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1E21276" w14:textId="77777777" w:rsidR="00B426CC" w:rsidRDefault="00140C75" w:rsidP="00B426CC">
      <w:pPr>
        <w:keepNext/>
        <w:ind w:left="-142"/>
        <w:rPr>
          <w:rFonts w:ascii="Garamond" w:hAnsi="Garamond" w:cs="Calibri"/>
          <w:b/>
          <w:sz w:val="28"/>
          <w:szCs w:val="28"/>
          <w:lang w:eastAsia="en-US"/>
        </w:rPr>
      </w:pPr>
      <w:r>
        <w:rPr>
          <w:rFonts w:ascii="Garamond" w:hAnsi="Garamond"/>
          <w:b/>
          <w:sz w:val="28"/>
          <w:szCs w:val="28"/>
          <w:lang w:val="en-US"/>
        </w:rPr>
        <w:t>I</w:t>
      </w:r>
      <w:r w:rsidRPr="006F1871">
        <w:rPr>
          <w:rFonts w:ascii="Garamond" w:hAnsi="Garamond"/>
          <w:b/>
          <w:sz w:val="28"/>
          <w:szCs w:val="28"/>
        </w:rPr>
        <w:t xml:space="preserve">.1. </w:t>
      </w:r>
      <w:r w:rsidRPr="004A5E75">
        <w:rPr>
          <w:rFonts w:ascii="Garamond" w:hAnsi="Garamond"/>
          <w:b/>
          <w:sz w:val="28"/>
          <w:szCs w:val="28"/>
        </w:rPr>
        <w:t xml:space="preserve">Изменения, связанные с </w:t>
      </w:r>
      <w:r w:rsidRPr="003023E1">
        <w:rPr>
          <w:rFonts w:ascii="Garamond" w:hAnsi="Garamond"/>
          <w:b/>
          <w:sz w:val="28"/>
          <w:szCs w:val="28"/>
        </w:rPr>
        <w:t>оказанием на ОРЭМ услуг по управлению изменением режима потребления электрической энергии</w:t>
      </w:r>
    </w:p>
    <w:p w14:paraId="68EB16AD" w14:textId="77777777" w:rsidR="00B426CC" w:rsidRDefault="00B426CC" w:rsidP="00B426CC">
      <w:pPr>
        <w:keepNext/>
        <w:ind w:left="-142"/>
        <w:rPr>
          <w:rFonts w:ascii="Garamond" w:hAnsi="Garamond" w:cs="Calibri"/>
          <w:b/>
          <w:sz w:val="28"/>
          <w:szCs w:val="28"/>
          <w:lang w:eastAsia="en-US"/>
        </w:rPr>
      </w:pPr>
    </w:p>
    <w:p w14:paraId="1DD1D493" w14:textId="77777777" w:rsidR="00B426CC" w:rsidRDefault="00B426CC" w:rsidP="00B426CC">
      <w:pPr>
        <w:keepNext/>
        <w:ind w:left="-142"/>
        <w:jc w:val="right"/>
        <w:rPr>
          <w:rFonts w:ascii="Garamond" w:hAnsi="Garamond" w:cs="Calibri"/>
          <w:b/>
          <w:sz w:val="28"/>
          <w:szCs w:val="28"/>
          <w:lang w:eastAsia="en-US"/>
        </w:rPr>
      </w:pPr>
      <w:r>
        <w:rPr>
          <w:rFonts w:ascii="Garamond" w:hAnsi="Garamond" w:cs="Calibri"/>
          <w:b/>
          <w:sz w:val="28"/>
          <w:szCs w:val="28"/>
          <w:lang w:eastAsia="en-US"/>
        </w:rPr>
        <w:t xml:space="preserve">Приложение </w:t>
      </w:r>
      <w:r w:rsidR="00140C75">
        <w:rPr>
          <w:rFonts w:ascii="Garamond" w:hAnsi="Garamond" w:cs="Calibri"/>
          <w:b/>
          <w:sz w:val="28"/>
          <w:szCs w:val="28"/>
          <w:lang w:eastAsia="en-US"/>
        </w:rPr>
        <w:t>№ 1.1</w:t>
      </w:r>
      <w:r w:rsidR="004013C2">
        <w:rPr>
          <w:rFonts w:ascii="Garamond" w:hAnsi="Garamond" w:cs="Calibri"/>
          <w:b/>
          <w:sz w:val="28"/>
          <w:szCs w:val="28"/>
          <w:lang w:eastAsia="en-US"/>
        </w:rPr>
        <w:t>.1</w:t>
      </w:r>
    </w:p>
    <w:p w14:paraId="15D4CA32" w14:textId="77777777" w:rsidR="00140C75" w:rsidRPr="00140C75" w:rsidRDefault="00140C75" w:rsidP="00B426CC">
      <w:pPr>
        <w:keepNext/>
        <w:ind w:left="-142"/>
        <w:jc w:val="right"/>
        <w:rPr>
          <w:rFonts w:ascii="Garamond" w:hAnsi="Garamond"/>
          <w:b/>
          <w:bCs/>
          <w:sz w:val="22"/>
          <w:szCs w:val="22"/>
        </w:rPr>
      </w:pPr>
    </w:p>
    <w:p w14:paraId="1F5D9BE2" w14:textId="77777777" w:rsidR="00140C75" w:rsidRPr="00AD67C2" w:rsidRDefault="00140C75" w:rsidP="00140C75">
      <w:pPr>
        <w:pBdr>
          <w:top w:val="single" w:sz="4" w:space="1" w:color="auto"/>
          <w:left w:val="single" w:sz="4" w:space="4" w:color="auto"/>
          <w:bottom w:val="single" w:sz="4" w:space="1" w:color="auto"/>
          <w:right w:val="single" w:sz="4" w:space="0" w:color="auto"/>
        </w:pBdr>
        <w:jc w:val="both"/>
        <w:rPr>
          <w:rFonts w:ascii="Garamond" w:hAnsi="Garamond"/>
          <w:sz w:val="24"/>
          <w:szCs w:val="24"/>
        </w:rPr>
      </w:pPr>
      <w:bookmarkStart w:id="0" w:name="_Содержание:"/>
      <w:bookmarkStart w:id="1" w:name="_Toc391652468"/>
      <w:bookmarkStart w:id="2" w:name="_Предложения_по_изменениям"/>
      <w:bookmarkStart w:id="3" w:name="_Предложения_по_изменениям_1"/>
      <w:bookmarkStart w:id="4" w:name="_Предложения_по_изменениям_9"/>
      <w:bookmarkEnd w:id="0"/>
      <w:bookmarkEnd w:id="1"/>
      <w:bookmarkEnd w:id="2"/>
      <w:bookmarkEnd w:id="3"/>
      <w:bookmarkEnd w:id="4"/>
      <w:r w:rsidRPr="00AD67C2">
        <w:rPr>
          <w:rFonts w:ascii="Garamond" w:eastAsia="Times New Roman" w:hAnsi="Garamond" w:cs="Garamond"/>
          <w:b/>
          <w:bCs/>
          <w:sz w:val="24"/>
          <w:szCs w:val="24"/>
        </w:rPr>
        <w:t xml:space="preserve">Инициатор: </w:t>
      </w:r>
      <w:r w:rsidRPr="00AD67C2">
        <w:rPr>
          <w:rFonts w:ascii="Garamond" w:hAnsi="Garamond"/>
          <w:sz w:val="24"/>
          <w:szCs w:val="24"/>
        </w:rPr>
        <w:t>Ассоциация «НП Совет рынка».</w:t>
      </w:r>
    </w:p>
    <w:p w14:paraId="6531FE06" w14:textId="06BE84AB" w:rsidR="00140C75" w:rsidRPr="00AD67C2" w:rsidRDefault="00140C75" w:rsidP="00140C75">
      <w:pPr>
        <w:pBdr>
          <w:top w:val="single" w:sz="4" w:space="1" w:color="auto"/>
          <w:left w:val="single" w:sz="4" w:space="4" w:color="auto"/>
          <w:bottom w:val="single" w:sz="4" w:space="1" w:color="auto"/>
          <w:right w:val="single" w:sz="4" w:space="0" w:color="auto"/>
        </w:pBdr>
        <w:jc w:val="both"/>
        <w:rPr>
          <w:rFonts w:ascii="Garamond" w:hAnsi="Garamond"/>
          <w:sz w:val="24"/>
          <w:szCs w:val="24"/>
        </w:rPr>
      </w:pPr>
      <w:r w:rsidRPr="00AD67C2">
        <w:rPr>
          <w:rFonts w:ascii="Garamond" w:hAnsi="Garamond"/>
          <w:b/>
          <w:sz w:val="24"/>
          <w:szCs w:val="24"/>
        </w:rPr>
        <w:t xml:space="preserve">Обоснование: </w:t>
      </w:r>
      <w:r w:rsidRPr="00AD67C2">
        <w:rPr>
          <w:rFonts w:ascii="Garamond" w:hAnsi="Garamond"/>
          <w:sz w:val="24"/>
          <w:szCs w:val="24"/>
        </w:rPr>
        <w:t xml:space="preserve">предлагается внести в </w:t>
      </w:r>
      <w:r w:rsidR="00AD67C2">
        <w:rPr>
          <w:rFonts w:ascii="Garamond" w:hAnsi="Garamond"/>
          <w:sz w:val="24"/>
          <w:szCs w:val="24"/>
        </w:rPr>
        <w:t>р</w:t>
      </w:r>
      <w:r w:rsidRPr="00AD67C2">
        <w:rPr>
          <w:rFonts w:ascii="Garamond" w:hAnsi="Garamond"/>
          <w:sz w:val="24"/>
          <w:szCs w:val="24"/>
        </w:rPr>
        <w:t>егламенты оптового рынка изменения, приводящие их в соответствие с положениями проекта постановления Правительства Российской Федерации «О внесении изменений в некоторые акты Правительства Российской Федерации для определения основных положений, регулирующих оказание на оптовом</w:t>
      </w:r>
      <w:r w:rsidRPr="00AD67C2">
        <w:rPr>
          <w:rFonts w:ascii="Garamond" w:hAnsi="Garamond"/>
          <w:color w:val="000000"/>
          <w:sz w:val="24"/>
          <w:szCs w:val="24"/>
        </w:rPr>
        <w:t xml:space="preserve"> рынке электрической энергии и мощности услуг по управлению изменением режима потребления» (</w:t>
      </w:r>
      <w:hyperlink r:id="rId11" w:history="1">
        <w:r w:rsidRPr="00AD67C2">
          <w:rPr>
            <w:rStyle w:val="aff"/>
            <w:rFonts w:ascii="Garamond" w:hAnsi="Garamond"/>
            <w:sz w:val="24"/>
            <w:szCs w:val="24"/>
          </w:rPr>
          <w:t>https://regulation.gov.ru/p/138018</w:t>
        </w:r>
      </w:hyperlink>
      <w:r w:rsidRPr="00AD67C2">
        <w:rPr>
          <w:rFonts w:ascii="Garamond" w:hAnsi="Garamond"/>
          <w:color w:val="000000"/>
          <w:sz w:val="24"/>
          <w:szCs w:val="24"/>
        </w:rPr>
        <w:t xml:space="preserve">), </w:t>
      </w:r>
      <w:r w:rsidRPr="00AD67C2">
        <w:rPr>
          <w:rFonts w:ascii="Garamond" w:hAnsi="Garamond"/>
          <w:sz w:val="24"/>
          <w:szCs w:val="24"/>
        </w:rPr>
        <w:t>устанавливающего правовое регулирование обращения в рамках торговой системы оптового рынка электрической энергии и мощности услуг по управлению изменением режима потребления электрической энергии.</w:t>
      </w:r>
    </w:p>
    <w:p w14:paraId="49EB0C9D" w14:textId="1CD88DD2" w:rsidR="00140C75" w:rsidRPr="00AD67C2" w:rsidRDefault="00140C75" w:rsidP="00140C75">
      <w:pPr>
        <w:pBdr>
          <w:top w:val="single" w:sz="4" w:space="1" w:color="auto"/>
          <w:left w:val="single" w:sz="4" w:space="4" w:color="auto"/>
          <w:bottom w:val="single" w:sz="4" w:space="1" w:color="auto"/>
          <w:right w:val="single" w:sz="4" w:space="0" w:color="auto"/>
        </w:pBdr>
        <w:jc w:val="both"/>
        <w:rPr>
          <w:rFonts w:ascii="Garamond" w:hAnsi="Garamond"/>
          <w:color w:val="000000"/>
          <w:sz w:val="24"/>
          <w:szCs w:val="24"/>
        </w:rPr>
      </w:pPr>
      <w:r w:rsidRPr="00AD67C2">
        <w:rPr>
          <w:rFonts w:ascii="Garamond" w:hAnsi="Garamond"/>
          <w:color w:val="000000"/>
          <w:sz w:val="24"/>
          <w:szCs w:val="24"/>
        </w:rPr>
        <w:t>Вносимые изменения предусматривают определение:</w:t>
      </w:r>
    </w:p>
    <w:p w14:paraId="594FB41B" w14:textId="77777777" w:rsidR="00140C75" w:rsidRPr="00AD67C2" w:rsidRDefault="00140C75" w:rsidP="00140C75">
      <w:pPr>
        <w:pBdr>
          <w:top w:val="single" w:sz="4" w:space="1" w:color="auto"/>
          <w:left w:val="single" w:sz="4" w:space="4" w:color="auto"/>
          <w:bottom w:val="single" w:sz="4" w:space="1" w:color="auto"/>
          <w:right w:val="single" w:sz="4" w:space="0" w:color="auto"/>
        </w:pBdr>
        <w:jc w:val="both"/>
        <w:rPr>
          <w:rFonts w:ascii="Garamond" w:hAnsi="Garamond"/>
          <w:color w:val="000000"/>
          <w:sz w:val="24"/>
          <w:szCs w:val="24"/>
        </w:rPr>
      </w:pPr>
      <w:r w:rsidRPr="00AD67C2">
        <w:rPr>
          <w:rFonts w:ascii="Garamond" w:hAnsi="Garamond"/>
          <w:color w:val="000000"/>
          <w:sz w:val="24"/>
          <w:szCs w:val="24"/>
        </w:rPr>
        <w:t>– порядка получения потенциальными исполнителями услуг по управлению изменением режима потребления статуса субъекта оптового рынка;</w:t>
      </w:r>
    </w:p>
    <w:p w14:paraId="61BD5E2D" w14:textId="77777777" w:rsidR="00140C75" w:rsidRPr="00AD67C2" w:rsidRDefault="00140C75" w:rsidP="00140C75">
      <w:pPr>
        <w:pBdr>
          <w:top w:val="single" w:sz="4" w:space="1" w:color="auto"/>
          <w:left w:val="single" w:sz="4" w:space="4" w:color="auto"/>
          <w:bottom w:val="single" w:sz="4" w:space="1" w:color="auto"/>
          <w:right w:val="single" w:sz="4" w:space="0" w:color="auto"/>
        </w:pBdr>
        <w:jc w:val="both"/>
        <w:rPr>
          <w:rFonts w:ascii="Garamond" w:hAnsi="Garamond"/>
          <w:color w:val="000000"/>
          <w:sz w:val="24"/>
          <w:szCs w:val="24"/>
        </w:rPr>
      </w:pPr>
      <w:r w:rsidRPr="00AD67C2">
        <w:rPr>
          <w:rFonts w:ascii="Garamond" w:hAnsi="Garamond"/>
          <w:color w:val="000000"/>
          <w:sz w:val="24"/>
          <w:szCs w:val="24"/>
        </w:rPr>
        <w:t>– порядка регистрации объектов регулирования;</w:t>
      </w:r>
    </w:p>
    <w:p w14:paraId="38D2D38B" w14:textId="77777777" w:rsidR="00140C75" w:rsidRPr="00AD67C2" w:rsidRDefault="00140C75" w:rsidP="00140C75">
      <w:pPr>
        <w:pBdr>
          <w:top w:val="single" w:sz="4" w:space="1" w:color="auto"/>
          <w:left w:val="single" w:sz="4" w:space="4" w:color="auto"/>
          <w:bottom w:val="single" w:sz="4" w:space="1" w:color="auto"/>
          <w:right w:val="single" w:sz="4" w:space="0" w:color="auto"/>
        </w:pBdr>
        <w:jc w:val="both"/>
        <w:rPr>
          <w:rFonts w:ascii="Garamond" w:hAnsi="Garamond"/>
          <w:color w:val="000000"/>
          <w:sz w:val="24"/>
          <w:szCs w:val="24"/>
        </w:rPr>
      </w:pPr>
      <w:r w:rsidRPr="00AD67C2">
        <w:rPr>
          <w:rFonts w:ascii="Garamond" w:hAnsi="Garamond"/>
          <w:color w:val="000000"/>
          <w:sz w:val="24"/>
          <w:szCs w:val="24"/>
        </w:rPr>
        <w:t xml:space="preserve">– порядка предоставления права </w:t>
      </w:r>
      <w:r w:rsidRPr="00AD67C2">
        <w:rPr>
          <w:rFonts w:ascii="Garamond" w:eastAsia="Times New Roman" w:hAnsi="Garamond"/>
          <w:sz w:val="24"/>
          <w:szCs w:val="24"/>
        </w:rPr>
        <w:t>на оказание услуг по управлению изменением режима потребления и допуска к отборам ресурса по управлению изменением режима потребления;</w:t>
      </w:r>
    </w:p>
    <w:p w14:paraId="0B0A4441" w14:textId="77777777" w:rsidR="00140C75" w:rsidRPr="00AD67C2" w:rsidRDefault="00140C75" w:rsidP="00140C75">
      <w:pPr>
        <w:pBdr>
          <w:top w:val="single" w:sz="4" w:space="1" w:color="auto"/>
          <w:left w:val="single" w:sz="4" w:space="4" w:color="auto"/>
          <w:bottom w:val="single" w:sz="4" w:space="1" w:color="auto"/>
          <w:right w:val="single" w:sz="4" w:space="0" w:color="auto"/>
        </w:pBdr>
        <w:jc w:val="both"/>
        <w:rPr>
          <w:rFonts w:ascii="Garamond" w:hAnsi="Garamond"/>
          <w:color w:val="000000"/>
          <w:sz w:val="24"/>
          <w:szCs w:val="24"/>
        </w:rPr>
      </w:pPr>
      <w:r w:rsidRPr="00AD67C2">
        <w:rPr>
          <w:rFonts w:ascii="Garamond" w:hAnsi="Garamond"/>
          <w:color w:val="000000"/>
          <w:sz w:val="24"/>
          <w:szCs w:val="24"/>
        </w:rPr>
        <w:t>– требований к организации коммерческого учета при предоставлении услуг по управлению изменением режима потребления;</w:t>
      </w:r>
    </w:p>
    <w:p w14:paraId="23E93367" w14:textId="77777777" w:rsidR="00140C75" w:rsidRPr="00AD67C2" w:rsidRDefault="00140C75" w:rsidP="00140C75">
      <w:pPr>
        <w:pBdr>
          <w:top w:val="single" w:sz="4" w:space="1" w:color="auto"/>
          <w:left w:val="single" w:sz="4" w:space="4" w:color="auto"/>
          <w:bottom w:val="single" w:sz="4" w:space="1" w:color="auto"/>
          <w:right w:val="single" w:sz="4" w:space="0" w:color="auto"/>
        </w:pBdr>
        <w:jc w:val="both"/>
        <w:rPr>
          <w:rFonts w:ascii="Garamond" w:hAnsi="Garamond"/>
          <w:color w:val="000000"/>
          <w:sz w:val="24"/>
          <w:szCs w:val="24"/>
        </w:rPr>
      </w:pPr>
      <w:r w:rsidRPr="00AD67C2">
        <w:rPr>
          <w:rFonts w:ascii="Garamond" w:hAnsi="Garamond"/>
          <w:color w:val="000000"/>
          <w:sz w:val="24"/>
          <w:szCs w:val="24"/>
        </w:rPr>
        <w:t>– порядка проведения отборов исполнителей услуг по управлению изменением режима потребления;</w:t>
      </w:r>
    </w:p>
    <w:p w14:paraId="4A99C3C7" w14:textId="75CFD00D" w:rsidR="00140C75" w:rsidRPr="00AD67C2" w:rsidRDefault="00140C75" w:rsidP="00140C75">
      <w:pPr>
        <w:pBdr>
          <w:top w:val="single" w:sz="4" w:space="1" w:color="auto"/>
          <w:left w:val="single" w:sz="4" w:space="4" w:color="auto"/>
          <w:bottom w:val="single" w:sz="4" w:space="1" w:color="auto"/>
          <w:right w:val="single" w:sz="4" w:space="0" w:color="auto"/>
        </w:pBdr>
        <w:jc w:val="both"/>
        <w:rPr>
          <w:rFonts w:ascii="Garamond" w:hAnsi="Garamond"/>
          <w:color w:val="000000"/>
          <w:sz w:val="24"/>
          <w:szCs w:val="24"/>
        </w:rPr>
      </w:pPr>
      <w:r w:rsidRPr="00AD67C2">
        <w:rPr>
          <w:rFonts w:ascii="Garamond" w:hAnsi="Garamond"/>
          <w:color w:val="000000"/>
          <w:sz w:val="24"/>
          <w:szCs w:val="24"/>
        </w:rPr>
        <w:t>– порядка учета ресурса по управлению изменением режима потребления при проведении конкурентных отборов мощности.</w:t>
      </w:r>
    </w:p>
    <w:p w14:paraId="07F886F5" w14:textId="77777777" w:rsidR="00140C75" w:rsidRPr="00AD67C2" w:rsidRDefault="00140C75" w:rsidP="00140C75">
      <w:pPr>
        <w:pBdr>
          <w:top w:val="single" w:sz="4" w:space="1" w:color="auto"/>
          <w:left w:val="single" w:sz="4" w:space="4" w:color="auto"/>
          <w:bottom w:val="single" w:sz="4" w:space="1" w:color="auto"/>
          <w:right w:val="single" w:sz="4" w:space="0" w:color="auto"/>
        </w:pBdr>
        <w:tabs>
          <w:tab w:val="left" w:pos="8550"/>
          <w:tab w:val="left" w:pos="9280"/>
        </w:tabs>
        <w:jc w:val="both"/>
        <w:rPr>
          <w:rFonts w:ascii="Garamond" w:hAnsi="Garamond" w:cs="Garamond"/>
          <w:b/>
          <w:bCs/>
          <w:sz w:val="24"/>
          <w:szCs w:val="24"/>
        </w:rPr>
      </w:pPr>
      <w:r w:rsidRPr="00AD67C2">
        <w:rPr>
          <w:rFonts w:ascii="Garamond" w:eastAsia="Times New Roman" w:hAnsi="Garamond" w:cs="Garamond"/>
          <w:b/>
          <w:bCs/>
          <w:sz w:val="24"/>
          <w:szCs w:val="24"/>
        </w:rPr>
        <w:t>Дата вступления в силу:</w:t>
      </w:r>
      <w:r w:rsidRPr="00AD67C2">
        <w:rPr>
          <w:rFonts w:ascii="Garamond" w:hAnsi="Garamond"/>
          <w:bCs/>
          <w:sz w:val="24"/>
          <w:szCs w:val="24"/>
        </w:rPr>
        <w:t xml:space="preserve"> </w:t>
      </w:r>
      <w:r w:rsidRPr="00AD67C2">
        <w:rPr>
          <w:rFonts w:ascii="Garamond" w:hAnsi="Garamond"/>
          <w:color w:val="000000"/>
          <w:sz w:val="24"/>
          <w:szCs w:val="24"/>
        </w:rPr>
        <w:t>с даты вступления в силу постановления Правительства Российской Федерации «О внесении изменений в некоторые акты Правительства Российской Федерации для определения основных положений, регулирующих оказание на оптовом рынке электрической энергии и мощности услуг по управлению изменением режима потребления».</w:t>
      </w:r>
    </w:p>
    <w:p w14:paraId="645E1A6D" w14:textId="77777777" w:rsidR="00D64294" w:rsidRDefault="00D64294" w:rsidP="00D64294">
      <w:pPr>
        <w:rPr>
          <w:rFonts w:ascii="Calibri" w:hAnsi="Calibri"/>
          <w:b/>
          <w:bCs/>
          <w:iCs/>
          <w:sz w:val="22"/>
          <w:szCs w:val="22"/>
          <w:lang w:eastAsia="en-US"/>
        </w:rPr>
      </w:pPr>
    </w:p>
    <w:p w14:paraId="79B4559A" w14:textId="13A13AA0" w:rsidR="00D64294" w:rsidRDefault="00D64294" w:rsidP="00AD67C2">
      <w:pPr>
        <w:keepNext/>
        <w:keepLines/>
        <w:widowControl w:val="0"/>
        <w:numPr>
          <w:ilvl w:val="1"/>
          <w:numId w:val="0"/>
        </w:numPr>
        <w:outlineLvl w:val="1"/>
        <w:rPr>
          <w:rFonts w:ascii="Garamond" w:hAnsi="Garamond"/>
          <w:b/>
          <w:sz w:val="26"/>
          <w:szCs w:val="26"/>
        </w:rPr>
      </w:pPr>
      <w:r w:rsidRPr="00E4296A">
        <w:rPr>
          <w:rFonts w:ascii="Garamond" w:eastAsia="Batang" w:hAnsi="Garamond"/>
          <w:b/>
          <w:bCs/>
          <w:sz w:val="26"/>
          <w:szCs w:val="26"/>
        </w:rPr>
        <w:t>Предложения по изменениям и дополнениям в</w:t>
      </w:r>
      <w:r w:rsidRPr="00E4296A">
        <w:rPr>
          <w:rFonts w:ascii="Garamond" w:hAnsi="Garamond"/>
          <w:b/>
          <w:sz w:val="26"/>
          <w:szCs w:val="26"/>
        </w:rPr>
        <w:t xml:space="preserve"> ПОЛОЖЕНИЕ О ПОРЯДКЕ ПОЛУЧЕНИЯ СТАТУСА СУБЪЕКТА ОПТОВОГО РЫНКА И ВЕДЕНИЯ РЕЕСТРА СУБЪЕКТОВ ОПТОВОГО РЫНКА (Приложение № 1.1 к </w:t>
      </w:r>
      <w:r w:rsidR="00AD67C2">
        <w:rPr>
          <w:rFonts w:ascii="Garamond" w:hAnsi="Garamond"/>
          <w:b/>
          <w:bCs/>
          <w:sz w:val="26"/>
          <w:szCs w:val="26"/>
        </w:rPr>
        <w:t>Договору о </w:t>
      </w:r>
      <w:r w:rsidRPr="00E4296A">
        <w:rPr>
          <w:rFonts w:ascii="Garamond" w:hAnsi="Garamond"/>
          <w:b/>
          <w:bCs/>
          <w:sz w:val="26"/>
          <w:szCs w:val="26"/>
        </w:rPr>
        <w:t>присоединении к торговой системе оптового рынка</w:t>
      </w:r>
      <w:r w:rsidRPr="00E4296A">
        <w:rPr>
          <w:rFonts w:ascii="Garamond" w:hAnsi="Garamond"/>
          <w:b/>
          <w:sz w:val="26"/>
          <w:szCs w:val="26"/>
        </w:rPr>
        <w:t>)</w:t>
      </w:r>
    </w:p>
    <w:p w14:paraId="1644F347" w14:textId="77777777" w:rsidR="00D64294" w:rsidRDefault="00D64294" w:rsidP="00D64294">
      <w:pPr>
        <w:keepNext/>
        <w:keepLines/>
        <w:widowControl w:val="0"/>
        <w:numPr>
          <w:ilvl w:val="1"/>
          <w:numId w:val="0"/>
        </w:numPr>
        <w:jc w:val="both"/>
        <w:outlineLvl w:val="1"/>
        <w:rPr>
          <w:rFonts w:ascii="Garamond" w:hAnsi="Garamond"/>
          <w:b/>
          <w:sz w:val="26"/>
          <w:szCs w:val="26"/>
        </w:rPr>
      </w:pPr>
    </w:p>
    <w:tbl>
      <w:tblPr>
        <w:tblW w:w="1477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22"/>
        <w:gridCol w:w="6662"/>
        <w:gridCol w:w="7087"/>
      </w:tblGrid>
      <w:tr w:rsidR="00D64294" w:rsidRPr="00AD67C2" w14:paraId="4D224F7E" w14:textId="77777777" w:rsidTr="00AD67C2">
        <w:tc>
          <w:tcPr>
            <w:tcW w:w="1022" w:type="dxa"/>
            <w:vAlign w:val="center"/>
          </w:tcPr>
          <w:p w14:paraId="6E35A7DB" w14:textId="77777777" w:rsidR="00D64294" w:rsidRPr="00AD67C2" w:rsidRDefault="00D64294" w:rsidP="00A43635">
            <w:pPr>
              <w:widowControl w:val="0"/>
              <w:jc w:val="center"/>
              <w:rPr>
                <w:rFonts w:ascii="Garamond" w:hAnsi="Garamond"/>
                <w:b/>
                <w:sz w:val="22"/>
                <w:szCs w:val="22"/>
                <w:lang w:eastAsia="en-US"/>
              </w:rPr>
            </w:pPr>
            <w:r w:rsidRPr="00AD67C2">
              <w:rPr>
                <w:rFonts w:ascii="Garamond" w:hAnsi="Garamond"/>
                <w:b/>
                <w:sz w:val="22"/>
                <w:szCs w:val="22"/>
                <w:lang w:eastAsia="en-US"/>
              </w:rPr>
              <w:t>№</w:t>
            </w:r>
          </w:p>
          <w:p w14:paraId="1B757E30" w14:textId="77777777" w:rsidR="00D64294" w:rsidRPr="00AD67C2" w:rsidRDefault="00D64294" w:rsidP="00A43635">
            <w:pPr>
              <w:widowControl w:val="0"/>
              <w:jc w:val="center"/>
              <w:rPr>
                <w:rFonts w:ascii="Garamond" w:hAnsi="Garamond"/>
                <w:b/>
                <w:sz w:val="22"/>
                <w:szCs w:val="22"/>
                <w:lang w:eastAsia="en-US"/>
              </w:rPr>
            </w:pPr>
            <w:r w:rsidRPr="00AD67C2">
              <w:rPr>
                <w:rFonts w:ascii="Garamond" w:hAnsi="Garamond"/>
                <w:b/>
                <w:sz w:val="22"/>
                <w:szCs w:val="22"/>
                <w:lang w:eastAsia="en-US"/>
              </w:rPr>
              <w:t>пункта</w:t>
            </w:r>
          </w:p>
        </w:tc>
        <w:tc>
          <w:tcPr>
            <w:tcW w:w="6662" w:type="dxa"/>
            <w:vAlign w:val="center"/>
          </w:tcPr>
          <w:p w14:paraId="0576B435" w14:textId="77777777" w:rsidR="00D64294" w:rsidRPr="00AD67C2" w:rsidRDefault="00D64294" w:rsidP="00A43635">
            <w:pPr>
              <w:widowControl w:val="0"/>
              <w:jc w:val="center"/>
              <w:rPr>
                <w:rFonts w:ascii="Garamond" w:hAnsi="Garamond"/>
                <w:b/>
                <w:sz w:val="22"/>
                <w:szCs w:val="22"/>
                <w:lang w:eastAsia="en-US"/>
              </w:rPr>
            </w:pPr>
            <w:r w:rsidRPr="00AD67C2">
              <w:rPr>
                <w:rFonts w:ascii="Garamond" w:hAnsi="Garamond"/>
                <w:b/>
                <w:sz w:val="22"/>
                <w:szCs w:val="22"/>
                <w:lang w:eastAsia="en-US"/>
              </w:rPr>
              <w:t>Редакция, действующая на момент</w:t>
            </w:r>
          </w:p>
          <w:p w14:paraId="35EC14A5" w14:textId="77777777" w:rsidR="00D64294" w:rsidRPr="00AD67C2" w:rsidRDefault="00D64294" w:rsidP="00A43635">
            <w:pPr>
              <w:ind w:right="-55"/>
              <w:jc w:val="center"/>
              <w:rPr>
                <w:rFonts w:ascii="Garamond" w:hAnsi="Garamond"/>
                <w:sz w:val="22"/>
                <w:szCs w:val="22"/>
                <w:lang w:eastAsia="en-US"/>
              </w:rPr>
            </w:pPr>
            <w:r w:rsidRPr="00AD67C2">
              <w:rPr>
                <w:rFonts w:ascii="Garamond" w:hAnsi="Garamond"/>
                <w:b/>
                <w:sz w:val="22"/>
                <w:szCs w:val="22"/>
                <w:lang w:eastAsia="en-US"/>
              </w:rPr>
              <w:t>вступления в силу изменений</w:t>
            </w:r>
          </w:p>
        </w:tc>
        <w:tc>
          <w:tcPr>
            <w:tcW w:w="7087" w:type="dxa"/>
            <w:vAlign w:val="center"/>
          </w:tcPr>
          <w:p w14:paraId="3CE0CB0B" w14:textId="77777777" w:rsidR="00D64294" w:rsidRPr="00AD67C2" w:rsidRDefault="00D64294" w:rsidP="00A43635">
            <w:pPr>
              <w:widowControl w:val="0"/>
              <w:jc w:val="center"/>
              <w:rPr>
                <w:rFonts w:ascii="Garamond" w:hAnsi="Garamond"/>
                <w:b/>
                <w:sz w:val="22"/>
                <w:szCs w:val="22"/>
                <w:lang w:eastAsia="en-US"/>
              </w:rPr>
            </w:pPr>
            <w:r w:rsidRPr="00AD67C2">
              <w:rPr>
                <w:rFonts w:ascii="Garamond" w:hAnsi="Garamond"/>
                <w:b/>
                <w:sz w:val="22"/>
                <w:szCs w:val="22"/>
                <w:lang w:eastAsia="en-US"/>
              </w:rPr>
              <w:t>Предлагаемая редакция</w:t>
            </w:r>
          </w:p>
          <w:p w14:paraId="16DA3B51" w14:textId="77777777" w:rsidR="00D64294" w:rsidRPr="00AD67C2" w:rsidRDefault="00D64294" w:rsidP="00A43635">
            <w:pPr>
              <w:ind w:right="-55"/>
              <w:jc w:val="center"/>
              <w:rPr>
                <w:rFonts w:ascii="Garamond" w:hAnsi="Garamond"/>
                <w:sz w:val="22"/>
                <w:szCs w:val="22"/>
                <w:lang w:eastAsia="en-US"/>
              </w:rPr>
            </w:pPr>
            <w:r w:rsidRPr="00AD67C2">
              <w:rPr>
                <w:rFonts w:ascii="Garamond" w:hAnsi="Garamond"/>
                <w:sz w:val="22"/>
                <w:szCs w:val="22"/>
                <w:lang w:eastAsia="en-US"/>
              </w:rPr>
              <w:t>(изменения выделены цветом)</w:t>
            </w:r>
          </w:p>
        </w:tc>
      </w:tr>
      <w:tr w:rsidR="00D64294" w:rsidRPr="00AD67C2" w14:paraId="325A7342" w14:textId="77777777" w:rsidTr="00AD67C2">
        <w:tc>
          <w:tcPr>
            <w:tcW w:w="1022" w:type="dxa"/>
            <w:vAlign w:val="center"/>
          </w:tcPr>
          <w:p w14:paraId="38507009" w14:textId="77777777" w:rsidR="00D64294" w:rsidRPr="00AD67C2" w:rsidRDefault="00D64294" w:rsidP="00A43635">
            <w:pPr>
              <w:widowControl w:val="0"/>
              <w:jc w:val="center"/>
              <w:rPr>
                <w:rFonts w:ascii="Garamond" w:hAnsi="Garamond"/>
                <w:b/>
                <w:sz w:val="22"/>
                <w:szCs w:val="22"/>
                <w:lang w:eastAsia="en-US"/>
              </w:rPr>
            </w:pPr>
            <w:r w:rsidRPr="00AD67C2">
              <w:rPr>
                <w:rFonts w:ascii="Garamond" w:hAnsi="Garamond"/>
                <w:b/>
                <w:sz w:val="22"/>
                <w:szCs w:val="22"/>
                <w:lang w:eastAsia="en-US"/>
              </w:rPr>
              <w:t>1.1.5</w:t>
            </w:r>
          </w:p>
        </w:tc>
        <w:tc>
          <w:tcPr>
            <w:tcW w:w="6662" w:type="dxa"/>
            <w:vAlign w:val="center"/>
          </w:tcPr>
          <w:p w14:paraId="00E6EC41" w14:textId="77777777" w:rsidR="00D64294" w:rsidRPr="00AD67C2" w:rsidRDefault="00D64294" w:rsidP="00A43635">
            <w:pPr>
              <w:pStyle w:val="ConsPlusNormal"/>
              <w:widowControl/>
              <w:tabs>
                <w:tab w:val="left" w:pos="709"/>
              </w:tabs>
              <w:spacing w:before="120" w:after="120"/>
              <w:ind w:firstLine="600"/>
              <w:rPr>
                <w:rFonts w:ascii="Garamond" w:hAnsi="Garamond"/>
                <w:sz w:val="22"/>
                <w:szCs w:val="22"/>
              </w:rPr>
            </w:pPr>
            <w:r w:rsidRPr="00AD67C2">
              <w:rPr>
                <w:rFonts w:ascii="Garamond" w:hAnsi="Garamond"/>
                <w:sz w:val="22"/>
                <w:szCs w:val="22"/>
              </w:rPr>
              <w:t>…</w:t>
            </w:r>
          </w:p>
          <w:p w14:paraId="36022B11" w14:textId="77777777" w:rsidR="00D64294" w:rsidRPr="00AD67C2" w:rsidRDefault="00D64294" w:rsidP="00A43635">
            <w:pPr>
              <w:pStyle w:val="ConsPlusNormal"/>
              <w:widowControl/>
              <w:tabs>
                <w:tab w:val="left" w:pos="709"/>
              </w:tabs>
              <w:spacing w:before="120" w:after="120"/>
              <w:ind w:firstLine="600"/>
              <w:rPr>
                <w:rFonts w:ascii="Garamond" w:hAnsi="Garamond"/>
                <w:sz w:val="22"/>
                <w:szCs w:val="22"/>
              </w:rPr>
            </w:pPr>
            <w:r w:rsidRPr="00AD67C2">
              <w:rPr>
                <w:rFonts w:ascii="Garamond" w:hAnsi="Garamond"/>
                <w:b/>
                <w:sz w:val="22"/>
                <w:szCs w:val="22"/>
              </w:rPr>
              <w:t>Регистрационная информация</w:t>
            </w:r>
            <w:r w:rsidRPr="00AD67C2">
              <w:rPr>
                <w:rFonts w:ascii="Garamond" w:hAnsi="Garamond"/>
                <w:sz w:val="22"/>
                <w:szCs w:val="22"/>
              </w:rPr>
              <w:t xml:space="preserve"> – совокупность сведений о </w:t>
            </w:r>
            <w:r w:rsidRPr="00AD67C2">
              <w:rPr>
                <w:rFonts w:ascii="Garamond" w:hAnsi="Garamond" w:cs="Times New Roman"/>
                <w:sz w:val="22"/>
                <w:szCs w:val="22"/>
              </w:rPr>
              <w:t>субъекте оптового рынка и информации по ГТП (сечения</w:t>
            </w:r>
            <w:r w:rsidRPr="00AD67C2">
              <w:rPr>
                <w:rFonts w:ascii="Garamond" w:hAnsi="Garamond" w:cs="Times New Roman"/>
                <w:sz w:val="22"/>
                <w:szCs w:val="22"/>
                <w:highlight w:val="yellow"/>
              </w:rPr>
              <w:t>х</w:t>
            </w:r>
            <w:r w:rsidRPr="00AD67C2">
              <w:rPr>
                <w:rFonts w:ascii="Garamond" w:hAnsi="Garamond" w:cs="Times New Roman"/>
                <w:sz w:val="22"/>
                <w:szCs w:val="22"/>
              </w:rPr>
              <w:t xml:space="preserve"> ФСК), представленных Совету рынка и (или) </w:t>
            </w:r>
            <w:r w:rsidRPr="00AD67C2">
              <w:rPr>
                <w:rFonts w:ascii="Garamond" w:hAnsi="Garamond"/>
                <w:sz w:val="22"/>
                <w:szCs w:val="22"/>
              </w:rPr>
              <w:t xml:space="preserve">Коммерческому оператору в соответствии с настоящим Положением и </w:t>
            </w:r>
            <w:r w:rsidRPr="00AD67C2">
              <w:rPr>
                <w:rFonts w:ascii="Garamond" w:hAnsi="Garamond"/>
                <w:i/>
                <w:sz w:val="22"/>
                <w:szCs w:val="22"/>
              </w:rPr>
              <w:t xml:space="preserve">Регламентом допуска к торговой </w:t>
            </w:r>
            <w:r w:rsidRPr="00AD67C2">
              <w:rPr>
                <w:rFonts w:ascii="Garamond" w:hAnsi="Garamond"/>
                <w:i/>
                <w:sz w:val="22"/>
                <w:szCs w:val="22"/>
              </w:rPr>
              <w:lastRenderedPageBreak/>
              <w:t>системе оптового рынка</w:t>
            </w:r>
            <w:r w:rsidRPr="00AD67C2">
              <w:rPr>
                <w:rFonts w:ascii="Garamond" w:hAnsi="Garamond"/>
                <w:sz w:val="22"/>
                <w:szCs w:val="22"/>
              </w:rPr>
              <w:t xml:space="preserve"> (Приложение № 1 к </w:t>
            </w:r>
            <w:r w:rsidRPr="00AD67C2">
              <w:rPr>
                <w:rFonts w:ascii="Garamond" w:hAnsi="Garamond"/>
                <w:i/>
                <w:sz w:val="22"/>
                <w:szCs w:val="22"/>
              </w:rPr>
              <w:t>Договору о присоединении к торговой системе оптового рынка</w:t>
            </w:r>
            <w:r w:rsidRPr="00AD67C2">
              <w:rPr>
                <w:rFonts w:ascii="Garamond" w:hAnsi="Garamond"/>
                <w:sz w:val="22"/>
                <w:szCs w:val="22"/>
              </w:rPr>
              <w:t>).</w:t>
            </w:r>
          </w:p>
          <w:p w14:paraId="0C3B0086" w14:textId="77777777" w:rsidR="00D64294" w:rsidRPr="00AD67C2" w:rsidRDefault="00D64294" w:rsidP="00A43635">
            <w:pPr>
              <w:pStyle w:val="ConsPlusNormal"/>
              <w:widowControl/>
              <w:tabs>
                <w:tab w:val="left" w:pos="709"/>
              </w:tabs>
              <w:spacing w:before="120" w:after="120"/>
              <w:ind w:firstLine="600"/>
              <w:rPr>
                <w:rFonts w:ascii="Garamond" w:hAnsi="Garamond"/>
                <w:sz w:val="22"/>
                <w:szCs w:val="22"/>
              </w:rPr>
            </w:pPr>
            <w:r w:rsidRPr="00AD67C2">
              <w:rPr>
                <w:rFonts w:ascii="Garamond" w:hAnsi="Garamond"/>
                <w:sz w:val="22"/>
                <w:szCs w:val="22"/>
              </w:rPr>
              <w:t>…</w:t>
            </w:r>
          </w:p>
          <w:p w14:paraId="7E126BC9" w14:textId="144F0ECE" w:rsidR="00D64294" w:rsidRPr="00AD67C2" w:rsidRDefault="00D64294" w:rsidP="00AD67C2">
            <w:pPr>
              <w:pStyle w:val="ConsPlusNormal"/>
              <w:widowControl/>
              <w:tabs>
                <w:tab w:val="left" w:pos="709"/>
              </w:tabs>
              <w:spacing w:before="120" w:after="120"/>
              <w:ind w:firstLine="600"/>
              <w:rPr>
                <w:rFonts w:ascii="Garamond" w:hAnsi="Garamond"/>
                <w:sz w:val="22"/>
                <w:szCs w:val="22"/>
              </w:rPr>
            </w:pPr>
            <w:r w:rsidRPr="00AD67C2">
              <w:rPr>
                <w:rFonts w:ascii="Garamond" w:hAnsi="Garamond"/>
                <w:b/>
                <w:sz w:val="22"/>
                <w:szCs w:val="22"/>
              </w:rPr>
              <w:t>Субъекты оптового рынка</w:t>
            </w:r>
            <w:r w:rsidRPr="00AD67C2">
              <w:rPr>
                <w:rFonts w:ascii="Garamond" w:hAnsi="Garamond"/>
                <w:sz w:val="22"/>
                <w:szCs w:val="22"/>
              </w:rPr>
              <w:t xml:space="preserve"> </w:t>
            </w:r>
            <w:r w:rsidRPr="00AD67C2">
              <w:rPr>
                <w:rFonts w:ascii="Garamond" w:hAnsi="Garamond" w:cs="Times New Roman"/>
                <w:sz w:val="22"/>
                <w:szCs w:val="22"/>
              </w:rPr>
              <w:t>–</w:t>
            </w:r>
            <w:r w:rsidRPr="00AD67C2">
              <w:rPr>
                <w:rFonts w:ascii="Garamond" w:hAnsi="Garamond"/>
                <w:sz w:val="22"/>
                <w:szCs w:val="22"/>
              </w:rPr>
              <w:t xml:space="preserve"> поставщики электрической энергии (генерирующие компании) и покупатели электрической энергии (энергосбытовые организации, энергоснабжающие организации, крупные потребители электрической энергии, гарантирующие поставщики, территориальные сетевые организации в целях осуществления функций гарантирующего поставщика, организации, осуществляющие экспортно-импортные операции), получившие в установленном порядке статус субъекта оптового рынка, а также инфраструктурные организации.</w:t>
            </w:r>
          </w:p>
        </w:tc>
        <w:tc>
          <w:tcPr>
            <w:tcW w:w="7087" w:type="dxa"/>
            <w:vAlign w:val="center"/>
          </w:tcPr>
          <w:p w14:paraId="6E0A499F" w14:textId="6AA4F0C2" w:rsidR="00AD67C2" w:rsidRPr="00AD67C2" w:rsidRDefault="00AD67C2" w:rsidP="00A43635">
            <w:pPr>
              <w:widowControl w:val="0"/>
              <w:ind w:left="177" w:firstLine="36"/>
              <w:jc w:val="both"/>
              <w:rPr>
                <w:rFonts w:ascii="Garamond" w:eastAsia="Times New Roman" w:hAnsi="Garamond" w:cs="Arial"/>
                <w:sz w:val="22"/>
                <w:szCs w:val="22"/>
              </w:rPr>
            </w:pPr>
            <w:r w:rsidRPr="00AD67C2">
              <w:rPr>
                <w:rFonts w:ascii="Garamond" w:eastAsia="Times New Roman" w:hAnsi="Garamond" w:cs="Arial"/>
                <w:sz w:val="22"/>
                <w:szCs w:val="22"/>
              </w:rPr>
              <w:lastRenderedPageBreak/>
              <w:t>…</w:t>
            </w:r>
          </w:p>
          <w:p w14:paraId="23BDF1C9" w14:textId="797A9099" w:rsidR="00D64294" w:rsidRPr="00AD67C2" w:rsidRDefault="00D64294" w:rsidP="00A43635">
            <w:pPr>
              <w:widowControl w:val="0"/>
              <w:ind w:left="177" w:firstLine="36"/>
              <w:jc w:val="both"/>
              <w:rPr>
                <w:rFonts w:ascii="Garamond" w:eastAsia="Times New Roman" w:hAnsi="Garamond" w:cs="Arial"/>
                <w:sz w:val="22"/>
                <w:szCs w:val="22"/>
              </w:rPr>
            </w:pPr>
            <w:r w:rsidRPr="00AD67C2">
              <w:rPr>
                <w:rFonts w:ascii="Garamond" w:eastAsia="Times New Roman" w:hAnsi="Garamond" w:cs="Arial"/>
                <w:b/>
                <w:sz w:val="22"/>
                <w:szCs w:val="22"/>
              </w:rPr>
              <w:t>Регистрационная информация</w:t>
            </w:r>
            <w:r w:rsidRPr="00AD67C2">
              <w:rPr>
                <w:rFonts w:ascii="Garamond" w:eastAsia="Times New Roman" w:hAnsi="Garamond" w:cs="Arial"/>
                <w:sz w:val="22"/>
                <w:szCs w:val="22"/>
              </w:rPr>
              <w:t xml:space="preserve"> – совокупность сведений о </w:t>
            </w:r>
            <w:r w:rsidRPr="00AD67C2">
              <w:rPr>
                <w:rFonts w:ascii="Garamond" w:eastAsia="Times New Roman" w:hAnsi="Garamond"/>
                <w:sz w:val="22"/>
                <w:szCs w:val="22"/>
              </w:rPr>
              <w:t>субъекте оптового рынка и информации по ГТП (сечения</w:t>
            </w:r>
            <w:r w:rsidRPr="00AD67C2">
              <w:rPr>
                <w:rFonts w:ascii="Garamond" w:eastAsia="Times New Roman" w:hAnsi="Garamond"/>
                <w:sz w:val="22"/>
                <w:szCs w:val="22"/>
                <w:highlight w:val="yellow"/>
              </w:rPr>
              <w:t>м</w:t>
            </w:r>
            <w:r w:rsidRPr="00AD67C2">
              <w:rPr>
                <w:rFonts w:ascii="Garamond" w:eastAsia="Times New Roman" w:hAnsi="Garamond"/>
                <w:sz w:val="22"/>
                <w:szCs w:val="22"/>
              </w:rPr>
              <w:t xml:space="preserve"> ФСК), </w:t>
            </w:r>
            <w:r w:rsidRPr="00AD67C2">
              <w:rPr>
                <w:rFonts w:ascii="Garamond" w:eastAsia="Times New Roman" w:hAnsi="Garamond"/>
                <w:sz w:val="22"/>
                <w:szCs w:val="22"/>
                <w:highlight w:val="yellow"/>
              </w:rPr>
              <w:t>объектам регулирования</w:t>
            </w:r>
            <w:r w:rsidRPr="00AD67C2">
              <w:rPr>
                <w:rFonts w:ascii="Garamond" w:eastAsia="Times New Roman" w:hAnsi="Garamond"/>
                <w:sz w:val="22"/>
                <w:szCs w:val="22"/>
              </w:rPr>
              <w:t xml:space="preserve">, представленных Совету рынка и (или) </w:t>
            </w:r>
            <w:r w:rsidRPr="00AD67C2">
              <w:rPr>
                <w:rFonts w:ascii="Garamond" w:eastAsia="Times New Roman" w:hAnsi="Garamond" w:cs="Arial"/>
                <w:sz w:val="22"/>
                <w:szCs w:val="22"/>
              </w:rPr>
              <w:t xml:space="preserve">Коммерческому оператору в соответствии с настоящим Положением и </w:t>
            </w:r>
            <w:r w:rsidRPr="00AD67C2">
              <w:rPr>
                <w:rFonts w:ascii="Garamond" w:eastAsia="Times New Roman" w:hAnsi="Garamond" w:cs="Arial"/>
                <w:i/>
                <w:sz w:val="22"/>
                <w:szCs w:val="22"/>
              </w:rPr>
              <w:t>Регламентом допуска к торговой системе оптового рынка</w:t>
            </w:r>
            <w:r w:rsidRPr="00AD67C2">
              <w:rPr>
                <w:rFonts w:ascii="Garamond" w:eastAsia="Times New Roman" w:hAnsi="Garamond" w:cs="Arial"/>
                <w:sz w:val="22"/>
                <w:szCs w:val="22"/>
              </w:rPr>
              <w:t xml:space="preserve"> (Приложение № 1 к </w:t>
            </w:r>
            <w:r w:rsidRPr="00AD67C2">
              <w:rPr>
                <w:rFonts w:ascii="Garamond" w:eastAsia="Times New Roman" w:hAnsi="Garamond" w:cs="Arial"/>
                <w:i/>
                <w:sz w:val="22"/>
                <w:szCs w:val="22"/>
              </w:rPr>
              <w:t xml:space="preserve">Договору о присоединении </w:t>
            </w:r>
            <w:r w:rsidRPr="00AD67C2">
              <w:rPr>
                <w:rFonts w:ascii="Garamond" w:eastAsia="Times New Roman" w:hAnsi="Garamond" w:cs="Arial"/>
                <w:i/>
                <w:sz w:val="22"/>
                <w:szCs w:val="22"/>
              </w:rPr>
              <w:lastRenderedPageBreak/>
              <w:t>к торговой системе оптового рынка</w:t>
            </w:r>
            <w:r w:rsidRPr="00AD67C2">
              <w:rPr>
                <w:rFonts w:ascii="Garamond" w:eastAsia="Times New Roman" w:hAnsi="Garamond" w:cs="Arial"/>
                <w:sz w:val="22"/>
                <w:szCs w:val="22"/>
              </w:rPr>
              <w:t>).</w:t>
            </w:r>
          </w:p>
          <w:p w14:paraId="48F177EC" w14:textId="77777777" w:rsidR="00D64294" w:rsidRPr="00AD67C2" w:rsidRDefault="00D64294" w:rsidP="00A43635">
            <w:pPr>
              <w:widowControl w:val="0"/>
              <w:ind w:left="177" w:firstLine="36"/>
              <w:jc w:val="both"/>
              <w:rPr>
                <w:rFonts w:ascii="Garamond" w:hAnsi="Garamond"/>
                <w:b/>
                <w:sz w:val="22"/>
                <w:szCs w:val="22"/>
                <w:lang w:eastAsia="en-US"/>
              </w:rPr>
            </w:pPr>
            <w:r w:rsidRPr="00AD67C2">
              <w:rPr>
                <w:rFonts w:ascii="Garamond" w:hAnsi="Garamond"/>
                <w:b/>
                <w:sz w:val="22"/>
                <w:szCs w:val="22"/>
                <w:lang w:eastAsia="en-US"/>
              </w:rPr>
              <w:t>…</w:t>
            </w:r>
          </w:p>
          <w:p w14:paraId="729272A5" w14:textId="77777777" w:rsidR="00D64294" w:rsidRPr="00AD67C2" w:rsidRDefault="00D64294" w:rsidP="00A43635">
            <w:pPr>
              <w:pStyle w:val="ConsPlusNormal"/>
              <w:widowControl/>
              <w:tabs>
                <w:tab w:val="left" w:pos="709"/>
              </w:tabs>
              <w:spacing w:before="120" w:after="120"/>
              <w:ind w:firstLine="600"/>
              <w:rPr>
                <w:rFonts w:ascii="Garamond" w:hAnsi="Garamond"/>
                <w:sz w:val="22"/>
                <w:szCs w:val="22"/>
              </w:rPr>
            </w:pPr>
            <w:r w:rsidRPr="00AD67C2">
              <w:rPr>
                <w:rFonts w:ascii="Garamond" w:hAnsi="Garamond"/>
                <w:b/>
                <w:sz w:val="22"/>
                <w:szCs w:val="22"/>
              </w:rPr>
              <w:t>Субъекты оптового рынка</w:t>
            </w:r>
            <w:r w:rsidRPr="00AD67C2">
              <w:rPr>
                <w:rFonts w:ascii="Garamond" w:hAnsi="Garamond"/>
                <w:sz w:val="22"/>
                <w:szCs w:val="22"/>
              </w:rPr>
              <w:t xml:space="preserve"> </w:t>
            </w:r>
            <w:r w:rsidRPr="00AD67C2">
              <w:rPr>
                <w:rFonts w:ascii="Garamond" w:hAnsi="Garamond" w:cs="Times New Roman"/>
                <w:sz w:val="22"/>
                <w:szCs w:val="22"/>
              </w:rPr>
              <w:t>–</w:t>
            </w:r>
            <w:r w:rsidRPr="00AD67C2">
              <w:rPr>
                <w:rFonts w:ascii="Garamond" w:hAnsi="Garamond"/>
                <w:sz w:val="22"/>
                <w:szCs w:val="22"/>
              </w:rPr>
              <w:t xml:space="preserve"> поставщики электрической энергии (генерирующие компании) и покупатели электрической энергии (энергосбытовые организации, энергоснабжающие организации, крупные потребители электрической энергии, гарантирующие поставщики, территориальные сетевые организации в целях осуществления функций гарантирующего поставщика, организации, осуществляющие экспортно-импортные операции),</w:t>
            </w:r>
            <w:r w:rsidRPr="00AD67C2">
              <w:rPr>
                <w:rFonts w:ascii="Garamond" w:hAnsi="Garamond"/>
                <w:sz w:val="22"/>
                <w:szCs w:val="22"/>
                <w:highlight w:val="yellow"/>
              </w:rPr>
              <w:t xml:space="preserve"> агрегаторы управления изменением режима потребления</w:t>
            </w:r>
            <w:r w:rsidRPr="00AD67C2">
              <w:rPr>
                <w:rFonts w:ascii="Garamond" w:hAnsi="Garamond"/>
                <w:sz w:val="22"/>
                <w:szCs w:val="22"/>
              </w:rPr>
              <w:t>, получившие в установленном порядке статус субъекта оптового рынка, а также инфраструктурные организации.</w:t>
            </w:r>
          </w:p>
          <w:p w14:paraId="774522F1" w14:textId="77777777" w:rsidR="00D64294" w:rsidRPr="00AD67C2" w:rsidRDefault="00D64294" w:rsidP="00A43635">
            <w:pPr>
              <w:widowControl w:val="0"/>
              <w:ind w:left="177" w:firstLine="36"/>
              <w:jc w:val="both"/>
              <w:rPr>
                <w:rFonts w:ascii="Garamond" w:hAnsi="Garamond"/>
                <w:b/>
                <w:sz w:val="22"/>
                <w:szCs w:val="22"/>
                <w:lang w:eastAsia="en-US"/>
              </w:rPr>
            </w:pPr>
          </w:p>
        </w:tc>
      </w:tr>
      <w:tr w:rsidR="00D64294" w:rsidRPr="00AD67C2" w14:paraId="4C53B956" w14:textId="77777777" w:rsidTr="00AD67C2">
        <w:trPr>
          <w:trHeight w:val="557"/>
        </w:trPr>
        <w:tc>
          <w:tcPr>
            <w:tcW w:w="1022" w:type="dxa"/>
            <w:vAlign w:val="center"/>
          </w:tcPr>
          <w:p w14:paraId="5304809E" w14:textId="77777777" w:rsidR="00D64294" w:rsidRPr="00AD67C2" w:rsidRDefault="00D64294" w:rsidP="00A43635">
            <w:pPr>
              <w:widowControl w:val="0"/>
              <w:jc w:val="center"/>
              <w:rPr>
                <w:rFonts w:ascii="Garamond" w:hAnsi="Garamond"/>
                <w:b/>
                <w:sz w:val="22"/>
                <w:szCs w:val="22"/>
                <w:lang w:eastAsia="en-US"/>
              </w:rPr>
            </w:pPr>
            <w:r w:rsidRPr="00AD67C2">
              <w:rPr>
                <w:rFonts w:ascii="Garamond" w:hAnsi="Garamond"/>
                <w:b/>
                <w:sz w:val="22"/>
                <w:szCs w:val="22"/>
                <w:lang w:eastAsia="en-US"/>
              </w:rPr>
              <w:lastRenderedPageBreak/>
              <w:t>1.1.5</w:t>
            </w:r>
          </w:p>
          <w:p w14:paraId="6EC71ED6" w14:textId="77777777" w:rsidR="00D64294" w:rsidRPr="00AD67C2" w:rsidRDefault="00D64294" w:rsidP="00A43635">
            <w:pPr>
              <w:widowControl w:val="0"/>
              <w:jc w:val="center"/>
              <w:rPr>
                <w:rFonts w:ascii="Garamond" w:hAnsi="Garamond"/>
                <w:b/>
                <w:sz w:val="22"/>
                <w:szCs w:val="22"/>
                <w:lang w:eastAsia="en-US"/>
              </w:rPr>
            </w:pPr>
            <w:r w:rsidRPr="00AD67C2">
              <w:rPr>
                <w:rFonts w:ascii="Garamond" w:hAnsi="Garamond"/>
                <w:b/>
                <w:sz w:val="22"/>
                <w:szCs w:val="22"/>
                <w:lang w:eastAsia="en-US"/>
              </w:rPr>
              <w:t>(добавить абзацы)</w:t>
            </w:r>
          </w:p>
        </w:tc>
        <w:tc>
          <w:tcPr>
            <w:tcW w:w="6662" w:type="dxa"/>
          </w:tcPr>
          <w:p w14:paraId="67F6F818" w14:textId="77777777" w:rsidR="00D64294" w:rsidRPr="00AD67C2" w:rsidRDefault="00D64294" w:rsidP="00A43635">
            <w:pPr>
              <w:tabs>
                <w:tab w:val="left" w:pos="1134"/>
              </w:tabs>
              <w:autoSpaceDE w:val="0"/>
              <w:autoSpaceDN w:val="0"/>
              <w:adjustRightInd w:val="0"/>
              <w:spacing w:before="120" w:after="120"/>
              <w:ind w:firstLine="600"/>
              <w:jc w:val="both"/>
              <w:rPr>
                <w:rFonts w:ascii="Garamond" w:eastAsia="Times New Roman" w:hAnsi="Garamond" w:cs="Arial"/>
                <w:sz w:val="22"/>
                <w:szCs w:val="22"/>
              </w:rPr>
            </w:pPr>
          </w:p>
        </w:tc>
        <w:tc>
          <w:tcPr>
            <w:tcW w:w="7087" w:type="dxa"/>
          </w:tcPr>
          <w:p w14:paraId="08989068" w14:textId="63BD3761" w:rsidR="00D64294" w:rsidRPr="00AD67C2" w:rsidRDefault="00D64294" w:rsidP="00A43635">
            <w:pPr>
              <w:tabs>
                <w:tab w:val="left" w:pos="1134"/>
              </w:tabs>
              <w:spacing w:before="120" w:after="120"/>
              <w:ind w:firstLine="600"/>
              <w:jc w:val="both"/>
              <w:rPr>
                <w:rFonts w:ascii="Garamond" w:eastAsia="Times New Roman" w:hAnsi="Garamond"/>
                <w:sz w:val="22"/>
                <w:szCs w:val="22"/>
                <w:highlight w:val="yellow"/>
              </w:rPr>
            </w:pPr>
            <w:r w:rsidRPr="00AD67C2">
              <w:rPr>
                <w:rFonts w:ascii="Garamond" w:eastAsia="Times New Roman" w:hAnsi="Garamond"/>
                <w:b/>
                <w:sz w:val="22"/>
                <w:szCs w:val="22"/>
                <w:highlight w:val="yellow"/>
              </w:rPr>
              <w:t>Агрегированный объект управления (АОУ)</w:t>
            </w:r>
            <w:r w:rsidRPr="00AD67C2">
              <w:rPr>
                <w:rFonts w:ascii="Garamond" w:eastAsia="Times New Roman" w:hAnsi="Garamond"/>
                <w:sz w:val="22"/>
                <w:szCs w:val="22"/>
                <w:highlight w:val="yellow"/>
              </w:rPr>
              <w:t xml:space="preserve"> – объект регулирования или совокупность данных объектов, сформированные агрегатором управления изменением режима потребления, или объекты регулирования потребителя электрической энергии </w:t>
            </w:r>
            <w:r w:rsidR="00AD67C2">
              <w:rPr>
                <w:rFonts w:ascii="Garamond" w:eastAsia="Times New Roman" w:hAnsi="Garamond"/>
                <w:sz w:val="22"/>
                <w:szCs w:val="22"/>
                <w:highlight w:val="yellow"/>
              </w:rPr>
              <w:t>–</w:t>
            </w:r>
            <w:r w:rsidRPr="00AD67C2">
              <w:rPr>
                <w:rFonts w:ascii="Garamond" w:eastAsia="Times New Roman" w:hAnsi="Garamond"/>
                <w:sz w:val="22"/>
                <w:szCs w:val="22"/>
                <w:highlight w:val="yellow"/>
              </w:rPr>
              <w:t xml:space="preserve"> субъекта оптового рынка, сформированные у</w:t>
            </w:r>
            <w:r w:rsidR="00F83D65">
              <w:rPr>
                <w:rFonts w:ascii="Garamond" w:eastAsia="Times New Roman" w:hAnsi="Garamond"/>
                <w:sz w:val="22"/>
                <w:szCs w:val="22"/>
                <w:highlight w:val="yellow"/>
              </w:rPr>
              <w:t>казанным потребителем</w:t>
            </w:r>
            <w:r w:rsidRPr="00AD67C2">
              <w:rPr>
                <w:rFonts w:ascii="Garamond" w:eastAsia="Times New Roman" w:hAnsi="Garamond"/>
                <w:sz w:val="22"/>
                <w:szCs w:val="22"/>
                <w:highlight w:val="yellow"/>
              </w:rPr>
              <w:t xml:space="preserve"> для целей использования при оказании услуг по управлению изменением режима потребления электрической энергии.</w:t>
            </w:r>
          </w:p>
          <w:p w14:paraId="5FE89788" w14:textId="3D145954" w:rsidR="00D64294" w:rsidRPr="00AD67C2" w:rsidRDefault="00D64294" w:rsidP="00A43635">
            <w:pPr>
              <w:tabs>
                <w:tab w:val="left" w:pos="1134"/>
              </w:tabs>
              <w:spacing w:before="120" w:after="120"/>
              <w:ind w:firstLine="600"/>
              <w:jc w:val="both"/>
              <w:rPr>
                <w:rFonts w:ascii="Garamond" w:eastAsia="Times New Roman" w:hAnsi="Garamond"/>
                <w:sz w:val="22"/>
                <w:szCs w:val="22"/>
              </w:rPr>
            </w:pPr>
            <w:r w:rsidRPr="00AD67C2">
              <w:rPr>
                <w:rFonts w:ascii="Garamond" w:eastAsia="Times New Roman" w:hAnsi="Garamond"/>
                <w:b/>
                <w:sz w:val="22"/>
                <w:szCs w:val="22"/>
                <w:highlight w:val="yellow"/>
              </w:rPr>
              <w:t>Агрегатор управления изменением режима потребления (агрегатор)</w:t>
            </w:r>
            <w:r w:rsidRPr="00AD67C2">
              <w:rPr>
                <w:rFonts w:ascii="Garamond" w:eastAsia="Times New Roman" w:hAnsi="Garamond"/>
                <w:sz w:val="22"/>
                <w:szCs w:val="22"/>
                <w:highlight w:val="yellow"/>
              </w:rPr>
              <w:t xml:space="preserve"> – коммерческая организация, осуществляющая деятельность по формированию агрегированных объектов управления из объектов регулирования потребления электрической энергии потребителей розничных рынков и (или) оптового рынка с целью оказания услуги по управлению изменением режима потребления электрической энергии при условии получения статуса субъекта оптового рынка и отбора данной организации в качестве исполнителя услуг по управлению изменением режима потребления электрической энергии.</w:t>
            </w:r>
          </w:p>
          <w:p w14:paraId="790A2D9F" w14:textId="77777777" w:rsidR="00D64294" w:rsidRPr="00AD67C2" w:rsidRDefault="00D64294" w:rsidP="00A43635">
            <w:pPr>
              <w:tabs>
                <w:tab w:val="left" w:pos="1134"/>
              </w:tabs>
              <w:spacing w:before="120" w:after="120"/>
              <w:ind w:firstLine="600"/>
              <w:jc w:val="both"/>
              <w:rPr>
                <w:rFonts w:ascii="Garamond" w:eastAsia="Times New Roman" w:hAnsi="Garamond"/>
                <w:sz w:val="22"/>
                <w:szCs w:val="22"/>
              </w:rPr>
            </w:pPr>
            <w:r w:rsidRPr="00AD67C2">
              <w:rPr>
                <w:rFonts w:ascii="Garamond" w:eastAsia="Times New Roman" w:hAnsi="Garamond"/>
                <w:sz w:val="22"/>
                <w:szCs w:val="22"/>
              </w:rPr>
              <w:t>…</w:t>
            </w:r>
          </w:p>
          <w:p w14:paraId="16851836" w14:textId="001AF03C" w:rsidR="00D64294" w:rsidRPr="00AD67C2" w:rsidRDefault="00D64294" w:rsidP="00A43635">
            <w:pPr>
              <w:tabs>
                <w:tab w:val="left" w:pos="1134"/>
              </w:tabs>
              <w:autoSpaceDE w:val="0"/>
              <w:autoSpaceDN w:val="0"/>
              <w:adjustRightInd w:val="0"/>
              <w:spacing w:before="120" w:after="120"/>
              <w:ind w:firstLine="600"/>
              <w:jc w:val="both"/>
              <w:rPr>
                <w:rFonts w:ascii="Garamond" w:eastAsia="Times New Roman" w:hAnsi="Garamond" w:cs="Arial"/>
                <w:sz w:val="22"/>
                <w:szCs w:val="22"/>
              </w:rPr>
            </w:pPr>
            <w:r w:rsidRPr="00AD67C2">
              <w:rPr>
                <w:rFonts w:ascii="Garamond" w:eastAsia="Times New Roman" w:hAnsi="Garamond" w:cs="Arial"/>
                <w:b/>
                <w:sz w:val="22"/>
                <w:szCs w:val="22"/>
                <w:highlight w:val="yellow"/>
              </w:rPr>
              <w:t>Объект регулирования (ОР)</w:t>
            </w:r>
            <w:r w:rsidRPr="00AD67C2">
              <w:rPr>
                <w:rFonts w:ascii="Garamond" w:eastAsia="Times New Roman" w:hAnsi="Garamond" w:cs="Arial"/>
                <w:sz w:val="22"/>
                <w:szCs w:val="22"/>
                <w:highlight w:val="yellow"/>
              </w:rPr>
              <w:t xml:space="preserve"> – совокупность принадлежащих одному потребителю энергоп</w:t>
            </w:r>
            <w:r w:rsidR="00F83D65">
              <w:rPr>
                <w:rFonts w:ascii="Garamond" w:eastAsia="Times New Roman" w:hAnsi="Garamond" w:cs="Arial"/>
                <w:sz w:val="22"/>
                <w:szCs w:val="22"/>
                <w:highlight w:val="yellow"/>
              </w:rPr>
              <w:t>ринимающих устройств (и</w:t>
            </w:r>
            <w:r w:rsidRPr="00AD67C2">
              <w:rPr>
                <w:rFonts w:ascii="Garamond" w:eastAsia="Times New Roman" w:hAnsi="Garamond" w:cs="Arial"/>
                <w:sz w:val="22"/>
                <w:szCs w:val="22"/>
                <w:highlight w:val="yellow"/>
              </w:rPr>
              <w:t xml:space="preserve"> при наличии и соблюдении требований объектов генерации и (или) систем накопления), используемых для управления изменением режима потребления (для объекта регулирования, принадлежащего субъекту оптового рынка) или оказания услуг по изменению режима потребления (для объекта </w:t>
            </w:r>
            <w:r w:rsidRPr="00AD67C2">
              <w:rPr>
                <w:rFonts w:ascii="Garamond" w:eastAsia="Times New Roman" w:hAnsi="Garamond" w:cs="Arial"/>
                <w:sz w:val="22"/>
                <w:szCs w:val="22"/>
                <w:highlight w:val="yellow"/>
              </w:rPr>
              <w:lastRenderedPageBreak/>
              <w:t>регулирования, принадлежащего заключившему договор на оказание таких услуг с агрегатором потребителю оптового или розничного рынков).</w:t>
            </w:r>
          </w:p>
          <w:p w14:paraId="0AFE9561" w14:textId="77777777" w:rsidR="00D64294" w:rsidRPr="00AD67C2" w:rsidRDefault="00D64294" w:rsidP="00A43635">
            <w:pPr>
              <w:tabs>
                <w:tab w:val="left" w:pos="1134"/>
              </w:tabs>
              <w:spacing w:before="120" w:after="120"/>
              <w:ind w:firstLine="600"/>
              <w:jc w:val="both"/>
              <w:rPr>
                <w:rFonts w:ascii="Garamond" w:eastAsia="Times New Roman" w:hAnsi="Garamond"/>
                <w:sz w:val="22"/>
                <w:szCs w:val="22"/>
              </w:rPr>
            </w:pPr>
            <w:r w:rsidRPr="00AD67C2">
              <w:rPr>
                <w:rFonts w:ascii="Garamond" w:eastAsia="Times New Roman" w:hAnsi="Garamond"/>
                <w:sz w:val="22"/>
                <w:szCs w:val="22"/>
              </w:rPr>
              <w:t>…</w:t>
            </w:r>
          </w:p>
          <w:p w14:paraId="63B561D5" w14:textId="3A759D2B" w:rsidR="003938D9" w:rsidRPr="00AD67C2" w:rsidRDefault="003938D9" w:rsidP="003938D9">
            <w:pPr>
              <w:tabs>
                <w:tab w:val="left" w:pos="1134"/>
              </w:tabs>
              <w:autoSpaceDE w:val="0"/>
              <w:autoSpaceDN w:val="0"/>
              <w:adjustRightInd w:val="0"/>
              <w:spacing w:before="120" w:after="120"/>
              <w:ind w:firstLine="600"/>
              <w:jc w:val="both"/>
              <w:rPr>
                <w:rFonts w:ascii="Garamond" w:eastAsia="Times New Roman" w:hAnsi="Garamond" w:cs="Arial"/>
                <w:sz w:val="22"/>
                <w:szCs w:val="22"/>
              </w:rPr>
            </w:pPr>
            <w:r w:rsidRPr="00AD67C2">
              <w:rPr>
                <w:rFonts w:ascii="Garamond" w:eastAsia="Times New Roman" w:hAnsi="Garamond" w:cs="Arial"/>
                <w:b/>
                <w:sz w:val="22"/>
                <w:szCs w:val="22"/>
                <w:highlight w:val="yellow"/>
              </w:rPr>
              <w:t>Право на оказание услуг по управлению изменением режима потребления электрической энергии с использованием агрегированного объекта управления</w:t>
            </w:r>
            <w:r w:rsidRPr="00AD67C2">
              <w:rPr>
                <w:rFonts w:ascii="Garamond" w:eastAsia="Times New Roman" w:hAnsi="Garamond" w:cs="Arial"/>
                <w:sz w:val="22"/>
                <w:szCs w:val="22"/>
                <w:highlight w:val="yellow"/>
              </w:rPr>
              <w:t xml:space="preserve"> – право субъекта оптового рынка оказывать услуги по </w:t>
            </w:r>
            <w:r w:rsidR="004D6F0E" w:rsidRPr="00AD67C2">
              <w:rPr>
                <w:rFonts w:ascii="Garamond" w:eastAsia="Times New Roman" w:hAnsi="Garamond" w:cs="Arial"/>
                <w:sz w:val="22"/>
                <w:szCs w:val="22"/>
                <w:highlight w:val="yellow"/>
              </w:rPr>
              <w:t xml:space="preserve">управлению </w:t>
            </w:r>
            <w:r w:rsidRPr="00AD67C2">
              <w:rPr>
                <w:rFonts w:ascii="Garamond" w:eastAsia="Times New Roman" w:hAnsi="Garamond" w:cs="Arial"/>
                <w:sz w:val="22"/>
                <w:szCs w:val="22"/>
                <w:highlight w:val="yellow"/>
              </w:rPr>
              <w:t>изменени</w:t>
            </w:r>
            <w:r w:rsidR="004D6F0E" w:rsidRPr="00AD67C2">
              <w:rPr>
                <w:rFonts w:ascii="Garamond" w:eastAsia="Times New Roman" w:hAnsi="Garamond" w:cs="Arial"/>
                <w:sz w:val="22"/>
                <w:szCs w:val="22"/>
                <w:highlight w:val="yellow"/>
              </w:rPr>
              <w:t>ем</w:t>
            </w:r>
            <w:r w:rsidRPr="00AD67C2">
              <w:rPr>
                <w:rFonts w:ascii="Garamond" w:eastAsia="Times New Roman" w:hAnsi="Garamond" w:cs="Arial"/>
                <w:sz w:val="22"/>
                <w:szCs w:val="22"/>
                <w:highlight w:val="yellow"/>
              </w:rPr>
              <w:t xml:space="preserve"> режима потребления электрической энергии с использованием агрегированного объекта управления, </w:t>
            </w:r>
            <w:r w:rsidRPr="00AD67C2">
              <w:rPr>
                <w:rFonts w:ascii="Garamond" w:eastAsia="Times New Roman" w:hAnsi="Garamond"/>
                <w:color w:val="000000"/>
                <w:sz w:val="22"/>
                <w:szCs w:val="22"/>
                <w:highlight w:val="yellow"/>
              </w:rPr>
              <w:t>отобранного по результатам конкурентного отбора исполнителей услуг по управлению изменением режима потребления электрической энергии</w:t>
            </w:r>
            <w:r w:rsidRPr="00AD67C2">
              <w:rPr>
                <w:rFonts w:ascii="Garamond" w:eastAsia="Times New Roman" w:hAnsi="Garamond" w:cs="Arial"/>
                <w:sz w:val="22"/>
                <w:szCs w:val="22"/>
              </w:rPr>
              <w:t xml:space="preserve">. </w:t>
            </w:r>
          </w:p>
          <w:p w14:paraId="3A36331D" w14:textId="6E3594EF" w:rsidR="00D64294" w:rsidRPr="00AD67C2" w:rsidRDefault="00D64294" w:rsidP="00AD67C2">
            <w:pPr>
              <w:tabs>
                <w:tab w:val="left" w:pos="1134"/>
              </w:tabs>
              <w:autoSpaceDE w:val="0"/>
              <w:autoSpaceDN w:val="0"/>
              <w:adjustRightInd w:val="0"/>
              <w:spacing w:before="120" w:after="120"/>
              <w:ind w:firstLine="600"/>
              <w:jc w:val="both"/>
              <w:rPr>
                <w:rFonts w:ascii="Garamond" w:eastAsia="Times New Roman" w:hAnsi="Garamond" w:cs="Arial"/>
                <w:sz w:val="22"/>
                <w:szCs w:val="22"/>
              </w:rPr>
            </w:pPr>
            <w:r w:rsidRPr="00AD67C2">
              <w:rPr>
                <w:rFonts w:ascii="Garamond" w:eastAsia="Times New Roman" w:hAnsi="Garamond" w:cs="Arial"/>
                <w:sz w:val="22"/>
                <w:szCs w:val="22"/>
              </w:rPr>
              <w:t>…</w:t>
            </w:r>
          </w:p>
        </w:tc>
      </w:tr>
      <w:tr w:rsidR="00D64294" w:rsidRPr="00AD67C2" w14:paraId="72381ED1" w14:textId="77777777" w:rsidTr="00AD67C2">
        <w:trPr>
          <w:trHeight w:val="557"/>
        </w:trPr>
        <w:tc>
          <w:tcPr>
            <w:tcW w:w="1022" w:type="dxa"/>
            <w:tcBorders>
              <w:top w:val="single" w:sz="4" w:space="0" w:color="auto"/>
              <w:left w:val="single" w:sz="4" w:space="0" w:color="auto"/>
              <w:bottom w:val="single" w:sz="4" w:space="0" w:color="auto"/>
              <w:right w:val="single" w:sz="4" w:space="0" w:color="auto"/>
            </w:tcBorders>
            <w:vAlign w:val="center"/>
          </w:tcPr>
          <w:p w14:paraId="42F9F9A6" w14:textId="77777777" w:rsidR="00D64294" w:rsidRPr="00AD67C2" w:rsidRDefault="00D64294" w:rsidP="00A43635">
            <w:pPr>
              <w:widowControl w:val="0"/>
              <w:jc w:val="center"/>
              <w:rPr>
                <w:rFonts w:ascii="Garamond" w:hAnsi="Garamond"/>
                <w:b/>
                <w:sz w:val="22"/>
                <w:szCs w:val="22"/>
                <w:lang w:eastAsia="en-US"/>
              </w:rPr>
            </w:pPr>
            <w:r w:rsidRPr="00AD67C2">
              <w:rPr>
                <w:rFonts w:ascii="Garamond" w:hAnsi="Garamond"/>
                <w:b/>
                <w:sz w:val="22"/>
                <w:szCs w:val="22"/>
                <w:lang w:eastAsia="en-US"/>
              </w:rPr>
              <w:lastRenderedPageBreak/>
              <w:t>1.2.1</w:t>
            </w:r>
          </w:p>
        </w:tc>
        <w:tc>
          <w:tcPr>
            <w:tcW w:w="6662" w:type="dxa"/>
            <w:tcBorders>
              <w:top w:val="single" w:sz="4" w:space="0" w:color="auto"/>
              <w:left w:val="single" w:sz="4" w:space="0" w:color="auto"/>
              <w:bottom w:val="single" w:sz="4" w:space="0" w:color="auto"/>
              <w:right w:val="single" w:sz="4" w:space="0" w:color="auto"/>
            </w:tcBorders>
          </w:tcPr>
          <w:p w14:paraId="0AEB343E" w14:textId="77777777" w:rsidR="00D64294" w:rsidRPr="00AD67C2" w:rsidRDefault="00D64294" w:rsidP="00A43635">
            <w:pPr>
              <w:tabs>
                <w:tab w:val="left" w:pos="0"/>
                <w:tab w:val="left" w:pos="1134"/>
              </w:tabs>
              <w:spacing w:before="120" w:after="120"/>
              <w:jc w:val="both"/>
              <w:rPr>
                <w:rFonts w:ascii="Garamond" w:eastAsia="Times New Roman" w:hAnsi="Garamond"/>
                <w:sz w:val="22"/>
                <w:szCs w:val="22"/>
              </w:rPr>
            </w:pPr>
            <w:r w:rsidRPr="00AD67C2">
              <w:rPr>
                <w:rFonts w:ascii="Garamond" w:eastAsia="Times New Roman" w:hAnsi="Garamond"/>
                <w:sz w:val="22"/>
                <w:szCs w:val="22"/>
              </w:rPr>
              <w:t xml:space="preserve">Каждый субъект оптового рынка </w:t>
            </w:r>
            <w:r w:rsidRPr="00AD67C2">
              <w:rPr>
                <w:rFonts w:ascii="Garamond" w:eastAsia="Times New Roman" w:hAnsi="Garamond"/>
                <w:sz w:val="22"/>
                <w:szCs w:val="22"/>
                <w:highlight w:val="yellow"/>
              </w:rPr>
              <w:t>при работе на оптовом рынке</w:t>
            </w:r>
            <w:r w:rsidRPr="00AD67C2">
              <w:rPr>
                <w:rFonts w:ascii="Garamond" w:eastAsia="Times New Roman" w:hAnsi="Garamond"/>
                <w:sz w:val="22"/>
                <w:szCs w:val="22"/>
              </w:rPr>
              <w:t xml:space="preserve"> относится к определенному типу, а именно:</w:t>
            </w:r>
          </w:p>
          <w:p w14:paraId="7C3FE751" w14:textId="77777777" w:rsidR="00D64294" w:rsidRPr="00AD67C2" w:rsidRDefault="00D64294" w:rsidP="001A09D5">
            <w:pPr>
              <w:numPr>
                <w:ilvl w:val="0"/>
                <w:numId w:val="294"/>
              </w:numPr>
              <w:tabs>
                <w:tab w:val="left" w:pos="0"/>
                <w:tab w:val="left" w:pos="1353"/>
              </w:tabs>
              <w:suppressAutoHyphens w:val="0"/>
              <w:spacing w:before="120" w:after="120"/>
              <w:jc w:val="both"/>
              <w:rPr>
                <w:rFonts w:ascii="Garamond" w:eastAsia="Times New Roman" w:hAnsi="Garamond"/>
                <w:sz w:val="22"/>
                <w:szCs w:val="22"/>
              </w:rPr>
            </w:pPr>
            <w:r w:rsidRPr="00AD67C2">
              <w:rPr>
                <w:rFonts w:ascii="Garamond" w:eastAsia="Times New Roman" w:hAnsi="Garamond"/>
                <w:sz w:val="22"/>
                <w:szCs w:val="22"/>
              </w:rPr>
              <w:t>поставщик электрической энергии (мощности);</w:t>
            </w:r>
          </w:p>
          <w:p w14:paraId="3A9A027E" w14:textId="77777777" w:rsidR="00D64294" w:rsidRPr="00AD67C2" w:rsidRDefault="00D64294" w:rsidP="001A09D5">
            <w:pPr>
              <w:numPr>
                <w:ilvl w:val="0"/>
                <w:numId w:val="294"/>
              </w:numPr>
              <w:tabs>
                <w:tab w:val="left" w:pos="0"/>
                <w:tab w:val="left" w:pos="1134"/>
              </w:tabs>
              <w:suppressAutoHyphens w:val="0"/>
              <w:spacing w:before="120" w:after="120"/>
              <w:jc w:val="both"/>
              <w:rPr>
                <w:rFonts w:ascii="Garamond" w:eastAsia="Times New Roman" w:hAnsi="Garamond"/>
                <w:sz w:val="22"/>
                <w:szCs w:val="22"/>
              </w:rPr>
            </w:pPr>
            <w:r w:rsidRPr="00AD67C2">
              <w:rPr>
                <w:rFonts w:ascii="Garamond" w:eastAsia="Times New Roman" w:hAnsi="Garamond"/>
                <w:sz w:val="22"/>
                <w:szCs w:val="22"/>
              </w:rPr>
              <w:t>покупатель электрической энергии (мощности) – энергосбытовая организация (энергоснабжающая организация);</w:t>
            </w:r>
          </w:p>
          <w:p w14:paraId="415E5D30" w14:textId="77777777" w:rsidR="00D64294" w:rsidRPr="00AD67C2" w:rsidRDefault="00D64294" w:rsidP="001A09D5">
            <w:pPr>
              <w:numPr>
                <w:ilvl w:val="0"/>
                <w:numId w:val="294"/>
              </w:numPr>
              <w:tabs>
                <w:tab w:val="left" w:pos="0"/>
                <w:tab w:val="left" w:pos="1134"/>
              </w:tabs>
              <w:suppressAutoHyphens w:val="0"/>
              <w:spacing w:before="120" w:after="120"/>
              <w:jc w:val="both"/>
              <w:rPr>
                <w:rFonts w:ascii="Garamond" w:eastAsia="Times New Roman" w:hAnsi="Garamond"/>
                <w:sz w:val="22"/>
                <w:szCs w:val="22"/>
              </w:rPr>
            </w:pPr>
            <w:r w:rsidRPr="00AD67C2">
              <w:rPr>
                <w:rFonts w:ascii="Garamond" w:eastAsia="Times New Roman" w:hAnsi="Garamond"/>
                <w:sz w:val="22"/>
                <w:szCs w:val="22"/>
              </w:rPr>
              <w:t>покупатель электрической энергии (мощности) – территориальные сетевые организации в целях осуществления функций гарантирующего поставщика;</w:t>
            </w:r>
          </w:p>
          <w:p w14:paraId="5C29C3DE" w14:textId="77777777" w:rsidR="00D64294" w:rsidRPr="00AD67C2" w:rsidRDefault="00D64294" w:rsidP="001A09D5">
            <w:pPr>
              <w:numPr>
                <w:ilvl w:val="0"/>
                <w:numId w:val="294"/>
              </w:numPr>
              <w:tabs>
                <w:tab w:val="left" w:pos="0"/>
                <w:tab w:val="left" w:pos="1134"/>
              </w:tabs>
              <w:suppressAutoHyphens w:val="0"/>
              <w:spacing w:before="120" w:after="120"/>
              <w:jc w:val="both"/>
              <w:rPr>
                <w:rFonts w:ascii="Garamond" w:eastAsia="Times New Roman" w:hAnsi="Garamond"/>
                <w:sz w:val="22"/>
                <w:szCs w:val="22"/>
              </w:rPr>
            </w:pPr>
            <w:r w:rsidRPr="00AD67C2">
              <w:rPr>
                <w:rFonts w:ascii="Garamond" w:eastAsia="Times New Roman" w:hAnsi="Garamond"/>
                <w:sz w:val="22"/>
                <w:szCs w:val="22"/>
              </w:rPr>
              <w:t>покупатель электрической энергии (мощности) – крупный потребитель;</w:t>
            </w:r>
          </w:p>
          <w:p w14:paraId="494BF5C9" w14:textId="77777777" w:rsidR="00D64294" w:rsidRPr="00AD67C2" w:rsidRDefault="00D64294" w:rsidP="001A09D5">
            <w:pPr>
              <w:numPr>
                <w:ilvl w:val="0"/>
                <w:numId w:val="294"/>
              </w:numPr>
              <w:tabs>
                <w:tab w:val="left" w:pos="0"/>
                <w:tab w:val="left" w:pos="1134"/>
              </w:tabs>
              <w:suppressAutoHyphens w:val="0"/>
              <w:spacing w:before="120" w:after="120"/>
              <w:jc w:val="both"/>
              <w:rPr>
                <w:rFonts w:ascii="Garamond" w:eastAsia="Times New Roman" w:hAnsi="Garamond"/>
                <w:sz w:val="22"/>
                <w:szCs w:val="22"/>
              </w:rPr>
            </w:pPr>
            <w:r w:rsidRPr="00AD67C2">
              <w:rPr>
                <w:rFonts w:ascii="Garamond" w:eastAsia="Times New Roman" w:hAnsi="Garamond"/>
                <w:sz w:val="22"/>
                <w:szCs w:val="22"/>
              </w:rPr>
              <w:t>покупатель электрической энергии (мощности) – гарантирующий поставщик;</w:t>
            </w:r>
          </w:p>
          <w:p w14:paraId="02210D92" w14:textId="77777777" w:rsidR="00D64294" w:rsidRPr="00AD67C2" w:rsidRDefault="00D64294" w:rsidP="001A09D5">
            <w:pPr>
              <w:numPr>
                <w:ilvl w:val="0"/>
                <w:numId w:val="294"/>
              </w:numPr>
              <w:tabs>
                <w:tab w:val="left" w:pos="0"/>
                <w:tab w:val="left" w:pos="1134"/>
              </w:tabs>
              <w:suppressAutoHyphens w:val="0"/>
              <w:spacing w:before="120" w:after="120"/>
              <w:jc w:val="both"/>
              <w:rPr>
                <w:rFonts w:ascii="Garamond" w:eastAsia="Times New Roman" w:hAnsi="Garamond"/>
                <w:sz w:val="22"/>
                <w:szCs w:val="22"/>
              </w:rPr>
            </w:pPr>
            <w:r w:rsidRPr="00AD67C2">
              <w:rPr>
                <w:rFonts w:ascii="Garamond" w:eastAsia="Times New Roman" w:hAnsi="Garamond"/>
                <w:sz w:val="22"/>
                <w:szCs w:val="22"/>
              </w:rPr>
              <w:t>покупатель электрической энергии (мощности) – организация, осуществляющая экспортно-импортные операции;</w:t>
            </w:r>
          </w:p>
          <w:p w14:paraId="49123C95" w14:textId="77777777" w:rsidR="00D64294" w:rsidRPr="00AD67C2" w:rsidRDefault="00D64294" w:rsidP="001A09D5">
            <w:pPr>
              <w:numPr>
                <w:ilvl w:val="0"/>
                <w:numId w:val="294"/>
              </w:numPr>
              <w:tabs>
                <w:tab w:val="left" w:pos="0"/>
                <w:tab w:val="left" w:pos="1134"/>
              </w:tabs>
              <w:suppressAutoHyphens w:val="0"/>
              <w:spacing w:before="120" w:after="120"/>
              <w:jc w:val="both"/>
              <w:rPr>
                <w:rFonts w:ascii="Garamond" w:eastAsia="Times New Roman" w:hAnsi="Garamond"/>
                <w:sz w:val="22"/>
                <w:szCs w:val="22"/>
              </w:rPr>
            </w:pPr>
            <w:r w:rsidRPr="00AD67C2">
              <w:rPr>
                <w:rFonts w:ascii="Garamond" w:eastAsia="Times New Roman" w:hAnsi="Garamond"/>
                <w:sz w:val="22"/>
                <w:szCs w:val="22"/>
              </w:rPr>
              <w:t>инфраструктурная организация.</w:t>
            </w:r>
          </w:p>
          <w:p w14:paraId="5BAAEFDB" w14:textId="77777777" w:rsidR="00D64294" w:rsidRPr="00AD67C2" w:rsidRDefault="00D64294" w:rsidP="00A43635">
            <w:pPr>
              <w:tabs>
                <w:tab w:val="left" w:pos="0"/>
                <w:tab w:val="left" w:pos="1134"/>
              </w:tabs>
              <w:spacing w:before="120" w:after="120"/>
              <w:ind w:firstLine="600"/>
              <w:jc w:val="both"/>
              <w:rPr>
                <w:rFonts w:ascii="Garamond" w:eastAsia="Times New Roman" w:hAnsi="Garamond"/>
                <w:sz w:val="22"/>
                <w:szCs w:val="22"/>
              </w:rPr>
            </w:pPr>
            <w:r w:rsidRPr="00AD67C2">
              <w:rPr>
                <w:rFonts w:ascii="Garamond" w:eastAsia="Times New Roman" w:hAnsi="Garamond"/>
                <w:sz w:val="22"/>
                <w:szCs w:val="22"/>
              </w:rPr>
              <w:t xml:space="preserve">Субъект оптового рынка относится Коммерческим оператором к определенному типу на основании предоставленных им документов, </w:t>
            </w:r>
            <w:r w:rsidRPr="00AD67C2">
              <w:rPr>
                <w:rFonts w:ascii="Garamond" w:eastAsia="Times New Roman" w:hAnsi="Garamond"/>
                <w:sz w:val="22"/>
                <w:szCs w:val="22"/>
              </w:rPr>
              <w:lastRenderedPageBreak/>
              <w:t xml:space="preserve">перечисленных в п. 2.5 настоящего Положения </w:t>
            </w:r>
            <w:r w:rsidRPr="00AD67C2">
              <w:rPr>
                <w:rFonts w:ascii="Garamond" w:eastAsia="Times New Roman" w:hAnsi="Garamond"/>
                <w:sz w:val="22"/>
                <w:szCs w:val="22"/>
                <w:highlight w:val="yellow"/>
              </w:rPr>
              <w:t>или</w:t>
            </w:r>
            <w:r w:rsidRPr="00AD67C2">
              <w:rPr>
                <w:rFonts w:ascii="Garamond" w:eastAsia="Times New Roman" w:hAnsi="Garamond"/>
                <w:sz w:val="22"/>
                <w:szCs w:val="22"/>
              </w:rPr>
              <w:t xml:space="preserve"> п. 5.3 приложения 2 к настоящему Положению.</w:t>
            </w:r>
          </w:p>
        </w:tc>
        <w:tc>
          <w:tcPr>
            <w:tcW w:w="7087" w:type="dxa"/>
            <w:tcBorders>
              <w:top w:val="single" w:sz="4" w:space="0" w:color="auto"/>
              <w:left w:val="single" w:sz="4" w:space="0" w:color="auto"/>
              <w:bottom w:val="single" w:sz="4" w:space="0" w:color="auto"/>
              <w:right w:val="single" w:sz="4" w:space="0" w:color="auto"/>
            </w:tcBorders>
          </w:tcPr>
          <w:p w14:paraId="47C0793A" w14:textId="77777777" w:rsidR="00D64294" w:rsidRPr="00AD67C2" w:rsidRDefault="00D64294" w:rsidP="00A43635">
            <w:pPr>
              <w:tabs>
                <w:tab w:val="left" w:pos="0"/>
                <w:tab w:val="left" w:pos="1134"/>
              </w:tabs>
              <w:spacing w:before="120" w:after="120"/>
              <w:jc w:val="both"/>
              <w:rPr>
                <w:rFonts w:ascii="Garamond" w:eastAsia="Times New Roman" w:hAnsi="Garamond"/>
                <w:sz w:val="22"/>
                <w:szCs w:val="22"/>
              </w:rPr>
            </w:pPr>
            <w:r w:rsidRPr="00AD67C2">
              <w:rPr>
                <w:rFonts w:ascii="Garamond" w:eastAsia="Times New Roman" w:hAnsi="Garamond"/>
                <w:sz w:val="22"/>
                <w:szCs w:val="22"/>
              </w:rPr>
              <w:lastRenderedPageBreak/>
              <w:t>Каждый субъект оптового рынка относится к определенному типу, а именно:</w:t>
            </w:r>
          </w:p>
          <w:p w14:paraId="3DF789A7" w14:textId="77777777" w:rsidR="00D64294" w:rsidRPr="00AD67C2" w:rsidRDefault="00D64294" w:rsidP="001A09D5">
            <w:pPr>
              <w:numPr>
                <w:ilvl w:val="0"/>
                <w:numId w:val="294"/>
              </w:numPr>
              <w:tabs>
                <w:tab w:val="left" w:pos="0"/>
                <w:tab w:val="left" w:pos="1353"/>
              </w:tabs>
              <w:suppressAutoHyphens w:val="0"/>
              <w:spacing w:before="120" w:after="120"/>
              <w:jc w:val="both"/>
              <w:rPr>
                <w:rFonts w:ascii="Garamond" w:eastAsia="Times New Roman" w:hAnsi="Garamond"/>
                <w:sz w:val="22"/>
                <w:szCs w:val="22"/>
              </w:rPr>
            </w:pPr>
            <w:r w:rsidRPr="00AD67C2">
              <w:rPr>
                <w:rFonts w:ascii="Garamond" w:eastAsia="Times New Roman" w:hAnsi="Garamond"/>
                <w:sz w:val="22"/>
                <w:szCs w:val="22"/>
              </w:rPr>
              <w:t>поставщик электрической энергии (мощности);</w:t>
            </w:r>
          </w:p>
          <w:p w14:paraId="5C688E81" w14:textId="77777777" w:rsidR="00D64294" w:rsidRPr="00AD67C2" w:rsidRDefault="00D64294" w:rsidP="001A09D5">
            <w:pPr>
              <w:numPr>
                <w:ilvl w:val="0"/>
                <w:numId w:val="294"/>
              </w:numPr>
              <w:tabs>
                <w:tab w:val="left" w:pos="0"/>
                <w:tab w:val="left" w:pos="1134"/>
              </w:tabs>
              <w:suppressAutoHyphens w:val="0"/>
              <w:spacing w:before="120" w:after="120"/>
              <w:jc w:val="both"/>
              <w:rPr>
                <w:rFonts w:ascii="Garamond" w:eastAsia="Times New Roman" w:hAnsi="Garamond"/>
                <w:sz w:val="22"/>
                <w:szCs w:val="22"/>
              </w:rPr>
            </w:pPr>
            <w:r w:rsidRPr="00AD67C2">
              <w:rPr>
                <w:rFonts w:ascii="Garamond" w:eastAsia="Times New Roman" w:hAnsi="Garamond"/>
                <w:sz w:val="22"/>
                <w:szCs w:val="22"/>
              </w:rPr>
              <w:t>покупатель электрической энергии (мощности) – энергосбытовая организация (энергоснабжающая организация);</w:t>
            </w:r>
          </w:p>
          <w:p w14:paraId="322FC59A" w14:textId="77777777" w:rsidR="00D64294" w:rsidRPr="00AD67C2" w:rsidRDefault="00D64294" w:rsidP="001A09D5">
            <w:pPr>
              <w:numPr>
                <w:ilvl w:val="0"/>
                <w:numId w:val="294"/>
              </w:numPr>
              <w:tabs>
                <w:tab w:val="left" w:pos="0"/>
                <w:tab w:val="left" w:pos="1134"/>
              </w:tabs>
              <w:suppressAutoHyphens w:val="0"/>
              <w:spacing w:before="120" w:after="120"/>
              <w:jc w:val="both"/>
              <w:rPr>
                <w:rFonts w:ascii="Garamond" w:eastAsia="Times New Roman" w:hAnsi="Garamond"/>
                <w:sz w:val="22"/>
                <w:szCs w:val="22"/>
              </w:rPr>
            </w:pPr>
            <w:r w:rsidRPr="00AD67C2">
              <w:rPr>
                <w:rFonts w:ascii="Garamond" w:eastAsia="Times New Roman" w:hAnsi="Garamond"/>
                <w:sz w:val="22"/>
                <w:szCs w:val="22"/>
              </w:rPr>
              <w:t>покупатель электрической энергии (мощности) – территориальные сетевые организации в целях осуществления функций гарантирующего поставщика;</w:t>
            </w:r>
          </w:p>
          <w:p w14:paraId="6DBC7D82" w14:textId="77777777" w:rsidR="00D64294" w:rsidRPr="00AD67C2" w:rsidRDefault="00D64294" w:rsidP="001A09D5">
            <w:pPr>
              <w:numPr>
                <w:ilvl w:val="0"/>
                <w:numId w:val="294"/>
              </w:numPr>
              <w:tabs>
                <w:tab w:val="left" w:pos="0"/>
                <w:tab w:val="left" w:pos="1134"/>
              </w:tabs>
              <w:suppressAutoHyphens w:val="0"/>
              <w:spacing w:before="120" w:after="120"/>
              <w:jc w:val="both"/>
              <w:rPr>
                <w:rFonts w:ascii="Garamond" w:eastAsia="Times New Roman" w:hAnsi="Garamond"/>
                <w:sz w:val="22"/>
                <w:szCs w:val="22"/>
              </w:rPr>
            </w:pPr>
            <w:r w:rsidRPr="00AD67C2">
              <w:rPr>
                <w:rFonts w:ascii="Garamond" w:eastAsia="Times New Roman" w:hAnsi="Garamond"/>
                <w:sz w:val="22"/>
                <w:szCs w:val="22"/>
              </w:rPr>
              <w:t>покупатель электрической энергии (мощности) – крупный потребитель;</w:t>
            </w:r>
          </w:p>
          <w:p w14:paraId="7327D8E3" w14:textId="77777777" w:rsidR="00D64294" w:rsidRPr="00AD67C2" w:rsidRDefault="00D64294" w:rsidP="001A09D5">
            <w:pPr>
              <w:numPr>
                <w:ilvl w:val="0"/>
                <w:numId w:val="294"/>
              </w:numPr>
              <w:tabs>
                <w:tab w:val="left" w:pos="0"/>
                <w:tab w:val="left" w:pos="1134"/>
              </w:tabs>
              <w:suppressAutoHyphens w:val="0"/>
              <w:spacing w:before="120" w:after="120"/>
              <w:jc w:val="both"/>
              <w:rPr>
                <w:rFonts w:ascii="Garamond" w:eastAsia="Times New Roman" w:hAnsi="Garamond"/>
                <w:sz w:val="22"/>
                <w:szCs w:val="22"/>
              </w:rPr>
            </w:pPr>
            <w:r w:rsidRPr="00AD67C2">
              <w:rPr>
                <w:rFonts w:ascii="Garamond" w:eastAsia="Times New Roman" w:hAnsi="Garamond"/>
                <w:sz w:val="22"/>
                <w:szCs w:val="22"/>
              </w:rPr>
              <w:t>покупатель электрической энергии (мощности) – гарантирующий поставщик;</w:t>
            </w:r>
          </w:p>
          <w:p w14:paraId="5AB8759F" w14:textId="77777777" w:rsidR="00D64294" w:rsidRPr="00AD67C2" w:rsidRDefault="00D64294" w:rsidP="001A09D5">
            <w:pPr>
              <w:numPr>
                <w:ilvl w:val="0"/>
                <w:numId w:val="294"/>
              </w:numPr>
              <w:tabs>
                <w:tab w:val="left" w:pos="0"/>
                <w:tab w:val="left" w:pos="1134"/>
              </w:tabs>
              <w:suppressAutoHyphens w:val="0"/>
              <w:spacing w:before="120" w:after="120"/>
              <w:jc w:val="both"/>
              <w:rPr>
                <w:rFonts w:ascii="Garamond" w:eastAsia="Times New Roman" w:hAnsi="Garamond"/>
                <w:sz w:val="22"/>
                <w:szCs w:val="22"/>
              </w:rPr>
            </w:pPr>
            <w:r w:rsidRPr="00AD67C2">
              <w:rPr>
                <w:rFonts w:ascii="Garamond" w:eastAsia="Times New Roman" w:hAnsi="Garamond"/>
                <w:sz w:val="22"/>
                <w:szCs w:val="22"/>
              </w:rPr>
              <w:t>покупатель электрической энергии (мощности) – организация, осуществляющая экспортно-импортные операции;</w:t>
            </w:r>
          </w:p>
          <w:p w14:paraId="71854A06" w14:textId="77777777" w:rsidR="00D64294" w:rsidRPr="00AD67C2" w:rsidRDefault="00D64294" w:rsidP="001A09D5">
            <w:pPr>
              <w:numPr>
                <w:ilvl w:val="0"/>
                <w:numId w:val="294"/>
              </w:numPr>
              <w:tabs>
                <w:tab w:val="left" w:pos="0"/>
                <w:tab w:val="left" w:pos="1134"/>
              </w:tabs>
              <w:suppressAutoHyphens w:val="0"/>
              <w:spacing w:before="120" w:after="120"/>
              <w:jc w:val="both"/>
              <w:rPr>
                <w:rFonts w:ascii="Garamond" w:eastAsia="Times New Roman" w:hAnsi="Garamond"/>
                <w:sz w:val="22"/>
                <w:szCs w:val="22"/>
              </w:rPr>
            </w:pPr>
            <w:r w:rsidRPr="00AD67C2">
              <w:rPr>
                <w:rFonts w:ascii="Garamond" w:eastAsia="Times New Roman" w:hAnsi="Garamond"/>
                <w:sz w:val="22"/>
                <w:szCs w:val="22"/>
                <w:highlight w:val="yellow"/>
              </w:rPr>
              <w:t>агрегатор управления изменением режима потребления</w:t>
            </w:r>
            <w:r w:rsidRPr="00AD67C2">
              <w:rPr>
                <w:rFonts w:ascii="Garamond" w:eastAsia="Times New Roman" w:hAnsi="Garamond"/>
                <w:sz w:val="22"/>
                <w:szCs w:val="22"/>
              </w:rPr>
              <w:t>;</w:t>
            </w:r>
          </w:p>
          <w:p w14:paraId="2175AC49" w14:textId="77777777" w:rsidR="00D64294" w:rsidRPr="00AD67C2" w:rsidRDefault="00D64294" w:rsidP="001A09D5">
            <w:pPr>
              <w:numPr>
                <w:ilvl w:val="0"/>
                <w:numId w:val="294"/>
              </w:numPr>
              <w:tabs>
                <w:tab w:val="left" w:pos="0"/>
                <w:tab w:val="left" w:pos="1134"/>
              </w:tabs>
              <w:suppressAutoHyphens w:val="0"/>
              <w:spacing w:before="120" w:after="120"/>
              <w:jc w:val="both"/>
              <w:rPr>
                <w:rFonts w:ascii="Garamond" w:eastAsia="Times New Roman" w:hAnsi="Garamond"/>
                <w:sz w:val="22"/>
                <w:szCs w:val="22"/>
              </w:rPr>
            </w:pPr>
            <w:r w:rsidRPr="00AD67C2">
              <w:rPr>
                <w:rFonts w:ascii="Garamond" w:eastAsia="Times New Roman" w:hAnsi="Garamond"/>
                <w:sz w:val="22"/>
                <w:szCs w:val="22"/>
              </w:rPr>
              <w:t>инфраструктурная организация.</w:t>
            </w:r>
          </w:p>
          <w:p w14:paraId="3A5F39C5" w14:textId="77777777" w:rsidR="00D64294" w:rsidRPr="00AD67C2" w:rsidRDefault="00D64294" w:rsidP="00A43635">
            <w:pPr>
              <w:widowControl w:val="0"/>
              <w:tabs>
                <w:tab w:val="left" w:pos="0"/>
                <w:tab w:val="left" w:pos="1260"/>
              </w:tabs>
              <w:spacing w:before="120" w:after="120"/>
              <w:ind w:firstLine="600"/>
              <w:jc w:val="both"/>
              <w:rPr>
                <w:rFonts w:ascii="Garamond" w:eastAsia="Times New Roman" w:hAnsi="Garamond"/>
                <w:sz w:val="22"/>
                <w:szCs w:val="22"/>
                <w:lang w:eastAsia="en-US"/>
              </w:rPr>
            </w:pPr>
            <w:r w:rsidRPr="00AD67C2">
              <w:rPr>
                <w:rFonts w:ascii="Garamond" w:eastAsia="Times New Roman" w:hAnsi="Garamond"/>
                <w:sz w:val="22"/>
                <w:szCs w:val="22"/>
              </w:rPr>
              <w:t xml:space="preserve">Субъект оптового рынка относится Коммерческим оператором к </w:t>
            </w:r>
            <w:r w:rsidRPr="00AD67C2">
              <w:rPr>
                <w:rFonts w:ascii="Garamond" w:eastAsia="Times New Roman" w:hAnsi="Garamond"/>
                <w:sz w:val="22"/>
                <w:szCs w:val="22"/>
              </w:rPr>
              <w:lastRenderedPageBreak/>
              <w:t>определенному типу на основании предоставленных им документов, перечисленных в п. 2.5 настоящего Положения</w:t>
            </w:r>
            <w:r w:rsidRPr="00AD67C2">
              <w:rPr>
                <w:rFonts w:ascii="Garamond" w:eastAsia="Times New Roman" w:hAnsi="Garamond"/>
                <w:sz w:val="22"/>
                <w:szCs w:val="22"/>
                <w:highlight w:val="yellow"/>
              </w:rPr>
              <w:t>, либо в</w:t>
            </w:r>
            <w:r w:rsidRPr="00AD67C2">
              <w:rPr>
                <w:rFonts w:ascii="Garamond" w:eastAsia="Times New Roman" w:hAnsi="Garamond"/>
                <w:sz w:val="22"/>
                <w:szCs w:val="22"/>
              </w:rPr>
              <w:t xml:space="preserve"> п. 5.3 приложения 2 настоящего Положения</w:t>
            </w:r>
            <w:r w:rsidRPr="00AD67C2">
              <w:rPr>
                <w:rFonts w:ascii="Garamond" w:eastAsia="Times New Roman" w:hAnsi="Garamond"/>
                <w:sz w:val="22"/>
                <w:szCs w:val="22"/>
                <w:highlight w:val="yellow"/>
              </w:rPr>
              <w:t>, либо в приложении 9 к настоящему Положению</w:t>
            </w:r>
            <w:r w:rsidRPr="00AD67C2">
              <w:rPr>
                <w:rFonts w:ascii="Garamond" w:eastAsia="Times New Roman" w:hAnsi="Garamond"/>
                <w:sz w:val="22"/>
                <w:szCs w:val="22"/>
              </w:rPr>
              <w:t>.</w:t>
            </w:r>
          </w:p>
        </w:tc>
      </w:tr>
      <w:tr w:rsidR="00D64294" w:rsidRPr="00AD67C2" w14:paraId="78F109A7" w14:textId="77777777" w:rsidTr="00AD67C2">
        <w:trPr>
          <w:trHeight w:val="557"/>
        </w:trPr>
        <w:tc>
          <w:tcPr>
            <w:tcW w:w="1022" w:type="dxa"/>
            <w:tcBorders>
              <w:top w:val="single" w:sz="4" w:space="0" w:color="auto"/>
              <w:left w:val="single" w:sz="4" w:space="0" w:color="auto"/>
              <w:bottom w:val="single" w:sz="4" w:space="0" w:color="auto"/>
              <w:right w:val="single" w:sz="4" w:space="0" w:color="auto"/>
            </w:tcBorders>
            <w:vAlign w:val="center"/>
          </w:tcPr>
          <w:p w14:paraId="6E033979" w14:textId="77777777" w:rsidR="00D64294" w:rsidRPr="00AD67C2" w:rsidRDefault="00D64294" w:rsidP="00A43635">
            <w:pPr>
              <w:widowControl w:val="0"/>
              <w:jc w:val="center"/>
              <w:rPr>
                <w:rFonts w:ascii="Garamond" w:hAnsi="Garamond"/>
                <w:b/>
                <w:sz w:val="22"/>
                <w:szCs w:val="22"/>
                <w:lang w:eastAsia="en-US"/>
              </w:rPr>
            </w:pPr>
            <w:r w:rsidRPr="00AD67C2">
              <w:rPr>
                <w:rFonts w:ascii="Garamond" w:hAnsi="Garamond"/>
                <w:b/>
                <w:sz w:val="22"/>
                <w:szCs w:val="22"/>
                <w:lang w:eastAsia="en-US"/>
              </w:rPr>
              <w:lastRenderedPageBreak/>
              <w:t>1.2.2</w:t>
            </w:r>
          </w:p>
        </w:tc>
        <w:tc>
          <w:tcPr>
            <w:tcW w:w="6662" w:type="dxa"/>
            <w:tcBorders>
              <w:top w:val="single" w:sz="4" w:space="0" w:color="auto"/>
              <w:left w:val="single" w:sz="4" w:space="0" w:color="auto"/>
              <w:bottom w:val="single" w:sz="4" w:space="0" w:color="auto"/>
              <w:right w:val="single" w:sz="4" w:space="0" w:color="auto"/>
            </w:tcBorders>
          </w:tcPr>
          <w:p w14:paraId="0CC0D969" w14:textId="77777777" w:rsidR="00D64294" w:rsidRPr="00AD67C2" w:rsidRDefault="00D64294" w:rsidP="00A43635">
            <w:pPr>
              <w:tabs>
                <w:tab w:val="left" w:pos="0"/>
                <w:tab w:val="left" w:pos="1134"/>
              </w:tabs>
              <w:spacing w:before="120" w:after="120"/>
              <w:jc w:val="both"/>
              <w:rPr>
                <w:rFonts w:ascii="Garamond" w:eastAsia="Times New Roman" w:hAnsi="Garamond"/>
                <w:sz w:val="22"/>
                <w:szCs w:val="22"/>
              </w:rPr>
            </w:pPr>
            <w:r w:rsidRPr="00AD67C2">
              <w:rPr>
                <w:rFonts w:ascii="Garamond" w:eastAsia="Times New Roman" w:hAnsi="Garamond"/>
                <w:sz w:val="22"/>
                <w:szCs w:val="22"/>
              </w:rPr>
              <w:t xml:space="preserve">        Отнесение субъекта при получении им статуса субъекта оптового рынка к одному из типов, указанных в п. 1.2.1 настоящего Положения, не лишает его возможности согласовать ГТП, соответствующие иным типам субъектов.</w:t>
            </w:r>
          </w:p>
        </w:tc>
        <w:tc>
          <w:tcPr>
            <w:tcW w:w="7087" w:type="dxa"/>
            <w:tcBorders>
              <w:top w:val="single" w:sz="4" w:space="0" w:color="auto"/>
              <w:left w:val="single" w:sz="4" w:space="0" w:color="auto"/>
              <w:bottom w:val="single" w:sz="4" w:space="0" w:color="auto"/>
              <w:right w:val="single" w:sz="4" w:space="0" w:color="auto"/>
            </w:tcBorders>
          </w:tcPr>
          <w:p w14:paraId="5D614DC3" w14:textId="77777777" w:rsidR="00D64294" w:rsidRPr="00AD67C2" w:rsidDel="004F2C5B" w:rsidRDefault="00D64294" w:rsidP="00AD67C2">
            <w:pPr>
              <w:tabs>
                <w:tab w:val="left" w:pos="0"/>
                <w:tab w:val="left" w:pos="1134"/>
              </w:tabs>
              <w:spacing w:before="120" w:after="120"/>
              <w:ind w:firstLine="606"/>
              <w:jc w:val="both"/>
              <w:rPr>
                <w:rFonts w:ascii="Garamond" w:eastAsia="Times New Roman" w:hAnsi="Garamond"/>
                <w:sz w:val="22"/>
                <w:szCs w:val="22"/>
              </w:rPr>
            </w:pPr>
            <w:r w:rsidRPr="00AD67C2">
              <w:rPr>
                <w:rFonts w:ascii="Garamond" w:eastAsia="Times New Roman" w:hAnsi="Garamond"/>
                <w:sz w:val="22"/>
                <w:szCs w:val="22"/>
              </w:rPr>
              <w:t>Отнесение субъекта при получении им статуса субъекта оптового рынка к одному из типов, указанных в п. 1.2.1 настоящего Положения, не лишает его возможности согласовать ГТП, соответствующие иным типам субъектов</w:t>
            </w:r>
            <w:r w:rsidRPr="00F83D65">
              <w:rPr>
                <w:rFonts w:ascii="Garamond" w:eastAsia="Times New Roman" w:hAnsi="Garamond"/>
                <w:sz w:val="22"/>
                <w:szCs w:val="22"/>
                <w:highlight w:val="yellow"/>
              </w:rPr>
              <w:t>, и</w:t>
            </w:r>
            <w:r w:rsidRPr="00AD67C2">
              <w:rPr>
                <w:rFonts w:ascii="Garamond" w:eastAsia="Times New Roman" w:hAnsi="Garamond"/>
                <w:sz w:val="22"/>
                <w:szCs w:val="22"/>
                <w:highlight w:val="yellow"/>
              </w:rPr>
              <w:t>ли зарегистрировать</w:t>
            </w:r>
            <w:r w:rsidRPr="00AD67C2">
              <w:rPr>
                <w:rFonts w:ascii="Garamond" w:eastAsia="Times New Roman" w:hAnsi="Garamond"/>
                <w:b/>
                <w:sz w:val="22"/>
                <w:szCs w:val="22"/>
                <w:highlight w:val="yellow"/>
              </w:rPr>
              <w:t xml:space="preserve"> </w:t>
            </w:r>
            <w:r w:rsidRPr="00AD67C2">
              <w:rPr>
                <w:rFonts w:ascii="Garamond" w:eastAsia="Times New Roman" w:hAnsi="Garamond"/>
                <w:sz w:val="22"/>
                <w:szCs w:val="22"/>
                <w:highlight w:val="yellow"/>
              </w:rPr>
              <w:t>агрегированный объект управления</w:t>
            </w:r>
            <w:r w:rsidRPr="00AD67C2">
              <w:rPr>
                <w:rFonts w:ascii="Garamond" w:eastAsia="Times New Roman" w:hAnsi="Garamond"/>
                <w:sz w:val="22"/>
                <w:szCs w:val="22"/>
              </w:rPr>
              <w:t xml:space="preserve">. </w:t>
            </w:r>
          </w:p>
        </w:tc>
      </w:tr>
      <w:tr w:rsidR="00D64294" w:rsidRPr="00AD67C2" w14:paraId="19B3FF4F" w14:textId="77777777" w:rsidTr="00AD67C2">
        <w:trPr>
          <w:trHeight w:val="557"/>
        </w:trPr>
        <w:tc>
          <w:tcPr>
            <w:tcW w:w="1022" w:type="dxa"/>
            <w:tcBorders>
              <w:top w:val="single" w:sz="4" w:space="0" w:color="auto"/>
              <w:left w:val="single" w:sz="4" w:space="0" w:color="auto"/>
              <w:bottom w:val="single" w:sz="4" w:space="0" w:color="auto"/>
              <w:right w:val="single" w:sz="4" w:space="0" w:color="auto"/>
            </w:tcBorders>
            <w:vAlign w:val="center"/>
          </w:tcPr>
          <w:p w14:paraId="520C4760" w14:textId="77777777" w:rsidR="00D64294" w:rsidRPr="00AD67C2" w:rsidRDefault="00D64294" w:rsidP="00A43635">
            <w:pPr>
              <w:widowControl w:val="0"/>
              <w:jc w:val="center"/>
              <w:rPr>
                <w:rFonts w:ascii="Garamond" w:hAnsi="Garamond"/>
                <w:b/>
                <w:sz w:val="22"/>
                <w:szCs w:val="22"/>
                <w:lang w:eastAsia="en-US"/>
              </w:rPr>
            </w:pPr>
            <w:r w:rsidRPr="00AD67C2">
              <w:rPr>
                <w:rFonts w:ascii="Garamond" w:hAnsi="Garamond"/>
                <w:b/>
                <w:sz w:val="22"/>
                <w:szCs w:val="22"/>
                <w:lang w:eastAsia="en-US"/>
              </w:rPr>
              <w:t>1.4</w:t>
            </w:r>
            <w:r w:rsidRPr="00AD67C2">
              <w:rPr>
                <w:rFonts w:ascii="Garamond" w:eastAsia="Times New Roman" w:hAnsi="Garamond"/>
                <w:b/>
                <w:sz w:val="22"/>
                <w:szCs w:val="22"/>
              </w:rPr>
              <w:t xml:space="preserve"> </w:t>
            </w:r>
          </w:p>
        </w:tc>
        <w:tc>
          <w:tcPr>
            <w:tcW w:w="6662" w:type="dxa"/>
            <w:tcBorders>
              <w:top w:val="single" w:sz="4" w:space="0" w:color="auto"/>
              <w:left w:val="single" w:sz="4" w:space="0" w:color="auto"/>
              <w:bottom w:val="single" w:sz="4" w:space="0" w:color="auto"/>
              <w:right w:val="single" w:sz="4" w:space="0" w:color="auto"/>
            </w:tcBorders>
          </w:tcPr>
          <w:p w14:paraId="3C1B0385" w14:textId="77777777" w:rsidR="00D64294" w:rsidRPr="00AD67C2" w:rsidRDefault="00D64294" w:rsidP="00A43635">
            <w:pPr>
              <w:tabs>
                <w:tab w:val="left" w:pos="0"/>
                <w:tab w:val="left" w:pos="1134"/>
              </w:tabs>
              <w:spacing w:before="120" w:after="120"/>
              <w:jc w:val="both"/>
              <w:rPr>
                <w:rFonts w:ascii="Garamond" w:eastAsia="Times New Roman" w:hAnsi="Garamond"/>
                <w:b/>
                <w:sz w:val="22"/>
                <w:szCs w:val="22"/>
              </w:rPr>
            </w:pPr>
            <w:r w:rsidRPr="00AD67C2">
              <w:rPr>
                <w:rFonts w:ascii="Garamond" w:eastAsia="Times New Roman" w:hAnsi="Garamond"/>
                <w:b/>
                <w:sz w:val="22"/>
                <w:szCs w:val="22"/>
              </w:rPr>
              <w:t>Добавить новый пункт</w:t>
            </w:r>
          </w:p>
        </w:tc>
        <w:tc>
          <w:tcPr>
            <w:tcW w:w="7087" w:type="dxa"/>
            <w:tcBorders>
              <w:top w:val="single" w:sz="4" w:space="0" w:color="auto"/>
              <w:left w:val="single" w:sz="4" w:space="0" w:color="auto"/>
              <w:bottom w:val="single" w:sz="4" w:space="0" w:color="auto"/>
              <w:right w:val="single" w:sz="4" w:space="0" w:color="auto"/>
            </w:tcBorders>
          </w:tcPr>
          <w:p w14:paraId="7362D064" w14:textId="4D10A85D" w:rsidR="00D64294" w:rsidRPr="00AD67C2" w:rsidRDefault="00D64294" w:rsidP="00AD67C2">
            <w:pPr>
              <w:widowControl w:val="0"/>
              <w:tabs>
                <w:tab w:val="center" w:pos="284"/>
                <w:tab w:val="num" w:pos="3403"/>
              </w:tabs>
              <w:spacing w:before="120" w:after="120"/>
              <w:ind w:firstLine="606"/>
              <w:jc w:val="both"/>
              <w:outlineLvl w:val="2"/>
              <w:rPr>
                <w:rFonts w:ascii="Garamond" w:eastAsia="Times New Roman" w:hAnsi="Garamond"/>
                <w:b/>
                <w:bCs/>
                <w:iCs/>
                <w:sz w:val="22"/>
                <w:szCs w:val="22"/>
                <w:highlight w:val="yellow"/>
              </w:rPr>
            </w:pPr>
            <w:bookmarkStart w:id="5" w:name="_Toc139051322"/>
            <w:r w:rsidRPr="00AD67C2">
              <w:rPr>
                <w:rFonts w:ascii="Garamond" w:eastAsia="Times New Roman" w:hAnsi="Garamond"/>
                <w:b/>
                <w:bCs/>
                <w:iCs/>
                <w:sz w:val="22"/>
                <w:szCs w:val="22"/>
                <w:highlight w:val="yellow"/>
              </w:rPr>
              <w:t xml:space="preserve">Требования, предъявляемые к </w:t>
            </w:r>
            <w:bookmarkEnd w:id="5"/>
            <w:r w:rsidRPr="00AD67C2">
              <w:rPr>
                <w:rFonts w:ascii="Garamond" w:eastAsia="Times New Roman" w:hAnsi="Garamond"/>
                <w:b/>
                <w:bCs/>
                <w:iCs/>
                <w:sz w:val="22"/>
                <w:szCs w:val="22"/>
                <w:highlight w:val="yellow"/>
              </w:rPr>
              <w:t>субъекту оптового рынка</w:t>
            </w:r>
            <w:r w:rsidR="00AD67C2">
              <w:rPr>
                <w:rFonts w:ascii="Garamond" w:eastAsia="Times New Roman" w:hAnsi="Garamond"/>
                <w:b/>
                <w:bCs/>
                <w:iCs/>
                <w:sz w:val="22"/>
                <w:szCs w:val="22"/>
                <w:highlight w:val="yellow"/>
              </w:rPr>
              <w:t xml:space="preserve"> –</w:t>
            </w:r>
            <w:r w:rsidRPr="00AD67C2">
              <w:rPr>
                <w:rFonts w:ascii="Garamond" w:eastAsia="Times New Roman" w:hAnsi="Garamond"/>
                <w:b/>
                <w:bCs/>
                <w:iCs/>
                <w:sz w:val="22"/>
                <w:szCs w:val="22"/>
                <w:highlight w:val="yellow"/>
              </w:rPr>
              <w:t xml:space="preserve"> агрегатору управления изменением режима потребления электрической энергии </w:t>
            </w:r>
          </w:p>
          <w:p w14:paraId="57DECEE5" w14:textId="4FD56792" w:rsidR="00D64294" w:rsidRPr="00AD67C2" w:rsidRDefault="00D64294" w:rsidP="00D1630A">
            <w:pPr>
              <w:widowControl w:val="0"/>
              <w:tabs>
                <w:tab w:val="center" w:pos="284"/>
                <w:tab w:val="num" w:pos="3403"/>
              </w:tabs>
              <w:spacing w:before="120" w:after="120"/>
              <w:ind w:firstLine="606"/>
              <w:jc w:val="both"/>
              <w:outlineLvl w:val="2"/>
              <w:rPr>
                <w:rFonts w:ascii="Garamond" w:eastAsia="Times New Roman" w:hAnsi="Garamond"/>
                <w:b/>
                <w:bCs/>
                <w:iCs/>
                <w:sz w:val="22"/>
                <w:szCs w:val="22"/>
              </w:rPr>
            </w:pPr>
            <w:r w:rsidRPr="00AD67C2">
              <w:rPr>
                <w:rFonts w:ascii="Garamond" w:eastAsia="Times New Roman" w:hAnsi="Garamond"/>
                <w:sz w:val="22"/>
                <w:szCs w:val="22"/>
                <w:highlight w:val="yellow"/>
              </w:rPr>
              <w:t xml:space="preserve">Требования, </w:t>
            </w:r>
            <w:r w:rsidRPr="00AD67C2">
              <w:rPr>
                <w:rFonts w:ascii="Garamond" w:eastAsia="Times New Roman" w:hAnsi="Garamond"/>
                <w:bCs/>
                <w:iCs/>
                <w:sz w:val="22"/>
                <w:szCs w:val="22"/>
                <w:highlight w:val="yellow"/>
              </w:rPr>
              <w:t>предъявляемые к субъекту оптового рынка</w:t>
            </w:r>
            <w:r w:rsidR="00F83D65">
              <w:rPr>
                <w:rFonts w:ascii="Garamond" w:eastAsia="Times New Roman" w:hAnsi="Garamond"/>
                <w:bCs/>
                <w:iCs/>
                <w:sz w:val="22"/>
                <w:szCs w:val="22"/>
                <w:highlight w:val="yellow"/>
              </w:rPr>
              <w:t xml:space="preserve"> – </w:t>
            </w:r>
            <w:r w:rsidRPr="00AD67C2">
              <w:rPr>
                <w:rFonts w:ascii="Garamond" w:eastAsia="Times New Roman" w:hAnsi="Garamond"/>
                <w:bCs/>
                <w:iCs/>
                <w:sz w:val="22"/>
                <w:szCs w:val="22"/>
                <w:highlight w:val="yellow"/>
              </w:rPr>
              <w:t>агрегатору управления изменением режима потребления электрической энергии,</w:t>
            </w:r>
            <w:r w:rsidRPr="00AD67C2">
              <w:rPr>
                <w:rFonts w:ascii="Garamond" w:eastAsia="Times New Roman" w:hAnsi="Garamond" w:cs="Arial"/>
                <w:sz w:val="22"/>
                <w:szCs w:val="22"/>
                <w:highlight w:val="yellow"/>
              </w:rPr>
              <w:t xml:space="preserve"> а также процедура регистрации ОР и АОУ</w:t>
            </w:r>
            <w:r w:rsidRPr="00AD67C2">
              <w:rPr>
                <w:rFonts w:ascii="Garamond" w:eastAsia="Times New Roman" w:hAnsi="Garamond"/>
                <w:sz w:val="22"/>
                <w:szCs w:val="22"/>
                <w:highlight w:val="yellow"/>
              </w:rPr>
              <w:t>, порядок получения статуса субъекта оптового рынка</w:t>
            </w:r>
            <w:r w:rsidR="00D1630A">
              <w:rPr>
                <w:rFonts w:ascii="Garamond" w:eastAsia="Times New Roman" w:hAnsi="Garamond"/>
                <w:sz w:val="22"/>
                <w:szCs w:val="22"/>
                <w:highlight w:val="yellow"/>
              </w:rPr>
              <w:t xml:space="preserve"> – </w:t>
            </w:r>
            <w:r w:rsidRPr="00AD67C2">
              <w:rPr>
                <w:rFonts w:ascii="Garamond" w:eastAsia="Times New Roman" w:hAnsi="Garamond"/>
                <w:sz w:val="22"/>
                <w:szCs w:val="22"/>
                <w:highlight w:val="yellow"/>
              </w:rPr>
              <w:t xml:space="preserve">агрегатора управления изменением режима потребления электрической энергии </w:t>
            </w:r>
            <w:r w:rsidRPr="00AD67C2">
              <w:rPr>
                <w:rFonts w:ascii="Garamond" w:eastAsia="Times New Roman" w:hAnsi="Garamond" w:cs="Arial"/>
                <w:sz w:val="22"/>
                <w:szCs w:val="22"/>
                <w:highlight w:val="yellow"/>
              </w:rPr>
              <w:t xml:space="preserve">и (или) получения права на оказание услуг по управлению изменением режима потребления </w:t>
            </w:r>
            <w:r w:rsidRPr="00AD67C2">
              <w:rPr>
                <w:rFonts w:ascii="Garamond" w:eastAsia="Times New Roman" w:hAnsi="Garamond"/>
                <w:sz w:val="22"/>
                <w:szCs w:val="22"/>
                <w:highlight w:val="yellow"/>
              </w:rPr>
              <w:t>установлены приложением 9 к настоящему Положению.</w:t>
            </w:r>
          </w:p>
        </w:tc>
      </w:tr>
      <w:tr w:rsidR="00D64294" w:rsidRPr="00AD67C2" w14:paraId="449E798E" w14:textId="77777777" w:rsidTr="00AD67C2">
        <w:trPr>
          <w:trHeight w:val="557"/>
        </w:trPr>
        <w:tc>
          <w:tcPr>
            <w:tcW w:w="1022" w:type="dxa"/>
            <w:tcBorders>
              <w:top w:val="single" w:sz="4" w:space="0" w:color="auto"/>
              <w:left w:val="single" w:sz="4" w:space="0" w:color="auto"/>
              <w:bottom w:val="single" w:sz="4" w:space="0" w:color="auto"/>
              <w:right w:val="single" w:sz="4" w:space="0" w:color="auto"/>
            </w:tcBorders>
            <w:vAlign w:val="center"/>
          </w:tcPr>
          <w:p w14:paraId="2956448E" w14:textId="77777777" w:rsidR="00D64294" w:rsidRPr="00AD67C2" w:rsidRDefault="00D64294" w:rsidP="00A43635">
            <w:pPr>
              <w:widowControl w:val="0"/>
              <w:jc w:val="center"/>
              <w:rPr>
                <w:rFonts w:ascii="Garamond" w:hAnsi="Garamond"/>
                <w:b/>
                <w:sz w:val="22"/>
                <w:szCs w:val="22"/>
                <w:lang w:eastAsia="en-US"/>
              </w:rPr>
            </w:pPr>
            <w:r w:rsidRPr="00AD67C2">
              <w:rPr>
                <w:rFonts w:ascii="Garamond" w:hAnsi="Garamond"/>
                <w:b/>
                <w:sz w:val="22"/>
                <w:szCs w:val="22"/>
                <w:lang w:eastAsia="en-US"/>
              </w:rPr>
              <w:t>2.8.1</w:t>
            </w:r>
          </w:p>
        </w:tc>
        <w:tc>
          <w:tcPr>
            <w:tcW w:w="6662" w:type="dxa"/>
            <w:tcBorders>
              <w:top w:val="single" w:sz="4" w:space="0" w:color="auto"/>
              <w:left w:val="single" w:sz="4" w:space="0" w:color="auto"/>
              <w:bottom w:val="single" w:sz="4" w:space="0" w:color="auto"/>
              <w:right w:val="single" w:sz="4" w:space="0" w:color="auto"/>
            </w:tcBorders>
          </w:tcPr>
          <w:p w14:paraId="6D90C0AB" w14:textId="77777777" w:rsidR="00D64294" w:rsidRPr="00AD67C2" w:rsidRDefault="00D64294" w:rsidP="00A43635">
            <w:pPr>
              <w:tabs>
                <w:tab w:val="left" w:pos="1200"/>
              </w:tabs>
              <w:spacing w:before="120" w:after="120"/>
              <w:ind w:firstLine="600"/>
              <w:jc w:val="both"/>
              <w:rPr>
                <w:rFonts w:ascii="Garamond" w:eastAsia="Times New Roman" w:hAnsi="Garamond"/>
                <w:sz w:val="22"/>
                <w:szCs w:val="22"/>
              </w:rPr>
            </w:pPr>
            <w:r w:rsidRPr="00AD67C2">
              <w:rPr>
                <w:rFonts w:ascii="Garamond" w:eastAsia="Times New Roman" w:hAnsi="Garamond"/>
                <w:sz w:val="22"/>
                <w:szCs w:val="22"/>
              </w:rPr>
              <w:t xml:space="preserve">В течение 3 (трех) рабочих дней с даты получения от заявителя заявления о присвоении статуса субъекта оптового рынка </w:t>
            </w:r>
            <w:r w:rsidRPr="00AD67C2">
              <w:rPr>
                <w:rFonts w:ascii="Garamond" w:eastAsia="Times New Roman" w:hAnsi="Garamond"/>
                <w:sz w:val="22"/>
                <w:szCs w:val="22"/>
                <w:highlight w:val="yellow"/>
              </w:rPr>
              <w:t>электрической энергии</w:t>
            </w:r>
            <w:r w:rsidRPr="00AD67C2">
              <w:rPr>
                <w:rFonts w:ascii="Garamond" w:eastAsia="Times New Roman" w:hAnsi="Garamond"/>
                <w:sz w:val="22"/>
                <w:szCs w:val="22"/>
              </w:rPr>
              <w:t xml:space="preserve"> и включении в Реестр субъектов оптового рынка по форме 1 приложения 1 к настоящему Положению КО осуществляет проверку полученных документов и направляет заявителю с использованием веб-интерфейса ПСЗ уведомление о результатах проверки.</w:t>
            </w:r>
          </w:p>
          <w:p w14:paraId="653C4C17" w14:textId="77777777" w:rsidR="00D64294" w:rsidRPr="00AD67C2" w:rsidRDefault="00D64294" w:rsidP="00A43635">
            <w:pPr>
              <w:tabs>
                <w:tab w:val="left" w:pos="1320"/>
              </w:tabs>
              <w:spacing w:before="120" w:after="120"/>
              <w:ind w:firstLine="600"/>
              <w:jc w:val="both"/>
              <w:rPr>
                <w:rFonts w:ascii="Garamond" w:eastAsia="Times New Roman" w:hAnsi="Garamond"/>
                <w:sz w:val="22"/>
                <w:szCs w:val="22"/>
              </w:rPr>
            </w:pPr>
            <w:r w:rsidRPr="00AD67C2">
              <w:rPr>
                <w:rFonts w:ascii="Garamond" w:eastAsia="Times New Roman" w:hAnsi="Garamond"/>
                <w:sz w:val="22"/>
                <w:szCs w:val="22"/>
              </w:rPr>
              <w:t xml:space="preserve">Вопрос о присвоении заявителю статуса субъекта оптового рынка </w:t>
            </w:r>
            <w:r w:rsidRPr="00AD67C2">
              <w:rPr>
                <w:rFonts w:ascii="Garamond" w:eastAsia="Times New Roman" w:hAnsi="Garamond"/>
                <w:sz w:val="22"/>
                <w:szCs w:val="22"/>
                <w:highlight w:val="yellow"/>
              </w:rPr>
              <w:t>электрической энергии</w:t>
            </w:r>
            <w:r w:rsidRPr="00AD67C2">
              <w:rPr>
                <w:rFonts w:ascii="Garamond" w:eastAsia="Times New Roman" w:hAnsi="Garamond"/>
                <w:sz w:val="22"/>
                <w:szCs w:val="22"/>
              </w:rPr>
              <w:t xml:space="preserve"> либо об отказе в присвоении этого статуса включается в повестку ближайшего заседания Наблюдательного совета Совета рынка </w:t>
            </w:r>
            <w:r w:rsidRPr="00AD67C2">
              <w:rPr>
                <w:rFonts w:ascii="Garamond" w:eastAsia="Times New Roman" w:hAnsi="Garamond" w:cs="Garamond"/>
                <w:sz w:val="22"/>
                <w:szCs w:val="22"/>
              </w:rPr>
              <w:t xml:space="preserve">по инициативе </w:t>
            </w:r>
            <w:r w:rsidRPr="00AD67C2">
              <w:rPr>
                <w:rFonts w:ascii="Garamond" w:eastAsia="Times New Roman" w:hAnsi="Garamond"/>
                <w:sz w:val="22"/>
                <w:szCs w:val="22"/>
              </w:rPr>
              <w:t>КО только при наличии положительных результатов проверки документов заявителя, если иное не установлено настоящим Положением.</w:t>
            </w:r>
          </w:p>
          <w:p w14:paraId="554004D1" w14:textId="77777777" w:rsidR="00D64294" w:rsidRPr="00AD67C2" w:rsidRDefault="00D64294" w:rsidP="00DB5EEC">
            <w:pPr>
              <w:tabs>
                <w:tab w:val="left" w:pos="1320"/>
              </w:tabs>
              <w:spacing w:before="120" w:after="120"/>
              <w:ind w:firstLine="600"/>
              <w:jc w:val="both"/>
              <w:rPr>
                <w:rFonts w:ascii="Garamond" w:eastAsia="Times New Roman" w:hAnsi="Garamond"/>
                <w:sz w:val="22"/>
                <w:szCs w:val="22"/>
              </w:rPr>
            </w:pPr>
            <w:r w:rsidRPr="00AD67C2">
              <w:rPr>
                <w:rFonts w:ascii="Garamond" w:eastAsia="Times New Roman" w:hAnsi="Garamond"/>
                <w:sz w:val="22"/>
                <w:szCs w:val="22"/>
              </w:rPr>
              <w:t xml:space="preserve">В качестве материалов к заседанию Наблюдательного совета Совет рынка прилагаются заявление на имя Председателя Наблюдательного совета Совета рынка о получении статуса субъекта оптового рынка </w:t>
            </w:r>
            <w:r w:rsidRPr="00AD67C2">
              <w:rPr>
                <w:rFonts w:ascii="Garamond" w:eastAsia="Times New Roman" w:hAnsi="Garamond"/>
                <w:sz w:val="22"/>
                <w:szCs w:val="22"/>
                <w:highlight w:val="yellow"/>
              </w:rPr>
              <w:t>электрической энергии</w:t>
            </w:r>
            <w:r w:rsidRPr="00AD67C2">
              <w:rPr>
                <w:rFonts w:ascii="Garamond" w:eastAsia="Times New Roman" w:hAnsi="Garamond"/>
                <w:sz w:val="22"/>
                <w:szCs w:val="22"/>
              </w:rPr>
              <w:t xml:space="preserve"> и включении в Реестр </w:t>
            </w:r>
            <w:r w:rsidRPr="00AD67C2">
              <w:rPr>
                <w:rFonts w:ascii="Garamond" w:eastAsia="Times New Roman" w:hAnsi="Garamond"/>
                <w:sz w:val="22"/>
                <w:szCs w:val="22"/>
              </w:rPr>
              <w:lastRenderedPageBreak/>
              <w:t>субъектов оптового рынка, акт о согласовании ГТП, Акт о соответствии АИИС КУЭ заявителя техническим требованиям (если иное не установлено настоящим Положением), предполагаемый тип заявителя при работе на оптовом рынке, документы, подтверждающие соответствие заявителя техническим требованиям к системе связи, обеспечивающей передачу данных СО.</w:t>
            </w:r>
          </w:p>
        </w:tc>
        <w:tc>
          <w:tcPr>
            <w:tcW w:w="7087" w:type="dxa"/>
            <w:tcBorders>
              <w:top w:val="single" w:sz="4" w:space="0" w:color="auto"/>
              <w:left w:val="single" w:sz="4" w:space="0" w:color="auto"/>
              <w:bottom w:val="single" w:sz="4" w:space="0" w:color="auto"/>
              <w:right w:val="single" w:sz="4" w:space="0" w:color="auto"/>
            </w:tcBorders>
          </w:tcPr>
          <w:p w14:paraId="1405A670" w14:textId="77777777" w:rsidR="00D64294" w:rsidRPr="00AD67C2" w:rsidRDefault="00D64294" w:rsidP="00A43635">
            <w:pPr>
              <w:tabs>
                <w:tab w:val="left" w:pos="1200"/>
              </w:tabs>
              <w:spacing w:before="120" w:after="120"/>
              <w:ind w:firstLine="600"/>
              <w:jc w:val="both"/>
              <w:rPr>
                <w:rFonts w:ascii="Garamond" w:eastAsia="Times New Roman" w:hAnsi="Garamond"/>
                <w:sz w:val="22"/>
                <w:szCs w:val="22"/>
              </w:rPr>
            </w:pPr>
            <w:r w:rsidRPr="00AD67C2">
              <w:rPr>
                <w:rFonts w:ascii="Garamond" w:eastAsia="Times New Roman" w:hAnsi="Garamond"/>
                <w:sz w:val="22"/>
                <w:szCs w:val="22"/>
              </w:rPr>
              <w:lastRenderedPageBreak/>
              <w:t>В течение 3 (трех) рабочих дней с даты получения от заявителя заявления о присвоении статуса субъекта оптового рынка и включении в Реестр субъектов оптового рынка по форме 1 приложения 1 к настоящему Положению КО осуществляет проверку полученных документов (</w:t>
            </w:r>
            <w:r w:rsidRPr="00AD67C2">
              <w:rPr>
                <w:rFonts w:ascii="Garamond" w:eastAsia="Times New Roman" w:hAnsi="Garamond"/>
                <w:sz w:val="22"/>
                <w:szCs w:val="22"/>
                <w:highlight w:val="yellow"/>
              </w:rPr>
              <w:t>в отношении АОУ дополнительно проверяет наличие информации от СО о регистрации указанного в заявлении АОУ)</w:t>
            </w:r>
            <w:r w:rsidRPr="00AD67C2">
              <w:rPr>
                <w:rFonts w:ascii="Garamond" w:eastAsia="Times New Roman" w:hAnsi="Garamond"/>
                <w:sz w:val="22"/>
                <w:szCs w:val="22"/>
              </w:rPr>
              <w:t xml:space="preserve"> и направляет заявителю с использованием веб-интерфейса ПСЗ уведомление о результатах проверки.</w:t>
            </w:r>
          </w:p>
          <w:p w14:paraId="37CEC85E" w14:textId="77777777" w:rsidR="00D64294" w:rsidRPr="00AD67C2" w:rsidRDefault="00D64294" w:rsidP="00A43635">
            <w:pPr>
              <w:tabs>
                <w:tab w:val="left" w:pos="1320"/>
              </w:tabs>
              <w:spacing w:before="120" w:after="120"/>
              <w:ind w:firstLine="600"/>
              <w:jc w:val="both"/>
              <w:rPr>
                <w:rFonts w:ascii="Garamond" w:eastAsia="Times New Roman" w:hAnsi="Garamond"/>
                <w:sz w:val="22"/>
                <w:szCs w:val="22"/>
              </w:rPr>
            </w:pPr>
            <w:r w:rsidRPr="00AD67C2">
              <w:rPr>
                <w:rFonts w:ascii="Garamond" w:eastAsia="Times New Roman" w:hAnsi="Garamond"/>
                <w:sz w:val="22"/>
                <w:szCs w:val="22"/>
              </w:rPr>
              <w:t xml:space="preserve">Вопрос о присвоении заявителю статуса субъекта оптового рынка либо об отказе в присвоении этого статуса включается в повестку ближайшего заседания Наблюдательного совета Совета рынка </w:t>
            </w:r>
            <w:r w:rsidRPr="00AD67C2">
              <w:rPr>
                <w:rFonts w:ascii="Garamond" w:eastAsia="Times New Roman" w:hAnsi="Garamond" w:cs="Garamond"/>
                <w:sz w:val="22"/>
                <w:szCs w:val="22"/>
              </w:rPr>
              <w:t xml:space="preserve">по инициативе </w:t>
            </w:r>
            <w:r w:rsidRPr="00AD67C2">
              <w:rPr>
                <w:rFonts w:ascii="Garamond" w:eastAsia="Times New Roman" w:hAnsi="Garamond"/>
                <w:sz w:val="22"/>
                <w:szCs w:val="22"/>
              </w:rPr>
              <w:t>КО только при наличии положительных результатов проверки документов заявителя, если иное не установлено настоящим Положением.</w:t>
            </w:r>
          </w:p>
          <w:p w14:paraId="232E5C7A" w14:textId="6338A1FA" w:rsidR="00D64294" w:rsidRPr="00AD67C2" w:rsidRDefault="0078583E" w:rsidP="00AD67C2">
            <w:pPr>
              <w:tabs>
                <w:tab w:val="left" w:pos="1320"/>
              </w:tabs>
              <w:spacing w:before="120" w:after="120"/>
              <w:ind w:firstLine="600"/>
              <w:jc w:val="both"/>
              <w:rPr>
                <w:rFonts w:ascii="Garamond" w:eastAsia="Times New Roman" w:hAnsi="Garamond"/>
                <w:sz w:val="22"/>
                <w:szCs w:val="22"/>
              </w:rPr>
            </w:pPr>
            <w:r w:rsidRPr="00AD67C2">
              <w:rPr>
                <w:rFonts w:ascii="Garamond" w:eastAsia="Times New Roman" w:hAnsi="Garamond"/>
                <w:sz w:val="22"/>
                <w:szCs w:val="22"/>
              </w:rPr>
              <w:t xml:space="preserve">В качестве материалов к заседанию Наблюдательного совета Совет рынка прилагаются заявление на имя Председателя Наблюдательного совета Совета рынка о получении статуса субъекта оптового рынка и включении в Реестр субъектов оптового рынка, акт о согласовании ГТП, Акт о соответствии АИИС КУЭ заявителя техническим требованиям (если </w:t>
            </w:r>
            <w:r w:rsidRPr="00AD67C2">
              <w:rPr>
                <w:rFonts w:ascii="Garamond" w:eastAsia="Times New Roman" w:hAnsi="Garamond"/>
                <w:sz w:val="22"/>
                <w:szCs w:val="22"/>
              </w:rPr>
              <w:lastRenderedPageBreak/>
              <w:t>иное не установлено настоящим Положением), предполагаемый тип заявителя при работе на оптовом рынке, документы, подтверждающие соответствие заявителя техническим требованиям к системе связи, обеспечивающей передачу данных СО</w:t>
            </w:r>
            <w:r w:rsidRPr="00AD67C2">
              <w:rPr>
                <w:rFonts w:ascii="Garamond" w:eastAsia="Times New Roman" w:hAnsi="Garamond"/>
                <w:sz w:val="22"/>
                <w:szCs w:val="22"/>
                <w:highlight w:val="yellow"/>
              </w:rPr>
              <w:t>, или иные документы, подтверждающие соответствие заявителя требованиям Правил оптового рынка и настоящего Положения</w:t>
            </w:r>
            <w:r w:rsidRPr="00AD67C2">
              <w:rPr>
                <w:rFonts w:ascii="Garamond" w:eastAsia="Times New Roman" w:hAnsi="Garamond"/>
                <w:sz w:val="22"/>
                <w:szCs w:val="22"/>
              </w:rPr>
              <w:t>.</w:t>
            </w:r>
          </w:p>
        </w:tc>
      </w:tr>
      <w:tr w:rsidR="00D64294" w:rsidRPr="00AD67C2" w14:paraId="03D182B3" w14:textId="77777777" w:rsidTr="00AD67C2">
        <w:trPr>
          <w:trHeight w:val="557"/>
        </w:trPr>
        <w:tc>
          <w:tcPr>
            <w:tcW w:w="1022" w:type="dxa"/>
            <w:tcBorders>
              <w:top w:val="single" w:sz="4" w:space="0" w:color="auto"/>
              <w:left w:val="single" w:sz="4" w:space="0" w:color="auto"/>
              <w:bottom w:val="single" w:sz="4" w:space="0" w:color="auto"/>
              <w:right w:val="single" w:sz="4" w:space="0" w:color="auto"/>
            </w:tcBorders>
            <w:vAlign w:val="center"/>
          </w:tcPr>
          <w:p w14:paraId="0EAA1022" w14:textId="77777777" w:rsidR="00D64294" w:rsidRPr="00AD67C2" w:rsidRDefault="00D64294" w:rsidP="00A43635">
            <w:pPr>
              <w:widowControl w:val="0"/>
              <w:jc w:val="center"/>
              <w:rPr>
                <w:rFonts w:ascii="Garamond" w:hAnsi="Garamond"/>
                <w:b/>
                <w:sz w:val="22"/>
                <w:szCs w:val="22"/>
                <w:lang w:eastAsia="en-US"/>
              </w:rPr>
            </w:pPr>
            <w:r w:rsidRPr="00AD67C2">
              <w:rPr>
                <w:rFonts w:ascii="Garamond" w:hAnsi="Garamond"/>
                <w:b/>
                <w:sz w:val="22"/>
                <w:szCs w:val="22"/>
                <w:lang w:eastAsia="en-US"/>
              </w:rPr>
              <w:lastRenderedPageBreak/>
              <w:t>2.8.7</w:t>
            </w:r>
          </w:p>
        </w:tc>
        <w:tc>
          <w:tcPr>
            <w:tcW w:w="6662" w:type="dxa"/>
            <w:tcBorders>
              <w:top w:val="single" w:sz="4" w:space="0" w:color="auto"/>
              <w:left w:val="single" w:sz="4" w:space="0" w:color="auto"/>
              <w:bottom w:val="single" w:sz="4" w:space="0" w:color="auto"/>
              <w:right w:val="single" w:sz="4" w:space="0" w:color="auto"/>
            </w:tcBorders>
          </w:tcPr>
          <w:p w14:paraId="2D39B022" w14:textId="77777777" w:rsidR="00D64294" w:rsidRPr="00AD67C2" w:rsidRDefault="00D64294" w:rsidP="00A43635">
            <w:pPr>
              <w:tabs>
                <w:tab w:val="left" w:pos="1200"/>
              </w:tabs>
              <w:spacing w:before="120" w:after="120"/>
              <w:ind w:firstLine="600"/>
              <w:jc w:val="both"/>
              <w:rPr>
                <w:rFonts w:ascii="Garamond" w:eastAsia="Times New Roman" w:hAnsi="Garamond"/>
                <w:sz w:val="22"/>
                <w:szCs w:val="22"/>
              </w:rPr>
            </w:pPr>
            <w:r w:rsidRPr="00AD67C2">
              <w:rPr>
                <w:rFonts w:ascii="Garamond" w:eastAsia="Times New Roman" w:hAnsi="Garamond" w:cs="Garamond"/>
                <w:sz w:val="22"/>
                <w:szCs w:val="22"/>
              </w:rPr>
              <w:t xml:space="preserve">В случае отрицательных результатов проверки заявления о присвоении статуса субъекта оптового рынка </w:t>
            </w:r>
            <w:r w:rsidRPr="00AD67C2">
              <w:rPr>
                <w:rFonts w:ascii="Garamond" w:eastAsia="Times New Roman" w:hAnsi="Garamond" w:cs="Garamond"/>
                <w:sz w:val="22"/>
                <w:szCs w:val="22"/>
                <w:highlight w:val="yellow"/>
              </w:rPr>
              <w:t>электрической энергии</w:t>
            </w:r>
            <w:r w:rsidRPr="00AD67C2">
              <w:rPr>
                <w:rFonts w:ascii="Garamond" w:eastAsia="Times New Roman" w:hAnsi="Garamond" w:cs="Garamond"/>
                <w:sz w:val="22"/>
                <w:szCs w:val="22"/>
              </w:rPr>
              <w:t xml:space="preserve"> или отказа заявителю в получении статуса субъекта оптового рынка, заявитель имеет право повторно обратиться в КО с заявлением после устранения выявленных нарушений.</w:t>
            </w:r>
          </w:p>
        </w:tc>
        <w:tc>
          <w:tcPr>
            <w:tcW w:w="7087" w:type="dxa"/>
            <w:tcBorders>
              <w:top w:val="single" w:sz="4" w:space="0" w:color="auto"/>
              <w:left w:val="single" w:sz="4" w:space="0" w:color="auto"/>
              <w:bottom w:val="single" w:sz="4" w:space="0" w:color="auto"/>
              <w:right w:val="single" w:sz="4" w:space="0" w:color="auto"/>
            </w:tcBorders>
          </w:tcPr>
          <w:p w14:paraId="1926E2A5" w14:textId="77777777" w:rsidR="00D64294" w:rsidRPr="00AD67C2" w:rsidRDefault="00D64294" w:rsidP="00A43635">
            <w:pPr>
              <w:tabs>
                <w:tab w:val="left" w:pos="1200"/>
              </w:tabs>
              <w:spacing w:before="120" w:after="120"/>
              <w:ind w:firstLine="600"/>
              <w:jc w:val="both"/>
              <w:rPr>
                <w:rFonts w:ascii="Garamond" w:eastAsia="Times New Roman" w:hAnsi="Garamond"/>
                <w:sz w:val="22"/>
                <w:szCs w:val="22"/>
              </w:rPr>
            </w:pPr>
            <w:r w:rsidRPr="00AD67C2">
              <w:rPr>
                <w:rFonts w:ascii="Garamond" w:eastAsia="Times New Roman" w:hAnsi="Garamond" w:cs="Garamond"/>
                <w:sz w:val="22"/>
                <w:szCs w:val="22"/>
              </w:rPr>
              <w:t>В случае отрицательных результатов проверки заявления о присвоении статуса субъекта оптового рынка или отказа заявителю в получении статуса субъекта оптового рынка, заявитель имеет право повторно обратиться в КО с заявлением после устранения выявленных нарушений.</w:t>
            </w:r>
          </w:p>
        </w:tc>
      </w:tr>
      <w:tr w:rsidR="00D64294" w:rsidRPr="00AD67C2" w14:paraId="2B0BFE86" w14:textId="77777777" w:rsidTr="00AD67C2">
        <w:trPr>
          <w:trHeight w:val="557"/>
        </w:trPr>
        <w:tc>
          <w:tcPr>
            <w:tcW w:w="1022" w:type="dxa"/>
            <w:tcBorders>
              <w:top w:val="single" w:sz="4" w:space="0" w:color="auto"/>
              <w:left w:val="single" w:sz="4" w:space="0" w:color="auto"/>
              <w:bottom w:val="single" w:sz="4" w:space="0" w:color="auto"/>
              <w:right w:val="single" w:sz="4" w:space="0" w:color="auto"/>
            </w:tcBorders>
            <w:vAlign w:val="center"/>
          </w:tcPr>
          <w:p w14:paraId="178FCDB1" w14:textId="77777777" w:rsidR="00D64294" w:rsidRPr="00AD67C2" w:rsidRDefault="00D64294" w:rsidP="00A43635">
            <w:pPr>
              <w:widowControl w:val="0"/>
              <w:jc w:val="center"/>
              <w:rPr>
                <w:rFonts w:ascii="Garamond" w:hAnsi="Garamond"/>
                <w:b/>
                <w:sz w:val="22"/>
                <w:szCs w:val="22"/>
                <w:lang w:eastAsia="en-US"/>
              </w:rPr>
            </w:pPr>
            <w:r w:rsidRPr="00AD67C2">
              <w:rPr>
                <w:rFonts w:ascii="Garamond" w:hAnsi="Garamond"/>
                <w:b/>
                <w:sz w:val="22"/>
                <w:szCs w:val="22"/>
                <w:lang w:eastAsia="en-US"/>
              </w:rPr>
              <w:t>2.8.8</w:t>
            </w:r>
          </w:p>
        </w:tc>
        <w:tc>
          <w:tcPr>
            <w:tcW w:w="6662" w:type="dxa"/>
            <w:tcBorders>
              <w:top w:val="single" w:sz="4" w:space="0" w:color="auto"/>
              <w:left w:val="single" w:sz="4" w:space="0" w:color="auto"/>
              <w:bottom w:val="single" w:sz="4" w:space="0" w:color="auto"/>
              <w:right w:val="single" w:sz="4" w:space="0" w:color="auto"/>
            </w:tcBorders>
          </w:tcPr>
          <w:p w14:paraId="02D2CFC7" w14:textId="77777777" w:rsidR="00D64294" w:rsidRPr="00AD67C2" w:rsidRDefault="00D64294" w:rsidP="00A43635">
            <w:pPr>
              <w:shd w:val="clear" w:color="auto" w:fill="FFFFFF"/>
              <w:tabs>
                <w:tab w:val="left" w:pos="720"/>
                <w:tab w:val="left" w:pos="1320"/>
              </w:tabs>
              <w:spacing w:before="120" w:after="120"/>
              <w:ind w:left="34" w:firstLine="567"/>
              <w:jc w:val="both"/>
              <w:rPr>
                <w:rFonts w:ascii="Garamond" w:eastAsia="Times New Roman" w:hAnsi="Garamond" w:cs="Courier New"/>
                <w:sz w:val="22"/>
                <w:szCs w:val="22"/>
              </w:rPr>
            </w:pPr>
            <w:r w:rsidRPr="00AD67C2">
              <w:rPr>
                <w:rFonts w:ascii="Garamond" w:eastAsia="Times New Roman" w:hAnsi="Garamond" w:cs="Calibri"/>
                <w:sz w:val="22"/>
                <w:szCs w:val="22"/>
              </w:rPr>
              <w:t xml:space="preserve">Заявитель вправе прекратить процедуру присвоения статуса субъекта оптового рынка </w:t>
            </w:r>
            <w:r w:rsidRPr="00AD67C2">
              <w:rPr>
                <w:rFonts w:ascii="Garamond" w:eastAsia="Times New Roman" w:hAnsi="Garamond" w:cs="Calibri"/>
                <w:sz w:val="22"/>
                <w:szCs w:val="22"/>
                <w:highlight w:val="yellow"/>
              </w:rPr>
              <w:t>электрической энергии</w:t>
            </w:r>
            <w:r w:rsidRPr="00AD67C2">
              <w:rPr>
                <w:rFonts w:ascii="Garamond" w:eastAsia="Times New Roman" w:hAnsi="Garamond" w:cs="Calibri"/>
                <w:sz w:val="22"/>
                <w:szCs w:val="22"/>
              </w:rPr>
              <w:t xml:space="preserve"> и включения в Реестр субъектов оптового рынка, </w:t>
            </w:r>
            <w:r w:rsidRPr="00AD67C2">
              <w:rPr>
                <w:rFonts w:ascii="Garamond" w:eastAsia="Times New Roman" w:hAnsi="Garamond" w:cs="Courier New"/>
                <w:sz w:val="22"/>
                <w:szCs w:val="22"/>
              </w:rPr>
              <w:t>направив в КО заявление о прекращении процедуры по форме 1П, указанной в приложении 1 к настоящему Положению (код формы GTP_ZAYAV_OTKAZ_WEB).</w:t>
            </w:r>
          </w:p>
          <w:p w14:paraId="6C79BBEA" w14:textId="77777777" w:rsidR="00D64294" w:rsidRPr="00AD67C2" w:rsidRDefault="00D64294" w:rsidP="00A43635">
            <w:pPr>
              <w:spacing w:after="120"/>
              <w:ind w:right="-55" w:firstLine="567"/>
              <w:jc w:val="both"/>
              <w:rPr>
                <w:rFonts w:ascii="Garamond" w:eastAsia="Times New Roman" w:hAnsi="Garamond"/>
                <w:sz w:val="22"/>
                <w:szCs w:val="22"/>
              </w:rPr>
            </w:pPr>
            <w:r w:rsidRPr="00AD67C2">
              <w:rPr>
                <w:rFonts w:ascii="Garamond" w:eastAsia="Times New Roman" w:hAnsi="Garamond"/>
                <w:sz w:val="22"/>
                <w:szCs w:val="22"/>
              </w:rPr>
              <w:t xml:space="preserve">Процедура </w:t>
            </w:r>
            <w:r w:rsidRPr="00AD67C2">
              <w:rPr>
                <w:rFonts w:ascii="Garamond" w:eastAsia="Times New Roman" w:hAnsi="Garamond" w:cs="Calibri"/>
                <w:sz w:val="22"/>
                <w:szCs w:val="22"/>
              </w:rPr>
              <w:t xml:space="preserve">присвоения статуса субъекта оптового рынка </w:t>
            </w:r>
            <w:r w:rsidRPr="00AD67C2">
              <w:rPr>
                <w:rFonts w:ascii="Garamond" w:eastAsia="Times New Roman" w:hAnsi="Garamond" w:cs="Calibri"/>
                <w:sz w:val="22"/>
                <w:szCs w:val="22"/>
                <w:highlight w:val="yellow"/>
              </w:rPr>
              <w:t>электрической энергии</w:t>
            </w:r>
            <w:r w:rsidRPr="00AD67C2">
              <w:rPr>
                <w:rFonts w:ascii="Garamond" w:eastAsia="Times New Roman" w:hAnsi="Garamond" w:cs="Calibri"/>
                <w:sz w:val="22"/>
                <w:szCs w:val="22"/>
              </w:rPr>
              <w:t xml:space="preserve"> и включения в Реестр субъектов оптового рынка</w:t>
            </w:r>
            <w:r w:rsidRPr="00AD67C2">
              <w:rPr>
                <w:rFonts w:ascii="Garamond" w:eastAsia="Times New Roman" w:hAnsi="Garamond"/>
                <w:sz w:val="22"/>
                <w:szCs w:val="22"/>
              </w:rPr>
              <w:t xml:space="preserve"> прекращается в срок не позднее 1 (одного) рабочего дня с даты регистрации КО указанного заявления.</w:t>
            </w:r>
          </w:p>
          <w:p w14:paraId="2A588709" w14:textId="35365DED" w:rsidR="00D64294" w:rsidRPr="00AD67C2" w:rsidRDefault="00D64294" w:rsidP="00AD67C2">
            <w:pPr>
              <w:tabs>
                <w:tab w:val="left" w:pos="1320"/>
              </w:tabs>
              <w:spacing w:before="120" w:after="120"/>
              <w:ind w:firstLine="600"/>
              <w:jc w:val="both"/>
              <w:rPr>
                <w:rFonts w:ascii="Garamond" w:eastAsia="Times New Roman" w:hAnsi="Garamond"/>
                <w:sz w:val="22"/>
                <w:szCs w:val="22"/>
              </w:rPr>
            </w:pPr>
            <w:r w:rsidRPr="00AD67C2">
              <w:rPr>
                <w:rFonts w:ascii="Garamond" w:eastAsia="Times New Roman" w:hAnsi="Garamond"/>
                <w:sz w:val="22"/>
                <w:szCs w:val="22"/>
              </w:rPr>
              <w:t xml:space="preserve">При наличии замечаний к заявлению либо, если процедура </w:t>
            </w:r>
            <w:r w:rsidRPr="00AD67C2">
              <w:rPr>
                <w:rFonts w:ascii="Garamond" w:eastAsia="Times New Roman" w:hAnsi="Garamond" w:cs="Calibri"/>
                <w:sz w:val="22"/>
                <w:szCs w:val="22"/>
              </w:rPr>
              <w:t xml:space="preserve">присвоения статуса субъекта оптового рынка </w:t>
            </w:r>
            <w:r w:rsidRPr="00AD67C2">
              <w:rPr>
                <w:rFonts w:ascii="Garamond" w:eastAsia="Times New Roman" w:hAnsi="Garamond" w:cs="Calibri"/>
                <w:sz w:val="22"/>
                <w:szCs w:val="22"/>
                <w:highlight w:val="yellow"/>
              </w:rPr>
              <w:t>электрической энергии</w:t>
            </w:r>
            <w:r w:rsidRPr="00AD67C2">
              <w:rPr>
                <w:rFonts w:ascii="Garamond" w:eastAsia="Times New Roman" w:hAnsi="Garamond" w:cs="Calibri"/>
                <w:sz w:val="22"/>
                <w:szCs w:val="22"/>
              </w:rPr>
              <w:t xml:space="preserve"> и включения в Реестр субъектов оптового рынка</w:t>
            </w:r>
            <w:r w:rsidRPr="00AD67C2">
              <w:rPr>
                <w:rFonts w:ascii="Garamond" w:eastAsia="Times New Roman" w:hAnsi="Garamond"/>
                <w:sz w:val="22"/>
                <w:szCs w:val="22"/>
              </w:rPr>
              <w:t xml:space="preserve"> на дату рассмотрения заявления завершена или прекращена, КО в течение 2 (двух) рабочих дней с даты регистрации указанного заявления направляет заявителю уведомление об отказе в прекращении процедуры.</w:t>
            </w:r>
          </w:p>
        </w:tc>
        <w:tc>
          <w:tcPr>
            <w:tcW w:w="7087" w:type="dxa"/>
            <w:tcBorders>
              <w:top w:val="single" w:sz="4" w:space="0" w:color="auto"/>
              <w:left w:val="single" w:sz="4" w:space="0" w:color="auto"/>
              <w:bottom w:val="single" w:sz="4" w:space="0" w:color="auto"/>
              <w:right w:val="single" w:sz="4" w:space="0" w:color="auto"/>
            </w:tcBorders>
          </w:tcPr>
          <w:p w14:paraId="21414022" w14:textId="77777777" w:rsidR="00D64294" w:rsidRPr="00AD67C2" w:rsidRDefault="00D64294" w:rsidP="00A43635">
            <w:pPr>
              <w:shd w:val="clear" w:color="auto" w:fill="FFFFFF"/>
              <w:tabs>
                <w:tab w:val="left" w:pos="720"/>
                <w:tab w:val="left" w:pos="1320"/>
              </w:tabs>
              <w:spacing w:before="120" w:after="120"/>
              <w:ind w:left="34" w:firstLine="567"/>
              <w:jc w:val="both"/>
              <w:rPr>
                <w:rFonts w:ascii="Garamond" w:eastAsia="Times New Roman" w:hAnsi="Garamond" w:cs="Courier New"/>
                <w:sz w:val="22"/>
                <w:szCs w:val="22"/>
              </w:rPr>
            </w:pPr>
            <w:r w:rsidRPr="00AD67C2">
              <w:rPr>
                <w:rFonts w:ascii="Garamond" w:eastAsia="Times New Roman" w:hAnsi="Garamond" w:cs="Calibri"/>
                <w:sz w:val="22"/>
                <w:szCs w:val="22"/>
              </w:rPr>
              <w:t xml:space="preserve">Заявитель вправе прекратить процедуру присвоения статуса субъекта оптового рынка и включения в Реестр субъектов оптового рынка, </w:t>
            </w:r>
            <w:r w:rsidRPr="00AD67C2">
              <w:rPr>
                <w:rFonts w:ascii="Garamond" w:eastAsia="Times New Roman" w:hAnsi="Garamond" w:cs="Courier New"/>
                <w:sz w:val="22"/>
                <w:szCs w:val="22"/>
              </w:rPr>
              <w:t>направив в КО заявление о прекращении процедуры по форме 1П, указанной в приложении 1 к настоящему Положению (код формы GTP_ZAYAV_OTKAZ_WEB).</w:t>
            </w:r>
          </w:p>
          <w:p w14:paraId="5F46265A" w14:textId="77777777" w:rsidR="00D64294" w:rsidRPr="00AD67C2" w:rsidRDefault="00D64294" w:rsidP="00A43635">
            <w:pPr>
              <w:spacing w:after="120"/>
              <w:ind w:right="-55" w:firstLine="567"/>
              <w:jc w:val="both"/>
              <w:rPr>
                <w:rFonts w:ascii="Garamond" w:eastAsia="Times New Roman" w:hAnsi="Garamond"/>
                <w:sz w:val="22"/>
                <w:szCs w:val="22"/>
              </w:rPr>
            </w:pPr>
            <w:r w:rsidRPr="00AD67C2">
              <w:rPr>
                <w:rFonts w:ascii="Garamond" w:eastAsia="Times New Roman" w:hAnsi="Garamond"/>
                <w:sz w:val="22"/>
                <w:szCs w:val="22"/>
              </w:rPr>
              <w:t xml:space="preserve">Процедура </w:t>
            </w:r>
            <w:r w:rsidRPr="00AD67C2">
              <w:rPr>
                <w:rFonts w:ascii="Garamond" w:eastAsia="Times New Roman" w:hAnsi="Garamond" w:cs="Calibri"/>
                <w:sz w:val="22"/>
                <w:szCs w:val="22"/>
              </w:rPr>
              <w:t>присвоения статуса субъекта оптового рынка и включения в Реестр субъектов оптового рынка</w:t>
            </w:r>
            <w:r w:rsidRPr="00AD67C2">
              <w:rPr>
                <w:rFonts w:ascii="Garamond" w:eastAsia="Times New Roman" w:hAnsi="Garamond"/>
                <w:sz w:val="22"/>
                <w:szCs w:val="22"/>
              </w:rPr>
              <w:t xml:space="preserve"> прекращается в срок не позднее 1 (одного) рабочего дня с даты регистрации КО указанного заявления.</w:t>
            </w:r>
          </w:p>
          <w:p w14:paraId="4F19C79F" w14:textId="17AE1CD4" w:rsidR="00D64294" w:rsidRPr="00AD67C2" w:rsidRDefault="00D64294" w:rsidP="00AD67C2">
            <w:pPr>
              <w:tabs>
                <w:tab w:val="left" w:pos="1320"/>
              </w:tabs>
              <w:spacing w:before="120" w:after="120"/>
              <w:ind w:firstLine="600"/>
              <w:jc w:val="both"/>
              <w:rPr>
                <w:rFonts w:ascii="Garamond" w:eastAsia="Times New Roman" w:hAnsi="Garamond"/>
                <w:sz w:val="22"/>
                <w:szCs w:val="22"/>
              </w:rPr>
            </w:pPr>
            <w:r w:rsidRPr="00AD67C2">
              <w:rPr>
                <w:rFonts w:ascii="Garamond" w:eastAsia="Times New Roman" w:hAnsi="Garamond"/>
                <w:sz w:val="22"/>
                <w:szCs w:val="22"/>
              </w:rPr>
              <w:t xml:space="preserve">При наличии замечаний к заявлению либо, если процедура </w:t>
            </w:r>
            <w:r w:rsidRPr="00AD67C2">
              <w:rPr>
                <w:rFonts w:ascii="Garamond" w:eastAsia="Times New Roman" w:hAnsi="Garamond" w:cs="Calibri"/>
                <w:sz w:val="22"/>
                <w:szCs w:val="22"/>
              </w:rPr>
              <w:t>присвоения статуса субъекта оптового рынка и включения в Реестр субъектов оптового рынка</w:t>
            </w:r>
            <w:r w:rsidRPr="00AD67C2">
              <w:rPr>
                <w:rFonts w:ascii="Garamond" w:eastAsia="Times New Roman" w:hAnsi="Garamond"/>
                <w:sz w:val="22"/>
                <w:szCs w:val="22"/>
              </w:rPr>
              <w:t xml:space="preserve"> на дату рассмотрения заявления завершена или прекращена, КО в течение 2 (двух) рабочих дней с даты регистрации указанного заявления направляет заявителю уведомление об отказе в прекращении процедуры.</w:t>
            </w:r>
          </w:p>
        </w:tc>
      </w:tr>
      <w:tr w:rsidR="00D64294" w:rsidRPr="00AD67C2" w14:paraId="201B939A" w14:textId="77777777" w:rsidTr="00AD67C2">
        <w:trPr>
          <w:trHeight w:val="557"/>
        </w:trPr>
        <w:tc>
          <w:tcPr>
            <w:tcW w:w="1022" w:type="dxa"/>
            <w:tcBorders>
              <w:top w:val="single" w:sz="4" w:space="0" w:color="auto"/>
              <w:left w:val="single" w:sz="4" w:space="0" w:color="auto"/>
              <w:bottom w:val="single" w:sz="4" w:space="0" w:color="auto"/>
              <w:right w:val="single" w:sz="4" w:space="0" w:color="auto"/>
            </w:tcBorders>
            <w:vAlign w:val="center"/>
          </w:tcPr>
          <w:p w14:paraId="06301367" w14:textId="77777777" w:rsidR="00D64294" w:rsidRPr="00AD67C2" w:rsidRDefault="00D64294" w:rsidP="00A43635">
            <w:pPr>
              <w:widowControl w:val="0"/>
              <w:jc w:val="center"/>
              <w:rPr>
                <w:rFonts w:ascii="Garamond" w:hAnsi="Garamond"/>
                <w:b/>
                <w:sz w:val="22"/>
                <w:szCs w:val="22"/>
                <w:lang w:eastAsia="en-US"/>
              </w:rPr>
            </w:pPr>
            <w:r w:rsidRPr="00AD67C2">
              <w:rPr>
                <w:rFonts w:ascii="Garamond" w:hAnsi="Garamond"/>
                <w:b/>
                <w:sz w:val="22"/>
                <w:szCs w:val="22"/>
                <w:lang w:eastAsia="en-US"/>
              </w:rPr>
              <w:t>3.3.1</w:t>
            </w:r>
          </w:p>
        </w:tc>
        <w:tc>
          <w:tcPr>
            <w:tcW w:w="6662" w:type="dxa"/>
            <w:tcBorders>
              <w:top w:val="single" w:sz="4" w:space="0" w:color="auto"/>
              <w:left w:val="single" w:sz="4" w:space="0" w:color="auto"/>
              <w:bottom w:val="single" w:sz="4" w:space="0" w:color="auto"/>
              <w:right w:val="single" w:sz="4" w:space="0" w:color="auto"/>
            </w:tcBorders>
          </w:tcPr>
          <w:p w14:paraId="7D651D26" w14:textId="77777777" w:rsidR="00D64294" w:rsidRPr="00AD67C2" w:rsidRDefault="00D64294" w:rsidP="00A43635">
            <w:pPr>
              <w:tabs>
                <w:tab w:val="left" w:pos="1200"/>
              </w:tabs>
              <w:spacing w:before="120" w:after="120"/>
              <w:ind w:firstLine="600"/>
              <w:jc w:val="both"/>
              <w:rPr>
                <w:rFonts w:ascii="Garamond" w:eastAsia="Times New Roman" w:hAnsi="Garamond"/>
                <w:sz w:val="22"/>
                <w:szCs w:val="22"/>
              </w:rPr>
            </w:pPr>
            <w:r w:rsidRPr="00AD67C2">
              <w:rPr>
                <w:rFonts w:ascii="Garamond" w:eastAsia="Times New Roman" w:hAnsi="Garamond"/>
                <w:sz w:val="22"/>
                <w:szCs w:val="22"/>
              </w:rPr>
              <w:t>3.3.1.</w:t>
            </w:r>
            <w:r w:rsidRPr="00AD67C2">
              <w:rPr>
                <w:rFonts w:ascii="Garamond" w:eastAsia="Times New Roman" w:hAnsi="Garamond"/>
                <w:sz w:val="22"/>
                <w:szCs w:val="22"/>
              </w:rPr>
              <w:tab/>
              <w:t>Реестр субъектов оптового рынка состоит из следующих разделов:</w:t>
            </w:r>
          </w:p>
          <w:p w14:paraId="2B1C26A1" w14:textId="77777777" w:rsidR="00D64294" w:rsidRPr="00AD67C2" w:rsidRDefault="00D64294" w:rsidP="00A43635">
            <w:pPr>
              <w:tabs>
                <w:tab w:val="left" w:pos="1200"/>
              </w:tabs>
              <w:spacing w:before="120" w:after="120"/>
              <w:ind w:firstLine="600"/>
              <w:jc w:val="both"/>
              <w:rPr>
                <w:rFonts w:ascii="Garamond" w:eastAsia="Times New Roman" w:hAnsi="Garamond"/>
                <w:sz w:val="22"/>
                <w:szCs w:val="22"/>
              </w:rPr>
            </w:pPr>
            <w:r w:rsidRPr="00AD67C2">
              <w:rPr>
                <w:rFonts w:ascii="Garamond" w:eastAsia="Times New Roman" w:hAnsi="Garamond"/>
                <w:sz w:val="22"/>
                <w:szCs w:val="22"/>
              </w:rPr>
              <w:t>Раздел 1. Поставщики электрической энергии и мощности.</w:t>
            </w:r>
          </w:p>
          <w:p w14:paraId="7202B0A6" w14:textId="77777777" w:rsidR="00D64294" w:rsidRPr="00AD67C2" w:rsidRDefault="00D64294" w:rsidP="00A43635">
            <w:pPr>
              <w:tabs>
                <w:tab w:val="left" w:pos="1200"/>
              </w:tabs>
              <w:spacing w:before="120" w:after="120"/>
              <w:ind w:left="600"/>
              <w:jc w:val="both"/>
              <w:rPr>
                <w:rFonts w:ascii="Garamond" w:eastAsia="Times New Roman" w:hAnsi="Garamond"/>
                <w:sz w:val="22"/>
                <w:szCs w:val="22"/>
              </w:rPr>
            </w:pPr>
            <w:r w:rsidRPr="00AD67C2">
              <w:rPr>
                <w:rFonts w:ascii="Garamond" w:eastAsia="Times New Roman" w:hAnsi="Garamond"/>
                <w:sz w:val="22"/>
                <w:szCs w:val="22"/>
              </w:rPr>
              <w:t>Раздел 2. Покупатели электрической энергии и мощности.</w:t>
            </w:r>
          </w:p>
          <w:p w14:paraId="6C3FB90D" w14:textId="77777777" w:rsidR="00D64294" w:rsidRPr="00AD67C2" w:rsidRDefault="008800D7" w:rsidP="00A43635">
            <w:pPr>
              <w:tabs>
                <w:tab w:val="left" w:pos="960"/>
                <w:tab w:val="left" w:pos="1200"/>
                <w:tab w:val="left" w:pos="2127"/>
              </w:tabs>
              <w:autoSpaceDE w:val="0"/>
              <w:autoSpaceDN w:val="0"/>
              <w:spacing w:before="120" w:after="120"/>
              <w:ind w:left="960"/>
              <w:jc w:val="both"/>
              <w:rPr>
                <w:rFonts w:ascii="Garamond" w:eastAsia="Times New Roman" w:hAnsi="Garamond"/>
                <w:sz w:val="22"/>
                <w:szCs w:val="22"/>
              </w:rPr>
            </w:pPr>
            <w:hyperlink r:id="rId12" w:tooltip="Энергосбытовые организации" w:history="1">
              <w:r w:rsidR="00D64294" w:rsidRPr="00AD67C2">
                <w:rPr>
                  <w:rFonts w:ascii="Garamond" w:eastAsia="Times New Roman" w:hAnsi="Garamond"/>
                  <w:sz w:val="22"/>
                  <w:szCs w:val="22"/>
                </w:rPr>
                <w:t>Подраздел 2.1. Энергосбытовые организации.</w:t>
              </w:r>
            </w:hyperlink>
            <w:r w:rsidR="00D64294" w:rsidRPr="00AD67C2">
              <w:rPr>
                <w:rFonts w:ascii="Garamond" w:eastAsia="Times New Roman" w:hAnsi="Garamond"/>
                <w:sz w:val="22"/>
                <w:szCs w:val="22"/>
              </w:rPr>
              <w:t xml:space="preserve"> </w:t>
            </w:r>
          </w:p>
          <w:p w14:paraId="63AB2587" w14:textId="77777777" w:rsidR="00D64294" w:rsidRPr="00AD67C2" w:rsidRDefault="008800D7" w:rsidP="00A43635">
            <w:pPr>
              <w:tabs>
                <w:tab w:val="left" w:pos="960"/>
                <w:tab w:val="left" w:pos="1200"/>
                <w:tab w:val="left" w:pos="2127"/>
              </w:tabs>
              <w:autoSpaceDE w:val="0"/>
              <w:autoSpaceDN w:val="0"/>
              <w:spacing w:before="120" w:after="120"/>
              <w:ind w:left="960"/>
              <w:jc w:val="both"/>
              <w:rPr>
                <w:rFonts w:ascii="Garamond" w:eastAsia="Times New Roman" w:hAnsi="Garamond"/>
                <w:sz w:val="22"/>
                <w:szCs w:val="22"/>
              </w:rPr>
            </w:pPr>
            <w:hyperlink r:id="rId13" w:tooltip="Крупные потребители" w:history="1">
              <w:r w:rsidR="00D64294" w:rsidRPr="00AD67C2">
                <w:rPr>
                  <w:rFonts w:ascii="Garamond" w:eastAsia="Times New Roman" w:hAnsi="Garamond"/>
                  <w:sz w:val="22"/>
                  <w:szCs w:val="22"/>
                </w:rPr>
                <w:t>Подраздел 2.2. Крупные потребители.</w:t>
              </w:r>
            </w:hyperlink>
          </w:p>
          <w:p w14:paraId="37CB84FC" w14:textId="77777777" w:rsidR="00D64294" w:rsidRPr="00AD67C2" w:rsidRDefault="008800D7" w:rsidP="00A43635">
            <w:pPr>
              <w:tabs>
                <w:tab w:val="left" w:pos="960"/>
                <w:tab w:val="left" w:pos="1200"/>
                <w:tab w:val="left" w:pos="2127"/>
              </w:tabs>
              <w:autoSpaceDE w:val="0"/>
              <w:autoSpaceDN w:val="0"/>
              <w:spacing w:before="120" w:after="120"/>
              <w:ind w:left="960"/>
              <w:jc w:val="both"/>
              <w:rPr>
                <w:rFonts w:ascii="Garamond" w:eastAsia="Times New Roman" w:hAnsi="Garamond"/>
                <w:sz w:val="22"/>
                <w:szCs w:val="22"/>
              </w:rPr>
            </w:pPr>
            <w:hyperlink r:id="rId14" w:tooltip="Гарантирующие поставщики" w:history="1">
              <w:r w:rsidR="00D64294" w:rsidRPr="00AD67C2">
                <w:rPr>
                  <w:rFonts w:ascii="Garamond" w:eastAsia="Times New Roman" w:hAnsi="Garamond"/>
                  <w:sz w:val="22"/>
                  <w:szCs w:val="22"/>
                </w:rPr>
                <w:t>Подраздел 2.3. Гарантирующие поставщики.</w:t>
              </w:r>
            </w:hyperlink>
          </w:p>
          <w:p w14:paraId="15B98254" w14:textId="77777777" w:rsidR="00D64294" w:rsidRPr="00AD67C2" w:rsidRDefault="008800D7" w:rsidP="00A43635">
            <w:pPr>
              <w:tabs>
                <w:tab w:val="left" w:pos="960"/>
                <w:tab w:val="left" w:pos="1200"/>
                <w:tab w:val="left" w:pos="2127"/>
              </w:tabs>
              <w:autoSpaceDE w:val="0"/>
              <w:autoSpaceDN w:val="0"/>
              <w:spacing w:before="120" w:after="120"/>
              <w:ind w:left="960"/>
              <w:jc w:val="both"/>
              <w:rPr>
                <w:rFonts w:ascii="Garamond" w:eastAsia="Times New Roman" w:hAnsi="Garamond"/>
                <w:sz w:val="22"/>
                <w:szCs w:val="22"/>
              </w:rPr>
            </w:pPr>
            <w:hyperlink r:id="rId15" w:tooltip="Организации, осуществляющие экспортно-импортные операции" w:history="1">
              <w:r w:rsidR="00D64294" w:rsidRPr="00AD67C2">
                <w:rPr>
                  <w:rFonts w:ascii="Garamond" w:eastAsia="Times New Roman" w:hAnsi="Garamond"/>
                  <w:sz w:val="22"/>
                  <w:szCs w:val="22"/>
                </w:rPr>
                <w:t>Подраздел 2.4. Организации, осуществляющие экспортно-импортные операции.</w:t>
              </w:r>
            </w:hyperlink>
          </w:p>
          <w:p w14:paraId="08C98EA3" w14:textId="77777777" w:rsidR="00D64294" w:rsidRPr="00AD67C2" w:rsidRDefault="008800D7" w:rsidP="00A43635">
            <w:pPr>
              <w:tabs>
                <w:tab w:val="left" w:pos="960"/>
                <w:tab w:val="left" w:pos="1200"/>
                <w:tab w:val="left" w:pos="2127"/>
              </w:tabs>
              <w:autoSpaceDE w:val="0"/>
              <w:autoSpaceDN w:val="0"/>
              <w:spacing w:before="120" w:after="120"/>
              <w:ind w:left="960"/>
              <w:jc w:val="both"/>
              <w:rPr>
                <w:rFonts w:ascii="Garamond" w:eastAsia="Times New Roman" w:hAnsi="Garamond"/>
                <w:sz w:val="22"/>
                <w:szCs w:val="22"/>
              </w:rPr>
            </w:pPr>
            <w:hyperlink r:id="rId16" w:tooltip="Организации, осуществляющие экспортно-импортные операции" w:history="1">
              <w:r w:rsidR="00D64294" w:rsidRPr="00AD67C2">
                <w:rPr>
                  <w:rFonts w:ascii="Garamond" w:eastAsia="Times New Roman" w:hAnsi="Garamond"/>
                  <w:sz w:val="22"/>
                  <w:szCs w:val="22"/>
                </w:rPr>
                <w:t>Подраздел 2.5. Территориальные сетевые организации в целях осуществления функций гарантирующего поставщика.</w:t>
              </w:r>
            </w:hyperlink>
          </w:p>
          <w:p w14:paraId="3771A695" w14:textId="77777777" w:rsidR="00D64294" w:rsidRPr="00AD67C2" w:rsidRDefault="00D64294" w:rsidP="00A43635">
            <w:pPr>
              <w:spacing w:before="120" w:after="120"/>
              <w:ind w:left="602"/>
              <w:jc w:val="both"/>
              <w:rPr>
                <w:rFonts w:ascii="Garamond" w:eastAsia="Times New Roman" w:hAnsi="Garamond"/>
                <w:sz w:val="22"/>
                <w:szCs w:val="22"/>
              </w:rPr>
            </w:pPr>
            <w:r w:rsidRPr="00AD67C2">
              <w:rPr>
                <w:rFonts w:ascii="Garamond" w:eastAsia="Times New Roman" w:hAnsi="Garamond"/>
                <w:sz w:val="22"/>
                <w:szCs w:val="22"/>
              </w:rPr>
              <w:t>Раздел 3. Инфраструктурные организации.</w:t>
            </w:r>
          </w:p>
        </w:tc>
        <w:tc>
          <w:tcPr>
            <w:tcW w:w="7087" w:type="dxa"/>
            <w:tcBorders>
              <w:top w:val="single" w:sz="4" w:space="0" w:color="auto"/>
              <w:left w:val="single" w:sz="4" w:space="0" w:color="auto"/>
              <w:bottom w:val="single" w:sz="4" w:space="0" w:color="auto"/>
              <w:right w:val="single" w:sz="4" w:space="0" w:color="auto"/>
            </w:tcBorders>
          </w:tcPr>
          <w:p w14:paraId="1E1071C8" w14:textId="77777777" w:rsidR="00D64294" w:rsidRPr="00AD67C2" w:rsidRDefault="00D64294" w:rsidP="00A43635">
            <w:pPr>
              <w:tabs>
                <w:tab w:val="left" w:pos="1200"/>
              </w:tabs>
              <w:spacing w:before="120" w:after="120"/>
              <w:ind w:firstLine="600"/>
              <w:jc w:val="both"/>
              <w:rPr>
                <w:rFonts w:ascii="Garamond" w:eastAsia="Times New Roman" w:hAnsi="Garamond"/>
                <w:sz w:val="22"/>
                <w:szCs w:val="22"/>
              </w:rPr>
            </w:pPr>
            <w:r w:rsidRPr="00AD67C2">
              <w:rPr>
                <w:rFonts w:ascii="Garamond" w:eastAsia="Times New Roman" w:hAnsi="Garamond"/>
                <w:sz w:val="22"/>
                <w:szCs w:val="22"/>
              </w:rPr>
              <w:lastRenderedPageBreak/>
              <w:t>3.3.1.</w:t>
            </w:r>
            <w:r w:rsidRPr="00AD67C2">
              <w:rPr>
                <w:rFonts w:ascii="Garamond" w:eastAsia="Times New Roman" w:hAnsi="Garamond"/>
                <w:sz w:val="22"/>
                <w:szCs w:val="22"/>
              </w:rPr>
              <w:tab/>
              <w:t>Реестр субъектов оптового рынка состоит из следующих разделов:</w:t>
            </w:r>
          </w:p>
          <w:p w14:paraId="77E9BC5A" w14:textId="77777777" w:rsidR="00D64294" w:rsidRPr="00AD67C2" w:rsidRDefault="00D64294" w:rsidP="00A43635">
            <w:pPr>
              <w:tabs>
                <w:tab w:val="left" w:pos="1200"/>
              </w:tabs>
              <w:spacing w:before="120" w:after="120"/>
              <w:ind w:firstLine="600"/>
              <w:jc w:val="both"/>
              <w:rPr>
                <w:rFonts w:ascii="Garamond" w:eastAsia="Times New Roman" w:hAnsi="Garamond"/>
                <w:sz w:val="22"/>
                <w:szCs w:val="22"/>
              </w:rPr>
            </w:pPr>
            <w:r w:rsidRPr="00AD67C2">
              <w:rPr>
                <w:rFonts w:ascii="Garamond" w:eastAsia="Times New Roman" w:hAnsi="Garamond"/>
                <w:sz w:val="22"/>
                <w:szCs w:val="22"/>
              </w:rPr>
              <w:t>Раздел 1. Поставщики электрической энергии и мощности.</w:t>
            </w:r>
          </w:p>
          <w:p w14:paraId="5CEBB976" w14:textId="77777777" w:rsidR="00D64294" w:rsidRPr="00AD67C2" w:rsidRDefault="00D64294" w:rsidP="00A43635">
            <w:pPr>
              <w:tabs>
                <w:tab w:val="left" w:pos="1200"/>
              </w:tabs>
              <w:spacing w:before="120" w:after="120"/>
              <w:ind w:left="600"/>
              <w:jc w:val="both"/>
              <w:rPr>
                <w:rFonts w:ascii="Garamond" w:eastAsia="Times New Roman" w:hAnsi="Garamond"/>
                <w:sz w:val="22"/>
                <w:szCs w:val="22"/>
              </w:rPr>
            </w:pPr>
            <w:r w:rsidRPr="00AD67C2">
              <w:rPr>
                <w:rFonts w:ascii="Garamond" w:eastAsia="Times New Roman" w:hAnsi="Garamond"/>
                <w:sz w:val="22"/>
                <w:szCs w:val="22"/>
              </w:rPr>
              <w:t>Раздел 2. Покупатели электрической энергии и мощности.</w:t>
            </w:r>
          </w:p>
          <w:p w14:paraId="5A36CBF1" w14:textId="77777777" w:rsidR="00D64294" w:rsidRPr="00AD67C2" w:rsidRDefault="008800D7" w:rsidP="00A43635">
            <w:pPr>
              <w:tabs>
                <w:tab w:val="left" w:pos="960"/>
                <w:tab w:val="left" w:pos="1200"/>
                <w:tab w:val="left" w:pos="2127"/>
              </w:tabs>
              <w:autoSpaceDE w:val="0"/>
              <w:autoSpaceDN w:val="0"/>
              <w:spacing w:before="120" w:after="120"/>
              <w:ind w:left="960"/>
              <w:jc w:val="both"/>
              <w:rPr>
                <w:rFonts w:ascii="Garamond" w:eastAsia="Times New Roman" w:hAnsi="Garamond"/>
                <w:sz w:val="22"/>
                <w:szCs w:val="22"/>
              </w:rPr>
            </w:pPr>
            <w:hyperlink r:id="rId17" w:tooltip="Энергосбытовые организации" w:history="1">
              <w:r w:rsidR="00D64294" w:rsidRPr="00AD67C2">
                <w:rPr>
                  <w:rFonts w:ascii="Garamond" w:eastAsia="Times New Roman" w:hAnsi="Garamond"/>
                  <w:sz w:val="22"/>
                  <w:szCs w:val="22"/>
                </w:rPr>
                <w:t>Подраздел 2.1. Энергосбытовые организации.</w:t>
              </w:r>
            </w:hyperlink>
            <w:r w:rsidR="00D64294" w:rsidRPr="00AD67C2">
              <w:rPr>
                <w:rFonts w:ascii="Garamond" w:eastAsia="Times New Roman" w:hAnsi="Garamond"/>
                <w:sz w:val="22"/>
                <w:szCs w:val="22"/>
              </w:rPr>
              <w:t xml:space="preserve"> </w:t>
            </w:r>
          </w:p>
          <w:p w14:paraId="033AC1DC" w14:textId="77777777" w:rsidR="00D64294" w:rsidRPr="00AD67C2" w:rsidRDefault="008800D7" w:rsidP="00A43635">
            <w:pPr>
              <w:tabs>
                <w:tab w:val="left" w:pos="960"/>
                <w:tab w:val="left" w:pos="1200"/>
                <w:tab w:val="left" w:pos="2127"/>
              </w:tabs>
              <w:autoSpaceDE w:val="0"/>
              <w:autoSpaceDN w:val="0"/>
              <w:spacing w:before="120" w:after="120"/>
              <w:ind w:left="960"/>
              <w:jc w:val="both"/>
              <w:rPr>
                <w:rFonts w:ascii="Garamond" w:eastAsia="Times New Roman" w:hAnsi="Garamond"/>
                <w:sz w:val="22"/>
                <w:szCs w:val="22"/>
              </w:rPr>
            </w:pPr>
            <w:hyperlink r:id="rId18" w:tooltip="Крупные потребители" w:history="1">
              <w:r w:rsidR="00D64294" w:rsidRPr="00AD67C2">
                <w:rPr>
                  <w:rFonts w:ascii="Garamond" w:eastAsia="Times New Roman" w:hAnsi="Garamond"/>
                  <w:sz w:val="22"/>
                  <w:szCs w:val="22"/>
                </w:rPr>
                <w:t>Подраздел 2.2. Крупные потребители.</w:t>
              </w:r>
            </w:hyperlink>
          </w:p>
          <w:p w14:paraId="002BB838" w14:textId="77777777" w:rsidR="00D64294" w:rsidRPr="00AD67C2" w:rsidRDefault="008800D7" w:rsidP="00A43635">
            <w:pPr>
              <w:tabs>
                <w:tab w:val="left" w:pos="960"/>
                <w:tab w:val="left" w:pos="1200"/>
                <w:tab w:val="left" w:pos="2127"/>
              </w:tabs>
              <w:autoSpaceDE w:val="0"/>
              <w:autoSpaceDN w:val="0"/>
              <w:spacing w:before="120" w:after="120"/>
              <w:ind w:left="960"/>
              <w:jc w:val="both"/>
              <w:rPr>
                <w:rFonts w:ascii="Garamond" w:eastAsia="Times New Roman" w:hAnsi="Garamond"/>
                <w:sz w:val="22"/>
                <w:szCs w:val="22"/>
              </w:rPr>
            </w:pPr>
            <w:hyperlink r:id="rId19" w:tooltip="Гарантирующие поставщики" w:history="1">
              <w:r w:rsidR="00D64294" w:rsidRPr="00AD67C2">
                <w:rPr>
                  <w:rFonts w:ascii="Garamond" w:eastAsia="Times New Roman" w:hAnsi="Garamond"/>
                  <w:sz w:val="22"/>
                  <w:szCs w:val="22"/>
                </w:rPr>
                <w:t>Подраздел 2.3. Гарантирующие поставщики.</w:t>
              </w:r>
            </w:hyperlink>
          </w:p>
          <w:p w14:paraId="2846DEAA" w14:textId="77777777" w:rsidR="00D64294" w:rsidRPr="00AD67C2" w:rsidRDefault="008800D7" w:rsidP="00A43635">
            <w:pPr>
              <w:tabs>
                <w:tab w:val="left" w:pos="960"/>
                <w:tab w:val="left" w:pos="1200"/>
                <w:tab w:val="left" w:pos="2127"/>
              </w:tabs>
              <w:autoSpaceDE w:val="0"/>
              <w:autoSpaceDN w:val="0"/>
              <w:spacing w:before="120" w:after="120"/>
              <w:ind w:left="960"/>
              <w:jc w:val="both"/>
              <w:rPr>
                <w:rFonts w:ascii="Garamond" w:eastAsia="Times New Roman" w:hAnsi="Garamond"/>
                <w:sz w:val="22"/>
                <w:szCs w:val="22"/>
              </w:rPr>
            </w:pPr>
            <w:hyperlink r:id="rId20" w:tooltip="Организации, осуществляющие экспортно-импортные операции" w:history="1">
              <w:r w:rsidR="00D64294" w:rsidRPr="00AD67C2">
                <w:rPr>
                  <w:rFonts w:ascii="Garamond" w:eastAsia="Times New Roman" w:hAnsi="Garamond"/>
                  <w:sz w:val="22"/>
                  <w:szCs w:val="22"/>
                </w:rPr>
                <w:t>Подраздел 2.4. Организации, осуществляющие экспортно-импортные операции.</w:t>
              </w:r>
            </w:hyperlink>
          </w:p>
          <w:p w14:paraId="41D8F193" w14:textId="77777777" w:rsidR="00D64294" w:rsidRPr="00AD67C2" w:rsidRDefault="008800D7" w:rsidP="00A43635">
            <w:pPr>
              <w:tabs>
                <w:tab w:val="left" w:pos="960"/>
                <w:tab w:val="left" w:pos="1200"/>
                <w:tab w:val="left" w:pos="2127"/>
              </w:tabs>
              <w:autoSpaceDE w:val="0"/>
              <w:autoSpaceDN w:val="0"/>
              <w:spacing w:before="120" w:after="120"/>
              <w:ind w:left="960"/>
              <w:jc w:val="both"/>
              <w:rPr>
                <w:rFonts w:ascii="Garamond" w:eastAsia="Times New Roman" w:hAnsi="Garamond"/>
                <w:sz w:val="22"/>
                <w:szCs w:val="22"/>
              </w:rPr>
            </w:pPr>
            <w:hyperlink r:id="rId21" w:tooltip="Организации, осуществляющие экспортно-импортные операции" w:history="1">
              <w:r w:rsidR="00D64294" w:rsidRPr="00AD67C2">
                <w:rPr>
                  <w:rFonts w:ascii="Garamond" w:eastAsia="Times New Roman" w:hAnsi="Garamond"/>
                  <w:sz w:val="22"/>
                  <w:szCs w:val="22"/>
                </w:rPr>
                <w:t>Подраздел 2.5. Территориальные сетевые организации в целях осуществления функций гарантирующего поставщика.</w:t>
              </w:r>
            </w:hyperlink>
          </w:p>
          <w:p w14:paraId="3AB86B78" w14:textId="77777777" w:rsidR="00D64294" w:rsidRPr="00AD67C2" w:rsidRDefault="00D64294" w:rsidP="00A43635">
            <w:pPr>
              <w:tabs>
                <w:tab w:val="left" w:pos="1309"/>
              </w:tabs>
              <w:spacing w:before="120" w:after="120"/>
              <w:ind w:left="602"/>
              <w:jc w:val="both"/>
              <w:rPr>
                <w:rFonts w:ascii="Garamond" w:eastAsia="Times New Roman" w:hAnsi="Garamond"/>
                <w:sz w:val="22"/>
                <w:szCs w:val="22"/>
              </w:rPr>
            </w:pPr>
            <w:r w:rsidRPr="00AD67C2">
              <w:rPr>
                <w:rFonts w:ascii="Garamond" w:eastAsia="Times New Roman" w:hAnsi="Garamond"/>
                <w:sz w:val="22"/>
                <w:szCs w:val="22"/>
              </w:rPr>
              <w:t>Раздел 3. Инфраструктурные организации.</w:t>
            </w:r>
          </w:p>
          <w:p w14:paraId="4FFFB6FB" w14:textId="77777777" w:rsidR="00D64294" w:rsidRPr="00AD67C2" w:rsidRDefault="00D64294" w:rsidP="00A43635">
            <w:pPr>
              <w:spacing w:before="120" w:after="120"/>
              <w:ind w:left="601" w:firstLine="1"/>
              <w:jc w:val="both"/>
              <w:rPr>
                <w:rFonts w:ascii="Garamond" w:eastAsia="Times New Roman" w:hAnsi="Garamond"/>
                <w:sz w:val="22"/>
                <w:szCs w:val="22"/>
              </w:rPr>
            </w:pPr>
            <w:r w:rsidRPr="00AD67C2">
              <w:rPr>
                <w:rFonts w:ascii="Garamond" w:eastAsia="Times New Roman" w:hAnsi="Garamond"/>
                <w:sz w:val="22"/>
                <w:szCs w:val="22"/>
                <w:highlight w:val="yellow"/>
              </w:rPr>
              <w:t>Раздел 4. Агрегаторы управления изменением режима потребления.</w:t>
            </w:r>
          </w:p>
        </w:tc>
      </w:tr>
      <w:tr w:rsidR="00D64294" w:rsidRPr="00AD67C2" w14:paraId="13F0A631" w14:textId="77777777" w:rsidTr="00AD67C2">
        <w:trPr>
          <w:trHeight w:val="557"/>
        </w:trPr>
        <w:tc>
          <w:tcPr>
            <w:tcW w:w="1022" w:type="dxa"/>
            <w:tcBorders>
              <w:top w:val="single" w:sz="4" w:space="0" w:color="auto"/>
              <w:left w:val="single" w:sz="4" w:space="0" w:color="auto"/>
              <w:bottom w:val="single" w:sz="4" w:space="0" w:color="auto"/>
              <w:right w:val="single" w:sz="4" w:space="0" w:color="auto"/>
            </w:tcBorders>
            <w:vAlign w:val="center"/>
          </w:tcPr>
          <w:p w14:paraId="5CFA3B4F" w14:textId="77777777" w:rsidR="00D64294" w:rsidRPr="00AD67C2" w:rsidRDefault="00D64294" w:rsidP="00A43635">
            <w:pPr>
              <w:widowControl w:val="0"/>
              <w:jc w:val="center"/>
              <w:rPr>
                <w:rFonts w:ascii="Garamond" w:hAnsi="Garamond"/>
                <w:b/>
                <w:sz w:val="22"/>
                <w:szCs w:val="22"/>
                <w:lang w:eastAsia="en-US"/>
              </w:rPr>
            </w:pPr>
            <w:r w:rsidRPr="00AD67C2">
              <w:rPr>
                <w:rFonts w:ascii="Garamond" w:hAnsi="Garamond"/>
                <w:b/>
                <w:sz w:val="22"/>
                <w:szCs w:val="22"/>
                <w:lang w:eastAsia="en-US"/>
              </w:rPr>
              <w:lastRenderedPageBreak/>
              <w:t>3.3.2</w:t>
            </w:r>
          </w:p>
        </w:tc>
        <w:tc>
          <w:tcPr>
            <w:tcW w:w="6662" w:type="dxa"/>
            <w:tcBorders>
              <w:top w:val="single" w:sz="4" w:space="0" w:color="auto"/>
              <w:left w:val="single" w:sz="4" w:space="0" w:color="auto"/>
              <w:bottom w:val="single" w:sz="4" w:space="0" w:color="auto"/>
              <w:right w:val="single" w:sz="4" w:space="0" w:color="auto"/>
            </w:tcBorders>
          </w:tcPr>
          <w:p w14:paraId="06C220AA" w14:textId="77777777" w:rsidR="00D64294" w:rsidRPr="00AD67C2" w:rsidRDefault="00D64294" w:rsidP="00A43635">
            <w:pPr>
              <w:tabs>
                <w:tab w:val="left" w:pos="1200"/>
              </w:tabs>
              <w:spacing w:before="120" w:after="120"/>
              <w:ind w:firstLine="600"/>
              <w:jc w:val="both"/>
              <w:rPr>
                <w:rFonts w:ascii="Garamond" w:eastAsia="Times New Roman" w:hAnsi="Garamond"/>
                <w:sz w:val="22"/>
                <w:szCs w:val="22"/>
              </w:rPr>
            </w:pPr>
            <w:r w:rsidRPr="00AD67C2">
              <w:rPr>
                <w:rFonts w:ascii="Garamond" w:eastAsia="Times New Roman" w:hAnsi="Garamond"/>
                <w:sz w:val="22"/>
                <w:szCs w:val="22"/>
              </w:rPr>
              <w:t>Разделы Реестра содержат следующую информацию о субъектах оптового рынка:</w:t>
            </w:r>
          </w:p>
          <w:p w14:paraId="606BE0DD" w14:textId="77777777" w:rsidR="00D64294" w:rsidRPr="00AD67C2" w:rsidRDefault="00D64294" w:rsidP="00A43635">
            <w:pPr>
              <w:tabs>
                <w:tab w:val="left" w:pos="1200"/>
              </w:tabs>
              <w:spacing w:before="120" w:after="120"/>
              <w:ind w:firstLine="600"/>
              <w:jc w:val="both"/>
              <w:rPr>
                <w:rFonts w:ascii="Garamond" w:eastAsia="Times New Roman" w:hAnsi="Garamond"/>
                <w:sz w:val="22"/>
                <w:szCs w:val="22"/>
              </w:rPr>
            </w:pPr>
            <w:r w:rsidRPr="00AD67C2">
              <w:rPr>
                <w:rFonts w:ascii="Garamond" w:eastAsia="Times New Roman" w:hAnsi="Garamond"/>
                <w:sz w:val="22"/>
                <w:szCs w:val="22"/>
              </w:rPr>
              <w:t>…</w:t>
            </w:r>
          </w:p>
          <w:p w14:paraId="259E6696" w14:textId="77777777" w:rsidR="00D64294" w:rsidRPr="00AD67C2" w:rsidRDefault="00D64294" w:rsidP="00A43635">
            <w:pPr>
              <w:tabs>
                <w:tab w:val="left" w:pos="960"/>
                <w:tab w:val="left" w:pos="1167"/>
                <w:tab w:val="left" w:pos="1200"/>
              </w:tabs>
              <w:autoSpaceDE w:val="0"/>
              <w:autoSpaceDN w:val="0"/>
              <w:spacing w:before="120" w:after="120"/>
              <w:ind w:left="34" w:firstLine="564"/>
              <w:jc w:val="both"/>
              <w:rPr>
                <w:rFonts w:ascii="Garamond" w:eastAsia="Times New Roman" w:hAnsi="Garamond" w:cs="Arial"/>
                <w:sz w:val="22"/>
                <w:szCs w:val="22"/>
              </w:rPr>
            </w:pPr>
            <w:r w:rsidRPr="00AD67C2">
              <w:rPr>
                <w:rFonts w:ascii="Garamond" w:eastAsia="Times New Roman" w:hAnsi="Garamond"/>
                <w:sz w:val="22"/>
                <w:szCs w:val="22"/>
              </w:rPr>
              <w:t>л) перечень всех ГТП, зарегистрированных за субъектом оптового рынка,</w:t>
            </w:r>
            <w:r w:rsidRPr="00AD67C2">
              <w:rPr>
                <w:rFonts w:ascii="Garamond" w:eastAsia="Times New Roman" w:hAnsi="Garamond" w:cs="Arial"/>
                <w:sz w:val="22"/>
                <w:szCs w:val="22"/>
              </w:rPr>
              <w:t xml:space="preserve"> с указанием их идентификационных кодов;</w:t>
            </w:r>
          </w:p>
          <w:p w14:paraId="48D25C56" w14:textId="77777777" w:rsidR="00D64294" w:rsidRPr="00AD67C2" w:rsidRDefault="00D64294" w:rsidP="00A43635">
            <w:pPr>
              <w:tabs>
                <w:tab w:val="left" w:pos="1200"/>
              </w:tabs>
              <w:spacing w:before="120" w:after="120"/>
              <w:ind w:firstLine="600"/>
              <w:jc w:val="both"/>
              <w:rPr>
                <w:rFonts w:ascii="Garamond" w:eastAsia="Times New Roman" w:hAnsi="Garamond"/>
                <w:sz w:val="22"/>
                <w:szCs w:val="22"/>
              </w:rPr>
            </w:pPr>
            <w:r w:rsidRPr="00AD67C2">
              <w:rPr>
                <w:rFonts w:ascii="Garamond" w:eastAsia="Times New Roman" w:hAnsi="Garamond"/>
                <w:sz w:val="22"/>
                <w:szCs w:val="22"/>
              </w:rPr>
              <w:t>…</w:t>
            </w:r>
          </w:p>
        </w:tc>
        <w:tc>
          <w:tcPr>
            <w:tcW w:w="7087" w:type="dxa"/>
            <w:tcBorders>
              <w:top w:val="single" w:sz="4" w:space="0" w:color="auto"/>
              <w:left w:val="single" w:sz="4" w:space="0" w:color="auto"/>
              <w:bottom w:val="single" w:sz="4" w:space="0" w:color="auto"/>
              <w:right w:val="single" w:sz="4" w:space="0" w:color="auto"/>
            </w:tcBorders>
          </w:tcPr>
          <w:p w14:paraId="492D32E6" w14:textId="77777777" w:rsidR="00D64294" w:rsidRPr="00AD67C2" w:rsidRDefault="00D64294" w:rsidP="00A43635">
            <w:pPr>
              <w:tabs>
                <w:tab w:val="left" w:pos="1200"/>
              </w:tabs>
              <w:spacing w:before="120" w:after="120"/>
              <w:ind w:firstLine="600"/>
              <w:jc w:val="both"/>
              <w:rPr>
                <w:rFonts w:ascii="Garamond" w:eastAsia="Times New Roman" w:hAnsi="Garamond"/>
                <w:sz w:val="22"/>
                <w:szCs w:val="22"/>
              </w:rPr>
            </w:pPr>
            <w:r w:rsidRPr="00AD67C2">
              <w:rPr>
                <w:rFonts w:ascii="Garamond" w:eastAsia="Times New Roman" w:hAnsi="Garamond"/>
                <w:sz w:val="22"/>
                <w:szCs w:val="22"/>
              </w:rPr>
              <w:t>Разделы Реестра содержат следующую информацию о субъектах оптового рынка:</w:t>
            </w:r>
          </w:p>
          <w:p w14:paraId="66066B5B" w14:textId="77777777" w:rsidR="00D64294" w:rsidRPr="00AD67C2" w:rsidRDefault="00D64294" w:rsidP="00A43635">
            <w:pPr>
              <w:tabs>
                <w:tab w:val="left" w:pos="1200"/>
              </w:tabs>
              <w:spacing w:before="120" w:after="120"/>
              <w:ind w:firstLine="600"/>
              <w:jc w:val="both"/>
              <w:rPr>
                <w:rFonts w:ascii="Garamond" w:eastAsia="Times New Roman" w:hAnsi="Garamond"/>
                <w:sz w:val="22"/>
                <w:szCs w:val="22"/>
              </w:rPr>
            </w:pPr>
            <w:r w:rsidRPr="00AD67C2">
              <w:rPr>
                <w:rFonts w:ascii="Garamond" w:eastAsia="Times New Roman" w:hAnsi="Garamond"/>
                <w:sz w:val="22"/>
                <w:szCs w:val="22"/>
              </w:rPr>
              <w:t>…</w:t>
            </w:r>
          </w:p>
          <w:p w14:paraId="1F517F0B" w14:textId="77777777" w:rsidR="00D64294" w:rsidRPr="00AD67C2" w:rsidRDefault="00D64294" w:rsidP="00A43635">
            <w:pPr>
              <w:tabs>
                <w:tab w:val="left" w:pos="960"/>
                <w:tab w:val="left" w:pos="1167"/>
                <w:tab w:val="left" w:pos="1200"/>
              </w:tabs>
              <w:autoSpaceDE w:val="0"/>
              <w:autoSpaceDN w:val="0"/>
              <w:spacing w:before="120" w:after="120"/>
              <w:ind w:left="34" w:firstLine="564"/>
              <w:jc w:val="both"/>
              <w:rPr>
                <w:rFonts w:ascii="Garamond" w:eastAsia="Times New Roman" w:hAnsi="Garamond" w:cs="Arial"/>
                <w:sz w:val="22"/>
                <w:szCs w:val="22"/>
              </w:rPr>
            </w:pPr>
            <w:r w:rsidRPr="00AD67C2">
              <w:rPr>
                <w:rFonts w:ascii="Garamond" w:eastAsia="Times New Roman" w:hAnsi="Garamond"/>
                <w:sz w:val="22"/>
                <w:szCs w:val="22"/>
              </w:rPr>
              <w:t>л) перечень всех ГТП</w:t>
            </w:r>
            <w:r w:rsidR="0078583E" w:rsidRPr="00AD67C2">
              <w:rPr>
                <w:rFonts w:ascii="Garamond" w:eastAsia="Times New Roman" w:hAnsi="Garamond"/>
                <w:sz w:val="22"/>
                <w:szCs w:val="22"/>
              </w:rPr>
              <w:t xml:space="preserve">, </w:t>
            </w:r>
            <w:r w:rsidR="0078583E" w:rsidRPr="00AD67C2">
              <w:rPr>
                <w:rFonts w:ascii="Garamond" w:eastAsia="Times New Roman" w:hAnsi="Garamond"/>
                <w:sz w:val="22"/>
                <w:szCs w:val="22"/>
                <w:highlight w:val="yellow"/>
              </w:rPr>
              <w:t>ОР,</w:t>
            </w:r>
            <w:r w:rsidRPr="00AD67C2">
              <w:rPr>
                <w:rFonts w:ascii="Garamond" w:eastAsia="Times New Roman" w:hAnsi="Garamond"/>
                <w:sz w:val="22"/>
                <w:szCs w:val="22"/>
                <w:highlight w:val="yellow"/>
              </w:rPr>
              <w:t xml:space="preserve"> </w:t>
            </w:r>
            <w:r w:rsidR="0078583E" w:rsidRPr="00AD67C2">
              <w:rPr>
                <w:rFonts w:ascii="Garamond" w:eastAsia="Times New Roman" w:hAnsi="Garamond"/>
                <w:sz w:val="22"/>
                <w:szCs w:val="22"/>
                <w:highlight w:val="yellow"/>
              </w:rPr>
              <w:t>АОУ</w:t>
            </w:r>
            <w:r w:rsidRPr="00AD67C2">
              <w:rPr>
                <w:rFonts w:ascii="Garamond" w:eastAsia="Times New Roman" w:hAnsi="Garamond"/>
                <w:sz w:val="22"/>
                <w:szCs w:val="22"/>
              </w:rPr>
              <w:t>, зарегистрированных за субъектом оптового рынка,</w:t>
            </w:r>
            <w:r w:rsidRPr="00AD67C2">
              <w:rPr>
                <w:rFonts w:ascii="Garamond" w:eastAsia="Times New Roman" w:hAnsi="Garamond" w:cs="Arial"/>
                <w:sz w:val="22"/>
                <w:szCs w:val="22"/>
              </w:rPr>
              <w:t xml:space="preserve"> с указанием их идентификационных кодов;</w:t>
            </w:r>
          </w:p>
          <w:p w14:paraId="1328812F" w14:textId="699CBE95" w:rsidR="00D64294" w:rsidRPr="00AD67C2" w:rsidRDefault="00D64294" w:rsidP="00AD67C2">
            <w:pPr>
              <w:tabs>
                <w:tab w:val="left" w:pos="960"/>
                <w:tab w:val="left" w:pos="1167"/>
                <w:tab w:val="left" w:pos="1200"/>
              </w:tabs>
              <w:autoSpaceDE w:val="0"/>
              <w:autoSpaceDN w:val="0"/>
              <w:spacing w:before="120" w:after="120"/>
              <w:ind w:left="34" w:firstLine="564"/>
              <w:jc w:val="both"/>
              <w:rPr>
                <w:rFonts w:ascii="Garamond" w:eastAsia="Times New Roman" w:hAnsi="Garamond"/>
                <w:sz w:val="22"/>
                <w:szCs w:val="22"/>
              </w:rPr>
            </w:pPr>
            <w:r w:rsidRPr="00AD67C2">
              <w:rPr>
                <w:rFonts w:ascii="Garamond" w:eastAsia="Times New Roman" w:hAnsi="Garamond"/>
                <w:sz w:val="22"/>
                <w:szCs w:val="22"/>
              </w:rPr>
              <w:t>…</w:t>
            </w:r>
          </w:p>
        </w:tc>
      </w:tr>
      <w:tr w:rsidR="00D64294" w:rsidRPr="00AD67C2" w14:paraId="2A174BD8" w14:textId="77777777" w:rsidTr="00AD67C2">
        <w:trPr>
          <w:trHeight w:val="557"/>
        </w:trPr>
        <w:tc>
          <w:tcPr>
            <w:tcW w:w="1022" w:type="dxa"/>
            <w:tcBorders>
              <w:top w:val="single" w:sz="4" w:space="0" w:color="auto"/>
              <w:left w:val="single" w:sz="4" w:space="0" w:color="auto"/>
              <w:bottom w:val="single" w:sz="4" w:space="0" w:color="auto"/>
              <w:right w:val="single" w:sz="4" w:space="0" w:color="auto"/>
            </w:tcBorders>
            <w:vAlign w:val="center"/>
          </w:tcPr>
          <w:p w14:paraId="12246F89" w14:textId="77777777" w:rsidR="00D64294" w:rsidRPr="00AD67C2" w:rsidRDefault="00D64294" w:rsidP="00A43635">
            <w:pPr>
              <w:widowControl w:val="0"/>
              <w:jc w:val="center"/>
              <w:rPr>
                <w:rFonts w:ascii="Garamond" w:hAnsi="Garamond"/>
                <w:b/>
                <w:sz w:val="22"/>
                <w:szCs w:val="22"/>
                <w:lang w:eastAsia="en-US"/>
              </w:rPr>
            </w:pPr>
            <w:r w:rsidRPr="00AD67C2">
              <w:rPr>
                <w:rFonts w:ascii="Garamond" w:hAnsi="Garamond"/>
                <w:b/>
                <w:sz w:val="22"/>
                <w:szCs w:val="22"/>
                <w:lang w:eastAsia="en-US"/>
              </w:rPr>
              <w:t>3.7.1</w:t>
            </w:r>
          </w:p>
        </w:tc>
        <w:tc>
          <w:tcPr>
            <w:tcW w:w="6662" w:type="dxa"/>
            <w:tcBorders>
              <w:top w:val="single" w:sz="4" w:space="0" w:color="auto"/>
              <w:left w:val="single" w:sz="4" w:space="0" w:color="auto"/>
              <w:bottom w:val="single" w:sz="4" w:space="0" w:color="auto"/>
              <w:right w:val="single" w:sz="4" w:space="0" w:color="auto"/>
            </w:tcBorders>
          </w:tcPr>
          <w:p w14:paraId="1AD7840F" w14:textId="77777777" w:rsidR="00D64294" w:rsidRPr="00AD67C2" w:rsidRDefault="00D64294" w:rsidP="00A43635">
            <w:pPr>
              <w:spacing w:before="120" w:after="120"/>
              <w:ind w:firstLine="600"/>
              <w:jc w:val="both"/>
              <w:rPr>
                <w:rFonts w:ascii="Garamond" w:eastAsia="Times New Roman" w:hAnsi="Garamond"/>
                <w:sz w:val="22"/>
                <w:szCs w:val="22"/>
              </w:rPr>
            </w:pPr>
            <w:r w:rsidRPr="00AD67C2">
              <w:rPr>
                <w:rFonts w:ascii="Garamond" w:eastAsia="Times New Roman" w:hAnsi="Garamond"/>
                <w:sz w:val="22"/>
                <w:szCs w:val="22"/>
              </w:rPr>
              <w:t>Регистрационная информация содержится в регистрационных делах субъектов оптового рынка. Регистрационное дело открывается на каждого субъекта оптового рынка. Регистрационные дела субъектов оптового рынка группируются в соответствии с разделами Реестра субъектов оптового рынка и содержат следующие блоки регистрационной информации:</w:t>
            </w:r>
          </w:p>
          <w:p w14:paraId="58F1EA25" w14:textId="77777777" w:rsidR="00D64294" w:rsidRPr="00AD67C2" w:rsidRDefault="00D64294" w:rsidP="00A43635">
            <w:pPr>
              <w:spacing w:before="120" w:after="120"/>
              <w:ind w:firstLine="600"/>
              <w:jc w:val="both"/>
              <w:rPr>
                <w:rFonts w:ascii="Garamond" w:eastAsia="Times New Roman" w:hAnsi="Garamond"/>
                <w:sz w:val="22"/>
                <w:szCs w:val="22"/>
              </w:rPr>
            </w:pPr>
            <w:r w:rsidRPr="00AD67C2">
              <w:rPr>
                <w:rFonts w:ascii="Garamond" w:eastAsia="Times New Roman" w:hAnsi="Garamond"/>
                <w:sz w:val="22"/>
                <w:szCs w:val="22"/>
              </w:rPr>
              <w:t>…</w:t>
            </w:r>
          </w:p>
          <w:p w14:paraId="53B07E35" w14:textId="77777777" w:rsidR="00D64294" w:rsidRPr="00AD67C2" w:rsidRDefault="00D64294" w:rsidP="00A43635">
            <w:pPr>
              <w:tabs>
                <w:tab w:val="left" w:pos="909"/>
                <w:tab w:val="left" w:pos="993"/>
              </w:tabs>
              <w:spacing w:before="120" w:after="120"/>
              <w:ind w:firstLine="600"/>
              <w:jc w:val="both"/>
              <w:rPr>
                <w:rFonts w:ascii="Garamond" w:eastAsia="Times New Roman" w:hAnsi="Garamond"/>
                <w:sz w:val="22"/>
                <w:szCs w:val="22"/>
              </w:rPr>
            </w:pPr>
            <w:r w:rsidRPr="00AD67C2">
              <w:rPr>
                <w:rFonts w:ascii="Garamond" w:eastAsia="Times New Roman" w:hAnsi="Garamond"/>
                <w:sz w:val="22"/>
                <w:szCs w:val="22"/>
              </w:rPr>
              <w:t xml:space="preserve">– документы по ГТП / сечениям коммерческого учета </w:t>
            </w:r>
            <w:r w:rsidRPr="00AD67C2">
              <w:rPr>
                <w:rFonts w:ascii="Garamond" w:eastAsia="Times New Roman" w:hAnsi="Garamond"/>
                <w:sz w:val="22"/>
                <w:szCs w:val="22"/>
                <w:highlight w:val="yellow"/>
              </w:rPr>
              <w:t>субъекта оптового рынка:</w:t>
            </w:r>
          </w:p>
          <w:p w14:paraId="34E69F41" w14:textId="77777777" w:rsidR="00D64294" w:rsidRPr="00AD67C2" w:rsidRDefault="00D64294" w:rsidP="00A43635">
            <w:pPr>
              <w:tabs>
                <w:tab w:val="left" w:pos="743"/>
                <w:tab w:val="left" w:pos="909"/>
              </w:tabs>
              <w:spacing w:before="120" w:after="120"/>
              <w:ind w:firstLine="600"/>
              <w:jc w:val="both"/>
              <w:rPr>
                <w:rFonts w:ascii="Garamond" w:eastAsia="Times New Roman" w:hAnsi="Garamond"/>
                <w:sz w:val="22"/>
                <w:szCs w:val="22"/>
              </w:rPr>
            </w:pPr>
            <w:r w:rsidRPr="00AD67C2">
              <w:rPr>
                <w:rFonts w:ascii="Garamond" w:eastAsia="Times New Roman" w:hAnsi="Garamond"/>
                <w:sz w:val="22"/>
                <w:szCs w:val="22"/>
              </w:rPr>
              <w:t xml:space="preserve">– документы </w:t>
            </w:r>
            <w:r w:rsidRPr="00AD67C2">
              <w:rPr>
                <w:rFonts w:ascii="Garamond" w:eastAsia="Times New Roman" w:hAnsi="Garamond"/>
                <w:sz w:val="22"/>
                <w:szCs w:val="22"/>
                <w:highlight w:val="yellow"/>
              </w:rPr>
              <w:t>для согласования ГТП субъекта оптового рынка, регистрации ПСИ,</w:t>
            </w:r>
            <w:r w:rsidRPr="00AD67C2">
              <w:rPr>
                <w:rFonts w:ascii="Garamond" w:eastAsia="Times New Roman" w:hAnsi="Garamond"/>
                <w:sz w:val="22"/>
                <w:szCs w:val="22"/>
              </w:rPr>
              <w:t xml:space="preserve"> а также для внесения изменений в регистрационную информацию;</w:t>
            </w:r>
          </w:p>
          <w:p w14:paraId="3ADF5E0E" w14:textId="23E952F7" w:rsidR="00D64294" w:rsidRPr="00AD67C2" w:rsidRDefault="00D64294" w:rsidP="00AD67C2">
            <w:pPr>
              <w:tabs>
                <w:tab w:val="left" w:pos="743"/>
                <w:tab w:val="left" w:pos="909"/>
                <w:tab w:val="left" w:pos="1276"/>
              </w:tabs>
              <w:spacing w:before="120" w:after="120"/>
              <w:ind w:firstLine="600"/>
              <w:jc w:val="both"/>
              <w:rPr>
                <w:rFonts w:ascii="Garamond" w:eastAsia="Times New Roman" w:hAnsi="Garamond"/>
                <w:sz w:val="22"/>
                <w:szCs w:val="22"/>
              </w:rPr>
            </w:pPr>
            <w:r w:rsidRPr="00AD67C2">
              <w:rPr>
                <w:rFonts w:ascii="Garamond" w:eastAsia="Times New Roman" w:hAnsi="Garamond"/>
                <w:sz w:val="22"/>
                <w:szCs w:val="22"/>
              </w:rPr>
              <w:t xml:space="preserve">– документы для установления соответствия систем коммерческого учета </w:t>
            </w:r>
            <w:r w:rsidRPr="00AD67C2">
              <w:rPr>
                <w:rFonts w:ascii="Garamond" w:eastAsia="Times New Roman" w:hAnsi="Garamond"/>
                <w:sz w:val="22"/>
                <w:szCs w:val="22"/>
                <w:highlight w:val="yellow"/>
              </w:rPr>
              <w:t>субъекта оптового рынка требованиям оптового рынка</w:t>
            </w:r>
            <w:r w:rsidRPr="00AD67C2">
              <w:rPr>
                <w:rFonts w:ascii="Garamond" w:eastAsia="Times New Roman" w:hAnsi="Garamond"/>
                <w:sz w:val="22"/>
                <w:szCs w:val="22"/>
              </w:rPr>
              <w:t>.</w:t>
            </w:r>
          </w:p>
        </w:tc>
        <w:tc>
          <w:tcPr>
            <w:tcW w:w="7087" w:type="dxa"/>
            <w:tcBorders>
              <w:top w:val="single" w:sz="4" w:space="0" w:color="auto"/>
              <w:left w:val="single" w:sz="4" w:space="0" w:color="auto"/>
              <w:bottom w:val="single" w:sz="4" w:space="0" w:color="auto"/>
              <w:right w:val="single" w:sz="4" w:space="0" w:color="auto"/>
            </w:tcBorders>
          </w:tcPr>
          <w:p w14:paraId="26280765" w14:textId="77777777" w:rsidR="00D64294" w:rsidRPr="00AD67C2" w:rsidRDefault="00D64294" w:rsidP="00A43635">
            <w:pPr>
              <w:spacing w:before="120" w:after="120"/>
              <w:ind w:firstLine="600"/>
              <w:jc w:val="both"/>
              <w:rPr>
                <w:rFonts w:ascii="Garamond" w:eastAsia="Times New Roman" w:hAnsi="Garamond"/>
                <w:sz w:val="22"/>
                <w:szCs w:val="22"/>
              </w:rPr>
            </w:pPr>
            <w:r w:rsidRPr="00AD67C2">
              <w:rPr>
                <w:rFonts w:ascii="Garamond" w:eastAsia="Times New Roman" w:hAnsi="Garamond"/>
                <w:sz w:val="22"/>
                <w:szCs w:val="22"/>
              </w:rPr>
              <w:t>Регистрационная информация содержится в регистрационных делах субъектов оптового рынка. Регистрационное дело открывается на каждого субъекта оптового рынка. Регистрационные дела субъектов оптового рынка группируются в соответствии с разделами Реестра субъектов оптового рынка и содержат следующие блоки регистрационной информации:</w:t>
            </w:r>
          </w:p>
          <w:p w14:paraId="68B06C08" w14:textId="77777777" w:rsidR="00D64294" w:rsidRPr="00AD67C2" w:rsidRDefault="00D64294" w:rsidP="00A43635">
            <w:pPr>
              <w:spacing w:before="120" w:after="120"/>
              <w:ind w:firstLine="600"/>
              <w:jc w:val="both"/>
              <w:rPr>
                <w:rFonts w:ascii="Garamond" w:eastAsia="Times New Roman" w:hAnsi="Garamond"/>
                <w:sz w:val="22"/>
                <w:szCs w:val="22"/>
              </w:rPr>
            </w:pPr>
            <w:r w:rsidRPr="00AD67C2">
              <w:rPr>
                <w:rFonts w:ascii="Garamond" w:eastAsia="Times New Roman" w:hAnsi="Garamond"/>
                <w:sz w:val="22"/>
                <w:szCs w:val="22"/>
              </w:rPr>
              <w:t>…</w:t>
            </w:r>
          </w:p>
          <w:p w14:paraId="532D4D8A" w14:textId="77777777" w:rsidR="00D64294" w:rsidRPr="00AD67C2" w:rsidRDefault="00D64294" w:rsidP="00A43635">
            <w:pPr>
              <w:tabs>
                <w:tab w:val="left" w:pos="909"/>
                <w:tab w:val="left" w:pos="993"/>
              </w:tabs>
              <w:spacing w:before="120" w:after="120"/>
              <w:ind w:firstLine="600"/>
              <w:jc w:val="both"/>
              <w:rPr>
                <w:rFonts w:ascii="Garamond" w:eastAsia="Times New Roman" w:hAnsi="Garamond"/>
                <w:sz w:val="22"/>
                <w:szCs w:val="22"/>
              </w:rPr>
            </w:pPr>
            <w:r w:rsidRPr="00AD67C2">
              <w:rPr>
                <w:rFonts w:ascii="Garamond" w:eastAsia="Times New Roman" w:hAnsi="Garamond"/>
                <w:sz w:val="22"/>
                <w:szCs w:val="22"/>
              </w:rPr>
              <w:t>– документы по ГТП / сечениям коммерческого учета:</w:t>
            </w:r>
          </w:p>
          <w:p w14:paraId="0C0490C9" w14:textId="455B3064" w:rsidR="00D64294" w:rsidRPr="00AD67C2" w:rsidRDefault="00AD67C2" w:rsidP="00A43635">
            <w:pPr>
              <w:tabs>
                <w:tab w:val="left" w:pos="909"/>
                <w:tab w:val="left" w:pos="993"/>
              </w:tabs>
              <w:spacing w:before="120" w:after="120"/>
              <w:ind w:firstLine="600"/>
              <w:jc w:val="both"/>
              <w:rPr>
                <w:rFonts w:ascii="Garamond" w:eastAsia="Times New Roman" w:hAnsi="Garamond"/>
                <w:sz w:val="22"/>
                <w:szCs w:val="22"/>
              </w:rPr>
            </w:pPr>
            <w:r>
              <w:rPr>
                <w:rFonts w:ascii="Garamond" w:eastAsia="Times New Roman" w:hAnsi="Garamond"/>
                <w:sz w:val="22"/>
                <w:szCs w:val="22"/>
                <w:highlight w:val="yellow"/>
              </w:rPr>
              <w:t>–</w:t>
            </w:r>
            <w:r w:rsidR="00D64294" w:rsidRPr="00AD67C2">
              <w:rPr>
                <w:rFonts w:ascii="Garamond" w:eastAsia="Times New Roman" w:hAnsi="Garamond"/>
                <w:sz w:val="22"/>
                <w:szCs w:val="22"/>
                <w:highlight w:val="yellow"/>
              </w:rPr>
              <w:t xml:space="preserve"> документы для регистрации ОР;</w:t>
            </w:r>
          </w:p>
          <w:p w14:paraId="263326D8" w14:textId="77777777" w:rsidR="00D64294" w:rsidRPr="00AD67C2" w:rsidRDefault="00D64294" w:rsidP="00A43635">
            <w:pPr>
              <w:tabs>
                <w:tab w:val="left" w:pos="743"/>
                <w:tab w:val="left" w:pos="909"/>
              </w:tabs>
              <w:spacing w:before="120" w:after="120"/>
              <w:ind w:firstLine="600"/>
              <w:jc w:val="both"/>
              <w:rPr>
                <w:rFonts w:ascii="Garamond" w:eastAsia="Times New Roman" w:hAnsi="Garamond"/>
                <w:sz w:val="22"/>
                <w:szCs w:val="22"/>
              </w:rPr>
            </w:pPr>
            <w:r w:rsidRPr="00AD67C2">
              <w:rPr>
                <w:rFonts w:ascii="Garamond" w:eastAsia="Times New Roman" w:hAnsi="Garamond"/>
                <w:sz w:val="22"/>
                <w:szCs w:val="22"/>
              </w:rPr>
              <w:t>– документы для внесения изменений в регистрационную информацию;</w:t>
            </w:r>
          </w:p>
          <w:p w14:paraId="4827633F" w14:textId="3DE28CEA" w:rsidR="00D64294" w:rsidRPr="00AD67C2" w:rsidRDefault="00D64294" w:rsidP="00AD67C2">
            <w:pPr>
              <w:tabs>
                <w:tab w:val="left" w:pos="743"/>
                <w:tab w:val="left" w:pos="909"/>
                <w:tab w:val="left" w:pos="1276"/>
              </w:tabs>
              <w:spacing w:before="120" w:after="120"/>
              <w:ind w:firstLine="600"/>
              <w:jc w:val="both"/>
              <w:rPr>
                <w:rFonts w:ascii="Garamond" w:eastAsia="Times New Roman" w:hAnsi="Garamond"/>
                <w:sz w:val="22"/>
                <w:szCs w:val="22"/>
              </w:rPr>
            </w:pPr>
            <w:r w:rsidRPr="00AD67C2">
              <w:rPr>
                <w:rFonts w:ascii="Garamond" w:eastAsia="Times New Roman" w:hAnsi="Garamond"/>
                <w:sz w:val="22"/>
                <w:szCs w:val="22"/>
              </w:rPr>
              <w:t>– документы для установления соответствия систем коммерческого учета</w:t>
            </w:r>
            <w:r w:rsidRPr="00AD67C2">
              <w:rPr>
                <w:rFonts w:ascii="Garamond" w:hAnsi="Garamond"/>
                <w:sz w:val="22"/>
                <w:szCs w:val="22"/>
              </w:rPr>
              <w:t xml:space="preserve"> </w:t>
            </w:r>
            <w:r w:rsidRPr="00AD67C2">
              <w:rPr>
                <w:rFonts w:ascii="Garamond" w:eastAsia="Times New Roman" w:hAnsi="Garamond"/>
                <w:sz w:val="22"/>
                <w:szCs w:val="22"/>
                <w:highlight w:val="yellow"/>
              </w:rPr>
              <w:t>техническим требованиям оптового рынка электрической энергии и мощности</w:t>
            </w:r>
            <w:r w:rsidRPr="00AD67C2">
              <w:rPr>
                <w:rFonts w:ascii="Garamond" w:eastAsia="Times New Roman" w:hAnsi="Garamond"/>
                <w:sz w:val="22"/>
                <w:szCs w:val="22"/>
              </w:rPr>
              <w:t>.</w:t>
            </w:r>
          </w:p>
        </w:tc>
      </w:tr>
    </w:tbl>
    <w:p w14:paraId="058C9589" w14:textId="77777777" w:rsidR="00D64294" w:rsidRDefault="00D64294" w:rsidP="00F81EB0">
      <w:pPr>
        <w:keepNext/>
        <w:ind w:left="-142"/>
        <w:rPr>
          <w:rFonts w:ascii="Garamond" w:hAnsi="Garamond" w:cs="Calibri"/>
          <w:b/>
          <w:sz w:val="28"/>
          <w:szCs w:val="28"/>
          <w:lang w:eastAsia="en-US"/>
        </w:rPr>
        <w:sectPr w:rsidR="00D64294" w:rsidSect="00AD67C2">
          <w:footerReference w:type="even" r:id="rId22"/>
          <w:footerReference w:type="default" r:id="rId23"/>
          <w:pgSz w:w="16838" w:h="11906" w:orient="landscape"/>
          <w:pgMar w:top="1134" w:right="851" w:bottom="1134" w:left="1304" w:header="709" w:footer="709" w:gutter="0"/>
          <w:cols w:space="708"/>
          <w:docGrid w:linePitch="360"/>
        </w:sectPr>
      </w:pPr>
    </w:p>
    <w:p w14:paraId="7D515E91" w14:textId="77777777" w:rsidR="00D64294" w:rsidRDefault="00D64294" w:rsidP="00D64294">
      <w:pPr>
        <w:jc w:val="both"/>
        <w:rPr>
          <w:rFonts w:ascii="Garamond" w:hAnsi="Garamond"/>
          <w:sz w:val="22"/>
          <w:szCs w:val="22"/>
        </w:rPr>
      </w:pPr>
      <w:r>
        <w:rPr>
          <w:rFonts w:ascii="Garamond" w:hAnsi="Garamond"/>
          <w:b/>
          <w:sz w:val="22"/>
          <w:szCs w:val="22"/>
          <w:lang w:eastAsia="en-US"/>
        </w:rPr>
        <w:lastRenderedPageBreak/>
        <w:t>Действующая редакция</w:t>
      </w:r>
    </w:p>
    <w:p w14:paraId="35A5CA8D" w14:textId="77777777" w:rsidR="00D64294" w:rsidRDefault="00D64294" w:rsidP="00D64294">
      <w:pPr>
        <w:tabs>
          <w:tab w:val="left" w:pos="12753"/>
        </w:tabs>
        <w:rPr>
          <w:rFonts w:ascii="Garamond" w:hAnsi="Garamond"/>
          <w:sz w:val="22"/>
          <w:szCs w:val="22"/>
        </w:rPr>
      </w:pPr>
    </w:p>
    <w:p w14:paraId="34585006" w14:textId="77777777" w:rsidR="00D64294" w:rsidRDefault="00D64294" w:rsidP="00D64294">
      <w:pPr>
        <w:tabs>
          <w:tab w:val="left" w:pos="12753"/>
        </w:tabs>
        <w:rPr>
          <w:rFonts w:ascii="Garamond" w:hAnsi="Garamond"/>
          <w:sz w:val="22"/>
          <w:szCs w:val="22"/>
        </w:rPr>
      </w:pPr>
    </w:p>
    <w:p w14:paraId="3B02D6FD" w14:textId="77777777" w:rsidR="00D64294" w:rsidRPr="008F6CF9" w:rsidRDefault="00D64294" w:rsidP="00D64294">
      <w:pPr>
        <w:keepNext/>
        <w:tabs>
          <w:tab w:val="left" w:pos="708"/>
        </w:tabs>
        <w:spacing w:before="120" w:after="120"/>
        <w:ind w:left="1080" w:hanging="360"/>
        <w:jc w:val="right"/>
        <w:outlineLvl w:val="0"/>
        <w:rPr>
          <w:rFonts w:ascii="Garamond" w:eastAsia="Times New Roman" w:hAnsi="Garamond" w:cs="Arial"/>
          <w:b/>
          <w:sz w:val="22"/>
          <w:szCs w:val="22"/>
        </w:rPr>
      </w:pPr>
      <w:bookmarkStart w:id="6" w:name="_Toc139051363"/>
      <w:bookmarkStart w:id="7" w:name="_Toc428358510"/>
      <w:bookmarkStart w:id="8" w:name="_Toc407019988"/>
      <w:bookmarkStart w:id="9" w:name="_Toc404696538"/>
      <w:bookmarkStart w:id="10" w:name="_Toc399249103"/>
      <w:bookmarkStart w:id="11" w:name="_Toc247527101"/>
      <w:r w:rsidRPr="008F6CF9">
        <w:rPr>
          <w:rFonts w:ascii="Garamond" w:eastAsia="Times New Roman" w:hAnsi="Garamond" w:cs="Arial"/>
          <w:b/>
          <w:bCs/>
          <w:sz w:val="22"/>
          <w:szCs w:val="22"/>
        </w:rPr>
        <w:t>Приложение 1</w:t>
      </w:r>
      <w:bookmarkEnd w:id="6"/>
      <w:bookmarkEnd w:id="7"/>
      <w:bookmarkEnd w:id="8"/>
      <w:bookmarkEnd w:id="9"/>
      <w:bookmarkEnd w:id="10"/>
      <w:bookmarkEnd w:id="11"/>
    </w:p>
    <w:p w14:paraId="76FE7575" w14:textId="77777777" w:rsidR="00D64294" w:rsidRPr="008F6CF9" w:rsidRDefault="00D64294" w:rsidP="00D64294">
      <w:pPr>
        <w:keepNext/>
        <w:tabs>
          <w:tab w:val="left" w:pos="708"/>
        </w:tabs>
        <w:ind w:left="1080" w:hanging="360"/>
        <w:jc w:val="center"/>
        <w:outlineLvl w:val="0"/>
        <w:rPr>
          <w:rFonts w:ascii="Garamond" w:eastAsia="Times New Roman" w:hAnsi="Garamond" w:cs="Arial"/>
          <w:b/>
          <w:bCs/>
          <w:sz w:val="22"/>
          <w:szCs w:val="22"/>
        </w:rPr>
      </w:pPr>
      <w:bookmarkStart w:id="12" w:name="_Toc139051364"/>
      <w:bookmarkStart w:id="13" w:name="_Toc133418535"/>
      <w:bookmarkStart w:id="14" w:name="_Toc129034426"/>
      <w:bookmarkStart w:id="15" w:name="_Toc129033337"/>
      <w:bookmarkStart w:id="16" w:name="_Toc91505615"/>
      <w:bookmarkStart w:id="17" w:name="_Toc536697992"/>
      <w:bookmarkStart w:id="18" w:name="_Toc501972204"/>
      <w:bookmarkStart w:id="19" w:name="_Toc479333194"/>
      <w:r w:rsidRPr="008F6CF9">
        <w:rPr>
          <w:rFonts w:ascii="Garamond" w:eastAsia="Times New Roman" w:hAnsi="Garamond" w:cs="Arial"/>
          <w:b/>
          <w:bCs/>
          <w:sz w:val="22"/>
          <w:szCs w:val="22"/>
        </w:rPr>
        <w:t>Форма 1</w:t>
      </w:r>
      <w:bookmarkEnd w:id="12"/>
      <w:bookmarkEnd w:id="13"/>
      <w:bookmarkEnd w:id="14"/>
      <w:bookmarkEnd w:id="15"/>
      <w:bookmarkEnd w:id="16"/>
      <w:bookmarkEnd w:id="17"/>
      <w:bookmarkEnd w:id="18"/>
      <w:bookmarkEnd w:id="19"/>
    </w:p>
    <w:p w14:paraId="1AED09A2" w14:textId="77777777" w:rsidR="00D64294" w:rsidRPr="008F6CF9" w:rsidRDefault="00D64294" w:rsidP="00D64294">
      <w:pPr>
        <w:jc w:val="both"/>
        <w:rPr>
          <w:rFonts w:ascii="Garamond" w:eastAsia="Times New Roman" w:hAnsi="Garamond"/>
          <w:sz w:val="22"/>
          <w:szCs w:val="22"/>
        </w:rPr>
      </w:pPr>
    </w:p>
    <w:p w14:paraId="129756B5" w14:textId="77777777" w:rsidR="00D64294" w:rsidRPr="008F6CF9" w:rsidRDefault="00D64294" w:rsidP="00D64294">
      <w:pPr>
        <w:jc w:val="both"/>
        <w:rPr>
          <w:rFonts w:ascii="Garamond" w:eastAsia="Times New Roman" w:hAnsi="Garamond"/>
          <w:sz w:val="22"/>
          <w:szCs w:val="22"/>
        </w:rPr>
      </w:pPr>
      <w:r w:rsidRPr="008F6CF9">
        <w:rPr>
          <w:rFonts w:ascii="Garamond" w:eastAsia="Times New Roman" w:hAnsi="Garamond"/>
          <w:sz w:val="22"/>
          <w:szCs w:val="22"/>
        </w:rPr>
        <w:t xml:space="preserve"> (на бланке заявителя) </w:t>
      </w:r>
    </w:p>
    <w:p w14:paraId="52E622D6" w14:textId="77777777" w:rsidR="00D64294" w:rsidRPr="008F6CF9" w:rsidRDefault="00D64294" w:rsidP="00D64294">
      <w:pPr>
        <w:jc w:val="right"/>
        <w:rPr>
          <w:rFonts w:ascii="Garamond" w:eastAsia="Times New Roman" w:hAnsi="Garamond"/>
          <w:sz w:val="22"/>
        </w:rPr>
      </w:pPr>
      <w:r w:rsidRPr="008F6CF9">
        <w:rPr>
          <w:rFonts w:ascii="Garamond" w:eastAsia="Times New Roman" w:hAnsi="Garamond"/>
          <w:sz w:val="22"/>
        </w:rPr>
        <w:tab/>
      </w:r>
      <w:bookmarkStart w:id="20" w:name="_Toc428358511"/>
      <w:bookmarkStart w:id="21" w:name="_Toc407019989"/>
      <w:bookmarkStart w:id="22" w:name="_Toc404696540"/>
      <w:bookmarkStart w:id="23" w:name="_Toc399249105"/>
      <w:r w:rsidRPr="008F6CF9">
        <w:rPr>
          <w:rFonts w:ascii="Garamond" w:eastAsia="Times New Roman" w:hAnsi="Garamond"/>
          <w:sz w:val="22"/>
        </w:rPr>
        <w:t>Председателю Наблюдательного совета</w:t>
      </w:r>
      <w:bookmarkEnd w:id="20"/>
      <w:bookmarkEnd w:id="21"/>
      <w:bookmarkEnd w:id="22"/>
      <w:bookmarkEnd w:id="23"/>
    </w:p>
    <w:p w14:paraId="61D357B6" w14:textId="77777777" w:rsidR="00D64294" w:rsidRPr="008F6CF9" w:rsidRDefault="00D64294" w:rsidP="00D64294">
      <w:pPr>
        <w:tabs>
          <w:tab w:val="left" w:pos="5880"/>
        </w:tabs>
        <w:jc w:val="both"/>
        <w:rPr>
          <w:rFonts w:ascii="Garamond" w:eastAsia="Times New Roman" w:hAnsi="Garamond"/>
          <w:sz w:val="22"/>
          <w:szCs w:val="22"/>
        </w:rPr>
      </w:pPr>
      <w:r w:rsidRPr="008F6CF9">
        <w:rPr>
          <w:rFonts w:ascii="Garamond" w:eastAsia="Times New Roman" w:hAnsi="Garamond"/>
          <w:sz w:val="22"/>
          <w:szCs w:val="22"/>
        </w:rPr>
        <w:tab/>
        <w:t>Ассоциации</w:t>
      </w:r>
      <w:r w:rsidRPr="008F6CF9">
        <w:rPr>
          <w:rFonts w:ascii="Garamond" w:eastAsia="Times New Roman" w:hAnsi="Garamond"/>
          <w:sz w:val="22"/>
          <w:szCs w:val="22"/>
        </w:rPr>
        <w:tab/>
        <w:t>«НП Совет рынка»</w:t>
      </w:r>
    </w:p>
    <w:p w14:paraId="03D8D782" w14:textId="77777777" w:rsidR="00D64294" w:rsidRPr="008F6CF9" w:rsidRDefault="00D64294" w:rsidP="00D64294">
      <w:pPr>
        <w:jc w:val="right"/>
        <w:rPr>
          <w:rFonts w:ascii="Garamond" w:eastAsia="Times New Roman" w:hAnsi="Garamond"/>
          <w:sz w:val="22"/>
          <w:szCs w:val="22"/>
        </w:rPr>
      </w:pPr>
      <w:r w:rsidRPr="008F6CF9">
        <w:rPr>
          <w:rFonts w:ascii="Garamond" w:eastAsia="Times New Roman" w:hAnsi="Garamond"/>
          <w:sz w:val="22"/>
          <w:szCs w:val="22"/>
        </w:rPr>
        <w:tab/>
      </w:r>
      <w:r w:rsidRPr="008F6CF9">
        <w:rPr>
          <w:rFonts w:ascii="Garamond" w:eastAsia="Times New Roman" w:hAnsi="Garamond"/>
          <w:sz w:val="22"/>
          <w:szCs w:val="22"/>
        </w:rPr>
        <w:tab/>
      </w:r>
      <w:r w:rsidRPr="008F6CF9">
        <w:rPr>
          <w:rFonts w:ascii="Garamond" w:eastAsia="Times New Roman" w:hAnsi="Garamond"/>
          <w:sz w:val="22"/>
          <w:szCs w:val="22"/>
        </w:rPr>
        <w:tab/>
      </w:r>
      <w:r w:rsidRPr="008F6CF9">
        <w:rPr>
          <w:rFonts w:ascii="Garamond" w:eastAsia="Times New Roman" w:hAnsi="Garamond"/>
          <w:sz w:val="22"/>
          <w:szCs w:val="22"/>
        </w:rPr>
        <w:tab/>
      </w:r>
      <w:r w:rsidRPr="008F6CF9">
        <w:rPr>
          <w:rFonts w:ascii="Garamond" w:eastAsia="Times New Roman" w:hAnsi="Garamond"/>
          <w:sz w:val="22"/>
          <w:szCs w:val="22"/>
        </w:rPr>
        <w:tab/>
      </w:r>
      <w:r w:rsidRPr="008F6CF9">
        <w:rPr>
          <w:rFonts w:ascii="Garamond" w:eastAsia="Times New Roman" w:hAnsi="Garamond"/>
          <w:sz w:val="22"/>
          <w:szCs w:val="22"/>
        </w:rPr>
        <w:tab/>
      </w:r>
      <w:r w:rsidRPr="008F6CF9">
        <w:rPr>
          <w:rFonts w:ascii="Garamond" w:eastAsia="Times New Roman" w:hAnsi="Garamond"/>
          <w:sz w:val="22"/>
          <w:szCs w:val="22"/>
        </w:rPr>
        <w:tab/>
      </w:r>
      <w:r w:rsidRPr="008F6CF9">
        <w:rPr>
          <w:rFonts w:ascii="Garamond" w:eastAsia="Times New Roman" w:hAnsi="Garamond"/>
          <w:sz w:val="22"/>
          <w:szCs w:val="22"/>
        </w:rPr>
        <w:tab/>
      </w:r>
      <w:r w:rsidRPr="008F6CF9">
        <w:rPr>
          <w:rFonts w:ascii="Garamond" w:eastAsia="Times New Roman" w:hAnsi="Garamond"/>
          <w:sz w:val="22"/>
          <w:szCs w:val="22"/>
        </w:rPr>
        <w:tab/>
        <w:t>_________________________________</w:t>
      </w:r>
    </w:p>
    <w:p w14:paraId="30D04967" w14:textId="77777777" w:rsidR="00D64294" w:rsidRPr="008F6CF9" w:rsidRDefault="00D64294" w:rsidP="00D64294">
      <w:pPr>
        <w:jc w:val="both"/>
        <w:rPr>
          <w:rFonts w:ascii="Garamond" w:eastAsia="Times New Roman" w:hAnsi="Garamond"/>
          <w:sz w:val="22"/>
          <w:szCs w:val="22"/>
        </w:rPr>
      </w:pPr>
    </w:p>
    <w:p w14:paraId="419CD094" w14:textId="77777777" w:rsidR="00D64294" w:rsidRPr="008F6CF9" w:rsidRDefault="00D64294" w:rsidP="00D64294">
      <w:pPr>
        <w:jc w:val="both"/>
        <w:rPr>
          <w:rFonts w:ascii="Garamond" w:eastAsia="Times New Roman" w:hAnsi="Garamond"/>
          <w:sz w:val="22"/>
          <w:szCs w:val="22"/>
        </w:rPr>
      </w:pPr>
    </w:p>
    <w:p w14:paraId="37FAA7A4" w14:textId="77777777" w:rsidR="00D64294" w:rsidRPr="008F6CF9" w:rsidRDefault="00D64294" w:rsidP="00D64294">
      <w:pPr>
        <w:jc w:val="center"/>
        <w:rPr>
          <w:rFonts w:ascii="Garamond" w:eastAsia="Times New Roman" w:hAnsi="Garamond"/>
          <w:b/>
          <w:sz w:val="22"/>
        </w:rPr>
      </w:pPr>
      <w:bookmarkStart w:id="24" w:name="_Toc428358512"/>
      <w:r w:rsidRPr="008F6CF9">
        <w:rPr>
          <w:rFonts w:ascii="Garamond" w:eastAsia="Times New Roman" w:hAnsi="Garamond"/>
          <w:b/>
          <w:sz w:val="22"/>
        </w:rPr>
        <w:t>ЗАЯВЛЕНИЕ</w:t>
      </w:r>
      <w:bookmarkEnd w:id="24"/>
    </w:p>
    <w:p w14:paraId="25FE0B4E" w14:textId="77777777" w:rsidR="00D64294" w:rsidRPr="008F6CF9" w:rsidRDefault="00D64294" w:rsidP="00D64294">
      <w:pPr>
        <w:jc w:val="center"/>
        <w:rPr>
          <w:rFonts w:ascii="Garamond" w:eastAsia="Times New Roman" w:hAnsi="Garamond"/>
          <w:b/>
          <w:sz w:val="22"/>
          <w:szCs w:val="22"/>
        </w:rPr>
      </w:pPr>
    </w:p>
    <w:p w14:paraId="1E04892D" w14:textId="77777777" w:rsidR="00D64294" w:rsidRPr="008F6CF9" w:rsidRDefault="00D64294" w:rsidP="00D64294">
      <w:pPr>
        <w:ind w:right="-31"/>
        <w:jc w:val="center"/>
        <w:rPr>
          <w:rFonts w:ascii="Garamond" w:eastAsia="Times New Roman" w:hAnsi="Garamond"/>
          <w:b/>
          <w:sz w:val="22"/>
          <w:szCs w:val="22"/>
        </w:rPr>
      </w:pPr>
      <w:r w:rsidRPr="008F6CF9">
        <w:rPr>
          <w:rFonts w:ascii="Garamond" w:eastAsia="Times New Roman" w:hAnsi="Garamond"/>
          <w:b/>
          <w:sz w:val="22"/>
          <w:szCs w:val="22"/>
        </w:rPr>
        <w:t>о получении статуса субъекта оптового рынка и включении в Реестр субъектов оптового рынка</w:t>
      </w:r>
    </w:p>
    <w:p w14:paraId="2F0F5505" w14:textId="77777777" w:rsidR="00D64294" w:rsidRPr="008F6CF9" w:rsidRDefault="00D64294" w:rsidP="00D64294">
      <w:pPr>
        <w:jc w:val="both"/>
        <w:rPr>
          <w:rFonts w:ascii="Garamond" w:eastAsia="Times New Roman" w:hAnsi="Garamond"/>
          <w:sz w:val="22"/>
        </w:rPr>
      </w:pPr>
    </w:p>
    <w:p w14:paraId="7A3D7A34" w14:textId="77777777" w:rsidR="00D64294" w:rsidRPr="008F6CF9" w:rsidRDefault="00D64294" w:rsidP="00D64294">
      <w:pPr>
        <w:jc w:val="both"/>
        <w:rPr>
          <w:rFonts w:ascii="Garamond" w:eastAsia="Times New Roman" w:hAnsi="Garamond"/>
          <w:sz w:val="22"/>
        </w:rPr>
      </w:pPr>
      <w:r w:rsidRPr="008F6CF9">
        <w:rPr>
          <w:rFonts w:ascii="Garamond" w:eastAsia="Times New Roman" w:hAnsi="Garamond"/>
          <w:sz w:val="22"/>
        </w:rPr>
        <w:t>______________________________________________________________________________,</w:t>
      </w:r>
    </w:p>
    <w:p w14:paraId="2386117B" w14:textId="77777777" w:rsidR="00D64294" w:rsidRPr="008F6CF9" w:rsidRDefault="00D64294" w:rsidP="00D64294">
      <w:pPr>
        <w:jc w:val="center"/>
        <w:rPr>
          <w:rFonts w:ascii="Garamond" w:eastAsia="Times New Roman" w:hAnsi="Garamond"/>
          <w:i/>
          <w:sz w:val="18"/>
          <w:szCs w:val="18"/>
        </w:rPr>
      </w:pPr>
      <w:r w:rsidRPr="008F6CF9">
        <w:rPr>
          <w:rFonts w:ascii="Garamond" w:eastAsia="Times New Roman" w:hAnsi="Garamond"/>
          <w:i/>
          <w:sz w:val="18"/>
          <w:szCs w:val="18"/>
        </w:rPr>
        <w:t>(полное наименование организации с указанием организационно-правовой формы)</w:t>
      </w:r>
    </w:p>
    <w:p w14:paraId="6959676F" w14:textId="77777777" w:rsidR="00D64294" w:rsidRPr="008F6CF9" w:rsidRDefault="00D64294" w:rsidP="00D64294">
      <w:pPr>
        <w:jc w:val="center"/>
        <w:rPr>
          <w:rFonts w:ascii="Garamond" w:eastAsia="Times New Roman" w:hAnsi="Garamond"/>
          <w:i/>
          <w:sz w:val="22"/>
        </w:rPr>
      </w:pPr>
    </w:p>
    <w:p w14:paraId="25E1FFAB" w14:textId="77777777" w:rsidR="00D64294" w:rsidRPr="008F6CF9" w:rsidRDefault="00D64294" w:rsidP="00D64294">
      <w:pPr>
        <w:jc w:val="both"/>
        <w:rPr>
          <w:rFonts w:ascii="Garamond" w:eastAsia="Times New Roman" w:hAnsi="Garamond"/>
          <w:sz w:val="22"/>
          <w:szCs w:val="22"/>
        </w:rPr>
      </w:pPr>
      <w:r w:rsidRPr="008F6CF9">
        <w:rPr>
          <w:rFonts w:ascii="Garamond" w:eastAsia="Times New Roman" w:hAnsi="Garamond"/>
          <w:sz w:val="22"/>
          <w:szCs w:val="22"/>
        </w:rPr>
        <w:t xml:space="preserve">являясь членом Совета рынка, выражает намерение получить статус субъекта оптового рынка </w:t>
      </w:r>
      <w:r w:rsidRPr="00341262">
        <w:rPr>
          <w:rFonts w:ascii="Garamond" w:eastAsia="Times New Roman" w:hAnsi="Garamond"/>
          <w:sz w:val="22"/>
          <w:szCs w:val="22"/>
          <w:highlight w:val="yellow"/>
        </w:rPr>
        <w:t>электрической энергии</w:t>
      </w:r>
      <w:r w:rsidRPr="008F6CF9">
        <w:rPr>
          <w:rFonts w:ascii="Garamond" w:eastAsia="Times New Roman" w:hAnsi="Garamond"/>
          <w:sz w:val="22"/>
          <w:szCs w:val="22"/>
        </w:rPr>
        <w:t xml:space="preserve"> и быть включенным в Реестр субъектов оптового рынка Совета рынка по организации эффективной системы оптовой и розничной торговли электрической энергией и мощностью</w:t>
      </w:r>
    </w:p>
    <w:p w14:paraId="6A19FDA3" w14:textId="77777777" w:rsidR="00D64294" w:rsidRPr="008F6CF9" w:rsidRDefault="00D64294" w:rsidP="00D64294">
      <w:pPr>
        <w:jc w:val="center"/>
        <w:rPr>
          <w:rFonts w:ascii="Garamond" w:eastAsia="Times New Roman" w:hAnsi="Garamond"/>
          <w:sz w:val="22"/>
          <w:szCs w:val="22"/>
        </w:rPr>
      </w:pPr>
      <w:r w:rsidRPr="008F6CF9">
        <w:rPr>
          <w:rFonts w:ascii="Garamond" w:eastAsia="Times New Roman" w:hAnsi="Garamond"/>
          <w:sz w:val="22"/>
          <w:szCs w:val="22"/>
        </w:rPr>
        <w:t>____________________________________________________________________________________.</w:t>
      </w:r>
    </w:p>
    <w:p w14:paraId="0224511A" w14:textId="77777777" w:rsidR="00D64294" w:rsidRPr="008F6CF9" w:rsidRDefault="00D64294" w:rsidP="00D64294">
      <w:pPr>
        <w:jc w:val="center"/>
        <w:rPr>
          <w:rFonts w:ascii="Garamond" w:eastAsia="Times New Roman" w:hAnsi="Garamond"/>
          <w:i/>
          <w:sz w:val="18"/>
          <w:szCs w:val="18"/>
        </w:rPr>
      </w:pPr>
      <w:r w:rsidRPr="008F6CF9">
        <w:rPr>
          <w:rFonts w:ascii="Garamond" w:eastAsia="Times New Roman" w:hAnsi="Garamond"/>
          <w:i/>
          <w:sz w:val="18"/>
          <w:szCs w:val="18"/>
        </w:rPr>
        <w:t>(указать тип организации в соответствии с п. 1.2 настоящего Положения)</w:t>
      </w:r>
    </w:p>
    <w:p w14:paraId="464801BA" w14:textId="77777777" w:rsidR="00D64294" w:rsidRPr="008F6CF9" w:rsidRDefault="00D64294" w:rsidP="00D64294">
      <w:pPr>
        <w:jc w:val="both"/>
        <w:rPr>
          <w:rFonts w:ascii="Garamond" w:eastAsia="Times New Roman" w:hAnsi="Garamond"/>
          <w:sz w:val="22"/>
        </w:rPr>
      </w:pPr>
    </w:p>
    <w:p w14:paraId="537707A6" w14:textId="77777777" w:rsidR="00D64294" w:rsidRPr="008F6CF9" w:rsidRDefault="00D64294" w:rsidP="00D64294">
      <w:pPr>
        <w:tabs>
          <w:tab w:val="left" w:pos="993"/>
          <w:tab w:val="num" w:pos="1200"/>
        </w:tabs>
        <w:jc w:val="both"/>
        <w:rPr>
          <w:rFonts w:ascii="Garamond" w:eastAsia="Times New Roman" w:hAnsi="Garamond"/>
          <w:bCs/>
          <w:sz w:val="22"/>
          <w:szCs w:val="22"/>
        </w:rPr>
      </w:pPr>
      <w:r w:rsidRPr="008F6CF9">
        <w:rPr>
          <w:rFonts w:ascii="Garamond" w:eastAsia="Times New Roman" w:hAnsi="Garamond"/>
          <w:sz w:val="22"/>
          <w:szCs w:val="22"/>
        </w:rPr>
        <w:t xml:space="preserve"> Подтверждаю выполнение требований, установленных</w:t>
      </w:r>
      <w:r w:rsidRPr="008F6CF9">
        <w:rPr>
          <w:rFonts w:ascii="Garamond" w:eastAsia="Times New Roman" w:hAnsi="Garamond"/>
          <w:bCs/>
          <w:sz w:val="22"/>
          <w:szCs w:val="22"/>
        </w:rPr>
        <w:t xml:space="preserve"> Договором о присоединении к торговой системе оптового рынка </w:t>
      </w:r>
      <w:r w:rsidRPr="00341262">
        <w:rPr>
          <w:rFonts w:ascii="Garamond" w:eastAsia="Times New Roman" w:hAnsi="Garamond"/>
          <w:bCs/>
          <w:sz w:val="22"/>
          <w:szCs w:val="22"/>
          <w:highlight w:val="yellow"/>
        </w:rPr>
        <w:t>в отношении групп (-ы) точек поставки</w:t>
      </w:r>
      <w:r w:rsidRPr="008F6CF9">
        <w:rPr>
          <w:rFonts w:ascii="Garamond" w:eastAsia="Times New Roman" w:hAnsi="Garamond"/>
          <w:bCs/>
          <w:sz w:val="22"/>
          <w:szCs w:val="22"/>
        </w:rPr>
        <w:t xml:space="preserve"> ____________________________________________: </w:t>
      </w:r>
    </w:p>
    <w:p w14:paraId="186D5C4D" w14:textId="77777777" w:rsidR="00D64294" w:rsidRPr="008F6CF9" w:rsidRDefault="00D64294" w:rsidP="00D64294">
      <w:pPr>
        <w:ind w:firstLine="709"/>
        <w:jc w:val="both"/>
        <w:rPr>
          <w:rFonts w:ascii="Garamond" w:eastAsia="Times New Roman" w:hAnsi="Garamond"/>
          <w:i/>
          <w:sz w:val="18"/>
          <w:szCs w:val="18"/>
        </w:rPr>
      </w:pPr>
      <w:r w:rsidRPr="008F6CF9">
        <w:rPr>
          <w:rFonts w:ascii="Garamond" w:eastAsia="Times New Roman" w:hAnsi="Garamond"/>
          <w:i/>
          <w:sz w:val="18"/>
          <w:szCs w:val="18"/>
        </w:rPr>
        <w:t>(указать наименование и код согласованных ГТП)</w:t>
      </w:r>
    </w:p>
    <w:p w14:paraId="367AA627" w14:textId="77777777" w:rsidR="00D64294" w:rsidRPr="008F6CF9" w:rsidRDefault="00D64294" w:rsidP="00D64294">
      <w:pPr>
        <w:jc w:val="both"/>
        <w:rPr>
          <w:rFonts w:ascii="Garamond" w:eastAsia="Times New Roman" w:hAnsi="Garamond"/>
          <w:sz w:val="22"/>
          <w:szCs w:val="22"/>
        </w:rPr>
      </w:pPr>
    </w:p>
    <w:p w14:paraId="1A44F824" w14:textId="77777777" w:rsidR="00D64294" w:rsidRPr="008F6CF9" w:rsidRDefault="00D64294" w:rsidP="00D64294">
      <w:pPr>
        <w:jc w:val="both"/>
        <w:rPr>
          <w:rFonts w:ascii="Garamond" w:eastAsia="Times New Roman" w:hAnsi="Garamond"/>
          <w:sz w:val="22"/>
          <w:szCs w:val="22"/>
        </w:rPr>
      </w:pPr>
      <w:r w:rsidRPr="008F6CF9">
        <w:rPr>
          <w:rFonts w:ascii="Garamond" w:eastAsia="Times New Roman" w:hAnsi="Garamond"/>
          <w:sz w:val="22"/>
          <w:szCs w:val="22"/>
        </w:rPr>
        <w:t xml:space="preserve">– подписание Акта (-ов) о согласовании ГТП и отнесении их к узлам расчетной модели № __________ от _____________; </w:t>
      </w:r>
    </w:p>
    <w:p w14:paraId="62F04BFA" w14:textId="77777777" w:rsidR="00D64294" w:rsidRPr="008F6CF9" w:rsidRDefault="00D64294" w:rsidP="00D64294">
      <w:pPr>
        <w:jc w:val="both"/>
        <w:rPr>
          <w:rFonts w:ascii="Garamond" w:eastAsia="Times New Roman" w:hAnsi="Garamond"/>
          <w:i/>
          <w:sz w:val="22"/>
          <w:szCs w:val="22"/>
        </w:rPr>
      </w:pPr>
      <w:r w:rsidRPr="008F6CF9">
        <w:rPr>
          <w:rFonts w:ascii="Garamond" w:eastAsia="Times New Roman" w:hAnsi="Garamond"/>
          <w:sz w:val="22"/>
          <w:szCs w:val="22"/>
        </w:rPr>
        <w:t>(</w:t>
      </w:r>
      <w:r w:rsidRPr="008F6CF9">
        <w:rPr>
          <w:rFonts w:ascii="Garamond" w:eastAsia="Times New Roman" w:hAnsi="Garamond"/>
          <w:i/>
          <w:sz w:val="18"/>
          <w:szCs w:val="18"/>
        </w:rPr>
        <w:t>указать даты подписания акта (-ов) заявителем</w:t>
      </w:r>
      <w:r w:rsidRPr="008F6CF9">
        <w:rPr>
          <w:rFonts w:ascii="Garamond" w:eastAsia="Times New Roman" w:hAnsi="Garamond"/>
          <w:sz w:val="22"/>
          <w:szCs w:val="22"/>
        </w:rPr>
        <w:t>)</w:t>
      </w:r>
    </w:p>
    <w:p w14:paraId="379F99ED" w14:textId="77777777" w:rsidR="00D64294" w:rsidRPr="008F6CF9" w:rsidRDefault="00D64294" w:rsidP="00D64294">
      <w:pPr>
        <w:jc w:val="both"/>
        <w:rPr>
          <w:rFonts w:ascii="Garamond" w:eastAsia="Times New Roman" w:hAnsi="Garamond" w:cs="Arial"/>
          <w:sz w:val="22"/>
          <w:szCs w:val="22"/>
        </w:rPr>
      </w:pPr>
    </w:p>
    <w:p w14:paraId="00E0E65A" w14:textId="77777777" w:rsidR="00D64294" w:rsidRPr="008F6CF9" w:rsidRDefault="00D64294" w:rsidP="00D64294">
      <w:pPr>
        <w:jc w:val="both"/>
        <w:rPr>
          <w:rFonts w:ascii="Garamond" w:eastAsia="Times New Roman" w:hAnsi="Garamond"/>
          <w:sz w:val="22"/>
          <w:szCs w:val="22"/>
        </w:rPr>
      </w:pPr>
      <w:r w:rsidRPr="008F6CF9">
        <w:rPr>
          <w:rFonts w:ascii="Garamond" w:eastAsia="Times New Roman" w:hAnsi="Garamond" w:cs="Arial"/>
          <w:sz w:val="22"/>
          <w:szCs w:val="22"/>
        </w:rPr>
        <w:t xml:space="preserve">– получение Акта (-ов) </w:t>
      </w:r>
      <w:r w:rsidRPr="008F6CF9">
        <w:rPr>
          <w:rFonts w:ascii="Garamond" w:eastAsia="Times New Roman" w:hAnsi="Garamond"/>
          <w:sz w:val="22"/>
          <w:szCs w:val="22"/>
        </w:rPr>
        <w:t>установления соответствия АИИС коммерческого учета электроэнергии техническим требованиям оптового рынка электрической энергии № ______________ от ______________ *;</w:t>
      </w:r>
    </w:p>
    <w:p w14:paraId="4EF1C896" w14:textId="77777777" w:rsidR="00D64294" w:rsidRPr="008F6CF9" w:rsidRDefault="00D64294" w:rsidP="00D64294">
      <w:pPr>
        <w:jc w:val="both"/>
        <w:rPr>
          <w:rFonts w:ascii="Garamond" w:eastAsia="Times New Roman" w:hAnsi="Garamond"/>
          <w:sz w:val="18"/>
          <w:szCs w:val="18"/>
        </w:rPr>
      </w:pPr>
      <w:r w:rsidRPr="008F6CF9">
        <w:rPr>
          <w:rFonts w:ascii="Garamond" w:eastAsia="Times New Roman" w:hAnsi="Garamond"/>
          <w:sz w:val="18"/>
          <w:szCs w:val="18"/>
        </w:rPr>
        <w:t>(</w:t>
      </w:r>
      <w:r w:rsidRPr="008F6CF9">
        <w:rPr>
          <w:rFonts w:ascii="Garamond" w:eastAsia="Times New Roman" w:hAnsi="Garamond"/>
          <w:i/>
          <w:sz w:val="18"/>
          <w:szCs w:val="18"/>
        </w:rPr>
        <w:t>при наличии актов, выданных на сечение КУ, указать акты по всем сечениям КУ, входящим в состав ГТП</w:t>
      </w:r>
      <w:r w:rsidRPr="008F6CF9">
        <w:rPr>
          <w:rFonts w:ascii="Garamond" w:eastAsia="Times New Roman" w:hAnsi="Garamond"/>
          <w:sz w:val="18"/>
          <w:szCs w:val="18"/>
        </w:rPr>
        <w:t>) </w:t>
      </w:r>
    </w:p>
    <w:p w14:paraId="2CA8FDAF" w14:textId="77777777" w:rsidR="00D64294" w:rsidRPr="008F6CF9" w:rsidRDefault="00D64294" w:rsidP="00D64294">
      <w:pPr>
        <w:tabs>
          <w:tab w:val="left" w:pos="993"/>
          <w:tab w:val="num" w:pos="1200"/>
        </w:tabs>
        <w:jc w:val="both"/>
        <w:rPr>
          <w:rFonts w:ascii="Garamond" w:eastAsia="Times New Roman" w:hAnsi="Garamond" w:cs="Arial"/>
          <w:sz w:val="22"/>
          <w:szCs w:val="22"/>
        </w:rPr>
      </w:pPr>
    </w:p>
    <w:p w14:paraId="6A18E3AF" w14:textId="77777777" w:rsidR="00D64294" w:rsidRPr="008F6CF9" w:rsidRDefault="00D64294" w:rsidP="00D64294">
      <w:pPr>
        <w:tabs>
          <w:tab w:val="left" w:pos="993"/>
          <w:tab w:val="num" w:pos="1200"/>
        </w:tabs>
        <w:jc w:val="both"/>
        <w:rPr>
          <w:rFonts w:ascii="Garamond" w:eastAsia="Times New Roman" w:hAnsi="Garamond" w:cs="Arial"/>
          <w:sz w:val="22"/>
          <w:szCs w:val="22"/>
        </w:rPr>
      </w:pPr>
      <w:r w:rsidRPr="008F6CF9">
        <w:rPr>
          <w:rFonts w:ascii="Garamond" w:eastAsia="Times New Roman" w:hAnsi="Garamond" w:cs="Arial"/>
          <w:sz w:val="22"/>
          <w:szCs w:val="22"/>
        </w:rPr>
        <w:t>– регистрацию Перечня средств измерений для целей коммерческого учета по ГТП / сечению (-ям) коммерческого учета со смежным (-и) субъектом (-ами) № ____________________________________*.</w:t>
      </w:r>
    </w:p>
    <w:p w14:paraId="57E3AADB" w14:textId="77777777" w:rsidR="00D64294" w:rsidRPr="008F6CF9" w:rsidRDefault="00D64294" w:rsidP="00D64294">
      <w:pPr>
        <w:tabs>
          <w:tab w:val="left" w:pos="993"/>
          <w:tab w:val="num" w:pos="1200"/>
        </w:tabs>
        <w:jc w:val="both"/>
        <w:rPr>
          <w:rFonts w:ascii="Garamond" w:eastAsia="Times New Roman" w:hAnsi="Garamond" w:cs="Arial"/>
          <w:sz w:val="22"/>
          <w:szCs w:val="22"/>
        </w:rPr>
      </w:pPr>
      <w:r w:rsidRPr="008F6CF9">
        <w:rPr>
          <w:rFonts w:ascii="Garamond" w:eastAsia="Times New Roman" w:hAnsi="Garamond" w:cs="Arial"/>
          <w:sz w:val="22"/>
          <w:szCs w:val="22"/>
        </w:rPr>
        <w:tab/>
      </w:r>
      <w:r w:rsidRPr="008F6CF9">
        <w:rPr>
          <w:rFonts w:ascii="Garamond" w:eastAsia="Times New Roman" w:hAnsi="Garamond" w:cs="Arial"/>
          <w:sz w:val="22"/>
          <w:szCs w:val="22"/>
        </w:rPr>
        <w:tab/>
      </w:r>
      <w:r w:rsidRPr="008F6CF9">
        <w:rPr>
          <w:rFonts w:ascii="Garamond" w:eastAsia="Times New Roman" w:hAnsi="Garamond" w:cs="Arial"/>
          <w:sz w:val="22"/>
          <w:szCs w:val="22"/>
        </w:rPr>
        <w:tab/>
      </w:r>
      <w:r w:rsidRPr="008F6CF9">
        <w:rPr>
          <w:rFonts w:ascii="Garamond" w:eastAsia="Times New Roman" w:hAnsi="Garamond" w:cs="Arial"/>
          <w:sz w:val="22"/>
          <w:szCs w:val="22"/>
        </w:rPr>
        <w:tab/>
      </w:r>
      <w:r w:rsidRPr="008F6CF9">
        <w:rPr>
          <w:rFonts w:ascii="Garamond" w:eastAsia="Times New Roman" w:hAnsi="Garamond" w:cs="Arial"/>
          <w:sz w:val="22"/>
          <w:szCs w:val="22"/>
        </w:rPr>
        <w:tab/>
      </w:r>
      <w:r w:rsidRPr="008F6CF9">
        <w:rPr>
          <w:rFonts w:ascii="Garamond" w:eastAsia="Times New Roman" w:hAnsi="Garamond" w:cs="Arial"/>
          <w:sz w:val="22"/>
          <w:szCs w:val="22"/>
        </w:rPr>
        <w:tab/>
      </w:r>
      <w:r w:rsidRPr="008F6CF9">
        <w:rPr>
          <w:rFonts w:ascii="Garamond" w:eastAsia="Times New Roman" w:hAnsi="Garamond" w:cs="Arial"/>
          <w:sz w:val="22"/>
          <w:szCs w:val="22"/>
        </w:rPr>
        <w:tab/>
      </w:r>
      <w:r w:rsidRPr="008F6CF9">
        <w:rPr>
          <w:rFonts w:ascii="Garamond" w:eastAsia="Times New Roman" w:hAnsi="Garamond" w:cs="Arial"/>
          <w:sz w:val="22"/>
          <w:szCs w:val="22"/>
        </w:rPr>
        <w:tab/>
      </w:r>
      <w:r w:rsidRPr="008F6CF9">
        <w:rPr>
          <w:rFonts w:ascii="Garamond" w:eastAsia="Times New Roman" w:hAnsi="Garamond" w:cs="Arial"/>
          <w:sz w:val="22"/>
          <w:szCs w:val="22"/>
        </w:rPr>
        <w:tab/>
        <w:t>(</w:t>
      </w:r>
      <w:r w:rsidRPr="008F6CF9">
        <w:rPr>
          <w:rFonts w:ascii="Garamond" w:eastAsia="Times New Roman" w:hAnsi="Garamond" w:cs="Arial"/>
          <w:i/>
          <w:sz w:val="18"/>
          <w:szCs w:val="18"/>
        </w:rPr>
        <w:t>указать регистрационный номер и дату регистрации</w:t>
      </w:r>
      <w:r w:rsidRPr="008F6CF9">
        <w:rPr>
          <w:rFonts w:ascii="Garamond" w:eastAsia="Times New Roman" w:hAnsi="Garamond" w:cs="Arial"/>
          <w:sz w:val="22"/>
          <w:szCs w:val="22"/>
        </w:rPr>
        <w:t>)</w:t>
      </w:r>
    </w:p>
    <w:p w14:paraId="541E7E2E" w14:textId="77777777" w:rsidR="00D64294" w:rsidRPr="008F6CF9" w:rsidRDefault="00D64294" w:rsidP="00D64294">
      <w:pPr>
        <w:spacing w:before="100" w:beforeAutospacing="1" w:after="100" w:afterAutospacing="1"/>
        <w:jc w:val="both"/>
        <w:rPr>
          <w:rFonts w:ascii="Garamond" w:eastAsia="Times New Roman" w:hAnsi="Garamond"/>
          <w:sz w:val="22"/>
          <w:szCs w:val="22"/>
        </w:rPr>
      </w:pPr>
    </w:p>
    <w:p w14:paraId="30DB96C2" w14:textId="77777777" w:rsidR="00D64294" w:rsidRPr="008F6CF9" w:rsidRDefault="00D64294" w:rsidP="00D64294">
      <w:pPr>
        <w:spacing w:before="100" w:beforeAutospacing="1" w:after="100" w:afterAutospacing="1"/>
        <w:jc w:val="both"/>
        <w:rPr>
          <w:rFonts w:ascii="Garamond" w:eastAsia="Times New Roman" w:hAnsi="Garamond"/>
          <w:bCs/>
          <w:sz w:val="22"/>
          <w:szCs w:val="22"/>
        </w:rPr>
      </w:pPr>
      <w:r w:rsidRPr="008F6CF9">
        <w:rPr>
          <w:rFonts w:ascii="Garamond" w:eastAsia="Times New Roman" w:hAnsi="Garamond"/>
          <w:sz w:val="22"/>
          <w:szCs w:val="22"/>
        </w:rPr>
        <w:t xml:space="preserve">Приложение: документы, подтверждающие </w:t>
      </w:r>
      <w:r w:rsidRPr="008F6CF9">
        <w:rPr>
          <w:rFonts w:ascii="Garamond" w:eastAsia="Times New Roman" w:hAnsi="Garamond" w:cs="Arial"/>
          <w:sz w:val="22"/>
          <w:szCs w:val="22"/>
        </w:rPr>
        <w:t>соответствие техническим требованиям к системе связи, обеспечивающей передачу данных Системному оператору **.</w:t>
      </w:r>
    </w:p>
    <w:p w14:paraId="73336777" w14:textId="77777777" w:rsidR="00D64294" w:rsidRPr="008F6CF9" w:rsidRDefault="00D64294" w:rsidP="00D64294">
      <w:pPr>
        <w:spacing w:before="100" w:beforeAutospacing="1" w:after="100" w:afterAutospacing="1"/>
        <w:jc w:val="both"/>
        <w:rPr>
          <w:rFonts w:ascii="Garamond" w:eastAsia="Times New Roman" w:hAnsi="Garamond"/>
          <w:bCs/>
          <w:sz w:val="22"/>
          <w:szCs w:val="22"/>
        </w:rPr>
      </w:pPr>
      <w:r w:rsidRPr="008F6CF9">
        <w:rPr>
          <w:rFonts w:ascii="Garamond" w:eastAsia="Times New Roman" w:hAnsi="Garamond"/>
          <w:bCs/>
          <w:sz w:val="22"/>
          <w:szCs w:val="22"/>
        </w:rPr>
        <w:t>____________________</w:t>
      </w:r>
      <w:r w:rsidRPr="008F6CF9">
        <w:rPr>
          <w:rFonts w:ascii="Garamond" w:eastAsia="Times New Roman" w:hAnsi="Garamond"/>
          <w:bCs/>
          <w:sz w:val="22"/>
          <w:szCs w:val="22"/>
        </w:rPr>
        <w:tab/>
      </w:r>
      <w:r w:rsidRPr="008F6CF9">
        <w:rPr>
          <w:rFonts w:ascii="Garamond" w:eastAsia="Times New Roman" w:hAnsi="Garamond"/>
          <w:bCs/>
          <w:sz w:val="22"/>
          <w:szCs w:val="22"/>
        </w:rPr>
        <w:tab/>
      </w:r>
      <w:r w:rsidRPr="008F6CF9">
        <w:rPr>
          <w:rFonts w:ascii="Garamond" w:eastAsia="Times New Roman" w:hAnsi="Garamond"/>
          <w:bCs/>
          <w:sz w:val="22"/>
          <w:szCs w:val="22"/>
        </w:rPr>
        <w:tab/>
      </w:r>
      <w:r w:rsidRPr="008F6CF9">
        <w:rPr>
          <w:rFonts w:ascii="Garamond" w:eastAsia="Times New Roman" w:hAnsi="Garamond"/>
          <w:bCs/>
          <w:sz w:val="22"/>
          <w:szCs w:val="22"/>
        </w:rPr>
        <w:tab/>
      </w:r>
      <w:r w:rsidRPr="008F6CF9">
        <w:rPr>
          <w:rFonts w:ascii="Garamond" w:eastAsia="Times New Roman" w:hAnsi="Garamond"/>
          <w:bCs/>
          <w:sz w:val="22"/>
          <w:szCs w:val="22"/>
        </w:rPr>
        <w:tab/>
      </w:r>
      <w:r w:rsidRPr="008F6CF9">
        <w:rPr>
          <w:rFonts w:ascii="Garamond" w:eastAsia="Times New Roman" w:hAnsi="Garamond"/>
          <w:bCs/>
          <w:sz w:val="22"/>
          <w:szCs w:val="22"/>
        </w:rPr>
        <w:tab/>
        <w:t>_________________________</w:t>
      </w:r>
    </w:p>
    <w:p w14:paraId="16153C04" w14:textId="77777777" w:rsidR="00D64294" w:rsidRPr="008F6CF9" w:rsidRDefault="00D64294" w:rsidP="00D64294">
      <w:pPr>
        <w:ind w:firstLine="708"/>
        <w:jc w:val="both"/>
        <w:rPr>
          <w:rFonts w:ascii="Garamond" w:eastAsia="Times New Roman" w:hAnsi="Garamond"/>
          <w:i/>
          <w:sz w:val="18"/>
          <w:szCs w:val="18"/>
        </w:rPr>
      </w:pPr>
      <w:r w:rsidRPr="008F6CF9">
        <w:rPr>
          <w:rFonts w:ascii="Garamond" w:eastAsia="Times New Roman" w:hAnsi="Garamond"/>
          <w:i/>
          <w:sz w:val="18"/>
          <w:szCs w:val="18"/>
        </w:rPr>
        <w:t>(должность)</w:t>
      </w:r>
      <w:r w:rsidRPr="008F6CF9">
        <w:rPr>
          <w:rFonts w:ascii="Garamond" w:eastAsia="Times New Roman" w:hAnsi="Garamond"/>
          <w:i/>
          <w:sz w:val="18"/>
          <w:szCs w:val="18"/>
        </w:rPr>
        <w:tab/>
      </w:r>
      <w:r w:rsidRPr="008F6CF9">
        <w:rPr>
          <w:rFonts w:ascii="Garamond" w:eastAsia="Times New Roman" w:hAnsi="Garamond"/>
          <w:i/>
          <w:sz w:val="18"/>
          <w:szCs w:val="18"/>
        </w:rPr>
        <w:tab/>
      </w:r>
      <w:r w:rsidRPr="008F6CF9">
        <w:rPr>
          <w:rFonts w:ascii="Garamond" w:eastAsia="Times New Roman" w:hAnsi="Garamond"/>
          <w:i/>
          <w:sz w:val="18"/>
          <w:szCs w:val="18"/>
        </w:rPr>
        <w:tab/>
      </w:r>
      <w:r w:rsidRPr="008F6CF9">
        <w:rPr>
          <w:rFonts w:ascii="Garamond" w:eastAsia="Times New Roman" w:hAnsi="Garamond"/>
          <w:i/>
          <w:sz w:val="18"/>
          <w:szCs w:val="18"/>
        </w:rPr>
        <w:tab/>
      </w:r>
      <w:r w:rsidRPr="008F6CF9">
        <w:rPr>
          <w:rFonts w:ascii="Garamond" w:eastAsia="Times New Roman" w:hAnsi="Garamond"/>
          <w:i/>
          <w:sz w:val="18"/>
          <w:szCs w:val="18"/>
        </w:rPr>
        <w:tab/>
      </w:r>
      <w:r w:rsidRPr="008F6CF9">
        <w:rPr>
          <w:rFonts w:ascii="Garamond" w:eastAsia="Times New Roman" w:hAnsi="Garamond"/>
          <w:i/>
          <w:sz w:val="18"/>
          <w:szCs w:val="18"/>
        </w:rPr>
        <w:tab/>
      </w:r>
      <w:r w:rsidRPr="008F6CF9">
        <w:rPr>
          <w:rFonts w:ascii="Garamond" w:eastAsia="Times New Roman" w:hAnsi="Garamond"/>
          <w:i/>
          <w:sz w:val="18"/>
          <w:szCs w:val="18"/>
        </w:rPr>
        <w:tab/>
      </w:r>
      <w:r w:rsidRPr="008F6CF9">
        <w:rPr>
          <w:rFonts w:ascii="Garamond" w:eastAsia="Times New Roman" w:hAnsi="Garamond"/>
          <w:i/>
          <w:sz w:val="18"/>
          <w:szCs w:val="18"/>
        </w:rPr>
        <w:tab/>
        <w:t>(Ф. И. О.)</w:t>
      </w:r>
    </w:p>
    <w:p w14:paraId="47AC1BA0" w14:textId="77777777" w:rsidR="00D64294" w:rsidRPr="008F6CF9" w:rsidRDefault="00D64294" w:rsidP="00D64294">
      <w:pPr>
        <w:jc w:val="both"/>
        <w:rPr>
          <w:rFonts w:ascii="Garamond" w:eastAsia="Times New Roman" w:hAnsi="Garamond"/>
          <w:i/>
          <w:sz w:val="22"/>
          <w:szCs w:val="22"/>
        </w:rPr>
      </w:pPr>
    </w:p>
    <w:p w14:paraId="30ACAF7A" w14:textId="77777777" w:rsidR="00D64294" w:rsidRPr="008F6CF9" w:rsidRDefault="00D64294" w:rsidP="00D64294">
      <w:pPr>
        <w:tabs>
          <w:tab w:val="num" w:pos="840"/>
        </w:tabs>
        <w:jc w:val="both"/>
        <w:rPr>
          <w:rFonts w:ascii="Garamond" w:eastAsia="Times New Roman" w:hAnsi="Garamond"/>
        </w:rPr>
      </w:pPr>
    </w:p>
    <w:p w14:paraId="6BD4B9CD" w14:textId="77777777" w:rsidR="00D64294" w:rsidRPr="008F6CF9" w:rsidRDefault="00D64294" w:rsidP="00D64294">
      <w:pPr>
        <w:tabs>
          <w:tab w:val="num" w:pos="840"/>
        </w:tabs>
        <w:jc w:val="both"/>
        <w:rPr>
          <w:rFonts w:ascii="Garamond" w:eastAsia="Times New Roman" w:hAnsi="Garamond" w:cs="Arial"/>
        </w:rPr>
      </w:pPr>
      <w:r w:rsidRPr="008F6CF9">
        <w:rPr>
          <w:rFonts w:ascii="Garamond" w:eastAsia="Times New Roman" w:hAnsi="Garamond"/>
        </w:rPr>
        <w:t xml:space="preserve">* </w:t>
      </w:r>
      <w:r w:rsidRPr="008F6CF9">
        <w:rPr>
          <w:rFonts w:ascii="Garamond" w:eastAsia="Times New Roman" w:hAnsi="Garamond" w:cs="Arial"/>
        </w:rPr>
        <w:t>Требования не распространяются на заявителей, согласовавших для получения статуса субъекта оптового рынка электрической энергии условную ГТП генерации.</w:t>
      </w:r>
    </w:p>
    <w:p w14:paraId="5AE8EF8C" w14:textId="77777777" w:rsidR="00D64294" w:rsidRDefault="00D64294" w:rsidP="00D64294">
      <w:pPr>
        <w:tabs>
          <w:tab w:val="left" w:pos="12753"/>
        </w:tabs>
        <w:rPr>
          <w:rFonts w:ascii="Garamond" w:hAnsi="Garamond"/>
          <w:sz w:val="22"/>
          <w:szCs w:val="22"/>
        </w:rPr>
      </w:pPr>
      <w:r w:rsidRPr="008F6CF9">
        <w:rPr>
          <w:rFonts w:ascii="Garamond" w:eastAsia="Times New Roman" w:hAnsi="Garamond"/>
        </w:rPr>
        <w:t xml:space="preserve">** </w:t>
      </w:r>
      <w:r w:rsidRPr="008F6CF9">
        <w:rPr>
          <w:rFonts w:ascii="Garamond" w:eastAsia="Times New Roman" w:hAnsi="Garamond" w:cs="Arial"/>
        </w:rPr>
        <w:t>Требования распространяются на заявителей, согласовавших для получения статуса субъекта оптового рынка электрической энергии ГТП генерации и (или) ГТП потребления с регулируемой нагрузкой</w:t>
      </w:r>
    </w:p>
    <w:p w14:paraId="353AB44A" w14:textId="77777777" w:rsidR="00D64294" w:rsidRDefault="00D64294" w:rsidP="00D64294">
      <w:pPr>
        <w:tabs>
          <w:tab w:val="left" w:pos="12753"/>
        </w:tabs>
        <w:rPr>
          <w:rFonts w:ascii="Garamond" w:hAnsi="Garamond"/>
          <w:sz w:val="22"/>
          <w:szCs w:val="22"/>
        </w:rPr>
      </w:pPr>
    </w:p>
    <w:p w14:paraId="282339F9" w14:textId="77777777" w:rsidR="00D64294" w:rsidRDefault="00D64294" w:rsidP="00D64294">
      <w:pPr>
        <w:jc w:val="both"/>
        <w:rPr>
          <w:rFonts w:ascii="Garamond" w:hAnsi="Garamond"/>
          <w:b/>
          <w:sz w:val="22"/>
          <w:szCs w:val="22"/>
          <w:lang w:eastAsia="en-US"/>
        </w:rPr>
      </w:pPr>
    </w:p>
    <w:p w14:paraId="6A73DD0C" w14:textId="77777777" w:rsidR="00D64294" w:rsidRDefault="00D64294" w:rsidP="00D64294">
      <w:pPr>
        <w:jc w:val="both"/>
        <w:rPr>
          <w:rFonts w:ascii="Garamond" w:hAnsi="Garamond"/>
          <w:b/>
          <w:sz w:val="22"/>
          <w:szCs w:val="22"/>
          <w:lang w:eastAsia="en-US"/>
        </w:rPr>
      </w:pPr>
    </w:p>
    <w:p w14:paraId="79F3FC28" w14:textId="77777777" w:rsidR="00D64294" w:rsidRDefault="00D64294" w:rsidP="00D64294">
      <w:pPr>
        <w:jc w:val="both"/>
        <w:rPr>
          <w:rFonts w:ascii="Garamond" w:hAnsi="Garamond"/>
          <w:b/>
          <w:sz w:val="22"/>
          <w:szCs w:val="22"/>
          <w:lang w:eastAsia="en-US"/>
        </w:rPr>
      </w:pPr>
      <w:r w:rsidRPr="00BF646A">
        <w:rPr>
          <w:rFonts w:ascii="Garamond" w:hAnsi="Garamond"/>
          <w:b/>
          <w:sz w:val="22"/>
          <w:szCs w:val="22"/>
          <w:lang w:eastAsia="en-US"/>
        </w:rPr>
        <w:lastRenderedPageBreak/>
        <w:t>Предлагаемая редакция</w:t>
      </w:r>
      <w:r>
        <w:rPr>
          <w:rFonts w:ascii="Garamond" w:hAnsi="Garamond"/>
          <w:b/>
          <w:sz w:val="22"/>
          <w:szCs w:val="22"/>
          <w:lang w:eastAsia="en-US"/>
        </w:rPr>
        <w:t xml:space="preserve"> </w:t>
      </w:r>
    </w:p>
    <w:p w14:paraId="201D92D4" w14:textId="77777777" w:rsidR="00D64294" w:rsidRDefault="00D64294" w:rsidP="00D64294">
      <w:pPr>
        <w:jc w:val="both"/>
        <w:rPr>
          <w:rFonts w:ascii="Garamond" w:hAnsi="Garamond"/>
          <w:sz w:val="22"/>
          <w:szCs w:val="22"/>
        </w:rPr>
      </w:pPr>
    </w:p>
    <w:p w14:paraId="29969214" w14:textId="77777777" w:rsidR="00D64294" w:rsidRPr="008F6CF9" w:rsidRDefault="00D64294" w:rsidP="00D64294">
      <w:pPr>
        <w:keepNext/>
        <w:tabs>
          <w:tab w:val="left" w:pos="708"/>
        </w:tabs>
        <w:spacing w:before="120" w:after="120"/>
        <w:ind w:left="1080" w:hanging="360"/>
        <w:jc w:val="right"/>
        <w:outlineLvl w:val="0"/>
        <w:rPr>
          <w:rFonts w:ascii="Garamond" w:eastAsia="Times New Roman" w:hAnsi="Garamond" w:cs="Arial"/>
          <w:b/>
          <w:sz w:val="22"/>
          <w:szCs w:val="22"/>
        </w:rPr>
      </w:pPr>
      <w:r w:rsidRPr="008F6CF9">
        <w:rPr>
          <w:rFonts w:ascii="Garamond" w:eastAsia="Times New Roman" w:hAnsi="Garamond" w:cs="Arial"/>
          <w:b/>
          <w:bCs/>
          <w:sz w:val="22"/>
          <w:szCs w:val="22"/>
        </w:rPr>
        <w:t>Приложение 1</w:t>
      </w:r>
    </w:p>
    <w:p w14:paraId="106ED28C" w14:textId="77777777" w:rsidR="00D64294" w:rsidRPr="008F6CF9" w:rsidRDefault="00D64294" w:rsidP="00D64294">
      <w:pPr>
        <w:keepNext/>
        <w:tabs>
          <w:tab w:val="left" w:pos="708"/>
        </w:tabs>
        <w:ind w:left="1080" w:hanging="360"/>
        <w:jc w:val="center"/>
        <w:outlineLvl w:val="0"/>
        <w:rPr>
          <w:rFonts w:ascii="Garamond" w:eastAsia="Times New Roman" w:hAnsi="Garamond" w:cs="Arial"/>
          <w:b/>
          <w:bCs/>
          <w:sz w:val="22"/>
          <w:szCs w:val="22"/>
        </w:rPr>
      </w:pPr>
      <w:r w:rsidRPr="008F6CF9">
        <w:rPr>
          <w:rFonts w:ascii="Garamond" w:eastAsia="Times New Roman" w:hAnsi="Garamond" w:cs="Arial"/>
          <w:b/>
          <w:bCs/>
          <w:sz w:val="22"/>
          <w:szCs w:val="22"/>
        </w:rPr>
        <w:t>Форма 1</w:t>
      </w:r>
    </w:p>
    <w:p w14:paraId="06901111" w14:textId="77777777" w:rsidR="00D64294" w:rsidRPr="008F6CF9" w:rsidRDefault="00D64294" w:rsidP="00D64294">
      <w:pPr>
        <w:jc w:val="both"/>
        <w:rPr>
          <w:rFonts w:ascii="Garamond" w:eastAsia="Times New Roman" w:hAnsi="Garamond"/>
          <w:sz w:val="22"/>
          <w:szCs w:val="22"/>
        </w:rPr>
      </w:pPr>
    </w:p>
    <w:p w14:paraId="5FEB623C" w14:textId="77777777" w:rsidR="00D64294" w:rsidRPr="008F6CF9" w:rsidRDefault="00D64294" w:rsidP="00D64294">
      <w:pPr>
        <w:jc w:val="both"/>
        <w:rPr>
          <w:rFonts w:ascii="Garamond" w:eastAsia="Times New Roman" w:hAnsi="Garamond"/>
          <w:sz w:val="22"/>
          <w:szCs w:val="22"/>
        </w:rPr>
      </w:pPr>
      <w:r w:rsidRPr="008F6CF9">
        <w:rPr>
          <w:rFonts w:ascii="Garamond" w:eastAsia="Times New Roman" w:hAnsi="Garamond"/>
          <w:sz w:val="22"/>
          <w:szCs w:val="22"/>
        </w:rPr>
        <w:t xml:space="preserve"> (на бланке заявителя) </w:t>
      </w:r>
    </w:p>
    <w:p w14:paraId="64248650" w14:textId="77777777" w:rsidR="00D64294" w:rsidRPr="008F6CF9" w:rsidRDefault="00D64294" w:rsidP="00D64294">
      <w:pPr>
        <w:jc w:val="right"/>
        <w:rPr>
          <w:rFonts w:ascii="Garamond" w:eastAsia="Times New Roman" w:hAnsi="Garamond"/>
          <w:sz w:val="22"/>
        </w:rPr>
      </w:pPr>
      <w:r w:rsidRPr="008F6CF9">
        <w:rPr>
          <w:rFonts w:ascii="Garamond" w:eastAsia="Times New Roman" w:hAnsi="Garamond"/>
          <w:sz w:val="22"/>
        </w:rPr>
        <w:tab/>
        <w:t>Председателю Наблюдательного совета</w:t>
      </w:r>
    </w:p>
    <w:p w14:paraId="6841A831" w14:textId="77777777" w:rsidR="00D64294" w:rsidRPr="008F6CF9" w:rsidRDefault="00D64294" w:rsidP="00D64294">
      <w:pPr>
        <w:tabs>
          <w:tab w:val="left" w:pos="5880"/>
        </w:tabs>
        <w:jc w:val="both"/>
        <w:rPr>
          <w:rFonts w:ascii="Garamond" w:eastAsia="Times New Roman" w:hAnsi="Garamond"/>
          <w:sz w:val="22"/>
          <w:szCs w:val="22"/>
        </w:rPr>
      </w:pPr>
      <w:r w:rsidRPr="008F6CF9">
        <w:rPr>
          <w:rFonts w:ascii="Garamond" w:eastAsia="Times New Roman" w:hAnsi="Garamond"/>
          <w:sz w:val="22"/>
          <w:szCs w:val="22"/>
        </w:rPr>
        <w:tab/>
        <w:t>Ассоциации</w:t>
      </w:r>
      <w:r w:rsidRPr="008F6CF9">
        <w:rPr>
          <w:rFonts w:ascii="Garamond" w:eastAsia="Times New Roman" w:hAnsi="Garamond"/>
          <w:sz w:val="22"/>
          <w:szCs w:val="22"/>
        </w:rPr>
        <w:tab/>
        <w:t>«НП Совет рынка»</w:t>
      </w:r>
    </w:p>
    <w:p w14:paraId="39DE46AE" w14:textId="77777777" w:rsidR="00D64294" w:rsidRPr="008F6CF9" w:rsidRDefault="00D64294" w:rsidP="00D64294">
      <w:pPr>
        <w:jc w:val="right"/>
        <w:rPr>
          <w:rFonts w:ascii="Garamond" w:eastAsia="Times New Roman" w:hAnsi="Garamond"/>
          <w:sz w:val="22"/>
          <w:szCs w:val="22"/>
        </w:rPr>
      </w:pPr>
      <w:r w:rsidRPr="008F6CF9">
        <w:rPr>
          <w:rFonts w:ascii="Garamond" w:eastAsia="Times New Roman" w:hAnsi="Garamond"/>
          <w:sz w:val="22"/>
          <w:szCs w:val="22"/>
        </w:rPr>
        <w:tab/>
      </w:r>
      <w:r w:rsidRPr="008F6CF9">
        <w:rPr>
          <w:rFonts w:ascii="Garamond" w:eastAsia="Times New Roman" w:hAnsi="Garamond"/>
          <w:sz w:val="22"/>
          <w:szCs w:val="22"/>
        </w:rPr>
        <w:tab/>
      </w:r>
      <w:r w:rsidRPr="008F6CF9">
        <w:rPr>
          <w:rFonts w:ascii="Garamond" w:eastAsia="Times New Roman" w:hAnsi="Garamond"/>
          <w:sz w:val="22"/>
          <w:szCs w:val="22"/>
        </w:rPr>
        <w:tab/>
      </w:r>
      <w:r w:rsidRPr="008F6CF9">
        <w:rPr>
          <w:rFonts w:ascii="Garamond" w:eastAsia="Times New Roman" w:hAnsi="Garamond"/>
          <w:sz w:val="22"/>
          <w:szCs w:val="22"/>
        </w:rPr>
        <w:tab/>
      </w:r>
      <w:r w:rsidRPr="008F6CF9">
        <w:rPr>
          <w:rFonts w:ascii="Garamond" w:eastAsia="Times New Roman" w:hAnsi="Garamond"/>
          <w:sz w:val="22"/>
          <w:szCs w:val="22"/>
        </w:rPr>
        <w:tab/>
      </w:r>
      <w:r w:rsidRPr="008F6CF9">
        <w:rPr>
          <w:rFonts w:ascii="Garamond" w:eastAsia="Times New Roman" w:hAnsi="Garamond"/>
          <w:sz w:val="22"/>
          <w:szCs w:val="22"/>
        </w:rPr>
        <w:tab/>
      </w:r>
      <w:r w:rsidRPr="008F6CF9">
        <w:rPr>
          <w:rFonts w:ascii="Garamond" w:eastAsia="Times New Roman" w:hAnsi="Garamond"/>
          <w:sz w:val="22"/>
          <w:szCs w:val="22"/>
        </w:rPr>
        <w:tab/>
      </w:r>
      <w:r w:rsidRPr="008F6CF9">
        <w:rPr>
          <w:rFonts w:ascii="Garamond" w:eastAsia="Times New Roman" w:hAnsi="Garamond"/>
          <w:sz w:val="22"/>
          <w:szCs w:val="22"/>
        </w:rPr>
        <w:tab/>
      </w:r>
      <w:r w:rsidRPr="008F6CF9">
        <w:rPr>
          <w:rFonts w:ascii="Garamond" w:eastAsia="Times New Roman" w:hAnsi="Garamond"/>
          <w:sz w:val="22"/>
          <w:szCs w:val="22"/>
        </w:rPr>
        <w:tab/>
        <w:t>_________________________________</w:t>
      </w:r>
    </w:p>
    <w:p w14:paraId="1F4A43C0" w14:textId="77777777" w:rsidR="00D64294" w:rsidRPr="008F6CF9" w:rsidRDefault="00D64294" w:rsidP="00D64294">
      <w:pPr>
        <w:jc w:val="both"/>
        <w:rPr>
          <w:rFonts w:ascii="Garamond" w:eastAsia="Times New Roman" w:hAnsi="Garamond"/>
          <w:sz w:val="22"/>
          <w:szCs w:val="22"/>
        </w:rPr>
      </w:pPr>
    </w:p>
    <w:p w14:paraId="7F15DB9C" w14:textId="77777777" w:rsidR="00D64294" w:rsidRPr="008F6CF9" w:rsidRDefault="00D64294" w:rsidP="00D64294">
      <w:pPr>
        <w:jc w:val="both"/>
        <w:rPr>
          <w:rFonts w:ascii="Garamond" w:eastAsia="Times New Roman" w:hAnsi="Garamond"/>
          <w:sz w:val="22"/>
          <w:szCs w:val="22"/>
        </w:rPr>
      </w:pPr>
    </w:p>
    <w:p w14:paraId="0496FF17" w14:textId="77777777" w:rsidR="00D64294" w:rsidRPr="008F6CF9" w:rsidRDefault="00D64294" w:rsidP="00D64294">
      <w:pPr>
        <w:jc w:val="center"/>
        <w:rPr>
          <w:rFonts w:ascii="Garamond" w:eastAsia="Times New Roman" w:hAnsi="Garamond"/>
          <w:b/>
          <w:sz w:val="22"/>
        </w:rPr>
      </w:pPr>
      <w:r w:rsidRPr="008F6CF9">
        <w:rPr>
          <w:rFonts w:ascii="Garamond" w:eastAsia="Times New Roman" w:hAnsi="Garamond"/>
          <w:b/>
          <w:sz w:val="22"/>
        </w:rPr>
        <w:t>ЗАЯВЛЕНИЕ</w:t>
      </w:r>
    </w:p>
    <w:p w14:paraId="2FC4BBF2" w14:textId="77777777" w:rsidR="00D64294" w:rsidRPr="008F6CF9" w:rsidRDefault="00D64294" w:rsidP="00D64294">
      <w:pPr>
        <w:jc w:val="center"/>
        <w:rPr>
          <w:rFonts w:ascii="Garamond" w:eastAsia="Times New Roman" w:hAnsi="Garamond"/>
          <w:b/>
          <w:sz w:val="22"/>
          <w:szCs w:val="22"/>
        </w:rPr>
      </w:pPr>
    </w:p>
    <w:p w14:paraId="296AFB4C" w14:textId="77777777" w:rsidR="00D64294" w:rsidRPr="008F6CF9" w:rsidRDefault="00D64294" w:rsidP="00D64294">
      <w:pPr>
        <w:ind w:right="-31"/>
        <w:jc w:val="center"/>
        <w:rPr>
          <w:rFonts w:ascii="Garamond" w:eastAsia="Times New Roman" w:hAnsi="Garamond"/>
          <w:b/>
          <w:sz w:val="22"/>
          <w:szCs w:val="22"/>
        </w:rPr>
      </w:pPr>
      <w:r w:rsidRPr="008F6CF9">
        <w:rPr>
          <w:rFonts w:ascii="Garamond" w:eastAsia="Times New Roman" w:hAnsi="Garamond"/>
          <w:b/>
          <w:sz w:val="22"/>
          <w:szCs w:val="22"/>
        </w:rPr>
        <w:t>о получении статуса субъекта оптового рынка и включении в Реестр субъектов оптового рынка</w:t>
      </w:r>
    </w:p>
    <w:p w14:paraId="083757EC" w14:textId="77777777" w:rsidR="00D64294" w:rsidRPr="008F6CF9" w:rsidRDefault="00D64294" w:rsidP="00D64294">
      <w:pPr>
        <w:jc w:val="both"/>
        <w:rPr>
          <w:rFonts w:ascii="Garamond" w:eastAsia="Times New Roman" w:hAnsi="Garamond"/>
          <w:sz w:val="22"/>
        </w:rPr>
      </w:pPr>
    </w:p>
    <w:p w14:paraId="4E34ACE2" w14:textId="77777777" w:rsidR="00D64294" w:rsidRPr="008F6CF9" w:rsidRDefault="00D64294" w:rsidP="00D64294">
      <w:pPr>
        <w:jc w:val="both"/>
        <w:rPr>
          <w:rFonts w:ascii="Garamond" w:eastAsia="Times New Roman" w:hAnsi="Garamond"/>
          <w:sz w:val="22"/>
        </w:rPr>
      </w:pPr>
      <w:r w:rsidRPr="008F6CF9">
        <w:rPr>
          <w:rFonts w:ascii="Garamond" w:eastAsia="Times New Roman" w:hAnsi="Garamond"/>
          <w:sz w:val="22"/>
        </w:rPr>
        <w:t>______________________________________________________________________________,</w:t>
      </w:r>
    </w:p>
    <w:p w14:paraId="55D94420" w14:textId="77777777" w:rsidR="00D64294" w:rsidRPr="008F6CF9" w:rsidRDefault="00D64294" w:rsidP="00D64294">
      <w:pPr>
        <w:jc w:val="center"/>
        <w:rPr>
          <w:rFonts w:ascii="Garamond" w:eastAsia="Times New Roman" w:hAnsi="Garamond"/>
          <w:i/>
          <w:sz w:val="18"/>
          <w:szCs w:val="18"/>
        </w:rPr>
      </w:pPr>
      <w:r w:rsidRPr="008F6CF9">
        <w:rPr>
          <w:rFonts w:ascii="Garamond" w:eastAsia="Times New Roman" w:hAnsi="Garamond"/>
          <w:i/>
          <w:sz w:val="18"/>
          <w:szCs w:val="18"/>
        </w:rPr>
        <w:t>(полное наименование организации с указанием организационно-правовой формы)</w:t>
      </w:r>
    </w:p>
    <w:p w14:paraId="0B175A4B" w14:textId="77777777" w:rsidR="00D64294" w:rsidRPr="008F6CF9" w:rsidRDefault="00D64294" w:rsidP="00D64294">
      <w:pPr>
        <w:jc w:val="center"/>
        <w:rPr>
          <w:rFonts w:ascii="Garamond" w:eastAsia="Times New Roman" w:hAnsi="Garamond"/>
          <w:i/>
          <w:sz w:val="22"/>
        </w:rPr>
      </w:pPr>
    </w:p>
    <w:p w14:paraId="19EF9A7B" w14:textId="77777777" w:rsidR="00D64294" w:rsidRPr="008F6CF9" w:rsidRDefault="00D64294" w:rsidP="00D64294">
      <w:pPr>
        <w:jc w:val="both"/>
        <w:rPr>
          <w:rFonts w:ascii="Garamond" w:eastAsia="Times New Roman" w:hAnsi="Garamond"/>
          <w:sz w:val="22"/>
          <w:szCs w:val="22"/>
        </w:rPr>
      </w:pPr>
      <w:r w:rsidRPr="008F6CF9">
        <w:rPr>
          <w:rFonts w:ascii="Garamond" w:eastAsia="Times New Roman" w:hAnsi="Garamond"/>
          <w:sz w:val="22"/>
          <w:szCs w:val="22"/>
        </w:rPr>
        <w:t>являясь членом Совета рынка, выражает намерение получить статус субъекта оптового рынка и быть включенным в Реестр субъектов оптового рынка Совета рынка по организации эффективной системы оптовой и розничной торговли электрической энергией и мощностью</w:t>
      </w:r>
    </w:p>
    <w:p w14:paraId="1806331C" w14:textId="77777777" w:rsidR="00D64294" w:rsidRPr="008F6CF9" w:rsidRDefault="00D64294" w:rsidP="00D64294">
      <w:pPr>
        <w:jc w:val="center"/>
        <w:rPr>
          <w:rFonts w:ascii="Garamond" w:eastAsia="Times New Roman" w:hAnsi="Garamond"/>
          <w:sz w:val="22"/>
          <w:szCs w:val="22"/>
        </w:rPr>
      </w:pPr>
      <w:r w:rsidRPr="008F6CF9">
        <w:rPr>
          <w:rFonts w:ascii="Garamond" w:eastAsia="Times New Roman" w:hAnsi="Garamond"/>
          <w:sz w:val="22"/>
          <w:szCs w:val="22"/>
        </w:rPr>
        <w:t>____________________________________________________________________________________.</w:t>
      </w:r>
    </w:p>
    <w:p w14:paraId="40E36528" w14:textId="77777777" w:rsidR="00D64294" w:rsidRPr="008F6CF9" w:rsidRDefault="00D64294" w:rsidP="00D64294">
      <w:pPr>
        <w:jc w:val="center"/>
        <w:rPr>
          <w:rFonts w:ascii="Garamond" w:eastAsia="Times New Roman" w:hAnsi="Garamond"/>
          <w:i/>
          <w:sz w:val="18"/>
          <w:szCs w:val="18"/>
        </w:rPr>
      </w:pPr>
      <w:r w:rsidRPr="008F6CF9">
        <w:rPr>
          <w:rFonts w:ascii="Garamond" w:eastAsia="Times New Roman" w:hAnsi="Garamond"/>
          <w:i/>
          <w:sz w:val="18"/>
          <w:szCs w:val="18"/>
        </w:rPr>
        <w:t>(указать тип организации в соответствии с п. 1.2 настоящего Положения)</w:t>
      </w:r>
    </w:p>
    <w:p w14:paraId="6EAC7AE8" w14:textId="77777777" w:rsidR="00D64294" w:rsidRPr="008F6CF9" w:rsidRDefault="00D64294" w:rsidP="00D64294">
      <w:pPr>
        <w:jc w:val="both"/>
        <w:rPr>
          <w:rFonts w:ascii="Garamond" w:eastAsia="Times New Roman" w:hAnsi="Garamond"/>
          <w:sz w:val="22"/>
        </w:rPr>
      </w:pPr>
    </w:p>
    <w:p w14:paraId="69F40C24" w14:textId="77777777" w:rsidR="00D64294" w:rsidRDefault="00D64294" w:rsidP="00D64294">
      <w:pPr>
        <w:tabs>
          <w:tab w:val="left" w:pos="993"/>
          <w:tab w:val="num" w:pos="1200"/>
        </w:tabs>
        <w:jc w:val="both"/>
        <w:rPr>
          <w:rFonts w:ascii="Garamond" w:eastAsia="Times New Roman" w:hAnsi="Garamond"/>
          <w:bCs/>
          <w:sz w:val="22"/>
          <w:szCs w:val="22"/>
        </w:rPr>
      </w:pPr>
      <w:r w:rsidRPr="008F6CF9">
        <w:rPr>
          <w:rFonts w:ascii="Garamond" w:eastAsia="Times New Roman" w:hAnsi="Garamond"/>
          <w:sz w:val="22"/>
          <w:szCs w:val="22"/>
        </w:rPr>
        <w:t xml:space="preserve"> Подтверждаю выполнение требований, установленных</w:t>
      </w:r>
      <w:r w:rsidRPr="008F6CF9">
        <w:rPr>
          <w:rFonts w:ascii="Garamond" w:eastAsia="Times New Roman" w:hAnsi="Garamond"/>
          <w:bCs/>
          <w:sz w:val="22"/>
          <w:szCs w:val="22"/>
        </w:rPr>
        <w:t xml:space="preserve"> Договором о присоединении к торговой системе оптового рынка </w:t>
      </w:r>
    </w:p>
    <w:p w14:paraId="5282B6A4" w14:textId="77777777" w:rsidR="00D64294" w:rsidRPr="008F6CF9" w:rsidRDefault="00D64294" w:rsidP="00D64294">
      <w:pPr>
        <w:tabs>
          <w:tab w:val="left" w:pos="993"/>
          <w:tab w:val="num" w:pos="1200"/>
        </w:tabs>
        <w:jc w:val="both"/>
        <w:rPr>
          <w:rFonts w:ascii="Garamond" w:eastAsia="Times New Roman" w:hAnsi="Garamond"/>
          <w:bCs/>
          <w:sz w:val="22"/>
          <w:szCs w:val="22"/>
        </w:rPr>
      </w:pPr>
      <w:r w:rsidRPr="008F6CF9">
        <w:rPr>
          <w:rFonts w:ascii="Garamond" w:eastAsia="Times New Roman" w:hAnsi="Garamond"/>
          <w:b/>
          <w:bCs/>
          <w:sz w:val="22"/>
          <w:szCs w:val="22"/>
          <w:highlight w:val="yellow"/>
        </w:rPr>
        <w:t>в отношении групп (-ы) точек поставки</w:t>
      </w:r>
      <w:r w:rsidRPr="008F6CF9">
        <w:rPr>
          <w:rFonts w:ascii="Garamond" w:eastAsia="Times New Roman" w:hAnsi="Garamond"/>
          <w:bCs/>
          <w:sz w:val="22"/>
          <w:szCs w:val="22"/>
          <w:highlight w:val="yellow"/>
        </w:rPr>
        <w:t xml:space="preserve"> __</w:t>
      </w:r>
      <w:r w:rsidRPr="008F6CF9">
        <w:rPr>
          <w:rFonts w:ascii="Garamond" w:eastAsia="Times New Roman" w:hAnsi="Garamond"/>
          <w:bCs/>
          <w:sz w:val="22"/>
          <w:szCs w:val="22"/>
        </w:rPr>
        <w:t xml:space="preserve">__________________________________________: </w:t>
      </w:r>
    </w:p>
    <w:p w14:paraId="7BA58B30" w14:textId="77777777" w:rsidR="00D64294" w:rsidRPr="008F6CF9" w:rsidRDefault="00D64294" w:rsidP="00AD67C2">
      <w:pPr>
        <w:ind w:left="4051" w:firstLine="709"/>
        <w:jc w:val="both"/>
        <w:rPr>
          <w:rFonts w:ascii="Garamond" w:eastAsia="Times New Roman" w:hAnsi="Garamond"/>
          <w:i/>
          <w:sz w:val="18"/>
          <w:szCs w:val="18"/>
        </w:rPr>
      </w:pPr>
      <w:r w:rsidRPr="008F6CF9">
        <w:rPr>
          <w:rFonts w:ascii="Garamond" w:eastAsia="Times New Roman" w:hAnsi="Garamond"/>
          <w:i/>
          <w:sz w:val="18"/>
          <w:szCs w:val="18"/>
        </w:rPr>
        <w:t>(указать наименование и код согласованных ГТП)</w:t>
      </w:r>
    </w:p>
    <w:p w14:paraId="18D9B9EF" w14:textId="77777777" w:rsidR="00D64294" w:rsidRPr="008F6CF9" w:rsidRDefault="00D64294" w:rsidP="00D64294">
      <w:pPr>
        <w:jc w:val="both"/>
        <w:rPr>
          <w:rFonts w:ascii="Garamond" w:eastAsia="Times New Roman" w:hAnsi="Garamond"/>
          <w:sz w:val="22"/>
          <w:szCs w:val="22"/>
        </w:rPr>
      </w:pPr>
    </w:p>
    <w:p w14:paraId="73BEC549" w14:textId="77777777" w:rsidR="00D64294" w:rsidRPr="008F6CF9" w:rsidRDefault="00D64294" w:rsidP="00D64294">
      <w:pPr>
        <w:jc w:val="both"/>
        <w:rPr>
          <w:rFonts w:ascii="Garamond" w:eastAsia="Times New Roman" w:hAnsi="Garamond"/>
          <w:sz w:val="22"/>
          <w:szCs w:val="22"/>
        </w:rPr>
      </w:pPr>
      <w:r w:rsidRPr="008F6CF9">
        <w:rPr>
          <w:rFonts w:ascii="Garamond" w:eastAsia="Times New Roman" w:hAnsi="Garamond"/>
          <w:sz w:val="22"/>
          <w:szCs w:val="22"/>
        </w:rPr>
        <w:t xml:space="preserve">– подписание Акта (-ов) о согласовании ГТП и отнесении их к узлам расчетной модели № __________ от _____________; </w:t>
      </w:r>
    </w:p>
    <w:p w14:paraId="78A37BF3" w14:textId="77777777" w:rsidR="00D64294" w:rsidRPr="008F6CF9" w:rsidRDefault="00D64294" w:rsidP="00D64294">
      <w:pPr>
        <w:jc w:val="both"/>
        <w:rPr>
          <w:rFonts w:ascii="Garamond" w:eastAsia="Times New Roman" w:hAnsi="Garamond"/>
          <w:i/>
          <w:sz w:val="22"/>
          <w:szCs w:val="22"/>
        </w:rPr>
      </w:pPr>
      <w:r w:rsidRPr="008F6CF9">
        <w:rPr>
          <w:rFonts w:ascii="Garamond" w:eastAsia="Times New Roman" w:hAnsi="Garamond"/>
          <w:sz w:val="22"/>
          <w:szCs w:val="22"/>
        </w:rPr>
        <w:t>(</w:t>
      </w:r>
      <w:r w:rsidRPr="008F6CF9">
        <w:rPr>
          <w:rFonts w:ascii="Garamond" w:eastAsia="Times New Roman" w:hAnsi="Garamond"/>
          <w:i/>
          <w:sz w:val="18"/>
          <w:szCs w:val="18"/>
        </w:rPr>
        <w:t>указать даты подписания акта (-ов) заявителем</w:t>
      </w:r>
      <w:r w:rsidRPr="008F6CF9">
        <w:rPr>
          <w:rFonts w:ascii="Garamond" w:eastAsia="Times New Roman" w:hAnsi="Garamond"/>
          <w:sz w:val="22"/>
          <w:szCs w:val="22"/>
        </w:rPr>
        <w:t>)</w:t>
      </w:r>
    </w:p>
    <w:p w14:paraId="32D711FD" w14:textId="77777777" w:rsidR="00D64294" w:rsidRPr="008F6CF9" w:rsidRDefault="00D64294" w:rsidP="00D64294">
      <w:pPr>
        <w:jc w:val="both"/>
        <w:rPr>
          <w:rFonts w:ascii="Garamond" w:eastAsia="Times New Roman" w:hAnsi="Garamond" w:cs="Arial"/>
          <w:sz w:val="22"/>
          <w:szCs w:val="22"/>
        </w:rPr>
      </w:pPr>
    </w:p>
    <w:p w14:paraId="7FD9E25C" w14:textId="77777777" w:rsidR="00D64294" w:rsidRPr="008F6CF9" w:rsidRDefault="00D64294" w:rsidP="00D64294">
      <w:pPr>
        <w:jc w:val="both"/>
        <w:rPr>
          <w:rFonts w:ascii="Garamond" w:eastAsia="Times New Roman" w:hAnsi="Garamond"/>
          <w:sz w:val="22"/>
          <w:szCs w:val="22"/>
        </w:rPr>
      </w:pPr>
      <w:r w:rsidRPr="008F6CF9">
        <w:rPr>
          <w:rFonts w:ascii="Garamond" w:eastAsia="Times New Roman" w:hAnsi="Garamond" w:cs="Arial"/>
          <w:sz w:val="22"/>
          <w:szCs w:val="22"/>
        </w:rPr>
        <w:t xml:space="preserve">– получение Акта (-ов) </w:t>
      </w:r>
      <w:r w:rsidRPr="008F6CF9">
        <w:rPr>
          <w:rFonts w:ascii="Garamond" w:eastAsia="Times New Roman" w:hAnsi="Garamond"/>
          <w:sz w:val="22"/>
          <w:szCs w:val="22"/>
        </w:rPr>
        <w:t>установления соответствия АИИС коммерческого учета электроэнергии техническим требованиям оптового рынка электрической энергии № ______________ от ______________ *;</w:t>
      </w:r>
    </w:p>
    <w:p w14:paraId="64CDE040" w14:textId="77777777" w:rsidR="00D64294" w:rsidRPr="008F6CF9" w:rsidRDefault="00D64294" w:rsidP="00D64294">
      <w:pPr>
        <w:jc w:val="both"/>
        <w:rPr>
          <w:rFonts w:ascii="Garamond" w:eastAsia="Times New Roman" w:hAnsi="Garamond"/>
          <w:sz w:val="18"/>
          <w:szCs w:val="18"/>
        </w:rPr>
      </w:pPr>
      <w:r w:rsidRPr="008F6CF9">
        <w:rPr>
          <w:rFonts w:ascii="Garamond" w:eastAsia="Times New Roman" w:hAnsi="Garamond"/>
          <w:sz w:val="18"/>
          <w:szCs w:val="18"/>
        </w:rPr>
        <w:t>(</w:t>
      </w:r>
      <w:r w:rsidRPr="008F6CF9">
        <w:rPr>
          <w:rFonts w:ascii="Garamond" w:eastAsia="Times New Roman" w:hAnsi="Garamond"/>
          <w:i/>
          <w:sz w:val="18"/>
          <w:szCs w:val="18"/>
        </w:rPr>
        <w:t>при наличии актов, выданных на сечение КУ, указать акты по всем сечениям КУ, входящим в состав ГТП</w:t>
      </w:r>
      <w:r w:rsidRPr="008F6CF9">
        <w:rPr>
          <w:rFonts w:ascii="Garamond" w:eastAsia="Times New Roman" w:hAnsi="Garamond"/>
          <w:sz w:val="18"/>
          <w:szCs w:val="18"/>
        </w:rPr>
        <w:t>) </w:t>
      </w:r>
    </w:p>
    <w:p w14:paraId="4920E8C4" w14:textId="77777777" w:rsidR="00D64294" w:rsidRPr="008F6CF9" w:rsidRDefault="00D64294" w:rsidP="00D64294">
      <w:pPr>
        <w:tabs>
          <w:tab w:val="left" w:pos="993"/>
          <w:tab w:val="num" w:pos="1200"/>
        </w:tabs>
        <w:jc w:val="both"/>
        <w:rPr>
          <w:rFonts w:ascii="Garamond" w:eastAsia="Times New Roman" w:hAnsi="Garamond" w:cs="Arial"/>
          <w:sz w:val="22"/>
          <w:szCs w:val="22"/>
        </w:rPr>
      </w:pPr>
    </w:p>
    <w:p w14:paraId="0E8E882A" w14:textId="77777777" w:rsidR="00D64294" w:rsidRPr="008F6CF9" w:rsidRDefault="00D64294" w:rsidP="00D64294">
      <w:pPr>
        <w:tabs>
          <w:tab w:val="left" w:pos="993"/>
          <w:tab w:val="num" w:pos="1200"/>
        </w:tabs>
        <w:jc w:val="both"/>
        <w:rPr>
          <w:rFonts w:ascii="Garamond" w:eastAsia="Times New Roman" w:hAnsi="Garamond" w:cs="Arial"/>
          <w:sz w:val="22"/>
          <w:szCs w:val="22"/>
        </w:rPr>
      </w:pPr>
      <w:r w:rsidRPr="008F6CF9">
        <w:rPr>
          <w:rFonts w:ascii="Garamond" w:eastAsia="Times New Roman" w:hAnsi="Garamond" w:cs="Arial"/>
          <w:sz w:val="22"/>
          <w:szCs w:val="22"/>
        </w:rPr>
        <w:t>– регистрацию Перечня средств измерений для целей коммерческого учета по ГТП / сечению (-ям) коммерческого учета со смежным (-и) субъектом (-ами) № ____________________________________*.</w:t>
      </w:r>
    </w:p>
    <w:p w14:paraId="0D0A6863" w14:textId="77777777" w:rsidR="00D64294" w:rsidRPr="008F6CF9" w:rsidRDefault="00D64294" w:rsidP="00D64294">
      <w:pPr>
        <w:tabs>
          <w:tab w:val="left" w:pos="993"/>
          <w:tab w:val="num" w:pos="1200"/>
        </w:tabs>
        <w:jc w:val="both"/>
        <w:rPr>
          <w:rFonts w:ascii="Garamond" w:eastAsia="Times New Roman" w:hAnsi="Garamond" w:cs="Arial"/>
          <w:sz w:val="22"/>
          <w:szCs w:val="22"/>
        </w:rPr>
      </w:pPr>
      <w:r w:rsidRPr="008F6CF9">
        <w:rPr>
          <w:rFonts w:ascii="Garamond" w:eastAsia="Times New Roman" w:hAnsi="Garamond" w:cs="Arial"/>
          <w:sz w:val="22"/>
          <w:szCs w:val="22"/>
        </w:rPr>
        <w:tab/>
      </w:r>
    </w:p>
    <w:p w14:paraId="6353491F" w14:textId="77777777" w:rsidR="00D64294" w:rsidRPr="008F6CF9" w:rsidRDefault="00D64294" w:rsidP="00D64294">
      <w:pPr>
        <w:tabs>
          <w:tab w:val="left" w:pos="993"/>
          <w:tab w:val="num" w:pos="1200"/>
        </w:tabs>
        <w:jc w:val="both"/>
        <w:rPr>
          <w:rFonts w:ascii="Garamond" w:eastAsia="Times New Roman" w:hAnsi="Garamond" w:cs="Arial"/>
          <w:sz w:val="22"/>
          <w:szCs w:val="22"/>
        </w:rPr>
      </w:pPr>
      <w:r w:rsidRPr="008F6CF9">
        <w:rPr>
          <w:rFonts w:ascii="Garamond" w:eastAsia="Times New Roman" w:hAnsi="Garamond" w:cs="Arial"/>
          <w:sz w:val="22"/>
          <w:szCs w:val="22"/>
        </w:rPr>
        <w:tab/>
      </w:r>
      <w:r w:rsidRPr="008F6CF9">
        <w:rPr>
          <w:rFonts w:ascii="Garamond" w:eastAsia="Times New Roman" w:hAnsi="Garamond" w:cs="Arial"/>
          <w:sz w:val="22"/>
          <w:szCs w:val="22"/>
        </w:rPr>
        <w:tab/>
      </w:r>
      <w:r w:rsidRPr="008F6CF9">
        <w:rPr>
          <w:rFonts w:ascii="Garamond" w:eastAsia="Times New Roman" w:hAnsi="Garamond" w:cs="Arial"/>
          <w:sz w:val="22"/>
          <w:szCs w:val="22"/>
        </w:rPr>
        <w:tab/>
      </w:r>
      <w:r w:rsidRPr="008F6CF9">
        <w:rPr>
          <w:rFonts w:ascii="Garamond" w:eastAsia="Times New Roman" w:hAnsi="Garamond" w:cs="Arial"/>
          <w:sz w:val="22"/>
          <w:szCs w:val="22"/>
        </w:rPr>
        <w:tab/>
      </w:r>
      <w:r w:rsidRPr="008F6CF9">
        <w:rPr>
          <w:rFonts w:ascii="Garamond" w:eastAsia="Times New Roman" w:hAnsi="Garamond" w:cs="Arial"/>
          <w:sz w:val="22"/>
          <w:szCs w:val="22"/>
        </w:rPr>
        <w:tab/>
      </w:r>
      <w:r w:rsidRPr="008F6CF9">
        <w:rPr>
          <w:rFonts w:ascii="Garamond" w:eastAsia="Times New Roman" w:hAnsi="Garamond" w:cs="Arial"/>
          <w:sz w:val="22"/>
          <w:szCs w:val="22"/>
        </w:rPr>
        <w:tab/>
      </w:r>
      <w:r w:rsidRPr="008F6CF9">
        <w:rPr>
          <w:rFonts w:ascii="Garamond" w:eastAsia="Times New Roman" w:hAnsi="Garamond" w:cs="Arial"/>
          <w:sz w:val="22"/>
          <w:szCs w:val="22"/>
        </w:rPr>
        <w:tab/>
      </w:r>
      <w:r w:rsidRPr="008F6CF9">
        <w:rPr>
          <w:rFonts w:ascii="Garamond" w:eastAsia="Times New Roman" w:hAnsi="Garamond" w:cs="Arial"/>
          <w:sz w:val="22"/>
          <w:szCs w:val="22"/>
        </w:rPr>
        <w:tab/>
        <w:t>(</w:t>
      </w:r>
      <w:r w:rsidRPr="008F6CF9">
        <w:rPr>
          <w:rFonts w:ascii="Garamond" w:eastAsia="Times New Roman" w:hAnsi="Garamond" w:cs="Arial"/>
          <w:i/>
          <w:sz w:val="18"/>
          <w:szCs w:val="18"/>
        </w:rPr>
        <w:t>указать регистрационный номер и дату регистрации</w:t>
      </w:r>
      <w:r w:rsidRPr="008F6CF9">
        <w:rPr>
          <w:rFonts w:ascii="Garamond" w:eastAsia="Times New Roman" w:hAnsi="Garamond" w:cs="Arial"/>
          <w:sz w:val="22"/>
          <w:szCs w:val="22"/>
        </w:rPr>
        <w:t>)</w:t>
      </w:r>
    </w:p>
    <w:p w14:paraId="0D291C15" w14:textId="77777777" w:rsidR="00D64294" w:rsidRPr="00752833" w:rsidRDefault="00D64294" w:rsidP="00D64294">
      <w:pPr>
        <w:tabs>
          <w:tab w:val="left" w:pos="993"/>
          <w:tab w:val="num" w:pos="1200"/>
        </w:tabs>
        <w:jc w:val="both"/>
        <w:rPr>
          <w:rFonts w:ascii="Garamond" w:eastAsia="Times New Roman" w:hAnsi="Garamond"/>
          <w:bCs/>
          <w:i/>
          <w:sz w:val="22"/>
          <w:szCs w:val="22"/>
        </w:rPr>
      </w:pPr>
      <w:r>
        <w:rPr>
          <w:rFonts w:ascii="Garamond" w:eastAsia="Times New Roman" w:hAnsi="Garamond"/>
          <w:bCs/>
          <w:i/>
          <w:sz w:val="22"/>
          <w:szCs w:val="22"/>
          <w:highlight w:val="yellow"/>
        </w:rPr>
        <w:t>и</w:t>
      </w:r>
      <w:r w:rsidRPr="00752833">
        <w:rPr>
          <w:rFonts w:ascii="Garamond" w:eastAsia="Times New Roman" w:hAnsi="Garamond"/>
          <w:bCs/>
          <w:i/>
          <w:sz w:val="22"/>
          <w:szCs w:val="22"/>
          <w:highlight w:val="yellow"/>
        </w:rPr>
        <w:t>ли указать</w:t>
      </w:r>
    </w:p>
    <w:p w14:paraId="7D2701BB" w14:textId="77777777" w:rsidR="00D64294" w:rsidRPr="008F6CF9" w:rsidRDefault="00D64294" w:rsidP="00D64294">
      <w:pPr>
        <w:tabs>
          <w:tab w:val="left" w:pos="993"/>
          <w:tab w:val="num" w:pos="1200"/>
        </w:tabs>
        <w:jc w:val="both"/>
        <w:rPr>
          <w:rFonts w:ascii="Garamond" w:eastAsia="Times New Roman" w:hAnsi="Garamond"/>
          <w:bCs/>
          <w:sz w:val="22"/>
          <w:szCs w:val="22"/>
          <w:highlight w:val="yellow"/>
        </w:rPr>
      </w:pPr>
      <w:r w:rsidRPr="008F6CF9">
        <w:rPr>
          <w:rFonts w:ascii="Garamond" w:eastAsia="Times New Roman" w:hAnsi="Garamond"/>
          <w:b/>
          <w:bCs/>
          <w:sz w:val="22"/>
          <w:szCs w:val="22"/>
          <w:highlight w:val="yellow"/>
        </w:rPr>
        <w:t>в отношении АОУ</w:t>
      </w:r>
      <w:r w:rsidRPr="008F6CF9">
        <w:rPr>
          <w:rFonts w:ascii="Garamond" w:eastAsia="Times New Roman" w:hAnsi="Garamond"/>
          <w:bCs/>
          <w:sz w:val="22"/>
          <w:szCs w:val="22"/>
          <w:highlight w:val="yellow"/>
        </w:rPr>
        <w:t xml:space="preserve"> _______________________________</w:t>
      </w:r>
      <w:r>
        <w:rPr>
          <w:rFonts w:ascii="Garamond" w:eastAsia="Times New Roman" w:hAnsi="Garamond"/>
          <w:bCs/>
          <w:sz w:val="22"/>
          <w:szCs w:val="22"/>
          <w:highlight w:val="yellow"/>
        </w:rPr>
        <w:t>_____________</w:t>
      </w:r>
    </w:p>
    <w:p w14:paraId="5C7A544C" w14:textId="3C4CF206" w:rsidR="00D64294" w:rsidRPr="008F6CF9" w:rsidRDefault="00D64294" w:rsidP="00AD67C2">
      <w:pPr>
        <w:ind w:left="1331" w:firstLine="709"/>
        <w:jc w:val="both"/>
        <w:rPr>
          <w:rFonts w:ascii="Garamond" w:eastAsia="Times New Roman" w:hAnsi="Garamond"/>
          <w:i/>
          <w:sz w:val="18"/>
          <w:szCs w:val="18"/>
        </w:rPr>
      </w:pPr>
      <w:r w:rsidRPr="008F6CF9">
        <w:rPr>
          <w:rFonts w:ascii="Garamond" w:eastAsia="Times New Roman" w:hAnsi="Garamond"/>
          <w:i/>
          <w:sz w:val="18"/>
          <w:szCs w:val="18"/>
          <w:highlight w:val="yellow"/>
        </w:rPr>
        <w:t xml:space="preserve">(указать наименование и код </w:t>
      </w:r>
      <w:r>
        <w:rPr>
          <w:rFonts w:ascii="Garamond" w:eastAsia="Times New Roman" w:hAnsi="Garamond"/>
          <w:i/>
          <w:sz w:val="18"/>
          <w:szCs w:val="18"/>
          <w:highlight w:val="yellow"/>
        </w:rPr>
        <w:t>зарегистрированного (</w:t>
      </w:r>
      <w:r w:rsidR="00AD67C2">
        <w:rPr>
          <w:rFonts w:ascii="Garamond" w:eastAsia="Times New Roman" w:hAnsi="Garamond"/>
          <w:i/>
          <w:sz w:val="18"/>
          <w:szCs w:val="18"/>
          <w:highlight w:val="yellow"/>
        </w:rPr>
        <w:t>-</w:t>
      </w:r>
      <w:r>
        <w:rPr>
          <w:rFonts w:ascii="Garamond" w:eastAsia="Times New Roman" w:hAnsi="Garamond"/>
          <w:i/>
          <w:sz w:val="18"/>
          <w:szCs w:val="18"/>
          <w:highlight w:val="yellow"/>
        </w:rPr>
        <w:t>ых)</w:t>
      </w:r>
      <w:r w:rsidR="009B5F03">
        <w:rPr>
          <w:rFonts w:ascii="Garamond" w:eastAsia="Times New Roman" w:hAnsi="Garamond"/>
          <w:i/>
          <w:sz w:val="18"/>
          <w:szCs w:val="18"/>
          <w:highlight w:val="yellow"/>
        </w:rPr>
        <w:t xml:space="preserve"> </w:t>
      </w:r>
      <w:r w:rsidRPr="008F6CF9">
        <w:rPr>
          <w:rFonts w:ascii="Garamond" w:eastAsia="Times New Roman" w:hAnsi="Garamond"/>
          <w:i/>
          <w:sz w:val="18"/>
          <w:szCs w:val="18"/>
          <w:highlight w:val="yellow"/>
        </w:rPr>
        <w:t>АОУ)</w:t>
      </w:r>
    </w:p>
    <w:p w14:paraId="5C00E111" w14:textId="77777777" w:rsidR="00D64294" w:rsidRPr="008F6CF9" w:rsidRDefault="00D64294" w:rsidP="00D64294">
      <w:pPr>
        <w:spacing w:before="100" w:beforeAutospacing="1" w:after="100" w:afterAutospacing="1"/>
        <w:jc w:val="both"/>
        <w:rPr>
          <w:rFonts w:ascii="Garamond" w:eastAsia="Times New Roman" w:hAnsi="Garamond"/>
          <w:bCs/>
          <w:sz w:val="22"/>
          <w:szCs w:val="22"/>
        </w:rPr>
      </w:pPr>
      <w:r w:rsidRPr="008F6CF9">
        <w:rPr>
          <w:rFonts w:ascii="Garamond" w:eastAsia="Times New Roman" w:hAnsi="Garamond"/>
          <w:sz w:val="22"/>
          <w:szCs w:val="22"/>
        </w:rPr>
        <w:t xml:space="preserve">Приложение: документы, подтверждающие </w:t>
      </w:r>
      <w:r w:rsidRPr="008F6CF9">
        <w:rPr>
          <w:rFonts w:ascii="Garamond" w:eastAsia="Times New Roman" w:hAnsi="Garamond" w:cs="Arial"/>
          <w:sz w:val="22"/>
          <w:szCs w:val="22"/>
        </w:rPr>
        <w:t>соответствие техническим требованиям к системе связи, обеспечивающей передачу данных Системному оператору **.</w:t>
      </w:r>
    </w:p>
    <w:p w14:paraId="28C733E0" w14:textId="77777777" w:rsidR="00D64294" w:rsidRPr="008F6CF9" w:rsidRDefault="00D64294" w:rsidP="00D64294">
      <w:pPr>
        <w:spacing w:before="100" w:beforeAutospacing="1" w:after="100" w:afterAutospacing="1"/>
        <w:jc w:val="both"/>
        <w:rPr>
          <w:rFonts w:ascii="Garamond" w:eastAsia="Times New Roman" w:hAnsi="Garamond"/>
          <w:bCs/>
          <w:sz w:val="22"/>
          <w:szCs w:val="22"/>
        </w:rPr>
      </w:pPr>
      <w:r w:rsidRPr="008F6CF9">
        <w:rPr>
          <w:rFonts w:ascii="Garamond" w:eastAsia="Times New Roman" w:hAnsi="Garamond"/>
          <w:bCs/>
          <w:sz w:val="22"/>
          <w:szCs w:val="22"/>
        </w:rPr>
        <w:t>____________________</w:t>
      </w:r>
      <w:r w:rsidRPr="008F6CF9">
        <w:rPr>
          <w:rFonts w:ascii="Garamond" w:eastAsia="Times New Roman" w:hAnsi="Garamond"/>
          <w:bCs/>
          <w:sz w:val="22"/>
          <w:szCs w:val="22"/>
        </w:rPr>
        <w:tab/>
      </w:r>
      <w:r w:rsidRPr="008F6CF9">
        <w:rPr>
          <w:rFonts w:ascii="Garamond" w:eastAsia="Times New Roman" w:hAnsi="Garamond"/>
          <w:bCs/>
          <w:sz w:val="22"/>
          <w:szCs w:val="22"/>
        </w:rPr>
        <w:tab/>
      </w:r>
      <w:r w:rsidRPr="008F6CF9">
        <w:rPr>
          <w:rFonts w:ascii="Garamond" w:eastAsia="Times New Roman" w:hAnsi="Garamond"/>
          <w:bCs/>
          <w:sz w:val="22"/>
          <w:szCs w:val="22"/>
        </w:rPr>
        <w:tab/>
      </w:r>
      <w:r w:rsidRPr="008F6CF9">
        <w:rPr>
          <w:rFonts w:ascii="Garamond" w:eastAsia="Times New Roman" w:hAnsi="Garamond"/>
          <w:bCs/>
          <w:sz w:val="22"/>
          <w:szCs w:val="22"/>
        </w:rPr>
        <w:tab/>
      </w:r>
      <w:r w:rsidRPr="008F6CF9">
        <w:rPr>
          <w:rFonts w:ascii="Garamond" w:eastAsia="Times New Roman" w:hAnsi="Garamond"/>
          <w:bCs/>
          <w:sz w:val="22"/>
          <w:szCs w:val="22"/>
        </w:rPr>
        <w:tab/>
      </w:r>
      <w:r w:rsidRPr="008F6CF9">
        <w:rPr>
          <w:rFonts w:ascii="Garamond" w:eastAsia="Times New Roman" w:hAnsi="Garamond"/>
          <w:bCs/>
          <w:sz w:val="22"/>
          <w:szCs w:val="22"/>
        </w:rPr>
        <w:tab/>
        <w:t>_________________________</w:t>
      </w:r>
    </w:p>
    <w:p w14:paraId="7D1DE506" w14:textId="77777777" w:rsidR="00D64294" w:rsidRPr="008F6CF9" w:rsidRDefault="00D64294" w:rsidP="00D64294">
      <w:pPr>
        <w:ind w:firstLine="708"/>
        <w:jc w:val="both"/>
        <w:rPr>
          <w:rFonts w:ascii="Garamond" w:eastAsia="Times New Roman" w:hAnsi="Garamond"/>
          <w:i/>
          <w:sz w:val="18"/>
          <w:szCs w:val="18"/>
        </w:rPr>
      </w:pPr>
      <w:r w:rsidRPr="008F6CF9">
        <w:rPr>
          <w:rFonts w:ascii="Garamond" w:eastAsia="Times New Roman" w:hAnsi="Garamond"/>
          <w:i/>
          <w:sz w:val="18"/>
          <w:szCs w:val="18"/>
        </w:rPr>
        <w:t>(должность)</w:t>
      </w:r>
      <w:r w:rsidRPr="008F6CF9">
        <w:rPr>
          <w:rFonts w:ascii="Garamond" w:eastAsia="Times New Roman" w:hAnsi="Garamond"/>
          <w:i/>
          <w:sz w:val="18"/>
          <w:szCs w:val="18"/>
        </w:rPr>
        <w:tab/>
      </w:r>
      <w:r w:rsidRPr="008F6CF9">
        <w:rPr>
          <w:rFonts w:ascii="Garamond" w:eastAsia="Times New Roman" w:hAnsi="Garamond"/>
          <w:i/>
          <w:sz w:val="18"/>
          <w:szCs w:val="18"/>
        </w:rPr>
        <w:tab/>
      </w:r>
      <w:r w:rsidRPr="008F6CF9">
        <w:rPr>
          <w:rFonts w:ascii="Garamond" w:eastAsia="Times New Roman" w:hAnsi="Garamond"/>
          <w:i/>
          <w:sz w:val="18"/>
          <w:szCs w:val="18"/>
        </w:rPr>
        <w:tab/>
      </w:r>
      <w:r w:rsidRPr="008F6CF9">
        <w:rPr>
          <w:rFonts w:ascii="Garamond" w:eastAsia="Times New Roman" w:hAnsi="Garamond"/>
          <w:i/>
          <w:sz w:val="18"/>
          <w:szCs w:val="18"/>
        </w:rPr>
        <w:tab/>
      </w:r>
      <w:r w:rsidRPr="008F6CF9">
        <w:rPr>
          <w:rFonts w:ascii="Garamond" w:eastAsia="Times New Roman" w:hAnsi="Garamond"/>
          <w:i/>
          <w:sz w:val="18"/>
          <w:szCs w:val="18"/>
        </w:rPr>
        <w:tab/>
      </w:r>
      <w:r w:rsidRPr="008F6CF9">
        <w:rPr>
          <w:rFonts w:ascii="Garamond" w:eastAsia="Times New Roman" w:hAnsi="Garamond"/>
          <w:i/>
          <w:sz w:val="18"/>
          <w:szCs w:val="18"/>
        </w:rPr>
        <w:tab/>
      </w:r>
      <w:r w:rsidRPr="008F6CF9">
        <w:rPr>
          <w:rFonts w:ascii="Garamond" w:eastAsia="Times New Roman" w:hAnsi="Garamond"/>
          <w:i/>
          <w:sz w:val="18"/>
          <w:szCs w:val="18"/>
        </w:rPr>
        <w:tab/>
      </w:r>
      <w:r w:rsidRPr="008F6CF9">
        <w:rPr>
          <w:rFonts w:ascii="Garamond" w:eastAsia="Times New Roman" w:hAnsi="Garamond"/>
          <w:i/>
          <w:sz w:val="18"/>
          <w:szCs w:val="18"/>
        </w:rPr>
        <w:tab/>
        <w:t>(Ф. И. О.)</w:t>
      </w:r>
    </w:p>
    <w:p w14:paraId="7EE81069" w14:textId="77777777" w:rsidR="00D64294" w:rsidRPr="008F6CF9" w:rsidRDefault="00D64294" w:rsidP="00D64294">
      <w:pPr>
        <w:jc w:val="both"/>
        <w:rPr>
          <w:rFonts w:ascii="Garamond" w:eastAsia="Times New Roman" w:hAnsi="Garamond"/>
          <w:i/>
          <w:sz w:val="22"/>
          <w:szCs w:val="22"/>
        </w:rPr>
      </w:pPr>
    </w:p>
    <w:p w14:paraId="27CA8874" w14:textId="77777777" w:rsidR="00D64294" w:rsidRPr="008F6CF9" w:rsidRDefault="00D64294" w:rsidP="00D64294">
      <w:pPr>
        <w:tabs>
          <w:tab w:val="num" w:pos="840"/>
        </w:tabs>
        <w:jc w:val="both"/>
        <w:rPr>
          <w:rFonts w:ascii="Garamond" w:eastAsia="Times New Roman" w:hAnsi="Garamond"/>
        </w:rPr>
      </w:pPr>
    </w:p>
    <w:p w14:paraId="1FE18ACE" w14:textId="77777777" w:rsidR="00D64294" w:rsidRPr="008F6CF9" w:rsidRDefault="00D64294" w:rsidP="00AD67C2">
      <w:pPr>
        <w:tabs>
          <w:tab w:val="num" w:pos="840"/>
        </w:tabs>
        <w:jc w:val="both"/>
        <w:rPr>
          <w:rFonts w:ascii="Garamond" w:eastAsia="Times New Roman" w:hAnsi="Garamond" w:cs="Arial"/>
        </w:rPr>
      </w:pPr>
      <w:r w:rsidRPr="008F6CF9">
        <w:rPr>
          <w:rFonts w:ascii="Garamond" w:eastAsia="Times New Roman" w:hAnsi="Garamond"/>
        </w:rPr>
        <w:t xml:space="preserve">* </w:t>
      </w:r>
      <w:r w:rsidRPr="008F6CF9">
        <w:rPr>
          <w:rFonts w:ascii="Garamond" w:eastAsia="Times New Roman" w:hAnsi="Garamond" w:cs="Arial"/>
        </w:rPr>
        <w:t>Требования не распространяются на заявителей, согласовавших для получения статуса субъекта оптового рынка электрической энергии условную ГТП генерации.</w:t>
      </w:r>
    </w:p>
    <w:p w14:paraId="2A96D150" w14:textId="012230C3" w:rsidR="00D64294" w:rsidRDefault="00D64294" w:rsidP="00AD67C2">
      <w:pPr>
        <w:keepNext/>
        <w:rPr>
          <w:rFonts w:ascii="Garamond" w:eastAsia="Times New Roman" w:hAnsi="Garamond" w:cs="Arial"/>
        </w:rPr>
      </w:pPr>
      <w:r w:rsidRPr="008F6CF9">
        <w:rPr>
          <w:rFonts w:ascii="Garamond" w:eastAsia="Times New Roman" w:hAnsi="Garamond"/>
        </w:rPr>
        <w:t xml:space="preserve">** </w:t>
      </w:r>
      <w:r w:rsidRPr="008F6CF9">
        <w:rPr>
          <w:rFonts w:ascii="Garamond" w:eastAsia="Times New Roman" w:hAnsi="Garamond" w:cs="Arial"/>
        </w:rPr>
        <w:t>Требования распространяются на заявителей, согласовавших для получения статуса субъекта оптового рынка электрической энергии ГТП генерации и (или) ГТП потребления с регулируемой нагрузкой</w:t>
      </w:r>
      <w:r w:rsidR="00AD67C2" w:rsidRPr="00AD67C2">
        <w:rPr>
          <w:rFonts w:ascii="Garamond" w:eastAsia="Times New Roman" w:hAnsi="Garamond" w:cs="Arial"/>
          <w:highlight w:val="yellow"/>
        </w:rPr>
        <w:t>.</w:t>
      </w:r>
    </w:p>
    <w:p w14:paraId="76E8A0AF" w14:textId="77777777" w:rsidR="00A43635" w:rsidRDefault="00A43635" w:rsidP="00A43635">
      <w:pPr>
        <w:keepNext/>
        <w:ind w:left="-142"/>
        <w:rPr>
          <w:rFonts w:ascii="Garamond" w:hAnsi="Garamond" w:cs="Calibri"/>
          <w:b/>
          <w:sz w:val="28"/>
          <w:szCs w:val="28"/>
          <w:lang w:eastAsia="en-US"/>
        </w:rPr>
      </w:pPr>
    </w:p>
    <w:p w14:paraId="5569435F" w14:textId="77777777" w:rsidR="00A43635" w:rsidRDefault="00A43635" w:rsidP="00D64294">
      <w:pPr>
        <w:keepNext/>
        <w:ind w:left="-142"/>
        <w:rPr>
          <w:rFonts w:ascii="Garamond" w:hAnsi="Garamond" w:cs="Calibri"/>
          <w:b/>
          <w:sz w:val="28"/>
          <w:szCs w:val="28"/>
          <w:lang w:eastAsia="en-US"/>
        </w:rPr>
      </w:pPr>
    </w:p>
    <w:p w14:paraId="424A7FA2" w14:textId="77777777" w:rsidR="00A43635" w:rsidRDefault="00A43635" w:rsidP="00D64294">
      <w:pPr>
        <w:keepNext/>
        <w:ind w:left="-142"/>
        <w:rPr>
          <w:rFonts w:ascii="Garamond" w:hAnsi="Garamond" w:cs="Calibri"/>
          <w:b/>
          <w:sz w:val="28"/>
          <w:szCs w:val="28"/>
          <w:lang w:eastAsia="en-US"/>
        </w:rPr>
        <w:sectPr w:rsidR="00A43635" w:rsidSect="00D64294">
          <w:pgSz w:w="11906" w:h="16838"/>
          <w:pgMar w:top="964" w:right="851" w:bottom="1135" w:left="1276" w:header="709" w:footer="709" w:gutter="0"/>
          <w:cols w:space="708"/>
          <w:docGrid w:linePitch="360"/>
        </w:sectPr>
      </w:pPr>
    </w:p>
    <w:p w14:paraId="3F0F47D0" w14:textId="77777777" w:rsidR="00A43635" w:rsidRDefault="00A43635" w:rsidP="00A43635">
      <w:pPr>
        <w:jc w:val="both"/>
        <w:rPr>
          <w:rFonts w:ascii="Garamond" w:hAnsi="Garamond"/>
          <w:b/>
          <w:sz w:val="22"/>
          <w:szCs w:val="22"/>
          <w:lang w:eastAsia="en-US"/>
        </w:rPr>
      </w:pPr>
      <w:r>
        <w:rPr>
          <w:rFonts w:ascii="Garamond" w:hAnsi="Garamond"/>
          <w:b/>
          <w:sz w:val="22"/>
          <w:szCs w:val="22"/>
          <w:lang w:eastAsia="en-US"/>
        </w:rPr>
        <w:lastRenderedPageBreak/>
        <w:t>Действующая редакция</w:t>
      </w:r>
    </w:p>
    <w:p w14:paraId="4842C7DC" w14:textId="77777777" w:rsidR="00A43635" w:rsidRPr="008F6CF9" w:rsidRDefault="00A43635" w:rsidP="00A43635">
      <w:pPr>
        <w:keepNext/>
        <w:tabs>
          <w:tab w:val="left" w:pos="708"/>
        </w:tabs>
        <w:spacing w:before="120" w:after="120"/>
        <w:ind w:left="1080" w:hanging="360"/>
        <w:jc w:val="right"/>
        <w:outlineLvl w:val="0"/>
        <w:rPr>
          <w:rFonts w:ascii="Garamond" w:eastAsia="Times New Roman" w:hAnsi="Garamond" w:cs="Arial"/>
          <w:b/>
          <w:sz w:val="22"/>
          <w:szCs w:val="22"/>
        </w:rPr>
      </w:pPr>
      <w:r w:rsidRPr="008F6CF9">
        <w:rPr>
          <w:rFonts w:ascii="Garamond" w:eastAsia="Times New Roman" w:hAnsi="Garamond" w:cs="Arial"/>
          <w:b/>
          <w:bCs/>
          <w:sz w:val="22"/>
          <w:szCs w:val="22"/>
        </w:rPr>
        <w:t>Приложение 1</w:t>
      </w:r>
    </w:p>
    <w:p w14:paraId="44FA1FD5" w14:textId="77777777" w:rsidR="00A43635" w:rsidRDefault="00A43635" w:rsidP="00A43635">
      <w:pPr>
        <w:jc w:val="both"/>
        <w:rPr>
          <w:rFonts w:ascii="Garamond" w:hAnsi="Garamond"/>
          <w:sz w:val="22"/>
          <w:szCs w:val="22"/>
        </w:rPr>
      </w:pPr>
    </w:p>
    <w:p w14:paraId="4AA41136" w14:textId="77777777" w:rsidR="00A43635" w:rsidRPr="00A43635" w:rsidRDefault="00A43635" w:rsidP="00A43635">
      <w:pPr>
        <w:keepNext/>
        <w:suppressAutoHyphens w:val="0"/>
        <w:ind w:left="851" w:hanging="709"/>
        <w:jc w:val="center"/>
        <w:outlineLvl w:val="0"/>
        <w:rPr>
          <w:rFonts w:ascii="Garamond" w:eastAsia="Times New Roman" w:hAnsi="Garamond" w:cs="Arial"/>
          <w:b/>
          <w:bCs/>
          <w:sz w:val="22"/>
          <w:szCs w:val="22"/>
        </w:rPr>
      </w:pPr>
      <w:bookmarkStart w:id="25" w:name="_Toc479333202"/>
      <w:bookmarkStart w:id="26" w:name="_Toc501972212"/>
      <w:bookmarkStart w:id="27" w:name="_Toc536698000"/>
      <w:bookmarkStart w:id="28" w:name="_Toc91505623"/>
      <w:bookmarkStart w:id="29" w:name="_Toc129033345"/>
      <w:bookmarkStart w:id="30" w:name="_Toc129034434"/>
      <w:bookmarkStart w:id="31" w:name="_Toc133418543"/>
      <w:bookmarkStart w:id="32" w:name="_Toc139051373"/>
      <w:r w:rsidRPr="00A43635">
        <w:rPr>
          <w:rFonts w:ascii="Garamond" w:eastAsia="Times New Roman" w:hAnsi="Garamond" w:cs="Arial"/>
          <w:b/>
          <w:bCs/>
          <w:sz w:val="22"/>
          <w:szCs w:val="22"/>
        </w:rPr>
        <w:t>Форма 1П</w:t>
      </w:r>
      <w:bookmarkEnd w:id="25"/>
      <w:bookmarkEnd w:id="26"/>
      <w:bookmarkEnd w:id="27"/>
      <w:bookmarkEnd w:id="28"/>
      <w:bookmarkEnd w:id="29"/>
      <w:bookmarkEnd w:id="30"/>
      <w:bookmarkEnd w:id="31"/>
      <w:bookmarkEnd w:id="32"/>
    </w:p>
    <w:p w14:paraId="13350E80" w14:textId="77777777" w:rsidR="00A43635" w:rsidRPr="00A43635" w:rsidRDefault="00A43635" w:rsidP="00A43635">
      <w:pPr>
        <w:suppressAutoHyphens w:val="0"/>
        <w:jc w:val="both"/>
        <w:rPr>
          <w:rFonts w:ascii="Garamond" w:eastAsia="Times New Roman" w:hAnsi="Garamond" w:cs="Times New Roman"/>
          <w:sz w:val="22"/>
          <w:szCs w:val="22"/>
        </w:rPr>
      </w:pPr>
    </w:p>
    <w:p w14:paraId="7579FBB8" w14:textId="77777777" w:rsidR="00A43635" w:rsidRPr="00A43635" w:rsidRDefault="00A43635" w:rsidP="00A43635">
      <w:pPr>
        <w:suppressAutoHyphens w:val="0"/>
        <w:jc w:val="both"/>
        <w:rPr>
          <w:rFonts w:ascii="Garamond" w:eastAsia="Times New Roman" w:hAnsi="Garamond" w:cs="Times New Roman"/>
          <w:sz w:val="22"/>
          <w:szCs w:val="22"/>
        </w:rPr>
      </w:pPr>
      <w:r w:rsidRPr="00A43635">
        <w:rPr>
          <w:rFonts w:ascii="Garamond" w:eastAsia="Times New Roman" w:hAnsi="Garamond" w:cs="Times New Roman"/>
          <w:sz w:val="22"/>
          <w:szCs w:val="22"/>
        </w:rPr>
        <w:t xml:space="preserve">(на бланке заявителя) </w:t>
      </w:r>
    </w:p>
    <w:p w14:paraId="63BABD06" w14:textId="77777777" w:rsidR="00A43635" w:rsidRPr="00A43635" w:rsidRDefault="00A43635" w:rsidP="00A43635">
      <w:pPr>
        <w:suppressAutoHyphens w:val="0"/>
        <w:jc w:val="both"/>
        <w:rPr>
          <w:rFonts w:ascii="Garamond" w:eastAsia="Times New Roman" w:hAnsi="Garamond" w:cs="Times New Roman"/>
          <w:sz w:val="22"/>
          <w:szCs w:val="22"/>
        </w:rPr>
      </w:pPr>
    </w:p>
    <w:p w14:paraId="0DF280B3" w14:textId="77777777" w:rsidR="00A43635" w:rsidRPr="00A43635" w:rsidRDefault="00A43635" w:rsidP="00A43635">
      <w:pPr>
        <w:suppressAutoHyphens w:val="0"/>
        <w:jc w:val="right"/>
        <w:rPr>
          <w:rFonts w:ascii="Garamond" w:eastAsia="Times New Roman" w:hAnsi="Garamond" w:cs="Times New Roman"/>
          <w:b/>
          <w:sz w:val="22"/>
          <w:szCs w:val="22"/>
        </w:rPr>
      </w:pPr>
      <w:r w:rsidRPr="00A43635">
        <w:rPr>
          <w:rFonts w:ascii="Garamond" w:eastAsia="Times New Roman" w:hAnsi="Garamond" w:cs="Times New Roman"/>
          <w:b/>
          <w:sz w:val="22"/>
          <w:szCs w:val="22"/>
        </w:rPr>
        <w:t xml:space="preserve">Председателю Правления </w:t>
      </w:r>
    </w:p>
    <w:p w14:paraId="2B400D9F" w14:textId="77777777" w:rsidR="00A43635" w:rsidRPr="00A43635" w:rsidRDefault="00A43635" w:rsidP="00A43635">
      <w:pPr>
        <w:suppressAutoHyphens w:val="0"/>
        <w:jc w:val="center"/>
        <w:rPr>
          <w:rFonts w:ascii="Garamond" w:eastAsia="Times New Roman" w:hAnsi="Garamond" w:cs="Times New Roman"/>
          <w:b/>
          <w:sz w:val="22"/>
          <w:szCs w:val="22"/>
        </w:rPr>
      </w:pPr>
      <w:r w:rsidRPr="00A43635">
        <w:rPr>
          <w:rFonts w:ascii="Garamond" w:eastAsia="Times New Roman" w:hAnsi="Garamond" w:cs="Times New Roman"/>
          <w:b/>
          <w:sz w:val="22"/>
          <w:szCs w:val="22"/>
        </w:rPr>
        <w:t xml:space="preserve">                                                                                                </w:t>
      </w:r>
      <w:r>
        <w:rPr>
          <w:rFonts w:ascii="Garamond" w:eastAsia="Times New Roman" w:hAnsi="Garamond" w:cs="Times New Roman"/>
          <w:b/>
          <w:sz w:val="22"/>
          <w:szCs w:val="22"/>
        </w:rPr>
        <w:tab/>
      </w:r>
      <w:r w:rsidRPr="00A43635">
        <w:rPr>
          <w:rFonts w:ascii="Garamond" w:eastAsia="Times New Roman" w:hAnsi="Garamond" w:cs="Times New Roman"/>
          <w:b/>
          <w:sz w:val="22"/>
          <w:szCs w:val="22"/>
        </w:rPr>
        <w:t>АО «АТС»</w:t>
      </w:r>
    </w:p>
    <w:p w14:paraId="53576840" w14:textId="77777777" w:rsidR="00A43635" w:rsidRPr="00A43635" w:rsidRDefault="00A43635" w:rsidP="00A43635">
      <w:pPr>
        <w:suppressAutoHyphens w:val="0"/>
        <w:jc w:val="both"/>
        <w:rPr>
          <w:rFonts w:ascii="Garamond" w:eastAsia="Times New Roman" w:hAnsi="Garamond" w:cs="Times New Roman"/>
          <w:sz w:val="22"/>
          <w:szCs w:val="22"/>
        </w:rPr>
      </w:pPr>
    </w:p>
    <w:p w14:paraId="5B4730C5" w14:textId="77777777" w:rsidR="00A43635" w:rsidRPr="00A43635" w:rsidRDefault="00A43635" w:rsidP="00A43635">
      <w:pPr>
        <w:suppressAutoHyphens w:val="0"/>
        <w:jc w:val="both"/>
        <w:rPr>
          <w:rFonts w:ascii="Garamond" w:eastAsia="Times New Roman" w:hAnsi="Garamond" w:cs="Times New Roman"/>
          <w:sz w:val="22"/>
          <w:szCs w:val="22"/>
        </w:rPr>
      </w:pPr>
      <w:r w:rsidRPr="00A43635">
        <w:rPr>
          <w:rFonts w:ascii="Garamond" w:eastAsia="Times New Roman" w:hAnsi="Garamond" w:cs="Times New Roman"/>
          <w:sz w:val="22"/>
          <w:szCs w:val="22"/>
        </w:rPr>
        <w:t>№ ____________________</w:t>
      </w:r>
    </w:p>
    <w:p w14:paraId="5526E762" w14:textId="77777777" w:rsidR="00A43635" w:rsidRPr="00A43635" w:rsidRDefault="00A43635" w:rsidP="00A43635">
      <w:pPr>
        <w:suppressAutoHyphens w:val="0"/>
        <w:jc w:val="both"/>
        <w:rPr>
          <w:rFonts w:ascii="Garamond" w:eastAsia="Times New Roman" w:hAnsi="Garamond" w:cs="Times New Roman"/>
          <w:sz w:val="22"/>
          <w:szCs w:val="22"/>
        </w:rPr>
      </w:pPr>
      <w:r w:rsidRPr="00A43635">
        <w:rPr>
          <w:rFonts w:ascii="Garamond" w:eastAsia="Times New Roman" w:hAnsi="Garamond" w:cs="Times New Roman"/>
          <w:sz w:val="22"/>
          <w:szCs w:val="22"/>
        </w:rPr>
        <w:t>«___» ___________20 ___ г.</w:t>
      </w:r>
    </w:p>
    <w:p w14:paraId="50877111" w14:textId="77777777" w:rsidR="00A43635" w:rsidRPr="00A43635" w:rsidRDefault="00A43635" w:rsidP="00A43635">
      <w:pPr>
        <w:suppressAutoHyphens w:val="0"/>
        <w:jc w:val="center"/>
        <w:rPr>
          <w:rFonts w:ascii="Garamond" w:eastAsia="Times New Roman" w:hAnsi="Garamond" w:cs="Times New Roman"/>
          <w:b/>
          <w:sz w:val="22"/>
          <w:szCs w:val="22"/>
        </w:rPr>
      </w:pPr>
    </w:p>
    <w:p w14:paraId="77098A8A" w14:textId="77777777" w:rsidR="00A43635" w:rsidRPr="00A43635" w:rsidRDefault="00A43635" w:rsidP="00A43635">
      <w:pPr>
        <w:suppressAutoHyphens w:val="0"/>
        <w:jc w:val="right"/>
        <w:rPr>
          <w:rFonts w:ascii="Garamond" w:eastAsia="Times New Roman" w:hAnsi="Garamond" w:cs="Times New Roman"/>
          <w:sz w:val="22"/>
          <w:szCs w:val="22"/>
        </w:rPr>
      </w:pPr>
    </w:p>
    <w:p w14:paraId="4414C984" w14:textId="77777777" w:rsidR="00A43635" w:rsidRPr="00A43635" w:rsidRDefault="00A43635" w:rsidP="00A43635">
      <w:pPr>
        <w:suppressAutoHyphens w:val="0"/>
        <w:jc w:val="right"/>
        <w:rPr>
          <w:rFonts w:ascii="Garamond" w:eastAsia="Times New Roman" w:hAnsi="Garamond" w:cs="Times New Roman"/>
          <w:sz w:val="22"/>
          <w:szCs w:val="22"/>
        </w:rPr>
      </w:pPr>
    </w:p>
    <w:p w14:paraId="6C83B0AE" w14:textId="77777777" w:rsidR="00A43635" w:rsidRPr="00A43635" w:rsidRDefault="00A43635" w:rsidP="00A43635">
      <w:pPr>
        <w:suppressAutoHyphens w:val="0"/>
        <w:jc w:val="right"/>
        <w:rPr>
          <w:rFonts w:ascii="Garamond" w:eastAsia="Times New Roman" w:hAnsi="Garamond" w:cs="Times New Roman"/>
          <w:sz w:val="22"/>
          <w:szCs w:val="22"/>
        </w:rPr>
      </w:pPr>
    </w:p>
    <w:p w14:paraId="131DFA5A" w14:textId="77777777" w:rsidR="00A43635" w:rsidRPr="00A43635" w:rsidRDefault="00A43635" w:rsidP="00A43635">
      <w:pPr>
        <w:suppressAutoHyphens w:val="0"/>
        <w:jc w:val="center"/>
        <w:rPr>
          <w:rFonts w:ascii="Garamond" w:eastAsia="Times New Roman" w:hAnsi="Garamond" w:cs="Times New Roman"/>
          <w:b/>
          <w:sz w:val="22"/>
          <w:szCs w:val="22"/>
        </w:rPr>
      </w:pPr>
      <w:r w:rsidRPr="00A43635">
        <w:rPr>
          <w:rFonts w:ascii="Garamond" w:eastAsia="Times New Roman" w:hAnsi="Garamond" w:cs="Times New Roman"/>
          <w:b/>
          <w:sz w:val="22"/>
          <w:szCs w:val="22"/>
        </w:rPr>
        <w:t>ЗАЯВЛЕНИЕ</w:t>
      </w:r>
    </w:p>
    <w:p w14:paraId="0019FAFB" w14:textId="77777777" w:rsidR="00A43635" w:rsidRPr="00A43635" w:rsidRDefault="00A43635" w:rsidP="00A43635">
      <w:pPr>
        <w:suppressAutoHyphens w:val="0"/>
        <w:jc w:val="center"/>
        <w:rPr>
          <w:rFonts w:ascii="Garamond" w:eastAsia="Times New Roman" w:hAnsi="Garamond" w:cs="Times New Roman"/>
          <w:b/>
          <w:sz w:val="22"/>
          <w:szCs w:val="22"/>
        </w:rPr>
      </w:pPr>
      <w:r w:rsidRPr="00A43635">
        <w:rPr>
          <w:rFonts w:ascii="Garamond" w:eastAsia="Times New Roman" w:hAnsi="Garamond" w:cs="Times New Roman"/>
          <w:b/>
          <w:sz w:val="22"/>
          <w:szCs w:val="22"/>
        </w:rPr>
        <w:t xml:space="preserve">о прекращении процедуры </w:t>
      </w:r>
    </w:p>
    <w:p w14:paraId="7FBE3011" w14:textId="77777777" w:rsidR="00A43635" w:rsidRPr="00A43635" w:rsidRDefault="00A43635" w:rsidP="00A43635">
      <w:pPr>
        <w:suppressAutoHyphens w:val="0"/>
        <w:jc w:val="both"/>
        <w:rPr>
          <w:rFonts w:ascii="Garamond" w:eastAsia="Times New Roman" w:hAnsi="Garamond" w:cs="Times New Roman"/>
          <w:sz w:val="22"/>
          <w:szCs w:val="22"/>
        </w:rPr>
      </w:pPr>
    </w:p>
    <w:p w14:paraId="3E4707EB" w14:textId="77777777" w:rsidR="00A43635" w:rsidRPr="00A43635" w:rsidRDefault="00A43635" w:rsidP="00A43635">
      <w:pPr>
        <w:suppressAutoHyphens w:val="0"/>
        <w:spacing w:line="360" w:lineRule="auto"/>
        <w:ind w:firstLine="426"/>
        <w:jc w:val="both"/>
        <w:rPr>
          <w:rFonts w:ascii="Garamond" w:eastAsia="Times New Roman" w:hAnsi="Garamond" w:cs="Times New Roman"/>
          <w:sz w:val="22"/>
          <w:szCs w:val="22"/>
        </w:rPr>
      </w:pPr>
      <w:r w:rsidRPr="00A43635">
        <w:rPr>
          <w:rFonts w:ascii="Garamond" w:eastAsia="Times New Roman" w:hAnsi="Garamond" w:cs="Times New Roman"/>
          <w:sz w:val="22"/>
          <w:szCs w:val="22"/>
        </w:rPr>
        <w:t xml:space="preserve">Прошу прекратить процедуру </w:t>
      </w:r>
      <w:r w:rsidRPr="00A43635">
        <w:rPr>
          <w:rFonts w:ascii="Garamond" w:eastAsia="Times New Roman" w:hAnsi="Garamond" w:cs="Times New Roman"/>
          <w:i/>
          <w:sz w:val="22"/>
          <w:szCs w:val="22"/>
        </w:rPr>
        <w:t>(выбрать одну из нижеперечисленных процедур)</w:t>
      </w:r>
      <w:r w:rsidRPr="00A43635">
        <w:rPr>
          <w:rFonts w:ascii="Garamond" w:eastAsia="Times New Roman" w:hAnsi="Garamond" w:cs="Times New Roman"/>
          <w:sz w:val="22"/>
          <w:szCs w:val="22"/>
        </w:rPr>
        <w:t xml:space="preserve">: </w:t>
      </w:r>
    </w:p>
    <w:p w14:paraId="4607A0B5" w14:textId="77777777" w:rsidR="00A43635" w:rsidRPr="00A43635" w:rsidRDefault="00A43635" w:rsidP="00A43635">
      <w:pPr>
        <w:suppressAutoHyphens w:val="0"/>
        <w:spacing w:line="360" w:lineRule="auto"/>
        <w:ind w:firstLine="426"/>
        <w:jc w:val="both"/>
        <w:rPr>
          <w:rFonts w:ascii="Garamond" w:eastAsia="Times New Roman" w:hAnsi="Garamond" w:cs="Times New Roman"/>
          <w:sz w:val="22"/>
          <w:szCs w:val="22"/>
          <w:u w:val="single"/>
        </w:rPr>
      </w:pPr>
      <w:r w:rsidRPr="00A43635">
        <w:rPr>
          <w:rFonts w:ascii="Garamond" w:eastAsia="Times New Roman" w:hAnsi="Garamond" w:cs="Times New Roman"/>
          <w:sz w:val="22"/>
          <w:szCs w:val="22"/>
        </w:rPr>
        <w:t>– </w:t>
      </w:r>
      <w:r w:rsidRPr="00A43635">
        <w:rPr>
          <w:rFonts w:ascii="Garamond" w:eastAsia="Times New Roman" w:hAnsi="Garamond" w:cs="Times New Roman"/>
          <w:sz w:val="22"/>
          <w:szCs w:val="22"/>
          <w:u w:val="single"/>
        </w:rPr>
        <w:t xml:space="preserve">согласования ГТП (сечения коммерческого учета ФСК, сечения экспорта-импорта) и регистрации ПСИ </w:t>
      </w:r>
    </w:p>
    <w:p w14:paraId="2DAD0D88" w14:textId="77777777" w:rsidR="00A43635" w:rsidRPr="00A43635" w:rsidRDefault="00A43635" w:rsidP="00A43635">
      <w:pPr>
        <w:suppressAutoHyphens w:val="0"/>
        <w:spacing w:line="360" w:lineRule="auto"/>
        <w:ind w:firstLine="426"/>
        <w:jc w:val="both"/>
        <w:rPr>
          <w:rFonts w:ascii="Garamond" w:eastAsia="Times New Roman" w:hAnsi="Garamond" w:cs="Times New Roman"/>
          <w:sz w:val="22"/>
          <w:szCs w:val="22"/>
          <w:u w:val="single"/>
        </w:rPr>
      </w:pPr>
      <w:r w:rsidRPr="00A43635">
        <w:rPr>
          <w:rFonts w:ascii="Garamond" w:eastAsia="Times New Roman" w:hAnsi="Garamond" w:cs="Times New Roman"/>
          <w:sz w:val="22"/>
          <w:szCs w:val="22"/>
        </w:rPr>
        <w:t>– </w:t>
      </w:r>
      <w:r w:rsidRPr="00A43635">
        <w:rPr>
          <w:rFonts w:ascii="Garamond" w:eastAsia="Times New Roman" w:hAnsi="Garamond" w:cs="Times New Roman"/>
          <w:sz w:val="22"/>
          <w:szCs w:val="22"/>
          <w:u w:val="single"/>
        </w:rPr>
        <w:t>внесения изменений в регистрационную информацию по ГТП (сечению коммерческого учета ФСК, сечению экспорта-импорта)</w:t>
      </w:r>
    </w:p>
    <w:p w14:paraId="62ECE2B6" w14:textId="77777777" w:rsidR="00A43635" w:rsidRPr="00A43635" w:rsidRDefault="00A43635" w:rsidP="00A43635">
      <w:pPr>
        <w:suppressAutoHyphens w:val="0"/>
        <w:spacing w:line="360" w:lineRule="auto"/>
        <w:ind w:firstLine="426"/>
        <w:jc w:val="both"/>
        <w:rPr>
          <w:rFonts w:ascii="Garamond" w:eastAsia="Times New Roman" w:hAnsi="Garamond" w:cs="Times New Roman"/>
          <w:sz w:val="22"/>
          <w:szCs w:val="22"/>
          <w:u w:val="single"/>
        </w:rPr>
      </w:pPr>
      <w:r w:rsidRPr="00A43635">
        <w:rPr>
          <w:rFonts w:ascii="Garamond" w:eastAsia="Times New Roman" w:hAnsi="Garamond" w:cs="Times New Roman"/>
          <w:sz w:val="22"/>
          <w:szCs w:val="22"/>
        </w:rPr>
        <w:t>– </w:t>
      </w:r>
      <w:r w:rsidRPr="00A43635">
        <w:rPr>
          <w:rFonts w:ascii="Garamond" w:eastAsia="Times New Roman" w:hAnsi="Garamond" w:cs="Times New Roman"/>
          <w:sz w:val="22"/>
          <w:szCs w:val="22"/>
          <w:u w:val="single"/>
        </w:rPr>
        <w:t>согласования временного сечения коммерческого учета и регистрации ПСИ</w:t>
      </w:r>
    </w:p>
    <w:p w14:paraId="34C244D2" w14:textId="77777777" w:rsidR="00A43635" w:rsidRPr="00A43635" w:rsidRDefault="00A43635" w:rsidP="00A43635">
      <w:pPr>
        <w:suppressAutoHyphens w:val="0"/>
        <w:spacing w:line="360" w:lineRule="auto"/>
        <w:ind w:firstLine="426"/>
        <w:jc w:val="both"/>
        <w:rPr>
          <w:rFonts w:ascii="Garamond" w:eastAsia="Times New Roman" w:hAnsi="Garamond" w:cs="Times New Roman"/>
          <w:sz w:val="22"/>
          <w:szCs w:val="22"/>
          <w:u w:val="single"/>
        </w:rPr>
      </w:pPr>
      <w:r w:rsidRPr="00A43635">
        <w:rPr>
          <w:rFonts w:ascii="Garamond" w:eastAsia="Times New Roman" w:hAnsi="Garamond" w:cs="Times New Roman"/>
          <w:sz w:val="22"/>
          <w:szCs w:val="22"/>
        </w:rPr>
        <w:t xml:space="preserve">– </w:t>
      </w:r>
      <w:r w:rsidRPr="00A43635">
        <w:rPr>
          <w:rFonts w:ascii="Garamond" w:eastAsia="Times New Roman" w:hAnsi="Garamond" w:cs="Times New Roman"/>
          <w:sz w:val="22"/>
          <w:szCs w:val="22"/>
          <w:u w:val="single"/>
        </w:rPr>
        <w:t>регистрации ПСИ (подп. «а» пп. 2.6.9, 4.2.3, 4.2.5, 4.4.1 Положения о порядке получения статуса субъекта оптового рынка и ведения реестра субъектов оптового рынка)</w:t>
      </w:r>
    </w:p>
    <w:p w14:paraId="1BD70AED" w14:textId="77777777" w:rsidR="00A43635" w:rsidRPr="00A43635" w:rsidRDefault="00A43635" w:rsidP="00A43635">
      <w:pPr>
        <w:suppressAutoHyphens w:val="0"/>
        <w:spacing w:line="360" w:lineRule="auto"/>
        <w:ind w:firstLine="426"/>
        <w:jc w:val="both"/>
        <w:rPr>
          <w:rFonts w:ascii="Garamond" w:eastAsia="Times New Roman" w:hAnsi="Garamond" w:cs="Times New Roman"/>
          <w:sz w:val="22"/>
          <w:szCs w:val="22"/>
          <w:u w:val="single"/>
        </w:rPr>
      </w:pPr>
      <w:r w:rsidRPr="00A43635">
        <w:rPr>
          <w:rFonts w:ascii="Garamond" w:eastAsia="Times New Roman" w:hAnsi="Garamond" w:cs="Times New Roman"/>
          <w:sz w:val="22"/>
          <w:szCs w:val="22"/>
        </w:rPr>
        <w:t xml:space="preserve">– </w:t>
      </w:r>
      <w:r w:rsidRPr="00A43635">
        <w:rPr>
          <w:rFonts w:ascii="Garamond" w:eastAsia="Times New Roman" w:hAnsi="Garamond" w:cs="Times New Roman"/>
          <w:sz w:val="22"/>
          <w:szCs w:val="22"/>
          <w:u w:val="single"/>
        </w:rPr>
        <w:t>предоставления права участия в торговле электрической энергией и (или) мощностью на оптовом рынке,</w:t>
      </w:r>
    </w:p>
    <w:p w14:paraId="23CAE963" w14:textId="77777777" w:rsidR="00A43635" w:rsidRPr="00A43635" w:rsidRDefault="00A43635" w:rsidP="00A43635">
      <w:pPr>
        <w:suppressAutoHyphens w:val="0"/>
        <w:spacing w:line="360" w:lineRule="auto"/>
        <w:ind w:firstLine="426"/>
        <w:jc w:val="both"/>
        <w:rPr>
          <w:rFonts w:ascii="Garamond" w:eastAsia="Times New Roman" w:hAnsi="Garamond" w:cs="Times New Roman"/>
          <w:sz w:val="22"/>
          <w:szCs w:val="22"/>
        </w:rPr>
      </w:pPr>
      <w:r w:rsidRPr="00A43635">
        <w:rPr>
          <w:rFonts w:ascii="Garamond" w:eastAsia="Times New Roman" w:hAnsi="Garamond" w:cs="Times New Roman"/>
          <w:sz w:val="22"/>
          <w:szCs w:val="22"/>
        </w:rPr>
        <w:t xml:space="preserve">– </w:t>
      </w:r>
      <w:r w:rsidRPr="00A43635">
        <w:rPr>
          <w:rFonts w:ascii="Garamond" w:eastAsia="Times New Roman" w:hAnsi="Garamond" w:cs="Calibri"/>
          <w:sz w:val="22"/>
          <w:szCs w:val="22"/>
          <w:u w:val="single"/>
        </w:rPr>
        <w:t>присвоения статуса субъекта оптового рынка электрической энергии и включения в Реестр субъектов оптового рынка</w:t>
      </w:r>
      <w:r w:rsidRPr="00A43635">
        <w:rPr>
          <w:rFonts w:ascii="Garamond" w:eastAsia="Times New Roman" w:hAnsi="Garamond" w:cs="Times New Roman"/>
          <w:sz w:val="22"/>
          <w:szCs w:val="22"/>
          <w:u w:val="single"/>
        </w:rPr>
        <w:t>,</w:t>
      </w:r>
    </w:p>
    <w:p w14:paraId="3A6832C9" w14:textId="77777777" w:rsidR="00A43635" w:rsidRPr="00A43635" w:rsidRDefault="00A43635" w:rsidP="00A43635">
      <w:pPr>
        <w:suppressAutoHyphens w:val="0"/>
        <w:spacing w:line="360" w:lineRule="auto"/>
        <w:jc w:val="both"/>
        <w:rPr>
          <w:rFonts w:ascii="Garamond" w:eastAsia="Times New Roman" w:hAnsi="Garamond" w:cs="Times New Roman"/>
          <w:i/>
          <w:sz w:val="22"/>
          <w:szCs w:val="22"/>
        </w:rPr>
      </w:pPr>
    </w:p>
    <w:p w14:paraId="4A712F39" w14:textId="77777777" w:rsidR="00A43635" w:rsidRPr="00A43635" w:rsidRDefault="00A43635" w:rsidP="00A43635">
      <w:pPr>
        <w:suppressAutoHyphens w:val="0"/>
        <w:spacing w:line="360" w:lineRule="auto"/>
        <w:jc w:val="both"/>
        <w:rPr>
          <w:rFonts w:ascii="Garamond" w:eastAsia="Times New Roman" w:hAnsi="Garamond" w:cs="Times New Roman"/>
          <w:sz w:val="22"/>
          <w:szCs w:val="22"/>
        </w:rPr>
      </w:pPr>
      <w:r w:rsidRPr="00A43635">
        <w:rPr>
          <w:rFonts w:ascii="Garamond" w:eastAsia="Times New Roman" w:hAnsi="Garamond" w:cs="Times New Roman"/>
          <w:sz w:val="22"/>
          <w:szCs w:val="22"/>
        </w:rPr>
        <w:t>инициированную на основании заявления вх. № ____________ от ______________.</w:t>
      </w:r>
    </w:p>
    <w:p w14:paraId="732D6E41" w14:textId="77777777" w:rsidR="00A43635" w:rsidRPr="00A43635" w:rsidRDefault="00A43635" w:rsidP="00A43635">
      <w:pPr>
        <w:suppressAutoHyphens w:val="0"/>
        <w:ind w:left="4677" w:firstLine="279"/>
        <w:jc w:val="both"/>
        <w:rPr>
          <w:rFonts w:ascii="Garamond" w:eastAsia="Times New Roman" w:hAnsi="Garamond" w:cs="Times New Roman"/>
          <w:i/>
          <w:sz w:val="22"/>
          <w:szCs w:val="22"/>
        </w:rPr>
      </w:pPr>
      <w:r w:rsidRPr="00A43635">
        <w:rPr>
          <w:rFonts w:ascii="Garamond" w:eastAsia="Times New Roman" w:hAnsi="Garamond" w:cs="Times New Roman"/>
          <w:i/>
          <w:sz w:val="22"/>
          <w:szCs w:val="22"/>
        </w:rPr>
        <w:t>(входящий номер заявления в КО)</w:t>
      </w:r>
    </w:p>
    <w:p w14:paraId="30EB9792" w14:textId="77777777" w:rsidR="00A43635" w:rsidRPr="00A43635" w:rsidRDefault="00A43635" w:rsidP="00A43635">
      <w:pPr>
        <w:suppressAutoHyphens w:val="0"/>
        <w:jc w:val="both"/>
        <w:rPr>
          <w:rFonts w:ascii="Garamond" w:eastAsia="Times New Roman" w:hAnsi="Garamond" w:cs="Times New Roman"/>
          <w:sz w:val="22"/>
          <w:szCs w:val="22"/>
        </w:rPr>
      </w:pPr>
    </w:p>
    <w:p w14:paraId="59227B81" w14:textId="77777777" w:rsidR="00A43635" w:rsidRPr="00A43635" w:rsidRDefault="00A43635" w:rsidP="00A43635">
      <w:pPr>
        <w:suppressAutoHyphens w:val="0"/>
        <w:jc w:val="both"/>
        <w:rPr>
          <w:rFonts w:ascii="Garamond" w:eastAsia="Times New Roman" w:hAnsi="Garamond" w:cs="Times New Roman"/>
          <w:sz w:val="22"/>
          <w:szCs w:val="22"/>
        </w:rPr>
      </w:pPr>
    </w:p>
    <w:p w14:paraId="1AE8D7EF" w14:textId="77777777" w:rsidR="00A43635" w:rsidRPr="00A43635" w:rsidRDefault="00A43635" w:rsidP="00A43635">
      <w:pPr>
        <w:suppressAutoHyphens w:val="0"/>
        <w:jc w:val="center"/>
        <w:rPr>
          <w:rFonts w:ascii="Garamond" w:eastAsia="Times New Roman" w:hAnsi="Garamond" w:cs="Times New Roman"/>
          <w:i/>
          <w:sz w:val="22"/>
          <w:szCs w:val="22"/>
        </w:rPr>
      </w:pPr>
    </w:p>
    <w:p w14:paraId="71B0BE05" w14:textId="77777777" w:rsidR="00A43635" w:rsidRPr="00A43635" w:rsidRDefault="00A43635" w:rsidP="00A43635">
      <w:pPr>
        <w:suppressAutoHyphens w:val="0"/>
        <w:spacing w:beforeAutospacing="1"/>
        <w:jc w:val="both"/>
        <w:rPr>
          <w:rFonts w:ascii="Garamond" w:eastAsia="Times New Roman" w:hAnsi="Garamond" w:cs="Times New Roman"/>
          <w:bCs/>
          <w:sz w:val="22"/>
          <w:szCs w:val="22"/>
        </w:rPr>
      </w:pPr>
      <w:r w:rsidRPr="00A43635">
        <w:rPr>
          <w:rFonts w:ascii="Garamond" w:eastAsia="Times New Roman" w:hAnsi="Garamond" w:cs="Times New Roman"/>
          <w:bCs/>
          <w:sz w:val="22"/>
          <w:szCs w:val="22"/>
        </w:rPr>
        <w:t xml:space="preserve">         ________________________________</w:t>
      </w:r>
      <w:r w:rsidRPr="00A43635">
        <w:rPr>
          <w:rFonts w:ascii="Garamond" w:eastAsia="Times New Roman" w:hAnsi="Garamond" w:cs="Times New Roman"/>
          <w:bCs/>
          <w:sz w:val="22"/>
          <w:szCs w:val="22"/>
        </w:rPr>
        <w:tab/>
      </w:r>
      <w:r w:rsidRPr="00A43635">
        <w:rPr>
          <w:rFonts w:ascii="Garamond" w:eastAsia="Times New Roman" w:hAnsi="Garamond" w:cs="Times New Roman"/>
          <w:bCs/>
          <w:sz w:val="22"/>
          <w:szCs w:val="22"/>
        </w:rPr>
        <w:tab/>
        <w:t xml:space="preserve">                                     ___________________</w:t>
      </w:r>
    </w:p>
    <w:p w14:paraId="2476A99F" w14:textId="77777777" w:rsidR="00A43635" w:rsidRPr="00A43635" w:rsidRDefault="00A43635" w:rsidP="00A43635">
      <w:pPr>
        <w:suppressAutoHyphens w:val="0"/>
        <w:spacing w:before="120" w:after="120"/>
        <w:ind w:firstLine="567"/>
        <w:jc w:val="both"/>
        <w:rPr>
          <w:rFonts w:ascii="Garamond" w:eastAsia="Times New Roman" w:hAnsi="Garamond" w:cs="Times New Roman"/>
          <w:i/>
          <w:sz w:val="22"/>
          <w:szCs w:val="22"/>
        </w:rPr>
      </w:pPr>
      <w:r w:rsidRPr="00A43635">
        <w:rPr>
          <w:rFonts w:ascii="Garamond" w:eastAsia="Times New Roman" w:hAnsi="Garamond" w:cs="Times New Roman"/>
          <w:i/>
          <w:sz w:val="22"/>
          <w:szCs w:val="22"/>
        </w:rPr>
        <w:t xml:space="preserve">(должность лица, подписавшего заявление) </w:t>
      </w:r>
      <w:r w:rsidRPr="00A43635">
        <w:rPr>
          <w:rFonts w:ascii="Garamond" w:eastAsia="Times New Roman" w:hAnsi="Garamond" w:cs="Times New Roman"/>
          <w:i/>
          <w:sz w:val="22"/>
          <w:szCs w:val="22"/>
        </w:rPr>
        <w:tab/>
      </w:r>
      <w:r w:rsidRPr="00A43635">
        <w:rPr>
          <w:rFonts w:ascii="Garamond" w:eastAsia="Times New Roman" w:hAnsi="Garamond" w:cs="Times New Roman"/>
          <w:i/>
          <w:sz w:val="22"/>
          <w:szCs w:val="22"/>
        </w:rPr>
        <w:tab/>
      </w:r>
      <w:r w:rsidRPr="00A43635">
        <w:rPr>
          <w:rFonts w:ascii="Garamond" w:eastAsia="Times New Roman" w:hAnsi="Garamond" w:cs="Times New Roman"/>
          <w:i/>
          <w:sz w:val="22"/>
          <w:szCs w:val="22"/>
        </w:rPr>
        <w:tab/>
      </w:r>
      <w:r w:rsidRPr="00A43635">
        <w:rPr>
          <w:rFonts w:ascii="Garamond" w:eastAsia="Times New Roman" w:hAnsi="Garamond" w:cs="Times New Roman"/>
          <w:i/>
          <w:sz w:val="22"/>
          <w:szCs w:val="22"/>
        </w:rPr>
        <w:tab/>
      </w:r>
      <w:r w:rsidRPr="00A43635">
        <w:rPr>
          <w:rFonts w:ascii="Garamond" w:eastAsia="Times New Roman" w:hAnsi="Garamond" w:cs="Times New Roman"/>
          <w:i/>
          <w:sz w:val="22"/>
          <w:szCs w:val="22"/>
        </w:rPr>
        <w:tab/>
      </w:r>
      <w:r w:rsidR="00007119">
        <w:rPr>
          <w:rFonts w:ascii="Garamond" w:eastAsia="Times New Roman" w:hAnsi="Garamond" w:cs="Times New Roman"/>
          <w:i/>
          <w:sz w:val="22"/>
          <w:szCs w:val="22"/>
        </w:rPr>
        <w:tab/>
      </w:r>
      <w:r w:rsidR="00007119">
        <w:rPr>
          <w:rFonts w:ascii="Garamond" w:eastAsia="Times New Roman" w:hAnsi="Garamond" w:cs="Times New Roman"/>
          <w:i/>
          <w:sz w:val="22"/>
          <w:szCs w:val="22"/>
        </w:rPr>
        <w:tab/>
      </w:r>
      <w:r w:rsidR="00007119">
        <w:rPr>
          <w:rFonts w:ascii="Garamond" w:eastAsia="Times New Roman" w:hAnsi="Garamond" w:cs="Times New Roman"/>
          <w:i/>
          <w:sz w:val="22"/>
          <w:szCs w:val="22"/>
        </w:rPr>
        <w:tab/>
      </w:r>
      <w:r w:rsidRPr="00A43635">
        <w:rPr>
          <w:rFonts w:ascii="Garamond" w:eastAsia="Times New Roman" w:hAnsi="Garamond" w:cs="Times New Roman"/>
          <w:i/>
          <w:sz w:val="22"/>
          <w:szCs w:val="22"/>
        </w:rPr>
        <w:t>(Ф. И. О.)</w:t>
      </w:r>
    </w:p>
    <w:p w14:paraId="77561080" w14:textId="77777777" w:rsidR="00A43635" w:rsidRDefault="00A43635" w:rsidP="00D64294">
      <w:pPr>
        <w:keepNext/>
        <w:ind w:left="-142"/>
        <w:rPr>
          <w:rFonts w:ascii="Garamond" w:hAnsi="Garamond" w:cs="Calibri"/>
          <w:b/>
          <w:sz w:val="28"/>
          <w:szCs w:val="28"/>
          <w:lang w:eastAsia="en-US"/>
        </w:rPr>
      </w:pPr>
    </w:p>
    <w:p w14:paraId="3BC3F33D" w14:textId="77777777" w:rsidR="00A43635" w:rsidRDefault="00A43635" w:rsidP="00D64294">
      <w:pPr>
        <w:keepNext/>
        <w:ind w:left="-142"/>
        <w:rPr>
          <w:rFonts w:ascii="Garamond" w:hAnsi="Garamond" w:cs="Calibri"/>
          <w:b/>
          <w:sz w:val="28"/>
          <w:szCs w:val="28"/>
          <w:lang w:eastAsia="en-US"/>
        </w:rPr>
      </w:pPr>
    </w:p>
    <w:p w14:paraId="675744FF" w14:textId="77777777" w:rsidR="0078583E" w:rsidRDefault="0078583E" w:rsidP="00D64294">
      <w:pPr>
        <w:keepNext/>
        <w:ind w:left="-142"/>
        <w:rPr>
          <w:rFonts w:ascii="Garamond" w:hAnsi="Garamond" w:cs="Calibri"/>
          <w:b/>
          <w:sz w:val="28"/>
          <w:szCs w:val="28"/>
          <w:lang w:eastAsia="en-US"/>
        </w:rPr>
      </w:pPr>
    </w:p>
    <w:p w14:paraId="19FEE2AD" w14:textId="77777777" w:rsidR="00A43635" w:rsidRDefault="00A43635" w:rsidP="00D64294">
      <w:pPr>
        <w:keepNext/>
        <w:ind w:left="-142"/>
        <w:rPr>
          <w:rFonts w:ascii="Garamond" w:hAnsi="Garamond" w:cs="Calibri"/>
          <w:b/>
          <w:sz w:val="28"/>
          <w:szCs w:val="28"/>
          <w:lang w:eastAsia="en-US"/>
        </w:rPr>
      </w:pPr>
    </w:p>
    <w:p w14:paraId="624AB9DF" w14:textId="77777777" w:rsidR="00A43635" w:rsidRDefault="00A43635" w:rsidP="00D64294">
      <w:pPr>
        <w:keepNext/>
        <w:ind w:left="-142"/>
        <w:rPr>
          <w:rFonts w:ascii="Garamond" w:hAnsi="Garamond" w:cs="Calibri"/>
          <w:b/>
          <w:sz w:val="28"/>
          <w:szCs w:val="28"/>
          <w:lang w:eastAsia="en-US"/>
        </w:rPr>
      </w:pPr>
    </w:p>
    <w:p w14:paraId="67C99499" w14:textId="77777777" w:rsidR="00A43635" w:rsidRDefault="00A43635" w:rsidP="00D64294">
      <w:pPr>
        <w:keepNext/>
        <w:ind w:left="-142"/>
        <w:rPr>
          <w:rFonts w:ascii="Garamond" w:hAnsi="Garamond" w:cs="Calibri"/>
          <w:b/>
          <w:sz w:val="28"/>
          <w:szCs w:val="28"/>
          <w:lang w:eastAsia="en-US"/>
        </w:rPr>
      </w:pPr>
    </w:p>
    <w:p w14:paraId="3B56A3B3" w14:textId="77777777" w:rsidR="00A43635" w:rsidRDefault="00A43635" w:rsidP="00A43635">
      <w:pPr>
        <w:jc w:val="both"/>
        <w:rPr>
          <w:rFonts w:ascii="Garamond" w:hAnsi="Garamond"/>
          <w:b/>
          <w:sz w:val="22"/>
          <w:szCs w:val="22"/>
          <w:lang w:eastAsia="en-US"/>
        </w:rPr>
      </w:pPr>
    </w:p>
    <w:p w14:paraId="05D2D602" w14:textId="77777777" w:rsidR="00A43635" w:rsidRDefault="00A43635" w:rsidP="00A43635">
      <w:pPr>
        <w:jc w:val="both"/>
        <w:rPr>
          <w:rFonts w:ascii="Garamond" w:hAnsi="Garamond"/>
          <w:b/>
          <w:sz w:val="22"/>
          <w:szCs w:val="22"/>
          <w:lang w:eastAsia="en-US"/>
        </w:rPr>
      </w:pPr>
    </w:p>
    <w:p w14:paraId="0468C540" w14:textId="77777777" w:rsidR="00A43635" w:rsidRDefault="00A43635" w:rsidP="00A43635">
      <w:pPr>
        <w:jc w:val="both"/>
        <w:rPr>
          <w:rFonts w:ascii="Garamond" w:hAnsi="Garamond"/>
          <w:b/>
          <w:sz w:val="22"/>
          <w:szCs w:val="22"/>
          <w:lang w:eastAsia="en-US"/>
        </w:rPr>
      </w:pPr>
      <w:r w:rsidRPr="00BF646A">
        <w:rPr>
          <w:rFonts w:ascii="Garamond" w:hAnsi="Garamond"/>
          <w:b/>
          <w:sz w:val="22"/>
          <w:szCs w:val="22"/>
          <w:lang w:eastAsia="en-US"/>
        </w:rPr>
        <w:t>Предлагаемая редакция</w:t>
      </w:r>
      <w:r>
        <w:rPr>
          <w:rFonts w:ascii="Garamond" w:hAnsi="Garamond"/>
          <w:b/>
          <w:sz w:val="22"/>
          <w:szCs w:val="22"/>
          <w:lang w:eastAsia="en-US"/>
        </w:rPr>
        <w:t xml:space="preserve"> </w:t>
      </w:r>
    </w:p>
    <w:p w14:paraId="4263D668" w14:textId="77777777" w:rsidR="00A43635" w:rsidRPr="008F6CF9" w:rsidRDefault="00A43635" w:rsidP="00A43635">
      <w:pPr>
        <w:keepNext/>
        <w:tabs>
          <w:tab w:val="left" w:pos="708"/>
        </w:tabs>
        <w:spacing w:before="120" w:after="120"/>
        <w:ind w:left="1080" w:hanging="360"/>
        <w:jc w:val="right"/>
        <w:outlineLvl w:val="0"/>
        <w:rPr>
          <w:rFonts w:ascii="Garamond" w:eastAsia="Times New Roman" w:hAnsi="Garamond" w:cs="Arial"/>
          <w:b/>
          <w:sz w:val="22"/>
          <w:szCs w:val="22"/>
        </w:rPr>
      </w:pPr>
      <w:r w:rsidRPr="008F6CF9">
        <w:rPr>
          <w:rFonts w:ascii="Garamond" w:eastAsia="Times New Roman" w:hAnsi="Garamond" w:cs="Arial"/>
          <w:b/>
          <w:bCs/>
          <w:sz w:val="22"/>
          <w:szCs w:val="22"/>
        </w:rPr>
        <w:t>Приложение 1</w:t>
      </w:r>
    </w:p>
    <w:p w14:paraId="0B25296E" w14:textId="77777777" w:rsidR="00A43635" w:rsidRDefault="00A43635" w:rsidP="00A43635">
      <w:pPr>
        <w:jc w:val="both"/>
        <w:rPr>
          <w:rFonts w:ascii="Garamond" w:hAnsi="Garamond"/>
          <w:b/>
          <w:sz w:val="22"/>
          <w:szCs w:val="22"/>
          <w:lang w:eastAsia="en-US"/>
        </w:rPr>
      </w:pPr>
    </w:p>
    <w:p w14:paraId="2BB305AD" w14:textId="77777777" w:rsidR="00A43635" w:rsidRPr="00A43635" w:rsidRDefault="00A43635" w:rsidP="00A43635">
      <w:pPr>
        <w:keepNext/>
        <w:suppressAutoHyphens w:val="0"/>
        <w:ind w:left="851" w:hanging="709"/>
        <w:jc w:val="center"/>
        <w:outlineLvl w:val="0"/>
        <w:rPr>
          <w:rFonts w:ascii="Garamond" w:eastAsia="Times New Roman" w:hAnsi="Garamond" w:cs="Arial"/>
          <w:b/>
          <w:bCs/>
          <w:sz w:val="22"/>
          <w:szCs w:val="22"/>
        </w:rPr>
      </w:pPr>
      <w:r w:rsidRPr="00A43635">
        <w:rPr>
          <w:rFonts w:ascii="Garamond" w:eastAsia="Times New Roman" w:hAnsi="Garamond" w:cs="Arial"/>
          <w:b/>
          <w:bCs/>
          <w:sz w:val="22"/>
          <w:szCs w:val="22"/>
        </w:rPr>
        <w:t>Форма 1П</w:t>
      </w:r>
    </w:p>
    <w:p w14:paraId="0DED97D7" w14:textId="77777777" w:rsidR="00A43635" w:rsidRPr="00A43635" w:rsidRDefault="00A43635" w:rsidP="00A43635">
      <w:pPr>
        <w:suppressAutoHyphens w:val="0"/>
        <w:jc w:val="both"/>
        <w:rPr>
          <w:rFonts w:ascii="Garamond" w:eastAsia="Times New Roman" w:hAnsi="Garamond" w:cs="Times New Roman"/>
          <w:sz w:val="22"/>
          <w:szCs w:val="22"/>
        </w:rPr>
      </w:pPr>
    </w:p>
    <w:p w14:paraId="6EE6CC59" w14:textId="77777777" w:rsidR="00A43635" w:rsidRPr="00A43635" w:rsidRDefault="00A43635" w:rsidP="00A43635">
      <w:pPr>
        <w:suppressAutoHyphens w:val="0"/>
        <w:jc w:val="both"/>
        <w:rPr>
          <w:rFonts w:ascii="Garamond" w:eastAsia="Times New Roman" w:hAnsi="Garamond" w:cs="Times New Roman"/>
          <w:sz w:val="22"/>
          <w:szCs w:val="22"/>
        </w:rPr>
      </w:pPr>
      <w:r w:rsidRPr="00A43635">
        <w:rPr>
          <w:rFonts w:ascii="Garamond" w:eastAsia="Times New Roman" w:hAnsi="Garamond" w:cs="Times New Roman"/>
          <w:sz w:val="22"/>
          <w:szCs w:val="22"/>
        </w:rPr>
        <w:t xml:space="preserve">(на бланке заявителя) </w:t>
      </w:r>
    </w:p>
    <w:p w14:paraId="273A69D8" w14:textId="77777777" w:rsidR="00A43635" w:rsidRPr="00A43635" w:rsidRDefault="00A43635" w:rsidP="00A43635">
      <w:pPr>
        <w:suppressAutoHyphens w:val="0"/>
        <w:jc w:val="both"/>
        <w:rPr>
          <w:rFonts w:ascii="Garamond" w:eastAsia="Times New Roman" w:hAnsi="Garamond" w:cs="Times New Roman"/>
          <w:sz w:val="22"/>
          <w:szCs w:val="22"/>
        </w:rPr>
      </w:pPr>
    </w:p>
    <w:p w14:paraId="06FB5286" w14:textId="77777777" w:rsidR="00A43635" w:rsidRPr="00A43635" w:rsidRDefault="00A43635" w:rsidP="00A43635">
      <w:pPr>
        <w:suppressAutoHyphens w:val="0"/>
        <w:jc w:val="right"/>
        <w:rPr>
          <w:rFonts w:ascii="Garamond" w:eastAsia="Times New Roman" w:hAnsi="Garamond" w:cs="Times New Roman"/>
          <w:b/>
          <w:sz w:val="22"/>
          <w:szCs w:val="22"/>
        </w:rPr>
      </w:pPr>
      <w:r w:rsidRPr="00A43635">
        <w:rPr>
          <w:rFonts w:ascii="Garamond" w:eastAsia="Times New Roman" w:hAnsi="Garamond" w:cs="Times New Roman"/>
          <w:b/>
          <w:sz w:val="22"/>
          <w:szCs w:val="22"/>
        </w:rPr>
        <w:t xml:space="preserve">Председателю Правления </w:t>
      </w:r>
    </w:p>
    <w:p w14:paraId="729983FE" w14:textId="77777777" w:rsidR="00A43635" w:rsidRPr="00A43635" w:rsidRDefault="00A43635" w:rsidP="00A43635">
      <w:pPr>
        <w:suppressAutoHyphens w:val="0"/>
        <w:jc w:val="center"/>
        <w:rPr>
          <w:rFonts w:ascii="Garamond" w:eastAsia="Times New Roman" w:hAnsi="Garamond" w:cs="Times New Roman"/>
          <w:b/>
          <w:sz w:val="22"/>
          <w:szCs w:val="22"/>
        </w:rPr>
      </w:pPr>
      <w:r w:rsidRPr="00A43635">
        <w:rPr>
          <w:rFonts w:ascii="Garamond" w:eastAsia="Times New Roman" w:hAnsi="Garamond" w:cs="Times New Roman"/>
          <w:b/>
          <w:sz w:val="22"/>
          <w:szCs w:val="22"/>
        </w:rPr>
        <w:t xml:space="preserve">                                                                                               </w:t>
      </w:r>
      <w:r>
        <w:rPr>
          <w:rFonts w:ascii="Garamond" w:eastAsia="Times New Roman" w:hAnsi="Garamond" w:cs="Times New Roman"/>
          <w:b/>
          <w:sz w:val="22"/>
          <w:szCs w:val="22"/>
        </w:rPr>
        <w:tab/>
      </w:r>
      <w:r w:rsidRPr="00A43635">
        <w:rPr>
          <w:rFonts w:ascii="Garamond" w:eastAsia="Times New Roman" w:hAnsi="Garamond" w:cs="Times New Roman"/>
          <w:b/>
          <w:sz w:val="22"/>
          <w:szCs w:val="22"/>
        </w:rPr>
        <w:t xml:space="preserve"> АО «АТС»</w:t>
      </w:r>
    </w:p>
    <w:p w14:paraId="066992A6" w14:textId="77777777" w:rsidR="00A43635" w:rsidRPr="00A43635" w:rsidRDefault="00A43635" w:rsidP="00A43635">
      <w:pPr>
        <w:suppressAutoHyphens w:val="0"/>
        <w:jc w:val="both"/>
        <w:rPr>
          <w:rFonts w:ascii="Garamond" w:eastAsia="Times New Roman" w:hAnsi="Garamond" w:cs="Times New Roman"/>
          <w:sz w:val="22"/>
          <w:szCs w:val="22"/>
        </w:rPr>
      </w:pPr>
    </w:p>
    <w:p w14:paraId="1B2BA906" w14:textId="77777777" w:rsidR="00A43635" w:rsidRPr="00A43635" w:rsidRDefault="00A43635" w:rsidP="00A43635">
      <w:pPr>
        <w:suppressAutoHyphens w:val="0"/>
        <w:jc w:val="both"/>
        <w:rPr>
          <w:rFonts w:ascii="Garamond" w:eastAsia="Times New Roman" w:hAnsi="Garamond" w:cs="Times New Roman"/>
          <w:sz w:val="22"/>
          <w:szCs w:val="22"/>
        </w:rPr>
      </w:pPr>
      <w:r w:rsidRPr="00A43635">
        <w:rPr>
          <w:rFonts w:ascii="Garamond" w:eastAsia="Times New Roman" w:hAnsi="Garamond" w:cs="Times New Roman"/>
          <w:sz w:val="22"/>
          <w:szCs w:val="22"/>
        </w:rPr>
        <w:t>№ ____________________</w:t>
      </w:r>
    </w:p>
    <w:p w14:paraId="74FFFFED" w14:textId="77777777" w:rsidR="00A43635" w:rsidRPr="00A43635" w:rsidRDefault="00A43635" w:rsidP="00A43635">
      <w:pPr>
        <w:suppressAutoHyphens w:val="0"/>
        <w:jc w:val="both"/>
        <w:rPr>
          <w:rFonts w:ascii="Garamond" w:eastAsia="Times New Roman" w:hAnsi="Garamond" w:cs="Times New Roman"/>
          <w:sz w:val="22"/>
          <w:szCs w:val="22"/>
        </w:rPr>
      </w:pPr>
      <w:r w:rsidRPr="00A43635">
        <w:rPr>
          <w:rFonts w:ascii="Garamond" w:eastAsia="Times New Roman" w:hAnsi="Garamond" w:cs="Times New Roman"/>
          <w:sz w:val="22"/>
          <w:szCs w:val="22"/>
        </w:rPr>
        <w:t>«___» ___________20 ___ г.</w:t>
      </w:r>
    </w:p>
    <w:p w14:paraId="1C0A2282" w14:textId="77777777" w:rsidR="00A43635" w:rsidRPr="00A43635" w:rsidRDefault="00A43635" w:rsidP="00A43635">
      <w:pPr>
        <w:suppressAutoHyphens w:val="0"/>
        <w:jc w:val="center"/>
        <w:rPr>
          <w:rFonts w:ascii="Garamond" w:eastAsia="Times New Roman" w:hAnsi="Garamond" w:cs="Times New Roman"/>
          <w:b/>
          <w:sz w:val="22"/>
          <w:szCs w:val="22"/>
        </w:rPr>
      </w:pPr>
    </w:p>
    <w:p w14:paraId="4BDA8EFF" w14:textId="77777777" w:rsidR="00A43635" w:rsidRPr="00A43635" w:rsidRDefault="00A43635" w:rsidP="00A43635">
      <w:pPr>
        <w:suppressAutoHyphens w:val="0"/>
        <w:jc w:val="right"/>
        <w:rPr>
          <w:rFonts w:ascii="Garamond" w:eastAsia="Times New Roman" w:hAnsi="Garamond" w:cs="Times New Roman"/>
          <w:sz w:val="22"/>
          <w:szCs w:val="22"/>
        </w:rPr>
      </w:pPr>
    </w:p>
    <w:p w14:paraId="1AACA834" w14:textId="77777777" w:rsidR="00A43635" w:rsidRPr="00A43635" w:rsidRDefault="00A43635" w:rsidP="00A43635">
      <w:pPr>
        <w:suppressAutoHyphens w:val="0"/>
        <w:jc w:val="right"/>
        <w:rPr>
          <w:rFonts w:ascii="Garamond" w:eastAsia="Times New Roman" w:hAnsi="Garamond" w:cs="Times New Roman"/>
          <w:sz w:val="22"/>
          <w:szCs w:val="22"/>
        </w:rPr>
      </w:pPr>
    </w:p>
    <w:p w14:paraId="6CBD8504" w14:textId="77777777" w:rsidR="00A43635" w:rsidRPr="00A43635" w:rsidRDefault="00A43635" w:rsidP="00A43635">
      <w:pPr>
        <w:suppressAutoHyphens w:val="0"/>
        <w:jc w:val="right"/>
        <w:rPr>
          <w:rFonts w:ascii="Garamond" w:eastAsia="Times New Roman" w:hAnsi="Garamond" w:cs="Times New Roman"/>
          <w:sz w:val="22"/>
          <w:szCs w:val="22"/>
        </w:rPr>
      </w:pPr>
    </w:p>
    <w:p w14:paraId="3DA4D826" w14:textId="77777777" w:rsidR="00A43635" w:rsidRPr="00A43635" w:rsidRDefault="00A43635" w:rsidP="00A43635">
      <w:pPr>
        <w:suppressAutoHyphens w:val="0"/>
        <w:jc w:val="center"/>
        <w:rPr>
          <w:rFonts w:ascii="Garamond" w:eastAsia="Times New Roman" w:hAnsi="Garamond" w:cs="Times New Roman"/>
          <w:b/>
          <w:sz w:val="22"/>
          <w:szCs w:val="22"/>
        </w:rPr>
      </w:pPr>
      <w:r w:rsidRPr="00A43635">
        <w:rPr>
          <w:rFonts w:ascii="Garamond" w:eastAsia="Times New Roman" w:hAnsi="Garamond" w:cs="Times New Roman"/>
          <w:b/>
          <w:sz w:val="22"/>
          <w:szCs w:val="22"/>
        </w:rPr>
        <w:t>ЗАЯВЛЕНИЕ</w:t>
      </w:r>
    </w:p>
    <w:p w14:paraId="780500A5" w14:textId="77777777" w:rsidR="00A43635" w:rsidRPr="00A43635" w:rsidRDefault="00A43635" w:rsidP="00A43635">
      <w:pPr>
        <w:suppressAutoHyphens w:val="0"/>
        <w:jc w:val="center"/>
        <w:rPr>
          <w:rFonts w:ascii="Garamond" w:eastAsia="Times New Roman" w:hAnsi="Garamond" w:cs="Times New Roman"/>
          <w:b/>
          <w:sz w:val="22"/>
          <w:szCs w:val="22"/>
        </w:rPr>
      </w:pPr>
      <w:r w:rsidRPr="00A43635">
        <w:rPr>
          <w:rFonts w:ascii="Garamond" w:eastAsia="Times New Roman" w:hAnsi="Garamond" w:cs="Times New Roman"/>
          <w:b/>
          <w:sz w:val="22"/>
          <w:szCs w:val="22"/>
        </w:rPr>
        <w:t xml:space="preserve">о прекращении процедуры </w:t>
      </w:r>
    </w:p>
    <w:p w14:paraId="72F6A7C9" w14:textId="77777777" w:rsidR="00A43635" w:rsidRPr="00A43635" w:rsidRDefault="00A43635" w:rsidP="00A43635">
      <w:pPr>
        <w:suppressAutoHyphens w:val="0"/>
        <w:jc w:val="both"/>
        <w:rPr>
          <w:rFonts w:ascii="Garamond" w:eastAsia="Times New Roman" w:hAnsi="Garamond" w:cs="Times New Roman"/>
          <w:sz w:val="22"/>
          <w:szCs w:val="22"/>
        </w:rPr>
      </w:pPr>
    </w:p>
    <w:p w14:paraId="7B8FAEF2" w14:textId="77777777" w:rsidR="00A43635" w:rsidRPr="00A43635" w:rsidRDefault="00A43635" w:rsidP="00A43635">
      <w:pPr>
        <w:suppressAutoHyphens w:val="0"/>
        <w:spacing w:line="360" w:lineRule="auto"/>
        <w:ind w:firstLine="426"/>
        <w:jc w:val="both"/>
        <w:rPr>
          <w:rFonts w:ascii="Garamond" w:eastAsia="Times New Roman" w:hAnsi="Garamond" w:cs="Times New Roman"/>
          <w:sz w:val="22"/>
          <w:szCs w:val="22"/>
        </w:rPr>
      </w:pPr>
      <w:r w:rsidRPr="00A43635">
        <w:rPr>
          <w:rFonts w:ascii="Garamond" w:eastAsia="Times New Roman" w:hAnsi="Garamond" w:cs="Times New Roman"/>
          <w:sz w:val="22"/>
          <w:szCs w:val="22"/>
        </w:rPr>
        <w:t xml:space="preserve">Прошу прекратить процедуру </w:t>
      </w:r>
      <w:r w:rsidRPr="00A43635">
        <w:rPr>
          <w:rFonts w:ascii="Garamond" w:eastAsia="Times New Roman" w:hAnsi="Garamond" w:cs="Times New Roman"/>
          <w:i/>
          <w:sz w:val="22"/>
          <w:szCs w:val="22"/>
        </w:rPr>
        <w:t>(выбрать одну из нижеперечисленных процедур)</w:t>
      </w:r>
      <w:r w:rsidRPr="00A43635">
        <w:rPr>
          <w:rFonts w:ascii="Garamond" w:eastAsia="Times New Roman" w:hAnsi="Garamond" w:cs="Times New Roman"/>
          <w:sz w:val="22"/>
          <w:szCs w:val="22"/>
        </w:rPr>
        <w:t xml:space="preserve">: </w:t>
      </w:r>
    </w:p>
    <w:p w14:paraId="52376D87" w14:textId="77777777" w:rsidR="00A43635" w:rsidRPr="00A43635" w:rsidRDefault="00A43635" w:rsidP="00A43635">
      <w:pPr>
        <w:suppressAutoHyphens w:val="0"/>
        <w:spacing w:line="360" w:lineRule="auto"/>
        <w:ind w:firstLine="426"/>
        <w:jc w:val="both"/>
        <w:rPr>
          <w:rFonts w:ascii="Garamond" w:eastAsia="Times New Roman" w:hAnsi="Garamond" w:cs="Times New Roman"/>
          <w:sz w:val="22"/>
          <w:szCs w:val="22"/>
          <w:u w:val="single"/>
        </w:rPr>
      </w:pPr>
      <w:r w:rsidRPr="00A43635">
        <w:rPr>
          <w:rFonts w:ascii="Garamond" w:eastAsia="Times New Roman" w:hAnsi="Garamond" w:cs="Times New Roman"/>
          <w:sz w:val="22"/>
          <w:szCs w:val="22"/>
        </w:rPr>
        <w:t>– </w:t>
      </w:r>
      <w:r w:rsidRPr="00A43635">
        <w:rPr>
          <w:rFonts w:ascii="Garamond" w:eastAsia="Times New Roman" w:hAnsi="Garamond" w:cs="Times New Roman"/>
          <w:sz w:val="22"/>
          <w:szCs w:val="22"/>
          <w:u w:val="single"/>
        </w:rPr>
        <w:t xml:space="preserve">согласования ГТП (сечения коммерческого учета ФСК, сечения экспорта-импорта) и регистрации ПСИ </w:t>
      </w:r>
    </w:p>
    <w:p w14:paraId="3371B85F" w14:textId="77777777" w:rsidR="00A43635" w:rsidRPr="00A43635" w:rsidRDefault="00A43635" w:rsidP="00A43635">
      <w:pPr>
        <w:suppressAutoHyphens w:val="0"/>
        <w:spacing w:line="360" w:lineRule="auto"/>
        <w:ind w:firstLine="426"/>
        <w:jc w:val="both"/>
        <w:rPr>
          <w:rFonts w:ascii="Garamond" w:eastAsia="Times New Roman" w:hAnsi="Garamond" w:cs="Times New Roman"/>
          <w:sz w:val="22"/>
          <w:szCs w:val="22"/>
          <w:u w:val="single"/>
        </w:rPr>
      </w:pPr>
      <w:r w:rsidRPr="00A43635">
        <w:rPr>
          <w:rFonts w:ascii="Garamond" w:eastAsia="Times New Roman" w:hAnsi="Garamond" w:cs="Times New Roman"/>
          <w:sz w:val="22"/>
          <w:szCs w:val="22"/>
        </w:rPr>
        <w:t>– </w:t>
      </w:r>
      <w:r w:rsidRPr="00A43635">
        <w:rPr>
          <w:rFonts w:ascii="Garamond" w:eastAsia="Times New Roman" w:hAnsi="Garamond" w:cs="Times New Roman"/>
          <w:sz w:val="22"/>
          <w:szCs w:val="22"/>
          <w:u w:val="single"/>
        </w:rPr>
        <w:t>внесения изменений в регистрационную информацию по ГТП (сечению коммерческого учета ФСК, сечению экспорта-импорта)</w:t>
      </w:r>
    </w:p>
    <w:p w14:paraId="2CBAF6AB" w14:textId="77777777" w:rsidR="00A43635" w:rsidRPr="00A43635" w:rsidRDefault="00A43635" w:rsidP="00A43635">
      <w:pPr>
        <w:suppressAutoHyphens w:val="0"/>
        <w:spacing w:line="360" w:lineRule="auto"/>
        <w:ind w:firstLine="426"/>
        <w:jc w:val="both"/>
        <w:rPr>
          <w:rFonts w:ascii="Garamond" w:eastAsia="Times New Roman" w:hAnsi="Garamond" w:cs="Times New Roman"/>
          <w:sz w:val="22"/>
          <w:szCs w:val="22"/>
          <w:u w:val="single"/>
        </w:rPr>
      </w:pPr>
      <w:r w:rsidRPr="00A43635">
        <w:rPr>
          <w:rFonts w:ascii="Garamond" w:eastAsia="Times New Roman" w:hAnsi="Garamond" w:cs="Times New Roman"/>
          <w:sz w:val="22"/>
          <w:szCs w:val="22"/>
        </w:rPr>
        <w:t>– </w:t>
      </w:r>
      <w:r w:rsidRPr="00A43635">
        <w:rPr>
          <w:rFonts w:ascii="Garamond" w:eastAsia="Times New Roman" w:hAnsi="Garamond" w:cs="Times New Roman"/>
          <w:sz w:val="22"/>
          <w:szCs w:val="22"/>
          <w:u w:val="single"/>
        </w:rPr>
        <w:t>согласования временного сечения коммерческого учета и регистрации ПСИ</w:t>
      </w:r>
    </w:p>
    <w:p w14:paraId="1B95D604" w14:textId="77777777" w:rsidR="00A43635" w:rsidRPr="00A43635" w:rsidRDefault="00A43635" w:rsidP="00A43635">
      <w:pPr>
        <w:suppressAutoHyphens w:val="0"/>
        <w:spacing w:line="360" w:lineRule="auto"/>
        <w:ind w:firstLine="426"/>
        <w:jc w:val="both"/>
        <w:rPr>
          <w:rFonts w:ascii="Garamond" w:eastAsia="Times New Roman" w:hAnsi="Garamond" w:cs="Times New Roman"/>
          <w:sz w:val="22"/>
          <w:szCs w:val="22"/>
          <w:u w:val="single"/>
        </w:rPr>
      </w:pPr>
      <w:r w:rsidRPr="00A43635">
        <w:rPr>
          <w:rFonts w:ascii="Garamond" w:eastAsia="Times New Roman" w:hAnsi="Garamond" w:cs="Times New Roman"/>
          <w:sz w:val="22"/>
          <w:szCs w:val="22"/>
        </w:rPr>
        <w:t xml:space="preserve">– </w:t>
      </w:r>
      <w:r w:rsidRPr="00A43635">
        <w:rPr>
          <w:rFonts w:ascii="Garamond" w:eastAsia="Times New Roman" w:hAnsi="Garamond" w:cs="Times New Roman"/>
          <w:sz w:val="22"/>
          <w:szCs w:val="22"/>
          <w:u w:val="single"/>
        </w:rPr>
        <w:t>регистрации ПСИ (подп. «а» пп. 2.6.9, 4.2.3, 4.2.5, 4.4.1 Положения о порядке получения статуса субъекта оптового рынка и ведения реестра субъектов оптового рынка)</w:t>
      </w:r>
    </w:p>
    <w:p w14:paraId="5E400D66" w14:textId="77777777" w:rsidR="00A43635" w:rsidRPr="00A43635" w:rsidRDefault="00A43635" w:rsidP="00A43635">
      <w:pPr>
        <w:suppressAutoHyphens w:val="0"/>
        <w:spacing w:line="360" w:lineRule="auto"/>
        <w:ind w:firstLine="426"/>
        <w:jc w:val="both"/>
        <w:rPr>
          <w:rFonts w:ascii="Garamond" w:eastAsia="Times New Roman" w:hAnsi="Garamond" w:cs="Times New Roman"/>
          <w:sz w:val="22"/>
          <w:szCs w:val="22"/>
          <w:u w:val="single"/>
        </w:rPr>
      </w:pPr>
      <w:r w:rsidRPr="00A43635">
        <w:rPr>
          <w:rFonts w:ascii="Garamond" w:eastAsia="Times New Roman" w:hAnsi="Garamond" w:cs="Times New Roman"/>
          <w:sz w:val="22"/>
          <w:szCs w:val="22"/>
        </w:rPr>
        <w:t xml:space="preserve">– </w:t>
      </w:r>
      <w:r w:rsidRPr="00A43635">
        <w:rPr>
          <w:rFonts w:ascii="Garamond" w:eastAsia="Times New Roman" w:hAnsi="Garamond" w:cs="Times New Roman"/>
          <w:sz w:val="22"/>
          <w:szCs w:val="22"/>
          <w:u w:val="single"/>
        </w:rPr>
        <w:t>предоставления права участия в торговле электрической энергией и (или) мощностью на оптовом рынке,</w:t>
      </w:r>
    </w:p>
    <w:p w14:paraId="5A4EF9DD" w14:textId="77777777" w:rsidR="00A43635" w:rsidRDefault="00A43635" w:rsidP="00A43635">
      <w:pPr>
        <w:suppressAutoHyphens w:val="0"/>
        <w:spacing w:line="360" w:lineRule="auto"/>
        <w:ind w:firstLine="426"/>
        <w:jc w:val="both"/>
        <w:rPr>
          <w:rFonts w:ascii="Garamond" w:eastAsia="Times New Roman" w:hAnsi="Garamond" w:cs="Times New Roman"/>
          <w:sz w:val="22"/>
          <w:szCs w:val="22"/>
          <w:u w:val="single"/>
        </w:rPr>
      </w:pPr>
      <w:r w:rsidRPr="00A43635">
        <w:rPr>
          <w:rFonts w:ascii="Garamond" w:eastAsia="Times New Roman" w:hAnsi="Garamond" w:cs="Times New Roman"/>
          <w:sz w:val="22"/>
          <w:szCs w:val="22"/>
        </w:rPr>
        <w:t xml:space="preserve">– </w:t>
      </w:r>
      <w:r w:rsidRPr="00A43635">
        <w:rPr>
          <w:rFonts w:ascii="Garamond" w:eastAsia="Times New Roman" w:hAnsi="Garamond" w:cs="Calibri"/>
          <w:sz w:val="22"/>
          <w:szCs w:val="22"/>
          <w:u w:val="single"/>
        </w:rPr>
        <w:t>присвоения статуса субъекта оптового рынка электрической энергии и включения в Реестр субъектов оптового рынка</w:t>
      </w:r>
      <w:r w:rsidRPr="00A43635">
        <w:rPr>
          <w:rFonts w:ascii="Garamond" w:eastAsia="Times New Roman" w:hAnsi="Garamond" w:cs="Times New Roman"/>
          <w:sz w:val="22"/>
          <w:szCs w:val="22"/>
          <w:u w:val="single"/>
        </w:rPr>
        <w:t>,</w:t>
      </w:r>
    </w:p>
    <w:p w14:paraId="22D47E23" w14:textId="25E4B0FA" w:rsidR="00A43635" w:rsidRPr="00A43635" w:rsidRDefault="00AD67C2" w:rsidP="00A43635">
      <w:pPr>
        <w:suppressAutoHyphens w:val="0"/>
        <w:spacing w:line="360" w:lineRule="auto"/>
        <w:ind w:firstLine="426"/>
        <w:jc w:val="both"/>
        <w:rPr>
          <w:rFonts w:ascii="Garamond" w:eastAsia="Times New Roman" w:hAnsi="Garamond" w:cs="Times New Roman"/>
          <w:sz w:val="22"/>
          <w:szCs w:val="22"/>
        </w:rPr>
      </w:pPr>
      <w:r w:rsidRPr="00AD67C2">
        <w:rPr>
          <w:rFonts w:ascii="Garamond" w:eastAsia="Times New Roman" w:hAnsi="Garamond" w:cs="Times New Roman"/>
          <w:sz w:val="22"/>
          <w:szCs w:val="22"/>
          <w:highlight w:val="yellow"/>
        </w:rPr>
        <w:t>–</w:t>
      </w:r>
      <w:r w:rsidR="00A43635" w:rsidRPr="00AD67C2">
        <w:rPr>
          <w:rFonts w:ascii="Garamond" w:eastAsia="Times New Roman" w:hAnsi="Garamond" w:cs="Times New Roman"/>
          <w:sz w:val="22"/>
          <w:szCs w:val="22"/>
          <w:highlight w:val="yellow"/>
        </w:rPr>
        <w:t xml:space="preserve"> </w:t>
      </w:r>
      <w:r w:rsidR="00A43635" w:rsidRPr="00BD1427">
        <w:rPr>
          <w:rFonts w:ascii="Garamond" w:eastAsia="Times New Roman" w:hAnsi="Garamond" w:cs="Times New Roman"/>
          <w:sz w:val="22"/>
          <w:szCs w:val="22"/>
          <w:highlight w:val="yellow"/>
          <w:u w:val="single"/>
        </w:rPr>
        <w:t>регистрации объекта р</w:t>
      </w:r>
      <w:r w:rsidR="009B069C">
        <w:rPr>
          <w:rFonts w:ascii="Garamond" w:eastAsia="Times New Roman" w:hAnsi="Garamond" w:cs="Times New Roman"/>
          <w:sz w:val="22"/>
          <w:szCs w:val="22"/>
          <w:highlight w:val="yellow"/>
          <w:u w:val="single"/>
        </w:rPr>
        <w:t>егулирования</w:t>
      </w:r>
      <w:r w:rsidR="009B069C">
        <w:rPr>
          <w:rFonts w:ascii="Garamond" w:eastAsia="Times New Roman" w:hAnsi="Garamond" w:cs="Times New Roman"/>
          <w:sz w:val="22"/>
          <w:szCs w:val="22"/>
          <w:u w:val="single"/>
        </w:rPr>
        <w:t>,</w:t>
      </w:r>
      <w:r w:rsidR="00A43635">
        <w:rPr>
          <w:rFonts w:ascii="Garamond" w:eastAsia="Times New Roman" w:hAnsi="Garamond" w:cs="Times New Roman"/>
          <w:sz w:val="22"/>
          <w:szCs w:val="22"/>
          <w:u w:val="single"/>
        </w:rPr>
        <w:t xml:space="preserve"> </w:t>
      </w:r>
    </w:p>
    <w:p w14:paraId="4CF7B8F0" w14:textId="77777777" w:rsidR="00A43635" w:rsidRPr="00A43635" w:rsidRDefault="00A43635" w:rsidP="00A43635">
      <w:pPr>
        <w:suppressAutoHyphens w:val="0"/>
        <w:spacing w:line="360" w:lineRule="auto"/>
        <w:jc w:val="both"/>
        <w:rPr>
          <w:rFonts w:ascii="Garamond" w:eastAsia="Times New Roman" w:hAnsi="Garamond" w:cs="Times New Roman"/>
          <w:i/>
          <w:sz w:val="22"/>
          <w:szCs w:val="22"/>
        </w:rPr>
      </w:pPr>
    </w:p>
    <w:p w14:paraId="567EC02E" w14:textId="77777777" w:rsidR="00A43635" w:rsidRPr="00A43635" w:rsidRDefault="00A43635" w:rsidP="00A43635">
      <w:pPr>
        <w:suppressAutoHyphens w:val="0"/>
        <w:spacing w:line="360" w:lineRule="auto"/>
        <w:jc w:val="both"/>
        <w:rPr>
          <w:rFonts w:ascii="Garamond" w:eastAsia="Times New Roman" w:hAnsi="Garamond" w:cs="Times New Roman"/>
          <w:sz w:val="22"/>
          <w:szCs w:val="22"/>
        </w:rPr>
      </w:pPr>
      <w:r w:rsidRPr="00A43635">
        <w:rPr>
          <w:rFonts w:ascii="Garamond" w:eastAsia="Times New Roman" w:hAnsi="Garamond" w:cs="Times New Roman"/>
          <w:sz w:val="22"/>
          <w:szCs w:val="22"/>
        </w:rPr>
        <w:t>инициированную на основании заявления вх. № ____________ от ______________.</w:t>
      </w:r>
    </w:p>
    <w:p w14:paraId="579F7B41" w14:textId="77777777" w:rsidR="00A43635" w:rsidRPr="00A43635" w:rsidRDefault="00A43635" w:rsidP="00A43635">
      <w:pPr>
        <w:suppressAutoHyphens w:val="0"/>
        <w:ind w:left="4677" w:firstLine="279"/>
        <w:jc w:val="both"/>
        <w:rPr>
          <w:rFonts w:ascii="Garamond" w:eastAsia="Times New Roman" w:hAnsi="Garamond" w:cs="Times New Roman"/>
          <w:i/>
          <w:sz w:val="22"/>
          <w:szCs w:val="22"/>
        </w:rPr>
      </w:pPr>
      <w:r w:rsidRPr="00A43635">
        <w:rPr>
          <w:rFonts w:ascii="Garamond" w:eastAsia="Times New Roman" w:hAnsi="Garamond" w:cs="Times New Roman"/>
          <w:i/>
          <w:sz w:val="22"/>
          <w:szCs w:val="22"/>
        </w:rPr>
        <w:t>(входящий номер заявления в КО)</w:t>
      </w:r>
    </w:p>
    <w:p w14:paraId="1C483E96" w14:textId="77777777" w:rsidR="00A43635" w:rsidRPr="00A43635" w:rsidRDefault="00A43635" w:rsidP="00A43635">
      <w:pPr>
        <w:suppressAutoHyphens w:val="0"/>
        <w:jc w:val="both"/>
        <w:rPr>
          <w:rFonts w:ascii="Garamond" w:eastAsia="Times New Roman" w:hAnsi="Garamond" w:cs="Times New Roman"/>
          <w:sz w:val="22"/>
          <w:szCs w:val="22"/>
        </w:rPr>
      </w:pPr>
    </w:p>
    <w:p w14:paraId="1A95CF65" w14:textId="77777777" w:rsidR="00A43635" w:rsidRPr="00A43635" w:rsidRDefault="00A43635" w:rsidP="00A43635">
      <w:pPr>
        <w:suppressAutoHyphens w:val="0"/>
        <w:spacing w:beforeAutospacing="1"/>
        <w:jc w:val="both"/>
        <w:rPr>
          <w:rFonts w:ascii="Garamond" w:eastAsia="Times New Roman" w:hAnsi="Garamond" w:cs="Times New Roman"/>
          <w:bCs/>
          <w:sz w:val="22"/>
          <w:szCs w:val="22"/>
        </w:rPr>
      </w:pPr>
      <w:r w:rsidRPr="00A43635">
        <w:rPr>
          <w:rFonts w:ascii="Garamond" w:eastAsia="Times New Roman" w:hAnsi="Garamond" w:cs="Times New Roman"/>
          <w:bCs/>
          <w:sz w:val="22"/>
          <w:szCs w:val="22"/>
        </w:rPr>
        <w:t xml:space="preserve">        ________________________________</w:t>
      </w:r>
      <w:r w:rsidRPr="00A43635">
        <w:rPr>
          <w:rFonts w:ascii="Garamond" w:eastAsia="Times New Roman" w:hAnsi="Garamond" w:cs="Times New Roman"/>
          <w:bCs/>
          <w:sz w:val="22"/>
          <w:szCs w:val="22"/>
        </w:rPr>
        <w:tab/>
      </w:r>
      <w:r w:rsidRPr="00A43635">
        <w:rPr>
          <w:rFonts w:ascii="Garamond" w:eastAsia="Times New Roman" w:hAnsi="Garamond" w:cs="Times New Roman"/>
          <w:bCs/>
          <w:sz w:val="22"/>
          <w:szCs w:val="22"/>
        </w:rPr>
        <w:tab/>
        <w:t xml:space="preserve">                                     ___________________</w:t>
      </w:r>
    </w:p>
    <w:p w14:paraId="00421370" w14:textId="77777777" w:rsidR="00A43635" w:rsidRPr="00A43635" w:rsidRDefault="00A43635" w:rsidP="00A43635">
      <w:pPr>
        <w:suppressAutoHyphens w:val="0"/>
        <w:spacing w:before="120" w:after="120"/>
        <w:ind w:firstLine="567"/>
        <w:jc w:val="both"/>
        <w:rPr>
          <w:rFonts w:ascii="Garamond" w:eastAsia="Times New Roman" w:hAnsi="Garamond" w:cs="Times New Roman"/>
          <w:i/>
          <w:sz w:val="22"/>
          <w:szCs w:val="22"/>
        </w:rPr>
      </w:pPr>
      <w:r w:rsidRPr="00A43635">
        <w:rPr>
          <w:rFonts w:ascii="Garamond" w:eastAsia="Times New Roman" w:hAnsi="Garamond" w:cs="Times New Roman"/>
          <w:i/>
          <w:sz w:val="22"/>
          <w:szCs w:val="22"/>
        </w:rPr>
        <w:t xml:space="preserve">(должность лица, подписавшего заявление) </w:t>
      </w:r>
      <w:r w:rsidRPr="00A43635">
        <w:rPr>
          <w:rFonts w:ascii="Garamond" w:eastAsia="Times New Roman" w:hAnsi="Garamond" w:cs="Times New Roman"/>
          <w:i/>
          <w:sz w:val="22"/>
          <w:szCs w:val="22"/>
        </w:rPr>
        <w:tab/>
      </w:r>
      <w:r w:rsidRPr="00A43635">
        <w:rPr>
          <w:rFonts w:ascii="Garamond" w:eastAsia="Times New Roman" w:hAnsi="Garamond" w:cs="Times New Roman"/>
          <w:i/>
          <w:sz w:val="22"/>
          <w:szCs w:val="22"/>
        </w:rPr>
        <w:tab/>
      </w:r>
      <w:r w:rsidRPr="00A43635">
        <w:rPr>
          <w:rFonts w:ascii="Garamond" w:eastAsia="Times New Roman" w:hAnsi="Garamond" w:cs="Times New Roman"/>
          <w:i/>
          <w:sz w:val="22"/>
          <w:szCs w:val="22"/>
        </w:rPr>
        <w:tab/>
      </w:r>
      <w:r w:rsidRPr="00A43635">
        <w:rPr>
          <w:rFonts w:ascii="Garamond" w:eastAsia="Times New Roman" w:hAnsi="Garamond" w:cs="Times New Roman"/>
          <w:i/>
          <w:sz w:val="22"/>
          <w:szCs w:val="22"/>
        </w:rPr>
        <w:tab/>
      </w:r>
      <w:r w:rsidRPr="00A43635">
        <w:rPr>
          <w:rFonts w:ascii="Garamond" w:eastAsia="Times New Roman" w:hAnsi="Garamond" w:cs="Times New Roman"/>
          <w:i/>
          <w:sz w:val="22"/>
          <w:szCs w:val="22"/>
        </w:rPr>
        <w:tab/>
      </w:r>
      <w:r w:rsidR="00007119">
        <w:rPr>
          <w:rFonts w:ascii="Garamond" w:eastAsia="Times New Roman" w:hAnsi="Garamond" w:cs="Times New Roman"/>
          <w:i/>
          <w:sz w:val="22"/>
          <w:szCs w:val="22"/>
        </w:rPr>
        <w:tab/>
      </w:r>
      <w:r w:rsidR="00007119">
        <w:rPr>
          <w:rFonts w:ascii="Garamond" w:eastAsia="Times New Roman" w:hAnsi="Garamond" w:cs="Times New Roman"/>
          <w:i/>
          <w:sz w:val="22"/>
          <w:szCs w:val="22"/>
        </w:rPr>
        <w:tab/>
      </w:r>
      <w:r w:rsidR="00007119">
        <w:rPr>
          <w:rFonts w:ascii="Garamond" w:eastAsia="Times New Roman" w:hAnsi="Garamond" w:cs="Times New Roman"/>
          <w:i/>
          <w:sz w:val="22"/>
          <w:szCs w:val="22"/>
        </w:rPr>
        <w:tab/>
      </w:r>
      <w:r w:rsidRPr="00A43635">
        <w:rPr>
          <w:rFonts w:ascii="Garamond" w:eastAsia="Times New Roman" w:hAnsi="Garamond" w:cs="Times New Roman"/>
          <w:i/>
          <w:sz w:val="22"/>
          <w:szCs w:val="22"/>
        </w:rPr>
        <w:t>(Ф. И. О.)</w:t>
      </w:r>
    </w:p>
    <w:p w14:paraId="01F05694" w14:textId="77777777" w:rsidR="001333B2" w:rsidRDefault="001333B2">
      <w:pPr>
        <w:suppressAutoHyphens w:val="0"/>
        <w:spacing w:after="160" w:line="259" w:lineRule="auto"/>
        <w:rPr>
          <w:rFonts w:ascii="Garamond" w:hAnsi="Garamond" w:cs="Calibri"/>
          <w:b/>
          <w:sz w:val="28"/>
          <w:szCs w:val="28"/>
          <w:lang w:eastAsia="en-US"/>
        </w:rPr>
      </w:pPr>
      <w:r>
        <w:rPr>
          <w:rFonts w:ascii="Garamond" w:hAnsi="Garamond" w:cs="Calibri"/>
          <w:b/>
          <w:sz w:val="28"/>
          <w:szCs w:val="28"/>
          <w:lang w:eastAsia="en-US"/>
        </w:rPr>
        <w:br w:type="page"/>
      </w:r>
    </w:p>
    <w:p w14:paraId="7C3629A8" w14:textId="35B029DB" w:rsidR="001333B2" w:rsidRDefault="001333B2" w:rsidP="001333B2">
      <w:pPr>
        <w:keepNext/>
        <w:suppressAutoHyphens w:val="0"/>
        <w:spacing w:line="360" w:lineRule="auto"/>
        <w:outlineLvl w:val="0"/>
        <w:rPr>
          <w:rFonts w:ascii="Garamond" w:eastAsia="Times New Roman" w:hAnsi="Garamond" w:cs="Arial"/>
          <w:b/>
          <w:bCs/>
          <w:sz w:val="22"/>
          <w:szCs w:val="22"/>
        </w:rPr>
      </w:pPr>
      <w:bookmarkStart w:id="33" w:name="_Приложение_9"/>
      <w:bookmarkStart w:id="34" w:name="_Toc139051328"/>
      <w:bookmarkEnd w:id="33"/>
      <w:r>
        <w:rPr>
          <w:rFonts w:ascii="Garamond" w:eastAsia="Times New Roman" w:hAnsi="Garamond" w:cs="Arial"/>
          <w:b/>
          <w:bCs/>
          <w:sz w:val="22"/>
          <w:szCs w:val="22"/>
        </w:rPr>
        <w:lastRenderedPageBreak/>
        <w:t>Добавить приложение</w:t>
      </w:r>
    </w:p>
    <w:p w14:paraId="44E8FB98" w14:textId="77777777" w:rsidR="001333B2" w:rsidRPr="00AD67C2" w:rsidRDefault="001333B2" w:rsidP="00AD67C2">
      <w:pPr>
        <w:keepNext/>
        <w:suppressAutoHyphens w:val="0"/>
        <w:spacing w:before="120" w:after="120" w:line="360" w:lineRule="auto"/>
        <w:ind w:left="2318"/>
        <w:jc w:val="right"/>
        <w:outlineLvl w:val="0"/>
        <w:rPr>
          <w:rFonts w:ascii="Garamond" w:eastAsia="Times New Roman" w:hAnsi="Garamond" w:cs="Arial"/>
          <w:b/>
          <w:bCs/>
          <w:sz w:val="22"/>
          <w:szCs w:val="22"/>
        </w:rPr>
      </w:pPr>
      <w:r w:rsidRPr="00AD67C2">
        <w:rPr>
          <w:rFonts w:ascii="Garamond" w:eastAsia="Times New Roman" w:hAnsi="Garamond" w:cs="Arial"/>
          <w:b/>
          <w:bCs/>
          <w:sz w:val="22"/>
          <w:szCs w:val="22"/>
        </w:rPr>
        <w:t>Приложение 9</w:t>
      </w:r>
    </w:p>
    <w:p w14:paraId="3908CDA9" w14:textId="617194FA" w:rsidR="001333B2" w:rsidRPr="00AD67C2" w:rsidRDefault="006E16F3" w:rsidP="00AD67C2">
      <w:pPr>
        <w:tabs>
          <w:tab w:val="left" w:pos="840"/>
        </w:tabs>
        <w:suppressAutoHyphens w:val="0"/>
        <w:spacing w:before="120" w:after="120" w:line="259" w:lineRule="auto"/>
        <w:ind w:firstLine="567"/>
        <w:jc w:val="both"/>
        <w:rPr>
          <w:rFonts w:ascii="Garamond" w:eastAsia="Times New Roman" w:hAnsi="Garamond" w:cs="Arial"/>
          <w:bCs/>
          <w:sz w:val="22"/>
          <w:szCs w:val="22"/>
          <w:lang w:eastAsia="en-US"/>
        </w:rPr>
      </w:pPr>
      <w:r w:rsidRPr="00AD67C2">
        <w:rPr>
          <w:rFonts w:ascii="Garamond" w:eastAsia="Times New Roman" w:hAnsi="Garamond"/>
          <w:b/>
          <w:sz w:val="22"/>
          <w:szCs w:val="22"/>
        </w:rPr>
        <w:t xml:space="preserve">Порядок регистрации объектов регулирования и агрегированных объектов управления, а также совершения юридических и иных действий, необходимых для целей получения </w:t>
      </w:r>
      <w:r w:rsidR="00D1630A">
        <w:rPr>
          <w:rFonts w:ascii="Garamond" w:eastAsia="Times New Roman" w:hAnsi="Garamond"/>
          <w:b/>
          <w:sz w:val="22"/>
          <w:szCs w:val="22"/>
        </w:rPr>
        <w:t>а</w:t>
      </w:r>
      <w:r w:rsidRPr="00AD67C2">
        <w:rPr>
          <w:rFonts w:ascii="Garamond" w:eastAsia="Times New Roman" w:hAnsi="Garamond"/>
          <w:b/>
          <w:sz w:val="22"/>
          <w:szCs w:val="22"/>
        </w:rPr>
        <w:t xml:space="preserve">грегатором статуса субъекта </w:t>
      </w:r>
      <w:r w:rsidRPr="00D1630A">
        <w:rPr>
          <w:rFonts w:ascii="Garamond" w:eastAsia="Times New Roman" w:hAnsi="Garamond"/>
          <w:b/>
          <w:sz w:val="22"/>
          <w:szCs w:val="22"/>
        </w:rPr>
        <w:t xml:space="preserve">оптового рынка электрической энергии (мощности), </w:t>
      </w:r>
      <w:r w:rsidR="00070C9D" w:rsidRPr="00D1630A">
        <w:rPr>
          <w:rFonts w:ascii="Garamond" w:eastAsia="Times New Roman" w:hAnsi="Garamond"/>
          <w:b/>
          <w:sz w:val="22"/>
          <w:szCs w:val="22"/>
        </w:rPr>
        <w:t xml:space="preserve">регистрации изменений объектов </w:t>
      </w:r>
      <w:r w:rsidRPr="00D1630A">
        <w:rPr>
          <w:rFonts w:ascii="Garamond" w:eastAsia="Times New Roman" w:hAnsi="Garamond"/>
          <w:b/>
          <w:sz w:val="22"/>
          <w:szCs w:val="22"/>
        </w:rPr>
        <w:t>регулирования, получения права на оказание услуг по управлению изменением режима потребления</w:t>
      </w:r>
    </w:p>
    <w:p w14:paraId="21C6A543" w14:textId="4691E4EE" w:rsidR="001333B2" w:rsidRPr="00AD67C2" w:rsidRDefault="001333B2" w:rsidP="00AD67C2">
      <w:pPr>
        <w:tabs>
          <w:tab w:val="left" w:pos="840"/>
        </w:tabs>
        <w:suppressAutoHyphens w:val="0"/>
        <w:spacing w:before="120" w:after="120" w:line="259" w:lineRule="auto"/>
        <w:ind w:firstLine="567"/>
        <w:jc w:val="both"/>
        <w:rPr>
          <w:rFonts w:ascii="Garamond" w:eastAsia="Calibri" w:hAnsi="Garamond" w:cs="Times New Roman"/>
          <w:bCs/>
          <w:sz w:val="22"/>
          <w:szCs w:val="22"/>
          <w:lang w:eastAsia="en-US"/>
        </w:rPr>
      </w:pPr>
      <w:r w:rsidRPr="00AD67C2">
        <w:rPr>
          <w:rFonts w:ascii="Garamond" w:eastAsia="Calibri" w:hAnsi="Garamond" w:cs="Times New Roman"/>
          <w:bCs/>
          <w:sz w:val="22"/>
          <w:szCs w:val="22"/>
          <w:lang w:eastAsia="en-US"/>
        </w:rPr>
        <w:t xml:space="preserve">Настоящее </w:t>
      </w:r>
      <w:r w:rsidR="00D1630A">
        <w:rPr>
          <w:rFonts w:ascii="Garamond" w:eastAsia="Calibri" w:hAnsi="Garamond" w:cs="Times New Roman"/>
          <w:bCs/>
          <w:sz w:val="22"/>
          <w:szCs w:val="22"/>
          <w:lang w:eastAsia="en-US"/>
        </w:rPr>
        <w:t>п</w:t>
      </w:r>
      <w:r w:rsidRPr="00AD67C2">
        <w:rPr>
          <w:rFonts w:ascii="Garamond" w:eastAsia="Calibri" w:hAnsi="Garamond" w:cs="Times New Roman"/>
          <w:bCs/>
          <w:sz w:val="22"/>
          <w:szCs w:val="22"/>
          <w:lang w:eastAsia="en-US"/>
        </w:rPr>
        <w:t>риложение устанавливает:</w:t>
      </w:r>
    </w:p>
    <w:p w14:paraId="5CBEBF26" w14:textId="715775A9" w:rsidR="001333B2" w:rsidRPr="00AD67C2" w:rsidRDefault="00D1630A" w:rsidP="00AD67C2">
      <w:pPr>
        <w:numPr>
          <w:ilvl w:val="0"/>
          <w:numId w:val="339"/>
        </w:numPr>
        <w:tabs>
          <w:tab w:val="left" w:pos="960"/>
        </w:tabs>
        <w:suppressAutoHyphens w:val="0"/>
        <w:spacing w:before="120" w:after="120" w:line="259" w:lineRule="auto"/>
        <w:ind w:left="0" w:firstLine="600"/>
        <w:jc w:val="both"/>
        <w:rPr>
          <w:rFonts w:ascii="Garamond" w:eastAsia="Calibri" w:hAnsi="Garamond" w:cs="Times New Roman"/>
          <w:bCs/>
          <w:sz w:val="22"/>
          <w:szCs w:val="22"/>
          <w:lang w:eastAsia="en-US"/>
        </w:rPr>
      </w:pPr>
      <w:r>
        <w:rPr>
          <w:rFonts w:ascii="Garamond" w:eastAsia="Calibri" w:hAnsi="Garamond" w:cs="Times New Roman"/>
          <w:bCs/>
          <w:sz w:val="22"/>
          <w:szCs w:val="22"/>
          <w:lang w:eastAsia="en-US"/>
        </w:rPr>
        <w:t>п</w:t>
      </w:r>
      <w:r w:rsidR="001333B2" w:rsidRPr="00AD67C2">
        <w:rPr>
          <w:rFonts w:ascii="Garamond" w:eastAsia="Calibri" w:hAnsi="Garamond" w:cs="Times New Roman"/>
          <w:bCs/>
          <w:sz w:val="22"/>
          <w:szCs w:val="22"/>
          <w:lang w:eastAsia="en-US"/>
        </w:rPr>
        <w:t xml:space="preserve">орядок получения </w:t>
      </w:r>
      <w:r>
        <w:rPr>
          <w:rFonts w:ascii="Garamond" w:eastAsia="Calibri" w:hAnsi="Garamond" w:cs="Times New Roman"/>
          <w:bCs/>
          <w:sz w:val="22"/>
          <w:szCs w:val="22"/>
          <w:lang w:eastAsia="en-US"/>
        </w:rPr>
        <w:t>а</w:t>
      </w:r>
      <w:r w:rsidR="001333B2" w:rsidRPr="00AD67C2">
        <w:rPr>
          <w:rFonts w:ascii="Garamond" w:eastAsia="Calibri" w:hAnsi="Garamond" w:cs="Times New Roman"/>
          <w:bCs/>
          <w:sz w:val="22"/>
          <w:szCs w:val="22"/>
          <w:lang w:eastAsia="en-US"/>
        </w:rPr>
        <w:t>грегатором статуса субъекта оптового рынка</w:t>
      </w:r>
      <w:r>
        <w:rPr>
          <w:rFonts w:ascii="Garamond" w:eastAsia="Calibri" w:hAnsi="Garamond" w:cs="Times New Roman"/>
          <w:bCs/>
          <w:sz w:val="22"/>
          <w:szCs w:val="22"/>
          <w:lang w:eastAsia="en-US"/>
        </w:rPr>
        <w:t>;</w:t>
      </w:r>
    </w:p>
    <w:p w14:paraId="1CB7FD68" w14:textId="13E33677" w:rsidR="001333B2" w:rsidRPr="00AD67C2" w:rsidRDefault="00D1630A" w:rsidP="00AD67C2">
      <w:pPr>
        <w:numPr>
          <w:ilvl w:val="0"/>
          <w:numId w:val="339"/>
        </w:numPr>
        <w:tabs>
          <w:tab w:val="left" w:pos="960"/>
        </w:tabs>
        <w:suppressAutoHyphens w:val="0"/>
        <w:spacing w:before="120" w:after="120" w:line="259" w:lineRule="auto"/>
        <w:ind w:left="0" w:firstLine="600"/>
        <w:jc w:val="both"/>
        <w:rPr>
          <w:rFonts w:ascii="Garamond" w:eastAsia="Calibri" w:hAnsi="Garamond" w:cs="Times New Roman"/>
          <w:bCs/>
          <w:sz w:val="22"/>
          <w:szCs w:val="22"/>
          <w:lang w:eastAsia="en-US"/>
        </w:rPr>
      </w:pPr>
      <w:r>
        <w:rPr>
          <w:rFonts w:ascii="Garamond" w:eastAsia="Calibri" w:hAnsi="Garamond" w:cs="Times New Roman"/>
          <w:bCs/>
          <w:sz w:val="22"/>
          <w:szCs w:val="22"/>
          <w:lang w:eastAsia="en-US"/>
        </w:rPr>
        <w:t>п</w:t>
      </w:r>
      <w:r w:rsidR="001333B2" w:rsidRPr="00AD67C2">
        <w:rPr>
          <w:rFonts w:ascii="Garamond" w:eastAsia="Calibri" w:hAnsi="Garamond" w:cs="Times New Roman"/>
          <w:bCs/>
          <w:sz w:val="22"/>
          <w:szCs w:val="22"/>
          <w:lang w:eastAsia="en-US"/>
        </w:rPr>
        <w:t>орядок предоставления документов для регистрации объекта регулирования</w:t>
      </w:r>
      <w:r>
        <w:rPr>
          <w:rFonts w:ascii="Garamond" w:eastAsia="Calibri" w:hAnsi="Garamond" w:cs="Times New Roman"/>
          <w:bCs/>
          <w:sz w:val="22"/>
          <w:szCs w:val="22"/>
          <w:lang w:eastAsia="en-US"/>
        </w:rPr>
        <w:t>;</w:t>
      </w:r>
    </w:p>
    <w:p w14:paraId="59814823" w14:textId="24897097" w:rsidR="001333B2" w:rsidRPr="00AD67C2" w:rsidRDefault="00D1630A" w:rsidP="00AD67C2">
      <w:pPr>
        <w:numPr>
          <w:ilvl w:val="0"/>
          <w:numId w:val="339"/>
        </w:numPr>
        <w:tabs>
          <w:tab w:val="left" w:pos="960"/>
        </w:tabs>
        <w:suppressAutoHyphens w:val="0"/>
        <w:spacing w:before="120" w:after="120" w:line="259" w:lineRule="auto"/>
        <w:ind w:left="0" w:firstLine="600"/>
        <w:jc w:val="both"/>
        <w:rPr>
          <w:rFonts w:ascii="Garamond" w:eastAsia="Calibri" w:hAnsi="Garamond" w:cs="Times New Roman"/>
          <w:bCs/>
          <w:sz w:val="22"/>
          <w:szCs w:val="22"/>
          <w:lang w:eastAsia="en-US"/>
        </w:rPr>
      </w:pPr>
      <w:r>
        <w:rPr>
          <w:rFonts w:ascii="Garamond" w:eastAsia="Calibri" w:hAnsi="Garamond" w:cs="Times New Roman"/>
          <w:bCs/>
          <w:sz w:val="22"/>
          <w:szCs w:val="22"/>
          <w:lang w:eastAsia="en-US"/>
        </w:rPr>
        <w:t>п</w:t>
      </w:r>
      <w:r w:rsidR="001333B2" w:rsidRPr="00AD67C2">
        <w:rPr>
          <w:rFonts w:ascii="Garamond" w:eastAsia="Calibri" w:hAnsi="Garamond" w:cs="Times New Roman"/>
          <w:bCs/>
          <w:sz w:val="22"/>
          <w:szCs w:val="22"/>
          <w:lang w:eastAsia="en-US"/>
        </w:rPr>
        <w:t>орядок</w:t>
      </w:r>
      <w:r w:rsidR="001333B2" w:rsidRPr="00AD67C2" w:rsidDel="00E90FE9">
        <w:rPr>
          <w:rFonts w:ascii="Garamond" w:eastAsia="Calibri" w:hAnsi="Garamond" w:cs="Times New Roman"/>
          <w:bCs/>
          <w:sz w:val="22"/>
          <w:szCs w:val="22"/>
          <w:lang w:eastAsia="en-US"/>
        </w:rPr>
        <w:t xml:space="preserve"> </w:t>
      </w:r>
      <w:r w:rsidR="001333B2" w:rsidRPr="00AD67C2">
        <w:rPr>
          <w:rFonts w:ascii="Garamond" w:eastAsia="Calibri" w:hAnsi="Garamond" w:cs="Times New Roman"/>
          <w:bCs/>
          <w:sz w:val="22"/>
          <w:szCs w:val="22"/>
          <w:lang w:eastAsia="en-US"/>
        </w:rPr>
        <w:t>регистрации объекта регулирования</w:t>
      </w:r>
      <w:r>
        <w:rPr>
          <w:rFonts w:ascii="Garamond" w:eastAsia="Calibri" w:hAnsi="Garamond" w:cs="Times New Roman"/>
          <w:bCs/>
          <w:sz w:val="22"/>
          <w:szCs w:val="22"/>
          <w:lang w:eastAsia="en-US"/>
        </w:rPr>
        <w:t>;</w:t>
      </w:r>
    </w:p>
    <w:p w14:paraId="4FB939E2" w14:textId="46DF3B09" w:rsidR="001333B2" w:rsidRPr="00AD67C2" w:rsidRDefault="00D1630A" w:rsidP="00AD67C2">
      <w:pPr>
        <w:numPr>
          <w:ilvl w:val="0"/>
          <w:numId w:val="339"/>
        </w:numPr>
        <w:tabs>
          <w:tab w:val="left" w:pos="960"/>
        </w:tabs>
        <w:suppressAutoHyphens w:val="0"/>
        <w:spacing w:before="120" w:after="120" w:line="259" w:lineRule="auto"/>
        <w:ind w:left="0" w:firstLine="600"/>
        <w:jc w:val="both"/>
        <w:rPr>
          <w:rFonts w:ascii="Garamond" w:eastAsia="Calibri" w:hAnsi="Garamond" w:cs="Times New Roman"/>
          <w:bCs/>
          <w:sz w:val="22"/>
          <w:szCs w:val="22"/>
          <w:lang w:eastAsia="en-US"/>
        </w:rPr>
      </w:pPr>
      <w:r>
        <w:rPr>
          <w:rFonts w:ascii="Garamond" w:eastAsia="Calibri" w:hAnsi="Garamond" w:cs="Times New Roman"/>
          <w:bCs/>
          <w:sz w:val="22"/>
          <w:szCs w:val="22"/>
          <w:lang w:eastAsia="en-US"/>
        </w:rPr>
        <w:t>п</w:t>
      </w:r>
      <w:r w:rsidR="001333B2" w:rsidRPr="00AD67C2">
        <w:rPr>
          <w:rFonts w:ascii="Garamond" w:eastAsia="Calibri" w:hAnsi="Garamond" w:cs="Times New Roman"/>
          <w:bCs/>
          <w:sz w:val="22"/>
          <w:szCs w:val="22"/>
          <w:lang w:eastAsia="en-US"/>
        </w:rPr>
        <w:t>орядок регистрации изменений объектов регулирования</w:t>
      </w:r>
      <w:r>
        <w:rPr>
          <w:rFonts w:ascii="Garamond" w:eastAsia="Calibri" w:hAnsi="Garamond" w:cs="Times New Roman"/>
          <w:bCs/>
          <w:sz w:val="22"/>
          <w:szCs w:val="22"/>
          <w:lang w:eastAsia="en-US"/>
        </w:rPr>
        <w:t>;</w:t>
      </w:r>
    </w:p>
    <w:p w14:paraId="0FEE84C5" w14:textId="748533A5" w:rsidR="001333B2" w:rsidRPr="00AD67C2" w:rsidRDefault="00D1630A" w:rsidP="00AD67C2">
      <w:pPr>
        <w:numPr>
          <w:ilvl w:val="0"/>
          <w:numId w:val="339"/>
        </w:numPr>
        <w:tabs>
          <w:tab w:val="left" w:pos="960"/>
        </w:tabs>
        <w:suppressAutoHyphens w:val="0"/>
        <w:spacing w:before="120" w:after="120" w:line="259" w:lineRule="auto"/>
        <w:ind w:left="0" w:firstLine="600"/>
        <w:jc w:val="both"/>
        <w:rPr>
          <w:rFonts w:ascii="Garamond" w:eastAsia="Calibri" w:hAnsi="Garamond" w:cs="Times New Roman"/>
          <w:bCs/>
          <w:sz w:val="22"/>
          <w:szCs w:val="22"/>
          <w:lang w:eastAsia="en-US"/>
        </w:rPr>
      </w:pPr>
      <w:r>
        <w:rPr>
          <w:rFonts w:ascii="Garamond" w:eastAsia="Calibri" w:hAnsi="Garamond" w:cs="Times New Roman"/>
          <w:bCs/>
          <w:sz w:val="22"/>
          <w:szCs w:val="22"/>
          <w:lang w:eastAsia="en-US"/>
        </w:rPr>
        <w:t>п</w:t>
      </w:r>
      <w:r w:rsidR="001333B2" w:rsidRPr="00AD67C2">
        <w:rPr>
          <w:rFonts w:ascii="Garamond" w:eastAsia="Calibri" w:hAnsi="Garamond" w:cs="Times New Roman"/>
          <w:bCs/>
          <w:sz w:val="22"/>
          <w:szCs w:val="22"/>
          <w:lang w:eastAsia="en-US"/>
        </w:rPr>
        <w:t xml:space="preserve">орядок взаимодействия КО и СО в рамках отбора на оказание услуг по управлению </w:t>
      </w:r>
      <w:r w:rsidR="003938D9" w:rsidRPr="00AD67C2">
        <w:rPr>
          <w:rFonts w:ascii="Garamond" w:eastAsia="Calibri" w:hAnsi="Garamond" w:cs="Times New Roman"/>
          <w:bCs/>
          <w:sz w:val="22"/>
          <w:szCs w:val="22"/>
          <w:lang w:eastAsia="en-US"/>
        </w:rPr>
        <w:t>изменением режима потребления электрической энергии</w:t>
      </w:r>
      <w:r w:rsidR="001333B2" w:rsidRPr="00AD67C2">
        <w:rPr>
          <w:rFonts w:ascii="Garamond" w:eastAsia="Calibri" w:hAnsi="Garamond" w:cs="Times New Roman"/>
          <w:bCs/>
          <w:sz w:val="22"/>
          <w:szCs w:val="22"/>
          <w:lang w:eastAsia="en-US"/>
        </w:rPr>
        <w:t>.</w:t>
      </w:r>
    </w:p>
    <w:p w14:paraId="56BC8C54" w14:textId="6672ECAF" w:rsidR="001333B2" w:rsidRPr="00AD67C2" w:rsidRDefault="001333B2" w:rsidP="00AD67C2">
      <w:pPr>
        <w:keepNext/>
        <w:numPr>
          <w:ilvl w:val="0"/>
          <w:numId w:val="340"/>
        </w:numPr>
        <w:suppressAutoHyphens w:val="0"/>
        <w:spacing w:before="120" w:after="120" w:line="259" w:lineRule="auto"/>
        <w:jc w:val="both"/>
        <w:outlineLvl w:val="0"/>
        <w:rPr>
          <w:rFonts w:ascii="Garamond" w:eastAsia="Times New Roman" w:hAnsi="Garamond" w:cs="Arial"/>
          <w:bCs/>
          <w:color w:val="000000"/>
          <w:kern w:val="28"/>
          <w:sz w:val="22"/>
          <w:szCs w:val="22"/>
        </w:rPr>
      </w:pPr>
      <w:r w:rsidRPr="00AD67C2">
        <w:rPr>
          <w:rFonts w:ascii="Garamond" w:eastAsia="Times New Roman" w:hAnsi="Garamond" w:cs="Arial"/>
          <w:b/>
          <w:bCs/>
          <w:sz w:val="22"/>
          <w:szCs w:val="22"/>
        </w:rPr>
        <w:t xml:space="preserve">Порядок получения </w:t>
      </w:r>
      <w:r w:rsidR="00D1630A">
        <w:rPr>
          <w:rFonts w:ascii="Garamond" w:eastAsia="Times New Roman" w:hAnsi="Garamond" w:cs="Arial"/>
          <w:b/>
          <w:bCs/>
          <w:sz w:val="22"/>
          <w:szCs w:val="22"/>
        </w:rPr>
        <w:t>а</w:t>
      </w:r>
      <w:r w:rsidRPr="00AD67C2">
        <w:rPr>
          <w:rFonts w:ascii="Garamond" w:eastAsia="Times New Roman" w:hAnsi="Garamond" w:cs="Arial"/>
          <w:b/>
          <w:bCs/>
          <w:sz w:val="22"/>
          <w:szCs w:val="22"/>
        </w:rPr>
        <w:t xml:space="preserve">грегатором статуса субъекта </w:t>
      </w:r>
      <w:r w:rsidRPr="00AD67C2">
        <w:rPr>
          <w:rFonts w:ascii="Garamond" w:eastAsia="Times New Roman" w:hAnsi="Garamond" w:cs="Arial"/>
          <w:b/>
          <w:color w:val="000000"/>
          <w:kern w:val="28"/>
          <w:sz w:val="22"/>
          <w:szCs w:val="22"/>
        </w:rPr>
        <w:t>оптового рынка</w:t>
      </w:r>
    </w:p>
    <w:p w14:paraId="1A6044CA" w14:textId="3ADD25B1" w:rsidR="001333B2" w:rsidRPr="00AD67C2" w:rsidRDefault="001333B2" w:rsidP="00AD67C2">
      <w:pPr>
        <w:widowControl w:val="0"/>
        <w:tabs>
          <w:tab w:val="left" w:pos="1077"/>
        </w:tabs>
        <w:suppressAutoHyphens w:val="0"/>
        <w:spacing w:before="120" w:after="120"/>
        <w:ind w:firstLine="601"/>
        <w:jc w:val="both"/>
        <w:rPr>
          <w:rFonts w:ascii="Garamond" w:eastAsia="Times New Roman" w:hAnsi="Garamond" w:cs="Times New Roman"/>
          <w:bCs/>
          <w:sz w:val="22"/>
          <w:szCs w:val="22"/>
          <w:lang w:eastAsia="en-US"/>
        </w:rPr>
      </w:pPr>
      <w:r w:rsidRPr="00AD67C2">
        <w:rPr>
          <w:rFonts w:ascii="Garamond" w:eastAsia="Calibri" w:hAnsi="Garamond" w:cs="Times New Roman"/>
          <w:bCs/>
          <w:sz w:val="22"/>
          <w:szCs w:val="22"/>
          <w:lang w:eastAsia="en-US"/>
        </w:rPr>
        <w:t>Для получения статуса субъекта оптового рынка</w:t>
      </w:r>
      <w:r w:rsidR="009B5F03">
        <w:rPr>
          <w:rFonts w:ascii="Garamond" w:eastAsia="Calibri" w:hAnsi="Garamond" w:cs="Times New Roman"/>
          <w:bCs/>
          <w:sz w:val="22"/>
          <w:szCs w:val="22"/>
          <w:lang w:eastAsia="en-US"/>
        </w:rPr>
        <w:t xml:space="preserve"> </w:t>
      </w:r>
      <w:r w:rsidRPr="00AD67C2">
        <w:rPr>
          <w:rFonts w:ascii="Garamond" w:eastAsia="Calibri" w:hAnsi="Garamond" w:cs="Times New Roman"/>
          <w:bCs/>
          <w:sz w:val="22"/>
          <w:szCs w:val="22"/>
          <w:lang w:eastAsia="en-US"/>
        </w:rPr>
        <w:t xml:space="preserve">заявитель должен выполнить </w:t>
      </w:r>
      <w:r w:rsidR="00D1630A" w:rsidRPr="00AD67C2">
        <w:rPr>
          <w:rFonts w:ascii="Garamond" w:eastAsia="Calibri" w:hAnsi="Garamond" w:cs="Times New Roman"/>
          <w:bCs/>
          <w:sz w:val="22"/>
          <w:szCs w:val="22"/>
          <w:lang w:eastAsia="en-US"/>
        </w:rPr>
        <w:t xml:space="preserve">следующие процедуры </w:t>
      </w:r>
      <w:r w:rsidRPr="00AD67C2">
        <w:rPr>
          <w:rFonts w:ascii="Garamond" w:eastAsia="Calibri" w:hAnsi="Garamond" w:cs="Times New Roman"/>
          <w:bCs/>
          <w:sz w:val="22"/>
          <w:szCs w:val="22"/>
          <w:lang w:eastAsia="en-US"/>
        </w:rPr>
        <w:t>в указанном в настоящем пункте порядке</w:t>
      </w:r>
      <w:r w:rsidRPr="00AD67C2">
        <w:rPr>
          <w:rFonts w:ascii="Garamond" w:eastAsia="Times New Roman" w:hAnsi="Garamond" w:cs="Times New Roman"/>
          <w:bCs/>
          <w:sz w:val="22"/>
          <w:szCs w:val="22"/>
          <w:lang w:eastAsia="en-US"/>
        </w:rPr>
        <w:t>:</w:t>
      </w:r>
    </w:p>
    <w:p w14:paraId="7A3BBDCA" w14:textId="77777777" w:rsidR="001333B2" w:rsidRPr="00AD67C2" w:rsidRDefault="001333B2" w:rsidP="00AD67C2">
      <w:pPr>
        <w:numPr>
          <w:ilvl w:val="0"/>
          <w:numId w:val="343"/>
        </w:numPr>
        <w:tabs>
          <w:tab w:val="left" w:pos="851"/>
          <w:tab w:val="left" w:pos="1134"/>
        </w:tabs>
        <w:suppressAutoHyphens w:val="0"/>
        <w:spacing w:before="120" w:after="120" w:line="259" w:lineRule="auto"/>
        <w:ind w:left="0" w:firstLine="601"/>
        <w:contextualSpacing/>
        <w:jc w:val="both"/>
        <w:rPr>
          <w:rFonts w:ascii="Garamond" w:eastAsia="Times New Roman" w:hAnsi="Garamond" w:cs="Times New Roman"/>
          <w:sz w:val="22"/>
          <w:szCs w:val="22"/>
          <w:lang w:eastAsia="en-US"/>
        </w:rPr>
      </w:pPr>
      <w:r w:rsidRPr="00AD67C2">
        <w:rPr>
          <w:rFonts w:ascii="Garamond" w:eastAsia="Times New Roman" w:hAnsi="Garamond" w:cs="Times New Roman"/>
          <w:sz w:val="22"/>
          <w:szCs w:val="22"/>
          <w:lang w:eastAsia="en-US"/>
        </w:rPr>
        <w:t>вступить в члены Ассоциации «НП Совет рынка»;</w:t>
      </w:r>
    </w:p>
    <w:p w14:paraId="60ECE85D" w14:textId="37743839" w:rsidR="001333B2" w:rsidRPr="00AD67C2" w:rsidRDefault="001333B2" w:rsidP="00AD67C2">
      <w:pPr>
        <w:numPr>
          <w:ilvl w:val="0"/>
          <w:numId w:val="343"/>
        </w:numPr>
        <w:tabs>
          <w:tab w:val="left" w:pos="851"/>
          <w:tab w:val="left" w:pos="1134"/>
        </w:tabs>
        <w:suppressAutoHyphens w:val="0"/>
        <w:spacing w:before="120" w:after="120" w:line="259" w:lineRule="auto"/>
        <w:ind w:left="0" w:firstLine="601"/>
        <w:contextualSpacing/>
        <w:jc w:val="both"/>
        <w:rPr>
          <w:rFonts w:ascii="Garamond" w:eastAsia="Times New Roman" w:hAnsi="Garamond" w:cs="Arial"/>
          <w:bCs/>
          <w:sz w:val="22"/>
          <w:szCs w:val="22"/>
          <w:lang w:eastAsia="en-US"/>
        </w:rPr>
      </w:pPr>
      <w:r w:rsidRPr="00AD67C2">
        <w:rPr>
          <w:rFonts w:ascii="Garamond" w:eastAsia="Times New Roman" w:hAnsi="Garamond" w:cs="Times New Roman"/>
          <w:sz w:val="22"/>
          <w:szCs w:val="22"/>
          <w:lang w:eastAsia="en-US"/>
        </w:rPr>
        <w:t xml:space="preserve">подписать </w:t>
      </w:r>
      <w:r w:rsidRPr="00AD67C2">
        <w:rPr>
          <w:rFonts w:ascii="Garamond" w:eastAsia="Times New Roman" w:hAnsi="Garamond" w:cs="Times New Roman"/>
          <w:bCs/>
          <w:i/>
          <w:sz w:val="22"/>
          <w:szCs w:val="22"/>
          <w:lang w:eastAsia="en-US"/>
        </w:rPr>
        <w:t>Договор о присоединении к торговой системе оптового рынка</w:t>
      </w:r>
      <w:r w:rsidR="0068450D">
        <w:rPr>
          <w:rFonts w:ascii="Garamond" w:eastAsia="Times New Roman" w:hAnsi="Garamond" w:cs="Times New Roman"/>
          <w:bCs/>
          <w:sz w:val="22"/>
          <w:szCs w:val="22"/>
          <w:lang w:eastAsia="en-US"/>
        </w:rPr>
        <w:t xml:space="preserve"> в порядке, предусмотренном п. </w:t>
      </w:r>
      <w:r w:rsidRPr="00AD67C2">
        <w:rPr>
          <w:rFonts w:ascii="Garamond" w:eastAsia="Times New Roman" w:hAnsi="Garamond" w:cs="Times New Roman"/>
          <w:bCs/>
          <w:sz w:val="22"/>
          <w:szCs w:val="22"/>
          <w:lang w:eastAsia="en-US"/>
        </w:rPr>
        <w:t xml:space="preserve">2.4.2 настоящего Положения, а также </w:t>
      </w:r>
      <w:r w:rsidRPr="00AD67C2">
        <w:rPr>
          <w:rFonts w:ascii="Garamond" w:eastAsia="Times New Roman" w:hAnsi="Garamond" w:cs="Times New Roman"/>
          <w:sz w:val="22"/>
          <w:szCs w:val="22"/>
          <w:lang w:eastAsia="en-US"/>
        </w:rPr>
        <w:t xml:space="preserve">заключить договор банковского счета с кредитной организацией, уполномоченной Советом рынка на проведение расчетов в торговой системе оптового рынка, договор с Коммерческим оператором на оказание услуг удостоверяющего центра и получить ключи и сертификаты ЭП в соответствии с требованиями и процедурой, указанными на официальном интернет-сайте Коммерческого оператора </w:t>
      </w:r>
      <w:hyperlink r:id="rId24" w:history="1">
        <w:r w:rsidRPr="00AD67C2">
          <w:rPr>
            <w:rFonts w:ascii="Garamond" w:eastAsia="Times New Roman" w:hAnsi="Garamond" w:cs="Times New Roman"/>
            <w:color w:val="0000FF"/>
            <w:sz w:val="22"/>
            <w:szCs w:val="22"/>
            <w:u w:val="single"/>
            <w:lang w:eastAsia="en-US"/>
          </w:rPr>
          <w:t>www.atsenergo.ru</w:t>
        </w:r>
      </w:hyperlink>
      <w:r w:rsidRPr="00AD67C2">
        <w:rPr>
          <w:rFonts w:ascii="Garamond" w:eastAsia="Times New Roman" w:hAnsi="Garamond" w:cs="Times New Roman"/>
          <w:sz w:val="22"/>
          <w:szCs w:val="22"/>
          <w:lang w:eastAsia="en-US"/>
        </w:rPr>
        <w:t xml:space="preserve"> в разделе «Электронный документооборот»;</w:t>
      </w:r>
    </w:p>
    <w:p w14:paraId="7B9B2CE5" w14:textId="2D6B9289" w:rsidR="001333B2" w:rsidRPr="00AD67C2" w:rsidRDefault="001333B2" w:rsidP="00AD67C2">
      <w:pPr>
        <w:numPr>
          <w:ilvl w:val="0"/>
          <w:numId w:val="343"/>
        </w:numPr>
        <w:tabs>
          <w:tab w:val="left" w:pos="0"/>
          <w:tab w:val="left" w:pos="851"/>
          <w:tab w:val="left" w:pos="1134"/>
        </w:tabs>
        <w:suppressAutoHyphens w:val="0"/>
        <w:spacing w:before="120" w:after="120" w:line="259" w:lineRule="auto"/>
        <w:ind w:left="0" w:firstLine="601"/>
        <w:contextualSpacing/>
        <w:jc w:val="both"/>
        <w:rPr>
          <w:rFonts w:ascii="Garamond" w:eastAsia="Times New Roman" w:hAnsi="Garamond" w:cs="Times New Roman"/>
          <w:bCs/>
          <w:sz w:val="22"/>
          <w:szCs w:val="22"/>
          <w:lang w:eastAsia="en-US"/>
        </w:rPr>
      </w:pPr>
      <w:r w:rsidRPr="00AD67C2">
        <w:rPr>
          <w:rFonts w:ascii="Garamond" w:eastAsia="Times New Roman" w:hAnsi="Garamond" w:cs="Times New Roman"/>
          <w:bCs/>
          <w:sz w:val="22"/>
          <w:szCs w:val="22"/>
          <w:lang w:eastAsia="en-US"/>
        </w:rPr>
        <w:t>выполнить требования для регистрации</w:t>
      </w:r>
      <w:r w:rsidRPr="00AD67C2">
        <w:rPr>
          <w:rFonts w:ascii="Garamond" w:eastAsia="Calibri" w:hAnsi="Garamond" w:cs="Times New Roman"/>
          <w:sz w:val="22"/>
          <w:szCs w:val="22"/>
          <w:lang w:eastAsia="en-US"/>
        </w:rPr>
        <w:t xml:space="preserve"> </w:t>
      </w:r>
      <w:r w:rsidRPr="00AD67C2">
        <w:rPr>
          <w:rFonts w:ascii="Garamond" w:eastAsia="Times New Roman" w:hAnsi="Garamond" w:cs="Times New Roman"/>
          <w:bCs/>
          <w:sz w:val="22"/>
          <w:szCs w:val="22"/>
          <w:lang w:eastAsia="en-US"/>
        </w:rPr>
        <w:t>объекта</w:t>
      </w:r>
      <w:r w:rsidR="0068450D">
        <w:rPr>
          <w:rFonts w:ascii="Garamond" w:eastAsia="Times New Roman" w:hAnsi="Garamond" w:cs="Times New Roman"/>
          <w:bCs/>
          <w:sz w:val="22"/>
          <w:szCs w:val="22"/>
          <w:lang w:eastAsia="en-US"/>
        </w:rPr>
        <w:t xml:space="preserve"> </w:t>
      </w:r>
      <w:r w:rsidRPr="00AD67C2">
        <w:rPr>
          <w:rFonts w:ascii="Garamond" w:eastAsia="Times New Roman" w:hAnsi="Garamond" w:cs="Times New Roman"/>
          <w:bCs/>
          <w:sz w:val="22"/>
          <w:szCs w:val="22"/>
          <w:lang w:eastAsia="en-US"/>
        </w:rPr>
        <w:t>(</w:t>
      </w:r>
      <w:r w:rsidR="0068450D">
        <w:rPr>
          <w:rFonts w:ascii="Garamond" w:eastAsia="Times New Roman" w:hAnsi="Garamond" w:cs="Times New Roman"/>
          <w:bCs/>
          <w:sz w:val="22"/>
          <w:szCs w:val="22"/>
          <w:lang w:eastAsia="en-US"/>
        </w:rPr>
        <w:t>-</w:t>
      </w:r>
      <w:r w:rsidRPr="00AD67C2">
        <w:rPr>
          <w:rFonts w:ascii="Garamond" w:eastAsia="Times New Roman" w:hAnsi="Garamond" w:cs="Times New Roman"/>
          <w:bCs/>
          <w:sz w:val="22"/>
          <w:szCs w:val="22"/>
          <w:lang w:eastAsia="en-US"/>
        </w:rPr>
        <w:t>ов) регулирования и агрегированных объектов управления;</w:t>
      </w:r>
    </w:p>
    <w:p w14:paraId="0B1649BA" w14:textId="1165E081" w:rsidR="001333B2" w:rsidRPr="00AD67C2" w:rsidRDefault="001333B2" w:rsidP="00AD67C2">
      <w:pPr>
        <w:numPr>
          <w:ilvl w:val="0"/>
          <w:numId w:val="343"/>
        </w:numPr>
        <w:tabs>
          <w:tab w:val="left" w:pos="0"/>
          <w:tab w:val="left" w:pos="851"/>
          <w:tab w:val="left" w:pos="1134"/>
        </w:tabs>
        <w:suppressAutoHyphens w:val="0"/>
        <w:spacing w:before="120" w:after="120" w:line="259" w:lineRule="auto"/>
        <w:ind w:left="0" w:firstLine="601"/>
        <w:contextualSpacing/>
        <w:jc w:val="both"/>
        <w:rPr>
          <w:rFonts w:ascii="Garamond" w:eastAsia="Times New Roman" w:hAnsi="Garamond" w:cs="Times New Roman"/>
          <w:sz w:val="22"/>
          <w:szCs w:val="22"/>
          <w:lang w:eastAsia="en-US"/>
        </w:rPr>
      </w:pPr>
      <w:r w:rsidRPr="00AD67C2">
        <w:rPr>
          <w:rFonts w:ascii="Garamond" w:eastAsia="Times New Roman" w:hAnsi="Garamond" w:cs="Times New Roman"/>
          <w:bCs/>
          <w:sz w:val="22"/>
          <w:szCs w:val="22"/>
          <w:lang w:eastAsia="en-US"/>
        </w:rPr>
        <w:t>предоставить в КО заявление о получении статуса субъекта оптового рынка электрической энергии (мощности) и включении в Реестр субъектов оптового рынка по форме 1 приложения 1 к настоящему Положению (код формы STA_ZAJAVL_FORM_1_WEB)</w:t>
      </w:r>
      <w:r w:rsidRPr="00AD67C2">
        <w:rPr>
          <w:rFonts w:ascii="Garamond" w:eastAsia="Times New Roman" w:hAnsi="Garamond" w:cs="Times New Roman"/>
          <w:sz w:val="22"/>
          <w:szCs w:val="22"/>
          <w:lang w:eastAsia="en-US"/>
        </w:rPr>
        <w:t>. Рассмотрение заявления осуществляется в порядке, установленном п.</w:t>
      </w:r>
      <w:r w:rsidR="0068450D">
        <w:rPr>
          <w:rFonts w:ascii="Garamond" w:eastAsia="Times New Roman" w:hAnsi="Garamond" w:cs="Times New Roman"/>
          <w:sz w:val="22"/>
          <w:szCs w:val="22"/>
          <w:lang w:eastAsia="en-US"/>
        </w:rPr>
        <w:t xml:space="preserve"> </w:t>
      </w:r>
      <w:r w:rsidRPr="00AD67C2">
        <w:rPr>
          <w:rFonts w:ascii="Garamond" w:eastAsia="Times New Roman" w:hAnsi="Garamond" w:cs="Times New Roman"/>
          <w:sz w:val="22"/>
          <w:szCs w:val="22"/>
          <w:lang w:eastAsia="en-US"/>
        </w:rPr>
        <w:t>2.8 настоящего Положения</w:t>
      </w:r>
      <w:r w:rsidR="0068450D">
        <w:rPr>
          <w:rFonts w:ascii="Garamond" w:eastAsia="Times New Roman" w:hAnsi="Garamond" w:cs="Times New Roman"/>
          <w:sz w:val="22"/>
          <w:szCs w:val="22"/>
          <w:lang w:eastAsia="en-US"/>
        </w:rPr>
        <w:t>.</w:t>
      </w:r>
    </w:p>
    <w:p w14:paraId="1D615D47" w14:textId="7EEA95ED" w:rsidR="001333B2" w:rsidRPr="00AD67C2" w:rsidRDefault="001333B2" w:rsidP="00F63146">
      <w:pPr>
        <w:widowControl w:val="0"/>
        <w:tabs>
          <w:tab w:val="left" w:pos="1077"/>
        </w:tabs>
        <w:suppressAutoHyphens w:val="0"/>
        <w:spacing w:before="120" w:after="120"/>
        <w:ind w:firstLine="601"/>
        <w:jc w:val="both"/>
        <w:rPr>
          <w:rFonts w:ascii="Garamond" w:eastAsia="Times New Roman" w:hAnsi="Garamond" w:cs="Times New Roman"/>
          <w:b/>
          <w:sz w:val="22"/>
          <w:szCs w:val="22"/>
          <w:lang w:eastAsia="en-US"/>
        </w:rPr>
      </w:pPr>
      <w:r w:rsidRPr="00AD67C2">
        <w:rPr>
          <w:rFonts w:ascii="Garamond" w:eastAsia="Calibri" w:hAnsi="Garamond" w:cs="Times New Roman"/>
          <w:bCs/>
          <w:sz w:val="22"/>
          <w:szCs w:val="22"/>
          <w:lang w:eastAsia="en-US"/>
        </w:rPr>
        <w:t>Заявитель вправе прекратить процедуру присвоения статуса субъекта оптового рынка электрической энергии и включения в Реестр субъектов оптового рынка, направив заявление о прекращении процедуры</w:t>
      </w:r>
      <w:r w:rsidRPr="00AD67C2">
        <w:rPr>
          <w:rFonts w:ascii="Garamond" w:eastAsia="Times New Roman" w:hAnsi="Garamond" w:cs="Calibri"/>
          <w:bCs/>
          <w:sz w:val="22"/>
          <w:szCs w:val="22"/>
          <w:lang w:eastAsia="en-US"/>
        </w:rPr>
        <w:t xml:space="preserve"> согласно п. 2.8.8 настоящего Положения.</w:t>
      </w:r>
    </w:p>
    <w:p w14:paraId="3B442092" w14:textId="77777777" w:rsidR="001333B2" w:rsidRPr="00AD67C2" w:rsidRDefault="001333B2" w:rsidP="00AD67C2">
      <w:pPr>
        <w:keepNext/>
        <w:numPr>
          <w:ilvl w:val="0"/>
          <w:numId w:val="340"/>
        </w:numPr>
        <w:suppressAutoHyphens w:val="0"/>
        <w:spacing w:before="120" w:after="120" w:line="259" w:lineRule="auto"/>
        <w:jc w:val="both"/>
        <w:outlineLvl w:val="0"/>
        <w:rPr>
          <w:rFonts w:ascii="Garamond" w:eastAsia="Times New Roman" w:hAnsi="Garamond" w:cs="Arial"/>
          <w:b/>
          <w:bCs/>
          <w:sz w:val="22"/>
          <w:szCs w:val="22"/>
        </w:rPr>
      </w:pPr>
      <w:r w:rsidRPr="00AD67C2">
        <w:rPr>
          <w:rFonts w:ascii="Garamond" w:eastAsia="Times New Roman" w:hAnsi="Garamond" w:cs="Arial"/>
          <w:b/>
          <w:bCs/>
          <w:sz w:val="22"/>
          <w:szCs w:val="22"/>
        </w:rPr>
        <w:t xml:space="preserve">Перечень документов, подлежащих предоставлению в КО для </w:t>
      </w:r>
      <w:bookmarkEnd w:id="34"/>
      <w:r w:rsidRPr="00AD67C2">
        <w:rPr>
          <w:rFonts w:ascii="Garamond" w:eastAsia="Times New Roman" w:hAnsi="Garamond" w:cs="Arial"/>
          <w:b/>
          <w:bCs/>
          <w:sz w:val="22"/>
          <w:szCs w:val="22"/>
        </w:rPr>
        <w:t>регистрации объекта регулирования</w:t>
      </w:r>
    </w:p>
    <w:p w14:paraId="3FA24839" w14:textId="77777777" w:rsidR="001333B2" w:rsidRPr="00AD67C2" w:rsidRDefault="001333B2" w:rsidP="00AD67C2">
      <w:pPr>
        <w:widowControl w:val="0"/>
        <w:numPr>
          <w:ilvl w:val="1"/>
          <w:numId w:val="296"/>
        </w:numPr>
        <w:tabs>
          <w:tab w:val="left" w:pos="1077"/>
        </w:tabs>
        <w:suppressAutoHyphens w:val="0"/>
        <w:spacing w:before="120" w:after="120" w:line="259" w:lineRule="auto"/>
        <w:ind w:left="0" w:firstLine="601"/>
        <w:jc w:val="both"/>
        <w:outlineLvl w:val="1"/>
        <w:rPr>
          <w:rFonts w:ascii="Garamond" w:eastAsia="Calibri" w:hAnsi="Garamond" w:cs="Times New Roman"/>
          <w:bCs/>
          <w:sz w:val="22"/>
          <w:szCs w:val="22"/>
          <w:lang w:eastAsia="en-US"/>
        </w:rPr>
      </w:pPr>
      <w:bookmarkStart w:id="35" w:name="_Ref149311630"/>
      <w:r w:rsidRPr="00AD67C2">
        <w:rPr>
          <w:rFonts w:ascii="Garamond" w:eastAsia="Calibri" w:hAnsi="Garamond" w:cs="Times New Roman"/>
          <w:bCs/>
          <w:sz w:val="22"/>
          <w:szCs w:val="22"/>
          <w:lang w:eastAsia="en-US"/>
        </w:rPr>
        <w:t>Заявитель, имеющий намерения зарегистрировать объект регулирования, предоставляет в КО ПСИ (макет 60000) в порядке, предусмотренном приложением 5 к</w:t>
      </w:r>
      <w:r w:rsidRPr="00AD67C2">
        <w:rPr>
          <w:rFonts w:ascii="Garamond" w:eastAsia="Calibri" w:hAnsi="Garamond" w:cs="Times New Roman"/>
          <w:bCs/>
          <w:i/>
          <w:sz w:val="22"/>
          <w:szCs w:val="22"/>
          <w:lang w:eastAsia="en-US"/>
        </w:rPr>
        <w:t xml:space="preserve"> Регламенту коммерческого учета электроэнергии и мощности</w:t>
      </w:r>
      <w:r w:rsidRPr="00AD67C2">
        <w:rPr>
          <w:rFonts w:ascii="Garamond" w:eastAsia="Calibri" w:hAnsi="Garamond" w:cs="Times New Roman"/>
          <w:bCs/>
          <w:sz w:val="22"/>
          <w:szCs w:val="22"/>
          <w:lang w:eastAsia="en-US"/>
        </w:rPr>
        <w:t xml:space="preserve"> (Приложение № 11 к </w:t>
      </w:r>
      <w:r w:rsidRPr="00AD67C2">
        <w:rPr>
          <w:rFonts w:ascii="Garamond" w:eastAsia="Calibri" w:hAnsi="Garamond" w:cs="Times New Roman"/>
          <w:bCs/>
          <w:i/>
          <w:sz w:val="22"/>
          <w:szCs w:val="22"/>
          <w:lang w:eastAsia="en-US"/>
        </w:rPr>
        <w:t>Договору о присоединении к торговой системе оптового рынка</w:t>
      </w:r>
      <w:r w:rsidRPr="00AD67C2">
        <w:rPr>
          <w:rFonts w:ascii="Garamond" w:eastAsia="Calibri" w:hAnsi="Garamond" w:cs="Times New Roman"/>
          <w:bCs/>
          <w:sz w:val="22"/>
          <w:szCs w:val="22"/>
          <w:lang w:eastAsia="en-US"/>
        </w:rPr>
        <w:t>).</w:t>
      </w:r>
      <w:bookmarkEnd w:id="35"/>
    </w:p>
    <w:p w14:paraId="4FB97B9D" w14:textId="430BCFCA" w:rsidR="001333B2" w:rsidRPr="00AD67C2" w:rsidRDefault="001333B2" w:rsidP="00AD67C2">
      <w:pPr>
        <w:widowControl w:val="0"/>
        <w:tabs>
          <w:tab w:val="left" w:pos="1077"/>
        </w:tabs>
        <w:suppressAutoHyphens w:val="0"/>
        <w:spacing w:before="120" w:after="120"/>
        <w:ind w:firstLine="601"/>
        <w:jc w:val="both"/>
        <w:rPr>
          <w:rFonts w:ascii="Garamond" w:eastAsia="Calibri" w:hAnsi="Garamond" w:cs="Times New Roman"/>
          <w:bCs/>
          <w:sz w:val="22"/>
          <w:szCs w:val="22"/>
          <w:lang w:eastAsia="en-US"/>
        </w:rPr>
      </w:pPr>
      <w:r w:rsidRPr="00AD67C2">
        <w:rPr>
          <w:rFonts w:ascii="Garamond" w:eastAsia="Calibri" w:hAnsi="Garamond" w:cs="Times New Roman"/>
          <w:bCs/>
          <w:sz w:val="22"/>
          <w:szCs w:val="22"/>
          <w:lang w:eastAsia="en-US"/>
        </w:rPr>
        <w:t xml:space="preserve">В случае принятия Конфликтной комиссией при Наблюдательном совете Совета рынка решения о признании ПСИ в соответствии с приложением 5 к </w:t>
      </w:r>
      <w:r w:rsidRPr="00AD67C2">
        <w:rPr>
          <w:rFonts w:ascii="Garamond" w:eastAsia="Calibri" w:hAnsi="Garamond" w:cs="Times New Roman"/>
          <w:bCs/>
          <w:i/>
          <w:sz w:val="22"/>
          <w:szCs w:val="22"/>
          <w:lang w:eastAsia="en-US"/>
        </w:rPr>
        <w:t xml:space="preserve">Регламенту коммерческого учета электроэнергии и </w:t>
      </w:r>
      <w:r w:rsidRPr="0068450D">
        <w:rPr>
          <w:rFonts w:ascii="Garamond" w:eastAsia="Calibri" w:hAnsi="Garamond" w:cs="Times New Roman"/>
          <w:bCs/>
          <w:i/>
          <w:sz w:val="22"/>
          <w:szCs w:val="22"/>
          <w:lang w:eastAsia="en-US"/>
        </w:rPr>
        <w:t>мощности</w:t>
      </w:r>
      <w:r w:rsidRPr="0068450D">
        <w:rPr>
          <w:rFonts w:ascii="Garamond" w:eastAsia="Calibri" w:hAnsi="Garamond" w:cs="Times New Roman"/>
          <w:bCs/>
          <w:sz w:val="22"/>
          <w:szCs w:val="22"/>
          <w:lang w:eastAsia="en-US"/>
        </w:rPr>
        <w:t xml:space="preserve"> (Приложение № 11 к </w:t>
      </w:r>
      <w:r w:rsidRPr="0068450D">
        <w:rPr>
          <w:rFonts w:ascii="Garamond" w:eastAsia="Calibri" w:hAnsi="Garamond" w:cs="Times New Roman"/>
          <w:bCs/>
          <w:i/>
          <w:sz w:val="22"/>
          <w:szCs w:val="22"/>
          <w:lang w:eastAsia="en-US"/>
        </w:rPr>
        <w:t>Договору о присоединении к торговой системе оптового рынка</w:t>
      </w:r>
      <w:r w:rsidRPr="0068450D">
        <w:rPr>
          <w:rFonts w:ascii="Garamond" w:eastAsia="Calibri" w:hAnsi="Garamond" w:cs="Times New Roman"/>
          <w:bCs/>
          <w:sz w:val="22"/>
          <w:szCs w:val="22"/>
          <w:lang w:eastAsia="en-US"/>
        </w:rPr>
        <w:t xml:space="preserve">) согласованным с </w:t>
      </w:r>
      <w:r w:rsidR="004C37C6" w:rsidRPr="0068450D">
        <w:rPr>
          <w:rFonts w:ascii="Garamond" w:eastAsia="Calibri" w:hAnsi="Garamond" w:cs="Times New Roman"/>
          <w:bCs/>
          <w:sz w:val="22"/>
          <w:szCs w:val="22"/>
          <w:lang w:eastAsia="en-US"/>
        </w:rPr>
        <w:t>субъектом</w:t>
      </w:r>
      <w:r w:rsidRPr="0068450D">
        <w:rPr>
          <w:rFonts w:ascii="Garamond" w:eastAsia="Calibri" w:hAnsi="Garamond" w:cs="Times New Roman"/>
          <w:bCs/>
          <w:sz w:val="22"/>
          <w:szCs w:val="22"/>
          <w:lang w:eastAsia="en-US"/>
        </w:rPr>
        <w:t xml:space="preserve"> оптового</w:t>
      </w:r>
      <w:r w:rsidRPr="00AD67C2">
        <w:rPr>
          <w:rFonts w:ascii="Garamond" w:eastAsia="Calibri" w:hAnsi="Garamond" w:cs="Times New Roman"/>
          <w:bCs/>
          <w:sz w:val="22"/>
          <w:szCs w:val="22"/>
          <w:lang w:eastAsia="en-US"/>
        </w:rPr>
        <w:t xml:space="preserve"> рынка, в состав ГТП которого входит оборудование, заявленное в составе объекта регулирования, заявителю необходимо уведомить об этом КО (уведомление направляется в КО на бумажном носителе). При этом КО загружает в ПАК КО соответствующий ПСИ в порядке и сроки, предусмотренные приложением 5 к </w:t>
      </w:r>
      <w:r w:rsidRPr="00AD67C2">
        <w:rPr>
          <w:rFonts w:ascii="Garamond" w:eastAsia="Calibri" w:hAnsi="Garamond" w:cs="Times New Roman"/>
          <w:bCs/>
          <w:i/>
          <w:sz w:val="22"/>
          <w:szCs w:val="22"/>
          <w:lang w:eastAsia="en-US"/>
        </w:rPr>
        <w:t>Регламенту коммерческого учета электроэнергии и мощности</w:t>
      </w:r>
      <w:r w:rsidRPr="00AD67C2">
        <w:rPr>
          <w:rFonts w:ascii="Garamond" w:eastAsia="Calibri" w:hAnsi="Garamond" w:cs="Times New Roman"/>
          <w:bCs/>
          <w:sz w:val="22"/>
          <w:szCs w:val="22"/>
          <w:lang w:eastAsia="en-US"/>
        </w:rPr>
        <w:t xml:space="preserve"> (Приложение № 11 к </w:t>
      </w:r>
      <w:r w:rsidRPr="00AD67C2">
        <w:rPr>
          <w:rFonts w:ascii="Garamond" w:eastAsia="Calibri" w:hAnsi="Garamond" w:cs="Times New Roman"/>
          <w:bCs/>
          <w:i/>
          <w:sz w:val="22"/>
          <w:szCs w:val="22"/>
          <w:lang w:eastAsia="en-US"/>
        </w:rPr>
        <w:t>Договору о присоединении к торговой системе оптового рынка</w:t>
      </w:r>
      <w:r w:rsidRPr="00AD67C2">
        <w:rPr>
          <w:rFonts w:ascii="Garamond" w:eastAsia="Calibri" w:hAnsi="Garamond" w:cs="Times New Roman"/>
          <w:bCs/>
          <w:sz w:val="22"/>
          <w:szCs w:val="22"/>
          <w:lang w:eastAsia="en-US"/>
        </w:rPr>
        <w:t>).</w:t>
      </w:r>
    </w:p>
    <w:p w14:paraId="19C805C3" w14:textId="13067496" w:rsidR="001333B2" w:rsidRPr="00AD67C2" w:rsidRDefault="001333B2" w:rsidP="00AD67C2">
      <w:pPr>
        <w:widowControl w:val="0"/>
        <w:tabs>
          <w:tab w:val="left" w:pos="1077"/>
        </w:tabs>
        <w:suppressAutoHyphens w:val="0"/>
        <w:spacing w:before="120" w:after="120"/>
        <w:ind w:firstLine="601"/>
        <w:jc w:val="both"/>
        <w:rPr>
          <w:rFonts w:ascii="Garamond" w:eastAsia="Calibri" w:hAnsi="Garamond" w:cs="Times New Roman"/>
          <w:bCs/>
          <w:sz w:val="22"/>
          <w:szCs w:val="22"/>
          <w:lang w:eastAsia="en-US"/>
        </w:rPr>
      </w:pPr>
      <w:r w:rsidRPr="00AD67C2">
        <w:rPr>
          <w:rFonts w:ascii="Garamond" w:eastAsia="Calibri" w:hAnsi="Garamond" w:cs="Times New Roman"/>
          <w:bCs/>
          <w:sz w:val="22"/>
          <w:szCs w:val="22"/>
          <w:lang w:eastAsia="en-US"/>
        </w:rPr>
        <w:t xml:space="preserve">После получения ответной квитанции (макет 60001) с положительным результатом </w:t>
      </w:r>
      <w:r w:rsidRPr="00AD67C2">
        <w:rPr>
          <w:rFonts w:ascii="Garamond" w:eastAsia="Calibri" w:hAnsi="Garamond" w:cs="Times New Roman"/>
          <w:bCs/>
          <w:sz w:val="22"/>
          <w:szCs w:val="22"/>
          <w:lang w:eastAsia="en-US"/>
        </w:rPr>
        <w:lastRenderedPageBreak/>
        <w:t>автоматической проверки макета 60000 заявитель предоставляет в КО в соответствии с требованиями п. 2.2.1 настоящего Положения через ПСЗ следующие документы:</w:t>
      </w:r>
    </w:p>
    <w:p w14:paraId="2991C782" w14:textId="2F70D704" w:rsidR="001333B2" w:rsidRPr="00AD67C2" w:rsidRDefault="001333B2" w:rsidP="00AD67C2">
      <w:pPr>
        <w:widowControl w:val="0"/>
        <w:numPr>
          <w:ilvl w:val="0"/>
          <w:numId w:val="320"/>
        </w:numPr>
        <w:tabs>
          <w:tab w:val="left" w:pos="851"/>
        </w:tabs>
        <w:suppressAutoHyphens w:val="0"/>
        <w:spacing w:before="120" w:after="120" w:line="259" w:lineRule="auto"/>
        <w:ind w:left="0" w:firstLine="601"/>
        <w:jc w:val="both"/>
        <w:rPr>
          <w:rFonts w:ascii="Garamond" w:eastAsia="Calibri" w:hAnsi="Garamond" w:cs="Times New Roman"/>
          <w:bCs/>
          <w:sz w:val="22"/>
          <w:szCs w:val="22"/>
          <w:lang w:eastAsia="en-US"/>
        </w:rPr>
      </w:pPr>
      <w:r w:rsidRPr="0068450D">
        <w:rPr>
          <w:rFonts w:ascii="Garamond" w:eastAsia="Calibri" w:hAnsi="Garamond" w:cs="Times New Roman"/>
          <w:bCs/>
          <w:sz w:val="22"/>
          <w:szCs w:val="22"/>
          <w:lang w:eastAsia="en-US"/>
        </w:rPr>
        <w:t xml:space="preserve">заявление </w:t>
      </w:r>
      <w:r w:rsidR="0032437E" w:rsidRPr="0068450D">
        <w:rPr>
          <w:rFonts w:ascii="Garamond" w:eastAsia="Calibri" w:hAnsi="Garamond" w:cs="Times New Roman"/>
          <w:sz w:val="22"/>
          <w:szCs w:val="22"/>
          <w:lang w:eastAsia="en-US"/>
        </w:rPr>
        <w:t>о</w:t>
      </w:r>
      <w:r w:rsidRPr="0068450D">
        <w:rPr>
          <w:rFonts w:ascii="Garamond" w:eastAsia="Calibri" w:hAnsi="Garamond" w:cs="Times New Roman"/>
          <w:sz w:val="22"/>
          <w:szCs w:val="22"/>
          <w:lang w:eastAsia="en-US"/>
        </w:rPr>
        <w:t xml:space="preserve"> регистраци</w:t>
      </w:r>
      <w:r w:rsidR="0032437E" w:rsidRPr="0068450D">
        <w:rPr>
          <w:rFonts w:ascii="Garamond" w:eastAsia="Calibri" w:hAnsi="Garamond" w:cs="Times New Roman"/>
          <w:sz w:val="22"/>
          <w:szCs w:val="22"/>
          <w:lang w:eastAsia="en-US"/>
        </w:rPr>
        <w:t>и и аттестации</w:t>
      </w:r>
      <w:r w:rsidRPr="0068450D">
        <w:rPr>
          <w:rFonts w:ascii="Garamond" w:eastAsia="Calibri" w:hAnsi="Garamond" w:cs="Times New Roman"/>
          <w:sz w:val="22"/>
          <w:szCs w:val="22"/>
          <w:lang w:eastAsia="en-US"/>
        </w:rPr>
        <w:t xml:space="preserve"> </w:t>
      </w:r>
      <w:r w:rsidR="00082413" w:rsidRPr="0068450D">
        <w:rPr>
          <w:rFonts w:ascii="Garamond" w:eastAsia="Calibri" w:hAnsi="Garamond" w:cs="Times New Roman"/>
          <w:sz w:val="22"/>
          <w:szCs w:val="22"/>
          <w:lang w:eastAsia="en-US"/>
        </w:rPr>
        <w:t>нового</w:t>
      </w:r>
      <w:r w:rsidRPr="0068450D">
        <w:rPr>
          <w:rFonts w:ascii="Garamond" w:eastAsia="Calibri" w:hAnsi="Garamond" w:cs="Times New Roman"/>
          <w:bCs/>
          <w:sz w:val="22"/>
          <w:szCs w:val="22"/>
          <w:lang w:eastAsia="en-US"/>
        </w:rPr>
        <w:t xml:space="preserve"> объекта регулирования по форме 1, указанной в настоящем пр</w:t>
      </w:r>
      <w:r w:rsidRPr="00AD67C2">
        <w:rPr>
          <w:rFonts w:ascii="Garamond" w:eastAsia="Calibri" w:hAnsi="Garamond" w:cs="Times New Roman"/>
          <w:bCs/>
          <w:sz w:val="22"/>
          <w:szCs w:val="22"/>
          <w:lang w:eastAsia="en-US"/>
        </w:rPr>
        <w:t>иложении (код формы PART_ATS_ZAJAVL_NEW_OREG_</w:t>
      </w:r>
      <w:r w:rsidRPr="00AD67C2">
        <w:rPr>
          <w:rFonts w:ascii="Garamond" w:eastAsia="Calibri" w:hAnsi="Garamond" w:cs="Times New Roman"/>
          <w:bCs/>
          <w:sz w:val="22"/>
          <w:szCs w:val="22"/>
          <w:lang w:val="en-US" w:eastAsia="en-US"/>
        </w:rPr>
        <w:t>WEB</w:t>
      </w:r>
      <w:r w:rsidRPr="00AD67C2">
        <w:rPr>
          <w:rFonts w:ascii="Garamond" w:eastAsia="Calibri" w:hAnsi="Garamond" w:cs="Times New Roman"/>
          <w:bCs/>
          <w:sz w:val="22"/>
          <w:szCs w:val="22"/>
          <w:lang w:eastAsia="en-US"/>
        </w:rPr>
        <w:t xml:space="preserve">); </w:t>
      </w:r>
    </w:p>
    <w:p w14:paraId="589F8C82" w14:textId="77777777" w:rsidR="006E16F3" w:rsidRPr="0068450D" w:rsidRDefault="006E16F3" w:rsidP="00AD67C2">
      <w:pPr>
        <w:pStyle w:val="affff3"/>
        <w:numPr>
          <w:ilvl w:val="0"/>
          <w:numId w:val="320"/>
        </w:numPr>
        <w:tabs>
          <w:tab w:val="clear" w:pos="1077"/>
          <w:tab w:val="left" w:pos="851"/>
        </w:tabs>
        <w:ind w:left="0" w:firstLine="601"/>
      </w:pPr>
      <w:r w:rsidRPr="0068450D">
        <w:t>графическую электронную копию платежного поручения, подтверждающего факт оплаты услуг КО по процедуре регистрации объекта регулирования (код формы PART_ATS_OPLATA_OREG_</w:t>
      </w:r>
      <w:r w:rsidRPr="0068450D">
        <w:rPr>
          <w:lang w:val="en-US"/>
        </w:rPr>
        <w:t>WEB</w:t>
      </w:r>
      <w:r w:rsidRPr="0068450D">
        <w:t>). Услуги КО по процедуре регистрации объекта регулирования оплачиваются по ценам (тарифам), установленным в порядке, определенном законодательством Российской Федерации;</w:t>
      </w:r>
    </w:p>
    <w:p w14:paraId="7BDE3F99" w14:textId="2DD73251" w:rsidR="001333B2" w:rsidRPr="00AD67C2" w:rsidRDefault="001333B2" w:rsidP="00AD67C2">
      <w:pPr>
        <w:widowControl w:val="0"/>
        <w:numPr>
          <w:ilvl w:val="0"/>
          <w:numId w:val="320"/>
        </w:numPr>
        <w:tabs>
          <w:tab w:val="left" w:pos="851"/>
        </w:tabs>
        <w:suppressAutoHyphens w:val="0"/>
        <w:spacing w:before="120" w:after="120" w:line="259" w:lineRule="auto"/>
        <w:ind w:left="0" w:firstLine="601"/>
        <w:jc w:val="both"/>
        <w:rPr>
          <w:rFonts w:ascii="Garamond" w:eastAsia="Calibri" w:hAnsi="Garamond" w:cs="Times New Roman"/>
          <w:bCs/>
          <w:sz w:val="22"/>
          <w:szCs w:val="22"/>
          <w:lang w:eastAsia="en-US"/>
        </w:rPr>
      </w:pPr>
      <w:r w:rsidRPr="0068450D">
        <w:rPr>
          <w:rFonts w:ascii="Garamond" w:eastAsia="Calibri" w:hAnsi="Garamond" w:cs="Times New Roman"/>
          <w:bCs/>
          <w:sz w:val="22"/>
          <w:szCs w:val="22"/>
          <w:lang w:eastAsia="en-US"/>
        </w:rPr>
        <w:t>графическую</w:t>
      </w:r>
      <w:r w:rsidRPr="00AD67C2">
        <w:rPr>
          <w:rFonts w:ascii="Garamond" w:eastAsia="Calibri" w:hAnsi="Garamond" w:cs="Times New Roman"/>
          <w:bCs/>
          <w:sz w:val="22"/>
          <w:szCs w:val="22"/>
          <w:lang w:eastAsia="en-US"/>
        </w:rPr>
        <w:t xml:space="preserve"> электронную копию или визуальную форму представления договора оказания услуг по изменению режима потребления электрической энергии, заключенного с собственником или иным законным владельцем энергопринимающего оборудования и (при наличии) </w:t>
      </w:r>
      <w:r w:rsidRPr="00353322">
        <w:rPr>
          <w:rFonts w:ascii="Garamond" w:eastAsia="Calibri" w:hAnsi="Garamond" w:cs="Times New Roman"/>
          <w:bCs/>
          <w:sz w:val="22"/>
          <w:szCs w:val="22"/>
          <w:lang w:eastAsia="en-US"/>
        </w:rPr>
        <w:t>связанных с ним объектов по производству электрической энергии и (или) систем накопления электрическо</w:t>
      </w:r>
      <w:r w:rsidRPr="0068450D">
        <w:rPr>
          <w:rFonts w:ascii="Garamond" w:eastAsia="Calibri" w:hAnsi="Garamond" w:cs="Times New Roman"/>
          <w:bCs/>
          <w:sz w:val="22"/>
          <w:szCs w:val="22"/>
          <w:lang w:eastAsia="en-US"/>
        </w:rPr>
        <w:t xml:space="preserve">й энергии, содержащего сведения </w:t>
      </w:r>
      <w:r w:rsidR="006E16F3" w:rsidRPr="0068450D">
        <w:rPr>
          <w:rFonts w:ascii="Garamond" w:eastAsia="Calibri" w:hAnsi="Garamond" w:cs="Times New Roman"/>
          <w:bCs/>
          <w:sz w:val="22"/>
          <w:szCs w:val="22"/>
          <w:lang w:eastAsia="en-US"/>
        </w:rPr>
        <w:t>о предмете договора</w:t>
      </w:r>
      <w:r w:rsidR="0068450D" w:rsidRPr="0068450D">
        <w:rPr>
          <w:rFonts w:ascii="Garamond" w:eastAsia="Calibri" w:hAnsi="Garamond" w:cs="Times New Roman"/>
          <w:bCs/>
          <w:sz w:val="22"/>
          <w:szCs w:val="22"/>
          <w:lang w:eastAsia="en-US"/>
        </w:rPr>
        <w:t>,</w:t>
      </w:r>
      <w:r w:rsidR="00E41247" w:rsidRPr="0068450D">
        <w:rPr>
          <w:rFonts w:ascii="Garamond" w:eastAsia="Calibri" w:hAnsi="Garamond" w:cs="Times New Roman"/>
          <w:bCs/>
          <w:sz w:val="22"/>
          <w:szCs w:val="22"/>
          <w:lang w:eastAsia="en-US"/>
        </w:rPr>
        <w:t xml:space="preserve"> о дате начала оказания услуг, а также о дате окончания оказания услуг (при наличии)</w:t>
      </w:r>
      <w:r w:rsidR="006E16F3" w:rsidRPr="0068450D">
        <w:rPr>
          <w:rFonts w:ascii="Garamond" w:eastAsia="Calibri" w:hAnsi="Garamond" w:cs="Times New Roman"/>
          <w:bCs/>
          <w:sz w:val="22"/>
          <w:szCs w:val="22"/>
          <w:lang w:eastAsia="en-US"/>
        </w:rPr>
        <w:t xml:space="preserve">, об объекте регулирования, </w:t>
      </w:r>
      <w:r w:rsidRPr="0068450D">
        <w:rPr>
          <w:rFonts w:ascii="Garamond" w:eastAsia="Calibri" w:hAnsi="Garamond" w:cs="Times New Roman"/>
          <w:bCs/>
          <w:sz w:val="22"/>
          <w:szCs w:val="22"/>
          <w:lang w:eastAsia="en-US"/>
        </w:rPr>
        <w:t xml:space="preserve">об объеме снижения потребления и о длительности непрерывного снижения потребления </w:t>
      </w:r>
      <w:r w:rsidR="004C37C6" w:rsidRPr="0068450D">
        <w:rPr>
          <w:rFonts w:ascii="Garamond" w:eastAsia="Calibri" w:hAnsi="Garamond" w:cs="Times New Roman"/>
          <w:bCs/>
          <w:sz w:val="22"/>
          <w:szCs w:val="22"/>
          <w:lang w:eastAsia="en-US"/>
        </w:rPr>
        <w:t>данного</w:t>
      </w:r>
      <w:r w:rsidRPr="0068450D">
        <w:rPr>
          <w:rFonts w:ascii="Garamond" w:eastAsia="Calibri" w:hAnsi="Garamond" w:cs="Times New Roman"/>
          <w:bCs/>
          <w:sz w:val="22"/>
          <w:szCs w:val="22"/>
          <w:lang w:eastAsia="en-US"/>
        </w:rPr>
        <w:t xml:space="preserve"> объекта регулирования потребления электрической энергии</w:t>
      </w:r>
      <w:r w:rsidRPr="00AD67C2">
        <w:rPr>
          <w:rFonts w:ascii="Garamond" w:eastAsia="Calibri" w:hAnsi="Garamond" w:cs="Times New Roman"/>
          <w:bCs/>
          <w:sz w:val="22"/>
          <w:szCs w:val="22"/>
          <w:lang w:eastAsia="en-US"/>
        </w:rPr>
        <w:t xml:space="preserve"> (код формы PART_ATS_DOU_OREG_</w:t>
      </w:r>
      <w:r w:rsidRPr="00AD67C2">
        <w:rPr>
          <w:rFonts w:ascii="Garamond" w:eastAsia="Calibri" w:hAnsi="Garamond" w:cs="Times New Roman"/>
          <w:bCs/>
          <w:sz w:val="22"/>
          <w:szCs w:val="22"/>
          <w:lang w:val="en-US" w:eastAsia="en-US"/>
        </w:rPr>
        <w:t>WEB</w:t>
      </w:r>
      <w:r w:rsidRPr="00AD67C2">
        <w:rPr>
          <w:rFonts w:ascii="Garamond" w:eastAsia="Calibri" w:hAnsi="Garamond" w:cs="Times New Roman"/>
          <w:bCs/>
          <w:sz w:val="22"/>
          <w:szCs w:val="22"/>
          <w:lang w:eastAsia="en-US"/>
        </w:rPr>
        <w:t>) (не предоставляется субъектом оптового рынка в случае регистрации объекта регулирования в отношении энергопринимающего оборудования, входящего в состав закрепленной за ним ГТП потребления крупного потребителя);</w:t>
      </w:r>
    </w:p>
    <w:p w14:paraId="183AD1C3" w14:textId="6DC814CB" w:rsidR="001333B2" w:rsidRPr="00AD67C2" w:rsidRDefault="001333B2" w:rsidP="00AD67C2">
      <w:pPr>
        <w:widowControl w:val="0"/>
        <w:numPr>
          <w:ilvl w:val="0"/>
          <w:numId w:val="320"/>
        </w:numPr>
        <w:tabs>
          <w:tab w:val="left" w:pos="851"/>
        </w:tabs>
        <w:suppressAutoHyphens w:val="0"/>
        <w:spacing w:before="120" w:after="120" w:line="259" w:lineRule="auto"/>
        <w:ind w:left="0" w:firstLine="601"/>
        <w:jc w:val="both"/>
        <w:rPr>
          <w:rFonts w:ascii="Garamond" w:eastAsia="Calibri" w:hAnsi="Garamond" w:cs="Times New Roman"/>
          <w:bCs/>
          <w:sz w:val="22"/>
          <w:szCs w:val="22"/>
          <w:lang w:eastAsia="en-US"/>
        </w:rPr>
      </w:pPr>
      <w:r w:rsidRPr="00AD67C2">
        <w:rPr>
          <w:rFonts w:ascii="Garamond" w:eastAsia="Calibri" w:hAnsi="Garamond" w:cs="Times New Roman"/>
          <w:bCs/>
          <w:sz w:val="22"/>
          <w:szCs w:val="22"/>
          <w:lang w:eastAsia="en-US"/>
        </w:rPr>
        <w:t>графическую электронную копию или визуальную форму представления документов, подтверждающих прекращение договора оказания услуг по изменению режима потребления электрической энергии, заключенного в отношении энергопринимающего оборудования</w:t>
      </w:r>
      <w:r w:rsidR="009B5F03">
        <w:rPr>
          <w:rFonts w:ascii="Garamond" w:eastAsia="Calibri" w:hAnsi="Garamond" w:cs="Times New Roman"/>
          <w:bCs/>
          <w:sz w:val="22"/>
          <w:szCs w:val="22"/>
          <w:lang w:eastAsia="en-US"/>
        </w:rPr>
        <w:t xml:space="preserve"> </w:t>
      </w:r>
      <w:r w:rsidRPr="00AD67C2">
        <w:rPr>
          <w:rFonts w:ascii="Garamond" w:eastAsia="Calibri" w:hAnsi="Garamond" w:cs="Times New Roman"/>
          <w:bCs/>
          <w:sz w:val="22"/>
          <w:szCs w:val="22"/>
          <w:lang w:eastAsia="en-US"/>
        </w:rPr>
        <w:t xml:space="preserve">и (при наличии) связанных с ним объектов по производству </w:t>
      </w:r>
      <w:r w:rsidRPr="00F63146">
        <w:rPr>
          <w:rFonts w:ascii="Garamond" w:eastAsia="Calibri" w:hAnsi="Garamond" w:cs="Times New Roman"/>
          <w:bCs/>
          <w:sz w:val="22"/>
          <w:szCs w:val="22"/>
          <w:lang w:eastAsia="en-US"/>
        </w:rPr>
        <w:t>электрической энергии и (или) систем накопления электрической энергии с лицами, ранее зарегистрировавшими</w:t>
      </w:r>
      <w:r w:rsidR="006E16F3" w:rsidRPr="00F63146">
        <w:rPr>
          <w:rFonts w:ascii="Garamond" w:hAnsi="Garamond"/>
          <w:sz w:val="22"/>
          <w:szCs w:val="22"/>
        </w:rPr>
        <w:t xml:space="preserve"> </w:t>
      </w:r>
      <w:r w:rsidR="006E16F3" w:rsidRPr="00F63146">
        <w:rPr>
          <w:rFonts w:ascii="Garamond" w:eastAsia="Calibri" w:hAnsi="Garamond" w:cs="Times New Roman"/>
          <w:bCs/>
          <w:sz w:val="22"/>
          <w:szCs w:val="22"/>
          <w:lang w:eastAsia="en-US"/>
        </w:rPr>
        <w:t>на дату направления документов, установленных п. 2.1 настоящего приложения</w:t>
      </w:r>
      <w:r w:rsidR="00F63146" w:rsidRPr="00F63146">
        <w:rPr>
          <w:rFonts w:ascii="Garamond" w:eastAsia="Calibri" w:hAnsi="Garamond" w:cs="Times New Roman"/>
          <w:bCs/>
          <w:sz w:val="22"/>
          <w:szCs w:val="22"/>
          <w:lang w:eastAsia="en-US"/>
        </w:rPr>
        <w:t>,</w:t>
      </w:r>
      <w:r w:rsidRPr="00F63146">
        <w:rPr>
          <w:rFonts w:ascii="Garamond" w:eastAsia="Calibri" w:hAnsi="Garamond" w:cs="Times New Roman"/>
          <w:bCs/>
          <w:sz w:val="22"/>
          <w:szCs w:val="22"/>
          <w:lang w:eastAsia="en-US"/>
        </w:rPr>
        <w:t xml:space="preserve"> в отношении указанного оборудования объект регулирования потребления электрической энергии (предоставляется в случае, если в отношении энергопринимающего оборудования, подлежащего включению</w:t>
      </w:r>
      <w:r w:rsidRPr="00AD67C2">
        <w:rPr>
          <w:rFonts w:ascii="Garamond" w:eastAsia="Calibri" w:hAnsi="Garamond" w:cs="Times New Roman"/>
          <w:bCs/>
          <w:sz w:val="22"/>
          <w:szCs w:val="22"/>
          <w:lang w:eastAsia="en-US"/>
        </w:rPr>
        <w:t xml:space="preserve"> в состав нового объекта регулирования, ранее был зарегистрирован объект регулирования иным лицом) (код формы PART_ATS_DDEL_OREG_</w:t>
      </w:r>
      <w:r w:rsidRPr="00AD67C2">
        <w:rPr>
          <w:rFonts w:ascii="Garamond" w:eastAsia="Calibri" w:hAnsi="Garamond" w:cs="Times New Roman"/>
          <w:bCs/>
          <w:sz w:val="22"/>
          <w:szCs w:val="22"/>
          <w:lang w:val="en-US" w:eastAsia="en-US"/>
        </w:rPr>
        <w:t>WEB</w:t>
      </w:r>
      <w:r w:rsidRPr="00AD67C2">
        <w:rPr>
          <w:rFonts w:ascii="Garamond" w:eastAsia="Calibri" w:hAnsi="Garamond" w:cs="Times New Roman"/>
          <w:bCs/>
          <w:sz w:val="22"/>
          <w:szCs w:val="22"/>
          <w:lang w:eastAsia="en-US"/>
        </w:rPr>
        <w:t>);</w:t>
      </w:r>
    </w:p>
    <w:p w14:paraId="238DDF03" w14:textId="062267BE" w:rsidR="001333B2" w:rsidRPr="00F63146" w:rsidRDefault="006E16F3" w:rsidP="00AD67C2">
      <w:pPr>
        <w:widowControl w:val="0"/>
        <w:numPr>
          <w:ilvl w:val="0"/>
          <w:numId w:val="320"/>
        </w:numPr>
        <w:tabs>
          <w:tab w:val="left" w:pos="851"/>
        </w:tabs>
        <w:suppressAutoHyphens w:val="0"/>
        <w:spacing w:before="120" w:after="120" w:line="259" w:lineRule="auto"/>
        <w:ind w:left="0" w:firstLine="601"/>
        <w:jc w:val="both"/>
        <w:rPr>
          <w:rFonts w:ascii="Garamond" w:eastAsia="Calibri" w:hAnsi="Garamond" w:cs="Times New Roman"/>
          <w:bCs/>
          <w:sz w:val="22"/>
          <w:szCs w:val="22"/>
          <w:lang w:eastAsia="en-US"/>
        </w:rPr>
      </w:pPr>
      <w:r w:rsidRPr="00F63146">
        <w:rPr>
          <w:rFonts w:ascii="Garamond" w:eastAsia="Calibri" w:hAnsi="Garamond" w:cs="Times New Roman"/>
          <w:bCs/>
          <w:sz w:val="22"/>
          <w:szCs w:val="22"/>
          <w:lang w:eastAsia="en-US"/>
        </w:rPr>
        <w:t>информацию</w:t>
      </w:r>
      <w:r w:rsidR="009B5F03" w:rsidRPr="00F63146">
        <w:rPr>
          <w:rFonts w:ascii="Garamond" w:eastAsia="Calibri" w:hAnsi="Garamond" w:cs="Times New Roman"/>
          <w:bCs/>
          <w:sz w:val="22"/>
          <w:szCs w:val="22"/>
          <w:lang w:eastAsia="en-US"/>
        </w:rPr>
        <w:t xml:space="preserve"> </w:t>
      </w:r>
      <w:r w:rsidRPr="00F63146">
        <w:rPr>
          <w:rFonts w:ascii="Garamond" w:eastAsia="Calibri" w:hAnsi="Garamond" w:cs="Times New Roman"/>
          <w:bCs/>
          <w:sz w:val="22"/>
          <w:szCs w:val="22"/>
          <w:lang w:eastAsia="en-US"/>
        </w:rPr>
        <w:t>о договор</w:t>
      </w:r>
      <w:r w:rsidR="003E0733" w:rsidRPr="00F63146">
        <w:rPr>
          <w:rFonts w:ascii="Garamond" w:eastAsia="Calibri" w:hAnsi="Garamond" w:cs="Times New Roman"/>
          <w:bCs/>
          <w:sz w:val="22"/>
          <w:szCs w:val="22"/>
          <w:lang w:eastAsia="en-US"/>
        </w:rPr>
        <w:t>е</w:t>
      </w:r>
      <w:r w:rsidRPr="00F63146">
        <w:rPr>
          <w:rFonts w:ascii="Garamond" w:eastAsia="Calibri" w:hAnsi="Garamond" w:cs="Times New Roman"/>
          <w:bCs/>
          <w:sz w:val="22"/>
          <w:szCs w:val="22"/>
          <w:lang w:eastAsia="en-US"/>
        </w:rPr>
        <w:t xml:space="preserve"> </w:t>
      </w:r>
      <w:r w:rsidR="004A1C86" w:rsidRPr="00F63146">
        <w:rPr>
          <w:rFonts w:ascii="Garamond" w:eastAsia="Calibri" w:hAnsi="Garamond" w:cs="Times New Roman"/>
          <w:bCs/>
          <w:sz w:val="22"/>
          <w:szCs w:val="22"/>
          <w:lang w:eastAsia="en-US"/>
        </w:rPr>
        <w:t>оказания</w:t>
      </w:r>
      <w:r w:rsidRPr="00F63146">
        <w:rPr>
          <w:rFonts w:ascii="Garamond" w:eastAsia="Calibri" w:hAnsi="Garamond" w:cs="Times New Roman"/>
          <w:bCs/>
          <w:sz w:val="22"/>
          <w:szCs w:val="22"/>
          <w:lang w:eastAsia="en-US"/>
        </w:rPr>
        <w:t xml:space="preserve"> услуг по передаче электрической энергии</w:t>
      </w:r>
      <w:r w:rsidR="00F6233E" w:rsidRPr="00F63146">
        <w:rPr>
          <w:rFonts w:ascii="Garamond" w:eastAsia="Calibri" w:hAnsi="Garamond" w:cs="Times New Roman"/>
          <w:bCs/>
          <w:sz w:val="22"/>
          <w:szCs w:val="22"/>
          <w:lang w:eastAsia="en-US"/>
        </w:rPr>
        <w:t>, заключенном</w:t>
      </w:r>
      <w:r w:rsidRPr="00F63146">
        <w:rPr>
          <w:rFonts w:ascii="Garamond" w:eastAsia="Calibri" w:hAnsi="Garamond" w:cs="Times New Roman"/>
          <w:bCs/>
          <w:sz w:val="22"/>
          <w:szCs w:val="22"/>
          <w:lang w:eastAsia="en-US"/>
        </w:rPr>
        <w:t xml:space="preserve"> с организацией по управлению единой национальной (общероссийской) электрической сетью (в случаях, предусмотренных законодательством Российской Федерации) или с территориальными сетевыми организациями, к сетям которой </w:t>
      </w:r>
      <w:r w:rsidR="008800D7">
        <w:rPr>
          <w:rFonts w:ascii="Garamond" w:eastAsia="Calibri" w:hAnsi="Garamond" w:cs="Times New Roman"/>
          <w:bCs/>
          <w:sz w:val="22"/>
          <w:szCs w:val="22"/>
          <w:lang w:eastAsia="en-US"/>
        </w:rPr>
        <w:t xml:space="preserve">(-ых) </w:t>
      </w:r>
      <w:r w:rsidRPr="00F63146">
        <w:rPr>
          <w:rFonts w:ascii="Garamond" w:eastAsia="Calibri" w:hAnsi="Garamond" w:cs="Times New Roman"/>
          <w:bCs/>
          <w:sz w:val="22"/>
          <w:szCs w:val="22"/>
          <w:lang w:eastAsia="en-US"/>
        </w:rPr>
        <w:t xml:space="preserve">подключено оборудование объекта регулирования, если </w:t>
      </w:r>
      <w:r w:rsidR="00521B73" w:rsidRPr="00F63146">
        <w:rPr>
          <w:rFonts w:ascii="Garamond" w:eastAsia="Calibri" w:hAnsi="Garamond" w:cs="Times New Roman"/>
          <w:bCs/>
          <w:sz w:val="22"/>
          <w:szCs w:val="22"/>
          <w:lang w:eastAsia="en-US"/>
        </w:rPr>
        <w:t xml:space="preserve">владелец </w:t>
      </w:r>
      <w:r w:rsidRPr="00F63146">
        <w:rPr>
          <w:rFonts w:ascii="Garamond" w:eastAsia="Calibri" w:hAnsi="Garamond" w:cs="Times New Roman"/>
          <w:bCs/>
          <w:sz w:val="22"/>
          <w:szCs w:val="22"/>
          <w:lang w:eastAsia="en-US"/>
        </w:rPr>
        <w:t xml:space="preserve">оборудования, входящего в объект регулирования, в соответствии с законодательством Российской Федерации является плательщиком по такому договору, либо </w:t>
      </w:r>
      <w:r w:rsidR="00F6233E" w:rsidRPr="00F63146">
        <w:rPr>
          <w:rFonts w:ascii="Garamond" w:eastAsia="Calibri" w:hAnsi="Garamond" w:cs="Times New Roman"/>
          <w:bCs/>
          <w:sz w:val="22"/>
          <w:szCs w:val="22"/>
          <w:lang w:eastAsia="en-US"/>
        </w:rPr>
        <w:t xml:space="preserve">о </w:t>
      </w:r>
      <w:r w:rsidRPr="00F63146">
        <w:rPr>
          <w:rFonts w:ascii="Garamond" w:eastAsia="Calibri" w:hAnsi="Garamond" w:cs="Times New Roman"/>
          <w:bCs/>
          <w:sz w:val="22"/>
          <w:szCs w:val="22"/>
          <w:lang w:eastAsia="en-US"/>
        </w:rPr>
        <w:t>договор</w:t>
      </w:r>
      <w:r w:rsidR="003E0733" w:rsidRPr="00F63146">
        <w:rPr>
          <w:rFonts w:ascii="Garamond" w:eastAsia="Calibri" w:hAnsi="Garamond" w:cs="Times New Roman"/>
          <w:bCs/>
          <w:sz w:val="22"/>
          <w:szCs w:val="22"/>
          <w:lang w:eastAsia="en-US"/>
        </w:rPr>
        <w:t>е</w:t>
      </w:r>
      <w:r w:rsidRPr="00F63146">
        <w:rPr>
          <w:rFonts w:ascii="Garamond" w:eastAsia="Calibri" w:hAnsi="Garamond" w:cs="Times New Roman"/>
          <w:bCs/>
          <w:sz w:val="22"/>
          <w:szCs w:val="22"/>
          <w:lang w:eastAsia="en-US"/>
        </w:rPr>
        <w:t xml:space="preserve"> энергоснабжения, заключенно</w:t>
      </w:r>
      <w:r w:rsidR="003E0733" w:rsidRPr="00F63146">
        <w:rPr>
          <w:rFonts w:ascii="Garamond" w:eastAsia="Calibri" w:hAnsi="Garamond" w:cs="Times New Roman"/>
          <w:bCs/>
          <w:sz w:val="22"/>
          <w:szCs w:val="22"/>
          <w:lang w:eastAsia="en-US"/>
        </w:rPr>
        <w:t>м</w:t>
      </w:r>
      <w:r w:rsidRPr="00F63146">
        <w:rPr>
          <w:rFonts w:ascii="Garamond" w:eastAsia="Calibri" w:hAnsi="Garamond" w:cs="Times New Roman"/>
          <w:bCs/>
          <w:sz w:val="22"/>
          <w:szCs w:val="22"/>
          <w:lang w:eastAsia="en-US"/>
        </w:rPr>
        <w:t xml:space="preserve"> владельцем оборудования, входящего в объект регулирования. Документ предоставляется </w:t>
      </w:r>
      <w:r w:rsidR="001333B2" w:rsidRPr="00F63146">
        <w:rPr>
          <w:rFonts w:ascii="Garamond" w:eastAsia="Calibri" w:hAnsi="Garamond" w:cs="Times New Roman"/>
          <w:bCs/>
          <w:sz w:val="22"/>
          <w:szCs w:val="22"/>
          <w:lang w:eastAsia="en-US"/>
        </w:rPr>
        <w:t>по форме 3, указанной в настоящем приложении (код формы PART_ATS_INFOD_OREG_</w:t>
      </w:r>
      <w:r w:rsidR="001333B2" w:rsidRPr="00F63146">
        <w:rPr>
          <w:rFonts w:ascii="Garamond" w:eastAsia="Calibri" w:hAnsi="Garamond" w:cs="Times New Roman"/>
          <w:bCs/>
          <w:sz w:val="22"/>
          <w:szCs w:val="22"/>
          <w:lang w:val="en-US" w:eastAsia="en-US"/>
        </w:rPr>
        <w:t>WEB</w:t>
      </w:r>
      <w:r w:rsidR="001333B2" w:rsidRPr="00F63146">
        <w:rPr>
          <w:rFonts w:ascii="Garamond" w:eastAsia="Calibri" w:hAnsi="Garamond" w:cs="Times New Roman"/>
          <w:bCs/>
          <w:sz w:val="22"/>
          <w:szCs w:val="22"/>
          <w:lang w:eastAsia="en-US"/>
        </w:rPr>
        <w:t>);</w:t>
      </w:r>
    </w:p>
    <w:p w14:paraId="14B14046" w14:textId="2B23F12E" w:rsidR="001333B2" w:rsidRPr="00AD67C2" w:rsidRDefault="001333B2" w:rsidP="00AD67C2">
      <w:pPr>
        <w:widowControl w:val="0"/>
        <w:numPr>
          <w:ilvl w:val="0"/>
          <w:numId w:val="320"/>
        </w:numPr>
        <w:tabs>
          <w:tab w:val="left" w:pos="851"/>
        </w:tabs>
        <w:suppressAutoHyphens w:val="0"/>
        <w:spacing w:before="120" w:after="120" w:line="259" w:lineRule="auto"/>
        <w:ind w:left="0" w:firstLine="601"/>
        <w:jc w:val="both"/>
        <w:rPr>
          <w:rFonts w:ascii="Garamond" w:eastAsia="Calibri" w:hAnsi="Garamond" w:cs="Times New Roman"/>
          <w:bCs/>
          <w:sz w:val="22"/>
          <w:szCs w:val="22"/>
          <w:lang w:eastAsia="en-US"/>
        </w:rPr>
      </w:pPr>
      <w:r w:rsidRPr="00F63146">
        <w:rPr>
          <w:rFonts w:ascii="Garamond" w:eastAsia="Calibri" w:hAnsi="Garamond" w:cs="Times New Roman"/>
          <w:bCs/>
          <w:sz w:val="22"/>
          <w:szCs w:val="22"/>
          <w:lang w:eastAsia="en-US"/>
        </w:rPr>
        <w:t>графическую</w:t>
      </w:r>
      <w:r w:rsidRPr="00AD67C2">
        <w:rPr>
          <w:rFonts w:ascii="Garamond" w:eastAsia="Calibri" w:hAnsi="Garamond" w:cs="Times New Roman"/>
          <w:bCs/>
          <w:sz w:val="22"/>
          <w:szCs w:val="22"/>
          <w:lang w:eastAsia="en-US"/>
        </w:rPr>
        <w:t xml:space="preserve"> электронную копию однолинейной схемы присоединения оборудования объекта регулирования к внешней электрической сети, согласованную заявителем (субъектом оптового рынка), владельцем оборудования, входящего в объект регулирования</w:t>
      </w:r>
      <w:r w:rsidR="00F63146">
        <w:rPr>
          <w:rFonts w:ascii="Garamond" w:eastAsia="Calibri" w:hAnsi="Garamond" w:cs="Times New Roman"/>
          <w:bCs/>
          <w:sz w:val="22"/>
          <w:szCs w:val="22"/>
          <w:lang w:eastAsia="en-US"/>
        </w:rPr>
        <w:t>,</w:t>
      </w:r>
      <w:r w:rsidRPr="00AD67C2">
        <w:rPr>
          <w:rFonts w:ascii="Garamond" w:eastAsia="Calibri" w:hAnsi="Garamond" w:cs="Times New Roman"/>
          <w:bCs/>
          <w:sz w:val="22"/>
          <w:szCs w:val="22"/>
          <w:lang w:eastAsia="en-US"/>
        </w:rPr>
        <w:t xml:space="preserve"> и смежным (-ми) владельцем (-ами) электросетевого оборудования, к которому технологически присоединено электрооборудование, входящее в объект регулирования (код формы PART_ATS_SHEMA_SETI_OREG_</w:t>
      </w:r>
      <w:r w:rsidRPr="00AD67C2">
        <w:rPr>
          <w:rFonts w:ascii="Garamond" w:eastAsia="Calibri" w:hAnsi="Garamond" w:cs="Times New Roman"/>
          <w:bCs/>
          <w:sz w:val="22"/>
          <w:szCs w:val="22"/>
          <w:lang w:val="en-US" w:eastAsia="en-US"/>
        </w:rPr>
        <w:t>WEB</w:t>
      </w:r>
      <w:r w:rsidRPr="00AD67C2">
        <w:rPr>
          <w:rFonts w:ascii="Garamond" w:eastAsia="Calibri" w:hAnsi="Garamond" w:cs="Times New Roman"/>
          <w:bCs/>
          <w:sz w:val="22"/>
          <w:szCs w:val="22"/>
          <w:lang w:eastAsia="en-US"/>
        </w:rPr>
        <w:t>). Требования к оформлению схемы приведены в приложении 11 к настоящему Положению;</w:t>
      </w:r>
    </w:p>
    <w:p w14:paraId="6EFB6A29" w14:textId="7FE729EA" w:rsidR="001333B2" w:rsidRPr="00AD67C2" w:rsidRDefault="001333B2" w:rsidP="00AD67C2">
      <w:pPr>
        <w:widowControl w:val="0"/>
        <w:numPr>
          <w:ilvl w:val="0"/>
          <w:numId w:val="320"/>
        </w:numPr>
        <w:tabs>
          <w:tab w:val="left" w:pos="851"/>
        </w:tabs>
        <w:suppressAutoHyphens w:val="0"/>
        <w:spacing w:before="120" w:after="120" w:line="259" w:lineRule="auto"/>
        <w:ind w:left="0" w:firstLine="601"/>
        <w:jc w:val="both"/>
        <w:rPr>
          <w:rFonts w:ascii="Garamond" w:eastAsia="Calibri" w:hAnsi="Garamond" w:cs="Times New Roman"/>
          <w:bCs/>
          <w:sz w:val="22"/>
          <w:szCs w:val="22"/>
          <w:lang w:eastAsia="en-US"/>
        </w:rPr>
      </w:pPr>
      <w:r w:rsidRPr="00AD67C2">
        <w:rPr>
          <w:rFonts w:ascii="Garamond" w:eastAsia="Calibri" w:hAnsi="Garamond" w:cs="Times New Roman"/>
          <w:bCs/>
          <w:sz w:val="22"/>
          <w:szCs w:val="22"/>
          <w:lang w:eastAsia="en-US"/>
        </w:rPr>
        <w:t>в случае необходимости присвоения кодов объектам измерений – графическую электронную копию вариантов схем электроснабжения объекта регулирования, заверенных подписью (с указанием расшифровки и даты подписи) уполномоченного представителя заявителя, а также по усмотрению заявителя печатью организации (код формы PART_ATS_SHEMA_ELECTRO_OREG_</w:t>
      </w:r>
      <w:r w:rsidRPr="00AD67C2">
        <w:rPr>
          <w:rFonts w:ascii="Garamond" w:eastAsia="Calibri" w:hAnsi="Garamond" w:cs="Times New Roman"/>
          <w:bCs/>
          <w:sz w:val="22"/>
          <w:szCs w:val="22"/>
          <w:lang w:val="en-US" w:eastAsia="en-US"/>
        </w:rPr>
        <w:t>WEB</w:t>
      </w:r>
      <w:r w:rsidRPr="00AD67C2">
        <w:rPr>
          <w:rFonts w:ascii="Garamond" w:eastAsia="Calibri" w:hAnsi="Garamond" w:cs="Times New Roman"/>
          <w:bCs/>
          <w:sz w:val="22"/>
          <w:szCs w:val="22"/>
          <w:lang w:eastAsia="en-US"/>
        </w:rPr>
        <w:t>). Требования к оформлению схемы приведены в приложении 11 к настоящему Положению</w:t>
      </w:r>
      <w:r w:rsidR="00F63146">
        <w:rPr>
          <w:rFonts w:ascii="Garamond" w:eastAsia="Calibri" w:hAnsi="Garamond" w:cs="Times New Roman"/>
          <w:bCs/>
          <w:sz w:val="22"/>
          <w:szCs w:val="22"/>
          <w:lang w:eastAsia="en-US"/>
        </w:rPr>
        <w:t>;</w:t>
      </w:r>
    </w:p>
    <w:p w14:paraId="3E249198" w14:textId="2AE0116D" w:rsidR="001333B2" w:rsidRPr="00AD67C2" w:rsidRDefault="001333B2" w:rsidP="00AD67C2">
      <w:pPr>
        <w:widowControl w:val="0"/>
        <w:numPr>
          <w:ilvl w:val="0"/>
          <w:numId w:val="320"/>
        </w:numPr>
        <w:tabs>
          <w:tab w:val="left" w:pos="851"/>
        </w:tabs>
        <w:suppressAutoHyphens w:val="0"/>
        <w:spacing w:before="120" w:after="120" w:line="259" w:lineRule="auto"/>
        <w:ind w:left="0" w:firstLine="601"/>
        <w:jc w:val="both"/>
        <w:rPr>
          <w:rFonts w:ascii="Garamond" w:eastAsia="Calibri" w:hAnsi="Garamond" w:cs="Times New Roman"/>
          <w:bCs/>
          <w:sz w:val="22"/>
          <w:szCs w:val="22"/>
          <w:lang w:eastAsia="en-US"/>
        </w:rPr>
      </w:pPr>
      <w:r w:rsidRPr="00AD67C2">
        <w:rPr>
          <w:rFonts w:ascii="Garamond" w:eastAsia="Calibri" w:hAnsi="Garamond" w:cs="Times New Roman"/>
          <w:bCs/>
          <w:sz w:val="22"/>
          <w:szCs w:val="22"/>
          <w:lang w:eastAsia="en-US"/>
        </w:rPr>
        <w:t>расчет применимости методов контроля за исполнением обязательств (объема снижения потребления) к объекту регулирования</w:t>
      </w:r>
      <w:r w:rsidR="00F63146">
        <w:rPr>
          <w:rFonts w:ascii="Garamond" w:eastAsia="Calibri" w:hAnsi="Garamond" w:cs="Times New Roman"/>
          <w:bCs/>
          <w:sz w:val="22"/>
          <w:szCs w:val="22"/>
          <w:lang w:eastAsia="en-US"/>
        </w:rPr>
        <w:t xml:space="preserve">. </w:t>
      </w:r>
      <w:r w:rsidR="00F63146" w:rsidRPr="00F63146">
        <w:rPr>
          <w:rFonts w:ascii="Garamond" w:eastAsia="Calibri" w:hAnsi="Garamond" w:cs="Times New Roman"/>
          <w:bCs/>
          <w:sz w:val="22"/>
          <w:szCs w:val="22"/>
          <w:lang w:eastAsia="en-US"/>
        </w:rPr>
        <w:t>Документ предоставляется</w:t>
      </w:r>
      <w:r w:rsidRPr="00AD67C2">
        <w:rPr>
          <w:rFonts w:ascii="Garamond" w:eastAsia="Calibri" w:hAnsi="Garamond" w:cs="Times New Roman"/>
          <w:bCs/>
          <w:sz w:val="22"/>
          <w:szCs w:val="22"/>
          <w:lang w:eastAsia="en-US"/>
        </w:rPr>
        <w:t xml:space="preserve"> по форме 5, указанной в настоящем приложении (код формы PART_ATS_RESULT_OREG_</w:t>
      </w:r>
      <w:r w:rsidRPr="00AD67C2">
        <w:rPr>
          <w:rFonts w:ascii="Garamond" w:eastAsia="Calibri" w:hAnsi="Garamond" w:cs="Times New Roman"/>
          <w:bCs/>
          <w:sz w:val="22"/>
          <w:szCs w:val="22"/>
          <w:lang w:val="en-US" w:eastAsia="en-US"/>
        </w:rPr>
        <w:t>WEB</w:t>
      </w:r>
      <w:r w:rsidRPr="00AD67C2">
        <w:rPr>
          <w:rFonts w:ascii="Garamond" w:eastAsia="Calibri" w:hAnsi="Garamond" w:cs="Times New Roman"/>
          <w:bCs/>
          <w:sz w:val="22"/>
          <w:szCs w:val="22"/>
          <w:lang w:eastAsia="en-US"/>
        </w:rPr>
        <w:t>);</w:t>
      </w:r>
    </w:p>
    <w:p w14:paraId="1BF240DF" w14:textId="0945BAB6" w:rsidR="001333B2" w:rsidRPr="00AD67C2" w:rsidRDefault="001333B2" w:rsidP="00AD67C2">
      <w:pPr>
        <w:widowControl w:val="0"/>
        <w:numPr>
          <w:ilvl w:val="0"/>
          <w:numId w:val="320"/>
        </w:numPr>
        <w:tabs>
          <w:tab w:val="left" w:pos="851"/>
        </w:tabs>
        <w:suppressAutoHyphens w:val="0"/>
        <w:spacing w:before="120" w:after="120" w:line="259" w:lineRule="auto"/>
        <w:ind w:left="0" w:firstLine="601"/>
        <w:jc w:val="both"/>
        <w:rPr>
          <w:rFonts w:ascii="Garamond" w:eastAsia="Calibri" w:hAnsi="Garamond" w:cs="Times New Roman"/>
          <w:bCs/>
          <w:sz w:val="22"/>
          <w:szCs w:val="22"/>
          <w:lang w:eastAsia="en-US"/>
        </w:rPr>
      </w:pPr>
      <w:r w:rsidRPr="00AD67C2">
        <w:rPr>
          <w:rFonts w:ascii="Garamond" w:eastAsia="Calibri" w:hAnsi="Garamond" w:cs="Times New Roman"/>
          <w:bCs/>
          <w:sz w:val="22"/>
          <w:szCs w:val="22"/>
          <w:lang w:eastAsia="en-US"/>
        </w:rPr>
        <w:lastRenderedPageBreak/>
        <w:t>паспортные технологические характеристики генерирующего оборудования (при наличии)</w:t>
      </w:r>
      <w:r w:rsidR="00F63146">
        <w:rPr>
          <w:rFonts w:ascii="Garamond" w:eastAsia="Calibri" w:hAnsi="Garamond" w:cs="Times New Roman"/>
          <w:bCs/>
          <w:sz w:val="22"/>
          <w:szCs w:val="22"/>
          <w:lang w:eastAsia="en-US"/>
        </w:rPr>
        <w:t xml:space="preserve">. </w:t>
      </w:r>
      <w:r w:rsidR="00F63146" w:rsidRPr="00F63146">
        <w:rPr>
          <w:rFonts w:ascii="Garamond" w:eastAsia="Calibri" w:hAnsi="Garamond" w:cs="Times New Roman"/>
          <w:bCs/>
          <w:sz w:val="22"/>
          <w:szCs w:val="22"/>
          <w:lang w:eastAsia="en-US"/>
        </w:rPr>
        <w:t>Документ предоставляется</w:t>
      </w:r>
      <w:r w:rsidRPr="00AD67C2">
        <w:rPr>
          <w:rFonts w:ascii="Garamond" w:eastAsia="Calibri" w:hAnsi="Garamond" w:cs="Times New Roman"/>
          <w:bCs/>
          <w:sz w:val="22"/>
          <w:szCs w:val="22"/>
          <w:lang w:eastAsia="en-US"/>
        </w:rPr>
        <w:t xml:space="preserve"> по форме 6, указанной в настоящем приложении (код формы PART_ATS_PTH_OREG_</w:t>
      </w:r>
      <w:r w:rsidRPr="00AD67C2">
        <w:rPr>
          <w:rFonts w:ascii="Garamond" w:eastAsia="Calibri" w:hAnsi="Garamond" w:cs="Times New Roman"/>
          <w:bCs/>
          <w:sz w:val="22"/>
          <w:szCs w:val="22"/>
          <w:lang w:val="en-US" w:eastAsia="en-US"/>
        </w:rPr>
        <w:t>WEB</w:t>
      </w:r>
      <w:r w:rsidRPr="00AD67C2">
        <w:rPr>
          <w:rFonts w:ascii="Garamond" w:eastAsia="Calibri" w:hAnsi="Garamond" w:cs="Times New Roman"/>
          <w:bCs/>
          <w:sz w:val="22"/>
          <w:szCs w:val="22"/>
          <w:lang w:eastAsia="en-US"/>
        </w:rPr>
        <w:t>);</w:t>
      </w:r>
    </w:p>
    <w:p w14:paraId="74CA5634" w14:textId="7427B864" w:rsidR="001333B2" w:rsidRPr="00F63146" w:rsidRDefault="001333B2" w:rsidP="000F6978">
      <w:pPr>
        <w:widowControl w:val="0"/>
        <w:numPr>
          <w:ilvl w:val="0"/>
          <w:numId w:val="320"/>
        </w:numPr>
        <w:tabs>
          <w:tab w:val="left" w:pos="851"/>
        </w:tabs>
        <w:suppressAutoHyphens w:val="0"/>
        <w:spacing w:before="120" w:after="120" w:line="259" w:lineRule="auto"/>
        <w:ind w:left="0" w:firstLine="601"/>
        <w:jc w:val="both"/>
        <w:rPr>
          <w:rFonts w:ascii="Garamond" w:eastAsia="Calibri" w:hAnsi="Garamond" w:cs="Times New Roman"/>
          <w:bCs/>
          <w:sz w:val="22"/>
          <w:szCs w:val="22"/>
          <w:lang w:eastAsia="en-US"/>
        </w:rPr>
      </w:pPr>
      <w:r w:rsidRPr="00F63146">
        <w:rPr>
          <w:rFonts w:ascii="Garamond" w:eastAsia="Calibri" w:hAnsi="Garamond" w:cs="Times New Roman"/>
          <w:bCs/>
          <w:sz w:val="22"/>
          <w:szCs w:val="22"/>
          <w:lang w:eastAsia="en-US"/>
        </w:rPr>
        <w:t xml:space="preserve">ответную квитанцию (макет 60001), полученную заявителем в порядке, определенном приложением 5 к </w:t>
      </w:r>
      <w:r w:rsidRPr="00F63146">
        <w:rPr>
          <w:rFonts w:ascii="Garamond" w:eastAsia="Calibri" w:hAnsi="Garamond" w:cs="Times New Roman"/>
          <w:bCs/>
          <w:i/>
          <w:sz w:val="22"/>
          <w:szCs w:val="22"/>
          <w:lang w:eastAsia="en-US"/>
        </w:rPr>
        <w:t>Регламенту коммерческого учета электроэнергии и мощности</w:t>
      </w:r>
      <w:r w:rsidRPr="00F63146">
        <w:rPr>
          <w:rFonts w:ascii="Garamond" w:eastAsia="Calibri" w:hAnsi="Garamond" w:cs="Times New Roman"/>
          <w:bCs/>
          <w:sz w:val="22"/>
          <w:szCs w:val="22"/>
          <w:lang w:eastAsia="en-US"/>
        </w:rPr>
        <w:t xml:space="preserve"> (Приложение № 11 к </w:t>
      </w:r>
      <w:r w:rsidRPr="00F63146">
        <w:rPr>
          <w:rFonts w:ascii="Garamond" w:eastAsia="Calibri" w:hAnsi="Garamond" w:cs="Times New Roman"/>
          <w:bCs/>
          <w:i/>
          <w:sz w:val="22"/>
          <w:szCs w:val="22"/>
          <w:lang w:eastAsia="en-US"/>
        </w:rPr>
        <w:t>Договору о присоединении к торговой системе оптового рынка</w:t>
      </w:r>
      <w:r w:rsidRPr="00F63146">
        <w:rPr>
          <w:rFonts w:ascii="Garamond" w:eastAsia="Calibri" w:hAnsi="Garamond" w:cs="Times New Roman"/>
          <w:bCs/>
          <w:sz w:val="22"/>
          <w:szCs w:val="22"/>
          <w:lang w:eastAsia="en-US"/>
        </w:rPr>
        <w:t>) (код формы 60001_</w:t>
      </w:r>
      <w:r w:rsidRPr="00F63146">
        <w:rPr>
          <w:rFonts w:ascii="Garamond" w:eastAsia="Calibri" w:hAnsi="Garamond" w:cs="Times New Roman"/>
          <w:bCs/>
          <w:sz w:val="22"/>
          <w:szCs w:val="22"/>
          <w:lang w:val="en-US" w:eastAsia="en-US"/>
        </w:rPr>
        <w:t>WEB</w:t>
      </w:r>
      <w:r w:rsidRPr="00F63146">
        <w:rPr>
          <w:rFonts w:ascii="Garamond" w:eastAsia="Calibri" w:hAnsi="Garamond" w:cs="Times New Roman"/>
          <w:bCs/>
          <w:sz w:val="22"/>
          <w:szCs w:val="22"/>
          <w:lang w:eastAsia="en-US"/>
        </w:rPr>
        <w:t>).</w:t>
      </w:r>
    </w:p>
    <w:p w14:paraId="115A0101" w14:textId="77777777" w:rsidR="001333B2" w:rsidRPr="00AD67C2" w:rsidRDefault="001333B2" w:rsidP="00AD67C2">
      <w:pPr>
        <w:keepNext/>
        <w:tabs>
          <w:tab w:val="left" w:pos="851"/>
        </w:tabs>
        <w:suppressAutoHyphens w:val="0"/>
        <w:spacing w:before="120" w:after="120"/>
        <w:ind w:left="1321" w:hanging="360"/>
        <w:outlineLvl w:val="0"/>
        <w:rPr>
          <w:rFonts w:ascii="Garamond" w:eastAsia="Times New Roman" w:hAnsi="Garamond" w:cs="Arial"/>
          <w:b/>
          <w:bCs/>
          <w:sz w:val="22"/>
          <w:szCs w:val="22"/>
        </w:rPr>
      </w:pPr>
      <w:r w:rsidRPr="00AD67C2">
        <w:rPr>
          <w:rFonts w:ascii="Garamond" w:eastAsia="Times New Roman" w:hAnsi="Garamond" w:cs="Arial"/>
          <w:b/>
          <w:bCs/>
          <w:sz w:val="22"/>
          <w:szCs w:val="22"/>
        </w:rPr>
        <w:t>3. Порядок регистрации объектов регулирования</w:t>
      </w:r>
    </w:p>
    <w:p w14:paraId="44E53D6F" w14:textId="49DEC406" w:rsidR="001333B2" w:rsidRPr="00FD2C84" w:rsidRDefault="001333B2" w:rsidP="00AD67C2">
      <w:pPr>
        <w:widowControl w:val="0"/>
        <w:numPr>
          <w:ilvl w:val="1"/>
          <w:numId w:val="297"/>
        </w:numPr>
        <w:tabs>
          <w:tab w:val="left" w:pos="1077"/>
        </w:tabs>
        <w:suppressAutoHyphens w:val="0"/>
        <w:spacing w:before="120" w:after="120" w:line="259" w:lineRule="auto"/>
        <w:jc w:val="both"/>
        <w:outlineLvl w:val="1"/>
        <w:rPr>
          <w:rFonts w:ascii="Garamond" w:eastAsia="Calibri" w:hAnsi="Garamond" w:cs="Times New Roman"/>
          <w:bCs/>
          <w:sz w:val="22"/>
          <w:szCs w:val="22"/>
          <w:lang w:eastAsia="en-US"/>
        </w:rPr>
      </w:pPr>
      <w:r w:rsidRPr="00AD67C2">
        <w:rPr>
          <w:rFonts w:ascii="Garamond" w:eastAsia="Calibri" w:hAnsi="Garamond" w:cs="Times New Roman"/>
          <w:bCs/>
          <w:sz w:val="22"/>
          <w:szCs w:val="22"/>
          <w:lang w:eastAsia="en-US"/>
        </w:rPr>
        <w:t xml:space="preserve">Процедура регистрации </w:t>
      </w:r>
      <w:r w:rsidRPr="00FD2C84">
        <w:rPr>
          <w:rFonts w:ascii="Garamond" w:eastAsia="Calibri" w:hAnsi="Garamond" w:cs="Times New Roman"/>
          <w:bCs/>
          <w:sz w:val="22"/>
          <w:szCs w:val="22"/>
          <w:lang w:eastAsia="en-US"/>
        </w:rPr>
        <w:t xml:space="preserve">объекта регулирования </w:t>
      </w:r>
      <w:r w:rsidR="004C37C6" w:rsidRPr="00FD2C84">
        <w:rPr>
          <w:rFonts w:ascii="Garamond" w:eastAsia="Calibri" w:hAnsi="Garamond" w:cs="Times New Roman"/>
          <w:bCs/>
          <w:sz w:val="22"/>
          <w:szCs w:val="22"/>
          <w:lang w:eastAsia="en-US"/>
        </w:rPr>
        <w:t xml:space="preserve">оплачивается по ценам (тарифам), установленным в порядке, </w:t>
      </w:r>
      <w:r w:rsidR="00521B73" w:rsidRPr="00FD2C84">
        <w:rPr>
          <w:rFonts w:ascii="Garamond" w:eastAsia="Calibri" w:hAnsi="Garamond" w:cs="Times New Roman"/>
          <w:bCs/>
          <w:sz w:val="22"/>
          <w:szCs w:val="22"/>
          <w:lang w:eastAsia="en-US"/>
        </w:rPr>
        <w:t xml:space="preserve">определенном </w:t>
      </w:r>
      <w:r w:rsidR="004C37C6" w:rsidRPr="00FD2C84">
        <w:rPr>
          <w:rFonts w:ascii="Garamond" w:eastAsia="Calibri" w:hAnsi="Garamond" w:cs="Times New Roman"/>
          <w:bCs/>
          <w:sz w:val="22"/>
          <w:szCs w:val="22"/>
          <w:lang w:eastAsia="en-US"/>
        </w:rPr>
        <w:t xml:space="preserve">законодательством Российской Федерации, и </w:t>
      </w:r>
      <w:r w:rsidRPr="00FD2C84">
        <w:rPr>
          <w:rFonts w:ascii="Garamond" w:eastAsia="Calibri" w:hAnsi="Garamond" w:cs="Times New Roman"/>
          <w:bCs/>
          <w:sz w:val="22"/>
          <w:szCs w:val="22"/>
          <w:lang w:eastAsia="en-US"/>
        </w:rPr>
        <w:t>проводится на основании представленного заявителем комплекта документов, предусмотренного настоящим приложением, и включает в себя:</w:t>
      </w:r>
    </w:p>
    <w:p w14:paraId="29729C66" w14:textId="77777777" w:rsidR="001333B2" w:rsidRPr="00FD2C84" w:rsidRDefault="006E16F3" w:rsidP="00AD67C2">
      <w:pPr>
        <w:widowControl w:val="0"/>
        <w:numPr>
          <w:ilvl w:val="0"/>
          <w:numId w:val="304"/>
        </w:numPr>
        <w:tabs>
          <w:tab w:val="left" w:pos="993"/>
          <w:tab w:val="left" w:pos="1077"/>
        </w:tabs>
        <w:suppressAutoHyphens w:val="0"/>
        <w:spacing w:before="120" w:after="120" w:line="259" w:lineRule="auto"/>
        <w:ind w:left="0" w:firstLine="567"/>
        <w:jc w:val="both"/>
        <w:rPr>
          <w:rFonts w:ascii="Garamond" w:eastAsia="Calibri" w:hAnsi="Garamond" w:cs="Times New Roman"/>
          <w:bCs/>
          <w:sz w:val="22"/>
          <w:szCs w:val="22"/>
          <w:lang w:eastAsia="en-US"/>
        </w:rPr>
      </w:pPr>
      <w:r w:rsidRPr="00FD2C84">
        <w:rPr>
          <w:rFonts w:ascii="Garamond" w:eastAsia="Calibri" w:hAnsi="Garamond" w:cs="Times New Roman"/>
          <w:bCs/>
          <w:sz w:val="22"/>
          <w:szCs w:val="22"/>
          <w:lang w:eastAsia="en-US"/>
        </w:rPr>
        <w:t>проверку комплектности документов заявителя, реквизитов макета 60001 (значение id-файла), указанных в ответной квитанции, оплаты заявителем услуг КО по процедуре регистрации объекта регулирования, присвоение заявленному объекту регулирования идентификационного буквенного кода</w:t>
      </w:r>
      <w:r w:rsidR="001333B2" w:rsidRPr="00FD2C84">
        <w:rPr>
          <w:rFonts w:ascii="Garamond" w:eastAsia="Calibri" w:hAnsi="Garamond" w:cs="Times New Roman"/>
          <w:bCs/>
          <w:sz w:val="22"/>
          <w:szCs w:val="22"/>
          <w:lang w:eastAsia="en-US"/>
        </w:rPr>
        <w:t>;</w:t>
      </w:r>
    </w:p>
    <w:p w14:paraId="2CE6BD10" w14:textId="77777777" w:rsidR="001333B2" w:rsidRPr="00FD2C84" w:rsidRDefault="001333B2" w:rsidP="00AD67C2">
      <w:pPr>
        <w:widowControl w:val="0"/>
        <w:numPr>
          <w:ilvl w:val="0"/>
          <w:numId w:val="304"/>
        </w:numPr>
        <w:tabs>
          <w:tab w:val="left" w:pos="993"/>
          <w:tab w:val="left" w:pos="1077"/>
        </w:tabs>
        <w:suppressAutoHyphens w:val="0"/>
        <w:spacing w:before="120" w:after="120" w:line="259" w:lineRule="auto"/>
        <w:ind w:left="0" w:firstLine="567"/>
        <w:jc w:val="both"/>
        <w:rPr>
          <w:rFonts w:ascii="Garamond" w:eastAsia="Calibri" w:hAnsi="Garamond" w:cs="Times New Roman"/>
          <w:bCs/>
          <w:sz w:val="22"/>
          <w:szCs w:val="22"/>
          <w:lang w:eastAsia="en-US"/>
        </w:rPr>
      </w:pPr>
      <w:r w:rsidRPr="00FD2C84">
        <w:rPr>
          <w:rFonts w:ascii="Garamond" w:eastAsia="Calibri" w:hAnsi="Garamond" w:cs="Times New Roman"/>
          <w:bCs/>
          <w:sz w:val="22"/>
          <w:szCs w:val="22"/>
          <w:lang w:eastAsia="en-US"/>
        </w:rPr>
        <w:t>аттестацию объекта регулирования Системным оператором;</w:t>
      </w:r>
    </w:p>
    <w:p w14:paraId="2AEFD7A5" w14:textId="77777777" w:rsidR="001333B2" w:rsidRPr="00FD2C84" w:rsidRDefault="001333B2" w:rsidP="00AD67C2">
      <w:pPr>
        <w:widowControl w:val="0"/>
        <w:numPr>
          <w:ilvl w:val="0"/>
          <w:numId w:val="304"/>
        </w:numPr>
        <w:tabs>
          <w:tab w:val="left" w:pos="993"/>
          <w:tab w:val="left" w:pos="1077"/>
        </w:tabs>
        <w:suppressAutoHyphens w:val="0"/>
        <w:spacing w:before="120" w:after="120" w:line="259" w:lineRule="auto"/>
        <w:ind w:left="0" w:firstLine="567"/>
        <w:jc w:val="both"/>
        <w:rPr>
          <w:rFonts w:ascii="Garamond" w:eastAsia="Calibri" w:hAnsi="Garamond" w:cs="Times New Roman"/>
          <w:bCs/>
          <w:sz w:val="22"/>
          <w:szCs w:val="22"/>
          <w:lang w:eastAsia="en-US"/>
        </w:rPr>
      </w:pPr>
      <w:r w:rsidRPr="00FD2C84">
        <w:rPr>
          <w:rFonts w:ascii="Garamond" w:eastAsia="Calibri" w:hAnsi="Garamond" w:cs="Times New Roman"/>
          <w:bCs/>
          <w:sz w:val="22"/>
          <w:szCs w:val="22"/>
          <w:lang w:eastAsia="en-US"/>
        </w:rPr>
        <w:t>проведение процедуры кодирования точек присоединения, точек измерений, измерительных каналов приборов учета, а также объектов измерений;</w:t>
      </w:r>
    </w:p>
    <w:p w14:paraId="4E309DB2" w14:textId="77777777" w:rsidR="001333B2" w:rsidRPr="00FD2C84" w:rsidRDefault="001333B2" w:rsidP="00AD67C2">
      <w:pPr>
        <w:widowControl w:val="0"/>
        <w:numPr>
          <w:ilvl w:val="0"/>
          <w:numId w:val="304"/>
        </w:numPr>
        <w:tabs>
          <w:tab w:val="left" w:pos="993"/>
          <w:tab w:val="left" w:pos="1077"/>
        </w:tabs>
        <w:suppressAutoHyphens w:val="0"/>
        <w:spacing w:before="120" w:after="120" w:line="259" w:lineRule="auto"/>
        <w:ind w:left="0" w:firstLine="567"/>
        <w:jc w:val="both"/>
        <w:rPr>
          <w:rFonts w:ascii="Garamond" w:eastAsia="Calibri" w:hAnsi="Garamond" w:cs="Times New Roman"/>
          <w:bCs/>
          <w:sz w:val="22"/>
          <w:szCs w:val="22"/>
          <w:lang w:eastAsia="en-US"/>
        </w:rPr>
      </w:pPr>
      <w:r w:rsidRPr="00FD2C84">
        <w:rPr>
          <w:rFonts w:ascii="Garamond" w:eastAsia="Calibri" w:hAnsi="Garamond" w:cs="Times New Roman"/>
          <w:bCs/>
          <w:sz w:val="22"/>
          <w:szCs w:val="22"/>
          <w:lang w:eastAsia="en-US"/>
        </w:rPr>
        <w:t>проведение проверки документов заявителя</w:t>
      </w:r>
      <w:r w:rsidR="006E16F3" w:rsidRPr="00FD2C84">
        <w:rPr>
          <w:rFonts w:ascii="Garamond" w:eastAsia="Calibri" w:hAnsi="Garamond" w:cs="Times New Roman"/>
          <w:bCs/>
          <w:sz w:val="22"/>
          <w:szCs w:val="22"/>
          <w:lang w:eastAsia="en-US"/>
        </w:rPr>
        <w:t xml:space="preserve"> на соответствие требованиям законодательства об электроэнергетике и </w:t>
      </w:r>
      <w:r w:rsidR="006E16F3" w:rsidRPr="00FD2C84">
        <w:rPr>
          <w:rFonts w:ascii="Garamond" w:eastAsia="Calibri" w:hAnsi="Garamond" w:cs="Times New Roman"/>
          <w:bCs/>
          <w:i/>
          <w:sz w:val="22"/>
          <w:szCs w:val="22"/>
          <w:lang w:eastAsia="en-US"/>
        </w:rPr>
        <w:t>Договора о присоединении к торговой системе оптового рынка</w:t>
      </w:r>
      <w:r w:rsidR="006E16F3" w:rsidRPr="00FD2C84">
        <w:rPr>
          <w:rFonts w:ascii="Garamond" w:eastAsia="Calibri" w:hAnsi="Garamond" w:cs="Times New Roman"/>
          <w:bCs/>
          <w:sz w:val="22"/>
          <w:szCs w:val="22"/>
          <w:lang w:eastAsia="en-US"/>
        </w:rPr>
        <w:t xml:space="preserve">, </w:t>
      </w:r>
      <w:r w:rsidRPr="00FD2C84">
        <w:rPr>
          <w:rFonts w:ascii="Garamond" w:eastAsia="Calibri" w:hAnsi="Garamond" w:cs="Times New Roman"/>
          <w:bCs/>
          <w:sz w:val="22"/>
          <w:szCs w:val="22"/>
          <w:lang w:eastAsia="en-US"/>
        </w:rPr>
        <w:t>в том числе на соответствие Методике формирования объектов регулирования потребления электрической энергии потребителей розничных рынков и (или) оптового рынка, представленной в приложении 10 к настоящему Положению;</w:t>
      </w:r>
    </w:p>
    <w:p w14:paraId="3A1E9DD1" w14:textId="77777777" w:rsidR="001333B2" w:rsidRPr="00AD67C2" w:rsidRDefault="001333B2" w:rsidP="00AD67C2">
      <w:pPr>
        <w:widowControl w:val="0"/>
        <w:numPr>
          <w:ilvl w:val="0"/>
          <w:numId w:val="304"/>
        </w:numPr>
        <w:tabs>
          <w:tab w:val="left" w:pos="993"/>
          <w:tab w:val="left" w:pos="1077"/>
        </w:tabs>
        <w:suppressAutoHyphens w:val="0"/>
        <w:spacing w:before="120" w:after="120" w:line="259" w:lineRule="auto"/>
        <w:ind w:left="0" w:firstLine="567"/>
        <w:jc w:val="both"/>
        <w:rPr>
          <w:rFonts w:ascii="Garamond" w:eastAsia="Calibri" w:hAnsi="Garamond" w:cs="Times New Roman"/>
          <w:bCs/>
          <w:sz w:val="22"/>
          <w:szCs w:val="22"/>
          <w:lang w:eastAsia="en-US"/>
        </w:rPr>
      </w:pPr>
      <w:r w:rsidRPr="00FD2C84">
        <w:rPr>
          <w:rFonts w:ascii="Garamond" w:eastAsia="Calibri" w:hAnsi="Garamond" w:cs="Times New Roman"/>
          <w:bCs/>
          <w:sz w:val="22"/>
          <w:szCs w:val="22"/>
          <w:lang w:eastAsia="en-US"/>
        </w:rPr>
        <w:t xml:space="preserve">проведение проверки представленного заявителем ПСИ на соответствие требованиям </w:t>
      </w:r>
      <w:r w:rsidRPr="00FD2C84">
        <w:rPr>
          <w:rFonts w:ascii="Garamond" w:eastAsia="Calibri" w:hAnsi="Garamond" w:cs="Times New Roman"/>
          <w:bCs/>
          <w:i/>
          <w:sz w:val="22"/>
          <w:szCs w:val="22"/>
          <w:lang w:eastAsia="en-US"/>
        </w:rPr>
        <w:t>Регламента коммерческого учета электроэнергии</w:t>
      </w:r>
      <w:r w:rsidRPr="00AD67C2">
        <w:rPr>
          <w:rFonts w:ascii="Garamond" w:eastAsia="Calibri" w:hAnsi="Garamond" w:cs="Times New Roman"/>
          <w:bCs/>
          <w:i/>
          <w:sz w:val="22"/>
          <w:szCs w:val="22"/>
          <w:lang w:eastAsia="en-US"/>
        </w:rPr>
        <w:t xml:space="preserve"> и мощности</w:t>
      </w:r>
      <w:r w:rsidRPr="00AD67C2">
        <w:rPr>
          <w:rFonts w:ascii="Garamond" w:eastAsia="Calibri" w:hAnsi="Garamond" w:cs="Times New Roman"/>
          <w:bCs/>
          <w:sz w:val="22"/>
          <w:szCs w:val="22"/>
          <w:lang w:eastAsia="en-US"/>
        </w:rPr>
        <w:t xml:space="preserve"> (Приложение № 11 к </w:t>
      </w:r>
      <w:r w:rsidRPr="00AD67C2">
        <w:rPr>
          <w:rFonts w:ascii="Garamond" w:eastAsia="Calibri" w:hAnsi="Garamond" w:cs="Times New Roman"/>
          <w:bCs/>
          <w:i/>
          <w:sz w:val="22"/>
          <w:szCs w:val="22"/>
          <w:lang w:eastAsia="en-US"/>
        </w:rPr>
        <w:t>Договору о присоединении к торговой системе оптового рынка</w:t>
      </w:r>
      <w:r w:rsidRPr="00AD67C2">
        <w:rPr>
          <w:rFonts w:ascii="Garamond" w:eastAsia="Calibri" w:hAnsi="Garamond" w:cs="Times New Roman"/>
          <w:bCs/>
          <w:sz w:val="22"/>
          <w:szCs w:val="22"/>
          <w:lang w:eastAsia="en-US"/>
        </w:rPr>
        <w:t>) и проведение расчета учетного показателя;</w:t>
      </w:r>
    </w:p>
    <w:p w14:paraId="439920D6" w14:textId="77777777" w:rsidR="001333B2" w:rsidRPr="00AD67C2" w:rsidRDefault="001333B2" w:rsidP="00AD67C2">
      <w:pPr>
        <w:widowControl w:val="0"/>
        <w:numPr>
          <w:ilvl w:val="0"/>
          <w:numId w:val="304"/>
        </w:numPr>
        <w:tabs>
          <w:tab w:val="left" w:pos="993"/>
          <w:tab w:val="left" w:pos="1077"/>
        </w:tabs>
        <w:suppressAutoHyphens w:val="0"/>
        <w:spacing w:before="120" w:after="120" w:line="259" w:lineRule="auto"/>
        <w:ind w:left="0" w:firstLine="567"/>
        <w:jc w:val="both"/>
        <w:rPr>
          <w:rFonts w:ascii="Garamond" w:eastAsia="Calibri" w:hAnsi="Garamond" w:cs="Times New Roman"/>
          <w:bCs/>
          <w:sz w:val="22"/>
          <w:szCs w:val="22"/>
          <w:lang w:eastAsia="en-US"/>
        </w:rPr>
      </w:pPr>
      <w:r w:rsidRPr="00AD67C2">
        <w:rPr>
          <w:rFonts w:ascii="Garamond" w:eastAsia="Calibri" w:hAnsi="Garamond" w:cs="Times New Roman"/>
          <w:bCs/>
          <w:sz w:val="22"/>
          <w:szCs w:val="22"/>
          <w:lang w:eastAsia="en-US"/>
        </w:rPr>
        <w:t>подтверждение соответствия системы учета техническим требованиям оптового рынка по объекту регулирования;</w:t>
      </w:r>
    </w:p>
    <w:p w14:paraId="648D7746" w14:textId="77777777" w:rsidR="006E16F3" w:rsidRPr="00FD2C84" w:rsidRDefault="001333B2" w:rsidP="00AD67C2">
      <w:pPr>
        <w:widowControl w:val="0"/>
        <w:numPr>
          <w:ilvl w:val="0"/>
          <w:numId w:val="304"/>
        </w:numPr>
        <w:tabs>
          <w:tab w:val="left" w:pos="993"/>
          <w:tab w:val="left" w:pos="1077"/>
        </w:tabs>
        <w:suppressAutoHyphens w:val="0"/>
        <w:spacing w:before="120" w:after="120" w:line="259" w:lineRule="auto"/>
        <w:ind w:left="0" w:firstLine="567"/>
        <w:jc w:val="both"/>
        <w:rPr>
          <w:rFonts w:ascii="Garamond" w:eastAsia="Calibri" w:hAnsi="Garamond" w:cs="Times New Roman"/>
          <w:bCs/>
          <w:sz w:val="22"/>
          <w:szCs w:val="22"/>
          <w:lang w:eastAsia="en-US"/>
        </w:rPr>
      </w:pPr>
      <w:r w:rsidRPr="00FD2C84">
        <w:rPr>
          <w:rFonts w:ascii="Garamond" w:eastAsia="Calibri" w:hAnsi="Garamond" w:cs="Times New Roman"/>
          <w:bCs/>
          <w:sz w:val="22"/>
          <w:szCs w:val="22"/>
          <w:lang w:eastAsia="en-US"/>
        </w:rPr>
        <w:t>регистрацию ПСИ</w:t>
      </w:r>
      <w:r w:rsidR="006E16F3" w:rsidRPr="00FD2C84">
        <w:rPr>
          <w:rFonts w:ascii="Garamond" w:eastAsia="Calibri" w:hAnsi="Garamond" w:cs="Times New Roman"/>
          <w:bCs/>
          <w:sz w:val="22"/>
          <w:szCs w:val="22"/>
          <w:lang w:eastAsia="en-US"/>
        </w:rPr>
        <w:t>;</w:t>
      </w:r>
    </w:p>
    <w:p w14:paraId="2225A7DA" w14:textId="77777777" w:rsidR="001333B2" w:rsidRPr="00FD2C84" w:rsidRDefault="006E16F3" w:rsidP="00AD67C2">
      <w:pPr>
        <w:widowControl w:val="0"/>
        <w:numPr>
          <w:ilvl w:val="0"/>
          <w:numId w:val="304"/>
        </w:numPr>
        <w:tabs>
          <w:tab w:val="left" w:pos="993"/>
          <w:tab w:val="left" w:pos="1077"/>
        </w:tabs>
        <w:suppressAutoHyphens w:val="0"/>
        <w:spacing w:before="120" w:after="120" w:line="259" w:lineRule="auto"/>
        <w:ind w:left="0" w:firstLine="567"/>
        <w:jc w:val="both"/>
        <w:rPr>
          <w:rFonts w:ascii="Garamond" w:eastAsia="Calibri" w:hAnsi="Garamond" w:cs="Times New Roman"/>
          <w:bCs/>
          <w:sz w:val="22"/>
          <w:szCs w:val="22"/>
          <w:lang w:eastAsia="en-US"/>
        </w:rPr>
      </w:pPr>
      <w:r w:rsidRPr="00FD2C84">
        <w:rPr>
          <w:rFonts w:ascii="Garamond" w:eastAsia="Calibri" w:hAnsi="Garamond" w:cs="Times New Roman"/>
          <w:bCs/>
          <w:sz w:val="22"/>
          <w:szCs w:val="22"/>
          <w:lang w:eastAsia="en-US"/>
        </w:rPr>
        <w:t>направление уведомлений о регистрации объекта регулирования</w:t>
      </w:r>
      <w:r w:rsidR="001333B2" w:rsidRPr="00FD2C84">
        <w:rPr>
          <w:rFonts w:ascii="Garamond" w:eastAsia="Calibri" w:hAnsi="Garamond" w:cs="Times New Roman"/>
          <w:bCs/>
          <w:sz w:val="22"/>
          <w:szCs w:val="22"/>
          <w:lang w:eastAsia="en-US"/>
        </w:rPr>
        <w:t>.</w:t>
      </w:r>
    </w:p>
    <w:p w14:paraId="19A50D7F" w14:textId="273B79FA" w:rsidR="001333B2" w:rsidRPr="00FD2C84" w:rsidRDefault="001333B2" w:rsidP="00AD67C2">
      <w:pPr>
        <w:widowControl w:val="0"/>
        <w:numPr>
          <w:ilvl w:val="1"/>
          <w:numId w:val="297"/>
        </w:numPr>
        <w:tabs>
          <w:tab w:val="left" w:pos="1077"/>
        </w:tabs>
        <w:suppressAutoHyphens w:val="0"/>
        <w:spacing w:before="120" w:after="120" w:line="259" w:lineRule="auto"/>
        <w:jc w:val="both"/>
        <w:outlineLvl w:val="1"/>
        <w:rPr>
          <w:rFonts w:ascii="Garamond" w:eastAsia="Calibri" w:hAnsi="Garamond" w:cs="Times New Roman"/>
          <w:bCs/>
          <w:sz w:val="22"/>
          <w:szCs w:val="22"/>
          <w:lang w:eastAsia="en-US"/>
        </w:rPr>
      </w:pPr>
      <w:r w:rsidRPr="00FD2C84">
        <w:rPr>
          <w:rFonts w:ascii="Garamond" w:eastAsia="Calibri" w:hAnsi="Garamond" w:cs="Times New Roman"/>
          <w:bCs/>
          <w:sz w:val="22"/>
          <w:szCs w:val="22"/>
          <w:lang w:eastAsia="en-US"/>
        </w:rPr>
        <w:t>КО после регистрации</w:t>
      </w:r>
      <w:r w:rsidRPr="00AD67C2">
        <w:rPr>
          <w:rFonts w:ascii="Garamond" w:eastAsia="Calibri" w:hAnsi="Garamond" w:cs="Times New Roman"/>
          <w:bCs/>
          <w:sz w:val="22"/>
          <w:szCs w:val="22"/>
          <w:lang w:eastAsia="en-US"/>
        </w:rPr>
        <w:t xml:space="preserve"> документов, полученных от заявителя в соответствии с требованиями, установленными п. </w:t>
      </w:r>
      <w:r w:rsidRPr="00AD67C2">
        <w:rPr>
          <w:rFonts w:ascii="Garamond" w:eastAsia="Calibri" w:hAnsi="Garamond" w:cs="Times New Roman"/>
          <w:bCs/>
          <w:sz w:val="22"/>
          <w:szCs w:val="22"/>
          <w:lang w:eastAsia="en-US"/>
        </w:rPr>
        <w:fldChar w:fldCharType="begin"/>
      </w:r>
      <w:r w:rsidRPr="00AD67C2">
        <w:rPr>
          <w:rFonts w:ascii="Garamond" w:eastAsia="Calibri" w:hAnsi="Garamond" w:cs="Times New Roman"/>
          <w:bCs/>
          <w:sz w:val="22"/>
          <w:szCs w:val="22"/>
          <w:lang w:eastAsia="en-US"/>
        </w:rPr>
        <w:instrText xml:space="preserve"> REF _Ref149311630 \r \h  \* MERGEFORMAT </w:instrText>
      </w:r>
      <w:r w:rsidRPr="00AD67C2">
        <w:rPr>
          <w:rFonts w:ascii="Garamond" w:eastAsia="Calibri" w:hAnsi="Garamond" w:cs="Times New Roman"/>
          <w:bCs/>
          <w:sz w:val="22"/>
          <w:szCs w:val="22"/>
          <w:lang w:eastAsia="en-US"/>
        </w:rPr>
      </w:r>
      <w:r w:rsidRPr="00AD67C2">
        <w:rPr>
          <w:rFonts w:ascii="Garamond" w:eastAsia="Calibri" w:hAnsi="Garamond" w:cs="Times New Roman"/>
          <w:bCs/>
          <w:sz w:val="22"/>
          <w:szCs w:val="22"/>
          <w:lang w:eastAsia="en-US"/>
        </w:rPr>
        <w:fldChar w:fldCharType="separate"/>
      </w:r>
      <w:r w:rsidRPr="00AD67C2">
        <w:rPr>
          <w:rFonts w:ascii="Garamond" w:eastAsia="Calibri" w:hAnsi="Garamond" w:cs="Times New Roman"/>
          <w:bCs/>
          <w:sz w:val="22"/>
          <w:szCs w:val="22"/>
          <w:lang w:eastAsia="en-US"/>
        </w:rPr>
        <w:t>2.1</w:t>
      </w:r>
      <w:r w:rsidRPr="00AD67C2">
        <w:rPr>
          <w:rFonts w:ascii="Garamond" w:eastAsia="Calibri" w:hAnsi="Garamond" w:cs="Times New Roman"/>
          <w:bCs/>
          <w:sz w:val="22"/>
          <w:szCs w:val="22"/>
          <w:lang w:eastAsia="en-US"/>
        </w:rPr>
        <w:fldChar w:fldCharType="end"/>
      </w:r>
      <w:r w:rsidRPr="00AD67C2">
        <w:rPr>
          <w:rFonts w:ascii="Garamond" w:eastAsia="Calibri" w:hAnsi="Garamond" w:cs="Times New Roman"/>
          <w:bCs/>
          <w:sz w:val="22"/>
          <w:szCs w:val="22"/>
          <w:lang w:eastAsia="en-US"/>
        </w:rPr>
        <w:t xml:space="preserve"> настоящего приложения, начинает процедуру регистрации объекта регулирования. Процедура регистраци</w:t>
      </w:r>
      <w:r w:rsidR="00FD2C84">
        <w:rPr>
          <w:rFonts w:ascii="Garamond" w:eastAsia="Calibri" w:hAnsi="Garamond" w:cs="Times New Roman"/>
          <w:bCs/>
          <w:sz w:val="22"/>
          <w:szCs w:val="22"/>
          <w:lang w:eastAsia="en-US"/>
        </w:rPr>
        <w:t>и</w:t>
      </w:r>
      <w:r w:rsidRPr="00AD67C2">
        <w:rPr>
          <w:rFonts w:ascii="Garamond" w:eastAsia="Calibri" w:hAnsi="Garamond" w:cs="Times New Roman"/>
          <w:bCs/>
          <w:sz w:val="22"/>
          <w:szCs w:val="22"/>
          <w:lang w:eastAsia="en-US"/>
        </w:rPr>
        <w:t xml:space="preserve"> объекта регулирования осуществляется КО в соответствии с требованиями настоящего Положения в редакции, действующей на дату регистрации </w:t>
      </w:r>
      <w:r w:rsidRPr="00FD2C84">
        <w:rPr>
          <w:rFonts w:ascii="Garamond" w:eastAsia="Calibri" w:hAnsi="Garamond" w:cs="Times New Roman"/>
          <w:bCs/>
          <w:sz w:val="22"/>
          <w:szCs w:val="22"/>
          <w:lang w:eastAsia="en-US"/>
        </w:rPr>
        <w:t>заявлени</w:t>
      </w:r>
      <w:r w:rsidR="004C37C6" w:rsidRPr="00FD2C84">
        <w:rPr>
          <w:rFonts w:ascii="Garamond" w:eastAsia="Calibri" w:hAnsi="Garamond" w:cs="Times New Roman"/>
          <w:bCs/>
          <w:sz w:val="22"/>
          <w:szCs w:val="22"/>
          <w:lang w:eastAsia="en-US"/>
        </w:rPr>
        <w:t>я</w:t>
      </w:r>
      <w:r w:rsidRPr="00FD2C84">
        <w:rPr>
          <w:rFonts w:ascii="Garamond" w:eastAsia="Calibri" w:hAnsi="Garamond" w:cs="Times New Roman"/>
          <w:bCs/>
          <w:sz w:val="22"/>
          <w:szCs w:val="22"/>
          <w:lang w:eastAsia="en-US"/>
        </w:rPr>
        <w:t xml:space="preserve"> и документов в КО.</w:t>
      </w:r>
    </w:p>
    <w:p w14:paraId="6C03768F" w14:textId="0AF45FC7" w:rsidR="001333B2" w:rsidRPr="00FD2C84" w:rsidRDefault="001333B2" w:rsidP="00AD67C2">
      <w:pPr>
        <w:widowControl w:val="0"/>
        <w:numPr>
          <w:ilvl w:val="1"/>
          <w:numId w:val="297"/>
        </w:numPr>
        <w:tabs>
          <w:tab w:val="left" w:pos="1077"/>
        </w:tabs>
        <w:suppressAutoHyphens w:val="0"/>
        <w:spacing w:before="120" w:after="120" w:line="259" w:lineRule="auto"/>
        <w:jc w:val="both"/>
        <w:outlineLvl w:val="1"/>
        <w:rPr>
          <w:rFonts w:ascii="Garamond" w:eastAsia="Calibri" w:hAnsi="Garamond" w:cs="Times New Roman"/>
          <w:bCs/>
          <w:sz w:val="22"/>
          <w:szCs w:val="22"/>
          <w:lang w:eastAsia="en-US"/>
        </w:rPr>
      </w:pPr>
      <w:bookmarkStart w:id="36" w:name="_Ref149304286"/>
      <w:r w:rsidRPr="00AD67C2">
        <w:rPr>
          <w:rFonts w:ascii="Garamond" w:eastAsia="Calibri" w:hAnsi="Garamond" w:cs="Times New Roman"/>
          <w:bCs/>
          <w:sz w:val="22"/>
          <w:szCs w:val="22"/>
          <w:lang w:eastAsia="en-US"/>
        </w:rPr>
        <w:t>В течение 2 (двух) рабочих дней с даты регистрации документов КО проводит проверку на полноту состава документов, предусмотренных п. 2.1 настоящего приложения, в том числе проводит анализ заявления и приложенных к нему документов на комплектност</w:t>
      </w:r>
      <w:r w:rsidR="00FD2C84">
        <w:rPr>
          <w:rFonts w:ascii="Garamond" w:eastAsia="Calibri" w:hAnsi="Garamond" w:cs="Times New Roman"/>
          <w:bCs/>
          <w:sz w:val="22"/>
          <w:szCs w:val="22"/>
          <w:lang w:eastAsia="en-US"/>
        </w:rPr>
        <w:t>ь и соответствие требованиям п. </w:t>
      </w:r>
      <w:r w:rsidRPr="00AD67C2">
        <w:rPr>
          <w:rFonts w:ascii="Garamond" w:eastAsia="Calibri" w:hAnsi="Garamond" w:cs="Times New Roman"/>
          <w:bCs/>
          <w:sz w:val="22"/>
          <w:szCs w:val="22"/>
          <w:lang w:eastAsia="en-US"/>
        </w:rPr>
        <w:t>2.2.1 настоящего Положения, проводит проверку соответствия реквизитов, указанных в ответной квитанции (макет 60001</w:t>
      </w:r>
      <w:r w:rsidRPr="00FD2C84">
        <w:rPr>
          <w:rFonts w:ascii="Garamond" w:eastAsia="Calibri" w:hAnsi="Garamond" w:cs="Times New Roman"/>
          <w:bCs/>
          <w:sz w:val="22"/>
          <w:szCs w:val="22"/>
          <w:lang w:eastAsia="en-US"/>
        </w:rPr>
        <w:t>), иным документам комплекта, в том числе заявлению, а также выполняет проверку оплаты заявителем</w:t>
      </w:r>
      <w:r w:rsidR="009B5F03" w:rsidRPr="00FD2C84">
        <w:rPr>
          <w:rFonts w:ascii="Garamond" w:eastAsia="Calibri" w:hAnsi="Garamond" w:cs="Times New Roman"/>
          <w:bCs/>
          <w:sz w:val="22"/>
          <w:szCs w:val="22"/>
          <w:lang w:eastAsia="en-US"/>
        </w:rPr>
        <w:t xml:space="preserve"> </w:t>
      </w:r>
      <w:r w:rsidRPr="00FD2C84">
        <w:rPr>
          <w:rFonts w:ascii="Garamond" w:eastAsia="Calibri" w:hAnsi="Garamond" w:cs="Times New Roman"/>
          <w:bCs/>
          <w:sz w:val="22"/>
          <w:szCs w:val="22"/>
          <w:lang w:eastAsia="en-US"/>
        </w:rPr>
        <w:t>услуг КО</w:t>
      </w:r>
      <w:r w:rsidR="006E16F3" w:rsidRPr="00FD2C84">
        <w:rPr>
          <w:rFonts w:ascii="Garamond" w:hAnsi="Garamond"/>
          <w:sz w:val="22"/>
          <w:szCs w:val="22"/>
        </w:rPr>
        <w:t xml:space="preserve"> </w:t>
      </w:r>
      <w:r w:rsidR="006E16F3" w:rsidRPr="00FD2C84">
        <w:rPr>
          <w:rFonts w:ascii="Garamond" w:eastAsia="Calibri" w:hAnsi="Garamond" w:cs="Times New Roman"/>
          <w:bCs/>
          <w:sz w:val="22"/>
          <w:szCs w:val="22"/>
          <w:lang w:eastAsia="en-US"/>
        </w:rPr>
        <w:t>по процедуре регистрации объекта регулирования</w:t>
      </w:r>
      <w:r w:rsidRPr="00FD2C84">
        <w:rPr>
          <w:rFonts w:ascii="Garamond" w:eastAsia="Calibri" w:hAnsi="Garamond" w:cs="Times New Roman"/>
          <w:bCs/>
          <w:sz w:val="22"/>
          <w:szCs w:val="22"/>
          <w:lang w:eastAsia="en-US"/>
        </w:rPr>
        <w:t>.</w:t>
      </w:r>
      <w:bookmarkEnd w:id="36"/>
    </w:p>
    <w:p w14:paraId="5BE83958" w14:textId="77777777" w:rsidR="001333B2" w:rsidRPr="00FD2C84" w:rsidRDefault="001333B2" w:rsidP="00AD67C2">
      <w:pPr>
        <w:widowControl w:val="0"/>
        <w:tabs>
          <w:tab w:val="left" w:pos="1077"/>
        </w:tabs>
        <w:suppressAutoHyphens w:val="0"/>
        <w:spacing w:before="120" w:after="120"/>
        <w:ind w:firstLine="601"/>
        <w:jc w:val="both"/>
        <w:rPr>
          <w:rFonts w:ascii="Garamond" w:eastAsia="Calibri" w:hAnsi="Garamond" w:cs="Times New Roman"/>
          <w:bCs/>
          <w:sz w:val="22"/>
          <w:szCs w:val="22"/>
          <w:lang w:eastAsia="en-US"/>
        </w:rPr>
      </w:pPr>
      <w:r w:rsidRPr="00FD2C84">
        <w:rPr>
          <w:rFonts w:ascii="Garamond" w:eastAsia="Calibri" w:hAnsi="Garamond" w:cs="Times New Roman"/>
          <w:bCs/>
          <w:sz w:val="22"/>
          <w:szCs w:val="22"/>
          <w:lang w:eastAsia="en-US"/>
        </w:rPr>
        <w:t>После положительной проверки оплаты КО в срок 5 (пять) календарных дней направляет заявителю счет-фактуру</w:t>
      </w:r>
      <w:r w:rsidR="006E16F3" w:rsidRPr="00FD2C84">
        <w:rPr>
          <w:rFonts w:ascii="Garamond" w:eastAsia="Calibri" w:hAnsi="Garamond" w:cs="Times New Roman"/>
          <w:bCs/>
          <w:sz w:val="22"/>
          <w:szCs w:val="22"/>
          <w:lang w:eastAsia="en-US"/>
        </w:rPr>
        <w:t>,</w:t>
      </w:r>
      <w:r w:rsidR="006E16F3" w:rsidRPr="00FD2C84">
        <w:rPr>
          <w:rFonts w:ascii="Garamond" w:hAnsi="Garamond"/>
          <w:sz w:val="22"/>
          <w:szCs w:val="22"/>
        </w:rPr>
        <w:t xml:space="preserve"> </w:t>
      </w:r>
      <w:r w:rsidR="006E16F3" w:rsidRPr="00FD2C84">
        <w:rPr>
          <w:rFonts w:ascii="Garamond" w:eastAsia="Calibri" w:hAnsi="Garamond" w:cs="Times New Roman"/>
          <w:bCs/>
          <w:sz w:val="22"/>
          <w:szCs w:val="22"/>
          <w:lang w:eastAsia="en-US"/>
        </w:rPr>
        <w:t>выставленный при получении оплаты</w:t>
      </w:r>
      <w:r w:rsidRPr="00FD2C84">
        <w:rPr>
          <w:rFonts w:ascii="Garamond" w:eastAsia="Calibri" w:hAnsi="Garamond" w:cs="Times New Roman"/>
          <w:bCs/>
          <w:sz w:val="22"/>
          <w:szCs w:val="22"/>
          <w:lang w:eastAsia="en-US"/>
        </w:rPr>
        <w:t>.</w:t>
      </w:r>
    </w:p>
    <w:p w14:paraId="76ECC64C" w14:textId="43432F56" w:rsidR="001333B2" w:rsidRPr="00AD67C2" w:rsidRDefault="001333B2" w:rsidP="00AD67C2">
      <w:pPr>
        <w:widowControl w:val="0"/>
        <w:tabs>
          <w:tab w:val="left" w:pos="1077"/>
        </w:tabs>
        <w:suppressAutoHyphens w:val="0"/>
        <w:spacing w:before="120" w:after="120"/>
        <w:ind w:firstLine="601"/>
        <w:jc w:val="both"/>
        <w:rPr>
          <w:rFonts w:ascii="Garamond" w:eastAsia="Calibri" w:hAnsi="Garamond" w:cs="Times New Roman"/>
          <w:bCs/>
          <w:sz w:val="22"/>
          <w:szCs w:val="22"/>
          <w:lang w:eastAsia="en-US"/>
        </w:rPr>
      </w:pPr>
      <w:r w:rsidRPr="00FD2C84">
        <w:rPr>
          <w:rFonts w:ascii="Garamond" w:eastAsia="Calibri" w:hAnsi="Garamond" w:cs="Times New Roman"/>
          <w:bCs/>
          <w:sz w:val="22"/>
          <w:szCs w:val="22"/>
          <w:lang w:eastAsia="en-US"/>
        </w:rPr>
        <w:t>Если КО установлен</w:t>
      </w:r>
      <w:r w:rsidRPr="00AD67C2">
        <w:rPr>
          <w:rFonts w:ascii="Garamond" w:eastAsia="Calibri" w:hAnsi="Garamond" w:cs="Times New Roman"/>
          <w:bCs/>
          <w:sz w:val="22"/>
          <w:szCs w:val="22"/>
          <w:lang w:eastAsia="en-US"/>
        </w:rPr>
        <w:t xml:space="preserve"> факт предоставления документов не в полном объеме или с нарушением требований, установленных настоящим Положением или </w:t>
      </w:r>
      <w:r w:rsidRPr="00AD67C2">
        <w:rPr>
          <w:rFonts w:ascii="Garamond" w:eastAsia="Calibri" w:hAnsi="Garamond" w:cs="Times New Roman"/>
          <w:bCs/>
          <w:i/>
          <w:sz w:val="22"/>
          <w:szCs w:val="22"/>
          <w:lang w:eastAsia="en-US"/>
        </w:rPr>
        <w:t>Соглашением о применении электронной подписи в торговой системе оптового рынка</w:t>
      </w:r>
      <w:r w:rsidRPr="00AD67C2">
        <w:rPr>
          <w:rFonts w:ascii="Garamond" w:eastAsia="Calibri" w:hAnsi="Garamond" w:cs="Times New Roman"/>
          <w:bCs/>
          <w:sz w:val="22"/>
          <w:szCs w:val="22"/>
          <w:lang w:eastAsia="en-US"/>
        </w:rPr>
        <w:t xml:space="preserve"> (Приложение № Д 7 к </w:t>
      </w:r>
      <w:r w:rsidRPr="00AD67C2">
        <w:rPr>
          <w:rFonts w:ascii="Garamond" w:eastAsia="Calibri" w:hAnsi="Garamond" w:cs="Times New Roman"/>
          <w:bCs/>
          <w:i/>
          <w:sz w:val="22"/>
          <w:szCs w:val="22"/>
          <w:lang w:eastAsia="en-US"/>
        </w:rPr>
        <w:t>Договору о присоединении к торговой системе оптового рынка</w:t>
      </w:r>
      <w:r w:rsidRPr="00AD67C2">
        <w:rPr>
          <w:rFonts w:ascii="Garamond" w:eastAsia="Calibri" w:hAnsi="Garamond" w:cs="Times New Roman"/>
          <w:bCs/>
          <w:sz w:val="22"/>
          <w:szCs w:val="22"/>
          <w:lang w:eastAsia="en-US"/>
        </w:rPr>
        <w:t xml:space="preserve">), в том числе в </w:t>
      </w:r>
      <w:r w:rsidRPr="00FD2C84">
        <w:rPr>
          <w:rFonts w:ascii="Garamond" w:eastAsia="Calibri" w:hAnsi="Garamond" w:cs="Times New Roman"/>
          <w:bCs/>
          <w:sz w:val="22"/>
          <w:szCs w:val="22"/>
          <w:lang w:eastAsia="en-US"/>
        </w:rPr>
        <w:t xml:space="preserve">случае установления некорректности документа (невозможности чтения) или несоответствия реквизитов, указанных в ответной квитанции (макет 60001), документам комплекта, а также в случае отсутствия оплаты </w:t>
      </w:r>
      <w:r w:rsidR="00AE7446" w:rsidRPr="00FD2C84">
        <w:rPr>
          <w:rFonts w:ascii="Garamond" w:eastAsia="Calibri" w:hAnsi="Garamond" w:cs="Times New Roman"/>
          <w:bCs/>
          <w:sz w:val="22"/>
          <w:szCs w:val="22"/>
          <w:lang w:eastAsia="en-US"/>
        </w:rPr>
        <w:t>(неполной оплаты)</w:t>
      </w:r>
      <w:r w:rsidR="00AE7446" w:rsidRPr="00FD2C84">
        <w:rPr>
          <w:rFonts w:ascii="Garamond" w:hAnsi="Garamond"/>
          <w:sz w:val="22"/>
          <w:szCs w:val="22"/>
        </w:rPr>
        <w:t xml:space="preserve"> </w:t>
      </w:r>
      <w:r w:rsidRPr="00FD2C84">
        <w:rPr>
          <w:rFonts w:ascii="Garamond" w:eastAsia="Calibri" w:hAnsi="Garamond" w:cs="Times New Roman"/>
          <w:bCs/>
          <w:sz w:val="22"/>
          <w:szCs w:val="22"/>
          <w:lang w:eastAsia="en-US"/>
        </w:rPr>
        <w:t>услуг</w:t>
      </w:r>
      <w:r w:rsidR="00AE7446" w:rsidRPr="00FD2C84">
        <w:rPr>
          <w:rFonts w:ascii="Garamond" w:eastAsia="Calibri" w:hAnsi="Garamond" w:cs="Times New Roman"/>
          <w:bCs/>
          <w:sz w:val="22"/>
          <w:szCs w:val="22"/>
          <w:lang w:eastAsia="en-US"/>
        </w:rPr>
        <w:t>и</w:t>
      </w:r>
      <w:r w:rsidRPr="00FD2C84">
        <w:rPr>
          <w:rFonts w:ascii="Garamond" w:eastAsia="Calibri" w:hAnsi="Garamond" w:cs="Times New Roman"/>
          <w:bCs/>
          <w:sz w:val="22"/>
          <w:szCs w:val="22"/>
          <w:lang w:eastAsia="en-US"/>
        </w:rPr>
        <w:t xml:space="preserve"> КО</w:t>
      </w:r>
      <w:r w:rsidR="00AE7446" w:rsidRPr="00FD2C84">
        <w:rPr>
          <w:rFonts w:ascii="Garamond" w:hAnsi="Garamond"/>
          <w:sz w:val="22"/>
          <w:szCs w:val="22"/>
        </w:rPr>
        <w:t xml:space="preserve"> </w:t>
      </w:r>
      <w:r w:rsidR="00AE7446" w:rsidRPr="00FD2C84">
        <w:rPr>
          <w:rFonts w:ascii="Garamond" w:eastAsia="Calibri" w:hAnsi="Garamond" w:cs="Times New Roman"/>
          <w:bCs/>
          <w:sz w:val="22"/>
          <w:szCs w:val="22"/>
          <w:lang w:eastAsia="en-US"/>
        </w:rPr>
        <w:t xml:space="preserve">по процедуре регистрации объекта </w:t>
      </w:r>
      <w:r w:rsidR="00AE7446" w:rsidRPr="00FD2C84">
        <w:rPr>
          <w:rFonts w:ascii="Garamond" w:eastAsia="Calibri" w:hAnsi="Garamond" w:cs="Times New Roman"/>
          <w:bCs/>
          <w:sz w:val="22"/>
          <w:szCs w:val="22"/>
          <w:lang w:eastAsia="en-US"/>
        </w:rPr>
        <w:lastRenderedPageBreak/>
        <w:t>регулирования</w:t>
      </w:r>
      <w:r w:rsidRPr="00FD2C84">
        <w:rPr>
          <w:rFonts w:ascii="Garamond" w:eastAsia="Calibri" w:hAnsi="Garamond" w:cs="Times New Roman"/>
          <w:bCs/>
          <w:sz w:val="22"/>
          <w:szCs w:val="22"/>
          <w:lang w:eastAsia="en-US"/>
        </w:rPr>
        <w:t>, подлежащ</w:t>
      </w:r>
      <w:r w:rsidR="00AE7446" w:rsidRPr="00FD2C84">
        <w:rPr>
          <w:rFonts w:ascii="Garamond" w:eastAsia="Calibri" w:hAnsi="Garamond" w:cs="Times New Roman"/>
          <w:bCs/>
          <w:sz w:val="22"/>
          <w:szCs w:val="22"/>
          <w:lang w:eastAsia="en-US"/>
        </w:rPr>
        <w:t>ей</w:t>
      </w:r>
      <w:r w:rsidRPr="00FD2C84">
        <w:rPr>
          <w:rFonts w:ascii="Garamond" w:eastAsia="Calibri" w:hAnsi="Garamond" w:cs="Times New Roman"/>
          <w:bCs/>
          <w:sz w:val="22"/>
          <w:szCs w:val="22"/>
          <w:lang w:eastAsia="en-US"/>
        </w:rPr>
        <w:t xml:space="preserve"> оплате в соответствии с требованиями настоящего </w:t>
      </w:r>
      <w:r w:rsidR="00FD2C84" w:rsidRPr="00FD2C84">
        <w:rPr>
          <w:rFonts w:ascii="Garamond" w:eastAsia="Calibri" w:hAnsi="Garamond" w:cs="Times New Roman"/>
          <w:bCs/>
          <w:sz w:val="22"/>
          <w:szCs w:val="22"/>
          <w:lang w:eastAsia="en-US"/>
        </w:rPr>
        <w:t>п</w:t>
      </w:r>
      <w:r w:rsidRPr="00FD2C84">
        <w:rPr>
          <w:rFonts w:ascii="Garamond" w:eastAsia="Calibri" w:hAnsi="Garamond" w:cs="Times New Roman"/>
          <w:bCs/>
          <w:sz w:val="22"/>
          <w:szCs w:val="22"/>
          <w:lang w:eastAsia="en-US"/>
        </w:rPr>
        <w:t>риложения, то КО не позднее 4 (четырех) рабочих дней с даты регистрации документов заявителя направляет заявителю в электронном виде уведомление о необходимости предоставления недостающих документов и (или) устранения выявленных замечаний</w:t>
      </w:r>
      <w:r w:rsidRPr="00AD67C2">
        <w:rPr>
          <w:rFonts w:ascii="Garamond" w:eastAsia="Calibri" w:hAnsi="Garamond" w:cs="Times New Roman"/>
          <w:bCs/>
          <w:sz w:val="22"/>
          <w:szCs w:val="22"/>
          <w:lang w:eastAsia="en-US"/>
        </w:rPr>
        <w:t xml:space="preserve"> в течение 30 (тридцати) календарных дней с даты направления указанного уведомления. При этом процедура регистрации объекта регулирования приостанавливается до момента получения от заявителя указанных в уведомлении документов и (или) устранения выявленных замечаний.</w:t>
      </w:r>
    </w:p>
    <w:p w14:paraId="74804FF0" w14:textId="5B3069F3" w:rsidR="001333B2" w:rsidRPr="00FD2C84" w:rsidRDefault="001333B2" w:rsidP="00AD67C2">
      <w:pPr>
        <w:widowControl w:val="0"/>
        <w:tabs>
          <w:tab w:val="left" w:pos="1077"/>
        </w:tabs>
        <w:suppressAutoHyphens w:val="0"/>
        <w:spacing w:before="120" w:after="120"/>
        <w:ind w:firstLine="601"/>
        <w:jc w:val="both"/>
        <w:rPr>
          <w:rFonts w:ascii="Garamond" w:eastAsia="Calibri" w:hAnsi="Garamond" w:cs="Times New Roman"/>
          <w:bCs/>
          <w:sz w:val="22"/>
          <w:szCs w:val="22"/>
          <w:lang w:eastAsia="en-US"/>
        </w:rPr>
      </w:pPr>
      <w:r w:rsidRPr="00AD67C2">
        <w:rPr>
          <w:rFonts w:ascii="Garamond" w:eastAsia="Calibri" w:hAnsi="Garamond" w:cs="Times New Roman"/>
          <w:bCs/>
          <w:sz w:val="22"/>
          <w:szCs w:val="22"/>
          <w:lang w:eastAsia="en-US"/>
        </w:rPr>
        <w:t xml:space="preserve">В случае непоступления в адрес КО недостающих документов и (или) неустранения </w:t>
      </w:r>
      <w:r w:rsidRPr="00FD2C84">
        <w:rPr>
          <w:rFonts w:ascii="Garamond" w:eastAsia="Calibri" w:hAnsi="Garamond" w:cs="Times New Roman"/>
          <w:bCs/>
          <w:sz w:val="22"/>
          <w:szCs w:val="22"/>
          <w:lang w:eastAsia="en-US"/>
        </w:rPr>
        <w:t xml:space="preserve">выявленных замечаний в установленный срок процедура регистрации объекта регулирования прекращается, КО </w:t>
      </w:r>
      <w:r w:rsidR="006E16F3" w:rsidRPr="00FD2C84">
        <w:rPr>
          <w:rFonts w:ascii="Garamond" w:eastAsia="Calibri" w:hAnsi="Garamond" w:cs="Times New Roman"/>
          <w:bCs/>
          <w:sz w:val="22"/>
          <w:szCs w:val="22"/>
          <w:lang w:eastAsia="en-US"/>
        </w:rPr>
        <w:t>осуществляет передачу</w:t>
      </w:r>
      <w:r w:rsidR="009B5F03" w:rsidRPr="00FD2C84">
        <w:rPr>
          <w:rFonts w:ascii="Garamond" w:eastAsia="Calibri" w:hAnsi="Garamond" w:cs="Times New Roman"/>
          <w:bCs/>
          <w:sz w:val="22"/>
          <w:szCs w:val="22"/>
          <w:lang w:eastAsia="en-US"/>
        </w:rPr>
        <w:t xml:space="preserve"> </w:t>
      </w:r>
      <w:r w:rsidR="006E16F3" w:rsidRPr="00FD2C84">
        <w:rPr>
          <w:rFonts w:ascii="Garamond" w:eastAsia="Calibri" w:hAnsi="Garamond" w:cs="Times New Roman"/>
          <w:bCs/>
          <w:sz w:val="22"/>
          <w:szCs w:val="22"/>
          <w:lang w:eastAsia="en-US"/>
        </w:rPr>
        <w:t>в ПСЗ соответствующего информационного статуса о прекращении процедуры</w:t>
      </w:r>
      <w:r w:rsidRPr="00FD2C84">
        <w:rPr>
          <w:rFonts w:ascii="Garamond" w:eastAsia="Calibri" w:hAnsi="Garamond" w:cs="Times New Roman"/>
          <w:bCs/>
          <w:sz w:val="22"/>
          <w:szCs w:val="22"/>
          <w:lang w:eastAsia="en-US"/>
        </w:rPr>
        <w:t>.</w:t>
      </w:r>
    </w:p>
    <w:p w14:paraId="79878D9D" w14:textId="0CD7064F" w:rsidR="001333B2" w:rsidRPr="00AD67C2" w:rsidRDefault="001333B2" w:rsidP="00AD67C2">
      <w:pPr>
        <w:widowControl w:val="0"/>
        <w:numPr>
          <w:ilvl w:val="1"/>
          <w:numId w:val="297"/>
        </w:numPr>
        <w:tabs>
          <w:tab w:val="left" w:pos="851"/>
        </w:tabs>
        <w:suppressAutoHyphens w:val="0"/>
        <w:spacing w:before="120" w:after="120" w:line="259" w:lineRule="auto"/>
        <w:ind w:left="0" w:firstLine="567"/>
        <w:jc w:val="both"/>
        <w:outlineLvl w:val="1"/>
        <w:rPr>
          <w:rFonts w:ascii="Garamond" w:eastAsia="Calibri" w:hAnsi="Garamond" w:cs="Times New Roman"/>
          <w:bCs/>
          <w:sz w:val="22"/>
          <w:szCs w:val="22"/>
          <w:lang w:eastAsia="en-US"/>
        </w:rPr>
      </w:pPr>
      <w:bookmarkStart w:id="37" w:name="_Ref149325220"/>
      <w:r w:rsidRPr="00FD2C84">
        <w:rPr>
          <w:rFonts w:ascii="Garamond" w:eastAsia="Calibri" w:hAnsi="Garamond" w:cs="Times New Roman"/>
          <w:bCs/>
          <w:sz w:val="22"/>
          <w:szCs w:val="22"/>
          <w:lang w:eastAsia="en-US"/>
        </w:rPr>
        <w:t>КО в срок 2 (два) рабочих дня с даты положительного завершения процедур</w:t>
      </w:r>
      <w:r w:rsidRPr="00AD67C2">
        <w:rPr>
          <w:rFonts w:ascii="Garamond" w:eastAsia="Calibri" w:hAnsi="Garamond" w:cs="Times New Roman"/>
          <w:bCs/>
          <w:sz w:val="22"/>
          <w:szCs w:val="22"/>
          <w:lang w:eastAsia="en-US"/>
        </w:rPr>
        <w:t xml:space="preserve">, предусмотренных п. </w:t>
      </w:r>
      <w:r w:rsidRPr="00AD67C2">
        <w:rPr>
          <w:rFonts w:ascii="Garamond" w:eastAsia="Calibri" w:hAnsi="Garamond" w:cs="Times New Roman"/>
          <w:bCs/>
          <w:sz w:val="22"/>
          <w:szCs w:val="22"/>
          <w:lang w:eastAsia="en-US"/>
        </w:rPr>
        <w:fldChar w:fldCharType="begin"/>
      </w:r>
      <w:r w:rsidRPr="00AD67C2">
        <w:rPr>
          <w:rFonts w:ascii="Garamond" w:eastAsia="Calibri" w:hAnsi="Garamond" w:cs="Times New Roman"/>
          <w:bCs/>
          <w:sz w:val="22"/>
          <w:szCs w:val="22"/>
          <w:lang w:eastAsia="en-US"/>
        </w:rPr>
        <w:instrText xml:space="preserve"> REF _Ref149304286 \r \h  \* MERGEFORMAT </w:instrText>
      </w:r>
      <w:r w:rsidRPr="00AD67C2">
        <w:rPr>
          <w:rFonts w:ascii="Garamond" w:eastAsia="Calibri" w:hAnsi="Garamond" w:cs="Times New Roman"/>
          <w:bCs/>
          <w:sz w:val="22"/>
          <w:szCs w:val="22"/>
          <w:lang w:eastAsia="en-US"/>
        </w:rPr>
      </w:r>
      <w:r w:rsidRPr="00AD67C2">
        <w:rPr>
          <w:rFonts w:ascii="Garamond" w:eastAsia="Calibri" w:hAnsi="Garamond" w:cs="Times New Roman"/>
          <w:bCs/>
          <w:sz w:val="22"/>
          <w:szCs w:val="22"/>
          <w:lang w:eastAsia="en-US"/>
        </w:rPr>
        <w:fldChar w:fldCharType="separate"/>
      </w:r>
      <w:r w:rsidRPr="00AD67C2">
        <w:rPr>
          <w:rFonts w:ascii="Garamond" w:eastAsia="Calibri" w:hAnsi="Garamond" w:cs="Times New Roman"/>
          <w:bCs/>
          <w:sz w:val="22"/>
          <w:szCs w:val="22"/>
          <w:lang w:eastAsia="en-US"/>
        </w:rPr>
        <w:t>3.3</w:t>
      </w:r>
      <w:r w:rsidRPr="00AD67C2">
        <w:rPr>
          <w:rFonts w:ascii="Garamond" w:eastAsia="Calibri" w:hAnsi="Garamond" w:cs="Times New Roman"/>
          <w:bCs/>
          <w:sz w:val="22"/>
          <w:szCs w:val="22"/>
          <w:lang w:eastAsia="en-US"/>
        </w:rPr>
        <w:fldChar w:fldCharType="end"/>
      </w:r>
      <w:r w:rsidRPr="00AD67C2">
        <w:rPr>
          <w:rFonts w:ascii="Garamond" w:eastAsia="Calibri" w:hAnsi="Garamond" w:cs="Times New Roman"/>
          <w:bCs/>
          <w:sz w:val="22"/>
          <w:szCs w:val="22"/>
          <w:lang w:eastAsia="en-US"/>
        </w:rPr>
        <w:t xml:space="preserve"> настоящего приложения, </w:t>
      </w:r>
      <w:bookmarkEnd w:id="37"/>
      <w:r w:rsidRPr="00AD67C2">
        <w:rPr>
          <w:rFonts w:ascii="Garamond" w:eastAsia="Calibri" w:hAnsi="Garamond" w:cs="Times New Roman"/>
          <w:bCs/>
          <w:sz w:val="22"/>
          <w:szCs w:val="22"/>
          <w:lang w:eastAsia="en-US"/>
        </w:rPr>
        <w:t xml:space="preserve">направляет в СО следующие документы </w:t>
      </w:r>
      <w:r w:rsidR="00FD2C84">
        <w:rPr>
          <w:rFonts w:ascii="Garamond" w:eastAsia="Calibri" w:hAnsi="Garamond" w:cs="Times New Roman"/>
          <w:bCs/>
          <w:sz w:val="22"/>
          <w:szCs w:val="22"/>
          <w:lang w:eastAsia="en-US"/>
        </w:rPr>
        <w:t>(</w:t>
      </w:r>
      <w:r w:rsidRPr="00AD67C2">
        <w:rPr>
          <w:rFonts w:ascii="Garamond" w:eastAsia="Calibri" w:hAnsi="Garamond" w:cs="Times New Roman"/>
          <w:bCs/>
          <w:sz w:val="22"/>
          <w:szCs w:val="22"/>
          <w:lang w:eastAsia="en-US"/>
        </w:rPr>
        <w:t>в случае их наличия в комплекте, предоставленном заявителем в КО для регистрации объекта регулирования</w:t>
      </w:r>
      <w:r w:rsidR="00FD2C84">
        <w:rPr>
          <w:rFonts w:ascii="Garamond" w:eastAsia="Calibri" w:hAnsi="Garamond" w:cs="Times New Roman"/>
          <w:bCs/>
          <w:sz w:val="22"/>
          <w:szCs w:val="22"/>
          <w:lang w:eastAsia="en-US"/>
        </w:rPr>
        <w:t>)</w:t>
      </w:r>
      <w:r w:rsidRPr="00AD67C2">
        <w:rPr>
          <w:rFonts w:ascii="Garamond" w:eastAsia="Calibri" w:hAnsi="Garamond" w:cs="Times New Roman"/>
          <w:bCs/>
          <w:sz w:val="22"/>
          <w:szCs w:val="22"/>
          <w:lang w:eastAsia="en-US"/>
        </w:rPr>
        <w:t>: заявление, ПСИ (макет 60000), документы, подтверждающие прекращение договорных отношений по иным договорам оказания услуг по изменению режима потребления</w:t>
      </w:r>
      <w:r w:rsidR="004C37C6" w:rsidRPr="00AD67C2">
        <w:rPr>
          <w:rFonts w:ascii="Garamond" w:eastAsia="Calibri" w:hAnsi="Garamond" w:cs="Times New Roman"/>
          <w:bCs/>
          <w:sz w:val="22"/>
          <w:szCs w:val="22"/>
          <w:lang w:eastAsia="en-US"/>
        </w:rPr>
        <w:t>,</w:t>
      </w:r>
      <w:r w:rsidRPr="00AD67C2">
        <w:rPr>
          <w:rFonts w:ascii="Garamond" w:eastAsia="Calibri" w:hAnsi="Garamond" w:cs="Times New Roman"/>
          <w:bCs/>
          <w:sz w:val="22"/>
          <w:szCs w:val="22"/>
          <w:lang w:eastAsia="en-US"/>
        </w:rPr>
        <w:t xml:space="preserve"> заключенным между владельцем оборудования, входящего в объект регулирования</w:t>
      </w:r>
      <w:r w:rsidR="00FD2C84">
        <w:rPr>
          <w:rFonts w:ascii="Garamond" w:eastAsia="Calibri" w:hAnsi="Garamond" w:cs="Times New Roman"/>
          <w:bCs/>
          <w:sz w:val="22"/>
          <w:szCs w:val="22"/>
          <w:lang w:eastAsia="en-US"/>
        </w:rPr>
        <w:t>,</w:t>
      </w:r>
      <w:r w:rsidRPr="00AD67C2">
        <w:rPr>
          <w:rFonts w:ascii="Garamond" w:eastAsia="Calibri" w:hAnsi="Garamond" w:cs="Times New Roman"/>
          <w:bCs/>
          <w:sz w:val="22"/>
          <w:szCs w:val="22"/>
          <w:lang w:eastAsia="en-US"/>
        </w:rPr>
        <w:t xml:space="preserve"> и иными лицами,</w:t>
      </w:r>
      <w:r w:rsidR="009B5F03">
        <w:rPr>
          <w:rFonts w:ascii="Garamond" w:eastAsia="Calibri" w:hAnsi="Garamond" w:cs="Times New Roman"/>
          <w:bCs/>
          <w:sz w:val="22"/>
          <w:szCs w:val="22"/>
          <w:lang w:eastAsia="en-US"/>
        </w:rPr>
        <w:t xml:space="preserve"> </w:t>
      </w:r>
      <w:r w:rsidRPr="00AD67C2">
        <w:rPr>
          <w:rFonts w:ascii="Garamond" w:eastAsia="Calibri" w:hAnsi="Garamond" w:cs="Times New Roman"/>
          <w:bCs/>
          <w:sz w:val="22"/>
          <w:szCs w:val="22"/>
          <w:lang w:eastAsia="en-US"/>
        </w:rPr>
        <w:t xml:space="preserve">расчет применимости методов контроля за исполнением обязательств (объема снижения потребления) к объекту регулирования, паспортные технологические характеристики генерирующего оборудования. Порядок и сроки рассмотрения СО направленных документов указаны в п. </w:t>
      </w:r>
      <w:r w:rsidRPr="00AD67C2">
        <w:rPr>
          <w:rFonts w:ascii="Garamond" w:eastAsia="Calibri" w:hAnsi="Garamond" w:cs="Times New Roman"/>
          <w:bCs/>
          <w:sz w:val="22"/>
          <w:szCs w:val="22"/>
          <w:lang w:eastAsia="en-US"/>
        </w:rPr>
        <w:fldChar w:fldCharType="begin"/>
      </w:r>
      <w:r w:rsidRPr="00AD67C2">
        <w:rPr>
          <w:rFonts w:ascii="Garamond" w:eastAsia="Calibri" w:hAnsi="Garamond" w:cs="Times New Roman"/>
          <w:bCs/>
          <w:sz w:val="22"/>
          <w:szCs w:val="22"/>
          <w:lang w:eastAsia="en-US"/>
        </w:rPr>
        <w:instrText xml:space="preserve"> REF _Ref149322545 \r \h </w:instrText>
      </w:r>
      <w:r w:rsidR="00AD67C2" w:rsidRPr="00AD67C2">
        <w:rPr>
          <w:rFonts w:ascii="Garamond" w:eastAsia="Calibri" w:hAnsi="Garamond" w:cs="Times New Roman"/>
          <w:bCs/>
          <w:sz w:val="22"/>
          <w:szCs w:val="22"/>
          <w:lang w:eastAsia="en-US"/>
        </w:rPr>
        <w:instrText xml:space="preserve"> \* MERGEFORMAT </w:instrText>
      </w:r>
      <w:r w:rsidRPr="00AD67C2">
        <w:rPr>
          <w:rFonts w:ascii="Garamond" w:eastAsia="Calibri" w:hAnsi="Garamond" w:cs="Times New Roman"/>
          <w:bCs/>
          <w:sz w:val="22"/>
          <w:szCs w:val="22"/>
          <w:lang w:eastAsia="en-US"/>
        </w:rPr>
      </w:r>
      <w:r w:rsidRPr="00AD67C2">
        <w:rPr>
          <w:rFonts w:ascii="Garamond" w:eastAsia="Calibri" w:hAnsi="Garamond" w:cs="Times New Roman"/>
          <w:bCs/>
          <w:sz w:val="22"/>
          <w:szCs w:val="22"/>
          <w:lang w:eastAsia="en-US"/>
        </w:rPr>
        <w:fldChar w:fldCharType="separate"/>
      </w:r>
      <w:r w:rsidRPr="00AD67C2">
        <w:rPr>
          <w:rFonts w:ascii="Garamond" w:eastAsia="Calibri" w:hAnsi="Garamond" w:cs="Times New Roman"/>
          <w:bCs/>
          <w:sz w:val="22"/>
          <w:szCs w:val="22"/>
          <w:lang w:eastAsia="en-US"/>
        </w:rPr>
        <w:t>3.9</w:t>
      </w:r>
      <w:r w:rsidRPr="00AD67C2">
        <w:rPr>
          <w:rFonts w:ascii="Garamond" w:eastAsia="Calibri" w:hAnsi="Garamond" w:cs="Times New Roman"/>
          <w:bCs/>
          <w:sz w:val="22"/>
          <w:szCs w:val="22"/>
          <w:lang w:eastAsia="en-US"/>
        </w:rPr>
        <w:fldChar w:fldCharType="end"/>
      </w:r>
      <w:r w:rsidRPr="00AD67C2">
        <w:rPr>
          <w:rFonts w:ascii="Garamond" w:eastAsia="Calibri" w:hAnsi="Garamond" w:cs="Times New Roman"/>
          <w:bCs/>
          <w:sz w:val="22"/>
          <w:szCs w:val="22"/>
          <w:lang w:eastAsia="en-US"/>
        </w:rPr>
        <w:t xml:space="preserve"> настоящего приложения.</w:t>
      </w:r>
    </w:p>
    <w:p w14:paraId="6050C1BC" w14:textId="77777777" w:rsidR="001333B2" w:rsidRPr="00AD67C2" w:rsidRDefault="001333B2" w:rsidP="00AD67C2">
      <w:pPr>
        <w:widowControl w:val="0"/>
        <w:numPr>
          <w:ilvl w:val="1"/>
          <w:numId w:val="297"/>
        </w:numPr>
        <w:tabs>
          <w:tab w:val="left" w:pos="1077"/>
        </w:tabs>
        <w:suppressAutoHyphens w:val="0"/>
        <w:spacing w:before="120" w:after="120" w:line="259" w:lineRule="auto"/>
        <w:jc w:val="both"/>
        <w:outlineLvl w:val="1"/>
        <w:rPr>
          <w:rFonts w:ascii="Garamond" w:eastAsia="Calibri" w:hAnsi="Garamond" w:cs="Times New Roman"/>
          <w:bCs/>
          <w:sz w:val="22"/>
          <w:szCs w:val="22"/>
          <w:lang w:eastAsia="en-US"/>
        </w:rPr>
      </w:pPr>
      <w:bookmarkStart w:id="38" w:name="_Ref149322479"/>
      <w:r w:rsidRPr="00AD67C2">
        <w:rPr>
          <w:rFonts w:ascii="Garamond" w:eastAsia="Calibri" w:hAnsi="Garamond" w:cs="Times New Roman"/>
          <w:bCs/>
          <w:sz w:val="22"/>
          <w:szCs w:val="22"/>
          <w:lang w:eastAsia="en-US"/>
        </w:rPr>
        <w:t>В срок 16 (шестнадцать</w:t>
      </w:r>
      <w:r w:rsidRPr="00FD2C84">
        <w:rPr>
          <w:rFonts w:ascii="Garamond" w:eastAsia="Calibri" w:hAnsi="Garamond" w:cs="Times New Roman"/>
          <w:bCs/>
          <w:sz w:val="22"/>
          <w:szCs w:val="22"/>
          <w:lang w:eastAsia="en-US"/>
        </w:rPr>
        <w:t xml:space="preserve">) рабочих дней с даты завершения с положительным результатом процедур, предусмотренных п. </w:t>
      </w:r>
      <w:r w:rsidRPr="00FD2C84">
        <w:rPr>
          <w:rFonts w:ascii="Garamond" w:eastAsia="Calibri" w:hAnsi="Garamond" w:cs="Times New Roman"/>
          <w:bCs/>
          <w:sz w:val="22"/>
          <w:szCs w:val="22"/>
          <w:lang w:eastAsia="en-US"/>
        </w:rPr>
        <w:fldChar w:fldCharType="begin"/>
      </w:r>
      <w:r w:rsidRPr="00FD2C84">
        <w:rPr>
          <w:rFonts w:ascii="Garamond" w:eastAsia="Calibri" w:hAnsi="Garamond" w:cs="Times New Roman"/>
          <w:bCs/>
          <w:sz w:val="22"/>
          <w:szCs w:val="22"/>
          <w:lang w:eastAsia="en-US"/>
        </w:rPr>
        <w:instrText xml:space="preserve"> REF _Ref149304286 \r \h  \* MERGEFORMAT </w:instrText>
      </w:r>
      <w:r w:rsidRPr="00FD2C84">
        <w:rPr>
          <w:rFonts w:ascii="Garamond" w:eastAsia="Calibri" w:hAnsi="Garamond" w:cs="Times New Roman"/>
          <w:bCs/>
          <w:sz w:val="22"/>
          <w:szCs w:val="22"/>
          <w:lang w:eastAsia="en-US"/>
        </w:rPr>
      </w:r>
      <w:r w:rsidRPr="00FD2C84">
        <w:rPr>
          <w:rFonts w:ascii="Garamond" w:eastAsia="Calibri" w:hAnsi="Garamond" w:cs="Times New Roman"/>
          <w:bCs/>
          <w:sz w:val="22"/>
          <w:szCs w:val="22"/>
          <w:lang w:eastAsia="en-US"/>
        </w:rPr>
        <w:fldChar w:fldCharType="separate"/>
      </w:r>
      <w:r w:rsidRPr="00FD2C84">
        <w:rPr>
          <w:rFonts w:ascii="Garamond" w:eastAsia="Calibri" w:hAnsi="Garamond" w:cs="Times New Roman"/>
          <w:bCs/>
          <w:sz w:val="22"/>
          <w:szCs w:val="22"/>
          <w:lang w:eastAsia="en-US"/>
        </w:rPr>
        <w:t>3.3</w:t>
      </w:r>
      <w:r w:rsidRPr="00FD2C84">
        <w:rPr>
          <w:rFonts w:ascii="Garamond" w:eastAsia="Calibri" w:hAnsi="Garamond" w:cs="Times New Roman"/>
          <w:bCs/>
          <w:sz w:val="22"/>
          <w:szCs w:val="22"/>
          <w:lang w:eastAsia="en-US"/>
        </w:rPr>
        <w:fldChar w:fldCharType="end"/>
      </w:r>
      <w:r w:rsidRPr="00FD2C84">
        <w:rPr>
          <w:rFonts w:ascii="Garamond" w:eastAsia="Calibri" w:hAnsi="Garamond" w:cs="Times New Roman"/>
          <w:bCs/>
          <w:sz w:val="22"/>
          <w:szCs w:val="22"/>
          <w:lang w:eastAsia="en-US"/>
        </w:rPr>
        <w:t xml:space="preserve"> настоящего приложения, КО проводит проверку документов заявителя </w:t>
      </w:r>
      <w:r w:rsidR="00C84AD5" w:rsidRPr="00FD2C84">
        <w:rPr>
          <w:rFonts w:ascii="Garamond" w:eastAsia="Calibri" w:hAnsi="Garamond" w:cs="Times New Roman"/>
          <w:bCs/>
          <w:sz w:val="22"/>
          <w:szCs w:val="22"/>
          <w:lang w:eastAsia="en-US"/>
        </w:rPr>
        <w:t xml:space="preserve">на соответствие требованиям законодательства об электроэнергетике и </w:t>
      </w:r>
      <w:r w:rsidR="00C84AD5" w:rsidRPr="00FD2C84">
        <w:rPr>
          <w:rFonts w:ascii="Garamond" w:eastAsia="Calibri" w:hAnsi="Garamond" w:cs="Times New Roman"/>
          <w:bCs/>
          <w:i/>
          <w:sz w:val="22"/>
          <w:szCs w:val="22"/>
          <w:lang w:eastAsia="en-US"/>
        </w:rPr>
        <w:t>Договора о присоединении к торговой системе оптового рынка</w:t>
      </w:r>
      <w:r w:rsidR="00C84AD5" w:rsidRPr="00FD2C84">
        <w:rPr>
          <w:rFonts w:ascii="Garamond" w:eastAsia="Calibri" w:hAnsi="Garamond" w:cs="Times New Roman"/>
          <w:bCs/>
          <w:sz w:val="22"/>
          <w:szCs w:val="22"/>
          <w:lang w:eastAsia="en-US"/>
        </w:rPr>
        <w:t>, в том числе</w:t>
      </w:r>
      <w:r w:rsidRPr="00FD2C84">
        <w:rPr>
          <w:rFonts w:ascii="Garamond" w:eastAsia="Calibri" w:hAnsi="Garamond" w:cs="Times New Roman"/>
          <w:bCs/>
          <w:sz w:val="22"/>
          <w:szCs w:val="22"/>
          <w:lang w:eastAsia="en-US"/>
        </w:rPr>
        <w:t xml:space="preserve"> в том числе проверку заявленного объекта регулирования на соответствие Методике формирования</w:t>
      </w:r>
      <w:r w:rsidRPr="00AD67C2">
        <w:rPr>
          <w:rFonts w:ascii="Garamond" w:eastAsia="Calibri" w:hAnsi="Garamond" w:cs="Times New Roman"/>
          <w:bCs/>
          <w:sz w:val="22"/>
          <w:szCs w:val="22"/>
          <w:lang w:eastAsia="en-US"/>
        </w:rPr>
        <w:t xml:space="preserve"> объектов регулирования потребления электрической энергии потребителей розничных рынков и (или) оптового рынка, представленной в приложении 10 к настоящему Положению.</w:t>
      </w:r>
      <w:bookmarkEnd w:id="38"/>
    </w:p>
    <w:p w14:paraId="15253353" w14:textId="77777777" w:rsidR="001333B2" w:rsidRPr="00AD67C2" w:rsidRDefault="001333B2" w:rsidP="00AD67C2">
      <w:pPr>
        <w:widowControl w:val="0"/>
        <w:numPr>
          <w:ilvl w:val="1"/>
          <w:numId w:val="297"/>
        </w:numPr>
        <w:tabs>
          <w:tab w:val="left" w:pos="1077"/>
        </w:tabs>
        <w:suppressAutoHyphens w:val="0"/>
        <w:spacing w:before="120" w:after="120" w:line="259" w:lineRule="auto"/>
        <w:jc w:val="both"/>
        <w:outlineLvl w:val="1"/>
        <w:rPr>
          <w:rFonts w:ascii="Garamond" w:eastAsia="Calibri" w:hAnsi="Garamond" w:cs="Times New Roman"/>
          <w:bCs/>
          <w:sz w:val="22"/>
          <w:szCs w:val="22"/>
          <w:lang w:eastAsia="en-US"/>
        </w:rPr>
      </w:pPr>
      <w:bookmarkStart w:id="39" w:name="_Ref149320909"/>
      <w:r w:rsidRPr="00AD67C2">
        <w:rPr>
          <w:rFonts w:ascii="Garamond" w:eastAsia="Calibri" w:hAnsi="Garamond" w:cs="Times New Roman"/>
          <w:bCs/>
          <w:sz w:val="22"/>
          <w:szCs w:val="22"/>
          <w:lang w:eastAsia="en-US"/>
        </w:rPr>
        <w:t xml:space="preserve">В срок 7 (семь) рабочих дней с даты завершения с положительным результатом процедур, предусмотренных п. </w:t>
      </w:r>
      <w:r w:rsidRPr="00AD67C2">
        <w:rPr>
          <w:rFonts w:ascii="Garamond" w:eastAsia="Calibri" w:hAnsi="Garamond" w:cs="Times New Roman"/>
          <w:bCs/>
          <w:sz w:val="22"/>
          <w:szCs w:val="22"/>
          <w:lang w:eastAsia="en-US"/>
        </w:rPr>
        <w:fldChar w:fldCharType="begin"/>
      </w:r>
      <w:r w:rsidRPr="00AD67C2">
        <w:rPr>
          <w:rFonts w:ascii="Garamond" w:eastAsia="Calibri" w:hAnsi="Garamond" w:cs="Times New Roman"/>
          <w:bCs/>
          <w:sz w:val="22"/>
          <w:szCs w:val="22"/>
          <w:lang w:eastAsia="en-US"/>
        </w:rPr>
        <w:instrText xml:space="preserve"> REF _Ref149304286 \r \h  \* MERGEFORMAT </w:instrText>
      </w:r>
      <w:r w:rsidRPr="00AD67C2">
        <w:rPr>
          <w:rFonts w:ascii="Garamond" w:eastAsia="Calibri" w:hAnsi="Garamond" w:cs="Times New Roman"/>
          <w:bCs/>
          <w:sz w:val="22"/>
          <w:szCs w:val="22"/>
          <w:lang w:eastAsia="en-US"/>
        </w:rPr>
      </w:r>
      <w:r w:rsidRPr="00AD67C2">
        <w:rPr>
          <w:rFonts w:ascii="Garamond" w:eastAsia="Calibri" w:hAnsi="Garamond" w:cs="Times New Roman"/>
          <w:bCs/>
          <w:sz w:val="22"/>
          <w:szCs w:val="22"/>
          <w:lang w:eastAsia="en-US"/>
        </w:rPr>
        <w:fldChar w:fldCharType="separate"/>
      </w:r>
      <w:r w:rsidRPr="00AD67C2">
        <w:rPr>
          <w:rFonts w:ascii="Garamond" w:eastAsia="Calibri" w:hAnsi="Garamond" w:cs="Times New Roman"/>
          <w:bCs/>
          <w:sz w:val="22"/>
          <w:szCs w:val="22"/>
          <w:lang w:eastAsia="en-US"/>
        </w:rPr>
        <w:t>3.3</w:t>
      </w:r>
      <w:r w:rsidRPr="00AD67C2">
        <w:rPr>
          <w:rFonts w:ascii="Garamond" w:eastAsia="Calibri" w:hAnsi="Garamond" w:cs="Times New Roman"/>
          <w:bCs/>
          <w:sz w:val="22"/>
          <w:szCs w:val="22"/>
          <w:lang w:eastAsia="en-US"/>
        </w:rPr>
        <w:fldChar w:fldCharType="end"/>
      </w:r>
      <w:r w:rsidRPr="00AD67C2">
        <w:rPr>
          <w:rFonts w:ascii="Garamond" w:eastAsia="Calibri" w:hAnsi="Garamond" w:cs="Times New Roman"/>
          <w:bCs/>
          <w:sz w:val="22"/>
          <w:szCs w:val="22"/>
          <w:lang w:eastAsia="en-US"/>
        </w:rPr>
        <w:t xml:space="preserve"> настоящего приложения, КО проводит процедуру кодирования точек присоединения, точек измерений, приборов учета и их измерительных каналов, включенных в ПСИ (макет 60000) (далее – процедура кодирования объекта регулирования).</w:t>
      </w:r>
      <w:bookmarkEnd w:id="39"/>
      <w:r w:rsidRPr="00AD67C2">
        <w:rPr>
          <w:rFonts w:ascii="Garamond" w:eastAsia="Calibri" w:hAnsi="Garamond" w:cs="Times New Roman"/>
          <w:bCs/>
          <w:sz w:val="22"/>
          <w:szCs w:val="22"/>
          <w:lang w:eastAsia="en-US"/>
        </w:rPr>
        <w:t xml:space="preserve"> </w:t>
      </w:r>
    </w:p>
    <w:p w14:paraId="4F2EAB74" w14:textId="77777777" w:rsidR="001333B2" w:rsidRPr="00AD67C2" w:rsidRDefault="001333B2" w:rsidP="00AD67C2">
      <w:pPr>
        <w:widowControl w:val="0"/>
        <w:tabs>
          <w:tab w:val="left" w:pos="1077"/>
        </w:tabs>
        <w:suppressAutoHyphens w:val="0"/>
        <w:spacing w:before="120" w:after="120"/>
        <w:ind w:firstLine="601"/>
        <w:jc w:val="both"/>
        <w:rPr>
          <w:rFonts w:ascii="Garamond" w:eastAsia="Calibri" w:hAnsi="Garamond" w:cs="Times New Roman"/>
          <w:bCs/>
          <w:sz w:val="22"/>
          <w:szCs w:val="22"/>
          <w:lang w:eastAsia="en-US"/>
        </w:rPr>
      </w:pPr>
      <w:r w:rsidRPr="00AD67C2">
        <w:rPr>
          <w:rFonts w:ascii="Garamond" w:eastAsia="Calibri" w:hAnsi="Garamond" w:cs="Times New Roman"/>
          <w:bCs/>
          <w:sz w:val="22"/>
          <w:szCs w:val="22"/>
          <w:lang w:eastAsia="en-US"/>
        </w:rPr>
        <w:t xml:space="preserve">В рамках проведения процедуры кодирования объекта регулирования КО: </w:t>
      </w:r>
    </w:p>
    <w:p w14:paraId="4C7452BD" w14:textId="77777777" w:rsidR="001333B2" w:rsidRPr="00AD67C2" w:rsidRDefault="001333B2" w:rsidP="00AD67C2">
      <w:pPr>
        <w:widowControl w:val="0"/>
        <w:numPr>
          <w:ilvl w:val="0"/>
          <w:numId w:val="305"/>
        </w:numPr>
        <w:tabs>
          <w:tab w:val="left" w:pos="851"/>
        </w:tabs>
        <w:suppressAutoHyphens w:val="0"/>
        <w:spacing w:before="120" w:after="120" w:line="259" w:lineRule="auto"/>
        <w:ind w:left="0" w:firstLine="601"/>
        <w:jc w:val="both"/>
        <w:rPr>
          <w:rFonts w:ascii="Garamond" w:eastAsia="Calibri" w:hAnsi="Garamond" w:cs="Times New Roman"/>
          <w:bCs/>
          <w:sz w:val="22"/>
          <w:szCs w:val="22"/>
          <w:lang w:eastAsia="en-US"/>
        </w:rPr>
      </w:pPr>
      <w:r w:rsidRPr="00AD67C2">
        <w:rPr>
          <w:rFonts w:ascii="Garamond" w:eastAsia="Calibri" w:hAnsi="Garamond" w:cs="Times New Roman"/>
          <w:bCs/>
          <w:sz w:val="22"/>
          <w:szCs w:val="22"/>
          <w:lang w:eastAsia="en-US"/>
        </w:rPr>
        <w:t>формирует группу (область) передаваемой информации «area» и присваивает ей наименование и код;</w:t>
      </w:r>
    </w:p>
    <w:p w14:paraId="2596EF15" w14:textId="7F99B935" w:rsidR="001333B2" w:rsidRPr="00AD67C2" w:rsidRDefault="001333B2" w:rsidP="00AD67C2">
      <w:pPr>
        <w:widowControl w:val="0"/>
        <w:numPr>
          <w:ilvl w:val="0"/>
          <w:numId w:val="305"/>
        </w:numPr>
        <w:tabs>
          <w:tab w:val="left" w:pos="851"/>
        </w:tabs>
        <w:suppressAutoHyphens w:val="0"/>
        <w:spacing w:before="120" w:after="120" w:line="259" w:lineRule="auto"/>
        <w:ind w:left="0" w:firstLine="601"/>
        <w:jc w:val="both"/>
        <w:rPr>
          <w:rFonts w:ascii="Garamond" w:eastAsia="Calibri" w:hAnsi="Garamond" w:cs="Times New Roman"/>
          <w:bCs/>
          <w:sz w:val="22"/>
          <w:szCs w:val="22"/>
          <w:lang w:eastAsia="en-US"/>
        </w:rPr>
      </w:pPr>
      <w:r w:rsidRPr="00AD67C2">
        <w:rPr>
          <w:rFonts w:ascii="Garamond" w:eastAsia="Calibri" w:hAnsi="Garamond" w:cs="Times New Roman"/>
          <w:bCs/>
          <w:sz w:val="22"/>
          <w:szCs w:val="22"/>
          <w:lang w:eastAsia="en-US"/>
        </w:rPr>
        <w:t xml:space="preserve">формирует соответствующий атрибут «Список объектов регулирования» (далее – </w:t>
      </w:r>
      <w:r w:rsidR="007B726D">
        <w:rPr>
          <w:rFonts w:ascii="Garamond" w:eastAsia="Calibri" w:hAnsi="Garamond" w:cs="Times New Roman"/>
          <w:bCs/>
          <w:sz w:val="22"/>
          <w:szCs w:val="22"/>
          <w:lang w:eastAsia="en-US"/>
        </w:rPr>
        <w:t>с</w:t>
      </w:r>
      <w:r w:rsidRPr="00AD67C2">
        <w:rPr>
          <w:rFonts w:ascii="Garamond" w:eastAsia="Calibri" w:hAnsi="Garamond" w:cs="Times New Roman"/>
          <w:bCs/>
          <w:sz w:val="22"/>
          <w:szCs w:val="22"/>
          <w:lang w:eastAsia="en-US"/>
        </w:rPr>
        <w:t xml:space="preserve">писок ОР), присваивает ему код и осуществляет отнесение сформированной группы (области) передаваемой информации «area» к указанному атрибуту </w:t>
      </w:r>
      <w:r w:rsidR="00FD2C84">
        <w:rPr>
          <w:rFonts w:ascii="Garamond" w:eastAsia="Calibri" w:hAnsi="Garamond" w:cs="Times New Roman"/>
          <w:bCs/>
          <w:sz w:val="22"/>
          <w:szCs w:val="22"/>
          <w:lang w:eastAsia="en-US"/>
        </w:rPr>
        <w:t>«</w:t>
      </w:r>
      <w:r w:rsidR="007B726D">
        <w:rPr>
          <w:rFonts w:ascii="Garamond" w:eastAsia="Calibri" w:hAnsi="Garamond" w:cs="Times New Roman"/>
          <w:bCs/>
          <w:sz w:val="22"/>
          <w:szCs w:val="22"/>
          <w:lang w:eastAsia="en-US"/>
        </w:rPr>
        <w:t>с</w:t>
      </w:r>
      <w:r w:rsidRPr="00AD67C2">
        <w:rPr>
          <w:rFonts w:ascii="Garamond" w:eastAsia="Calibri" w:hAnsi="Garamond" w:cs="Times New Roman"/>
          <w:bCs/>
          <w:sz w:val="22"/>
          <w:szCs w:val="22"/>
          <w:lang w:eastAsia="en-US"/>
        </w:rPr>
        <w:t>писок ОР</w:t>
      </w:r>
      <w:r w:rsidR="00FD2C84">
        <w:rPr>
          <w:rFonts w:ascii="Garamond" w:eastAsia="Calibri" w:hAnsi="Garamond" w:cs="Times New Roman"/>
          <w:bCs/>
          <w:sz w:val="22"/>
          <w:szCs w:val="22"/>
          <w:lang w:eastAsia="en-US"/>
        </w:rPr>
        <w:t>»;</w:t>
      </w:r>
      <w:r w:rsidRPr="00AD67C2">
        <w:rPr>
          <w:rFonts w:ascii="Garamond" w:eastAsia="Calibri" w:hAnsi="Garamond" w:cs="Times New Roman"/>
          <w:bCs/>
          <w:sz w:val="22"/>
          <w:szCs w:val="22"/>
          <w:lang w:eastAsia="en-US"/>
        </w:rPr>
        <w:t xml:space="preserve"> </w:t>
      </w:r>
    </w:p>
    <w:p w14:paraId="2A5ECAFA" w14:textId="77777777" w:rsidR="001333B2" w:rsidRPr="00AD67C2" w:rsidRDefault="001333B2" w:rsidP="00AD67C2">
      <w:pPr>
        <w:widowControl w:val="0"/>
        <w:numPr>
          <w:ilvl w:val="0"/>
          <w:numId w:val="305"/>
        </w:numPr>
        <w:tabs>
          <w:tab w:val="left" w:pos="851"/>
        </w:tabs>
        <w:suppressAutoHyphens w:val="0"/>
        <w:spacing w:before="120" w:after="120" w:line="259" w:lineRule="auto"/>
        <w:ind w:left="0" w:firstLine="601"/>
        <w:jc w:val="both"/>
        <w:rPr>
          <w:rFonts w:ascii="Garamond" w:eastAsia="Calibri" w:hAnsi="Garamond" w:cs="Times New Roman"/>
          <w:bCs/>
          <w:sz w:val="22"/>
          <w:szCs w:val="22"/>
          <w:lang w:eastAsia="en-US"/>
        </w:rPr>
      </w:pPr>
      <w:r w:rsidRPr="00AD67C2">
        <w:rPr>
          <w:rFonts w:ascii="Garamond" w:eastAsia="Calibri" w:hAnsi="Garamond" w:cs="Times New Roman"/>
          <w:bCs/>
          <w:sz w:val="22"/>
          <w:szCs w:val="22"/>
          <w:lang w:eastAsia="en-US"/>
        </w:rPr>
        <w:t>присваивает коды точкам присоединения, точкам измерений и измерительным каналам приборов учета, включенным в ПСИ (макет 60000);</w:t>
      </w:r>
    </w:p>
    <w:p w14:paraId="119DA434" w14:textId="2CE07A5F" w:rsidR="001333B2" w:rsidRPr="00AD67C2" w:rsidRDefault="001333B2" w:rsidP="00AD67C2">
      <w:pPr>
        <w:widowControl w:val="0"/>
        <w:numPr>
          <w:ilvl w:val="0"/>
          <w:numId w:val="305"/>
        </w:numPr>
        <w:tabs>
          <w:tab w:val="left" w:pos="851"/>
        </w:tabs>
        <w:suppressAutoHyphens w:val="0"/>
        <w:spacing w:before="120" w:after="120" w:line="259" w:lineRule="auto"/>
        <w:ind w:left="0" w:firstLine="601"/>
        <w:jc w:val="both"/>
        <w:rPr>
          <w:rFonts w:ascii="Garamond" w:eastAsia="Calibri" w:hAnsi="Garamond" w:cs="Times New Roman"/>
          <w:bCs/>
          <w:sz w:val="22"/>
          <w:szCs w:val="22"/>
          <w:lang w:eastAsia="en-US"/>
        </w:rPr>
      </w:pPr>
      <w:r w:rsidRPr="00AD67C2">
        <w:rPr>
          <w:rFonts w:ascii="Garamond" w:eastAsia="Calibri" w:hAnsi="Garamond" w:cs="Times New Roman"/>
          <w:bCs/>
          <w:sz w:val="22"/>
          <w:szCs w:val="22"/>
          <w:lang w:eastAsia="en-US"/>
        </w:rPr>
        <w:t xml:space="preserve">присваивает коды средств и объектов измерений на основании вариантов схем электроснабжения, предоставленных в КО, при условии наличия в </w:t>
      </w:r>
      <w:r w:rsidR="00FD2C84">
        <w:rPr>
          <w:rFonts w:ascii="Garamond" w:eastAsia="Calibri" w:hAnsi="Garamond" w:cs="Times New Roman"/>
          <w:bCs/>
          <w:sz w:val="22"/>
          <w:szCs w:val="22"/>
          <w:lang w:eastAsia="en-US"/>
        </w:rPr>
        <w:t>ПСИ в макете 60000 информации о </w:t>
      </w:r>
      <w:r w:rsidRPr="00AD67C2">
        <w:rPr>
          <w:rFonts w:ascii="Garamond" w:eastAsia="Calibri" w:hAnsi="Garamond" w:cs="Times New Roman"/>
          <w:bCs/>
          <w:sz w:val="22"/>
          <w:szCs w:val="22"/>
          <w:lang w:eastAsia="en-US"/>
        </w:rPr>
        <w:t>состояниях объектов измерений, передаваемой после присвоения кодов в КО в макетах 20020</w:t>
      </w:r>
      <w:r w:rsidR="00FD2C84">
        <w:rPr>
          <w:rFonts w:ascii="Garamond" w:eastAsia="Calibri" w:hAnsi="Garamond" w:cs="Times New Roman"/>
          <w:bCs/>
          <w:sz w:val="22"/>
          <w:szCs w:val="22"/>
          <w:lang w:eastAsia="en-US"/>
        </w:rPr>
        <w:t>;</w:t>
      </w:r>
      <w:r w:rsidRPr="00AD67C2">
        <w:rPr>
          <w:rFonts w:ascii="Garamond" w:eastAsia="Calibri" w:hAnsi="Garamond" w:cs="Times New Roman"/>
          <w:bCs/>
          <w:sz w:val="22"/>
          <w:szCs w:val="22"/>
          <w:lang w:eastAsia="en-US"/>
        </w:rPr>
        <w:t xml:space="preserve"> </w:t>
      </w:r>
    </w:p>
    <w:p w14:paraId="67B10806" w14:textId="77777777" w:rsidR="001333B2" w:rsidRPr="00AD67C2" w:rsidRDefault="001333B2" w:rsidP="00AD67C2">
      <w:pPr>
        <w:widowControl w:val="0"/>
        <w:numPr>
          <w:ilvl w:val="0"/>
          <w:numId w:val="305"/>
        </w:numPr>
        <w:tabs>
          <w:tab w:val="left" w:pos="851"/>
        </w:tabs>
        <w:suppressAutoHyphens w:val="0"/>
        <w:spacing w:before="120" w:after="120" w:line="259" w:lineRule="auto"/>
        <w:ind w:left="0" w:firstLine="601"/>
        <w:jc w:val="both"/>
        <w:rPr>
          <w:rFonts w:ascii="Garamond" w:eastAsia="Calibri" w:hAnsi="Garamond" w:cs="Times New Roman"/>
          <w:bCs/>
          <w:sz w:val="22"/>
          <w:szCs w:val="22"/>
          <w:lang w:eastAsia="en-US"/>
        </w:rPr>
      </w:pPr>
      <w:r w:rsidRPr="00AD67C2">
        <w:rPr>
          <w:rFonts w:ascii="Garamond" w:eastAsia="Calibri" w:hAnsi="Garamond" w:cs="Times New Roman"/>
          <w:bCs/>
          <w:sz w:val="22"/>
          <w:szCs w:val="22"/>
          <w:lang w:eastAsia="en-US"/>
        </w:rPr>
        <w:t>вносит в ПАК КО наименования электросетевых элементов, энергообъектов и расположенных на них точек присоединения, точек измерений, а также объектов измерений;</w:t>
      </w:r>
    </w:p>
    <w:p w14:paraId="0D8DC3AC" w14:textId="77777777" w:rsidR="001333B2" w:rsidRPr="00AD67C2" w:rsidRDefault="001333B2" w:rsidP="00AD67C2">
      <w:pPr>
        <w:widowControl w:val="0"/>
        <w:numPr>
          <w:ilvl w:val="0"/>
          <w:numId w:val="305"/>
        </w:numPr>
        <w:tabs>
          <w:tab w:val="left" w:pos="851"/>
          <w:tab w:val="left" w:pos="1077"/>
        </w:tabs>
        <w:suppressAutoHyphens w:val="0"/>
        <w:spacing w:before="120" w:after="120" w:line="259" w:lineRule="auto"/>
        <w:ind w:left="0" w:firstLine="567"/>
        <w:jc w:val="both"/>
        <w:rPr>
          <w:rFonts w:ascii="Garamond" w:eastAsia="Calibri" w:hAnsi="Garamond" w:cs="Times New Roman"/>
          <w:bCs/>
          <w:sz w:val="22"/>
          <w:szCs w:val="22"/>
          <w:lang w:eastAsia="en-US"/>
        </w:rPr>
      </w:pPr>
      <w:r w:rsidRPr="00AD67C2">
        <w:rPr>
          <w:rFonts w:ascii="Garamond" w:eastAsia="Calibri" w:hAnsi="Garamond" w:cs="Times New Roman"/>
          <w:bCs/>
          <w:sz w:val="22"/>
          <w:szCs w:val="22"/>
          <w:lang w:eastAsia="en-US"/>
        </w:rPr>
        <w:t>корректирует наименования точек присоединения / точек измерений в приложении к ПСИ в макете 60002 в соответствии с требованиями приложения 11 к настоящему Положению и (или) актуальным справочником центров питания.</w:t>
      </w:r>
    </w:p>
    <w:p w14:paraId="129849C5" w14:textId="01DB7387" w:rsidR="001333B2" w:rsidRPr="00AD67C2" w:rsidRDefault="001333B2" w:rsidP="00AD67C2">
      <w:pPr>
        <w:widowControl w:val="0"/>
        <w:tabs>
          <w:tab w:val="left" w:pos="851"/>
          <w:tab w:val="left" w:pos="1077"/>
        </w:tabs>
        <w:suppressAutoHyphens w:val="0"/>
        <w:spacing w:before="120" w:after="120"/>
        <w:ind w:firstLine="709"/>
        <w:jc w:val="both"/>
        <w:rPr>
          <w:rFonts w:ascii="Garamond" w:eastAsia="Calibri" w:hAnsi="Garamond" w:cs="Times New Roman"/>
          <w:bCs/>
          <w:sz w:val="22"/>
          <w:szCs w:val="22"/>
          <w:lang w:eastAsia="en-US"/>
        </w:rPr>
      </w:pPr>
      <w:r w:rsidRPr="00AD67C2">
        <w:rPr>
          <w:rFonts w:ascii="Garamond" w:eastAsia="Calibri" w:hAnsi="Garamond" w:cs="Times New Roman"/>
          <w:bCs/>
          <w:sz w:val="22"/>
          <w:szCs w:val="22"/>
          <w:lang w:eastAsia="en-US"/>
        </w:rPr>
        <w:t>В случае необходимости внесения изменений в приложение к ПСИ в макете 60002 и (или) в актуальный справочник центров питания в отношении наименовани</w:t>
      </w:r>
      <w:r w:rsidR="00750912">
        <w:rPr>
          <w:rFonts w:ascii="Garamond" w:eastAsia="Calibri" w:hAnsi="Garamond" w:cs="Times New Roman"/>
          <w:bCs/>
          <w:sz w:val="22"/>
          <w:szCs w:val="22"/>
          <w:lang w:eastAsia="en-US"/>
        </w:rPr>
        <w:t>й</w:t>
      </w:r>
      <w:r w:rsidRPr="00AD67C2">
        <w:rPr>
          <w:rFonts w:ascii="Garamond" w:eastAsia="Calibri" w:hAnsi="Garamond" w:cs="Times New Roman"/>
          <w:bCs/>
          <w:sz w:val="22"/>
          <w:szCs w:val="22"/>
          <w:lang w:eastAsia="en-US"/>
        </w:rPr>
        <w:t xml:space="preserve"> центра питания и (или) точек присоединения / точек измерений, расположенных на нем (в части, касающейся корректировки наименования центра питания), заявитель инициирует внесение вышеуказанных изменений в порядке, </w:t>
      </w:r>
      <w:r w:rsidRPr="00AD67C2">
        <w:rPr>
          <w:rFonts w:ascii="Garamond" w:eastAsia="Calibri" w:hAnsi="Garamond" w:cs="Times New Roman"/>
          <w:bCs/>
          <w:sz w:val="22"/>
          <w:szCs w:val="22"/>
          <w:lang w:eastAsia="en-US"/>
        </w:rPr>
        <w:lastRenderedPageBreak/>
        <w:t xml:space="preserve">предусмотренном пп. 2.2.8.1–2.2.8.3 приложения 5 к </w:t>
      </w:r>
      <w:r w:rsidRPr="00AD67C2">
        <w:rPr>
          <w:rFonts w:ascii="Garamond" w:eastAsia="Calibri" w:hAnsi="Garamond" w:cs="Times New Roman"/>
          <w:bCs/>
          <w:i/>
          <w:sz w:val="22"/>
          <w:szCs w:val="22"/>
          <w:lang w:eastAsia="en-US"/>
        </w:rPr>
        <w:t>Регламенту коммерческого учета электроэнергии и мощности</w:t>
      </w:r>
      <w:r w:rsidRPr="00AD67C2">
        <w:rPr>
          <w:rFonts w:ascii="Garamond" w:eastAsia="Calibri" w:hAnsi="Garamond" w:cs="Times New Roman"/>
          <w:bCs/>
          <w:sz w:val="22"/>
          <w:szCs w:val="22"/>
          <w:lang w:eastAsia="en-US"/>
        </w:rPr>
        <w:t xml:space="preserve"> (Приложение № 11 к </w:t>
      </w:r>
      <w:r w:rsidRPr="00AD67C2">
        <w:rPr>
          <w:rFonts w:ascii="Garamond" w:eastAsia="Calibri" w:hAnsi="Garamond" w:cs="Times New Roman"/>
          <w:bCs/>
          <w:i/>
          <w:sz w:val="22"/>
          <w:szCs w:val="22"/>
          <w:lang w:eastAsia="en-US"/>
        </w:rPr>
        <w:t>Договору о присоединении к торговой системе оптового рынка</w:t>
      </w:r>
      <w:r w:rsidRPr="00AD67C2">
        <w:rPr>
          <w:rFonts w:ascii="Garamond" w:eastAsia="Calibri" w:hAnsi="Garamond" w:cs="Times New Roman"/>
          <w:bCs/>
          <w:sz w:val="22"/>
          <w:szCs w:val="22"/>
          <w:lang w:eastAsia="en-US"/>
        </w:rPr>
        <w:t>). При этом в случае завершения процедур, предусмотренных пп. 2.2.8.2</w:t>
      </w:r>
      <w:r w:rsidR="00FD2C84">
        <w:rPr>
          <w:rFonts w:ascii="Garamond" w:eastAsia="Calibri" w:hAnsi="Garamond" w:cs="Times New Roman"/>
          <w:bCs/>
          <w:sz w:val="22"/>
          <w:szCs w:val="22"/>
          <w:lang w:eastAsia="en-US"/>
        </w:rPr>
        <w:t xml:space="preserve">, </w:t>
      </w:r>
      <w:r w:rsidRPr="00AD67C2">
        <w:rPr>
          <w:rFonts w:ascii="Garamond" w:eastAsia="Calibri" w:hAnsi="Garamond" w:cs="Times New Roman"/>
          <w:bCs/>
          <w:sz w:val="22"/>
          <w:szCs w:val="22"/>
          <w:lang w:eastAsia="en-US"/>
        </w:rPr>
        <w:t xml:space="preserve">2.2.8.3 приложения 5 к </w:t>
      </w:r>
      <w:r w:rsidRPr="00AD67C2">
        <w:rPr>
          <w:rFonts w:ascii="Garamond" w:eastAsia="Calibri" w:hAnsi="Garamond" w:cs="Times New Roman"/>
          <w:bCs/>
          <w:i/>
          <w:sz w:val="22"/>
          <w:szCs w:val="22"/>
          <w:lang w:eastAsia="en-US"/>
        </w:rPr>
        <w:t>Регламенту коммерческого учета электроэнергии и мощности</w:t>
      </w:r>
      <w:r w:rsidRPr="00AD67C2">
        <w:rPr>
          <w:rFonts w:ascii="Garamond" w:eastAsia="Calibri" w:hAnsi="Garamond" w:cs="Times New Roman"/>
          <w:bCs/>
          <w:sz w:val="22"/>
          <w:szCs w:val="22"/>
          <w:lang w:eastAsia="en-US"/>
        </w:rPr>
        <w:t xml:space="preserve"> (Приложение № 11 к </w:t>
      </w:r>
      <w:r w:rsidRPr="00AD67C2">
        <w:rPr>
          <w:rFonts w:ascii="Garamond" w:eastAsia="Calibri" w:hAnsi="Garamond" w:cs="Times New Roman"/>
          <w:bCs/>
          <w:i/>
          <w:sz w:val="22"/>
          <w:szCs w:val="22"/>
          <w:lang w:eastAsia="en-US"/>
        </w:rPr>
        <w:t>Договору о присоединении к торговой системе оптового рынка</w:t>
      </w:r>
      <w:r w:rsidRPr="00AD67C2">
        <w:rPr>
          <w:rFonts w:ascii="Garamond" w:eastAsia="Calibri" w:hAnsi="Garamond" w:cs="Times New Roman"/>
          <w:bCs/>
          <w:sz w:val="22"/>
          <w:szCs w:val="22"/>
          <w:lang w:eastAsia="en-US"/>
        </w:rPr>
        <w:t>), с отрицательным результатом, а также в случае невыполнения субъект</w:t>
      </w:r>
      <w:r w:rsidR="00FD2C84">
        <w:rPr>
          <w:rFonts w:ascii="Garamond" w:eastAsia="Calibri" w:hAnsi="Garamond" w:cs="Times New Roman"/>
          <w:bCs/>
          <w:sz w:val="22"/>
          <w:szCs w:val="22"/>
          <w:lang w:eastAsia="en-US"/>
        </w:rPr>
        <w:t>ом оптового рынка требований п. </w:t>
      </w:r>
      <w:r w:rsidRPr="00AD67C2">
        <w:rPr>
          <w:rFonts w:ascii="Garamond" w:eastAsia="Calibri" w:hAnsi="Garamond" w:cs="Times New Roman"/>
          <w:bCs/>
          <w:sz w:val="22"/>
          <w:szCs w:val="22"/>
          <w:lang w:eastAsia="en-US"/>
        </w:rPr>
        <w:t xml:space="preserve">2.2.8.4 приложения 5 к </w:t>
      </w:r>
      <w:r w:rsidRPr="00AD67C2">
        <w:rPr>
          <w:rFonts w:ascii="Garamond" w:eastAsia="Calibri" w:hAnsi="Garamond" w:cs="Times New Roman"/>
          <w:bCs/>
          <w:i/>
          <w:sz w:val="22"/>
          <w:szCs w:val="22"/>
          <w:lang w:eastAsia="en-US"/>
        </w:rPr>
        <w:t>Регламенту коммерческого учета электроэнергии и мощности</w:t>
      </w:r>
      <w:r w:rsidRPr="00AD67C2">
        <w:rPr>
          <w:rFonts w:ascii="Garamond" w:eastAsia="Calibri" w:hAnsi="Garamond" w:cs="Times New Roman"/>
          <w:bCs/>
          <w:sz w:val="22"/>
          <w:szCs w:val="22"/>
          <w:lang w:eastAsia="en-US"/>
        </w:rPr>
        <w:t xml:space="preserve"> (Приложение № 11 к </w:t>
      </w:r>
      <w:r w:rsidRPr="00AD67C2">
        <w:rPr>
          <w:rFonts w:ascii="Garamond" w:eastAsia="Calibri" w:hAnsi="Garamond" w:cs="Times New Roman"/>
          <w:bCs/>
          <w:i/>
          <w:sz w:val="22"/>
          <w:szCs w:val="22"/>
          <w:lang w:eastAsia="en-US"/>
        </w:rPr>
        <w:t>Договору о присоединении к торговой системе оптового рынка</w:t>
      </w:r>
      <w:r w:rsidRPr="00AD67C2">
        <w:rPr>
          <w:rFonts w:ascii="Garamond" w:eastAsia="Calibri" w:hAnsi="Garamond" w:cs="Times New Roman"/>
          <w:bCs/>
          <w:sz w:val="22"/>
          <w:szCs w:val="22"/>
          <w:lang w:eastAsia="en-US"/>
        </w:rPr>
        <w:t>) процедура кодирования завершается с отрицательным результатом.</w:t>
      </w:r>
    </w:p>
    <w:p w14:paraId="7752CB74" w14:textId="77777777" w:rsidR="001333B2" w:rsidRPr="00AD67C2" w:rsidRDefault="001333B2" w:rsidP="00AD67C2">
      <w:pPr>
        <w:widowControl w:val="0"/>
        <w:tabs>
          <w:tab w:val="left" w:pos="1077"/>
        </w:tabs>
        <w:suppressAutoHyphens w:val="0"/>
        <w:spacing w:before="120" w:after="120"/>
        <w:ind w:firstLine="601"/>
        <w:jc w:val="both"/>
        <w:rPr>
          <w:rFonts w:ascii="Garamond" w:eastAsia="Calibri" w:hAnsi="Garamond" w:cs="Times New Roman"/>
          <w:bCs/>
          <w:sz w:val="22"/>
          <w:szCs w:val="22"/>
          <w:lang w:eastAsia="en-US"/>
        </w:rPr>
      </w:pPr>
      <w:r w:rsidRPr="00AD67C2">
        <w:rPr>
          <w:rFonts w:ascii="Garamond" w:eastAsia="Calibri" w:hAnsi="Garamond" w:cs="Times New Roman"/>
          <w:bCs/>
          <w:sz w:val="22"/>
          <w:szCs w:val="22"/>
          <w:lang w:eastAsia="en-US"/>
        </w:rPr>
        <w:t xml:space="preserve">При инициировании последующих процедур регистрации объекта регулирования, регистрации изменений объекта регулирования или направлении документов с целью устранения замечаний в соответствии с п. </w:t>
      </w:r>
      <w:r w:rsidRPr="00AD67C2">
        <w:rPr>
          <w:rFonts w:ascii="Garamond" w:eastAsia="Calibri" w:hAnsi="Garamond" w:cs="Times New Roman"/>
          <w:bCs/>
          <w:sz w:val="22"/>
          <w:szCs w:val="22"/>
          <w:lang w:eastAsia="en-US"/>
        </w:rPr>
        <w:fldChar w:fldCharType="begin"/>
      </w:r>
      <w:r w:rsidRPr="00AD67C2">
        <w:rPr>
          <w:rFonts w:ascii="Garamond" w:eastAsia="Calibri" w:hAnsi="Garamond" w:cs="Times New Roman"/>
          <w:bCs/>
          <w:sz w:val="22"/>
          <w:szCs w:val="22"/>
          <w:lang w:eastAsia="en-US"/>
        </w:rPr>
        <w:instrText xml:space="preserve"> REF _Ref149302018 \r \h  \* MERGEFORMAT </w:instrText>
      </w:r>
      <w:r w:rsidRPr="00AD67C2">
        <w:rPr>
          <w:rFonts w:ascii="Garamond" w:eastAsia="Calibri" w:hAnsi="Garamond" w:cs="Times New Roman"/>
          <w:bCs/>
          <w:sz w:val="22"/>
          <w:szCs w:val="22"/>
          <w:lang w:eastAsia="en-US"/>
        </w:rPr>
      </w:r>
      <w:r w:rsidRPr="00AD67C2">
        <w:rPr>
          <w:rFonts w:ascii="Garamond" w:eastAsia="Calibri" w:hAnsi="Garamond" w:cs="Times New Roman"/>
          <w:bCs/>
          <w:sz w:val="22"/>
          <w:szCs w:val="22"/>
          <w:lang w:eastAsia="en-US"/>
        </w:rPr>
        <w:fldChar w:fldCharType="separate"/>
      </w:r>
      <w:r w:rsidRPr="00AD67C2">
        <w:rPr>
          <w:rFonts w:ascii="Garamond" w:eastAsia="Calibri" w:hAnsi="Garamond" w:cs="Times New Roman"/>
          <w:bCs/>
          <w:sz w:val="22"/>
          <w:szCs w:val="22"/>
          <w:lang w:eastAsia="en-US"/>
        </w:rPr>
        <w:t>3.12</w:t>
      </w:r>
      <w:r w:rsidRPr="00AD67C2">
        <w:rPr>
          <w:rFonts w:ascii="Garamond" w:eastAsia="Calibri" w:hAnsi="Garamond" w:cs="Times New Roman"/>
          <w:bCs/>
          <w:sz w:val="22"/>
          <w:szCs w:val="22"/>
          <w:lang w:eastAsia="en-US"/>
        </w:rPr>
        <w:fldChar w:fldCharType="end"/>
      </w:r>
      <w:r w:rsidRPr="00AD67C2">
        <w:rPr>
          <w:rFonts w:ascii="Garamond" w:eastAsia="Calibri" w:hAnsi="Garamond" w:cs="Times New Roman"/>
          <w:bCs/>
          <w:sz w:val="22"/>
          <w:szCs w:val="22"/>
          <w:lang w:eastAsia="en-US"/>
        </w:rPr>
        <w:t xml:space="preserve"> настоящего приложения субъект оптового рынка (заявитель) обязан при формировании ПСИ в макете 60000 использовать ранее присвоенные КО коды (в том числе в макете 60002), а также учесть выполненные КО корректировки наименований вышеуказанных точек присоединений / точек измерения, кроме случаев направления субъектом оптового рынка (заявителем) однолинейной схемы присоединения к внешней электрической сети, подтверждающих сформированные субъектом оптового рынка (заявителем) наименования точек присоединения / точек измерений, в противном случае процедура кодирования завершается с отрицательным результатом.</w:t>
      </w:r>
    </w:p>
    <w:p w14:paraId="3E540685" w14:textId="77777777" w:rsidR="001333B2" w:rsidRPr="00AD67C2" w:rsidRDefault="001333B2" w:rsidP="00AD67C2">
      <w:pPr>
        <w:widowControl w:val="0"/>
        <w:tabs>
          <w:tab w:val="left" w:pos="1077"/>
        </w:tabs>
        <w:suppressAutoHyphens w:val="0"/>
        <w:spacing w:before="120" w:after="120"/>
        <w:ind w:firstLine="601"/>
        <w:jc w:val="both"/>
        <w:rPr>
          <w:rFonts w:ascii="Garamond" w:eastAsia="Calibri" w:hAnsi="Garamond" w:cs="Times New Roman"/>
          <w:bCs/>
          <w:sz w:val="22"/>
          <w:szCs w:val="22"/>
          <w:lang w:eastAsia="en-US"/>
        </w:rPr>
      </w:pPr>
      <w:r w:rsidRPr="00AD67C2">
        <w:rPr>
          <w:rFonts w:ascii="Garamond" w:eastAsia="Calibri" w:hAnsi="Garamond" w:cs="Times New Roman"/>
          <w:bCs/>
          <w:sz w:val="22"/>
          <w:szCs w:val="22"/>
          <w:lang w:eastAsia="en-US"/>
        </w:rPr>
        <w:t xml:space="preserve">При положительных результатах процедуры кодирования КО в срок не позднее 1 (одного) рабочего дня с даты завершения процедуры размещает на своем официальном сайте, в веб-интерфейсе «Данные АИИС», для заявителя группу (область) передаваемой информации (параметр &lt;area&gt;) для передачи результатов измерений и данных о состоянии объектов измерений (в случае использования данных о состоянии объектов измерений) в макете 20020 в ПАК КО, содержащую в том числе наименования точек присоединения и точек измерений, информацию о типах (модификациях) приборов учета и об измерительных каналах приборов учета, а также приложение к ПСИ в макете 60002 (формат макета 60002 определен в приложении 5 к </w:t>
      </w:r>
      <w:r w:rsidRPr="00AD67C2">
        <w:rPr>
          <w:rFonts w:ascii="Garamond" w:eastAsia="Calibri" w:hAnsi="Garamond" w:cs="Times New Roman"/>
          <w:bCs/>
          <w:i/>
          <w:sz w:val="22"/>
          <w:szCs w:val="22"/>
          <w:lang w:eastAsia="en-US"/>
        </w:rPr>
        <w:t>Регламенту коммерческого учета электроэнергии и мощности</w:t>
      </w:r>
      <w:r w:rsidRPr="00AD67C2">
        <w:rPr>
          <w:rFonts w:ascii="Garamond" w:eastAsia="Calibri" w:hAnsi="Garamond" w:cs="Times New Roman"/>
          <w:bCs/>
          <w:sz w:val="22"/>
          <w:szCs w:val="22"/>
          <w:lang w:eastAsia="en-US"/>
        </w:rPr>
        <w:t xml:space="preserve"> (Приложение № 11 к </w:t>
      </w:r>
      <w:r w:rsidRPr="00AD67C2">
        <w:rPr>
          <w:rFonts w:ascii="Garamond" w:eastAsia="Calibri" w:hAnsi="Garamond" w:cs="Times New Roman"/>
          <w:bCs/>
          <w:i/>
          <w:sz w:val="22"/>
          <w:szCs w:val="22"/>
          <w:lang w:eastAsia="en-US"/>
        </w:rPr>
        <w:t>Договору о присоединении к торговой системе оптового рынка</w:t>
      </w:r>
      <w:r w:rsidRPr="00AD67C2">
        <w:rPr>
          <w:rFonts w:ascii="Garamond" w:eastAsia="Calibri" w:hAnsi="Garamond" w:cs="Times New Roman"/>
          <w:bCs/>
          <w:sz w:val="22"/>
          <w:szCs w:val="22"/>
          <w:lang w:eastAsia="en-US"/>
        </w:rPr>
        <w:t xml:space="preserve">)) и информирует об этом заявителя через ПСЗ. </w:t>
      </w:r>
    </w:p>
    <w:p w14:paraId="388AED04" w14:textId="77777777" w:rsidR="001333B2" w:rsidRPr="00AD67C2" w:rsidRDefault="001333B2" w:rsidP="00AD67C2">
      <w:pPr>
        <w:widowControl w:val="0"/>
        <w:tabs>
          <w:tab w:val="left" w:pos="1077"/>
        </w:tabs>
        <w:suppressAutoHyphens w:val="0"/>
        <w:spacing w:before="120" w:after="120"/>
        <w:ind w:firstLine="601"/>
        <w:jc w:val="both"/>
        <w:rPr>
          <w:rFonts w:ascii="Garamond" w:eastAsia="Calibri" w:hAnsi="Garamond" w:cs="Times New Roman"/>
          <w:bCs/>
          <w:sz w:val="22"/>
          <w:szCs w:val="22"/>
          <w:lang w:eastAsia="en-US"/>
        </w:rPr>
      </w:pPr>
      <w:r w:rsidRPr="00AD67C2">
        <w:rPr>
          <w:rFonts w:ascii="Garamond" w:eastAsia="Calibri" w:hAnsi="Garamond" w:cs="Times New Roman"/>
          <w:bCs/>
          <w:sz w:val="22"/>
          <w:szCs w:val="22"/>
          <w:lang w:eastAsia="en-US"/>
        </w:rPr>
        <w:t>В случае если по результатам процедуры кодирования объекта регулирования КО установлена актуальность ранее выданных групп (областей) передаваемой информации (параметр &lt;area&gt;), то КО в срок не позднее 1 (одного) рабочего дня с даты завершения процедуры информирует об этом заявителя через ПСЗ.</w:t>
      </w:r>
    </w:p>
    <w:p w14:paraId="44B37DFB" w14:textId="38448924" w:rsidR="001333B2" w:rsidRPr="00AD67C2" w:rsidRDefault="001333B2" w:rsidP="00AD67C2">
      <w:pPr>
        <w:widowControl w:val="0"/>
        <w:tabs>
          <w:tab w:val="left" w:pos="1077"/>
        </w:tabs>
        <w:suppressAutoHyphens w:val="0"/>
        <w:spacing w:before="120" w:after="120"/>
        <w:ind w:firstLine="601"/>
        <w:jc w:val="both"/>
        <w:rPr>
          <w:rFonts w:ascii="Garamond" w:eastAsia="Calibri" w:hAnsi="Garamond" w:cs="Times New Roman"/>
          <w:bCs/>
          <w:sz w:val="22"/>
          <w:szCs w:val="22"/>
          <w:lang w:eastAsia="en-US"/>
        </w:rPr>
      </w:pPr>
      <w:r w:rsidRPr="00AD67C2">
        <w:rPr>
          <w:rFonts w:ascii="Garamond" w:eastAsia="Calibri" w:hAnsi="Garamond" w:cs="Times New Roman"/>
          <w:bCs/>
          <w:sz w:val="22"/>
          <w:szCs w:val="22"/>
          <w:lang w:eastAsia="en-US"/>
        </w:rPr>
        <w:t xml:space="preserve">В случае отрицательного результата процедуры кодирования, в том числе при неиспользовании субъектом оптового рынка скорректированных КО наименований точек присоединения / точек измерений в соответствии с требованиями настоящего пункта, а также при непредоставлении субъектом оптового рынка вариантов схем электроснабжения, если в ПСИ в макете 60000 содержится информация о состояниях объектов измерений, передаваемая после присвоения кодов в КО в макете 20020, КО завершает процедуру кодирования с отрицательным результатом и в срок не позднее 1 (одного) рабочего дня с даты завершения процедуры информирует об этом заявителя через ПСЗ. Причины отрицательного результата процедуры кодирования указываются КО в составе уведомления о результатах проверки комплекта документов, направляемого КО заявителю в соответствии с п. </w:t>
      </w:r>
      <w:r w:rsidRPr="00AD67C2">
        <w:rPr>
          <w:rFonts w:ascii="Garamond" w:eastAsia="Calibri" w:hAnsi="Garamond" w:cs="Times New Roman"/>
          <w:bCs/>
          <w:sz w:val="22"/>
          <w:szCs w:val="22"/>
          <w:lang w:eastAsia="en-US"/>
        </w:rPr>
        <w:fldChar w:fldCharType="begin"/>
      </w:r>
      <w:r w:rsidRPr="00AD67C2">
        <w:rPr>
          <w:rFonts w:ascii="Garamond" w:eastAsia="Calibri" w:hAnsi="Garamond" w:cs="Times New Roman"/>
          <w:bCs/>
          <w:sz w:val="22"/>
          <w:szCs w:val="22"/>
          <w:lang w:eastAsia="en-US"/>
        </w:rPr>
        <w:instrText xml:space="preserve"> REF _Ref149301759 \r \h </w:instrText>
      </w:r>
      <w:r w:rsidR="00AD67C2" w:rsidRPr="00AD67C2">
        <w:rPr>
          <w:rFonts w:ascii="Garamond" w:eastAsia="Calibri" w:hAnsi="Garamond" w:cs="Times New Roman"/>
          <w:bCs/>
          <w:sz w:val="22"/>
          <w:szCs w:val="22"/>
          <w:lang w:eastAsia="en-US"/>
        </w:rPr>
        <w:instrText xml:space="preserve"> \* MERGEFORMAT </w:instrText>
      </w:r>
      <w:r w:rsidRPr="00AD67C2">
        <w:rPr>
          <w:rFonts w:ascii="Garamond" w:eastAsia="Calibri" w:hAnsi="Garamond" w:cs="Times New Roman"/>
          <w:bCs/>
          <w:sz w:val="22"/>
          <w:szCs w:val="22"/>
          <w:lang w:eastAsia="en-US"/>
        </w:rPr>
      </w:r>
      <w:r w:rsidRPr="00AD67C2">
        <w:rPr>
          <w:rFonts w:ascii="Garamond" w:eastAsia="Calibri" w:hAnsi="Garamond" w:cs="Times New Roman"/>
          <w:bCs/>
          <w:sz w:val="22"/>
          <w:szCs w:val="22"/>
          <w:lang w:eastAsia="en-US"/>
        </w:rPr>
        <w:fldChar w:fldCharType="separate"/>
      </w:r>
      <w:r w:rsidRPr="00AD67C2">
        <w:rPr>
          <w:rFonts w:ascii="Garamond" w:eastAsia="Calibri" w:hAnsi="Garamond" w:cs="Times New Roman"/>
          <w:bCs/>
          <w:sz w:val="22"/>
          <w:szCs w:val="22"/>
          <w:lang w:eastAsia="en-US"/>
        </w:rPr>
        <w:t>3.11</w:t>
      </w:r>
      <w:r w:rsidRPr="00AD67C2">
        <w:rPr>
          <w:rFonts w:ascii="Garamond" w:eastAsia="Calibri" w:hAnsi="Garamond" w:cs="Times New Roman"/>
          <w:bCs/>
          <w:sz w:val="22"/>
          <w:szCs w:val="22"/>
          <w:lang w:eastAsia="en-US"/>
        </w:rPr>
        <w:fldChar w:fldCharType="end"/>
      </w:r>
      <w:r w:rsidRPr="00AD67C2">
        <w:rPr>
          <w:rFonts w:ascii="Garamond" w:eastAsia="Calibri" w:hAnsi="Garamond" w:cs="Times New Roman"/>
          <w:bCs/>
          <w:sz w:val="22"/>
          <w:szCs w:val="22"/>
          <w:lang w:eastAsia="en-US"/>
        </w:rPr>
        <w:t xml:space="preserve"> настоящего приложения.</w:t>
      </w:r>
    </w:p>
    <w:p w14:paraId="34F4E39F" w14:textId="646C0E4F" w:rsidR="001333B2" w:rsidRPr="00AD67C2" w:rsidRDefault="001333B2" w:rsidP="00AD67C2">
      <w:pPr>
        <w:widowControl w:val="0"/>
        <w:tabs>
          <w:tab w:val="left" w:pos="1077"/>
        </w:tabs>
        <w:suppressAutoHyphens w:val="0"/>
        <w:spacing w:before="120" w:after="120"/>
        <w:ind w:firstLine="601"/>
        <w:jc w:val="both"/>
        <w:rPr>
          <w:rFonts w:ascii="Garamond" w:eastAsia="Calibri" w:hAnsi="Garamond" w:cs="Times New Roman"/>
          <w:bCs/>
          <w:sz w:val="22"/>
          <w:szCs w:val="22"/>
          <w:lang w:eastAsia="en-US"/>
        </w:rPr>
      </w:pPr>
      <w:r w:rsidRPr="00AD67C2">
        <w:rPr>
          <w:rFonts w:ascii="Garamond" w:eastAsia="Calibri" w:hAnsi="Garamond" w:cs="Times New Roman"/>
          <w:bCs/>
          <w:sz w:val="22"/>
          <w:szCs w:val="22"/>
          <w:lang w:eastAsia="en-US"/>
        </w:rPr>
        <w:t xml:space="preserve">После публикации КО на своем официальном сайте, в веб-интерфейсе «Данные АИИС», группы (области) передаваемой информации (параметр &lt;area&gt;) или направления КО информации об актуальности ранее выданной группы (области) передаваемой информации (параметр &lt;area&gt;) заявителю необходимо осуществлять передачу результатов измерений и данных о состоянии объектов измерений (в случае их использования) в макете 20020 в соответствии с требованиями Приложения № 11.1.1 к настоящему Положению в ПАК КО для возможности проведения проверок, предусмотренных </w:t>
      </w:r>
      <w:r w:rsidR="00FD2C84">
        <w:rPr>
          <w:rFonts w:ascii="Garamond" w:eastAsia="Calibri" w:hAnsi="Garamond" w:cs="Times New Roman"/>
          <w:bCs/>
          <w:sz w:val="22"/>
          <w:szCs w:val="22"/>
          <w:lang w:eastAsia="en-US"/>
        </w:rPr>
        <w:t>п</w:t>
      </w:r>
      <w:r w:rsidRPr="00AD67C2">
        <w:rPr>
          <w:rFonts w:ascii="Garamond" w:eastAsia="Calibri" w:hAnsi="Garamond" w:cs="Times New Roman"/>
          <w:bCs/>
          <w:sz w:val="22"/>
          <w:szCs w:val="22"/>
          <w:lang w:eastAsia="en-US"/>
        </w:rPr>
        <w:t xml:space="preserve">п. </w:t>
      </w:r>
      <w:r w:rsidRPr="00AD67C2">
        <w:rPr>
          <w:rFonts w:ascii="Garamond" w:eastAsia="Calibri" w:hAnsi="Garamond" w:cs="Times New Roman"/>
          <w:bCs/>
          <w:sz w:val="22"/>
          <w:szCs w:val="22"/>
          <w:lang w:eastAsia="en-US"/>
        </w:rPr>
        <w:fldChar w:fldCharType="begin"/>
      </w:r>
      <w:r w:rsidRPr="00AD67C2">
        <w:rPr>
          <w:rFonts w:ascii="Garamond" w:eastAsia="Calibri" w:hAnsi="Garamond" w:cs="Times New Roman"/>
          <w:bCs/>
          <w:sz w:val="22"/>
          <w:szCs w:val="22"/>
          <w:lang w:eastAsia="en-US"/>
        </w:rPr>
        <w:instrText xml:space="preserve"> REF _Ref149322519 \r \h  \* MERGEFORMAT </w:instrText>
      </w:r>
      <w:r w:rsidRPr="00AD67C2">
        <w:rPr>
          <w:rFonts w:ascii="Garamond" w:eastAsia="Calibri" w:hAnsi="Garamond" w:cs="Times New Roman"/>
          <w:bCs/>
          <w:sz w:val="22"/>
          <w:szCs w:val="22"/>
          <w:lang w:eastAsia="en-US"/>
        </w:rPr>
      </w:r>
      <w:r w:rsidRPr="00AD67C2">
        <w:rPr>
          <w:rFonts w:ascii="Garamond" w:eastAsia="Calibri" w:hAnsi="Garamond" w:cs="Times New Roman"/>
          <w:bCs/>
          <w:sz w:val="22"/>
          <w:szCs w:val="22"/>
          <w:lang w:eastAsia="en-US"/>
        </w:rPr>
        <w:fldChar w:fldCharType="separate"/>
      </w:r>
      <w:r w:rsidRPr="00AD67C2">
        <w:rPr>
          <w:rFonts w:ascii="Garamond" w:eastAsia="Calibri" w:hAnsi="Garamond" w:cs="Times New Roman"/>
          <w:bCs/>
          <w:sz w:val="22"/>
          <w:szCs w:val="22"/>
          <w:lang w:eastAsia="en-US"/>
        </w:rPr>
        <w:t>3.7</w:t>
      </w:r>
      <w:r w:rsidRPr="00AD67C2">
        <w:rPr>
          <w:rFonts w:ascii="Garamond" w:eastAsia="Calibri" w:hAnsi="Garamond" w:cs="Times New Roman"/>
          <w:bCs/>
          <w:sz w:val="22"/>
          <w:szCs w:val="22"/>
          <w:lang w:eastAsia="en-US"/>
        </w:rPr>
        <w:fldChar w:fldCharType="end"/>
      </w:r>
      <w:r w:rsidRPr="00AD67C2">
        <w:rPr>
          <w:rFonts w:ascii="Garamond" w:eastAsia="Calibri" w:hAnsi="Garamond" w:cs="Times New Roman"/>
          <w:bCs/>
          <w:sz w:val="22"/>
          <w:szCs w:val="22"/>
          <w:lang w:eastAsia="en-US"/>
        </w:rPr>
        <w:t xml:space="preserve">, </w:t>
      </w:r>
      <w:r w:rsidRPr="00AD67C2">
        <w:rPr>
          <w:rFonts w:ascii="Garamond" w:eastAsia="Calibri" w:hAnsi="Garamond" w:cs="Times New Roman"/>
          <w:bCs/>
          <w:sz w:val="22"/>
          <w:szCs w:val="22"/>
          <w:lang w:eastAsia="en-US"/>
        </w:rPr>
        <w:fldChar w:fldCharType="begin"/>
      </w:r>
      <w:r w:rsidRPr="00AD67C2">
        <w:rPr>
          <w:rFonts w:ascii="Garamond" w:eastAsia="Calibri" w:hAnsi="Garamond" w:cs="Times New Roman"/>
          <w:bCs/>
          <w:sz w:val="22"/>
          <w:szCs w:val="22"/>
          <w:lang w:eastAsia="en-US"/>
        </w:rPr>
        <w:instrText xml:space="preserve"> REF _Ref149308552 \r \h </w:instrText>
      </w:r>
      <w:r w:rsidR="00AD67C2" w:rsidRPr="00AD67C2">
        <w:rPr>
          <w:rFonts w:ascii="Garamond" w:eastAsia="Calibri" w:hAnsi="Garamond" w:cs="Times New Roman"/>
          <w:bCs/>
          <w:sz w:val="22"/>
          <w:szCs w:val="22"/>
          <w:lang w:eastAsia="en-US"/>
        </w:rPr>
        <w:instrText xml:space="preserve"> \* MERGEFORMAT </w:instrText>
      </w:r>
      <w:r w:rsidRPr="00AD67C2">
        <w:rPr>
          <w:rFonts w:ascii="Garamond" w:eastAsia="Calibri" w:hAnsi="Garamond" w:cs="Times New Roman"/>
          <w:bCs/>
          <w:sz w:val="22"/>
          <w:szCs w:val="22"/>
          <w:lang w:eastAsia="en-US"/>
        </w:rPr>
      </w:r>
      <w:r w:rsidRPr="00AD67C2">
        <w:rPr>
          <w:rFonts w:ascii="Garamond" w:eastAsia="Calibri" w:hAnsi="Garamond" w:cs="Times New Roman"/>
          <w:bCs/>
          <w:sz w:val="22"/>
          <w:szCs w:val="22"/>
          <w:lang w:eastAsia="en-US"/>
        </w:rPr>
        <w:fldChar w:fldCharType="separate"/>
      </w:r>
      <w:r w:rsidRPr="00AD67C2">
        <w:rPr>
          <w:rFonts w:ascii="Garamond" w:eastAsia="Calibri" w:hAnsi="Garamond" w:cs="Times New Roman"/>
          <w:bCs/>
          <w:sz w:val="22"/>
          <w:szCs w:val="22"/>
          <w:lang w:eastAsia="en-US"/>
        </w:rPr>
        <w:t>3.8.2</w:t>
      </w:r>
      <w:r w:rsidRPr="00AD67C2">
        <w:rPr>
          <w:rFonts w:ascii="Garamond" w:eastAsia="Calibri" w:hAnsi="Garamond" w:cs="Times New Roman"/>
          <w:bCs/>
          <w:sz w:val="22"/>
          <w:szCs w:val="22"/>
          <w:lang w:eastAsia="en-US"/>
        </w:rPr>
        <w:fldChar w:fldCharType="end"/>
      </w:r>
      <w:r w:rsidRPr="00AD67C2">
        <w:rPr>
          <w:rFonts w:ascii="Garamond" w:eastAsia="Calibri" w:hAnsi="Garamond" w:cs="Times New Roman"/>
          <w:bCs/>
          <w:sz w:val="22"/>
          <w:szCs w:val="22"/>
          <w:lang w:eastAsia="en-US"/>
        </w:rPr>
        <w:t xml:space="preserve"> настоящего приложения.</w:t>
      </w:r>
    </w:p>
    <w:p w14:paraId="31CD11A5" w14:textId="77777777" w:rsidR="001333B2" w:rsidRPr="00AD67C2" w:rsidRDefault="001333B2" w:rsidP="00AD67C2">
      <w:pPr>
        <w:widowControl w:val="0"/>
        <w:numPr>
          <w:ilvl w:val="1"/>
          <w:numId w:val="297"/>
        </w:numPr>
        <w:tabs>
          <w:tab w:val="left" w:pos="1077"/>
        </w:tabs>
        <w:suppressAutoHyphens w:val="0"/>
        <w:spacing w:before="120" w:after="120" w:line="259" w:lineRule="auto"/>
        <w:jc w:val="both"/>
        <w:outlineLvl w:val="1"/>
        <w:rPr>
          <w:rFonts w:ascii="Garamond" w:eastAsia="Calibri" w:hAnsi="Garamond" w:cs="Times New Roman"/>
          <w:bCs/>
          <w:sz w:val="22"/>
          <w:szCs w:val="22"/>
          <w:lang w:eastAsia="en-US"/>
        </w:rPr>
      </w:pPr>
      <w:bookmarkStart w:id="40" w:name="_Ref149322519"/>
      <w:r w:rsidRPr="00AD67C2">
        <w:rPr>
          <w:rFonts w:ascii="Garamond" w:eastAsia="Calibri" w:hAnsi="Garamond" w:cs="Times New Roman"/>
          <w:bCs/>
          <w:sz w:val="22"/>
          <w:szCs w:val="22"/>
          <w:lang w:eastAsia="en-US"/>
        </w:rPr>
        <w:t>После наступления одного из следующих событий:</w:t>
      </w:r>
      <w:bookmarkEnd w:id="40"/>
    </w:p>
    <w:p w14:paraId="232ABA57" w14:textId="77777777" w:rsidR="001333B2" w:rsidRPr="00AD67C2" w:rsidRDefault="001333B2" w:rsidP="00AD67C2">
      <w:pPr>
        <w:widowControl w:val="0"/>
        <w:numPr>
          <w:ilvl w:val="0"/>
          <w:numId w:val="307"/>
        </w:numPr>
        <w:tabs>
          <w:tab w:val="left" w:pos="851"/>
        </w:tabs>
        <w:suppressAutoHyphens w:val="0"/>
        <w:spacing w:before="120" w:after="120" w:line="259" w:lineRule="auto"/>
        <w:ind w:left="0" w:firstLine="601"/>
        <w:jc w:val="both"/>
        <w:rPr>
          <w:rFonts w:ascii="Garamond" w:eastAsia="Calibri" w:hAnsi="Garamond" w:cs="Times New Roman"/>
          <w:bCs/>
          <w:sz w:val="22"/>
          <w:szCs w:val="22"/>
          <w:lang w:eastAsia="en-US"/>
        </w:rPr>
      </w:pPr>
      <w:r w:rsidRPr="00AD67C2">
        <w:rPr>
          <w:rFonts w:ascii="Garamond" w:eastAsia="Calibri" w:hAnsi="Garamond" w:cs="Times New Roman"/>
          <w:bCs/>
          <w:sz w:val="22"/>
          <w:szCs w:val="22"/>
          <w:lang w:eastAsia="en-US"/>
        </w:rPr>
        <w:t>информирования КО заявителя через ПСЗ о завершении с положительным результатом процедуры кодирования и публикации КО на своем официальном сайте, в веб-интерфейсе «Данные АИИС», группы (области) передаваемой информации (параметр &lt;area&gt;);</w:t>
      </w:r>
    </w:p>
    <w:p w14:paraId="393B5573" w14:textId="6D4F0023" w:rsidR="001333B2" w:rsidRPr="00AD67C2" w:rsidRDefault="001333B2" w:rsidP="00AD67C2">
      <w:pPr>
        <w:widowControl w:val="0"/>
        <w:numPr>
          <w:ilvl w:val="0"/>
          <w:numId w:val="307"/>
        </w:numPr>
        <w:tabs>
          <w:tab w:val="left" w:pos="851"/>
        </w:tabs>
        <w:suppressAutoHyphens w:val="0"/>
        <w:spacing w:before="120" w:after="120" w:line="259" w:lineRule="auto"/>
        <w:ind w:left="0" w:firstLine="601"/>
        <w:jc w:val="both"/>
        <w:rPr>
          <w:rFonts w:ascii="Garamond" w:eastAsia="Calibri" w:hAnsi="Garamond" w:cs="Times New Roman"/>
          <w:bCs/>
          <w:sz w:val="22"/>
          <w:szCs w:val="22"/>
          <w:lang w:eastAsia="en-US"/>
        </w:rPr>
      </w:pPr>
      <w:r w:rsidRPr="00AD67C2">
        <w:rPr>
          <w:rFonts w:ascii="Garamond" w:eastAsia="Calibri" w:hAnsi="Garamond" w:cs="Times New Roman"/>
          <w:bCs/>
          <w:sz w:val="22"/>
          <w:szCs w:val="22"/>
          <w:lang w:eastAsia="en-US"/>
        </w:rPr>
        <w:t>направления КО информации об актуальности ранее выданных групп (областей) передаваем</w:t>
      </w:r>
      <w:r w:rsidR="00FD2C84">
        <w:rPr>
          <w:rFonts w:ascii="Garamond" w:eastAsia="Calibri" w:hAnsi="Garamond" w:cs="Times New Roman"/>
          <w:bCs/>
          <w:sz w:val="22"/>
          <w:szCs w:val="22"/>
          <w:lang w:eastAsia="en-US"/>
        </w:rPr>
        <w:t>ой информации (параметр &lt;area&gt;) –</w:t>
      </w:r>
    </w:p>
    <w:p w14:paraId="3449FF4F" w14:textId="77777777" w:rsidR="001333B2" w:rsidRPr="00AD67C2" w:rsidRDefault="001333B2" w:rsidP="00FD2C84">
      <w:pPr>
        <w:widowControl w:val="0"/>
        <w:tabs>
          <w:tab w:val="left" w:pos="1077"/>
        </w:tabs>
        <w:suppressAutoHyphens w:val="0"/>
        <w:spacing w:before="120" w:after="120"/>
        <w:jc w:val="both"/>
        <w:rPr>
          <w:rFonts w:ascii="Garamond" w:eastAsia="Calibri" w:hAnsi="Garamond" w:cs="Times New Roman"/>
          <w:bCs/>
          <w:sz w:val="22"/>
          <w:szCs w:val="22"/>
          <w:lang w:eastAsia="en-US"/>
        </w:rPr>
      </w:pPr>
      <w:r w:rsidRPr="00AD67C2">
        <w:rPr>
          <w:rFonts w:ascii="Garamond" w:eastAsia="Calibri" w:hAnsi="Garamond" w:cs="Times New Roman"/>
          <w:bCs/>
          <w:sz w:val="22"/>
          <w:szCs w:val="22"/>
          <w:lang w:eastAsia="en-US"/>
        </w:rPr>
        <w:lastRenderedPageBreak/>
        <w:t xml:space="preserve">КО проводит расчет учетного показателя в отношении объекта регулирования, а также экспертизу ПСИ на соответствие требованиям </w:t>
      </w:r>
      <w:r w:rsidRPr="00AD67C2">
        <w:rPr>
          <w:rFonts w:ascii="Garamond" w:eastAsia="Calibri" w:hAnsi="Garamond" w:cs="Times New Roman"/>
          <w:bCs/>
          <w:i/>
          <w:sz w:val="22"/>
          <w:szCs w:val="22"/>
          <w:lang w:eastAsia="en-US"/>
        </w:rPr>
        <w:t>Регламента коммерческого учета электроэнергии и мощности</w:t>
      </w:r>
      <w:r w:rsidRPr="00AD67C2">
        <w:rPr>
          <w:rFonts w:ascii="Garamond" w:eastAsia="Calibri" w:hAnsi="Garamond" w:cs="Times New Roman"/>
          <w:bCs/>
          <w:sz w:val="22"/>
          <w:szCs w:val="22"/>
          <w:lang w:eastAsia="en-US"/>
        </w:rPr>
        <w:t xml:space="preserve"> (Приложение № 11 к </w:t>
      </w:r>
      <w:r w:rsidRPr="00AD67C2">
        <w:rPr>
          <w:rFonts w:ascii="Garamond" w:eastAsia="Calibri" w:hAnsi="Garamond" w:cs="Times New Roman"/>
          <w:bCs/>
          <w:i/>
          <w:sz w:val="22"/>
          <w:szCs w:val="22"/>
          <w:lang w:eastAsia="en-US"/>
        </w:rPr>
        <w:t>Договору о присоединении к торговой системе оптового рынка</w:t>
      </w:r>
      <w:r w:rsidRPr="00AD67C2">
        <w:rPr>
          <w:rFonts w:ascii="Garamond" w:eastAsia="Calibri" w:hAnsi="Garamond" w:cs="Times New Roman"/>
          <w:bCs/>
          <w:sz w:val="22"/>
          <w:szCs w:val="22"/>
          <w:lang w:eastAsia="en-US"/>
        </w:rPr>
        <w:t>) согласно приведенному ниже порядку.</w:t>
      </w:r>
    </w:p>
    <w:p w14:paraId="15D44E12" w14:textId="37518035" w:rsidR="001333B2" w:rsidRPr="00AD67C2" w:rsidRDefault="001333B2" w:rsidP="00AD67C2">
      <w:pPr>
        <w:widowControl w:val="0"/>
        <w:numPr>
          <w:ilvl w:val="2"/>
          <w:numId w:val="310"/>
        </w:numPr>
        <w:tabs>
          <w:tab w:val="left" w:pos="1077"/>
        </w:tabs>
        <w:suppressAutoHyphens w:val="0"/>
        <w:spacing w:before="120" w:after="120" w:line="259" w:lineRule="auto"/>
        <w:ind w:left="0" w:firstLine="601"/>
        <w:jc w:val="both"/>
        <w:outlineLvl w:val="1"/>
        <w:rPr>
          <w:rFonts w:ascii="Garamond" w:eastAsia="Calibri" w:hAnsi="Garamond" w:cs="Times New Roman"/>
          <w:bCs/>
          <w:sz w:val="22"/>
          <w:szCs w:val="22"/>
          <w:lang w:eastAsia="en-US"/>
        </w:rPr>
      </w:pPr>
      <w:bookmarkStart w:id="41" w:name="_Ref149308251"/>
      <w:r w:rsidRPr="00AD67C2">
        <w:rPr>
          <w:rFonts w:ascii="Garamond" w:eastAsia="Calibri" w:hAnsi="Garamond" w:cs="Times New Roman"/>
          <w:bCs/>
          <w:sz w:val="22"/>
          <w:szCs w:val="22"/>
          <w:lang w:eastAsia="en-US"/>
        </w:rPr>
        <w:t>В срок не более 1 (одного) рабочего дня с даты предоставления заявителем в ПАК КО результатов измерений в макетах 20020 со статусом «коммерческая информация» за 3 (три) непрерывных календарных дня в соответствии с требованиями Приложения № 11.1.1 к настоящему Положению КО выполняет следующие действия</w:t>
      </w:r>
      <w:bookmarkEnd w:id="41"/>
      <w:r w:rsidR="00FD2C84">
        <w:rPr>
          <w:rFonts w:ascii="Garamond" w:eastAsia="Calibri" w:hAnsi="Garamond" w:cs="Times New Roman"/>
          <w:bCs/>
          <w:sz w:val="22"/>
          <w:szCs w:val="22"/>
          <w:lang w:eastAsia="en-US"/>
        </w:rPr>
        <w:t>:</w:t>
      </w:r>
    </w:p>
    <w:p w14:paraId="0CC3D040" w14:textId="77777777" w:rsidR="001333B2" w:rsidRPr="00AD67C2" w:rsidRDefault="001333B2" w:rsidP="00AD67C2">
      <w:pPr>
        <w:widowControl w:val="0"/>
        <w:numPr>
          <w:ilvl w:val="0"/>
          <w:numId w:val="308"/>
        </w:numPr>
        <w:tabs>
          <w:tab w:val="left" w:pos="851"/>
        </w:tabs>
        <w:suppressAutoHyphens w:val="0"/>
        <w:spacing w:before="120" w:after="120" w:line="259" w:lineRule="auto"/>
        <w:ind w:left="0" w:firstLine="601"/>
        <w:jc w:val="both"/>
        <w:rPr>
          <w:rFonts w:ascii="Garamond" w:eastAsia="Calibri" w:hAnsi="Garamond" w:cs="Times New Roman"/>
          <w:bCs/>
          <w:sz w:val="22"/>
          <w:szCs w:val="22"/>
          <w:lang w:eastAsia="en-US"/>
        </w:rPr>
      </w:pPr>
      <w:r w:rsidRPr="00AD67C2">
        <w:rPr>
          <w:rFonts w:ascii="Garamond" w:eastAsia="Calibri" w:hAnsi="Garamond" w:cs="Times New Roman"/>
          <w:bCs/>
          <w:sz w:val="22"/>
          <w:szCs w:val="22"/>
          <w:lang w:eastAsia="en-US"/>
        </w:rPr>
        <w:t>производит расчет учетного показателя в отношении объекта регулирования на основании Алгоритма расчета величины сальдо перетоков электроэнергии для объекта регулирования;</w:t>
      </w:r>
    </w:p>
    <w:p w14:paraId="4F18D435" w14:textId="3758B905" w:rsidR="001333B2" w:rsidRPr="00AD67C2" w:rsidRDefault="001333B2" w:rsidP="00AD67C2">
      <w:pPr>
        <w:widowControl w:val="0"/>
        <w:numPr>
          <w:ilvl w:val="0"/>
          <w:numId w:val="308"/>
        </w:numPr>
        <w:tabs>
          <w:tab w:val="left" w:pos="851"/>
        </w:tabs>
        <w:suppressAutoHyphens w:val="0"/>
        <w:spacing w:before="120" w:after="120" w:line="259" w:lineRule="auto"/>
        <w:ind w:left="0" w:firstLine="601"/>
        <w:jc w:val="both"/>
        <w:rPr>
          <w:rFonts w:ascii="Garamond" w:eastAsia="Calibri" w:hAnsi="Garamond" w:cs="Times New Roman"/>
          <w:bCs/>
          <w:sz w:val="22"/>
          <w:szCs w:val="22"/>
          <w:lang w:eastAsia="en-US"/>
        </w:rPr>
      </w:pPr>
      <w:r w:rsidRPr="00AD67C2">
        <w:rPr>
          <w:rFonts w:ascii="Garamond" w:eastAsia="Calibri" w:hAnsi="Garamond" w:cs="Times New Roman"/>
          <w:bCs/>
          <w:sz w:val="22"/>
          <w:szCs w:val="22"/>
          <w:lang w:eastAsia="en-US"/>
        </w:rPr>
        <w:t>размещает на своем официальном сайте с использованием веб-интерфейса «Данные АИИС» результат расчета учетного показателя в виде электронного документа в макете 80015, подписанн</w:t>
      </w:r>
      <w:r w:rsidR="00750912">
        <w:rPr>
          <w:rFonts w:ascii="Garamond" w:eastAsia="Calibri" w:hAnsi="Garamond" w:cs="Times New Roman"/>
          <w:bCs/>
          <w:sz w:val="22"/>
          <w:szCs w:val="22"/>
          <w:lang w:eastAsia="en-US"/>
        </w:rPr>
        <w:t>ого</w:t>
      </w:r>
      <w:r w:rsidRPr="00AD67C2">
        <w:rPr>
          <w:rFonts w:ascii="Garamond" w:eastAsia="Calibri" w:hAnsi="Garamond" w:cs="Times New Roman"/>
          <w:bCs/>
          <w:sz w:val="22"/>
          <w:szCs w:val="22"/>
          <w:lang w:eastAsia="en-US"/>
        </w:rPr>
        <w:t xml:space="preserve"> ЭП КО, а также информирует об этом заявителя через ПСЗ.</w:t>
      </w:r>
    </w:p>
    <w:p w14:paraId="0691CE7F" w14:textId="77777777" w:rsidR="001333B2" w:rsidRPr="00AD67C2" w:rsidRDefault="001333B2" w:rsidP="00AD67C2">
      <w:pPr>
        <w:widowControl w:val="0"/>
        <w:tabs>
          <w:tab w:val="left" w:pos="1077"/>
        </w:tabs>
        <w:suppressAutoHyphens w:val="0"/>
        <w:spacing w:before="120" w:after="120"/>
        <w:ind w:firstLine="601"/>
        <w:jc w:val="both"/>
        <w:rPr>
          <w:rFonts w:ascii="Garamond" w:eastAsia="Calibri" w:hAnsi="Garamond" w:cs="Times New Roman"/>
          <w:bCs/>
          <w:sz w:val="22"/>
          <w:szCs w:val="22"/>
          <w:lang w:eastAsia="en-US"/>
        </w:rPr>
      </w:pPr>
      <w:r w:rsidRPr="00AD67C2">
        <w:rPr>
          <w:rFonts w:ascii="Garamond" w:eastAsia="Calibri" w:hAnsi="Garamond" w:cs="Times New Roman"/>
          <w:bCs/>
          <w:sz w:val="22"/>
          <w:szCs w:val="22"/>
          <w:lang w:eastAsia="en-US"/>
        </w:rPr>
        <w:t>В случае отсутствия передачи результатов измерений за 3 (три) непрерывных календарных дня, КО ожидает выполнения требования по передаче результатов измерений в течение 10 (десяти) календарных дней с даты информирования КО заявителя через ПСЗ о завершении с положительным результатом процедуры кодирования или направления КО информации об актуальности ранее выданной группы (области) передаваемой информации (параметр &lt;area&gt;) или с даты продолжения в соответствии с п.</w:t>
      </w:r>
      <w:r w:rsidRPr="00AD67C2">
        <w:rPr>
          <w:rFonts w:ascii="Garamond" w:eastAsia="Calibri" w:hAnsi="Garamond" w:cs="Times New Roman"/>
          <w:b/>
          <w:bCs/>
          <w:sz w:val="22"/>
          <w:szCs w:val="22"/>
          <w:lang w:eastAsia="en-US"/>
        </w:rPr>
        <w:t xml:space="preserve"> </w:t>
      </w:r>
      <w:r w:rsidRPr="00AD67C2">
        <w:rPr>
          <w:rFonts w:ascii="Garamond" w:eastAsia="Calibri" w:hAnsi="Garamond" w:cs="Times New Roman"/>
          <w:bCs/>
          <w:sz w:val="22"/>
          <w:szCs w:val="22"/>
          <w:lang w:eastAsia="en-US"/>
        </w:rPr>
        <w:fldChar w:fldCharType="begin"/>
      </w:r>
      <w:r w:rsidRPr="00AD67C2">
        <w:rPr>
          <w:rFonts w:ascii="Garamond" w:eastAsia="Calibri" w:hAnsi="Garamond" w:cs="Times New Roman"/>
          <w:bCs/>
          <w:sz w:val="22"/>
          <w:szCs w:val="22"/>
          <w:lang w:eastAsia="en-US"/>
        </w:rPr>
        <w:instrText xml:space="preserve"> REF _Ref149302018 \r \h  \* MERGEFORMAT </w:instrText>
      </w:r>
      <w:r w:rsidRPr="00AD67C2">
        <w:rPr>
          <w:rFonts w:ascii="Garamond" w:eastAsia="Calibri" w:hAnsi="Garamond" w:cs="Times New Roman"/>
          <w:bCs/>
          <w:sz w:val="22"/>
          <w:szCs w:val="22"/>
          <w:lang w:eastAsia="en-US"/>
        </w:rPr>
      </w:r>
      <w:r w:rsidRPr="00AD67C2">
        <w:rPr>
          <w:rFonts w:ascii="Garamond" w:eastAsia="Calibri" w:hAnsi="Garamond" w:cs="Times New Roman"/>
          <w:bCs/>
          <w:sz w:val="22"/>
          <w:szCs w:val="22"/>
          <w:lang w:eastAsia="en-US"/>
        </w:rPr>
        <w:fldChar w:fldCharType="separate"/>
      </w:r>
      <w:r w:rsidRPr="00AD67C2">
        <w:rPr>
          <w:rFonts w:ascii="Garamond" w:eastAsia="Calibri" w:hAnsi="Garamond" w:cs="Times New Roman"/>
          <w:bCs/>
          <w:sz w:val="22"/>
          <w:szCs w:val="22"/>
          <w:lang w:eastAsia="en-US"/>
        </w:rPr>
        <w:t>3.12</w:t>
      </w:r>
      <w:r w:rsidRPr="00AD67C2">
        <w:rPr>
          <w:rFonts w:ascii="Garamond" w:eastAsia="Calibri" w:hAnsi="Garamond" w:cs="Times New Roman"/>
          <w:bCs/>
          <w:sz w:val="22"/>
          <w:szCs w:val="22"/>
          <w:lang w:eastAsia="en-US"/>
        </w:rPr>
        <w:fldChar w:fldCharType="end"/>
      </w:r>
      <w:r w:rsidRPr="00AD67C2">
        <w:rPr>
          <w:rFonts w:ascii="Garamond" w:eastAsia="Calibri" w:hAnsi="Garamond" w:cs="Times New Roman"/>
          <w:bCs/>
          <w:sz w:val="22"/>
          <w:szCs w:val="22"/>
          <w:lang w:eastAsia="en-US"/>
        </w:rPr>
        <w:t xml:space="preserve"> настоящего приложения процедуры регистрации объекта регулирования. По истечении указанного срока, в случае отсутствия передачи результатов измерений за 3 (три) непрерывных календарных дня, процедура расчета учетного показателя завершается с отрицательным результатом.</w:t>
      </w:r>
    </w:p>
    <w:p w14:paraId="22AB9E6D" w14:textId="77777777" w:rsidR="001333B2" w:rsidRPr="00AD67C2" w:rsidRDefault="001333B2" w:rsidP="00AD67C2">
      <w:pPr>
        <w:widowControl w:val="0"/>
        <w:tabs>
          <w:tab w:val="left" w:pos="1077"/>
        </w:tabs>
        <w:suppressAutoHyphens w:val="0"/>
        <w:spacing w:before="120" w:after="120"/>
        <w:ind w:firstLine="601"/>
        <w:jc w:val="both"/>
        <w:rPr>
          <w:rFonts w:ascii="Garamond" w:eastAsia="Calibri" w:hAnsi="Garamond" w:cs="Times New Roman"/>
          <w:bCs/>
          <w:sz w:val="22"/>
          <w:szCs w:val="22"/>
          <w:lang w:eastAsia="en-US"/>
        </w:rPr>
      </w:pPr>
      <w:r w:rsidRPr="00AD67C2">
        <w:rPr>
          <w:rFonts w:ascii="Garamond" w:eastAsia="Calibri" w:hAnsi="Garamond" w:cs="Times New Roman"/>
          <w:bCs/>
          <w:sz w:val="22"/>
          <w:szCs w:val="22"/>
          <w:lang w:eastAsia="en-US"/>
        </w:rPr>
        <w:t xml:space="preserve">При невозможности формирования расчета учетного показателя в отношении объекта регулирования на основании Алгоритма расчета величины сальдо перетоков электроэнергии </w:t>
      </w:r>
      <w:r w:rsidRPr="00AD67C2">
        <w:rPr>
          <w:rFonts w:ascii="Garamond" w:eastAsia="Times New Roman" w:hAnsi="Garamond" w:cs="Arial"/>
          <w:bCs/>
          <w:sz w:val="22"/>
          <w:szCs w:val="22"/>
          <w:lang w:eastAsia="en-US"/>
        </w:rPr>
        <w:t>для объекта регулирования</w:t>
      </w:r>
      <w:r w:rsidRPr="00AD67C2">
        <w:rPr>
          <w:rFonts w:ascii="Garamond" w:eastAsia="Calibri" w:hAnsi="Garamond" w:cs="Times New Roman"/>
          <w:bCs/>
          <w:sz w:val="22"/>
          <w:szCs w:val="22"/>
          <w:lang w:eastAsia="en-US"/>
        </w:rPr>
        <w:t>, предоставленного заявителем в ПСИ, процедура расчета учетного показателя завершается с отрицательным результатом.</w:t>
      </w:r>
    </w:p>
    <w:p w14:paraId="2CE98F98" w14:textId="77777777" w:rsidR="001333B2" w:rsidRPr="00AD67C2" w:rsidRDefault="001333B2" w:rsidP="00AD67C2">
      <w:pPr>
        <w:widowControl w:val="0"/>
        <w:tabs>
          <w:tab w:val="left" w:pos="1077"/>
        </w:tabs>
        <w:suppressAutoHyphens w:val="0"/>
        <w:spacing w:before="120" w:after="120"/>
        <w:ind w:firstLine="601"/>
        <w:jc w:val="both"/>
        <w:rPr>
          <w:rFonts w:ascii="Garamond" w:eastAsia="Calibri" w:hAnsi="Garamond" w:cs="Times New Roman"/>
          <w:bCs/>
          <w:sz w:val="22"/>
          <w:szCs w:val="22"/>
          <w:lang w:eastAsia="en-US"/>
        </w:rPr>
      </w:pPr>
      <w:r w:rsidRPr="00AD67C2">
        <w:rPr>
          <w:rFonts w:ascii="Garamond" w:eastAsia="Calibri" w:hAnsi="Garamond" w:cs="Times New Roman"/>
          <w:bCs/>
          <w:sz w:val="22"/>
          <w:szCs w:val="22"/>
          <w:lang w:eastAsia="en-US"/>
        </w:rPr>
        <w:t>Процедура расчета учетного показателя завершается с отрицательным результатом в том числе при наличии:</w:t>
      </w:r>
    </w:p>
    <w:p w14:paraId="17368573" w14:textId="3864597A" w:rsidR="001333B2" w:rsidRPr="00AD67C2" w:rsidRDefault="001333B2" w:rsidP="00AD67C2">
      <w:pPr>
        <w:widowControl w:val="0"/>
        <w:numPr>
          <w:ilvl w:val="0"/>
          <w:numId w:val="309"/>
        </w:numPr>
        <w:tabs>
          <w:tab w:val="left" w:pos="851"/>
        </w:tabs>
        <w:suppressAutoHyphens w:val="0"/>
        <w:spacing w:before="120" w:after="120" w:line="259" w:lineRule="auto"/>
        <w:ind w:left="0" w:firstLine="601"/>
        <w:jc w:val="both"/>
        <w:rPr>
          <w:rFonts w:ascii="Garamond" w:eastAsia="Calibri" w:hAnsi="Garamond" w:cs="Times New Roman"/>
          <w:bCs/>
          <w:sz w:val="22"/>
          <w:szCs w:val="22"/>
          <w:lang w:eastAsia="en-US"/>
        </w:rPr>
      </w:pPr>
      <w:r w:rsidRPr="00AD67C2">
        <w:rPr>
          <w:rFonts w:ascii="Garamond" w:eastAsia="Calibri" w:hAnsi="Garamond" w:cs="Times New Roman"/>
          <w:bCs/>
          <w:sz w:val="22"/>
          <w:szCs w:val="22"/>
          <w:lang w:eastAsia="en-US"/>
        </w:rPr>
        <w:t>отрицательных часовых величин потребления в отношении объекта регулирования заявителя (за исключением объекта регулирования, в состав которого включена электростанция (электростанции) (объект (объекты) по производству электрической энергии) и (или) система (системы) накопления электрической энергии в соответствии с п</w:t>
      </w:r>
      <w:r w:rsidR="00211814">
        <w:rPr>
          <w:rFonts w:ascii="Garamond" w:eastAsia="Calibri" w:hAnsi="Garamond" w:cs="Times New Roman"/>
          <w:bCs/>
          <w:sz w:val="22"/>
          <w:szCs w:val="22"/>
          <w:lang w:eastAsia="en-US"/>
        </w:rPr>
        <w:t>п</w:t>
      </w:r>
      <w:r w:rsidRPr="00AD67C2">
        <w:rPr>
          <w:rFonts w:ascii="Garamond" w:eastAsia="Calibri" w:hAnsi="Garamond" w:cs="Times New Roman"/>
          <w:bCs/>
          <w:sz w:val="22"/>
          <w:szCs w:val="22"/>
          <w:lang w:eastAsia="en-US"/>
        </w:rPr>
        <w:t>. 2.2, 2.3 приложения 10 к настоящему Положению);</w:t>
      </w:r>
    </w:p>
    <w:p w14:paraId="21AA4E57" w14:textId="77777777" w:rsidR="001333B2" w:rsidRPr="00AD67C2" w:rsidRDefault="001333B2" w:rsidP="00AD67C2">
      <w:pPr>
        <w:widowControl w:val="0"/>
        <w:numPr>
          <w:ilvl w:val="0"/>
          <w:numId w:val="309"/>
        </w:numPr>
        <w:tabs>
          <w:tab w:val="left" w:pos="851"/>
        </w:tabs>
        <w:suppressAutoHyphens w:val="0"/>
        <w:spacing w:before="120" w:after="120" w:line="259" w:lineRule="auto"/>
        <w:ind w:left="0" w:firstLine="601"/>
        <w:jc w:val="both"/>
        <w:rPr>
          <w:rFonts w:ascii="Garamond" w:eastAsia="Calibri" w:hAnsi="Garamond" w:cs="Times New Roman"/>
          <w:bCs/>
          <w:sz w:val="22"/>
          <w:szCs w:val="22"/>
          <w:lang w:eastAsia="en-US"/>
        </w:rPr>
      </w:pPr>
      <w:r w:rsidRPr="00AD67C2">
        <w:rPr>
          <w:rFonts w:ascii="Garamond" w:eastAsia="Calibri" w:hAnsi="Garamond" w:cs="Times New Roman"/>
          <w:bCs/>
          <w:sz w:val="22"/>
          <w:szCs w:val="22"/>
          <w:lang w:eastAsia="en-US"/>
        </w:rPr>
        <w:t xml:space="preserve">расхождений, связанных с наличием противоположных знаков между почасовыми значениями результатов расчета величины учетного показателя и отчетными данными коммерческого учета, сформированными (направленными) в соответствии с требованиями </w:t>
      </w:r>
      <w:r w:rsidRPr="00AD67C2">
        <w:rPr>
          <w:rFonts w:ascii="Garamond" w:eastAsia="Calibri" w:hAnsi="Garamond" w:cs="Times New Roman"/>
          <w:bCs/>
          <w:i/>
          <w:sz w:val="22"/>
          <w:szCs w:val="22"/>
          <w:lang w:eastAsia="en-US"/>
        </w:rPr>
        <w:t>Регламента коммерческого учета электроэнергии и мощности</w:t>
      </w:r>
      <w:r w:rsidRPr="00AD67C2">
        <w:rPr>
          <w:rFonts w:ascii="Garamond" w:eastAsia="Calibri" w:hAnsi="Garamond" w:cs="Times New Roman"/>
          <w:bCs/>
          <w:sz w:val="22"/>
          <w:szCs w:val="22"/>
          <w:lang w:eastAsia="en-US"/>
        </w:rPr>
        <w:t xml:space="preserve"> (Приложение № 11 к </w:t>
      </w:r>
      <w:r w:rsidRPr="00AD67C2">
        <w:rPr>
          <w:rFonts w:ascii="Garamond" w:eastAsia="Calibri" w:hAnsi="Garamond" w:cs="Times New Roman"/>
          <w:bCs/>
          <w:i/>
          <w:sz w:val="22"/>
          <w:szCs w:val="22"/>
          <w:lang w:eastAsia="en-US"/>
        </w:rPr>
        <w:t>Договору о присоединении к торговой системе оптового рынка</w:t>
      </w:r>
      <w:r w:rsidRPr="00AD67C2">
        <w:rPr>
          <w:rFonts w:ascii="Garamond" w:eastAsia="Calibri" w:hAnsi="Garamond" w:cs="Times New Roman"/>
          <w:bCs/>
          <w:sz w:val="22"/>
          <w:szCs w:val="22"/>
          <w:lang w:eastAsia="en-US"/>
        </w:rPr>
        <w:t>), в случае направления комплекта документов в отношении ранее зарегистрированного объекта регулирования.</w:t>
      </w:r>
    </w:p>
    <w:p w14:paraId="1D8C36F9" w14:textId="77777777" w:rsidR="001333B2" w:rsidRPr="00AD67C2" w:rsidRDefault="001333B2" w:rsidP="00AD67C2">
      <w:pPr>
        <w:widowControl w:val="0"/>
        <w:tabs>
          <w:tab w:val="left" w:pos="1077"/>
        </w:tabs>
        <w:suppressAutoHyphens w:val="0"/>
        <w:spacing w:before="120" w:after="120"/>
        <w:ind w:firstLine="601"/>
        <w:jc w:val="both"/>
        <w:rPr>
          <w:rFonts w:ascii="Garamond" w:eastAsia="Calibri" w:hAnsi="Garamond" w:cs="Times New Roman"/>
          <w:bCs/>
          <w:sz w:val="22"/>
          <w:szCs w:val="22"/>
          <w:lang w:eastAsia="en-US"/>
        </w:rPr>
      </w:pPr>
      <w:r w:rsidRPr="00AD67C2">
        <w:rPr>
          <w:rFonts w:ascii="Garamond" w:eastAsia="Calibri" w:hAnsi="Garamond" w:cs="Times New Roman"/>
          <w:bCs/>
          <w:sz w:val="22"/>
          <w:szCs w:val="22"/>
          <w:lang w:eastAsia="en-US"/>
        </w:rPr>
        <w:t>В случае завершения процедуры расчета учетного показателя с отрицательным результатом, КО в срок не позднее 1 (одного) рабочего дня с даты завершения процедуры информирует об этом заявителя через ПСЗ. При этом причины отрицательного результата процедуры расчета учетного показателя указываются КО в составе уведомления о результатах проверки комплекта документов, направляемого КО заявителю в соответствии с п.</w:t>
      </w:r>
      <w:r w:rsidRPr="00AD67C2">
        <w:rPr>
          <w:rFonts w:ascii="Garamond" w:eastAsia="Calibri" w:hAnsi="Garamond" w:cs="Times New Roman"/>
          <w:b/>
          <w:bCs/>
          <w:sz w:val="22"/>
          <w:szCs w:val="22"/>
          <w:lang w:eastAsia="en-US"/>
        </w:rPr>
        <w:t xml:space="preserve"> </w:t>
      </w:r>
      <w:r w:rsidRPr="00AD67C2">
        <w:rPr>
          <w:rFonts w:ascii="Garamond" w:eastAsia="Calibri" w:hAnsi="Garamond" w:cs="Times New Roman"/>
          <w:bCs/>
          <w:sz w:val="22"/>
          <w:szCs w:val="22"/>
          <w:lang w:eastAsia="en-US"/>
        </w:rPr>
        <w:fldChar w:fldCharType="begin"/>
      </w:r>
      <w:r w:rsidRPr="00AD67C2">
        <w:rPr>
          <w:rFonts w:ascii="Garamond" w:eastAsia="Calibri" w:hAnsi="Garamond" w:cs="Times New Roman"/>
          <w:bCs/>
          <w:sz w:val="22"/>
          <w:szCs w:val="22"/>
          <w:lang w:eastAsia="en-US"/>
        </w:rPr>
        <w:instrText xml:space="preserve"> REF _Ref149301759 \r \h  \* MERGEFORMAT </w:instrText>
      </w:r>
      <w:r w:rsidRPr="00AD67C2">
        <w:rPr>
          <w:rFonts w:ascii="Garamond" w:eastAsia="Calibri" w:hAnsi="Garamond" w:cs="Times New Roman"/>
          <w:bCs/>
          <w:sz w:val="22"/>
          <w:szCs w:val="22"/>
          <w:lang w:eastAsia="en-US"/>
        </w:rPr>
      </w:r>
      <w:r w:rsidRPr="00AD67C2">
        <w:rPr>
          <w:rFonts w:ascii="Garamond" w:eastAsia="Calibri" w:hAnsi="Garamond" w:cs="Times New Roman"/>
          <w:bCs/>
          <w:sz w:val="22"/>
          <w:szCs w:val="22"/>
          <w:lang w:eastAsia="en-US"/>
        </w:rPr>
        <w:fldChar w:fldCharType="separate"/>
      </w:r>
      <w:r w:rsidRPr="00AD67C2">
        <w:rPr>
          <w:rFonts w:ascii="Garamond" w:eastAsia="Calibri" w:hAnsi="Garamond" w:cs="Times New Roman"/>
          <w:bCs/>
          <w:sz w:val="22"/>
          <w:szCs w:val="22"/>
          <w:lang w:eastAsia="en-US"/>
        </w:rPr>
        <w:t>3.11</w:t>
      </w:r>
      <w:r w:rsidRPr="00AD67C2">
        <w:rPr>
          <w:rFonts w:ascii="Garamond" w:eastAsia="Calibri" w:hAnsi="Garamond" w:cs="Times New Roman"/>
          <w:bCs/>
          <w:sz w:val="22"/>
          <w:szCs w:val="22"/>
          <w:lang w:eastAsia="en-US"/>
        </w:rPr>
        <w:fldChar w:fldCharType="end"/>
      </w:r>
      <w:r w:rsidRPr="00AD67C2">
        <w:rPr>
          <w:rFonts w:ascii="Garamond" w:eastAsia="Calibri" w:hAnsi="Garamond" w:cs="Times New Roman"/>
          <w:bCs/>
          <w:sz w:val="22"/>
          <w:szCs w:val="22"/>
          <w:lang w:eastAsia="en-US"/>
        </w:rPr>
        <w:t xml:space="preserve"> настоящего приложения. В указанном случае заявитель вправе в соответствии с </w:t>
      </w:r>
      <w:hyperlink w:anchor="_Приложение_9" w:history="1">
        <w:r w:rsidRPr="00AD67C2">
          <w:rPr>
            <w:rFonts w:ascii="Garamond" w:eastAsia="Calibri" w:hAnsi="Garamond" w:cs="Times New Roman"/>
            <w:bCs/>
            <w:sz w:val="22"/>
            <w:szCs w:val="22"/>
            <w:lang w:eastAsia="en-US"/>
          </w:rPr>
          <w:t>п.</w:t>
        </w:r>
        <w:r w:rsidRPr="00AD67C2">
          <w:rPr>
            <w:rFonts w:ascii="Garamond" w:eastAsia="Calibri" w:hAnsi="Garamond" w:cs="Times New Roman"/>
            <w:b/>
            <w:bCs/>
            <w:sz w:val="22"/>
            <w:szCs w:val="22"/>
            <w:lang w:eastAsia="en-US"/>
          </w:rPr>
          <w:t xml:space="preserve"> </w:t>
        </w:r>
        <w:r w:rsidRPr="00AD67C2">
          <w:rPr>
            <w:rFonts w:ascii="Garamond" w:eastAsia="Calibri" w:hAnsi="Garamond" w:cs="Times New Roman"/>
            <w:bCs/>
            <w:sz w:val="22"/>
            <w:szCs w:val="22"/>
            <w:lang w:eastAsia="en-US"/>
          </w:rPr>
          <w:fldChar w:fldCharType="begin"/>
        </w:r>
        <w:r w:rsidRPr="00AD67C2">
          <w:rPr>
            <w:rFonts w:ascii="Garamond" w:eastAsia="Calibri" w:hAnsi="Garamond" w:cs="Times New Roman"/>
            <w:bCs/>
            <w:sz w:val="22"/>
            <w:szCs w:val="22"/>
            <w:lang w:eastAsia="en-US"/>
          </w:rPr>
          <w:instrText xml:space="preserve"> REF _Ref149301759 \r \h  \* MERGEFORMAT </w:instrText>
        </w:r>
        <w:r w:rsidRPr="00AD67C2">
          <w:rPr>
            <w:rFonts w:ascii="Garamond" w:eastAsia="Calibri" w:hAnsi="Garamond" w:cs="Times New Roman"/>
            <w:bCs/>
            <w:sz w:val="22"/>
            <w:szCs w:val="22"/>
            <w:lang w:eastAsia="en-US"/>
          </w:rPr>
        </w:r>
        <w:r w:rsidRPr="00AD67C2">
          <w:rPr>
            <w:rFonts w:ascii="Garamond" w:eastAsia="Calibri" w:hAnsi="Garamond" w:cs="Times New Roman"/>
            <w:bCs/>
            <w:sz w:val="22"/>
            <w:szCs w:val="22"/>
            <w:lang w:eastAsia="en-US"/>
          </w:rPr>
          <w:fldChar w:fldCharType="separate"/>
        </w:r>
        <w:r w:rsidRPr="00AD67C2">
          <w:rPr>
            <w:rFonts w:ascii="Garamond" w:eastAsia="Calibri" w:hAnsi="Garamond" w:cs="Times New Roman"/>
            <w:bCs/>
            <w:sz w:val="22"/>
            <w:szCs w:val="22"/>
            <w:lang w:eastAsia="en-US"/>
          </w:rPr>
          <w:t>3.11</w:t>
        </w:r>
        <w:r w:rsidRPr="00AD67C2">
          <w:rPr>
            <w:rFonts w:ascii="Garamond" w:eastAsia="Calibri" w:hAnsi="Garamond" w:cs="Times New Roman"/>
            <w:bCs/>
            <w:sz w:val="22"/>
            <w:szCs w:val="22"/>
            <w:lang w:eastAsia="en-US"/>
          </w:rPr>
          <w:fldChar w:fldCharType="end"/>
        </w:r>
      </w:hyperlink>
      <w:r w:rsidRPr="00AD67C2">
        <w:rPr>
          <w:rFonts w:ascii="Garamond" w:eastAsia="Calibri" w:hAnsi="Garamond" w:cs="Times New Roman"/>
          <w:bCs/>
          <w:sz w:val="22"/>
          <w:szCs w:val="22"/>
          <w:lang w:eastAsia="en-US"/>
        </w:rPr>
        <w:t xml:space="preserve"> настоящего приложения продолжить процедуру регистрации объекта регулирования.</w:t>
      </w:r>
    </w:p>
    <w:p w14:paraId="2725C05B" w14:textId="77777777" w:rsidR="001333B2" w:rsidRPr="00AD67C2" w:rsidRDefault="001333B2" w:rsidP="00AD67C2">
      <w:pPr>
        <w:widowControl w:val="0"/>
        <w:numPr>
          <w:ilvl w:val="2"/>
          <w:numId w:val="310"/>
        </w:numPr>
        <w:tabs>
          <w:tab w:val="left" w:pos="1077"/>
        </w:tabs>
        <w:suppressAutoHyphens w:val="0"/>
        <w:spacing w:before="120" w:after="120" w:line="259" w:lineRule="auto"/>
        <w:ind w:left="0" w:firstLine="601"/>
        <w:jc w:val="both"/>
        <w:outlineLvl w:val="1"/>
        <w:rPr>
          <w:rFonts w:ascii="Garamond" w:eastAsia="Calibri" w:hAnsi="Garamond" w:cs="Times New Roman"/>
          <w:bCs/>
          <w:sz w:val="22"/>
          <w:szCs w:val="22"/>
          <w:lang w:eastAsia="en-US"/>
        </w:rPr>
      </w:pPr>
      <w:r w:rsidRPr="00AD67C2">
        <w:rPr>
          <w:rFonts w:ascii="Garamond" w:eastAsia="Calibri" w:hAnsi="Garamond" w:cs="Times New Roman"/>
          <w:bCs/>
          <w:sz w:val="22"/>
          <w:szCs w:val="22"/>
          <w:lang w:eastAsia="en-US"/>
        </w:rPr>
        <w:t xml:space="preserve">В срок не более 3 (трех) рабочих дней с даты получения результата расчета учетного показателя по объекту регулирования заявитель обязан выполнить его проверку и в веб-интерфейсе «Данные АИИС»: </w:t>
      </w:r>
    </w:p>
    <w:p w14:paraId="6E512AFD" w14:textId="20E02302" w:rsidR="001333B2" w:rsidRPr="00AD67C2" w:rsidRDefault="001333B2" w:rsidP="00AD67C2">
      <w:pPr>
        <w:widowControl w:val="0"/>
        <w:numPr>
          <w:ilvl w:val="0"/>
          <w:numId w:val="312"/>
        </w:numPr>
        <w:tabs>
          <w:tab w:val="left" w:pos="851"/>
          <w:tab w:val="left" w:pos="1077"/>
        </w:tabs>
        <w:suppressAutoHyphens w:val="0"/>
        <w:spacing w:before="120" w:after="120" w:line="259" w:lineRule="auto"/>
        <w:ind w:left="0" w:firstLine="601"/>
        <w:jc w:val="both"/>
        <w:rPr>
          <w:rFonts w:ascii="Garamond" w:eastAsia="Calibri" w:hAnsi="Garamond" w:cs="Times New Roman"/>
          <w:bCs/>
          <w:sz w:val="22"/>
          <w:szCs w:val="22"/>
          <w:lang w:eastAsia="en-US"/>
        </w:rPr>
      </w:pPr>
      <w:r w:rsidRPr="00AD67C2">
        <w:rPr>
          <w:rFonts w:ascii="Garamond" w:eastAsia="Calibri" w:hAnsi="Garamond" w:cs="Times New Roman"/>
          <w:bCs/>
          <w:sz w:val="22"/>
          <w:szCs w:val="22"/>
          <w:lang w:eastAsia="en-US"/>
        </w:rPr>
        <w:t>подтвердить результаты расчета путем подписания со своей стороны с использованием ЭП</w:t>
      </w:r>
      <w:r w:rsidR="00211814">
        <w:rPr>
          <w:rFonts w:ascii="Garamond" w:eastAsia="Calibri" w:hAnsi="Garamond" w:cs="Times New Roman"/>
          <w:bCs/>
          <w:sz w:val="22"/>
          <w:szCs w:val="22"/>
          <w:lang w:eastAsia="en-US"/>
        </w:rPr>
        <w:t xml:space="preserve"> </w:t>
      </w:r>
      <w:r w:rsidRPr="00AD67C2">
        <w:rPr>
          <w:rFonts w:ascii="Garamond" w:eastAsia="Calibri" w:hAnsi="Garamond" w:cs="Times New Roman"/>
          <w:bCs/>
          <w:sz w:val="22"/>
          <w:szCs w:val="22"/>
          <w:lang w:eastAsia="en-US"/>
        </w:rPr>
        <w:t xml:space="preserve">либо </w:t>
      </w:r>
    </w:p>
    <w:p w14:paraId="3AEB1423" w14:textId="77777777" w:rsidR="001333B2" w:rsidRPr="00AD67C2" w:rsidRDefault="001333B2" w:rsidP="00AD67C2">
      <w:pPr>
        <w:widowControl w:val="0"/>
        <w:numPr>
          <w:ilvl w:val="0"/>
          <w:numId w:val="312"/>
        </w:numPr>
        <w:tabs>
          <w:tab w:val="left" w:pos="851"/>
          <w:tab w:val="left" w:pos="1077"/>
        </w:tabs>
        <w:suppressAutoHyphens w:val="0"/>
        <w:spacing w:before="120" w:after="120" w:line="259" w:lineRule="auto"/>
        <w:ind w:left="0" w:firstLine="601"/>
        <w:jc w:val="both"/>
        <w:rPr>
          <w:rFonts w:ascii="Garamond" w:eastAsia="Calibri" w:hAnsi="Garamond" w:cs="Times New Roman"/>
          <w:bCs/>
          <w:sz w:val="22"/>
          <w:szCs w:val="22"/>
          <w:lang w:eastAsia="en-US"/>
        </w:rPr>
      </w:pPr>
      <w:r w:rsidRPr="00AD67C2">
        <w:rPr>
          <w:rFonts w:ascii="Garamond" w:eastAsia="Calibri" w:hAnsi="Garamond" w:cs="Times New Roman"/>
          <w:bCs/>
          <w:sz w:val="22"/>
          <w:szCs w:val="22"/>
          <w:lang w:eastAsia="en-US"/>
        </w:rPr>
        <w:t xml:space="preserve">сообщить о несогласовании результатов расчета. </w:t>
      </w:r>
    </w:p>
    <w:p w14:paraId="67704FAA" w14:textId="77777777" w:rsidR="001333B2" w:rsidRPr="00AD67C2" w:rsidRDefault="001333B2" w:rsidP="00AD67C2">
      <w:pPr>
        <w:widowControl w:val="0"/>
        <w:tabs>
          <w:tab w:val="left" w:pos="1077"/>
        </w:tabs>
        <w:suppressAutoHyphens w:val="0"/>
        <w:spacing w:before="120" w:after="120"/>
        <w:ind w:firstLine="601"/>
        <w:jc w:val="both"/>
        <w:rPr>
          <w:rFonts w:ascii="Garamond" w:eastAsia="Calibri" w:hAnsi="Garamond" w:cs="Times New Roman"/>
          <w:bCs/>
          <w:sz w:val="22"/>
          <w:szCs w:val="22"/>
          <w:lang w:eastAsia="en-US"/>
        </w:rPr>
      </w:pPr>
      <w:r w:rsidRPr="00AD67C2">
        <w:rPr>
          <w:rFonts w:ascii="Garamond" w:eastAsia="Calibri" w:hAnsi="Garamond" w:cs="Times New Roman"/>
          <w:bCs/>
          <w:sz w:val="22"/>
          <w:szCs w:val="22"/>
          <w:lang w:eastAsia="en-US"/>
        </w:rPr>
        <w:lastRenderedPageBreak/>
        <w:t>При несогласовании заявителем результатов расчета учетного показателя либо при неподтверждении заявителем результатов расчета учетного показателя в указанном выше порядке процедура расчета учетного показателя завершается с отрицательным результатом, при этом заявитель вправе в соответствии с п.</w:t>
      </w:r>
      <w:r w:rsidRPr="00AD67C2">
        <w:rPr>
          <w:rFonts w:ascii="Garamond" w:eastAsia="Calibri" w:hAnsi="Garamond" w:cs="Times New Roman"/>
          <w:b/>
          <w:bCs/>
          <w:sz w:val="22"/>
          <w:szCs w:val="22"/>
          <w:lang w:eastAsia="en-US"/>
        </w:rPr>
        <w:t xml:space="preserve"> </w:t>
      </w:r>
      <w:r w:rsidRPr="00AD67C2">
        <w:rPr>
          <w:rFonts w:ascii="Garamond" w:eastAsia="Calibri" w:hAnsi="Garamond" w:cs="Times New Roman"/>
          <w:bCs/>
          <w:sz w:val="22"/>
          <w:szCs w:val="22"/>
          <w:lang w:eastAsia="en-US"/>
        </w:rPr>
        <w:fldChar w:fldCharType="begin"/>
      </w:r>
      <w:r w:rsidRPr="00AD67C2">
        <w:rPr>
          <w:rFonts w:ascii="Garamond" w:eastAsia="Calibri" w:hAnsi="Garamond" w:cs="Times New Roman"/>
          <w:bCs/>
          <w:sz w:val="22"/>
          <w:szCs w:val="22"/>
          <w:lang w:eastAsia="en-US"/>
        </w:rPr>
        <w:instrText xml:space="preserve"> REF _Ref149301759 \r \h  \* MERGEFORMAT </w:instrText>
      </w:r>
      <w:r w:rsidRPr="00AD67C2">
        <w:rPr>
          <w:rFonts w:ascii="Garamond" w:eastAsia="Calibri" w:hAnsi="Garamond" w:cs="Times New Roman"/>
          <w:bCs/>
          <w:sz w:val="22"/>
          <w:szCs w:val="22"/>
          <w:lang w:eastAsia="en-US"/>
        </w:rPr>
      </w:r>
      <w:r w:rsidRPr="00AD67C2">
        <w:rPr>
          <w:rFonts w:ascii="Garamond" w:eastAsia="Calibri" w:hAnsi="Garamond" w:cs="Times New Roman"/>
          <w:bCs/>
          <w:sz w:val="22"/>
          <w:szCs w:val="22"/>
          <w:lang w:eastAsia="en-US"/>
        </w:rPr>
        <w:fldChar w:fldCharType="separate"/>
      </w:r>
      <w:r w:rsidRPr="00AD67C2">
        <w:rPr>
          <w:rFonts w:ascii="Garamond" w:eastAsia="Calibri" w:hAnsi="Garamond" w:cs="Times New Roman"/>
          <w:bCs/>
          <w:sz w:val="22"/>
          <w:szCs w:val="22"/>
          <w:lang w:eastAsia="en-US"/>
        </w:rPr>
        <w:t>3.11</w:t>
      </w:r>
      <w:r w:rsidRPr="00AD67C2">
        <w:rPr>
          <w:rFonts w:ascii="Garamond" w:eastAsia="Calibri" w:hAnsi="Garamond" w:cs="Times New Roman"/>
          <w:bCs/>
          <w:sz w:val="22"/>
          <w:szCs w:val="22"/>
          <w:lang w:eastAsia="en-US"/>
        </w:rPr>
        <w:fldChar w:fldCharType="end"/>
      </w:r>
      <w:r w:rsidRPr="00AD67C2">
        <w:rPr>
          <w:rFonts w:ascii="Garamond" w:eastAsia="Calibri" w:hAnsi="Garamond" w:cs="Times New Roman"/>
          <w:bCs/>
          <w:sz w:val="22"/>
          <w:szCs w:val="22"/>
          <w:lang w:eastAsia="en-US"/>
        </w:rPr>
        <w:t xml:space="preserve"> настоящего приложения продолжить процедуру регистрации объекта регулирования.</w:t>
      </w:r>
    </w:p>
    <w:p w14:paraId="5AAD1B80" w14:textId="57F1B10F" w:rsidR="001333B2" w:rsidRPr="00AD67C2" w:rsidRDefault="00211814" w:rsidP="00AD67C2">
      <w:pPr>
        <w:widowControl w:val="0"/>
        <w:numPr>
          <w:ilvl w:val="2"/>
          <w:numId w:val="310"/>
        </w:numPr>
        <w:tabs>
          <w:tab w:val="left" w:pos="1077"/>
        </w:tabs>
        <w:suppressAutoHyphens w:val="0"/>
        <w:spacing w:before="120" w:after="120" w:line="259" w:lineRule="auto"/>
        <w:ind w:left="0" w:firstLine="601"/>
        <w:jc w:val="both"/>
        <w:outlineLvl w:val="1"/>
        <w:rPr>
          <w:rFonts w:ascii="Garamond" w:eastAsia="Calibri" w:hAnsi="Garamond" w:cs="Times New Roman"/>
          <w:bCs/>
          <w:sz w:val="22"/>
          <w:szCs w:val="22"/>
          <w:lang w:eastAsia="en-US"/>
        </w:rPr>
      </w:pPr>
      <w:r>
        <w:rPr>
          <w:rFonts w:ascii="Garamond" w:eastAsia="Calibri" w:hAnsi="Garamond" w:cs="Times New Roman"/>
          <w:bCs/>
          <w:sz w:val="22"/>
          <w:szCs w:val="22"/>
          <w:lang w:eastAsia="en-US"/>
        </w:rPr>
        <w:t xml:space="preserve"> </w:t>
      </w:r>
      <w:r w:rsidR="001333B2" w:rsidRPr="00AD67C2">
        <w:rPr>
          <w:rFonts w:ascii="Garamond" w:eastAsia="Calibri" w:hAnsi="Garamond" w:cs="Times New Roman"/>
          <w:bCs/>
          <w:sz w:val="22"/>
          <w:szCs w:val="22"/>
          <w:lang w:eastAsia="en-US"/>
        </w:rPr>
        <w:t xml:space="preserve">В срок не более 7 (семи) рабочих дней с даты направления заявителю результата расчета учетного показателя КО проводит экспертизу представленного заявителем ПСИ на соответствие требованиям </w:t>
      </w:r>
      <w:r w:rsidR="001333B2" w:rsidRPr="00AD67C2">
        <w:rPr>
          <w:rFonts w:ascii="Garamond" w:eastAsia="Calibri" w:hAnsi="Garamond" w:cs="Times New Roman"/>
          <w:bCs/>
          <w:i/>
          <w:sz w:val="22"/>
          <w:szCs w:val="22"/>
          <w:lang w:eastAsia="en-US"/>
        </w:rPr>
        <w:t>Регламента коммерческого учета электроэнергии и мощности</w:t>
      </w:r>
      <w:r w:rsidR="001333B2" w:rsidRPr="00AD67C2">
        <w:rPr>
          <w:rFonts w:ascii="Garamond" w:eastAsia="Calibri" w:hAnsi="Garamond" w:cs="Times New Roman"/>
          <w:bCs/>
          <w:sz w:val="22"/>
          <w:szCs w:val="22"/>
          <w:lang w:eastAsia="en-US"/>
        </w:rPr>
        <w:t xml:space="preserve"> (Приложение № 11 к </w:t>
      </w:r>
      <w:r>
        <w:rPr>
          <w:rFonts w:ascii="Garamond" w:eastAsia="Calibri" w:hAnsi="Garamond" w:cs="Times New Roman"/>
          <w:bCs/>
          <w:i/>
          <w:sz w:val="22"/>
          <w:szCs w:val="22"/>
          <w:lang w:eastAsia="en-US"/>
        </w:rPr>
        <w:t>Договору о </w:t>
      </w:r>
      <w:r w:rsidR="001333B2" w:rsidRPr="00AD67C2">
        <w:rPr>
          <w:rFonts w:ascii="Garamond" w:eastAsia="Calibri" w:hAnsi="Garamond" w:cs="Times New Roman"/>
          <w:bCs/>
          <w:i/>
          <w:sz w:val="22"/>
          <w:szCs w:val="22"/>
          <w:lang w:eastAsia="en-US"/>
        </w:rPr>
        <w:t>присоединении к торговой системе оптового рынка</w:t>
      </w:r>
      <w:r w:rsidR="001333B2" w:rsidRPr="00AD67C2">
        <w:rPr>
          <w:rFonts w:ascii="Garamond" w:eastAsia="Calibri" w:hAnsi="Garamond" w:cs="Times New Roman"/>
          <w:bCs/>
          <w:sz w:val="22"/>
          <w:szCs w:val="22"/>
          <w:lang w:eastAsia="en-US"/>
        </w:rPr>
        <w:t>).</w:t>
      </w:r>
    </w:p>
    <w:p w14:paraId="3E04E92C" w14:textId="77777777" w:rsidR="001333B2" w:rsidRPr="00AD67C2" w:rsidRDefault="001333B2" w:rsidP="00AD67C2">
      <w:pPr>
        <w:widowControl w:val="0"/>
        <w:tabs>
          <w:tab w:val="left" w:pos="1077"/>
        </w:tabs>
        <w:suppressAutoHyphens w:val="0"/>
        <w:spacing w:before="120" w:after="120"/>
        <w:ind w:firstLine="601"/>
        <w:jc w:val="both"/>
        <w:rPr>
          <w:rFonts w:ascii="Garamond" w:eastAsia="Calibri" w:hAnsi="Garamond" w:cs="Times New Roman"/>
          <w:bCs/>
          <w:sz w:val="22"/>
          <w:szCs w:val="22"/>
          <w:lang w:eastAsia="en-US"/>
        </w:rPr>
      </w:pPr>
      <w:r w:rsidRPr="00AD67C2">
        <w:rPr>
          <w:rFonts w:ascii="Garamond" w:eastAsia="Calibri" w:hAnsi="Garamond" w:cs="Times New Roman"/>
          <w:bCs/>
          <w:sz w:val="22"/>
          <w:szCs w:val="22"/>
          <w:lang w:eastAsia="en-US"/>
        </w:rPr>
        <w:t xml:space="preserve">О результатах экспертизы представленного заявителем ПСИ (положительных или отрицательных) КО в срок не позднее 1 (одного) рабочего дня с даты завершения процедуры информирует заявителя через ПСЗ. При этом причины отрицательного результата процедуры экспертизы представленного заявителем ПСИ указываются КО в составе уведомления о результатах проверки комплекта документов, направляемого КО заявителю в соответствии с п. </w:t>
      </w:r>
      <w:r w:rsidRPr="00AD67C2">
        <w:rPr>
          <w:rFonts w:ascii="Garamond" w:eastAsia="Calibri" w:hAnsi="Garamond" w:cs="Times New Roman"/>
          <w:bCs/>
          <w:sz w:val="22"/>
          <w:szCs w:val="22"/>
          <w:lang w:eastAsia="en-US"/>
        </w:rPr>
        <w:fldChar w:fldCharType="begin"/>
      </w:r>
      <w:r w:rsidRPr="00AD67C2">
        <w:rPr>
          <w:rFonts w:ascii="Garamond" w:eastAsia="Calibri" w:hAnsi="Garamond" w:cs="Times New Roman"/>
          <w:bCs/>
          <w:sz w:val="22"/>
          <w:szCs w:val="22"/>
          <w:lang w:eastAsia="en-US"/>
        </w:rPr>
        <w:instrText xml:space="preserve"> REF _Ref149301759 \r \h  \* MERGEFORMAT </w:instrText>
      </w:r>
      <w:r w:rsidRPr="00AD67C2">
        <w:rPr>
          <w:rFonts w:ascii="Garamond" w:eastAsia="Calibri" w:hAnsi="Garamond" w:cs="Times New Roman"/>
          <w:bCs/>
          <w:sz w:val="22"/>
          <w:szCs w:val="22"/>
          <w:lang w:eastAsia="en-US"/>
        </w:rPr>
      </w:r>
      <w:r w:rsidRPr="00AD67C2">
        <w:rPr>
          <w:rFonts w:ascii="Garamond" w:eastAsia="Calibri" w:hAnsi="Garamond" w:cs="Times New Roman"/>
          <w:bCs/>
          <w:sz w:val="22"/>
          <w:szCs w:val="22"/>
          <w:lang w:eastAsia="en-US"/>
        </w:rPr>
        <w:fldChar w:fldCharType="separate"/>
      </w:r>
      <w:r w:rsidRPr="00AD67C2">
        <w:rPr>
          <w:rFonts w:ascii="Garamond" w:eastAsia="Calibri" w:hAnsi="Garamond" w:cs="Times New Roman"/>
          <w:bCs/>
          <w:sz w:val="22"/>
          <w:szCs w:val="22"/>
          <w:lang w:eastAsia="en-US"/>
        </w:rPr>
        <w:t>3.11</w:t>
      </w:r>
      <w:r w:rsidRPr="00AD67C2">
        <w:rPr>
          <w:rFonts w:ascii="Garamond" w:eastAsia="Calibri" w:hAnsi="Garamond" w:cs="Times New Roman"/>
          <w:bCs/>
          <w:sz w:val="22"/>
          <w:szCs w:val="22"/>
          <w:lang w:eastAsia="en-US"/>
        </w:rPr>
        <w:fldChar w:fldCharType="end"/>
      </w:r>
      <w:r w:rsidRPr="00AD67C2">
        <w:rPr>
          <w:rFonts w:ascii="Garamond" w:eastAsia="Calibri" w:hAnsi="Garamond" w:cs="Times New Roman"/>
          <w:bCs/>
          <w:sz w:val="22"/>
          <w:szCs w:val="22"/>
          <w:lang w:eastAsia="en-US"/>
        </w:rPr>
        <w:t xml:space="preserve"> настоящего приложения.</w:t>
      </w:r>
    </w:p>
    <w:p w14:paraId="5D72177F" w14:textId="77777777" w:rsidR="001333B2" w:rsidRPr="00AD67C2" w:rsidRDefault="001333B2" w:rsidP="00AD67C2">
      <w:pPr>
        <w:widowControl w:val="0"/>
        <w:numPr>
          <w:ilvl w:val="1"/>
          <w:numId w:val="310"/>
        </w:numPr>
        <w:tabs>
          <w:tab w:val="left" w:pos="1077"/>
        </w:tabs>
        <w:suppressAutoHyphens w:val="0"/>
        <w:spacing w:before="120" w:after="120" w:line="259" w:lineRule="auto"/>
        <w:ind w:left="0" w:firstLine="601"/>
        <w:jc w:val="both"/>
        <w:outlineLvl w:val="1"/>
        <w:rPr>
          <w:rFonts w:ascii="Garamond" w:eastAsia="Calibri" w:hAnsi="Garamond" w:cs="Times New Roman"/>
          <w:bCs/>
          <w:sz w:val="22"/>
          <w:szCs w:val="22"/>
          <w:lang w:eastAsia="en-US"/>
        </w:rPr>
      </w:pPr>
      <w:bookmarkStart w:id="42" w:name="_Ref149308388"/>
      <w:r w:rsidRPr="00AD67C2">
        <w:rPr>
          <w:rFonts w:ascii="Garamond" w:eastAsia="Calibri" w:hAnsi="Garamond" w:cs="Times New Roman"/>
          <w:bCs/>
          <w:sz w:val="22"/>
          <w:szCs w:val="22"/>
          <w:lang w:eastAsia="en-US"/>
        </w:rPr>
        <w:t xml:space="preserve">В срок не более 16 (шестнадцати) рабочих дней с даты завершения с положительным результатом процедур, предусмотренных п. </w:t>
      </w:r>
      <w:r w:rsidRPr="00AD67C2">
        <w:rPr>
          <w:rFonts w:ascii="Garamond" w:eastAsia="Calibri" w:hAnsi="Garamond" w:cs="Times New Roman"/>
          <w:bCs/>
          <w:sz w:val="22"/>
          <w:szCs w:val="22"/>
          <w:lang w:eastAsia="en-US"/>
        </w:rPr>
        <w:fldChar w:fldCharType="begin"/>
      </w:r>
      <w:r w:rsidRPr="00AD67C2">
        <w:rPr>
          <w:rFonts w:ascii="Garamond" w:eastAsia="Calibri" w:hAnsi="Garamond" w:cs="Times New Roman"/>
          <w:bCs/>
          <w:sz w:val="22"/>
          <w:szCs w:val="22"/>
          <w:lang w:eastAsia="en-US"/>
        </w:rPr>
        <w:instrText xml:space="preserve"> REF _Ref149304286 \r \h  \* MERGEFORMAT </w:instrText>
      </w:r>
      <w:r w:rsidRPr="00AD67C2">
        <w:rPr>
          <w:rFonts w:ascii="Garamond" w:eastAsia="Calibri" w:hAnsi="Garamond" w:cs="Times New Roman"/>
          <w:bCs/>
          <w:sz w:val="22"/>
          <w:szCs w:val="22"/>
          <w:lang w:eastAsia="en-US"/>
        </w:rPr>
      </w:r>
      <w:r w:rsidRPr="00AD67C2">
        <w:rPr>
          <w:rFonts w:ascii="Garamond" w:eastAsia="Calibri" w:hAnsi="Garamond" w:cs="Times New Roman"/>
          <w:bCs/>
          <w:sz w:val="22"/>
          <w:szCs w:val="22"/>
          <w:lang w:eastAsia="en-US"/>
        </w:rPr>
        <w:fldChar w:fldCharType="separate"/>
      </w:r>
      <w:r w:rsidRPr="00AD67C2">
        <w:rPr>
          <w:rFonts w:ascii="Garamond" w:eastAsia="Calibri" w:hAnsi="Garamond" w:cs="Times New Roman"/>
          <w:bCs/>
          <w:sz w:val="22"/>
          <w:szCs w:val="22"/>
          <w:lang w:eastAsia="en-US"/>
        </w:rPr>
        <w:t>3.3</w:t>
      </w:r>
      <w:r w:rsidRPr="00AD67C2">
        <w:rPr>
          <w:rFonts w:ascii="Garamond" w:eastAsia="Calibri" w:hAnsi="Garamond" w:cs="Times New Roman"/>
          <w:bCs/>
          <w:sz w:val="22"/>
          <w:szCs w:val="22"/>
          <w:lang w:eastAsia="en-US"/>
        </w:rPr>
        <w:fldChar w:fldCharType="end"/>
      </w:r>
      <w:r w:rsidRPr="00AD67C2">
        <w:rPr>
          <w:rFonts w:ascii="Garamond" w:eastAsia="Calibri" w:hAnsi="Garamond" w:cs="Times New Roman"/>
          <w:bCs/>
          <w:sz w:val="22"/>
          <w:szCs w:val="22"/>
          <w:lang w:eastAsia="en-US"/>
        </w:rPr>
        <w:t xml:space="preserve"> настоящего приложения, КО проводит процедуру подтверждения соответствия системы учета техническим требованиям оптового рынка по объекту регулирования, которая включает в себя следующие этапы:</w:t>
      </w:r>
      <w:bookmarkEnd w:id="42"/>
    </w:p>
    <w:p w14:paraId="7CFC4D28" w14:textId="2632FF8D" w:rsidR="001333B2" w:rsidRPr="00AD67C2" w:rsidRDefault="001333B2" w:rsidP="00AD67C2">
      <w:pPr>
        <w:widowControl w:val="0"/>
        <w:numPr>
          <w:ilvl w:val="0"/>
          <w:numId w:val="313"/>
        </w:numPr>
        <w:tabs>
          <w:tab w:val="left" w:pos="1077"/>
        </w:tabs>
        <w:suppressAutoHyphens w:val="0"/>
        <w:spacing w:before="120" w:after="120" w:line="259" w:lineRule="auto"/>
        <w:ind w:left="0" w:firstLine="601"/>
        <w:jc w:val="both"/>
        <w:rPr>
          <w:rFonts w:ascii="Garamond" w:eastAsia="Calibri" w:hAnsi="Garamond" w:cs="Times New Roman"/>
          <w:bCs/>
          <w:sz w:val="22"/>
          <w:szCs w:val="22"/>
          <w:lang w:eastAsia="en-US"/>
        </w:rPr>
      </w:pPr>
      <w:r w:rsidRPr="00AD67C2">
        <w:rPr>
          <w:rFonts w:ascii="Garamond" w:eastAsia="Calibri" w:hAnsi="Garamond" w:cs="Times New Roman"/>
          <w:bCs/>
          <w:sz w:val="22"/>
          <w:szCs w:val="22"/>
          <w:lang w:eastAsia="en-US"/>
        </w:rPr>
        <w:t>проверк</w:t>
      </w:r>
      <w:r w:rsidR="00211814">
        <w:rPr>
          <w:rFonts w:ascii="Garamond" w:eastAsia="Calibri" w:hAnsi="Garamond" w:cs="Times New Roman"/>
          <w:bCs/>
          <w:sz w:val="22"/>
          <w:szCs w:val="22"/>
          <w:lang w:eastAsia="en-US"/>
        </w:rPr>
        <w:t>у</w:t>
      </w:r>
      <w:r w:rsidRPr="00AD67C2">
        <w:rPr>
          <w:rFonts w:ascii="Garamond" w:eastAsia="Calibri" w:hAnsi="Garamond" w:cs="Times New Roman"/>
          <w:bCs/>
          <w:sz w:val="22"/>
          <w:szCs w:val="22"/>
          <w:lang w:eastAsia="en-US"/>
        </w:rPr>
        <w:t xml:space="preserve"> выполнения технических требований оптового рынка, предъявляемых к системе учета;</w:t>
      </w:r>
    </w:p>
    <w:p w14:paraId="7628F88E" w14:textId="77777777" w:rsidR="001333B2" w:rsidRPr="00AD67C2" w:rsidRDefault="001333B2" w:rsidP="00AD67C2">
      <w:pPr>
        <w:widowControl w:val="0"/>
        <w:numPr>
          <w:ilvl w:val="0"/>
          <w:numId w:val="313"/>
        </w:numPr>
        <w:tabs>
          <w:tab w:val="left" w:pos="1077"/>
        </w:tabs>
        <w:suppressAutoHyphens w:val="0"/>
        <w:spacing w:before="120" w:after="120" w:line="259" w:lineRule="auto"/>
        <w:ind w:left="0" w:firstLine="601"/>
        <w:jc w:val="both"/>
        <w:rPr>
          <w:rFonts w:ascii="Garamond" w:eastAsia="Calibri" w:hAnsi="Garamond" w:cs="Times New Roman"/>
          <w:bCs/>
          <w:sz w:val="22"/>
          <w:szCs w:val="22"/>
          <w:lang w:eastAsia="en-US"/>
        </w:rPr>
      </w:pPr>
      <w:r w:rsidRPr="00AD67C2">
        <w:rPr>
          <w:rFonts w:ascii="Garamond" w:eastAsia="Calibri" w:hAnsi="Garamond" w:cs="Times New Roman"/>
          <w:bCs/>
          <w:sz w:val="22"/>
          <w:szCs w:val="22"/>
          <w:lang w:eastAsia="en-US"/>
        </w:rPr>
        <w:t>испытания системы учета.</w:t>
      </w:r>
    </w:p>
    <w:p w14:paraId="1CD457B3" w14:textId="77777777" w:rsidR="001333B2" w:rsidRPr="00AD67C2" w:rsidRDefault="001333B2" w:rsidP="00AD67C2">
      <w:pPr>
        <w:widowControl w:val="0"/>
        <w:tabs>
          <w:tab w:val="left" w:pos="1077"/>
        </w:tabs>
        <w:suppressAutoHyphens w:val="0"/>
        <w:spacing w:before="120" w:after="120"/>
        <w:ind w:firstLine="601"/>
        <w:jc w:val="both"/>
        <w:rPr>
          <w:rFonts w:ascii="Garamond" w:eastAsia="Calibri" w:hAnsi="Garamond" w:cs="Times New Roman"/>
          <w:bCs/>
          <w:sz w:val="22"/>
          <w:szCs w:val="22"/>
          <w:lang w:eastAsia="en-US"/>
        </w:rPr>
      </w:pPr>
      <w:r w:rsidRPr="00AD67C2">
        <w:rPr>
          <w:rFonts w:ascii="Garamond" w:eastAsia="Calibri" w:hAnsi="Garamond" w:cs="Times New Roman"/>
          <w:bCs/>
          <w:sz w:val="22"/>
          <w:szCs w:val="22"/>
          <w:lang w:eastAsia="en-US"/>
        </w:rPr>
        <w:t xml:space="preserve">Требования к системам учета по объекту регулирования установлены Правилами оптового рынка, </w:t>
      </w:r>
      <w:r w:rsidRPr="00211814">
        <w:rPr>
          <w:rFonts w:ascii="Garamond" w:eastAsia="Calibri" w:hAnsi="Garamond" w:cs="Times New Roman"/>
          <w:bCs/>
          <w:i/>
          <w:sz w:val="22"/>
          <w:szCs w:val="22"/>
          <w:lang w:eastAsia="en-US"/>
        </w:rPr>
        <w:t>Договором о присоединении к торговой системе оптового рынка</w:t>
      </w:r>
      <w:r w:rsidRPr="00AD67C2">
        <w:rPr>
          <w:rFonts w:ascii="Garamond" w:eastAsia="Calibri" w:hAnsi="Garamond" w:cs="Times New Roman"/>
          <w:bCs/>
          <w:sz w:val="22"/>
          <w:szCs w:val="22"/>
          <w:lang w:eastAsia="en-US"/>
        </w:rPr>
        <w:t xml:space="preserve"> и Приложением № 11.1 к настоящему Положению.</w:t>
      </w:r>
    </w:p>
    <w:p w14:paraId="19352819" w14:textId="77777777" w:rsidR="001333B2" w:rsidRPr="00AD67C2" w:rsidRDefault="001333B2" w:rsidP="00AD67C2">
      <w:pPr>
        <w:widowControl w:val="0"/>
        <w:tabs>
          <w:tab w:val="left" w:pos="1077"/>
        </w:tabs>
        <w:suppressAutoHyphens w:val="0"/>
        <w:spacing w:before="120" w:after="120"/>
        <w:ind w:firstLine="601"/>
        <w:jc w:val="both"/>
        <w:rPr>
          <w:rFonts w:ascii="Garamond" w:eastAsia="Calibri" w:hAnsi="Garamond" w:cs="Times New Roman"/>
          <w:bCs/>
          <w:sz w:val="22"/>
          <w:szCs w:val="22"/>
          <w:lang w:eastAsia="en-US"/>
        </w:rPr>
      </w:pPr>
      <w:r w:rsidRPr="00AD67C2">
        <w:rPr>
          <w:rFonts w:ascii="Garamond" w:eastAsia="Calibri" w:hAnsi="Garamond" w:cs="Times New Roman"/>
          <w:bCs/>
          <w:sz w:val="22"/>
          <w:szCs w:val="22"/>
          <w:lang w:eastAsia="en-US"/>
        </w:rPr>
        <w:t>Если при проведении процедуры подтверждения соответствия системы учета техническим требованиям оптового рынка по объекту регулирования в соответствии с настоящим пунктом в отношении соответствующих компонентов системы учета от изготовителей компонентов системы учета либо Федерального агентства по техническому регулированию и метрологии (Росстандарт) и (или) от его подведомственных организаций КО получены сведения о несоответствии компонентов системы учета техническим требованиям оптового рынка, указанным в Приложении № 11.1 к настоящему Положению, процедура подтверждения соответствия системы учета техническим требованиям оптового рынка по объекту регулирования завершается с отрицательным результатом.</w:t>
      </w:r>
    </w:p>
    <w:p w14:paraId="27501828" w14:textId="5B0B489C" w:rsidR="001333B2" w:rsidRPr="00AD67C2" w:rsidRDefault="0013627E" w:rsidP="00AD67C2">
      <w:pPr>
        <w:widowControl w:val="0"/>
        <w:numPr>
          <w:ilvl w:val="2"/>
          <w:numId w:val="310"/>
        </w:numPr>
        <w:tabs>
          <w:tab w:val="left" w:pos="1077"/>
        </w:tabs>
        <w:suppressAutoHyphens w:val="0"/>
        <w:spacing w:before="120" w:after="120" w:line="259" w:lineRule="auto"/>
        <w:ind w:left="0" w:firstLine="601"/>
        <w:jc w:val="both"/>
        <w:outlineLvl w:val="1"/>
        <w:rPr>
          <w:rFonts w:ascii="Garamond" w:eastAsia="Calibri" w:hAnsi="Garamond" w:cs="Times New Roman"/>
          <w:bCs/>
          <w:sz w:val="22"/>
          <w:szCs w:val="22"/>
          <w:lang w:eastAsia="en-US"/>
        </w:rPr>
      </w:pPr>
      <w:bookmarkStart w:id="43" w:name="_Ref149308149"/>
      <w:r>
        <w:rPr>
          <w:rFonts w:ascii="Garamond" w:eastAsia="Calibri" w:hAnsi="Garamond" w:cs="Times New Roman"/>
          <w:bCs/>
          <w:sz w:val="22"/>
          <w:szCs w:val="22"/>
          <w:lang w:eastAsia="en-US"/>
        </w:rPr>
        <w:t xml:space="preserve"> </w:t>
      </w:r>
      <w:r w:rsidR="001333B2" w:rsidRPr="00AD67C2">
        <w:rPr>
          <w:rFonts w:ascii="Garamond" w:eastAsia="Calibri" w:hAnsi="Garamond" w:cs="Times New Roman"/>
          <w:bCs/>
          <w:sz w:val="22"/>
          <w:szCs w:val="22"/>
          <w:lang w:eastAsia="en-US"/>
        </w:rPr>
        <w:t>Проверка выполнения технических требований оптового рынка проводится КО в соответствии с требованиями к проведению КО указанной проверки (таблица 3 приложения 2 Приложения</w:t>
      </w:r>
      <w:r>
        <w:rPr>
          <w:rFonts w:ascii="Garamond" w:eastAsia="Calibri" w:hAnsi="Garamond" w:cs="Times New Roman"/>
          <w:bCs/>
          <w:sz w:val="22"/>
          <w:szCs w:val="22"/>
          <w:lang w:eastAsia="en-US"/>
        </w:rPr>
        <w:t xml:space="preserve"> № 11.3 к настоящему Положению)</w:t>
      </w:r>
      <w:r w:rsidR="001333B2" w:rsidRPr="00AD67C2">
        <w:rPr>
          <w:rFonts w:ascii="Garamond" w:eastAsia="Calibri" w:hAnsi="Garamond" w:cs="Times New Roman"/>
          <w:bCs/>
          <w:sz w:val="22"/>
          <w:szCs w:val="22"/>
          <w:lang w:eastAsia="en-US"/>
        </w:rPr>
        <w:t xml:space="preserve"> в срок не более 10 (десяти) рабочих дней с даты завершения с положительным результатом процедур, предусмотренных п. </w:t>
      </w:r>
      <w:r w:rsidR="001333B2" w:rsidRPr="00AD67C2">
        <w:rPr>
          <w:rFonts w:ascii="Garamond" w:eastAsia="Calibri" w:hAnsi="Garamond" w:cs="Times New Roman"/>
          <w:bCs/>
          <w:sz w:val="22"/>
          <w:szCs w:val="22"/>
          <w:lang w:eastAsia="en-US"/>
        </w:rPr>
        <w:fldChar w:fldCharType="begin"/>
      </w:r>
      <w:r w:rsidR="001333B2" w:rsidRPr="00AD67C2">
        <w:rPr>
          <w:rFonts w:ascii="Garamond" w:eastAsia="Calibri" w:hAnsi="Garamond" w:cs="Times New Roman"/>
          <w:bCs/>
          <w:sz w:val="22"/>
          <w:szCs w:val="22"/>
          <w:lang w:eastAsia="en-US"/>
        </w:rPr>
        <w:instrText xml:space="preserve"> REF _Ref149304286 \r \h  \* MERGEFORMAT </w:instrText>
      </w:r>
      <w:r w:rsidR="001333B2" w:rsidRPr="00AD67C2">
        <w:rPr>
          <w:rFonts w:ascii="Garamond" w:eastAsia="Calibri" w:hAnsi="Garamond" w:cs="Times New Roman"/>
          <w:bCs/>
          <w:sz w:val="22"/>
          <w:szCs w:val="22"/>
          <w:lang w:eastAsia="en-US"/>
        </w:rPr>
      </w:r>
      <w:r w:rsidR="001333B2" w:rsidRPr="00AD67C2">
        <w:rPr>
          <w:rFonts w:ascii="Garamond" w:eastAsia="Calibri" w:hAnsi="Garamond" w:cs="Times New Roman"/>
          <w:bCs/>
          <w:sz w:val="22"/>
          <w:szCs w:val="22"/>
          <w:lang w:eastAsia="en-US"/>
        </w:rPr>
        <w:fldChar w:fldCharType="separate"/>
      </w:r>
      <w:r w:rsidR="001333B2" w:rsidRPr="00AD67C2">
        <w:rPr>
          <w:rFonts w:ascii="Garamond" w:eastAsia="Calibri" w:hAnsi="Garamond" w:cs="Times New Roman"/>
          <w:bCs/>
          <w:sz w:val="22"/>
          <w:szCs w:val="22"/>
          <w:lang w:eastAsia="en-US"/>
        </w:rPr>
        <w:t>3.3</w:t>
      </w:r>
      <w:r w:rsidR="001333B2" w:rsidRPr="00AD67C2">
        <w:rPr>
          <w:rFonts w:ascii="Garamond" w:eastAsia="Calibri" w:hAnsi="Garamond" w:cs="Times New Roman"/>
          <w:bCs/>
          <w:sz w:val="22"/>
          <w:szCs w:val="22"/>
          <w:lang w:eastAsia="en-US"/>
        </w:rPr>
        <w:fldChar w:fldCharType="end"/>
      </w:r>
      <w:r w:rsidR="001333B2" w:rsidRPr="00AD67C2">
        <w:rPr>
          <w:rFonts w:ascii="Garamond" w:eastAsia="Calibri" w:hAnsi="Garamond" w:cs="Times New Roman"/>
          <w:bCs/>
          <w:sz w:val="22"/>
          <w:szCs w:val="22"/>
          <w:lang w:eastAsia="en-US"/>
        </w:rPr>
        <w:t xml:space="preserve"> настоящего приложения.</w:t>
      </w:r>
      <w:bookmarkEnd w:id="43"/>
    </w:p>
    <w:p w14:paraId="46BB7E8A" w14:textId="6AF6D5E5" w:rsidR="001333B2" w:rsidRPr="00AD67C2" w:rsidRDefault="001333B2" w:rsidP="00AD67C2">
      <w:pPr>
        <w:widowControl w:val="0"/>
        <w:tabs>
          <w:tab w:val="left" w:pos="1077"/>
        </w:tabs>
        <w:suppressAutoHyphens w:val="0"/>
        <w:spacing w:before="120" w:after="120"/>
        <w:ind w:firstLine="601"/>
        <w:jc w:val="both"/>
        <w:rPr>
          <w:rFonts w:ascii="Garamond" w:eastAsia="Calibri" w:hAnsi="Garamond" w:cs="Times New Roman"/>
          <w:bCs/>
          <w:sz w:val="22"/>
          <w:szCs w:val="22"/>
          <w:lang w:eastAsia="en-US"/>
        </w:rPr>
      </w:pPr>
      <w:r w:rsidRPr="00AD67C2">
        <w:rPr>
          <w:rFonts w:ascii="Garamond" w:eastAsia="Calibri" w:hAnsi="Garamond" w:cs="Times New Roman"/>
          <w:bCs/>
          <w:sz w:val="22"/>
          <w:szCs w:val="22"/>
          <w:lang w:eastAsia="en-US"/>
        </w:rPr>
        <w:t>При положительном результате вышеуказанной проверки КО в срок не позднее 1 (одного) рабочего дня с даты завершения проверки информирует об этом заявителя через ПСЗ.</w:t>
      </w:r>
    </w:p>
    <w:p w14:paraId="21F23CF7" w14:textId="77777777" w:rsidR="001333B2" w:rsidRPr="00AD67C2" w:rsidRDefault="001333B2" w:rsidP="00AD67C2">
      <w:pPr>
        <w:widowControl w:val="0"/>
        <w:tabs>
          <w:tab w:val="left" w:pos="1077"/>
        </w:tabs>
        <w:suppressAutoHyphens w:val="0"/>
        <w:spacing w:before="120" w:after="120"/>
        <w:ind w:firstLine="601"/>
        <w:jc w:val="both"/>
        <w:rPr>
          <w:rFonts w:ascii="Garamond" w:eastAsia="Calibri" w:hAnsi="Garamond" w:cs="Times New Roman"/>
          <w:bCs/>
          <w:sz w:val="22"/>
          <w:szCs w:val="22"/>
          <w:lang w:eastAsia="en-US"/>
        </w:rPr>
      </w:pPr>
      <w:r w:rsidRPr="00AD67C2">
        <w:rPr>
          <w:rFonts w:ascii="Garamond" w:eastAsia="Calibri" w:hAnsi="Garamond" w:cs="Times New Roman"/>
          <w:bCs/>
          <w:sz w:val="22"/>
          <w:szCs w:val="22"/>
          <w:lang w:eastAsia="en-US"/>
        </w:rPr>
        <w:t>В случае если срок окончания поверки хотя бы одного прибора учета по объекту регулирования, указанного в ПСИ, истекает менее чем через 90 (девяносто) календарных дней на дату завершения вышеуказанной проверки, то проверка завершается с отрицательным результатом.</w:t>
      </w:r>
    </w:p>
    <w:p w14:paraId="6519987C" w14:textId="77777777" w:rsidR="001333B2" w:rsidRPr="00AD67C2" w:rsidRDefault="001333B2" w:rsidP="00AD67C2">
      <w:pPr>
        <w:widowControl w:val="0"/>
        <w:tabs>
          <w:tab w:val="left" w:pos="1077"/>
        </w:tabs>
        <w:suppressAutoHyphens w:val="0"/>
        <w:spacing w:before="120" w:after="120"/>
        <w:ind w:firstLine="601"/>
        <w:jc w:val="both"/>
        <w:rPr>
          <w:rFonts w:ascii="Garamond" w:eastAsia="Calibri" w:hAnsi="Garamond" w:cs="Times New Roman"/>
          <w:bCs/>
          <w:sz w:val="22"/>
          <w:szCs w:val="22"/>
          <w:lang w:eastAsia="en-US"/>
        </w:rPr>
      </w:pPr>
      <w:r w:rsidRPr="00AD67C2">
        <w:rPr>
          <w:rFonts w:ascii="Garamond" w:eastAsia="Calibri" w:hAnsi="Garamond" w:cs="Times New Roman"/>
          <w:bCs/>
          <w:sz w:val="22"/>
          <w:szCs w:val="22"/>
          <w:lang w:eastAsia="en-US"/>
        </w:rPr>
        <w:t xml:space="preserve">В случае отрицательного результата проверки, предусмотренной настоящим пунктом, КО в срок не позднее 1 (одного) рабочего дня с даты завершения указанной проверки информирует об этом заявителя через ПСЗ. Причины отрицательного результата вышеуказанной проверки указываются КО в составе уведомления о результатах проверки комплекта документов, направляемого КО заявителю в соответствии с п. </w:t>
      </w:r>
      <w:r w:rsidRPr="00AD67C2">
        <w:rPr>
          <w:rFonts w:ascii="Garamond" w:eastAsia="Calibri" w:hAnsi="Garamond" w:cs="Times New Roman"/>
          <w:bCs/>
          <w:sz w:val="22"/>
          <w:szCs w:val="22"/>
          <w:lang w:eastAsia="en-US"/>
        </w:rPr>
        <w:fldChar w:fldCharType="begin"/>
      </w:r>
      <w:r w:rsidRPr="00AD67C2">
        <w:rPr>
          <w:rFonts w:ascii="Garamond" w:eastAsia="Calibri" w:hAnsi="Garamond" w:cs="Times New Roman"/>
          <w:bCs/>
          <w:sz w:val="22"/>
          <w:szCs w:val="22"/>
          <w:lang w:eastAsia="en-US"/>
        </w:rPr>
        <w:instrText xml:space="preserve"> REF _Ref149301759 \r \h  \* MERGEFORMAT </w:instrText>
      </w:r>
      <w:r w:rsidRPr="00AD67C2">
        <w:rPr>
          <w:rFonts w:ascii="Garamond" w:eastAsia="Calibri" w:hAnsi="Garamond" w:cs="Times New Roman"/>
          <w:bCs/>
          <w:sz w:val="22"/>
          <w:szCs w:val="22"/>
          <w:lang w:eastAsia="en-US"/>
        </w:rPr>
      </w:r>
      <w:r w:rsidRPr="00AD67C2">
        <w:rPr>
          <w:rFonts w:ascii="Garamond" w:eastAsia="Calibri" w:hAnsi="Garamond" w:cs="Times New Roman"/>
          <w:bCs/>
          <w:sz w:val="22"/>
          <w:szCs w:val="22"/>
          <w:lang w:eastAsia="en-US"/>
        </w:rPr>
        <w:fldChar w:fldCharType="separate"/>
      </w:r>
      <w:r w:rsidRPr="00AD67C2">
        <w:rPr>
          <w:rFonts w:ascii="Garamond" w:eastAsia="Calibri" w:hAnsi="Garamond" w:cs="Times New Roman"/>
          <w:bCs/>
          <w:sz w:val="22"/>
          <w:szCs w:val="22"/>
          <w:lang w:eastAsia="en-US"/>
        </w:rPr>
        <w:t>3.11</w:t>
      </w:r>
      <w:r w:rsidRPr="00AD67C2">
        <w:rPr>
          <w:rFonts w:ascii="Garamond" w:eastAsia="Calibri" w:hAnsi="Garamond" w:cs="Times New Roman"/>
          <w:bCs/>
          <w:sz w:val="22"/>
          <w:szCs w:val="22"/>
          <w:lang w:eastAsia="en-US"/>
        </w:rPr>
        <w:fldChar w:fldCharType="end"/>
      </w:r>
      <w:r w:rsidRPr="00AD67C2">
        <w:rPr>
          <w:rFonts w:ascii="Garamond" w:eastAsia="Calibri" w:hAnsi="Garamond" w:cs="Times New Roman"/>
          <w:bCs/>
          <w:sz w:val="22"/>
          <w:szCs w:val="22"/>
          <w:lang w:eastAsia="en-US"/>
        </w:rPr>
        <w:t xml:space="preserve"> настоящего приложения. При этом процедура подтверждения соответствия системы учета техническим требованиям оптового рынка по объекту регулирования, предусмотренная настоящим пунктом, завершается с отрицательным результатом.</w:t>
      </w:r>
    </w:p>
    <w:p w14:paraId="21FBB533" w14:textId="6CA8F3EC" w:rsidR="001333B2" w:rsidRPr="00AD67C2" w:rsidRDefault="0013627E" w:rsidP="00AD67C2">
      <w:pPr>
        <w:widowControl w:val="0"/>
        <w:numPr>
          <w:ilvl w:val="2"/>
          <w:numId w:val="310"/>
        </w:numPr>
        <w:tabs>
          <w:tab w:val="left" w:pos="1077"/>
        </w:tabs>
        <w:suppressAutoHyphens w:val="0"/>
        <w:spacing w:before="120" w:after="120" w:line="259" w:lineRule="auto"/>
        <w:ind w:left="0" w:firstLine="601"/>
        <w:jc w:val="both"/>
        <w:outlineLvl w:val="1"/>
        <w:rPr>
          <w:rFonts w:ascii="Garamond" w:eastAsia="Calibri" w:hAnsi="Garamond" w:cs="Times New Roman"/>
          <w:bCs/>
          <w:sz w:val="22"/>
          <w:szCs w:val="22"/>
          <w:lang w:eastAsia="en-US"/>
        </w:rPr>
      </w:pPr>
      <w:bookmarkStart w:id="44" w:name="_Ref149308552"/>
      <w:r>
        <w:rPr>
          <w:rFonts w:ascii="Garamond" w:eastAsia="Calibri" w:hAnsi="Garamond" w:cs="Times New Roman"/>
          <w:bCs/>
          <w:sz w:val="22"/>
          <w:szCs w:val="22"/>
          <w:lang w:eastAsia="en-US"/>
        </w:rPr>
        <w:t xml:space="preserve"> </w:t>
      </w:r>
      <w:r w:rsidR="001333B2" w:rsidRPr="00AD67C2">
        <w:rPr>
          <w:rFonts w:ascii="Garamond" w:eastAsia="Calibri" w:hAnsi="Garamond" w:cs="Times New Roman"/>
          <w:bCs/>
          <w:sz w:val="22"/>
          <w:szCs w:val="22"/>
          <w:lang w:eastAsia="en-US"/>
        </w:rPr>
        <w:t xml:space="preserve">После завершения с положительным результатом проверок, предусмотренных </w:t>
      </w:r>
      <w:r>
        <w:rPr>
          <w:rFonts w:ascii="Garamond" w:eastAsia="Calibri" w:hAnsi="Garamond" w:cs="Times New Roman"/>
          <w:bCs/>
          <w:sz w:val="22"/>
          <w:szCs w:val="22"/>
          <w:lang w:eastAsia="en-US"/>
        </w:rPr>
        <w:t>п</w:t>
      </w:r>
      <w:r w:rsidR="001333B2" w:rsidRPr="00AD67C2">
        <w:rPr>
          <w:rFonts w:ascii="Garamond" w:eastAsia="Calibri" w:hAnsi="Garamond" w:cs="Times New Roman"/>
          <w:bCs/>
          <w:sz w:val="22"/>
          <w:szCs w:val="22"/>
          <w:lang w:eastAsia="en-US"/>
        </w:rPr>
        <w:t xml:space="preserve">п. </w:t>
      </w:r>
      <w:r w:rsidR="001333B2" w:rsidRPr="00AD67C2">
        <w:rPr>
          <w:rFonts w:ascii="Garamond" w:eastAsia="Calibri" w:hAnsi="Garamond" w:cs="Times New Roman"/>
          <w:bCs/>
          <w:sz w:val="22"/>
          <w:szCs w:val="22"/>
          <w:lang w:eastAsia="en-US"/>
        </w:rPr>
        <w:fldChar w:fldCharType="begin"/>
      </w:r>
      <w:r w:rsidR="001333B2" w:rsidRPr="00AD67C2">
        <w:rPr>
          <w:rFonts w:ascii="Garamond" w:eastAsia="Calibri" w:hAnsi="Garamond" w:cs="Times New Roman"/>
          <w:bCs/>
          <w:sz w:val="22"/>
          <w:szCs w:val="22"/>
          <w:lang w:eastAsia="en-US"/>
        </w:rPr>
        <w:instrText xml:space="preserve"> REF _Ref149308251 \r \h  \* MERGEFORMAT </w:instrText>
      </w:r>
      <w:r w:rsidR="001333B2" w:rsidRPr="00AD67C2">
        <w:rPr>
          <w:rFonts w:ascii="Garamond" w:eastAsia="Calibri" w:hAnsi="Garamond" w:cs="Times New Roman"/>
          <w:bCs/>
          <w:sz w:val="22"/>
          <w:szCs w:val="22"/>
          <w:lang w:eastAsia="en-US"/>
        </w:rPr>
      </w:r>
      <w:r w:rsidR="001333B2" w:rsidRPr="00AD67C2">
        <w:rPr>
          <w:rFonts w:ascii="Garamond" w:eastAsia="Calibri" w:hAnsi="Garamond" w:cs="Times New Roman"/>
          <w:bCs/>
          <w:sz w:val="22"/>
          <w:szCs w:val="22"/>
          <w:lang w:eastAsia="en-US"/>
        </w:rPr>
        <w:fldChar w:fldCharType="separate"/>
      </w:r>
      <w:r w:rsidR="001333B2" w:rsidRPr="00AD67C2">
        <w:rPr>
          <w:rFonts w:ascii="Garamond" w:eastAsia="Calibri" w:hAnsi="Garamond" w:cs="Times New Roman"/>
          <w:bCs/>
          <w:sz w:val="22"/>
          <w:szCs w:val="22"/>
          <w:lang w:eastAsia="en-US"/>
        </w:rPr>
        <w:t>3.7.1</w:t>
      </w:r>
      <w:r w:rsidR="001333B2" w:rsidRPr="00AD67C2">
        <w:rPr>
          <w:rFonts w:ascii="Garamond" w:eastAsia="Calibri" w:hAnsi="Garamond" w:cs="Times New Roman"/>
          <w:bCs/>
          <w:sz w:val="22"/>
          <w:szCs w:val="22"/>
          <w:lang w:eastAsia="en-US"/>
        </w:rPr>
        <w:fldChar w:fldCharType="end"/>
      </w:r>
      <w:r w:rsidR="001333B2" w:rsidRPr="00AD67C2">
        <w:rPr>
          <w:rFonts w:ascii="Garamond" w:eastAsia="Calibri" w:hAnsi="Garamond" w:cs="Times New Roman"/>
          <w:bCs/>
          <w:sz w:val="22"/>
          <w:szCs w:val="22"/>
          <w:lang w:eastAsia="en-US"/>
        </w:rPr>
        <w:t xml:space="preserve"> и </w:t>
      </w:r>
      <w:r w:rsidR="001333B2" w:rsidRPr="00AD67C2">
        <w:rPr>
          <w:rFonts w:ascii="Garamond" w:eastAsia="Calibri" w:hAnsi="Garamond" w:cs="Times New Roman"/>
          <w:bCs/>
          <w:sz w:val="22"/>
          <w:szCs w:val="22"/>
          <w:lang w:eastAsia="en-US"/>
        </w:rPr>
        <w:fldChar w:fldCharType="begin"/>
      </w:r>
      <w:r w:rsidR="001333B2" w:rsidRPr="00AD67C2">
        <w:rPr>
          <w:rFonts w:ascii="Garamond" w:eastAsia="Calibri" w:hAnsi="Garamond" w:cs="Times New Roman"/>
          <w:bCs/>
          <w:sz w:val="22"/>
          <w:szCs w:val="22"/>
          <w:lang w:eastAsia="en-US"/>
        </w:rPr>
        <w:instrText xml:space="preserve"> REF _Ref149308149 \r \h  \* MERGEFORMAT </w:instrText>
      </w:r>
      <w:r w:rsidR="001333B2" w:rsidRPr="00AD67C2">
        <w:rPr>
          <w:rFonts w:ascii="Garamond" w:eastAsia="Calibri" w:hAnsi="Garamond" w:cs="Times New Roman"/>
          <w:bCs/>
          <w:sz w:val="22"/>
          <w:szCs w:val="22"/>
          <w:lang w:eastAsia="en-US"/>
        </w:rPr>
      </w:r>
      <w:r w:rsidR="001333B2" w:rsidRPr="00AD67C2">
        <w:rPr>
          <w:rFonts w:ascii="Garamond" w:eastAsia="Calibri" w:hAnsi="Garamond" w:cs="Times New Roman"/>
          <w:bCs/>
          <w:sz w:val="22"/>
          <w:szCs w:val="22"/>
          <w:lang w:eastAsia="en-US"/>
        </w:rPr>
        <w:fldChar w:fldCharType="separate"/>
      </w:r>
      <w:r w:rsidR="001333B2" w:rsidRPr="00AD67C2">
        <w:rPr>
          <w:rFonts w:ascii="Garamond" w:eastAsia="Calibri" w:hAnsi="Garamond" w:cs="Times New Roman"/>
          <w:bCs/>
          <w:sz w:val="22"/>
          <w:szCs w:val="22"/>
          <w:lang w:eastAsia="en-US"/>
        </w:rPr>
        <w:t>3.8.1</w:t>
      </w:r>
      <w:r w:rsidR="001333B2" w:rsidRPr="00AD67C2">
        <w:rPr>
          <w:rFonts w:ascii="Garamond" w:eastAsia="Calibri" w:hAnsi="Garamond" w:cs="Times New Roman"/>
          <w:bCs/>
          <w:sz w:val="22"/>
          <w:szCs w:val="22"/>
          <w:lang w:eastAsia="en-US"/>
        </w:rPr>
        <w:fldChar w:fldCharType="end"/>
      </w:r>
      <w:r w:rsidR="001333B2" w:rsidRPr="00AD67C2">
        <w:rPr>
          <w:rFonts w:ascii="Garamond" w:eastAsia="Calibri" w:hAnsi="Garamond" w:cs="Times New Roman"/>
          <w:bCs/>
          <w:sz w:val="22"/>
          <w:szCs w:val="22"/>
          <w:lang w:eastAsia="en-US"/>
        </w:rPr>
        <w:t xml:space="preserve"> настоящего приложения, КО проводит испытания системы учета по объекту регулирования.</w:t>
      </w:r>
      <w:bookmarkEnd w:id="44"/>
    </w:p>
    <w:p w14:paraId="50632B6F" w14:textId="77777777" w:rsidR="001333B2" w:rsidRPr="00AD67C2" w:rsidRDefault="001333B2" w:rsidP="00AD67C2">
      <w:pPr>
        <w:widowControl w:val="0"/>
        <w:tabs>
          <w:tab w:val="left" w:pos="1077"/>
        </w:tabs>
        <w:suppressAutoHyphens w:val="0"/>
        <w:spacing w:before="120" w:after="120"/>
        <w:ind w:firstLine="601"/>
        <w:jc w:val="both"/>
        <w:rPr>
          <w:rFonts w:ascii="Garamond" w:eastAsia="Calibri" w:hAnsi="Garamond" w:cs="Times New Roman"/>
          <w:bCs/>
          <w:sz w:val="22"/>
          <w:szCs w:val="22"/>
          <w:lang w:eastAsia="en-US"/>
        </w:rPr>
      </w:pPr>
      <w:r w:rsidRPr="00AD67C2">
        <w:rPr>
          <w:rFonts w:ascii="Garamond" w:eastAsia="Calibri" w:hAnsi="Garamond" w:cs="Times New Roman"/>
          <w:bCs/>
          <w:sz w:val="22"/>
          <w:szCs w:val="22"/>
          <w:lang w:eastAsia="en-US"/>
        </w:rPr>
        <w:lastRenderedPageBreak/>
        <w:t>Испытания проводятся в соответствии с программой и методикой испытаний, приведенной в таблице 5 приложения 2 Приложения № 11.3 к настоящему Положению.</w:t>
      </w:r>
    </w:p>
    <w:p w14:paraId="07862D3A" w14:textId="77777777" w:rsidR="001333B2" w:rsidRPr="00AD67C2" w:rsidRDefault="001333B2" w:rsidP="00AD67C2">
      <w:pPr>
        <w:widowControl w:val="0"/>
        <w:tabs>
          <w:tab w:val="left" w:pos="1077"/>
        </w:tabs>
        <w:suppressAutoHyphens w:val="0"/>
        <w:spacing w:before="120" w:after="120"/>
        <w:ind w:firstLine="601"/>
        <w:jc w:val="both"/>
        <w:rPr>
          <w:rFonts w:ascii="Garamond" w:eastAsia="Calibri" w:hAnsi="Garamond" w:cs="Times New Roman"/>
          <w:bCs/>
          <w:sz w:val="22"/>
          <w:szCs w:val="22"/>
          <w:lang w:eastAsia="en-US"/>
        </w:rPr>
      </w:pPr>
      <w:r w:rsidRPr="00AD67C2">
        <w:rPr>
          <w:rFonts w:ascii="Garamond" w:eastAsia="Calibri" w:hAnsi="Garamond" w:cs="Times New Roman"/>
          <w:bCs/>
          <w:sz w:val="22"/>
          <w:szCs w:val="22"/>
          <w:lang w:eastAsia="en-US"/>
        </w:rPr>
        <w:t xml:space="preserve">Испытания проводятся в срок, не превышающий срок, указанный в п. </w:t>
      </w:r>
      <w:r w:rsidRPr="00AD67C2">
        <w:rPr>
          <w:rFonts w:ascii="Garamond" w:eastAsia="Calibri" w:hAnsi="Garamond" w:cs="Times New Roman"/>
          <w:bCs/>
          <w:sz w:val="22"/>
          <w:szCs w:val="22"/>
          <w:lang w:eastAsia="en-US"/>
        </w:rPr>
        <w:fldChar w:fldCharType="begin"/>
      </w:r>
      <w:r w:rsidRPr="00AD67C2">
        <w:rPr>
          <w:rFonts w:ascii="Garamond" w:eastAsia="Calibri" w:hAnsi="Garamond" w:cs="Times New Roman"/>
          <w:bCs/>
          <w:sz w:val="22"/>
          <w:szCs w:val="22"/>
          <w:lang w:eastAsia="en-US"/>
        </w:rPr>
        <w:instrText xml:space="preserve"> REF _Ref149308388 \r \h  \* MERGEFORMAT </w:instrText>
      </w:r>
      <w:r w:rsidRPr="00AD67C2">
        <w:rPr>
          <w:rFonts w:ascii="Garamond" w:eastAsia="Calibri" w:hAnsi="Garamond" w:cs="Times New Roman"/>
          <w:bCs/>
          <w:sz w:val="22"/>
          <w:szCs w:val="22"/>
          <w:lang w:eastAsia="en-US"/>
        </w:rPr>
      </w:r>
      <w:r w:rsidRPr="00AD67C2">
        <w:rPr>
          <w:rFonts w:ascii="Garamond" w:eastAsia="Calibri" w:hAnsi="Garamond" w:cs="Times New Roman"/>
          <w:bCs/>
          <w:sz w:val="22"/>
          <w:szCs w:val="22"/>
          <w:lang w:eastAsia="en-US"/>
        </w:rPr>
        <w:fldChar w:fldCharType="separate"/>
      </w:r>
      <w:r w:rsidRPr="00AD67C2">
        <w:rPr>
          <w:rFonts w:ascii="Garamond" w:eastAsia="Calibri" w:hAnsi="Garamond" w:cs="Times New Roman"/>
          <w:bCs/>
          <w:sz w:val="22"/>
          <w:szCs w:val="22"/>
          <w:lang w:eastAsia="en-US"/>
        </w:rPr>
        <w:t>3.8</w:t>
      </w:r>
      <w:r w:rsidRPr="00AD67C2">
        <w:rPr>
          <w:rFonts w:ascii="Garamond" w:eastAsia="Calibri" w:hAnsi="Garamond" w:cs="Times New Roman"/>
          <w:bCs/>
          <w:sz w:val="22"/>
          <w:szCs w:val="22"/>
          <w:lang w:eastAsia="en-US"/>
        </w:rPr>
        <w:fldChar w:fldCharType="end"/>
      </w:r>
      <w:r w:rsidRPr="00AD67C2">
        <w:rPr>
          <w:rFonts w:ascii="Garamond" w:eastAsia="Calibri" w:hAnsi="Garamond" w:cs="Times New Roman"/>
          <w:bCs/>
          <w:sz w:val="22"/>
          <w:szCs w:val="22"/>
          <w:lang w:eastAsia="en-US"/>
        </w:rPr>
        <w:t xml:space="preserve"> настоящего приложения, без учета времени ожидания выполнения требования по передаче результатов измерений в соответствии с п. </w:t>
      </w:r>
      <w:r w:rsidRPr="00AD67C2">
        <w:rPr>
          <w:rFonts w:ascii="Garamond" w:eastAsia="Calibri" w:hAnsi="Garamond" w:cs="Times New Roman"/>
          <w:bCs/>
          <w:sz w:val="22"/>
          <w:szCs w:val="22"/>
          <w:lang w:eastAsia="en-US"/>
        </w:rPr>
        <w:fldChar w:fldCharType="begin"/>
      </w:r>
      <w:r w:rsidRPr="00AD67C2">
        <w:rPr>
          <w:rFonts w:ascii="Garamond" w:eastAsia="Calibri" w:hAnsi="Garamond" w:cs="Times New Roman"/>
          <w:bCs/>
          <w:sz w:val="22"/>
          <w:szCs w:val="22"/>
          <w:lang w:eastAsia="en-US"/>
        </w:rPr>
        <w:instrText xml:space="preserve"> REF _Ref149308251 \r \h  \* MERGEFORMAT </w:instrText>
      </w:r>
      <w:r w:rsidRPr="00AD67C2">
        <w:rPr>
          <w:rFonts w:ascii="Garamond" w:eastAsia="Calibri" w:hAnsi="Garamond" w:cs="Times New Roman"/>
          <w:bCs/>
          <w:sz w:val="22"/>
          <w:szCs w:val="22"/>
          <w:lang w:eastAsia="en-US"/>
        </w:rPr>
      </w:r>
      <w:r w:rsidRPr="00AD67C2">
        <w:rPr>
          <w:rFonts w:ascii="Garamond" w:eastAsia="Calibri" w:hAnsi="Garamond" w:cs="Times New Roman"/>
          <w:bCs/>
          <w:sz w:val="22"/>
          <w:szCs w:val="22"/>
          <w:lang w:eastAsia="en-US"/>
        </w:rPr>
        <w:fldChar w:fldCharType="separate"/>
      </w:r>
      <w:r w:rsidRPr="00AD67C2">
        <w:rPr>
          <w:rFonts w:ascii="Garamond" w:eastAsia="Calibri" w:hAnsi="Garamond" w:cs="Times New Roman"/>
          <w:bCs/>
          <w:sz w:val="22"/>
          <w:szCs w:val="22"/>
          <w:lang w:eastAsia="en-US"/>
        </w:rPr>
        <w:t>3.7.1</w:t>
      </w:r>
      <w:r w:rsidRPr="00AD67C2">
        <w:rPr>
          <w:rFonts w:ascii="Garamond" w:eastAsia="Calibri" w:hAnsi="Garamond" w:cs="Times New Roman"/>
          <w:bCs/>
          <w:sz w:val="22"/>
          <w:szCs w:val="22"/>
          <w:lang w:eastAsia="en-US"/>
        </w:rPr>
        <w:fldChar w:fldCharType="end"/>
      </w:r>
      <w:r w:rsidRPr="00AD67C2">
        <w:rPr>
          <w:rFonts w:ascii="Garamond" w:eastAsia="Calibri" w:hAnsi="Garamond" w:cs="Times New Roman"/>
          <w:bCs/>
          <w:sz w:val="22"/>
          <w:szCs w:val="22"/>
          <w:lang w:eastAsia="en-US"/>
        </w:rPr>
        <w:t xml:space="preserve"> настоящего приложения.</w:t>
      </w:r>
    </w:p>
    <w:p w14:paraId="4181ACC3" w14:textId="2429FDD9" w:rsidR="001333B2" w:rsidRPr="00AD67C2" w:rsidRDefault="001333B2" w:rsidP="00AD67C2">
      <w:pPr>
        <w:widowControl w:val="0"/>
        <w:tabs>
          <w:tab w:val="left" w:pos="1077"/>
        </w:tabs>
        <w:suppressAutoHyphens w:val="0"/>
        <w:spacing w:before="120" w:after="120"/>
        <w:ind w:firstLine="601"/>
        <w:jc w:val="both"/>
        <w:rPr>
          <w:rFonts w:ascii="Garamond" w:eastAsia="Calibri" w:hAnsi="Garamond" w:cs="Times New Roman"/>
          <w:bCs/>
          <w:sz w:val="22"/>
          <w:szCs w:val="22"/>
          <w:lang w:eastAsia="en-US"/>
        </w:rPr>
      </w:pPr>
      <w:r w:rsidRPr="00AD67C2">
        <w:rPr>
          <w:rFonts w:ascii="Garamond" w:eastAsia="Calibri" w:hAnsi="Garamond" w:cs="Times New Roman"/>
          <w:bCs/>
          <w:sz w:val="22"/>
          <w:szCs w:val="22"/>
          <w:lang w:eastAsia="en-US"/>
        </w:rPr>
        <w:t xml:space="preserve">В случае проведения процедуры подтверждения соответствия системы учета техническим требованиям оптового рынка в рамках выполнения процедур, предусмотренных п. </w:t>
      </w:r>
      <w:r w:rsidRPr="00AD67C2">
        <w:rPr>
          <w:rFonts w:ascii="Garamond" w:eastAsia="Calibri" w:hAnsi="Garamond" w:cs="Times New Roman"/>
          <w:bCs/>
          <w:sz w:val="22"/>
          <w:szCs w:val="22"/>
          <w:lang w:eastAsia="en-US"/>
        </w:rPr>
        <w:fldChar w:fldCharType="begin"/>
      </w:r>
      <w:r w:rsidRPr="00AD67C2">
        <w:rPr>
          <w:rFonts w:ascii="Garamond" w:eastAsia="Calibri" w:hAnsi="Garamond" w:cs="Times New Roman"/>
          <w:bCs/>
          <w:sz w:val="22"/>
          <w:szCs w:val="22"/>
          <w:lang w:eastAsia="en-US"/>
        </w:rPr>
        <w:instrText xml:space="preserve"> REF _Ref149302018 \r \h </w:instrText>
      </w:r>
      <w:r w:rsidR="00AD67C2" w:rsidRPr="00AD67C2">
        <w:rPr>
          <w:rFonts w:ascii="Garamond" w:eastAsia="Calibri" w:hAnsi="Garamond" w:cs="Times New Roman"/>
          <w:bCs/>
          <w:sz w:val="22"/>
          <w:szCs w:val="22"/>
          <w:lang w:eastAsia="en-US"/>
        </w:rPr>
        <w:instrText xml:space="preserve"> \* MERGEFORMAT </w:instrText>
      </w:r>
      <w:r w:rsidRPr="00AD67C2">
        <w:rPr>
          <w:rFonts w:ascii="Garamond" w:eastAsia="Calibri" w:hAnsi="Garamond" w:cs="Times New Roman"/>
          <w:bCs/>
          <w:sz w:val="22"/>
          <w:szCs w:val="22"/>
          <w:lang w:eastAsia="en-US"/>
        </w:rPr>
      </w:r>
      <w:r w:rsidRPr="00AD67C2">
        <w:rPr>
          <w:rFonts w:ascii="Garamond" w:eastAsia="Calibri" w:hAnsi="Garamond" w:cs="Times New Roman"/>
          <w:bCs/>
          <w:sz w:val="22"/>
          <w:szCs w:val="22"/>
          <w:lang w:eastAsia="en-US"/>
        </w:rPr>
        <w:fldChar w:fldCharType="separate"/>
      </w:r>
      <w:r w:rsidRPr="00AD67C2">
        <w:rPr>
          <w:rFonts w:ascii="Garamond" w:eastAsia="Calibri" w:hAnsi="Garamond" w:cs="Times New Roman"/>
          <w:bCs/>
          <w:sz w:val="22"/>
          <w:szCs w:val="22"/>
          <w:lang w:eastAsia="en-US"/>
        </w:rPr>
        <w:t>3.12</w:t>
      </w:r>
      <w:r w:rsidRPr="00AD67C2">
        <w:rPr>
          <w:rFonts w:ascii="Garamond" w:eastAsia="Calibri" w:hAnsi="Garamond" w:cs="Times New Roman"/>
          <w:bCs/>
          <w:sz w:val="22"/>
          <w:szCs w:val="22"/>
          <w:lang w:eastAsia="en-US"/>
        </w:rPr>
        <w:fldChar w:fldCharType="end"/>
      </w:r>
      <w:r w:rsidRPr="00AD67C2">
        <w:rPr>
          <w:rFonts w:ascii="Garamond" w:eastAsia="Calibri" w:hAnsi="Garamond" w:cs="Times New Roman"/>
          <w:bCs/>
          <w:sz w:val="22"/>
          <w:szCs w:val="22"/>
          <w:lang w:eastAsia="en-US"/>
        </w:rPr>
        <w:t xml:space="preserve">, разделом 4 настоящего приложения, КО не проводятся испытания системы учета по объекту регулирования при одновременном выполнении всех нижеперечисленных условий </w:t>
      </w:r>
      <w:r w:rsidRPr="00AD67C2">
        <w:rPr>
          <w:rFonts w:ascii="Garamond" w:eastAsia="Times New Roman" w:hAnsi="Garamond" w:cs="Arial"/>
          <w:bCs/>
          <w:sz w:val="22"/>
          <w:szCs w:val="22"/>
          <w:lang w:eastAsia="en-US"/>
        </w:rPr>
        <w:t>и наличии в заявлении соответствующего требования заявителя</w:t>
      </w:r>
      <w:r w:rsidRPr="00AD67C2">
        <w:rPr>
          <w:rFonts w:ascii="Garamond" w:eastAsia="Calibri" w:hAnsi="Garamond" w:cs="Times New Roman"/>
          <w:bCs/>
          <w:sz w:val="22"/>
          <w:szCs w:val="22"/>
          <w:lang w:eastAsia="en-US"/>
        </w:rPr>
        <w:t>:</w:t>
      </w:r>
    </w:p>
    <w:p w14:paraId="26CD9281" w14:textId="71CE15A2" w:rsidR="001333B2" w:rsidRPr="00AD67C2" w:rsidRDefault="001333B2" w:rsidP="00AD67C2">
      <w:pPr>
        <w:widowControl w:val="0"/>
        <w:numPr>
          <w:ilvl w:val="0"/>
          <w:numId w:val="314"/>
        </w:numPr>
        <w:tabs>
          <w:tab w:val="left" w:pos="851"/>
          <w:tab w:val="left" w:pos="1077"/>
        </w:tabs>
        <w:suppressAutoHyphens w:val="0"/>
        <w:spacing w:before="120" w:after="120" w:line="259" w:lineRule="auto"/>
        <w:ind w:left="0" w:firstLine="601"/>
        <w:jc w:val="both"/>
        <w:rPr>
          <w:rFonts w:ascii="Garamond" w:eastAsia="Calibri" w:hAnsi="Garamond" w:cs="Times New Roman"/>
          <w:bCs/>
          <w:sz w:val="22"/>
          <w:szCs w:val="22"/>
          <w:lang w:eastAsia="en-US"/>
        </w:rPr>
      </w:pPr>
      <w:r w:rsidRPr="00AD67C2">
        <w:rPr>
          <w:rFonts w:ascii="Garamond" w:eastAsia="Calibri" w:hAnsi="Garamond" w:cs="Times New Roman"/>
          <w:bCs/>
          <w:sz w:val="22"/>
          <w:szCs w:val="22"/>
          <w:lang w:eastAsia="en-US"/>
        </w:rPr>
        <w:t xml:space="preserve">не истек срок в 4 года с даты регистрации протокола предыдущих испытаний системы учета на соответствие техническим требованиям оптового рынка (далее – протокол испытаний) по указанному объекту регулирования, завершившихся с положительным результатом. Под </w:t>
      </w:r>
      <w:r w:rsidR="00157C57">
        <w:rPr>
          <w:rFonts w:ascii="Garamond" w:eastAsia="Calibri" w:hAnsi="Garamond" w:cs="Times New Roman"/>
          <w:bCs/>
          <w:sz w:val="22"/>
          <w:szCs w:val="22"/>
          <w:lang w:eastAsia="en-US"/>
        </w:rPr>
        <w:t>«</w:t>
      </w:r>
      <w:r w:rsidRPr="00AD67C2">
        <w:rPr>
          <w:rFonts w:ascii="Garamond" w:eastAsia="Calibri" w:hAnsi="Garamond" w:cs="Times New Roman"/>
          <w:bCs/>
          <w:sz w:val="22"/>
          <w:szCs w:val="22"/>
          <w:lang w:eastAsia="en-US"/>
        </w:rPr>
        <w:t>протоколом предыдущих испытаний системы учета по указанному объекту регулирования</w:t>
      </w:r>
      <w:r w:rsidR="00157C57">
        <w:rPr>
          <w:rFonts w:ascii="Garamond" w:eastAsia="Calibri" w:hAnsi="Garamond" w:cs="Times New Roman"/>
          <w:bCs/>
          <w:sz w:val="22"/>
          <w:szCs w:val="22"/>
          <w:lang w:eastAsia="en-US"/>
        </w:rPr>
        <w:t>»</w:t>
      </w:r>
      <w:r w:rsidRPr="00AD67C2">
        <w:rPr>
          <w:rFonts w:ascii="Garamond" w:eastAsia="Calibri" w:hAnsi="Garamond" w:cs="Times New Roman"/>
          <w:bCs/>
          <w:sz w:val="22"/>
          <w:szCs w:val="22"/>
          <w:lang w:eastAsia="en-US"/>
        </w:rPr>
        <w:t xml:space="preserve"> понимается протокол испытаний системы учета, оформленный в порядке, предусмотренном настоящим пунктом, а также протокол проверки системы учета, оформленный в порядке, предусмотренном </w:t>
      </w:r>
      <w:r w:rsidRPr="00AD67C2">
        <w:rPr>
          <w:rFonts w:ascii="Garamond" w:eastAsia="Calibri" w:hAnsi="Garamond" w:cs="Times New Roman"/>
          <w:bCs/>
          <w:i/>
          <w:sz w:val="22"/>
          <w:szCs w:val="22"/>
          <w:lang w:eastAsia="en-US"/>
        </w:rPr>
        <w:t>Регламентом проведения проверок систем коммерческого учета субъектов оптового рынка</w:t>
      </w:r>
      <w:r w:rsidRPr="00AD67C2">
        <w:rPr>
          <w:rFonts w:ascii="Garamond" w:eastAsia="Calibri" w:hAnsi="Garamond" w:cs="Times New Roman"/>
          <w:bCs/>
          <w:sz w:val="22"/>
          <w:szCs w:val="22"/>
          <w:lang w:eastAsia="en-US"/>
        </w:rPr>
        <w:t xml:space="preserve"> (Приложение № 18 к </w:t>
      </w:r>
      <w:r w:rsidRPr="00AD67C2">
        <w:rPr>
          <w:rFonts w:ascii="Garamond" w:eastAsia="Calibri" w:hAnsi="Garamond" w:cs="Times New Roman"/>
          <w:bCs/>
          <w:i/>
          <w:sz w:val="22"/>
          <w:szCs w:val="22"/>
          <w:lang w:eastAsia="en-US"/>
        </w:rPr>
        <w:t>Договору о присоединении к торговой системе оптового рынка</w:t>
      </w:r>
      <w:r w:rsidRPr="00AD67C2">
        <w:rPr>
          <w:rFonts w:ascii="Garamond" w:eastAsia="Calibri" w:hAnsi="Garamond" w:cs="Times New Roman"/>
          <w:bCs/>
          <w:sz w:val="22"/>
          <w:szCs w:val="22"/>
          <w:lang w:eastAsia="en-US"/>
        </w:rPr>
        <w:t>);</w:t>
      </w:r>
    </w:p>
    <w:p w14:paraId="377A144A" w14:textId="77777777" w:rsidR="001333B2" w:rsidRPr="00AD67C2" w:rsidRDefault="001333B2" w:rsidP="00AD67C2">
      <w:pPr>
        <w:widowControl w:val="0"/>
        <w:numPr>
          <w:ilvl w:val="0"/>
          <w:numId w:val="314"/>
        </w:numPr>
        <w:tabs>
          <w:tab w:val="left" w:pos="851"/>
          <w:tab w:val="left" w:pos="1077"/>
        </w:tabs>
        <w:suppressAutoHyphens w:val="0"/>
        <w:spacing w:before="120" w:after="120" w:line="259" w:lineRule="auto"/>
        <w:ind w:left="0" w:firstLine="601"/>
        <w:jc w:val="both"/>
        <w:rPr>
          <w:rFonts w:ascii="Garamond" w:eastAsia="Calibri" w:hAnsi="Garamond" w:cs="Times New Roman"/>
          <w:bCs/>
          <w:sz w:val="22"/>
          <w:szCs w:val="22"/>
          <w:lang w:eastAsia="en-US"/>
        </w:rPr>
      </w:pPr>
      <w:r w:rsidRPr="00AD67C2">
        <w:rPr>
          <w:rFonts w:ascii="Garamond" w:eastAsia="Calibri" w:hAnsi="Garamond" w:cs="Times New Roman"/>
          <w:bCs/>
          <w:sz w:val="22"/>
          <w:szCs w:val="22"/>
          <w:lang w:eastAsia="en-US"/>
        </w:rPr>
        <w:t>все точки измерений по объекту регулирования включены в оформленный ранее протокол предыдущих испытаний системы учета.</w:t>
      </w:r>
    </w:p>
    <w:p w14:paraId="616921EA" w14:textId="77777777" w:rsidR="001333B2" w:rsidRPr="00AD67C2" w:rsidRDefault="001333B2" w:rsidP="00AD67C2">
      <w:pPr>
        <w:widowControl w:val="0"/>
        <w:tabs>
          <w:tab w:val="left" w:pos="1077"/>
        </w:tabs>
        <w:suppressAutoHyphens w:val="0"/>
        <w:spacing w:before="120" w:after="120"/>
        <w:ind w:firstLine="601"/>
        <w:jc w:val="both"/>
        <w:rPr>
          <w:rFonts w:ascii="Garamond" w:eastAsia="Calibri" w:hAnsi="Garamond" w:cs="Times New Roman"/>
          <w:bCs/>
          <w:sz w:val="22"/>
          <w:szCs w:val="22"/>
          <w:lang w:eastAsia="en-US"/>
        </w:rPr>
      </w:pPr>
      <w:r w:rsidRPr="00AD67C2">
        <w:rPr>
          <w:rFonts w:ascii="Garamond" w:eastAsia="Calibri" w:hAnsi="Garamond" w:cs="Times New Roman"/>
          <w:bCs/>
          <w:sz w:val="22"/>
          <w:szCs w:val="22"/>
          <w:lang w:eastAsia="en-US"/>
        </w:rPr>
        <w:t>Датой завершения испытаний считается дата регистрации КО протокола испытаний.</w:t>
      </w:r>
    </w:p>
    <w:p w14:paraId="1946EF58" w14:textId="77777777" w:rsidR="001333B2" w:rsidRPr="00AD67C2" w:rsidRDefault="001333B2" w:rsidP="00AD67C2">
      <w:pPr>
        <w:widowControl w:val="0"/>
        <w:tabs>
          <w:tab w:val="left" w:pos="1077"/>
        </w:tabs>
        <w:suppressAutoHyphens w:val="0"/>
        <w:spacing w:before="120" w:after="120"/>
        <w:ind w:firstLine="601"/>
        <w:jc w:val="both"/>
        <w:rPr>
          <w:rFonts w:ascii="Garamond" w:eastAsia="Calibri" w:hAnsi="Garamond" w:cs="Times New Roman"/>
          <w:bCs/>
          <w:sz w:val="22"/>
          <w:szCs w:val="22"/>
          <w:lang w:eastAsia="en-US"/>
        </w:rPr>
      </w:pPr>
      <w:r w:rsidRPr="00AD67C2">
        <w:rPr>
          <w:rFonts w:ascii="Garamond" w:eastAsia="Calibri" w:hAnsi="Garamond" w:cs="Times New Roman"/>
          <w:bCs/>
          <w:sz w:val="22"/>
          <w:szCs w:val="22"/>
          <w:lang w:eastAsia="en-US"/>
        </w:rPr>
        <w:t>Испытания проводятся в следующем порядке:</w:t>
      </w:r>
    </w:p>
    <w:p w14:paraId="5158B492" w14:textId="67275BE6" w:rsidR="001333B2" w:rsidRPr="00AD67C2" w:rsidRDefault="001333B2" w:rsidP="00AD67C2">
      <w:pPr>
        <w:widowControl w:val="0"/>
        <w:tabs>
          <w:tab w:val="left" w:pos="1077"/>
        </w:tabs>
        <w:suppressAutoHyphens w:val="0"/>
        <w:spacing w:before="120" w:after="120"/>
        <w:ind w:firstLine="601"/>
        <w:jc w:val="both"/>
        <w:rPr>
          <w:rFonts w:ascii="Garamond" w:eastAsia="Calibri" w:hAnsi="Garamond" w:cs="Times New Roman"/>
          <w:bCs/>
          <w:sz w:val="22"/>
          <w:szCs w:val="22"/>
          <w:lang w:eastAsia="en-US"/>
        </w:rPr>
      </w:pPr>
      <w:r w:rsidRPr="00AD67C2">
        <w:rPr>
          <w:rFonts w:ascii="Garamond" w:eastAsia="Calibri" w:hAnsi="Garamond" w:cs="Times New Roman"/>
          <w:bCs/>
          <w:sz w:val="22"/>
          <w:szCs w:val="22"/>
          <w:lang w:eastAsia="en-US"/>
        </w:rPr>
        <w:t xml:space="preserve">1. КО в срок не более 1 (одного) рабочего дня с даты выполнения требований п. </w:t>
      </w:r>
      <w:r w:rsidRPr="00AD67C2">
        <w:rPr>
          <w:rFonts w:ascii="Garamond" w:eastAsia="Calibri" w:hAnsi="Garamond" w:cs="Times New Roman"/>
          <w:bCs/>
          <w:sz w:val="22"/>
          <w:szCs w:val="22"/>
          <w:lang w:eastAsia="en-US"/>
        </w:rPr>
        <w:fldChar w:fldCharType="begin"/>
      </w:r>
      <w:r w:rsidRPr="00AD67C2">
        <w:rPr>
          <w:rFonts w:ascii="Garamond" w:eastAsia="Calibri" w:hAnsi="Garamond" w:cs="Times New Roman"/>
          <w:bCs/>
          <w:sz w:val="22"/>
          <w:szCs w:val="22"/>
          <w:lang w:eastAsia="en-US"/>
        </w:rPr>
        <w:instrText xml:space="preserve"> REF _Ref149308251 \r \h </w:instrText>
      </w:r>
      <w:r w:rsidR="00AD67C2" w:rsidRPr="00AD67C2">
        <w:rPr>
          <w:rFonts w:ascii="Garamond" w:eastAsia="Calibri" w:hAnsi="Garamond" w:cs="Times New Roman"/>
          <w:bCs/>
          <w:sz w:val="22"/>
          <w:szCs w:val="22"/>
          <w:lang w:eastAsia="en-US"/>
        </w:rPr>
        <w:instrText xml:space="preserve"> \* MERGEFORMAT </w:instrText>
      </w:r>
      <w:r w:rsidRPr="00AD67C2">
        <w:rPr>
          <w:rFonts w:ascii="Garamond" w:eastAsia="Calibri" w:hAnsi="Garamond" w:cs="Times New Roman"/>
          <w:bCs/>
          <w:sz w:val="22"/>
          <w:szCs w:val="22"/>
          <w:lang w:eastAsia="en-US"/>
        </w:rPr>
      </w:r>
      <w:r w:rsidRPr="00AD67C2">
        <w:rPr>
          <w:rFonts w:ascii="Garamond" w:eastAsia="Calibri" w:hAnsi="Garamond" w:cs="Times New Roman"/>
          <w:bCs/>
          <w:sz w:val="22"/>
          <w:szCs w:val="22"/>
          <w:lang w:eastAsia="en-US"/>
        </w:rPr>
        <w:fldChar w:fldCharType="separate"/>
      </w:r>
      <w:r w:rsidRPr="00AD67C2">
        <w:rPr>
          <w:rFonts w:ascii="Garamond" w:eastAsia="Calibri" w:hAnsi="Garamond" w:cs="Times New Roman"/>
          <w:bCs/>
          <w:sz w:val="22"/>
          <w:szCs w:val="22"/>
          <w:lang w:eastAsia="en-US"/>
        </w:rPr>
        <w:t>3.7.1</w:t>
      </w:r>
      <w:r w:rsidRPr="00AD67C2">
        <w:rPr>
          <w:rFonts w:ascii="Garamond" w:eastAsia="Calibri" w:hAnsi="Garamond" w:cs="Times New Roman"/>
          <w:bCs/>
          <w:sz w:val="22"/>
          <w:szCs w:val="22"/>
          <w:lang w:eastAsia="en-US"/>
        </w:rPr>
        <w:fldChar w:fldCharType="end"/>
      </w:r>
      <w:r w:rsidRPr="00AD67C2">
        <w:rPr>
          <w:rFonts w:ascii="Garamond" w:eastAsia="Calibri" w:hAnsi="Garamond" w:cs="Times New Roman"/>
          <w:bCs/>
          <w:sz w:val="22"/>
          <w:szCs w:val="22"/>
          <w:lang w:eastAsia="en-US"/>
        </w:rPr>
        <w:t xml:space="preserve"> настоящего приложения или в срок не более 3 (трех) рабочих дней с даты регистрации документов, предоставленных в соответствии с п. </w:t>
      </w:r>
      <w:r w:rsidRPr="00AD67C2">
        <w:rPr>
          <w:rFonts w:ascii="Garamond" w:eastAsia="Calibri" w:hAnsi="Garamond" w:cs="Times New Roman"/>
          <w:bCs/>
          <w:sz w:val="22"/>
          <w:szCs w:val="22"/>
          <w:lang w:eastAsia="en-US"/>
        </w:rPr>
        <w:fldChar w:fldCharType="begin"/>
      </w:r>
      <w:r w:rsidRPr="00AD67C2">
        <w:rPr>
          <w:rFonts w:ascii="Garamond" w:eastAsia="Calibri" w:hAnsi="Garamond" w:cs="Times New Roman"/>
          <w:bCs/>
          <w:sz w:val="22"/>
          <w:szCs w:val="22"/>
          <w:lang w:eastAsia="en-US"/>
        </w:rPr>
        <w:instrText xml:space="preserve"> REF _Ref149302018 \r \h </w:instrText>
      </w:r>
      <w:r w:rsidR="00AD67C2" w:rsidRPr="00AD67C2">
        <w:rPr>
          <w:rFonts w:ascii="Garamond" w:eastAsia="Calibri" w:hAnsi="Garamond" w:cs="Times New Roman"/>
          <w:bCs/>
          <w:sz w:val="22"/>
          <w:szCs w:val="22"/>
          <w:lang w:eastAsia="en-US"/>
        </w:rPr>
        <w:instrText xml:space="preserve"> \* MERGEFORMAT </w:instrText>
      </w:r>
      <w:r w:rsidRPr="00AD67C2">
        <w:rPr>
          <w:rFonts w:ascii="Garamond" w:eastAsia="Calibri" w:hAnsi="Garamond" w:cs="Times New Roman"/>
          <w:bCs/>
          <w:sz w:val="22"/>
          <w:szCs w:val="22"/>
          <w:lang w:eastAsia="en-US"/>
        </w:rPr>
      </w:r>
      <w:r w:rsidRPr="00AD67C2">
        <w:rPr>
          <w:rFonts w:ascii="Garamond" w:eastAsia="Calibri" w:hAnsi="Garamond" w:cs="Times New Roman"/>
          <w:bCs/>
          <w:sz w:val="22"/>
          <w:szCs w:val="22"/>
          <w:lang w:eastAsia="en-US"/>
        </w:rPr>
        <w:fldChar w:fldCharType="separate"/>
      </w:r>
      <w:r w:rsidRPr="00AD67C2">
        <w:rPr>
          <w:rFonts w:ascii="Garamond" w:eastAsia="Calibri" w:hAnsi="Garamond" w:cs="Times New Roman"/>
          <w:bCs/>
          <w:sz w:val="22"/>
          <w:szCs w:val="22"/>
          <w:lang w:eastAsia="en-US"/>
        </w:rPr>
        <w:t>3.12</w:t>
      </w:r>
      <w:r w:rsidRPr="00AD67C2">
        <w:rPr>
          <w:rFonts w:ascii="Garamond" w:eastAsia="Calibri" w:hAnsi="Garamond" w:cs="Times New Roman"/>
          <w:bCs/>
          <w:sz w:val="22"/>
          <w:szCs w:val="22"/>
          <w:lang w:eastAsia="en-US"/>
        </w:rPr>
        <w:fldChar w:fldCharType="end"/>
      </w:r>
      <w:r w:rsidRPr="00AD67C2">
        <w:rPr>
          <w:rFonts w:ascii="Garamond" w:eastAsia="Calibri" w:hAnsi="Garamond" w:cs="Times New Roman"/>
          <w:bCs/>
          <w:sz w:val="22"/>
          <w:szCs w:val="22"/>
          <w:lang w:eastAsia="en-US"/>
        </w:rPr>
        <w:t xml:space="preserve"> настоящего приложения (в случае если процедура проводится в соответствии с подпунктом «г» п. </w:t>
      </w:r>
      <w:r w:rsidRPr="00AD67C2">
        <w:rPr>
          <w:rFonts w:ascii="Garamond" w:eastAsia="Calibri" w:hAnsi="Garamond" w:cs="Times New Roman"/>
          <w:bCs/>
          <w:sz w:val="22"/>
          <w:szCs w:val="22"/>
          <w:lang w:eastAsia="en-US"/>
        </w:rPr>
        <w:fldChar w:fldCharType="begin"/>
      </w:r>
      <w:r w:rsidRPr="00AD67C2">
        <w:rPr>
          <w:rFonts w:ascii="Garamond" w:eastAsia="Calibri" w:hAnsi="Garamond" w:cs="Times New Roman"/>
          <w:bCs/>
          <w:sz w:val="22"/>
          <w:szCs w:val="22"/>
          <w:lang w:eastAsia="en-US"/>
        </w:rPr>
        <w:instrText xml:space="preserve"> REF _Ref149302018 \r \h </w:instrText>
      </w:r>
      <w:r w:rsidR="00AD67C2" w:rsidRPr="00AD67C2">
        <w:rPr>
          <w:rFonts w:ascii="Garamond" w:eastAsia="Calibri" w:hAnsi="Garamond" w:cs="Times New Roman"/>
          <w:bCs/>
          <w:sz w:val="22"/>
          <w:szCs w:val="22"/>
          <w:lang w:eastAsia="en-US"/>
        </w:rPr>
        <w:instrText xml:space="preserve"> \* MERGEFORMAT </w:instrText>
      </w:r>
      <w:r w:rsidRPr="00AD67C2">
        <w:rPr>
          <w:rFonts w:ascii="Garamond" w:eastAsia="Calibri" w:hAnsi="Garamond" w:cs="Times New Roman"/>
          <w:bCs/>
          <w:sz w:val="22"/>
          <w:szCs w:val="22"/>
          <w:lang w:eastAsia="en-US"/>
        </w:rPr>
      </w:r>
      <w:r w:rsidRPr="00AD67C2">
        <w:rPr>
          <w:rFonts w:ascii="Garamond" w:eastAsia="Calibri" w:hAnsi="Garamond" w:cs="Times New Roman"/>
          <w:bCs/>
          <w:sz w:val="22"/>
          <w:szCs w:val="22"/>
          <w:lang w:eastAsia="en-US"/>
        </w:rPr>
        <w:fldChar w:fldCharType="separate"/>
      </w:r>
      <w:r w:rsidRPr="00AD67C2">
        <w:rPr>
          <w:rFonts w:ascii="Garamond" w:eastAsia="Calibri" w:hAnsi="Garamond" w:cs="Times New Roman"/>
          <w:bCs/>
          <w:sz w:val="22"/>
          <w:szCs w:val="22"/>
          <w:lang w:eastAsia="en-US"/>
        </w:rPr>
        <w:t>3.12</w:t>
      </w:r>
      <w:r w:rsidRPr="00AD67C2">
        <w:rPr>
          <w:rFonts w:ascii="Garamond" w:eastAsia="Calibri" w:hAnsi="Garamond" w:cs="Times New Roman"/>
          <w:bCs/>
          <w:sz w:val="22"/>
          <w:szCs w:val="22"/>
          <w:lang w:eastAsia="en-US"/>
        </w:rPr>
        <w:fldChar w:fldCharType="end"/>
      </w:r>
      <w:r w:rsidRPr="00AD67C2">
        <w:rPr>
          <w:rFonts w:ascii="Garamond" w:eastAsia="Calibri" w:hAnsi="Garamond" w:cs="Times New Roman"/>
          <w:bCs/>
          <w:sz w:val="22"/>
          <w:szCs w:val="22"/>
          <w:lang w:eastAsia="en-US"/>
        </w:rPr>
        <w:t xml:space="preserve"> настоящего приложения), информирует заявителя через ПСЗ о сроках проведения испытаний и контактной информации представителя КО, ответственного за проведение указанных испытаний.</w:t>
      </w:r>
    </w:p>
    <w:p w14:paraId="53142851" w14:textId="77777777" w:rsidR="001333B2" w:rsidRPr="00AD67C2" w:rsidRDefault="001333B2" w:rsidP="00AD67C2">
      <w:pPr>
        <w:widowControl w:val="0"/>
        <w:tabs>
          <w:tab w:val="left" w:pos="1077"/>
        </w:tabs>
        <w:suppressAutoHyphens w:val="0"/>
        <w:spacing w:before="120" w:after="120"/>
        <w:ind w:firstLine="601"/>
        <w:jc w:val="both"/>
        <w:rPr>
          <w:rFonts w:ascii="Garamond" w:eastAsia="Calibri" w:hAnsi="Garamond" w:cs="Times New Roman"/>
          <w:bCs/>
          <w:sz w:val="22"/>
          <w:szCs w:val="22"/>
          <w:lang w:eastAsia="en-US"/>
        </w:rPr>
      </w:pPr>
      <w:r w:rsidRPr="00AD67C2">
        <w:rPr>
          <w:rFonts w:ascii="Garamond" w:eastAsia="Calibri" w:hAnsi="Garamond" w:cs="Times New Roman"/>
          <w:bCs/>
          <w:sz w:val="22"/>
          <w:szCs w:val="22"/>
          <w:lang w:eastAsia="en-US"/>
        </w:rPr>
        <w:t>После получения вышеуказанного информационного сообщения о сроках проведения испытаний заявителю необходимо до даты начала проведения испытаний направить по адресу электронной почты представителя КО, указанному в информационном сообщении, сканированные копии документов, подтверждающих полномочия их представителей на участие в испытаниях, либо в случае, если указанные документы ранее предоставлялись в КО, реквизиты соответствующих писем или доверенностей (рекомендуемая форма доверенности приведена в Приложении № 11.3 к настоящему Положению).</w:t>
      </w:r>
    </w:p>
    <w:p w14:paraId="475B9F1D" w14:textId="77777777" w:rsidR="001333B2" w:rsidRPr="00AD67C2" w:rsidRDefault="001333B2" w:rsidP="00AD67C2">
      <w:pPr>
        <w:widowControl w:val="0"/>
        <w:tabs>
          <w:tab w:val="left" w:pos="1077"/>
        </w:tabs>
        <w:suppressAutoHyphens w:val="0"/>
        <w:spacing w:before="120" w:after="120"/>
        <w:ind w:firstLine="601"/>
        <w:jc w:val="both"/>
        <w:rPr>
          <w:rFonts w:ascii="Garamond" w:eastAsia="Calibri" w:hAnsi="Garamond" w:cs="Times New Roman"/>
          <w:bCs/>
          <w:sz w:val="22"/>
          <w:szCs w:val="22"/>
          <w:lang w:eastAsia="en-US"/>
        </w:rPr>
      </w:pPr>
      <w:r w:rsidRPr="00AD67C2">
        <w:rPr>
          <w:rFonts w:ascii="Garamond" w:eastAsia="Calibri" w:hAnsi="Garamond" w:cs="Times New Roman"/>
          <w:bCs/>
          <w:sz w:val="22"/>
          <w:szCs w:val="22"/>
          <w:lang w:eastAsia="en-US"/>
        </w:rPr>
        <w:t>Продолжительность испытаний составляет не более 3 (трех) рабочих дней. Информация о дате (периоде) проведения испытаний содержится в информационном сообщении, направляемом в соответствии с настоящим пунктом.</w:t>
      </w:r>
    </w:p>
    <w:p w14:paraId="20F406C2" w14:textId="77777777" w:rsidR="001333B2" w:rsidRPr="00AD67C2" w:rsidRDefault="001333B2" w:rsidP="00AD67C2">
      <w:pPr>
        <w:widowControl w:val="0"/>
        <w:tabs>
          <w:tab w:val="left" w:pos="1077"/>
        </w:tabs>
        <w:suppressAutoHyphens w:val="0"/>
        <w:spacing w:before="120" w:after="120"/>
        <w:ind w:firstLine="601"/>
        <w:jc w:val="both"/>
        <w:rPr>
          <w:rFonts w:ascii="Garamond" w:eastAsia="Calibri" w:hAnsi="Garamond" w:cs="Times New Roman"/>
          <w:bCs/>
          <w:sz w:val="22"/>
          <w:szCs w:val="22"/>
          <w:lang w:eastAsia="en-US"/>
        </w:rPr>
      </w:pPr>
      <w:r w:rsidRPr="00AD67C2">
        <w:rPr>
          <w:rFonts w:ascii="Garamond" w:eastAsia="Calibri" w:hAnsi="Garamond" w:cs="Times New Roman"/>
          <w:bCs/>
          <w:sz w:val="22"/>
          <w:szCs w:val="22"/>
          <w:lang w:eastAsia="en-US"/>
        </w:rPr>
        <w:t>2. Испытания системы учета проводятся в удаленном режиме с предоставлением удаленного доступа КО к экрану ИВК (АРМ) системы учета заявителя путем использования функции демонстрации экрана специализированного программного обеспечения, при этом качество демонстрации экрана ИВК (АРМ) системы учета должно обеспечивать возможность идентификации</w:t>
      </w:r>
      <w:r w:rsidR="00BE7753" w:rsidRPr="00AD67C2">
        <w:rPr>
          <w:rFonts w:ascii="Garamond" w:eastAsia="Calibri" w:hAnsi="Garamond" w:cs="Times New Roman"/>
          <w:bCs/>
          <w:sz w:val="22"/>
          <w:szCs w:val="22"/>
          <w:lang w:eastAsia="en-US"/>
        </w:rPr>
        <w:t>,</w:t>
      </w:r>
      <w:r w:rsidRPr="00AD67C2">
        <w:rPr>
          <w:rFonts w:ascii="Garamond" w:eastAsia="Calibri" w:hAnsi="Garamond" w:cs="Times New Roman"/>
          <w:bCs/>
          <w:sz w:val="22"/>
          <w:szCs w:val="22"/>
          <w:lang w:eastAsia="en-US"/>
        </w:rPr>
        <w:t xml:space="preserve"> отображаемой на экране ИВК (АРМ) системы учета информации, а также возможность визуального контроля за выполнением действий со стороны заявителя. Перечень соответствующего программного обеспечения, с использованием которого могут быть проведены испытания системы учета, указан на официальном интернет-сайте Коммерческого оператора </w:t>
      </w:r>
      <w:hyperlink r:id="rId25" w:history="1">
        <w:r w:rsidRPr="00AD67C2">
          <w:rPr>
            <w:rFonts w:ascii="Garamond" w:eastAsia="Calibri" w:hAnsi="Garamond" w:cs="Times New Roman"/>
            <w:bCs/>
            <w:sz w:val="22"/>
            <w:szCs w:val="22"/>
            <w:lang w:eastAsia="en-US"/>
          </w:rPr>
          <w:t>www.atsenergo.ru</w:t>
        </w:r>
      </w:hyperlink>
      <w:r w:rsidRPr="00AD67C2">
        <w:rPr>
          <w:rFonts w:ascii="Garamond" w:eastAsia="Calibri" w:hAnsi="Garamond" w:cs="Times New Roman"/>
          <w:bCs/>
          <w:sz w:val="22"/>
          <w:szCs w:val="22"/>
          <w:lang w:eastAsia="en-US"/>
        </w:rPr>
        <w:t xml:space="preserve"> в разделе «Коммерческий учет» (далее – перечень ПО). </w:t>
      </w:r>
    </w:p>
    <w:p w14:paraId="4CB4178B" w14:textId="6BFD7AD7" w:rsidR="001333B2" w:rsidRPr="00AD67C2" w:rsidRDefault="001333B2" w:rsidP="00AD67C2">
      <w:pPr>
        <w:widowControl w:val="0"/>
        <w:tabs>
          <w:tab w:val="left" w:pos="1077"/>
        </w:tabs>
        <w:suppressAutoHyphens w:val="0"/>
        <w:spacing w:before="120" w:after="120"/>
        <w:ind w:firstLine="601"/>
        <w:jc w:val="both"/>
        <w:rPr>
          <w:rFonts w:ascii="Garamond" w:eastAsia="Calibri" w:hAnsi="Garamond" w:cs="Times New Roman"/>
          <w:bCs/>
          <w:sz w:val="22"/>
          <w:szCs w:val="22"/>
          <w:lang w:eastAsia="en-US"/>
        </w:rPr>
      </w:pPr>
      <w:r w:rsidRPr="00AD67C2">
        <w:rPr>
          <w:rFonts w:ascii="Garamond" w:eastAsia="Calibri" w:hAnsi="Garamond" w:cs="Times New Roman"/>
          <w:bCs/>
          <w:sz w:val="22"/>
          <w:szCs w:val="22"/>
          <w:lang w:eastAsia="en-US"/>
        </w:rPr>
        <w:t xml:space="preserve">Контактные данные представителя заявителя, ответственного за предоставление доступа КО к системе учета в удаленном режиме с использованием соответствующего специализированного программного обеспечения (Ф. И. О., номер телефона, адрес электронной почты, наименование специализированного программного обеспечения из перечня ПО), указываются в заявлении, направляемом в соответствии с п. </w:t>
      </w:r>
      <w:r w:rsidRPr="00AD67C2">
        <w:rPr>
          <w:rFonts w:ascii="Garamond" w:eastAsia="Calibri" w:hAnsi="Garamond" w:cs="Times New Roman"/>
          <w:bCs/>
          <w:sz w:val="22"/>
          <w:szCs w:val="22"/>
          <w:lang w:eastAsia="en-US"/>
        </w:rPr>
        <w:fldChar w:fldCharType="begin"/>
      </w:r>
      <w:r w:rsidRPr="00AD67C2">
        <w:rPr>
          <w:rFonts w:ascii="Garamond" w:eastAsia="Calibri" w:hAnsi="Garamond" w:cs="Times New Roman"/>
          <w:bCs/>
          <w:sz w:val="22"/>
          <w:szCs w:val="22"/>
          <w:lang w:eastAsia="en-US"/>
        </w:rPr>
        <w:instrText xml:space="preserve"> REF _Ref149311630 \r \h </w:instrText>
      </w:r>
      <w:r w:rsidR="00AD67C2" w:rsidRPr="00AD67C2">
        <w:rPr>
          <w:rFonts w:ascii="Garamond" w:eastAsia="Calibri" w:hAnsi="Garamond" w:cs="Times New Roman"/>
          <w:bCs/>
          <w:sz w:val="22"/>
          <w:szCs w:val="22"/>
          <w:lang w:eastAsia="en-US"/>
        </w:rPr>
        <w:instrText xml:space="preserve"> \* MERGEFORMAT </w:instrText>
      </w:r>
      <w:r w:rsidRPr="00AD67C2">
        <w:rPr>
          <w:rFonts w:ascii="Garamond" w:eastAsia="Calibri" w:hAnsi="Garamond" w:cs="Times New Roman"/>
          <w:bCs/>
          <w:sz w:val="22"/>
          <w:szCs w:val="22"/>
          <w:lang w:eastAsia="en-US"/>
        </w:rPr>
      </w:r>
      <w:r w:rsidRPr="00AD67C2">
        <w:rPr>
          <w:rFonts w:ascii="Garamond" w:eastAsia="Calibri" w:hAnsi="Garamond" w:cs="Times New Roman"/>
          <w:bCs/>
          <w:sz w:val="22"/>
          <w:szCs w:val="22"/>
          <w:lang w:eastAsia="en-US"/>
        </w:rPr>
        <w:fldChar w:fldCharType="separate"/>
      </w:r>
      <w:r w:rsidRPr="00AD67C2">
        <w:rPr>
          <w:rFonts w:ascii="Garamond" w:eastAsia="Calibri" w:hAnsi="Garamond" w:cs="Times New Roman"/>
          <w:bCs/>
          <w:sz w:val="22"/>
          <w:szCs w:val="22"/>
          <w:lang w:eastAsia="en-US"/>
        </w:rPr>
        <w:t>2.1</w:t>
      </w:r>
      <w:r w:rsidRPr="00AD67C2">
        <w:rPr>
          <w:rFonts w:ascii="Garamond" w:eastAsia="Calibri" w:hAnsi="Garamond" w:cs="Times New Roman"/>
          <w:bCs/>
          <w:sz w:val="22"/>
          <w:szCs w:val="22"/>
          <w:lang w:eastAsia="en-US"/>
        </w:rPr>
        <w:fldChar w:fldCharType="end"/>
      </w:r>
      <w:r w:rsidRPr="00AD67C2">
        <w:rPr>
          <w:rFonts w:ascii="Garamond" w:eastAsia="Calibri" w:hAnsi="Garamond" w:cs="Times New Roman"/>
          <w:bCs/>
          <w:sz w:val="22"/>
          <w:szCs w:val="22"/>
          <w:lang w:eastAsia="en-US"/>
        </w:rPr>
        <w:t xml:space="preserve"> настоящего приложения.</w:t>
      </w:r>
    </w:p>
    <w:p w14:paraId="33F80BE2" w14:textId="77777777" w:rsidR="001333B2" w:rsidRPr="00AD67C2" w:rsidRDefault="001333B2" w:rsidP="00AD67C2">
      <w:pPr>
        <w:widowControl w:val="0"/>
        <w:tabs>
          <w:tab w:val="left" w:pos="1077"/>
        </w:tabs>
        <w:suppressAutoHyphens w:val="0"/>
        <w:spacing w:before="120" w:after="120"/>
        <w:ind w:firstLine="601"/>
        <w:jc w:val="both"/>
        <w:rPr>
          <w:rFonts w:ascii="Garamond" w:eastAsia="Calibri" w:hAnsi="Garamond" w:cs="Times New Roman"/>
          <w:bCs/>
          <w:sz w:val="22"/>
          <w:szCs w:val="22"/>
          <w:lang w:eastAsia="en-US"/>
        </w:rPr>
      </w:pPr>
      <w:r w:rsidRPr="00AD67C2">
        <w:rPr>
          <w:rFonts w:ascii="Garamond" w:eastAsia="Calibri" w:hAnsi="Garamond" w:cs="Times New Roman"/>
          <w:bCs/>
          <w:sz w:val="22"/>
          <w:szCs w:val="22"/>
          <w:lang w:eastAsia="en-US"/>
        </w:rPr>
        <w:lastRenderedPageBreak/>
        <w:t>В случае отсутствия возможности использования заявителем программного обеспечения из перечня ПО испытания системы учета по предварительному согласованию с КО могут быть проведены путем трансляции в режиме онлайн экрана ИВК (АРМ) системы учета при выполнении действий, необходимых для подтверждения критерия параметра П</w:t>
      </w:r>
      <w:r w:rsidRPr="00AD67C2">
        <w:rPr>
          <w:rFonts w:ascii="Garamond" w:eastAsia="Calibri" w:hAnsi="Garamond" w:cs="Times New Roman"/>
          <w:bCs/>
          <w:sz w:val="22"/>
          <w:szCs w:val="22"/>
          <w:vertAlign w:val="subscript"/>
          <w:lang w:eastAsia="en-US"/>
        </w:rPr>
        <w:t>Ф32</w:t>
      </w:r>
      <w:r w:rsidRPr="00AD67C2">
        <w:rPr>
          <w:rFonts w:ascii="Garamond" w:eastAsia="Calibri" w:hAnsi="Garamond" w:cs="Times New Roman"/>
          <w:bCs/>
          <w:sz w:val="22"/>
          <w:szCs w:val="22"/>
          <w:lang w:eastAsia="en-US"/>
        </w:rPr>
        <w:t>. При этом качество видеотрансляции должно обеспечивать возможность идентификации</w:t>
      </w:r>
      <w:r w:rsidR="00BE7753" w:rsidRPr="00AD67C2">
        <w:rPr>
          <w:rFonts w:ascii="Garamond" w:eastAsia="Calibri" w:hAnsi="Garamond" w:cs="Times New Roman"/>
          <w:bCs/>
          <w:sz w:val="22"/>
          <w:szCs w:val="22"/>
          <w:lang w:eastAsia="en-US"/>
        </w:rPr>
        <w:t>,</w:t>
      </w:r>
      <w:r w:rsidRPr="00AD67C2">
        <w:rPr>
          <w:rFonts w:ascii="Garamond" w:eastAsia="Calibri" w:hAnsi="Garamond" w:cs="Times New Roman"/>
          <w:bCs/>
          <w:sz w:val="22"/>
          <w:szCs w:val="22"/>
          <w:lang w:eastAsia="en-US"/>
        </w:rPr>
        <w:t xml:space="preserve"> отображаемой на экране ИВК (АРМ) системы учета информации, а также возможность визуального контроля за выполнением действий со стороны заявителя (с разрешением не менее 1280×720 точек (пикселей) и частотой не менее 30 кадров в секунду).</w:t>
      </w:r>
    </w:p>
    <w:p w14:paraId="4DECB584" w14:textId="51E7591C" w:rsidR="001333B2" w:rsidRPr="00AD67C2" w:rsidRDefault="001333B2" w:rsidP="00AD67C2">
      <w:pPr>
        <w:widowControl w:val="0"/>
        <w:tabs>
          <w:tab w:val="left" w:pos="1077"/>
        </w:tabs>
        <w:suppressAutoHyphens w:val="0"/>
        <w:spacing w:before="120" w:after="120"/>
        <w:ind w:firstLine="601"/>
        <w:jc w:val="both"/>
        <w:rPr>
          <w:rFonts w:ascii="Garamond" w:eastAsia="Calibri" w:hAnsi="Garamond" w:cs="Times New Roman"/>
          <w:bCs/>
          <w:sz w:val="22"/>
          <w:szCs w:val="22"/>
          <w:lang w:eastAsia="en-US"/>
        </w:rPr>
      </w:pPr>
      <w:r w:rsidRPr="00AD67C2">
        <w:rPr>
          <w:rFonts w:ascii="Garamond" w:eastAsia="Calibri" w:hAnsi="Garamond" w:cs="Times New Roman"/>
          <w:bCs/>
          <w:sz w:val="22"/>
          <w:szCs w:val="22"/>
          <w:lang w:eastAsia="en-US"/>
        </w:rPr>
        <w:t>В случае если заявителем не обеспечено участие своего представителя в испытаниях в удаленном режиме или не направлены документы, подтверждающие его полномочия на участие в испытаниях системы учета, либо сведения о таких документах, а также в случае, если заявителем не обеспечено проведение испытаний системы учета в соответствии с требованиями настоящего пункта в срок, установленный в информационном сообщении КО, испытания системы учета завершаются с отрицательным результатом.</w:t>
      </w:r>
    </w:p>
    <w:p w14:paraId="0CFC6FAF" w14:textId="77777777" w:rsidR="001333B2" w:rsidRPr="00AD67C2" w:rsidRDefault="001333B2" w:rsidP="00AD67C2">
      <w:pPr>
        <w:widowControl w:val="0"/>
        <w:tabs>
          <w:tab w:val="left" w:pos="1077"/>
        </w:tabs>
        <w:suppressAutoHyphens w:val="0"/>
        <w:spacing w:before="120" w:after="120"/>
        <w:ind w:firstLine="601"/>
        <w:jc w:val="both"/>
        <w:rPr>
          <w:rFonts w:ascii="Garamond" w:eastAsia="Calibri" w:hAnsi="Garamond" w:cs="Times New Roman"/>
          <w:bCs/>
          <w:sz w:val="22"/>
          <w:szCs w:val="22"/>
          <w:lang w:eastAsia="en-US"/>
        </w:rPr>
      </w:pPr>
      <w:r w:rsidRPr="00AD67C2">
        <w:rPr>
          <w:rFonts w:ascii="Garamond" w:eastAsia="Calibri" w:hAnsi="Garamond" w:cs="Times New Roman"/>
          <w:bCs/>
          <w:sz w:val="22"/>
          <w:szCs w:val="22"/>
          <w:lang w:eastAsia="en-US"/>
        </w:rPr>
        <w:t>3. По результатам испытаний в срок не позднее 1 (одного) рабочего дня с даты проведения испытаний оформляется и регистрируется КО протокол испытаний.</w:t>
      </w:r>
    </w:p>
    <w:p w14:paraId="4B55412C" w14:textId="77777777" w:rsidR="001333B2" w:rsidRPr="00AD67C2" w:rsidRDefault="001333B2" w:rsidP="00AD67C2">
      <w:pPr>
        <w:widowControl w:val="0"/>
        <w:tabs>
          <w:tab w:val="left" w:pos="1077"/>
        </w:tabs>
        <w:suppressAutoHyphens w:val="0"/>
        <w:spacing w:before="120" w:after="120"/>
        <w:ind w:firstLine="601"/>
        <w:jc w:val="both"/>
        <w:rPr>
          <w:rFonts w:ascii="Garamond" w:eastAsia="Calibri" w:hAnsi="Garamond" w:cs="Times New Roman"/>
          <w:bCs/>
          <w:sz w:val="22"/>
          <w:szCs w:val="22"/>
          <w:lang w:eastAsia="en-US"/>
        </w:rPr>
      </w:pPr>
      <w:r w:rsidRPr="00AD67C2">
        <w:rPr>
          <w:rFonts w:ascii="Garamond" w:eastAsia="Calibri" w:hAnsi="Garamond" w:cs="Times New Roman"/>
          <w:bCs/>
          <w:sz w:val="22"/>
          <w:szCs w:val="22"/>
          <w:lang w:eastAsia="en-US"/>
        </w:rPr>
        <w:t>Протокол испытаний оформляется КО в электронном виде без ЭП и направляется заявителю для ознакомления на электронные адреса лиц, указанных в заявлении о проведении процедуры регистрации объекта регулирования.</w:t>
      </w:r>
    </w:p>
    <w:p w14:paraId="20B22275" w14:textId="2362D0A8" w:rsidR="001333B2" w:rsidRPr="00AD67C2" w:rsidRDefault="001333B2" w:rsidP="00AD67C2">
      <w:pPr>
        <w:widowControl w:val="0"/>
        <w:tabs>
          <w:tab w:val="left" w:pos="1077"/>
        </w:tabs>
        <w:suppressAutoHyphens w:val="0"/>
        <w:spacing w:before="120" w:after="120"/>
        <w:ind w:firstLine="601"/>
        <w:jc w:val="both"/>
        <w:rPr>
          <w:rFonts w:ascii="Garamond" w:eastAsia="Calibri" w:hAnsi="Garamond" w:cs="Times New Roman"/>
          <w:bCs/>
          <w:sz w:val="22"/>
          <w:szCs w:val="22"/>
          <w:lang w:eastAsia="en-US"/>
        </w:rPr>
      </w:pPr>
      <w:r w:rsidRPr="00AD67C2">
        <w:rPr>
          <w:rFonts w:ascii="Garamond" w:eastAsia="Calibri" w:hAnsi="Garamond" w:cs="Times New Roman"/>
          <w:bCs/>
          <w:sz w:val="22"/>
          <w:szCs w:val="22"/>
          <w:lang w:eastAsia="en-US"/>
        </w:rPr>
        <w:t xml:space="preserve">4. При отрицательном результате испытаний КО в срок не позднее 1 (одного) рабочего дня с даты завершения испытаний информирует об этом заявителя через ПСЗ. Причины отрицательного результата испытаний указываются КО в составе уведомления о результатах проверки комплекта документов, направляемого КО заявителю в соответствии с п. </w:t>
      </w:r>
      <w:r w:rsidRPr="00AD67C2">
        <w:rPr>
          <w:rFonts w:ascii="Garamond" w:eastAsia="Calibri" w:hAnsi="Garamond" w:cs="Times New Roman"/>
          <w:bCs/>
          <w:sz w:val="22"/>
          <w:szCs w:val="22"/>
          <w:lang w:eastAsia="en-US"/>
        </w:rPr>
        <w:fldChar w:fldCharType="begin"/>
      </w:r>
      <w:r w:rsidRPr="00AD67C2">
        <w:rPr>
          <w:rFonts w:ascii="Garamond" w:eastAsia="Calibri" w:hAnsi="Garamond" w:cs="Times New Roman"/>
          <w:bCs/>
          <w:sz w:val="22"/>
          <w:szCs w:val="22"/>
          <w:lang w:eastAsia="en-US"/>
        </w:rPr>
        <w:instrText xml:space="preserve"> REF _Ref149301759 \r \h </w:instrText>
      </w:r>
      <w:r w:rsidR="00AD67C2" w:rsidRPr="00AD67C2">
        <w:rPr>
          <w:rFonts w:ascii="Garamond" w:eastAsia="Calibri" w:hAnsi="Garamond" w:cs="Times New Roman"/>
          <w:bCs/>
          <w:sz w:val="22"/>
          <w:szCs w:val="22"/>
          <w:lang w:eastAsia="en-US"/>
        </w:rPr>
        <w:instrText xml:space="preserve"> \* MERGEFORMAT </w:instrText>
      </w:r>
      <w:r w:rsidRPr="00AD67C2">
        <w:rPr>
          <w:rFonts w:ascii="Garamond" w:eastAsia="Calibri" w:hAnsi="Garamond" w:cs="Times New Roman"/>
          <w:bCs/>
          <w:sz w:val="22"/>
          <w:szCs w:val="22"/>
          <w:lang w:eastAsia="en-US"/>
        </w:rPr>
      </w:r>
      <w:r w:rsidRPr="00AD67C2">
        <w:rPr>
          <w:rFonts w:ascii="Garamond" w:eastAsia="Calibri" w:hAnsi="Garamond" w:cs="Times New Roman"/>
          <w:bCs/>
          <w:sz w:val="22"/>
          <w:szCs w:val="22"/>
          <w:lang w:eastAsia="en-US"/>
        </w:rPr>
        <w:fldChar w:fldCharType="separate"/>
      </w:r>
      <w:r w:rsidRPr="00AD67C2">
        <w:rPr>
          <w:rFonts w:ascii="Garamond" w:eastAsia="Calibri" w:hAnsi="Garamond" w:cs="Times New Roman"/>
          <w:bCs/>
          <w:sz w:val="22"/>
          <w:szCs w:val="22"/>
          <w:lang w:eastAsia="en-US"/>
        </w:rPr>
        <w:t>3.11</w:t>
      </w:r>
      <w:r w:rsidRPr="00AD67C2">
        <w:rPr>
          <w:rFonts w:ascii="Garamond" w:eastAsia="Calibri" w:hAnsi="Garamond" w:cs="Times New Roman"/>
          <w:bCs/>
          <w:sz w:val="22"/>
          <w:szCs w:val="22"/>
          <w:lang w:eastAsia="en-US"/>
        </w:rPr>
        <w:fldChar w:fldCharType="end"/>
      </w:r>
      <w:r w:rsidRPr="00AD67C2">
        <w:rPr>
          <w:rFonts w:ascii="Garamond" w:eastAsia="Calibri" w:hAnsi="Garamond" w:cs="Times New Roman"/>
          <w:bCs/>
          <w:sz w:val="22"/>
          <w:szCs w:val="22"/>
          <w:lang w:eastAsia="en-US"/>
        </w:rPr>
        <w:t xml:space="preserve"> настоящего приложения. При этом процедура подтверждения соответствия системы учета техническим требованиям оптового рынка по объекту регулирования, предусмотренная п. </w:t>
      </w:r>
      <w:r w:rsidRPr="00AD67C2">
        <w:rPr>
          <w:rFonts w:ascii="Garamond" w:eastAsia="Calibri" w:hAnsi="Garamond" w:cs="Times New Roman"/>
          <w:bCs/>
          <w:sz w:val="22"/>
          <w:szCs w:val="22"/>
          <w:lang w:eastAsia="en-US"/>
        </w:rPr>
        <w:fldChar w:fldCharType="begin"/>
      </w:r>
      <w:r w:rsidRPr="00AD67C2">
        <w:rPr>
          <w:rFonts w:ascii="Garamond" w:eastAsia="Calibri" w:hAnsi="Garamond" w:cs="Times New Roman"/>
          <w:bCs/>
          <w:sz w:val="22"/>
          <w:szCs w:val="22"/>
          <w:lang w:eastAsia="en-US"/>
        </w:rPr>
        <w:instrText xml:space="preserve"> REF _Ref149308388 \r \h </w:instrText>
      </w:r>
      <w:r w:rsidR="00AD67C2" w:rsidRPr="00AD67C2">
        <w:rPr>
          <w:rFonts w:ascii="Garamond" w:eastAsia="Calibri" w:hAnsi="Garamond" w:cs="Times New Roman"/>
          <w:bCs/>
          <w:sz w:val="22"/>
          <w:szCs w:val="22"/>
          <w:lang w:eastAsia="en-US"/>
        </w:rPr>
        <w:instrText xml:space="preserve"> \* MERGEFORMAT </w:instrText>
      </w:r>
      <w:r w:rsidRPr="00AD67C2">
        <w:rPr>
          <w:rFonts w:ascii="Garamond" w:eastAsia="Calibri" w:hAnsi="Garamond" w:cs="Times New Roman"/>
          <w:bCs/>
          <w:sz w:val="22"/>
          <w:szCs w:val="22"/>
          <w:lang w:eastAsia="en-US"/>
        </w:rPr>
      </w:r>
      <w:r w:rsidRPr="00AD67C2">
        <w:rPr>
          <w:rFonts w:ascii="Garamond" w:eastAsia="Calibri" w:hAnsi="Garamond" w:cs="Times New Roman"/>
          <w:bCs/>
          <w:sz w:val="22"/>
          <w:szCs w:val="22"/>
          <w:lang w:eastAsia="en-US"/>
        </w:rPr>
        <w:fldChar w:fldCharType="separate"/>
      </w:r>
      <w:r w:rsidRPr="00AD67C2">
        <w:rPr>
          <w:rFonts w:ascii="Garamond" w:eastAsia="Calibri" w:hAnsi="Garamond" w:cs="Times New Roman"/>
          <w:bCs/>
          <w:sz w:val="22"/>
          <w:szCs w:val="22"/>
          <w:lang w:eastAsia="en-US"/>
        </w:rPr>
        <w:t>3.8</w:t>
      </w:r>
      <w:r w:rsidRPr="00AD67C2">
        <w:rPr>
          <w:rFonts w:ascii="Garamond" w:eastAsia="Calibri" w:hAnsi="Garamond" w:cs="Times New Roman"/>
          <w:bCs/>
          <w:sz w:val="22"/>
          <w:szCs w:val="22"/>
          <w:lang w:eastAsia="en-US"/>
        </w:rPr>
        <w:fldChar w:fldCharType="end"/>
      </w:r>
      <w:r w:rsidRPr="00AD67C2">
        <w:rPr>
          <w:rFonts w:ascii="Garamond" w:eastAsia="Calibri" w:hAnsi="Garamond" w:cs="Times New Roman"/>
          <w:bCs/>
          <w:sz w:val="22"/>
          <w:szCs w:val="22"/>
          <w:lang w:eastAsia="en-US"/>
        </w:rPr>
        <w:t xml:space="preserve"> настоящего приложения, завершается с отрицательным результатом.</w:t>
      </w:r>
    </w:p>
    <w:p w14:paraId="6CE0A470" w14:textId="4526711D" w:rsidR="001333B2" w:rsidRPr="00AD67C2" w:rsidRDefault="001333B2" w:rsidP="00AD67C2">
      <w:pPr>
        <w:widowControl w:val="0"/>
        <w:tabs>
          <w:tab w:val="left" w:pos="1077"/>
        </w:tabs>
        <w:suppressAutoHyphens w:val="0"/>
        <w:spacing w:before="120" w:after="120"/>
        <w:ind w:firstLine="601"/>
        <w:jc w:val="both"/>
        <w:rPr>
          <w:rFonts w:ascii="Garamond" w:eastAsia="Calibri" w:hAnsi="Garamond" w:cs="Times New Roman"/>
          <w:bCs/>
          <w:sz w:val="22"/>
          <w:szCs w:val="22"/>
          <w:lang w:eastAsia="en-US"/>
        </w:rPr>
      </w:pPr>
      <w:r w:rsidRPr="00AD67C2">
        <w:rPr>
          <w:rFonts w:ascii="Garamond" w:eastAsia="Calibri" w:hAnsi="Garamond" w:cs="Times New Roman"/>
          <w:bCs/>
          <w:sz w:val="22"/>
          <w:szCs w:val="22"/>
          <w:lang w:eastAsia="en-US"/>
        </w:rPr>
        <w:t xml:space="preserve">5. Заявитель в срок не более 60 (шестидесяти) календарных дней с даты направления уведомления в соответствии с п. </w:t>
      </w:r>
      <w:r w:rsidRPr="00AD67C2">
        <w:rPr>
          <w:rFonts w:ascii="Garamond" w:eastAsia="Calibri" w:hAnsi="Garamond" w:cs="Times New Roman"/>
          <w:bCs/>
          <w:sz w:val="22"/>
          <w:szCs w:val="22"/>
          <w:lang w:eastAsia="en-US"/>
        </w:rPr>
        <w:fldChar w:fldCharType="begin"/>
      </w:r>
      <w:r w:rsidRPr="00AD67C2">
        <w:rPr>
          <w:rFonts w:ascii="Garamond" w:eastAsia="Calibri" w:hAnsi="Garamond" w:cs="Times New Roman"/>
          <w:bCs/>
          <w:sz w:val="22"/>
          <w:szCs w:val="22"/>
          <w:lang w:eastAsia="en-US"/>
        </w:rPr>
        <w:instrText xml:space="preserve"> REF _Ref149301759 \r \h </w:instrText>
      </w:r>
      <w:r w:rsidR="00AD67C2" w:rsidRPr="00AD67C2">
        <w:rPr>
          <w:rFonts w:ascii="Garamond" w:eastAsia="Calibri" w:hAnsi="Garamond" w:cs="Times New Roman"/>
          <w:bCs/>
          <w:sz w:val="22"/>
          <w:szCs w:val="22"/>
          <w:lang w:eastAsia="en-US"/>
        </w:rPr>
        <w:instrText xml:space="preserve"> \* MERGEFORMAT </w:instrText>
      </w:r>
      <w:r w:rsidRPr="00AD67C2">
        <w:rPr>
          <w:rFonts w:ascii="Garamond" w:eastAsia="Calibri" w:hAnsi="Garamond" w:cs="Times New Roman"/>
          <w:bCs/>
          <w:sz w:val="22"/>
          <w:szCs w:val="22"/>
          <w:lang w:eastAsia="en-US"/>
        </w:rPr>
      </w:r>
      <w:r w:rsidRPr="00AD67C2">
        <w:rPr>
          <w:rFonts w:ascii="Garamond" w:eastAsia="Calibri" w:hAnsi="Garamond" w:cs="Times New Roman"/>
          <w:bCs/>
          <w:sz w:val="22"/>
          <w:szCs w:val="22"/>
          <w:lang w:eastAsia="en-US"/>
        </w:rPr>
        <w:fldChar w:fldCharType="separate"/>
      </w:r>
      <w:r w:rsidRPr="00AD67C2">
        <w:rPr>
          <w:rFonts w:ascii="Garamond" w:eastAsia="Calibri" w:hAnsi="Garamond" w:cs="Times New Roman"/>
          <w:bCs/>
          <w:sz w:val="22"/>
          <w:szCs w:val="22"/>
          <w:lang w:eastAsia="en-US"/>
        </w:rPr>
        <w:t>3.11</w:t>
      </w:r>
      <w:r w:rsidRPr="00AD67C2">
        <w:rPr>
          <w:rFonts w:ascii="Garamond" w:eastAsia="Calibri" w:hAnsi="Garamond" w:cs="Times New Roman"/>
          <w:bCs/>
          <w:sz w:val="22"/>
          <w:szCs w:val="22"/>
          <w:lang w:eastAsia="en-US"/>
        </w:rPr>
        <w:fldChar w:fldCharType="end"/>
      </w:r>
      <w:r w:rsidRPr="00AD67C2">
        <w:rPr>
          <w:rFonts w:ascii="Garamond" w:eastAsia="Calibri" w:hAnsi="Garamond" w:cs="Times New Roman"/>
          <w:bCs/>
          <w:sz w:val="22"/>
          <w:szCs w:val="22"/>
          <w:lang w:eastAsia="en-US"/>
        </w:rPr>
        <w:t xml:space="preserve"> настоящего приложения должен устранить выявленные несоответствия и направить в КО заявление о проведении повторных испытаний по форме 4, указанной в настоящем приложении (код формы </w:t>
      </w:r>
      <w:r w:rsidR="0013627E">
        <w:rPr>
          <w:rFonts w:ascii="Garamond" w:eastAsia="Calibri" w:hAnsi="Garamond" w:cs="Times New Roman"/>
          <w:bCs/>
          <w:sz w:val="22"/>
          <w:szCs w:val="22"/>
          <w:lang w:eastAsia="en-US"/>
        </w:rPr>
        <w:t>PART_ATS_</w:t>
      </w:r>
      <w:r w:rsidRPr="00AD67C2">
        <w:rPr>
          <w:rFonts w:ascii="Garamond" w:eastAsia="Calibri" w:hAnsi="Garamond" w:cs="Times New Roman"/>
          <w:bCs/>
          <w:sz w:val="22"/>
          <w:szCs w:val="22"/>
          <w:lang w:eastAsia="en-US"/>
        </w:rPr>
        <w:t>POVT_ISP_OREG_</w:t>
      </w:r>
      <w:r w:rsidRPr="00AD67C2">
        <w:rPr>
          <w:rFonts w:ascii="Garamond" w:eastAsia="Calibri" w:hAnsi="Garamond" w:cs="Times New Roman"/>
          <w:bCs/>
          <w:sz w:val="22"/>
          <w:szCs w:val="22"/>
          <w:lang w:val="en-US" w:eastAsia="en-US"/>
        </w:rPr>
        <w:t>WEB</w:t>
      </w:r>
      <w:r w:rsidRPr="00AD67C2">
        <w:rPr>
          <w:rFonts w:ascii="Garamond" w:eastAsia="Calibri" w:hAnsi="Garamond" w:cs="Times New Roman"/>
          <w:bCs/>
          <w:sz w:val="22"/>
          <w:szCs w:val="22"/>
          <w:lang w:eastAsia="en-US"/>
        </w:rPr>
        <w:t>).</w:t>
      </w:r>
    </w:p>
    <w:p w14:paraId="011156E6" w14:textId="67E6A034" w:rsidR="001333B2" w:rsidRPr="00AD67C2" w:rsidRDefault="001333B2" w:rsidP="00AD67C2">
      <w:pPr>
        <w:widowControl w:val="0"/>
        <w:tabs>
          <w:tab w:val="left" w:pos="1077"/>
        </w:tabs>
        <w:suppressAutoHyphens w:val="0"/>
        <w:spacing w:before="120" w:after="120"/>
        <w:ind w:firstLine="601"/>
        <w:jc w:val="both"/>
        <w:rPr>
          <w:rFonts w:ascii="Garamond" w:eastAsia="Calibri" w:hAnsi="Garamond" w:cs="Times New Roman"/>
          <w:bCs/>
          <w:sz w:val="22"/>
          <w:szCs w:val="22"/>
          <w:lang w:eastAsia="en-US"/>
        </w:rPr>
      </w:pPr>
      <w:r w:rsidRPr="00AD67C2">
        <w:rPr>
          <w:rFonts w:ascii="Garamond" w:eastAsia="Calibri" w:hAnsi="Garamond" w:cs="Times New Roman"/>
          <w:bCs/>
          <w:sz w:val="22"/>
          <w:szCs w:val="22"/>
          <w:lang w:eastAsia="en-US"/>
        </w:rPr>
        <w:t xml:space="preserve">В случае если устранение замечаний в порядке, предусмотренном п. </w:t>
      </w:r>
      <w:r w:rsidRPr="00AD67C2">
        <w:rPr>
          <w:rFonts w:ascii="Garamond" w:eastAsia="Calibri" w:hAnsi="Garamond" w:cs="Times New Roman"/>
          <w:bCs/>
          <w:sz w:val="22"/>
          <w:szCs w:val="22"/>
          <w:lang w:eastAsia="en-US"/>
        </w:rPr>
        <w:fldChar w:fldCharType="begin"/>
      </w:r>
      <w:r w:rsidRPr="00AD67C2">
        <w:rPr>
          <w:rFonts w:ascii="Garamond" w:eastAsia="Calibri" w:hAnsi="Garamond" w:cs="Times New Roman"/>
          <w:bCs/>
          <w:sz w:val="22"/>
          <w:szCs w:val="22"/>
          <w:lang w:eastAsia="en-US"/>
        </w:rPr>
        <w:instrText xml:space="preserve"> REF _Ref149302018 \r \h </w:instrText>
      </w:r>
      <w:r w:rsidR="00AD67C2" w:rsidRPr="00AD67C2">
        <w:rPr>
          <w:rFonts w:ascii="Garamond" w:eastAsia="Calibri" w:hAnsi="Garamond" w:cs="Times New Roman"/>
          <w:bCs/>
          <w:sz w:val="22"/>
          <w:szCs w:val="22"/>
          <w:lang w:eastAsia="en-US"/>
        </w:rPr>
        <w:instrText xml:space="preserve"> \* MERGEFORMAT </w:instrText>
      </w:r>
      <w:r w:rsidRPr="00AD67C2">
        <w:rPr>
          <w:rFonts w:ascii="Garamond" w:eastAsia="Calibri" w:hAnsi="Garamond" w:cs="Times New Roman"/>
          <w:bCs/>
          <w:sz w:val="22"/>
          <w:szCs w:val="22"/>
          <w:lang w:eastAsia="en-US"/>
        </w:rPr>
      </w:r>
      <w:r w:rsidRPr="00AD67C2">
        <w:rPr>
          <w:rFonts w:ascii="Garamond" w:eastAsia="Calibri" w:hAnsi="Garamond" w:cs="Times New Roman"/>
          <w:bCs/>
          <w:sz w:val="22"/>
          <w:szCs w:val="22"/>
          <w:lang w:eastAsia="en-US"/>
        </w:rPr>
        <w:fldChar w:fldCharType="separate"/>
      </w:r>
      <w:r w:rsidRPr="00AD67C2">
        <w:rPr>
          <w:rFonts w:ascii="Garamond" w:eastAsia="Calibri" w:hAnsi="Garamond" w:cs="Times New Roman"/>
          <w:bCs/>
          <w:sz w:val="22"/>
          <w:szCs w:val="22"/>
          <w:lang w:eastAsia="en-US"/>
        </w:rPr>
        <w:t>3.12</w:t>
      </w:r>
      <w:r w:rsidRPr="00AD67C2">
        <w:rPr>
          <w:rFonts w:ascii="Garamond" w:eastAsia="Calibri" w:hAnsi="Garamond" w:cs="Times New Roman"/>
          <w:bCs/>
          <w:sz w:val="22"/>
          <w:szCs w:val="22"/>
          <w:lang w:eastAsia="en-US"/>
        </w:rPr>
        <w:fldChar w:fldCharType="end"/>
      </w:r>
      <w:r w:rsidRPr="00AD67C2">
        <w:rPr>
          <w:rFonts w:ascii="Garamond" w:eastAsia="Calibri" w:hAnsi="Garamond" w:cs="Times New Roman"/>
          <w:bCs/>
          <w:sz w:val="22"/>
          <w:szCs w:val="22"/>
          <w:lang w:eastAsia="en-US"/>
        </w:rPr>
        <w:t xml:space="preserve"> настоящего приложения, не влечет проведение повторной процедуры кодирования в соответствии с подпунктом «в» п. </w:t>
      </w:r>
      <w:r w:rsidRPr="00AD67C2">
        <w:rPr>
          <w:rFonts w:ascii="Garamond" w:eastAsia="Calibri" w:hAnsi="Garamond" w:cs="Times New Roman"/>
          <w:bCs/>
          <w:sz w:val="22"/>
          <w:szCs w:val="22"/>
          <w:lang w:eastAsia="en-US"/>
        </w:rPr>
        <w:fldChar w:fldCharType="begin"/>
      </w:r>
      <w:r w:rsidRPr="00AD67C2">
        <w:rPr>
          <w:rFonts w:ascii="Garamond" w:eastAsia="Calibri" w:hAnsi="Garamond" w:cs="Times New Roman"/>
          <w:bCs/>
          <w:sz w:val="22"/>
          <w:szCs w:val="22"/>
          <w:lang w:eastAsia="en-US"/>
        </w:rPr>
        <w:instrText xml:space="preserve"> REF _Ref149302018 \r \h </w:instrText>
      </w:r>
      <w:r w:rsidR="00AD67C2" w:rsidRPr="00AD67C2">
        <w:rPr>
          <w:rFonts w:ascii="Garamond" w:eastAsia="Calibri" w:hAnsi="Garamond" w:cs="Times New Roman"/>
          <w:bCs/>
          <w:sz w:val="22"/>
          <w:szCs w:val="22"/>
          <w:lang w:eastAsia="en-US"/>
        </w:rPr>
        <w:instrText xml:space="preserve"> \* MERGEFORMAT </w:instrText>
      </w:r>
      <w:r w:rsidRPr="00AD67C2">
        <w:rPr>
          <w:rFonts w:ascii="Garamond" w:eastAsia="Calibri" w:hAnsi="Garamond" w:cs="Times New Roman"/>
          <w:bCs/>
          <w:sz w:val="22"/>
          <w:szCs w:val="22"/>
          <w:lang w:eastAsia="en-US"/>
        </w:rPr>
      </w:r>
      <w:r w:rsidRPr="00AD67C2">
        <w:rPr>
          <w:rFonts w:ascii="Garamond" w:eastAsia="Calibri" w:hAnsi="Garamond" w:cs="Times New Roman"/>
          <w:bCs/>
          <w:sz w:val="22"/>
          <w:szCs w:val="22"/>
          <w:lang w:eastAsia="en-US"/>
        </w:rPr>
        <w:fldChar w:fldCharType="separate"/>
      </w:r>
      <w:r w:rsidRPr="00AD67C2">
        <w:rPr>
          <w:rFonts w:ascii="Garamond" w:eastAsia="Calibri" w:hAnsi="Garamond" w:cs="Times New Roman"/>
          <w:bCs/>
          <w:sz w:val="22"/>
          <w:szCs w:val="22"/>
          <w:lang w:eastAsia="en-US"/>
        </w:rPr>
        <w:t>3.12</w:t>
      </w:r>
      <w:r w:rsidRPr="00AD67C2">
        <w:rPr>
          <w:rFonts w:ascii="Garamond" w:eastAsia="Calibri" w:hAnsi="Garamond" w:cs="Times New Roman"/>
          <w:bCs/>
          <w:sz w:val="22"/>
          <w:szCs w:val="22"/>
          <w:lang w:eastAsia="en-US"/>
        </w:rPr>
        <w:fldChar w:fldCharType="end"/>
      </w:r>
      <w:r w:rsidRPr="00AD67C2">
        <w:rPr>
          <w:rFonts w:ascii="Garamond" w:eastAsia="Calibri" w:hAnsi="Garamond" w:cs="Times New Roman"/>
          <w:bCs/>
          <w:sz w:val="22"/>
          <w:szCs w:val="22"/>
          <w:lang w:eastAsia="en-US"/>
        </w:rPr>
        <w:t xml:space="preserve"> настоящего приложения, то повторная проверка, предусмотренная п. </w:t>
      </w:r>
      <w:r w:rsidRPr="00AD67C2">
        <w:rPr>
          <w:rFonts w:ascii="Garamond" w:eastAsia="Calibri" w:hAnsi="Garamond" w:cs="Times New Roman"/>
          <w:bCs/>
          <w:sz w:val="22"/>
          <w:szCs w:val="22"/>
          <w:lang w:eastAsia="en-US"/>
        </w:rPr>
        <w:fldChar w:fldCharType="begin"/>
      </w:r>
      <w:r w:rsidRPr="00AD67C2">
        <w:rPr>
          <w:rFonts w:ascii="Garamond" w:eastAsia="Calibri" w:hAnsi="Garamond" w:cs="Times New Roman"/>
          <w:bCs/>
          <w:sz w:val="22"/>
          <w:szCs w:val="22"/>
          <w:lang w:eastAsia="en-US"/>
        </w:rPr>
        <w:instrText xml:space="preserve"> REF _Ref149308149 \r \h </w:instrText>
      </w:r>
      <w:r w:rsidR="00AD67C2" w:rsidRPr="00AD67C2">
        <w:rPr>
          <w:rFonts w:ascii="Garamond" w:eastAsia="Calibri" w:hAnsi="Garamond" w:cs="Times New Roman"/>
          <w:bCs/>
          <w:sz w:val="22"/>
          <w:szCs w:val="22"/>
          <w:lang w:eastAsia="en-US"/>
        </w:rPr>
        <w:instrText xml:space="preserve"> \* MERGEFORMAT </w:instrText>
      </w:r>
      <w:r w:rsidRPr="00AD67C2">
        <w:rPr>
          <w:rFonts w:ascii="Garamond" w:eastAsia="Calibri" w:hAnsi="Garamond" w:cs="Times New Roman"/>
          <w:bCs/>
          <w:sz w:val="22"/>
          <w:szCs w:val="22"/>
          <w:lang w:eastAsia="en-US"/>
        </w:rPr>
      </w:r>
      <w:r w:rsidRPr="00AD67C2">
        <w:rPr>
          <w:rFonts w:ascii="Garamond" w:eastAsia="Calibri" w:hAnsi="Garamond" w:cs="Times New Roman"/>
          <w:bCs/>
          <w:sz w:val="22"/>
          <w:szCs w:val="22"/>
          <w:lang w:eastAsia="en-US"/>
        </w:rPr>
        <w:fldChar w:fldCharType="separate"/>
      </w:r>
      <w:r w:rsidRPr="00AD67C2">
        <w:rPr>
          <w:rFonts w:ascii="Garamond" w:eastAsia="Calibri" w:hAnsi="Garamond" w:cs="Times New Roman"/>
          <w:bCs/>
          <w:sz w:val="22"/>
          <w:szCs w:val="22"/>
          <w:lang w:eastAsia="en-US"/>
        </w:rPr>
        <w:t>3.8.1</w:t>
      </w:r>
      <w:r w:rsidRPr="00AD67C2">
        <w:rPr>
          <w:rFonts w:ascii="Garamond" w:eastAsia="Calibri" w:hAnsi="Garamond" w:cs="Times New Roman"/>
          <w:bCs/>
          <w:sz w:val="22"/>
          <w:szCs w:val="22"/>
          <w:lang w:eastAsia="en-US"/>
        </w:rPr>
        <w:fldChar w:fldCharType="end"/>
      </w:r>
      <w:r w:rsidRPr="00AD67C2">
        <w:rPr>
          <w:rFonts w:ascii="Garamond" w:eastAsia="Calibri" w:hAnsi="Garamond" w:cs="Times New Roman"/>
          <w:bCs/>
          <w:sz w:val="22"/>
          <w:szCs w:val="22"/>
          <w:lang w:eastAsia="en-US"/>
        </w:rPr>
        <w:t xml:space="preserve"> настоящего приложения, не проводится.</w:t>
      </w:r>
    </w:p>
    <w:p w14:paraId="113F72ED" w14:textId="1FD63CFE" w:rsidR="001333B2" w:rsidRPr="00AD67C2" w:rsidRDefault="001333B2" w:rsidP="00AD67C2">
      <w:pPr>
        <w:widowControl w:val="0"/>
        <w:numPr>
          <w:ilvl w:val="2"/>
          <w:numId w:val="310"/>
        </w:numPr>
        <w:tabs>
          <w:tab w:val="left" w:pos="1077"/>
        </w:tabs>
        <w:suppressAutoHyphens w:val="0"/>
        <w:spacing w:before="120" w:after="120" w:line="259" w:lineRule="auto"/>
        <w:ind w:left="0" w:firstLine="601"/>
        <w:jc w:val="both"/>
        <w:outlineLvl w:val="1"/>
        <w:rPr>
          <w:rFonts w:ascii="Garamond" w:eastAsia="Calibri" w:hAnsi="Garamond" w:cs="Times New Roman"/>
          <w:bCs/>
          <w:sz w:val="22"/>
          <w:szCs w:val="22"/>
          <w:lang w:eastAsia="en-US"/>
        </w:rPr>
      </w:pPr>
      <w:r w:rsidRPr="00AD67C2">
        <w:rPr>
          <w:rFonts w:ascii="Garamond" w:eastAsia="Calibri" w:hAnsi="Garamond" w:cs="Times New Roman"/>
          <w:bCs/>
          <w:sz w:val="22"/>
          <w:szCs w:val="22"/>
          <w:lang w:eastAsia="en-US"/>
        </w:rPr>
        <w:t xml:space="preserve">В случае завершения с отрицательным результатом проверок, предусмотренных </w:t>
      </w:r>
      <w:r w:rsidR="0013627E">
        <w:rPr>
          <w:rFonts w:ascii="Garamond" w:eastAsia="Calibri" w:hAnsi="Garamond" w:cs="Times New Roman"/>
          <w:bCs/>
          <w:sz w:val="22"/>
          <w:szCs w:val="22"/>
          <w:lang w:eastAsia="en-US"/>
        </w:rPr>
        <w:t>п</w:t>
      </w:r>
      <w:r w:rsidRPr="00AD67C2">
        <w:rPr>
          <w:rFonts w:ascii="Garamond" w:eastAsia="Calibri" w:hAnsi="Garamond" w:cs="Times New Roman"/>
          <w:bCs/>
          <w:sz w:val="22"/>
          <w:szCs w:val="22"/>
          <w:lang w:eastAsia="en-US"/>
        </w:rPr>
        <w:t xml:space="preserve">п. </w:t>
      </w:r>
      <w:r w:rsidRPr="00AD67C2">
        <w:rPr>
          <w:rFonts w:ascii="Garamond" w:eastAsia="Calibri" w:hAnsi="Garamond" w:cs="Times New Roman"/>
          <w:bCs/>
          <w:sz w:val="22"/>
          <w:szCs w:val="22"/>
          <w:lang w:eastAsia="en-US"/>
        </w:rPr>
        <w:fldChar w:fldCharType="begin"/>
      </w:r>
      <w:r w:rsidRPr="00AD67C2">
        <w:rPr>
          <w:rFonts w:ascii="Garamond" w:eastAsia="Calibri" w:hAnsi="Garamond" w:cs="Times New Roman"/>
          <w:bCs/>
          <w:sz w:val="22"/>
          <w:szCs w:val="22"/>
          <w:lang w:eastAsia="en-US"/>
        </w:rPr>
        <w:instrText xml:space="preserve"> REF _Ref149320909 \r \h  \* MERGEFORMAT </w:instrText>
      </w:r>
      <w:r w:rsidRPr="00AD67C2">
        <w:rPr>
          <w:rFonts w:ascii="Garamond" w:eastAsia="Calibri" w:hAnsi="Garamond" w:cs="Times New Roman"/>
          <w:bCs/>
          <w:sz w:val="22"/>
          <w:szCs w:val="22"/>
          <w:lang w:eastAsia="en-US"/>
        </w:rPr>
      </w:r>
      <w:r w:rsidRPr="00AD67C2">
        <w:rPr>
          <w:rFonts w:ascii="Garamond" w:eastAsia="Calibri" w:hAnsi="Garamond" w:cs="Times New Roman"/>
          <w:bCs/>
          <w:sz w:val="22"/>
          <w:szCs w:val="22"/>
          <w:lang w:eastAsia="en-US"/>
        </w:rPr>
        <w:fldChar w:fldCharType="separate"/>
      </w:r>
      <w:r w:rsidRPr="00AD67C2">
        <w:rPr>
          <w:rFonts w:ascii="Garamond" w:eastAsia="Calibri" w:hAnsi="Garamond" w:cs="Times New Roman"/>
          <w:bCs/>
          <w:sz w:val="22"/>
          <w:szCs w:val="22"/>
          <w:lang w:eastAsia="en-US"/>
        </w:rPr>
        <w:t>3.6</w:t>
      </w:r>
      <w:r w:rsidRPr="00AD67C2">
        <w:rPr>
          <w:rFonts w:ascii="Garamond" w:eastAsia="Calibri" w:hAnsi="Garamond" w:cs="Times New Roman"/>
          <w:bCs/>
          <w:sz w:val="22"/>
          <w:szCs w:val="22"/>
          <w:lang w:eastAsia="en-US"/>
        </w:rPr>
        <w:fldChar w:fldCharType="end"/>
      </w:r>
      <w:r w:rsidRPr="00AD67C2">
        <w:rPr>
          <w:rFonts w:ascii="Garamond" w:eastAsia="Calibri" w:hAnsi="Garamond" w:cs="Times New Roman"/>
          <w:bCs/>
          <w:sz w:val="22"/>
          <w:szCs w:val="22"/>
          <w:lang w:eastAsia="en-US"/>
        </w:rPr>
        <w:t xml:space="preserve">, </w:t>
      </w:r>
      <w:r w:rsidRPr="00AD67C2">
        <w:rPr>
          <w:rFonts w:ascii="Garamond" w:eastAsia="Calibri" w:hAnsi="Garamond" w:cs="Times New Roman"/>
          <w:bCs/>
          <w:sz w:val="22"/>
          <w:szCs w:val="22"/>
          <w:lang w:eastAsia="en-US"/>
        </w:rPr>
        <w:fldChar w:fldCharType="begin"/>
      </w:r>
      <w:r w:rsidRPr="00AD67C2">
        <w:rPr>
          <w:rFonts w:ascii="Garamond" w:eastAsia="Calibri" w:hAnsi="Garamond" w:cs="Times New Roman"/>
          <w:bCs/>
          <w:sz w:val="22"/>
          <w:szCs w:val="22"/>
          <w:lang w:eastAsia="en-US"/>
        </w:rPr>
        <w:instrText xml:space="preserve"> REF _Ref149308251 \r \h  \* MERGEFORMAT </w:instrText>
      </w:r>
      <w:r w:rsidRPr="00AD67C2">
        <w:rPr>
          <w:rFonts w:ascii="Garamond" w:eastAsia="Calibri" w:hAnsi="Garamond" w:cs="Times New Roman"/>
          <w:bCs/>
          <w:sz w:val="22"/>
          <w:szCs w:val="22"/>
          <w:lang w:eastAsia="en-US"/>
        </w:rPr>
      </w:r>
      <w:r w:rsidRPr="00AD67C2">
        <w:rPr>
          <w:rFonts w:ascii="Garamond" w:eastAsia="Calibri" w:hAnsi="Garamond" w:cs="Times New Roman"/>
          <w:bCs/>
          <w:sz w:val="22"/>
          <w:szCs w:val="22"/>
          <w:lang w:eastAsia="en-US"/>
        </w:rPr>
        <w:fldChar w:fldCharType="separate"/>
      </w:r>
      <w:r w:rsidRPr="00AD67C2">
        <w:rPr>
          <w:rFonts w:ascii="Garamond" w:eastAsia="Calibri" w:hAnsi="Garamond" w:cs="Times New Roman"/>
          <w:bCs/>
          <w:sz w:val="22"/>
          <w:szCs w:val="22"/>
          <w:lang w:eastAsia="en-US"/>
        </w:rPr>
        <w:t>3.7.1</w:t>
      </w:r>
      <w:r w:rsidRPr="00AD67C2">
        <w:rPr>
          <w:rFonts w:ascii="Garamond" w:eastAsia="Calibri" w:hAnsi="Garamond" w:cs="Times New Roman"/>
          <w:bCs/>
          <w:sz w:val="22"/>
          <w:szCs w:val="22"/>
          <w:lang w:eastAsia="en-US"/>
        </w:rPr>
        <w:fldChar w:fldCharType="end"/>
      </w:r>
      <w:r w:rsidRPr="00AD67C2">
        <w:rPr>
          <w:rFonts w:ascii="Garamond" w:eastAsia="Calibri" w:hAnsi="Garamond" w:cs="Times New Roman"/>
          <w:bCs/>
          <w:sz w:val="22"/>
          <w:szCs w:val="22"/>
          <w:lang w:eastAsia="en-US"/>
        </w:rPr>
        <w:t xml:space="preserve"> настоящего приложения, испытания системы учета заявителя в порядке, предусмотренном п. </w:t>
      </w:r>
      <w:bookmarkStart w:id="45" w:name="КУ"/>
      <w:bookmarkEnd w:id="45"/>
      <w:r w:rsidRPr="00AD67C2">
        <w:rPr>
          <w:rFonts w:ascii="Garamond" w:eastAsia="Calibri" w:hAnsi="Garamond" w:cs="Times New Roman"/>
          <w:bCs/>
          <w:sz w:val="22"/>
          <w:szCs w:val="22"/>
          <w:lang w:eastAsia="en-US"/>
        </w:rPr>
        <w:fldChar w:fldCharType="begin"/>
      </w:r>
      <w:r w:rsidRPr="00AD67C2">
        <w:rPr>
          <w:rFonts w:ascii="Garamond" w:eastAsia="Calibri" w:hAnsi="Garamond" w:cs="Times New Roman"/>
          <w:bCs/>
          <w:sz w:val="22"/>
          <w:szCs w:val="22"/>
          <w:lang w:eastAsia="en-US"/>
        </w:rPr>
        <w:instrText xml:space="preserve"> REF _Ref149308552 \r \h  \* MERGEFORMAT </w:instrText>
      </w:r>
      <w:r w:rsidRPr="00AD67C2">
        <w:rPr>
          <w:rFonts w:ascii="Garamond" w:eastAsia="Calibri" w:hAnsi="Garamond" w:cs="Times New Roman"/>
          <w:bCs/>
          <w:sz w:val="22"/>
          <w:szCs w:val="22"/>
          <w:lang w:eastAsia="en-US"/>
        </w:rPr>
      </w:r>
      <w:r w:rsidRPr="00AD67C2">
        <w:rPr>
          <w:rFonts w:ascii="Garamond" w:eastAsia="Calibri" w:hAnsi="Garamond" w:cs="Times New Roman"/>
          <w:bCs/>
          <w:sz w:val="22"/>
          <w:szCs w:val="22"/>
          <w:lang w:eastAsia="en-US"/>
        </w:rPr>
        <w:fldChar w:fldCharType="separate"/>
      </w:r>
      <w:r w:rsidRPr="00AD67C2">
        <w:rPr>
          <w:rFonts w:ascii="Garamond" w:eastAsia="Calibri" w:hAnsi="Garamond" w:cs="Times New Roman"/>
          <w:bCs/>
          <w:sz w:val="22"/>
          <w:szCs w:val="22"/>
          <w:lang w:eastAsia="en-US"/>
        </w:rPr>
        <w:t>3.8.2</w:t>
      </w:r>
      <w:r w:rsidRPr="00AD67C2">
        <w:rPr>
          <w:rFonts w:ascii="Garamond" w:eastAsia="Calibri" w:hAnsi="Garamond" w:cs="Times New Roman"/>
          <w:bCs/>
          <w:sz w:val="22"/>
          <w:szCs w:val="22"/>
          <w:lang w:eastAsia="en-US"/>
        </w:rPr>
        <w:fldChar w:fldCharType="end"/>
      </w:r>
      <w:r w:rsidRPr="00AD67C2">
        <w:rPr>
          <w:rFonts w:ascii="Garamond" w:eastAsia="Calibri" w:hAnsi="Garamond" w:cs="Times New Roman"/>
          <w:bCs/>
          <w:sz w:val="22"/>
          <w:szCs w:val="22"/>
          <w:lang w:eastAsia="en-US"/>
        </w:rPr>
        <w:t xml:space="preserve"> настоящего приложения, не проводятся</w:t>
      </w:r>
      <w:r w:rsidR="0013627E">
        <w:rPr>
          <w:rFonts w:ascii="Garamond" w:eastAsia="Calibri" w:hAnsi="Garamond" w:cs="Times New Roman"/>
          <w:bCs/>
          <w:sz w:val="22"/>
          <w:szCs w:val="22"/>
          <w:lang w:eastAsia="en-US"/>
        </w:rPr>
        <w:t>,</w:t>
      </w:r>
      <w:r w:rsidRPr="00AD67C2">
        <w:rPr>
          <w:rFonts w:ascii="Garamond" w:eastAsia="Calibri" w:hAnsi="Garamond" w:cs="Times New Roman"/>
          <w:bCs/>
          <w:sz w:val="22"/>
          <w:szCs w:val="22"/>
          <w:lang w:eastAsia="en-US"/>
        </w:rPr>
        <w:t xml:space="preserve"> и процедура подтверждения соответствия системы учета техническим требованиям оптового рынка по объекту регулирования, предусмотренная п. </w:t>
      </w:r>
      <w:r w:rsidRPr="00AD67C2">
        <w:rPr>
          <w:rFonts w:ascii="Garamond" w:eastAsia="Calibri" w:hAnsi="Garamond" w:cs="Times New Roman"/>
          <w:bCs/>
          <w:sz w:val="22"/>
          <w:szCs w:val="22"/>
          <w:lang w:eastAsia="en-US"/>
        </w:rPr>
        <w:fldChar w:fldCharType="begin"/>
      </w:r>
      <w:r w:rsidRPr="00AD67C2">
        <w:rPr>
          <w:rFonts w:ascii="Garamond" w:eastAsia="Calibri" w:hAnsi="Garamond" w:cs="Times New Roman"/>
          <w:bCs/>
          <w:sz w:val="22"/>
          <w:szCs w:val="22"/>
          <w:lang w:eastAsia="en-US"/>
        </w:rPr>
        <w:instrText xml:space="preserve"> REF _Ref149308388 \r \h  \* MERGEFORMAT </w:instrText>
      </w:r>
      <w:r w:rsidRPr="00AD67C2">
        <w:rPr>
          <w:rFonts w:ascii="Garamond" w:eastAsia="Calibri" w:hAnsi="Garamond" w:cs="Times New Roman"/>
          <w:bCs/>
          <w:sz w:val="22"/>
          <w:szCs w:val="22"/>
          <w:lang w:eastAsia="en-US"/>
        </w:rPr>
      </w:r>
      <w:r w:rsidRPr="00AD67C2">
        <w:rPr>
          <w:rFonts w:ascii="Garamond" w:eastAsia="Calibri" w:hAnsi="Garamond" w:cs="Times New Roman"/>
          <w:bCs/>
          <w:sz w:val="22"/>
          <w:szCs w:val="22"/>
          <w:lang w:eastAsia="en-US"/>
        </w:rPr>
        <w:fldChar w:fldCharType="separate"/>
      </w:r>
      <w:r w:rsidRPr="00AD67C2">
        <w:rPr>
          <w:rFonts w:ascii="Garamond" w:eastAsia="Calibri" w:hAnsi="Garamond" w:cs="Times New Roman"/>
          <w:bCs/>
          <w:sz w:val="22"/>
          <w:szCs w:val="22"/>
          <w:lang w:eastAsia="en-US"/>
        </w:rPr>
        <w:t>3.8</w:t>
      </w:r>
      <w:r w:rsidRPr="00AD67C2">
        <w:rPr>
          <w:rFonts w:ascii="Garamond" w:eastAsia="Calibri" w:hAnsi="Garamond" w:cs="Times New Roman"/>
          <w:bCs/>
          <w:sz w:val="22"/>
          <w:szCs w:val="22"/>
          <w:lang w:eastAsia="en-US"/>
        </w:rPr>
        <w:fldChar w:fldCharType="end"/>
      </w:r>
      <w:r w:rsidRPr="00AD67C2">
        <w:rPr>
          <w:rFonts w:ascii="Garamond" w:eastAsia="Calibri" w:hAnsi="Garamond" w:cs="Times New Roman"/>
          <w:bCs/>
          <w:sz w:val="22"/>
          <w:szCs w:val="22"/>
          <w:lang w:eastAsia="en-US"/>
        </w:rPr>
        <w:t xml:space="preserve"> настоящего приложения, завершается с отрицательным результатом.</w:t>
      </w:r>
    </w:p>
    <w:p w14:paraId="4A289882" w14:textId="3F2FDA12" w:rsidR="001333B2" w:rsidRPr="00AD67C2" w:rsidRDefault="0013627E" w:rsidP="00AD67C2">
      <w:pPr>
        <w:widowControl w:val="0"/>
        <w:numPr>
          <w:ilvl w:val="2"/>
          <w:numId w:val="310"/>
        </w:numPr>
        <w:tabs>
          <w:tab w:val="left" w:pos="1077"/>
        </w:tabs>
        <w:suppressAutoHyphens w:val="0"/>
        <w:spacing w:before="120" w:after="120" w:line="259" w:lineRule="auto"/>
        <w:ind w:left="0" w:firstLine="601"/>
        <w:jc w:val="both"/>
        <w:outlineLvl w:val="1"/>
        <w:rPr>
          <w:rFonts w:ascii="Garamond" w:eastAsia="Calibri" w:hAnsi="Garamond" w:cs="Times New Roman"/>
          <w:bCs/>
          <w:sz w:val="22"/>
          <w:szCs w:val="22"/>
          <w:lang w:eastAsia="en-US"/>
        </w:rPr>
      </w:pPr>
      <w:bookmarkStart w:id="46" w:name="_Ref149321995"/>
      <w:r>
        <w:rPr>
          <w:rFonts w:ascii="Garamond" w:eastAsia="Calibri" w:hAnsi="Garamond" w:cs="Times New Roman"/>
          <w:bCs/>
          <w:sz w:val="22"/>
          <w:szCs w:val="22"/>
          <w:lang w:eastAsia="en-US"/>
        </w:rPr>
        <w:t xml:space="preserve"> </w:t>
      </w:r>
      <w:r w:rsidR="001333B2" w:rsidRPr="00AD67C2">
        <w:rPr>
          <w:rFonts w:ascii="Garamond" w:eastAsia="Calibri" w:hAnsi="Garamond" w:cs="Times New Roman"/>
          <w:bCs/>
          <w:sz w:val="22"/>
          <w:szCs w:val="22"/>
          <w:lang w:eastAsia="en-US"/>
        </w:rPr>
        <w:t>При выполнении всех нижеперечисленных условий КО не проводятся проверки, предусмотренные п</w:t>
      </w:r>
      <w:r>
        <w:rPr>
          <w:rFonts w:ascii="Garamond" w:eastAsia="Calibri" w:hAnsi="Garamond" w:cs="Times New Roman"/>
          <w:bCs/>
          <w:sz w:val="22"/>
          <w:szCs w:val="22"/>
          <w:lang w:eastAsia="en-US"/>
        </w:rPr>
        <w:t>п</w:t>
      </w:r>
      <w:r w:rsidR="001333B2" w:rsidRPr="00AD67C2">
        <w:rPr>
          <w:rFonts w:ascii="Garamond" w:eastAsia="Calibri" w:hAnsi="Garamond" w:cs="Times New Roman"/>
          <w:bCs/>
          <w:sz w:val="22"/>
          <w:szCs w:val="22"/>
          <w:lang w:eastAsia="en-US"/>
        </w:rPr>
        <w:t xml:space="preserve">. </w:t>
      </w:r>
      <w:r w:rsidR="001333B2" w:rsidRPr="00AD67C2">
        <w:rPr>
          <w:rFonts w:ascii="Garamond" w:eastAsia="Calibri" w:hAnsi="Garamond" w:cs="Times New Roman"/>
          <w:bCs/>
          <w:sz w:val="22"/>
          <w:szCs w:val="22"/>
          <w:lang w:eastAsia="en-US"/>
        </w:rPr>
        <w:fldChar w:fldCharType="begin"/>
      </w:r>
      <w:r w:rsidR="001333B2" w:rsidRPr="00AD67C2">
        <w:rPr>
          <w:rFonts w:ascii="Garamond" w:eastAsia="Calibri" w:hAnsi="Garamond" w:cs="Times New Roman"/>
          <w:bCs/>
          <w:sz w:val="22"/>
          <w:szCs w:val="22"/>
          <w:lang w:eastAsia="en-US"/>
        </w:rPr>
        <w:instrText xml:space="preserve"> REF _Ref149308149 \r \h  \* MERGEFORMAT </w:instrText>
      </w:r>
      <w:r w:rsidR="001333B2" w:rsidRPr="00AD67C2">
        <w:rPr>
          <w:rFonts w:ascii="Garamond" w:eastAsia="Calibri" w:hAnsi="Garamond" w:cs="Times New Roman"/>
          <w:bCs/>
          <w:sz w:val="22"/>
          <w:szCs w:val="22"/>
          <w:lang w:eastAsia="en-US"/>
        </w:rPr>
      </w:r>
      <w:r w:rsidR="001333B2" w:rsidRPr="00AD67C2">
        <w:rPr>
          <w:rFonts w:ascii="Garamond" w:eastAsia="Calibri" w:hAnsi="Garamond" w:cs="Times New Roman"/>
          <w:bCs/>
          <w:sz w:val="22"/>
          <w:szCs w:val="22"/>
          <w:lang w:eastAsia="en-US"/>
        </w:rPr>
        <w:fldChar w:fldCharType="separate"/>
      </w:r>
      <w:r w:rsidR="001333B2" w:rsidRPr="00AD67C2">
        <w:rPr>
          <w:rFonts w:ascii="Garamond" w:eastAsia="Calibri" w:hAnsi="Garamond" w:cs="Times New Roman"/>
          <w:bCs/>
          <w:sz w:val="22"/>
          <w:szCs w:val="22"/>
          <w:lang w:eastAsia="en-US"/>
        </w:rPr>
        <w:t>3.8.1</w:t>
      </w:r>
      <w:r w:rsidR="001333B2" w:rsidRPr="00AD67C2">
        <w:rPr>
          <w:rFonts w:ascii="Garamond" w:eastAsia="Calibri" w:hAnsi="Garamond" w:cs="Times New Roman"/>
          <w:bCs/>
          <w:sz w:val="22"/>
          <w:szCs w:val="22"/>
          <w:lang w:eastAsia="en-US"/>
        </w:rPr>
        <w:fldChar w:fldCharType="end"/>
      </w:r>
      <w:r w:rsidR="001333B2" w:rsidRPr="00AD67C2">
        <w:rPr>
          <w:rFonts w:ascii="Garamond" w:eastAsia="Calibri" w:hAnsi="Garamond" w:cs="Times New Roman"/>
          <w:bCs/>
          <w:sz w:val="22"/>
          <w:szCs w:val="22"/>
          <w:lang w:eastAsia="en-US"/>
        </w:rPr>
        <w:t xml:space="preserve">, </w:t>
      </w:r>
      <w:r w:rsidR="001333B2" w:rsidRPr="00AD67C2">
        <w:rPr>
          <w:rFonts w:ascii="Garamond" w:eastAsia="Calibri" w:hAnsi="Garamond" w:cs="Times New Roman"/>
          <w:bCs/>
          <w:sz w:val="22"/>
          <w:szCs w:val="22"/>
          <w:lang w:eastAsia="en-US"/>
        </w:rPr>
        <w:fldChar w:fldCharType="begin"/>
      </w:r>
      <w:r w:rsidR="001333B2" w:rsidRPr="00AD67C2">
        <w:rPr>
          <w:rFonts w:ascii="Garamond" w:eastAsia="Calibri" w:hAnsi="Garamond" w:cs="Times New Roman"/>
          <w:bCs/>
          <w:sz w:val="22"/>
          <w:szCs w:val="22"/>
          <w:lang w:eastAsia="en-US"/>
        </w:rPr>
        <w:instrText xml:space="preserve"> REF _Ref149308552 \r \h  \* MERGEFORMAT </w:instrText>
      </w:r>
      <w:r w:rsidR="001333B2" w:rsidRPr="00AD67C2">
        <w:rPr>
          <w:rFonts w:ascii="Garamond" w:eastAsia="Calibri" w:hAnsi="Garamond" w:cs="Times New Roman"/>
          <w:bCs/>
          <w:sz w:val="22"/>
          <w:szCs w:val="22"/>
          <w:lang w:eastAsia="en-US"/>
        </w:rPr>
      </w:r>
      <w:r w:rsidR="001333B2" w:rsidRPr="00AD67C2">
        <w:rPr>
          <w:rFonts w:ascii="Garamond" w:eastAsia="Calibri" w:hAnsi="Garamond" w:cs="Times New Roman"/>
          <w:bCs/>
          <w:sz w:val="22"/>
          <w:szCs w:val="22"/>
          <w:lang w:eastAsia="en-US"/>
        </w:rPr>
        <w:fldChar w:fldCharType="separate"/>
      </w:r>
      <w:r w:rsidR="001333B2" w:rsidRPr="00AD67C2">
        <w:rPr>
          <w:rFonts w:ascii="Garamond" w:eastAsia="Calibri" w:hAnsi="Garamond" w:cs="Times New Roman"/>
          <w:bCs/>
          <w:sz w:val="22"/>
          <w:szCs w:val="22"/>
          <w:lang w:eastAsia="en-US"/>
        </w:rPr>
        <w:t>3.8.2</w:t>
      </w:r>
      <w:r w:rsidR="001333B2" w:rsidRPr="00AD67C2">
        <w:rPr>
          <w:rFonts w:ascii="Garamond" w:eastAsia="Calibri" w:hAnsi="Garamond" w:cs="Times New Roman"/>
          <w:bCs/>
          <w:sz w:val="22"/>
          <w:szCs w:val="22"/>
          <w:lang w:eastAsia="en-US"/>
        </w:rPr>
        <w:fldChar w:fldCharType="end"/>
      </w:r>
      <w:r w:rsidR="001333B2" w:rsidRPr="00AD67C2">
        <w:rPr>
          <w:rFonts w:ascii="Garamond" w:eastAsia="Calibri" w:hAnsi="Garamond" w:cs="Times New Roman"/>
          <w:bCs/>
          <w:sz w:val="22"/>
          <w:szCs w:val="22"/>
          <w:lang w:eastAsia="en-US"/>
        </w:rPr>
        <w:t xml:space="preserve"> настоящего приложения:</w:t>
      </w:r>
      <w:bookmarkEnd w:id="46"/>
    </w:p>
    <w:p w14:paraId="126F913A" w14:textId="77777777" w:rsidR="001333B2" w:rsidRPr="00AD67C2" w:rsidRDefault="001333B2" w:rsidP="00AD67C2">
      <w:pPr>
        <w:widowControl w:val="0"/>
        <w:numPr>
          <w:ilvl w:val="0"/>
          <w:numId w:val="315"/>
        </w:numPr>
        <w:tabs>
          <w:tab w:val="left" w:pos="851"/>
          <w:tab w:val="left" w:pos="1077"/>
        </w:tabs>
        <w:suppressAutoHyphens w:val="0"/>
        <w:spacing w:before="120" w:after="120" w:line="259" w:lineRule="auto"/>
        <w:ind w:left="0" w:firstLine="601"/>
        <w:jc w:val="both"/>
        <w:rPr>
          <w:rFonts w:ascii="Garamond" w:eastAsia="Calibri" w:hAnsi="Garamond" w:cs="Times New Roman"/>
          <w:bCs/>
          <w:sz w:val="22"/>
          <w:szCs w:val="22"/>
          <w:lang w:eastAsia="en-US"/>
        </w:rPr>
      </w:pPr>
      <w:r w:rsidRPr="00AD67C2">
        <w:rPr>
          <w:rFonts w:ascii="Garamond" w:eastAsia="Calibri" w:hAnsi="Garamond" w:cs="Times New Roman"/>
          <w:bCs/>
          <w:sz w:val="22"/>
          <w:szCs w:val="22"/>
          <w:lang w:eastAsia="en-US"/>
        </w:rPr>
        <w:t>заявитель является участником оптового рынка (покупателем электрической энергии (мощности)) – крупным потребителем;</w:t>
      </w:r>
    </w:p>
    <w:p w14:paraId="5D231FB5" w14:textId="402A7893" w:rsidR="001333B2" w:rsidRPr="00AD67C2" w:rsidRDefault="001333B2" w:rsidP="00AD67C2">
      <w:pPr>
        <w:widowControl w:val="0"/>
        <w:numPr>
          <w:ilvl w:val="0"/>
          <w:numId w:val="315"/>
        </w:numPr>
        <w:tabs>
          <w:tab w:val="left" w:pos="851"/>
          <w:tab w:val="left" w:pos="1077"/>
        </w:tabs>
        <w:suppressAutoHyphens w:val="0"/>
        <w:spacing w:before="120" w:after="120" w:line="259" w:lineRule="auto"/>
        <w:ind w:left="0" w:firstLine="601"/>
        <w:jc w:val="both"/>
        <w:rPr>
          <w:rFonts w:ascii="Garamond" w:eastAsia="Calibri" w:hAnsi="Garamond" w:cs="Times New Roman"/>
          <w:bCs/>
          <w:sz w:val="22"/>
          <w:szCs w:val="22"/>
          <w:lang w:eastAsia="en-US"/>
        </w:rPr>
      </w:pPr>
      <w:r w:rsidRPr="00AD67C2">
        <w:rPr>
          <w:rFonts w:ascii="Garamond" w:eastAsia="Calibri" w:hAnsi="Garamond" w:cs="Times New Roman"/>
          <w:bCs/>
          <w:sz w:val="22"/>
          <w:szCs w:val="22"/>
          <w:lang w:eastAsia="en-US"/>
        </w:rPr>
        <w:t>точки присоединения и точки измерений объекта регулирования совпадают с точками поставки и точками измерений, входящими в состав ГТП такого покупателя электрической энергии (мощности) – крупного потребителя</w:t>
      </w:r>
      <w:r w:rsidR="0013627E">
        <w:rPr>
          <w:rFonts w:ascii="Garamond" w:eastAsia="Calibri" w:hAnsi="Garamond" w:cs="Times New Roman"/>
          <w:bCs/>
          <w:sz w:val="22"/>
          <w:szCs w:val="22"/>
          <w:lang w:eastAsia="en-US"/>
        </w:rPr>
        <w:t>;</w:t>
      </w:r>
    </w:p>
    <w:p w14:paraId="27844117" w14:textId="77777777" w:rsidR="001333B2" w:rsidRPr="00AD67C2" w:rsidRDefault="001333B2" w:rsidP="00AD67C2">
      <w:pPr>
        <w:widowControl w:val="0"/>
        <w:numPr>
          <w:ilvl w:val="0"/>
          <w:numId w:val="315"/>
        </w:numPr>
        <w:tabs>
          <w:tab w:val="left" w:pos="851"/>
          <w:tab w:val="left" w:pos="1077"/>
        </w:tabs>
        <w:suppressAutoHyphens w:val="0"/>
        <w:spacing w:before="120" w:after="120" w:line="259" w:lineRule="auto"/>
        <w:ind w:left="0" w:firstLine="601"/>
        <w:jc w:val="both"/>
        <w:rPr>
          <w:rFonts w:ascii="Garamond" w:eastAsia="Calibri" w:hAnsi="Garamond" w:cs="Times New Roman"/>
          <w:bCs/>
          <w:sz w:val="22"/>
          <w:szCs w:val="22"/>
          <w:lang w:eastAsia="en-US"/>
        </w:rPr>
      </w:pPr>
      <w:r w:rsidRPr="00AD67C2">
        <w:rPr>
          <w:rFonts w:ascii="Garamond" w:eastAsia="Calibri" w:hAnsi="Garamond" w:cs="Times New Roman"/>
          <w:bCs/>
          <w:sz w:val="22"/>
          <w:szCs w:val="22"/>
          <w:lang w:eastAsia="en-US"/>
        </w:rPr>
        <w:t>в составе ГТП покупателя электрической энергии (мощности) – крупного потребителя отсутствуют средства измерений, не включенные в систему учета (не присоединенные к системе учета) и обеспечивающие учет электрической энергии суммарно на определенный момент времени с применением типовых суточных графиков;</w:t>
      </w:r>
    </w:p>
    <w:p w14:paraId="17C1DD22" w14:textId="48E0991F" w:rsidR="001333B2" w:rsidRPr="00AD67C2" w:rsidRDefault="001333B2" w:rsidP="00AD67C2">
      <w:pPr>
        <w:widowControl w:val="0"/>
        <w:numPr>
          <w:ilvl w:val="0"/>
          <w:numId w:val="315"/>
        </w:numPr>
        <w:tabs>
          <w:tab w:val="left" w:pos="851"/>
          <w:tab w:val="left" w:pos="1077"/>
        </w:tabs>
        <w:suppressAutoHyphens w:val="0"/>
        <w:spacing w:before="120" w:after="120" w:line="259" w:lineRule="auto"/>
        <w:ind w:left="0" w:firstLine="601"/>
        <w:jc w:val="both"/>
        <w:rPr>
          <w:rFonts w:ascii="Garamond" w:eastAsia="Calibri" w:hAnsi="Garamond" w:cs="Times New Roman"/>
          <w:bCs/>
          <w:sz w:val="22"/>
          <w:szCs w:val="22"/>
          <w:lang w:eastAsia="en-US"/>
        </w:rPr>
      </w:pPr>
      <w:r w:rsidRPr="00AD67C2">
        <w:rPr>
          <w:rFonts w:ascii="Garamond" w:eastAsia="Calibri" w:hAnsi="Garamond" w:cs="Times New Roman"/>
          <w:bCs/>
          <w:sz w:val="22"/>
          <w:szCs w:val="22"/>
          <w:lang w:eastAsia="en-US"/>
        </w:rPr>
        <w:t>по всем сечениям коммерческого учета, входящим в выше</w:t>
      </w:r>
      <w:r w:rsidR="0013627E">
        <w:rPr>
          <w:rFonts w:ascii="Garamond" w:eastAsia="Calibri" w:hAnsi="Garamond" w:cs="Times New Roman"/>
          <w:bCs/>
          <w:sz w:val="22"/>
          <w:szCs w:val="22"/>
          <w:lang w:eastAsia="en-US"/>
        </w:rPr>
        <w:t>указанную ГТП, оформлены акты о </w:t>
      </w:r>
      <w:r w:rsidRPr="00AD67C2">
        <w:rPr>
          <w:rFonts w:ascii="Garamond" w:eastAsia="Calibri" w:hAnsi="Garamond" w:cs="Times New Roman"/>
          <w:bCs/>
          <w:sz w:val="22"/>
          <w:szCs w:val="22"/>
          <w:lang w:eastAsia="en-US"/>
        </w:rPr>
        <w:t xml:space="preserve">соответствии системы коммерческого учета электроэнергии техническим требованиям оптового </w:t>
      </w:r>
      <w:r w:rsidRPr="00AD67C2">
        <w:rPr>
          <w:rFonts w:ascii="Garamond" w:eastAsia="Calibri" w:hAnsi="Garamond" w:cs="Times New Roman"/>
          <w:bCs/>
          <w:sz w:val="22"/>
          <w:szCs w:val="22"/>
          <w:lang w:eastAsia="en-US"/>
        </w:rPr>
        <w:lastRenderedPageBreak/>
        <w:t>рынка;</w:t>
      </w:r>
    </w:p>
    <w:p w14:paraId="034D29A9" w14:textId="77777777" w:rsidR="001333B2" w:rsidRPr="00AD67C2" w:rsidRDefault="001333B2" w:rsidP="00AD67C2">
      <w:pPr>
        <w:widowControl w:val="0"/>
        <w:numPr>
          <w:ilvl w:val="0"/>
          <w:numId w:val="315"/>
        </w:numPr>
        <w:tabs>
          <w:tab w:val="left" w:pos="851"/>
          <w:tab w:val="left" w:pos="1077"/>
        </w:tabs>
        <w:suppressAutoHyphens w:val="0"/>
        <w:spacing w:before="120" w:after="120" w:line="259" w:lineRule="auto"/>
        <w:ind w:left="0" w:firstLine="567"/>
        <w:jc w:val="both"/>
        <w:rPr>
          <w:rFonts w:ascii="Garamond" w:eastAsia="Calibri" w:hAnsi="Garamond" w:cs="Times New Roman"/>
          <w:bCs/>
          <w:sz w:val="22"/>
          <w:szCs w:val="22"/>
          <w:lang w:eastAsia="en-US"/>
        </w:rPr>
      </w:pPr>
      <w:r w:rsidRPr="00AD67C2">
        <w:rPr>
          <w:rFonts w:ascii="Garamond" w:eastAsia="Calibri" w:hAnsi="Garamond" w:cs="Times New Roman"/>
          <w:bCs/>
          <w:sz w:val="22"/>
          <w:szCs w:val="22"/>
          <w:lang w:eastAsia="en-US"/>
        </w:rPr>
        <w:t>вышеуказанные акты о соответствии системы коммерческого учета электроэнергии техническим требованиям оптового рынка не прекратили свое действие по основаниям, указанным в п. 1.6 Приложения № 11.3 к настоящему Положению;</w:t>
      </w:r>
    </w:p>
    <w:p w14:paraId="4243F6BC" w14:textId="77777777" w:rsidR="001333B2" w:rsidRPr="00AD67C2" w:rsidRDefault="001333B2" w:rsidP="00AD67C2">
      <w:pPr>
        <w:widowControl w:val="0"/>
        <w:numPr>
          <w:ilvl w:val="0"/>
          <w:numId w:val="315"/>
        </w:numPr>
        <w:tabs>
          <w:tab w:val="left" w:pos="851"/>
          <w:tab w:val="left" w:pos="1077"/>
        </w:tabs>
        <w:suppressAutoHyphens w:val="0"/>
        <w:spacing w:before="120" w:after="120" w:line="259" w:lineRule="auto"/>
        <w:ind w:left="0" w:firstLine="601"/>
        <w:jc w:val="both"/>
        <w:rPr>
          <w:rFonts w:ascii="Garamond" w:eastAsia="Calibri" w:hAnsi="Garamond" w:cs="Times New Roman"/>
          <w:bCs/>
          <w:sz w:val="22"/>
          <w:szCs w:val="22"/>
          <w:lang w:eastAsia="en-US"/>
        </w:rPr>
      </w:pPr>
      <w:r w:rsidRPr="00AD67C2">
        <w:rPr>
          <w:rFonts w:ascii="Garamond" w:eastAsia="Calibri" w:hAnsi="Garamond" w:cs="Times New Roman"/>
          <w:bCs/>
          <w:sz w:val="22"/>
          <w:szCs w:val="22"/>
          <w:lang w:eastAsia="en-US"/>
        </w:rPr>
        <w:t xml:space="preserve">срок действия вышеуказанных актов о соответствии системы коммерческого учета электроэнергии техническим требованиям оптового рынка истекает не менее чем через 90 (девяносто) календарных дней на дату завершения с положительным результатом процедур, предусмотренных </w:t>
      </w:r>
      <w:r w:rsidRPr="00AD67C2" w:rsidDel="00C66B95">
        <w:rPr>
          <w:rFonts w:ascii="Garamond" w:eastAsia="Calibri" w:hAnsi="Garamond" w:cs="Times New Roman"/>
          <w:bCs/>
          <w:sz w:val="22"/>
          <w:szCs w:val="22"/>
          <w:lang w:eastAsia="en-US"/>
        </w:rPr>
        <w:t xml:space="preserve">п. </w:t>
      </w:r>
      <w:r w:rsidRPr="00AD67C2">
        <w:rPr>
          <w:rFonts w:ascii="Garamond" w:eastAsia="Calibri" w:hAnsi="Garamond" w:cs="Times New Roman"/>
          <w:bCs/>
          <w:sz w:val="22"/>
          <w:szCs w:val="22"/>
          <w:lang w:eastAsia="en-US"/>
        </w:rPr>
        <w:fldChar w:fldCharType="begin"/>
      </w:r>
      <w:r w:rsidRPr="00AD67C2">
        <w:rPr>
          <w:rFonts w:ascii="Garamond" w:eastAsia="Calibri" w:hAnsi="Garamond" w:cs="Times New Roman"/>
          <w:bCs/>
          <w:sz w:val="22"/>
          <w:szCs w:val="22"/>
          <w:lang w:eastAsia="en-US"/>
        </w:rPr>
        <w:instrText xml:space="preserve"> REF _Ref149304286 \r \h  \* MERGEFORMAT </w:instrText>
      </w:r>
      <w:r w:rsidRPr="00AD67C2">
        <w:rPr>
          <w:rFonts w:ascii="Garamond" w:eastAsia="Calibri" w:hAnsi="Garamond" w:cs="Times New Roman"/>
          <w:bCs/>
          <w:sz w:val="22"/>
          <w:szCs w:val="22"/>
          <w:lang w:eastAsia="en-US"/>
        </w:rPr>
      </w:r>
      <w:r w:rsidRPr="00AD67C2">
        <w:rPr>
          <w:rFonts w:ascii="Garamond" w:eastAsia="Calibri" w:hAnsi="Garamond" w:cs="Times New Roman"/>
          <w:bCs/>
          <w:sz w:val="22"/>
          <w:szCs w:val="22"/>
          <w:lang w:eastAsia="en-US"/>
        </w:rPr>
        <w:fldChar w:fldCharType="separate"/>
      </w:r>
      <w:r w:rsidRPr="00AD67C2">
        <w:rPr>
          <w:rFonts w:ascii="Garamond" w:eastAsia="Calibri" w:hAnsi="Garamond" w:cs="Times New Roman"/>
          <w:bCs/>
          <w:sz w:val="22"/>
          <w:szCs w:val="22"/>
          <w:lang w:eastAsia="en-US"/>
        </w:rPr>
        <w:t>3.3</w:t>
      </w:r>
      <w:r w:rsidRPr="00AD67C2">
        <w:rPr>
          <w:rFonts w:ascii="Garamond" w:eastAsia="Calibri" w:hAnsi="Garamond" w:cs="Times New Roman"/>
          <w:bCs/>
          <w:sz w:val="22"/>
          <w:szCs w:val="22"/>
          <w:lang w:eastAsia="en-US"/>
        </w:rPr>
        <w:fldChar w:fldCharType="end"/>
      </w:r>
      <w:r w:rsidRPr="00AD67C2">
        <w:rPr>
          <w:rFonts w:ascii="Garamond" w:eastAsia="Calibri" w:hAnsi="Garamond" w:cs="Times New Roman"/>
          <w:bCs/>
          <w:sz w:val="22"/>
          <w:szCs w:val="22"/>
          <w:lang w:eastAsia="en-US"/>
        </w:rPr>
        <w:t xml:space="preserve"> настоящего приложения;</w:t>
      </w:r>
    </w:p>
    <w:p w14:paraId="445D68EF" w14:textId="77777777" w:rsidR="001333B2" w:rsidRPr="00AD67C2" w:rsidRDefault="001333B2" w:rsidP="00AD67C2">
      <w:pPr>
        <w:widowControl w:val="0"/>
        <w:numPr>
          <w:ilvl w:val="0"/>
          <w:numId w:val="315"/>
        </w:numPr>
        <w:tabs>
          <w:tab w:val="left" w:pos="851"/>
          <w:tab w:val="left" w:pos="1077"/>
        </w:tabs>
        <w:suppressAutoHyphens w:val="0"/>
        <w:spacing w:before="120" w:after="120" w:line="259" w:lineRule="auto"/>
        <w:ind w:left="0" w:firstLine="601"/>
        <w:jc w:val="both"/>
        <w:rPr>
          <w:rFonts w:ascii="Garamond" w:eastAsia="Calibri" w:hAnsi="Garamond" w:cs="Times New Roman"/>
          <w:bCs/>
          <w:sz w:val="22"/>
          <w:szCs w:val="22"/>
          <w:lang w:eastAsia="en-US"/>
        </w:rPr>
      </w:pPr>
      <w:r w:rsidRPr="00AD67C2">
        <w:rPr>
          <w:rFonts w:ascii="Garamond" w:eastAsia="Calibri" w:hAnsi="Garamond" w:cs="Times New Roman"/>
          <w:bCs/>
          <w:sz w:val="22"/>
          <w:szCs w:val="22"/>
          <w:lang w:eastAsia="en-US"/>
        </w:rPr>
        <w:t>вышеуказанные акты о соответствии системы коммерческого учета электроэнергии техническим требованиям оптового рынка оформлены в отношении действующего состава точек поставки и точек измерений;</w:t>
      </w:r>
    </w:p>
    <w:p w14:paraId="4E8F731D" w14:textId="159CCCD3" w:rsidR="001333B2" w:rsidRPr="00AD67C2" w:rsidRDefault="001333B2" w:rsidP="00AD67C2">
      <w:pPr>
        <w:widowControl w:val="0"/>
        <w:numPr>
          <w:ilvl w:val="0"/>
          <w:numId w:val="315"/>
        </w:numPr>
        <w:tabs>
          <w:tab w:val="left" w:pos="851"/>
          <w:tab w:val="left" w:pos="1077"/>
        </w:tabs>
        <w:suppressAutoHyphens w:val="0"/>
        <w:spacing w:before="120" w:after="120" w:line="259" w:lineRule="auto"/>
        <w:ind w:left="0" w:firstLine="601"/>
        <w:jc w:val="both"/>
        <w:rPr>
          <w:rFonts w:ascii="Garamond" w:eastAsia="Calibri" w:hAnsi="Garamond" w:cs="Times New Roman"/>
          <w:bCs/>
          <w:sz w:val="22"/>
          <w:szCs w:val="22"/>
          <w:lang w:eastAsia="en-US"/>
        </w:rPr>
      </w:pPr>
      <w:r w:rsidRPr="00AD67C2">
        <w:rPr>
          <w:rFonts w:ascii="Garamond" w:eastAsia="Calibri" w:hAnsi="Garamond" w:cs="Times New Roman"/>
          <w:bCs/>
          <w:sz w:val="22"/>
          <w:szCs w:val="22"/>
          <w:lang w:eastAsia="en-US"/>
        </w:rPr>
        <w:t xml:space="preserve">тип и модификация приборов учета, а также их заводские номера, указанные в ПСИ (макет 60000), по объекту регулирования соответствуют типам и модификациям приборов учета, а также их заводским номерам, заявленным при получении актов о соответствии системы коммерческого учета электроэнергии техническим требованиям оптового рынка, указанным в заявлении, направляемом в соответствии с п. </w:t>
      </w:r>
      <w:r w:rsidRPr="00AD67C2">
        <w:rPr>
          <w:rFonts w:ascii="Garamond" w:eastAsia="Calibri" w:hAnsi="Garamond" w:cs="Times New Roman"/>
          <w:bCs/>
          <w:sz w:val="22"/>
          <w:szCs w:val="22"/>
          <w:lang w:eastAsia="en-US"/>
        </w:rPr>
        <w:fldChar w:fldCharType="begin"/>
      </w:r>
      <w:r w:rsidRPr="00AD67C2">
        <w:rPr>
          <w:rFonts w:ascii="Garamond" w:eastAsia="Calibri" w:hAnsi="Garamond" w:cs="Times New Roman"/>
          <w:bCs/>
          <w:sz w:val="22"/>
          <w:szCs w:val="22"/>
          <w:lang w:eastAsia="en-US"/>
        </w:rPr>
        <w:instrText xml:space="preserve"> REF _Ref149311630 \r \h </w:instrText>
      </w:r>
      <w:r w:rsidR="00AD67C2" w:rsidRPr="00AD67C2">
        <w:rPr>
          <w:rFonts w:ascii="Garamond" w:eastAsia="Calibri" w:hAnsi="Garamond" w:cs="Times New Roman"/>
          <w:bCs/>
          <w:sz w:val="22"/>
          <w:szCs w:val="22"/>
          <w:lang w:eastAsia="en-US"/>
        </w:rPr>
        <w:instrText xml:space="preserve"> \* MERGEFORMAT </w:instrText>
      </w:r>
      <w:r w:rsidRPr="00AD67C2">
        <w:rPr>
          <w:rFonts w:ascii="Garamond" w:eastAsia="Calibri" w:hAnsi="Garamond" w:cs="Times New Roman"/>
          <w:bCs/>
          <w:sz w:val="22"/>
          <w:szCs w:val="22"/>
          <w:lang w:eastAsia="en-US"/>
        </w:rPr>
      </w:r>
      <w:r w:rsidRPr="00AD67C2">
        <w:rPr>
          <w:rFonts w:ascii="Garamond" w:eastAsia="Calibri" w:hAnsi="Garamond" w:cs="Times New Roman"/>
          <w:bCs/>
          <w:sz w:val="22"/>
          <w:szCs w:val="22"/>
          <w:lang w:eastAsia="en-US"/>
        </w:rPr>
        <w:fldChar w:fldCharType="separate"/>
      </w:r>
      <w:r w:rsidRPr="00AD67C2">
        <w:rPr>
          <w:rFonts w:ascii="Garamond" w:eastAsia="Calibri" w:hAnsi="Garamond" w:cs="Times New Roman"/>
          <w:bCs/>
          <w:sz w:val="22"/>
          <w:szCs w:val="22"/>
          <w:lang w:eastAsia="en-US"/>
        </w:rPr>
        <w:t>2.1</w:t>
      </w:r>
      <w:r w:rsidRPr="00AD67C2">
        <w:rPr>
          <w:rFonts w:ascii="Garamond" w:eastAsia="Calibri" w:hAnsi="Garamond" w:cs="Times New Roman"/>
          <w:bCs/>
          <w:sz w:val="22"/>
          <w:szCs w:val="22"/>
          <w:lang w:eastAsia="en-US"/>
        </w:rPr>
        <w:fldChar w:fldCharType="end"/>
      </w:r>
      <w:r w:rsidRPr="00AD67C2">
        <w:rPr>
          <w:rFonts w:ascii="Garamond" w:eastAsia="Calibri" w:hAnsi="Garamond" w:cs="Times New Roman"/>
          <w:bCs/>
          <w:sz w:val="22"/>
          <w:szCs w:val="22"/>
          <w:lang w:eastAsia="en-US"/>
        </w:rPr>
        <w:t xml:space="preserve"> настоящего приложения.</w:t>
      </w:r>
    </w:p>
    <w:p w14:paraId="703FF4A7" w14:textId="1D65809E" w:rsidR="001333B2" w:rsidRPr="00AD67C2" w:rsidRDefault="001333B2" w:rsidP="00AD67C2">
      <w:pPr>
        <w:widowControl w:val="0"/>
        <w:tabs>
          <w:tab w:val="left" w:pos="1077"/>
        </w:tabs>
        <w:suppressAutoHyphens w:val="0"/>
        <w:spacing w:before="120" w:after="120"/>
        <w:ind w:firstLine="601"/>
        <w:jc w:val="both"/>
        <w:rPr>
          <w:rFonts w:ascii="Garamond" w:eastAsia="Calibri" w:hAnsi="Garamond" w:cs="Times New Roman"/>
          <w:bCs/>
          <w:sz w:val="22"/>
          <w:szCs w:val="22"/>
          <w:lang w:eastAsia="en-US"/>
        </w:rPr>
      </w:pPr>
      <w:r w:rsidRPr="00AD67C2">
        <w:rPr>
          <w:rFonts w:ascii="Garamond" w:eastAsia="Calibri" w:hAnsi="Garamond" w:cs="Times New Roman"/>
          <w:bCs/>
          <w:sz w:val="22"/>
          <w:szCs w:val="22"/>
          <w:lang w:eastAsia="en-US"/>
        </w:rPr>
        <w:t xml:space="preserve">В указанном случае субъекту оптового рынка необходимо </w:t>
      </w:r>
      <w:r w:rsidR="00CC5658">
        <w:rPr>
          <w:rFonts w:ascii="Garamond" w:eastAsia="Calibri" w:hAnsi="Garamond" w:cs="Times New Roman"/>
          <w:bCs/>
          <w:sz w:val="22"/>
          <w:szCs w:val="22"/>
          <w:lang w:eastAsia="en-US"/>
        </w:rPr>
        <w:t>заполнить</w:t>
      </w:r>
      <w:r w:rsidRPr="00AD67C2">
        <w:rPr>
          <w:rFonts w:ascii="Garamond" w:eastAsia="Calibri" w:hAnsi="Garamond" w:cs="Times New Roman"/>
          <w:bCs/>
          <w:sz w:val="22"/>
          <w:szCs w:val="22"/>
          <w:lang w:eastAsia="en-US"/>
        </w:rPr>
        <w:t xml:space="preserve"> реквизиты актов </w:t>
      </w:r>
      <w:r w:rsidR="00CC5658" w:rsidRPr="00AD67C2">
        <w:rPr>
          <w:rFonts w:ascii="Garamond" w:eastAsia="Calibri" w:hAnsi="Garamond" w:cs="Times New Roman"/>
          <w:bCs/>
          <w:sz w:val="22"/>
          <w:szCs w:val="22"/>
          <w:lang w:eastAsia="en-US"/>
        </w:rPr>
        <w:t xml:space="preserve">о соответствии системы коммерческого учета электроэнергии техническим требованиям оптового рынка </w:t>
      </w:r>
      <w:r w:rsidRPr="00AD67C2">
        <w:rPr>
          <w:rFonts w:ascii="Garamond" w:eastAsia="Calibri" w:hAnsi="Garamond" w:cs="Times New Roman"/>
          <w:bCs/>
          <w:sz w:val="22"/>
          <w:szCs w:val="22"/>
          <w:lang w:eastAsia="en-US"/>
        </w:rPr>
        <w:t xml:space="preserve">в заявлении, направляемом в соответствии с п. </w:t>
      </w:r>
      <w:r w:rsidRPr="00AD67C2">
        <w:rPr>
          <w:rFonts w:ascii="Garamond" w:eastAsia="Calibri" w:hAnsi="Garamond" w:cs="Times New Roman"/>
          <w:bCs/>
          <w:sz w:val="22"/>
          <w:szCs w:val="22"/>
          <w:lang w:eastAsia="en-US"/>
        </w:rPr>
        <w:fldChar w:fldCharType="begin"/>
      </w:r>
      <w:r w:rsidRPr="00AD67C2">
        <w:rPr>
          <w:rFonts w:ascii="Garamond" w:eastAsia="Calibri" w:hAnsi="Garamond" w:cs="Times New Roman"/>
          <w:bCs/>
          <w:sz w:val="22"/>
          <w:szCs w:val="22"/>
          <w:lang w:eastAsia="en-US"/>
        </w:rPr>
        <w:instrText xml:space="preserve"> REF _Ref149311630 \r \h </w:instrText>
      </w:r>
      <w:r w:rsidR="00AD67C2" w:rsidRPr="00AD67C2">
        <w:rPr>
          <w:rFonts w:ascii="Garamond" w:eastAsia="Calibri" w:hAnsi="Garamond" w:cs="Times New Roman"/>
          <w:bCs/>
          <w:sz w:val="22"/>
          <w:szCs w:val="22"/>
          <w:lang w:eastAsia="en-US"/>
        </w:rPr>
        <w:instrText xml:space="preserve"> \* MERGEFORMAT </w:instrText>
      </w:r>
      <w:r w:rsidRPr="00AD67C2">
        <w:rPr>
          <w:rFonts w:ascii="Garamond" w:eastAsia="Calibri" w:hAnsi="Garamond" w:cs="Times New Roman"/>
          <w:bCs/>
          <w:sz w:val="22"/>
          <w:szCs w:val="22"/>
          <w:lang w:eastAsia="en-US"/>
        </w:rPr>
      </w:r>
      <w:r w:rsidRPr="00AD67C2">
        <w:rPr>
          <w:rFonts w:ascii="Garamond" w:eastAsia="Calibri" w:hAnsi="Garamond" w:cs="Times New Roman"/>
          <w:bCs/>
          <w:sz w:val="22"/>
          <w:szCs w:val="22"/>
          <w:lang w:eastAsia="en-US"/>
        </w:rPr>
        <w:fldChar w:fldCharType="separate"/>
      </w:r>
      <w:r w:rsidRPr="00AD67C2">
        <w:rPr>
          <w:rFonts w:ascii="Garamond" w:eastAsia="Calibri" w:hAnsi="Garamond" w:cs="Times New Roman"/>
          <w:bCs/>
          <w:sz w:val="22"/>
          <w:szCs w:val="22"/>
          <w:lang w:eastAsia="en-US"/>
        </w:rPr>
        <w:t>2.1</w:t>
      </w:r>
      <w:r w:rsidRPr="00AD67C2">
        <w:rPr>
          <w:rFonts w:ascii="Garamond" w:eastAsia="Calibri" w:hAnsi="Garamond" w:cs="Times New Roman"/>
          <w:bCs/>
          <w:sz w:val="22"/>
          <w:szCs w:val="22"/>
          <w:lang w:eastAsia="en-US"/>
        </w:rPr>
        <w:fldChar w:fldCharType="end"/>
      </w:r>
      <w:r w:rsidRPr="00AD67C2">
        <w:rPr>
          <w:rFonts w:ascii="Garamond" w:eastAsia="Calibri" w:hAnsi="Garamond" w:cs="Times New Roman"/>
          <w:bCs/>
          <w:sz w:val="22"/>
          <w:szCs w:val="22"/>
          <w:lang w:eastAsia="en-US"/>
        </w:rPr>
        <w:t xml:space="preserve"> настоящего приложения.</w:t>
      </w:r>
    </w:p>
    <w:p w14:paraId="609991B1" w14:textId="36D9A0F2" w:rsidR="001333B2" w:rsidRPr="00AD67C2" w:rsidRDefault="001333B2" w:rsidP="00AD67C2">
      <w:pPr>
        <w:widowControl w:val="0"/>
        <w:tabs>
          <w:tab w:val="left" w:pos="1077"/>
        </w:tabs>
        <w:suppressAutoHyphens w:val="0"/>
        <w:spacing w:before="120" w:after="120"/>
        <w:ind w:firstLine="601"/>
        <w:jc w:val="both"/>
        <w:rPr>
          <w:rFonts w:ascii="Garamond" w:eastAsia="Calibri" w:hAnsi="Garamond" w:cs="Times New Roman"/>
          <w:bCs/>
          <w:sz w:val="22"/>
          <w:szCs w:val="22"/>
          <w:lang w:eastAsia="en-US"/>
        </w:rPr>
      </w:pPr>
      <w:r w:rsidRPr="00AD67C2">
        <w:rPr>
          <w:rFonts w:ascii="Garamond" w:eastAsia="Calibri" w:hAnsi="Garamond" w:cs="Times New Roman"/>
          <w:bCs/>
          <w:sz w:val="22"/>
          <w:szCs w:val="22"/>
          <w:lang w:eastAsia="en-US"/>
        </w:rPr>
        <w:t xml:space="preserve">При этом в случае, если устранение замечаний в порядке, предусмотренном п. </w:t>
      </w:r>
      <w:r w:rsidRPr="00AD67C2">
        <w:rPr>
          <w:rFonts w:ascii="Garamond" w:eastAsia="Calibri" w:hAnsi="Garamond" w:cs="Times New Roman"/>
          <w:bCs/>
          <w:sz w:val="22"/>
          <w:szCs w:val="22"/>
          <w:lang w:eastAsia="en-US"/>
        </w:rPr>
        <w:fldChar w:fldCharType="begin"/>
      </w:r>
      <w:r w:rsidRPr="00AD67C2">
        <w:rPr>
          <w:rFonts w:ascii="Garamond" w:eastAsia="Calibri" w:hAnsi="Garamond" w:cs="Times New Roman"/>
          <w:bCs/>
          <w:sz w:val="22"/>
          <w:szCs w:val="22"/>
          <w:lang w:eastAsia="en-US"/>
        </w:rPr>
        <w:instrText xml:space="preserve"> REF _Ref149302018 \r \h </w:instrText>
      </w:r>
      <w:r w:rsidR="00AD67C2" w:rsidRPr="00AD67C2">
        <w:rPr>
          <w:rFonts w:ascii="Garamond" w:eastAsia="Calibri" w:hAnsi="Garamond" w:cs="Times New Roman"/>
          <w:bCs/>
          <w:sz w:val="22"/>
          <w:szCs w:val="22"/>
          <w:lang w:eastAsia="en-US"/>
        </w:rPr>
        <w:instrText xml:space="preserve"> \* MERGEFORMAT </w:instrText>
      </w:r>
      <w:r w:rsidRPr="00AD67C2">
        <w:rPr>
          <w:rFonts w:ascii="Garamond" w:eastAsia="Calibri" w:hAnsi="Garamond" w:cs="Times New Roman"/>
          <w:bCs/>
          <w:sz w:val="22"/>
          <w:szCs w:val="22"/>
          <w:lang w:eastAsia="en-US"/>
        </w:rPr>
      </w:r>
      <w:r w:rsidRPr="00AD67C2">
        <w:rPr>
          <w:rFonts w:ascii="Garamond" w:eastAsia="Calibri" w:hAnsi="Garamond" w:cs="Times New Roman"/>
          <w:bCs/>
          <w:sz w:val="22"/>
          <w:szCs w:val="22"/>
          <w:lang w:eastAsia="en-US"/>
        </w:rPr>
        <w:fldChar w:fldCharType="separate"/>
      </w:r>
      <w:r w:rsidRPr="00AD67C2">
        <w:rPr>
          <w:rFonts w:ascii="Garamond" w:eastAsia="Calibri" w:hAnsi="Garamond" w:cs="Times New Roman"/>
          <w:bCs/>
          <w:sz w:val="22"/>
          <w:szCs w:val="22"/>
          <w:lang w:eastAsia="en-US"/>
        </w:rPr>
        <w:t>3.12</w:t>
      </w:r>
      <w:r w:rsidRPr="00AD67C2">
        <w:rPr>
          <w:rFonts w:ascii="Garamond" w:eastAsia="Calibri" w:hAnsi="Garamond" w:cs="Times New Roman"/>
          <w:bCs/>
          <w:sz w:val="22"/>
          <w:szCs w:val="22"/>
          <w:lang w:eastAsia="en-US"/>
        </w:rPr>
        <w:fldChar w:fldCharType="end"/>
      </w:r>
      <w:r w:rsidRPr="00AD67C2">
        <w:rPr>
          <w:rFonts w:ascii="Garamond" w:eastAsia="Calibri" w:hAnsi="Garamond" w:cs="Times New Roman"/>
          <w:bCs/>
          <w:sz w:val="22"/>
          <w:szCs w:val="22"/>
          <w:lang w:eastAsia="en-US"/>
        </w:rPr>
        <w:t xml:space="preserve"> настоящего приложения, влечет проведение повторной процедуры подтверждения соответствия системы учета техническим требованиям оптового рынка </w:t>
      </w:r>
      <w:r w:rsidR="00CC5658">
        <w:rPr>
          <w:rFonts w:ascii="Garamond" w:eastAsia="Calibri" w:hAnsi="Garamond" w:cs="Times New Roman"/>
          <w:bCs/>
          <w:sz w:val="22"/>
          <w:szCs w:val="22"/>
          <w:lang w:eastAsia="en-US"/>
        </w:rPr>
        <w:t>согласно</w:t>
      </w:r>
      <w:r w:rsidRPr="00AD67C2">
        <w:rPr>
          <w:rFonts w:ascii="Garamond" w:eastAsia="Calibri" w:hAnsi="Garamond" w:cs="Times New Roman"/>
          <w:bCs/>
          <w:sz w:val="22"/>
          <w:szCs w:val="22"/>
          <w:lang w:eastAsia="en-US"/>
        </w:rPr>
        <w:t xml:space="preserve"> подпункт</w:t>
      </w:r>
      <w:r w:rsidR="00CC5658">
        <w:rPr>
          <w:rFonts w:ascii="Garamond" w:eastAsia="Calibri" w:hAnsi="Garamond" w:cs="Times New Roman"/>
          <w:bCs/>
          <w:sz w:val="22"/>
          <w:szCs w:val="22"/>
          <w:lang w:eastAsia="en-US"/>
        </w:rPr>
        <w:t>у</w:t>
      </w:r>
      <w:r w:rsidRPr="00AD67C2">
        <w:rPr>
          <w:rFonts w:ascii="Garamond" w:eastAsia="Calibri" w:hAnsi="Garamond" w:cs="Times New Roman"/>
          <w:bCs/>
          <w:sz w:val="22"/>
          <w:szCs w:val="22"/>
          <w:lang w:eastAsia="en-US"/>
        </w:rPr>
        <w:t xml:space="preserve"> «в» п. </w:t>
      </w:r>
      <w:r w:rsidRPr="00AD67C2">
        <w:rPr>
          <w:rFonts w:ascii="Garamond" w:eastAsia="Calibri" w:hAnsi="Garamond" w:cs="Times New Roman"/>
          <w:bCs/>
          <w:sz w:val="22"/>
          <w:szCs w:val="22"/>
          <w:lang w:eastAsia="en-US"/>
        </w:rPr>
        <w:fldChar w:fldCharType="begin"/>
      </w:r>
      <w:r w:rsidRPr="00AD67C2">
        <w:rPr>
          <w:rFonts w:ascii="Garamond" w:eastAsia="Calibri" w:hAnsi="Garamond" w:cs="Times New Roman"/>
          <w:bCs/>
          <w:sz w:val="22"/>
          <w:szCs w:val="22"/>
          <w:lang w:eastAsia="en-US"/>
        </w:rPr>
        <w:instrText xml:space="preserve"> REF _Ref149302018 \r \h </w:instrText>
      </w:r>
      <w:r w:rsidR="00AD67C2" w:rsidRPr="00AD67C2">
        <w:rPr>
          <w:rFonts w:ascii="Garamond" w:eastAsia="Calibri" w:hAnsi="Garamond" w:cs="Times New Roman"/>
          <w:bCs/>
          <w:sz w:val="22"/>
          <w:szCs w:val="22"/>
          <w:lang w:eastAsia="en-US"/>
        </w:rPr>
        <w:instrText xml:space="preserve"> \* MERGEFORMAT </w:instrText>
      </w:r>
      <w:r w:rsidRPr="00AD67C2">
        <w:rPr>
          <w:rFonts w:ascii="Garamond" w:eastAsia="Calibri" w:hAnsi="Garamond" w:cs="Times New Roman"/>
          <w:bCs/>
          <w:sz w:val="22"/>
          <w:szCs w:val="22"/>
          <w:lang w:eastAsia="en-US"/>
        </w:rPr>
      </w:r>
      <w:r w:rsidRPr="00AD67C2">
        <w:rPr>
          <w:rFonts w:ascii="Garamond" w:eastAsia="Calibri" w:hAnsi="Garamond" w:cs="Times New Roman"/>
          <w:bCs/>
          <w:sz w:val="22"/>
          <w:szCs w:val="22"/>
          <w:lang w:eastAsia="en-US"/>
        </w:rPr>
        <w:fldChar w:fldCharType="separate"/>
      </w:r>
      <w:r w:rsidRPr="00AD67C2">
        <w:rPr>
          <w:rFonts w:ascii="Garamond" w:eastAsia="Calibri" w:hAnsi="Garamond" w:cs="Times New Roman"/>
          <w:bCs/>
          <w:sz w:val="22"/>
          <w:szCs w:val="22"/>
          <w:lang w:eastAsia="en-US"/>
        </w:rPr>
        <w:t>3.12</w:t>
      </w:r>
      <w:r w:rsidRPr="00AD67C2">
        <w:rPr>
          <w:rFonts w:ascii="Garamond" w:eastAsia="Calibri" w:hAnsi="Garamond" w:cs="Times New Roman"/>
          <w:bCs/>
          <w:sz w:val="22"/>
          <w:szCs w:val="22"/>
          <w:lang w:eastAsia="en-US"/>
        </w:rPr>
        <w:fldChar w:fldCharType="end"/>
      </w:r>
      <w:r w:rsidRPr="00AD67C2">
        <w:rPr>
          <w:rFonts w:ascii="Garamond" w:eastAsia="Calibri" w:hAnsi="Garamond" w:cs="Times New Roman"/>
          <w:bCs/>
          <w:sz w:val="22"/>
          <w:szCs w:val="22"/>
          <w:lang w:eastAsia="en-US"/>
        </w:rPr>
        <w:t xml:space="preserve"> настоящего приложения, заявителю необходимо повторно указать реквизиты вышеуказанных актов в заявлении, направляемом </w:t>
      </w:r>
      <w:r w:rsidR="00CC5658">
        <w:rPr>
          <w:rFonts w:ascii="Garamond" w:eastAsia="Calibri" w:hAnsi="Garamond" w:cs="Times New Roman"/>
          <w:bCs/>
          <w:sz w:val="22"/>
          <w:szCs w:val="22"/>
          <w:lang w:eastAsia="en-US"/>
        </w:rPr>
        <w:t xml:space="preserve">согласно </w:t>
      </w:r>
      <w:r w:rsidRPr="00AD67C2">
        <w:rPr>
          <w:rFonts w:ascii="Garamond" w:eastAsia="Calibri" w:hAnsi="Garamond" w:cs="Times New Roman"/>
          <w:bCs/>
          <w:sz w:val="22"/>
          <w:szCs w:val="22"/>
          <w:lang w:eastAsia="en-US"/>
        </w:rPr>
        <w:t xml:space="preserve">п. </w:t>
      </w:r>
      <w:r w:rsidRPr="00AD67C2">
        <w:rPr>
          <w:rFonts w:ascii="Garamond" w:eastAsia="Calibri" w:hAnsi="Garamond" w:cs="Times New Roman"/>
          <w:bCs/>
          <w:sz w:val="22"/>
          <w:szCs w:val="22"/>
          <w:lang w:eastAsia="en-US"/>
        </w:rPr>
        <w:fldChar w:fldCharType="begin"/>
      </w:r>
      <w:r w:rsidRPr="00AD67C2">
        <w:rPr>
          <w:rFonts w:ascii="Garamond" w:eastAsia="Calibri" w:hAnsi="Garamond" w:cs="Times New Roman"/>
          <w:bCs/>
          <w:sz w:val="22"/>
          <w:szCs w:val="22"/>
          <w:lang w:eastAsia="en-US"/>
        </w:rPr>
        <w:instrText xml:space="preserve"> REF _Ref149302018 \r \h </w:instrText>
      </w:r>
      <w:r w:rsidR="00AD67C2" w:rsidRPr="00AD67C2">
        <w:rPr>
          <w:rFonts w:ascii="Garamond" w:eastAsia="Calibri" w:hAnsi="Garamond" w:cs="Times New Roman"/>
          <w:bCs/>
          <w:sz w:val="22"/>
          <w:szCs w:val="22"/>
          <w:lang w:eastAsia="en-US"/>
        </w:rPr>
        <w:instrText xml:space="preserve"> \* MERGEFORMAT </w:instrText>
      </w:r>
      <w:r w:rsidRPr="00AD67C2">
        <w:rPr>
          <w:rFonts w:ascii="Garamond" w:eastAsia="Calibri" w:hAnsi="Garamond" w:cs="Times New Roman"/>
          <w:bCs/>
          <w:sz w:val="22"/>
          <w:szCs w:val="22"/>
          <w:lang w:eastAsia="en-US"/>
        </w:rPr>
      </w:r>
      <w:r w:rsidRPr="00AD67C2">
        <w:rPr>
          <w:rFonts w:ascii="Garamond" w:eastAsia="Calibri" w:hAnsi="Garamond" w:cs="Times New Roman"/>
          <w:bCs/>
          <w:sz w:val="22"/>
          <w:szCs w:val="22"/>
          <w:lang w:eastAsia="en-US"/>
        </w:rPr>
        <w:fldChar w:fldCharType="separate"/>
      </w:r>
      <w:r w:rsidRPr="00AD67C2">
        <w:rPr>
          <w:rFonts w:ascii="Garamond" w:eastAsia="Calibri" w:hAnsi="Garamond" w:cs="Times New Roman"/>
          <w:bCs/>
          <w:sz w:val="22"/>
          <w:szCs w:val="22"/>
          <w:lang w:eastAsia="en-US"/>
        </w:rPr>
        <w:t>3.12</w:t>
      </w:r>
      <w:r w:rsidRPr="00AD67C2">
        <w:rPr>
          <w:rFonts w:ascii="Garamond" w:eastAsia="Calibri" w:hAnsi="Garamond" w:cs="Times New Roman"/>
          <w:bCs/>
          <w:sz w:val="22"/>
          <w:szCs w:val="22"/>
          <w:lang w:eastAsia="en-US"/>
        </w:rPr>
        <w:fldChar w:fldCharType="end"/>
      </w:r>
      <w:r w:rsidRPr="00AD67C2">
        <w:rPr>
          <w:rFonts w:ascii="Garamond" w:eastAsia="Calibri" w:hAnsi="Garamond" w:cs="Times New Roman"/>
          <w:bCs/>
          <w:sz w:val="22"/>
          <w:szCs w:val="22"/>
          <w:lang w:eastAsia="en-US"/>
        </w:rPr>
        <w:t xml:space="preserve"> настоящего приложения. В указанном выше случае, если реквизиты актов в заявлении не </w:t>
      </w:r>
      <w:r w:rsidR="00CC5658">
        <w:rPr>
          <w:rFonts w:ascii="Garamond" w:eastAsia="Calibri" w:hAnsi="Garamond" w:cs="Times New Roman"/>
          <w:bCs/>
          <w:sz w:val="22"/>
          <w:szCs w:val="22"/>
          <w:lang w:eastAsia="en-US"/>
        </w:rPr>
        <w:t>заполнены</w:t>
      </w:r>
      <w:r w:rsidRPr="00AD67C2">
        <w:rPr>
          <w:rFonts w:ascii="Garamond" w:eastAsia="Calibri" w:hAnsi="Garamond" w:cs="Times New Roman"/>
          <w:bCs/>
          <w:sz w:val="22"/>
          <w:szCs w:val="22"/>
          <w:lang w:eastAsia="en-US"/>
        </w:rPr>
        <w:t>, процедура подтверждения соответствия системы учета техническим требованиям оптового рынк</w:t>
      </w:r>
      <w:r w:rsidR="001B3CED">
        <w:rPr>
          <w:rFonts w:ascii="Garamond" w:eastAsia="Calibri" w:hAnsi="Garamond" w:cs="Times New Roman"/>
          <w:bCs/>
          <w:sz w:val="22"/>
          <w:szCs w:val="22"/>
          <w:lang w:eastAsia="en-US"/>
        </w:rPr>
        <w:t>а проводится в соответствии с п</w:t>
      </w:r>
      <w:r w:rsidRPr="00AD67C2">
        <w:rPr>
          <w:rFonts w:ascii="Garamond" w:eastAsia="Calibri" w:hAnsi="Garamond" w:cs="Times New Roman"/>
          <w:bCs/>
          <w:sz w:val="22"/>
          <w:szCs w:val="22"/>
          <w:lang w:eastAsia="en-US"/>
        </w:rPr>
        <w:t xml:space="preserve">п. </w:t>
      </w:r>
      <w:r w:rsidRPr="00AD67C2">
        <w:rPr>
          <w:rFonts w:ascii="Garamond" w:eastAsia="Calibri" w:hAnsi="Garamond" w:cs="Times New Roman"/>
          <w:bCs/>
          <w:sz w:val="22"/>
          <w:szCs w:val="22"/>
          <w:lang w:eastAsia="en-US"/>
        </w:rPr>
        <w:fldChar w:fldCharType="begin"/>
      </w:r>
      <w:r w:rsidRPr="00AD67C2">
        <w:rPr>
          <w:rFonts w:ascii="Garamond" w:eastAsia="Calibri" w:hAnsi="Garamond" w:cs="Times New Roman"/>
          <w:bCs/>
          <w:sz w:val="22"/>
          <w:szCs w:val="22"/>
          <w:lang w:eastAsia="en-US"/>
        </w:rPr>
        <w:instrText xml:space="preserve"> REF _Ref149308149 \r \h </w:instrText>
      </w:r>
      <w:r w:rsidR="00AD67C2" w:rsidRPr="00AD67C2">
        <w:rPr>
          <w:rFonts w:ascii="Garamond" w:eastAsia="Calibri" w:hAnsi="Garamond" w:cs="Times New Roman"/>
          <w:bCs/>
          <w:sz w:val="22"/>
          <w:szCs w:val="22"/>
          <w:lang w:eastAsia="en-US"/>
        </w:rPr>
        <w:instrText xml:space="preserve"> \* MERGEFORMAT </w:instrText>
      </w:r>
      <w:r w:rsidRPr="00AD67C2">
        <w:rPr>
          <w:rFonts w:ascii="Garamond" w:eastAsia="Calibri" w:hAnsi="Garamond" w:cs="Times New Roman"/>
          <w:bCs/>
          <w:sz w:val="22"/>
          <w:szCs w:val="22"/>
          <w:lang w:eastAsia="en-US"/>
        </w:rPr>
      </w:r>
      <w:r w:rsidRPr="00AD67C2">
        <w:rPr>
          <w:rFonts w:ascii="Garamond" w:eastAsia="Calibri" w:hAnsi="Garamond" w:cs="Times New Roman"/>
          <w:bCs/>
          <w:sz w:val="22"/>
          <w:szCs w:val="22"/>
          <w:lang w:eastAsia="en-US"/>
        </w:rPr>
        <w:fldChar w:fldCharType="separate"/>
      </w:r>
      <w:r w:rsidRPr="00AD67C2">
        <w:rPr>
          <w:rFonts w:ascii="Garamond" w:eastAsia="Calibri" w:hAnsi="Garamond" w:cs="Times New Roman"/>
          <w:bCs/>
          <w:sz w:val="22"/>
          <w:szCs w:val="22"/>
          <w:lang w:eastAsia="en-US"/>
        </w:rPr>
        <w:t>3.8.1</w:t>
      </w:r>
      <w:r w:rsidRPr="00AD67C2">
        <w:rPr>
          <w:rFonts w:ascii="Garamond" w:eastAsia="Calibri" w:hAnsi="Garamond" w:cs="Times New Roman"/>
          <w:bCs/>
          <w:sz w:val="22"/>
          <w:szCs w:val="22"/>
          <w:lang w:eastAsia="en-US"/>
        </w:rPr>
        <w:fldChar w:fldCharType="end"/>
      </w:r>
      <w:r w:rsidR="001B3CED">
        <w:rPr>
          <w:rFonts w:ascii="Garamond" w:eastAsia="Calibri" w:hAnsi="Garamond" w:cs="Times New Roman"/>
          <w:bCs/>
          <w:sz w:val="22"/>
          <w:szCs w:val="22"/>
          <w:lang w:eastAsia="en-US"/>
        </w:rPr>
        <w:t xml:space="preserve">, </w:t>
      </w:r>
      <w:r w:rsidRPr="00AD67C2">
        <w:rPr>
          <w:rFonts w:ascii="Garamond" w:eastAsia="Calibri" w:hAnsi="Garamond" w:cs="Times New Roman"/>
          <w:bCs/>
          <w:sz w:val="22"/>
          <w:szCs w:val="22"/>
          <w:lang w:eastAsia="en-US"/>
        </w:rPr>
        <w:fldChar w:fldCharType="begin"/>
      </w:r>
      <w:r w:rsidRPr="00AD67C2">
        <w:rPr>
          <w:rFonts w:ascii="Garamond" w:eastAsia="Calibri" w:hAnsi="Garamond" w:cs="Times New Roman"/>
          <w:bCs/>
          <w:sz w:val="22"/>
          <w:szCs w:val="22"/>
          <w:lang w:eastAsia="en-US"/>
        </w:rPr>
        <w:instrText xml:space="preserve"> REF _Ref149308552 \r \h </w:instrText>
      </w:r>
      <w:r w:rsidR="00AD67C2" w:rsidRPr="00AD67C2">
        <w:rPr>
          <w:rFonts w:ascii="Garamond" w:eastAsia="Calibri" w:hAnsi="Garamond" w:cs="Times New Roman"/>
          <w:bCs/>
          <w:sz w:val="22"/>
          <w:szCs w:val="22"/>
          <w:lang w:eastAsia="en-US"/>
        </w:rPr>
        <w:instrText xml:space="preserve"> \* MERGEFORMAT </w:instrText>
      </w:r>
      <w:r w:rsidRPr="00AD67C2">
        <w:rPr>
          <w:rFonts w:ascii="Garamond" w:eastAsia="Calibri" w:hAnsi="Garamond" w:cs="Times New Roman"/>
          <w:bCs/>
          <w:sz w:val="22"/>
          <w:szCs w:val="22"/>
          <w:lang w:eastAsia="en-US"/>
        </w:rPr>
      </w:r>
      <w:r w:rsidRPr="00AD67C2">
        <w:rPr>
          <w:rFonts w:ascii="Garamond" w:eastAsia="Calibri" w:hAnsi="Garamond" w:cs="Times New Roman"/>
          <w:bCs/>
          <w:sz w:val="22"/>
          <w:szCs w:val="22"/>
          <w:lang w:eastAsia="en-US"/>
        </w:rPr>
        <w:fldChar w:fldCharType="separate"/>
      </w:r>
      <w:r w:rsidRPr="00AD67C2">
        <w:rPr>
          <w:rFonts w:ascii="Garamond" w:eastAsia="Calibri" w:hAnsi="Garamond" w:cs="Times New Roman"/>
          <w:bCs/>
          <w:sz w:val="22"/>
          <w:szCs w:val="22"/>
          <w:lang w:eastAsia="en-US"/>
        </w:rPr>
        <w:t>3.8.2</w:t>
      </w:r>
      <w:r w:rsidRPr="00AD67C2">
        <w:rPr>
          <w:rFonts w:ascii="Garamond" w:eastAsia="Calibri" w:hAnsi="Garamond" w:cs="Times New Roman"/>
          <w:bCs/>
          <w:sz w:val="22"/>
          <w:szCs w:val="22"/>
          <w:lang w:eastAsia="en-US"/>
        </w:rPr>
        <w:fldChar w:fldCharType="end"/>
      </w:r>
      <w:r w:rsidRPr="00AD67C2">
        <w:rPr>
          <w:rFonts w:ascii="Garamond" w:eastAsia="Calibri" w:hAnsi="Garamond" w:cs="Times New Roman"/>
          <w:bCs/>
          <w:sz w:val="22"/>
          <w:szCs w:val="22"/>
          <w:lang w:eastAsia="en-US"/>
        </w:rPr>
        <w:t xml:space="preserve"> настоящего </w:t>
      </w:r>
      <w:r w:rsidR="0013627E">
        <w:rPr>
          <w:rFonts w:ascii="Garamond" w:eastAsia="Calibri" w:hAnsi="Garamond" w:cs="Times New Roman"/>
          <w:bCs/>
          <w:sz w:val="22"/>
          <w:szCs w:val="22"/>
          <w:lang w:eastAsia="en-US"/>
        </w:rPr>
        <w:t>п</w:t>
      </w:r>
      <w:r w:rsidRPr="00AD67C2">
        <w:rPr>
          <w:rFonts w:ascii="Garamond" w:eastAsia="Calibri" w:hAnsi="Garamond" w:cs="Times New Roman"/>
          <w:bCs/>
          <w:sz w:val="22"/>
          <w:szCs w:val="22"/>
          <w:lang w:eastAsia="en-US"/>
        </w:rPr>
        <w:t>риложения.</w:t>
      </w:r>
    </w:p>
    <w:p w14:paraId="7E772A35" w14:textId="5C4F688E" w:rsidR="001333B2" w:rsidRPr="00AD67C2" w:rsidRDefault="001333B2" w:rsidP="00AD67C2">
      <w:pPr>
        <w:widowControl w:val="0"/>
        <w:tabs>
          <w:tab w:val="left" w:pos="1077"/>
        </w:tabs>
        <w:suppressAutoHyphens w:val="0"/>
        <w:spacing w:before="120" w:after="120"/>
        <w:ind w:firstLine="601"/>
        <w:jc w:val="both"/>
        <w:rPr>
          <w:rFonts w:ascii="Garamond" w:eastAsia="Calibri" w:hAnsi="Garamond" w:cs="Times New Roman"/>
          <w:bCs/>
          <w:sz w:val="22"/>
          <w:szCs w:val="22"/>
          <w:lang w:eastAsia="en-US"/>
        </w:rPr>
      </w:pPr>
      <w:r w:rsidRPr="00AD67C2">
        <w:rPr>
          <w:rFonts w:ascii="Garamond" w:eastAsia="Calibri" w:hAnsi="Garamond" w:cs="Times New Roman"/>
          <w:bCs/>
          <w:sz w:val="22"/>
          <w:szCs w:val="22"/>
          <w:lang w:eastAsia="en-US"/>
        </w:rPr>
        <w:t xml:space="preserve">В случае если устранение замечаний в порядке, предусмотренном п. </w:t>
      </w:r>
      <w:r w:rsidRPr="00AD67C2">
        <w:rPr>
          <w:rFonts w:ascii="Garamond" w:eastAsia="Calibri" w:hAnsi="Garamond" w:cs="Times New Roman"/>
          <w:bCs/>
          <w:sz w:val="22"/>
          <w:szCs w:val="22"/>
          <w:lang w:eastAsia="en-US"/>
        </w:rPr>
        <w:fldChar w:fldCharType="begin"/>
      </w:r>
      <w:r w:rsidRPr="00AD67C2">
        <w:rPr>
          <w:rFonts w:ascii="Garamond" w:eastAsia="Calibri" w:hAnsi="Garamond" w:cs="Times New Roman"/>
          <w:bCs/>
          <w:sz w:val="22"/>
          <w:szCs w:val="22"/>
          <w:lang w:eastAsia="en-US"/>
        </w:rPr>
        <w:instrText xml:space="preserve"> REF _Ref149302018 \r \h </w:instrText>
      </w:r>
      <w:r w:rsidR="00AD67C2" w:rsidRPr="00AD67C2">
        <w:rPr>
          <w:rFonts w:ascii="Garamond" w:eastAsia="Calibri" w:hAnsi="Garamond" w:cs="Times New Roman"/>
          <w:bCs/>
          <w:sz w:val="22"/>
          <w:szCs w:val="22"/>
          <w:lang w:eastAsia="en-US"/>
        </w:rPr>
        <w:instrText xml:space="preserve"> \* MERGEFORMAT </w:instrText>
      </w:r>
      <w:r w:rsidRPr="00AD67C2">
        <w:rPr>
          <w:rFonts w:ascii="Garamond" w:eastAsia="Calibri" w:hAnsi="Garamond" w:cs="Times New Roman"/>
          <w:bCs/>
          <w:sz w:val="22"/>
          <w:szCs w:val="22"/>
          <w:lang w:eastAsia="en-US"/>
        </w:rPr>
      </w:r>
      <w:r w:rsidRPr="00AD67C2">
        <w:rPr>
          <w:rFonts w:ascii="Garamond" w:eastAsia="Calibri" w:hAnsi="Garamond" w:cs="Times New Roman"/>
          <w:bCs/>
          <w:sz w:val="22"/>
          <w:szCs w:val="22"/>
          <w:lang w:eastAsia="en-US"/>
        </w:rPr>
        <w:fldChar w:fldCharType="separate"/>
      </w:r>
      <w:r w:rsidRPr="00AD67C2">
        <w:rPr>
          <w:rFonts w:ascii="Garamond" w:eastAsia="Calibri" w:hAnsi="Garamond" w:cs="Times New Roman"/>
          <w:bCs/>
          <w:sz w:val="22"/>
          <w:szCs w:val="22"/>
          <w:lang w:eastAsia="en-US"/>
        </w:rPr>
        <w:t>3.12</w:t>
      </w:r>
      <w:r w:rsidRPr="00AD67C2">
        <w:rPr>
          <w:rFonts w:ascii="Garamond" w:eastAsia="Calibri" w:hAnsi="Garamond" w:cs="Times New Roman"/>
          <w:bCs/>
          <w:sz w:val="22"/>
          <w:szCs w:val="22"/>
          <w:lang w:eastAsia="en-US"/>
        </w:rPr>
        <w:fldChar w:fldCharType="end"/>
      </w:r>
      <w:r w:rsidRPr="00AD67C2">
        <w:rPr>
          <w:rFonts w:ascii="Garamond" w:eastAsia="Calibri" w:hAnsi="Garamond" w:cs="Times New Roman"/>
          <w:bCs/>
          <w:sz w:val="22"/>
          <w:szCs w:val="22"/>
          <w:lang w:eastAsia="en-US"/>
        </w:rPr>
        <w:t xml:space="preserve"> настоящего приложения, не влечет проведение повторной процедуры подтверждения соответствия системы учета техническим требованиям оптового рынка </w:t>
      </w:r>
      <w:r w:rsidR="005951D1">
        <w:rPr>
          <w:rFonts w:ascii="Garamond" w:eastAsia="Calibri" w:hAnsi="Garamond" w:cs="Times New Roman"/>
          <w:bCs/>
          <w:sz w:val="22"/>
          <w:szCs w:val="22"/>
          <w:lang w:eastAsia="en-US"/>
        </w:rPr>
        <w:t xml:space="preserve">согласно </w:t>
      </w:r>
      <w:r w:rsidRPr="00AD67C2">
        <w:rPr>
          <w:rFonts w:ascii="Garamond" w:eastAsia="Calibri" w:hAnsi="Garamond" w:cs="Times New Roman"/>
          <w:bCs/>
          <w:sz w:val="22"/>
          <w:szCs w:val="22"/>
          <w:lang w:eastAsia="en-US"/>
        </w:rPr>
        <w:t>подпункт</w:t>
      </w:r>
      <w:r w:rsidR="005951D1">
        <w:rPr>
          <w:rFonts w:ascii="Garamond" w:eastAsia="Calibri" w:hAnsi="Garamond" w:cs="Times New Roman"/>
          <w:bCs/>
          <w:sz w:val="22"/>
          <w:szCs w:val="22"/>
          <w:lang w:eastAsia="en-US"/>
        </w:rPr>
        <w:t>у</w:t>
      </w:r>
      <w:r w:rsidRPr="00AD67C2">
        <w:rPr>
          <w:rFonts w:ascii="Garamond" w:eastAsia="Calibri" w:hAnsi="Garamond" w:cs="Times New Roman"/>
          <w:bCs/>
          <w:sz w:val="22"/>
          <w:szCs w:val="22"/>
          <w:lang w:eastAsia="en-US"/>
        </w:rPr>
        <w:t xml:space="preserve"> «в» п. </w:t>
      </w:r>
      <w:r w:rsidRPr="00AD67C2">
        <w:rPr>
          <w:rFonts w:ascii="Garamond" w:eastAsia="Calibri" w:hAnsi="Garamond" w:cs="Times New Roman"/>
          <w:bCs/>
          <w:sz w:val="22"/>
          <w:szCs w:val="22"/>
          <w:lang w:eastAsia="en-US"/>
        </w:rPr>
        <w:fldChar w:fldCharType="begin"/>
      </w:r>
      <w:r w:rsidRPr="00AD67C2">
        <w:rPr>
          <w:rFonts w:ascii="Garamond" w:eastAsia="Calibri" w:hAnsi="Garamond" w:cs="Times New Roman"/>
          <w:bCs/>
          <w:sz w:val="22"/>
          <w:szCs w:val="22"/>
          <w:lang w:eastAsia="en-US"/>
        </w:rPr>
        <w:instrText xml:space="preserve"> REF _Ref149302018 \r \h </w:instrText>
      </w:r>
      <w:r w:rsidR="00AD67C2" w:rsidRPr="00AD67C2">
        <w:rPr>
          <w:rFonts w:ascii="Garamond" w:eastAsia="Calibri" w:hAnsi="Garamond" w:cs="Times New Roman"/>
          <w:bCs/>
          <w:sz w:val="22"/>
          <w:szCs w:val="22"/>
          <w:lang w:eastAsia="en-US"/>
        </w:rPr>
        <w:instrText xml:space="preserve"> \* MERGEFORMAT </w:instrText>
      </w:r>
      <w:r w:rsidRPr="00AD67C2">
        <w:rPr>
          <w:rFonts w:ascii="Garamond" w:eastAsia="Calibri" w:hAnsi="Garamond" w:cs="Times New Roman"/>
          <w:bCs/>
          <w:sz w:val="22"/>
          <w:szCs w:val="22"/>
          <w:lang w:eastAsia="en-US"/>
        </w:rPr>
      </w:r>
      <w:r w:rsidRPr="00AD67C2">
        <w:rPr>
          <w:rFonts w:ascii="Garamond" w:eastAsia="Calibri" w:hAnsi="Garamond" w:cs="Times New Roman"/>
          <w:bCs/>
          <w:sz w:val="22"/>
          <w:szCs w:val="22"/>
          <w:lang w:eastAsia="en-US"/>
        </w:rPr>
        <w:fldChar w:fldCharType="separate"/>
      </w:r>
      <w:r w:rsidRPr="00AD67C2">
        <w:rPr>
          <w:rFonts w:ascii="Garamond" w:eastAsia="Calibri" w:hAnsi="Garamond" w:cs="Times New Roman"/>
          <w:bCs/>
          <w:sz w:val="22"/>
          <w:szCs w:val="22"/>
          <w:lang w:eastAsia="en-US"/>
        </w:rPr>
        <w:t>3.12</w:t>
      </w:r>
      <w:r w:rsidRPr="00AD67C2">
        <w:rPr>
          <w:rFonts w:ascii="Garamond" w:eastAsia="Calibri" w:hAnsi="Garamond" w:cs="Times New Roman"/>
          <w:bCs/>
          <w:sz w:val="22"/>
          <w:szCs w:val="22"/>
          <w:lang w:eastAsia="en-US"/>
        </w:rPr>
        <w:fldChar w:fldCharType="end"/>
      </w:r>
      <w:r w:rsidRPr="00AD67C2">
        <w:rPr>
          <w:rFonts w:ascii="Garamond" w:eastAsia="Calibri" w:hAnsi="Garamond" w:cs="Times New Roman"/>
          <w:bCs/>
          <w:sz w:val="22"/>
          <w:szCs w:val="22"/>
          <w:lang w:eastAsia="en-US"/>
        </w:rPr>
        <w:t xml:space="preserve"> настоящего приложения, проверка в соответствии с настоящим пунктом не проводится.</w:t>
      </w:r>
    </w:p>
    <w:p w14:paraId="3C9B3D92" w14:textId="29EEED65" w:rsidR="001333B2" w:rsidRPr="00AD67C2" w:rsidRDefault="0013627E" w:rsidP="00AD67C2">
      <w:pPr>
        <w:widowControl w:val="0"/>
        <w:numPr>
          <w:ilvl w:val="2"/>
          <w:numId w:val="310"/>
        </w:numPr>
        <w:tabs>
          <w:tab w:val="left" w:pos="1077"/>
        </w:tabs>
        <w:suppressAutoHyphens w:val="0"/>
        <w:spacing w:before="120" w:after="120" w:line="259" w:lineRule="auto"/>
        <w:ind w:left="0" w:firstLine="601"/>
        <w:jc w:val="both"/>
        <w:outlineLvl w:val="1"/>
        <w:rPr>
          <w:rFonts w:ascii="Garamond" w:eastAsia="Calibri" w:hAnsi="Garamond" w:cs="Times New Roman"/>
          <w:bCs/>
          <w:sz w:val="22"/>
          <w:szCs w:val="22"/>
          <w:lang w:eastAsia="en-US"/>
        </w:rPr>
      </w:pPr>
      <w:r>
        <w:rPr>
          <w:rFonts w:ascii="Garamond" w:eastAsia="Calibri" w:hAnsi="Garamond" w:cs="Times New Roman"/>
          <w:bCs/>
          <w:sz w:val="22"/>
          <w:szCs w:val="22"/>
          <w:lang w:eastAsia="en-US"/>
        </w:rPr>
        <w:t xml:space="preserve"> </w:t>
      </w:r>
      <w:r w:rsidR="001333B2" w:rsidRPr="00AD67C2">
        <w:rPr>
          <w:rFonts w:ascii="Garamond" w:eastAsia="Calibri" w:hAnsi="Garamond" w:cs="Times New Roman"/>
          <w:bCs/>
          <w:sz w:val="22"/>
          <w:szCs w:val="22"/>
          <w:lang w:eastAsia="en-US"/>
        </w:rPr>
        <w:t xml:space="preserve">В случае завершения с положительным результатом проверок, предусмотренных </w:t>
      </w:r>
      <w:r>
        <w:rPr>
          <w:rFonts w:ascii="Garamond" w:eastAsia="Calibri" w:hAnsi="Garamond" w:cs="Times New Roman"/>
          <w:bCs/>
          <w:sz w:val="22"/>
          <w:szCs w:val="22"/>
          <w:lang w:eastAsia="en-US"/>
        </w:rPr>
        <w:t>п</w:t>
      </w:r>
      <w:r w:rsidR="001333B2" w:rsidRPr="00AD67C2">
        <w:rPr>
          <w:rFonts w:ascii="Garamond" w:eastAsia="Calibri" w:hAnsi="Garamond" w:cs="Times New Roman"/>
          <w:bCs/>
          <w:sz w:val="22"/>
          <w:szCs w:val="22"/>
          <w:lang w:eastAsia="en-US"/>
        </w:rPr>
        <w:t xml:space="preserve">п. </w:t>
      </w:r>
      <w:r w:rsidR="001333B2" w:rsidRPr="00AD67C2">
        <w:rPr>
          <w:rFonts w:ascii="Garamond" w:eastAsia="Calibri" w:hAnsi="Garamond" w:cs="Times New Roman"/>
          <w:bCs/>
          <w:sz w:val="22"/>
          <w:szCs w:val="22"/>
          <w:lang w:eastAsia="en-US"/>
        </w:rPr>
        <w:fldChar w:fldCharType="begin"/>
      </w:r>
      <w:r w:rsidR="001333B2" w:rsidRPr="00AD67C2">
        <w:rPr>
          <w:rFonts w:ascii="Garamond" w:eastAsia="Calibri" w:hAnsi="Garamond" w:cs="Times New Roman"/>
          <w:bCs/>
          <w:sz w:val="22"/>
          <w:szCs w:val="22"/>
          <w:lang w:eastAsia="en-US"/>
        </w:rPr>
        <w:instrText xml:space="preserve"> REF _Ref149308149 \r \h  \* MERGEFORMAT </w:instrText>
      </w:r>
      <w:r w:rsidR="001333B2" w:rsidRPr="00AD67C2">
        <w:rPr>
          <w:rFonts w:ascii="Garamond" w:eastAsia="Calibri" w:hAnsi="Garamond" w:cs="Times New Roman"/>
          <w:bCs/>
          <w:sz w:val="22"/>
          <w:szCs w:val="22"/>
          <w:lang w:eastAsia="en-US"/>
        </w:rPr>
      </w:r>
      <w:r w:rsidR="001333B2" w:rsidRPr="00AD67C2">
        <w:rPr>
          <w:rFonts w:ascii="Garamond" w:eastAsia="Calibri" w:hAnsi="Garamond" w:cs="Times New Roman"/>
          <w:bCs/>
          <w:sz w:val="22"/>
          <w:szCs w:val="22"/>
          <w:lang w:eastAsia="en-US"/>
        </w:rPr>
        <w:fldChar w:fldCharType="separate"/>
      </w:r>
      <w:r w:rsidR="001333B2" w:rsidRPr="00AD67C2">
        <w:rPr>
          <w:rFonts w:ascii="Garamond" w:eastAsia="Calibri" w:hAnsi="Garamond" w:cs="Times New Roman"/>
          <w:bCs/>
          <w:sz w:val="22"/>
          <w:szCs w:val="22"/>
          <w:lang w:eastAsia="en-US"/>
        </w:rPr>
        <w:t>3.8.1</w:t>
      </w:r>
      <w:r w:rsidR="001333B2" w:rsidRPr="00AD67C2">
        <w:rPr>
          <w:rFonts w:ascii="Garamond" w:eastAsia="Calibri" w:hAnsi="Garamond" w:cs="Times New Roman"/>
          <w:bCs/>
          <w:sz w:val="22"/>
          <w:szCs w:val="22"/>
          <w:lang w:eastAsia="en-US"/>
        </w:rPr>
        <w:fldChar w:fldCharType="end"/>
      </w:r>
      <w:r w:rsidR="001333B2" w:rsidRPr="00AD67C2">
        <w:rPr>
          <w:rFonts w:ascii="Garamond" w:eastAsia="Calibri" w:hAnsi="Garamond" w:cs="Times New Roman"/>
          <w:bCs/>
          <w:sz w:val="22"/>
          <w:szCs w:val="22"/>
          <w:lang w:eastAsia="en-US"/>
        </w:rPr>
        <w:t xml:space="preserve"> и </w:t>
      </w:r>
      <w:r w:rsidR="001333B2" w:rsidRPr="00AD67C2">
        <w:rPr>
          <w:rFonts w:ascii="Garamond" w:eastAsia="Calibri" w:hAnsi="Garamond" w:cs="Times New Roman"/>
          <w:bCs/>
          <w:sz w:val="22"/>
          <w:szCs w:val="22"/>
          <w:lang w:eastAsia="en-US"/>
        </w:rPr>
        <w:fldChar w:fldCharType="begin"/>
      </w:r>
      <w:r w:rsidR="001333B2" w:rsidRPr="00AD67C2">
        <w:rPr>
          <w:rFonts w:ascii="Garamond" w:eastAsia="Calibri" w:hAnsi="Garamond" w:cs="Times New Roman"/>
          <w:bCs/>
          <w:sz w:val="22"/>
          <w:szCs w:val="22"/>
          <w:lang w:eastAsia="en-US"/>
        </w:rPr>
        <w:instrText xml:space="preserve"> REF _Ref149308552 \r \h  \* MERGEFORMAT </w:instrText>
      </w:r>
      <w:r w:rsidR="001333B2" w:rsidRPr="00AD67C2">
        <w:rPr>
          <w:rFonts w:ascii="Garamond" w:eastAsia="Calibri" w:hAnsi="Garamond" w:cs="Times New Roman"/>
          <w:bCs/>
          <w:sz w:val="22"/>
          <w:szCs w:val="22"/>
          <w:lang w:eastAsia="en-US"/>
        </w:rPr>
      </w:r>
      <w:r w:rsidR="001333B2" w:rsidRPr="00AD67C2">
        <w:rPr>
          <w:rFonts w:ascii="Garamond" w:eastAsia="Calibri" w:hAnsi="Garamond" w:cs="Times New Roman"/>
          <w:bCs/>
          <w:sz w:val="22"/>
          <w:szCs w:val="22"/>
          <w:lang w:eastAsia="en-US"/>
        </w:rPr>
        <w:fldChar w:fldCharType="separate"/>
      </w:r>
      <w:r w:rsidR="001333B2" w:rsidRPr="00AD67C2">
        <w:rPr>
          <w:rFonts w:ascii="Garamond" w:eastAsia="Calibri" w:hAnsi="Garamond" w:cs="Times New Roman"/>
          <w:bCs/>
          <w:sz w:val="22"/>
          <w:szCs w:val="22"/>
          <w:lang w:eastAsia="en-US"/>
        </w:rPr>
        <w:t>3.8.2</w:t>
      </w:r>
      <w:r w:rsidR="001333B2" w:rsidRPr="00AD67C2">
        <w:rPr>
          <w:rFonts w:ascii="Garamond" w:eastAsia="Calibri" w:hAnsi="Garamond" w:cs="Times New Roman"/>
          <w:bCs/>
          <w:sz w:val="22"/>
          <w:szCs w:val="22"/>
          <w:lang w:eastAsia="en-US"/>
        </w:rPr>
        <w:fldChar w:fldCharType="end"/>
      </w:r>
      <w:r w:rsidR="001333B2" w:rsidRPr="00AD67C2">
        <w:rPr>
          <w:rFonts w:ascii="Garamond" w:eastAsia="Calibri" w:hAnsi="Garamond" w:cs="Times New Roman"/>
          <w:bCs/>
          <w:sz w:val="22"/>
          <w:szCs w:val="22"/>
          <w:lang w:eastAsia="en-US"/>
        </w:rPr>
        <w:t xml:space="preserve"> настоящего приложения, КО устанавливает срок подтверждения соответствия системы учета электроэнергии техническим требованиям оптового рынка по заявленному объекту регулирования равным наименьшей из дат:</w:t>
      </w:r>
    </w:p>
    <w:p w14:paraId="2A95EFDE" w14:textId="77777777" w:rsidR="001333B2" w:rsidRPr="00AD67C2" w:rsidRDefault="001333B2" w:rsidP="00AD67C2">
      <w:pPr>
        <w:widowControl w:val="0"/>
        <w:numPr>
          <w:ilvl w:val="0"/>
          <w:numId w:val="316"/>
        </w:numPr>
        <w:tabs>
          <w:tab w:val="left" w:pos="851"/>
          <w:tab w:val="left" w:pos="1077"/>
        </w:tabs>
        <w:suppressAutoHyphens w:val="0"/>
        <w:spacing w:before="120" w:after="120" w:line="259" w:lineRule="auto"/>
        <w:ind w:left="0" w:firstLine="601"/>
        <w:jc w:val="both"/>
        <w:rPr>
          <w:rFonts w:ascii="Garamond" w:eastAsia="Calibri" w:hAnsi="Garamond" w:cs="Times New Roman"/>
          <w:bCs/>
          <w:sz w:val="22"/>
          <w:szCs w:val="22"/>
          <w:lang w:eastAsia="en-US"/>
        </w:rPr>
      </w:pPr>
      <w:r w:rsidRPr="00AD67C2">
        <w:rPr>
          <w:rFonts w:ascii="Garamond" w:eastAsia="Calibri" w:hAnsi="Garamond" w:cs="Times New Roman"/>
          <w:bCs/>
          <w:sz w:val="22"/>
          <w:szCs w:val="22"/>
          <w:lang w:eastAsia="en-US"/>
        </w:rPr>
        <w:t>дате окончания действия свидетельства о поверке прибора учета, указанного в ПСИ (макет 60000) (наименьшей из дат, указанных в ПСИ (макет 60000));</w:t>
      </w:r>
    </w:p>
    <w:p w14:paraId="551FEBB8" w14:textId="4090EEAD" w:rsidR="001333B2" w:rsidRPr="00AD67C2" w:rsidRDefault="001333B2" w:rsidP="00AD67C2">
      <w:pPr>
        <w:widowControl w:val="0"/>
        <w:numPr>
          <w:ilvl w:val="0"/>
          <w:numId w:val="316"/>
        </w:numPr>
        <w:tabs>
          <w:tab w:val="left" w:pos="851"/>
          <w:tab w:val="left" w:pos="1077"/>
        </w:tabs>
        <w:suppressAutoHyphens w:val="0"/>
        <w:spacing w:before="120" w:after="120" w:line="259" w:lineRule="auto"/>
        <w:ind w:left="0" w:firstLine="601"/>
        <w:jc w:val="both"/>
        <w:rPr>
          <w:rFonts w:ascii="Garamond" w:eastAsia="Calibri" w:hAnsi="Garamond" w:cs="Times New Roman"/>
          <w:bCs/>
          <w:sz w:val="22"/>
          <w:szCs w:val="22"/>
          <w:lang w:eastAsia="en-US"/>
        </w:rPr>
      </w:pPr>
      <w:r w:rsidRPr="00AD67C2">
        <w:rPr>
          <w:rFonts w:ascii="Garamond" w:eastAsia="Calibri" w:hAnsi="Garamond" w:cs="Times New Roman"/>
          <w:bCs/>
          <w:sz w:val="22"/>
          <w:szCs w:val="22"/>
          <w:lang w:eastAsia="en-US"/>
        </w:rPr>
        <w:t xml:space="preserve">дате истечения срока 4 (четыре) года с даты регистрации протокола испытаний либо с даты регистрации протокола предыдущих испытаний согласно п. </w:t>
      </w:r>
      <w:r w:rsidRPr="00AD67C2">
        <w:rPr>
          <w:rFonts w:ascii="Garamond" w:eastAsia="Calibri" w:hAnsi="Garamond" w:cs="Times New Roman"/>
          <w:bCs/>
          <w:sz w:val="22"/>
          <w:szCs w:val="22"/>
          <w:lang w:eastAsia="en-US"/>
        </w:rPr>
        <w:fldChar w:fldCharType="begin"/>
      </w:r>
      <w:r w:rsidRPr="00AD67C2">
        <w:rPr>
          <w:rFonts w:ascii="Garamond" w:eastAsia="Calibri" w:hAnsi="Garamond" w:cs="Times New Roman"/>
          <w:bCs/>
          <w:sz w:val="22"/>
          <w:szCs w:val="22"/>
          <w:lang w:eastAsia="en-US"/>
        </w:rPr>
        <w:instrText xml:space="preserve"> REF _Ref149308552 \r \h  \* MERGEFORMAT </w:instrText>
      </w:r>
      <w:r w:rsidRPr="00AD67C2">
        <w:rPr>
          <w:rFonts w:ascii="Garamond" w:eastAsia="Calibri" w:hAnsi="Garamond" w:cs="Times New Roman"/>
          <w:bCs/>
          <w:sz w:val="22"/>
          <w:szCs w:val="22"/>
          <w:lang w:eastAsia="en-US"/>
        </w:rPr>
      </w:r>
      <w:r w:rsidRPr="00AD67C2">
        <w:rPr>
          <w:rFonts w:ascii="Garamond" w:eastAsia="Calibri" w:hAnsi="Garamond" w:cs="Times New Roman"/>
          <w:bCs/>
          <w:sz w:val="22"/>
          <w:szCs w:val="22"/>
          <w:lang w:eastAsia="en-US"/>
        </w:rPr>
        <w:fldChar w:fldCharType="separate"/>
      </w:r>
      <w:r w:rsidRPr="00AD67C2">
        <w:rPr>
          <w:rFonts w:ascii="Garamond" w:eastAsia="Calibri" w:hAnsi="Garamond" w:cs="Times New Roman"/>
          <w:bCs/>
          <w:sz w:val="22"/>
          <w:szCs w:val="22"/>
          <w:lang w:eastAsia="en-US"/>
        </w:rPr>
        <w:t>3.8.2</w:t>
      </w:r>
      <w:r w:rsidRPr="00AD67C2">
        <w:rPr>
          <w:rFonts w:ascii="Garamond" w:eastAsia="Calibri" w:hAnsi="Garamond" w:cs="Times New Roman"/>
          <w:bCs/>
          <w:sz w:val="22"/>
          <w:szCs w:val="22"/>
          <w:lang w:eastAsia="en-US"/>
        </w:rPr>
        <w:fldChar w:fldCharType="end"/>
      </w:r>
      <w:r w:rsidRPr="00AD67C2">
        <w:rPr>
          <w:rFonts w:ascii="Garamond" w:eastAsia="Calibri" w:hAnsi="Garamond" w:cs="Times New Roman"/>
          <w:bCs/>
          <w:sz w:val="22"/>
          <w:szCs w:val="22"/>
          <w:lang w:eastAsia="en-US"/>
        </w:rPr>
        <w:t xml:space="preserve"> настоящего приложения;</w:t>
      </w:r>
    </w:p>
    <w:p w14:paraId="44A2C40A" w14:textId="77777777" w:rsidR="001333B2" w:rsidRPr="00AD67C2" w:rsidRDefault="001333B2" w:rsidP="00AD67C2">
      <w:pPr>
        <w:widowControl w:val="0"/>
        <w:numPr>
          <w:ilvl w:val="0"/>
          <w:numId w:val="316"/>
        </w:numPr>
        <w:tabs>
          <w:tab w:val="left" w:pos="851"/>
          <w:tab w:val="left" w:pos="1077"/>
        </w:tabs>
        <w:suppressAutoHyphens w:val="0"/>
        <w:spacing w:before="120" w:after="120" w:line="259" w:lineRule="auto"/>
        <w:ind w:left="0" w:firstLine="601"/>
        <w:jc w:val="both"/>
        <w:rPr>
          <w:rFonts w:ascii="Garamond" w:eastAsia="Calibri" w:hAnsi="Garamond" w:cs="Times New Roman"/>
          <w:bCs/>
          <w:sz w:val="22"/>
          <w:szCs w:val="22"/>
          <w:lang w:eastAsia="en-US"/>
        </w:rPr>
      </w:pPr>
      <w:r w:rsidRPr="00AD67C2">
        <w:rPr>
          <w:rFonts w:ascii="Garamond" w:eastAsia="Calibri" w:hAnsi="Garamond" w:cs="Times New Roman"/>
          <w:bCs/>
          <w:sz w:val="22"/>
          <w:szCs w:val="22"/>
          <w:lang w:eastAsia="en-US"/>
        </w:rPr>
        <w:t>31.12.2029, в случае наличия в системе учета заявителя приборов учета, которые не фиксируют в «Журнале событий» отсутствие напряжения по каждой фазе с фиксацией времени пропадания и восстановления напряжения.</w:t>
      </w:r>
    </w:p>
    <w:p w14:paraId="33479770" w14:textId="5827BB3C" w:rsidR="001333B2" w:rsidRPr="00AD67C2" w:rsidRDefault="001333B2" w:rsidP="00AD67C2">
      <w:pPr>
        <w:widowControl w:val="0"/>
        <w:tabs>
          <w:tab w:val="left" w:pos="1077"/>
        </w:tabs>
        <w:suppressAutoHyphens w:val="0"/>
        <w:spacing w:before="120" w:after="120"/>
        <w:ind w:firstLine="601"/>
        <w:jc w:val="both"/>
        <w:rPr>
          <w:rFonts w:ascii="Garamond" w:eastAsia="Calibri" w:hAnsi="Garamond" w:cs="Times New Roman"/>
          <w:bCs/>
          <w:sz w:val="22"/>
          <w:szCs w:val="22"/>
          <w:lang w:eastAsia="en-US"/>
        </w:rPr>
      </w:pPr>
      <w:r w:rsidRPr="00AD67C2">
        <w:rPr>
          <w:rFonts w:ascii="Garamond" w:eastAsia="Calibri" w:hAnsi="Garamond" w:cs="Times New Roman"/>
          <w:bCs/>
          <w:sz w:val="22"/>
          <w:szCs w:val="22"/>
          <w:lang w:eastAsia="en-US"/>
        </w:rPr>
        <w:t>В случае если проверки, предусмотренные п</w:t>
      </w:r>
      <w:r w:rsidR="001B3CED">
        <w:rPr>
          <w:rFonts w:ascii="Garamond" w:eastAsia="Calibri" w:hAnsi="Garamond" w:cs="Times New Roman"/>
          <w:bCs/>
          <w:sz w:val="22"/>
          <w:szCs w:val="22"/>
          <w:lang w:eastAsia="en-US"/>
        </w:rPr>
        <w:t>п</w:t>
      </w:r>
      <w:r w:rsidRPr="00AD67C2">
        <w:rPr>
          <w:rFonts w:ascii="Garamond" w:eastAsia="Calibri" w:hAnsi="Garamond" w:cs="Times New Roman"/>
          <w:bCs/>
          <w:sz w:val="22"/>
          <w:szCs w:val="22"/>
          <w:lang w:eastAsia="en-US"/>
        </w:rPr>
        <w:t xml:space="preserve">. </w:t>
      </w:r>
      <w:r w:rsidRPr="00AD67C2">
        <w:rPr>
          <w:rFonts w:ascii="Garamond" w:eastAsia="Calibri" w:hAnsi="Garamond" w:cs="Times New Roman"/>
          <w:bCs/>
          <w:sz w:val="22"/>
          <w:szCs w:val="22"/>
          <w:lang w:eastAsia="en-US"/>
        </w:rPr>
        <w:fldChar w:fldCharType="begin"/>
      </w:r>
      <w:r w:rsidRPr="00AD67C2">
        <w:rPr>
          <w:rFonts w:ascii="Garamond" w:eastAsia="Calibri" w:hAnsi="Garamond" w:cs="Times New Roman"/>
          <w:bCs/>
          <w:sz w:val="22"/>
          <w:szCs w:val="22"/>
          <w:lang w:eastAsia="en-US"/>
        </w:rPr>
        <w:instrText xml:space="preserve"> REF _Ref149308149 \r \h  \* MERGEFORMAT </w:instrText>
      </w:r>
      <w:r w:rsidRPr="00AD67C2">
        <w:rPr>
          <w:rFonts w:ascii="Garamond" w:eastAsia="Calibri" w:hAnsi="Garamond" w:cs="Times New Roman"/>
          <w:bCs/>
          <w:sz w:val="22"/>
          <w:szCs w:val="22"/>
          <w:lang w:eastAsia="en-US"/>
        </w:rPr>
      </w:r>
      <w:r w:rsidRPr="00AD67C2">
        <w:rPr>
          <w:rFonts w:ascii="Garamond" w:eastAsia="Calibri" w:hAnsi="Garamond" w:cs="Times New Roman"/>
          <w:bCs/>
          <w:sz w:val="22"/>
          <w:szCs w:val="22"/>
          <w:lang w:eastAsia="en-US"/>
        </w:rPr>
        <w:fldChar w:fldCharType="separate"/>
      </w:r>
      <w:r w:rsidRPr="00AD67C2">
        <w:rPr>
          <w:rFonts w:ascii="Garamond" w:eastAsia="Calibri" w:hAnsi="Garamond" w:cs="Times New Roman"/>
          <w:bCs/>
          <w:sz w:val="22"/>
          <w:szCs w:val="22"/>
          <w:lang w:eastAsia="en-US"/>
        </w:rPr>
        <w:t>3.8.1</w:t>
      </w:r>
      <w:r w:rsidRPr="00AD67C2">
        <w:rPr>
          <w:rFonts w:ascii="Garamond" w:eastAsia="Calibri" w:hAnsi="Garamond" w:cs="Times New Roman"/>
          <w:bCs/>
          <w:sz w:val="22"/>
          <w:szCs w:val="22"/>
          <w:lang w:eastAsia="en-US"/>
        </w:rPr>
        <w:fldChar w:fldCharType="end"/>
      </w:r>
      <w:r w:rsidRPr="00AD67C2">
        <w:rPr>
          <w:rFonts w:ascii="Garamond" w:eastAsia="Calibri" w:hAnsi="Garamond" w:cs="Times New Roman"/>
          <w:bCs/>
          <w:sz w:val="22"/>
          <w:szCs w:val="22"/>
          <w:lang w:eastAsia="en-US"/>
        </w:rPr>
        <w:t xml:space="preserve"> и </w:t>
      </w:r>
      <w:r w:rsidRPr="00AD67C2">
        <w:rPr>
          <w:rFonts w:ascii="Garamond" w:eastAsia="Calibri" w:hAnsi="Garamond" w:cs="Times New Roman"/>
          <w:bCs/>
          <w:sz w:val="22"/>
          <w:szCs w:val="22"/>
          <w:lang w:eastAsia="en-US"/>
        </w:rPr>
        <w:fldChar w:fldCharType="begin"/>
      </w:r>
      <w:r w:rsidRPr="00AD67C2">
        <w:rPr>
          <w:rFonts w:ascii="Garamond" w:eastAsia="Calibri" w:hAnsi="Garamond" w:cs="Times New Roman"/>
          <w:bCs/>
          <w:sz w:val="22"/>
          <w:szCs w:val="22"/>
          <w:lang w:eastAsia="en-US"/>
        </w:rPr>
        <w:instrText xml:space="preserve"> REF _Ref149308552 \r \h  \* MERGEFORMAT </w:instrText>
      </w:r>
      <w:r w:rsidRPr="00AD67C2">
        <w:rPr>
          <w:rFonts w:ascii="Garamond" w:eastAsia="Calibri" w:hAnsi="Garamond" w:cs="Times New Roman"/>
          <w:bCs/>
          <w:sz w:val="22"/>
          <w:szCs w:val="22"/>
          <w:lang w:eastAsia="en-US"/>
        </w:rPr>
      </w:r>
      <w:r w:rsidRPr="00AD67C2">
        <w:rPr>
          <w:rFonts w:ascii="Garamond" w:eastAsia="Calibri" w:hAnsi="Garamond" w:cs="Times New Roman"/>
          <w:bCs/>
          <w:sz w:val="22"/>
          <w:szCs w:val="22"/>
          <w:lang w:eastAsia="en-US"/>
        </w:rPr>
        <w:fldChar w:fldCharType="separate"/>
      </w:r>
      <w:r w:rsidRPr="00AD67C2">
        <w:rPr>
          <w:rFonts w:ascii="Garamond" w:eastAsia="Calibri" w:hAnsi="Garamond" w:cs="Times New Roman"/>
          <w:bCs/>
          <w:sz w:val="22"/>
          <w:szCs w:val="22"/>
          <w:lang w:eastAsia="en-US"/>
        </w:rPr>
        <w:t>3.8.2</w:t>
      </w:r>
      <w:r w:rsidRPr="00AD67C2">
        <w:rPr>
          <w:rFonts w:ascii="Garamond" w:eastAsia="Calibri" w:hAnsi="Garamond" w:cs="Times New Roman"/>
          <w:bCs/>
          <w:sz w:val="22"/>
          <w:szCs w:val="22"/>
          <w:lang w:eastAsia="en-US"/>
        </w:rPr>
        <w:fldChar w:fldCharType="end"/>
      </w:r>
      <w:r w:rsidRPr="00AD67C2">
        <w:rPr>
          <w:rFonts w:ascii="Garamond" w:eastAsia="Calibri" w:hAnsi="Garamond" w:cs="Times New Roman"/>
          <w:bCs/>
          <w:sz w:val="22"/>
          <w:szCs w:val="22"/>
          <w:lang w:eastAsia="en-US"/>
        </w:rPr>
        <w:t xml:space="preserve"> настоящего приложения, не проводились </w:t>
      </w:r>
      <w:r w:rsidR="005951D1">
        <w:rPr>
          <w:rFonts w:ascii="Garamond" w:eastAsia="Calibri" w:hAnsi="Garamond" w:cs="Times New Roman"/>
          <w:bCs/>
          <w:sz w:val="22"/>
          <w:szCs w:val="22"/>
          <w:lang w:eastAsia="en-US"/>
        </w:rPr>
        <w:t>согласно</w:t>
      </w:r>
      <w:r w:rsidRPr="00AD67C2">
        <w:rPr>
          <w:rFonts w:ascii="Garamond" w:eastAsia="Calibri" w:hAnsi="Garamond" w:cs="Times New Roman"/>
          <w:bCs/>
          <w:sz w:val="22"/>
          <w:szCs w:val="22"/>
          <w:lang w:eastAsia="en-US"/>
        </w:rPr>
        <w:t xml:space="preserve"> п. </w:t>
      </w:r>
      <w:r w:rsidRPr="00AD67C2">
        <w:rPr>
          <w:rFonts w:ascii="Garamond" w:eastAsia="Calibri" w:hAnsi="Garamond" w:cs="Times New Roman"/>
          <w:bCs/>
          <w:sz w:val="22"/>
          <w:szCs w:val="22"/>
          <w:lang w:eastAsia="en-US"/>
        </w:rPr>
        <w:fldChar w:fldCharType="begin"/>
      </w:r>
      <w:r w:rsidRPr="00AD67C2">
        <w:rPr>
          <w:rFonts w:ascii="Garamond" w:eastAsia="Calibri" w:hAnsi="Garamond" w:cs="Times New Roman"/>
          <w:bCs/>
          <w:sz w:val="22"/>
          <w:szCs w:val="22"/>
          <w:lang w:eastAsia="en-US"/>
        </w:rPr>
        <w:instrText xml:space="preserve"> REF _Ref149321995 \r \h </w:instrText>
      </w:r>
      <w:r w:rsidR="00AD67C2" w:rsidRPr="00AD67C2">
        <w:rPr>
          <w:rFonts w:ascii="Garamond" w:eastAsia="Calibri" w:hAnsi="Garamond" w:cs="Times New Roman"/>
          <w:bCs/>
          <w:sz w:val="22"/>
          <w:szCs w:val="22"/>
          <w:lang w:eastAsia="en-US"/>
        </w:rPr>
        <w:instrText xml:space="preserve"> \* MERGEFORMAT </w:instrText>
      </w:r>
      <w:r w:rsidRPr="00AD67C2">
        <w:rPr>
          <w:rFonts w:ascii="Garamond" w:eastAsia="Calibri" w:hAnsi="Garamond" w:cs="Times New Roman"/>
          <w:bCs/>
          <w:sz w:val="22"/>
          <w:szCs w:val="22"/>
          <w:lang w:eastAsia="en-US"/>
        </w:rPr>
      </w:r>
      <w:r w:rsidRPr="00AD67C2">
        <w:rPr>
          <w:rFonts w:ascii="Garamond" w:eastAsia="Calibri" w:hAnsi="Garamond" w:cs="Times New Roman"/>
          <w:bCs/>
          <w:sz w:val="22"/>
          <w:szCs w:val="22"/>
          <w:lang w:eastAsia="en-US"/>
        </w:rPr>
        <w:fldChar w:fldCharType="separate"/>
      </w:r>
      <w:r w:rsidRPr="00AD67C2">
        <w:rPr>
          <w:rFonts w:ascii="Garamond" w:eastAsia="Calibri" w:hAnsi="Garamond" w:cs="Times New Roman"/>
          <w:bCs/>
          <w:sz w:val="22"/>
          <w:szCs w:val="22"/>
          <w:lang w:eastAsia="en-US"/>
        </w:rPr>
        <w:t>3.8.4</w:t>
      </w:r>
      <w:r w:rsidRPr="00AD67C2">
        <w:rPr>
          <w:rFonts w:ascii="Garamond" w:eastAsia="Calibri" w:hAnsi="Garamond" w:cs="Times New Roman"/>
          <w:bCs/>
          <w:sz w:val="22"/>
          <w:szCs w:val="22"/>
          <w:lang w:eastAsia="en-US"/>
        </w:rPr>
        <w:fldChar w:fldCharType="end"/>
      </w:r>
      <w:r w:rsidRPr="00AD67C2">
        <w:rPr>
          <w:rFonts w:ascii="Garamond" w:eastAsia="Calibri" w:hAnsi="Garamond" w:cs="Times New Roman"/>
          <w:bCs/>
          <w:sz w:val="22"/>
          <w:szCs w:val="22"/>
          <w:lang w:eastAsia="en-US"/>
        </w:rPr>
        <w:t xml:space="preserve"> настоящего приложения, то КО устанавливает срок подтверждения соответствия системы учета электроэнергии техническим требованиям оптового рынка по заявленному объекту регулирования равным наименьшему сроку действия актов о соответствии системы коммерческого учета электроэнергии техническим требованиям оптового рынка, указанным в заявлении, направляемом в соответствии с п. </w:t>
      </w:r>
      <w:r w:rsidRPr="00AD67C2">
        <w:rPr>
          <w:rFonts w:ascii="Garamond" w:eastAsia="Calibri" w:hAnsi="Garamond" w:cs="Times New Roman"/>
          <w:bCs/>
          <w:sz w:val="22"/>
          <w:szCs w:val="22"/>
          <w:lang w:eastAsia="en-US"/>
        </w:rPr>
        <w:fldChar w:fldCharType="begin"/>
      </w:r>
      <w:r w:rsidRPr="00AD67C2">
        <w:rPr>
          <w:rFonts w:ascii="Garamond" w:eastAsia="Calibri" w:hAnsi="Garamond" w:cs="Times New Roman"/>
          <w:bCs/>
          <w:sz w:val="22"/>
          <w:szCs w:val="22"/>
          <w:lang w:eastAsia="en-US"/>
        </w:rPr>
        <w:instrText xml:space="preserve"> REF _Ref149311630 \r \h </w:instrText>
      </w:r>
      <w:r w:rsidR="00AD67C2" w:rsidRPr="00AD67C2">
        <w:rPr>
          <w:rFonts w:ascii="Garamond" w:eastAsia="Calibri" w:hAnsi="Garamond" w:cs="Times New Roman"/>
          <w:bCs/>
          <w:sz w:val="22"/>
          <w:szCs w:val="22"/>
          <w:lang w:eastAsia="en-US"/>
        </w:rPr>
        <w:instrText xml:space="preserve"> \* MERGEFORMAT </w:instrText>
      </w:r>
      <w:r w:rsidRPr="00AD67C2">
        <w:rPr>
          <w:rFonts w:ascii="Garamond" w:eastAsia="Calibri" w:hAnsi="Garamond" w:cs="Times New Roman"/>
          <w:bCs/>
          <w:sz w:val="22"/>
          <w:szCs w:val="22"/>
          <w:lang w:eastAsia="en-US"/>
        </w:rPr>
      </w:r>
      <w:r w:rsidRPr="00AD67C2">
        <w:rPr>
          <w:rFonts w:ascii="Garamond" w:eastAsia="Calibri" w:hAnsi="Garamond" w:cs="Times New Roman"/>
          <w:bCs/>
          <w:sz w:val="22"/>
          <w:szCs w:val="22"/>
          <w:lang w:eastAsia="en-US"/>
        </w:rPr>
        <w:fldChar w:fldCharType="separate"/>
      </w:r>
      <w:r w:rsidRPr="00AD67C2">
        <w:rPr>
          <w:rFonts w:ascii="Garamond" w:eastAsia="Calibri" w:hAnsi="Garamond" w:cs="Times New Roman"/>
          <w:bCs/>
          <w:sz w:val="22"/>
          <w:szCs w:val="22"/>
          <w:lang w:eastAsia="en-US"/>
        </w:rPr>
        <w:t>2.1</w:t>
      </w:r>
      <w:r w:rsidRPr="00AD67C2">
        <w:rPr>
          <w:rFonts w:ascii="Garamond" w:eastAsia="Calibri" w:hAnsi="Garamond" w:cs="Times New Roman"/>
          <w:bCs/>
          <w:sz w:val="22"/>
          <w:szCs w:val="22"/>
          <w:lang w:eastAsia="en-US"/>
        </w:rPr>
        <w:fldChar w:fldCharType="end"/>
      </w:r>
      <w:r w:rsidRPr="00AD67C2">
        <w:rPr>
          <w:rFonts w:ascii="Garamond" w:eastAsia="Calibri" w:hAnsi="Garamond" w:cs="Times New Roman"/>
          <w:bCs/>
          <w:sz w:val="22"/>
          <w:szCs w:val="22"/>
          <w:lang w:eastAsia="en-US"/>
        </w:rPr>
        <w:t xml:space="preserve"> настоящего приложения (п</w:t>
      </w:r>
      <w:r w:rsidR="001B3CED">
        <w:rPr>
          <w:rFonts w:ascii="Garamond" w:eastAsia="Calibri" w:hAnsi="Garamond" w:cs="Times New Roman"/>
          <w:bCs/>
          <w:sz w:val="22"/>
          <w:szCs w:val="22"/>
          <w:lang w:eastAsia="en-US"/>
        </w:rPr>
        <w:t>од</w:t>
      </w:r>
      <w:r w:rsidRPr="00AD67C2">
        <w:rPr>
          <w:rFonts w:ascii="Garamond" w:eastAsia="Calibri" w:hAnsi="Garamond" w:cs="Times New Roman"/>
          <w:bCs/>
          <w:sz w:val="22"/>
          <w:szCs w:val="22"/>
          <w:lang w:eastAsia="en-US"/>
        </w:rPr>
        <w:t xml:space="preserve">п. «в» п. </w:t>
      </w:r>
      <w:r w:rsidRPr="00AD67C2">
        <w:rPr>
          <w:rFonts w:ascii="Garamond" w:eastAsia="Calibri" w:hAnsi="Garamond" w:cs="Times New Roman"/>
          <w:bCs/>
          <w:sz w:val="22"/>
          <w:szCs w:val="22"/>
          <w:lang w:eastAsia="en-US"/>
        </w:rPr>
        <w:fldChar w:fldCharType="begin"/>
      </w:r>
      <w:r w:rsidRPr="00AD67C2">
        <w:rPr>
          <w:rFonts w:ascii="Garamond" w:eastAsia="Calibri" w:hAnsi="Garamond" w:cs="Times New Roman"/>
          <w:bCs/>
          <w:sz w:val="22"/>
          <w:szCs w:val="22"/>
          <w:lang w:eastAsia="en-US"/>
        </w:rPr>
        <w:instrText xml:space="preserve"> REF _Ref149302018 \r \h </w:instrText>
      </w:r>
      <w:r w:rsidR="00AD67C2" w:rsidRPr="00AD67C2">
        <w:rPr>
          <w:rFonts w:ascii="Garamond" w:eastAsia="Calibri" w:hAnsi="Garamond" w:cs="Times New Roman"/>
          <w:bCs/>
          <w:sz w:val="22"/>
          <w:szCs w:val="22"/>
          <w:lang w:eastAsia="en-US"/>
        </w:rPr>
        <w:instrText xml:space="preserve"> \* MERGEFORMAT </w:instrText>
      </w:r>
      <w:r w:rsidRPr="00AD67C2">
        <w:rPr>
          <w:rFonts w:ascii="Garamond" w:eastAsia="Calibri" w:hAnsi="Garamond" w:cs="Times New Roman"/>
          <w:bCs/>
          <w:sz w:val="22"/>
          <w:szCs w:val="22"/>
          <w:lang w:eastAsia="en-US"/>
        </w:rPr>
      </w:r>
      <w:r w:rsidRPr="00AD67C2">
        <w:rPr>
          <w:rFonts w:ascii="Garamond" w:eastAsia="Calibri" w:hAnsi="Garamond" w:cs="Times New Roman"/>
          <w:bCs/>
          <w:sz w:val="22"/>
          <w:szCs w:val="22"/>
          <w:lang w:eastAsia="en-US"/>
        </w:rPr>
        <w:fldChar w:fldCharType="separate"/>
      </w:r>
      <w:r w:rsidRPr="00AD67C2">
        <w:rPr>
          <w:rFonts w:ascii="Garamond" w:eastAsia="Calibri" w:hAnsi="Garamond" w:cs="Times New Roman"/>
          <w:bCs/>
          <w:sz w:val="22"/>
          <w:szCs w:val="22"/>
          <w:lang w:eastAsia="en-US"/>
        </w:rPr>
        <w:t>3.12</w:t>
      </w:r>
      <w:r w:rsidRPr="00AD67C2">
        <w:rPr>
          <w:rFonts w:ascii="Garamond" w:eastAsia="Calibri" w:hAnsi="Garamond" w:cs="Times New Roman"/>
          <w:bCs/>
          <w:sz w:val="22"/>
          <w:szCs w:val="22"/>
          <w:lang w:eastAsia="en-US"/>
        </w:rPr>
        <w:fldChar w:fldCharType="end"/>
      </w:r>
      <w:r w:rsidRPr="00AD67C2">
        <w:rPr>
          <w:rFonts w:ascii="Garamond" w:eastAsia="Calibri" w:hAnsi="Garamond" w:cs="Times New Roman"/>
          <w:bCs/>
          <w:sz w:val="22"/>
          <w:szCs w:val="22"/>
          <w:lang w:eastAsia="en-US"/>
        </w:rPr>
        <w:t xml:space="preserve"> настоящего приложения). При этом в случае прекращения действия вышеуказанных актов о соответствии системы коммерческого учета электроэнергии техническим требованиям оптового рынка по основаниям, указанным в п. 1.6 Приложения № 11.3 к </w:t>
      </w:r>
      <w:r w:rsidR="0013627E">
        <w:rPr>
          <w:rFonts w:ascii="Garamond" w:eastAsia="Calibri" w:hAnsi="Garamond" w:cs="Times New Roman"/>
          <w:bCs/>
          <w:sz w:val="22"/>
          <w:szCs w:val="22"/>
          <w:lang w:eastAsia="en-US"/>
        </w:rPr>
        <w:t xml:space="preserve">настоящему </w:t>
      </w:r>
      <w:r w:rsidRPr="0013627E">
        <w:rPr>
          <w:rFonts w:ascii="Garamond" w:eastAsia="Calibri" w:hAnsi="Garamond" w:cs="Times New Roman"/>
          <w:bCs/>
          <w:sz w:val="22"/>
          <w:szCs w:val="22"/>
          <w:lang w:eastAsia="en-US"/>
        </w:rPr>
        <w:t>Положению</w:t>
      </w:r>
      <w:r w:rsidRPr="00AD67C2">
        <w:rPr>
          <w:rFonts w:ascii="Garamond" w:eastAsia="Calibri" w:hAnsi="Garamond" w:cs="Times New Roman"/>
          <w:bCs/>
          <w:i/>
          <w:sz w:val="22"/>
          <w:szCs w:val="22"/>
          <w:lang w:eastAsia="en-US"/>
        </w:rPr>
        <w:t xml:space="preserve"> </w:t>
      </w:r>
      <w:r w:rsidRPr="00AD67C2">
        <w:rPr>
          <w:rFonts w:ascii="Garamond" w:eastAsia="Calibri" w:hAnsi="Garamond" w:cs="Times New Roman"/>
          <w:bCs/>
          <w:sz w:val="22"/>
          <w:szCs w:val="22"/>
          <w:lang w:eastAsia="en-US"/>
        </w:rPr>
        <w:t xml:space="preserve">(хотя бы одного из актов), КО в срок не позднее 2 (двух) </w:t>
      </w:r>
      <w:r w:rsidRPr="00AD67C2">
        <w:rPr>
          <w:rFonts w:ascii="Garamond" w:eastAsia="Calibri" w:hAnsi="Garamond" w:cs="Times New Roman"/>
          <w:bCs/>
          <w:sz w:val="22"/>
          <w:szCs w:val="22"/>
          <w:lang w:eastAsia="en-US"/>
        </w:rPr>
        <w:lastRenderedPageBreak/>
        <w:t>рабочих дней с даты прекращения действия вышеуказанного (-ых) акта (-ов) устанавливает срок подтверждения соответствия системы учета электроэнергии техническим требованиям оптового рынка равным:</w:t>
      </w:r>
    </w:p>
    <w:p w14:paraId="2150F957" w14:textId="3FB67BDE" w:rsidR="001333B2" w:rsidRPr="006B7BEB" w:rsidRDefault="001333B2" w:rsidP="000F6978">
      <w:pPr>
        <w:widowControl w:val="0"/>
        <w:numPr>
          <w:ilvl w:val="0"/>
          <w:numId w:val="319"/>
        </w:numPr>
        <w:tabs>
          <w:tab w:val="left" w:pos="1077"/>
        </w:tabs>
        <w:suppressAutoHyphens w:val="0"/>
        <w:spacing w:before="120" w:after="120" w:line="259" w:lineRule="auto"/>
        <w:ind w:left="0" w:firstLine="601"/>
        <w:jc w:val="both"/>
        <w:rPr>
          <w:rFonts w:ascii="Garamond" w:eastAsia="Calibri" w:hAnsi="Garamond" w:cs="Times New Roman"/>
          <w:bCs/>
          <w:sz w:val="22"/>
          <w:szCs w:val="22"/>
          <w:lang w:eastAsia="en-US"/>
        </w:rPr>
      </w:pPr>
      <w:r w:rsidRPr="006B7BEB">
        <w:rPr>
          <w:rFonts w:ascii="Garamond" w:eastAsia="Calibri" w:hAnsi="Garamond" w:cs="Times New Roman"/>
          <w:bCs/>
          <w:sz w:val="22"/>
          <w:szCs w:val="22"/>
          <w:lang w:eastAsia="en-US"/>
        </w:rPr>
        <w:t>дате прекращения действия акта (-ов) о соответствии системы коммерческого учета электроэнергии техническим требованиям оптового рынка</w:t>
      </w:r>
      <w:r w:rsidR="006B7BEB" w:rsidRPr="006B7BEB">
        <w:rPr>
          <w:rFonts w:ascii="Garamond" w:eastAsia="Calibri" w:hAnsi="Garamond" w:cs="Times New Roman"/>
          <w:bCs/>
          <w:sz w:val="22"/>
          <w:szCs w:val="22"/>
          <w:lang w:eastAsia="en-US"/>
        </w:rPr>
        <w:t xml:space="preserve"> </w:t>
      </w:r>
      <w:r w:rsidRPr="006B7BEB">
        <w:rPr>
          <w:rFonts w:ascii="Garamond" w:eastAsia="Calibri" w:hAnsi="Garamond" w:cs="Times New Roman"/>
          <w:bCs/>
          <w:sz w:val="22"/>
          <w:szCs w:val="22"/>
          <w:lang w:eastAsia="en-US"/>
        </w:rPr>
        <w:t>либо</w:t>
      </w:r>
    </w:p>
    <w:p w14:paraId="3A7A31EF" w14:textId="7BA47445" w:rsidR="001333B2" w:rsidRPr="00AD67C2" w:rsidRDefault="001333B2" w:rsidP="00AD67C2">
      <w:pPr>
        <w:widowControl w:val="0"/>
        <w:numPr>
          <w:ilvl w:val="0"/>
          <w:numId w:val="319"/>
        </w:numPr>
        <w:tabs>
          <w:tab w:val="left" w:pos="1077"/>
        </w:tabs>
        <w:suppressAutoHyphens w:val="0"/>
        <w:spacing w:before="120" w:after="120" w:line="259" w:lineRule="auto"/>
        <w:ind w:left="0" w:firstLine="601"/>
        <w:jc w:val="both"/>
        <w:rPr>
          <w:rFonts w:ascii="Garamond" w:eastAsia="Calibri" w:hAnsi="Garamond" w:cs="Times New Roman"/>
          <w:bCs/>
          <w:sz w:val="22"/>
          <w:szCs w:val="22"/>
          <w:lang w:eastAsia="en-US"/>
        </w:rPr>
      </w:pPr>
      <w:r w:rsidRPr="00AD67C2">
        <w:rPr>
          <w:rFonts w:ascii="Garamond" w:eastAsia="Calibri" w:hAnsi="Garamond" w:cs="Times New Roman"/>
          <w:bCs/>
          <w:sz w:val="22"/>
          <w:szCs w:val="22"/>
          <w:lang w:eastAsia="en-US"/>
        </w:rPr>
        <w:t>наименьшему сроку действия актов о соответствии системы коммерческого учета электроэнергии техническим требованиям оптового рынка по сечениям коммерческого учета, входящим в состав ГТП покупателя электрической энергии (мощности) – крупного потребителя</w:t>
      </w:r>
      <w:r w:rsidR="008E5B80">
        <w:rPr>
          <w:rFonts w:ascii="Garamond" w:eastAsia="Calibri" w:hAnsi="Garamond" w:cs="Times New Roman"/>
          <w:bCs/>
          <w:sz w:val="22"/>
          <w:szCs w:val="22"/>
          <w:lang w:eastAsia="en-US"/>
        </w:rPr>
        <w:t>,</w:t>
      </w:r>
      <w:r w:rsidRPr="00AD67C2">
        <w:rPr>
          <w:rFonts w:ascii="Garamond" w:eastAsia="Calibri" w:hAnsi="Garamond" w:cs="Times New Roman"/>
          <w:bCs/>
          <w:sz w:val="22"/>
          <w:szCs w:val="22"/>
          <w:lang w:eastAsia="en-US"/>
        </w:rPr>
        <w:t xml:space="preserve"> в случае, когда акт (-ы) о соответствии системы коммерческого учета электроэнергии техническим требованиям оптового рынка прекращен (-ы) в связи с получением нового акта (-ов) о соответствии системы коммерческого учета электроэнергии техническим требованиям оптового рынка в отношении того же состава точек поставки и точек измерений. </w:t>
      </w:r>
    </w:p>
    <w:p w14:paraId="7CDA618E" w14:textId="51F33A0D" w:rsidR="001333B2" w:rsidRPr="00AD67C2" w:rsidRDefault="001333B2" w:rsidP="00AD67C2">
      <w:pPr>
        <w:widowControl w:val="0"/>
        <w:tabs>
          <w:tab w:val="left" w:pos="1077"/>
        </w:tabs>
        <w:suppressAutoHyphens w:val="0"/>
        <w:spacing w:before="120" w:after="120"/>
        <w:ind w:firstLine="601"/>
        <w:jc w:val="both"/>
        <w:rPr>
          <w:rFonts w:ascii="Garamond" w:eastAsia="Calibri" w:hAnsi="Garamond" w:cs="Times New Roman"/>
          <w:bCs/>
          <w:sz w:val="22"/>
          <w:szCs w:val="22"/>
          <w:lang w:eastAsia="en-US"/>
        </w:rPr>
      </w:pPr>
      <w:r w:rsidRPr="00AD67C2">
        <w:rPr>
          <w:rFonts w:ascii="Garamond" w:eastAsia="Calibri" w:hAnsi="Garamond" w:cs="Times New Roman"/>
          <w:bCs/>
          <w:sz w:val="22"/>
          <w:szCs w:val="22"/>
          <w:lang w:eastAsia="en-US"/>
        </w:rPr>
        <w:t>В срок не позднее 5 (пяти) рабочих дней с даты прекращения действия вышеуказанного (-ых) акта (-ов) о соответствии системы коммерческого учета электроэнергии техническим требованиям оптового рынка КО выполняет следующие действия</w:t>
      </w:r>
      <w:r w:rsidR="008E5B80" w:rsidRPr="008E5B80">
        <w:rPr>
          <w:rFonts w:ascii="Garamond" w:eastAsia="Calibri" w:hAnsi="Garamond" w:cs="Times New Roman"/>
          <w:bCs/>
          <w:sz w:val="22"/>
          <w:szCs w:val="22"/>
          <w:lang w:eastAsia="en-US"/>
        </w:rPr>
        <w:t xml:space="preserve"> </w:t>
      </w:r>
      <w:r w:rsidR="008E5B80" w:rsidRPr="00AD67C2">
        <w:rPr>
          <w:rFonts w:ascii="Garamond" w:eastAsia="Calibri" w:hAnsi="Garamond" w:cs="Times New Roman"/>
          <w:bCs/>
          <w:sz w:val="22"/>
          <w:szCs w:val="22"/>
          <w:lang w:eastAsia="en-US"/>
        </w:rPr>
        <w:t>в отношении зарегистрированного объекта регулирования</w:t>
      </w:r>
      <w:r w:rsidRPr="00AD67C2">
        <w:rPr>
          <w:rFonts w:ascii="Garamond" w:eastAsia="Calibri" w:hAnsi="Garamond" w:cs="Times New Roman"/>
          <w:bCs/>
          <w:sz w:val="22"/>
          <w:szCs w:val="22"/>
          <w:lang w:eastAsia="en-US"/>
        </w:rPr>
        <w:t>:</w:t>
      </w:r>
    </w:p>
    <w:p w14:paraId="60DD8C94" w14:textId="1DE222D6" w:rsidR="001333B2" w:rsidRPr="00AD67C2" w:rsidRDefault="001333B2" w:rsidP="00AD67C2">
      <w:pPr>
        <w:widowControl w:val="0"/>
        <w:numPr>
          <w:ilvl w:val="0"/>
          <w:numId w:val="319"/>
        </w:numPr>
        <w:tabs>
          <w:tab w:val="left" w:pos="1077"/>
        </w:tabs>
        <w:suppressAutoHyphens w:val="0"/>
        <w:spacing w:before="120" w:after="120" w:line="259" w:lineRule="auto"/>
        <w:ind w:left="0" w:firstLine="601"/>
        <w:jc w:val="both"/>
        <w:rPr>
          <w:rFonts w:ascii="Garamond" w:eastAsia="Calibri" w:hAnsi="Garamond" w:cs="Times New Roman"/>
          <w:bCs/>
          <w:sz w:val="22"/>
          <w:szCs w:val="22"/>
          <w:lang w:eastAsia="en-US"/>
        </w:rPr>
      </w:pPr>
      <w:r w:rsidRPr="00AD67C2">
        <w:rPr>
          <w:rFonts w:ascii="Garamond" w:eastAsia="Calibri" w:hAnsi="Garamond" w:cs="Times New Roman"/>
          <w:bCs/>
          <w:sz w:val="22"/>
          <w:szCs w:val="22"/>
          <w:lang w:eastAsia="en-US"/>
        </w:rPr>
        <w:t>публикует на своем официальном сайте</w:t>
      </w:r>
      <w:r w:rsidR="008E5B80">
        <w:rPr>
          <w:rFonts w:ascii="Garamond" w:eastAsia="Calibri" w:hAnsi="Garamond" w:cs="Times New Roman"/>
          <w:bCs/>
          <w:sz w:val="22"/>
          <w:szCs w:val="22"/>
          <w:lang w:eastAsia="en-US"/>
        </w:rPr>
        <w:t>,</w:t>
      </w:r>
      <w:r w:rsidRPr="00AD67C2">
        <w:rPr>
          <w:rFonts w:ascii="Garamond" w:eastAsia="Calibri" w:hAnsi="Garamond" w:cs="Times New Roman"/>
          <w:bCs/>
          <w:sz w:val="22"/>
          <w:szCs w:val="22"/>
          <w:lang w:eastAsia="en-US"/>
        </w:rPr>
        <w:t xml:space="preserve"> в веб-интерф</w:t>
      </w:r>
      <w:r w:rsidR="008E5B80">
        <w:rPr>
          <w:rFonts w:ascii="Garamond" w:eastAsia="Calibri" w:hAnsi="Garamond" w:cs="Times New Roman"/>
          <w:bCs/>
          <w:sz w:val="22"/>
          <w:szCs w:val="22"/>
          <w:lang w:eastAsia="en-US"/>
        </w:rPr>
        <w:t>ейсе «Данные АИИС» информацию о </w:t>
      </w:r>
      <w:r w:rsidRPr="00AD67C2">
        <w:rPr>
          <w:rFonts w:ascii="Garamond" w:eastAsia="Calibri" w:hAnsi="Garamond" w:cs="Times New Roman"/>
          <w:bCs/>
          <w:sz w:val="22"/>
          <w:szCs w:val="22"/>
          <w:lang w:eastAsia="en-US"/>
        </w:rPr>
        <w:t xml:space="preserve">сроке </w:t>
      </w:r>
      <w:r w:rsidRPr="00AD67C2">
        <w:rPr>
          <w:rFonts w:ascii="Garamond" w:eastAsia="Times New Roman" w:hAnsi="Garamond" w:cs="Arial"/>
          <w:bCs/>
          <w:sz w:val="22"/>
          <w:szCs w:val="22"/>
          <w:lang w:eastAsia="en-US"/>
        </w:rPr>
        <w:t xml:space="preserve">подтверждения соответствия системы учета электроэнергии </w:t>
      </w:r>
      <w:r w:rsidRPr="00AD67C2">
        <w:rPr>
          <w:rFonts w:ascii="Garamond" w:eastAsia="Calibri" w:hAnsi="Garamond" w:cs="Times New Roman"/>
          <w:bCs/>
          <w:sz w:val="22"/>
          <w:szCs w:val="22"/>
          <w:lang w:eastAsia="en-US"/>
        </w:rPr>
        <w:t>техническим требованиям оптового рынка по объекту регулирования;</w:t>
      </w:r>
    </w:p>
    <w:p w14:paraId="2E66FDAE" w14:textId="77777777" w:rsidR="001333B2" w:rsidRPr="00AD67C2" w:rsidRDefault="001333B2" w:rsidP="00AD67C2">
      <w:pPr>
        <w:widowControl w:val="0"/>
        <w:numPr>
          <w:ilvl w:val="0"/>
          <w:numId w:val="319"/>
        </w:numPr>
        <w:tabs>
          <w:tab w:val="left" w:pos="1077"/>
        </w:tabs>
        <w:suppressAutoHyphens w:val="0"/>
        <w:spacing w:before="120" w:after="120" w:line="259" w:lineRule="auto"/>
        <w:ind w:left="0" w:firstLine="601"/>
        <w:jc w:val="both"/>
        <w:rPr>
          <w:rFonts w:ascii="Garamond" w:eastAsia="Calibri" w:hAnsi="Garamond" w:cs="Times New Roman"/>
          <w:bCs/>
          <w:sz w:val="22"/>
          <w:szCs w:val="22"/>
          <w:lang w:eastAsia="en-US"/>
        </w:rPr>
      </w:pPr>
      <w:r w:rsidRPr="00AD67C2">
        <w:rPr>
          <w:rFonts w:ascii="Garamond" w:eastAsia="Calibri" w:hAnsi="Garamond" w:cs="Times New Roman"/>
          <w:bCs/>
          <w:sz w:val="22"/>
          <w:szCs w:val="22"/>
          <w:lang w:eastAsia="en-US"/>
        </w:rPr>
        <w:t>направляет уведомление заявителю с информацией о сроке п</w:t>
      </w:r>
      <w:r w:rsidRPr="00AD67C2">
        <w:rPr>
          <w:rFonts w:ascii="Garamond" w:eastAsia="Times New Roman" w:hAnsi="Garamond" w:cs="Arial"/>
          <w:bCs/>
          <w:sz w:val="22"/>
          <w:szCs w:val="22"/>
          <w:lang w:eastAsia="en-US"/>
        </w:rPr>
        <w:t xml:space="preserve">одтверждения соответствия системы учета электроэнергии </w:t>
      </w:r>
      <w:r w:rsidRPr="00AD67C2">
        <w:rPr>
          <w:rFonts w:ascii="Garamond" w:eastAsia="Calibri" w:hAnsi="Garamond" w:cs="Times New Roman"/>
          <w:bCs/>
          <w:sz w:val="22"/>
          <w:szCs w:val="22"/>
          <w:lang w:eastAsia="en-US"/>
        </w:rPr>
        <w:t>техническим требованиям оптового рынка по объекту регулирования и необходимости подтверждения соответствия системы учета техническим требованиям оптового рынка в порядке, предусмотренном разделом 4 настоящего приложения.</w:t>
      </w:r>
    </w:p>
    <w:p w14:paraId="401ED5FA" w14:textId="7299424A" w:rsidR="001333B2" w:rsidRPr="00AD67C2" w:rsidRDefault="008E5B80" w:rsidP="00AD67C2">
      <w:pPr>
        <w:widowControl w:val="0"/>
        <w:numPr>
          <w:ilvl w:val="2"/>
          <w:numId w:val="310"/>
        </w:numPr>
        <w:tabs>
          <w:tab w:val="left" w:pos="1077"/>
        </w:tabs>
        <w:suppressAutoHyphens w:val="0"/>
        <w:spacing w:before="120" w:after="120" w:line="259" w:lineRule="auto"/>
        <w:ind w:left="0" w:firstLine="600"/>
        <w:jc w:val="both"/>
        <w:rPr>
          <w:rFonts w:ascii="Garamond" w:eastAsia="Calibri" w:hAnsi="Garamond" w:cs="Times New Roman"/>
          <w:bCs/>
          <w:sz w:val="22"/>
          <w:szCs w:val="22"/>
          <w:lang w:eastAsia="en-US"/>
        </w:rPr>
      </w:pPr>
      <w:r>
        <w:rPr>
          <w:rFonts w:ascii="Garamond" w:eastAsia="Calibri" w:hAnsi="Garamond" w:cs="Times New Roman"/>
          <w:bCs/>
          <w:sz w:val="22"/>
          <w:szCs w:val="22"/>
          <w:lang w:eastAsia="en-US"/>
        </w:rPr>
        <w:t xml:space="preserve"> </w:t>
      </w:r>
      <w:r w:rsidR="001333B2" w:rsidRPr="00AD67C2">
        <w:rPr>
          <w:rFonts w:ascii="Garamond" w:eastAsia="Calibri" w:hAnsi="Garamond" w:cs="Times New Roman"/>
          <w:bCs/>
          <w:sz w:val="22"/>
          <w:szCs w:val="22"/>
          <w:lang w:eastAsia="en-US"/>
        </w:rPr>
        <w:t>В случае если в отношении соответствующих компонентов системы учета заявителя от изготовителей компонентов системы учета либо Федерального агентства по техническому регулированию и метрологии (Росстандарт) и (или) от его подведомственных организаций КО получены сведения о несоответствии компонентов системы учета техническим требованиям оптового рынка, то КО в срок не более 10 (десяти) рабочих дней с даты получения указанного уведомления выполняет следующие действия:</w:t>
      </w:r>
    </w:p>
    <w:p w14:paraId="7A03A285" w14:textId="1B4AAC89" w:rsidR="001333B2" w:rsidRPr="00AD67C2" w:rsidRDefault="001333B2" w:rsidP="00AD67C2">
      <w:pPr>
        <w:widowControl w:val="0"/>
        <w:numPr>
          <w:ilvl w:val="0"/>
          <w:numId w:val="319"/>
        </w:numPr>
        <w:tabs>
          <w:tab w:val="left" w:pos="1077"/>
        </w:tabs>
        <w:suppressAutoHyphens w:val="0"/>
        <w:spacing w:before="120" w:after="120" w:line="259" w:lineRule="auto"/>
        <w:ind w:left="0" w:firstLine="601"/>
        <w:jc w:val="both"/>
        <w:rPr>
          <w:rFonts w:ascii="Garamond" w:eastAsia="Calibri" w:hAnsi="Garamond" w:cs="Times New Roman"/>
          <w:bCs/>
          <w:sz w:val="22"/>
          <w:szCs w:val="22"/>
          <w:lang w:eastAsia="en-US"/>
        </w:rPr>
      </w:pPr>
      <w:r w:rsidRPr="00AD67C2">
        <w:rPr>
          <w:rFonts w:ascii="Garamond" w:eastAsia="Calibri" w:hAnsi="Garamond" w:cs="Times New Roman"/>
          <w:bCs/>
          <w:sz w:val="22"/>
          <w:szCs w:val="22"/>
          <w:lang w:eastAsia="en-US"/>
        </w:rPr>
        <w:t xml:space="preserve">направляет </w:t>
      </w:r>
      <w:r w:rsidR="008E5B80" w:rsidRPr="00AD67C2">
        <w:rPr>
          <w:rFonts w:ascii="Garamond" w:eastAsia="Calibri" w:hAnsi="Garamond" w:cs="Times New Roman"/>
          <w:bCs/>
          <w:sz w:val="22"/>
          <w:szCs w:val="22"/>
          <w:lang w:eastAsia="en-US"/>
        </w:rPr>
        <w:t xml:space="preserve">заявителю </w:t>
      </w:r>
      <w:r w:rsidRPr="00AD67C2">
        <w:rPr>
          <w:rFonts w:ascii="Garamond" w:eastAsia="Calibri" w:hAnsi="Garamond" w:cs="Times New Roman"/>
          <w:bCs/>
          <w:sz w:val="22"/>
          <w:szCs w:val="22"/>
          <w:lang w:eastAsia="en-US"/>
        </w:rPr>
        <w:t>уведомление о несоответствии системы учета заявителя техническим требованиям оптового рынка;</w:t>
      </w:r>
    </w:p>
    <w:p w14:paraId="787ECC30" w14:textId="77777777" w:rsidR="001333B2" w:rsidRPr="00AD67C2" w:rsidRDefault="001333B2" w:rsidP="00AD67C2">
      <w:pPr>
        <w:widowControl w:val="0"/>
        <w:numPr>
          <w:ilvl w:val="0"/>
          <w:numId w:val="319"/>
        </w:numPr>
        <w:tabs>
          <w:tab w:val="left" w:pos="1077"/>
        </w:tabs>
        <w:suppressAutoHyphens w:val="0"/>
        <w:spacing w:before="120" w:after="120" w:line="259" w:lineRule="auto"/>
        <w:ind w:left="0" w:firstLine="601"/>
        <w:jc w:val="both"/>
        <w:rPr>
          <w:rFonts w:ascii="Garamond" w:eastAsia="Calibri" w:hAnsi="Garamond" w:cs="Times New Roman"/>
          <w:bCs/>
          <w:sz w:val="22"/>
          <w:szCs w:val="22"/>
          <w:lang w:eastAsia="en-US"/>
        </w:rPr>
      </w:pPr>
      <w:r w:rsidRPr="00AD67C2">
        <w:rPr>
          <w:rFonts w:ascii="Garamond" w:eastAsia="Calibri" w:hAnsi="Garamond" w:cs="Times New Roman"/>
          <w:bCs/>
          <w:sz w:val="22"/>
          <w:szCs w:val="22"/>
          <w:lang w:eastAsia="en-US"/>
        </w:rPr>
        <w:t>устанавливает срок подтверждения соответствия системы учета электроэнергии техническим требованиям оптового рынка равным дате направления КО вышеуказанного уведомления заявителю;</w:t>
      </w:r>
    </w:p>
    <w:p w14:paraId="336C41A7" w14:textId="10F3AB56" w:rsidR="001333B2" w:rsidRPr="00AD67C2" w:rsidRDefault="001333B2" w:rsidP="00AD67C2">
      <w:pPr>
        <w:widowControl w:val="0"/>
        <w:numPr>
          <w:ilvl w:val="0"/>
          <w:numId w:val="319"/>
        </w:numPr>
        <w:tabs>
          <w:tab w:val="left" w:pos="1077"/>
        </w:tabs>
        <w:suppressAutoHyphens w:val="0"/>
        <w:spacing w:before="120" w:after="120" w:line="259" w:lineRule="auto"/>
        <w:ind w:left="0" w:firstLine="601"/>
        <w:jc w:val="both"/>
        <w:rPr>
          <w:rFonts w:ascii="Garamond" w:eastAsia="Calibri" w:hAnsi="Garamond" w:cs="Times New Roman"/>
          <w:bCs/>
          <w:sz w:val="22"/>
          <w:szCs w:val="22"/>
          <w:lang w:eastAsia="en-US"/>
        </w:rPr>
      </w:pPr>
      <w:r w:rsidRPr="00AD67C2">
        <w:rPr>
          <w:rFonts w:ascii="Garamond" w:eastAsia="Calibri" w:hAnsi="Garamond" w:cs="Times New Roman"/>
          <w:bCs/>
          <w:sz w:val="22"/>
          <w:szCs w:val="22"/>
          <w:lang w:eastAsia="en-US"/>
        </w:rPr>
        <w:t>в отношении зарегистрированного объекта регулирования публикует на своем официальном сайте</w:t>
      </w:r>
      <w:r w:rsidR="008E5B80">
        <w:rPr>
          <w:rFonts w:ascii="Garamond" w:eastAsia="Calibri" w:hAnsi="Garamond" w:cs="Times New Roman"/>
          <w:bCs/>
          <w:sz w:val="22"/>
          <w:szCs w:val="22"/>
          <w:lang w:eastAsia="en-US"/>
        </w:rPr>
        <w:t>,</w:t>
      </w:r>
      <w:r w:rsidRPr="00AD67C2">
        <w:rPr>
          <w:rFonts w:ascii="Garamond" w:eastAsia="Calibri" w:hAnsi="Garamond" w:cs="Times New Roman"/>
          <w:bCs/>
          <w:sz w:val="22"/>
          <w:szCs w:val="22"/>
          <w:lang w:eastAsia="en-US"/>
        </w:rPr>
        <w:t xml:space="preserve"> в веб-интерфейсе «Данные АИИС»</w:t>
      </w:r>
      <w:r w:rsidR="008E5B80">
        <w:rPr>
          <w:rFonts w:ascii="Garamond" w:eastAsia="Calibri" w:hAnsi="Garamond" w:cs="Times New Roman"/>
          <w:bCs/>
          <w:sz w:val="22"/>
          <w:szCs w:val="22"/>
          <w:lang w:eastAsia="en-US"/>
        </w:rPr>
        <w:t>,</w:t>
      </w:r>
      <w:r w:rsidRPr="00AD67C2">
        <w:rPr>
          <w:rFonts w:ascii="Garamond" w:eastAsia="Calibri" w:hAnsi="Garamond" w:cs="Times New Roman"/>
          <w:bCs/>
          <w:sz w:val="22"/>
          <w:szCs w:val="22"/>
          <w:lang w:eastAsia="en-US"/>
        </w:rPr>
        <w:t xml:space="preserve"> информацию о сроке подтверждения соответствия системы учета электроэнергии техническим требованиям оптового рынка по объекту регулирования.</w:t>
      </w:r>
    </w:p>
    <w:p w14:paraId="5B1F7304" w14:textId="77777777" w:rsidR="001333B2" w:rsidRPr="00AD67C2" w:rsidRDefault="001333B2" w:rsidP="00AD67C2">
      <w:pPr>
        <w:widowControl w:val="0"/>
        <w:numPr>
          <w:ilvl w:val="1"/>
          <w:numId w:val="310"/>
        </w:numPr>
        <w:tabs>
          <w:tab w:val="left" w:pos="1077"/>
        </w:tabs>
        <w:suppressAutoHyphens w:val="0"/>
        <w:spacing w:before="120" w:after="120" w:line="259" w:lineRule="auto"/>
        <w:ind w:left="0" w:firstLine="601"/>
        <w:jc w:val="both"/>
        <w:outlineLvl w:val="1"/>
        <w:rPr>
          <w:rFonts w:ascii="Garamond" w:eastAsia="Calibri" w:hAnsi="Garamond" w:cs="Times New Roman"/>
          <w:bCs/>
          <w:sz w:val="22"/>
          <w:szCs w:val="22"/>
          <w:lang w:eastAsia="en-US"/>
        </w:rPr>
      </w:pPr>
      <w:bookmarkStart w:id="47" w:name="_Ref150429707"/>
      <w:bookmarkStart w:id="48" w:name="_Ref149322545"/>
      <w:r w:rsidRPr="00AD67C2">
        <w:rPr>
          <w:rFonts w:ascii="Garamond" w:eastAsia="Calibri" w:hAnsi="Garamond" w:cs="Times New Roman"/>
          <w:bCs/>
          <w:sz w:val="22"/>
          <w:szCs w:val="22"/>
          <w:lang w:eastAsia="en-US"/>
        </w:rPr>
        <w:t>СО в порядке и сроки, установленные в настоящем пункте, выполняет аттестацию объекта регулирования.</w:t>
      </w:r>
      <w:bookmarkEnd w:id="47"/>
    </w:p>
    <w:p w14:paraId="608C4801" w14:textId="2714A63C" w:rsidR="001333B2" w:rsidRPr="008E5B80" w:rsidRDefault="008E5B80" w:rsidP="00AD67C2">
      <w:pPr>
        <w:widowControl w:val="0"/>
        <w:numPr>
          <w:ilvl w:val="2"/>
          <w:numId w:val="342"/>
        </w:numPr>
        <w:tabs>
          <w:tab w:val="left" w:pos="851"/>
          <w:tab w:val="left" w:pos="1077"/>
        </w:tabs>
        <w:suppressAutoHyphens w:val="0"/>
        <w:spacing w:before="120" w:after="120" w:line="259" w:lineRule="auto"/>
        <w:ind w:left="0" w:firstLine="601"/>
        <w:jc w:val="both"/>
        <w:outlineLvl w:val="1"/>
        <w:rPr>
          <w:rFonts w:ascii="Garamond" w:eastAsia="Calibri" w:hAnsi="Garamond" w:cs="Times New Roman"/>
          <w:bCs/>
          <w:sz w:val="22"/>
          <w:szCs w:val="22"/>
          <w:lang w:eastAsia="en-US"/>
        </w:rPr>
      </w:pPr>
      <w:r>
        <w:rPr>
          <w:rFonts w:ascii="Garamond" w:eastAsia="Calibri" w:hAnsi="Garamond" w:cs="Times New Roman"/>
          <w:bCs/>
          <w:sz w:val="22"/>
          <w:szCs w:val="22"/>
          <w:lang w:eastAsia="en-US"/>
        </w:rPr>
        <w:t xml:space="preserve"> </w:t>
      </w:r>
      <w:r w:rsidR="001333B2" w:rsidRPr="00AD67C2">
        <w:rPr>
          <w:rFonts w:ascii="Garamond" w:eastAsia="Calibri" w:hAnsi="Garamond" w:cs="Times New Roman"/>
          <w:bCs/>
          <w:sz w:val="22"/>
          <w:szCs w:val="22"/>
          <w:lang w:eastAsia="en-US"/>
        </w:rPr>
        <w:t xml:space="preserve">С даты получения документов, направленных в соответствии с п. </w:t>
      </w:r>
      <w:r w:rsidR="001333B2" w:rsidRPr="00AD67C2">
        <w:rPr>
          <w:rFonts w:ascii="Garamond" w:eastAsia="Calibri" w:hAnsi="Garamond" w:cs="Times New Roman"/>
          <w:bCs/>
          <w:sz w:val="22"/>
          <w:szCs w:val="22"/>
          <w:lang w:eastAsia="en-US"/>
        </w:rPr>
        <w:fldChar w:fldCharType="begin"/>
      </w:r>
      <w:r w:rsidR="001333B2" w:rsidRPr="00AD67C2">
        <w:rPr>
          <w:rFonts w:ascii="Garamond" w:eastAsia="Calibri" w:hAnsi="Garamond" w:cs="Times New Roman"/>
          <w:bCs/>
          <w:sz w:val="22"/>
          <w:szCs w:val="22"/>
          <w:lang w:eastAsia="en-US"/>
        </w:rPr>
        <w:instrText xml:space="preserve"> REF _Ref149325220 \r \h  \* MERGEFORMAT </w:instrText>
      </w:r>
      <w:r w:rsidR="001333B2" w:rsidRPr="00AD67C2">
        <w:rPr>
          <w:rFonts w:ascii="Garamond" w:eastAsia="Calibri" w:hAnsi="Garamond" w:cs="Times New Roman"/>
          <w:bCs/>
          <w:sz w:val="22"/>
          <w:szCs w:val="22"/>
          <w:lang w:eastAsia="en-US"/>
        </w:rPr>
      </w:r>
      <w:r w:rsidR="001333B2" w:rsidRPr="00AD67C2">
        <w:rPr>
          <w:rFonts w:ascii="Garamond" w:eastAsia="Calibri" w:hAnsi="Garamond" w:cs="Times New Roman"/>
          <w:bCs/>
          <w:sz w:val="22"/>
          <w:szCs w:val="22"/>
          <w:lang w:eastAsia="en-US"/>
        </w:rPr>
        <w:fldChar w:fldCharType="separate"/>
      </w:r>
      <w:r w:rsidR="001333B2" w:rsidRPr="00AD67C2">
        <w:rPr>
          <w:rFonts w:ascii="Garamond" w:eastAsia="Calibri" w:hAnsi="Garamond" w:cs="Times New Roman"/>
          <w:bCs/>
          <w:sz w:val="22"/>
          <w:szCs w:val="22"/>
          <w:lang w:eastAsia="en-US"/>
        </w:rPr>
        <w:t>3.4</w:t>
      </w:r>
      <w:r w:rsidR="001333B2" w:rsidRPr="00AD67C2">
        <w:rPr>
          <w:rFonts w:ascii="Garamond" w:eastAsia="Calibri" w:hAnsi="Garamond" w:cs="Times New Roman"/>
          <w:bCs/>
          <w:sz w:val="22"/>
          <w:szCs w:val="22"/>
          <w:lang w:eastAsia="en-US"/>
        </w:rPr>
        <w:fldChar w:fldCharType="end"/>
      </w:r>
      <w:r w:rsidR="001333B2" w:rsidRPr="00AD67C2">
        <w:rPr>
          <w:rFonts w:ascii="Garamond" w:eastAsia="Calibri" w:hAnsi="Garamond" w:cs="Times New Roman"/>
          <w:bCs/>
          <w:sz w:val="22"/>
          <w:szCs w:val="22"/>
          <w:lang w:eastAsia="en-US"/>
        </w:rPr>
        <w:t xml:space="preserve"> настоящего приложения, </w:t>
      </w:r>
      <w:r w:rsidR="001333B2" w:rsidRPr="008E5B80">
        <w:rPr>
          <w:rFonts w:ascii="Garamond" w:eastAsia="Calibri" w:hAnsi="Garamond" w:cs="Times New Roman"/>
          <w:bCs/>
          <w:sz w:val="22"/>
          <w:szCs w:val="22"/>
          <w:lang w:eastAsia="en-US"/>
        </w:rPr>
        <w:t xml:space="preserve">выполняет </w:t>
      </w:r>
      <w:r w:rsidR="00C84AD5" w:rsidRPr="008E5B80">
        <w:rPr>
          <w:rFonts w:ascii="Garamond" w:eastAsia="Calibri" w:hAnsi="Garamond" w:cs="Times New Roman"/>
          <w:bCs/>
          <w:sz w:val="22"/>
          <w:szCs w:val="22"/>
          <w:lang w:eastAsia="en-US"/>
        </w:rPr>
        <w:t>следующие действия</w:t>
      </w:r>
      <w:r w:rsidR="001333B2" w:rsidRPr="008E5B80">
        <w:rPr>
          <w:rFonts w:ascii="Garamond" w:eastAsia="Calibri" w:hAnsi="Garamond" w:cs="Times New Roman"/>
          <w:bCs/>
          <w:sz w:val="22"/>
          <w:szCs w:val="22"/>
          <w:lang w:eastAsia="en-US"/>
        </w:rPr>
        <w:t>:</w:t>
      </w:r>
    </w:p>
    <w:p w14:paraId="00B32941" w14:textId="77777777" w:rsidR="001333B2" w:rsidRPr="00AD67C2" w:rsidRDefault="001333B2" w:rsidP="00AD67C2">
      <w:pPr>
        <w:widowControl w:val="0"/>
        <w:tabs>
          <w:tab w:val="left" w:pos="1077"/>
        </w:tabs>
        <w:suppressAutoHyphens w:val="0"/>
        <w:spacing w:before="120" w:after="120"/>
        <w:ind w:firstLine="601"/>
        <w:jc w:val="both"/>
        <w:rPr>
          <w:rFonts w:ascii="Garamond" w:eastAsia="Calibri" w:hAnsi="Garamond" w:cs="Times New Roman"/>
          <w:bCs/>
          <w:sz w:val="22"/>
          <w:szCs w:val="22"/>
          <w:lang w:eastAsia="en-US"/>
        </w:rPr>
      </w:pPr>
      <w:r w:rsidRPr="00AD67C2">
        <w:rPr>
          <w:rFonts w:ascii="Garamond" w:eastAsia="Calibri" w:hAnsi="Garamond" w:cs="Times New Roman"/>
          <w:bCs/>
          <w:sz w:val="22"/>
          <w:szCs w:val="22"/>
          <w:lang w:eastAsia="en-US"/>
        </w:rPr>
        <w:t>1) в течение 3 (трех) рабочих дней вносит информацию об объекте регулирования (на основании данных комплекта документов) на электронную торговую площадку (далее – ЭТП), при необходимости создает личный кабинет на ЭТП для заявителя, а также определяет варианты аттестации объекта регулирования в зависимости от участия соответствующего объекта регулирования в пилотном проекте.</w:t>
      </w:r>
    </w:p>
    <w:p w14:paraId="744262C0" w14:textId="580397A0" w:rsidR="001333B2" w:rsidRPr="00AD67C2" w:rsidRDefault="001333B2" w:rsidP="00AD67C2">
      <w:pPr>
        <w:widowControl w:val="0"/>
        <w:tabs>
          <w:tab w:val="left" w:pos="1077"/>
        </w:tabs>
        <w:suppressAutoHyphens w:val="0"/>
        <w:spacing w:before="120" w:after="120"/>
        <w:ind w:firstLine="601"/>
        <w:jc w:val="both"/>
        <w:rPr>
          <w:rFonts w:ascii="Garamond" w:eastAsia="Calibri" w:hAnsi="Garamond" w:cs="Times New Roman"/>
          <w:bCs/>
          <w:sz w:val="22"/>
          <w:szCs w:val="22"/>
          <w:lang w:eastAsia="en-US"/>
        </w:rPr>
      </w:pPr>
      <w:r w:rsidRPr="00AD67C2">
        <w:rPr>
          <w:rFonts w:ascii="Garamond" w:eastAsia="Calibri" w:hAnsi="Garamond" w:cs="Times New Roman"/>
          <w:bCs/>
          <w:sz w:val="22"/>
          <w:szCs w:val="22"/>
          <w:lang w:eastAsia="en-US"/>
        </w:rPr>
        <w:t>Если заявитель с использованием соответствующего объекта регулирования оказывал услуги по упр</w:t>
      </w:r>
      <w:r w:rsidR="008E5B80">
        <w:rPr>
          <w:rFonts w:ascii="Garamond" w:eastAsia="Calibri" w:hAnsi="Garamond" w:cs="Times New Roman"/>
          <w:bCs/>
          <w:sz w:val="22"/>
          <w:szCs w:val="22"/>
          <w:lang w:eastAsia="en-US"/>
        </w:rPr>
        <w:t>авлению спросом в период 2022–</w:t>
      </w:r>
      <w:r w:rsidRPr="00AD67C2">
        <w:rPr>
          <w:rFonts w:ascii="Garamond" w:eastAsia="Calibri" w:hAnsi="Garamond" w:cs="Times New Roman"/>
          <w:bCs/>
          <w:sz w:val="22"/>
          <w:szCs w:val="22"/>
          <w:lang w:eastAsia="en-US"/>
        </w:rPr>
        <w:t>2023 годов и заявленная длительность снижения потребления соответствует длительности снижения потребления такого объекта регулирования в пилотном проекте, то СО выполняет аттестацию в упрощ</w:t>
      </w:r>
      <w:r w:rsidR="00BC4FC4">
        <w:rPr>
          <w:rFonts w:ascii="Garamond" w:eastAsia="Calibri" w:hAnsi="Garamond" w:cs="Times New Roman"/>
          <w:bCs/>
          <w:sz w:val="22"/>
          <w:szCs w:val="22"/>
          <w:lang w:eastAsia="en-US"/>
        </w:rPr>
        <w:t>е</w:t>
      </w:r>
      <w:r w:rsidRPr="00AD67C2">
        <w:rPr>
          <w:rFonts w:ascii="Garamond" w:eastAsia="Calibri" w:hAnsi="Garamond" w:cs="Times New Roman"/>
          <w:bCs/>
          <w:sz w:val="22"/>
          <w:szCs w:val="22"/>
          <w:lang w:eastAsia="en-US"/>
        </w:rPr>
        <w:t xml:space="preserve">нном порядке в течение 2 (двух) рабочих дней. В течение указанного срока СО уведомляет заявителя о результатах аттестации через ЭТП. Заявитель вправе в </w:t>
      </w:r>
      <w:r w:rsidRPr="00AD67C2">
        <w:rPr>
          <w:rFonts w:ascii="Garamond" w:eastAsia="Calibri" w:hAnsi="Garamond" w:cs="Times New Roman"/>
          <w:bCs/>
          <w:sz w:val="22"/>
          <w:szCs w:val="22"/>
          <w:lang w:eastAsia="en-US"/>
        </w:rPr>
        <w:lastRenderedPageBreak/>
        <w:t>течение 1 (одного) рабочего дня с даты получения уведомления о результатах аттестации направить в СО заявление о проведении повторной аттестации</w:t>
      </w:r>
      <w:r w:rsidR="008E5B80">
        <w:rPr>
          <w:rFonts w:ascii="Garamond" w:eastAsia="Calibri" w:hAnsi="Garamond" w:cs="Times New Roman"/>
          <w:bCs/>
          <w:sz w:val="22"/>
          <w:szCs w:val="22"/>
          <w:lang w:eastAsia="en-US"/>
        </w:rPr>
        <w:t>;</w:t>
      </w:r>
      <w:r w:rsidRPr="00AD67C2">
        <w:rPr>
          <w:rFonts w:ascii="Garamond" w:eastAsia="Calibri" w:hAnsi="Garamond" w:cs="Times New Roman"/>
          <w:bCs/>
          <w:sz w:val="22"/>
          <w:szCs w:val="22"/>
          <w:lang w:eastAsia="en-US"/>
        </w:rPr>
        <w:t xml:space="preserve"> </w:t>
      </w:r>
    </w:p>
    <w:p w14:paraId="31D34C2C" w14:textId="285A93D8" w:rsidR="001333B2" w:rsidRPr="00AD67C2" w:rsidRDefault="001333B2" w:rsidP="00AD67C2">
      <w:pPr>
        <w:widowControl w:val="0"/>
        <w:tabs>
          <w:tab w:val="left" w:pos="1077"/>
        </w:tabs>
        <w:suppressAutoHyphens w:val="0"/>
        <w:spacing w:before="120" w:after="120"/>
        <w:ind w:firstLine="601"/>
        <w:jc w:val="both"/>
        <w:rPr>
          <w:rFonts w:ascii="Garamond" w:eastAsia="Calibri" w:hAnsi="Garamond" w:cs="Times New Roman"/>
          <w:bCs/>
          <w:sz w:val="22"/>
          <w:szCs w:val="22"/>
          <w:lang w:eastAsia="en-US"/>
        </w:rPr>
      </w:pPr>
      <w:r w:rsidRPr="00AD67C2">
        <w:rPr>
          <w:rFonts w:ascii="Garamond" w:eastAsia="Calibri" w:hAnsi="Garamond" w:cs="Times New Roman"/>
          <w:bCs/>
          <w:sz w:val="22"/>
          <w:szCs w:val="22"/>
          <w:lang w:eastAsia="en-US"/>
        </w:rPr>
        <w:t>2) в течение 2 (двух) рабочих дней с даты выполнения действий, указанных в п</w:t>
      </w:r>
      <w:r w:rsidR="008E5B80">
        <w:rPr>
          <w:rFonts w:ascii="Garamond" w:eastAsia="Calibri" w:hAnsi="Garamond" w:cs="Times New Roman"/>
          <w:bCs/>
          <w:sz w:val="22"/>
          <w:szCs w:val="22"/>
          <w:lang w:eastAsia="en-US"/>
        </w:rPr>
        <w:t>од</w:t>
      </w:r>
      <w:r w:rsidRPr="00AD67C2">
        <w:rPr>
          <w:rFonts w:ascii="Garamond" w:eastAsia="Calibri" w:hAnsi="Garamond" w:cs="Times New Roman"/>
          <w:bCs/>
          <w:sz w:val="22"/>
          <w:szCs w:val="22"/>
          <w:lang w:eastAsia="en-US"/>
        </w:rPr>
        <w:t>п.</w:t>
      </w:r>
      <w:r w:rsidR="008E5B80">
        <w:rPr>
          <w:rFonts w:ascii="Garamond" w:eastAsia="Calibri" w:hAnsi="Garamond" w:cs="Times New Roman"/>
          <w:bCs/>
          <w:sz w:val="22"/>
          <w:szCs w:val="22"/>
          <w:lang w:eastAsia="en-US"/>
        </w:rPr>
        <w:t xml:space="preserve"> </w:t>
      </w:r>
      <w:r w:rsidRPr="00AD67C2">
        <w:rPr>
          <w:rFonts w:ascii="Garamond" w:eastAsia="Calibri" w:hAnsi="Garamond" w:cs="Times New Roman"/>
          <w:bCs/>
          <w:sz w:val="22"/>
          <w:szCs w:val="22"/>
          <w:lang w:eastAsia="en-US"/>
        </w:rPr>
        <w:t>1 настоящего пункта, выполняет подготовку к аттестации объекта регулирования, в том числе информирует заявителя в ИУС «Demand Response» о начале аттестации и необходи</w:t>
      </w:r>
      <w:r w:rsidR="008E5B80">
        <w:rPr>
          <w:rFonts w:ascii="Garamond" w:eastAsia="Calibri" w:hAnsi="Garamond" w:cs="Times New Roman"/>
          <w:bCs/>
          <w:sz w:val="22"/>
          <w:szCs w:val="22"/>
          <w:lang w:eastAsia="en-US"/>
        </w:rPr>
        <w:t>мости направления уведомлений о </w:t>
      </w:r>
      <w:r w:rsidRPr="00AD67C2">
        <w:rPr>
          <w:rFonts w:ascii="Garamond" w:eastAsia="Calibri" w:hAnsi="Garamond" w:cs="Times New Roman"/>
          <w:bCs/>
          <w:sz w:val="22"/>
          <w:szCs w:val="22"/>
          <w:lang w:eastAsia="en-US"/>
        </w:rPr>
        <w:t>готовности по установленной форме (формат xml) в течение периода аттестации</w:t>
      </w:r>
      <w:r w:rsidR="008E5B80">
        <w:rPr>
          <w:rFonts w:ascii="Garamond" w:eastAsia="Calibri" w:hAnsi="Garamond" w:cs="Times New Roman"/>
          <w:bCs/>
          <w:sz w:val="22"/>
          <w:szCs w:val="22"/>
          <w:lang w:eastAsia="en-US"/>
        </w:rPr>
        <w:t>;</w:t>
      </w:r>
    </w:p>
    <w:p w14:paraId="121E1312" w14:textId="73ACEFC5" w:rsidR="001333B2" w:rsidRPr="00AD67C2" w:rsidRDefault="001333B2" w:rsidP="00AD67C2">
      <w:pPr>
        <w:widowControl w:val="0"/>
        <w:tabs>
          <w:tab w:val="left" w:pos="1077"/>
        </w:tabs>
        <w:suppressAutoHyphens w:val="0"/>
        <w:spacing w:before="120" w:after="120"/>
        <w:ind w:firstLine="601"/>
        <w:jc w:val="both"/>
        <w:rPr>
          <w:rFonts w:ascii="Garamond" w:eastAsia="Calibri" w:hAnsi="Garamond" w:cs="Times New Roman"/>
          <w:bCs/>
          <w:sz w:val="22"/>
          <w:szCs w:val="22"/>
          <w:lang w:eastAsia="en-US"/>
        </w:rPr>
      </w:pPr>
      <w:r w:rsidRPr="00AD67C2">
        <w:rPr>
          <w:rFonts w:ascii="Garamond" w:eastAsia="Calibri" w:hAnsi="Garamond" w:cs="Times New Roman"/>
          <w:bCs/>
          <w:sz w:val="22"/>
          <w:szCs w:val="22"/>
          <w:lang w:eastAsia="en-US"/>
        </w:rPr>
        <w:t>3) в течение 8 (восьми) рабочих дней с даты выполнения действий, указанных в п</w:t>
      </w:r>
      <w:r w:rsidR="008E5B80">
        <w:rPr>
          <w:rFonts w:ascii="Garamond" w:eastAsia="Calibri" w:hAnsi="Garamond" w:cs="Times New Roman"/>
          <w:bCs/>
          <w:sz w:val="22"/>
          <w:szCs w:val="22"/>
          <w:lang w:eastAsia="en-US"/>
        </w:rPr>
        <w:t>од</w:t>
      </w:r>
      <w:r w:rsidRPr="00AD67C2">
        <w:rPr>
          <w:rFonts w:ascii="Garamond" w:eastAsia="Calibri" w:hAnsi="Garamond" w:cs="Times New Roman"/>
          <w:bCs/>
          <w:sz w:val="22"/>
          <w:szCs w:val="22"/>
          <w:lang w:eastAsia="en-US"/>
        </w:rPr>
        <w:t>п.</w:t>
      </w:r>
      <w:r w:rsidR="008E5B80">
        <w:rPr>
          <w:rFonts w:ascii="Garamond" w:eastAsia="Calibri" w:hAnsi="Garamond" w:cs="Times New Roman"/>
          <w:bCs/>
          <w:sz w:val="22"/>
          <w:szCs w:val="22"/>
          <w:lang w:eastAsia="en-US"/>
        </w:rPr>
        <w:t xml:space="preserve"> </w:t>
      </w:r>
      <w:r w:rsidRPr="00AD67C2">
        <w:rPr>
          <w:rFonts w:ascii="Garamond" w:eastAsia="Calibri" w:hAnsi="Garamond" w:cs="Times New Roman"/>
          <w:bCs/>
          <w:sz w:val="22"/>
          <w:szCs w:val="22"/>
          <w:lang w:eastAsia="en-US"/>
        </w:rPr>
        <w:t>2 настоящего пункта, проводит аттестацию объекта регулирования. В течение указанного срока СО уведомляет заявителя о результатах аттестации через ЭТП. Заявитель вправе в течение 1 (одного) рабочего дня с даты получения уведомления о результатах аттестации направить в СО заявление о проведении повторной аттестации</w:t>
      </w:r>
      <w:r w:rsidR="008E5B80">
        <w:rPr>
          <w:rFonts w:ascii="Garamond" w:eastAsia="Calibri" w:hAnsi="Garamond" w:cs="Times New Roman"/>
          <w:bCs/>
          <w:sz w:val="22"/>
          <w:szCs w:val="22"/>
          <w:lang w:eastAsia="en-US"/>
        </w:rPr>
        <w:t>;</w:t>
      </w:r>
    </w:p>
    <w:p w14:paraId="26CE6046" w14:textId="40C401D3" w:rsidR="001333B2" w:rsidRPr="00AD67C2" w:rsidRDefault="001333B2" w:rsidP="00AD67C2">
      <w:pPr>
        <w:widowControl w:val="0"/>
        <w:tabs>
          <w:tab w:val="left" w:pos="1077"/>
        </w:tabs>
        <w:suppressAutoHyphens w:val="0"/>
        <w:spacing w:before="120" w:after="120"/>
        <w:ind w:firstLine="601"/>
        <w:jc w:val="both"/>
        <w:rPr>
          <w:rFonts w:ascii="Garamond" w:eastAsia="Calibri" w:hAnsi="Garamond" w:cs="Times New Roman"/>
          <w:bCs/>
          <w:sz w:val="22"/>
          <w:szCs w:val="22"/>
          <w:lang w:eastAsia="en-US"/>
        </w:rPr>
      </w:pPr>
      <w:r w:rsidRPr="00AD67C2">
        <w:rPr>
          <w:rFonts w:ascii="Garamond" w:eastAsia="Calibri" w:hAnsi="Garamond" w:cs="Times New Roman"/>
          <w:bCs/>
          <w:sz w:val="22"/>
          <w:szCs w:val="22"/>
          <w:lang w:eastAsia="en-US"/>
        </w:rPr>
        <w:t xml:space="preserve">4) в случае получения заявления о </w:t>
      </w:r>
      <w:r w:rsidR="00AE7446" w:rsidRPr="00AD67C2">
        <w:rPr>
          <w:rFonts w:ascii="Garamond" w:eastAsia="Calibri" w:hAnsi="Garamond" w:cs="Times New Roman"/>
          <w:bCs/>
          <w:sz w:val="22"/>
          <w:szCs w:val="22"/>
          <w:lang w:eastAsia="en-US"/>
        </w:rPr>
        <w:t>проведении повторной аттестации</w:t>
      </w:r>
      <w:r w:rsidRPr="00AD67C2">
        <w:rPr>
          <w:rFonts w:ascii="Garamond" w:eastAsia="Calibri" w:hAnsi="Garamond" w:cs="Times New Roman"/>
          <w:bCs/>
          <w:sz w:val="22"/>
          <w:szCs w:val="22"/>
          <w:lang w:eastAsia="en-US"/>
        </w:rPr>
        <w:t xml:space="preserve"> в течение 8 (восьми) рабочих дней</w:t>
      </w:r>
      <w:r w:rsidR="008E5B80">
        <w:rPr>
          <w:rFonts w:ascii="Garamond" w:eastAsia="Calibri" w:hAnsi="Garamond" w:cs="Times New Roman"/>
          <w:bCs/>
          <w:sz w:val="22"/>
          <w:szCs w:val="22"/>
          <w:lang w:eastAsia="en-US"/>
        </w:rPr>
        <w:t>,</w:t>
      </w:r>
      <w:r w:rsidRPr="00AD67C2">
        <w:rPr>
          <w:rFonts w:ascii="Garamond" w:eastAsia="Calibri" w:hAnsi="Garamond" w:cs="Times New Roman"/>
          <w:bCs/>
          <w:sz w:val="22"/>
          <w:szCs w:val="22"/>
          <w:lang w:eastAsia="en-US"/>
        </w:rPr>
        <w:t xml:space="preserve"> проводит повторную аттестацию</w:t>
      </w:r>
      <w:r w:rsidR="008E5B80">
        <w:rPr>
          <w:rFonts w:ascii="Garamond" w:eastAsia="Calibri" w:hAnsi="Garamond" w:cs="Times New Roman"/>
          <w:bCs/>
          <w:sz w:val="22"/>
          <w:szCs w:val="22"/>
          <w:lang w:eastAsia="en-US"/>
        </w:rPr>
        <w:t>;</w:t>
      </w:r>
    </w:p>
    <w:p w14:paraId="565022E3" w14:textId="4B31C9A3" w:rsidR="001333B2" w:rsidRPr="00AD67C2" w:rsidRDefault="001333B2" w:rsidP="00AD67C2">
      <w:pPr>
        <w:widowControl w:val="0"/>
        <w:tabs>
          <w:tab w:val="left" w:pos="1077"/>
        </w:tabs>
        <w:suppressAutoHyphens w:val="0"/>
        <w:spacing w:before="120" w:after="120"/>
        <w:ind w:firstLine="601"/>
        <w:jc w:val="both"/>
        <w:rPr>
          <w:rFonts w:ascii="Garamond" w:eastAsia="Calibri" w:hAnsi="Garamond" w:cs="Times New Roman"/>
          <w:bCs/>
          <w:sz w:val="22"/>
          <w:szCs w:val="22"/>
          <w:lang w:eastAsia="en-US"/>
        </w:rPr>
      </w:pPr>
      <w:r w:rsidRPr="00AD67C2">
        <w:rPr>
          <w:rFonts w:ascii="Garamond" w:eastAsia="Calibri" w:hAnsi="Garamond" w:cs="Times New Roman"/>
          <w:bCs/>
          <w:sz w:val="22"/>
          <w:szCs w:val="22"/>
          <w:lang w:eastAsia="en-US"/>
        </w:rPr>
        <w:t>5) после выполнения действий, указанных в п</w:t>
      </w:r>
      <w:r w:rsidR="008E5B80">
        <w:rPr>
          <w:rFonts w:ascii="Garamond" w:eastAsia="Calibri" w:hAnsi="Garamond" w:cs="Times New Roman"/>
          <w:bCs/>
          <w:sz w:val="22"/>
          <w:szCs w:val="22"/>
          <w:lang w:eastAsia="en-US"/>
        </w:rPr>
        <w:t>од</w:t>
      </w:r>
      <w:r w:rsidRPr="00AD67C2">
        <w:rPr>
          <w:rFonts w:ascii="Garamond" w:eastAsia="Calibri" w:hAnsi="Garamond" w:cs="Times New Roman"/>
          <w:bCs/>
          <w:sz w:val="22"/>
          <w:szCs w:val="22"/>
          <w:lang w:eastAsia="en-US"/>
        </w:rPr>
        <w:t>п.</w:t>
      </w:r>
      <w:r w:rsidR="008E5B80">
        <w:rPr>
          <w:rFonts w:ascii="Garamond" w:eastAsia="Calibri" w:hAnsi="Garamond" w:cs="Times New Roman"/>
          <w:bCs/>
          <w:sz w:val="22"/>
          <w:szCs w:val="22"/>
          <w:lang w:eastAsia="en-US"/>
        </w:rPr>
        <w:t xml:space="preserve"> </w:t>
      </w:r>
      <w:r w:rsidRPr="00AD67C2">
        <w:rPr>
          <w:rFonts w:ascii="Garamond" w:eastAsia="Calibri" w:hAnsi="Garamond" w:cs="Times New Roman"/>
          <w:bCs/>
          <w:sz w:val="22"/>
          <w:szCs w:val="22"/>
          <w:lang w:eastAsia="en-US"/>
        </w:rPr>
        <w:t>3 или п</w:t>
      </w:r>
      <w:r w:rsidR="008E5B80">
        <w:rPr>
          <w:rFonts w:ascii="Garamond" w:eastAsia="Calibri" w:hAnsi="Garamond" w:cs="Times New Roman"/>
          <w:bCs/>
          <w:sz w:val="22"/>
          <w:szCs w:val="22"/>
          <w:lang w:eastAsia="en-US"/>
        </w:rPr>
        <w:t>од</w:t>
      </w:r>
      <w:r w:rsidRPr="00AD67C2">
        <w:rPr>
          <w:rFonts w:ascii="Garamond" w:eastAsia="Calibri" w:hAnsi="Garamond" w:cs="Times New Roman"/>
          <w:bCs/>
          <w:sz w:val="22"/>
          <w:szCs w:val="22"/>
          <w:lang w:eastAsia="en-US"/>
        </w:rPr>
        <w:t>п.</w:t>
      </w:r>
      <w:r w:rsidR="008E5B80">
        <w:rPr>
          <w:rFonts w:ascii="Garamond" w:eastAsia="Calibri" w:hAnsi="Garamond" w:cs="Times New Roman"/>
          <w:bCs/>
          <w:sz w:val="22"/>
          <w:szCs w:val="22"/>
          <w:lang w:eastAsia="en-US"/>
        </w:rPr>
        <w:t xml:space="preserve"> </w:t>
      </w:r>
      <w:r w:rsidRPr="00AD67C2">
        <w:rPr>
          <w:rFonts w:ascii="Garamond" w:eastAsia="Calibri" w:hAnsi="Garamond" w:cs="Times New Roman"/>
          <w:bCs/>
          <w:sz w:val="22"/>
          <w:szCs w:val="22"/>
          <w:lang w:eastAsia="en-US"/>
        </w:rPr>
        <w:t>4 в случае проведения повторной аттестации, уведомляет заявителя и КО о результатах аттестации.</w:t>
      </w:r>
    </w:p>
    <w:p w14:paraId="5B5746EA" w14:textId="6EFA5A23" w:rsidR="001333B2" w:rsidRPr="00AD67C2" w:rsidRDefault="008E5B80" w:rsidP="00AD67C2">
      <w:pPr>
        <w:widowControl w:val="0"/>
        <w:numPr>
          <w:ilvl w:val="2"/>
          <w:numId w:val="342"/>
        </w:numPr>
        <w:tabs>
          <w:tab w:val="left" w:pos="851"/>
          <w:tab w:val="left" w:pos="1077"/>
        </w:tabs>
        <w:suppressAutoHyphens w:val="0"/>
        <w:spacing w:before="120" w:after="120" w:line="259" w:lineRule="auto"/>
        <w:ind w:left="0" w:firstLine="601"/>
        <w:jc w:val="both"/>
        <w:outlineLvl w:val="1"/>
        <w:rPr>
          <w:rFonts w:ascii="Garamond" w:eastAsia="Calibri" w:hAnsi="Garamond" w:cs="Times New Roman"/>
          <w:bCs/>
          <w:sz w:val="22"/>
          <w:szCs w:val="22"/>
          <w:lang w:eastAsia="en-US"/>
        </w:rPr>
      </w:pPr>
      <w:r>
        <w:rPr>
          <w:rFonts w:ascii="Garamond" w:eastAsia="Calibri" w:hAnsi="Garamond" w:cs="Times New Roman"/>
          <w:bCs/>
          <w:sz w:val="22"/>
          <w:szCs w:val="22"/>
          <w:lang w:eastAsia="en-US"/>
        </w:rPr>
        <w:t xml:space="preserve"> </w:t>
      </w:r>
      <w:r w:rsidR="001333B2" w:rsidRPr="00AD67C2">
        <w:rPr>
          <w:rFonts w:ascii="Garamond" w:eastAsia="Calibri" w:hAnsi="Garamond" w:cs="Times New Roman"/>
          <w:bCs/>
          <w:sz w:val="22"/>
          <w:szCs w:val="22"/>
          <w:lang w:eastAsia="en-US"/>
        </w:rPr>
        <w:t xml:space="preserve">С даты получения документов, направленных в соответствии с п. </w:t>
      </w:r>
      <w:r w:rsidR="001333B2" w:rsidRPr="00AD67C2">
        <w:rPr>
          <w:rFonts w:ascii="Garamond" w:eastAsia="Calibri" w:hAnsi="Garamond" w:cs="Times New Roman"/>
          <w:bCs/>
          <w:sz w:val="22"/>
          <w:szCs w:val="22"/>
          <w:lang w:eastAsia="en-US"/>
        </w:rPr>
        <w:fldChar w:fldCharType="begin"/>
      </w:r>
      <w:r w:rsidR="001333B2" w:rsidRPr="00AD67C2">
        <w:rPr>
          <w:rFonts w:ascii="Garamond" w:eastAsia="Calibri" w:hAnsi="Garamond" w:cs="Times New Roman"/>
          <w:bCs/>
          <w:sz w:val="22"/>
          <w:szCs w:val="22"/>
          <w:lang w:eastAsia="en-US"/>
        </w:rPr>
        <w:instrText xml:space="preserve"> REF _Ref149302018 \r \h  \* MERGEFORMAT </w:instrText>
      </w:r>
      <w:r w:rsidR="001333B2" w:rsidRPr="00AD67C2">
        <w:rPr>
          <w:rFonts w:ascii="Garamond" w:eastAsia="Calibri" w:hAnsi="Garamond" w:cs="Times New Roman"/>
          <w:bCs/>
          <w:sz w:val="22"/>
          <w:szCs w:val="22"/>
          <w:lang w:eastAsia="en-US"/>
        </w:rPr>
      </w:r>
      <w:r w:rsidR="001333B2" w:rsidRPr="00AD67C2">
        <w:rPr>
          <w:rFonts w:ascii="Garamond" w:eastAsia="Calibri" w:hAnsi="Garamond" w:cs="Times New Roman"/>
          <w:bCs/>
          <w:sz w:val="22"/>
          <w:szCs w:val="22"/>
          <w:lang w:eastAsia="en-US"/>
        </w:rPr>
        <w:fldChar w:fldCharType="separate"/>
      </w:r>
      <w:r w:rsidR="001333B2" w:rsidRPr="00AD67C2">
        <w:rPr>
          <w:rFonts w:ascii="Garamond" w:eastAsia="Calibri" w:hAnsi="Garamond" w:cs="Times New Roman"/>
          <w:bCs/>
          <w:sz w:val="22"/>
          <w:szCs w:val="22"/>
          <w:lang w:eastAsia="en-US"/>
        </w:rPr>
        <w:t>3.12</w:t>
      </w:r>
      <w:r w:rsidR="001333B2" w:rsidRPr="00AD67C2">
        <w:rPr>
          <w:rFonts w:ascii="Garamond" w:eastAsia="Calibri" w:hAnsi="Garamond" w:cs="Times New Roman"/>
          <w:bCs/>
          <w:sz w:val="22"/>
          <w:szCs w:val="22"/>
          <w:lang w:eastAsia="en-US"/>
        </w:rPr>
        <w:fldChar w:fldCharType="end"/>
      </w:r>
      <w:r w:rsidR="001333B2" w:rsidRPr="00AD67C2">
        <w:rPr>
          <w:rFonts w:ascii="Garamond" w:eastAsia="Calibri" w:hAnsi="Garamond" w:cs="Times New Roman"/>
          <w:bCs/>
          <w:sz w:val="22"/>
          <w:szCs w:val="22"/>
          <w:lang w:eastAsia="en-US"/>
        </w:rPr>
        <w:t xml:space="preserve"> настоящего приложения, </w:t>
      </w:r>
      <w:r w:rsidR="00AE7446" w:rsidRPr="00AD67C2">
        <w:rPr>
          <w:rFonts w:ascii="Garamond" w:eastAsia="Calibri" w:hAnsi="Garamond" w:cs="Times New Roman"/>
          <w:bCs/>
          <w:sz w:val="22"/>
          <w:szCs w:val="22"/>
          <w:lang w:eastAsia="en-US"/>
        </w:rPr>
        <w:t>СО</w:t>
      </w:r>
      <w:r w:rsidR="001333B2" w:rsidRPr="00AD67C2">
        <w:rPr>
          <w:rFonts w:ascii="Garamond" w:eastAsia="Calibri" w:hAnsi="Garamond" w:cs="Times New Roman"/>
          <w:bCs/>
          <w:sz w:val="22"/>
          <w:szCs w:val="22"/>
          <w:lang w:eastAsia="en-US"/>
        </w:rPr>
        <w:t>:</w:t>
      </w:r>
    </w:p>
    <w:p w14:paraId="3E4860CA" w14:textId="15DC2DE3" w:rsidR="001333B2" w:rsidRPr="00AD67C2" w:rsidRDefault="001333B2" w:rsidP="00AD67C2">
      <w:pPr>
        <w:widowControl w:val="0"/>
        <w:tabs>
          <w:tab w:val="left" w:pos="1077"/>
        </w:tabs>
        <w:suppressAutoHyphens w:val="0"/>
        <w:spacing w:before="120" w:after="120"/>
        <w:ind w:firstLine="601"/>
        <w:jc w:val="both"/>
        <w:rPr>
          <w:rFonts w:ascii="Garamond" w:eastAsia="Calibri" w:hAnsi="Garamond" w:cs="Times New Roman"/>
          <w:bCs/>
          <w:sz w:val="22"/>
          <w:szCs w:val="22"/>
          <w:lang w:eastAsia="en-US"/>
        </w:rPr>
      </w:pPr>
      <w:r w:rsidRPr="00AD67C2">
        <w:rPr>
          <w:rFonts w:ascii="Garamond" w:eastAsia="Calibri" w:hAnsi="Garamond" w:cs="Times New Roman"/>
          <w:bCs/>
          <w:sz w:val="22"/>
          <w:szCs w:val="22"/>
          <w:lang w:eastAsia="en-US"/>
        </w:rPr>
        <w:t xml:space="preserve">1) в течение 2 (двух) рабочих дней вносит информацию об объекте регулирования (на основании данных комплекта документов) на ЭТП, при необходимости создает личный кабинет на ЭТП для заявителя, а также определяет необходимость проведения переаттестации в зависимости от типа измененной (скорректированной) информации. </w:t>
      </w:r>
    </w:p>
    <w:p w14:paraId="79B600CB" w14:textId="4CB2885E" w:rsidR="001333B2" w:rsidRPr="00AD67C2" w:rsidRDefault="001333B2" w:rsidP="00AD67C2">
      <w:pPr>
        <w:widowControl w:val="0"/>
        <w:tabs>
          <w:tab w:val="left" w:pos="1077"/>
        </w:tabs>
        <w:suppressAutoHyphens w:val="0"/>
        <w:spacing w:before="120" w:after="120"/>
        <w:ind w:firstLine="601"/>
        <w:jc w:val="both"/>
        <w:rPr>
          <w:rFonts w:ascii="Garamond" w:eastAsia="Calibri" w:hAnsi="Garamond" w:cs="Times New Roman"/>
          <w:bCs/>
          <w:sz w:val="22"/>
          <w:szCs w:val="22"/>
          <w:lang w:eastAsia="en-US"/>
        </w:rPr>
      </w:pPr>
      <w:r w:rsidRPr="00AD67C2">
        <w:rPr>
          <w:rFonts w:ascii="Garamond" w:eastAsia="Calibri" w:hAnsi="Garamond" w:cs="Times New Roman"/>
          <w:bCs/>
          <w:sz w:val="22"/>
          <w:szCs w:val="22"/>
          <w:lang w:eastAsia="en-US"/>
        </w:rPr>
        <w:t>Если принято решение об отсутствии необходимости переаттестации, то повторно уведомляет заявителя и КО о результатах аттестации</w:t>
      </w:r>
      <w:r w:rsidR="009162C0">
        <w:rPr>
          <w:rFonts w:ascii="Garamond" w:eastAsia="Calibri" w:hAnsi="Garamond" w:cs="Times New Roman"/>
          <w:bCs/>
          <w:sz w:val="22"/>
          <w:szCs w:val="22"/>
          <w:lang w:eastAsia="en-US"/>
        </w:rPr>
        <w:t>;</w:t>
      </w:r>
      <w:r w:rsidRPr="00AD67C2">
        <w:rPr>
          <w:rFonts w:ascii="Garamond" w:eastAsia="Calibri" w:hAnsi="Garamond" w:cs="Times New Roman"/>
          <w:bCs/>
          <w:sz w:val="22"/>
          <w:szCs w:val="22"/>
          <w:lang w:eastAsia="en-US"/>
        </w:rPr>
        <w:t xml:space="preserve"> </w:t>
      </w:r>
    </w:p>
    <w:p w14:paraId="56495CA9" w14:textId="56DBD762" w:rsidR="001333B2" w:rsidRPr="00AD67C2" w:rsidRDefault="001333B2" w:rsidP="00AD67C2">
      <w:pPr>
        <w:widowControl w:val="0"/>
        <w:tabs>
          <w:tab w:val="left" w:pos="1077"/>
        </w:tabs>
        <w:suppressAutoHyphens w:val="0"/>
        <w:spacing w:before="120" w:after="120"/>
        <w:ind w:firstLine="601"/>
        <w:jc w:val="both"/>
        <w:rPr>
          <w:rFonts w:ascii="Garamond" w:eastAsia="Calibri" w:hAnsi="Garamond" w:cs="Times New Roman"/>
          <w:bCs/>
          <w:sz w:val="22"/>
          <w:szCs w:val="22"/>
          <w:lang w:eastAsia="en-US"/>
        </w:rPr>
      </w:pPr>
      <w:r w:rsidRPr="00AD67C2">
        <w:rPr>
          <w:rFonts w:ascii="Garamond" w:eastAsia="Calibri" w:hAnsi="Garamond" w:cs="Times New Roman"/>
          <w:bCs/>
          <w:sz w:val="22"/>
          <w:szCs w:val="22"/>
          <w:lang w:eastAsia="en-US"/>
        </w:rPr>
        <w:t>2) в течение 2 (двух) рабочих дней с даты выполнения действий, указанных в п</w:t>
      </w:r>
      <w:r w:rsidR="009162C0">
        <w:rPr>
          <w:rFonts w:ascii="Garamond" w:eastAsia="Calibri" w:hAnsi="Garamond" w:cs="Times New Roman"/>
          <w:bCs/>
          <w:sz w:val="22"/>
          <w:szCs w:val="22"/>
          <w:lang w:eastAsia="en-US"/>
        </w:rPr>
        <w:t>од</w:t>
      </w:r>
      <w:r w:rsidRPr="00AD67C2">
        <w:rPr>
          <w:rFonts w:ascii="Garamond" w:eastAsia="Calibri" w:hAnsi="Garamond" w:cs="Times New Roman"/>
          <w:bCs/>
          <w:sz w:val="22"/>
          <w:szCs w:val="22"/>
          <w:lang w:eastAsia="en-US"/>
        </w:rPr>
        <w:t>п.</w:t>
      </w:r>
      <w:r w:rsidR="009162C0">
        <w:rPr>
          <w:rFonts w:ascii="Garamond" w:eastAsia="Calibri" w:hAnsi="Garamond" w:cs="Times New Roman"/>
          <w:bCs/>
          <w:sz w:val="22"/>
          <w:szCs w:val="22"/>
          <w:lang w:eastAsia="en-US"/>
        </w:rPr>
        <w:t xml:space="preserve"> </w:t>
      </w:r>
      <w:r w:rsidRPr="00AD67C2">
        <w:rPr>
          <w:rFonts w:ascii="Garamond" w:eastAsia="Calibri" w:hAnsi="Garamond" w:cs="Times New Roman"/>
          <w:bCs/>
          <w:sz w:val="22"/>
          <w:szCs w:val="22"/>
          <w:lang w:eastAsia="en-US"/>
        </w:rPr>
        <w:t>1 настоящего пункта, выполняет подготовку к аттестации объекта регулирования, в том числе информирует заявителя в ИУС «Demand Response» о начале аттестации и необходимости направления уведомлений о готовности по установленной форме (формат xml) в течение периода аттестации</w:t>
      </w:r>
      <w:r w:rsidR="00173FC5">
        <w:rPr>
          <w:rFonts w:ascii="Garamond" w:eastAsia="Calibri" w:hAnsi="Garamond" w:cs="Times New Roman"/>
          <w:bCs/>
          <w:sz w:val="22"/>
          <w:szCs w:val="22"/>
          <w:lang w:eastAsia="en-US"/>
        </w:rPr>
        <w:t>;</w:t>
      </w:r>
    </w:p>
    <w:p w14:paraId="5774B568" w14:textId="0609A3BE" w:rsidR="001333B2" w:rsidRPr="00AD67C2" w:rsidRDefault="001333B2" w:rsidP="00AD67C2">
      <w:pPr>
        <w:widowControl w:val="0"/>
        <w:tabs>
          <w:tab w:val="left" w:pos="1077"/>
        </w:tabs>
        <w:suppressAutoHyphens w:val="0"/>
        <w:spacing w:before="120" w:after="120"/>
        <w:ind w:firstLine="601"/>
        <w:jc w:val="both"/>
        <w:rPr>
          <w:rFonts w:ascii="Garamond" w:eastAsia="Calibri" w:hAnsi="Garamond" w:cs="Times New Roman"/>
          <w:bCs/>
          <w:sz w:val="22"/>
          <w:szCs w:val="22"/>
          <w:lang w:eastAsia="en-US"/>
        </w:rPr>
      </w:pPr>
      <w:r w:rsidRPr="00AD67C2">
        <w:rPr>
          <w:rFonts w:ascii="Garamond" w:eastAsia="Calibri" w:hAnsi="Garamond" w:cs="Times New Roman"/>
          <w:bCs/>
          <w:sz w:val="22"/>
          <w:szCs w:val="22"/>
          <w:lang w:eastAsia="en-US"/>
        </w:rPr>
        <w:t>3) в течение 8 (восьми) рабочих дней с даты выполнения действий, указанных в п</w:t>
      </w:r>
      <w:r w:rsidR="009162C0">
        <w:rPr>
          <w:rFonts w:ascii="Garamond" w:eastAsia="Calibri" w:hAnsi="Garamond" w:cs="Times New Roman"/>
          <w:bCs/>
          <w:sz w:val="22"/>
          <w:szCs w:val="22"/>
          <w:lang w:eastAsia="en-US"/>
        </w:rPr>
        <w:t>од</w:t>
      </w:r>
      <w:r w:rsidRPr="00AD67C2">
        <w:rPr>
          <w:rFonts w:ascii="Garamond" w:eastAsia="Calibri" w:hAnsi="Garamond" w:cs="Times New Roman"/>
          <w:bCs/>
          <w:sz w:val="22"/>
          <w:szCs w:val="22"/>
          <w:lang w:eastAsia="en-US"/>
        </w:rPr>
        <w:t>п.</w:t>
      </w:r>
      <w:r w:rsidR="009162C0">
        <w:rPr>
          <w:rFonts w:ascii="Garamond" w:eastAsia="Calibri" w:hAnsi="Garamond" w:cs="Times New Roman"/>
          <w:bCs/>
          <w:sz w:val="22"/>
          <w:szCs w:val="22"/>
          <w:lang w:eastAsia="en-US"/>
        </w:rPr>
        <w:t xml:space="preserve"> </w:t>
      </w:r>
      <w:r w:rsidRPr="00AD67C2">
        <w:rPr>
          <w:rFonts w:ascii="Garamond" w:eastAsia="Calibri" w:hAnsi="Garamond" w:cs="Times New Roman"/>
          <w:bCs/>
          <w:sz w:val="22"/>
          <w:szCs w:val="22"/>
          <w:lang w:eastAsia="en-US"/>
        </w:rPr>
        <w:t>2 настоящего пункта, проводит аттестацию объекта регулирования. В течение указанного срока уведомляет заявителя о результатах аттестации через ЭТП. Заявитель вправе в течение 1 (одного) рабочего дня с даты получения уведомления о результатах аттестации направить в СО заявление о проведении повторной аттестации</w:t>
      </w:r>
      <w:r w:rsidR="00173FC5">
        <w:rPr>
          <w:rFonts w:ascii="Garamond" w:eastAsia="Calibri" w:hAnsi="Garamond" w:cs="Times New Roman"/>
          <w:bCs/>
          <w:sz w:val="22"/>
          <w:szCs w:val="22"/>
          <w:lang w:eastAsia="en-US"/>
        </w:rPr>
        <w:t>;</w:t>
      </w:r>
    </w:p>
    <w:p w14:paraId="336033D8" w14:textId="3A6CBF3A" w:rsidR="001333B2" w:rsidRPr="00AD67C2" w:rsidRDefault="001333B2" w:rsidP="00AD67C2">
      <w:pPr>
        <w:widowControl w:val="0"/>
        <w:tabs>
          <w:tab w:val="left" w:pos="1077"/>
        </w:tabs>
        <w:suppressAutoHyphens w:val="0"/>
        <w:spacing w:before="120" w:after="120"/>
        <w:ind w:firstLine="601"/>
        <w:jc w:val="both"/>
        <w:rPr>
          <w:rFonts w:ascii="Garamond" w:eastAsia="Calibri" w:hAnsi="Garamond" w:cs="Times New Roman"/>
          <w:bCs/>
          <w:sz w:val="22"/>
          <w:szCs w:val="22"/>
          <w:lang w:eastAsia="en-US"/>
        </w:rPr>
      </w:pPr>
      <w:r w:rsidRPr="00AD67C2">
        <w:rPr>
          <w:rFonts w:ascii="Garamond" w:eastAsia="Calibri" w:hAnsi="Garamond" w:cs="Times New Roman"/>
          <w:bCs/>
          <w:sz w:val="22"/>
          <w:szCs w:val="22"/>
          <w:lang w:eastAsia="en-US"/>
        </w:rPr>
        <w:t>4) в случае получения заявления о проведении повторной аттестации, в течение 8 (восьми) рабочих дней проводит повторную аттестацию</w:t>
      </w:r>
      <w:r w:rsidR="00173FC5">
        <w:rPr>
          <w:rFonts w:ascii="Garamond" w:eastAsia="Calibri" w:hAnsi="Garamond" w:cs="Times New Roman"/>
          <w:bCs/>
          <w:sz w:val="22"/>
          <w:szCs w:val="22"/>
          <w:lang w:eastAsia="en-US"/>
        </w:rPr>
        <w:t>;</w:t>
      </w:r>
    </w:p>
    <w:p w14:paraId="0CB1AFE0" w14:textId="39FA2E1A" w:rsidR="001333B2" w:rsidRPr="00AD67C2" w:rsidRDefault="001333B2" w:rsidP="00AD67C2">
      <w:pPr>
        <w:widowControl w:val="0"/>
        <w:tabs>
          <w:tab w:val="left" w:pos="1077"/>
        </w:tabs>
        <w:suppressAutoHyphens w:val="0"/>
        <w:spacing w:before="120" w:after="120"/>
        <w:ind w:firstLine="601"/>
        <w:jc w:val="both"/>
        <w:rPr>
          <w:rFonts w:ascii="Garamond" w:eastAsia="Calibri" w:hAnsi="Garamond" w:cs="Times New Roman"/>
          <w:bCs/>
          <w:sz w:val="22"/>
          <w:szCs w:val="22"/>
          <w:lang w:eastAsia="en-US"/>
        </w:rPr>
      </w:pPr>
      <w:r w:rsidRPr="00AD67C2">
        <w:rPr>
          <w:rFonts w:ascii="Garamond" w:eastAsia="Calibri" w:hAnsi="Garamond" w:cs="Times New Roman"/>
          <w:bCs/>
          <w:sz w:val="22"/>
          <w:szCs w:val="22"/>
          <w:lang w:eastAsia="en-US"/>
        </w:rPr>
        <w:t>5) после выполнения действий, указанных в п</w:t>
      </w:r>
      <w:r w:rsidR="009162C0">
        <w:rPr>
          <w:rFonts w:ascii="Garamond" w:eastAsia="Calibri" w:hAnsi="Garamond" w:cs="Times New Roman"/>
          <w:bCs/>
          <w:sz w:val="22"/>
          <w:szCs w:val="22"/>
          <w:lang w:eastAsia="en-US"/>
        </w:rPr>
        <w:t>од</w:t>
      </w:r>
      <w:r w:rsidRPr="00AD67C2">
        <w:rPr>
          <w:rFonts w:ascii="Garamond" w:eastAsia="Calibri" w:hAnsi="Garamond" w:cs="Times New Roman"/>
          <w:bCs/>
          <w:sz w:val="22"/>
          <w:szCs w:val="22"/>
          <w:lang w:eastAsia="en-US"/>
        </w:rPr>
        <w:t>п.</w:t>
      </w:r>
      <w:r w:rsidR="009162C0">
        <w:rPr>
          <w:rFonts w:ascii="Garamond" w:eastAsia="Calibri" w:hAnsi="Garamond" w:cs="Times New Roman"/>
          <w:bCs/>
          <w:sz w:val="22"/>
          <w:szCs w:val="22"/>
          <w:lang w:eastAsia="en-US"/>
        </w:rPr>
        <w:t xml:space="preserve"> </w:t>
      </w:r>
      <w:r w:rsidRPr="00AD67C2">
        <w:rPr>
          <w:rFonts w:ascii="Garamond" w:eastAsia="Calibri" w:hAnsi="Garamond" w:cs="Times New Roman"/>
          <w:bCs/>
          <w:sz w:val="22"/>
          <w:szCs w:val="22"/>
          <w:lang w:eastAsia="en-US"/>
        </w:rPr>
        <w:t>3 или п</w:t>
      </w:r>
      <w:r w:rsidR="009162C0">
        <w:rPr>
          <w:rFonts w:ascii="Garamond" w:eastAsia="Calibri" w:hAnsi="Garamond" w:cs="Times New Roman"/>
          <w:bCs/>
          <w:sz w:val="22"/>
          <w:szCs w:val="22"/>
          <w:lang w:eastAsia="en-US"/>
        </w:rPr>
        <w:t>од</w:t>
      </w:r>
      <w:r w:rsidRPr="00AD67C2">
        <w:rPr>
          <w:rFonts w:ascii="Garamond" w:eastAsia="Calibri" w:hAnsi="Garamond" w:cs="Times New Roman"/>
          <w:bCs/>
          <w:sz w:val="22"/>
          <w:szCs w:val="22"/>
          <w:lang w:eastAsia="en-US"/>
        </w:rPr>
        <w:t>п.</w:t>
      </w:r>
      <w:r w:rsidR="009162C0">
        <w:rPr>
          <w:rFonts w:ascii="Garamond" w:eastAsia="Calibri" w:hAnsi="Garamond" w:cs="Times New Roman"/>
          <w:bCs/>
          <w:sz w:val="22"/>
          <w:szCs w:val="22"/>
          <w:lang w:eastAsia="en-US"/>
        </w:rPr>
        <w:t xml:space="preserve"> </w:t>
      </w:r>
      <w:r w:rsidRPr="00AD67C2">
        <w:rPr>
          <w:rFonts w:ascii="Garamond" w:eastAsia="Calibri" w:hAnsi="Garamond" w:cs="Times New Roman"/>
          <w:bCs/>
          <w:sz w:val="22"/>
          <w:szCs w:val="22"/>
          <w:lang w:eastAsia="en-US"/>
        </w:rPr>
        <w:t>4 в случае проведения повторной аттестации, уведомляет заявителя и КО о результатах аттестации.</w:t>
      </w:r>
    </w:p>
    <w:p w14:paraId="17B4E604" w14:textId="6606729F" w:rsidR="001333B2" w:rsidRPr="00AD67C2" w:rsidRDefault="001333B2" w:rsidP="00AD67C2">
      <w:pPr>
        <w:widowControl w:val="0"/>
        <w:numPr>
          <w:ilvl w:val="1"/>
          <w:numId w:val="310"/>
        </w:numPr>
        <w:tabs>
          <w:tab w:val="left" w:pos="1077"/>
        </w:tabs>
        <w:suppressAutoHyphens w:val="0"/>
        <w:spacing w:before="120" w:after="120" w:line="259" w:lineRule="auto"/>
        <w:ind w:left="0" w:firstLine="601"/>
        <w:jc w:val="both"/>
        <w:outlineLvl w:val="1"/>
        <w:rPr>
          <w:rFonts w:ascii="Garamond" w:eastAsia="Calibri" w:hAnsi="Garamond" w:cs="Times New Roman"/>
          <w:bCs/>
          <w:sz w:val="22"/>
          <w:szCs w:val="22"/>
          <w:lang w:eastAsia="en-US"/>
        </w:rPr>
      </w:pPr>
      <w:bookmarkStart w:id="49" w:name="_Ref149381650"/>
      <w:bookmarkEnd w:id="48"/>
      <w:r w:rsidRPr="00AD67C2">
        <w:rPr>
          <w:rFonts w:ascii="Garamond" w:eastAsia="Calibri" w:hAnsi="Garamond" w:cs="Times New Roman"/>
          <w:bCs/>
          <w:sz w:val="22"/>
          <w:szCs w:val="22"/>
          <w:lang w:eastAsia="en-US"/>
        </w:rPr>
        <w:t>КО в течение 3 (трех) рабочих дней с даты положительного завершения последней из процедур, установленных п</w:t>
      </w:r>
      <w:r w:rsidR="009162C0">
        <w:rPr>
          <w:rFonts w:ascii="Garamond" w:eastAsia="Calibri" w:hAnsi="Garamond" w:cs="Times New Roman"/>
          <w:bCs/>
          <w:sz w:val="22"/>
          <w:szCs w:val="22"/>
          <w:lang w:eastAsia="en-US"/>
        </w:rPr>
        <w:t>п</w:t>
      </w:r>
      <w:r w:rsidRPr="00AD67C2">
        <w:rPr>
          <w:rFonts w:ascii="Garamond" w:eastAsia="Calibri" w:hAnsi="Garamond" w:cs="Times New Roman"/>
          <w:bCs/>
          <w:sz w:val="22"/>
          <w:szCs w:val="22"/>
          <w:lang w:eastAsia="en-US"/>
        </w:rPr>
        <w:t xml:space="preserve">. </w:t>
      </w:r>
      <w:r w:rsidRPr="00AD67C2">
        <w:rPr>
          <w:rFonts w:ascii="Garamond" w:eastAsia="Calibri" w:hAnsi="Garamond" w:cs="Times New Roman"/>
          <w:bCs/>
          <w:sz w:val="22"/>
          <w:szCs w:val="22"/>
          <w:lang w:eastAsia="en-US"/>
        </w:rPr>
        <w:fldChar w:fldCharType="begin"/>
      </w:r>
      <w:r w:rsidRPr="00AD67C2">
        <w:rPr>
          <w:rFonts w:ascii="Garamond" w:eastAsia="Calibri" w:hAnsi="Garamond" w:cs="Times New Roman"/>
          <w:bCs/>
          <w:sz w:val="22"/>
          <w:szCs w:val="22"/>
          <w:lang w:eastAsia="en-US"/>
        </w:rPr>
        <w:instrText xml:space="preserve"> REF _Ref149322479 \r \h  \* MERGEFORMAT </w:instrText>
      </w:r>
      <w:r w:rsidRPr="00AD67C2">
        <w:rPr>
          <w:rFonts w:ascii="Garamond" w:eastAsia="Calibri" w:hAnsi="Garamond" w:cs="Times New Roman"/>
          <w:bCs/>
          <w:sz w:val="22"/>
          <w:szCs w:val="22"/>
          <w:lang w:eastAsia="en-US"/>
        </w:rPr>
      </w:r>
      <w:r w:rsidRPr="00AD67C2">
        <w:rPr>
          <w:rFonts w:ascii="Garamond" w:eastAsia="Calibri" w:hAnsi="Garamond" w:cs="Times New Roman"/>
          <w:bCs/>
          <w:sz w:val="22"/>
          <w:szCs w:val="22"/>
          <w:lang w:eastAsia="en-US"/>
        </w:rPr>
        <w:fldChar w:fldCharType="separate"/>
      </w:r>
      <w:r w:rsidRPr="00AD67C2">
        <w:rPr>
          <w:rFonts w:ascii="Garamond" w:eastAsia="Calibri" w:hAnsi="Garamond" w:cs="Times New Roman"/>
          <w:bCs/>
          <w:sz w:val="22"/>
          <w:szCs w:val="22"/>
          <w:lang w:eastAsia="en-US"/>
        </w:rPr>
        <w:t>3.5</w:t>
      </w:r>
      <w:r w:rsidRPr="00AD67C2">
        <w:rPr>
          <w:rFonts w:ascii="Garamond" w:eastAsia="Calibri" w:hAnsi="Garamond" w:cs="Times New Roman"/>
          <w:bCs/>
          <w:sz w:val="22"/>
          <w:szCs w:val="22"/>
          <w:lang w:eastAsia="en-US"/>
        </w:rPr>
        <w:fldChar w:fldCharType="end"/>
      </w:r>
      <w:r w:rsidRPr="00AD67C2">
        <w:rPr>
          <w:rFonts w:ascii="Garamond" w:eastAsia="Calibri" w:hAnsi="Garamond" w:cs="Times New Roman"/>
          <w:bCs/>
          <w:sz w:val="22"/>
          <w:szCs w:val="22"/>
          <w:lang w:eastAsia="en-US"/>
        </w:rPr>
        <w:t xml:space="preserve">, </w:t>
      </w:r>
      <w:r w:rsidRPr="00AD67C2">
        <w:rPr>
          <w:rFonts w:ascii="Garamond" w:eastAsia="Calibri" w:hAnsi="Garamond" w:cs="Times New Roman"/>
          <w:bCs/>
          <w:sz w:val="22"/>
          <w:szCs w:val="22"/>
          <w:lang w:eastAsia="en-US"/>
        </w:rPr>
        <w:fldChar w:fldCharType="begin"/>
      </w:r>
      <w:r w:rsidRPr="00AD67C2">
        <w:rPr>
          <w:rFonts w:ascii="Garamond" w:eastAsia="Calibri" w:hAnsi="Garamond" w:cs="Times New Roman"/>
          <w:bCs/>
          <w:sz w:val="22"/>
          <w:szCs w:val="22"/>
          <w:lang w:eastAsia="en-US"/>
        </w:rPr>
        <w:instrText xml:space="preserve"> REF _Ref149320909 \r \h  \* MERGEFORMAT </w:instrText>
      </w:r>
      <w:r w:rsidRPr="00AD67C2">
        <w:rPr>
          <w:rFonts w:ascii="Garamond" w:eastAsia="Calibri" w:hAnsi="Garamond" w:cs="Times New Roman"/>
          <w:bCs/>
          <w:sz w:val="22"/>
          <w:szCs w:val="22"/>
          <w:lang w:eastAsia="en-US"/>
        </w:rPr>
      </w:r>
      <w:r w:rsidRPr="00AD67C2">
        <w:rPr>
          <w:rFonts w:ascii="Garamond" w:eastAsia="Calibri" w:hAnsi="Garamond" w:cs="Times New Roman"/>
          <w:bCs/>
          <w:sz w:val="22"/>
          <w:szCs w:val="22"/>
          <w:lang w:eastAsia="en-US"/>
        </w:rPr>
        <w:fldChar w:fldCharType="separate"/>
      </w:r>
      <w:r w:rsidRPr="00AD67C2">
        <w:rPr>
          <w:rFonts w:ascii="Garamond" w:eastAsia="Calibri" w:hAnsi="Garamond" w:cs="Times New Roman"/>
          <w:bCs/>
          <w:sz w:val="22"/>
          <w:szCs w:val="22"/>
          <w:lang w:eastAsia="en-US"/>
        </w:rPr>
        <w:t>3.6</w:t>
      </w:r>
      <w:r w:rsidRPr="00AD67C2">
        <w:rPr>
          <w:rFonts w:ascii="Garamond" w:eastAsia="Calibri" w:hAnsi="Garamond" w:cs="Times New Roman"/>
          <w:bCs/>
          <w:sz w:val="22"/>
          <w:szCs w:val="22"/>
          <w:lang w:eastAsia="en-US"/>
        </w:rPr>
        <w:fldChar w:fldCharType="end"/>
      </w:r>
      <w:r w:rsidRPr="00AD67C2">
        <w:rPr>
          <w:rFonts w:ascii="Garamond" w:eastAsia="Calibri" w:hAnsi="Garamond" w:cs="Times New Roman"/>
          <w:bCs/>
          <w:sz w:val="22"/>
          <w:szCs w:val="22"/>
          <w:lang w:eastAsia="en-US"/>
        </w:rPr>
        <w:t xml:space="preserve">, </w:t>
      </w:r>
      <w:r w:rsidRPr="00AD67C2">
        <w:rPr>
          <w:rFonts w:ascii="Garamond" w:eastAsia="Calibri" w:hAnsi="Garamond" w:cs="Times New Roman"/>
          <w:bCs/>
          <w:sz w:val="22"/>
          <w:szCs w:val="22"/>
          <w:lang w:eastAsia="en-US"/>
        </w:rPr>
        <w:fldChar w:fldCharType="begin"/>
      </w:r>
      <w:r w:rsidRPr="00AD67C2">
        <w:rPr>
          <w:rFonts w:ascii="Garamond" w:eastAsia="Calibri" w:hAnsi="Garamond" w:cs="Times New Roman"/>
          <w:bCs/>
          <w:sz w:val="22"/>
          <w:szCs w:val="22"/>
          <w:lang w:eastAsia="en-US"/>
        </w:rPr>
        <w:instrText xml:space="preserve"> REF _Ref149322519 \r \h  \* MERGEFORMAT </w:instrText>
      </w:r>
      <w:r w:rsidRPr="00AD67C2">
        <w:rPr>
          <w:rFonts w:ascii="Garamond" w:eastAsia="Calibri" w:hAnsi="Garamond" w:cs="Times New Roman"/>
          <w:bCs/>
          <w:sz w:val="22"/>
          <w:szCs w:val="22"/>
          <w:lang w:eastAsia="en-US"/>
        </w:rPr>
      </w:r>
      <w:r w:rsidRPr="00AD67C2">
        <w:rPr>
          <w:rFonts w:ascii="Garamond" w:eastAsia="Calibri" w:hAnsi="Garamond" w:cs="Times New Roman"/>
          <w:bCs/>
          <w:sz w:val="22"/>
          <w:szCs w:val="22"/>
          <w:lang w:eastAsia="en-US"/>
        </w:rPr>
        <w:fldChar w:fldCharType="separate"/>
      </w:r>
      <w:r w:rsidRPr="00AD67C2">
        <w:rPr>
          <w:rFonts w:ascii="Garamond" w:eastAsia="Calibri" w:hAnsi="Garamond" w:cs="Times New Roman"/>
          <w:bCs/>
          <w:sz w:val="22"/>
          <w:szCs w:val="22"/>
          <w:lang w:eastAsia="en-US"/>
        </w:rPr>
        <w:t>3.7</w:t>
      </w:r>
      <w:r w:rsidRPr="00AD67C2">
        <w:rPr>
          <w:rFonts w:ascii="Garamond" w:eastAsia="Calibri" w:hAnsi="Garamond" w:cs="Times New Roman"/>
          <w:bCs/>
          <w:sz w:val="22"/>
          <w:szCs w:val="22"/>
          <w:lang w:eastAsia="en-US"/>
        </w:rPr>
        <w:fldChar w:fldCharType="end"/>
      </w:r>
      <w:r w:rsidRPr="00AD67C2">
        <w:rPr>
          <w:rFonts w:ascii="Garamond" w:eastAsia="Calibri" w:hAnsi="Garamond" w:cs="Times New Roman"/>
          <w:bCs/>
          <w:sz w:val="22"/>
          <w:szCs w:val="22"/>
          <w:lang w:eastAsia="en-US"/>
        </w:rPr>
        <w:t xml:space="preserve">, </w:t>
      </w:r>
      <w:r w:rsidRPr="00AD67C2">
        <w:rPr>
          <w:rFonts w:ascii="Garamond" w:eastAsia="Calibri" w:hAnsi="Garamond" w:cs="Times New Roman"/>
          <w:bCs/>
          <w:sz w:val="22"/>
          <w:szCs w:val="22"/>
          <w:lang w:eastAsia="en-US"/>
        </w:rPr>
        <w:fldChar w:fldCharType="begin"/>
      </w:r>
      <w:r w:rsidRPr="00AD67C2">
        <w:rPr>
          <w:rFonts w:ascii="Garamond" w:eastAsia="Calibri" w:hAnsi="Garamond" w:cs="Times New Roman"/>
          <w:bCs/>
          <w:sz w:val="22"/>
          <w:szCs w:val="22"/>
          <w:lang w:eastAsia="en-US"/>
        </w:rPr>
        <w:instrText xml:space="preserve"> REF _Ref149308388 \r \h  \* MERGEFORMAT </w:instrText>
      </w:r>
      <w:r w:rsidRPr="00AD67C2">
        <w:rPr>
          <w:rFonts w:ascii="Garamond" w:eastAsia="Calibri" w:hAnsi="Garamond" w:cs="Times New Roman"/>
          <w:bCs/>
          <w:sz w:val="22"/>
          <w:szCs w:val="22"/>
          <w:lang w:eastAsia="en-US"/>
        </w:rPr>
      </w:r>
      <w:r w:rsidRPr="00AD67C2">
        <w:rPr>
          <w:rFonts w:ascii="Garamond" w:eastAsia="Calibri" w:hAnsi="Garamond" w:cs="Times New Roman"/>
          <w:bCs/>
          <w:sz w:val="22"/>
          <w:szCs w:val="22"/>
          <w:lang w:eastAsia="en-US"/>
        </w:rPr>
        <w:fldChar w:fldCharType="separate"/>
      </w:r>
      <w:r w:rsidRPr="00AD67C2">
        <w:rPr>
          <w:rFonts w:ascii="Garamond" w:eastAsia="Calibri" w:hAnsi="Garamond" w:cs="Times New Roman"/>
          <w:bCs/>
          <w:sz w:val="22"/>
          <w:szCs w:val="22"/>
          <w:lang w:eastAsia="en-US"/>
        </w:rPr>
        <w:t>3.8</w:t>
      </w:r>
      <w:r w:rsidRPr="00AD67C2">
        <w:rPr>
          <w:rFonts w:ascii="Garamond" w:eastAsia="Calibri" w:hAnsi="Garamond" w:cs="Times New Roman"/>
          <w:bCs/>
          <w:sz w:val="22"/>
          <w:szCs w:val="22"/>
          <w:lang w:eastAsia="en-US"/>
        </w:rPr>
        <w:fldChar w:fldCharType="end"/>
      </w:r>
      <w:r w:rsidRPr="00AD67C2">
        <w:rPr>
          <w:rFonts w:ascii="Garamond" w:eastAsia="Calibri" w:hAnsi="Garamond" w:cs="Times New Roman"/>
          <w:bCs/>
          <w:sz w:val="22"/>
          <w:szCs w:val="22"/>
          <w:lang w:eastAsia="en-US"/>
        </w:rPr>
        <w:t xml:space="preserve">, </w:t>
      </w:r>
      <w:r w:rsidRPr="00AD67C2">
        <w:rPr>
          <w:rFonts w:ascii="Garamond" w:eastAsia="Calibri" w:hAnsi="Garamond" w:cs="Times New Roman"/>
          <w:bCs/>
          <w:sz w:val="22"/>
          <w:szCs w:val="22"/>
          <w:lang w:eastAsia="en-US"/>
        </w:rPr>
        <w:fldChar w:fldCharType="begin"/>
      </w:r>
      <w:r w:rsidRPr="00AD67C2">
        <w:rPr>
          <w:rFonts w:ascii="Garamond" w:eastAsia="Calibri" w:hAnsi="Garamond" w:cs="Times New Roman"/>
          <w:bCs/>
          <w:sz w:val="22"/>
          <w:szCs w:val="22"/>
          <w:lang w:eastAsia="en-US"/>
        </w:rPr>
        <w:instrText xml:space="preserve"> REF _Ref149322545 \r \h  \* MERGEFORMAT </w:instrText>
      </w:r>
      <w:r w:rsidRPr="00AD67C2">
        <w:rPr>
          <w:rFonts w:ascii="Garamond" w:eastAsia="Calibri" w:hAnsi="Garamond" w:cs="Times New Roman"/>
          <w:bCs/>
          <w:sz w:val="22"/>
          <w:szCs w:val="22"/>
          <w:lang w:eastAsia="en-US"/>
        </w:rPr>
      </w:r>
      <w:r w:rsidRPr="00AD67C2">
        <w:rPr>
          <w:rFonts w:ascii="Garamond" w:eastAsia="Calibri" w:hAnsi="Garamond" w:cs="Times New Roman"/>
          <w:bCs/>
          <w:sz w:val="22"/>
          <w:szCs w:val="22"/>
          <w:lang w:eastAsia="en-US"/>
        </w:rPr>
        <w:fldChar w:fldCharType="separate"/>
      </w:r>
      <w:r w:rsidRPr="00AD67C2">
        <w:rPr>
          <w:rFonts w:ascii="Garamond" w:eastAsia="Calibri" w:hAnsi="Garamond" w:cs="Times New Roman"/>
          <w:bCs/>
          <w:sz w:val="22"/>
          <w:szCs w:val="22"/>
          <w:lang w:eastAsia="en-US"/>
        </w:rPr>
        <w:t>3.9</w:t>
      </w:r>
      <w:r w:rsidRPr="00AD67C2">
        <w:rPr>
          <w:rFonts w:ascii="Garamond" w:eastAsia="Calibri" w:hAnsi="Garamond" w:cs="Times New Roman"/>
          <w:bCs/>
          <w:sz w:val="22"/>
          <w:szCs w:val="22"/>
          <w:lang w:eastAsia="en-US"/>
        </w:rPr>
        <w:fldChar w:fldCharType="end"/>
      </w:r>
      <w:r w:rsidRPr="00AD67C2">
        <w:rPr>
          <w:rFonts w:ascii="Garamond" w:eastAsia="Calibri" w:hAnsi="Garamond" w:cs="Times New Roman"/>
          <w:bCs/>
          <w:sz w:val="22"/>
          <w:szCs w:val="22"/>
          <w:lang w:eastAsia="en-US"/>
        </w:rPr>
        <w:t xml:space="preserve"> настоящего приложения, выполняет следующие действия:</w:t>
      </w:r>
      <w:bookmarkEnd w:id="49"/>
    </w:p>
    <w:p w14:paraId="11E8DF6D" w14:textId="77777777" w:rsidR="001333B2" w:rsidRPr="00AD67C2" w:rsidRDefault="001333B2" w:rsidP="00AD67C2">
      <w:pPr>
        <w:widowControl w:val="0"/>
        <w:numPr>
          <w:ilvl w:val="0"/>
          <w:numId w:val="317"/>
        </w:numPr>
        <w:tabs>
          <w:tab w:val="left" w:pos="851"/>
        </w:tabs>
        <w:suppressAutoHyphens w:val="0"/>
        <w:spacing w:before="120" w:after="120" w:line="259" w:lineRule="auto"/>
        <w:ind w:left="0" w:firstLine="601"/>
        <w:jc w:val="both"/>
        <w:rPr>
          <w:rFonts w:ascii="Garamond" w:eastAsia="Calibri" w:hAnsi="Garamond" w:cs="Times New Roman"/>
          <w:bCs/>
          <w:sz w:val="22"/>
          <w:szCs w:val="22"/>
          <w:lang w:eastAsia="en-US"/>
        </w:rPr>
      </w:pPr>
      <w:r w:rsidRPr="00AD67C2">
        <w:rPr>
          <w:rFonts w:ascii="Garamond" w:eastAsia="Calibri" w:hAnsi="Garamond" w:cs="Times New Roman"/>
          <w:bCs/>
          <w:sz w:val="22"/>
          <w:szCs w:val="22"/>
          <w:lang w:eastAsia="en-US"/>
        </w:rPr>
        <w:t>регистрирует ПСИ;</w:t>
      </w:r>
    </w:p>
    <w:p w14:paraId="2DD02660" w14:textId="22E045D8" w:rsidR="001333B2" w:rsidRPr="00AD67C2" w:rsidRDefault="001333B2" w:rsidP="00AD67C2">
      <w:pPr>
        <w:widowControl w:val="0"/>
        <w:numPr>
          <w:ilvl w:val="0"/>
          <w:numId w:val="317"/>
        </w:numPr>
        <w:tabs>
          <w:tab w:val="left" w:pos="851"/>
        </w:tabs>
        <w:suppressAutoHyphens w:val="0"/>
        <w:spacing w:before="120" w:after="120" w:line="259" w:lineRule="auto"/>
        <w:ind w:left="0" w:firstLine="601"/>
        <w:jc w:val="both"/>
        <w:rPr>
          <w:rFonts w:ascii="Garamond" w:eastAsia="Calibri" w:hAnsi="Garamond" w:cs="Times New Roman"/>
          <w:bCs/>
          <w:sz w:val="22"/>
          <w:szCs w:val="22"/>
          <w:lang w:eastAsia="en-US"/>
        </w:rPr>
      </w:pPr>
      <w:r w:rsidRPr="00AD67C2">
        <w:rPr>
          <w:rFonts w:ascii="Garamond" w:eastAsia="Calibri" w:hAnsi="Garamond" w:cs="Times New Roman"/>
          <w:bCs/>
          <w:sz w:val="22"/>
          <w:szCs w:val="22"/>
          <w:lang w:eastAsia="en-US"/>
        </w:rPr>
        <w:t>направляет уведомление заявителю о результатах п</w:t>
      </w:r>
      <w:r w:rsidR="00173FC5">
        <w:rPr>
          <w:rFonts w:ascii="Garamond" w:eastAsia="Calibri" w:hAnsi="Garamond" w:cs="Times New Roman"/>
          <w:bCs/>
          <w:sz w:val="22"/>
          <w:szCs w:val="22"/>
          <w:lang w:eastAsia="en-US"/>
        </w:rPr>
        <w:t>роверки комплекта документов, о </w:t>
      </w:r>
      <w:r w:rsidRPr="00AD67C2">
        <w:rPr>
          <w:rFonts w:ascii="Garamond" w:eastAsia="Calibri" w:hAnsi="Garamond" w:cs="Times New Roman"/>
          <w:bCs/>
          <w:sz w:val="22"/>
          <w:szCs w:val="22"/>
          <w:lang w:eastAsia="en-US"/>
        </w:rPr>
        <w:t xml:space="preserve">регистрации ПСИ с указанием регистрационного номера и даты регистрации ПСИ и о регистрации объекта регулирования. К уведомлению прилагается табличная форма, формируемая из приложения к ПСИ в макете 60002, оформленная в соответствии с приложением 5 к </w:t>
      </w:r>
      <w:r w:rsidRPr="00AD67C2">
        <w:rPr>
          <w:rFonts w:ascii="Garamond" w:eastAsia="Calibri" w:hAnsi="Garamond" w:cs="Times New Roman"/>
          <w:bCs/>
          <w:i/>
          <w:sz w:val="22"/>
          <w:szCs w:val="22"/>
          <w:lang w:eastAsia="en-US"/>
        </w:rPr>
        <w:t>Регламенту коммерческого учета электроэнергии и мощности</w:t>
      </w:r>
      <w:r w:rsidRPr="00AD67C2">
        <w:rPr>
          <w:rFonts w:ascii="Garamond" w:eastAsia="Calibri" w:hAnsi="Garamond" w:cs="Times New Roman"/>
          <w:bCs/>
          <w:sz w:val="22"/>
          <w:szCs w:val="22"/>
          <w:lang w:eastAsia="en-US"/>
        </w:rPr>
        <w:t xml:space="preserve"> (Приложение № 11 к </w:t>
      </w:r>
      <w:r w:rsidRPr="00AD67C2">
        <w:rPr>
          <w:rFonts w:ascii="Garamond" w:eastAsia="Calibri" w:hAnsi="Garamond" w:cs="Times New Roman"/>
          <w:bCs/>
          <w:i/>
          <w:sz w:val="22"/>
          <w:szCs w:val="22"/>
          <w:lang w:eastAsia="en-US"/>
        </w:rPr>
        <w:t>Договору о присоединении к торговой системе оптового рынка</w:t>
      </w:r>
      <w:r w:rsidRPr="00AD67C2">
        <w:rPr>
          <w:rFonts w:ascii="Garamond" w:eastAsia="Calibri" w:hAnsi="Garamond" w:cs="Times New Roman"/>
          <w:bCs/>
          <w:sz w:val="22"/>
          <w:szCs w:val="22"/>
          <w:lang w:eastAsia="en-US"/>
        </w:rPr>
        <w:t>), с указанием регистрационного номера и даты регистрации ПСИ;</w:t>
      </w:r>
    </w:p>
    <w:p w14:paraId="255CF92F" w14:textId="77777777" w:rsidR="001333B2" w:rsidRPr="00AD67C2" w:rsidRDefault="001333B2" w:rsidP="00AD67C2">
      <w:pPr>
        <w:widowControl w:val="0"/>
        <w:numPr>
          <w:ilvl w:val="0"/>
          <w:numId w:val="317"/>
        </w:numPr>
        <w:tabs>
          <w:tab w:val="left" w:pos="851"/>
        </w:tabs>
        <w:suppressAutoHyphens w:val="0"/>
        <w:spacing w:before="120" w:after="120" w:line="259" w:lineRule="auto"/>
        <w:ind w:left="0" w:firstLine="601"/>
        <w:jc w:val="both"/>
        <w:rPr>
          <w:rFonts w:ascii="Garamond" w:eastAsia="Calibri" w:hAnsi="Garamond" w:cs="Times New Roman"/>
          <w:bCs/>
          <w:sz w:val="22"/>
          <w:szCs w:val="22"/>
          <w:lang w:eastAsia="en-US"/>
        </w:rPr>
      </w:pPr>
      <w:r w:rsidRPr="00AD67C2">
        <w:rPr>
          <w:rFonts w:ascii="Garamond" w:eastAsia="Calibri" w:hAnsi="Garamond" w:cs="Times New Roman"/>
          <w:bCs/>
          <w:sz w:val="22"/>
          <w:szCs w:val="22"/>
          <w:lang w:eastAsia="en-US"/>
        </w:rPr>
        <w:t>направляет уведомление СО о регистрации объекта регулирования с приложением ПСИ в макете 60002 с указанием регистрационного номера и даты регистрации ПСИ;</w:t>
      </w:r>
    </w:p>
    <w:p w14:paraId="7AD03E69" w14:textId="3E00F3FA" w:rsidR="001333B2" w:rsidRPr="00AD67C2" w:rsidRDefault="001333B2" w:rsidP="00AD67C2">
      <w:pPr>
        <w:widowControl w:val="0"/>
        <w:numPr>
          <w:ilvl w:val="0"/>
          <w:numId w:val="317"/>
        </w:numPr>
        <w:tabs>
          <w:tab w:val="left" w:pos="851"/>
        </w:tabs>
        <w:suppressAutoHyphens w:val="0"/>
        <w:spacing w:before="120" w:after="120" w:line="259" w:lineRule="auto"/>
        <w:ind w:left="0" w:firstLine="601"/>
        <w:jc w:val="both"/>
        <w:rPr>
          <w:rFonts w:ascii="Garamond" w:eastAsia="Calibri" w:hAnsi="Garamond" w:cs="Times New Roman"/>
          <w:bCs/>
          <w:sz w:val="22"/>
          <w:szCs w:val="22"/>
          <w:lang w:eastAsia="en-US"/>
        </w:rPr>
      </w:pPr>
      <w:r w:rsidRPr="00AD67C2">
        <w:rPr>
          <w:rFonts w:ascii="Garamond" w:eastAsia="Calibri" w:hAnsi="Garamond" w:cs="Times New Roman"/>
          <w:bCs/>
          <w:sz w:val="22"/>
          <w:szCs w:val="22"/>
          <w:lang w:eastAsia="en-US"/>
        </w:rPr>
        <w:t xml:space="preserve">информирует через ПСЗ заявителя о положительном завершении процедуры регистрации </w:t>
      </w:r>
      <w:r w:rsidRPr="00AD67C2">
        <w:rPr>
          <w:rFonts w:ascii="Garamond" w:eastAsia="Calibri" w:hAnsi="Garamond" w:cs="Times New Roman"/>
          <w:bCs/>
          <w:sz w:val="22"/>
          <w:szCs w:val="22"/>
          <w:lang w:eastAsia="en-US"/>
        </w:rPr>
        <w:lastRenderedPageBreak/>
        <w:t>объекта регулирования</w:t>
      </w:r>
      <w:r w:rsidR="00173FC5">
        <w:rPr>
          <w:rFonts w:ascii="Garamond" w:eastAsia="Calibri" w:hAnsi="Garamond" w:cs="Times New Roman"/>
          <w:bCs/>
          <w:sz w:val="22"/>
          <w:szCs w:val="22"/>
          <w:lang w:eastAsia="en-US"/>
        </w:rPr>
        <w:t>.</w:t>
      </w:r>
    </w:p>
    <w:p w14:paraId="21F74725" w14:textId="74C4EEB8" w:rsidR="001333B2" w:rsidRPr="00AD67C2" w:rsidRDefault="00F14A63" w:rsidP="00AD67C2">
      <w:pPr>
        <w:widowControl w:val="0"/>
        <w:tabs>
          <w:tab w:val="left" w:pos="1077"/>
        </w:tabs>
        <w:suppressAutoHyphens w:val="0"/>
        <w:spacing w:before="120" w:after="120"/>
        <w:ind w:firstLine="601"/>
        <w:jc w:val="both"/>
        <w:rPr>
          <w:rFonts w:ascii="Garamond" w:eastAsia="Calibri" w:hAnsi="Garamond" w:cs="Times New Roman"/>
          <w:bCs/>
          <w:sz w:val="22"/>
          <w:szCs w:val="22"/>
          <w:lang w:eastAsia="en-US"/>
        </w:rPr>
      </w:pPr>
      <w:r w:rsidRPr="00173FC5">
        <w:rPr>
          <w:rFonts w:ascii="Garamond" w:eastAsia="Calibri" w:hAnsi="Garamond" w:cs="Times New Roman"/>
          <w:sz w:val="22"/>
          <w:szCs w:val="22"/>
          <w:lang w:eastAsia="en-US"/>
        </w:rPr>
        <w:t>КО в срок не позднее 1 (первого) числа месяца</w:t>
      </w:r>
      <w:r w:rsidR="00173FC5" w:rsidRPr="00173FC5">
        <w:rPr>
          <w:rFonts w:ascii="Garamond" w:eastAsia="Calibri" w:hAnsi="Garamond" w:cs="Times New Roman"/>
          <w:sz w:val="22"/>
          <w:szCs w:val="22"/>
          <w:lang w:eastAsia="en-US"/>
        </w:rPr>
        <w:t>,</w:t>
      </w:r>
      <w:r w:rsidRPr="00173FC5">
        <w:rPr>
          <w:rFonts w:ascii="Garamond" w:eastAsia="Calibri" w:hAnsi="Garamond" w:cs="Times New Roman"/>
          <w:sz w:val="22"/>
          <w:szCs w:val="22"/>
          <w:lang w:eastAsia="en-US"/>
        </w:rPr>
        <w:t xml:space="preserve"> следующего </w:t>
      </w:r>
      <w:r w:rsidR="00F26FE2" w:rsidRPr="00173FC5">
        <w:rPr>
          <w:rFonts w:ascii="Garamond" w:eastAsia="Calibri" w:hAnsi="Garamond" w:cs="Times New Roman"/>
          <w:sz w:val="22"/>
          <w:szCs w:val="22"/>
          <w:lang w:eastAsia="en-US"/>
        </w:rPr>
        <w:t>за месяцем регистрации</w:t>
      </w:r>
      <w:r w:rsidR="00BC5083" w:rsidRPr="00173FC5">
        <w:rPr>
          <w:rFonts w:ascii="Garamond" w:eastAsia="Calibri" w:hAnsi="Garamond" w:cs="Times New Roman"/>
          <w:sz w:val="22"/>
          <w:szCs w:val="22"/>
          <w:lang w:eastAsia="en-US"/>
        </w:rPr>
        <w:t xml:space="preserve"> ПСИ</w:t>
      </w:r>
      <w:r w:rsidR="00173FC5" w:rsidRPr="00173FC5">
        <w:rPr>
          <w:rFonts w:ascii="Garamond" w:eastAsia="Calibri" w:hAnsi="Garamond" w:cs="Times New Roman"/>
          <w:sz w:val="22"/>
          <w:szCs w:val="22"/>
          <w:lang w:eastAsia="en-US"/>
        </w:rPr>
        <w:t>,</w:t>
      </w:r>
      <w:r w:rsidR="00F26FE2" w:rsidRPr="00173FC5">
        <w:rPr>
          <w:rFonts w:ascii="Garamond" w:eastAsia="Calibri" w:hAnsi="Garamond" w:cs="Times New Roman"/>
          <w:bCs/>
          <w:sz w:val="22"/>
          <w:szCs w:val="22"/>
          <w:lang w:eastAsia="en-US"/>
        </w:rPr>
        <w:t xml:space="preserve"> </w:t>
      </w:r>
      <w:r w:rsidR="001333B2" w:rsidRPr="00173FC5">
        <w:rPr>
          <w:rFonts w:ascii="Garamond" w:eastAsia="Calibri" w:hAnsi="Garamond" w:cs="Times New Roman"/>
          <w:bCs/>
          <w:sz w:val="22"/>
          <w:szCs w:val="22"/>
          <w:lang w:eastAsia="en-US"/>
        </w:rPr>
        <w:t>публикует на своем официальном сайте, в веб-интерфейсе «Данные АИИС», информацию о сроке подтверждения</w:t>
      </w:r>
      <w:r w:rsidR="001333B2" w:rsidRPr="00AD67C2">
        <w:rPr>
          <w:rFonts w:ascii="Garamond" w:eastAsia="Calibri" w:hAnsi="Garamond" w:cs="Times New Roman"/>
          <w:bCs/>
          <w:sz w:val="22"/>
          <w:szCs w:val="22"/>
          <w:lang w:eastAsia="en-US"/>
        </w:rPr>
        <w:t xml:space="preserve"> соответствия системы учета электроэнергии техническим требованиям оптового рынка по заявленному объекту регулирования.</w:t>
      </w:r>
    </w:p>
    <w:p w14:paraId="267119CE" w14:textId="4B10A30E" w:rsidR="001333B2" w:rsidRPr="00353322" w:rsidRDefault="002A169F" w:rsidP="00AD67C2">
      <w:pPr>
        <w:widowControl w:val="0"/>
        <w:tabs>
          <w:tab w:val="left" w:pos="1077"/>
        </w:tabs>
        <w:suppressAutoHyphens w:val="0"/>
        <w:spacing w:before="120" w:after="120"/>
        <w:ind w:firstLine="601"/>
        <w:jc w:val="both"/>
        <w:rPr>
          <w:rFonts w:ascii="Garamond" w:eastAsia="Calibri" w:hAnsi="Garamond" w:cs="Times New Roman"/>
          <w:bCs/>
          <w:sz w:val="22"/>
          <w:szCs w:val="22"/>
          <w:lang w:eastAsia="en-US"/>
        </w:rPr>
      </w:pPr>
      <w:r w:rsidRPr="00173FC5">
        <w:rPr>
          <w:rFonts w:ascii="Garamond" w:eastAsia="Calibri" w:hAnsi="Garamond" w:cs="Times New Roman"/>
          <w:bCs/>
          <w:sz w:val="22"/>
          <w:szCs w:val="22"/>
          <w:lang w:eastAsia="en-US"/>
        </w:rPr>
        <w:t xml:space="preserve">КО в течение 5 (пяти) календарных дней с даты направления вышеуказанных уведомлений направляет </w:t>
      </w:r>
      <w:r w:rsidRPr="00353322">
        <w:rPr>
          <w:rFonts w:ascii="Garamond" w:eastAsia="Calibri" w:hAnsi="Garamond" w:cs="Times New Roman"/>
          <w:bCs/>
          <w:sz w:val="22"/>
          <w:szCs w:val="22"/>
          <w:lang w:eastAsia="en-US"/>
        </w:rPr>
        <w:t xml:space="preserve">заявителю </w:t>
      </w:r>
      <w:r w:rsidR="00173FC5" w:rsidRPr="00353322">
        <w:rPr>
          <w:rFonts w:ascii="Garamond" w:eastAsia="Calibri" w:hAnsi="Garamond" w:cs="Times New Roman"/>
          <w:bCs/>
          <w:sz w:val="22"/>
          <w:szCs w:val="22"/>
          <w:lang w:eastAsia="en-US"/>
        </w:rPr>
        <w:t>а</w:t>
      </w:r>
      <w:r w:rsidRPr="00353322">
        <w:rPr>
          <w:rFonts w:ascii="Garamond" w:eastAsia="Calibri" w:hAnsi="Garamond" w:cs="Times New Roman"/>
          <w:bCs/>
          <w:sz w:val="22"/>
          <w:szCs w:val="22"/>
          <w:lang w:eastAsia="en-US"/>
        </w:rPr>
        <w:t xml:space="preserve">кт сдачи-приемки оказанных услуг в бумажном виде по форме 7, указанной в настоящем приложении, или в электронном виде по форматам, предусмотренным </w:t>
      </w:r>
      <w:r w:rsidR="00173FC5" w:rsidRPr="00353322">
        <w:rPr>
          <w:rFonts w:ascii="Garamond" w:eastAsia="Calibri" w:hAnsi="Garamond" w:cs="Times New Roman"/>
          <w:bCs/>
          <w:sz w:val="22"/>
          <w:szCs w:val="22"/>
          <w:lang w:eastAsia="en-US"/>
        </w:rPr>
        <w:t>с</w:t>
      </w:r>
      <w:r w:rsidRPr="00353322">
        <w:rPr>
          <w:rFonts w:ascii="Garamond" w:eastAsia="Calibri" w:hAnsi="Garamond" w:cs="Times New Roman"/>
          <w:bCs/>
          <w:sz w:val="22"/>
          <w:szCs w:val="22"/>
          <w:lang w:eastAsia="en-US"/>
        </w:rPr>
        <w:t>оглашением об обмене документами в электронной форме, заключенн</w:t>
      </w:r>
      <w:r w:rsidR="00173FC5" w:rsidRPr="00353322">
        <w:rPr>
          <w:rFonts w:ascii="Garamond" w:eastAsia="Calibri" w:hAnsi="Garamond" w:cs="Times New Roman"/>
          <w:bCs/>
          <w:sz w:val="22"/>
          <w:szCs w:val="22"/>
          <w:lang w:eastAsia="en-US"/>
        </w:rPr>
        <w:t>ы</w:t>
      </w:r>
      <w:r w:rsidRPr="00353322">
        <w:rPr>
          <w:rFonts w:ascii="Garamond" w:eastAsia="Calibri" w:hAnsi="Garamond" w:cs="Times New Roman"/>
          <w:bCs/>
          <w:sz w:val="22"/>
          <w:szCs w:val="22"/>
          <w:lang w:eastAsia="en-US"/>
        </w:rPr>
        <w:t xml:space="preserve">м между КО и заявителем, с использованием сервиса обмена документами в электронной форме через операторов электронного документооборота и счет-фактуру в бумажном виде или в электронной форме соответственно. В случае если заявитель не направит КО подписанный со своей стороны </w:t>
      </w:r>
      <w:r w:rsidR="00173FC5" w:rsidRPr="00353322">
        <w:rPr>
          <w:rFonts w:ascii="Garamond" w:eastAsia="Calibri" w:hAnsi="Garamond" w:cs="Times New Roman"/>
          <w:bCs/>
          <w:sz w:val="22"/>
          <w:szCs w:val="22"/>
          <w:lang w:eastAsia="en-US"/>
        </w:rPr>
        <w:t>а</w:t>
      </w:r>
      <w:r w:rsidRPr="00353322">
        <w:rPr>
          <w:rFonts w:ascii="Garamond" w:eastAsia="Calibri" w:hAnsi="Garamond" w:cs="Times New Roman"/>
          <w:bCs/>
          <w:sz w:val="22"/>
          <w:szCs w:val="22"/>
          <w:lang w:eastAsia="en-US"/>
        </w:rPr>
        <w:t>кт сдачи-приемки оказанных услуг в течение 14 (четырнадцати) календарных дней, услуги считаются принятыми заявителем</w:t>
      </w:r>
      <w:r w:rsidR="001333B2" w:rsidRPr="00353322">
        <w:rPr>
          <w:rFonts w:ascii="Garamond" w:eastAsia="Calibri" w:hAnsi="Garamond" w:cs="Times New Roman"/>
          <w:bCs/>
          <w:sz w:val="22"/>
          <w:szCs w:val="22"/>
          <w:lang w:eastAsia="en-US"/>
        </w:rPr>
        <w:t>.</w:t>
      </w:r>
    </w:p>
    <w:p w14:paraId="5BF7B2A0" w14:textId="7A81AE75" w:rsidR="001333B2" w:rsidRPr="00AD67C2" w:rsidRDefault="001333B2" w:rsidP="00AD67C2">
      <w:pPr>
        <w:widowControl w:val="0"/>
        <w:numPr>
          <w:ilvl w:val="1"/>
          <w:numId w:val="310"/>
        </w:numPr>
        <w:tabs>
          <w:tab w:val="left" w:pos="1077"/>
        </w:tabs>
        <w:suppressAutoHyphens w:val="0"/>
        <w:spacing w:before="120" w:after="120" w:line="259" w:lineRule="auto"/>
        <w:ind w:left="0" w:firstLine="601"/>
        <w:jc w:val="both"/>
        <w:outlineLvl w:val="1"/>
        <w:rPr>
          <w:rFonts w:ascii="Garamond" w:eastAsia="Calibri" w:hAnsi="Garamond" w:cs="Times New Roman"/>
          <w:bCs/>
          <w:sz w:val="22"/>
          <w:szCs w:val="22"/>
          <w:lang w:eastAsia="en-US"/>
        </w:rPr>
      </w:pPr>
      <w:bookmarkStart w:id="50" w:name="_Ref149301759"/>
      <w:r w:rsidRPr="00353322">
        <w:rPr>
          <w:rFonts w:ascii="Garamond" w:eastAsia="Calibri" w:hAnsi="Garamond" w:cs="Times New Roman"/>
          <w:bCs/>
          <w:sz w:val="22"/>
          <w:szCs w:val="22"/>
          <w:lang w:eastAsia="en-US"/>
        </w:rPr>
        <w:t>В случае завершения</w:t>
      </w:r>
      <w:r w:rsidRPr="00173FC5">
        <w:rPr>
          <w:rFonts w:ascii="Garamond" w:eastAsia="Calibri" w:hAnsi="Garamond" w:cs="Times New Roman"/>
          <w:bCs/>
          <w:sz w:val="22"/>
          <w:szCs w:val="22"/>
          <w:lang w:eastAsia="en-US"/>
        </w:rPr>
        <w:t xml:space="preserve"> с отрицательным результатом хотя бы одной из проверок, предусмотренных </w:t>
      </w:r>
      <w:r w:rsidR="00173FC5">
        <w:rPr>
          <w:rFonts w:ascii="Garamond" w:eastAsia="Calibri" w:hAnsi="Garamond" w:cs="Times New Roman"/>
          <w:bCs/>
          <w:sz w:val="22"/>
          <w:szCs w:val="22"/>
          <w:lang w:eastAsia="en-US"/>
        </w:rPr>
        <w:t>п</w:t>
      </w:r>
      <w:r w:rsidRPr="00173FC5">
        <w:rPr>
          <w:rFonts w:ascii="Garamond" w:eastAsia="Calibri" w:hAnsi="Garamond" w:cs="Times New Roman"/>
          <w:bCs/>
          <w:sz w:val="22"/>
          <w:szCs w:val="22"/>
          <w:lang w:eastAsia="en-US"/>
        </w:rPr>
        <w:t xml:space="preserve">п. </w:t>
      </w:r>
      <w:r w:rsidRPr="00173FC5">
        <w:rPr>
          <w:rFonts w:ascii="Garamond" w:eastAsia="Calibri" w:hAnsi="Garamond" w:cs="Times New Roman"/>
          <w:bCs/>
          <w:sz w:val="22"/>
          <w:szCs w:val="22"/>
          <w:lang w:eastAsia="en-US"/>
        </w:rPr>
        <w:fldChar w:fldCharType="begin"/>
      </w:r>
      <w:r w:rsidRPr="00173FC5">
        <w:rPr>
          <w:rFonts w:ascii="Garamond" w:eastAsia="Calibri" w:hAnsi="Garamond" w:cs="Times New Roman"/>
          <w:bCs/>
          <w:sz w:val="22"/>
          <w:szCs w:val="22"/>
          <w:lang w:eastAsia="en-US"/>
        </w:rPr>
        <w:instrText xml:space="preserve"> REF _Ref149322479 \r \h  \* MERGEFORMAT </w:instrText>
      </w:r>
      <w:r w:rsidRPr="00173FC5">
        <w:rPr>
          <w:rFonts w:ascii="Garamond" w:eastAsia="Calibri" w:hAnsi="Garamond" w:cs="Times New Roman"/>
          <w:bCs/>
          <w:sz w:val="22"/>
          <w:szCs w:val="22"/>
          <w:lang w:eastAsia="en-US"/>
        </w:rPr>
      </w:r>
      <w:r w:rsidRPr="00173FC5">
        <w:rPr>
          <w:rFonts w:ascii="Garamond" w:eastAsia="Calibri" w:hAnsi="Garamond" w:cs="Times New Roman"/>
          <w:bCs/>
          <w:sz w:val="22"/>
          <w:szCs w:val="22"/>
          <w:lang w:eastAsia="en-US"/>
        </w:rPr>
        <w:fldChar w:fldCharType="separate"/>
      </w:r>
      <w:r w:rsidRPr="00173FC5">
        <w:rPr>
          <w:rFonts w:ascii="Garamond" w:eastAsia="Calibri" w:hAnsi="Garamond" w:cs="Times New Roman"/>
          <w:bCs/>
          <w:sz w:val="22"/>
          <w:szCs w:val="22"/>
          <w:lang w:eastAsia="en-US"/>
        </w:rPr>
        <w:t>3.5</w:t>
      </w:r>
      <w:r w:rsidRPr="00173FC5">
        <w:rPr>
          <w:rFonts w:ascii="Garamond" w:eastAsia="Calibri" w:hAnsi="Garamond" w:cs="Times New Roman"/>
          <w:bCs/>
          <w:sz w:val="22"/>
          <w:szCs w:val="22"/>
          <w:lang w:eastAsia="en-US"/>
        </w:rPr>
        <w:fldChar w:fldCharType="end"/>
      </w:r>
      <w:r w:rsidRPr="00173FC5">
        <w:rPr>
          <w:rFonts w:ascii="Garamond" w:eastAsia="Calibri" w:hAnsi="Garamond" w:cs="Times New Roman"/>
          <w:bCs/>
          <w:sz w:val="22"/>
          <w:szCs w:val="22"/>
          <w:lang w:eastAsia="en-US"/>
        </w:rPr>
        <w:t xml:space="preserve">, </w:t>
      </w:r>
      <w:r w:rsidRPr="00173FC5">
        <w:rPr>
          <w:rFonts w:ascii="Garamond" w:eastAsia="Calibri" w:hAnsi="Garamond" w:cs="Times New Roman"/>
          <w:bCs/>
          <w:sz w:val="22"/>
          <w:szCs w:val="22"/>
          <w:lang w:eastAsia="en-US"/>
        </w:rPr>
        <w:fldChar w:fldCharType="begin"/>
      </w:r>
      <w:r w:rsidRPr="00173FC5">
        <w:rPr>
          <w:rFonts w:ascii="Garamond" w:eastAsia="Calibri" w:hAnsi="Garamond" w:cs="Times New Roman"/>
          <w:bCs/>
          <w:sz w:val="22"/>
          <w:szCs w:val="22"/>
          <w:lang w:eastAsia="en-US"/>
        </w:rPr>
        <w:instrText xml:space="preserve"> REF _Ref149320909 \r \h  \* MERGEFORMAT </w:instrText>
      </w:r>
      <w:r w:rsidRPr="00173FC5">
        <w:rPr>
          <w:rFonts w:ascii="Garamond" w:eastAsia="Calibri" w:hAnsi="Garamond" w:cs="Times New Roman"/>
          <w:bCs/>
          <w:sz w:val="22"/>
          <w:szCs w:val="22"/>
          <w:lang w:eastAsia="en-US"/>
        </w:rPr>
      </w:r>
      <w:r w:rsidRPr="00173FC5">
        <w:rPr>
          <w:rFonts w:ascii="Garamond" w:eastAsia="Calibri" w:hAnsi="Garamond" w:cs="Times New Roman"/>
          <w:bCs/>
          <w:sz w:val="22"/>
          <w:szCs w:val="22"/>
          <w:lang w:eastAsia="en-US"/>
        </w:rPr>
        <w:fldChar w:fldCharType="separate"/>
      </w:r>
      <w:r w:rsidRPr="00173FC5">
        <w:rPr>
          <w:rFonts w:ascii="Garamond" w:eastAsia="Calibri" w:hAnsi="Garamond" w:cs="Times New Roman"/>
          <w:bCs/>
          <w:sz w:val="22"/>
          <w:szCs w:val="22"/>
          <w:lang w:eastAsia="en-US"/>
        </w:rPr>
        <w:t>3.6</w:t>
      </w:r>
      <w:r w:rsidRPr="00173FC5">
        <w:rPr>
          <w:rFonts w:ascii="Garamond" w:eastAsia="Calibri" w:hAnsi="Garamond" w:cs="Times New Roman"/>
          <w:bCs/>
          <w:sz w:val="22"/>
          <w:szCs w:val="22"/>
          <w:lang w:eastAsia="en-US"/>
        </w:rPr>
        <w:fldChar w:fldCharType="end"/>
      </w:r>
      <w:r w:rsidRPr="00173FC5">
        <w:rPr>
          <w:rFonts w:ascii="Garamond" w:eastAsia="Calibri" w:hAnsi="Garamond" w:cs="Times New Roman"/>
          <w:bCs/>
          <w:sz w:val="22"/>
          <w:szCs w:val="22"/>
          <w:lang w:eastAsia="en-US"/>
        </w:rPr>
        <w:t xml:space="preserve">, </w:t>
      </w:r>
      <w:r w:rsidRPr="00173FC5">
        <w:rPr>
          <w:rFonts w:ascii="Garamond" w:eastAsia="Calibri" w:hAnsi="Garamond" w:cs="Times New Roman"/>
          <w:bCs/>
          <w:sz w:val="22"/>
          <w:szCs w:val="22"/>
          <w:lang w:eastAsia="en-US"/>
        </w:rPr>
        <w:fldChar w:fldCharType="begin"/>
      </w:r>
      <w:r w:rsidRPr="00173FC5">
        <w:rPr>
          <w:rFonts w:ascii="Garamond" w:eastAsia="Calibri" w:hAnsi="Garamond" w:cs="Times New Roman"/>
          <w:bCs/>
          <w:sz w:val="22"/>
          <w:szCs w:val="22"/>
          <w:lang w:eastAsia="en-US"/>
        </w:rPr>
        <w:instrText xml:space="preserve"> REF _Ref149322519 \r \h  \* MERGEFORMAT </w:instrText>
      </w:r>
      <w:r w:rsidRPr="00173FC5">
        <w:rPr>
          <w:rFonts w:ascii="Garamond" w:eastAsia="Calibri" w:hAnsi="Garamond" w:cs="Times New Roman"/>
          <w:bCs/>
          <w:sz w:val="22"/>
          <w:szCs w:val="22"/>
          <w:lang w:eastAsia="en-US"/>
        </w:rPr>
      </w:r>
      <w:r w:rsidRPr="00173FC5">
        <w:rPr>
          <w:rFonts w:ascii="Garamond" w:eastAsia="Calibri" w:hAnsi="Garamond" w:cs="Times New Roman"/>
          <w:bCs/>
          <w:sz w:val="22"/>
          <w:szCs w:val="22"/>
          <w:lang w:eastAsia="en-US"/>
        </w:rPr>
        <w:fldChar w:fldCharType="separate"/>
      </w:r>
      <w:r w:rsidRPr="00173FC5">
        <w:rPr>
          <w:rFonts w:ascii="Garamond" w:eastAsia="Calibri" w:hAnsi="Garamond" w:cs="Times New Roman"/>
          <w:bCs/>
          <w:sz w:val="22"/>
          <w:szCs w:val="22"/>
          <w:lang w:eastAsia="en-US"/>
        </w:rPr>
        <w:t>3.7</w:t>
      </w:r>
      <w:r w:rsidRPr="00173FC5">
        <w:rPr>
          <w:rFonts w:ascii="Garamond" w:eastAsia="Calibri" w:hAnsi="Garamond" w:cs="Times New Roman"/>
          <w:bCs/>
          <w:sz w:val="22"/>
          <w:szCs w:val="22"/>
          <w:lang w:eastAsia="en-US"/>
        </w:rPr>
        <w:fldChar w:fldCharType="end"/>
      </w:r>
      <w:r w:rsidRPr="00173FC5">
        <w:rPr>
          <w:rFonts w:ascii="Garamond" w:eastAsia="Calibri" w:hAnsi="Garamond" w:cs="Times New Roman"/>
          <w:bCs/>
          <w:sz w:val="22"/>
          <w:szCs w:val="22"/>
          <w:lang w:eastAsia="en-US"/>
        </w:rPr>
        <w:t xml:space="preserve">, </w:t>
      </w:r>
      <w:r w:rsidRPr="00173FC5">
        <w:rPr>
          <w:rFonts w:ascii="Garamond" w:eastAsia="Calibri" w:hAnsi="Garamond" w:cs="Times New Roman"/>
          <w:bCs/>
          <w:sz w:val="22"/>
          <w:szCs w:val="22"/>
          <w:lang w:eastAsia="en-US"/>
        </w:rPr>
        <w:fldChar w:fldCharType="begin"/>
      </w:r>
      <w:r w:rsidRPr="00173FC5">
        <w:rPr>
          <w:rFonts w:ascii="Garamond" w:eastAsia="Calibri" w:hAnsi="Garamond" w:cs="Times New Roman"/>
          <w:bCs/>
          <w:sz w:val="22"/>
          <w:szCs w:val="22"/>
          <w:lang w:eastAsia="en-US"/>
        </w:rPr>
        <w:instrText xml:space="preserve"> REF _Ref149308388 \r \h  \* MERGEFORMAT </w:instrText>
      </w:r>
      <w:r w:rsidRPr="00173FC5">
        <w:rPr>
          <w:rFonts w:ascii="Garamond" w:eastAsia="Calibri" w:hAnsi="Garamond" w:cs="Times New Roman"/>
          <w:bCs/>
          <w:sz w:val="22"/>
          <w:szCs w:val="22"/>
          <w:lang w:eastAsia="en-US"/>
        </w:rPr>
      </w:r>
      <w:r w:rsidRPr="00173FC5">
        <w:rPr>
          <w:rFonts w:ascii="Garamond" w:eastAsia="Calibri" w:hAnsi="Garamond" w:cs="Times New Roman"/>
          <w:bCs/>
          <w:sz w:val="22"/>
          <w:szCs w:val="22"/>
          <w:lang w:eastAsia="en-US"/>
        </w:rPr>
        <w:fldChar w:fldCharType="separate"/>
      </w:r>
      <w:r w:rsidRPr="00173FC5">
        <w:rPr>
          <w:rFonts w:ascii="Garamond" w:eastAsia="Calibri" w:hAnsi="Garamond" w:cs="Times New Roman"/>
          <w:bCs/>
          <w:sz w:val="22"/>
          <w:szCs w:val="22"/>
          <w:lang w:eastAsia="en-US"/>
        </w:rPr>
        <w:t>3.8</w:t>
      </w:r>
      <w:r w:rsidRPr="00173FC5">
        <w:rPr>
          <w:rFonts w:ascii="Garamond" w:eastAsia="Calibri" w:hAnsi="Garamond" w:cs="Times New Roman"/>
          <w:bCs/>
          <w:sz w:val="22"/>
          <w:szCs w:val="22"/>
          <w:lang w:eastAsia="en-US"/>
        </w:rPr>
        <w:fldChar w:fldCharType="end"/>
      </w:r>
      <w:r w:rsidRPr="00173FC5">
        <w:rPr>
          <w:rFonts w:ascii="Garamond" w:eastAsia="Calibri" w:hAnsi="Garamond" w:cs="Times New Roman"/>
          <w:sz w:val="22"/>
          <w:szCs w:val="22"/>
          <w:lang w:eastAsia="en-US"/>
        </w:rPr>
        <w:t xml:space="preserve"> </w:t>
      </w:r>
      <w:r w:rsidRPr="00173FC5">
        <w:rPr>
          <w:rFonts w:ascii="Garamond" w:eastAsia="Calibri" w:hAnsi="Garamond" w:cs="Times New Roman"/>
          <w:bCs/>
          <w:sz w:val="22"/>
          <w:szCs w:val="22"/>
          <w:lang w:eastAsia="en-US"/>
        </w:rPr>
        <w:t>настоящего приложения</w:t>
      </w:r>
      <w:r w:rsidR="00AE7446" w:rsidRPr="00173FC5">
        <w:rPr>
          <w:rFonts w:ascii="Garamond" w:eastAsia="Calibri" w:hAnsi="Garamond" w:cs="Times New Roman"/>
          <w:bCs/>
          <w:sz w:val="22"/>
          <w:szCs w:val="22"/>
          <w:lang w:eastAsia="en-US"/>
        </w:rPr>
        <w:t>,</w:t>
      </w:r>
      <w:r w:rsidRPr="00173FC5">
        <w:rPr>
          <w:rFonts w:ascii="Garamond" w:eastAsia="Calibri" w:hAnsi="Garamond" w:cs="Times New Roman"/>
          <w:sz w:val="22"/>
          <w:szCs w:val="22"/>
          <w:lang w:eastAsia="en-US"/>
        </w:rPr>
        <w:t xml:space="preserve"> </w:t>
      </w:r>
      <w:r w:rsidRPr="00173FC5">
        <w:rPr>
          <w:rFonts w:ascii="Garamond" w:eastAsia="Calibri" w:hAnsi="Garamond" w:cs="Times New Roman"/>
          <w:bCs/>
          <w:sz w:val="22"/>
          <w:szCs w:val="22"/>
          <w:lang w:eastAsia="en-US"/>
        </w:rPr>
        <w:t xml:space="preserve">и в случае отрицательного результата аттестации СО объекта регулирования, в соответствии с п. </w:t>
      </w:r>
      <w:r w:rsidR="002A169F" w:rsidRPr="00173FC5">
        <w:rPr>
          <w:rFonts w:ascii="Garamond" w:eastAsia="Calibri" w:hAnsi="Garamond" w:cs="Times New Roman"/>
          <w:bCs/>
          <w:sz w:val="22"/>
          <w:szCs w:val="22"/>
          <w:lang w:eastAsia="en-US"/>
        </w:rPr>
        <w:t>3.9</w:t>
      </w:r>
      <w:r w:rsidRPr="00173FC5">
        <w:rPr>
          <w:rFonts w:ascii="Garamond" w:eastAsia="Calibri" w:hAnsi="Garamond" w:cs="Times New Roman"/>
          <w:bCs/>
          <w:sz w:val="22"/>
          <w:szCs w:val="22"/>
          <w:lang w:eastAsia="en-US"/>
        </w:rPr>
        <w:t xml:space="preserve"> настоящего приложения, ввиду наличия замечаний к документам</w:t>
      </w:r>
      <w:r w:rsidR="00173FC5">
        <w:rPr>
          <w:rFonts w:ascii="Garamond" w:eastAsia="Calibri" w:hAnsi="Garamond" w:cs="Times New Roman"/>
          <w:bCs/>
          <w:sz w:val="22"/>
          <w:szCs w:val="22"/>
          <w:lang w:eastAsia="en-US"/>
        </w:rPr>
        <w:t>,</w:t>
      </w:r>
      <w:r w:rsidRPr="00AD67C2">
        <w:rPr>
          <w:rFonts w:ascii="Garamond" w:eastAsia="Calibri" w:hAnsi="Garamond" w:cs="Times New Roman"/>
          <w:bCs/>
          <w:sz w:val="22"/>
          <w:szCs w:val="22"/>
          <w:lang w:eastAsia="en-US"/>
        </w:rPr>
        <w:t xml:space="preserve"> полученным в соответствии с п. 3.4 настоящего приложения, КО в течение 2 (двух) рабочих дней с даты завершения последней проверки направляет с использованием ПСЗ результаты проверки документов заявителю и информирует его о приостановлении процедуры регистрации объекта регулирования, за исключением указанных в данном пункте случаев, при наступлении одного из которых процедура регистрации объекта регулирования прекращается.</w:t>
      </w:r>
      <w:bookmarkEnd w:id="50"/>
    </w:p>
    <w:p w14:paraId="488C8635" w14:textId="060E083F" w:rsidR="001333B2" w:rsidRPr="00AD67C2" w:rsidRDefault="001333B2" w:rsidP="00AD67C2">
      <w:pPr>
        <w:widowControl w:val="0"/>
        <w:tabs>
          <w:tab w:val="left" w:pos="1077"/>
        </w:tabs>
        <w:suppressAutoHyphens w:val="0"/>
        <w:spacing w:before="120" w:after="120"/>
        <w:ind w:firstLine="601"/>
        <w:jc w:val="both"/>
        <w:rPr>
          <w:rFonts w:ascii="Garamond" w:eastAsia="Calibri" w:hAnsi="Garamond" w:cs="Times New Roman"/>
          <w:bCs/>
          <w:sz w:val="22"/>
          <w:szCs w:val="22"/>
          <w:lang w:eastAsia="en-US"/>
        </w:rPr>
      </w:pPr>
      <w:r w:rsidRPr="00AD67C2">
        <w:rPr>
          <w:rFonts w:ascii="Garamond" w:eastAsia="Calibri" w:hAnsi="Garamond" w:cs="Times New Roman"/>
          <w:bCs/>
          <w:sz w:val="22"/>
          <w:szCs w:val="22"/>
          <w:lang w:eastAsia="en-US"/>
        </w:rPr>
        <w:t xml:space="preserve">В течение 60 (шестидесяти) календарных дней с даты направления отрицательных результатов проверки документов заявитель вправе устранить замечания и в указанный срок направить исправленные документы КО для продолжения процедуры регистрации объекта регулирования в порядке, установленном в п. </w:t>
      </w:r>
      <w:r w:rsidRPr="00AD67C2">
        <w:rPr>
          <w:rFonts w:ascii="Garamond" w:eastAsia="Calibri" w:hAnsi="Garamond" w:cs="Times New Roman"/>
          <w:bCs/>
          <w:sz w:val="22"/>
          <w:szCs w:val="22"/>
          <w:lang w:eastAsia="en-US"/>
        </w:rPr>
        <w:fldChar w:fldCharType="begin"/>
      </w:r>
      <w:r w:rsidRPr="00AD67C2">
        <w:rPr>
          <w:rFonts w:ascii="Garamond" w:eastAsia="Calibri" w:hAnsi="Garamond" w:cs="Times New Roman"/>
          <w:bCs/>
          <w:sz w:val="22"/>
          <w:szCs w:val="22"/>
          <w:lang w:eastAsia="en-US"/>
        </w:rPr>
        <w:instrText xml:space="preserve"> REF _Ref149302018 \r \h  \* MERGEFORMAT </w:instrText>
      </w:r>
      <w:r w:rsidRPr="00AD67C2">
        <w:rPr>
          <w:rFonts w:ascii="Garamond" w:eastAsia="Calibri" w:hAnsi="Garamond" w:cs="Times New Roman"/>
          <w:bCs/>
          <w:sz w:val="22"/>
          <w:szCs w:val="22"/>
          <w:lang w:eastAsia="en-US"/>
        </w:rPr>
      </w:r>
      <w:r w:rsidRPr="00AD67C2">
        <w:rPr>
          <w:rFonts w:ascii="Garamond" w:eastAsia="Calibri" w:hAnsi="Garamond" w:cs="Times New Roman"/>
          <w:bCs/>
          <w:sz w:val="22"/>
          <w:szCs w:val="22"/>
          <w:lang w:eastAsia="en-US"/>
        </w:rPr>
        <w:fldChar w:fldCharType="separate"/>
      </w:r>
      <w:r w:rsidRPr="00AD67C2">
        <w:rPr>
          <w:rFonts w:ascii="Garamond" w:eastAsia="Calibri" w:hAnsi="Garamond" w:cs="Times New Roman"/>
          <w:bCs/>
          <w:sz w:val="22"/>
          <w:szCs w:val="22"/>
          <w:lang w:eastAsia="en-US"/>
        </w:rPr>
        <w:t>3.12</w:t>
      </w:r>
      <w:r w:rsidRPr="00AD67C2">
        <w:rPr>
          <w:rFonts w:ascii="Garamond" w:eastAsia="Calibri" w:hAnsi="Garamond" w:cs="Times New Roman"/>
          <w:bCs/>
          <w:sz w:val="22"/>
          <w:szCs w:val="22"/>
          <w:lang w:eastAsia="en-US"/>
        </w:rPr>
        <w:fldChar w:fldCharType="end"/>
      </w:r>
      <w:r w:rsidRPr="00AD67C2">
        <w:rPr>
          <w:rFonts w:ascii="Garamond" w:eastAsia="Calibri" w:hAnsi="Garamond" w:cs="Times New Roman"/>
          <w:bCs/>
          <w:sz w:val="22"/>
          <w:szCs w:val="22"/>
          <w:lang w:eastAsia="en-US"/>
        </w:rPr>
        <w:t xml:space="preserve"> настоящего приложения.</w:t>
      </w:r>
    </w:p>
    <w:p w14:paraId="5205702D" w14:textId="288DF200" w:rsidR="001333B2" w:rsidRPr="00AD67C2" w:rsidRDefault="001333B2" w:rsidP="00AD67C2">
      <w:pPr>
        <w:widowControl w:val="0"/>
        <w:tabs>
          <w:tab w:val="left" w:pos="1077"/>
        </w:tabs>
        <w:suppressAutoHyphens w:val="0"/>
        <w:spacing w:before="120" w:after="120"/>
        <w:ind w:firstLine="601"/>
        <w:jc w:val="both"/>
        <w:rPr>
          <w:rFonts w:ascii="Garamond" w:eastAsia="Calibri" w:hAnsi="Garamond" w:cs="Times New Roman"/>
          <w:bCs/>
          <w:sz w:val="22"/>
          <w:szCs w:val="22"/>
          <w:lang w:eastAsia="en-US"/>
        </w:rPr>
      </w:pPr>
      <w:r w:rsidRPr="00AD67C2">
        <w:rPr>
          <w:rFonts w:ascii="Garamond" w:eastAsia="Calibri" w:hAnsi="Garamond" w:cs="Times New Roman"/>
          <w:bCs/>
          <w:sz w:val="22"/>
          <w:szCs w:val="22"/>
          <w:lang w:eastAsia="en-US"/>
        </w:rPr>
        <w:t xml:space="preserve">При этом документы, указанные в п. </w:t>
      </w:r>
      <w:r w:rsidRPr="00AD67C2">
        <w:rPr>
          <w:rFonts w:ascii="Garamond" w:eastAsia="Calibri" w:hAnsi="Garamond" w:cs="Times New Roman"/>
          <w:bCs/>
          <w:sz w:val="22"/>
          <w:szCs w:val="22"/>
          <w:lang w:eastAsia="en-US"/>
        </w:rPr>
        <w:fldChar w:fldCharType="begin"/>
      </w:r>
      <w:r w:rsidRPr="00AD67C2">
        <w:rPr>
          <w:rFonts w:ascii="Garamond" w:eastAsia="Calibri" w:hAnsi="Garamond" w:cs="Times New Roman"/>
          <w:bCs/>
          <w:sz w:val="22"/>
          <w:szCs w:val="22"/>
          <w:lang w:eastAsia="en-US"/>
        </w:rPr>
        <w:instrText xml:space="preserve"> REF _Ref149311630 \r \h </w:instrText>
      </w:r>
      <w:r w:rsidR="00AD67C2" w:rsidRPr="00AD67C2">
        <w:rPr>
          <w:rFonts w:ascii="Garamond" w:eastAsia="Calibri" w:hAnsi="Garamond" w:cs="Times New Roman"/>
          <w:bCs/>
          <w:sz w:val="22"/>
          <w:szCs w:val="22"/>
          <w:lang w:eastAsia="en-US"/>
        </w:rPr>
        <w:instrText xml:space="preserve"> \* MERGEFORMAT </w:instrText>
      </w:r>
      <w:r w:rsidRPr="00AD67C2">
        <w:rPr>
          <w:rFonts w:ascii="Garamond" w:eastAsia="Calibri" w:hAnsi="Garamond" w:cs="Times New Roman"/>
          <w:bCs/>
          <w:sz w:val="22"/>
          <w:szCs w:val="22"/>
          <w:lang w:eastAsia="en-US"/>
        </w:rPr>
      </w:r>
      <w:r w:rsidRPr="00AD67C2">
        <w:rPr>
          <w:rFonts w:ascii="Garamond" w:eastAsia="Calibri" w:hAnsi="Garamond" w:cs="Times New Roman"/>
          <w:bCs/>
          <w:sz w:val="22"/>
          <w:szCs w:val="22"/>
          <w:lang w:eastAsia="en-US"/>
        </w:rPr>
        <w:fldChar w:fldCharType="separate"/>
      </w:r>
      <w:r w:rsidRPr="00AD67C2">
        <w:rPr>
          <w:rFonts w:ascii="Garamond" w:eastAsia="Calibri" w:hAnsi="Garamond" w:cs="Times New Roman"/>
          <w:bCs/>
          <w:sz w:val="22"/>
          <w:szCs w:val="22"/>
          <w:lang w:eastAsia="en-US"/>
        </w:rPr>
        <w:t>2.1</w:t>
      </w:r>
      <w:r w:rsidRPr="00AD67C2">
        <w:rPr>
          <w:rFonts w:ascii="Garamond" w:eastAsia="Calibri" w:hAnsi="Garamond" w:cs="Times New Roman"/>
          <w:bCs/>
          <w:sz w:val="22"/>
          <w:szCs w:val="22"/>
          <w:lang w:eastAsia="en-US"/>
        </w:rPr>
        <w:fldChar w:fldCharType="end"/>
      </w:r>
      <w:r w:rsidRPr="00AD67C2">
        <w:rPr>
          <w:rFonts w:ascii="Garamond" w:eastAsia="Calibri" w:hAnsi="Garamond" w:cs="Times New Roman"/>
          <w:bCs/>
          <w:sz w:val="22"/>
          <w:szCs w:val="22"/>
          <w:lang w:eastAsia="en-US"/>
        </w:rPr>
        <w:t xml:space="preserve"> настоящего приложения, направляемые в КО с целью устранения замечаний, сформулированных по результатам проведенной проверки, могут быть оформлены в соответствии с требованиями </w:t>
      </w:r>
      <w:r w:rsidR="006046D7" w:rsidRPr="00AD67C2">
        <w:rPr>
          <w:rFonts w:ascii="Garamond" w:eastAsia="Calibri" w:hAnsi="Garamond" w:cs="Times New Roman"/>
          <w:bCs/>
          <w:sz w:val="22"/>
          <w:szCs w:val="22"/>
          <w:lang w:eastAsia="en-US"/>
        </w:rPr>
        <w:t>настоящего По</w:t>
      </w:r>
      <w:r w:rsidR="000C0908" w:rsidRPr="00AD67C2">
        <w:rPr>
          <w:rFonts w:ascii="Garamond" w:eastAsia="Calibri" w:hAnsi="Garamond" w:cs="Times New Roman"/>
          <w:bCs/>
          <w:sz w:val="22"/>
          <w:szCs w:val="22"/>
          <w:lang w:eastAsia="en-US"/>
        </w:rPr>
        <w:t>л</w:t>
      </w:r>
      <w:r w:rsidR="006046D7" w:rsidRPr="00AD67C2">
        <w:rPr>
          <w:rFonts w:ascii="Garamond" w:eastAsia="Calibri" w:hAnsi="Garamond" w:cs="Times New Roman"/>
          <w:bCs/>
          <w:sz w:val="22"/>
          <w:szCs w:val="22"/>
          <w:lang w:eastAsia="en-US"/>
        </w:rPr>
        <w:t xml:space="preserve">ожения </w:t>
      </w:r>
      <w:r w:rsidRPr="00AD67C2">
        <w:rPr>
          <w:rFonts w:ascii="Garamond" w:eastAsia="Calibri" w:hAnsi="Garamond" w:cs="Times New Roman"/>
          <w:bCs/>
          <w:sz w:val="22"/>
          <w:szCs w:val="22"/>
          <w:lang w:eastAsia="en-US"/>
        </w:rPr>
        <w:t>в редакции, действующей на дату регистрации заявления в КО.</w:t>
      </w:r>
    </w:p>
    <w:p w14:paraId="35AD4EC8" w14:textId="77777777" w:rsidR="001333B2" w:rsidRPr="00AD67C2" w:rsidRDefault="001333B2" w:rsidP="00AD67C2">
      <w:pPr>
        <w:widowControl w:val="0"/>
        <w:tabs>
          <w:tab w:val="left" w:pos="1077"/>
        </w:tabs>
        <w:suppressAutoHyphens w:val="0"/>
        <w:spacing w:before="120" w:after="120"/>
        <w:ind w:firstLine="601"/>
        <w:jc w:val="both"/>
        <w:rPr>
          <w:rFonts w:ascii="Garamond" w:eastAsia="Calibri" w:hAnsi="Garamond" w:cs="Times New Roman"/>
          <w:bCs/>
          <w:sz w:val="22"/>
          <w:szCs w:val="22"/>
          <w:lang w:eastAsia="en-US"/>
        </w:rPr>
      </w:pPr>
      <w:r w:rsidRPr="00AD67C2">
        <w:rPr>
          <w:rFonts w:ascii="Garamond" w:eastAsia="Calibri" w:hAnsi="Garamond" w:cs="Times New Roman"/>
          <w:bCs/>
          <w:sz w:val="22"/>
          <w:szCs w:val="22"/>
          <w:lang w:eastAsia="en-US"/>
        </w:rPr>
        <w:t>Процедура регистрации объекта регулирования прекращается в одном из нижеперечисленных случаев:</w:t>
      </w:r>
    </w:p>
    <w:p w14:paraId="54B41FBA" w14:textId="77777777" w:rsidR="001333B2" w:rsidRPr="00AD67C2" w:rsidRDefault="001333B2" w:rsidP="00AD67C2">
      <w:pPr>
        <w:widowControl w:val="0"/>
        <w:numPr>
          <w:ilvl w:val="0"/>
          <w:numId w:val="298"/>
        </w:numPr>
        <w:tabs>
          <w:tab w:val="left" w:pos="993"/>
          <w:tab w:val="left" w:pos="1077"/>
        </w:tabs>
        <w:suppressAutoHyphens w:val="0"/>
        <w:spacing w:before="120" w:after="120" w:line="259" w:lineRule="auto"/>
        <w:ind w:left="0" w:firstLine="601"/>
        <w:jc w:val="both"/>
        <w:rPr>
          <w:rFonts w:ascii="Garamond" w:eastAsia="Calibri" w:hAnsi="Garamond" w:cs="Times New Roman"/>
          <w:bCs/>
          <w:sz w:val="22"/>
          <w:szCs w:val="22"/>
          <w:lang w:eastAsia="en-US"/>
        </w:rPr>
      </w:pPr>
      <w:r w:rsidRPr="00AD67C2">
        <w:rPr>
          <w:rFonts w:ascii="Garamond" w:eastAsia="Calibri" w:hAnsi="Garamond" w:cs="Times New Roman"/>
          <w:bCs/>
          <w:sz w:val="22"/>
          <w:szCs w:val="22"/>
          <w:lang w:eastAsia="en-US"/>
        </w:rPr>
        <w:t>непоступления в адрес КО исправленных документов в течение 60 (шестидесяти) календарных дней с даты направления КО отрицательных результатов проверки документов; или</w:t>
      </w:r>
    </w:p>
    <w:p w14:paraId="1D3210F1" w14:textId="5759752F" w:rsidR="001333B2" w:rsidRPr="00AD67C2" w:rsidRDefault="001333B2" w:rsidP="00AD67C2">
      <w:pPr>
        <w:widowControl w:val="0"/>
        <w:numPr>
          <w:ilvl w:val="0"/>
          <w:numId w:val="298"/>
        </w:numPr>
        <w:tabs>
          <w:tab w:val="left" w:pos="993"/>
          <w:tab w:val="left" w:pos="1077"/>
        </w:tabs>
        <w:suppressAutoHyphens w:val="0"/>
        <w:spacing w:before="120" w:after="120" w:line="259" w:lineRule="auto"/>
        <w:ind w:left="0" w:firstLine="601"/>
        <w:jc w:val="both"/>
        <w:rPr>
          <w:rFonts w:ascii="Garamond" w:eastAsia="Calibri" w:hAnsi="Garamond" w:cs="Times New Roman"/>
          <w:bCs/>
          <w:sz w:val="22"/>
          <w:szCs w:val="22"/>
          <w:lang w:eastAsia="en-US"/>
        </w:rPr>
      </w:pPr>
      <w:r w:rsidRPr="00AD67C2">
        <w:rPr>
          <w:rFonts w:ascii="Garamond" w:eastAsia="Calibri" w:hAnsi="Garamond" w:cs="Times New Roman"/>
          <w:bCs/>
          <w:sz w:val="22"/>
          <w:szCs w:val="22"/>
          <w:lang w:eastAsia="en-US"/>
        </w:rPr>
        <w:t xml:space="preserve">получения в соответствии с п. </w:t>
      </w:r>
      <w:r w:rsidRPr="00AD67C2">
        <w:rPr>
          <w:rFonts w:ascii="Garamond" w:eastAsia="Calibri" w:hAnsi="Garamond" w:cs="Times New Roman"/>
          <w:bCs/>
          <w:sz w:val="22"/>
          <w:szCs w:val="22"/>
          <w:lang w:eastAsia="en-US"/>
        </w:rPr>
        <w:fldChar w:fldCharType="begin"/>
      </w:r>
      <w:r w:rsidRPr="00AD67C2">
        <w:rPr>
          <w:rFonts w:ascii="Garamond" w:eastAsia="Calibri" w:hAnsi="Garamond" w:cs="Times New Roman"/>
          <w:bCs/>
          <w:sz w:val="22"/>
          <w:szCs w:val="22"/>
          <w:lang w:eastAsia="en-US"/>
        </w:rPr>
        <w:instrText xml:space="preserve"> REF _Ref150429707 \r \h  \* MERGEFORMAT </w:instrText>
      </w:r>
      <w:r w:rsidRPr="00AD67C2">
        <w:rPr>
          <w:rFonts w:ascii="Garamond" w:eastAsia="Calibri" w:hAnsi="Garamond" w:cs="Times New Roman"/>
          <w:bCs/>
          <w:sz w:val="22"/>
          <w:szCs w:val="22"/>
          <w:lang w:eastAsia="en-US"/>
        </w:rPr>
      </w:r>
      <w:r w:rsidRPr="00AD67C2">
        <w:rPr>
          <w:rFonts w:ascii="Garamond" w:eastAsia="Calibri" w:hAnsi="Garamond" w:cs="Times New Roman"/>
          <w:bCs/>
          <w:sz w:val="22"/>
          <w:szCs w:val="22"/>
          <w:lang w:eastAsia="en-US"/>
        </w:rPr>
        <w:fldChar w:fldCharType="separate"/>
      </w:r>
      <w:r w:rsidRPr="00AD67C2">
        <w:rPr>
          <w:rFonts w:ascii="Garamond" w:eastAsia="Calibri" w:hAnsi="Garamond" w:cs="Times New Roman"/>
          <w:bCs/>
          <w:sz w:val="22"/>
          <w:szCs w:val="22"/>
          <w:lang w:eastAsia="en-US"/>
        </w:rPr>
        <w:t>3.9</w:t>
      </w:r>
      <w:r w:rsidRPr="00AD67C2">
        <w:rPr>
          <w:rFonts w:ascii="Garamond" w:eastAsia="Calibri" w:hAnsi="Garamond" w:cs="Times New Roman"/>
          <w:bCs/>
          <w:sz w:val="22"/>
          <w:szCs w:val="22"/>
          <w:lang w:eastAsia="en-US"/>
        </w:rPr>
        <w:fldChar w:fldCharType="end"/>
      </w:r>
      <w:r w:rsidRPr="00AD67C2">
        <w:rPr>
          <w:rFonts w:ascii="Garamond" w:eastAsia="Calibri" w:hAnsi="Garamond" w:cs="Times New Roman"/>
          <w:bCs/>
          <w:sz w:val="22"/>
          <w:szCs w:val="22"/>
          <w:lang w:eastAsia="en-US"/>
        </w:rPr>
        <w:t xml:space="preserve"> настоящего приложения отрицательного результата аттестации СО объекта регулирования – неаттестации объекта регулирования при условии завершения проверки документов, предусмотренной п</w:t>
      </w:r>
      <w:r w:rsidR="001B3CED">
        <w:rPr>
          <w:rFonts w:ascii="Garamond" w:eastAsia="Calibri" w:hAnsi="Garamond" w:cs="Times New Roman"/>
          <w:bCs/>
          <w:sz w:val="22"/>
          <w:szCs w:val="22"/>
          <w:lang w:eastAsia="en-US"/>
        </w:rPr>
        <w:t>п</w:t>
      </w:r>
      <w:r w:rsidRPr="00AD67C2">
        <w:rPr>
          <w:rFonts w:ascii="Garamond" w:eastAsia="Calibri" w:hAnsi="Garamond" w:cs="Times New Roman"/>
          <w:bCs/>
          <w:sz w:val="22"/>
          <w:szCs w:val="22"/>
          <w:lang w:eastAsia="en-US"/>
        </w:rPr>
        <w:t xml:space="preserve">. </w:t>
      </w:r>
      <w:r w:rsidRPr="00AD67C2">
        <w:rPr>
          <w:rFonts w:ascii="Garamond" w:eastAsia="Calibri" w:hAnsi="Garamond" w:cs="Times New Roman"/>
          <w:bCs/>
          <w:sz w:val="22"/>
          <w:szCs w:val="22"/>
          <w:lang w:eastAsia="en-US"/>
        </w:rPr>
        <w:fldChar w:fldCharType="begin"/>
      </w:r>
      <w:r w:rsidRPr="00AD67C2">
        <w:rPr>
          <w:rFonts w:ascii="Garamond" w:eastAsia="Calibri" w:hAnsi="Garamond" w:cs="Times New Roman"/>
          <w:bCs/>
          <w:sz w:val="22"/>
          <w:szCs w:val="22"/>
          <w:lang w:eastAsia="en-US"/>
        </w:rPr>
        <w:instrText xml:space="preserve"> REF _Ref149322479 \r \h  \* MERGEFORMAT </w:instrText>
      </w:r>
      <w:r w:rsidRPr="00AD67C2">
        <w:rPr>
          <w:rFonts w:ascii="Garamond" w:eastAsia="Calibri" w:hAnsi="Garamond" w:cs="Times New Roman"/>
          <w:bCs/>
          <w:sz w:val="22"/>
          <w:szCs w:val="22"/>
          <w:lang w:eastAsia="en-US"/>
        </w:rPr>
      </w:r>
      <w:r w:rsidRPr="00AD67C2">
        <w:rPr>
          <w:rFonts w:ascii="Garamond" w:eastAsia="Calibri" w:hAnsi="Garamond" w:cs="Times New Roman"/>
          <w:bCs/>
          <w:sz w:val="22"/>
          <w:szCs w:val="22"/>
          <w:lang w:eastAsia="en-US"/>
        </w:rPr>
        <w:fldChar w:fldCharType="separate"/>
      </w:r>
      <w:r w:rsidRPr="00AD67C2">
        <w:rPr>
          <w:rFonts w:ascii="Garamond" w:eastAsia="Calibri" w:hAnsi="Garamond" w:cs="Times New Roman"/>
          <w:bCs/>
          <w:sz w:val="22"/>
          <w:szCs w:val="22"/>
          <w:lang w:eastAsia="en-US"/>
        </w:rPr>
        <w:t>3.5</w:t>
      </w:r>
      <w:r w:rsidRPr="00AD67C2">
        <w:rPr>
          <w:rFonts w:ascii="Garamond" w:eastAsia="Calibri" w:hAnsi="Garamond" w:cs="Times New Roman"/>
          <w:bCs/>
          <w:sz w:val="22"/>
          <w:szCs w:val="22"/>
          <w:lang w:eastAsia="en-US"/>
        </w:rPr>
        <w:fldChar w:fldCharType="end"/>
      </w:r>
      <w:r w:rsidR="001B3CED">
        <w:rPr>
          <w:rFonts w:ascii="Garamond" w:eastAsia="Calibri" w:hAnsi="Garamond" w:cs="Times New Roman"/>
          <w:bCs/>
          <w:sz w:val="22"/>
          <w:szCs w:val="22"/>
          <w:lang w:eastAsia="en-US"/>
        </w:rPr>
        <w:t>–</w:t>
      </w:r>
      <w:r w:rsidRPr="00AD67C2">
        <w:rPr>
          <w:rFonts w:ascii="Garamond" w:eastAsia="Calibri" w:hAnsi="Garamond" w:cs="Times New Roman"/>
          <w:bCs/>
          <w:sz w:val="22"/>
          <w:szCs w:val="22"/>
          <w:lang w:eastAsia="en-US"/>
        </w:rPr>
        <w:fldChar w:fldCharType="begin"/>
      </w:r>
      <w:r w:rsidRPr="00AD67C2">
        <w:rPr>
          <w:rFonts w:ascii="Garamond" w:eastAsia="Calibri" w:hAnsi="Garamond" w:cs="Times New Roman"/>
          <w:bCs/>
          <w:sz w:val="22"/>
          <w:szCs w:val="22"/>
          <w:lang w:eastAsia="en-US"/>
        </w:rPr>
        <w:instrText xml:space="preserve"> REF _Ref149308388 \r \h  \* MERGEFORMAT </w:instrText>
      </w:r>
      <w:r w:rsidRPr="00AD67C2">
        <w:rPr>
          <w:rFonts w:ascii="Garamond" w:eastAsia="Calibri" w:hAnsi="Garamond" w:cs="Times New Roman"/>
          <w:bCs/>
          <w:sz w:val="22"/>
          <w:szCs w:val="22"/>
          <w:lang w:eastAsia="en-US"/>
        </w:rPr>
      </w:r>
      <w:r w:rsidRPr="00AD67C2">
        <w:rPr>
          <w:rFonts w:ascii="Garamond" w:eastAsia="Calibri" w:hAnsi="Garamond" w:cs="Times New Roman"/>
          <w:bCs/>
          <w:sz w:val="22"/>
          <w:szCs w:val="22"/>
          <w:lang w:eastAsia="en-US"/>
        </w:rPr>
        <w:fldChar w:fldCharType="separate"/>
      </w:r>
      <w:r w:rsidRPr="00AD67C2">
        <w:rPr>
          <w:rFonts w:ascii="Garamond" w:eastAsia="Calibri" w:hAnsi="Garamond" w:cs="Times New Roman"/>
          <w:bCs/>
          <w:sz w:val="22"/>
          <w:szCs w:val="22"/>
          <w:lang w:eastAsia="en-US"/>
        </w:rPr>
        <w:t>3.8</w:t>
      </w:r>
      <w:r w:rsidRPr="00AD67C2">
        <w:rPr>
          <w:rFonts w:ascii="Garamond" w:eastAsia="Calibri" w:hAnsi="Garamond" w:cs="Times New Roman"/>
          <w:bCs/>
          <w:sz w:val="22"/>
          <w:szCs w:val="22"/>
          <w:lang w:eastAsia="en-US"/>
        </w:rPr>
        <w:fldChar w:fldCharType="end"/>
      </w:r>
      <w:r w:rsidRPr="00AD67C2">
        <w:rPr>
          <w:rFonts w:ascii="Garamond" w:eastAsia="Calibri" w:hAnsi="Garamond" w:cs="Times New Roman"/>
          <w:bCs/>
          <w:sz w:val="22"/>
          <w:szCs w:val="22"/>
          <w:lang w:eastAsia="en-US"/>
        </w:rPr>
        <w:t xml:space="preserve"> настоящего приложения, с любым результатом; или</w:t>
      </w:r>
    </w:p>
    <w:p w14:paraId="24C0B662" w14:textId="61B2EA6A" w:rsidR="001333B2" w:rsidRPr="00AD67C2" w:rsidRDefault="001333B2" w:rsidP="00AD67C2">
      <w:pPr>
        <w:widowControl w:val="0"/>
        <w:numPr>
          <w:ilvl w:val="0"/>
          <w:numId w:val="298"/>
        </w:numPr>
        <w:tabs>
          <w:tab w:val="left" w:pos="993"/>
          <w:tab w:val="left" w:pos="1077"/>
        </w:tabs>
        <w:suppressAutoHyphens w:val="0"/>
        <w:spacing w:before="120" w:after="120" w:line="259" w:lineRule="auto"/>
        <w:ind w:left="0" w:firstLine="601"/>
        <w:jc w:val="both"/>
        <w:rPr>
          <w:rFonts w:ascii="Garamond" w:eastAsia="Calibri" w:hAnsi="Garamond" w:cs="Times New Roman"/>
          <w:bCs/>
          <w:sz w:val="22"/>
          <w:szCs w:val="22"/>
          <w:lang w:eastAsia="en-US"/>
        </w:rPr>
      </w:pPr>
      <w:r w:rsidRPr="00AD67C2">
        <w:rPr>
          <w:rFonts w:ascii="Garamond" w:eastAsia="Calibri" w:hAnsi="Garamond" w:cs="Times New Roman"/>
          <w:bCs/>
          <w:sz w:val="22"/>
          <w:szCs w:val="22"/>
          <w:lang w:eastAsia="en-US"/>
        </w:rPr>
        <w:t>в рамках процедуры регистрации объекта регулирования, в отношении документов, второй раз предоставленных заявителем в целях устранения замечаний, хотя бы одна из проверок, предусмотренных п</w:t>
      </w:r>
      <w:r w:rsidR="001B3CED">
        <w:rPr>
          <w:rFonts w:ascii="Garamond" w:eastAsia="Calibri" w:hAnsi="Garamond" w:cs="Times New Roman"/>
          <w:bCs/>
          <w:sz w:val="22"/>
          <w:szCs w:val="22"/>
          <w:lang w:eastAsia="en-US"/>
        </w:rPr>
        <w:t>п</w:t>
      </w:r>
      <w:r w:rsidRPr="00AD67C2">
        <w:rPr>
          <w:rFonts w:ascii="Garamond" w:eastAsia="Calibri" w:hAnsi="Garamond" w:cs="Times New Roman"/>
          <w:bCs/>
          <w:sz w:val="22"/>
          <w:szCs w:val="22"/>
          <w:lang w:eastAsia="en-US"/>
        </w:rPr>
        <w:t xml:space="preserve">. </w:t>
      </w:r>
      <w:r w:rsidRPr="00AD67C2">
        <w:rPr>
          <w:rFonts w:ascii="Garamond" w:eastAsia="Calibri" w:hAnsi="Garamond" w:cs="Times New Roman"/>
          <w:bCs/>
          <w:sz w:val="22"/>
          <w:szCs w:val="22"/>
          <w:lang w:eastAsia="en-US"/>
        </w:rPr>
        <w:fldChar w:fldCharType="begin"/>
      </w:r>
      <w:r w:rsidRPr="00AD67C2">
        <w:rPr>
          <w:rFonts w:ascii="Garamond" w:eastAsia="Calibri" w:hAnsi="Garamond" w:cs="Times New Roman"/>
          <w:bCs/>
          <w:sz w:val="22"/>
          <w:szCs w:val="22"/>
          <w:lang w:eastAsia="en-US"/>
        </w:rPr>
        <w:instrText xml:space="preserve"> REF _Ref149322479 \r \h  \* MERGEFORMAT </w:instrText>
      </w:r>
      <w:r w:rsidRPr="00AD67C2">
        <w:rPr>
          <w:rFonts w:ascii="Garamond" w:eastAsia="Calibri" w:hAnsi="Garamond" w:cs="Times New Roman"/>
          <w:bCs/>
          <w:sz w:val="22"/>
          <w:szCs w:val="22"/>
          <w:lang w:eastAsia="en-US"/>
        </w:rPr>
      </w:r>
      <w:r w:rsidRPr="00AD67C2">
        <w:rPr>
          <w:rFonts w:ascii="Garamond" w:eastAsia="Calibri" w:hAnsi="Garamond" w:cs="Times New Roman"/>
          <w:bCs/>
          <w:sz w:val="22"/>
          <w:szCs w:val="22"/>
          <w:lang w:eastAsia="en-US"/>
        </w:rPr>
        <w:fldChar w:fldCharType="separate"/>
      </w:r>
      <w:r w:rsidRPr="00AD67C2">
        <w:rPr>
          <w:rFonts w:ascii="Garamond" w:eastAsia="Calibri" w:hAnsi="Garamond" w:cs="Times New Roman"/>
          <w:bCs/>
          <w:sz w:val="22"/>
          <w:szCs w:val="22"/>
          <w:lang w:eastAsia="en-US"/>
        </w:rPr>
        <w:t>3.5</w:t>
      </w:r>
      <w:r w:rsidRPr="00AD67C2">
        <w:rPr>
          <w:rFonts w:ascii="Garamond" w:eastAsia="Calibri" w:hAnsi="Garamond" w:cs="Times New Roman"/>
          <w:bCs/>
          <w:sz w:val="22"/>
          <w:szCs w:val="22"/>
          <w:lang w:eastAsia="en-US"/>
        </w:rPr>
        <w:fldChar w:fldCharType="end"/>
      </w:r>
      <w:r w:rsidRPr="00AD67C2">
        <w:rPr>
          <w:rFonts w:ascii="Garamond" w:eastAsia="Calibri" w:hAnsi="Garamond" w:cs="Times New Roman"/>
          <w:bCs/>
          <w:sz w:val="22"/>
          <w:szCs w:val="22"/>
          <w:lang w:eastAsia="en-US"/>
        </w:rPr>
        <w:t xml:space="preserve">, </w:t>
      </w:r>
      <w:r w:rsidRPr="00AD67C2">
        <w:rPr>
          <w:rFonts w:ascii="Garamond" w:eastAsia="Calibri" w:hAnsi="Garamond" w:cs="Times New Roman"/>
          <w:bCs/>
          <w:sz w:val="22"/>
          <w:szCs w:val="22"/>
          <w:lang w:eastAsia="en-US"/>
        </w:rPr>
        <w:fldChar w:fldCharType="begin"/>
      </w:r>
      <w:r w:rsidRPr="00AD67C2">
        <w:rPr>
          <w:rFonts w:ascii="Garamond" w:eastAsia="Calibri" w:hAnsi="Garamond" w:cs="Times New Roman"/>
          <w:bCs/>
          <w:sz w:val="22"/>
          <w:szCs w:val="22"/>
          <w:lang w:eastAsia="en-US"/>
        </w:rPr>
        <w:instrText xml:space="preserve"> REF _Ref149320909 \r \h  \* MERGEFORMAT </w:instrText>
      </w:r>
      <w:r w:rsidRPr="00AD67C2">
        <w:rPr>
          <w:rFonts w:ascii="Garamond" w:eastAsia="Calibri" w:hAnsi="Garamond" w:cs="Times New Roman"/>
          <w:bCs/>
          <w:sz w:val="22"/>
          <w:szCs w:val="22"/>
          <w:lang w:eastAsia="en-US"/>
        </w:rPr>
      </w:r>
      <w:r w:rsidRPr="00AD67C2">
        <w:rPr>
          <w:rFonts w:ascii="Garamond" w:eastAsia="Calibri" w:hAnsi="Garamond" w:cs="Times New Roman"/>
          <w:bCs/>
          <w:sz w:val="22"/>
          <w:szCs w:val="22"/>
          <w:lang w:eastAsia="en-US"/>
        </w:rPr>
        <w:fldChar w:fldCharType="separate"/>
      </w:r>
      <w:r w:rsidRPr="00AD67C2">
        <w:rPr>
          <w:rFonts w:ascii="Garamond" w:eastAsia="Calibri" w:hAnsi="Garamond" w:cs="Times New Roman"/>
          <w:bCs/>
          <w:sz w:val="22"/>
          <w:szCs w:val="22"/>
          <w:lang w:eastAsia="en-US"/>
        </w:rPr>
        <w:t>3.6</w:t>
      </w:r>
      <w:r w:rsidRPr="00AD67C2">
        <w:rPr>
          <w:rFonts w:ascii="Garamond" w:eastAsia="Calibri" w:hAnsi="Garamond" w:cs="Times New Roman"/>
          <w:bCs/>
          <w:sz w:val="22"/>
          <w:szCs w:val="22"/>
          <w:lang w:eastAsia="en-US"/>
        </w:rPr>
        <w:fldChar w:fldCharType="end"/>
      </w:r>
      <w:r w:rsidRPr="00AD67C2">
        <w:rPr>
          <w:rFonts w:ascii="Garamond" w:eastAsia="Calibri" w:hAnsi="Garamond" w:cs="Times New Roman"/>
          <w:bCs/>
          <w:sz w:val="22"/>
          <w:szCs w:val="22"/>
          <w:lang w:eastAsia="en-US"/>
        </w:rPr>
        <w:t xml:space="preserve">, </w:t>
      </w:r>
      <w:r w:rsidRPr="00AD67C2">
        <w:rPr>
          <w:rFonts w:ascii="Garamond" w:eastAsia="Calibri" w:hAnsi="Garamond" w:cs="Times New Roman"/>
          <w:bCs/>
          <w:sz w:val="22"/>
          <w:szCs w:val="22"/>
          <w:lang w:eastAsia="en-US"/>
        </w:rPr>
        <w:fldChar w:fldCharType="begin"/>
      </w:r>
      <w:r w:rsidRPr="00AD67C2">
        <w:rPr>
          <w:rFonts w:ascii="Garamond" w:eastAsia="Calibri" w:hAnsi="Garamond" w:cs="Times New Roman"/>
          <w:bCs/>
          <w:sz w:val="22"/>
          <w:szCs w:val="22"/>
          <w:lang w:eastAsia="en-US"/>
        </w:rPr>
        <w:instrText xml:space="preserve"> REF _Ref149322519 \r \h  \* MERGEFORMAT </w:instrText>
      </w:r>
      <w:r w:rsidRPr="00AD67C2">
        <w:rPr>
          <w:rFonts w:ascii="Garamond" w:eastAsia="Calibri" w:hAnsi="Garamond" w:cs="Times New Roman"/>
          <w:bCs/>
          <w:sz w:val="22"/>
          <w:szCs w:val="22"/>
          <w:lang w:eastAsia="en-US"/>
        </w:rPr>
      </w:r>
      <w:r w:rsidRPr="00AD67C2">
        <w:rPr>
          <w:rFonts w:ascii="Garamond" w:eastAsia="Calibri" w:hAnsi="Garamond" w:cs="Times New Roman"/>
          <w:bCs/>
          <w:sz w:val="22"/>
          <w:szCs w:val="22"/>
          <w:lang w:eastAsia="en-US"/>
        </w:rPr>
        <w:fldChar w:fldCharType="separate"/>
      </w:r>
      <w:r w:rsidRPr="00AD67C2">
        <w:rPr>
          <w:rFonts w:ascii="Garamond" w:eastAsia="Calibri" w:hAnsi="Garamond" w:cs="Times New Roman"/>
          <w:bCs/>
          <w:sz w:val="22"/>
          <w:szCs w:val="22"/>
          <w:lang w:eastAsia="en-US"/>
        </w:rPr>
        <w:t>3.7</w:t>
      </w:r>
      <w:r w:rsidRPr="00AD67C2">
        <w:rPr>
          <w:rFonts w:ascii="Garamond" w:eastAsia="Calibri" w:hAnsi="Garamond" w:cs="Times New Roman"/>
          <w:bCs/>
          <w:sz w:val="22"/>
          <w:szCs w:val="22"/>
          <w:lang w:eastAsia="en-US"/>
        </w:rPr>
        <w:fldChar w:fldCharType="end"/>
      </w:r>
      <w:r w:rsidRPr="00AD67C2">
        <w:rPr>
          <w:rFonts w:ascii="Garamond" w:eastAsia="Calibri" w:hAnsi="Garamond" w:cs="Times New Roman"/>
          <w:bCs/>
          <w:sz w:val="22"/>
          <w:szCs w:val="22"/>
          <w:lang w:eastAsia="en-US"/>
        </w:rPr>
        <w:t xml:space="preserve">, </w:t>
      </w:r>
      <w:r w:rsidRPr="00AD67C2">
        <w:rPr>
          <w:rFonts w:ascii="Garamond" w:eastAsia="Calibri" w:hAnsi="Garamond" w:cs="Times New Roman"/>
          <w:bCs/>
          <w:sz w:val="22"/>
          <w:szCs w:val="22"/>
          <w:lang w:eastAsia="en-US"/>
        </w:rPr>
        <w:fldChar w:fldCharType="begin"/>
      </w:r>
      <w:r w:rsidRPr="00AD67C2">
        <w:rPr>
          <w:rFonts w:ascii="Garamond" w:eastAsia="Calibri" w:hAnsi="Garamond" w:cs="Times New Roman"/>
          <w:bCs/>
          <w:sz w:val="22"/>
          <w:szCs w:val="22"/>
          <w:lang w:eastAsia="en-US"/>
        </w:rPr>
        <w:instrText xml:space="preserve"> REF _Ref149308388 \r \h  \* MERGEFORMAT </w:instrText>
      </w:r>
      <w:r w:rsidRPr="00AD67C2">
        <w:rPr>
          <w:rFonts w:ascii="Garamond" w:eastAsia="Calibri" w:hAnsi="Garamond" w:cs="Times New Roman"/>
          <w:bCs/>
          <w:sz w:val="22"/>
          <w:szCs w:val="22"/>
          <w:lang w:eastAsia="en-US"/>
        </w:rPr>
      </w:r>
      <w:r w:rsidRPr="00AD67C2">
        <w:rPr>
          <w:rFonts w:ascii="Garamond" w:eastAsia="Calibri" w:hAnsi="Garamond" w:cs="Times New Roman"/>
          <w:bCs/>
          <w:sz w:val="22"/>
          <w:szCs w:val="22"/>
          <w:lang w:eastAsia="en-US"/>
        </w:rPr>
        <w:fldChar w:fldCharType="separate"/>
      </w:r>
      <w:r w:rsidRPr="00AD67C2">
        <w:rPr>
          <w:rFonts w:ascii="Garamond" w:eastAsia="Calibri" w:hAnsi="Garamond" w:cs="Times New Roman"/>
          <w:bCs/>
          <w:sz w:val="22"/>
          <w:szCs w:val="22"/>
          <w:lang w:eastAsia="en-US"/>
        </w:rPr>
        <w:t>3.8</w:t>
      </w:r>
      <w:r w:rsidRPr="00AD67C2">
        <w:rPr>
          <w:rFonts w:ascii="Garamond" w:eastAsia="Calibri" w:hAnsi="Garamond" w:cs="Times New Roman"/>
          <w:bCs/>
          <w:sz w:val="22"/>
          <w:szCs w:val="22"/>
          <w:lang w:eastAsia="en-US"/>
        </w:rPr>
        <w:fldChar w:fldCharType="end"/>
      </w:r>
      <w:r w:rsidRPr="00AD67C2">
        <w:rPr>
          <w:rFonts w:ascii="Garamond" w:eastAsia="Calibri" w:hAnsi="Garamond" w:cs="Times New Roman"/>
          <w:sz w:val="22"/>
          <w:szCs w:val="22"/>
          <w:lang w:eastAsia="en-US"/>
        </w:rPr>
        <w:t xml:space="preserve">, </w:t>
      </w:r>
      <w:r w:rsidRPr="00AD67C2">
        <w:rPr>
          <w:rFonts w:ascii="Garamond" w:eastAsia="Calibri" w:hAnsi="Garamond" w:cs="Times New Roman"/>
          <w:bCs/>
          <w:sz w:val="22"/>
          <w:szCs w:val="22"/>
          <w:lang w:eastAsia="en-US"/>
        </w:rPr>
        <w:t xml:space="preserve">3.9 настоящего приложения, завершилась с отрицательным результатом. </w:t>
      </w:r>
    </w:p>
    <w:p w14:paraId="1021965C" w14:textId="5E33387B" w:rsidR="002A169F" w:rsidRPr="00353322" w:rsidRDefault="002A169F" w:rsidP="00AD67C2">
      <w:pPr>
        <w:widowControl w:val="0"/>
        <w:tabs>
          <w:tab w:val="left" w:pos="1077"/>
        </w:tabs>
        <w:suppressAutoHyphens w:val="0"/>
        <w:spacing w:before="120" w:after="120"/>
        <w:ind w:firstLine="601"/>
        <w:jc w:val="both"/>
        <w:rPr>
          <w:rFonts w:ascii="Garamond" w:eastAsia="Calibri" w:hAnsi="Garamond" w:cs="Times New Roman"/>
          <w:bCs/>
          <w:sz w:val="22"/>
          <w:szCs w:val="22"/>
          <w:lang w:eastAsia="en-US"/>
        </w:rPr>
      </w:pPr>
      <w:r w:rsidRPr="00214E53">
        <w:rPr>
          <w:rFonts w:ascii="Garamond" w:eastAsia="Calibri" w:hAnsi="Garamond" w:cs="Times New Roman"/>
          <w:bCs/>
          <w:sz w:val="22"/>
          <w:szCs w:val="22"/>
          <w:lang w:eastAsia="en-US"/>
        </w:rPr>
        <w:t xml:space="preserve">КО в течение 5 (пяти) </w:t>
      </w:r>
      <w:r w:rsidRPr="00353322">
        <w:rPr>
          <w:rFonts w:ascii="Garamond" w:eastAsia="Calibri" w:hAnsi="Garamond" w:cs="Times New Roman"/>
          <w:bCs/>
          <w:sz w:val="22"/>
          <w:szCs w:val="22"/>
          <w:lang w:eastAsia="en-US"/>
        </w:rPr>
        <w:t xml:space="preserve">календарных дней с даты прекращения процедуры регистрации объекта регулирования направляет заявителю </w:t>
      </w:r>
      <w:r w:rsidR="00214E53" w:rsidRPr="00353322">
        <w:rPr>
          <w:rFonts w:ascii="Garamond" w:eastAsia="Calibri" w:hAnsi="Garamond" w:cs="Times New Roman"/>
          <w:bCs/>
          <w:sz w:val="22"/>
          <w:szCs w:val="22"/>
          <w:lang w:eastAsia="en-US"/>
        </w:rPr>
        <w:t>а</w:t>
      </w:r>
      <w:r w:rsidRPr="00353322">
        <w:rPr>
          <w:rFonts w:ascii="Garamond" w:eastAsia="Calibri" w:hAnsi="Garamond" w:cs="Times New Roman"/>
          <w:bCs/>
          <w:sz w:val="22"/>
          <w:szCs w:val="22"/>
          <w:lang w:eastAsia="en-US"/>
        </w:rPr>
        <w:t xml:space="preserve">кт сдачи-приемки оказанных услуг в бумажном виде по форме 7, указанной в настоящем приложении, или в электронном виде по форматам, предусмотренным </w:t>
      </w:r>
      <w:r w:rsidR="00214E53" w:rsidRPr="00353322">
        <w:rPr>
          <w:rFonts w:ascii="Garamond" w:eastAsia="Calibri" w:hAnsi="Garamond" w:cs="Times New Roman"/>
          <w:bCs/>
          <w:sz w:val="22"/>
          <w:szCs w:val="22"/>
          <w:lang w:eastAsia="en-US"/>
        </w:rPr>
        <w:t>с</w:t>
      </w:r>
      <w:r w:rsidRPr="00353322">
        <w:rPr>
          <w:rFonts w:ascii="Garamond" w:eastAsia="Calibri" w:hAnsi="Garamond" w:cs="Times New Roman"/>
          <w:bCs/>
          <w:sz w:val="22"/>
          <w:szCs w:val="22"/>
          <w:lang w:eastAsia="en-US"/>
        </w:rPr>
        <w:t>оглашением об обмене документами в электронной форме, заключенн</w:t>
      </w:r>
      <w:r w:rsidR="00214E53" w:rsidRPr="00353322">
        <w:rPr>
          <w:rFonts w:ascii="Garamond" w:eastAsia="Calibri" w:hAnsi="Garamond" w:cs="Times New Roman"/>
          <w:bCs/>
          <w:sz w:val="22"/>
          <w:szCs w:val="22"/>
          <w:lang w:eastAsia="en-US"/>
        </w:rPr>
        <w:t>ы</w:t>
      </w:r>
      <w:r w:rsidRPr="00353322">
        <w:rPr>
          <w:rFonts w:ascii="Garamond" w:eastAsia="Calibri" w:hAnsi="Garamond" w:cs="Times New Roman"/>
          <w:bCs/>
          <w:sz w:val="22"/>
          <w:szCs w:val="22"/>
          <w:lang w:eastAsia="en-US"/>
        </w:rPr>
        <w:t xml:space="preserve">м между КО и заявителем, с использованием сервиса обмена документами в электронной форме через операторов электронного документооборота и счет-фактуру в бумажном виде или в электронной форме соответственно. В случае если заявитель не направит КО подписанный со своей стороны </w:t>
      </w:r>
      <w:r w:rsidR="00214E53" w:rsidRPr="00353322">
        <w:rPr>
          <w:rFonts w:ascii="Garamond" w:eastAsia="Calibri" w:hAnsi="Garamond" w:cs="Times New Roman"/>
          <w:bCs/>
          <w:sz w:val="22"/>
          <w:szCs w:val="22"/>
          <w:lang w:eastAsia="en-US"/>
        </w:rPr>
        <w:t>а</w:t>
      </w:r>
      <w:r w:rsidRPr="00353322">
        <w:rPr>
          <w:rFonts w:ascii="Garamond" w:eastAsia="Calibri" w:hAnsi="Garamond" w:cs="Times New Roman"/>
          <w:bCs/>
          <w:sz w:val="22"/>
          <w:szCs w:val="22"/>
          <w:lang w:eastAsia="en-US"/>
        </w:rPr>
        <w:t>кт сдачи-приемки оказанных услуг в течение 14 (четырнадцати) календарных дней, услуги считаются принятыми заявителем.</w:t>
      </w:r>
    </w:p>
    <w:p w14:paraId="73920935" w14:textId="77777777" w:rsidR="001333B2" w:rsidRPr="00AD67C2" w:rsidRDefault="001333B2" w:rsidP="00AD67C2">
      <w:pPr>
        <w:widowControl w:val="0"/>
        <w:numPr>
          <w:ilvl w:val="1"/>
          <w:numId w:val="310"/>
        </w:numPr>
        <w:tabs>
          <w:tab w:val="left" w:pos="1077"/>
        </w:tabs>
        <w:suppressAutoHyphens w:val="0"/>
        <w:spacing w:before="120" w:after="120" w:line="259" w:lineRule="auto"/>
        <w:ind w:left="0" w:firstLine="601"/>
        <w:jc w:val="both"/>
        <w:outlineLvl w:val="1"/>
        <w:rPr>
          <w:rFonts w:ascii="Garamond" w:eastAsia="Calibri" w:hAnsi="Garamond" w:cs="Times New Roman"/>
          <w:bCs/>
          <w:sz w:val="22"/>
          <w:szCs w:val="22"/>
          <w:lang w:eastAsia="en-US"/>
        </w:rPr>
      </w:pPr>
      <w:bookmarkStart w:id="51" w:name="_Ref149302018"/>
      <w:r w:rsidRPr="00353322">
        <w:rPr>
          <w:rFonts w:ascii="Garamond" w:eastAsia="Calibri" w:hAnsi="Garamond" w:cs="Times New Roman"/>
          <w:bCs/>
          <w:sz w:val="22"/>
          <w:szCs w:val="22"/>
          <w:lang w:eastAsia="en-US"/>
        </w:rPr>
        <w:t>После регистрации КО документов, предоставленных заявителем в целях устранения замечаний в порядке, установленном</w:t>
      </w:r>
      <w:r w:rsidRPr="00AD67C2">
        <w:rPr>
          <w:rFonts w:ascii="Garamond" w:eastAsia="Calibri" w:hAnsi="Garamond" w:cs="Times New Roman"/>
          <w:bCs/>
          <w:sz w:val="22"/>
          <w:szCs w:val="22"/>
          <w:lang w:eastAsia="en-US"/>
        </w:rPr>
        <w:t xml:space="preserve"> п. </w:t>
      </w:r>
      <w:r w:rsidRPr="00AD67C2">
        <w:rPr>
          <w:rFonts w:ascii="Garamond" w:eastAsia="Calibri" w:hAnsi="Garamond" w:cs="Times New Roman"/>
          <w:bCs/>
          <w:sz w:val="22"/>
          <w:szCs w:val="22"/>
          <w:lang w:eastAsia="en-US"/>
        </w:rPr>
        <w:fldChar w:fldCharType="begin"/>
      </w:r>
      <w:r w:rsidRPr="00AD67C2">
        <w:rPr>
          <w:rFonts w:ascii="Garamond" w:eastAsia="Calibri" w:hAnsi="Garamond" w:cs="Times New Roman"/>
          <w:bCs/>
          <w:sz w:val="22"/>
          <w:szCs w:val="22"/>
          <w:lang w:eastAsia="en-US"/>
        </w:rPr>
        <w:instrText xml:space="preserve"> REF _Ref149301759 \r \h  \* MERGEFORMAT </w:instrText>
      </w:r>
      <w:r w:rsidRPr="00AD67C2">
        <w:rPr>
          <w:rFonts w:ascii="Garamond" w:eastAsia="Calibri" w:hAnsi="Garamond" w:cs="Times New Roman"/>
          <w:bCs/>
          <w:sz w:val="22"/>
          <w:szCs w:val="22"/>
          <w:lang w:eastAsia="en-US"/>
        </w:rPr>
      </w:r>
      <w:r w:rsidRPr="00AD67C2">
        <w:rPr>
          <w:rFonts w:ascii="Garamond" w:eastAsia="Calibri" w:hAnsi="Garamond" w:cs="Times New Roman"/>
          <w:bCs/>
          <w:sz w:val="22"/>
          <w:szCs w:val="22"/>
          <w:lang w:eastAsia="en-US"/>
        </w:rPr>
        <w:fldChar w:fldCharType="separate"/>
      </w:r>
      <w:r w:rsidRPr="00AD67C2">
        <w:rPr>
          <w:rFonts w:ascii="Garamond" w:eastAsia="Calibri" w:hAnsi="Garamond" w:cs="Times New Roman"/>
          <w:bCs/>
          <w:sz w:val="22"/>
          <w:szCs w:val="22"/>
          <w:lang w:eastAsia="en-US"/>
        </w:rPr>
        <w:t>3.11</w:t>
      </w:r>
      <w:r w:rsidRPr="00AD67C2">
        <w:rPr>
          <w:rFonts w:ascii="Garamond" w:eastAsia="Calibri" w:hAnsi="Garamond" w:cs="Times New Roman"/>
          <w:bCs/>
          <w:sz w:val="22"/>
          <w:szCs w:val="22"/>
          <w:lang w:eastAsia="en-US"/>
        </w:rPr>
        <w:fldChar w:fldCharType="end"/>
      </w:r>
      <w:r w:rsidRPr="00AD67C2">
        <w:rPr>
          <w:rFonts w:ascii="Garamond" w:eastAsia="Calibri" w:hAnsi="Garamond" w:cs="Times New Roman"/>
          <w:bCs/>
          <w:sz w:val="22"/>
          <w:szCs w:val="22"/>
          <w:lang w:eastAsia="en-US"/>
        </w:rPr>
        <w:t xml:space="preserve"> настоящего приложения, КО выполняет следующие действия:</w:t>
      </w:r>
      <w:bookmarkEnd w:id="51"/>
    </w:p>
    <w:p w14:paraId="44782286" w14:textId="77777777" w:rsidR="001333B2" w:rsidRPr="00AD67C2" w:rsidRDefault="001333B2" w:rsidP="00AD67C2">
      <w:pPr>
        <w:pStyle w:val="affff3"/>
        <w:numPr>
          <w:ilvl w:val="1"/>
          <w:numId w:val="295"/>
        </w:numPr>
        <w:tabs>
          <w:tab w:val="left" w:pos="1134"/>
        </w:tabs>
        <w:ind w:left="0" w:firstLine="601"/>
        <w:rPr>
          <w:rFonts w:eastAsiaTheme="minorHAnsi" w:cstheme="minorBidi"/>
        </w:rPr>
      </w:pPr>
      <w:r w:rsidRPr="00AD67C2">
        <w:rPr>
          <w:rFonts w:eastAsiaTheme="minorHAnsi" w:cstheme="minorBidi"/>
        </w:rPr>
        <w:lastRenderedPageBreak/>
        <w:t>проводит проверку соответствия реквизитов макета 60001 (значение id-</w:t>
      </w:r>
      <w:r w:rsidRPr="00214E53">
        <w:rPr>
          <w:rFonts w:eastAsiaTheme="minorHAnsi" w:cstheme="minorBidi"/>
        </w:rPr>
        <w:t xml:space="preserve">файла) </w:t>
      </w:r>
      <w:r w:rsidR="00264495" w:rsidRPr="00214E53">
        <w:rPr>
          <w:rFonts w:eastAsiaTheme="minorHAnsi" w:cstheme="minorBidi"/>
        </w:rPr>
        <w:t xml:space="preserve">(при наличии) </w:t>
      </w:r>
      <w:r w:rsidRPr="00214E53">
        <w:rPr>
          <w:rFonts w:eastAsiaTheme="minorHAnsi" w:cstheme="minorBidi"/>
        </w:rPr>
        <w:t>иным документам комплекта, в том числе заявлению, в порядке и сроки, указанные в п.</w:t>
      </w:r>
      <w:r w:rsidRPr="00AD67C2">
        <w:rPr>
          <w:rFonts w:eastAsiaTheme="minorHAnsi" w:cstheme="minorBidi"/>
        </w:rPr>
        <w:t xml:space="preserve"> </w:t>
      </w:r>
      <w:r w:rsidRPr="00AD67C2">
        <w:rPr>
          <w:rFonts w:eastAsiaTheme="minorHAnsi" w:cstheme="minorBidi"/>
        </w:rPr>
        <w:fldChar w:fldCharType="begin"/>
      </w:r>
      <w:r w:rsidRPr="00AD67C2">
        <w:rPr>
          <w:rFonts w:eastAsiaTheme="minorHAnsi" w:cstheme="minorBidi"/>
        </w:rPr>
        <w:instrText xml:space="preserve"> REF _Ref149304286 \r \h  \* MERGEFORMAT </w:instrText>
      </w:r>
      <w:r w:rsidRPr="00AD67C2">
        <w:rPr>
          <w:rFonts w:eastAsiaTheme="minorHAnsi" w:cstheme="minorBidi"/>
        </w:rPr>
      </w:r>
      <w:r w:rsidRPr="00AD67C2">
        <w:rPr>
          <w:rFonts w:eastAsiaTheme="minorHAnsi" w:cstheme="minorBidi"/>
        </w:rPr>
        <w:fldChar w:fldCharType="separate"/>
      </w:r>
      <w:r w:rsidRPr="00AD67C2">
        <w:rPr>
          <w:rFonts w:eastAsiaTheme="minorHAnsi" w:cstheme="minorBidi"/>
        </w:rPr>
        <w:t>3.3</w:t>
      </w:r>
      <w:r w:rsidRPr="00AD67C2">
        <w:rPr>
          <w:rFonts w:eastAsiaTheme="minorHAnsi" w:cstheme="minorBidi"/>
        </w:rPr>
        <w:fldChar w:fldCharType="end"/>
      </w:r>
      <w:r w:rsidRPr="00AD67C2">
        <w:rPr>
          <w:rFonts w:eastAsiaTheme="minorHAnsi" w:cstheme="minorBidi"/>
        </w:rPr>
        <w:t xml:space="preserve"> настоящего </w:t>
      </w:r>
      <w:r w:rsidR="00264495" w:rsidRPr="00AD67C2">
        <w:t>приложения</w:t>
      </w:r>
      <w:r w:rsidRPr="00AD67C2">
        <w:rPr>
          <w:rFonts w:eastAsiaTheme="minorHAnsi" w:cstheme="minorBidi"/>
        </w:rPr>
        <w:t>;</w:t>
      </w:r>
    </w:p>
    <w:p w14:paraId="4FD15AA7" w14:textId="77777777" w:rsidR="001333B2" w:rsidRPr="00AD67C2" w:rsidRDefault="002A169F" w:rsidP="00AD67C2">
      <w:pPr>
        <w:pStyle w:val="affff3"/>
        <w:numPr>
          <w:ilvl w:val="1"/>
          <w:numId w:val="295"/>
        </w:numPr>
        <w:tabs>
          <w:tab w:val="left" w:pos="1134"/>
        </w:tabs>
        <w:ind w:left="0" w:firstLine="601"/>
        <w:rPr>
          <w:rFonts w:eastAsiaTheme="minorHAnsi" w:cstheme="minorBidi"/>
        </w:rPr>
      </w:pPr>
      <w:r w:rsidRPr="00AD67C2">
        <w:t xml:space="preserve">в случае </w:t>
      </w:r>
      <w:r w:rsidRPr="00214E53">
        <w:t xml:space="preserve">наличия в составе замечаний КО, в целях устранения которых направлен комплект документов, замечания о необходимости оплаты услуги КО по процедуре регистрации объекта регулирования, выполняет проверку оплаты соответствующей услуги КО в порядке и сроки, указанные в п. </w:t>
      </w:r>
      <w:r w:rsidRPr="00214E53">
        <w:fldChar w:fldCharType="begin"/>
      </w:r>
      <w:r w:rsidRPr="00214E53">
        <w:instrText xml:space="preserve"> REF _Ref149304286 \r \h  \* MERGEFORMAT </w:instrText>
      </w:r>
      <w:r w:rsidRPr="00214E53">
        <w:fldChar w:fldCharType="separate"/>
      </w:r>
      <w:r w:rsidRPr="00214E53">
        <w:t>3.3</w:t>
      </w:r>
      <w:r w:rsidRPr="00214E53">
        <w:fldChar w:fldCharType="end"/>
      </w:r>
      <w:r w:rsidRPr="00214E53">
        <w:t xml:space="preserve"> настоящего приложения</w:t>
      </w:r>
      <w:r w:rsidR="001333B2" w:rsidRPr="00AD67C2">
        <w:rPr>
          <w:rFonts w:eastAsiaTheme="minorHAnsi" w:cstheme="minorBidi"/>
        </w:rPr>
        <w:t>;</w:t>
      </w:r>
    </w:p>
    <w:p w14:paraId="2D8F88B1" w14:textId="61174DC3" w:rsidR="001333B2" w:rsidRPr="00AD67C2" w:rsidRDefault="001333B2" w:rsidP="00AD67C2">
      <w:pPr>
        <w:pStyle w:val="affff3"/>
        <w:numPr>
          <w:ilvl w:val="1"/>
          <w:numId w:val="295"/>
        </w:numPr>
        <w:tabs>
          <w:tab w:val="left" w:pos="1134"/>
        </w:tabs>
        <w:ind w:left="0" w:firstLine="601"/>
        <w:rPr>
          <w:rFonts w:eastAsiaTheme="minorHAnsi" w:cstheme="minorBidi"/>
        </w:rPr>
      </w:pPr>
      <w:r w:rsidRPr="00AD67C2">
        <w:rPr>
          <w:rFonts w:eastAsiaTheme="minorHAnsi" w:cstheme="minorBidi"/>
        </w:rPr>
        <w:t xml:space="preserve">в случае наличия в составе комплекта документов, предоставленного заявителем в соответствии с настоящим пунктом, ответной квитанции (макет 60001) и (или) графической электронной копии однолинейной схемы присоединения оборудования объекта регулирования к внешней электрической сети и (или) в случае наличия в составе замечаний КО, в целях устранения которых направлен комплект документов, отрицательного результата процедуры кодирования объекта регулирования, КО в срок не более 2 (двух) рабочих дней начинает процедуру кодирования в отношении объекта регулирования, а также процедуру подтверждения соответствия системы учета техническим требованиям оптового рынка. Процедуры кодирования и подтверждения соответствия системы учета техническим требованиям оптового рынка проводятся в порядке и сроки, указанные в </w:t>
      </w:r>
      <w:r w:rsidR="00214E53">
        <w:rPr>
          <w:rFonts w:eastAsiaTheme="minorHAnsi" w:cstheme="minorBidi"/>
        </w:rPr>
        <w:t>п</w:t>
      </w:r>
      <w:r w:rsidRPr="00AD67C2">
        <w:rPr>
          <w:rFonts w:eastAsiaTheme="minorHAnsi" w:cstheme="minorBidi"/>
        </w:rPr>
        <w:t xml:space="preserve">п. </w:t>
      </w:r>
      <w:r w:rsidRPr="00AD67C2">
        <w:rPr>
          <w:rFonts w:eastAsiaTheme="minorHAnsi" w:cstheme="minorBidi"/>
        </w:rPr>
        <w:fldChar w:fldCharType="begin"/>
      </w:r>
      <w:r w:rsidRPr="00AD67C2">
        <w:rPr>
          <w:rFonts w:eastAsiaTheme="minorHAnsi" w:cstheme="minorBidi"/>
        </w:rPr>
        <w:instrText xml:space="preserve"> REF _Ref149320909 \r \h  \* MERGEFORMAT </w:instrText>
      </w:r>
      <w:r w:rsidRPr="00AD67C2">
        <w:rPr>
          <w:rFonts w:eastAsiaTheme="minorHAnsi" w:cstheme="minorBidi"/>
        </w:rPr>
      </w:r>
      <w:r w:rsidRPr="00AD67C2">
        <w:rPr>
          <w:rFonts w:eastAsiaTheme="minorHAnsi" w:cstheme="minorBidi"/>
        </w:rPr>
        <w:fldChar w:fldCharType="separate"/>
      </w:r>
      <w:r w:rsidRPr="00AD67C2">
        <w:rPr>
          <w:rFonts w:eastAsiaTheme="minorHAnsi" w:cstheme="minorBidi"/>
        </w:rPr>
        <w:t>3.6</w:t>
      </w:r>
      <w:r w:rsidRPr="00AD67C2">
        <w:rPr>
          <w:rFonts w:eastAsiaTheme="minorHAnsi" w:cstheme="minorBidi"/>
        </w:rPr>
        <w:fldChar w:fldCharType="end"/>
      </w:r>
      <w:r w:rsidRPr="00AD67C2">
        <w:rPr>
          <w:rFonts w:eastAsiaTheme="minorHAnsi" w:cstheme="minorBidi"/>
        </w:rPr>
        <w:t xml:space="preserve"> и </w:t>
      </w:r>
      <w:r w:rsidRPr="00AD67C2">
        <w:rPr>
          <w:rFonts w:eastAsiaTheme="minorHAnsi" w:cstheme="minorBidi"/>
        </w:rPr>
        <w:fldChar w:fldCharType="begin"/>
      </w:r>
      <w:r w:rsidRPr="00AD67C2">
        <w:rPr>
          <w:rFonts w:eastAsiaTheme="minorHAnsi" w:cstheme="minorBidi"/>
        </w:rPr>
        <w:instrText xml:space="preserve"> REF _Ref149308388 \r \h  \* MERGEFORMAT </w:instrText>
      </w:r>
      <w:r w:rsidRPr="00AD67C2">
        <w:rPr>
          <w:rFonts w:eastAsiaTheme="minorHAnsi" w:cstheme="minorBidi"/>
        </w:rPr>
      </w:r>
      <w:r w:rsidRPr="00AD67C2">
        <w:rPr>
          <w:rFonts w:eastAsiaTheme="minorHAnsi" w:cstheme="minorBidi"/>
        </w:rPr>
        <w:fldChar w:fldCharType="separate"/>
      </w:r>
      <w:r w:rsidRPr="00AD67C2">
        <w:rPr>
          <w:rFonts w:eastAsiaTheme="minorHAnsi" w:cstheme="minorBidi"/>
        </w:rPr>
        <w:t>3.8</w:t>
      </w:r>
      <w:r w:rsidRPr="00AD67C2">
        <w:rPr>
          <w:rFonts w:eastAsiaTheme="minorHAnsi" w:cstheme="minorBidi"/>
        </w:rPr>
        <w:fldChar w:fldCharType="end"/>
      </w:r>
      <w:r w:rsidRPr="00AD67C2">
        <w:rPr>
          <w:rFonts w:eastAsiaTheme="minorHAnsi" w:cstheme="minorBidi"/>
        </w:rPr>
        <w:t xml:space="preserve"> настоящего приложения соответственно;</w:t>
      </w:r>
    </w:p>
    <w:p w14:paraId="767BC7D6" w14:textId="5800107E" w:rsidR="001333B2" w:rsidRPr="00AD67C2" w:rsidRDefault="001333B2" w:rsidP="00AD67C2">
      <w:pPr>
        <w:pStyle w:val="affff3"/>
        <w:numPr>
          <w:ilvl w:val="1"/>
          <w:numId w:val="295"/>
        </w:numPr>
        <w:tabs>
          <w:tab w:val="left" w:pos="1134"/>
        </w:tabs>
        <w:ind w:left="0" w:firstLine="601"/>
        <w:rPr>
          <w:rFonts w:eastAsiaTheme="minorHAnsi" w:cstheme="minorBidi"/>
        </w:rPr>
      </w:pPr>
      <w:r w:rsidRPr="00AD67C2">
        <w:rPr>
          <w:rFonts w:eastAsiaTheme="minorHAnsi" w:cstheme="minorBidi"/>
        </w:rPr>
        <w:t>в случае наличия в составе комплекта документов, предоставленного заявителем в соответствии с настоящим пунктом</w:t>
      </w:r>
      <w:r w:rsidR="00214E53">
        <w:rPr>
          <w:rFonts w:eastAsiaTheme="minorHAnsi" w:cstheme="minorBidi"/>
        </w:rPr>
        <w:t>,</w:t>
      </w:r>
      <w:r w:rsidRPr="00AD67C2">
        <w:rPr>
          <w:rFonts w:eastAsiaTheme="minorHAnsi" w:cstheme="minorBidi"/>
        </w:rPr>
        <w:t xml:space="preserve"> заявления на проведение повторных испытаний и отсутстви</w:t>
      </w:r>
      <w:r w:rsidR="008800D7">
        <w:rPr>
          <w:rFonts w:eastAsiaTheme="minorHAnsi" w:cstheme="minorBidi"/>
        </w:rPr>
        <w:t>я</w:t>
      </w:r>
      <w:r w:rsidRPr="00AD67C2">
        <w:rPr>
          <w:rFonts w:eastAsiaTheme="minorHAnsi" w:cstheme="minorBidi"/>
        </w:rPr>
        <w:t xml:space="preserve"> оснований у КО для проведения проверок в соответствии с подпунктом «в» настоящего пункта, КО в срок не более 2 (двух) рабочих дней начинает процедуру проведения испытаний системы учета объекта регулирования в порядке и сроки, указанные в п. </w:t>
      </w:r>
      <w:r w:rsidRPr="00AD67C2">
        <w:rPr>
          <w:rFonts w:eastAsiaTheme="minorHAnsi" w:cstheme="minorBidi"/>
        </w:rPr>
        <w:fldChar w:fldCharType="begin"/>
      </w:r>
      <w:r w:rsidRPr="00AD67C2">
        <w:rPr>
          <w:rFonts w:eastAsiaTheme="minorHAnsi" w:cstheme="minorBidi"/>
        </w:rPr>
        <w:instrText xml:space="preserve"> REF _Ref149308552 \r \h  \* MERGEFORMAT </w:instrText>
      </w:r>
      <w:r w:rsidRPr="00AD67C2">
        <w:rPr>
          <w:rFonts w:eastAsiaTheme="minorHAnsi" w:cstheme="minorBidi"/>
        </w:rPr>
      </w:r>
      <w:r w:rsidRPr="00AD67C2">
        <w:rPr>
          <w:rFonts w:eastAsiaTheme="minorHAnsi" w:cstheme="minorBidi"/>
        </w:rPr>
        <w:fldChar w:fldCharType="separate"/>
      </w:r>
      <w:r w:rsidRPr="00AD67C2">
        <w:rPr>
          <w:rFonts w:eastAsiaTheme="minorHAnsi" w:cstheme="minorBidi"/>
        </w:rPr>
        <w:t>3.8.2</w:t>
      </w:r>
      <w:r w:rsidRPr="00AD67C2">
        <w:rPr>
          <w:rFonts w:eastAsiaTheme="minorHAnsi" w:cstheme="minorBidi"/>
        </w:rPr>
        <w:fldChar w:fldCharType="end"/>
      </w:r>
      <w:r w:rsidRPr="00AD67C2">
        <w:rPr>
          <w:rFonts w:eastAsiaTheme="minorHAnsi" w:cstheme="minorBidi"/>
        </w:rPr>
        <w:t xml:space="preserve"> настоящего приложения;</w:t>
      </w:r>
    </w:p>
    <w:p w14:paraId="05AE5F45" w14:textId="60B94BB9" w:rsidR="001333B2" w:rsidRPr="00AD67C2" w:rsidRDefault="001333B2" w:rsidP="00AD67C2">
      <w:pPr>
        <w:pStyle w:val="affff3"/>
        <w:numPr>
          <w:ilvl w:val="1"/>
          <w:numId w:val="295"/>
        </w:numPr>
        <w:tabs>
          <w:tab w:val="left" w:pos="1134"/>
        </w:tabs>
        <w:ind w:left="0" w:firstLine="601"/>
        <w:rPr>
          <w:rFonts w:eastAsiaTheme="minorHAnsi" w:cstheme="minorBidi"/>
        </w:rPr>
      </w:pPr>
      <w:r w:rsidRPr="00AD67C2">
        <w:rPr>
          <w:rFonts w:eastAsiaTheme="minorHAnsi" w:cstheme="minorBidi"/>
        </w:rPr>
        <w:t>в срок не более 2 (двух) рабочих дней начинает процедуру проверки документов заявите</w:t>
      </w:r>
      <w:r w:rsidR="00214E53">
        <w:rPr>
          <w:rFonts w:eastAsiaTheme="minorHAnsi" w:cstheme="minorBidi"/>
        </w:rPr>
        <w:t>ля в </w:t>
      </w:r>
      <w:r w:rsidRPr="00AD67C2">
        <w:rPr>
          <w:rFonts w:eastAsiaTheme="minorHAnsi" w:cstheme="minorBidi"/>
        </w:rPr>
        <w:t xml:space="preserve">порядке и сроки, указанные в п. </w:t>
      </w:r>
      <w:r w:rsidRPr="00AD67C2">
        <w:rPr>
          <w:rFonts w:eastAsiaTheme="minorHAnsi" w:cstheme="minorBidi"/>
        </w:rPr>
        <w:fldChar w:fldCharType="begin"/>
      </w:r>
      <w:r w:rsidRPr="00AD67C2">
        <w:rPr>
          <w:rFonts w:eastAsiaTheme="minorHAnsi" w:cstheme="minorBidi"/>
        </w:rPr>
        <w:instrText xml:space="preserve"> REF _Ref149322479 \r \h  \* MERGEFORMAT </w:instrText>
      </w:r>
      <w:r w:rsidRPr="00AD67C2">
        <w:rPr>
          <w:rFonts w:eastAsiaTheme="minorHAnsi" w:cstheme="minorBidi"/>
        </w:rPr>
      </w:r>
      <w:r w:rsidRPr="00AD67C2">
        <w:rPr>
          <w:rFonts w:eastAsiaTheme="minorHAnsi" w:cstheme="minorBidi"/>
        </w:rPr>
        <w:fldChar w:fldCharType="separate"/>
      </w:r>
      <w:r w:rsidRPr="00AD67C2">
        <w:rPr>
          <w:rFonts w:eastAsiaTheme="minorHAnsi" w:cstheme="minorBidi"/>
        </w:rPr>
        <w:t>3.5</w:t>
      </w:r>
      <w:r w:rsidRPr="00AD67C2">
        <w:rPr>
          <w:rFonts w:eastAsiaTheme="minorHAnsi" w:cstheme="minorBidi"/>
        </w:rPr>
        <w:fldChar w:fldCharType="end"/>
      </w:r>
      <w:r w:rsidRPr="00AD67C2">
        <w:rPr>
          <w:rFonts w:eastAsiaTheme="minorHAnsi" w:cstheme="minorBidi"/>
        </w:rPr>
        <w:t xml:space="preserve"> настоящего приложения;</w:t>
      </w:r>
    </w:p>
    <w:p w14:paraId="0D899DBB" w14:textId="4B025E25" w:rsidR="001333B2" w:rsidRPr="00AD67C2" w:rsidRDefault="001333B2" w:rsidP="00AD67C2">
      <w:pPr>
        <w:pStyle w:val="affff3"/>
        <w:numPr>
          <w:ilvl w:val="1"/>
          <w:numId w:val="295"/>
        </w:numPr>
        <w:tabs>
          <w:tab w:val="left" w:pos="1134"/>
        </w:tabs>
        <w:ind w:left="0" w:firstLine="601"/>
        <w:rPr>
          <w:rFonts w:eastAsiaTheme="minorHAnsi" w:cstheme="minorBidi"/>
        </w:rPr>
      </w:pPr>
      <w:r w:rsidRPr="00AD67C2">
        <w:rPr>
          <w:rFonts w:eastAsiaTheme="minorHAnsi" w:cstheme="minorBidi"/>
        </w:rPr>
        <w:t xml:space="preserve">в случае завершения с положительным результатом процедуры кодирования, проведенной в соответствии с подп. «в» настоящего пункта, КО проводит проверку предоставленного заявителем ПСИ и расчет учетного показателя в порядке и сроки, указанные в п. </w:t>
      </w:r>
      <w:r w:rsidRPr="00AD67C2">
        <w:rPr>
          <w:rFonts w:eastAsiaTheme="minorHAnsi" w:cstheme="minorBidi"/>
        </w:rPr>
        <w:fldChar w:fldCharType="begin"/>
      </w:r>
      <w:r w:rsidRPr="00AD67C2">
        <w:rPr>
          <w:rFonts w:eastAsiaTheme="minorHAnsi" w:cstheme="minorBidi"/>
        </w:rPr>
        <w:instrText xml:space="preserve"> REF _Ref149322519 \r \h  \* MERGEFORMAT </w:instrText>
      </w:r>
      <w:r w:rsidRPr="00AD67C2">
        <w:rPr>
          <w:rFonts w:eastAsiaTheme="minorHAnsi" w:cstheme="minorBidi"/>
        </w:rPr>
      </w:r>
      <w:r w:rsidRPr="00AD67C2">
        <w:rPr>
          <w:rFonts w:eastAsiaTheme="minorHAnsi" w:cstheme="minorBidi"/>
        </w:rPr>
        <w:fldChar w:fldCharType="separate"/>
      </w:r>
      <w:r w:rsidRPr="00AD67C2">
        <w:rPr>
          <w:rFonts w:eastAsiaTheme="minorHAnsi" w:cstheme="minorBidi"/>
        </w:rPr>
        <w:t>3.7</w:t>
      </w:r>
      <w:r w:rsidRPr="00AD67C2">
        <w:rPr>
          <w:rFonts w:eastAsiaTheme="minorHAnsi" w:cstheme="minorBidi"/>
        </w:rPr>
        <w:fldChar w:fldCharType="end"/>
      </w:r>
      <w:r w:rsidRPr="00AD67C2">
        <w:rPr>
          <w:rFonts w:eastAsiaTheme="minorHAnsi" w:cstheme="minorBidi"/>
        </w:rPr>
        <w:t xml:space="preserve"> настоящего приложения</w:t>
      </w:r>
      <w:r w:rsidR="00214E53">
        <w:rPr>
          <w:rFonts w:eastAsiaTheme="minorHAnsi" w:cstheme="minorBidi"/>
        </w:rPr>
        <w:t>.</w:t>
      </w:r>
    </w:p>
    <w:p w14:paraId="7374C33B" w14:textId="2209E790" w:rsidR="001333B2" w:rsidRPr="00AD67C2" w:rsidRDefault="001333B2" w:rsidP="00AD67C2">
      <w:pPr>
        <w:widowControl w:val="0"/>
        <w:tabs>
          <w:tab w:val="left" w:pos="1077"/>
        </w:tabs>
        <w:suppressAutoHyphens w:val="0"/>
        <w:spacing w:before="120" w:after="120"/>
        <w:ind w:firstLine="601"/>
        <w:jc w:val="both"/>
        <w:rPr>
          <w:rFonts w:ascii="Garamond" w:eastAsia="Calibri" w:hAnsi="Garamond" w:cs="Times New Roman"/>
          <w:bCs/>
          <w:sz w:val="22"/>
          <w:szCs w:val="22"/>
          <w:lang w:eastAsia="en-US"/>
        </w:rPr>
      </w:pPr>
      <w:r w:rsidRPr="00AD67C2">
        <w:rPr>
          <w:rFonts w:ascii="Garamond" w:eastAsia="Calibri" w:hAnsi="Garamond" w:cs="Times New Roman"/>
          <w:bCs/>
          <w:sz w:val="22"/>
          <w:szCs w:val="22"/>
          <w:lang w:eastAsia="en-US"/>
        </w:rPr>
        <w:t xml:space="preserve">В случае отсутствия в составе комплекта документов, предоставленного заявителем в соответствии с настоящим пунктом, ответной квитанции (макет 60001) и наличия в составе замечаний КО, в целях устранения которых направлен комплект документов, отрицательного результата расчета учетного показателя и (или) экспертизы ПСИ, КО в срок не более 2 (двух) рабочих дней с даты регистрации документов приступает к проверке ранее предоставленного заявителем ПСИ и расчету учетного показателя, которые проводятся в порядке и сроки, указанные в п. </w:t>
      </w:r>
      <w:r w:rsidRPr="00AD67C2">
        <w:rPr>
          <w:rFonts w:ascii="Garamond" w:eastAsia="Calibri" w:hAnsi="Garamond" w:cs="Times New Roman"/>
          <w:bCs/>
          <w:sz w:val="22"/>
          <w:szCs w:val="22"/>
          <w:lang w:eastAsia="en-US"/>
        </w:rPr>
        <w:fldChar w:fldCharType="begin"/>
      </w:r>
      <w:r w:rsidRPr="00AD67C2">
        <w:rPr>
          <w:rFonts w:ascii="Garamond" w:eastAsia="Calibri" w:hAnsi="Garamond" w:cs="Times New Roman"/>
          <w:bCs/>
          <w:sz w:val="22"/>
          <w:szCs w:val="22"/>
          <w:lang w:eastAsia="en-US"/>
        </w:rPr>
        <w:instrText xml:space="preserve"> REF _Ref149322519 \r \h  \* MERGEFORMAT </w:instrText>
      </w:r>
      <w:r w:rsidRPr="00AD67C2">
        <w:rPr>
          <w:rFonts w:ascii="Garamond" w:eastAsia="Calibri" w:hAnsi="Garamond" w:cs="Times New Roman"/>
          <w:bCs/>
          <w:sz w:val="22"/>
          <w:szCs w:val="22"/>
          <w:lang w:eastAsia="en-US"/>
        </w:rPr>
      </w:r>
      <w:r w:rsidRPr="00AD67C2">
        <w:rPr>
          <w:rFonts w:ascii="Garamond" w:eastAsia="Calibri" w:hAnsi="Garamond" w:cs="Times New Roman"/>
          <w:bCs/>
          <w:sz w:val="22"/>
          <w:szCs w:val="22"/>
          <w:lang w:eastAsia="en-US"/>
        </w:rPr>
        <w:fldChar w:fldCharType="separate"/>
      </w:r>
      <w:r w:rsidRPr="00AD67C2">
        <w:rPr>
          <w:rFonts w:ascii="Garamond" w:eastAsia="Calibri" w:hAnsi="Garamond" w:cs="Times New Roman"/>
          <w:bCs/>
          <w:sz w:val="22"/>
          <w:szCs w:val="22"/>
          <w:lang w:eastAsia="en-US"/>
        </w:rPr>
        <w:t>3.7</w:t>
      </w:r>
      <w:r w:rsidRPr="00AD67C2">
        <w:rPr>
          <w:rFonts w:ascii="Garamond" w:eastAsia="Calibri" w:hAnsi="Garamond" w:cs="Times New Roman"/>
          <w:bCs/>
          <w:sz w:val="22"/>
          <w:szCs w:val="22"/>
          <w:lang w:eastAsia="en-US"/>
        </w:rPr>
        <w:fldChar w:fldCharType="end"/>
      </w:r>
      <w:r w:rsidRPr="00AD67C2">
        <w:rPr>
          <w:rFonts w:ascii="Garamond" w:eastAsia="Calibri" w:hAnsi="Garamond" w:cs="Times New Roman"/>
          <w:bCs/>
          <w:sz w:val="22"/>
          <w:szCs w:val="22"/>
          <w:lang w:eastAsia="en-US"/>
        </w:rPr>
        <w:t xml:space="preserve"> настоящего </w:t>
      </w:r>
      <w:r w:rsidR="00B47A5A">
        <w:rPr>
          <w:rFonts w:ascii="Garamond" w:eastAsia="Calibri" w:hAnsi="Garamond" w:cs="Times New Roman"/>
          <w:bCs/>
          <w:sz w:val="22"/>
          <w:szCs w:val="22"/>
          <w:lang w:eastAsia="en-US"/>
        </w:rPr>
        <w:t>приложения</w:t>
      </w:r>
      <w:r w:rsidRPr="00AD67C2">
        <w:rPr>
          <w:rFonts w:ascii="Garamond" w:eastAsia="Calibri" w:hAnsi="Garamond" w:cs="Times New Roman"/>
          <w:bCs/>
          <w:sz w:val="22"/>
          <w:szCs w:val="22"/>
          <w:lang w:eastAsia="en-US"/>
        </w:rPr>
        <w:t>;</w:t>
      </w:r>
    </w:p>
    <w:p w14:paraId="6172A664" w14:textId="05B7CC61" w:rsidR="001333B2" w:rsidRPr="00AD67C2" w:rsidRDefault="001333B2" w:rsidP="00AD67C2">
      <w:pPr>
        <w:pStyle w:val="affff3"/>
        <w:numPr>
          <w:ilvl w:val="1"/>
          <w:numId w:val="295"/>
        </w:numPr>
        <w:tabs>
          <w:tab w:val="left" w:pos="1134"/>
        </w:tabs>
        <w:ind w:left="0" w:firstLine="601"/>
      </w:pPr>
      <w:r w:rsidRPr="00AD67C2">
        <w:t xml:space="preserve">направляет в адрес СО предоставленные заявителем документы (при наличии из перечисленных п. </w:t>
      </w:r>
      <w:r w:rsidRPr="00AD67C2">
        <w:fldChar w:fldCharType="begin"/>
      </w:r>
      <w:r w:rsidRPr="00AD67C2">
        <w:instrText xml:space="preserve"> REF _Ref149325220 \r \h  \* MERGEFORMAT </w:instrText>
      </w:r>
      <w:r w:rsidRPr="00AD67C2">
        <w:fldChar w:fldCharType="separate"/>
      </w:r>
      <w:r w:rsidRPr="00AD67C2">
        <w:t>3.4</w:t>
      </w:r>
      <w:r w:rsidRPr="00AD67C2">
        <w:fldChar w:fldCharType="end"/>
      </w:r>
      <w:r w:rsidRPr="00AD67C2">
        <w:t xml:space="preserve"> настоящего приложения) в течение 2 (двух) рабочих дней с даты завершения с положительным результатом проверок, проведенных в соответствии с </w:t>
      </w:r>
      <w:r w:rsidRPr="00AD67C2">
        <w:rPr>
          <w:rFonts w:eastAsiaTheme="minorHAnsi" w:cstheme="minorBidi"/>
        </w:rPr>
        <w:t>подп</w:t>
      </w:r>
      <w:r w:rsidRPr="00AD67C2">
        <w:t>. «а» и (или) «б» настоящего пункта</w:t>
      </w:r>
      <w:r w:rsidR="00485C11">
        <w:t>,</w:t>
      </w:r>
      <w:r w:rsidRPr="00AD67C2">
        <w:t xml:space="preserve"> либо в течение 2 (двух) рабочих дней с даты регистрации КО документов, предоставленных заявителем в целях устранения замечаний в порядке, установленном п. </w:t>
      </w:r>
      <w:r w:rsidRPr="00AD67C2">
        <w:fldChar w:fldCharType="begin"/>
      </w:r>
      <w:r w:rsidRPr="00AD67C2">
        <w:instrText xml:space="preserve"> REF _Ref149301759 \r \h  \* MERGEFORMAT </w:instrText>
      </w:r>
      <w:r w:rsidRPr="00AD67C2">
        <w:fldChar w:fldCharType="separate"/>
      </w:r>
      <w:r w:rsidRPr="00AD67C2">
        <w:t>3.11</w:t>
      </w:r>
      <w:r w:rsidRPr="00AD67C2">
        <w:fldChar w:fldCharType="end"/>
      </w:r>
      <w:r w:rsidRPr="00AD67C2">
        <w:t xml:space="preserve"> настоящего приложения, в случае если проверки</w:t>
      </w:r>
      <w:r w:rsidR="00485C11">
        <w:t>,</w:t>
      </w:r>
      <w:r w:rsidRPr="00AD67C2">
        <w:t xml:space="preserve"> указанные в подп. «а» и (или) «б» настоящего пункта</w:t>
      </w:r>
      <w:r w:rsidR="00485C11">
        <w:t>,</w:t>
      </w:r>
      <w:r w:rsidRPr="00AD67C2">
        <w:t xml:space="preserve"> не проводились.</w:t>
      </w:r>
    </w:p>
    <w:p w14:paraId="06664331" w14:textId="070721DF" w:rsidR="001333B2" w:rsidRPr="00AD67C2" w:rsidRDefault="001333B2" w:rsidP="00AD67C2">
      <w:pPr>
        <w:widowControl w:val="0"/>
        <w:numPr>
          <w:ilvl w:val="1"/>
          <w:numId w:val="310"/>
        </w:numPr>
        <w:tabs>
          <w:tab w:val="left" w:pos="1077"/>
        </w:tabs>
        <w:suppressAutoHyphens w:val="0"/>
        <w:spacing w:before="120" w:after="120" w:line="259" w:lineRule="auto"/>
        <w:ind w:left="0" w:firstLine="601"/>
        <w:jc w:val="both"/>
        <w:outlineLvl w:val="1"/>
        <w:rPr>
          <w:rFonts w:ascii="Garamond" w:eastAsia="Calibri" w:hAnsi="Garamond" w:cs="Times New Roman"/>
          <w:bCs/>
          <w:sz w:val="22"/>
          <w:szCs w:val="22"/>
          <w:lang w:eastAsia="en-US"/>
        </w:rPr>
      </w:pPr>
      <w:r w:rsidRPr="00AD67C2">
        <w:rPr>
          <w:rFonts w:ascii="Garamond" w:eastAsia="Calibri" w:hAnsi="Garamond" w:cs="Times New Roman"/>
          <w:bCs/>
          <w:sz w:val="22"/>
          <w:szCs w:val="22"/>
          <w:lang w:eastAsia="en-US"/>
        </w:rPr>
        <w:t>КО вправе отказать заявителю в регистрации объекта регулирования, если представленный к регистрации объект регулирования не соответствует требованиям Правил оптового рынка и настоящего Положения.</w:t>
      </w:r>
    </w:p>
    <w:p w14:paraId="1C2C61C1" w14:textId="77777777" w:rsidR="001333B2" w:rsidRPr="00AD67C2" w:rsidRDefault="001333B2" w:rsidP="00AD67C2">
      <w:pPr>
        <w:widowControl w:val="0"/>
        <w:numPr>
          <w:ilvl w:val="1"/>
          <w:numId w:val="310"/>
        </w:numPr>
        <w:tabs>
          <w:tab w:val="left" w:pos="1077"/>
        </w:tabs>
        <w:suppressAutoHyphens w:val="0"/>
        <w:spacing w:before="120" w:after="120" w:line="259" w:lineRule="auto"/>
        <w:ind w:left="0" w:firstLine="601"/>
        <w:jc w:val="both"/>
        <w:outlineLvl w:val="1"/>
        <w:rPr>
          <w:rFonts w:ascii="Garamond" w:eastAsia="Calibri" w:hAnsi="Garamond" w:cs="Times New Roman"/>
          <w:bCs/>
          <w:sz w:val="22"/>
          <w:szCs w:val="22"/>
          <w:lang w:eastAsia="en-US"/>
        </w:rPr>
      </w:pPr>
      <w:r w:rsidRPr="00AD67C2">
        <w:rPr>
          <w:rFonts w:ascii="Garamond" w:eastAsia="Calibri" w:hAnsi="Garamond" w:cs="Times New Roman"/>
          <w:bCs/>
          <w:sz w:val="22"/>
          <w:szCs w:val="22"/>
          <w:lang w:eastAsia="en-US"/>
        </w:rPr>
        <w:t>КО осуществляет передачу в ПСЗ соответствующих информационных статусов о состоянии комплекта документов заявителю после выполнения следующих процедур:</w:t>
      </w:r>
    </w:p>
    <w:p w14:paraId="6DAEF05E" w14:textId="77777777" w:rsidR="001333B2" w:rsidRPr="00AD67C2" w:rsidRDefault="001333B2" w:rsidP="00AD67C2">
      <w:pPr>
        <w:widowControl w:val="0"/>
        <w:numPr>
          <w:ilvl w:val="0"/>
          <w:numId w:val="318"/>
        </w:numPr>
        <w:tabs>
          <w:tab w:val="left" w:pos="851"/>
        </w:tabs>
        <w:suppressAutoHyphens w:val="0"/>
        <w:spacing w:before="120" w:after="120" w:line="259" w:lineRule="auto"/>
        <w:ind w:left="0" w:firstLine="601"/>
        <w:jc w:val="both"/>
        <w:rPr>
          <w:rFonts w:ascii="Garamond" w:eastAsia="Calibri" w:hAnsi="Garamond" w:cs="Times New Roman"/>
          <w:bCs/>
          <w:sz w:val="22"/>
          <w:szCs w:val="22"/>
          <w:lang w:eastAsia="en-US"/>
        </w:rPr>
      </w:pPr>
      <w:r w:rsidRPr="00AD67C2">
        <w:rPr>
          <w:rFonts w:ascii="Garamond" w:eastAsia="Calibri" w:hAnsi="Garamond" w:cs="Times New Roman"/>
          <w:bCs/>
          <w:sz w:val="22"/>
          <w:szCs w:val="22"/>
          <w:lang w:eastAsia="en-US"/>
        </w:rPr>
        <w:t>регистрации комплекта документов заявителя;</w:t>
      </w:r>
    </w:p>
    <w:p w14:paraId="6B483C62" w14:textId="77777777" w:rsidR="001333B2" w:rsidRPr="00AD67C2" w:rsidRDefault="001333B2" w:rsidP="00AD67C2">
      <w:pPr>
        <w:widowControl w:val="0"/>
        <w:numPr>
          <w:ilvl w:val="0"/>
          <w:numId w:val="318"/>
        </w:numPr>
        <w:tabs>
          <w:tab w:val="left" w:pos="851"/>
        </w:tabs>
        <w:suppressAutoHyphens w:val="0"/>
        <w:spacing w:before="120" w:after="120" w:line="259" w:lineRule="auto"/>
        <w:ind w:left="0" w:firstLine="601"/>
        <w:jc w:val="both"/>
        <w:rPr>
          <w:rFonts w:ascii="Garamond" w:eastAsia="Calibri" w:hAnsi="Garamond" w:cs="Times New Roman"/>
          <w:bCs/>
          <w:sz w:val="22"/>
          <w:szCs w:val="22"/>
          <w:lang w:eastAsia="en-US"/>
        </w:rPr>
      </w:pPr>
      <w:r w:rsidRPr="00AD67C2">
        <w:rPr>
          <w:rFonts w:ascii="Garamond" w:eastAsia="Calibri" w:hAnsi="Garamond" w:cs="Times New Roman"/>
          <w:bCs/>
          <w:sz w:val="22"/>
          <w:szCs w:val="22"/>
          <w:lang w:eastAsia="en-US"/>
        </w:rPr>
        <w:t xml:space="preserve">завершения с положительным или отрицательным результатом процедур, предусмотренных п. </w:t>
      </w:r>
      <w:r w:rsidRPr="00AD67C2">
        <w:rPr>
          <w:rFonts w:ascii="Garamond" w:eastAsia="Calibri" w:hAnsi="Garamond" w:cs="Times New Roman"/>
          <w:bCs/>
          <w:sz w:val="22"/>
          <w:szCs w:val="22"/>
          <w:lang w:eastAsia="en-US"/>
        </w:rPr>
        <w:fldChar w:fldCharType="begin"/>
      </w:r>
      <w:r w:rsidRPr="00AD67C2">
        <w:rPr>
          <w:rFonts w:ascii="Garamond" w:eastAsia="Calibri" w:hAnsi="Garamond" w:cs="Times New Roman"/>
          <w:bCs/>
          <w:sz w:val="22"/>
          <w:szCs w:val="22"/>
          <w:lang w:eastAsia="en-US"/>
        </w:rPr>
        <w:instrText xml:space="preserve"> REF _Ref149304286 \r \h  \* MERGEFORMAT </w:instrText>
      </w:r>
      <w:r w:rsidRPr="00AD67C2">
        <w:rPr>
          <w:rFonts w:ascii="Garamond" w:eastAsia="Calibri" w:hAnsi="Garamond" w:cs="Times New Roman"/>
          <w:bCs/>
          <w:sz w:val="22"/>
          <w:szCs w:val="22"/>
          <w:lang w:eastAsia="en-US"/>
        </w:rPr>
      </w:r>
      <w:r w:rsidRPr="00AD67C2">
        <w:rPr>
          <w:rFonts w:ascii="Garamond" w:eastAsia="Calibri" w:hAnsi="Garamond" w:cs="Times New Roman"/>
          <w:bCs/>
          <w:sz w:val="22"/>
          <w:szCs w:val="22"/>
          <w:lang w:eastAsia="en-US"/>
        </w:rPr>
        <w:fldChar w:fldCharType="separate"/>
      </w:r>
      <w:r w:rsidRPr="00AD67C2">
        <w:rPr>
          <w:rFonts w:ascii="Garamond" w:eastAsia="Calibri" w:hAnsi="Garamond" w:cs="Times New Roman"/>
          <w:bCs/>
          <w:sz w:val="22"/>
          <w:szCs w:val="22"/>
          <w:lang w:eastAsia="en-US"/>
        </w:rPr>
        <w:t>3.3</w:t>
      </w:r>
      <w:r w:rsidRPr="00AD67C2">
        <w:rPr>
          <w:rFonts w:ascii="Garamond" w:eastAsia="Calibri" w:hAnsi="Garamond" w:cs="Times New Roman"/>
          <w:bCs/>
          <w:sz w:val="22"/>
          <w:szCs w:val="22"/>
          <w:lang w:eastAsia="en-US"/>
        </w:rPr>
        <w:fldChar w:fldCharType="end"/>
      </w:r>
      <w:r w:rsidRPr="00AD67C2">
        <w:rPr>
          <w:rFonts w:ascii="Garamond" w:eastAsia="Calibri" w:hAnsi="Garamond" w:cs="Times New Roman"/>
          <w:bCs/>
          <w:sz w:val="22"/>
          <w:szCs w:val="22"/>
          <w:lang w:eastAsia="en-US"/>
        </w:rPr>
        <w:t xml:space="preserve"> настоящего приложения;</w:t>
      </w:r>
    </w:p>
    <w:p w14:paraId="4D416DB8" w14:textId="77777777" w:rsidR="001333B2" w:rsidRPr="00AD67C2" w:rsidRDefault="001333B2" w:rsidP="00AD67C2">
      <w:pPr>
        <w:widowControl w:val="0"/>
        <w:numPr>
          <w:ilvl w:val="0"/>
          <w:numId w:val="318"/>
        </w:numPr>
        <w:tabs>
          <w:tab w:val="left" w:pos="851"/>
        </w:tabs>
        <w:suppressAutoHyphens w:val="0"/>
        <w:spacing w:before="120" w:after="120" w:line="259" w:lineRule="auto"/>
        <w:ind w:left="0" w:firstLine="601"/>
        <w:jc w:val="both"/>
        <w:rPr>
          <w:rFonts w:ascii="Garamond" w:eastAsia="Calibri" w:hAnsi="Garamond" w:cs="Times New Roman"/>
          <w:bCs/>
          <w:sz w:val="22"/>
          <w:szCs w:val="22"/>
          <w:lang w:eastAsia="en-US"/>
        </w:rPr>
      </w:pPr>
      <w:r w:rsidRPr="00AD67C2">
        <w:rPr>
          <w:rFonts w:ascii="Garamond" w:eastAsia="Calibri" w:hAnsi="Garamond" w:cs="Times New Roman"/>
          <w:bCs/>
          <w:sz w:val="22"/>
          <w:szCs w:val="22"/>
          <w:lang w:eastAsia="en-US"/>
        </w:rPr>
        <w:t xml:space="preserve">завершения процедуры кодирования с любым результатом, предусмотренной п. </w:t>
      </w:r>
      <w:r w:rsidRPr="00AD67C2">
        <w:rPr>
          <w:rFonts w:ascii="Garamond" w:eastAsia="Calibri" w:hAnsi="Garamond" w:cs="Times New Roman"/>
          <w:bCs/>
          <w:sz w:val="22"/>
          <w:szCs w:val="22"/>
          <w:lang w:eastAsia="en-US"/>
        </w:rPr>
        <w:fldChar w:fldCharType="begin"/>
      </w:r>
      <w:r w:rsidRPr="00AD67C2">
        <w:rPr>
          <w:rFonts w:ascii="Garamond" w:eastAsia="Calibri" w:hAnsi="Garamond" w:cs="Times New Roman"/>
          <w:bCs/>
          <w:sz w:val="22"/>
          <w:szCs w:val="22"/>
          <w:lang w:eastAsia="en-US"/>
        </w:rPr>
        <w:instrText xml:space="preserve"> REF _Ref149320909 \r \h  \* MERGEFORMAT </w:instrText>
      </w:r>
      <w:r w:rsidRPr="00AD67C2">
        <w:rPr>
          <w:rFonts w:ascii="Garamond" w:eastAsia="Calibri" w:hAnsi="Garamond" w:cs="Times New Roman"/>
          <w:bCs/>
          <w:sz w:val="22"/>
          <w:szCs w:val="22"/>
          <w:lang w:eastAsia="en-US"/>
        </w:rPr>
      </w:r>
      <w:r w:rsidRPr="00AD67C2">
        <w:rPr>
          <w:rFonts w:ascii="Garamond" w:eastAsia="Calibri" w:hAnsi="Garamond" w:cs="Times New Roman"/>
          <w:bCs/>
          <w:sz w:val="22"/>
          <w:szCs w:val="22"/>
          <w:lang w:eastAsia="en-US"/>
        </w:rPr>
        <w:fldChar w:fldCharType="separate"/>
      </w:r>
      <w:r w:rsidRPr="00AD67C2">
        <w:rPr>
          <w:rFonts w:ascii="Garamond" w:eastAsia="Calibri" w:hAnsi="Garamond" w:cs="Times New Roman"/>
          <w:bCs/>
          <w:sz w:val="22"/>
          <w:szCs w:val="22"/>
          <w:lang w:eastAsia="en-US"/>
        </w:rPr>
        <w:t>3.6</w:t>
      </w:r>
      <w:r w:rsidRPr="00AD67C2">
        <w:rPr>
          <w:rFonts w:ascii="Garamond" w:eastAsia="Calibri" w:hAnsi="Garamond" w:cs="Times New Roman"/>
          <w:bCs/>
          <w:sz w:val="22"/>
          <w:szCs w:val="22"/>
          <w:lang w:eastAsia="en-US"/>
        </w:rPr>
        <w:fldChar w:fldCharType="end"/>
      </w:r>
      <w:r w:rsidRPr="00AD67C2">
        <w:rPr>
          <w:rFonts w:ascii="Garamond" w:eastAsia="Calibri" w:hAnsi="Garamond" w:cs="Times New Roman"/>
          <w:bCs/>
          <w:sz w:val="22"/>
          <w:szCs w:val="22"/>
          <w:lang w:eastAsia="en-US"/>
        </w:rPr>
        <w:t xml:space="preserve"> настоящего </w:t>
      </w:r>
      <w:r w:rsidR="00264495" w:rsidRPr="00AD67C2">
        <w:rPr>
          <w:rFonts w:ascii="Garamond" w:eastAsia="Calibri" w:hAnsi="Garamond" w:cs="Times New Roman"/>
          <w:bCs/>
          <w:sz w:val="22"/>
          <w:szCs w:val="22"/>
          <w:lang w:eastAsia="en-US"/>
        </w:rPr>
        <w:t>п</w:t>
      </w:r>
      <w:r w:rsidR="00BA4BE3" w:rsidRPr="00AD67C2">
        <w:rPr>
          <w:rFonts w:ascii="Garamond" w:eastAsia="Calibri" w:hAnsi="Garamond" w:cs="Times New Roman"/>
          <w:bCs/>
          <w:sz w:val="22"/>
          <w:szCs w:val="22"/>
          <w:lang w:eastAsia="en-US"/>
        </w:rPr>
        <w:t>риложени</w:t>
      </w:r>
      <w:r w:rsidRPr="00AD67C2">
        <w:rPr>
          <w:rFonts w:ascii="Garamond" w:eastAsia="Calibri" w:hAnsi="Garamond" w:cs="Times New Roman"/>
          <w:bCs/>
          <w:sz w:val="22"/>
          <w:szCs w:val="22"/>
          <w:lang w:eastAsia="en-US"/>
        </w:rPr>
        <w:t>я;</w:t>
      </w:r>
    </w:p>
    <w:p w14:paraId="621AF7E5" w14:textId="6D468B91" w:rsidR="001333B2" w:rsidRPr="00AD67C2" w:rsidRDefault="001333B2" w:rsidP="00AD67C2">
      <w:pPr>
        <w:widowControl w:val="0"/>
        <w:numPr>
          <w:ilvl w:val="0"/>
          <w:numId w:val="318"/>
        </w:numPr>
        <w:tabs>
          <w:tab w:val="left" w:pos="851"/>
        </w:tabs>
        <w:suppressAutoHyphens w:val="0"/>
        <w:spacing w:before="120" w:after="120" w:line="259" w:lineRule="auto"/>
        <w:ind w:left="0" w:firstLine="601"/>
        <w:jc w:val="both"/>
        <w:rPr>
          <w:rFonts w:ascii="Garamond" w:eastAsia="Calibri" w:hAnsi="Garamond" w:cs="Times New Roman"/>
          <w:bCs/>
          <w:sz w:val="22"/>
          <w:szCs w:val="22"/>
          <w:lang w:eastAsia="en-US"/>
        </w:rPr>
      </w:pPr>
      <w:r w:rsidRPr="00AD67C2">
        <w:rPr>
          <w:rFonts w:ascii="Garamond" w:eastAsia="Calibri" w:hAnsi="Garamond" w:cs="Times New Roman"/>
          <w:bCs/>
          <w:sz w:val="22"/>
          <w:szCs w:val="22"/>
          <w:lang w:eastAsia="en-US"/>
        </w:rPr>
        <w:t xml:space="preserve">завершения с положительным или отрицательным результатом процедур, предусмотренных </w:t>
      </w:r>
      <w:r w:rsidR="00485C11">
        <w:rPr>
          <w:rFonts w:ascii="Garamond" w:eastAsia="Calibri" w:hAnsi="Garamond" w:cs="Times New Roman"/>
          <w:bCs/>
          <w:sz w:val="22"/>
          <w:szCs w:val="22"/>
          <w:lang w:eastAsia="en-US"/>
        </w:rPr>
        <w:t>п</w:t>
      </w:r>
      <w:r w:rsidRPr="00AD67C2" w:rsidDel="008D43FE">
        <w:rPr>
          <w:rFonts w:ascii="Garamond" w:eastAsia="Calibri" w:hAnsi="Garamond" w:cs="Times New Roman"/>
          <w:bCs/>
          <w:sz w:val="22"/>
          <w:szCs w:val="22"/>
          <w:lang w:eastAsia="en-US"/>
        </w:rPr>
        <w:t>п.</w:t>
      </w:r>
      <w:r w:rsidRPr="00AD67C2">
        <w:rPr>
          <w:rFonts w:ascii="Garamond" w:eastAsia="Calibri" w:hAnsi="Garamond" w:cs="Times New Roman"/>
          <w:bCs/>
          <w:sz w:val="22"/>
          <w:szCs w:val="22"/>
          <w:lang w:eastAsia="en-US"/>
        </w:rPr>
        <w:t xml:space="preserve"> </w:t>
      </w:r>
      <w:r w:rsidRPr="00AD67C2">
        <w:rPr>
          <w:rFonts w:ascii="Garamond" w:eastAsia="Calibri" w:hAnsi="Garamond" w:cs="Times New Roman"/>
          <w:bCs/>
          <w:sz w:val="22"/>
          <w:szCs w:val="22"/>
          <w:lang w:eastAsia="en-US"/>
        </w:rPr>
        <w:fldChar w:fldCharType="begin"/>
      </w:r>
      <w:r w:rsidRPr="00AD67C2">
        <w:rPr>
          <w:rFonts w:ascii="Garamond" w:eastAsia="Calibri" w:hAnsi="Garamond" w:cs="Times New Roman"/>
          <w:bCs/>
          <w:sz w:val="22"/>
          <w:szCs w:val="22"/>
          <w:lang w:eastAsia="en-US"/>
        </w:rPr>
        <w:instrText xml:space="preserve"> REF _Ref149308149 \r \h  \* MERGEFORMAT </w:instrText>
      </w:r>
      <w:r w:rsidRPr="00AD67C2">
        <w:rPr>
          <w:rFonts w:ascii="Garamond" w:eastAsia="Calibri" w:hAnsi="Garamond" w:cs="Times New Roman"/>
          <w:bCs/>
          <w:sz w:val="22"/>
          <w:szCs w:val="22"/>
          <w:lang w:eastAsia="en-US"/>
        </w:rPr>
      </w:r>
      <w:r w:rsidRPr="00AD67C2">
        <w:rPr>
          <w:rFonts w:ascii="Garamond" w:eastAsia="Calibri" w:hAnsi="Garamond" w:cs="Times New Roman"/>
          <w:bCs/>
          <w:sz w:val="22"/>
          <w:szCs w:val="22"/>
          <w:lang w:eastAsia="en-US"/>
        </w:rPr>
        <w:fldChar w:fldCharType="separate"/>
      </w:r>
      <w:r w:rsidRPr="00AD67C2">
        <w:rPr>
          <w:rFonts w:ascii="Garamond" w:eastAsia="Calibri" w:hAnsi="Garamond" w:cs="Times New Roman"/>
          <w:bCs/>
          <w:sz w:val="22"/>
          <w:szCs w:val="22"/>
          <w:lang w:eastAsia="en-US"/>
        </w:rPr>
        <w:t>3.8.1</w:t>
      </w:r>
      <w:r w:rsidRPr="00AD67C2">
        <w:rPr>
          <w:rFonts w:ascii="Garamond" w:eastAsia="Calibri" w:hAnsi="Garamond" w:cs="Times New Roman"/>
          <w:bCs/>
          <w:sz w:val="22"/>
          <w:szCs w:val="22"/>
          <w:lang w:eastAsia="en-US"/>
        </w:rPr>
        <w:fldChar w:fldCharType="end"/>
      </w:r>
      <w:r w:rsidRPr="00AD67C2">
        <w:rPr>
          <w:rFonts w:ascii="Garamond" w:eastAsia="Calibri" w:hAnsi="Garamond" w:cs="Times New Roman"/>
          <w:bCs/>
          <w:sz w:val="22"/>
          <w:szCs w:val="22"/>
          <w:lang w:eastAsia="en-US"/>
        </w:rPr>
        <w:t xml:space="preserve"> и </w:t>
      </w:r>
      <w:r w:rsidRPr="00AD67C2">
        <w:rPr>
          <w:rFonts w:ascii="Garamond" w:eastAsia="Calibri" w:hAnsi="Garamond" w:cs="Times New Roman"/>
          <w:bCs/>
          <w:sz w:val="22"/>
          <w:szCs w:val="22"/>
          <w:lang w:eastAsia="en-US"/>
        </w:rPr>
        <w:fldChar w:fldCharType="begin"/>
      </w:r>
      <w:r w:rsidRPr="00AD67C2">
        <w:rPr>
          <w:rFonts w:ascii="Garamond" w:eastAsia="Calibri" w:hAnsi="Garamond" w:cs="Times New Roman"/>
          <w:bCs/>
          <w:sz w:val="22"/>
          <w:szCs w:val="22"/>
          <w:lang w:eastAsia="en-US"/>
        </w:rPr>
        <w:instrText xml:space="preserve"> REF _Ref149308552 \r \h  \* MERGEFORMAT </w:instrText>
      </w:r>
      <w:r w:rsidRPr="00AD67C2">
        <w:rPr>
          <w:rFonts w:ascii="Garamond" w:eastAsia="Calibri" w:hAnsi="Garamond" w:cs="Times New Roman"/>
          <w:bCs/>
          <w:sz w:val="22"/>
          <w:szCs w:val="22"/>
          <w:lang w:eastAsia="en-US"/>
        </w:rPr>
      </w:r>
      <w:r w:rsidRPr="00AD67C2">
        <w:rPr>
          <w:rFonts w:ascii="Garamond" w:eastAsia="Calibri" w:hAnsi="Garamond" w:cs="Times New Roman"/>
          <w:bCs/>
          <w:sz w:val="22"/>
          <w:szCs w:val="22"/>
          <w:lang w:eastAsia="en-US"/>
        </w:rPr>
        <w:fldChar w:fldCharType="separate"/>
      </w:r>
      <w:r w:rsidRPr="00AD67C2">
        <w:rPr>
          <w:rFonts w:ascii="Garamond" w:eastAsia="Calibri" w:hAnsi="Garamond" w:cs="Times New Roman"/>
          <w:bCs/>
          <w:sz w:val="22"/>
          <w:szCs w:val="22"/>
          <w:lang w:eastAsia="en-US"/>
        </w:rPr>
        <w:t>3.8.2</w:t>
      </w:r>
      <w:r w:rsidRPr="00AD67C2">
        <w:rPr>
          <w:rFonts w:ascii="Garamond" w:eastAsia="Calibri" w:hAnsi="Garamond" w:cs="Times New Roman"/>
          <w:bCs/>
          <w:sz w:val="22"/>
          <w:szCs w:val="22"/>
          <w:lang w:eastAsia="en-US"/>
        </w:rPr>
        <w:fldChar w:fldCharType="end"/>
      </w:r>
      <w:r w:rsidRPr="00AD67C2">
        <w:rPr>
          <w:rFonts w:ascii="Garamond" w:eastAsia="Calibri" w:hAnsi="Garamond" w:cs="Times New Roman"/>
          <w:bCs/>
          <w:sz w:val="22"/>
          <w:szCs w:val="22"/>
          <w:lang w:eastAsia="en-US"/>
        </w:rPr>
        <w:t xml:space="preserve"> настоящего приложения;</w:t>
      </w:r>
    </w:p>
    <w:p w14:paraId="3FA4F40B" w14:textId="77777777" w:rsidR="001333B2" w:rsidRPr="00AD67C2" w:rsidRDefault="001333B2" w:rsidP="00AD67C2">
      <w:pPr>
        <w:widowControl w:val="0"/>
        <w:numPr>
          <w:ilvl w:val="0"/>
          <w:numId w:val="318"/>
        </w:numPr>
        <w:tabs>
          <w:tab w:val="left" w:pos="851"/>
        </w:tabs>
        <w:suppressAutoHyphens w:val="0"/>
        <w:spacing w:before="120" w:after="120" w:line="259" w:lineRule="auto"/>
        <w:ind w:left="0" w:firstLine="601"/>
        <w:jc w:val="both"/>
        <w:rPr>
          <w:rFonts w:ascii="Garamond" w:eastAsia="Calibri" w:hAnsi="Garamond" w:cs="Times New Roman"/>
          <w:bCs/>
          <w:sz w:val="22"/>
          <w:szCs w:val="22"/>
          <w:lang w:eastAsia="en-US"/>
        </w:rPr>
      </w:pPr>
      <w:r w:rsidRPr="00AD67C2">
        <w:rPr>
          <w:rFonts w:ascii="Garamond" w:eastAsia="Calibri" w:hAnsi="Garamond" w:cs="Times New Roman"/>
          <w:bCs/>
          <w:sz w:val="22"/>
          <w:szCs w:val="22"/>
          <w:lang w:eastAsia="en-US"/>
        </w:rPr>
        <w:lastRenderedPageBreak/>
        <w:t>прекращения процедуры регистрации объекта регулирования в случаях, предусмотренных п. </w:t>
      </w:r>
      <w:r w:rsidRPr="00AD67C2">
        <w:rPr>
          <w:rFonts w:ascii="Garamond" w:eastAsia="Calibri" w:hAnsi="Garamond" w:cs="Times New Roman"/>
          <w:bCs/>
          <w:sz w:val="22"/>
          <w:szCs w:val="22"/>
          <w:lang w:eastAsia="en-US"/>
        </w:rPr>
        <w:fldChar w:fldCharType="begin"/>
      </w:r>
      <w:r w:rsidRPr="00AD67C2">
        <w:rPr>
          <w:rFonts w:ascii="Garamond" w:eastAsia="Calibri" w:hAnsi="Garamond" w:cs="Times New Roman"/>
          <w:bCs/>
          <w:sz w:val="22"/>
          <w:szCs w:val="22"/>
          <w:lang w:eastAsia="en-US"/>
        </w:rPr>
        <w:instrText xml:space="preserve"> REF _Ref149301759 \r \h  \* MERGEFORMAT </w:instrText>
      </w:r>
      <w:r w:rsidRPr="00AD67C2">
        <w:rPr>
          <w:rFonts w:ascii="Garamond" w:eastAsia="Calibri" w:hAnsi="Garamond" w:cs="Times New Roman"/>
          <w:bCs/>
          <w:sz w:val="22"/>
          <w:szCs w:val="22"/>
          <w:lang w:eastAsia="en-US"/>
        </w:rPr>
      </w:r>
      <w:r w:rsidRPr="00AD67C2">
        <w:rPr>
          <w:rFonts w:ascii="Garamond" w:eastAsia="Calibri" w:hAnsi="Garamond" w:cs="Times New Roman"/>
          <w:bCs/>
          <w:sz w:val="22"/>
          <w:szCs w:val="22"/>
          <w:lang w:eastAsia="en-US"/>
        </w:rPr>
        <w:fldChar w:fldCharType="separate"/>
      </w:r>
      <w:r w:rsidRPr="00AD67C2">
        <w:rPr>
          <w:rFonts w:ascii="Garamond" w:eastAsia="Calibri" w:hAnsi="Garamond" w:cs="Times New Roman"/>
          <w:bCs/>
          <w:sz w:val="22"/>
          <w:szCs w:val="22"/>
          <w:lang w:eastAsia="en-US"/>
        </w:rPr>
        <w:t>3.11</w:t>
      </w:r>
      <w:r w:rsidRPr="00AD67C2">
        <w:rPr>
          <w:rFonts w:ascii="Garamond" w:eastAsia="Calibri" w:hAnsi="Garamond" w:cs="Times New Roman"/>
          <w:bCs/>
          <w:sz w:val="22"/>
          <w:szCs w:val="22"/>
          <w:lang w:eastAsia="en-US"/>
        </w:rPr>
        <w:fldChar w:fldCharType="end"/>
      </w:r>
      <w:r w:rsidRPr="00AD67C2">
        <w:rPr>
          <w:rFonts w:ascii="Garamond" w:eastAsia="Calibri" w:hAnsi="Garamond" w:cs="Times New Roman"/>
          <w:bCs/>
          <w:sz w:val="22"/>
          <w:szCs w:val="22"/>
          <w:lang w:eastAsia="en-US"/>
        </w:rPr>
        <w:t xml:space="preserve"> настоящего приложения;</w:t>
      </w:r>
    </w:p>
    <w:p w14:paraId="36331A65" w14:textId="77777777" w:rsidR="001333B2" w:rsidRPr="00AD67C2" w:rsidRDefault="001333B2" w:rsidP="00AD67C2">
      <w:pPr>
        <w:widowControl w:val="0"/>
        <w:numPr>
          <w:ilvl w:val="0"/>
          <w:numId w:val="318"/>
        </w:numPr>
        <w:tabs>
          <w:tab w:val="left" w:pos="851"/>
        </w:tabs>
        <w:suppressAutoHyphens w:val="0"/>
        <w:spacing w:before="120" w:after="120" w:line="259" w:lineRule="auto"/>
        <w:ind w:left="0" w:firstLine="601"/>
        <w:jc w:val="both"/>
        <w:rPr>
          <w:rFonts w:ascii="Garamond" w:eastAsia="Calibri" w:hAnsi="Garamond" w:cs="Times New Roman"/>
          <w:bCs/>
          <w:sz w:val="22"/>
          <w:szCs w:val="22"/>
          <w:lang w:eastAsia="en-US"/>
        </w:rPr>
      </w:pPr>
      <w:r w:rsidRPr="00AD67C2">
        <w:rPr>
          <w:rFonts w:ascii="Garamond" w:eastAsia="Calibri" w:hAnsi="Garamond" w:cs="Times New Roman"/>
          <w:bCs/>
          <w:sz w:val="22"/>
          <w:szCs w:val="22"/>
          <w:lang w:eastAsia="en-US"/>
        </w:rPr>
        <w:t xml:space="preserve">завершения с положительным результатом регистрации объекта регулирования в случаях, предусмотренных п. </w:t>
      </w:r>
      <w:r w:rsidRPr="00AD67C2">
        <w:rPr>
          <w:rFonts w:ascii="Garamond" w:eastAsia="Calibri" w:hAnsi="Garamond" w:cs="Times New Roman"/>
          <w:bCs/>
          <w:sz w:val="22"/>
          <w:szCs w:val="22"/>
          <w:lang w:eastAsia="en-US"/>
        </w:rPr>
        <w:fldChar w:fldCharType="begin"/>
      </w:r>
      <w:r w:rsidRPr="00AD67C2">
        <w:rPr>
          <w:rFonts w:ascii="Garamond" w:eastAsia="Calibri" w:hAnsi="Garamond" w:cs="Times New Roman"/>
          <w:bCs/>
          <w:sz w:val="22"/>
          <w:szCs w:val="22"/>
          <w:lang w:eastAsia="en-US"/>
        </w:rPr>
        <w:instrText xml:space="preserve"> REF _Ref149381650 \r \h  \* MERGEFORMAT </w:instrText>
      </w:r>
      <w:r w:rsidRPr="00AD67C2">
        <w:rPr>
          <w:rFonts w:ascii="Garamond" w:eastAsia="Calibri" w:hAnsi="Garamond" w:cs="Times New Roman"/>
          <w:bCs/>
          <w:sz w:val="22"/>
          <w:szCs w:val="22"/>
          <w:lang w:eastAsia="en-US"/>
        </w:rPr>
      </w:r>
      <w:r w:rsidRPr="00AD67C2">
        <w:rPr>
          <w:rFonts w:ascii="Garamond" w:eastAsia="Calibri" w:hAnsi="Garamond" w:cs="Times New Roman"/>
          <w:bCs/>
          <w:sz w:val="22"/>
          <w:szCs w:val="22"/>
          <w:lang w:eastAsia="en-US"/>
        </w:rPr>
        <w:fldChar w:fldCharType="separate"/>
      </w:r>
      <w:r w:rsidRPr="00AD67C2">
        <w:rPr>
          <w:rFonts w:ascii="Garamond" w:eastAsia="Calibri" w:hAnsi="Garamond" w:cs="Times New Roman"/>
          <w:bCs/>
          <w:sz w:val="22"/>
          <w:szCs w:val="22"/>
          <w:lang w:eastAsia="en-US"/>
        </w:rPr>
        <w:t>3.10</w:t>
      </w:r>
      <w:r w:rsidRPr="00AD67C2">
        <w:rPr>
          <w:rFonts w:ascii="Garamond" w:eastAsia="Calibri" w:hAnsi="Garamond" w:cs="Times New Roman"/>
          <w:bCs/>
          <w:sz w:val="22"/>
          <w:szCs w:val="22"/>
          <w:lang w:eastAsia="en-US"/>
        </w:rPr>
        <w:fldChar w:fldCharType="end"/>
      </w:r>
      <w:r w:rsidRPr="00AD67C2">
        <w:rPr>
          <w:rFonts w:ascii="Garamond" w:eastAsia="Calibri" w:hAnsi="Garamond" w:cs="Times New Roman"/>
          <w:bCs/>
          <w:sz w:val="22"/>
          <w:szCs w:val="22"/>
          <w:lang w:eastAsia="en-US"/>
        </w:rPr>
        <w:t xml:space="preserve"> настоящего приложения.</w:t>
      </w:r>
    </w:p>
    <w:p w14:paraId="61886AB5" w14:textId="77777777" w:rsidR="001333B2" w:rsidRPr="00AD67C2" w:rsidRDefault="001333B2" w:rsidP="00AD67C2">
      <w:pPr>
        <w:widowControl w:val="0"/>
        <w:numPr>
          <w:ilvl w:val="1"/>
          <w:numId w:val="310"/>
        </w:numPr>
        <w:tabs>
          <w:tab w:val="left" w:pos="1077"/>
        </w:tabs>
        <w:suppressAutoHyphens w:val="0"/>
        <w:spacing w:before="120" w:after="120" w:line="259" w:lineRule="auto"/>
        <w:ind w:left="0" w:firstLine="601"/>
        <w:jc w:val="both"/>
        <w:outlineLvl w:val="1"/>
        <w:rPr>
          <w:rFonts w:ascii="Garamond" w:eastAsia="Calibri" w:hAnsi="Garamond" w:cs="Times New Roman"/>
          <w:bCs/>
          <w:sz w:val="22"/>
          <w:szCs w:val="22"/>
          <w:lang w:eastAsia="en-US"/>
        </w:rPr>
      </w:pPr>
      <w:r w:rsidRPr="00AD67C2">
        <w:rPr>
          <w:rFonts w:ascii="Garamond" w:eastAsia="Calibri" w:hAnsi="Garamond" w:cs="Times New Roman"/>
          <w:bCs/>
          <w:sz w:val="22"/>
          <w:szCs w:val="22"/>
          <w:lang w:eastAsia="en-US"/>
        </w:rPr>
        <w:t>Заявитель вправе прекратить процедуры:</w:t>
      </w:r>
    </w:p>
    <w:p w14:paraId="49728FAC" w14:textId="77777777" w:rsidR="001333B2" w:rsidRPr="00AD67C2" w:rsidRDefault="001333B2" w:rsidP="00AD67C2">
      <w:pPr>
        <w:widowControl w:val="0"/>
        <w:numPr>
          <w:ilvl w:val="0"/>
          <w:numId w:val="306"/>
        </w:numPr>
        <w:tabs>
          <w:tab w:val="left" w:pos="851"/>
        </w:tabs>
        <w:suppressAutoHyphens w:val="0"/>
        <w:spacing w:before="120" w:after="120" w:line="259" w:lineRule="auto"/>
        <w:ind w:left="0" w:firstLine="601"/>
        <w:jc w:val="both"/>
        <w:rPr>
          <w:rFonts w:ascii="Garamond" w:eastAsia="Calibri" w:hAnsi="Garamond" w:cs="Times New Roman"/>
          <w:bCs/>
          <w:sz w:val="22"/>
          <w:szCs w:val="22"/>
        </w:rPr>
      </w:pPr>
      <w:r w:rsidRPr="00AD67C2">
        <w:rPr>
          <w:rFonts w:ascii="Garamond" w:eastAsia="Calibri" w:hAnsi="Garamond" w:cs="Times New Roman"/>
          <w:bCs/>
          <w:sz w:val="22"/>
          <w:szCs w:val="22"/>
        </w:rPr>
        <w:t>регистрации объекта регулирования;</w:t>
      </w:r>
    </w:p>
    <w:p w14:paraId="4AFEA53B" w14:textId="77777777" w:rsidR="001333B2" w:rsidRPr="00AD67C2" w:rsidRDefault="001333B2" w:rsidP="00AD67C2">
      <w:pPr>
        <w:widowControl w:val="0"/>
        <w:numPr>
          <w:ilvl w:val="0"/>
          <w:numId w:val="306"/>
        </w:numPr>
        <w:tabs>
          <w:tab w:val="left" w:pos="851"/>
        </w:tabs>
        <w:suppressAutoHyphens w:val="0"/>
        <w:spacing w:before="120" w:after="120" w:line="259" w:lineRule="auto"/>
        <w:ind w:left="0" w:firstLine="601"/>
        <w:jc w:val="both"/>
        <w:rPr>
          <w:rFonts w:ascii="Garamond" w:eastAsia="Times New Roman" w:hAnsi="Garamond" w:cs="Courier New"/>
          <w:bCs/>
          <w:sz w:val="22"/>
          <w:szCs w:val="22"/>
        </w:rPr>
      </w:pPr>
      <w:r w:rsidRPr="00AD67C2">
        <w:rPr>
          <w:rFonts w:ascii="Garamond" w:eastAsia="Times New Roman" w:hAnsi="Garamond" w:cs="Courier New"/>
          <w:bCs/>
          <w:sz w:val="22"/>
          <w:szCs w:val="22"/>
        </w:rPr>
        <w:t xml:space="preserve">регистрации </w:t>
      </w:r>
      <w:r w:rsidRPr="00AD67C2">
        <w:rPr>
          <w:rFonts w:ascii="Garamond" w:eastAsia="Calibri" w:hAnsi="Garamond" w:cs="Times New Roman"/>
          <w:bCs/>
          <w:sz w:val="22"/>
          <w:szCs w:val="22"/>
        </w:rPr>
        <w:t>изменений</w:t>
      </w:r>
      <w:r w:rsidRPr="00AD67C2">
        <w:rPr>
          <w:rFonts w:ascii="Garamond" w:eastAsia="Times New Roman" w:hAnsi="Garamond" w:cs="Courier New"/>
          <w:bCs/>
          <w:sz w:val="22"/>
          <w:szCs w:val="22"/>
        </w:rPr>
        <w:t xml:space="preserve"> объекта регулирования, </w:t>
      </w:r>
    </w:p>
    <w:p w14:paraId="2615A9EB" w14:textId="77777777" w:rsidR="001333B2" w:rsidRPr="00AD67C2" w:rsidRDefault="001333B2" w:rsidP="00AD67C2">
      <w:pPr>
        <w:widowControl w:val="0"/>
        <w:tabs>
          <w:tab w:val="left" w:pos="1077"/>
        </w:tabs>
        <w:suppressAutoHyphens w:val="0"/>
        <w:spacing w:before="120" w:after="120"/>
        <w:jc w:val="both"/>
        <w:rPr>
          <w:rFonts w:ascii="Garamond" w:eastAsia="Calibri" w:hAnsi="Garamond" w:cs="Times New Roman"/>
          <w:bCs/>
          <w:sz w:val="22"/>
          <w:szCs w:val="22"/>
          <w:lang w:eastAsia="en-US"/>
        </w:rPr>
      </w:pPr>
      <w:r w:rsidRPr="00AD67C2">
        <w:rPr>
          <w:rFonts w:ascii="Garamond" w:eastAsia="Calibri" w:hAnsi="Garamond" w:cs="Times New Roman"/>
          <w:bCs/>
          <w:sz w:val="22"/>
          <w:szCs w:val="22"/>
          <w:lang w:eastAsia="en-US"/>
        </w:rPr>
        <w:t>направив в КО заявление о прекращении процедуры по форме 1П, указанной в приложении 1 к настоящему Положению.</w:t>
      </w:r>
    </w:p>
    <w:p w14:paraId="28245BE9" w14:textId="77777777" w:rsidR="001333B2" w:rsidRPr="00AD67C2" w:rsidRDefault="001333B2" w:rsidP="00AD67C2">
      <w:pPr>
        <w:widowControl w:val="0"/>
        <w:tabs>
          <w:tab w:val="left" w:pos="1077"/>
        </w:tabs>
        <w:suppressAutoHyphens w:val="0"/>
        <w:spacing w:before="120" w:after="120"/>
        <w:ind w:firstLine="601"/>
        <w:jc w:val="both"/>
        <w:rPr>
          <w:rFonts w:ascii="Garamond" w:eastAsia="Calibri" w:hAnsi="Garamond" w:cs="Times New Roman"/>
          <w:bCs/>
          <w:sz w:val="22"/>
          <w:szCs w:val="22"/>
          <w:lang w:eastAsia="en-US"/>
        </w:rPr>
      </w:pPr>
      <w:r w:rsidRPr="00AD67C2">
        <w:rPr>
          <w:rFonts w:ascii="Garamond" w:eastAsia="Calibri" w:hAnsi="Garamond" w:cs="Times New Roman"/>
          <w:bCs/>
          <w:sz w:val="22"/>
          <w:szCs w:val="22"/>
          <w:lang w:eastAsia="en-US"/>
        </w:rPr>
        <w:t xml:space="preserve">Процедуры, указанные в настоящем пункте, прекращаются в срок не позднее 1 (одного) рабочего дня с даты регистрации в КО указанного заявления. </w:t>
      </w:r>
    </w:p>
    <w:p w14:paraId="537A0BA6" w14:textId="75A9B397" w:rsidR="001333B2" w:rsidRPr="00AD67C2" w:rsidRDefault="001333B2" w:rsidP="00AD67C2">
      <w:pPr>
        <w:widowControl w:val="0"/>
        <w:tabs>
          <w:tab w:val="left" w:pos="1077"/>
        </w:tabs>
        <w:suppressAutoHyphens w:val="0"/>
        <w:spacing w:before="120" w:after="120"/>
        <w:ind w:firstLine="601"/>
        <w:jc w:val="both"/>
        <w:rPr>
          <w:rFonts w:ascii="Garamond" w:eastAsia="Calibri" w:hAnsi="Garamond" w:cs="Times New Roman"/>
          <w:bCs/>
          <w:sz w:val="22"/>
          <w:szCs w:val="22"/>
          <w:lang w:eastAsia="en-US"/>
        </w:rPr>
      </w:pPr>
      <w:r w:rsidRPr="00AD67C2">
        <w:rPr>
          <w:rFonts w:ascii="Garamond" w:eastAsia="Calibri" w:hAnsi="Garamond" w:cs="Times New Roman"/>
          <w:bCs/>
          <w:sz w:val="22"/>
          <w:szCs w:val="22"/>
          <w:lang w:eastAsia="en-US"/>
        </w:rPr>
        <w:t>При наличии замечаний к заявлению либо если процедуры, указанные в подпунктах 1</w:t>
      </w:r>
      <w:r w:rsidR="001E07EC">
        <w:rPr>
          <w:rFonts w:ascii="Garamond" w:eastAsia="Calibri" w:hAnsi="Garamond" w:cs="Times New Roman"/>
          <w:bCs/>
          <w:sz w:val="22"/>
          <w:szCs w:val="22"/>
          <w:lang w:eastAsia="en-US"/>
        </w:rPr>
        <w:t xml:space="preserve">, </w:t>
      </w:r>
      <w:r w:rsidRPr="00AD67C2">
        <w:rPr>
          <w:rFonts w:ascii="Garamond" w:eastAsia="Calibri" w:hAnsi="Garamond" w:cs="Times New Roman"/>
          <w:bCs/>
          <w:sz w:val="22"/>
          <w:szCs w:val="22"/>
          <w:lang w:eastAsia="en-US"/>
        </w:rPr>
        <w:t>2 настоящего пункта, на дату рассмотрения заявления уже завершены или прекращены, КО в течение 2 (двух) рабочих дней с даты регистрации указанного заявления напр</w:t>
      </w:r>
      <w:r w:rsidR="001E07EC">
        <w:rPr>
          <w:rFonts w:ascii="Garamond" w:eastAsia="Calibri" w:hAnsi="Garamond" w:cs="Times New Roman"/>
          <w:bCs/>
          <w:sz w:val="22"/>
          <w:szCs w:val="22"/>
          <w:lang w:eastAsia="en-US"/>
        </w:rPr>
        <w:t>авляет заявителю уведомление об </w:t>
      </w:r>
      <w:r w:rsidRPr="00AD67C2">
        <w:rPr>
          <w:rFonts w:ascii="Garamond" w:eastAsia="Calibri" w:hAnsi="Garamond" w:cs="Times New Roman"/>
          <w:bCs/>
          <w:sz w:val="22"/>
          <w:szCs w:val="22"/>
          <w:lang w:eastAsia="en-US"/>
        </w:rPr>
        <w:t>отказе в прекращении процедуры.</w:t>
      </w:r>
    </w:p>
    <w:p w14:paraId="0C1DC37D" w14:textId="77777777" w:rsidR="001333B2" w:rsidRPr="00AD67C2" w:rsidRDefault="001333B2" w:rsidP="00AD67C2">
      <w:pPr>
        <w:keepNext/>
        <w:tabs>
          <w:tab w:val="left" w:pos="851"/>
        </w:tabs>
        <w:suppressAutoHyphens w:val="0"/>
        <w:spacing w:before="120" w:after="120"/>
        <w:ind w:left="1321" w:hanging="360"/>
        <w:outlineLvl w:val="0"/>
        <w:rPr>
          <w:rFonts w:ascii="Garamond" w:eastAsia="Times New Roman" w:hAnsi="Garamond" w:cs="Arial"/>
          <w:b/>
          <w:bCs/>
          <w:sz w:val="22"/>
          <w:szCs w:val="22"/>
        </w:rPr>
      </w:pPr>
      <w:r w:rsidRPr="00AD67C2">
        <w:rPr>
          <w:rFonts w:ascii="Garamond" w:eastAsia="Times New Roman" w:hAnsi="Garamond" w:cs="Arial"/>
          <w:b/>
          <w:bCs/>
          <w:sz w:val="22"/>
          <w:szCs w:val="22"/>
        </w:rPr>
        <w:t>4. Порядок регистрации изменений объектов регулирования</w:t>
      </w:r>
    </w:p>
    <w:p w14:paraId="6CE14044" w14:textId="77777777" w:rsidR="001333B2" w:rsidRPr="00AD67C2" w:rsidRDefault="001333B2" w:rsidP="00AD67C2">
      <w:pPr>
        <w:widowControl w:val="0"/>
        <w:numPr>
          <w:ilvl w:val="1"/>
          <w:numId w:val="299"/>
        </w:numPr>
        <w:tabs>
          <w:tab w:val="left" w:pos="1077"/>
        </w:tabs>
        <w:suppressAutoHyphens w:val="0"/>
        <w:spacing w:before="120" w:after="120" w:line="259" w:lineRule="auto"/>
        <w:jc w:val="both"/>
        <w:outlineLvl w:val="1"/>
        <w:rPr>
          <w:rFonts w:ascii="Garamond" w:eastAsia="Calibri" w:hAnsi="Garamond" w:cs="Times New Roman"/>
          <w:bCs/>
          <w:iCs/>
          <w:sz w:val="22"/>
          <w:szCs w:val="22"/>
          <w:lang w:eastAsia="en-US"/>
        </w:rPr>
      </w:pPr>
      <w:r w:rsidRPr="00AD67C2">
        <w:rPr>
          <w:rFonts w:ascii="Garamond" w:eastAsia="Calibri" w:hAnsi="Garamond" w:cs="Times New Roman"/>
          <w:bCs/>
          <w:sz w:val="22"/>
          <w:szCs w:val="22"/>
          <w:lang w:eastAsia="en-US"/>
        </w:rPr>
        <w:t>Субъект оптового рынка при изменении параметров, исходя из которых были сформированы объекты регулирования потребления электрической энергии (далее − регистрационная информация субъекта оптового рынка</w:t>
      </w:r>
      <w:r w:rsidRPr="001E07EC">
        <w:rPr>
          <w:rFonts w:ascii="Garamond" w:eastAsia="Calibri" w:hAnsi="Garamond" w:cs="Times New Roman"/>
          <w:bCs/>
          <w:sz w:val="22"/>
          <w:szCs w:val="22"/>
          <w:lang w:eastAsia="en-US"/>
        </w:rPr>
        <w:t xml:space="preserve">), </w:t>
      </w:r>
      <w:r w:rsidR="00264495" w:rsidRPr="001E07EC">
        <w:rPr>
          <w:rFonts w:ascii="Garamond" w:eastAsia="Calibri" w:hAnsi="Garamond" w:cs="Times New Roman"/>
          <w:bCs/>
          <w:sz w:val="22"/>
          <w:szCs w:val="22"/>
          <w:lang w:eastAsia="en-US"/>
        </w:rPr>
        <w:t xml:space="preserve">обязан </w:t>
      </w:r>
      <w:r w:rsidR="008B3675" w:rsidRPr="001E07EC">
        <w:rPr>
          <w:rFonts w:ascii="Garamond" w:eastAsia="Calibri" w:hAnsi="Garamond" w:cs="Times New Roman"/>
          <w:bCs/>
          <w:sz w:val="22"/>
          <w:szCs w:val="22"/>
          <w:lang w:eastAsia="en-US"/>
        </w:rPr>
        <w:t>выполнить</w:t>
      </w:r>
      <w:r w:rsidRPr="001E07EC">
        <w:rPr>
          <w:rFonts w:ascii="Garamond" w:eastAsia="Calibri" w:hAnsi="Garamond" w:cs="Times New Roman"/>
          <w:sz w:val="22"/>
          <w:szCs w:val="22"/>
          <w:lang w:eastAsia="en-US"/>
        </w:rPr>
        <w:t xml:space="preserve"> в порядке, установленном </w:t>
      </w:r>
      <w:r w:rsidR="008B3675" w:rsidRPr="001E07EC">
        <w:rPr>
          <w:rFonts w:ascii="Garamond" w:eastAsia="Calibri" w:hAnsi="Garamond" w:cs="Times New Roman"/>
          <w:bCs/>
          <w:sz w:val="22"/>
          <w:szCs w:val="22"/>
          <w:lang w:eastAsia="en-US"/>
        </w:rPr>
        <w:t>настоящим разделом, требования, необходимые</w:t>
      </w:r>
      <w:r w:rsidRPr="001E07EC">
        <w:rPr>
          <w:rFonts w:ascii="Garamond" w:eastAsia="Calibri" w:hAnsi="Garamond" w:cs="Times New Roman"/>
          <w:bCs/>
          <w:sz w:val="22"/>
          <w:szCs w:val="22"/>
          <w:lang w:eastAsia="en-US"/>
        </w:rPr>
        <w:t xml:space="preserve"> </w:t>
      </w:r>
      <w:r w:rsidRPr="001E07EC">
        <w:rPr>
          <w:rFonts w:ascii="Garamond" w:eastAsia="Calibri" w:hAnsi="Garamond" w:cs="Times New Roman"/>
          <w:bCs/>
          <w:iCs/>
          <w:sz w:val="22"/>
          <w:szCs w:val="22"/>
          <w:lang w:eastAsia="en-US"/>
        </w:rPr>
        <w:t>для ре</w:t>
      </w:r>
      <w:r w:rsidRPr="00AD67C2">
        <w:rPr>
          <w:rFonts w:ascii="Garamond" w:eastAsia="Calibri" w:hAnsi="Garamond" w:cs="Times New Roman"/>
          <w:bCs/>
          <w:iCs/>
          <w:sz w:val="22"/>
          <w:szCs w:val="22"/>
          <w:lang w:eastAsia="en-US"/>
        </w:rPr>
        <w:t>гистрации изменений объектов регулирования.</w:t>
      </w:r>
    </w:p>
    <w:p w14:paraId="186B50D7" w14:textId="6B58DB94" w:rsidR="001333B2" w:rsidRPr="00AD67C2" w:rsidRDefault="001333B2" w:rsidP="00AD67C2">
      <w:pPr>
        <w:widowControl w:val="0"/>
        <w:tabs>
          <w:tab w:val="left" w:pos="1077"/>
        </w:tabs>
        <w:suppressAutoHyphens w:val="0"/>
        <w:spacing w:before="120" w:after="120"/>
        <w:ind w:firstLine="601"/>
        <w:jc w:val="both"/>
        <w:rPr>
          <w:rFonts w:ascii="Garamond" w:eastAsia="Calibri" w:hAnsi="Garamond" w:cs="Times New Roman"/>
          <w:bCs/>
          <w:sz w:val="22"/>
          <w:szCs w:val="22"/>
          <w:lang w:eastAsia="en-US"/>
        </w:rPr>
      </w:pPr>
      <w:r w:rsidRPr="00AD67C2">
        <w:rPr>
          <w:rFonts w:ascii="Garamond" w:eastAsia="Calibri" w:hAnsi="Garamond" w:cs="Times New Roman"/>
          <w:bCs/>
          <w:sz w:val="22"/>
          <w:szCs w:val="22"/>
          <w:lang w:eastAsia="en-US"/>
        </w:rPr>
        <w:t>В случае непредоставления субъектом оптового рынка документов, подтверждающих изменение регистрационной информации</w:t>
      </w:r>
      <w:r w:rsidR="001E07EC" w:rsidRPr="001E07EC">
        <w:rPr>
          <w:rFonts w:ascii="Garamond" w:eastAsia="Calibri" w:hAnsi="Garamond" w:cs="Times New Roman"/>
          <w:bCs/>
          <w:sz w:val="22"/>
          <w:szCs w:val="22"/>
          <w:lang w:eastAsia="en-US"/>
        </w:rPr>
        <w:t>,</w:t>
      </w:r>
      <w:r w:rsidRPr="001E07EC">
        <w:rPr>
          <w:rFonts w:ascii="Garamond" w:eastAsia="Calibri" w:hAnsi="Garamond" w:cs="Times New Roman"/>
          <w:bCs/>
          <w:sz w:val="22"/>
          <w:szCs w:val="22"/>
          <w:lang w:eastAsia="en-US"/>
        </w:rPr>
        <w:t xml:space="preserve"> в порядке, установленном настоящим Положением, СР и КО не несут ответственности за неблагоприятные последствия для субъектов оптового рынка, </w:t>
      </w:r>
      <w:r w:rsidR="008B3675" w:rsidRPr="001E07EC">
        <w:rPr>
          <w:rFonts w:ascii="Garamond" w:eastAsia="Calibri" w:hAnsi="Garamond" w:cs="Times New Roman"/>
          <w:bCs/>
          <w:sz w:val="22"/>
          <w:szCs w:val="22"/>
          <w:lang w:eastAsia="en-US"/>
        </w:rPr>
        <w:t>обусловленные несвоевременным внесением субъектом оптового рынка соответствующих изменений в регистрационную информацию</w:t>
      </w:r>
      <w:r w:rsidRPr="001E07EC">
        <w:rPr>
          <w:rFonts w:ascii="Garamond" w:eastAsia="Calibri" w:hAnsi="Garamond" w:cs="Times New Roman"/>
          <w:bCs/>
          <w:sz w:val="22"/>
          <w:szCs w:val="22"/>
          <w:lang w:eastAsia="en-US"/>
        </w:rPr>
        <w:t>.</w:t>
      </w:r>
    </w:p>
    <w:p w14:paraId="6808FD61" w14:textId="01E1C714" w:rsidR="001333B2" w:rsidRPr="00AD67C2" w:rsidRDefault="001333B2" w:rsidP="00AD67C2">
      <w:pPr>
        <w:widowControl w:val="0"/>
        <w:tabs>
          <w:tab w:val="left" w:pos="1077"/>
        </w:tabs>
        <w:suppressAutoHyphens w:val="0"/>
        <w:spacing w:before="120" w:after="120"/>
        <w:ind w:firstLine="601"/>
        <w:jc w:val="both"/>
        <w:rPr>
          <w:rFonts w:ascii="Garamond" w:eastAsia="Calibri" w:hAnsi="Garamond" w:cs="Times New Roman"/>
          <w:bCs/>
          <w:sz w:val="22"/>
          <w:szCs w:val="22"/>
          <w:lang w:eastAsia="en-US"/>
        </w:rPr>
      </w:pPr>
      <w:r w:rsidRPr="00AD67C2">
        <w:rPr>
          <w:rFonts w:ascii="Garamond" w:eastAsia="Calibri" w:hAnsi="Garamond" w:cs="Times New Roman"/>
          <w:bCs/>
          <w:sz w:val="22"/>
          <w:szCs w:val="22"/>
          <w:lang w:eastAsia="en-US"/>
        </w:rPr>
        <w:t>Для регистрации изменений объекта регулирования, в том числе в связи истечением срока подтверждения соответствия системы учета электроэнергии техническим требованиям оптового</w:t>
      </w:r>
      <w:r w:rsidR="001E07EC">
        <w:rPr>
          <w:rFonts w:ascii="Garamond" w:eastAsia="Calibri" w:hAnsi="Garamond" w:cs="Times New Roman"/>
          <w:bCs/>
          <w:sz w:val="22"/>
          <w:szCs w:val="22"/>
          <w:lang w:eastAsia="en-US"/>
        </w:rPr>
        <w:t xml:space="preserve"> рынка по объекту регулирования</w:t>
      </w:r>
      <w:r w:rsidRPr="00AD67C2">
        <w:rPr>
          <w:rFonts w:ascii="Garamond" w:eastAsia="Calibri" w:hAnsi="Garamond" w:cs="Times New Roman"/>
          <w:bCs/>
          <w:sz w:val="22"/>
          <w:szCs w:val="22"/>
          <w:lang w:eastAsia="en-US"/>
        </w:rPr>
        <w:t xml:space="preserve"> либо в связи с отрицательным результатом проверки объекта регулирования, выполненной в порядке и сроки, установленные в </w:t>
      </w:r>
      <w:r w:rsidRPr="00AD67C2">
        <w:rPr>
          <w:rFonts w:ascii="Garamond" w:eastAsia="Calibri" w:hAnsi="Garamond" w:cs="Times New Roman"/>
          <w:bCs/>
          <w:i/>
          <w:sz w:val="22"/>
          <w:szCs w:val="22"/>
          <w:lang w:eastAsia="en-US"/>
        </w:rPr>
        <w:t>Регламенте проведения проверок систем коммерческого учета субъектов оптового рынка</w:t>
      </w:r>
      <w:r w:rsidRPr="00AD67C2">
        <w:rPr>
          <w:rFonts w:ascii="Garamond" w:eastAsia="Calibri" w:hAnsi="Garamond" w:cs="Times New Roman"/>
          <w:bCs/>
          <w:sz w:val="22"/>
          <w:szCs w:val="22"/>
          <w:lang w:eastAsia="en-US"/>
        </w:rPr>
        <w:t xml:space="preserve"> (</w:t>
      </w:r>
      <w:r w:rsidRPr="001E07EC">
        <w:rPr>
          <w:rFonts w:ascii="Garamond" w:eastAsia="Calibri" w:hAnsi="Garamond" w:cs="Times New Roman"/>
          <w:bCs/>
          <w:sz w:val="22"/>
          <w:szCs w:val="22"/>
          <w:lang w:eastAsia="en-US"/>
        </w:rPr>
        <w:t xml:space="preserve">Приложение № 18 к </w:t>
      </w:r>
      <w:r w:rsidRPr="001E07EC">
        <w:rPr>
          <w:rFonts w:ascii="Garamond" w:eastAsia="Calibri" w:hAnsi="Garamond" w:cs="Times New Roman"/>
          <w:bCs/>
          <w:i/>
          <w:sz w:val="22"/>
          <w:szCs w:val="22"/>
          <w:lang w:eastAsia="en-US"/>
        </w:rPr>
        <w:t>Договору о присоединении к торговой системе оптового рынка</w:t>
      </w:r>
      <w:r w:rsidRPr="001E07EC">
        <w:rPr>
          <w:rFonts w:ascii="Garamond" w:eastAsia="Calibri" w:hAnsi="Garamond" w:cs="Times New Roman"/>
          <w:bCs/>
          <w:sz w:val="22"/>
          <w:szCs w:val="22"/>
          <w:lang w:eastAsia="en-US"/>
        </w:rPr>
        <w:t>)</w:t>
      </w:r>
      <w:r w:rsidR="001E07EC" w:rsidRPr="001E07EC">
        <w:rPr>
          <w:rFonts w:ascii="Garamond" w:eastAsia="Calibri" w:hAnsi="Garamond" w:cs="Times New Roman"/>
          <w:bCs/>
          <w:sz w:val="22"/>
          <w:szCs w:val="22"/>
          <w:lang w:eastAsia="en-US"/>
        </w:rPr>
        <w:t>,</w:t>
      </w:r>
      <w:r w:rsidRPr="001E07EC">
        <w:rPr>
          <w:rFonts w:ascii="Garamond" w:eastAsia="Calibri" w:hAnsi="Garamond" w:cs="Times New Roman"/>
          <w:bCs/>
          <w:sz w:val="22"/>
          <w:szCs w:val="22"/>
          <w:lang w:eastAsia="en-US"/>
        </w:rPr>
        <w:t xml:space="preserve"> необходимо предоставить в КО </w:t>
      </w:r>
      <w:r w:rsidRPr="001E07EC">
        <w:rPr>
          <w:rFonts w:ascii="Garamond" w:eastAsia="Calibri" w:hAnsi="Garamond" w:cs="Times New Roman"/>
          <w:sz w:val="22"/>
          <w:szCs w:val="22"/>
          <w:lang w:eastAsia="en-US"/>
        </w:rPr>
        <w:t xml:space="preserve">заявление </w:t>
      </w:r>
      <w:r w:rsidR="00774552" w:rsidRPr="001E07EC">
        <w:rPr>
          <w:rFonts w:ascii="Garamond" w:eastAsia="Calibri" w:hAnsi="Garamond" w:cs="Times New Roman"/>
          <w:sz w:val="22"/>
          <w:szCs w:val="22"/>
          <w:lang w:eastAsia="en-US"/>
        </w:rPr>
        <w:t>о</w:t>
      </w:r>
      <w:r w:rsidRPr="001E07EC">
        <w:rPr>
          <w:rFonts w:ascii="Garamond" w:eastAsia="Calibri" w:hAnsi="Garamond" w:cs="Times New Roman"/>
          <w:sz w:val="22"/>
          <w:szCs w:val="22"/>
          <w:lang w:eastAsia="en-US"/>
        </w:rPr>
        <w:t xml:space="preserve"> регистраци</w:t>
      </w:r>
      <w:r w:rsidR="00774552" w:rsidRPr="001E07EC">
        <w:rPr>
          <w:rFonts w:ascii="Garamond" w:eastAsia="Calibri" w:hAnsi="Garamond" w:cs="Times New Roman"/>
          <w:sz w:val="22"/>
          <w:szCs w:val="22"/>
          <w:lang w:eastAsia="en-US"/>
        </w:rPr>
        <w:t>и</w:t>
      </w:r>
      <w:r w:rsidRPr="001E07EC">
        <w:rPr>
          <w:rFonts w:ascii="Garamond" w:eastAsia="Calibri" w:hAnsi="Garamond" w:cs="Times New Roman"/>
          <w:sz w:val="22"/>
          <w:szCs w:val="22"/>
          <w:lang w:eastAsia="en-US"/>
        </w:rPr>
        <w:t xml:space="preserve"> изменений объекта регулирования</w:t>
      </w:r>
      <w:r w:rsidR="00774552" w:rsidRPr="001E07EC">
        <w:rPr>
          <w:rFonts w:ascii="Garamond" w:eastAsia="Calibri" w:hAnsi="Garamond" w:cs="Times New Roman"/>
          <w:sz w:val="22"/>
          <w:szCs w:val="22"/>
          <w:lang w:eastAsia="en-US"/>
        </w:rPr>
        <w:t xml:space="preserve"> и аттестации</w:t>
      </w:r>
      <w:r w:rsidRPr="001E07EC">
        <w:rPr>
          <w:rFonts w:ascii="Garamond" w:eastAsia="Calibri" w:hAnsi="Garamond" w:cs="Times New Roman"/>
          <w:sz w:val="22"/>
          <w:szCs w:val="22"/>
          <w:lang w:eastAsia="en-US"/>
        </w:rPr>
        <w:t xml:space="preserve"> объекта регулирования</w:t>
      </w:r>
      <w:r w:rsidRPr="001E07EC">
        <w:rPr>
          <w:rFonts w:ascii="Garamond" w:eastAsia="Calibri" w:hAnsi="Garamond" w:cs="Times New Roman"/>
          <w:bCs/>
          <w:sz w:val="22"/>
          <w:szCs w:val="22"/>
          <w:lang w:eastAsia="en-US"/>
        </w:rPr>
        <w:t xml:space="preserve"> по форме 2</w:t>
      </w:r>
      <w:r w:rsidR="001E07EC" w:rsidRPr="001E07EC">
        <w:rPr>
          <w:rFonts w:ascii="Garamond" w:eastAsia="Calibri" w:hAnsi="Garamond" w:cs="Times New Roman"/>
          <w:bCs/>
          <w:sz w:val="22"/>
          <w:szCs w:val="22"/>
          <w:lang w:eastAsia="en-US"/>
        </w:rPr>
        <w:t>,</w:t>
      </w:r>
      <w:r w:rsidRPr="001E07EC">
        <w:rPr>
          <w:rFonts w:ascii="Garamond" w:eastAsia="Calibri" w:hAnsi="Garamond" w:cs="Times New Roman"/>
          <w:bCs/>
          <w:sz w:val="22"/>
          <w:szCs w:val="22"/>
          <w:lang w:eastAsia="en-US"/>
        </w:rPr>
        <w:t xml:space="preserve"> указанной в настоящем приложении (код формы PART_ATS_ZAJAVL_IZMEN</w:t>
      </w:r>
      <w:r w:rsidRPr="00AD67C2">
        <w:rPr>
          <w:rFonts w:ascii="Garamond" w:eastAsia="Calibri" w:hAnsi="Garamond" w:cs="Times New Roman"/>
          <w:bCs/>
          <w:sz w:val="22"/>
          <w:szCs w:val="22"/>
          <w:lang w:eastAsia="en-US"/>
        </w:rPr>
        <w:t>_OREG_</w:t>
      </w:r>
      <w:r w:rsidRPr="00AD67C2">
        <w:rPr>
          <w:rFonts w:ascii="Garamond" w:eastAsia="Calibri" w:hAnsi="Garamond" w:cs="Times New Roman"/>
          <w:bCs/>
          <w:sz w:val="22"/>
          <w:szCs w:val="22"/>
          <w:lang w:val="en-US" w:eastAsia="en-US"/>
        </w:rPr>
        <w:t>WEB</w:t>
      </w:r>
      <w:r w:rsidRPr="00AD67C2">
        <w:rPr>
          <w:rFonts w:ascii="Garamond" w:eastAsia="Calibri" w:hAnsi="Garamond" w:cs="Times New Roman"/>
          <w:bCs/>
          <w:sz w:val="22"/>
          <w:szCs w:val="22"/>
          <w:lang w:eastAsia="en-US"/>
        </w:rPr>
        <w:t xml:space="preserve">), а также документы, подтверждающие изменение регистрационной информации, указанные в п </w:t>
      </w:r>
      <w:r w:rsidRPr="00AD67C2">
        <w:rPr>
          <w:rFonts w:ascii="Garamond" w:eastAsia="Calibri" w:hAnsi="Garamond" w:cs="Times New Roman"/>
          <w:bCs/>
          <w:sz w:val="22"/>
          <w:szCs w:val="22"/>
          <w:lang w:eastAsia="en-US"/>
        </w:rPr>
        <w:fldChar w:fldCharType="begin"/>
      </w:r>
      <w:r w:rsidRPr="00AD67C2">
        <w:rPr>
          <w:rFonts w:ascii="Garamond" w:eastAsia="Calibri" w:hAnsi="Garamond" w:cs="Times New Roman"/>
          <w:bCs/>
          <w:sz w:val="22"/>
          <w:szCs w:val="22"/>
          <w:lang w:eastAsia="en-US"/>
        </w:rPr>
        <w:instrText xml:space="preserve"> REF _Ref149311630 \r \h </w:instrText>
      </w:r>
      <w:r w:rsidR="00535AC2" w:rsidRPr="00AD67C2">
        <w:rPr>
          <w:rFonts w:ascii="Garamond" w:eastAsia="Calibri" w:hAnsi="Garamond" w:cs="Times New Roman"/>
          <w:bCs/>
          <w:sz w:val="22"/>
          <w:szCs w:val="22"/>
          <w:lang w:eastAsia="en-US"/>
        </w:rPr>
        <w:instrText xml:space="preserve"> \* MERGEFORMAT </w:instrText>
      </w:r>
      <w:r w:rsidRPr="00AD67C2">
        <w:rPr>
          <w:rFonts w:ascii="Garamond" w:eastAsia="Calibri" w:hAnsi="Garamond" w:cs="Times New Roman"/>
          <w:bCs/>
          <w:sz w:val="22"/>
          <w:szCs w:val="22"/>
          <w:lang w:eastAsia="en-US"/>
        </w:rPr>
      </w:r>
      <w:r w:rsidRPr="00AD67C2">
        <w:rPr>
          <w:rFonts w:ascii="Garamond" w:eastAsia="Calibri" w:hAnsi="Garamond" w:cs="Times New Roman"/>
          <w:bCs/>
          <w:sz w:val="22"/>
          <w:szCs w:val="22"/>
          <w:lang w:eastAsia="en-US"/>
        </w:rPr>
        <w:fldChar w:fldCharType="separate"/>
      </w:r>
      <w:r w:rsidRPr="00AD67C2">
        <w:rPr>
          <w:rFonts w:ascii="Garamond" w:eastAsia="Calibri" w:hAnsi="Garamond" w:cs="Times New Roman"/>
          <w:bCs/>
          <w:sz w:val="22"/>
          <w:szCs w:val="22"/>
          <w:lang w:eastAsia="en-US"/>
        </w:rPr>
        <w:t>2.1</w:t>
      </w:r>
      <w:r w:rsidRPr="00AD67C2">
        <w:rPr>
          <w:rFonts w:ascii="Garamond" w:eastAsia="Calibri" w:hAnsi="Garamond" w:cs="Times New Roman"/>
          <w:bCs/>
          <w:sz w:val="22"/>
          <w:szCs w:val="22"/>
          <w:lang w:eastAsia="en-US"/>
        </w:rPr>
        <w:fldChar w:fldCharType="end"/>
      </w:r>
      <w:r w:rsidRPr="00AD67C2">
        <w:rPr>
          <w:rFonts w:ascii="Garamond" w:eastAsia="Calibri" w:hAnsi="Garamond" w:cs="Times New Roman"/>
          <w:bCs/>
          <w:sz w:val="22"/>
          <w:szCs w:val="22"/>
          <w:lang w:eastAsia="en-US"/>
        </w:rPr>
        <w:t xml:space="preserve"> настоящего приложения (предоставляются только документы, в которых отражены заявленные изменения, при этом в случае внесения изменений в ПСИ, а также в связи </w:t>
      </w:r>
      <w:r w:rsidR="001E07EC">
        <w:rPr>
          <w:rFonts w:ascii="Garamond" w:eastAsia="Calibri" w:hAnsi="Garamond" w:cs="Times New Roman"/>
          <w:bCs/>
          <w:sz w:val="22"/>
          <w:szCs w:val="22"/>
          <w:lang w:eastAsia="en-US"/>
        </w:rPr>
        <w:t xml:space="preserve">с </w:t>
      </w:r>
      <w:r w:rsidRPr="00AD67C2">
        <w:rPr>
          <w:rFonts w:ascii="Garamond" w:eastAsia="Calibri" w:hAnsi="Garamond" w:cs="Times New Roman"/>
          <w:bCs/>
          <w:sz w:val="22"/>
          <w:szCs w:val="22"/>
          <w:lang w:eastAsia="en-US"/>
        </w:rPr>
        <w:t xml:space="preserve">истечением срока подтверждения соответствия системы учета электроэнергии техническим требованиям оптового рынка по объекту регулирования либо в связи с отрицательным результатом проверки объекта регулирования, проведенной в порядке и сроки, указанные в </w:t>
      </w:r>
      <w:r w:rsidRPr="00AD67C2">
        <w:rPr>
          <w:rFonts w:ascii="Garamond" w:eastAsia="Calibri" w:hAnsi="Garamond" w:cs="Times New Roman"/>
          <w:bCs/>
          <w:i/>
          <w:sz w:val="22"/>
          <w:szCs w:val="22"/>
          <w:lang w:eastAsia="en-US"/>
        </w:rPr>
        <w:t xml:space="preserve">Регламенте проведения проверок систем коммерческого учета субъектов оптового рынка </w:t>
      </w:r>
      <w:r w:rsidRPr="00AD67C2">
        <w:rPr>
          <w:rFonts w:ascii="Garamond" w:eastAsia="Calibri" w:hAnsi="Garamond" w:cs="Times New Roman"/>
          <w:bCs/>
          <w:sz w:val="22"/>
          <w:szCs w:val="22"/>
          <w:lang w:eastAsia="en-US"/>
        </w:rPr>
        <w:t xml:space="preserve">(Приложение № 18 к </w:t>
      </w:r>
      <w:r w:rsidR="001E07EC">
        <w:rPr>
          <w:rFonts w:ascii="Garamond" w:eastAsia="Calibri" w:hAnsi="Garamond" w:cs="Times New Roman"/>
          <w:bCs/>
          <w:i/>
          <w:sz w:val="22"/>
          <w:szCs w:val="22"/>
          <w:lang w:eastAsia="en-US"/>
        </w:rPr>
        <w:t>Договору о </w:t>
      </w:r>
      <w:r w:rsidRPr="00AD67C2">
        <w:rPr>
          <w:rFonts w:ascii="Garamond" w:eastAsia="Calibri" w:hAnsi="Garamond" w:cs="Times New Roman"/>
          <w:bCs/>
          <w:i/>
          <w:sz w:val="22"/>
          <w:szCs w:val="22"/>
          <w:lang w:eastAsia="en-US"/>
        </w:rPr>
        <w:t>присоединении к торговой системе оптового рынка)</w:t>
      </w:r>
      <w:r w:rsidR="001E07EC">
        <w:rPr>
          <w:rFonts w:ascii="Garamond" w:eastAsia="Calibri" w:hAnsi="Garamond" w:cs="Times New Roman"/>
          <w:bCs/>
          <w:sz w:val="22"/>
          <w:szCs w:val="22"/>
          <w:lang w:eastAsia="en-US"/>
        </w:rPr>
        <w:t>,</w:t>
      </w:r>
      <w:r w:rsidRPr="00AD67C2">
        <w:rPr>
          <w:rFonts w:ascii="Garamond" w:eastAsia="Calibri" w:hAnsi="Garamond" w:cs="Times New Roman"/>
          <w:bCs/>
          <w:sz w:val="22"/>
          <w:szCs w:val="22"/>
          <w:lang w:eastAsia="en-US"/>
        </w:rPr>
        <w:t xml:space="preserve"> обязательно предоставление ответной квитанции (макет 60001), полученной в порядке, определенном приложением 5 к </w:t>
      </w:r>
      <w:r w:rsidRPr="00AD67C2">
        <w:rPr>
          <w:rFonts w:ascii="Garamond" w:eastAsia="Calibri" w:hAnsi="Garamond" w:cs="Times New Roman"/>
          <w:bCs/>
          <w:i/>
          <w:sz w:val="22"/>
          <w:szCs w:val="22"/>
          <w:lang w:eastAsia="en-US"/>
        </w:rPr>
        <w:t>Регламенту коммерческого учета электроэнергии и мощности</w:t>
      </w:r>
      <w:r w:rsidRPr="00AD67C2">
        <w:rPr>
          <w:rFonts w:ascii="Garamond" w:eastAsia="Calibri" w:hAnsi="Garamond" w:cs="Times New Roman"/>
          <w:bCs/>
          <w:sz w:val="22"/>
          <w:szCs w:val="22"/>
          <w:lang w:eastAsia="en-US"/>
        </w:rPr>
        <w:t xml:space="preserve"> (Приложение № 11 к </w:t>
      </w:r>
      <w:r w:rsidRPr="00AD67C2">
        <w:rPr>
          <w:rFonts w:ascii="Garamond" w:eastAsia="Calibri" w:hAnsi="Garamond" w:cs="Times New Roman"/>
          <w:bCs/>
          <w:i/>
          <w:sz w:val="22"/>
          <w:szCs w:val="22"/>
          <w:lang w:eastAsia="en-US"/>
        </w:rPr>
        <w:t>Договору о присоединении к торговой системе оптового рынка</w:t>
      </w:r>
      <w:r w:rsidRPr="00AD67C2">
        <w:rPr>
          <w:rFonts w:ascii="Garamond" w:eastAsia="Calibri" w:hAnsi="Garamond" w:cs="Times New Roman"/>
          <w:bCs/>
          <w:sz w:val="22"/>
          <w:szCs w:val="22"/>
          <w:lang w:eastAsia="en-US"/>
        </w:rPr>
        <w:t>)).</w:t>
      </w:r>
    </w:p>
    <w:p w14:paraId="3BED51B3" w14:textId="0373B72A" w:rsidR="001333B2" w:rsidRPr="00AD67C2" w:rsidRDefault="001333B2" w:rsidP="00AD67C2">
      <w:pPr>
        <w:widowControl w:val="0"/>
        <w:tabs>
          <w:tab w:val="left" w:pos="1077"/>
        </w:tabs>
        <w:suppressAutoHyphens w:val="0"/>
        <w:spacing w:before="120" w:after="120"/>
        <w:ind w:firstLine="601"/>
        <w:jc w:val="both"/>
        <w:rPr>
          <w:rFonts w:ascii="Garamond" w:eastAsia="Calibri" w:hAnsi="Garamond" w:cs="Times New Roman"/>
          <w:bCs/>
          <w:sz w:val="22"/>
          <w:szCs w:val="22"/>
          <w:lang w:eastAsia="en-US"/>
        </w:rPr>
      </w:pPr>
      <w:r w:rsidRPr="00AD67C2">
        <w:rPr>
          <w:rFonts w:ascii="Garamond" w:eastAsia="Calibri" w:hAnsi="Garamond" w:cs="Times New Roman"/>
          <w:bCs/>
          <w:sz w:val="22"/>
          <w:szCs w:val="22"/>
          <w:lang w:eastAsia="en-US"/>
        </w:rPr>
        <w:t xml:space="preserve">Процедура регистрации </w:t>
      </w:r>
      <w:r w:rsidRPr="001E07EC">
        <w:rPr>
          <w:rFonts w:ascii="Garamond" w:eastAsia="Calibri" w:hAnsi="Garamond" w:cs="Times New Roman"/>
          <w:bCs/>
          <w:sz w:val="22"/>
          <w:szCs w:val="22"/>
          <w:lang w:eastAsia="en-US"/>
        </w:rPr>
        <w:t xml:space="preserve">изменения объекта регулирования </w:t>
      </w:r>
      <w:r w:rsidR="007E4C69" w:rsidRPr="001E07EC">
        <w:rPr>
          <w:rFonts w:ascii="Garamond" w:eastAsia="Calibri" w:hAnsi="Garamond" w:cs="Times New Roman"/>
          <w:bCs/>
          <w:sz w:val="22"/>
          <w:szCs w:val="22"/>
          <w:lang w:eastAsia="en-US"/>
        </w:rPr>
        <w:t xml:space="preserve">оплачивается по ценам (тарифам), установленным в порядке, </w:t>
      </w:r>
      <w:r w:rsidR="00521B73" w:rsidRPr="001E07EC">
        <w:rPr>
          <w:rFonts w:ascii="Garamond" w:eastAsia="Calibri" w:hAnsi="Garamond" w:cs="Times New Roman"/>
          <w:bCs/>
          <w:sz w:val="22"/>
          <w:szCs w:val="22"/>
          <w:lang w:eastAsia="en-US"/>
        </w:rPr>
        <w:t xml:space="preserve">определенном </w:t>
      </w:r>
      <w:r w:rsidR="007E4C69" w:rsidRPr="001E07EC">
        <w:rPr>
          <w:rFonts w:ascii="Garamond" w:eastAsia="Calibri" w:hAnsi="Garamond" w:cs="Times New Roman"/>
          <w:bCs/>
          <w:sz w:val="22"/>
          <w:szCs w:val="22"/>
          <w:lang w:eastAsia="en-US"/>
        </w:rPr>
        <w:t xml:space="preserve">законодательством Российской Федерации, и </w:t>
      </w:r>
      <w:r w:rsidRPr="001E07EC">
        <w:rPr>
          <w:rFonts w:ascii="Garamond" w:eastAsia="Calibri" w:hAnsi="Garamond" w:cs="Times New Roman"/>
          <w:bCs/>
          <w:sz w:val="22"/>
          <w:szCs w:val="22"/>
          <w:lang w:eastAsia="en-US"/>
        </w:rPr>
        <w:t>проводится на основании предоставленного заявителем комплекта документов, указанного в настоящем пункте, и включает в себя:</w:t>
      </w:r>
    </w:p>
    <w:p w14:paraId="1A64033E" w14:textId="77777777" w:rsidR="001333B2" w:rsidRPr="001E07EC" w:rsidRDefault="002A169F" w:rsidP="00AD67C2">
      <w:pPr>
        <w:widowControl w:val="0"/>
        <w:numPr>
          <w:ilvl w:val="0"/>
          <w:numId w:val="341"/>
        </w:numPr>
        <w:tabs>
          <w:tab w:val="left" w:pos="851"/>
          <w:tab w:val="left" w:pos="1077"/>
        </w:tabs>
        <w:suppressAutoHyphens w:val="0"/>
        <w:spacing w:before="120" w:after="120" w:line="259" w:lineRule="auto"/>
        <w:ind w:left="0" w:firstLine="601"/>
        <w:jc w:val="both"/>
        <w:rPr>
          <w:rFonts w:ascii="Garamond" w:eastAsia="Calibri" w:hAnsi="Garamond" w:cs="Times New Roman"/>
          <w:bCs/>
          <w:sz w:val="22"/>
          <w:szCs w:val="22"/>
          <w:lang w:eastAsia="en-US"/>
        </w:rPr>
      </w:pPr>
      <w:r w:rsidRPr="00AD67C2">
        <w:rPr>
          <w:rFonts w:ascii="Garamond" w:eastAsia="Calibri" w:hAnsi="Garamond" w:cs="Times New Roman"/>
          <w:bCs/>
          <w:sz w:val="22"/>
          <w:szCs w:val="22"/>
          <w:lang w:eastAsia="en-US"/>
        </w:rPr>
        <w:t xml:space="preserve">проверку комплектности документов заявителя, реквизитов макета 60001 (значение id-файла), указанных в ответной квитанции (при наличии), и оплаты </w:t>
      </w:r>
      <w:r w:rsidRPr="001E07EC">
        <w:rPr>
          <w:rFonts w:ascii="Garamond" w:eastAsia="Calibri" w:hAnsi="Garamond" w:cs="Times New Roman"/>
          <w:bCs/>
          <w:sz w:val="22"/>
          <w:szCs w:val="22"/>
          <w:lang w:eastAsia="en-US"/>
        </w:rPr>
        <w:t>заявителем услуг</w:t>
      </w:r>
      <w:r w:rsidR="007E4C69" w:rsidRPr="001E07EC">
        <w:rPr>
          <w:rFonts w:ascii="Garamond" w:eastAsia="Calibri" w:hAnsi="Garamond" w:cs="Times New Roman"/>
          <w:bCs/>
          <w:sz w:val="22"/>
          <w:szCs w:val="22"/>
          <w:lang w:eastAsia="en-US"/>
        </w:rPr>
        <w:t>и</w:t>
      </w:r>
      <w:r w:rsidRPr="001E07EC">
        <w:rPr>
          <w:rFonts w:ascii="Garamond" w:eastAsia="Calibri" w:hAnsi="Garamond" w:cs="Times New Roman"/>
          <w:bCs/>
          <w:sz w:val="22"/>
          <w:szCs w:val="22"/>
          <w:lang w:eastAsia="en-US"/>
        </w:rPr>
        <w:t xml:space="preserve"> КО по процедуре регистрации изменений объекта регулирования</w:t>
      </w:r>
      <w:r w:rsidR="001333B2" w:rsidRPr="001E07EC">
        <w:rPr>
          <w:rFonts w:ascii="Garamond" w:eastAsia="Calibri" w:hAnsi="Garamond" w:cs="Times New Roman"/>
          <w:bCs/>
          <w:sz w:val="22"/>
          <w:szCs w:val="22"/>
          <w:lang w:eastAsia="en-US"/>
        </w:rPr>
        <w:t xml:space="preserve"> (при наличии);</w:t>
      </w:r>
    </w:p>
    <w:p w14:paraId="09DD1261" w14:textId="77777777" w:rsidR="001333B2" w:rsidRPr="001E07EC" w:rsidRDefault="001333B2" w:rsidP="00AD67C2">
      <w:pPr>
        <w:widowControl w:val="0"/>
        <w:numPr>
          <w:ilvl w:val="0"/>
          <w:numId w:val="341"/>
        </w:numPr>
        <w:tabs>
          <w:tab w:val="left" w:pos="851"/>
          <w:tab w:val="left" w:pos="1077"/>
        </w:tabs>
        <w:suppressAutoHyphens w:val="0"/>
        <w:spacing w:before="120" w:after="120" w:line="259" w:lineRule="auto"/>
        <w:ind w:left="0" w:firstLine="601"/>
        <w:jc w:val="both"/>
        <w:rPr>
          <w:rFonts w:ascii="Garamond" w:eastAsia="Calibri" w:hAnsi="Garamond" w:cs="Times New Roman"/>
          <w:bCs/>
          <w:sz w:val="22"/>
          <w:szCs w:val="22"/>
          <w:lang w:eastAsia="en-US"/>
        </w:rPr>
      </w:pPr>
      <w:r w:rsidRPr="00AD67C2">
        <w:rPr>
          <w:rFonts w:ascii="Garamond" w:eastAsia="Calibri" w:hAnsi="Garamond" w:cs="Times New Roman"/>
          <w:bCs/>
          <w:sz w:val="22"/>
          <w:szCs w:val="22"/>
          <w:lang w:eastAsia="en-US"/>
        </w:rPr>
        <w:t xml:space="preserve">проведение процедуры кодирования (при наличии в комплекте документов ответной </w:t>
      </w:r>
      <w:r w:rsidRPr="00AD67C2">
        <w:rPr>
          <w:rFonts w:ascii="Garamond" w:eastAsia="Calibri" w:hAnsi="Garamond" w:cs="Times New Roman"/>
          <w:bCs/>
          <w:sz w:val="22"/>
          <w:szCs w:val="22"/>
          <w:lang w:eastAsia="en-US"/>
        </w:rPr>
        <w:lastRenderedPageBreak/>
        <w:t xml:space="preserve">квитанции (макет </w:t>
      </w:r>
      <w:r w:rsidRPr="001E07EC">
        <w:rPr>
          <w:rFonts w:ascii="Garamond" w:eastAsia="Calibri" w:hAnsi="Garamond" w:cs="Times New Roman"/>
          <w:bCs/>
          <w:sz w:val="22"/>
          <w:szCs w:val="22"/>
          <w:lang w:eastAsia="en-US"/>
        </w:rPr>
        <w:t>60001));</w:t>
      </w:r>
    </w:p>
    <w:p w14:paraId="0116D734" w14:textId="77777777" w:rsidR="008B3675" w:rsidRPr="001E07EC" w:rsidRDefault="008B3675" w:rsidP="00AD67C2">
      <w:pPr>
        <w:pStyle w:val="affff3"/>
        <w:numPr>
          <w:ilvl w:val="0"/>
          <w:numId w:val="341"/>
        </w:numPr>
        <w:tabs>
          <w:tab w:val="left" w:pos="851"/>
        </w:tabs>
        <w:ind w:left="0" w:firstLine="601"/>
      </w:pPr>
      <w:r w:rsidRPr="001E07EC">
        <w:t>действия в отношении объекта регулирования, выполняемые Системным оператором;</w:t>
      </w:r>
    </w:p>
    <w:p w14:paraId="644A8FB3" w14:textId="77777777" w:rsidR="001333B2" w:rsidRPr="00AD67C2" w:rsidRDefault="001333B2" w:rsidP="00AD67C2">
      <w:pPr>
        <w:widowControl w:val="0"/>
        <w:numPr>
          <w:ilvl w:val="0"/>
          <w:numId w:val="341"/>
        </w:numPr>
        <w:tabs>
          <w:tab w:val="left" w:pos="851"/>
          <w:tab w:val="left" w:pos="1077"/>
        </w:tabs>
        <w:suppressAutoHyphens w:val="0"/>
        <w:spacing w:before="120" w:after="120" w:line="259" w:lineRule="auto"/>
        <w:ind w:left="0" w:firstLine="601"/>
        <w:jc w:val="both"/>
        <w:rPr>
          <w:rFonts w:ascii="Garamond" w:eastAsia="Calibri" w:hAnsi="Garamond" w:cs="Times New Roman"/>
          <w:bCs/>
          <w:sz w:val="22"/>
          <w:szCs w:val="22"/>
          <w:lang w:eastAsia="en-US"/>
        </w:rPr>
      </w:pPr>
      <w:r w:rsidRPr="001E07EC">
        <w:rPr>
          <w:rFonts w:ascii="Garamond" w:eastAsia="Calibri" w:hAnsi="Garamond" w:cs="Times New Roman"/>
          <w:bCs/>
          <w:sz w:val="22"/>
          <w:szCs w:val="22"/>
          <w:lang w:eastAsia="en-US"/>
        </w:rPr>
        <w:t>проведение проверки документов заявителя в том числе на соответствие заявленных изменений требованиям настоящего</w:t>
      </w:r>
      <w:r w:rsidRPr="00AD67C2">
        <w:rPr>
          <w:rFonts w:ascii="Garamond" w:eastAsia="Calibri" w:hAnsi="Garamond" w:cs="Times New Roman"/>
          <w:bCs/>
          <w:sz w:val="22"/>
          <w:szCs w:val="22"/>
          <w:lang w:eastAsia="en-US"/>
        </w:rPr>
        <w:t xml:space="preserve"> приложения;</w:t>
      </w:r>
    </w:p>
    <w:p w14:paraId="1B77AD82" w14:textId="6744B8C1" w:rsidR="001333B2" w:rsidRPr="00AD67C2" w:rsidRDefault="001333B2" w:rsidP="00AD67C2">
      <w:pPr>
        <w:widowControl w:val="0"/>
        <w:numPr>
          <w:ilvl w:val="0"/>
          <w:numId w:val="341"/>
        </w:numPr>
        <w:tabs>
          <w:tab w:val="left" w:pos="851"/>
          <w:tab w:val="left" w:pos="1077"/>
        </w:tabs>
        <w:suppressAutoHyphens w:val="0"/>
        <w:spacing w:before="120" w:after="120" w:line="259" w:lineRule="auto"/>
        <w:ind w:left="0" w:firstLine="601"/>
        <w:jc w:val="both"/>
        <w:rPr>
          <w:rFonts w:ascii="Garamond" w:eastAsia="Calibri" w:hAnsi="Garamond" w:cs="Times New Roman"/>
          <w:bCs/>
          <w:sz w:val="22"/>
          <w:szCs w:val="22"/>
          <w:lang w:eastAsia="en-US"/>
        </w:rPr>
      </w:pPr>
      <w:r w:rsidRPr="00AD67C2">
        <w:rPr>
          <w:rFonts w:ascii="Garamond" w:eastAsia="Calibri" w:hAnsi="Garamond" w:cs="Times New Roman"/>
          <w:bCs/>
          <w:sz w:val="22"/>
          <w:szCs w:val="22"/>
          <w:lang w:eastAsia="en-US"/>
        </w:rPr>
        <w:t>проведение проверки пред</w:t>
      </w:r>
      <w:r w:rsidR="001E07EC">
        <w:rPr>
          <w:rFonts w:ascii="Garamond" w:eastAsia="Calibri" w:hAnsi="Garamond" w:cs="Times New Roman"/>
          <w:bCs/>
          <w:sz w:val="22"/>
          <w:szCs w:val="22"/>
          <w:lang w:eastAsia="en-US"/>
        </w:rPr>
        <w:t>о</w:t>
      </w:r>
      <w:r w:rsidRPr="00AD67C2">
        <w:rPr>
          <w:rFonts w:ascii="Garamond" w:eastAsia="Calibri" w:hAnsi="Garamond" w:cs="Times New Roman"/>
          <w:bCs/>
          <w:sz w:val="22"/>
          <w:szCs w:val="22"/>
          <w:lang w:eastAsia="en-US"/>
        </w:rPr>
        <w:t xml:space="preserve">ставленного заявителем ПСИ на соответствие требованиям </w:t>
      </w:r>
      <w:r w:rsidRPr="00AD67C2">
        <w:rPr>
          <w:rFonts w:ascii="Garamond" w:eastAsia="Calibri" w:hAnsi="Garamond" w:cs="Times New Roman"/>
          <w:bCs/>
          <w:i/>
          <w:sz w:val="22"/>
          <w:szCs w:val="22"/>
          <w:lang w:eastAsia="en-US"/>
        </w:rPr>
        <w:t>Регламента коммерческого учета электроэнергии и мощности</w:t>
      </w:r>
      <w:r w:rsidRPr="00AD67C2">
        <w:rPr>
          <w:rFonts w:ascii="Garamond" w:eastAsia="Calibri" w:hAnsi="Garamond" w:cs="Times New Roman"/>
          <w:bCs/>
          <w:sz w:val="22"/>
          <w:szCs w:val="22"/>
          <w:lang w:eastAsia="en-US"/>
        </w:rPr>
        <w:t xml:space="preserve"> (Приложение № 11 к Д</w:t>
      </w:r>
      <w:r w:rsidR="001E07EC">
        <w:rPr>
          <w:rFonts w:ascii="Garamond" w:eastAsia="Calibri" w:hAnsi="Garamond" w:cs="Times New Roman"/>
          <w:bCs/>
          <w:i/>
          <w:sz w:val="22"/>
          <w:szCs w:val="22"/>
          <w:lang w:eastAsia="en-US"/>
        </w:rPr>
        <w:t>оговору о присоединении к </w:t>
      </w:r>
      <w:r w:rsidRPr="00AD67C2">
        <w:rPr>
          <w:rFonts w:ascii="Garamond" w:eastAsia="Calibri" w:hAnsi="Garamond" w:cs="Times New Roman"/>
          <w:bCs/>
          <w:i/>
          <w:sz w:val="22"/>
          <w:szCs w:val="22"/>
          <w:lang w:eastAsia="en-US"/>
        </w:rPr>
        <w:t>торговой системе оптового рынка</w:t>
      </w:r>
      <w:r w:rsidRPr="00AD67C2">
        <w:rPr>
          <w:rFonts w:ascii="Garamond" w:eastAsia="Calibri" w:hAnsi="Garamond" w:cs="Times New Roman"/>
          <w:bCs/>
          <w:sz w:val="22"/>
          <w:szCs w:val="22"/>
          <w:lang w:eastAsia="en-US"/>
        </w:rPr>
        <w:t>) и проведение расчета учетного показателя (при наличии ответной квитанции (макет 60001) в составе комплекта документов заявителя);</w:t>
      </w:r>
    </w:p>
    <w:p w14:paraId="59480D3F" w14:textId="77777777" w:rsidR="001333B2" w:rsidRPr="00AD67C2" w:rsidRDefault="001333B2" w:rsidP="00AD67C2">
      <w:pPr>
        <w:widowControl w:val="0"/>
        <w:numPr>
          <w:ilvl w:val="0"/>
          <w:numId w:val="341"/>
        </w:numPr>
        <w:tabs>
          <w:tab w:val="left" w:pos="851"/>
          <w:tab w:val="left" w:pos="1077"/>
        </w:tabs>
        <w:suppressAutoHyphens w:val="0"/>
        <w:spacing w:before="120" w:after="120" w:line="259" w:lineRule="auto"/>
        <w:ind w:left="0" w:firstLine="601"/>
        <w:jc w:val="both"/>
        <w:rPr>
          <w:rFonts w:ascii="Garamond" w:eastAsia="Calibri" w:hAnsi="Garamond" w:cs="Times New Roman"/>
          <w:bCs/>
          <w:sz w:val="22"/>
          <w:szCs w:val="22"/>
          <w:lang w:eastAsia="en-US"/>
        </w:rPr>
      </w:pPr>
      <w:r w:rsidRPr="00AD67C2">
        <w:rPr>
          <w:rFonts w:ascii="Garamond" w:eastAsia="Calibri" w:hAnsi="Garamond" w:cs="Times New Roman"/>
          <w:bCs/>
          <w:sz w:val="22"/>
          <w:szCs w:val="22"/>
          <w:lang w:eastAsia="en-US"/>
        </w:rPr>
        <w:t>подтверждение соответствия системы учета техническим требованиям оптового рынка по объекту регулирования (при наличии ответной квитанции (макет 60001) в составе комплекта документов заявителя);</w:t>
      </w:r>
    </w:p>
    <w:p w14:paraId="3C310C7E" w14:textId="77777777" w:rsidR="001333B2" w:rsidRPr="001E07EC" w:rsidRDefault="001333B2" w:rsidP="00AD67C2">
      <w:pPr>
        <w:widowControl w:val="0"/>
        <w:numPr>
          <w:ilvl w:val="0"/>
          <w:numId w:val="341"/>
        </w:numPr>
        <w:tabs>
          <w:tab w:val="left" w:pos="851"/>
          <w:tab w:val="left" w:pos="1077"/>
        </w:tabs>
        <w:suppressAutoHyphens w:val="0"/>
        <w:spacing w:before="120" w:after="120" w:line="259" w:lineRule="auto"/>
        <w:ind w:left="0" w:firstLine="601"/>
        <w:jc w:val="both"/>
        <w:rPr>
          <w:rFonts w:ascii="Garamond" w:eastAsia="Calibri" w:hAnsi="Garamond" w:cs="Times New Roman"/>
          <w:bCs/>
          <w:sz w:val="22"/>
          <w:szCs w:val="22"/>
          <w:lang w:eastAsia="en-US"/>
        </w:rPr>
      </w:pPr>
      <w:r w:rsidRPr="001E07EC">
        <w:rPr>
          <w:rFonts w:ascii="Garamond" w:eastAsia="Calibri" w:hAnsi="Garamond" w:cs="Times New Roman"/>
          <w:bCs/>
          <w:sz w:val="22"/>
          <w:szCs w:val="22"/>
          <w:lang w:eastAsia="en-US"/>
        </w:rPr>
        <w:t>регистрацию ПСИ (при наличии ответной квитанции (макет 60001) в составе комплекта документов заявителя);</w:t>
      </w:r>
    </w:p>
    <w:p w14:paraId="40B9191C" w14:textId="77777777" w:rsidR="001333B2" w:rsidRPr="001E07EC" w:rsidRDefault="002A169F" w:rsidP="00AD67C2">
      <w:pPr>
        <w:widowControl w:val="0"/>
        <w:numPr>
          <w:ilvl w:val="0"/>
          <w:numId w:val="341"/>
        </w:numPr>
        <w:tabs>
          <w:tab w:val="left" w:pos="851"/>
          <w:tab w:val="left" w:pos="1077"/>
        </w:tabs>
        <w:suppressAutoHyphens w:val="0"/>
        <w:spacing w:before="120" w:after="120" w:line="259" w:lineRule="auto"/>
        <w:ind w:left="0" w:firstLine="601"/>
        <w:jc w:val="both"/>
        <w:rPr>
          <w:rFonts w:ascii="Garamond" w:eastAsia="Calibri" w:hAnsi="Garamond" w:cs="Times New Roman"/>
          <w:bCs/>
          <w:sz w:val="22"/>
          <w:szCs w:val="22"/>
          <w:lang w:eastAsia="en-US"/>
        </w:rPr>
      </w:pPr>
      <w:r w:rsidRPr="001E07EC">
        <w:rPr>
          <w:rFonts w:ascii="Garamond" w:eastAsia="Calibri" w:hAnsi="Garamond" w:cs="Times New Roman"/>
          <w:bCs/>
          <w:sz w:val="22"/>
          <w:szCs w:val="22"/>
          <w:lang w:eastAsia="en-US"/>
        </w:rPr>
        <w:t xml:space="preserve">направление уведомлений о регистрации </w:t>
      </w:r>
      <w:r w:rsidR="00521B73" w:rsidRPr="001E07EC">
        <w:rPr>
          <w:rFonts w:ascii="Garamond" w:eastAsia="Calibri" w:hAnsi="Garamond" w:cs="Times New Roman"/>
          <w:bCs/>
          <w:sz w:val="22"/>
          <w:szCs w:val="22"/>
          <w:lang w:eastAsia="en-US"/>
        </w:rPr>
        <w:t xml:space="preserve">изменений </w:t>
      </w:r>
      <w:r w:rsidRPr="001E07EC">
        <w:rPr>
          <w:rFonts w:ascii="Garamond" w:eastAsia="Calibri" w:hAnsi="Garamond" w:cs="Times New Roman"/>
          <w:bCs/>
          <w:sz w:val="22"/>
          <w:szCs w:val="22"/>
          <w:lang w:eastAsia="en-US"/>
        </w:rPr>
        <w:t>объекта регулирования</w:t>
      </w:r>
      <w:r w:rsidR="001333B2" w:rsidRPr="001E07EC">
        <w:rPr>
          <w:rFonts w:ascii="Garamond" w:eastAsia="Calibri" w:hAnsi="Garamond" w:cs="Times New Roman"/>
          <w:bCs/>
          <w:sz w:val="22"/>
          <w:szCs w:val="22"/>
          <w:lang w:eastAsia="en-US"/>
        </w:rPr>
        <w:t>.</w:t>
      </w:r>
    </w:p>
    <w:p w14:paraId="18053120" w14:textId="61FBECE7" w:rsidR="001333B2" w:rsidRPr="00AD67C2" w:rsidRDefault="001333B2" w:rsidP="00AD67C2">
      <w:pPr>
        <w:widowControl w:val="0"/>
        <w:tabs>
          <w:tab w:val="left" w:pos="1077"/>
        </w:tabs>
        <w:suppressAutoHyphens w:val="0"/>
        <w:spacing w:before="120" w:after="120"/>
        <w:ind w:firstLine="601"/>
        <w:jc w:val="both"/>
        <w:rPr>
          <w:rFonts w:ascii="Garamond" w:eastAsia="Calibri" w:hAnsi="Garamond" w:cs="Times New Roman"/>
          <w:bCs/>
          <w:sz w:val="22"/>
          <w:szCs w:val="22"/>
          <w:lang w:eastAsia="en-US"/>
        </w:rPr>
      </w:pPr>
      <w:r w:rsidRPr="001E07EC">
        <w:rPr>
          <w:rFonts w:ascii="Garamond" w:eastAsia="Calibri" w:hAnsi="Garamond" w:cs="Times New Roman"/>
          <w:bCs/>
          <w:sz w:val="22"/>
          <w:szCs w:val="22"/>
          <w:lang w:eastAsia="en-US"/>
        </w:rPr>
        <w:t>Проверка пред</w:t>
      </w:r>
      <w:r w:rsidR="001E07EC">
        <w:rPr>
          <w:rFonts w:ascii="Garamond" w:eastAsia="Calibri" w:hAnsi="Garamond" w:cs="Times New Roman"/>
          <w:bCs/>
          <w:sz w:val="22"/>
          <w:szCs w:val="22"/>
          <w:lang w:eastAsia="en-US"/>
        </w:rPr>
        <w:t>о</w:t>
      </w:r>
      <w:r w:rsidRPr="001E07EC">
        <w:rPr>
          <w:rFonts w:ascii="Garamond" w:eastAsia="Calibri" w:hAnsi="Garamond" w:cs="Times New Roman"/>
          <w:bCs/>
          <w:sz w:val="22"/>
          <w:szCs w:val="22"/>
          <w:lang w:eastAsia="en-US"/>
        </w:rPr>
        <w:t xml:space="preserve">ставленных документов, а также процедура регистрации </w:t>
      </w:r>
      <w:r w:rsidR="008B3675" w:rsidRPr="001E07EC">
        <w:rPr>
          <w:rFonts w:ascii="Garamond" w:eastAsia="Calibri" w:hAnsi="Garamond" w:cs="Times New Roman"/>
          <w:bCs/>
          <w:sz w:val="22"/>
          <w:szCs w:val="22"/>
          <w:lang w:eastAsia="en-US"/>
        </w:rPr>
        <w:t xml:space="preserve">изменений </w:t>
      </w:r>
      <w:r w:rsidRPr="001E07EC">
        <w:rPr>
          <w:rFonts w:ascii="Garamond" w:eastAsia="Calibri" w:hAnsi="Garamond" w:cs="Times New Roman"/>
          <w:bCs/>
          <w:sz w:val="22"/>
          <w:szCs w:val="22"/>
          <w:lang w:eastAsia="en-US"/>
        </w:rPr>
        <w:t>объекта регулирования осуществляется в порядке и сроки, предусмотренные п</w:t>
      </w:r>
      <w:r w:rsidR="001B3CED" w:rsidRPr="001E07EC">
        <w:rPr>
          <w:rFonts w:ascii="Garamond" w:eastAsia="Calibri" w:hAnsi="Garamond" w:cs="Times New Roman"/>
          <w:bCs/>
          <w:sz w:val="22"/>
          <w:szCs w:val="22"/>
          <w:lang w:eastAsia="en-US"/>
        </w:rPr>
        <w:t>п</w:t>
      </w:r>
      <w:r w:rsidRPr="001E07EC">
        <w:rPr>
          <w:rFonts w:ascii="Garamond" w:eastAsia="Calibri" w:hAnsi="Garamond" w:cs="Times New Roman"/>
          <w:bCs/>
          <w:sz w:val="22"/>
          <w:szCs w:val="22"/>
          <w:lang w:eastAsia="en-US"/>
        </w:rPr>
        <w:t>. 3.3</w:t>
      </w:r>
      <w:r w:rsidR="001B3CED" w:rsidRPr="001E07EC">
        <w:rPr>
          <w:rFonts w:ascii="Garamond" w:eastAsia="Calibri" w:hAnsi="Garamond" w:cs="Times New Roman"/>
          <w:bCs/>
          <w:sz w:val="22"/>
          <w:szCs w:val="22"/>
          <w:lang w:eastAsia="en-US"/>
        </w:rPr>
        <w:t>–</w:t>
      </w:r>
      <w:r w:rsidRPr="001E07EC">
        <w:rPr>
          <w:rFonts w:ascii="Garamond" w:eastAsia="Calibri" w:hAnsi="Garamond" w:cs="Times New Roman"/>
          <w:bCs/>
          <w:sz w:val="22"/>
          <w:szCs w:val="22"/>
          <w:lang w:eastAsia="en-US"/>
        </w:rPr>
        <w:t>3.1</w:t>
      </w:r>
      <w:r w:rsidR="008B3675" w:rsidRPr="001E07EC">
        <w:rPr>
          <w:rFonts w:ascii="Garamond" w:eastAsia="Calibri" w:hAnsi="Garamond" w:cs="Times New Roman"/>
          <w:bCs/>
          <w:sz w:val="22"/>
          <w:szCs w:val="22"/>
          <w:lang w:eastAsia="en-US"/>
        </w:rPr>
        <w:t>2</w:t>
      </w:r>
      <w:r w:rsidRPr="001E07EC">
        <w:rPr>
          <w:rFonts w:ascii="Garamond" w:eastAsia="Calibri" w:hAnsi="Garamond" w:cs="Times New Roman"/>
          <w:bCs/>
          <w:sz w:val="22"/>
          <w:szCs w:val="22"/>
          <w:lang w:eastAsia="en-US"/>
        </w:rPr>
        <w:t xml:space="preserve"> настоящего </w:t>
      </w:r>
      <w:r w:rsidR="001E07EC">
        <w:rPr>
          <w:rFonts w:ascii="Garamond" w:eastAsia="Calibri" w:hAnsi="Garamond" w:cs="Times New Roman"/>
          <w:bCs/>
          <w:sz w:val="22"/>
          <w:szCs w:val="22"/>
          <w:lang w:eastAsia="en-US"/>
        </w:rPr>
        <w:t>п</w:t>
      </w:r>
      <w:r w:rsidRPr="001E07EC">
        <w:rPr>
          <w:rFonts w:ascii="Garamond" w:eastAsia="Calibri" w:hAnsi="Garamond" w:cs="Times New Roman"/>
          <w:bCs/>
          <w:sz w:val="22"/>
          <w:szCs w:val="22"/>
          <w:lang w:eastAsia="en-US"/>
        </w:rPr>
        <w:t>риложения.</w:t>
      </w:r>
    </w:p>
    <w:p w14:paraId="1A3A45F6" w14:textId="47FF9BB7" w:rsidR="001333B2" w:rsidRPr="00AD67C2" w:rsidRDefault="001333B2" w:rsidP="00AD67C2">
      <w:pPr>
        <w:keepNext/>
        <w:tabs>
          <w:tab w:val="left" w:pos="851"/>
        </w:tabs>
        <w:suppressAutoHyphens w:val="0"/>
        <w:spacing w:before="120" w:after="120"/>
        <w:ind w:firstLine="601"/>
        <w:outlineLvl w:val="0"/>
        <w:rPr>
          <w:rFonts w:ascii="Garamond" w:eastAsia="Times New Roman" w:hAnsi="Garamond" w:cs="Arial"/>
          <w:b/>
          <w:bCs/>
          <w:sz w:val="22"/>
          <w:szCs w:val="22"/>
        </w:rPr>
      </w:pPr>
      <w:r w:rsidRPr="00AD67C2">
        <w:rPr>
          <w:rFonts w:ascii="Garamond" w:eastAsia="Times New Roman" w:hAnsi="Garamond" w:cs="Arial"/>
          <w:b/>
          <w:bCs/>
          <w:sz w:val="22"/>
          <w:szCs w:val="22"/>
        </w:rPr>
        <w:t xml:space="preserve">5. Порядок взаимодействия КО и СО в рамках отбора на оказание услуг по управлению </w:t>
      </w:r>
      <w:r w:rsidR="003938D9" w:rsidRPr="00AD67C2">
        <w:rPr>
          <w:rFonts w:ascii="Garamond" w:eastAsia="Times New Roman" w:hAnsi="Garamond" w:cs="Arial"/>
          <w:b/>
          <w:bCs/>
          <w:sz w:val="22"/>
          <w:szCs w:val="22"/>
        </w:rPr>
        <w:t>изменением режима потребления электрической энергии</w:t>
      </w:r>
    </w:p>
    <w:p w14:paraId="489A9DB9" w14:textId="316DE606" w:rsidR="001333B2" w:rsidRPr="00AD67C2" w:rsidRDefault="001333B2" w:rsidP="003801DB">
      <w:pPr>
        <w:suppressAutoHyphens w:val="0"/>
        <w:spacing w:before="120" w:after="120" w:line="259" w:lineRule="auto"/>
        <w:ind w:firstLine="567"/>
        <w:jc w:val="both"/>
        <w:rPr>
          <w:rFonts w:ascii="Garamond" w:eastAsia="Times New Roman" w:hAnsi="Garamond" w:cs="Arial"/>
          <w:bCs/>
          <w:sz w:val="22"/>
          <w:szCs w:val="22"/>
        </w:rPr>
      </w:pPr>
      <w:bookmarkStart w:id="52" w:name="_Hlk130810141"/>
      <w:r w:rsidRPr="00AD67C2">
        <w:rPr>
          <w:rFonts w:ascii="Garamond" w:eastAsia="Calibri" w:hAnsi="Garamond" w:cs="Times New Roman"/>
          <w:sz w:val="22"/>
          <w:szCs w:val="22"/>
          <w:lang w:eastAsia="en-US"/>
        </w:rPr>
        <w:t xml:space="preserve">КО и СО осуществляют взаимодействие по обмену информацией о зарегистрированных </w:t>
      </w:r>
      <w:r w:rsidR="000F04F2" w:rsidRPr="00AD67C2">
        <w:rPr>
          <w:rFonts w:ascii="Garamond" w:eastAsia="Calibri" w:hAnsi="Garamond" w:cs="Times New Roman"/>
          <w:sz w:val="22"/>
          <w:szCs w:val="22"/>
          <w:lang w:eastAsia="en-US"/>
        </w:rPr>
        <w:t xml:space="preserve">объектах регулирования </w:t>
      </w:r>
      <w:r w:rsidRPr="00AD67C2">
        <w:rPr>
          <w:rFonts w:ascii="Garamond" w:eastAsia="Calibri" w:hAnsi="Garamond" w:cs="Times New Roman"/>
          <w:sz w:val="22"/>
          <w:szCs w:val="22"/>
          <w:lang w:eastAsia="en-US"/>
        </w:rPr>
        <w:t xml:space="preserve">и </w:t>
      </w:r>
      <w:r w:rsidR="000F04F2" w:rsidRPr="00AD67C2">
        <w:rPr>
          <w:rFonts w:ascii="Garamond" w:eastAsia="Calibri" w:hAnsi="Garamond" w:cs="Times New Roman"/>
          <w:sz w:val="22"/>
          <w:szCs w:val="22"/>
          <w:lang w:eastAsia="en-US"/>
        </w:rPr>
        <w:t xml:space="preserve">агрегированных объектов управления </w:t>
      </w:r>
      <w:r w:rsidRPr="00AD67C2">
        <w:rPr>
          <w:rFonts w:ascii="Garamond" w:eastAsia="Calibri" w:hAnsi="Garamond" w:cs="Times New Roman"/>
          <w:sz w:val="22"/>
          <w:szCs w:val="22"/>
          <w:lang w:eastAsia="en-US"/>
        </w:rPr>
        <w:t xml:space="preserve">в соответствии с </w:t>
      </w:r>
      <w:r w:rsidR="001E07EC">
        <w:rPr>
          <w:rFonts w:ascii="Garamond" w:eastAsia="Calibri" w:hAnsi="Garamond" w:cs="Times New Roman"/>
          <w:sz w:val="22"/>
          <w:szCs w:val="22"/>
          <w:lang w:eastAsia="en-US"/>
        </w:rPr>
        <w:t>с</w:t>
      </w:r>
      <w:r w:rsidRPr="00AD67C2">
        <w:rPr>
          <w:rFonts w:ascii="Garamond" w:eastAsia="Calibri" w:hAnsi="Garamond" w:cs="Times New Roman"/>
          <w:sz w:val="22"/>
          <w:szCs w:val="22"/>
          <w:lang w:eastAsia="en-US"/>
        </w:rPr>
        <w:t xml:space="preserve">оглашением, заключенным между КО и СО (далее – Соглашение), </w:t>
      </w:r>
      <w:r w:rsidRPr="00AD67C2">
        <w:rPr>
          <w:rFonts w:ascii="Garamond" w:eastAsia="Times New Roman" w:hAnsi="Garamond" w:cs="Arial"/>
          <w:bCs/>
          <w:sz w:val="22"/>
          <w:szCs w:val="22"/>
        </w:rPr>
        <w:t xml:space="preserve">и </w:t>
      </w:r>
      <w:r w:rsidRPr="00AD67C2">
        <w:rPr>
          <w:rFonts w:ascii="Garamond" w:eastAsia="Times New Roman" w:hAnsi="Garamond" w:cs="Arial"/>
          <w:bCs/>
          <w:i/>
          <w:sz w:val="22"/>
          <w:szCs w:val="22"/>
        </w:rPr>
        <w:t>Регламентом участия на оптовом рынке исполнителей услуг по управлению изменением режима потребления</w:t>
      </w:r>
      <w:r w:rsidRPr="00AD67C2">
        <w:rPr>
          <w:rFonts w:ascii="Garamond" w:eastAsia="Times New Roman" w:hAnsi="Garamond" w:cs="Arial"/>
          <w:bCs/>
          <w:sz w:val="22"/>
          <w:szCs w:val="22"/>
        </w:rPr>
        <w:t xml:space="preserve"> (Приложение № 19.9.2 к </w:t>
      </w:r>
      <w:r w:rsidRPr="00AD67C2">
        <w:rPr>
          <w:rFonts w:ascii="Garamond" w:eastAsia="Times New Roman" w:hAnsi="Garamond" w:cs="Arial"/>
          <w:bCs/>
          <w:i/>
          <w:sz w:val="22"/>
          <w:szCs w:val="22"/>
        </w:rPr>
        <w:t xml:space="preserve">Договору о присоединении к торговой </w:t>
      </w:r>
      <w:r w:rsidRPr="001E07EC">
        <w:rPr>
          <w:rFonts w:ascii="Garamond" w:eastAsia="Times New Roman" w:hAnsi="Garamond" w:cs="Arial"/>
          <w:bCs/>
          <w:i/>
          <w:sz w:val="22"/>
          <w:szCs w:val="22"/>
        </w:rPr>
        <w:t>системе</w:t>
      </w:r>
      <w:r w:rsidR="008B3675" w:rsidRPr="001E07EC">
        <w:rPr>
          <w:rFonts w:ascii="Garamond" w:eastAsia="Times New Roman" w:hAnsi="Garamond" w:cs="Arial"/>
          <w:bCs/>
          <w:i/>
          <w:sz w:val="22"/>
          <w:szCs w:val="22"/>
        </w:rPr>
        <w:t xml:space="preserve"> оптового рынка</w:t>
      </w:r>
      <w:r w:rsidRPr="001E07EC">
        <w:rPr>
          <w:rFonts w:ascii="Garamond" w:eastAsia="Times New Roman" w:hAnsi="Garamond" w:cs="Arial"/>
          <w:bCs/>
          <w:sz w:val="22"/>
          <w:szCs w:val="22"/>
        </w:rPr>
        <w:t>).</w:t>
      </w:r>
      <w:r w:rsidRPr="00AD67C2">
        <w:rPr>
          <w:rFonts w:ascii="Garamond" w:eastAsia="Times New Roman" w:hAnsi="Garamond" w:cs="Arial"/>
          <w:bCs/>
          <w:sz w:val="22"/>
          <w:szCs w:val="22"/>
        </w:rPr>
        <w:t xml:space="preserve"> </w:t>
      </w:r>
    </w:p>
    <w:p w14:paraId="6EA19440" w14:textId="3DB05DA4" w:rsidR="001333B2" w:rsidRPr="00AD67C2" w:rsidRDefault="001333B2" w:rsidP="003801DB">
      <w:pPr>
        <w:suppressAutoHyphens w:val="0"/>
        <w:spacing w:before="120" w:after="120" w:line="259" w:lineRule="auto"/>
        <w:ind w:firstLine="567"/>
        <w:jc w:val="both"/>
        <w:rPr>
          <w:rFonts w:ascii="Garamond" w:eastAsia="Calibri" w:hAnsi="Garamond" w:cs="Times New Roman"/>
          <w:sz w:val="22"/>
          <w:szCs w:val="22"/>
          <w:lang w:eastAsia="en-US"/>
        </w:rPr>
      </w:pPr>
      <w:r w:rsidRPr="00AD67C2">
        <w:rPr>
          <w:rFonts w:ascii="Garamond" w:eastAsia="Calibri" w:hAnsi="Garamond" w:cs="Times New Roman"/>
          <w:sz w:val="22"/>
          <w:szCs w:val="22"/>
          <w:lang w:eastAsia="en-US"/>
        </w:rPr>
        <w:t xml:space="preserve">КО не позднее 5 (пятого) рабочего дня каждого месяца направляет СО </w:t>
      </w:r>
      <w:r w:rsidR="00880EA3">
        <w:rPr>
          <w:rFonts w:ascii="Garamond" w:eastAsia="Calibri" w:hAnsi="Garamond" w:cs="Times New Roman"/>
          <w:sz w:val="22"/>
          <w:szCs w:val="22"/>
          <w:lang w:eastAsia="en-US"/>
        </w:rPr>
        <w:t>р</w:t>
      </w:r>
      <w:r w:rsidRPr="00AD67C2">
        <w:rPr>
          <w:rFonts w:ascii="Garamond" w:eastAsia="Calibri" w:hAnsi="Garamond" w:cs="Times New Roman"/>
          <w:sz w:val="22"/>
          <w:szCs w:val="22"/>
          <w:lang w:eastAsia="en-US"/>
        </w:rPr>
        <w:t xml:space="preserve">еестр зарегистрированных объектов регулирования (далее – </w:t>
      </w:r>
      <w:r w:rsidR="001B3CED">
        <w:rPr>
          <w:rFonts w:ascii="Garamond" w:eastAsia="Calibri" w:hAnsi="Garamond" w:cs="Times New Roman"/>
          <w:sz w:val="22"/>
          <w:szCs w:val="22"/>
          <w:lang w:eastAsia="en-US"/>
        </w:rPr>
        <w:t>р</w:t>
      </w:r>
      <w:r w:rsidRPr="00AD67C2">
        <w:rPr>
          <w:rFonts w:ascii="Garamond" w:eastAsia="Calibri" w:hAnsi="Garamond" w:cs="Times New Roman"/>
          <w:sz w:val="22"/>
          <w:szCs w:val="22"/>
          <w:lang w:eastAsia="en-US"/>
        </w:rPr>
        <w:t xml:space="preserve">еестр ОР) по форме, определенной Соглашением. По запросу </w:t>
      </w:r>
      <w:r w:rsidR="001B3CED">
        <w:rPr>
          <w:rFonts w:ascii="Garamond" w:eastAsia="Calibri" w:hAnsi="Garamond" w:cs="Times New Roman"/>
          <w:sz w:val="22"/>
          <w:szCs w:val="22"/>
          <w:lang w:eastAsia="en-US"/>
        </w:rPr>
        <w:t>р</w:t>
      </w:r>
      <w:r w:rsidRPr="00AD67C2">
        <w:rPr>
          <w:rFonts w:ascii="Garamond" w:eastAsia="Calibri" w:hAnsi="Garamond" w:cs="Times New Roman"/>
          <w:sz w:val="22"/>
          <w:szCs w:val="22"/>
          <w:lang w:eastAsia="en-US"/>
        </w:rPr>
        <w:t>еестр</w:t>
      </w:r>
      <w:bookmarkEnd w:id="52"/>
      <w:r w:rsidRPr="00AD67C2">
        <w:rPr>
          <w:rFonts w:ascii="Garamond" w:eastAsia="Calibri" w:hAnsi="Garamond" w:cs="Times New Roman"/>
          <w:sz w:val="22"/>
          <w:szCs w:val="22"/>
          <w:lang w:eastAsia="en-US"/>
        </w:rPr>
        <w:t xml:space="preserve"> ОР направляется в течение 1 (одного) рабочего дня с даты получения запроса.</w:t>
      </w:r>
    </w:p>
    <w:p w14:paraId="47C1577B" w14:textId="02906049" w:rsidR="001333B2" w:rsidRPr="00AD67C2" w:rsidRDefault="001333B2" w:rsidP="003801DB">
      <w:pPr>
        <w:suppressAutoHyphens w:val="0"/>
        <w:spacing w:before="120" w:after="120" w:line="259" w:lineRule="auto"/>
        <w:ind w:firstLine="567"/>
        <w:jc w:val="both"/>
        <w:rPr>
          <w:rFonts w:ascii="Garamond" w:eastAsia="Calibri" w:hAnsi="Garamond" w:cs="Times New Roman"/>
          <w:sz w:val="22"/>
          <w:szCs w:val="22"/>
          <w:lang w:eastAsia="en-US"/>
        </w:rPr>
      </w:pPr>
      <w:r w:rsidRPr="00AD67C2">
        <w:rPr>
          <w:rFonts w:ascii="Garamond" w:eastAsia="Calibri" w:hAnsi="Garamond" w:cs="Times New Roman"/>
          <w:sz w:val="22"/>
          <w:szCs w:val="22"/>
          <w:lang w:eastAsia="en-US"/>
        </w:rPr>
        <w:t xml:space="preserve">СО формирует уникальный идентификационный код каждому АОУ, состоящему из зарегистрированных ОР, указанных в уведомлениях КО о регистрации ОР или </w:t>
      </w:r>
      <w:r w:rsidR="001B3CED">
        <w:rPr>
          <w:rFonts w:ascii="Garamond" w:eastAsia="Calibri" w:hAnsi="Garamond" w:cs="Times New Roman"/>
          <w:sz w:val="22"/>
          <w:szCs w:val="22"/>
          <w:lang w:eastAsia="en-US"/>
        </w:rPr>
        <w:t>р</w:t>
      </w:r>
      <w:r w:rsidRPr="00AD67C2">
        <w:rPr>
          <w:rFonts w:ascii="Garamond" w:eastAsia="Calibri" w:hAnsi="Garamond" w:cs="Times New Roman"/>
          <w:sz w:val="22"/>
          <w:szCs w:val="22"/>
          <w:lang w:eastAsia="en-US"/>
        </w:rPr>
        <w:t>еестре ОР.</w:t>
      </w:r>
    </w:p>
    <w:p w14:paraId="5F45E9D1" w14:textId="313050F4" w:rsidR="001333B2" w:rsidRPr="00AD67C2" w:rsidRDefault="001333B2" w:rsidP="003801DB">
      <w:pPr>
        <w:suppressAutoHyphens w:val="0"/>
        <w:spacing w:before="120" w:after="120" w:line="259" w:lineRule="auto"/>
        <w:ind w:firstLine="567"/>
        <w:jc w:val="both"/>
        <w:rPr>
          <w:rFonts w:ascii="Garamond" w:eastAsia="Calibri" w:hAnsi="Garamond" w:cs="Times New Roman"/>
          <w:sz w:val="22"/>
          <w:szCs w:val="22"/>
          <w:lang w:eastAsia="en-US"/>
        </w:rPr>
      </w:pPr>
      <w:r w:rsidRPr="00AD67C2">
        <w:rPr>
          <w:rFonts w:ascii="Garamond" w:eastAsia="Calibri" w:hAnsi="Garamond" w:cs="Times New Roman"/>
          <w:sz w:val="22"/>
          <w:szCs w:val="22"/>
          <w:lang w:eastAsia="en-US"/>
        </w:rPr>
        <w:t xml:space="preserve"> В срок не позднее 3 (трех) рабочих дней с даты регистрации АОУ за заявителем, не имеющим статуса субъекта оптового рынка, СО направляет КО информацию о регистрации АОУ в целях возможности присвоения заявителю статуса субъекта оптового рынка.</w:t>
      </w:r>
    </w:p>
    <w:p w14:paraId="4AC2DDE6" w14:textId="4E79E10B" w:rsidR="001333B2" w:rsidRPr="00AD67C2" w:rsidRDefault="001333B2" w:rsidP="003801DB">
      <w:pPr>
        <w:suppressAutoHyphens w:val="0"/>
        <w:spacing w:before="120" w:after="120" w:line="259" w:lineRule="auto"/>
        <w:ind w:firstLine="567"/>
        <w:jc w:val="both"/>
        <w:rPr>
          <w:rFonts w:ascii="Garamond" w:eastAsia="Calibri" w:hAnsi="Garamond" w:cs="Times New Roman"/>
          <w:sz w:val="22"/>
          <w:szCs w:val="22"/>
          <w:lang w:eastAsia="en-US"/>
        </w:rPr>
      </w:pPr>
      <w:r w:rsidRPr="00AD67C2">
        <w:rPr>
          <w:rFonts w:ascii="Garamond" w:eastAsia="Calibri" w:hAnsi="Garamond" w:cs="Times New Roman"/>
          <w:sz w:val="22"/>
          <w:szCs w:val="22"/>
          <w:lang w:eastAsia="en-US"/>
        </w:rPr>
        <w:t xml:space="preserve">Для первого краткосрочного отбора ресурса по управлению изменением режима потребления, проводимого в 2024 году, СО не позднее чем за 15 (пятнадцать) рабочих дней до начала срока подачи (приема) заявок в </w:t>
      </w:r>
      <w:r w:rsidRPr="003801DB">
        <w:rPr>
          <w:rFonts w:ascii="Garamond" w:eastAsia="Calibri" w:hAnsi="Garamond" w:cs="Times New Roman"/>
          <w:sz w:val="22"/>
          <w:szCs w:val="22"/>
          <w:lang w:eastAsia="en-US"/>
        </w:rPr>
        <w:t xml:space="preserve">соответствии </w:t>
      </w:r>
      <w:r w:rsidR="001E07EC" w:rsidRPr="003801DB">
        <w:rPr>
          <w:rFonts w:ascii="Garamond" w:eastAsia="Calibri" w:hAnsi="Garamond" w:cs="Times New Roman"/>
          <w:sz w:val="22"/>
          <w:szCs w:val="22"/>
          <w:lang w:eastAsia="en-US"/>
        </w:rPr>
        <w:t xml:space="preserve">с </w:t>
      </w:r>
      <w:r w:rsidRPr="003801DB">
        <w:rPr>
          <w:rFonts w:ascii="Garamond" w:eastAsia="Times New Roman" w:hAnsi="Garamond" w:cs="Arial"/>
          <w:bCs/>
          <w:i/>
          <w:sz w:val="22"/>
          <w:szCs w:val="22"/>
        </w:rPr>
        <w:t>Регламентом участия на оптовом рынке исполнителей услуг по управлению изменением режима потребления</w:t>
      </w:r>
      <w:r w:rsidRPr="003801DB">
        <w:rPr>
          <w:rFonts w:ascii="Garamond" w:eastAsia="Times New Roman" w:hAnsi="Garamond" w:cs="Arial"/>
          <w:bCs/>
          <w:sz w:val="22"/>
          <w:szCs w:val="22"/>
        </w:rPr>
        <w:t xml:space="preserve"> (Приложение № 19.9.2 к </w:t>
      </w:r>
      <w:r w:rsidRPr="003801DB">
        <w:rPr>
          <w:rFonts w:ascii="Garamond" w:eastAsia="Times New Roman" w:hAnsi="Garamond" w:cs="Arial"/>
          <w:bCs/>
          <w:i/>
          <w:sz w:val="22"/>
          <w:szCs w:val="22"/>
        </w:rPr>
        <w:t>Договору о присоединении к торговой системе</w:t>
      </w:r>
      <w:r w:rsidR="007E4C69" w:rsidRPr="003801DB">
        <w:rPr>
          <w:rFonts w:ascii="Garamond" w:eastAsia="Times New Roman" w:hAnsi="Garamond" w:cs="Arial"/>
          <w:bCs/>
          <w:i/>
          <w:sz w:val="22"/>
          <w:szCs w:val="22"/>
        </w:rPr>
        <w:t xml:space="preserve"> оптового рынка</w:t>
      </w:r>
      <w:r w:rsidRPr="003801DB">
        <w:rPr>
          <w:rFonts w:ascii="Garamond" w:eastAsia="Times New Roman" w:hAnsi="Garamond" w:cs="Arial"/>
          <w:bCs/>
          <w:sz w:val="22"/>
          <w:szCs w:val="22"/>
        </w:rPr>
        <w:t>)</w:t>
      </w:r>
      <w:r w:rsidRPr="003801DB">
        <w:rPr>
          <w:rFonts w:ascii="Garamond" w:eastAsia="Calibri" w:hAnsi="Garamond" w:cs="Times New Roman"/>
          <w:sz w:val="22"/>
          <w:szCs w:val="22"/>
          <w:lang w:eastAsia="en-US"/>
        </w:rPr>
        <w:t xml:space="preserve"> направляет КО </w:t>
      </w:r>
      <w:r w:rsidR="00880EA3" w:rsidRPr="003801DB">
        <w:rPr>
          <w:rFonts w:ascii="Garamond" w:eastAsia="Calibri" w:hAnsi="Garamond" w:cs="Times New Roman"/>
          <w:sz w:val="22"/>
          <w:szCs w:val="22"/>
          <w:lang w:eastAsia="en-US"/>
        </w:rPr>
        <w:t>р</w:t>
      </w:r>
      <w:r w:rsidR="002A1AF5" w:rsidRPr="003801DB">
        <w:rPr>
          <w:rFonts w:ascii="Garamond" w:eastAsia="Calibri" w:hAnsi="Garamond" w:cs="Times New Roman"/>
          <w:sz w:val="22"/>
          <w:szCs w:val="22"/>
          <w:lang w:eastAsia="en-US"/>
        </w:rPr>
        <w:t>еестр зарегистрированных АОУ</w:t>
      </w:r>
      <w:r w:rsidRPr="003801DB">
        <w:rPr>
          <w:rFonts w:ascii="Garamond" w:eastAsia="Calibri" w:hAnsi="Garamond" w:cs="Times New Roman"/>
          <w:sz w:val="22"/>
          <w:szCs w:val="22"/>
          <w:lang w:eastAsia="en-US"/>
        </w:rPr>
        <w:t xml:space="preserve">, </w:t>
      </w:r>
      <w:r w:rsidR="00A27FE0" w:rsidRPr="003801DB">
        <w:rPr>
          <w:rFonts w:ascii="Garamond" w:eastAsia="Calibri" w:hAnsi="Garamond" w:cs="Times New Roman"/>
          <w:sz w:val="22"/>
          <w:szCs w:val="22"/>
          <w:lang w:eastAsia="en-US"/>
        </w:rPr>
        <w:t xml:space="preserve">сформированный в отношении субъектов </w:t>
      </w:r>
      <w:r w:rsidRPr="003801DB">
        <w:rPr>
          <w:rFonts w:ascii="Garamond" w:eastAsia="Calibri" w:hAnsi="Garamond" w:cs="Times New Roman"/>
          <w:sz w:val="22"/>
          <w:szCs w:val="22"/>
          <w:lang w:eastAsia="en-US"/>
        </w:rPr>
        <w:t>оптового рынка, которыми при регистрации АОУ выражено намерение принять участие в отборе ресурса по управлению изменением режима потребления</w:t>
      </w:r>
      <w:r w:rsidRPr="003801DB">
        <w:rPr>
          <w:rFonts w:ascii="Garamond" w:eastAsia="Times New Roman" w:hAnsi="Garamond" w:cs="Times New Roman"/>
          <w:sz w:val="22"/>
          <w:szCs w:val="22"/>
        </w:rPr>
        <w:t xml:space="preserve">. </w:t>
      </w:r>
      <w:r w:rsidRPr="003801DB">
        <w:rPr>
          <w:rFonts w:ascii="Garamond" w:eastAsia="Calibri" w:hAnsi="Garamond" w:cs="Times New Roman"/>
          <w:sz w:val="22"/>
          <w:szCs w:val="22"/>
          <w:lang w:eastAsia="en-US"/>
        </w:rPr>
        <w:t xml:space="preserve">Для следующих отборов </w:t>
      </w:r>
      <w:r w:rsidR="00880EA3" w:rsidRPr="003801DB">
        <w:rPr>
          <w:rFonts w:ascii="Garamond" w:eastAsia="Calibri" w:hAnsi="Garamond" w:cs="Times New Roman"/>
          <w:sz w:val="22"/>
          <w:szCs w:val="22"/>
          <w:lang w:eastAsia="en-US"/>
        </w:rPr>
        <w:t>р</w:t>
      </w:r>
      <w:r w:rsidRPr="003801DB">
        <w:rPr>
          <w:rFonts w:ascii="Garamond" w:eastAsia="Calibri" w:hAnsi="Garamond" w:cs="Times New Roman"/>
          <w:sz w:val="22"/>
          <w:szCs w:val="22"/>
          <w:lang w:eastAsia="en-US"/>
        </w:rPr>
        <w:t xml:space="preserve">еестр АОУ направляется в КО в срок, установленный </w:t>
      </w:r>
      <w:r w:rsidRPr="003801DB">
        <w:rPr>
          <w:rFonts w:ascii="Garamond" w:eastAsia="Times New Roman" w:hAnsi="Garamond" w:cs="Arial"/>
          <w:bCs/>
          <w:i/>
          <w:sz w:val="22"/>
          <w:szCs w:val="22"/>
        </w:rPr>
        <w:t>Регламентом участия на оптовом рынке исполнителей услуг по управлению изменением режима потребления</w:t>
      </w:r>
      <w:r w:rsidRPr="003801DB">
        <w:rPr>
          <w:rFonts w:ascii="Garamond" w:eastAsia="Times New Roman" w:hAnsi="Garamond" w:cs="Arial"/>
          <w:bCs/>
          <w:sz w:val="22"/>
          <w:szCs w:val="22"/>
        </w:rPr>
        <w:t xml:space="preserve"> (Приложение № 19.9.2 к </w:t>
      </w:r>
      <w:r w:rsidRPr="003801DB">
        <w:rPr>
          <w:rFonts w:ascii="Garamond" w:eastAsia="Times New Roman" w:hAnsi="Garamond" w:cs="Arial"/>
          <w:bCs/>
          <w:i/>
          <w:sz w:val="22"/>
          <w:szCs w:val="22"/>
        </w:rPr>
        <w:t>Договору о присоединении к торговой системе</w:t>
      </w:r>
      <w:r w:rsidR="008B3675" w:rsidRPr="003801DB">
        <w:rPr>
          <w:rFonts w:ascii="Garamond" w:eastAsia="Times New Roman" w:hAnsi="Garamond" w:cs="Arial"/>
          <w:bCs/>
          <w:i/>
          <w:sz w:val="22"/>
          <w:szCs w:val="22"/>
        </w:rPr>
        <w:t xml:space="preserve"> оптового рынка</w:t>
      </w:r>
      <w:r w:rsidRPr="003801DB">
        <w:rPr>
          <w:rFonts w:ascii="Garamond" w:eastAsia="Times New Roman" w:hAnsi="Garamond" w:cs="Arial"/>
          <w:bCs/>
          <w:sz w:val="22"/>
          <w:szCs w:val="22"/>
        </w:rPr>
        <w:t>).</w:t>
      </w:r>
      <w:r w:rsidRPr="00AD67C2" w:rsidDel="00A63D7A">
        <w:rPr>
          <w:rFonts w:ascii="Garamond" w:eastAsia="Calibri" w:hAnsi="Garamond" w:cs="Times New Roman"/>
          <w:sz w:val="22"/>
          <w:szCs w:val="22"/>
          <w:lang w:eastAsia="en-US"/>
        </w:rPr>
        <w:t xml:space="preserve"> </w:t>
      </w:r>
    </w:p>
    <w:p w14:paraId="30C7AE40" w14:textId="14507E05" w:rsidR="001333B2" w:rsidRPr="00AD67C2" w:rsidRDefault="001333B2" w:rsidP="003801DB">
      <w:pPr>
        <w:suppressAutoHyphens w:val="0"/>
        <w:spacing w:before="120" w:after="120" w:line="259" w:lineRule="auto"/>
        <w:ind w:firstLine="567"/>
        <w:jc w:val="both"/>
        <w:rPr>
          <w:rFonts w:ascii="Garamond" w:eastAsia="Calibri" w:hAnsi="Garamond" w:cs="Times New Roman"/>
          <w:sz w:val="22"/>
          <w:szCs w:val="22"/>
          <w:lang w:eastAsia="en-US"/>
        </w:rPr>
      </w:pPr>
      <w:r w:rsidRPr="003801DB">
        <w:rPr>
          <w:rFonts w:ascii="Garamond" w:eastAsia="Calibri" w:hAnsi="Garamond" w:cs="Times New Roman"/>
          <w:sz w:val="22"/>
          <w:szCs w:val="22"/>
          <w:lang w:eastAsia="en-US"/>
        </w:rPr>
        <w:t>КО</w:t>
      </w:r>
      <w:r w:rsidR="00151C00" w:rsidRPr="003801DB">
        <w:rPr>
          <w:rFonts w:ascii="Garamond" w:eastAsia="Calibri" w:hAnsi="Garamond" w:cs="Times New Roman"/>
          <w:sz w:val="22"/>
          <w:szCs w:val="22"/>
          <w:lang w:eastAsia="en-US"/>
        </w:rPr>
        <w:t xml:space="preserve"> в срок не позднее чем за 3 (три) рабочих дня до даты начала срока подачи (приема) заявок на участие в отборе ресурса по управлению изменением режима потребления</w:t>
      </w:r>
      <w:r w:rsidRPr="003801DB">
        <w:rPr>
          <w:rFonts w:ascii="Garamond" w:eastAsia="Calibri" w:hAnsi="Garamond" w:cs="Times New Roman"/>
          <w:sz w:val="22"/>
          <w:szCs w:val="22"/>
          <w:lang w:eastAsia="en-US"/>
        </w:rPr>
        <w:t xml:space="preserve"> </w:t>
      </w:r>
      <w:r w:rsidR="00080795" w:rsidRPr="003801DB">
        <w:rPr>
          <w:rFonts w:ascii="Garamond" w:eastAsia="Calibri" w:hAnsi="Garamond" w:cs="Times New Roman"/>
          <w:sz w:val="22"/>
          <w:szCs w:val="22"/>
          <w:lang w:eastAsia="en-US"/>
        </w:rPr>
        <w:t xml:space="preserve">предоставляет право на оказание услуги по управлению изменением режима потребления электрической энергии </w:t>
      </w:r>
      <w:r w:rsidR="00151C00" w:rsidRPr="003801DB">
        <w:rPr>
          <w:rFonts w:ascii="Garamond" w:eastAsia="Calibri" w:hAnsi="Garamond" w:cs="Times New Roman"/>
          <w:sz w:val="22"/>
          <w:szCs w:val="22"/>
          <w:lang w:eastAsia="en-US"/>
        </w:rPr>
        <w:t>с использованием зарегистрированного</w:t>
      </w:r>
      <w:r w:rsidR="00880EA3" w:rsidRPr="003801DB">
        <w:rPr>
          <w:rFonts w:ascii="Garamond" w:eastAsia="Calibri" w:hAnsi="Garamond" w:cs="Times New Roman"/>
          <w:sz w:val="22"/>
          <w:szCs w:val="22"/>
          <w:lang w:eastAsia="en-US"/>
        </w:rPr>
        <w:t xml:space="preserve"> </w:t>
      </w:r>
      <w:r w:rsidR="00151C00" w:rsidRPr="003801DB">
        <w:rPr>
          <w:rFonts w:ascii="Garamond" w:eastAsia="Calibri" w:hAnsi="Garamond" w:cs="Times New Roman"/>
          <w:sz w:val="22"/>
          <w:szCs w:val="22"/>
          <w:lang w:eastAsia="en-US"/>
        </w:rPr>
        <w:t>(-ых) АОУ субъектам оптового рынка, соответствующим требованиям, указанным в абз. 3</w:t>
      </w:r>
      <w:r w:rsidR="00AD67C2" w:rsidRPr="003801DB">
        <w:rPr>
          <w:rFonts w:ascii="Garamond" w:eastAsia="Calibri" w:hAnsi="Garamond" w:cs="Times New Roman"/>
          <w:sz w:val="22"/>
          <w:szCs w:val="22"/>
          <w:lang w:eastAsia="en-US"/>
        </w:rPr>
        <w:t>–</w:t>
      </w:r>
      <w:r w:rsidR="00151C00" w:rsidRPr="003801DB">
        <w:rPr>
          <w:rFonts w:ascii="Garamond" w:eastAsia="Calibri" w:hAnsi="Garamond" w:cs="Times New Roman"/>
          <w:sz w:val="22"/>
          <w:szCs w:val="22"/>
          <w:lang w:eastAsia="en-US"/>
        </w:rPr>
        <w:t xml:space="preserve">5 п. 2.3.1 </w:t>
      </w:r>
      <w:r w:rsidR="00151C00" w:rsidRPr="003801DB">
        <w:rPr>
          <w:rFonts w:ascii="Garamond" w:eastAsia="Calibri" w:hAnsi="Garamond" w:cs="Times New Roman"/>
          <w:i/>
          <w:sz w:val="22"/>
          <w:szCs w:val="22"/>
          <w:lang w:eastAsia="en-US"/>
        </w:rPr>
        <w:t>Регламента участия на оптовом рынке исполнителей услуг по управлению изменением режима потребления</w:t>
      </w:r>
      <w:r w:rsidR="00151C00" w:rsidRPr="003801DB">
        <w:rPr>
          <w:rFonts w:ascii="Garamond" w:eastAsia="Calibri" w:hAnsi="Garamond" w:cs="Times New Roman"/>
          <w:sz w:val="22"/>
          <w:szCs w:val="22"/>
          <w:lang w:eastAsia="en-US"/>
        </w:rPr>
        <w:t xml:space="preserve"> (Приложение № 19.9.2 </w:t>
      </w:r>
      <w:r w:rsidR="00151C00" w:rsidRPr="003801DB">
        <w:rPr>
          <w:rFonts w:ascii="Garamond" w:eastAsia="Calibri" w:hAnsi="Garamond" w:cs="Times New Roman"/>
          <w:i/>
          <w:sz w:val="22"/>
          <w:szCs w:val="22"/>
          <w:lang w:eastAsia="en-US"/>
        </w:rPr>
        <w:t xml:space="preserve">к Договору о присоединении к торговой системе </w:t>
      </w:r>
      <w:r w:rsidR="00151C00" w:rsidRPr="003801DB">
        <w:rPr>
          <w:rFonts w:ascii="Garamond" w:eastAsia="Calibri" w:hAnsi="Garamond" w:cs="Times New Roman"/>
          <w:i/>
          <w:sz w:val="22"/>
          <w:szCs w:val="22"/>
          <w:lang w:eastAsia="en-US"/>
        </w:rPr>
        <w:lastRenderedPageBreak/>
        <w:t>оптового рынк</w:t>
      </w:r>
      <w:r w:rsidR="00151C00" w:rsidRPr="003801DB">
        <w:rPr>
          <w:rFonts w:ascii="Garamond" w:eastAsia="Calibri" w:hAnsi="Garamond" w:cs="Times New Roman"/>
          <w:sz w:val="22"/>
          <w:szCs w:val="22"/>
          <w:lang w:eastAsia="en-US"/>
        </w:rPr>
        <w:t xml:space="preserve">а), и направляет СО </w:t>
      </w:r>
      <w:r w:rsidR="003801DB" w:rsidRPr="003801DB">
        <w:rPr>
          <w:rFonts w:ascii="Garamond" w:eastAsia="Calibri" w:hAnsi="Garamond" w:cs="Times New Roman"/>
          <w:sz w:val="22"/>
          <w:szCs w:val="22"/>
          <w:lang w:eastAsia="en-US"/>
        </w:rPr>
        <w:t>р</w:t>
      </w:r>
      <w:r w:rsidR="00151C00" w:rsidRPr="003801DB">
        <w:rPr>
          <w:rFonts w:ascii="Garamond" w:eastAsia="Calibri" w:hAnsi="Garamond" w:cs="Times New Roman"/>
          <w:sz w:val="22"/>
          <w:szCs w:val="22"/>
          <w:lang w:eastAsia="en-US"/>
        </w:rPr>
        <w:t>еестр субъектов оптового рынка, которым предоставлено право на оказание услуги по управлению изменением режима потребления электрической энергии</w:t>
      </w:r>
      <w:r w:rsidR="003801DB" w:rsidRPr="003801DB">
        <w:rPr>
          <w:rFonts w:ascii="Garamond" w:eastAsia="Calibri" w:hAnsi="Garamond" w:cs="Times New Roman"/>
          <w:sz w:val="22"/>
          <w:szCs w:val="22"/>
          <w:lang w:eastAsia="en-US"/>
        </w:rPr>
        <w:t>,</w:t>
      </w:r>
      <w:r w:rsidR="00151C00" w:rsidRPr="003801DB">
        <w:rPr>
          <w:rFonts w:ascii="Garamond" w:eastAsia="Calibri" w:hAnsi="Garamond" w:cs="Times New Roman"/>
          <w:sz w:val="22"/>
          <w:szCs w:val="22"/>
          <w:lang w:eastAsia="en-US"/>
        </w:rPr>
        <w:t xml:space="preserve"> с указанием зарегистрированных АОУ по форме, определенной Соглашением (далее </w:t>
      </w:r>
      <w:r w:rsidR="00AD67C2" w:rsidRPr="003801DB">
        <w:rPr>
          <w:rFonts w:ascii="Garamond" w:eastAsia="Calibri" w:hAnsi="Garamond" w:cs="Times New Roman"/>
          <w:sz w:val="22"/>
          <w:szCs w:val="22"/>
          <w:lang w:eastAsia="en-US"/>
        </w:rPr>
        <w:t>–</w:t>
      </w:r>
      <w:r w:rsidR="00151C00" w:rsidRPr="003801DB">
        <w:rPr>
          <w:rFonts w:ascii="Garamond" w:eastAsia="Calibri" w:hAnsi="Garamond" w:cs="Times New Roman"/>
          <w:sz w:val="22"/>
          <w:szCs w:val="22"/>
          <w:lang w:eastAsia="en-US"/>
        </w:rPr>
        <w:t xml:space="preserve"> Реестр). Датой предоставления субъектам оптового рынка права на оказание услуг по управлению изменением режима потребления электрической энергии в отношении соответствующего АОУ является дата направления в СО указанного Реестра, при этом право на оказание услуги по управлению изменением режима потребления электрической энергии возникает </w:t>
      </w:r>
      <w:r w:rsidR="00AD67C2" w:rsidRPr="003801DB">
        <w:rPr>
          <w:rFonts w:ascii="Garamond" w:eastAsia="Calibri" w:hAnsi="Garamond" w:cs="Times New Roman"/>
          <w:sz w:val="22"/>
          <w:szCs w:val="22"/>
          <w:lang w:eastAsia="en-US"/>
        </w:rPr>
        <w:t xml:space="preserve">у субъекта </w:t>
      </w:r>
      <w:r w:rsidR="003801DB" w:rsidRPr="003801DB">
        <w:rPr>
          <w:rFonts w:ascii="Garamond" w:eastAsia="Calibri" w:hAnsi="Garamond" w:cs="Times New Roman"/>
          <w:sz w:val="22"/>
          <w:szCs w:val="22"/>
          <w:lang w:eastAsia="en-US"/>
        </w:rPr>
        <w:t xml:space="preserve">оптового рынка </w:t>
      </w:r>
      <w:r w:rsidR="00AD67C2" w:rsidRPr="003801DB">
        <w:rPr>
          <w:rFonts w:ascii="Garamond" w:eastAsia="Calibri" w:hAnsi="Garamond" w:cs="Times New Roman"/>
          <w:sz w:val="22"/>
          <w:szCs w:val="22"/>
          <w:lang w:eastAsia="en-US"/>
        </w:rPr>
        <w:t xml:space="preserve">с </w:t>
      </w:r>
      <w:r w:rsidR="00151C00" w:rsidRPr="003801DB">
        <w:rPr>
          <w:rFonts w:ascii="Garamond" w:eastAsia="Calibri" w:hAnsi="Garamond" w:cs="Times New Roman"/>
          <w:sz w:val="22"/>
          <w:szCs w:val="22"/>
          <w:lang w:eastAsia="en-US"/>
        </w:rPr>
        <w:t>1</w:t>
      </w:r>
      <w:r w:rsidR="00880EA3" w:rsidRPr="003801DB">
        <w:rPr>
          <w:rFonts w:ascii="Garamond" w:eastAsia="Calibri" w:hAnsi="Garamond" w:cs="Times New Roman"/>
          <w:sz w:val="22"/>
          <w:szCs w:val="22"/>
          <w:lang w:eastAsia="en-US"/>
        </w:rPr>
        <w:t>-го</w:t>
      </w:r>
      <w:r w:rsidR="00151C00" w:rsidRPr="003801DB">
        <w:rPr>
          <w:rFonts w:ascii="Garamond" w:eastAsia="Calibri" w:hAnsi="Garamond" w:cs="Times New Roman"/>
          <w:sz w:val="22"/>
          <w:szCs w:val="22"/>
          <w:lang w:eastAsia="en-US"/>
        </w:rPr>
        <w:t xml:space="preserve"> числа месяца, следующего за датой проведения отбора, при условии прохождения отбора в отношении соответствующего АОУ на срок, установленный соответствующим отбором</w:t>
      </w:r>
      <w:r w:rsidRPr="003801DB">
        <w:rPr>
          <w:rFonts w:ascii="Garamond" w:eastAsia="Calibri" w:hAnsi="Garamond" w:cs="Times New Roman"/>
          <w:sz w:val="22"/>
          <w:szCs w:val="22"/>
          <w:lang w:eastAsia="en-US"/>
        </w:rPr>
        <w:t>.</w:t>
      </w:r>
      <w:r w:rsidR="00080795" w:rsidRPr="00AD67C2">
        <w:rPr>
          <w:rFonts w:ascii="Garamond" w:eastAsia="Calibri" w:hAnsi="Garamond" w:cs="Times New Roman"/>
          <w:sz w:val="22"/>
          <w:szCs w:val="22"/>
          <w:lang w:eastAsia="en-US"/>
        </w:rPr>
        <w:t xml:space="preserve"> </w:t>
      </w:r>
    </w:p>
    <w:p w14:paraId="7F96267E" w14:textId="2EAC346B" w:rsidR="001333B2" w:rsidRPr="001333B2" w:rsidRDefault="001333B2" w:rsidP="003801DB">
      <w:pPr>
        <w:suppressAutoHyphens w:val="0"/>
        <w:spacing w:before="120" w:after="120" w:line="259" w:lineRule="auto"/>
        <w:ind w:firstLine="567"/>
        <w:jc w:val="both"/>
        <w:rPr>
          <w:rFonts w:ascii="Times New Roman" w:eastAsia="Calibri" w:hAnsi="Times New Roman" w:cs="Times New Roman"/>
          <w:sz w:val="24"/>
          <w:szCs w:val="22"/>
          <w:lang w:eastAsia="en-US"/>
        </w:rPr>
        <w:sectPr w:rsidR="001333B2" w:rsidRPr="001333B2" w:rsidSect="0064152E">
          <w:footerReference w:type="default" r:id="rId26"/>
          <w:pgSz w:w="11906" w:h="16838"/>
          <w:pgMar w:top="1134" w:right="851" w:bottom="1134" w:left="1588" w:header="709" w:footer="709" w:gutter="0"/>
          <w:cols w:space="708"/>
          <w:docGrid w:linePitch="360"/>
        </w:sectPr>
      </w:pPr>
      <w:r w:rsidRPr="00AD67C2">
        <w:rPr>
          <w:rFonts w:ascii="Garamond" w:eastAsia="Calibri" w:hAnsi="Garamond" w:cs="Times New Roman"/>
          <w:sz w:val="22"/>
          <w:szCs w:val="22"/>
          <w:lang w:eastAsia="en-US"/>
        </w:rPr>
        <w:t xml:space="preserve">СО не позднее дня публикации </w:t>
      </w:r>
      <w:r w:rsidR="003801DB">
        <w:rPr>
          <w:rFonts w:ascii="Garamond" w:eastAsia="Calibri" w:hAnsi="Garamond" w:cs="Times New Roman"/>
          <w:sz w:val="22"/>
          <w:szCs w:val="22"/>
          <w:lang w:eastAsia="en-US"/>
        </w:rPr>
        <w:t>р</w:t>
      </w:r>
      <w:r w:rsidRPr="00AD67C2">
        <w:rPr>
          <w:rFonts w:ascii="Garamond" w:eastAsia="Calibri" w:hAnsi="Garamond" w:cs="Times New Roman"/>
          <w:sz w:val="22"/>
          <w:szCs w:val="22"/>
          <w:lang w:eastAsia="en-US"/>
        </w:rPr>
        <w:t xml:space="preserve">еестра итогов отбора на сайте СО направляет КО </w:t>
      </w:r>
      <w:r w:rsidR="003801DB">
        <w:rPr>
          <w:rFonts w:ascii="Garamond" w:eastAsia="Calibri" w:hAnsi="Garamond" w:cs="Times New Roman"/>
          <w:sz w:val="22"/>
          <w:szCs w:val="22"/>
          <w:lang w:eastAsia="en-US"/>
        </w:rPr>
        <w:t>р</w:t>
      </w:r>
      <w:r w:rsidRPr="00AD67C2">
        <w:rPr>
          <w:rFonts w:ascii="Garamond" w:eastAsia="Calibri" w:hAnsi="Garamond" w:cs="Times New Roman"/>
          <w:sz w:val="22"/>
          <w:szCs w:val="22"/>
          <w:lang w:eastAsia="en-US"/>
        </w:rPr>
        <w:t>еестр субъектов оптового рынка с указанием зарегистрированных АОУ, отобранных по результатам итогов отбора ресурса по управлению изменением режима потребления</w:t>
      </w:r>
      <w:r w:rsidR="003801DB">
        <w:rPr>
          <w:rFonts w:ascii="Garamond" w:eastAsia="Calibri" w:hAnsi="Garamond" w:cs="Times New Roman"/>
          <w:sz w:val="22"/>
          <w:szCs w:val="22"/>
          <w:lang w:eastAsia="en-US"/>
        </w:rPr>
        <w:t>,</w:t>
      </w:r>
      <w:r w:rsidRPr="00AD67C2">
        <w:rPr>
          <w:rFonts w:ascii="Garamond" w:eastAsia="Times New Roman" w:hAnsi="Garamond" w:cs="Times New Roman"/>
          <w:sz w:val="22"/>
          <w:szCs w:val="22"/>
        </w:rPr>
        <w:t xml:space="preserve"> по форме, </w:t>
      </w:r>
      <w:r w:rsidRPr="00AD67C2">
        <w:rPr>
          <w:rFonts w:ascii="Garamond" w:eastAsia="Calibri" w:hAnsi="Garamond" w:cs="Times New Roman"/>
          <w:sz w:val="22"/>
          <w:szCs w:val="22"/>
          <w:lang w:eastAsia="en-US"/>
        </w:rPr>
        <w:t>определенной</w:t>
      </w:r>
      <w:r w:rsidRPr="00AD67C2">
        <w:rPr>
          <w:rFonts w:ascii="Garamond" w:eastAsia="Times New Roman" w:hAnsi="Garamond" w:cs="Times New Roman"/>
          <w:sz w:val="22"/>
          <w:szCs w:val="22"/>
        </w:rPr>
        <w:t xml:space="preserve"> Соглашением.</w:t>
      </w:r>
    </w:p>
    <w:p w14:paraId="3E4FB572" w14:textId="77777777" w:rsidR="001333B2" w:rsidRPr="001333B2" w:rsidRDefault="001333B2" w:rsidP="001333B2">
      <w:pPr>
        <w:widowControl w:val="0"/>
        <w:suppressAutoHyphens w:val="0"/>
        <w:jc w:val="center"/>
        <w:outlineLvl w:val="0"/>
        <w:rPr>
          <w:rFonts w:ascii="Garamond" w:eastAsia="Times New Roman" w:hAnsi="Garamond" w:cs="Arial"/>
          <w:b/>
          <w:bCs/>
          <w:szCs w:val="22"/>
        </w:rPr>
      </w:pPr>
      <w:bookmarkStart w:id="53" w:name="_Toc501972236"/>
      <w:bookmarkStart w:id="54" w:name="_Toc536698024"/>
      <w:bookmarkStart w:id="55" w:name="_Toc91505647"/>
      <w:r w:rsidRPr="001333B2">
        <w:rPr>
          <w:rFonts w:ascii="Garamond" w:eastAsia="Times New Roman" w:hAnsi="Garamond" w:cs="Arial"/>
          <w:b/>
          <w:bCs/>
          <w:sz w:val="22"/>
          <w:szCs w:val="22"/>
        </w:rPr>
        <w:lastRenderedPageBreak/>
        <w:t xml:space="preserve">Форма </w:t>
      </w:r>
      <w:bookmarkEnd w:id="53"/>
      <w:bookmarkEnd w:id="54"/>
      <w:bookmarkEnd w:id="55"/>
      <w:r w:rsidRPr="001333B2">
        <w:rPr>
          <w:rFonts w:ascii="Garamond" w:eastAsia="Times New Roman" w:hAnsi="Garamond" w:cs="Arial"/>
          <w:b/>
          <w:bCs/>
          <w:sz w:val="22"/>
          <w:szCs w:val="22"/>
        </w:rPr>
        <w:t>1</w:t>
      </w:r>
    </w:p>
    <w:p w14:paraId="12F0B20E" w14:textId="77777777" w:rsidR="001333B2" w:rsidRPr="001333B2" w:rsidRDefault="001333B2" w:rsidP="001333B2">
      <w:pPr>
        <w:suppressAutoHyphens w:val="0"/>
        <w:jc w:val="both"/>
        <w:rPr>
          <w:rFonts w:ascii="Garamond" w:eastAsia="Times New Roman" w:hAnsi="Garamond" w:cs="Times New Roman"/>
          <w:sz w:val="22"/>
          <w:szCs w:val="24"/>
        </w:rPr>
      </w:pPr>
    </w:p>
    <w:p w14:paraId="36EB7C2F" w14:textId="77777777" w:rsidR="001333B2" w:rsidRPr="001333B2" w:rsidRDefault="001333B2" w:rsidP="001333B2">
      <w:pPr>
        <w:suppressAutoHyphens w:val="0"/>
        <w:jc w:val="both"/>
        <w:rPr>
          <w:rFonts w:ascii="Garamond" w:eastAsia="Times New Roman" w:hAnsi="Garamond" w:cs="Times New Roman"/>
          <w:sz w:val="22"/>
          <w:szCs w:val="24"/>
        </w:rPr>
      </w:pPr>
      <w:r w:rsidRPr="001333B2">
        <w:rPr>
          <w:rFonts w:ascii="Garamond" w:eastAsia="Times New Roman" w:hAnsi="Garamond" w:cs="Times New Roman"/>
          <w:sz w:val="22"/>
          <w:szCs w:val="24"/>
        </w:rPr>
        <w:t>(на бланке заявителя)</w:t>
      </w:r>
    </w:p>
    <w:p w14:paraId="0307DA4A" w14:textId="77777777" w:rsidR="001333B2" w:rsidRPr="001333B2" w:rsidRDefault="001333B2" w:rsidP="001333B2">
      <w:pPr>
        <w:suppressAutoHyphens w:val="0"/>
        <w:jc w:val="right"/>
        <w:rPr>
          <w:rFonts w:ascii="Garamond" w:eastAsia="Times New Roman" w:hAnsi="Garamond" w:cs="Times New Roman"/>
          <w:b/>
          <w:sz w:val="22"/>
          <w:szCs w:val="24"/>
        </w:rPr>
      </w:pPr>
      <w:r w:rsidRPr="001333B2">
        <w:rPr>
          <w:rFonts w:ascii="Garamond" w:eastAsia="Times New Roman" w:hAnsi="Garamond" w:cs="Times New Roman"/>
          <w:b/>
          <w:sz w:val="22"/>
          <w:szCs w:val="24"/>
        </w:rPr>
        <w:t>Председателю Правления</w:t>
      </w:r>
    </w:p>
    <w:p w14:paraId="5F4DF9BC" w14:textId="77777777" w:rsidR="001333B2" w:rsidRPr="001333B2" w:rsidRDefault="001333B2" w:rsidP="001333B2">
      <w:pPr>
        <w:suppressAutoHyphens w:val="0"/>
        <w:jc w:val="right"/>
        <w:rPr>
          <w:rFonts w:ascii="Garamond" w:eastAsia="Times New Roman" w:hAnsi="Garamond" w:cs="Times New Roman"/>
          <w:b/>
          <w:sz w:val="22"/>
          <w:szCs w:val="24"/>
        </w:rPr>
      </w:pPr>
      <w:r w:rsidRPr="001333B2">
        <w:rPr>
          <w:rFonts w:ascii="Garamond" w:eastAsia="Times New Roman" w:hAnsi="Garamond" w:cs="Times New Roman"/>
          <w:b/>
          <w:sz w:val="22"/>
          <w:szCs w:val="24"/>
        </w:rPr>
        <w:t>АО «АТС»</w:t>
      </w:r>
    </w:p>
    <w:p w14:paraId="4D728B9F" w14:textId="77777777" w:rsidR="001333B2" w:rsidRPr="001333B2" w:rsidRDefault="001333B2" w:rsidP="001333B2">
      <w:pPr>
        <w:suppressAutoHyphens w:val="0"/>
        <w:jc w:val="both"/>
        <w:rPr>
          <w:rFonts w:ascii="Garamond" w:eastAsia="Times New Roman" w:hAnsi="Garamond" w:cs="Times New Roman"/>
          <w:sz w:val="22"/>
          <w:szCs w:val="24"/>
        </w:rPr>
      </w:pPr>
      <w:r w:rsidRPr="001333B2">
        <w:rPr>
          <w:rFonts w:ascii="Garamond" w:eastAsia="Times New Roman" w:hAnsi="Garamond" w:cs="Times New Roman"/>
          <w:sz w:val="22"/>
          <w:szCs w:val="24"/>
        </w:rPr>
        <w:t>№ ____________________</w:t>
      </w:r>
    </w:p>
    <w:p w14:paraId="3E6339F0" w14:textId="77777777" w:rsidR="001333B2" w:rsidRPr="001333B2" w:rsidRDefault="001333B2" w:rsidP="001333B2">
      <w:pPr>
        <w:suppressAutoHyphens w:val="0"/>
        <w:jc w:val="both"/>
        <w:rPr>
          <w:rFonts w:ascii="Garamond" w:eastAsia="Times New Roman" w:hAnsi="Garamond" w:cs="Times New Roman"/>
          <w:sz w:val="22"/>
          <w:szCs w:val="24"/>
        </w:rPr>
      </w:pPr>
      <w:r w:rsidRPr="001333B2">
        <w:rPr>
          <w:rFonts w:ascii="Garamond" w:eastAsia="Times New Roman" w:hAnsi="Garamond" w:cs="Times New Roman"/>
          <w:sz w:val="22"/>
          <w:szCs w:val="24"/>
        </w:rPr>
        <w:t>«___» ___________20 ___ г.</w:t>
      </w:r>
    </w:p>
    <w:p w14:paraId="7FB28A98" w14:textId="77777777" w:rsidR="001333B2" w:rsidRPr="001333B2" w:rsidRDefault="001333B2" w:rsidP="001333B2">
      <w:pPr>
        <w:suppressAutoHyphens w:val="0"/>
        <w:jc w:val="both"/>
        <w:rPr>
          <w:rFonts w:ascii="Garamond" w:eastAsia="Times New Roman" w:hAnsi="Garamond" w:cs="Times New Roman"/>
          <w:sz w:val="16"/>
          <w:szCs w:val="24"/>
        </w:rPr>
      </w:pPr>
    </w:p>
    <w:p w14:paraId="7F7BE453" w14:textId="77777777" w:rsidR="001333B2" w:rsidRPr="001333B2" w:rsidRDefault="001333B2" w:rsidP="001333B2">
      <w:pPr>
        <w:suppressAutoHyphens w:val="0"/>
        <w:jc w:val="center"/>
        <w:rPr>
          <w:rFonts w:ascii="Garamond" w:eastAsia="Times New Roman" w:hAnsi="Garamond" w:cs="Times New Roman"/>
          <w:b/>
          <w:sz w:val="22"/>
          <w:szCs w:val="24"/>
        </w:rPr>
      </w:pPr>
      <w:r w:rsidRPr="001333B2">
        <w:rPr>
          <w:rFonts w:ascii="Garamond" w:eastAsia="Times New Roman" w:hAnsi="Garamond" w:cs="Times New Roman"/>
          <w:b/>
          <w:sz w:val="22"/>
          <w:szCs w:val="24"/>
        </w:rPr>
        <w:t>ЗАЯВЛЕНИЕ</w:t>
      </w:r>
    </w:p>
    <w:p w14:paraId="4EF32EC6" w14:textId="77777777" w:rsidR="001333B2" w:rsidRPr="001333B2" w:rsidRDefault="001333B2" w:rsidP="001333B2">
      <w:pPr>
        <w:suppressAutoHyphens w:val="0"/>
        <w:jc w:val="center"/>
        <w:rPr>
          <w:rFonts w:ascii="Garamond" w:eastAsia="Times New Roman" w:hAnsi="Garamond" w:cs="Times New Roman"/>
          <w:b/>
          <w:sz w:val="22"/>
          <w:szCs w:val="24"/>
        </w:rPr>
      </w:pPr>
    </w:p>
    <w:p w14:paraId="62564E0D" w14:textId="77777777" w:rsidR="001333B2" w:rsidRPr="001333B2" w:rsidRDefault="001333B2" w:rsidP="001333B2">
      <w:pPr>
        <w:suppressAutoHyphens w:val="0"/>
        <w:jc w:val="center"/>
        <w:rPr>
          <w:rFonts w:ascii="Garamond" w:eastAsia="Times New Roman" w:hAnsi="Garamond" w:cs="Times New Roman"/>
          <w:b/>
          <w:sz w:val="22"/>
          <w:szCs w:val="24"/>
        </w:rPr>
      </w:pPr>
      <w:r w:rsidRPr="001333B2">
        <w:rPr>
          <w:rFonts w:ascii="Garamond" w:eastAsia="Times New Roman" w:hAnsi="Garamond" w:cs="Times New Roman"/>
          <w:b/>
          <w:sz w:val="22"/>
          <w:szCs w:val="24"/>
        </w:rPr>
        <w:t xml:space="preserve">о регистрации и </w:t>
      </w:r>
      <w:r w:rsidRPr="003801DB">
        <w:rPr>
          <w:rFonts w:ascii="Garamond" w:eastAsia="Times New Roman" w:hAnsi="Garamond" w:cs="Times New Roman"/>
          <w:b/>
          <w:sz w:val="22"/>
          <w:szCs w:val="24"/>
        </w:rPr>
        <w:t xml:space="preserve">аттестации </w:t>
      </w:r>
      <w:r w:rsidR="00D53026" w:rsidRPr="003801DB">
        <w:rPr>
          <w:rFonts w:ascii="Garamond" w:eastAsia="Times New Roman" w:hAnsi="Garamond" w:cs="Times New Roman"/>
          <w:b/>
          <w:sz w:val="22"/>
          <w:szCs w:val="24"/>
        </w:rPr>
        <w:t xml:space="preserve">нового </w:t>
      </w:r>
      <w:r w:rsidRPr="003801DB">
        <w:rPr>
          <w:rFonts w:ascii="Garamond" w:eastAsia="Times New Roman" w:hAnsi="Garamond" w:cs="Times New Roman"/>
          <w:b/>
          <w:sz w:val="22"/>
          <w:szCs w:val="24"/>
        </w:rPr>
        <w:t>объекта</w:t>
      </w:r>
      <w:r w:rsidRPr="001333B2">
        <w:rPr>
          <w:rFonts w:ascii="Garamond" w:eastAsia="Times New Roman" w:hAnsi="Garamond" w:cs="Times New Roman"/>
          <w:b/>
          <w:sz w:val="22"/>
          <w:szCs w:val="24"/>
        </w:rPr>
        <w:t xml:space="preserve"> регулирования</w:t>
      </w:r>
    </w:p>
    <w:p w14:paraId="23FD26AF" w14:textId="77777777" w:rsidR="001333B2" w:rsidRPr="001333B2" w:rsidRDefault="001333B2" w:rsidP="001333B2">
      <w:pPr>
        <w:suppressAutoHyphens w:val="0"/>
        <w:jc w:val="center"/>
        <w:rPr>
          <w:rFonts w:ascii="Garamond" w:eastAsia="Times New Roman" w:hAnsi="Garamond" w:cs="Times New Roman"/>
          <w:b/>
          <w:sz w:val="22"/>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4228"/>
        <w:gridCol w:w="5117"/>
      </w:tblGrid>
      <w:tr w:rsidR="001333B2" w:rsidRPr="001333B2" w14:paraId="3F34A391" w14:textId="77777777" w:rsidTr="0064152E">
        <w:trPr>
          <w:trHeight w:val="567"/>
        </w:trPr>
        <w:tc>
          <w:tcPr>
            <w:tcW w:w="4228" w:type="dxa"/>
            <w:shd w:val="clear" w:color="auto" w:fill="D9D9D9"/>
            <w:vAlign w:val="center"/>
          </w:tcPr>
          <w:p w14:paraId="41C1D8DF" w14:textId="77777777" w:rsidR="001333B2" w:rsidRPr="003801DB" w:rsidRDefault="001333B2" w:rsidP="001333B2">
            <w:pPr>
              <w:suppressAutoHyphens w:val="0"/>
              <w:jc w:val="both"/>
              <w:rPr>
                <w:rFonts w:ascii="Garamond" w:eastAsia="Times New Roman" w:hAnsi="Garamond" w:cs="Times New Roman"/>
                <w:sz w:val="22"/>
                <w:szCs w:val="24"/>
              </w:rPr>
            </w:pPr>
            <w:r w:rsidRPr="003801DB">
              <w:rPr>
                <w:rFonts w:ascii="Garamond" w:eastAsia="Times New Roman" w:hAnsi="Garamond" w:cs="Times New Roman"/>
                <w:sz w:val="22"/>
                <w:szCs w:val="24"/>
              </w:rPr>
              <w:t>Полное наименование юридического лица</w:t>
            </w:r>
          </w:p>
        </w:tc>
        <w:tc>
          <w:tcPr>
            <w:tcW w:w="5117" w:type="dxa"/>
            <w:vAlign w:val="center"/>
          </w:tcPr>
          <w:p w14:paraId="44A9BFEC" w14:textId="06F1309A" w:rsidR="001333B2" w:rsidRPr="001333B2" w:rsidRDefault="001333B2" w:rsidP="001333B2">
            <w:pPr>
              <w:suppressAutoHyphens w:val="0"/>
              <w:jc w:val="both"/>
              <w:rPr>
                <w:rFonts w:ascii="Garamond" w:eastAsia="Times New Roman" w:hAnsi="Garamond" w:cs="Times New Roman"/>
                <w:i/>
                <w:sz w:val="22"/>
                <w:szCs w:val="24"/>
              </w:rPr>
            </w:pPr>
            <w:r w:rsidRPr="001333B2">
              <w:rPr>
                <w:rFonts w:ascii="Garamond" w:eastAsia="Times New Roman" w:hAnsi="Garamond" w:cs="Times New Roman"/>
                <w:i/>
                <w:sz w:val="22"/>
                <w:szCs w:val="24"/>
              </w:rPr>
              <w:t>Заполняется в соответс</w:t>
            </w:r>
            <w:r w:rsidR="003801DB">
              <w:rPr>
                <w:rFonts w:ascii="Garamond" w:eastAsia="Times New Roman" w:hAnsi="Garamond" w:cs="Times New Roman"/>
                <w:i/>
                <w:sz w:val="22"/>
                <w:szCs w:val="24"/>
              </w:rPr>
              <w:t>твии с информацией, указанной в </w:t>
            </w:r>
            <w:r w:rsidRPr="001333B2">
              <w:rPr>
                <w:rFonts w:ascii="Garamond" w:eastAsia="Times New Roman" w:hAnsi="Garamond" w:cs="Times New Roman"/>
                <w:i/>
                <w:sz w:val="22"/>
                <w:szCs w:val="24"/>
              </w:rPr>
              <w:t>ЕГРЮЛ</w:t>
            </w:r>
          </w:p>
        </w:tc>
      </w:tr>
      <w:tr w:rsidR="001333B2" w:rsidRPr="001333B2" w14:paraId="01E5B0CF" w14:textId="77777777" w:rsidTr="0064152E">
        <w:trPr>
          <w:trHeight w:val="567"/>
        </w:trPr>
        <w:tc>
          <w:tcPr>
            <w:tcW w:w="4228" w:type="dxa"/>
            <w:shd w:val="clear" w:color="auto" w:fill="D9D9D9"/>
            <w:vAlign w:val="center"/>
          </w:tcPr>
          <w:p w14:paraId="6173BB8E" w14:textId="77777777" w:rsidR="001333B2" w:rsidRPr="003801DB" w:rsidRDefault="001333B2" w:rsidP="001333B2">
            <w:pPr>
              <w:suppressAutoHyphens w:val="0"/>
              <w:jc w:val="both"/>
              <w:rPr>
                <w:rFonts w:ascii="Garamond" w:eastAsia="Times New Roman" w:hAnsi="Garamond" w:cs="Times New Roman"/>
                <w:sz w:val="22"/>
                <w:szCs w:val="24"/>
              </w:rPr>
            </w:pPr>
            <w:r w:rsidRPr="003801DB">
              <w:rPr>
                <w:rFonts w:ascii="Garamond" w:eastAsia="Times New Roman" w:hAnsi="Garamond" w:cs="Times New Roman"/>
                <w:sz w:val="22"/>
                <w:szCs w:val="24"/>
              </w:rPr>
              <w:t>Сокращенное наименование юридического лица</w:t>
            </w:r>
          </w:p>
        </w:tc>
        <w:tc>
          <w:tcPr>
            <w:tcW w:w="5117" w:type="dxa"/>
            <w:vAlign w:val="center"/>
          </w:tcPr>
          <w:p w14:paraId="2FEF142C" w14:textId="33127255" w:rsidR="001333B2" w:rsidRPr="001333B2" w:rsidRDefault="001333B2" w:rsidP="001333B2">
            <w:pPr>
              <w:suppressAutoHyphens w:val="0"/>
              <w:jc w:val="both"/>
              <w:rPr>
                <w:rFonts w:ascii="Garamond" w:eastAsia="Times New Roman" w:hAnsi="Garamond" w:cs="Times New Roman"/>
                <w:sz w:val="22"/>
                <w:szCs w:val="24"/>
              </w:rPr>
            </w:pPr>
            <w:r w:rsidRPr="001333B2">
              <w:rPr>
                <w:rFonts w:ascii="Garamond" w:eastAsia="Times New Roman" w:hAnsi="Garamond" w:cs="Times New Roman"/>
                <w:i/>
                <w:sz w:val="22"/>
                <w:szCs w:val="24"/>
              </w:rPr>
              <w:t>Заполняется в соответс</w:t>
            </w:r>
            <w:r w:rsidR="003801DB">
              <w:rPr>
                <w:rFonts w:ascii="Garamond" w:eastAsia="Times New Roman" w:hAnsi="Garamond" w:cs="Times New Roman"/>
                <w:i/>
                <w:sz w:val="22"/>
                <w:szCs w:val="24"/>
              </w:rPr>
              <w:t>твии с информацией, указанной в </w:t>
            </w:r>
            <w:r w:rsidRPr="001333B2">
              <w:rPr>
                <w:rFonts w:ascii="Garamond" w:eastAsia="Times New Roman" w:hAnsi="Garamond" w:cs="Times New Roman"/>
                <w:i/>
                <w:sz w:val="22"/>
                <w:szCs w:val="24"/>
              </w:rPr>
              <w:t>ЕГРЮЛ</w:t>
            </w:r>
          </w:p>
        </w:tc>
      </w:tr>
      <w:tr w:rsidR="001333B2" w:rsidRPr="001333B2" w14:paraId="39A6BA24" w14:textId="77777777" w:rsidTr="0064152E">
        <w:trPr>
          <w:trHeight w:val="567"/>
        </w:trPr>
        <w:tc>
          <w:tcPr>
            <w:tcW w:w="4228" w:type="dxa"/>
            <w:shd w:val="clear" w:color="auto" w:fill="D9D9D9"/>
            <w:vAlign w:val="center"/>
          </w:tcPr>
          <w:p w14:paraId="63BC99FD" w14:textId="77777777" w:rsidR="001333B2" w:rsidRPr="003801DB" w:rsidRDefault="001333B2" w:rsidP="001333B2">
            <w:pPr>
              <w:suppressAutoHyphens w:val="0"/>
              <w:jc w:val="both"/>
              <w:rPr>
                <w:rFonts w:ascii="Garamond" w:eastAsia="Times New Roman" w:hAnsi="Garamond" w:cs="Times New Roman"/>
                <w:sz w:val="22"/>
                <w:szCs w:val="24"/>
              </w:rPr>
            </w:pPr>
            <w:r w:rsidRPr="003801DB">
              <w:rPr>
                <w:rFonts w:ascii="Garamond" w:eastAsia="Times New Roman" w:hAnsi="Garamond" w:cs="Times New Roman"/>
                <w:sz w:val="22"/>
                <w:szCs w:val="24"/>
              </w:rPr>
              <w:t>ИНН юридического лица</w:t>
            </w:r>
          </w:p>
        </w:tc>
        <w:tc>
          <w:tcPr>
            <w:tcW w:w="5117" w:type="dxa"/>
            <w:vAlign w:val="center"/>
          </w:tcPr>
          <w:p w14:paraId="556C5FDE" w14:textId="2E1EAF27" w:rsidR="001333B2" w:rsidRPr="001333B2" w:rsidRDefault="001333B2" w:rsidP="001333B2">
            <w:pPr>
              <w:suppressAutoHyphens w:val="0"/>
              <w:jc w:val="both"/>
              <w:rPr>
                <w:rFonts w:ascii="Garamond" w:eastAsia="Times New Roman" w:hAnsi="Garamond" w:cs="Times New Roman"/>
                <w:i/>
                <w:sz w:val="22"/>
                <w:szCs w:val="24"/>
              </w:rPr>
            </w:pPr>
            <w:r w:rsidRPr="001333B2">
              <w:rPr>
                <w:rFonts w:ascii="Garamond" w:eastAsia="Times New Roman" w:hAnsi="Garamond" w:cs="Times New Roman"/>
                <w:i/>
                <w:sz w:val="22"/>
                <w:szCs w:val="24"/>
              </w:rPr>
              <w:t>Заполняется в соответс</w:t>
            </w:r>
            <w:r w:rsidR="003801DB">
              <w:rPr>
                <w:rFonts w:ascii="Garamond" w:eastAsia="Times New Roman" w:hAnsi="Garamond" w:cs="Times New Roman"/>
                <w:i/>
                <w:sz w:val="22"/>
                <w:szCs w:val="24"/>
              </w:rPr>
              <w:t>твии с информацией, указанной в </w:t>
            </w:r>
            <w:r w:rsidRPr="001333B2">
              <w:rPr>
                <w:rFonts w:ascii="Garamond" w:eastAsia="Times New Roman" w:hAnsi="Garamond" w:cs="Times New Roman"/>
                <w:i/>
                <w:sz w:val="22"/>
                <w:szCs w:val="24"/>
              </w:rPr>
              <w:t>ЕГРЮЛ</w:t>
            </w:r>
          </w:p>
        </w:tc>
      </w:tr>
      <w:tr w:rsidR="001333B2" w:rsidRPr="001333B2" w14:paraId="57B21DC0" w14:textId="77777777" w:rsidTr="0064152E">
        <w:trPr>
          <w:trHeight w:val="567"/>
        </w:trPr>
        <w:tc>
          <w:tcPr>
            <w:tcW w:w="4228" w:type="dxa"/>
            <w:shd w:val="clear" w:color="auto" w:fill="D9D9D9"/>
            <w:vAlign w:val="center"/>
          </w:tcPr>
          <w:p w14:paraId="4C3FBF89" w14:textId="77777777" w:rsidR="001333B2" w:rsidRPr="003801DB" w:rsidRDefault="001333B2" w:rsidP="001333B2">
            <w:pPr>
              <w:suppressAutoHyphens w:val="0"/>
              <w:jc w:val="both"/>
              <w:rPr>
                <w:rFonts w:ascii="Garamond" w:eastAsia="Times New Roman" w:hAnsi="Garamond" w:cs="Times New Roman"/>
                <w:sz w:val="22"/>
                <w:szCs w:val="24"/>
              </w:rPr>
            </w:pPr>
            <w:r w:rsidRPr="003801DB">
              <w:rPr>
                <w:rFonts w:ascii="Garamond" w:eastAsia="Times New Roman" w:hAnsi="Garamond" w:cs="Times New Roman"/>
                <w:sz w:val="22"/>
                <w:szCs w:val="24"/>
              </w:rPr>
              <w:t>Регистрационный номер в Реестре субъектов оптового рынка</w:t>
            </w:r>
          </w:p>
        </w:tc>
        <w:tc>
          <w:tcPr>
            <w:tcW w:w="5117" w:type="dxa"/>
            <w:vAlign w:val="center"/>
          </w:tcPr>
          <w:p w14:paraId="44A3B70C" w14:textId="77777777" w:rsidR="001333B2" w:rsidRPr="001333B2" w:rsidRDefault="001333B2" w:rsidP="001333B2">
            <w:pPr>
              <w:suppressAutoHyphens w:val="0"/>
              <w:jc w:val="both"/>
              <w:rPr>
                <w:rFonts w:ascii="Garamond" w:eastAsia="Times New Roman" w:hAnsi="Garamond" w:cs="Times New Roman"/>
                <w:i/>
                <w:sz w:val="22"/>
                <w:szCs w:val="24"/>
              </w:rPr>
            </w:pPr>
            <w:r w:rsidRPr="001333B2">
              <w:rPr>
                <w:rFonts w:ascii="Garamond" w:eastAsia="Times New Roman" w:hAnsi="Garamond" w:cs="Times New Roman"/>
                <w:i/>
                <w:sz w:val="22"/>
                <w:szCs w:val="24"/>
              </w:rPr>
              <w:t>Указывается при наличии</w:t>
            </w:r>
          </w:p>
        </w:tc>
      </w:tr>
    </w:tbl>
    <w:p w14:paraId="672C3925" w14:textId="77777777" w:rsidR="001333B2" w:rsidRPr="001333B2" w:rsidRDefault="001333B2" w:rsidP="001333B2">
      <w:pPr>
        <w:suppressAutoHyphens w:val="0"/>
        <w:jc w:val="both"/>
        <w:rPr>
          <w:rFonts w:ascii="Garamond" w:eastAsia="Times New Roman" w:hAnsi="Garamond" w:cs="Times New Roman"/>
          <w:sz w:val="16"/>
          <w:szCs w:val="24"/>
        </w:rPr>
      </w:pPr>
    </w:p>
    <w:p w14:paraId="26993DF3" w14:textId="2170C22B" w:rsidR="001333B2" w:rsidRPr="001333B2" w:rsidRDefault="001333B2" w:rsidP="001333B2">
      <w:pPr>
        <w:suppressAutoHyphens w:val="0"/>
        <w:jc w:val="center"/>
        <w:rPr>
          <w:rFonts w:ascii="Garamond" w:eastAsia="Times New Roman" w:hAnsi="Garamond" w:cs="Times New Roman"/>
          <w:b/>
          <w:sz w:val="22"/>
          <w:szCs w:val="22"/>
        </w:rPr>
      </w:pPr>
      <w:r w:rsidRPr="001333B2">
        <w:rPr>
          <w:rFonts w:ascii="Garamond" w:eastAsia="Times New Roman" w:hAnsi="Garamond" w:cs="Times New Roman"/>
          <w:b/>
          <w:sz w:val="22"/>
          <w:szCs w:val="22"/>
        </w:rPr>
        <w:t xml:space="preserve">выражает намерение зарегистрировать объект регулирования и </w:t>
      </w:r>
      <w:r w:rsidRPr="003801DB">
        <w:rPr>
          <w:rFonts w:ascii="Garamond" w:eastAsia="Times New Roman" w:hAnsi="Garamond" w:cs="Times New Roman"/>
          <w:b/>
          <w:sz w:val="22"/>
          <w:szCs w:val="22"/>
        </w:rPr>
        <w:t xml:space="preserve">провести аттестацию </w:t>
      </w:r>
      <w:r w:rsidR="00F7653E" w:rsidRPr="003801DB">
        <w:rPr>
          <w:rFonts w:ascii="Garamond" w:eastAsia="Times New Roman" w:hAnsi="Garamond" w:cs="Times New Roman"/>
          <w:b/>
          <w:sz w:val="22"/>
          <w:szCs w:val="22"/>
        </w:rPr>
        <w:t>объекта регулирования</w:t>
      </w:r>
    </w:p>
    <w:p w14:paraId="5FEA5044" w14:textId="77777777" w:rsidR="001333B2" w:rsidRPr="001333B2" w:rsidRDefault="001333B2" w:rsidP="001333B2">
      <w:pPr>
        <w:suppressAutoHyphens w:val="0"/>
        <w:jc w:val="both"/>
        <w:rPr>
          <w:rFonts w:ascii="Garamond" w:eastAsia="Times New Roman" w:hAnsi="Garamond" w:cs="Times New Roman"/>
          <w:b/>
          <w:sz w:val="16"/>
          <w:szCs w:val="24"/>
        </w:rPr>
      </w:pPr>
    </w:p>
    <w:tbl>
      <w:tblPr>
        <w:tblW w:w="935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706"/>
        <w:gridCol w:w="3683"/>
        <w:gridCol w:w="2408"/>
        <w:gridCol w:w="2562"/>
      </w:tblGrid>
      <w:tr w:rsidR="001333B2" w:rsidRPr="001333B2" w14:paraId="5EF01F86" w14:textId="77777777" w:rsidTr="0064152E">
        <w:trPr>
          <w:trHeight w:val="379"/>
        </w:trPr>
        <w:tc>
          <w:tcPr>
            <w:tcW w:w="9359" w:type="dxa"/>
            <w:gridSpan w:val="4"/>
            <w:shd w:val="clear" w:color="auto" w:fill="D9D9D9"/>
            <w:vAlign w:val="center"/>
          </w:tcPr>
          <w:p w14:paraId="3B163B5D" w14:textId="77777777" w:rsidR="001333B2" w:rsidRPr="001333B2" w:rsidRDefault="001333B2" w:rsidP="001333B2">
            <w:pPr>
              <w:suppressAutoHyphens w:val="0"/>
              <w:jc w:val="both"/>
              <w:rPr>
                <w:rFonts w:ascii="Garamond" w:eastAsia="Times New Roman" w:hAnsi="Garamond" w:cs="Times New Roman"/>
                <w:sz w:val="22"/>
                <w:szCs w:val="24"/>
              </w:rPr>
            </w:pPr>
            <w:r w:rsidRPr="001333B2">
              <w:rPr>
                <w:rFonts w:ascii="Garamond" w:eastAsia="Times New Roman" w:hAnsi="Garamond" w:cs="Times New Roman"/>
                <w:b/>
                <w:sz w:val="22"/>
                <w:szCs w:val="24"/>
              </w:rPr>
              <w:t>1. Общие характеристики объекта регулирования</w:t>
            </w:r>
          </w:p>
        </w:tc>
      </w:tr>
      <w:tr w:rsidR="001333B2" w:rsidRPr="001333B2" w14:paraId="381E62CD" w14:textId="77777777" w:rsidTr="00664B22">
        <w:trPr>
          <w:trHeight w:val="567"/>
        </w:trPr>
        <w:tc>
          <w:tcPr>
            <w:tcW w:w="4389" w:type="dxa"/>
            <w:gridSpan w:val="2"/>
            <w:shd w:val="clear" w:color="auto" w:fill="D9D9D9"/>
            <w:vAlign w:val="center"/>
          </w:tcPr>
          <w:p w14:paraId="3CF62F1F" w14:textId="77777777" w:rsidR="001333B2" w:rsidRPr="001333B2" w:rsidRDefault="001333B2" w:rsidP="001333B2">
            <w:pPr>
              <w:suppressAutoHyphens w:val="0"/>
              <w:jc w:val="both"/>
              <w:rPr>
                <w:rFonts w:ascii="Garamond" w:eastAsia="Times New Roman" w:hAnsi="Garamond" w:cs="Times New Roman"/>
                <w:sz w:val="22"/>
                <w:szCs w:val="24"/>
              </w:rPr>
            </w:pPr>
            <w:r w:rsidRPr="001333B2">
              <w:rPr>
                <w:rFonts w:ascii="Garamond" w:eastAsia="Times New Roman" w:hAnsi="Garamond" w:cs="Times New Roman"/>
                <w:sz w:val="22"/>
                <w:szCs w:val="24"/>
              </w:rPr>
              <w:t>Наименование объекта регулирования</w:t>
            </w:r>
          </w:p>
        </w:tc>
        <w:tc>
          <w:tcPr>
            <w:tcW w:w="4970" w:type="dxa"/>
            <w:gridSpan w:val="2"/>
            <w:vAlign w:val="center"/>
          </w:tcPr>
          <w:p w14:paraId="4B7A9120" w14:textId="77777777" w:rsidR="001333B2" w:rsidRPr="001333B2" w:rsidRDefault="001333B2" w:rsidP="001333B2">
            <w:pPr>
              <w:suppressAutoHyphens w:val="0"/>
              <w:jc w:val="both"/>
              <w:rPr>
                <w:rFonts w:ascii="Garamond" w:eastAsia="Times New Roman" w:hAnsi="Garamond" w:cs="Times New Roman"/>
                <w:sz w:val="22"/>
                <w:szCs w:val="24"/>
              </w:rPr>
            </w:pPr>
            <w:r w:rsidRPr="001333B2">
              <w:rPr>
                <w:rFonts w:ascii="Garamond" w:eastAsia="Times New Roman" w:hAnsi="Garamond" w:cs="Times New Roman"/>
                <w:i/>
                <w:sz w:val="22"/>
                <w:szCs w:val="24"/>
              </w:rPr>
              <w:t>Указывается присвоенное заявителем наименование объекта регулирования</w:t>
            </w:r>
          </w:p>
        </w:tc>
      </w:tr>
      <w:tr w:rsidR="001333B2" w:rsidRPr="001333B2" w14:paraId="7A431C20" w14:textId="77777777" w:rsidTr="00664B22">
        <w:trPr>
          <w:trHeight w:val="567"/>
        </w:trPr>
        <w:tc>
          <w:tcPr>
            <w:tcW w:w="4389" w:type="dxa"/>
            <w:gridSpan w:val="2"/>
            <w:shd w:val="clear" w:color="auto" w:fill="D9D9D9"/>
            <w:vAlign w:val="center"/>
          </w:tcPr>
          <w:p w14:paraId="00C114B7" w14:textId="77777777" w:rsidR="001333B2" w:rsidRPr="001333B2" w:rsidRDefault="001333B2" w:rsidP="001333B2">
            <w:pPr>
              <w:suppressAutoHyphens w:val="0"/>
              <w:jc w:val="both"/>
              <w:rPr>
                <w:rFonts w:ascii="Garamond" w:eastAsia="Times New Roman" w:hAnsi="Garamond" w:cs="Times New Roman"/>
                <w:sz w:val="22"/>
                <w:szCs w:val="24"/>
              </w:rPr>
            </w:pPr>
            <w:r w:rsidRPr="001333B2">
              <w:rPr>
                <w:rFonts w:ascii="Garamond" w:eastAsia="Times New Roman" w:hAnsi="Garamond" w:cs="Times New Roman"/>
                <w:sz w:val="22"/>
                <w:szCs w:val="24"/>
              </w:rPr>
              <w:t>Ценовая зона</w:t>
            </w:r>
          </w:p>
        </w:tc>
        <w:tc>
          <w:tcPr>
            <w:tcW w:w="4970" w:type="dxa"/>
            <w:gridSpan w:val="2"/>
            <w:vAlign w:val="center"/>
          </w:tcPr>
          <w:p w14:paraId="0A44537A" w14:textId="77777777" w:rsidR="001333B2" w:rsidRPr="001333B2" w:rsidRDefault="001333B2" w:rsidP="001333B2">
            <w:pPr>
              <w:suppressAutoHyphens w:val="0"/>
              <w:jc w:val="both"/>
              <w:rPr>
                <w:rFonts w:ascii="Garamond" w:eastAsia="Times New Roman" w:hAnsi="Garamond" w:cs="Times New Roman"/>
                <w:sz w:val="22"/>
                <w:szCs w:val="24"/>
              </w:rPr>
            </w:pPr>
            <w:r w:rsidRPr="001333B2">
              <w:rPr>
                <w:rFonts w:ascii="Garamond" w:eastAsia="Times New Roman" w:hAnsi="Garamond" w:cs="Times New Roman"/>
                <w:i/>
                <w:sz w:val="22"/>
                <w:szCs w:val="24"/>
              </w:rPr>
              <w:t>Указывается ценовая зона, в которой расположено электрооборудование, входящее в состав объекта регулирования</w:t>
            </w:r>
          </w:p>
        </w:tc>
      </w:tr>
      <w:tr w:rsidR="001333B2" w:rsidRPr="001333B2" w14:paraId="648535A2" w14:textId="77777777" w:rsidTr="00664B22">
        <w:trPr>
          <w:trHeight w:val="567"/>
        </w:trPr>
        <w:tc>
          <w:tcPr>
            <w:tcW w:w="4389" w:type="dxa"/>
            <w:gridSpan w:val="2"/>
            <w:shd w:val="clear" w:color="auto" w:fill="D9D9D9"/>
            <w:vAlign w:val="center"/>
          </w:tcPr>
          <w:p w14:paraId="7B9AF4CA" w14:textId="77777777" w:rsidR="001333B2" w:rsidRPr="001333B2" w:rsidRDefault="001333B2" w:rsidP="001333B2">
            <w:pPr>
              <w:suppressAutoHyphens w:val="0"/>
              <w:jc w:val="both"/>
              <w:rPr>
                <w:rFonts w:ascii="Garamond" w:eastAsia="Times New Roman" w:hAnsi="Garamond" w:cs="Times New Roman"/>
                <w:sz w:val="22"/>
                <w:szCs w:val="24"/>
              </w:rPr>
            </w:pPr>
            <w:r w:rsidRPr="001333B2">
              <w:rPr>
                <w:rFonts w:ascii="Garamond" w:eastAsia="Times New Roman" w:hAnsi="Garamond" w:cs="Times New Roman"/>
                <w:sz w:val="22"/>
                <w:szCs w:val="24"/>
              </w:rPr>
              <w:t>Субъект РФ</w:t>
            </w:r>
          </w:p>
        </w:tc>
        <w:tc>
          <w:tcPr>
            <w:tcW w:w="4970" w:type="dxa"/>
            <w:gridSpan w:val="2"/>
            <w:vAlign w:val="center"/>
          </w:tcPr>
          <w:p w14:paraId="02ADE70B" w14:textId="2D6971C1" w:rsidR="001333B2" w:rsidRPr="001333B2" w:rsidRDefault="001333B2" w:rsidP="003801DB">
            <w:pPr>
              <w:suppressAutoHyphens w:val="0"/>
              <w:jc w:val="both"/>
              <w:rPr>
                <w:rFonts w:ascii="Garamond" w:eastAsia="Times New Roman" w:hAnsi="Garamond" w:cs="Times New Roman"/>
                <w:sz w:val="22"/>
                <w:szCs w:val="24"/>
              </w:rPr>
            </w:pPr>
            <w:r w:rsidRPr="001333B2">
              <w:rPr>
                <w:rFonts w:ascii="Garamond" w:eastAsia="Times New Roman" w:hAnsi="Garamond" w:cs="Times New Roman"/>
                <w:i/>
                <w:sz w:val="22"/>
                <w:szCs w:val="24"/>
              </w:rPr>
              <w:t xml:space="preserve">Указывается </w:t>
            </w:r>
            <w:r w:rsidR="003801DB">
              <w:rPr>
                <w:rFonts w:ascii="Garamond" w:eastAsia="Times New Roman" w:hAnsi="Garamond" w:cs="Times New Roman"/>
                <w:i/>
                <w:sz w:val="22"/>
                <w:szCs w:val="24"/>
              </w:rPr>
              <w:t>с</w:t>
            </w:r>
            <w:r w:rsidRPr="001333B2">
              <w:rPr>
                <w:rFonts w:ascii="Garamond" w:eastAsia="Times New Roman" w:hAnsi="Garamond" w:cs="Times New Roman"/>
                <w:i/>
                <w:sz w:val="22"/>
                <w:szCs w:val="24"/>
              </w:rPr>
              <w:t xml:space="preserve">убъект </w:t>
            </w:r>
            <w:r w:rsidR="003801DB" w:rsidRPr="001333B2">
              <w:rPr>
                <w:rFonts w:ascii="Garamond" w:eastAsia="Times New Roman" w:hAnsi="Garamond" w:cs="Times New Roman"/>
                <w:i/>
                <w:sz w:val="22"/>
                <w:szCs w:val="24"/>
              </w:rPr>
              <w:t>Российской Федерации</w:t>
            </w:r>
            <w:r w:rsidRPr="001333B2">
              <w:rPr>
                <w:rFonts w:ascii="Garamond" w:eastAsia="Times New Roman" w:hAnsi="Garamond" w:cs="Times New Roman"/>
                <w:i/>
                <w:sz w:val="22"/>
                <w:szCs w:val="24"/>
              </w:rPr>
              <w:t>, в котором расположено электрооборудование, входящее в состав объекта регулирования</w:t>
            </w:r>
          </w:p>
        </w:tc>
      </w:tr>
      <w:tr w:rsidR="001333B2" w:rsidRPr="001333B2" w14:paraId="7C6D8A1C" w14:textId="77777777" w:rsidTr="00664B22">
        <w:trPr>
          <w:trHeight w:val="567"/>
        </w:trPr>
        <w:tc>
          <w:tcPr>
            <w:tcW w:w="4389" w:type="dxa"/>
            <w:gridSpan w:val="2"/>
            <w:shd w:val="clear" w:color="auto" w:fill="D9D9D9"/>
            <w:vAlign w:val="center"/>
          </w:tcPr>
          <w:p w14:paraId="6567813C" w14:textId="77777777" w:rsidR="001333B2" w:rsidRPr="001333B2" w:rsidRDefault="001333B2" w:rsidP="001333B2">
            <w:pPr>
              <w:suppressAutoHyphens w:val="0"/>
              <w:rPr>
                <w:rFonts w:ascii="Garamond" w:eastAsia="Times New Roman" w:hAnsi="Garamond" w:cs="Times New Roman"/>
                <w:sz w:val="22"/>
                <w:szCs w:val="24"/>
              </w:rPr>
            </w:pPr>
            <w:r w:rsidRPr="001333B2">
              <w:rPr>
                <w:rFonts w:ascii="Garamond" w:eastAsia="Times New Roman" w:hAnsi="Garamond" w:cs="Times New Roman"/>
                <w:sz w:val="22"/>
                <w:szCs w:val="24"/>
              </w:rPr>
              <w:t>Адрес местонахождения объекта регулирования</w:t>
            </w:r>
          </w:p>
        </w:tc>
        <w:tc>
          <w:tcPr>
            <w:tcW w:w="4970" w:type="dxa"/>
            <w:gridSpan w:val="2"/>
            <w:vAlign w:val="center"/>
          </w:tcPr>
          <w:p w14:paraId="4ED5D587" w14:textId="5400FCCA" w:rsidR="001333B2" w:rsidRPr="001333B2" w:rsidRDefault="001333B2" w:rsidP="003801DB">
            <w:pPr>
              <w:suppressAutoHyphens w:val="0"/>
              <w:jc w:val="both"/>
              <w:rPr>
                <w:rFonts w:ascii="Garamond" w:eastAsia="Times New Roman" w:hAnsi="Garamond" w:cs="Times New Roman"/>
                <w:i/>
                <w:sz w:val="22"/>
                <w:szCs w:val="24"/>
              </w:rPr>
            </w:pPr>
            <w:r w:rsidRPr="001333B2">
              <w:rPr>
                <w:rFonts w:ascii="Garamond" w:eastAsia="Times New Roman" w:hAnsi="Garamond" w:cs="Times New Roman"/>
                <w:i/>
                <w:sz w:val="22"/>
                <w:szCs w:val="24"/>
              </w:rPr>
              <w:t>Указывается адрес местонахождения объекта регулирования (</w:t>
            </w:r>
            <w:r w:rsidR="003801DB">
              <w:rPr>
                <w:rFonts w:ascii="Garamond" w:eastAsia="Times New Roman" w:hAnsi="Garamond" w:cs="Times New Roman"/>
                <w:i/>
                <w:sz w:val="22"/>
                <w:szCs w:val="24"/>
              </w:rPr>
              <w:t>н</w:t>
            </w:r>
            <w:r w:rsidRPr="001333B2">
              <w:rPr>
                <w:rFonts w:ascii="Garamond" w:eastAsia="Times New Roman" w:hAnsi="Garamond" w:cs="Times New Roman"/>
                <w:i/>
                <w:sz w:val="22"/>
                <w:szCs w:val="24"/>
              </w:rPr>
              <w:t>аименование субъекта Российской Федерации, наименование муниципального района, муниципального округа, городского округа или внутригородской территории (для городов федерального значения) в составе субъекта Российской Федерации, федеральной территории, наименование городского или сельского поселения в составе муниципального района (для муниципального района) или внутригородского района городского округа, наименование населенного пункта, наименование элемента планировочной структуры, наименование элемента улично-дорожной сети, тип и номер здания (строения), сооружения)</w:t>
            </w:r>
          </w:p>
        </w:tc>
      </w:tr>
      <w:tr w:rsidR="001333B2" w:rsidRPr="001333B2" w14:paraId="042BAFC4" w14:textId="77777777" w:rsidTr="00664B22">
        <w:trPr>
          <w:trHeight w:val="567"/>
        </w:trPr>
        <w:tc>
          <w:tcPr>
            <w:tcW w:w="4389" w:type="dxa"/>
            <w:gridSpan w:val="2"/>
            <w:shd w:val="clear" w:color="auto" w:fill="D9D9D9"/>
            <w:vAlign w:val="center"/>
          </w:tcPr>
          <w:p w14:paraId="11584DDC" w14:textId="77777777" w:rsidR="001333B2" w:rsidRPr="001333B2" w:rsidRDefault="001333B2" w:rsidP="001333B2">
            <w:pPr>
              <w:suppressAutoHyphens w:val="0"/>
              <w:rPr>
                <w:rFonts w:ascii="Garamond" w:eastAsia="Times New Roman" w:hAnsi="Garamond" w:cs="Times New Roman"/>
                <w:sz w:val="22"/>
                <w:szCs w:val="24"/>
              </w:rPr>
            </w:pPr>
            <w:r w:rsidRPr="001333B2">
              <w:rPr>
                <w:rFonts w:ascii="Garamond" w:eastAsia="Times New Roman" w:hAnsi="Garamond" w:cs="Times New Roman"/>
                <w:sz w:val="22"/>
                <w:szCs w:val="24"/>
              </w:rPr>
              <w:t>Номер реестровой записи в ФИАС</w:t>
            </w:r>
          </w:p>
        </w:tc>
        <w:tc>
          <w:tcPr>
            <w:tcW w:w="4970" w:type="dxa"/>
            <w:gridSpan w:val="2"/>
            <w:vAlign w:val="center"/>
          </w:tcPr>
          <w:p w14:paraId="03AFA3CD" w14:textId="77777777" w:rsidR="001333B2" w:rsidRPr="001333B2" w:rsidRDefault="001333B2" w:rsidP="001333B2">
            <w:pPr>
              <w:suppressAutoHyphens w:val="0"/>
              <w:jc w:val="both"/>
              <w:rPr>
                <w:rFonts w:ascii="Garamond" w:eastAsia="Times New Roman" w:hAnsi="Garamond" w:cs="Times New Roman"/>
                <w:i/>
                <w:sz w:val="22"/>
                <w:szCs w:val="24"/>
              </w:rPr>
            </w:pPr>
            <w:r w:rsidRPr="001333B2">
              <w:rPr>
                <w:rFonts w:ascii="Garamond" w:eastAsia="Times New Roman" w:hAnsi="Garamond" w:cs="Times New Roman"/>
                <w:i/>
                <w:sz w:val="22"/>
                <w:szCs w:val="24"/>
              </w:rPr>
              <w:t>Указывается уникальный номер реестровой записи Федеральной информационной адресной системы (ФИАС), соответствующий местонахождению объекта регулирования</w:t>
            </w:r>
          </w:p>
        </w:tc>
      </w:tr>
      <w:tr w:rsidR="001333B2" w:rsidRPr="001333B2" w14:paraId="6897D504" w14:textId="77777777" w:rsidTr="00664B22">
        <w:trPr>
          <w:trHeight w:val="567"/>
        </w:trPr>
        <w:tc>
          <w:tcPr>
            <w:tcW w:w="4389" w:type="dxa"/>
            <w:gridSpan w:val="2"/>
            <w:shd w:val="clear" w:color="auto" w:fill="D9D9D9"/>
            <w:vAlign w:val="center"/>
          </w:tcPr>
          <w:p w14:paraId="1B029FD6" w14:textId="77777777" w:rsidR="001333B2" w:rsidRPr="001333B2" w:rsidRDefault="001333B2" w:rsidP="001333B2">
            <w:pPr>
              <w:suppressAutoHyphens w:val="0"/>
              <w:rPr>
                <w:rFonts w:ascii="Garamond" w:eastAsia="Times New Roman" w:hAnsi="Garamond" w:cs="Times New Roman"/>
                <w:sz w:val="22"/>
                <w:szCs w:val="24"/>
              </w:rPr>
            </w:pPr>
            <w:r w:rsidRPr="001333B2">
              <w:rPr>
                <w:rFonts w:ascii="Garamond" w:eastAsia="Times New Roman" w:hAnsi="Garamond" w:cs="Times New Roman"/>
                <w:sz w:val="22"/>
                <w:szCs w:val="24"/>
              </w:rPr>
              <w:t>Полное наименование потребителя</w:t>
            </w:r>
          </w:p>
        </w:tc>
        <w:tc>
          <w:tcPr>
            <w:tcW w:w="4970" w:type="dxa"/>
            <w:gridSpan w:val="2"/>
            <w:vAlign w:val="center"/>
          </w:tcPr>
          <w:p w14:paraId="4EBA9FF8" w14:textId="22A30138" w:rsidR="001333B2" w:rsidRPr="001333B2" w:rsidRDefault="001333B2" w:rsidP="003801DB">
            <w:pPr>
              <w:suppressAutoHyphens w:val="0"/>
              <w:jc w:val="both"/>
              <w:rPr>
                <w:rFonts w:ascii="Garamond" w:eastAsia="Times New Roman" w:hAnsi="Garamond" w:cs="Times New Roman"/>
                <w:i/>
                <w:sz w:val="22"/>
                <w:szCs w:val="24"/>
              </w:rPr>
            </w:pPr>
            <w:r w:rsidRPr="001333B2">
              <w:rPr>
                <w:rFonts w:ascii="Garamond" w:eastAsia="Times New Roman" w:hAnsi="Garamond" w:cs="Times New Roman"/>
                <w:i/>
                <w:sz w:val="22"/>
                <w:szCs w:val="24"/>
              </w:rPr>
              <w:t xml:space="preserve">Для </w:t>
            </w:r>
            <w:r w:rsidR="003801DB">
              <w:rPr>
                <w:rFonts w:ascii="Garamond" w:eastAsia="Times New Roman" w:hAnsi="Garamond" w:cs="Times New Roman"/>
                <w:i/>
                <w:sz w:val="22"/>
                <w:szCs w:val="24"/>
              </w:rPr>
              <w:t>ю</w:t>
            </w:r>
            <w:r w:rsidRPr="001333B2">
              <w:rPr>
                <w:rFonts w:ascii="Garamond" w:eastAsia="Times New Roman" w:hAnsi="Garamond" w:cs="Times New Roman"/>
                <w:i/>
                <w:sz w:val="22"/>
                <w:szCs w:val="24"/>
              </w:rPr>
              <w:t xml:space="preserve">ридического лица заполняется в соответствии с информацией, указанной в ЕГРЮЛ. Для </w:t>
            </w:r>
            <w:r w:rsidR="003801DB">
              <w:rPr>
                <w:rFonts w:ascii="Garamond" w:eastAsia="Times New Roman" w:hAnsi="Garamond" w:cs="Times New Roman"/>
                <w:i/>
                <w:sz w:val="22"/>
                <w:szCs w:val="24"/>
              </w:rPr>
              <w:t>ф</w:t>
            </w:r>
            <w:r w:rsidRPr="001333B2">
              <w:rPr>
                <w:rFonts w:ascii="Garamond" w:eastAsia="Times New Roman" w:hAnsi="Garamond" w:cs="Times New Roman"/>
                <w:i/>
                <w:sz w:val="22"/>
                <w:szCs w:val="24"/>
              </w:rPr>
              <w:t xml:space="preserve">изического лица или </w:t>
            </w:r>
            <w:r w:rsidR="003801DB">
              <w:rPr>
                <w:rFonts w:ascii="Garamond" w:eastAsia="Times New Roman" w:hAnsi="Garamond" w:cs="Times New Roman"/>
                <w:i/>
                <w:sz w:val="22"/>
                <w:szCs w:val="24"/>
              </w:rPr>
              <w:t>и</w:t>
            </w:r>
            <w:r w:rsidRPr="001333B2">
              <w:rPr>
                <w:rFonts w:ascii="Garamond" w:eastAsia="Times New Roman" w:hAnsi="Garamond" w:cs="Times New Roman"/>
                <w:i/>
                <w:sz w:val="22"/>
                <w:szCs w:val="24"/>
              </w:rPr>
              <w:t xml:space="preserve">ндивидуального предпринимателя указывается </w:t>
            </w:r>
            <w:r w:rsidR="003801DB">
              <w:rPr>
                <w:rFonts w:ascii="Garamond" w:eastAsia="Times New Roman" w:hAnsi="Garamond" w:cs="Times New Roman"/>
                <w:i/>
                <w:sz w:val="22"/>
                <w:szCs w:val="24"/>
              </w:rPr>
              <w:t>ф</w:t>
            </w:r>
            <w:r w:rsidRPr="001333B2">
              <w:rPr>
                <w:rFonts w:ascii="Garamond" w:eastAsia="Times New Roman" w:hAnsi="Garamond" w:cs="Times New Roman"/>
                <w:i/>
                <w:sz w:val="22"/>
                <w:szCs w:val="24"/>
              </w:rPr>
              <w:t>амилия</w:t>
            </w:r>
            <w:r w:rsidR="003801DB">
              <w:rPr>
                <w:rFonts w:ascii="Garamond" w:eastAsia="Times New Roman" w:hAnsi="Garamond" w:cs="Times New Roman"/>
                <w:i/>
                <w:sz w:val="22"/>
                <w:szCs w:val="24"/>
              </w:rPr>
              <w:t>,</w:t>
            </w:r>
            <w:r w:rsidRPr="001333B2">
              <w:rPr>
                <w:rFonts w:ascii="Garamond" w:eastAsia="Times New Roman" w:hAnsi="Garamond" w:cs="Times New Roman"/>
                <w:i/>
                <w:sz w:val="22"/>
                <w:szCs w:val="24"/>
              </w:rPr>
              <w:t xml:space="preserve"> </w:t>
            </w:r>
            <w:r w:rsidR="003801DB">
              <w:rPr>
                <w:rFonts w:ascii="Garamond" w:eastAsia="Times New Roman" w:hAnsi="Garamond" w:cs="Times New Roman"/>
                <w:i/>
                <w:sz w:val="22"/>
                <w:szCs w:val="24"/>
              </w:rPr>
              <w:t>и</w:t>
            </w:r>
            <w:r w:rsidRPr="001333B2">
              <w:rPr>
                <w:rFonts w:ascii="Garamond" w:eastAsia="Times New Roman" w:hAnsi="Garamond" w:cs="Times New Roman"/>
                <w:i/>
                <w:sz w:val="22"/>
                <w:szCs w:val="24"/>
              </w:rPr>
              <w:t>мя</w:t>
            </w:r>
            <w:r w:rsidR="003801DB">
              <w:rPr>
                <w:rFonts w:ascii="Garamond" w:eastAsia="Times New Roman" w:hAnsi="Garamond" w:cs="Times New Roman"/>
                <w:i/>
                <w:sz w:val="22"/>
                <w:szCs w:val="24"/>
              </w:rPr>
              <w:t>,</w:t>
            </w:r>
            <w:r w:rsidRPr="001333B2">
              <w:rPr>
                <w:rFonts w:ascii="Garamond" w:eastAsia="Times New Roman" w:hAnsi="Garamond" w:cs="Times New Roman"/>
                <w:i/>
                <w:sz w:val="22"/>
                <w:szCs w:val="24"/>
              </w:rPr>
              <w:t xml:space="preserve"> </w:t>
            </w:r>
            <w:r w:rsidR="003801DB">
              <w:rPr>
                <w:rFonts w:ascii="Garamond" w:eastAsia="Times New Roman" w:hAnsi="Garamond" w:cs="Times New Roman"/>
                <w:i/>
                <w:sz w:val="22"/>
                <w:szCs w:val="24"/>
              </w:rPr>
              <w:t>о</w:t>
            </w:r>
            <w:r w:rsidRPr="001333B2">
              <w:rPr>
                <w:rFonts w:ascii="Garamond" w:eastAsia="Times New Roman" w:hAnsi="Garamond" w:cs="Times New Roman"/>
                <w:i/>
                <w:sz w:val="22"/>
                <w:szCs w:val="24"/>
              </w:rPr>
              <w:t>тчество (при наличии)</w:t>
            </w:r>
          </w:p>
        </w:tc>
      </w:tr>
      <w:tr w:rsidR="001333B2" w:rsidRPr="001333B2" w14:paraId="0B96BC64" w14:textId="77777777" w:rsidTr="00664B22">
        <w:trPr>
          <w:trHeight w:val="567"/>
        </w:trPr>
        <w:tc>
          <w:tcPr>
            <w:tcW w:w="4389" w:type="dxa"/>
            <w:gridSpan w:val="2"/>
            <w:shd w:val="clear" w:color="auto" w:fill="D9D9D9"/>
            <w:vAlign w:val="center"/>
          </w:tcPr>
          <w:p w14:paraId="23D3F82F" w14:textId="77777777" w:rsidR="001333B2" w:rsidRPr="001333B2" w:rsidRDefault="001333B2" w:rsidP="001333B2">
            <w:pPr>
              <w:suppressAutoHyphens w:val="0"/>
              <w:rPr>
                <w:rFonts w:ascii="Garamond" w:eastAsia="Times New Roman" w:hAnsi="Garamond" w:cs="Times New Roman"/>
                <w:sz w:val="22"/>
                <w:szCs w:val="24"/>
              </w:rPr>
            </w:pPr>
            <w:r w:rsidRPr="001333B2">
              <w:rPr>
                <w:rFonts w:ascii="Garamond" w:eastAsia="Times New Roman" w:hAnsi="Garamond" w:cs="Times New Roman"/>
                <w:sz w:val="22"/>
                <w:szCs w:val="24"/>
              </w:rPr>
              <w:t>Сокращенное наименование потребителя</w:t>
            </w:r>
          </w:p>
        </w:tc>
        <w:tc>
          <w:tcPr>
            <w:tcW w:w="4970" w:type="dxa"/>
            <w:gridSpan w:val="2"/>
            <w:vAlign w:val="center"/>
          </w:tcPr>
          <w:p w14:paraId="15E4F4F9" w14:textId="3EE93D31" w:rsidR="001333B2" w:rsidRPr="001333B2" w:rsidRDefault="001333B2" w:rsidP="003801DB">
            <w:pPr>
              <w:suppressAutoHyphens w:val="0"/>
              <w:jc w:val="both"/>
              <w:rPr>
                <w:rFonts w:ascii="Garamond" w:eastAsia="Times New Roman" w:hAnsi="Garamond" w:cs="Times New Roman"/>
                <w:i/>
                <w:sz w:val="22"/>
                <w:szCs w:val="24"/>
              </w:rPr>
            </w:pPr>
            <w:r w:rsidRPr="001333B2">
              <w:rPr>
                <w:rFonts w:ascii="Garamond" w:eastAsia="Times New Roman" w:hAnsi="Garamond" w:cs="Times New Roman"/>
                <w:i/>
                <w:sz w:val="22"/>
                <w:szCs w:val="24"/>
              </w:rPr>
              <w:t xml:space="preserve">Для </w:t>
            </w:r>
            <w:r w:rsidR="003801DB">
              <w:rPr>
                <w:rFonts w:ascii="Garamond" w:eastAsia="Times New Roman" w:hAnsi="Garamond" w:cs="Times New Roman"/>
                <w:i/>
                <w:sz w:val="22"/>
                <w:szCs w:val="24"/>
              </w:rPr>
              <w:t>ю</w:t>
            </w:r>
            <w:r w:rsidRPr="001333B2">
              <w:rPr>
                <w:rFonts w:ascii="Garamond" w:eastAsia="Times New Roman" w:hAnsi="Garamond" w:cs="Times New Roman"/>
                <w:i/>
                <w:sz w:val="22"/>
                <w:szCs w:val="24"/>
              </w:rPr>
              <w:t xml:space="preserve">ридического лица заполняется в соответствии с информацией, указанной в ЕГРЮЛ. Для </w:t>
            </w:r>
            <w:r w:rsidR="003801DB">
              <w:rPr>
                <w:rFonts w:ascii="Garamond" w:eastAsia="Times New Roman" w:hAnsi="Garamond" w:cs="Times New Roman"/>
                <w:i/>
                <w:sz w:val="22"/>
                <w:szCs w:val="24"/>
              </w:rPr>
              <w:t>и</w:t>
            </w:r>
            <w:r w:rsidRPr="001333B2">
              <w:rPr>
                <w:rFonts w:ascii="Garamond" w:eastAsia="Times New Roman" w:hAnsi="Garamond" w:cs="Times New Roman"/>
                <w:i/>
                <w:sz w:val="22"/>
                <w:szCs w:val="24"/>
              </w:rPr>
              <w:t xml:space="preserve">ндивидуального предпринимателя указывается в формате: ИП Фамилия </w:t>
            </w:r>
            <w:r w:rsidRPr="001333B2">
              <w:rPr>
                <w:rFonts w:ascii="Garamond" w:eastAsia="Times New Roman" w:hAnsi="Garamond" w:cs="Times New Roman"/>
                <w:i/>
                <w:sz w:val="22"/>
                <w:szCs w:val="24"/>
              </w:rPr>
              <w:lastRenderedPageBreak/>
              <w:t>И.</w:t>
            </w:r>
            <w:r w:rsidR="003801DB">
              <w:rPr>
                <w:rFonts w:ascii="Garamond" w:eastAsia="Times New Roman" w:hAnsi="Garamond" w:cs="Times New Roman"/>
                <w:i/>
                <w:sz w:val="22"/>
                <w:szCs w:val="24"/>
              </w:rPr>
              <w:t xml:space="preserve"> </w:t>
            </w:r>
            <w:r w:rsidRPr="001333B2">
              <w:rPr>
                <w:rFonts w:ascii="Garamond" w:eastAsia="Times New Roman" w:hAnsi="Garamond" w:cs="Times New Roman"/>
                <w:i/>
                <w:sz w:val="22"/>
                <w:szCs w:val="24"/>
              </w:rPr>
              <w:t>О. (пример: ИП Иванов И.</w:t>
            </w:r>
            <w:r w:rsidR="003801DB">
              <w:rPr>
                <w:rFonts w:ascii="Garamond" w:eastAsia="Times New Roman" w:hAnsi="Garamond" w:cs="Times New Roman"/>
                <w:i/>
                <w:sz w:val="22"/>
                <w:szCs w:val="24"/>
              </w:rPr>
              <w:t xml:space="preserve"> </w:t>
            </w:r>
            <w:r w:rsidRPr="001333B2">
              <w:rPr>
                <w:rFonts w:ascii="Garamond" w:eastAsia="Times New Roman" w:hAnsi="Garamond" w:cs="Times New Roman"/>
                <w:i/>
                <w:sz w:val="22"/>
                <w:szCs w:val="24"/>
              </w:rPr>
              <w:t>И.). Если потребитель является физическим лицом, то данное поле не заполняется</w:t>
            </w:r>
          </w:p>
        </w:tc>
      </w:tr>
      <w:tr w:rsidR="001333B2" w:rsidRPr="001333B2" w14:paraId="65AFC29F" w14:textId="77777777" w:rsidTr="00664B22">
        <w:trPr>
          <w:trHeight w:val="567"/>
        </w:trPr>
        <w:tc>
          <w:tcPr>
            <w:tcW w:w="4389" w:type="dxa"/>
            <w:gridSpan w:val="2"/>
            <w:shd w:val="clear" w:color="auto" w:fill="D9D9D9"/>
            <w:vAlign w:val="center"/>
          </w:tcPr>
          <w:p w14:paraId="30C60A31" w14:textId="77777777" w:rsidR="001333B2" w:rsidRPr="001333B2" w:rsidRDefault="001333B2" w:rsidP="001333B2">
            <w:pPr>
              <w:suppressAutoHyphens w:val="0"/>
              <w:rPr>
                <w:rFonts w:ascii="Garamond" w:eastAsia="Times New Roman" w:hAnsi="Garamond" w:cs="Times New Roman"/>
                <w:sz w:val="22"/>
                <w:szCs w:val="24"/>
              </w:rPr>
            </w:pPr>
            <w:r w:rsidRPr="001333B2">
              <w:rPr>
                <w:rFonts w:ascii="Garamond" w:eastAsia="Times New Roman" w:hAnsi="Garamond" w:cs="Times New Roman"/>
                <w:sz w:val="22"/>
                <w:szCs w:val="24"/>
              </w:rPr>
              <w:lastRenderedPageBreak/>
              <w:t>ИНН потребителя</w:t>
            </w:r>
          </w:p>
        </w:tc>
        <w:tc>
          <w:tcPr>
            <w:tcW w:w="4970" w:type="dxa"/>
            <w:gridSpan w:val="2"/>
            <w:vAlign w:val="center"/>
          </w:tcPr>
          <w:p w14:paraId="3881C6AE" w14:textId="77777777" w:rsidR="001333B2" w:rsidRPr="001333B2" w:rsidRDefault="001333B2" w:rsidP="001333B2">
            <w:pPr>
              <w:suppressAutoHyphens w:val="0"/>
              <w:jc w:val="both"/>
              <w:rPr>
                <w:rFonts w:ascii="Garamond" w:eastAsia="Times New Roman" w:hAnsi="Garamond" w:cs="Times New Roman"/>
                <w:i/>
                <w:sz w:val="22"/>
                <w:szCs w:val="24"/>
              </w:rPr>
            </w:pPr>
            <w:r w:rsidRPr="001333B2">
              <w:rPr>
                <w:rFonts w:ascii="Garamond" w:eastAsia="Times New Roman" w:hAnsi="Garamond" w:cs="Times New Roman"/>
                <w:i/>
                <w:sz w:val="22"/>
                <w:szCs w:val="24"/>
              </w:rPr>
              <w:t>Заполняется в соответствии с информацией, указанной в ЕГРЮЛ (ЕГРИП). Если потребитель является физическим лицом – указывается ИНН физического лица</w:t>
            </w:r>
          </w:p>
        </w:tc>
      </w:tr>
      <w:tr w:rsidR="001333B2" w:rsidRPr="001333B2" w14:paraId="2A4788C1" w14:textId="77777777" w:rsidTr="00664B22">
        <w:trPr>
          <w:trHeight w:val="567"/>
        </w:trPr>
        <w:tc>
          <w:tcPr>
            <w:tcW w:w="4389" w:type="dxa"/>
            <w:gridSpan w:val="2"/>
            <w:shd w:val="clear" w:color="auto" w:fill="D9D9D9"/>
            <w:vAlign w:val="center"/>
          </w:tcPr>
          <w:p w14:paraId="22CA3D8F" w14:textId="77777777" w:rsidR="001333B2" w:rsidRPr="001333B2" w:rsidRDefault="001333B2" w:rsidP="001333B2">
            <w:pPr>
              <w:suppressAutoHyphens w:val="0"/>
              <w:rPr>
                <w:rFonts w:ascii="Garamond" w:eastAsia="Times New Roman" w:hAnsi="Garamond" w:cs="Times New Roman"/>
                <w:sz w:val="22"/>
                <w:szCs w:val="24"/>
              </w:rPr>
            </w:pPr>
            <w:r w:rsidRPr="001333B2">
              <w:rPr>
                <w:rFonts w:ascii="Garamond" w:eastAsia="Times New Roman" w:hAnsi="Garamond" w:cs="Times New Roman"/>
                <w:sz w:val="22"/>
                <w:szCs w:val="24"/>
              </w:rPr>
              <w:t>ОГРН/ОГРНИП потребителя</w:t>
            </w:r>
          </w:p>
        </w:tc>
        <w:tc>
          <w:tcPr>
            <w:tcW w:w="4970" w:type="dxa"/>
            <w:gridSpan w:val="2"/>
            <w:vAlign w:val="center"/>
          </w:tcPr>
          <w:p w14:paraId="43A84ABA" w14:textId="77777777" w:rsidR="001333B2" w:rsidRPr="001333B2" w:rsidRDefault="001333B2" w:rsidP="001333B2">
            <w:pPr>
              <w:suppressAutoHyphens w:val="0"/>
              <w:jc w:val="both"/>
              <w:rPr>
                <w:rFonts w:ascii="Garamond" w:eastAsia="Times New Roman" w:hAnsi="Garamond" w:cs="Times New Roman"/>
                <w:i/>
                <w:sz w:val="22"/>
                <w:szCs w:val="24"/>
              </w:rPr>
            </w:pPr>
            <w:r w:rsidRPr="001333B2">
              <w:rPr>
                <w:rFonts w:ascii="Garamond" w:eastAsia="Times New Roman" w:hAnsi="Garamond" w:cs="Times New Roman"/>
                <w:i/>
                <w:sz w:val="22"/>
                <w:szCs w:val="24"/>
              </w:rPr>
              <w:t>Заполняется в соответствии с информацией, указанной в ЕГРЮЛ (ЕГРИП). Если потребитель является физическим лицом, то данное поле не заполняется</w:t>
            </w:r>
          </w:p>
        </w:tc>
      </w:tr>
      <w:tr w:rsidR="001333B2" w:rsidRPr="001333B2" w14:paraId="7B7FF38A" w14:textId="77777777" w:rsidTr="00664B22">
        <w:trPr>
          <w:trHeight w:val="567"/>
        </w:trPr>
        <w:tc>
          <w:tcPr>
            <w:tcW w:w="4389" w:type="dxa"/>
            <w:gridSpan w:val="2"/>
            <w:shd w:val="clear" w:color="auto" w:fill="D9D9D9"/>
            <w:vAlign w:val="center"/>
          </w:tcPr>
          <w:p w14:paraId="15561D05" w14:textId="6D9BAD31" w:rsidR="001333B2" w:rsidRPr="001333B2" w:rsidRDefault="001333B2" w:rsidP="001333B2">
            <w:pPr>
              <w:suppressAutoHyphens w:val="0"/>
              <w:rPr>
                <w:rFonts w:ascii="Garamond" w:eastAsia="Times New Roman" w:hAnsi="Garamond" w:cs="Times New Roman"/>
                <w:sz w:val="22"/>
                <w:szCs w:val="24"/>
              </w:rPr>
            </w:pPr>
            <w:r w:rsidRPr="001333B2">
              <w:rPr>
                <w:rFonts w:ascii="Garamond" w:eastAsia="Times New Roman" w:hAnsi="Garamond" w:cs="Times New Roman"/>
                <w:sz w:val="22"/>
                <w:szCs w:val="24"/>
              </w:rPr>
              <w:t>Код и наименование вида деятельности потребителя с использованием электрооборудования</w:t>
            </w:r>
            <w:r w:rsidR="003801DB">
              <w:rPr>
                <w:rFonts w:ascii="Garamond" w:eastAsia="Times New Roman" w:hAnsi="Garamond" w:cs="Times New Roman"/>
                <w:sz w:val="22"/>
                <w:szCs w:val="24"/>
              </w:rPr>
              <w:t>,</w:t>
            </w:r>
            <w:r w:rsidRPr="001333B2">
              <w:rPr>
                <w:rFonts w:ascii="Garamond" w:eastAsia="Times New Roman" w:hAnsi="Garamond" w:cs="Times New Roman"/>
                <w:sz w:val="22"/>
                <w:szCs w:val="24"/>
              </w:rPr>
              <w:t xml:space="preserve"> входящего в объект регулирования</w:t>
            </w:r>
          </w:p>
        </w:tc>
        <w:tc>
          <w:tcPr>
            <w:tcW w:w="4970" w:type="dxa"/>
            <w:gridSpan w:val="2"/>
            <w:vAlign w:val="center"/>
          </w:tcPr>
          <w:p w14:paraId="23A4188B" w14:textId="77777777" w:rsidR="001333B2" w:rsidRPr="001333B2" w:rsidRDefault="001333B2" w:rsidP="001333B2">
            <w:pPr>
              <w:suppressAutoHyphens w:val="0"/>
              <w:jc w:val="both"/>
              <w:rPr>
                <w:rFonts w:ascii="Garamond" w:eastAsia="Times New Roman" w:hAnsi="Garamond" w:cs="Times New Roman"/>
                <w:i/>
                <w:sz w:val="22"/>
                <w:szCs w:val="24"/>
              </w:rPr>
            </w:pPr>
            <w:r w:rsidRPr="001333B2">
              <w:rPr>
                <w:rFonts w:ascii="Garamond" w:eastAsia="Times New Roman" w:hAnsi="Garamond" w:cs="Times New Roman"/>
                <w:i/>
                <w:sz w:val="22"/>
                <w:szCs w:val="24"/>
              </w:rPr>
              <w:t>Заполняется в соответствии с информацией, указанной в ЕГРЮЛ (ЕГРИП).</w:t>
            </w:r>
          </w:p>
          <w:p w14:paraId="694E4A29" w14:textId="62B10EEC" w:rsidR="001333B2" w:rsidRPr="001333B2" w:rsidRDefault="001333B2" w:rsidP="003801DB">
            <w:pPr>
              <w:suppressAutoHyphens w:val="0"/>
              <w:jc w:val="both"/>
              <w:rPr>
                <w:rFonts w:ascii="Garamond" w:eastAsia="Times New Roman" w:hAnsi="Garamond" w:cs="Times New Roman"/>
                <w:i/>
                <w:sz w:val="22"/>
                <w:szCs w:val="24"/>
              </w:rPr>
            </w:pPr>
            <w:r w:rsidRPr="001333B2">
              <w:rPr>
                <w:rFonts w:ascii="Garamond" w:eastAsia="Times New Roman" w:hAnsi="Garamond" w:cs="Times New Roman"/>
                <w:i/>
                <w:sz w:val="22"/>
                <w:szCs w:val="24"/>
              </w:rPr>
              <w:t>Если потребитель является физическим лицом, то в данном поле указывается</w:t>
            </w:r>
            <w:r w:rsidR="009B5F03">
              <w:rPr>
                <w:rFonts w:ascii="Garamond" w:eastAsia="Times New Roman" w:hAnsi="Garamond" w:cs="Times New Roman"/>
                <w:i/>
                <w:sz w:val="22"/>
                <w:szCs w:val="24"/>
              </w:rPr>
              <w:t xml:space="preserve"> </w:t>
            </w:r>
            <w:r w:rsidR="003801DB">
              <w:rPr>
                <w:rFonts w:ascii="Garamond" w:eastAsia="Times New Roman" w:hAnsi="Garamond" w:cs="Times New Roman"/>
                <w:i/>
                <w:sz w:val="22"/>
                <w:szCs w:val="24"/>
              </w:rPr>
              <w:t>«</w:t>
            </w:r>
            <w:r w:rsidRPr="001333B2">
              <w:rPr>
                <w:rFonts w:ascii="Garamond" w:eastAsia="Times New Roman" w:hAnsi="Garamond" w:cs="Times New Roman"/>
                <w:i/>
                <w:sz w:val="22"/>
                <w:szCs w:val="24"/>
              </w:rPr>
              <w:t>Собственные бытовые нужды</w:t>
            </w:r>
            <w:r w:rsidR="003801DB">
              <w:rPr>
                <w:rFonts w:ascii="Garamond" w:eastAsia="Times New Roman" w:hAnsi="Garamond" w:cs="Times New Roman"/>
                <w:i/>
                <w:sz w:val="22"/>
                <w:szCs w:val="24"/>
              </w:rPr>
              <w:t>»</w:t>
            </w:r>
          </w:p>
        </w:tc>
      </w:tr>
      <w:tr w:rsidR="001333B2" w:rsidRPr="001333B2" w14:paraId="6E09021C" w14:textId="77777777" w:rsidTr="00664B22">
        <w:trPr>
          <w:trHeight w:val="567"/>
        </w:trPr>
        <w:tc>
          <w:tcPr>
            <w:tcW w:w="4389" w:type="dxa"/>
            <w:gridSpan w:val="2"/>
            <w:shd w:val="clear" w:color="auto" w:fill="D9D9D9"/>
            <w:vAlign w:val="center"/>
          </w:tcPr>
          <w:p w14:paraId="76AEDD81" w14:textId="77777777" w:rsidR="001333B2" w:rsidRPr="001333B2" w:rsidRDefault="001333B2" w:rsidP="001333B2">
            <w:pPr>
              <w:suppressAutoHyphens w:val="0"/>
              <w:jc w:val="both"/>
              <w:rPr>
                <w:rFonts w:ascii="Garamond" w:eastAsia="Times New Roman" w:hAnsi="Garamond" w:cs="Times New Roman"/>
                <w:sz w:val="22"/>
                <w:szCs w:val="24"/>
              </w:rPr>
            </w:pPr>
            <w:r w:rsidRPr="001333B2">
              <w:rPr>
                <w:rFonts w:ascii="Garamond" w:eastAsia="Times New Roman" w:hAnsi="Garamond" w:cs="Times New Roman"/>
                <w:sz w:val="22"/>
                <w:szCs w:val="24"/>
              </w:rPr>
              <w:t>Количество точек присоединения объекта регулирования к внешним электрическим сетям</w:t>
            </w:r>
          </w:p>
        </w:tc>
        <w:tc>
          <w:tcPr>
            <w:tcW w:w="4970" w:type="dxa"/>
            <w:gridSpan w:val="2"/>
            <w:vAlign w:val="center"/>
          </w:tcPr>
          <w:p w14:paraId="2D749F1E" w14:textId="77777777" w:rsidR="001333B2" w:rsidRPr="001333B2" w:rsidRDefault="001333B2" w:rsidP="001333B2">
            <w:pPr>
              <w:suppressAutoHyphens w:val="0"/>
              <w:jc w:val="both"/>
              <w:rPr>
                <w:rFonts w:ascii="Garamond" w:eastAsia="Times New Roman" w:hAnsi="Garamond" w:cs="Times New Roman"/>
                <w:i/>
                <w:sz w:val="22"/>
                <w:szCs w:val="24"/>
              </w:rPr>
            </w:pPr>
            <w:r w:rsidRPr="001333B2">
              <w:rPr>
                <w:rFonts w:ascii="Garamond" w:eastAsia="Times New Roman" w:hAnsi="Garamond" w:cs="Times New Roman"/>
                <w:i/>
                <w:sz w:val="22"/>
                <w:szCs w:val="24"/>
              </w:rPr>
              <w:t>Указывается количество точек присоединения объекта регулирования к внешним электрическим сетям в соответствии с однолинейной схемой</w:t>
            </w:r>
          </w:p>
        </w:tc>
      </w:tr>
      <w:tr w:rsidR="001333B2" w:rsidRPr="001333B2" w14:paraId="6ADA48F1" w14:textId="77777777" w:rsidTr="00664B22">
        <w:trPr>
          <w:trHeight w:val="567"/>
        </w:trPr>
        <w:tc>
          <w:tcPr>
            <w:tcW w:w="4389" w:type="dxa"/>
            <w:gridSpan w:val="2"/>
            <w:shd w:val="clear" w:color="auto" w:fill="D9D9D9"/>
            <w:vAlign w:val="center"/>
          </w:tcPr>
          <w:p w14:paraId="6AA2DF8F" w14:textId="319A9A03" w:rsidR="001333B2" w:rsidRPr="001333B2" w:rsidRDefault="001333B2" w:rsidP="001333B2">
            <w:pPr>
              <w:suppressAutoHyphens w:val="0"/>
              <w:jc w:val="both"/>
              <w:rPr>
                <w:rFonts w:ascii="Garamond" w:eastAsia="Times New Roman" w:hAnsi="Garamond" w:cs="Times New Roman"/>
                <w:sz w:val="22"/>
                <w:szCs w:val="24"/>
              </w:rPr>
            </w:pPr>
            <w:r w:rsidRPr="001333B2">
              <w:rPr>
                <w:rFonts w:ascii="Garamond" w:eastAsia="Times New Roman" w:hAnsi="Garamond" w:cs="Times New Roman"/>
                <w:sz w:val="22"/>
                <w:szCs w:val="24"/>
              </w:rPr>
              <w:t>Наименование субъекта ОРЭМ и наименование ГТП</w:t>
            </w:r>
            <w:r w:rsidR="003801DB">
              <w:rPr>
                <w:rFonts w:ascii="Garamond" w:eastAsia="Times New Roman" w:hAnsi="Garamond" w:cs="Times New Roman"/>
                <w:sz w:val="22"/>
                <w:szCs w:val="24"/>
              </w:rPr>
              <w:t>,</w:t>
            </w:r>
            <w:r w:rsidRPr="001333B2">
              <w:rPr>
                <w:rFonts w:ascii="Garamond" w:eastAsia="Times New Roman" w:hAnsi="Garamond" w:cs="Times New Roman"/>
                <w:sz w:val="22"/>
                <w:szCs w:val="24"/>
              </w:rPr>
              <w:t xml:space="preserve"> в состав которой включено электрооборудование объекта регулирования</w:t>
            </w:r>
          </w:p>
        </w:tc>
        <w:tc>
          <w:tcPr>
            <w:tcW w:w="4970" w:type="dxa"/>
            <w:gridSpan w:val="2"/>
            <w:vAlign w:val="center"/>
          </w:tcPr>
          <w:p w14:paraId="056766AA" w14:textId="77777777" w:rsidR="001333B2" w:rsidRPr="001333B2" w:rsidRDefault="001333B2" w:rsidP="001333B2">
            <w:pPr>
              <w:suppressAutoHyphens w:val="0"/>
              <w:jc w:val="both"/>
              <w:rPr>
                <w:rFonts w:ascii="Garamond" w:eastAsia="Times New Roman" w:hAnsi="Garamond" w:cs="Times New Roman"/>
                <w:i/>
                <w:sz w:val="22"/>
                <w:szCs w:val="24"/>
              </w:rPr>
            </w:pPr>
            <w:r w:rsidRPr="001333B2">
              <w:rPr>
                <w:rFonts w:ascii="Garamond" w:eastAsia="Times New Roman" w:hAnsi="Garamond" w:cs="Times New Roman"/>
                <w:i/>
                <w:sz w:val="22"/>
                <w:szCs w:val="24"/>
              </w:rPr>
              <w:t>Указывается наименование субъекта ОРЭМ и наименование</w:t>
            </w:r>
            <w:r w:rsidRPr="001333B2">
              <w:rPr>
                <w:rFonts w:ascii="Garamond" w:eastAsia="Times New Roman" w:hAnsi="Garamond" w:cs="Times New Roman"/>
                <w:sz w:val="22"/>
                <w:szCs w:val="24"/>
              </w:rPr>
              <w:t xml:space="preserve"> </w:t>
            </w:r>
            <w:r w:rsidRPr="001333B2">
              <w:rPr>
                <w:rFonts w:ascii="Garamond" w:eastAsia="Times New Roman" w:hAnsi="Garamond" w:cs="Times New Roman"/>
                <w:i/>
                <w:sz w:val="22"/>
                <w:szCs w:val="24"/>
              </w:rPr>
              <w:t>ГТП, в состав которой включено электрооборудование объекта регулирования. Например, ООО «Энергосбыт» (Металлургический завод №1)</w:t>
            </w:r>
          </w:p>
        </w:tc>
      </w:tr>
      <w:tr w:rsidR="001333B2" w:rsidRPr="001333B2" w14:paraId="5012FFA2" w14:textId="77777777" w:rsidTr="00664B22">
        <w:trPr>
          <w:trHeight w:val="567"/>
        </w:trPr>
        <w:tc>
          <w:tcPr>
            <w:tcW w:w="4389" w:type="dxa"/>
            <w:gridSpan w:val="2"/>
            <w:shd w:val="clear" w:color="auto" w:fill="D9D9D9"/>
            <w:vAlign w:val="center"/>
          </w:tcPr>
          <w:p w14:paraId="532D46CD" w14:textId="77777777" w:rsidR="001333B2" w:rsidRPr="001333B2" w:rsidRDefault="001333B2" w:rsidP="001333B2">
            <w:pPr>
              <w:suppressAutoHyphens w:val="0"/>
              <w:jc w:val="both"/>
              <w:rPr>
                <w:rFonts w:ascii="Garamond" w:eastAsia="Times New Roman" w:hAnsi="Garamond" w:cs="Times New Roman"/>
                <w:sz w:val="22"/>
                <w:szCs w:val="24"/>
              </w:rPr>
            </w:pPr>
            <w:r w:rsidRPr="001333B2">
              <w:rPr>
                <w:rFonts w:ascii="Garamond" w:eastAsia="Times New Roman" w:hAnsi="Garamond" w:cs="Times New Roman"/>
                <w:sz w:val="22"/>
                <w:szCs w:val="24"/>
              </w:rPr>
              <w:t>Вид объекта регулирования</w:t>
            </w:r>
          </w:p>
        </w:tc>
        <w:tc>
          <w:tcPr>
            <w:tcW w:w="4970" w:type="dxa"/>
            <w:gridSpan w:val="2"/>
            <w:vAlign w:val="center"/>
          </w:tcPr>
          <w:p w14:paraId="0B020D0E" w14:textId="4EFE1DE2" w:rsidR="001333B2" w:rsidRPr="001333B2" w:rsidRDefault="001333B2" w:rsidP="001333B2">
            <w:pPr>
              <w:suppressAutoHyphens w:val="0"/>
              <w:jc w:val="both"/>
              <w:rPr>
                <w:rFonts w:ascii="Garamond" w:eastAsia="Times New Roman" w:hAnsi="Garamond" w:cs="Times New Roman"/>
                <w:i/>
                <w:sz w:val="22"/>
                <w:szCs w:val="24"/>
              </w:rPr>
            </w:pPr>
            <w:r w:rsidRPr="001333B2">
              <w:rPr>
                <w:rFonts w:ascii="Garamond" w:eastAsia="Times New Roman" w:hAnsi="Garamond" w:cs="Times New Roman"/>
                <w:i/>
                <w:sz w:val="22"/>
                <w:szCs w:val="24"/>
              </w:rPr>
              <w:t>Указывается один из следующих видов в зависимости от рынка электрической энергии</w:t>
            </w:r>
            <w:r w:rsidR="003801DB">
              <w:rPr>
                <w:rFonts w:ascii="Garamond" w:eastAsia="Times New Roman" w:hAnsi="Garamond" w:cs="Times New Roman"/>
                <w:i/>
                <w:sz w:val="22"/>
                <w:szCs w:val="24"/>
              </w:rPr>
              <w:t>,</w:t>
            </w:r>
            <w:r w:rsidRPr="001333B2">
              <w:rPr>
                <w:rFonts w:ascii="Garamond" w:eastAsia="Times New Roman" w:hAnsi="Garamond" w:cs="Times New Roman"/>
                <w:i/>
                <w:sz w:val="22"/>
                <w:szCs w:val="24"/>
              </w:rPr>
              <w:t xml:space="preserve"> на котором потребителем осуществляется покупка электрической энергии (мощности):</w:t>
            </w:r>
          </w:p>
          <w:p w14:paraId="68BB78BF" w14:textId="77777777" w:rsidR="001333B2" w:rsidRPr="001333B2" w:rsidRDefault="001333B2" w:rsidP="001333B2">
            <w:pPr>
              <w:suppressAutoHyphens w:val="0"/>
              <w:jc w:val="both"/>
              <w:rPr>
                <w:rFonts w:ascii="Garamond" w:eastAsia="Times New Roman" w:hAnsi="Garamond" w:cs="Times New Roman"/>
                <w:i/>
                <w:sz w:val="22"/>
                <w:szCs w:val="24"/>
              </w:rPr>
            </w:pPr>
            <w:r w:rsidRPr="001333B2">
              <w:rPr>
                <w:rFonts w:ascii="Garamond" w:eastAsia="Times New Roman" w:hAnsi="Garamond" w:cs="Times New Roman"/>
                <w:i/>
                <w:sz w:val="22"/>
                <w:szCs w:val="24"/>
              </w:rPr>
              <w:t>– объект регулирования потребителя розничного рынка;</w:t>
            </w:r>
          </w:p>
          <w:p w14:paraId="7B142D19" w14:textId="3EF2013F" w:rsidR="001333B2" w:rsidRPr="001333B2" w:rsidRDefault="001333B2" w:rsidP="001333B2">
            <w:pPr>
              <w:suppressAutoHyphens w:val="0"/>
              <w:jc w:val="both"/>
              <w:rPr>
                <w:rFonts w:ascii="Garamond" w:eastAsia="Times New Roman" w:hAnsi="Garamond" w:cs="Times New Roman"/>
                <w:i/>
                <w:sz w:val="22"/>
                <w:szCs w:val="24"/>
              </w:rPr>
            </w:pPr>
            <w:r w:rsidRPr="001333B2">
              <w:rPr>
                <w:rFonts w:ascii="Garamond" w:eastAsia="Times New Roman" w:hAnsi="Garamond" w:cs="Times New Roman"/>
                <w:i/>
                <w:sz w:val="22"/>
                <w:szCs w:val="24"/>
              </w:rPr>
              <w:t>– объект регулиров</w:t>
            </w:r>
            <w:r w:rsidR="003801DB">
              <w:rPr>
                <w:rFonts w:ascii="Garamond" w:eastAsia="Times New Roman" w:hAnsi="Garamond" w:cs="Times New Roman"/>
                <w:i/>
                <w:sz w:val="22"/>
                <w:szCs w:val="24"/>
              </w:rPr>
              <w:t>ания потребителя оптового рынка</w:t>
            </w:r>
          </w:p>
        </w:tc>
      </w:tr>
      <w:tr w:rsidR="001333B2" w:rsidRPr="001333B2" w14:paraId="20BF2CE8" w14:textId="77777777" w:rsidTr="0064152E">
        <w:trPr>
          <w:trHeight w:val="353"/>
        </w:trPr>
        <w:tc>
          <w:tcPr>
            <w:tcW w:w="9359" w:type="dxa"/>
            <w:gridSpan w:val="4"/>
            <w:shd w:val="clear" w:color="auto" w:fill="D9D9D9"/>
            <w:vAlign w:val="center"/>
          </w:tcPr>
          <w:p w14:paraId="03E5C4E5" w14:textId="77777777" w:rsidR="001333B2" w:rsidRPr="001333B2" w:rsidRDefault="001333B2" w:rsidP="001333B2">
            <w:pPr>
              <w:suppressAutoHyphens w:val="0"/>
              <w:jc w:val="both"/>
              <w:rPr>
                <w:rFonts w:ascii="Garamond" w:eastAsia="Times New Roman" w:hAnsi="Garamond" w:cs="Times New Roman"/>
                <w:b/>
                <w:i/>
                <w:sz w:val="22"/>
                <w:szCs w:val="24"/>
              </w:rPr>
            </w:pPr>
            <w:r w:rsidRPr="001333B2">
              <w:rPr>
                <w:rFonts w:ascii="Garamond" w:eastAsia="Times New Roman" w:hAnsi="Garamond" w:cs="Times New Roman"/>
                <w:b/>
                <w:sz w:val="22"/>
                <w:szCs w:val="24"/>
              </w:rPr>
              <w:t>2. Технические (технологические) характеристики объекта регулирования</w:t>
            </w:r>
          </w:p>
        </w:tc>
      </w:tr>
      <w:tr w:rsidR="001333B2" w:rsidRPr="001333B2" w14:paraId="1152BF1C" w14:textId="77777777" w:rsidTr="00664B22">
        <w:trPr>
          <w:trHeight w:val="567"/>
        </w:trPr>
        <w:tc>
          <w:tcPr>
            <w:tcW w:w="4389" w:type="dxa"/>
            <w:gridSpan w:val="2"/>
            <w:shd w:val="clear" w:color="auto" w:fill="D9D9D9"/>
            <w:vAlign w:val="center"/>
          </w:tcPr>
          <w:p w14:paraId="612A7E18" w14:textId="77777777" w:rsidR="001333B2" w:rsidRPr="001333B2" w:rsidRDefault="001333B2" w:rsidP="001333B2">
            <w:pPr>
              <w:suppressAutoHyphens w:val="0"/>
              <w:jc w:val="both"/>
              <w:rPr>
                <w:rFonts w:ascii="Garamond" w:eastAsia="Times New Roman" w:hAnsi="Garamond" w:cs="Times New Roman"/>
                <w:sz w:val="22"/>
                <w:szCs w:val="24"/>
              </w:rPr>
            </w:pPr>
            <w:r w:rsidRPr="001333B2">
              <w:rPr>
                <w:rFonts w:ascii="Garamond" w:eastAsia="Times New Roman" w:hAnsi="Garamond" w:cs="Times New Roman"/>
                <w:sz w:val="22"/>
                <w:szCs w:val="24"/>
              </w:rPr>
              <w:t>Максимальная мощность, МВт</w:t>
            </w:r>
          </w:p>
        </w:tc>
        <w:tc>
          <w:tcPr>
            <w:tcW w:w="4970" w:type="dxa"/>
            <w:gridSpan w:val="2"/>
            <w:shd w:val="clear" w:color="auto" w:fill="FFFFFF"/>
            <w:vAlign w:val="center"/>
          </w:tcPr>
          <w:p w14:paraId="3634594D" w14:textId="636D63F2" w:rsidR="001333B2" w:rsidRPr="001333B2" w:rsidRDefault="001333B2" w:rsidP="00BC4FC4">
            <w:pPr>
              <w:suppressAutoHyphens w:val="0"/>
              <w:jc w:val="both"/>
              <w:rPr>
                <w:rFonts w:ascii="Garamond" w:eastAsia="Times New Roman" w:hAnsi="Garamond" w:cs="Times New Roman"/>
                <w:b/>
                <w:sz w:val="22"/>
                <w:szCs w:val="24"/>
              </w:rPr>
            </w:pPr>
            <w:r w:rsidRPr="001333B2">
              <w:rPr>
                <w:rFonts w:ascii="Garamond" w:eastAsia="Times New Roman" w:hAnsi="Garamond" w:cs="Times New Roman"/>
                <w:i/>
                <w:sz w:val="22"/>
                <w:szCs w:val="24"/>
              </w:rPr>
              <w:t>Указывается суммарное значение максимальной мощности энергопринимающих устройств, входящих в состав объекта регулирования, в соответствии с документами о технологическом присоединении, в МВт с точн</w:t>
            </w:r>
            <w:r w:rsidR="003801DB">
              <w:rPr>
                <w:rFonts w:ascii="Garamond" w:eastAsia="Times New Roman" w:hAnsi="Garamond" w:cs="Times New Roman"/>
                <w:i/>
                <w:sz w:val="22"/>
                <w:szCs w:val="24"/>
              </w:rPr>
              <w:t>остью до 3 знаков после запятой</w:t>
            </w:r>
          </w:p>
        </w:tc>
      </w:tr>
      <w:tr w:rsidR="001333B2" w:rsidRPr="001333B2" w14:paraId="75A7A8B1" w14:textId="77777777" w:rsidTr="00664B22">
        <w:trPr>
          <w:trHeight w:val="567"/>
        </w:trPr>
        <w:tc>
          <w:tcPr>
            <w:tcW w:w="4389" w:type="dxa"/>
            <w:gridSpan w:val="2"/>
            <w:shd w:val="clear" w:color="auto" w:fill="D9D9D9"/>
            <w:vAlign w:val="center"/>
          </w:tcPr>
          <w:p w14:paraId="2E7A4A5F" w14:textId="4C1572F3" w:rsidR="001333B2" w:rsidRPr="001333B2" w:rsidDel="00350340" w:rsidRDefault="001333B2" w:rsidP="001333B2">
            <w:pPr>
              <w:suppressAutoHyphens w:val="0"/>
              <w:jc w:val="both"/>
              <w:rPr>
                <w:rFonts w:ascii="Garamond" w:eastAsia="Times New Roman" w:hAnsi="Garamond" w:cs="Times New Roman"/>
                <w:sz w:val="22"/>
                <w:szCs w:val="24"/>
              </w:rPr>
            </w:pPr>
            <w:r w:rsidRPr="001333B2">
              <w:rPr>
                <w:rFonts w:ascii="Garamond" w:eastAsia="Times New Roman" w:hAnsi="Garamond" w:cs="Times New Roman"/>
                <w:sz w:val="22"/>
                <w:szCs w:val="24"/>
              </w:rPr>
              <w:t>Объ</w:t>
            </w:r>
            <w:r w:rsidR="00BC4FC4">
              <w:rPr>
                <w:rFonts w:ascii="Garamond" w:eastAsia="Times New Roman" w:hAnsi="Garamond" w:cs="Times New Roman"/>
                <w:sz w:val="22"/>
                <w:szCs w:val="24"/>
              </w:rPr>
              <w:t>е</w:t>
            </w:r>
            <w:r w:rsidRPr="001333B2">
              <w:rPr>
                <w:rFonts w:ascii="Garamond" w:eastAsia="Times New Roman" w:hAnsi="Garamond" w:cs="Times New Roman"/>
                <w:sz w:val="22"/>
                <w:szCs w:val="24"/>
              </w:rPr>
              <w:t>м снижения потребления по договору с потребителем, МВт</w:t>
            </w:r>
          </w:p>
        </w:tc>
        <w:tc>
          <w:tcPr>
            <w:tcW w:w="4970" w:type="dxa"/>
            <w:gridSpan w:val="2"/>
            <w:shd w:val="clear" w:color="auto" w:fill="FFFFFF"/>
            <w:vAlign w:val="center"/>
          </w:tcPr>
          <w:p w14:paraId="2483F701" w14:textId="45A07481" w:rsidR="001333B2" w:rsidRPr="001333B2" w:rsidDel="00350340" w:rsidRDefault="001333B2" w:rsidP="00BC4FC4">
            <w:pPr>
              <w:suppressAutoHyphens w:val="0"/>
              <w:jc w:val="both"/>
              <w:rPr>
                <w:rFonts w:ascii="Garamond" w:eastAsia="Times New Roman" w:hAnsi="Garamond" w:cs="Times New Roman"/>
                <w:i/>
                <w:sz w:val="22"/>
                <w:szCs w:val="24"/>
              </w:rPr>
            </w:pPr>
            <w:r w:rsidRPr="001333B2">
              <w:rPr>
                <w:rFonts w:ascii="Garamond" w:eastAsia="Times New Roman" w:hAnsi="Garamond" w:cs="Times New Roman"/>
                <w:i/>
                <w:sz w:val="22"/>
                <w:szCs w:val="24"/>
              </w:rPr>
              <w:t>Указывается объ</w:t>
            </w:r>
            <w:r w:rsidR="00BC4FC4">
              <w:rPr>
                <w:rFonts w:ascii="Garamond" w:eastAsia="Times New Roman" w:hAnsi="Garamond" w:cs="Times New Roman"/>
                <w:i/>
                <w:sz w:val="22"/>
                <w:szCs w:val="24"/>
              </w:rPr>
              <w:t>е</w:t>
            </w:r>
            <w:r w:rsidRPr="001333B2">
              <w:rPr>
                <w:rFonts w:ascii="Garamond" w:eastAsia="Times New Roman" w:hAnsi="Garamond" w:cs="Times New Roman"/>
                <w:i/>
                <w:sz w:val="22"/>
                <w:szCs w:val="24"/>
              </w:rPr>
              <w:t>м снижения потребления электроэнергии объекта регулирования в соответствии с договором оказания услуг между заявителем и потребителем, в МВт с точн</w:t>
            </w:r>
            <w:r w:rsidR="003801DB">
              <w:rPr>
                <w:rFonts w:ascii="Garamond" w:eastAsia="Times New Roman" w:hAnsi="Garamond" w:cs="Times New Roman"/>
                <w:i/>
                <w:sz w:val="22"/>
                <w:szCs w:val="24"/>
              </w:rPr>
              <w:t>остью до 4 знаков после запятой</w:t>
            </w:r>
          </w:p>
        </w:tc>
      </w:tr>
      <w:tr w:rsidR="001333B2" w:rsidRPr="001333B2" w14:paraId="39F20167" w14:textId="77777777" w:rsidTr="00664B22">
        <w:trPr>
          <w:trHeight w:val="567"/>
        </w:trPr>
        <w:tc>
          <w:tcPr>
            <w:tcW w:w="4389" w:type="dxa"/>
            <w:gridSpan w:val="2"/>
            <w:shd w:val="clear" w:color="auto" w:fill="D9D9D9"/>
            <w:vAlign w:val="center"/>
          </w:tcPr>
          <w:p w14:paraId="3BFF8B82" w14:textId="77777777" w:rsidR="001333B2" w:rsidRPr="001333B2" w:rsidDel="00350340" w:rsidRDefault="001333B2" w:rsidP="001333B2">
            <w:pPr>
              <w:suppressAutoHyphens w:val="0"/>
              <w:jc w:val="both"/>
              <w:rPr>
                <w:rFonts w:ascii="Garamond" w:eastAsia="Times New Roman" w:hAnsi="Garamond" w:cs="Times New Roman"/>
                <w:sz w:val="22"/>
                <w:szCs w:val="24"/>
              </w:rPr>
            </w:pPr>
            <w:r w:rsidRPr="001333B2">
              <w:rPr>
                <w:rFonts w:ascii="Garamond" w:eastAsia="Times New Roman" w:hAnsi="Garamond" w:cs="Times New Roman"/>
                <w:sz w:val="22"/>
                <w:szCs w:val="24"/>
              </w:rPr>
              <w:t>Длительность снижения потребления по договору с потребителем, ч</w:t>
            </w:r>
          </w:p>
        </w:tc>
        <w:tc>
          <w:tcPr>
            <w:tcW w:w="4970" w:type="dxa"/>
            <w:gridSpan w:val="2"/>
            <w:shd w:val="clear" w:color="auto" w:fill="FFFFFF"/>
            <w:vAlign w:val="center"/>
          </w:tcPr>
          <w:p w14:paraId="5597C1C8" w14:textId="075FD7E0" w:rsidR="001333B2" w:rsidRPr="001333B2" w:rsidDel="00350340" w:rsidRDefault="001333B2" w:rsidP="001333B2">
            <w:pPr>
              <w:suppressAutoHyphens w:val="0"/>
              <w:jc w:val="both"/>
              <w:rPr>
                <w:rFonts w:ascii="Garamond" w:eastAsia="Times New Roman" w:hAnsi="Garamond" w:cs="Times New Roman"/>
                <w:i/>
                <w:sz w:val="22"/>
                <w:szCs w:val="24"/>
              </w:rPr>
            </w:pPr>
            <w:r w:rsidRPr="001333B2">
              <w:rPr>
                <w:rFonts w:ascii="Garamond" w:eastAsia="Times New Roman" w:hAnsi="Garamond" w:cs="Times New Roman"/>
                <w:i/>
                <w:sz w:val="22"/>
                <w:szCs w:val="24"/>
              </w:rPr>
              <w:t>Указывается непрерывная длительность снижения потребления электроэнергии объекта регулирования в соответствии с договором оказания услуг между заявителем и потреб</w:t>
            </w:r>
            <w:r w:rsidR="003801DB">
              <w:rPr>
                <w:rFonts w:ascii="Garamond" w:eastAsia="Times New Roman" w:hAnsi="Garamond" w:cs="Times New Roman"/>
                <w:i/>
                <w:sz w:val="22"/>
                <w:szCs w:val="24"/>
              </w:rPr>
              <w:t>ителем, в целых часах от 1 до 4</w:t>
            </w:r>
          </w:p>
        </w:tc>
      </w:tr>
      <w:tr w:rsidR="001333B2" w:rsidRPr="001333B2" w14:paraId="4A5F7342" w14:textId="77777777" w:rsidTr="00664B22">
        <w:trPr>
          <w:trHeight w:val="567"/>
        </w:trPr>
        <w:tc>
          <w:tcPr>
            <w:tcW w:w="4389" w:type="dxa"/>
            <w:gridSpan w:val="2"/>
            <w:shd w:val="clear" w:color="auto" w:fill="D9D9D9"/>
            <w:vAlign w:val="center"/>
          </w:tcPr>
          <w:p w14:paraId="142CADE7" w14:textId="77777777" w:rsidR="001333B2" w:rsidRPr="001333B2" w:rsidRDefault="001333B2" w:rsidP="001333B2">
            <w:pPr>
              <w:suppressAutoHyphens w:val="0"/>
              <w:jc w:val="both"/>
              <w:rPr>
                <w:rFonts w:ascii="Garamond" w:eastAsia="Times New Roman" w:hAnsi="Garamond" w:cs="Times New Roman"/>
                <w:sz w:val="22"/>
                <w:szCs w:val="24"/>
              </w:rPr>
            </w:pPr>
            <w:r w:rsidRPr="001333B2">
              <w:rPr>
                <w:rFonts w:ascii="Garamond" w:eastAsia="Times New Roman" w:hAnsi="Garamond" w:cs="Times New Roman"/>
                <w:sz w:val="22"/>
                <w:szCs w:val="24"/>
              </w:rPr>
              <w:t>Технология снижения потребления объекта регулирования</w:t>
            </w:r>
          </w:p>
        </w:tc>
        <w:tc>
          <w:tcPr>
            <w:tcW w:w="4970" w:type="dxa"/>
            <w:gridSpan w:val="2"/>
            <w:shd w:val="clear" w:color="auto" w:fill="FFFFFF"/>
            <w:vAlign w:val="center"/>
          </w:tcPr>
          <w:p w14:paraId="11183676" w14:textId="77777777" w:rsidR="001333B2" w:rsidRPr="001333B2" w:rsidRDefault="001333B2" w:rsidP="001333B2">
            <w:pPr>
              <w:suppressAutoHyphens w:val="0"/>
              <w:rPr>
                <w:rFonts w:ascii="Garamond" w:eastAsia="Times New Roman" w:hAnsi="Garamond" w:cs="Times New Roman"/>
                <w:i/>
                <w:sz w:val="22"/>
                <w:szCs w:val="24"/>
              </w:rPr>
            </w:pPr>
            <w:r w:rsidRPr="001333B2">
              <w:rPr>
                <w:rFonts w:ascii="Garamond" w:eastAsia="Times New Roman" w:hAnsi="Garamond" w:cs="Times New Roman"/>
                <w:i/>
                <w:sz w:val="22"/>
                <w:szCs w:val="24"/>
              </w:rPr>
              <w:t>Указывается одна из технологий снижения потребления объекта регулирования:</w:t>
            </w:r>
          </w:p>
          <w:p w14:paraId="68EE018A" w14:textId="77777777" w:rsidR="001333B2" w:rsidRPr="001333B2" w:rsidRDefault="001333B2" w:rsidP="001333B2">
            <w:pPr>
              <w:suppressAutoHyphens w:val="0"/>
              <w:jc w:val="both"/>
              <w:rPr>
                <w:rFonts w:ascii="Garamond" w:eastAsia="Times New Roman" w:hAnsi="Garamond" w:cs="Times New Roman"/>
                <w:i/>
                <w:sz w:val="22"/>
                <w:szCs w:val="24"/>
              </w:rPr>
            </w:pPr>
            <w:r w:rsidRPr="001333B2">
              <w:rPr>
                <w:rFonts w:ascii="Garamond" w:eastAsia="Times New Roman" w:hAnsi="Garamond" w:cs="Times New Roman"/>
                <w:i/>
                <w:sz w:val="22"/>
                <w:szCs w:val="24"/>
              </w:rPr>
              <w:t xml:space="preserve">– смещение графика потребления во времени, </w:t>
            </w:r>
          </w:p>
          <w:p w14:paraId="0DBDFF93" w14:textId="77777777" w:rsidR="001333B2" w:rsidRPr="001333B2" w:rsidRDefault="001333B2" w:rsidP="001333B2">
            <w:pPr>
              <w:suppressAutoHyphens w:val="0"/>
              <w:jc w:val="both"/>
              <w:rPr>
                <w:rFonts w:ascii="Garamond" w:eastAsia="Times New Roman" w:hAnsi="Garamond" w:cs="Times New Roman"/>
                <w:i/>
                <w:sz w:val="22"/>
                <w:szCs w:val="24"/>
              </w:rPr>
            </w:pPr>
            <w:r w:rsidRPr="001333B2">
              <w:rPr>
                <w:rFonts w:ascii="Garamond" w:eastAsia="Times New Roman" w:hAnsi="Garamond" w:cs="Times New Roman"/>
                <w:i/>
                <w:sz w:val="22"/>
                <w:szCs w:val="24"/>
              </w:rPr>
              <w:t xml:space="preserve">– останов или снижение интенсивности производственного процесса, </w:t>
            </w:r>
          </w:p>
          <w:p w14:paraId="4D026838" w14:textId="77777777" w:rsidR="001333B2" w:rsidRPr="001333B2" w:rsidRDefault="001333B2" w:rsidP="001333B2">
            <w:pPr>
              <w:suppressAutoHyphens w:val="0"/>
              <w:jc w:val="both"/>
              <w:rPr>
                <w:rFonts w:ascii="Garamond" w:eastAsia="Times New Roman" w:hAnsi="Garamond" w:cs="Times New Roman"/>
                <w:i/>
                <w:sz w:val="22"/>
                <w:szCs w:val="24"/>
              </w:rPr>
            </w:pPr>
            <w:r w:rsidRPr="001333B2">
              <w:rPr>
                <w:rFonts w:ascii="Garamond" w:eastAsia="Times New Roman" w:hAnsi="Garamond" w:cs="Times New Roman"/>
                <w:i/>
                <w:sz w:val="22"/>
                <w:szCs w:val="24"/>
              </w:rPr>
              <w:t>– управление термостатическими нагрузками, такими как системы вентиляции и кондиционирования, нагрева воды, отопления и т.п.,</w:t>
            </w:r>
          </w:p>
          <w:p w14:paraId="7065008F" w14:textId="77777777" w:rsidR="001333B2" w:rsidRPr="001333B2" w:rsidRDefault="001333B2" w:rsidP="001333B2">
            <w:pPr>
              <w:suppressAutoHyphens w:val="0"/>
              <w:jc w:val="both"/>
              <w:rPr>
                <w:rFonts w:ascii="Garamond" w:eastAsia="Times New Roman" w:hAnsi="Garamond" w:cs="Times New Roman"/>
                <w:i/>
                <w:sz w:val="22"/>
                <w:szCs w:val="24"/>
              </w:rPr>
            </w:pPr>
            <w:r w:rsidRPr="001333B2">
              <w:rPr>
                <w:rFonts w:ascii="Garamond" w:eastAsia="Times New Roman" w:hAnsi="Garamond" w:cs="Times New Roman"/>
                <w:i/>
                <w:sz w:val="22"/>
                <w:szCs w:val="24"/>
              </w:rPr>
              <w:t>– использование генерирующего оборудования,</w:t>
            </w:r>
          </w:p>
          <w:p w14:paraId="6DD37471" w14:textId="77777777" w:rsidR="001333B2" w:rsidRPr="001333B2" w:rsidRDefault="001333B2" w:rsidP="001333B2">
            <w:pPr>
              <w:suppressAutoHyphens w:val="0"/>
              <w:jc w:val="both"/>
              <w:rPr>
                <w:rFonts w:ascii="Garamond" w:eastAsia="Times New Roman" w:hAnsi="Garamond" w:cs="Times New Roman"/>
                <w:i/>
                <w:sz w:val="22"/>
                <w:szCs w:val="24"/>
              </w:rPr>
            </w:pPr>
            <w:r w:rsidRPr="001333B2">
              <w:rPr>
                <w:rFonts w:ascii="Garamond" w:eastAsia="Times New Roman" w:hAnsi="Garamond" w:cs="Times New Roman"/>
                <w:i/>
                <w:sz w:val="22"/>
                <w:szCs w:val="24"/>
              </w:rPr>
              <w:t>– использование накопителей,</w:t>
            </w:r>
          </w:p>
          <w:p w14:paraId="6427150D" w14:textId="77777777" w:rsidR="001333B2" w:rsidRPr="001333B2" w:rsidRDefault="001333B2" w:rsidP="001333B2">
            <w:pPr>
              <w:suppressAutoHyphens w:val="0"/>
              <w:rPr>
                <w:rFonts w:ascii="Garamond" w:eastAsia="Times New Roman" w:hAnsi="Garamond" w:cs="Times New Roman"/>
                <w:i/>
                <w:sz w:val="22"/>
                <w:szCs w:val="24"/>
              </w:rPr>
            </w:pPr>
            <w:r w:rsidRPr="001333B2">
              <w:rPr>
                <w:rFonts w:ascii="Garamond" w:eastAsia="Times New Roman" w:hAnsi="Garamond" w:cs="Times New Roman"/>
                <w:i/>
                <w:sz w:val="22"/>
                <w:szCs w:val="24"/>
              </w:rPr>
              <w:t>– иная (указать)</w:t>
            </w:r>
          </w:p>
        </w:tc>
      </w:tr>
      <w:tr w:rsidR="001333B2" w:rsidRPr="001333B2" w14:paraId="7B24649E" w14:textId="77777777" w:rsidTr="00664B22">
        <w:trPr>
          <w:trHeight w:val="567"/>
        </w:trPr>
        <w:tc>
          <w:tcPr>
            <w:tcW w:w="4389" w:type="dxa"/>
            <w:gridSpan w:val="2"/>
            <w:shd w:val="clear" w:color="auto" w:fill="D9D9D9"/>
            <w:vAlign w:val="center"/>
          </w:tcPr>
          <w:p w14:paraId="4AD57528" w14:textId="77777777" w:rsidR="001333B2" w:rsidRPr="001333B2" w:rsidRDefault="001333B2" w:rsidP="001333B2">
            <w:pPr>
              <w:suppressAutoHyphens w:val="0"/>
              <w:jc w:val="both"/>
              <w:rPr>
                <w:rFonts w:ascii="Garamond" w:eastAsia="Times New Roman" w:hAnsi="Garamond" w:cs="Times New Roman"/>
                <w:sz w:val="22"/>
                <w:szCs w:val="24"/>
              </w:rPr>
            </w:pPr>
            <w:r w:rsidRPr="001333B2">
              <w:rPr>
                <w:rFonts w:ascii="Garamond" w:eastAsia="Times New Roman" w:hAnsi="Garamond" w:cs="Times New Roman"/>
                <w:sz w:val="22"/>
                <w:szCs w:val="24"/>
              </w:rPr>
              <w:t>Тип компенсации снижения потребления</w:t>
            </w:r>
          </w:p>
        </w:tc>
        <w:tc>
          <w:tcPr>
            <w:tcW w:w="4970" w:type="dxa"/>
            <w:gridSpan w:val="2"/>
            <w:shd w:val="clear" w:color="auto" w:fill="FFFFFF"/>
            <w:vAlign w:val="center"/>
          </w:tcPr>
          <w:p w14:paraId="79FC52A0" w14:textId="77777777" w:rsidR="001333B2" w:rsidRPr="001333B2" w:rsidRDefault="001333B2" w:rsidP="001333B2">
            <w:pPr>
              <w:suppressAutoHyphens w:val="0"/>
              <w:rPr>
                <w:rFonts w:ascii="Garamond" w:eastAsia="Times New Roman" w:hAnsi="Garamond" w:cs="Times New Roman"/>
                <w:i/>
                <w:sz w:val="22"/>
                <w:szCs w:val="24"/>
              </w:rPr>
            </w:pPr>
            <w:r w:rsidRPr="001333B2">
              <w:rPr>
                <w:rFonts w:ascii="Garamond" w:eastAsia="Times New Roman" w:hAnsi="Garamond" w:cs="Times New Roman"/>
                <w:i/>
                <w:sz w:val="22"/>
                <w:szCs w:val="24"/>
              </w:rPr>
              <w:t>Указывается один из типов компенсации снижения потребления:</w:t>
            </w:r>
          </w:p>
          <w:p w14:paraId="5FFAAED2" w14:textId="77777777" w:rsidR="001333B2" w:rsidRPr="001333B2" w:rsidRDefault="001333B2" w:rsidP="001333B2">
            <w:pPr>
              <w:suppressAutoHyphens w:val="0"/>
              <w:rPr>
                <w:rFonts w:ascii="Garamond" w:eastAsia="Times New Roman" w:hAnsi="Garamond" w:cs="Times New Roman"/>
                <w:i/>
                <w:sz w:val="22"/>
                <w:szCs w:val="24"/>
              </w:rPr>
            </w:pPr>
            <w:r w:rsidRPr="001333B2">
              <w:rPr>
                <w:rFonts w:ascii="Garamond" w:eastAsia="Times New Roman" w:hAnsi="Garamond" w:cs="Times New Roman"/>
                <w:i/>
                <w:sz w:val="22"/>
                <w:szCs w:val="24"/>
              </w:rPr>
              <w:t xml:space="preserve">– повышение потребления происходит в сутки события управления спросом до события, </w:t>
            </w:r>
          </w:p>
          <w:p w14:paraId="2F11A14E" w14:textId="77777777" w:rsidR="001333B2" w:rsidRPr="001333B2" w:rsidRDefault="001333B2" w:rsidP="001333B2">
            <w:pPr>
              <w:suppressAutoHyphens w:val="0"/>
              <w:rPr>
                <w:rFonts w:ascii="Garamond" w:eastAsia="Times New Roman" w:hAnsi="Garamond" w:cs="Times New Roman"/>
                <w:i/>
                <w:sz w:val="22"/>
                <w:szCs w:val="24"/>
              </w:rPr>
            </w:pPr>
            <w:r w:rsidRPr="001333B2">
              <w:rPr>
                <w:rFonts w:ascii="Garamond" w:eastAsia="Times New Roman" w:hAnsi="Garamond" w:cs="Times New Roman"/>
                <w:i/>
                <w:sz w:val="22"/>
                <w:szCs w:val="24"/>
              </w:rPr>
              <w:t xml:space="preserve">– повышение потребления происходит в сутки события управления спросом после события, </w:t>
            </w:r>
          </w:p>
          <w:p w14:paraId="52660035" w14:textId="77777777" w:rsidR="001333B2" w:rsidRPr="001333B2" w:rsidRDefault="001333B2" w:rsidP="001333B2">
            <w:pPr>
              <w:suppressAutoHyphens w:val="0"/>
              <w:rPr>
                <w:rFonts w:ascii="Garamond" w:eastAsia="Times New Roman" w:hAnsi="Garamond" w:cs="Times New Roman"/>
                <w:i/>
                <w:sz w:val="22"/>
                <w:szCs w:val="24"/>
              </w:rPr>
            </w:pPr>
            <w:r w:rsidRPr="001333B2">
              <w:rPr>
                <w:rFonts w:ascii="Garamond" w:eastAsia="Times New Roman" w:hAnsi="Garamond" w:cs="Times New Roman"/>
                <w:i/>
                <w:sz w:val="22"/>
                <w:szCs w:val="24"/>
              </w:rPr>
              <w:t xml:space="preserve">– повышение потребления происходит на следующие сутки после события управления спросом или позднее, </w:t>
            </w:r>
          </w:p>
          <w:p w14:paraId="2E22C70C" w14:textId="77777777" w:rsidR="001333B2" w:rsidRPr="001333B2" w:rsidRDefault="001333B2" w:rsidP="001333B2">
            <w:pPr>
              <w:suppressAutoHyphens w:val="0"/>
              <w:rPr>
                <w:rFonts w:ascii="Garamond" w:eastAsia="Times New Roman" w:hAnsi="Garamond" w:cs="Times New Roman"/>
                <w:i/>
                <w:sz w:val="22"/>
                <w:szCs w:val="24"/>
              </w:rPr>
            </w:pPr>
            <w:r w:rsidRPr="001333B2">
              <w:rPr>
                <w:rFonts w:ascii="Garamond" w:eastAsia="Times New Roman" w:hAnsi="Garamond" w:cs="Times New Roman"/>
                <w:i/>
                <w:sz w:val="22"/>
                <w:szCs w:val="24"/>
              </w:rPr>
              <w:lastRenderedPageBreak/>
              <w:t xml:space="preserve">– повышение потребления не требуется, </w:t>
            </w:r>
          </w:p>
          <w:p w14:paraId="073AF061" w14:textId="77777777" w:rsidR="001333B2" w:rsidRPr="001333B2" w:rsidRDefault="001333B2" w:rsidP="001333B2">
            <w:pPr>
              <w:suppressAutoHyphens w:val="0"/>
              <w:rPr>
                <w:rFonts w:ascii="Garamond" w:eastAsia="Times New Roman" w:hAnsi="Garamond" w:cs="Times New Roman"/>
                <w:b/>
                <w:sz w:val="22"/>
                <w:szCs w:val="24"/>
              </w:rPr>
            </w:pPr>
            <w:r w:rsidRPr="001333B2">
              <w:rPr>
                <w:rFonts w:ascii="Garamond" w:eastAsia="Times New Roman" w:hAnsi="Garamond" w:cs="Times New Roman"/>
                <w:i/>
                <w:sz w:val="22"/>
                <w:szCs w:val="24"/>
              </w:rPr>
              <w:t>– иной (указать)</w:t>
            </w:r>
          </w:p>
        </w:tc>
      </w:tr>
      <w:tr w:rsidR="001333B2" w:rsidRPr="001333B2" w14:paraId="13855785" w14:textId="77777777" w:rsidTr="0064152E">
        <w:trPr>
          <w:trHeight w:val="353"/>
        </w:trPr>
        <w:tc>
          <w:tcPr>
            <w:tcW w:w="9359" w:type="dxa"/>
            <w:gridSpan w:val="4"/>
            <w:shd w:val="clear" w:color="auto" w:fill="D9D9D9"/>
            <w:vAlign w:val="center"/>
          </w:tcPr>
          <w:p w14:paraId="3E35081F" w14:textId="77777777" w:rsidR="001333B2" w:rsidRPr="001333B2" w:rsidRDefault="001333B2" w:rsidP="001333B2">
            <w:pPr>
              <w:suppressAutoHyphens w:val="0"/>
              <w:jc w:val="both"/>
              <w:rPr>
                <w:rFonts w:ascii="Garamond" w:eastAsia="Times New Roman" w:hAnsi="Garamond" w:cs="Times New Roman"/>
                <w:sz w:val="22"/>
                <w:szCs w:val="24"/>
                <w:vertAlign w:val="superscript"/>
              </w:rPr>
            </w:pPr>
            <w:r w:rsidRPr="001333B2">
              <w:rPr>
                <w:rFonts w:ascii="Garamond" w:eastAsia="Times New Roman" w:hAnsi="Garamond" w:cs="Times New Roman"/>
                <w:b/>
                <w:sz w:val="22"/>
                <w:szCs w:val="24"/>
              </w:rPr>
              <w:lastRenderedPageBreak/>
              <w:t>3. Заявленные параметры снижения потребления электроэнергии объектом регулирования</w:t>
            </w:r>
          </w:p>
        </w:tc>
      </w:tr>
      <w:tr w:rsidR="001333B2" w:rsidRPr="001333B2" w14:paraId="74C16501" w14:textId="77777777" w:rsidTr="00664B22">
        <w:trPr>
          <w:trHeight w:val="567"/>
        </w:trPr>
        <w:tc>
          <w:tcPr>
            <w:tcW w:w="4389" w:type="dxa"/>
            <w:gridSpan w:val="2"/>
            <w:shd w:val="clear" w:color="auto" w:fill="D9D9D9"/>
            <w:vAlign w:val="center"/>
          </w:tcPr>
          <w:p w14:paraId="7D7B3D03" w14:textId="25D5269B" w:rsidR="001333B2" w:rsidRPr="001333B2" w:rsidRDefault="001333B2" w:rsidP="001333B2">
            <w:pPr>
              <w:suppressAutoHyphens w:val="0"/>
              <w:jc w:val="both"/>
              <w:rPr>
                <w:rFonts w:ascii="Garamond" w:eastAsia="Times New Roman" w:hAnsi="Garamond" w:cs="Times New Roman"/>
                <w:sz w:val="22"/>
                <w:szCs w:val="24"/>
              </w:rPr>
            </w:pPr>
            <w:r w:rsidRPr="001333B2">
              <w:rPr>
                <w:rFonts w:ascii="Garamond" w:eastAsia="Times New Roman" w:hAnsi="Garamond" w:cs="Times New Roman"/>
                <w:sz w:val="22"/>
                <w:szCs w:val="24"/>
              </w:rPr>
              <w:t>Объ</w:t>
            </w:r>
            <w:r w:rsidR="00BC4FC4">
              <w:rPr>
                <w:rFonts w:ascii="Garamond" w:eastAsia="Times New Roman" w:hAnsi="Garamond" w:cs="Times New Roman"/>
                <w:sz w:val="22"/>
                <w:szCs w:val="24"/>
              </w:rPr>
              <w:t>е</w:t>
            </w:r>
            <w:r w:rsidRPr="001333B2">
              <w:rPr>
                <w:rFonts w:ascii="Garamond" w:eastAsia="Times New Roman" w:hAnsi="Garamond" w:cs="Times New Roman"/>
                <w:sz w:val="22"/>
                <w:szCs w:val="24"/>
              </w:rPr>
              <w:t>м снижения потребления электроэнергии, МВт</w:t>
            </w:r>
          </w:p>
        </w:tc>
        <w:tc>
          <w:tcPr>
            <w:tcW w:w="4970" w:type="dxa"/>
            <w:gridSpan w:val="2"/>
            <w:vAlign w:val="center"/>
          </w:tcPr>
          <w:p w14:paraId="7BE0A907" w14:textId="187B01DE" w:rsidR="001333B2" w:rsidRPr="001333B2" w:rsidRDefault="001333B2" w:rsidP="00BC4FC4">
            <w:pPr>
              <w:suppressAutoHyphens w:val="0"/>
              <w:jc w:val="both"/>
              <w:rPr>
                <w:rFonts w:ascii="Garamond" w:eastAsia="Times New Roman" w:hAnsi="Garamond" w:cs="Times New Roman"/>
                <w:i/>
                <w:sz w:val="22"/>
                <w:szCs w:val="24"/>
              </w:rPr>
            </w:pPr>
            <w:r w:rsidRPr="001333B2">
              <w:rPr>
                <w:rFonts w:ascii="Garamond" w:eastAsia="Times New Roman" w:hAnsi="Garamond" w:cs="Times New Roman"/>
                <w:i/>
                <w:sz w:val="22"/>
                <w:szCs w:val="24"/>
              </w:rPr>
              <w:t>Заявленный для аттестации объем снижения потребления электроэнергии в МВт с точностью до 4 знаков после запятой</w:t>
            </w:r>
          </w:p>
        </w:tc>
      </w:tr>
      <w:tr w:rsidR="001333B2" w:rsidRPr="001333B2" w14:paraId="30DAB39F" w14:textId="77777777" w:rsidTr="00664B22">
        <w:trPr>
          <w:trHeight w:val="567"/>
        </w:trPr>
        <w:tc>
          <w:tcPr>
            <w:tcW w:w="4389" w:type="dxa"/>
            <w:gridSpan w:val="2"/>
            <w:shd w:val="clear" w:color="auto" w:fill="D9D9D9"/>
            <w:vAlign w:val="center"/>
          </w:tcPr>
          <w:p w14:paraId="3A4CD41F" w14:textId="77777777" w:rsidR="001333B2" w:rsidRPr="001333B2" w:rsidRDefault="001333B2" w:rsidP="001333B2">
            <w:pPr>
              <w:suppressAutoHyphens w:val="0"/>
              <w:jc w:val="both"/>
              <w:rPr>
                <w:rFonts w:ascii="Garamond" w:eastAsia="Times New Roman" w:hAnsi="Garamond" w:cs="Times New Roman"/>
                <w:sz w:val="22"/>
                <w:szCs w:val="24"/>
              </w:rPr>
            </w:pPr>
            <w:r w:rsidRPr="001333B2">
              <w:rPr>
                <w:rFonts w:ascii="Garamond" w:eastAsia="Times New Roman" w:hAnsi="Garamond" w:cs="Times New Roman"/>
                <w:sz w:val="22"/>
                <w:szCs w:val="24"/>
              </w:rPr>
              <w:t>Длительность снижения потребления электроэнергии, ч</w:t>
            </w:r>
          </w:p>
        </w:tc>
        <w:tc>
          <w:tcPr>
            <w:tcW w:w="4970" w:type="dxa"/>
            <w:gridSpan w:val="2"/>
            <w:vAlign w:val="center"/>
          </w:tcPr>
          <w:p w14:paraId="30726D5F" w14:textId="77777777" w:rsidR="001333B2" w:rsidRPr="001333B2" w:rsidRDefault="001333B2" w:rsidP="001333B2">
            <w:pPr>
              <w:suppressAutoHyphens w:val="0"/>
              <w:jc w:val="both"/>
              <w:rPr>
                <w:rFonts w:ascii="Garamond" w:eastAsia="Times New Roman" w:hAnsi="Garamond" w:cs="Times New Roman"/>
                <w:sz w:val="22"/>
                <w:szCs w:val="24"/>
              </w:rPr>
            </w:pPr>
            <w:r w:rsidRPr="001333B2">
              <w:rPr>
                <w:rFonts w:ascii="Garamond" w:eastAsia="Times New Roman" w:hAnsi="Garamond" w:cs="Times New Roman"/>
                <w:i/>
                <w:sz w:val="22"/>
                <w:szCs w:val="24"/>
              </w:rPr>
              <w:t>Заявленная для аттестации непрерывная длительность снижения потребления электроэнергии в целых часах от 1 до 4</w:t>
            </w:r>
          </w:p>
        </w:tc>
      </w:tr>
      <w:tr w:rsidR="001333B2" w:rsidRPr="001333B2" w14:paraId="7637F2B6" w14:textId="77777777" w:rsidTr="00664B22">
        <w:trPr>
          <w:trHeight w:val="567"/>
        </w:trPr>
        <w:tc>
          <w:tcPr>
            <w:tcW w:w="4389" w:type="dxa"/>
            <w:gridSpan w:val="2"/>
            <w:shd w:val="clear" w:color="auto" w:fill="D9D9D9"/>
            <w:vAlign w:val="center"/>
          </w:tcPr>
          <w:p w14:paraId="5129B9FF" w14:textId="77777777" w:rsidR="001333B2" w:rsidRPr="001333B2" w:rsidRDefault="001333B2" w:rsidP="001333B2">
            <w:pPr>
              <w:suppressAutoHyphens w:val="0"/>
              <w:jc w:val="both"/>
              <w:rPr>
                <w:rFonts w:ascii="Garamond" w:eastAsia="Times New Roman" w:hAnsi="Garamond" w:cs="Times New Roman"/>
                <w:sz w:val="22"/>
                <w:szCs w:val="24"/>
              </w:rPr>
            </w:pPr>
            <w:r w:rsidRPr="001333B2">
              <w:rPr>
                <w:rFonts w:ascii="Garamond" w:eastAsia="Times New Roman" w:hAnsi="Garamond" w:cs="Times New Roman"/>
                <w:sz w:val="22"/>
                <w:szCs w:val="24"/>
              </w:rPr>
              <w:t>Метод определения объема услуг</w:t>
            </w:r>
          </w:p>
        </w:tc>
        <w:tc>
          <w:tcPr>
            <w:tcW w:w="4970" w:type="dxa"/>
            <w:gridSpan w:val="2"/>
            <w:vAlign w:val="center"/>
          </w:tcPr>
          <w:p w14:paraId="48D1404E" w14:textId="77777777" w:rsidR="001333B2" w:rsidRPr="001333B2" w:rsidRDefault="001333B2" w:rsidP="001333B2">
            <w:pPr>
              <w:suppressAutoHyphens w:val="0"/>
              <w:jc w:val="both"/>
              <w:rPr>
                <w:rFonts w:ascii="Garamond" w:eastAsia="Times New Roman" w:hAnsi="Garamond" w:cs="Times New Roman"/>
                <w:i/>
                <w:sz w:val="22"/>
                <w:szCs w:val="24"/>
              </w:rPr>
            </w:pPr>
            <w:r w:rsidRPr="001333B2">
              <w:rPr>
                <w:rFonts w:ascii="Garamond" w:eastAsia="Times New Roman" w:hAnsi="Garamond" w:cs="Times New Roman"/>
                <w:i/>
                <w:sz w:val="22"/>
                <w:szCs w:val="24"/>
              </w:rPr>
              <w:t>Указывается один из методов определения объема услуг:</w:t>
            </w:r>
          </w:p>
          <w:p w14:paraId="1E9CD3EB" w14:textId="77777777" w:rsidR="001333B2" w:rsidRPr="001333B2" w:rsidRDefault="001333B2" w:rsidP="001333B2">
            <w:pPr>
              <w:suppressAutoHyphens w:val="0"/>
              <w:jc w:val="both"/>
              <w:rPr>
                <w:rFonts w:ascii="Garamond" w:eastAsia="Times New Roman" w:hAnsi="Garamond" w:cs="Times New Roman"/>
                <w:i/>
                <w:sz w:val="22"/>
                <w:szCs w:val="24"/>
              </w:rPr>
            </w:pPr>
            <w:r w:rsidRPr="001333B2">
              <w:rPr>
                <w:rFonts w:ascii="Garamond" w:eastAsia="Times New Roman" w:hAnsi="Garamond" w:cs="Times New Roman"/>
                <w:i/>
                <w:sz w:val="22"/>
                <w:szCs w:val="24"/>
              </w:rPr>
              <w:t xml:space="preserve">– график базовой нагрузки по объекту регулирования, </w:t>
            </w:r>
          </w:p>
          <w:p w14:paraId="017AA136" w14:textId="77777777" w:rsidR="001333B2" w:rsidRPr="001333B2" w:rsidRDefault="001333B2" w:rsidP="001333B2">
            <w:pPr>
              <w:suppressAutoHyphens w:val="0"/>
              <w:jc w:val="both"/>
              <w:rPr>
                <w:rFonts w:ascii="Garamond" w:eastAsia="Times New Roman" w:hAnsi="Garamond" w:cs="Times New Roman"/>
                <w:i/>
                <w:sz w:val="22"/>
                <w:szCs w:val="24"/>
              </w:rPr>
            </w:pPr>
            <w:r w:rsidRPr="001333B2">
              <w:rPr>
                <w:rFonts w:ascii="Garamond" w:eastAsia="Times New Roman" w:hAnsi="Garamond" w:cs="Times New Roman"/>
                <w:i/>
                <w:sz w:val="22"/>
                <w:szCs w:val="24"/>
              </w:rPr>
              <w:t xml:space="preserve">– максимальная базовая нагрузка по объекту регулирования, </w:t>
            </w:r>
          </w:p>
          <w:p w14:paraId="588748FE" w14:textId="77777777" w:rsidR="001333B2" w:rsidRPr="001333B2" w:rsidRDefault="001333B2" w:rsidP="001333B2">
            <w:pPr>
              <w:suppressAutoHyphens w:val="0"/>
              <w:jc w:val="both"/>
              <w:rPr>
                <w:rFonts w:ascii="Garamond" w:eastAsia="Times New Roman" w:hAnsi="Garamond" w:cs="Times New Roman"/>
                <w:i/>
                <w:sz w:val="22"/>
                <w:szCs w:val="24"/>
              </w:rPr>
            </w:pPr>
            <w:r w:rsidRPr="001333B2">
              <w:rPr>
                <w:rFonts w:ascii="Garamond" w:eastAsia="Times New Roman" w:hAnsi="Garamond" w:cs="Times New Roman"/>
                <w:i/>
                <w:sz w:val="22"/>
                <w:szCs w:val="24"/>
              </w:rPr>
              <w:t xml:space="preserve">– заявленный график нагрузки по объекту регулирования, </w:t>
            </w:r>
          </w:p>
          <w:p w14:paraId="590810D7" w14:textId="77777777" w:rsidR="001333B2" w:rsidRPr="001333B2" w:rsidRDefault="001333B2" w:rsidP="001333B2">
            <w:pPr>
              <w:suppressAutoHyphens w:val="0"/>
              <w:jc w:val="both"/>
              <w:rPr>
                <w:rFonts w:ascii="Garamond" w:eastAsia="Times New Roman" w:hAnsi="Garamond" w:cs="Times New Roman"/>
                <w:i/>
                <w:sz w:val="22"/>
                <w:szCs w:val="24"/>
              </w:rPr>
            </w:pPr>
            <w:r w:rsidRPr="001333B2">
              <w:rPr>
                <w:rFonts w:ascii="Garamond" w:eastAsia="Times New Roman" w:hAnsi="Garamond" w:cs="Times New Roman"/>
                <w:i/>
                <w:sz w:val="22"/>
                <w:szCs w:val="24"/>
              </w:rPr>
              <w:t xml:space="preserve">– график базовой нагрузки по агрегированному объекту управления, </w:t>
            </w:r>
          </w:p>
          <w:p w14:paraId="257AE1DF" w14:textId="77777777" w:rsidR="001333B2" w:rsidRPr="001333B2" w:rsidRDefault="001333B2" w:rsidP="001333B2">
            <w:pPr>
              <w:suppressAutoHyphens w:val="0"/>
              <w:jc w:val="both"/>
              <w:rPr>
                <w:rFonts w:ascii="Garamond" w:eastAsia="Times New Roman" w:hAnsi="Garamond" w:cs="Times New Roman"/>
                <w:sz w:val="22"/>
                <w:szCs w:val="24"/>
              </w:rPr>
            </w:pPr>
            <w:r w:rsidRPr="001333B2">
              <w:rPr>
                <w:rFonts w:ascii="Garamond" w:eastAsia="Times New Roman" w:hAnsi="Garamond" w:cs="Times New Roman"/>
                <w:i/>
                <w:sz w:val="22"/>
                <w:szCs w:val="24"/>
              </w:rPr>
              <w:t>– заявленный график нагрузки по агрегированному объекту управления</w:t>
            </w:r>
          </w:p>
        </w:tc>
      </w:tr>
      <w:tr w:rsidR="001333B2" w:rsidRPr="001333B2" w14:paraId="48AEB756" w14:textId="77777777" w:rsidTr="00664B22">
        <w:trPr>
          <w:trHeight w:val="567"/>
        </w:trPr>
        <w:tc>
          <w:tcPr>
            <w:tcW w:w="4389" w:type="dxa"/>
            <w:gridSpan w:val="2"/>
            <w:shd w:val="clear" w:color="auto" w:fill="D9D9D9"/>
            <w:vAlign w:val="center"/>
          </w:tcPr>
          <w:p w14:paraId="5B6733FD" w14:textId="77777777" w:rsidR="001333B2" w:rsidRPr="001333B2" w:rsidRDefault="001333B2" w:rsidP="001333B2">
            <w:pPr>
              <w:suppressAutoHyphens w:val="0"/>
              <w:jc w:val="both"/>
              <w:rPr>
                <w:rFonts w:ascii="Garamond" w:eastAsia="Times New Roman" w:hAnsi="Garamond" w:cs="Times New Roman"/>
                <w:sz w:val="22"/>
                <w:szCs w:val="24"/>
              </w:rPr>
            </w:pPr>
            <w:r w:rsidRPr="001333B2">
              <w:rPr>
                <w:rFonts w:ascii="Garamond" w:eastAsia="Times New Roman" w:hAnsi="Garamond" w:cs="Times New Roman"/>
                <w:sz w:val="22"/>
                <w:szCs w:val="24"/>
              </w:rPr>
              <w:t>Тип подстройки</w:t>
            </w:r>
          </w:p>
        </w:tc>
        <w:tc>
          <w:tcPr>
            <w:tcW w:w="4970" w:type="dxa"/>
            <w:gridSpan w:val="2"/>
            <w:vAlign w:val="center"/>
          </w:tcPr>
          <w:p w14:paraId="21426520" w14:textId="77777777" w:rsidR="001333B2" w:rsidRPr="001333B2" w:rsidRDefault="001333B2" w:rsidP="001333B2">
            <w:pPr>
              <w:suppressAutoHyphens w:val="0"/>
              <w:jc w:val="both"/>
              <w:rPr>
                <w:rFonts w:ascii="Garamond" w:eastAsia="Times New Roman" w:hAnsi="Garamond" w:cs="Times New Roman"/>
                <w:i/>
                <w:sz w:val="22"/>
                <w:szCs w:val="24"/>
              </w:rPr>
            </w:pPr>
            <w:r w:rsidRPr="001333B2">
              <w:rPr>
                <w:rFonts w:ascii="Garamond" w:eastAsia="Times New Roman" w:hAnsi="Garamond" w:cs="Times New Roman"/>
                <w:i/>
                <w:sz w:val="22"/>
                <w:szCs w:val="24"/>
              </w:rPr>
              <w:t>Указывается один из типов подстройки:</w:t>
            </w:r>
          </w:p>
          <w:p w14:paraId="0B2E4BE7" w14:textId="77777777" w:rsidR="001333B2" w:rsidRPr="001333B2" w:rsidRDefault="001333B2" w:rsidP="001333B2">
            <w:pPr>
              <w:suppressAutoHyphens w:val="0"/>
              <w:jc w:val="both"/>
              <w:rPr>
                <w:rFonts w:ascii="Garamond" w:eastAsia="Times New Roman" w:hAnsi="Garamond" w:cs="Times New Roman"/>
                <w:i/>
                <w:sz w:val="22"/>
                <w:szCs w:val="24"/>
              </w:rPr>
            </w:pPr>
            <w:r w:rsidRPr="001333B2">
              <w:rPr>
                <w:rFonts w:ascii="Garamond" w:eastAsia="Times New Roman" w:hAnsi="Garamond" w:cs="Times New Roman"/>
                <w:i/>
                <w:sz w:val="22"/>
                <w:szCs w:val="24"/>
              </w:rPr>
              <w:t>– подстройка не осуществляется,</w:t>
            </w:r>
          </w:p>
          <w:p w14:paraId="0A229724" w14:textId="77777777" w:rsidR="001333B2" w:rsidRPr="001333B2" w:rsidRDefault="001333B2" w:rsidP="001333B2">
            <w:pPr>
              <w:suppressAutoHyphens w:val="0"/>
              <w:jc w:val="both"/>
              <w:rPr>
                <w:rFonts w:ascii="Garamond" w:eastAsia="Times New Roman" w:hAnsi="Garamond" w:cs="Times New Roman"/>
                <w:i/>
                <w:sz w:val="22"/>
                <w:szCs w:val="24"/>
              </w:rPr>
            </w:pPr>
            <w:r w:rsidRPr="001333B2">
              <w:rPr>
                <w:rFonts w:ascii="Garamond" w:eastAsia="Times New Roman" w:hAnsi="Garamond" w:cs="Times New Roman"/>
                <w:i/>
                <w:sz w:val="22"/>
                <w:szCs w:val="24"/>
              </w:rPr>
              <w:t>– подстройка осуществляется для всех рабочих дней,</w:t>
            </w:r>
          </w:p>
          <w:p w14:paraId="6C0CF8B9" w14:textId="77777777" w:rsidR="001333B2" w:rsidRPr="001333B2" w:rsidRDefault="001333B2" w:rsidP="001333B2">
            <w:pPr>
              <w:suppressAutoHyphens w:val="0"/>
              <w:jc w:val="both"/>
              <w:rPr>
                <w:rFonts w:ascii="Garamond" w:eastAsia="Times New Roman" w:hAnsi="Garamond" w:cs="Times New Roman"/>
                <w:sz w:val="22"/>
                <w:szCs w:val="24"/>
              </w:rPr>
            </w:pPr>
            <w:r w:rsidRPr="001333B2">
              <w:rPr>
                <w:rFonts w:ascii="Garamond" w:eastAsia="Times New Roman" w:hAnsi="Garamond" w:cs="Times New Roman"/>
                <w:i/>
                <w:sz w:val="22"/>
                <w:szCs w:val="24"/>
              </w:rPr>
              <w:t>– подстройка осуществляется для рабочих дней, которым вчера предшествовал рабочий день</w:t>
            </w:r>
          </w:p>
        </w:tc>
      </w:tr>
      <w:tr w:rsidR="001333B2" w:rsidRPr="001333B2" w14:paraId="5A536B3C" w14:textId="77777777" w:rsidTr="0064152E">
        <w:trPr>
          <w:trHeight w:val="567"/>
        </w:trPr>
        <w:tc>
          <w:tcPr>
            <w:tcW w:w="9359" w:type="dxa"/>
            <w:gridSpan w:val="4"/>
            <w:shd w:val="clear" w:color="auto" w:fill="D9D9D9"/>
            <w:vAlign w:val="center"/>
          </w:tcPr>
          <w:p w14:paraId="71BC27E5" w14:textId="36A3B8F0" w:rsidR="001333B2" w:rsidRPr="001333B2" w:rsidRDefault="001333B2" w:rsidP="00EF54C4">
            <w:pPr>
              <w:suppressAutoHyphens w:val="0"/>
              <w:jc w:val="both"/>
              <w:rPr>
                <w:rFonts w:ascii="Garamond" w:eastAsia="Times New Roman" w:hAnsi="Garamond" w:cs="Times New Roman"/>
                <w:b/>
                <w:i/>
                <w:sz w:val="22"/>
                <w:szCs w:val="24"/>
                <w:vertAlign w:val="superscript"/>
              </w:rPr>
            </w:pPr>
            <w:r w:rsidRPr="001333B2">
              <w:rPr>
                <w:rFonts w:ascii="Garamond" w:eastAsia="Times New Roman" w:hAnsi="Garamond" w:cs="Times New Roman"/>
                <w:b/>
                <w:sz w:val="22"/>
                <w:szCs w:val="24"/>
              </w:rPr>
              <w:t xml:space="preserve">4. Информация об участии объекта регулирования в оказании услуг </w:t>
            </w:r>
            <w:r w:rsidRPr="000F6978">
              <w:rPr>
                <w:rFonts w:ascii="Garamond" w:eastAsia="Times New Roman" w:hAnsi="Garamond" w:cs="Times New Roman"/>
                <w:b/>
                <w:sz w:val="22"/>
                <w:szCs w:val="24"/>
              </w:rPr>
              <w:t xml:space="preserve">по управлению </w:t>
            </w:r>
            <w:r w:rsidR="00EF54C4" w:rsidRPr="000F6978">
              <w:rPr>
                <w:rFonts w:ascii="Garamond" w:eastAsia="Times New Roman" w:hAnsi="Garamond" w:cs="Times New Roman"/>
                <w:b/>
                <w:sz w:val="22"/>
                <w:szCs w:val="24"/>
              </w:rPr>
              <w:t>спросом на электрическую энергию в период до 31.12.2023</w:t>
            </w:r>
          </w:p>
        </w:tc>
      </w:tr>
      <w:tr w:rsidR="001333B2" w:rsidRPr="001333B2" w14:paraId="66C1E08D" w14:textId="77777777" w:rsidTr="00664B22">
        <w:trPr>
          <w:trHeight w:val="567"/>
        </w:trPr>
        <w:tc>
          <w:tcPr>
            <w:tcW w:w="4389" w:type="dxa"/>
            <w:gridSpan w:val="2"/>
            <w:vAlign w:val="center"/>
          </w:tcPr>
          <w:p w14:paraId="4561790F" w14:textId="77777777" w:rsidR="001333B2" w:rsidRPr="001333B2" w:rsidRDefault="001333B2" w:rsidP="001333B2">
            <w:pPr>
              <w:suppressAutoHyphens w:val="0"/>
              <w:jc w:val="both"/>
              <w:rPr>
                <w:rFonts w:ascii="Garamond" w:eastAsia="Times New Roman" w:hAnsi="Garamond" w:cs="Times New Roman"/>
                <w:sz w:val="22"/>
              </w:rPr>
            </w:pPr>
            <w:r w:rsidRPr="001333B2">
              <w:rPr>
                <w:rFonts w:ascii="Garamond" w:eastAsia="Times New Roman" w:hAnsi="Garamond" w:cs="Times New Roman"/>
                <w:sz w:val="22"/>
              </w:rPr>
              <w:t>Последний период оказания услуг</w:t>
            </w:r>
          </w:p>
        </w:tc>
        <w:tc>
          <w:tcPr>
            <w:tcW w:w="4970" w:type="dxa"/>
            <w:gridSpan w:val="2"/>
            <w:vAlign w:val="center"/>
          </w:tcPr>
          <w:p w14:paraId="476E1FAC" w14:textId="518EF963" w:rsidR="001333B2" w:rsidRPr="001333B2" w:rsidRDefault="001333B2" w:rsidP="001333B2">
            <w:pPr>
              <w:suppressAutoHyphens w:val="0"/>
              <w:jc w:val="both"/>
              <w:rPr>
                <w:rFonts w:ascii="Garamond" w:eastAsia="Times New Roman" w:hAnsi="Garamond" w:cs="Times New Roman"/>
                <w:i/>
                <w:sz w:val="22"/>
                <w:szCs w:val="24"/>
              </w:rPr>
            </w:pPr>
            <w:r w:rsidRPr="001333B2">
              <w:rPr>
                <w:rFonts w:ascii="Garamond" w:eastAsia="Times New Roman" w:hAnsi="Garamond" w:cs="Times New Roman"/>
                <w:i/>
                <w:sz w:val="22"/>
                <w:szCs w:val="24"/>
              </w:rPr>
              <w:t>Указывается период оказания услуг последнего отбора, в котором объект регулирования был отобран для оказания услуг. Не заполняется</w:t>
            </w:r>
            <w:r w:rsidR="000F6978">
              <w:rPr>
                <w:rFonts w:ascii="Garamond" w:eastAsia="Times New Roman" w:hAnsi="Garamond" w:cs="Times New Roman"/>
                <w:i/>
                <w:sz w:val="22"/>
                <w:szCs w:val="24"/>
              </w:rPr>
              <w:t>,</w:t>
            </w:r>
            <w:r w:rsidRPr="001333B2">
              <w:rPr>
                <w:rFonts w:ascii="Garamond" w:eastAsia="Times New Roman" w:hAnsi="Garamond" w:cs="Times New Roman"/>
                <w:i/>
                <w:sz w:val="22"/>
                <w:szCs w:val="24"/>
              </w:rPr>
              <w:t xml:space="preserve"> если объект регулирования ранее не оказывал услуги</w:t>
            </w:r>
          </w:p>
        </w:tc>
      </w:tr>
      <w:tr w:rsidR="001333B2" w:rsidRPr="001333B2" w14:paraId="18F0ECB9" w14:textId="77777777" w:rsidTr="00664B22">
        <w:trPr>
          <w:trHeight w:val="567"/>
        </w:trPr>
        <w:tc>
          <w:tcPr>
            <w:tcW w:w="4389" w:type="dxa"/>
            <w:gridSpan w:val="2"/>
            <w:vAlign w:val="center"/>
          </w:tcPr>
          <w:p w14:paraId="36D05D9C" w14:textId="77777777" w:rsidR="001333B2" w:rsidRPr="001333B2" w:rsidRDefault="001333B2" w:rsidP="001333B2">
            <w:pPr>
              <w:suppressAutoHyphens w:val="0"/>
              <w:jc w:val="both"/>
              <w:rPr>
                <w:rFonts w:ascii="Garamond" w:eastAsia="Times New Roman" w:hAnsi="Garamond" w:cs="Times New Roman"/>
                <w:sz w:val="22"/>
              </w:rPr>
            </w:pPr>
            <w:r w:rsidRPr="001333B2">
              <w:rPr>
                <w:rFonts w:ascii="Garamond" w:eastAsia="Times New Roman" w:hAnsi="Garamond" w:cs="Times New Roman"/>
                <w:sz w:val="22"/>
              </w:rPr>
              <w:t>Код объекта регулирования в течение последнего периода оказания услуг</w:t>
            </w:r>
          </w:p>
        </w:tc>
        <w:tc>
          <w:tcPr>
            <w:tcW w:w="4970" w:type="dxa"/>
            <w:gridSpan w:val="2"/>
            <w:vAlign w:val="center"/>
          </w:tcPr>
          <w:p w14:paraId="72A40216" w14:textId="28A7072F" w:rsidR="001333B2" w:rsidRPr="001333B2" w:rsidRDefault="001333B2" w:rsidP="001333B2">
            <w:pPr>
              <w:suppressAutoHyphens w:val="0"/>
              <w:jc w:val="both"/>
              <w:rPr>
                <w:rFonts w:ascii="Garamond" w:eastAsia="Times New Roman" w:hAnsi="Garamond" w:cs="Times New Roman"/>
                <w:i/>
                <w:sz w:val="22"/>
                <w:szCs w:val="24"/>
              </w:rPr>
            </w:pPr>
            <w:r w:rsidRPr="001333B2">
              <w:rPr>
                <w:rFonts w:ascii="Garamond" w:eastAsia="Times New Roman" w:hAnsi="Garamond" w:cs="Times New Roman"/>
                <w:i/>
                <w:sz w:val="22"/>
                <w:szCs w:val="24"/>
              </w:rPr>
              <w:t>Указывает код объекта регулирования, который был присвоен объекту регулирования на период последнего оказания услуг. Не заполняется</w:t>
            </w:r>
            <w:r w:rsidR="000F6978">
              <w:rPr>
                <w:rFonts w:ascii="Garamond" w:eastAsia="Times New Roman" w:hAnsi="Garamond" w:cs="Times New Roman"/>
                <w:i/>
                <w:sz w:val="22"/>
                <w:szCs w:val="24"/>
              </w:rPr>
              <w:t>,</w:t>
            </w:r>
            <w:r w:rsidRPr="001333B2">
              <w:rPr>
                <w:rFonts w:ascii="Garamond" w:eastAsia="Times New Roman" w:hAnsi="Garamond" w:cs="Times New Roman"/>
                <w:i/>
                <w:sz w:val="22"/>
                <w:szCs w:val="24"/>
              </w:rPr>
              <w:t xml:space="preserve"> если объект регулирования ранее не оказывал услуги</w:t>
            </w:r>
          </w:p>
        </w:tc>
      </w:tr>
      <w:tr w:rsidR="001333B2" w:rsidRPr="001333B2" w14:paraId="0071912E" w14:textId="77777777" w:rsidTr="0064152E">
        <w:trPr>
          <w:trHeight w:val="567"/>
        </w:trPr>
        <w:tc>
          <w:tcPr>
            <w:tcW w:w="9359" w:type="dxa"/>
            <w:gridSpan w:val="4"/>
            <w:shd w:val="clear" w:color="auto" w:fill="D9D9D9"/>
            <w:vAlign w:val="center"/>
          </w:tcPr>
          <w:p w14:paraId="6DB629E1" w14:textId="5DF15B8B" w:rsidR="001333B2" w:rsidRPr="001333B2" w:rsidRDefault="001333B2" w:rsidP="001333B2">
            <w:pPr>
              <w:suppressAutoHyphens w:val="0"/>
              <w:jc w:val="both"/>
              <w:rPr>
                <w:rFonts w:ascii="Garamond" w:eastAsia="Times New Roman" w:hAnsi="Garamond" w:cs="Times New Roman"/>
                <w:b/>
                <w:sz w:val="22"/>
                <w:szCs w:val="24"/>
                <w:vertAlign w:val="superscript"/>
              </w:rPr>
            </w:pPr>
            <w:r w:rsidRPr="001333B2">
              <w:rPr>
                <w:rFonts w:ascii="Garamond" w:eastAsia="Times New Roman" w:hAnsi="Garamond" w:cs="Times New Roman"/>
                <w:b/>
                <w:sz w:val="22"/>
                <w:szCs w:val="24"/>
              </w:rPr>
              <w:t xml:space="preserve">5. Наличие в составе объекта регулирования </w:t>
            </w:r>
            <w:r w:rsidRPr="001333B2">
              <w:rPr>
                <w:rFonts w:ascii="Garamond" w:eastAsia="Times New Roman" w:hAnsi="Garamond" w:cs="Times New Roman"/>
                <w:b/>
                <w:sz w:val="22"/>
                <w:szCs w:val="22"/>
              </w:rPr>
              <w:t>объектов по производству электрическ</w:t>
            </w:r>
            <w:r w:rsidR="000F6978">
              <w:rPr>
                <w:rFonts w:ascii="Garamond" w:eastAsia="Times New Roman" w:hAnsi="Garamond" w:cs="Times New Roman"/>
                <w:b/>
                <w:sz w:val="22"/>
                <w:szCs w:val="22"/>
              </w:rPr>
              <w:t>ой энергии (электростанции/блок-</w:t>
            </w:r>
            <w:r w:rsidRPr="001333B2">
              <w:rPr>
                <w:rFonts w:ascii="Garamond" w:eastAsia="Times New Roman" w:hAnsi="Garamond" w:cs="Times New Roman"/>
                <w:b/>
                <w:sz w:val="22"/>
                <w:szCs w:val="22"/>
              </w:rPr>
              <w:t>станции)</w:t>
            </w:r>
            <w:r w:rsidRPr="001333B2">
              <w:rPr>
                <w:rFonts w:ascii="Garamond" w:eastAsia="Times New Roman" w:hAnsi="Garamond" w:cs="Times New Roman"/>
                <w:b/>
                <w:sz w:val="22"/>
                <w:szCs w:val="22"/>
                <w:vertAlign w:val="superscript"/>
              </w:rPr>
              <w:t xml:space="preserve"> 1</w:t>
            </w:r>
          </w:p>
        </w:tc>
      </w:tr>
      <w:tr w:rsidR="001333B2" w:rsidRPr="001333B2" w14:paraId="59882E1C" w14:textId="77777777" w:rsidTr="00664B22">
        <w:trPr>
          <w:trHeight w:val="567"/>
        </w:trPr>
        <w:tc>
          <w:tcPr>
            <w:tcW w:w="706" w:type="dxa"/>
            <w:shd w:val="clear" w:color="auto" w:fill="D9D9D9"/>
            <w:vAlign w:val="center"/>
          </w:tcPr>
          <w:p w14:paraId="1FDB4FAE" w14:textId="77777777" w:rsidR="001333B2" w:rsidRPr="001333B2" w:rsidRDefault="001333B2" w:rsidP="001333B2">
            <w:pPr>
              <w:suppressAutoHyphens w:val="0"/>
              <w:jc w:val="center"/>
              <w:rPr>
                <w:rFonts w:ascii="Garamond" w:eastAsia="Times New Roman" w:hAnsi="Garamond" w:cs="Times New Roman"/>
                <w:sz w:val="22"/>
                <w:szCs w:val="24"/>
              </w:rPr>
            </w:pPr>
            <w:r w:rsidRPr="001333B2">
              <w:rPr>
                <w:rFonts w:ascii="Garamond" w:eastAsia="Times New Roman" w:hAnsi="Garamond" w:cs="Times New Roman"/>
                <w:sz w:val="22"/>
                <w:szCs w:val="24"/>
              </w:rPr>
              <w:t>№</w:t>
            </w:r>
          </w:p>
        </w:tc>
        <w:tc>
          <w:tcPr>
            <w:tcW w:w="6091" w:type="dxa"/>
            <w:gridSpan w:val="2"/>
            <w:shd w:val="clear" w:color="auto" w:fill="D9D9D9"/>
            <w:vAlign w:val="center"/>
          </w:tcPr>
          <w:p w14:paraId="3B8C8201" w14:textId="54E54A15" w:rsidR="001333B2" w:rsidRPr="001333B2" w:rsidRDefault="001333B2" w:rsidP="001333B2">
            <w:pPr>
              <w:suppressAutoHyphens w:val="0"/>
              <w:jc w:val="center"/>
              <w:rPr>
                <w:rFonts w:ascii="Garamond" w:eastAsia="Times New Roman" w:hAnsi="Garamond" w:cs="Times New Roman"/>
                <w:sz w:val="22"/>
                <w:szCs w:val="24"/>
              </w:rPr>
            </w:pPr>
            <w:r w:rsidRPr="001333B2">
              <w:rPr>
                <w:rFonts w:ascii="Garamond" w:eastAsia="Times New Roman" w:hAnsi="Garamond" w:cs="Times New Roman"/>
                <w:sz w:val="22"/>
                <w:szCs w:val="24"/>
              </w:rPr>
              <w:t>Н</w:t>
            </w:r>
            <w:r w:rsidR="000F6978">
              <w:rPr>
                <w:rFonts w:ascii="Garamond" w:eastAsia="Times New Roman" w:hAnsi="Garamond" w:cs="Times New Roman"/>
                <w:sz w:val="22"/>
                <w:szCs w:val="24"/>
              </w:rPr>
              <w:t>аименование электростанции/блок-</w:t>
            </w:r>
            <w:r w:rsidRPr="001333B2">
              <w:rPr>
                <w:rFonts w:ascii="Garamond" w:eastAsia="Times New Roman" w:hAnsi="Garamond" w:cs="Times New Roman"/>
                <w:sz w:val="22"/>
                <w:szCs w:val="24"/>
              </w:rPr>
              <w:t>станции</w:t>
            </w:r>
          </w:p>
        </w:tc>
        <w:tc>
          <w:tcPr>
            <w:tcW w:w="2562" w:type="dxa"/>
            <w:shd w:val="clear" w:color="auto" w:fill="D9D9D9"/>
            <w:vAlign w:val="center"/>
          </w:tcPr>
          <w:p w14:paraId="186443C2" w14:textId="77777777" w:rsidR="001333B2" w:rsidRPr="001333B2" w:rsidRDefault="001333B2" w:rsidP="001333B2">
            <w:pPr>
              <w:suppressAutoHyphens w:val="0"/>
              <w:jc w:val="center"/>
              <w:rPr>
                <w:rFonts w:ascii="Garamond" w:eastAsia="Times New Roman" w:hAnsi="Garamond" w:cs="Times New Roman"/>
                <w:sz w:val="22"/>
                <w:szCs w:val="24"/>
              </w:rPr>
            </w:pPr>
            <w:r w:rsidRPr="001333B2">
              <w:rPr>
                <w:rFonts w:ascii="Garamond" w:eastAsia="Times New Roman" w:hAnsi="Garamond" w:cs="Times New Roman"/>
                <w:sz w:val="22"/>
                <w:szCs w:val="24"/>
              </w:rPr>
              <w:t>Установленная мощность, МВт</w:t>
            </w:r>
          </w:p>
        </w:tc>
      </w:tr>
      <w:tr w:rsidR="001333B2" w:rsidRPr="001333B2" w14:paraId="627AC566" w14:textId="77777777" w:rsidTr="00664B22">
        <w:trPr>
          <w:trHeight w:val="567"/>
        </w:trPr>
        <w:tc>
          <w:tcPr>
            <w:tcW w:w="706" w:type="dxa"/>
            <w:vAlign w:val="center"/>
          </w:tcPr>
          <w:p w14:paraId="585DD0B2" w14:textId="77777777" w:rsidR="001333B2" w:rsidRPr="001333B2" w:rsidRDefault="001333B2" w:rsidP="001333B2">
            <w:pPr>
              <w:suppressAutoHyphens w:val="0"/>
              <w:jc w:val="center"/>
              <w:rPr>
                <w:rFonts w:ascii="Garamond" w:eastAsia="Times New Roman" w:hAnsi="Garamond" w:cs="Times New Roman"/>
                <w:sz w:val="22"/>
                <w:szCs w:val="24"/>
              </w:rPr>
            </w:pPr>
            <w:r w:rsidRPr="001333B2">
              <w:rPr>
                <w:rFonts w:ascii="Garamond" w:eastAsia="Times New Roman" w:hAnsi="Garamond" w:cs="Times New Roman"/>
                <w:sz w:val="22"/>
                <w:szCs w:val="24"/>
              </w:rPr>
              <w:t>1</w:t>
            </w:r>
          </w:p>
        </w:tc>
        <w:tc>
          <w:tcPr>
            <w:tcW w:w="6091" w:type="dxa"/>
            <w:gridSpan w:val="2"/>
            <w:vAlign w:val="center"/>
          </w:tcPr>
          <w:p w14:paraId="221C256A" w14:textId="77777777" w:rsidR="001333B2" w:rsidRPr="001333B2" w:rsidRDefault="001333B2" w:rsidP="001333B2">
            <w:pPr>
              <w:suppressAutoHyphens w:val="0"/>
              <w:jc w:val="both"/>
              <w:rPr>
                <w:rFonts w:ascii="Garamond" w:eastAsia="Times New Roman" w:hAnsi="Garamond" w:cs="Times New Roman"/>
                <w:sz w:val="22"/>
                <w:szCs w:val="24"/>
              </w:rPr>
            </w:pPr>
            <w:r w:rsidRPr="001333B2">
              <w:rPr>
                <w:rFonts w:ascii="Garamond" w:eastAsia="Times New Roman" w:hAnsi="Garamond" w:cs="Times New Roman"/>
                <w:sz w:val="22"/>
                <w:szCs w:val="24"/>
              </w:rPr>
              <w:t>…</w:t>
            </w:r>
          </w:p>
        </w:tc>
        <w:tc>
          <w:tcPr>
            <w:tcW w:w="2562" w:type="dxa"/>
            <w:vAlign w:val="center"/>
          </w:tcPr>
          <w:p w14:paraId="2CD42ACD" w14:textId="77777777" w:rsidR="001333B2" w:rsidRPr="001333B2" w:rsidRDefault="001333B2" w:rsidP="001333B2">
            <w:pPr>
              <w:suppressAutoHyphens w:val="0"/>
              <w:jc w:val="center"/>
              <w:rPr>
                <w:rFonts w:ascii="Garamond" w:eastAsia="Times New Roman" w:hAnsi="Garamond" w:cs="Times New Roman"/>
                <w:sz w:val="22"/>
                <w:szCs w:val="24"/>
              </w:rPr>
            </w:pPr>
          </w:p>
        </w:tc>
      </w:tr>
      <w:tr w:rsidR="001333B2" w:rsidRPr="001333B2" w14:paraId="7D006994" w14:textId="77777777" w:rsidTr="00664B22">
        <w:trPr>
          <w:trHeight w:val="567"/>
        </w:trPr>
        <w:tc>
          <w:tcPr>
            <w:tcW w:w="706" w:type="dxa"/>
            <w:vAlign w:val="center"/>
          </w:tcPr>
          <w:p w14:paraId="1AF3CC79" w14:textId="77777777" w:rsidR="001333B2" w:rsidRPr="001333B2" w:rsidRDefault="001333B2" w:rsidP="001333B2">
            <w:pPr>
              <w:suppressAutoHyphens w:val="0"/>
              <w:jc w:val="center"/>
              <w:rPr>
                <w:rFonts w:ascii="Garamond" w:eastAsia="Times New Roman" w:hAnsi="Garamond" w:cs="Times New Roman"/>
                <w:sz w:val="22"/>
                <w:szCs w:val="24"/>
              </w:rPr>
            </w:pPr>
            <w:r w:rsidRPr="001333B2">
              <w:rPr>
                <w:rFonts w:ascii="Garamond" w:eastAsia="Times New Roman" w:hAnsi="Garamond" w:cs="Times New Roman"/>
                <w:sz w:val="22"/>
                <w:szCs w:val="24"/>
                <w:lang w:val="en-US"/>
              </w:rPr>
              <w:t>N</w:t>
            </w:r>
          </w:p>
        </w:tc>
        <w:tc>
          <w:tcPr>
            <w:tcW w:w="6091" w:type="dxa"/>
            <w:gridSpan w:val="2"/>
            <w:vAlign w:val="center"/>
          </w:tcPr>
          <w:p w14:paraId="15F7FF72" w14:textId="77777777" w:rsidR="001333B2" w:rsidRPr="001333B2" w:rsidRDefault="001333B2" w:rsidP="001333B2">
            <w:pPr>
              <w:suppressAutoHyphens w:val="0"/>
              <w:jc w:val="both"/>
              <w:rPr>
                <w:rFonts w:ascii="Garamond" w:eastAsia="Times New Roman" w:hAnsi="Garamond" w:cs="Times New Roman"/>
                <w:sz w:val="22"/>
                <w:szCs w:val="24"/>
              </w:rPr>
            </w:pPr>
            <w:r w:rsidRPr="001333B2">
              <w:rPr>
                <w:rFonts w:ascii="Garamond" w:eastAsia="Times New Roman" w:hAnsi="Garamond" w:cs="Times New Roman"/>
                <w:sz w:val="22"/>
                <w:szCs w:val="24"/>
              </w:rPr>
              <w:t>…</w:t>
            </w:r>
          </w:p>
        </w:tc>
        <w:tc>
          <w:tcPr>
            <w:tcW w:w="2562" w:type="dxa"/>
            <w:vAlign w:val="center"/>
          </w:tcPr>
          <w:p w14:paraId="660F88CF" w14:textId="77777777" w:rsidR="001333B2" w:rsidRPr="001333B2" w:rsidRDefault="001333B2" w:rsidP="001333B2">
            <w:pPr>
              <w:suppressAutoHyphens w:val="0"/>
              <w:jc w:val="center"/>
              <w:rPr>
                <w:rFonts w:ascii="Garamond" w:eastAsia="Times New Roman" w:hAnsi="Garamond" w:cs="Times New Roman"/>
                <w:sz w:val="22"/>
                <w:szCs w:val="24"/>
              </w:rPr>
            </w:pPr>
          </w:p>
        </w:tc>
      </w:tr>
      <w:tr w:rsidR="001333B2" w:rsidRPr="001333B2" w14:paraId="76C16565" w14:textId="77777777" w:rsidTr="0064152E">
        <w:trPr>
          <w:trHeight w:val="415"/>
        </w:trPr>
        <w:tc>
          <w:tcPr>
            <w:tcW w:w="9359" w:type="dxa"/>
            <w:gridSpan w:val="4"/>
            <w:shd w:val="clear" w:color="auto" w:fill="D9D9D9"/>
            <w:vAlign w:val="center"/>
          </w:tcPr>
          <w:p w14:paraId="13DF40B0" w14:textId="66C1D393" w:rsidR="001333B2" w:rsidRPr="001333B2" w:rsidRDefault="001333B2" w:rsidP="00B47A5A">
            <w:pPr>
              <w:suppressAutoHyphens w:val="0"/>
              <w:jc w:val="both"/>
              <w:rPr>
                <w:rFonts w:ascii="Garamond" w:eastAsia="Times New Roman" w:hAnsi="Garamond" w:cs="Times New Roman"/>
                <w:b/>
                <w:sz w:val="22"/>
                <w:szCs w:val="24"/>
              </w:rPr>
            </w:pPr>
            <w:r w:rsidRPr="001333B2">
              <w:rPr>
                <w:rFonts w:ascii="Garamond" w:eastAsia="Times New Roman" w:hAnsi="Garamond" w:cs="Times New Roman"/>
                <w:b/>
                <w:sz w:val="22"/>
                <w:szCs w:val="24"/>
              </w:rPr>
              <w:t>6. Наличие в составе объекта регулирования систем накопления электрической энергии</w:t>
            </w:r>
            <w:r w:rsidRPr="001333B2">
              <w:rPr>
                <w:rFonts w:ascii="Garamond" w:eastAsia="Times New Roman" w:hAnsi="Garamond" w:cs="Times New Roman"/>
                <w:b/>
                <w:sz w:val="22"/>
                <w:szCs w:val="22"/>
                <w:vertAlign w:val="superscript"/>
              </w:rPr>
              <w:t xml:space="preserve"> </w:t>
            </w:r>
            <w:r w:rsidR="00B47A5A">
              <w:rPr>
                <w:rFonts w:ascii="Garamond" w:eastAsia="Times New Roman" w:hAnsi="Garamond" w:cs="Times New Roman"/>
                <w:b/>
                <w:sz w:val="22"/>
                <w:szCs w:val="22"/>
                <w:vertAlign w:val="superscript"/>
              </w:rPr>
              <w:t>2</w:t>
            </w:r>
          </w:p>
        </w:tc>
      </w:tr>
      <w:tr w:rsidR="001333B2" w:rsidRPr="001333B2" w14:paraId="3864A9DA" w14:textId="77777777" w:rsidTr="00664B22">
        <w:trPr>
          <w:trHeight w:val="567"/>
        </w:trPr>
        <w:tc>
          <w:tcPr>
            <w:tcW w:w="706" w:type="dxa"/>
            <w:shd w:val="clear" w:color="auto" w:fill="D9D9D9"/>
            <w:vAlign w:val="center"/>
          </w:tcPr>
          <w:p w14:paraId="745BBC23" w14:textId="77777777" w:rsidR="001333B2" w:rsidRPr="001333B2" w:rsidRDefault="001333B2" w:rsidP="001333B2">
            <w:pPr>
              <w:suppressAutoHyphens w:val="0"/>
              <w:jc w:val="center"/>
              <w:rPr>
                <w:rFonts w:ascii="Garamond" w:eastAsia="Times New Roman" w:hAnsi="Garamond" w:cs="Times New Roman"/>
                <w:sz w:val="22"/>
                <w:szCs w:val="24"/>
              </w:rPr>
            </w:pPr>
            <w:r w:rsidRPr="001333B2">
              <w:rPr>
                <w:rFonts w:ascii="Garamond" w:eastAsia="Times New Roman" w:hAnsi="Garamond" w:cs="Times New Roman"/>
                <w:sz w:val="22"/>
                <w:szCs w:val="24"/>
              </w:rPr>
              <w:t>№</w:t>
            </w:r>
          </w:p>
        </w:tc>
        <w:tc>
          <w:tcPr>
            <w:tcW w:w="3683" w:type="dxa"/>
            <w:shd w:val="clear" w:color="auto" w:fill="D9D9D9"/>
            <w:vAlign w:val="center"/>
          </w:tcPr>
          <w:p w14:paraId="7E4D9302" w14:textId="77777777" w:rsidR="001333B2" w:rsidRPr="001333B2" w:rsidRDefault="001333B2" w:rsidP="001333B2">
            <w:pPr>
              <w:suppressAutoHyphens w:val="0"/>
              <w:jc w:val="center"/>
              <w:rPr>
                <w:rFonts w:ascii="Garamond" w:eastAsia="Times New Roman" w:hAnsi="Garamond" w:cs="Times New Roman"/>
                <w:sz w:val="22"/>
                <w:szCs w:val="24"/>
              </w:rPr>
            </w:pPr>
            <w:r w:rsidRPr="001333B2">
              <w:rPr>
                <w:rFonts w:ascii="Garamond" w:eastAsia="Times New Roman" w:hAnsi="Garamond" w:cs="Times New Roman"/>
                <w:sz w:val="22"/>
                <w:szCs w:val="24"/>
              </w:rPr>
              <w:t xml:space="preserve">Наименование </w:t>
            </w:r>
            <w:r w:rsidRPr="001333B2">
              <w:rPr>
                <w:rFonts w:ascii="Garamond" w:eastAsia="Times New Roman" w:hAnsi="Garamond" w:cs="Times New Roman"/>
                <w:sz w:val="22"/>
                <w:szCs w:val="22"/>
              </w:rPr>
              <w:t>системы накопления электрической энергии</w:t>
            </w:r>
          </w:p>
        </w:tc>
        <w:tc>
          <w:tcPr>
            <w:tcW w:w="2408" w:type="dxa"/>
            <w:shd w:val="clear" w:color="auto" w:fill="D9D9D9"/>
            <w:vAlign w:val="center"/>
          </w:tcPr>
          <w:p w14:paraId="010D9D28" w14:textId="77777777" w:rsidR="001333B2" w:rsidRPr="001333B2" w:rsidRDefault="001333B2" w:rsidP="001333B2">
            <w:pPr>
              <w:suppressAutoHyphens w:val="0"/>
              <w:jc w:val="center"/>
              <w:rPr>
                <w:rFonts w:ascii="Garamond" w:eastAsia="Times New Roman" w:hAnsi="Garamond" w:cs="Times New Roman"/>
                <w:sz w:val="22"/>
                <w:szCs w:val="24"/>
              </w:rPr>
            </w:pPr>
            <w:r w:rsidRPr="001333B2">
              <w:rPr>
                <w:rFonts w:ascii="Garamond" w:eastAsia="Times New Roman" w:hAnsi="Garamond" w:cs="Times New Roman"/>
                <w:sz w:val="22"/>
                <w:szCs w:val="24"/>
              </w:rPr>
              <w:t>Установленная мощность, МВт</w:t>
            </w:r>
          </w:p>
        </w:tc>
        <w:tc>
          <w:tcPr>
            <w:tcW w:w="2562" w:type="dxa"/>
            <w:shd w:val="clear" w:color="auto" w:fill="D9D9D9"/>
            <w:vAlign w:val="center"/>
          </w:tcPr>
          <w:p w14:paraId="0252AA87" w14:textId="48EC734E" w:rsidR="001333B2" w:rsidRPr="001333B2" w:rsidRDefault="001333B2" w:rsidP="000F6978">
            <w:pPr>
              <w:suppressAutoHyphens w:val="0"/>
              <w:jc w:val="center"/>
              <w:rPr>
                <w:rFonts w:ascii="Garamond" w:eastAsia="Times New Roman" w:hAnsi="Garamond" w:cs="Times New Roman"/>
                <w:sz w:val="22"/>
                <w:szCs w:val="24"/>
              </w:rPr>
            </w:pPr>
            <w:r w:rsidRPr="001333B2">
              <w:rPr>
                <w:rFonts w:ascii="Garamond" w:eastAsia="Times New Roman" w:hAnsi="Garamond" w:cs="Times New Roman"/>
                <w:sz w:val="22"/>
                <w:szCs w:val="24"/>
              </w:rPr>
              <w:t>Энергоемкость, МВт</w:t>
            </w:r>
            <w:r w:rsidR="000F6978">
              <w:rPr>
                <w:rFonts w:ascii="Garamond" w:eastAsia="Times New Roman" w:hAnsi="Garamond" w:cs="Times New Roman"/>
                <w:sz w:val="22"/>
                <w:szCs w:val="24"/>
              </w:rPr>
              <w:t>∙</w:t>
            </w:r>
            <w:r w:rsidRPr="001333B2">
              <w:rPr>
                <w:rFonts w:ascii="Garamond" w:eastAsia="Times New Roman" w:hAnsi="Garamond" w:cs="Times New Roman"/>
                <w:sz w:val="22"/>
                <w:szCs w:val="24"/>
              </w:rPr>
              <w:t>ч</w:t>
            </w:r>
          </w:p>
        </w:tc>
      </w:tr>
      <w:tr w:rsidR="001333B2" w:rsidRPr="001333B2" w14:paraId="5EA0E674" w14:textId="77777777" w:rsidTr="00664B22">
        <w:trPr>
          <w:trHeight w:val="567"/>
        </w:trPr>
        <w:tc>
          <w:tcPr>
            <w:tcW w:w="706" w:type="dxa"/>
            <w:vAlign w:val="center"/>
          </w:tcPr>
          <w:p w14:paraId="08D4E700" w14:textId="77777777" w:rsidR="001333B2" w:rsidRPr="001333B2" w:rsidRDefault="001333B2" w:rsidP="001333B2">
            <w:pPr>
              <w:suppressAutoHyphens w:val="0"/>
              <w:jc w:val="center"/>
              <w:rPr>
                <w:rFonts w:ascii="Garamond" w:eastAsia="Times New Roman" w:hAnsi="Garamond" w:cs="Times New Roman"/>
                <w:sz w:val="22"/>
                <w:szCs w:val="24"/>
              </w:rPr>
            </w:pPr>
            <w:r w:rsidRPr="001333B2">
              <w:rPr>
                <w:rFonts w:ascii="Garamond" w:eastAsia="Times New Roman" w:hAnsi="Garamond" w:cs="Times New Roman"/>
                <w:sz w:val="22"/>
                <w:szCs w:val="24"/>
              </w:rPr>
              <w:t>1</w:t>
            </w:r>
          </w:p>
        </w:tc>
        <w:tc>
          <w:tcPr>
            <w:tcW w:w="3683" w:type="dxa"/>
            <w:vAlign w:val="center"/>
          </w:tcPr>
          <w:p w14:paraId="6AAEAB36" w14:textId="77777777" w:rsidR="001333B2" w:rsidRPr="001333B2" w:rsidRDefault="001333B2" w:rsidP="001333B2">
            <w:pPr>
              <w:suppressAutoHyphens w:val="0"/>
              <w:jc w:val="both"/>
              <w:rPr>
                <w:rFonts w:ascii="Garamond" w:eastAsia="Times New Roman" w:hAnsi="Garamond" w:cs="Times New Roman"/>
                <w:sz w:val="22"/>
                <w:szCs w:val="24"/>
              </w:rPr>
            </w:pPr>
            <w:r w:rsidRPr="001333B2">
              <w:rPr>
                <w:rFonts w:ascii="Garamond" w:eastAsia="Times New Roman" w:hAnsi="Garamond" w:cs="Times New Roman"/>
                <w:sz w:val="22"/>
                <w:szCs w:val="24"/>
              </w:rPr>
              <w:t>…</w:t>
            </w:r>
          </w:p>
        </w:tc>
        <w:tc>
          <w:tcPr>
            <w:tcW w:w="2408" w:type="dxa"/>
            <w:vAlign w:val="center"/>
          </w:tcPr>
          <w:p w14:paraId="49EB2A02" w14:textId="77777777" w:rsidR="001333B2" w:rsidRPr="001333B2" w:rsidRDefault="001333B2" w:rsidP="001333B2">
            <w:pPr>
              <w:suppressAutoHyphens w:val="0"/>
              <w:jc w:val="both"/>
              <w:rPr>
                <w:rFonts w:ascii="Garamond" w:eastAsia="Times New Roman" w:hAnsi="Garamond" w:cs="Times New Roman"/>
                <w:sz w:val="22"/>
                <w:szCs w:val="24"/>
              </w:rPr>
            </w:pPr>
          </w:p>
        </w:tc>
        <w:tc>
          <w:tcPr>
            <w:tcW w:w="2562" w:type="dxa"/>
            <w:vAlign w:val="center"/>
          </w:tcPr>
          <w:p w14:paraId="5DB75E13" w14:textId="77777777" w:rsidR="001333B2" w:rsidRPr="001333B2" w:rsidRDefault="001333B2" w:rsidP="001333B2">
            <w:pPr>
              <w:suppressAutoHyphens w:val="0"/>
              <w:jc w:val="center"/>
              <w:rPr>
                <w:rFonts w:ascii="Garamond" w:eastAsia="Times New Roman" w:hAnsi="Garamond" w:cs="Times New Roman"/>
                <w:sz w:val="22"/>
                <w:szCs w:val="24"/>
              </w:rPr>
            </w:pPr>
          </w:p>
        </w:tc>
      </w:tr>
      <w:tr w:rsidR="001333B2" w:rsidRPr="001333B2" w14:paraId="67ADF8C8" w14:textId="77777777" w:rsidTr="00664B22">
        <w:trPr>
          <w:trHeight w:val="567"/>
        </w:trPr>
        <w:tc>
          <w:tcPr>
            <w:tcW w:w="706" w:type="dxa"/>
            <w:vAlign w:val="center"/>
          </w:tcPr>
          <w:p w14:paraId="5DB5CB07" w14:textId="77777777" w:rsidR="001333B2" w:rsidRPr="001333B2" w:rsidRDefault="001333B2" w:rsidP="001333B2">
            <w:pPr>
              <w:suppressAutoHyphens w:val="0"/>
              <w:jc w:val="center"/>
              <w:rPr>
                <w:rFonts w:ascii="Garamond" w:eastAsia="Times New Roman" w:hAnsi="Garamond" w:cs="Times New Roman"/>
                <w:sz w:val="22"/>
                <w:szCs w:val="24"/>
              </w:rPr>
            </w:pPr>
            <w:r w:rsidRPr="001333B2">
              <w:rPr>
                <w:rFonts w:ascii="Garamond" w:eastAsia="Times New Roman" w:hAnsi="Garamond" w:cs="Times New Roman"/>
                <w:sz w:val="22"/>
                <w:szCs w:val="24"/>
                <w:lang w:val="en-US"/>
              </w:rPr>
              <w:t>N</w:t>
            </w:r>
          </w:p>
        </w:tc>
        <w:tc>
          <w:tcPr>
            <w:tcW w:w="3683" w:type="dxa"/>
            <w:vAlign w:val="center"/>
          </w:tcPr>
          <w:p w14:paraId="223AB20C" w14:textId="77777777" w:rsidR="001333B2" w:rsidRPr="001333B2" w:rsidRDefault="001333B2" w:rsidP="001333B2">
            <w:pPr>
              <w:suppressAutoHyphens w:val="0"/>
              <w:jc w:val="both"/>
              <w:rPr>
                <w:rFonts w:ascii="Garamond" w:eastAsia="Times New Roman" w:hAnsi="Garamond" w:cs="Times New Roman"/>
                <w:sz w:val="22"/>
                <w:szCs w:val="24"/>
              </w:rPr>
            </w:pPr>
            <w:r w:rsidRPr="001333B2">
              <w:rPr>
                <w:rFonts w:ascii="Garamond" w:eastAsia="Times New Roman" w:hAnsi="Garamond" w:cs="Times New Roman"/>
                <w:sz w:val="22"/>
                <w:szCs w:val="24"/>
              </w:rPr>
              <w:t>…</w:t>
            </w:r>
          </w:p>
        </w:tc>
        <w:tc>
          <w:tcPr>
            <w:tcW w:w="2408" w:type="dxa"/>
            <w:vAlign w:val="center"/>
          </w:tcPr>
          <w:p w14:paraId="40CD3C6B" w14:textId="77777777" w:rsidR="001333B2" w:rsidRPr="001333B2" w:rsidRDefault="001333B2" w:rsidP="001333B2">
            <w:pPr>
              <w:suppressAutoHyphens w:val="0"/>
              <w:jc w:val="both"/>
              <w:rPr>
                <w:rFonts w:ascii="Garamond" w:eastAsia="Times New Roman" w:hAnsi="Garamond" w:cs="Times New Roman"/>
                <w:sz w:val="22"/>
                <w:szCs w:val="24"/>
              </w:rPr>
            </w:pPr>
          </w:p>
        </w:tc>
        <w:tc>
          <w:tcPr>
            <w:tcW w:w="2562" w:type="dxa"/>
            <w:vAlign w:val="center"/>
          </w:tcPr>
          <w:p w14:paraId="1C93A858" w14:textId="77777777" w:rsidR="001333B2" w:rsidRPr="001333B2" w:rsidRDefault="001333B2" w:rsidP="001333B2">
            <w:pPr>
              <w:suppressAutoHyphens w:val="0"/>
              <w:jc w:val="center"/>
              <w:rPr>
                <w:rFonts w:ascii="Garamond" w:eastAsia="Times New Roman" w:hAnsi="Garamond" w:cs="Times New Roman"/>
                <w:sz w:val="22"/>
                <w:szCs w:val="24"/>
              </w:rPr>
            </w:pPr>
          </w:p>
        </w:tc>
      </w:tr>
      <w:tr w:rsidR="001333B2" w:rsidRPr="001333B2" w14:paraId="353933EC" w14:textId="77777777" w:rsidTr="0064152E">
        <w:trPr>
          <w:trHeight w:val="356"/>
        </w:trPr>
        <w:tc>
          <w:tcPr>
            <w:tcW w:w="9359" w:type="dxa"/>
            <w:gridSpan w:val="4"/>
            <w:shd w:val="clear" w:color="auto" w:fill="D9D9D9"/>
            <w:vAlign w:val="center"/>
          </w:tcPr>
          <w:p w14:paraId="182DEF12" w14:textId="77777777" w:rsidR="001333B2" w:rsidRPr="001333B2" w:rsidRDefault="001333B2" w:rsidP="001333B2">
            <w:pPr>
              <w:suppressAutoHyphens w:val="0"/>
              <w:rPr>
                <w:rFonts w:ascii="Garamond" w:eastAsia="Times New Roman" w:hAnsi="Garamond" w:cs="Times New Roman"/>
                <w:b/>
                <w:sz w:val="22"/>
                <w:szCs w:val="22"/>
              </w:rPr>
            </w:pPr>
            <w:r w:rsidRPr="001333B2">
              <w:rPr>
                <w:rFonts w:ascii="Garamond" w:eastAsia="Times New Roman" w:hAnsi="Garamond" w:cs="Times New Roman"/>
                <w:b/>
                <w:sz w:val="22"/>
                <w:szCs w:val="24"/>
              </w:rPr>
              <w:t>7. Контактные данные уполномоченного представителя заявителя, ответственного за предоставление доступа КО к системе учета в удаленном режиме с использованием соответствующего специализированного программного обеспечения</w:t>
            </w:r>
          </w:p>
        </w:tc>
      </w:tr>
      <w:tr w:rsidR="001333B2" w:rsidRPr="001333B2" w14:paraId="210951F6" w14:textId="77777777" w:rsidTr="00664B22">
        <w:trPr>
          <w:trHeight w:val="567"/>
        </w:trPr>
        <w:tc>
          <w:tcPr>
            <w:tcW w:w="706" w:type="dxa"/>
            <w:shd w:val="clear" w:color="auto" w:fill="D9D9D9"/>
            <w:vAlign w:val="center"/>
          </w:tcPr>
          <w:p w14:paraId="6E89A8EB" w14:textId="77777777" w:rsidR="001333B2" w:rsidRPr="001333B2" w:rsidRDefault="001333B2" w:rsidP="001333B2">
            <w:pPr>
              <w:suppressAutoHyphens w:val="0"/>
              <w:jc w:val="center"/>
              <w:rPr>
                <w:rFonts w:ascii="Garamond" w:eastAsia="Times New Roman" w:hAnsi="Garamond" w:cs="Times New Roman"/>
                <w:sz w:val="22"/>
                <w:szCs w:val="24"/>
              </w:rPr>
            </w:pPr>
            <w:r w:rsidRPr="001333B2">
              <w:rPr>
                <w:rFonts w:ascii="Garamond" w:eastAsia="Times New Roman" w:hAnsi="Garamond" w:cs="Times New Roman"/>
                <w:sz w:val="22"/>
                <w:szCs w:val="24"/>
              </w:rPr>
              <w:t>№</w:t>
            </w:r>
          </w:p>
        </w:tc>
        <w:tc>
          <w:tcPr>
            <w:tcW w:w="3683" w:type="dxa"/>
            <w:shd w:val="clear" w:color="auto" w:fill="D9D9D9"/>
            <w:vAlign w:val="center"/>
          </w:tcPr>
          <w:p w14:paraId="32222473" w14:textId="77777777" w:rsidR="001333B2" w:rsidRPr="001333B2" w:rsidRDefault="001333B2" w:rsidP="001333B2">
            <w:pPr>
              <w:suppressAutoHyphens w:val="0"/>
              <w:jc w:val="center"/>
              <w:rPr>
                <w:rFonts w:ascii="Garamond" w:eastAsia="Times New Roman" w:hAnsi="Garamond" w:cs="Times New Roman"/>
                <w:sz w:val="22"/>
                <w:szCs w:val="24"/>
              </w:rPr>
            </w:pPr>
            <w:r w:rsidRPr="001333B2">
              <w:rPr>
                <w:rFonts w:ascii="Garamond" w:eastAsia="Times New Roman" w:hAnsi="Garamond" w:cs="Times New Roman"/>
                <w:sz w:val="22"/>
                <w:szCs w:val="24"/>
              </w:rPr>
              <w:t>Фамилия Имя Отчество</w:t>
            </w:r>
          </w:p>
        </w:tc>
        <w:tc>
          <w:tcPr>
            <w:tcW w:w="2408" w:type="dxa"/>
            <w:shd w:val="clear" w:color="auto" w:fill="D9D9D9"/>
            <w:vAlign w:val="center"/>
          </w:tcPr>
          <w:p w14:paraId="62DD2AF7" w14:textId="77777777" w:rsidR="001333B2" w:rsidRPr="001333B2" w:rsidRDefault="001333B2" w:rsidP="001333B2">
            <w:pPr>
              <w:suppressAutoHyphens w:val="0"/>
              <w:jc w:val="center"/>
              <w:rPr>
                <w:rFonts w:ascii="Garamond" w:eastAsia="Times New Roman" w:hAnsi="Garamond" w:cs="Times New Roman"/>
                <w:sz w:val="22"/>
                <w:szCs w:val="24"/>
              </w:rPr>
            </w:pPr>
            <w:r w:rsidRPr="001333B2">
              <w:rPr>
                <w:rFonts w:ascii="Garamond" w:eastAsia="Times New Roman" w:hAnsi="Garamond" w:cs="Times New Roman"/>
                <w:sz w:val="22"/>
                <w:szCs w:val="24"/>
              </w:rPr>
              <w:t>Адрес электронной почты</w:t>
            </w:r>
          </w:p>
        </w:tc>
        <w:tc>
          <w:tcPr>
            <w:tcW w:w="2562" w:type="dxa"/>
            <w:shd w:val="clear" w:color="auto" w:fill="D9D9D9"/>
            <w:vAlign w:val="center"/>
          </w:tcPr>
          <w:p w14:paraId="59C621BE" w14:textId="77777777" w:rsidR="001333B2" w:rsidRPr="001333B2" w:rsidRDefault="001333B2" w:rsidP="001333B2">
            <w:pPr>
              <w:suppressAutoHyphens w:val="0"/>
              <w:jc w:val="center"/>
              <w:rPr>
                <w:rFonts w:ascii="Garamond" w:eastAsia="Times New Roman" w:hAnsi="Garamond" w:cs="Times New Roman"/>
                <w:sz w:val="22"/>
                <w:szCs w:val="24"/>
              </w:rPr>
            </w:pPr>
            <w:r w:rsidRPr="001333B2">
              <w:rPr>
                <w:rFonts w:ascii="Garamond" w:eastAsia="Times New Roman" w:hAnsi="Garamond" w:cs="Times New Roman"/>
                <w:sz w:val="22"/>
                <w:szCs w:val="24"/>
              </w:rPr>
              <w:t>Контактный телефон</w:t>
            </w:r>
          </w:p>
        </w:tc>
      </w:tr>
      <w:tr w:rsidR="001333B2" w:rsidRPr="001333B2" w14:paraId="084CEBE1" w14:textId="77777777" w:rsidTr="00664B22">
        <w:trPr>
          <w:trHeight w:val="567"/>
        </w:trPr>
        <w:tc>
          <w:tcPr>
            <w:tcW w:w="706" w:type="dxa"/>
            <w:vAlign w:val="center"/>
          </w:tcPr>
          <w:p w14:paraId="7D9A1F55" w14:textId="77777777" w:rsidR="001333B2" w:rsidRPr="001333B2" w:rsidRDefault="001333B2" w:rsidP="001333B2">
            <w:pPr>
              <w:suppressAutoHyphens w:val="0"/>
              <w:jc w:val="center"/>
              <w:rPr>
                <w:rFonts w:ascii="Garamond" w:eastAsia="Times New Roman" w:hAnsi="Garamond" w:cs="Times New Roman"/>
                <w:sz w:val="22"/>
                <w:szCs w:val="24"/>
              </w:rPr>
            </w:pPr>
            <w:r w:rsidRPr="001333B2">
              <w:rPr>
                <w:rFonts w:ascii="Garamond" w:eastAsia="Times New Roman" w:hAnsi="Garamond" w:cs="Times New Roman"/>
                <w:sz w:val="22"/>
                <w:szCs w:val="24"/>
              </w:rPr>
              <w:lastRenderedPageBreak/>
              <w:t>1</w:t>
            </w:r>
          </w:p>
        </w:tc>
        <w:tc>
          <w:tcPr>
            <w:tcW w:w="3683" w:type="dxa"/>
            <w:vAlign w:val="center"/>
          </w:tcPr>
          <w:p w14:paraId="1CB0FF56" w14:textId="77777777" w:rsidR="001333B2" w:rsidRPr="001333B2" w:rsidRDefault="001333B2" w:rsidP="001333B2">
            <w:pPr>
              <w:suppressAutoHyphens w:val="0"/>
              <w:jc w:val="both"/>
              <w:rPr>
                <w:rFonts w:ascii="Garamond" w:eastAsia="Times New Roman" w:hAnsi="Garamond" w:cs="Times New Roman"/>
                <w:sz w:val="22"/>
                <w:szCs w:val="24"/>
              </w:rPr>
            </w:pPr>
            <w:r w:rsidRPr="001333B2">
              <w:rPr>
                <w:rFonts w:ascii="Garamond" w:eastAsia="Times New Roman" w:hAnsi="Garamond" w:cs="Times New Roman"/>
                <w:sz w:val="22"/>
                <w:szCs w:val="24"/>
              </w:rPr>
              <w:t>…</w:t>
            </w:r>
          </w:p>
        </w:tc>
        <w:tc>
          <w:tcPr>
            <w:tcW w:w="2408" w:type="dxa"/>
            <w:vAlign w:val="center"/>
          </w:tcPr>
          <w:p w14:paraId="4D4038AB" w14:textId="77777777" w:rsidR="001333B2" w:rsidRPr="001333B2" w:rsidRDefault="001333B2" w:rsidP="001333B2">
            <w:pPr>
              <w:suppressAutoHyphens w:val="0"/>
              <w:jc w:val="both"/>
              <w:rPr>
                <w:rFonts w:ascii="Garamond" w:eastAsia="Times New Roman" w:hAnsi="Garamond" w:cs="Times New Roman"/>
                <w:sz w:val="22"/>
                <w:szCs w:val="24"/>
              </w:rPr>
            </w:pPr>
          </w:p>
        </w:tc>
        <w:tc>
          <w:tcPr>
            <w:tcW w:w="2562" w:type="dxa"/>
            <w:vAlign w:val="center"/>
          </w:tcPr>
          <w:p w14:paraId="33CADB54" w14:textId="77777777" w:rsidR="001333B2" w:rsidRPr="001333B2" w:rsidRDefault="001333B2" w:rsidP="001333B2">
            <w:pPr>
              <w:suppressAutoHyphens w:val="0"/>
              <w:jc w:val="center"/>
              <w:rPr>
                <w:rFonts w:ascii="Garamond" w:eastAsia="Times New Roman" w:hAnsi="Garamond" w:cs="Times New Roman"/>
                <w:sz w:val="22"/>
                <w:szCs w:val="24"/>
              </w:rPr>
            </w:pPr>
          </w:p>
        </w:tc>
      </w:tr>
      <w:tr w:rsidR="001333B2" w:rsidRPr="001333B2" w14:paraId="3B293C94" w14:textId="77777777" w:rsidTr="00664B22">
        <w:trPr>
          <w:trHeight w:val="567"/>
        </w:trPr>
        <w:tc>
          <w:tcPr>
            <w:tcW w:w="706" w:type="dxa"/>
            <w:vAlign w:val="center"/>
          </w:tcPr>
          <w:p w14:paraId="0A01B95C" w14:textId="77777777" w:rsidR="001333B2" w:rsidRPr="001333B2" w:rsidRDefault="001333B2" w:rsidP="001333B2">
            <w:pPr>
              <w:suppressAutoHyphens w:val="0"/>
              <w:jc w:val="center"/>
              <w:rPr>
                <w:rFonts w:ascii="Garamond" w:eastAsia="Times New Roman" w:hAnsi="Garamond" w:cs="Times New Roman"/>
                <w:sz w:val="22"/>
                <w:szCs w:val="24"/>
              </w:rPr>
            </w:pPr>
            <w:r w:rsidRPr="001333B2">
              <w:rPr>
                <w:rFonts w:ascii="Garamond" w:eastAsia="Times New Roman" w:hAnsi="Garamond" w:cs="Times New Roman"/>
                <w:sz w:val="22"/>
                <w:szCs w:val="24"/>
                <w:lang w:val="en-US"/>
              </w:rPr>
              <w:t>N</w:t>
            </w:r>
          </w:p>
        </w:tc>
        <w:tc>
          <w:tcPr>
            <w:tcW w:w="3683" w:type="dxa"/>
            <w:vAlign w:val="center"/>
          </w:tcPr>
          <w:p w14:paraId="7F30AEBF" w14:textId="77777777" w:rsidR="001333B2" w:rsidRPr="001333B2" w:rsidRDefault="001333B2" w:rsidP="001333B2">
            <w:pPr>
              <w:suppressAutoHyphens w:val="0"/>
              <w:jc w:val="both"/>
              <w:rPr>
                <w:rFonts w:ascii="Garamond" w:eastAsia="Times New Roman" w:hAnsi="Garamond" w:cs="Times New Roman"/>
                <w:sz w:val="22"/>
                <w:szCs w:val="24"/>
              </w:rPr>
            </w:pPr>
            <w:r w:rsidRPr="001333B2">
              <w:rPr>
                <w:rFonts w:ascii="Garamond" w:eastAsia="Times New Roman" w:hAnsi="Garamond" w:cs="Times New Roman"/>
                <w:sz w:val="22"/>
                <w:szCs w:val="24"/>
              </w:rPr>
              <w:t>…</w:t>
            </w:r>
          </w:p>
        </w:tc>
        <w:tc>
          <w:tcPr>
            <w:tcW w:w="2408" w:type="dxa"/>
            <w:vAlign w:val="center"/>
          </w:tcPr>
          <w:p w14:paraId="09ACDBA9" w14:textId="77777777" w:rsidR="001333B2" w:rsidRPr="001333B2" w:rsidRDefault="001333B2" w:rsidP="001333B2">
            <w:pPr>
              <w:suppressAutoHyphens w:val="0"/>
              <w:jc w:val="both"/>
              <w:rPr>
                <w:rFonts w:ascii="Garamond" w:eastAsia="Times New Roman" w:hAnsi="Garamond" w:cs="Times New Roman"/>
                <w:sz w:val="22"/>
                <w:szCs w:val="24"/>
              </w:rPr>
            </w:pPr>
          </w:p>
        </w:tc>
        <w:tc>
          <w:tcPr>
            <w:tcW w:w="2562" w:type="dxa"/>
            <w:vAlign w:val="center"/>
          </w:tcPr>
          <w:p w14:paraId="4773A90D" w14:textId="77777777" w:rsidR="001333B2" w:rsidRPr="001333B2" w:rsidRDefault="001333B2" w:rsidP="001333B2">
            <w:pPr>
              <w:suppressAutoHyphens w:val="0"/>
              <w:jc w:val="center"/>
              <w:rPr>
                <w:rFonts w:ascii="Garamond" w:eastAsia="Times New Roman" w:hAnsi="Garamond" w:cs="Times New Roman"/>
                <w:sz w:val="22"/>
                <w:szCs w:val="24"/>
              </w:rPr>
            </w:pPr>
          </w:p>
        </w:tc>
      </w:tr>
      <w:tr w:rsidR="001333B2" w:rsidRPr="001333B2" w14:paraId="4FA294DD" w14:textId="77777777" w:rsidTr="0064152E">
        <w:trPr>
          <w:trHeight w:val="356"/>
        </w:trPr>
        <w:tc>
          <w:tcPr>
            <w:tcW w:w="9359" w:type="dxa"/>
            <w:gridSpan w:val="4"/>
            <w:shd w:val="clear" w:color="auto" w:fill="D9D9D9"/>
            <w:vAlign w:val="center"/>
          </w:tcPr>
          <w:p w14:paraId="3805BFF9" w14:textId="77777777" w:rsidR="001333B2" w:rsidRPr="001333B2" w:rsidRDefault="001333B2" w:rsidP="001333B2">
            <w:pPr>
              <w:suppressAutoHyphens w:val="0"/>
              <w:rPr>
                <w:rFonts w:ascii="Garamond" w:eastAsia="Times New Roman" w:hAnsi="Garamond" w:cs="Times New Roman"/>
                <w:b/>
                <w:sz w:val="22"/>
                <w:szCs w:val="22"/>
              </w:rPr>
            </w:pPr>
            <w:r w:rsidRPr="001333B2">
              <w:rPr>
                <w:rFonts w:ascii="Garamond" w:eastAsia="Times New Roman" w:hAnsi="Garamond" w:cs="Times New Roman"/>
                <w:b/>
                <w:sz w:val="22"/>
                <w:szCs w:val="24"/>
              </w:rPr>
              <w:t xml:space="preserve">8. Наименование специализированного программного обеспечения из перечня ПО </w:t>
            </w:r>
            <w:r w:rsidRPr="001333B2">
              <w:rPr>
                <w:rFonts w:ascii="Garamond" w:eastAsia="Times New Roman" w:hAnsi="Garamond" w:cs="Times New Roman"/>
                <w:b/>
                <w:sz w:val="22"/>
                <w:szCs w:val="24"/>
                <w:vertAlign w:val="superscript"/>
              </w:rPr>
              <w:t>3</w:t>
            </w:r>
          </w:p>
        </w:tc>
      </w:tr>
      <w:tr w:rsidR="001333B2" w:rsidRPr="001333B2" w14:paraId="357D0291" w14:textId="77777777" w:rsidTr="0064152E">
        <w:trPr>
          <w:trHeight w:val="567"/>
        </w:trPr>
        <w:tc>
          <w:tcPr>
            <w:tcW w:w="706" w:type="dxa"/>
            <w:shd w:val="clear" w:color="auto" w:fill="D9D9D9"/>
            <w:vAlign w:val="center"/>
          </w:tcPr>
          <w:p w14:paraId="2B35C139" w14:textId="77777777" w:rsidR="001333B2" w:rsidRPr="001333B2" w:rsidRDefault="001333B2" w:rsidP="001333B2">
            <w:pPr>
              <w:suppressAutoHyphens w:val="0"/>
              <w:jc w:val="center"/>
              <w:rPr>
                <w:rFonts w:ascii="Garamond" w:eastAsia="Times New Roman" w:hAnsi="Garamond" w:cs="Times New Roman"/>
                <w:sz w:val="22"/>
                <w:szCs w:val="24"/>
              </w:rPr>
            </w:pPr>
            <w:r w:rsidRPr="001333B2">
              <w:rPr>
                <w:rFonts w:ascii="Garamond" w:eastAsia="Times New Roman" w:hAnsi="Garamond" w:cs="Times New Roman"/>
                <w:sz w:val="22"/>
                <w:szCs w:val="24"/>
              </w:rPr>
              <w:t>№</w:t>
            </w:r>
          </w:p>
        </w:tc>
        <w:tc>
          <w:tcPr>
            <w:tcW w:w="8653" w:type="dxa"/>
            <w:gridSpan w:val="3"/>
            <w:shd w:val="clear" w:color="auto" w:fill="D9D9D9"/>
            <w:vAlign w:val="center"/>
          </w:tcPr>
          <w:p w14:paraId="48426081" w14:textId="77777777" w:rsidR="001333B2" w:rsidRPr="001333B2" w:rsidRDefault="001333B2" w:rsidP="001333B2">
            <w:pPr>
              <w:suppressAutoHyphens w:val="0"/>
              <w:jc w:val="center"/>
              <w:rPr>
                <w:rFonts w:ascii="Garamond" w:eastAsia="Times New Roman" w:hAnsi="Garamond" w:cs="Times New Roman"/>
                <w:sz w:val="22"/>
                <w:szCs w:val="24"/>
              </w:rPr>
            </w:pPr>
            <w:r w:rsidRPr="001333B2">
              <w:rPr>
                <w:rFonts w:ascii="Garamond" w:eastAsia="Times New Roman" w:hAnsi="Garamond" w:cs="Times New Roman"/>
                <w:sz w:val="22"/>
                <w:szCs w:val="24"/>
              </w:rPr>
              <w:t>Наименование ПО</w:t>
            </w:r>
          </w:p>
        </w:tc>
      </w:tr>
      <w:tr w:rsidR="001333B2" w:rsidRPr="001333B2" w14:paraId="0D2C6445" w14:textId="77777777" w:rsidTr="0064152E">
        <w:trPr>
          <w:trHeight w:val="567"/>
        </w:trPr>
        <w:tc>
          <w:tcPr>
            <w:tcW w:w="706" w:type="dxa"/>
            <w:vAlign w:val="center"/>
          </w:tcPr>
          <w:p w14:paraId="17D83604" w14:textId="77777777" w:rsidR="001333B2" w:rsidRPr="001333B2" w:rsidRDefault="001333B2" w:rsidP="001333B2">
            <w:pPr>
              <w:suppressAutoHyphens w:val="0"/>
              <w:jc w:val="center"/>
              <w:rPr>
                <w:rFonts w:ascii="Garamond" w:eastAsia="Times New Roman" w:hAnsi="Garamond" w:cs="Times New Roman"/>
                <w:sz w:val="22"/>
                <w:szCs w:val="24"/>
              </w:rPr>
            </w:pPr>
            <w:r w:rsidRPr="001333B2">
              <w:rPr>
                <w:rFonts w:ascii="Garamond" w:eastAsia="Times New Roman" w:hAnsi="Garamond" w:cs="Times New Roman"/>
                <w:sz w:val="22"/>
                <w:szCs w:val="24"/>
              </w:rPr>
              <w:t>1</w:t>
            </w:r>
          </w:p>
        </w:tc>
        <w:tc>
          <w:tcPr>
            <w:tcW w:w="8653" w:type="dxa"/>
            <w:gridSpan w:val="3"/>
            <w:vAlign w:val="center"/>
          </w:tcPr>
          <w:p w14:paraId="5C9CF9EA" w14:textId="77777777" w:rsidR="001333B2" w:rsidRPr="001333B2" w:rsidRDefault="001333B2" w:rsidP="001333B2">
            <w:pPr>
              <w:suppressAutoHyphens w:val="0"/>
              <w:jc w:val="both"/>
              <w:rPr>
                <w:rFonts w:ascii="Garamond" w:eastAsia="Times New Roman" w:hAnsi="Garamond" w:cs="Times New Roman"/>
                <w:sz w:val="22"/>
                <w:szCs w:val="24"/>
              </w:rPr>
            </w:pPr>
            <w:r w:rsidRPr="001333B2">
              <w:rPr>
                <w:rFonts w:ascii="Garamond" w:eastAsia="Times New Roman" w:hAnsi="Garamond" w:cs="Times New Roman"/>
                <w:sz w:val="22"/>
                <w:szCs w:val="24"/>
              </w:rPr>
              <w:t>…</w:t>
            </w:r>
          </w:p>
        </w:tc>
      </w:tr>
      <w:tr w:rsidR="001333B2" w:rsidRPr="001333B2" w14:paraId="315E1ECE" w14:textId="77777777" w:rsidTr="0064152E">
        <w:trPr>
          <w:trHeight w:val="567"/>
        </w:trPr>
        <w:tc>
          <w:tcPr>
            <w:tcW w:w="706" w:type="dxa"/>
            <w:vAlign w:val="center"/>
          </w:tcPr>
          <w:p w14:paraId="7B0F71DF" w14:textId="77777777" w:rsidR="001333B2" w:rsidRPr="001333B2" w:rsidRDefault="001333B2" w:rsidP="001333B2">
            <w:pPr>
              <w:suppressAutoHyphens w:val="0"/>
              <w:jc w:val="center"/>
              <w:rPr>
                <w:rFonts w:ascii="Garamond" w:eastAsia="Times New Roman" w:hAnsi="Garamond" w:cs="Times New Roman"/>
                <w:sz w:val="22"/>
                <w:szCs w:val="24"/>
              </w:rPr>
            </w:pPr>
            <w:r w:rsidRPr="001333B2">
              <w:rPr>
                <w:rFonts w:ascii="Garamond" w:eastAsia="Times New Roman" w:hAnsi="Garamond" w:cs="Times New Roman"/>
                <w:sz w:val="22"/>
                <w:szCs w:val="24"/>
                <w:lang w:val="en-US"/>
              </w:rPr>
              <w:t>N</w:t>
            </w:r>
          </w:p>
        </w:tc>
        <w:tc>
          <w:tcPr>
            <w:tcW w:w="8653" w:type="dxa"/>
            <w:gridSpan w:val="3"/>
            <w:vAlign w:val="center"/>
          </w:tcPr>
          <w:p w14:paraId="1A906ACE" w14:textId="77777777" w:rsidR="001333B2" w:rsidRPr="001333B2" w:rsidRDefault="001333B2" w:rsidP="001333B2">
            <w:pPr>
              <w:suppressAutoHyphens w:val="0"/>
              <w:jc w:val="both"/>
              <w:rPr>
                <w:rFonts w:ascii="Garamond" w:eastAsia="Times New Roman" w:hAnsi="Garamond" w:cs="Times New Roman"/>
                <w:sz w:val="22"/>
                <w:szCs w:val="24"/>
              </w:rPr>
            </w:pPr>
            <w:r w:rsidRPr="001333B2">
              <w:rPr>
                <w:rFonts w:ascii="Garamond" w:eastAsia="Times New Roman" w:hAnsi="Garamond" w:cs="Times New Roman"/>
                <w:sz w:val="22"/>
                <w:szCs w:val="24"/>
              </w:rPr>
              <w:t>…</w:t>
            </w:r>
          </w:p>
        </w:tc>
      </w:tr>
      <w:tr w:rsidR="001333B2" w:rsidRPr="001333B2" w14:paraId="13E37862" w14:textId="77777777" w:rsidTr="0064152E">
        <w:trPr>
          <w:trHeight w:val="356"/>
        </w:trPr>
        <w:tc>
          <w:tcPr>
            <w:tcW w:w="9359" w:type="dxa"/>
            <w:gridSpan w:val="4"/>
            <w:shd w:val="clear" w:color="auto" w:fill="D9D9D9"/>
            <w:vAlign w:val="center"/>
          </w:tcPr>
          <w:p w14:paraId="02D080A2" w14:textId="71983A02" w:rsidR="001333B2" w:rsidRPr="001333B2" w:rsidRDefault="001333B2" w:rsidP="000F6978">
            <w:pPr>
              <w:suppressAutoHyphens w:val="0"/>
              <w:rPr>
                <w:rFonts w:ascii="Garamond" w:eastAsia="Times New Roman" w:hAnsi="Garamond" w:cs="Times New Roman"/>
                <w:b/>
                <w:sz w:val="22"/>
                <w:szCs w:val="22"/>
              </w:rPr>
            </w:pPr>
            <w:r w:rsidRPr="001333B2">
              <w:rPr>
                <w:rFonts w:ascii="Garamond" w:eastAsia="Times New Roman" w:hAnsi="Garamond" w:cs="Times New Roman"/>
                <w:b/>
                <w:sz w:val="22"/>
                <w:szCs w:val="24"/>
              </w:rPr>
              <w:t>9. Информация об Акте (-ах) о соответствии АИИС КУЭ, оформленно</w:t>
            </w:r>
            <w:r w:rsidR="000F6978">
              <w:rPr>
                <w:rFonts w:ascii="Garamond" w:eastAsia="Times New Roman" w:hAnsi="Garamond" w:cs="Times New Roman"/>
                <w:b/>
                <w:sz w:val="22"/>
                <w:szCs w:val="24"/>
              </w:rPr>
              <w:t>м</w:t>
            </w:r>
            <w:r w:rsidRPr="001333B2">
              <w:rPr>
                <w:rFonts w:ascii="Garamond" w:eastAsia="Times New Roman" w:hAnsi="Garamond" w:cs="Times New Roman"/>
                <w:b/>
                <w:sz w:val="22"/>
                <w:szCs w:val="24"/>
              </w:rPr>
              <w:t xml:space="preserve"> (-ых) в отношении покупателя электрической энергии (мощности) – крупного потребителя</w:t>
            </w:r>
            <w:r w:rsidRPr="001333B2">
              <w:rPr>
                <w:rFonts w:ascii="Garamond" w:eastAsia="Calibri" w:hAnsi="Garamond" w:cs="Times New Roman"/>
                <w:sz w:val="22"/>
                <w:szCs w:val="22"/>
                <w:lang w:eastAsia="en-US"/>
              </w:rPr>
              <w:t xml:space="preserve"> </w:t>
            </w:r>
            <w:r w:rsidRPr="001333B2">
              <w:rPr>
                <w:rFonts w:ascii="Garamond" w:eastAsia="Times New Roman" w:hAnsi="Garamond" w:cs="Times New Roman"/>
                <w:b/>
                <w:sz w:val="22"/>
                <w:szCs w:val="24"/>
                <w:vertAlign w:val="superscript"/>
              </w:rPr>
              <w:t>4</w:t>
            </w:r>
          </w:p>
        </w:tc>
      </w:tr>
      <w:tr w:rsidR="001333B2" w:rsidRPr="001333B2" w14:paraId="621E9244" w14:textId="77777777" w:rsidTr="0064152E">
        <w:trPr>
          <w:trHeight w:val="567"/>
        </w:trPr>
        <w:tc>
          <w:tcPr>
            <w:tcW w:w="706" w:type="dxa"/>
            <w:shd w:val="clear" w:color="auto" w:fill="D9D9D9"/>
            <w:vAlign w:val="center"/>
          </w:tcPr>
          <w:p w14:paraId="188DFD8E" w14:textId="77777777" w:rsidR="001333B2" w:rsidRPr="001333B2" w:rsidRDefault="001333B2" w:rsidP="001333B2">
            <w:pPr>
              <w:suppressAutoHyphens w:val="0"/>
              <w:jc w:val="center"/>
              <w:rPr>
                <w:rFonts w:ascii="Garamond" w:eastAsia="Times New Roman" w:hAnsi="Garamond" w:cs="Times New Roman"/>
                <w:sz w:val="22"/>
                <w:szCs w:val="24"/>
              </w:rPr>
            </w:pPr>
            <w:r w:rsidRPr="001333B2">
              <w:rPr>
                <w:rFonts w:ascii="Garamond" w:eastAsia="Times New Roman" w:hAnsi="Garamond" w:cs="Times New Roman"/>
                <w:sz w:val="22"/>
                <w:szCs w:val="24"/>
              </w:rPr>
              <w:t>№</w:t>
            </w:r>
          </w:p>
        </w:tc>
        <w:tc>
          <w:tcPr>
            <w:tcW w:w="8653" w:type="dxa"/>
            <w:gridSpan w:val="3"/>
            <w:shd w:val="clear" w:color="auto" w:fill="D9D9D9"/>
            <w:vAlign w:val="center"/>
          </w:tcPr>
          <w:p w14:paraId="1A44F2AD" w14:textId="77777777" w:rsidR="001333B2" w:rsidRPr="001333B2" w:rsidRDefault="001333B2" w:rsidP="001333B2">
            <w:pPr>
              <w:suppressAutoHyphens w:val="0"/>
              <w:jc w:val="center"/>
              <w:rPr>
                <w:rFonts w:ascii="Garamond" w:eastAsia="Times New Roman" w:hAnsi="Garamond" w:cs="Times New Roman"/>
                <w:sz w:val="22"/>
                <w:szCs w:val="24"/>
              </w:rPr>
            </w:pPr>
            <w:r w:rsidRPr="001333B2">
              <w:rPr>
                <w:rFonts w:ascii="Garamond" w:eastAsia="Times New Roman" w:hAnsi="Garamond" w:cs="Times New Roman"/>
                <w:sz w:val="22"/>
                <w:szCs w:val="24"/>
              </w:rPr>
              <w:t>Реквизиты Акта (-ов) о соответствии АИИС КУЭ</w:t>
            </w:r>
          </w:p>
        </w:tc>
      </w:tr>
      <w:tr w:rsidR="001333B2" w:rsidRPr="001333B2" w14:paraId="60D8FCB6" w14:textId="77777777" w:rsidTr="0064152E">
        <w:trPr>
          <w:trHeight w:val="567"/>
        </w:trPr>
        <w:tc>
          <w:tcPr>
            <w:tcW w:w="706" w:type="dxa"/>
            <w:vAlign w:val="center"/>
          </w:tcPr>
          <w:p w14:paraId="49DE161E" w14:textId="77777777" w:rsidR="001333B2" w:rsidRPr="001333B2" w:rsidRDefault="001333B2" w:rsidP="001333B2">
            <w:pPr>
              <w:suppressAutoHyphens w:val="0"/>
              <w:jc w:val="center"/>
              <w:rPr>
                <w:rFonts w:ascii="Garamond" w:eastAsia="Times New Roman" w:hAnsi="Garamond" w:cs="Times New Roman"/>
                <w:sz w:val="22"/>
                <w:szCs w:val="24"/>
              </w:rPr>
            </w:pPr>
            <w:r w:rsidRPr="001333B2">
              <w:rPr>
                <w:rFonts w:ascii="Garamond" w:eastAsia="Times New Roman" w:hAnsi="Garamond" w:cs="Times New Roman"/>
                <w:sz w:val="22"/>
                <w:szCs w:val="24"/>
              </w:rPr>
              <w:t>1</w:t>
            </w:r>
          </w:p>
        </w:tc>
        <w:tc>
          <w:tcPr>
            <w:tcW w:w="8653" w:type="dxa"/>
            <w:gridSpan w:val="3"/>
            <w:vAlign w:val="center"/>
          </w:tcPr>
          <w:p w14:paraId="68034773" w14:textId="77777777" w:rsidR="001333B2" w:rsidRPr="001333B2" w:rsidRDefault="001333B2" w:rsidP="001333B2">
            <w:pPr>
              <w:suppressAutoHyphens w:val="0"/>
              <w:spacing w:line="259" w:lineRule="auto"/>
              <w:rPr>
                <w:rFonts w:ascii="Garamond" w:eastAsia="Calibri" w:hAnsi="Garamond" w:cs="Times New Roman"/>
                <w:sz w:val="22"/>
                <w:szCs w:val="22"/>
                <w:lang w:eastAsia="en-US"/>
              </w:rPr>
            </w:pPr>
            <w:r w:rsidRPr="001333B2">
              <w:rPr>
                <w:rFonts w:ascii="Garamond" w:eastAsia="Calibri" w:hAnsi="Garamond" w:cs="Times New Roman"/>
                <w:sz w:val="22"/>
                <w:szCs w:val="22"/>
                <w:lang w:eastAsia="en-US"/>
              </w:rPr>
              <w:t>№ _________ от _________, срок действия до ________</w:t>
            </w:r>
          </w:p>
        </w:tc>
      </w:tr>
      <w:tr w:rsidR="001333B2" w:rsidRPr="001333B2" w14:paraId="08E88ABA" w14:textId="77777777" w:rsidTr="0064152E">
        <w:trPr>
          <w:trHeight w:val="567"/>
        </w:trPr>
        <w:tc>
          <w:tcPr>
            <w:tcW w:w="706" w:type="dxa"/>
            <w:vAlign w:val="center"/>
          </w:tcPr>
          <w:p w14:paraId="7F63CE92" w14:textId="77777777" w:rsidR="001333B2" w:rsidRPr="001333B2" w:rsidRDefault="001333B2" w:rsidP="001333B2">
            <w:pPr>
              <w:suppressAutoHyphens w:val="0"/>
              <w:jc w:val="center"/>
              <w:rPr>
                <w:rFonts w:ascii="Garamond" w:eastAsia="Times New Roman" w:hAnsi="Garamond" w:cs="Times New Roman"/>
                <w:sz w:val="22"/>
                <w:szCs w:val="24"/>
              </w:rPr>
            </w:pPr>
            <w:r w:rsidRPr="001333B2">
              <w:rPr>
                <w:rFonts w:ascii="Garamond" w:eastAsia="Times New Roman" w:hAnsi="Garamond" w:cs="Times New Roman"/>
                <w:sz w:val="22"/>
                <w:szCs w:val="24"/>
                <w:lang w:val="en-US"/>
              </w:rPr>
              <w:t>N</w:t>
            </w:r>
          </w:p>
        </w:tc>
        <w:tc>
          <w:tcPr>
            <w:tcW w:w="8653" w:type="dxa"/>
            <w:gridSpan w:val="3"/>
            <w:vAlign w:val="center"/>
          </w:tcPr>
          <w:p w14:paraId="32F8ABEE" w14:textId="77777777" w:rsidR="001333B2" w:rsidRPr="001333B2" w:rsidRDefault="001333B2" w:rsidP="001333B2">
            <w:pPr>
              <w:suppressAutoHyphens w:val="0"/>
              <w:jc w:val="both"/>
              <w:rPr>
                <w:rFonts w:ascii="Garamond" w:eastAsia="Times New Roman" w:hAnsi="Garamond" w:cs="Times New Roman"/>
                <w:sz w:val="22"/>
                <w:szCs w:val="24"/>
              </w:rPr>
            </w:pPr>
            <w:r w:rsidRPr="001333B2">
              <w:rPr>
                <w:rFonts w:ascii="Garamond" w:eastAsia="Calibri" w:hAnsi="Garamond" w:cs="Times New Roman"/>
                <w:sz w:val="22"/>
                <w:szCs w:val="22"/>
                <w:lang w:eastAsia="en-US"/>
              </w:rPr>
              <w:t>№ _________ от _________, срок действия до ________</w:t>
            </w:r>
          </w:p>
        </w:tc>
      </w:tr>
      <w:tr w:rsidR="005760BA" w:rsidRPr="000F6978" w14:paraId="06BD4C67" w14:textId="77777777" w:rsidTr="00664B22">
        <w:trPr>
          <w:trHeight w:val="567"/>
        </w:trPr>
        <w:tc>
          <w:tcPr>
            <w:tcW w:w="9359" w:type="dxa"/>
            <w:gridSpan w:val="4"/>
            <w:shd w:val="clear" w:color="auto" w:fill="D9D9D9" w:themeFill="background1" w:themeFillShade="D9"/>
            <w:vAlign w:val="center"/>
          </w:tcPr>
          <w:p w14:paraId="1E2B85EB" w14:textId="3A0ADCE8" w:rsidR="005760BA" w:rsidRPr="000F6978" w:rsidRDefault="005760BA" w:rsidP="001333B2">
            <w:pPr>
              <w:suppressAutoHyphens w:val="0"/>
              <w:jc w:val="both"/>
              <w:rPr>
                <w:rFonts w:ascii="Garamond" w:eastAsia="Calibri" w:hAnsi="Garamond" w:cs="Times New Roman"/>
                <w:b/>
                <w:sz w:val="22"/>
                <w:szCs w:val="22"/>
                <w:lang w:eastAsia="en-US"/>
              </w:rPr>
            </w:pPr>
            <w:r w:rsidRPr="000F6978">
              <w:rPr>
                <w:rFonts w:ascii="Garamond" w:eastAsia="Times New Roman" w:hAnsi="Garamond" w:cs="Times New Roman"/>
                <w:b/>
                <w:sz w:val="22"/>
                <w:szCs w:val="24"/>
              </w:rPr>
              <w:t xml:space="preserve">10. </w:t>
            </w:r>
            <w:r w:rsidRPr="000F6978">
              <w:rPr>
                <w:rFonts w:ascii="Garamond" w:eastAsia="Calibri" w:hAnsi="Garamond" w:cs="Times New Roman"/>
                <w:b/>
                <w:sz w:val="22"/>
                <w:szCs w:val="22"/>
                <w:lang w:eastAsia="en-US"/>
              </w:rPr>
              <w:t>Информация о договоре оказания услуг по изменению режима потребления электрической энергии</w:t>
            </w:r>
          </w:p>
        </w:tc>
      </w:tr>
      <w:tr w:rsidR="00E41247" w:rsidRPr="000F6978" w14:paraId="34BE3665" w14:textId="77777777" w:rsidTr="00E41247">
        <w:trPr>
          <w:trHeight w:val="567"/>
        </w:trPr>
        <w:tc>
          <w:tcPr>
            <w:tcW w:w="4389" w:type="dxa"/>
            <w:gridSpan w:val="2"/>
            <w:vAlign w:val="center"/>
          </w:tcPr>
          <w:p w14:paraId="41F22C9B" w14:textId="7F401390" w:rsidR="00E41247" w:rsidRPr="000F6978" w:rsidRDefault="00E41247" w:rsidP="00E41247">
            <w:pPr>
              <w:suppressAutoHyphens w:val="0"/>
              <w:jc w:val="both"/>
              <w:rPr>
                <w:rFonts w:ascii="Garamond" w:eastAsia="Times New Roman" w:hAnsi="Garamond" w:cs="Times New Roman"/>
                <w:sz w:val="22"/>
              </w:rPr>
            </w:pPr>
            <w:r w:rsidRPr="000F6978">
              <w:rPr>
                <w:rFonts w:ascii="Garamond" w:eastAsia="Times New Roman" w:hAnsi="Garamond" w:cs="Times New Roman"/>
                <w:sz w:val="22"/>
              </w:rPr>
              <w:t xml:space="preserve">Период (периоды) оказания услуг по договору </w:t>
            </w:r>
            <w:r w:rsidR="00B57A64" w:rsidRPr="000F6978">
              <w:rPr>
                <w:rFonts w:ascii="Garamond" w:eastAsia="Times New Roman" w:hAnsi="Garamond" w:cs="Times New Roman"/>
                <w:sz w:val="22"/>
              </w:rPr>
              <w:t xml:space="preserve">оказания услуг </w:t>
            </w:r>
            <w:r w:rsidR="00CC070C" w:rsidRPr="000F6978">
              <w:rPr>
                <w:rFonts w:ascii="Garamond" w:eastAsia="Times New Roman" w:hAnsi="Garamond" w:cs="Times New Roman"/>
                <w:sz w:val="22"/>
              </w:rPr>
              <w:t xml:space="preserve">по </w:t>
            </w:r>
            <w:r w:rsidR="00B57A64" w:rsidRPr="000F6978">
              <w:rPr>
                <w:rFonts w:ascii="Garamond" w:eastAsia="Times New Roman" w:hAnsi="Garamond" w:cs="Times New Roman"/>
                <w:sz w:val="22"/>
              </w:rPr>
              <w:t>изменению</w:t>
            </w:r>
            <w:r w:rsidRPr="000F6978">
              <w:rPr>
                <w:rFonts w:ascii="Garamond" w:eastAsia="Times New Roman" w:hAnsi="Garamond" w:cs="Times New Roman"/>
                <w:sz w:val="22"/>
              </w:rPr>
              <w:t xml:space="preserve"> режима потребления</w:t>
            </w:r>
            <w:r w:rsidR="00344A7F" w:rsidRPr="000F6978">
              <w:rPr>
                <w:rFonts w:ascii="Garamond" w:eastAsia="Times New Roman" w:hAnsi="Garamond" w:cs="Times New Roman"/>
                <w:sz w:val="22"/>
              </w:rPr>
              <w:t xml:space="preserve"> </w:t>
            </w:r>
            <w:r w:rsidR="00344A7F" w:rsidRPr="000F6978">
              <w:rPr>
                <w:rFonts w:ascii="Garamond" w:eastAsia="Times New Roman" w:hAnsi="Garamond" w:cs="Times New Roman"/>
                <w:b/>
                <w:sz w:val="22"/>
                <w:szCs w:val="24"/>
                <w:vertAlign w:val="superscript"/>
              </w:rPr>
              <w:t>5</w:t>
            </w:r>
          </w:p>
        </w:tc>
        <w:tc>
          <w:tcPr>
            <w:tcW w:w="4970" w:type="dxa"/>
            <w:gridSpan w:val="2"/>
            <w:vAlign w:val="center"/>
          </w:tcPr>
          <w:p w14:paraId="02A5FBEC" w14:textId="446F3D9D" w:rsidR="00E41247" w:rsidRPr="000F6978" w:rsidRDefault="00E41247" w:rsidP="00E41247">
            <w:pPr>
              <w:suppressAutoHyphens w:val="0"/>
              <w:jc w:val="both"/>
              <w:rPr>
                <w:rFonts w:ascii="Garamond" w:eastAsia="Times New Roman" w:hAnsi="Garamond" w:cs="Times New Roman"/>
                <w:i/>
                <w:sz w:val="22"/>
                <w:szCs w:val="24"/>
              </w:rPr>
            </w:pPr>
            <w:r w:rsidRPr="000F6978">
              <w:rPr>
                <w:rFonts w:ascii="Garamond" w:eastAsia="Times New Roman" w:hAnsi="Garamond" w:cs="Times New Roman"/>
                <w:i/>
                <w:sz w:val="22"/>
                <w:szCs w:val="24"/>
              </w:rPr>
              <w:t>Указывается (-ются) период (периоды) оказания услуг в соответствии с заключенным договором оказани</w:t>
            </w:r>
            <w:r w:rsidR="00B57A64" w:rsidRPr="000F6978">
              <w:rPr>
                <w:rFonts w:ascii="Garamond" w:eastAsia="Times New Roman" w:hAnsi="Garamond" w:cs="Times New Roman"/>
                <w:i/>
                <w:sz w:val="22"/>
                <w:szCs w:val="24"/>
              </w:rPr>
              <w:t>я</w:t>
            </w:r>
            <w:r w:rsidRPr="000F6978">
              <w:rPr>
                <w:rFonts w:ascii="Garamond" w:eastAsia="Times New Roman" w:hAnsi="Garamond" w:cs="Times New Roman"/>
                <w:i/>
                <w:sz w:val="22"/>
                <w:szCs w:val="24"/>
              </w:rPr>
              <w:t xml:space="preserve"> услуг по изменени</w:t>
            </w:r>
            <w:r w:rsidR="00B57A64" w:rsidRPr="000F6978">
              <w:rPr>
                <w:rFonts w:ascii="Garamond" w:eastAsia="Times New Roman" w:hAnsi="Garamond" w:cs="Times New Roman"/>
                <w:i/>
                <w:sz w:val="22"/>
                <w:szCs w:val="24"/>
              </w:rPr>
              <w:t>ю</w:t>
            </w:r>
            <w:r w:rsidRPr="000F6978">
              <w:rPr>
                <w:rFonts w:ascii="Garamond" w:eastAsia="Times New Roman" w:hAnsi="Garamond" w:cs="Times New Roman"/>
                <w:i/>
                <w:sz w:val="22"/>
                <w:szCs w:val="24"/>
              </w:rPr>
              <w:t xml:space="preserve"> режима потребления электрической энергии</w:t>
            </w:r>
          </w:p>
        </w:tc>
      </w:tr>
    </w:tbl>
    <w:p w14:paraId="5C1EBD10" w14:textId="77777777" w:rsidR="001333B2" w:rsidRPr="000F6978" w:rsidRDefault="001333B2" w:rsidP="001333B2">
      <w:pPr>
        <w:suppressAutoHyphens w:val="0"/>
        <w:jc w:val="both"/>
        <w:rPr>
          <w:rFonts w:ascii="Garamond" w:eastAsia="Times New Roman" w:hAnsi="Garamond" w:cs="Times New Roman"/>
          <w:sz w:val="22"/>
          <w:szCs w:val="24"/>
        </w:rPr>
      </w:pPr>
    </w:p>
    <w:p w14:paraId="2247F132" w14:textId="77777777" w:rsidR="006403D5" w:rsidRPr="000F6978" w:rsidRDefault="006403D5" w:rsidP="00664B22">
      <w:pPr>
        <w:autoSpaceDE w:val="0"/>
        <w:autoSpaceDN w:val="0"/>
        <w:ind w:firstLine="340"/>
        <w:jc w:val="both"/>
        <w:rPr>
          <w:rFonts w:ascii="Garamond" w:hAnsi="Garamond"/>
          <w:sz w:val="22"/>
        </w:rPr>
      </w:pPr>
      <w:r w:rsidRPr="000F6978">
        <w:rPr>
          <w:rFonts w:ascii="Garamond" w:hAnsi="Garamond"/>
          <w:bCs/>
          <w:sz w:val="22"/>
        </w:rPr>
        <w:t xml:space="preserve">Подтверждаю, что в объект регулирования не включаются объекты электросетевого хозяйства сетевых организаций. </w:t>
      </w:r>
    </w:p>
    <w:p w14:paraId="4A01AA88" w14:textId="11E6F2C3" w:rsidR="001333B2" w:rsidRPr="001333B2" w:rsidRDefault="001333B2" w:rsidP="001333B2">
      <w:pPr>
        <w:suppressAutoHyphens w:val="0"/>
        <w:autoSpaceDE w:val="0"/>
        <w:autoSpaceDN w:val="0"/>
        <w:spacing w:after="160" w:line="259" w:lineRule="auto"/>
        <w:ind w:firstLine="357"/>
        <w:jc w:val="both"/>
        <w:rPr>
          <w:rFonts w:ascii="Garamond" w:eastAsia="Calibri" w:hAnsi="Garamond" w:cs="Times New Roman"/>
          <w:bCs/>
          <w:sz w:val="22"/>
          <w:szCs w:val="22"/>
          <w:lang w:eastAsia="en-US"/>
        </w:rPr>
      </w:pPr>
      <w:r w:rsidRPr="000F6978">
        <w:rPr>
          <w:rFonts w:ascii="Garamond" w:eastAsia="Calibri" w:hAnsi="Garamond" w:cs="Times New Roman"/>
          <w:bCs/>
          <w:sz w:val="22"/>
          <w:szCs w:val="22"/>
          <w:lang w:eastAsia="en-US"/>
        </w:rPr>
        <w:t>Подтверждаю, что испытания по заявляемому объекту регулирования проведены менее 4 (четырех)</w:t>
      </w:r>
      <w:r w:rsidRPr="001333B2">
        <w:rPr>
          <w:rFonts w:ascii="Garamond" w:eastAsia="Calibri" w:hAnsi="Garamond" w:cs="Times New Roman"/>
          <w:bCs/>
          <w:sz w:val="22"/>
          <w:szCs w:val="22"/>
          <w:lang w:eastAsia="en-US"/>
        </w:rPr>
        <w:t xml:space="preserve"> лет назад, и выражаю намерение не проводить повторные испытания заявленного объекта регулирования (</w:t>
      </w:r>
      <w:r w:rsidRPr="001333B2">
        <w:rPr>
          <w:rFonts w:ascii="Garamond" w:eastAsia="Calibri" w:hAnsi="Garamond" w:cs="Times New Roman"/>
          <w:bCs/>
          <w:i/>
          <w:sz w:val="22"/>
          <w:szCs w:val="22"/>
          <w:lang w:eastAsia="en-US"/>
        </w:rPr>
        <w:t>указывается при условии, если все точки измерений по объекту регулирования включены в оформленный ранее протокол предыдущих испытаний системы учета</w:t>
      </w:r>
      <w:r w:rsidR="000F6978">
        <w:rPr>
          <w:rFonts w:ascii="Garamond" w:eastAsia="Calibri" w:hAnsi="Garamond" w:cs="Times New Roman"/>
          <w:bCs/>
          <w:i/>
          <w:sz w:val="22"/>
          <w:szCs w:val="22"/>
          <w:lang w:eastAsia="en-US"/>
        </w:rPr>
        <w:t>,</w:t>
      </w:r>
      <w:r w:rsidRPr="001333B2">
        <w:rPr>
          <w:rFonts w:ascii="Garamond" w:eastAsia="Calibri" w:hAnsi="Garamond" w:cs="Times New Roman"/>
          <w:bCs/>
          <w:i/>
          <w:sz w:val="22"/>
          <w:szCs w:val="22"/>
          <w:lang w:eastAsia="en-US"/>
        </w:rPr>
        <w:t xml:space="preserve"> и намерении заявителя не проводить повторные испытания</w:t>
      </w:r>
      <w:r w:rsidRPr="001333B2">
        <w:rPr>
          <w:rFonts w:ascii="Garamond" w:eastAsia="Calibri" w:hAnsi="Garamond" w:cs="Times New Roman"/>
          <w:bCs/>
          <w:sz w:val="22"/>
          <w:szCs w:val="22"/>
          <w:lang w:eastAsia="en-US"/>
        </w:rPr>
        <w:t>).</w:t>
      </w:r>
    </w:p>
    <w:p w14:paraId="3CF7F5FA" w14:textId="77777777" w:rsidR="001333B2" w:rsidRPr="001333B2" w:rsidRDefault="001333B2" w:rsidP="001333B2">
      <w:pPr>
        <w:suppressAutoHyphens w:val="0"/>
        <w:jc w:val="both"/>
        <w:rPr>
          <w:rFonts w:ascii="Garamond" w:eastAsia="Times New Roman" w:hAnsi="Garamond" w:cs="Times New Roman"/>
          <w:sz w:val="22"/>
          <w:szCs w:val="24"/>
        </w:rPr>
      </w:pPr>
    </w:p>
    <w:p w14:paraId="0FA4581B" w14:textId="77777777" w:rsidR="001333B2" w:rsidRPr="001333B2" w:rsidRDefault="001333B2" w:rsidP="001333B2">
      <w:pPr>
        <w:suppressAutoHyphens w:val="0"/>
        <w:jc w:val="both"/>
        <w:rPr>
          <w:rFonts w:ascii="Garamond" w:eastAsia="Times New Roman" w:hAnsi="Garamond" w:cs="Times New Roman"/>
          <w:sz w:val="22"/>
          <w:szCs w:val="24"/>
        </w:rPr>
      </w:pPr>
      <w:r w:rsidRPr="001333B2">
        <w:rPr>
          <w:rFonts w:ascii="Garamond" w:eastAsia="Times New Roman" w:hAnsi="Garamond" w:cs="Times New Roman"/>
          <w:sz w:val="22"/>
          <w:szCs w:val="24"/>
        </w:rPr>
        <w:t>Приложение: опись направляемых документов, на __ л. в 1 экз.</w:t>
      </w:r>
    </w:p>
    <w:p w14:paraId="2ED4C6F2" w14:textId="77777777" w:rsidR="001333B2" w:rsidRPr="001333B2" w:rsidRDefault="001333B2" w:rsidP="001333B2">
      <w:pPr>
        <w:suppressAutoHyphens w:val="0"/>
        <w:jc w:val="both"/>
        <w:rPr>
          <w:rFonts w:ascii="Garamond" w:eastAsia="Times New Roman" w:hAnsi="Garamond" w:cs="Times New Roman"/>
          <w:sz w:val="22"/>
          <w:szCs w:val="24"/>
        </w:rPr>
      </w:pPr>
    </w:p>
    <w:p w14:paraId="33E1022A" w14:textId="77777777" w:rsidR="001333B2" w:rsidRPr="001333B2" w:rsidRDefault="001333B2" w:rsidP="001333B2">
      <w:pPr>
        <w:suppressAutoHyphens w:val="0"/>
        <w:jc w:val="both"/>
        <w:rPr>
          <w:rFonts w:ascii="Garamond" w:eastAsia="Times New Roman" w:hAnsi="Garamond" w:cs="Times New Roman"/>
          <w:sz w:val="22"/>
          <w:szCs w:val="24"/>
        </w:rPr>
      </w:pPr>
    </w:p>
    <w:tbl>
      <w:tblPr>
        <w:tblW w:w="0" w:type="auto"/>
        <w:tblLook w:val="00A0" w:firstRow="1" w:lastRow="0" w:firstColumn="1" w:lastColumn="0" w:noHBand="0" w:noVBand="0"/>
      </w:tblPr>
      <w:tblGrid>
        <w:gridCol w:w="3387"/>
        <w:gridCol w:w="2919"/>
        <w:gridCol w:w="3049"/>
      </w:tblGrid>
      <w:tr w:rsidR="001333B2" w:rsidRPr="001333B2" w14:paraId="26FDDF09" w14:textId="77777777" w:rsidTr="0064152E">
        <w:tc>
          <w:tcPr>
            <w:tcW w:w="3387" w:type="dxa"/>
            <w:tcBorders>
              <w:bottom w:val="single" w:sz="4" w:space="0" w:color="auto"/>
            </w:tcBorders>
          </w:tcPr>
          <w:p w14:paraId="5A1CCD56" w14:textId="77777777" w:rsidR="001333B2" w:rsidRPr="001333B2" w:rsidRDefault="001333B2" w:rsidP="001333B2">
            <w:pPr>
              <w:suppressAutoHyphens w:val="0"/>
              <w:jc w:val="both"/>
              <w:rPr>
                <w:rFonts w:ascii="Garamond" w:eastAsia="Times New Roman" w:hAnsi="Garamond" w:cs="Times New Roman"/>
                <w:sz w:val="22"/>
                <w:szCs w:val="24"/>
              </w:rPr>
            </w:pPr>
          </w:p>
        </w:tc>
        <w:tc>
          <w:tcPr>
            <w:tcW w:w="2919" w:type="dxa"/>
          </w:tcPr>
          <w:p w14:paraId="1DFE5268" w14:textId="77777777" w:rsidR="001333B2" w:rsidRPr="001333B2" w:rsidRDefault="001333B2" w:rsidP="001333B2">
            <w:pPr>
              <w:suppressAutoHyphens w:val="0"/>
              <w:jc w:val="both"/>
              <w:rPr>
                <w:rFonts w:ascii="Garamond" w:eastAsia="Times New Roman" w:hAnsi="Garamond" w:cs="Times New Roman"/>
                <w:sz w:val="22"/>
                <w:szCs w:val="24"/>
              </w:rPr>
            </w:pPr>
          </w:p>
        </w:tc>
        <w:tc>
          <w:tcPr>
            <w:tcW w:w="3049" w:type="dxa"/>
            <w:tcBorders>
              <w:bottom w:val="single" w:sz="4" w:space="0" w:color="auto"/>
            </w:tcBorders>
          </w:tcPr>
          <w:p w14:paraId="40AC246A" w14:textId="77777777" w:rsidR="001333B2" w:rsidRPr="001333B2" w:rsidRDefault="001333B2" w:rsidP="001333B2">
            <w:pPr>
              <w:suppressAutoHyphens w:val="0"/>
              <w:jc w:val="both"/>
              <w:rPr>
                <w:rFonts w:ascii="Garamond" w:eastAsia="Times New Roman" w:hAnsi="Garamond" w:cs="Times New Roman"/>
                <w:sz w:val="22"/>
                <w:szCs w:val="24"/>
              </w:rPr>
            </w:pPr>
          </w:p>
        </w:tc>
      </w:tr>
      <w:tr w:rsidR="001333B2" w:rsidRPr="001333B2" w14:paraId="3726FAA1" w14:textId="77777777" w:rsidTr="0064152E">
        <w:tc>
          <w:tcPr>
            <w:tcW w:w="3387" w:type="dxa"/>
            <w:tcBorders>
              <w:top w:val="single" w:sz="4" w:space="0" w:color="auto"/>
            </w:tcBorders>
          </w:tcPr>
          <w:p w14:paraId="74621EA7" w14:textId="77777777" w:rsidR="001333B2" w:rsidRPr="001333B2" w:rsidRDefault="001333B2" w:rsidP="001333B2">
            <w:pPr>
              <w:suppressAutoHyphens w:val="0"/>
              <w:jc w:val="center"/>
              <w:rPr>
                <w:rFonts w:ascii="Garamond" w:eastAsia="Times New Roman" w:hAnsi="Garamond" w:cs="Times New Roman"/>
                <w:sz w:val="22"/>
                <w:szCs w:val="24"/>
              </w:rPr>
            </w:pPr>
            <w:r w:rsidRPr="001333B2">
              <w:rPr>
                <w:rFonts w:ascii="Garamond" w:eastAsia="Times New Roman" w:hAnsi="Garamond" w:cs="Times New Roman"/>
                <w:i/>
                <w:sz w:val="22"/>
                <w:szCs w:val="24"/>
              </w:rPr>
              <w:t>(должность)</w:t>
            </w:r>
          </w:p>
        </w:tc>
        <w:tc>
          <w:tcPr>
            <w:tcW w:w="2919" w:type="dxa"/>
          </w:tcPr>
          <w:p w14:paraId="733EEA52" w14:textId="77777777" w:rsidR="001333B2" w:rsidRPr="001333B2" w:rsidRDefault="001333B2" w:rsidP="001333B2">
            <w:pPr>
              <w:suppressAutoHyphens w:val="0"/>
              <w:jc w:val="both"/>
              <w:rPr>
                <w:rFonts w:ascii="Garamond" w:eastAsia="Times New Roman" w:hAnsi="Garamond" w:cs="Times New Roman"/>
                <w:sz w:val="22"/>
                <w:szCs w:val="24"/>
              </w:rPr>
            </w:pPr>
          </w:p>
        </w:tc>
        <w:tc>
          <w:tcPr>
            <w:tcW w:w="3049" w:type="dxa"/>
            <w:tcBorders>
              <w:top w:val="single" w:sz="4" w:space="0" w:color="auto"/>
            </w:tcBorders>
          </w:tcPr>
          <w:p w14:paraId="4FB03D28" w14:textId="77777777" w:rsidR="001333B2" w:rsidRPr="001333B2" w:rsidRDefault="001333B2" w:rsidP="001333B2">
            <w:pPr>
              <w:suppressAutoHyphens w:val="0"/>
              <w:jc w:val="center"/>
              <w:rPr>
                <w:rFonts w:ascii="Garamond" w:eastAsia="Times New Roman" w:hAnsi="Garamond" w:cs="Times New Roman"/>
                <w:sz w:val="22"/>
                <w:szCs w:val="24"/>
              </w:rPr>
            </w:pPr>
            <w:r w:rsidRPr="001333B2">
              <w:rPr>
                <w:rFonts w:ascii="Garamond" w:eastAsia="Times New Roman" w:hAnsi="Garamond" w:cs="Times New Roman"/>
                <w:i/>
                <w:sz w:val="22"/>
                <w:szCs w:val="24"/>
              </w:rPr>
              <w:t>(Ф. И. О.)</w:t>
            </w:r>
          </w:p>
        </w:tc>
      </w:tr>
    </w:tbl>
    <w:p w14:paraId="6D69B6D2" w14:textId="77777777" w:rsidR="001333B2" w:rsidRPr="001333B2" w:rsidRDefault="001333B2" w:rsidP="001333B2">
      <w:pPr>
        <w:widowControl w:val="0"/>
        <w:tabs>
          <w:tab w:val="left" w:pos="1077"/>
        </w:tabs>
        <w:suppressAutoHyphens w:val="0"/>
        <w:spacing w:before="120" w:after="120"/>
        <w:jc w:val="both"/>
        <w:rPr>
          <w:rFonts w:ascii="Garamond" w:eastAsia="Calibri" w:hAnsi="Garamond" w:cs="Times New Roman"/>
          <w:bCs/>
          <w:sz w:val="22"/>
          <w:szCs w:val="22"/>
          <w:lang w:eastAsia="en-US"/>
        </w:rPr>
      </w:pPr>
    </w:p>
    <w:p w14:paraId="0B97894F" w14:textId="77777777" w:rsidR="001333B2" w:rsidRPr="001333B2" w:rsidRDefault="001333B2" w:rsidP="001333B2">
      <w:pPr>
        <w:suppressAutoHyphens w:val="0"/>
        <w:spacing w:line="259" w:lineRule="auto"/>
        <w:rPr>
          <w:rFonts w:ascii="Garamond" w:eastAsia="Times New Roman" w:hAnsi="Garamond" w:cs="Times New Roman"/>
          <w:sz w:val="22"/>
          <w:szCs w:val="24"/>
        </w:rPr>
      </w:pPr>
      <w:r w:rsidRPr="001333B2">
        <w:rPr>
          <w:rFonts w:ascii="Garamond" w:eastAsia="Times New Roman" w:hAnsi="Garamond" w:cs="Times New Roman"/>
          <w:b/>
          <w:bCs/>
          <w:lang w:eastAsia="en-US"/>
        </w:rPr>
        <w:t>Примечания.</w:t>
      </w:r>
    </w:p>
    <w:p w14:paraId="4F7B4848" w14:textId="77777777" w:rsidR="001333B2" w:rsidRPr="001333B2" w:rsidRDefault="001333B2" w:rsidP="001A09D5">
      <w:pPr>
        <w:numPr>
          <w:ilvl w:val="0"/>
          <w:numId w:val="328"/>
        </w:numPr>
        <w:suppressAutoHyphens w:val="0"/>
        <w:spacing w:after="160" w:line="276" w:lineRule="auto"/>
        <w:ind w:left="284" w:hanging="283"/>
        <w:contextualSpacing/>
        <w:jc w:val="both"/>
        <w:rPr>
          <w:rFonts w:ascii="Garamond" w:eastAsia="Times New Roman" w:hAnsi="Garamond" w:cs="Times New Roman"/>
        </w:rPr>
      </w:pPr>
      <w:r w:rsidRPr="001333B2">
        <w:rPr>
          <w:rFonts w:ascii="Garamond" w:eastAsia="Times New Roman" w:hAnsi="Garamond" w:cs="Times New Roman"/>
          <w:szCs w:val="24"/>
        </w:rPr>
        <w:t>Значения максимальной мощности, установленной мощности и энергоемкости указываются с точностью не более трех знаков после запятой.</w:t>
      </w:r>
    </w:p>
    <w:p w14:paraId="4790CEEB" w14:textId="7D8BD7E4" w:rsidR="001333B2" w:rsidRPr="001333B2" w:rsidRDefault="001333B2" w:rsidP="001A09D5">
      <w:pPr>
        <w:numPr>
          <w:ilvl w:val="0"/>
          <w:numId w:val="328"/>
        </w:numPr>
        <w:suppressAutoHyphens w:val="0"/>
        <w:spacing w:after="160" w:line="276" w:lineRule="auto"/>
        <w:ind w:left="284" w:hanging="283"/>
        <w:contextualSpacing/>
        <w:jc w:val="both"/>
        <w:rPr>
          <w:rFonts w:ascii="Garamond" w:eastAsia="Times New Roman" w:hAnsi="Garamond" w:cs="Times New Roman"/>
        </w:rPr>
      </w:pPr>
      <w:r w:rsidRPr="001333B2">
        <w:rPr>
          <w:rFonts w:ascii="Garamond" w:eastAsia="Times New Roman" w:hAnsi="Garamond" w:cs="Times New Roman"/>
        </w:rPr>
        <w:t>При отсутствии в составе объекта регулирования объектов по производству электрической энергии (электростанции/блок</w:t>
      </w:r>
      <w:r w:rsidR="000F6978">
        <w:rPr>
          <w:rFonts w:ascii="Garamond" w:eastAsia="Times New Roman" w:hAnsi="Garamond" w:cs="Times New Roman"/>
        </w:rPr>
        <w:t>-</w:t>
      </w:r>
      <w:r w:rsidRPr="001333B2">
        <w:rPr>
          <w:rFonts w:ascii="Garamond" w:eastAsia="Times New Roman" w:hAnsi="Garamond" w:cs="Times New Roman"/>
        </w:rPr>
        <w:t>станции) или систем накопления указывается «отсутствуют».</w:t>
      </w:r>
    </w:p>
    <w:p w14:paraId="195EE244" w14:textId="77777777" w:rsidR="001333B2" w:rsidRPr="001333B2" w:rsidRDefault="001333B2" w:rsidP="001A09D5">
      <w:pPr>
        <w:numPr>
          <w:ilvl w:val="0"/>
          <w:numId w:val="328"/>
        </w:numPr>
        <w:suppressAutoHyphens w:val="0"/>
        <w:spacing w:after="160" w:line="276" w:lineRule="auto"/>
        <w:ind w:left="284" w:hanging="283"/>
        <w:contextualSpacing/>
        <w:jc w:val="both"/>
        <w:rPr>
          <w:rFonts w:ascii="Garamond" w:eastAsia="Times New Roman" w:hAnsi="Garamond" w:cs="Times New Roman"/>
        </w:rPr>
      </w:pPr>
      <w:r w:rsidRPr="001333B2">
        <w:rPr>
          <w:rFonts w:ascii="Garamond" w:eastAsia="Times New Roman" w:hAnsi="Garamond" w:cs="Times New Roman"/>
        </w:rPr>
        <w:t xml:space="preserve">В случае отсутствия возможности использования программного обеспечения из перечня ПО, указанного на официальном интернет-сайте Коммерческого оператора </w:t>
      </w:r>
      <w:hyperlink r:id="rId27" w:history="1">
        <w:r w:rsidRPr="00664B22">
          <w:rPr>
            <w:rFonts w:ascii="Garamond" w:eastAsia="Times New Roman" w:hAnsi="Garamond" w:cs="Times New Roman"/>
          </w:rPr>
          <w:t>www.atsenergo.ru</w:t>
        </w:r>
      </w:hyperlink>
      <w:r w:rsidRPr="001333B2">
        <w:rPr>
          <w:rFonts w:ascii="Garamond" w:eastAsia="Times New Roman" w:hAnsi="Garamond" w:cs="Times New Roman"/>
        </w:rPr>
        <w:t xml:space="preserve"> в разделе «Коммерческий учет», указывается мотивированное объяснение.</w:t>
      </w:r>
    </w:p>
    <w:p w14:paraId="681B1CD3" w14:textId="49D049B0" w:rsidR="001333B2" w:rsidRPr="000F6978" w:rsidRDefault="000F6978" w:rsidP="001A09D5">
      <w:pPr>
        <w:numPr>
          <w:ilvl w:val="0"/>
          <w:numId w:val="328"/>
        </w:numPr>
        <w:suppressAutoHyphens w:val="0"/>
        <w:spacing w:after="160" w:line="276" w:lineRule="auto"/>
        <w:ind w:left="284" w:hanging="283"/>
        <w:contextualSpacing/>
        <w:jc w:val="both"/>
        <w:rPr>
          <w:rFonts w:ascii="Garamond" w:eastAsia="Times New Roman" w:hAnsi="Garamond" w:cs="Times New Roman"/>
        </w:rPr>
      </w:pPr>
      <w:r>
        <w:rPr>
          <w:rFonts w:ascii="Garamond" w:eastAsia="Times New Roman" w:hAnsi="Garamond" w:cs="Times New Roman"/>
        </w:rPr>
        <w:t>В случае не</w:t>
      </w:r>
      <w:r w:rsidR="001333B2" w:rsidRPr="001333B2">
        <w:rPr>
          <w:rFonts w:ascii="Garamond" w:eastAsia="Times New Roman" w:hAnsi="Garamond" w:cs="Times New Roman"/>
        </w:rPr>
        <w:t xml:space="preserve">выполнения п. </w:t>
      </w:r>
      <w:r w:rsidR="001333B2" w:rsidRPr="001333B2">
        <w:rPr>
          <w:rFonts w:ascii="Garamond" w:eastAsia="Times New Roman" w:hAnsi="Garamond" w:cs="Times New Roman"/>
        </w:rPr>
        <w:fldChar w:fldCharType="begin"/>
      </w:r>
      <w:r w:rsidR="001333B2" w:rsidRPr="001333B2">
        <w:rPr>
          <w:rFonts w:ascii="Garamond" w:eastAsia="Times New Roman" w:hAnsi="Garamond" w:cs="Times New Roman"/>
        </w:rPr>
        <w:instrText xml:space="preserve"> REF _Ref149321995 \r \h  \* MERGEFORMAT </w:instrText>
      </w:r>
      <w:r w:rsidR="001333B2" w:rsidRPr="001333B2">
        <w:rPr>
          <w:rFonts w:ascii="Garamond" w:eastAsia="Times New Roman" w:hAnsi="Garamond" w:cs="Times New Roman"/>
        </w:rPr>
      </w:r>
      <w:r w:rsidR="001333B2" w:rsidRPr="001333B2">
        <w:rPr>
          <w:rFonts w:ascii="Garamond" w:eastAsia="Times New Roman" w:hAnsi="Garamond" w:cs="Times New Roman"/>
        </w:rPr>
        <w:fldChar w:fldCharType="separate"/>
      </w:r>
      <w:r w:rsidR="001333B2" w:rsidRPr="001333B2">
        <w:rPr>
          <w:rFonts w:ascii="Garamond" w:eastAsia="Times New Roman" w:hAnsi="Garamond" w:cs="Times New Roman"/>
        </w:rPr>
        <w:t>3.8.4</w:t>
      </w:r>
      <w:r w:rsidR="001333B2" w:rsidRPr="001333B2">
        <w:rPr>
          <w:rFonts w:ascii="Garamond" w:eastAsia="Times New Roman" w:hAnsi="Garamond" w:cs="Times New Roman"/>
        </w:rPr>
        <w:fldChar w:fldCharType="end"/>
      </w:r>
      <w:r w:rsidR="001333B2" w:rsidRPr="001333B2">
        <w:rPr>
          <w:rFonts w:ascii="Garamond" w:eastAsia="Times New Roman" w:hAnsi="Garamond" w:cs="Times New Roman"/>
        </w:rPr>
        <w:t xml:space="preserve"> приложения 9 к </w:t>
      </w:r>
      <w:r w:rsidR="001333B2" w:rsidRPr="00664B22">
        <w:rPr>
          <w:rFonts w:ascii="Garamond" w:eastAsia="Times New Roman" w:hAnsi="Garamond" w:cs="Times New Roman"/>
          <w:i/>
        </w:rPr>
        <w:t>Положению о порядке получения статуса субъекта оптового рынка и ведения реестра субъектов оптового рынка</w:t>
      </w:r>
      <w:r w:rsidR="001333B2" w:rsidRPr="001333B2">
        <w:rPr>
          <w:rFonts w:ascii="Garamond" w:eastAsia="Times New Roman" w:hAnsi="Garamond" w:cs="Times New Roman"/>
        </w:rPr>
        <w:t xml:space="preserve"> (Приложение № 1.1 к </w:t>
      </w:r>
      <w:r w:rsidR="001333B2" w:rsidRPr="000F6978">
        <w:rPr>
          <w:rFonts w:ascii="Garamond" w:eastAsia="Times New Roman" w:hAnsi="Garamond" w:cs="Times New Roman"/>
          <w:i/>
        </w:rPr>
        <w:t>Договору о присоединении к торговой системе оптового рынка</w:t>
      </w:r>
      <w:r w:rsidR="001333B2" w:rsidRPr="000F6978">
        <w:rPr>
          <w:rFonts w:ascii="Garamond" w:eastAsia="Times New Roman" w:hAnsi="Garamond" w:cs="Times New Roman"/>
        </w:rPr>
        <w:t>) указывается прочерк.</w:t>
      </w:r>
    </w:p>
    <w:p w14:paraId="097D16F8" w14:textId="4BC50D4A" w:rsidR="00344A7F" w:rsidRPr="000F6978" w:rsidRDefault="00344A7F" w:rsidP="001A09D5">
      <w:pPr>
        <w:numPr>
          <w:ilvl w:val="0"/>
          <w:numId w:val="328"/>
        </w:numPr>
        <w:suppressAutoHyphens w:val="0"/>
        <w:spacing w:after="160" w:line="276" w:lineRule="auto"/>
        <w:ind w:left="284" w:hanging="283"/>
        <w:contextualSpacing/>
        <w:jc w:val="both"/>
        <w:rPr>
          <w:rFonts w:ascii="Garamond" w:eastAsia="Times New Roman" w:hAnsi="Garamond" w:cs="Times New Roman"/>
        </w:rPr>
      </w:pPr>
      <w:r w:rsidRPr="000F6978">
        <w:rPr>
          <w:rFonts w:ascii="Garamond" w:eastAsia="Times New Roman" w:hAnsi="Garamond" w:cs="Times New Roman"/>
        </w:rPr>
        <w:t>В случае если договор оказания услуг по изменению режима потребления электрической энергии заключен на неопределенный срок, то допускается указать только дату начала оказания услуг.</w:t>
      </w:r>
    </w:p>
    <w:p w14:paraId="732DA77C" w14:textId="77777777" w:rsidR="001333B2" w:rsidRPr="001333B2" w:rsidRDefault="001333B2" w:rsidP="001333B2">
      <w:pPr>
        <w:suppressAutoHyphens w:val="0"/>
        <w:spacing w:after="160" w:line="259" w:lineRule="auto"/>
        <w:rPr>
          <w:rFonts w:ascii="Garamond" w:eastAsia="Times New Roman" w:hAnsi="Garamond" w:cs="Times New Roman"/>
        </w:rPr>
      </w:pPr>
      <w:r w:rsidRPr="001333B2">
        <w:rPr>
          <w:rFonts w:ascii="Garamond" w:eastAsia="Times New Roman" w:hAnsi="Garamond" w:cs="Times New Roman"/>
        </w:rPr>
        <w:br w:type="page"/>
      </w:r>
    </w:p>
    <w:p w14:paraId="397F4246" w14:textId="77777777" w:rsidR="001333B2" w:rsidRPr="001333B2" w:rsidRDefault="001333B2" w:rsidP="001333B2">
      <w:pPr>
        <w:widowControl w:val="0"/>
        <w:suppressAutoHyphens w:val="0"/>
        <w:jc w:val="center"/>
        <w:outlineLvl w:val="0"/>
        <w:rPr>
          <w:rFonts w:ascii="Garamond" w:eastAsia="Times New Roman" w:hAnsi="Garamond" w:cs="Arial"/>
          <w:b/>
          <w:bCs/>
          <w:sz w:val="22"/>
          <w:szCs w:val="22"/>
        </w:rPr>
      </w:pPr>
      <w:r w:rsidRPr="001333B2">
        <w:rPr>
          <w:rFonts w:ascii="Garamond" w:eastAsia="Times New Roman" w:hAnsi="Garamond" w:cs="Arial"/>
          <w:b/>
          <w:bCs/>
          <w:sz w:val="22"/>
          <w:szCs w:val="22"/>
        </w:rPr>
        <w:lastRenderedPageBreak/>
        <w:t xml:space="preserve">Форма 1 (пример заполнения заявления) </w:t>
      </w:r>
    </w:p>
    <w:p w14:paraId="621E4594" w14:textId="77777777" w:rsidR="001333B2" w:rsidRPr="001333B2" w:rsidRDefault="001333B2" w:rsidP="001333B2">
      <w:pPr>
        <w:suppressAutoHyphens w:val="0"/>
        <w:jc w:val="both"/>
        <w:rPr>
          <w:rFonts w:ascii="Garamond" w:eastAsia="Times New Roman" w:hAnsi="Garamond" w:cs="Times New Roman"/>
          <w:sz w:val="22"/>
          <w:szCs w:val="24"/>
        </w:rPr>
      </w:pPr>
    </w:p>
    <w:p w14:paraId="3E6029EA" w14:textId="77777777" w:rsidR="001333B2" w:rsidRPr="001333B2" w:rsidRDefault="001333B2" w:rsidP="001333B2">
      <w:pPr>
        <w:suppressAutoHyphens w:val="0"/>
        <w:jc w:val="both"/>
        <w:rPr>
          <w:rFonts w:ascii="Garamond" w:eastAsia="Times New Roman" w:hAnsi="Garamond" w:cs="Times New Roman"/>
          <w:sz w:val="22"/>
          <w:szCs w:val="24"/>
        </w:rPr>
      </w:pPr>
      <w:r w:rsidRPr="001333B2">
        <w:rPr>
          <w:rFonts w:ascii="Garamond" w:eastAsia="Times New Roman" w:hAnsi="Garamond" w:cs="Times New Roman"/>
          <w:sz w:val="22"/>
          <w:szCs w:val="24"/>
        </w:rPr>
        <w:t>(на бланке заявителя)</w:t>
      </w:r>
    </w:p>
    <w:p w14:paraId="0A34C61C" w14:textId="77777777" w:rsidR="001333B2" w:rsidRPr="001333B2" w:rsidRDefault="001333B2" w:rsidP="001333B2">
      <w:pPr>
        <w:suppressAutoHyphens w:val="0"/>
        <w:jc w:val="right"/>
        <w:rPr>
          <w:rFonts w:ascii="Garamond" w:eastAsia="Times New Roman" w:hAnsi="Garamond" w:cs="Times New Roman"/>
          <w:b/>
          <w:sz w:val="22"/>
          <w:szCs w:val="24"/>
        </w:rPr>
      </w:pPr>
      <w:r w:rsidRPr="001333B2">
        <w:rPr>
          <w:rFonts w:ascii="Garamond" w:eastAsia="Times New Roman" w:hAnsi="Garamond" w:cs="Times New Roman"/>
          <w:b/>
          <w:sz w:val="22"/>
          <w:szCs w:val="24"/>
        </w:rPr>
        <w:t>Председателю Правления</w:t>
      </w:r>
    </w:p>
    <w:p w14:paraId="25A0DA51" w14:textId="77777777" w:rsidR="001333B2" w:rsidRPr="001333B2" w:rsidRDefault="001333B2" w:rsidP="001333B2">
      <w:pPr>
        <w:suppressAutoHyphens w:val="0"/>
        <w:jc w:val="right"/>
        <w:rPr>
          <w:rFonts w:ascii="Garamond" w:eastAsia="Times New Roman" w:hAnsi="Garamond" w:cs="Times New Roman"/>
          <w:b/>
          <w:sz w:val="22"/>
          <w:szCs w:val="24"/>
        </w:rPr>
      </w:pPr>
      <w:r w:rsidRPr="001333B2">
        <w:rPr>
          <w:rFonts w:ascii="Garamond" w:eastAsia="Times New Roman" w:hAnsi="Garamond" w:cs="Times New Roman"/>
          <w:b/>
          <w:sz w:val="22"/>
          <w:szCs w:val="24"/>
        </w:rPr>
        <w:t>АО «АТС»</w:t>
      </w:r>
    </w:p>
    <w:p w14:paraId="26E42D78" w14:textId="77777777" w:rsidR="001333B2" w:rsidRPr="001333B2" w:rsidRDefault="001333B2" w:rsidP="001333B2">
      <w:pPr>
        <w:suppressAutoHyphens w:val="0"/>
        <w:jc w:val="both"/>
        <w:rPr>
          <w:rFonts w:ascii="Garamond" w:eastAsia="Times New Roman" w:hAnsi="Garamond" w:cs="Times New Roman"/>
          <w:sz w:val="22"/>
          <w:szCs w:val="24"/>
        </w:rPr>
      </w:pPr>
      <w:r w:rsidRPr="001333B2">
        <w:rPr>
          <w:rFonts w:ascii="Garamond" w:eastAsia="Times New Roman" w:hAnsi="Garamond" w:cs="Times New Roman"/>
          <w:sz w:val="22"/>
          <w:szCs w:val="24"/>
        </w:rPr>
        <w:t>№ ____________________</w:t>
      </w:r>
    </w:p>
    <w:p w14:paraId="1AB1187B" w14:textId="77777777" w:rsidR="001333B2" w:rsidRPr="001333B2" w:rsidRDefault="001333B2" w:rsidP="001333B2">
      <w:pPr>
        <w:suppressAutoHyphens w:val="0"/>
        <w:jc w:val="both"/>
        <w:rPr>
          <w:rFonts w:ascii="Garamond" w:eastAsia="Times New Roman" w:hAnsi="Garamond" w:cs="Times New Roman"/>
          <w:sz w:val="22"/>
          <w:szCs w:val="24"/>
        </w:rPr>
      </w:pPr>
      <w:r w:rsidRPr="001333B2">
        <w:rPr>
          <w:rFonts w:ascii="Garamond" w:eastAsia="Times New Roman" w:hAnsi="Garamond" w:cs="Times New Roman"/>
          <w:sz w:val="22"/>
          <w:szCs w:val="24"/>
        </w:rPr>
        <w:t>«___» ___________20 ___ г.</w:t>
      </w:r>
    </w:p>
    <w:p w14:paraId="1704EFE4" w14:textId="77777777" w:rsidR="001333B2" w:rsidRPr="001333B2" w:rsidRDefault="001333B2" w:rsidP="001333B2">
      <w:pPr>
        <w:suppressAutoHyphens w:val="0"/>
        <w:jc w:val="both"/>
        <w:rPr>
          <w:rFonts w:ascii="Garamond" w:eastAsia="Times New Roman" w:hAnsi="Garamond" w:cs="Times New Roman"/>
          <w:sz w:val="16"/>
          <w:szCs w:val="24"/>
        </w:rPr>
      </w:pPr>
    </w:p>
    <w:p w14:paraId="3373C310" w14:textId="77777777" w:rsidR="001333B2" w:rsidRPr="001333B2" w:rsidRDefault="001333B2" w:rsidP="001333B2">
      <w:pPr>
        <w:suppressAutoHyphens w:val="0"/>
        <w:jc w:val="center"/>
        <w:rPr>
          <w:rFonts w:ascii="Garamond" w:eastAsia="Times New Roman" w:hAnsi="Garamond" w:cs="Times New Roman"/>
          <w:b/>
          <w:sz w:val="22"/>
          <w:szCs w:val="24"/>
        </w:rPr>
      </w:pPr>
      <w:r w:rsidRPr="001333B2">
        <w:rPr>
          <w:rFonts w:ascii="Garamond" w:eastAsia="Times New Roman" w:hAnsi="Garamond" w:cs="Times New Roman"/>
          <w:b/>
          <w:sz w:val="22"/>
          <w:szCs w:val="24"/>
        </w:rPr>
        <w:t>ЗАЯВЛЕНИЕ</w:t>
      </w:r>
    </w:p>
    <w:p w14:paraId="7B0F105B" w14:textId="77777777" w:rsidR="001333B2" w:rsidRPr="001333B2" w:rsidRDefault="001333B2" w:rsidP="001333B2">
      <w:pPr>
        <w:suppressAutoHyphens w:val="0"/>
        <w:jc w:val="center"/>
        <w:rPr>
          <w:rFonts w:ascii="Garamond" w:eastAsia="Times New Roman" w:hAnsi="Garamond" w:cs="Times New Roman"/>
          <w:b/>
          <w:sz w:val="16"/>
          <w:szCs w:val="24"/>
        </w:rPr>
      </w:pPr>
    </w:p>
    <w:p w14:paraId="0BF36135" w14:textId="77777777" w:rsidR="001333B2" w:rsidRPr="001333B2" w:rsidRDefault="001333B2" w:rsidP="001333B2">
      <w:pPr>
        <w:suppressAutoHyphens w:val="0"/>
        <w:jc w:val="center"/>
        <w:rPr>
          <w:rFonts w:ascii="Garamond" w:eastAsia="Times New Roman" w:hAnsi="Garamond" w:cs="Times New Roman"/>
          <w:b/>
          <w:sz w:val="22"/>
          <w:szCs w:val="24"/>
        </w:rPr>
      </w:pPr>
      <w:r w:rsidRPr="001333B2">
        <w:rPr>
          <w:rFonts w:ascii="Garamond" w:eastAsia="Times New Roman" w:hAnsi="Garamond" w:cs="Times New Roman"/>
          <w:b/>
          <w:sz w:val="22"/>
          <w:szCs w:val="24"/>
        </w:rPr>
        <w:t xml:space="preserve">о регистрации и </w:t>
      </w:r>
      <w:r w:rsidRPr="000F6978">
        <w:rPr>
          <w:rFonts w:ascii="Garamond" w:eastAsia="Times New Roman" w:hAnsi="Garamond" w:cs="Times New Roman"/>
          <w:b/>
          <w:sz w:val="22"/>
          <w:szCs w:val="24"/>
        </w:rPr>
        <w:t xml:space="preserve">аттестации </w:t>
      </w:r>
      <w:r w:rsidR="00375235" w:rsidRPr="000F6978">
        <w:rPr>
          <w:rFonts w:ascii="Garamond" w:eastAsia="Times New Roman" w:hAnsi="Garamond" w:cs="Times New Roman"/>
          <w:b/>
          <w:sz w:val="22"/>
          <w:szCs w:val="24"/>
        </w:rPr>
        <w:t xml:space="preserve">нового </w:t>
      </w:r>
      <w:r w:rsidRPr="000F6978">
        <w:rPr>
          <w:rFonts w:ascii="Garamond" w:eastAsia="Times New Roman" w:hAnsi="Garamond" w:cs="Times New Roman"/>
          <w:b/>
          <w:sz w:val="22"/>
          <w:szCs w:val="24"/>
        </w:rPr>
        <w:t>объекта</w:t>
      </w:r>
      <w:r w:rsidRPr="001333B2">
        <w:rPr>
          <w:rFonts w:ascii="Garamond" w:eastAsia="Times New Roman" w:hAnsi="Garamond" w:cs="Times New Roman"/>
          <w:b/>
          <w:sz w:val="22"/>
          <w:szCs w:val="24"/>
        </w:rPr>
        <w:t xml:space="preserve"> регулирования</w:t>
      </w:r>
    </w:p>
    <w:p w14:paraId="12E4E255" w14:textId="77777777" w:rsidR="001333B2" w:rsidRPr="001333B2" w:rsidRDefault="001333B2" w:rsidP="001333B2">
      <w:pPr>
        <w:suppressAutoHyphens w:val="0"/>
        <w:jc w:val="center"/>
        <w:rPr>
          <w:rFonts w:ascii="Garamond" w:eastAsia="Times New Roman" w:hAnsi="Garamond" w:cs="Times New Roman"/>
          <w:b/>
          <w:sz w:val="16"/>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4204"/>
        <w:gridCol w:w="5141"/>
      </w:tblGrid>
      <w:tr w:rsidR="001333B2" w:rsidRPr="001333B2" w14:paraId="70833DF2" w14:textId="77777777" w:rsidTr="0064152E">
        <w:trPr>
          <w:trHeight w:val="567"/>
        </w:trPr>
        <w:tc>
          <w:tcPr>
            <w:tcW w:w="4204" w:type="dxa"/>
            <w:shd w:val="clear" w:color="auto" w:fill="D9D9D9"/>
            <w:vAlign w:val="center"/>
          </w:tcPr>
          <w:p w14:paraId="71CB9391" w14:textId="77777777" w:rsidR="001333B2" w:rsidRPr="001333B2" w:rsidRDefault="001333B2" w:rsidP="001333B2">
            <w:pPr>
              <w:suppressAutoHyphens w:val="0"/>
              <w:jc w:val="both"/>
              <w:rPr>
                <w:rFonts w:ascii="Garamond" w:eastAsia="Times New Roman" w:hAnsi="Garamond" w:cs="Times New Roman"/>
                <w:sz w:val="22"/>
                <w:szCs w:val="24"/>
              </w:rPr>
            </w:pPr>
            <w:r w:rsidRPr="001333B2">
              <w:rPr>
                <w:rFonts w:ascii="Garamond" w:eastAsia="Times New Roman" w:hAnsi="Garamond" w:cs="Times New Roman"/>
                <w:sz w:val="22"/>
                <w:szCs w:val="24"/>
              </w:rPr>
              <w:t>Полное наименование юридического лица</w:t>
            </w:r>
          </w:p>
        </w:tc>
        <w:tc>
          <w:tcPr>
            <w:tcW w:w="5141" w:type="dxa"/>
            <w:vAlign w:val="center"/>
          </w:tcPr>
          <w:p w14:paraId="29E926D3" w14:textId="77777777" w:rsidR="001333B2" w:rsidRPr="001333B2" w:rsidRDefault="001333B2" w:rsidP="001333B2">
            <w:pPr>
              <w:suppressAutoHyphens w:val="0"/>
              <w:jc w:val="center"/>
              <w:rPr>
                <w:rFonts w:ascii="Garamond" w:eastAsia="Times New Roman" w:hAnsi="Garamond" w:cs="Times New Roman"/>
                <w:sz w:val="22"/>
                <w:szCs w:val="24"/>
              </w:rPr>
            </w:pPr>
            <w:r w:rsidRPr="001333B2">
              <w:rPr>
                <w:rFonts w:ascii="Garamond" w:eastAsia="Times New Roman" w:hAnsi="Garamond" w:cs="Times New Roman"/>
                <w:sz w:val="22"/>
                <w:szCs w:val="24"/>
              </w:rPr>
              <w:t>Акционерное Общество «Агрегатор»</w:t>
            </w:r>
          </w:p>
        </w:tc>
      </w:tr>
      <w:tr w:rsidR="001333B2" w:rsidRPr="001333B2" w14:paraId="21AE5506" w14:textId="77777777" w:rsidTr="0064152E">
        <w:trPr>
          <w:trHeight w:val="567"/>
        </w:trPr>
        <w:tc>
          <w:tcPr>
            <w:tcW w:w="4204" w:type="dxa"/>
            <w:shd w:val="clear" w:color="auto" w:fill="D9D9D9"/>
            <w:vAlign w:val="center"/>
          </w:tcPr>
          <w:p w14:paraId="75EC702F" w14:textId="77777777" w:rsidR="001333B2" w:rsidRPr="001333B2" w:rsidRDefault="001333B2" w:rsidP="001333B2">
            <w:pPr>
              <w:suppressAutoHyphens w:val="0"/>
              <w:jc w:val="both"/>
              <w:rPr>
                <w:rFonts w:ascii="Garamond" w:eastAsia="Times New Roman" w:hAnsi="Garamond" w:cs="Times New Roman"/>
                <w:sz w:val="22"/>
                <w:szCs w:val="24"/>
              </w:rPr>
            </w:pPr>
            <w:r w:rsidRPr="001333B2">
              <w:rPr>
                <w:rFonts w:ascii="Garamond" w:eastAsia="Times New Roman" w:hAnsi="Garamond" w:cs="Times New Roman"/>
                <w:sz w:val="22"/>
                <w:szCs w:val="24"/>
              </w:rPr>
              <w:t>Сокращенное наименование юридического лица</w:t>
            </w:r>
          </w:p>
        </w:tc>
        <w:tc>
          <w:tcPr>
            <w:tcW w:w="5141" w:type="dxa"/>
            <w:vAlign w:val="center"/>
          </w:tcPr>
          <w:p w14:paraId="0A98C446" w14:textId="77777777" w:rsidR="001333B2" w:rsidRPr="001333B2" w:rsidRDefault="001333B2" w:rsidP="001333B2">
            <w:pPr>
              <w:suppressAutoHyphens w:val="0"/>
              <w:jc w:val="center"/>
              <w:rPr>
                <w:rFonts w:ascii="Garamond" w:eastAsia="Times New Roman" w:hAnsi="Garamond" w:cs="Times New Roman"/>
                <w:sz w:val="22"/>
                <w:szCs w:val="24"/>
              </w:rPr>
            </w:pPr>
            <w:r w:rsidRPr="001333B2">
              <w:rPr>
                <w:rFonts w:ascii="Garamond" w:eastAsia="Times New Roman" w:hAnsi="Garamond" w:cs="Times New Roman"/>
                <w:sz w:val="22"/>
                <w:szCs w:val="24"/>
              </w:rPr>
              <w:t>АО «Агрегатор»</w:t>
            </w:r>
          </w:p>
        </w:tc>
      </w:tr>
      <w:tr w:rsidR="001333B2" w:rsidRPr="001333B2" w14:paraId="0D700926" w14:textId="77777777" w:rsidTr="0064152E">
        <w:trPr>
          <w:trHeight w:val="567"/>
        </w:trPr>
        <w:tc>
          <w:tcPr>
            <w:tcW w:w="4204" w:type="dxa"/>
            <w:shd w:val="clear" w:color="auto" w:fill="D9D9D9"/>
            <w:vAlign w:val="center"/>
          </w:tcPr>
          <w:p w14:paraId="3800855F" w14:textId="77777777" w:rsidR="001333B2" w:rsidRPr="001333B2" w:rsidRDefault="001333B2" w:rsidP="001333B2">
            <w:pPr>
              <w:suppressAutoHyphens w:val="0"/>
              <w:jc w:val="both"/>
              <w:rPr>
                <w:rFonts w:ascii="Garamond" w:eastAsia="Times New Roman" w:hAnsi="Garamond" w:cs="Times New Roman"/>
                <w:sz w:val="22"/>
                <w:szCs w:val="24"/>
              </w:rPr>
            </w:pPr>
            <w:r w:rsidRPr="001333B2">
              <w:rPr>
                <w:rFonts w:ascii="Garamond" w:eastAsia="Times New Roman" w:hAnsi="Garamond" w:cs="Times New Roman"/>
                <w:sz w:val="22"/>
                <w:szCs w:val="24"/>
              </w:rPr>
              <w:t>ИНН юридического лица</w:t>
            </w:r>
          </w:p>
        </w:tc>
        <w:tc>
          <w:tcPr>
            <w:tcW w:w="5141" w:type="dxa"/>
            <w:vAlign w:val="center"/>
          </w:tcPr>
          <w:p w14:paraId="07095E37" w14:textId="77777777" w:rsidR="001333B2" w:rsidRPr="001333B2" w:rsidRDefault="001333B2" w:rsidP="001333B2">
            <w:pPr>
              <w:suppressAutoHyphens w:val="0"/>
              <w:jc w:val="center"/>
              <w:rPr>
                <w:rFonts w:ascii="Garamond" w:eastAsia="Times New Roman" w:hAnsi="Garamond" w:cs="Times New Roman"/>
                <w:sz w:val="22"/>
                <w:szCs w:val="24"/>
              </w:rPr>
            </w:pPr>
            <w:r w:rsidRPr="001333B2">
              <w:rPr>
                <w:rFonts w:ascii="Garamond" w:eastAsia="Times New Roman" w:hAnsi="Garamond" w:cs="Times New Roman"/>
                <w:sz w:val="22"/>
                <w:szCs w:val="24"/>
              </w:rPr>
              <w:t>1234567890</w:t>
            </w:r>
          </w:p>
        </w:tc>
      </w:tr>
      <w:tr w:rsidR="001333B2" w:rsidRPr="001333B2" w14:paraId="07304229" w14:textId="77777777" w:rsidTr="0064152E">
        <w:trPr>
          <w:trHeight w:val="567"/>
        </w:trPr>
        <w:tc>
          <w:tcPr>
            <w:tcW w:w="4204" w:type="dxa"/>
            <w:shd w:val="clear" w:color="auto" w:fill="D9D9D9"/>
            <w:vAlign w:val="center"/>
          </w:tcPr>
          <w:p w14:paraId="1E1BADE1" w14:textId="77777777" w:rsidR="001333B2" w:rsidRPr="001333B2" w:rsidRDefault="001333B2" w:rsidP="001333B2">
            <w:pPr>
              <w:suppressAutoHyphens w:val="0"/>
              <w:jc w:val="both"/>
              <w:rPr>
                <w:rFonts w:ascii="Garamond" w:eastAsia="Times New Roman" w:hAnsi="Garamond" w:cs="Times New Roman"/>
                <w:sz w:val="22"/>
                <w:szCs w:val="24"/>
              </w:rPr>
            </w:pPr>
            <w:r w:rsidRPr="001333B2">
              <w:rPr>
                <w:rFonts w:ascii="Garamond" w:eastAsia="Times New Roman" w:hAnsi="Garamond" w:cs="Times New Roman"/>
                <w:sz w:val="22"/>
                <w:szCs w:val="24"/>
              </w:rPr>
              <w:t>Регистрационный номер в Реестре субъектов оптового рынка</w:t>
            </w:r>
          </w:p>
        </w:tc>
        <w:tc>
          <w:tcPr>
            <w:tcW w:w="5141" w:type="dxa"/>
            <w:vAlign w:val="center"/>
          </w:tcPr>
          <w:p w14:paraId="26EA579F" w14:textId="007CAC46" w:rsidR="001333B2" w:rsidRPr="001333B2" w:rsidRDefault="00DA697B" w:rsidP="00DA697B">
            <w:pPr>
              <w:suppressAutoHyphens w:val="0"/>
              <w:jc w:val="center"/>
              <w:rPr>
                <w:rFonts w:ascii="Garamond" w:eastAsia="Times New Roman" w:hAnsi="Garamond" w:cs="Times New Roman"/>
                <w:sz w:val="22"/>
                <w:szCs w:val="24"/>
              </w:rPr>
            </w:pPr>
            <w:r>
              <w:rPr>
                <w:rFonts w:ascii="Garamond" w:eastAsia="Times New Roman" w:hAnsi="Garamond" w:cs="Times New Roman"/>
                <w:sz w:val="22"/>
                <w:szCs w:val="24"/>
                <w:lang w:val="en-US"/>
              </w:rPr>
              <w:t>4</w:t>
            </w:r>
            <w:r w:rsidR="001333B2" w:rsidRPr="00DA697B">
              <w:rPr>
                <w:rFonts w:ascii="Garamond" w:eastAsia="Times New Roman" w:hAnsi="Garamond" w:cs="Times New Roman"/>
                <w:sz w:val="22"/>
                <w:szCs w:val="24"/>
              </w:rPr>
              <w:t>.</w:t>
            </w:r>
            <w:r>
              <w:rPr>
                <w:rFonts w:ascii="Garamond" w:eastAsia="Times New Roman" w:hAnsi="Garamond" w:cs="Times New Roman"/>
                <w:sz w:val="22"/>
                <w:szCs w:val="24"/>
                <w:lang w:val="en-US"/>
              </w:rPr>
              <w:t>1</w:t>
            </w:r>
            <w:r w:rsidR="001333B2" w:rsidRPr="00DA697B">
              <w:rPr>
                <w:rFonts w:ascii="Garamond" w:eastAsia="Times New Roman" w:hAnsi="Garamond" w:cs="Times New Roman"/>
                <w:sz w:val="22"/>
                <w:szCs w:val="24"/>
              </w:rPr>
              <w:t>.</w:t>
            </w:r>
            <w:r>
              <w:rPr>
                <w:rFonts w:ascii="Garamond" w:eastAsia="Times New Roman" w:hAnsi="Garamond" w:cs="Times New Roman"/>
                <w:sz w:val="22"/>
                <w:szCs w:val="24"/>
                <w:lang w:val="en-US"/>
              </w:rPr>
              <w:t>0001</w:t>
            </w:r>
          </w:p>
        </w:tc>
      </w:tr>
    </w:tbl>
    <w:p w14:paraId="6166D8BD" w14:textId="77777777" w:rsidR="001333B2" w:rsidRPr="001333B2" w:rsidRDefault="001333B2" w:rsidP="001333B2">
      <w:pPr>
        <w:suppressAutoHyphens w:val="0"/>
        <w:jc w:val="both"/>
        <w:rPr>
          <w:rFonts w:ascii="Garamond" w:eastAsia="Times New Roman" w:hAnsi="Garamond" w:cs="Times New Roman"/>
          <w:b/>
          <w:sz w:val="16"/>
          <w:szCs w:val="22"/>
        </w:rPr>
      </w:pPr>
    </w:p>
    <w:p w14:paraId="4195AD31" w14:textId="0A5E8952" w:rsidR="001333B2" w:rsidRPr="001333B2" w:rsidRDefault="001333B2" w:rsidP="001333B2">
      <w:pPr>
        <w:suppressAutoHyphens w:val="0"/>
        <w:jc w:val="center"/>
        <w:rPr>
          <w:rFonts w:ascii="Garamond" w:eastAsia="Times New Roman" w:hAnsi="Garamond" w:cs="Times New Roman"/>
          <w:b/>
          <w:sz w:val="22"/>
          <w:szCs w:val="22"/>
        </w:rPr>
      </w:pPr>
      <w:r w:rsidRPr="001333B2">
        <w:rPr>
          <w:rFonts w:ascii="Garamond" w:eastAsia="Times New Roman" w:hAnsi="Garamond" w:cs="Times New Roman"/>
          <w:b/>
          <w:sz w:val="22"/>
          <w:szCs w:val="22"/>
        </w:rPr>
        <w:t xml:space="preserve">выражает намерение </w:t>
      </w:r>
      <w:r w:rsidRPr="000F6978">
        <w:rPr>
          <w:rFonts w:ascii="Garamond" w:eastAsia="Times New Roman" w:hAnsi="Garamond" w:cs="Times New Roman"/>
          <w:b/>
          <w:sz w:val="22"/>
          <w:szCs w:val="22"/>
        </w:rPr>
        <w:t xml:space="preserve">зарегистрировать объект регулирования и провести аттестацию </w:t>
      </w:r>
      <w:r w:rsidR="00853A42" w:rsidRPr="000F6978">
        <w:rPr>
          <w:rFonts w:ascii="Garamond" w:eastAsia="Times New Roman" w:hAnsi="Garamond" w:cs="Times New Roman"/>
          <w:b/>
          <w:sz w:val="22"/>
          <w:szCs w:val="22"/>
        </w:rPr>
        <w:t>объекта регулирования</w:t>
      </w:r>
    </w:p>
    <w:p w14:paraId="2622052C" w14:textId="77777777" w:rsidR="001333B2" w:rsidRPr="001333B2" w:rsidRDefault="001333B2" w:rsidP="001333B2">
      <w:pPr>
        <w:suppressAutoHyphens w:val="0"/>
        <w:jc w:val="both"/>
        <w:rPr>
          <w:rFonts w:ascii="Garamond" w:eastAsia="Times New Roman" w:hAnsi="Garamond" w:cs="Times New Roman"/>
          <w:b/>
          <w:sz w:val="16"/>
          <w:szCs w:val="24"/>
        </w:rPr>
      </w:pPr>
    </w:p>
    <w:tbl>
      <w:tblPr>
        <w:tblW w:w="935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707"/>
        <w:gridCol w:w="3682"/>
        <w:gridCol w:w="2407"/>
        <w:gridCol w:w="143"/>
        <w:gridCol w:w="2420"/>
      </w:tblGrid>
      <w:tr w:rsidR="001333B2" w:rsidRPr="001333B2" w14:paraId="1AB1C9A0" w14:textId="77777777" w:rsidTr="0064152E">
        <w:trPr>
          <w:trHeight w:val="370"/>
        </w:trPr>
        <w:tc>
          <w:tcPr>
            <w:tcW w:w="9359" w:type="dxa"/>
            <w:gridSpan w:val="5"/>
            <w:shd w:val="clear" w:color="auto" w:fill="D9D9D9"/>
            <w:vAlign w:val="center"/>
          </w:tcPr>
          <w:p w14:paraId="022D30B2" w14:textId="77777777" w:rsidR="001333B2" w:rsidRPr="001333B2" w:rsidRDefault="001333B2" w:rsidP="001333B2">
            <w:pPr>
              <w:suppressAutoHyphens w:val="0"/>
              <w:jc w:val="both"/>
              <w:rPr>
                <w:rFonts w:ascii="Garamond" w:eastAsia="Times New Roman" w:hAnsi="Garamond" w:cs="Times New Roman"/>
                <w:sz w:val="22"/>
                <w:szCs w:val="24"/>
                <w:vertAlign w:val="superscript"/>
              </w:rPr>
            </w:pPr>
            <w:r w:rsidRPr="001333B2">
              <w:rPr>
                <w:rFonts w:ascii="Garamond" w:eastAsia="Times New Roman" w:hAnsi="Garamond" w:cs="Times New Roman"/>
                <w:b/>
                <w:sz w:val="22"/>
                <w:szCs w:val="24"/>
              </w:rPr>
              <w:t>1. Общие характеристики объекта регулирования</w:t>
            </w:r>
          </w:p>
        </w:tc>
      </w:tr>
      <w:tr w:rsidR="001333B2" w:rsidRPr="001333B2" w14:paraId="6871A2F5" w14:textId="77777777" w:rsidTr="005760BA">
        <w:trPr>
          <w:trHeight w:val="567"/>
        </w:trPr>
        <w:tc>
          <w:tcPr>
            <w:tcW w:w="4389" w:type="dxa"/>
            <w:gridSpan w:val="2"/>
            <w:shd w:val="clear" w:color="auto" w:fill="D9D9D9"/>
            <w:vAlign w:val="center"/>
          </w:tcPr>
          <w:p w14:paraId="3190B201" w14:textId="77777777" w:rsidR="001333B2" w:rsidRPr="001333B2" w:rsidRDefault="001333B2" w:rsidP="001333B2">
            <w:pPr>
              <w:suppressAutoHyphens w:val="0"/>
              <w:jc w:val="both"/>
              <w:rPr>
                <w:rFonts w:ascii="Garamond" w:eastAsia="Times New Roman" w:hAnsi="Garamond" w:cs="Times New Roman"/>
                <w:sz w:val="22"/>
                <w:szCs w:val="24"/>
              </w:rPr>
            </w:pPr>
            <w:r w:rsidRPr="001333B2">
              <w:rPr>
                <w:rFonts w:ascii="Garamond" w:eastAsia="Times New Roman" w:hAnsi="Garamond" w:cs="Times New Roman"/>
                <w:sz w:val="22"/>
                <w:szCs w:val="24"/>
              </w:rPr>
              <w:t>Наименование объекта регулирования</w:t>
            </w:r>
          </w:p>
        </w:tc>
        <w:tc>
          <w:tcPr>
            <w:tcW w:w="4970" w:type="dxa"/>
            <w:gridSpan w:val="3"/>
            <w:vAlign w:val="center"/>
          </w:tcPr>
          <w:p w14:paraId="1709A7A8" w14:textId="77777777" w:rsidR="001333B2" w:rsidRPr="001333B2" w:rsidRDefault="001333B2" w:rsidP="001333B2">
            <w:pPr>
              <w:suppressAutoHyphens w:val="0"/>
              <w:jc w:val="center"/>
              <w:rPr>
                <w:rFonts w:ascii="Garamond" w:eastAsia="Times New Roman" w:hAnsi="Garamond" w:cs="Times New Roman"/>
                <w:sz w:val="22"/>
                <w:szCs w:val="24"/>
              </w:rPr>
            </w:pPr>
            <w:r w:rsidRPr="001333B2">
              <w:rPr>
                <w:rFonts w:ascii="Garamond" w:eastAsia="Times New Roman" w:hAnsi="Garamond" w:cs="Times New Roman"/>
                <w:sz w:val="22"/>
                <w:szCs w:val="24"/>
              </w:rPr>
              <w:t>Объект регулирования АО «Металл завод»</w:t>
            </w:r>
          </w:p>
        </w:tc>
      </w:tr>
      <w:tr w:rsidR="001333B2" w:rsidRPr="001333B2" w14:paraId="31D6949B" w14:textId="77777777" w:rsidTr="005760BA">
        <w:trPr>
          <w:trHeight w:val="567"/>
        </w:trPr>
        <w:tc>
          <w:tcPr>
            <w:tcW w:w="4389" w:type="dxa"/>
            <w:gridSpan w:val="2"/>
            <w:shd w:val="clear" w:color="auto" w:fill="D9D9D9"/>
            <w:vAlign w:val="center"/>
          </w:tcPr>
          <w:p w14:paraId="6A85836B" w14:textId="77777777" w:rsidR="001333B2" w:rsidRPr="001333B2" w:rsidRDefault="001333B2" w:rsidP="001333B2">
            <w:pPr>
              <w:suppressAutoHyphens w:val="0"/>
              <w:jc w:val="both"/>
              <w:rPr>
                <w:rFonts w:ascii="Garamond" w:eastAsia="Times New Roman" w:hAnsi="Garamond" w:cs="Times New Roman"/>
                <w:sz w:val="22"/>
                <w:szCs w:val="24"/>
              </w:rPr>
            </w:pPr>
            <w:r w:rsidRPr="001333B2">
              <w:rPr>
                <w:rFonts w:ascii="Garamond" w:eastAsia="Times New Roman" w:hAnsi="Garamond" w:cs="Times New Roman"/>
                <w:sz w:val="22"/>
                <w:szCs w:val="24"/>
              </w:rPr>
              <w:t>Ценовая зона</w:t>
            </w:r>
          </w:p>
        </w:tc>
        <w:tc>
          <w:tcPr>
            <w:tcW w:w="4970" w:type="dxa"/>
            <w:gridSpan w:val="3"/>
            <w:vAlign w:val="center"/>
          </w:tcPr>
          <w:p w14:paraId="1F0F87B9" w14:textId="77777777" w:rsidR="001333B2" w:rsidRPr="001333B2" w:rsidRDefault="001333B2" w:rsidP="001333B2">
            <w:pPr>
              <w:suppressAutoHyphens w:val="0"/>
              <w:jc w:val="center"/>
              <w:rPr>
                <w:rFonts w:ascii="Garamond" w:eastAsia="Times New Roman" w:hAnsi="Garamond" w:cs="Times New Roman"/>
                <w:sz w:val="22"/>
                <w:szCs w:val="24"/>
              </w:rPr>
            </w:pPr>
            <w:r w:rsidRPr="001333B2">
              <w:rPr>
                <w:rFonts w:ascii="Garamond" w:eastAsia="Times New Roman" w:hAnsi="Garamond" w:cs="Times New Roman"/>
                <w:sz w:val="22"/>
                <w:szCs w:val="24"/>
              </w:rPr>
              <w:t>Первая ценовая зона</w:t>
            </w:r>
          </w:p>
        </w:tc>
      </w:tr>
      <w:tr w:rsidR="001333B2" w:rsidRPr="001333B2" w14:paraId="2F2C384A" w14:textId="77777777" w:rsidTr="005760BA">
        <w:trPr>
          <w:trHeight w:val="567"/>
        </w:trPr>
        <w:tc>
          <w:tcPr>
            <w:tcW w:w="4389" w:type="dxa"/>
            <w:gridSpan w:val="2"/>
            <w:shd w:val="clear" w:color="auto" w:fill="D9D9D9"/>
            <w:vAlign w:val="center"/>
          </w:tcPr>
          <w:p w14:paraId="100FD454" w14:textId="77777777" w:rsidR="001333B2" w:rsidRPr="001333B2" w:rsidRDefault="001333B2" w:rsidP="001333B2">
            <w:pPr>
              <w:suppressAutoHyphens w:val="0"/>
              <w:jc w:val="both"/>
              <w:rPr>
                <w:rFonts w:ascii="Garamond" w:eastAsia="Times New Roman" w:hAnsi="Garamond" w:cs="Times New Roman"/>
                <w:sz w:val="22"/>
                <w:szCs w:val="24"/>
              </w:rPr>
            </w:pPr>
            <w:r w:rsidRPr="001333B2">
              <w:rPr>
                <w:rFonts w:ascii="Garamond" w:eastAsia="Times New Roman" w:hAnsi="Garamond" w:cs="Times New Roman"/>
                <w:sz w:val="22"/>
                <w:szCs w:val="24"/>
              </w:rPr>
              <w:t>Субъект РФ</w:t>
            </w:r>
          </w:p>
        </w:tc>
        <w:tc>
          <w:tcPr>
            <w:tcW w:w="4970" w:type="dxa"/>
            <w:gridSpan w:val="3"/>
            <w:vAlign w:val="center"/>
          </w:tcPr>
          <w:p w14:paraId="4A516212" w14:textId="77777777" w:rsidR="001333B2" w:rsidRPr="001333B2" w:rsidRDefault="001333B2" w:rsidP="001333B2">
            <w:pPr>
              <w:suppressAutoHyphens w:val="0"/>
              <w:jc w:val="center"/>
              <w:rPr>
                <w:rFonts w:ascii="Garamond" w:eastAsia="Times New Roman" w:hAnsi="Garamond" w:cs="Times New Roman"/>
                <w:sz w:val="22"/>
                <w:szCs w:val="24"/>
              </w:rPr>
            </w:pPr>
            <w:r w:rsidRPr="001333B2">
              <w:rPr>
                <w:rFonts w:ascii="Garamond" w:eastAsia="Times New Roman" w:hAnsi="Garamond" w:cs="Times New Roman"/>
                <w:sz w:val="22"/>
                <w:szCs w:val="24"/>
              </w:rPr>
              <w:t>Московская область</w:t>
            </w:r>
          </w:p>
        </w:tc>
      </w:tr>
      <w:tr w:rsidR="001333B2" w:rsidRPr="001333B2" w14:paraId="0237A3F6" w14:textId="77777777" w:rsidTr="005760BA">
        <w:trPr>
          <w:trHeight w:val="567"/>
        </w:trPr>
        <w:tc>
          <w:tcPr>
            <w:tcW w:w="4389" w:type="dxa"/>
            <w:gridSpan w:val="2"/>
            <w:shd w:val="clear" w:color="auto" w:fill="D9D9D9"/>
            <w:vAlign w:val="center"/>
          </w:tcPr>
          <w:p w14:paraId="4E782A00" w14:textId="77777777" w:rsidR="001333B2" w:rsidRPr="001333B2" w:rsidRDefault="001333B2" w:rsidP="001333B2">
            <w:pPr>
              <w:suppressAutoHyphens w:val="0"/>
              <w:rPr>
                <w:rFonts w:ascii="Garamond" w:eastAsia="Times New Roman" w:hAnsi="Garamond" w:cs="Times New Roman"/>
                <w:sz w:val="22"/>
                <w:szCs w:val="24"/>
              </w:rPr>
            </w:pPr>
            <w:r w:rsidRPr="001333B2">
              <w:rPr>
                <w:rFonts w:ascii="Garamond" w:eastAsia="Times New Roman" w:hAnsi="Garamond" w:cs="Times New Roman"/>
                <w:sz w:val="22"/>
                <w:szCs w:val="24"/>
              </w:rPr>
              <w:t>Адрес местонахождения объекта регулирования</w:t>
            </w:r>
          </w:p>
        </w:tc>
        <w:tc>
          <w:tcPr>
            <w:tcW w:w="4970" w:type="dxa"/>
            <w:gridSpan w:val="3"/>
            <w:vAlign w:val="center"/>
          </w:tcPr>
          <w:p w14:paraId="72F027E6" w14:textId="77777777" w:rsidR="001333B2" w:rsidRPr="001333B2" w:rsidRDefault="001333B2" w:rsidP="001333B2">
            <w:pPr>
              <w:suppressAutoHyphens w:val="0"/>
              <w:jc w:val="center"/>
              <w:rPr>
                <w:rFonts w:ascii="Garamond" w:eastAsia="Times New Roman" w:hAnsi="Garamond" w:cs="Times New Roman"/>
                <w:sz w:val="22"/>
                <w:szCs w:val="24"/>
              </w:rPr>
            </w:pPr>
            <w:r w:rsidRPr="001333B2">
              <w:rPr>
                <w:rFonts w:ascii="Garamond" w:eastAsia="Times New Roman" w:hAnsi="Garamond" w:cs="Times New Roman"/>
                <w:sz w:val="22"/>
                <w:szCs w:val="24"/>
              </w:rPr>
              <w:t>Московская область, г. Щелково, Октябрьская улица, дом 201, строение 10</w:t>
            </w:r>
          </w:p>
        </w:tc>
      </w:tr>
      <w:tr w:rsidR="001333B2" w:rsidRPr="001333B2" w14:paraId="395C7D87" w14:textId="77777777" w:rsidTr="005760BA">
        <w:trPr>
          <w:trHeight w:val="567"/>
        </w:trPr>
        <w:tc>
          <w:tcPr>
            <w:tcW w:w="4389" w:type="dxa"/>
            <w:gridSpan w:val="2"/>
            <w:shd w:val="clear" w:color="auto" w:fill="D9D9D9"/>
            <w:vAlign w:val="center"/>
          </w:tcPr>
          <w:p w14:paraId="2B99BC28" w14:textId="77777777" w:rsidR="001333B2" w:rsidRPr="001333B2" w:rsidRDefault="001333B2" w:rsidP="001333B2">
            <w:pPr>
              <w:suppressAutoHyphens w:val="0"/>
              <w:rPr>
                <w:rFonts w:ascii="Garamond" w:eastAsia="Times New Roman" w:hAnsi="Garamond" w:cs="Times New Roman"/>
                <w:sz w:val="22"/>
                <w:szCs w:val="24"/>
              </w:rPr>
            </w:pPr>
            <w:r w:rsidRPr="001333B2">
              <w:rPr>
                <w:rFonts w:ascii="Garamond" w:eastAsia="Times New Roman" w:hAnsi="Garamond" w:cs="Times New Roman"/>
                <w:sz w:val="22"/>
                <w:szCs w:val="24"/>
              </w:rPr>
              <w:t>Номер реестровой записи в ФИАС</w:t>
            </w:r>
          </w:p>
        </w:tc>
        <w:tc>
          <w:tcPr>
            <w:tcW w:w="4970" w:type="dxa"/>
            <w:gridSpan w:val="3"/>
            <w:vAlign w:val="center"/>
          </w:tcPr>
          <w:p w14:paraId="43D40F51" w14:textId="77777777" w:rsidR="001333B2" w:rsidRPr="001333B2" w:rsidRDefault="001333B2" w:rsidP="001333B2">
            <w:pPr>
              <w:suppressAutoHyphens w:val="0"/>
              <w:jc w:val="center"/>
              <w:rPr>
                <w:rFonts w:ascii="Garamond" w:eastAsia="Times New Roman" w:hAnsi="Garamond" w:cs="Times New Roman"/>
                <w:i/>
                <w:sz w:val="22"/>
                <w:szCs w:val="24"/>
              </w:rPr>
            </w:pPr>
            <w:r w:rsidRPr="001333B2">
              <w:rPr>
                <w:rFonts w:ascii="Garamond" w:eastAsia="Times New Roman" w:hAnsi="Garamond" w:cs="Times New Roman"/>
                <w:sz w:val="22"/>
                <w:szCs w:val="24"/>
              </w:rPr>
              <w:t>459580000000000773920010000009999</w:t>
            </w:r>
          </w:p>
        </w:tc>
      </w:tr>
      <w:tr w:rsidR="001333B2" w:rsidRPr="001333B2" w14:paraId="2C8000D2" w14:textId="77777777" w:rsidTr="005760BA">
        <w:trPr>
          <w:trHeight w:val="567"/>
        </w:trPr>
        <w:tc>
          <w:tcPr>
            <w:tcW w:w="4389" w:type="dxa"/>
            <w:gridSpan w:val="2"/>
            <w:shd w:val="clear" w:color="auto" w:fill="D9D9D9"/>
            <w:vAlign w:val="center"/>
          </w:tcPr>
          <w:p w14:paraId="2C487B7C" w14:textId="77777777" w:rsidR="001333B2" w:rsidRPr="001333B2" w:rsidRDefault="001333B2" w:rsidP="001333B2">
            <w:pPr>
              <w:suppressAutoHyphens w:val="0"/>
              <w:rPr>
                <w:rFonts w:ascii="Garamond" w:eastAsia="Times New Roman" w:hAnsi="Garamond" w:cs="Times New Roman"/>
                <w:sz w:val="22"/>
                <w:szCs w:val="24"/>
              </w:rPr>
            </w:pPr>
            <w:r w:rsidRPr="001333B2">
              <w:rPr>
                <w:rFonts w:ascii="Garamond" w:eastAsia="Times New Roman" w:hAnsi="Garamond" w:cs="Times New Roman"/>
                <w:sz w:val="22"/>
                <w:szCs w:val="24"/>
              </w:rPr>
              <w:t>Полное наименование потребителя</w:t>
            </w:r>
          </w:p>
        </w:tc>
        <w:tc>
          <w:tcPr>
            <w:tcW w:w="4970" w:type="dxa"/>
            <w:gridSpan w:val="3"/>
            <w:vAlign w:val="center"/>
          </w:tcPr>
          <w:p w14:paraId="73B61CE9" w14:textId="37A5C7F3" w:rsidR="001333B2" w:rsidRPr="001333B2" w:rsidRDefault="001333B2" w:rsidP="000F6978">
            <w:pPr>
              <w:suppressAutoHyphens w:val="0"/>
              <w:jc w:val="center"/>
              <w:rPr>
                <w:rFonts w:ascii="Garamond" w:eastAsia="Times New Roman" w:hAnsi="Garamond" w:cs="Times New Roman"/>
                <w:sz w:val="22"/>
                <w:szCs w:val="24"/>
              </w:rPr>
            </w:pPr>
            <w:r w:rsidRPr="001333B2">
              <w:rPr>
                <w:rFonts w:ascii="Garamond" w:eastAsia="Times New Roman" w:hAnsi="Garamond" w:cs="Times New Roman"/>
                <w:sz w:val="22"/>
                <w:szCs w:val="24"/>
              </w:rPr>
              <w:t xml:space="preserve">Акционерное </w:t>
            </w:r>
            <w:r w:rsidR="000F6978">
              <w:rPr>
                <w:rFonts w:ascii="Garamond" w:eastAsia="Times New Roman" w:hAnsi="Garamond" w:cs="Times New Roman"/>
                <w:sz w:val="22"/>
                <w:szCs w:val="24"/>
              </w:rPr>
              <w:t>о</w:t>
            </w:r>
            <w:r w:rsidRPr="001333B2">
              <w:rPr>
                <w:rFonts w:ascii="Garamond" w:eastAsia="Times New Roman" w:hAnsi="Garamond" w:cs="Times New Roman"/>
                <w:sz w:val="22"/>
                <w:szCs w:val="24"/>
              </w:rPr>
              <w:t>бщество «Металлургический завод»</w:t>
            </w:r>
          </w:p>
        </w:tc>
      </w:tr>
      <w:tr w:rsidR="001333B2" w:rsidRPr="001333B2" w14:paraId="6C04841D" w14:textId="77777777" w:rsidTr="005760BA">
        <w:trPr>
          <w:trHeight w:val="567"/>
        </w:trPr>
        <w:tc>
          <w:tcPr>
            <w:tcW w:w="4389" w:type="dxa"/>
            <w:gridSpan w:val="2"/>
            <w:shd w:val="clear" w:color="auto" w:fill="D9D9D9"/>
            <w:vAlign w:val="center"/>
          </w:tcPr>
          <w:p w14:paraId="45AC3A9A" w14:textId="77777777" w:rsidR="001333B2" w:rsidRPr="001333B2" w:rsidRDefault="001333B2" w:rsidP="001333B2">
            <w:pPr>
              <w:suppressAutoHyphens w:val="0"/>
              <w:rPr>
                <w:rFonts w:ascii="Garamond" w:eastAsia="Times New Roman" w:hAnsi="Garamond" w:cs="Times New Roman"/>
                <w:sz w:val="22"/>
                <w:szCs w:val="24"/>
              </w:rPr>
            </w:pPr>
            <w:r w:rsidRPr="001333B2">
              <w:rPr>
                <w:rFonts w:ascii="Garamond" w:eastAsia="Times New Roman" w:hAnsi="Garamond" w:cs="Times New Roman"/>
                <w:sz w:val="22"/>
                <w:szCs w:val="24"/>
              </w:rPr>
              <w:t>Сокращенное наименование потребителя</w:t>
            </w:r>
          </w:p>
        </w:tc>
        <w:tc>
          <w:tcPr>
            <w:tcW w:w="4970" w:type="dxa"/>
            <w:gridSpan w:val="3"/>
            <w:vAlign w:val="center"/>
          </w:tcPr>
          <w:p w14:paraId="7B50F644" w14:textId="77777777" w:rsidR="001333B2" w:rsidRPr="001333B2" w:rsidRDefault="001333B2" w:rsidP="001333B2">
            <w:pPr>
              <w:suppressAutoHyphens w:val="0"/>
              <w:jc w:val="center"/>
              <w:rPr>
                <w:rFonts w:ascii="Garamond" w:eastAsia="Times New Roman" w:hAnsi="Garamond" w:cs="Times New Roman"/>
                <w:sz w:val="22"/>
                <w:szCs w:val="24"/>
              </w:rPr>
            </w:pPr>
            <w:r w:rsidRPr="001333B2">
              <w:rPr>
                <w:rFonts w:ascii="Garamond" w:eastAsia="Times New Roman" w:hAnsi="Garamond" w:cs="Times New Roman"/>
                <w:sz w:val="22"/>
                <w:szCs w:val="24"/>
              </w:rPr>
              <w:t>АО «Металл завод»</w:t>
            </w:r>
          </w:p>
        </w:tc>
      </w:tr>
      <w:tr w:rsidR="001333B2" w:rsidRPr="001333B2" w14:paraId="3E7D72B2" w14:textId="77777777" w:rsidTr="005760BA">
        <w:trPr>
          <w:trHeight w:val="567"/>
        </w:trPr>
        <w:tc>
          <w:tcPr>
            <w:tcW w:w="4389" w:type="dxa"/>
            <w:gridSpan w:val="2"/>
            <w:shd w:val="clear" w:color="auto" w:fill="D9D9D9"/>
            <w:vAlign w:val="center"/>
          </w:tcPr>
          <w:p w14:paraId="044D3EA8" w14:textId="77777777" w:rsidR="001333B2" w:rsidRPr="001333B2" w:rsidRDefault="001333B2" w:rsidP="001333B2">
            <w:pPr>
              <w:suppressAutoHyphens w:val="0"/>
              <w:rPr>
                <w:rFonts w:ascii="Garamond" w:eastAsia="Times New Roman" w:hAnsi="Garamond" w:cs="Times New Roman"/>
                <w:sz w:val="22"/>
                <w:szCs w:val="24"/>
              </w:rPr>
            </w:pPr>
            <w:r w:rsidRPr="001333B2">
              <w:rPr>
                <w:rFonts w:ascii="Garamond" w:eastAsia="Times New Roman" w:hAnsi="Garamond" w:cs="Times New Roman"/>
                <w:sz w:val="22"/>
                <w:szCs w:val="24"/>
              </w:rPr>
              <w:t>ИНН потребителя</w:t>
            </w:r>
          </w:p>
        </w:tc>
        <w:tc>
          <w:tcPr>
            <w:tcW w:w="4970" w:type="dxa"/>
            <w:gridSpan w:val="3"/>
            <w:vAlign w:val="center"/>
          </w:tcPr>
          <w:p w14:paraId="226958B9" w14:textId="77777777" w:rsidR="001333B2" w:rsidRPr="001333B2" w:rsidRDefault="001333B2" w:rsidP="001333B2">
            <w:pPr>
              <w:suppressAutoHyphens w:val="0"/>
              <w:jc w:val="center"/>
              <w:rPr>
                <w:rFonts w:ascii="Garamond" w:eastAsia="Times New Roman" w:hAnsi="Garamond" w:cs="Times New Roman"/>
                <w:sz w:val="22"/>
                <w:szCs w:val="24"/>
              </w:rPr>
            </w:pPr>
            <w:r w:rsidRPr="001333B2">
              <w:rPr>
                <w:rFonts w:ascii="Garamond" w:eastAsia="Times New Roman" w:hAnsi="Garamond" w:cs="Times New Roman"/>
                <w:sz w:val="22"/>
                <w:szCs w:val="24"/>
              </w:rPr>
              <w:t>1234567891</w:t>
            </w:r>
          </w:p>
        </w:tc>
      </w:tr>
      <w:tr w:rsidR="001333B2" w:rsidRPr="001333B2" w14:paraId="1E4480F0" w14:textId="77777777" w:rsidTr="005760BA">
        <w:trPr>
          <w:trHeight w:val="567"/>
        </w:trPr>
        <w:tc>
          <w:tcPr>
            <w:tcW w:w="4389" w:type="dxa"/>
            <w:gridSpan w:val="2"/>
            <w:shd w:val="clear" w:color="auto" w:fill="D9D9D9"/>
            <w:vAlign w:val="center"/>
          </w:tcPr>
          <w:p w14:paraId="6DA5E70F" w14:textId="77777777" w:rsidR="001333B2" w:rsidRPr="001333B2" w:rsidRDefault="001333B2" w:rsidP="001333B2">
            <w:pPr>
              <w:suppressAutoHyphens w:val="0"/>
              <w:rPr>
                <w:rFonts w:ascii="Garamond" w:eastAsia="Times New Roman" w:hAnsi="Garamond" w:cs="Times New Roman"/>
                <w:sz w:val="22"/>
                <w:szCs w:val="24"/>
              </w:rPr>
            </w:pPr>
            <w:r w:rsidRPr="001333B2">
              <w:rPr>
                <w:rFonts w:ascii="Garamond" w:eastAsia="Times New Roman" w:hAnsi="Garamond" w:cs="Times New Roman"/>
                <w:sz w:val="22"/>
                <w:szCs w:val="24"/>
              </w:rPr>
              <w:t>ОГРН/ОГРНИП потребителя</w:t>
            </w:r>
          </w:p>
        </w:tc>
        <w:tc>
          <w:tcPr>
            <w:tcW w:w="4970" w:type="dxa"/>
            <w:gridSpan w:val="3"/>
            <w:vAlign w:val="center"/>
          </w:tcPr>
          <w:p w14:paraId="109E26D5" w14:textId="77777777" w:rsidR="001333B2" w:rsidRPr="001333B2" w:rsidRDefault="001333B2" w:rsidP="001333B2">
            <w:pPr>
              <w:suppressAutoHyphens w:val="0"/>
              <w:jc w:val="center"/>
              <w:rPr>
                <w:rFonts w:ascii="Garamond" w:eastAsia="Times New Roman" w:hAnsi="Garamond" w:cs="Times New Roman"/>
                <w:i/>
                <w:sz w:val="22"/>
                <w:szCs w:val="24"/>
              </w:rPr>
            </w:pPr>
            <w:r w:rsidRPr="001333B2">
              <w:rPr>
                <w:rFonts w:ascii="Garamond" w:eastAsia="Times New Roman" w:hAnsi="Garamond" w:cs="Times New Roman"/>
                <w:sz w:val="22"/>
                <w:szCs w:val="24"/>
              </w:rPr>
              <w:t>1234567890123</w:t>
            </w:r>
          </w:p>
        </w:tc>
      </w:tr>
      <w:tr w:rsidR="001333B2" w:rsidRPr="001333B2" w14:paraId="52F36A38" w14:textId="77777777" w:rsidTr="005760BA">
        <w:trPr>
          <w:trHeight w:val="567"/>
        </w:trPr>
        <w:tc>
          <w:tcPr>
            <w:tcW w:w="4389" w:type="dxa"/>
            <w:gridSpan w:val="2"/>
            <w:shd w:val="clear" w:color="auto" w:fill="D9D9D9"/>
            <w:vAlign w:val="center"/>
          </w:tcPr>
          <w:p w14:paraId="45133C92" w14:textId="084144FE" w:rsidR="001333B2" w:rsidRPr="001333B2" w:rsidRDefault="001333B2" w:rsidP="001333B2">
            <w:pPr>
              <w:suppressAutoHyphens w:val="0"/>
              <w:rPr>
                <w:rFonts w:ascii="Garamond" w:eastAsia="Times New Roman" w:hAnsi="Garamond" w:cs="Times New Roman"/>
                <w:sz w:val="22"/>
                <w:szCs w:val="24"/>
              </w:rPr>
            </w:pPr>
            <w:r w:rsidRPr="001333B2">
              <w:rPr>
                <w:rFonts w:ascii="Garamond" w:eastAsia="Times New Roman" w:hAnsi="Garamond" w:cs="Times New Roman"/>
                <w:sz w:val="22"/>
                <w:szCs w:val="24"/>
              </w:rPr>
              <w:t>Код и наименование вида деятельности потребителя с использованием электрооборудования</w:t>
            </w:r>
            <w:r w:rsidR="000F6978">
              <w:rPr>
                <w:rFonts w:ascii="Garamond" w:eastAsia="Times New Roman" w:hAnsi="Garamond" w:cs="Times New Roman"/>
                <w:sz w:val="22"/>
                <w:szCs w:val="24"/>
              </w:rPr>
              <w:t>,</w:t>
            </w:r>
            <w:r w:rsidRPr="001333B2">
              <w:rPr>
                <w:rFonts w:ascii="Garamond" w:eastAsia="Times New Roman" w:hAnsi="Garamond" w:cs="Times New Roman"/>
                <w:sz w:val="22"/>
                <w:szCs w:val="24"/>
              </w:rPr>
              <w:t xml:space="preserve"> входящего в объект регулирования</w:t>
            </w:r>
          </w:p>
        </w:tc>
        <w:tc>
          <w:tcPr>
            <w:tcW w:w="4970" w:type="dxa"/>
            <w:gridSpan w:val="3"/>
            <w:vAlign w:val="center"/>
          </w:tcPr>
          <w:p w14:paraId="0E078E86" w14:textId="77777777" w:rsidR="001333B2" w:rsidRPr="001333B2" w:rsidRDefault="001333B2" w:rsidP="001333B2">
            <w:pPr>
              <w:suppressAutoHyphens w:val="0"/>
              <w:jc w:val="both"/>
              <w:rPr>
                <w:rFonts w:ascii="Garamond" w:eastAsia="Times New Roman" w:hAnsi="Garamond" w:cs="Times New Roman"/>
                <w:sz w:val="22"/>
                <w:szCs w:val="24"/>
              </w:rPr>
            </w:pPr>
            <w:r w:rsidRPr="001333B2">
              <w:rPr>
                <w:rFonts w:ascii="Garamond" w:eastAsia="Times New Roman" w:hAnsi="Garamond" w:cs="Times New Roman"/>
                <w:sz w:val="22"/>
                <w:szCs w:val="24"/>
              </w:rPr>
              <w:t>24.1 Производство чугуна, стали и ферросплавов</w:t>
            </w:r>
          </w:p>
        </w:tc>
      </w:tr>
      <w:tr w:rsidR="001333B2" w:rsidRPr="001333B2" w14:paraId="2473C307" w14:textId="77777777" w:rsidTr="005760BA">
        <w:trPr>
          <w:trHeight w:val="567"/>
        </w:trPr>
        <w:tc>
          <w:tcPr>
            <w:tcW w:w="4389" w:type="dxa"/>
            <w:gridSpan w:val="2"/>
            <w:shd w:val="clear" w:color="auto" w:fill="D9D9D9"/>
            <w:vAlign w:val="center"/>
          </w:tcPr>
          <w:p w14:paraId="5F3EC161" w14:textId="77777777" w:rsidR="001333B2" w:rsidRPr="001333B2" w:rsidRDefault="001333B2" w:rsidP="001333B2">
            <w:pPr>
              <w:suppressAutoHyphens w:val="0"/>
              <w:jc w:val="both"/>
              <w:rPr>
                <w:rFonts w:ascii="Garamond" w:eastAsia="Times New Roman" w:hAnsi="Garamond" w:cs="Times New Roman"/>
                <w:sz w:val="22"/>
                <w:szCs w:val="24"/>
              </w:rPr>
            </w:pPr>
            <w:r w:rsidRPr="001333B2">
              <w:rPr>
                <w:rFonts w:ascii="Garamond" w:eastAsia="Times New Roman" w:hAnsi="Garamond" w:cs="Times New Roman"/>
                <w:sz w:val="22"/>
                <w:szCs w:val="24"/>
              </w:rPr>
              <w:t>Количество точек присоединения объекта регулирования к внешним электрическим сетям</w:t>
            </w:r>
          </w:p>
        </w:tc>
        <w:tc>
          <w:tcPr>
            <w:tcW w:w="4970" w:type="dxa"/>
            <w:gridSpan w:val="3"/>
            <w:vAlign w:val="center"/>
          </w:tcPr>
          <w:p w14:paraId="058D9AAE" w14:textId="77777777" w:rsidR="001333B2" w:rsidRPr="001333B2" w:rsidRDefault="001333B2" w:rsidP="001333B2">
            <w:pPr>
              <w:suppressAutoHyphens w:val="0"/>
              <w:jc w:val="center"/>
              <w:rPr>
                <w:rFonts w:ascii="Garamond" w:eastAsia="Times New Roman" w:hAnsi="Garamond" w:cs="Times New Roman"/>
                <w:sz w:val="22"/>
                <w:szCs w:val="24"/>
              </w:rPr>
            </w:pPr>
            <w:r w:rsidRPr="001333B2">
              <w:rPr>
                <w:rFonts w:ascii="Garamond" w:eastAsia="Times New Roman" w:hAnsi="Garamond" w:cs="Times New Roman"/>
                <w:sz w:val="22"/>
                <w:szCs w:val="24"/>
              </w:rPr>
              <w:t>5</w:t>
            </w:r>
          </w:p>
        </w:tc>
      </w:tr>
      <w:tr w:rsidR="001333B2" w:rsidRPr="001333B2" w14:paraId="34EC9305" w14:textId="77777777" w:rsidTr="005760BA">
        <w:trPr>
          <w:trHeight w:val="567"/>
        </w:trPr>
        <w:tc>
          <w:tcPr>
            <w:tcW w:w="4389" w:type="dxa"/>
            <w:gridSpan w:val="2"/>
            <w:shd w:val="clear" w:color="auto" w:fill="D9D9D9"/>
            <w:vAlign w:val="center"/>
          </w:tcPr>
          <w:p w14:paraId="080DB7C4" w14:textId="593BE6DC" w:rsidR="001333B2" w:rsidRPr="001333B2" w:rsidRDefault="001333B2" w:rsidP="001333B2">
            <w:pPr>
              <w:suppressAutoHyphens w:val="0"/>
              <w:jc w:val="both"/>
              <w:rPr>
                <w:rFonts w:ascii="Garamond" w:eastAsia="Times New Roman" w:hAnsi="Garamond" w:cs="Times New Roman"/>
                <w:sz w:val="22"/>
                <w:szCs w:val="24"/>
              </w:rPr>
            </w:pPr>
            <w:r w:rsidRPr="001333B2">
              <w:rPr>
                <w:rFonts w:ascii="Garamond" w:eastAsia="Times New Roman" w:hAnsi="Garamond" w:cs="Times New Roman"/>
                <w:sz w:val="22"/>
                <w:szCs w:val="24"/>
              </w:rPr>
              <w:t>Наименование субъекта ОРЭМ и наименование ГТП</w:t>
            </w:r>
            <w:r w:rsidR="000F6978">
              <w:rPr>
                <w:rFonts w:ascii="Garamond" w:eastAsia="Times New Roman" w:hAnsi="Garamond" w:cs="Times New Roman"/>
                <w:sz w:val="22"/>
                <w:szCs w:val="24"/>
              </w:rPr>
              <w:t>,</w:t>
            </w:r>
            <w:r w:rsidRPr="001333B2">
              <w:rPr>
                <w:rFonts w:ascii="Garamond" w:eastAsia="Times New Roman" w:hAnsi="Garamond" w:cs="Times New Roman"/>
                <w:sz w:val="22"/>
                <w:szCs w:val="24"/>
              </w:rPr>
              <w:t xml:space="preserve"> в состав которой включено электрооборудование объекта регулирования</w:t>
            </w:r>
          </w:p>
        </w:tc>
        <w:tc>
          <w:tcPr>
            <w:tcW w:w="4970" w:type="dxa"/>
            <w:gridSpan w:val="3"/>
            <w:vAlign w:val="center"/>
          </w:tcPr>
          <w:p w14:paraId="114F93FA" w14:textId="052529C2" w:rsidR="001333B2" w:rsidRPr="001333B2" w:rsidRDefault="001333B2" w:rsidP="001333B2">
            <w:pPr>
              <w:suppressAutoHyphens w:val="0"/>
              <w:jc w:val="center"/>
              <w:rPr>
                <w:rFonts w:ascii="Garamond" w:eastAsia="Times New Roman" w:hAnsi="Garamond" w:cs="Times New Roman"/>
                <w:sz w:val="22"/>
                <w:szCs w:val="24"/>
              </w:rPr>
            </w:pPr>
            <w:r w:rsidRPr="001333B2">
              <w:rPr>
                <w:rFonts w:ascii="Garamond" w:eastAsia="Times New Roman" w:hAnsi="Garamond" w:cs="Times New Roman"/>
                <w:sz w:val="22"/>
                <w:szCs w:val="24"/>
              </w:rPr>
              <w:t>ООО «Энергосбыт» (Металлургический завод №</w:t>
            </w:r>
            <w:r w:rsidR="000F6978">
              <w:rPr>
                <w:rFonts w:ascii="Garamond" w:eastAsia="Times New Roman" w:hAnsi="Garamond" w:cs="Times New Roman"/>
                <w:sz w:val="22"/>
                <w:szCs w:val="24"/>
              </w:rPr>
              <w:t xml:space="preserve"> </w:t>
            </w:r>
            <w:r w:rsidRPr="001333B2">
              <w:rPr>
                <w:rFonts w:ascii="Garamond" w:eastAsia="Times New Roman" w:hAnsi="Garamond" w:cs="Times New Roman"/>
                <w:sz w:val="22"/>
                <w:szCs w:val="24"/>
              </w:rPr>
              <w:t>1)</w:t>
            </w:r>
          </w:p>
        </w:tc>
      </w:tr>
      <w:tr w:rsidR="001333B2" w:rsidRPr="001333B2" w14:paraId="4DCEA6BF" w14:textId="77777777" w:rsidTr="005760BA">
        <w:trPr>
          <w:trHeight w:val="567"/>
        </w:trPr>
        <w:tc>
          <w:tcPr>
            <w:tcW w:w="4389" w:type="dxa"/>
            <w:gridSpan w:val="2"/>
            <w:shd w:val="clear" w:color="auto" w:fill="D9D9D9"/>
            <w:vAlign w:val="center"/>
          </w:tcPr>
          <w:p w14:paraId="72D0FF4E" w14:textId="77777777" w:rsidR="001333B2" w:rsidRPr="001333B2" w:rsidRDefault="001333B2" w:rsidP="001333B2">
            <w:pPr>
              <w:suppressAutoHyphens w:val="0"/>
              <w:jc w:val="both"/>
              <w:rPr>
                <w:rFonts w:ascii="Garamond" w:eastAsia="Times New Roman" w:hAnsi="Garamond" w:cs="Times New Roman"/>
                <w:sz w:val="22"/>
                <w:szCs w:val="24"/>
              </w:rPr>
            </w:pPr>
            <w:r w:rsidRPr="001333B2">
              <w:rPr>
                <w:rFonts w:ascii="Garamond" w:eastAsia="Times New Roman" w:hAnsi="Garamond" w:cs="Times New Roman"/>
                <w:sz w:val="22"/>
                <w:szCs w:val="24"/>
              </w:rPr>
              <w:lastRenderedPageBreak/>
              <w:t>Вид объекта регулирования</w:t>
            </w:r>
          </w:p>
        </w:tc>
        <w:tc>
          <w:tcPr>
            <w:tcW w:w="4970" w:type="dxa"/>
            <w:gridSpan w:val="3"/>
            <w:vAlign w:val="center"/>
          </w:tcPr>
          <w:p w14:paraId="56DF4108" w14:textId="77777777" w:rsidR="001333B2" w:rsidRPr="001333B2" w:rsidRDefault="001333B2" w:rsidP="001333B2">
            <w:pPr>
              <w:suppressAutoHyphens w:val="0"/>
              <w:jc w:val="center"/>
              <w:rPr>
                <w:rFonts w:ascii="Garamond" w:eastAsia="Times New Roman" w:hAnsi="Garamond" w:cs="Times New Roman"/>
                <w:sz w:val="22"/>
                <w:szCs w:val="24"/>
              </w:rPr>
            </w:pPr>
            <w:r w:rsidRPr="001333B2">
              <w:rPr>
                <w:rFonts w:ascii="Garamond" w:eastAsia="Times New Roman" w:hAnsi="Garamond" w:cs="Times New Roman"/>
                <w:sz w:val="22"/>
                <w:szCs w:val="24"/>
              </w:rPr>
              <w:t>объект регулирования потребителя розничного рынка</w:t>
            </w:r>
          </w:p>
        </w:tc>
      </w:tr>
      <w:tr w:rsidR="001333B2" w:rsidRPr="001333B2" w14:paraId="25EA4B37" w14:textId="77777777" w:rsidTr="0064152E">
        <w:trPr>
          <w:trHeight w:val="400"/>
        </w:trPr>
        <w:tc>
          <w:tcPr>
            <w:tcW w:w="9359" w:type="dxa"/>
            <w:gridSpan w:val="5"/>
            <w:shd w:val="clear" w:color="auto" w:fill="D9D9D9"/>
            <w:vAlign w:val="center"/>
          </w:tcPr>
          <w:p w14:paraId="0BDFDB3C" w14:textId="77777777" w:rsidR="001333B2" w:rsidRPr="001333B2" w:rsidRDefault="001333B2" w:rsidP="001333B2">
            <w:pPr>
              <w:suppressAutoHyphens w:val="0"/>
              <w:jc w:val="both"/>
              <w:rPr>
                <w:rFonts w:ascii="Garamond" w:eastAsia="Times New Roman" w:hAnsi="Garamond" w:cs="Times New Roman"/>
                <w:b/>
                <w:i/>
                <w:sz w:val="22"/>
                <w:szCs w:val="24"/>
                <w:vertAlign w:val="superscript"/>
              </w:rPr>
            </w:pPr>
            <w:r w:rsidRPr="001333B2">
              <w:rPr>
                <w:rFonts w:ascii="Garamond" w:eastAsia="Times New Roman" w:hAnsi="Garamond" w:cs="Times New Roman"/>
                <w:b/>
                <w:sz w:val="22"/>
                <w:szCs w:val="24"/>
              </w:rPr>
              <w:t>2. Технические (технологические) характеристики объекта регулирования</w:t>
            </w:r>
          </w:p>
        </w:tc>
      </w:tr>
      <w:tr w:rsidR="001333B2" w:rsidRPr="001333B2" w14:paraId="392EEA92" w14:textId="77777777" w:rsidTr="005760BA">
        <w:trPr>
          <w:trHeight w:val="567"/>
        </w:trPr>
        <w:tc>
          <w:tcPr>
            <w:tcW w:w="4389" w:type="dxa"/>
            <w:gridSpan w:val="2"/>
            <w:shd w:val="clear" w:color="auto" w:fill="D9D9D9"/>
            <w:vAlign w:val="center"/>
          </w:tcPr>
          <w:p w14:paraId="28543C39" w14:textId="77777777" w:rsidR="001333B2" w:rsidRPr="001333B2" w:rsidRDefault="001333B2" w:rsidP="001333B2">
            <w:pPr>
              <w:suppressAutoHyphens w:val="0"/>
              <w:jc w:val="both"/>
              <w:rPr>
                <w:rFonts w:ascii="Garamond" w:eastAsia="Times New Roman" w:hAnsi="Garamond" w:cs="Times New Roman"/>
                <w:sz w:val="22"/>
                <w:szCs w:val="24"/>
              </w:rPr>
            </w:pPr>
            <w:r w:rsidRPr="001333B2">
              <w:rPr>
                <w:rFonts w:ascii="Garamond" w:eastAsia="Times New Roman" w:hAnsi="Garamond" w:cs="Times New Roman"/>
                <w:sz w:val="22"/>
                <w:szCs w:val="24"/>
              </w:rPr>
              <w:t>Максимальная мощность, МВт</w:t>
            </w:r>
          </w:p>
        </w:tc>
        <w:tc>
          <w:tcPr>
            <w:tcW w:w="4970" w:type="dxa"/>
            <w:gridSpan w:val="3"/>
            <w:shd w:val="clear" w:color="auto" w:fill="FFFFFF"/>
            <w:vAlign w:val="center"/>
          </w:tcPr>
          <w:p w14:paraId="429715DF" w14:textId="77777777" w:rsidR="001333B2" w:rsidRPr="001333B2" w:rsidRDefault="001333B2" w:rsidP="001333B2">
            <w:pPr>
              <w:suppressAutoHyphens w:val="0"/>
              <w:jc w:val="center"/>
              <w:rPr>
                <w:rFonts w:ascii="Garamond" w:eastAsia="Times New Roman" w:hAnsi="Garamond" w:cs="Times New Roman"/>
                <w:sz w:val="22"/>
                <w:szCs w:val="24"/>
              </w:rPr>
            </w:pPr>
            <w:r w:rsidRPr="001333B2">
              <w:rPr>
                <w:rFonts w:ascii="Garamond" w:eastAsia="Times New Roman" w:hAnsi="Garamond" w:cs="Times New Roman"/>
                <w:sz w:val="22"/>
                <w:szCs w:val="24"/>
              </w:rPr>
              <w:t>20,700</w:t>
            </w:r>
          </w:p>
        </w:tc>
      </w:tr>
      <w:tr w:rsidR="001333B2" w:rsidRPr="001333B2" w14:paraId="121FC5A3" w14:textId="77777777" w:rsidTr="005760BA">
        <w:trPr>
          <w:trHeight w:val="567"/>
        </w:trPr>
        <w:tc>
          <w:tcPr>
            <w:tcW w:w="4389" w:type="dxa"/>
            <w:gridSpan w:val="2"/>
            <w:shd w:val="clear" w:color="auto" w:fill="D9D9D9"/>
            <w:vAlign w:val="center"/>
          </w:tcPr>
          <w:p w14:paraId="57E9C5B8" w14:textId="44F07584" w:rsidR="001333B2" w:rsidRPr="001333B2" w:rsidRDefault="001333B2" w:rsidP="001333B2">
            <w:pPr>
              <w:suppressAutoHyphens w:val="0"/>
              <w:jc w:val="both"/>
              <w:rPr>
                <w:rFonts w:ascii="Garamond" w:eastAsia="Times New Roman" w:hAnsi="Garamond" w:cs="Times New Roman"/>
                <w:sz w:val="22"/>
                <w:szCs w:val="24"/>
              </w:rPr>
            </w:pPr>
            <w:r w:rsidRPr="001333B2">
              <w:rPr>
                <w:rFonts w:ascii="Garamond" w:eastAsia="Times New Roman" w:hAnsi="Garamond" w:cs="Times New Roman"/>
                <w:sz w:val="22"/>
                <w:szCs w:val="24"/>
              </w:rPr>
              <w:t>Объ</w:t>
            </w:r>
            <w:r w:rsidR="00BC4FC4">
              <w:rPr>
                <w:rFonts w:ascii="Garamond" w:eastAsia="Times New Roman" w:hAnsi="Garamond" w:cs="Times New Roman"/>
                <w:sz w:val="22"/>
                <w:szCs w:val="24"/>
              </w:rPr>
              <w:t>е</w:t>
            </w:r>
            <w:r w:rsidRPr="001333B2">
              <w:rPr>
                <w:rFonts w:ascii="Garamond" w:eastAsia="Times New Roman" w:hAnsi="Garamond" w:cs="Times New Roman"/>
                <w:sz w:val="22"/>
                <w:szCs w:val="24"/>
              </w:rPr>
              <w:t>м снижения потребления по договору с потребителем, МВт</w:t>
            </w:r>
          </w:p>
        </w:tc>
        <w:tc>
          <w:tcPr>
            <w:tcW w:w="4970" w:type="dxa"/>
            <w:gridSpan w:val="3"/>
            <w:shd w:val="clear" w:color="auto" w:fill="FFFFFF"/>
            <w:vAlign w:val="center"/>
          </w:tcPr>
          <w:p w14:paraId="3E530626" w14:textId="77777777" w:rsidR="001333B2" w:rsidRPr="001333B2" w:rsidDel="00350340" w:rsidRDefault="001333B2" w:rsidP="001333B2">
            <w:pPr>
              <w:suppressAutoHyphens w:val="0"/>
              <w:jc w:val="center"/>
              <w:rPr>
                <w:rFonts w:ascii="Garamond" w:eastAsia="Times New Roman" w:hAnsi="Garamond" w:cs="Times New Roman"/>
                <w:sz w:val="22"/>
                <w:szCs w:val="24"/>
              </w:rPr>
            </w:pPr>
            <w:r w:rsidRPr="001333B2">
              <w:rPr>
                <w:rFonts w:ascii="Garamond" w:eastAsia="Times New Roman" w:hAnsi="Garamond" w:cs="Times New Roman"/>
                <w:sz w:val="22"/>
                <w:szCs w:val="24"/>
              </w:rPr>
              <w:t>15,5000</w:t>
            </w:r>
          </w:p>
        </w:tc>
      </w:tr>
      <w:tr w:rsidR="001333B2" w:rsidRPr="001333B2" w14:paraId="4885E444" w14:textId="77777777" w:rsidTr="005760BA">
        <w:trPr>
          <w:trHeight w:val="567"/>
        </w:trPr>
        <w:tc>
          <w:tcPr>
            <w:tcW w:w="4389" w:type="dxa"/>
            <w:gridSpan w:val="2"/>
            <w:shd w:val="clear" w:color="auto" w:fill="D9D9D9"/>
            <w:vAlign w:val="center"/>
          </w:tcPr>
          <w:p w14:paraId="67EDABEB" w14:textId="77777777" w:rsidR="001333B2" w:rsidRPr="001333B2" w:rsidRDefault="001333B2" w:rsidP="001333B2">
            <w:pPr>
              <w:suppressAutoHyphens w:val="0"/>
              <w:jc w:val="both"/>
              <w:rPr>
                <w:rFonts w:ascii="Garamond" w:eastAsia="Times New Roman" w:hAnsi="Garamond" w:cs="Times New Roman"/>
                <w:sz w:val="22"/>
                <w:szCs w:val="24"/>
              </w:rPr>
            </w:pPr>
            <w:r w:rsidRPr="001333B2">
              <w:rPr>
                <w:rFonts w:ascii="Garamond" w:eastAsia="Times New Roman" w:hAnsi="Garamond" w:cs="Times New Roman"/>
                <w:sz w:val="22"/>
                <w:szCs w:val="24"/>
              </w:rPr>
              <w:t>Длительность снижения потребления по договору с потребителем, ч</w:t>
            </w:r>
          </w:p>
        </w:tc>
        <w:tc>
          <w:tcPr>
            <w:tcW w:w="4970" w:type="dxa"/>
            <w:gridSpan w:val="3"/>
            <w:shd w:val="clear" w:color="auto" w:fill="FFFFFF"/>
            <w:vAlign w:val="center"/>
          </w:tcPr>
          <w:p w14:paraId="23E94EEF" w14:textId="77777777" w:rsidR="001333B2" w:rsidRPr="001333B2" w:rsidDel="00350340" w:rsidRDefault="001333B2" w:rsidP="001333B2">
            <w:pPr>
              <w:suppressAutoHyphens w:val="0"/>
              <w:jc w:val="center"/>
              <w:rPr>
                <w:rFonts w:ascii="Garamond" w:eastAsia="Times New Roman" w:hAnsi="Garamond" w:cs="Times New Roman"/>
                <w:sz w:val="22"/>
                <w:szCs w:val="24"/>
              </w:rPr>
            </w:pPr>
            <w:r w:rsidRPr="001333B2">
              <w:rPr>
                <w:rFonts w:ascii="Garamond" w:eastAsia="Times New Roman" w:hAnsi="Garamond" w:cs="Times New Roman"/>
                <w:sz w:val="22"/>
                <w:szCs w:val="24"/>
              </w:rPr>
              <w:t>3</w:t>
            </w:r>
          </w:p>
        </w:tc>
      </w:tr>
      <w:tr w:rsidR="001333B2" w:rsidRPr="001333B2" w14:paraId="13735213" w14:textId="77777777" w:rsidTr="005760BA">
        <w:trPr>
          <w:trHeight w:val="567"/>
        </w:trPr>
        <w:tc>
          <w:tcPr>
            <w:tcW w:w="4389" w:type="dxa"/>
            <w:gridSpan w:val="2"/>
            <w:shd w:val="clear" w:color="auto" w:fill="D9D9D9"/>
            <w:vAlign w:val="center"/>
          </w:tcPr>
          <w:p w14:paraId="5392DC71" w14:textId="77777777" w:rsidR="001333B2" w:rsidRPr="001333B2" w:rsidRDefault="001333B2" w:rsidP="001333B2">
            <w:pPr>
              <w:suppressAutoHyphens w:val="0"/>
              <w:jc w:val="both"/>
              <w:rPr>
                <w:rFonts w:ascii="Garamond" w:eastAsia="Times New Roman" w:hAnsi="Garamond" w:cs="Times New Roman"/>
                <w:sz w:val="22"/>
                <w:szCs w:val="24"/>
              </w:rPr>
            </w:pPr>
            <w:r w:rsidRPr="001333B2">
              <w:rPr>
                <w:rFonts w:ascii="Garamond" w:eastAsia="Times New Roman" w:hAnsi="Garamond" w:cs="Times New Roman"/>
                <w:sz w:val="22"/>
                <w:szCs w:val="24"/>
              </w:rPr>
              <w:t>Технология снижения потребления объекта регулирования</w:t>
            </w:r>
          </w:p>
        </w:tc>
        <w:tc>
          <w:tcPr>
            <w:tcW w:w="4970" w:type="dxa"/>
            <w:gridSpan w:val="3"/>
            <w:shd w:val="clear" w:color="auto" w:fill="FFFFFF"/>
            <w:vAlign w:val="center"/>
          </w:tcPr>
          <w:p w14:paraId="441FCFCA" w14:textId="77777777" w:rsidR="001333B2" w:rsidRPr="001333B2" w:rsidRDefault="001333B2" w:rsidP="001333B2">
            <w:pPr>
              <w:suppressAutoHyphens w:val="0"/>
              <w:jc w:val="center"/>
              <w:rPr>
                <w:rFonts w:ascii="Garamond" w:eastAsia="Times New Roman" w:hAnsi="Garamond" w:cs="Times New Roman"/>
                <w:sz w:val="22"/>
                <w:szCs w:val="24"/>
              </w:rPr>
            </w:pPr>
            <w:r w:rsidRPr="001333B2">
              <w:rPr>
                <w:rFonts w:ascii="Garamond" w:eastAsia="Times New Roman" w:hAnsi="Garamond" w:cs="Times New Roman"/>
                <w:sz w:val="22"/>
                <w:szCs w:val="24"/>
              </w:rPr>
              <w:t>смещение графика потребления во времени</w:t>
            </w:r>
          </w:p>
        </w:tc>
      </w:tr>
      <w:tr w:rsidR="001333B2" w:rsidRPr="001333B2" w14:paraId="3A0CBE4F" w14:textId="77777777" w:rsidTr="005760BA">
        <w:trPr>
          <w:trHeight w:val="567"/>
        </w:trPr>
        <w:tc>
          <w:tcPr>
            <w:tcW w:w="4389" w:type="dxa"/>
            <w:gridSpan w:val="2"/>
            <w:shd w:val="clear" w:color="auto" w:fill="D9D9D9"/>
            <w:vAlign w:val="center"/>
          </w:tcPr>
          <w:p w14:paraId="4A2066A3" w14:textId="77777777" w:rsidR="001333B2" w:rsidRPr="001333B2" w:rsidRDefault="001333B2" w:rsidP="001333B2">
            <w:pPr>
              <w:suppressAutoHyphens w:val="0"/>
              <w:jc w:val="both"/>
              <w:rPr>
                <w:rFonts w:ascii="Garamond" w:eastAsia="Times New Roman" w:hAnsi="Garamond" w:cs="Times New Roman"/>
                <w:sz w:val="22"/>
                <w:szCs w:val="24"/>
              </w:rPr>
            </w:pPr>
            <w:r w:rsidRPr="001333B2">
              <w:rPr>
                <w:rFonts w:ascii="Garamond" w:eastAsia="Times New Roman" w:hAnsi="Garamond" w:cs="Times New Roman"/>
                <w:sz w:val="22"/>
                <w:szCs w:val="24"/>
              </w:rPr>
              <w:t>Тип компенсации снижения потребления</w:t>
            </w:r>
          </w:p>
        </w:tc>
        <w:tc>
          <w:tcPr>
            <w:tcW w:w="4970" w:type="dxa"/>
            <w:gridSpan w:val="3"/>
            <w:shd w:val="clear" w:color="auto" w:fill="FFFFFF"/>
            <w:vAlign w:val="center"/>
          </w:tcPr>
          <w:p w14:paraId="580E5CD8" w14:textId="77777777" w:rsidR="001333B2" w:rsidRPr="001333B2" w:rsidRDefault="001333B2" w:rsidP="001333B2">
            <w:pPr>
              <w:suppressAutoHyphens w:val="0"/>
              <w:jc w:val="center"/>
              <w:rPr>
                <w:rFonts w:ascii="Garamond" w:eastAsia="Times New Roman" w:hAnsi="Garamond" w:cs="Times New Roman"/>
                <w:sz w:val="22"/>
                <w:szCs w:val="24"/>
              </w:rPr>
            </w:pPr>
            <w:r w:rsidRPr="001333B2">
              <w:rPr>
                <w:rFonts w:ascii="Garamond" w:eastAsia="Times New Roman" w:hAnsi="Garamond" w:cs="Times New Roman"/>
                <w:sz w:val="22"/>
                <w:szCs w:val="24"/>
              </w:rPr>
              <w:t>повышение потребления не требуется</w:t>
            </w:r>
          </w:p>
        </w:tc>
      </w:tr>
      <w:tr w:rsidR="001333B2" w:rsidRPr="001333B2" w14:paraId="5A7269F6" w14:textId="77777777" w:rsidTr="0064152E">
        <w:trPr>
          <w:trHeight w:val="349"/>
        </w:trPr>
        <w:tc>
          <w:tcPr>
            <w:tcW w:w="9359" w:type="dxa"/>
            <w:gridSpan w:val="5"/>
            <w:shd w:val="clear" w:color="auto" w:fill="D9D9D9"/>
            <w:vAlign w:val="center"/>
          </w:tcPr>
          <w:p w14:paraId="15EDAF7F" w14:textId="77777777" w:rsidR="001333B2" w:rsidRPr="001333B2" w:rsidRDefault="001333B2" w:rsidP="001333B2">
            <w:pPr>
              <w:suppressAutoHyphens w:val="0"/>
              <w:jc w:val="both"/>
              <w:rPr>
                <w:rFonts w:ascii="Garamond" w:eastAsia="Times New Roman" w:hAnsi="Garamond" w:cs="Times New Roman"/>
                <w:sz w:val="22"/>
                <w:szCs w:val="24"/>
                <w:vertAlign w:val="superscript"/>
              </w:rPr>
            </w:pPr>
            <w:r w:rsidRPr="001333B2">
              <w:rPr>
                <w:rFonts w:ascii="Garamond" w:eastAsia="Times New Roman" w:hAnsi="Garamond" w:cs="Times New Roman"/>
                <w:b/>
                <w:sz w:val="22"/>
                <w:szCs w:val="24"/>
              </w:rPr>
              <w:t>3. Заявленные параметры снижения потребления электроэнергии объектом регулирования</w:t>
            </w:r>
          </w:p>
        </w:tc>
      </w:tr>
      <w:tr w:rsidR="001333B2" w:rsidRPr="001333B2" w14:paraId="4308C6D4" w14:textId="77777777" w:rsidTr="005760BA">
        <w:trPr>
          <w:trHeight w:val="567"/>
        </w:trPr>
        <w:tc>
          <w:tcPr>
            <w:tcW w:w="4389" w:type="dxa"/>
            <w:gridSpan w:val="2"/>
            <w:shd w:val="clear" w:color="auto" w:fill="D9D9D9"/>
            <w:vAlign w:val="center"/>
          </w:tcPr>
          <w:p w14:paraId="7257DF80" w14:textId="6903155D" w:rsidR="001333B2" w:rsidRPr="001333B2" w:rsidRDefault="001333B2" w:rsidP="001333B2">
            <w:pPr>
              <w:suppressAutoHyphens w:val="0"/>
              <w:jc w:val="both"/>
              <w:rPr>
                <w:rFonts w:ascii="Garamond" w:eastAsia="Times New Roman" w:hAnsi="Garamond" w:cs="Times New Roman"/>
                <w:sz w:val="22"/>
                <w:szCs w:val="24"/>
              </w:rPr>
            </w:pPr>
            <w:r w:rsidRPr="001333B2">
              <w:rPr>
                <w:rFonts w:ascii="Garamond" w:eastAsia="Times New Roman" w:hAnsi="Garamond" w:cs="Times New Roman"/>
                <w:sz w:val="22"/>
                <w:szCs w:val="24"/>
              </w:rPr>
              <w:t>Объ</w:t>
            </w:r>
            <w:r w:rsidR="00BC4FC4">
              <w:rPr>
                <w:rFonts w:ascii="Garamond" w:eastAsia="Times New Roman" w:hAnsi="Garamond" w:cs="Times New Roman"/>
                <w:sz w:val="22"/>
                <w:szCs w:val="24"/>
              </w:rPr>
              <w:t>е</w:t>
            </w:r>
            <w:r w:rsidRPr="001333B2">
              <w:rPr>
                <w:rFonts w:ascii="Garamond" w:eastAsia="Times New Roman" w:hAnsi="Garamond" w:cs="Times New Roman"/>
                <w:sz w:val="22"/>
                <w:szCs w:val="24"/>
              </w:rPr>
              <w:t>м снижения потребления электроэнергии, МВт</w:t>
            </w:r>
          </w:p>
        </w:tc>
        <w:tc>
          <w:tcPr>
            <w:tcW w:w="4970" w:type="dxa"/>
            <w:gridSpan w:val="3"/>
            <w:vAlign w:val="center"/>
          </w:tcPr>
          <w:p w14:paraId="3026293D" w14:textId="77777777" w:rsidR="001333B2" w:rsidRPr="001333B2" w:rsidRDefault="001333B2" w:rsidP="001333B2">
            <w:pPr>
              <w:suppressAutoHyphens w:val="0"/>
              <w:jc w:val="center"/>
              <w:rPr>
                <w:rFonts w:ascii="Garamond" w:eastAsia="Times New Roman" w:hAnsi="Garamond" w:cs="Times New Roman"/>
                <w:sz w:val="22"/>
                <w:szCs w:val="24"/>
              </w:rPr>
            </w:pPr>
            <w:r w:rsidRPr="001333B2">
              <w:rPr>
                <w:rFonts w:ascii="Garamond" w:eastAsia="Times New Roman" w:hAnsi="Garamond" w:cs="Times New Roman"/>
                <w:sz w:val="22"/>
                <w:szCs w:val="24"/>
              </w:rPr>
              <w:t>15,3000</w:t>
            </w:r>
          </w:p>
        </w:tc>
      </w:tr>
      <w:tr w:rsidR="001333B2" w:rsidRPr="001333B2" w14:paraId="579BDE5C" w14:textId="77777777" w:rsidTr="005760BA">
        <w:trPr>
          <w:trHeight w:val="567"/>
        </w:trPr>
        <w:tc>
          <w:tcPr>
            <w:tcW w:w="4389" w:type="dxa"/>
            <w:gridSpan w:val="2"/>
            <w:shd w:val="clear" w:color="auto" w:fill="D9D9D9"/>
            <w:vAlign w:val="center"/>
          </w:tcPr>
          <w:p w14:paraId="42C0794C" w14:textId="77777777" w:rsidR="001333B2" w:rsidRPr="001333B2" w:rsidRDefault="001333B2" w:rsidP="001333B2">
            <w:pPr>
              <w:suppressAutoHyphens w:val="0"/>
              <w:jc w:val="both"/>
              <w:rPr>
                <w:rFonts w:ascii="Garamond" w:eastAsia="Times New Roman" w:hAnsi="Garamond" w:cs="Times New Roman"/>
                <w:sz w:val="22"/>
                <w:szCs w:val="24"/>
              </w:rPr>
            </w:pPr>
            <w:r w:rsidRPr="001333B2">
              <w:rPr>
                <w:rFonts w:ascii="Garamond" w:eastAsia="Times New Roman" w:hAnsi="Garamond" w:cs="Times New Roman"/>
                <w:sz w:val="22"/>
                <w:szCs w:val="24"/>
              </w:rPr>
              <w:t>Длительность снижения потребления электроэнергии, ч</w:t>
            </w:r>
          </w:p>
        </w:tc>
        <w:tc>
          <w:tcPr>
            <w:tcW w:w="4970" w:type="dxa"/>
            <w:gridSpan w:val="3"/>
            <w:vAlign w:val="center"/>
          </w:tcPr>
          <w:p w14:paraId="6CFA40FB" w14:textId="77777777" w:rsidR="001333B2" w:rsidRPr="001333B2" w:rsidRDefault="001333B2" w:rsidP="001333B2">
            <w:pPr>
              <w:suppressAutoHyphens w:val="0"/>
              <w:jc w:val="center"/>
              <w:rPr>
                <w:rFonts w:ascii="Garamond" w:eastAsia="Times New Roman" w:hAnsi="Garamond" w:cs="Times New Roman"/>
                <w:sz w:val="22"/>
                <w:szCs w:val="24"/>
              </w:rPr>
            </w:pPr>
            <w:r w:rsidRPr="001333B2">
              <w:rPr>
                <w:rFonts w:ascii="Garamond" w:eastAsia="Times New Roman" w:hAnsi="Garamond" w:cs="Times New Roman"/>
                <w:sz w:val="22"/>
                <w:szCs w:val="24"/>
              </w:rPr>
              <w:t>3</w:t>
            </w:r>
          </w:p>
        </w:tc>
      </w:tr>
      <w:tr w:rsidR="001333B2" w:rsidRPr="001333B2" w14:paraId="18A6F92C" w14:textId="77777777" w:rsidTr="005760BA">
        <w:trPr>
          <w:trHeight w:val="567"/>
        </w:trPr>
        <w:tc>
          <w:tcPr>
            <w:tcW w:w="4389" w:type="dxa"/>
            <w:gridSpan w:val="2"/>
            <w:shd w:val="clear" w:color="auto" w:fill="D9D9D9"/>
            <w:vAlign w:val="center"/>
          </w:tcPr>
          <w:p w14:paraId="11AE4EF5" w14:textId="77777777" w:rsidR="001333B2" w:rsidRPr="001333B2" w:rsidRDefault="001333B2" w:rsidP="001333B2">
            <w:pPr>
              <w:suppressAutoHyphens w:val="0"/>
              <w:jc w:val="both"/>
              <w:rPr>
                <w:rFonts w:ascii="Garamond" w:eastAsia="Times New Roman" w:hAnsi="Garamond" w:cs="Times New Roman"/>
                <w:sz w:val="22"/>
                <w:szCs w:val="24"/>
              </w:rPr>
            </w:pPr>
            <w:r w:rsidRPr="001333B2">
              <w:rPr>
                <w:rFonts w:ascii="Garamond" w:eastAsia="Times New Roman" w:hAnsi="Garamond" w:cs="Times New Roman"/>
                <w:sz w:val="22"/>
                <w:szCs w:val="24"/>
              </w:rPr>
              <w:t>Метод определения объема услуг</w:t>
            </w:r>
          </w:p>
        </w:tc>
        <w:tc>
          <w:tcPr>
            <w:tcW w:w="4970" w:type="dxa"/>
            <w:gridSpan w:val="3"/>
            <w:vAlign w:val="center"/>
          </w:tcPr>
          <w:p w14:paraId="6717D72E" w14:textId="77777777" w:rsidR="001333B2" w:rsidRPr="001333B2" w:rsidRDefault="001333B2" w:rsidP="001333B2">
            <w:pPr>
              <w:suppressAutoHyphens w:val="0"/>
              <w:jc w:val="center"/>
              <w:rPr>
                <w:rFonts w:ascii="Garamond" w:eastAsia="Times New Roman" w:hAnsi="Garamond" w:cs="Times New Roman"/>
                <w:sz w:val="22"/>
                <w:szCs w:val="24"/>
              </w:rPr>
            </w:pPr>
            <w:r w:rsidRPr="001333B2">
              <w:rPr>
                <w:rFonts w:ascii="Garamond" w:eastAsia="Times New Roman" w:hAnsi="Garamond" w:cs="Times New Roman"/>
                <w:sz w:val="22"/>
                <w:szCs w:val="24"/>
              </w:rPr>
              <w:t>заявленный график нагрузки по объекту регулирования</w:t>
            </w:r>
          </w:p>
        </w:tc>
      </w:tr>
      <w:tr w:rsidR="001333B2" w:rsidRPr="001333B2" w14:paraId="0668D8ED" w14:textId="77777777" w:rsidTr="005760BA">
        <w:trPr>
          <w:trHeight w:val="567"/>
        </w:trPr>
        <w:tc>
          <w:tcPr>
            <w:tcW w:w="4389" w:type="dxa"/>
            <w:gridSpan w:val="2"/>
            <w:shd w:val="clear" w:color="auto" w:fill="D9D9D9"/>
            <w:vAlign w:val="center"/>
          </w:tcPr>
          <w:p w14:paraId="58B1D151" w14:textId="77777777" w:rsidR="001333B2" w:rsidRPr="001333B2" w:rsidRDefault="001333B2" w:rsidP="001333B2">
            <w:pPr>
              <w:suppressAutoHyphens w:val="0"/>
              <w:jc w:val="both"/>
              <w:rPr>
                <w:rFonts w:ascii="Garamond" w:eastAsia="Times New Roman" w:hAnsi="Garamond" w:cs="Times New Roman"/>
                <w:sz w:val="22"/>
                <w:szCs w:val="24"/>
              </w:rPr>
            </w:pPr>
            <w:r w:rsidRPr="001333B2">
              <w:rPr>
                <w:rFonts w:ascii="Garamond" w:eastAsia="Times New Roman" w:hAnsi="Garamond" w:cs="Times New Roman"/>
                <w:sz w:val="22"/>
                <w:szCs w:val="24"/>
              </w:rPr>
              <w:t>Тип подстройки</w:t>
            </w:r>
          </w:p>
        </w:tc>
        <w:tc>
          <w:tcPr>
            <w:tcW w:w="4970" w:type="dxa"/>
            <w:gridSpan w:val="3"/>
            <w:vAlign w:val="center"/>
          </w:tcPr>
          <w:p w14:paraId="38B80371" w14:textId="77777777" w:rsidR="001333B2" w:rsidRPr="001333B2" w:rsidRDefault="001333B2" w:rsidP="001333B2">
            <w:pPr>
              <w:suppressAutoHyphens w:val="0"/>
              <w:jc w:val="center"/>
              <w:rPr>
                <w:rFonts w:ascii="Garamond" w:eastAsia="Times New Roman" w:hAnsi="Garamond" w:cs="Times New Roman"/>
                <w:sz w:val="22"/>
                <w:szCs w:val="24"/>
              </w:rPr>
            </w:pPr>
            <w:r w:rsidRPr="001333B2">
              <w:rPr>
                <w:rFonts w:ascii="Garamond" w:eastAsia="Times New Roman" w:hAnsi="Garamond" w:cs="Times New Roman"/>
                <w:sz w:val="22"/>
                <w:szCs w:val="24"/>
              </w:rPr>
              <w:t>подстройка не осуществляется</w:t>
            </w:r>
          </w:p>
        </w:tc>
      </w:tr>
      <w:tr w:rsidR="001333B2" w:rsidRPr="001333B2" w14:paraId="3AFF330F" w14:textId="77777777" w:rsidTr="0064152E">
        <w:trPr>
          <w:trHeight w:val="567"/>
        </w:trPr>
        <w:tc>
          <w:tcPr>
            <w:tcW w:w="9359" w:type="dxa"/>
            <w:gridSpan w:val="5"/>
            <w:shd w:val="clear" w:color="auto" w:fill="D9D9D9"/>
            <w:vAlign w:val="center"/>
          </w:tcPr>
          <w:p w14:paraId="7F56AB86" w14:textId="34EA2A2B" w:rsidR="001333B2" w:rsidRPr="001333B2" w:rsidRDefault="001333B2" w:rsidP="00EB0D4D">
            <w:pPr>
              <w:suppressAutoHyphens w:val="0"/>
              <w:jc w:val="both"/>
              <w:rPr>
                <w:rFonts w:ascii="Garamond" w:eastAsia="Times New Roman" w:hAnsi="Garamond" w:cs="Times New Roman"/>
                <w:b/>
                <w:i/>
                <w:sz w:val="22"/>
                <w:szCs w:val="24"/>
                <w:vertAlign w:val="superscript"/>
              </w:rPr>
            </w:pPr>
            <w:r w:rsidRPr="001333B2">
              <w:rPr>
                <w:rFonts w:ascii="Garamond" w:eastAsia="Times New Roman" w:hAnsi="Garamond" w:cs="Times New Roman"/>
                <w:b/>
                <w:sz w:val="22"/>
                <w:szCs w:val="24"/>
              </w:rPr>
              <w:t xml:space="preserve">4. Информация об участии объекта регулирования в </w:t>
            </w:r>
            <w:r w:rsidRPr="000F6978">
              <w:rPr>
                <w:rFonts w:ascii="Garamond" w:eastAsia="Times New Roman" w:hAnsi="Garamond" w:cs="Times New Roman"/>
                <w:b/>
                <w:sz w:val="22"/>
                <w:szCs w:val="24"/>
              </w:rPr>
              <w:t xml:space="preserve">оказании услуг по управлению </w:t>
            </w:r>
            <w:r w:rsidR="00EB0D4D" w:rsidRPr="000F6978">
              <w:rPr>
                <w:rFonts w:ascii="Garamond" w:eastAsia="Times New Roman" w:hAnsi="Garamond" w:cs="Times New Roman"/>
                <w:b/>
                <w:sz w:val="22"/>
                <w:szCs w:val="24"/>
              </w:rPr>
              <w:t>спросом на электрическую энергию в период до 31.12.2023</w:t>
            </w:r>
          </w:p>
        </w:tc>
      </w:tr>
      <w:tr w:rsidR="001333B2" w:rsidRPr="001333B2" w14:paraId="14B05CF0" w14:textId="77777777" w:rsidTr="005760BA">
        <w:trPr>
          <w:trHeight w:val="567"/>
        </w:trPr>
        <w:tc>
          <w:tcPr>
            <w:tcW w:w="4389" w:type="dxa"/>
            <w:gridSpan w:val="2"/>
            <w:vAlign w:val="center"/>
          </w:tcPr>
          <w:p w14:paraId="6B569832" w14:textId="77777777" w:rsidR="001333B2" w:rsidRPr="001333B2" w:rsidRDefault="001333B2" w:rsidP="001333B2">
            <w:pPr>
              <w:suppressAutoHyphens w:val="0"/>
              <w:jc w:val="both"/>
              <w:rPr>
                <w:rFonts w:ascii="Garamond" w:eastAsia="Times New Roman" w:hAnsi="Garamond" w:cs="Times New Roman"/>
                <w:sz w:val="22"/>
              </w:rPr>
            </w:pPr>
            <w:r w:rsidRPr="001333B2">
              <w:rPr>
                <w:rFonts w:ascii="Garamond" w:eastAsia="Times New Roman" w:hAnsi="Garamond" w:cs="Times New Roman"/>
                <w:sz w:val="22"/>
              </w:rPr>
              <w:t>Последний период оказания услуг</w:t>
            </w:r>
          </w:p>
        </w:tc>
        <w:tc>
          <w:tcPr>
            <w:tcW w:w="4970" w:type="dxa"/>
            <w:gridSpan w:val="3"/>
            <w:vAlign w:val="center"/>
          </w:tcPr>
          <w:p w14:paraId="74199685" w14:textId="31920E4C" w:rsidR="001333B2" w:rsidRPr="001333B2" w:rsidRDefault="009B5F03" w:rsidP="001333B2">
            <w:pPr>
              <w:suppressAutoHyphens w:val="0"/>
              <w:jc w:val="center"/>
              <w:rPr>
                <w:rFonts w:ascii="Garamond" w:eastAsia="Times New Roman" w:hAnsi="Garamond" w:cs="Times New Roman"/>
                <w:sz w:val="22"/>
                <w:szCs w:val="24"/>
              </w:rPr>
            </w:pPr>
            <w:r>
              <w:rPr>
                <w:rFonts w:ascii="Garamond" w:eastAsia="Times New Roman" w:hAnsi="Garamond" w:cs="Times New Roman"/>
                <w:sz w:val="22"/>
                <w:szCs w:val="24"/>
              </w:rPr>
              <w:t>01.10.2023–</w:t>
            </w:r>
            <w:r w:rsidR="001333B2" w:rsidRPr="001333B2">
              <w:rPr>
                <w:rFonts w:ascii="Garamond" w:eastAsia="Times New Roman" w:hAnsi="Garamond" w:cs="Times New Roman"/>
                <w:sz w:val="22"/>
                <w:szCs w:val="24"/>
              </w:rPr>
              <w:t>31.12.2023</w:t>
            </w:r>
          </w:p>
        </w:tc>
      </w:tr>
      <w:tr w:rsidR="001333B2" w:rsidRPr="001333B2" w14:paraId="004B81EB" w14:textId="77777777" w:rsidTr="005760BA">
        <w:trPr>
          <w:trHeight w:val="567"/>
        </w:trPr>
        <w:tc>
          <w:tcPr>
            <w:tcW w:w="4389" w:type="dxa"/>
            <w:gridSpan w:val="2"/>
            <w:vAlign w:val="center"/>
          </w:tcPr>
          <w:p w14:paraId="4CEA16F6" w14:textId="77777777" w:rsidR="001333B2" w:rsidRPr="001333B2" w:rsidRDefault="001333B2" w:rsidP="001333B2">
            <w:pPr>
              <w:suppressAutoHyphens w:val="0"/>
              <w:jc w:val="both"/>
              <w:rPr>
                <w:rFonts w:ascii="Garamond" w:eastAsia="Times New Roman" w:hAnsi="Garamond" w:cs="Times New Roman"/>
                <w:sz w:val="22"/>
              </w:rPr>
            </w:pPr>
            <w:r w:rsidRPr="001333B2">
              <w:rPr>
                <w:rFonts w:ascii="Garamond" w:eastAsia="Times New Roman" w:hAnsi="Garamond" w:cs="Times New Roman"/>
                <w:sz w:val="22"/>
              </w:rPr>
              <w:t>Код объекта регулирования в течение последнего периода оказания услуг</w:t>
            </w:r>
          </w:p>
        </w:tc>
        <w:tc>
          <w:tcPr>
            <w:tcW w:w="4970" w:type="dxa"/>
            <w:gridSpan w:val="3"/>
            <w:vAlign w:val="center"/>
          </w:tcPr>
          <w:p w14:paraId="4B7FC8E9" w14:textId="77777777" w:rsidR="001333B2" w:rsidRPr="001333B2" w:rsidRDefault="001333B2" w:rsidP="001333B2">
            <w:pPr>
              <w:suppressAutoHyphens w:val="0"/>
              <w:jc w:val="center"/>
              <w:rPr>
                <w:rFonts w:ascii="Garamond" w:eastAsia="Times New Roman" w:hAnsi="Garamond" w:cs="Times New Roman"/>
                <w:sz w:val="22"/>
                <w:szCs w:val="24"/>
              </w:rPr>
            </w:pPr>
            <w:r w:rsidRPr="001333B2">
              <w:rPr>
                <w:rFonts w:ascii="Garamond" w:eastAsia="Times New Roman" w:hAnsi="Garamond" w:cs="Times New Roman"/>
                <w:sz w:val="22"/>
                <w:szCs w:val="24"/>
              </w:rPr>
              <w:t>OR999999</w:t>
            </w:r>
          </w:p>
        </w:tc>
      </w:tr>
      <w:tr w:rsidR="001333B2" w:rsidRPr="001333B2" w14:paraId="4F5292F7" w14:textId="77777777" w:rsidTr="0064152E">
        <w:trPr>
          <w:trHeight w:val="567"/>
        </w:trPr>
        <w:tc>
          <w:tcPr>
            <w:tcW w:w="9359" w:type="dxa"/>
            <w:gridSpan w:val="5"/>
            <w:shd w:val="clear" w:color="auto" w:fill="D9D9D9"/>
            <w:vAlign w:val="center"/>
          </w:tcPr>
          <w:p w14:paraId="6BC3BDBB" w14:textId="568695DB" w:rsidR="001333B2" w:rsidRPr="001333B2" w:rsidRDefault="001333B2" w:rsidP="001333B2">
            <w:pPr>
              <w:suppressAutoHyphens w:val="0"/>
              <w:jc w:val="both"/>
              <w:rPr>
                <w:rFonts w:ascii="Garamond" w:eastAsia="Times New Roman" w:hAnsi="Garamond" w:cs="Times New Roman"/>
                <w:b/>
                <w:sz w:val="22"/>
                <w:szCs w:val="24"/>
                <w:vertAlign w:val="superscript"/>
              </w:rPr>
            </w:pPr>
            <w:r w:rsidRPr="001333B2">
              <w:rPr>
                <w:rFonts w:ascii="Garamond" w:eastAsia="Times New Roman" w:hAnsi="Garamond" w:cs="Times New Roman"/>
                <w:b/>
                <w:sz w:val="22"/>
                <w:szCs w:val="24"/>
              </w:rPr>
              <w:t xml:space="preserve">5. Наличие в составе объекта регулирования </w:t>
            </w:r>
            <w:r w:rsidRPr="001333B2">
              <w:rPr>
                <w:rFonts w:ascii="Garamond" w:eastAsia="Times New Roman" w:hAnsi="Garamond" w:cs="Times New Roman"/>
                <w:b/>
                <w:sz w:val="22"/>
                <w:szCs w:val="22"/>
              </w:rPr>
              <w:t>объектов по производству электрическ</w:t>
            </w:r>
            <w:r w:rsidR="000F6978">
              <w:rPr>
                <w:rFonts w:ascii="Garamond" w:eastAsia="Times New Roman" w:hAnsi="Garamond" w:cs="Times New Roman"/>
                <w:b/>
                <w:sz w:val="22"/>
                <w:szCs w:val="22"/>
              </w:rPr>
              <w:t>ой энергии (электростанции/блок-</w:t>
            </w:r>
            <w:r w:rsidRPr="001333B2">
              <w:rPr>
                <w:rFonts w:ascii="Garamond" w:eastAsia="Times New Roman" w:hAnsi="Garamond" w:cs="Times New Roman"/>
                <w:b/>
                <w:sz w:val="22"/>
                <w:szCs w:val="22"/>
              </w:rPr>
              <w:t>станции)</w:t>
            </w:r>
          </w:p>
        </w:tc>
      </w:tr>
      <w:tr w:rsidR="001333B2" w:rsidRPr="001333B2" w14:paraId="257883AA" w14:textId="77777777" w:rsidTr="005760BA">
        <w:trPr>
          <w:trHeight w:val="567"/>
        </w:trPr>
        <w:tc>
          <w:tcPr>
            <w:tcW w:w="707" w:type="dxa"/>
            <w:shd w:val="clear" w:color="auto" w:fill="D9D9D9"/>
            <w:vAlign w:val="center"/>
          </w:tcPr>
          <w:p w14:paraId="2DDCE27A" w14:textId="77777777" w:rsidR="001333B2" w:rsidRPr="001333B2" w:rsidRDefault="001333B2" w:rsidP="001333B2">
            <w:pPr>
              <w:suppressAutoHyphens w:val="0"/>
              <w:jc w:val="center"/>
              <w:rPr>
                <w:rFonts w:ascii="Garamond" w:eastAsia="Times New Roman" w:hAnsi="Garamond" w:cs="Times New Roman"/>
                <w:sz w:val="22"/>
                <w:szCs w:val="24"/>
              </w:rPr>
            </w:pPr>
            <w:r w:rsidRPr="001333B2">
              <w:rPr>
                <w:rFonts w:ascii="Garamond" w:eastAsia="Times New Roman" w:hAnsi="Garamond" w:cs="Times New Roman"/>
                <w:sz w:val="22"/>
                <w:szCs w:val="24"/>
              </w:rPr>
              <w:t>№</w:t>
            </w:r>
          </w:p>
        </w:tc>
        <w:tc>
          <w:tcPr>
            <w:tcW w:w="6232" w:type="dxa"/>
            <w:gridSpan w:val="3"/>
            <w:shd w:val="clear" w:color="auto" w:fill="D9D9D9"/>
            <w:vAlign w:val="center"/>
          </w:tcPr>
          <w:p w14:paraId="0DE92682" w14:textId="3AD4BBC9" w:rsidR="001333B2" w:rsidRPr="001333B2" w:rsidRDefault="001333B2" w:rsidP="001333B2">
            <w:pPr>
              <w:suppressAutoHyphens w:val="0"/>
              <w:jc w:val="center"/>
              <w:rPr>
                <w:rFonts w:ascii="Garamond" w:eastAsia="Times New Roman" w:hAnsi="Garamond" w:cs="Times New Roman"/>
                <w:sz w:val="22"/>
                <w:szCs w:val="24"/>
              </w:rPr>
            </w:pPr>
            <w:r w:rsidRPr="001333B2">
              <w:rPr>
                <w:rFonts w:ascii="Garamond" w:eastAsia="Times New Roman" w:hAnsi="Garamond" w:cs="Times New Roman"/>
                <w:sz w:val="22"/>
                <w:szCs w:val="24"/>
              </w:rPr>
              <w:t>Наим</w:t>
            </w:r>
            <w:r w:rsidR="000F6978">
              <w:rPr>
                <w:rFonts w:ascii="Garamond" w:eastAsia="Times New Roman" w:hAnsi="Garamond" w:cs="Times New Roman"/>
                <w:sz w:val="22"/>
                <w:szCs w:val="24"/>
              </w:rPr>
              <w:t>енование электростанции/блок-</w:t>
            </w:r>
            <w:r w:rsidRPr="001333B2">
              <w:rPr>
                <w:rFonts w:ascii="Garamond" w:eastAsia="Times New Roman" w:hAnsi="Garamond" w:cs="Times New Roman"/>
                <w:sz w:val="22"/>
                <w:szCs w:val="24"/>
              </w:rPr>
              <w:t>станции</w:t>
            </w:r>
          </w:p>
        </w:tc>
        <w:tc>
          <w:tcPr>
            <w:tcW w:w="2420" w:type="dxa"/>
            <w:shd w:val="clear" w:color="auto" w:fill="D9D9D9"/>
            <w:vAlign w:val="center"/>
          </w:tcPr>
          <w:p w14:paraId="447707F1" w14:textId="77777777" w:rsidR="001333B2" w:rsidRPr="001333B2" w:rsidRDefault="001333B2" w:rsidP="001333B2">
            <w:pPr>
              <w:suppressAutoHyphens w:val="0"/>
              <w:jc w:val="center"/>
              <w:rPr>
                <w:rFonts w:ascii="Garamond" w:eastAsia="Times New Roman" w:hAnsi="Garamond" w:cs="Times New Roman"/>
                <w:sz w:val="22"/>
                <w:szCs w:val="24"/>
              </w:rPr>
            </w:pPr>
            <w:r w:rsidRPr="001333B2">
              <w:rPr>
                <w:rFonts w:ascii="Garamond" w:eastAsia="Times New Roman" w:hAnsi="Garamond" w:cs="Times New Roman"/>
                <w:sz w:val="22"/>
                <w:szCs w:val="24"/>
              </w:rPr>
              <w:t>Установленная мощность, МВт</w:t>
            </w:r>
          </w:p>
        </w:tc>
      </w:tr>
      <w:tr w:rsidR="001333B2" w:rsidRPr="001333B2" w14:paraId="035B4B9E" w14:textId="77777777" w:rsidTr="005760BA">
        <w:trPr>
          <w:trHeight w:val="483"/>
        </w:trPr>
        <w:tc>
          <w:tcPr>
            <w:tcW w:w="707" w:type="dxa"/>
            <w:vAlign w:val="center"/>
          </w:tcPr>
          <w:p w14:paraId="1B5FE5CE" w14:textId="77777777" w:rsidR="001333B2" w:rsidRPr="001333B2" w:rsidRDefault="001333B2" w:rsidP="001333B2">
            <w:pPr>
              <w:suppressAutoHyphens w:val="0"/>
              <w:jc w:val="center"/>
              <w:rPr>
                <w:rFonts w:ascii="Garamond" w:eastAsia="Times New Roman" w:hAnsi="Garamond" w:cs="Times New Roman"/>
                <w:sz w:val="22"/>
                <w:szCs w:val="22"/>
              </w:rPr>
            </w:pPr>
            <w:r w:rsidRPr="001333B2">
              <w:rPr>
                <w:rFonts w:ascii="Garamond" w:eastAsia="Times New Roman" w:hAnsi="Garamond" w:cs="Times New Roman"/>
                <w:sz w:val="22"/>
                <w:szCs w:val="22"/>
                <w:lang w:val="en-US"/>
              </w:rPr>
              <w:t>1</w:t>
            </w:r>
            <w:r w:rsidRPr="001333B2">
              <w:rPr>
                <w:rFonts w:ascii="Garamond" w:eastAsia="Times New Roman" w:hAnsi="Garamond" w:cs="Times New Roman"/>
                <w:sz w:val="22"/>
                <w:szCs w:val="22"/>
              </w:rPr>
              <w:t>.</w:t>
            </w:r>
          </w:p>
        </w:tc>
        <w:tc>
          <w:tcPr>
            <w:tcW w:w="6232" w:type="dxa"/>
            <w:gridSpan w:val="3"/>
            <w:vAlign w:val="center"/>
          </w:tcPr>
          <w:p w14:paraId="48FFC988" w14:textId="77777777" w:rsidR="001333B2" w:rsidRPr="001333B2" w:rsidRDefault="001333B2" w:rsidP="001333B2">
            <w:pPr>
              <w:suppressAutoHyphens w:val="0"/>
              <w:ind w:right="317"/>
              <w:jc w:val="both"/>
              <w:rPr>
                <w:rFonts w:ascii="Garamond" w:eastAsia="Times New Roman" w:hAnsi="Garamond" w:cs="Times New Roman"/>
                <w:sz w:val="22"/>
                <w:szCs w:val="22"/>
              </w:rPr>
            </w:pPr>
            <w:r w:rsidRPr="001333B2">
              <w:rPr>
                <w:rFonts w:ascii="Garamond" w:eastAsia="Times New Roman" w:hAnsi="Garamond" w:cs="Times New Roman"/>
                <w:sz w:val="22"/>
                <w:szCs w:val="22"/>
              </w:rPr>
              <w:t>ГПЭС Заводская</w:t>
            </w:r>
          </w:p>
        </w:tc>
        <w:tc>
          <w:tcPr>
            <w:tcW w:w="2420" w:type="dxa"/>
            <w:vAlign w:val="center"/>
          </w:tcPr>
          <w:p w14:paraId="17E33B01" w14:textId="77777777" w:rsidR="001333B2" w:rsidRPr="001333B2" w:rsidRDefault="001333B2" w:rsidP="001333B2">
            <w:pPr>
              <w:suppressAutoHyphens w:val="0"/>
              <w:jc w:val="center"/>
              <w:rPr>
                <w:rFonts w:ascii="Garamond" w:eastAsia="Times New Roman" w:hAnsi="Garamond" w:cs="Times New Roman"/>
                <w:sz w:val="22"/>
                <w:szCs w:val="22"/>
              </w:rPr>
            </w:pPr>
            <w:r w:rsidRPr="001333B2">
              <w:rPr>
                <w:rFonts w:ascii="Garamond" w:eastAsia="Times New Roman" w:hAnsi="Garamond" w:cs="Times New Roman"/>
                <w:sz w:val="22"/>
                <w:szCs w:val="22"/>
              </w:rPr>
              <w:t>17,5</w:t>
            </w:r>
          </w:p>
        </w:tc>
      </w:tr>
      <w:tr w:rsidR="001333B2" w:rsidRPr="001333B2" w14:paraId="58DDC6A3" w14:textId="77777777" w:rsidTr="0064152E">
        <w:trPr>
          <w:trHeight w:val="370"/>
        </w:trPr>
        <w:tc>
          <w:tcPr>
            <w:tcW w:w="9359" w:type="dxa"/>
            <w:gridSpan w:val="5"/>
            <w:shd w:val="clear" w:color="auto" w:fill="D9D9D9"/>
            <w:vAlign w:val="center"/>
          </w:tcPr>
          <w:p w14:paraId="60708CFE" w14:textId="77777777" w:rsidR="001333B2" w:rsidRPr="001333B2" w:rsidRDefault="001333B2" w:rsidP="001333B2">
            <w:pPr>
              <w:suppressAutoHyphens w:val="0"/>
              <w:jc w:val="both"/>
              <w:rPr>
                <w:rFonts w:ascii="Garamond" w:eastAsia="Times New Roman" w:hAnsi="Garamond" w:cs="Times New Roman"/>
                <w:b/>
                <w:sz w:val="22"/>
                <w:szCs w:val="24"/>
                <w:vertAlign w:val="superscript"/>
              </w:rPr>
            </w:pPr>
            <w:r w:rsidRPr="001333B2">
              <w:rPr>
                <w:rFonts w:ascii="Garamond" w:eastAsia="Times New Roman" w:hAnsi="Garamond" w:cs="Times New Roman"/>
                <w:b/>
                <w:sz w:val="22"/>
                <w:szCs w:val="24"/>
              </w:rPr>
              <w:t>6. Наличие в составе объекта регулирования систем накопления электрической энергии</w:t>
            </w:r>
          </w:p>
        </w:tc>
      </w:tr>
      <w:tr w:rsidR="001333B2" w:rsidRPr="001333B2" w14:paraId="7FAB7E32" w14:textId="77777777" w:rsidTr="005760BA">
        <w:trPr>
          <w:trHeight w:val="567"/>
        </w:trPr>
        <w:tc>
          <w:tcPr>
            <w:tcW w:w="707" w:type="dxa"/>
            <w:shd w:val="clear" w:color="auto" w:fill="D9D9D9"/>
            <w:vAlign w:val="center"/>
          </w:tcPr>
          <w:p w14:paraId="4F1A374D" w14:textId="77777777" w:rsidR="001333B2" w:rsidRPr="001333B2" w:rsidRDefault="001333B2" w:rsidP="001333B2">
            <w:pPr>
              <w:suppressAutoHyphens w:val="0"/>
              <w:jc w:val="center"/>
              <w:rPr>
                <w:rFonts w:ascii="Garamond" w:eastAsia="Times New Roman" w:hAnsi="Garamond" w:cs="Times New Roman"/>
                <w:sz w:val="22"/>
                <w:szCs w:val="24"/>
              </w:rPr>
            </w:pPr>
            <w:r w:rsidRPr="001333B2">
              <w:rPr>
                <w:rFonts w:ascii="Garamond" w:eastAsia="Times New Roman" w:hAnsi="Garamond" w:cs="Times New Roman"/>
                <w:sz w:val="22"/>
                <w:szCs w:val="24"/>
              </w:rPr>
              <w:t>№</w:t>
            </w:r>
          </w:p>
        </w:tc>
        <w:tc>
          <w:tcPr>
            <w:tcW w:w="3682" w:type="dxa"/>
            <w:shd w:val="clear" w:color="auto" w:fill="D9D9D9"/>
            <w:vAlign w:val="center"/>
          </w:tcPr>
          <w:p w14:paraId="3BC867E1" w14:textId="77777777" w:rsidR="001333B2" w:rsidRPr="001333B2" w:rsidRDefault="001333B2" w:rsidP="001333B2">
            <w:pPr>
              <w:suppressAutoHyphens w:val="0"/>
              <w:jc w:val="center"/>
              <w:rPr>
                <w:rFonts w:ascii="Garamond" w:eastAsia="Times New Roman" w:hAnsi="Garamond" w:cs="Times New Roman"/>
                <w:sz w:val="22"/>
                <w:szCs w:val="24"/>
              </w:rPr>
            </w:pPr>
            <w:r w:rsidRPr="001333B2">
              <w:rPr>
                <w:rFonts w:ascii="Garamond" w:eastAsia="Times New Roman" w:hAnsi="Garamond" w:cs="Times New Roman"/>
                <w:sz w:val="22"/>
                <w:szCs w:val="24"/>
              </w:rPr>
              <w:t xml:space="preserve">Наименование </w:t>
            </w:r>
            <w:r w:rsidRPr="001333B2">
              <w:rPr>
                <w:rFonts w:ascii="Garamond" w:eastAsia="Times New Roman" w:hAnsi="Garamond" w:cs="Times New Roman"/>
                <w:sz w:val="22"/>
                <w:szCs w:val="22"/>
              </w:rPr>
              <w:t>системы накопления электрической энергии</w:t>
            </w:r>
          </w:p>
        </w:tc>
        <w:tc>
          <w:tcPr>
            <w:tcW w:w="2550" w:type="dxa"/>
            <w:gridSpan w:val="2"/>
            <w:shd w:val="clear" w:color="auto" w:fill="D9D9D9"/>
            <w:vAlign w:val="center"/>
          </w:tcPr>
          <w:p w14:paraId="1245F397" w14:textId="77777777" w:rsidR="001333B2" w:rsidRPr="001333B2" w:rsidRDefault="001333B2" w:rsidP="001333B2">
            <w:pPr>
              <w:suppressAutoHyphens w:val="0"/>
              <w:jc w:val="center"/>
              <w:rPr>
                <w:rFonts w:ascii="Garamond" w:eastAsia="Times New Roman" w:hAnsi="Garamond" w:cs="Times New Roman"/>
                <w:sz w:val="22"/>
                <w:szCs w:val="24"/>
              </w:rPr>
            </w:pPr>
            <w:r w:rsidRPr="001333B2">
              <w:rPr>
                <w:rFonts w:ascii="Garamond" w:eastAsia="Times New Roman" w:hAnsi="Garamond" w:cs="Times New Roman"/>
                <w:sz w:val="22"/>
                <w:szCs w:val="24"/>
              </w:rPr>
              <w:t>Установленная мощность, МВт</w:t>
            </w:r>
          </w:p>
        </w:tc>
        <w:tc>
          <w:tcPr>
            <w:tcW w:w="2420" w:type="dxa"/>
            <w:shd w:val="clear" w:color="auto" w:fill="D9D9D9"/>
            <w:vAlign w:val="center"/>
          </w:tcPr>
          <w:p w14:paraId="209E9AF5" w14:textId="6D646721" w:rsidR="001333B2" w:rsidRPr="001333B2" w:rsidRDefault="001333B2" w:rsidP="000F6978">
            <w:pPr>
              <w:suppressAutoHyphens w:val="0"/>
              <w:jc w:val="center"/>
              <w:rPr>
                <w:rFonts w:ascii="Garamond" w:eastAsia="Times New Roman" w:hAnsi="Garamond" w:cs="Times New Roman"/>
                <w:sz w:val="22"/>
                <w:szCs w:val="24"/>
              </w:rPr>
            </w:pPr>
            <w:r w:rsidRPr="001333B2">
              <w:rPr>
                <w:rFonts w:ascii="Garamond" w:eastAsia="Times New Roman" w:hAnsi="Garamond" w:cs="Times New Roman"/>
                <w:sz w:val="22"/>
                <w:szCs w:val="24"/>
              </w:rPr>
              <w:t>Энергоемкость, МВт</w:t>
            </w:r>
            <w:r w:rsidR="000F6978">
              <w:rPr>
                <w:rFonts w:ascii="Garamond" w:eastAsia="Times New Roman" w:hAnsi="Garamond" w:cs="Times New Roman"/>
                <w:sz w:val="22"/>
                <w:szCs w:val="24"/>
              </w:rPr>
              <w:t>∙</w:t>
            </w:r>
            <w:r w:rsidRPr="001333B2">
              <w:rPr>
                <w:rFonts w:ascii="Garamond" w:eastAsia="Times New Roman" w:hAnsi="Garamond" w:cs="Times New Roman"/>
                <w:sz w:val="22"/>
                <w:szCs w:val="24"/>
              </w:rPr>
              <w:t>ч</w:t>
            </w:r>
          </w:p>
        </w:tc>
      </w:tr>
      <w:tr w:rsidR="001333B2" w:rsidRPr="001333B2" w14:paraId="2F8CECD1" w14:textId="77777777" w:rsidTr="005760BA">
        <w:trPr>
          <w:trHeight w:val="447"/>
        </w:trPr>
        <w:tc>
          <w:tcPr>
            <w:tcW w:w="707" w:type="dxa"/>
            <w:vAlign w:val="center"/>
          </w:tcPr>
          <w:p w14:paraId="71153228" w14:textId="77777777" w:rsidR="001333B2" w:rsidRPr="001333B2" w:rsidRDefault="001333B2" w:rsidP="001333B2">
            <w:pPr>
              <w:suppressAutoHyphens w:val="0"/>
              <w:jc w:val="center"/>
              <w:rPr>
                <w:rFonts w:ascii="Garamond" w:eastAsia="Times New Roman" w:hAnsi="Garamond" w:cs="Times New Roman"/>
                <w:sz w:val="22"/>
                <w:szCs w:val="24"/>
              </w:rPr>
            </w:pPr>
            <w:r w:rsidRPr="001333B2">
              <w:rPr>
                <w:rFonts w:ascii="Garamond" w:eastAsia="Times New Roman" w:hAnsi="Garamond" w:cs="Times New Roman"/>
                <w:sz w:val="22"/>
                <w:szCs w:val="24"/>
              </w:rPr>
              <w:t>1</w:t>
            </w:r>
          </w:p>
        </w:tc>
        <w:tc>
          <w:tcPr>
            <w:tcW w:w="3682" w:type="dxa"/>
            <w:vAlign w:val="center"/>
          </w:tcPr>
          <w:p w14:paraId="55321B3F" w14:textId="77777777" w:rsidR="001333B2" w:rsidRPr="001333B2" w:rsidRDefault="001333B2" w:rsidP="001333B2">
            <w:pPr>
              <w:suppressAutoHyphens w:val="0"/>
              <w:rPr>
                <w:rFonts w:ascii="Garamond" w:eastAsia="Times New Roman" w:hAnsi="Garamond" w:cs="Times New Roman"/>
                <w:sz w:val="22"/>
                <w:szCs w:val="24"/>
              </w:rPr>
            </w:pPr>
            <w:r w:rsidRPr="001333B2">
              <w:rPr>
                <w:rFonts w:ascii="Garamond" w:eastAsia="Times New Roman" w:hAnsi="Garamond" w:cs="Times New Roman"/>
                <w:sz w:val="22"/>
              </w:rPr>
              <w:t>СНЭЭ №1</w:t>
            </w:r>
          </w:p>
        </w:tc>
        <w:tc>
          <w:tcPr>
            <w:tcW w:w="2550" w:type="dxa"/>
            <w:gridSpan w:val="2"/>
            <w:vAlign w:val="center"/>
          </w:tcPr>
          <w:p w14:paraId="7E4C1D52" w14:textId="77777777" w:rsidR="001333B2" w:rsidRPr="001333B2" w:rsidRDefault="001333B2" w:rsidP="001333B2">
            <w:pPr>
              <w:suppressAutoHyphens w:val="0"/>
              <w:jc w:val="center"/>
              <w:rPr>
                <w:rFonts w:ascii="Garamond" w:eastAsia="Times New Roman" w:hAnsi="Garamond" w:cs="Times New Roman"/>
                <w:sz w:val="22"/>
                <w:szCs w:val="24"/>
              </w:rPr>
            </w:pPr>
            <w:r w:rsidRPr="001333B2">
              <w:rPr>
                <w:rFonts w:ascii="Garamond" w:eastAsia="Times New Roman" w:hAnsi="Garamond" w:cs="Times New Roman"/>
                <w:sz w:val="22"/>
                <w:szCs w:val="24"/>
              </w:rPr>
              <w:t>3</w:t>
            </w:r>
          </w:p>
        </w:tc>
        <w:tc>
          <w:tcPr>
            <w:tcW w:w="2420" w:type="dxa"/>
            <w:vAlign w:val="center"/>
          </w:tcPr>
          <w:p w14:paraId="490DC009" w14:textId="77777777" w:rsidR="001333B2" w:rsidRPr="001333B2" w:rsidRDefault="001333B2" w:rsidP="001333B2">
            <w:pPr>
              <w:suppressAutoHyphens w:val="0"/>
              <w:jc w:val="center"/>
              <w:rPr>
                <w:rFonts w:ascii="Garamond" w:eastAsia="Times New Roman" w:hAnsi="Garamond" w:cs="Times New Roman"/>
                <w:sz w:val="22"/>
                <w:szCs w:val="24"/>
              </w:rPr>
            </w:pPr>
            <w:r w:rsidRPr="001333B2">
              <w:rPr>
                <w:rFonts w:ascii="Garamond" w:eastAsia="Times New Roman" w:hAnsi="Garamond" w:cs="Times New Roman"/>
                <w:sz w:val="22"/>
                <w:szCs w:val="24"/>
              </w:rPr>
              <w:t>3</w:t>
            </w:r>
          </w:p>
        </w:tc>
      </w:tr>
      <w:tr w:rsidR="001333B2" w:rsidRPr="001333B2" w14:paraId="79C45B0A" w14:textId="77777777" w:rsidTr="0064152E">
        <w:trPr>
          <w:trHeight w:val="352"/>
        </w:trPr>
        <w:tc>
          <w:tcPr>
            <w:tcW w:w="9359" w:type="dxa"/>
            <w:gridSpan w:val="5"/>
            <w:shd w:val="clear" w:color="auto" w:fill="D9D9D9"/>
            <w:vAlign w:val="center"/>
          </w:tcPr>
          <w:p w14:paraId="4C65D5B5" w14:textId="77777777" w:rsidR="001333B2" w:rsidRPr="001333B2" w:rsidRDefault="001333B2" w:rsidP="001333B2">
            <w:pPr>
              <w:suppressAutoHyphens w:val="0"/>
              <w:rPr>
                <w:rFonts w:ascii="Garamond" w:eastAsia="Times New Roman" w:hAnsi="Garamond" w:cs="Times New Roman"/>
                <w:sz w:val="22"/>
                <w:szCs w:val="24"/>
              </w:rPr>
            </w:pPr>
            <w:r w:rsidRPr="001333B2">
              <w:rPr>
                <w:rFonts w:ascii="Garamond" w:eastAsia="Times New Roman" w:hAnsi="Garamond" w:cs="Times New Roman"/>
                <w:b/>
                <w:sz w:val="22"/>
                <w:szCs w:val="24"/>
              </w:rPr>
              <w:t>7. Контактные данные уполномоченного представителя заявителя, ответственного за предоставление доступа КО к системе учета в удаленном режиме с использованием соответствующего специализированного программного обеспечения</w:t>
            </w:r>
          </w:p>
        </w:tc>
      </w:tr>
      <w:tr w:rsidR="001333B2" w:rsidRPr="001333B2" w14:paraId="16A76F35" w14:textId="77777777" w:rsidTr="005760BA">
        <w:trPr>
          <w:trHeight w:val="567"/>
        </w:trPr>
        <w:tc>
          <w:tcPr>
            <w:tcW w:w="707" w:type="dxa"/>
            <w:shd w:val="clear" w:color="auto" w:fill="D9D9D9"/>
            <w:vAlign w:val="center"/>
          </w:tcPr>
          <w:p w14:paraId="7CE58A1C" w14:textId="77777777" w:rsidR="001333B2" w:rsidRPr="001333B2" w:rsidRDefault="001333B2" w:rsidP="001333B2">
            <w:pPr>
              <w:suppressAutoHyphens w:val="0"/>
              <w:jc w:val="center"/>
              <w:rPr>
                <w:rFonts w:ascii="Garamond" w:eastAsia="Times New Roman" w:hAnsi="Garamond" w:cs="Times New Roman"/>
                <w:sz w:val="22"/>
                <w:szCs w:val="24"/>
              </w:rPr>
            </w:pPr>
            <w:r w:rsidRPr="001333B2">
              <w:rPr>
                <w:rFonts w:ascii="Garamond" w:eastAsia="Times New Roman" w:hAnsi="Garamond" w:cs="Times New Roman"/>
                <w:sz w:val="22"/>
                <w:szCs w:val="24"/>
              </w:rPr>
              <w:t>№</w:t>
            </w:r>
          </w:p>
        </w:tc>
        <w:tc>
          <w:tcPr>
            <w:tcW w:w="3682" w:type="dxa"/>
            <w:shd w:val="clear" w:color="auto" w:fill="D9D9D9"/>
            <w:vAlign w:val="center"/>
          </w:tcPr>
          <w:p w14:paraId="0CF06191" w14:textId="77777777" w:rsidR="001333B2" w:rsidRPr="001333B2" w:rsidRDefault="001333B2" w:rsidP="001333B2">
            <w:pPr>
              <w:suppressAutoHyphens w:val="0"/>
              <w:jc w:val="center"/>
              <w:rPr>
                <w:rFonts w:ascii="Garamond" w:eastAsia="Times New Roman" w:hAnsi="Garamond" w:cs="Times New Roman"/>
                <w:sz w:val="22"/>
                <w:szCs w:val="24"/>
              </w:rPr>
            </w:pPr>
            <w:r w:rsidRPr="001333B2">
              <w:rPr>
                <w:rFonts w:ascii="Garamond" w:eastAsia="Times New Roman" w:hAnsi="Garamond" w:cs="Times New Roman"/>
                <w:sz w:val="22"/>
                <w:szCs w:val="24"/>
              </w:rPr>
              <w:t>Фамилия Имя Отчество</w:t>
            </w:r>
          </w:p>
        </w:tc>
        <w:tc>
          <w:tcPr>
            <w:tcW w:w="2407" w:type="dxa"/>
            <w:shd w:val="clear" w:color="auto" w:fill="D9D9D9"/>
            <w:vAlign w:val="center"/>
          </w:tcPr>
          <w:p w14:paraId="7CDBA1DB" w14:textId="77777777" w:rsidR="001333B2" w:rsidRPr="001333B2" w:rsidRDefault="001333B2" w:rsidP="001333B2">
            <w:pPr>
              <w:suppressAutoHyphens w:val="0"/>
              <w:jc w:val="center"/>
              <w:rPr>
                <w:rFonts w:ascii="Garamond" w:eastAsia="Times New Roman" w:hAnsi="Garamond" w:cs="Times New Roman"/>
                <w:sz w:val="22"/>
                <w:szCs w:val="24"/>
              </w:rPr>
            </w:pPr>
            <w:r w:rsidRPr="001333B2">
              <w:rPr>
                <w:rFonts w:ascii="Garamond" w:eastAsia="Times New Roman" w:hAnsi="Garamond" w:cs="Times New Roman"/>
                <w:sz w:val="22"/>
                <w:szCs w:val="24"/>
              </w:rPr>
              <w:t>Адрес электронной почты</w:t>
            </w:r>
          </w:p>
        </w:tc>
        <w:tc>
          <w:tcPr>
            <w:tcW w:w="2563" w:type="dxa"/>
            <w:gridSpan w:val="2"/>
            <w:shd w:val="clear" w:color="auto" w:fill="D9D9D9"/>
            <w:vAlign w:val="center"/>
          </w:tcPr>
          <w:p w14:paraId="10DD58E1" w14:textId="77777777" w:rsidR="001333B2" w:rsidRPr="001333B2" w:rsidRDefault="001333B2" w:rsidP="001333B2">
            <w:pPr>
              <w:suppressAutoHyphens w:val="0"/>
              <w:jc w:val="center"/>
              <w:rPr>
                <w:rFonts w:ascii="Garamond" w:eastAsia="Times New Roman" w:hAnsi="Garamond" w:cs="Times New Roman"/>
                <w:sz w:val="22"/>
                <w:szCs w:val="24"/>
              </w:rPr>
            </w:pPr>
            <w:r w:rsidRPr="001333B2">
              <w:rPr>
                <w:rFonts w:ascii="Garamond" w:eastAsia="Times New Roman" w:hAnsi="Garamond" w:cs="Times New Roman"/>
                <w:sz w:val="22"/>
                <w:szCs w:val="24"/>
              </w:rPr>
              <w:t>Контактный телефон</w:t>
            </w:r>
          </w:p>
        </w:tc>
      </w:tr>
      <w:tr w:rsidR="001333B2" w:rsidRPr="001333B2" w14:paraId="697B0407" w14:textId="77777777" w:rsidTr="005760BA">
        <w:trPr>
          <w:trHeight w:val="567"/>
        </w:trPr>
        <w:tc>
          <w:tcPr>
            <w:tcW w:w="707" w:type="dxa"/>
            <w:vAlign w:val="center"/>
          </w:tcPr>
          <w:p w14:paraId="3061F1F6" w14:textId="77777777" w:rsidR="001333B2" w:rsidRPr="001333B2" w:rsidRDefault="001333B2" w:rsidP="001333B2">
            <w:pPr>
              <w:suppressAutoHyphens w:val="0"/>
              <w:jc w:val="center"/>
              <w:rPr>
                <w:rFonts w:ascii="Garamond" w:eastAsia="Times New Roman" w:hAnsi="Garamond" w:cs="Times New Roman"/>
                <w:sz w:val="22"/>
                <w:szCs w:val="24"/>
              </w:rPr>
            </w:pPr>
            <w:r w:rsidRPr="001333B2">
              <w:rPr>
                <w:rFonts w:ascii="Garamond" w:eastAsia="Times New Roman" w:hAnsi="Garamond" w:cs="Times New Roman"/>
                <w:sz w:val="22"/>
                <w:szCs w:val="24"/>
              </w:rPr>
              <w:t>1</w:t>
            </w:r>
          </w:p>
        </w:tc>
        <w:tc>
          <w:tcPr>
            <w:tcW w:w="3682" w:type="dxa"/>
            <w:vAlign w:val="center"/>
          </w:tcPr>
          <w:p w14:paraId="388C3C90" w14:textId="77777777" w:rsidR="001333B2" w:rsidRPr="001333B2" w:rsidRDefault="001333B2" w:rsidP="001333B2">
            <w:pPr>
              <w:suppressAutoHyphens w:val="0"/>
              <w:jc w:val="both"/>
              <w:rPr>
                <w:rFonts w:ascii="Garamond" w:eastAsia="Times New Roman" w:hAnsi="Garamond" w:cs="Times New Roman"/>
                <w:sz w:val="22"/>
                <w:szCs w:val="24"/>
              </w:rPr>
            </w:pPr>
            <w:r w:rsidRPr="001333B2">
              <w:rPr>
                <w:rFonts w:ascii="Garamond" w:eastAsia="Times New Roman" w:hAnsi="Garamond" w:cs="Times New Roman"/>
                <w:sz w:val="22"/>
                <w:szCs w:val="24"/>
              </w:rPr>
              <w:t>Иванов Иван Иванович</w:t>
            </w:r>
          </w:p>
        </w:tc>
        <w:tc>
          <w:tcPr>
            <w:tcW w:w="2407" w:type="dxa"/>
            <w:vAlign w:val="center"/>
          </w:tcPr>
          <w:p w14:paraId="76FC441D" w14:textId="77777777" w:rsidR="001333B2" w:rsidRPr="001333B2" w:rsidRDefault="008800D7" w:rsidP="001333B2">
            <w:pPr>
              <w:suppressAutoHyphens w:val="0"/>
              <w:jc w:val="center"/>
              <w:rPr>
                <w:rFonts w:ascii="Garamond" w:eastAsia="Times New Roman" w:hAnsi="Garamond" w:cs="Times New Roman"/>
                <w:sz w:val="22"/>
                <w:szCs w:val="24"/>
              </w:rPr>
            </w:pPr>
            <w:hyperlink r:id="rId28" w:history="1">
              <w:r w:rsidR="001333B2" w:rsidRPr="001333B2">
                <w:rPr>
                  <w:rFonts w:ascii="Garamond" w:eastAsia="Times New Roman" w:hAnsi="Garamond" w:cs="Times New Roman"/>
                  <w:color w:val="0563C1"/>
                  <w:sz w:val="22"/>
                  <w:szCs w:val="24"/>
                  <w:u w:val="single"/>
                  <w:lang w:val="en-US"/>
                </w:rPr>
                <w:t>ivanov@newagr.ru</w:t>
              </w:r>
            </w:hyperlink>
          </w:p>
        </w:tc>
        <w:tc>
          <w:tcPr>
            <w:tcW w:w="2563" w:type="dxa"/>
            <w:gridSpan w:val="2"/>
            <w:vAlign w:val="center"/>
          </w:tcPr>
          <w:p w14:paraId="46CE0AA4" w14:textId="77777777" w:rsidR="001333B2" w:rsidRPr="001333B2" w:rsidRDefault="001333B2" w:rsidP="001333B2">
            <w:pPr>
              <w:suppressAutoHyphens w:val="0"/>
              <w:jc w:val="center"/>
              <w:rPr>
                <w:rFonts w:ascii="Garamond" w:eastAsia="Times New Roman" w:hAnsi="Garamond" w:cs="Times New Roman"/>
                <w:sz w:val="22"/>
                <w:szCs w:val="24"/>
              </w:rPr>
            </w:pPr>
            <w:r w:rsidRPr="001333B2">
              <w:rPr>
                <w:rFonts w:ascii="Garamond" w:eastAsia="Times New Roman" w:hAnsi="Garamond" w:cs="Times New Roman"/>
                <w:sz w:val="22"/>
                <w:szCs w:val="24"/>
              </w:rPr>
              <w:t>+7 900-000-00-00</w:t>
            </w:r>
          </w:p>
        </w:tc>
      </w:tr>
      <w:tr w:rsidR="001333B2" w:rsidRPr="001333B2" w14:paraId="0C9E154A" w14:textId="77777777" w:rsidTr="005760BA">
        <w:trPr>
          <w:trHeight w:val="567"/>
        </w:trPr>
        <w:tc>
          <w:tcPr>
            <w:tcW w:w="707" w:type="dxa"/>
            <w:vAlign w:val="center"/>
          </w:tcPr>
          <w:p w14:paraId="2F566134" w14:textId="77777777" w:rsidR="001333B2" w:rsidRPr="001333B2" w:rsidRDefault="001333B2" w:rsidP="001333B2">
            <w:pPr>
              <w:suppressAutoHyphens w:val="0"/>
              <w:jc w:val="center"/>
              <w:rPr>
                <w:rFonts w:ascii="Garamond" w:eastAsia="Times New Roman" w:hAnsi="Garamond" w:cs="Times New Roman"/>
                <w:sz w:val="22"/>
                <w:szCs w:val="24"/>
              </w:rPr>
            </w:pPr>
            <w:r w:rsidRPr="001333B2">
              <w:rPr>
                <w:rFonts w:ascii="Garamond" w:eastAsia="Times New Roman" w:hAnsi="Garamond" w:cs="Times New Roman"/>
                <w:sz w:val="22"/>
                <w:szCs w:val="24"/>
              </w:rPr>
              <w:t>2</w:t>
            </w:r>
          </w:p>
        </w:tc>
        <w:tc>
          <w:tcPr>
            <w:tcW w:w="3682" w:type="dxa"/>
            <w:vAlign w:val="center"/>
          </w:tcPr>
          <w:p w14:paraId="1FDBC782" w14:textId="77777777" w:rsidR="001333B2" w:rsidRPr="001333B2" w:rsidRDefault="001333B2" w:rsidP="001333B2">
            <w:pPr>
              <w:suppressAutoHyphens w:val="0"/>
              <w:jc w:val="both"/>
              <w:rPr>
                <w:rFonts w:ascii="Garamond" w:eastAsia="Times New Roman" w:hAnsi="Garamond" w:cs="Times New Roman"/>
                <w:sz w:val="22"/>
                <w:szCs w:val="24"/>
              </w:rPr>
            </w:pPr>
            <w:r w:rsidRPr="001333B2">
              <w:rPr>
                <w:rFonts w:ascii="Garamond" w:eastAsia="Times New Roman" w:hAnsi="Garamond" w:cs="Times New Roman"/>
                <w:sz w:val="22"/>
                <w:szCs w:val="24"/>
              </w:rPr>
              <w:t>Петров Петр Иванович</w:t>
            </w:r>
          </w:p>
        </w:tc>
        <w:tc>
          <w:tcPr>
            <w:tcW w:w="2407" w:type="dxa"/>
            <w:vAlign w:val="center"/>
          </w:tcPr>
          <w:p w14:paraId="4D8181DE" w14:textId="77777777" w:rsidR="001333B2" w:rsidRPr="001333B2" w:rsidRDefault="008800D7" w:rsidP="001333B2">
            <w:pPr>
              <w:suppressAutoHyphens w:val="0"/>
              <w:jc w:val="center"/>
              <w:rPr>
                <w:rFonts w:ascii="Garamond" w:eastAsia="Times New Roman" w:hAnsi="Garamond" w:cs="Times New Roman"/>
                <w:sz w:val="22"/>
                <w:szCs w:val="24"/>
              </w:rPr>
            </w:pPr>
            <w:hyperlink r:id="rId29" w:history="1">
              <w:r w:rsidR="001333B2" w:rsidRPr="001333B2">
                <w:rPr>
                  <w:rFonts w:ascii="Garamond" w:eastAsia="Times New Roman" w:hAnsi="Garamond" w:cs="Times New Roman"/>
                  <w:color w:val="0563C1"/>
                  <w:sz w:val="22"/>
                  <w:szCs w:val="24"/>
                  <w:u w:val="single"/>
                  <w:lang w:val="en-US"/>
                </w:rPr>
                <w:t>petrov@newagr.ru</w:t>
              </w:r>
            </w:hyperlink>
          </w:p>
        </w:tc>
        <w:tc>
          <w:tcPr>
            <w:tcW w:w="2563" w:type="dxa"/>
            <w:gridSpan w:val="2"/>
            <w:vAlign w:val="center"/>
          </w:tcPr>
          <w:p w14:paraId="7C6011F6" w14:textId="77777777" w:rsidR="001333B2" w:rsidRPr="001333B2" w:rsidRDefault="001333B2" w:rsidP="001333B2">
            <w:pPr>
              <w:suppressAutoHyphens w:val="0"/>
              <w:jc w:val="center"/>
              <w:rPr>
                <w:rFonts w:ascii="Garamond" w:eastAsia="Times New Roman" w:hAnsi="Garamond" w:cs="Times New Roman"/>
                <w:sz w:val="22"/>
                <w:szCs w:val="24"/>
              </w:rPr>
            </w:pPr>
            <w:r w:rsidRPr="001333B2">
              <w:rPr>
                <w:rFonts w:ascii="Garamond" w:eastAsia="Times New Roman" w:hAnsi="Garamond" w:cs="Times New Roman"/>
                <w:sz w:val="22"/>
                <w:szCs w:val="24"/>
              </w:rPr>
              <w:t>+7 900-</w:t>
            </w:r>
            <w:r w:rsidRPr="001333B2">
              <w:rPr>
                <w:rFonts w:ascii="Garamond" w:eastAsia="Times New Roman" w:hAnsi="Garamond" w:cs="Times New Roman"/>
                <w:sz w:val="22"/>
                <w:szCs w:val="24"/>
                <w:lang w:val="en-US"/>
              </w:rPr>
              <w:t>111</w:t>
            </w:r>
            <w:r w:rsidRPr="001333B2">
              <w:rPr>
                <w:rFonts w:ascii="Garamond" w:eastAsia="Times New Roman" w:hAnsi="Garamond" w:cs="Times New Roman"/>
                <w:sz w:val="22"/>
                <w:szCs w:val="24"/>
              </w:rPr>
              <w:t>-00-0</w:t>
            </w:r>
            <w:r w:rsidRPr="001333B2">
              <w:rPr>
                <w:rFonts w:ascii="Garamond" w:eastAsia="Times New Roman" w:hAnsi="Garamond" w:cs="Times New Roman"/>
                <w:sz w:val="22"/>
                <w:szCs w:val="24"/>
                <w:lang w:val="en-US"/>
              </w:rPr>
              <w:t>1</w:t>
            </w:r>
          </w:p>
        </w:tc>
      </w:tr>
      <w:tr w:rsidR="001333B2" w:rsidRPr="001333B2" w14:paraId="4201899D" w14:textId="77777777" w:rsidTr="0064152E">
        <w:trPr>
          <w:trHeight w:val="356"/>
        </w:trPr>
        <w:tc>
          <w:tcPr>
            <w:tcW w:w="9359" w:type="dxa"/>
            <w:gridSpan w:val="5"/>
            <w:shd w:val="clear" w:color="auto" w:fill="D9D9D9"/>
            <w:vAlign w:val="center"/>
          </w:tcPr>
          <w:p w14:paraId="27A3625E" w14:textId="77777777" w:rsidR="001333B2" w:rsidRPr="001333B2" w:rsidRDefault="001333B2" w:rsidP="001333B2">
            <w:pPr>
              <w:suppressAutoHyphens w:val="0"/>
              <w:rPr>
                <w:rFonts w:ascii="Garamond" w:eastAsia="Times New Roman" w:hAnsi="Garamond" w:cs="Times New Roman"/>
                <w:b/>
                <w:sz w:val="22"/>
                <w:szCs w:val="22"/>
              </w:rPr>
            </w:pPr>
            <w:r w:rsidRPr="001333B2">
              <w:rPr>
                <w:rFonts w:ascii="Garamond" w:eastAsia="Times New Roman" w:hAnsi="Garamond" w:cs="Times New Roman"/>
                <w:b/>
                <w:sz w:val="22"/>
                <w:szCs w:val="24"/>
              </w:rPr>
              <w:t>8. Наименование специализированного программного обеспечения из перечня ПО</w:t>
            </w:r>
          </w:p>
        </w:tc>
      </w:tr>
      <w:tr w:rsidR="001333B2" w:rsidRPr="001333B2" w14:paraId="5B0C0487" w14:textId="77777777" w:rsidTr="005760BA">
        <w:trPr>
          <w:trHeight w:val="567"/>
        </w:trPr>
        <w:tc>
          <w:tcPr>
            <w:tcW w:w="707" w:type="dxa"/>
            <w:shd w:val="clear" w:color="auto" w:fill="D9D9D9"/>
            <w:vAlign w:val="center"/>
          </w:tcPr>
          <w:p w14:paraId="5009213A" w14:textId="77777777" w:rsidR="001333B2" w:rsidRPr="001333B2" w:rsidRDefault="001333B2" w:rsidP="001333B2">
            <w:pPr>
              <w:suppressAutoHyphens w:val="0"/>
              <w:jc w:val="center"/>
              <w:rPr>
                <w:rFonts w:ascii="Garamond" w:eastAsia="Times New Roman" w:hAnsi="Garamond" w:cs="Times New Roman"/>
                <w:sz w:val="22"/>
                <w:szCs w:val="24"/>
              </w:rPr>
            </w:pPr>
            <w:r w:rsidRPr="001333B2">
              <w:rPr>
                <w:rFonts w:ascii="Garamond" w:eastAsia="Times New Roman" w:hAnsi="Garamond" w:cs="Times New Roman"/>
                <w:sz w:val="22"/>
                <w:szCs w:val="24"/>
              </w:rPr>
              <w:lastRenderedPageBreak/>
              <w:t>№</w:t>
            </w:r>
          </w:p>
        </w:tc>
        <w:tc>
          <w:tcPr>
            <w:tcW w:w="8652" w:type="dxa"/>
            <w:gridSpan w:val="4"/>
            <w:shd w:val="clear" w:color="auto" w:fill="D9D9D9"/>
            <w:vAlign w:val="center"/>
          </w:tcPr>
          <w:p w14:paraId="094C9C12" w14:textId="77777777" w:rsidR="001333B2" w:rsidRPr="001333B2" w:rsidRDefault="001333B2" w:rsidP="001333B2">
            <w:pPr>
              <w:suppressAutoHyphens w:val="0"/>
              <w:jc w:val="center"/>
              <w:rPr>
                <w:rFonts w:ascii="Garamond" w:eastAsia="Times New Roman" w:hAnsi="Garamond" w:cs="Times New Roman"/>
                <w:sz w:val="22"/>
                <w:szCs w:val="24"/>
              </w:rPr>
            </w:pPr>
            <w:r w:rsidRPr="001333B2">
              <w:rPr>
                <w:rFonts w:ascii="Garamond" w:eastAsia="Times New Roman" w:hAnsi="Garamond" w:cs="Times New Roman"/>
                <w:sz w:val="22"/>
                <w:szCs w:val="24"/>
              </w:rPr>
              <w:t>Наименование ПО</w:t>
            </w:r>
          </w:p>
        </w:tc>
      </w:tr>
      <w:tr w:rsidR="001333B2" w:rsidRPr="001333B2" w14:paraId="43205141" w14:textId="77777777" w:rsidTr="005760BA">
        <w:trPr>
          <w:trHeight w:val="567"/>
        </w:trPr>
        <w:tc>
          <w:tcPr>
            <w:tcW w:w="707" w:type="dxa"/>
            <w:vAlign w:val="center"/>
          </w:tcPr>
          <w:p w14:paraId="77168C67" w14:textId="77777777" w:rsidR="001333B2" w:rsidRPr="001333B2" w:rsidRDefault="001333B2" w:rsidP="001333B2">
            <w:pPr>
              <w:suppressAutoHyphens w:val="0"/>
              <w:jc w:val="center"/>
              <w:rPr>
                <w:rFonts w:ascii="Garamond" w:eastAsia="Times New Roman" w:hAnsi="Garamond" w:cs="Times New Roman"/>
                <w:sz w:val="22"/>
                <w:szCs w:val="24"/>
              </w:rPr>
            </w:pPr>
            <w:r w:rsidRPr="001333B2">
              <w:rPr>
                <w:rFonts w:ascii="Garamond" w:eastAsia="Times New Roman" w:hAnsi="Garamond" w:cs="Times New Roman"/>
                <w:sz w:val="22"/>
                <w:szCs w:val="24"/>
              </w:rPr>
              <w:t>1</w:t>
            </w:r>
          </w:p>
        </w:tc>
        <w:tc>
          <w:tcPr>
            <w:tcW w:w="8652" w:type="dxa"/>
            <w:gridSpan w:val="4"/>
            <w:vAlign w:val="center"/>
          </w:tcPr>
          <w:p w14:paraId="371531B2" w14:textId="77777777" w:rsidR="001333B2" w:rsidRPr="001333B2" w:rsidRDefault="001333B2" w:rsidP="001333B2">
            <w:pPr>
              <w:suppressAutoHyphens w:val="0"/>
              <w:rPr>
                <w:rFonts w:ascii="Garamond" w:eastAsia="Times New Roman" w:hAnsi="Garamond" w:cs="Times New Roman"/>
                <w:sz w:val="22"/>
                <w:szCs w:val="24"/>
              </w:rPr>
            </w:pPr>
            <w:r w:rsidRPr="001333B2">
              <w:rPr>
                <w:rFonts w:ascii="Garamond" w:eastAsia="Times New Roman" w:hAnsi="Garamond" w:cs="Times New Roman"/>
                <w:sz w:val="22"/>
                <w:szCs w:val="24"/>
              </w:rPr>
              <w:t>Zoom</w:t>
            </w:r>
          </w:p>
        </w:tc>
      </w:tr>
      <w:tr w:rsidR="001333B2" w:rsidRPr="001333B2" w14:paraId="636D3F09" w14:textId="77777777" w:rsidTr="005760BA">
        <w:trPr>
          <w:trHeight w:val="567"/>
        </w:trPr>
        <w:tc>
          <w:tcPr>
            <w:tcW w:w="707" w:type="dxa"/>
            <w:vAlign w:val="center"/>
          </w:tcPr>
          <w:p w14:paraId="49DA116A" w14:textId="77777777" w:rsidR="001333B2" w:rsidRPr="001333B2" w:rsidRDefault="001333B2" w:rsidP="001333B2">
            <w:pPr>
              <w:suppressAutoHyphens w:val="0"/>
              <w:jc w:val="center"/>
              <w:rPr>
                <w:rFonts w:ascii="Garamond" w:eastAsia="Times New Roman" w:hAnsi="Garamond" w:cs="Times New Roman"/>
                <w:sz w:val="22"/>
                <w:szCs w:val="24"/>
              </w:rPr>
            </w:pPr>
            <w:r w:rsidRPr="001333B2">
              <w:rPr>
                <w:rFonts w:ascii="Garamond" w:eastAsia="Times New Roman" w:hAnsi="Garamond" w:cs="Times New Roman"/>
                <w:sz w:val="22"/>
                <w:szCs w:val="24"/>
              </w:rPr>
              <w:t>2</w:t>
            </w:r>
          </w:p>
        </w:tc>
        <w:tc>
          <w:tcPr>
            <w:tcW w:w="8652" w:type="dxa"/>
            <w:gridSpan w:val="4"/>
            <w:vAlign w:val="center"/>
          </w:tcPr>
          <w:p w14:paraId="4DDAF170" w14:textId="77777777" w:rsidR="001333B2" w:rsidRPr="001333B2" w:rsidRDefault="001333B2" w:rsidP="001333B2">
            <w:pPr>
              <w:suppressAutoHyphens w:val="0"/>
              <w:rPr>
                <w:rFonts w:ascii="Garamond" w:eastAsia="Times New Roman" w:hAnsi="Garamond" w:cs="Times New Roman"/>
                <w:sz w:val="22"/>
                <w:szCs w:val="24"/>
              </w:rPr>
            </w:pPr>
            <w:r w:rsidRPr="001333B2">
              <w:rPr>
                <w:rFonts w:ascii="Garamond" w:eastAsia="Times New Roman" w:hAnsi="Garamond" w:cs="Times New Roman"/>
                <w:sz w:val="22"/>
                <w:szCs w:val="24"/>
              </w:rPr>
              <w:t>Яндекс. Телемост</w:t>
            </w:r>
          </w:p>
        </w:tc>
      </w:tr>
      <w:tr w:rsidR="001333B2" w:rsidRPr="001333B2" w14:paraId="464E283D" w14:textId="77777777" w:rsidTr="0064152E">
        <w:trPr>
          <w:trHeight w:val="356"/>
        </w:trPr>
        <w:tc>
          <w:tcPr>
            <w:tcW w:w="9359" w:type="dxa"/>
            <w:gridSpan w:val="5"/>
            <w:shd w:val="clear" w:color="auto" w:fill="D9D9D9"/>
            <w:vAlign w:val="center"/>
          </w:tcPr>
          <w:p w14:paraId="711824F1" w14:textId="709D0FAC" w:rsidR="001333B2" w:rsidRPr="001333B2" w:rsidRDefault="001333B2" w:rsidP="000F6978">
            <w:pPr>
              <w:suppressAutoHyphens w:val="0"/>
              <w:rPr>
                <w:rFonts w:ascii="Garamond" w:eastAsia="Times New Roman" w:hAnsi="Garamond" w:cs="Times New Roman"/>
                <w:b/>
                <w:sz w:val="22"/>
                <w:szCs w:val="22"/>
              </w:rPr>
            </w:pPr>
            <w:r w:rsidRPr="001333B2">
              <w:rPr>
                <w:rFonts w:ascii="Garamond" w:eastAsia="Times New Roman" w:hAnsi="Garamond" w:cs="Times New Roman"/>
                <w:b/>
                <w:sz w:val="22"/>
                <w:szCs w:val="24"/>
              </w:rPr>
              <w:t>9. Информация об Акте (-ах) о соответствии АИИС КУЭ, оформленно</w:t>
            </w:r>
            <w:r w:rsidR="000F6978">
              <w:rPr>
                <w:rFonts w:ascii="Garamond" w:eastAsia="Times New Roman" w:hAnsi="Garamond" w:cs="Times New Roman"/>
                <w:b/>
                <w:sz w:val="22"/>
                <w:szCs w:val="24"/>
              </w:rPr>
              <w:t>м</w:t>
            </w:r>
            <w:r w:rsidRPr="001333B2">
              <w:rPr>
                <w:rFonts w:ascii="Garamond" w:eastAsia="Times New Roman" w:hAnsi="Garamond" w:cs="Times New Roman"/>
                <w:b/>
                <w:sz w:val="22"/>
                <w:szCs w:val="24"/>
              </w:rPr>
              <w:t xml:space="preserve"> (-ых) в отношении покупателя электрической энергии (мощности) – крупного потребителя</w:t>
            </w:r>
          </w:p>
        </w:tc>
      </w:tr>
      <w:tr w:rsidR="001333B2" w:rsidRPr="001333B2" w14:paraId="37CA329F" w14:textId="77777777" w:rsidTr="005760BA">
        <w:trPr>
          <w:trHeight w:val="567"/>
        </w:trPr>
        <w:tc>
          <w:tcPr>
            <w:tcW w:w="707" w:type="dxa"/>
            <w:shd w:val="clear" w:color="auto" w:fill="D9D9D9"/>
            <w:vAlign w:val="center"/>
          </w:tcPr>
          <w:p w14:paraId="3F6A7B36" w14:textId="77777777" w:rsidR="001333B2" w:rsidRPr="001333B2" w:rsidRDefault="001333B2" w:rsidP="001333B2">
            <w:pPr>
              <w:suppressAutoHyphens w:val="0"/>
              <w:jc w:val="center"/>
              <w:rPr>
                <w:rFonts w:ascii="Garamond" w:eastAsia="Times New Roman" w:hAnsi="Garamond" w:cs="Times New Roman"/>
                <w:sz w:val="22"/>
                <w:szCs w:val="24"/>
              </w:rPr>
            </w:pPr>
            <w:r w:rsidRPr="001333B2">
              <w:rPr>
                <w:rFonts w:ascii="Garamond" w:eastAsia="Times New Roman" w:hAnsi="Garamond" w:cs="Times New Roman"/>
                <w:sz w:val="22"/>
                <w:szCs w:val="24"/>
              </w:rPr>
              <w:t>№</w:t>
            </w:r>
          </w:p>
        </w:tc>
        <w:tc>
          <w:tcPr>
            <w:tcW w:w="8652" w:type="dxa"/>
            <w:gridSpan w:val="4"/>
            <w:shd w:val="clear" w:color="auto" w:fill="D9D9D9"/>
            <w:vAlign w:val="center"/>
          </w:tcPr>
          <w:p w14:paraId="7305924B" w14:textId="77777777" w:rsidR="001333B2" w:rsidRPr="001333B2" w:rsidRDefault="001333B2" w:rsidP="001333B2">
            <w:pPr>
              <w:suppressAutoHyphens w:val="0"/>
              <w:jc w:val="center"/>
              <w:rPr>
                <w:rFonts w:ascii="Garamond" w:eastAsia="Times New Roman" w:hAnsi="Garamond" w:cs="Times New Roman"/>
                <w:sz w:val="22"/>
                <w:szCs w:val="24"/>
              </w:rPr>
            </w:pPr>
            <w:r w:rsidRPr="001333B2">
              <w:rPr>
                <w:rFonts w:ascii="Garamond" w:eastAsia="Times New Roman" w:hAnsi="Garamond" w:cs="Times New Roman"/>
                <w:sz w:val="22"/>
                <w:szCs w:val="24"/>
              </w:rPr>
              <w:t>Реквизиты Акта (-ов) о соответствии АИИС КУЭ</w:t>
            </w:r>
          </w:p>
        </w:tc>
      </w:tr>
      <w:tr w:rsidR="001333B2" w:rsidRPr="001333B2" w14:paraId="1622CA5F" w14:textId="77777777" w:rsidTr="005760BA">
        <w:trPr>
          <w:trHeight w:val="567"/>
        </w:trPr>
        <w:tc>
          <w:tcPr>
            <w:tcW w:w="707" w:type="dxa"/>
            <w:vAlign w:val="center"/>
          </w:tcPr>
          <w:p w14:paraId="6304BC7A" w14:textId="77777777" w:rsidR="001333B2" w:rsidRPr="001333B2" w:rsidRDefault="001333B2" w:rsidP="001333B2">
            <w:pPr>
              <w:suppressAutoHyphens w:val="0"/>
              <w:jc w:val="center"/>
              <w:rPr>
                <w:rFonts w:ascii="Garamond" w:eastAsia="Times New Roman" w:hAnsi="Garamond" w:cs="Times New Roman"/>
                <w:sz w:val="22"/>
                <w:szCs w:val="24"/>
              </w:rPr>
            </w:pPr>
            <w:r w:rsidRPr="001333B2">
              <w:rPr>
                <w:rFonts w:ascii="Garamond" w:eastAsia="Times New Roman" w:hAnsi="Garamond" w:cs="Times New Roman"/>
                <w:sz w:val="22"/>
                <w:szCs w:val="24"/>
              </w:rPr>
              <w:t>1</w:t>
            </w:r>
          </w:p>
        </w:tc>
        <w:tc>
          <w:tcPr>
            <w:tcW w:w="8652" w:type="dxa"/>
            <w:gridSpan w:val="4"/>
            <w:vAlign w:val="center"/>
          </w:tcPr>
          <w:p w14:paraId="47BF6F6F" w14:textId="77777777" w:rsidR="001333B2" w:rsidRPr="001333B2" w:rsidRDefault="001333B2" w:rsidP="001333B2">
            <w:pPr>
              <w:suppressAutoHyphens w:val="0"/>
              <w:spacing w:line="259" w:lineRule="auto"/>
              <w:rPr>
                <w:rFonts w:ascii="Garamond" w:eastAsia="Calibri" w:hAnsi="Garamond" w:cs="Times New Roman"/>
                <w:sz w:val="22"/>
                <w:szCs w:val="22"/>
                <w:lang w:eastAsia="en-US"/>
              </w:rPr>
            </w:pPr>
            <w:r w:rsidRPr="001333B2">
              <w:rPr>
                <w:rFonts w:ascii="Garamond" w:eastAsia="Calibri" w:hAnsi="Garamond" w:cs="Times New Roman"/>
                <w:sz w:val="22"/>
                <w:szCs w:val="22"/>
                <w:lang w:eastAsia="en-US"/>
              </w:rPr>
              <w:t>-</w:t>
            </w:r>
          </w:p>
        </w:tc>
      </w:tr>
      <w:tr w:rsidR="005760BA" w:rsidRPr="000F6978" w14:paraId="667B6FD1" w14:textId="77777777" w:rsidTr="00664B22">
        <w:trPr>
          <w:trHeight w:val="567"/>
        </w:trPr>
        <w:tc>
          <w:tcPr>
            <w:tcW w:w="9359" w:type="dxa"/>
            <w:gridSpan w:val="5"/>
            <w:shd w:val="clear" w:color="auto" w:fill="D9D9D9" w:themeFill="background1" w:themeFillShade="D9"/>
            <w:vAlign w:val="center"/>
          </w:tcPr>
          <w:p w14:paraId="26C17392" w14:textId="4723A02D" w:rsidR="005760BA" w:rsidRPr="000F6978" w:rsidRDefault="005760BA" w:rsidP="00664B22">
            <w:pPr>
              <w:suppressAutoHyphens w:val="0"/>
              <w:jc w:val="both"/>
              <w:rPr>
                <w:rFonts w:ascii="Garamond" w:eastAsia="Calibri" w:hAnsi="Garamond" w:cs="Times New Roman"/>
                <w:b/>
                <w:sz w:val="22"/>
                <w:szCs w:val="22"/>
                <w:lang w:eastAsia="en-US"/>
              </w:rPr>
            </w:pPr>
            <w:r w:rsidRPr="000F6978">
              <w:rPr>
                <w:rFonts w:ascii="Garamond" w:eastAsia="Times New Roman" w:hAnsi="Garamond" w:cs="Times New Roman"/>
                <w:b/>
                <w:sz w:val="22"/>
                <w:szCs w:val="24"/>
              </w:rPr>
              <w:t xml:space="preserve">10. </w:t>
            </w:r>
            <w:r w:rsidRPr="000F6978">
              <w:rPr>
                <w:rFonts w:ascii="Garamond" w:eastAsia="Calibri" w:hAnsi="Garamond" w:cs="Times New Roman"/>
                <w:b/>
                <w:sz w:val="22"/>
                <w:szCs w:val="22"/>
                <w:lang w:eastAsia="en-US"/>
              </w:rPr>
              <w:t>Информация о договоре оказания услуг по изменению режима потребления электрической энергии</w:t>
            </w:r>
          </w:p>
        </w:tc>
      </w:tr>
      <w:tr w:rsidR="00E41247" w:rsidRPr="000F6978" w14:paraId="22EFFEB2" w14:textId="77777777" w:rsidTr="00E41247">
        <w:trPr>
          <w:trHeight w:val="567"/>
        </w:trPr>
        <w:tc>
          <w:tcPr>
            <w:tcW w:w="4389" w:type="dxa"/>
            <w:gridSpan w:val="2"/>
            <w:vAlign w:val="center"/>
          </w:tcPr>
          <w:p w14:paraId="30BA6B1A" w14:textId="6E946314" w:rsidR="00E41247" w:rsidRPr="000F6978" w:rsidRDefault="00E41247" w:rsidP="00E41247">
            <w:pPr>
              <w:suppressAutoHyphens w:val="0"/>
              <w:jc w:val="both"/>
              <w:rPr>
                <w:rFonts w:ascii="Garamond" w:eastAsia="Times New Roman" w:hAnsi="Garamond" w:cs="Times New Roman"/>
                <w:sz w:val="22"/>
              </w:rPr>
            </w:pPr>
            <w:r w:rsidRPr="000F6978">
              <w:rPr>
                <w:rFonts w:ascii="Garamond" w:eastAsia="Times New Roman" w:hAnsi="Garamond" w:cs="Times New Roman"/>
                <w:sz w:val="22"/>
              </w:rPr>
              <w:t xml:space="preserve">Период (периоды) оказания услуг по договору </w:t>
            </w:r>
            <w:r w:rsidR="00B57A64" w:rsidRPr="000F6978">
              <w:rPr>
                <w:rFonts w:ascii="Garamond" w:eastAsia="Times New Roman" w:hAnsi="Garamond" w:cs="Times New Roman"/>
                <w:sz w:val="22"/>
              </w:rPr>
              <w:t>оказания услуг по изменению</w:t>
            </w:r>
            <w:r w:rsidRPr="000F6978">
              <w:rPr>
                <w:rFonts w:ascii="Garamond" w:eastAsia="Times New Roman" w:hAnsi="Garamond" w:cs="Times New Roman"/>
                <w:sz w:val="22"/>
              </w:rPr>
              <w:t xml:space="preserve"> режима потребления</w:t>
            </w:r>
          </w:p>
        </w:tc>
        <w:tc>
          <w:tcPr>
            <w:tcW w:w="4970" w:type="dxa"/>
            <w:gridSpan w:val="3"/>
            <w:vAlign w:val="center"/>
          </w:tcPr>
          <w:p w14:paraId="7AAB913E" w14:textId="1DBF5E1D" w:rsidR="00E41247" w:rsidRPr="000F6978" w:rsidRDefault="000F6978" w:rsidP="00E41247">
            <w:pPr>
              <w:suppressAutoHyphens w:val="0"/>
              <w:jc w:val="both"/>
              <w:rPr>
                <w:rFonts w:ascii="Garamond" w:eastAsia="Times New Roman" w:hAnsi="Garamond" w:cs="Times New Roman"/>
                <w:sz w:val="22"/>
                <w:szCs w:val="24"/>
              </w:rPr>
            </w:pPr>
            <w:r>
              <w:rPr>
                <w:rFonts w:ascii="Garamond" w:eastAsia="Times New Roman" w:hAnsi="Garamond" w:cs="Times New Roman"/>
                <w:sz w:val="22"/>
                <w:szCs w:val="24"/>
              </w:rPr>
              <w:t>01.04.2024–</w:t>
            </w:r>
            <w:r w:rsidR="00344A7F" w:rsidRPr="000F6978">
              <w:rPr>
                <w:rFonts w:ascii="Garamond" w:eastAsia="Times New Roman" w:hAnsi="Garamond" w:cs="Times New Roman"/>
                <w:sz w:val="22"/>
                <w:szCs w:val="24"/>
              </w:rPr>
              <w:t>01.07.2024</w:t>
            </w:r>
          </w:p>
        </w:tc>
      </w:tr>
    </w:tbl>
    <w:p w14:paraId="4FBA5835" w14:textId="77777777" w:rsidR="001333B2" w:rsidRPr="000F6978" w:rsidRDefault="001333B2" w:rsidP="001333B2">
      <w:pPr>
        <w:suppressAutoHyphens w:val="0"/>
        <w:rPr>
          <w:rFonts w:ascii="Garamond" w:eastAsia="Times New Roman" w:hAnsi="Garamond" w:cs="Times New Roman"/>
          <w:b/>
          <w:sz w:val="16"/>
          <w:szCs w:val="24"/>
        </w:rPr>
      </w:pPr>
    </w:p>
    <w:p w14:paraId="2A399582" w14:textId="4324F95B" w:rsidR="007B1F83" w:rsidRDefault="007B1F83" w:rsidP="001333B2">
      <w:pPr>
        <w:suppressAutoHyphens w:val="0"/>
        <w:rPr>
          <w:rFonts w:ascii="Garamond" w:hAnsi="Garamond"/>
          <w:bCs/>
          <w:sz w:val="22"/>
        </w:rPr>
      </w:pPr>
      <w:r w:rsidRPr="000F6978">
        <w:rPr>
          <w:rFonts w:ascii="Garamond" w:hAnsi="Garamond"/>
          <w:bCs/>
          <w:sz w:val="22"/>
        </w:rPr>
        <w:t>Подтверждаю, что в объект регулирования не включаются объекты электросетевого хозяйства сетевых организаций.</w:t>
      </w:r>
    </w:p>
    <w:p w14:paraId="745CDB41" w14:textId="61E09AD9" w:rsidR="00E4195E" w:rsidRDefault="00E4195E" w:rsidP="001333B2">
      <w:pPr>
        <w:suppressAutoHyphens w:val="0"/>
        <w:jc w:val="both"/>
        <w:rPr>
          <w:rFonts w:ascii="Garamond" w:eastAsia="Times New Roman" w:hAnsi="Garamond" w:cs="Times New Roman"/>
          <w:sz w:val="22"/>
          <w:szCs w:val="24"/>
        </w:rPr>
      </w:pPr>
    </w:p>
    <w:p w14:paraId="55EC6E29" w14:textId="77777777" w:rsidR="007B1F83" w:rsidRPr="001333B2" w:rsidRDefault="007B1F83" w:rsidP="001333B2">
      <w:pPr>
        <w:suppressAutoHyphens w:val="0"/>
        <w:rPr>
          <w:rFonts w:ascii="Garamond" w:eastAsia="Times New Roman" w:hAnsi="Garamond" w:cs="Times New Roman"/>
          <w:b/>
          <w:sz w:val="16"/>
          <w:szCs w:val="24"/>
        </w:rPr>
      </w:pPr>
    </w:p>
    <w:p w14:paraId="3AD6BDD9" w14:textId="06AA7F90" w:rsidR="001333B2" w:rsidRPr="001333B2" w:rsidRDefault="001333B2" w:rsidP="001333B2">
      <w:pPr>
        <w:suppressAutoHyphens w:val="0"/>
        <w:jc w:val="both"/>
        <w:rPr>
          <w:rFonts w:ascii="Garamond" w:eastAsia="Times New Roman" w:hAnsi="Garamond" w:cs="Times New Roman"/>
          <w:sz w:val="22"/>
          <w:szCs w:val="24"/>
        </w:rPr>
      </w:pPr>
      <w:r w:rsidRPr="001333B2">
        <w:rPr>
          <w:rFonts w:ascii="Garamond" w:eastAsia="Times New Roman" w:hAnsi="Garamond" w:cs="Times New Roman"/>
          <w:sz w:val="22"/>
          <w:szCs w:val="24"/>
        </w:rPr>
        <w:t>Приложение: опись направляемых документов, на __ л. в 1 экз.</w:t>
      </w:r>
    </w:p>
    <w:p w14:paraId="5B3E0A71" w14:textId="77777777" w:rsidR="001333B2" w:rsidRPr="001333B2" w:rsidRDefault="001333B2" w:rsidP="001333B2">
      <w:pPr>
        <w:suppressAutoHyphens w:val="0"/>
        <w:jc w:val="both"/>
        <w:rPr>
          <w:rFonts w:ascii="Garamond" w:eastAsia="Times New Roman" w:hAnsi="Garamond" w:cs="Times New Roman"/>
          <w:sz w:val="22"/>
          <w:szCs w:val="24"/>
        </w:rPr>
      </w:pPr>
    </w:p>
    <w:tbl>
      <w:tblPr>
        <w:tblW w:w="0" w:type="auto"/>
        <w:tblLook w:val="00A0" w:firstRow="1" w:lastRow="0" w:firstColumn="1" w:lastColumn="0" w:noHBand="0" w:noVBand="0"/>
      </w:tblPr>
      <w:tblGrid>
        <w:gridCol w:w="3399"/>
        <w:gridCol w:w="2878"/>
        <w:gridCol w:w="3190"/>
      </w:tblGrid>
      <w:tr w:rsidR="001333B2" w:rsidRPr="001333B2" w14:paraId="73D3A683" w14:textId="77777777" w:rsidTr="0064152E">
        <w:tc>
          <w:tcPr>
            <w:tcW w:w="4887" w:type="dxa"/>
            <w:tcBorders>
              <w:bottom w:val="single" w:sz="4" w:space="0" w:color="auto"/>
            </w:tcBorders>
          </w:tcPr>
          <w:p w14:paraId="76237E5E" w14:textId="77777777" w:rsidR="001333B2" w:rsidRPr="001333B2" w:rsidRDefault="001333B2" w:rsidP="001333B2">
            <w:pPr>
              <w:suppressAutoHyphens w:val="0"/>
              <w:jc w:val="both"/>
              <w:rPr>
                <w:rFonts w:ascii="Garamond" w:eastAsia="Times New Roman" w:hAnsi="Garamond" w:cs="Times New Roman"/>
                <w:sz w:val="22"/>
                <w:szCs w:val="24"/>
              </w:rPr>
            </w:pPr>
            <w:r w:rsidRPr="001333B2">
              <w:rPr>
                <w:rFonts w:ascii="Garamond" w:eastAsia="Times New Roman" w:hAnsi="Garamond" w:cs="Times New Roman"/>
                <w:sz w:val="22"/>
                <w:szCs w:val="24"/>
              </w:rPr>
              <w:t xml:space="preserve">          Генеральный директор</w:t>
            </w:r>
          </w:p>
        </w:tc>
        <w:tc>
          <w:tcPr>
            <w:tcW w:w="4876" w:type="dxa"/>
          </w:tcPr>
          <w:p w14:paraId="4AB3DCE0" w14:textId="77777777" w:rsidR="001333B2" w:rsidRPr="001333B2" w:rsidRDefault="001333B2" w:rsidP="001333B2">
            <w:pPr>
              <w:suppressAutoHyphens w:val="0"/>
              <w:jc w:val="both"/>
              <w:rPr>
                <w:rFonts w:ascii="Garamond" w:eastAsia="Times New Roman" w:hAnsi="Garamond" w:cs="Times New Roman"/>
                <w:sz w:val="22"/>
                <w:szCs w:val="24"/>
              </w:rPr>
            </w:pPr>
          </w:p>
        </w:tc>
        <w:tc>
          <w:tcPr>
            <w:tcW w:w="4917" w:type="dxa"/>
            <w:tcBorders>
              <w:bottom w:val="single" w:sz="4" w:space="0" w:color="auto"/>
            </w:tcBorders>
          </w:tcPr>
          <w:p w14:paraId="712D599C" w14:textId="2065855E" w:rsidR="001333B2" w:rsidRPr="001333B2" w:rsidRDefault="001333B2" w:rsidP="001333B2">
            <w:pPr>
              <w:suppressAutoHyphens w:val="0"/>
              <w:jc w:val="both"/>
              <w:rPr>
                <w:rFonts w:ascii="Garamond" w:eastAsia="Times New Roman" w:hAnsi="Garamond" w:cs="Times New Roman"/>
                <w:sz w:val="22"/>
                <w:szCs w:val="24"/>
              </w:rPr>
            </w:pPr>
            <w:r w:rsidRPr="001333B2">
              <w:rPr>
                <w:rFonts w:ascii="Garamond" w:eastAsia="Times New Roman" w:hAnsi="Garamond" w:cs="Times New Roman"/>
                <w:sz w:val="22"/>
                <w:szCs w:val="24"/>
              </w:rPr>
              <w:t xml:space="preserve">                 Иванов И.</w:t>
            </w:r>
            <w:r w:rsidR="000F6978">
              <w:rPr>
                <w:rFonts w:ascii="Garamond" w:eastAsia="Times New Roman" w:hAnsi="Garamond" w:cs="Times New Roman"/>
                <w:sz w:val="22"/>
                <w:szCs w:val="24"/>
              </w:rPr>
              <w:t xml:space="preserve"> </w:t>
            </w:r>
            <w:r w:rsidRPr="001333B2">
              <w:rPr>
                <w:rFonts w:ascii="Garamond" w:eastAsia="Times New Roman" w:hAnsi="Garamond" w:cs="Times New Roman"/>
                <w:sz w:val="22"/>
                <w:szCs w:val="24"/>
              </w:rPr>
              <w:t>И.</w:t>
            </w:r>
          </w:p>
        </w:tc>
      </w:tr>
      <w:tr w:rsidR="001333B2" w:rsidRPr="001333B2" w14:paraId="306B7E3A" w14:textId="77777777" w:rsidTr="0064152E">
        <w:tc>
          <w:tcPr>
            <w:tcW w:w="4887" w:type="dxa"/>
            <w:tcBorders>
              <w:top w:val="single" w:sz="4" w:space="0" w:color="auto"/>
            </w:tcBorders>
          </w:tcPr>
          <w:p w14:paraId="19A7DEB6" w14:textId="77777777" w:rsidR="001333B2" w:rsidRPr="001333B2" w:rsidRDefault="001333B2" w:rsidP="001333B2">
            <w:pPr>
              <w:suppressAutoHyphens w:val="0"/>
              <w:jc w:val="center"/>
              <w:rPr>
                <w:rFonts w:ascii="Garamond" w:eastAsia="Times New Roman" w:hAnsi="Garamond" w:cs="Times New Roman"/>
                <w:sz w:val="22"/>
                <w:szCs w:val="24"/>
              </w:rPr>
            </w:pPr>
            <w:r w:rsidRPr="001333B2">
              <w:rPr>
                <w:rFonts w:ascii="Garamond" w:eastAsia="Times New Roman" w:hAnsi="Garamond" w:cs="Times New Roman"/>
                <w:i/>
                <w:sz w:val="22"/>
                <w:szCs w:val="24"/>
              </w:rPr>
              <w:t>(должность)</w:t>
            </w:r>
          </w:p>
        </w:tc>
        <w:tc>
          <w:tcPr>
            <w:tcW w:w="4876" w:type="dxa"/>
          </w:tcPr>
          <w:p w14:paraId="5817ADFA" w14:textId="77777777" w:rsidR="001333B2" w:rsidRPr="001333B2" w:rsidRDefault="001333B2" w:rsidP="001333B2">
            <w:pPr>
              <w:suppressAutoHyphens w:val="0"/>
              <w:jc w:val="both"/>
              <w:rPr>
                <w:rFonts w:ascii="Garamond" w:eastAsia="Times New Roman" w:hAnsi="Garamond" w:cs="Times New Roman"/>
                <w:sz w:val="22"/>
                <w:szCs w:val="24"/>
              </w:rPr>
            </w:pPr>
          </w:p>
        </w:tc>
        <w:tc>
          <w:tcPr>
            <w:tcW w:w="4917" w:type="dxa"/>
            <w:tcBorders>
              <w:top w:val="single" w:sz="4" w:space="0" w:color="auto"/>
            </w:tcBorders>
          </w:tcPr>
          <w:p w14:paraId="1F7A4310" w14:textId="77777777" w:rsidR="001333B2" w:rsidRPr="001333B2" w:rsidRDefault="001333B2" w:rsidP="001333B2">
            <w:pPr>
              <w:suppressAutoHyphens w:val="0"/>
              <w:jc w:val="center"/>
              <w:rPr>
                <w:rFonts w:ascii="Garamond" w:eastAsia="Times New Roman" w:hAnsi="Garamond" w:cs="Times New Roman"/>
                <w:sz w:val="22"/>
                <w:szCs w:val="24"/>
              </w:rPr>
            </w:pPr>
            <w:r w:rsidRPr="001333B2">
              <w:rPr>
                <w:rFonts w:ascii="Garamond" w:eastAsia="Times New Roman" w:hAnsi="Garamond" w:cs="Times New Roman"/>
                <w:i/>
                <w:sz w:val="22"/>
                <w:szCs w:val="24"/>
              </w:rPr>
              <w:t>(Ф. И. О.)</w:t>
            </w:r>
          </w:p>
        </w:tc>
      </w:tr>
    </w:tbl>
    <w:p w14:paraId="26D64080" w14:textId="77777777" w:rsidR="001333B2" w:rsidRPr="001333B2" w:rsidRDefault="001333B2" w:rsidP="001333B2">
      <w:pPr>
        <w:suppressAutoHyphens w:val="0"/>
        <w:jc w:val="center"/>
        <w:rPr>
          <w:rFonts w:ascii="Garamond" w:eastAsia="Times New Roman" w:hAnsi="Garamond" w:cs="Times New Roman"/>
          <w:b/>
          <w:sz w:val="16"/>
          <w:szCs w:val="24"/>
        </w:rPr>
      </w:pPr>
      <w:r w:rsidRPr="001333B2">
        <w:rPr>
          <w:rFonts w:ascii="Garamond" w:eastAsia="Times New Roman" w:hAnsi="Garamond" w:cs="Times New Roman"/>
          <w:b/>
          <w:sz w:val="16"/>
          <w:szCs w:val="24"/>
        </w:rPr>
        <w:br w:type="page"/>
      </w:r>
    </w:p>
    <w:p w14:paraId="047548A5" w14:textId="77777777" w:rsidR="001333B2" w:rsidRPr="00AD67C2" w:rsidRDefault="001333B2" w:rsidP="001333B2">
      <w:pPr>
        <w:widowControl w:val="0"/>
        <w:suppressAutoHyphens w:val="0"/>
        <w:jc w:val="center"/>
        <w:outlineLvl w:val="0"/>
        <w:rPr>
          <w:rFonts w:ascii="Garamond" w:eastAsia="Times New Roman" w:hAnsi="Garamond" w:cs="Arial"/>
          <w:b/>
          <w:bCs/>
          <w:szCs w:val="22"/>
        </w:rPr>
      </w:pPr>
      <w:r w:rsidRPr="00AD67C2">
        <w:rPr>
          <w:rFonts w:ascii="Garamond" w:eastAsia="Times New Roman" w:hAnsi="Garamond" w:cs="Arial"/>
          <w:b/>
          <w:bCs/>
          <w:sz w:val="22"/>
          <w:szCs w:val="22"/>
        </w:rPr>
        <w:lastRenderedPageBreak/>
        <w:t xml:space="preserve">Форма 2 </w:t>
      </w:r>
    </w:p>
    <w:p w14:paraId="227082C3" w14:textId="77777777" w:rsidR="001333B2" w:rsidRPr="00AD67C2" w:rsidRDefault="001333B2" w:rsidP="001333B2">
      <w:pPr>
        <w:suppressAutoHyphens w:val="0"/>
        <w:jc w:val="both"/>
        <w:rPr>
          <w:rFonts w:ascii="Garamond" w:eastAsia="Times New Roman" w:hAnsi="Garamond" w:cs="Times New Roman"/>
          <w:sz w:val="22"/>
          <w:szCs w:val="24"/>
        </w:rPr>
      </w:pPr>
    </w:p>
    <w:p w14:paraId="51553BBF" w14:textId="77777777" w:rsidR="001333B2" w:rsidRPr="00AD67C2" w:rsidRDefault="001333B2" w:rsidP="001333B2">
      <w:pPr>
        <w:suppressAutoHyphens w:val="0"/>
        <w:jc w:val="both"/>
        <w:rPr>
          <w:rFonts w:ascii="Garamond" w:eastAsia="Times New Roman" w:hAnsi="Garamond" w:cs="Times New Roman"/>
          <w:sz w:val="22"/>
          <w:szCs w:val="24"/>
        </w:rPr>
      </w:pPr>
      <w:r w:rsidRPr="00AD67C2">
        <w:rPr>
          <w:rFonts w:ascii="Garamond" w:eastAsia="Times New Roman" w:hAnsi="Garamond" w:cs="Times New Roman"/>
          <w:sz w:val="22"/>
          <w:szCs w:val="24"/>
        </w:rPr>
        <w:t>(на бланке заявителя)</w:t>
      </w:r>
    </w:p>
    <w:p w14:paraId="4DE1DE1C" w14:textId="77777777" w:rsidR="001333B2" w:rsidRPr="00AD67C2" w:rsidRDefault="001333B2" w:rsidP="001333B2">
      <w:pPr>
        <w:suppressAutoHyphens w:val="0"/>
        <w:jc w:val="right"/>
        <w:rPr>
          <w:rFonts w:ascii="Garamond" w:eastAsia="Times New Roman" w:hAnsi="Garamond" w:cs="Times New Roman"/>
          <w:b/>
          <w:sz w:val="22"/>
          <w:szCs w:val="24"/>
        </w:rPr>
      </w:pPr>
      <w:r w:rsidRPr="00AD67C2">
        <w:rPr>
          <w:rFonts w:ascii="Garamond" w:eastAsia="Times New Roman" w:hAnsi="Garamond" w:cs="Times New Roman"/>
          <w:b/>
          <w:sz w:val="22"/>
          <w:szCs w:val="24"/>
        </w:rPr>
        <w:t>Председателю Правления</w:t>
      </w:r>
    </w:p>
    <w:p w14:paraId="6D12BC33" w14:textId="77777777" w:rsidR="001333B2" w:rsidRPr="00AD67C2" w:rsidRDefault="001333B2" w:rsidP="001333B2">
      <w:pPr>
        <w:suppressAutoHyphens w:val="0"/>
        <w:jc w:val="right"/>
        <w:rPr>
          <w:rFonts w:ascii="Garamond" w:eastAsia="Times New Roman" w:hAnsi="Garamond" w:cs="Times New Roman"/>
          <w:b/>
          <w:sz w:val="22"/>
          <w:szCs w:val="24"/>
        </w:rPr>
      </w:pPr>
      <w:r w:rsidRPr="00AD67C2">
        <w:rPr>
          <w:rFonts w:ascii="Garamond" w:eastAsia="Times New Roman" w:hAnsi="Garamond" w:cs="Times New Roman"/>
          <w:b/>
          <w:sz w:val="22"/>
          <w:szCs w:val="24"/>
        </w:rPr>
        <w:t>АО «АТС»</w:t>
      </w:r>
    </w:p>
    <w:p w14:paraId="02CADD2D" w14:textId="77777777" w:rsidR="001333B2" w:rsidRPr="00AD67C2" w:rsidRDefault="001333B2" w:rsidP="001333B2">
      <w:pPr>
        <w:suppressAutoHyphens w:val="0"/>
        <w:jc w:val="both"/>
        <w:rPr>
          <w:rFonts w:ascii="Garamond" w:eastAsia="Times New Roman" w:hAnsi="Garamond" w:cs="Times New Roman"/>
          <w:sz w:val="22"/>
          <w:szCs w:val="24"/>
        </w:rPr>
      </w:pPr>
      <w:r w:rsidRPr="00AD67C2">
        <w:rPr>
          <w:rFonts w:ascii="Garamond" w:eastAsia="Times New Roman" w:hAnsi="Garamond" w:cs="Times New Roman"/>
          <w:sz w:val="22"/>
          <w:szCs w:val="24"/>
        </w:rPr>
        <w:t>№ ____________________</w:t>
      </w:r>
    </w:p>
    <w:p w14:paraId="3B93C983" w14:textId="77777777" w:rsidR="001333B2" w:rsidRPr="00AD67C2" w:rsidRDefault="001333B2" w:rsidP="001333B2">
      <w:pPr>
        <w:suppressAutoHyphens w:val="0"/>
        <w:jc w:val="both"/>
        <w:rPr>
          <w:rFonts w:ascii="Garamond" w:eastAsia="Times New Roman" w:hAnsi="Garamond" w:cs="Times New Roman"/>
          <w:sz w:val="22"/>
          <w:szCs w:val="24"/>
        </w:rPr>
      </w:pPr>
      <w:r w:rsidRPr="00AD67C2">
        <w:rPr>
          <w:rFonts w:ascii="Garamond" w:eastAsia="Times New Roman" w:hAnsi="Garamond" w:cs="Times New Roman"/>
          <w:sz w:val="22"/>
          <w:szCs w:val="24"/>
        </w:rPr>
        <w:t>«___» ___________20 ___ г.</w:t>
      </w:r>
    </w:p>
    <w:p w14:paraId="2FA668FB" w14:textId="77777777" w:rsidR="001333B2" w:rsidRPr="00AD67C2" w:rsidRDefault="001333B2" w:rsidP="001333B2">
      <w:pPr>
        <w:suppressAutoHyphens w:val="0"/>
        <w:jc w:val="both"/>
        <w:rPr>
          <w:rFonts w:ascii="Garamond" w:eastAsia="Times New Roman" w:hAnsi="Garamond" w:cs="Times New Roman"/>
          <w:sz w:val="16"/>
          <w:szCs w:val="24"/>
        </w:rPr>
      </w:pPr>
    </w:p>
    <w:p w14:paraId="1E162D1E" w14:textId="77777777" w:rsidR="001333B2" w:rsidRPr="00AD67C2" w:rsidRDefault="001333B2" w:rsidP="001333B2">
      <w:pPr>
        <w:suppressAutoHyphens w:val="0"/>
        <w:jc w:val="center"/>
        <w:rPr>
          <w:rFonts w:ascii="Garamond" w:eastAsia="Times New Roman" w:hAnsi="Garamond" w:cs="Times New Roman"/>
          <w:b/>
          <w:sz w:val="22"/>
          <w:szCs w:val="24"/>
        </w:rPr>
      </w:pPr>
      <w:r w:rsidRPr="00AD67C2">
        <w:rPr>
          <w:rFonts w:ascii="Garamond" w:eastAsia="Times New Roman" w:hAnsi="Garamond" w:cs="Times New Roman"/>
          <w:b/>
          <w:sz w:val="22"/>
          <w:szCs w:val="24"/>
        </w:rPr>
        <w:t>ЗАЯВЛЕНИЕ</w:t>
      </w:r>
    </w:p>
    <w:p w14:paraId="53CD99C2" w14:textId="77777777" w:rsidR="001333B2" w:rsidRPr="00AD67C2" w:rsidRDefault="001333B2" w:rsidP="001333B2">
      <w:pPr>
        <w:suppressAutoHyphens w:val="0"/>
        <w:jc w:val="center"/>
        <w:rPr>
          <w:rFonts w:ascii="Garamond" w:eastAsia="Times New Roman" w:hAnsi="Garamond" w:cs="Times New Roman"/>
          <w:b/>
          <w:sz w:val="22"/>
          <w:szCs w:val="24"/>
        </w:rPr>
      </w:pPr>
    </w:p>
    <w:p w14:paraId="11909AB8" w14:textId="47C91F3F" w:rsidR="001333B2" w:rsidRPr="00AD67C2" w:rsidRDefault="001333B2" w:rsidP="001333B2">
      <w:pPr>
        <w:suppressAutoHyphens w:val="0"/>
        <w:jc w:val="center"/>
        <w:rPr>
          <w:rFonts w:ascii="Garamond" w:eastAsia="Times New Roman" w:hAnsi="Garamond" w:cs="Times New Roman"/>
          <w:b/>
          <w:sz w:val="22"/>
          <w:szCs w:val="24"/>
        </w:rPr>
      </w:pPr>
      <w:r w:rsidRPr="00AD67C2">
        <w:rPr>
          <w:rFonts w:ascii="Garamond" w:eastAsia="Times New Roman" w:hAnsi="Garamond" w:cs="Times New Roman"/>
          <w:b/>
          <w:sz w:val="22"/>
          <w:szCs w:val="24"/>
        </w:rPr>
        <w:t xml:space="preserve">о </w:t>
      </w:r>
      <w:r w:rsidR="00EC6C09" w:rsidRPr="00AD67C2">
        <w:rPr>
          <w:rFonts w:ascii="Garamond" w:eastAsia="Times New Roman" w:hAnsi="Garamond" w:cs="Times New Roman"/>
          <w:b/>
          <w:sz w:val="22"/>
          <w:szCs w:val="24"/>
        </w:rPr>
        <w:t>регистрации</w:t>
      </w:r>
      <w:r w:rsidR="00BE7753" w:rsidRPr="00AD67C2">
        <w:rPr>
          <w:rFonts w:ascii="Garamond" w:eastAsia="Times New Roman" w:hAnsi="Garamond" w:cs="Times New Roman"/>
          <w:b/>
          <w:sz w:val="22"/>
          <w:szCs w:val="24"/>
        </w:rPr>
        <w:t xml:space="preserve"> </w:t>
      </w:r>
      <w:r w:rsidR="000C6FA2" w:rsidRPr="00AD67C2">
        <w:rPr>
          <w:rFonts w:ascii="Garamond" w:eastAsia="Times New Roman" w:hAnsi="Garamond" w:cs="Times New Roman"/>
          <w:b/>
          <w:sz w:val="22"/>
          <w:szCs w:val="24"/>
        </w:rPr>
        <w:t xml:space="preserve">изменений </w:t>
      </w:r>
      <w:r w:rsidRPr="00AD67C2">
        <w:rPr>
          <w:rFonts w:ascii="Garamond" w:eastAsia="Times New Roman" w:hAnsi="Garamond" w:cs="Times New Roman"/>
          <w:b/>
          <w:sz w:val="22"/>
          <w:szCs w:val="24"/>
        </w:rPr>
        <w:t>объекта регулирования</w:t>
      </w:r>
      <w:r w:rsidR="006823B8" w:rsidRPr="00AD67C2">
        <w:rPr>
          <w:rFonts w:ascii="Garamond" w:eastAsia="Times New Roman" w:hAnsi="Garamond" w:cs="Times New Roman"/>
          <w:b/>
          <w:sz w:val="22"/>
          <w:szCs w:val="24"/>
        </w:rPr>
        <w:t xml:space="preserve"> и аттестации объекта регулирования</w:t>
      </w:r>
    </w:p>
    <w:p w14:paraId="738C4641" w14:textId="77777777" w:rsidR="001333B2" w:rsidRPr="00AD67C2" w:rsidRDefault="001333B2" w:rsidP="001333B2">
      <w:pPr>
        <w:suppressAutoHyphens w:val="0"/>
        <w:jc w:val="center"/>
        <w:rPr>
          <w:rFonts w:ascii="Garamond" w:eastAsia="Times New Roman" w:hAnsi="Garamond" w:cs="Times New Roman"/>
          <w:b/>
          <w:sz w:val="16"/>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4228"/>
        <w:gridCol w:w="5117"/>
      </w:tblGrid>
      <w:tr w:rsidR="001333B2" w:rsidRPr="00AD67C2" w14:paraId="4CF2AAEA" w14:textId="77777777" w:rsidTr="0064152E">
        <w:trPr>
          <w:trHeight w:val="567"/>
        </w:trPr>
        <w:tc>
          <w:tcPr>
            <w:tcW w:w="4228" w:type="dxa"/>
            <w:shd w:val="clear" w:color="auto" w:fill="D9D9D9"/>
            <w:vAlign w:val="center"/>
          </w:tcPr>
          <w:p w14:paraId="67701B67" w14:textId="77777777" w:rsidR="001333B2" w:rsidRPr="00AD67C2" w:rsidRDefault="001333B2" w:rsidP="001333B2">
            <w:pPr>
              <w:suppressAutoHyphens w:val="0"/>
              <w:jc w:val="both"/>
              <w:rPr>
                <w:rFonts w:ascii="Garamond" w:eastAsia="Times New Roman" w:hAnsi="Garamond" w:cs="Times New Roman"/>
                <w:sz w:val="22"/>
                <w:szCs w:val="24"/>
              </w:rPr>
            </w:pPr>
            <w:r w:rsidRPr="00AD67C2">
              <w:rPr>
                <w:rFonts w:ascii="Garamond" w:eastAsia="Times New Roman" w:hAnsi="Garamond" w:cs="Times New Roman"/>
                <w:sz w:val="22"/>
                <w:szCs w:val="24"/>
              </w:rPr>
              <w:t>Полное наименование юридического лица</w:t>
            </w:r>
          </w:p>
        </w:tc>
        <w:tc>
          <w:tcPr>
            <w:tcW w:w="5117" w:type="dxa"/>
            <w:vAlign w:val="center"/>
          </w:tcPr>
          <w:p w14:paraId="52D83EEB" w14:textId="767BD785" w:rsidR="001333B2" w:rsidRPr="00AD67C2" w:rsidRDefault="001333B2" w:rsidP="001333B2">
            <w:pPr>
              <w:suppressAutoHyphens w:val="0"/>
              <w:jc w:val="both"/>
              <w:rPr>
                <w:rFonts w:ascii="Garamond" w:eastAsia="Times New Roman" w:hAnsi="Garamond" w:cs="Times New Roman"/>
                <w:i/>
                <w:sz w:val="22"/>
                <w:szCs w:val="24"/>
              </w:rPr>
            </w:pPr>
            <w:r w:rsidRPr="00AD67C2">
              <w:rPr>
                <w:rFonts w:ascii="Garamond" w:eastAsia="Times New Roman" w:hAnsi="Garamond" w:cs="Times New Roman"/>
                <w:i/>
                <w:sz w:val="22"/>
                <w:szCs w:val="24"/>
              </w:rPr>
              <w:t>Заполняется в соответствии с информацией, указ</w:t>
            </w:r>
            <w:r w:rsidR="00FD0AE2">
              <w:rPr>
                <w:rFonts w:ascii="Garamond" w:eastAsia="Times New Roman" w:hAnsi="Garamond" w:cs="Times New Roman"/>
                <w:i/>
                <w:sz w:val="22"/>
                <w:szCs w:val="24"/>
              </w:rPr>
              <w:t>анной в </w:t>
            </w:r>
            <w:r w:rsidRPr="00AD67C2">
              <w:rPr>
                <w:rFonts w:ascii="Garamond" w:eastAsia="Times New Roman" w:hAnsi="Garamond" w:cs="Times New Roman"/>
                <w:i/>
                <w:sz w:val="22"/>
                <w:szCs w:val="24"/>
              </w:rPr>
              <w:t>ЕГРЮЛ</w:t>
            </w:r>
          </w:p>
        </w:tc>
      </w:tr>
      <w:tr w:rsidR="001333B2" w:rsidRPr="00AD67C2" w14:paraId="69F4C4FB" w14:textId="77777777" w:rsidTr="0064152E">
        <w:trPr>
          <w:trHeight w:val="567"/>
        </w:trPr>
        <w:tc>
          <w:tcPr>
            <w:tcW w:w="4228" w:type="dxa"/>
            <w:shd w:val="clear" w:color="auto" w:fill="D9D9D9"/>
            <w:vAlign w:val="center"/>
          </w:tcPr>
          <w:p w14:paraId="1493C248" w14:textId="77777777" w:rsidR="001333B2" w:rsidRPr="00AD67C2" w:rsidRDefault="001333B2" w:rsidP="001333B2">
            <w:pPr>
              <w:suppressAutoHyphens w:val="0"/>
              <w:jc w:val="both"/>
              <w:rPr>
                <w:rFonts w:ascii="Garamond" w:eastAsia="Times New Roman" w:hAnsi="Garamond" w:cs="Times New Roman"/>
                <w:sz w:val="22"/>
                <w:szCs w:val="24"/>
              </w:rPr>
            </w:pPr>
            <w:r w:rsidRPr="00AD67C2">
              <w:rPr>
                <w:rFonts w:ascii="Garamond" w:eastAsia="Times New Roman" w:hAnsi="Garamond" w:cs="Times New Roman"/>
                <w:sz w:val="22"/>
                <w:szCs w:val="24"/>
              </w:rPr>
              <w:t>Сокращенное наименование юридического лица</w:t>
            </w:r>
          </w:p>
        </w:tc>
        <w:tc>
          <w:tcPr>
            <w:tcW w:w="5117" w:type="dxa"/>
            <w:vAlign w:val="center"/>
          </w:tcPr>
          <w:p w14:paraId="0390ED85" w14:textId="1E796B35" w:rsidR="001333B2" w:rsidRPr="00AD67C2" w:rsidRDefault="001333B2" w:rsidP="001333B2">
            <w:pPr>
              <w:suppressAutoHyphens w:val="0"/>
              <w:jc w:val="both"/>
              <w:rPr>
                <w:rFonts w:ascii="Garamond" w:eastAsia="Times New Roman" w:hAnsi="Garamond" w:cs="Times New Roman"/>
                <w:sz w:val="22"/>
                <w:szCs w:val="24"/>
              </w:rPr>
            </w:pPr>
            <w:r w:rsidRPr="00AD67C2">
              <w:rPr>
                <w:rFonts w:ascii="Garamond" w:eastAsia="Times New Roman" w:hAnsi="Garamond" w:cs="Times New Roman"/>
                <w:i/>
                <w:sz w:val="22"/>
                <w:szCs w:val="24"/>
              </w:rPr>
              <w:t>Заполняется в соответс</w:t>
            </w:r>
            <w:r w:rsidR="00FD0AE2">
              <w:rPr>
                <w:rFonts w:ascii="Garamond" w:eastAsia="Times New Roman" w:hAnsi="Garamond" w:cs="Times New Roman"/>
                <w:i/>
                <w:sz w:val="22"/>
                <w:szCs w:val="24"/>
              </w:rPr>
              <w:t>твии с информацией, указанной в </w:t>
            </w:r>
            <w:r w:rsidRPr="00AD67C2">
              <w:rPr>
                <w:rFonts w:ascii="Garamond" w:eastAsia="Times New Roman" w:hAnsi="Garamond" w:cs="Times New Roman"/>
                <w:i/>
                <w:sz w:val="22"/>
                <w:szCs w:val="24"/>
              </w:rPr>
              <w:t>ЕГРЮЛ</w:t>
            </w:r>
          </w:p>
        </w:tc>
      </w:tr>
      <w:tr w:rsidR="001333B2" w:rsidRPr="00AD67C2" w14:paraId="53BF1537" w14:textId="77777777" w:rsidTr="0064152E">
        <w:trPr>
          <w:trHeight w:val="567"/>
        </w:trPr>
        <w:tc>
          <w:tcPr>
            <w:tcW w:w="4228" w:type="dxa"/>
            <w:shd w:val="clear" w:color="auto" w:fill="D9D9D9"/>
            <w:vAlign w:val="center"/>
          </w:tcPr>
          <w:p w14:paraId="6E35BDD4" w14:textId="77777777" w:rsidR="001333B2" w:rsidRPr="00AD67C2" w:rsidRDefault="001333B2" w:rsidP="001333B2">
            <w:pPr>
              <w:suppressAutoHyphens w:val="0"/>
              <w:jc w:val="both"/>
              <w:rPr>
                <w:rFonts w:ascii="Garamond" w:eastAsia="Times New Roman" w:hAnsi="Garamond" w:cs="Times New Roman"/>
                <w:sz w:val="22"/>
                <w:szCs w:val="24"/>
              </w:rPr>
            </w:pPr>
            <w:r w:rsidRPr="00AD67C2">
              <w:rPr>
                <w:rFonts w:ascii="Garamond" w:eastAsia="Times New Roman" w:hAnsi="Garamond" w:cs="Times New Roman"/>
                <w:sz w:val="22"/>
                <w:szCs w:val="24"/>
              </w:rPr>
              <w:t>ИНН юридического лица</w:t>
            </w:r>
          </w:p>
        </w:tc>
        <w:tc>
          <w:tcPr>
            <w:tcW w:w="5117" w:type="dxa"/>
            <w:vAlign w:val="center"/>
          </w:tcPr>
          <w:p w14:paraId="1EC05665" w14:textId="1649648A" w:rsidR="001333B2" w:rsidRPr="00AD67C2" w:rsidRDefault="001333B2" w:rsidP="001333B2">
            <w:pPr>
              <w:suppressAutoHyphens w:val="0"/>
              <w:jc w:val="both"/>
              <w:rPr>
                <w:rFonts w:ascii="Garamond" w:eastAsia="Times New Roman" w:hAnsi="Garamond" w:cs="Times New Roman"/>
                <w:i/>
                <w:sz w:val="22"/>
                <w:szCs w:val="24"/>
              </w:rPr>
            </w:pPr>
            <w:r w:rsidRPr="00AD67C2">
              <w:rPr>
                <w:rFonts w:ascii="Garamond" w:eastAsia="Times New Roman" w:hAnsi="Garamond" w:cs="Times New Roman"/>
                <w:i/>
                <w:sz w:val="22"/>
                <w:szCs w:val="24"/>
              </w:rPr>
              <w:t>Заполняется в соответс</w:t>
            </w:r>
            <w:r w:rsidR="00FD0AE2">
              <w:rPr>
                <w:rFonts w:ascii="Garamond" w:eastAsia="Times New Roman" w:hAnsi="Garamond" w:cs="Times New Roman"/>
                <w:i/>
                <w:sz w:val="22"/>
                <w:szCs w:val="24"/>
              </w:rPr>
              <w:t>твии с информацией, указанной в </w:t>
            </w:r>
            <w:r w:rsidRPr="00AD67C2">
              <w:rPr>
                <w:rFonts w:ascii="Garamond" w:eastAsia="Times New Roman" w:hAnsi="Garamond" w:cs="Times New Roman"/>
                <w:i/>
                <w:sz w:val="22"/>
                <w:szCs w:val="24"/>
              </w:rPr>
              <w:t>ЕГРЮЛ</w:t>
            </w:r>
          </w:p>
        </w:tc>
      </w:tr>
      <w:tr w:rsidR="001333B2" w:rsidRPr="00AD67C2" w14:paraId="12479B48" w14:textId="77777777" w:rsidTr="0064152E">
        <w:trPr>
          <w:trHeight w:val="567"/>
        </w:trPr>
        <w:tc>
          <w:tcPr>
            <w:tcW w:w="4228" w:type="dxa"/>
            <w:shd w:val="clear" w:color="auto" w:fill="D9D9D9"/>
            <w:vAlign w:val="center"/>
          </w:tcPr>
          <w:p w14:paraId="649DC57B" w14:textId="77777777" w:rsidR="001333B2" w:rsidRPr="00AD67C2" w:rsidRDefault="001333B2" w:rsidP="001333B2">
            <w:pPr>
              <w:suppressAutoHyphens w:val="0"/>
              <w:jc w:val="both"/>
              <w:rPr>
                <w:rFonts w:ascii="Garamond" w:eastAsia="Times New Roman" w:hAnsi="Garamond" w:cs="Times New Roman"/>
                <w:sz w:val="22"/>
                <w:szCs w:val="24"/>
              </w:rPr>
            </w:pPr>
            <w:r w:rsidRPr="00AD67C2">
              <w:rPr>
                <w:rFonts w:ascii="Garamond" w:eastAsia="Times New Roman" w:hAnsi="Garamond" w:cs="Times New Roman"/>
                <w:sz w:val="22"/>
                <w:szCs w:val="24"/>
              </w:rPr>
              <w:t>Регистрационный номер в Реестре субъектов оптового рынка</w:t>
            </w:r>
          </w:p>
        </w:tc>
        <w:tc>
          <w:tcPr>
            <w:tcW w:w="5117" w:type="dxa"/>
            <w:vAlign w:val="center"/>
          </w:tcPr>
          <w:p w14:paraId="13ADEC1C" w14:textId="77777777" w:rsidR="001333B2" w:rsidRPr="00AD67C2" w:rsidRDefault="001333B2" w:rsidP="001333B2">
            <w:pPr>
              <w:suppressAutoHyphens w:val="0"/>
              <w:jc w:val="both"/>
              <w:rPr>
                <w:rFonts w:ascii="Garamond" w:eastAsia="Times New Roman" w:hAnsi="Garamond" w:cs="Times New Roman"/>
                <w:i/>
                <w:sz w:val="22"/>
                <w:szCs w:val="24"/>
              </w:rPr>
            </w:pPr>
            <w:r w:rsidRPr="00AD67C2">
              <w:rPr>
                <w:rFonts w:ascii="Garamond" w:eastAsia="Times New Roman" w:hAnsi="Garamond" w:cs="Times New Roman"/>
                <w:i/>
                <w:sz w:val="22"/>
                <w:szCs w:val="24"/>
              </w:rPr>
              <w:t>Указывается при наличии</w:t>
            </w:r>
          </w:p>
        </w:tc>
      </w:tr>
    </w:tbl>
    <w:p w14:paraId="601CD9F8" w14:textId="77777777" w:rsidR="001333B2" w:rsidRPr="00AD67C2" w:rsidRDefault="001333B2" w:rsidP="001333B2">
      <w:pPr>
        <w:suppressAutoHyphens w:val="0"/>
        <w:jc w:val="both"/>
        <w:rPr>
          <w:rFonts w:ascii="Garamond" w:eastAsia="Times New Roman" w:hAnsi="Garamond" w:cs="Times New Roman"/>
          <w:sz w:val="16"/>
          <w:szCs w:val="24"/>
        </w:rPr>
      </w:pPr>
    </w:p>
    <w:p w14:paraId="4DE2DD81" w14:textId="27D88C07" w:rsidR="001333B2" w:rsidRPr="00AD67C2" w:rsidRDefault="001333B2" w:rsidP="001333B2">
      <w:pPr>
        <w:suppressAutoHyphens w:val="0"/>
        <w:jc w:val="both"/>
        <w:rPr>
          <w:rFonts w:ascii="Garamond" w:eastAsia="Times New Roman" w:hAnsi="Garamond" w:cs="Times New Roman"/>
          <w:b/>
          <w:sz w:val="22"/>
          <w:szCs w:val="24"/>
        </w:rPr>
      </w:pPr>
      <w:r w:rsidRPr="00AD67C2">
        <w:rPr>
          <w:rFonts w:ascii="Garamond" w:eastAsia="Times New Roman" w:hAnsi="Garamond" w:cs="Times New Roman"/>
          <w:b/>
          <w:sz w:val="22"/>
          <w:szCs w:val="22"/>
        </w:rPr>
        <w:t xml:space="preserve">выражает намерение внести изменение в </w:t>
      </w:r>
      <w:r w:rsidRPr="00AD67C2">
        <w:rPr>
          <w:rFonts w:ascii="Garamond" w:eastAsia="Times New Roman" w:hAnsi="Garamond" w:cs="Times New Roman"/>
          <w:b/>
          <w:sz w:val="22"/>
          <w:szCs w:val="24"/>
        </w:rPr>
        <w:t xml:space="preserve">регистрационную информацию объекта регулирования </w:t>
      </w:r>
      <w:r w:rsidRPr="00AD67C2">
        <w:rPr>
          <w:rFonts w:ascii="Garamond" w:eastAsia="Times New Roman" w:hAnsi="Garamond" w:cs="Times New Roman"/>
          <w:b/>
          <w:sz w:val="22"/>
          <w:szCs w:val="22"/>
        </w:rPr>
        <w:t xml:space="preserve">и провести аттестацию </w:t>
      </w:r>
      <w:r w:rsidR="00853A42" w:rsidRPr="00AD67C2">
        <w:rPr>
          <w:rFonts w:ascii="Garamond" w:eastAsia="Times New Roman" w:hAnsi="Garamond" w:cs="Times New Roman"/>
          <w:b/>
          <w:sz w:val="22"/>
          <w:szCs w:val="22"/>
        </w:rPr>
        <w:t>объекта регулирования</w:t>
      </w:r>
    </w:p>
    <w:p w14:paraId="1358729C" w14:textId="77777777" w:rsidR="001333B2" w:rsidRPr="00AD67C2" w:rsidRDefault="001333B2" w:rsidP="001333B2">
      <w:pPr>
        <w:suppressAutoHyphens w:val="0"/>
        <w:jc w:val="both"/>
        <w:rPr>
          <w:rFonts w:ascii="Garamond" w:eastAsia="Times New Roman" w:hAnsi="Garamond" w:cs="Times New Roman"/>
          <w:b/>
          <w:sz w:val="16"/>
          <w:szCs w:val="24"/>
        </w:rPr>
      </w:pPr>
    </w:p>
    <w:tbl>
      <w:tblPr>
        <w:tblW w:w="935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706"/>
        <w:gridCol w:w="1703"/>
        <w:gridCol w:w="84"/>
        <w:gridCol w:w="1896"/>
        <w:gridCol w:w="2408"/>
        <w:gridCol w:w="2562"/>
      </w:tblGrid>
      <w:tr w:rsidR="001333B2" w:rsidRPr="00AD67C2" w14:paraId="5F424CA3" w14:textId="77777777" w:rsidTr="0064152E">
        <w:trPr>
          <w:trHeight w:val="379"/>
        </w:trPr>
        <w:tc>
          <w:tcPr>
            <w:tcW w:w="9359" w:type="dxa"/>
            <w:gridSpan w:val="6"/>
            <w:shd w:val="clear" w:color="auto" w:fill="D9D9D9"/>
            <w:vAlign w:val="center"/>
          </w:tcPr>
          <w:p w14:paraId="43318EDB" w14:textId="77777777" w:rsidR="001333B2" w:rsidRPr="00AD67C2" w:rsidRDefault="001333B2" w:rsidP="001333B2">
            <w:pPr>
              <w:suppressAutoHyphens w:val="0"/>
              <w:jc w:val="both"/>
              <w:rPr>
                <w:rFonts w:ascii="Garamond" w:eastAsia="Times New Roman" w:hAnsi="Garamond" w:cs="Times New Roman"/>
                <w:sz w:val="22"/>
                <w:szCs w:val="24"/>
              </w:rPr>
            </w:pPr>
            <w:r w:rsidRPr="00AD67C2">
              <w:rPr>
                <w:rFonts w:ascii="Garamond" w:eastAsia="Times New Roman" w:hAnsi="Garamond" w:cs="Times New Roman"/>
                <w:b/>
                <w:sz w:val="22"/>
                <w:szCs w:val="24"/>
              </w:rPr>
              <w:t>1. Общие характеристики объекта регулирования</w:t>
            </w:r>
          </w:p>
        </w:tc>
      </w:tr>
      <w:tr w:rsidR="001333B2" w:rsidRPr="00AD67C2" w14:paraId="13593103" w14:textId="77777777" w:rsidTr="003938D9">
        <w:trPr>
          <w:trHeight w:val="567"/>
        </w:trPr>
        <w:tc>
          <w:tcPr>
            <w:tcW w:w="4389" w:type="dxa"/>
            <w:gridSpan w:val="4"/>
            <w:shd w:val="clear" w:color="auto" w:fill="D9D9D9"/>
            <w:vAlign w:val="center"/>
          </w:tcPr>
          <w:p w14:paraId="0D82E455" w14:textId="77777777" w:rsidR="001333B2" w:rsidRPr="00AD67C2" w:rsidRDefault="001333B2" w:rsidP="001333B2">
            <w:pPr>
              <w:suppressAutoHyphens w:val="0"/>
              <w:jc w:val="both"/>
              <w:rPr>
                <w:rFonts w:ascii="Garamond" w:eastAsia="Times New Roman" w:hAnsi="Garamond" w:cs="Times New Roman"/>
                <w:sz w:val="22"/>
                <w:szCs w:val="24"/>
              </w:rPr>
            </w:pPr>
            <w:r w:rsidRPr="00AD67C2">
              <w:rPr>
                <w:rFonts w:ascii="Garamond" w:eastAsia="Times New Roman" w:hAnsi="Garamond" w:cs="Times New Roman"/>
                <w:sz w:val="22"/>
                <w:szCs w:val="24"/>
              </w:rPr>
              <w:t>Наименование объекта регулирования</w:t>
            </w:r>
          </w:p>
        </w:tc>
        <w:tc>
          <w:tcPr>
            <w:tcW w:w="4970" w:type="dxa"/>
            <w:gridSpan w:val="2"/>
            <w:vAlign w:val="center"/>
          </w:tcPr>
          <w:p w14:paraId="717E3F8E" w14:textId="77777777" w:rsidR="001333B2" w:rsidRPr="00AD67C2" w:rsidRDefault="001333B2" w:rsidP="001333B2">
            <w:pPr>
              <w:suppressAutoHyphens w:val="0"/>
              <w:jc w:val="both"/>
              <w:rPr>
                <w:rFonts w:ascii="Garamond" w:eastAsia="Times New Roman" w:hAnsi="Garamond" w:cs="Times New Roman"/>
                <w:i/>
                <w:sz w:val="22"/>
                <w:szCs w:val="24"/>
              </w:rPr>
            </w:pPr>
            <w:r w:rsidRPr="00AD67C2">
              <w:rPr>
                <w:rFonts w:ascii="Garamond" w:eastAsia="Times New Roman" w:hAnsi="Garamond" w:cs="Times New Roman"/>
                <w:i/>
                <w:sz w:val="22"/>
                <w:szCs w:val="24"/>
              </w:rPr>
              <w:t>Указывается наименование объекта регулирования в соответствии с действующей регистрационной информацией, если изменение наименования не заявлено. Либо указывается наименование объекта регулирования в соответствии с предоставленными документами, если изменение наименования заявлено.</w:t>
            </w:r>
          </w:p>
        </w:tc>
      </w:tr>
      <w:tr w:rsidR="001333B2" w:rsidRPr="00AD67C2" w14:paraId="280D29DC" w14:textId="77777777" w:rsidTr="003938D9">
        <w:trPr>
          <w:trHeight w:val="567"/>
        </w:trPr>
        <w:tc>
          <w:tcPr>
            <w:tcW w:w="4389" w:type="dxa"/>
            <w:gridSpan w:val="4"/>
            <w:shd w:val="clear" w:color="auto" w:fill="D9D9D9"/>
            <w:vAlign w:val="center"/>
          </w:tcPr>
          <w:p w14:paraId="5FB9EE78" w14:textId="77777777" w:rsidR="001333B2" w:rsidRPr="00AD67C2" w:rsidRDefault="001333B2" w:rsidP="001333B2">
            <w:pPr>
              <w:suppressAutoHyphens w:val="0"/>
              <w:jc w:val="both"/>
              <w:rPr>
                <w:rFonts w:ascii="Garamond" w:eastAsia="Times New Roman" w:hAnsi="Garamond" w:cs="Times New Roman"/>
                <w:b/>
                <w:sz w:val="22"/>
                <w:szCs w:val="22"/>
                <w:vertAlign w:val="superscript"/>
              </w:rPr>
            </w:pPr>
            <w:r w:rsidRPr="00AD67C2">
              <w:rPr>
                <w:rFonts w:ascii="Garamond" w:eastAsia="Times New Roman" w:hAnsi="Garamond" w:cs="Times New Roman"/>
                <w:sz w:val="22"/>
                <w:szCs w:val="24"/>
              </w:rPr>
              <w:t>Наименование объекта регулирования</w:t>
            </w:r>
            <w:r w:rsidRPr="00AD67C2">
              <w:rPr>
                <w:rFonts w:ascii="Garamond" w:eastAsia="Times New Roman" w:hAnsi="Garamond" w:cs="Times New Roman"/>
                <w:sz w:val="22"/>
                <w:szCs w:val="22"/>
              </w:rPr>
              <w:t xml:space="preserve"> в соответствии с действующей регистрационной информацией </w:t>
            </w:r>
          </w:p>
          <w:p w14:paraId="7AFE5C23" w14:textId="77777777" w:rsidR="001333B2" w:rsidRPr="00AD67C2" w:rsidRDefault="001333B2" w:rsidP="001333B2">
            <w:pPr>
              <w:suppressAutoHyphens w:val="0"/>
              <w:jc w:val="both"/>
              <w:rPr>
                <w:rFonts w:ascii="Garamond" w:eastAsia="Times New Roman" w:hAnsi="Garamond" w:cs="Times New Roman"/>
                <w:sz w:val="22"/>
                <w:szCs w:val="24"/>
              </w:rPr>
            </w:pPr>
            <w:r w:rsidRPr="00AD67C2">
              <w:rPr>
                <w:rFonts w:ascii="Garamond" w:eastAsia="Times New Roman" w:hAnsi="Garamond" w:cs="Times New Roman"/>
                <w:sz w:val="22"/>
                <w:szCs w:val="22"/>
              </w:rPr>
              <w:t xml:space="preserve">(заполняется в случае изменения </w:t>
            </w:r>
            <w:r w:rsidRPr="00AD67C2">
              <w:rPr>
                <w:rFonts w:ascii="Garamond" w:eastAsia="Times New Roman" w:hAnsi="Garamond" w:cs="Times New Roman"/>
                <w:sz w:val="22"/>
                <w:szCs w:val="24"/>
              </w:rPr>
              <w:t>наименования объекта регулирования</w:t>
            </w:r>
            <w:r w:rsidRPr="00AD67C2">
              <w:rPr>
                <w:rFonts w:ascii="Garamond" w:eastAsia="Times New Roman" w:hAnsi="Garamond" w:cs="Times New Roman"/>
                <w:sz w:val="22"/>
                <w:szCs w:val="22"/>
              </w:rPr>
              <w:t>)</w:t>
            </w:r>
          </w:p>
        </w:tc>
        <w:tc>
          <w:tcPr>
            <w:tcW w:w="4970" w:type="dxa"/>
            <w:gridSpan w:val="2"/>
            <w:vAlign w:val="center"/>
          </w:tcPr>
          <w:p w14:paraId="0B21B629" w14:textId="77777777" w:rsidR="001333B2" w:rsidRPr="00AD67C2" w:rsidRDefault="001333B2" w:rsidP="001333B2">
            <w:pPr>
              <w:suppressAutoHyphens w:val="0"/>
              <w:jc w:val="both"/>
              <w:rPr>
                <w:rFonts w:ascii="Garamond" w:eastAsia="Times New Roman" w:hAnsi="Garamond" w:cs="Times New Roman"/>
                <w:i/>
                <w:sz w:val="22"/>
                <w:szCs w:val="24"/>
              </w:rPr>
            </w:pPr>
            <w:r w:rsidRPr="00AD67C2">
              <w:rPr>
                <w:rFonts w:ascii="Garamond" w:eastAsia="Times New Roman" w:hAnsi="Garamond" w:cs="Times New Roman"/>
                <w:i/>
                <w:sz w:val="22"/>
                <w:szCs w:val="24"/>
              </w:rPr>
              <w:t xml:space="preserve">Указывается наименование объекта регулирования в соответствии с действующей регистрационной информацией. </w:t>
            </w:r>
          </w:p>
          <w:p w14:paraId="2755F7B9" w14:textId="77777777" w:rsidR="001333B2" w:rsidRPr="00AD67C2" w:rsidRDefault="001333B2" w:rsidP="001333B2">
            <w:pPr>
              <w:suppressAutoHyphens w:val="0"/>
              <w:jc w:val="both"/>
              <w:rPr>
                <w:rFonts w:ascii="Garamond" w:eastAsia="Times New Roman" w:hAnsi="Garamond" w:cs="Times New Roman"/>
                <w:i/>
                <w:sz w:val="22"/>
                <w:szCs w:val="24"/>
              </w:rPr>
            </w:pPr>
            <w:r w:rsidRPr="00AD67C2">
              <w:rPr>
                <w:rFonts w:ascii="Garamond" w:eastAsia="Times New Roman" w:hAnsi="Garamond" w:cs="Times New Roman"/>
                <w:i/>
                <w:sz w:val="22"/>
                <w:szCs w:val="24"/>
              </w:rPr>
              <w:t>Заполняется только в случае изменения наименования объекта регулирования.</w:t>
            </w:r>
          </w:p>
        </w:tc>
      </w:tr>
      <w:tr w:rsidR="001333B2" w:rsidRPr="00AD67C2" w14:paraId="2E51CFE6" w14:textId="77777777" w:rsidTr="003938D9">
        <w:trPr>
          <w:trHeight w:val="567"/>
        </w:trPr>
        <w:tc>
          <w:tcPr>
            <w:tcW w:w="4389" w:type="dxa"/>
            <w:gridSpan w:val="4"/>
            <w:shd w:val="clear" w:color="auto" w:fill="D9D9D9"/>
            <w:vAlign w:val="center"/>
          </w:tcPr>
          <w:p w14:paraId="1C0B9280" w14:textId="77777777" w:rsidR="001333B2" w:rsidRPr="00AD67C2" w:rsidRDefault="001333B2" w:rsidP="001333B2">
            <w:pPr>
              <w:suppressAutoHyphens w:val="0"/>
              <w:jc w:val="both"/>
              <w:rPr>
                <w:rFonts w:ascii="Garamond" w:eastAsia="Times New Roman" w:hAnsi="Garamond" w:cs="Times New Roman"/>
                <w:sz w:val="22"/>
                <w:szCs w:val="24"/>
              </w:rPr>
            </w:pPr>
            <w:r w:rsidRPr="00AD67C2">
              <w:rPr>
                <w:rFonts w:ascii="Garamond" w:eastAsia="Times New Roman" w:hAnsi="Garamond" w:cs="Times New Roman"/>
                <w:sz w:val="22"/>
                <w:szCs w:val="24"/>
              </w:rPr>
              <w:t>Ценовая зона</w:t>
            </w:r>
          </w:p>
        </w:tc>
        <w:tc>
          <w:tcPr>
            <w:tcW w:w="4970" w:type="dxa"/>
            <w:gridSpan w:val="2"/>
            <w:vAlign w:val="center"/>
          </w:tcPr>
          <w:p w14:paraId="02FFE71C" w14:textId="77777777" w:rsidR="001333B2" w:rsidRPr="00AD67C2" w:rsidRDefault="001333B2" w:rsidP="001333B2">
            <w:pPr>
              <w:suppressAutoHyphens w:val="0"/>
              <w:jc w:val="both"/>
              <w:rPr>
                <w:rFonts w:ascii="Garamond" w:eastAsia="Times New Roman" w:hAnsi="Garamond" w:cs="Times New Roman"/>
                <w:sz w:val="22"/>
                <w:szCs w:val="24"/>
              </w:rPr>
            </w:pPr>
            <w:r w:rsidRPr="00AD67C2">
              <w:rPr>
                <w:rFonts w:ascii="Garamond" w:eastAsia="Times New Roman" w:hAnsi="Garamond" w:cs="Times New Roman"/>
                <w:i/>
                <w:sz w:val="22"/>
                <w:szCs w:val="24"/>
              </w:rPr>
              <w:t>Указывается ценовая зона, в которой расположено электрооборудование, входящее в состав объекта регулирования</w:t>
            </w:r>
          </w:p>
        </w:tc>
      </w:tr>
      <w:tr w:rsidR="001333B2" w:rsidRPr="00AD67C2" w14:paraId="4C11551C" w14:textId="77777777" w:rsidTr="003938D9">
        <w:trPr>
          <w:trHeight w:val="567"/>
        </w:trPr>
        <w:tc>
          <w:tcPr>
            <w:tcW w:w="4389" w:type="dxa"/>
            <w:gridSpan w:val="4"/>
            <w:shd w:val="clear" w:color="auto" w:fill="D9D9D9"/>
            <w:vAlign w:val="center"/>
          </w:tcPr>
          <w:p w14:paraId="13A18346" w14:textId="77777777" w:rsidR="001333B2" w:rsidRPr="00AD67C2" w:rsidRDefault="001333B2" w:rsidP="001333B2">
            <w:pPr>
              <w:suppressAutoHyphens w:val="0"/>
              <w:jc w:val="both"/>
              <w:rPr>
                <w:rFonts w:ascii="Garamond" w:eastAsia="Times New Roman" w:hAnsi="Garamond" w:cs="Times New Roman"/>
                <w:sz w:val="22"/>
                <w:szCs w:val="24"/>
              </w:rPr>
            </w:pPr>
            <w:r w:rsidRPr="00AD67C2">
              <w:rPr>
                <w:rFonts w:ascii="Garamond" w:eastAsia="Times New Roman" w:hAnsi="Garamond" w:cs="Times New Roman"/>
                <w:sz w:val="22"/>
                <w:szCs w:val="24"/>
              </w:rPr>
              <w:t>Субъект РФ</w:t>
            </w:r>
          </w:p>
        </w:tc>
        <w:tc>
          <w:tcPr>
            <w:tcW w:w="4970" w:type="dxa"/>
            <w:gridSpan w:val="2"/>
            <w:vAlign w:val="center"/>
          </w:tcPr>
          <w:p w14:paraId="3635E14F" w14:textId="005ED4AA" w:rsidR="001333B2" w:rsidRPr="00AD67C2" w:rsidRDefault="001333B2" w:rsidP="00FD0AE2">
            <w:pPr>
              <w:suppressAutoHyphens w:val="0"/>
              <w:jc w:val="both"/>
              <w:rPr>
                <w:rFonts w:ascii="Garamond" w:eastAsia="Times New Roman" w:hAnsi="Garamond" w:cs="Times New Roman"/>
                <w:sz w:val="22"/>
                <w:szCs w:val="24"/>
              </w:rPr>
            </w:pPr>
            <w:r w:rsidRPr="00AD67C2">
              <w:rPr>
                <w:rFonts w:ascii="Garamond" w:eastAsia="Times New Roman" w:hAnsi="Garamond" w:cs="Times New Roman"/>
                <w:i/>
                <w:sz w:val="22"/>
                <w:szCs w:val="24"/>
              </w:rPr>
              <w:t xml:space="preserve">Указывается </w:t>
            </w:r>
            <w:r w:rsidR="00FD0AE2">
              <w:rPr>
                <w:rFonts w:ascii="Garamond" w:eastAsia="Times New Roman" w:hAnsi="Garamond" w:cs="Times New Roman"/>
                <w:i/>
                <w:sz w:val="22"/>
                <w:szCs w:val="24"/>
              </w:rPr>
              <w:t>с</w:t>
            </w:r>
            <w:r w:rsidRPr="00AD67C2">
              <w:rPr>
                <w:rFonts w:ascii="Garamond" w:eastAsia="Times New Roman" w:hAnsi="Garamond" w:cs="Times New Roman"/>
                <w:i/>
                <w:sz w:val="22"/>
                <w:szCs w:val="24"/>
              </w:rPr>
              <w:t xml:space="preserve">убъект </w:t>
            </w:r>
            <w:r w:rsidR="00FD0AE2" w:rsidRPr="00AD67C2">
              <w:rPr>
                <w:rFonts w:ascii="Garamond" w:eastAsia="Times New Roman" w:hAnsi="Garamond" w:cs="Times New Roman"/>
                <w:i/>
                <w:sz w:val="22"/>
                <w:szCs w:val="24"/>
              </w:rPr>
              <w:t>Российской Федерации</w:t>
            </w:r>
            <w:r w:rsidRPr="00AD67C2">
              <w:rPr>
                <w:rFonts w:ascii="Garamond" w:eastAsia="Times New Roman" w:hAnsi="Garamond" w:cs="Times New Roman"/>
                <w:i/>
                <w:sz w:val="22"/>
                <w:szCs w:val="24"/>
              </w:rPr>
              <w:t>, в котором расположено электрооборудование, входящее в состав объекта регулирования</w:t>
            </w:r>
          </w:p>
        </w:tc>
      </w:tr>
      <w:tr w:rsidR="001333B2" w:rsidRPr="00AD67C2" w14:paraId="7DA80D31" w14:textId="77777777" w:rsidTr="003938D9">
        <w:trPr>
          <w:trHeight w:val="567"/>
        </w:trPr>
        <w:tc>
          <w:tcPr>
            <w:tcW w:w="4389" w:type="dxa"/>
            <w:gridSpan w:val="4"/>
            <w:shd w:val="clear" w:color="auto" w:fill="D9D9D9"/>
            <w:vAlign w:val="center"/>
          </w:tcPr>
          <w:p w14:paraId="4FFB02F7" w14:textId="77777777" w:rsidR="001333B2" w:rsidRPr="00AD67C2" w:rsidRDefault="001333B2" w:rsidP="001333B2">
            <w:pPr>
              <w:suppressAutoHyphens w:val="0"/>
              <w:rPr>
                <w:rFonts w:ascii="Garamond" w:eastAsia="Times New Roman" w:hAnsi="Garamond" w:cs="Times New Roman"/>
                <w:sz w:val="22"/>
                <w:szCs w:val="24"/>
              </w:rPr>
            </w:pPr>
            <w:r w:rsidRPr="00AD67C2">
              <w:rPr>
                <w:rFonts w:ascii="Garamond" w:eastAsia="Times New Roman" w:hAnsi="Garamond" w:cs="Times New Roman"/>
                <w:sz w:val="22"/>
                <w:szCs w:val="24"/>
              </w:rPr>
              <w:t>Адрес местонахождения объекта регулирования</w:t>
            </w:r>
          </w:p>
        </w:tc>
        <w:tc>
          <w:tcPr>
            <w:tcW w:w="4970" w:type="dxa"/>
            <w:gridSpan w:val="2"/>
            <w:vAlign w:val="center"/>
          </w:tcPr>
          <w:p w14:paraId="6BAD97DE" w14:textId="4AB9C8DA" w:rsidR="001333B2" w:rsidRPr="00AD67C2" w:rsidRDefault="001333B2" w:rsidP="00447C3E">
            <w:pPr>
              <w:suppressAutoHyphens w:val="0"/>
              <w:jc w:val="both"/>
              <w:rPr>
                <w:rFonts w:ascii="Garamond" w:eastAsia="Times New Roman" w:hAnsi="Garamond" w:cs="Times New Roman"/>
                <w:sz w:val="22"/>
                <w:szCs w:val="24"/>
              </w:rPr>
            </w:pPr>
            <w:r w:rsidRPr="00AD67C2">
              <w:rPr>
                <w:rFonts w:ascii="Garamond" w:eastAsia="Times New Roman" w:hAnsi="Garamond" w:cs="Times New Roman"/>
                <w:i/>
                <w:sz w:val="22"/>
                <w:szCs w:val="24"/>
              </w:rPr>
              <w:t>Указывается адрес местонахождения объекта регулирования (</w:t>
            </w:r>
            <w:r w:rsidR="00447C3E">
              <w:rPr>
                <w:rFonts w:ascii="Garamond" w:eastAsia="Times New Roman" w:hAnsi="Garamond" w:cs="Times New Roman"/>
                <w:i/>
                <w:sz w:val="22"/>
                <w:szCs w:val="24"/>
              </w:rPr>
              <w:t>н</w:t>
            </w:r>
            <w:r w:rsidRPr="00AD67C2">
              <w:rPr>
                <w:rFonts w:ascii="Garamond" w:eastAsia="Times New Roman" w:hAnsi="Garamond" w:cs="Times New Roman"/>
                <w:i/>
                <w:sz w:val="22"/>
                <w:szCs w:val="24"/>
              </w:rPr>
              <w:t>аименование субъекта Российской Федерации, наименование муниципального района, муниципального округа, городского округа или внутригородской территории (для городов федерального значения) в составе субъекта Российской Федерации, федеральной территории, наименование городского или сельского поселения в составе муниципального района (для муниципального района) или внутригородского района городского округа, наименование населенного пункта, наименование элемента планировочной структуры, наименование элемента улично-дорожной сети, тип и номер здания (строения), сооружения)</w:t>
            </w:r>
          </w:p>
        </w:tc>
      </w:tr>
      <w:tr w:rsidR="001333B2" w:rsidRPr="00AD67C2" w14:paraId="435BDC05" w14:textId="77777777" w:rsidTr="003938D9">
        <w:trPr>
          <w:trHeight w:val="567"/>
        </w:trPr>
        <w:tc>
          <w:tcPr>
            <w:tcW w:w="4389" w:type="dxa"/>
            <w:gridSpan w:val="4"/>
            <w:shd w:val="clear" w:color="auto" w:fill="D9D9D9"/>
            <w:vAlign w:val="center"/>
          </w:tcPr>
          <w:p w14:paraId="330F0038" w14:textId="77777777" w:rsidR="001333B2" w:rsidRPr="00AD67C2" w:rsidRDefault="001333B2" w:rsidP="001333B2">
            <w:pPr>
              <w:suppressAutoHyphens w:val="0"/>
              <w:rPr>
                <w:rFonts w:ascii="Garamond" w:eastAsia="Times New Roman" w:hAnsi="Garamond" w:cs="Times New Roman"/>
                <w:sz w:val="22"/>
                <w:szCs w:val="24"/>
              </w:rPr>
            </w:pPr>
            <w:r w:rsidRPr="00AD67C2">
              <w:rPr>
                <w:rFonts w:ascii="Garamond" w:eastAsia="Times New Roman" w:hAnsi="Garamond" w:cs="Times New Roman"/>
                <w:sz w:val="22"/>
                <w:szCs w:val="24"/>
              </w:rPr>
              <w:t>Номер реестровой записи в ФИАС</w:t>
            </w:r>
          </w:p>
        </w:tc>
        <w:tc>
          <w:tcPr>
            <w:tcW w:w="4970" w:type="dxa"/>
            <w:gridSpan w:val="2"/>
            <w:vAlign w:val="center"/>
          </w:tcPr>
          <w:p w14:paraId="61884214" w14:textId="77777777" w:rsidR="001333B2" w:rsidRPr="00AD67C2" w:rsidRDefault="001333B2" w:rsidP="001333B2">
            <w:pPr>
              <w:suppressAutoHyphens w:val="0"/>
              <w:jc w:val="both"/>
              <w:rPr>
                <w:rFonts w:ascii="Garamond" w:eastAsia="Times New Roman" w:hAnsi="Garamond" w:cs="Times New Roman"/>
                <w:i/>
                <w:sz w:val="22"/>
                <w:szCs w:val="24"/>
              </w:rPr>
            </w:pPr>
            <w:r w:rsidRPr="00AD67C2">
              <w:rPr>
                <w:rFonts w:ascii="Garamond" w:eastAsia="Times New Roman" w:hAnsi="Garamond" w:cs="Times New Roman"/>
                <w:i/>
                <w:sz w:val="22"/>
                <w:szCs w:val="24"/>
              </w:rPr>
              <w:t>Указывается уникальный номер реестровой записи Федеральной информационной адресной системы (ФИАС), соответствующий местонахождению объекта регулирования</w:t>
            </w:r>
          </w:p>
        </w:tc>
      </w:tr>
      <w:tr w:rsidR="001333B2" w:rsidRPr="00AD67C2" w14:paraId="2F9FBB42" w14:textId="77777777" w:rsidTr="003938D9">
        <w:trPr>
          <w:trHeight w:val="567"/>
        </w:trPr>
        <w:tc>
          <w:tcPr>
            <w:tcW w:w="4389" w:type="dxa"/>
            <w:gridSpan w:val="4"/>
            <w:shd w:val="clear" w:color="auto" w:fill="D9D9D9"/>
            <w:vAlign w:val="center"/>
          </w:tcPr>
          <w:p w14:paraId="36149517" w14:textId="77777777" w:rsidR="001333B2" w:rsidRPr="00AD67C2" w:rsidRDefault="001333B2" w:rsidP="001333B2">
            <w:pPr>
              <w:suppressAutoHyphens w:val="0"/>
              <w:rPr>
                <w:rFonts w:ascii="Garamond" w:eastAsia="Times New Roman" w:hAnsi="Garamond" w:cs="Times New Roman"/>
                <w:sz w:val="22"/>
                <w:szCs w:val="24"/>
              </w:rPr>
            </w:pPr>
            <w:r w:rsidRPr="00AD67C2">
              <w:rPr>
                <w:rFonts w:ascii="Garamond" w:eastAsia="Times New Roman" w:hAnsi="Garamond" w:cs="Times New Roman"/>
                <w:sz w:val="22"/>
                <w:szCs w:val="24"/>
              </w:rPr>
              <w:lastRenderedPageBreak/>
              <w:t>Полное наименование потребителя</w:t>
            </w:r>
          </w:p>
        </w:tc>
        <w:tc>
          <w:tcPr>
            <w:tcW w:w="4970" w:type="dxa"/>
            <w:gridSpan w:val="2"/>
            <w:vAlign w:val="center"/>
          </w:tcPr>
          <w:p w14:paraId="4EA87510" w14:textId="40E22356" w:rsidR="001333B2" w:rsidRPr="00AD67C2" w:rsidRDefault="001333B2" w:rsidP="00447C3E">
            <w:pPr>
              <w:suppressAutoHyphens w:val="0"/>
              <w:jc w:val="both"/>
              <w:rPr>
                <w:rFonts w:ascii="Garamond" w:eastAsia="Times New Roman" w:hAnsi="Garamond" w:cs="Times New Roman"/>
                <w:i/>
                <w:sz w:val="22"/>
                <w:szCs w:val="24"/>
              </w:rPr>
            </w:pPr>
            <w:r w:rsidRPr="00AD67C2">
              <w:rPr>
                <w:rFonts w:ascii="Garamond" w:eastAsia="Times New Roman" w:hAnsi="Garamond" w:cs="Times New Roman"/>
                <w:i/>
                <w:sz w:val="22"/>
                <w:szCs w:val="24"/>
              </w:rPr>
              <w:t xml:space="preserve">Для </w:t>
            </w:r>
            <w:r w:rsidR="00447C3E">
              <w:rPr>
                <w:rFonts w:ascii="Garamond" w:eastAsia="Times New Roman" w:hAnsi="Garamond" w:cs="Times New Roman"/>
                <w:i/>
                <w:sz w:val="22"/>
                <w:szCs w:val="24"/>
              </w:rPr>
              <w:t>ю</w:t>
            </w:r>
            <w:r w:rsidRPr="00AD67C2">
              <w:rPr>
                <w:rFonts w:ascii="Garamond" w:eastAsia="Times New Roman" w:hAnsi="Garamond" w:cs="Times New Roman"/>
                <w:i/>
                <w:sz w:val="22"/>
                <w:szCs w:val="24"/>
              </w:rPr>
              <w:t xml:space="preserve">ридического лица заполняется в соответствии с информацией, указанной в ЕГРЮЛ. Для </w:t>
            </w:r>
            <w:r w:rsidR="00447C3E">
              <w:rPr>
                <w:rFonts w:ascii="Garamond" w:eastAsia="Times New Roman" w:hAnsi="Garamond" w:cs="Times New Roman"/>
                <w:i/>
                <w:sz w:val="22"/>
                <w:szCs w:val="24"/>
              </w:rPr>
              <w:t>ф</w:t>
            </w:r>
            <w:r w:rsidRPr="00AD67C2">
              <w:rPr>
                <w:rFonts w:ascii="Garamond" w:eastAsia="Times New Roman" w:hAnsi="Garamond" w:cs="Times New Roman"/>
                <w:i/>
                <w:sz w:val="22"/>
                <w:szCs w:val="24"/>
              </w:rPr>
              <w:t xml:space="preserve">изического лица или </w:t>
            </w:r>
            <w:r w:rsidR="00447C3E">
              <w:rPr>
                <w:rFonts w:ascii="Garamond" w:eastAsia="Times New Roman" w:hAnsi="Garamond" w:cs="Times New Roman"/>
                <w:i/>
                <w:sz w:val="22"/>
                <w:szCs w:val="24"/>
              </w:rPr>
              <w:t>и</w:t>
            </w:r>
            <w:r w:rsidRPr="00AD67C2">
              <w:rPr>
                <w:rFonts w:ascii="Garamond" w:eastAsia="Times New Roman" w:hAnsi="Garamond" w:cs="Times New Roman"/>
                <w:i/>
                <w:sz w:val="22"/>
                <w:szCs w:val="24"/>
              </w:rPr>
              <w:t xml:space="preserve">ндивидуального предпринимателя указывается </w:t>
            </w:r>
            <w:r w:rsidR="00447C3E">
              <w:rPr>
                <w:rFonts w:ascii="Garamond" w:eastAsia="Times New Roman" w:hAnsi="Garamond" w:cs="Times New Roman"/>
                <w:i/>
                <w:sz w:val="22"/>
                <w:szCs w:val="24"/>
              </w:rPr>
              <w:t>ф</w:t>
            </w:r>
            <w:r w:rsidRPr="00AD67C2">
              <w:rPr>
                <w:rFonts w:ascii="Garamond" w:eastAsia="Times New Roman" w:hAnsi="Garamond" w:cs="Times New Roman"/>
                <w:i/>
                <w:sz w:val="22"/>
                <w:szCs w:val="24"/>
              </w:rPr>
              <w:t>амилия</w:t>
            </w:r>
            <w:r w:rsidR="00447C3E">
              <w:rPr>
                <w:rFonts w:ascii="Garamond" w:eastAsia="Times New Roman" w:hAnsi="Garamond" w:cs="Times New Roman"/>
                <w:i/>
                <w:sz w:val="22"/>
                <w:szCs w:val="24"/>
              </w:rPr>
              <w:t>,</w:t>
            </w:r>
            <w:r w:rsidRPr="00AD67C2">
              <w:rPr>
                <w:rFonts w:ascii="Garamond" w:eastAsia="Times New Roman" w:hAnsi="Garamond" w:cs="Times New Roman"/>
                <w:i/>
                <w:sz w:val="22"/>
                <w:szCs w:val="24"/>
              </w:rPr>
              <w:t xml:space="preserve"> </w:t>
            </w:r>
            <w:r w:rsidR="00447C3E">
              <w:rPr>
                <w:rFonts w:ascii="Garamond" w:eastAsia="Times New Roman" w:hAnsi="Garamond" w:cs="Times New Roman"/>
                <w:i/>
                <w:sz w:val="22"/>
                <w:szCs w:val="24"/>
              </w:rPr>
              <w:t>и</w:t>
            </w:r>
            <w:r w:rsidRPr="00AD67C2">
              <w:rPr>
                <w:rFonts w:ascii="Garamond" w:eastAsia="Times New Roman" w:hAnsi="Garamond" w:cs="Times New Roman"/>
                <w:i/>
                <w:sz w:val="22"/>
                <w:szCs w:val="24"/>
              </w:rPr>
              <w:t>мя</w:t>
            </w:r>
            <w:r w:rsidR="00447C3E">
              <w:rPr>
                <w:rFonts w:ascii="Garamond" w:eastAsia="Times New Roman" w:hAnsi="Garamond" w:cs="Times New Roman"/>
                <w:i/>
                <w:sz w:val="22"/>
                <w:szCs w:val="24"/>
              </w:rPr>
              <w:t>,</w:t>
            </w:r>
            <w:r w:rsidRPr="00AD67C2">
              <w:rPr>
                <w:rFonts w:ascii="Garamond" w:eastAsia="Times New Roman" w:hAnsi="Garamond" w:cs="Times New Roman"/>
                <w:i/>
                <w:sz w:val="22"/>
                <w:szCs w:val="24"/>
              </w:rPr>
              <w:t xml:space="preserve"> </w:t>
            </w:r>
            <w:r w:rsidR="00447C3E">
              <w:rPr>
                <w:rFonts w:ascii="Garamond" w:eastAsia="Times New Roman" w:hAnsi="Garamond" w:cs="Times New Roman"/>
                <w:i/>
                <w:sz w:val="22"/>
                <w:szCs w:val="24"/>
              </w:rPr>
              <w:t>о</w:t>
            </w:r>
            <w:r w:rsidRPr="00AD67C2">
              <w:rPr>
                <w:rFonts w:ascii="Garamond" w:eastAsia="Times New Roman" w:hAnsi="Garamond" w:cs="Times New Roman"/>
                <w:i/>
                <w:sz w:val="22"/>
                <w:szCs w:val="24"/>
              </w:rPr>
              <w:t>тчество (при наличии)</w:t>
            </w:r>
          </w:p>
        </w:tc>
      </w:tr>
      <w:tr w:rsidR="001333B2" w:rsidRPr="00AD67C2" w14:paraId="42FCE843" w14:textId="77777777" w:rsidTr="003938D9">
        <w:trPr>
          <w:trHeight w:val="567"/>
        </w:trPr>
        <w:tc>
          <w:tcPr>
            <w:tcW w:w="4389" w:type="dxa"/>
            <w:gridSpan w:val="4"/>
            <w:shd w:val="clear" w:color="auto" w:fill="D9D9D9"/>
            <w:vAlign w:val="center"/>
          </w:tcPr>
          <w:p w14:paraId="1DDFA1A7" w14:textId="77777777" w:rsidR="001333B2" w:rsidRPr="00AD67C2" w:rsidRDefault="001333B2" w:rsidP="001333B2">
            <w:pPr>
              <w:suppressAutoHyphens w:val="0"/>
              <w:rPr>
                <w:rFonts w:ascii="Garamond" w:eastAsia="Times New Roman" w:hAnsi="Garamond" w:cs="Times New Roman"/>
                <w:sz w:val="22"/>
                <w:szCs w:val="24"/>
              </w:rPr>
            </w:pPr>
            <w:r w:rsidRPr="00AD67C2">
              <w:rPr>
                <w:rFonts w:ascii="Garamond" w:eastAsia="Times New Roman" w:hAnsi="Garamond" w:cs="Times New Roman"/>
                <w:sz w:val="22"/>
                <w:szCs w:val="24"/>
              </w:rPr>
              <w:t>Сокращенное наименование потребителя</w:t>
            </w:r>
          </w:p>
        </w:tc>
        <w:tc>
          <w:tcPr>
            <w:tcW w:w="4970" w:type="dxa"/>
            <w:gridSpan w:val="2"/>
            <w:vAlign w:val="center"/>
          </w:tcPr>
          <w:p w14:paraId="274952DE" w14:textId="49DD5CE1" w:rsidR="001333B2" w:rsidRPr="00AD67C2" w:rsidRDefault="001333B2" w:rsidP="00447C3E">
            <w:pPr>
              <w:suppressAutoHyphens w:val="0"/>
              <w:jc w:val="both"/>
              <w:rPr>
                <w:rFonts w:ascii="Garamond" w:eastAsia="Times New Roman" w:hAnsi="Garamond" w:cs="Times New Roman"/>
                <w:i/>
                <w:sz w:val="22"/>
                <w:szCs w:val="24"/>
              </w:rPr>
            </w:pPr>
            <w:r w:rsidRPr="00AD67C2">
              <w:rPr>
                <w:rFonts w:ascii="Garamond" w:eastAsia="Times New Roman" w:hAnsi="Garamond" w:cs="Times New Roman"/>
                <w:i/>
                <w:sz w:val="22"/>
                <w:szCs w:val="24"/>
              </w:rPr>
              <w:t xml:space="preserve">Для </w:t>
            </w:r>
            <w:r w:rsidR="00447C3E">
              <w:rPr>
                <w:rFonts w:ascii="Garamond" w:eastAsia="Times New Roman" w:hAnsi="Garamond" w:cs="Times New Roman"/>
                <w:i/>
                <w:sz w:val="22"/>
                <w:szCs w:val="24"/>
              </w:rPr>
              <w:t>ю</w:t>
            </w:r>
            <w:r w:rsidRPr="00AD67C2">
              <w:rPr>
                <w:rFonts w:ascii="Garamond" w:eastAsia="Times New Roman" w:hAnsi="Garamond" w:cs="Times New Roman"/>
                <w:i/>
                <w:sz w:val="22"/>
                <w:szCs w:val="24"/>
              </w:rPr>
              <w:t xml:space="preserve">ридического лица заполняется в соответствии с информацией, указанной в ЕГРЮЛ. Для </w:t>
            </w:r>
            <w:r w:rsidR="00447C3E">
              <w:rPr>
                <w:rFonts w:ascii="Garamond" w:eastAsia="Times New Roman" w:hAnsi="Garamond" w:cs="Times New Roman"/>
                <w:i/>
                <w:sz w:val="22"/>
                <w:szCs w:val="24"/>
              </w:rPr>
              <w:t>и</w:t>
            </w:r>
            <w:r w:rsidRPr="00AD67C2">
              <w:rPr>
                <w:rFonts w:ascii="Garamond" w:eastAsia="Times New Roman" w:hAnsi="Garamond" w:cs="Times New Roman"/>
                <w:i/>
                <w:sz w:val="22"/>
                <w:szCs w:val="24"/>
              </w:rPr>
              <w:t>ндивидуального предпринимателя указывается в формате: ИП Фамилия И.</w:t>
            </w:r>
            <w:r w:rsidR="00447C3E">
              <w:rPr>
                <w:rFonts w:ascii="Garamond" w:eastAsia="Times New Roman" w:hAnsi="Garamond" w:cs="Times New Roman"/>
                <w:i/>
                <w:sz w:val="22"/>
                <w:szCs w:val="24"/>
              </w:rPr>
              <w:t xml:space="preserve"> </w:t>
            </w:r>
            <w:r w:rsidRPr="00AD67C2">
              <w:rPr>
                <w:rFonts w:ascii="Garamond" w:eastAsia="Times New Roman" w:hAnsi="Garamond" w:cs="Times New Roman"/>
                <w:i/>
                <w:sz w:val="22"/>
                <w:szCs w:val="24"/>
              </w:rPr>
              <w:t>О. (пример: ИП Иванов И.</w:t>
            </w:r>
            <w:r w:rsidR="00447C3E">
              <w:rPr>
                <w:rFonts w:ascii="Garamond" w:eastAsia="Times New Roman" w:hAnsi="Garamond" w:cs="Times New Roman"/>
                <w:i/>
                <w:sz w:val="22"/>
                <w:szCs w:val="24"/>
              </w:rPr>
              <w:t xml:space="preserve"> </w:t>
            </w:r>
            <w:r w:rsidRPr="00AD67C2">
              <w:rPr>
                <w:rFonts w:ascii="Garamond" w:eastAsia="Times New Roman" w:hAnsi="Garamond" w:cs="Times New Roman"/>
                <w:i/>
                <w:sz w:val="22"/>
                <w:szCs w:val="24"/>
              </w:rPr>
              <w:t>И.). Если потребитель является физическим лицом, то данное поле не заполняется.</w:t>
            </w:r>
          </w:p>
        </w:tc>
      </w:tr>
      <w:tr w:rsidR="001333B2" w:rsidRPr="00AD67C2" w14:paraId="2BE17D96" w14:textId="77777777" w:rsidTr="003938D9">
        <w:trPr>
          <w:trHeight w:val="567"/>
        </w:trPr>
        <w:tc>
          <w:tcPr>
            <w:tcW w:w="4389" w:type="dxa"/>
            <w:gridSpan w:val="4"/>
            <w:shd w:val="clear" w:color="auto" w:fill="D9D9D9"/>
            <w:vAlign w:val="center"/>
          </w:tcPr>
          <w:p w14:paraId="7B673577" w14:textId="77777777" w:rsidR="001333B2" w:rsidRPr="00AD67C2" w:rsidRDefault="001333B2" w:rsidP="001333B2">
            <w:pPr>
              <w:suppressAutoHyphens w:val="0"/>
              <w:rPr>
                <w:rFonts w:ascii="Garamond" w:eastAsia="Times New Roman" w:hAnsi="Garamond" w:cs="Times New Roman"/>
                <w:sz w:val="22"/>
                <w:szCs w:val="24"/>
              </w:rPr>
            </w:pPr>
            <w:r w:rsidRPr="00AD67C2">
              <w:rPr>
                <w:rFonts w:ascii="Garamond" w:eastAsia="Times New Roman" w:hAnsi="Garamond" w:cs="Times New Roman"/>
                <w:sz w:val="22"/>
                <w:szCs w:val="24"/>
              </w:rPr>
              <w:t>ИНН потребителя</w:t>
            </w:r>
          </w:p>
        </w:tc>
        <w:tc>
          <w:tcPr>
            <w:tcW w:w="4970" w:type="dxa"/>
            <w:gridSpan w:val="2"/>
            <w:vAlign w:val="center"/>
          </w:tcPr>
          <w:p w14:paraId="417B2259" w14:textId="77777777" w:rsidR="001333B2" w:rsidRPr="00AD67C2" w:rsidRDefault="001333B2" w:rsidP="001333B2">
            <w:pPr>
              <w:suppressAutoHyphens w:val="0"/>
              <w:jc w:val="both"/>
              <w:rPr>
                <w:rFonts w:ascii="Garamond" w:eastAsia="Times New Roman" w:hAnsi="Garamond" w:cs="Times New Roman"/>
                <w:i/>
                <w:sz w:val="22"/>
                <w:szCs w:val="24"/>
              </w:rPr>
            </w:pPr>
            <w:r w:rsidRPr="00AD67C2">
              <w:rPr>
                <w:rFonts w:ascii="Garamond" w:eastAsia="Times New Roman" w:hAnsi="Garamond" w:cs="Times New Roman"/>
                <w:i/>
                <w:sz w:val="22"/>
                <w:szCs w:val="24"/>
              </w:rPr>
              <w:t>Заполняется в соответствии с информацией, указанной в ЕГРЮЛ (ЕГРИП). Если потребитель является физическим лицом – указывается ИНН физического лица</w:t>
            </w:r>
          </w:p>
        </w:tc>
      </w:tr>
      <w:tr w:rsidR="001333B2" w:rsidRPr="00AD67C2" w14:paraId="2DB6AC65" w14:textId="77777777" w:rsidTr="003938D9">
        <w:trPr>
          <w:trHeight w:val="567"/>
        </w:trPr>
        <w:tc>
          <w:tcPr>
            <w:tcW w:w="4389" w:type="dxa"/>
            <w:gridSpan w:val="4"/>
            <w:shd w:val="clear" w:color="auto" w:fill="D9D9D9"/>
            <w:vAlign w:val="center"/>
          </w:tcPr>
          <w:p w14:paraId="049BA163" w14:textId="77777777" w:rsidR="001333B2" w:rsidRPr="00AD67C2" w:rsidRDefault="001333B2" w:rsidP="001333B2">
            <w:pPr>
              <w:suppressAutoHyphens w:val="0"/>
              <w:rPr>
                <w:rFonts w:ascii="Garamond" w:eastAsia="Times New Roman" w:hAnsi="Garamond" w:cs="Times New Roman"/>
                <w:sz w:val="22"/>
                <w:szCs w:val="24"/>
              </w:rPr>
            </w:pPr>
            <w:r w:rsidRPr="00AD67C2">
              <w:rPr>
                <w:rFonts w:ascii="Garamond" w:eastAsia="Times New Roman" w:hAnsi="Garamond" w:cs="Times New Roman"/>
                <w:sz w:val="22"/>
                <w:szCs w:val="24"/>
              </w:rPr>
              <w:t>ОГРН/ОГРНИП потребителя</w:t>
            </w:r>
          </w:p>
        </w:tc>
        <w:tc>
          <w:tcPr>
            <w:tcW w:w="4970" w:type="dxa"/>
            <w:gridSpan w:val="2"/>
            <w:vAlign w:val="center"/>
          </w:tcPr>
          <w:p w14:paraId="618B07CA" w14:textId="77777777" w:rsidR="001333B2" w:rsidRPr="00AD67C2" w:rsidRDefault="001333B2" w:rsidP="001333B2">
            <w:pPr>
              <w:suppressAutoHyphens w:val="0"/>
              <w:jc w:val="both"/>
              <w:rPr>
                <w:rFonts w:ascii="Garamond" w:eastAsia="Times New Roman" w:hAnsi="Garamond" w:cs="Times New Roman"/>
                <w:i/>
                <w:sz w:val="22"/>
                <w:szCs w:val="24"/>
              </w:rPr>
            </w:pPr>
            <w:r w:rsidRPr="00AD67C2">
              <w:rPr>
                <w:rFonts w:ascii="Garamond" w:eastAsia="Times New Roman" w:hAnsi="Garamond" w:cs="Times New Roman"/>
                <w:i/>
                <w:sz w:val="22"/>
                <w:szCs w:val="24"/>
              </w:rPr>
              <w:t>Заполняется в соответствии с информацией, указанной в ЕГРЮЛ (ЕГРИП). Если потребитель является физическим лицом, то данное поле не заполняется</w:t>
            </w:r>
          </w:p>
        </w:tc>
      </w:tr>
      <w:tr w:rsidR="001333B2" w:rsidRPr="00AD67C2" w14:paraId="6CCA9BEE" w14:textId="77777777" w:rsidTr="003938D9">
        <w:trPr>
          <w:trHeight w:val="567"/>
        </w:trPr>
        <w:tc>
          <w:tcPr>
            <w:tcW w:w="4389" w:type="dxa"/>
            <w:gridSpan w:val="4"/>
            <w:shd w:val="clear" w:color="auto" w:fill="D9D9D9"/>
            <w:vAlign w:val="center"/>
          </w:tcPr>
          <w:p w14:paraId="54007AA1" w14:textId="1E6DB72D" w:rsidR="001333B2" w:rsidRPr="00AD67C2" w:rsidRDefault="001333B2" w:rsidP="001333B2">
            <w:pPr>
              <w:suppressAutoHyphens w:val="0"/>
              <w:rPr>
                <w:rFonts w:ascii="Garamond" w:eastAsia="Times New Roman" w:hAnsi="Garamond" w:cs="Times New Roman"/>
                <w:sz w:val="22"/>
                <w:szCs w:val="24"/>
              </w:rPr>
            </w:pPr>
            <w:r w:rsidRPr="00AD67C2">
              <w:rPr>
                <w:rFonts w:ascii="Garamond" w:eastAsia="Times New Roman" w:hAnsi="Garamond" w:cs="Times New Roman"/>
                <w:sz w:val="22"/>
                <w:szCs w:val="24"/>
              </w:rPr>
              <w:t>Код и наименование вида деятельности потребителя с использованием электрооборудования</w:t>
            </w:r>
            <w:r w:rsidR="00447C3E">
              <w:rPr>
                <w:rFonts w:ascii="Garamond" w:eastAsia="Times New Roman" w:hAnsi="Garamond" w:cs="Times New Roman"/>
                <w:sz w:val="22"/>
                <w:szCs w:val="24"/>
              </w:rPr>
              <w:t>,</w:t>
            </w:r>
            <w:r w:rsidRPr="00AD67C2">
              <w:rPr>
                <w:rFonts w:ascii="Garamond" w:eastAsia="Times New Roman" w:hAnsi="Garamond" w:cs="Times New Roman"/>
                <w:sz w:val="22"/>
                <w:szCs w:val="24"/>
              </w:rPr>
              <w:t xml:space="preserve"> входящего в объект регулирования</w:t>
            </w:r>
          </w:p>
        </w:tc>
        <w:tc>
          <w:tcPr>
            <w:tcW w:w="4970" w:type="dxa"/>
            <w:gridSpan w:val="2"/>
            <w:vAlign w:val="center"/>
          </w:tcPr>
          <w:p w14:paraId="316D4775" w14:textId="77777777" w:rsidR="001333B2" w:rsidRPr="00AD67C2" w:rsidRDefault="001333B2" w:rsidP="001333B2">
            <w:pPr>
              <w:suppressAutoHyphens w:val="0"/>
              <w:jc w:val="both"/>
              <w:rPr>
                <w:rFonts w:ascii="Garamond" w:eastAsia="Times New Roman" w:hAnsi="Garamond" w:cs="Times New Roman"/>
                <w:i/>
                <w:sz w:val="22"/>
                <w:szCs w:val="24"/>
              </w:rPr>
            </w:pPr>
            <w:r w:rsidRPr="00AD67C2">
              <w:rPr>
                <w:rFonts w:ascii="Garamond" w:eastAsia="Times New Roman" w:hAnsi="Garamond" w:cs="Times New Roman"/>
                <w:i/>
                <w:sz w:val="22"/>
                <w:szCs w:val="24"/>
              </w:rPr>
              <w:t>Заполняется в соответствии с информацией, указанной в ЕГРЮЛ (ЕГРИП).</w:t>
            </w:r>
          </w:p>
          <w:p w14:paraId="485B2C98" w14:textId="1D43F280" w:rsidR="001333B2" w:rsidRPr="00AD67C2" w:rsidRDefault="001333B2" w:rsidP="00447C3E">
            <w:pPr>
              <w:suppressAutoHyphens w:val="0"/>
              <w:jc w:val="both"/>
              <w:rPr>
                <w:rFonts w:ascii="Garamond" w:eastAsia="Times New Roman" w:hAnsi="Garamond" w:cs="Times New Roman"/>
                <w:i/>
                <w:sz w:val="22"/>
                <w:szCs w:val="24"/>
              </w:rPr>
            </w:pPr>
            <w:r w:rsidRPr="00AD67C2">
              <w:rPr>
                <w:rFonts w:ascii="Garamond" w:eastAsia="Times New Roman" w:hAnsi="Garamond" w:cs="Times New Roman"/>
                <w:i/>
                <w:sz w:val="22"/>
                <w:szCs w:val="24"/>
              </w:rPr>
              <w:t>Если потребитель является физическим лицом, то в данном поле указывается</w:t>
            </w:r>
            <w:r w:rsidR="009B5F03">
              <w:rPr>
                <w:rFonts w:ascii="Garamond" w:eastAsia="Times New Roman" w:hAnsi="Garamond" w:cs="Times New Roman"/>
                <w:i/>
                <w:sz w:val="22"/>
                <w:szCs w:val="24"/>
              </w:rPr>
              <w:t xml:space="preserve"> </w:t>
            </w:r>
            <w:r w:rsidR="00447C3E">
              <w:rPr>
                <w:rFonts w:ascii="Garamond" w:eastAsia="Times New Roman" w:hAnsi="Garamond" w:cs="Times New Roman"/>
                <w:i/>
                <w:sz w:val="22"/>
                <w:szCs w:val="24"/>
              </w:rPr>
              <w:t>«</w:t>
            </w:r>
            <w:r w:rsidRPr="00AD67C2">
              <w:rPr>
                <w:rFonts w:ascii="Garamond" w:eastAsia="Times New Roman" w:hAnsi="Garamond" w:cs="Times New Roman"/>
                <w:i/>
                <w:sz w:val="22"/>
                <w:szCs w:val="24"/>
              </w:rPr>
              <w:t>Собственные бытовые нужды</w:t>
            </w:r>
            <w:r w:rsidR="00447C3E">
              <w:rPr>
                <w:rFonts w:ascii="Garamond" w:eastAsia="Times New Roman" w:hAnsi="Garamond" w:cs="Times New Roman"/>
                <w:i/>
                <w:sz w:val="22"/>
                <w:szCs w:val="24"/>
              </w:rPr>
              <w:t>»</w:t>
            </w:r>
          </w:p>
        </w:tc>
      </w:tr>
      <w:tr w:rsidR="001333B2" w:rsidRPr="00AD67C2" w14:paraId="36BD31B9" w14:textId="77777777" w:rsidTr="003938D9">
        <w:trPr>
          <w:trHeight w:val="567"/>
        </w:trPr>
        <w:tc>
          <w:tcPr>
            <w:tcW w:w="4389" w:type="dxa"/>
            <w:gridSpan w:val="4"/>
            <w:shd w:val="clear" w:color="auto" w:fill="D9D9D9"/>
            <w:vAlign w:val="center"/>
          </w:tcPr>
          <w:p w14:paraId="33CCFC10" w14:textId="77777777" w:rsidR="001333B2" w:rsidRPr="00AD67C2" w:rsidRDefault="001333B2" w:rsidP="001333B2">
            <w:pPr>
              <w:suppressAutoHyphens w:val="0"/>
              <w:jc w:val="both"/>
              <w:rPr>
                <w:rFonts w:ascii="Garamond" w:eastAsia="Times New Roman" w:hAnsi="Garamond" w:cs="Times New Roman"/>
                <w:sz w:val="22"/>
                <w:szCs w:val="24"/>
              </w:rPr>
            </w:pPr>
            <w:r w:rsidRPr="00AD67C2">
              <w:rPr>
                <w:rFonts w:ascii="Garamond" w:eastAsia="Times New Roman" w:hAnsi="Garamond" w:cs="Times New Roman"/>
                <w:sz w:val="22"/>
                <w:szCs w:val="24"/>
              </w:rPr>
              <w:t>Количество точек присоединения объекта регулирования к внешним электрическим сетям</w:t>
            </w:r>
          </w:p>
        </w:tc>
        <w:tc>
          <w:tcPr>
            <w:tcW w:w="4970" w:type="dxa"/>
            <w:gridSpan w:val="2"/>
            <w:vAlign w:val="center"/>
          </w:tcPr>
          <w:p w14:paraId="59EEBC5D" w14:textId="77777777" w:rsidR="001333B2" w:rsidRPr="00AD67C2" w:rsidRDefault="001333B2" w:rsidP="001333B2">
            <w:pPr>
              <w:suppressAutoHyphens w:val="0"/>
              <w:jc w:val="both"/>
              <w:rPr>
                <w:rFonts w:ascii="Garamond" w:eastAsia="Times New Roman" w:hAnsi="Garamond" w:cs="Times New Roman"/>
                <w:i/>
                <w:sz w:val="22"/>
                <w:szCs w:val="24"/>
              </w:rPr>
            </w:pPr>
            <w:r w:rsidRPr="00AD67C2">
              <w:rPr>
                <w:rFonts w:ascii="Garamond" w:eastAsia="Times New Roman" w:hAnsi="Garamond" w:cs="Times New Roman"/>
                <w:i/>
                <w:sz w:val="22"/>
                <w:szCs w:val="24"/>
              </w:rPr>
              <w:t>Указывается количество точек присоединения объекта регулирования к внешним электрическим сетям в соответствии с однолинейной схемой</w:t>
            </w:r>
          </w:p>
        </w:tc>
      </w:tr>
      <w:tr w:rsidR="001333B2" w:rsidRPr="00AD67C2" w14:paraId="486D23C3" w14:textId="77777777" w:rsidTr="003938D9">
        <w:trPr>
          <w:trHeight w:val="567"/>
        </w:trPr>
        <w:tc>
          <w:tcPr>
            <w:tcW w:w="2493" w:type="dxa"/>
            <w:gridSpan w:val="3"/>
            <w:shd w:val="clear" w:color="auto" w:fill="D9D9D9"/>
            <w:vAlign w:val="center"/>
          </w:tcPr>
          <w:p w14:paraId="13295C4D" w14:textId="77777777" w:rsidR="001333B2" w:rsidRPr="00AD67C2" w:rsidRDefault="001333B2" w:rsidP="001333B2">
            <w:pPr>
              <w:suppressAutoHyphens w:val="0"/>
              <w:jc w:val="both"/>
              <w:rPr>
                <w:rFonts w:ascii="Garamond" w:eastAsia="Times New Roman" w:hAnsi="Garamond" w:cs="Times New Roman"/>
                <w:sz w:val="22"/>
                <w:szCs w:val="24"/>
              </w:rPr>
            </w:pPr>
            <w:r w:rsidRPr="00AD67C2">
              <w:rPr>
                <w:rFonts w:ascii="Garamond" w:eastAsia="Times New Roman" w:hAnsi="Garamond" w:cs="Times New Roman"/>
                <w:sz w:val="22"/>
                <w:szCs w:val="24"/>
              </w:rPr>
              <w:t>Вид изменения</w:t>
            </w:r>
            <w:r w:rsidRPr="00AD67C2">
              <w:rPr>
                <w:rFonts w:ascii="Garamond" w:eastAsia="Times New Roman" w:hAnsi="Garamond" w:cs="Times New Roman"/>
                <w:sz w:val="22"/>
                <w:szCs w:val="24"/>
                <w:vertAlign w:val="superscript"/>
              </w:rPr>
              <w:t xml:space="preserve"> 1</w:t>
            </w:r>
          </w:p>
        </w:tc>
        <w:tc>
          <w:tcPr>
            <w:tcW w:w="6866" w:type="dxa"/>
            <w:gridSpan w:val="3"/>
            <w:vAlign w:val="center"/>
          </w:tcPr>
          <w:p w14:paraId="34C6C480" w14:textId="77777777" w:rsidR="001333B2" w:rsidRPr="00AD67C2" w:rsidRDefault="001333B2" w:rsidP="001333B2">
            <w:pPr>
              <w:suppressAutoHyphens w:val="0"/>
              <w:jc w:val="both"/>
              <w:rPr>
                <w:rFonts w:ascii="Garamond" w:eastAsia="Times New Roman" w:hAnsi="Garamond" w:cs="Times New Roman"/>
                <w:i/>
                <w:sz w:val="22"/>
                <w:szCs w:val="24"/>
              </w:rPr>
            </w:pPr>
          </w:p>
        </w:tc>
      </w:tr>
      <w:tr w:rsidR="001333B2" w:rsidRPr="00AD67C2" w14:paraId="2D619ECB" w14:textId="77777777" w:rsidTr="003938D9">
        <w:trPr>
          <w:trHeight w:val="567"/>
        </w:trPr>
        <w:tc>
          <w:tcPr>
            <w:tcW w:w="2493" w:type="dxa"/>
            <w:gridSpan w:val="3"/>
            <w:shd w:val="clear" w:color="auto" w:fill="D9D9D9"/>
            <w:vAlign w:val="center"/>
          </w:tcPr>
          <w:p w14:paraId="1E01D1B3" w14:textId="77777777" w:rsidR="001333B2" w:rsidRPr="00AD67C2" w:rsidRDefault="001333B2" w:rsidP="001333B2">
            <w:pPr>
              <w:suppressAutoHyphens w:val="0"/>
              <w:jc w:val="both"/>
              <w:rPr>
                <w:rFonts w:ascii="Garamond" w:eastAsia="Times New Roman" w:hAnsi="Garamond" w:cs="Times New Roman"/>
                <w:sz w:val="22"/>
                <w:szCs w:val="24"/>
              </w:rPr>
            </w:pPr>
            <w:r w:rsidRPr="00AD67C2">
              <w:rPr>
                <w:rFonts w:ascii="Garamond" w:eastAsia="Times New Roman" w:hAnsi="Garamond" w:cs="Times New Roman"/>
                <w:sz w:val="22"/>
                <w:szCs w:val="24"/>
              </w:rPr>
              <w:t>Основание изменения</w:t>
            </w:r>
            <w:r w:rsidRPr="00AD67C2">
              <w:rPr>
                <w:rFonts w:ascii="Garamond" w:eastAsia="Times New Roman" w:hAnsi="Garamond" w:cs="Times New Roman"/>
                <w:sz w:val="22"/>
                <w:szCs w:val="24"/>
                <w:vertAlign w:val="superscript"/>
              </w:rPr>
              <w:t xml:space="preserve"> 2</w:t>
            </w:r>
          </w:p>
        </w:tc>
        <w:tc>
          <w:tcPr>
            <w:tcW w:w="6866" w:type="dxa"/>
            <w:gridSpan w:val="3"/>
            <w:vAlign w:val="center"/>
          </w:tcPr>
          <w:p w14:paraId="46D67C0B" w14:textId="77777777" w:rsidR="001333B2" w:rsidRPr="00AD67C2" w:rsidRDefault="001333B2" w:rsidP="001333B2">
            <w:pPr>
              <w:suppressAutoHyphens w:val="0"/>
              <w:jc w:val="both"/>
              <w:rPr>
                <w:rFonts w:ascii="Garamond" w:eastAsia="Times New Roman" w:hAnsi="Garamond" w:cs="Times New Roman"/>
                <w:i/>
                <w:sz w:val="22"/>
                <w:szCs w:val="24"/>
              </w:rPr>
            </w:pPr>
          </w:p>
        </w:tc>
      </w:tr>
      <w:tr w:rsidR="001333B2" w:rsidRPr="00AD67C2" w14:paraId="7A216A14" w14:textId="77777777" w:rsidTr="003938D9">
        <w:trPr>
          <w:trHeight w:val="567"/>
        </w:trPr>
        <w:tc>
          <w:tcPr>
            <w:tcW w:w="4389" w:type="dxa"/>
            <w:gridSpan w:val="4"/>
            <w:shd w:val="clear" w:color="auto" w:fill="D9D9D9"/>
            <w:vAlign w:val="center"/>
          </w:tcPr>
          <w:p w14:paraId="1515A1B3" w14:textId="30C6325E" w:rsidR="001333B2" w:rsidRPr="00AD67C2" w:rsidRDefault="001333B2" w:rsidP="001333B2">
            <w:pPr>
              <w:suppressAutoHyphens w:val="0"/>
              <w:jc w:val="both"/>
              <w:rPr>
                <w:rFonts w:ascii="Garamond" w:eastAsia="Times New Roman" w:hAnsi="Garamond" w:cs="Times New Roman"/>
                <w:sz w:val="22"/>
                <w:szCs w:val="24"/>
              </w:rPr>
            </w:pPr>
            <w:r w:rsidRPr="00AD67C2">
              <w:rPr>
                <w:rFonts w:ascii="Garamond" w:eastAsia="Times New Roman" w:hAnsi="Garamond" w:cs="Times New Roman"/>
                <w:sz w:val="22"/>
                <w:szCs w:val="24"/>
              </w:rPr>
              <w:t>Наименование субъекта ОРЭМ и наименование ГТП</w:t>
            </w:r>
            <w:r w:rsidR="00447C3E">
              <w:rPr>
                <w:rFonts w:ascii="Garamond" w:eastAsia="Times New Roman" w:hAnsi="Garamond" w:cs="Times New Roman"/>
                <w:sz w:val="22"/>
                <w:szCs w:val="24"/>
              </w:rPr>
              <w:t>,</w:t>
            </w:r>
            <w:r w:rsidRPr="00AD67C2">
              <w:rPr>
                <w:rFonts w:ascii="Garamond" w:eastAsia="Times New Roman" w:hAnsi="Garamond" w:cs="Times New Roman"/>
                <w:sz w:val="22"/>
                <w:szCs w:val="24"/>
              </w:rPr>
              <w:t xml:space="preserve"> в состав которой включено электрооборудование объекта регулирования</w:t>
            </w:r>
          </w:p>
        </w:tc>
        <w:tc>
          <w:tcPr>
            <w:tcW w:w="4970" w:type="dxa"/>
            <w:gridSpan w:val="2"/>
            <w:vAlign w:val="center"/>
          </w:tcPr>
          <w:p w14:paraId="79E8FC3B" w14:textId="6ED671BC" w:rsidR="001333B2" w:rsidRPr="00AD67C2" w:rsidRDefault="001333B2" w:rsidP="001333B2">
            <w:pPr>
              <w:suppressAutoHyphens w:val="0"/>
              <w:jc w:val="both"/>
              <w:rPr>
                <w:rFonts w:ascii="Garamond" w:eastAsia="Times New Roman" w:hAnsi="Garamond" w:cs="Times New Roman"/>
                <w:i/>
                <w:sz w:val="22"/>
                <w:szCs w:val="24"/>
              </w:rPr>
            </w:pPr>
            <w:r w:rsidRPr="00AD67C2">
              <w:rPr>
                <w:rFonts w:ascii="Garamond" w:eastAsia="Times New Roman" w:hAnsi="Garamond" w:cs="Times New Roman"/>
                <w:i/>
                <w:sz w:val="22"/>
                <w:szCs w:val="24"/>
              </w:rPr>
              <w:t>Указывается наименование субъекта ОРЭМ и наименование</w:t>
            </w:r>
            <w:r w:rsidRPr="00AD67C2">
              <w:rPr>
                <w:rFonts w:ascii="Garamond" w:eastAsia="Times New Roman" w:hAnsi="Garamond" w:cs="Times New Roman"/>
                <w:sz w:val="22"/>
                <w:szCs w:val="24"/>
              </w:rPr>
              <w:t xml:space="preserve"> </w:t>
            </w:r>
            <w:r w:rsidRPr="00AD67C2">
              <w:rPr>
                <w:rFonts w:ascii="Garamond" w:eastAsia="Times New Roman" w:hAnsi="Garamond" w:cs="Times New Roman"/>
                <w:i/>
                <w:sz w:val="22"/>
                <w:szCs w:val="24"/>
              </w:rPr>
              <w:t>ГТП, в состав которой включено электрооборудование объекта регулирования. Например, ООО «Энергосбыт» (Металлургический завод №</w:t>
            </w:r>
            <w:r w:rsidR="00447C3E">
              <w:rPr>
                <w:rFonts w:ascii="Garamond" w:eastAsia="Times New Roman" w:hAnsi="Garamond" w:cs="Times New Roman"/>
                <w:i/>
                <w:sz w:val="22"/>
                <w:szCs w:val="24"/>
              </w:rPr>
              <w:t xml:space="preserve"> </w:t>
            </w:r>
            <w:r w:rsidRPr="00AD67C2">
              <w:rPr>
                <w:rFonts w:ascii="Garamond" w:eastAsia="Times New Roman" w:hAnsi="Garamond" w:cs="Times New Roman"/>
                <w:i/>
                <w:sz w:val="22"/>
                <w:szCs w:val="24"/>
              </w:rPr>
              <w:t>1)</w:t>
            </w:r>
          </w:p>
        </w:tc>
      </w:tr>
      <w:tr w:rsidR="001333B2" w:rsidRPr="00AD67C2" w14:paraId="59CBD231" w14:textId="77777777" w:rsidTr="003938D9">
        <w:trPr>
          <w:trHeight w:val="567"/>
        </w:trPr>
        <w:tc>
          <w:tcPr>
            <w:tcW w:w="4389" w:type="dxa"/>
            <w:gridSpan w:val="4"/>
            <w:shd w:val="clear" w:color="auto" w:fill="D9D9D9"/>
            <w:vAlign w:val="center"/>
          </w:tcPr>
          <w:p w14:paraId="6EEF6AD6" w14:textId="77777777" w:rsidR="001333B2" w:rsidRPr="00AD67C2" w:rsidRDefault="001333B2" w:rsidP="001333B2">
            <w:pPr>
              <w:suppressAutoHyphens w:val="0"/>
              <w:jc w:val="both"/>
              <w:rPr>
                <w:rFonts w:ascii="Garamond" w:eastAsia="Times New Roman" w:hAnsi="Garamond" w:cs="Times New Roman"/>
                <w:sz w:val="22"/>
                <w:szCs w:val="24"/>
              </w:rPr>
            </w:pPr>
            <w:r w:rsidRPr="00AD67C2">
              <w:rPr>
                <w:rFonts w:ascii="Garamond" w:eastAsia="Times New Roman" w:hAnsi="Garamond" w:cs="Times New Roman"/>
                <w:sz w:val="22"/>
                <w:szCs w:val="24"/>
              </w:rPr>
              <w:t>Вид объекта регулирования</w:t>
            </w:r>
          </w:p>
        </w:tc>
        <w:tc>
          <w:tcPr>
            <w:tcW w:w="4970" w:type="dxa"/>
            <w:gridSpan w:val="2"/>
            <w:vAlign w:val="center"/>
          </w:tcPr>
          <w:p w14:paraId="71E29165" w14:textId="4DBEACFD" w:rsidR="001333B2" w:rsidRPr="00AD67C2" w:rsidRDefault="001333B2" w:rsidP="001333B2">
            <w:pPr>
              <w:suppressAutoHyphens w:val="0"/>
              <w:jc w:val="both"/>
              <w:rPr>
                <w:rFonts w:ascii="Garamond" w:eastAsia="Times New Roman" w:hAnsi="Garamond" w:cs="Times New Roman"/>
                <w:i/>
                <w:sz w:val="22"/>
                <w:szCs w:val="24"/>
              </w:rPr>
            </w:pPr>
            <w:r w:rsidRPr="00AD67C2">
              <w:rPr>
                <w:rFonts w:ascii="Garamond" w:eastAsia="Times New Roman" w:hAnsi="Garamond" w:cs="Times New Roman"/>
                <w:i/>
                <w:sz w:val="22"/>
                <w:szCs w:val="24"/>
              </w:rPr>
              <w:t>Указывается один из следующих видов в зависимости от рынка электрической энергии</w:t>
            </w:r>
            <w:r w:rsidR="00447C3E">
              <w:rPr>
                <w:rFonts w:ascii="Garamond" w:eastAsia="Times New Roman" w:hAnsi="Garamond" w:cs="Times New Roman"/>
                <w:i/>
                <w:sz w:val="22"/>
                <w:szCs w:val="24"/>
              </w:rPr>
              <w:t>,</w:t>
            </w:r>
            <w:r w:rsidRPr="00AD67C2">
              <w:rPr>
                <w:rFonts w:ascii="Garamond" w:eastAsia="Times New Roman" w:hAnsi="Garamond" w:cs="Times New Roman"/>
                <w:i/>
                <w:sz w:val="22"/>
                <w:szCs w:val="24"/>
              </w:rPr>
              <w:t xml:space="preserve"> на котором потребителем осуществляется покупка электрической энергии (мощности):</w:t>
            </w:r>
          </w:p>
          <w:p w14:paraId="1BF0C10F" w14:textId="77777777" w:rsidR="001333B2" w:rsidRPr="00AD67C2" w:rsidRDefault="001333B2" w:rsidP="001333B2">
            <w:pPr>
              <w:suppressAutoHyphens w:val="0"/>
              <w:jc w:val="both"/>
              <w:rPr>
                <w:rFonts w:ascii="Garamond" w:eastAsia="Times New Roman" w:hAnsi="Garamond" w:cs="Times New Roman"/>
                <w:i/>
                <w:sz w:val="22"/>
                <w:szCs w:val="24"/>
              </w:rPr>
            </w:pPr>
            <w:r w:rsidRPr="00AD67C2">
              <w:rPr>
                <w:rFonts w:ascii="Garamond" w:eastAsia="Times New Roman" w:hAnsi="Garamond" w:cs="Times New Roman"/>
                <w:i/>
                <w:sz w:val="22"/>
                <w:szCs w:val="24"/>
              </w:rPr>
              <w:t>– объект регулирования потребителя розничного рынка;</w:t>
            </w:r>
          </w:p>
          <w:p w14:paraId="7E2B2F8B" w14:textId="5A7EDB0F" w:rsidR="001333B2" w:rsidRPr="00AD67C2" w:rsidRDefault="001333B2" w:rsidP="001333B2">
            <w:pPr>
              <w:suppressAutoHyphens w:val="0"/>
              <w:jc w:val="both"/>
              <w:rPr>
                <w:rFonts w:ascii="Garamond" w:eastAsia="Times New Roman" w:hAnsi="Garamond" w:cs="Times New Roman"/>
                <w:i/>
                <w:sz w:val="22"/>
                <w:szCs w:val="24"/>
              </w:rPr>
            </w:pPr>
            <w:r w:rsidRPr="00AD67C2">
              <w:rPr>
                <w:rFonts w:ascii="Garamond" w:eastAsia="Times New Roman" w:hAnsi="Garamond" w:cs="Times New Roman"/>
                <w:i/>
                <w:sz w:val="22"/>
                <w:szCs w:val="24"/>
              </w:rPr>
              <w:t>– объект регулиров</w:t>
            </w:r>
            <w:r w:rsidR="00447C3E">
              <w:rPr>
                <w:rFonts w:ascii="Garamond" w:eastAsia="Times New Roman" w:hAnsi="Garamond" w:cs="Times New Roman"/>
                <w:i/>
                <w:sz w:val="22"/>
                <w:szCs w:val="24"/>
              </w:rPr>
              <w:t>ания потребителя оптового рынка</w:t>
            </w:r>
          </w:p>
        </w:tc>
      </w:tr>
      <w:tr w:rsidR="001333B2" w:rsidRPr="00AD67C2" w14:paraId="1D98E8CD" w14:textId="77777777" w:rsidTr="0064152E">
        <w:trPr>
          <w:trHeight w:val="353"/>
        </w:trPr>
        <w:tc>
          <w:tcPr>
            <w:tcW w:w="9359" w:type="dxa"/>
            <w:gridSpan w:val="6"/>
            <w:shd w:val="clear" w:color="auto" w:fill="D9D9D9"/>
            <w:vAlign w:val="center"/>
          </w:tcPr>
          <w:p w14:paraId="7B4B94D0" w14:textId="77777777" w:rsidR="001333B2" w:rsidRPr="00AD67C2" w:rsidRDefault="001333B2" w:rsidP="001333B2">
            <w:pPr>
              <w:suppressAutoHyphens w:val="0"/>
              <w:jc w:val="both"/>
              <w:rPr>
                <w:rFonts w:ascii="Garamond" w:eastAsia="Times New Roman" w:hAnsi="Garamond" w:cs="Times New Roman"/>
                <w:b/>
                <w:i/>
                <w:sz w:val="22"/>
                <w:szCs w:val="24"/>
                <w:vertAlign w:val="superscript"/>
              </w:rPr>
            </w:pPr>
            <w:r w:rsidRPr="00AD67C2">
              <w:rPr>
                <w:rFonts w:ascii="Garamond" w:eastAsia="Times New Roman" w:hAnsi="Garamond" w:cs="Times New Roman"/>
                <w:b/>
                <w:sz w:val="22"/>
                <w:szCs w:val="24"/>
              </w:rPr>
              <w:t xml:space="preserve">2. Технические (технологические) характеристики объекта регулирования </w:t>
            </w:r>
            <w:r w:rsidRPr="00AD67C2">
              <w:rPr>
                <w:rFonts w:ascii="Garamond" w:eastAsia="Times New Roman" w:hAnsi="Garamond" w:cs="Times New Roman"/>
                <w:b/>
                <w:sz w:val="22"/>
                <w:szCs w:val="24"/>
                <w:vertAlign w:val="superscript"/>
              </w:rPr>
              <w:t>3</w:t>
            </w:r>
          </w:p>
        </w:tc>
      </w:tr>
      <w:tr w:rsidR="001333B2" w:rsidRPr="00AD67C2" w14:paraId="5DDABB5A" w14:textId="77777777" w:rsidTr="003938D9">
        <w:trPr>
          <w:trHeight w:val="567"/>
        </w:trPr>
        <w:tc>
          <w:tcPr>
            <w:tcW w:w="4389" w:type="dxa"/>
            <w:gridSpan w:val="4"/>
            <w:shd w:val="clear" w:color="auto" w:fill="D9D9D9"/>
            <w:vAlign w:val="center"/>
          </w:tcPr>
          <w:p w14:paraId="0E27B00E" w14:textId="77777777" w:rsidR="001333B2" w:rsidRPr="00AD67C2" w:rsidRDefault="001333B2" w:rsidP="001333B2">
            <w:pPr>
              <w:suppressAutoHyphens w:val="0"/>
              <w:jc w:val="both"/>
              <w:rPr>
                <w:rFonts w:ascii="Garamond" w:eastAsia="Times New Roman" w:hAnsi="Garamond" w:cs="Times New Roman"/>
                <w:sz w:val="22"/>
                <w:szCs w:val="24"/>
              </w:rPr>
            </w:pPr>
            <w:r w:rsidRPr="00AD67C2">
              <w:rPr>
                <w:rFonts w:ascii="Garamond" w:eastAsia="Times New Roman" w:hAnsi="Garamond" w:cs="Times New Roman"/>
                <w:sz w:val="22"/>
                <w:szCs w:val="24"/>
              </w:rPr>
              <w:t>Максимальная мощность, МВт</w:t>
            </w:r>
          </w:p>
        </w:tc>
        <w:tc>
          <w:tcPr>
            <w:tcW w:w="4970" w:type="dxa"/>
            <w:gridSpan w:val="2"/>
            <w:shd w:val="clear" w:color="auto" w:fill="FFFFFF"/>
            <w:vAlign w:val="center"/>
          </w:tcPr>
          <w:p w14:paraId="2399C9AD" w14:textId="78B66EBA" w:rsidR="001333B2" w:rsidRPr="00AD67C2" w:rsidRDefault="001333B2" w:rsidP="00BC4FC4">
            <w:pPr>
              <w:suppressAutoHyphens w:val="0"/>
              <w:jc w:val="both"/>
              <w:rPr>
                <w:rFonts w:ascii="Garamond" w:eastAsia="Times New Roman" w:hAnsi="Garamond" w:cs="Times New Roman"/>
                <w:b/>
                <w:sz w:val="22"/>
                <w:szCs w:val="24"/>
              </w:rPr>
            </w:pPr>
            <w:r w:rsidRPr="00AD67C2">
              <w:rPr>
                <w:rFonts w:ascii="Garamond" w:eastAsia="Times New Roman" w:hAnsi="Garamond" w:cs="Times New Roman"/>
                <w:i/>
                <w:sz w:val="22"/>
                <w:szCs w:val="24"/>
              </w:rPr>
              <w:t>Указывается суммарное значение максимальной мощности энергопринимающих устройств, входящих в состав объекта регулирования, в соответствии с документами о технологическом присоединении, в МВт с точн</w:t>
            </w:r>
            <w:r w:rsidR="00447C3E">
              <w:rPr>
                <w:rFonts w:ascii="Garamond" w:eastAsia="Times New Roman" w:hAnsi="Garamond" w:cs="Times New Roman"/>
                <w:i/>
                <w:sz w:val="22"/>
                <w:szCs w:val="24"/>
              </w:rPr>
              <w:t>остью до 3 знаков после запятой</w:t>
            </w:r>
          </w:p>
        </w:tc>
      </w:tr>
      <w:tr w:rsidR="001333B2" w:rsidRPr="00AD67C2" w14:paraId="6DA869D5" w14:textId="77777777" w:rsidTr="003938D9">
        <w:trPr>
          <w:trHeight w:val="567"/>
        </w:trPr>
        <w:tc>
          <w:tcPr>
            <w:tcW w:w="4389" w:type="dxa"/>
            <w:gridSpan w:val="4"/>
            <w:shd w:val="clear" w:color="auto" w:fill="D9D9D9"/>
            <w:vAlign w:val="center"/>
          </w:tcPr>
          <w:p w14:paraId="2B524CCE" w14:textId="5CF19708" w:rsidR="001333B2" w:rsidRPr="00AD67C2" w:rsidDel="00350340" w:rsidRDefault="001333B2" w:rsidP="001333B2">
            <w:pPr>
              <w:suppressAutoHyphens w:val="0"/>
              <w:jc w:val="both"/>
              <w:rPr>
                <w:rFonts w:ascii="Garamond" w:eastAsia="Times New Roman" w:hAnsi="Garamond" w:cs="Times New Roman"/>
                <w:sz w:val="22"/>
                <w:szCs w:val="24"/>
              </w:rPr>
            </w:pPr>
            <w:r w:rsidRPr="00AD67C2">
              <w:rPr>
                <w:rFonts w:ascii="Garamond" w:eastAsia="Times New Roman" w:hAnsi="Garamond" w:cs="Times New Roman"/>
                <w:sz w:val="22"/>
                <w:szCs w:val="24"/>
              </w:rPr>
              <w:t>Объ</w:t>
            </w:r>
            <w:r w:rsidR="00BC4FC4">
              <w:rPr>
                <w:rFonts w:ascii="Garamond" w:eastAsia="Times New Roman" w:hAnsi="Garamond" w:cs="Times New Roman"/>
                <w:sz w:val="22"/>
                <w:szCs w:val="24"/>
              </w:rPr>
              <w:t>е</w:t>
            </w:r>
            <w:r w:rsidRPr="00AD67C2">
              <w:rPr>
                <w:rFonts w:ascii="Garamond" w:eastAsia="Times New Roman" w:hAnsi="Garamond" w:cs="Times New Roman"/>
                <w:sz w:val="22"/>
                <w:szCs w:val="24"/>
              </w:rPr>
              <w:t>м снижения потребления по договору с потребителем, МВт</w:t>
            </w:r>
          </w:p>
        </w:tc>
        <w:tc>
          <w:tcPr>
            <w:tcW w:w="4970" w:type="dxa"/>
            <w:gridSpan w:val="2"/>
            <w:shd w:val="clear" w:color="auto" w:fill="FFFFFF"/>
            <w:vAlign w:val="center"/>
          </w:tcPr>
          <w:p w14:paraId="0F593DE6" w14:textId="51E28858" w:rsidR="001333B2" w:rsidRPr="00AD67C2" w:rsidDel="00350340" w:rsidRDefault="001333B2" w:rsidP="001043A6">
            <w:pPr>
              <w:suppressAutoHyphens w:val="0"/>
              <w:jc w:val="both"/>
              <w:rPr>
                <w:rFonts w:ascii="Garamond" w:eastAsia="Times New Roman" w:hAnsi="Garamond" w:cs="Times New Roman"/>
                <w:i/>
                <w:sz w:val="22"/>
                <w:szCs w:val="24"/>
              </w:rPr>
            </w:pPr>
            <w:r w:rsidRPr="00AD67C2">
              <w:rPr>
                <w:rFonts w:ascii="Garamond" w:eastAsia="Times New Roman" w:hAnsi="Garamond" w:cs="Times New Roman"/>
                <w:i/>
                <w:sz w:val="22"/>
                <w:szCs w:val="24"/>
              </w:rPr>
              <w:t>Указывается объ</w:t>
            </w:r>
            <w:r w:rsidR="00BC4FC4">
              <w:rPr>
                <w:rFonts w:ascii="Garamond" w:eastAsia="Times New Roman" w:hAnsi="Garamond" w:cs="Times New Roman"/>
                <w:i/>
                <w:sz w:val="22"/>
                <w:szCs w:val="24"/>
              </w:rPr>
              <w:t>е</w:t>
            </w:r>
            <w:r w:rsidRPr="00AD67C2">
              <w:rPr>
                <w:rFonts w:ascii="Garamond" w:eastAsia="Times New Roman" w:hAnsi="Garamond" w:cs="Times New Roman"/>
                <w:i/>
                <w:sz w:val="22"/>
                <w:szCs w:val="24"/>
              </w:rPr>
              <w:t>м снижения потребления электроэнергии объекта регулирования в соответствии с договором оказания услуг между заявителем и потребителем, в МВт с точн</w:t>
            </w:r>
            <w:r w:rsidR="00447C3E">
              <w:rPr>
                <w:rFonts w:ascii="Garamond" w:eastAsia="Times New Roman" w:hAnsi="Garamond" w:cs="Times New Roman"/>
                <w:i/>
                <w:sz w:val="22"/>
                <w:szCs w:val="24"/>
              </w:rPr>
              <w:t>остью до 4 знаков после запятой</w:t>
            </w:r>
          </w:p>
        </w:tc>
      </w:tr>
      <w:tr w:rsidR="001333B2" w:rsidRPr="00AD67C2" w14:paraId="5E772AB5" w14:textId="77777777" w:rsidTr="003938D9">
        <w:trPr>
          <w:trHeight w:val="567"/>
        </w:trPr>
        <w:tc>
          <w:tcPr>
            <w:tcW w:w="4389" w:type="dxa"/>
            <w:gridSpan w:val="4"/>
            <w:shd w:val="clear" w:color="auto" w:fill="D9D9D9"/>
            <w:vAlign w:val="center"/>
          </w:tcPr>
          <w:p w14:paraId="70F102F1" w14:textId="77777777" w:rsidR="001333B2" w:rsidRPr="00AD67C2" w:rsidDel="00350340" w:rsidRDefault="001333B2" w:rsidP="001333B2">
            <w:pPr>
              <w:suppressAutoHyphens w:val="0"/>
              <w:jc w:val="both"/>
              <w:rPr>
                <w:rFonts w:ascii="Garamond" w:eastAsia="Times New Roman" w:hAnsi="Garamond" w:cs="Times New Roman"/>
                <w:sz w:val="22"/>
                <w:szCs w:val="24"/>
              </w:rPr>
            </w:pPr>
            <w:r w:rsidRPr="00AD67C2">
              <w:rPr>
                <w:rFonts w:ascii="Garamond" w:eastAsia="Times New Roman" w:hAnsi="Garamond" w:cs="Times New Roman"/>
                <w:sz w:val="22"/>
                <w:szCs w:val="24"/>
              </w:rPr>
              <w:t>Длительность снижения потребления по договору с потребителем, ч</w:t>
            </w:r>
          </w:p>
        </w:tc>
        <w:tc>
          <w:tcPr>
            <w:tcW w:w="4970" w:type="dxa"/>
            <w:gridSpan w:val="2"/>
            <w:shd w:val="clear" w:color="auto" w:fill="FFFFFF"/>
            <w:vAlign w:val="center"/>
          </w:tcPr>
          <w:p w14:paraId="690ACD69" w14:textId="7727B0BD" w:rsidR="001333B2" w:rsidRPr="00AD67C2" w:rsidDel="00350340" w:rsidRDefault="001333B2" w:rsidP="001333B2">
            <w:pPr>
              <w:suppressAutoHyphens w:val="0"/>
              <w:jc w:val="both"/>
              <w:rPr>
                <w:rFonts w:ascii="Garamond" w:eastAsia="Times New Roman" w:hAnsi="Garamond" w:cs="Times New Roman"/>
                <w:i/>
                <w:sz w:val="22"/>
                <w:szCs w:val="24"/>
              </w:rPr>
            </w:pPr>
            <w:r w:rsidRPr="00AD67C2">
              <w:rPr>
                <w:rFonts w:ascii="Garamond" w:eastAsia="Times New Roman" w:hAnsi="Garamond" w:cs="Times New Roman"/>
                <w:i/>
                <w:sz w:val="22"/>
                <w:szCs w:val="24"/>
              </w:rPr>
              <w:t>Указывается непрерывная длительность снижения потребления электроэнергии объекта регулирования в соответствии с договором оказания услуг между заявителем и потреб</w:t>
            </w:r>
            <w:r w:rsidR="00447C3E">
              <w:rPr>
                <w:rFonts w:ascii="Garamond" w:eastAsia="Times New Roman" w:hAnsi="Garamond" w:cs="Times New Roman"/>
                <w:i/>
                <w:sz w:val="22"/>
                <w:szCs w:val="24"/>
              </w:rPr>
              <w:t>ителем, в целых часах от 1 до 4</w:t>
            </w:r>
          </w:p>
        </w:tc>
      </w:tr>
      <w:tr w:rsidR="001333B2" w:rsidRPr="00AD67C2" w14:paraId="50A7CDA0" w14:textId="77777777" w:rsidTr="003938D9">
        <w:trPr>
          <w:trHeight w:val="567"/>
        </w:trPr>
        <w:tc>
          <w:tcPr>
            <w:tcW w:w="4389" w:type="dxa"/>
            <w:gridSpan w:val="4"/>
            <w:shd w:val="clear" w:color="auto" w:fill="D9D9D9"/>
            <w:vAlign w:val="center"/>
          </w:tcPr>
          <w:p w14:paraId="1CAE3B5F" w14:textId="77777777" w:rsidR="001333B2" w:rsidRPr="00AD67C2" w:rsidRDefault="001333B2" w:rsidP="001333B2">
            <w:pPr>
              <w:suppressAutoHyphens w:val="0"/>
              <w:jc w:val="both"/>
              <w:rPr>
                <w:rFonts w:ascii="Garamond" w:eastAsia="Times New Roman" w:hAnsi="Garamond" w:cs="Times New Roman"/>
                <w:sz w:val="22"/>
                <w:szCs w:val="24"/>
              </w:rPr>
            </w:pPr>
            <w:r w:rsidRPr="00AD67C2">
              <w:rPr>
                <w:rFonts w:ascii="Garamond" w:eastAsia="Times New Roman" w:hAnsi="Garamond" w:cs="Times New Roman"/>
                <w:sz w:val="22"/>
                <w:szCs w:val="24"/>
              </w:rPr>
              <w:t>Технология снижения потребления объекта регулирования</w:t>
            </w:r>
          </w:p>
        </w:tc>
        <w:tc>
          <w:tcPr>
            <w:tcW w:w="4970" w:type="dxa"/>
            <w:gridSpan w:val="2"/>
            <w:shd w:val="clear" w:color="auto" w:fill="FFFFFF"/>
            <w:vAlign w:val="center"/>
          </w:tcPr>
          <w:p w14:paraId="63286847" w14:textId="77777777" w:rsidR="001333B2" w:rsidRPr="00AD67C2" w:rsidRDefault="001333B2" w:rsidP="001333B2">
            <w:pPr>
              <w:suppressAutoHyphens w:val="0"/>
              <w:rPr>
                <w:rFonts w:ascii="Garamond" w:eastAsia="Times New Roman" w:hAnsi="Garamond" w:cs="Times New Roman"/>
                <w:i/>
                <w:sz w:val="22"/>
                <w:szCs w:val="24"/>
              </w:rPr>
            </w:pPr>
            <w:r w:rsidRPr="00AD67C2">
              <w:rPr>
                <w:rFonts w:ascii="Garamond" w:eastAsia="Times New Roman" w:hAnsi="Garamond" w:cs="Times New Roman"/>
                <w:i/>
                <w:sz w:val="22"/>
                <w:szCs w:val="24"/>
              </w:rPr>
              <w:t>Указывается одна из технологий снижения потребления объекта регулирования:</w:t>
            </w:r>
          </w:p>
          <w:p w14:paraId="2035518C" w14:textId="77777777" w:rsidR="001333B2" w:rsidRPr="00AD67C2" w:rsidRDefault="001333B2" w:rsidP="001333B2">
            <w:pPr>
              <w:suppressAutoHyphens w:val="0"/>
              <w:jc w:val="both"/>
              <w:rPr>
                <w:rFonts w:ascii="Garamond" w:eastAsia="Times New Roman" w:hAnsi="Garamond" w:cs="Times New Roman"/>
                <w:i/>
                <w:sz w:val="22"/>
                <w:szCs w:val="24"/>
              </w:rPr>
            </w:pPr>
            <w:r w:rsidRPr="00AD67C2">
              <w:rPr>
                <w:rFonts w:ascii="Garamond" w:eastAsia="Times New Roman" w:hAnsi="Garamond" w:cs="Times New Roman"/>
                <w:i/>
                <w:sz w:val="22"/>
                <w:szCs w:val="24"/>
              </w:rPr>
              <w:t xml:space="preserve">– смещение графика потребления во времени, </w:t>
            </w:r>
          </w:p>
          <w:p w14:paraId="388634F6" w14:textId="77777777" w:rsidR="001333B2" w:rsidRPr="00AD67C2" w:rsidRDefault="001333B2" w:rsidP="001333B2">
            <w:pPr>
              <w:suppressAutoHyphens w:val="0"/>
              <w:jc w:val="both"/>
              <w:rPr>
                <w:rFonts w:ascii="Garamond" w:eastAsia="Times New Roman" w:hAnsi="Garamond" w:cs="Times New Roman"/>
                <w:i/>
                <w:sz w:val="22"/>
                <w:szCs w:val="24"/>
              </w:rPr>
            </w:pPr>
            <w:r w:rsidRPr="00AD67C2">
              <w:rPr>
                <w:rFonts w:ascii="Garamond" w:eastAsia="Times New Roman" w:hAnsi="Garamond" w:cs="Times New Roman"/>
                <w:i/>
                <w:sz w:val="22"/>
                <w:szCs w:val="24"/>
              </w:rPr>
              <w:t xml:space="preserve">– останов или снижение интенсивности производственного процесса, </w:t>
            </w:r>
          </w:p>
          <w:p w14:paraId="0FAA97B0" w14:textId="77777777" w:rsidR="001333B2" w:rsidRPr="00AD67C2" w:rsidRDefault="001333B2" w:rsidP="001333B2">
            <w:pPr>
              <w:suppressAutoHyphens w:val="0"/>
              <w:jc w:val="both"/>
              <w:rPr>
                <w:rFonts w:ascii="Garamond" w:eastAsia="Times New Roman" w:hAnsi="Garamond" w:cs="Times New Roman"/>
                <w:i/>
                <w:sz w:val="22"/>
                <w:szCs w:val="24"/>
              </w:rPr>
            </w:pPr>
            <w:r w:rsidRPr="00AD67C2">
              <w:rPr>
                <w:rFonts w:ascii="Garamond" w:eastAsia="Times New Roman" w:hAnsi="Garamond" w:cs="Times New Roman"/>
                <w:i/>
                <w:sz w:val="22"/>
                <w:szCs w:val="24"/>
              </w:rPr>
              <w:lastRenderedPageBreak/>
              <w:t>– управление термостатическими нагрузками, такими как системы вентиляции и кондиционирования, нагрева воды, отопления и т.п.,</w:t>
            </w:r>
          </w:p>
          <w:p w14:paraId="1E89F802" w14:textId="77777777" w:rsidR="001333B2" w:rsidRPr="00AD67C2" w:rsidRDefault="001333B2" w:rsidP="001333B2">
            <w:pPr>
              <w:suppressAutoHyphens w:val="0"/>
              <w:jc w:val="both"/>
              <w:rPr>
                <w:rFonts w:ascii="Garamond" w:eastAsia="Times New Roman" w:hAnsi="Garamond" w:cs="Times New Roman"/>
                <w:i/>
                <w:sz w:val="22"/>
                <w:szCs w:val="24"/>
              </w:rPr>
            </w:pPr>
            <w:r w:rsidRPr="00AD67C2">
              <w:rPr>
                <w:rFonts w:ascii="Garamond" w:eastAsia="Times New Roman" w:hAnsi="Garamond" w:cs="Times New Roman"/>
                <w:i/>
                <w:sz w:val="22"/>
                <w:szCs w:val="24"/>
              </w:rPr>
              <w:t>– использование генерирующего оборудования,</w:t>
            </w:r>
          </w:p>
          <w:p w14:paraId="2DFC19A1" w14:textId="77777777" w:rsidR="001333B2" w:rsidRPr="00AD67C2" w:rsidRDefault="001333B2" w:rsidP="001333B2">
            <w:pPr>
              <w:suppressAutoHyphens w:val="0"/>
              <w:jc w:val="both"/>
              <w:rPr>
                <w:rFonts w:ascii="Garamond" w:eastAsia="Times New Roman" w:hAnsi="Garamond" w:cs="Times New Roman"/>
                <w:i/>
                <w:sz w:val="22"/>
                <w:szCs w:val="24"/>
              </w:rPr>
            </w:pPr>
            <w:r w:rsidRPr="00AD67C2">
              <w:rPr>
                <w:rFonts w:ascii="Garamond" w:eastAsia="Times New Roman" w:hAnsi="Garamond" w:cs="Times New Roman"/>
                <w:i/>
                <w:sz w:val="22"/>
                <w:szCs w:val="24"/>
              </w:rPr>
              <w:t>– использование накопителей,</w:t>
            </w:r>
          </w:p>
          <w:p w14:paraId="3B6FF21B" w14:textId="77777777" w:rsidR="001333B2" w:rsidRPr="00AD67C2" w:rsidRDefault="001333B2" w:rsidP="001333B2">
            <w:pPr>
              <w:suppressAutoHyphens w:val="0"/>
              <w:rPr>
                <w:rFonts w:ascii="Garamond" w:eastAsia="Times New Roman" w:hAnsi="Garamond" w:cs="Times New Roman"/>
                <w:i/>
                <w:sz w:val="22"/>
                <w:szCs w:val="24"/>
              </w:rPr>
            </w:pPr>
            <w:r w:rsidRPr="00AD67C2">
              <w:rPr>
                <w:rFonts w:ascii="Garamond" w:eastAsia="Times New Roman" w:hAnsi="Garamond" w:cs="Times New Roman"/>
                <w:i/>
                <w:sz w:val="22"/>
                <w:szCs w:val="24"/>
              </w:rPr>
              <w:t>– иная (указать)</w:t>
            </w:r>
          </w:p>
        </w:tc>
      </w:tr>
      <w:tr w:rsidR="001333B2" w:rsidRPr="00AD67C2" w14:paraId="77B7EF05" w14:textId="77777777" w:rsidTr="003938D9">
        <w:trPr>
          <w:trHeight w:val="567"/>
        </w:trPr>
        <w:tc>
          <w:tcPr>
            <w:tcW w:w="4389" w:type="dxa"/>
            <w:gridSpan w:val="4"/>
            <w:shd w:val="clear" w:color="auto" w:fill="D9D9D9"/>
            <w:vAlign w:val="center"/>
          </w:tcPr>
          <w:p w14:paraId="50884878" w14:textId="77777777" w:rsidR="001333B2" w:rsidRPr="00AD67C2" w:rsidRDefault="001333B2" w:rsidP="001333B2">
            <w:pPr>
              <w:suppressAutoHyphens w:val="0"/>
              <w:jc w:val="both"/>
              <w:rPr>
                <w:rFonts w:ascii="Garamond" w:eastAsia="Times New Roman" w:hAnsi="Garamond" w:cs="Times New Roman"/>
                <w:sz w:val="22"/>
                <w:szCs w:val="24"/>
              </w:rPr>
            </w:pPr>
            <w:r w:rsidRPr="00AD67C2">
              <w:rPr>
                <w:rFonts w:ascii="Garamond" w:eastAsia="Times New Roman" w:hAnsi="Garamond" w:cs="Times New Roman"/>
                <w:sz w:val="22"/>
                <w:szCs w:val="24"/>
              </w:rPr>
              <w:lastRenderedPageBreak/>
              <w:t>Тип компенсации снижения потребления</w:t>
            </w:r>
          </w:p>
        </w:tc>
        <w:tc>
          <w:tcPr>
            <w:tcW w:w="4970" w:type="dxa"/>
            <w:gridSpan w:val="2"/>
            <w:shd w:val="clear" w:color="auto" w:fill="FFFFFF"/>
            <w:vAlign w:val="center"/>
          </w:tcPr>
          <w:p w14:paraId="1750F92A" w14:textId="77777777" w:rsidR="001333B2" w:rsidRPr="00AD67C2" w:rsidRDefault="001333B2" w:rsidP="001333B2">
            <w:pPr>
              <w:suppressAutoHyphens w:val="0"/>
              <w:rPr>
                <w:rFonts w:ascii="Garamond" w:eastAsia="Times New Roman" w:hAnsi="Garamond" w:cs="Times New Roman"/>
                <w:i/>
                <w:sz w:val="22"/>
                <w:szCs w:val="24"/>
              </w:rPr>
            </w:pPr>
            <w:r w:rsidRPr="00AD67C2">
              <w:rPr>
                <w:rFonts w:ascii="Garamond" w:eastAsia="Times New Roman" w:hAnsi="Garamond" w:cs="Times New Roman"/>
                <w:i/>
                <w:sz w:val="22"/>
                <w:szCs w:val="24"/>
              </w:rPr>
              <w:t>Указывается один из типов компенсации снижения потребления:</w:t>
            </w:r>
          </w:p>
          <w:p w14:paraId="1873845F" w14:textId="77777777" w:rsidR="001333B2" w:rsidRPr="00AD67C2" w:rsidRDefault="001333B2" w:rsidP="001333B2">
            <w:pPr>
              <w:suppressAutoHyphens w:val="0"/>
              <w:rPr>
                <w:rFonts w:ascii="Garamond" w:eastAsia="Times New Roman" w:hAnsi="Garamond" w:cs="Times New Roman"/>
                <w:i/>
                <w:sz w:val="22"/>
                <w:szCs w:val="24"/>
              </w:rPr>
            </w:pPr>
            <w:r w:rsidRPr="00AD67C2">
              <w:rPr>
                <w:rFonts w:ascii="Garamond" w:eastAsia="Times New Roman" w:hAnsi="Garamond" w:cs="Times New Roman"/>
                <w:i/>
                <w:sz w:val="22"/>
                <w:szCs w:val="24"/>
              </w:rPr>
              <w:t xml:space="preserve">– повышение потребления происходит в сутки события управления спросом до события, </w:t>
            </w:r>
          </w:p>
          <w:p w14:paraId="22A9E843" w14:textId="77777777" w:rsidR="001333B2" w:rsidRPr="00AD67C2" w:rsidRDefault="001333B2" w:rsidP="001333B2">
            <w:pPr>
              <w:suppressAutoHyphens w:val="0"/>
              <w:rPr>
                <w:rFonts w:ascii="Garamond" w:eastAsia="Times New Roman" w:hAnsi="Garamond" w:cs="Times New Roman"/>
                <w:i/>
                <w:sz w:val="22"/>
                <w:szCs w:val="24"/>
              </w:rPr>
            </w:pPr>
            <w:r w:rsidRPr="00AD67C2">
              <w:rPr>
                <w:rFonts w:ascii="Garamond" w:eastAsia="Times New Roman" w:hAnsi="Garamond" w:cs="Times New Roman"/>
                <w:i/>
                <w:sz w:val="22"/>
                <w:szCs w:val="24"/>
              </w:rPr>
              <w:t xml:space="preserve">– повышение потребления происходит в сутки события управления спросом после события, </w:t>
            </w:r>
          </w:p>
          <w:p w14:paraId="6B400B35" w14:textId="77777777" w:rsidR="001333B2" w:rsidRPr="00AD67C2" w:rsidRDefault="001333B2" w:rsidP="001333B2">
            <w:pPr>
              <w:suppressAutoHyphens w:val="0"/>
              <w:rPr>
                <w:rFonts w:ascii="Garamond" w:eastAsia="Times New Roman" w:hAnsi="Garamond" w:cs="Times New Roman"/>
                <w:i/>
                <w:sz w:val="22"/>
                <w:szCs w:val="24"/>
              </w:rPr>
            </w:pPr>
            <w:r w:rsidRPr="00AD67C2">
              <w:rPr>
                <w:rFonts w:ascii="Garamond" w:eastAsia="Times New Roman" w:hAnsi="Garamond" w:cs="Times New Roman"/>
                <w:i/>
                <w:sz w:val="22"/>
                <w:szCs w:val="24"/>
              </w:rPr>
              <w:t xml:space="preserve">– повышение потребления происходит на следующие сутки после события управления спросом или позднее, </w:t>
            </w:r>
          </w:p>
          <w:p w14:paraId="12FAEB4A" w14:textId="77777777" w:rsidR="001333B2" w:rsidRPr="00AD67C2" w:rsidRDefault="001333B2" w:rsidP="001333B2">
            <w:pPr>
              <w:suppressAutoHyphens w:val="0"/>
              <w:rPr>
                <w:rFonts w:ascii="Garamond" w:eastAsia="Times New Roman" w:hAnsi="Garamond" w:cs="Times New Roman"/>
                <w:i/>
                <w:sz w:val="22"/>
                <w:szCs w:val="24"/>
              </w:rPr>
            </w:pPr>
            <w:r w:rsidRPr="00AD67C2">
              <w:rPr>
                <w:rFonts w:ascii="Garamond" w:eastAsia="Times New Roman" w:hAnsi="Garamond" w:cs="Times New Roman"/>
                <w:i/>
                <w:sz w:val="22"/>
                <w:szCs w:val="24"/>
              </w:rPr>
              <w:t xml:space="preserve">– повышение потребления не требуется, </w:t>
            </w:r>
          </w:p>
          <w:p w14:paraId="3F213340" w14:textId="77777777" w:rsidR="001333B2" w:rsidRPr="00AD67C2" w:rsidRDefault="001333B2" w:rsidP="001333B2">
            <w:pPr>
              <w:suppressAutoHyphens w:val="0"/>
              <w:rPr>
                <w:rFonts w:ascii="Garamond" w:eastAsia="Times New Roman" w:hAnsi="Garamond" w:cs="Times New Roman"/>
                <w:b/>
                <w:sz w:val="22"/>
                <w:szCs w:val="24"/>
              </w:rPr>
            </w:pPr>
            <w:r w:rsidRPr="00AD67C2">
              <w:rPr>
                <w:rFonts w:ascii="Garamond" w:eastAsia="Times New Roman" w:hAnsi="Garamond" w:cs="Times New Roman"/>
                <w:i/>
                <w:sz w:val="22"/>
                <w:szCs w:val="24"/>
              </w:rPr>
              <w:t>– иной (указать)</w:t>
            </w:r>
          </w:p>
        </w:tc>
      </w:tr>
      <w:tr w:rsidR="001333B2" w:rsidRPr="00AD67C2" w14:paraId="1450453D" w14:textId="77777777" w:rsidTr="0064152E">
        <w:trPr>
          <w:trHeight w:val="353"/>
        </w:trPr>
        <w:tc>
          <w:tcPr>
            <w:tcW w:w="9359" w:type="dxa"/>
            <w:gridSpan w:val="6"/>
            <w:shd w:val="clear" w:color="auto" w:fill="D9D9D9"/>
            <w:vAlign w:val="center"/>
          </w:tcPr>
          <w:p w14:paraId="66598BAC" w14:textId="77777777" w:rsidR="001333B2" w:rsidRPr="00AD67C2" w:rsidRDefault="001333B2" w:rsidP="001333B2">
            <w:pPr>
              <w:suppressAutoHyphens w:val="0"/>
              <w:jc w:val="both"/>
              <w:rPr>
                <w:rFonts w:ascii="Garamond" w:eastAsia="Times New Roman" w:hAnsi="Garamond" w:cs="Times New Roman"/>
                <w:sz w:val="22"/>
                <w:szCs w:val="24"/>
                <w:vertAlign w:val="superscript"/>
              </w:rPr>
            </w:pPr>
            <w:r w:rsidRPr="00AD67C2">
              <w:rPr>
                <w:rFonts w:ascii="Garamond" w:eastAsia="Times New Roman" w:hAnsi="Garamond" w:cs="Times New Roman"/>
                <w:b/>
                <w:sz w:val="22"/>
                <w:szCs w:val="24"/>
              </w:rPr>
              <w:t xml:space="preserve">3. Заявленные параметры снижения потребления электроэнергии объектом регулирования </w:t>
            </w:r>
            <w:r w:rsidRPr="00AD67C2">
              <w:rPr>
                <w:rFonts w:ascii="Garamond" w:eastAsia="Times New Roman" w:hAnsi="Garamond" w:cs="Times New Roman"/>
                <w:b/>
                <w:sz w:val="22"/>
                <w:szCs w:val="24"/>
                <w:vertAlign w:val="superscript"/>
              </w:rPr>
              <w:t>3</w:t>
            </w:r>
          </w:p>
        </w:tc>
      </w:tr>
      <w:tr w:rsidR="001333B2" w:rsidRPr="00AD67C2" w14:paraId="0E7636D3" w14:textId="77777777" w:rsidTr="003938D9">
        <w:trPr>
          <w:trHeight w:val="567"/>
        </w:trPr>
        <w:tc>
          <w:tcPr>
            <w:tcW w:w="4389" w:type="dxa"/>
            <w:gridSpan w:val="4"/>
            <w:shd w:val="clear" w:color="auto" w:fill="D9D9D9"/>
            <w:vAlign w:val="center"/>
          </w:tcPr>
          <w:p w14:paraId="667D0362" w14:textId="79F1339F" w:rsidR="001333B2" w:rsidRPr="00AD67C2" w:rsidRDefault="001333B2" w:rsidP="001333B2">
            <w:pPr>
              <w:suppressAutoHyphens w:val="0"/>
              <w:jc w:val="both"/>
              <w:rPr>
                <w:rFonts w:ascii="Garamond" w:eastAsia="Times New Roman" w:hAnsi="Garamond" w:cs="Times New Roman"/>
                <w:sz w:val="22"/>
                <w:szCs w:val="24"/>
              </w:rPr>
            </w:pPr>
            <w:r w:rsidRPr="00AD67C2">
              <w:rPr>
                <w:rFonts w:ascii="Garamond" w:eastAsia="Times New Roman" w:hAnsi="Garamond" w:cs="Times New Roman"/>
                <w:sz w:val="22"/>
                <w:szCs w:val="24"/>
              </w:rPr>
              <w:t>Объ</w:t>
            </w:r>
            <w:r w:rsidR="00BC4FC4">
              <w:rPr>
                <w:rFonts w:ascii="Garamond" w:eastAsia="Times New Roman" w:hAnsi="Garamond" w:cs="Times New Roman"/>
                <w:sz w:val="22"/>
                <w:szCs w:val="24"/>
              </w:rPr>
              <w:t>е</w:t>
            </w:r>
            <w:r w:rsidRPr="00AD67C2">
              <w:rPr>
                <w:rFonts w:ascii="Garamond" w:eastAsia="Times New Roman" w:hAnsi="Garamond" w:cs="Times New Roman"/>
                <w:sz w:val="22"/>
                <w:szCs w:val="24"/>
              </w:rPr>
              <w:t>м снижения потребления электроэнергии, МВт</w:t>
            </w:r>
          </w:p>
        </w:tc>
        <w:tc>
          <w:tcPr>
            <w:tcW w:w="4970" w:type="dxa"/>
            <w:gridSpan w:val="2"/>
            <w:vAlign w:val="center"/>
          </w:tcPr>
          <w:p w14:paraId="64F7B8B7" w14:textId="3E257E49" w:rsidR="001333B2" w:rsidRPr="00AD67C2" w:rsidRDefault="001333B2" w:rsidP="00BC4FC4">
            <w:pPr>
              <w:suppressAutoHyphens w:val="0"/>
              <w:jc w:val="both"/>
              <w:rPr>
                <w:rFonts w:ascii="Garamond" w:eastAsia="Times New Roman" w:hAnsi="Garamond" w:cs="Times New Roman"/>
                <w:i/>
                <w:sz w:val="22"/>
                <w:szCs w:val="24"/>
              </w:rPr>
            </w:pPr>
            <w:r w:rsidRPr="00AD67C2">
              <w:rPr>
                <w:rFonts w:ascii="Garamond" w:eastAsia="Times New Roman" w:hAnsi="Garamond" w:cs="Times New Roman"/>
                <w:i/>
                <w:sz w:val="22"/>
                <w:szCs w:val="24"/>
              </w:rPr>
              <w:t>Заявленный для аттестации объем снижения потребления электроэнергии в МВт с точностью до 4 знаков после запятой</w:t>
            </w:r>
          </w:p>
        </w:tc>
      </w:tr>
      <w:tr w:rsidR="001333B2" w:rsidRPr="00AD67C2" w14:paraId="723C5581" w14:textId="77777777" w:rsidTr="003938D9">
        <w:trPr>
          <w:trHeight w:val="567"/>
        </w:trPr>
        <w:tc>
          <w:tcPr>
            <w:tcW w:w="4389" w:type="dxa"/>
            <w:gridSpan w:val="4"/>
            <w:shd w:val="clear" w:color="auto" w:fill="D9D9D9"/>
            <w:vAlign w:val="center"/>
          </w:tcPr>
          <w:p w14:paraId="6821F72B" w14:textId="77777777" w:rsidR="001333B2" w:rsidRPr="00AD67C2" w:rsidRDefault="001333B2" w:rsidP="001333B2">
            <w:pPr>
              <w:suppressAutoHyphens w:val="0"/>
              <w:jc w:val="both"/>
              <w:rPr>
                <w:rFonts w:ascii="Garamond" w:eastAsia="Times New Roman" w:hAnsi="Garamond" w:cs="Times New Roman"/>
                <w:sz w:val="22"/>
                <w:szCs w:val="24"/>
              </w:rPr>
            </w:pPr>
            <w:r w:rsidRPr="00AD67C2">
              <w:rPr>
                <w:rFonts w:ascii="Garamond" w:eastAsia="Times New Roman" w:hAnsi="Garamond" w:cs="Times New Roman"/>
                <w:sz w:val="22"/>
                <w:szCs w:val="24"/>
              </w:rPr>
              <w:t>Длительность снижения потребления электроэнергии, ч</w:t>
            </w:r>
          </w:p>
        </w:tc>
        <w:tc>
          <w:tcPr>
            <w:tcW w:w="4970" w:type="dxa"/>
            <w:gridSpan w:val="2"/>
            <w:vAlign w:val="center"/>
          </w:tcPr>
          <w:p w14:paraId="7A142780" w14:textId="77777777" w:rsidR="001333B2" w:rsidRPr="00AD67C2" w:rsidRDefault="001333B2" w:rsidP="001333B2">
            <w:pPr>
              <w:suppressAutoHyphens w:val="0"/>
              <w:jc w:val="both"/>
              <w:rPr>
                <w:rFonts w:ascii="Garamond" w:eastAsia="Times New Roman" w:hAnsi="Garamond" w:cs="Times New Roman"/>
                <w:sz w:val="22"/>
                <w:szCs w:val="24"/>
              </w:rPr>
            </w:pPr>
            <w:r w:rsidRPr="00AD67C2">
              <w:rPr>
                <w:rFonts w:ascii="Garamond" w:eastAsia="Times New Roman" w:hAnsi="Garamond" w:cs="Times New Roman"/>
                <w:i/>
                <w:sz w:val="22"/>
                <w:szCs w:val="24"/>
              </w:rPr>
              <w:t>Заявленная для аттестации непрерывная длительность снижения потребления электроэнергии в целых часах от 1 до 4</w:t>
            </w:r>
          </w:p>
        </w:tc>
      </w:tr>
      <w:tr w:rsidR="001333B2" w:rsidRPr="00AD67C2" w14:paraId="1F153707" w14:textId="77777777" w:rsidTr="003938D9">
        <w:trPr>
          <w:trHeight w:val="567"/>
        </w:trPr>
        <w:tc>
          <w:tcPr>
            <w:tcW w:w="4389" w:type="dxa"/>
            <w:gridSpan w:val="4"/>
            <w:shd w:val="clear" w:color="auto" w:fill="D9D9D9"/>
            <w:vAlign w:val="center"/>
          </w:tcPr>
          <w:p w14:paraId="0FA92762" w14:textId="77777777" w:rsidR="001333B2" w:rsidRPr="00AD67C2" w:rsidRDefault="001333B2" w:rsidP="001333B2">
            <w:pPr>
              <w:suppressAutoHyphens w:val="0"/>
              <w:jc w:val="both"/>
              <w:rPr>
                <w:rFonts w:ascii="Garamond" w:eastAsia="Times New Roman" w:hAnsi="Garamond" w:cs="Times New Roman"/>
                <w:sz w:val="22"/>
                <w:szCs w:val="24"/>
              </w:rPr>
            </w:pPr>
            <w:r w:rsidRPr="00AD67C2">
              <w:rPr>
                <w:rFonts w:ascii="Garamond" w:eastAsia="Times New Roman" w:hAnsi="Garamond" w:cs="Times New Roman"/>
                <w:sz w:val="22"/>
                <w:szCs w:val="24"/>
              </w:rPr>
              <w:t>Метод определения объема услуг</w:t>
            </w:r>
          </w:p>
        </w:tc>
        <w:tc>
          <w:tcPr>
            <w:tcW w:w="4970" w:type="dxa"/>
            <w:gridSpan w:val="2"/>
            <w:vAlign w:val="center"/>
          </w:tcPr>
          <w:p w14:paraId="67589545" w14:textId="77777777" w:rsidR="001333B2" w:rsidRPr="00AD67C2" w:rsidRDefault="001333B2" w:rsidP="001333B2">
            <w:pPr>
              <w:suppressAutoHyphens w:val="0"/>
              <w:jc w:val="both"/>
              <w:rPr>
                <w:rFonts w:ascii="Garamond" w:eastAsia="Times New Roman" w:hAnsi="Garamond" w:cs="Times New Roman"/>
                <w:i/>
                <w:sz w:val="22"/>
                <w:szCs w:val="24"/>
              </w:rPr>
            </w:pPr>
            <w:r w:rsidRPr="00AD67C2">
              <w:rPr>
                <w:rFonts w:ascii="Garamond" w:eastAsia="Times New Roman" w:hAnsi="Garamond" w:cs="Times New Roman"/>
                <w:i/>
                <w:sz w:val="22"/>
                <w:szCs w:val="24"/>
              </w:rPr>
              <w:t>Указывается один из методов определения объема услуг:</w:t>
            </w:r>
          </w:p>
          <w:p w14:paraId="4C635A86" w14:textId="77777777" w:rsidR="001333B2" w:rsidRPr="00AD67C2" w:rsidRDefault="001333B2" w:rsidP="001333B2">
            <w:pPr>
              <w:suppressAutoHyphens w:val="0"/>
              <w:jc w:val="both"/>
              <w:rPr>
                <w:rFonts w:ascii="Garamond" w:eastAsia="Times New Roman" w:hAnsi="Garamond" w:cs="Times New Roman"/>
                <w:i/>
                <w:sz w:val="22"/>
                <w:szCs w:val="24"/>
              </w:rPr>
            </w:pPr>
            <w:r w:rsidRPr="00AD67C2">
              <w:rPr>
                <w:rFonts w:ascii="Garamond" w:eastAsia="Times New Roman" w:hAnsi="Garamond" w:cs="Times New Roman"/>
                <w:i/>
                <w:sz w:val="22"/>
                <w:szCs w:val="24"/>
              </w:rPr>
              <w:t xml:space="preserve">– график базовой нагрузки по объекту регулирования, </w:t>
            </w:r>
          </w:p>
          <w:p w14:paraId="1A949415" w14:textId="77777777" w:rsidR="001333B2" w:rsidRPr="00AD67C2" w:rsidRDefault="001333B2" w:rsidP="001333B2">
            <w:pPr>
              <w:suppressAutoHyphens w:val="0"/>
              <w:jc w:val="both"/>
              <w:rPr>
                <w:rFonts w:ascii="Garamond" w:eastAsia="Times New Roman" w:hAnsi="Garamond" w:cs="Times New Roman"/>
                <w:i/>
                <w:sz w:val="22"/>
                <w:szCs w:val="24"/>
              </w:rPr>
            </w:pPr>
            <w:r w:rsidRPr="00AD67C2">
              <w:rPr>
                <w:rFonts w:ascii="Garamond" w:eastAsia="Times New Roman" w:hAnsi="Garamond" w:cs="Times New Roman"/>
                <w:i/>
                <w:sz w:val="22"/>
                <w:szCs w:val="24"/>
              </w:rPr>
              <w:t xml:space="preserve">– максимальная базовая нагрузка по объекту регулирования, </w:t>
            </w:r>
          </w:p>
          <w:p w14:paraId="5101B575" w14:textId="77777777" w:rsidR="001333B2" w:rsidRPr="00AD67C2" w:rsidRDefault="001333B2" w:rsidP="001333B2">
            <w:pPr>
              <w:suppressAutoHyphens w:val="0"/>
              <w:jc w:val="both"/>
              <w:rPr>
                <w:rFonts w:ascii="Garamond" w:eastAsia="Times New Roman" w:hAnsi="Garamond" w:cs="Times New Roman"/>
                <w:i/>
                <w:sz w:val="22"/>
                <w:szCs w:val="24"/>
              </w:rPr>
            </w:pPr>
            <w:r w:rsidRPr="00AD67C2">
              <w:rPr>
                <w:rFonts w:ascii="Garamond" w:eastAsia="Times New Roman" w:hAnsi="Garamond" w:cs="Times New Roman"/>
                <w:i/>
                <w:sz w:val="22"/>
                <w:szCs w:val="24"/>
              </w:rPr>
              <w:t xml:space="preserve">– заявленный график нагрузки по объекту регулирования, </w:t>
            </w:r>
          </w:p>
          <w:p w14:paraId="499B1C73" w14:textId="77777777" w:rsidR="001333B2" w:rsidRPr="00AD67C2" w:rsidRDefault="001333B2" w:rsidP="001333B2">
            <w:pPr>
              <w:suppressAutoHyphens w:val="0"/>
              <w:jc w:val="both"/>
              <w:rPr>
                <w:rFonts w:ascii="Garamond" w:eastAsia="Times New Roman" w:hAnsi="Garamond" w:cs="Times New Roman"/>
                <w:i/>
                <w:sz w:val="22"/>
                <w:szCs w:val="24"/>
              </w:rPr>
            </w:pPr>
            <w:r w:rsidRPr="00AD67C2">
              <w:rPr>
                <w:rFonts w:ascii="Garamond" w:eastAsia="Times New Roman" w:hAnsi="Garamond" w:cs="Times New Roman"/>
                <w:i/>
                <w:sz w:val="22"/>
                <w:szCs w:val="24"/>
              </w:rPr>
              <w:t xml:space="preserve">– график базовой нагрузки по агрегированному объекту управления, </w:t>
            </w:r>
          </w:p>
          <w:p w14:paraId="5E9F4489" w14:textId="77777777" w:rsidR="001333B2" w:rsidRPr="00AD67C2" w:rsidRDefault="001333B2" w:rsidP="001333B2">
            <w:pPr>
              <w:suppressAutoHyphens w:val="0"/>
              <w:jc w:val="both"/>
              <w:rPr>
                <w:rFonts w:ascii="Garamond" w:eastAsia="Times New Roman" w:hAnsi="Garamond" w:cs="Times New Roman"/>
                <w:sz w:val="22"/>
                <w:szCs w:val="24"/>
              </w:rPr>
            </w:pPr>
            <w:r w:rsidRPr="00AD67C2">
              <w:rPr>
                <w:rFonts w:ascii="Garamond" w:eastAsia="Times New Roman" w:hAnsi="Garamond" w:cs="Times New Roman"/>
                <w:i/>
                <w:sz w:val="22"/>
                <w:szCs w:val="24"/>
              </w:rPr>
              <w:t>– заявленный график нагрузки по агрегированному объекту управления</w:t>
            </w:r>
          </w:p>
        </w:tc>
      </w:tr>
      <w:tr w:rsidR="001333B2" w:rsidRPr="00AD67C2" w14:paraId="4EA3A95E" w14:textId="77777777" w:rsidTr="003938D9">
        <w:trPr>
          <w:trHeight w:val="567"/>
        </w:trPr>
        <w:tc>
          <w:tcPr>
            <w:tcW w:w="4389" w:type="dxa"/>
            <w:gridSpan w:val="4"/>
            <w:shd w:val="clear" w:color="auto" w:fill="D9D9D9"/>
            <w:vAlign w:val="center"/>
          </w:tcPr>
          <w:p w14:paraId="0BECD9AB" w14:textId="77777777" w:rsidR="001333B2" w:rsidRPr="00AD67C2" w:rsidRDefault="001333B2" w:rsidP="001333B2">
            <w:pPr>
              <w:suppressAutoHyphens w:val="0"/>
              <w:jc w:val="both"/>
              <w:rPr>
                <w:rFonts w:ascii="Garamond" w:eastAsia="Times New Roman" w:hAnsi="Garamond" w:cs="Times New Roman"/>
                <w:sz w:val="22"/>
                <w:szCs w:val="24"/>
              </w:rPr>
            </w:pPr>
            <w:r w:rsidRPr="00AD67C2">
              <w:rPr>
                <w:rFonts w:ascii="Garamond" w:eastAsia="Times New Roman" w:hAnsi="Garamond" w:cs="Times New Roman"/>
                <w:sz w:val="22"/>
                <w:szCs w:val="24"/>
              </w:rPr>
              <w:t>Тип подстройки</w:t>
            </w:r>
          </w:p>
        </w:tc>
        <w:tc>
          <w:tcPr>
            <w:tcW w:w="4970" w:type="dxa"/>
            <w:gridSpan w:val="2"/>
            <w:vAlign w:val="center"/>
          </w:tcPr>
          <w:p w14:paraId="18672B99" w14:textId="77777777" w:rsidR="001333B2" w:rsidRPr="00AD67C2" w:rsidRDefault="001333B2" w:rsidP="001333B2">
            <w:pPr>
              <w:suppressAutoHyphens w:val="0"/>
              <w:jc w:val="both"/>
              <w:rPr>
                <w:rFonts w:ascii="Garamond" w:eastAsia="Times New Roman" w:hAnsi="Garamond" w:cs="Times New Roman"/>
                <w:i/>
                <w:sz w:val="22"/>
                <w:szCs w:val="24"/>
              </w:rPr>
            </w:pPr>
            <w:r w:rsidRPr="00AD67C2">
              <w:rPr>
                <w:rFonts w:ascii="Garamond" w:eastAsia="Times New Roman" w:hAnsi="Garamond" w:cs="Times New Roman"/>
                <w:i/>
                <w:sz w:val="22"/>
                <w:szCs w:val="24"/>
              </w:rPr>
              <w:t>Указывается один из типов подстройки:</w:t>
            </w:r>
          </w:p>
          <w:p w14:paraId="49004215" w14:textId="77777777" w:rsidR="001333B2" w:rsidRPr="00AD67C2" w:rsidRDefault="001333B2" w:rsidP="001333B2">
            <w:pPr>
              <w:suppressAutoHyphens w:val="0"/>
              <w:jc w:val="both"/>
              <w:rPr>
                <w:rFonts w:ascii="Garamond" w:eastAsia="Times New Roman" w:hAnsi="Garamond" w:cs="Times New Roman"/>
                <w:i/>
                <w:sz w:val="22"/>
                <w:szCs w:val="24"/>
              </w:rPr>
            </w:pPr>
            <w:r w:rsidRPr="00AD67C2">
              <w:rPr>
                <w:rFonts w:ascii="Garamond" w:eastAsia="Times New Roman" w:hAnsi="Garamond" w:cs="Times New Roman"/>
                <w:i/>
                <w:sz w:val="22"/>
                <w:szCs w:val="24"/>
              </w:rPr>
              <w:t>– подстройка не осуществляется,</w:t>
            </w:r>
          </w:p>
          <w:p w14:paraId="29F3EDA2" w14:textId="77777777" w:rsidR="001333B2" w:rsidRPr="00AD67C2" w:rsidRDefault="001333B2" w:rsidP="001333B2">
            <w:pPr>
              <w:suppressAutoHyphens w:val="0"/>
              <w:jc w:val="both"/>
              <w:rPr>
                <w:rFonts w:ascii="Garamond" w:eastAsia="Times New Roman" w:hAnsi="Garamond" w:cs="Times New Roman"/>
                <w:i/>
                <w:sz w:val="22"/>
                <w:szCs w:val="24"/>
              </w:rPr>
            </w:pPr>
            <w:r w:rsidRPr="00AD67C2">
              <w:rPr>
                <w:rFonts w:ascii="Garamond" w:eastAsia="Times New Roman" w:hAnsi="Garamond" w:cs="Times New Roman"/>
                <w:i/>
                <w:sz w:val="22"/>
                <w:szCs w:val="24"/>
              </w:rPr>
              <w:t>– подстройка осуществляется для всех рабочих дней,</w:t>
            </w:r>
          </w:p>
          <w:p w14:paraId="0DF016B4" w14:textId="77777777" w:rsidR="001333B2" w:rsidRPr="00AD67C2" w:rsidRDefault="001333B2" w:rsidP="001333B2">
            <w:pPr>
              <w:suppressAutoHyphens w:val="0"/>
              <w:jc w:val="both"/>
              <w:rPr>
                <w:rFonts w:ascii="Garamond" w:eastAsia="Times New Roman" w:hAnsi="Garamond" w:cs="Times New Roman"/>
                <w:sz w:val="22"/>
                <w:szCs w:val="24"/>
              </w:rPr>
            </w:pPr>
            <w:r w:rsidRPr="00AD67C2">
              <w:rPr>
                <w:rFonts w:ascii="Garamond" w:eastAsia="Times New Roman" w:hAnsi="Garamond" w:cs="Times New Roman"/>
                <w:i/>
                <w:sz w:val="22"/>
                <w:szCs w:val="24"/>
              </w:rPr>
              <w:t>– подстройка осуществляется для рабочих дней, которым вчера предшествовал рабочий день</w:t>
            </w:r>
          </w:p>
        </w:tc>
      </w:tr>
      <w:tr w:rsidR="001333B2" w:rsidRPr="00AD67C2" w14:paraId="3A7EDA0C" w14:textId="77777777" w:rsidTr="0064152E">
        <w:trPr>
          <w:trHeight w:val="567"/>
        </w:trPr>
        <w:tc>
          <w:tcPr>
            <w:tcW w:w="9359" w:type="dxa"/>
            <w:gridSpan w:val="6"/>
            <w:shd w:val="clear" w:color="auto" w:fill="D9D9D9"/>
            <w:vAlign w:val="center"/>
          </w:tcPr>
          <w:p w14:paraId="6C84B774" w14:textId="6399B74B" w:rsidR="001333B2" w:rsidRPr="00AD67C2" w:rsidRDefault="00DC1165" w:rsidP="001333B2">
            <w:pPr>
              <w:suppressAutoHyphens w:val="0"/>
              <w:jc w:val="both"/>
              <w:rPr>
                <w:rFonts w:ascii="Garamond" w:eastAsia="Times New Roman" w:hAnsi="Garamond" w:cs="Times New Roman"/>
                <w:b/>
                <w:sz w:val="22"/>
                <w:szCs w:val="24"/>
                <w:vertAlign w:val="superscript"/>
              </w:rPr>
            </w:pPr>
            <w:r w:rsidRPr="00AD67C2">
              <w:rPr>
                <w:rFonts w:ascii="Garamond" w:eastAsia="Times New Roman" w:hAnsi="Garamond" w:cs="Times New Roman"/>
                <w:b/>
                <w:sz w:val="22"/>
                <w:szCs w:val="24"/>
              </w:rPr>
              <w:t>4</w:t>
            </w:r>
            <w:r w:rsidR="001333B2" w:rsidRPr="00AD67C2">
              <w:rPr>
                <w:rFonts w:ascii="Garamond" w:eastAsia="Times New Roman" w:hAnsi="Garamond" w:cs="Times New Roman"/>
                <w:b/>
                <w:sz w:val="22"/>
                <w:szCs w:val="24"/>
              </w:rPr>
              <w:t xml:space="preserve">. Наличие в составе объекта регулирования </w:t>
            </w:r>
            <w:r w:rsidR="001333B2" w:rsidRPr="00AD67C2">
              <w:rPr>
                <w:rFonts w:ascii="Garamond" w:eastAsia="Times New Roman" w:hAnsi="Garamond" w:cs="Times New Roman"/>
                <w:b/>
                <w:sz w:val="22"/>
                <w:szCs w:val="22"/>
              </w:rPr>
              <w:t>объектов по производству электрическ</w:t>
            </w:r>
            <w:r w:rsidR="00447C3E">
              <w:rPr>
                <w:rFonts w:ascii="Garamond" w:eastAsia="Times New Roman" w:hAnsi="Garamond" w:cs="Times New Roman"/>
                <w:b/>
                <w:sz w:val="22"/>
                <w:szCs w:val="22"/>
              </w:rPr>
              <w:t>ой энергии (электростанции/блок-</w:t>
            </w:r>
            <w:r w:rsidR="001333B2" w:rsidRPr="00AD67C2">
              <w:rPr>
                <w:rFonts w:ascii="Garamond" w:eastAsia="Times New Roman" w:hAnsi="Garamond" w:cs="Times New Roman"/>
                <w:b/>
                <w:sz w:val="22"/>
                <w:szCs w:val="22"/>
              </w:rPr>
              <w:t>станции)</w:t>
            </w:r>
            <w:r w:rsidR="001333B2" w:rsidRPr="00AD67C2">
              <w:rPr>
                <w:rFonts w:ascii="Garamond" w:eastAsia="Times New Roman" w:hAnsi="Garamond" w:cs="Times New Roman"/>
                <w:b/>
                <w:sz w:val="22"/>
                <w:szCs w:val="22"/>
                <w:vertAlign w:val="superscript"/>
              </w:rPr>
              <w:t xml:space="preserve"> 5</w:t>
            </w:r>
          </w:p>
        </w:tc>
      </w:tr>
      <w:tr w:rsidR="001333B2" w:rsidRPr="00AD67C2" w14:paraId="639CB782" w14:textId="77777777" w:rsidTr="003938D9">
        <w:trPr>
          <w:trHeight w:val="567"/>
        </w:trPr>
        <w:tc>
          <w:tcPr>
            <w:tcW w:w="706" w:type="dxa"/>
            <w:shd w:val="clear" w:color="auto" w:fill="D9D9D9"/>
            <w:vAlign w:val="center"/>
          </w:tcPr>
          <w:p w14:paraId="2F7FD068" w14:textId="77777777" w:rsidR="001333B2" w:rsidRPr="00AD67C2" w:rsidRDefault="001333B2" w:rsidP="001333B2">
            <w:pPr>
              <w:suppressAutoHyphens w:val="0"/>
              <w:jc w:val="center"/>
              <w:rPr>
                <w:rFonts w:ascii="Garamond" w:eastAsia="Times New Roman" w:hAnsi="Garamond" w:cs="Times New Roman"/>
                <w:sz w:val="22"/>
                <w:szCs w:val="24"/>
              </w:rPr>
            </w:pPr>
            <w:r w:rsidRPr="00AD67C2">
              <w:rPr>
                <w:rFonts w:ascii="Garamond" w:eastAsia="Times New Roman" w:hAnsi="Garamond" w:cs="Times New Roman"/>
                <w:sz w:val="22"/>
                <w:szCs w:val="24"/>
              </w:rPr>
              <w:t>№</w:t>
            </w:r>
          </w:p>
        </w:tc>
        <w:tc>
          <w:tcPr>
            <w:tcW w:w="6091" w:type="dxa"/>
            <w:gridSpan w:val="4"/>
            <w:shd w:val="clear" w:color="auto" w:fill="D9D9D9"/>
            <w:vAlign w:val="center"/>
          </w:tcPr>
          <w:p w14:paraId="556AFBA6" w14:textId="470E5DD1" w:rsidR="001333B2" w:rsidRPr="00AD67C2" w:rsidRDefault="001333B2" w:rsidP="001333B2">
            <w:pPr>
              <w:suppressAutoHyphens w:val="0"/>
              <w:jc w:val="center"/>
              <w:rPr>
                <w:rFonts w:ascii="Garamond" w:eastAsia="Times New Roman" w:hAnsi="Garamond" w:cs="Times New Roman"/>
                <w:sz w:val="22"/>
                <w:szCs w:val="24"/>
              </w:rPr>
            </w:pPr>
            <w:r w:rsidRPr="00AD67C2">
              <w:rPr>
                <w:rFonts w:ascii="Garamond" w:eastAsia="Times New Roman" w:hAnsi="Garamond" w:cs="Times New Roman"/>
                <w:sz w:val="22"/>
                <w:szCs w:val="24"/>
              </w:rPr>
              <w:t>Н</w:t>
            </w:r>
            <w:r w:rsidR="00447C3E">
              <w:rPr>
                <w:rFonts w:ascii="Garamond" w:eastAsia="Times New Roman" w:hAnsi="Garamond" w:cs="Times New Roman"/>
                <w:sz w:val="22"/>
                <w:szCs w:val="24"/>
              </w:rPr>
              <w:t>аименование электростанции/блок-</w:t>
            </w:r>
            <w:r w:rsidRPr="00AD67C2">
              <w:rPr>
                <w:rFonts w:ascii="Garamond" w:eastAsia="Times New Roman" w:hAnsi="Garamond" w:cs="Times New Roman"/>
                <w:sz w:val="22"/>
                <w:szCs w:val="24"/>
              </w:rPr>
              <w:t>станции</w:t>
            </w:r>
          </w:p>
        </w:tc>
        <w:tc>
          <w:tcPr>
            <w:tcW w:w="2562" w:type="dxa"/>
            <w:shd w:val="clear" w:color="auto" w:fill="D9D9D9"/>
            <w:vAlign w:val="center"/>
          </w:tcPr>
          <w:p w14:paraId="0444EF4B" w14:textId="77777777" w:rsidR="001333B2" w:rsidRPr="00AD67C2" w:rsidRDefault="001333B2" w:rsidP="001333B2">
            <w:pPr>
              <w:suppressAutoHyphens w:val="0"/>
              <w:jc w:val="center"/>
              <w:rPr>
                <w:rFonts w:ascii="Garamond" w:eastAsia="Times New Roman" w:hAnsi="Garamond" w:cs="Times New Roman"/>
                <w:sz w:val="22"/>
                <w:szCs w:val="24"/>
              </w:rPr>
            </w:pPr>
            <w:r w:rsidRPr="00AD67C2">
              <w:rPr>
                <w:rFonts w:ascii="Garamond" w:eastAsia="Times New Roman" w:hAnsi="Garamond" w:cs="Times New Roman"/>
                <w:sz w:val="22"/>
                <w:szCs w:val="24"/>
              </w:rPr>
              <w:t>Установленная мощность, МВт</w:t>
            </w:r>
          </w:p>
        </w:tc>
      </w:tr>
      <w:tr w:rsidR="001333B2" w:rsidRPr="00AD67C2" w14:paraId="79466695" w14:textId="77777777" w:rsidTr="003938D9">
        <w:trPr>
          <w:trHeight w:val="567"/>
        </w:trPr>
        <w:tc>
          <w:tcPr>
            <w:tcW w:w="706" w:type="dxa"/>
            <w:vAlign w:val="center"/>
          </w:tcPr>
          <w:p w14:paraId="0E38D6F6" w14:textId="77777777" w:rsidR="001333B2" w:rsidRPr="00AD67C2" w:rsidRDefault="001333B2" w:rsidP="001333B2">
            <w:pPr>
              <w:suppressAutoHyphens w:val="0"/>
              <w:jc w:val="center"/>
              <w:rPr>
                <w:rFonts w:ascii="Garamond" w:eastAsia="Times New Roman" w:hAnsi="Garamond" w:cs="Times New Roman"/>
                <w:sz w:val="22"/>
                <w:szCs w:val="24"/>
              </w:rPr>
            </w:pPr>
            <w:r w:rsidRPr="00AD67C2">
              <w:rPr>
                <w:rFonts w:ascii="Garamond" w:eastAsia="Times New Roman" w:hAnsi="Garamond" w:cs="Times New Roman"/>
                <w:sz w:val="22"/>
                <w:szCs w:val="24"/>
              </w:rPr>
              <w:t>1</w:t>
            </w:r>
          </w:p>
        </w:tc>
        <w:tc>
          <w:tcPr>
            <w:tcW w:w="6091" w:type="dxa"/>
            <w:gridSpan w:val="4"/>
            <w:vAlign w:val="center"/>
          </w:tcPr>
          <w:p w14:paraId="359B61F3" w14:textId="77777777" w:rsidR="001333B2" w:rsidRPr="00AD67C2" w:rsidRDefault="001333B2" w:rsidP="001333B2">
            <w:pPr>
              <w:suppressAutoHyphens w:val="0"/>
              <w:jc w:val="both"/>
              <w:rPr>
                <w:rFonts w:ascii="Garamond" w:eastAsia="Times New Roman" w:hAnsi="Garamond" w:cs="Times New Roman"/>
                <w:sz w:val="22"/>
                <w:szCs w:val="24"/>
              </w:rPr>
            </w:pPr>
            <w:r w:rsidRPr="00AD67C2">
              <w:rPr>
                <w:rFonts w:ascii="Garamond" w:eastAsia="Times New Roman" w:hAnsi="Garamond" w:cs="Times New Roman"/>
                <w:sz w:val="22"/>
                <w:szCs w:val="24"/>
              </w:rPr>
              <w:t>…</w:t>
            </w:r>
          </w:p>
        </w:tc>
        <w:tc>
          <w:tcPr>
            <w:tcW w:w="2562" w:type="dxa"/>
            <w:vAlign w:val="center"/>
          </w:tcPr>
          <w:p w14:paraId="2509852A" w14:textId="77777777" w:rsidR="001333B2" w:rsidRPr="00AD67C2" w:rsidRDefault="001333B2" w:rsidP="001333B2">
            <w:pPr>
              <w:suppressAutoHyphens w:val="0"/>
              <w:jc w:val="center"/>
              <w:rPr>
                <w:rFonts w:ascii="Garamond" w:eastAsia="Times New Roman" w:hAnsi="Garamond" w:cs="Times New Roman"/>
                <w:sz w:val="22"/>
                <w:szCs w:val="24"/>
              </w:rPr>
            </w:pPr>
          </w:p>
        </w:tc>
      </w:tr>
      <w:tr w:rsidR="001333B2" w:rsidRPr="00AD67C2" w14:paraId="36370C9F" w14:textId="77777777" w:rsidTr="003938D9">
        <w:trPr>
          <w:trHeight w:val="567"/>
        </w:trPr>
        <w:tc>
          <w:tcPr>
            <w:tcW w:w="706" w:type="dxa"/>
            <w:vAlign w:val="center"/>
          </w:tcPr>
          <w:p w14:paraId="1CDA6987" w14:textId="77777777" w:rsidR="001333B2" w:rsidRPr="00AD67C2" w:rsidRDefault="001333B2" w:rsidP="001333B2">
            <w:pPr>
              <w:suppressAutoHyphens w:val="0"/>
              <w:jc w:val="center"/>
              <w:rPr>
                <w:rFonts w:ascii="Garamond" w:eastAsia="Times New Roman" w:hAnsi="Garamond" w:cs="Times New Roman"/>
                <w:sz w:val="22"/>
                <w:szCs w:val="24"/>
              </w:rPr>
            </w:pPr>
            <w:r w:rsidRPr="00AD67C2">
              <w:rPr>
                <w:rFonts w:ascii="Garamond" w:eastAsia="Times New Roman" w:hAnsi="Garamond" w:cs="Times New Roman"/>
                <w:sz w:val="22"/>
                <w:szCs w:val="24"/>
                <w:lang w:val="en-US"/>
              </w:rPr>
              <w:t>N</w:t>
            </w:r>
          </w:p>
        </w:tc>
        <w:tc>
          <w:tcPr>
            <w:tcW w:w="6091" w:type="dxa"/>
            <w:gridSpan w:val="4"/>
            <w:vAlign w:val="center"/>
          </w:tcPr>
          <w:p w14:paraId="020F1C37" w14:textId="77777777" w:rsidR="001333B2" w:rsidRPr="00AD67C2" w:rsidRDefault="001333B2" w:rsidP="001333B2">
            <w:pPr>
              <w:suppressAutoHyphens w:val="0"/>
              <w:jc w:val="both"/>
              <w:rPr>
                <w:rFonts w:ascii="Garamond" w:eastAsia="Times New Roman" w:hAnsi="Garamond" w:cs="Times New Roman"/>
                <w:sz w:val="22"/>
                <w:szCs w:val="24"/>
              </w:rPr>
            </w:pPr>
            <w:r w:rsidRPr="00AD67C2">
              <w:rPr>
                <w:rFonts w:ascii="Garamond" w:eastAsia="Times New Roman" w:hAnsi="Garamond" w:cs="Times New Roman"/>
                <w:sz w:val="22"/>
                <w:szCs w:val="24"/>
              </w:rPr>
              <w:t>…</w:t>
            </w:r>
          </w:p>
        </w:tc>
        <w:tc>
          <w:tcPr>
            <w:tcW w:w="2562" w:type="dxa"/>
            <w:vAlign w:val="center"/>
          </w:tcPr>
          <w:p w14:paraId="18BA17FD" w14:textId="77777777" w:rsidR="001333B2" w:rsidRPr="00AD67C2" w:rsidRDefault="001333B2" w:rsidP="001333B2">
            <w:pPr>
              <w:suppressAutoHyphens w:val="0"/>
              <w:jc w:val="center"/>
              <w:rPr>
                <w:rFonts w:ascii="Garamond" w:eastAsia="Times New Roman" w:hAnsi="Garamond" w:cs="Times New Roman"/>
                <w:sz w:val="22"/>
                <w:szCs w:val="24"/>
              </w:rPr>
            </w:pPr>
          </w:p>
        </w:tc>
      </w:tr>
      <w:tr w:rsidR="001333B2" w:rsidRPr="00AD67C2" w14:paraId="6DD400DD" w14:textId="77777777" w:rsidTr="003938D9">
        <w:trPr>
          <w:trHeight w:val="567"/>
        </w:trPr>
        <w:tc>
          <w:tcPr>
            <w:tcW w:w="2409" w:type="dxa"/>
            <w:gridSpan w:val="2"/>
            <w:shd w:val="clear" w:color="auto" w:fill="D9D9D9"/>
            <w:vAlign w:val="center"/>
          </w:tcPr>
          <w:p w14:paraId="78EBF3B8" w14:textId="77777777" w:rsidR="001333B2" w:rsidRPr="00AD67C2" w:rsidRDefault="001333B2" w:rsidP="001333B2">
            <w:pPr>
              <w:suppressAutoHyphens w:val="0"/>
              <w:rPr>
                <w:rFonts w:ascii="Garamond" w:eastAsia="Times New Roman" w:hAnsi="Garamond" w:cs="Times New Roman"/>
                <w:sz w:val="22"/>
                <w:szCs w:val="24"/>
              </w:rPr>
            </w:pPr>
            <w:r w:rsidRPr="00AD67C2">
              <w:rPr>
                <w:rFonts w:ascii="Garamond" w:eastAsia="Times New Roman" w:hAnsi="Garamond" w:cs="Times New Roman"/>
                <w:sz w:val="22"/>
                <w:szCs w:val="24"/>
              </w:rPr>
              <w:t>Вид изменения</w:t>
            </w:r>
            <w:r w:rsidRPr="00AD67C2">
              <w:rPr>
                <w:rFonts w:ascii="Garamond" w:eastAsia="Times New Roman" w:hAnsi="Garamond" w:cs="Times New Roman"/>
                <w:sz w:val="22"/>
                <w:szCs w:val="24"/>
                <w:vertAlign w:val="superscript"/>
              </w:rPr>
              <w:t xml:space="preserve"> 1</w:t>
            </w:r>
          </w:p>
        </w:tc>
        <w:tc>
          <w:tcPr>
            <w:tcW w:w="6950" w:type="dxa"/>
            <w:gridSpan w:val="4"/>
            <w:vAlign w:val="center"/>
          </w:tcPr>
          <w:p w14:paraId="0EF1D062" w14:textId="77777777" w:rsidR="001333B2" w:rsidRPr="00AD67C2" w:rsidRDefault="001333B2" w:rsidP="001333B2">
            <w:pPr>
              <w:suppressAutoHyphens w:val="0"/>
              <w:jc w:val="center"/>
              <w:rPr>
                <w:rFonts w:ascii="Garamond" w:eastAsia="Times New Roman" w:hAnsi="Garamond" w:cs="Times New Roman"/>
                <w:sz w:val="22"/>
                <w:szCs w:val="24"/>
              </w:rPr>
            </w:pPr>
          </w:p>
        </w:tc>
      </w:tr>
      <w:tr w:rsidR="001333B2" w:rsidRPr="00AD67C2" w14:paraId="3994001E" w14:textId="77777777" w:rsidTr="003938D9">
        <w:trPr>
          <w:trHeight w:val="567"/>
        </w:trPr>
        <w:tc>
          <w:tcPr>
            <w:tcW w:w="2409" w:type="dxa"/>
            <w:gridSpan w:val="2"/>
            <w:shd w:val="clear" w:color="auto" w:fill="D9D9D9"/>
            <w:vAlign w:val="center"/>
          </w:tcPr>
          <w:p w14:paraId="79320023" w14:textId="77777777" w:rsidR="001333B2" w:rsidRPr="00AD67C2" w:rsidRDefault="001333B2" w:rsidP="001333B2">
            <w:pPr>
              <w:suppressAutoHyphens w:val="0"/>
              <w:rPr>
                <w:rFonts w:ascii="Garamond" w:eastAsia="Times New Roman" w:hAnsi="Garamond" w:cs="Times New Roman"/>
                <w:sz w:val="22"/>
                <w:szCs w:val="24"/>
              </w:rPr>
            </w:pPr>
            <w:r w:rsidRPr="00AD67C2">
              <w:rPr>
                <w:rFonts w:ascii="Garamond" w:eastAsia="Times New Roman" w:hAnsi="Garamond" w:cs="Times New Roman"/>
                <w:sz w:val="22"/>
                <w:szCs w:val="24"/>
              </w:rPr>
              <w:t>Основание изменения</w:t>
            </w:r>
            <w:r w:rsidRPr="00AD67C2">
              <w:rPr>
                <w:rFonts w:ascii="Garamond" w:eastAsia="Times New Roman" w:hAnsi="Garamond" w:cs="Times New Roman"/>
                <w:sz w:val="22"/>
                <w:szCs w:val="24"/>
                <w:vertAlign w:val="superscript"/>
              </w:rPr>
              <w:t xml:space="preserve"> 2</w:t>
            </w:r>
          </w:p>
        </w:tc>
        <w:tc>
          <w:tcPr>
            <w:tcW w:w="6950" w:type="dxa"/>
            <w:gridSpan w:val="4"/>
            <w:vAlign w:val="center"/>
          </w:tcPr>
          <w:p w14:paraId="0E3C479D" w14:textId="77777777" w:rsidR="001333B2" w:rsidRPr="00AD67C2" w:rsidRDefault="001333B2" w:rsidP="001333B2">
            <w:pPr>
              <w:suppressAutoHyphens w:val="0"/>
              <w:jc w:val="center"/>
              <w:rPr>
                <w:rFonts w:ascii="Garamond" w:eastAsia="Times New Roman" w:hAnsi="Garamond" w:cs="Times New Roman"/>
                <w:sz w:val="22"/>
                <w:szCs w:val="24"/>
              </w:rPr>
            </w:pPr>
          </w:p>
        </w:tc>
      </w:tr>
      <w:tr w:rsidR="001333B2" w:rsidRPr="00AD67C2" w14:paraId="7B0DCF99" w14:textId="77777777" w:rsidTr="0064152E">
        <w:trPr>
          <w:trHeight w:val="415"/>
        </w:trPr>
        <w:tc>
          <w:tcPr>
            <w:tcW w:w="9359" w:type="dxa"/>
            <w:gridSpan w:val="6"/>
            <w:shd w:val="clear" w:color="auto" w:fill="D9D9D9"/>
            <w:vAlign w:val="center"/>
          </w:tcPr>
          <w:p w14:paraId="7DD54D92" w14:textId="4C12F4F1" w:rsidR="001333B2" w:rsidRPr="00AD67C2" w:rsidRDefault="00DC1165" w:rsidP="001333B2">
            <w:pPr>
              <w:suppressAutoHyphens w:val="0"/>
              <w:jc w:val="both"/>
              <w:rPr>
                <w:rFonts w:ascii="Garamond" w:eastAsia="Times New Roman" w:hAnsi="Garamond" w:cs="Times New Roman"/>
                <w:b/>
                <w:sz w:val="22"/>
                <w:szCs w:val="24"/>
              </w:rPr>
            </w:pPr>
            <w:r w:rsidRPr="00AD67C2">
              <w:rPr>
                <w:rFonts w:ascii="Garamond" w:eastAsia="Times New Roman" w:hAnsi="Garamond" w:cs="Times New Roman"/>
                <w:b/>
                <w:sz w:val="22"/>
                <w:szCs w:val="24"/>
              </w:rPr>
              <w:t>5</w:t>
            </w:r>
            <w:r w:rsidR="001333B2" w:rsidRPr="00AD67C2">
              <w:rPr>
                <w:rFonts w:ascii="Garamond" w:eastAsia="Times New Roman" w:hAnsi="Garamond" w:cs="Times New Roman"/>
                <w:b/>
                <w:sz w:val="22"/>
                <w:szCs w:val="24"/>
              </w:rPr>
              <w:t>. Наличие в составе объекта регулирования систем накопления электрической энергии</w:t>
            </w:r>
            <w:r w:rsidR="001333B2" w:rsidRPr="00AD67C2">
              <w:rPr>
                <w:rFonts w:ascii="Garamond" w:eastAsia="Times New Roman" w:hAnsi="Garamond" w:cs="Times New Roman"/>
                <w:b/>
                <w:sz w:val="22"/>
                <w:szCs w:val="22"/>
                <w:vertAlign w:val="superscript"/>
              </w:rPr>
              <w:t xml:space="preserve"> 5</w:t>
            </w:r>
          </w:p>
        </w:tc>
      </w:tr>
      <w:tr w:rsidR="001333B2" w:rsidRPr="00AD67C2" w14:paraId="6ACC9355" w14:textId="77777777" w:rsidTr="003938D9">
        <w:trPr>
          <w:trHeight w:val="567"/>
        </w:trPr>
        <w:tc>
          <w:tcPr>
            <w:tcW w:w="706" w:type="dxa"/>
            <w:shd w:val="clear" w:color="auto" w:fill="D9D9D9"/>
            <w:vAlign w:val="center"/>
          </w:tcPr>
          <w:p w14:paraId="5BE220A2" w14:textId="77777777" w:rsidR="001333B2" w:rsidRPr="00AD67C2" w:rsidRDefault="001333B2" w:rsidP="001333B2">
            <w:pPr>
              <w:suppressAutoHyphens w:val="0"/>
              <w:jc w:val="center"/>
              <w:rPr>
                <w:rFonts w:ascii="Garamond" w:eastAsia="Times New Roman" w:hAnsi="Garamond" w:cs="Times New Roman"/>
                <w:sz w:val="22"/>
                <w:szCs w:val="24"/>
              </w:rPr>
            </w:pPr>
            <w:r w:rsidRPr="00AD67C2">
              <w:rPr>
                <w:rFonts w:ascii="Garamond" w:eastAsia="Times New Roman" w:hAnsi="Garamond" w:cs="Times New Roman"/>
                <w:sz w:val="22"/>
                <w:szCs w:val="24"/>
              </w:rPr>
              <w:t>№</w:t>
            </w:r>
          </w:p>
        </w:tc>
        <w:tc>
          <w:tcPr>
            <w:tcW w:w="3683" w:type="dxa"/>
            <w:gridSpan w:val="3"/>
            <w:shd w:val="clear" w:color="auto" w:fill="D9D9D9"/>
            <w:vAlign w:val="center"/>
          </w:tcPr>
          <w:p w14:paraId="0D0AD107" w14:textId="77777777" w:rsidR="001333B2" w:rsidRPr="00AD67C2" w:rsidRDefault="001333B2" w:rsidP="001333B2">
            <w:pPr>
              <w:suppressAutoHyphens w:val="0"/>
              <w:jc w:val="center"/>
              <w:rPr>
                <w:rFonts w:ascii="Garamond" w:eastAsia="Times New Roman" w:hAnsi="Garamond" w:cs="Times New Roman"/>
                <w:sz w:val="22"/>
                <w:szCs w:val="24"/>
              </w:rPr>
            </w:pPr>
            <w:r w:rsidRPr="00AD67C2">
              <w:rPr>
                <w:rFonts w:ascii="Garamond" w:eastAsia="Times New Roman" w:hAnsi="Garamond" w:cs="Times New Roman"/>
                <w:sz w:val="22"/>
                <w:szCs w:val="24"/>
              </w:rPr>
              <w:t xml:space="preserve">Наименование </w:t>
            </w:r>
            <w:r w:rsidRPr="00AD67C2">
              <w:rPr>
                <w:rFonts w:ascii="Garamond" w:eastAsia="Times New Roman" w:hAnsi="Garamond" w:cs="Times New Roman"/>
                <w:sz w:val="22"/>
                <w:szCs w:val="22"/>
              </w:rPr>
              <w:t>системы накопления электрической энергии</w:t>
            </w:r>
          </w:p>
        </w:tc>
        <w:tc>
          <w:tcPr>
            <w:tcW w:w="2408" w:type="dxa"/>
            <w:shd w:val="clear" w:color="auto" w:fill="D9D9D9"/>
            <w:vAlign w:val="center"/>
          </w:tcPr>
          <w:p w14:paraId="7301BBC7" w14:textId="77777777" w:rsidR="001333B2" w:rsidRPr="00AD67C2" w:rsidRDefault="001333B2" w:rsidP="001333B2">
            <w:pPr>
              <w:suppressAutoHyphens w:val="0"/>
              <w:jc w:val="center"/>
              <w:rPr>
                <w:rFonts w:ascii="Garamond" w:eastAsia="Times New Roman" w:hAnsi="Garamond" w:cs="Times New Roman"/>
                <w:sz w:val="22"/>
                <w:szCs w:val="24"/>
              </w:rPr>
            </w:pPr>
            <w:r w:rsidRPr="00AD67C2">
              <w:rPr>
                <w:rFonts w:ascii="Garamond" w:eastAsia="Times New Roman" w:hAnsi="Garamond" w:cs="Times New Roman"/>
                <w:sz w:val="22"/>
                <w:szCs w:val="24"/>
              </w:rPr>
              <w:t>Установленная мощность, МВт</w:t>
            </w:r>
          </w:p>
        </w:tc>
        <w:tc>
          <w:tcPr>
            <w:tcW w:w="2562" w:type="dxa"/>
            <w:shd w:val="clear" w:color="auto" w:fill="D9D9D9"/>
            <w:vAlign w:val="center"/>
          </w:tcPr>
          <w:p w14:paraId="248DB103" w14:textId="0C54AE86" w:rsidR="001333B2" w:rsidRPr="00AD67C2" w:rsidRDefault="001333B2" w:rsidP="00447C3E">
            <w:pPr>
              <w:suppressAutoHyphens w:val="0"/>
              <w:jc w:val="center"/>
              <w:rPr>
                <w:rFonts w:ascii="Garamond" w:eastAsia="Times New Roman" w:hAnsi="Garamond" w:cs="Times New Roman"/>
                <w:sz w:val="22"/>
                <w:szCs w:val="24"/>
              </w:rPr>
            </w:pPr>
            <w:r w:rsidRPr="00AD67C2">
              <w:rPr>
                <w:rFonts w:ascii="Garamond" w:eastAsia="Times New Roman" w:hAnsi="Garamond" w:cs="Times New Roman"/>
                <w:sz w:val="22"/>
                <w:szCs w:val="24"/>
              </w:rPr>
              <w:t>Энергоемкость, МВт</w:t>
            </w:r>
            <w:r w:rsidR="00447C3E">
              <w:rPr>
                <w:rFonts w:ascii="Garamond" w:eastAsia="Times New Roman" w:hAnsi="Garamond" w:cs="Times New Roman"/>
                <w:sz w:val="22"/>
                <w:szCs w:val="24"/>
              </w:rPr>
              <w:t>∙</w:t>
            </w:r>
            <w:r w:rsidRPr="00AD67C2">
              <w:rPr>
                <w:rFonts w:ascii="Garamond" w:eastAsia="Times New Roman" w:hAnsi="Garamond" w:cs="Times New Roman"/>
                <w:sz w:val="22"/>
                <w:szCs w:val="24"/>
              </w:rPr>
              <w:t>ч</w:t>
            </w:r>
          </w:p>
        </w:tc>
      </w:tr>
      <w:tr w:rsidR="001333B2" w:rsidRPr="00AD67C2" w14:paraId="2F06DEFB" w14:textId="77777777" w:rsidTr="003938D9">
        <w:trPr>
          <w:trHeight w:val="567"/>
        </w:trPr>
        <w:tc>
          <w:tcPr>
            <w:tcW w:w="706" w:type="dxa"/>
            <w:vAlign w:val="center"/>
          </w:tcPr>
          <w:p w14:paraId="453D1C83" w14:textId="77777777" w:rsidR="001333B2" w:rsidRPr="00AD67C2" w:rsidRDefault="001333B2" w:rsidP="001333B2">
            <w:pPr>
              <w:suppressAutoHyphens w:val="0"/>
              <w:jc w:val="center"/>
              <w:rPr>
                <w:rFonts w:ascii="Garamond" w:eastAsia="Times New Roman" w:hAnsi="Garamond" w:cs="Times New Roman"/>
                <w:sz w:val="22"/>
                <w:szCs w:val="24"/>
              </w:rPr>
            </w:pPr>
            <w:r w:rsidRPr="00AD67C2">
              <w:rPr>
                <w:rFonts w:ascii="Garamond" w:eastAsia="Times New Roman" w:hAnsi="Garamond" w:cs="Times New Roman"/>
                <w:sz w:val="22"/>
                <w:szCs w:val="24"/>
              </w:rPr>
              <w:t>1</w:t>
            </w:r>
          </w:p>
        </w:tc>
        <w:tc>
          <w:tcPr>
            <w:tcW w:w="3683" w:type="dxa"/>
            <w:gridSpan w:val="3"/>
            <w:vAlign w:val="center"/>
          </w:tcPr>
          <w:p w14:paraId="547BB883" w14:textId="77777777" w:rsidR="001333B2" w:rsidRPr="00AD67C2" w:rsidRDefault="001333B2" w:rsidP="001333B2">
            <w:pPr>
              <w:suppressAutoHyphens w:val="0"/>
              <w:jc w:val="both"/>
              <w:rPr>
                <w:rFonts w:ascii="Garamond" w:eastAsia="Times New Roman" w:hAnsi="Garamond" w:cs="Times New Roman"/>
                <w:sz w:val="22"/>
                <w:szCs w:val="24"/>
              </w:rPr>
            </w:pPr>
            <w:r w:rsidRPr="00AD67C2">
              <w:rPr>
                <w:rFonts w:ascii="Garamond" w:eastAsia="Times New Roman" w:hAnsi="Garamond" w:cs="Times New Roman"/>
                <w:sz w:val="22"/>
                <w:szCs w:val="24"/>
              </w:rPr>
              <w:t>…</w:t>
            </w:r>
          </w:p>
        </w:tc>
        <w:tc>
          <w:tcPr>
            <w:tcW w:w="2408" w:type="dxa"/>
            <w:vAlign w:val="center"/>
          </w:tcPr>
          <w:p w14:paraId="29625B26" w14:textId="77777777" w:rsidR="001333B2" w:rsidRPr="00AD67C2" w:rsidRDefault="001333B2" w:rsidP="001333B2">
            <w:pPr>
              <w:suppressAutoHyphens w:val="0"/>
              <w:jc w:val="both"/>
              <w:rPr>
                <w:rFonts w:ascii="Garamond" w:eastAsia="Times New Roman" w:hAnsi="Garamond" w:cs="Times New Roman"/>
                <w:sz w:val="22"/>
                <w:szCs w:val="24"/>
              </w:rPr>
            </w:pPr>
          </w:p>
        </w:tc>
        <w:tc>
          <w:tcPr>
            <w:tcW w:w="2562" w:type="dxa"/>
            <w:vAlign w:val="center"/>
          </w:tcPr>
          <w:p w14:paraId="3D4F8750" w14:textId="77777777" w:rsidR="001333B2" w:rsidRPr="00AD67C2" w:rsidRDefault="001333B2" w:rsidP="001333B2">
            <w:pPr>
              <w:suppressAutoHyphens w:val="0"/>
              <w:jc w:val="center"/>
              <w:rPr>
                <w:rFonts w:ascii="Garamond" w:eastAsia="Times New Roman" w:hAnsi="Garamond" w:cs="Times New Roman"/>
                <w:sz w:val="22"/>
                <w:szCs w:val="24"/>
              </w:rPr>
            </w:pPr>
          </w:p>
        </w:tc>
      </w:tr>
      <w:tr w:rsidR="001333B2" w:rsidRPr="00AD67C2" w14:paraId="1F0E8A83" w14:textId="77777777" w:rsidTr="003938D9">
        <w:trPr>
          <w:trHeight w:val="567"/>
        </w:trPr>
        <w:tc>
          <w:tcPr>
            <w:tcW w:w="706" w:type="dxa"/>
            <w:vAlign w:val="center"/>
          </w:tcPr>
          <w:p w14:paraId="35A511A2" w14:textId="77777777" w:rsidR="001333B2" w:rsidRPr="00AD67C2" w:rsidRDefault="001333B2" w:rsidP="001333B2">
            <w:pPr>
              <w:suppressAutoHyphens w:val="0"/>
              <w:jc w:val="center"/>
              <w:rPr>
                <w:rFonts w:ascii="Garamond" w:eastAsia="Times New Roman" w:hAnsi="Garamond" w:cs="Times New Roman"/>
                <w:sz w:val="22"/>
                <w:szCs w:val="24"/>
              </w:rPr>
            </w:pPr>
            <w:r w:rsidRPr="00AD67C2">
              <w:rPr>
                <w:rFonts w:ascii="Garamond" w:eastAsia="Times New Roman" w:hAnsi="Garamond" w:cs="Times New Roman"/>
                <w:sz w:val="22"/>
                <w:szCs w:val="24"/>
                <w:lang w:val="en-US"/>
              </w:rPr>
              <w:lastRenderedPageBreak/>
              <w:t>N</w:t>
            </w:r>
          </w:p>
        </w:tc>
        <w:tc>
          <w:tcPr>
            <w:tcW w:w="3683" w:type="dxa"/>
            <w:gridSpan w:val="3"/>
            <w:vAlign w:val="center"/>
          </w:tcPr>
          <w:p w14:paraId="18A25483" w14:textId="77777777" w:rsidR="001333B2" w:rsidRPr="00AD67C2" w:rsidRDefault="001333B2" w:rsidP="001333B2">
            <w:pPr>
              <w:suppressAutoHyphens w:val="0"/>
              <w:jc w:val="both"/>
              <w:rPr>
                <w:rFonts w:ascii="Garamond" w:eastAsia="Times New Roman" w:hAnsi="Garamond" w:cs="Times New Roman"/>
                <w:sz w:val="22"/>
                <w:szCs w:val="24"/>
              </w:rPr>
            </w:pPr>
            <w:r w:rsidRPr="00AD67C2">
              <w:rPr>
                <w:rFonts w:ascii="Garamond" w:eastAsia="Times New Roman" w:hAnsi="Garamond" w:cs="Times New Roman"/>
                <w:sz w:val="22"/>
                <w:szCs w:val="24"/>
              </w:rPr>
              <w:t>…</w:t>
            </w:r>
          </w:p>
        </w:tc>
        <w:tc>
          <w:tcPr>
            <w:tcW w:w="2408" w:type="dxa"/>
            <w:vAlign w:val="center"/>
          </w:tcPr>
          <w:p w14:paraId="2690E535" w14:textId="77777777" w:rsidR="001333B2" w:rsidRPr="00AD67C2" w:rsidRDefault="001333B2" w:rsidP="001333B2">
            <w:pPr>
              <w:suppressAutoHyphens w:val="0"/>
              <w:jc w:val="both"/>
              <w:rPr>
                <w:rFonts w:ascii="Garamond" w:eastAsia="Times New Roman" w:hAnsi="Garamond" w:cs="Times New Roman"/>
                <w:sz w:val="22"/>
                <w:szCs w:val="24"/>
              </w:rPr>
            </w:pPr>
          </w:p>
        </w:tc>
        <w:tc>
          <w:tcPr>
            <w:tcW w:w="2562" w:type="dxa"/>
            <w:vAlign w:val="center"/>
          </w:tcPr>
          <w:p w14:paraId="1FB5DDE6" w14:textId="77777777" w:rsidR="001333B2" w:rsidRPr="00AD67C2" w:rsidRDefault="001333B2" w:rsidP="001333B2">
            <w:pPr>
              <w:suppressAutoHyphens w:val="0"/>
              <w:jc w:val="center"/>
              <w:rPr>
                <w:rFonts w:ascii="Garamond" w:eastAsia="Times New Roman" w:hAnsi="Garamond" w:cs="Times New Roman"/>
                <w:sz w:val="22"/>
                <w:szCs w:val="24"/>
              </w:rPr>
            </w:pPr>
          </w:p>
        </w:tc>
      </w:tr>
      <w:tr w:rsidR="001333B2" w:rsidRPr="00AD67C2" w14:paraId="1C21BC97" w14:textId="77777777" w:rsidTr="003938D9">
        <w:trPr>
          <w:trHeight w:val="567"/>
        </w:trPr>
        <w:tc>
          <w:tcPr>
            <w:tcW w:w="2409" w:type="dxa"/>
            <w:gridSpan w:val="2"/>
            <w:shd w:val="clear" w:color="auto" w:fill="D9D9D9"/>
            <w:vAlign w:val="center"/>
          </w:tcPr>
          <w:p w14:paraId="0BE481C9" w14:textId="77777777" w:rsidR="001333B2" w:rsidRPr="00AD67C2" w:rsidRDefault="001333B2" w:rsidP="001333B2">
            <w:pPr>
              <w:suppressAutoHyphens w:val="0"/>
              <w:jc w:val="both"/>
              <w:rPr>
                <w:rFonts w:ascii="Garamond" w:eastAsia="Times New Roman" w:hAnsi="Garamond" w:cs="Times New Roman"/>
                <w:sz w:val="22"/>
                <w:szCs w:val="24"/>
              </w:rPr>
            </w:pPr>
            <w:r w:rsidRPr="00AD67C2">
              <w:rPr>
                <w:rFonts w:ascii="Garamond" w:eastAsia="Times New Roman" w:hAnsi="Garamond" w:cs="Times New Roman"/>
                <w:sz w:val="22"/>
                <w:szCs w:val="24"/>
              </w:rPr>
              <w:t>Вид изменения</w:t>
            </w:r>
            <w:r w:rsidRPr="00AD67C2">
              <w:rPr>
                <w:rFonts w:ascii="Garamond" w:eastAsia="Times New Roman" w:hAnsi="Garamond" w:cs="Times New Roman"/>
                <w:sz w:val="22"/>
                <w:szCs w:val="24"/>
                <w:vertAlign w:val="superscript"/>
              </w:rPr>
              <w:t xml:space="preserve"> 1</w:t>
            </w:r>
          </w:p>
        </w:tc>
        <w:tc>
          <w:tcPr>
            <w:tcW w:w="6950" w:type="dxa"/>
            <w:gridSpan w:val="4"/>
            <w:vAlign w:val="center"/>
          </w:tcPr>
          <w:p w14:paraId="5853A65A" w14:textId="77777777" w:rsidR="001333B2" w:rsidRPr="00AD67C2" w:rsidRDefault="001333B2" w:rsidP="001333B2">
            <w:pPr>
              <w:suppressAutoHyphens w:val="0"/>
              <w:jc w:val="center"/>
              <w:rPr>
                <w:rFonts w:ascii="Garamond" w:eastAsia="Times New Roman" w:hAnsi="Garamond" w:cs="Times New Roman"/>
                <w:sz w:val="22"/>
                <w:szCs w:val="24"/>
              </w:rPr>
            </w:pPr>
          </w:p>
        </w:tc>
      </w:tr>
      <w:tr w:rsidR="001333B2" w:rsidRPr="00AD67C2" w14:paraId="56FC0B5D" w14:textId="77777777" w:rsidTr="003938D9">
        <w:trPr>
          <w:trHeight w:val="567"/>
        </w:trPr>
        <w:tc>
          <w:tcPr>
            <w:tcW w:w="2409" w:type="dxa"/>
            <w:gridSpan w:val="2"/>
            <w:shd w:val="clear" w:color="auto" w:fill="D9D9D9"/>
            <w:vAlign w:val="center"/>
          </w:tcPr>
          <w:p w14:paraId="554CA3ED" w14:textId="77777777" w:rsidR="001333B2" w:rsidRPr="00AD67C2" w:rsidRDefault="001333B2" w:rsidP="001333B2">
            <w:pPr>
              <w:suppressAutoHyphens w:val="0"/>
              <w:jc w:val="both"/>
              <w:rPr>
                <w:rFonts w:ascii="Garamond" w:eastAsia="Times New Roman" w:hAnsi="Garamond" w:cs="Times New Roman"/>
                <w:sz w:val="22"/>
                <w:szCs w:val="24"/>
              </w:rPr>
            </w:pPr>
            <w:r w:rsidRPr="00AD67C2">
              <w:rPr>
                <w:rFonts w:ascii="Garamond" w:eastAsia="Times New Roman" w:hAnsi="Garamond" w:cs="Times New Roman"/>
                <w:sz w:val="22"/>
                <w:szCs w:val="24"/>
              </w:rPr>
              <w:t>Основание изменения</w:t>
            </w:r>
            <w:r w:rsidRPr="00AD67C2">
              <w:rPr>
                <w:rFonts w:ascii="Garamond" w:eastAsia="Times New Roman" w:hAnsi="Garamond" w:cs="Times New Roman"/>
                <w:sz w:val="22"/>
                <w:szCs w:val="24"/>
                <w:vertAlign w:val="superscript"/>
              </w:rPr>
              <w:t xml:space="preserve"> 2</w:t>
            </w:r>
          </w:p>
        </w:tc>
        <w:tc>
          <w:tcPr>
            <w:tcW w:w="6950" w:type="dxa"/>
            <w:gridSpan w:val="4"/>
            <w:vAlign w:val="center"/>
          </w:tcPr>
          <w:p w14:paraId="7839A857" w14:textId="77777777" w:rsidR="001333B2" w:rsidRPr="00AD67C2" w:rsidRDefault="001333B2" w:rsidP="001333B2">
            <w:pPr>
              <w:suppressAutoHyphens w:val="0"/>
              <w:jc w:val="center"/>
              <w:rPr>
                <w:rFonts w:ascii="Garamond" w:eastAsia="Times New Roman" w:hAnsi="Garamond" w:cs="Times New Roman"/>
                <w:sz w:val="22"/>
                <w:szCs w:val="24"/>
              </w:rPr>
            </w:pPr>
          </w:p>
        </w:tc>
      </w:tr>
      <w:tr w:rsidR="001333B2" w:rsidRPr="00AD67C2" w14:paraId="03B0A8AE" w14:textId="77777777" w:rsidTr="0064152E">
        <w:trPr>
          <w:trHeight w:val="356"/>
        </w:trPr>
        <w:tc>
          <w:tcPr>
            <w:tcW w:w="9359" w:type="dxa"/>
            <w:gridSpan w:val="6"/>
            <w:shd w:val="clear" w:color="auto" w:fill="D9D9D9"/>
            <w:vAlign w:val="center"/>
          </w:tcPr>
          <w:p w14:paraId="1E4CCF12" w14:textId="0E4BACA1" w:rsidR="001333B2" w:rsidRPr="00AD67C2" w:rsidRDefault="00DC1165" w:rsidP="00664B22">
            <w:pPr>
              <w:suppressAutoHyphens w:val="0"/>
              <w:jc w:val="both"/>
              <w:rPr>
                <w:rFonts w:ascii="Garamond" w:eastAsia="Times New Roman" w:hAnsi="Garamond" w:cs="Times New Roman"/>
                <w:b/>
                <w:sz w:val="22"/>
                <w:szCs w:val="22"/>
              </w:rPr>
            </w:pPr>
            <w:r w:rsidRPr="00AD67C2">
              <w:rPr>
                <w:rFonts w:ascii="Garamond" w:eastAsia="Times New Roman" w:hAnsi="Garamond" w:cs="Times New Roman"/>
                <w:b/>
                <w:sz w:val="22"/>
                <w:szCs w:val="24"/>
              </w:rPr>
              <w:t>6</w:t>
            </w:r>
            <w:r w:rsidR="001333B2" w:rsidRPr="00AD67C2">
              <w:rPr>
                <w:rFonts w:ascii="Garamond" w:eastAsia="Times New Roman" w:hAnsi="Garamond" w:cs="Times New Roman"/>
                <w:b/>
                <w:sz w:val="22"/>
                <w:szCs w:val="24"/>
              </w:rPr>
              <w:t xml:space="preserve">. Контактные данные уполномоченного представителя заявителя, ответственного за предоставление доступа КО к системе учета в удаленном режиме с использованием соответствующего специализированного программного обеспечения </w:t>
            </w:r>
            <w:r w:rsidR="001333B2" w:rsidRPr="00AD67C2">
              <w:rPr>
                <w:rFonts w:ascii="Garamond" w:eastAsia="Times New Roman" w:hAnsi="Garamond" w:cs="Times New Roman"/>
                <w:b/>
                <w:sz w:val="22"/>
                <w:szCs w:val="24"/>
                <w:vertAlign w:val="superscript"/>
              </w:rPr>
              <w:t>6</w:t>
            </w:r>
          </w:p>
        </w:tc>
      </w:tr>
      <w:tr w:rsidR="001333B2" w:rsidRPr="00AD67C2" w14:paraId="186D2D28" w14:textId="77777777" w:rsidTr="003938D9">
        <w:trPr>
          <w:trHeight w:val="567"/>
        </w:trPr>
        <w:tc>
          <w:tcPr>
            <w:tcW w:w="706" w:type="dxa"/>
            <w:shd w:val="clear" w:color="auto" w:fill="D9D9D9"/>
            <w:vAlign w:val="center"/>
          </w:tcPr>
          <w:p w14:paraId="2B43C519" w14:textId="77777777" w:rsidR="001333B2" w:rsidRPr="00AD67C2" w:rsidRDefault="001333B2" w:rsidP="001333B2">
            <w:pPr>
              <w:suppressAutoHyphens w:val="0"/>
              <w:jc w:val="center"/>
              <w:rPr>
                <w:rFonts w:ascii="Garamond" w:eastAsia="Times New Roman" w:hAnsi="Garamond" w:cs="Times New Roman"/>
                <w:sz w:val="22"/>
                <w:szCs w:val="24"/>
              </w:rPr>
            </w:pPr>
            <w:r w:rsidRPr="00AD67C2">
              <w:rPr>
                <w:rFonts w:ascii="Garamond" w:eastAsia="Times New Roman" w:hAnsi="Garamond" w:cs="Times New Roman"/>
                <w:sz w:val="22"/>
                <w:szCs w:val="24"/>
              </w:rPr>
              <w:t>№</w:t>
            </w:r>
          </w:p>
        </w:tc>
        <w:tc>
          <w:tcPr>
            <w:tcW w:w="3683" w:type="dxa"/>
            <w:gridSpan w:val="3"/>
            <w:shd w:val="clear" w:color="auto" w:fill="D9D9D9"/>
            <w:vAlign w:val="center"/>
          </w:tcPr>
          <w:p w14:paraId="61ED1829" w14:textId="77777777" w:rsidR="001333B2" w:rsidRPr="00AD67C2" w:rsidRDefault="001333B2" w:rsidP="001333B2">
            <w:pPr>
              <w:suppressAutoHyphens w:val="0"/>
              <w:jc w:val="center"/>
              <w:rPr>
                <w:rFonts w:ascii="Garamond" w:eastAsia="Times New Roman" w:hAnsi="Garamond" w:cs="Times New Roman"/>
                <w:sz w:val="22"/>
                <w:szCs w:val="24"/>
              </w:rPr>
            </w:pPr>
            <w:r w:rsidRPr="00AD67C2">
              <w:rPr>
                <w:rFonts w:ascii="Garamond" w:eastAsia="Times New Roman" w:hAnsi="Garamond" w:cs="Times New Roman"/>
                <w:sz w:val="22"/>
                <w:szCs w:val="24"/>
              </w:rPr>
              <w:t>Фамилия Имя Отчество</w:t>
            </w:r>
          </w:p>
        </w:tc>
        <w:tc>
          <w:tcPr>
            <w:tcW w:w="2408" w:type="dxa"/>
            <w:shd w:val="clear" w:color="auto" w:fill="D9D9D9"/>
            <w:vAlign w:val="center"/>
          </w:tcPr>
          <w:p w14:paraId="5FC4D30E" w14:textId="77777777" w:rsidR="001333B2" w:rsidRPr="00AD67C2" w:rsidRDefault="001333B2" w:rsidP="001333B2">
            <w:pPr>
              <w:suppressAutoHyphens w:val="0"/>
              <w:jc w:val="center"/>
              <w:rPr>
                <w:rFonts w:ascii="Garamond" w:eastAsia="Times New Roman" w:hAnsi="Garamond" w:cs="Times New Roman"/>
                <w:sz w:val="22"/>
                <w:szCs w:val="24"/>
              </w:rPr>
            </w:pPr>
            <w:r w:rsidRPr="00AD67C2">
              <w:rPr>
                <w:rFonts w:ascii="Garamond" w:eastAsia="Times New Roman" w:hAnsi="Garamond" w:cs="Times New Roman"/>
                <w:sz w:val="22"/>
                <w:szCs w:val="24"/>
              </w:rPr>
              <w:t>Адрес электронной почты</w:t>
            </w:r>
          </w:p>
        </w:tc>
        <w:tc>
          <w:tcPr>
            <w:tcW w:w="2562" w:type="dxa"/>
            <w:shd w:val="clear" w:color="auto" w:fill="D9D9D9"/>
            <w:vAlign w:val="center"/>
          </w:tcPr>
          <w:p w14:paraId="1CE1AB16" w14:textId="77777777" w:rsidR="001333B2" w:rsidRPr="00AD67C2" w:rsidRDefault="001333B2" w:rsidP="001333B2">
            <w:pPr>
              <w:suppressAutoHyphens w:val="0"/>
              <w:jc w:val="center"/>
              <w:rPr>
                <w:rFonts w:ascii="Garamond" w:eastAsia="Times New Roman" w:hAnsi="Garamond" w:cs="Times New Roman"/>
                <w:sz w:val="22"/>
                <w:szCs w:val="24"/>
              </w:rPr>
            </w:pPr>
            <w:r w:rsidRPr="00AD67C2">
              <w:rPr>
                <w:rFonts w:ascii="Garamond" w:eastAsia="Times New Roman" w:hAnsi="Garamond" w:cs="Times New Roman"/>
                <w:sz w:val="22"/>
                <w:szCs w:val="24"/>
              </w:rPr>
              <w:t>Контактный телефон</w:t>
            </w:r>
          </w:p>
        </w:tc>
      </w:tr>
      <w:tr w:rsidR="001333B2" w:rsidRPr="00AD67C2" w14:paraId="389C83C3" w14:textId="77777777" w:rsidTr="003938D9">
        <w:trPr>
          <w:trHeight w:val="567"/>
        </w:trPr>
        <w:tc>
          <w:tcPr>
            <w:tcW w:w="706" w:type="dxa"/>
            <w:vAlign w:val="center"/>
          </w:tcPr>
          <w:p w14:paraId="2F6A19EB" w14:textId="77777777" w:rsidR="001333B2" w:rsidRPr="00AD67C2" w:rsidRDefault="001333B2" w:rsidP="001333B2">
            <w:pPr>
              <w:suppressAutoHyphens w:val="0"/>
              <w:jc w:val="center"/>
              <w:rPr>
                <w:rFonts w:ascii="Garamond" w:eastAsia="Times New Roman" w:hAnsi="Garamond" w:cs="Times New Roman"/>
                <w:sz w:val="22"/>
                <w:szCs w:val="24"/>
              </w:rPr>
            </w:pPr>
            <w:r w:rsidRPr="00AD67C2">
              <w:rPr>
                <w:rFonts w:ascii="Garamond" w:eastAsia="Times New Roman" w:hAnsi="Garamond" w:cs="Times New Roman"/>
                <w:sz w:val="22"/>
                <w:szCs w:val="24"/>
              </w:rPr>
              <w:t>1</w:t>
            </w:r>
          </w:p>
        </w:tc>
        <w:tc>
          <w:tcPr>
            <w:tcW w:w="3683" w:type="dxa"/>
            <w:gridSpan w:val="3"/>
            <w:vAlign w:val="center"/>
          </w:tcPr>
          <w:p w14:paraId="147123AA" w14:textId="77777777" w:rsidR="001333B2" w:rsidRPr="00AD67C2" w:rsidRDefault="001333B2" w:rsidP="001333B2">
            <w:pPr>
              <w:suppressAutoHyphens w:val="0"/>
              <w:jc w:val="both"/>
              <w:rPr>
                <w:rFonts w:ascii="Garamond" w:eastAsia="Times New Roman" w:hAnsi="Garamond" w:cs="Times New Roman"/>
                <w:sz w:val="22"/>
                <w:szCs w:val="24"/>
              </w:rPr>
            </w:pPr>
            <w:r w:rsidRPr="00AD67C2">
              <w:rPr>
                <w:rFonts w:ascii="Garamond" w:eastAsia="Times New Roman" w:hAnsi="Garamond" w:cs="Times New Roman"/>
                <w:sz w:val="22"/>
                <w:szCs w:val="24"/>
              </w:rPr>
              <w:t>…</w:t>
            </w:r>
          </w:p>
        </w:tc>
        <w:tc>
          <w:tcPr>
            <w:tcW w:w="2408" w:type="dxa"/>
            <w:vAlign w:val="center"/>
          </w:tcPr>
          <w:p w14:paraId="5371FBAF" w14:textId="77777777" w:rsidR="001333B2" w:rsidRPr="00AD67C2" w:rsidRDefault="001333B2" w:rsidP="001333B2">
            <w:pPr>
              <w:suppressAutoHyphens w:val="0"/>
              <w:jc w:val="both"/>
              <w:rPr>
                <w:rFonts w:ascii="Garamond" w:eastAsia="Times New Roman" w:hAnsi="Garamond" w:cs="Times New Roman"/>
                <w:sz w:val="22"/>
                <w:szCs w:val="24"/>
              </w:rPr>
            </w:pPr>
          </w:p>
        </w:tc>
        <w:tc>
          <w:tcPr>
            <w:tcW w:w="2562" w:type="dxa"/>
            <w:vAlign w:val="center"/>
          </w:tcPr>
          <w:p w14:paraId="56D15AFD" w14:textId="77777777" w:rsidR="001333B2" w:rsidRPr="00AD67C2" w:rsidRDefault="001333B2" w:rsidP="001333B2">
            <w:pPr>
              <w:suppressAutoHyphens w:val="0"/>
              <w:jc w:val="center"/>
              <w:rPr>
                <w:rFonts w:ascii="Garamond" w:eastAsia="Times New Roman" w:hAnsi="Garamond" w:cs="Times New Roman"/>
                <w:sz w:val="22"/>
                <w:szCs w:val="24"/>
              </w:rPr>
            </w:pPr>
          </w:p>
        </w:tc>
      </w:tr>
      <w:tr w:rsidR="001333B2" w:rsidRPr="00AD67C2" w14:paraId="57E3B721" w14:textId="77777777" w:rsidTr="003938D9">
        <w:trPr>
          <w:trHeight w:val="567"/>
        </w:trPr>
        <w:tc>
          <w:tcPr>
            <w:tcW w:w="706" w:type="dxa"/>
            <w:vAlign w:val="center"/>
          </w:tcPr>
          <w:p w14:paraId="6777A03C" w14:textId="77777777" w:rsidR="001333B2" w:rsidRPr="00AD67C2" w:rsidRDefault="001333B2" w:rsidP="001333B2">
            <w:pPr>
              <w:suppressAutoHyphens w:val="0"/>
              <w:jc w:val="center"/>
              <w:rPr>
                <w:rFonts w:ascii="Garamond" w:eastAsia="Times New Roman" w:hAnsi="Garamond" w:cs="Times New Roman"/>
                <w:sz w:val="22"/>
                <w:szCs w:val="24"/>
              </w:rPr>
            </w:pPr>
            <w:r w:rsidRPr="00AD67C2">
              <w:rPr>
                <w:rFonts w:ascii="Garamond" w:eastAsia="Times New Roman" w:hAnsi="Garamond" w:cs="Times New Roman"/>
                <w:sz w:val="22"/>
                <w:szCs w:val="24"/>
                <w:lang w:val="en-US"/>
              </w:rPr>
              <w:t>N</w:t>
            </w:r>
          </w:p>
        </w:tc>
        <w:tc>
          <w:tcPr>
            <w:tcW w:w="3683" w:type="dxa"/>
            <w:gridSpan w:val="3"/>
            <w:vAlign w:val="center"/>
          </w:tcPr>
          <w:p w14:paraId="734B1A2D" w14:textId="77777777" w:rsidR="001333B2" w:rsidRPr="00AD67C2" w:rsidRDefault="001333B2" w:rsidP="001333B2">
            <w:pPr>
              <w:suppressAutoHyphens w:val="0"/>
              <w:jc w:val="both"/>
              <w:rPr>
                <w:rFonts w:ascii="Garamond" w:eastAsia="Times New Roman" w:hAnsi="Garamond" w:cs="Times New Roman"/>
                <w:sz w:val="22"/>
                <w:szCs w:val="24"/>
              </w:rPr>
            </w:pPr>
            <w:r w:rsidRPr="00AD67C2">
              <w:rPr>
                <w:rFonts w:ascii="Garamond" w:eastAsia="Times New Roman" w:hAnsi="Garamond" w:cs="Times New Roman"/>
                <w:sz w:val="22"/>
                <w:szCs w:val="24"/>
              </w:rPr>
              <w:t>…</w:t>
            </w:r>
          </w:p>
        </w:tc>
        <w:tc>
          <w:tcPr>
            <w:tcW w:w="2408" w:type="dxa"/>
            <w:vAlign w:val="center"/>
          </w:tcPr>
          <w:p w14:paraId="23381E45" w14:textId="77777777" w:rsidR="001333B2" w:rsidRPr="00AD67C2" w:rsidRDefault="001333B2" w:rsidP="001333B2">
            <w:pPr>
              <w:suppressAutoHyphens w:val="0"/>
              <w:jc w:val="both"/>
              <w:rPr>
                <w:rFonts w:ascii="Garamond" w:eastAsia="Times New Roman" w:hAnsi="Garamond" w:cs="Times New Roman"/>
                <w:sz w:val="22"/>
                <w:szCs w:val="24"/>
              </w:rPr>
            </w:pPr>
          </w:p>
        </w:tc>
        <w:tc>
          <w:tcPr>
            <w:tcW w:w="2562" w:type="dxa"/>
            <w:vAlign w:val="center"/>
          </w:tcPr>
          <w:p w14:paraId="3AEE0287" w14:textId="77777777" w:rsidR="001333B2" w:rsidRPr="00AD67C2" w:rsidRDefault="001333B2" w:rsidP="001333B2">
            <w:pPr>
              <w:suppressAutoHyphens w:val="0"/>
              <w:jc w:val="center"/>
              <w:rPr>
                <w:rFonts w:ascii="Garamond" w:eastAsia="Times New Roman" w:hAnsi="Garamond" w:cs="Times New Roman"/>
                <w:sz w:val="22"/>
                <w:szCs w:val="24"/>
              </w:rPr>
            </w:pPr>
          </w:p>
        </w:tc>
      </w:tr>
      <w:tr w:rsidR="001333B2" w:rsidRPr="00AD67C2" w14:paraId="3EDBB6FB" w14:textId="77777777" w:rsidTr="0064152E">
        <w:trPr>
          <w:trHeight w:val="356"/>
        </w:trPr>
        <w:tc>
          <w:tcPr>
            <w:tcW w:w="9359" w:type="dxa"/>
            <w:gridSpan w:val="6"/>
            <w:shd w:val="clear" w:color="auto" w:fill="D9D9D9"/>
            <w:vAlign w:val="center"/>
          </w:tcPr>
          <w:p w14:paraId="55F54EC5" w14:textId="082A4AB9" w:rsidR="001333B2" w:rsidRPr="00AD67C2" w:rsidRDefault="00DC1165" w:rsidP="001333B2">
            <w:pPr>
              <w:suppressAutoHyphens w:val="0"/>
              <w:rPr>
                <w:rFonts w:ascii="Garamond" w:eastAsia="Times New Roman" w:hAnsi="Garamond" w:cs="Times New Roman"/>
                <w:b/>
                <w:sz w:val="22"/>
                <w:szCs w:val="22"/>
              </w:rPr>
            </w:pPr>
            <w:r w:rsidRPr="00AD67C2">
              <w:rPr>
                <w:rFonts w:ascii="Garamond" w:eastAsia="Times New Roman" w:hAnsi="Garamond" w:cs="Times New Roman"/>
                <w:b/>
                <w:sz w:val="22"/>
                <w:szCs w:val="24"/>
              </w:rPr>
              <w:t>7</w:t>
            </w:r>
            <w:r w:rsidR="001333B2" w:rsidRPr="00AD67C2">
              <w:rPr>
                <w:rFonts w:ascii="Garamond" w:eastAsia="Times New Roman" w:hAnsi="Garamond" w:cs="Times New Roman"/>
                <w:b/>
                <w:sz w:val="22"/>
                <w:szCs w:val="24"/>
              </w:rPr>
              <w:t xml:space="preserve">. Наименование специализированного программного обеспечения из перечня ПО </w:t>
            </w:r>
            <w:r w:rsidR="001333B2" w:rsidRPr="00AD67C2">
              <w:rPr>
                <w:rFonts w:ascii="Garamond" w:eastAsia="Times New Roman" w:hAnsi="Garamond" w:cs="Times New Roman"/>
                <w:b/>
                <w:sz w:val="22"/>
                <w:szCs w:val="24"/>
                <w:vertAlign w:val="superscript"/>
              </w:rPr>
              <w:t>6, 7</w:t>
            </w:r>
          </w:p>
        </w:tc>
      </w:tr>
      <w:tr w:rsidR="001333B2" w:rsidRPr="00AD67C2" w14:paraId="602B9AE3" w14:textId="77777777" w:rsidTr="0064152E">
        <w:trPr>
          <w:trHeight w:val="567"/>
        </w:trPr>
        <w:tc>
          <w:tcPr>
            <w:tcW w:w="706" w:type="dxa"/>
            <w:shd w:val="clear" w:color="auto" w:fill="D9D9D9"/>
            <w:vAlign w:val="center"/>
          </w:tcPr>
          <w:p w14:paraId="0E0785BE" w14:textId="77777777" w:rsidR="001333B2" w:rsidRPr="00AD67C2" w:rsidRDefault="001333B2" w:rsidP="001333B2">
            <w:pPr>
              <w:suppressAutoHyphens w:val="0"/>
              <w:jc w:val="center"/>
              <w:rPr>
                <w:rFonts w:ascii="Garamond" w:eastAsia="Times New Roman" w:hAnsi="Garamond" w:cs="Times New Roman"/>
                <w:sz w:val="22"/>
                <w:szCs w:val="24"/>
              </w:rPr>
            </w:pPr>
            <w:r w:rsidRPr="00AD67C2">
              <w:rPr>
                <w:rFonts w:ascii="Garamond" w:eastAsia="Times New Roman" w:hAnsi="Garamond" w:cs="Times New Roman"/>
                <w:sz w:val="22"/>
                <w:szCs w:val="24"/>
              </w:rPr>
              <w:t>№</w:t>
            </w:r>
          </w:p>
        </w:tc>
        <w:tc>
          <w:tcPr>
            <w:tcW w:w="8653" w:type="dxa"/>
            <w:gridSpan w:val="5"/>
            <w:shd w:val="clear" w:color="auto" w:fill="D9D9D9"/>
            <w:vAlign w:val="center"/>
          </w:tcPr>
          <w:p w14:paraId="51A2733C" w14:textId="77777777" w:rsidR="001333B2" w:rsidRPr="00AD67C2" w:rsidRDefault="001333B2" w:rsidP="001333B2">
            <w:pPr>
              <w:suppressAutoHyphens w:val="0"/>
              <w:jc w:val="center"/>
              <w:rPr>
                <w:rFonts w:ascii="Garamond" w:eastAsia="Times New Roman" w:hAnsi="Garamond" w:cs="Times New Roman"/>
                <w:sz w:val="22"/>
                <w:szCs w:val="24"/>
              </w:rPr>
            </w:pPr>
            <w:r w:rsidRPr="00AD67C2">
              <w:rPr>
                <w:rFonts w:ascii="Garamond" w:eastAsia="Times New Roman" w:hAnsi="Garamond" w:cs="Times New Roman"/>
                <w:sz w:val="22"/>
                <w:szCs w:val="24"/>
              </w:rPr>
              <w:t>Наименование ПО</w:t>
            </w:r>
          </w:p>
        </w:tc>
      </w:tr>
      <w:tr w:rsidR="001333B2" w:rsidRPr="00AD67C2" w14:paraId="0A6802A6" w14:textId="77777777" w:rsidTr="0064152E">
        <w:trPr>
          <w:trHeight w:val="567"/>
        </w:trPr>
        <w:tc>
          <w:tcPr>
            <w:tcW w:w="706" w:type="dxa"/>
            <w:vAlign w:val="center"/>
          </w:tcPr>
          <w:p w14:paraId="03E1EB5B" w14:textId="77777777" w:rsidR="001333B2" w:rsidRPr="00AD67C2" w:rsidRDefault="001333B2" w:rsidP="001333B2">
            <w:pPr>
              <w:suppressAutoHyphens w:val="0"/>
              <w:jc w:val="center"/>
              <w:rPr>
                <w:rFonts w:ascii="Garamond" w:eastAsia="Times New Roman" w:hAnsi="Garamond" w:cs="Times New Roman"/>
                <w:sz w:val="22"/>
                <w:szCs w:val="24"/>
              </w:rPr>
            </w:pPr>
            <w:r w:rsidRPr="00AD67C2">
              <w:rPr>
                <w:rFonts w:ascii="Garamond" w:eastAsia="Times New Roman" w:hAnsi="Garamond" w:cs="Times New Roman"/>
                <w:sz w:val="22"/>
                <w:szCs w:val="24"/>
              </w:rPr>
              <w:t>1</w:t>
            </w:r>
          </w:p>
        </w:tc>
        <w:tc>
          <w:tcPr>
            <w:tcW w:w="8653" w:type="dxa"/>
            <w:gridSpan w:val="5"/>
            <w:vAlign w:val="center"/>
          </w:tcPr>
          <w:p w14:paraId="0D0EC353" w14:textId="77777777" w:rsidR="001333B2" w:rsidRPr="00AD67C2" w:rsidRDefault="001333B2" w:rsidP="001333B2">
            <w:pPr>
              <w:suppressAutoHyphens w:val="0"/>
              <w:jc w:val="both"/>
              <w:rPr>
                <w:rFonts w:ascii="Garamond" w:eastAsia="Times New Roman" w:hAnsi="Garamond" w:cs="Times New Roman"/>
                <w:sz w:val="22"/>
                <w:szCs w:val="24"/>
              </w:rPr>
            </w:pPr>
            <w:r w:rsidRPr="00AD67C2">
              <w:rPr>
                <w:rFonts w:ascii="Garamond" w:eastAsia="Times New Roman" w:hAnsi="Garamond" w:cs="Times New Roman"/>
                <w:sz w:val="22"/>
                <w:szCs w:val="24"/>
              </w:rPr>
              <w:t>…</w:t>
            </w:r>
          </w:p>
        </w:tc>
      </w:tr>
      <w:tr w:rsidR="001333B2" w:rsidRPr="00AD67C2" w14:paraId="459B6E71" w14:textId="77777777" w:rsidTr="0064152E">
        <w:trPr>
          <w:trHeight w:val="567"/>
        </w:trPr>
        <w:tc>
          <w:tcPr>
            <w:tcW w:w="706" w:type="dxa"/>
            <w:vAlign w:val="center"/>
          </w:tcPr>
          <w:p w14:paraId="533A5652" w14:textId="77777777" w:rsidR="001333B2" w:rsidRPr="00AD67C2" w:rsidRDefault="001333B2" w:rsidP="001333B2">
            <w:pPr>
              <w:suppressAutoHyphens w:val="0"/>
              <w:jc w:val="center"/>
              <w:rPr>
                <w:rFonts w:ascii="Garamond" w:eastAsia="Times New Roman" w:hAnsi="Garamond" w:cs="Times New Roman"/>
                <w:sz w:val="22"/>
                <w:szCs w:val="24"/>
              </w:rPr>
            </w:pPr>
            <w:r w:rsidRPr="00AD67C2">
              <w:rPr>
                <w:rFonts w:ascii="Garamond" w:eastAsia="Times New Roman" w:hAnsi="Garamond" w:cs="Times New Roman"/>
                <w:sz w:val="22"/>
                <w:szCs w:val="24"/>
                <w:lang w:val="en-US"/>
              </w:rPr>
              <w:t>N</w:t>
            </w:r>
          </w:p>
        </w:tc>
        <w:tc>
          <w:tcPr>
            <w:tcW w:w="8653" w:type="dxa"/>
            <w:gridSpan w:val="5"/>
            <w:vAlign w:val="center"/>
          </w:tcPr>
          <w:p w14:paraId="000E7497" w14:textId="77777777" w:rsidR="001333B2" w:rsidRPr="00AD67C2" w:rsidRDefault="001333B2" w:rsidP="001333B2">
            <w:pPr>
              <w:suppressAutoHyphens w:val="0"/>
              <w:jc w:val="both"/>
              <w:rPr>
                <w:rFonts w:ascii="Garamond" w:eastAsia="Times New Roman" w:hAnsi="Garamond" w:cs="Times New Roman"/>
                <w:sz w:val="22"/>
                <w:szCs w:val="24"/>
              </w:rPr>
            </w:pPr>
            <w:r w:rsidRPr="00AD67C2">
              <w:rPr>
                <w:rFonts w:ascii="Garamond" w:eastAsia="Times New Roman" w:hAnsi="Garamond" w:cs="Times New Roman"/>
                <w:sz w:val="22"/>
                <w:szCs w:val="24"/>
              </w:rPr>
              <w:t>…</w:t>
            </w:r>
          </w:p>
        </w:tc>
      </w:tr>
      <w:tr w:rsidR="001333B2" w:rsidRPr="00AD67C2" w14:paraId="58D93CAE" w14:textId="77777777" w:rsidTr="0064152E">
        <w:trPr>
          <w:trHeight w:val="356"/>
        </w:trPr>
        <w:tc>
          <w:tcPr>
            <w:tcW w:w="9359" w:type="dxa"/>
            <w:gridSpan w:val="6"/>
            <w:shd w:val="clear" w:color="auto" w:fill="D9D9D9"/>
            <w:vAlign w:val="center"/>
          </w:tcPr>
          <w:p w14:paraId="76E8B79F" w14:textId="1A9B405A" w:rsidR="001333B2" w:rsidRPr="00AD67C2" w:rsidRDefault="00DC1165" w:rsidP="00447C3E">
            <w:pPr>
              <w:suppressAutoHyphens w:val="0"/>
              <w:rPr>
                <w:rFonts w:ascii="Garamond" w:eastAsia="Times New Roman" w:hAnsi="Garamond" w:cs="Times New Roman"/>
                <w:b/>
                <w:sz w:val="22"/>
                <w:szCs w:val="22"/>
              </w:rPr>
            </w:pPr>
            <w:r w:rsidRPr="00AD67C2">
              <w:rPr>
                <w:rFonts w:ascii="Garamond" w:eastAsia="Times New Roman" w:hAnsi="Garamond" w:cs="Times New Roman"/>
                <w:b/>
                <w:sz w:val="22"/>
                <w:szCs w:val="24"/>
              </w:rPr>
              <w:t>8</w:t>
            </w:r>
            <w:r w:rsidR="001333B2" w:rsidRPr="00AD67C2">
              <w:rPr>
                <w:rFonts w:ascii="Garamond" w:eastAsia="Times New Roman" w:hAnsi="Garamond" w:cs="Times New Roman"/>
                <w:b/>
                <w:sz w:val="22"/>
                <w:szCs w:val="24"/>
              </w:rPr>
              <w:t>. Информация об Акте (-ах) о соответствии АИИС КУЭ, оформленно</w:t>
            </w:r>
            <w:r w:rsidR="00447C3E">
              <w:rPr>
                <w:rFonts w:ascii="Garamond" w:eastAsia="Times New Roman" w:hAnsi="Garamond" w:cs="Times New Roman"/>
                <w:b/>
                <w:sz w:val="22"/>
                <w:szCs w:val="24"/>
              </w:rPr>
              <w:t>м</w:t>
            </w:r>
            <w:r w:rsidR="001333B2" w:rsidRPr="00AD67C2">
              <w:rPr>
                <w:rFonts w:ascii="Garamond" w:eastAsia="Times New Roman" w:hAnsi="Garamond" w:cs="Times New Roman"/>
                <w:b/>
                <w:sz w:val="22"/>
                <w:szCs w:val="24"/>
              </w:rPr>
              <w:t xml:space="preserve"> (-ых) в отношении покупателя электрической энергии (мощности) – крупного потребителя</w:t>
            </w:r>
            <w:r w:rsidR="001333B2" w:rsidRPr="00AD67C2">
              <w:rPr>
                <w:rFonts w:ascii="Garamond" w:eastAsia="Calibri" w:hAnsi="Garamond" w:cs="Times New Roman"/>
                <w:sz w:val="22"/>
                <w:szCs w:val="22"/>
                <w:lang w:eastAsia="en-US"/>
              </w:rPr>
              <w:t xml:space="preserve"> </w:t>
            </w:r>
            <w:r w:rsidR="001333B2" w:rsidRPr="00AD67C2">
              <w:rPr>
                <w:rFonts w:ascii="Garamond" w:eastAsia="Times New Roman" w:hAnsi="Garamond" w:cs="Times New Roman"/>
                <w:b/>
                <w:sz w:val="22"/>
                <w:szCs w:val="24"/>
                <w:vertAlign w:val="superscript"/>
              </w:rPr>
              <w:t>8</w:t>
            </w:r>
          </w:p>
        </w:tc>
      </w:tr>
      <w:tr w:rsidR="001333B2" w:rsidRPr="00AD67C2" w14:paraId="4B3BB6D7" w14:textId="77777777" w:rsidTr="0064152E">
        <w:trPr>
          <w:trHeight w:val="567"/>
        </w:trPr>
        <w:tc>
          <w:tcPr>
            <w:tcW w:w="706" w:type="dxa"/>
            <w:shd w:val="clear" w:color="auto" w:fill="D9D9D9"/>
            <w:vAlign w:val="center"/>
          </w:tcPr>
          <w:p w14:paraId="20F9CB09" w14:textId="77777777" w:rsidR="001333B2" w:rsidRPr="00AD67C2" w:rsidRDefault="001333B2" w:rsidP="001333B2">
            <w:pPr>
              <w:suppressAutoHyphens w:val="0"/>
              <w:jc w:val="center"/>
              <w:rPr>
                <w:rFonts w:ascii="Garamond" w:eastAsia="Times New Roman" w:hAnsi="Garamond" w:cs="Times New Roman"/>
                <w:sz w:val="22"/>
                <w:szCs w:val="24"/>
              </w:rPr>
            </w:pPr>
            <w:r w:rsidRPr="00AD67C2">
              <w:rPr>
                <w:rFonts w:ascii="Garamond" w:eastAsia="Times New Roman" w:hAnsi="Garamond" w:cs="Times New Roman"/>
                <w:sz w:val="22"/>
                <w:szCs w:val="24"/>
              </w:rPr>
              <w:t>№</w:t>
            </w:r>
          </w:p>
        </w:tc>
        <w:tc>
          <w:tcPr>
            <w:tcW w:w="8653" w:type="dxa"/>
            <w:gridSpan w:val="5"/>
            <w:shd w:val="clear" w:color="auto" w:fill="D9D9D9"/>
            <w:vAlign w:val="center"/>
          </w:tcPr>
          <w:p w14:paraId="29EEDA5C" w14:textId="77777777" w:rsidR="001333B2" w:rsidRPr="00AD67C2" w:rsidRDefault="001333B2" w:rsidP="001333B2">
            <w:pPr>
              <w:suppressAutoHyphens w:val="0"/>
              <w:jc w:val="center"/>
              <w:rPr>
                <w:rFonts w:ascii="Garamond" w:eastAsia="Times New Roman" w:hAnsi="Garamond" w:cs="Times New Roman"/>
                <w:sz w:val="22"/>
                <w:szCs w:val="24"/>
              </w:rPr>
            </w:pPr>
            <w:r w:rsidRPr="00AD67C2">
              <w:rPr>
                <w:rFonts w:ascii="Garamond" w:eastAsia="Times New Roman" w:hAnsi="Garamond" w:cs="Times New Roman"/>
                <w:sz w:val="22"/>
                <w:szCs w:val="24"/>
              </w:rPr>
              <w:t>Реквизиты Акта (-ов) о соответствии АИИС КУЭ</w:t>
            </w:r>
          </w:p>
        </w:tc>
      </w:tr>
      <w:tr w:rsidR="001333B2" w:rsidRPr="00AD67C2" w14:paraId="3C268B96" w14:textId="77777777" w:rsidTr="0064152E">
        <w:trPr>
          <w:trHeight w:val="567"/>
        </w:trPr>
        <w:tc>
          <w:tcPr>
            <w:tcW w:w="706" w:type="dxa"/>
            <w:vAlign w:val="center"/>
          </w:tcPr>
          <w:p w14:paraId="4CE23184" w14:textId="77777777" w:rsidR="001333B2" w:rsidRPr="00AD67C2" w:rsidRDefault="001333B2" w:rsidP="001333B2">
            <w:pPr>
              <w:suppressAutoHyphens w:val="0"/>
              <w:jc w:val="center"/>
              <w:rPr>
                <w:rFonts w:ascii="Garamond" w:eastAsia="Times New Roman" w:hAnsi="Garamond" w:cs="Times New Roman"/>
                <w:sz w:val="22"/>
                <w:szCs w:val="24"/>
              </w:rPr>
            </w:pPr>
            <w:r w:rsidRPr="00AD67C2">
              <w:rPr>
                <w:rFonts w:ascii="Garamond" w:eastAsia="Times New Roman" w:hAnsi="Garamond" w:cs="Times New Roman"/>
                <w:sz w:val="22"/>
                <w:szCs w:val="24"/>
              </w:rPr>
              <w:t>1</w:t>
            </w:r>
          </w:p>
        </w:tc>
        <w:tc>
          <w:tcPr>
            <w:tcW w:w="8653" w:type="dxa"/>
            <w:gridSpan w:val="5"/>
            <w:vAlign w:val="center"/>
          </w:tcPr>
          <w:p w14:paraId="1C9285DF" w14:textId="77777777" w:rsidR="001333B2" w:rsidRPr="00AD67C2" w:rsidRDefault="001333B2" w:rsidP="001333B2">
            <w:pPr>
              <w:suppressAutoHyphens w:val="0"/>
              <w:spacing w:line="259" w:lineRule="auto"/>
              <w:rPr>
                <w:rFonts w:ascii="Garamond" w:eastAsia="Calibri" w:hAnsi="Garamond" w:cs="Times New Roman"/>
                <w:sz w:val="22"/>
                <w:szCs w:val="22"/>
                <w:lang w:eastAsia="en-US"/>
              </w:rPr>
            </w:pPr>
            <w:r w:rsidRPr="00AD67C2">
              <w:rPr>
                <w:rFonts w:ascii="Garamond" w:eastAsia="Calibri" w:hAnsi="Garamond" w:cs="Times New Roman"/>
                <w:sz w:val="22"/>
                <w:szCs w:val="22"/>
                <w:lang w:eastAsia="en-US"/>
              </w:rPr>
              <w:t>№ _________ от _________, срок действия до ________</w:t>
            </w:r>
          </w:p>
        </w:tc>
      </w:tr>
      <w:tr w:rsidR="001333B2" w:rsidRPr="00AD67C2" w14:paraId="1ED78D15" w14:textId="77777777" w:rsidTr="0064152E">
        <w:trPr>
          <w:trHeight w:val="567"/>
        </w:trPr>
        <w:tc>
          <w:tcPr>
            <w:tcW w:w="706" w:type="dxa"/>
            <w:vAlign w:val="center"/>
          </w:tcPr>
          <w:p w14:paraId="2DC5CF96" w14:textId="77777777" w:rsidR="001333B2" w:rsidRPr="00AD67C2" w:rsidRDefault="001333B2" w:rsidP="001333B2">
            <w:pPr>
              <w:suppressAutoHyphens w:val="0"/>
              <w:jc w:val="center"/>
              <w:rPr>
                <w:rFonts w:ascii="Garamond" w:eastAsia="Times New Roman" w:hAnsi="Garamond" w:cs="Times New Roman"/>
                <w:sz w:val="22"/>
                <w:szCs w:val="24"/>
              </w:rPr>
            </w:pPr>
            <w:r w:rsidRPr="00AD67C2">
              <w:rPr>
                <w:rFonts w:ascii="Garamond" w:eastAsia="Times New Roman" w:hAnsi="Garamond" w:cs="Times New Roman"/>
                <w:sz w:val="22"/>
                <w:szCs w:val="24"/>
                <w:lang w:val="en-US"/>
              </w:rPr>
              <w:t>N</w:t>
            </w:r>
          </w:p>
        </w:tc>
        <w:tc>
          <w:tcPr>
            <w:tcW w:w="8653" w:type="dxa"/>
            <w:gridSpan w:val="5"/>
            <w:vAlign w:val="center"/>
          </w:tcPr>
          <w:p w14:paraId="18B97C05" w14:textId="77777777" w:rsidR="001333B2" w:rsidRPr="00AD67C2" w:rsidRDefault="001333B2" w:rsidP="001333B2">
            <w:pPr>
              <w:suppressAutoHyphens w:val="0"/>
              <w:jc w:val="both"/>
              <w:rPr>
                <w:rFonts w:ascii="Garamond" w:eastAsia="Times New Roman" w:hAnsi="Garamond" w:cs="Times New Roman"/>
                <w:sz w:val="22"/>
                <w:szCs w:val="24"/>
              </w:rPr>
            </w:pPr>
            <w:r w:rsidRPr="00AD67C2">
              <w:rPr>
                <w:rFonts w:ascii="Garamond" w:eastAsia="Calibri" w:hAnsi="Garamond" w:cs="Times New Roman"/>
                <w:sz w:val="22"/>
                <w:szCs w:val="22"/>
                <w:lang w:eastAsia="en-US"/>
              </w:rPr>
              <w:t>№ _________ от _________, срок действия до ________</w:t>
            </w:r>
          </w:p>
        </w:tc>
      </w:tr>
      <w:tr w:rsidR="00B13100" w:rsidRPr="00AD67C2" w14:paraId="31A17C27" w14:textId="77777777" w:rsidTr="00664B22">
        <w:trPr>
          <w:trHeight w:val="567"/>
        </w:trPr>
        <w:tc>
          <w:tcPr>
            <w:tcW w:w="9359" w:type="dxa"/>
            <w:gridSpan w:val="6"/>
            <w:shd w:val="clear" w:color="auto" w:fill="D9D9D9" w:themeFill="background1" w:themeFillShade="D9"/>
            <w:vAlign w:val="center"/>
          </w:tcPr>
          <w:p w14:paraId="1184E067" w14:textId="2330D53C" w:rsidR="00B13100" w:rsidRPr="00AD67C2" w:rsidRDefault="00DC1165" w:rsidP="00B13100">
            <w:pPr>
              <w:suppressAutoHyphens w:val="0"/>
              <w:jc w:val="both"/>
              <w:rPr>
                <w:rFonts w:ascii="Garamond" w:eastAsia="Calibri" w:hAnsi="Garamond" w:cs="Times New Roman"/>
                <w:b/>
                <w:sz w:val="22"/>
                <w:szCs w:val="22"/>
                <w:lang w:eastAsia="en-US"/>
              </w:rPr>
            </w:pPr>
            <w:r w:rsidRPr="00AD67C2">
              <w:rPr>
                <w:rFonts w:ascii="Garamond" w:eastAsia="Times New Roman" w:hAnsi="Garamond" w:cs="Times New Roman"/>
                <w:b/>
                <w:sz w:val="22"/>
                <w:szCs w:val="24"/>
              </w:rPr>
              <w:t>9</w:t>
            </w:r>
            <w:r w:rsidR="00B13100" w:rsidRPr="00AD67C2">
              <w:rPr>
                <w:rFonts w:ascii="Garamond" w:eastAsia="Times New Roman" w:hAnsi="Garamond" w:cs="Times New Roman"/>
                <w:b/>
                <w:sz w:val="22"/>
                <w:szCs w:val="24"/>
              </w:rPr>
              <w:t xml:space="preserve">. </w:t>
            </w:r>
            <w:r w:rsidR="00B13100" w:rsidRPr="00AD67C2">
              <w:rPr>
                <w:rFonts w:ascii="Garamond" w:eastAsia="Calibri" w:hAnsi="Garamond" w:cs="Times New Roman"/>
                <w:b/>
                <w:sz w:val="22"/>
                <w:szCs w:val="22"/>
                <w:lang w:eastAsia="en-US"/>
              </w:rPr>
              <w:t>Информация о договоре оказания услуг по изменению режима потребления электрической энергии</w:t>
            </w:r>
          </w:p>
        </w:tc>
      </w:tr>
      <w:tr w:rsidR="00E41247" w:rsidRPr="00AD67C2" w14:paraId="2B937F52" w14:textId="77777777" w:rsidTr="00E41247">
        <w:trPr>
          <w:trHeight w:val="567"/>
        </w:trPr>
        <w:tc>
          <w:tcPr>
            <w:tcW w:w="4389" w:type="dxa"/>
            <w:gridSpan w:val="4"/>
            <w:vAlign w:val="center"/>
          </w:tcPr>
          <w:p w14:paraId="510F16FB" w14:textId="33C4524D" w:rsidR="00E41247" w:rsidRPr="00AD67C2" w:rsidRDefault="00E41247" w:rsidP="00E41247">
            <w:pPr>
              <w:suppressAutoHyphens w:val="0"/>
              <w:jc w:val="both"/>
              <w:rPr>
                <w:rFonts w:ascii="Garamond" w:eastAsia="Times New Roman" w:hAnsi="Garamond" w:cs="Times New Roman"/>
                <w:sz w:val="22"/>
              </w:rPr>
            </w:pPr>
            <w:r w:rsidRPr="00AD67C2">
              <w:rPr>
                <w:rFonts w:ascii="Garamond" w:eastAsia="Times New Roman" w:hAnsi="Garamond" w:cs="Times New Roman"/>
                <w:sz w:val="22"/>
              </w:rPr>
              <w:t xml:space="preserve">Период (периоды) оказания услуг по договору </w:t>
            </w:r>
            <w:r w:rsidR="00B57A64" w:rsidRPr="00AD67C2">
              <w:rPr>
                <w:rFonts w:ascii="Garamond" w:eastAsia="Times New Roman" w:hAnsi="Garamond" w:cs="Times New Roman"/>
                <w:sz w:val="22"/>
              </w:rPr>
              <w:t>оказания услуг по изменению</w:t>
            </w:r>
            <w:r w:rsidRPr="00AD67C2">
              <w:rPr>
                <w:rFonts w:ascii="Garamond" w:eastAsia="Times New Roman" w:hAnsi="Garamond" w:cs="Times New Roman"/>
                <w:sz w:val="22"/>
              </w:rPr>
              <w:t xml:space="preserve"> режима потребления</w:t>
            </w:r>
            <w:r w:rsidR="00344A7F" w:rsidRPr="00AD67C2">
              <w:rPr>
                <w:rFonts w:ascii="Garamond" w:eastAsia="Times New Roman" w:hAnsi="Garamond" w:cs="Times New Roman"/>
                <w:sz w:val="22"/>
              </w:rPr>
              <w:t xml:space="preserve"> </w:t>
            </w:r>
            <w:r w:rsidR="00344A7F" w:rsidRPr="00AD67C2">
              <w:rPr>
                <w:rFonts w:ascii="Garamond" w:eastAsia="Times New Roman" w:hAnsi="Garamond" w:cs="Times New Roman"/>
                <w:b/>
                <w:sz w:val="22"/>
                <w:szCs w:val="24"/>
                <w:vertAlign w:val="superscript"/>
              </w:rPr>
              <w:t>9</w:t>
            </w:r>
          </w:p>
        </w:tc>
        <w:tc>
          <w:tcPr>
            <w:tcW w:w="4970" w:type="dxa"/>
            <w:gridSpan w:val="2"/>
            <w:vAlign w:val="center"/>
          </w:tcPr>
          <w:p w14:paraId="4AF17147" w14:textId="5A3EAE09" w:rsidR="00E41247" w:rsidRPr="00AD67C2" w:rsidRDefault="00E41247" w:rsidP="00E41247">
            <w:pPr>
              <w:suppressAutoHyphens w:val="0"/>
              <w:jc w:val="both"/>
              <w:rPr>
                <w:rFonts w:ascii="Garamond" w:eastAsia="Times New Roman" w:hAnsi="Garamond" w:cs="Times New Roman"/>
                <w:sz w:val="22"/>
                <w:szCs w:val="24"/>
              </w:rPr>
            </w:pPr>
            <w:r w:rsidRPr="00AD67C2">
              <w:rPr>
                <w:rFonts w:ascii="Garamond" w:eastAsia="Times New Roman" w:hAnsi="Garamond" w:cs="Times New Roman"/>
                <w:i/>
                <w:sz w:val="22"/>
                <w:szCs w:val="24"/>
              </w:rPr>
              <w:t>Указывается (-ются) период (периоды) оказания услуг в соответствии с заключенным договором оказани</w:t>
            </w:r>
            <w:r w:rsidR="00B57A64" w:rsidRPr="00AD67C2">
              <w:rPr>
                <w:rFonts w:ascii="Garamond" w:eastAsia="Times New Roman" w:hAnsi="Garamond" w:cs="Times New Roman"/>
                <w:i/>
                <w:sz w:val="22"/>
                <w:szCs w:val="24"/>
              </w:rPr>
              <w:t>я</w:t>
            </w:r>
            <w:r w:rsidRPr="00AD67C2">
              <w:rPr>
                <w:rFonts w:ascii="Garamond" w:eastAsia="Times New Roman" w:hAnsi="Garamond" w:cs="Times New Roman"/>
                <w:i/>
                <w:sz w:val="22"/>
                <w:szCs w:val="24"/>
              </w:rPr>
              <w:t xml:space="preserve"> услуг по </w:t>
            </w:r>
            <w:r w:rsidR="00B57A64" w:rsidRPr="00AD67C2">
              <w:rPr>
                <w:rFonts w:ascii="Garamond" w:eastAsia="Times New Roman" w:hAnsi="Garamond" w:cs="Times New Roman"/>
                <w:i/>
                <w:sz w:val="22"/>
                <w:szCs w:val="24"/>
              </w:rPr>
              <w:t>изменению</w:t>
            </w:r>
            <w:r w:rsidRPr="00AD67C2">
              <w:rPr>
                <w:rFonts w:ascii="Garamond" w:eastAsia="Times New Roman" w:hAnsi="Garamond" w:cs="Times New Roman"/>
                <w:i/>
                <w:sz w:val="22"/>
                <w:szCs w:val="24"/>
              </w:rPr>
              <w:t xml:space="preserve"> режима потребления электрической энергии</w:t>
            </w:r>
          </w:p>
        </w:tc>
      </w:tr>
    </w:tbl>
    <w:p w14:paraId="4E4C1A1F" w14:textId="77777777" w:rsidR="001333B2" w:rsidRPr="00AD67C2" w:rsidRDefault="001333B2" w:rsidP="001333B2">
      <w:pPr>
        <w:suppressAutoHyphens w:val="0"/>
        <w:jc w:val="both"/>
        <w:rPr>
          <w:rFonts w:ascii="Garamond" w:eastAsia="Times New Roman" w:hAnsi="Garamond" w:cs="Times New Roman"/>
          <w:sz w:val="22"/>
          <w:szCs w:val="24"/>
        </w:rPr>
      </w:pPr>
    </w:p>
    <w:p w14:paraId="5892F9A4" w14:textId="77777777" w:rsidR="006823B8" w:rsidRPr="00AD67C2" w:rsidRDefault="006823B8" w:rsidP="00664B22">
      <w:pPr>
        <w:autoSpaceDE w:val="0"/>
        <w:autoSpaceDN w:val="0"/>
        <w:ind w:firstLine="340"/>
        <w:jc w:val="both"/>
        <w:rPr>
          <w:rFonts w:ascii="Garamond" w:hAnsi="Garamond"/>
          <w:sz w:val="22"/>
        </w:rPr>
      </w:pPr>
      <w:r w:rsidRPr="00AD67C2">
        <w:rPr>
          <w:rFonts w:ascii="Garamond" w:hAnsi="Garamond"/>
          <w:bCs/>
          <w:sz w:val="22"/>
        </w:rPr>
        <w:t xml:space="preserve">Подтверждаю, что в объект регулирования не включаются объекты электросетевого хозяйства сетевых организаций. </w:t>
      </w:r>
    </w:p>
    <w:p w14:paraId="45D1F839" w14:textId="0F89208A" w:rsidR="001333B2" w:rsidRPr="00AD67C2" w:rsidRDefault="001333B2" w:rsidP="001333B2">
      <w:pPr>
        <w:suppressAutoHyphens w:val="0"/>
        <w:autoSpaceDE w:val="0"/>
        <w:autoSpaceDN w:val="0"/>
        <w:spacing w:after="160" w:line="259" w:lineRule="auto"/>
        <w:ind w:firstLine="357"/>
        <w:jc w:val="both"/>
        <w:rPr>
          <w:rFonts w:ascii="Garamond" w:eastAsia="Calibri" w:hAnsi="Garamond" w:cs="Times New Roman"/>
          <w:bCs/>
          <w:sz w:val="22"/>
          <w:szCs w:val="22"/>
          <w:lang w:eastAsia="en-US"/>
        </w:rPr>
      </w:pPr>
      <w:r w:rsidRPr="00AD67C2">
        <w:rPr>
          <w:rFonts w:ascii="Garamond" w:eastAsia="Calibri" w:hAnsi="Garamond" w:cs="Times New Roman"/>
          <w:bCs/>
          <w:sz w:val="22"/>
          <w:szCs w:val="22"/>
          <w:lang w:eastAsia="en-US"/>
        </w:rPr>
        <w:t>Подтверждаю, что испытания по заявляемому объекту регулирования проведены менее 4 (четырех) лет назад, и выражаю намерение не проводить повторные испытания заявленного объекта регулирования (</w:t>
      </w:r>
      <w:r w:rsidRPr="00AD67C2">
        <w:rPr>
          <w:rFonts w:ascii="Garamond" w:eastAsia="Calibri" w:hAnsi="Garamond" w:cs="Times New Roman"/>
          <w:bCs/>
          <w:i/>
          <w:sz w:val="22"/>
          <w:szCs w:val="22"/>
          <w:lang w:eastAsia="en-US"/>
        </w:rPr>
        <w:t>указывается при условии, если все точки измерений по объекту регулирования включены в оформленный ранее протокол предыдущих испытаний системы учета</w:t>
      </w:r>
      <w:r w:rsidR="00447C3E">
        <w:rPr>
          <w:rFonts w:ascii="Garamond" w:eastAsia="Calibri" w:hAnsi="Garamond" w:cs="Times New Roman"/>
          <w:bCs/>
          <w:i/>
          <w:sz w:val="22"/>
          <w:szCs w:val="22"/>
          <w:lang w:eastAsia="en-US"/>
        </w:rPr>
        <w:t>,</w:t>
      </w:r>
      <w:r w:rsidRPr="00AD67C2">
        <w:rPr>
          <w:rFonts w:ascii="Garamond" w:eastAsia="Calibri" w:hAnsi="Garamond" w:cs="Times New Roman"/>
          <w:bCs/>
          <w:i/>
          <w:sz w:val="22"/>
          <w:szCs w:val="22"/>
          <w:lang w:eastAsia="en-US"/>
        </w:rPr>
        <w:t xml:space="preserve"> и намерении заявителя не проводить повторные испытания</w:t>
      </w:r>
      <w:r w:rsidRPr="00AD67C2">
        <w:rPr>
          <w:rFonts w:ascii="Garamond" w:eastAsia="Calibri" w:hAnsi="Garamond" w:cs="Times New Roman"/>
          <w:bCs/>
          <w:sz w:val="22"/>
          <w:szCs w:val="22"/>
          <w:lang w:eastAsia="en-US"/>
        </w:rPr>
        <w:t>).</w:t>
      </w:r>
    </w:p>
    <w:p w14:paraId="232C82FE" w14:textId="77777777" w:rsidR="001333B2" w:rsidRPr="00AD67C2" w:rsidRDefault="001333B2" w:rsidP="001333B2">
      <w:pPr>
        <w:suppressAutoHyphens w:val="0"/>
        <w:jc w:val="both"/>
        <w:rPr>
          <w:rFonts w:ascii="Garamond" w:eastAsia="Times New Roman" w:hAnsi="Garamond" w:cs="Times New Roman"/>
          <w:sz w:val="22"/>
          <w:szCs w:val="24"/>
        </w:rPr>
      </w:pPr>
    </w:p>
    <w:p w14:paraId="7DAA0D68" w14:textId="77777777" w:rsidR="001333B2" w:rsidRPr="00AD67C2" w:rsidRDefault="001333B2" w:rsidP="001333B2">
      <w:pPr>
        <w:suppressAutoHyphens w:val="0"/>
        <w:jc w:val="both"/>
        <w:rPr>
          <w:rFonts w:ascii="Garamond" w:eastAsia="Times New Roman" w:hAnsi="Garamond" w:cs="Times New Roman"/>
          <w:sz w:val="22"/>
          <w:szCs w:val="24"/>
        </w:rPr>
      </w:pPr>
      <w:r w:rsidRPr="00AD67C2">
        <w:rPr>
          <w:rFonts w:ascii="Garamond" w:eastAsia="Times New Roman" w:hAnsi="Garamond" w:cs="Times New Roman"/>
          <w:sz w:val="22"/>
          <w:szCs w:val="24"/>
        </w:rPr>
        <w:t>Приложение: опись направляемых документов, на __ л. в 1 экз.</w:t>
      </w:r>
    </w:p>
    <w:p w14:paraId="7FD14564" w14:textId="77777777" w:rsidR="001333B2" w:rsidRPr="00AD67C2" w:rsidRDefault="001333B2" w:rsidP="001333B2">
      <w:pPr>
        <w:suppressAutoHyphens w:val="0"/>
        <w:jc w:val="both"/>
        <w:rPr>
          <w:rFonts w:ascii="Garamond" w:eastAsia="Times New Roman" w:hAnsi="Garamond" w:cs="Times New Roman"/>
          <w:sz w:val="22"/>
          <w:szCs w:val="24"/>
        </w:rPr>
      </w:pPr>
    </w:p>
    <w:p w14:paraId="1A5FFBDA" w14:textId="77777777" w:rsidR="001333B2" w:rsidRPr="00AD67C2" w:rsidRDefault="001333B2" w:rsidP="001333B2">
      <w:pPr>
        <w:suppressAutoHyphens w:val="0"/>
        <w:jc w:val="both"/>
        <w:rPr>
          <w:rFonts w:ascii="Garamond" w:eastAsia="Times New Roman" w:hAnsi="Garamond" w:cs="Times New Roman"/>
          <w:sz w:val="22"/>
          <w:szCs w:val="24"/>
        </w:rPr>
      </w:pPr>
    </w:p>
    <w:tbl>
      <w:tblPr>
        <w:tblW w:w="0" w:type="auto"/>
        <w:tblLook w:val="00A0" w:firstRow="1" w:lastRow="0" w:firstColumn="1" w:lastColumn="0" w:noHBand="0" w:noVBand="0"/>
      </w:tblPr>
      <w:tblGrid>
        <w:gridCol w:w="3387"/>
        <w:gridCol w:w="2919"/>
        <w:gridCol w:w="3049"/>
      </w:tblGrid>
      <w:tr w:rsidR="001333B2" w:rsidRPr="00AD67C2" w14:paraId="6A3C9797" w14:textId="77777777" w:rsidTr="0064152E">
        <w:tc>
          <w:tcPr>
            <w:tcW w:w="3387" w:type="dxa"/>
            <w:tcBorders>
              <w:bottom w:val="single" w:sz="4" w:space="0" w:color="auto"/>
            </w:tcBorders>
          </w:tcPr>
          <w:p w14:paraId="6F4D8AAC" w14:textId="77777777" w:rsidR="001333B2" w:rsidRPr="00AD67C2" w:rsidRDefault="001333B2" w:rsidP="001333B2">
            <w:pPr>
              <w:suppressAutoHyphens w:val="0"/>
              <w:jc w:val="both"/>
              <w:rPr>
                <w:rFonts w:ascii="Garamond" w:eastAsia="Times New Roman" w:hAnsi="Garamond" w:cs="Times New Roman"/>
                <w:sz w:val="22"/>
                <w:szCs w:val="24"/>
              </w:rPr>
            </w:pPr>
          </w:p>
        </w:tc>
        <w:tc>
          <w:tcPr>
            <w:tcW w:w="2919" w:type="dxa"/>
          </w:tcPr>
          <w:p w14:paraId="0CCDD655" w14:textId="77777777" w:rsidR="001333B2" w:rsidRPr="00AD67C2" w:rsidRDefault="001333B2" w:rsidP="001333B2">
            <w:pPr>
              <w:suppressAutoHyphens w:val="0"/>
              <w:jc w:val="both"/>
              <w:rPr>
                <w:rFonts w:ascii="Garamond" w:eastAsia="Times New Roman" w:hAnsi="Garamond" w:cs="Times New Roman"/>
                <w:sz w:val="22"/>
                <w:szCs w:val="24"/>
              </w:rPr>
            </w:pPr>
          </w:p>
        </w:tc>
        <w:tc>
          <w:tcPr>
            <w:tcW w:w="3049" w:type="dxa"/>
            <w:tcBorders>
              <w:bottom w:val="single" w:sz="4" w:space="0" w:color="auto"/>
            </w:tcBorders>
          </w:tcPr>
          <w:p w14:paraId="4FA43972" w14:textId="77777777" w:rsidR="001333B2" w:rsidRPr="00AD67C2" w:rsidRDefault="001333B2" w:rsidP="001333B2">
            <w:pPr>
              <w:suppressAutoHyphens w:val="0"/>
              <w:jc w:val="both"/>
              <w:rPr>
                <w:rFonts w:ascii="Garamond" w:eastAsia="Times New Roman" w:hAnsi="Garamond" w:cs="Times New Roman"/>
                <w:sz w:val="22"/>
                <w:szCs w:val="24"/>
              </w:rPr>
            </w:pPr>
          </w:p>
        </w:tc>
      </w:tr>
      <w:tr w:rsidR="001333B2" w:rsidRPr="00AD67C2" w14:paraId="225E6168" w14:textId="77777777" w:rsidTr="0064152E">
        <w:tc>
          <w:tcPr>
            <w:tcW w:w="3387" w:type="dxa"/>
            <w:tcBorders>
              <w:top w:val="single" w:sz="4" w:space="0" w:color="auto"/>
            </w:tcBorders>
          </w:tcPr>
          <w:p w14:paraId="31905924" w14:textId="77777777" w:rsidR="001333B2" w:rsidRPr="00AD67C2" w:rsidRDefault="001333B2" w:rsidP="001333B2">
            <w:pPr>
              <w:suppressAutoHyphens w:val="0"/>
              <w:jc w:val="center"/>
              <w:rPr>
                <w:rFonts w:ascii="Garamond" w:eastAsia="Times New Roman" w:hAnsi="Garamond" w:cs="Times New Roman"/>
                <w:sz w:val="22"/>
                <w:szCs w:val="24"/>
              </w:rPr>
            </w:pPr>
            <w:r w:rsidRPr="00AD67C2">
              <w:rPr>
                <w:rFonts w:ascii="Garamond" w:eastAsia="Times New Roman" w:hAnsi="Garamond" w:cs="Times New Roman"/>
                <w:i/>
                <w:sz w:val="22"/>
                <w:szCs w:val="24"/>
              </w:rPr>
              <w:t>(должность)</w:t>
            </w:r>
          </w:p>
        </w:tc>
        <w:tc>
          <w:tcPr>
            <w:tcW w:w="2919" w:type="dxa"/>
          </w:tcPr>
          <w:p w14:paraId="09B89964" w14:textId="77777777" w:rsidR="001333B2" w:rsidRPr="00AD67C2" w:rsidRDefault="001333B2" w:rsidP="001333B2">
            <w:pPr>
              <w:suppressAutoHyphens w:val="0"/>
              <w:jc w:val="both"/>
              <w:rPr>
                <w:rFonts w:ascii="Garamond" w:eastAsia="Times New Roman" w:hAnsi="Garamond" w:cs="Times New Roman"/>
                <w:sz w:val="22"/>
                <w:szCs w:val="24"/>
              </w:rPr>
            </w:pPr>
          </w:p>
        </w:tc>
        <w:tc>
          <w:tcPr>
            <w:tcW w:w="3049" w:type="dxa"/>
            <w:tcBorders>
              <w:top w:val="single" w:sz="4" w:space="0" w:color="auto"/>
            </w:tcBorders>
          </w:tcPr>
          <w:p w14:paraId="09E1469B" w14:textId="77777777" w:rsidR="001333B2" w:rsidRPr="00AD67C2" w:rsidRDefault="001333B2" w:rsidP="001333B2">
            <w:pPr>
              <w:suppressAutoHyphens w:val="0"/>
              <w:jc w:val="center"/>
              <w:rPr>
                <w:rFonts w:ascii="Garamond" w:eastAsia="Times New Roman" w:hAnsi="Garamond" w:cs="Times New Roman"/>
                <w:sz w:val="22"/>
                <w:szCs w:val="24"/>
              </w:rPr>
            </w:pPr>
            <w:r w:rsidRPr="00AD67C2">
              <w:rPr>
                <w:rFonts w:ascii="Garamond" w:eastAsia="Times New Roman" w:hAnsi="Garamond" w:cs="Times New Roman"/>
                <w:i/>
                <w:sz w:val="22"/>
                <w:szCs w:val="24"/>
              </w:rPr>
              <w:t>(Ф. И. О.)</w:t>
            </w:r>
          </w:p>
        </w:tc>
      </w:tr>
    </w:tbl>
    <w:p w14:paraId="19CB95FF" w14:textId="77777777" w:rsidR="001333B2" w:rsidRPr="00AD67C2" w:rsidRDefault="001333B2" w:rsidP="001333B2">
      <w:pPr>
        <w:widowControl w:val="0"/>
        <w:tabs>
          <w:tab w:val="left" w:pos="1077"/>
        </w:tabs>
        <w:suppressAutoHyphens w:val="0"/>
        <w:spacing w:before="120" w:after="120"/>
        <w:jc w:val="both"/>
        <w:rPr>
          <w:rFonts w:ascii="Garamond" w:eastAsia="Calibri" w:hAnsi="Garamond" w:cs="Times New Roman"/>
          <w:bCs/>
          <w:sz w:val="22"/>
          <w:szCs w:val="22"/>
          <w:lang w:eastAsia="en-US"/>
        </w:rPr>
      </w:pPr>
    </w:p>
    <w:p w14:paraId="1984FF4E" w14:textId="77777777" w:rsidR="00DC1165" w:rsidRPr="00AD67C2" w:rsidRDefault="00DC1165" w:rsidP="001333B2">
      <w:pPr>
        <w:suppressAutoHyphens w:val="0"/>
        <w:spacing w:line="259" w:lineRule="auto"/>
        <w:rPr>
          <w:rFonts w:ascii="Garamond" w:eastAsia="Times New Roman" w:hAnsi="Garamond" w:cs="Times New Roman"/>
          <w:b/>
          <w:bCs/>
          <w:lang w:eastAsia="en-US"/>
        </w:rPr>
      </w:pPr>
    </w:p>
    <w:p w14:paraId="0058F477" w14:textId="77777777" w:rsidR="00DC1165" w:rsidRPr="00AD67C2" w:rsidRDefault="00DC1165" w:rsidP="001333B2">
      <w:pPr>
        <w:suppressAutoHyphens w:val="0"/>
        <w:spacing w:line="259" w:lineRule="auto"/>
        <w:rPr>
          <w:rFonts w:ascii="Garamond" w:eastAsia="Times New Roman" w:hAnsi="Garamond" w:cs="Times New Roman"/>
          <w:b/>
          <w:bCs/>
          <w:lang w:eastAsia="en-US"/>
        </w:rPr>
      </w:pPr>
    </w:p>
    <w:p w14:paraId="3246087E" w14:textId="77777777" w:rsidR="001333B2" w:rsidRPr="00AD67C2" w:rsidRDefault="001333B2" w:rsidP="001333B2">
      <w:pPr>
        <w:suppressAutoHyphens w:val="0"/>
        <w:spacing w:line="259" w:lineRule="auto"/>
        <w:rPr>
          <w:rFonts w:ascii="Garamond" w:eastAsia="Times New Roman" w:hAnsi="Garamond" w:cs="Times New Roman"/>
          <w:sz w:val="22"/>
          <w:szCs w:val="24"/>
        </w:rPr>
      </w:pPr>
      <w:r w:rsidRPr="00AD67C2">
        <w:rPr>
          <w:rFonts w:ascii="Garamond" w:eastAsia="Times New Roman" w:hAnsi="Garamond" w:cs="Times New Roman"/>
          <w:b/>
          <w:bCs/>
          <w:lang w:eastAsia="en-US"/>
        </w:rPr>
        <w:lastRenderedPageBreak/>
        <w:t>Примечания.</w:t>
      </w:r>
    </w:p>
    <w:p w14:paraId="43C08DBC" w14:textId="45DDD8D7" w:rsidR="001333B2" w:rsidRPr="00AD67C2" w:rsidRDefault="001333B2" w:rsidP="001A09D5">
      <w:pPr>
        <w:numPr>
          <w:ilvl w:val="0"/>
          <w:numId w:val="329"/>
        </w:numPr>
        <w:suppressAutoHyphens w:val="0"/>
        <w:spacing w:after="160" w:line="276" w:lineRule="auto"/>
        <w:ind w:left="426"/>
        <w:contextualSpacing/>
        <w:jc w:val="both"/>
        <w:rPr>
          <w:rFonts w:ascii="Garamond" w:eastAsia="Times New Roman" w:hAnsi="Garamond" w:cs="Times New Roman"/>
          <w:szCs w:val="24"/>
        </w:rPr>
      </w:pPr>
      <w:r w:rsidRPr="00AD67C2">
        <w:rPr>
          <w:rFonts w:ascii="Garamond" w:eastAsia="Times New Roman" w:hAnsi="Garamond" w:cs="Times New Roman"/>
          <w:szCs w:val="24"/>
        </w:rPr>
        <w:t>В поле «Вид изменения» указывается изменяемый параметр и (или) указывается количество и пер</w:t>
      </w:r>
      <w:r w:rsidR="002C48F6">
        <w:rPr>
          <w:rFonts w:ascii="Garamond" w:eastAsia="Times New Roman" w:hAnsi="Garamond" w:cs="Times New Roman"/>
          <w:szCs w:val="24"/>
        </w:rPr>
        <w:t>ечисляются номера добавляемых/</w:t>
      </w:r>
      <w:r w:rsidRPr="00AD67C2">
        <w:rPr>
          <w:rFonts w:ascii="Garamond" w:eastAsia="Times New Roman" w:hAnsi="Garamond" w:cs="Times New Roman"/>
          <w:szCs w:val="24"/>
        </w:rPr>
        <w:t>исключаемых точек поставки.</w:t>
      </w:r>
    </w:p>
    <w:p w14:paraId="4D0A3578" w14:textId="77777777" w:rsidR="001333B2" w:rsidRPr="00AD67C2" w:rsidRDefault="001333B2" w:rsidP="001333B2">
      <w:pPr>
        <w:suppressAutoHyphens w:val="0"/>
        <w:spacing w:line="276" w:lineRule="auto"/>
        <w:ind w:left="426"/>
        <w:contextualSpacing/>
        <w:jc w:val="both"/>
        <w:rPr>
          <w:rFonts w:ascii="Garamond" w:eastAsia="Times New Roman" w:hAnsi="Garamond" w:cs="Times New Roman"/>
          <w:szCs w:val="24"/>
        </w:rPr>
      </w:pPr>
      <w:r w:rsidRPr="00AD67C2">
        <w:rPr>
          <w:rFonts w:ascii="Garamond" w:eastAsia="Times New Roman" w:hAnsi="Garamond" w:cs="Times New Roman"/>
          <w:szCs w:val="24"/>
        </w:rPr>
        <w:t>В случае нескольких одновременных изменений, влекущих за собой изменение состава точек поставки, каждое изменение указывается отдельно с перечислением соответствующих изменяемых точек поставки.</w:t>
      </w:r>
    </w:p>
    <w:p w14:paraId="1BB22412" w14:textId="77777777" w:rsidR="001333B2" w:rsidRPr="00AD67C2" w:rsidRDefault="001333B2" w:rsidP="001333B2">
      <w:pPr>
        <w:suppressAutoHyphens w:val="0"/>
        <w:spacing w:line="276" w:lineRule="auto"/>
        <w:ind w:left="426"/>
        <w:contextualSpacing/>
        <w:jc w:val="both"/>
        <w:rPr>
          <w:rFonts w:ascii="Garamond" w:eastAsia="Times New Roman" w:hAnsi="Garamond" w:cs="Times New Roman"/>
          <w:szCs w:val="24"/>
        </w:rPr>
      </w:pPr>
      <w:r w:rsidRPr="00AD67C2">
        <w:rPr>
          <w:rFonts w:ascii="Garamond" w:eastAsia="Times New Roman" w:hAnsi="Garamond" w:cs="Times New Roman"/>
          <w:szCs w:val="24"/>
        </w:rPr>
        <w:t>В случае отсутствия изменений, в поле «Вид изменения» указывается «изменения отсутствуют».</w:t>
      </w:r>
    </w:p>
    <w:p w14:paraId="1C1E9A76" w14:textId="77777777" w:rsidR="001333B2" w:rsidRPr="00AD67C2" w:rsidRDefault="001333B2" w:rsidP="001A09D5">
      <w:pPr>
        <w:numPr>
          <w:ilvl w:val="0"/>
          <w:numId w:val="329"/>
        </w:numPr>
        <w:suppressAutoHyphens w:val="0"/>
        <w:spacing w:after="160" w:line="276" w:lineRule="auto"/>
        <w:ind w:left="426"/>
        <w:contextualSpacing/>
        <w:jc w:val="both"/>
        <w:rPr>
          <w:rFonts w:ascii="Garamond" w:eastAsia="Times New Roman" w:hAnsi="Garamond" w:cs="Times New Roman"/>
          <w:szCs w:val="24"/>
        </w:rPr>
      </w:pPr>
      <w:r w:rsidRPr="00AD67C2">
        <w:rPr>
          <w:rFonts w:ascii="Garamond" w:eastAsia="Times New Roman" w:hAnsi="Garamond" w:cs="Times New Roman"/>
          <w:szCs w:val="24"/>
        </w:rPr>
        <w:t>В поле «Основание изменения» указывается основание изменения по каждому изменяемому параметру, указанному в разделе «Вид изменения».</w:t>
      </w:r>
    </w:p>
    <w:p w14:paraId="5D186520" w14:textId="77777777" w:rsidR="001333B2" w:rsidRPr="00AD67C2" w:rsidRDefault="001333B2" w:rsidP="001A09D5">
      <w:pPr>
        <w:numPr>
          <w:ilvl w:val="0"/>
          <w:numId w:val="329"/>
        </w:numPr>
        <w:suppressAutoHyphens w:val="0"/>
        <w:spacing w:after="160" w:line="276" w:lineRule="auto"/>
        <w:ind w:left="426"/>
        <w:contextualSpacing/>
        <w:jc w:val="both"/>
        <w:rPr>
          <w:rFonts w:ascii="Garamond" w:eastAsia="Times New Roman" w:hAnsi="Garamond" w:cs="Times New Roman"/>
          <w:szCs w:val="24"/>
        </w:rPr>
      </w:pPr>
      <w:r w:rsidRPr="00AD67C2">
        <w:rPr>
          <w:rFonts w:ascii="Garamond" w:eastAsia="Times New Roman" w:hAnsi="Garamond" w:cs="Times New Roman"/>
          <w:szCs w:val="24"/>
        </w:rPr>
        <w:t>В разделе «Технические (технологические) характеристики объекта регулирования» и «Заявленные параметры снижения потребления электроэнергии объектом регулирования» указывается информация с учетом изменения только в отношении характеристик (параметров), по которым произошли изменения. В характеристиках (параметрах), по которым отсутствуют изменения указывается «изменения отсутствуют».</w:t>
      </w:r>
    </w:p>
    <w:p w14:paraId="0BEC68AD" w14:textId="77777777" w:rsidR="001333B2" w:rsidRPr="00AD67C2" w:rsidRDefault="001333B2" w:rsidP="001A09D5">
      <w:pPr>
        <w:numPr>
          <w:ilvl w:val="0"/>
          <w:numId w:val="329"/>
        </w:numPr>
        <w:suppressAutoHyphens w:val="0"/>
        <w:spacing w:after="160" w:line="276" w:lineRule="auto"/>
        <w:ind w:left="426"/>
        <w:contextualSpacing/>
        <w:jc w:val="both"/>
        <w:rPr>
          <w:rFonts w:ascii="Garamond" w:eastAsia="Times New Roman" w:hAnsi="Garamond" w:cs="Times New Roman"/>
          <w:szCs w:val="24"/>
        </w:rPr>
      </w:pPr>
      <w:r w:rsidRPr="00AD67C2">
        <w:rPr>
          <w:rFonts w:ascii="Garamond" w:eastAsia="Times New Roman" w:hAnsi="Garamond" w:cs="Times New Roman"/>
          <w:szCs w:val="24"/>
        </w:rPr>
        <w:t>Значения максимальной мощности, установленной мощности и энергоемкости указываются с точностью не более трех знаков после запятой.</w:t>
      </w:r>
    </w:p>
    <w:p w14:paraId="0778657B" w14:textId="11A753EE" w:rsidR="001333B2" w:rsidRPr="00AD67C2" w:rsidRDefault="001333B2" w:rsidP="001A09D5">
      <w:pPr>
        <w:numPr>
          <w:ilvl w:val="0"/>
          <w:numId w:val="329"/>
        </w:numPr>
        <w:suppressAutoHyphens w:val="0"/>
        <w:spacing w:after="160" w:line="276" w:lineRule="auto"/>
        <w:ind w:left="426"/>
        <w:contextualSpacing/>
        <w:jc w:val="both"/>
        <w:rPr>
          <w:rFonts w:ascii="Garamond" w:eastAsia="Times New Roman" w:hAnsi="Garamond" w:cs="Times New Roman"/>
          <w:szCs w:val="24"/>
        </w:rPr>
      </w:pPr>
      <w:r w:rsidRPr="00AD67C2">
        <w:rPr>
          <w:rFonts w:ascii="Garamond" w:eastAsia="Times New Roman" w:hAnsi="Garamond" w:cs="Times New Roman"/>
          <w:szCs w:val="24"/>
        </w:rPr>
        <w:t>При отсутствии в составе объекта регулирования объектов по производству электрическ</w:t>
      </w:r>
      <w:r w:rsidR="002C48F6">
        <w:rPr>
          <w:rFonts w:ascii="Garamond" w:eastAsia="Times New Roman" w:hAnsi="Garamond" w:cs="Times New Roman"/>
          <w:szCs w:val="24"/>
        </w:rPr>
        <w:t>ой энергии (электростанции/блок-</w:t>
      </w:r>
      <w:r w:rsidRPr="00AD67C2">
        <w:rPr>
          <w:rFonts w:ascii="Garamond" w:eastAsia="Times New Roman" w:hAnsi="Garamond" w:cs="Times New Roman"/>
          <w:szCs w:val="24"/>
        </w:rPr>
        <w:t>станции) или систем накопления указывается «отсутствуют».</w:t>
      </w:r>
    </w:p>
    <w:p w14:paraId="30D9CEBD" w14:textId="77777777" w:rsidR="001333B2" w:rsidRPr="00AD67C2" w:rsidRDefault="001333B2" w:rsidP="001A09D5">
      <w:pPr>
        <w:numPr>
          <w:ilvl w:val="0"/>
          <w:numId w:val="329"/>
        </w:numPr>
        <w:suppressAutoHyphens w:val="0"/>
        <w:spacing w:after="160" w:line="276" w:lineRule="auto"/>
        <w:ind w:left="426"/>
        <w:contextualSpacing/>
        <w:jc w:val="both"/>
        <w:rPr>
          <w:rFonts w:ascii="Garamond" w:eastAsia="Times New Roman" w:hAnsi="Garamond" w:cs="Times New Roman"/>
          <w:szCs w:val="24"/>
        </w:rPr>
      </w:pPr>
      <w:r w:rsidRPr="00AD67C2">
        <w:rPr>
          <w:rFonts w:ascii="Garamond" w:eastAsia="Times New Roman" w:hAnsi="Garamond" w:cs="Times New Roman"/>
          <w:szCs w:val="24"/>
        </w:rPr>
        <w:t>Контактные данные представителя заявителя, ответственного за предоставление доступа КО к системе учета в удаленном режиме с использованием соответствующего специализированного программного обеспечения и его наименование указываются только в случае направления в комплекте документов ответной квитанции (макет 60001). В случае отсутствия в комплекте документов ответной квитанции (макет 60001) указывается прочерк.</w:t>
      </w:r>
    </w:p>
    <w:p w14:paraId="2EDD0533" w14:textId="77777777" w:rsidR="001333B2" w:rsidRPr="00AD67C2" w:rsidRDefault="001333B2" w:rsidP="001A09D5">
      <w:pPr>
        <w:numPr>
          <w:ilvl w:val="0"/>
          <w:numId w:val="329"/>
        </w:numPr>
        <w:suppressAutoHyphens w:val="0"/>
        <w:spacing w:after="160" w:line="276" w:lineRule="auto"/>
        <w:ind w:left="426"/>
        <w:contextualSpacing/>
        <w:jc w:val="both"/>
        <w:rPr>
          <w:rFonts w:ascii="Garamond" w:eastAsia="Times New Roman" w:hAnsi="Garamond" w:cs="Times New Roman"/>
          <w:szCs w:val="24"/>
        </w:rPr>
      </w:pPr>
      <w:r w:rsidRPr="00AD67C2">
        <w:rPr>
          <w:rFonts w:ascii="Garamond" w:eastAsia="Times New Roman" w:hAnsi="Garamond" w:cs="Times New Roman"/>
          <w:szCs w:val="24"/>
        </w:rPr>
        <w:t xml:space="preserve">В случае отсутствия возможности использования программного обеспечения из перечня ПО, указанного на официальном интернет-сайте Коммерческого оператора </w:t>
      </w:r>
      <w:hyperlink r:id="rId30" w:history="1">
        <w:r w:rsidRPr="00AD67C2">
          <w:rPr>
            <w:rFonts w:ascii="Garamond" w:eastAsia="Times New Roman" w:hAnsi="Garamond" w:cs="Times New Roman"/>
            <w:szCs w:val="24"/>
          </w:rPr>
          <w:t>www.atsenergo.ru</w:t>
        </w:r>
      </w:hyperlink>
      <w:r w:rsidRPr="00AD67C2">
        <w:rPr>
          <w:rFonts w:ascii="Garamond" w:eastAsia="Times New Roman" w:hAnsi="Garamond" w:cs="Times New Roman"/>
          <w:szCs w:val="24"/>
        </w:rPr>
        <w:t xml:space="preserve"> в разделе «Коммерческий учет», указывается мотивированное объяснение.</w:t>
      </w:r>
    </w:p>
    <w:p w14:paraId="701D3583" w14:textId="6CBD3621" w:rsidR="001333B2" w:rsidRPr="00AD67C2" w:rsidRDefault="002C48F6" w:rsidP="001A09D5">
      <w:pPr>
        <w:numPr>
          <w:ilvl w:val="0"/>
          <w:numId w:val="329"/>
        </w:numPr>
        <w:suppressAutoHyphens w:val="0"/>
        <w:spacing w:after="160" w:line="276" w:lineRule="auto"/>
        <w:ind w:left="426"/>
        <w:contextualSpacing/>
        <w:jc w:val="both"/>
        <w:rPr>
          <w:rFonts w:ascii="Garamond" w:eastAsia="Times New Roman" w:hAnsi="Garamond" w:cs="Times New Roman"/>
          <w:szCs w:val="24"/>
        </w:rPr>
      </w:pPr>
      <w:r>
        <w:rPr>
          <w:rFonts w:ascii="Garamond" w:eastAsia="Times New Roman" w:hAnsi="Garamond" w:cs="Times New Roman"/>
          <w:szCs w:val="24"/>
        </w:rPr>
        <w:t>В случае не</w:t>
      </w:r>
      <w:r w:rsidR="001333B2" w:rsidRPr="00AD67C2">
        <w:rPr>
          <w:rFonts w:ascii="Garamond" w:eastAsia="Times New Roman" w:hAnsi="Garamond" w:cs="Times New Roman"/>
          <w:szCs w:val="24"/>
        </w:rPr>
        <w:t xml:space="preserve">выполнения п. </w:t>
      </w:r>
      <w:r w:rsidR="001333B2" w:rsidRPr="00AD67C2">
        <w:rPr>
          <w:rFonts w:ascii="Garamond" w:eastAsia="Times New Roman" w:hAnsi="Garamond" w:cs="Times New Roman"/>
          <w:szCs w:val="24"/>
        </w:rPr>
        <w:fldChar w:fldCharType="begin"/>
      </w:r>
      <w:r w:rsidR="001333B2" w:rsidRPr="00AD67C2">
        <w:rPr>
          <w:rFonts w:ascii="Garamond" w:eastAsia="Times New Roman" w:hAnsi="Garamond" w:cs="Times New Roman"/>
          <w:szCs w:val="24"/>
        </w:rPr>
        <w:instrText xml:space="preserve"> REF _Ref149321995 \r \h  \* MERGEFORMAT </w:instrText>
      </w:r>
      <w:r w:rsidR="001333B2" w:rsidRPr="00AD67C2">
        <w:rPr>
          <w:rFonts w:ascii="Garamond" w:eastAsia="Times New Roman" w:hAnsi="Garamond" w:cs="Times New Roman"/>
          <w:szCs w:val="24"/>
        </w:rPr>
      </w:r>
      <w:r w:rsidR="001333B2" w:rsidRPr="00AD67C2">
        <w:rPr>
          <w:rFonts w:ascii="Garamond" w:eastAsia="Times New Roman" w:hAnsi="Garamond" w:cs="Times New Roman"/>
          <w:szCs w:val="24"/>
        </w:rPr>
        <w:fldChar w:fldCharType="separate"/>
      </w:r>
      <w:r w:rsidR="001333B2" w:rsidRPr="00AD67C2">
        <w:rPr>
          <w:rFonts w:ascii="Garamond" w:eastAsia="Times New Roman" w:hAnsi="Garamond" w:cs="Times New Roman"/>
          <w:szCs w:val="24"/>
        </w:rPr>
        <w:t>3.8.4</w:t>
      </w:r>
      <w:r w:rsidR="001333B2" w:rsidRPr="00AD67C2">
        <w:rPr>
          <w:rFonts w:ascii="Garamond" w:eastAsia="Times New Roman" w:hAnsi="Garamond" w:cs="Times New Roman"/>
          <w:szCs w:val="24"/>
        </w:rPr>
        <w:fldChar w:fldCharType="end"/>
      </w:r>
      <w:r w:rsidR="001333B2" w:rsidRPr="00AD67C2">
        <w:rPr>
          <w:rFonts w:ascii="Garamond" w:eastAsia="Times New Roman" w:hAnsi="Garamond" w:cs="Times New Roman"/>
          <w:szCs w:val="24"/>
        </w:rPr>
        <w:t xml:space="preserve"> приложения 9 к </w:t>
      </w:r>
      <w:r w:rsidR="001333B2" w:rsidRPr="00AD67C2">
        <w:rPr>
          <w:rFonts w:ascii="Garamond" w:eastAsia="Times New Roman" w:hAnsi="Garamond" w:cs="Times New Roman"/>
          <w:i/>
          <w:szCs w:val="24"/>
        </w:rPr>
        <w:t>Положению о порядке получения статуса субъекта оптового рынка и ведения реестра субъектов оптового рынка</w:t>
      </w:r>
      <w:r w:rsidR="001333B2" w:rsidRPr="00AD67C2">
        <w:rPr>
          <w:rFonts w:ascii="Garamond" w:eastAsia="Times New Roman" w:hAnsi="Garamond" w:cs="Times New Roman"/>
          <w:szCs w:val="24"/>
        </w:rPr>
        <w:t xml:space="preserve"> (Приложение № 1.1 к </w:t>
      </w:r>
      <w:r w:rsidR="001333B2" w:rsidRPr="00AD67C2">
        <w:rPr>
          <w:rFonts w:ascii="Garamond" w:eastAsia="Times New Roman" w:hAnsi="Garamond" w:cs="Times New Roman"/>
          <w:i/>
          <w:szCs w:val="24"/>
        </w:rPr>
        <w:t>Договору о присоединении к торговой системе оптового рынка</w:t>
      </w:r>
      <w:r w:rsidR="001333B2" w:rsidRPr="00AD67C2">
        <w:rPr>
          <w:rFonts w:ascii="Garamond" w:eastAsia="Times New Roman" w:hAnsi="Garamond" w:cs="Times New Roman"/>
          <w:szCs w:val="24"/>
        </w:rPr>
        <w:t>) указывается прочерк.</w:t>
      </w:r>
    </w:p>
    <w:p w14:paraId="780BB363" w14:textId="23711486" w:rsidR="00344A7F" w:rsidRPr="00AD67C2" w:rsidRDefault="00344A7F" w:rsidP="00344A7F">
      <w:pPr>
        <w:numPr>
          <w:ilvl w:val="0"/>
          <w:numId w:val="329"/>
        </w:numPr>
        <w:suppressAutoHyphens w:val="0"/>
        <w:spacing w:after="160" w:line="276" w:lineRule="auto"/>
        <w:ind w:left="425" w:hanging="357"/>
        <w:contextualSpacing/>
        <w:jc w:val="both"/>
        <w:rPr>
          <w:rFonts w:ascii="Garamond" w:eastAsia="Times New Roman" w:hAnsi="Garamond" w:cs="Times New Roman"/>
        </w:rPr>
      </w:pPr>
      <w:r w:rsidRPr="00AD67C2">
        <w:rPr>
          <w:rFonts w:ascii="Garamond" w:eastAsia="Times New Roman" w:hAnsi="Garamond" w:cs="Times New Roman"/>
        </w:rPr>
        <w:t>В случае если договор оказания услуг по изменению режима потребления электрической энергии заключен на неопределенный срок, то допускается указать только дату начала оказания услуг</w:t>
      </w:r>
      <w:r w:rsidR="00C25692" w:rsidRPr="00AD67C2">
        <w:rPr>
          <w:rFonts w:ascii="Garamond" w:eastAsia="Times New Roman" w:hAnsi="Garamond" w:cs="Times New Roman"/>
        </w:rPr>
        <w:t>.</w:t>
      </w:r>
    </w:p>
    <w:p w14:paraId="2B9AE770" w14:textId="77777777" w:rsidR="001333B2" w:rsidRPr="00AD67C2" w:rsidRDefault="001333B2" w:rsidP="001333B2">
      <w:pPr>
        <w:widowControl w:val="0"/>
        <w:tabs>
          <w:tab w:val="left" w:pos="1077"/>
        </w:tabs>
        <w:suppressAutoHyphens w:val="0"/>
        <w:spacing w:before="120" w:after="120"/>
        <w:jc w:val="both"/>
        <w:rPr>
          <w:rFonts w:ascii="Garamond" w:eastAsia="Calibri" w:hAnsi="Garamond" w:cs="Times New Roman"/>
          <w:bCs/>
          <w:sz w:val="22"/>
          <w:szCs w:val="22"/>
          <w:lang w:eastAsia="en-US"/>
        </w:rPr>
      </w:pPr>
    </w:p>
    <w:p w14:paraId="70AD8F79" w14:textId="77777777" w:rsidR="001333B2" w:rsidRPr="00AD67C2" w:rsidRDefault="001333B2" w:rsidP="001333B2">
      <w:pPr>
        <w:widowControl w:val="0"/>
        <w:tabs>
          <w:tab w:val="left" w:pos="1077"/>
        </w:tabs>
        <w:suppressAutoHyphens w:val="0"/>
        <w:spacing w:before="120" w:after="120"/>
        <w:jc w:val="both"/>
        <w:rPr>
          <w:rFonts w:ascii="Garamond" w:eastAsia="Calibri" w:hAnsi="Garamond" w:cs="Times New Roman"/>
          <w:bCs/>
          <w:sz w:val="22"/>
          <w:szCs w:val="22"/>
          <w:lang w:eastAsia="en-US"/>
        </w:rPr>
      </w:pPr>
    </w:p>
    <w:p w14:paraId="4D66025A" w14:textId="77777777" w:rsidR="001333B2" w:rsidRPr="00AD67C2" w:rsidRDefault="001333B2" w:rsidP="001333B2">
      <w:pPr>
        <w:tabs>
          <w:tab w:val="left" w:pos="567"/>
          <w:tab w:val="left" w:pos="737"/>
        </w:tabs>
        <w:suppressAutoHyphens w:val="0"/>
        <w:ind w:left="567" w:hanging="567"/>
        <w:jc w:val="both"/>
        <w:rPr>
          <w:rFonts w:ascii="Garamond" w:eastAsia="Times New Roman" w:hAnsi="Garamond" w:cs="Times New Roman"/>
          <w:b/>
          <w:bCs/>
          <w:sz w:val="22"/>
          <w:szCs w:val="22"/>
          <w:u w:val="single"/>
        </w:rPr>
      </w:pPr>
      <w:r w:rsidRPr="00AD67C2">
        <w:rPr>
          <w:rFonts w:ascii="Garamond" w:eastAsia="Times New Roman" w:hAnsi="Garamond" w:cs="Times New Roman"/>
          <w:b/>
          <w:bCs/>
          <w:sz w:val="22"/>
          <w:szCs w:val="22"/>
          <w:u w:val="single"/>
        </w:rPr>
        <w:t>Примеры видов изменений:</w:t>
      </w:r>
    </w:p>
    <w:p w14:paraId="5D751807" w14:textId="77777777" w:rsidR="001333B2" w:rsidRPr="00AD67C2" w:rsidRDefault="001333B2" w:rsidP="001333B2">
      <w:pPr>
        <w:tabs>
          <w:tab w:val="left" w:pos="1134"/>
        </w:tabs>
        <w:suppressAutoHyphens w:val="0"/>
        <w:spacing w:line="276" w:lineRule="auto"/>
        <w:contextualSpacing/>
        <w:jc w:val="both"/>
        <w:rPr>
          <w:rFonts w:ascii="Garamond" w:eastAsia="Times New Roman" w:hAnsi="Garamond" w:cs="Times New Roman"/>
          <w:b/>
          <w:sz w:val="22"/>
          <w:szCs w:val="22"/>
        </w:rPr>
      </w:pPr>
      <w:r w:rsidRPr="00AD67C2">
        <w:rPr>
          <w:rFonts w:ascii="Garamond" w:eastAsia="Times New Roman" w:hAnsi="Garamond" w:cs="Times New Roman"/>
          <w:b/>
          <w:sz w:val="22"/>
          <w:szCs w:val="22"/>
        </w:rPr>
        <w:t>Изменение точек присоединения с изменением состава электрооборудования, входящего в объект регулирования:</w:t>
      </w:r>
    </w:p>
    <w:p w14:paraId="70279C82" w14:textId="77777777" w:rsidR="001333B2" w:rsidRPr="00AD67C2" w:rsidRDefault="001333B2" w:rsidP="001A09D5">
      <w:pPr>
        <w:numPr>
          <w:ilvl w:val="0"/>
          <w:numId w:val="333"/>
        </w:numPr>
        <w:suppressAutoHyphens w:val="0"/>
        <w:spacing w:after="160" w:line="276" w:lineRule="auto"/>
        <w:ind w:left="425" w:hanging="425"/>
        <w:jc w:val="both"/>
        <w:rPr>
          <w:rFonts w:ascii="Garamond" w:eastAsia="Times New Roman" w:hAnsi="Garamond" w:cs="Times New Roman"/>
          <w:sz w:val="22"/>
          <w:szCs w:val="22"/>
        </w:rPr>
      </w:pPr>
      <w:r w:rsidRPr="00AD67C2">
        <w:rPr>
          <w:rFonts w:ascii="Garamond" w:eastAsia="Times New Roman" w:hAnsi="Garamond" w:cs="Times New Roman"/>
          <w:sz w:val="22"/>
          <w:szCs w:val="22"/>
        </w:rPr>
        <w:t>Добавление __ ТП</w:t>
      </w:r>
      <w:r w:rsidRPr="00AD67C2">
        <w:rPr>
          <w:rFonts w:ascii="Garamond" w:eastAsia="Times New Roman" w:hAnsi="Garamond" w:cs="Times New Roman"/>
          <w:sz w:val="22"/>
          <w:szCs w:val="22"/>
          <w:lang w:val="en-US"/>
        </w:rPr>
        <w:t>:</w:t>
      </w:r>
      <w:r w:rsidRPr="00AD67C2">
        <w:rPr>
          <w:rFonts w:ascii="Garamond" w:eastAsia="Times New Roman" w:hAnsi="Garamond" w:cs="Times New Roman"/>
          <w:sz w:val="22"/>
          <w:szCs w:val="22"/>
        </w:rPr>
        <w:t xml:space="preserve"> №№ __.</w:t>
      </w:r>
    </w:p>
    <w:p w14:paraId="3AAC0A82" w14:textId="77777777" w:rsidR="001333B2" w:rsidRPr="00AD67C2" w:rsidRDefault="001333B2" w:rsidP="001A09D5">
      <w:pPr>
        <w:numPr>
          <w:ilvl w:val="0"/>
          <w:numId w:val="333"/>
        </w:numPr>
        <w:suppressAutoHyphens w:val="0"/>
        <w:spacing w:after="160" w:line="276" w:lineRule="auto"/>
        <w:ind w:left="425" w:hanging="425"/>
        <w:jc w:val="both"/>
        <w:rPr>
          <w:rFonts w:ascii="Garamond" w:eastAsia="Times New Roman" w:hAnsi="Garamond" w:cs="Times New Roman"/>
          <w:sz w:val="22"/>
          <w:szCs w:val="22"/>
        </w:rPr>
      </w:pPr>
      <w:r w:rsidRPr="00AD67C2">
        <w:rPr>
          <w:rFonts w:ascii="Garamond" w:eastAsia="Times New Roman" w:hAnsi="Garamond" w:cs="Times New Roman"/>
          <w:sz w:val="22"/>
          <w:szCs w:val="22"/>
        </w:rPr>
        <w:t>Исключение __ ТП</w:t>
      </w:r>
      <w:r w:rsidRPr="00AD67C2">
        <w:rPr>
          <w:rFonts w:ascii="Garamond" w:eastAsia="Times New Roman" w:hAnsi="Garamond" w:cs="Times New Roman"/>
          <w:sz w:val="22"/>
          <w:szCs w:val="22"/>
          <w:lang w:val="en-US"/>
        </w:rPr>
        <w:t>:</w:t>
      </w:r>
      <w:r w:rsidRPr="00AD67C2">
        <w:rPr>
          <w:rFonts w:ascii="Garamond" w:eastAsia="Times New Roman" w:hAnsi="Garamond" w:cs="Times New Roman"/>
          <w:sz w:val="22"/>
          <w:szCs w:val="22"/>
        </w:rPr>
        <w:t xml:space="preserve"> №№ __.</w:t>
      </w:r>
    </w:p>
    <w:p w14:paraId="751BEAA0" w14:textId="77777777" w:rsidR="001333B2" w:rsidRPr="00AD67C2" w:rsidRDefault="001333B2" w:rsidP="001A09D5">
      <w:pPr>
        <w:numPr>
          <w:ilvl w:val="0"/>
          <w:numId w:val="333"/>
        </w:numPr>
        <w:suppressAutoHyphens w:val="0"/>
        <w:spacing w:after="160" w:line="276" w:lineRule="auto"/>
        <w:ind w:left="425" w:hanging="425"/>
        <w:jc w:val="both"/>
        <w:rPr>
          <w:rFonts w:ascii="Garamond" w:eastAsia="Times New Roman" w:hAnsi="Garamond" w:cs="Times New Roman"/>
          <w:sz w:val="22"/>
          <w:szCs w:val="22"/>
        </w:rPr>
      </w:pPr>
      <w:r w:rsidRPr="00AD67C2">
        <w:rPr>
          <w:rFonts w:ascii="Garamond" w:eastAsia="Times New Roman" w:hAnsi="Garamond" w:cs="Times New Roman"/>
          <w:sz w:val="22"/>
          <w:szCs w:val="22"/>
        </w:rPr>
        <w:t>Исключение __ ТП: №№ __ и (или) добавление __ ТП: №№ __.</w:t>
      </w:r>
    </w:p>
    <w:p w14:paraId="4B04EE51" w14:textId="77777777" w:rsidR="001333B2" w:rsidRPr="00AD67C2" w:rsidRDefault="001333B2" w:rsidP="001A09D5">
      <w:pPr>
        <w:numPr>
          <w:ilvl w:val="0"/>
          <w:numId w:val="333"/>
        </w:numPr>
        <w:suppressAutoHyphens w:val="0"/>
        <w:spacing w:after="160" w:line="276" w:lineRule="auto"/>
        <w:ind w:left="425" w:hanging="425"/>
        <w:contextualSpacing/>
        <w:jc w:val="both"/>
        <w:rPr>
          <w:rFonts w:ascii="Garamond" w:eastAsia="Times New Roman" w:hAnsi="Garamond" w:cs="Times New Roman"/>
          <w:sz w:val="22"/>
          <w:szCs w:val="22"/>
        </w:rPr>
      </w:pPr>
      <w:r w:rsidRPr="00AD67C2">
        <w:rPr>
          <w:rFonts w:ascii="Garamond" w:eastAsia="Times New Roman" w:hAnsi="Garamond" w:cs="Times New Roman"/>
          <w:sz w:val="22"/>
          <w:szCs w:val="22"/>
        </w:rPr>
        <w:t>Иные изменения (указать).</w:t>
      </w:r>
    </w:p>
    <w:p w14:paraId="17376C60" w14:textId="77777777" w:rsidR="001333B2" w:rsidRPr="00AD67C2" w:rsidRDefault="001333B2" w:rsidP="001333B2">
      <w:pPr>
        <w:tabs>
          <w:tab w:val="left" w:pos="567"/>
          <w:tab w:val="left" w:pos="737"/>
        </w:tabs>
        <w:suppressAutoHyphens w:val="0"/>
        <w:ind w:left="567" w:hanging="567"/>
        <w:jc w:val="both"/>
        <w:rPr>
          <w:rFonts w:ascii="Garamond" w:eastAsia="Times New Roman" w:hAnsi="Garamond" w:cs="Times New Roman"/>
          <w:bCs/>
          <w:sz w:val="22"/>
          <w:szCs w:val="22"/>
        </w:rPr>
      </w:pPr>
    </w:p>
    <w:p w14:paraId="44455546" w14:textId="77777777" w:rsidR="001333B2" w:rsidRPr="00AD67C2" w:rsidRDefault="001333B2" w:rsidP="001333B2">
      <w:pPr>
        <w:tabs>
          <w:tab w:val="left" w:pos="1134"/>
        </w:tabs>
        <w:suppressAutoHyphens w:val="0"/>
        <w:spacing w:line="276" w:lineRule="auto"/>
        <w:contextualSpacing/>
        <w:jc w:val="both"/>
        <w:rPr>
          <w:rFonts w:ascii="Garamond" w:eastAsia="Times New Roman" w:hAnsi="Garamond" w:cs="Times New Roman"/>
          <w:b/>
          <w:sz w:val="22"/>
          <w:szCs w:val="22"/>
        </w:rPr>
      </w:pPr>
      <w:r w:rsidRPr="00AD67C2">
        <w:rPr>
          <w:rFonts w:ascii="Garamond" w:eastAsia="Times New Roman" w:hAnsi="Garamond" w:cs="Times New Roman"/>
          <w:b/>
          <w:sz w:val="22"/>
          <w:szCs w:val="22"/>
        </w:rPr>
        <w:t>Изменение точек присоединения без изменения состава электрооборудования, входящего в объект регулирования:</w:t>
      </w:r>
    </w:p>
    <w:p w14:paraId="32E53353" w14:textId="77777777" w:rsidR="001333B2" w:rsidRPr="00AD67C2" w:rsidRDefault="001333B2" w:rsidP="001A09D5">
      <w:pPr>
        <w:numPr>
          <w:ilvl w:val="0"/>
          <w:numId w:val="334"/>
        </w:numPr>
        <w:suppressAutoHyphens w:val="0"/>
        <w:spacing w:after="160" w:line="276" w:lineRule="auto"/>
        <w:ind w:left="425" w:hanging="425"/>
        <w:jc w:val="both"/>
        <w:rPr>
          <w:rFonts w:ascii="Garamond" w:eastAsia="Times New Roman" w:hAnsi="Garamond" w:cs="Times New Roman"/>
          <w:sz w:val="22"/>
          <w:szCs w:val="22"/>
        </w:rPr>
      </w:pPr>
      <w:r w:rsidRPr="00AD67C2">
        <w:rPr>
          <w:rFonts w:ascii="Garamond" w:eastAsia="Times New Roman" w:hAnsi="Garamond" w:cs="Times New Roman"/>
          <w:sz w:val="22"/>
          <w:szCs w:val="22"/>
        </w:rPr>
        <w:t>Добавление __ ТП</w:t>
      </w:r>
      <w:r w:rsidRPr="00AD67C2">
        <w:rPr>
          <w:rFonts w:ascii="Garamond" w:eastAsia="Times New Roman" w:hAnsi="Garamond" w:cs="Times New Roman"/>
          <w:sz w:val="22"/>
          <w:szCs w:val="22"/>
          <w:lang w:val="en-US"/>
        </w:rPr>
        <w:t>:</w:t>
      </w:r>
      <w:r w:rsidRPr="00AD67C2">
        <w:rPr>
          <w:rFonts w:ascii="Garamond" w:eastAsia="Times New Roman" w:hAnsi="Garamond" w:cs="Times New Roman"/>
          <w:sz w:val="22"/>
          <w:szCs w:val="22"/>
        </w:rPr>
        <w:t xml:space="preserve"> №№ __.</w:t>
      </w:r>
    </w:p>
    <w:p w14:paraId="1DEEC947" w14:textId="77777777" w:rsidR="001333B2" w:rsidRPr="00AD67C2" w:rsidRDefault="001333B2" w:rsidP="001A09D5">
      <w:pPr>
        <w:numPr>
          <w:ilvl w:val="0"/>
          <w:numId w:val="334"/>
        </w:numPr>
        <w:suppressAutoHyphens w:val="0"/>
        <w:spacing w:after="160" w:line="276" w:lineRule="auto"/>
        <w:ind w:left="425" w:hanging="425"/>
        <w:jc w:val="both"/>
        <w:rPr>
          <w:rFonts w:ascii="Garamond" w:eastAsia="Times New Roman" w:hAnsi="Garamond" w:cs="Times New Roman"/>
          <w:sz w:val="22"/>
          <w:szCs w:val="22"/>
        </w:rPr>
      </w:pPr>
      <w:r w:rsidRPr="00AD67C2">
        <w:rPr>
          <w:rFonts w:ascii="Garamond" w:eastAsia="Times New Roman" w:hAnsi="Garamond" w:cs="Times New Roman"/>
          <w:sz w:val="22"/>
          <w:szCs w:val="22"/>
        </w:rPr>
        <w:t>Исключение __ ТП: №№ __.</w:t>
      </w:r>
    </w:p>
    <w:p w14:paraId="6CAC5F43" w14:textId="77777777" w:rsidR="001333B2" w:rsidRPr="00AD67C2" w:rsidRDefault="001333B2" w:rsidP="001A09D5">
      <w:pPr>
        <w:numPr>
          <w:ilvl w:val="0"/>
          <w:numId w:val="334"/>
        </w:numPr>
        <w:suppressAutoHyphens w:val="0"/>
        <w:spacing w:after="160" w:line="276" w:lineRule="auto"/>
        <w:ind w:left="425" w:hanging="425"/>
        <w:jc w:val="both"/>
        <w:rPr>
          <w:rFonts w:ascii="Garamond" w:eastAsia="Times New Roman" w:hAnsi="Garamond" w:cs="Times New Roman"/>
          <w:sz w:val="22"/>
          <w:szCs w:val="22"/>
        </w:rPr>
      </w:pPr>
      <w:r w:rsidRPr="00AD67C2">
        <w:rPr>
          <w:rFonts w:ascii="Garamond" w:eastAsia="Times New Roman" w:hAnsi="Garamond" w:cs="Times New Roman"/>
          <w:sz w:val="22"/>
          <w:szCs w:val="22"/>
        </w:rPr>
        <w:t>Исключение __ ТП: №№ __ и (или) добавление __ ТП: №№ __.</w:t>
      </w:r>
    </w:p>
    <w:p w14:paraId="2BCF8F91" w14:textId="77777777" w:rsidR="001333B2" w:rsidRPr="00AD67C2" w:rsidRDefault="001333B2" w:rsidP="001A09D5">
      <w:pPr>
        <w:numPr>
          <w:ilvl w:val="0"/>
          <w:numId w:val="334"/>
        </w:numPr>
        <w:suppressAutoHyphens w:val="0"/>
        <w:spacing w:after="160" w:line="276" w:lineRule="auto"/>
        <w:ind w:left="425" w:hanging="425"/>
        <w:jc w:val="both"/>
        <w:rPr>
          <w:rFonts w:ascii="Garamond" w:eastAsia="Times New Roman" w:hAnsi="Garamond" w:cs="Times New Roman"/>
          <w:sz w:val="22"/>
          <w:szCs w:val="22"/>
        </w:rPr>
      </w:pPr>
      <w:r w:rsidRPr="00AD67C2">
        <w:rPr>
          <w:rFonts w:ascii="Garamond" w:eastAsia="Times New Roman" w:hAnsi="Garamond" w:cs="Times New Roman"/>
          <w:sz w:val="22"/>
          <w:szCs w:val="22"/>
        </w:rPr>
        <w:t>Иные изменения (указать).</w:t>
      </w:r>
    </w:p>
    <w:p w14:paraId="54C37BD3" w14:textId="77777777" w:rsidR="001333B2" w:rsidRPr="00AD67C2" w:rsidRDefault="001333B2" w:rsidP="001333B2">
      <w:pPr>
        <w:tabs>
          <w:tab w:val="left" w:pos="567"/>
          <w:tab w:val="left" w:pos="737"/>
        </w:tabs>
        <w:suppressAutoHyphens w:val="0"/>
        <w:ind w:left="567" w:hanging="567"/>
        <w:jc w:val="both"/>
        <w:rPr>
          <w:rFonts w:ascii="Garamond" w:eastAsia="Times New Roman" w:hAnsi="Garamond" w:cs="Times New Roman"/>
          <w:bCs/>
          <w:sz w:val="22"/>
          <w:szCs w:val="22"/>
        </w:rPr>
      </w:pPr>
    </w:p>
    <w:p w14:paraId="6A7238CC" w14:textId="77777777" w:rsidR="001333B2" w:rsidRPr="00AD67C2" w:rsidRDefault="001333B2" w:rsidP="001333B2">
      <w:pPr>
        <w:tabs>
          <w:tab w:val="left" w:pos="567"/>
          <w:tab w:val="left" w:pos="737"/>
        </w:tabs>
        <w:suppressAutoHyphens w:val="0"/>
        <w:ind w:left="567" w:hanging="567"/>
        <w:jc w:val="both"/>
        <w:rPr>
          <w:rFonts w:ascii="Garamond" w:eastAsia="Times New Roman" w:hAnsi="Garamond" w:cs="Times New Roman"/>
          <w:b/>
          <w:bCs/>
          <w:sz w:val="22"/>
          <w:szCs w:val="22"/>
          <w:lang w:val="en-US"/>
        </w:rPr>
      </w:pPr>
      <w:r w:rsidRPr="00AD67C2">
        <w:rPr>
          <w:rFonts w:ascii="Garamond" w:eastAsia="Times New Roman" w:hAnsi="Garamond" w:cs="Times New Roman"/>
          <w:b/>
          <w:bCs/>
          <w:sz w:val="22"/>
          <w:szCs w:val="22"/>
        </w:rPr>
        <w:t>Иные изменения</w:t>
      </w:r>
      <w:r w:rsidRPr="00AD67C2">
        <w:rPr>
          <w:rFonts w:ascii="Garamond" w:eastAsia="Times New Roman" w:hAnsi="Garamond" w:cs="Times New Roman"/>
          <w:b/>
          <w:bCs/>
          <w:sz w:val="22"/>
          <w:szCs w:val="22"/>
          <w:lang w:val="en-US"/>
        </w:rPr>
        <w:t>:</w:t>
      </w:r>
    </w:p>
    <w:p w14:paraId="3AF9E092" w14:textId="77777777" w:rsidR="001333B2" w:rsidRPr="00AD67C2" w:rsidRDefault="001333B2" w:rsidP="001A09D5">
      <w:pPr>
        <w:numPr>
          <w:ilvl w:val="0"/>
          <w:numId w:val="335"/>
        </w:numPr>
        <w:suppressAutoHyphens w:val="0"/>
        <w:spacing w:after="160" w:line="276" w:lineRule="auto"/>
        <w:ind w:left="425" w:hanging="425"/>
        <w:contextualSpacing/>
        <w:jc w:val="both"/>
        <w:rPr>
          <w:rFonts w:ascii="Garamond" w:eastAsia="Times New Roman" w:hAnsi="Garamond" w:cs="Times New Roman"/>
          <w:sz w:val="22"/>
          <w:szCs w:val="22"/>
        </w:rPr>
      </w:pPr>
      <w:r w:rsidRPr="00AD67C2">
        <w:rPr>
          <w:rFonts w:ascii="Garamond" w:eastAsia="Times New Roman" w:hAnsi="Garamond" w:cs="Times New Roman"/>
          <w:sz w:val="22"/>
          <w:szCs w:val="22"/>
        </w:rPr>
        <w:t>Изменение наименований __ ТП: №№ __.</w:t>
      </w:r>
    </w:p>
    <w:p w14:paraId="1F29218D" w14:textId="77777777" w:rsidR="001333B2" w:rsidRPr="00AD67C2" w:rsidRDefault="001333B2" w:rsidP="001A09D5">
      <w:pPr>
        <w:numPr>
          <w:ilvl w:val="0"/>
          <w:numId w:val="335"/>
        </w:numPr>
        <w:suppressAutoHyphens w:val="0"/>
        <w:spacing w:after="160" w:line="276" w:lineRule="auto"/>
        <w:ind w:left="425" w:hanging="425"/>
        <w:contextualSpacing/>
        <w:jc w:val="both"/>
        <w:rPr>
          <w:rFonts w:ascii="Garamond" w:eastAsia="Times New Roman" w:hAnsi="Garamond" w:cs="Times New Roman"/>
          <w:sz w:val="22"/>
          <w:szCs w:val="22"/>
        </w:rPr>
      </w:pPr>
      <w:r w:rsidRPr="00AD67C2">
        <w:rPr>
          <w:rFonts w:ascii="Garamond" w:eastAsia="Times New Roman" w:hAnsi="Garamond" w:cs="Times New Roman"/>
          <w:sz w:val="22"/>
          <w:szCs w:val="22"/>
        </w:rPr>
        <w:t>Иные изменения (указать).</w:t>
      </w:r>
    </w:p>
    <w:p w14:paraId="07F8CFE7" w14:textId="77777777" w:rsidR="001333B2" w:rsidRPr="00AD67C2" w:rsidRDefault="001333B2" w:rsidP="001333B2">
      <w:pPr>
        <w:tabs>
          <w:tab w:val="left" w:pos="1134"/>
        </w:tabs>
        <w:suppressAutoHyphens w:val="0"/>
        <w:spacing w:line="276" w:lineRule="auto"/>
        <w:jc w:val="both"/>
        <w:rPr>
          <w:rFonts w:ascii="Garamond" w:eastAsia="Times New Roman" w:hAnsi="Garamond" w:cs="Times New Roman"/>
          <w:sz w:val="22"/>
          <w:szCs w:val="22"/>
        </w:rPr>
      </w:pPr>
    </w:p>
    <w:p w14:paraId="6F4C94CD" w14:textId="77777777" w:rsidR="001333B2" w:rsidRPr="00AD67C2" w:rsidRDefault="001333B2" w:rsidP="001333B2">
      <w:pPr>
        <w:widowControl w:val="0"/>
        <w:tabs>
          <w:tab w:val="left" w:pos="567"/>
          <w:tab w:val="left" w:pos="737"/>
        </w:tabs>
        <w:suppressAutoHyphens w:val="0"/>
        <w:ind w:left="567" w:hanging="567"/>
        <w:jc w:val="both"/>
        <w:rPr>
          <w:rFonts w:ascii="Garamond" w:eastAsia="Times New Roman" w:hAnsi="Garamond" w:cs="Times New Roman"/>
          <w:b/>
          <w:bCs/>
          <w:sz w:val="22"/>
          <w:szCs w:val="22"/>
          <w:u w:val="single"/>
        </w:rPr>
      </w:pPr>
      <w:r w:rsidRPr="00AD67C2">
        <w:rPr>
          <w:rFonts w:ascii="Garamond" w:eastAsia="Times New Roman" w:hAnsi="Garamond" w:cs="Times New Roman"/>
          <w:b/>
          <w:bCs/>
          <w:sz w:val="22"/>
          <w:szCs w:val="22"/>
          <w:u w:val="single"/>
        </w:rPr>
        <w:t>Примеры оснований изменений:</w:t>
      </w:r>
    </w:p>
    <w:p w14:paraId="67F56C0A" w14:textId="77777777" w:rsidR="001333B2" w:rsidRPr="00AD67C2" w:rsidRDefault="001333B2" w:rsidP="001333B2">
      <w:pPr>
        <w:tabs>
          <w:tab w:val="left" w:pos="1134"/>
        </w:tabs>
        <w:suppressAutoHyphens w:val="0"/>
        <w:spacing w:line="276" w:lineRule="auto"/>
        <w:contextualSpacing/>
        <w:jc w:val="both"/>
        <w:rPr>
          <w:rFonts w:ascii="Garamond" w:eastAsia="Times New Roman" w:hAnsi="Garamond" w:cs="Times New Roman"/>
          <w:b/>
          <w:sz w:val="22"/>
          <w:szCs w:val="22"/>
        </w:rPr>
      </w:pPr>
      <w:r w:rsidRPr="00AD67C2">
        <w:rPr>
          <w:rFonts w:ascii="Garamond" w:eastAsia="Times New Roman" w:hAnsi="Garamond" w:cs="Times New Roman"/>
          <w:b/>
          <w:sz w:val="22"/>
          <w:szCs w:val="22"/>
        </w:rPr>
        <w:t>Изменение точек присоединения с изменением состава электрооборудования, входящего в объект регулирования:</w:t>
      </w:r>
    </w:p>
    <w:p w14:paraId="4D3EA74E" w14:textId="77777777" w:rsidR="001333B2" w:rsidRPr="00AD67C2" w:rsidRDefault="001333B2" w:rsidP="001333B2">
      <w:pPr>
        <w:tabs>
          <w:tab w:val="left" w:pos="1134"/>
        </w:tabs>
        <w:suppressAutoHyphens w:val="0"/>
        <w:spacing w:line="276" w:lineRule="auto"/>
        <w:contextualSpacing/>
        <w:jc w:val="both"/>
        <w:rPr>
          <w:rFonts w:ascii="Garamond" w:eastAsia="Times New Roman" w:hAnsi="Garamond" w:cs="Times New Roman"/>
          <w:sz w:val="22"/>
          <w:szCs w:val="22"/>
        </w:rPr>
      </w:pPr>
      <w:r w:rsidRPr="00AD67C2">
        <w:rPr>
          <w:rFonts w:ascii="Garamond" w:eastAsia="Times New Roman" w:hAnsi="Garamond" w:cs="Times New Roman"/>
          <w:sz w:val="22"/>
          <w:szCs w:val="22"/>
        </w:rPr>
        <w:t>По п. 1 –</w:t>
      </w:r>
    </w:p>
    <w:p w14:paraId="77A535D9" w14:textId="77777777" w:rsidR="001333B2" w:rsidRPr="00AD67C2" w:rsidRDefault="001333B2" w:rsidP="001A09D5">
      <w:pPr>
        <w:numPr>
          <w:ilvl w:val="0"/>
          <w:numId w:val="331"/>
        </w:numPr>
        <w:suppressAutoHyphens w:val="0"/>
        <w:spacing w:after="160" w:line="276" w:lineRule="auto"/>
        <w:ind w:left="425" w:hanging="425"/>
        <w:contextualSpacing/>
        <w:jc w:val="both"/>
        <w:rPr>
          <w:rFonts w:ascii="Garamond" w:eastAsia="Times New Roman" w:hAnsi="Garamond" w:cs="Times New Roman"/>
          <w:sz w:val="22"/>
          <w:szCs w:val="22"/>
        </w:rPr>
      </w:pPr>
      <w:r w:rsidRPr="00AD67C2">
        <w:rPr>
          <w:rFonts w:ascii="Garamond" w:eastAsia="Times New Roman" w:hAnsi="Garamond" w:cs="Times New Roman"/>
          <w:sz w:val="22"/>
          <w:szCs w:val="22"/>
        </w:rPr>
        <w:t>Включение в объект регулирования электрооборудования, вновь введенного в эксплуатацию.</w:t>
      </w:r>
    </w:p>
    <w:p w14:paraId="180FAFDC" w14:textId="77777777" w:rsidR="001333B2" w:rsidRPr="00AD67C2" w:rsidRDefault="001333B2" w:rsidP="001A09D5">
      <w:pPr>
        <w:numPr>
          <w:ilvl w:val="0"/>
          <w:numId w:val="330"/>
        </w:numPr>
        <w:suppressAutoHyphens w:val="0"/>
        <w:spacing w:after="160" w:line="259" w:lineRule="auto"/>
        <w:ind w:left="425" w:hanging="425"/>
        <w:contextualSpacing/>
        <w:jc w:val="both"/>
        <w:rPr>
          <w:rFonts w:ascii="Garamond" w:eastAsia="Times New Roman" w:hAnsi="Garamond" w:cs="Times New Roman"/>
          <w:b/>
          <w:bCs/>
          <w:sz w:val="22"/>
          <w:szCs w:val="22"/>
        </w:rPr>
      </w:pPr>
      <w:r w:rsidRPr="00AD67C2">
        <w:rPr>
          <w:rFonts w:ascii="Garamond" w:eastAsia="Times New Roman" w:hAnsi="Garamond" w:cs="Times New Roman"/>
          <w:sz w:val="22"/>
          <w:szCs w:val="22"/>
        </w:rPr>
        <w:t>Новое технологическое присоединение.</w:t>
      </w:r>
    </w:p>
    <w:p w14:paraId="2CDA3F4C" w14:textId="77777777" w:rsidR="001333B2" w:rsidRPr="00AD67C2" w:rsidRDefault="001333B2" w:rsidP="001A09D5">
      <w:pPr>
        <w:numPr>
          <w:ilvl w:val="0"/>
          <w:numId w:val="331"/>
        </w:numPr>
        <w:suppressAutoHyphens w:val="0"/>
        <w:spacing w:after="160" w:line="276" w:lineRule="auto"/>
        <w:ind w:left="425" w:hanging="425"/>
        <w:jc w:val="both"/>
        <w:rPr>
          <w:rFonts w:ascii="Garamond" w:eastAsia="Times New Roman" w:hAnsi="Garamond" w:cs="Times New Roman"/>
          <w:sz w:val="22"/>
          <w:szCs w:val="22"/>
        </w:rPr>
      </w:pPr>
      <w:r w:rsidRPr="00AD67C2">
        <w:rPr>
          <w:rFonts w:ascii="Garamond" w:eastAsia="Times New Roman" w:hAnsi="Garamond" w:cs="Times New Roman"/>
          <w:sz w:val="22"/>
          <w:szCs w:val="22"/>
        </w:rPr>
        <w:t>Иные основания (указать).</w:t>
      </w:r>
    </w:p>
    <w:p w14:paraId="4BBB1F2D" w14:textId="1EF14A95" w:rsidR="001333B2" w:rsidRPr="00AD67C2" w:rsidRDefault="001333B2" w:rsidP="001333B2">
      <w:pPr>
        <w:tabs>
          <w:tab w:val="left" w:pos="1134"/>
        </w:tabs>
        <w:suppressAutoHyphens w:val="0"/>
        <w:spacing w:line="276" w:lineRule="auto"/>
        <w:contextualSpacing/>
        <w:jc w:val="both"/>
        <w:rPr>
          <w:rFonts w:ascii="Garamond" w:eastAsia="Times New Roman" w:hAnsi="Garamond" w:cs="Times New Roman"/>
          <w:sz w:val="22"/>
          <w:szCs w:val="22"/>
        </w:rPr>
      </w:pPr>
      <w:r w:rsidRPr="00AD67C2">
        <w:rPr>
          <w:rFonts w:ascii="Garamond" w:eastAsia="Times New Roman" w:hAnsi="Garamond" w:cs="Times New Roman"/>
          <w:sz w:val="22"/>
          <w:szCs w:val="22"/>
        </w:rPr>
        <w:t>По п. 2 –</w:t>
      </w:r>
    </w:p>
    <w:p w14:paraId="64A7CFA5" w14:textId="77777777" w:rsidR="001333B2" w:rsidRPr="00AD67C2" w:rsidRDefault="001333B2" w:rsidP="001A09D5">
      <w:pPr>
        <w:numPr>
          <w:ilvl w:val="0"/>
          <w:numId w:val="331"/>
        </w:numPr>
        <w:suppressAutoHyphens w:val="0"/>
        <w:spacing w:after="160" w:line="276" w:lineRule="auto"/>
        <w:ind w:left="425" w:hanging="425"/>
        <w:contextualSpacing/>
        <w:jc w:val="both"/>
        <w:rPr>
          <w:rFonts w:ascii="Garamond" w:eastAsia="Times New Roman" w:hAnsi="Garamond" w:cs="Times New Roman"/>
          <w:sz w:val="22"/>
          <w:szCs w:val="22"/>
        </w:rPr>
      </w:pPr>
      <w:r w:rsidRPr="00AD67C2">
        <w:rPr>
          <w:rFonts w:ascii="Garamond" w:eastAsia="Times New Roman" w:hAnsi="Garamond" w:cs="Times New Roman"/>
          <w:sz w:val="22"/>
          <w:szCs w:val="22"/>
        </w:rPr>
        <w:t>Вывод оборудования из эксплуатации.</w:t>
      </w:r>
    </w:p>
    <w:p w14:paraId="14D5E607" w14:textId="77777777" w:rsidR="001333B2" w:rsidRPr="00AD67C2" w:rsidRDefault="001333B2" w:rsidP="001A09D5">
      <w:pPr>
        <w:numPr>
          <w:ilvl w:val="0"/>
          <w:numId w:val="331"/>
        </w:numPr>
        <w:suppressAutoHyphens w:val="0"/>
        <w:spacing w:after="160" w:line="276" w:lineRule="auto"/>
        <w:ind w:left="425" w:hanging="425"/>
        <w:jc w:val="both"/>
        <w:rPr>
          <w:rFonts w:ascii="Garamond" w:eastAsia="Times New Roman" w:hAnsi="Garamond" w:cs="Times New Roman"/>
          <w:sz w:val="22"/>
          <w:szCs w:val="22"/>
        </w:rPr>
      </w:pPr>
      <w:r w:rsidRPr="00AD67C2">
        <w:rPr>
          <w:rFonts w:ascii="Garamond" w:eastAsia="Times New Roman" w:hAnsi="Garamond" w:cs="Times New Roman"/>
          <w:sz w:val="22"/>
          <w:szCs w:val="22"/>
        </w:rPr>
        <w:t>Иные основания (указать).</w:t>
      </w:r>
    </w:p>
    <w:p w14:paraId="6CE66266" w14:textId="77777777" w:rsidR="001333B2" w:rsidRPr="00AD67C2" w:rsidRDefault="001333B2" w:rsidP="001333B2">
      <w:pPr>
        <w:tabs>
          <w:tab w:val="left" w:pos="1134"/>
        </w:tabs>
        <w:suppressAutoHyphens w:val="0"/>
        <w:spacing w:line="276" w:lineRule="auto"/>
        <w:contextualSpacing/>
        <w:jc w:val="both"/>
        <w:rPr>
          <w:rFonts w:ascii="Garamond" w:eastAsia="Times New Roman" w:hAnsi="Garamond" w:cs="Times New Roman"/>
          <w:sz w:val="22"/>
          <w:szCs w:val="22"/>
        </w:rPr>
      </w:pPr>
      <w:r w:rsidRPr="00AD67C2">
        <w:rPr>
          <w:rFonts w:ascii="Garamond" w:eastAsia="Times New Roman" w:hAnsi="Garamond" w:cs="Times New Roman"/>
          <w:sz w:val="22"/>
          <w:szCs w:val="22"/>
        </w:rPr>
        <w:t>По п. 3 –</w:t>
      </w:r>
    </w:p>
    <w:p w14:paraId="5D59C44F" w14:textId="77777777" w:rsidR="001333B2" w:rsidRPr="00AD67C2" w:rsidRDefault="001333B2" w:rsidP="001A09D5">
      <w:pPr>
        <w:numPr>
          <w:ilvl w:val="0"/>
          <w:numId w:val="331"/>
        </w:numPr>
        <w:suppressAutoHyphens w:val="0"/>
        <w:spacing w:after="160" w:line="276" w:lineRule="auto"/>
        <w:ind w:left="425" w:hanging="425"/>
        <w:contextualSpacing/>
        <w:jc w:val="both"/>
        <w:rPr>
          <w:rFonts w:ascii="Garamond" w:eastAsia="Times New Roman" w:hAnsi="Garamond" w:cs="Times New Roman"/>
          <w:sz w:val="22"/>
          <w:szCs w:val="22"/>
        </w:rPr>
      </w:pPr>
      <w:r w:rsidRPr="00AD67C2">
        <w:rPr>
          <w:rFonts w:ascii="Garamond" w:eastAsia="Times New Roman" w:hAnsi="Garamond" w:cs="Times New Roman"/>
          <w:sz w:val="22"/>
          <w:szCs w:val="22"/>
        </w:rPr>
        <w:t>Исключение из объекта регулирования электрооборудования в связи с изменением имущественных отношений (продажа части электрооборудования).</w:t>
      </w:r>
    </w:p>
    <w:p w14:paraId="57CD0235" w14:textId="77777777" w:rsidR="001333B2" w:rsidRPr="00AD67C2" w:rsidRDefault="001333B2" w:rsidP="001A09D5">
      <w:pPr>
        <w:numPr>
          <w:ilvl w:val="0"/>
          <w:numId w:val="331"/>
        </w:numPr>
        <w:suppressAutoHyphens w:val="0"/>
        <w:spacing w:after="160" w:line="276" w:lineRule="auto"/>
        <w:ind w:left="425" w:hanging="425"/>
        <w:jc w:val="both"/>
        <w:rPr>
          <w:rFonts w:ascii="Garamond" w:eastAsia="Times New Roman" w:hAnsi="Garamond" w:cs="Times New Roman"/>
          <w:sz w:val="22"/>
          <w:szCs w:val="22"/>
        </w:rPr>
      </w:pPr>
      <w:r w:rsidRPr="00AD67C2">
        <w:rPr>
          <w:rFonts w:ascii="Garamond" w:eastAsia="Times New Roman" w:hAnsi="Garamond" w:cs="Times New Roman"/>
          <w:sz w:val="22"/>
          <w:szCs w:val="22"/>
        </w:rPr>
        <w:t>Иные основания (указать).</w:t>
      </w:r>
    </w:p>
    <w:p w14:paraId="6EDAA097" w14:textId="77777777" w:rsidR="001333B2" w:rsidRPr="00AD67C2" w:rsidRDefault="001333B2" w:rsidP="001333B2">
      <w:pPr>
        <w:tabs>
          <w:tab w:val="left" w:pos="1134"/>
        </w:tabs>
        <w:suppressAutoHyphens w:val="0"/>
        <w:spacing w:line="276" w:lineRule="auto"/>
        <w:jc w:val="both"/>
        <w:rPr>
          <w:rFonts w:ascii="Garamond" w:eastAsia="Times New Roman" w:hAnsi="Garamond" w:cs="Times New Roman"/>
          <w:sz w:val="22"/>
          <w:szCs w:val="22"/>
        </w:rPr>
      </w:pPr>
    </w:p>
    <w:p w14:paraId="544FABED" w14:textId="77777777" w:rsidR="001333B2" w:rsidRPr="00AD67C2" w:rsidRDefault="001333B2" w:rsidP="001333B2">
      <w:pPr>
        <w:tabs>
          <w:tab w:val="left" w:pos="1134"/>
        </w:tabs>
        <w:suppressAutoHyphens w:val="0"/>
        <w:spacing w:line="276" w:lineRule="auto"/>
        <w:jc w:val="both"/>
        <w:rPr>
          <w:rFonts w:ascii="Garamond" w:eastAsia="Times New Roman" w:hAnsi="Garamond" w:cs="Times New Roman"/>
          <w:b/>
          <w:sz w:val="22"/>
          <w:szCs w:val="22"/>
        </w:rPr>
      </w:pPr>
      <w:r w:rsidRPr="00AD67C2">
        <w:rPr>
          <w:rFonts w:ascii="Garamond" w:eastAsia="Times New Roman" w:hAnsi="Garamond" w:cs="Times New Roman"/>
          <w:b/>
          <w:sz w:val="22"/>
          <w:szCs w:val="22"/>
        </w:rPr>
        <w:t>Изменение точек присоединения без изменения состава электрооборудования, входящего в объект регулирования:</w:t>
      </w:r>
    </w:p>
    <w:p w14:paraId="0F8392AB" w14:textId="77777777" w:rsidR="001333B2" w:rsidRPr="00AD67C2" w:rsidRDefault="001333B2" w:rsidP="001333B2">
      <w:pPr>
        <w:tabs>
          <w:tab w:val="left" w:pos="1134"/>
        </w:tabs>
        <w:suppressAutoHyphens w:val="0"/>
        <w:spacing w:line="276" w:lineRule="auto"/>
        <w:contextualSpacing/>
        <w:jc w:val="both"/>
        <w:rPr>
          <w:rFonts w:ascii="Garamond" w:eastAsia="Times New Roman" w:hAnsi="Garamond" w:cs="Times New Roman"/>
          <w:sz w:val="22"/>
          <w:szCs w:val="22"/>
        </w:rPr>
      </w:pPr>
      <w:r w:rsidRPr="00AD67C2">
        <w:rPr>
          <w:rFonts w:ascii="Garamond" w:eastAsia="Times New Roman" w:hAnsi="Garamond" w:cs="Times New Roman"/>
          <w:sz w:val="22"/>
          <w:szCs w:val="22"/>
        </w:rPr>
        <w:t>По п. 1 –</w:t>
      </w:r>
    </w:p>
    <w:p w14:paraId="459E6F5B" w14:textId="77777777" w:rsidR="001333B2" w:rsidRPr="00AD67C2" w:rsidRDefault="001333B2" w:rsidP="001A09D5">
      <w:pPr>
        <w:numPr>
          <w:ilvl w:val="0"/>
          <w:numId w:val="331"/>
        </w:numPr>
        <w:suppressAutoHyphens w:val="0"/>
        <w:spacing w:after="160" w:line="276" w:lineRule="auto"/>
        <w:ind w:left="425" w:hanging="425"/>
        <w:contextualSpacing/>
        <w:jc w:val="both"/>
        <w:rPr>
          <w:rFonts w:ascii="Garamond" w:eastAsia="Times New Roman" w:hAnsi="Garamond" w:cs="Times New Roman"/>
          <w:sz w:val="22"/>
          <w:szCs w:val="22"/>
        </w:rPr>
      </w:pPr>
      <w:r w:rsidRPr="00AD67C2">
        <w:rPr>
          <w:rFonts w:ascii="Garamond" w:eastAsia="Times New Roman" w:hAnsi="Garamond" w:cs="Times New Roman"/>
          <w:sz w:val="22"/>
          <w:szCs w:val="22"/>
        </w:rPr>
        <w:t>Присоединение новых потребителей к оборудованию, входящему в объект регулирования.</w:t>
      </w:r>
    </w:p>
    <w:p w14:paraId="6A22C99A" w14:textId="77777777" w:rsidR="001333B2" w:rsidRPr="00AD67C2" w:rsidRDefault="001333B2" w:rsidP="001A09D5">
      <w:pPr>
        <w:numPr>
          <w:ilvl w:val="0"/>
          <w:numId w:val="331"/>
        </w:numPr>
        <w:suppressAutoHyphens w:val="0"/>
        <w:spacing w:after="160" w:line="276" w:lineRule="auto"/>
        <w:ind w:left="425" w:hanging="425"/>
        <w:contextualSpacing/>
        <w:jc w:val="both"/>
        <w:rPr>
          <w:rFonts w:ascii="Garamond" w:eastAsia="Times New Roman" w:hAnsi="Garamond" w:cs="Times New Roman"/>
          <w:sz w:val="22"/>
          <w:szCs w:val="22"/>
        </w:rPr>
      </w:pPr>
      <w:r w:rsidRPr="00AD67C2">
        <w:rPr>
          <w:rFonts w:ascii="Garamond" w:eastAsia="Times New Roman" w:hAnsi="Garamond" w:cs="Times New Roman"/>
          <w:sz w:val="22"/>
          <w:szCs w:val="22"/>
        </w:rPr>
        <w:t>Иные основания (указать).</w:t>
      </w:r>
    </w:p>
    <w:p w14:paraId="539D0717" w14:textId="77777777" w:rsidR="001333B2" w:rsidRPr="00AD67C2" w:rsidRDefault="001333B2" w:rsidP="001333B2">
      <w:pPr>
        <w:suppressAutoHyphens w:val="0"/>
        <w:spacing w:line="276" w:lineRule="auto"/>
        <w:jc w:val="both"/>
        <w:rPr>
          <w:rFonts w:ascii="Garamond" w:eastAsia="Times New Roman" w:hAnsi="Garamond" w:cs="Times New Roman"/>
          <w:sz w:val="22"/>
          <w:szCs w:val="22"/>
        </w:rPr>
      </w:pPr>
      <w:r w:rsidRPr="00AD67C2">
        <w:rPr>
          <w:rFonts w:ascii="Garamond" w:eastAsia="Times New Roman" w:hAnsi="Garamond" w:cs="Times New Roman"/>
          <w:sz w:val="22"/>
          <w:szCs w:val="22"/>
        </w:rPr>
        <w:t>По п. 2 –</w:t>
      </w:r>
    </w:p>
    <w:p w14:paraId="4A25D7A5" w14:textId="77777777" w:rsidR="001333B2" w:rsidRPr="00AD67C2" w:rsidRDefault="001333B2" w:rsidP="001A09D5">
      <w:pPr>
        <w:numPr>
          <w:ilvl w:val="0"/>
          <w:numId w:val="332"/>
        </w:numPr>
        <w:suppressAutoHyphens w:val="0"/>
        <w:spacing w:after="160" w:line="276" w:lineRule="auto"/>
        <w:ind w:left="425" w:hanging="425"/>
        <w:jc w:val="both"/>
        <w:rPr>
          <w:rFonts w:ascii="Garamond" w:eastAsia="Times New Roman" w:hAnsi="Garamond" w:cs="Times New Roman"/>
          <w:sz w:val="22"/>
          <w:szCs w:val="22"/>
        </w:rPr>
      </w:pPr>
      <w:r w:rsidRPr="00AD67C2">
        <w:rPr>
          <w:rFonts w:ascii="Garamond" w:eastAsia="Times New Roman" w:hAnsi="Garamond" w:cs="Times New Roman"/>
          <w:sz w:val="22"/>
          <w:szCs w:val="22"/>
        </w:rPr>
        <w:t>Вывод присоединений из эксплуатации (отсутствие технологического присоединения).</w:t>
      </w:r>
    </w:p>
    <w:p w14:paraId="28CEAA10" w14:textId="77777777" w:rsidR="001333B2" w:rsidRPr="00AD67C2" w:rsidRDefault="001333B2" w:rsidP="001A09D5">
      <w:pPr>
        <w:numPr>
          <w:ilvl w:val="0"/>
          <w:numId w:val="332"/>
        </w:numPr>
        <w:suppressAutoHyphens w:val="0"/>
        <w:spacing w:after="160" w:line="276" w:lineRule="auto"/>
        <w:ind w:left="425" w:hanging="425"/>
        <w:jc w:val="both"/>
        <w:rPr>
          <w:rFonts w:ascii="Garamond" w:eastAsia="Times New Roman" w:hAnsi="Garamond" w:cs="Times New Roman"/>
          <w:sz w:val="22"/>
          <w:szCs w:val="22"/>
        </w:rPr>
      </w:pPr>
      <w:r w:rsidRPr="00AD67C2">
        <w:rPr>
          <w:rFonts w:ascii="Garamond" w:eastAsia="Times New Roman" w:hAnsi="Garamond" w:cs="Times New Roman"/>
          <w:sz w:val="22"/>
          <w:szCs w:val="22"/>
        </w:rPr>
        <w:t>Иные основания (указать).</w:t>
      </w:r>
    </w:p>
    <w:p w14:paraId="1B5EE87A" w14:textId="77777777" w:rsidR="001333B2" w:rsidRPr="00AD67C2" w:rsidRDefault="001333B2" w:rsidP="001333B2">
      <w:pPr>
        <w:suppressAutoHyphens w:val="0"/>
        <w:spacing w:line="276" w:lineRule="auto"/>
        <w:jc w:val="both"/>
        <w:rPr>
          <w:rFonts w:ascii="Garamond" w:eastAsia="Times New Roman" w:hAnsi="Garamond" w:cs="Times New Roman"/>
          <w:sz w:val="22"/>
          <w:szCs w:val="22"/>
        </w:rPr>
      </w:pPr>
      <w:r w:rsidRPr="00AD67C2">
        <w:rPr>
          <w:rFonts w:ascii="Garamond" w:eastAsia="Times New Roman" w:hAnsi="Garamond" w:cs="Times New Roman"/>
          <w:sz w:val="22"/>
          <w:szCs w:val="22"/>
        </w:rPr>
        <w:t>По п. 3 –</w:t>
      </w:r>
    </w:p>
    <w:p w14:paraId="230960CC" w14:textId="77777777" w:rsidR="001333B2" w:rsidRPr="00AD67C2" w:rsidRDefault="001333B2" w:rsidP="001A09D5">
      <w:pPr>
        <w:numPr>
          <w:ilvl w:val="0"/>
          <w:numId w:val="331"/>
        </w:numPr>
        <w:suppressAutoHyphens w:val="0"/>
        <w:spacing w:after="160" w:line="276" w:lineRule="auto"/>
        <w:ind w:left="425" w:hanging="425"/>
        <w:contextualSpacing/>
        <w:jc w:val="both"/>
        <w:rPr>
          <w:rFonts w:ascii="Garamond" w:eastAsia="Times New Roman" w:hAnsi="Garamond" w:cs="Times New Roman"/>
          <w:sz w:val="22"/>
          <w:szCs w:val="22"/>
        </w:rPr>
      </w:pPr>
      <w:r w:rsidRPr="00AD67C2">
        <w:rPr>
          <w:rFonts w:ascii="Garamond" w:eastAsia="Times New Roman" w:hAnsi="Garamond" w:cs="Times New Roman"/>
          <w:sz w:val="22"/>
          <w:szCs w:val="22"/>
        </w:rPr>
        <w:t>Изменение схемы питания оборудования.</w:t>
      </w:r>
    </w:p>
    <w:p w14:paraId="39D328BC" w14:textId="77777777" w:rsidR="001333B2" w:rsidRPr="00AD67C2" w:rsidRDefault="001333B2" w:rsidP="001A09D5">
      <w:pPr>
        <w:numPr>
          <w:ilvl w:val="0"/>
          <w:numId w:val="331"/>
        </w:numPr>
        <w:suppressAutoHyphens w:val="0"/>
        <w:spacing w:after="160" w:line="276" w:lineRule="auto"/>
        <w:ind w:left="425" w:hanging="425"/>
        <w:contextualSpacing/>
        <w:jc w:val="both"/>
        <w:rPr>
          <w:rFonts w:ascii="Garamond" w:eastAsia="Times New Roman" w:hAnsi="Garamond" w:cs="Times New Roman"/>
          <w:sz w:val="22"/>
          <w:szCs w:val="22"/>
        </w:rPr>
      </w:pPr>
      <w:r w:rsidRPr="00AD67C2">
        <w:rPr>
          <w:rFonts w:ascii="Garamond" w:eastAsia="Times New Roman" w:hAnsi="Garamond" w:cs="Times New Roman"/>
          <w:sz w:val="22"/>
          <w:szCs w:val="22"/>
        </w:rPr>
        <w:t>Реконструкция подстанции / электрической сети.</w:t>
      </w:r>
    </w:p>
    <w:p w14:paraId="74CE77BB" w14:textId="77777777" w:rsidR="001333B2" w:rsidRPr="00AD67C2" w:rsidRDefault="001333B2" w:rsidP="00EC6C09">
      <w:pPr>
        <w:widowControl w:val="0"/>
        <w:suppressAutoHyphens w:val="0"/>
        <w:jc w:val="center"/>
        <w:outlineLvl w:val="0"/>
        <w:rPr>
          <w:rFonts w:ascii="Garamond" w:eastAsia="Times New Roman" w:hAnsi="Garamond" w:cs="Arial"/>
          <w:b/>
          <w:bCs/>
          <w:sz w:val="22"/>
          <w:szCs w:val="22"/>
        </w:rPr>
      </w:pPr>
      <w:r w:rsidRPr="00AD67C2">
        <w:rPr>
          <w:rFonts w:ascii="Garamond" w:eastAsia="Times New Roman" w:hAnsi="Garamond" w:cs="Times New Roman"/>
          <w:sz w:val="22"/>
          <w:szCs w:val="22"/>
        </w:rPr>
        <w:br w:type="page"/>
      </w:r>
      <w:r w:rsidRPr="00AD67C2">
        <w:rPr>
          <w:rFonts w:ascii="Garamond" w:eastAsia="Times New Roman" w:hAnsi="Garamond" w:cs="Arial"/>
          <w:b/>
          <w:bCs/>
          <w:sz w:val="22"/>
          <w:szCs w:val="22"/>
        </w:rPr>
        <w:lastRenderedPageBreak/>
        <w:t xml:space="preserve">Форма 2 (пример заполнения заявления) </w:t>
      </w:r>
    </w:p>
    <w:p w14:paraId="2FD42D0E" w14:textId="77777777" w:rsidR="001333B2" w:rsidRPr="00AD67C2" w:rsidRDefault="001333B2" w:rsidP="001333B2">
      <w:pPr>
        <w:suppressAutoHyphens w:val="0"/>
        <w:jc w:val="both"/>
        <w:rPr>
          <w:rFonts w:ascii="Garamond" w:eastAsia="Times New Roman" w:hAnsi="Garamond" w:cs="Times New Roman"/>
          <w:sz w:val="22"/>
          <w:szCs w:val="24"/>
        </w:rPr>
      </w:pPr>
    </w:p>
    <w:p w14:paraId="79D1501E" w14:textId="77777777" w:rsidR="001333B2" w:rsidRPr="00AD67C2" w:rsidRDefault="001333B2" w:rsidP="001333B2">
      <w:pPr>
        <w:suppressAutoHyphens w:val="0"/>
        <w:jc w:val="both"/>
        <w:rPr>
          <w:rFonts w:ascii="Garamond" w:eastAsia="Times New Roman" w:hAnsi="Garamond" w:cs="Times New Roman"/>
          <w:sz w:val="22"/>
          <w:szCs w:val="24"/>
        </w:rPr>
      </w:pPr>
      <w:r w:rsidRPr="00AD67C2">
        <w:rPr>
          <w:rFonts w:ascii="Garamond" w:eastAsia="Times New Roman" w:hAnsi="Garamond" w:cs="Times New Roman"/>
          <w:sz w:val="22"/>
          <w:szCs w:val="24"/>
        </w:rPr>
        <w:t>(на бланке заявителя)</w:t>
      </w:r>
    </w:p>
    <w:p w14:paraId="6DFB8D86" w14:textId="77777777" w:rsidR="001333B2" w:rsidRPr="00AD67C2" w:rsidRDefault="001333B2" w:rsidP="001333B2">
      <w:pPr>
        <w:suppressAutoHyphens w:val="0"/>
        <w:jc w:val="right"/>
        <w:rPr>
          <w:rFonts w:ascii="Garamond" w:eastAsia="Times New Roman" w:hAnsi="Garamond" w:cs="Times New Roman"/>
          <w:b/>
          <w:sz w:val="22"/>
          <w:szCs w:val="24"/>
        </w:rPr>
      </w:pPr>
      <w:r w:rsidRPr="00AD67C2">
        <w:rPr>
          <w:rFonts w:ascii="Garamond" w:eastAsia="Times New Roman" w:hAnsi="Garamond" w:cs="Times New Roman"/>
          <w:b/>
          <w:sz w:val="22"/>
          <w:szCs w:val="24"/>
        </w:rPr>
        <w:t>Председателю Правления</w:t>
      </w:r>
    </w:p>
    <w:p w14:paraId="66714CFB" w14:textId="77777777" w:rsidR="001333B2" w:rsidRPr="00AD67C2" w:rsidRDefault="001333B2" w:rsidP="001333B2">
      <w:pPr>
        <w:suppressAutoHyphens w:val="0"/>
        <w:jc w:val="right"/>
        <w:rPr>
          <w:rFonts w:ascii="Garamond" w:eastAsia="Times New Roman" w:hAnsi="Garamond" w:cs="Times New Roman"/>
          <w:b/>
          <w:sz w:val="22"/>
          <w:szCs w:val="24"/>
        </w:rPr>
      </w:pPr>
      <w:r w:rsidRPr="00AD67C2">
        <w:rPr>
          <w:rFonts w:ascii="Garamond" w:eastAsia="Times New Roman" w:hAnsi="Garamond" w:cs="Times New Roman"/>
          <w:b/>
          <w:sz w:val="22"/>
          <w:szCs w:val="24"/>
        </w:rPr>
        <w:t>АО «АТС»</w:t>
      </w:r>
    </w:p>
    <w:p w14:paraId="23A32A67" w14:textId="77777777" w:rsidR="001333B2" w:rsidRPr="00AD67C2" w:rsidRDefault="001333B2" w:rsidP="001333B2">
      <w:pPr>
        <w:suppressAutoHyphens w:val="0"/>
        <w:jc w:val="both"/>
        <w:rPr>
          <w:rFonts w:ascii="Garamond" w:eastAsia="Times New Roman" w:hAnsi="Garamond" w:cs="Times New Roman"/>
          <w:sz w:val="22"/>
          <w:szCs w:val="24"/>
        </w:rPr>
      </w:pPr>
      <w:r w:rsidRPr="00AD67C2">
        <w:rPr>
          <w:rFonts w:ascii="Garamond" w:eastAsia="Times New Roman" w:hAnsi="Garamond" w:cs="Times New Roman"/>
          <w:sz w:val="22"/>
          <w:szCs w:val="24"/>
        </w:rPr>
        <w:t>№ ____________________</w:t>
      </w:r>
    </w:p>
    <w:p w14:paraId="459E7680" w14:textId="77777777" w:rsidR="001333B2" w:rsidRPr="00AD67C2" w:rsidRDefault="001333B2" w:rsidP="001333B2">
      <w:pPr>
        <w:suppressAutoHyphens w:val="0"/>
        <w:jc w:val="both"/>
        <w:rPr>
          <w:rFonts w:ascii="Garamond" w:eastAsia="Times New Roman" w:hAnsi="Garamond" w:cs="Times New Roman"/>
          <w:sz w:val="22"/>
          <w:szCs w:val="24"/>
        </w:rPr>
      </w:pPr>
      <w:r w:rsidRPr="00AD67C2">
        <w:rPr>
          <w:rFonts w:ascii="Garamond" w:eastAsia="Times New Roman" w:hAnsi="Garamond" w:cs="Times New Roman"/>
          <w:sz w:val="22"/>
          <w:szCs w:val="24"/>
        </w:rPr>
        <w:t>«___» ___________20 ___ г.</w:t>
      </w:r>
    </w:p>
    <w:p w14:paraId="6B34F878" w14:textId="77777777" w:rsidR="001333B2" w:rsidRPr="00AD67C2" w:rsidRDefault="001333B2" w:rsidP="001333B2">
      <w:pPr>
        <w:suppressAutoHyphens w:val="0"/>
        <w:jc w:val="both"/>
        <w:rPr>
          <w:rFonts w:ascii="Garamond" w:eastAsia="Times New Roman" w:hAnsi="Garamond" w:cs="Times New Roman"/>
          <w:sz w:val="16"/>
          <w:szCs w:val="24"/>
        </w:rPr>
      </w:pPr>
    </w:p>
    <w:p w14:paraId="6A2D09FA" w14:textId="77777777" w:rsidR="001333B2" w:rsidRPr="00AD67C2" w:rsidRDefault="001333B2" w:rsidP="001333B2">
      <w:pPr>
        <w:suppressAutoHyphens w:val="0"/>
        <w:jc w:val="center"/>
        <w:rPr>
          <w:rFonts w:ascii="Garamond" w:eastAsia="Times New Roman" w:hAnsi="Garamond" w:cs="Times New Roman"/>
          <w:b/>
          <w:sz w:val="22"/>
          <w:szCs w:val="24"/>
        </w:rPr>
      </w:pPr>
      <w:r w:rsidRPr="00AD67C2">
        <w:rPr>
          <w:rFonts w:ascii="Garamond" w:eastAsia="Times New Roman" w:hAnsi="Garamond" w:cs="Times New Roman"/>
          <w:b/>
          <w:sz w:val="22"/>
          <w:szCs w:val="24"/>
        </w:rPr>
        <w:t>ЗАЯВЛЕНИЕ</w:t>
      </w:r>
    </w:p>
    <w:p w14:paraId="5CE4BBB9" w14:textId="77777777" w:rsidR="001333B2" w:rsidRPr="00AD67C2" w:rsidRDefault="001333B2" w:rsidP="001333B2">
      <w:pPr>
        <w:suppressAutoHyphens w:val="0"/>
        <w:jc w:val="center"/>
        <w:rPr>
          <w:rFonts w:ascii="Garamond" w:eastAsia="Times New Roman" w:hAnsi="Garamond" w:cs="Times New Roman"/>
          <w:b/>
          <w:sz w:val="16"/>
          <w:szCs w:val="24"/>
        </w:rPr>
      </w:pPr>
    </w:p>
    <w:p w14:paraId="4E02845E" w14:textId="5D1D83B3" w:rsidR="001333B2" w:rsidRPr="00AD67C2" w:rsidRDefault="001333B2" w:rsidP="001333B2">
      <w:pPr>
        <w:suppressAutoHyphens w:val="0"/>
        <w:jc w:val="center"/>
        <w:rPr>
          <w:rFonts w:ascii="Garamond" w:eastAsia="Times New Roman" w:hAnsi="Garamond" w:cs="Times New Roman"/>
          <w:b/>
          <w:sz w:val="22"/>
          <w:szCs w:val="24"/>
        </w:rPr>
      </w:pPr>
      <w:r w:rsidRPr="00AD67C2">
        <w:rPr>
          <w:rFonts w:ascii="Garamond" w:eastAsia="Times New Roman" w:hAnsi="Garamond" w:cs="Times New Roman"/>
          <w:b/>
          <w:sz w:val="22"/>
          <w:szCs w:val="24"/>
        </w:rPr>
        <w:t xml:space="preserve">о </w:t>
      </w:r>
      <w:r w:rsidR="00853A42" w:rsidRPr="00AD67C2">
        <w:rPr>
          <w:rFonts w:ascii="Garamond" w:eastAsia="Times New Roman" w:hAnsi="Garamond" w:cs="Times New Roman"/>
          <w:b/>
          <w:sz w:val="22"/>
          <w:szCs w:val="24"/>
        </w:rPr>
        <w:t>регистрации изменений объекта регулирования и аттестации объекта регулирования</w:t>
      </w:r>
    </w:p>
    <w:p w14:paraId="519CF405" w14:textId="77777777" w:rsidR="001333B2" w:rsidRPr="00AD67C2" w:rsidRDefault="001333B2" w:rsidP="001333B2">
      <w:pPr>
        <w:suppressAutoHyphens w:val="0"/>
        <w:jc w:val="center"/>
        <w:rPr>
          <w:rFonts w:ascii="Garamond" w:eastAsia="Times New Roman" w:hAnsi="Garamond" w:cs="Times New Roman"/>
          <w:b/>
          <w:sz w:val="16"/>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4204"/>
        <w:gridCol w:w="5141"/>
      </w:tblGrid>
      <w:tr w:rsidR="001333B2" w:rsidRPr="00AD67C2" w14:paraId="07AD62F0" w14:textId="77777777" w:rsidTr="0064152E">
        <w:trPr>
          <w:trHeight w:val="567"/>
        </w:trPr>
        <w:tc>
          <w:tcPr>
            <w:tcW w:w="4204" w:type="dxa"/>
            <w:shd w:val="clear" w:color="auto" w:fill="D9D9D9"/>
            <w:vAlign w:val="center"/>
          </w:tcPr>
          <w:p w14:paraId="0D4A56E9" w14:textId="77777777" w:rsidR="001333B2" w:rsidRPr="00AD67C2" w:rsidRDefault="001333B2" w:rsidP="001333B2">
            <w:pPr>
              <w:suppressAutoHyphens w:val="0"/>
              <w:jc w:val="both"/>
              <w:rPr>
                <w:rFonts w:ascii="Garamond" w:eastAsia="Times New Roman" w:hAnsi="Garamond" w:cs="Times New Roman"/>
                <w:sz w:val="22"/>
                <w:szCs w:val="24"/>
              </w:rPr>
            </w:pPr>
            <w:r w:rsidRPr="00AD67C2">
              <w:rPr>
                <w:rFonts w:ascii="Garamond" w:eastAsia="Times New Roman" w:hAnsi="Garamond" w:cs="Times New Roman"/>
                <w:sz w:val="22"/>
                <w:szCs w:val="24"/>
              </w:rPr>
              <w:t>Полное наименование юридического лица</w:t>
            </w:r>
          </w:p>
        </w:tc>
        <w:tc>
          <w:tcPr>
            <w:tcW w:w="5141" w:type="dxa"/>
            <w:vAlign w:val="center"/>
          </w:tcPr>
          <w:p w14:paraId="77F4DC1E" w14:textId="77777777" w:rsidR="001333B2" w:rsidRPr="00AD67C2" w:rsidRDefault="001333B2" w:rsidP="001333B2">
            <w:pPr>
              <w:suppressAutoHyphens w:val="0"/>
              <w:jc w:val="center"/>
              <w:rPr>
                <w:rFonts w:ascii="Garamond" w:eastAsia="Times New Roman" w:hAnsi="Garamond" w:cs="Times New Roman"/>
                <w:sz w:val="22"/>
                <w:szCs w:val="24"/>
              </w:rPr>
            </w:pPr>
            <w:r w:rsidRPr="00AD67C2">
              <w:rPr>
                <w:rFonts w:ascii="Garamond" w:eastAsia="Times New Roman" w:hAnsi="Garamond" w:cs="Times New Roman"/>
                <w:sz w:val="22"/>
                <w:szCs w:val="24"/>
              </w:rPr>
              <w:t>Акционерное Общество «Агрегатор»</w:t>
            </w:r>
          </w:p>
        </w:tc>
      </w:tr>
      <w:tr w:rsidR="001333B2" w:rsidRPr="00AD67C2" w14:paraId="6BB950C9" w14:textId="77777777" w:rsidTr="0064152E">
        <w:trPr>
          <w:trHeight w:val="567"/>
        </w:trPr>
        <w:tc>
          <w:tcPr>
            <w:tcW w:w="4204" w:type="dxa"/>
            <w:shd w:val="clear" w:color="auto" w:fill="D9D9D9"/>
            <w:vAlign w:val="center"/>
          </w:tcPr>
          <w:p w14:paraId="21B9445E" w14:textId="77777777" w:rsidR="001333B2" w:rsidRPr="00AD67C2" w:rsidRDefault="001333B2" w:rsidP="001333B2">
            <w:pPr>
              <w:suppressAutoHyphens w:val="0"/>
              <w:jc w:val="both"/>
              <w:rPr>
                <w:rFonts w:ascii="Garamond" w:eastAsia="Times New Roman" w:hAnsi="Garamond" w:cs="Times New Roman"/>
                <w:sz w:val="22"/>
                <w:szCs w:val="24"/>
              </w:rPr>
            </w:pPr>
            <w:r w:rsidRPr="00AD67C2">
              <w:rPr>
                <w:rFonts w:ascii="Garamond" w:eastAsia="Times New Roman" w:hAnsi="Garamond" w:cs="Times New Roman"/>
                <w:sz w:val="22"/>
                <w:szCs w:val="24"/>
              </w:rPr>
              <w:t>Сокращенное наименование юридического лица</w:t>
            </w:r>
          </w:p>
        </w:tc>
        <w:tc>
          <w:tcPr>
            <w:tcW w:w="5141" w:type="dxa"/>
            <w:vAlign w:val="center"/>
          </w:tcPr>
          <w:p w14:paraId="5B807FF2" w14:textId="77777777" w:rsidR="001333B2" w:rsidRPr="00AD67C2" w:rsidRDefault="001333B2" w:rsidP="001333B2">
            <w:pPr>
              <w:suppressAutoHyphens w:val="0"/>
              <w:jc w:val="center"/>
              <w:rPr>
                <w:rFonts w:ascii="Garamond" w:eastAsia="Times New Roman" w:hAnsi="Garamond" w:cs="Times New Roman"/>
                <w:sz w:val="22"/>
                <w:szCs w:val="24"/>
              </w:rPr>
            </w:pPr>
            <w:r w:rsidRPr="00AD67C2">
              <w:rPr>
                <w:rFonts w:ascii="Garamond" w:eastAsia="Times New Roman" w:hAnsi="Garamond" w:cs="Times New Roman"/>
                <w:sz w:val="22"/>
                <w:szCs w:val="24"/>
              </w:rPr>
              <w:t>АО «Агрегатор»</w:t>
            </w:r>
          </w:p>
        </w:tc>
      </w:tr>
      <w:tr w:rsidR="001333B2" w:rsidRPr="00AD67C2" w14:paraId="584052C3" w14:textId="77777777" w:rsidTr="0064152E">
        <w:trPr>
          <w:trHeight w:val="567"/>
        </w:trPr>
        <w:tc>
          <w:tcPr>
            <w:tcW w:w="4204" w:type="dxa"/>
            <w:shd w:val="clear" w:color="auto" w:fill="D9D9D9"/>
            <w:vAlign w:val="center"/>
          </w:tcPr>
          <w:p w14:paraId="3F5D221C" w14:textId="77777777" w:rsidR="001333B2" w:rsidRPr="00AD67C2" w:rsidRDefault="001333B2" w:rsidP="001333B2">
            <w:pPr>
              <w:suppressAutoHyphens w:val="0"/>
              <w:jc w:val="both"/>
              <w:rPr>
                <w:rFonts w:ascii="Garamond" w:eastAsia="Times New Roman" w:hAnsi="Garamond" w:cs="Times New Roman"/>
                <w:sz w:val="22"/>
                <w:szCs w:val="24"/>
              </w:rPr>
            </w:pPr>
            <w:r w:rsidRPr="00AD67C2">
              <w:rPr>
                <w:rFonts w:ascii="Garamond" w:eastAsia="Times New Roman" w:hAnsi="Garamond" w:cs="Times New Roman"/>
                <w:sz w:val="22"/>
                <w:szCs w:val="24"/>
              </w:rPr>
              <w:t>ИНН юридического лица</w:t>
            </w:r>
          </w:p>
        </w:tc>
        <w:tc>
          <w:tcPr>
            <w:tcW w:w="5141" w:type="dxa"/>
            <w:vAlign w:val="center"/>
          </w:tcPr>
          <w:p w14:paraId="72F26602" w14:textId="77777777" w:rsidR="001333B2" w:rsidRPr="00AD67C2" w:rsidRDefault="001333B2" w:rsidP="001333B2">
            <w:pPr>
              <w:suppressAutoHyphens w:val="0"/>
              <w:jc w:val="center"/>
              <w:rPr>
                <w:rFonts w:ascii="Garamond" w:eastAsia="Times New Roman" w:hAnsi="Garamond" w:cs="Times New Roman"/>
                <w:sz w:val="22"/>
                <w:szCs w:val="24"/>
              </w:rPr>
            </w:pPr>
            <w:r w:rsidRPr="00AD67C2">
              <w:rPr>
                <w:rFonts w:ascii="Garamond" w:eastAsia="Times New Roman" w:hAnsi="Garamond" w:cs="Times New Roman"/>
                <w:sz w:val="22"/>
                <w:szCs w:val="24"/>
              </w:rPr>
              <w:t>1234567890</w:t>
            </w:r>
          </w:p>
        </w:tc>
      </w:tr>
      <w:tr w:rsidR="001333B2" w:rsidRPr="00AD67C2" w14:paraId="65B19FED" w14:textId="77777777" w:rsidTr="0064152E">
        <w:trPr>
          <w:trHeight w:val="567"/>
        </w:trPr>
        <w:tc>
          <w:tcPr>
            <w:tcW w:w="4204" w:type="dxa"/>
            <w:shd w:val="clear" w:color="auto" w:fill="D9D9D9"/>
            <w:vAlign w:val="center"/>
          </w:tcPr>
          <w:p w14:paraId="36B3DC61" w14:textId="77777777" w:rsidR="001333B2" w:rsidRPr="00AD67C2" w:rsidRDefault="001333B2" w:rsidP="001333B2">
            <w:pPr>
              <w:suppressAutoHyphens w:val="0"/>
              <w:jc w:val="both"/>
              <w:rPr>
                <w:rFonts w:ascii="Garamond" w:eastAsia="Times New Roman" w:hAnsi="Garamond" w:cs="Times New Roman"/>
                <w:sz w:val="22"/>
                <w:szCs w:val="24"/>
              </w:rPr>
            </w:pPr>
            <w:r w:rsidRPr="00AD67C2">
              <w:rPr>
                <w:rFonts w:ascii="Garamond" w:eastAsia="Times New Roman" w:hAnsi="Garamond" w:cs="Times New Roman"/>
                <w:sz w:val="22"/>
                <w:szCs w:val="24"/>
              </w:rPr>
              <w:t>Регистрационный номер в Реестре субъектов оптового рынка</w:t>
            </w:r>
          </w:p>
        </w:tc>
        <w:tc>
          <w:tcPr>
            <w:tcW w:w="5141" w:type="dxa"/>
            <w:vAlign w:val="center"/>
          </w:tcPr>
          <w:p w14:paraId="2D1A5167" w14:textId="184CAD0E" w:rsidR="001333B2" w:rsidRPr="00AD67C2" w:rsidRDefault="00DA697B" w:rsidP="00DA697B">
            <w:pPr>
              <w:suppressAutoHyphens w:val="0"/>
              <w:jc w:val="center"/>
              <w:rPr>
                <w:rFonts w:ascii="Garamond" w:eastAsia="Times New Roman" w:hAnsi="Garamond" w:cs="Times New Roman"/>
                <w:sz w:val="22"/>
                <w:szCs w:val="24"/>
              </w:rPr>
            </w:pPr>
            <w:r w:rsidRPr="00AD67C2">
              <w:rPr>
                <w:rFonts w:ascii="Garamond" w:eastAsia="Times New Roman" w:hAnsi="Garamond" w:cs="Times New Roman"/>
                <w:sz w:val="22"/>
                <w:szCs w:val="24"/>
                <w:lang w:val="en-US"/>
              </w:rPr>
              <w:t>4</w:t>
            </w:r>
            <w:r w:rsidR="001333B2" w:rsidRPr="00AD67C2">
              <w:rPr>
                <w:rFonts w:ascii="Garamond" w:eastAsia="Times New Roman" w:hAnsi="Garamond" w:cs="Times New Roman"/>
                <w:sz w:val="22"/>
                <w:szCs w:val="24"/>
              </w:rPr>
              <w:t>.</w:t>
            </w:r>
            <w:r w:rsidRPr="00AD67C2">
              <w:rPr>
                <w:rFonts w:ascii="Garamond" w:eastAsia="Times New Roman" w:hAnsi="Garamond" w:cs="Times New Roman"/>
                <w:sz w:val="22"/>
                <w:szCs w:val="24"/>
                <w:lang w:val="en-US"/>
              </w:rPr>
              <w:t>1</w:t>
            </w:r>
            <w:r w:rsidR="001333B2" w:rsidRPr="00AD67C2">
              <w:rPr>
                <w:rFonts w:ascii="Garamond" w:eastAsia="Times New Roman" w:hAnsi="Garamond" w:cs="Times New Roman"/>
                <w:sz w:val="22"/>
                <w:szCs w:val="24"/>
              </w:rPr>
              <w:t>.</w:t>
            </w:r>
            <w:r w:rsidRPr="00AD67C2">
              <w:rPr>
                <w:rFonts w:ascii="Garamond" w:eastAsia="Times New Roman" w:hAnsi="Garamond" w:cs="Times New Roman"/>
                <w:sz w:val="22"/>
                <w:szCs w:val="24"/>
                <w:lang w:val="en-US"/>
              </w:rPr>
              <w:t>0001</w:t>
            </w:r>
          </w:p>
        </w:tc>
      </w:tr>
    </w:tbl>
    <w:p w14:paraId="6A513A2F" w14:textId="77777777" w:rsidR="001333B2" w:rsidRPr="00AD67C2" w:rsidRDefault="001333B2" w:rsidP="001333B2">
      <w:pPr>
        <w:suppressAutoHyphens w:val="0"/>
        <w:jc w:val="both"/>
        <w:rPr>
          <w:rFonts w:ascii="Garamond" w:eastAsia="Times New Roman" w:hAnsi="Garamond" w:cs="Times New Roman"/>
          <w:b/>
          <w:sz w:val="16"/>
          <w:szCs w:val="22"/>
        </w:rPr>
      </w:pPr>
    </w:p>
    <w:p w14:paraId="49321D47" w14:textId="3DCA8A96" w:rsidR="001333B2" w:rsidRPr="00AD67C2" w:rsidRDefault="001333B2" w:rsidP="001333B2">
      <w:pPr>
        <w:suppressAutoHyphens w:val="0"/>
        <w:jc w:val="both"/>
        <w:rPr>
          <w:rFonts w:ascii="Garamond" w:eastAsia="Times New Roman" w:hAnsi="Garamond" w:cs="Times New Roman"/>
          <w:b/>
          <w:sz w:val="22"/>
          <w:szCs w:val="24"/>
        </w:rPr>
      </w:pPr>
      <w:r w:rsidRPr="00AD67C2">
        <w:rPr>
          <w:rFonts w:ascii="Garamond" w:eastAsia="Times New Roman" w:hAnsi="Garamond" w:cs="Times New Roman"/>
          <w:b/>
          <w:sz w:val="22"/>
          <w:szCs w:val="22"/>
        </w:rPr>
        <w:t xml:space="preserve">выражает намерение внести изменение в </w:t>
      </w:r>
      <w:r w:rsidRPr="00AD67C2">
        <w:rPr>
          <w:rFonts w:ascii="Garamond" w:eastAsia="Times New Roman" w:hAnsi="Garamond" w:cs="Times New Roman"/>
          <w:b/>
          <w:sz w:val="22"/>
          <w:szCs w:val="24"/>
        </w:rPr>
        <w:t xml:space="preserve">регистрационную информацию объекта регулирования </w:t>
      </w:r>
      <w:r w:rsidRPr="00AD67C2">
        <w:rPr>
          <w:rFonts w:ascii="Garamond" w:eastAsia="Times New Roman" w:hAnsi="Garamond" w:cs="Times New Roman"/>
          <w:b/>
          <w:sz w:val="22"/>
          <w:szCs w:val="22"/>
        </w:rPr>
        <w:t xml:space="preserve">и провести аттестацию </w:t>
      </w:r>
      <w:r w:rsidR="00FF037A" w:rsidRPr="00AD67C2">
        <w:rPr>
          <w:rFonts w:ascii="Garamond" w:eastAsia="Times New Roman" w:hAnsi="Garamond" w:cs="Times New Roman"/>
          <w:b/>
          <w:sz w:val="22"/>
          <w:szCs w:val="24"/>
        </w:rPr>
        <w:t>объекта регулирования</w:t>
      </w:r>
    </w:p>
    <w:p w14:paraId="2299FE78" w14:textId="77777777" w:rsidR="001333B2" w:rsidRPr="00AD67C2" w:rsidRDefault="001333B2" w:rsidP="001333B2">
      <w:pPr>
        <w:suppressAutoHyphens w:val="0"/>
        <w:jc w:val="both"/>
        <w:rPr>
          <w:rFonts w:ascii="Garamond" w:eastAsia="Times New Roman" w:hAnsi="Garamond" w:cs="Times New Roman"/>
          <w:b/>
          <w:sz w:val="16"/>
          <w:szCs w:val="24"/>
        </w:rPr>
      </w:pPr>
    </w:p>
    <w:tbl>
      <w:tblPr>
        <w:tblW w:w="935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708"/>
        <w:gridCol w:w="1700"/>
        <w:gridCol w:w="1982"/>
        <w:gridCol w:w="2407"/>
        <w:gridCol w:w="144"/>
        <w:gridCol w:w="2418"/>
      </w:tblGrid>
      <w:tr w:rsidR="001333B2" w:rsidRPr="00AD67C2" w14:paraId="608C45FC" w14:textId="77777777" w:rsidTr="0064152E">
        <w:trPr>
          <w:trHeight w:val="370"/>
        </w:trPr>
        <w:tc>
          <w:tcPr>
            <w:tcW w:w="9359" w:type="dxa"/>
            <w:gridSpan w:val="6"/>
            <w:shd w:val="clear" w:color="auto" w:fill="D9D9D9"/>
            <w:vAlign w:val="center"/>
          </w:tcPr>
          <w:p w14:paraId="08C3F4A0" w14:textId="77777777" w:rsidR="001333B2" w:rsidRPr="00AD67C2" w:rsidRDefault="001333B2" w:rsidP="001333B2">
            <w:pPr>
              <w:suppressAutoHyphens w:val="0"/>
              <w:jc w:val="both"/>
              <w:rPr>
                <w:rFonts w:ascii="Garamond" w:eastAsia="Times New Roman" w:hAnsi="Garamond" w:cs="Times New Roman"/>
                <w:sz w:val="22"/>
                <w:szCs w:val="24"/>
                <w:vertAlign w:val="superscript"/>
              </w:rPr>
            </w:pPr>
            <w:r w:rsidRPr="00AD67C2">
              <w:rPr>
                <w:rFonts w:ascii="Garamond" w:eastAsia="Times New Roman" w:hAnsi="Garamond" w:cs="Times New Roman"/>
                <w:b/>
                <w:sz w:val="22"/>
                <w:szCs w:val="24"/>
              </w:rPr>
              <w:t>1. Общие характеристики объекта регулирования</w:t>
            </w:r>
          </w:p>
        </w:tc>
      </w:tr>
      <w:tr w:rsidR="001333B2" w:rsidRPr="00AD67C2" w14:paraId="5364942E" w14:textId="77777777" w:rsidTr="00664B22">
        <w:trPr>
          <w:trHeight w:val="567"/>
        </w:trPr>
        <w:tc>
          <w:tcPr>
            <w:tcW w:w="4390" w:type="dxa"/>
            <w:gridSpan w:val="3"/>
            <w:shd w:val="clear" w:color="auto" w:fill="D9D9D9"/>
            <w:vAlign w:val="center"/>
          </w:tcPr>
          <w:p w14:paraId="0065C6AB" w14:textId="77777777" w:rsidR="001333B2" w:rsidRPr="00AD67C2" w:rsidRDefault="001333B2" w:rsidP="001333B2">
            <w:pPr>
              <w:suppressAutoHyphens w:val="0"/>
              <w:jc w:val="both"/>
              <w:rPr>
                <w:rFonts w:ascii="Garamond" w:eastAsia="Times New Roman" w:hAnsi="Garamond" w:cs="Times New Roman"/>
                <w:sz w:val="22"/>
                <w:szCs w:val="24"/>
              </w:rPr>
            </w:pPr>
            <w:r w:rsidRPr="00AD67C2">
              <w:rPr>
                <w:rFonts w:ascii="Garamond" w:eastAsia="Times New Roman" w:hAnsi="Garamond" w:cs="Times New Roman"/>
                <w:sz w:val="22"/>
                <w:szCs w:val="24"/>
              </w:rPr>
              <w:t>Наименование объекта регулирования</w:t>
            </w:r>
          </w:p>
        </w:tc>
        <w:tc>
          <w:tcPr>
            <w:tcW w:w="4969" w:type="dxa"/>
            <w:gridSpan w:val="3"/>
            <w:vAlign w:val="center"/>
          </w:tcPr>
          <w:p w14:paraId="5B8333BC" w14:textId="77777777" w:rsidR="001333B2" w:rsidRPr="00AD67C2" w:rsidRDefault="001333B2" w:rsidP="001333B2">
            <w:pPr>
              <w:suppressAutoHyphens w:val="0"/>
              <w:jc w:val="center"/>
              <w:rPr>
                <w:rFonts w:ascii="Garamond" w:eastAsia="Times New Roman" w:hAnsi="Garamond" w:cs="Times New Roman"/>
                <w:sz w:val="22"/>
                <w:szCs w:val="24"/>
              </w:rPr>
            </w:pPr>
            <w:r w:rsidRPr="00AD67C2">
              <w:rPr>
                <w:rFonts w:ascii="Garamond" w:eastAsia="Times New Roman" w:hAnsi="Garamond" w:cs="Times New Roman"/>
                <w:sz w:val="22"/>
                <w:szCs w:val="24"/>
              </w:rPr>
              <w:t>Объект регулирования АО «Металл завод»</w:t>
            </w:r>
          </w:p>
        </w:tc>
      </w:tr>
      <w:tr w:rsidR="001333B2" w:rsidRPr="00AD67C2" w14:paraId="105FD8E4" w14:textId="77777777" w:rsidTr="00664B22">
        <w:trPr>
          <w:trHeight w:val="567"/>
        </w:trPr>
        <w:tc>
          <w:tcPr>
            <w:tcW w:w="4390" w:type="dxa"/>
            <w:gridSpan w:val="3"/>
            <w:shd w:val="clear" w:color="auto" w:fill="D9D9D9"/>
            <w:vAlign w:val="center"/>
          </w:tcPr>
          <w:p w14:paraId="54958B9E" w14:textId="77777777" w:rsidR="001333B2" w:rsidRPr="00AD67C2" w:rsidRDefault="001333B2" w:rsidP="001333B2">
            <w:pPr>
              <w:suppressAutoHyphens w:val="0"/>
              <w:jc w:val="both"/>
              <w:rPr>
                <w:rFonts w:ascii="Garamond" w:eastAsia="Times New Roman" w:hAnsi="Garamond" w:cs="Times New Roman"/>
                <w:b/>
                <w:sz w:val="22"/>
                <w:szCs w:val="22"/>
                <w:vertAlign w:val="superscript"/>
              </w:rPr>
            </w:pPr>
            <w:r w:rsidRPr="00AD67C2">
              <w:rPr>
                <w:rFonts w:ascii="Garamond" w:eastAsia="Times New Roman" w:hAnsi="Garamond" w:cs="Times New Roman"/>
                <w:sz w:val="22"/>
                <w:szCs w:val="24"/>
              </w:rPr>
              <w:t>Наименование объекта регулирования</w:t>
            </w:r>
            <w:r w:rsidRPr="00AD67C2">
              <w:rPr>
                <w:rFonts w:ascii="Garamond" w:eastAsia="Times New Roman" w:hAnsi="Garamond" w:cs="Times New Roman"/>
                <w:sz w:val="22"/>
                <w:szCs w:val="22"/>
              </w:rPr>
              <w:t xml:space="preserve"> в соответствии с действующей регистрационной информацией </w:t>
            </w:r>
          </w:p>
          <w:p w14:paraId="0819FD40" w14:textId="77777777" w:rsidR="001333B2" w:rsidRPr="00AD67C2" w:rsidRDefault="001333B2" w:rsidP="001333B2">
            <w:pPr>
              <w:suppressAutoHyphens w:val="0"/>
              <w:jc w:val="both"/>
              <w:rPr>
                <w:rFonts w:ascii="Garamond" w:eastAsia="Times New Roman" w:hAnsi="Garamond" w:cs="Times New Roman"/>
                <w:sz w:val="22"/>
                <w:szCs w:val="24"/>
              </w:rPr>
            </w:pPr>
            <w:r w:rsidRPr="00AD67C2">
              <w:rPr>
                <w:rFonts w:ascii="Garamond" w:eastAsia="Times New Roman" w:hAnsi="Garamond" w:cs="Times New Roman"/>
                <w:sz w:val="22"/>
                <w:szCs w:val="22"/>
              </w:rPr>
              <w:t xml:space="preserve">(заполняется в случае изменения </w:t>
            </w:r>
            <w:r w:rsidRPr="00AD67C2">
              <w:rPr>
                <w:rFonts w:ascii="Garamond" w:eastAsia="Times New Roman" w:hAnsi="Garamond" w:cs="Times New Roman"/>
                <w:sz w:val="22"/>
                <w:szCs w:val="24"/>
              </w:rPr>
              <w:t>наименования объекта регулирования</w:t>
            </w:r>
            <w:r w:rsidRPr="00AD67C2">
              <w:rPr>
                <w:rFonts w:ascii="Garamond" w:eastAsia="Times New Roman" w:hAnsi="Garamond" w:cs="Times New Roman"/>
                <w:sz w:val="22"/>
                <w:szCs w:val="22"/>
              </w:rPr>
              <w:t>)</w:t>
            </w:r>
          </w:p>
        </w:tc>
        <w:tc>
          <w:tcPr>
            <w:tcW w:w="4969" w:type="dxa"/>
            <w:gridSpan w:val="3"/>
            <w:vAlign w:val="center"/>
          </w:tcPr>
          <w:p w14:paraId="68153359" w14:textId="77777777" w:rsidR="001333B2" w:rsidRPr="00AD67C2" w:rsidRDefault="001333B2" w:rsidP="001333B2">
            <w:pPr>
              <w:suppressAutoHyphens w:val="0"/>
              <w:jc w:val="center"/>
              <w:rPr>
                <w:rFonts w:ascii="Garamond" w:eastAsia="Times New Roman" w:hAnsi="Garamond" w:cs="Times New Roman"/>
                <w:sz w:val="22"/>
                <w:szCs w:val="24"/>
              </w:rPr>
            </w:pPr>
            <w:r w:rsidRPr="00AD67C2">
              <w:rPr>
                <w:rFonts w:ascii="Garamond" w:eastAsia="Times New Roman" w:hAnsi="Garamond" w:cs="Times New Roman"/>
                <w:sz w:val="22"/>
                <w:szCs w:val="24"/>
              </w:rPr>
              <w:t>Объект регулирования Завод</w:t>
            </w:r>
          </w:p>
        </w:tc>
      </w:tr>
      <w:tr w:rsidR="001333B2" w:rsidRPr="00AD67C2" w14:paraId="448F2AB4" w14:textId="77777777" w:rsidTr="00664B22">
        <w:trPr>
          <w:trHeight w:val="567"/>
        </w:trPr>
        <w:tc>
          <w:tcPr>
            <w:tcW w:w="4390" w:type="dxa"/>
            <w:gridSpan w:val="3"/>
            <w:shd w:val="clear" w:color="auto" w:fill="D9D9D9"/>
            <w:vAlign w:val="center"/>
          </w:tcPr>
          <w:p w14:paraId="48106A76" w14:textId="77777777" w:rsidR="001333B2" w:rsidRPr="00AD67C2" w:rsidRDefault="001333B2" w:rsidP="001333B2">
            <w:pPr>
              <w:suppressAutoHyphens w:val="0"/>
              <w:jc w:val="both"/>
              <w:rPr>
                <w:rFonts w:ascii="Garamond" w:eastAsia="Times New Roman" w:hAnsi="Garamond" w:cs="Times New Roman"/>
                <w:sz w:val="22"/>
                <w:szCs w:val="24"/>
              </w:rPr>
            </w:pPr>
            <w:r w:rsidRPr="00AD67C2">
              <w:rPr>
                <w:rFonts w:ascii="Garamond" w:eastAsia="Times New Roman" w:hAnsi="Garamond" w:cs="Times New Roman"/>
                <w:sz w:val="22"/>
                <w:szCs w:val="24"/>
              </w:rPr>
              <w:t>Ценовая зона</w:t>
            </w:r>
          </w:p>
        </w:tc>
        <w:tc>
          <w:tcPr>
            <w:tcW w:w="4969" w:type="dxa"/>
            <w:gridSpan w:val="3"/>
            <w:vAlign w:val="center"/>
          </w:tcPr>
          <w:p w14:paraId="38D0FD38" w14:textId="77777777" w:rsidR="001333B2" w:rsidRPr="00AD67C2" w:rsidRDefault="001333B2" w:rsidP="001333B2">
            <w:pPr>
              <w:suppressAutoHyphens w:val="0"/>
              <w:jc w:val="center"/>
              <w:rPr>
                <w:rFonts w:ascii="Garamond" w:eastAsia="Times New Roman" w:hAnsi="Garamond" w:cs="Times New Roman"/>
                <w:sz w:val="22"/>
                <w:szCs w:val="24"/>
              </w:rPr>
            </w:pPr>
            <w:r w:rsidRPr="00AD67C2">
              <w:rPr>
                <w:rFonts w:ascii="Garamond" w:eastAsia="Times New Roman" w:hAnsi="Garamond" w:cs="Times New Roman"/>
                <w:sz w:val="22"/>
                <w:szCs w:val="24"/>
              </w:rPr>
              <w:t>Первая ценовая зона</w:t>
            </w:r>
          </w:p>
        </w:tc>
      </w:tr>
      <w:tr w:rsidR="001333B2" w:rsidRPr="00AD67C2" w14:paraId="1E55710D" w14:textId="77777777" w:rsidTr="00664B22">
        <w:trPr>
          <w:trHeight w:val="567"/>
        </w:trPr>
        <w:tc>
          <w:tcPr>
            <w:tcW w:w="4390" w:type="dxa"/>
            <w:gridSpan w:val="3"/>
            <w:shd w:val="clear" w:color="auto" w:fill="D9D9D9"/>
            <w:vAlign w:val="center"/>
          </w:tcPr>
          <w:p w14:paraId="436621AB" w14:textId="77777777" w:rsidR="001333B2" w:rsidRPr="00AD67C2" w:rsidRDefault="001333B2" w:rsidP="001333B2">
            <w:pPr>
              <w:suppressAutoHyphens w:val="0"/>
              <w:jc w:val="both"/>
              <w:rPr>
                <w:rFonts w:ascii="Garamond" w:eastAsia="Times New Roman" w:hAnsi="Garamond" w:cs="Times New Roman"/>
                <w:sz w:val="22"/>
                <w:szCs w:val="24"/>
              </w:rPr>
            </w:pPr>
            <w:r w:rsidRPr="00AD67C2">
              <w:rPr>
                <w:rFonts w:ascii="Garamond" w:eastAsia="Times New Roman" w:hAnsi="Garamond" w:cs="Times New Roman"/>
                <w:sz w:val="22"/>
                <w:szCs w:val="24"/>
              </w:rPr>
              <w:t>Субъект РФ</w:t>
            </w:r>
          </w:p>
        </w:tc>
        <w:tc>
          <w:tcPr>
            <w:tcW w:w="4969" w:type="dxa"/>
            <w:gridSpan w:val="3"/>
            <w:vAlign w:val="center"/>
          </w:tcPr>
          <w:p w14:paraId="402674A3" w14:textId="77777777" w:rsidR="001333B2" w:rsidRPr="00AD67C2" w:rsidRDefault="001333B2" w:rsidP="001333B2">
            <w:pPr>
              <w:suppressAutoHyphens w:val="0"/>
              <w:jc w:val="center"/>
              <w:rPr>
                <w:rFonts w:ascii="Garamond" w:eastAsia="Times New Roman" w:hAnsi="Garamond" w:cs="Times New Roman"/>
                <w:sz w:val="22"/>
                <w:szCs w:val="24"/>
              </w:rPr>
            </w:pPr>
            <w:r w:rsidRPr="00AD67C2">
              <w:rPr>
                <w:rFonts w:ascii="Garamond" w:eastAsia="Times New Roman" w:hAnsi="Garamond" w:cs="Times New Roman"/>
                <w:sz w:val="22"/>
                <w:szCs w:val="24"/>
              </w:rPr>
              <w:t>Московская область</w:t>
            </w:r>
          </w:p>
        </w:tc>
      </w:tr>
      <w:tr w:rsidR="001333B2" w:rsidRPr="00AD67C2" w14:paraId="15DE5319" w14:textId="77777777" w:rsidTr="00664B22">
        <w:trPr>
          <w:trHeight w:val="567"/>
        </w:trPr>
        <w:tc>
          <w:tcPr>
            <w:tcW w:w="4390" w:type="dxa"/>
            <w:gridSpan w:val="3"/>
            <w:shd w:val="clear" w:color="auto" w:fill="D9D9D9"/>
            <w:vAlign w:val="center"/>
          </w:tcPr>
          <w:p w14:paraId="4EDEBF69" w14:textId="77777777" w:rsidR="001333B2" w:rsidRPr="00AD67C2" w:rsidRDefault="001333B2" w:rsidP="001333B2">
            <w:pPr>
              <w:suppressAutoHyphens w:val="0"/>
              <w:rPr>
                <w:rFonts w:ascii="Garamond" w:eastAsia="Times New Roman" w:hAnsi="Garamond" w:cs="Times New Roman"/>
                <w:sz w:val="22"/>
                <w:szCs w:val="24"/>
              </w:rPr>
            </w:pPr>
            <w:r w:rsidRPr="00AD67C2">
              <w:rPr>
                <w:rFonts w:ascii="Garamond" w:eastAsia="Times New Roman" w:hAnsi="Garamond" w:cs="Times New Roman"/>
                <w:sz w:val="22"/>
                <w:szCs w:val="24"/>
              </w:rPr>
              <w:t>Адрес местонахождения объекта регулирования</w:t>
            </w:r>
          </w:p>
        </w:tc>
        <w:tc>
          <w:tcPr>
            <w:tcW w:w="4969" w:type="dxa"/>
            <w:gridSpan w:val="3"/>
            <w:vAlign w:val="center"/>
          </w:tcPr>
          <w:p w14:paraId="5262081E" w14:textId="77777777" w:rsidR="001333B2" w:rsidRPr="00AD67C2" w:rsidRDefault="001333B2" w:rsidP="001333B2">
            <w:pPr>
              <w:suppressAutoHyphens w:val="0"/>
              <w:jc w:val="center"/>
              <w:rPr>
                <w:rFonts w:ascii="Garamond" w:eastAsia="Times New Roman" w:hAnsi="Garamond" w:cs="Times New Roman"/>
                <w:sz w:val="22"/>
                <w:szCs w:val="24"/>
              </w:rPr>
            </w:pPr>
            <w:r w:rsidRPr="00AD67C2">
              <w:rPr>
                <w:rFonts w:ascii="Garamond" w:eastAsia="Times New Roman" w:hAnsi="Garamond" w:cs="Times New Roman"/>
                <w:sz w:val="22"/>
                <w:szCs w:val="24"/>
              </w:rPr>
              <w:t>Московская область, г. Щелково, Октябрьская улица, дом 201, строение 10</w:t>
            </w:r>
          </w:p>
        </w:tc>
      </w:tr>
      <w:tr w:rsidR="001333B2" w:rsidRPr="00AD67C2" w14:paraId="45E7E8F8" w14:textId="77777777" w:rsidTr="00664B22">
        <w:trPr>
          <w:trHeight w:val="567"/>
        </w:trPr>
        <w:tc>
          <w:tcPr>
            <w:tcW w:w="4390" w:type="dxa"/>
            <w:gridSpan w:val="3"/>
            <w:shd w:val="clear" w:color="auto" w:fill="D9D9D9"/>
            <w:vAlign w:val="center"/>
          </w:tcPr>
          <w:p w14:paraId="0D26A4A7" w14:textId="77777777" w:rsidR="001333B2" w:rsidRPr="00AD67C2" w:rsidRDefault="001333B2" w:rsidP="001333B2">
            <w:pPr>
              <w:suppressAutoHyphens w:val="0"/>
              <w:rPr>
                <w:rFonts w:ascii="Garamond" w:eastAsia="Times New Roman" w:hAnsi="Garamond" w:cs="Times New Roman"/>
                <w:sz w:val="22"/>
                <w:szCs w:val="24"/>
              </w:rPr>
            </w:pPr>
            <w:r w:rsidRPr="00AD67C2">
              <w:rPr>
                <w:rFonts w:ascii="Garamond" w:eastAsia="Times New Roman" w:hAnsi="Garamond" w:cs="Times New Roman"/>
                <w:sz w:val="22"/>
                <w:szCs w:val="24"/>
              </w:rPr>
              <w:t>Номер реестровой записи в ФИАС</w:t>
            </w:r>
          </w:p>
        </w:tc>
        <w:tc>
          <w:tcPr>
            <w:tcW w:w="4969" w:type="dxa"/>
            <w:gridSpan w:val="3"/>
            <w:vAlign w:val="center"/>
          </w:tcPr>
          <w:p w14:paraId="1E87417C" w14:textId="77777777" w:rsidR="001333B2" w:rsidRPr="00AD67C2" w:rsidRDefault="001333B2" w:rsidP="001333B2">
            <w:pPr>
              <w:suppressAutoHyphens w:val="0"/>
              <w:jc w:val="center"/>
              <w:rPr>
                <w:rFonts w:ascii="Garamond" w:eastAsia="Times New Roman" w:hAnsi="Garamond" w:cs="Times New Roman"/>
                <w:i/>
                <w:sz w:val="22"/>
                <w:szCs w:val="24"/>
              </w:rPr>
            </w:pPr>
            <w:r w:rsidRPr="00AD67C2">
              <w:rPr>
                <w:rFonts w:ascii="Garamond" w:eastAsia="Times New Roman" w:hAnsi="Garamond" w:cs="Times New Roman"/>
                <w:sz w:val="22"/>
                <w:szCs w:val="24"/>
              </w:rPr>
              <w:t>459580000000000773920010000009999</w:t>
            </w:r>
          </w:p>
        </w:tc>
      </w:tr>
      <w:tr w:rsidR="001333B2" w:rsidRPr="00AD67C2" w14:paraId="6C2DD09E" w14:textId="77777777" w:rsidTr="00664B22">
        <w:trPr>
          <w:trHeight w:val="567"/>
        </w:trPr>
        <w:tc>
          <w:tcPr>
            <w:tcW w:w="4390" w:type="dxa"/>
            <w:gridSpan w:val="3"/>
            <w:shd w:val="clear" w:color="auto" w:fill="D9D9D9"/>
            <w:vAlign w:val="center"/>
          </w:tcPr>
          <w:p w14:paraId="6CE15166" w14:textId="77777777" w:rsidR="001333B2" w:rsidRPr="00AD67C2" w:rsidRDefault="001333B2" w:rsidP="001333B2">
            <w:pPr>
              <w:suppressAutoHyphens w:val="0"/>
              <w:rPr>
                <w:rFonts w:ascii="Garamond" w:eastAsia="Times New Roman" w:hAnsi="Garamond" w:cs="Times New Roman"/>
                <w:sz w:val="22"/>
                <w:szCs w:val="24"/>
              </w:rPr>
            </w:pPr>
            <w:r w:rsidRPr="00AD67C2">
              <w:rPr>
                <w:rFonts w:ascii="Garamond" w:eastAsia="Times New Roman" w:hAnsi="Garamond" w:cs="Times New Roman"/>
                <w:sz w:val="22"/>
                <w:szCs w:val="24"/>
              </w:rPr>
              <w:t>Полное наименование потребителя</w:t>
            </w:r>
          </w:p>
        </w:tc>
        <w:tc>
          <w:tcPr>
            <w:tcW w:w="4969" w:type="dxa"/>
            <w:gridSpan w:val="3"/>
            <w:vAlign w:val="center"/>
          </w:tcPr>
          <w:p w14:paraId="1AFCB80F" w14:textId="60EB41D0" w:rsidR="001333B2" w:rsidRPr="00AD67C2" w:rsidRDefault="001333B2" w:rsidP="002C48F6">
            <w:pPr>
              <w:suppressAutoHyphens w:val="0"/>
              <w:jc w:val="center"/>
              <w:rPr>
                <w:rFonts w:ascii="Garamond" w:eastAsia="Times New Roman" w:hAnsi="Garamond" w:cs="Times New Roman"/>
                <w:sz w:val="22"/>
                <w:szCs w:val="24"/>
              </w:rPr>
            </w:pPr>
            <w:r w:rsidRPr="00AD67C2">
              <w:rPr>
                <w:rFonts w:ascii="Garamond" w:eastAsia="Times New Roman" w:hAnsi="Garamond" w:cs="Times New Roman"/>
                <w:sz w:val="22"/>
                <w:szCs w:val="24"/>
              </w:rPr>
              <w:t xml:space="preserve">Акционерное </w:t>
            </w:r>
            <w:r w:rsidR="002C48F6">
              <w:rPr>
                <w:rFonts w:ascii="Garamond" w:eastAsia="Times New Roman" w:hAnsi="Garamond" w:cs="Times New Roman"/>
                <w:sz w:val="22"/>
                <w:szCs w:val="24"/>
              </w:rPr>
              <w:t>о</w:t>
            </w:r>
            <w:r w:rsidRPr="00AD67C2">
              <w:rPr>
                <w:rFonts w:ascii="Garamond" w:eastAsia="Times New Roman" w:hAnsi="Garamond" w:cs="Times New Roman"/>
                <w:sz w:val="22"/>
                <w:szCs w:val="24"/>
              </w:rPr>
              <w:t>бщество «Металлургический завод»</w:t>
            </w:r>
          </w:p>
        </w:tc>
      </w:tr>
      <w:tr w:rsidR="001333B2" w:rsidRPr="00AD67C2" w14:paraId="119FE962" w14:textId="77777777" w:rsidTr="00664B22">
        <w:trPr>
          <w:trHeight w:val="567"/>
        </w:trPr>
        <w:tc>
          <w:tcPr>
            <w:tcW w:w="4390" w:type="dxa"/>
            <w:gridSpan w:val="3"/>
            <w:shd w:val="clear" w:color="auto" w:fill="D9D9D9"/>
            <w:vAlign w:val="center"/>
          </w:tcPr>
          <w:p w14:paraId="34A92DF1" w14:textId="77777777" w:rsidR="001333B2" w:rsidRPr="00AD67C2" w:rsidRDefault="001333B2" w:rsidP="001333B2">
            <w:pPr>
              <w:suppressAutoHyphens w:val="0"/>
              <w:rPr>
                <w:rFonts w:ascii="Garamond" w:eastAsia="Times New Roman" w:hAnsi="Garamond" w:cs="Times New Roman"/>
                <w:sz w:val="22"/>
                <w:szCs w:val="24"/>
              </w:rPr>
            </w:pPr>
            <w:r w:rsidRPr="00AD67C2">
              <w:rPr>
                <w:rFonts w:ascii="Garamond" w:eastAsia="Times New Roman" w:hAnsi="Garamond" w:cs="Times New Roman"/>
                <w:sz w:val="22"/>
                <w:szCs w:val="24"/>
              </w:rPr>
              <w:t>Сокращенное наименование потребителя</w:t>
            </w:r>
          </w:p>
        </w:tc>
        <w:tc>
          <w:tcPr>
            <w:tcW w:w="4969" w:type="dxa"/>
            <w:gridSpan w:val="3"/>
            <w:vAlign w:val="center"/>
          </w:tcPr>
          <w:p w14:paraId="595449CB" w14:textId="77777777" w:rsidR="001333B2" w:rsidRPr="00AD67C2" w:rsidRDefault="001333B2" w:rsidP="001333B2">
            <w:pPr>
              <w:suppressAutoHyphens w:val="0"/>
              <w:jc w:val="center"/>
              <w:rPr>
                <w:rFonts w:ascii="Garamond" w:eastAsia="Times New Roman" w:hAnsi="Garamond" w:cs="Times New Roman"/>
                <w:sz w:val="22"/>
                <w:szCs w:val="24"/>
              </w:rPr>
            </w:pPr>
            <w:r w:rsidRPr="00AD67C2">
              <w:rPr>
                <w:rFonts w:ascii="Garamond" w:eastAsia="Times New Roman" w:hAnsi="Garamond" w:cs="Times New Roman"/>
                <w:sz w:val="22"/>
                <w:szCs w:val="24"/>
              </w:rPr>
              <w:t>АО «Металл завод»</w:t>
            </w:r>
          </w:p>
        </w:tc>
      </w:tr>
      <w:tr w:rsidR="001333B2" w:rsidRPr="00AD67C2" w14:paraId="51B823DE" w14:textId="77777777" w:rsidTr="00664B22">
        <w:trPr>
          <w:trHeight w:val="567"/>
        </w:trPr>
        <w:tc>
          <w:tcPr>
            <w:tcW w:w="4390" w:type="dxa"/>
            <w:gridSpan w:val="3"/>
            <w:shd w:val="clear" w:color="auto" w:fill="D9D9D9"/>
            <w:vAlign w:val="center"/>
          </w:tcPr>
          <w:p w14:paraId="3EC91903" w14:textId="77777777" w:rsidR="001333B2" w:rsidRPr="00AD67C2" w:rsidRDefault="001333B2" w:rsidP="001333B2">
            <w:pPr>
              <w:suppressAutoHyphens w:val="0"/>
              <w:rPr>
                <w:rFonts w:ascii="Garamond" w:eastAsia="Times New Roman" w:hAnsi="Garamond" w:cs="Times New Roman"/>
                <w:sz w:val="22"/>
                <w:szCs w:val="24"/>
              </w:rPr>
            </w:pPr>
            <w:r w:rsidRPr="00AD67C2">
              <w:rPr>
                <w:rFonts w:ascii="Garamond" w:eastAsia="Times New Roman" w:hAnsi="Garamond" w:cs="Times New Roman"/>
                <w:sz w:val="22"/>
                <w:szCs w:val="24"/>
              </w:rPr>
              <w:t>ИНН потребителя</w:t>
            </w:r>
          </w:p>
        </w:tc>
        <w:tc>
          <w:tcPr>
            <w:tcW w:w="4969" w:type="dxa"/>
            <w:gridSpan w:val="3"/>
            <w:vAlign w:val="center"/>
          </w:tcPr>
          <w:p w14:paraId="43D15BB6" w14:textId="77777777" w:rsidR="001333B2" w:rsidRPr="00AD67C2" w:rsidRDefault="001333B2" w:rsidP="001333B2">
            <w:pPr>
              <w:suppressAutoHyphens w:val="0"/>
              <w:jc w:val="center"/>
              <w:rPr>
                <w:rFonts w:ascii="Garamond" w:eastAsia="Times New Roman" w:hAnsi="Garamond" w:cs="Times New Roman"/>
                <w:sz w:val="22"/>
                <w:szCs w:val="24"/>
              </w:rPr>
            </w:pPr>
            <w:r w:rsidRPr="00AD67C2">
              <w:rPr>
                <w:rFonts w:ascii="Garamond" w:eastAsia="Times New Roman" w:hAnsi="Garamond" w:cs="Times New Roman"/>
                <w:sz w:val="22"/>
                <w:szCs w:val="24"/>
              </w:rPr>
              <w:t>1234567891</w:t>
            </w:r>
          </w:p>
        </w:tc>
      </w:tr>
      <w:tr w:rsidR="001333B2" w:rsidRPr="00AD67C2" w14:paraId="1B463061" w14:textId="77777777" w:rsidTr="00664B22">
        <w:trPr>
          <w:trHeight w:val="567"/>
        </w:trPr>
        <w:tc>
          <w:tcPr>
            <w:tcW w:w="4390" w:type="dxa"/>
            <w:gridSpan w:val="3"/>
            <w:shd w:val="clear" w:color="auto" w:fill="D9D9D9"/>
            <w:vAlign w:val="center"/>
          </w:tcPr>
          <w:p w14:paraId="2044D1D1" w14:textId="77777777" w:rsidR="001333B2" w:rsidRPr="00AD67C2" w:rsidRDefault="001333B2" w:rsidP="001333B2">
            <w:pPr>
              <w:suppressAutoHyphens w:val="0"/>
              <w:rPr>
                <w:rFonts w:ascii="Garamond" w:eastAsia="Times New Roman" w:hAnsi="Garamond" w:cs="Times New Roman"/>
                <w:sz w:val="22"/>
                <w:szCs w:val="24"/>
              </w:rPr>
            </w:pPr>
            <w:r w:rsidRPr="00AD67C2">
              <w:rPr>
                <w:rFonts w:ascii="Garamond" w:eastAsia="Times New Roman" w:hAnsi="Garamond" w:cs="Times New Roman"/>
                <w:sz w:val="22"/>
                <w:szCs w:val="24"/>
              </w:rPr>
              <w:t>ОГРН/ОГРНИП потребителя</w:t>
            </w:r>
          </w:p>
        </w:tc>
        <w:tc>
          <w:tcPr>
            <w:tcW w:w="4969" w:type="dxa"/>
            <w:gridSpan w:val="3"/>
            <w:vAlign w:val="center"/>
          </w:tcPr>
          <w:p w14:paraId="0B32146C" w14:textId="77777777" w:rsidR="001333B2" w:rsidRPr="00AD67C2" w:rsidRDefault="001333B2" w:rsidP="001333B2">
            <w:pPr>
              <w:suppressAutoHyphens w:val="0"/>
              <w:jc w:val="center"/>
              <w:rPr>
                <w:rFonts w:ascii="Garamond" w:eastAsia="Times New Roman" w:hAnsi="Garamond" w:cs="Times New Roman"/>
                <w:i/>
                <w:sz w:val="22"/>
                <w:szCs w:val="24"/>
              </w:rPr>
            </w:pPr>
            <w:r w:rsidRPr="00AD67C2">
              <w:rPr>
                <w:rFonts w:ascii="Garamond" w:eastAsia="Times New Roman" w:hAnsi="Garamond" w:cs="Times New Roman"/>
                <w:sz w:val="22"/>
                <w:szCs w:val="24"/>
              </w:rPr>
              <w:t>1234567890123</w:t>
            </w:r>
          </w:p>
        </w:tc>
      </w:tr>
      <w:tr w:rsidR="001333B2" w:rsidRPr="00AD67C2" w14:paraId="46409776" w14:textId="77777777" w:rsidTr="00664B22">
        <w:trPr>
          <w:trHeight w:val="567"/>
        </w:trPr>
        <w:tc>
          <w:tcPr>
            <w:tcW w:w="4390" w:type="dxa"/>
            <w:gridSpan w:val="3"/>
            <w:shd w:val="clear" w:color="auto" w:fill="D9D9D9"/>
            <w:vAlign w:val="center"/>
          </w:tcPr>
          <w:p w14:paraId="6EBAB51A" w14:textId="4014AF6D" w:rsidR="001333B2" w:rsidRPr="00AD67C2" w:rsidRDefault="001333B2" w:rsidP="001333B2">
            <w:pPr>
              <w:suppressAutoHyphens w:val="0"/>
              <w:rPr>
                <w:rFonts w:ascii="Garamond" w:eastAsia="Times New Roman" w:hAnsi="Garamond" w:cs="Times New Roman"/>
                <w:sz w:val="22"/>
                <w:szCs w:val="24"/>
              </w:rPr>
            </w:pPr>
            <w:r w:rsidRPr="00AD67C2">
              <w:rPr>
                <w:rFonts w:ascii="Garamond" w:eastAsia="Times New Roman" w:hAnsi="Garamond" w:cs="Times New Roman"/>
                <w:sz w:val="22"/>
                <w:szCs w:val="24"/>
              </w:rPr>
              <w:t>Код и наименование вида деятельности потребителя с использованием электрооборудования</w:t>
            </w:r>
            <w:r w:rsidR="002C48F6">
              <w:rPr>
                <w:rFonts w:ascii="Garamond" w:eastAsia="Times New Roman" w:hAnsi="Garamond" w:cs="Times New Roman"/>
                <w:sz w:val="22"/>
                <w:szCs w:val="24"/>
              </w:rPr>
              <w:t>,</w:t>
            </w:r>
            <w:r w:rsidRPr="00AD67C2">
              <w:rPr>
                <w:rFonts w:ascii="Garamond" w:eastAsia="Times New Roman" w:hAnsi="Garamond" w:cs="Times New Roman"/>
                <w:sz w:val="22"/>
                <w:szCs w:val="24"/>
              </w:rPr>
              <w:t xml:space="preserve"> входящего в объект регулирования</w:t>
            </w:r>
          </w:p>
        </w:tc>
        <w:tc>
          <w:tcPr>
            <w:tcW w:w="4969" w:type="dxa"/>
            <w:gridSpan w:val="3"/>
            <w:vAlign w:val="center"/>
          </w:tcPr>
          <w:p w14:paraId="0BC2ABAC" w14:textId="77777777" w:rsidR="001333B2" w:rsidRPr="00AD67C2" w:rsidRDefault="001333B2" w:rsidP="001333B2">
            <w:pPr>
              <w:suppressAutoHyphens w:val="0"/>
              <w:jc w:val="both"/>
              <w:rPr>
                <w:rFonts w:ascii="Garamond" w:eastAsia="Times New Roman" w:hAnsi="Garamond" w:cs="Times New Roman"/>
                <w:sz w:val="22"/>
                <w:szCs w:val="24"/>
              </w:rPr>
            </w:pPr>
            <w:r w:rsidRPr="00AD67C2">
              <w:rPr>
                <w:rFonts w:ascii="Garamond" w:eastAsia="Times New Roman" w:hAnsi="Garamond" w:cs="Times New Roman"/>
                <w:sz w:val="22"/>
                <w:szCs w:val="24"/>
              </w:rPr>
              <w:t>24.1 Производство чугуна, стали и ферросплавов</w:t>
            </w:r>
          </w:p>
        </w:tc>
      </w:tr>
      <w:tr w:rsidR="001333B2" w:rsidRPr="00AD67C2" w14:paraId="05BC245A" w14:textId="77777777" w:rsidTr="00664B22">
        <w:trPr>
          <w:trHeight w:val="567"/>
        </w:trPr>
        <w:tc>
          <w:tcPr>
            <w:tcW w:w="4390" w:type="dxa"/>
            <w:gridSpan w:val="3"/>
            <w:shd w:val="clear" w:color="auto" w:fill="D9D9D9"/>
            <w:vAlign w:val="center"/>
          </w:tcPr>
          <w:p w14:paraId="36FF69A0" w14:textId="77777777" w:rsidR="001333B2" w:rsidRPr="00AD67C2" w:rsidRDefault="001333B2" w:rsidP="001333B2">
            <w:pPr>
              <w:suppressAutoHyphens w:val="0"/>
              <w:jc w:val="both"/>
              <w:rPr>
                <w:rFonts w:ascii="Garamond" w:eastAsia="Times New Roman" w:hAnsi="Garamond" w:cs="Times New Roman"/>
                <w:sz w:val="22"/>
                <w:szCs w:val="24"/>
              </w:rPr>
            </w:pPr>
            <w:r w:rsidRPr="00AD67C2">
              <w:rPr>
                <w:rFonts w:ascii="Garamond" w:eastAsia="Times New Roman" w:hAnsi="Garamond" w:cs="Times New Roman"/>
                <w:sz w:val="22"/>
                <w:szCs w:val="24"/>
              </w:rPr>
              <w:lastRenderedPageBreak/>
              <w:t>Количество точек присоединения объекта регулирования к внешним электрическим сетям</w:t>
            </w:r>
          </w:p>
        </w:tc>
        <w:tc>
          <w:tcPr>
            <w:tcW w:w="4969" w:type="dxa"/>
            <w:gridSpan w:val="3"/>
            <w:vAlign w:val="center"/>
          </w:tcPr>
          <w:p w14:paraId="7F83FE35" w14:textId="77777777" w:rsidR="001333B2" w:rsidRPr="00AD67C2" w:rsidRDefault="001333B2" w:rsidP="001333B2">
            <w:pPr>
              <w:suppressAutoHyphens w:val="0"/>
              <w:jc w:val="center"/>
              <w:rPr>
                <w:rFonts w:ascii="Garamond" w:eastAsia="Times New Roman" w:hAnsi="Garamond" w:cs="Times New Roman"/>
                <w:sz w:val="22"/>
                <w:szCs w:val="24"/>
              </w:rPr>
            </w:pPr>
            <w:r w:rsidRPr="00AD67C2">
              <w:rPr>
                <w:rFonts w:ascii="Garamond" w:eastAsia="Times New Roman" w:hAnsi="Garamond" w:cs="Times New Roman"/>
                <w:sz w:val="22"/>
                <w:szCs w:val="24"/>
              </w:rPr>
              <w:t>55</w:t>
            </w:r>
          </w:p>
        </w:tc>
      </w:tr>
      <w:tr w:rsidR="001333B2" w:rsidRPr="00AD67C2" w14:paraId="1A611B4A" w14:textId="77777777" w:rsidTr="002C48F6">
        <w:trPr>
          <w:trHeight w:val="1658"/>
        </w:trPr>
        <w:tc>
          <w:tcPr>
            <w:tcW w:w="2408" w:type="dxa"/>
            <w:gridSpan w:val="2"/>
            <w:shd w:val="clear" w:color="auto" w:fill="D9D9D9"/>
            <w:vAlign w:val="center"/>
          </w:tcPr>
          <w:p w14:paraId="1DCB5628" w14:textId="77777777" w:rsidR="001333B2" w:rsidRPr="00AD67C2" w:rsidRDefault="001333B2" w:rsidP="001333B2">
            <w:pPr>
              <w:suppressAutoHyphens w:val="0"/>
              <w:jc w:val="both"/>
              <w:rPr>
                <w:rFonts w:ascii="Garamond" w:eastAsia="Times New Roman" w:hAnsi="Garamond" w:cs="Times New Roman"/>
                <w:sz w:val="22"/>
                <w:szCs w:val="24"/>
              </w:rPr>
            </w:pPr>
            <w:r w:rsidRPr="00AD67C2">
              <w:rPr>
                <w:rFonts w:ascii="Garamond" w:eastAsia="Times New Roman" w:hAnsi="Garamond" w:cs="Times New Roman"/>
                <w:sz w:val="22"/>
                <w:szCs w:val="24"/>
              </w:rPr>
              <w:t>Вид изменения</w:t>
            </w:r>
            <w:r w:rsidRPr="00AD67C2">
              <w:rPr>
                <w:rFonts w:ascii="Garamond" w:eastAsia="Times New Roman" w:hAnsi="Garamond" w:cs="Times New Roman"/>
                <w:sz w:val="22"/>
                <w:szCs w:val="24"/>
                <w:vertAlign w:val="superscript"/>
              </w:rPr>
              <w:t xml:space="preserve"> </w:t>
            </w:r>
          </w:p>
        </w:tc>
        <w:tc>
          <w:tcPr>
            <w:tcW w:w="6951" w:type="dxa"/>
            <w:gridSpan w:val="4"/>
            <w:vAlign w:val="center"/>
          </w:tcPr>
          <w:p w14:paraId="1CB4FE9F" w14:textId="2EB06464" w:rsidR="001333B2" w:rsidRPr="00AD67C2" w:rsidRDefault="001333B2" w:rsidP="001333B2">
            <w:pPr>
              <w:suppressAutoHyphens w:val="0"/>
              <w:contextualSpacing/>
              <w:rPr>
                <w:rFonts w:ascii="Garamond" w:eastAsia="Times New Roman" w:hAnsi="Garamond" w:cs="Times New Roman"/>
                <w:sz w:val="22"/>
                <w:szCs w:val="22"/>
              </w:rPr>
            </w:pPr>
            <w:r w:rsidRPr="00AD67C2">
              <w:rPr>
                <w:rFonts w:ascii="Garamond" w:eastAsia="Times New Roman" w:hAnsi="Garamond" w:cs="Times New Roman"/>
                <w:bCs/>
                <w:sz w:val="22"/>
                <w:szCs w:val="22"/>
              </w:rPr>
              <w:t>Изменение ТП с изменением состава электрооборудования</w:t>
            </w:r>
            <w:r w:rsidR="002C48F6">
              <w:rPr>
                <w:rFonts w:ascii="Garamond" w:eastAsia="Times New Roman" w:hAnsi="Garamond" w:cs="Times New Roman"/>
                <w:bCs/>
                <w:sz w:val="22"/>
                <w:szCs w:val="22"/>
              </w:rPr>
              <w:t>,</w:t>
            </w:r>
            <w:r w:rsidRPr="00AD67C2">
              <w:rPr>
                <w:rFonts w:ascii="Garamond" w:eastAsia="Times New Roman" w:hAnsi="Garamond" w:cs="Times New Roman"/>
                <w:bCs/>
                <w:sz w:val="22"/>
                <w:szCs w:val="22"/>
              </w:rPr>
              <w:t xml:space="preserve"> входящего в объект регулирования:</w:t>
            </w:r>
          </w:p>
          <w:p w14:paraId="6698D52E" w14:textId="77777777" w:rsidR="001333B2" w:rsidRPr="00AD67C2" w:rsidRDefault="001333B2" w:rsidP="001A09D5">
            <w:pPr>
              <w:numPr>
                <w:ilvl w:val="0"/>
                <w:numId w:val="337"/>
              </w:numPr>
              <w:suppressAutoHyphens w:val="0"/>
              <w:spacing w:after="160" w:line="259" w:lineRule="auto"/>
              <w:jc w:val="both"/>
              <w:rPr>
                <w:rFonts w:ascii="Garamond" w:eastAsia="Calibri" w:hAnsi="Garamond" w:cs="Calibri"/>
                <w:sz w:val="22"/>
                <w:szCs w:val="22"/>
                <w:lang w:eastAsia="en-US"/>
              </w:rPr>
            </w:pPr>
            <w:r w:rsidRPr="00AD67C2">
              <w:rPr>
                <w:rFonts w:ascii="Garamond" w:eastAsia="Calibri" w:hAnsi="Garamond" w:cs="Calibri"/>
                <w:sz w:val="22"/>
                <w:szCs w:val="22"/>
                <w:lang w:eastAsia="en-US"/>
              </w:rPr>
              <w:t>Добавление 4 ТП №№ 51 – 54.</w:t>
            </w:r>
          </w:p>
          <w:p w14:paraId="10372120" w14:textId="5D4B86EA" w:rsidR="001333B2" w:rsidRPr="00AD67C2" w:rsidRDefault="001333B2" w:rsidP="001333B2">
            <w:pPr>
              <w:suppressAutoHyphens w:val="0"/>
              <w:contextualSpacing/>
              <w:rPr>
                <w:rFonts w:ascii="Garamond" w:eastAsia="Times New Roman" w:hAnsi="Garamond" w:cs="Times New Roman"/>
                <w:sz w:val="22"/>
                <w:szCs w:val="22"/>
              </w:rPr>
            </w:pPr>
            <w:r w:rsidRPr="00AD67C2">
              <w:rPr>
                <w:rFonts w:ascii="Garamond" w:eastAsia="Times New Roman" w:hAnsi="Garamond" w:cs="Times New Roman"/>
                <w:bCs/>
                <w:sz w:val="22"/>
                <w:szCs w:val="22"/>
              </w:rPr>
              <w:t>Изменение ТП без изменения состава электрооборудования</w:t>
            </w:r>
            <w:r w:rsidR="002C48F6">
              <w:rPr>
                <w:rFonts w:ascii="Garamond" w:eastAsia="Times New Roman" w:hAnsi="Garamond" w:cs="Times New Roman"/>
                <w:bCs/>
                <w:sz w:val="22"/>
                <w:szCs w:val="22"/>
              </w:rPr>
              <w:t>,</w:t>
            </w:r>
            <w:r w:rsidRPr="00AD67C2">
              <w:rPr>
                <w:rFonts w:ascii="Garamond" w:eastAsia="Times New Roman" w:hAnsi="Garamond" w:cs="Times New Roman"/>
                <w:bCs/>
                <w:sz w:val="22"/>
                <w:szCs w:val="22"/>
              </w:rPr>
              <w:t xml:space="preserve"> входящего в объект регулирования:</w:t>
            </w:r>
          </w:p>
          <w:p w14:paraId="2DFE932E" w14:textId="77777777" w:rsidR="001333B2" w:rsidRPr="00AD67C2" w:rsidRDefault="001333B2" w:rsidP="001A09D5">
            <w:pPr>
              <w:numPr>
                <w:ilvl w:val="0"/>
                <w:numId w:val="338"/>
              </w:numPr>
              <w:suppressAutoHyphens w:val="0"/>
              <w:spacing w:after="160" w:line="259" w:lineRule="auto"/>
              <w:jc w:val="both"/>
              <w:rPr>
                <w:rFonts w:ascii="Garamond" w:eastAsia="Calibri" w:hAnsi="Garamond" w:cs="Calibri"/>
                <w:sz w:val="22"/>
                <w:szCs w:val="22"/>
                <w:lang w:eastAsia="en-US"/>
              </w:rPr>
            </w:pPr>
            <w:r w:rsidRPr="00AD67C2">
              <w:rPr>
                <w:rFonts w:ascii="Garamond" w:eastAsia="Calibri" w:hAnsi="Garamond" w:cs="Calibri"/>
                <w:sz w:val="22"/>
                <w:szCs w:val="22"/>
                <w:lang w:eastAsia="en-US"/>
              </w:rPr>
              <w:t>Исключение 3 ТП №№ 40 – 42.</w:t>
            </w:r>
          </w:p>
        </w:tc>
      </w:tr>
      <w:tr w:rsidR="001333B2" w:rsidRPr="00AD67C2" w14:paraId="2DF86DDB" w14:textId="77777777" w:rsidTr="00664B22">
        <w:trPr>
          <w:trHeight w:val="567"/>
        </w:trPr>
        <w:tc>
          <w:tcPr>
            <w:tcW w:w="2408" w:type="dxa"/>
            <w:gridSpan w:val="2"/>
            <w:shd w:val="clear" w:color="auto" w:fill="D9D9D9"/>
            <w:vAlign w:val="center"/>
          </w:tcPr>
          <w:p w14:paraId="1A60959D" w14:textId="77777777" w:rsidR="001333B2" w:rsidRPr="00AD67C2" w:rsidRDefault="001333B2" w:rsidP="001333B2">
            <w:pPr>
              <w:suppressAutoHyphens w:val="0"/>
              <w:jc w:val="both"/>
              <w:rPr>
                <w:rFonts w:ascii="Garamond" w:eastAsia="Times New Roman" w:hAnsi="Garamond" w:cs="Times New Roman"/>
                <w:sz w:val="22"/>
                <w:szCs w:val="24"/>
              </w:rPr>
            </w:pPr>
            <w:r w:rsidRPr="00AD67C2">
              <w:rPr>
                <w:rFonts w:ascii="Garamond" w:eastAsia="Times New Roman" w:hAnsi="Garamond" w:cs="Times New Roman"/>
                <w:sz w:val="22"/>
                <w:szCs w:val="24"/>
              </w:rPr>
              <w:t>Основание изменения</w:t>
            </w:r>
            <w:r w:rsidRPr="00AD67C2">
              <w:rPr>
                <w:rFonts w:ascii="Garamond" w:eastAsia="Times New Roman" w:hAnsi="Garamond" w:cs="Times New Roman"/>
                <w:sz w:val="22"/>
                <w:szCs w:val="24"/>
                <w:vertAlign w:val="superscript"/>
              </w:rPr>
              <w:t xml:space="preserve"> </w:t>
            </w:r>
          </w:p>
        </w:tc>
        <w:tc>
          <w:tcPr>
            <w:tcW w:w="6951" w:type="dxa"/>
            <w:gridSpan w:val="4"/>
            <w:vAlign w:val="center"/>
          </w:tcPr>
          <w:p w14:paraId="06587690" w14:textId="77777777" w:rsidR="001333B2" w:rsidRPr="00AD67C2" w:rsidRDefault="001333B2" w:rsidP="001333B2">
            <w:pPr>
              <w:suppressAutoHyphens w:val="0"/>
              <w:contextualSpacing/>
              <w:rPr>
                <w:rFonts w:ascii="Garamond" w:eastAsia="Times New Roman" w:hAnsi="Garamond" w:cs="Times New Roman"/>
                <w:sz w:val="22"/>
                <w:szCs w:val="22"/>
              </w:rPr>
            </w:pPr>
            <w:r w:rsidRPr="00AD67C2">
              <w:rPr>
                <w:rFonts w:ascii="Garamond" w:eastAsia="Times New Roman" w:hAnsi="Garamond" w:cs="Times New Roman"/>
                <w:bCs/>
                <w:sz w:val="22"/>
                <w:szCs w:val="22"/>
              </w:rPr>
              <w:t>Изменение ТП с изменением состава энергопринимающего оборудования, входящего в объект регулирования:</w:t>
            </w:r>
          </w:p>
          <w:p w14:paraId="0AC93394" w14:textId="77777777" w:rsidR="001333B2" w:rsidRPr="00AD67C2" w:rsidRDefault="001333B2" w:rsidP="001A09D5">
            <w:pPr>
              <w:numPr>
                <w:ilvl w:val="0"/>
                <w:numId w:val="331"/>
              </w:numPr>
              <w:suppressAutoHyphens w:val="0"/>
              <w:spacing w:after="160" w:line="276" w:lineRule="auto"/>
              <w:ind w:left="425" w:hanging="425"/>
              <w:contextualSpacing/>
              <w:jc w:val="both"/>
              <w:rPr>
                <w:rFonts w:ascii="Garamond" w:eastAsia="Times New Roman" w:hAnsi="Garamond" w:cs="Times New Roman"/>
                <w:sz w:val="22"/>
                <w:szCs w:val="22"/>
              </w:rPr>
            </w:pPr>
            <w:r w:rsidRPr="00AD67C2">
              <w:rPr>
                <w:rFonts w:ascii="Garamond" w:eastAsia="Times New Roman" w:hAnsi="Garamond" w:cs="Times New Roman"/>
                <w:sz w:val="22"/>
                <w:szCs w:val="22"/>
              </w:rPr>
              <w:t xml:space="preserve">По п. 1 </w:t>
            </w:r>
            <w:r w:rsidRPr="00AD67C2">
              <w:rPr>
                <w:rFonts w:ascii="Garamond" w:eastAsia="Times New Roman" w:hAnsi="Garamond" w:cs="Times New Roman"/>
                <w:bCs/>
                <w:sz w:val="22"/>
                <w:szCs w:val="22"/>
              </w:rPr>
              <w:t>–</w:t>
            </w:r>
            <w:r w:rsidRPr="00AD67C2">
              <w:rPr>
                <w:rFonts w:ascii="Garamond" w:eastAsia="Times New Roman" w:hAnsi="Garamond" w:cs="Times New Roman"/>
                <w:sz w:val="22"/>
                <w:szCs w:val="22"/>
              </w:rPr>
              <w:t xml:space="preserve"> Включение в объект регулирования </w:t>
            </w:r>
            <w:r w:rsidRPr="00AD67C2">
              <w:rPr>
                <w:rFonts w:ascii="Garamond" w:eastAsia="Times New Roman" w:hAnsi="Garamond" w:cs="Times New Roman"/>
                <w:bCs/>
                <w:sz w:val="22"/>
                <w:szCs w:val="22"/>
              </w:rPr>
              <w:t>электрооборудования</w:t>
            </w:r>
            <w:r w:rsidRPr="00AD67C2">
              <w:rPr>
                <w:rFonts w:ascii="Garamond" w:eastAsia="Times New Roman" w:hAnsi="Garamond" w:cs="Times New Roman"/>
                <w:sz w:val="22"/>
                <w:szCs w:val="22"/>
              </w:rPr>
              <w:t>, вновь введенного в эксплуатацию.</w:t>
            </w:r>
          </w:p>
          <w:p w14:paraId="63CC7042" w14:textId="77777777" w:rsidR="001333B2" w:rsidRPr="00AD67C2" w:rsidRDefault="001333B2" w:rsidP="001333B2">
            <w:pPr>
              <w:suppressAutoHyphens w:val="0"/>
              <w:contextualSpacing/>
              <w:rPr>
                <w:rFonts w:ascii="Garamond" w:eastAsia="Times New Roman" w:hAnsi="Garamond" w:cs="Times New Roman"/>
                <w:sz w:val="22"/>
                <w:szCs w:val="22"/>
              </w:rPr>
            </w:pPr>
            <w:r w:rsidRPr="00AD67C2">
              <w:rPr>
                <w:rFonts w:ascii="Garamond" w:eastAsia="Times New Roman" w:hAnsi="Garamond" w:cs="Times New Roman"/>
                <w:bCs/>
                <w:sz w:val="22"/>
                <w:szCs w:val="22"/>
              </w:rPr>
              <w:t>Изменение ТП без изменения состава электрооборудования, входящего в объект регулирования:</w:t>
            </w:r>
          </w:p>
          <w:p w14:paraId="34FB765C" w14:textId="77777777" w:rsidR="001333B2" w:rsidRPr="00AD67C2" w:rsidRDefault="001333B2" w:rsidP="001A09D5">
            <w:pPr>
              <w:numPr>
                <w:ilvl w:val="0"/>
                <w:numId w:val="331"/>
              </w:numPr>
              <w:suppressAutoHyphens w:val="0"/>
              <w:spacing w:after="160" w:line="276" w:lineRule="auto"/>
              <w:ind w:left="425" w:hanging="425"/>
              <w:contextualSpacing/>
              <w:jc w:val="both"/>
              <w:rPr>
                <w:rFonts w:ascii="Garamond" w:eastAsia="Times New Roman" w:hAnsi="Garamond" w:cs="Times New Roman"/>
                <w:sz w:val="22"/>
                <w:szCs w:val="22"/>
              </w:rPr>
            </w:pPr>
            <w:r w:rsidRPr="00AD67C2">
              <w:rPr>
                <w:rFonts w:ascii="Garamond" w:eastAsia="Times New Roman" w:hAnsi="Garamond" w:cs="Times New Roman"/>
                <w:sz w:val="22"/>
                <w:szCs w:val="22"/>
              </w:rPr>
              <w:t xml:space="preserve">По п. 1 </w:t>
            </w:r>
            <w:r w:rsidRPr="00AD67C2">
              <w:rPr>
                <w:rFonts w:ascii="Garamond" w:eastAsia="Times New Roman" w:hAnsi="Garamond" w:cs="Times New Roman"/>
                <w:bCs/>
                <w:sz w:val="22"/>
                <w:szCs w:val="22"/>
              </w:rPr>
              <w:t>–</w:t>
            </w:r>
            <w:r w:rsidRPr="00AD67C2">
              <w:rPr>
                <w:rFonts w:ascii="Garamond" w:eastAsia="Times New Roman" w:hAnsi="Garamond" w:cs="Times New Roman"/>
                <w:sz w:val="22"/>
                <w:szCs w:val="22"/>
              </w:rPr>
              <w:t xml:space="preserve"> Вывод присоединений из эксплуатации (отсутствие технологического присоединения).</w:t>
            </w:r>
          </w:p>
        </w:tc>
      </w:tr>
      <w:tr w:rsidR="001333B2" w:rsidRPr="00AD67C2" w14:paraId="3907F565" w14:textId="77777777" w:rsidTr="00664B22">
        <w:trPr>
          <w:trHeight w:val="567"/>
        </w:trPr>
        <w:tc>
          <w:tcPr>
            <w:tcW w:w="4390" w:type="dxa"/>
            <w:gridSpan w:val="3"/>
            <w:shd w:val="clear" w:color="auto" w:fill="D9D9D9"/>
            <w:vAlign w:val="center"/>
          </w:tcPr>
          <w:p w14:paraId="2E9B3A82" w14:textId="77583DE3" w:rsidR="001333B2" w:rsidRPr="00AD67C2" w:rsidRDefault="001333B2" w:rsidP="001333B2">
            <w:pPr>
              <w:suppressAutoHyphens w:val="0"/>
              <w:jc w:val="both"/>
              <w:rPr>
                <w:rFonts w:ascii="Garamond" w:eastAsia="Times New Roman" w:hAnsi="Garamond" w:cs="Times New Roman"/>
                <w:sz w:val="22"/>
                <w:szCs w:val="24"/>
              </w:rPr>
            </w:pPr>
            <w:r w:rsidRPr="00AD67C2">
              <w:rPr>
                <w:rFonts w:ascii="Garamond" w:eastAsia="Times New Roman" w:hAnsi="Garamond" w:cs="Times New Roman"/>
                <w:sz w:val="22"/>
                <w:szCs w:val="24"/>
              </w:rPr>
              <w:t>Наименование субъекта ОРЭМ и наименование ГТП</w:t>
            </w:r>
            <w:r w:rsidR="002C48F6">
              <w:rPr>
                <w:rFonts w:ascii="Garamond" w:eastAsia="Times New Roman" w:hAnsi="Garamond" w:cs="Times New Roman"/>
                <w:sz w:val="22"/>
                <w:szCs w:val="24"/>
              </w:rPr>
              <w:t>,</w:t>
            </w:r>
            <w:r w:rsidRPr="00AD67C2">
              <w:rPr>
                <w:rFonts w:ascii="Garamond" w:eastAsia="Times New Roman" w:hAnsi="Garamond" w:cs="Times New Roman"/>
                <w:sz w:val="22"/>
                <w:szCs w:val="24"/>
              </w:rPr>
              <w:t xml:space="preserve"> в состав которой включено электрооборудование объекта регулирования</w:t>
            </w:r>
          </w:p>
        </w:tc>
        <w:tc>
          <w:tcPr>
            <w:tcW w:w="4969" w:type="dxa"/>
            <w:gridSpan w:val="3"/>
            <w:vAlign w:val="center"/>
          </w:tcPr>
          <w:p w14:paraId="14205FCD" w14:textId="1281FB7D" w:rsidR="001333B2" w:rsidRPr="00AD67C2" w:rsidRDefault="001333B2" w:rsidP="001333B2">
            <w:pPr>
              <w:suppressAutoHyphens w:val="0"/>
              <w:jc w:val="center"/>
              <w:rPr>
                <w:rFonts w:ascii="Garamond" w:eastAsia="Times New Roman" w:hAnsi="Garamond" w:cs="Times New Roman"/>
                <w:sz w:val="22"/>
                <w:szCs w:val="24"/>
              </w:rPr>
            </w:pPr>
            <w:r w:rsidRPr="00AD67C2">
              <w:rPr>
                <w:rFonts w:ascii="Garamond" w:eastAsia="Times New Roman" w:hAnsi="Garamond" w:cs="Times New Roman"/>
                <w:sz w:val="22"/>
                <w:szCs w:val="24"/>
              </w:rPr>
              <w:t>ООО «Энергосбыт» (Металлургический завод №</w:t>
            </w:r>
            <w:r w:rsidR="002C48F6">
              <w:rPr>
                <w:rFonts w:ascii="Garamond" w:eastAsia="Times New Roman" w:hAnsi="Garamond" w:cs="Times New Roman"/>
                <w:sz w:val="22"/>
                <w:szCs w:val="24"/>
              </w:rPr>
              <w:t xml:space="preserve"> </w:t>
            </w:r>
            <w:r w:rsidRPr="00AD67C2">
              <w:rPr>
                <w:rFonts w:ascii="Garamond" w:eastAsia="Times New Roman" w:hAnsi="Garamond" w:cs="Times New Roman"/>
                <w:sz w:val="22"/>
                <w:szCs w:val="24"/>
              </w:rPr>
              <w:t>1)</w:t>
            </w:r>
          </w:p>
        </w:tc>
      </w:tr>
      <w:tr w:rsidR="001333B2" w:rsidRPr="00AD67C2" w14:paraId="17EEAFCA" w14:textId="77777777" w:rsidTr="00664B22">
        <w:trPr>
          <w:trHeight w:val="567"/>
        </w:trPr>
        <w:tc>
          <w:tcPr>
            <w:tcW w:w="4390" w:type="dxa"/>
            <w:gridSpan w:val="3"/>
            <w:shd w:val="clear" w:color="auto" w:fill="D9D9D9"/>
            <w:vAlign w:val="center"/>
          </w:tcPr>
          <w:p w14:paraId="015DE6D5" w14:textId="77777777" w:rsidR="001333B2" w:rsidRPr="00AD67C2" w:rsidRDefault="001333B2" w:rsidP="001333B2">
            <w:pPr>
              <w:suppressAutoHyphens w:val="0"/>
              <w:jc w:val="both"/>
              <w:rPr>
                <w:rFonts w:ascii="Garamond" w:eastAsia="Times New Roman" w:hAnsi="Garamond" w:cs="Times New Roman"/>
                <w:sz w:val="22"/>
                <w:szCs w:val="24"/>
              </w:rPr>
            </w:pPr>
            <w:r w:rsidRPr="00AD67C2">
              <w:rPr>
                <w:rFonts w:ascii="Garamond" w:eastAsia="Times New Roman" w:hAnsi="Garamond" w:cs="Times New Roman"/>
                <w:sz w:val="22"/>
                <w:szCs w:val="24"/>
              </w:rPr>
              <w:t>Вид объекта регулирования</w:t>
            </w:r>
          </w:p>
        </w:tc>
        <w:tc>
          <w:tcPr>
            <w:tcW w:w="4969" w:type="dxa"/>
            <w:gridSpan w:val="3"/>
            <w:vAlign w:val="center"/>
          </w:tcPr>
          <w:p w14:paraId="0A6D2344" w14:textId="77777777" w:rsidR="001333B2" w:rsidRPr="00AD67C2" w:rsidRDefault="001333B2" w:rsidP="001333B2">
            <w:pPr>
              <w:suppressAutoHyphens w:val="0"/>
              <w:jc w:val="center"/>
              <w:rPr>
                <w:rFonts w:ascii="Garamond" w:eastAsia="Times New Roman" w:hAnsi="Garamond" w:cs="Times New Roman"/>
                <w:sz w:val="22"/>
                <w:szCs w:val="22"/>
              </w:rPr>
            </w:pPr>
            <w:r w:rsidRPr="00AD67C2">
              <w:rPr>
                <w:rFonts w:ascii="Garamond" w:eastAsia="Times New Roman" w:hAnsi="Garamond" w:cs="Times New Roman"/>
                <w:sz w:val="22"/>
                <w:szCs w:val="22"/>
              </w:rPr>
              <w:t>объект регулирования потребителя розничного рынка</w:t>
            </w:r>
          </w:p>
        </w:tc>
      </w:tr>
      <w:tr w:rsidR="001333B2" w:rsidRPr="00AD67C2" w14:paraId="6D6C5612" w14:textId="77777777" w:rsidTr="0064152E">
        <w:trPr>
          <w:trHeight w:val="400"/>
        </w:trPr>
        <w:tc>
          <w:tcPr>
            <w:tcW w:w="9359" w:type="dxa"/>
            <w:gridSpan w:val="6"/>
            <w:shd w:val="clear" w:color="auto" w:fill="D9D9D9"/>
            <w:vAlign w:val="center"/>
          </w:tcPr>
          <w:p w14:paraId="3ADA8D52" w14:textId="77777777" w:rsidR="001333B2" w:rsidRPr="00AD67C2" w:rsidRDefault="001333B2" w:rsidP="001333B2">
            <w:pPr>
              <w:suppressAutoHyphens w:val="0"/>
              <w:jc w:val="both"/>
              <w:rPr>
                <w:rFonts w:ascii="Garamond" w:eastAsia="Times New Roman" w:hAnsi="Garamond" w:cs="Times New Roman"/>
                <w:b/>
                <w:i/>
                <w:sz w:val="22"/>
                <w:szCs w:val="24"/>
                <w:vertAlign w:val="superscript"/>
              </w:rPr>
            </w:pPr>
            <w:r w:rsidRPr="00AD67C2">
              <w:rPr>
                <w:rFonts w:ascii="Garamond" w:eastAsia="Times New Roman" w:hAnsi="Garamond" w:cs="Times New Roman"/>
                <w:b/>
                <w:sz w:val="22"/>
                <w:szCs w:val="24"/>
              </w:rPr>
              <w:t>2. Технические (технологические) характеристики объекта регулирования</w:t>
            </w:r>
          </w:p>
        </w:tc>
      </w:tr>
      <w:tr w:rsidR="001333B2" w:rsidRPr="00AD67C2" w14:paraId="6EA33421" w14:textId="77777777" w:rsidTr="00664B22">
        <w:trPr>
          <w:trHeight w:val="567"/>
        </w:trPr>
        <w:tc>
          <w:tcPr>
            <w:tcW w:w="4390" w:type="dxa"/>
            <w:gridSpan w:val="3"/>
            <w:shd w:val="clear" w:color="auto" w:fill="D9D9D9"/>
            <w:vAlign w:val="center"/>
          </w:tcPr>
          <w:p w14:paraId="702ED970" w14:textId="77777777" w:rsidR="001333B2" w:rsidRPr="00AD67C2" w:rsidRDefault="001333B2" w:rsidP="001333B2">
            <w:pPr>
              <w:suppressAutoHyphens w:val="0"/>
              <w:jc w:val="both"/>
              <w:rPr>
                <w:rFonts w:ascii="Garamond" w:eastAsia="Times New Roman" w:hAnsi="Garamond" w:cs="Times New Roman"/>
                <w:sz w:val="22"/>
                <w:szCs w:val="24"/>
              </w:rPr>
            </w:pPr>
            <w:r w:rsidRPr="00AD67C2">
              <w:rPr>
                <w:rFonts w:ascii="Garamond" w:eastAsia="Times New Roman" w:hAnsi="Garamond" w:cs="Times New Roman"/>
                <w:sz w:val="22"/>
                <w:szCs w:val="24"/>
              </w:rPr>
              <w:t>Максимальная мощность, МВт</w:t>
            </w:r>
          </w:p>
        </w:tc>
        <w:tc>
          <w:tcPr>
            <w:tcW w:w="4969" w:type="dxa"/>
            <w:gridSpan w:val="3"/>
            <w:shd w:val="clear" w:color="auto" w:fill="FFFFFF"/>
            <w:vAlign w:val="center"/>
          </w:tcPr>
          <w:p w14:paraId="505882EA" w14:textId="77777777" w:rsidR="001333B2" w:rsidRPr="00AD67C2" w:rsidRDefault="001333B2" w:rsidP="001333B2">
            <w:pPr>
              <w:suppressAutoHyphens w:val="0"/>
              <w:jc w:val="center"/>
              <w:rPr>
                <w:rFonts w:ascii="Garamond" w:eastAsia="Times New Roman" w:hAnsi="Garamond" w:cs="Times New Roman"/>
                <w:sz w:val="22"/>
                <w:szCs w:val="22"/>
              </w:rPr>
            </w:pPr>
            <w:r w:rsidRPr="00AD67C2">
              <w:rPr>
                <w:rFonts w:ascii="Garamond" w:eastAsia="Times New Roman" w:hAnsi="Garamond" w:cs="Times New Roman"/>
                <w:sz w:val="22"/>
                <w:szCs w:val="22"/>
              </w:rPr>
              <w:t>изменения отсутствуют</w:t>
            </w:r>
          </w:p>
        </w:tc>
      </w:tr>
      <w:tr w:rsidR="001333B2" w:rsidRPr="00AD67C2" w14:paraId="1FD724F2" w14:textId="77777777" w:rsidTr="00664B22">
        <w:trPr>
          <w:trHeight w:val="567"/>
        </w:trPr>
        <w:tc>
          <w:tcPr>
            <w:tcW w:w="4390" w:type="dxa"/>
            <w:gridSpan w:val="3"/>
            <w:shd w:val="clear" w:color="auto" w:fill="D9D9D9"/>
            <w:vAlign w:val="center"/>
          </w:tcPr>
          <w:p w14:paraId="0613D020" w14:textId="1753BA29" w:rsidR="001333B2" w:rsidRPr="00AD67C2" w:rsidRDefault="001333B2" w:rsidP="001333B2">
            <w:pPr>
              <w:suppressAutoHyphens w:val="0"/>
              <w:jc w:val="both"/>
              <w:rPr>
                <w:rFonts w:ascii="Garamond" w:eastAsia="Times New Roman" w:hAnsi="Garamond" w:cs="Times New Roman"/>
                <w:sz w:val="22"/>
                <w:szCs w:val="24"/>
              </w:rPr>
            </w:pPr>
            <w:r w:rsidRPr="00AD67C2">
              <w:rPr>
                <w:rFonts w:ascii="Garamond" w:eastAsia="Times New Roman" w:hAnsi="Garamond" w:cs="Times New Roman"/>
                <w:sz w:val="22"/>
                <w:szCs w:val="24"/>
              </w:rPr>
              <w:t>Объ</w:t>
            </w:r>
            <w:r w:rsidR="00BC4FC4">
              <w:rPr>
                <w:rFonts w:ascii="Garamond" w:eastAsia="Times New Roman" w:hAnsi="Garamond" w:cs="Times New Roman"/>
                <w:sz w:val="22"/>
                <w:szCs w:val="24"/>
              </w:rPr>
              <w:t>е</w:t>
            </w:r>
            <w:r w:rsidRPr="00AD67C2">
              <w:rPr>
                <w:rFonts w:ascii="Garamond" w:eastAsia="Times New Roman" w:hAnsi="Garamond" w:cs="Times New Roman"/>
                <w:sz w:val="22"/>
                <w:szCs w:val="24"/>
              </w:rPr>
              <w:t>м снижения потребления по договору с потребителем, МВт</w:t>
            </w:r>
          </w:p>
        </w:tc>
        <w:tc>
          <w:tcPr>
            <w:tcW w:w="4969" w:type="dxa"/>
            <w:gridSpan w:val="3"/>
            <w:shd w:val="clear" w:color="auto" w:fill="FFFFFF"/>
            <w:vAlign w:val="center"/>
          </w:tcPr>
          <w:p w14:paraId="41241219" w14:textId="77777777" w:rsidR="001333B2" w:rsidRPr="00AD67C2" w:rsidDel="00350340" w:rsidRDefault="001333B2" w:rsidP="001333B2">
            <w:pPr>
              <w:suppressAutoHyphens w:val="0"/>
              <w:jc w:val="center"/>
              <w:rPr>
                <w:rFonts w:ascii="Garamond" w:eastAsia="Times New Roman" w:hAnsi="Garamond" w:cs="Times New Roman"/>
                <w:sz w:val="22"/>
                <w:szCs w:val="24"/>
              </w:rPr>
            </w:pPr>
            <w:r w:rsidRPr="00AD67C2">
              <w:rPr>
                <w:rFonts w:ascii="Garamond" w:eastAsia="Times New Roman" w:hAnsi="Garamond" w:cs="Times New Roman"/>
                <w:sz w:val="22"/>
                <w:szCs w:val="24"/>
              </w:rPr>
              <w:t>15,7000</w:t>
            </w:r>
          </w:p>
        </w:tc>
      </w:tr>
      <w:tr w:rsidR="001333B2" w:rsidRPr="00AD67C2" w14:paraId="3A39BFAF" w14:textId="77777777" w:rsidTr="00664B22">
        <w:trPr>
          <w:trHeight w:val="567"/>
        </w:trPr>
        <w:tc>
          <w:tcPr>
            <w:tcW w:w="4390" w:type="dxa"/>
            <w:gridSpan w:val="3"/>
            <w:shd w:val="clear" w:color="auto" w:fill="D9D9D9"/>
            <w:vAlign w:val="center"/>
          </w:tcPr>
          <w:p w14:paraId="1BB125EB" w14:textId="77777777" w:rsidR="001333B2" w:rsidRPr="00AD67C2" w:rsidRDefault="001333B2" w:rsidP="001333B2">
            <w:pPr>
              <w:suppressAutoHyphens w:val="0"/>
              <w:jc w:val="both"/>
              <w:rPr>
                <w:rFonts w:ascii="Garamond" w:eastAsia="Times New Roman" w:hAnsi="Garamond" w:cs="Times New Roman"/>
                <w:sz w:val="22"/>
                <w:szCs w:val="24"/>
              </w:rPr>
            </w:pPr>
            <w:r w:rsidRPr="00AD67C2">
              <w:rPr>
                <w:rFonts w:ascii="Garamond" w:eastAsia="Times New Roman" w:hAnsi="Garamond" w:cs="Times New Roman"/>
                <w:sz w:val="22"/>
                <w:szCs w:val="24"/>
              </w:rPr>
              <w:t>Длительность снижения потребления по договору с потребителем, ч</w:t>
            </w:r>
          </w:p>
        </w:tc>
        <w:tc>
          <w:tcPr>
            <w:tcW w:w="4969" w:type="dxa"/>
            <w:gridSpan w:val="3"/>
            <w:shd w:val="clear" w:color="auto" w:fill="FFFFFF"/>
            <w:vAlign w:val="center"/>
          </w:tcPr>
          <w:p w14:paraId="76085F37" w14:textId="77777777" w:rsidR="001333B2" w:rsidRPr="00AD67C2" w:rsidDel="00350340" w:rsidRDefault="001333B2" w:rsidP="001333B2">
            <w:pPr>
              <w:suppressAutoHyphens w:val="0"/>
              <w:jc w:val="center"/>
              <w:rPr>
                <w:rFonts w:ascii="Garamond" w:eastAsia="Times New Roman" w:hAnsi="Garamond" w:cs="Times New Roman"/>
                <w:sz w:val="22"/>
                <w:szCs w:val="22"/>
              </w:rPr>
            </w:pPr>
            <w:r w:rsidRPr="00AD67C2">
              <w:rPr>
                <w:rFonts w:ascii="Garamond" w:eastAsia="Times New Roman" w:hAnsi="Garamond" w:cs="Times New Roman"/>
                <w:sz w:val="22"/>
                <w:szCs w:val="22"/>
              </w:rPr>
              <w:t>изменения отсутствуют</w:t>
            </w:r>
          </w:p>
        </w:tc>
      </w:tr>
      <w:tr w:rsidR="001333B2" w:rsidRPr="00AD67C2" w14:paraId="3247DF5B" w14:textId="77777777" w:rsidTr="00664B22">
        <w:trPr>
          <w:trHeight w:val="567"/>
        </w:trPr>
        <w:tc>
          <w:tcPr>
            <w:tcW w:w="4390" w:type="dxa"/>
            <w:gridSpan w:val="3"/>
            <w:shd w:val="clear" w:color="auto" w:fill="D9D9D9"/>
            <w:vAlign w:val="center"/>
          </w:tcPr>
          <w:p w14:paraId="547B7C68" w14:textId="77777777" w:rsidR="001333B2" w:rsidRPr="00AD67C2" w:rsidRDefault="001333B2" w:rsidP="001333B2">
            <w:pPr>
              <w:suppressAutoHyphens w:val="0"/>
              <w:jc w:val="both"/>
              <w:rPr>
                <w:rFonts w:ascii="Garamond" w:eastAsia="Times New Roman" w:hAnsi="Garamond" w:cs="Times New Roman"/>
                <w:sz w:val="22"/>
                <w:szCs w:val="24"/>
              </w:rPr>
            </w:pPr>
            <w:r w:rsidRPr="00AD67C2">
              <w:rPr>
                <w:rFonts w:ascii="Garamond" w:eastAsia="Times New Roman" w:hAnsi="Garamond" w:cs="Times New Roman"/>
                <w:sz w:val="22"/>
                <w:szCs w:val="24"/>
              </w:rPr>
              <w:t>Технология снижения потребления объекта регулирования</w:t>
            </w:r>
          </w:p>
        </w:tc>
        <w:tc>
          <w:tcPr>
            <w:tcW w:w="4969" w:type="dxa"/>
            <w:gridSpan w:val="3"/>
            <w:shd w:val="clear" w:color="auto" w:fill="FFFFFF"/>
            <w:vAlign w:val="center"/>
          </w:tcPr>
          <w:p w14:paraId="206087D6" w14:textId="77777777" w:rsidR="001333B2" w:rsidRPr="00AD67C2" w:rsidRDefault="001333B2" w:rsidP="001333B2">
            <w:pPr>
              <w:suppressAutoHyphens w:val="0"/>
              <w:jc w:val="center"/>
              <w:rPr>
                <w:rFonts w:ascii="Garamond" w:eastAsia="Times New Roman" w:hAnsi="Garamond" w:cs="Times New Roman"/>
                <w:sz w:val="22"/>
                <w:szCs w:val="24"/>
              </w:rPr>
            </w:pPr>
            <w:r w:rsidRPr="00AD67C2">
              <w:rPr>
                <w:rFonts w:ascii="Garamond" w:eastAsia="Times New Roman" w:hAnsi="Garamond" w:cs="Times New Roman"/>
                <w:sz w:val="22"/>
                <w:szCs w:val="24"/>
              </w:rPr>
              <w:t>смещение графика потребления во времени</w:t>
            </w:r>
          </w:p>
        </w:tc>
      </w:tr>
      <w:tr w:rsidR="001333B2" w:rsidRPr="00AD67C2" w14:paraId="449F55A7" w14:textId="77777777" w:rsidTr="00664B22">
        <w:trPr>
          <w:trHeight w:val="567"/>
        </w:trPr>
        <w:tc>
          <w:tcPr>
            <w:tcW w:w="4390" w:type="dxa"/>
            <w:gridSpan w:val="3"/>
            <w:shd w:val="clear" w:color="auto" w:fill="D9D9D9"/>
            <w:vAlign w:val="center"/>
          </w:tcPr>
          <w:p w14:paraId="0A506BE5" w14:textId="77777777" w:rsidR="001333B2" w:rsidRPr="00AD67C2" w:rsidRDefault="001333B2" w:rsidP="001333B2">
            <w:pPr>
              <w:suppressAutoHyphens w:val="0"/>
              <w:jc w:val="both"/>
              <w:rPr>
                <w:rFonts w:ascii="Garamond" w:eastAsia="Times New Roman" w:hAnsi="Garamond" w:cs="Times New Roman"/>
                <w:sz w:val="22"/>
                <w:szCs w:val="24"/>
              </w:rPr>
            </w:pPr>
            <w:r w:rsidRPr="00AD67C2">
              <w:rPr>
                <w:rFonts w:ascii="Garamond" w:eastAsia="Times New Roman" w:hAnsi="Garamond" w:cs="Times New Roman"/>
                <w:sz w:val="22"/>
                <w:szCs w:val="24"/>
              </w:rPr>
              <w:t>Тип компенсации снижения потребления</w:t>
            </w:r>
          </w:p>
        </w:tc>
        <w:tc>
          <w:tcPr>
            <w:tcW w:w="4969" w:type="dxa"/>
            <w:gridSpan w:val="3"/>
            <w:shd w:val="clear" w:color="auto" w:fill="FFFFFF"/>
            <w:vAlign w:val="center"/>
          </w:tcPr>
          <w:p w14:paraId="4A47EEC2" w14:textId="77777777" w:rsidR="001333B2" w:rsidRPr="00AD67C2" w:rsidRDefault="001333B2" w:rsidP="001333B2">
            <w:pPr>
              <w:suppressAutoHyphens w:val="0"/>
              <w:jc w:val="center"/>
              <w:rPr>
                <w:rFonts w:ascii="Garamond" w:eastAsia="Times New Roman" w:hAnsi="Garamond" w:cs="Times New Roman"/>
                <w:sz w:val="22"/>
                <w:szCs w:val="22"/>
              </w:rPr>
            </w:pPr>
            <w:r w:rsidRPr="00AD67C2">
              <w:rPr>
                <w:rFonts w:ascii="Garamond" w:eastAsia="Times New Roman" w:hAnsi="Garamond" w:cs="Times New Roman"/>
                <w:sz w:val="22"/>
                <w:szCs w:val="22"/>
              </w:rPr>
              <w:t>изменения отсутствуют</w:t>
            </w:r>
          </w:p>
        </w:tc>
      </w:tr>
      <w:tr w:rsidR="001333B2" w:rsidRPr="00AD67C2" w14:paraId="0581A3F4" w14:textId="77777777" w:rsidTr="0064152E">
        <w:trPr>
          <w:trHeight w:val="349"/>
        </w:trPr>
        <w:tc>
          <w:tcPr>
            <w:tcW w:w="9359" w:type="dxa"/>
            <w:gridSpan w:val="6"/>
            <w:shd w:val="clear" w:color="auto" w:fill="D9D9D9"/>
            <w:vAlign w:val="center"/>
          </w:tcPr>
          <w:p w14:paraId="2FA5C4F4" w14:textId="77777777" w:rsidR="001333B2" w:rsidRPr="00AD67C2" w:rsidRDefault="001333B2" w:rsidP="001333B2">
            <w:pPr>
              <w:suppressAutoHyphens w:val="0"/>
              <w:jc w:val="both"/>
              <w:rPr>
                <w:rFonts w:ascii="Garamond" w:eastAsia="Times New Roman" w:hAnsi="Garamond" w:cs="Times New Roman"/>
                <w:sz w:val="22"/>
                <w:szCs w:val="24"/>
                <w:vertAlign w:val="superscript"/>
              </w:rPr>
            </w:pPr>
            <w:r w:rsidRPr="00AD67C2">
              <w:rPr>
                <w:rFonts w:ascii="Garamond" w:eastAsia="Times New Roman" w:hAnsi="Garamond" w:cs="Times New Roman"/>
                <w:b/>
                <w:sz w:val="22"/>
                <w:szCs w:val="24"/>
              </w:rPr>
              <w:t>3. Заявленные параметры снижения потребления электроэнергии объектом регулирования</w:t>
            </w:r>
          </w:p>
        </w:tc>
      </w:tr>
      <w:tr w:rsidR="001333B2" w:rsidRPr="00AD67C2" w14:paraId="09A94ACF" w14:textId="77777777" w:rsidTr="00664B22">
        <w:trPr>
          <w:trHeight w:val="567"/>
        </w:trPr>
        <w:tc>
          <w:tcPr>
            <w:tcW w:w="4390" w:type="dxa"/>
            <w:gridSpan w:val="3"/>
            <w:shd w:val="clear" w:color="auto" w:fill="D9D9D9"/>
            <w:vAlign w:val="center"/>
          </w:tcPr>
          <w:p w14:paraId="597B7CEA" w14:textId="5A476406" w:rsidR="001333B2" w:rsidRPr="00AD67C2" w:rsidRDefault="001333B2" w:rsidP="001333B2">
            <w:pPr>
              <w:suppressAutoHyphens w:val="0"/>
              <w:jc w:val="both"/>
              <w:rPr>
                <w:rFonts w:ascii="Garamond" w:eastAsia="Times New Roman" w:hAnsi="Garamond" w:cs="Times New Roman"/>
                <w:sz w:val="22"/>
                <w:szCs w:val="24"/>
              </w:rPr>
            </w:pPr>
            <w:r w:rsidRPr="00AD67C2">
              <w:rPr>
                <w:rFonts w:ascii="Garamond" w:eastAsia="Times New Roman" w:hAnsi="Garamond" w:cs="Times New Roman"/>
                <w:sz w:val="22"/>
                <w:szCs w:val="24"/>
              </w:rPr>
              <w:t>Объ</w:t>
            </w:r>
            <w:r w:rsidR="00BC4FC4">
              <w:rPr>
                <w:rFonts w:ascii="Garamond" w:eastAsia="Times New Roman" w:hAnsi="Garamond" w:cs="Times New Roman"/>
                <w:sz w:val="22"/>
                <w:szCs w:val="24"/>
              </w:rPr>
              <w:t>е</w:t>
            </w:r>
            <w:r w:rsidRPr="00AD67C2">
              <w:rPr>
                <w:rFonts w:ascii="Garamond" w:eastAsia="Times New Roman" w:hAnsi="Garamond" w:cs="Times New Roman"/>
                <w:sz w:val="22"/>
                <w:szCs w:val="24"/>
              </w:rPr>
              <w:t>м снижения потребления электроэнергии, МВт</w:t>
            </w:r>
          </w:p>
        </w:tc>
        <w:tc>
          <w:tcPr>
            <w:tcW w:w="4969" w:type="dxa"/>
            <w:gridSpan w:val="3"/>
            <w:vAlign w:val="center"/>
          </w:tcPr>
          <w:p w14:paraId="7173FC77" w14:textId="77777777" w:rsidR="001333B2" w:rsidRPr="00AD67C2" w:rsidRDefault="001333B2" w:rsidP="001333B2">
            <w:pPr>
              <w:suppressAutoHyphens w:val="0"/>
              <w:jc w:val="center"/>
              <w:rPr>
                <w:rFonts w:ascii="Garamond" w:eastAsia="Times New Roman" w:hAnsi="Garamond" w:cs="Times New Roman"/>
                <w:sz w:val="22"/>
                <w:szCs w:val="24"/>
              </w:rPr>
            </w:pPr>
            <w:r w:rsidRPr="00AD67C2">
              <w:rPr>
                <w:rFonts w:ascii="Garamond" w:eastAsia="Times New Roman" w:hAnsi="Garamond" w:cs="Times New Roman"/>
                <w:sz w:val="22"/>
                <w:szCs w:val="24"/>
              </w:rPr>
              <w:t>15,2000</w:t>
            </w:r>
          </w:p>
        </w:tc>
      </w:tr>
      <w:tr w:rsidR="001333B2" w:rsidRPr="00AD67C2" w14:paraId="6757A76C" w14:textId="77777777" w:rsidTr="00664B22">
        <w:trPr>
          <w:trHeight w:val="567"/>
        </w:trPr>
        <w:tc>
          <w:tcPr>
            <w:tcW w:w="4390" w:type="dxa"/>
            <w:gridSpan w:val="3"/>
            <w:shd w:val="clear" w:color="auto" w:fill="D9D9D9"/>
            <w:vAlign w:val="center"/>
          </w:tcPr>
          <w:p w14:paraId="3EA79821" w14:textId="77777777" w:rsidR="001333B2" w:rsidRPr="00AD67C2" w:rsidRDefault="001333B2" w:rsidP="001333B2">
            <w:pPr>
              <w:suppressAutoHyphens w:val="0"/>
              <w:jc w:val="both"/>
              <w:rPr>
                <w:rFonts w:ascii="Garamond" w:eastAsia="Times New Roman" w:hAnsi="Garamond" w:cs="Times New Roman"/>
                <w:sz w:val="22"/>
                <w:szCs w:val="24"/>
              </w:rPr>
            </w:pPr>
            <w:r w:rsidRPr="00AD67C2">
              <w:rPr>
                <w:rFonts w:ascii="Garamond" w:eastAsia="Times New Roman" w:hAnsi="Garamond" w:cs="Times New Roman"/>
                <w:sz w:val="22"/>
                <w:szCs w:val="24"/>
              </w:rPr>
              <w:t>Длительность снижения потребления электроэнергии, ч</w:t>
            </w:r>
          </w:p>
        </w:tc>
        <w:tc>
          <w:tcPr>
            <w:tcW w:w="4969" w:type="dxa"/>
            <w:gridSpan w:val="3"/>
            <w:vAlign w:val="center"/>
          </w:tcPr>
          <w:p w14:paraId="3E83F4EB" w14:textId="77777777" w:rsidR="001333B2" w:rsidRPr="00AD67C2" w:rsidRDefault="001333B2" w:rsidP="001333B2">
            <w:pPr>
              <w:suppressAutoHyphens w:val="0"/>
              <w:jc w:val="center"/>
              <w:rPr>
                <w:rFonts w:ascii="Garamond" w:eastAsia="Times New Roman" w:hAnsi="Garamond" w:cs="Times New Roman"/>
                <w:sz w:val="22"/>
                <w:szCs w:val="22"/>
              </w:rPr>
            </w:pPr>
            <w:r w:rsidRPr="00AD67C2">
              <w:rPr>
                <w:rFonts w:ascii="Garamond" w:eastAsia="Times New Roman" w:hAnsi="Garamond" w:cs="Times New Roman"/>
                <w:sz w:val="22"/>
                <w:szCs w:val="22"/>
              </w:rPr>
              <w:t>изменения отсутствуют</w:t>
            </w:r>
          </w:p>
        </w:tc>
      </w:tr>
      <w:tr w:rsidR="001333B2" w:rsidRPr="00AD67C2" w14:paraId="651E5058" w14:textId="77777777" w:rsidTr="00664B22">
        <w:trPr>
          <w:trHeight w:val="567"/>
        </w:trPr>
        <w:tc>
          <w:tcPr>
            <w:tcW w:w="4390" w:type="dxa"/>
            <w:gridSpan w:val="3"/>
            <w:shd w:val="clear" w:color="auto" w:fill="D9D9D9"/>
            <w:vAlign w:val="center"/>
          </w:tcPr>
          <w:p w14:paraId="28BEC216" w14:textId="77777777" w:rsidR="001333B2" w:rsidRPr="00AD67C2" w:rsidRDefault="001333B2" w:rsidP="001333B2">
            <w:pPr>
              <w:suppressAutoHyphens w:val="0"/>
              <w:jc w:val="both"/>
              <w:rPr>
                <w:rFonts w:ascii="Garamond" w:eastAsia="Times New Roman" w:hAnsi="Garamond" w:cs="Times New Roman"/>
                <w:sz w:val="22"/>
                <w:szCs w:val="24"/>
              </w:rPr>
            </w:pPr>
            <w:r w:rsidRPr="00AD67C2">
              <w:rPr>
                <w:rFonts w:ascii="Garamond" w:eastAsia="Times New Roman" w:hAnsi="Garamond" w:cs="Times New Roman"/>
                <w:sz w:val="22"/>
                <w:szCs w:val="24"/>
              </w:rPr>
              <w:t>Метод определения объема услуг</w:t>
            </w:r>
          </w:p>
        </w:tc>
        <w:tc>
          <w:tcPr>
            <w:tcW w:w="4969" w:type="dxa"/>
            <w:gridSpan w:val="3"/>
            <w:vAlign w:val="center"/>
          </w:tcPr>
          <w:p w14:paraId="39289664" w14:textId="77777777" w:rsidR="001333B2" w:rsidRPr="00AD67C2" w:rsidRDefault="001333B2" w:rsidP="001333B2">
            <w:pPr>
              <w:suppressAutoHyphens w:val="0"/>
              <w:jc w:val="center"/>
              <w:rPr>
                <w:rFonts w:ascii="Garamond" w:eastAsia="Times New Roman" w:hAnsi="Garamond" w:cs="Times New Roman"/>
                <w:sz w:val="22"/>
                <w:szCs w:val="22"/>
              </w:rPr>
            </w:pPr>
            <w:r w:rsidRPr="00AD67C2">
              <w:rPr>
                <w:rFonts w:ascii="Garamond" w:eastAsia="Times New Roman" w:hAnsi="Garamond" w:cs="Times New Roman"/>
                <w:sz w:val="22"/>
                <w:szCs w:val="22"/>
              </w:rPr>
              <w:t>изменения отсутствуют</w:t>
            </w:r>
          </w:p>
        </w:tc>
      </w:tr>
      <w:tr w:rsidR="001333B2" w:rsidRPr="00AD67C2" w14:paraId="3CC37E19" w14:textId="77777777" w:rsidTr="00664B22">
        <w:trPr>
          <w:trHeight w:val="567"/>
        </w:trPr>
        <w:tc>
          <w:tcPr>
            <w:tcW w:w="4390" w:type="dxa"/>
            <w:gridSpan w:val="3"/>
            <w:shd w:val="clear" w:color="auto" w:fill="D9D9D9"/>
            <w:vAlign w:val="center"/>
          </w:tcPr>
          <w:p w14:paraId="56FD2DE3" w14:textId="77777777" w:rsidR="001333B2" w:rsidRPr="00AD67C2" w:rsidRDefault="001333B2" w:rsidP="001333B2">
            <w:pPr>
              <w:suppressAutoHyphens w:val="0"/>
              <w:jc w:val="both"/>
              <w:rPr>
                <w:rFonts w:ascii="Garamond" w:eastAsia="Times New Roman" w:hAnsi="Garamond" w:cs="Times New Roman"/>
                <w:sz w:val="22"/>
                <w:szCs w:val="24"/>
              </w:rPr>
            </w:pPr>
            <w:r w:rsidRPr="00AD67C2">
              <w:rPr>
                <w:rFonts w:ascii="Garamond" w:eastAsia="Times New Roman" w:hAnsi="Garamond" w:cs="Times New Roman"/>
                <w:sz w:val="22"/>
                <w:szCs w:val="24"/>
              </w:rPr>
              <w:t>Тип подстройки</w:t>
            </w:r>
          </w:p>
        </w:tc>
        <w:tc>
          <w:tcPr>
            <w:tcW w:w="4969" w:type="dxa"/>
            <w:gridSpan w:val="3"/>
            <w:vAlign w:val="center"/>
          </w:tcPr>
          <w:p w14:paraId="49D64936" w14:textId="77777777" w:rsidR="001333B2" w:rsidRPr="00AD67C2" w:rsidRDefault="001333B2" w:rsidP="001333B2">
            <w:pPr>
              <w:suppressAutoHyphens w:val="0"/>
              <w:jc w:val="center"/>
              <w:rPr>
                <w:rFonts w:ascii="Garamond" w:eastAsia="Times New Roman" w:hAnsi="Garamond" w:cs="Times New Roman"/>
                <w:sz w:val="22"/>
                <w:szCs w:val="24"/>
              </w:rPr>
            </w:pPr>
            <w:r w:rsidRPr="00AD67C2">
              <w:rPr>
                <w:rFonts w:ascii="Garamond" w:eastAsia="Times New Roman" w:hAnsi="Garamond" w:cs="Times New Roman"/>
                <w:sz w:val="22"/>
                <w:szCs w:val="24"/>
              </w:rPr>
              <w:t>подстройка не осуществляется</w:t>
            </w:r>
          </w:p>
        </w:tc>
      </w:tr>
      <w:tr w:rsidR="001333B2" w:rsidRPr="00AD67C2" w14:paraId="5F56E6C2" w14:textId="77777777" w:rsidTr="0064152E">
        <w:trPr>
          <w:trHeight w:val="567"/>
        </w:trPr>
        <w:tc>
          <w:tcPr>
            <w:tcW w:w="9359" w:type="dxa"/>
            <w:gridSpan w:val="6"/>
            <w:shd w:val="clear" w:color="auto" w:fill="D9D9D9"/>
            <w:vAlign w:val="center"/>
          </w:tcPr>
          <w:p w14:paraId="3E0BA21C" w14:textId="4CC886CF" w:rsidR="001333B2" w:rsidRPr="00AD67C2" w:rsidRDefault="00DE216B" w:rsidP="001333B2">
            <w:pPr>
              <w:suppressAutoHyphens w:val="0"/>
              <w:jc w:val="both"/>
              <w:rPr>
                <w:rFonts w:ascii="Garamond" w:eastAsia="Times New Roman" w:hAnsi="Garamond" w:cs="Times New Roman"/>
                <w:b/>
                <w:sz w:val="22"/>
                <w:szCs w:val="24"/>
                <w:vertAlign w:val="superscript"/>
              </w:rPr>
            </w:pPr>
            <w:r w:rsidRPr="00AD67C2">
              <w:rPr>
                <w:rFonts w:ascii="Garamond" w:eastAsia="Times New Roman" w:hAnsi="Garamond" w:cs="Times New Roman"/>
                <w:b/>
                <w:sz w:val="22"/>
                <w:szCs w:val="24"/>
              </w:rPr>
              <w:t>4</w:t>
            </w:r>
            <w:r w:rsidR="001333B2" w:rsidRPr="00AD67C2">
              <w:rPr>
                <w:rFonts w:ascii="Garamond" w:eastAsia="Times New Roman" w:hAnsi="Garamond" w:cs="Times New Roman"/>
                <w:b/>
                <w:sz w:val="22"/>
                <w:szCs w:val="24"/>
              </w:rPr>
              <w:t xml:space="preserve">. Наличие в составе объекта регулирования </w:t>
            </w:r>
            <w:r w:rsidR="001333B2" w:rsidRPr="00AD67C2">
              <w:rPr>
                <w:rFonts w:ascii="Garamond" w:eastAsia="Times New Roman" w:hAnsi="Garamond" w:cs="Times New Roman"/>
                <w:b/>
                <w:sz w:val="22"/>
                <w:szCs w:val="22"/>
              </w:rPr>
              <w:t>объектов по производству электрическ</w:t>
            </w:r>
            <w:r w:rsidR="002C48F6">
              <w:rPr>
                <w:rFonts w:ascii="Garamond" w:eastAsia="Times New Roman" w:hAnsi="Garamond" w:cs="Times New Roman"/>
                <w:b/>
                <w:sz w:val="22"/>
                <w:szCs w:val="22"/>
              </w:rPr>
              <w:t>ой энергии (электростанции/блок-</w:t>
            </w:r>
            <w:r w:rsidR="001333B2" w:rsidRPr="00AD67C2">
              <w:rPr>
                <w:rFonts w:ascii="Garamond" w:eastAsia="Times New Roman" w:hAnsi="Garamond" w:cs="Times New Roman"/>
                <w:b/>
                <w:sz w:val="22"/>
                <w:szCs w:val="22"/>
              </w:rPr>
              <w:t>станции)</w:t>
            </w:r>
          </w:p>
        </w:tc>
      </w:tr>
      <w:tr w:rsidR="001333B2" w:rsidRPr="00AD67C2" w14:paraId="38F9B5D6" w14:textId="77777777" w:rsidTr="00664B22">
        <w:trPr>
          <w:trHeight w:val="567"/>
        </w:trPr>
        <w:tc>
          <w:tcPr>
            <w:tcW w:w="708" w:type="dxa"/>
            <w:shd w:val="clear" w:color="auto" w:fill="D9D9D9"/>
            <w:vAlign w:val="center"/>
          </w:tcPr>
          <w:p w14:paraId="23DF9178" w14:textId="77777777" w:rsidR="001333B2" w:rsidRPr="00AD67C2" w:rsidRDefault="001333B2" w:rsidP="001333B2">
            <w:pPr>
              <w:suppressAutoHyphens w:val="0"/>
              <w:jc w:val="center"/>
              <w:rPr>
                <w:rFonts w:ascii="Garamond" w:eastAsia="Times New Roman" w:hAnsi="Garamond" w:cs="Times New Roman"/>
                <w:sz w:val="22"/>
                <w:szCs w:val="24"/>
              </w:rPr>
            </w:pPr>
            <w:r w:rsidRPr="00AD67C2">
              <w:rPr>
                <w:rFonts w:ascii="Garamond" w:eastAsia="Times New Roman" w:hAnsi="Garamond" w:cs="Times New Roman"/>
                <w:sz w:val="22"/>
                <w:szCs w:val="24"/>
              </w:rPr>
              <w:t>№</w:t>
            </w:r>
          </w:p>
        </w:tc>
        <w:tc>
          <w:tcPr>
            <w:tcW w:w="6233" w:type="dxa"/>
            <w:gridSpan w:val="4"/>
            <w:shd w:val="clear" w:color="auto" w:fill="D9D9D9"/>
            <w:vAlign w:val="center"/>
          </w:tcPr>
          <w:p w14:paraId="52DC7F23" w14:textId="609E7357" w:rsidR="001333B2" w:rsidRPr="00AD67C2" w:rsidRDefault="001333B2" w:rsidP="001333B2">
            <w:pPr>
              <w:suppressAutoHyphens w:val="0"/>
              <w:jc w:val="center"/>
              <w:rPr>
                <w:rFonts w:ascii="Garamond" w:eastAsia="Times New Roman" w:hAnsi="Garamond" w:cs="Times New Roman"/>
                <w:sz w:val="22"/>
                <w:szCs w:val="24"/>
              </w:rPr>
            </w:pPr>
            <w:r w:rsidRPr="00AD67C2">
              <w:rPr>
                <w:rFonts w:ascii="Garamond" w:eastAsia="Times New Roman" w:hAnsi="Garamond" w:cs="Times New Roman"/>
                <w:sz w:val="22"/>
                <w:szCs w:val="24"/>
              </w:rPr>
              <w:t>Н</w:t>
            </w:r>
            <w:r w:rsidR="002C48F6">
              <w:rPr>
                <w:rFonts w:ascii="Garamond" w:eastAsia="Times New Roman" w:hAnsi="Garamond" w:cs="Times New Roman"/>
                <w:sz w:val="22"/>
                <w:szCs w:val="24"/>
              </w:rPr>
              <w:t>аименование электростанции/блок-</w:t>
            </w:r>
            <w:r w:rsidRPr="00AD67C2">
              <w:rPr>
                <w:rFonts w:ascii="Garamond" w:eastAsia="Times New Roman" w:hAnsi="Garamond" w:cs="Times New Roman"/>
                <w:sz w:val="22"/>
                <w:szCs w:val="24"/>
              </w:rPr>
              <w:t>станции</w:t>
            </w:r>
          </w:p>
        </w:tc>
        <w:tc>
          <w:tcPr>
            <w:tcW w:w="2418" w:type="dxa"/>
            <w:shd w:val="clear" w:color="auto" w:fill="D9D9D9"/>
            <w:vAlign w:val="center"/>
          </w:tcPr>
          <w:p w14:paraId="700633AF" w14:textId="77777777" w:rsidR="001333B2" w:rsidRPr="00AD67C2" w:rsidRDefault="001333B2" w:rsidP="001333B2">
            <w:pPr>
              <w:suppressAutoHyphens w:val="0"/>
              <w:jc w:val="center"/>
              <w:rPr>
                <w:rFonts w:ascii="Garamond" w:eastAsia="Times New Roman" w:hAnsi="Garamond" w:cs="Times New Roman"/>
                <w:sz w:val="22"/>
                <w:szCs w:val="24"/>
              </w:rPr>
            </w:pPr>
            <w:r w:rsidRPr="00AD67C2">
              <w:rPr>
                <w:rFonts w:ascii="Garamond" w:eastAsia="Times New Roman" w:hAnsi="Garamond" w:cs="Times New Roman"/>
                <w:sz w:val="22"/>
                <w:szCs w:val="24"/>
              </w:rPr>
              <w:t>Установленная мощность, МВт</w:t>
            </w:r>
          </w:p>
        </w:tc>
      </w:tr>
      <w:tr w:rsidR="001333B2" w:rsidRPr="00AD67C2" w14:paraId="00BC3E7F" w14:textId="77777777" w:rsidTr="00664B22">
        <w:trPr>
          <w:trHeight w:val="483"/>
        </w:trPr>
        <w:tc>
          <w:tcPr>
            <w:tcW w:w="708" w:type="dxa"/>
            <w:vAlign w:val="center"/>
          </w:tcPr>
          <w:p w14:paraId="5EC1B6EB" w14:textId="77777777" w:rsidR="001333B2" w:rsidRPr="00AD67C2" w:rsidRDefault="001333B2" w:rsidP="001333B2">
            <w:pPr>
              <w:suppressAutoHyphens w:val="0"/>
              <w:jc w:val="center"/>
              <w:rPr>
                <w:rFonts w:ascii="Garamond" w:eastAsia="Times New Roman" w:hAnsi="Garamond" w:cs="Times New Roman"/>
                <w:sz w:val="22"/>
                <w:szCs w:val="22"/>
              </w:rPr>
            </w:pPr>
            <w:r w:rsidRPr="00AD67C2">
              <w:rPr>
                <w:rFonts w:ascii="Garamond" w:eastAsia="Times New Roman" w:hAnsi="Garamond" w:cs="Times New Roman"/>
                <w:sz w:val="22"/>
                <w:szCs w:val="22"/>
                <w:lang w:val="en-US"/>
              </w:rPr>
              <w:t>1</w:t>
            </w:r>
            <w:r w:rsidRPr="00AD67C2">
              <w:rPr>
                <w:rFonts w:ascii="Garamond" w:eastAsia="Times New Roman" w:hAnsi="Garamond" w:cs="Times New Roman"/>
                <w:sz w:val="22"/>
                <w:szCs w:val="22"/>
              </w:rPr>
              <w:t>.</w:t>
            </w:r>
          </w:p>
        </w:tc>
        <w:tc>
          <w:tcPr>
            <w:tcW w:w="6233" w:type="dxa"/>
            <w:gridSpan w:val="4"/>
            <w:vAlign w:val="center"/>
          </w:tcPr>
          <w:p w14:paraId="48934FF4" w14:textId="77777777" w:rsidR="001333B2" w:rsidRPr="00AD67C2" w:rsidRDefault="001333B2" w:rsidP="001333B2">
            <w:pPr>
              <w:suppressAutoHyphens w:val="0"/>
              <w:ind w:right="317"/>
              <w:jc w:val="both"/>
              <w:rPr>
                <w:rFonts w:ascii="Garamond" w:eastAsia="Times New Roman" w:hAnsi="Garamond" w:cs="Times New Roman"/>
                <w:sz w:val="22"/>
                <w:szCs w:val="22"/>
              </w:rPr>
            </w:pPr>
            <w:r w:rsidRPr="00AD67C2">
              <w:rPr>
                <w:rFonts w:ascii="Garamond" w:eastAsia="Times New Roman" w:hAnsi="Garamond" w:cs="Times New Roman"/>
                <w:sz w:val="22"/>
                <w:szCs w:val="22"/>
              </w:rPr>
              <w:t>ТЭЦ «МЦЗ»</w:t>
            </w:r>
          </w:p>
        </w:tc>
        <w:tc>
          <w:tcPr>
            <w:tcW w:w="2418" w:type="dxa"/>
            <w:vAlign w:val="center"/>
          </w:tcPr>
          <w:p w14:paraId="566F23C6" w14:textId="77777777" w:rsidR="001333B2" w:rsidRPr="00AD67C2" w:rsidRDefault="001333B2" w:rsidP="001333B2">
            <w:pPr>
              <w:suppressAutoHyphens w:val="0"/>
              <w:jc w:val="center"/>
              <w:rPr>
                <w:rFonts w:ascii="Garamond" w:eastAsia="Times New Roman" w:hAnsi="Garamond" w:cs="Times New Roman"/>
                <w:sz w:val="22"/>
                <w:szCs w:val="22"/>
              </w:rPr>
            </w:pPr>
            <w:r w:rsidRPr="00AD67C2">
              <w:rPr>
                <w:rFonts w:ascii="Garamond" w:eastAsia="Times New Roman" w:hAnsi="Garamond" w:cs="Times New Roman"/>
                <w:sz w:val="22"/>
                <w:szCs w:val="22"/>
              </w:rPr>
              <w:t>20,0</w:t>
            </w:r>
          </w:p>
        </w:tc>
      </w:tr>
      <w:tr w:rsidR="001333B2" w:rsidRPr="00AD67C2" w14:paraId="03C0543C" w14:textId="77777777" w:rsidTr="00664B22">
        <w:trPr>
          <w:trHeight w:val="483"/>
        </w:trPr>
        <w:tc>
          <w:tcPr>
            <w:tcW w:w="708" w:type="dxa"/>
            <w:vAlign w:val="center"/>
          </w:tcPr>
          <w:p w14:paraId="50B64043" w14:textId="77777777" w:rsidR="001333B2" w:rsidRPr="00AD67C2" w:rsidRDefault="001333B2" w:rsidP="001333B2">
            <w:pPr>
              <w:suppressAutoHyphens w:val="0"/>
              <w:jc w:val="center"/>
              <w:rPr>
                <w:rFonts w:ascii="Garamond" w:eastAsia="Times New Roman" w:hAnsi="Garamond" w:cs="Times New Roman"/>
                <w:sz w:val="22"/>
                <w:szCs w:val="22"/>
              </w:rPr>
            </w:pPr>
            <w:r w:rsidRPr="00AD67C2">
              <w:rPr>
                <w:rFonts w:ascii="Garamond" w:eastAsia="Times New Roman" w:hAnsi="Garamond" w:cs="Times New Roman"/>
                <w:sz w:val="22"/>
                <w:szCs w:val="22"/>
              </w:rPr>
              <w:t>2.</w:t>
            </w:r>
          </w:p>
        </w:tc>
        <w:tc>
          <w:tcPr>
            <w:tcW w:w="6233" w:type="dxa"/>
            <w:gridSpan w:val="4"/>
            <w:vAlign w:val="center"/>
          </w:tcPr>
          <w:p w14:paraId="7ACC3808" w14:textId="77777777" w:rsidR="001333B2" w:rsidRPr="00AD67C2" w:rsidRDefault="001333B2" w:rsidP="001333B2">
            <w:pPr>
              <w:suppressAutoHyphens w:val="0"/>
              <w:ind w:right="317"/>
              <w:jc w:val="both"/>
              <w:rPr>
                <w:rFonts w:ascii="Garamond" w:eastAsia="Times New Roman" w:hAnsi="Garamond" w:cs="Times New Roman"/>
                <w:sz w:val="22"/>
                <w:szCs w:val="22"/>
              </w:rPr>
            </w:pPr>
            <w:r w:rsidRPr="00AD67C2">
              <w:rPr>
                <w:rFonts w:ascii="Garamond" w:eastAsia="Times New Roman" w:hAnsi="Garamond" w:cs="Times New Roman"/>
                <w:sz w:val="22"/>
                <w:szCs w:val="22"/>
              </w:rPr>
              <w:t>ТЭС «ЛМЗ»</w:t>
            </w:r>
          </w:p>
        </w:tc>
        <w:tc>
          <w:tcPr>
            <w:tcW w:w="2418" w:type="dxa"/>
            <w:vAlign w:val="center"/>
          </w:tcPr>
          <w:p w14:paraId="078E9394" w14:textId="77777777" w:rsidR="001333B2" w:rsidRPr="00AD67C2" w:rsidRDefault="001333B2" w:rsidP="001333B2">
            <w:pPr>
              <w:suppressAutoHyphens w:val="0"/>
              <w:jc w:val="center"/>
              <w:rPr>
                <w:rFonts w:ascii="Garamond" w:eastAsia="Times New Roman" w:hAnsi="Garamond" w:cs="Times New Roman"/>
                <w:sz w:val="22"/>
                <w:szCs w:val="22"/>
              </w:rPr>
            </w:pPr>
            <w:r w:rsidRPr="00AD67C2">
              <w:rPr>
                <w:rFonts w:ascii="Garamond" w:eastAsia="Times New Roman" w:hAnsi="Garamond" w:cs="Times New Roman"/>
                <w:sz w:val="22"/>
                <w:szCs w:val="22"/>
              </w:rPr>
              <w:t>18,0</w:t>
            </w:r>
          </w:p>
        </w:tc>
      </w:tr>
      <w:tr w:rsidR="001333B2" w:rsidRPr="00AD67C2" w14:paraId="28A6D65B" w14:textId="77777777" w:rsidTr="00664B22">
        <w:trPr>
          <w:trHeight w:val="483"/>
        </w:trPr>
        <w:tc>
          <w:tcPr>
            <w:tcW w:w="2408" w:type="dxa"/>
            <w:gridSpan w:val="2"/>
            <w:shd w:val="clear" w:color="auto" w:fill="D9D9D9"/>
            <w:vAlign w:val="center"/>
          </w:tcPr>
          <w:p w14:paraId="046C2F82" w14:textId="77777777" w:rsidR="001333B2" w:rsidRPr="00AD67C2" w:rsidRDefault="001333B2" w:rsidP="001333B2">
            <w:pPr>
              <w:suppressAutoHyphens w:val="0"/>
              <w:rPr>
                <w:rFonts w:ascii="Garamond" w:eastAsia="Times New Roman" w:hAnsi="Garamond" w:cs="Times New Roman"/>
                <w:sz w:val="22"/>
                <w:szCs w:val="22"/>
                <w:lang w:val="en-US"/>
              </w:rPr>
            </w:pPr>
            <w:r w:rsidRPr="00AD67C2">
              <w:rPr>
                <w:rFonts w:ascii="Garamond" w:eastAsia="Times New Roman" w:hAnsi="Garamond" w:cs="Times New Roman"/>
                <w:sz w:val="22"/>
                <w:szCs w:val="24"/>
              </w:rPr>
              <w:lastRenderedPageBreak/>
              <w:t>Вид изменения</w:t>
            </w:r>
          </w:p>
        </w:tc>
        <w:tc>
          <w:tcPr>
            <w:tcW w:w="6951" w:type="dxa"/>
            <w:gridSpan w:val="4"/>
            <w:vAlign w:val="center"/>
          </w:tcPr>
          <w:p w14:paraId="45673A0F" w14:textId="77777777" w:rsidR="001333B2" w:rsidRPr="00AD67C2" w:rsidRDefault="001333B2" w:rsidP="001A09D5">
            <w:pPr>
              <w:numPr>
                <w:ilvl w:val="0"/>
                <w:numId w:val="336"/>
              </w:numPr>
              <w:suppressAutoHyphens w:val="0"/>
              <w:spacing w:after="160" w:line="259" w:lineRule="auto"/>
              <w:ind w:left="284" w:hanging="284"/>
              <w:jc w:val="both"/>
              <w:rPr>
                <w:rFonts w:ascii="Garamond" w:eastAsia="Times New Roman" w:hAnsi="Garamond" w:cs="Times New Roman"/>
                <w:sz w:val="22"/>
                <w:szCs w:val="22"/>
              </w:rPr>
            </w:pPr>
            <w:r w:rsidRPr="00AD67C2">
              <w:rPr>
                <w:rFonts w:ascii="Garamond" w:eastAsia="Times New Roman" w:hAnsi="Garamond" w:cs="Times New Roman"/>
                <w:sz w:val="22"/>
                <w:szCs w:val="22"/>
              </w:rPr>
              <w:t>Добавление блок-станции ТЭЦ «МЦЗ».</w:t>
            </w:r>
          </w:p>
          <w:p w14:paraId="242B3541" w14:textId="77777777" w:rsidR="001333B2" w:rsidRPr="00AD67C2" w:rsidRDefault="001333B2" w:rsidP="001A09D5">
            <w:pPr>
              <w:numPr>
                <w:ilvl w:val="0"/>
                <w:numId w:val="336"/>
              </w:numPr>
              <w:suppressAutoHyphens w:val="0"/>
              <w:spacing w:after="160" w:line="259" w:lineRule="auto"/>
              <w:ind w:left="284" w:hanging="284"/>
              <w:jc w:val="both"/>
              <w:rPr>
                <w:rFonts w:ascii="Garamond" w:eastAsia="Times New Roman" w:hAnsi="Garamond" w:cs="Times New Roman"/>
                <w:sz w:val="22"/>
                <w:szCs w:val="22"/>
              </w:rPr>
            </w:pPr>
            <w:r w:rsidRPr="00AD67C2">
              <w:rPr>
                <w:rFonts w:ascii="Garamond" w:eastAsia="Times New Roman" w:hAnsi="Garamond" w:cs="Times New Roman"/>
                <w:sz w:val="22"/>
                <w:szCs w:val="22"/>
              </w:rPr>
              <w:t>Изменение установленной мощности ТГ-1 ТЭС «ЛМЗ».</w:t>
            </w:r>
          </w:p>
        </w:tc>
      </w:tr>
      <w:tr w:rsidR="001333B2" w:rsidRPr="00AD67C2" w14:paraId="608A2311" w14:textId="77777777" w:rsidTr="00664B22">
        <w:trPr>
          <w:trHeight w:val="483"/>
        </w:trPr>
        <w:tc>
          <w:tcPr>
            <w:tcW w:w="2408" w:type="dxa"/>
            <w:gridSpan w:val="2"/>
            <w:shd w:val="clear" w:color="auto" w:fill="D9D9D9"/>
            <w:vAlign w:val="center"/>
          </w:tcPr>
          <w:p w14:paraId="237A2F70" w14:textId="77777777" w:rsidR="001333B2" w:rsidRPr="00AD67C2" w:rsidRDefault="001333B2" w:rsidP="001333B2">
            <w:pPr>
              <w:suppressAutoHyphens w:val="0"/>
              <w:rPr>
                <w:rFonts w:ascii="Garamond" w:eastAsia="Times New Roman" w:hAnsi="Garamond" w:cs="Times New Roman"/>
                <w:sz w:val="22"/>
                <w:szCs w:val="22"/>
                <w:lang w:val="en-US"/>
              </w:rPr>
            </w:pPr>
            <w:r w:rsidRPr="00AD67C2">
              <w:rPr>
                <w:rFonts w:ascii="Garamond" w:eastAsia="Times New Roman" w:hAnsi="Garamond" w:cs="Times New Roman"/>
                <w:sz w:val="22"/>
                <w:szCs w:val="24"/>
              </w:rPr>
              <w:t>Основание изменения</w:t>
            </w:r>
          </w:p>
        </w:tc>
        <w:tc>
          <w:tcPr>
            <w:tcW w:w="6951" w:type="dxa"/>
            <w:gridSpan w:val="4"/>
            <w:vAlign w:val="center"/>
          </w:tcPr>
          <w:p w14:paraId="217A8F04" w14:textId="77777777" w:rsidR="001333B2" w:rsidRPr="00AD67C2" w:rsidRDefault="001333B2" w:rsidP="001333B2">
            <w:pPr>
              <w:suppressAutoHyphens w:val="0"/>
              <w:rPr>
                <w:rFonts w:ascii="Garamond" w:eastAsia="Times New Roman" w:hAnsi="Garamond" w:cs="Times New Roman"/>
                <w:sz w:val="22"/>
                <w:szCs w:val="22"/>
              </w:rPr>
            </w:pPr>
            <w:r w:rsidRPr="00AD67C2">
              <w:rPr>
                <w:rFonts w:ascii="Garamond" w:eastAsia="Times New Roman" w:hAnsi="Garamond" w:cs="Times New Roman"/>
                <w:sz w:val="22"/>
                <w:szCs w:val="22"/>
              </w:rPr>
              <w:t>По п. 1 – Ввод оборудования в эксплуатацию.</w:t>
            </w:r>
          </w:p>
          <w:p w14:paraId="75CD502F" w14:textId="77777777" w:rsidR="001333B2" w:rsidRPr="00AD67C2" w:rsidRDefault="001333B2" w:rsidP="001333B2">
            <w:pPr>
              <w:suppressAutoHyphens w:val="0"/>
              <w:jc w:val="both"/>
              <w:rPr>
                <w:rFonts w:ascii="Garamond" w:eastAsia="Times New Roman" w:hAnsi="Garamond" w:cs="Times New Roman"/>
                <w:sz w:val="22"/>
                <w:szCs w:val="22"/>
              </w:rPr>
            </w:pPr>
            <w:r w:rsidRPr="00AD67C2">
              <w:rPr>
                <w:rFonts w:ascii="Garamond" w:eastAsia="Times New Roman" w:hAnsi="Garamond" w:cs="Times New Roman"/>
                <w:sz w:val="22"/>
                <w:szCs w:val="22"/>
              </w:rPr>
              <w:t>По п. 2 – Перемаркировка генерирующего оборудования.</w:t>
            </w:r>
          </w:p>
        </w:tc>
      </w:tr>
      <w:tr w:rsidR="001333B2" w:rsidRPr="00AD67C2" w14:paraId="21FE471F" w14:textId="77777777" w:rsidTr="0064152E">
        <w:trPr>
          <w:trHeight w:val="370"/>
        </w:trPr>
        <w:tc>
          <w:tcPr>
            <w:tcW w:w="9359" w:type="dxa"/>
            <w:gridSpan w:val="6"/>
            <w:shd w:val="clear" w:color="auto" w:fill="D9D9D9"/>
            <w:vAlign w:val="center"/>
          </w:tcPr>
          <w:p w14:paraId="2E703717" w14:textId="64051F00" w:rsidR="001333B2" w:rsidRPr="00AD67C2" w:rsidRDefault="00DE216B" w:rsidP="001333B2">
            <w:pPr>
              <w:suppressAutoHyphens w:val="0"/>
              <w:jc w:val="both"/>
              <w:rPr>
                <w:rFonts w:ascii="Garamond" w:eastAsia="Times New Roman" w:hAnsi="Garamond" w:cs="Times New Roman"/>
                <w:b/>
                <w:sz w:val="22"/>
                <w:szCs w:val="24"/>
                <w:vertAlign w:val="superscript"/>
              </w:rPr>
            </w:pPr>
            <w:r w:rsidRPr="00AD67C2">
              <w:rPr>
                <w:rFonts w:ascii="Garamond" w:eastAsia="Times New Roman" w:hAnsi="Garamond" w:cs="Times New Roman"/>
                <w:b/>
                <w:sz w:val="22"/>
                <w:szCs w:val="24"/>
              </w:rPr>
              <w:t>5</w:t>
            </w:r>
            <w:r w:rsidR="001333B2" w:rsidRPr="00AD67C2">
              <w:rPr>
                <w:rFonts w:ascii="Garamond" w:eastAsia="Times New Roman" w:hAnsi="Garamond" w:cs="Times New Roman"/>
                <w:b/>
                <w:sz w:val="22"/>
                <w:szCs w:val="24"/>
              </w:rPr>
              <w:t>. Наличие в составе объекта регулирования систем накопления электрической энергии</w:t>
            </w:r>
          </w:p>
        </w:tc>
      </w:tr>
      <w:tr w:rsidR="001333B2" w:rsidRPr="00AD67C2" w14:paraId="5FA53342" w14:textId="77777777" w:rsidTr="00664B22">
        <w:trPr>
          <w:trHeight w:val="567"/>
        </w:trPr>
        <w:tc>
          <w:tcPr>
            <w:tcW w:w="708" w:type="dxa"/>
            <w:shd w:val="clear" w:color="auto" w:fill="D9D9D9"/>
            <w:vAlign w:val="center"/>
          </w:tcPr>
          <w:p w14:paraId="32FB3AF7" w14:textId="77777777" w:rsidR="001333B2" w:rsidRPr="00AD67C2" w:rsidRDefault="001333B2" w:rsidP="001333B2">
            <w:pPr>
              <w:suppressAutoHyphens w:val="0"/>
              <w:jc w:val="center"/>
              <w:rPr>
                <w:rFonts w:ascii="Garamond" w:eastAsia="Times New Roman" w:hAnsi="Garamond" w:cs="Times New Roman"/>
                <w:sz w:val="22"/>
                <w:szCs w:val="24"/>
              </w:rPr>
            </w:pPr>
            <w:r w:rsidRPr="00AD67C2">
              <w:rPr>
                <w:rFonts w:ascii="Garamond" w:eastAsia="Times New Roman" w:hAnsi="Garamond" w:cs="Times New Roman"/>
                <w:sz w:val="22"/>
                <w:szCs w:val="24"/>
              </w:rPr>
              <w:t>№</w:t>
            </w:r>
          </w:p>
        </w:tc>
        <w:tc>
          <w:tcPr>
            <w:tcW w:w="3682" w:type="dxa"/>
            <w:gridSpan w:val="2"/>
            <w:shd w:val="clear" w:color="auto" w:fill="D9D9D9"/>
            <w:vAlign w:val="center"/>
          </w:tcPr>
          <w:p w14:paraId="6B11F33D" w14:textId="77777777" w:rsidR="001333B2" w:rsidRPr="00AD67C2" w:rsidRDefault="001333B2" w:rsidP="001333B2">
            <w:pPr>
              <w:suppressAutoHyphens w:val="0"/>
              <w:jc w:val="center"/>
              <w:rPr>
                <w:rFonts w:ascii="Garamond" w:eastAsia="Times New Roman" w:hAnsi="Garamond" w:cs="Times New Roman"/>
                <w:sz w:val="22"/>
                <w:szCs w:val="24"/>
              </w:rPr>
            </w:pPr>
            <w:r w:rsidRPr="00AD67C2">
              <w:rPr>
                <w:rFonts w:ascii="Garamond" w:eastAsia="Times New Roman" w:hAnsi="Garamond" w:cs="Times New Roman"/>
                <w:sz w:val="22"/>
                <w:szCs w:val="24"/>
              </w:rPr>
              <w:t xml:space="preserve">Наименование </w:t>
            </w:r>
            <w:r w:rsidRPr="00AD67C2">
              <w:rPr>
                <w:rFonts w:ascii="Garamond" w:eastAsia="Times New Roman" w:hAnsi="Garamond" w:cs="Times New Roman"/>
                <w:sz w:val="22"/>
                <w:szCs w:val="22"/>
              </w:rPr>
              <w:t>системы накопления электрической энергии</w:t>
            </w:r>
          </w:p>
        </w:tc>
        <w:tc>
          <w:tcPr>
            <w:tcW w:w="2551" w:type="dxa"/>
            <w:gridSpan w:val="2"/>
            <w:shd w:val="clear" w:color="auto" w:fill="D9D9D9"/>
            <w:vAlign w:val="center"/>
          </w:tcPr>
          <w:p w14:paraId="2AAD5F60" w14:textId="77777777" w:rsidR="001333B2" w:rsidRPr="00AD67C2" w:rsidRDefault="001333B2" w:rsidP="001333B2">
            <w:pPr>
              <w:suppressAutoHyphens w:val="0"/>
              <w:jc w:val="center"/>
              <w:rPr>
                <w:rFonts w:ascii="Garamond" w:eastAsia="Times New Roman" w:hAnsi="Garamond" w:cs="Times New Roman"/>
                <w:sz w:val="22"/>
                <w:szCs w:val="24"/>
              </w:rPr>
            </w:pPr>
            <w:r w:rsidRPr="00AD67C2">
              <w:rPr>
                <w:rFonts w:ascii="Garamond" w:eastAsia="Times New Roman" w:hAnsi="Garamond" w:cs="Times New Roman"/>
                <w:sz w:val="22"/>
                <w:szCs w:val="24"/>
              </w:rPr>
              <w:t>Установленная мощность, МВт</w:t>
            </w:r>
          </w:p>
        </w:tc>
        <w:tc>
          <w:tcPr>
            <w:tcW w:w="2418" w:type="dxa"/>
            <w:shd w:val="clear" w:color="auto" w:fill="D9D9D9"/>
            <w:vAlign w:val="center"/>
          </w:tcPr>
          <w:p w14:paraId="5830B539" w14:textId="0E112ED9" w:rsidR="001333B2" w:rsidRPr="00AD67C2" w:rsidRDefault="001333B2" w:rsidP="002C48F6">
            <w:pPr>
              <w:suppressAutoHyphens w:val="0"/>
              <w:jc w:val="center"/>
              <w:rPr>
                <w:rFonts w:ascii="Garamond" w:eastAsia="Times New Roman" w:hAnsi="Garamond" w:cs="Times New Roman"/>
                <w:sz w:val="22"/>
                <w:szCs w:val="24"/>
              </w:rPr>
            </w:pPr>
            <w:r w:rsidRPr="00AD67C2">
              <w:rPr>
                <w:rFonts w:ascii="Garamond" w:eastAsia="Times New Roman" w:hAnsi="Garamond" w:cs="Times New Roman"/>
                <w:sz w:val="22"/>
                <w:szCs w:val="24"/>
              </w:rPr>
              <w:t>Энергоемкость, МВт</w:t>
            </w:r>
            <w:r w:rsidR="002C48F6">
              <w:rPr>
                <w:rFonts w:ascii="Garamond" w:eastAsia="Times New Roman" w:hAnsi="Garamond" w:cs="Times New Roman"/>
                <w:sz w:val="22"/>
                <w:szCs w:val="24"/>
              </w:rPr>
              <w:t>∙</w:t>
            </w:r>
            <w:r w:rsidRPr="00AD67C2">
              <w:rPr>
                <w:rFonts w:ascii="Garamond" w:eastAsia="Times New Roman" w:hAnsi="Garamond" w:cs="Times New Roman"/>
                <w:sz w:val="22"/>
                <w:szCs w:val="24"/>
              </w:rPr>
              <w:t>ч</w:t>
            </w:r>
          </w:p>
        </w:tc>
      </w:tr>
      <w:tr w:rsidR="001333B2" w:rsidRPr="00AD67C2" w14:paraId="03173B5E" w14:textId="77777777" w:rsidTr="00664B22">
        <w:trPr>
          <w:trHeight w:val="447"/>
        </w:trPr>
        <w:tc>
          <w:tcPr>
            <w:tcW w:w="708" w:type="dxa"/>
            <w:vAlign w:val="center"/>
          </w:tcPr>
          <w:p w14:paraId="5FAC45DD" w14:textId="77777777" w:rsidR="001333B2" w:rsidRPr="00AD67C2" w:rsidRDefault="001333B2" w:rsidP="001333B2">
            <w:pPr>
              <w:suppressAutoHyphens w:val="0"/>
              <w:jc w:val="center"/>
              <w:rPr>
                <w:rFonts w:ascii="Garamond" w:eastAsia="Times New Roman" w:hAnsi="Garamond" w:cs="Times New Roman"/>
                <w:sz w:val="22"/>
                <w:szCs w:val="24"/>
              </w:rPr>
            </w:pPr>
            <w:r w:rsidRPr="00AD67C2">
              <w:rPr>
                <w:rFonts w:ascii="Garamond" w:eastAsia="Times New Roman" w:hAnsi="Garamond" w:cs="Times New Roman"/>
                <w:sz w:val="22"/>
                <w:szCs w:val="24"/>
              </w:rPr>
              <w:t>1</w:t>
            </w:r>
          </w:p>
        </w:tc>
        <w:tc>
          <w:tcPr>
            <w:tcW w:w="3682" w:type="dxa"/>
            <w:gridSpan w:val="2"/>
            <w:vAlign w:val="center"/>
          </w:tcPr>
          <w:p w14:paraId="6F0115C9" w14:textId="62B06650" w:rsidR="001333B2" w:rsidRPr="00AD67C2" w:rsidRDefault="001333B2" w:rsidP="001333B2">
            <w:pPr>
              <w:suppressAutoHyphens w:val="0"/>
              <w:jc w:val="center"/>
              <w:rPr>
                <w:rFonts w:ascii="Garamond" w:eastAsia="Times New Roman" w:hAnsi="Garamond" w:cs="Times New Roman"/>
                <w:sz w:val="22"/>
                <w:szCs w:val="24"/>
              </w:rPr>
            </w:pPr>
            <w:r w:rsidRPr="00AD67C2">
              <w:rPr>
                <w:rFonts w:ascii="Garamond" w:eastAsia="Times New Roman" w:hAnsi="Garamond" w:cs="Times New Roman"/>
                <w:sz w:val="22"/>
              </w:rPr>
              <w:t>СНЭЭ №</w:t>
            </w:r>
            <w:r w:rsidR="002C48F6">
              <w:rPr>
                <w:rFonts w:ascii="Garamond" w:eastAsia="Times New Roman" w:hAnsi="Garamond" w:cs="Times New Roman"/>
                <w:sz w:val="22"/>
              </w:rPr>
              <w:t xml:space="preserve"> </w:t>
            </w:r>
            <w:r w:rsidRPr="00AD67C2">
              <w:rPr>
                <w:rFonts w:ascii="Garamond" w:eastAsia="Times New Roman" w:hAnsi="Garamond" w:cs="Times New Roman"/>
                <w:sz w:val="22"/>
              </w:rPr>
              <w:t xml:space="preserve">1 </w:t>
            </w:r>
          </w:p>
        </w:tc>
        <w:tc>
          <w:tcPr>
            <w:tcW w:w="2551" w:type="dxa"/>
            <w:gridSpan w:val="2"/>
            <w:vAlign w:val="center"/>
          </w:tcPr>
          <w:p w14:paraId="17ADAC72" w14:textId="77777777" w:rsidR="001333B2" w:rsidRPr="00AD67C2" w:rsidRDefault="001333B2" w:rsidP="001333B2">
            <w:pPr>
              <w:suppressAutoHyphens w:val="0"/>
              <w:jc w:val="center"/>
              <w:rPr>
                <w:rFonts w:ascii="Garamond" w:eastAsia="Times New Roman" w:hAnsi="Garamond" w:cs="Times New Roman"/>
                <w:sz w:val="22"/>
                <w:szCs w:val="24"/>
              </w:rPr>
            </w:pPr>
            <w:r w:rsidRPr="00AD67C2">
              <w:rPr>
                <w:rFonts w:ascii="Garamond" w:eastAsia="Times New Roman" w:hAnsi="Garamond" w:cs="Times New Roman"/>
                <w:sz w:val="22"/>
                <w:szCs w:val="24"/>
              </w:rPr>
              <w:t>3</w:t>
            </w:r>
          </w:p>
        </w:tc>
        <w:tc>
          <w:tcPr>
            <w:tcW w:w="2418" w:type="dxa"/>
            <w:vAlign w:val="center"/>
          </w:tcPr>
          <w:p w14:paraId="7CBD3E98" w14:textId="77777777" w:rsidR="001333B2" w:rsidRPr="00AD67C2" w:rsidRDefault="001333B2" w:rsidP="001333B2">
            <w:pPr>
              <w:suppressAutoHyphens w:val="0"/>
              <w:jc w:val="center"/>
              <w:rPr>
                <w:rFonts w:ascii="Garamond" w:eastAsia="Times New Roman" w:hAnsi="Garamond" w:cs="Times New Roman"/>
                <w:sz w:val="22"/>
                <w:szCs w:val="24"/>
              </w:rPr>
            </w:pPr>
            <w:r w:rsidRPr="00AD67C2">
              <w:rPr>
                <w:rFonts w:ascii="Garamond" w:eastAsia="Times New Roman" w:hAnsi="Garamond" w:cs="Times New Roman"/>
                <w:sz w:val="22"/>
                <w:szCs w:val="24"/>
              </w:rPr>
              <w:t>3</w:t>
            </w:r>
          </w:p>
        </w:tc>
      </w:tr>
      <w:tr w:rsidR="001333B2" w:rsidRPr="00AD67C2" w14:paraId="3BD788A1" w14:textId="77777777" w:rsidTr="00664B22">
        <w:trPr>
          <w:trHeight w:val="447"/>
        </w:trPr>
        <w:tc>
          <w:tcPr>
            <w:tcW w:w="2408" w:type="dxa"/>
            <w:gridSpan w:val="2"/>
            <w:shd w:val="clear" w:color="auto" w:fill="D9D9D9"/>
            <w:vAlign w:val="center"/>
          </w:tcPr>
          <w:p w14:paraId="2D4D393A" w14:textId="77777777" w:rsidR="001333B2" w:rsidRPr="00AD67C2" w:rsidRDefault="001333B2" w:rsidP="001333B2">
            <w:pPr>
              <w:suppressAutoHyphens w:val="0"/>
              <w:rPr>
                <w:rFonts w:ascii="Garamond" w:eastAsia="Times New Roman" w:hAnsi="Garamond" w:cs="Times New Roman"/>
                <w:sz w:val="22"/>
                <w:szCs w:val="24"/>
              </w:rPr>
            </w:pPr>
            <w:r w:rsidRPr="00AD67C2">
              <w:rPr>
                <w:rFonts w:ascii="Garamond" w:eastAsia="Times New Roman" w:hAnsi="Garamond" w:cs="Times New Roman"/>
                <w:sz w:val="22"/>
                <w:szCs w:val="24"/>
              </w:rPr>
              <w:t>Вид изменения</w:t>
            </w:r>
          </w:p>
        </w:tc>
        <w:tc>
          <w:tcPr>
            <w:tcW w:w="6951" w:type="dxa"/>
            <w:gridSpan w:val="4"/>
            <w:vAlign w:val="center"/>
          </w:tcPr>
          <w:p w14:paraId="069922C5" w14:textId="65283EB0" w:rsidR="001333B2" w:rsidRPr="00AD67C2" w:rsidRDefault="00D77789" w:rsidP="001333B2">
            <w:pPr>
              <w:suppressAutoHyphens w:val="0"/>
              <w:jc w:val="center"/>
              <w:rPr>
                <w:rFonts w:ascii="Garamond" w:eastAsia="Times New Roman" w:hAnsi="Garamond" w:cs="Times New Roman"/>
                <w:sz w:val="22"/>
                <w:szCs w:val="24"/>
              </w:rPr>
            </w:pPr>
            <w:r w:rsidRPr="00AD67C2">
              <w:rPr>
                <w:rFonts w:ascii="Garamond" w:eastAsia="Times New Roman" w:hAnsi="Garamond" w:cs="Times New Roman"/>
                <w:sz w:val="22"/>
              </w:rPr>
              <w:t>О</w:t>
            </w:r>
            <w:r w:rsidR="001333B2" w:rsidRPr="00AD67C2">
              <w:rPr>
                <w:rFonts w:ascii="Garamond" w:eastAsia="Times New Roman" w:hAnsi="Garamond" w:cs="Times New Roman"/>
                <w:sz w:val="22"/>
              </w:rPr>
              <w:t>тсутствуют</w:t>
            </w:r>
          </w:p>
        </w:tc>
      </w:tr>
      <w:tr w:rsidR="001333B2" w:rsidRPr="00AD67C2" w14:paraId="57E526A1" w14:textId="77777777" w:rsidTr="00664B22">
        <w:trPr>
          <w:trHeight w:val="447"/>
        </w:trPr>
        <w:tc>
          <w:tcPr>
            <w:tcW w:w="2408" w:type="dxa"/>
            <w:gridSpan w:val="2"/>
            <w:shd w:val="clear" w:color="auto" w:fill="D9D9D9"/>
            <w:vAlign w:val="center"/>
          </w:tcPr>
          <w:p w14:paraId="56A150A5" w14:textId="77777777" w:rsidR="001333B2" w:rsidRPr="00AD67C2" w:rsidRDefault="001333B2" w:rsidP="001333B2">
            <w:pPr>
              <w:suppressAutoHyphens w:val="0"/>
              <w:rPr>
                <w:rFonts w:ascii="Garamond" w:eastAsia="Times New Roman" w:hAnsi="Garamond" w:cs="Times New Roman"/>
                <w:sz w:val="22"/>
                <w:szCs w:val="24"/>
              </w:rPr>
            </w:pPr>
            <w:r w:rsidRPr="00AD67C2">
              <w:rPr>
                <w:rFonts w:ascii="Garamond" w:eastAsia="Times New Roman" w:hAnsi="Garamond" w:cs="Times New Roman"/>
                <w:sz w:val="22"/>
                <w:szCs w:val="24"/>
              </w:rPr>
              <w:t>Основание изменения</w:t>
            </w:r>
          </w:p>
        </w:tc>
        <w:tc>
          <w:tcPr>
            <w:tcW w:w="6951" w:type="dxa"/>
            <w:gridSpan w:val="4"/>
            <w:vAlign w:val="center"/>
          </w:tcPr>
          <w:p w14:paraId="059FA0B6" w14:textId="77777777" w:rsidR="001333B2" w:rsidRPr="00AD67C2" w:rsidRDefault="001333B2" w:rsidP="001333B2">
            <w:pPr>
              <w:suppressAutoHyphens w:val="0"/>
              <w:jc w:val="center"/>
              <w:rPr>
                <w:rFonts w:ascii="Garamond" w:eastAsia="Times New Roman" w:hAnsi="Garamond" w:cs="Times New Roman"/>
                <w:sz w:val="22"/>
                <w:szCs w:val="24"/>
              </w:rPr>
            </w:pPr>
          </w:p>
        </w:tc>
      </w:tr>
      <w:tr w:rsidR="001333B2" w:rsidRPr="00AD67C2" w14:paraId="00DED632" w14:textId="77777777" w:rsidTr="0064152E">
        <w:trPr>
          <w:trHeight w:val="352"/>
        </w:trPr>
        <w:tc>
          <w:tcPr>
            <w:tcW w:w="9359" w:type="dxa"/>
            <w:gridSpan w:val="6"/>
            <w:shd w:val="clear" w:color="auto" w:fill="D9D9D9"/>
            <w:vAlign w:val="center"/>
          </w:tcPr>
          <w:p w14:paraId="0D07D764" w14:textId="338335B7" w:rsidR="001333B2" w:rsidRPr="00AD67C2" w:rsidRDefault="00DE216B" w:rsidP="00664B22">
            <w:pPr>
              <w:suppressAutoHyphens w:val="0"/>
              <w:jc w:val="both"/>
              <w:rPr>
                <w:rFonts w:ascii="Garamond" w:eastAsia="Times New Roman" w:hAnsi="Garamond" w:cs="Times New Roman"/>
                <w:sz w:val="22"/>
                <w:szCs w:val="24"/>
              </w:rPr>
            </w:pPr>
            <w:r w:rsidRPr="00AD67C2">
              <w:rPr>
                <w:rFonts w:ascii="Garamond" w:eastAsia="Times New Roman" w:hAnsi="Garamond" w:cs="Times New Roman"/>
                <w:b/>
                <w:sz w:val="22"/>
                <w:szCs w:val="24"/>
              </w:rPr>
              <w:t>6</w:t>
            </w:r>
            <w:r w:rsidR="001333B2" w:rsidRPr="00AD67C2">
              <w:rPr>
                <w:rFonts w:ascii="Garamond" w:eastAsia="Times New Roman" w:hAnsi="Garamond" w:cs="Times New Roman"/>
                <w:b/>
                <w:sz w:val="22"/>
                <w:szCs w:val="24"/>
              </w:rPr>
              <w:t>. Контактные данные уполномоченного представителя заявителя, ответственного за предоставление доступа КО к системе учета в удаленном режиме с использованием соответствующего специализированного программного обеспечения</w:t>
            </w:r>
          </w:p>
        </w:tc>
      </w:tr>
      <w:tr w:rsidR="001333B2" w:rsidRPr="00AD67C2" w14:paraId="2FEAD48C" w14:textId="77777777" w:rsidTr="00664B22">
        <w:trPr>
          <w:trHeight w:val="567"/>
        </w:trPr>
        <w:tc>
          <w:tcPr>
            <w:tcW w:w="708" w:type="dxa"/>
            <w:shd w:val="clear" w:color="auto" w:fill="D9D9D9"/>
            <w:vAlign w:val="center"/>
          </w:tcPr>
          <w:p w14:paraId="7FCBFED9" w14:textId="77777777" w:rsidR="001333B2" w:rsidRPr="00AD67C2" w:rsidRDefault="001333B2" w:rsidP="001333B2">
            <w:pPr>
              <w:suppressAutoHyphens w:val="0"/>
              <w:jc w:val="center"/>
              <w:rPr>
                <w:rFonts w:ascii="Garamond" w:eastAsia="Times New Roman" w:hAnsi="Garamond" w:cs="Times New Roman"/>
                <w:sz w:val="22"/>
                <w:szCs w:val="24"/>
              </w:rPr>
            </w:pPr>
            <w:r w:rsidRPr="00AD67C2">
              <w:rPr>
                <w:rFonts w:ascii="Garamond" w:eastAsia="Times New Roman" w:hAnsi="Garamond" w:cs="Times New Roman"/>
                <w:sz w:val="22"/>
                <w:szCs w:val="24"/>
              </w:rPr>
              <w:t>№</w:t>
            </w:r>
          </w:p>
        </w:tc>
        <w:tc>
          <w:tcPr>
            <w:tcW w:w="3682" w:type="dxa"/>
            <w:gridSpan w:val="2"/>
            <w:shd w:val="clear" w:color="auto" w:fill="D9D9D9"/>
            <w:vAlign w:val="center"/>
          </w:tcPr>
          <w:p w14:paraId="4FFCBDFF" w14:textId="77777777" w:rsidR="001333B2" w:rsidRPr="00AD67C2" w:rsidRDefault="001333B2" w:rsidP="001333B2">
            <w:pPr>
              <w:suppressAutoHyphens w:val="0"/>
              <w:jc w:val="center"/>
              <w:rPr>
                <w:rFonts w:ascii="Garamond" w:eastAsia="Times New Roman" w:hAnsi="Garamond" w:cs="Times New Roman"/>
                <w:sz w:val="22"/>
                <w:szCs w:val="24"/>
              </w:rPr>
            </w:pPr>
            <w:r w:rsidRPr="00AD67C2">
              <w:rPr>
                <w:rFonts w:ascii="Garamond" w:eastAsia="Times New Roman" w:hAnsi="Garamond" w:cs="Times New Roman"/>
                <w:sz w:val="22"/>
                <w:szCs w:val="24"/>
              </w:rPr>
              <w:t>Фамилия Имя Отчество</w:t>
            </w:r>
          </w:p>
        </w:tc>
        <w:tc>
          <w:tcPr>
            <w:tcW w:w="2407" w:type="dxa"/>
            <w:shd w:val="clear" w:color="auto" w:fill="D9D9D9"/>
            <w:vAlign w:val="center"/>
          </w:tcPr>
          <w:p w14:paraId="2E11CC0F" w14:textId="77777777" w:rsidR="001333B2" w:rsidRPr="00AD67C2" w:rsidRDefault="001333B2" w:rsidP="001333B2">
            <w:pPr>
              <w:suppressAutoHyphens w:val="0"/>
              <w:jc w:val="center"/>
              <w:rPr>
                <w:rFonts w:ascii="Garamond" w:eastAsia="Times New Roman" w:hAnsi="Garamond" w:cs="Times New Roman"/>
                <w:sz w:val="22"/>
                <w:szCs w:val="24"/>
              </w:rPr>
            </w:pPr>
            <w:r w:rsidRPr="00AD67C2">
              <w:rPr>
                <w:rFonts w:ascii="Garamond" w:eastAsia="Times New Roman" w:hAnsi="Garamond" w:cs="Times New Roman"/>
                <w:sz w:val="22"/>
                <w:szCs w:val="24"/>
              </w:rPr>
              <w:t>Адрес электронной почты</w:t>
            </w:r>
          </w:p>
        </w:tc>
        <w:tc>
          <w:tcPr>
            <w:tcW w:w="2562" w:type="dxa"/>
            <w:gridSpan w:val="2"/>
            <w:shd w:val="clear" w:color="auto" w:fill="D9D9D9"/>
            <w:vAlign w:val="center"/>
          </w:tcPr>
          <w:p w14:paraId="7BCE2EEA" w14:textId="77777777" w:rsidR="001333B2" w:rsidRPr="00AD67C2" w:rsidRDefault="001333B2" w:rsidP="001333B2">
            <w:pPr>
              <w:suppressAutoHyphens w:val="0"/>
              <w:jc w:val="center"/>
              <w:rPr>
                <w:rFonts w:ascii="Garamond" w:eastAsia="Times New Roman" w:hAnsi="Garamond" w:cs="Times New Roman"/>
                <w:sz w:val="22"/>
                <w:szCs w:val="24"/>
              </w:rPr>
            </w:pPr>
            <w:r w:rsidRPr="00AD67C2">
              <w:rPr>
                <w:rFonts w:ascii="Garamond" w:eastAsia="Times New Roman" w:hAnsi="Garamond" w:cs="Times New Roman"/>
                <w:sz w:val="22"/>
                <w:szCs w:val="24"/>
              </w:rPr>
              <w:t>Контактный телефон</w:t>
            </w:r>
          </w:p>
        </w:tc>
      </w:tr>
      <w:tr w:rsidR="001333B2" w:rsidRPr="00AD67C2" w14:paraId="1E7166B7" w14:textId="77777777" w:rsidTr="00664B22">
        <w:trPr>
          <w:trHeight w:val="567"/>
        </w:trPr>
        <w:tc>
          <w:tcPr>
            <w:tcW w:w="708" w:type="dxa"/>
            <w:vAlign w:val="center"/>
          </w:tcPr>
          <w:p w14:paraId="5EE8DD58" w14:textId="77777777" w:rsidR="001333B2" w:rsidRPr="00AD67C2" w:rsidRDefault="001333B2" w:rsidP="001333B2">
            <w:pPr>
              <w:suppressAutoHyphens w:val="0"/>
              <w:jc w:val="center"/>
              <w:rPr>
                <w:rFonts w:ascii="Garamond" w:eastAsia="Times New Roman" w:hAnsi="Garamond" w:cs="Times New Roman"/>
                <w:sz w:val="22"/>
                <w:szCs w:val="24"/>
              </w:rPr>
            </w:pPr>
            <w:r w:rsidRPr="00AD67C2">
              <w:rPr>
                <w:rFonts w:ascii="Garamond" w:eastAsia="Times New Roman" w:hAnsi="Garamond" w:cs="Times New Roman"/>
                <w:sz w:val="22"/>
                <w:szCs w:val="24"/>
              </w:rPr>
              <w:t>1</w:t>
            </w:r>
          </w:p>
        </w:tc>
        <w:tc>
          <w:tcPr>
            <w:tcW w:w="3682" w:type="dxa"/>
            <w:gridSpan w:val="2"/>
            <w:vAlign w:val="center"/>
          </w:tcPr>
          <w:p w14:paraId="268054AF" w14:textId="77777777" w:rsidR="001333B2" w:rsidRPr="00AD67C2" w:rsidRDefault="001333B2" w:rsidP="001333B2">
            <w:pPr>
              <w:suppressAutoHyphens w:val="0"/>
              <w:jc w:val="both"/>
              <w:rPr>
                <w:rFonts w:ascii="Garamond" w:eastAsia="Times New Roman" w:hAnsi="Garamond" w:cs="Times New Roman"/>
                <w:sz w:val="22"/>
                <w:szCs w:val="24"/>
              </w:rPr>
            </w:pPr>
            <w:r w:rsidRPr="00AD67C2">
              <w:rPr>
                <w:rFonts w:ascii="Garamond" w:eastAsia="Times New Roman" w:hAnsi="Garamond" w:cs="Times New Roman"/>
                <w:sz w:val="22"/>
                <w:szCs w:val="24"/>
              </w:rPr>
              <w:t>Иванов Иван Иванович</w:t>
            </w:r>
          </w:p>
        </w:tc>
        <w:tc>
          <w:tcPr>
            <w:tcW w:w="2407" w:type="dxa"/>
            <w:vAlign w:val="center"/>
          </w:tcPr>
          <w:p w14:paraId="243D7DA4" w14:textId="77777777" w:rsidR="001333B2" w:rsidRPr="00AD67C2" w:rsidRDefault="008800D7" w:rsidP="001333B2">
            <w:pPr>
              <w:suppressAutoHyphens w:val="0"/>
              <w:jc w:val="center"/>
              <w:rPr>
                <w:rFonts w:ascii="Garamond" w:eastAsia="Times New Roman" w:hAnsi="Garamond" w:cs="Times New Roman"/>
                <w:sz w:val="22"/>
                <w:szCs w:val="24"/>
              </w:rPr>
            </w:pPr>
            <w:hyperlink r:id="rId31" w:history="1">
              <w:r w:rsidR="001333B2" w:rsidRPr="00AD67C2">
                <w:rPr>
                  <w:rFonts w:ascii="Garamond" w:eastAsia="Times New Roman" w:hAnsi="Garamond" w:cs="Times New Roman"/>
                  <w:color w:val="0563C1"/>
                  <w:sz w:val="22"/>
                  <w:szCs w:val="24"/>
                  <w:u w:val="single"/>
                  <w:lang w:val="en-US"/>
                </w:rPr>
                <w:t>ivanov@newagr.ru</w:t>
              </w:r>
            </w:hyperlink>
          </w:p>
        </w:tc>
        <w:tc>
          <w:tcPr>
            <w:tcW w:w="2562" w:type="dxa"/>
            <w:gridSpan w:val="2"/>
            <w:vAlign w:val="center"/>
          </w:tcPr>
          <w:p w14:paraId="6609BBAA" w14:textId="77777777" w:rsidR="001333B2" w:rsidRPr="00AD67C2" w:rsidRDefault="001333B2" w:rsidP="001333B2">
            <w:pPr>
              <w:suppressAutoHyphens w:val="0"/>
              <w:jc w:val="center"/>
              <w:rPr>
                <w:rFonts w:ascii="Garamond" w:eastAsia="Times New Roman" w:hAnsi="Garamond" w:cs="Times New Roman"/>
                <w:sz w:val="22"/>
                <w:szCs w:val="24"/>
              </w:rPr>
            </w:pPr>
            <w:r w:rsidRPr="00AD67C2">
              <w:rPr>
                <w:rFonts w:ascii="Garamond" w:eastAsia="Times New Roman" w:hAnsi="Garamond" w:cs="Times New Roman"/>
                <w:sz w:val="22"/>
                <w:szCs w:val="24"/>
              </w:rPr>
              <w:t>+7 900-000-00-00</w:t>
            </w:r>
          </w:p>
        </w:tc>
      </w:tr>
      <w:tr w:rsidR="001333B2" w:rsidRPr="00AD67C2" w14:paraId="14ED5B72" w14:textId="77777777" w:rsidTr="00664B22">
        <w:trPr>
          <w:trHeight w:val="567"/>
        </w:trPr>
        <w:tc>
          <w:tcPr>
            <w:tcW w:w="708" w:type="dxa"/>
            <w:vAlign w:val="center"/>
          </w:tcPr>
          <w:p w14:paraId="7F7E3AEA" w14:textId="77777777" w:rsidR="001333B2" w:rsidRPr="00AD67C2" w:rsidRDefault="001333B2" w:rsidP="001333B2">
            <w:pPr>
              <w:suppressAutoHyphens w:val="0"/>
              <w:jc w:val="center"/>
              <w:rPr>
                <w:rFonts w:ascii="Garamond" w:eastAsia="Times New Roman" w:hAnsi="Garamond" w:cs="Times New Roman"/>
                <w:sz w:val="22"/>
                <w:szCs w:val="24"/>
              </w:rPr>
            </w:pPr>
            <w:r w:rsidRPr="00AD67C2">
              <w:rPr>
                <w:rFonts w:ascii="Garamond" w:eastAsia="Times New Roman" w:hAnsi="Garamond" w:cs="Times New Roman"/>
                <w:sz w:val="22"/>
                <w:szCs w:val="24"/>
              </w:rPr>
              <w:t>2</w:t>
            </w:r>
          </w:p>
        </w:tc>
        <w:tc>
          <w:tcPr>
            <w:tcW w:w="3682" w:type="dxa"/>
            <w:gridSpan w:val="2"/>
            <w:vAlign w:val="center"/>
          </w:tcPr>
          <w:p w14:paraId="28A72B4E" w14:textId="77777777" w:rsidR="001333B2" w:rsidRPr="00AD67C2" w:rsidRDefault="001333B2" w:rsidP="001333B2">
            <w:pPr>
              <w:suppressAutoHyphens w:val="0"/>
              <w:jc w:val="both"/>
              <w:rPr>
                <w:rFonts w:ascii="Garamond" w:eastAsia="Times New Roman" w:hAnsi="Garamond" w:cs="Times New Roman"/>
                <w:sz w:val="22"/>
                <w:szCs w:val="24"/>
              </w:rPr>
            </w:pPr>
            <w:r w:rsidRPr="00AD67C2">
              <w:rPr>
                <w:rFonts w:ascii="Garamond" w:eastAsia="Times New Roman" w:hAnsi="Garamond" w:cs="Times New Roman"/>
                <w:sz w:val="22"/>
                <w:szCs w:val="24"/>
              </w:rPr>
              <w:t>Петров Петр Иванович</w:t>
            </w:r>
          </w:p>
        </w:tc>
        <w:tc>
          <w:tcPr>
            <w:tcW w:w="2407" w:type="dxa"/>
            <w:vAlign w:val="center"/>
          </w:tcPr>
          <w:p w14:paraId="30351266" w14:textId="77777777" w:rsidR="001333B2" w:rsidRPr="00AD67C2" w:rsidRDefault="008800D7" w:rsidP="001333B2">
            <w:pPr>
              <w:suppressAutoHyphens w:val="0"/>
              <w:jc w:val="center"/>
              <w:rPr>
                <w:rFonts w:ascii="Garamond" w:eastAsia="Times New Roman" w:hAnsi="Garamond" w:cs="Times New Roman"/>
                <w:sz w:val="22"/>
                <w:szCs w:val="24"/>
              </w:rPr>
            </w:pPr>
            <w:hyperlink r:id="rId32" w:history="1">
              <w:r w:rsidR="001333B2" w:rsidRPr="00AD67C2">
                <w:rPr>
                  <w:rFonts w:ascii="Garamond" w:eastAsia="Times New Roman" w:hAnsi="Garamond" w:cs="Times New Roman"/>
                  <w:color w:val="0563C1"/>
                  <w:sz w:val="22"/>
                  <w:szCs w:val="24"/>
                  <w:u w:val="single"/>
                  <w:lang w:val="en-US"/>
                </w:rPr>
                <w:t>petrov@newagr.ru</w:t>
              </w:r>
            </w:hyperlink>
          </w:p>
        </w:tc>
        <w:tc>
          <w:tcPr>
            <w:tcW w:w="2562" w:type="dxa"/>
            <w:gridSpan w:val="2"/>
            <w:vAlign w:val="center"/>
          </w:tcPr>
          <w:p w14:paraId="7F0F9C55" w14:textId="77777777" w:rsidR="001333B2" w:rsidRPr="00AD67C2" w:rsidRDefault="001333B2" w:rsidP="001333B2">
            <w:pPr>
              <w:suppressAutoHyphens w:val="0"/>
              <w:jc w:val="center"/>
              <w:rPr>
                <w:rFonts w:ascii="Garamond" w:eastAsia="Times New Roman" w:hAnsi="Garamond" w:cs="Times New Roman"/>
                <w:sz w:val="22"/>
                <w:szCs w:val="24"/>
              </w:rPr>
            </w:pPr>
            <w:r w:rsidRPr="00AD67C2">
              <w:rPr>
                <w:rFonts w:ascii="Garamond" w:eastAsia="Times New Roman" w:hAnsi="Garamond" w:cs="Times New Roman"/>
                <w:sz w:val="22"/>
                <w:szCs w:val="24"/>
              </w:rPr>
              <w:t>+7 900-</w:t>
            </w:r>
            <w:r w:rsidRPr="00AD67C2">
              <w:rPr>
                <w:rFonts w:ascii="Garamond" w:eastAsia="Times New Roman" w:hAnsi="Garamond" w:cs="Times New Roman"/>
                <w:sz w:val="22"/>
                <w:szCs w:val="24"/>
                <w:lang w:val="en-US"/>
              </w:rPr>
              <w:t>111</w:t>
            </w:r>
            <w:r w:rsidRPr="00AD67C2">
              <w:rPr>
                <w:rFonts w:ascii="Garamond" w:eastAsia="Times New Roman" w:hAnsi="Garamond" w:cs="Times New Roman"/>
                <w:sz w:val="22"/>
                <w:szCs w:val="24"/>
              </w:rPr>
              <w:t>-00-0</w:t>
            </w:r>
            <w:r w:rsidRPr="00AD67C2">
              <w:rPr>
                <w:rFonts w:ascii="Garamond" w:eastAsia="Times New Roman" w:hAnsi="Garamond" w:cs="Times New Roman"/>
                <w:sz w:val="22"/>
                <w:szCs w:val="24"/>
                <w:lang w:val="en-US"/>
              </w:rPr>
              <w:t>1</w:t>
            </w:r>
          </w:p>
        </w:tc>
      </w:tr>
      <w:tr w:rsidR="001333B2" w:rsidRPr="00AD67C2" w14:paraId="746F2721" w14:textId="77777777" w:rsidTr="0064152E">
        <w:trPr>
          <w:trHeight w:val="356"/>
        </w:trPr>
        <w:tc>
          <w:tcPr>
            <w:tcW w:w="9359" w:type="dxa"/>
            <w:gridSpan w:val="6"/>
            <w:shd w:val="clear" w:color="auto" w:fill="D9D9D9"/>
            <w:vAlign w:val="center"/>
          </w:tcPr>
          <w:p w14:paraId="70D9F3E9" w14:textId="4BB08AD7" w:rsidR="001333B2" w:rsidRPr="00AD67C2" w:rsidRDefault="00DE216B" w:rsidP="001333B2">
            <w:pPr>
              <w:suppressAutoHyphens w:val="0"/>
              <w:rPr>
                <w:rFonts w:ascii="Garamond" w:eastAsia="Times New Roman" w:hAnsi="Garamond" w:cs="Times New Roman"/>
                <w:b/>
                <w:sz w:val="22"/>
                <w:szCs w:val="22"/>
              </w:rPr>
            </w:pPr>
            <w:r w:rsidRPr="00AD67C2">
              <w:rPr>
                <w:rFonts w:ascii="Garamond" w:eastAsia="Times New Roman" w:hAnsi="Garamond" w:cs="Times New Roman"/>
                <w:b/>
                <w:sz w:val="22"/>
                <w:szCs w:val="24"/>
              </w:rPr>
              <w:t>7</w:t>
            </w:r>
            <w:r w:rsidR="001333B2" w:rsidRPr="00AD67C2">
              <w:rPr>
                <w:rFonts w:ascii="Garamond" w:eastAsia="Times New Roman" w:hAnsi="Garamond" w:cs="Times New Roman"/>
                <w:b/>
                <w:sz w:val="22"/>
                <w:szCs w:val="24"/>
              </w:rPr>
              <w:t>. Наименование специализированного программного обеспечения из перечня ПО</w:t>
            </w:r>
          </w:p>
        </w:tc>
      </w:tr>
      <w:tr w:rsidR="001333B2" w:rsidRPr="00AD67C2" w14:paraId="6587CFB6" w14:textId="77777777" w:rsidTr="00664B22">
        <w:trPr>
          <w:trHeight w:val="567"/>
        </w:trPr>
        <w:tc>
          <w:tcPr>
            <w:tcW w:w="708" w:type="dxa"/>
            <w:shd w:val="clear" w:color="auto" w:fill="D9D9D9"/>
            <w:vAlign w:val="center"/>
          </w:tcPr>
          <w:p w14:paraId="673D15FF" w14:textId="77777777" w:rsidR="001333B2" w:rsidRPr="00AD67C2" w:rsidRDefault="001333B2" w:rsidP="001333B2">
            <w:pPr>
              <w:suppressAutoHyphens w:val="0"/>
              <w:jc w:val="center"/>
              <w:rPr>
                <w:rFonts w:ascii="Garamond" w:eastAsia="Times New Roman" w:hAnsi="Garamond" w:cs="Times New Roman"/>
                <w:sz w:val="22"/>
                <w:szCs w:val="24"/>
              </w:rPr>
            </w:pPr>
            <w:r w:rsidRPr="00AD67C2">
              <w:rPr>
                <w:rFonts w:ascii="Garamond" w:eastAsia="Times New Roman" w:hAnsi="Garamond" w:cs="Times New Roman"/>
                <w:sz w:val="22"/>
                <w:szCs w:val="24"/>
              </w:rPr>
              <w:t>№</w:t>
            </w:r>
          </w:p>
        </w:tc>
        <w:tc>
          <w:tcPr>
            <w:tcW w:w="8651" w:type="dxa"/>
            <w:gridSpan w:val="5"/>
            <w:shd w:val="clear" w:color="auto" w:fill="D9D9D9"/>
            <w:vAlign w:val="center"/>
          </w:tcPr>
          <w:p w14:paraId="2D81BEF7" w14:textId="77777777" w:rsidR="001333B2" w:rsidRPr="00AD67C2" w:rsidRDefault="001333B2" w:rsidP="001333B2">
            <w:pPr>
              <w:suppressAutoHyphens w:val="0"/>
              <w:jc w:val="center"/>
              <w:rPr>
                <w:rFonts w:ascii="Garamond" w:eastAsia="Times New Roman" w:hAnsi="Garamond" w:cs="Times New Roman"/>
                <w:sz w:val="22"/>
                <w:szCs w:val="24"/>
              </w:rPr>
            </w:pPr>
            <w:r w:rsidRPr="00AD67C2">
              <w:rPr>
                <w:rFonts w:ascii="Garamond" w:eastAsia="Times New Roman" w:hAnsi="Garamond" w:cs="Times New Roman"/>
                <w:sz w:val="22"/>
                <w:szCs w:val="24"/>
              </w:rPr>
              <w:t>Наименование ПО</w:t>
            </w:r>
          </w:p>
        </w:tc>
      </w:tr>
      <w:tr w:rsidR="001333B2" w:rsidRPr="00AD67C2" w14:paraId="7AF5B7B7" w14:textId="77777777" w:rsidTr="00664B22">
        <w:trPr>
          <w:trHeight w:val="375"/>
        </w:trPr>
        <w:tc>
          <w:tcPr>
            <w:tcW w:w="708" w:type="dxa"/>
            <w:vAlign w:val="center"/>
          </w:tcPr>
          <w:p w14:paraId="26386BFC" w14:textId="77777777" w:rsidR="001333B2" w:rsidRPr="00AD67C2" w:rsidRDefault="001333B2" w:rsidP="001333B2">
            <w:pPr>
              <w:suppressAutoHyphens w:val="0"/>
              <w:jc w:val="center"/>
              <w:rPr>
                <w:rFonts w:ascii="Garamond" w:eastAsia="Times New Roman" w:hAnsi="Garamond" w:cs="Times New Roman"/>
                <w:sz w:val="22"/>
                <w:szCs w:val="24"/>
              </w:rPr>
            </w:pPr>
            <w:r w:rsidRPr="00AD67C2">
              <w:rPr>
                <w:rFonts w:ascii="Garamond" w:eastAsia="Times New Roman" w:hAnsi="Garamond" w:cs="Times New Roman"/>
                <w:sz w:val="22"/>
                <w:szCs w:val="24"/>
              </w:rPr>
              <w:t>1</w:t>
            </w:r>
          </w:p>
        </w:tc>
        <w:tc>
          <w:tcPr>
            <w:tcW w:w="8651" w:type="dxa"/>
            <w:gridSpan w:val="5"/>
            <w:vAlign w:val="center"/>
          </w:tcPr>
          <w:p w14:paraId="5D93677B" w14:textId="77777777" w:rsidR="001333B2" w:rsidRPr="00AD67C2" w:rsidRDefault="001333B2" w:rsidP="001333B2">
            <w:pPr>
              <w:suppressAutoHyphens w:val="0"/>
              <w:rPr>
                <w:rFonts w:ascii="Garamond" w:eastAsia="Times New Roman" w:hAnsi="Garamond" w:cs="Times New Roman"/>
                <w:sz w:val="22"/>
                <w:szCs w:val="24"/>
              </w:rPr>
            </w:pPr>
            <w:r w:rsidRPr="00AD67C2">
              <w:rPr>
                <w:rFonts w:ascii="Garamond" w:eastAsia="Times New Roman" w:hAnsi="Garamond" w:cs="Times New Roman"/>
                <w:sz w:val="22"/>
                <w:szCs w:val="24"/>
              </w:rPr>
              <w:t>Zoom</w:t>
            </w:r>
          </w:p>
        </w:tc>
      </w:tr>
      <w:tr w:rsidR="001333B2" w:rsidRPr="00AD67C2" w14:paraId="2963B851" w14:textId="77777777" w:rsidTr="00664B22">
        <w:trPr>
          <w:trHeight w:val="410"/>
        </w:trPr>
        <w:tc>
          <w:tcPr>
            <w:tcW w:w="708" w:type="dxa"/>
            <w:vAlign w:val="center"/>
          </w:tcPr>
          <w:p w14:paraId="3F95E61C" w14:textId="77777777" w:rsidR="001333B2" w:rsidRPr="00AD67C2" w:rsidRDefault="001333B2" w:rsidP="001333B2">
            <w:pPr>
              <w:suppressAutoHyphens w:val="0"/>
              <w:jc w:val="center"/>
              <w:rPr>
                <w:rFonts w:ascii="Garamond" w:eastAsia="Times New Roman" w:hAnsi="Garamond" w:cs="Times New Roman"/>
                <w:sz w:val="22"/>
                <w:szCs w:val="24"/>
              </w:rPr>
            </w:pPr>
            <w:r w:rsidRPr="00AD67C2">
              <w:rPr>
                <w:rFonts w:ascii="Garamond" w:eastAsia="Times New Roman" w:hAnsi="Garamond" w:cs="Times New Roman"/>
                <w:sz w:val="22"/>
                <w:szCs w:val="24"/>
              </w:rPr>
              <w:t>2</w:t>
            </w:r>
          </w:p>
        </w:tc>
        <w:tc>
          <w:tcPr>
            <w:tcW w:w="8651" w:type="dxa"/>
            <w:gridSpan w:val="5"/>
            <w:vAlign w:val="center"/>
          </w:tcPr>
          <w:p w14:paraId="74A9991C" w14:textId="77777777" w:rsidR="001333B2" w:rsidRPr="00AD67C2" w:rsidRDefault="001333B2" w:rsidP="001333B2">
            <w:pPr>
              <w:suppressAutoHyphens w:val="0"/>
              <w:rPr>
                <w:rFonts w:ascii="Garamond" w:eastAsia="Times New Roman" w:hAnsi="Garamond" w:cs="Times New Roman"/>
                <w:sz w:val="22"/>
                <w:szCs w:val="24"/>
              </w:rPr>
            </w:pPr>
            <w:r w:rsidRPr="00AD67C2">
              <w:rPr>
                <w:rFonts w:ascii="Garamond" w:eastAsia="Times New Roman" w:hAnsi="Garamond" w:cs="Times New Roman"/>
                <w:sz w:val="22"/>
                <w:szCs w:val="24"/>
              </w:rPr>
              <w:t>Яндекс. Телемост</w:t>
            </w:r>
          </w:p>
        </w:tc>
      </w:tr>
      <w:tr w:rsidR="001333B2" w:rsidRPr="00AD67C2" w14:paraId="0ABA92F8" w14:textId="77777777" w:rsidTr="0064152E">
        <w:trPr>
          <w:trHeight w:val="356"/>
        </w:trPr>
        <w:tc>
          <w:tcPr>
            <w:tcW w:w="9359" w:type="dxa"/>
            <w:gridSpan w:val="6"/>
            <w:shd w:val="clear" w:color="auto" w:fill="D9D9D9"/>
            <w:vAlign w:val="center"/>
          </w:tcPr>
          <w:p w14:paraId="71A2B9B0" w14:textId="1A462DFA" w:rsidR="001333B2" w:rsidRPr="00AD67C2" w:rsidRDefault="00DE216B" w:rsidP="002C48F6">
            <w:pPr>
              <w:suppressAutoHyphens w:val="0"/>
              <w:rPr>
                <w:rFonts w:ascii="Garamond" w:eastAsia="Times New Roman" w:hAnsi="Garamond" w:cs="Times New Roman"/>
                <w:b/>
                <w:sz w:val="22"/>
                <w:szCs w:val="22"/>
              </w:rPr>
            </w:pPr>
            <w:r w:rsidRPr="00AD67C2">
              <w:rPr>
                <w:rFonts w:ascii="Garamond" w:eastAsia="Times New Roman" w:hAnsi="Garamond" w:cs="Times New Roman"/>
                <w:b/>
                <w:sz w:val="22"/>
                <w:szCs w:val="24"/>
              </w:rPr>
              <w:t>8</w:t>
            </w:r>
            <w:r w:rsidR="001333B2" w:rsidRPr="00AD67C2">
              <w:rPr>
                <w:rFonts w:ascii="Garamond" w:eastAsia="Times New Roman" w:hAnsi="Garamond" w:cs="Times New Roman"/>
                <w:b/>
                <w:sz w:val="22"/>
                <w:szCs w:val="24"/>
              </w:rPr>
              <w:t>. Информация об Акте (-ах) о соответствии АИИС КУЭ, оформленно</w:t>
            </w:r>
            <w:r w:rsidR="002C48F6">
              <w:rPr>
                <w:rFonts w:ascii="Garamond" w:eastAsia="Times New Roman" w:hAnsi="Garamond" w:cs="Times New Roman"/>
                <w:b/>
                <w:sz w:val="22"/>
                <w:szCs w:val="24"/>
              </w:rPr>
              <w:t>м</w:t>
            </w:r>
            <w:r w:rsidR="001333B2" w:rsidRPr="00AD67C2">
              <w:rPr>
                <w:rFonts w:ascii="Garamond" w:eastAsia="Times New Roman" w:hAnsi="Garamond" w:cs="Times New Roman"/>
                <w:b/>
                <w:sz w:val="22"/>
                <w:szCs w:val="24"/>
              </w:rPr>
              <w:t xml:space="preserve"> (-ых) в отношении покупателя электрической энергии (мощности) – крупного потребителя</w:t>
            </w:r>
          </w:p>
        </w:tc>
      </w:tr>
      <w:tr w:rsidR="001333B2" w:rsidRPr="00AD67C2" w14:paraId="69EA0334" w14:textId="77777777" w:rsidTr="00664B22">
        <w:trPr>
          <w:trHeight w:val="567"/>
        </w:trPr>
        <w:tc>
          <w:tcPr>
            <w:tcW w:w="708" w:type="dxa"/>
            <w:shd w:val="clear" w:color="auto" w:fill="D9D9D9"/>
            <w:vAlign w:val="center"/>
          </w:tcPr>
          <w:p w14:paraId="32A4FBA7" w14:textId="77777777" w:rsidR="001333B2" w:rsidRPr="00AD67C2" w:rsidRDefault="001333B2" w:rsidP="001333B2">
            <w:pPr>
              <w:suppressAutoHyphens w:val="0"/>
              <w:jc w:val="center"/>
              <w:rPr>
                <w:rFonts w:ascii="Garamond" w:eastAsia="Times New Roman" w:hAnsi="Garamond" w:cs="Times New Roman"/>
                <w:sz w:val="22"/>
                <w:szCs w:val="24"/>
              </w:rPr>
            </w:pPr>
            <w:r w:rsidRPr="00AD67C2">
              <w:rPr>
                <w:rFonts w:ascii="Garamond" w:eastAsia="Times New Roman" w:hAnsi="Garamond" w:cs="Times New Roman"/>
                <w:sz w:val="22"/>
                <w:szCs w:val="24"/>
              </w:rPr>
              <w:t>№</w:t>
            </w:r>
          </w:p>
        </w:tc>
        <w:tc>
          <w:tcPr>
            <w:tcW w:w="8651" w:type="dxa"/>
            <w:gridSpan w:val="5"/>
            <w:shd w:val="clear" w:color="auto" w:fill="D9D9D9"/>
            <w:vAlign w:val="center"/>
          </w:tcPr>
          <w:p w14:paraId="7E56FB0C" w14:textId="77777777" w:rsidR="001333B2" w:rsidRPr="00AD67C2" w:rsidRDefault="001333B2" w:rsidP="001333B2">
            <w:pPr>
              <w:suppressAutoHyphens w:val="0"/>
              <w:jc w:val="center"/>
              <w:rPr>
                <w:rFonts w:ascii="Garamond" w:eastAsia="Times New Roman" w:hAnsi="Garamond" w:cs="Times New Roman"/>
                <w:sz w:val="22"/>
                <w:szCs w:val="24"/>
              </w:rPr>
            </w:pPr>
            <w:r w:rsidRPr="00AD67C2">
              <w:rPr>
                <w:rFonts w:ascii="Garamond" w:eastAsia="Times New Roman" w:hAnsi="Garamond" w:cs="Times New Roman"/>
                <w:sz w:val="22"/>
                <w:szCs w:val="24"/>
              </w:rPr>
              <w:t>Реквизиты Акта (-ов) о соответствии АИИС КУЭ</w:t>
            </w:r>
          </w:p>
        </w:tc>
      </w:tr>
      <w:tr w:rsidR="001333B2" w:rsidRPr="00AD67C2" w14:paraId="0AA603FD" w14:textId="77777777" w:rsidTr="00664B22">
        <w:trPr>
          <w:trHeight w:val="567"/>
        </w:trPr>
        <w:tc>
          <w:tcPr>
            <w:tcW w:w="708" w:type="dxa"/>
            <w:vAlign w:val="center"/>
          </w:tcPr>
          <w:p w14:paraId="5189C7DE" w14:textId="77777777" w:rsidR="001333B2" w:rsidRPr="00AD67C2" w:rsidRDefault="001333B2" w:rsidP="001333B2">
            <w:pPr>
              <w:suppressAutoHyphens w:val="0"/>
              <w:jc w:val="center"/>
              <w:rPr>
                <w:rFonts w:ascii="Garamond" w:eastAsia="Times New Roman" w:hAnsi="Garamond" w:cs="Times New Roman"/>
                <w:sz w:val="22"/>
                <w:szCs w:val="24"/>
              </w:rPr>
            </w:pPr>
            <w:r w:rsidRPr="00AD67C2">
              <w:rPr>
                <w:rFonts w:ascii="Garamond" w:eastAsia="Times New Roman" w:hAnsi="Garamond" w:cs="Times New Roman"/>
                <w:sz w:val="22"/>
                <w:szCs w:val="24"/>
              </w:rPr>
              <w:t>1</w:t>
            </w:r>
          </w:p>
        </w:tc>
        <w:tc>
          <w:tcPr>
            <w:tcW w:w="8651" w:type="dxa"/>
            <w:gridSpan w:val="5"/>
            <w:vAlign w:val="center"/>
          </w:tcPr>
          <w:p w14:paraId="2DC571A8" w14:textId="77777777" w:rsidR="001333B2" w:rsidRPr="00AD67C2" w:rsidRDefault="001333B2" w:rsidP="001333B2">
            <w:pPr>
              <w:suppressAutoHyphens w:val="0"/>
              <w:spacing w:line="259" w:lineRule="auto"/>
              <w:rPr>
                <w:rFonts w:ascii="Garamond" w:eastAsia="Calibri" w:hAnsi="Garamond" w:cs="Times New Roman"/>
                <w:sz w:val="22"/>
                <w:szCs w:val="22"/>
                <w:lang w:eastAsia="en-US"/>
              </w:rPr>
            </w:pPr>
            <w:r w:rsidRPr="00AD67C2">
              <w:rPr>
                <w:rFonts w:ascii="Garamond" w:eastAsia="Calibri" w:hAnsi="Garamond" w:cs="Times New Roman"/>
                <w:sz w:val="22"/>
                <w:szCs w:val="22"/>
                <w:lang w:eastAsia="en-US"/>
              </w:rPr>
              <w:t>-</w:t>
            </w:r>
          </w:p>
        </w:tc>
      </w:tr>
      <w:tr w:rsidR="00DE216B" w:rsidRPr="00AD67C2" w14:paraId="12ECF7A8" w14:textId="77777777" w:rsidTr="00664B22">
        <w:trPr>
          <w:trHeight w:val="567"/>
        </w:trPr>
        <w:tc>
          <w:tcPr>
            <w:tcW w:w="9359" w:type="dxa"/>
            <w:gridSpan w:val="6"/>
            <w:shd w:val="clear" w:color="auto" w:fill="D9D9D9" w:themeFill="background1" w:themeFillShade="D9"/>
            <w:vAlign w:val="center"/>
          </w:tcPr>
          <w:p w14:paraId="2A04BDAA" w14:textId="35F0A9BC" w:rsidR="00DE216B" w:rsidRPr="00AD67C2" w:rsidRDefault="00DE216B" w:rsidP="00DE216B">
            <w:pPr>
              <w:suppressAutoHyphens w:val="0"/>
              <w:jc w:val="both"/>
              <w:rPr>
                <w:rFonts w:ascii="Garamond" w:eastAsia="Calibri" w:hAnsi="Garamond" w:cs="Times New Roman"/>
                <w:b/>
                <w:sz w:val="22"/>
                <w:szCs w:val="22"/>
                <w:lang w:eastAsia="en-US"/>
              </w:rPr>
            </w:pPr>
            <w:r w:rsidRPr="00AD67C2">
              <w:rPr>
                <w:rFonts w:ascii="Garamond" w:eastAsia="Times New Roman" w:hAnsi="Garamond" w:cs="Times New Roman"/>
                <w:b/>
                <w:sz w:val="22"/>
                <w:szCs w:val="24"/>
              </w:rPr>
              <w:t xml:space="preserve">9. </w:t>
            </w:r>
            <w:r w:rsidRPr="00AD67C2">
              <w:rPr>
                <w:rFonts w:ascii="Garamond" w:eastAsia="Calibri" w:hAnsi="Garamond" w:cs="Times New Roman"/>
                <w:b/>
                <w:sz w:val="22"/>
                <w:szCs w:val="22"/>
                <w:lang w:eastAsia="en-US"/>
              </w:rPr>
              <w:t>Информация о договоре об оказании услуг по изменению режима потребления электрической энергии</w:t>
            </w:r>
          </w:p>
        </w:tc>
      </w:tr>
      <w:tr w:rsidR="00E41247" w:rsidRPr="00AD67C2" w14:paraId="5E940534" w14:textId="77777777" w:rsidTr="00664B22">
        <w:trPr>
          <w:trHeight w:val="567"/>
        </w:trPr>
        <w:tc>
          <w:tcPr>
            <w:tcW w:w="4390" w:type="dxa"/>
            <w:gridSpan w:val="3"/>
            <w:vAlign w:val="center"/>
          </w:tcPr>
          <w:p w14:paraId="27E593CB" w14:textId="46CC7F35" w:rsidR="00E41247" w:rsidRPr="00AD67C2" w:rsidRDefault="00E41247" w:rsidP="00E41247">
            <w:pPr>
              <w:suppressAutoHyphens w:val="0"/>
              <w:jc w:val="both"/>
              <w:rPr>
                <w:rFonts w:ascii="Garamond" w:eastAsia="Times New Roman" w:hAnsi="Garamond" w:cs="Times New Roman"/>
                <w:sz w:val="22"/>
              </w:rPr>
            </w:pPr>
            <w:r w:rsidRPr="00AD67C2">
              <w:rPr>
                <w:rFonts w:ascii="Garamond" w:eastAsia="Times New Roman" w:hAnsi="Garamond" w:cs="Times New Roman"/>
                <w:sz w:val="22"/>
              </w:rPr>
              <w:t>Период (периоды) оказания услуг по договору</w:t>
            </w:r>
            <w:r w:rsidR="009B5F03">
              <w:rPr>
                <w:rFonts w:ascii="Garamond" w:eastAsia="Times New Roman" w:hAnsi="Garamond" w:cs="Times New Roman"/>
                <w:sz w:val="22"/>
              </w:rPr>
              <w:t xml:space="preserve"> </w:t>
            </w:r>
            <w:r w:rsidR="00B57A64" w:rsidRPr="00AD67C2">
              <w:rPr>
                <w:rFonts w:ascii="Garamond" w:eastAsia="Times New Roman" w:hAnsi="Garamond" w:cs="Times New Roman"/>
                <w:sz w:val="22"/>
              </w:rPr>
              <w:t>на изменение</w:t>
            </w:r>
            <w:r w:rsidRPr="00AD67C2">
              <w:rPr>
                <w:rFonts w:ascii="Garamond" w:eastAsia="Times New Roman" w:hAnsi="Garamond" w:cs="Times New Roman"/>
                <w:sz w:val="22"/>
              </w:rPr>
              <w:t xml:space="preserve"> режима потребления</w:t>
            </w:r>
          </w:p>
        </w:tc>
        <w:tc>
          <w:tcPr>
            <w:tcW w:w="4969" w:type="dxa"/>
            <w:gridSpan w:val="3"/>
            <w:vAlign w:val="center"/>
          </w:tcPr>
          <w:p w14:paraId="2D638938" w14:textId="1C510FED" w:rsidR="00E41247" w:rsidRPr="00AD67C2" w:rsidRDefault="002C48F6" w:rsidP="00E41247">
            <w:pPr>
              <w:suppressAutoHyphens w:val="0"/>
              <w:jc w:val="both"/>
              <w:rPr>
                <w:rFonts w:ascii="Garamond" w:eastAsia="Times New Roman" w:hAnsi="Garamond" w:cs="Times New Roman"/>
                <w:sz w:val="22"/>
                <w:szCs w:val="24"/>
              </w:rPr>
            </w:pPr>
            <w:r>
              <w:rPr>
                <w:rFonts w:ascii="Garamond" w:eastAsia="Times New Roman" w:hAnsi="Garamond" w:cs="Times New Roman"/>
                <w:sz w:val="22"/>
                <w:szCs w:val="24"/>
              </w:rPr>
              <w:t>01.04.2024–</w:t>
            </w:r>
            <w:r w:rsidR="00A47C15" w:rsidRPr="00AD67C2">
              <w:rPr>
                <w:rFonts w:ascii="Garamond" w:eastAsia="Times New Roman" w:hAnsi="Garamond" w:cs="Times New Roman"/>
                <w:sz w:val="22"/>
                <w:szCs w:val="24"/>
              </w:rPr>
              <w:t>01.07.2024</w:t>
            </w:r>
          </w:p>
        </w:tc>
      </w:tr>
    </w:tbl>
    <w:p w14:paraId="7488DFFE" w14:textId="77777777" w:rsidR="00745EA2" w:rsidRPr="00AD67C2" w:rsidRDefault="00745EA2" w:rsidP="001333B2">
      <w:pPr>
        <w:suppressAutoHyphens w:val="0"/>
        <w:spacing w:line="276" w:lineRule="auto"/>
        <w:ind w:firstLine="425"/>
        <w:contextualSpacing/>
        <w:jc w:val="both"/>
        <w:rPr>
          <w:rFonts w:ascii="Garamond" w:eastAsia="Calibri" w:hAnsi="Garamond" w:cs="Times New Roman"/>
          <w:bCs/>
          <w:sz w:val="22"/>
          <w:szCs w:val="22"/>
          <w:lang w:eastAsia="en-US"/>
        </w:rPr>
      </w:pPr>
    </w:p>
    <w:p w14:paraId="48A41176" w14:textId="37CAA781" w:rsidR="00B93A05" w:rsidRPr="00AD67C2" w:rsidRDefault="00B93A05" w:rsidP="001333B2">
      <w:pPr>
        <w:suppressAutoHyphens w:val="0"/>
        <w:spacing w:line="276" w:lineRule="auto"/>
        <w:ind w:firstLine="425"/>
        <w:contextualSpacing/>
        <w:jc w:val="both"/>
        <w:rPr>
          <w:rFonts w:ascii="Garamond" w:eastAsia="Calibri" w:hAnsi="Garamond" w:cs="Times New Roman"/>
          <w:bCs/>
          <w:sz w:val="22"/>
          <w:szCs w:val="22"/>
          <w:lang w:eastAsia="en-US"/>
        </w:rPr>
      </w:pPr>
      <w:r w:rsidRPr="00AD67C2">
        <w:rPr>
          <w:rFonts w:ascii="Garamond" w:hAnsi="Garamond"/>
          <w:bCs/>
          <w:sz w:val="22"/>
        </w:rPr>
        <w:t xml:space="preserve">Подтверждаю, что в объект регулирования не включаются объекты электросетевого хозяйства сетевых организаций. </w:t>
      </w:r>
    </w:p>
    <w:p w14:paraId="1DF3BF1A" w14:textId="0CEF051E" w:rsidR="001333B2" w:rsidRPr="00AD67C2" w:rsidRDefault="001333B2" w:rsidP="001333B2">
      <w:pPr>
        <w:suppressAutoHyphens w:val="0"/>
        <w:spacing w:line="276" w:lineRule="auto"/>
        <w:ind w:firstLine="425"/>
        <w:contextualSpacing/>
        <w:jc w:val="both"/>
        <w:rPr>
          <w:rFonts w:ascii="Garamond" w:eastAsia="Calibri" w:hAnsi="Garamond" w:cs="Times New Roman"/>
          <w:bCs/>
          <w:sz w:val="22"/>
          <w:szCs w:val="22"/>
          <w:lang w:eastAsia="en-US"/>
        </w:rPr>
      </w:pPr>
      <w:r w:rsidRPr="00AD67C2">
        <w:rPr>
          <w:rFonts w:ascii="Garamond" w:eastAsia="Calibri" w:hAnsi="Garamond" w:cs="Times New Roman"/>
          <w:bCs/>
          <w:sz w:val="22"/>
          <w:szCs w:val="22"/>
          <w:lang w:eastAsia="en-US"/>
        </w:rPr>
        <w:t>Подтверждаю, что испытания по заявляемому объекту регулирования проведены менее 4 (четырех) лет назад, и выражаю намерение не проводить повторные испытания заявленного объекта регулирования.</w:t>
      </w:r>
    </w:p>
    <w:p w14:paraId="3F998272" w14:textId="77777777" w:rsidR="007B1F83" w:rsidRPr="00AD67C2" w:rsidRDefault="007B1F83" w:rsidP="001333B2">
      <w:pPr>
        <w:suppressAutoHyphens w:val="0"/>
        <w:spacing w:line="276" w:lineRule="auto"/>
        <w:ind w:firstLine="425"/>
        <w:contextualSpacing/>
        <w:jc w:val="both"/>
        <w:rPr>
          <w:rFonts w:ascii="Garamond" w:eastAsia="Calibri" w:hAnsi="Garamond" w:cs="Times New Roman"/>
          <w:sz w:val="22"/>
          <w:szCs w:val="22"/>
          <w:lang w:eastAsia="en-US"/>
        </w:rPr>
      </w:pPr>
    </w:p>
    <w:p w14:paraId="2AF71925" w14:textId="77777777" w:rsidR="001333B2" w:rsidRPr="00AD67C2" w:rsidRDefault="001333B2" w:rsidP="001333B2">
      <w:pPr>
        <w:suppressAutoHyphens w:val="0"/>
        <w:jc w:val="both"/>
        <w:rPr>
          <w:rFonts w:ascii="Garamond" w:eastAsia="Times New Roman" w:hAnsi="Garamond" w:cs="Times New Roman"/>
          <w:sz w:val="22"/>
          <w:szCs w:val="24"/>
        </w:rPr>
      </w:pPr>
      <w:r w:rsidRPr="00AD67C2">
        <w:rPr>
          <w:rFonts w:ascii="Garamond" w:eastAsia="Times New Roman" w:hAnsi="Garamond" w:cs="Times New Roman"/>
          <w:sz w:val="22"/>
          <w:szCs w:val="24"/>
        </w:rPr>
        <w:t>Приложение: опись направляемых документов, на __ л. в 1 экз.</w:t>
      </w:r>
    </w:p>
    <w:p w14:paraId="648C6BF8" w14:textId="77777777" w:rsidR="001333B2" w:rsidRPr="00AD67C2" w:rsidRDefault="001333B2" w:rsidP="001333B2">
      <w:pPr>
        <w:suppressAutoHyphens w:val="0"/>
        <w:jc w:val="both"/>
        <w:rPr>
          <w:rFonts w:ascii="Garamond" w:eastAsia="Times New Roman" w:hAnsi="Garamond" w:cs="Times New Roman"/>
          <w:sz w:val="22"/>
          <w:szCs w:val="24"/>
        </w:rPr>
      </w:pPr>
    </w:p>
    <w:tbl>
      <w:tblPr>
        <w:tblW w:w="0" w:type="auto"/>
        <w:tblLook w:val="00A0" w:firstRow="1" w:lastRow="0" w:firstColumn="1" w:lastColumn="0" w:noHBand="0" w:noVBand="0"/>
      </w:tblPr>
      <w:tblGrid>
        <w:gridCol w:w="3399"/>
        <w:gridCol w:w="2878"/>
        <w:gridCol w:w="3190"/>
      </w:tblGrid>
      <w:tr w:rsidR="001333B2" w:rsidRPr="00AD67C2" w14:paraId="773C2BBD" w14:textId="77777777" w:rsidTr="0064152E">
        <w:tc>
          <w:tcPr>
            <w:tcW w:w="4887" w:type="dxa"/>
            <w:tcBorders>
              <w:bottom w:val="single" w:sz="4" w:space="0" w:color="auto"/>
            </w:tcBorders>
          </w:tcPr>
          <w:p w14:paraId="7A16E687" w14:textId="77777777" w:rsidR="001333B2" w:rsidRPr="00AD67C2" w:rsidRDefault="001333B2" w:rsidP="001333B2">
            <w:pPr>
              <w:suppressAutoHyphens w:val="0"/>
              <w:jc w:val="both"/>
              <w:rPr>
                <w:rFonts w:ascii="Garamond" w:eastAsia="Times New Roman" w:hAnsi="Garamond" w:cs="Times New Roman"/>
                <w:sz w:val="22"/>
                <w:szCs w:val="24"/>
              </w:rPr>
            </w:pPr>
            <w:r w:rsidRPr="00AD67C2">
              <w:rPr>
                <w:rFonts w:ascii="Garamond" w:eastAsia="Times New Roman" w:hAnsi="Garamond" w:cs="Times New Roman"/>
                <w:sz w:val="22"/>
                <w:szCs w:val="24"/>
              </w:rPr>
              <w:t xml:space="preserve">           Генеральный директор</w:t>
            </w:r>
          </w:p>
        </w:tc>
        <w:tc>
          <w:tcPr>
            <w:tcW w:w="4876" w:type="dxa"/>
          </w:tcPr>
          <w:p w14:paraId="5B96B649" w14:textId="77777777" w:rsidR="001333B2" w:rsidRPr="00AD67C2" w:rsidRDefault="001333B2" w:rsidP="001333B2">
            <w:pPr>
              <w:suppressAutoHyphens w:val="0"/>
              <w:jc w:val="both"/>
              <w:rPr>
                <w:rFonts w:ascii="Garamond" w:eastAsia="Times New Roman" w:hAnsi="Garamond" w:cs="Times New Roman"/>
                <w:sz w:val="22"/>
                <w:szCs w:val="24"/>
              </w:rPr>
            </w:pPr>
          </w:p>
        </w:tc>
        <w:tc>
          <w:tcPr>
            <w:tcW w:w="4917" w:type="dxa"/>
            <w:tcBorders>
              <w:bottom w:val="single" w:sz="4" w:space="0" w:color="auto"/>
            </w:tcBorders>
          </w:tcPr>
          <w:p w14:paraId="3FDC086E" w14:textId="726233F6" w:rsidR="001333B2" w:rsidRPr="00AD67C2" w:rsidRDefault="001333B2" w:rsidP="001333B2">
            <w:pPr>
              <w:suppressAutoHyphens w:val="0"/>
              <w:jc w:val="both"/>
              <w:rPr>
                <w:rFonts w:ascii="Garamond" w:eastAsia="Times New Roman" w:hAnsi="Garamond" w:cs="Times New Roman"/>
                <w:sz w:val="22"/>
                <w:szCs w:val="24"/>
              </w:rPr>
            </w:pPr>
            <w:r w:rsidRPr="00AD67C2">
              <w:rPr>
                <w:rFonts w:ascii="Garamond" w:eastAsia="Times New Roman" w:hAnsi="Garamond" w:cs="Times New Roman"/>
                <w:sz w:val="22"/>
                <w:szCs w:val="24"/>
              </w:rPr>
              <w:t xml:space="preserve">                  Иванов И.</w:t>
            </w:r>
            <w:r w:rsidR="002C48F6">
              <w:rPr>
                <w:rFonts w:ascii="Garamond" w:eastAsia="Times New Roman" w:hAnsi="Garamond" w:cs="Times New Roman"/>
                <w:sz w:val="22"/>
                <w:szCs w:val="24"/>
              </w:rPr>
              <w:t xml:space="preserve"> </w:t>
            </w:r>
            <w:r w:rsidRPr="00AD67C2">
              <w:rPr>
                <w:rFonts w:ascii="Garamond" w:eastAsia="Times New Roman" w:hAnsi="Garamond" w:cs="Times New Roman"/>
                <w:sz w:val="22"/>
                <w:szCs w:val="24"/>
              </w:rPr>
              <w:t>И.</w:t>
            </w:r>
          </w:p>
        </w:tc>
      </w:tr>
      <w:tr w:rsidR="001333B2" w:rsidRPr="00AD67C2" w14:paraId="3E5BE806" w14:textId="77777777" w:rsidTr="0064152E">
        <w:tc>
          <w:tcPr>
            <w:tcW w:w="4887" w:type="dxa"/>
            <w:tcBorders>
              <w:top w:val="single" w:sz="4" w:space="0" w:color="auto"/>
            </w:tcBorders>
          </w:tcPr>
          <w:p w14:paraId="5A66F250" w14:textId="77777777" w:rsidR="001333B2" w:rsidRPr="00AD67C2" w:rsidRDefault="001333B2" w:rsidP="001333B2">
            <w:pPr>
              <w:suppressAutoHyphens w:val="0"/>
              <w:jc w:val="center"/>
              <w:rPr>
                <w:rFonts w:ascii="Garamond" w:eastAsia="Times New Roman" w:hAnsi="Garamond" w:cs="Times New Roman"/>
                <w:sz w:val="22"/>
                <w:szCs w:val="24"/>
              </w:rPr>
            </w:pPr>
            <w:r w:rsidRPr="00AD67C2">
              <w:rPr>
                <w:rFonts w:ascii="Garamond" w:eastAsia="Times New Roman" w:hAnsi="Garamond" w:cs="Times New Roman"/>
                <w:i/>
                <w:sz w:val="22"/>
                <w:szCs w:val="24"/>
              </w:rPr>
              <w:t>(должность)</w:t>
            </w:r>
          </w:p>
        </w:tc>
        <w:tc>
          <w:tcPr>
            <w:tcW w:w="4876" w:type="dxa"/>
          </w:tcPr>
          <w:p w14:paraId="3A6ABC42" w14:textId="77777777" w:rsidR="001333B2" w:rsidRPr="00AD67C2" w:rsidRDefault="001333B2" w:rsidP="001333B2">
            <w:pPr>
              <w:suppressAutoHyphens w:val="0"/>
              <w:jc w:val="both"/>
              <w:rPr>
                <w:rFonts w:ascii="Garamond" w:eastAsia="Times New Roman" w:hAnsi="Garamond" w:cs="Times New Roman"/>
                <w:sz w:val="22"/>
                <w:szCs w:val="24"/>
              </w:rPr>
            </w:pPr>
          </w:p>
        </w:tc>
        <w:tc>
          <w:tcPr>
            <w:tcW w:w="4917" w:type="dxa"/>
            <w:tcBorders>
              <w:top w:val="single" w:sz="4" w:space="0" w:color="auto"/>
            </w:tcBorders>
          </w:tcPr>
          <w:p w14:paraId="2BC4F79C" w14:textId="77777777" w:rsidR="001333B2" w:rsidRPr="00AD67C2" w:rsidRDefault="001333B2" w:rsidP="001333B2">
            <w:pPr>
              <w:suppressAutoHyphens w:val="0"/>
              <w:jc w:val="center"/>
              <w:rPr>
                <w:rFonts w:ascii="Garamond" w:eastAsia="Times New Roman" w:hAnsi="Garamond" w:cs="Times New Roman"/>
                <w:sz w:val="22"/>
                <w:szCs w:val="24"/>
              </w:rPr>
            </w:pPr>
            <w:r w:rsidRPr="00AD67C2">
              <w:rPr>
                <w:rFonts w:ascii="Garamond" w:eastAsia="Times New Roman" w:hAnsi="Garamond" w:cs="Times New Roman"/>
                <w:i/>
                <w:sz w:val="22"/>
                <w:szCs w:val="24"/>
              </w:rPr>
              <w:t>(Ф. И. О.)</w:t>
            </w:r>
          </w:p>
        </w:tc>
      </w:tr>
    </w:tbl>
    <w:p w14:paraId="66E10B8A" w14:textId="77777777" w:rsidR="001333B2" w:rsidRPr="00AD67C2" w:rsidRDefault="001333B2" w:rsidP="001333B2">
      <w:pPr>
        <w:suppressAutoHyphens w:val="0"/>
        <w:spacing w:line="276" w:lineRule="auto"/>
        <w:ind w:left="425"/>
        <w:contextualSpacing/>
        <w:jc w:val="both"/>
        <w:rPr>
          <w:rFonts w:ascii="Garamond" w:eastAsia="Times New Roman" w:hAnsi="Garamond" w:cs="Times New Roman"/>
          <w:sz w:val="22"/>
          <w:szCs w:val="22"/>
        </w:rPr>
      </w:pPr>
    </w:p>
    <w:p w14:paraId="62849368" w14:textId="77777777" w:rsidR="001333B2" w:rsidRPr="00AD67C2" w:rsidRDefault="001333B2" w:rsidP="001333B2">
      <w:pPr>
        <w:suppressAutoHyphens w:val="0"/>
        <w:spacing w:after="160" w:line="259" w:lineRule="auto"/>
        <w:ind w:firstLine="357"/>
        <w:jc w:val="both"/>
        <w:rPr>
          <w:rFonts w:ascii="Garamond" w:eastAsia="Times New Roman" w:hAnsi="Garamond" w:cs="Times New Roman"/>
          <w:sz w:val="22"/>
          <w:szCs w:val="22"/>
        </w:rPr>
      </w:pPr>
      <w:r w:rsidRPr="00AD67C2">
        <w:rPr>
          <w:rFonts w:ascii="Garamond" w:eastAsia="Times New Roman" w:hAnsi="Garamond" w:cs="Times New Roman"/>
          <w:sz w:val="22"/>
          <w:szCs w:val="22"/>
        </w:rPr>
        <w:br w:type="page"/>
      </w:r>
    </w:p>
    <w:p w14:paraId="1317FAAA" w14:textId="77777777" w:rsidR="001333B2" w:rsidRPr="00AD67C2" w:rsidRDefault="001333B2" w:rsidP="001333B2">
      <w:pPr>
        <w:widowControl w:val="0"/>
        <w:tabs>
          <w:tab w:val="left" w:pos="1077"/>
        </w:tabs>
        <w:suppressAutoHyphens w:val="0"/>
        <w:spacing w:before="120" w:after="120"/>
        <w:jc w:val="both"/>
        <w:rPr>
          <w:rFonts w:ascii="Garamond" w:eastAsia="Calibri" w:hAnsi="Garamond" w:cs="Times New Roman"/>
          <w:bCs/>
          <w:sz w:val="22"/>
          <w:szCs w:val="22"/>
          <w:lang w:eastAsia="en-US"/>
        </w:rPr>
        <w:sectPr w:rsidR="001333B2" w:rsidRPr="00AD67C2" w:rsidSect="0064152E">
          <w:pgSz w:w="11906" w:h="16838"/>
          <w:pgMar w:top="1134" w:right="851" w:bottom="1134" w:left="1588" w:header="709" w:footer="709" w:gutter="0"/>
          <w:cols w:space="708"/>
          <w:docGrid w:linePitch="360"/>
        </w:sectPr>
      </w:pPr>
    </w:p>
    <w:p w14:paraId="19F8053B" w14:textId="77777777" w:rsidR="001333B2" w:rsidRPr="00AD67C2" w:rsidRDefault="001333B2" w:rsidP="00BA4BE3">
      <w:pPr>
        <w:widowControl w:val="0"/>
        <w:suppressAutoHyphens w:val="0"/>
        <w:jc w:val="center"/>
        <w:outlineLvl w:val="0"/>
        <w:rPr>
          <w:rFonts w:ascii="Garamond" w:eastAsia="Times New Roman" w:hAnsi="Garamond" w:cs="Arial"/>
          <w:b/>
          <w:bCs/>
          <w:sz w:val="22"/>
          <w:szCs w:val="22"/>
        </w:rPr>
      </w:pPr>
      <w:r w:rsidRPr="00AD67C2">
        <w:rPr>
          <w:rFonts w:ascii="Garamond" w:eastAsia="Times New Roman" w:hAnsi="Garamond" w:cs="Arial"/>
          <w:b/>
          <w:bCs/>
          <w:sz w:val="22"/>
          <w:szCs w:val="22"/>
        </w:rPr>
        <w:lastRenderedPageBreak/>
        <w:t>Форма 3</w:t>
      </w:r>
    </w:p>
    <w:p w14:paraId="5AED681F" w14:textId="77777777" w:rsidR="001333B2" w:rsidRPr="00AD67C2" w:rsidRDefault="001333B2" w:rsidP="001333B2">
      <w:pPr>
        <w:suppressAutoHyphens w:val="0"/>
        <w:spacing w:before="120"/>
        <w:jc w:val="both"/>
        <w:rPr>
          <w:rFonts w:ascii="Garamond" w:eastAsia="Times New Roman" w:hAnsi="Garamond" w:cs="Times New Roman"/>
          <w:sz w:val="22"/>
          <w:szCs w:val="22"/>
        </w:rPr>
      </w:pPr>
    </w:p>
    <w:p w14:paraId="60C0563C" w14:textId="77777777" w:rsidR="001333B2" w:rsidRPr="00AD67C2" w:rsidRDefault="001333B2" w:rsidP="001333B2">
      <w:pPr>
        <w:tabs>
          <w:tab w:val="center" w:pos="4677"/>
        </w:tabs>
        <w:suppressAutoHyphens w:val="0"/>
        <w:spacing w:before="120"/>
        <w:jc w:val="both"/>
        <w:rPr>
          <w:rFonts w:ascii="Garamond" w:eastAsia="Times New Roman" w:hAnsi="Garamond" w:cs="Times New Roman"/>
          <w:sz w:val="22"/>
          <w:szCs w:val="22"/>
        </w:rPr>
      </w:pPr>
      <w:r w:rsidRPr="00AD67C2">
        <w:rPr>
          <w:rFonts w:ascii="Garamond" w:eastAsia="Times New Roman" w:hAnsi="Garamond" w:cs="Times New Roman"/>
          <w:sz w:val="22"/>
          <w:szCs w:val="22"/>
        </w:rPr>
        <w:t>(на бланке заявителя)</w:t>
      </w:r>
      <w:r w:rsidRPr="00AD67C2">
        <w:rPr>
          <w:rFonts w:ascii="Garamond" w:eastAsia="Times New Roman" w:hAnsi="Garamond" w:cs="Times New Roman"/>
          <w:sz w:val="22"/>
          <w:szCs w:val="22"/>
        </w:rPr>
        <w:tab/>
      </w:r>
    </w:p>
    <w:p w14:paraId="4DB927FE" w14:textId="77777777" w:rsidR="001333B2" w:rsidRPr="00AD67C2" w:rsidRDefault="001333B2" w:rsidP="001333B2">
      <w:pPr>
        <w:tabs>
          <w:tab w:val="center" w:pos="4677"/>
        </w:tabs>
        <w:suppressAutoHyphens w:val="0"/>
        <w:spacing w:before="120"/>
        <w:jc w:val="both"/>
        <w:rPr>
          <w:rFonts w:ascii="Garamond" w:eastAsia="Times New Roman" w:hAnsi="Garamond" w:cs="Times New Roman"/>
          <w:sz w:val="22"/>
          <w:szCs w:val="22"/>
        </w:rPr>
      </w:pPr>
    </w:p>
    <w:p w14:paraId="53402033" w14:textId="77777777" w:rsidR="001333B2" w:rsidRPr="00AD67C2" w:rsidRDefault="001333B2" w:rsidP="001333B2">
      <w:pPr>
        <w:suppressAutoHyphens w:val="0"/>
        <w:spacing w:before="120" w:line="360" w:lineRule="auto"/>
        <w:jc w:val="center"/>
        <w:rPr>
          <w:rFonts w:ascii="Garamond" w:eastAsia="Times New Roman" w:hAnsi="Garamond" w:cs="Calibri"/>
          <w:sz w:val="22"/>
          <w:szCs w:val="22"/>
        </w:rPr>
      </w:pPr>
      <w:r w:rsidRPr="00AD67C2">
        <w:rPr>
          <w:rFonts w:ascii="Garamond" w:eastAsia="Times New Roman" w:hAnsi="Garamond" w:cs="Times New Roman"/>
          <w:sz w:val="22"/>
          <w:szCs w:val="22"/>
        </w:rPr>
        <w:t>И</w:t>
      </w:r>
      <w:r w:rsidRPr="00AD67C2">
        <w:rPr>
          <w:rFonts w:ascii="Garamond" w:eastAsia="Times New Roman" w:hAnsi="Garamond" w:cs="Calibri"/>
          <w:sz w:val="22"/>
          <w:szCs w:val="22"/>
        </w:rPr>
        <w:t xml:space="preserve">нформация </w:t>
      </w:r>
    </w:p>
    <w:p w14:paraId="5E203811" w14:textId="53A14575" w:rsidR="002A169F" w:rsidRPr="00AD67C2" w:rsidRDefault="002A169F" w:rsidP="002A169F">
      <w:pPr>
        <w:spacing w:before="120" w:line="360" w:lineRule="auto"/>
        <w:jc w:val="center"/>
        <w:rPr>
          <w:rFonts w:ascii="Garamond" w:eastAsia="Times New Roman" w:hAnsi="Garamond" w:cs="Times New Roman"/>
          <w:sz w:val="22"/>
        </w:rPr>
      </w:pPr>
      <w:r w:rsidRPr="00AD67C2">
        <w:rPr>
          <w:rFonts w:ascii="Garamond" w:eastAsia="Times New Roman" w:hAnsi="Garamond" w:cs="Calibri"/>
          <w:sz w:val="22"/>
        </w:rPr>
        <w:t>о договоре оказания услуг по передаче электрической энергии /</w:t>
      </w:r>
      <w:r w:rsidR="002C48F6">
        <w:rPr>
          <w:rFonts w:ascii="Garamond" w:eastAsia="Times New Roman" w:hAnsi="Garamond" w:cs="Calibri"/>
          <w:sz w:val="22"/>
        </w:rPr>
        <w:t xml:space="preserve"> </w:t>
      </w:r>
      <w:r w:rsidRPr="00AD67C2">
        <w:rPr>
          <w:rFonts w:ascii="Garamond" w:eastAsia="Times New Roman" w:hAnsi="Garamond" w:cs="Calibri"/>
          <w:sz w:val="22"/>
        </w:rPr>
        <w:t xml:space="preserve">договоре энергоснабжения </w:t>
      </w:r>
    </w:p>
    <w:p w14:paraId="1513C177" w14:textId="77777777" w:rsidR="002A169F" w:rsidRPr="00AD67C2" w:rsidRDefault="002A169F" w:rsidP="002A169F">
      <w:pPr>
        <w:spacing w:before="120"/>
        <w:rPr>
          <w:rFonts w:ascii="Garamond" w:eastAsia="Times New Roman" w:hAnsi="Garamond" w:cs="Times New Roman"/>
          <w:sz w:val="22"/>
        </w:rPr>
      </w:pPr>
      <w:r w:rsidRPr="00AD67C2">
        <w:rPr>
          <w:rFonts w:ascii="Garamond" w:eastAsia="Times New Roman" w:hAnsi="Garamond" w:cs="Times New Roman"/>
          <w:sz w:val="22"/>
        </w:rPr>
        <w:t>_____________________________________________________________________________________</w:t>
      </w:r>
    </w:p>
    <w:p w14:paraId="31F1AB2D" w14:textId="77777777" w:rsidR="002A169F" w:rsidRPr="00AD67C2" w:rsidRDefault="002A169F" w:rsidP="002A169F">
      <w:pPr>
        <w:spacing w:before="120"/>
        <w:jc w:val="center"/>
        <w:rPr>
          <w:rFonts w:ascii="Garamond" w:eastAsia="Times New Roman" w:hAnsi="Garamond" w:cs="Times New Roman"/>
          <w:i/>
          <w:sz w:val="22"/>
        </w:rPr>
      </w:pPr>
      <w:r w:rsidRPr="00AD67C2">
        <w:rPr>
          <w:rFonts w:ascii="Garamond" w:eastAsia="Times New Roman" w:hAnsi="Garamond" w:cs="Times New Roman"/>
          <w:i/>
          <w:sz w:val="22"/>
        </w:rPr>
        <w:t>(полное наименование организации с указанием организационно-правовой формы заявителя)</w:t>
      </w:r>
    </w:p>
    <w:p w14:paraId="1F40B8FD" w14:textId="77777777" w:rsidR="002A169F" w:rsidRPr="00AD67C2" w:rsidRDefault="002A169F" w:rsidP="002A169F">
      <w:pPr>
        <w:spacing w:before="120"/>
        <w:rPr>
          <w:rFonts w:ascii="Garamond" w:eastAsia="Times New Roman" w:hAnsi="Garamond" w:cs="Times New Roman"/>
          <w:i/>
          <w:sz w:val="22"/>
        </w:rPr>
      </w:pPr>
    </w:p>
    <w:p w14:paraId="11057B02" w14:textId="77777777" w:rsidR="002A169F" w:rsidRPr="00AD67C2" w:rsidRDefault="002A169F" w:rsidP="002A169F">
      <w:pPr>
        <w:spacing w:before="120"/>
        <w:rPr>
          <w:rFonts w:ascii="Garamond" w:eastAsia="Times New Roman" w:hAnsi="Garamond" w:cs="Times New Roman"/>
          <w:sz w:val="22"/>
        </w:rPr>
      </w:pPr>
      <w:r w:rsidRPr="00AD67C2">
        <w:rPr>
          <w:rFonts w:ascii="Garamond" w:eastAsia="Times New Roman" w:hAnsi="Garamond" w:cs="Times New Roman"/>
          <w:sz w:val="22"/>
        </w:rPr>
        <w:t>уведомляет о том, что в отношении оборудования, входящего в объект регулирования: _____________________________________________________________________________________</w:t>
      </w:r>
    </w:p>
    <w:p w14:paraId="1A4CBEF1" w14:textId="77777777" w:rsidR="002A169F" w:rsidRPr="00AD67C2" w:rsidRDefault="002A169F" w:rsidP="002A169F">
      <w:pPr>
        <w:spacing w:before="120"/>
        <w:rPr>
          <w:rFonts w:ascii="Garamond" w:eastAsia="Times New Roman" w:hAnsi="Garamond" w:cs="Times New Roman"/>
          <w:sz w:val="22"/>
        </w:rPr>
      </w:pPr>
      <w:r w:rsidRPr="00AD67C2">
        <w:rPr>
          <w:rFonts w:ascii="Garamond" w:eastAsia="Times New Roman" w:hAnsi="Garamond" w:cs="Times New Roman"/>
          <w:i/>
          <w:sz w:val="22"/>
        </w:rPr>
        <w:t xml:space="preserve">                                                        (указать наименование объекта регулирования)</w:t>
      </w:r>
    </w:p>
    <w:p w14:paraId="0D45D468" w14:textId="77777777" w:rsidR="002A169F" w:rsidRPr="00AD67C2" w:rsidRDefault="002A169F" w:rsidP="002A169F">
      <w:pPr>
        <w:spacing w:before="120"/>
        <w:rPr>
          <w:rFonts w:ascii="Garamond" w:eastAsia="Times New Roman" w:hAnsi="Garamond" w:cs="Times New Roman"/>
          <w:sz w:val="22"/>
        </w:rPr>
      </w:pPr>
      <w:r w:rsidRPr="00AD67C2">
        <w:rPr>
          <w:rFonts w:ascii="Garamond" w:eastAsia="Times New Roman" w:hAnsi="Garamond" w:cs="Times New Roman"/>
          <w:sz w:val="22"/>
        </w:rPr>
        <w:t xml:space="preserve">заключен </w:t>
      </w:r>
    </w:p>
    <w:p w14:paraId="4AF25DBE" w14:textId="47C57A55" w:rsidR="002A169F" w:rsidRPr="00AD67C2" w:rsidRDefault="002A169F" w:rsidP="002A169F">
      <w:pPr>
        <w:spacing w:before="120"/>
        <w:rPr>
          <w:rFonts w:ascii="Garamond" w:eastAsia="Times New Roman" w:hAnsi="Garamond" w:cs="Times New Roman"/>
          <w:sz w:val="22"/>
        </w:rPr>
      </w:pPr>
      <w:r w:rsidRPr="00AD67C2">
        <w:rPr>
          <w:rFonts w:ascii="Garamond" w:eastAsia="Times New Roman" w:hAnsi="Garamond" w:cs="Times New Roman"/>
          <w:sz w:val="22"/>
        </w:rPr>
        <w:t xml:space="preserve">договор </w:t>
      </w:r>
      <w:r w:rsidR="00F6233E" w:rsidRPr="00AD67C2">
        <w:rPr>
          <w:rFonts w:ascii="Garamond" w:eastAsia="Times New Roman" w:hAnsi="Garamond" w:cs="Times New Roman"/>
          <w:sz w:val="22"/>
        </w:rPr>
        <w:t>оказания</w:t>
      </w:r>
      <w:r w:rsidRPr="00AD67C2">
        <w:rPr>
          <w:rFonts w:ascii="Garamond" w:eastAsia="Times New Roman" w:hAnsi="Garamond" w:cs="Times New Roman"/>
          <w:sz w:val="22"/>
        </w:rPr>
        <w:t xml:space="preserve"> услуг по передаче электрической энергии</w:t>
      </w:r>
      <w:r w:rsidRPr="00AD67C2" w:rsidDel="00811ED0">
        <w:rPr>
          <w:rFonts w:ascii="Garamond" w:eastAsia="Times New Roman" w:hAnsi="Garamond" w:cs="Times New Roman"/>
          <w:sz w:val="22"/>
        </w:rPr>
        <w:t xml:space="preserve"> </w:t>
      </w:r>
      <w:r w:rsidRPr="00AD67C2">
        <w:rPr>
          <w:rFonts w:ascii="Garamond" w:eastAsia="Times New Roman" w:hAnsi="Garamond" w:cs="Times New Roman"/>
          <w:sz w:val="22"/>
        </w:rPr>
        <w:t>______________________________________________________________________________________</w:t>
      </w:r>
    </w:p>
    <w:p w14:paraId="4F031232" w14:textId="77777777" w:rsidR="002A169F" w:rsidRPr="00AD67C2" w:rsidRDefault="002A169F" w:rsidP="002A169F">
      <w:pPr>
        <w:spacing w:before="120"/>
        <w:rPr>
          <w:rFonts w:ascii="Garamond" w:eastAsia="Times New Roman" w:hAnsi="Garamond" w:cs="Times New Roman"/>
          <w:i/>
          <w:sz w:val="22"/>
        </w:rPr>
      </w:pPr>
      <w:r w:rsidRPr="00AD67C2">
        <w:rPr>
          <w:rFonts w:ascii="Garamond" w:eastAsia="Times New Roman" w:hAnsi="Garamond" w:cs="Times New Roman"/>
          <w:i/>
          <w:sz w:val="22"/>
        </w:rPr>
        <w:t xml:space="preserve">                 (указать номер, дату заключения и срок действия договора, стороны договора)</w:t>
      </w:r>
    </w:p>
    <w:p w14:paraId="43DDEFA4" w14:textId="77777777" w:rsidR="002A169F" w:rsidRPr="00AD67C2" w:rsidRDefault="002A169F" w:rsidP="002A169F">
      <w:pPr>
        <w:spacing w:before="120"/>
        <w:rPr>
          <w:rFonts w:ascii="Garamond" w:eastAsia="Times New Roman" w:hAnsi="Garamond" w:cs="Times New Roman"/>
          <w:sz w:val="22"/>
        </w:rPr>
      </w:pPr>
      <w:r w:rsidRPr="00AD67C2">
        <w:rPr>
          <w:rFonts w:ascii="Garamond" w:eastAsia="Times New Roman" w:hAnsi="Garamond" w:cs="Times New Roman"/>
          <w:sz w:val="22"/>
        </w:rPr>
        <w:t>или</w:t>
      </w:r>
    </w:p>
    <w:p w14:paraId="343F3A80" w14:textId="77777777" w:rsidR="002A169F" w:rsidRPr="00AD67C2" w:rsidRDefault="002A169F" w:rsidP="002A169F">
      <w:pPr>
        <w:spacing w:before="120"/>
        <w:rPr>
          <w:rFonts w:ascii="Garamond" w:eastAsia="Times New Roman" w:hAnsi="Garamond" w:cs="Times New Roman"/>
          <w:sz w:val="22"/>
        </w:rPr>
      </w:pPr>
      <w:r w:rsidRPr="00AD67C2">
        <w:rPr>
          <w:rFonts w:ascii="Garamond" w:eastAsia="Times New Roman" w:hAnsi="Garamond" w:cs="Times New Roman"/>
          <w:sz w:val="22"/>
        </w:rPr>
        <w:t>договор энергоснабжения</w:t>
      </w:r>
    </w:p>
    <w:p w14:paraId="78B404C2" w14:textId="77777777" w:rsidR="002A169F" w:rsidRPr="00AD67C2" w:rsidRDefault="002A169F" w:rsidP="002A169F">
      <w:pPr>
        <w:spacing w:before="120"/>
        <w:rPr>
          <w:rFonts w:ascii="Garamond" w:eastAsia="Times New Roman" w:hAnsi="Garamond" w:cs="Times New Roman"/>
          <w:sz w:val="22"/>
        </w:rPr>
      </w:pPr>
      <w:r w:rsidRPr="00AD67C2">
        <w:rPr>
          <w:rFonts w:ascii="Garamond" w:eastAsia="Times New Roman" w:hAnsi="Garamond" w:cs="Times New Roman"/>
          <w:sz w:val="22"/>
        </w:rPr>
        <w:t>______________________________________________________________________________________</w:t>
      </w:r>
    </w:p>
    <w:p w14:paraId="2D277286" w14:textId="77777777" w:rsidR="002A169F" w:rsidRPr="00AD67C2" w:rsidRDefault="002A169F" w:rsidP="002A169F">
      <w:pPr>
        <w:spacing w:before="120"/>
        <w:rPr>
          <w:rFonts w:ascii="Garamond" w:eastAsia="Times New Roman" w:hAnsi="Garamond" w:cs="Times New Roman"/>
          <w:i/>
          <w:sz w:val="22"/>
        </w:rPr>
      </w:pPr>
      <w:r w:rsidRPr="00AD67C2">
        <w:rPr>
          <w:rFonts w:ascii="Garamond" w:eastAsia="Times New Roman" w:hAnsi="Garamond" w:cs="Times New Roman"/>
          <w:sz w:val="22"/>
        </w:rPr>
        <w:t xml:space="preserve">                      (</w:t>
      </w:r>
      <w:r w:rsidRPr="00AD67C2">
        <w:rPr>
          <w:rFonts w:ascii="Garamond" w:eastAsia="Times New Roman" w:hAnsi="Garamond" w:cs="Times New Roman"/>
          <w:i/>
          <w:sz w:val="22"/>
        </w:rPr>
        <w:t>указать номер, дату заключения и срок действия договора, стороны договора)</w:t>
      </w:r>
    </w:p>
    <w:p w14:paraId="5D6155D2" w14:textId="77777777" w:rsidR="002A169F" w:rsidRPr="00AD67C2" w:rsidRDefault="002A169F" w:rsidP="002A169F">
      <w:pPr>
        <w:spacing w:before="120"/>
        <w:rPr>
          <w:rFonts w:ascii="Garamond" w:eastAsia="Times New Roman" w:hAnsi="Garamond" w:cs="Times New Roman"/>
          <w:sz w:val="22"/>
        </w:rPr>
      </w:pPr>
      <w:r w:rsidRPr="00AD67C2">
        <w:rPr>
          <w:rFonts w:ascii="Garamond" w:eastAsia="Times New Roman" w:hAnsi="Garamond" w:cs="Times New Roman"/>
          <w:sz w:val="22"/>
        </w:rPr>
        <w:t xml:space="preserve"> </w:t>
      </w:r>
    </w:p>
    <w:p w14:paraId="7A263CA4" w14:textId="77777777" w:rsidR="002A169F" w:rsidRPr="00AD67C2" w:rsidRDefault="002A169F" w:rsidP="002A169F">
      <w:pPr>
        <w:spacing w:before="120" w:line="360" w:lineRule="auto"/>
        <w:jc w:val="center"/>
        <w:rPr>
          <w:rFonts w:ascii="Garamond" w:eastAsia="Times New Roman" w:hAnsi="Garamond" w:cs="Times New Roman"/>
          <w:sz w:val="22"/>
        </w:rPr>
      </w:pPr>
    </w:p>
    <w:p w14:paraId="27F15A3D" w14:textId="77777777" w:rsidR="002A169F" w:rsidRPr="00AD67C2" w:rsidRDefault="002A169F" w:rsidP="002A169F">
      <w:pPr>
        <w:spacing w:before="120"/>
        <w:rPr>
          <w:rFonts w:ascii="Garamond" w:eastAsia="Times New Roman" w:hAnsi="Garamond" w:cs="Times New Roman"/>
          <w:i/>
          <w:sz w:val="22"/>
        </w:rPr>
      </w:pPr>
    </w:p>
    <w:tbl>
      <w:tblPr>
        <w:tblW w:w="0" w:type="auto"/>
        <w:tblLook w:val="00A0" w:firstRow="1" w:lastRow="0" w:firstColumn="1" w:lastColumn="0" w:noHBand="0" w:noVBand="0"/>
      </w:tblPr>
      <w:tblGrid>
        <w:gridCol w:w="3379"/>
        <w:gridCol w:w="2981"/>
        <w:gridCol w:w="3107"/>
      </w:tblGrid>
      <w:tr w:rsidR="002A169F" w:rsidRPr="00AD67C2" w14:paraId="0FBB07E1" w14:textId="77777777" w:rsidTr="003E0733">
        <w:tc>
          <w:tcPr>
            <w:tcW w:w="4887" w:type="dxa"/>
            <w:tcBorders>
              <w:bottom w:val="single" w:sz="4" w:space="0" w:color="auto"/>
            </w:tcBorders>
          </w:tcPr>
          <w:p w14:paraId="711F96F8" w14:textId="77777777" w:rsidR="002A169F" w:rsidRPr="00AD67C2" w:rsidRDefault="002A169F" w:rsidP="003E0733">
            <w:pPr>
              <w:rPr>
                <w:rFonts w:ascii="Garamond" w:eastAsia="Times New Roman" w:hAnsi="Garamond" w:cs="Times New Roman"/>
                <w:sz w:val="22"/>
                <w:szCs w:val="24"/>
              </w:rPr>
            </w:pPr>
          </w:p>
        </w:tc>
        <w:tc>
          <w:tcPr>
            <w:tcW w:w="4876" w:type="dxa"/>
          </w:tcPr>
          <w:p w14:paraId="63EFACDD" w14:textId="77777777" w:rsidR="002A169F" w:rsidRPr="00AD67C2" w:rsidRDefault="002A169F" w:rsidP="003E0733">
            <w:pPr>
              <w:rPr>
                <w:rFonts w:ascii="Garamond" w:eastAsia="Times New Roman" w:hAnsi="Garamond" w:cs="Times New Roman"/>
                <w:sz w:val="22"/>
                <w:szCs w:val="24"/>
              </w:rPr>
            </w:pPr>
          </w:p>
        </w:tc>
        <w:tc>
          <w:tcPr>
            <w:tcW w:w="4917" w:type="dxa"/>
            <w:tcBorders>
              <w:bottom w:val="single" w:sz="4" w:space="0" w:color="auto"/>
            </w:tcBorders>
          </w:tcPr>
          <w:p w14:paraId="7CC79564" w14:textId="77777777" w:rsidR="002A169F" w:rsidRPr="00AD67C2" w:rsidRDefault="002A169F" w:rsidP="003E0733">
            <w:pPr>
              <w:rPr>
                <w:rFonts w:ascii="Garamond" w:eastAsia="Times New Roman" w:hAnsi="Garamond" w:cs="Times New Roman"/>
                <w:sz w:val="22"/>
                <w:szCs w:val="24"/>
              </w:rPr>
            </w:pPr>
          </w:p>
        </w:tc>
      </w:tr>
      <w:tr w:rsidR="002A169F" w:rsidRPr="00AD67C2" w14:paraId="00FEA180" w14:textId="77777777" w:rsidTr="003E0733">
        <w:tc>
          <w:tcPr>
            <w:tcW w:w="4887" w:type="dxa"/>
            <w:tcBorders>
              <w:top w:val="single" w:sz="4" w:space="0" w:color="auto"/>
            </w:tcBorders>
          </w:tcPr>
          <w:p w14:paraId="152A019B" w14:textId="77777777" w:rsidR="002A169F" w:rsidRPr="00AD67C2" w:rsidRDefault="002A169F" w:rsidP="003E0733">
            <w:pPr>
              <w:jc w:val="center"/>
              <w:rPr>
                <w:rFonts w:ascii="Garamond" w:eastAsia="Times New Roman" w:hAnsi="Garamond" w:cs="Times New Roman"/>
                <w:sz w:val="22"/>
                <w:szCs w:val="24"/>
              </w:rPr>
            </w:pPr>
            <w:r w:rsidRPr="00AD67C2">
              <w:rPr>
                <w:rFonts w:ascii="Garamond" w:eastAsia="Times New Roman" w:hAnsi="Garamond" w:cs="Times New Roman"/>
                <w:i/>
                <w:sz w:val="22"/>
                <w:szCs w:val="24"/>
              </w:rPr>
              <w:t>(должность)</w:t>
            </w:r>
          </w:p>
        </w:tc>
        <w:tc>
          <w:tcPr>
            <w:tcW w:w="4876" w:type="dxa"/>
          </w:tcPr>
          <w:p w14:paraId="078C5A00" w14:textId="77777777" w:rsidR="002A169F" w:rsidRPr="00AD67C2" w:rsidRDefault="002A169F" w:rsidP="003E0733">
            <w:pPr>
              <w:rPr>
                <w:rFonts w:ascii="Garamond" w:eastAsia="Times New Roman" w:hAnsi="Garamond" w:cs="Times New Roman"/>
                <w:sz w:val="22"/>
                <w:szCs w:val="24"/>
              </w:rPr>
            </w:pPr>
          </w:p>
        </w:tc>
        <w:tc>
          <w:tcPr>
            <w:tcW w:w="4917" w:type="dxa"/>
            <w:tcBorders>
              <w:top w:val="single" w:sz="4" w:space="0" w:color="auto"/>
            </w:tcBorders>
          </w:tcPr>
          <w:p w14:paraId="2E655871" w14:textId="77777777" w:rsidR="002A169F" w:rsidRPr="00AD67C2" w:rsidRDefault="002A169F" w:rsidP="003E0733">
            <w:pPr>
              <w:jc w:val="center"/>
              <w:rPr>
                <w:rFonts w:ascii="Garamond" w:eastAsia="Times New Roman" w:hAnsi="Garamond" w:cs="Times New Roman"/>
                <w:sz w:val="22"/>
                <w:szCs w:val="24"/>
              </w:rPr>
            </w:pPr>
            <w:r w:rsidRPr="00AD67C2">
              <w:rPr>
                <w:rFonts w:ascii="Garamond" w:eastAsia="Times New Roman" w:hAnsi="Garamond" w:cs="Times New Roman"/>
                <w:i/>
                <w:sz w:val="22"/>
                <w:szCs w:val="24"/>
              </w:rPr>
              <w:t>(Ф. И. О.)</w:t>
            </w:r>
          </w:p>
        </w:tc>
      </w:tr>
    </w:tbl>
    <w:p w14:paraId="438652B0" w14:textId="77777777" w:rsidR="001333B2" w:rsidRPr="00AD67C2" w:rsidRDefault="001333B2" w:rsidP="001333B2">
      <w:pPr>
        <w:widowControl w:val="0"/>
        <w:suppressAutoHyphens w:val="0"/>
        <w:spacing w:before="120"/>
        <w:rPr>
          <w:rFonts w:ascii="Garamond" w:eastAsia="Times New Roman" w:hAnsi="Garamond" w:cs="Times New Roman"/>
          <w:sz w:val="22"/>
          <w:szCs w:val="22"/>
        </w:rPr>
      </w:pPr>
    </w:p>
    <w:p w14:paraId="131F03B5" w14:textId="77777777" w:rsidR="001333B2" w:rsidRPr="00AD67C2" w:rsidRDefault="001333B2" w:rsidP="001333B2">
      <w:pPr>
        <w:widowControl w:val="0"/>
        <w:suppressAutoHyphens w:val="0"/>
        <w:spacing w:before="120"/>
        <w:ind w:left="6372" w:firstLine="708"/>
        <w:rPr>
          <w:rFonts w:ascii="Garamond" w:eastAsia="Times New Roman" w:hAnsi="Garamond" w:cs="Times New Roman"/>
          <w:sz w:val="22"/>
          <w:szCs w:val="22"/>
        </w:rPr>
      </w:pPr>
    </w:p>
    <w:p w14:paraId="27DDE68F" w14:textId="77777777" w:rsidR="001333B2" w:rsidRPr="00AD67C2" w:rsidRDefault="001333B2" w:rsidP="001333B2">
      <w:pPr>
        <w:widowControl w:val="0"/>
        <w:suppressAutoHyphens w:val="0"/>
        <w:spacing w:before="120"/>
        <w:ind w:left="6372"/>
        <w:rPr>
          <w:rFonts w:ascii="Garamond" w:eastAsia="Times New Roman" w:hAnsi="Garamond" w:cs="Times New Roman"/>
          <w:sz w:val="22"/>
          <w:szCs w:val="22"/>
        </w:rPr>
      </w:pPr>
      <w:r w:rsidRPr="00AD67C2">
        <w:rPr>
          <w:rFonts w:ascii="Garamond" w:eastAsia="Times New Roman" w:hAnsi="Garamond" w:cs="Times New Roman"/>
          <w:sz w:val="22"/>
          <w:szCs w:val="22"/>
        </w:rPr>
        <w:t>« _____» __________20____</w:t>
      </w:r>
    </w:p>
    <w:p w14:paraId="06E2D172" w14:textId="77777777" w:rsidR="001333B2" w:rsidRPr="00AD67C2" w:rsidRDefault="001333B2" w:rsidP="001333B2">
      <w:pPr>
        <w:suppressAutoHyphens w:val="0"/>
        <w:spacing w:after="160" w:line="259" w:lineRule="auto"/>
        <w:ind w:firstLine="357"/>
        <w:jc w:val="both"/>
        <w:rPr>
          <w:rFonts w:ascii="Times New Roman" w:eastAsia="Calibri" w:hAnsi="Times New Roman" w:cs="Times New Roman"/>
          <w:sz w:val="24"/>
          <w:szCs w:val="22"/>
          <w:lang w:eastAsia="en-US"/>
        </w:rPr>
      </w:pPr>
    </w:p>
    <w:p w14:paraId="4689BF8E" w14:textId="77777777" w:rsidR="001333B2" w:rsidRPr="00AD67C2" w:rsidRDefault="001333B2" w:rsidP="001333B2">
      <w:pPr>
        <w:widowControl w:val="0"/>
        <w:tabs>
          <w:tab w:val="left" w:pos="1077"/>
        </w:tabs>
        <w:suppressAutoHyphens w:val="0"/>
        <w:spacing w:before="120" w:after="120"/>
        <w:ind w:firstLine="601"/>
        <w:jc w:val="both"/>
        <w:rPr>
          <w:rFonts w:ascii="Garamond" w:eastAsia="Calibri" w:hAnsi="Garamond" w:cs="Times New Roman"/>
          <w:bCs/>
          <w:sz w:val="22"/>
          <w:szCs w:val="22"/>
        </w:rPr>
        <w:sectPr w:rsidR="001333B2" w:rsidRPr="00AD67C2" w:rsidSect="0064152E">
          <w:pgSz w:w="11906" w:h="16838"/>
          <w:pgMar w:top="1134" w:right="851" w:bottom="1134" w:left="1588" w:header="709" w:footer="709" w:gutter="0"/>
          <w:cols w:space="708"/>
          <w:docGrid w:linePitch="360"/>
        </w:sectPr>
      </w:pPr>
    </w:p>
    <w:p w14:paraId="2D868CD2" w14:textId="77777777" w:rsidR="001333B2" w:rsidRPr="00AD67C2" w:rsidRDefault="001333B2" w:rsidP="001333B2">
      <w:pPr>
        <w:widowControl w:val="0"/>
        <w:suppressAutoHyphens w:val="0"/>
        <w:jc w:val="center"/>
        <w:outlineLvl w:val="0"/>
        <w:rPr>
          <w:rFonts w:ascii="Garamond" w:eastAsia="Times New Roman" w:hAnsi="Garamond" w:cs="Arial"/>
          <w:b/>
          <w:bCs/>
          <w:szCs w:val="22"/>
        </w:rPr>
      </w:pPr>
      <w:r w:rsidRPr="00AD67C2">
        <w:rPr>
          <w:rFonts w:ascii="Garamond" w:eastAsia="Times New Roman" w:hAnsi="Garamond" w:cs="Arial"/>
          <w:b/>
          <w:bCs/>
          <w:sz w:val="22"/>
          <w:szCs w:val="22"/>
        </w:rPr>
        <w:lastRenderedPageBreak/>
        <w:t>Форма 4</w:t>
      </w:r>
    </w:p>
    <w:p w14:paraId="1DD50CCA" w14:textId="77777777" w:rsidR="001333B2" w:rsidRPr="00AD67C2" w:rsidRDefault="001333B2" w:rsidP="001333B2">
      <w:pPr>
        <w:suppressAutoHyphens w:val="0"/>
        <w:jc w:val="both"/>
        <w:rPr>
          <w:rFonts w:ascii="Garamond" w:eastAsia="Times New Roman" w:hAnsi="Garamond" w:cs="Times New Roman"/>
          <w:sz w:val="22"/>
          <w:szCs w:val="24"/>
        </w:rPr>
      </w:pPr>
    </w:p>
    <w:p w14:paraId="11585337" w14:textId="77777777" w:rsidR="001333B2" w:rsidRPr="00AD67C2" w:rsidRDefault="001333B2" w:rsidP="001333B2">
      <w:pPr>
        <w:suppressAutoHyphens w:val="0"/>
        <w:jc w:val="both"/>
        <w:rPr>
          <w:rFonts w:ascii="Garamond" w:eastAsia="Times New Roman" w:hAnsi="Garamond" w:cs="Times New Roman"/>
          <w:sz w:val="22"/>
          <w:szCs w:val="24"/>
        </w:rPr>
      </w:pPr>
      <w:r w:rsidRPr="00AD67C2">
        <w:rPr>
          <w:rFonts w:ascii="Garamond" w:eastAsia="Times New Roman" w:hAnsi="Garamond" w:cs="Times New Roman"/>
          <w:sz w:val="22"/>
          <w:szCs w:val="24"/>
        </w:rPr>
        <w:t>(на бланке заявителя)</w:t>
      </w:r>
    </w:p>
    <w:p w14:paraId="047D1071" w14:textId="77777777" w:rsidR="001333B2" w:rsidRPr="00AD67C2" w:rsidRDefault="001333B2" w:rsidP="001333B2">
      <w:pPr>
        <w:suppressAutoHyphens w:val="0"/>
        <w:jc w:val="right"/>
        <w:rPr>
          <w:rFonts w:ascii="Garamond" w:eastAsia="Times New Roman" w:hAnsi="Garamond" w:cs="Times New Roman"/>
          <w:b/>
          <w:sz w:val="22"/>
          <w:szCs w:val="24"/>
        </w:rPr>
      </w:pPr>
      <w:r w:rsidRPr="00AD67C2">
        <w:rPr>
          <w:rFonts w:ascii="Garamond" w:eastAsia="Times New Roman" w:hAnsi="Garamond" w:cs="Times New Roman"/>
          <w:b/>
          <w:sz w:val="22"/>
          <w:szCs w:val="24"/>
        </w:rPr>
        <w:t>Председателю Правления</w:t>
      </w:r>
    </w:p>
    <w:p w14:paraId="4CEC8003" w14:textId="77777777" w:rsidR="001333B2" w:rsidRPr="00AD67C2" w:rsidRDefault="001333B2" w:rsidP="001333B2">
      <w:pPr>
        <w:suppressAutoHyphens w:val="0"/>
        <w:jc w:val="right"/>
        <w:rPr>
          <w:rFonts w:ascii="Garamond" w:eastAsia="Times New Roman" w:hAnsi="Garamond" w:cs="Times New Roman"/>
          <w:b/>
          <w:sz w:val="22"/>
          <w:szCs w:val="24"/>
        </w:rPr>
      </w:pPr>
      <w:r w:rsidRPr="00AD67C2">
        <w:rPr>
          <w:rFonts w:ascii="Garamond" w:eastAsia="Times New Roman" w:hAnsi="Garamond" w:cs="Times New Roman"/>
          <w:b/>
          <w:sz w:val="22"/>
          <w:szCs w:val="24"/>
        </w:rPr>
        <w:t>АО «АТС»</w:t>
      </w:r>
    </w:p>
    <w:p w14:paraId="27F7DF70" w14:textId="77777777" w:rsidR="001333B2" w:rsidRPr="00AD67C2" w:rsidRDefault="001333B2" w:rsidP="001333B2">
      <w:pPr>
        <w:suppressAutoHyphens w:val="0"/>
        <w:jc w:val="both"/>
        <w:rPr>
          <w:rFonts w:ascii="Garamond" w:eastAsia="Times New Roman" w:hAnsi="Garamond" w:cs="Times New Roman"/>
          <w:sz w:val="22"/>
          <w:szCs w:val="24"/>
        </w:rPr>
      </w:pPr>
      <w:r w:rsidRPr="00AD67C2">
        <w:rPr>
          <w:rFonts w:ascii="Garamond" w:eastAsia="Times New Roman" w:hAnsi="Garamond" w:cs="Times New Roman"/>
          <w:sz w:val="22"/>
          <w:szCs w:val="24"/>
        </w:rPr>
        <w:t>№ ____________________</w:t>
      </w:r>
    </w:p>
    <w:p w14:paraId="6B439830" w14:textId="77777777" w:rsidR="001333B2" w:rsidRPr="00AD67C2" w:rsidRDefault="001333B2" w:rsidP="001333B2">
      <w:pPr>
        <w:suppressAutoHyphens w:val="0"/>
        <w:jc w:val="both"/>
        <w:rPr>
          <w:rFonts w:ascii="Garamond" w:eastAsia="Times New Roman" w:hAnsi="Garamond" w:cs="Times New Roman"/>
          <w:sz w:val="22"/>
          <w:szCs w:val="24"/>
        </w:rPr>
      </w:pPr>
      <w:r w:rsidRPr="00AD67C2">
        <w:rPr>
          <w:rFonts w:ascii="Garamond" w:eastAsia="Times New Roman" w:hAnsi="Garamond" w:cs="Times New Roman"/>
          <w:sz w:val="22"/>
          <w:szCs w:val="24"/>
        </w:rPr>
        <w:t>«___» ___________20 ___ г.</w:t>
      </w:r>
    </w:p>
    <w:p w14:paraId="1B3254BD" w14:textId="77777777" w:rsidR="001333B2" w:rsidRPr="00AD67C2" w:rsidRDefault="001333B2" w:rsidP="001333B2">
      <w:pPr>
        <w:suppressAutoHyphens w:val="0"/>
        <w:jc w:val="both"/>
        <w:rPr>
          <w:rFonts w:ascii="Garamond" w:eastAsia="Times New Roman" w:hAnsi="Garamond" w:cs="Times New Roman"/>
          <w:sz w:val="16"/>
          <w:szCs w:val="24"/>
        </w:rPr>
      </w:pPr>
    </w:p>
    <w:p w14:paraId="74E98E54" w14:textId="77777777" w:rsidR="001333B2" w:rsidRPr="00AD67C2" w:rsidRDefault="001333B2" w:rsidP="001333B2">
      <w:pPr>
        <w:suppressAutoHyphens w:val="0"/>
        <w:jc w:val="center"/>
        <w:rPr>
          <w:rFonts w:ascii="Garamond" w:eastAsia="Times New Roman" w:hAnsi="Garamond" w:cs="Times New Roman"/>
          <w:b/>
          <w:sz w:val="22"/>
          <w:szCs w:val="24"/>
        </w:rPr>
      </w:pPr>
      <w:r w:rsidRPr="00AD67C2">
        <w:rPr>
          <w:rFonts w:ascii="Garamond" w:eastAsia="Times New Roman" w:hAnsi="Garamond" w:cs="Times New Roman"/>
          <w:b/>
          <w:sz w:val="22"/>
          <w:szCs w:val="24"/>
        </w:rPr>
        <w:t>ЗАЯВЛЕНИЕ</w:t>
      </w:r>
    </w:p>
    <w:p w14:paraId="3F062B25" w14:textId="77777777" w:rsidR="001333B2" w:rsidRPr="00AD67C2" w:rsidRDefault="001333B2" w:rsidP="001333B2">
      <w:pPr>
        <w:suppressAutoHyphens w:val="0"/>
        <w:jc w:val="center"/>
        <w:rPr>
          <w:rFonts w:ascii="Garamond" w:eastAsia="Times New Roman" w:hAnsi="Garamond" w:cs="Times New Roman"/>
          <w:b/>
          <w:sz w:val="22"/>
          <w:szCs w:val="24"/>
        </w:rPr>
      </w:pPr>
    </w:p>
    <w:p w14:paraId="6AB20361" w14:textId="77777777" w:rsidR="001333B2" w:rsidRPr="00AD67C2" w:rsidRDefault="001333B2" w:rsidP="001333B2">
      <w:pPr>
        <w:suppressAutoHyphens w:val="0"/>
        <w:autoSpaceDE w:val="0"/>
        <w:autoSpaceDN w:val="0"/>
        <w:spacing w:after="160" w:line="259" w:lineRule="auto"/>
        <w:ind w:firstLine="357"/>
        <w:jc w:val="center"/>
        <w:rPr>
          <w:rFonts w:ascii="Garamond" w:eastAsia="Calibri" w:hAnsi="Garamond" w:cs="Times New Roman"/>
          <w:b/>
          <w:bCs/>
          <w:sz w:val="22"/>
          <w:szCs w:val="22"/>
          <w:lang w:eastAsia="en-US"/>
        </w:rPr>
      </w:pPr>
      <w:r w:rsidRPr="00AD67C2">
        <w:rPr>
          <w:rFonts w:ascii="Garamond" w:eastAsia="Calibri" w:hAnsi="Garamond" w:cs="Times New Roman"/>
          <w:b/>
          <w:sz w:val="22"/>
          <w:szCs w:val="22"/>
          <w:lang w:eastAsia="en-US"/>
        </w:rPr>
        <w:t>о проведении повторных испытаний</w:t>
      </w:r>
    </w:p>
    <w:p w14:paraId="4A389161" w14:textId="77777777" w:rsidR="001333B2" w:rsidRPr="00AD67C2" w:rsidRDefault="001333B2" w:rsidP="001333B2">
      <w:pPr>
        <w:suppressAutoHyphens w:val="0"/>
        <w:autoSpaceDE w:val="0"/>
        <w:autoSpaceDN w:val="0"/>
        <w:spacing w:after="160" w:line="259" w:lineRule="auto"/>
        <w:ind w:firstLine="540"/>
        <w:jc w:val="both"/>
        <w:rPr>
          <w:rFonts w:ascii="Garamond" w:eastAsia="Calibri" w:hAnsi="Garamond" w:cs="Times New Roman"/>
          <w:spacing w:val="-2"/>
          <w:sz w:val="22"/>
          <w:szCs w:val="22"/>
          <w:lang w:eastAsia="en-US"/>
        </w:rPr>
      </w:pPr>
    </w:p>
    <w:p w14:paraId="772E1AB7" w14:textId="77777777" w:rsidR="001333B2" w:rsidRPr="00AD67C2" w:rsidRDefault="001333B2" w:rsidP="001333B2">
      <w:pPr>
        <w:suppressAutoHyphens w:val="0"/>
        <w:autoSpaceDE w:val="0"/>
        <w:autoSpaceDN w:val="0"/>
        <w:spacing w:after="160" w:line="259" w:lineRule="auto"/>
        <w:ind w:firstLine="540"/>
        <w:jc w:val="both"/>
        <w:rPr>
          <w:rFonts w:ascii="Garamond" w:eastAsia="Calibri" w:hAnsi="Garamond" w:cs="Times New Roman"/>
          <w:spacing w:val="-2"/>
          <w:sz w:val="22"/>
          <w:szCs w:val="22"/>
          <w:lang w:eastAsia="en-US"/>
        </w:rPr>
      </w:pPr>
    </w:p>
    <w:p w14:paraId="3EC3CE93" w14:textId="76985A34" w:rsidR="001333B2" w:rsidRPr="00AD67C2" w:rsidRDefault="001333B2" w:rsidP="001333B2">
      <w:pPr>
        <w:suppressAutoHyphens w:val="0"/>
        <w:autoSpaceDE w:val="0"/>
        <w:autoSpaceDN w:val="0"/>
        <w:spacing w:after="160" w:line="259" w:lineRule="auto"/>
        <w:ind w:firstLine="540"/>
        <w:jc w:val="both"/>
        <w:rPr>
          <w:rFonts w:ascii="Garamond" w:eastAsia="Calibri" w:hAnsi="Garamond" w:cs="Times New Roman"/>
          <w:spacing w:val="-2"/>
          <w:sz w:val="22"/>
          <w:szCs w:val="22"/>
          <w:lang w:eastAsia="en-US"/>
        </w:rPr>
      </w:pPr>
      <w:r w:rsidRPr="00AD67C2">
        <w:rPr>
          <w:rFonts w:ascii="Garamond" w:eastAsia="Calibri" w:hAnsi="Garamond" w:cs="Times New Roman"/>
          <w:spacing w:val="-2"/>
          <w:sz w:val="22"/>
          <w:szCs w:val="22"/>
          <w:lang w:eastAsia="en-US"/>
        </w:rPr>
        <w:t>В связи с устранением несоответствий, выявленных в ходе проведения испытаний «____»</w:t>
      </w:r>
      <w:r w:rsidR="001043A6">
        <w:rPr>
          <w:rFonts w:ascii="Garamond" w:eastAsia="Calibri" w:hAnsi="Garamond" w:cs="Times New Roman"/>
          <w:spacing w:val="-2"/>
          <w:sz w:val="22"/>
          <w:szCs w:val="22"/>
          <w:lang w:eastAsia="en-US"/>
        </w:rPr>
        <w:t> </w:t>
      </w:r>
      <w:r w:rsidRPr="00AD67C2">
        <w:rPr>
          <w:rFonts w:ascii="Garamond" w:eastAsia="Calibri" w:hAnsi="Garamond" w:cs="Times New Roman"/>
          <w:spacing w:val="-2"/>
          <w:sz w:val="22"/>
          <w:szCs w:val="22"/>
          <w:lang w:eastAsia="en-US"/>
        </w:rPr>
        <w:t>_____________</w:t>
      </w:r>
      <w:r w:rsidR="001043A6">
        <w:rPr>
          <w:rFonts w:ascii="Garamond" w:eastAsia="Calibri" w:hAnsi="Garamond" w:cs="Times New Roman"/>
          <w:spacing w:val="-2"/>
          <w:sz w:val="22"/>
          <w:szCs w:val="22"/>
          <w:lang w:eastAsia="en-US"/>
        </w:rPr>
        <w:t xml:space="preserve"> </w:t>
      </w:r>
      <w:r w:rsidRPr="00AD67C2">
        <w:rPr>
          <w:rFonts w:ascii="Garamond" w:eastAsia="Calibri" w:hAnsi="Garamond" w:cs="Times New Roman"/>
          <w:spacing w:val="-2"/>
          <w:sz w:val="22"/>
          <w:szCs w:val="22"/>
          <w:lang w:eastAsia="en-US"/>
        </w:rPr>
        <w:t>20__</w:t>
      </w:r>
      <w:r w:rsidR="001043A6">
        <w:rPr>
          <w:rFonts w:ascii="Garamond" w:eastAsia="Calibri" w:hAnsi="Garamond" w:cs="Times New Roman"/>
          <w:spacing w:val="-2"/>
          <w:sz w:val="22"/>
          <w:szCs w:val="22"/>
          <w:lang w:eastAsia="en-US"/>
        </w:rPr>
        <w:t xml:space="preserve"> </w:t>
      </w:r>
      <w:r w:rsidRPr="00AD67C2">
        <w:rPr>
          <w:rFonts w:ascii="Garamond" w:eastAsia="Calibri" w:hAnsi="Garamond" w:cs="Times New Roman"/>
          <w:spacing w:val="-2"/>
          <w:sz w:val="22"/>
          <w:szCs w:val="22"/>
          <w:lang w:eastAsia="en-US"/>
        </w:rPr>
        <w:t>г. по подтверждению соответствия системы учета электроэнергии техническим требованиям оптового рынка электроэнергии (мощности) по объекту регулирования</w:t>
      </w:r>
    </w:p>
    <w:tbl>
      <w:tblPr>
        <w:tblW w:w="0" w:type="auto"/>
        <w:tblInd w:w="108" w:type="dxa"/>
        <w:tblCellMar>
          <w:left w:w="0" w:type="dxa"/>
          <w:right w:w="0" w:type="dxa"/>
        </w:tblCellMar>
        <w:tblLook w:val="04A0" w:firstRow="1" w:lastRow="0" w:firstColumn="1" w:lastColumn="0" w:noHBand="0" w:noVBand="1"/>
      </w:tblPr>
      <w:tblGrid>
        <w:gridCol w:w="9359"/>
      </w:tblGrid>
      <w:tr w:rsidR="001333B2" w:rsidRPr="00AD67C2" w14:paraId="2B73A8C9" w14:textId="77777777" w:rsidTr="0064152E">
        <w:tc>
          <w:tcPr>
            <w:tcW w:w="14601" w:type="dxa"/>
            <w:tcBorders>
              <w:top w:val="nil"/>
              <w:left w:val="nil"/>
              <w:bottom w:val="single" w:sz="8" w:space="0" w:color="auto"/>
              <w:right w:val="nil"/>
            </w:tcBorders>
            <w:tcMar>
              <w:top w:w="0" w:type="dxa"/>
              <w:left w:w="108" w:type="dxa"/>
              <w:bottom w:w="0" w:type="dxa"/>
              <w:right w:w="108" w:type="dxa"/>
            </w:tcMar>
            <w:hideMark/>
          </w:tcPr>
          <w:p w14:paraId="78D8AD0C" w14:textId="77777777" w:rsidR="001333B2" w:rsidRPr="00AD67C2" w:rsidRDefault="001333B2" w:rsidP="001333B2">
            <w:pPr>
              <w:suppressAutoHyphens w:val="0"/>
              <w:autoSpaceDE w:val="0"/>
              <w:autoSpaceDN w:val="0"/>
              <w:spacing w:line="257" w:lineRule="auto"/>
              <w:ind w:firstLine="357"/>
              <w:jc w:val="right"/>
              <w:rPr>
                <w:rFonts w:ascii="Garamond" w:eastAsia="Calibri" w:hAnsi="Garamond" w:cs="Times New Roman"/>
                <w:lang w:eastAsia="en-US"/>
              </w:rPr>
            </w:pPr>
            <w:r w:rsidRPr="00AD67C2">
              <w:rPr>
                <w:rFonts w:ascii="Garamond" w:eastAsia="Calibri" w:hAnsi="Garamond" w:cs="Times New Roman"/>
                <w:sz w:val="24"/>
                <w:szCs w:val="22"/>
                <w:lang w:eastAsia="en-US"/>
              </w:rPr>
              <w:t>,</w:t>
            </w:r>
          </w:p>
        </w:tc>
      </w:tr>
    </w:tbl>
    <w:p w14:paraId="0F1EF194" w14:textId="77777777" w:rsidR="001333B2" w:rsidRPr="00AD67C2" w:rsidRDefault="001333B2" w:rsidP="001333B2">
      <w:pPr>
        <w:suppressAutoHyphens w:val="0"/>
        <w:autoSpaceDE w:val="0"/>
        <w:autoSpaceDN w:val="0"/>
        <w:spacing w:after="160" w:line="259" w:lineRule="auto"/>
        <w:ind w:firstLine="357"/>
        <w:jc w:val="center"/>
        <w:rPr>
          <w:rFonts w:ascii="Garamond" w:eastAsia="Calibri" w:hAnsi="Garamond"/>
          <w:sz w:val="18"/>
          <w:szCs w:val="18"/>
        </w:rPr>
      </w:pPr>
      <w:r w:rsidRPr="00AD67C2">
        <w:rPr>
          <w:rFonts w:ascii="Garamond" w:eastAsia="Calibri" w:hAnsi="Garamond" w:cs="Times New Roman"/>
          <w:sz w:val="18"/>
          <w:szCs w:val="18"/>
          <w:lang w:eastAsia="en-US"/>
        </w:rPr>
        <w:t>(</w:t>
      </w:r>
      <w:r w:rsidRPr="00AD67C2">
        <w:rPr>
          <w:rFonts w:ascii="Garamond" w:eastAsia="Calibri" w:hAnsi="Garamond" w:cs="Times New Roman"/>
          <w:i/>
          <w:iCs/>
          <w:sz w:val="18"/>
          <w:szCs w:val="18"/>
          <w:lang w:eastAsia="en-US"/>
        </w:rPr>
        <w:t>наименование, буквенный код</w:t>
      </w:r>
      <w:r w:rsidRPr="00AD67C2">
        <w:rPr>
          <w:rFonts w:ascii="Garamond" w:eastAsia="Calibri" w:hAnsi="Garamond" w:cs="Times New Roman"/>
          <w:sz w:val="18"/>
          <w:szCs w:val="18"/>
          <w:lang w:eastAsia="en-US"/>
        </w:rPr>
        <w:t>)</w:t>
      </w:r>
    </w:p>
    <w:p w14:paraId="312663FA" w14:textId="77777777" w:rsidR="001333B2" w:rsidRPr="00AD67C2" w:rsidRDefault="001333B2" w:rsidP="002C48F6">
      <w:pPr>
        <w:suppressAutoHyphens w:val="0"/>
        <w:autoSpaceDE w:val="0"/>
        <w:autoSpaceDN w:val="0"/>
        <w:spacing w:after="160" w:line="259" w:lineRule="auto"/>
        <w:jc w:val="both"/>
        <w:rPr>
          <w:rFonts w:ascii="Garamond" w:hAnsi="Garamond" w:cs="Times New Roman"/>
          <w:spacing w:val="-2"/>
          <w:sz w:val="22"/>
          <w:szCs w:val="22"/>
          <w:lang w:eastAsia="en-US"/>
        </w:rPr>
      </w:pPr>
      <w:r w:rsidRPr="00AD67C2">
        <w:rPr>
          <w:rFonts w:ascii="Garamond" w:eastAsia="Calibri" w:hAnsi="Garamond" w:cs="Times New Roman"/>
          <w:spacing w:val="-2"/>
          <w:sz w:val="22"/>
          <w:szCs w:val="22"/>
          <w:lang w:eastAsia="en-US"/>
        </w:rPr>
        <w:t>прошу назначить дату повторных испытаний.</w:t>
      </w:r>
    </w:p>
    <w:p w14:paraId="28D643EA" w14:textId="77777777" w:rsidR="001333B2" w:rsidRPr="00AD67C2" w:rsidRDefault="001333B2" w:rsidP="001333B2">
      <w:pPr>
        <w:suppressAutoHyphens w:val="0"/>
        <w:autoSpaceDE w:val="0"/>
        <w:autoSpaceDN w:val="0"/>
        <w:spacing w:after="160" w:line="259" w:lineRule="auto"/>
        <w:ind w:firstLine="357"/>
        <w:jc w:val="center"/>
        <w:rPr>
          <w:rFonts w:ascii="Garamond" w:eastAsia="Calibri" w:hAnsi="Garamond" w:cs="Times New Roman"/>
          <w:i/>
          <w:sz w:val="18"/>
          <w:szCs w:val="18"/>
          <w:lang w:eastAsia="en-US"/>
        </w:rPr>
      </w:pPr>
    </w:p>
    <w:p w14:paraId="3EF83688" w14:textId="77777777" w:rsidR="001333B2" w:rsidRPr="00AD67C2" w:rsidRDefault="001333B2" w:rsidP="001333B2">
      <w:pPr>
        <w:suppressAutoHyphens w:val="0"/>
        <w:autoSpaceDE w:val="0"/>
        <w:autoSpaceDN w:val="0"/>
        <w:spacing w:after="160" w:line="259" w:lineRule="auto"/>
        <w:ind w:firstLine="357"/>
        <w:jc w:val="center"/>
        <w:rPr>
          <w:rFonts w:ascii="Garamond" w:eastAsia="Calibri" w:hAnsi="Garamond" w:cs="Times New Roman"/>
          <w:i/>
          <w:sz w:val="18"/>
          <w:szCs w:val="18"/>
          <w:lang w:eastAsia="en-US"/>
        </w:rPr>
      </w:pPr>
    </w:p>
    <w:tbl>
      <w:tblPr>
        <w:tblW w:w="0" w:type="auto"/>
        <w:tblLook w:val="00A0" w:firstRow="1" w:lastRow="0" w:firstColumn="1" w:lastColumn="0" w:noHBand="0" w:noVBand="0"/>
      </w:tblPr>
      <w:tblGrid>
        <w:gridCol w:w="3379"/>
        <w:gridCol w:w="2981"/>
        <w:gridCol w:w="3107"/>
      </w:tblGrid>
      <w:tr w:rsidR="001333B2" w:rsidRPr="00AD67C2" w14:paraId="02415725" w14:textId="77777777" w:rsidTr="0064152E">
        <w:tc>
          <w:tcPr>
            <w:tcW w:w="4887" w:type="dxa"/>
            <w:tcBorders>
              <w:bottom w:val="single" w:sz="4" w:space="0" w:color="auto"/>
            </w:tcBorders>
          </w:tcPr>
          <w:p w14:paraId="5350E708" w14:textId="77777777" w:rsidR="001333B2" w:rsidRPr="00AD67C2" w:rsidRDefault="001333B2" w:rsidP="001333B2">
            <w:pPr>
              <w:suppressAutoHyphens w:val="0"/>
              <w:jc w:val="both"/>
              <w:rPr>
                <w:rFonts w:ascii="Garamond" w:eastAsia="Times New Roman" w:hAnsi="Garamond" w:cs="Times New Roman"/>
                <w:sz w:val="22"/>
                <w:szCs w:val="24"/>
              </w:rPr>
            </w:pPr>
          </w:p>
        </w:tc>
        <w:tc>
          <w:tcPr>
            <w:tcW w:w="4876" w:type="dxa"/>
          </w:tcPr>
          <w:p w14:paraId="61BBFFC3" w14:textId="77777777" w:rsidR="001333B2" w:rsidRPr="00AD67C2" w:rsidRDefault="001333B2" w:rsidP="001333B2">
            <w:pPr>
              <w:suppressAutoHyphens w:val="0"/>
              <w:jc w:val="both"/>
              <w:rPr>
                <w:rFonts w:ascii="Garamond" w:eastAsia="Times New Roman" w:hAnsi="Garamond" w:cs="Times New Roman"/>
                <w:sz w:val="22"/>
                <w:szCs w:val="24"/>
              </w:rPr>
            </w:pPr>
          </w:p>
        </w:tc>
        <w:tc>
          <w:tcPr>
            <w:tcW w:w="4917" w:type="dxa"/>
            <w:tcBorders>
              <w:bottom w:val="single" w:sz="4" w:space="0" w:color="auto"/>
            </w:tcBorders>
          </w:tcPr>
          <w:p w14:paraId="044FBE3A" w14:textId="77777777" w:rsidR="001333B2" w:rsidRPr="00AD67C2" w:rsidRDefault="001333B2" w:rsidP="001333B2">
            <w:pPr>
              <w:suppressAutoHyphens w:val="0"/>
              <w:jc w:val="both"/>
              <w:rPr>
                <w:rFonts w:ascii="Garamond" w:eastAsia="Times New Roman" w:hAnsi="Garamond" w:cs="Times New Roman"/>
                <w:sz w:val="22"/>
                <w:szCs w:val="24"/>
              </w:rPr>
            </w:pPr>
          </w:p>
        </w:tc>
      </w:tr>
      <w:tr w:rsidR="001333B2" w:rsidRPr="00AD67C2" w14:paraId="4FD332B9" w14:textId="77777777" w:rsidTr="0064152E">
        <w:tc>
          <w:tcPr>
            <w:tcW w:w="4887" w:type="dxa"/>
            <w:tcBorders>
              <w:top w:val="single" w:sz="4" w:space="0" w:color="auto"/>
            </w:tcBorders>
          </w:tcPr>
          <w:p w14:paraId="1FB8D007" w14:textId="77777777" w:rsidR="001333B2" w:rsidRPr="00AD67C2" w:rsidRDefault="001333B2" w:rsidP="001333B2">
            <w:pPr>
              <w:suppressAutoHyphens w:val="0"/>
              <w:jc w:val="center"/>
              <w:rPr>
                <w:rFonts w:ascii="Garamond" w:eastAsia="Times New Roman" w:hAnsi="Garamond" w:cs="Times New Roman"/>
                <w:sz w:val="22"/>
                <w:szCs w:val="24"/>
              </w:rPr>
            </w:pPr>
            <w:r w:rsidRPr="00AD67C2">
              <w:rPr>
                <w:rFonts w:ascii="Garamond" w:eastAsia="Times New Roman" w:hAnsi="Garamond" w:cs="Times New Roman"/>
                <w:i/>
                <w:sz w:val="22"/>
                <w:szCs w:val="24"/>
              </w:rPr>
              <w:t>(должность)</w:t>
            </w:r>
          </w:p>
        </w:tc>
        <w:tc>
          <w:tcPr>
            <w:tcW w:w="4876" w:type="dxa"/>
          </w:tcPr>
          <w:p w14:paraId="10116F1F" w14:textId="77777777" w:rsidR="001333B2" w:rsidRPr="00AD67C2" w:rsidRDefault="001333B2" w:rsidP="001333B2">
            <w:pPr>
              <w:suppressAutoHyphens w:val="0"/>
              <w:jc w:val="both"/>
              <w:rPr>
                <w:rFonts w:ascii="Garamond" w:eastAsia="Times New Roman" w:hAnsi="Garamond" w:cs="Times New Roman"/>
                <w:sz w:val="22"/>
                <w:szCs w:val="24"/>
              </w:rPr>
            </w:pPr>
          </w:p>
        </w:tc>
        <w:tc>
          <w:tcPr>
            <w:tcW w:w="4917" w:type="dxa"/>
            <w:tcBorders>
              <w:top w:val="single" w:sz="4" w:space="0" w:color="auto"/>
            </w:tcBorders>
          </w:tcPr>
          <w:p w14:paraId="07E0A2D3" w14:textId="77777777" w:rsidR="001333B2" w:rsidRPr="00AD67C2" w:rsidRDefault="001333B2" w:rsidP="001333B2">
            <w:pPr>
              <w:suppressAutoHyphens w:val="0"/>
              <w:jc w:val="center"/>
              <w:rPr>
                <w:rFonts w:ascii="Garamond" w:eastAsia="Times New Roman" w:hAnsi="Garamond" w:cs="Times New Roman"/>
                <w:sz w:val="22"/>
                <w:szCs w:val="24"/>
              </w:rPr>
            </w:pPr>
            <w:r w:rsidRPr="00AD67C2">
              <w:rPr>
                <w:rFonts w:ascii="Garamond" w:eastAsia="Times New Roman" w:hAnsi="Garamond" w:cs="Times New Roman"/>
                <w:i/>
                <w:sz w:val="22"/>
                <w:szCs w:val="24"/>
              </w:rPr>
              <w:t>(Ф. И. О.)</w:t>
            </w:r>
          </w:p>
        </w:tc>
      </w:tr>
    </w:tbl>
    <w:p w14:paraId="744DB447" w14:textId="77777777" w:rsidR="001333B2" w:rsidRPr="00AD67C2" w:rsidRDefault="001333B2" w:rsidP="001333B2">
      <w:pPr>
        <w:widowControl w:val="0"/>
        <w:tabs>
          <w:tab w:val="left" w:pos="1077"/>
        </w:tabs>
        <w:suppressAutoHyphens w:val="0"/>
        <w:spacing w:before="120" w:after="120"/>
        <w:ind w:firstLine="601"/>
        <w:jc w:val="both"/>
        <w:rPr>
          <w:rFonts w:ascii="Garamond" w:eastAsia="Calibri" w:hAnsi="Garamond" w:cs="Times New Roman"/>
          <w:bCs/>
          <w:sz w:val="22"/>
          <w:szCs w:val="22"/>
          <w:lang w:eastAsia="en-US"/>
        </w:rPr>
      </w:pPr>
      <w:r w:rsidRPr="00AD67C2">
        <w:rPr>
          <w:rFonts w:ascii="Garamond" w:eastAsia="Calibri" w:hAnsi="Garamond" w:cs="Times New Roman"/>
          <w:bCs/>
          <w:sz w:val="22"/>
          <w:szCs w:val="22"/>
          <w:lang w:eastAsia="en-US"/>
        </w:rPr>
        <w:br w:type="page"/>
      </w:r>
    </w:p>
    <w:p w14:paraId="6409F629" w14:textId="77777777" w:rsidR="001333B2" w:rsidRPr="00AD67C2" w:rsidRDefault="001333B2" w:rsidP="001333B2">
      <w:pPr>
        <w:widowControl w:val="0"/>
        <w:suppressAutoHyphens w:val="0"/>
        <w:jc w:val="center"/>
        <w:outlineLvl w:val="0"/>
        <w:rPr>
          <w:rFonts w:ascii="Garamond" w:eastAsia="Times New Roman" w:hAnsi="Garamond" w:cs="Arial"/>
          <w:b/>
          <w:bCs/>
          <w:szCs w:val="22"/>
        </w:rPr>
      </w:pPr>
      <w:r w:rsidRPr="00AD67C2">
        <w:rPr>
          <w:rFonts w:ascii="Garamond" w:eastAsia="Times New Roman" w:hAnsi="Garamond" w:cs="Arial"/>
          <w:b/>
          <w:bCs/>
          <w:sz w:val="22"/>
          <w:szCs w:val="22"/>
        </w:rPr>
        <w:lastRenderedPageBreak/>
        <w:t>Форма 4 (пример заполнения заявления)</w:t>
      </w:r>
    </w:p>
    <w:p w14:paraId="6D357229" w14:textId="77777777" w:rsidR="001333B2" w:rsidRPr="00AD67C2" w:rsidRDefault="001333B2" w:rsidP="001333B2">
      <w:pPr>
        <w:suppressAutoHyphens w:val="0"/>
        <w:jc w:val="both"/>
        <w:rPr>
          <w:rFonts w:ascii="Garamond" w:eastAsia="Times New Roman" w:hAnsi="Garamond" w:cs="Times New Roman"/>
          <w:sz w:val="22"/>
          <w:szCs w:val="24"/>
        </w:rPr>
      </w:pPr>
    </w:p>
    <w:p w14:paraId="366984FC" w14:textId="77777777" w:rsidR="001333B2" w:rsidRPr="00AD67C2" w:rsidRDefault="001333B2" w:rsidP="001333B2">
      <w:pPr>
        <w:suppressAutoHyphens w:val="0"/>
        <w:jc w:val="both"/>
        <w:rPr>
          <w:rFonts w:ascii="Garamond" w:eastAsia="Times New Roman" w:hAnsi="Garamond" w:cs="Times New Roman"/>
          <w:sz w:val="22"/>
          <w:szCs w:val="24"/>
        </w:rPr>
      </w:pPr>
      <w:r w:rsidRPr="00AD67C2">
        <w:rPr>
          <w:rFonts w:ascii="Garamond" w:eastAsia="Times New Roman" w:hAnsi="Garamond" w:cs="Times New Roman"/>
          <w:sz w:val="22"/>
          <w:szCs w:val="24"/>
        </w:rPr>
        <w:t>(на бланке заявителя)</w:t>
      </w:r>
    </w:p>
    <w:p w14:paraId="091F7537" w14:textId="77777777" w:rsidR="001333B2" w:rsidRPr="00AD67C2" w:rsidRDefault="001333B2" w:rsidP="001333B2">
      <w:pPr>
        <w:suppressAutoHyphens w:val="0"/>
        <w:jc w:val="right"/>
        <w:rPr>
          <w:rFonts w:ascii="Garamond" w:eastAsia="Times New Roman" w:hAnsi="Garamond" w:cs="Times New Roman"/>
          <w:b/>
          <w:sz w:val="22"/>
          <w:szCs w:val="24"/>
        </w:rPr>
      </w:pPr>
      <w:r w:rsidRPr="00AD67C2">
        <w:rPr>
          <w:rFonts w:ascii="Garamond" w:eastAsia="Times New Roman" w:hAnsi="Garamond" w:cs="Times New Roman"/>
          <w:b/>
          <w:sz w:val="22"/>
          <w:szCs w:val="24"/>
        </w:rPr>
        <w:t>Председателю Правления</w:t>
      </w:r>
    </w:p>
    <w:p w14:paraId="16E08544" w14:textId="77777777" w:rsidR="001333B2" w:rsidRPr="00AD67C2" w:rsidRDefault="001333B2" w:rsidP="001333B2">
      <w:pPr>
        <w:suppressAutoHyphens w:val="0"/>
        <w:jc w:val="right"/>
        <w:rPr>
          <w:rFonts w:ascii="Garamond" w:eastAsia="Times New Roman" w:hAnsi="Garamond" w:cs="Times New Roman"/>
          <w:b/>
          <w:sz w:val="22"/>
          <w:szCs w:val="24"/>
        </w:rPr>
      </w:pPr>
      <w:r w:rsidRPr="00AD67C2">
        <w:rPr>
          <w:rFonts w:ascii="Garamond" w:eastAsia="Times New Roman" w:hAnsi="Garamond" w:cs="Times New Roman"/>
          <w:b/>
          <w:sz w:val="22"/>
          <w:szCs w:val="24"/>
        </w:rPr>
        <w:t>АО «АТС»</w:t>
      </w:r>
    </w:p>
    <w:p w14:paraId="3E6543B7" w14:textId="77777777" w:rsidR="001333B2" w:rsidRPr="00AD67C2" w:rsidRDefault="001333B2" w:rsidP="001333B2">
      <w:pPr>
        <w:suppressAutoHyphens w:val="0"/>
        <w:jc w:val="both"/>
        <w:rPr>
          <w:rFonts w:ascii="Garamond" w:eastAsia="Times New Roman" w:hAnsi="Garamond" w:cs="Times New Roman"/>
          <w:sz w:val="22"/>
          <w:szCs w:val="24"/>
        </w:rPr>
      </w:pPr>
      <w:r w:rsidRPr="00AD67C2">
        <w:rPr>
          <w:rFonts w:ascii="Garamond" w:eastAsia="Times New Roman" w:hAnsi="Garamond" w:cs="Times New Roman"/>
          <w:sz w:val="22"/>
          <w:szCs w:val="24"/>
        </w:rPr>
        <w:t>№ ____________________</w:t>
      </w:r>
    </w:p>
    <w:p w14:paraId="4DE39E4B" w14:textId="77777777" w:rsidR="001333B2" w:rsidRPr="00AD67C2" w:rsidRDefault="001333B2" w:rsidP="001333B2">
      <w:pPr>
        <w:suppressAutoHyphens w:val="0"/>
        <w:jc w:val="both"/>
        <w:rPr>
          <w:rFonts w:ascii="Garamond" w:eastAsia="Times New Roman" w:hAnsi="Garamond" w:cs="Times New Roman"/>
          <w:sz w:val="22"/>
          <w:szCs w:val="24"/>
        </w:rPr>
      </w:pPr>
      <w:r w:rsidRPr="00AD67C2">
        <w:rPr>
          <w:rFonts w:ascii="Garamond" w:eastAsia="Times New Roman" w:hAnsi="Garamond" w:cs="Times New Roman"/>
          <w:sz w:val="22"/>
          <w:szCs w:val="24"/>
        </w:rPr>
        <w:t>«___» ___________20 ___ г.</w:t>
      </w:r>
    </w:p>
    <w:p w14:paraId="303C82C8" w14:textId="77777777" w:rsidR="001333B2" w:rsidRPr="00AD67C2" w:rsidRDefault="001333B2" w:rsidP="001333B2">
      <w:pPr>
        <w:suppressAutoHyphens w:val="0"/>
        <w:jc w:val="both"/>
        <w:rPr>
          <w:rFonts w:ascii="Garamond" w:eastAsia="Times New Roman" w:hAnsi="Garamond" w:cs="Times New Roman"/>
          <w:sz w:val="16"/>
          <w:szCs w:val="24"/>
        </w:rPr>
      </w:pPr>
    </w:p>
    <w:p w14:paraId="1C71FCD6" w14:textId="77777777" w:rsidR="001333B2" w:rsidRPr="00AD67C2" w:rsidRDefault="001333B2" w:rsidP="001333B2">
      <w:pPr>
        <w:suppressAutoHyphens w:val="0"/>
        <w:jc w:val="center"/>
        <w:rPr>
          <w:rFonts w:ascii="Garamond" w:eastAsia="Times New Roman" w:hAnsi="Garamond" w:cs="Times New Roman"/>
          <w:b/>
          <w:sz w:val="22"/>
          <w:szCs w:val="24"/>
        </w:rPr>
      </w:pPr>
      <w:r w:rsidRPr="00AD67C2">
        <w:rPr>
          <w:rFonts w:ascii="Garamond" w:eastAsia="Times New Roman" w:hAnsi="Garamond" w:cs="Times New Roman"/>
          <w:b/>
          <w:sz w:val="22"/>
          <w:szCs w:val="24"/>
        </w:rPr>
        <w:t>ЗАЯВЛЕНИЕ</w:t>
      </w:r>
    </w:p>
    <w:p w14:paraId="5BFD70D6" w14:textId="77777777" w:rsidR="001333B2" w:rsidRPr="00AD67C2" w:rsidRDefault="001333B2" w:rsidP="001333B2">
      <w:pPr>
        <w:suppressAutoHyphens w:val="0"/>
        <w:jc w:val="center"/>
        <w:rPr>
          <w:rFonts w:ascii="Garamond" w:eastAsia="Times New Roman" w:hAnsi="Garamond" w:cs="Times New Roman"/>
          <w:b/>
          <w:sz w:val="22"/>
          <w:szCs w:val="24"/>
        </w:rPr>
      </w:pPr>
    </w:p>
    <w:p w14:paraId="24DEAC71" w14:textId="77777777" w:rsidR="001333B2" w:rsidRPr="00AD67C2" w:rsidRDefault="001333B2" w:rsidP="001333B2">
      <w:pPr>
        <w:suppressAutoHyphens w:val="0"/>
        <w:autoSpaceDE w:val="0"/>
        <w:autoSpaceDN w:val="0"/>
        <w:spacing w:after="160" w:line="259" w:lineRule="auto"/>
        <w:ind w:firstLine="357"/>
        <w:jc w:val="center"/>
        <w:rPr>
          <w:rFonts w:ascii="Garamond" w:eastAsia="Calibri" w:hAnsi="Garamond" w:cs="Times New Roman"/>
          <w:b/>
          <w:bCs/>
          <w:sz w:val="22"/>
          <w:szCs w:val="22"/>
          <w:lang w:eastAsia="en-US"/>
        </w:rPr>
      </w:pPr>
      <w:r w:rsidRPr="00AD67C2">
        <w:rPr>
          <w:rFonts w:ascii="Garamond" w:eastAsia="Calibri" w:hAnsi="Garamond" w:cs="Times New Roman"/>
          <w:b/>
          <w:sz w:val="22"/>
          <w:szCs w:val="22"/>
          <w:lang w:eastAsia="en-US"/>
        </w:rPr>
        <w:t>о проведении повторных испытаний</w:t>
      </w:r>
    </w:p>
    <w:p w14:paraId="0D8A37B5" w14:textId="77777777" w:rsidR="001333B2" w:rsidRPr="00AD67C2" w:rsidRDefault="001333B2" w:rsidP="001333B2">
      <w:pPr>
        <w:suppressAutoHyphens w:val="0"/>
        <w:autoSpaceDE w:val="0"/>
        <w:autoSpaceDN w:val="0"/>
        <w:spacing w:after="160" w:line="259" w:lineRule="auto"/>
        <w:ind w:firstLine="540"/>
        <w:jc w:val="both"/>
        <w:rPr>
          <w:rFonts w:ascii="Garamond" w:eastAsia="Calibri" w:hAnsi="Garamond" w:cs="Times New Roman"/>
          <w:spacing w:val="-2"/>
          <w:sz w:val="22"/>
          <w:szCs w:val="22"/>
          <w:lang w:eastAsia="en-US"/>
        </w:rPr>
      </w:pPr>
    </w:p>
    <w:p w14:paraId="0A87C744" w14:textId="77777777" w:rsidR="001333B2" w:rsidRPr="00AD67C2" w:rsidRDefault="001333B2" w:rsidP="001333B2">
      <w:pPr>
        <w:suppressAutoHyphens w:val="0"/>
        <w:autoSpaceDE w:val="0"/>
        <w:autoSpaceDN w:val="0"/>
        <w:spacing w:after="160" w:line="259" w:lineRule="auto"/>
        <w:ind w:firstLine="540"/>
        <w:jc w:val="both"/>
        <w:rPr>
          <w:rFonts w:ascii="Garamond" w:eastAsia="Calibri" w:hAnsi="Garamond" w:cs="Times New Roman"/>
          <w:spacing w:val="-2"/>
          <w:sz w:val="22"/>
          <w:szCs w:val="22"/>
          <w:lang w:eastAsia="en-US"/>
        </w:rPr>
      </w:pPr>
    </w:p>
    <w:p w14:paraId="15F42B23" w14:textId="77777777" w:rsidR="001333B2" w:rsidRPr="00AD67C2" w:rsidRDefault="001333B2" w:rsidP="001333B2">
      <w:pPr>
        <w:suppressAutoHyphens w:val="0"/>
        <w:autoSpaceDE w:val="0"/>
        <w:autoSpaceDN w:val="0"/>
        <w:spacing w:after="160" w:line="259" w:lineRule="auto"/>
        <w:ind w:firstLine="540"/>
        <w:jc w:val="both"/>
        <w:rPr>
          <w:rFonts w:ascii="Garamond" w:eastAsia="Calibri" w:hAnsi="Garamond" w:cs="Times New Roman"/>
          <w:spacing w:val="-2"/>
          <w:sz w:val="22"/>
          <w:szCs w:val="22"/>
          <w:lang w:eastAsia="en-US"/>
        </w:rPr>
      </w:pPr>
      <w:r w:rsidRPr="00AD67C2">
        <w:rPr>
          <w:rFonts w:ascii="Garamond" w:eastAsia="Calibri" w:hAnsi="Garamond" w:cs="Times New Roman"/>
          <w:spacing w:val="-2"/>
          <w:sz w:val="22"/>
          <w:szCs w:val="22"/>
          <w:lang w:eastAsia="en-US"/>
        </w:rPr>
        <w:t>В связи с устранением несоответствий, выявленных в ходе проведения испытаний 15.03.2024 г. по подтверждению соответствия системы учета электроэнергии техническим требованиям оптового рынка электроэнергии (мощности) по объекту регулирования</w:t>
      </w:r>
    </w:p>
    <w:tbl>
      <w:tblPr>
        <w:tblW w:w="0" w:type="auto"/>
        <w:tblInd w:w="108" w:type="dxa"/>
        <w:tblCellMar>
          <w:left w:w="0" w:type="dxa"/>
          <w:right w:w="0" w:type="dxa"/>
        </w:tblCellMar>
        <w:tblLook w:val="04A0" w:firstRow="1" w:lastRow="0" w:firstColumn="1" w:lastColumn="0" w:noHBand="0" w:noVBand="1"/>
      </w:tblPr>
      <w:tblGrid>
        <w:gridCol w:w="9359"/>
      </w:tblGrid>
      <w:tr w:rsidR="001333B2" w:rsidRPr="00AD67C2" w14:paraId="2FDA37E6" w14:textId="77777777" w:rsidTr="0064152E">
        <w:tc>
          <w:tcPr>
            <w:tcW w:w="14601" w:type="dxa"/>
            <w:tcBorders>
              <w:top w:val="nil"/>
              <w:left w:val="nil"/>
              <w:bottom w:val="single" w:sz="8" w:space="0" w:color="auto"/>
              <w:right w:val="nil"/>
            </w:tcBorders>
            <w:tcMar>
              <w:top w:w="0" w:type="dxa"/>
              <w:left w:w="108" w:type="dxa"/>
              <w:bottom w:w="0" w:type="dxa"/>
              <w:right w:w="108" w:type="dxa"/>
            </w:tcMar>
            <w:hideMark/>
          </w:tcPr>
          <w:p w14:paraId="5327905E" w14:textId="77777777" w:rsidR="001333B2" w:rsidRPr="00AD67C2" w:rsidRDefault="001333B2" w:rsidP="001333B2">
            <w:pPr>
              <w:suppressAutoHyphens w:val="0"/>
              <w:autoSpaceDE w:val="0"/>
              <w:autoSpaceDN w:val="0"/>
              <w:spacing w:line="257" w:lineRule="auto"/>
              <w:ind w:firstLine="357"/>
              <w:jc w:val="center"/>
              <w:rPr>
                <w:rFonts w:ascii="Garamond" w:eastAsia="Calibri" w:hAnsi="Garamond" w:cs="Times New Roman"/>
                <w:lang w:eastAsia="en-US"/>
              </w:rPr>
            </w:pPr>
            <w:r w:rsidRPr="00AD67C2">
              <w:rPr>
                <w:rFonts w:ascii="Garamond" w:eastAsia="Times New Roman" w:hAnsi="Garamond" w:cs="Times New Roman"/>
                <w:sz w:val="22"/>
                <w:szCs w:val="24"/>
              </w:rPr>
              <w:t>Объект регулирования АО «Металл завод» (OR999999)</w:t>
            </w:r>
            <w:r w:rsidRPr="00AD67C2">
              <w:rPr>
                <w:rFonts w:ascii="Garamond" w:eastAsia="Calibri" w:hAnsi="Garamond" w:cs="Times New Roman"/>
                <w:sz w:val="24"/>
                <w:szCs w:val="22"/>
                <w:lang w:eastAsia="en-US"/>
              </w:rPr>
              <w:t>,</w:t>
            </w:r>
          </w:p>
        </w:tc>
      </w:tr>
    </w:tbl>
    <w:p w14:paraId="619F2C8C" w14:textId="77777777" w:rsidR="001333B2" w:rsidRPr="00AD67C2" w:rsidRDefault="001333B2" w:rsidP="001333B2">
      <w:pPr>
        <w:suppressAutoHyphens w:val="0"/>
        <w:autoSpaceDE w:val="0"/>
        <w:autoSpaceDN w:val="0"/>
        <w:spacing w:after="160" w:line="259" w:lineRule="auto"/>
        <w:ind w:firstLine="357"/>
        <w:jc w:val="center"/>
        <w:rPr>
          <w:rFonts w:ascii="Garamond" w:eastAsia="Calibri" w:hAnsi="Garamond"/>
          <w:sz w:val="18"/>
          <w:szCs w:val="18"/>
        </w:rPr>
      </w:pPr>
      <w:r w:rsidRPr="00AD67C2">
        <w:rPr>
          <w:rFonts w:ascii="Garamond" w:eastAsia="Calibri" w:hAnsi="Garamond" w:cs="Times New Roman"/>
          <w:sz w:val="18"/>
          <w:szCs w:val="18"/>
          <w:lang w:eastAsia="en-US"/>
        </w:rPr>
        <w:t>(</w:t>
      </w:r>
      <w:r w:rsidRPr="00AD67C2">
        <w:rPr>
          <w:rFonts w:ascii="Garamond" w:eastAsia="Calibri" w:hAnsi="Garamond" w:cs="Times New Roman"/>
          <w:i/>
          <w:iCs/>
          <w:sz w:val="18"/>
          <w:szCs w:val="18"/>
          <w:lang w:eastAsia="en-US"/>
        </w:rPr>
        <w:t>наименование, буквенный код</w:t>
      </w:r>
      <w:r w:rsidRPr="00AD67C2">
        <w:rPr>
          <w:rFonts w:ascii="Garamond" w:eastAsia="Calibri" w:hAnsi="Garamond" w:cs="Times New Roman"/>
          <w:sz w:val="18"/>
          <w:szCs w:val="18"/>
          <w:lang w:eastAsia="en-US"/>
        </w:rPr>
        <w:t>)</w:t>
      </w:r>
    </w:p>
    <w:p w14:paraId="327CE754" w14:textId="77777777" w:rsidR="001333B2" w:rsidRPr="00AD67C2" w:rsidRDefault="001333B2" w:rsidP="002C48F6">
      <w:pPr>
        <w:suppressAutoHyphens w:val="0"/>
        <w:autoSpaceDE w:val="0"/>
        <w:autoSpaceDN w:val="0"/>
        <w:spacing w:after="160" w:line="259" w:lineRule="auto"/>
        <w:jc w:val="both"/>
        <w:rPr>
          <w:rFonts w:ascii="Garamond" w:hAnsi="Garamond" w:cs="Times New Roman"/>
          <w:spacing w:val="-2"/>
          <w:sz w:val="22"/>
          <w:szCs w:val="22"/>
          <w:lang w:eastAsia="en-US"/>
        </w:rPr>
      </w:pPr>
      <w:r w:rsidRPr="00AD67C2">
        <w:rPr>
          <w:rFonts w:ascii="Garamond" w:eastAsia="Calibri" w:hAnsi="Garamond" w:cs="Times New Roman"/>
          <w:spacing w:val="-2"/>
          <w:sz w:val="22"/>
          <w:szCs w:val="22"/>
          <w:lang w:eastAsia="en-US"/>
        </w:rPr>
        <w:t>прошу назначить дату повторных испытаний.</w:t>
      </w:r>
    </w:p>
    <w:p w14:paraId="7CC34DA4" w14:textId="77777777" w:rsidR="001333B2" w:rsidRPr="00AD67C2" w:rsidRDefault="001333B2" w:rsidP="001333B2">
      <w:pPr>
        <w:suppressAutoHyphens w:val="0"/>
        <w:autoSpaceDE w:val="0"/>
        <w:autoSpaceDN w:val="0"/>
        <w:spacing w:after="160" w:line="259" w:lineRule="auto"/>
        <w:ind w:firstLine="357"/>
        <w:jc w:val="center"/>
        <w:rPr>
          <w:rFonts w:ascii="Garamond" w:eastAsia="Calibri" w:hAnsi="Garamond" w:cs="Times New Roman"/>
          <w:i/>
          <w:sz w:val="18"/>
          <w:szCs w:val="18"/>
          <w:lang w:eastAsia="en-US"/>
        </w:rPr>
      </w:pPr>
    </w:p>
    <w:p w14:paraId="6B867B65" w14:textId="77777777" w:rsidR="001333B2" w:rsidRPr="00AD67C2" w:rsidRDefault="001333B2" w:rsidP="001333B2">
      <w:pPr>
        <w:suppressAutoHyphens w:val="0"/>
        <w:autoSpaceDE w:val="0"/>
        <w:autoSpaceDN w:val="0"/>
        <w:spacing w:after="160" w:line="259" w:lineRule="auto"/>
        <w:ind w:firstLine="357"/>
        <w:jc w:val="center"/>
        <w:rPr>
          <w:rFonts w:ascii="Garamond" w:eastAsia="Calibri" w:hAnsi="Garamond" w:cs="Times New Roman"/>
          <w:i/>
          <w:sz w:val="18"/>
          <w:szCs w:val="18"/>
          <w:lang w:eastAsia="en-US"/>
        </w:rPr>
      </w:pPr>
    </w:p>
    <w:tbl>
      <w:tblPr>
        <w:tblW w:w="0" w:type="auto"/>
        <w:tblLook w:val="00A0" w:firstRow="1" w:lastRow="0" w:firstColumn="1" w:lastColumn="0" w:noHBand="0" w:noVBand="0"/>
      </w:tblPr>
      <w:tblGrid>
        <w:gridCol w:w="3399"/>
        <w:gridCol w:w="2878"/>
        <w:gridCol w:w="3190"/>
      </w:tblGrid>
      <w:tr w:rsidR="001333B2" w:rsidRPr="00AD67C2" w14:paraId="38A14277" w14:textId="77777777" w:rsidTr="0064152E">
        <w:tc>
          <w:tcPr>
            <w:tcW w:w="4887" w:type="dxa"/>
            <w:tcBorders>
              <w:bottom w:val="single" w:sz="4" w:space="0" w:color="auto"/>
            </w:tcBorders>
          </w:tcPr>
          <w:p w14:paraId="2138C469" w14:textId="77777777" w:rsidR="001333B2" w:rsidRPr="00AD67C2" w:rsidRDefault="001333B2" w:rsidP="001333B2">
            <w:pPr>
              <w:suppressAutoHyphens w:val="0"/>
              <w:jc w:val="both"/>
              <w:rPr>
                <w:rFonts w:ascii="Garamond" w:eastAsia="Times New Roman" w:hAnsi="Garamond" w:cs="Times New Roman"/>
                <w:sz w:val="22"/>
                <w:szCs w:val="24"/>
              </w:rPr>
            </w:pPr>
            <w:r w:rsidRPr="00AD67C2">
              <w:rPr>
                <w:rFonts w:ascii="Garamond" w:eastAsia="Times New Roman" w:hAnsi="Garamond" w:cs="Times New Roman"/>
                <w:sz w:val="22"/>
                <w:szCs w:val="24"/>
              </w:rPr>
              <w:t xml:space="preserve">        Генеральный директор</w:t>
            </w:r>
          </w:p>
        </w:tc>
        <w:tc>
          <w:tcPr>
            <w:tcW w:w="4876" w:type="dxa"/>
          </w:tcPr>
          <w:p w14:paraId="19D3A738" w14:textId="77777777" w:rsidR="001333B2" w:rsidRPr="00AD67C2" w:rsidRDefault="001333B2" w:rsidP="001333B2">
            <w:pPr>
              <w:suppressAutoHyphens w:val="0"/>
              <w:jc w:val="both"/>
              <w:rPr>
                <w:rFonts w:ascii="Garamond" w:eastAsia="Times New Roman" w:hAnsi="Garamond" w:cs="Times New Roman"/>
                <w:sz w:val="22"/>
                <w:szCs w:val="24"/>
              </w:rPr>
            </w:pPr>
          </w:p>
        </w:tc>
        <w:tc>
          <w:tcPr>
            <w:tcW w:w="4917" w:type="dxa"/>
            <w:tcBorders>
              <w:bottom w:val="single" w:sz="4" w:space="0" w:color="auto"/>
            </w:tcBorders>
          </w:tcPr>
          <w:p w14:paraId="67C2D639" w14:textId="3862059C" w:rsidR="001333B2" w:rsidRPr="00AD67C2" w:rsidRDefault="001333B2" w:rsidP="001333B2">
            <w:pPr>
              <w:suppressAutoHyphens w:val="0"/>
              <w:jc w:val="both"/>
              <w:rPr>
                <w:rFonts w:ascii="Garamond" w:eastAsia="Times New Roman" w:hAnsi="Garamond" w:cs="Times New Roman"/>
                <w:sz w:val="22"/>
                <w:szCs w:val="24"/>
              </w:rPr>
            </w:pPr>
            <w:r w:rsidRPr="00AD67C2">
              <w:rPr>
                <w:rFonts w:ascii="Garamond" w:eastAsia="Times New Roman" w:hAnsi="Garamond" w:cs="Times New Roman"/>
                <w:sz w:val="22"/>
                <w:szCs w:val="24"/>
              </w:rPr>
              <w:t xml:space="preserve">                  Иванов И.</w:t>
            </w:r>
            <w:r w:rsidR="002C48F6">
              <w:rPr>
                <w:rFonts w:ascii="Garamond" w:eastAsia="Times New Roman" w:hAnsi="Garamond" w:cs="Times New Roman"/>
                <w:sz w:val="22"/>
                <w:szCs w:val="24"/>
              </w:rPr>
              <w:t xml:space="preserve"> </w:t>
            </w:r>
            <w:r w:rsidRPr="00AD67C2">
              <w:rPr>
                <w:rFonts w:ascii="Garamond" w:eastAsia="Times New Roman" w:hAnsi="Garamond" w:cs="Times New Roman"/>
                <w:sz w:val="22"/>
                <w:szCs w:val="24"/>
              </w:rPr>
              <w:t>И.</w:t>
            </w:r>
          </w:p>
        </w:tc>
      </w:tr>
      <w:tr w:rsidR="001333B2" w:rsidRPr="00AD67C2" w14:paraId="6FEE3A2F" w14:textId="77777777" w:rsidTr="0064152E">
        <w:tc>
          <w:tcPr>
            <w:tcW w:w="4887" w:type="dxa"/>
            <w:tcBorders>
              <w:top w:val="single" w:sz="4" w:space="0" w:color="auto"/>
            </w:tcBorders>
          </w:tcPr>
          <w:p w14:paraId="1D7FAF71" w14:textId="77777777" w:rsidR="001333B2" w:rsidRPr="00AD67C2" w:rsidRDefault="001333B2" w:rsidP="001333B2">
            <w:pPr>
              <w:suppressAutoHyphens w:val="0"/>
              <w:jc w:val="center"/>
              <w:rPr>
                <w:rFonts w:ascii="Garamond" w:eastAsia="Times New Roman" w:hAnsi="Garamond" w:cs="Times New Roman"/>
                <w:sz w:val="22"/>
                <w:szCs w:val="24"/>
              </w:rPr>
            </w:pPr>
            <w:r w:rsidRPr="00AD67C2">
              <w:rPr>
                <w:rFonts w:ascii="Garamond" w:eastAsia="Times New Roman" w:hAnsi="Garamond" w:cs="Times New Roman"/>
                <w:i/>
                <w:sz w:val="22"/>
                <w:szCs w:val="24"/>
              </w:rPr>
              <w:t>(должность)</w:t>
            </w:r>
          </w:p>
        </w:tc>
        <w:tc>
          <w:tcPr>
            <w:tcW w:w="4876" w:type="dxa"/>
          </w:tcPr>
          <w:p w14:paraId="467A3E38" w14:textId="77777777" w:rsidR="001333B2" w:rsidRPr="00AD67C2" w:rsidRDefault="001333B2" w:rsidP="001333B2">
            <w:pPr>
              <w:suppressAutoHyphens w:val="0"/>
              <w:jc w:val="both"/>
              <w:rPr>
                <w:rFonts w:ascii="Garamond" w:eastAsia="Times New Roman" w:hAnsi="Garamond" w:cs="Times New Roman"/>
                <w:sz w:val="22"/>
                <w:szCs w:val="24"/>
              </w:rPr>
            </w:pPr>
          </w:p>
        </w:tc>
        <w:tc>
          <w:tcPr>
            <w:tcW w:w="4917" w:type="dxa"/>
            <w:tcBorders>
              <w:top w:val="single" w:sz="4" w:space="0" w:color="auto"/>
            </w:tcBorders>
          </w:tcPr>
          <w:p w14:paraId="5AB1BEB6" w14:textId="77777777" w:rsidR="001333B2" w:rsidRPr="00AD67C2" w:rsidRDefault="001333B2" w:rsidP="001333B2">
            <w:pPr>
              <w:suppressAutoHyphens w:val="0"/>
              <w:jc w:val="center"/>
              <w:rPr>
                <w:rFonts w:ascii="Garamond" w:eastAsia="Times New Roman" w:hAnsi="Garamond" w:cs="Times New Roman"/>
                <w:sz w:val="22"/>
                <w:szCs w:val="24"/>
              </w:rPr>
            </w:pPr>
            <w:r w:rsidRPr="00AD67C2">
              <w:rPr>
                <w:rFonts w:ascii="Garamond" w:eastAsia="Times New Roman" w:hAnsi="Garamond" w:cs="Times New Roman"/>
                <w:i/>
                <w:sz w:val="22"/>
                <w:szCs w:val="24"/>
              </w:rPr>
              <w:t>(Ф. И. О.)</w:t>
            </w:r>
          </w:p>
        </w:tc>
      </w:tr>
    </w:tbl>
    <w:p w14:paraId="213B16C3" w14:textId="77777777" w:rsidR="001333B2" w:rsidRPr="00AD67C2" w:rsidRDefault="001333B2" w:rsidP="001333B2">
      <w:pPr>
        <w:widowControl w:val="0"/>
        <w:tabs>
          <w:tab w:val="left" w:pos="1077"/>
        </w:tabs>
        <w:suppressAutoHyphens w:val="0"/>
        <w:spacing w:before="120" w:after="120"/>
        <w:jc w:val="both"/>
        <w:rPr>
          <w:rFonts w:ascii="Garamond" w:eastAsia="Calibri" w:hAnsi="Garamond" w:cs="Times New Roman"/>
          <w:bCs/>
          <w:sz w:val="22"/>
          <w:szCs w:val="22"/>
          <w:lang w:eastAsia="en-US"/>
        </w:rPr>
      </w:pPr>
    </w:p>
    <w:p w14:paraId="72E4E9B7" w14:textId="77777777" w:rsidR="001333B2" w:rsidRPr="00AD67C2" w:rsidRDefault="001333B2" w:rsidP="001333B2">
      <w:pPr>
        <w:suppressAutoHyphens w:val="0"/>
        <w:spacing w:after="160" w:line="259" w:lineRule="auto"/>
        <w:ind w:firstLine="357"/>
        <w:jc w:val="both"/>
        <w:rPr>
          <w:rFonts w:ascii="Garamond" w:eastAsia="Calibri" w:hAnsi="Garamond" w:cs="Times New Roman"/>
          <w:bCs/>
          <w:sz w:val="22"/>
          <w:szCs w:val="22"/>
          <w:lang w:eastAsia="en-US"/>
        </w:rPr>
      </w:pPr>
      <w:r w:rsidRPr="00AD67C2">
        <w:rPr>
          <w:rFonts w:ascii="Times New Roman" w:eastAsia="Calibri" w:hAnsi="Times New Roman" w:cs="Times New Roman"/>
          <w:sz w:val="24"/>
          <w:szCs w:val="22"/>
          <w:lang w:eastAsia="en-US"/>
        </w:rPr>
        <w:br w:type="page"/>
      </w:r>
    </w:p>
    <w:p w14:paraId="52E6F822" w14:textId="77777777" w:rsidR="001333B2" w:rsidRPr="00AD67C2" w:rsidRDefault="001333B2" w:rsidP="001333B2">
      <w:pPr>
        <w:widowControl w:val="0"/>
        <w:tabs>
          <w:tab w:val="left" w:pos="1077"/>
        </w:tabs>
        <w:suppressAutoHyphens w:val="0"/>
        <w:spacing w:before="120" w:after="120"/>
        <w:ind w:firstLine="601"/>
        <w:jc w:val="both"/>
        <w:rPr>
          <w:rFonts w:ascii="Garamond" w:eastAsia="Calibri" w:hAnsi="Garamond" w:cs="Times New Roman"/>
          <w:bCs/>
          <w:sz w:val="22"/>
          <w:szCs w:val="22"/>
        </w:rPr>
        <w:sectPr w:rsidR="001333B2" w:rsidRPr="00AD67C2" w:rsidSect="0064152E">
          <w:pgSz w:w="11906" w:h="16838"/>
          <w:pgMar w:top="1134" w:right="851" w:bottom="1134" w:left="1588" w:header="709" w:footer="709" w:gutter="0"/>
          <w:cols w:space="708"/>
          <w:docGrid w:linePitch="360"/>
        </w:sectPr>
      </w:pPr>
    </w:p>
    <w:p w14:paraId="01CA0480" w14:textId="77777777" w:rsidR="001333B2" w:rsidRPr="00AD67C2" w:rsidRDefault="001333B2" w:rsidP="001333B2">
      <w:pPr>
        <w:keepNext/>
        <w:suppressAutoHyphens w:val="0"/>
        <w:ind w:left="2318"/>
        <w:jc w:val="right"/>
        <w:outlineLvl w:val="0"/>
        <w:rPr>
          <w:rFonts w:ascii="Garamond" w:eastAsia="Times New Roman" w:hAnsi="Garamond" w:cs="Arial"/>
          <w:b/>
          <w:bCs/>
          <w:sz w:val="22"/>
          <w:szCs w:val="22"/>
        </w:rPr>
      </w:pPr>
      <w:r w:rsidRPr="00AD67C2">
        <w:rPr>
          <w:rFonts w:ascii="Garamond" w:eastAsia="Times New Roman" w:hAnsi="Garamond" w:cs="Arial"/>
          <w:b/>
          <w:bCs/>
          <w:sz w:val="22"/>
          <w:szCs w:val="22"/>
        </w:rPr>
        <w:lastRenderedPageBreak/>
        <w:t>Форма 5</w:t>
      </w:r>
    </w:p>
    <w:p w14:paraId="3E1B554D" w14:textId="77777777" w:rsidR="001333B2" w:rsidRPr="00AD67C2" w:rsidRDefault="001333B2" w:rsidP="001333B2">
      <w:pPr>
        <w:widowControl w:val="0"/>
        <w:tabs>
          <w:tab w:val="left" w:pos="1077"/>
        </w:tabs>
        <w:suppressAutoHyphens w:val="0"/>
        <w:spacing w:before="120" w:after="120"/>
        <w:ind w:firstLine="601"/>
        <w:jc w:val="center"/>
        <w:rPr>
          <w:rFonts w:ascii="Garamond" w:eastAsia="Calibri" w:hAnsi="Garamond" w:cs="Times New Roman"/>
          <w:b/>
          <w:bCs/>
          <w:sz w:val="22"/>
          <w:szCs w:val="22"/>
          <w:lang w:eastAsia="en-US"/>
        </w:rPr>
      </w:pPr>
      <w:r w:rsidRPr="00AD67C2">
        <w:rPr>
          <w:rFonts w:ascii="Garamond" w:eastAsia="Calibri" w:hAnsi="Garamond" w:cs="Times New Roman"/>
          <w:b/>
          <w:bCs/>
          <w:sz w:val="22"/>
          <w:szCs w:val="22"/>
          <w:lang w:eastAsia="en-US"/>
        </w:rPr>
        <w:t>Расчет применимости методов контроля за исполнением обязательств (объема снижения потребления) к объекту регулирования</w:t>
      </w:r>
    </w:p>
    <w:p w14:paraId="39A44AA9" w14:textId="77777777" w:rsidR="001333B2" w:rsidRPr="00AD67C2" w:rsidRDefault="001333B2" w:rsidP="001333B2">
      <w:pPr>
        <w:widowControl w:val="0"/>
        <w:tabs>
          <w:tab w:val="left" w:pos="1077"/>
        </w:tabs>
        <w:suppressAutoHyphens w:val="0"/>
        <w:spacing w:before="120"/>
        <w:ind w:firstLine="601"/>
        <w:jc w:val="center"/>
        <w:rPr>
          <w:rFonts w:ascii="Garamond" w:eastAsia="Calibri" w:hAnsi="Garamond" w:cs="Times New Roman"/>
          <w:bCs/>
          <w:sz w:val="22"/>
          <w:szCs w:val="22"/>
          <w:lang w:eastAsia="en-US"/>
        </w:rPr>
      </w:pPr>
      <w:r w:rsidRPr="00AD67C2">
        <w:rPr>
          <w:rFonts w:ascii="Garamond" w:eastAsia="Calibri" w:hAnsi="Garamond" w:cs="Times New Roman"/>
          <w:bCs/>
          <w:sz w:val="22"/>
          <w:szCs w:val="22"/>
          <w:lang w:eastAsia="en-US"/>
        </w:rPr>
        <w:t>__________________________________________________________________________________</w:t>
      </w:r>
    </w:p>
    <w:p w14:paraId="6ED0FE26" w14:textId="77777777" w:rsidR="001333B2" w:rsidRPr="00AD67C2" w:rsidRDefault="001333B2" w:rsidP="001333B2">
      <w:pPr>
        <w:widowControl w:val="0"/>
        <w:tabs>
          <w:tab w:val="left" w:pos="1077"/>
        </w:tabs>
        <w:suppressAutoHyphens w:val="0"/>
        <w:spacing w:before="120" w:after="120"/>
        <w:ind w:firstLine="601"/>
        <w:jc w:val="center"/>
        <w:rPr>
          <w:rFonts w:ascii="Garamond" w:eastAsia="Calibri" w:hAnsi="Garamond" w:cs="Times New Roman"/>
          <w:bCs/>
          <w:i/>
          <w:sz w:val="22"/>
          <w:szCs w:val="22"/>
          <w:lang w:eastAsia="en-US"/>
        </w:rPr>
      </w:pPr>
      <w:r w:rsidRPr="00AD67C2">
        <w:rPr>
          <w:rFonts w:ascii="Garamond" w:eastAsia="Calibri" w:hAnsi="Garamond" w:cs="Times New Roman"/>
          <w:bCs/>
          <w:i/>
          <w:sz w:val="22"/>
          <w:szCs w:val="22"/>
          <w:lang w:eastAsia="en-US"/>
        </w:rPr>
        <w:t>(указывается наименование агрегатора (наименование объекта регулирования))</w:t>
      </w:r>
    </w:p>
    <w:p w14:paraId="62B2DFF4" w14:textId="77777777" w:rsidR="001333B2" w:rsidRPr="00AD67C2" w:rsidRDefault="001333B2" w:rsidP="001333B2">
      <w:pPr>
        <w:widowControl w:val="0"/>
        <w:tabs>
          <w:tab w:val="left" w:pos="1077"/>
        </w:tabs>
        <w:suppressAutoHyphens w:val="0"/>
        <w:spacing w:before="120" w:after="120"/>
        <w:ind w:firstLine="601"/>
        <w:jc w:val="center"/>
        <w:rPr>
          <w:rFonts w:ascii="Garamond" w:eastAsia="Calibri" w:hAnsi="Garamond" w:cs="Times New Roman"/>
          <w:bCs/>
          <w:sz w:val="22"/>
          <w:szCs w:val="22"/>
          <w:lang w:eastAsia="en-US"/>
        </w:rPr>
      </w:pPr>
      <w:r w:rsidRPr="00AD67C2">
        <w:rPr>
          <w:rFonts w:ascii="Garamond" w:eastAsia="Calibri" w:hAnsi="Garamond" w:cs="Times New Roman"/>
          <w:bCs/>
          <w:sz w:val="22"/>
          <w:szCs w:val="22"/>
          <w:lang w:eastAsia="en-US"/>
        </w:rPr>
        <w:t>+(-)P(МВт)+(-)jQ(Мвар)</w:t>
      </w:r>
    </w:p>
    <w:p w14:paraId="03468011" w14:textId="77777777" w:rsidR="001333B2" w:rsidRPr="00AD67C2" w:rsidRDefault="001333B2" w:rsidP="001333B2">
      <w:pPr>
        <w:widowControl w:val="0"/>
        <w:tabs>
          <w:tab w:val="left" w:pos="1077"/>
        </w:tabs>
        <w:suppressAutoHyphens w:val="0"/>
        <w:spacing w:before="120" w:after="120"/>
        <w:ind w:firstLine="601"/>
        <w:jc w:val="both"/>
        <w:rPr>
          <w:rFonts w:ascii="Garamond" w:eastAsia="Calibri" w:hAnsi="Garamond" w:cs="Times New Roman"/>
          <w:bCs/>
          <w:sz w:val="22"/>
          <w:szCs w:val="22"/>
          <w:lang w:eastAsia="en-US"/>
        </w:rPr>
      </w:pPr>
    </w:p>
    <w:tbl>
      <w:tblPr>
        <w:tblStyle w:val="2e"/>
        <w:tblW w:w="0" w:type="auto"/>
        <w:tblLook w:val="04A0" w:firstRow="1" w:lastRow="0" w:firstColumn="1" w:lastColumn="0" w:noHBand="0" w:noVBand="1"/>
      </w:tblPr>
      <w:tblGrid>
        <w:gridCol w:w="970"/>
        <w:gridCol w:w="970"/>
        <w:gridCol w:w="970"/>
        <w:gridCol w:w="970"/>
        <w:gridCol w:w="970"/>
        <w:gridCol w:w="971"/>
        <w:gridCol w:w="971"/>
        <w:gridCol w:w="971"/>
        <w:gridCol w:w="971"/>
        <w:gridCol w:w="971"/>
        <w:gridCol w:w="971"/>
        <w:gridCol w:w="971"/>
        <w:gridCol w:w="971"/>
        <w:gridCol w:w="971"/>
        <w:gridCol w:w="971"/>
      </w:tblGrid>
      <w:tr w:rsidR="001333B2" w:rsidRPr="00AD67C2" w14:paraId="1E64404B" w14:textId="77777777" w:rsidTr="0064152E">
        <w:tc>
          <w:tcPr>
            <w:tcW w:w="970" w:type="dxa"/>
            <w:vMerge w:val="restart"/>
            <w:vAlign w:val="center"/>
          </w:tcPr>
          <w:p w14:paraId="42ABB948" w14:textId="77777777" w:rsidR="001333B2" w:rsidRPr="00AD67C2" w:rsidRDefault="001333B2" w:rsidP="001333B2">
            <w:pPr>
              <w:widowControl w:val="0"/>
              <w:tabs>
                <w:tab w:val="left" w:pos="1077"/>
              </w:tabs>
              <w:suppressAutoHyphens w:val="0"/>
              <w:spacing w:before="120" w:after="120"/>
              <w:ind w:firstLine="0"/>
              <w:jc w:val="center"/>
              <w:rPr>
                <w:rFonts w:eastAsia="Calibri" w:cs="Times New Roman"/>
                <w:bCs/>
                <w:sz w:val="22"/>
                <w:szCs w:val="22"/>
              </w:rPr>
            </w:pPr>
            <w:r w:rsidRPr="00AD67C2">
              <w:rPr>
                <w:rFonts w:eastAsia="Calibri" w:cs="Times New Roman"/>
                <w:bCs/>
                <w:sz w:val="22"/>
                <w:szCs w:val="22"/>
              </w:rPr>
              <w:t>Дни</w:t>
            </w:r>
          </w:p>
        </w:tc>
        <w:tc>
          <w:tcPr>
            <w:tcW w:w="13590" w:type="dxa"/>
            <w:gridSpan w:val="14"/>
            <w:vAlign w:val="center"/>
          </w:tcPr>
          <w:p w14:paraId="50EFE656" w14:textId="77777777" w:rsidR="001333B2" w:rsidRPr="00AD67C2" w:rsidRDefault="001333B2" w:rsidP="001333B2">
            <w:pPr>
              <w:widowControl w:val="0"/>
              <w:tabs>
                <w:tab w:val="left" w:pos="1077"/>
              </w:tabs>
              <w:suppressAutoHyphens w:val="0"/>
              <w:spacing w:before="120" w:after="120"/>
              <w:ind w:firstLine="0"/>
              <w:jc w:val="center"/>
              <w:rPr>
                <w:rFonts w:eastAsia="Calibri" w:cs="Times New Roman"/>
                <w:bCs/>
                <w:sz w:val="22"/>
                <w:szCs w:val="22"/>
              </w:rPr>
            </w:pPr>
            <w:r w:rsidRPr="00AD67C2">
              <w:rPr>
                <w:rFonts w:eastAsia="Calibri" w:cs="Times New Roman"/>
                <w:bCs/>
                <w:sz w:val="22"/>
                <w:szCs w:val="22"/>
              </w:rPr>
              <w:t>Часы</w:t>
            </w:r>
          </w:p>
        </w:tc>
      </w:tr>
      <w:tr w:rsidR="001333B2" w:rsidRPr="00AD67C2" w14:paraId="234811F4" w14:textId="77777777" w:rsidTr="0064152E">
        <w:trPr>
          <w:trHeight w:val="113"/>
        </w:trPr>
        <w:tc>
          <w:tcPr>
            <w:tcW w:w="970" w:type="dxa"/>
            <w:vMerge/>
          </w:tcPr>
          <w:p w14:paraId="070348ED" w14:textId="77777777" w:rsidR="001333B2" w:rsidRPr="00AD67C2" w:rsidRDefault="001333B2" w:rsidP="001333B2">
            <w:pPr>
              <w:widowControl w:val="0"/>
              <w:tabs>
                <w:tab w:val="left" w:pos="1077"/>
              </w:tabs>
              <w:suppressAutoHyphens w:val="0"/>
              <w:spacing w:before="120" w:after="120"/>
              <w:ind w:firstLine="0"/>
              <w:rPr>
                <w:rFonts w:eastAsia="Calibri" w:cs="Times New Roman"/>
                <w:bCs/>
                <w:sz w:val="22"/>
                <w:szCs w:val="22"/>
              </w:rPr>
            </w:pPr>
          </w:p>
        </w:tc>
        <w:tc>
          <w:tcPr>
            <w:tcW w:w="1940" w:type="dxa"/>
            <w:gridSpan w:val="2"/>
            <w:vAlign w:val="center"/>
          </w:tcPr>
          <w:p w14:paraId="2411711C" w14:textId="77777777" w:rsidR="001333B2" w:rsidRPr="00AD67C2" w:rsidRDefault="001333B2" w:rsidP="001333B2">
            <w:pPr>
              <w:widowControl w:val="0"/>
              <w:tabs>
                <w:tab w:val="left" w:pos="1077"/>
              </w:tabs>
              <w:suppressAutoHyphens w:val="0"/>
              <w:spacing w:before="120" w:after="120"/>
              <w:ind w:firstLine="0"/>
              <w:jc w:val="center"/>
              <w:rPr>
                <w:rFonts w:eastAsia="Calibri" w:cs="Times New Roman"/>
                <w:bCs/>
                <w:sz w:val="22"/>
                <w:szCs w:val="22"/>
              </w:rPr>
            </w:pPr>
            <w:r w:rsidRPr="00AD67C2">
              <w:rPr>
                <w:rFonts w:eastAsia="Calibri" w:cs="Times New Roman"/>
                <w:bCs/>
                <w:sz w:val="22"/>
                <w:szCs w:val="22"/>
              </w:rPr>
              <w:t>0:00</w:t>
            </w:r>
          </w:p>
        </w:tc>
        <w:tc>
          <w:tcPr>
            <w:tcW w:w="1940" w:type="dxa"/>
            <w:gridSpan w:val="2"/>
            <w:vAlign w:val="center"/>
          </w:tcPr>
          <w:p w14:paraId="4C2CFDD0" w14:textId="77777777" w:rsidR="001333B2" w:rsidRPr="00AD67C2" w:rsidRDefault="001333B2" w:rsidP="001333B2">
            <w:pPr>
              <w:widowControl w:val="0"/>
              <w:tabs>
                <w:tab w:val="left" w:pos="1077"/>
              </w:tabs>
              <w:suppressAutoHyphens w:val="0"/>
              <w:spacing w:before="120" w:after="120"/>
              <w:ind w:firstLine="0"/>
              <w:jc w:val="center"/>
              <w:rPr>
                <w:rFonts w:eastAsia="Calibri" w:cs="Times New Roman"/>
                <w:bCs/>
                <w:sz w:val="22"/>
                <w:szCs w:val="22"/>
              </w:rPr>
            </w:pPr>
            <w:r w:rsidRPr="00AD67C2">
              <w:rPr>
                <w:rFonts w:eastAsia="Calibri" w:cs="Times New Roman"/>
                <w:bCs/>
                <w:sz w:val="22"/>
                <w:szCs w:val="22"/>
                <w:lang w:val="en-US"/>
              </w:rPr>
              <w:t>1</w:t>
            </w:r>
            <w:r w:rsidRPr="00AD67C2">
              <w:rPr>
                <w:rFonts w:eastAsia="Calibri" w:cs="Times New Roman"/>
                <w:bCs/>
                <w:sz w:val="22"/>
                <w:szCs w:val="22"/>
              </w:rPr>
              <w:t>:00</w:t>
            </w:r>
          </w:p>
        </w:tc>
        <w:tc>
          <w:tcPr>
            <w:tcW w:w="1942" w:type="dxa"/>
            <w:gridSpan w:val="2"/>
            <w:vAlign w:val="center"/>
          </w:tcPr>
          <w:p w14:paraId="7511E8B4" w14:textId="77777777" w:rsidR="001333B2" w:rsidRPr="00AD67C2" w:rsidRDefault="001333B2" w:rsidP="001333B2">
            <w:pPr>
              <w:widowControl w:val="0"/>
              <w:tabs>
                <w:tab w:val="left" w:pos="1077"/>
              </w:tabs>
              <w:suppressAutoHyphens w:val="0"/>
              <w:spacing w:before="120" w:after="120"/>
              <w:ind w:firstLine="0"/>
              <w:jc w:val="center"/>
              <w:rPr>
                <w:rFonts w:eastAsia="Calibri" w:cs="Times New Roman"/>
                <w:bCs/>
                <w:sz w:val="22"/>
                <w:szCs w:val="22"/>
              </w:rPr>
            </w:pPr>
            <w:r w:rsidRPr="00AD67C2">
              <w:rPr>
                <w:rFonts w:eastAsia="Calibri" w:cs="Times New Roman"/>
                <w:bCs/>
                <w:sz w:val="22"/>
                <w:szCs w:val="22"/>
              </w:rPr>
              <w:t>2:00</w:t>
            </w:r>
          </w:p>
        </w:tc>
        <w:tc>
          <w:tcPr>
            <w:tcW w:w="1942" w:type="dxa"/>
            <w:gridSpan w:val="2"/>
            <w:vAlign w:val="center"/>
          </w:tcPr>
          <w:p w14:paraId="4B1940EB" w14:textId="77777777" w:rsidR="001333B2" w:rsidRPr="00AD67C2" w:rsidRDefault="001333B2" w:rsidP="001333B2">
            <w:pPr>
              <w:widowControl w:val="0"/>
              <w:tabs>
                <w:tab w:val="left" w:pos="1077"/>
              </w:tabs>
              <w:suppressAutoHyphens w:val="0"/>
              <w:spacing w:before="120" w:after="120"/>
              <w:ind w:firstLine="0"/>
              <w:jc w:val="center"/>
              <w:rPr>
                <w:rFonts w:eastAsia="Calibri" w:cs="Times New Roman"/>
                <w:bCs/>
                <w:sz w:val="22"/>
                <w:szCs w:val="22"/>
              </w:rPr>
            </w:pPr>
            <w:r w:rsidRPr="00AD67C2">
              <w:rPr>
                <w:rFonts w:eastAsia="Calibri" w:cs="Times New Roman"/>
                <w:bCs/>
                <w:sz w:val="22"/>
                <w:szCs w:val="22"/>
              </w:rPr>
              <w:t>…</w:t>
            </w:r>
          </w:p>
        </w:tc>
        <w:tc>
          <w:tcPr>
            <w:tcW w:w="1942" w:type="dxa"/>
            <w:gridSpan w:val="2"/>
            <w:vAlign w:val="center"/>
          </w:tcPr>
          <w:p w14:paraId="22DC5735" w14:textId="77777777" w:rsidR="001333B2" w:rsidRPr="00AD67C2" w:rsidRDefault="001333B2" w:rsidP="001333B2">
            <w:pPr>
              <w:widowControl w:val="0"/>
              <w:tabs>
                <w:tab w:val="left" w:pos="1077"/>
              </w:tabs>
              <w:suppressAutoHyphens w:val="0"/>
              <w:spacing w:before="120" w:after="120"/>
              <w:ind w:firstLine="0"/>
              <w:jc w:val="center"/>
              <w:rPr>
                <w:rFonts w:eastAsia="Calibri" w:cs="Times New Roman"/>
                <w:bCs/>
                <w:sz w:val="22"/>
                <w:szCs w:val="22"/>
              </w:rPr>
            </w:pPr>
            <w:r w:rsidRPr="00AD67C2">
              <w:rPr>
                <w:rFonts w:eastAsia="Calibri" w:cs="Times New Roman"/>
                <w:bCs/>
                <w:sz w:val="22"/>
                <w:szCs w:val="22"/>
              </w:rPr>
              <w:t>21:00</w:t>
            </w:r>
          </w:p>
        </w:tc>
        <w:tc>
          <w:tcPr>
            <w:tcW w:w="1942" w:type="dxa"/>
            <w:gridSpan w:val="2"/>
            <w:vAlign w:val="center"/>
          </w:tcPr>
          <w:p w14:paraId="7A0A4BF1" w14:textId="77777777" w:rsidR="001333B2" w:rsidRPr="00AD67C2" w:rsidRDefault="001333B2" w:rsidP="001333B2">
            <w:pPr>
              <w:widowControl w:val="0"/>
              <w:tabs>
                <w:tab w:val="left" w:pos="1077"/>
              </w:tabs>
              <w:suppressAutoHyphens w:val="0"/>
              <w:spacing w:before="120" w:after="120"/>
              <w:ind w:firstLine="0"/>
              <w:jc w:val="center"/>
              <w:rPr>
                <w:rFonts w:eastAsia="Calibri" w:cs="Times New Roman"/>
                <w:bCs/>
                <w:sz w:val="22"/>
                <w:szCs w:val="22"/>
              </w:rPr>
            </w:pPr>
            <w:r w:rsidRPr="00AD67C2">
              <w:rPr>
                <w:rFonts w:eastAsia="Calibri" w:cs="Times New Roman"/>
                <w:bCs/>
                <w:sz w:val="22"/>
                <w:szCs w:val="22"/>
              </w:rPr>
              <w:t>22:00</w:t>
            </w:r>
          </w:p>
        </w:tc>
        <w:tc>
          <w:tcPr>
            <w:tcW w:w="1942" w:type="dxa"/>
            <w:gridSpan w:val="2"/>
            <w:vAlign w:val="center"/>
          </w:tcPr>
          <w:p w14:paraId="78104586" w14:textId="77777777" w:rsidR="001333B2" w:rsidRPr="00AD67C2" w:rsidRDefault="001333B2" w:rsidP="001333B2">
            <w:pPr>
              <w:widowControl w:val="0"/>
              <w:tabs>
                <w:tab w:val="left" w:pos="1077"/>
              </w:tabs>
              <w:suppressAutoHyphens w:val="0"/>
              <w:spacing w:before="120" w:after="120"/>
              <w:ind w:firstLine="0"/>
              <w:jc w:val="center"/>
              <w:rPr>
                <w:rFonts w:eastAsia="Calibri" w:cs="Times New Roman"/>
                <w:bCs/>
                <w:sz w:val="22"/>
                <w:szCs w:val="22"/>
              </w:rPr>
            </w:pPr>
            <w:r w:rsidRPr="00AD67C2">
              <w:rPr>
                <w:rFonts w:eastAsia="Calibri" w:cs="Times New Roman"/>
                <w:bCs/>
                <w:sz w:val="22"/>
                <w:szCs w:val="22"/>
              </w:rPr>
              <w:t>23:00</w:t>
            </w:r>
          </w:p>
        </w:tc>
      </w:tr>
      <w:tr w:rsidR="001333B2" w:rsidRPr="00AD67C2" w14:paraId="51901BBA" w14:textId="77777777" w:rsidTr="0064152E">
        <w:tc>
          <w:tcPr>
            <w:tcW w:w="970" w:type="dxa"/>
            <w:vMerge/>
          </w:tcPr>
          <w:p w14:paraId="1EE58340" w14:textId="77777777" w:rsidR="001333B2" w:rsidRPr="00AD67C2" w:rsidRDefault="001333B2" w:rsidP="001333B2">
            <w:pPr>
              <w:widowControl w:val="0"/>
              <w:tabs>
                <w:tab w:val="left" w:pos="1077"/>
              </w:tabs>
              <w:suppressAutoHyphens w:val="0"/>
              <w:spacing w:before="120" w:after="120"/>
              <w:ind w:firstLine="0"/>
              <w:rPr>
                <w:rFonts w:eastAsia="Calibri" w:cs="Times New Roman"/>
                <w:bCs/>
                <w:sz w:val="22"/>
                <w:szCs w:val="22"/>
              </w:rPr>
            </w:pPr>
          </w:p>
        </w:tc>
        <w:tc>
          <w:tcPr>
            <w:tcW w:w="970" w:type="dxa"/>
            <w:vAlign w:val="center"/>
          </w:tcPr>
          <w:p w14:paraId="65E8FE45" w14:textId="77777777" w:rsidR="001333B2" w:rsidRPr="00AD67C2" w:rsidRDefault="001333B2" w:rsidP="001333B2">
            <w:pPr>
              <w:widowControl w:val="0"/>
              <w:tabs>
                <w:tab w:val="left" w:pos="1077"/>
              </w:tabs>
              <w:suppressAutoHyphens w:val="0"/>
              <w:spacing w:before="120" w:after="120"/>
              <w:ind w:firstLine="0"/>
              <w:jc w:val="center"/>
              <w:rPr>
                <w:rFonts w:eastAsia="Calibri" w:cs="Times New Roman"/>
                <w:bCs/>
                <w:sz w:val="22"/>
                <w:szCs w:val="22"/>
                <w:lang w:val="en-US"/>
              </w:rPr>
            </w:pPr>
            <w:r w:rsidRPr="00AD67C2">
              <w:rPr>
                <w:rFonts w:eastAsia="Calibri" w:cs="Times New Roman"/>
                <w:bCs/>
                <w:sz w:val="22"/>
                <w:szCs w:val="22"/>
                <w:lang w:val="en-US"/>
              </w:rPr>
              <w:t>P</w:t>
            </w:r>
          </w:p>
        </w:tc>
        <w:tc>
          <w:tcPr>
            <w:tcW w:w="970" w:type="dxa"/>
            <w:vAlign w:val="center"/>
          </w:tcPr>
          <w:p w14:paraId="366F9CF8" w14:textId="77777777" w:rsidR="001333B2" w:rsidRPr="00AD67C2" w:rsidRDefault="001333B2" w:rsidP="001333B2">
            <w:pPr>
              <w:widowControl w:val="0"/>
              <w:tabs>
                <w:tab w:val="left" w:pos="1077"/>
              </w:tabs>
              <w:suppressAutoHyphens w:val="0"/>
              <w:spacing w:before="120" w:after="120"/>
              <w:ind w:firstLine="0"/>
              <w:jc w:val="center"/>
              <w:rPr>
                <w:rFonts w:eastAsia="Calibri" w:cs="Times New Roman"/>
                <w:bCs/>
                <w:sz w:val="22"/>
                <w:szCs w:val="22"/>
                <w:lang w:val="en-US"/>
              </w:rPr>
            </w:pPr>
            <w:r w:rsidRPr="00AD67C2">
              <w:rPr>
                <w:rFonts w:eastAsia="Calibri" w:cs="Times New Roman"/>
                <w:bCs/>
                <w:sz w:val="22"/>
                <w:szCs w:val="22"/>
                <w:lang w:val="en-US"/>
              </w:rPr>
              <w:t>Q</w:t>
            </w:r>
          </w:p>
        </w:tc>
        <w:tc>
          <w:tcPr>
            <w:tcW w:w="970" w:type="dxa"/>
            <w:vAlign w:val="center"/>
          </w:tcPr>
          <w:p w14:paraId="72E5B241" w14:textId="77777777" w:rsidR="001333B2" w:rsidRPr="00AD67C2" w:rsidRDefault="001333B2" w:rsidP="001333B2">
            <w:pPr>
              <w:widowControl w:val="0"/>
              <w:tabs>
                <w:tab w:val="left" w:pos="1077"/>
              </w:tabs>
              <w:suppressAutoHyphens w:val="0"/>
              <w:spacing w:before="120" w:after="120"/>
              <w:ind w:firstLine="0"/>
              <w:jc w:val="center"/>
              <w:rPr>
                <w:rFonts w:eastAsia="Calibri" w:cs="Times New Roman"/>
                <w:bCs/>
                <w:sz w:val="22"/>
                <w:szCs w:val="22"/>
              </w:rPr>
            </w:pPr>
            <w:r w:rsidRPr="00AD67C2">
              <w:rPr>
                <w:rFonts w:eastAsia="Calibri" w:cs="Times New Roman"/>
                <w:bCs/>
                <w:sz w:val="22"/>
                <w:szCs w:val="22"/>
                <w:lang w:val="en-US"/>
              </w:rPr>
              <w:t>P</w:t>
            </w:r>
          </w:p>
        </w:tc>
        <w:tc>
          <w:tcPr>
            <w:tcW w:w="970" w:type="dxa"/>
            <w:vAlign w:val="center"/>
          </w:tcPr>
          <w:p w14:paraId="70F4517C" w14:textId="77777777" w:rsidR="001333B2" w:rsidRPr="00AD67C2" w:rsidRDefault="001333B2" w:rsidP="001333B2">
            <w:pPr>
              <w:widowControl w:val="0"/>
              <w:tabs>
                <w:tab w:val="left" w:pos="1077"/>
              </w:tabs>
              <w:suppressAutoHyphens w:val="0"/>
              <w:spacing w:before="120" w:after="120"/>
              <w:ind w:firstLine="0"/>
              <w:jc w:val="center"/>
              <w:rPr>
                <w:rFonts w:eastAsia="Calibri" w:cs="Times New Roman"/>
                <w:bCs/>
                <w:sz w:val="22"/>
                <w:szCs w:val="22"/>
              </w:rPr>
            </w:pPr>
            <w:r w:rsidRPr="00AD67C2">
              <w:rPr>
                <w:rFonts w:eastAsia="Calibri" w:cs="Times New Roman"/>
                <w:bCs/>
                <w:sz w:val="22"/>
                <w:szCs w:val="22"/>
                <w:lang w:val="en-US"/>
              </w:rPr>
              <w:t>Q</w:t>
            </w:r>
          </w:p>
        </w:tc>
        <w:tc>
          <w:tcPr>
            <w:tcW w:w="971" w:type="dxa"/>
            <w:vAlign w:val="center"/>
          </w:tcPr>
          <w:p w14:paraId="67E6F536" w14:textId="77777777" w:rsidR="001333B2" w:rsidRPr="00AD67C2" w:rsidRDefault="001333B2" w:rsidP="001333B2">
            <w:pPr>
              <w:widowControl w:val="0"/>
              <w:tabs>
                <w:tab w:val="left" w:pos="1077"/>
              </w:tabs>
              <w:suppressAutoHyphens w:val="0"/>
              <w:spacing w:before="120" w:after="120"/>
              <w:ind w:firstLine="0"/>
              <w:jc w:val="center"/>
              <w:rPr>
                <w:rFonts w:eastAsia="Calibri" w:cs="Times New Roman"/>
                <w:bCs/>
                <w:sz w:val="22"/>
                <w:szCs w:val="22"/>
              </w:rPr>
            </w:pPr>
            <w:r w:rsidRPr="00AD67C2">
              <w:rPr>
                <w:rFonts w:eastAsia="Calibri" w:cs="Times New Roman"/>
                <w:bCs/>
                <w:sz w:val="22"/>
                <w:szCs w:val="22"/>
                <w:lang w:val="en-US"/>
              </w:rPr>
              <w:t>P</w:t>
            </w:r>
          </w:p>
        </w:tc>
        <w:tc>
          <w:tcPr>
            <w:tcW w:w="971" w:type="dxa"/>
            <w:vAlign w:val="center"/>
          </w:tcPr>
          <w:p w14:paraId="2259F980" w14:textId="77777777" w:rsidR="001333B2" w:rsidRPr="00AD67C2" w:rsidRDefault="001333B2" w:rsidP="001333B2">
            <w:pPr>
              <w:widowControl w:val="0"/>
              <w:tabs>
                <w:tab w:val="left" w:pos="1077"/>
              </w:tabs>
              <w:suppressAutoHyphens w:val="0"/>
              <w:spacing w:before="120" w:after="120"/>
              <w:ind w:firstLine="0"/>
              <w:jc w:val="center"/>
              <w:rPr>
                <w:rFonts w:eastAsia="Calibri" w:cs="Times New Roman"/>
                <w:bCs/>
                <w:sz w:val="22"/>
                <w:szCs w:val="22"/>
              </w:rPr>
            </w:pPr>
            <w:r w:rsidRPr="00AD67C2">
              <w:rPr>
                <w:rFonts w:eastAsia="Calibri" w:cs="Times New Roman"/>
                <w:bCs/>
                <w:sz w:val="22"/>
                <w:szCs w:val="22"/>
                <w:lang w:val="en-US"/>
              </w:rPr>
              <w:t>Q</w:t>
            </w:r>
          </w:p>
        </w:tc>
        <w:tc>
          <w:tcPr>
            <w:tcW w:w="971" w:type="dxa"/>
            <w:vAlign w:val="center"/>
          </w:tcPr>
          <w:p w14:paraId="70C57804" w14:textId="77777777" w:rsidR="001333B2" w:rsidRPr="00AD67C2" w:rsidRDefault="001333B2" w:rsidP="001333B2">
            <w:pPr>
              <w:widowControl w:val="0"/>
              <w:tabs>
                <w:tab w:val="left" w:pos="1077"/>
              </w:tabs>
              <w:suppressAutoHyphens w:val="0"/>
              <w:spacing w:before="120" w:after="120"/>
              <w:ind w:firstLine="0"/>
              <w:jc w:val="center"/>
              <w:rPr>
                <w:rFonts w:eastAsia="Calibri" w:cs="Times New Roman"/>
                <w:bCs/>
                <w:sz w:val="22"/>
                <w:szCs w:val="22"/>
              </w:rPr>
            </w:pPr>
            <w:r w:rsidRPr="00AD67C2">
              <w:rPr>
                <w:rFonts w:eastAsia="Calibri" w:cs="Times New Roman"/>
                <w:bCs/>
                <w:sz w:val="22"/>
                <w:szCs w:val="22"/>
                <w:lang w:val="en-US"/>
              </w:rPr>
              <w:t>P</w:t>
            </w:r>
          </w:p>
        </w:tc>
        <w:tc>
          <w:tcPr>
            <w:tcW w:w="971" w:type="dxa"/>
            <w:vAlign w:val="center"/>
          </w:tcPr>
          <w:p w14:paraId="629A2D75" w14:textId="77777777" w:rsidR="001333B2" w:rsidRPr="00AD67C2" w:rsidRDefault="001333B2" w:rsidP="001333B2">
            <w:pPr>
              <w:widowControl w:val="0"/>
              <w:tabs>
                <w:tab w:val="left" w:pos="1077"/>
              </w:tabs>
              <w:suppressAutoHyphens w:val="0"/>
              <w:spacing w:before="120" w:after="120"/>
              <w:ind w:firstLine="0"/>
              <w:jc w:val="center"/>
              <w:rPr>
                <w:rFonts w:eastAsia="Calibri" w:cs="Times New Roman"/>
                <w:bCs/>
                <w:sz w:val="22"/>
                <w:szCs w:val="22"/>
              </w:rPr>
            </w:pPr>
            <w:r w:rsidRPr="00AD67C2">
              <w:rPr>
                <w:rFonts w:eastAsia="Calibri" w:cs="Times New Roman"/>
                <w:bCs/>
                <w:sz w:val="22"/>
                <w:szCs w:val="22"/>
                <w:lang w:val="en-US"/>
              </w:rPr>
              <w:t>Q</w:t>
            </w:r>
          </w:p>
        </w:tc>
        <w:tc>
          <w:tcPr>
            <w:tcW w:w="971" w:type="dxa"/>
            <w:vAlign w:val="center"/>
          </w:tcPr>
          <w:p w14:paraId="4FCED305" w14:textId="77777777" w:rsidR="001333B2" w:rsidRPr="00AD67C2" w:rsidRDefault="001333B2" w:rsidP="001333B2">
            <w:pPr>
              <w:widowControl w:val="0"/>
              <w:tabs>
                <w:tab w:val="left" w:pos="1077"/>
              </w:tabs>
              <w:suppressAutoHyphens w:val="0"/>
              <w:spacing w:before="120" w:after="120"/>
              <w:ind w:firstLine="0"/>
              <w:jc w:val="center"/>
              <w:rPr>
                <w:rFonts w:eastAsia="Calibri" w:cs="Times New Roman"/>
                <w:bCs/>
                <w:sz w:val="22"/>
                <w:szCs w:val="22"/>
              </w:rPr>
            </w:pPr>
            <w:r w:rsidRPr="00AD67C2">
              <w:rPr>
                <w:rFonts w:eastAsia="Calibri" w:cs="Times New Roman"/>
                <w:bCs/>
                <w:sz w:val="22"/>
                <w:szCs w:val="22"/>
                <w:lang w:val="en-US"/>
              </w:rPr>
              <w:t>P</w:t>
            </w:r>
          </w:p>
        </w:tc>
        <w:tc>
          <w:tcPr>
            <w:tcW w:w="971" w:type="dxa"/>
            <w:vAlign w:val="center"/>
          </w:tcPr>
          <w:p w14:paraId="4C8247C6" w14:textId="77777777" w:rsidR="001333B2" w:rsidRPr="00AD67C2" w:rsidRDefault="001333B2" w:rsidP="001333B2">
            <w:pPr>
              <w:widowControl w:val="0"/>
              <w:tabs>
                <w:tab w:val="left" w:pos="1077"/>
              </w:tabs>
              <w:suppressAutoHyphens w:val="0"/>
              <w:spacing w:before="120" w:after="120"/>
              <w:ind w:firstLine="0"/>
              <w:jc w:val="center"/>
              <w:rPr>
                <w:rFonts w:eastAsia="Calibri" w:cs="Times New Roman"/>
                <w:bCs/>
                <w:sz w:val="22"/>
                <w:szCs w:val="22"/>
              </w:rPr>
            </w:pPr>
            <w:r w:rsidRPr="00AD67C2">
              <w:rPr>
                <w:rFonts w:eastAsia="Calibri" w:cs="Times New Roman"/>
                <w:bCs/>
                <w:sz w:val="22"/>
                <w:szCs w:val="22"/>
                <w:lang w:val="en-US"/>
              </w:rPr>
              <w:t>Q</w:t>
            </w:r>
          </w:p>
        </w:tc>
        <w:tc>
          <w:tcPr>
            <w:tcW w:w="971" w:type="dxa"/>
            <w:vAlign w:val="center"/>
          </w:tcPr>
          <w:p w14:paraId="3D08526B" w14:textId="77777777" w:rsidR="001333B2" w:rsidRPr="00AD67C2" w:rsidRDefault="001333B2" w:rsidP="001333B2">
            <w:pPr>
              <w:widowControl w:val="0"/>
              <w:tabs>
                <w:tab w:val="left" w:pos="1077"/>
              </w:tabs>
              <w:suppressAutoHyphens w:val="0"/>
              <w:spacing w:before="120" w:after="120"/>
              <w:ind w:firstLine="0"/>
              <w:jc w:val="center"/>
              <w:rPr>
                <w:rFonts w:eastAsia="Calibri" w:cs="Times New Roman"/>
                <w:bCs/>
                <w:sz w:val="22"/>
                <w:szCs w:val="22"/>
              </w:rPr>
            </w:pPr>
            <w:r w:rsidRPr="00AD67C2">
              <w:rPr>
                <w:rFonts w:eastAsia="Calibri" w:cs="Times New Roman"/>
                <w:bCs/>
                <w:sz w:val="22"/>
                <w:szCs w:val="22"/>
                <w:lang w:val="en-US"/>
              </w:rPr>
              <w:t>P</w:t>
            </w:r>
          </w:p>
        </w:tc>
        <w:tc>
          <w:tcPr>
            <w:tcW w:w="971" w:type="dxa"/>
            <w:vAlign w:val="center"/>
          </w:tcPr>
          <w:p w14:paraId="034EA466" w14:textId="77777777" w:rsidR="001333B2" w:rsidRPr="00AD67C2" w:rsidRDefault="001333B2" w:rsidP="001333B2">
            <w:pPr>
              <w:widowControl w:val="0"/>
              <w:tabs>
                <w:tab w:val="left" w:pos="1077"/>
              </w:tabs>
              <w:suppressAutoHyphens w:val="0"/>
              <w:spacing w:before="120" w:after="120"/>
              <w:ind w:firstLine="0"/>
              <w:jc w:val="center"/>
              <w:rPr>
                <w:rFonts w:eastAsia="Calibri" w:cs="Times New Roman"/>
                <w:bCs/>
                <w:sz w:val="22"/>
                <w:szCs w:val="22"/>
              </w:rPr>
            </w:pPr>
            <w:r w:rsidRPr="00AD67C2">
              <w:rPr>
                <w:rFonts w:eastAsia="Calibri" w:cs="Times New Roman"/>
                <w:bCs/>
                <w:sz w:val="22"/>
                <w:szCs w:val="22"/>
                <w:lang w:val="en-US"/>
              </w:rPr>
              <w:t>Q</w:t>
            </w:r>
          </w:p>
        </w:tc>
        <w:tc>
          <w:tcPr>
            <w:tcW w:w="971" w:type="dxa"/>
            <w:vAlign w:val="center"/>
          </w:tcPr>
          <w:p w14:paraId="7B058224" w14:textId="77777777" w:rsidR="001333B2" w:rsidRPr="00AD67C2" w:rsidRDefault="001333B2" w:rsidP="001333B2">
            <w:pPr>
              <w:widowControl w:val="0"/>
              <w:tabs>
                <w:tab w:val="left" w:pos="1077"/>
              </w:tabs>
              <w:suppressAutoHyphens w:val="0"/>
              <w:spacing w:before="120" w:after="120"/>
              <w:ind w:firstLine="0"/>
              <w:jc w:val="center"/>
              <w:rPr>
                <w:rFonts w:eastAsia="Calibri" w:cs="Times New Roman"/>
                <w:bCs/>
                <w:sz w:val="22"/>
                <w:szCs w:val="22"/>
              </w:rPr>
            </w:pPr>
            <w:r w:rsidRPr="00AD67C2">
              <w:rPr>
                <w:rFonts w:eastAsia="Calibri" w:cs="Times New Roman"/>
                <w:bCs/>
                <w:sz w:val="22"/>
                <w:szCs w:val="22"/>
                <w:lang w:val="en-US"/>
              </w:rPr>
              <w:t>P</w:t>
            </w:r>
          </w:p>
        </w:tc>
        <w:tc>
          <w:tcPr>
            <w:tcW w:w="971" w:type="dxa"/>
            <w:vAlign w:val="center"/>
          </w:tcPr>
          <w:p w14:paraId="1D5E9BEA" w14:textId="77777777" w:rsidR="001333B2" w:rsidRPr="00AD67C2" w:rsidRDefault="001333B2" w:rsidP="001333B2">
            <w:pPr>
              <w:widowControl w:val="0"/>
              <w:tabs>
                <w:tab w:val="left" w:pos="1077"/>
              </w:tabs>
              <w:suppressAutoHyphens w:val="0"/>
              <w:spacing w:before="120" w:after="120"/>
              <w:ind w:firstLine="0"/>
              <w:jc w:val="center"/>
              <w:rPr>
                <w:rFonts w:eastAsia="Calibri" w:cs="Times New Roman"/>
                <w:bCs/>
                <w:sz w:val="22"/>
                <w:szCs w:val="22"/>
              </w:rPr>
            </w:pPr>
            <w:r w:rsidRPr="00AD67C2">
              <w:rPr>
                <w:rFonts w:eastAsia="Calibri" w:cs="Times New Roman"/>
                <w:bCs/>
                <w:sz w:val="22"/>
                <w:szCs w:val="22"/>
                <w:lang w:val="en-US"/>
              </w:rPr>
              <w:t>Q</w:t>
            </w:r>
          </w:p>
        </w:tc>
      </w:tr>
      <w:tr w:rsidR="001333B2" w:rsidRPr="00AD67C2" w14:paraId="7F34D58D" w14:textId="77777777" w:rsidTr="0064152E">
        <w:tc>
          <w:tcPr>
            <w:tcW w:w="970" w:type="dxa"/>
            <w:vMerge/>
          </w:tcPr>
          <w:p w14:paraId="20847F7F" w14:textId="77777777" w:rsidR="001333B2" w:rsidRPr="00AD67C2" w:rsidRDefault="001333B2" w:rsidP="001333B2">
            <w:pPr>
              <w:widowControl w:val="0"/>
              <w:tabs>
                <w:tab w:val="left" w:pos="1077"/>
              </w:tabs>
              <w:suppressAutoHyphens w:val="0"/>
              <w:spacing w:before="120" w:after="120"/>
              <w:ind w:firstLine="0"/>
              <w:rPr>
                <w:rFonts w:eastAsia="Calibri" w:cs="Times New Roman"/>
                <w:bCs/>
                <w:sz w:val="22"/>
                <w:szCs w:val="22"/>
              </w:rPr>
            </w:pPr>
          </w:p>
        </w:tc>
        <w:tc>
          <w:tcPr>
            <w:tcW w:w="970" w:type="dxa"/>
            <w:vAlign w:val="center"/>
          </w:tcPr>
          <w:p w14:paraId="161BE536" w14:textId="77777777" w:rsidR="001333B2" w:rsidRPr="00AD67C2" w:rsidRDefault="001333B2" w:rsidP="001333B2">
            <w:pPr>
              <w:widowControl w:val="0"/>
              <w:tabs>
                <w:tab w:val="left" w:pos="1077"/>
              </w:tabs>
              <w:suppressAutoHyphens w:val="0"/>
              <w:spacing w:before="120" w:after="120"/>
              <w:ind w:firstLine="0"/>
              <w:jc w:val="center"/>
              <w:rPr>
                <w:rFonts w:eastAsia="Calibri" w:cs="Times New Roman"/>
                <w:bCs/>
                <w:sz w:val="22"/>
                <w:szCs w:val="22"/>
              </w:rPr>
            </w:pPr>
            <w:r w:rsidRPr="00AD67C2">
              <w:rPr>
                <w:rFonts w:eastAsia="Calibri" w:cs="Times New Roman"/>
                <w:bCs/>
                <w:sz w:val="22"/>
                <w:szCs w:val="22"/>
              </w:rPr>
              <w:t>(МВт)</w:t>
            </w:r>
          </w:p>
        </w:tc>
        <w:tc>
          <w:tcPr>
            <w:tcW w:w="970" w:type="dxa"/>
            <w:vAlign w:val="center"/>
          </w:tcPr>
          <w:p w14:paraId="4734F354" w14:textId="77777777" w:rsidR="001333B2" w:rsidRPr="00AD67C2" w:rsidRDefault="001333B2" w:rsidP="001333B2">
            <w:pPr>
              <w:widowControl w:val="0"/>
              <w:tabs>
                <w:tab w:val="left" w:pos="1077"/>
              </w:tabs>
              <w:suppressAutoHyphens w:val="0"/>
              <w:spacing w:before="120" w:after="120"/>
              <w:ind w:firstLine="0"/>
              <w:jc w:val="center"/>
              <w:rPr>
                <w:rFonts w:eastAsia="Calibri" w:cs="Times New Roman"/>
                <w:bCs/>
                <w:sz w:val="22"/>
                <w:szCs w:val="22"/>
              </w:rPr>
            </w:pPr>
            <w:r w:rsidRPr="00AD67C2">
              <w:rPr>
                <w:rFonts w:eastAsia="Calibri" w:cs="Times New Roman"/>
                <w:bCs/>
                <w:sz w:val="22"/>
                <w:szCs w:val="22"/>
              </w:rPr>
              <w:t>(Мвар)</w:t>
            </w:r>
          </w:p>
        </w:tc>
        <w:tc>
          <w:tcPr>
            <w:tcW w:w="970" w:type="dxa"/>
            <w:vAlign w:val="center"/>
          </w:tcPr>
          <w:p w14:paraId="5567A585" w14:textId="77777777" w:rsidR="001333B2" w:rsidRPr="00AD67C2" w:rsidRDefault="001333B2" w:rsidP="001333B2">
            <w:pPr>
              <w:widowControl w:val="0"/>
              <w:tabs>
                <w:tab w:val="left" w:pos="1077"/>
              </w:tabs>
              <w:suppressAutoHyphens w:val="0"/>
              <w:spacing w:before="120" w:after="120"/>
              <w:ind w:firstLine="0"/>
              <w:jc w:val="center"/>
              <w:rPr>
                <w:rFonts w:eastAsia="Calibri" w:cs="Times New Roman"/>
                <w:bCs/>
                <w:sz w:val="22"/>
                <w:szCs w:val="22"/>
              </w:rPr>
            </w:pPr>
            <w:r w:rsidRPr="00AD67C2">
              <w:rPr>
                <w:rFonts w:eastAsia="Calibri" w:cs="Times New Roman"/>
                <w:bCs/>
                <w:sz w:val="22"/>
                <w:szCs w:val="22"/>
              </w:rPr>
              <w:t>(МВт)</w:t>
            </w:r>
          </w:p>
        </w:tc>
        <w:tc>
          <w:tcPr>
            <w:tcW w:w="970" w:type="dxa"/>
            <w:vAlign w:val="center"/>
          </w:tcPr>
          <w:p w14:paraId="0445CE84" w14:textId="77777777" w:rsidR="001333B2" w:rsidRPr="00AD67C2" w:rsidRDefault="001333B2" w:rsidP="001333B2">
            <w:pPr>
              <w:widowControl w:val="0"/>
              <w:tabs>
                <w:tab w:val="left" w:pos="1077"/>
              </w:tabs>
              <w:suppressAutoHyphens w:val="0"/>
              <w:spacing w:before="120" w:after="120"/>
              <w:ind w:firstLine="0"/>
              <w:jc w:val="center"/>
              <w:rPr>
                <w:rFonts w:eastAsia="Calibri" w:cs="Times New Roman"/>
                <w:bCs/>
                <w:sz w:val="22"/>
                <w:szCs w:val="22"/>
              </w:rPr>
            </w:pPr>
            <w:r w:rsidRPr="00AD67C2">
              <w:rPr>
                <w:rFonts w:eastAsia="Calibri" w:cs="Times New Roman"/>
                <w:bCs/>
                <w:sz w:val="22"/>
                <w:szCs w:val="22"/>
              </w:rPr>
              <w:t>(Мвар)</w:t>
            </w:r>
          </w:p>
        </w:tc>
        <w:tc>
          <w:tcPr>
            <w:tcW w:w="971" w:type="dxa"/>
            <w:vAlign w:val="center"/>
          </w:tcPr>
          <w:p w14:paraId="05104059" w14:textId="77777777" w:rsidR="001333B2" w:rsidRPr="00AD67C2" w:rsidRDefault="001333B2" w:rsidP="001333B2">
            <w:pPr>
              <w:widowControl w:val="0"/>
              <w:tabs>
                <w:tab w:val="left" w:pos="1077"/>
              </w:tabs>
              <w:suppressAutoHyphens w:val="0"/>
              <w:spacing w:before="120" w:after="120"/>
              <w:ind w:firstLine="0"/>
              <w:jc w:val="center"/>
              <w:rPr>
                <w:rFonts w:eastAsia="Calibri" w:cs="Times New Roman"/>
                <w:bCs/>
                <w:sz w:val="22"/>
                <w:szCs w:val="22"/>
              </w:rPr>
            </w:pPr>
            <w:r w:rsidRPr="00AD67C2">
              <w:rPr>
                <w:rFonts w:eastAsia="Calibri" w:cs="Times New Roman"/>
                <w:bCs/>
                <w:sz w:val="22"/>
                <w:szCs w:val="22"/>
              </w:rPr>
              <w:t>(МВт)</w:t>
            </w:r>
          </w:p>
        </w:tc>
        <w:tc>
          <w:tcPr>
            <w:tcW w:w="971" w:type="dxa"/>
            <w:vAlign w:val="center"/>
          </w:tcPr>
          <w:p w14:paraId="5B81581E" w14:textId="77777777" w:rsidR="001333B2" w:rsidRPr="00AD67C2" w:rsidRDefault="001333B2" w:rsidP="001333B2">
            <w:pPr>
              <w:widowControl w:val="0"/>
              <w:tabs>
                <w:tab w:val="left" w:pos="1077"/>
              </w:tabs>
              <w:suppressAutoHyphens w:val="0"/>
              <w:spacing w:before="120" w:after="120"/>
              <w:ind w:firstLine="0"/>
              <w:jc w:val="center"/>
              <w:rPr>
                <w:rFonts w:eastAsia="Calibri" w:cs="Times New Roman"/>
                <w:bCs/>
                <w:sz w:val="22"/>
                <w:szCs w:val="22"/>
              </w:rPr>
            </w:pPr>
            <w:r w:rsidRPr="00AD67C2">
              <w:rPr>
                <w:rFonts w:eastAsia="Calibri" w:cs="Times New Roman"/>
                <w:bCs/>
                <w:sz w:val="22"/>
                <w:szCs w:val="22"/>
              </w:rPr>
              <w:t>(Мвар)</w:t>
            </w:r>
          </w:p>
        </w:tc>
        <w:tc>
          <w:tcPr>
            <w:tcW w:w="971" w:type="dxa"/>
            <w:vAlign w:val="center"/>
          </w:tcPr>
          <w:p w14:paraId="0C1E632C" w14:textId="77777777" w:rsidR="001333B2" w:rsidRPr="00AD67C2" w:rsidRDefault="001333B2" w:rsidP="001333B2">
            <w:pPr>
              <w:widowControl w:val="0"/>
              <w:tabs>
                <w:tab w:val="left" w:pos="1077"/>
              </w:tabs>
              <w:suppressAutoHyphens w:val="0"/>
              <w:spacing w:before="120" w:after="120"/>
              <w:ind w:firstLine="0"/>
              <w:jc w:val="center"/>
              <w:rPr>
                <w:rFonts w:eastAsia="Calibri" w:cs="Times New Roman"/>
                <w:bCs/>
                <w:sz w:val="22"/>
                <w:szCs w:val="22"/>
              </w:rPr>
            </w:pPr>
            <w:r w:rsidRPr="00AD67C2">
              <w:rPr>
                <w:rFonts w:eastAsia="Calibri" w:cs="Times New Roman"/>
                <w:bCs/>
                <w:sz w:val="22"/>
                <w:szCs w:val="22"/>
              </w:rPr>
              <w:t>(МВт)</w:t>
            </w:r>
          </w:p>
        </w:tc>
        <w:tc>
          <w:tcPr>
            <w:tcW w:w="971" w:type="dxa"/>
            <w:vAlign w:val="center"/>
          </w:tcPr>
          <w:p w14:paraId="04CF5486" w14:textId="77777777" w:rsidR="001333B2" w:rsidRPr="00AD67C2" w:rsidRDefault="001333B2" w:rsidP="001333B2">
            <w:pPr>
              <w:widowControl w:val="0"/>
              <w:tabs>
                <w:tab w:val="left" w:pos="1077"/>
              </w:tabs>
              <w:suppressAutoHyphens w:val="0"/>
              <w:spacing w:before="120" w:after="120"/>
              <w:ind w:firstLine="0"/>
              <w:jc w:val="center"/>
              <w:rPr>
                <w:rFonts w:eastAsia="Calibri" w:cs="Times New Roman"/>
                <w:bCs/>
                <w:sz w:val="22"/>
                <w:szCs w:val="22"/>
              </w:rPr>
            </w:pPr>
            <w:r w:rsidRPr="00AD67C2">
              <w:rPr>
                <w:rFonts w:eastAsia="Calibri" w:cs="Times New Roman"/>
                <w:bCs/>
                <w:sz w:val="22"/>
                <w:szCs w:val="22"/>
              </w:rPr>
              <w:t>(Мвар)</w:t>
            </w:r>
          </w:p>
        </w:tc>
        <w:tc>
          <w:tcPr>
            <w:tcW w:w="971" w:type="dxa"/>
            <w:vAlign w:val="center"/>
          </w:tcPr>
          <w:p w14:paraId="20EA3B60" w14:textId="77777777" w:rsidR="001333B2" w:rsidRPr="00AD67C2" w:rsidRDefault="001333B2" w:rsidP="001333B2">
            <w:pPr>
              <w:widowControl w:val="0"/>
              <w:tabs>
                <w:tab w:val="left" w:pos="1077"/>
              </w:tabs>
              <w:suppressAutoHyphens w:val="0"/>
              <w:spacing w:before="120" w:after="120"/>
              <w:ind w:firstLine="0"/>
              <w:jc w:val="center"/>
              <w:rPr>
                <w:rFonts w:eastAsia="Calibri" w:cs="Times New Roman"/>
                <w:bCs/>
                <w:sz w:val="22"/>
                <w:szCs w:val="22"/>
              </w:rPr>
            </w:pPr>
            <w:r w:rsidRPr="00AD67C2">
              <w:rPr>
                <w:rFonts w:eastAsia="Calibri" w:cs="Times New Roman"/>
                <w:bCs/>
                <w:sz w:val="22"/>
                <w:szCs w:val="22"/>
              </w:rPr>
              <w:t>(МВт)</w:t>
            </w:r>
          </w:p>
        </w:tc>
        <w:tc>
          <w:tcPr>
            <w:tcW w:w="971" w:type="dxa"/>
            <w:vAlign w:val="center"/>
          </w:tcPr>
          <w:p w14:paraId="54F4892C" w14:textId="77777777" w:rsidR="001333B2" w:rsidRPr="00AD67C2" w:rsidRDefault="001333B2" w:rsidP="001333B2">
            <w:pPr>
              <w:widowControl w:val="0"/>
              <w:tabs>
                <w:tab w:val="left" w:pos="1077"/>
              </w:tabs>
              <w:suppressAutoHyphens w:val="0"/>
              <w:spacing w:before="120" w:after="120"/>
              <w:ind w:firstLine="0"/>
              <w:jc w:val="center"/>
              <w:rPr>
                <w:rFonts w:eastAsia="Calibri" w:cs="Times New Roman"/>
                <w:bCs/>
                <w:sz w:val="22"/>
                <w:szCs w:val="22"/>
              </w:rPr>
            </w:pPr>
            <w:r w:rsidRPr="00AD67C2">
              <w:rPr>
                <w:rFonts w:eastAsia="Calibri" w:cs="Times New Roman"/>
                <w:bCs/>
                <w:sz w:val="22"/>
                <w:szCs w:val="22"/>
              </w:rPr>
              <w:t>(Мвар)</w:t>
            </w:r>
          </w:p>
        </w:tc>
        <w:tc>
          <w:tcPr>
            <w:tcW w:w="971" w:type="dxa"/>
            <w:vAlign w:val="center"/>
          </w:tcPr>
          <w:p w14:paraId="443F38C6" w14:textId="77777777" w:rsidR="001333B2" w:rsidRPr="00AD67C2" w:rsidRDefault="001333B2" w:rsidP="001333B2">
            <w:pPr>
              <w:widowControl w:val="0"/>
              <w:tabs>
                <w:tab w:val="left" w:pos="1077"/>
              </w:tabs>
              <w:suppressAutoHyphens w:val="0"/>
              <w:spacing w:before="120" w:after="120"/>
              <w:ind w:firstLine="0"/>
              <w:jc w:val="center"/>
              <w:rPr>
                <w:rFonts w:eastAsia="Calibri" w:cs="Times New Roman"/>
                <w:bCs/>
                <w:sz w:val="22"/>
                <w:szCs w:val="22"/>
              </w:rPr>
            </w:pPr>
            <w:r w:rsidRPr="00AD67C2">
              <w:rPr>
                <w:rFonts w:eastAsia="Calibri" w:cs="Times New Roman"/>
                <w:bCs/>
                <w:sz w:val="22"/>
                <w:szCs w:val="22"/>
              </w:rPr>
              <w:t>(МВт)</w:t>
            </w:r>
          </w:p>
        </w:tc>
        <w:tc>
          <w:tcPr>
            <w:tcW w:w="971" w:type="dxa"/>
            <w:vAlign w:val="center"/>
          </w:tcPr>
          <w:p w14:paraId="4871CAF6" w14:textId="77777777" w:rsidR="001333B2" w:rsidRPr="00AD67C2" w:rsidRDefault="001333B2" w:rsidP="001333B2">
            <w:pPr>
              <w:widowControl w:val="0"/>
              <w:tabs>
                <w:tab w:val="left" w:pos="1077"/>
              </w:tabs>
              <w:suppressAutoHyphens w:val="0"/>
              <w:spacing w:before="120" w:after="120"/>
              <w:ind w:firstLine="0"/>
              <w:jc w:val="center"/>
              <w:rPr>
                <w:rFonts w:eastAsia="Calibri" w:cs="Times New Roman"/>
                <w:bCs/>
                <w:sz w:val="22"/>
                <w:szCs w:val="22"/>
              </w:rPr>
            </w:pPr>
            <w:r w:rsidRPr="00AD67C2">
              <w:rPr>
                <w:rFonts w:eastAsia="Calibri" w:cs="Times New Roman"/>
                <w:bCs/>
                <w:sz w:val="22"/>
                <w:szCs w:val="22"/>
              </w:rPr>
              <w:t>(Мвар)</w:t>
            </w:r>
          </w:p>
        </w:tc>
        <w:tc>
          <w:tcPr>
            <w:tcW w:w="971" w:type="dxa"/>
            <w:vAlign w:val="center"/>
          </w:tcPr>
          <w:p w14:paraId="508420B3" w14:textId="77777777" w:rsidR="001333B2" w:rsidRPr="00AD67C2" w:rsidRDefault="001333B2" w:rsidP="001333B2">
            <w:pPr>
              <w:widowControl w:val="0"/>
              <w:tabs>
                <w:tab w:val="left" w:pos="1077"/>
              </w:tabs>
              <w:suppressAutoHyphens w:val="0"/>
              <w:spacing w:before="120" w:after="120"/>
              <w:ind w:firstLine="0"/>
              <w:jc w:val="center"/>
              <w:rPr>
                <w:rFonts w:eastAsia="Calibri" w:cs="Times New Roman"/>
                <w:bCs/>
                <w:sz w:val="22"/>
                <w:szCs w:val="22"/>
              </w:rPr>
            </w:pPr>
            <w:r w:rsidRPr="00AD67C2">
              <w:rPr>
                <w:rFonts w:eastAsia="Calibri" w:cs="Times New Roman"/>
                <w:bCs/>
                <w:sz w:val="22"/>
                <w:szCs w:val="22"/>
              </w:rPr>
              <w:t>(МВт)</w:t>
            </w:r>
          </w:p>
        </w:tc>
        <w:tc>
          <w:tcPr>
            <w:tcW w:w="971" w:type="dxa"/>
            <w:vAlign w:val="center"/>
          </w:tcPr>
          <w:p w14:paraId="77E74AFD" w14:textId="77777777" w:rsidR="001333B2" w:rsidRPr="00AD67C2" w:rsidRDefault="001333B2" w:rsidP="001333B2">
            <w:pPr>
              <w:widowControl w:val="0"/>
              <w:tabs>
                <w:tab w:val="left" w:pos="1077"/>
              </w:tabs>
              <w:suppressAutoHyphens w:val="0"/>
              <w:spacing w:before="120" w:after="120"/>
              <w:ind w:firstLine="0"/>
              <w:jc w:val="center"/>
              <w:rPr>
                <w:rFonts w:eastAsia="Calibri" w:cs="Times New Roman"/>
                <w:bCs/>
                <w:sz w:val="22"/>
                <w:szCs w:val="22"/>
              </w:rPr>
            </w:pPr>
            <w:r w:rsidRPr="00AD67C2">
              <w:rPr>
                <w:rFonts w:eastAsia="Calibri" w:cs="Times New Roman"/>
                <w:bCs/>
                <w:sz w:val="22"/>
                <w:szCs w:val="22"/>
              </w:rPr>
              <w:t>(Мвар)</w:t>
            </w:r>
          </w:p>
        </w:tc>
      </w:tr>
      <w:tr w:rsidR="001333B2" w:rsidRPr="00AD67C2" w14:paraId="3029E665" w14:textId="77777777" w:rsidTr="0064152E">
        <w:trPr>
          <w:trHeight w:val="227"/>
        </w:trPr>
        <w:tc>
          <w:tcPr>
            <w:tcW w:w="970" w:type="dxa"/>
            <w:vAlign w:val="center"/>
          </w:tcPr>
          <w:p w14:paraId="28F175FD" w14:textId="77777777" w:rsidR="001333B2" w:rsidRPr="00AD67C2" w:rsidRDefault="001333B2" w:rsidP="001333B2">
            <w:pPr>
              <w:widowControl w:val="0"/>
              <w:tabs>
                <w:tab w:val="left" w:pos="1077"/>
              </w:tabs>
              <w:suppressAutoHyphens w:val="0"/>
              <w:spacing w:before="120" w:after="120"/>
              <w:ind w:firstLine="0"/>
              <w:jc w:val="center"/>
              <w:rPr>
                <w:rFonts w:eastAsia="Calibri" w:cs="Times New Roman"/>
                <w:bCs/>
                <w:sz w:val="22"/>
                <w:szCs w:val="22"/>
              </w:rPr>
            </w:pPr>
            <w:r w:rsidRPr="00AD67C2">
              <w:rPr>
                <w:rFonts w:eastAsia="Calibri" w:cs="Times New Roman"/>
                <w:bCs/>
                <w:sz w:val="22"/>
                <w:szCs w:val="22"/>
              </w:rPr>
              <w:t>1</w:t>
            </w:r>
          </w:p>
        </w:tc>
        <w:tc>
          <w:tcPr>
            <w:tcW w:w="970" w:type="dxa"/>
          </w:tcPr>
          <w:p w14:paraId="524836D0" w14:textId="77777777" w:rsidR="001333B2" w:rsidRPr="00AD67C2" w:rsidRDefault="001333B2" w:rsidP="001333B2">
            <w:pPr>
              <w:widowControl w:val="0"/>
              <w:tabs>
                <w:tab w:val="left" w:pos="1077"/>
              </w:tabs>
              <w:suppressAutoHyphens w:val="0"/>
              <w:spacing w:before="120" w:after="120"/>
              <w:ind w:firstLine="0"/>
              <w:rPr>
                <w:rFonts w:eastAsia="Calibri" w:cs="Times New Roman"/>
                <w:bCs/>
                <w:sz w:val="22"/>
                <w:szCs w:val="22"/>
              </w:rPr>
            </w:pPr>
          </w:p>
        </w:tc>
        <w:tc>
          <w:tcPr>
            <w:tcW w:w="970" w:type="dxa"/>
          </w:tcPr>
          <w:p w14:paraId="376BA37A" w14:textId="77777777" w:rsidR="001333B2" w:rsidRPr="00AD67C2" w:rsidRDefault="001333B2" w:rsidP="001333B2">
            <w:pPr>
              <w:widowControl w:val="0"/>
              <w:tabs>
                <w:tab w:val="left" w:pos="1077"/>
              </w:tabs>
              <w:suppressAutoHyphens w:val="0"/>
              <w:spacing w:before="120" w:after="120"/>
              <w:ind w:firstLine="0"/>
              <w:rPr>
                <w:rFonts w:eastAsia="Calibri" w:cs="Times New Roman"/>
                <w:bCs/>
                <w:sz w:val="22"/>
                <w:szCs w:val="22"/>
              </w:rPr>
            </w:pPr>
          </w:p>
        </w:tc>
        <w:tc>
          <w:tcPr>
            <w:tcW w:w="970" w:type="dxa"/>
          </w:tcPr>
          <w:p w14:paraId="376B57F6" w14:textId="77777777" w:rsidR="001333B2" w:rsidRPr="00AD67C2" w:rsidRDefault="001333B2" w:rsidP="001333B2">
            <w:pPr>
              <w:widowControl w:val="0"/>
              <w:tabs>
                <w:tab w:val="left" w:pos="1077"/>
              </w:tabs>
              <w:suppressAutoHyphens w:val="0"/>
              <w:spacing w:before="120" w:after="120"/>
              <w:ind w:firstLine="0"/>
              <w:rPr>
                <w:rFonts w:eastAsia="Calibri" w:cs="Times New Roman"/>
                <w:bCs/>
                <w:sz w:val="22"/>
                <w:szCs w:val="22"/>
              </w:rPr>
            </w:pPr>
          </w:p>
        </w:tc>
        <w:tc>
          <w:tcPr>
            <w:tcW w:w="970" w:type="dxa"/>
          </w:tcPr>
          <w:p w14:paraId="2C1A4DA3" w14:textId="77777777" w:rsidR="001333B2" w:rsidRPr="00AD67C2" w:rsidRDefault="001333B2" w:rsidP="001333B2">
            <w:pPr>
              <w:widowControl w:val="0"/>
              <w:tabs>
                <w:tab w:val="left" w:pos="1077"/>
              </w:tabs>
              <w:suppressAutoHyphens w:val="0"/>
              <w:spacing w:before="120" w:after="120"/>
              <w:ind w:firstLine="0"/>
              <w:rPr>
                <w:rFonts w:eastAsia="Calibri" w:cs="Times New Roman"/>
                <w:bCs/>
                <w:sz w:val="22"/>
                <w:szCs w:val="22"/>
              </w:rPr>
            </w:pPr>
          </w:p>
        </w:tc>
        <w:tc>
          <w:tcPr>
            <w:tcW w:w="971" w:type="dxa"/>
          </w:tcPr>
          <w:p w14:paraId="082134D1" w14:textId="77777777" w:rsidR="001333B2" w:rsidRPr="00AD67C2" w:rsidRDefault="001333B2" w:rsidP="001333B2">
            <w:pPr>
              <w:widowControl w:val="0"/>
              <w:tabs>
                <w:tab w:val="left" w:pos="1077"/>
              </w:tabs>
              <w:suppressAutoHyphens w:val="0"/>
              <w:spacing w:before="120" w:after="120"/>
              <w:ind w:firstLine="0"/>
              <w:rPr>
                <w:rFonts w:eastAsia="Calibri" w:cs="Times New Roman"/>
                <w:bCs/>
                <w:sz w:val="22"/>
                <w:szCs w:val="22"/>
              </w:rPr>
            </w:pPr>
          </w:p>
        </w:tc>
        <w:tc>
          <w:tcPr>
            <w:tcW w:w="971" w:type="dxa"/>
          </w:tcPr>
          <w:p w14:paraId="7CF3FE27" w14:textId="77777777" w:rsidR="001333B2" w:rsidRPr="00AD67C2" w:rsidRDefault="001333B2" w:rsidP="001333B2">
            <w:pPr>
              <w:widowControl w:val="0"/>
              <w:tabs>
                <w:tab w:val="left" w:pos="1077"/>
              </w:tabs>
              <w:suppressAutoHyphens w:val="0"/>
              <w:spacing w:before="120" w:after="120"/>
              <w:ind w:firstLine="0"/>
              <w:rPr>
                <w:rFonts w:eastAsia="Calibri" w:cs="Times New Roman"/>
                <w:bCs/>
                <w:sz w:val="22"/>
                <w:szCs w:val="22"/>
              </w:rPr>
            </w:pPr>
          </w:p>
        </w:tc>
        <w:tc>
          <w:tcPr>
            <w:tcW w:w="971" w:type="dxa"/>
          </w:tcPr>
          <w:p w14:paraId="376A2244" w14:textId="77777777" w:rsidR="001333B2" w:rsidRPr="00AD67C2" w:rsidRDefault="001333B2" w:rsidP="001333B2">
            <w:pPr>
              <w:widowControl w:val="0"/>
              <w:tabs>
                <w:tab w:val="left" w:pos="1077"/>
              </w:tabs>
              <w:suppressAutoHyphens w:val="0"/>
              <w:spacing w:before="120" w:after="120"/>
              <w:ind w:firstLine="0"/>
              <w:rPr>
                <w:rFonts w:eastAsia="Calibri" w:cs="Times New Roman"/>
                <w:bCs/>
                <w:sz w:val="22"/>
                <w:szCs w:val="22"/>
              </w:rPr>
            </w:pPr>
          </w:p>
        </w:tc>
        <w:tc>
          <w:tcPr>
            <w:tcW w:w="971" w:type="dxa"/>
          </w:tcPr>
          <w:p w14:paraId="7DB16D88" w14:textId="77777777" w:rsidR="001333B2" w:rsidRPr="00AD67C2" w:rsidRDefault="001333B2" w:rsidP="001333B2">
            <w:pPr>
              <w:widowControl w:val="0"/>
              <w:tabs>
                <w:tab w:val="left" w:pos="1077"/>
              </w:tabs>
              <w:suppressAutoHyphens w:val="0"/>
              <w:spacing w:before="120" w:after="120"/>
              <w:ind w:firstLine="0"/>
              <w:rPr>
                <w:rFonts w:eastAsia="Calibri" w:cs="Times New Roman"/>
                <w:bCs/>
                <w:sz w:val="22"/>
                <w:szCs w:val="22"/>
              </w:rPr>
            </w:pPr>
          </w:p>
        </w:tc>
        <w:tc>
          <w:tcPr>
            <w:tcW w:w="971" w:type="dxa"/>
          </w:tcPr>
          <w:p w14:paraId="1AC3EAA7" w14:textId="77777777" w:rsidR="001333B2" w:rsidRPr="00AD67C2" w:rsidRDefault="001333B2" w:rsidP="001333B2">
            <w:pPr>
              <w:widowControl w:val="0"/>
              <w:tabs>
                <w:tab w:val="left" w:pos="1077"/>
              </w:tabs>
              <w:suppressAutoHyphens w:val="0"/>
              <w:spacing w:before="120" w:after="120"/>
              <w:ind w:firstLine="0"/>
              <w:rPr>
                <w:rFonts w:eastAsia="Calibri" w:cs="Times New Roman"/>
                <w:bCs/>
                <w:sz w:val="22"/>
                <w:szCs w:val="22"/>
              </w:rPr>
            </w:pPr>
          </w:p>
        </w:tc>
        <w:tc>
          <w:tcPr>
            <w:tcW w:w="971" w:type="dxa"/>
          </w:tcPr>
          <w:p w14:paraId="690DC00A" w14:textId="77777777" w:rsidR="001333B2" w:rsidRPr="00AD67C2" w:rsidRDefault="001333B2" w:rsidP="001333B2">
            <w:pPr>
              <w:widowControl w:val="0"/>
              <w:tabs>
                <w:tab w:val="left" w:pos="1077"/>
              </w:tabs>
              <w:suppressAutoHyphens w:val="0"/>
              <w:spacing w:before="120" w:after="120"/>
              <w:ind w:firstLine="0"/>
              <w:rPr>
                <w:rFonts w:eastAsia="Calibri" w:cs="Times New Roman"/>
                <w:bCs/>
                <w:sz w:val="22"/>
                <w:szCs w:val="22"/>
              </w:rPr>
            </w:pPr>
          </w:p>
        </w:tc>
        <w:tc>
          <w:tcPr>
            <w:tcW w:w="971" w:type="dxa"/>
          </w:tcPr>
          <w:p w14:paraId="4F8D2263" w14:textId="77777777" w:rsidR="001333B2" w:rsidRPr="00AD67C2" w:rsidRDefault="001333B2" w:rsidP="001333B2">
            <w:pPr>
              <w:widowControl w:val="0"/>
              <w:tabs>
                <w:tab w:val="left" w:pos="1077"/>
              </w:tabs>
              <w:suppressAutoHyphens w:val="0"/>
              <w:spacing w:before="120" w:after="120"/>
              <w:ind w:firstLine="0"/>
              <w:rPr>
                <w:rFonts w:eastAsia="Calibri" w:cs="Times New Roman"/>
                <w:bCs/>
                <w:sz w:val="22"/>
                <w:szCs w:val="22"/>
              </w:rPr>
            </w:pPr>
          </w:p>
        </w:tc>
        <w:tc>
          <w:tcPr>
            <w:tcW w:w="971" w:type="dxa"/>
          </w:tcPr>
          <w:p w14:paraId="746D193C" w14:textId="77777777" w:rsidR="001333B2" w:rsidRPr="00AD67C2" w:rsidRDefault="001333B2" w:rsidP="001333B2">
            <w:pPr>
              <w:widowControl w:val="0"/>
              <w:tabs>
                <w:tab w:val="left" w:pos="1077"/>
              </w:tabs>
              <w:suppressAutoHyphens w:val="0"/>
              <w:spacing w:before="120" w:after="120"/>
              <w:ind w:firstLine="0"/>
              <w:rPr>
                <w:rFonts w:eastAsia="Calibri" w:cs="Times New Roman"/>
                <w:bCs/>
                <w:sz w:val="22"/>
                <w:szCs w:val="22"/>
              </w:rPr>
            </w:pPr>
          </w:p>
        </w:tc>
        <w:tc>
          <w:tcPr>
            <w:tcW w:w="971" w:type="dxa"/>
          </w:tcPr>
          <w:p w14:paraId="186E1ADF" w14:textId="77777777" w:rsidR="001333B2" w:rsidRPr="00AD67C2" w:rsidRDefault="001333B2" w:rsidP="001333B2">
            <w:pPr>
              <w:widowControl w:val="0"/>
              <w:tabs>
                <w:tab w:val="left" w:pos="1077"/>
              </w:tabs>
              <w:suppressAutoHyphens w:val="0"/>
              <w:spacing w:before="120" w:after="120"/>
              <w:ind w:firstLine="0"/>
              <w:rPr>
                <w:rFonts w:eastAsia="Calibri" w:cs="Times New Roman"/>
                <w:bCs/>
                <w:sz w:val="22"/>
                <w:szCs w:val="22"/>
              </w:rPr>
            </w:pPr>
          </w:p>
        </w:tc>
        <w:tc>
          <w:tcPr>
            <w:tcW w:w="971" w:type="dxa"/>
          </w:tcPr>
          <w:p w14:paraId="53098B17" w14:textId="77777777" w:rsidR="001333B2" w:rsidRPr="00AD67C2" w:rsidRDefault="001333B2" w:rsidP="001333B2">
            <w:pPr>
              <w:widowControl w:val="0"/>
              <w:tabs>
                <w:tab w:val="left" w:pos="1077"/>
              </w:tabs>
              <w:suppressAutoHyphens w:val="0"/>
              <w:spacing w:before="120" w:after="120"/>
              <w:ind w:firstLine="0"/>
              <w:rPr>
                <w:rFonts w:eastAsia="Calibri" w:cs="Times New Roman"/>
                <w:bCs/>
                <w:sz w:val="22"/>
                <w:szCs w:val="22"/>
              </w:rPr>
            </w:pPr>
          </w:p>
        </w:tc>
      </w:tr>
      <w:tr w:rsidR="001333B2" w:rsidRPr="00AD67C2" w14:paraId="045CCA1E" w14:textId="77777777" w:rsidTr="0064152E">
        <w:trPr>
          <w:trHeight w:val="227"/>
        </w:trPr>
        <w:tc>
          <w:tcPr>
            <w:tcW w:w="970" w:type="dxa"/>
            <w:vAlign w:val="center"/>
          </w:tcPr>
          <w:p w14:paraId="52787FE4" w14:textId="77777777" w:rsidR="001333B2" w:rsidRPr="00AD67C2" w:rsidRDefault="001333B2" w:rsidP="001333B2">
            <w:pPr>
              <w:widowControl w:val="0"/>
              <w:tabs>
                <w:tab w:val="left" w:pos="1077"/>
              </w:tabs>
              <w:suppressAutoHyphens w:val="0"/>
              <w:spacing w:before="120" w:after="120"/>
              <w:ind w:firstLine="0"/>
              <w:jc w:val="center"/>
              <w:rPr>
                <w:rFonts w:eastAsia="Calibri" w:cs="Times New Roman"/>
                <w:bCs/>
                <w:sz w:val="22"/>
                <w:szCs w:val="22"/>
              </w:rPr>
            </w:pPr>
            <w:r w:rsidRPr="00AD67C2">
              <w:rPr>
                <w:rFonts w:eastAsia="Calibri" w:cs="Times New Roman"/>
                <w:bCs/>
                <w:sz w:val="22"/>
                <w:szCs w:val="22"/>
              </w:rPr>
              <w:t>2</w:t>
            </w:r>
          </w:p>
        </w:tc>
        <w:tc>
          <w:tcPr>
            <w:tcW w:w="970" w:type="dxa"/>
          </w:tcPr>
          <w:p w14:paraId="73CF2771" w14:textId="77777777" w:rsidR="001333B2" w:rsidRPr="00AD67C2" w:rsidRDefault="001333B2" w:rsidP="001333B2">
            <w:pPr>
              <w:widowControl w:val="0"/>
              <w:tabs>
                <w:tab w:val="left" w:pos="1077"/>
              </w:tabs>
              <w:suppressAutoHyphens w:val="0"/>
              <w:spacing w:before="120" w:after="120"/>
              <w:ind w:firstLine="0"/>
              <w:rPr>
                <w:rFonts w:eastAsia="Calibri" w:cs="Times New Roman"/>
                <w:bCs/>
                <w:sz w:val="22"/>
                <w:szCs w:val="22"/>
              </w:rPr>
            </w:pPr>
          </w:p>
        </w:tc>
        <w:tc>
          <w:tcPr>
            <w:tcW w:w="970" w:type="dxa"/>
          </w:tcPr>
          <w:p w14:paraId="6D28FD2E" w14:textId="77777777" w:rsidR="001333B2" w:rsidRPr="00AD67C2" w:rsidRDefault="001333B2" w:rsidP="001333B2">
            <w:pPr>
              <w:widowControl w:val="0"/>
              <w:tabs>
                <w:tab w:val="left" w:pos="1077"/>
              </w:tabs>
              <w:suppressAutoHyphens w:val="0"/>
              <w:spacing w:before="120" w:after="120"/>
              <w:ind w:firstLine="0"/>
              <w:rPr>
                <w:rFonts w:eastAsia="Calibri" w:cs="Times New Roman"/>
                <w:bCs/>
                <w:sz w:val="22"/>
                <w:szCs w:val="22"/>
              </w:rPr>
            </w:pPr>
          </w:p>
        </w:tc>
        <w:tc>
          <w:tcPr>
            <w:tcW w:w="970" w:type="dxa"/>
          </w:tcPr>
          <w:p w14:paraId="5885B38A" w14:textId="77777777" w:rsidR="001333B2" w:rsidRPr="00AD67C2" w:rsidRDefault="001333B2" w:rsidP="001333B2">
            <w:pPr>
              <w:widowControl w:val="0"/>
              <w:tabs>
                <w:tab w:val="left" w:pos="1077"/>
              </w:tabs>
              <w:suppressAutoHyphens w:val="0"/>
              <w:spacing w:before="120" w:after="120"/>
              <w:ind w:firstLine="0"/>
              <w:rPr>
                <w:rFonts w:eastAsia="Calibri" w:cs="Times New Roman"/>
                <w:bCs/>
                <w:sz w:val="22"/>
                <w:szCs w:val="22"/>
              </w:rPr>
            </w:pPr>
          </w:p>
        </w:tc>
        <w:tc>
          <w:tcPr>
            <w:tcW w:w="970" w:type="dxa"/>
          </w:tcPr>
          <w:p w14:paraId="1C458948" w14:textId="77777777" w:rsidR="001333B2" w:rsidRPr="00AD67C2" w:rsidRDefault="001333B2" w:rsidP="001333B2">
            <w:pPr>
              <w:widowControl w:val="0"/>
              <w:tabs>
                <w:tab w:val="left" w:pos="1077"/>
              </w:tabs>
              <w:suppressAutoHyphens w:val="0"/>
              <w:spacing w:before="120" w:after="120"/>
              <w:ind w:firstLine="0"/>
              <w:rPr>
                <w:rFonts w:eastAsia="Calibri" w:cs="Times New Roman"/>
                <w:bCs/>
                <w:sz w:val="22"/>
                <w:szCs w:val="22"/>
              </w:rPr>
            </w:pPr>
          </w:p>
        </w:tc>
        <w:tc>
          <w:tcPr>
            <w:tcW w:w="971" w:type="dxa"/>
          </w:tcPr>
          <w:p w14:paraId="32B041F5" w14:textId="77777777" w:rsidR="001333B2" w:rsidRPr="00AD67C2" w:rsidRDefault="001333B2" w:rsidP="001333B2">
            <w:pPr>
              <w:widowControl w:val="0"/>
              <w:tabs>
                <w:tab w:val="left" w:pos="1077"/>
              </w:tabs>
              <w:suppressAutoHyphens w:val="0"/>
              <w:spacing w:before="120" w:after="120"/>
              <w:ind w:firstLine="0"/>
              <w:rPr>
                <w:rFonts w:eastAsia="Calibri" w:cs="Times New Roman"/>
                <w:bCs/>
                <w:sz w:val="22"/>
                <w:szCs w:val="22"/>
              </w:rPr>
            </w:pPr>
          </w:p>
        </w:tc>
        <w:tc>
          <w:tcPr>
            <w:tcW w:w="971" w:type="dxa"/>
          </w:tcPr>
          <w:p w14:paraId="2EDF33B0" w14:textId="77777777" w:rsidR="001333B2" w:rsidRPr="00AD67C2" w:rsidRDefault="001333B2" w:rsidP="001333B2">
            <w:pPr>
              <w:widowControl w:val="0"/>
              <w:tabs>
                <w:tab w:val="left" w:pos="1077"/>
              </w:tabs>
              <w:suppressAutoHyphens w:val="0"/>
              <w:spacing w:before="120" w:after="120"/>
              <w:ind w:firstLine="0"/>
              <w:rPr>
                <w:rFonts w:eastAsia="Calibri" w:cs="Times New Roman"/>
                <w:bCs/>
                <w:sz w:val="22"/>
                <w:szCs w:val="22"/>
              </w:rPr>
            </w:pPr>
          </w:p>
        </w:tc>
        <w:tc>
          <w:tcPr>
            <w:tcW w:w="971" w:type="dxa"/>
          </w:tcPr>
          <w:p w14:paraId="43CEBF0E" w14:textId="77777777" w:rsidR="001333B2" w:rsidRPr="00AD67C2" w:rsidRDefault="001333B2" w:rsidP="001333B2">
            <w:pPr>
              <w:widowControl w:val="0"/>
              <w:tabs>
                <w:tab w:val="left" w:pos="1077"/>
              </w:tabs>
              <w:suppressAutoHyphens w:val="0"/>
              <w:spacing w:before="120" w:after="120"/>
              <w:ind w:firstLine="0"/>
              <w:rPr>
                <w:rFonts w:eastAsia="Calibri" w:cs="Times New Roman"/>
                <w:bCs/>
                <w:sz w:val="22"/>
                <w:szCs w:val="22"/>
              </w:rPr>
            </w:pPr>
          </w:p>
        </w:tc>
        <w:tc>
          <w:tcPr>
            <w:tcW w:w="971" w:type="dxa"/>
          </w:tcPr>
          <w:p w14:paraId="6D8446F0" w14:textId="77777777" w:rsidR="001333B2" w:rsidRPr="00AD67C2" w:rsidRDefault="001333B2" w:rsidP="001333B2">
            <w:pPr>
              <w:widowControl w:val="0"/>
              <w:tabs>
                <w:tab w:val="left" w:pos="1077"/>
              </w:tabs>
              <w:suppressAutoHyphens w:val="0"/>
              <w:spacing w:before="120" w:after="120"/>
              <w:ind w:firstLine="0"/>
              <w:rPr>
                <w:rFonts w:eastAsia="Calibri" w:cs="Times New Roman"/>
                <w:bCs/>
                <w:sz w:val="22"/>
                <w:szCs w:val="22"/>
              </w:rPr>
            </w:pPr>
          </w:p>
        </w:tc>
        <w:tc>
          <w:tcPr>
            <w:tcW w:w="971" w:type="dxa"/>
          </w:tcPr>
          <w:p w14:paraId="06A250A3" w14:textId="77777777" w:rsidR="001333B2" w:rsidRPr="00AD67C2" w:rsidRDefault="001333B2" w:rsidP="001333B2">
            <w:pPr>
              <w:widowControl w:val="0"/>
              <w:tabs>
                <w:tab w:val="left" w:pos="1077"/>
              </w:tabs>
              <w:suppressAutoHyphens w:val="0"/>
              <w:spacing w:before="120" w:after="120"/>
              <w:ind w:firstLine="0"/>
              <w:rPr>
                <w:rFonts w:eastAsia="Calibri" w:cs="Times New Roman"/>
                <w:bCs/>
                <w:sz w:val="22"/>
                <w:szCs w:val="22"/>
              </w:rPr>
            </w:pPr>
          </w:p>
        </w:tc>
        <w:tc>
          <w:tcPr>
            <w:tcW w:w="971" w:type="dxa"/>
          </w:tcPr>
          <w:p w14:paraId="1BFC42FA" w14:textId="77777777" w:rsidR="001333B2" w:rsidRPr="00AD67C2" w:rsidRDefault="001333B2" w:rsidP="001333B2">
            <w:pPr>
              <w:widowControl w:val="0"/>
              <w:tabs>
                <w:tab w:val="left" w:pos="1077"/>
              </w:tabs>
              <w:suppressAutoHyphens w:val="0"/>
              <w:spacing w:before="120" w:after="120"/>
              <w:ind w:firstLine="0"/>
              <w:rPr>
                <w:rFonts w:eastAsia="Calibri" w:cs="Times New Roman"/>
                <w:bCs/>
                <w:sz w:val="22"/>
                <w:szCs w:val="22"/>
              </w:rPr>
            </w:pPr>
          </w:p>
        </w:tc>
        <w:tc>
          <w:tcPr>
            <w:tcW w:w="971" w:type="dxa"/>
          </w:tcPr>
          <w:p w14:paraId="37A2286B" w14:textId="77777777" w:rsidR="001333B2" w:rsidRPr="00AD67C2" w:rsidRDefault="001333B2" w:rsidP="001333B2">
            <w:pPr>
              <w:widowControl w:val="0"/>
              <w:tabs>
                <w:tab w:val="left" w:pos="1077"/>
              </w:tabs>
              <w:suppressAutoHyphens w:val="0"/>
              <w:spacing w:before="120" w:after="120"/>
              <w:ind w:firstLine="0"/>
              <w:rPr>
                <w:rFonts w:eastAsia="Calibri" w:cs="Times New Roman"/>
                <w:bCs/>
                <w:sz w:val="22"/>
                <w:szCs w:val="22"/>
              </w:rPr>
            </w:pPr>
          </w:p>
        </w:tc>
        <w:tc>
          <w:tcPr>
            <w:tcW w:w="971" w:type="dxa"/>
          </w:tcPr>
          <w:p w14:paraId="62F5622B" w14:textId="77777777" w:rsidR="001333B2" w:rsidRPr="00AD67C2" w:rsidRDefault="001333B2" w:rsidP="001333B2">
            <w:pPr>
              <w:widowControl w:val="0"/>
              <w:tabs>
                <w:tab w:val="left" w:pos="1077"/>
              </w:tabs>
              <w:suppressAutoHyphens w:val="0"/>
              <w:spacing w:before="120" w:after="120"/>
              <w:ind w:firstLine="0"/>
              <w:rPr>
                <w:rFonts w:eastAsia="Calibri" w:cs="Times New Roman"/>
                <w:bCs/>
                <w:sz w:val="22"/>
                <w:szCs w:val="22"/>
              </w:rPr>
            </w:pPr>
          </w:p>
        </w:tc>
        <w:tc>
          <w:tcPr>
            <w:tcW w:w="971" w:type="dxa"/>
          </w:tcPr>
          <w:p w14:paraId="7AC3E887" w14:textId="77777777" w:rsidR="001333B2" w:rsidRPr="00AD67C2" w:rsidRDefault="001333B2" w:rsidP="001333B2">
            <w:pPr>
              <w:widowControl w:val="0"/>
              <w:tabs>
                <w:tab w:val="left" w:pos="1077"/>
              </w:tabs>
              <w:suppressAutoHyphens w:val="0"/>
              <w:spacing w:before="120" w:after="120"/>
              <w:ind w:firstLine="0"/>
              <w:rPr>
                <w:rFonts w:eastAsia="Calibri" w:cs="Times New Roman"/>
                <w:bCs/>
                <w:sz w:val="22"/>
                <w:szCs w:val="22"/>
              </w:rPr>
            </w:pPr>
          </w:p>
        </w:tc>
        <w:tc>
          <w:tcPr>
            <w:tcW w:w="971" w:type="dxa"/>
          </w:tcPr>
          <w:p w14:paraId="48BC8C3D" w14:textId="77777777" w:rsidR="001333B2" w:rsidRPr="00AD67C2" w:rsidRDefault="001333B2" w:rsidP="001333B2">
            <w:pPr>
              <w:widowControl w:val="0"/>
              <w:tabs>
                <w:tab w:val="left" w:pos="1077"/>
              </w:tabs>
              <w:suppressAutoHyphens w:val="0"/>
              <w:spacing w:before="120" w:after="120"/>
              <w:ind w:firstLine="0"/>
              <w:rPr>
                <w:rFonts w:eastAsia="Calibri" w:cs="Times New Roman"/>
                <w:bCs/>
                <w:sz w:val="22"/>
                <w:szCs w:val="22"/>
              </w:rPr>
            </w:pPr>
          </w:p>
        </w:tc>
      </w:tr>
      <w:tr w:rsidR="001333B2" w:rsidRPr="00AD67C2" w14:paraId="3095C38D" w14:textId="77777777" w:rsidTr="0064152E">
        <w:trPr>
          <w:trHeight w:val="227"/>
        </w:trPr>
        <w:tc>
          <w:tcPr>
            <w:tcW w:w="970" w:type="dxa"/>
            <w:vAlign w:val="center"/>
          </w:tcPr>
          <w:p w14:paraId="76C29F16" w14:textId="77777777" w:rsidR="001333B2" w:rsidRPr="00AD67C2" w:rsidRDefault="001333B2" w:rsidP="001333B2">
            <w:pPr>
              <w:widowControl w:val="0"/>
              <w:tabs>
                <w:tab w:val="left" w:pos="1077"/>
              </w:tabs>
              <w:suppressAutoHyphens w:val="0"/>
              <w:spacing w:before="120" w:after="120"/>
              <w:ind w:firstLine="0"/>
              <w:jc w:val="center"/>
              <w:rPr>
                <w:rFonts w:eastAsia="Calibri" w:cs="Times New Roman"/>
                <w:bCs/>
                <w:sz w:val="22"/>
                <w:szCs w:val="22"/>
              </w:rPr>
            </w:pPr>
            <w:r w:rsidRPr="00AD67C2">
              <w:rPr>
                <w:rFonts w:eastAsia="Calibri" w:cs="Times New Roman"/>
                <w:bCs/>
                <w:sz w:val="22"/>
                <w:szCs w:val="22"/>
              </w:rPr>
              <w:t>3</w:t>
            </w:r>
          </w:p>
        </w:tc>
        <w:tc>
          <w:tcPr>
            <w:tcW w:w="970" w:type="dxa"/>
          </w:tcPr>
          <w:p w14:paraId="235E060E" w14:textId="77777777" w:rsidR="001333B2" w:rsidRPr="00AD67C2" w:rsidRDefault="001333B2" w:rsidP="001333B2">
            <w:pPr>
              <w:widowControl w:val="0"/>
              <w:tabs>
                <w:tab w:val="left" w:pos="1077"/>
              </w:tabs>
              <w:suppressAutoHyphens w:val="0"/>
              <w:spacing w:before="120" w:after="120"/>
              <w:ind w:firstLine="0"/>
              <w:rPr>
                <w:rFonts w:eastAsia="Calibri" w:cs="Times New Roman"/>
                <w:bCs/>
                <w:sz w:val="22"/>
                <w:szCs w:val="22"/>
              </w:rPr>
            </w:pPr>
          </w:p>
        </w:tc>
        <w:tc>
          <w:tcPr>
            <w:tcW w:w="970" w:type="dxa"/>
          </w:tcPr>
          <w:p w14:paraId="691B12B0" w14:textId="77777777" w:rsidR="001333B2" w:rsidRPr="00AD67C2" w:rsidRDefault="001333B2" w:rsidP="001333B2">
            <w:pPr>
              <w:widowControl w:val="0"/>
              <w:tabs>
                <w:tab w:val="left" w:pos="1077"/>
              </w:tabs>
              <w:suppressAutoHyphens w:val="0"/>
              <w:spacing w:before="120" w:after="120"/>
              <w:ind w:firstLine="0"/>
              <w:rPr>
                <w:rFonts w:eastAsia="Calibri" w:cs="Times New Roman"/>
                <w:bCs/>
                <w:sz w:val="22"/>
                <w:szCs w:val="22"/>
              </w:rPr>
            </w:pPr>
          </w:p>
        </w:tc>
        <w:tc>
          <w:tcPr>
            <w:tcW w:w="970" w:type="dxa"/>
          </w:tcPr>
          <w:p w14:paraId="4EA8CE57" w14:textId="77777777" w:rsidR="001333B2" w:rsidRPr="00AD67C2" w:rsidRDefault="001333B2" w:rsidP="001333B2">
            <w:pPr>
              <w:widowControl w:val="0"/>
              <w:tabs>
                <w:tab w:val="left" w:pos="1077"/>
              </w:tabs>
              <w:suppressAutoHyphens w:val="0"/>
              <w:spacing w:before="120" w:after="120"/>
              <w:ind w:firstLine="0"/>
              <w:rPr>
                <w:rFonts w:eastAsia="Calibri" w:cs="Times New Roman"/>
                <w:bCs/>
                <w:sz w:val="22"/>
                <w:szCs w:val="22"/>
              </w:rPr>
            </w:pPr>
          </w:p>
        </w:tc>
        <w:tc>
          <w:tcPr>
            <w:tcW w:w="970" w:type="dxa"/>
          </w:tcPr>
          <w:p w14:paraId="3D00C8BB" w14:textId="77777777" w:rsidR="001333B2" w:rsidRPr="00AD67C2" w:rsidRDefault="001333B2" w:rsidP="001333B2">
            <w:pPr>
              <w:widowControl w:val="0"/>
              <w:tabs>
                <w:tab w:val="left" w:pos="1077"/>
              </w:tabs>
              <w:suppressAutoHyphens w:val="0"/>
              <w:spacing w:before="120" w:after="120"/>
              <w:ind w:firstLine="0"/>
              <w:rPr>
                <w:rFonts w:eastAsia="Calibri" w:cs="Times New Roman"/>
                <w:bCs/>
                <w:sz w:val="22"/>
                <w:szCs w:val="22"/>
              </w:rPr>
            </w:pPr>
          </w:p>
        </w:tc>
        <w:tc>
          <w:tcPr>
            <w:tcW w:w="971" w:type="dxa"/>
          </w:tcPr>
          <w:p w14:paraId="622181B4" w14:textId="77777777" w:rsidR="001333B2" w:rsidRPr="00AD67C2" w:rsidRDefault="001333B2" w:rsidP="001333B2">
            <w:pPr>
              <w:widowControl w:val="0"/>
              <w:tabs>
                <w:tab w:val="left" w:pos="1077"/>
              </w:tabs>
              <w:suppressAutoHyphens w:val="0"/>
              <w:spacing w:before="120" w:after="120"/>
              <w:ind w:firstLine="0"/>
              <w:rPr>
                <w:rFonts w:eastAsia="Calibri" w:cs="Times New Roman"/>
                <w:bCs/>
                <w:sz w:val="22"/>
                <w:szCs w:val="22"/>
              </w:rPr>
            </w:pPr>
          </w:p>
        </w:tc>
        <w:tc>
          <w:tcPr>
            <w:tcW w:w="971" w:type="dxa"/>
          </w:tcPr>
          <w:p w14:paraId="3A79B314" w14:textId="77777777" w:rsidR="001333B2" w:rsidRPr="00AD67C2" w:rsidRDefault="001333B2" w:rsidP="001333B2">
            <w:pPr>
              <w:widowControl w:val="0"/>
              <w:tabs>
                <w:tab w:val="left" w:pos="1077"/>
              </w:tabs>
              <w:suppressAutoHyphens w:val="0"/>
              <w:spacing w:before="120" w:after="120"/>
              <w:ind w:firstLine="0"/>
              <w:rPr>
                <w:rFonts w:eastAsia="Calibri" w:cs="Times New Roman"/>
                <w:bCs/>
                <w:sz w:val="22"/>
                <w:szCs w:val="22"/>
              </w:rPr>
            </w:pPr>
          </w:p>
        </w:tc>
        <w:tc>
          <w:tcPr>
            <w:tcW w:w="971" w:type="dxa"/>
          </w:tcPr>
          <w:p w14:paraId="69D7D430" w14:textId="77777777" w:rsidR="001333B2" w:rsidRPr="00AD67C2" w:rsidRDefault="001333B2" w:rsidP="001333B2">
            <w:pPr>
              <w:widowControl w:val="0"/>
              <w:tabs>
                <w:tab w:val="left" w:pos="1077"/>
              </w:tabs>
              <w:suppressAutoHyphens w:val="0"/>
              <w:spacing w:before="120" w:after="120"/>
              <w:ind w:firstLine="0"/>
              <w:rPr>
                <w:rFonts w:eastAsia="Calibri" w:cs="Times New Roman"/>
                <w:bCs/>
                <w:sz w:val="22"/>
                <w:szCs w:val="22"/>
              </w:rPr>
            </w:pPr>
          </w:p>
        </w:tc>
        <w:tc>
          <w:tcPr>
            <w:tcW w:w="971" w:type="dxa"/>
          </w:tcPr>
          <w:p w14:paraId="17F4320C" w14:textId="77777777" w:rsidR="001333B2" w:rsidRPr="00AD67C2" w:rsidRDefault="001333B2" w:rsidP="001333B2">
            <w:pPr>
              <w:widowControl w:val="0"/>
              <w:tabs>
                <w:tab w:val="left" w:pos="1077"/>
              </w:tabs>
              <w:suppressAutoHyphens w:val="0"/>
              <w:spacing w:before="120" w:after="120"/>
              <w:ind w:firstLine="0"/>
              <w:rPr>
                <w:rFonts w:eastAsia="Calibri" w:cs="Times New Roman"/>
                <w:bCs/>
                <w:sz w:val="22"/>
                <w:szCs w:val="22"/>
              </w:rPr>
            </w:pPr>
          </w:p>
        </w:tc>
        <w:tc>
          <w:tcPr>
            <w:tcW w:w="971" w:type="dxa"/>
          </w:tcPr>
          <w:p w14:paraId="0E30AC76" w14:textId="77777777" w:rsidR="001333B2" w:rsidRPr="00AD67C2" w:rsidRDefault="001333B2" w:rsidP="001333B2">
            <w:pPr>
              <w:widowControl w:val="0"/>
              <w:tabs>
                <w:tab w:val="left" w:pos="1077"/>
              </w:tabs>
              <w:suppressAutoHyphens w:val="0"/>
              <w:spacing w:before="120" w:after="120"/>
              <w:ind w:firstLine="0"/>
              <w:rPr>
                <w:rFonts w:eastAsia="Calibri" w:cs="Times New Roman"/>
                <w:bCs/>
                <w:sz w:val="22"/>
                <w:szCs w:val="22"/>
              </w:rPr>
            </w:pPr>
          </w:p>
        </w:tc>
        <w:tc>
          <w:tcPr>
            <w:tcW w:w="971" w:type="dxa"/>
          </w:tcPr>
          <w:p w14:paraId="7C54E3E2" w14:textId="77777777" w:rsidR="001333B2" w:rsidRPr="00AD67C2" w:rsidRDefault="001333B2" w:rsidP="001333B2">
            <w:pPr>
              <w:widowControl w:val="0"/>
              <w:tabs>
                <w:tab w:val="left" w:pos="1077"/>
              </w:tabs>
              <w:suppressAutoHyphens w:val="0"/>
              <w:spacing w:before="120" w:after="120"/>
              <w:ind w:firstLine="0"/>
              <w:rPr>
                <w:rFonts w:eastAsia="Calibri" w:cs="Times New Roman"/>
                <w:bCs/>
                <w:sz w:val="22"/>
                <w:szCs w:val="22"/>
              </w:rPr>
            </w:pPr>
          </w:p>
        </w:tc>
        <w:tc>
          <w:tcPr>
            <w:tcW w:w="971" w:type="dxa"/>
          </w:tcPr>
          <w:p w14:paraId="5FB75E12" w14:textId="77777777" w:rsidR="001333B2" w:rsidRPr="00AD67C2" w:rsidRDefault="001333B2" w:rsidP="001333B2">
            <w:pPr>
              <w:widowControl w:val="0"/>
              <w:tabs>
                <w:tab w:val="left" w:pos="1077"/>
              </w:tabs>
              <w:suppressAutoHyphens w:val="0"/>
              <w:spacing w:before="120" w:after="120"/>
              <w:ind w:firstLine="0"/>
              <w:rPr>
                <w:rFonts w:eastAsia="Calibri" w:cs="Times New Roman"/>
                <w:bCs/>
                <w:sz w:val="22"/>
                <w:szCs w:val="22"/>
              </w:rPr>
            </w:pPr>
          </w:p>
        </w:tc>
        <w:tc>
          <w:tcPr>
            <w:tcW w:w="971" w:type="dxa"/>
          </w:tcPr>
          <w:p w14:paraId="18A0B3E1" w14:textId="77777777" w:rsidR="001333B2" w:rsidRPr="00AD67C2" w:rsidRDefault="001333B2" w:rsidP="001333B2">
            <w:pPr>
              <w:widowControl w:val="0"/>
              <w:tabs>
                <w:tab w:val="left" w:pos="1077"/>
              </w:tabs>
              <w:suppressAutoHyphens w:val="0"/>
              <w:spacing w:before="120" w:after="120"/>
              <w:ind w:firstLine="0"/>
              <w:rPr>
                <w:rFonts w:eastAsia="Calibri" w:cs="Times New Roman"/>
                <w:bCs/>
                <w:sz w:val="22"/>
                <w:szCs w:val="22"/>
              </w:rPr>
            </w:pPr>
          </w:p>
        </w:tc>
        <w:tc>
          <w:tcPr>
            <w:tcW w:w="971" w:type="dxa"/>
          </w:tcPr>
          <w:p w14:paraId="68218252" w14:textId="77777777" w:rsidR="001333B2" w:rsidRPr="00AD67C2" w:rsidRDefault="001333B2" w:rsidP="001333B2">
            <w:pPr>
              <w:widowControl w:val="0"/>
              <w:tabs>
                <w:tab w:val="left" w:pos="1077"/>
              </w:tabs>
              <w:suppressAutoHyphens w:val="0"/>
              <w:spacing w:before="120" w:after="120"/>
              <w:ind w:firstLine="0"/>
              <w:rPr>
                <w:rFonts w:eastAsia="Calibri" w:cs="Times New Roman"/>
                <w:bCs/>
                <w:sz w:val="22"/>
                <w:szCs w:val="22"/>
              </w:rPr>
            </w:pPr>
          </w:p>
        </w:tc>
        <w:tc>
          <w:tcPr>
            <w:tcW w:w="971" w:type="dxa"/>
          </w:tcPr>
          <w:p w14:paraId="68917DD8" w14:textId="77777777" w:rsidR="001333B2" w:rsidRPr="00AD67C2" w:rsidRDefault="001333B2" w:rsidP="001333B2">
            <w:pPr>
              <w:widowControl w:val="0"/>
              <w:tabs>
                <w:tab w:val="left" w:pos="1077"/>
              </w:tabs>
              <w:suppressAutoHyphens w:val="0"/>
              <w:spacing w:before="120" w:after="120"/>
              <w:ind w:firstLine="0"/>
              <w:rPr>
                <w:rFonts w:eastAsia="Calibri" w:cs="Times New Roman"/>
                <w:bCs/>
                <w:sz w:val="22"/>
                <w:szCs w:val="22"/>
              </w:rPr>
            </w:pPr>
          </w:p>
        </w:tc>
      </w:tr>
      <w:tr w:rsidR="001333B2" w:rsidRPr="00AD67C2" w14:paraId="7D3C04D2" w14:textId="77777777" w:rsidTr="0064152E">
        <w:trPr>
          <w:trHeight w:val="227"/>
        </w:trPr>
        <w:tc>
          <w:tcPr>
            <w:tcW w:w="970" w:type="dxa"/>
            <w:vAlign w:val="center"/>
          </w:tcPr>
          <w:p w14:paraId="7C7BCA44" w14:textId="77777777" w:rsidR="001333B2" w:rsidRPr="00AD67C2" w:rsidRDefault="001333B2" w:rsidP="001333B2">
            <w:pPr>
              <w:widowControl w:val="0"/>
              <w:tabs>
                <w:tab w:val="left" w:pos="1077"/>
              </w:tabs>
              <w:suppressAutoHyphens w:val="0"/>
              <w:spacing w:before="120" w:after="120"/>
              <w:ind w:firstLine="0"/>
              <w:jc w:val="center"/>
              <w:rPr>
                <w:rFonts w:eastAsia="Calibri" w:cs="Times New Roman"/>
                <w:bCs/>
                <w:sz w:val="22"/>
                <w:szCs w:val="22"/>
              </w:rPr>
            </w:pPr>
            <w:r w:rsidRPr="00AD67C2">
              <w:rPr>
                <w:rFonts w:eastAsia="Calibri" w:cs="Times New Roman"/>
                <w:bCs/>
                <w:sz w:val="22"/>
                <w:szCs w:val="22"/>
              </w:rPr>
              <w:t>4</w:t>
            </w:r>
          </w:p>
        </w:tc>
        <w:tc>
          <w:tcPr>
            <w:tcW w:w="970" w:type="dxa"/>
          </w:tcPr>
          <w:p w14:paraId="340B8EEF" w14:textId="77777777" w:rsidR="001333B2" w:rsidRPr="00AD67C2" w:rsidRDefault="001333B2" w:rsidP="001333B2">
            <w:pPr>
              <w:widowControl w:val="0"/>
              <w:tabs>
                <w:tab w:val="left" w:pos="1077"/>
              </w:tabs>
              <w:suppressAutoHyphens w:val="0"/>
              <w:spacing w:before="120" w:after="120"/>
              <w:ind w:firstLine="0"/>
              <w:rPr>
                <w:rFonts w:eastAsia="Calibri" w:cs="Times New Roman"/>
                <w:bCs/>
                <w:sz w:val="22"/>
                <w:szCs w:val="22"/>
              </w:rPr>
            </w:pPr>
          </w:p>
        </w:tc>
        <w:tc>
          <w:tcPr>
            <w:tcW w:w="970" w:type="dxa"/>
          </w:tcPr>
          <w:p w14:paraId="3A7746F5" w14:textId="77777777" w:rsidR="001333B2" w:rsidRPr="00AD67C2" w:rsidRDefault="001333B2" w:rsidP="001333B2">
            <w:pPr>
              <w:widowControl w:val="0"/>
              <w:tabs>
                <w:tab w:val="left" w:pos="1077"/>
              </w:tabs>
              <w:suppressAutoHyphens w:val="0"/>
              <w:spacing w:before="120" w:after="120"/>
              <w:ind w:firstLine="0"/>
              <w:rPr>
                <w:rFonts w:eastAsia="Calibri" w:cs="Times New Roman"/>
                <w:bCs/>
                <w:sz w:val="22"/>
                <w:szCs w:val="22"/>
              </w:rPr>
            </w:pPr>
          </w:p>
        </w:tc>
        <w:tc>
          <w:tcPr>
            <w:tcW w:w="970" w:type="dxa"/>
          </w:tcPr>
          <w:p w14:paraId="0CEA0092" w14:textId="77777777" w:rsidR="001333B2" w:rsidRPr="00AD67C2" w:rsidRDefault="001333B2" w:rsidP="001333B2">
            <w:pPr>
              <w:widowControl w:val="0"/>
              <w:tabs>
                <w:tab w:val="left" w:pos="1077"/>
              </w:tabs>
              <w:suppressAutoHyphens w:val="0"/>
              <w:spacing w:before="120" w:after="120"/>
              <w:ind w:firstLine="0"/>
              <w:rPr>
                <w:rFonts w:eastAsia="Calibri" w:cs="Times New Roman"/>
                <w:bCs/>
                <w:sz w:val="22"/>
                <w:szCs w:val="22"/>
              </w:rPr>
            </w:pPr>
          </w:p>
        </w:tc>
        <w:tc>
          <w:tcPr>
            <w:tcW w:w="970" w:type="dxa"/>
          </w:tcPr>
          <w:p w14:paraId="0824932B" w14:textId="77777777" w:rsidR="001333B2" w:rsidRPr="00AD67C2" w:rsidRDefault="001333B2" w:rsidP="001333B2">
            <w:pPr>
              <w:widowControl w:val="0"/>
              <w:tabs>
                <w:tab w:val="left" w:pos="1077"/>
              </w:tabs>
              <w:suppressAutoHyphens w:val="0"/>
              <w:spacing w:before="120" w:after="120"/>
              <w:ind w:firstLine="0"/>
              <w:rPr>
                <w:rFonts w:eastAsia="Calibri" w:cs="Times New Roman"/>
                <w:bCs/>
                <w:sz w:val="22"/>
                <w:szCs w:val="22"/>
              </w:rPr>
            </w:pPr>
          </w:p>
        </w:tc>
        <w:tc>
          <w:tcPr>
            <w:tcW w:w="971" w:type="dxa"/>
          </w:tcPr>
          <w:p w14:paraId="7E2E9FF3" w14:textId="77777777" w:rsidR="001333B2" w:rsidRPr="00AD67C2" w:rsidRDefault="001333B2" w:rsidP="001333B2">
            <w:pPr>
              <w:widowControl w:val="0"/>
              <w:tabs>
                <w:tab w:val="left" w:pos="1077"/>
              </w:tabs>
              <w:suppressAutoHyphens w:val="0"/>
              <w:spacing w:before="120" w:after="120"/>
              <w:ind w:firstLine="0"/>
              <w:rPr>
                <w:rFonts w:eastAsia="Calibri" w:cs="Times New Roman"/>
                <w:bCs/>
                <w:sz w:val="22"/>
                <w:szCs w:val="22"/>
              </w:rPr>
            </w:pPr>
          </w:p>
        </w:tc>
        <w:tc>
          <w:tcPr>
            <w:tcW w:w="971" w:type="dxa"/>
          </w:tcPr>
          <w:p w14:paraId="5DBB2A7B" w14:textId="77777777" w:rsidR="001333B2" w:rsidRPr="00AD67C2" w:rsidRDefault="001333B2" w:rsidP="001333B2">
            <w:pPr>
              <w:widowControl w:val="0"/>
              <w:tabs>
                <w:tab w:val="left" w:pos="1077"/>
              </w:tabs>
              <w:suppressAutoHyphens w:val="0"/>
              <w:spacing w:before="120" w:after="120"/>
              <w:ind w:firstLine="0"/>
              <w:rPr>
                <w:rFonts w:eastAsia="Calibri" w:cs="Times New Roman"/>
                <w:bCs/>
                <w:sz w:val="22"/>
                <w:szCs w:val="22"/>
              </w:rPr>
            </w:pPr>
          </w:p>
        </w:tc>
        <w:tc>
          <w:tcPr>
            <w:tcW w:w="971" w:type="dxa"/>
          </w:tcPr>
          <w:p w14:paraId="70599E9A" w14:textId="77777777" w:rsidR="001333B2" w:rsidRPr="00AD67C2" w:rsidRDefault="001333B2" w:rsidP="001333B2">
            <w:pPr>
              <w:widowControl w:val="0"/>
              <w:tabs>
                <w:tab w:val="left" w:pos="1077"/>
              </w:tabs>
              <w:suppressAutoHyphens w:val="0"/>
              <w:spacing w:before="120" w:after="120"/>
              <w:ind w:firstLine="0"/>
              <w:rPr>
                <w:rFonts w:eastAsia="Calibri" w:cs="Times New Roman"/>
                <w:bCs/>
                <w:sz w:val="22"/>
                <w:szCs w:val="22"/>
              </w:rPr>
            </w:pPr>
          </w:p>
        </w:tc>
        <w:tc>
          <w:tcPr>
            <w:tcW w:w="971" w:type="dxa"/>
          </w:tcPr>
          <w:p w14:paraId="392665B1" w14:textId="77777777" w:rsidR="001333B2" w:rsidRPr="00AD67C2" w:rsidRDefault="001333B2" w:rsidP="001333B2">
            <w:pPr>
              <w:widowControl w:val="0"/>
              <w:tabs>
                <w:tab w:val="left" w:pos="1077"/>
              </w:tabs>
              <w:suppressAutoHyphens w:val="0"/>
              <w:spacing w:before="120" w:after="120"/>
              <w:ind w:firstLine="0"/>
              <w:rPr>
                <w:rFonts w:eastAsia="Calibri" w:cs="Times New Roman"/>
                <w:bCs/>
                <w:sz w:val="22"/>
                <w:szCs w:val="22"/>
              </w:rPr>
            </w:pPr>
          </w:p>
        </w:tc>
        <w:tc>
          <w:tcPr>
            <w:tcW w:w="971" w:type="dxa"/>
          </w:tcPr>
          <w:p w14:paraId="111818EF" w14:textId="77777777" w:rsidR="001333B2" w:rsidRPr="00AD67C2" w:rsidRDefault="001333B2" w:rsidP="001333B2">
            <w:pPr>
              <w:widowControl w:val="0"/>
              <w:tabs>
                <w:tab w:val="left" w:pos="1077"/>
              </w:tabs>
              <w:suppressAutoHyphens w:val="0"/>
              <w:spacing w:before="120" w:after="120"/>
              <w:ind w:firstLine="0"/>
              <w:rPr>
                <w:rFonts w:eastAsia="Calibri" w:cs="Times New Roman"/>
                <w:bCs/>
                <w:sz w:val="22"/>
                <w:szCs w:val="22"/>
              </w:rPr>
            </w:pPr>
          </w:p>
        </w:tc>
        <w:tc>
          <w:tcPr>
            <w:tcW w:w="971" w:type="dxa"/>
          </w:tcPr>
          <w:p w14:paraId="6481564C" w14:textId="77777777" w:rsidR="001333B2" w:rsidRPr="00AD67C2" w:rsidRDefault="001333B2" w:rsidP="001333B2">
            <w:pPr>
              <w:widowControl w:val="0"/>
              <w:tabs>
                <w:tab w:val="left" w:pos="1077"/>
              </w:tabs>
              <w:suppressAutoHyphens w:val="0"/>
              <w:spacing w:before="120" w:after="120"/>
              <w:ind w:firstLine="0"/>
              <w:rPr>
                <w:rFonts w:eastAsia="Calibri" w:cs="Times New Roman"/>
                <w:bCs/>
                <w:sz w:val="22"/>
                <w:szCs w:val="22"/>
              </w:rPr>
            </w:pPr>
          </w:p>
        </w:tc>
        <w:tc>
          <w:tcPr>
            <w:tcW w:w="971" w:type="dxa"/>
          </w:tcPr>
          <w:p w14:paraId="50D89AC5" w14:textId="77777777" w:rsidR="001333B2" w:rsidRPr="00AD67C2" w:rsidRDefault="001333B2" w:rsidP="001333B2">
            <w:pPr>
              <w:widowControl w:val="0"/>
              <w:tabs>
                <w:tab w:val="left" w:pos="1077"/>
              </w:tabs>
              <w:suppressAutoHyphens w:val="0"/>
              <w:spacing w:before="120" w:after="120"/>
              <w:ind w:firstLine="0"/>
              <w:rPr>
                <w:rFonts w:eastAsia="Calibri" w:cs="Times New Roman"/>
                <w:bCs/>
                <w:sz w:val="22"/>
                <w:szCs w:val="22"/>
              </w:rPr>
            </w:pPr>
          </w:p>
        </w:tc>
        <w:tc>
          <w:tcPr>
            <w:tcW w:w="971" w:type="dxa"/>
          </w:tcPr>
          <w:p w14:paraId="20B64665" w14:textId="77777777" w:rsidR="001333B2" w:rsidRPr="00AD67C2" w:rsidRDefault="001333B2" w:rsidP="001333B2">
            <w:pPr>
              <w:widowControl w:val="0"/>
              <w:tabs>
                <w:tab w:val="left" w:pos="1077"/>
              </w:tabs>
              <w:suppressAutoHyphens w:val="0"/>
              <w:spacing w:before="120" w:after="120"/>
              <w:ind w:firstLine="0"/>
              <w:rPr>
                <w:rFonts w:eastAsia="Calibri" w:cs="Times New Roman"/>
                <w:bCs/>
                <w:sz w:val="22"/>
                <w:szCs w:val="22"/>
              </w:rPr>
            </w:pPr>
          </w:p>
        </w:tc>
        <w:tc>
          <w:tcPr>
            <w:tcW w:w="971" w:type="dxa"/>
          </w:tcPr>
          <w:p w14:paraId="0BB74778" w14:textId="77777777" w:rsidR="001333B2" w:rsidRPr="00AD67C2" w:rsidRDefault="001333B2" w:rsidP="001333B2">
            <w:pPr>
              <w:widowControl w:val="0"/>
              <w:tabs>
                <w:tab w:val="left" w:pos="1077"/>
              </w:tabs>
              <w:suppressAutoHyphens w:val="0"/>
              <w:spacing w:before="120" w:after="120"/>
              <w:ind w:firstLine="0"/>
              <w:rPr>
                <w:rFonts w:eastAsia="Calibri" w:cs="Times New Roman"/>
                <w:bCs/>
                <w:sz w:val="22"/>
                <w:szCs w:val="22"/>
              </w:rPr>
            </w:pPr>
          </w:p>
        </w:tc>
        <w:tc>
          <w:tcPr>
            <w:tcW w:w="971" w:type="dxa"/>
          </w:tcPr>
          <w:p w14:paraId="113D719B" w14:textId="77777777" w:rsidR="001333B2" w:rsidRPr="00AD67C2" w:rsidRDefault="001333B2" w:rsidP="001333B2">
            <w:pPr>
              <w:widowControl w:val="0"/>
              <w:tabs>
                <w:tab w:val="left" w:pos="1077"/>
              </w:tabs>
              <w:suppressAutoHyphens w:val="0"/>
              <w:spacing w:before="120" w:after="120"/>
              <w:ind w:firstLine="0"/>
              <w:rPr>
                <w:rFonts w:eastAsia="Calibri" w:cs="Times New Roman"/>
                <w:bCs/>
                <w:sz w:val="22"/>
                <w:szCs w:val="22"/>
              </w:rPr>
            </w:pPr>
          </w:p>
        </w:tc>
      </w:tr>
      <w:tr w:rsidR="001333B2" w:rsidRPr="00AD67C2" w14:paraId="1B10EB98" w14:textId="77777777" w:rsidTr="0064152E">
        <w:trPr>
          <w:trHeight w:val="227"/>
        </w:trPr>
        <w:tc>
          <w:tcPr>
            <w:tcW w:w="970" w:type="dxa"/>
            <w:vAlign w:val="center"/>
          </w:tcPr>
          <w:p w14:paraId="0291F15E" w14:textId="77777777" w:rsidR="001333B2" w:rsidRPr="00AD67C2" w:rsidRDefault="001333B2" w:rsidP="001333B2">
            <w:pPr>
              <w:widowControl w:val="0"/>
              <w:tabs>
                <w:tab w:val="left" w:pos="1077"/>
              </w:tabs>
              <w:suppressAutoHyphens w:val="0"/>
              <w:spacing w:before="120" w:after="120"/>
              <w:ind w:firstLine="0"/>
              <w:jc w:val="center"/>
              <w:rPr>
                <w:rFonts w:eastAsia="Calibri" w:cs="Times New Roman"/>
                <w:bCs/>
                <w:sz w:val="22"/>
                <w:szCs w:val="22"/>
              </w:rPr>
            </w:pPr>
            <w:r w:rsidRPr="00AD67C2">
              <w:rPr>
                <w:rFonts w:eastAsia="Calibri" w:cs="Times New Roman"/>
                <w:bCs/>
                <w:sz w:val="22"/>
                <w:szCs w:val="22"/>
              </w:rPr>
              <w:t>…</w:t>
            </w:r>
          </w:p>
        </w:tc>
        <w:tc>
          <w:tcPr>
            <w:tcW w:w="970" w:type="dxa"/>
          </w:tcPr>
          <w:p w14:paraId="33E5470A" w14:textId="77777777" w:rsidR="001333B2" w:rsidRPr="00AD67C2" w:rsidRDefault="001333B2" w:rsidP="001333B2">
            <w:pPr>
              <w:widowControl w:val="0"/>
              <w:tabs>
                <w:tab w:val="left" w:pos="1077"/>
              </w:tabs>
              <w:suppressAutoHyphens w:val="0"/>
              <w:spacing w:before="120" w:after="120"/>
              <w:ind w:firstLine="0"/>
              <w:rPr>
                <w:rFonts w:eastAsia="Calibri" w:cs="Times New Roman"/>
                <w:bCs/>
                <w:sz w:val="22"/>
                <w:szCs w:val="22"/>
              </w:rPr>
            </w:pPr>
          </w:p>
        </w:tc>
        <w:tc>
          <w:tcPr>
            <w:tcW w:w="970" w:type="dxa"/>
          </w:tcPr>
          <w:p w14:paraId="7DE324B2" w14:textId="77777777" w:rsidR="001333B2" w:rsidRPr="00AD67C2" w:rsidRDefault="001333B2" w:rsidP="001333B2">
            <w:pPr>
              <w:widowControl w:val="0"/>
              <w:tabs>
                <w:tab w:val="left" w:pos="1077"/>
              </w:tabs>
              <w:suppressAutoHyphens w:val="0"/>
              <w:spacing w:before="120" w:after="120"/>
              <w:ind w:firstLine="0"/>
              <w:rPr>
                <w:rFonts w:eastAsia="Calibri" w:cs="Times New Roman"/>
                <w:bCs/>
                <w:sz w:val="22"/>
                <w:szCs w:val="22"/>
              </w:rPr>
            </w:pPr>
          </w:p>
        </w:tc>
        <w:tc>
          <w:tcPr>
            <w:tcW w:w="970" w:type="dxa"/>
          </w:tcPr>
          <w:p w14:paraId="0E03BE3F" w14:textId="77777777" w:rsidR="001333B2" w:rsidRPr="00AD67C2" w:rsidRDefault="001333B2" w:rsidP="001333B2">
            <w:pPr>
              <w:widowControl w:val="0"/>
              <w:tabs>
                <w:tab w:val="left" w:pos="1077"/>
              </w:tabs>
              <w:suppressAutoHyphens w:val="0"/>
              <w:spacing w:before="120" w:after="120"/>
              <w:ind w:firstLine="0"/>
              <w:rPr>
                <w:rFonts w:eastAsia="Calibri" w:cs="Times New Roman"/>
                <w:bCs/>
                <w:sz w:val="22"/>
                <w:szCs w:val="22"/>
              </w:rPr>
            </w:pPr>
          </w:p>
        </w:tc>
        <w:tc>
          <w:tcPr>
            <w:tcW w:w="970" w:type="dxa"/>
          </w:tcPr>
          <w:p w14:paraId="40A63AD9" w14:textId="77777777" w:rsidR="001333B2" w:rsidRPr="00AD67C2" w:rsidRDefault="001333B2" w:rsidP="001333B2">
            <w:pPr>
              <w:widowControl w:val="0"/>
              <w:tabs>
                <w:tab w:val="left" w:pos="1077"/>
              </w:tabs>
              <w:suppressAutoHyphens w:val="0"/>
              <w:spacing w:before="120" w:after="120"/>
              <w:ind w:firstLine="0"/>
              <w:rPr>
                <w:rFonts w:eastAsia="Calibri" w:cs="Times New Roman"/>
                <w:bCs/>
                <w:sz w:val="22"/>
                <w:szCs w:val="22"/>
              </w:rPr>
            </w:pPr>
          </w:p>
        </w:tc>
        <w:tc>
          <w:tcPr>
            <w:tcW w:w="971" w:type="dxa"/>
          </w:tcPr>
          <w:p w14:paraId="442C6701" w14:textId="77777777" w:rsidR="001333B2" w:rsidRPr="00AD67C2" w:rsidRDefault="001333B2" w:rsidP="001333B2">
            <w:pPr>
              <w:widowControl w:val="0"/>
              <w:tabs>
                <w:tab w:val="left" w:pos="1077"/>
              </w:tabs>
              <w:suppressAutoHyphens w:val="0"/>
              <w:spacing w:before="120" w:after="120"/>
              <w:ind w:firstLine="0"/>
              <w:rPr>
                <w:rFonts w:eastAsia="Calibri" w:cs="Times New Roman"/>
                <w:bCs/>
                <w:sz w:val="22"/>
                <w:szCs w:val="22"/>
              </w:rPr>
            </w:pPr>
          </w:p>
        </w:tc>
        <w:tc>
          <w:tcPr>
            <w:tcW w:w="971" w:type="dxa"/>
          </w:tcPr>
          <w:p w14:paraId="767878D6" w14:textId="77777777" w:rsidR="001333B2" w:rsidRPr="00AD67C2" w:rsidRDefault="001333B2" w:rsidP="001333B2">
            <w:pPr>
              <w:widowControl w:val="0"/>
              <w:tabs>
                <w:tab w:val="left" w:pos="1077"/>
              </w:tabs>
              <w:suppressAutoHyphens w:val="0"/>
              <w:spacing w:before="120" w:after="120"/>
              <w:ind w:firstLine="0"/>
              <w:rPr>
                <w:rFonts w:eastAsia="Calibri" w:cs="Times New Roman"/>
                <w:bCs/>
                <w:sz w:val="22"/>
                <w:szCs w:val="22"/>
              </w:rPr>
            </w:pPr>
          </w:p>
        </w:tc>
        <w:tc>
          <w:tcPr>
            <w:tcW w:w="971" w:type="dxa"/>
          </w:tcPr>
          <w:p w14:paraId="06C0A407" w14:textId="77777777" w:rsidR="001333B2" w:rsidRPr="00AD67C2" w:rsidRDefault="001333B2" w:rsidP="001333B2">
            <w:pPr>
              <w:widowControl w:val="0"/>
              <w:tabs>
                <w:tab w:val="left" w:pos="1077"/>
              </w:tabs>
              <w:suppressAutoHyphens w:val="0"/>
              <w:spacing w:before="120" w:after="120"/>
              <w:ind w:firstLine="0"/>
              <w:rPr>
                <w:rFonts w:eastAsia="Calibri" w:cs="Times New Roman"/>
                <w:bCs/>
                <w:sz w:val="22"/>
                <w:szCs w:val="22"/>
              </w:rPr>
            </w:pPr>
          </w:p>
        </w:tc>
        <w:tc>
          <w:tcPr>
            <w:tcW w:w="971" w:type="dxa"/>
          </w:tcPr>
          <w:p w14:paraId="276164CE" w14:textId="77777777" w:rsidR="001333B2" w:rsidRPr="00AD67C2" w:rsidRDefault="001333B2" w:rsidP="001333B2">
            <w:pPr>
              <w:widowControl w:val="0"/>
              <w:tabs>
                <w:tab w:val="left" w:pos="1077"/>
              </w:tabs>
              <w:suppressAutoHyphens w:val="0"/>
              <w:spacing w:before="120" w:after="120"/>
              <w:ind w:firstLine="0"/>
              <w:rPr>
                <w:rFonts w:eastAsia="Calibri" w:cs="Times New Roman"/>
                <w:bCs/>
                <w:sz w:val="22"/>
                <w:szCs w:val="22"/>
              </w:rPr>
            </w:pPr>
          </w:p>
        </w:tc>
        <w:tc>
          <w:tcPr>
            <w:tcW w:w="971" w:type="dxa"/>
          </w:tcPr>
          <w:p w14:paraId="5E64F885" w14:textId="77777777" w:rsidR="001333B2" w:rsidRPr="00AD67C2" w:rsidRDefault="001333B2" w:rsidP="001333B2">
            <w:pPr>
              <w:widowControl w:val="0"/>
              <w:tabs>
                <w:tab w:val="left" w:pos="1077"/>
              </w:tabs>
              <w:suppressAutoHyphens w:val="0"/>
              <w:spacing w:before="120" w:after="120"/>
              <w:ind w:firstLine="0"/>
              <w:rPr>
                <w:rFonts w:eastAsia="Calibri" w:cs="Times New Roman"/>
                <w:bCs/>
                <w:sz w:val="22"/>
                <w:szCs w:val="22"/>
              </w:rPr>
            </w:pPr>
          </w:p>
        </w:tc>
        <w:tc>
          <w:tcPr>
            <w:tcW w:w="971" w:type="dxa"/>
          </w:tcPr>
          <w:p w14:paraId="629EDD4E" w14:textId="77777777" w:rsidR="001333B2" w:rsidRPr="00AD67C2" w:rsidRDefault="001333B2" w:rsidP="001333B2">
            <w:pPr>
              <w:widowControl w:val="0"/>
              <w:tabs>
                <w:tab w:val="left" w:pos="1077"/>
              </w:tabs>
              <w:suppressAutoHyphens w:val="0"/>
              <w:spacing w:before="120" w:after="120"/>
              <w:ind w:firstLine="0"/>
              <w:rPr>
                <w:rFonts w:eastAsia="Calibri" w:cs="Times New Roman"/>
                <w:bCs/>
                <w:sz w:val="22"/>
                <w:szCs w:val="22"/>
              </w:rPr>
            </w:pPr>
          </w:p>
        </w:tc>
        <w:tc>
          <w:tcPr>
            <w:tcW w:w="971" w:type="dxa"/>
          </w:tcPr>
          <w:p w14:paraId="039CF51F" w14:textId="77777777" w:rsidR="001333B2" w:rsidRPr="00AD67C2" w:rsidRDefault="001333B2" w:rsidP="001333B2">
            <w:pPr>
              <w:widowControl w:val="0"/>
              <w:tabs>
                <w:tab w:val="left" w:pos="1077"/>
              </w:tabs>
              <w:suppressAutoHyphens w:val="0"/>
              <w:spacing w:before="120" w:after="120"/>
              <w:ind w:firstLine="0"/>
              <w:rPr>
                <w:rFonts w:eastAsia="Calibri" w:cs="Times New Roman"/>
                <w:bCs/>
                <w:sz w:val="22"/>
                <w:szCs w:val="22"/>
              </w:rPr>
            </w:pPr>
          </w:p>
        </w:tc>
        <w:tc>
          <w:tcPr>
            <w:tcW w:w="971" w:type="dxa"/>
          </w:tcPr>
          <w:p w14:paraId="37745C70" w14:textId="77777777" w:rsidR="001333B2" w:rsidRPr="00AD67C2" w:rsidRDefault="001333B2" w:rsidP="001333B2">
            <w:pPr>
              <w:widowControl w:val="0"/>
              <w:tabs>
                <w:tab w:val="left" w:pos="1077"/>
              </w:tabs>
              <w:suppressAutoHyphens w:val="0"/>
              <w:spacing w:before="120" w:after="120"/>
              <w:ind w:firstLine="0"/>
              <w:rPr>
                <w:rFonts w:eastAsia="Calibri" w:cs="Times New Roman"/>
                <w:bCs/>
                <w:sz w:val="22"/>
                <w:szCs w:val="22"/>
              </w:rPr>
            </w:pPr>
          </w:p>
        </w:tc>
        <w:tc>
          <w:tcPr>
            <w:tcW w:w="971" w:type="dxa"/>
          </w:tcPr>
          <w:p w14:paraId="060AF4AE" w14:textId="77777777" w:rsidR="001333B2" w:rsidRPr="00AD67C2" w:rsidRDefault="001333B2" w:rsidP="001333B2">
            <w:pPr>
              <w:widowControl w:val="0"/>
              <w:tabs>
                <w:tab w:val="left" w:pos="1077"/>
              </w:tabs>
              <w:suppressAutoHyphens w:val="0"/>
              <w:spacing w:before="120" w:after="120"/>
              <w:ind w:firstLine="0"/>
              <w:rPr>
                <w:rFonts w:eastAsia="Calibri" w:cs="Times New Roman"/>
                <w:bCs/>
                <w:sz w:val="22"/>
                <w:szCs w:val="22"/>
              </w:rPr>
            </w:pPr>
          </w:p>
        </w:tc>
        <w:tc>
          <w:tcPr>
            <w:tcW w:w="971" w:type="dxa"/>
          </w:tcPr>
          <w:p w14:paraId="6D596F54" w14:textId="77777777" w:rsidR="001333B2" w:rsidRPr="00AD67C2" w:rsidRDefault="001333B2" w:rsidP="001333B2">
            <w:pPr>
              <w:widowControl w:val="0"/>
              <w:tabs>
                <w:tab w:val="left" w:pos="1077"/>
              </w:tabs>
              <w:suppressAutoHyphens w:val="0"/>
              <w:spacing w:before="120" w:after="120"/>
              <w:ind w:firstLine="0"/>
              <w:rPr>
                <w:rFonts w:eastAsia="Calibri" w:cs="Times New Roman"/>
                <w:bCs/>
                <w:sz w:val="22"/>
                <w:szCs w:val="22"/>
              </w:rPr>
            </w:pPr>
          </w:p>
        </w:tc>
      </w:tr>
      <w:tr w:rsidR="001333B2" w:rsidRPr="00AD67C2" w14:paraId="36327D6A" w14:textId="77777777" w:rsidTr="0064152E">
        <w:trPr>
          <w:trHeight w:val="227"/>
        </w:trPr>
        <w:tc>
          <w:tcPr>
            <w:tcW w:w="970" w:type="dxa"/>
            <w:vAlign w:val="center"/>
          </w:tcPr>
          <w:p w14:paraId="732AE648" w14:textId="77777777" w:rsidR="001333B2" w:rsidRPr="00AD67C2" w:rsidRDefault="001333B2" w:rsidP="001333B2">
            <w:pPr>
              <w:widowControl w:val="0"/>
              <w:tabs>
                <w:tab w:val="left" w:pos="1077"/>
              </w:tabs>
              <w:suppressAutoHyphens w:val="0"/>
              <w:spacing w:before="120" w:after="120"/>
              <w:ind w:firstLine="0"/>
              <w:jc w:val="center"/>
              <w:rPr>
                <w:rFonts w:eastAsia="Calibri" w:cs="Times New Roman"/>
                <w:bCs/>
                <w:sz w:val="22"/>
                <w:szCs w:val="22"/>
              </w:rPr>
            </w:pPr>
            <w:r w:rsidRPr="00AD67C2">
              <w:rPr>
                <w:rFonts w:eastAsia="Calibri" w:cs="Times New Roman"/>
                <w:bCs/>
                <w:sz w:val="22"/>
                <w:szCs w:val="22"/>
              </w:rPr>
              <w:t>44</w:t>
            </w:r>
          </w:p>
        </w:tc>
        <w:tc>
          <w:tcPr>
            <w:tcW w:w="970" w:type="dxa"/>
          </w:tcPr>
          <w:p w14:paraId="4FD13D9C" w14:textId="77777777" w:rsidR="001333B2" w:rsidRPr="00AD67C2" w:rsidRDefault="001333B2" w:rsidP="001333B2">
            <w:pPr>
              <w:widowControl w:val="0"/>
              <w:tabs>
                <w:tab w:val="left" w:pos="1077"/>
              </w:tabs>
              <w:suppressAutoHyphens w:val="0"/>
              <w:spacing w:before="120" w:after="120"/>
              <w:ind w:firstLine="0"/>
              <w:rPr>
                <w:rFonts w:eastAsia="Calibri" w:cs="Times New Roman"/>
                <w:bCs/>
                <w:sz w:val="22"/>
                <w:szCs w:val="22"/>
              </w:rPr>
            </w:pPr>
          </w:p>
        </w:tc>
        <w:tc>
          <w:tcPr>
            <w:tcW w:w="970" w:type="dxa"/>
          </w:tcPr>
          <w:p w14:paraId="2935616A" w14:textId="77777777" w:rsidR="001333B2" w:rsidRPr="00AD67C2" w:rsidRDefault="001333B2" w:rsidP="001333B2">
            <w:pPr>
              <w:widowControl w:val="0"/>
              <w:tabs>
                <w:tab w:val="left" w:pos="1077"/>
              </w:tabs>
              <w:suppressAutoHyphens w:val="0"/>
              <w:spacing w:before="120" w:after="120"/>
              <w:ind w:firstLine="0"/>
              <w:rPr>
                <w:rFonts w:eastAsia="Calibri" w:cs="Times New Roman"/>
                <w:bCs/>
                <w:sz w:val="22"/>
                <w:szCs w:val="22"/>
              </w:rPr>
            </w:pPr>
          </w:p>
        </w:tc>
        <w:tc>
          <w:tcPr>
            <w:tcW w:w="970" w:type="dxa"/>
          </w:tcPr>
          <w:p w14:paraId="7FE6EDE1" w14:textId="77777777" w:rsidR="001333B2" w:rsidRPr="00AD67C2" w:rsidRDefault="001333B2" w:rsidP="001333B2">
            <w:pPr>
              <w:widowControl w:val="0"/>
              <w:tabs>
                <w:tab w:val="left" w:pos="1077"/>
              </w:tabs>
              <w:suppressAutoHyphens w:val="0"/>
              <w:spacing w:before="120" w:after="120"/>
              <w:ind w:firstLine="0"/>
              <w:rPr>
                <w:rFonts w:eastAsia="Calibri" w:cs="Times New Roman"/>
                <w:bCs/>
                <w:sz w:val="22"/>
                <w:szCs w:val="22"/>
              </w:rPr>
            </w:pPr>
          </w:p>
        </w:tc>
        <w:tc>
          <w:tcPr>
            <w:tcW w:w="970" w:type="dxa"/>
          </w:tcPr>
          <w:p w14:paraId="5940D0CA" w14:textId="77777777" w:rsidR="001333B2" w:rsidRPr="00AD67C2" w:rsidRDefault="001333B2" w:rsidP="001333B2">
            <w:pPr>
              <w:widowControl w:val="0"/>
              <w:tabs>
                <w:tab w:val="left" w:pos="1077"/>
              </w:tabs>
              <w:suppressAutoHyphens w:val="0"/>
              <w:spacing w:before="120" w:after="120"/>
              <w:ind w:firstLine="0"/>
              <w:rPr>
                <w:rFonts w:eastAsia="Calibri" w:cs="Times New Roman"/>
                <w:bCs/>
                <w:sz w:val="22"/>
                <w:szCs w:val="22"/>
              </w:rPr>
            </w:pPr>
          </w:p>
        </w:tc>
        <w:tc>
          <w:tcPr>
            <w:tcW w:w="971" w:type="dxa"/>
          </w:tcPr>
          <w:p w14:paraId="2696BF8F" w14:textId="77777777" w:rsidR="001333B2" w:rsidRPr="00AD67C2" w:rsidRDefault="001333B2" w:rsidP="001333B2">
            <w:pPr>
              <w:widowControl w:val="0"/>
              <w:tabs>
                <w:tab w:val="left" w:pos="1077"/>
              </w:tabs>
              <w:suppressAutoHyphens w:val="0"/>
              <w:spacing w:before="120" w:after="120"/>
              <w:ind w:firstLine="0"/>
              <w:rPr>
                <w:rFonts w:eastAsia="Calibri" w:cs="Times New Roman"/>
                <w:bCs/>
                <w:sz w:val="22"/>
                <w:szCs w:val="22"/>
              </w:rPr>
            </w:pPr>
          </w:p>
        </w:tc>
        <w:tc>
          <w:tcPr>
            <w:tcW w:w="971" w:type="dxa"/>
          </w:tcPr>
          <w:p w14:paraId="003F9331" w14:textId="77777777" w:rsidR="001333B2" w:rsidRPr="00AD67C2" w:rsidRDefault="001333B2" w:rsidP="001333B2">
            <w:pPr>
              <w:widowControl w:val="0"/>
              <w:tabs>
                <w:tab w:val="left" w:pos="1077"/>
              </w:tabs>
              <w:suppressAutoHyphens w:val="0"/>
              <w:spacing w:before="120" w:after="120"/>
              <w:ind w:firstLine="0"/>
              <w:rPr>
                <w:rFonts w:eastAsia="Calibri" w:cs="Times New Roman"/>
                <w:bCs/>
                <w:sz w:val="22"/>
                <w:szCs w:val="22"/>
              </w:rPr>
            </w:pPr>
          </w:p>
        </w:tc>
        <w:tc>
          <w:tcPr>
            <w:tcW w:w="971" w:type="dxa"/>
          </w:tcPr>
          <w:p w14:paraId="21FE61CB" w14:textId="77777777" w:rsidR="001333B2" w:rsidRPr="00AD67C2" w:rsidRDefault="001333B2" w:rsidP="001333B2">
            <w:pPr>
              <w:widowControl w:val="0"/>
              <w:tabs>
                <w:tab w:val="left" w:pos="1077"/>
              </w:tabs>
              <w:suppressAutoHyphens w:val="0"/>
              <w:spacing w:before="120" w:after="120"/>
              <w:ind w:firstLine="0"/>
              <w:rPr>
                <w:rFonts w:eastAsia="Calibri" w:cs="Times New Roman"/>
                <w:bCs/>
                <w:sz w:val="22"/>
                <w:szCs w:val="22"/>
              </w:rPr>
            </w:pPr>
          </w:p>
        </w:tc>
        <w:tc>
          <w:tcPr>
            <w:tcW w:w="971" w:type="dxa"/>
          </w:tcPr>
          <w:p w14:paraId="36FA7BEB" w14:textId="77777777" w:rsidR="001333B2" w:rsidRPr="00AD67C2" w:rsidRDefault="001333B2" w:rsidP="001333B2">
            <w:pPr>
              <w:widowControl w:val="0"/>
              <w:tabs>
                <w:tab w:val="left" w:pos="1077"/>
              </w:tabs>
              <w:suppressAutoHyphens w:val="0"/>
              <w:spacing w:before="120" w:after="120"/>
              <w:ind w:firstLine="0"/>
              <w:rPr>
                <w:rFonts w:eastAsia="Calibri" w:cs="Times New Roman"/>
                <w:bCs/>
                <w:sz w:val="22"/>
                <w:szCs w:val="22"/>
              </w:rPr>
            </w:pPr>
          </w:p>
        </w:tc>
        <w:tc>
          <w:tcPr>
            <w:tcW w:w="971" w:type="dxa"/>
          </w:tcPr>
          <w:p w14:paraId="4270C00F" w14:textId="77777777" w:rsidR="001333B2" w:rsidRPr="00AD67C2" w:rsidRDefault="001333B2" w:rsidP="001333B2">
            <w:pPr>
              <w:widowControl w:val="0"/>
              <w:tabs>
                <w:tab w:val="left" w:pos="1077"/>
              </w:tabs>
              <w:suppressAutoHyphens w:val="0"/>
              <w:spacing w:before="120" w:after="120"/>
              <w:ind w:firstLine="0"/>
              <w:rPr>
                <w:rFonts w:eastAsia="Calibri" w:cs="Times New Roman"/>
                <w:bCs/>
                <w:sz w:val="22"/>
                <w:szCs w:val="22"/>
              </w:rPr>
            </w:pPr>
          </w:p>
        </w:tc>
        <w:tc>
          <w:tcPr>
            <w:tcW w:w="971" w:type="dxa"/>
          </w:tcPr>
          <w:p w14:paraId="7A84E98B" w14:textId="77777777" w:rsidR="001333B2" w:rsidRPr="00AD67C2" w:rsidRDefault="001333B2" w:rsidP="001333B2">
            <w:pPr>
              <w:widowControl w:val="0"/>
              <w:tabs>
                <w:tab w:val="left" w:pos="1077"/>
              </w:tabs>
              <w:suppressAutoHyphens w:val="0"/>
              <w:spacing w:before="120" w:after="120"/>
              <w:ind w:firstLine="0"/>
              <w:rPr>
                <w:rFonts w:eastAsia="Calibri" w:cs="Times New Roman"/>
                <w:bCs/>
                <w:sz w:val="22"/>
                <w:szCs w:val="22"/>
              </w:rPr>
            </w:pPr>
          </w:p>
        </w:tc>
        <w:tc>
          <w:tcPr>
            <w:tcW w:w="971" w:type="dxa"/>
          </w:tcPr>
          <w:p w14:paraId="5800817D" w14:textId="77777777" w:rsidR="001333B2" w:rsidRPr="00AD67C2" w:rsidRDefault="001333B2" w:rsidP="001333B2">
            <w:pPr>
              <w:widowControl w:val="0"/>
              <w:tabs>
                <w:tab w:val="left" w:pos="1077"/>
              </w:tabs>
              <w:suppressAutoHyphens w:val="0"/>
              <w:spacing w:before="120" w:after="120"/>
              <w:ind w:firstLine="0"/>
              <w:rPr>
                <w:rFonts w:eastAsia="Calibri" w:cs="Times New Roman"/>
                <w:bCs/>
                <w:sz w:val="22"/>
                <w:szCs w:val="22"/>
              </w:rPr>
            </w:pPr>
          </w:p>
        </w:tc>
        <w:tc>
          <w:tcPr>
            <w:tcW w:w="971" w:type="dxa"/>
          </w:tcPr>
          <w:p w14:paraId="26748C53" w14:textId="77777777" w:rsidR="001333B2" w:rsidRPr="00AD67C2" w:rsidRDefault="001333B2" w:rsidP="001333B2">
            <w:pPr>
              <w:widowControl w:val="0"/>
              <w:tabs>
                <w:tab w:val="left" w:pos="1077"/>
              </w:tabs>
              <w:suppressAutoHyphens w:val="0"/>
              <w:spacing w:before="120" w:after="120"/>
              <w:ind w:firstLine="0"/>
              <w:rPr>
                <w:rFonts w:eastAsia="Calibri" w:cs="Times New Roman"/>
                <w:bCs/>
                <w:sz w:val="22"/>
                <w:szCs w:val="22"/>
              </w:rPr>
            </w:pPr>
          </w:p>
        </w:tc>
        <w:tc>
          <w:tcPr>
            <w:tcW w:w="971" w:type="dxa"/>
          </w:tcPr>
          <w:p w14:paraId="603825EA" w14:textId="77777777" w:rsidR="001333B2" w:rsidRPr="00AD67C2" w:rsidRDefault="001333B2" w:rsidP="001333B2">
            <w:pPr>
              <w:widowControl w:val="0"/>
              <w:tabs>
                <w:tab w:val="left" w:pos="1077"/>
              </w:tabs>
              <w:suppressAutoHyphens w:val="0"/>
              <w:spacing w:before="120" w:after="120"/>
              <w:ind w:firstLine="0"/>
              <w:rPr>
                <w:rFonts w:eastAsia="Calibri" w:cs="Times New Roman"/>
                <w:bCs/>
                <w:sz w:val="22"/>
                <w:szCs w:val="22"/>
              </w:rPr>
            </w:pPr>
          </w:p>
        </w:tc>
        <w:tc>
          <w:tcPr>
            <w:tcW w:w="971" w:type="dxa"/>
          </w:tcPr>
          <w:p w14:paraId="65137313" w14:textId="77777777" w:rsidR="001333B2" w:rsidRPr="00AD67C2" w:rsidRDefault="001333B2" w:rsidP="001333B2">
            <w:pPr>
              <w:widowControl w:val="0"/>
              <w:tabs>
                <w:tab w:val="left" w:pos="1077"/>
              </w:tabs>
              <w:suppressAutoHyphens w:val="0"/>
              <w:spacing w:before="120" w:after="120"/>
              <w:ind w:firstLine="0"/>
              <w:rPr>
                <w:rFonts w:eastAsia="Calibri" w:cs="Times New Roman"/>
                <w:bCs/>
                <w:sz w:val="22"/>
                <w:szCs w:val="22"/>
              </w:rPr>
            </w:pPr>
          </w:p>
        </w:tc>
      </w:tr>
      <w:tr w:rsidR="001333B2" w:rsidRPr="00AD67C2" w14:paraId="0D36E17E" w14:textId="77777777" w:rsidTr="0064152E">
        <w:trPr>
          <w:trHeight w:val="227"/>
        </w:trPr>
        <w:tc>
          <w:tcPr>
            <w:tcW w:w="970" w:type="dxa"/>
            <w:vAlign w:val="center"/>
          </w:tcPr>
          <w:p w14:paraId="4A02195C" w14:textId="77777777" w:rsidR="001333B2" w:rsidRPr="00AD67C2" w:rsidRDefault="001333B2" w:rsidP="001333B2">
            <w:pPr>
              <w:widowControl w:val="0"/>
              <w:tabs>
                <w:tab w:val="left" w:pos="1077"/>
              </w:tabs>
              <w:suppressAutoHyphens w:val="0"/>
              <w:spacing w:before="120" w:after="120"/>
              <w:ind w:firstLine="0"/>
              <w:jc w:val="center"/>
              <w:rPr>
                <w:rFonts w:eastAsia="Calibri" w:cs="Times New Roman"/>
                <w:bCs/>
                <w:sz w:val="22"/>
                <w:szCs w:val="22"/>
              </w:rPr>
            </w:pPr>
            <w:r w:rsidRPr="00AD67C2">
              <w:rPr>
                <w:rFonts w:eastAsia="Calibri" w:cs="Times New Roman"/>
                <w:bCs/>
                <w:sz w:val="22"/>
                <w:szCs w:val="22"/>
              </w:rPr>
              <w:t>45</w:t>
            </w:r>
          </w:p>
        </w:tc>
        <w:tc>
          <w:tcPr>
            <w:tcW w:w="970" w:type="dxa"/>
          </w:tcPr>
          <w:p w14:paraId="4D93ADB2" w14:textId="77777777" w:rsidR="001333B2" w:rsidRPr="00AD67C2" w:rsidRDefault="001333B2" w:rsidP="001333B2">
            <w:pPr>
              <w:widowControl w:val="0"/>
              <w:tabs>
                <w:tab w:val="left" w:pos="1077"/>
              </w:tabs>
              <w:suppressAutoHyphens w:val="0"/>
              <w:spacing w:before="120" w:after="120"/>
              <w:ind w:firstLine="0"/>
              <w:rPr>
                <w:rFonts w:eastAsia="Calibri" w:cs="Times New Roman"/>
                <w:bCs/>
                <w:sz w:val="22"/>
                <w:szCs w:val="22"/>
              </w:rPr>
            </w:pPr>
          </w:p>
        </w:tc>
        <w:tc>
          <w:tcPr>
            <w:tcW w:w="970" w:type="dxa"/>
          </w:tcPr>
          <w:p w14:paraId="357B663F" w14:textId="77777777" w:rsidR="001333B2" w:rsidRPr="00AD67C2" w:rsidRDefault="001333B2" w:rsidP="001333B2">
            <w:pPr>
              <w:widowControl w:val="0"/>
              <w:tabs>
                <w:tab w:val="left" w:pos="1077"/>
              </w:tabs>
              <w:suppressAutoHyphens w:val="0"/>
              <w:spacing w:before="120" w:after="120"/>
              <w:ind w:firstLine="0"/>
              <w:rPr>
                <w:rFonts w:eastAsia="Calibri" w:cs="Times New Roman"/>
                <w:bCs/>
                <w:sz w:val="22"/>
                <w:szCs w:val="22"/>
              </w:rPr>
            </w:pPr>
          </w:p>
        </w:tc>
        <w:tc>
          <w:tcPr>
            <w:tcW w:w="970" w:type="dxa"/>
          </w:tcPr>
          <w:p w14:paraId="5A0E5DE5" w14:textId="77777777" w:rsidR="001333B2" w:rsidRPr="00AD67C2" w:rsidRDefault="001333B2" w:rsidP="001333B2">
            <w:pPr>
              <w:widowControl w:val="0"/>
              <w:tabs>
                <w:tab w:val="left" w:pos="1077"/>
              </w:tabs>
              <w:suppressAutoHyphens w:val="0"/>
              <w:spacing w:before="120" w:after="120"/>
              <w:ind w:firstLine="0"/>
              <w:rPr>
                <w:rFonts w:eastAsia="Calibri" w:cs="Times New Roman"/>
                <w:bCs/>
                <w:sz w:val="22"/>
                <w:szCs w:val="22"/>
              </w:rPr>
            </w:pPr>
          </w:p>
        </w:tc>
        <w:tc>
          <w:tcPr>
            <w:tcW w:w="970" w:type="dxa"/>
          </w:tcPr>
          <w:p w14:paraId="74350051" w14:textId="77777777" w:rsidR="001333B2" w:rsidRPr="00AD67C2" w:rsidRDefault="001333B2" w:rsidP="001333B2">
            <w:pPr>
              <w:widowControl w:val="0"/>
              <w:tabs>
                <w:tab w:val="left" w:pos="1077"/>
              </w:tabs>
              <w:suppressAutoHyphens w:val="0"/>
              <w:spacing w:before="120" w:after="120"/>
              <w:ind w:firstLine="0"/>
              <w:rPr>
                <w:rFonts w:eastAsia="Calibri" w:cs="Times New Roman"/>
                <w:bCs/>
                <w:sz w:val="22"/>
                <w:szCs w:val="22"/>
              </w:rPr>
            </w:pPr>
          </w:p>
        </w:tc>
        <w:tc>
          <w:tcPr>
            <w:tcW w:w="971" w:type="dxa"/>
          </w:tcPr>
          <w:p w14:paraId="305A135F" w14:textId="77777777" w:rsidR="001333B2" w:rsidRPr="00AD67C2" w:rsidRDefault="001333B2" w:rsidP="001333B2">
            <w:pPr>
              <w:widowControl w:val="0"/>
              <w:tabs>
                <w:tab w:val="left" w:pos="1077"/>
              </w:tabs>
              <w:suppressAutoHyphens w:val="0"/>
              <w:spacing w:before="120" w:after="120"/>
              <w:ind w:firstLine="0"/>
              <w:rPr>
                <w:rFonts w:eastAsia="Calibri" w:cs="Times New Roman"/>
                <w:bCs/>
                <w:sz w:val="22"/>
                <w:szCs w:val="22"/>
              </w:rPr>
            </w:pPr>
          </w:p>
        </w:tc>
        <w:tc>
          <w:tcPr>
            <w:tcW w:w="971" w:type="dxa"/>
          </w:tcPr>
          <w:p w14:paraId="0AA5E561" w14:textId="77777777" w:rsidR="001333B2" w:rsidRPr="00AD67C2" w:rsidRDefault="001333B2" w:rsidP="001333B2">
            <w:pPr>
              <w:widowControl w:val="0"/>
              <w:tabs>
                <w:tab w:val="left" w:pos="1077"/>
              </w:tabs>
              <w:suppressAutoHyphens w:val="0"/>
              <w:spacing w:before="120" w:after="120"/>
              <w:ind w:firstLine="0"/>
              <w:rPr>
                <w:rFonts w:eastAsia="Calibri" w:cs="Times New Roman"/>
                <w:bCs/>
                <w:sz w:val="22"/>
                <w:szCs w:val="22"/>
              </w:rPr>
            </w:pPr>
          </w:p>
        </w:tc>
        <w:tc>
          <w:tcPr>
            <w:tcW w:w="971" w:type="dxa"/>
          </w:tcPr>
          <w:p w14:paraId="195D60C1" w14:textId="77777777" w:rsidR="001333B2" w:rsidRPr="00AD67C2" w:rsidRDefault="001333B2" w:rsidP="001333B2">
            <w:pPr>
              <w:widowControl w:val="0"/>
              <w:tabs>
                <w:tab w:val="left" w:pos="1077"/>
              </w:tabs>
              <w:suppressAutoHyphens w:val="0"/>
              <w:spacing w:before="120" w:after="120"/>
              <w:ind w:firstLine="0"/>
              <w:rPr>
                <w:rFonts w:eastAsia="Calibri" w:cs="Times New Roman"/>
                <w:bCs/>
                <w:sz w:val="22"/>
                <w:szCs w:val="22"/>
              </w:rPr>
            </w:pPr>
          </w:p>
        </w:tc>
        <w:tc>
          <w:tcPr>
            <w:tcW w:w="971" w:type="dxa"/>
          </w:tcPr>
          <w:p w14:paraId="2E558D87" w14:textId="77777777" w:rsidR="001333B2" w:rsidRPr="00AD67C2" w:rsidRDefault="001333B2" w:rsidP="001333B2">
            <w:pPr>
              <w:widowControl w:val="0"/>
              <w:tabs>
                <w:tab w:val="left" w:pos="1077"/>
              </w:tabs>
              <w:suppressAutoHyphens w:val="0"/>
              <w:spacing w:before="120" w:after="120"/>
              <w:ind w:firstLine="0"/>
              <w:rPr>
                <w:rFonts w:eastAsia="Calibri" w:cs="Times New Roman"/>
                <w:bCs/>
                <w:sz w:val="22"/>
                <w:szCs w:val="22"/>
              </w:rPr>
            </w:pPr>
          </w:p>
        </w:tc>
        <w:tc>
          <w:tcPr>
            <w:tcW w:w="971" w:type="dxa"/>
          </w:tcPr>
          <w:p w14:paraId="23233D7A" w14:textId="77777777" w:rsidR="001333B2" w:rsidRPr="00AD67C2" w:rsidRDefault="001333B2" w:rsidP="001333B2">
            <w:pPr>
              <w:widowControl w:val="0"/>
              <w:tabs>
                <w:tab w:val="left" w:pos="1077"/>
              </w:tabs>
              <w:suppressAutoHyphens w:val="0"/>
              <w:spacing w:before="120" w:after="120"/>
              <w:ind w:firstLine="0"/>
              <w:rPr>
                <w:rFonts w:eastAsia="Calibri" w:cs="Times New Roman"/>
                <w:bCs/>
                <w:sz w:val="22"/>
                <w:szCs w:val="22"/>
              </w:rPr>
            </w:pPr>
          </w:p>
        </w:tc>
        <w:tc>
          <w:tcPr>
            <w:tcW w:w="971" w:type="dxa"/>
          </w:tcPr>
          <w:p w14:paraId="19FA2519" w14:textId="77777777" w:rsidR="001333B2" w:rsidRPr="00AD67C2" w:rsidRDefault="001333B2" w:rsidP="001333B2">
            <w:pPr>
              <w:widowControl w:val="0"/>
              <w:tabs>
                <w:tab w:val="left" w:pos="1077"/>
              </w:tabs>
              <w:suppressAutoHyphens w:val="0"/>
              <w:spacing w:before="120" w:after="120"/>
              <w:ind w:firstLine="0"/>
              <w:rPr>
                <w:rFonts w:eastAsia="Calibri" w:cs="Times New Roman"/>
                <w:bCs/>
                <w:sz w:val="22"/>
                <w:szCs w:val="22"/>
              </w:rPr>
            </w:pPr>
          </w:p>
        </w:tc>
        <w:tc>
          <w:tcPr>
            <w:tcW w:w="971" w:type="dxa"/>
          </w:tcPr>
          <w:p w14:paraId="2C6DF744" w14:textId="77777777" w:rsidR="001333B2" w:rsidRPr="00AD67C2" w:rsidRDefault="001333B2" w:rsidP="001333B2">
            <w:pPr>
              <w:widowControl w:val="0"/>
              <w:tabs>
                <w:tab w:val="left" w:pos="1077"/>
              </w:tabs>
              <w:suppressAutoHyphens w:val="0"/>
              <w:spacing w:before="120" w:after="120"/>
              <w:ind w:firstLine="0"/>
              <w:rPr>
                <w:rFonts w:eastAsia="Calibri" w:cs="Times New Roman"/>
                <w:bCs/>
                <w:sz w:val="22"/>
                <w:szCs w:val="22"/>
              </w:rPr>
            </w:pPr>
          </w:p>
        </w:tc>
        <w:tc>
          <w:tcPr>
            <w:tcW w:w="971" w:type="dxa"/>
          </w:tcPr>
          <w:p w14:paraId="11B3B49D" w14:textId="77777777" w:rsidR="001333B2" w:rsidRPr="00AD67C2" w:rsidRDefault="001333B2" w:rsidP="001333B2">
            <w:pPr>
              <w:widowControl w:val="0"/>
              <w:tabs>
                <w:tab w:val="left" w:pos="1077"/>
              </w:tabs>
              <w:suppressAutoHyphens w:val="0"/>
              <w:spacing w:before="120" w:after="120"/>
              <w:ind w:firstLine="0"/>
              <w:rPr>
                <w:rFonts w:eastAsia="Calibri" w:cs="Times New Roman"/>
                <w:bCs/>
                <w:sz w:val="22"/>
                <w:szCs w:val="22"/>
              </w:rPr>
            </w:pPr>
          </w:p>
        </w:tc>
        <w:tc>
          <w:tcPr>
            <w:tcW w:w="971" w:type="dxa"/>
          </w:tcPr>
          <w:p w14:paraId="36249466" w14:textId="77777777" w:rsidR="001333B2" w:rsidRPr="00AD67C2" w:rsidRDefault="001333B2" w:rsidP="001333B2">
            <w:pPr>
              <w:widowControl w:val="0"/>
              <w:tabs>
                <w:tab w:val="left" w:pos="1077"/>
              </w:tabs>
              <w:suppressAutoHyphens w:val="0"/>
              <w:spacing w:before="120" w:after="120"/>
              <w:ind w:firstLine="0"/>
              <w:rPr>
                <w:rFonts w:eastAsia="Calibri" w:cs="Times New Roman"/>
                <w:bCs/>
                <w:sz w:val="22"/>
                <w:szCs w:val="22"/>
              </w:rPr>
            </w:pPr>
          </w:p>
        </w:tc>
        <w:tc>
          <w:tcPr>
            <w:tcW w:w="971" w:type="dxa"/>
          </w:tcPr>
          <w:p w14:paraId="345DCAB9" w14:textId="77777777" w:rsidR="001333B2" w:rsidRPr="00AD67C2" w:rsidRDefault="001333B2" w:rsidP="001333B2">
            <w:pPr>
              <w:widowControl w:val="0"/>
              <w:tabs>
                <w:tab w:val="left" w:pos="1077"/>
              </w:tabs>
              <w:suppressAutoHyphens w:val="0"/>
              <w:spacing w:before="120" w:after="120"/>
              <w:ind w:firstLine="0"/>
              <w:rPr>
                <w:rFonts w:eastAsia="Calibri" w:cs="Times New Roman"/>
                <w:bCs/>
                <w:sz w:val="22"/>
                <w:szCs w:val="22"/>
              </w:rPr>
            </w:pPr>
          </w:p>
        </w:tc>
      </w:tr>
    </w:tbl>
    <w:p w14:paraId="0D7560CA" w14:textId="77777777" w:rsidR="001333B2" w:rsidRPr="00AD67C2" w:rsidRDefault="001333B2" w:rsidP="001333B2">
      <w:pPr>
        <w:widowControl w:val="0"/>
        <w:tabs>
          <w:tab w:val="left" w:pos="1077"/>
        </w:tabs>
        <w:suppressAutoHyphens w:val="0"/>
        <w:spacing w:before="120" w:after="120"/>
        <w:ind w:firstLine="601"/>
        <w:jc w:val="both"/>
        <w:rPr>
          <w:rFonts w:ascii="Garamond" w:eastAsia="Calibri" w:hAnsi="Garamond" w:cs="Times New Roman"/>
          <w:bCs/>
          <w:sz w:val="22"/>
          <w:szCs w:val="22"/>
          <w:lang w:eastAsia="en-US"/>
        </w:rPr>
      </w:pPr>
    </w:p>
    <w:p w14:paraId="6B0ED9D5" w14:textId="77777777" w:rsidR="001333B2" w:rsidRPr="00AD67C2" w:rsidRDefault="001333B2" w:rsidP="001333B2">
      <w:pPr>
        <w:widowControl w:val="0"/>
        <w:tabs>
          <w:tab w:val="left" w:pos="1077"/>
        </w:tabs>
        <w:suppressAutoHyphens w:val="0"/>
        <w:spacing w:before="120" w:after="120"/>
        <w:ind w:firstLine="601"/>
        <w:jc w:val="both"/>
        <w:rPr>
          <w:rFonts w:ascii="Garamond" w:eastAsia="Calibri" w:hAnsi="Garamond" w:cs="Times New Roman"/>
          <w:bCs/>
          <w:sz w:val="22"/>
          <w:szCs w:val="22"/>
          <w:lang w:eastAsia="en-US"/>
        </w:rPr>
      </w:pPr>
    </w:p>
    <w:p w14:paraId="33C79FEA" w14:textId="77777777" w:rsidR="001333B2" w:rsidRPr="00AD67C2" w:rsidRDefault="001333B2" w:rsidP="001333B2">
      <w:pPr>
        <w:widowControl w:val="0"/>
        <w:tabs>
          <w:tab w:val="left" w:pos="1077"/>
        </w:tabs>
        <w:suppressAutoHyphens w:val="0"/>
        <w:spacing w:before="120" w:after="120"/>
        <w:ind w:firstLine="601"/>
        <w:jc w:val="both"/>
        <w:rPr>
          <w:rFonts w:ascii="Garamond" w:eastAsia="Calibri" w:hAnsi="Garamond" w:cs="Times New Roman"/>
          <w:bCs/>
          <w:sz w:val="22"/>
          <w:szCs w:val="22"/>
          <w:lang w:eastAsia="en-US"/>
        </w:rPr>
        <w:sectPr w:rsidR="001333B2" w:rsidRPr="00AD67C2" w:rsidSect="0064152E">
          <w:pgSz w:w="16838" w:h="11906" w:orient="landscape"/>
          <w:pgMar w:top="1588" w:right="1134" w:bottom="851" w:left="1134" w:header="709" w:footer="709" w:gutter="0"/>
          <w:cols w:space="708"/>
          <w:docGrid w:linePitch="360"/>
        </w:sectPr>
      </w:pPr>
    </w:p>
    <w:p w14:paraId="0C4E9E44" w14:textId="77777777" w:rsidR="001333B2" w:rsidRPr="00AD67C2" w:rsidRDefault="001333B2" w:rsidP="001333B2">
      <w:pPr>
        <w:widowControl w:val="0"/>
        <w:suppressAutoHyphens w:val="0"/>
        <w:jc w:val="center"/>
        <w:outlineLvl w:val="0"/>
        <w:rPr>
          <w:rFonts w:ascii="Garamond" w:eastAsia="Times New Roman" w:hAnsi="Garamond" w:cs="Times New Roman"/>
          <w:b/>
          <w:sz w:val="22"/>
          <w:szCs w:val="22"/>
        </w:rPr>
      </w:pPr>
      <w:r w:rsidRPr="00AD67C2">
        <w:rPr>
          <w:rFonts w:ascii="Garamond" w:eastAsia="Times New Roman" w:hAnsi="Garamond" w:cs="Times New Roman"/>
          <w:b/>
          <w:sz w:val="22"/>
          <w:szCs w:val="22"/>
        </w:rPr>
        <w:lastRenderedPageBreak/>
        <w:t xml:space="preserve">Форма </w:t>
      </w:r>
      <w:r w:rsidRPr="00AD67C2">
        <w:rPr>
          <w:rFonts w:ascii="Garamond" w:eastAsia="Times New Roman" w:hAnsi="Garamond" w:cs="Arial"/>
          <w:b/>
          <w:bCs/>
          <w:sz w:val="22"/>
          <w:szCs w:val="22"/>
        </w:rPr>
        <w:t>6</w:t>
      </w:r>
    </w:p>
    <w:p w14:paraId="3F1A4A67" w14:textId="77777777" w:rsidR="001333B2" w:rsidRPr="00AD67C2" w:rsidRDefault="001333B2" w:rsidP="001333B2">
      <w:pPr>
        <w:suppressAutoHyphens w:val="0"/>
        <w:jc w:val="both"/>
        <w:rPr>
          <w:rFonts w:ascii="Garamond" w:eastAsia="Times New Roman" w:hAnsi="Garamond" w:cs="Times New Roman"/>
          <w:sz w:val="22"/>
          <w:szCs w:val="24"/>
        </w:rPr>
      </w:pPr>
    </w:p>
    <w:p w14:paraId="6EA537FE" w14:textId="60C403C7" w:rsidR="001333B2" w:rsidRPr="00AD67C2" w:rsidRDefault="001333B2" w:rsidP="001333B2">
      <w:pPr>
        <w:suppressAutoHyphens w:val="0"/>
        <w:jc w:val="center"/>
        <w:rPr>
          <w:rFonts w:ascii="Garamond" w:eastAsia="Times New Roman" w:hAnsi="Garamond" w:cs="Times New Roman"/>
          <w:b/>
          <w:sz w:val="22"/>
          <w:szCs w:val="24"/>
        </w:rPr>
      </w:pPr>
      <w:r w:rsidRPr="00AD67C2">
        <w:rPr>
          <w:rFonts w:ascii="Garamond" w:eastAsia="Times New Roman" w:hAnsi="Garamond" w:cs="Times New Roman"/>
          <w:b/>
          <w:caps/>
          <w:sz w:val="22"/>
          <w:szCs w:val="24"/>
        </w:rPr>
        <w:t>п</w:t>
      </w:r>
      <w:r w:rsidRPr="00AD67C2">
        <w:rPr>
          <w:rFonts w:ascii="Garamond" w:eastAsia="Times New Roman" w:hAnsi="Garamond" w:cs="Times New Roman"/>
          <w:b/>
          <w:sz w:val="22"/>
          <w:szCs w:val="24"/>
        </w:rPr>
        <w:t>еречень паспортных технологических характеристик объекта по производству электрической энергии</w:t>
      </w:r>
      <w:r w:rsidR="002C48F6">
        <w:rPr>
          <w:rFonts w:ascii="Garamond" w:eastAsia="Times New Roman" w:hAnsi="Garamond" w:cs="Times New Roman"/>
          <w:b/>
          <w:sz w:val="22"/>
          <w:szCs w:val="24"/>
        </w:rPr>
        <w:t>,</w:t>
      </w:r>
      <w:r w:rsidRPr="00AD67C2">
        <w:rPr>
          <w:rFonts w:ascii="Garamond" w:eastAsia="Times New Roman" w:hAnsi="Garamond" w:cs="Times New Roman"/>
          <w:b/>
          <w:sz w:val="22"/>
          <w:szCs w:val="24"/>
        </w:rPr>
        <w:t xml:space="preserve"> включенного в состав объекта регулирования (электростанция/блок-станция)</w:t>
      </w:r>
    </w:p>
    <w:tbl>
      <w:tblPr>
        <w:tblW w:w="949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154"/>
        <w:gridCol w:w="5339"/>
      </w:tblGrid>
      <w:tr w:rsidR="001333B2" w:rsidRPr="00AD67C2" w14:paraId="7945E65B" w14:textId="77777777" w:rsidTr="0064152E">
        <w:trPr>
          <w:trHeight w:val="1191"/>
        </w:trPr>
        <w:tc>
          <w:tcPr>
            <w:tcW w:w="4154" w:type="dxa"/>
            <w:shd w:val="clear" w:color="auto" w:fill="D9D9D9"/>
            <w:vAlign w:val="center"/>
          </w:tcPr>
          <w:p w14:paraId="5361FEAA" w14:textId="77777777" w:rsidR="001333B2" w:rsidRPr="00AD67C2" w:rsidRDefault="001333B2" w:rsidP="001333B2">
            <w:pPr>
              <w:suppressAutoHyphens w:val="0"/>
              <w:jc w:val="both"/>
              <w:rPr>
                <w:rFonts w:ascii="Garamond" w:eastAsia="Times New Roman" w:hAnsi="Garamond" w:cs="Times New Roman"/>
                <w:b/>
                <w:sz w:val="22"/>
                <w:szCs w:val="22"/>
              </w:rPr>
            </w:pPr>
            <w:r w:rsidRPr="00AD67C2">
              <w:rPr>
                <w:rFonts w:ascii="Garamond" w:eastAsia="Times New Roman" w:hAnsi="Garamond" w:cs="Times New Roman"/>
                <w:b/>
                <w:sz w:val="22"/>
                <w:szCs w:val="22"/>
              </w:rPr>
              <w:t xml:space="preserve">Наименование </w:t>
            </w:r>
            <w:r w:rsidRPr="00AD67C2">
              <w:rPr>
                <w:rFonts w:ascii="Garamond" w:eastAsia="Times New Roman" w:hAnsi="Garamond" w:cs="Times New Roman"/>
                <w:b/>
                <w:sz w:val="22"/>
                <w:szCs w:val="24"/>
              </w:rPr>
              <w:t>электростанция/блок-станции</w:t>
            </w:r>
          </w:p>
        </w:tc>
        <w:tc>
          <w:tcPr>
            <w:tcW w:w="5339" w:type="dxa"/>
            <w:vAlign w:val="center"/>
          </w:tcPr>
          <w:p w14:paraId="71738F1B" w14:textId="77777777" w:rsidR="001333B2" w:rsidRPr="00AD67C2" w:rsidRDefault="001333B2" w:rsidP="001333B2">
            <w:pPr>
              <w:suppressAutoHyphens w:val="0"/>
              <w:jc w:val="both"/>
              <w:rPr>
                <w:rFonts w:ascii="Garamond" w:eastAsia="Times New Roman" w:hAnsi="Garamond" w:cs="Times New Roman"/>
                <w:sz w:val="22"/>
                <w:szCs w:val="22"/>
              </w:rPr>
            </w:pPr>
            <w:r w:rsidRPr="00AD67C2">
              <w:rPr>
                <w:rFonts w:ascii="Garamond" w:eastAsia="Times New Roman" w:hAnsi="Garamond" w:cs="Times New Roman"/>
                <w:sz w:val="22"/>
                <w:szCs w:val="22"/>
              </w:rPr>
              <w:t>Указывается диспетчерское наименование электростанции/блок-станции, включенной в состав объекта регулирования в соответствии с наименованием, указанным в заявлении и на однолинейной схеме</w:t>
            </w:r>
          </w:p>
        </w:tc>
      </w:tr>
      <w:tr w:rsidR="001333B2" w:rsidRPr="00AD67C2" w14:paraId="661DF70B" w14:textId="77777777" w:rsidTr="0064152E">
        <w:trPr>
          <w:trHeight w:val="737"/>
        </w:trPr>
        <w:tc>
          <w:tcPr>
            <w:tcW w:w="4154" w:type="dxa"/>
            <w:shd w:val="clear" w:color="auto" w:fill="D9D9D9"/>
            <w:vAlign w:val="center"/>
          </w:tcPr>
          <w:p w14:paraId="09A33277" w14:textId="77777777" w:rsidR="001333B2" w:rsidRPr="00AD67C2" w:rsidRDefault="001333B2" w:rsidP="001333B2">
            <w:pPr>
              <w:suppressAutoHyphens w:val="0"/>
              <w:jc w:val="both"/>
              <w:rPr>
                <w:rFonts w:ascii="Garamond" w:eastAsia="Times New Roman" w:hAnsi="Garamond" w:cs="Times New Roman"/>
                <w:b/>
                <w:sz w:val="22"/>
                <w:szCs w:val="22"/>
              </w:rPr>
            </w:pPr>
            <w:r w:rsidRPr="00AD67C2">
              <w:rPr>
                <w:rFonts w:ascii="Garamond" w:eastAsia="Times New Roman" w:hAnsi="Garamond" w:cs="Times New Roman"/>
                <w:b/>
                <w:sz w:val="22"/>
                <w:szCs w:val="22"/>
              </w:rPr>
              <w:t xml:space="preserve">Тип </w:t>
            </w:r>
            <w:r w:rsidRPr="00AD67C2">
              <w:rPr>
                <w:rFonts w:ascii="Garamond" w:eastAsia="Times New Roman" w:hAnsi="Garamond" w:cs="Times New Roman"/>
                <w:b/>
                <w:sz w:val="22"/>
                <w:szCs w:val="24"/>
              </w:rPr>
              <w:t>электростанция/блок-станции</w:t>
            </w:r>
          </w:p>
        </w:tc>
        <w:tc>
          <w:tcPr>
            <w:tcW w:w="5339" w:type="dxa"/>
            <w:vAlign w:val="center"/>
          </w:tcPr>
          <w:p w14:paraId="54D3A704" w14:textId="77777777" w:rsidR="001333B2" w:rsidRPr="00AD67C2" w:rsidRDefault="001333B2" w:rsidP="001333B2">
            <w:pPr>
              <w:tabs>
                <w:tab w:val="left" w:pos="0"/>
              </w:tabs>
              <w:suppressAutoHyphens w:val="0"/>
              <w:jc w:val="both"/>
              <w:rPr>
                <w:rFonts w:ascii="Garamond" w:eastAsia="Times New Roman" w:hAnsi="Garamond" w:cs="Times New Roman"/>
                <w:sz w:val="22"/>
                <w:szCs w:val="22"/>
              </w:rPr>
            </w:pPr>
            <w:r w:rsidRPr="00AD67C2">
              <w:rPr>
                <w:rFonts w:ascii="Garamond" w:eastAsia="Times New Roman" w:hAnsi="Garamond" w:cs="Times New Roman"/>
                <w:sz w:val="22"/>
                <w:szCs w:val="22"/>
              </w:rPr>
              <w:t>Указывается тип электростанции/блок-станции:</w:t>
            </w:r>
          </w:p>
          <w:p w14:paraId="56BB2F99" w14:textId="77777777" w:rsidR="001333B2" w:rsidRPr="00AD67C2" w:rsidRDefault="001333B2" w:rsidP="001333B2">
            <w:pPr>
              <w:tabs>
                <w:tab w:val="left" w:pos="0"/>
              </w:tabs>
              <w:suppressAutoHyphens w:val="0"/>
              <w:jc w:val="both"/>
              <w:rPr>
                <w:rFonts w:ascii="Garamond" w:eastAsia="Times New Roman" w:hAnsi="Garamond" w:cs="Times New Roman"/>
                <w:sz w:val="22"/>
                <w:szCs w:val="22"/>
              </w:rPr>
            </w:pPr>
            <w:r w:rsidRPr="00AD67C2">
              <w:rPr>
                <w:rFonts w:ascii="Garamond" w:eastAsia="Times New Roman" w:hAnsi="Garamond" w:cs="Times New Roman"/>
                <w:sz w:val="22"/>
                <w:szCs w:val="22"/>
              </w:rPr>
              <w:t>ТЭС, АЭС, ГЭС, ГАЭС, СЭС, ВЭС или иной тип электростанции/блок-станции</w:t>
            </w:r>
          </w:p>
        </w:tc>
      </w:tr>
    </w:tbl>
    <w:p w14:paraId="269B4181" w14:textId="77777777" w:rsidR="001333B2" w:rsidRPr="00AD67C2" w:rsidRDefault="001333B2" w:rsidP="001333B2">
      <w:pPr>
        <w:suppressAutoHyphens w:val="0"/>
        <w:spacing w:line="276" w:lineRule="auto"/>
        <w:ind w:left="425"/>
        <w:contextualSpacing/>
        <w:jc w:val="both"/>
        <w:rPr>
          <w:rFonts w:ascii="Garamond" w:eastAsia="Times New Roman" w:hAnsi="Garamond" w:cs="Times New Roman"/>
          <w:sz w:val="22"/>
          <w:szCs w:val="22"/>
        </w:rPr>
      </w:pPr>
    </w:p>
    <w:tbl>
      <w:tblPr>
        <w:tblW w:w="95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85"/>
        <w:gridCol w:w="1069"/>
        <w:gridCol w:w="4743"/>
        <w:gridCol w:w="674"/>
      </w:tblGrid>
      <w:tr w:rsidR="001333B2" w:rsidRPr="00AD67C2" w14:paraId="2A4A8D2B" w14:textId="77777777" w:rsidTr="0064152E">
        <w:trPr>
          <w:cantSplit/>
          <w:trHeight w:val="454"/>
        </w:trPr>
        <w:tc>
          <w:tcPr>
            <w:tcW w:w="9571" w:type="dxa"/>
            <w:gridSpan w:val="4"/>
            <w:shd w:val="clear" w:color="auto" w:fill="D9D9D9"/>
            <w:vAlign w:val="center"/>
          </w:tcPr>
          <w:p w14:paraId="2D2CC9E8" w14:textId="77777777" w:rsidR="001333B2" w:rsidRPr="00AD67C2" w:rsidRDefault="001333B2" w:rsidP="001333B2">
            <w:pPr>
              <w:suppressAutoHyphens w:val="0"/>
              <w:jc w:val="both"/>
              <w:rPr>
                <w:rFonts w:ascii="Garamond" w:eastAsia="Times New Roman" w:hAnsi="Garamond" w:cs="Times New Roman"/>
                <w:b/>
                <w:spacing w:val="-5"/>
                <w:sz w:val="22"/>
                <w:szCs w:val="22"/>
              </w:rPr>
            </w:pPr>
            <w:r w:rsidRPr="00AD67C2">
              <w:rPr>
                <w:rFonts w:ascii="Garamond" w:eastAsia="Times New Roman" w:hAnsi="Garamond" w:cs="Times New Roman"/>
                <w:b/>
                <w:spacing w:val="-5"/>
                <w:sz w:val="22"/>
                <w:szCs w:val="22"/>
              </w:rPr>
              <w:t>Общие характеристики электростанции/блок-станции</w:t>
            </w:r>
          </w:p>
        </w:tc>
      </w:tr>
      <w:tr w:rsidR="001333B2" w:rsidRPr="00AD67C2" w14:paraId="742E74E3" w14:textId="77777777" w:rsidTr="0064152E">
        <w:trPr>
          <w:trHeight w:val="1474"/>
        </w:trPr>
        <w:tc>
          <w:tcPr>
            <w:tcW w:w="4154" w:type="dxa"/>
            <w:gridSpan w:val="2"/>
            <w:vAlign w:val="center"/>
          </w:tcPr>
          <w:p w14:paraId="091673D4" w14:textId="77777777" w:rsidR="001333B2" w:rsidRPr="00AD67C2" w:rsidRDefault="001333B2" w:rsidP="001333B2">
            <w:pPr>
              <w:suppressAutoHyphens w:val="0"/>
              <w:jc w:val="both"/>
              <w:rPr>
                <w:rFonts w:ascii="Garamond" w:eastAsia="MS Mincho" w:hAnsi="Garamond" w:cs="Times New Roman"/>
                <w:sz w:val="22"/>
                <w:szCs w:val="22"/>
              </w:rPr>
            </w:pPr>
            <w:r w:rsidRPr="00AD67C2">
              <w:rPr>
                <w:rFonts w:ascii="Garamond" w:eastAsia="MS Mincho" w:hAnsi="Garamond" w:cs="Times New Roman"/>
                <w:sz w:val="22"/>
                <w:szCs w:val="22"/>
              </w:rPr>
              <w:t>Суммарная установленная мощность ЕГО в блок-станции, МВт</w:t>
            </w:r>
          </w:p>
        </w:tc>
        <w:tc>
          <w:tcPr>
            <w:tcW w:w="5417" w:type="dxa"/>
            <w:gridSpan w:val="2"/>
            <w:vAlign w:val="center"/>
          </w:tcPr>
          <w:p w14:paraId="3D665140" w14:textId="77777777" w:rsidR="001333B2" w:rsidRPr="00AD67C2" w:rsidRDefault="001333B2" w:rsidP="001333B2">
            <w:pPr>
              <w:suppressAutoHyphens w:val="0"/>
              <w:jc w:val="both"/>
              <w:rPr>
                <w:rFonts w:ascii="Garamond" w:eastAsia="MS Mincho" w:hAnsi="Garamond" w:cs="Times New Roman"/>
                <w:sz w:val="22"/>
                <w:szCs w:val="22"/>
              </w:rPr>
            </w:pPr>
            <w:r w:rsidRPr="00AD67C2">
              <w:rPr>
                <w:rFonts w:ascii="Garamond" w:eastAsia="Times New Roman" w:hAnsi="Garamond" w:cs="Times New Roman"/>
                <w:spacing w:val="-5"/>
                <w:sz w:val="22"/>
                <w:szCs w:val="22"/>
              </w:rPr>
              <w:t>Указывается</w:t>
            </w:r>
            <w:r w:rsidRPr="00AD67C2">
              <w:rPr>
                <w:rFonts w:ascii="Garamond" w:eastAsia="MS Mincho" w:hAnsi="Garamond" w:cs="Times New Roman"/>
                <w:sz w:val="22"/>
                <w:szCs w:val="22"/>
              </w:rPr>
              <w:t xml:space="preserve"> суммарная величина установленной мощности всех ЕГО, включенных в состав электростанции/блок-станции в МВт.</w:t>
            </w:r>
          </w:p>
          <w:p w14:paraId="1947D7CC" w14:textId="77777777" w:rsidR="001333B2" w:rsidRPr="00AD67C2" w:rsidRDefault="001333B2" w:rsidP="001333B2">
            <w:pPr>
              <w:suppressAutoHyphens w:val="0"/>
              <w:jc w:val="both"/>
              <w:rPr>
                <w:rFonts w:ascii="Garamond" w:eastAsia="MS Mincho" w:hAnsi="Garamond" w:cs="Times New Roman"/>
                <w:sz w:val="22"/>
                <w:szCs w:val="22"/>
              </w:rPr>
            </w:pPr>
            <w:r w:rsidRPr="00AD67C2">
              <w:rPr>
                <w:rFonts w:ascii="Garamond" w:eastAsia="Times New Roman" w:hAnsi="Garamond" w:cs="Times New Roman"/>
                <w:sz w:val="22"/>
                <w:szCs w:val="22"/>
              </w:rPr>
              <w:t xml:space="preserve">Для </w:t>
            </w:r>
            <w:r w:rsidRPr="00AD67C2">
              <w:rPr>
                <w:rFonts w:ascii="Garamond" w:eastAsia="Times New Roman" w:hAnsi="Garamond" w:cs="Times New Roman"/>
                <w:spacing w:val="-5"/>
                <w:sz w:val="22"/>
                <w:szCs w:val="22"/>
              </w:rPr>
              <w:t xml:space="preserve">типов электростанций </w:t>
            </w:r>
            <w:r w:rsidRPr="00AD67C2">
              <w:rPr>
                <w:rFonts w:ascii="Garamond" w:eastAsia="Times New Roman" w:hAnsi="Garamond" w:cs="Times New Roman"/>
                <w:sz w:val="22"/>
                <w:szCs w:val="22"/>
              </w:rPr>
              <w:t xml:space="preserve">СЭС и ВЭС указывается </w:t>
            </w:r>
            <w:r w:rsidRPr="00AD67C2">
              <w:rPr>
                <w:rFonts w:ascii="Garamond" w:eastAsia="MS Mincho" w:hAnsi="Garamond" w:cs="Times New Roman"/>
                <w:sz w:val="22"/>
                <w:szCs w:val="22"/>
              </w:rPr>
              <w:t xml:space="preserve">суммарная </w:t>
            </w:r>
            <w:r w:rsidRPr="00AD67C2">
              <w:rPr>
                <w:rFonts w:ascii="Garamond" w:eastAsia="Times New Roman" w:hAnsi="Garamond" w:cs="Times New Roman"/>
                <w:sz w:val="22"/>
                <w:szCs w:val="22"/>
              </w:rPr>
              <w:t xml:space="preserve">установленная мощность </w:t>
            </w:r>
            <w:r w:rsidRPr="00AD67C2">
              <w:rPr>
                <w:rFonts w:ascii="Garamond" w:eastAsia="MS Mincho" w:hAnsi="Garamond" w:cs="Times New Roman"/>
                <w:sz w:val="22"/>
                <w:szCs w:val="22"/>
              </w:rPr>
              <w:t xml:space="preserve">всех </w:t>
            </w:r>
            <w:r w:rsidRPr="00AD67C2">
              <w:rPr>
                <w:rFonts w:ascii="Garamond" w:eastAsia="Times New Roman" w:hAnsi="Garamond" w:cs="Times New Roman"/>
                <w:spacing w:val="-5"/>
                <w:sz w:val="22"/>
                <w:szCs w:val="22"/>
              </w:rPr>
              <w:t>ФЭСМ и ВЭУ</w:t>
            </w:r>
            <w:r w:rsidRPr="00AD67C2">
              <w:rPr>
                <w:rFonts w:ascii="Garamond" w:eastAsia="MS Mincho" w:hAnsi="Garamond" w:cs="Times New Roman"/>
                <w:sz w:val="22"/>
                <w:szCs w:val="22"/>
              </w:rPr>
              <w:t xml:space="preserve">, включенных в состав </w:t>
            </w:r>
            <w:r w:rsidRPr="00AD67C2">
              <w:rPr>
                <w:rFonts w:ascii="Garamond" w:eastAsia="Times New Roman" w:hAnsi="Garamond" w:cs="Times New Roman"/>
                <w:spacing w:val="-5"/>
                <w:sz w:val="22"/>
                <w:szCs w:val="22"/>
              </w:rPr>
              <w:t>блок-станции / объекта управления</w:t>
            </w:r>
          </w:p>
        </w:tc>
      </w:tr>
      <w:tr w:rsidR="001333B2" w:rsidRPr="00AD67C2" w14:paraId="06013919" w14:textId="77777777" w:rsidTr="0064152E">
        <w:trPr>
          <w:cantSplit/>
          <w:trHeight w:val="454"/>
        </w:trPr>
        <w:tc>
          <w:tcPr>
            <w:tcW w:w="9571" w:type="dxa"/>
            <w:gridSpan w:val="4"/>
            <w:shd w:val="clear" w:color="auto" w:fill="D9D9D9"/>
            <w:vAlign w:val="center"/>
          </w:tcPr>
          <w:p w14:paraId="3547291E" w14:textId="2F2F4F35" w:rsidR="001333B2" w:rsidRPr="00AD67C2" w:rsidRDefault="001333B2" w:rsidP="002C48F6">
            <w:pPr>
              <w:tabs>
                <w:tab w:val="left" w:pos="2777"/>
              </w:tabs>
              <w:suppressAutoHyphens w:val="0"/>
              <w:jc w:val="both"/>
              <w:rPr>
                <w:rFonts w:ascii="Garamond" w:eastAsia="MS Mincho" w:hAnsi="Garamond" w:cs="Times New Roman"/>
                <w:b/>
                <w:sz w:val="22"/>
                <w:szCs w:val="22"/>
              </w:rPr>
            </w:pPr>
            <w:r w:rsidRPr="00AD67C2">
              <w:rPr>
                <w:rFonts w:ascii="Garamond" w:eastAsia="MS Mincho" w:hAnsi="Garamond" w:cs="Times New Roman"/>
                <w:b/>
                <w:sz w:val="22"/>
                <w:szCs w:val="22"/>
              </w:rPr>
              <w:t>Характеристики единиц генерирующего оборудования (ЕГО) в составе электростанции/блок-станции</w:t>
            </w:r>
          </w:p>
        </w:tc>
      </w:tr>
      <w:tr w:rsidR="001333B2" w:rsidRPr="00AD67C2" w14:paraId="3A5D77FE" w14:textId="77777777" w:rsidTr="0064152E">
        <w:trPr>
          <w:trHeight w:val="283"/>
        </w:trPr>
        <w:tc>
          <w:tcPr>
            <w:tcW w:w="4154" w:type="dxa"/>
            <w:gridSpan w:val="2"/>
            <w:vAlign w:val="center"/>
          </w:tcPr>
          <w:p w14:paraId="77F81559" w14:textId="77777777" w:rsidR="001333B2" w:rsidRPr="00AD67C2" w:rsidRDefault="001333B2" w:rsidP="001333B2">
            <w:pPr>
              <w:suppressAutoHyphens w:val="0"/>
              <w:jc w:val="both"/>
              <w:rPr>
                <w:rFonts w:ascii="Garamond" w:eastAsia="MS Mincho" w:hAnsi="Garamond" w:cs="Times New Roman"/>
                <w:sz w:val="22"/>
                <w:szCs w:val="22"/>
              </w:rPr>
            </w:pPr>
            <w:r w:rsidRPr="00AD67C2">
              <w:rPr>
                <w:rFonts w:ascii="Garamond" w:eastAsia="MS Mincho" w:hAnsi="Garamond" w:cs="Times New Roman"/>
                <w:sz w:val="22"/>
                <w:szCs w:val="22"/>
              </w:rPr>
              <w:t>№</w:t>
            </w:r>
          </w:p>
        </w:tc>
        <w:tc>
          <w:tcPr>
            <w:tcW w:w="4743" w:type="dxa"/>
            <w:vAlign w:val="center"/>
          </w:tcPr>
          <w:p w14:paraId="0357EA0D" w14:textId="77777777" w:rsidR="001333B2" w:rsidRPr="00AD67C2" w:rsidRDefault="001333B2" w:rsidP="001333B2">
            <w:pPr>
              <w:suppressAutoHyphens w:val="0"/>
              <w:jc w:val="center"/>
              <w:rPr>
                <w:rFonts w:ascii="Garamond" w:eastAsia="MS Mincho" w:hAnsi="Garamond" w:cs="Times New Roman"/>
                <w:sz w:val="22"/>
                <w:szCs w:val="22"/>
              </w:rPr>
            </w:pPr>
            <w:r w:rsidRPr="00AD67C2">
              <w:rPr>
                <w:rFonts w:ascii="Garamond" w:eastAsia="MS Mincho" w:hAnsi="Garamond" w:cs="Times New Roman"/>
                <w:sz w:val="22"/>
                <w:szCs w:val="22"/>
              </w:rPr>
              <w:t>1</w:t>
            </w:r>
          </w:p>
        </w:tc>
        <w:tc>
          <w:tcPr>
            <w:tcW w:w="674" w:type="dxa"/>
            <w:vAlign w:val="center"/>
          </w:tcPr>
          <w:p w14:paraId="5EBAABCB" w14:textId="77777777" w:rsidR="001333B2" w:rsidRPr="00AD67C2" w:rsidRDefault="001333B2" w:rsidP="001333B2">
            <w:pPr>
              <w:suppressAutoHyphens w:val="0"/>
              <w:jc w:val="center"/>
              <w:rPr>
                <w:rFonts w:ascii="Garamond" w:eastAsia="MS Mincho" w:hAnsi="Garamond" w:cs="Times New Roman"/>
                <w:sz w:val="22"/>
                <w:szCs w:val="22"/>
                <w:lang w:val="en-US"/>
              </w:rPr>
            </w:pPr>
            <w:r w:rsidRPr="00AD67C2">
              <w:rPr>
                <w:rFonts w:ascii="Garamond" w:eastAsia="MS Mincho" w:hAnsi="Garamond" w:cs="Times New Roman"/>
                <w:sz w:val="22"/>
                <w:szCs w:val="22"/>
                <w:lang w:val="en-US"/>
              </w:rPr>
              <w:t>N…</w:t>
            </w:r>
          </w:p>
        </w:tc>
      </w:tr>
      <w:tr w:rsidR="001333B2" w:rsidRPr="00AD67C2" w14:paraId="2F19ECA4" w14:textId="77777777" w:rsidTr="0064152E">
        <w:trPr>
          <w:trHeight w:val="964"/>
        </w:trPr>
        <w:tc>
          <w:tcPr>
            <w:tcW w:w="4154" w:type="dxa"/>
            <w:gridSpan w:val="2"/>
            <w:vAlign w:val="center"/>
          </w:tcPr>
          <w:p w14:paraId="2ED11EAC" w14:textId="77777777" w:rsidR="001333B2" w:rsidRPr="00AD67C2" w:rsidRDefault="001333B2" w:rsidP="001333B2">
            <w:pPr>
              <w:suppressAutoHyphens w:val="0"/>
              <w:jc w:val="both"/>
              <w:rPr>
                <w:rFonts w:ascii="Garamond" w:eastAsia="MS Mincho" w:hAnsi="Garamond" w:cs="Times New Roman"/>
              </w:rPr>
            </w:pPr>
            <w:r w:rsidRPr="00AD67C2">
              <w:rPr>
                <w:rFonts w:ascii="Garamond" w:eastAsia="Times New Roman" w:hAnsi="Garamond" w:cs="Times New Roman"/>
                <w:spacing w:val="-5"/>
                <w:sz w:val="22"/>
                <w:szCs w:val="22"/>
              </w:rPr>
              <w:t>Наименование ЕГО</w:t>
            </w:r>
          </w:p>
        </w:tc>
        <w:tc>
          <w:tcPr>
            <w:tcW w:w="4743" w:type="dxa"/>
            <w:vAlign w:val="center"/>
          </w:tcPr>
          <w:p w14:paraId="27926655" w14:textId="77777777" w:rsidR="001333B2" w:rsidRPr="00AD67C2" w:rsidRDefault="001333B2" w:rsidP="001333B2">
            <w:pPr>
              <w:tabs>
                <w:tab w:val="left" w:pos="0"/>
              </w:tabs>
              <w:suppressAutoHyphens w:val="0"/>
              <w:jc w:val="both"/>
              <w:rPr>
                <w:rFonts w:ascii="Garamond" w:eastAsia="Times New Roman" w:hAnsi="Garamond" w:cs="Times New Roman"/>
                <w:sz w:val="22"/>
                <w:szCs w:val="22"/>
              </w:rPr>
            </w:pPr>
            <w:r w:rsidRPr="00AD67C2">
              <w:rPr>
                <w:rFonts w:ascii="Garamond" w:eastAsia="Times New Roman" w:hAnsi="Garamond" w:cs="Times New Roman"/>
                <w:sz w:val="22"/>
                <w:szCs w:val="22"/>
              </w:rPr>
              <w:t>Указывается диспетчерское наименование ЕГО в соответствии с примечанием 2.</w:t>
            </w:r>
          </w:p>
          <w:p w14:paraId="366C870C" w14:textId="77777777" w:rsidR="001333B2" w:rsidRPr="00AD67C2" w:rsidRDefault="001333B2" w:rsidP="001333B2">
            <w:pPr>
              <w:suppressAutoHyphens w:val="0"/>
              <w:jc w:val="both"/>
              <w:rPr>
                <w:rFonts w:ascii="Garamond" w:eastAsia="MS Mincho" w:hAnsi="Garamond" w:cs="Times New Roman"/>
              </w:rPr>
            </w:pPr>
            <w:r w:rsidRPr="00AD67C2">
              <w:rPr>
                <w:rFonts w:ascii="Garamond" w:eastAsia="Times New Roman" w:hAnsi="Garamond" w:cs="Times New Roman"/>
                <w:spacing w:val="-5"/>
                <w:sz w:val="22"/>
                <w:szCs w:val="22"/>
              </w:rPr>
              <w:t>Для типов электростанций СЭС и ВЭС указывается ФЭСМ и ВЭУ в соответствии с примечанием 3</w:t>
            </w:r>
          </w:p>
        </w:tc>
        <w:tc>
          <w:tcPr>
            <w:tcW w:w="674" w:type="dxa"/>
            <w:vAlign w:val="center"/>
          </w:tcPr>
          <w:p w14:paraId="7C85ABBA" w14:textId="77777777" w:rsidR="001333B2" w:rsidRPr="00AD67C2" w:rsidRDefault="001333B2" w:rsidP="001333B2">
            <w:pPr>
              <w:suppressAutoHyphens w:val="0"/>
              <w:jc w:val="center"/>
              <w:rPr>
                <w:rFonts w:ascii="Garamond" w:eastAsia="MS Mincho" w:hAnsi="Garamond" w:cs="Times New Roman"/>
                <w:sz w:val="22"/>
                <w:szCs w:val="22"/>
              </w:rPr>
            </w:pPr>
          </w:p>
        </w:tc>
      </w:tr>
      <w:tr w:rsidR="001333B2" w:rsidRPr="00AD67C2" w14:paraId="160FD253" w14:textId="77777777" w:rsidTr="0064152E">
        <w:trPr>
          <w:trHeight w:val="1701"/>
        </w:trPr>
        <w:tc>
          <w:tcPr>
            <w:tcW w:w="4154" w:type="dxa"/>
            <w:gridSpan w:val="2"/>
            <w:vAlign w:val="center"/>
          </w:tcPr>
          <w:p w14:paraId="109822FA" w14:textId="77777777" w:rsidR="001333B2" w:rsidRPr="00AD67C2" w:rsidRDefault="001333B2" w:rsidP="001333B2">
            <w:pPr>
              <w:suppressAutoHyphens w:val="0"/>
              <w:jc w:val="both"/>
              <w:rPr>
                <w:rFonts w:ascii="Garamond" w:eastAsia="Times New Roman" w:hAnsi="Garamond" w:cs="Times New Roman"/>
                <w:spacing w:val="-5"/>
                <w:sz w:val="22"/>
                <w:szCs w:val="22"/>
              </w:rPr>
            </w:pPr>
            <w:r w:rsidRPr="00AD67C2">
              <w:rPr>
                <w:rFonts w:ascii="Garamond" w:eastAsia="Times New Roman" w:hAnsi="Garamond" w:cs="Times New Roman"/>
                <w:spacing w:val="-5"/>
                <w:sz w:val="22"/>
                <w:szCs w:val="22"/>
              </w:rPr>
              <w:t>Наименование (станционный номер) турбогенератора (генератора) в составе ЕГО</w:t>
            </w:r>
          </w:p>
        </w:tc>
        <w:tc>
          <w:tcPr>
            <w:tcW w:w="4743" w:type="dxa"/>
            <w:vAlign w:val="center"/>
          </w:tcPr>
          <w:p w14:paraId="37828AAA" w14:textId="77777777" w:rsidR="001333B2" w:rsidRPr="00AD67C2" w:rsidRDefault="001333B2" w:rsidP="001333B2">
            <w:pPr>
              <w:tabs>
                <w:tab w:val="left" w:pos="0"/>
              </w:tabs>
              <w:suppressAutoHyphens w:val="0"/>
              <w:jc w:val="both"/>
              <w:rPr>
                <w:rFonts w:ascii="Garamond" w:eastAsia="Times New Roman" w:hAnsi="Garamond" w:cs="Times New Roman"/>
                <w:sz w:val="22"/>
                <w:szCs w:val="22"/>
              </w:rPr>
            </w:pPr>
            <w:r w:rsidRPr="00AD67C2">
              <w:rPr>
                <w:rFonts w:ascii="Garamond" w:eastAsia="Times New Roman" w:hAnsi="Garamond" w:cs="Times New Roman"/>
                <w:sz w:val="22"/>
                <w:szCs w:val="22"/>
              </w:rPr>
              <w:t>Указывается наименование турбогенератора (генератора) в составе ЕГО в соответствии с наименованием, указанным на однолинейной схеме.</w:t>
            </w:r>
          </w:p>
          <w:p w14:paraId="260E7E4A" w14:textId="77777777" w:rsidR="001333B2" w:rsidRPr="00AD67C2" w:rsidRDefault="001333B2" w:rsidP="001333B2">
            <w:pPr>
              <w:tabs>
                <w:tab w:val="left" w:pos="0"/>
              </w:tabs>
              <w:suppressAutoHyphens w:val="0"/>
              <w:jc w:val="both"/>
              <w:rPr>
                <w:rFonts w:ascii="Garamond" w:eastAsia="Times New Roman" w:hAnsi="Garamond" w:cs="Times New Roman"/>
                <w:sz w:val="22"/>
                <w:szCs w:val="22"/>
              </w:rPr>
            </w:pPr>
            <w:r w:rsidRPr="00AD67C2">
              <w:rPr>
                <w:rFonts w:ascii="Garamond" w:eastAsia="Times New Roman" w:hAnsi="Garamond" w:cs="Times New Roman"/>
                <w:sz w:val="22"/>
                <w:szCs w:val="22"/>
              </w:rPr>
              <w:t>Для типов электростанций СЭС и ВЭС указывается ФЭСМ и ВЭУ в соответствии с примечанием 3</w:t>
            </w:r>
          </w:p>
        </w:tc>
        <w:tc>
          <w:tcPr>
            <w:tcW w:w="674" w:type="dxa"/>
            <w:vAlign w:val="center"/>
          </w:tcPr>
          <w:p w14:paraId="150FB141" w14:textId="77777777" w:rsidR="001333B2" w:rsidRPr="00AD67C2" w:rsidRDefault="001333B2" w:rsidP="001333B2">
            <w:pPr>
              <w:suppressAutoHyphens w:val="0"/>
              <w:jc w:val="center"/>
              <w:rPr>
                <w:rFonts w:ascii="Garamond" w:eastAsia="MS Mincho" w:hAnsi="Garamond" w:cs="Times New Roman"/>
                <w:sz w:val="22"/>
                <w:szCs w:val="22"/>
              </w:rPr>
            </w:pPr>
          </w:p>
        </w:tc>
      </w:tr>
      <w:tr w:rsidR="001333B2" w:rsidRPr="00AD67C2" w14:paraId="06F1427A" w14:textId="77777777" w:rsidTr="0064152E">
        <w:trPr>
          <w:trHeight w:val="1701"/>
        </w:trPr>
        <w:tc>
          <w:tcPr>
            <w:tcW w:w="4154" w:type="dxa"/>
            <w:gridSpan w:val="2"/>
            <w:vAlign w:val="center"/>
          </w:tcPr>
          <w:p w14:paraId="7804671B" w14:textId="77777777" w:rsidR="001333B2" w:rsidRPr="00AD67C2" w:rsidRDefault="001333B2" w:rsidP="001333B2">
            <w:pPr>
              <w:suppressAutoHyphens w:val="0"/>
              <w:jc w:val="both"/>
              <w:rPr>
                <w:rFonts w:ascii="Garamond" w:eastAsia="MS Mincho" w:hAnsi="Garamond" w:cs="Times New Roman"/>
                <w:sz w:val="22"/>
                <w:szCs w:val="22"/>
              </w:rPr>
            </w:pPr>
            <w:r w:rsidRPr="00AD67C2">
              <w:rPr>
                <w:rFonts w:ascii="Garamond" w:eastAsia="MS Mincho" w:hAnsi="Garamond" w:cs="Times New Roman"/>
                <w:sz w:val="22"/>
                <w:szCs w:val="22"/>
              </w:rPr>
              <w:t>Установленная мощность ЕГО, МВт</w:t>
            </w:r>
          </w:p>
        </w:tc>
        <w:tc>
          <w:tcPr>
            <w:tcW w:w="4743" w:type="dxa"/>
            <w:vAlign w:val="center"/>
          </w:tcPr>
          <w:p w14:paraId="5BF47669" w14:textId="77777777" w:rsidR="001333B2" w:rsidRPr="00AD67C2" w:rsidRDefault="001333B2" w:rsidP="001333B2">
            <w:pPr>
              <w:suppressAutoHyphens w:val="0"/>
              <w:jc w:val="both"/>
              <w:rPr>
                <w:rFonts w:ascii="Garamond" w:eastAsia="MS Mincho" w:hAnsi="Garamond" w:cs="Times New Roman"/>
                <w:sz w:val="22"/>
                <w:szCs w:val="22"/>
              </w:rPr>
            </w:pPr>
            <w:r w:rsidRPr="00AD67C2">
              <w:rPr>
                <w:rFonts w:ascii="Garamond" w:eastAsia="MS Mincho" w:hAnsi="Garamond" w:cs="Times New Roman"/>
                <w:sz w:val="22"/>
                <w:szCs w:val="22"/>
              </w:rPr>
              <w:t>Указывается установленная мощность по каждой ЕГО в МВт.</w:t>
            </w:r>
          </w:p>
          <w:p w14:paraId="4C6F80DF" w14:textId="77777777" w:rsidR="001333B2" w:rsidRPr="00AD67C2" w:rsidRDefault="001333B2" w:rsidP="001333B2">
            <w:pPr>
              <w:suppressAutoHyphens w:val="0"/>
              <w:jc w:val="both"/>
              <w:rPr>
                <w:rFonts w:ascii="Garamond" w:eastAsia="Times New Roman" w:hAnsi="Garamond" w:cs="Times New Roman"/>
                <w:sz w:val="22"/>
                <w:szCs w:val="22"/>
              </w:rPr>
            </w:pPr>
            <w:r w:rsidRPr="00AD67C2">
              <w:rPr>
                <w:rFonts w:ascii="Garamond" w:eastAsia="Times New Roman" w:hAnsi="Garamond" w:cs="Times New Roman"/>
                <w:sz w:val="22"/>
                <w:szCs w:val="22"/>
              </w:rPr>
              <w:t xml:space="preserve">Для </w:t>
            </w:r>
            <w:r w:rsidRPr="00AD67C2">
              <w:rPr>
                <w:rFonts w:ascii="Garamond" w:eastAsia="Times New Roman" w:hAnsi="Garamond" w:cs="Times New Roman"/>
                <w:spacing w:val="-5"/>
                <w:sz w:val="22"/>
                <w:szCs w:val="22"/>
              </w:rPr>
              <w:t xml:space="preserve">типов электростанций </w:t>
            </w:r>
            <w:r w:rsidRPr="00AD67C2">
              <w:rPr>
                <w:rFonts w:ascii="Garamond" w:eastAsia="Times New Roman" w:hAnsi="Garamond" w:cs="Times New Roman"/>
                <w:sz w:val="22"/>
                <w:szCs w:val="22"/>
              </w:rPr>
              <w:t xml:space="preserve">СЭС и ВЭС указывается </w:t>
            </w:r>
            <w:r w:rsidRPr="00AD67C2">
              <w:rPr>
                <w:rFonts w:ascii="Garamond" w:eastAsia="MS Mincho" w:hAnsi="Garamond" w:cs="Times New Roman"/>
                <w:sz w:val="22"/>
                <w:szCs w:val="22"/>
              </w:rPr>
              <w:t xml:space="preserve">суммарная </w:t>
            </w:r>
            <w:r w:rsidRPr="00AD67C2">
              <w:rPr>
                <w:rFonts w:ascii="Garamond" w:eastAsia="Times New Roman" w:hAnsi="Garamond" w:cs="Times New Roman"/>
                <w:sz w:val="22"/>
                <w:szCs w:val="22"/>
              </w:rPr>
              <w:t xml:space="preserve">установленная мощность всех ФЭСМ и ВЭУ, включенных в состав блок-станции </w:t>
            </w:r>
            <w:r w:rsidRPr="00AD67C2">
              <w:rPr>
                <w:rFonts w:ascii="Garamond" w:eastAsia="Times New Roman" w:hAnsi="Garamond" w:cs="Times New Roman"/>
                <w:spacing w:val="-5"/>
                <w:sz w:val="22"/>
                <w:szCs w:val="22"/>
              </w:rPr>
              <w:t>/ объекта управления</w:t>
            </w:r>
            <w:r w:rsidRPr="00AD67C2">
              <w:rPr>
                <w:rFonts w:ascii="Garamond" w:eastAsia="Times New Roman" w:hAnsi="Garamond" w:cs="Times New Roman"/>
                <w:sz w:val="22"/>
                <w:szCs w:val="22"/>
              </w:rPr>
              <w:t>.</w:t>
            </w:r>
          </w:p>
          <w:p w14:paraId="6CAFC5F9" w14:textId="77777777" w:rsidR="001333B2" w:rsidRPr="00AD67C2" w:rsidRDefault="001333B2" w:rsidP="001333B2">
            <w:pPr>
              <w:suppressAutoHyphens w:val="0"/>
              <w:jc w:val="both"/>
              <w:rPr>
                <w:rFonts w:ascii="Garamond" w:eastAsia="MS Mincho" w:hAnsi="Garamond" w:cs="Times New Roman"/>
              </w:rPr>
            </w:pPr>
            <w:r w:rsidRPr="00AD67C2">
              <w:rPr>
                <w:rFonts w:ascii="Garamond" w:eastAsia="Times New Roman" w:hAnsi="Garamond" w:cs="Times New Roman"/>
                <w:sz w:val="22"/>
                <w:szCs w:val="22"/>
              </w:rPr>
              <w:t>Не допускается задание нулевого значения</w:t>
            </w:r>
          </w:p>
        </w:tc>
        <w:tc>
          <w:tcPr>
            <w:tcW w:w="674" w:type="dxa"/>
            <w:vAlign w:val="center"/>
          </w:tcPr>
          <w:p w14:paraId="2E4ACEEE" w14:textId="77777777" w:rsidR="001333B2" w:rsidRPr="00AD67C2" w:rsidRDefault="001333B2" w:rsidP="001333B2">
            <w:pPr>
              <w:suppressAutoHyphens w:val="0"/>
              <w:jc w:val="center"/>
              <w:rPr>
                <w:rFonts w:ascii="Garamond" w:eastAsia="MS Mincho" w:hAnsi="Garamond" w:cs="Times New Roman"/>
                <w:sz w:val="22"/>
                <w:szCs w:val="22"/>
              </w:rPr>
            </w:pPr>
          </w:p>
        </w:tc>
      </w:tr>
      <w:tr w:rsidR="001333B2" w:rsidRPr="00AD67C2" w14:paraId="07CF367B" w14:textId="77777777" w:rsidTr="0064152E">
        <w:trPr>
          <w:cantSplit/>
          <w:trHeight w:val="1928"/>
        </w:trPr>
        <w:tc>
          <w:tcPr>
            <w:tcW w:w="3085" w:type="dxa"/>
            <w:vMerge w:val="restart"/>
            <w:vAlign w:val="center"/>
          </w:tcPr>
          <w:p w14:paraId="708FF6C4" w14:textId="77777777" w:rsidR="001333B2" w:rsidRPr="00AD67C2" w:rsidRDefault="001333B2" w:rsidP="001333B2">
            <w:pPr>
              <w:suppressAutoHyphens w:val="0"/>
              <w:jc w:val="both"/>
              <w:rPr>
                <w:rFonts w:ascii="Garamond" w:eastAsia="MS Mincho" w:hAnsi="Garamond" w:cs="Times New Roman"/>
                <w:sz w:val="22"/>
                <w:szCs w:val="22"/>
              </w:rPr>
            </w:pPr>
            <w:r w:rsidRPr="00AD67C2">
              <w:rPr>
                <w:rFonts w:ascii="Garamond" w:eastAsia="MS Mincho" w:hAnsi="Garamond" w:cs="Times New Roman"/>
                <w:sz w:val="22"/>
                <w:szCs w:val="22"/>
              </w:rPr>
              <w:t>Предел регулировочного диапазона, МВт</w:t>
            </w:r>
          </w:p>
        </w:tc>
        <w:tc>
          <w:tcPr>
            <w:tcW w:w="1069" w:type="dxa"/>
            <w:vAlign w:val="center"/>
          </w:tcPr>
          <w:p w14:paraId="5DFAC319" w14:textId="77777777" w:rsidR="001333B2" w:rsidRPr="00AD67C2" w:rsidRDefault="001333B2" w:rsidP="001333B2">
            <w:pPr>
              <w:suppressAutoHyphens w:val="0"/>
              <w:jc w:val="center"/>
              <w:rPr>
                <w:rFonts w:ascii="Garamond" w:eastAsia="MS Mincho" w:hAnsi="Garamond" w:cs="Times New Roman"/>
                <w:sz w:val="22"/>
                <w:szCs w:val="22"/>
              </w:rPr>
            </w:pPr>
            <w:r w:rsidRPr="00AD67C2">
              <w:rPr>
                <w:rFonts w:ascii="Garamond" w:eastAsia="MS Mincho" w:hAnsi="Garamond" w:cs="Times New Roman"/>
                <w:sz w:val="22"/>
                <w:szCs w:val="22"/>
              </w:rPr>
              <w:t>нижний</w:t>
            </w:r>
          </w:p>
        </w:tc>
        <w:tc>
          <w:tcPr>
            <w:tcW w:w="4743" w:type="dxa"/>
            <w:vAlign w:val="center"/>
          </w:tcPr>
          <w:p w14:paraId="781B86B2" w14:textId="77777777" w:rsidR="001333B2" w:rsidRPr="00AD67C2" w:rsidRDefault="001333B2" w:rsidP="001333B2">
            <w:pPr>
              <w:suppressAutoHyphens w:val="0"/>
              <w:jc w:val="both"/>
              <w:rPr>
                <w:rFonts w:ascii="Garamond" w:eastAsia="MS Mincho" w:hAnsi="Garamond" w:cs="Times New Roman"/>
                <w:sz w:val="22"/>
                <w:szCs w:val="22"/>
              </w:rPr>
            </w:pPr>
            <w:r w:rsidRPr="00AD67C2">
              <w:rPr>
                <w:rFonts w:ascii="Garamond" w:eastAsia="MS Mincho" w:hAnsi="Garamond" w:cs="Times New Roman"/>
                <w:sz w:val="22"/>
                <w:szCs w:val="22"/>
              </w:rPr>
              <w:t>Указывается числовое значение нижнего предела регулировочного диапазона в МВт.</w:t>
            </w:r>
          </w:p>
          <w:p w14:paraId="530B5B17" w14:textId="77777777" w:rsidR="001333B2" w:rsidRPr="00AD67C2" w:rsidRDefault="001333B2" w:rsidP="001333B2">
            <w:pPr>
              <w:suppressAutoHyphens w:val="0"/>
              <w:jc w:val="both"/>
              <w:rPr>
                <w:rFonts w:ascii="Garamond" w:eastAsia="MS Mincho" w:hAnsi="Garamond" w:cs="Times New Roman"/>
                <w:sz w:val="22"/>
                <w:szCs w:val="22"/>
              </w:rPr>
            </w:pPr>
            <w:r w:rsidRPr="00AD67C2">
              <w:rPr>
                <w:rFonts w:ascii="Garamond" w:eastAsia="MS Mincho" w:hAnsi="Garamond" w:cs="Times New Roman"/>
                <w:sz w:val="22"/>
                <w:szCs w:val="22"/>
              </w:rPr>
              <w:t>Значение нижнего предела регулировочного диапазона не должно превышать верхний предел.</w:t>
            </w:r>
          </w:p>
          <w:p w14:paraId="75B26814" w14:textId="77777777" w:rsidR="001333B2" w:rsidRPr="00AD67C2" w:rsidRDefault="001333B2" w:rsidP="001333B2">
            <w:pPr>
              <w:suppressAutoHyphens w:val="0"/>
              <w:jc w:val="both"/>
              <w:rPr>
                <w:rFonts w:ascii="Garamond" w:eastAsia="MS Mincho" w:hAnsi="Garamond" w:cs="Times New Roman"/>
                <w:sz w:val="22"/>
                <w:szCs w:val="22"/>
              </w:rPr>
            </w:pPr>
            <w:r w:rsidRPr="00AD67C2">
              <w:rPr>
                <w:rFonts w:ascii="Garamond" w:eastAsia="MS Mincho" w:hAnsi="Garamond" w:cs="Times New Roman"/>
                <w:sz w:val="22"/>
                <w:szCs w:val="22"/>
              </w:rPr>
              <w:t>Для ГЭС значение нижнего предела регулировочного диапазона должно быть указано равным нулю</w:t>
            </w:r>
          </w:p>
        </w:tc>
        <w:tc>
          <w:tcPr>
            <w:tcW w:w="674" w:type="dxa"/>
            <w:vAlign w:val="center"/>
          </w:tcPr>
          <w:p w14:paraId="584FC897" w14:textId="77777777" w:rsidR="001333B2" w:rsidRPr="00AD67C2" w:rsidRDefault="001333B2" w:rsidP="001333B2">
            <w:pPr>
              <w:suppressAutoHyphens w:val="0"/>
              <w:jc w:val="center"/>
              <w:rPr>
                <w:rFonts w:ascii="Garamond" w:eastAsia="MS Mincho" w:hAnsi="Garamond" w:cs="Times New Roman"/>
                <w:sz w:val="22"/>
                <w:szCs w:val="22"/>
              </w:rPr>
            </w:pPr>
          </w:p>
        </w:tc>
      </w:tr>
      <w:tr w:rsidR="001333B2" w:rsidRPr="00AD67C2" w14:paraId="2CCD47B5" w14:textId="77777777" w:rsidTr="0064152E">
        <w:trPr>
          <w:cantSplit/>
          <w:trHeight w:val="1191"/>
        </w:trPr>
        <w:tc>
          <w:tcPr>
            <w:tcW w:w="3085" w:type="dxa"/>
            <w:vMerge/>
            <w:vAlign w:val="center"/>
          </w:tcPr>
          <w:p w14:paraId="3369B632" w14:textId="77777777" w:rsidR="001333B2" w:rsidRPr="00AD67C2" w:rsidRDefault="001333B2" w:rsidP="001333B2">
            <w:pPr>
              <w:suppressAutoHyphens w:val="0"/>
              <w:jc w:val="both"/>
              <w:rPr>
                <w:rFonts w:ascii="Garamond" w:eastAsia="MS Mincho" w:hAnsi="Garamond" w:cs="Times New Roman"/>
                <w:sz w:val="22"/>
                <w:szCs w:val="22"/>
              </w:rPr>
            </w:pPr>
          </w:p>
        </w:tc>
        <w:tc>
          <w:tcPr>
            <w:tcW w:w="1069" w:type="dxa"/>
            <w:vAlign w:val="center"/>
          </w:tcPr>
          <w:p w14:paraId="797F67C3" w14:textId="77777777" w:rsidR="001333B2" w:rsidRPr="00AD67C2" w:rsidRDefault="001333B2" w:rsidP="001333B2">
            <w:pPr>
              <w:suppressAutoHyphens w:val="0"/>
              <w:jc w:val="center"/>
              <w:rPr>
                <w:rFonts w:ascii="Garamond" w:eastAsia="MS Mincho" w:hAnsi="Garamond" w:cs="Times New Roman"/>
                <w:sz w:val="22"/>
                <w:szCs w:val="22"/>
              </w:rPr>
            </w:pPr>
            <w:r w:rsidRPr="00AD67C2">
              <w:rPr>
                <w:rFonts w:ascii="Garamond" w:eastAsia="MS Mincho" w:hAnsi="Garamond" w:cs="Times New Roman"/>
                <w:sz w:val="22"/>
                <w:szCs w:val="22"/>
              </w:rPr>
              <w:t>верхний</w:t>
            </w:r>
          </w:p>
        </w:tc>
        <w:tc>
          <w:tcPr>
            <w:tcW w:w="4743" w:type="dxa"/>
            <w:vAlign w:val="center"/>
          </w:tcPr>
          <w:p w14:paraId="27BCAE9C" w14:textId="77777777" w:rsidR="001333B2" w:rsidRPr="00AD67C2" w:rsidRDefault="001333B2" w:rsidP="001333B2">
            <w:pPr>
              <w:suppressAutoHyphens w:val="0"/>
              <w:jc w:val="both"/>
              <w:rPr>
                <w:rFonts w:ascii="Garamond" w:eastAsia="MS Mincho" w:hAnsi="Garamond" w:cs="Times New Roman"/>
                <w:sz w:val="22"/>
                <w:szCs w:val="22"/>
              </w:rPr>
            </w:pPr>
            <w:r w:rsidRPr="00AD67C2">
              <w:rPr>
                <w:rFonts w:ascii="Garamond" w:eastAsia="MS Mincho" w:hAnsi="Garamond" w:cs="Times New Roman"/>
                <w:sz w:val="22"/>
                <w:szCs w:val="22"/>
              </w:rPr>
              <w:t>Указывается числовое значение верхнего предела регулировочного диапазона в МВт.</w:t>
            </w:r>
          </w:p>
          <w:p w14:paraId="0C835970" w14:textId="77777777" w:rsidR="001333B2" w:rsidRPr="00AD67C2" w:rsidRDefault="001333B2" w:rsidP="001333B2">
            <w:pPr>
              <w:suppressAutoHyphens w:val="0"/>
              <w:jc w:val="both"/>
              <w:rPr>
                <w:rFonts w:ascii="Garamond" w:eastAsia="MS Mincho" w:hAnsi="Garamond" w:cs="Times New Roman"/>
                <w:sz w:val="22"/>
                <w:szCs w:val="22"/>
              </w:rPr>
            </w:pPr>
            <w:r w:rsidRPr="00AD67C2">
              <w:rPr>
                <w:rFonts w:ascii="Garamond" w:eastAsia="MS Mincho" w:hAnsi="Garamond" w:cs="Times New Roman"/>
                <w:sz w:val="22"/>
                <w:szCs w:val="22"/>
              </w:rPr>
              <w:t>Числовое значение может быть меньше или больше установленной мощности ЕГО.</w:t>
            </w:r>
          </w:p>
          <w:p w14:paraId="260ACB19" w14:textId="77777777" w:rsidR="001333B2" w:rsidRPr="00AD67C2" w:rsidRDefault="001333B2" w:rsidP="001333B2">
            <w:pPr>
              <w:suppressAutoHyphens w:val="0"/>
              <w:jc w:val="both"/>
              <w:rPr>
                <w:rFonts w:ascii="Garamond" w:eastAsia="MS Mincho" w:hAnsi="Garamond" w:cs="Times New Roman"/>
                <w:sz w:val="22"/>
                <w:szCs w:val="22"/>
              </w:rPr>
            </w:pPr>
            <w:r w:rsidRPr="00AD67C2">
              <w:rPr>
                <w:rFonts w:ascii="Garamond" w:eastAsia="MS Mincho" w:hAnsi="Garamond" w:cs="Times New Roman"/>
                <w:sz w:val="22"/>
                <w:szCs w:val="22"/>
              </w:rPr>
              <w:t>Не допускается задание нулевого значения</w:t>
            </w:r>
          </w:p>
        </w:tc>
        <w:tc>
          <w:tcPr>
            <w:tcW w:w="674" w:type="dxa"/>
            <w:vAlign w:val="center"/>
          </w:tcPr>
          <w:p w14:paraId="071E3469" w14:textId="77777777" w:rsidR="001333B2" w:rsidRPr="00AD67C2" w:rsidRDefault="001333B2" w:rsidP="001333B2">
            <w:pPr>
              <w:suppressAutoHyphens w:val="0"/>
              <w:jc w:val="center"/>
              <w:rPr>
                <w:rFonts w:ascii="Garamond" w:eastAsia="MS Mincho" w:hAnsi="Garamond" w:cs="Times New Roman"/>
                <w:sz w:val="22"/>
                <w:szCs w:val="22"/>
              </w:rPr>
            </w:pPr>
          </w:p>
        </w:tc>
      </w:tr>
      <w:tr w:rsidR="001333B2" w:rsidRPr="00AD67C2" w14:paraId="5E14C8D6" w14:textId="77777777" w:rsidTr="0064152E">
        <w:trPr>
          <w:trHeight w:val="737"/>
        </w:trPr>
        <w:tc>
          <w:tcPr>
            <w:tcW w:w="4154" w:type="dxa"/>
            <w:gridSpan w:val="2"/>
            <w:vAlign w:val="center"/>
          </w:tcPr>
          <w:p w14:paraId="5A44C0FF" w14:textId="77777777" w:rsidR="001333B2" w:rsidRPr="00AD67C2" w:rsidRDefault="001333B2" w:rsidP="001333B2">
            <w:pPr>
              <w:suppressAutoHyphens w:val="0"/>
              <w:jc w:val="both"/>
              <w:rPr>
                <w:rFonts w:ascii="Garamond" w:eastAsia="MS Mincho" w:hAnsi="Garamond" w:cs="Times New Roman"/>
                <w:sz w:val="22"/>
                <w:szCs w:val="22"/>
              </w:rPr>
            </w:pPr>
            <w:r w:rsidRPr="00AD67C2">
              <w:rPr>
                <w:rFonts w:ascii="Garamond" w:eastAsia="MS Mincho" w:hAnsi="Garamond" w:cs="Times New Roman"/>
                <w:sz w:val="22"/>
                <w:szCs w:val="22"/>
              </w:rPr>
              <w:lastRenderedPageBreak/>
              <w:t>Скорость набора нагрузки, МВт/мин</w:t>
            </w:r>
          </w:p>
        </w:tc>
        <w:tc>
          <w:tcPr>
            <w:tcW w:w="4743" w:type="dxa"/>
            <w:shd w:val="clear" w:color="auto" w:fill="auto"/>
            <w:vAlign w:val="center"/>
          </w:tcPr>
          <w:p w14:paraId="1AACD31A" w14:textId="77777777" w:rsidR="001333B2" w:rsidRPr="00AD67C2" w:rsidRDefault="001333B2" w:rsidP="001333B2">
            <w:pPr>
              <w:suppressAutoHyphens w:val="0"/>
              <w:jc w:val="both"/>
              <w:rPr>
                <w:rFonts w:ascii="Garamond" w:eastAsia="MS Mincho" w:hAnsi="Garamond" w:cs="Times New Roman"/>
              </w:rPr>
            </w:pPr>
            <w:r w:rsidRPr="00AD67C2">
              <w:rPr>
                <w:rFonts w:ascii="Garamond" w:eastAsia="MS Mincho" w:hAnsi="Garamond" w:cs="Times New Roman"/>
                <w:sz w:val="22"/>
                <w:szCs w:val="22"/>
              </w:rPr>
              <w:t>Указывается числовое значение максимально допустимой скорости увеличения нагрузки ЕГО в течение 1 минуты в МВт/мин</w:t>
            </w:r>
          </w:p>
        </w:tc>
        <w:tc>
          <w:tcPr>
            <w:tcW w:w="674" w:type="dxa"/>
            <w:vAlign w:val="center"/>
          </w:tcPr>
          <w:p w14:paraId="732B4577" w14:textId="77777777" w:rsidR="001333B2" w:rsidRPr="00AD67C2" w:rsidRDefault="001333B2" w:rsidP="001333B2">
            <w:pPr>
              <w:suppressAutoHyphens w:val="0"/>
              <w:jc w:val="center"/>
              <w:rPr>
                <w:rFonts w:ascii="Garamond" w:eastAsia="MS Mincho" w:hAnsi="Garamond" w:cs="Times New Roman"/>
                <w:sz w:val="22"/>
                <w:szCs w:val="22"/>
              </w:rPr>
            </w:pPr>
          </w:p>
        </w:tc>
      </w:tr>
      <w:tr w:rsidR="001333B2" w:rsidRPr="00AD67C2" w14:paraId="0B4EC992" w14:textId="77777777" w:rsidTr="0064152E">
        <w:trPr>
          <w:trHeight w:val="737"/>
        </w:trPr>
        <w:tc>
          <w:tcPr>
            <w:tcW w:w="4154" w:type="dxa"/>
            <w:gridSpan w:val="2"/>
            <w:vAlign w:val="center"/>
          </w:tcPr>
          <w:p w14:paraId="5E699514" w14:textId="77777777" w:rsidR="001333B2" w:rsidRPr="00AD67C2" w:rsidRDefault="001333B2" w:rsidP="001333B2">
            <w:pPr>
              <w:suppressAutoHyphens w:val="0"/>
              <w:jc w:val="both"/>
              <w:rPr>
                <w:rFonts w:ascii="Garamond" w:eastAsia="MS Mincho" w:hAnsi="Garamond" w:cs="Times New Roman"/>
                <w:sz w:val="22"/>
                <w:szCs w:val="22"/>
              </w:rPr>
            </w:pPr>
            <w:r w:rsidRPr="00AD67C2">
              <w:rPr>
                <w:rFonts w:ascii="Garamond" w:eastAsia="MS Mincho" w:hAnsi="Garamond" w:cs="Times New Roman"/>
                <w:sz w:val="22"/>
                <w:szCs w:val="22"/>
              </w:rPr>
              <w:t>Скорость снижения нагрузки, МВт/мин</w:t>
            </w:r>
          </w:p>
        </w:tc>
        <w:tc>
          <w:tcPr>
            <w:tcW w:w="4743" w:type="dxa"/>
            <w:vAlign w:val="center"/>
          </w:tcPr>
          <w:p w14:paraId="13890A38" w14:textId="77777777" w:rsidR="001333B2" w:rsidRPr="00AD67C2" w:rsidRDefault="001333B2" w:rsidP="001333B2">
            <w:pPr>
              <w:suppressAutoHyphens w:val="0"/>
              <w:jc w:val="both"/>
              <w:rPr>
                <w:rFonts w:ascii="Garamond" w:eastAsia="MS Mincho" w:hAnsi="Garamond" w:cs="Times New Roman"/>
              </w:rPr>
            </w:pPr>
            <w:r w:rsidRPr="00AD67C2">
              <w:rPr>
                <w:rFonts w:ascii="Garamond" w:eastAsia="MS Mincho" w:hAnsi="Garamond" w:cs="Times New Roman"/>
                <w:sz w:val="22"/>
                <w:szCs w:val="22"/>
              </w:rPr>
              <w:t>Указывается числовое значение максимально допустимой скорости снижения нагрузки ЕГО в течение 1 минуты в МВт/мин</w:t>
            </w:r>
          </w:p>
        </w:tc>
        <w:tc>
          <w:tcPr>
            <w:tcW w:w="674" w:type="dxa"/>
            <w:vAlign w:val="center"/>
          </w:tcPr>
          <w:p w14:paraId="0B59B3AE" w14:textId="77777777" w:rsidR="001333B2" w:rsidRPr="00AD67C2" w:rsidRDefault="001333B2" w:rsidP="001333B2">
            <w:pPr>
              <w:suppressAutoHyphens w:val="0"/>
              <w:jc w:val="center"/>
              <w:rPr>
                <w:rFonts w:ascii="Garamond" w:eastAsia="MS Mincho" w:hAnsi="Garamond" w:cs="Times New Roman"/>
                <w:sz w:val="22"/>
                <w:szCs w:val="22"/>
              </w:rPr>
            </w:pPr>
          </w:p>
        </w:tc>
      </w:tr>
    </w:tbl>
    <w:p w14:paraId="689791B8" w14:textId="77777777" w:rsidR="001333B2" w:rsidRPr="00AD67C2" w:rsidRDefault="001333B2" w:rsidP="001333B2">
      <w:pPr>
        <w:suppressAutoHyphens w:val="0"/>
        <w:spacing w:line="276" w:lineRule="auto"/>
        <w:ind w:left="425"/>
        <w:contextualSpacing/>
        <w:jc w:val="both"/>
        <w:rPr>
          <w:rFonts w:ascii="Garamond" w:eastAsia="Times New Roman" w:hAnsi="Garamond" w:cs="Times New Roman"/>
          <w:sz w:val="22"/>
          <w:szCs w:val="22"/>
        </w:rPr>
      </w:pPr>
    </w:p>
    <w:p w14:paraId="19BE3C14" w14:textId="77777777" w:rsidR="001333B2" w:rsidRPr="00AD67C2" w:rsidRDefault="001333B2" w:rsidP="001333B2">
      <w:pPr>
        <w:suppressAutoHyphens w:val="0"/>
        <w:spacing w:line="276" w:lineRule="auto"/>
        <w:ind w:left="425"/>
        <w:contextualSpacing/>
        <w:jc w:val="both"/>
        <w:rPr>
          <w:rFonts w:ascii="Garamond" w:eastAsia="Times New Roman" w:hAnsi="Garamond" w:cs="Times New Roman"/>
          <w:sz w:val="22"/>
          <w:szCs w:val="22"/>
        </w:rPr>
      </w:pPr>
    </w:p>
    <w:p w14:paraId="321384E3" w14:textId="77777777" w:rsidR="001333B2" w:rsidRPr="00AD67C2" w:rsidRDefault="001333B2" w:rsidP="001333B2">
      <w:pPr>
        <w:suppressAutoHyphens w:val="0"/>
        <w:jc w:val="both"/>
        <w:rPr>
          <w:rFonts w:ascii="Garamond" w:eastAsia="Times New Roman" w:hAnsi="Garamond" w:cs="Garamond"/>
          <w:b/>
          <w:iCs/>
          <w:szCs w:val="24"/>
        </w:rPr>
      </w:pPr>
      <w:r w:rsidRPr="00AD67C2">
        <w:rPr>
          <w:rFonts w:ascii="Garamond" w:eastAsia="Times New Roman" w:hAnsi="Garamond" w:cs="Garamond"/>
          <w:b/>
          <w:iCs/>
          <w:szCs w:val="24"/>
        </w:rPr>
        <w:t>Примечания.</w:t>
      </w:r>
    </w:p>
    <w:p w14:paraId="31DDC617" w14:textId="77777777" w:rsidR="001333B2" w:rsidRPr="00AD67C2" w:rsidRDefault="001333B2" w:rsidP="001333B2">
      <w:pPr>
        <w:suppressAutoHyphens w:val="0"/>
        <w:jc w:val="both"/>
        <w:rPr>
          <w:rFonts w:ascii="Garamond" w:eastAsia="Times New Roman" w:hAnsi="Garamond" w:cs="Garamond"/>
          <w:b/>
          <w:iCs/>
          <w:szCs w:val="24"/>
        </w:rPr>
      </w:pPr>
    </w:p>
    <w:p w14:paraId="24054117" w14:textId="77777777" w:rsidR="001333B2" w:rsidRPr="00AD67C2" w:rsidRDefault="001333B2" w:rsidP="001333B2">
      <w:pPr>
        <w:suppressAutoHyphens w:val="0"/>
        <w:ind w:right="-2"/>
        <w:jc w:val="both"/>
        <w:rPr>
          <w:rFonts w:ascii="Garamond" w:eastAsia="Times New Roman" w:hAnsi="Garamond" w:cs="Times New Roman"/>
          <w:b/>
          <w:iCs/>
          <w:szCs w:val="24"/>
        </w:rPr>
      </w:pPr>
      <w:r w:rsidRPr="00AD67C2">
        <w:rPr>
          <w:rFonts w:ascii="Garamond" w:eastAsia="Times New Roman" w:hAnsi="Garamond" w:cs="Times New Roman"/>
          <w:b/>
          <w:iCs/>
          <w:szCs w:val="24"/>
        </w:rPr>
        <w:t>Разделы формы заполняются с учетом указанных ниже особенностей:</w:t>
      </w:r>
    </w:p>
    <w:p w14:paraId="789ED5EF" w14:textId="77777777" w:rsidR="001333B2" w:rsidRPr="00AD67C2" w:rsidRDefault="001333B2" w:rsidP="001333B2">
      <w:pPr>
        <w:suppressAutoHyphens w:val="0"/>
        <w:ind w:left="426" w:right="-2" w:hanging="426"/>
        <w:jc w:val="both"/>
        <w:rPr>
          <w:rFonts w:ascii="Garamond" w:eastAsia="Times New Roman" w:hAnsi="Garamond" w:cs="Times New Roman"/>
          <w:szCs w:val="24"/>
        </w:rPr>
      </w:pPr>
      <w:r w:rsidRPr="00AD67C2">
        <w:rPr>
          <w:rFonts w:ascii="Garamond" w:eastAsia="Times New Roman" w:hAnsi="Garamond" w:cs="Times New Roman"/>
          <w:szCs w:val="24"/>
        </w:rPr>
        <w:t>1.</w:t>
      </w:r>
      <w:r w:rsidRPr="00AD67C2">
        <w:rPr>
          <w:rFonts w:ascii="Garamond" w:eastAsia="Times New Roman" w:hAnsi="Garamond" w:cs="Times New Roman"/>
          <w:szCs w:val="24"/>
        </w:rPr>
        <w:tab/>
        <w:t>Форма заполняется отдельно для каждой электростанции/блок-станции, включенной в состав объекта регулирования.</w:t>
      </w:r>
    </w:p>
    <w:p w14:paraId="00823614" w14:textId="77777777" w:rsidR="001333B2" w:rsidRPr="00AD67C2" w:rsidRDefault="001333B2" w:rsidP="001333B2">
      <w:pPr>
        <w:suppressAutoHyphens w:val="0"/>
        <w:ind w:left="426" w:right="6" w:hanging="426"/>
        <w:jc w:val="both"/>
        <w:rPr>
          <w:rFonts w:ascii="Garamond" w:eastAsia="Times New Roman" w:hAnsi="Garamond" w:cs="Times New Roman"/>
          <w:szCs w:val="24"/>
        </w:rPr>
      </w:pPr>
      <w:r w:rsidRPr="00AD67C2">
        <w:rPr>
          <w:rFonts w:ascii="Garamond" w:eastAsia="Times New Roman" w:hAnsi="Garamond" w:cs="Times New Roman"/>
          <w:szCs w:val="24"/>
        </w:rPr>
        <w:t>2.</w:t>
      </w:r>
      <w:r w:rsidRPr="00AD67C2">
        <w:rPr>
          <w:rFonts w:ascii="Garamond" w:eastAsia="Times New Roman" w:hAnsi="Garamond" w:cs="Times New Roman"/>
          <w:szCs w:val="24"/>
        </w:rPr>
        <w:tab/>
        <w:t>В разделе «Наименование ЕГО» указывается:</w:t>
      </w:r>
    </w:p>
    <w:p w14:paraId="1E61414F" w14:textId="77777777" w:rsidR="001333B2" w:rsidRPr="00AD67C2" w:rsidRDefault="001333B2" w:rsidP="001333B2">
      <w:pPr>
        <w:suppressAutoHyphens w:val="0"/>
        <w:ind w:left="851" w:hanging="425"/>
        <w:jc w:val="both"/>
        <w:rPr>
          <w:rFonts w:ascii="Garamond" w:eastAsia="Times New Roman" w:hAnsi="Garamond" w:cs="Times New Roman"/>
          <w:szCs w:val="24"/>
        </w:rPr>
      </w:pPr>
      <w:r w:rsidRPr="00AD67C2">
        <w:rPr>
          <w:rFonts w:ascii="Garamond" w:eastAsia="Times New Roman" w:hAnsi="Garamond" w:cs="Times New Roman"/>
          <w:szCs w:val="24"/>
        </w:rPr>
        <w:t>–</w:t>
      </w:r>
      <w:r w:rsidRPr="00AD67C2">
        <w:rPr>
          <w:rFonts w:ascii="Garamond" w:eastAsia="Times New Roman" w:hAnsi="Garamond" w:cs="Times New Roman"/>
          <w:szCs w:val="24"/>
        </w:rPr>
        <w:tab/>
        <w:t>для неблочного генерирующего оборудования в качестве наименования ЕГО указывается диспетчерское наименование турбоагрегата.</w:t>
      </w:r>
    </w:p>
    <w:p w14:paraId="14133557" w14:textId="77777777" w:rsidR="001333B2" w:rsidRPr="00AD67C2" w:rsidRDefault="001333B2" w:rsidP="001333B2">
      <w:pPr>
        <w:suppressAutoHyphens w:val="0"/>
        <w:ind w:left="851"/>
        <w:jc w:val="both"/>
        <w:rPr>
          <w:rFonts w:ascii="Garamond" w:eastAsia="Times New Roman" w:hAnsi="Garamond" w:cs="Times New Roman"/>
        </w:rPr>
      </w:pPr>
      <w:r w:rsidRPr="00AD67C2">
        <w:rPr>
          <w:rFonts w:ascii="Garamond" w:eastAsia="Times New Roman" w:hAnsi="Garamond" w:cs="Times New Roman"/>
        </w:rPr>
        <w:t>Например: ТГ-1;</w:t>
      </w:r>
    </w:p>
    <w:p w14:paraId="3FF20E14" w14:textId="77777777" w:rsidR="001333B2" w:rsidRPr="00AD67C2" w:rsidRDefault="001333B2" w:rsidP="001333B2">
      <w:pPr>
        <w:suppressAutoHyphens w:val="0"/>
        <w:ind w:left="851" w:hanging="425"/>
        <w:jc w:val="both"/>
        <w:rPr>
          <w:rFonts w:ascii="Garamond" w:eastAsia="Times New Roman" w:hAnsi="Garamond" w:cs="Times New Roman"/>
          <w:szCs w:val="24"/>
        </w:rPr>
      </w:pPr>
      <w:r w:rsidRPr="00AD67C2">
        <w:rPr>
          <w:rFonts w:ascii="Garamond" w:eastAsia="Times New Roman" w:hAnsi="Garamond" w:cs="Times New Roman"/>
          <w:szCs w:val="24"/>
        </w:rPr>
        <w:t>–</w:t>
      </w:r>
      <w:r w:rsidRPr="00AD67C2">
        <w:rPr>
          <w:rFonts w:ascii="Garamond" w:eastAsia="Times New Roman" w:hAnsi="Garamond" w:cs="Times New Roman"/>
          <w:szCs w:val="24"/>
        </w:rPr>
        <w:tab/>
        <w:t>для блочного генерирующего оборудования, входящего в состав энергоблока, который представлен одним турбоагрегатом (генератором), в качестве наименования ЕГО указывается диспетчерское наименование энергоблока.</w:t>
      </w:r>
    </w:p>
    <w:p w14:paraId="4412F1B1" w14:textId="77777777" w:rsidR="001333B2" w:rsidRPr="00AD67C2" w:rsidRDefault="001333B2" w:rsidP="001333B2">
      <w:pPr>
        <w:suppressAutoHyphens w:val="0"/>
        <w:ind w:left="851"/>
        <w:jc w:val="both"/>
        <w:rPr>
          <w:rFonts w:ascii="Garamond" w:eastAsia="Calibri" w:hAnsi="Garamond" w:cs="Times New Roman"/>
        </w:rPr>
      </w:pPr>
      <w:r w:rsidRPr="00AD67C2">
        <w:rPr>
          <w:rFonts w:ascii="Garamond" w:eastAsia="Times New Roman" w:hAnsi="Garamond" w:cs="Times New Roman"/>
        </w:rPr>
        <w:t>Например: Блок-1;</w:t>
      </w:r>
    </w:p>
    <w:p w14:paraId="25CEDBFC" w14:textId="77777777" w:rsidR="001333B2" w:rsidRPr="00AD67C2" w:rsidRDefault="001333B2" w:rsidP="001333B2">
      <w:pPr>
        <w:suppressAutoHyphens w:val="0"/>
        <w:ind w:left="851" w:hanging="425"/>
        <w:jc w:val="both"/>
        <w:rPr>
          <w:rFonts w:ascii="Garamond" w:eastAsia="Times New Roman" w:hAnsi="Garamond" w:cs="Times New Roman"/>
          <w:szCs w:val="24"/>
        </w:rPr>
      </w:pPr>
      <w:r w:rsidRPr="00AD67C2">
        <w:rPr>
          <w:rFonts w:ascii="Garamond" w:eastAsia="Times New Roman" w:hAnsi="Garamond" w:cs="Times New Roman"/>
          <w:szCs w:val="24"/>
        </w:rPr>
        <w:t>–</w:t>
      </w:r>
      <w:r w:rsidRPr="00AD67C2">
        <w:rPr>
          <w:rFonts w:ascii="Garamond" w:eastAsia="Times New Roman" w:hAnsi="Garamond" w:cs="Times New Roman"/>
          <w:szCs w:val="24"/>
        </w:rPr>
        <w:tab/>
        <w:t>для блочного генерирующего оборудования, входящего в состав энергоблока, который представлен двумя и более турбоагрегатами (генераторами), в качестве наименования ЕГО указывается составное наименование, формируемое в следующем порядке:</w:t>
      </w:r>
    </w:p>
    <w:p w14:paraId="0BDA0D5E" w14:textId="77777777" w:rsidR="001333B2" w:rsidRPr="00AD67C2" w:rsidRDefault="001333B2" w:rsidP="001333B2">
      <w:pPr>
        <w:suppressAutoHyphens w:val="0"/>
        <w:ind w:left="1276" w:hanging="425"/>
        <w:jc w:val="both"/>
        <w:rPr>
          <w:rFonts w:ascii="Garamond" w:eastAsia="Calibri" w:hAnsi="Garamond" w:cs="Times New Roman"/>
        </w:rPr>
      </w:pPr>
      <w:r w:rsidRPr="00AD67C2">
        <w:rPr>
          <w:rFonts w:ascii="Garamond" w:eastAsia="Times New Roman" w:hAnsi="Garamond" w:cs="Times New Roman"/>
        </w:rPr>
        <w:t>–</w:t>
      </w:r>
      <w:r w:rsidRPr="00AD67C2">
        <w:rPr>
          <w:rFonts w:ascii="Garamond" w:eastAsia="Times New Roman" w:hAnsi="Garamond" w:cs="Times New Roman"/>
        </w:rPr>
        <w:tab/>
        <w:t>диспетчерское наименование энергоблока, в состав которого входят турбоагрегаты (генераторы);</w:t>
      </w:r>
    </w:p>
    <w:p w14:paraId="473F992D" w14:textId="77777777" w:rsidR="001333B2" w:rsidRPr="00AD67C2" w:rsidRDefault="001333B2" w:rsidP="001333B2">
      <w:pPr>
        <w:suppressAutoHyphens w:val="0"/>
        <w:ind w:left="1276" w:hanging="425"/>
        <w:jc w:val="both"/>
        <w:rPr>
          <w:rFonts w:ascii="Garamond" w:eastAsia="Times New Roman" w:hAnsi="Garamond" w:cs="Times New Roman"/>
        </w:rPr>
      </w:pPr>
      <w:r w:rsidRPr="00AD67C2">
        <w:rPr>
          <w:rFonts w:ascii="Garamond" w:eastAsia="Times New Roman" w:hAnsi="Garamond" w:cs="Times New Roman"/>
        </w:rPr>
        <w:t>–</w:t>
      </w:r>
      <w:r w:rsidRPr="00AD67C2">
        <w:rPr>
          <w:rFonts w:ascii="Garamond" w:eastAsia="Times New Roman" w:hAnsi="Garamond" w:cs="Times New Roman"/>
        </w:rPr>
        <w:tab/>
        <w:t>диспетчерское наименование турбоагрегата (генератора), входящего в состав энергоблока.</w:t>
      </w:r>
    </w:p>
    <w:p w14:paraId="6DE43EDE" w14:textId="77777777" w:rsidR="001333B2" w:rsidRPr="00AD67C2" w:rsidRDefault="001333B2" w:rsidP="001333B2">
      <w:pPr>
        <w:suppressAutoHyphens w:val="0"/>
        <w:ind w:left="1276" w:hanging="425"/>
        <w:jc w:val="both"/>
        <w:rPr>
          <w:rFonts w:ascii="Garamond" w:eastAsia="Times New Roman" w:hAnsi="Garamond" w:cs="Times New Roman"/>
        </w:rPr>
      </w:pPr>
      <w:r w:rsidRPr="00AD67C2">
        <w:rPr>
          <w:rFonts w:ascii="Garamond" w:eastAsia="Times New Roman" w:hAnsi="Garamond" w:cs="Times New Roman"/>
        </w:rPr>
        <w:t>Например: Блок 1 ТГ-1.</w:t>
      </w:r>
    </w:p>
    <w:p w14:paraId="684CBD96" w14:textId="77777777" w:rsidR="001333B2" w:rsidRPr="00AD67C2" w:rsidRDefault="001333B2" w:rsidP="001333B2">
      <w:pPr>
        <w:suppressAutoHyphens w:val="0"/>
        <w:ind w:left="851"/>
        <w:jc w:val="both"/>
        <w:rPr>
          <w:rFonts w:ascii="Garamond" w:eastAsia="Times New Roman" w:hAnsi="Garamond" w:cs="Times New Roman"/>
        </w:rPr>
      </w:pPr>
      <w:r w:rsidRPr="00AD67C2">
        <w:rPr>
          <w:rFonts w:ascii="Garamond" w:eastAsia="Times New Roman" w:hAnsi="Garamond" w:cs="Times New Roman"/>
        </w:rPr>
        <w:t>Для парогазовой установки (ПГУ) в скобках дополнительно указывается тип турбины: ГТ – газовая турбина; ПТ – паровая турбина.</w:t>
      </w:r>
    </w:p>
    <w:p w14:paraId="631215E8" w14:textId="77777777" w:rsidR="001333B2" w:rsidRPr="00AD67C2" w:rsidRDefault="001333B2" w:rsidP="001333B2">
      <w:pPr>
        <w:suppressAutoHyphens w:val="0"/>
        <w:ind w:left="851"/>
        <w:jc w:val="both"/>
        <w:rPr>
          <w:rFonts w:ascii="Garamond" w:eastAsia="Times New Roman" w:hAnsi="Garamond" w:cs="Times New Roman"/>
        </w:rPr>
      </w:pPr>
      <w:r w:rsidRPr="00AD67C2">
        <w:rPr>
          <w:rFonts w:ascii="Garamond" w:eastAsia="Times New Roman" w:hAnsi="Garamond" w:cs="Times New Roman"/>
        </w:rPr>
        <w:t>Например: ПГУ-1 Г-1 (ГТ); ПГУ-1 Г-2 (ПТ).</w:t>
      </w:r>
    </w:p>
    <w:p w14:paraId="47DF4D22" w14:textId="77777777" w:rsidR="001333B2" w:rsidRPr="00AD67C2" w:rsidRDefault="001333B2" w:rsidP="001333B2">
      <w:pPr>
        <w:suppressAutoHyphens w:val="0"/>
        <w:ind w:left="426" w:right="6"/>
        <w:jc w:val="both"/>
        <w:rPr>
          <w:rFonts w:ascii="Garamond" w:eastAsia="Times New Roman" w:hAnsi="Garamond" w:cs="Times New Roman"/>
          <w:szCs w:val="24"/>
        </w:rPr>
      </w:pPr>
      <w:r w:rsidRPr="00AD67C2">
        <w:rPr>
          <w:rFonts w:ascii="Garamond" w:eastAsia="Times New Roman" w:hAnsi="Garamond" w:cs="Times New Roman"/>
          <w:szCs w:val="24"/>
        </w:rPr>
        <w:t>В качестве диспетчерского наименования турбоагрегата, энергоблока указывается наименование, указанное в действующем перечне объектов диспетчеризации. Для турбоагрегатов, энергоблоков, не являющихся объектами диспетчеризации, указывается наименование, используемое собственником энергообъекта.</w:t>
      </w:r>
    </w:p>
    <w:p w14:paraId="5C9EE1C0" w14:textId="77777777" w:rsidR="001333B2" w:rsidRPr="00AD67C2" w:rsidRDefault="001333B2" w:rsidP="001333B2">
      <w:pPr>
        <w:suppressAutoHyphens w:val="0"/>
        <w:ind w:left="426" w:right="6" w:hanging="426"/>
        <w:jc w:val="both"/>
        <w:rPr>
          <w:rFonts w:ascii="Garamond" w:eastAsia="Times New Roman" w:hAnsi="Garamond" w:cs="Times New Roman"/>
          <w:szCs w:val="24"/>
        </w:rPr>
      </w:pPr>
      <w:r w:rsidRPr="00AD67C2">
        <w:rPr>
          <w:rFonts w:ascii="Garamond" w:eastAsia="Times New Roman" w:hAnsi="Garamond" w:cs="Times New Roman"/>
          <w:szCs w:val="24"/>
        </w:rPr>
        <w:t>3.</w:t>
      </w:r>
      <w:r w:rsidRPr="00AD67C2">
        <w:rPr>
          <w:rFonts w:ascii="Garamond" w:eastAsia="Times New Roman" w:hAnsi="Garamond" w:cs="Times New Roman"/>
          <w:szCs w:val="24"/>
        </w:rPr>
        <w:tab/>
        <w:t>Под «единицей генерирующего оборудования для объекта ВИЭ (солнце/ветер)» понимается совокупность всех фотоэлектрических солнечных модулей (ФЭСМ) и ветроэнергетических установок (ВЭУ) в составе блок-станции / объекта управления. В разделах «Наименование ЕГО», «Наименование (станционный номер) турбогенератора (генератора) в составе ЕГО» для типов электростанций СЭС и ВЭС указывается «ФЭСМ» и «ВЭУ» соответственно.</w:t>
      </w:r>
    </w:p>
    <w:p w14:paraId="564758C4" w14:textId="77777777" w:rsidR="001333B2" w:rsidRPr="00AD67C2" w:rsidRDefault="001333B2" w:rsidP="001333B2">
      <w:pPr>
        <w:suppressAutoHyphens w:val="0"/>
        <w:ind w:left="426" w:right="6" w:hanging="426"/>
        <w:jc w:val="both"/>
        <w:rPr>
          <w:rFonts w:ascii="Garamond" w:eastAsia="Times New Roman" w:hAnsi="Garamond" w:cs="Times New Roman"/>
          <w:szCs w:val="24"/>
        </w:rPr>
      </w:pPr>
      <w:r w:rsidRPr="00AD67C2">
        <w:rPr>
          <w:rFonts w:ascii="Garamond" w:eastAsia="Times New Roman" w:hAnsi="Garamond" w:cs="Times New Roman"/>
          <w:szCs w:val="24"/>
        </w:rPr>
        <w:t>4.</w:t>
      </w:r>
      <w:r w:rsidRPr="00AD67C2">
        <w:rPr>
          <w:rFonts w:ascii="Garamond" w:eastAsia="Times New Roman" w:hAnsi="Garamond" w:cs="Times New Roman"/>
          <w:szCs w:val="24"/>
        </w:rPr>
        <w:tab/>
        <w:t>Значения в разделах:</w:t>
      </w:r>
    </w:p>
    <w:p w14:paraId="0A254520" w14:textId="77777777" w:rsidR="001333B2" w:rsidRPr="00AD67C2" w:rsidRDefault="001333B2" w:rsidP="001333B2">
      <w:pPr>
        <w:suppressAutoHyphens w:val="0"/>
        <w:ind w:left="426" w:right="6" w:hanging="426"/>
        <w:jc w:val="both"/>
        <w:rPr>
          <w:rFonts w:ascii="Garamond" w:eastAsia="Times New Roman" w:hAnsi="Garamond" w:cs="Times New Roman"/>
          <w:szCs w:val="24"/>
        </w:rPr>
      </w:pPr>
      <w:r w:rsidRPr="00AD67C2">
        <w:rPr>
          <w:rFonts w:ascii="Garamond" w:eastAsia="Times New Roman" w:hAnsi="Garamond" w:cs="Times New Roman"/>
          <w:szCs w:val="24"/>
        </w:rPr>
        <w:tab/>
        <w:t>– «</w:t>
      </w:r>
      <w:r w:rsidRPr="00AD67C2">
        <w:rPr>
          <w:rFonts w:ascii="Garamond" w:eastAsia="MS Mincho" w:hAnsi="Garamond" w:cs="Times New Roman"/>
          <w:szCs w:val="24"/>
        </w:rPr>
        <w:t>Установленная мощность ЕГО»</w:t>
      </w:r>
      <w:r w:rsidRPr="00AD67C2">
        <w:rPr>
          <w:rFonts w:ascii="Garamond" w:eastAsia="Times New Roman" w:hAnsi="Garamond" w:cs="Times New Roman"/>
          <w:szCs w:val="24"/>
        </w:rPr>
        <w:t>,</w:t>
      </w:r>
    </w:p>
    <w:p w14:paraId="52D9A202" w14:textId="77777777" w:rsidR="001333B2" w:rsidRPr="00AD67C2" w:rsidRDefault="001333B2" w:rsidP="001333B2">
      <w:pPr>
        <w:suppressAutoHyphens w:val="0"/>
        <w:ind w:left="426" w:right="6" w:hanging="426"/>
        <w:jc w:val="both"/>
        <w:rPr>
          <w:rFonts w:ascii="Garamond" w:eastAsia="Times New Roman" w:hAnsi="Garamond" w:cs="Times New Roman"/>
          <w:szCs w:val="24"/>
        </w:rPr>
      </w:pPr>
      <w:r w:rsidRPr="00AD67C2">
        <w:rPr>
          <w:rFonts w:ascii="Garamond" w:eastAsia="Times New Roman" w:hAnsi="Garamond" w:cs="Times New Roman"/>
          <w:szCs w:val="24"/>
        </w:rPr>
        <w:tab/>
        <w:t>– «Скорость набора нагрузки»,</w:t>
      </w:r>
    </w:p>
    <w:p w14:paraId="02290836" w14:textId="77777777" w:rsidR="001333B2" w:rsidRPr="00AD67C2" w:rsidRDefault="001333B2" w:rsidP="001333B2">
      <w:pPr>
        <w:suppressAutoHyphens w:val="0"/>
        <w:ind w:left="426" w:right="6" w:hanging="426"/>
        <w:jc w:val="both"/>
        <w:rPr>
          <w:rFonts w:ascii="Garamond" w:eastAsia="Times New Roman" w:hAnsi="Garamond" w:cs="Times New Roman"/>
          <w:szCs w:val="24"/>
        </w:rPr>
      </w:pPr>
      <w:r w:rsidRPr="00AD67C2">
        <w:rPr>
          <w:rFonts w:ascii="Garamond" w:eastAsia="Times New Roman" w:hAnsi="Garamond" w:cs="Times New Roman"/>
          <w:szCs w:val="24"/>
        </w:rPr>
        <w:tab/>
        <w:t>– «Скорость снижения нагрузки» –</w:t>
      </w:r>
    </w:p>
    <w:p w14:paraId="7B2CBF27" w14:textId="77777777" w:rsidR="001333B2" w:rsidRPr="00AD67C2" w:rsidRDefault="001333B2" w:rsidP="001333B2">
      <w:pPr>
        <w:suppressAutoHyphens w:val="0"/>
        <w:ind w:left="426" w:right="6"/>
        <w:jc w:val="both"/>
        <w:rPr>
          <w:rFonts w:ascii="Garamond" w:eastAsia="Times New Roman" w:hAnsi="Garamond" w:cs="Times New Roman"/>
          <w:szCs w:val="24"/>
        </w:rPr>
      </w:pPr>
      <w:r w:rsidRPr="00AD67C2">
        <w:rPr>
          <w:rFonts w:ascii="Garamond" w:eastAsia="Times New Roman" w:hAnsi="Garamond" w:cs="Times New Roman"/>
          <w:szCs w:val="24"/>
        </w:rPr>
        <w:t>должны соответствовать действующему акту об общесистемных технических параметрах и характеристиках генерирующего оборудования, оформленному в соответствии с Правилами проведения испытаний и определения общесистемных технических параметров и характеристик генерирующего оборудования, утвержденными Минэнерго России.</w:t>
      </w:r>
    </w:p>
    <w:p w14:paraId="7EAE3C91" w14:textId="77777777" w:rsidR="001333B2" w:rsidRPr="00AD67C2" w:rsidRDefault="001333B2" w:rsidP="001333B2">
      <w:pPr>
        <w:suppressAutoHyphens w:val="0"/>
        <w:ind w:left="426" w:right="6"/>
        <w:jc w:val="both"/>
        <w:rPr>
          <w:rFonts w:ascii="Garamond" w:eastAsia="Times New Roman" w:hAnsi="Garamond" w:cs="Times New Roman"/>
          <w:szCs w:val="24"/>
        </w:rPr>
      </w:pPr>
      <w:r w:rsidRPr="00AD67C2">
        <w:rPr>
          <w:rFonts w:ascii="Garamond" w:eastAsia="Times New Roman" w:hAnsi="Garamond" w:cs="Times New Roman"/>
          <w:szCs w:val="24"/>
        </w:rPr>
        <w:t>В отношении не введенного в эксплуатацию генерирующего оборудования указываются проектные значения указанных параметров.</w:t>
      </w:r>
    </w:p>
    <w:p w14:paraId="7D56921D" w14:textId="77777777" w:rsidR="001333B2" w:rsidRPr="00AD67C2" w:rsidRDefault="001333B2" w:rsidP="001333B2">
      <w:pPr>
        <w:suppressAutoHyphens w:val="0"/>
        <w:ind w:left="426" w:right="6" w:hanging="426"/>
        <w:jc w:val="both"/>
        <w:rPr>
          <w:rFonts w:ascii="Garamond" w:eastAsia="Times New Roman" w:hAnsi="Garamond" w:cs="Times New Roman"/>
          <w:szCs w:val="24"/>
        </w:rPr>
      </w:pPr>
      <w:r w:rsidRPr="00AD67C2">
        <w:rPr>
          <w:rFonts w:ascii="Garamond" w:eastAsia="Times New Roman" w:hAnsi="Garamond" w:cs="Times New Roman"/>
          <w:szCs w:val="24"/>
        </w:rPr>
        <w:t>5.</w:t>
      </w:r>
      <w:r w:rsidRPr="00AD67C2">
        <w:rPr>
          <w:rFonts w:ascii="Garamond" w:eastAsia="Times New Roman" w:hAnsi="Garamond" w:cs="Times New Roman"/>
          <w:szCs w:val="24"/>
        </w:rPr>
        <w:tab/>
        <w:t>Для ЕГО типов электростанций СЭС и ВЭС не заполняются разделы:</w:t>
      </w:r>
    </w:p>
    <w:p w14:paraId="7D306415" w14:textId="77777777" w:rsidR="001333B2" w:rsidRPr="00AD67C2" w:rsidRDefault="001333B2" w:rsidP="001333B2">
      <w:pPr>
        <w:suppressAutoHyphens w:val="0"/>
        <w:ind w:left="426" w:right="6" w:hanging="426"/>
        <w:jc w:val="both"/>
        <w:rPr>
          <w:rFonts w:ascii="Garamond" w:eastAsia="Times New Roman" w:hAnsi="Garamond" w:cs="Times New Roman"/>
          <w:szCs w:val="24"/>
        </w:rPr>
      </w:pPr>
      <w:r w:rsidRPr="00AD67C2">
        <w:rPr>
          <w:rFonts w:ascii="Garamond" w:eastAsia="Times New Roman" w:hAnsi="Garamond" w:cs="Times New Roman"/>
          <w:szCs w:val="24"/>
        </w:rPr>
        <w:tab/>
        <w:t>– «Предел регулировочного диапазона»,</w:t>
      </w:r>
    </w:p>
    <w:p w14:paraId="447C7C14" w14:textId="77777777" w:rsidR="001333B2" w:rsidRPr="00AD67C2" w:rsidRDefault="001333B2" w:rsidP="001333B2">
      <w:pPr>
        <w:suppressAutoHyphens w:val="0"/>
        <w:ind w:left="426" w:right="6" w:hanging="426"/>
        <w:jc w:val="both"/>
        <w:rPr>
          <w:rFonts w:ascii="Garamond" w:eastAsia="Times New Roman" w:hAnsi="Garamond" w:cs="Times New Roman"/>
          <w:szCs w:val="24"/>
        </w:rPr>
      </w:pPr>
      <w:r w:rsidRPr="00AD67C2">
        <w:rPr>
          <w:rFonts w:ascii="Garamond" w:eastAsia="Times New Roman" w:hAnsi="Garamond" w:cs="Times New Roman"/>
          <w:szCs w:val="24"/>
        </w:rPr>
        <w:tab/>
        <w:t>– «Скорость набора нагрузки»,</w:t>
      </w:r>
    </w:p>
    <w:p w14:paraId="76B0EE3E" w14:textId="77777777" w:rsidR="001333B2" w:rsidRPr="00AD67C2" w:rsidRDefault="001333B2" w:rsidP="001333B2">
      <w:pPr>
        <w:suppressAutoHyphens w:val="0"/>
        <w:ind w:left="426" w:right="6" w:hanging="426"/>
        <w:jc w:val="both"/>
        <w:rPr>
          <w:rFonts w:ascii="Garamond" w:eastAsia="Times New Roman" w:hAnsi="Garamond" w:cs="Times New Roman"/>
          <w:szCs w:val="24"/>
        </w:rPr>
      </w:pPr>
      <w:r w:rsidRPr="00AD67C2">
        <w:rPr>
          <w:rFonts w:ascii="Garamond" w:eastAsia="Times New Roman" w:hAnsi="Garamond" w:cs="Times New Roman"/>
          <w:szCs w:val="24"/>
        </w:rPr>
        <w:tab/>
        <w:t>– «Скорость снижения нагрузки».</w:t>
      </w:r>
    </w:p>
    <w:p w14:paraId="7CB0BEB3" w14:textId="77777777" w:rsidR="001333B2" w:rsidRPr="00AD67C2" w:rsidRDefault="001333B2" w:rsidP="001333B2">
      <w:pPr>
        <w:suppressAutoHyphens w:val="0"/>
        <w:ind w:left="426" w:right="6"/>
        <w:jc w:val="both"/>
        <w:rPr>
          <w:rFonts w:ascii="Garamond" w:eastAsia="Times New Roman" w:hAnsi="Garamond" w:cs="Times New Roman"/>
          <w:szCs w:val="24"/>
        </w:rPr>
      </w:pPr>
      <w:r w:rsidRPr="00AD67C2">
        <w:rPr>
          <w:rFonts w:ascii="Garamond" w:eastAsia="Times New Roman" w:hAnsi="Garamond" w:cs="Times New Roman"/>
          <w:szCs w:val="24"/>
        </w:rPr>
        <w:t>В незаполняемых разделах рекомендуется поставить прочерк.</w:t>
      </w:r>
    </w:p>
    <w:p w14:paraId="2390D4BC" w14:textId="77777777" w:rsidR="001333B2" w:rsidRPr="00AD67C2" w:rsidRDefault="001333B2" w:rsidP="001333B2">
      <w:pPr>
        <w:suppressAutoHyphens w:val="0"/>
        <w:ind w:left="426" w:right="6" w:hanging="426"/>
        <w:jc w:val="both"/>
        <w:rPr>
          <w:rFonts w:ascii="Garamond" w:eastAsia="Times New Roman" w:hAnsi="Garamond" w:cs="Times New Roman"/>
          <w:szCs w:val="24"/>
        </w:rPr>
      </w:pPr>
      <w:r w:rsidRPr="00AD67C2">
        <w:rPr>
          <w:rFonts w:ascii="Garamond" w:eastAsia="Times New Roman" w:hAnsi="Garamond" w:cs="Times New Roman"/>
          <w:szCs w:val="24"/>
        </w:rPr>
        <w:t>6.</w:t>
      </w:r>
      <w:r w:rsidRPr="00AD67C2">
        <w:rPr>
          <w:rFonts w:ascii="Garamond" w:eastAsia="Times New Roman" w:hAnsi="Garamond" w:cs="Times New Roman"/>
          <w:szCs w:val="24"/>
        </w:rPr>
        <w:tab/>
        <w:t>По всем показателям, по которым в форме указаны единицы измерения, должны быть представлены числовые значения.</w:t>
      </w:r>
    </w:p>
    <w:p w14:paraId="063E05F2" w14:textId="77777777" w:rsidR="001333B2" w:rsidRPr="00AD67C2" w:rsidRDefault="001333B2" w:rsidP="001333B2">
      <w:pPr>
        <w:suppressAutoHyphens w:val="0"/>
        <w:ind w:left="426" w:right="6"/>
        <w:jc w:val="both"/>
        <w:rPr>
          <w:rFonts w:ascii="Garamond" w:eastAsia="Times New Roman" w:hAnsi="Garamond" w:cs="Times New Roman"/>
          <w:szCs w:val="24"/>
        </w:rPr>
      </w:pPr>
      <w:r w:rsidRPr="00AD67C2">
        <w:rPr>
          <w:rFonts w:ascii="Garamond" w:eastAsia="Times New Roman" w:hAnsi="Garamond" w:cs="Times New Roman"/>
          <w:szCs w:val="24"/>
        </w:rPr>
        <w:t>Не допускается наличие текстового описания, формул, диапазонов и интервалов изменения показателей, задание обобщенных значений показателя.</w:t>
      </w:r>
    </w:p>
    <w:p w14:paraId="1476B9A2" w14:textId="77777777" w:rsidR="001333B2" w:rsidRPr="00AD67C2" w:rsidRDefault="001333B2" w:rsidP="001333B2">
      <w:pPr>
        <w:suppressAutoHyphens w:val="0"/>
        <w:ind w:left="426" w:right="6" w:hanging="426"/>
        <w:jc w:val="both"/>
        <w:rPr>
          <w:rFonts w:ascii="Garamond" w:eastAsia="Times New Roman" w:hAnsi="Garamond" w:cs="Times New Roman"/>
          <w:szCs w:val="24"/>
        </w:rPr>
      </w:pPr>
      <w:r w:rsidRPr="00AD67C2">
        <w:rPr>
          <w:rFonts w:ascii="Garamond" w:eastAsia="Times New Roman" w:hAnsi="Garamond" w:cs="Times New Roman"/>
          <w:szCs w:val="24"/>
        </w:rPr>
        <w:t>7.</w:t>
      </w:r>
      <w:r w:rsidRPr="00AD67C2">
        <w:rPr>
          <w:rFonts w:ascii="Garamond" w:eastAsia="Times New Roman" w:hAnsi="Garamond" w:cs="Times New Roman"/>
          <w:szCs w:val="24"/>
        </w:rPr>
        <w:tab/>
        <w:t>Значения установленной мощности, нижнего и верхнего пределов регулировочного диапазона, скорости набора и снижения нагрузки указываются с точностью не более трех знаков после запятой.</w:t>
      </w:r>
    </w:p>
    <w:p w14:paraId="29BC2F7B" w14:textId="77777777" w:rsidR="001333B2" w:rsidRPr="00AD67C2" w:rsidRDefault="001333B2" w:rsidP="001333B2">
      <w:pPr>
        <w:suppressAutoHyphens w:val="0"/>
        <w:ind w:left="426" w:right="6" w:hanging="426"/>
        <w:jc w:val="both"/>
        <w:rPr>
          <w:rFonts w:ascii="Garamond" w:eastAsia="Times New Roman" w:hAnsi="Garamond" w:cs="Times New Roman"/>
          <w:szCs w:val="24"/>
        </w:rPr>
      </w:pPr>
      <w:r w:rsidRPr="00AD67C2">
        <w:rPr>
          <w:rFonts w:ascii="Garamond" w:eastAsia="Times New Roman" w:hAnsi="Garamond" w:cs="Times New Roman"/>
          <w:szCs w:val="24"/>
        </w:rPr>
        <w:t>8.</w:t>
      </w:r>
      <w:r w:rsidRPr="00AD67C2">
        <w:rPr>
          <w:rFonts w:ascii="Garamond" w:eastAsia="Times New Roman" w:hAnsi="Garamond" w:cs="Times New Roman"/>
          <w:szCs w:val="24"/>
        </w:rPr>
        <w:tab/>
        <w:t>Не допускается задание нулевых значений для установленной мощности, верхнего предела регулировочного диапазона, скорости набора/снижения нагрузки.</w:t>
      </w:r>
    </w:p>
    <w:p w14:paraId="33763AEE" w14:textId="77777777" w:rsidR="001333B2" w:rsidRPr="00AD67C2" w:rsidRDefault="001333B2" w:rsidP="001333B2">
      <w:pPr>
        <w:suppressAutoHyphens w:val="0"/>
        <w:ind w:left="426" w:right="6"/>
        <w:jc w:val="both"/>
        <w:rPr>
          <w:rFonts w:ascii="Garamond" w:eastAsia="Times New Roman" w:hAnsi="Garamond" w:cs="Garamond"/>
          <w:bCs/>
          <w:szCs w:val="24"/>
        </w:rPr>
      </w:pPr>
      <w:r w:rsidRPr="00AD67C2">
        <w:rPr>
          <w:rFonts w:ascii="Garamond" w:eastAsia="Times New Roman" w:hAnsi="Garamond" w:cs="Times New Roman"/>
          <w:szCs w:val="24"/>
        </w:rPr>
        <w:t xml:space="preserve">В случае превышения точности задания величин установленной мощности, нижнего и верхнего пределов регулировочного диапазона, скорости набора/снижения нагрузки свыше трех знаков после запятой, КО для </w:t>
      </w:r>
      <w:r w:rsidRPr="00AD67C2">
        <w:rPr>
          <w:rFonts w:ascii="Garamond" w:eastAsia="Times New Roman" w:hAnsi="Garamond" w:cs="Times New Roman"/>
          <w:szCs w:val="24"/>
        </w:rPr>
        <w:lastRenderedPageBreak/>
        <w:t>целей включения в регистрационную информацию корректирует указанные величины до требуемой точности методом математического округления.</w:t>
      </w:r>
    </w:p>
    <w:p w14:paraId="59BF8D9B" w14:textId="2A54B2EA" w:rsidR="001333B2" w:rsidRPr="00AD67C2" w:rsidRDefault="001333B2" w:rsidP="001333B2">
      <w:pPr>
        <w:suppressAutoHyphens w:val="0"/>
        <w:ind w:left="426" w:right="6" w:hanging="426"/>
        <w:jc w:val="both"/>
        <w:rPr>
          <w:rFonts w:ascii="Garamond" w:eastAsia="Times New Roman" w:hAnsi="Garamond" w:cs="Times New Roman"/>
          <w:szCs w:val="24"/>
        </w:rPr>
      </w:pPr>
      <w:r w:rsidRPr="00AD67C2">
        <w:rPr>
          <w:rFonts w:ascii="Garamond" w:eastAsia="Times New Roman" w:hAnsi="Garamond" w:cs="Times New Roman"/>
          <w:szCs w:val="24"/>
        </w:rPr>
        <w:t>9.</w:t>
      </w:r>
      <w:r w:rsidRPr="00AD67C2">
        <w:rPr>
          <w:rFonts w:ascii="Garamond" w:eastAsia="Times New Roman" w:hAnsi="Garamond" w:cs="Times New Roman"/>
          <w:szCs w:val="24"/>
        </w:rPr>
        <w:tab/>
        <w:t>Для ГАЭС в разделе «Нижний предел регулировочного диапазона</w:t>
      </w:r>
      <w:r w:rsidR="00254029">
        <w:rPr>
          <w:rFonts w:ascii="Garamond" w:eastAsia="Times New Roman" w:hAnsi="Garamond" w:cs="Times New Roman"/>
          <w:szCs w:val="24"/>
        </w:rPr>
        <w:t>»</w:t>
      </w:r>
      <w:r w:rsidRPr="00AD67C2">
        <w:rPr>
          <w:rFonts w:ascii="Garamond" w:eastAsia="Times New Roman" w:hAnsi="Garamond" w:cs="Times New Roman"/>
          <w:szCs w:val="24"/>
        </w:rPr>
        <w:t xml:space="preserve"> указывается значение номинального потребления электрической мощности при работе в насосном (двигательном) режиме (с отрицательным знаком) в соответствии с паспортными данными (заводскими или проектными) соответствующей ЕГО.</w:t>
      </w:r>
    </w:p>
    <w:p w14:paraId="24A868A6" w14:textId="75762C6C" w:rsidR="001333B2" w:rsidRPr="00AD67C2" w:rsidRDefault="001333B2" w:rsidP="001333B2">
      <w:pPr>
        <w:suppressAutoHyphens w:val="0"/>
        <w:ind w:left="426" w:right="6" w:hanging="426"/>
        <w:jc w:val="both"/>
        <w:rPr>
          <w:rFonts w:ascii="Garamond" w:eastAsia="Times New Roman" w:hAnsi="Garamond" w:cs="Garamond"/>
          <w:bCs/>
          <w:szCs w:val="24"/>
        </w:rPr>
      </w:pPr>
      <w:r w:rsidRPr="00AD67C2">
        <w:rPr>
          <w:rFonts w:ascii="Garamond" w:eastAsia="Times New Roman" w:hAnsi="Garamond" w:cs="Times New Roman"/>
          <w:szCs w:val="24"/>
        </w:rPr>
        <w:t>10.</w:t>
      </w:r>
      <w:r w:rsidRPr="00AD67C2">
        <w:rPr>
          <w:rFonts w:ascii="Garamond" w:eastAsia="Times New Roman" w:hAnsi="Garamond" w:cs="Times New Roman"/>
          <w:szCs w:val="24"/>
        </w:rPr>
        <w:tab/>
        <w:t xml:space="preserve">Значения установленной мощности, нижнего предела регулировочного диапазона, скорости набора и снижения нагрузки, номинального потребления электрической мощности при работе в насосном (двигательном) режиме ГАЭС должны соответствовать значениям, определенным по результатам тестирования для целей аттестации соответствующей ЕГО и внесенным в </w:t>
      </w:r>
      <w:r w:rsidR="00254029">
        <w:rPr>
          <w:rFonts w:ascii="Garamond" w:eastAsia="Times New Roman" w:hAnsi="Garamond" w:cs="Times New Roman"/>
          <w:szCs w:val="24"/>
        </w:rPr>
        <w:t>р</w:t>
      </w:r>
      <w:r w:rsidRPr="00AD67C2">
        <w:rPr>
          <w:rFonts w:ascii="Garamond" w:eastAsia="Times New Roman" w:hAnsi="Garamond" w:cs="Times New Roman"/>
          <w:szCs w:val="24"/>
        </w:rPr>
        <w:t>еестр фактических параметров генерирующего оборудования</w:t>
      </w:r>
      <w:r w:rsidRPr="00AD67C2">
        <w:rPr>
          <w:rFonts w:ascii="Garamond" w:eastAsia="Times New Roman" w:hAnsi="Garamond" w:cs="Garamond"/>
          <w:szCs w:val="24"/>
        </w:rPr>
        <w:t>.</w:t>
      </w:r>
    </w:p>
    <w:p w14:paraId="6BC36D03" w14:textId="77777777" w:rsidR="001333B2" w:rsidRPr="00AD67C2" w:rsidRDefault="001333B2" w:rsidP="001333B2">
      <w:pPr>
        <w:tabs>
          <w:tab w:val="left" w:pos="9923"/>
        </w:tabs>
        <w:suppressAutoHyphens w:val="0"/>
        <w:ind w:left="426" w:right="6"/>
        <w:jc w:val="both"/>
        <w:rPr>
          <w:rFonts w:ascii="Garamond" w:eastAsia="Times New Roman" w:hAnsi="Garamond" w:cs="Garamond"/>
          <w:bCs/>
          <w:szCs w:val="24"/>
        </w:rPr>
      </w:pPr>
      <w:r w:rsidRPr="00AD67C2">
        <w:rPr>
          <w:rFonts w:ascii="Garamond" w:eastAsia="Times New Roman" w:hAnsi="Garamond" w:cs="Times New Roman"/>
          <w:szCs w:val="24"/>
        </w:rPr>
        <w:t>В отсутствие результатов тестирования значения установленной мощности, нижнего предела регулировочного диапазона, скорости набора и снижения нагрузки, номинального потребления электрической мощности при работе в насосном (двигательном) режиме ГАЭС должны соответствовать паспортным данным (заводским или проектным) соответствующей ЕГО.</w:t>
      </w:r>
    </w:p>
    <w:p w14:paraId="4339FB95" w14:textId="77777777" w:rsidR="001333B2" w:rsidRPr="00AD67C2" w:rsidRDefault="001333B2" w:rsidP="001333B2">
      <w:pPr>
        <w:widowControl w:val="0"/>
        <w:tabs>
          <w:tab w:val="left" w:pos="1077"/>
        </w:tabs>
        <w:suppressAutoHyphens w:val="0"/>
        <w:spacing w:before="120" w:after="120"/>
        <w:ind w:firstLine="601"/>
        <w:jc w:val="both"/>
        <w:rPr>
          <w:rFonts w:ascii="Garamond" w:eastAsia="Calibri" w:hAnsi="Garamond" w:cs="Times New Roman"/>
          <w:bCs/>
          <w:sz w:val="22"/>
          <w:szCs w:val="22"/>
          <w:lang w:eastAsia="en-US"/>
        </w:rPr>
      </w:pPr>
    </w:p>
    <w:p w14:paraId="227567C2" w14:textId="77777777" w:rsidR="001333B2" w:rsidRPr="00AD67C2" w:rsidRDefault="001333B2" w:rsidP="001333B2">
      <w:pPr>
        <w:widowControl w:val="0"/>
        <w:suppressAutoHyphens w:val="0"/>
        <w:jc w:val="center"/>
        <w:outlineLvl w:val="0"/>
        <w:rPr>
          <w:rFonts w:ascii="Garamond" w:eastAsia="Times New Roman" w:hAnsi="Garamond" w:cs="Times New Roman"/>
          <w:b/>
          <w:sz w:val="22"/>
          <w:szCs w:val="22"/>
        </w:rPr>
      </w:pPr>
      <w:r w:rsidRPr="00AD67C2">
        <w:rPr>
          <w:rFonts w:ascii="Times New Roman" w:eastAsia="Calibri" w:hAnsi="Times New Roman" w:cs="Times New Roman"/>
          <w:sz w:val="24"/>
          <w:szCs w:val="22"/>
          <w:lang w:eastAsia="en-US"/>
        </w:rPr>
        <w:br w:type="column"/>
      </w:r>
      <w:r w:rsidRPr="00AD67C2">
        <w:rPr>
          <w:rFonts w:ascii="Garamond" w:eastAsia="Times New Roman" w:hAnsi="Garamond" w:cs="Times New Roman"/>
          <w:b/>
          <w:sz w:val="22"/>
          <w:szCs w:val="22"/>
        </w:rPr>
        <w:lastRenderedPageBreak/>
        <w:t xml:space="preserve">Форма </w:t>
      </w:r>
      <w:r w:rsidRPr="00AD67C2">
        <w:rPr>
          <w:rFonts w:ascii="Garamond" w:eastAsia="Times New Roman" w:hAnsi="Garamond" w:cs="Arial"/>
          <w:b/>
          <w:bCs/>
          <w:sz w:val="22"/>
          <w:szCs w:val="22"/>
        </w:rPr>
        <w:t>6 (пример заполнения формы)</w:t>
      </w:r>
    </w:p>
    <w:p w14:paraId="0D1A5525" w14:textId="77777777" w:rsidR="001333B2" w:rsidRPr="00AD67C2" w:rsidRDefault="001333B2" w:rsidP="001333B2">
      <w:pPr>
        <w:suppressAutoHyphens w:val="0"/>
        <w:jc w:val="both"/>
        <w:rPr>
          <w:rFonts w:ascii="Garamond" w:eastAsia="Times New Roman" w:hAnsi="Garamond" w:cs="Times New Roman"/>
          <w:sz w:val="22"/>
          <w:szCs w:val="24"/>
        </w:rPr>
      </w:pPr>
    </w:p>
    <w:p w14:paraId="464133D9" w14:textId="4D617C19" w:rsidR="001333B2" w:rsidRPr="00AD67C2" w:rsidRDefault="001333B2" w:rsidP="001333B2">
      <w:pPr>
        <w:suppressAutoHyphens w:val="0"/>
        <w:jc w:val="center"/>
        <w:rPr>
          <w:rFonts w:ascii="Garamond" w:eastAsia="Times New Roman" w:hAnsi="Garamond" w:cs="Times New Roman"/>
          <w:b/>
          <w:sz w:val="22"/>
          <w:szCs w:val="24"/>
        </w:rPr>
      </w:pPr>
      <w:r w:rsidRPr="00AD67C2">
        <w:rPr>
          <w:rFonts w:ascii="Garamond" w:eastAsia="Times New Roman" w:hAnsi="Garamond" w:cs="Times New Roman"/>
          <w:b/>
          <w:caps/>
          <w:sz w:val="22"/>
          <w:szCs w:val="24"/>
        </w:rPr>
        <w:t>п</w:t>
      </w:r>
      <w:r w:rsidRPr="00AD67C2">
        <w:rPr>
          <w:rFonts w:ascii="Garamond" w:eastAsia="Times New Roman" w:hAnsi="Garamond" w:cs="Times New Roman"/>
          <w:b/>
          <w:sz w:val="22"/>
          <w:szCs w:val="24"/>
        </w:rPr>
        <w:t>еречень паспортных технологических характеристик объекта по производству электрической энергии</w:t>
      </w:r>
      <w:r w:rsidR="00254029">
        <w:rPr>
          <w:rFonts w:ascii="Garamond" w:eastAsia="Times New Roman" w:hAnsi="Garamond" w:cs="Times New Roman"/>
          <w:b/>
          <w:sz w:val="22"/>
          <w:szCs w:val="24"/>
        </w:rPr>
        <w:t>,</w:t>
      </w:r>
      <w:r w:rsidRPr="00AD67C2">
        <w:rPr>
          <w:rFonts w:ascii="Garamond" w:eastAsia="Times New Roman" w:hAnsi="Garamond" w:cs="Times New Roman"/>
          <w:b/>
          <w:sz w:val="22"/>
          <w:szCs w:val="24"/>
        </w:rPr>
        <w:t xml:space="preserve"> включенного в состав объекта регулирования (электростанция/блок-станция)</w:t>
      </w:r>
    </w:p>
    <w:tbl>
      <w:tblPr>
        <w:tblW w:w="949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154"/>
        <w:gridCol w:w="5339"/>
      </w:tblGrid>
      <w:tr w:rsidR="001333B2" w:rsidRPr="00AD67C2" w14:paraId="565EC920" w14:textId="77777777" w:rsidTr="0064152E">
        <w:trPr>
          <w:trHeight w:val="1191"/>
        </w:trPr>
        <w:tc>
          <w:tcPr>
            <w:tcW w:w="4154" w:type="dxa"/>
            <w:shd w:val="clear" w:color="auto" w:fill="D9D9D9"/>
            <w:vAlign w:val="center"/>
          </w:tcPr>
          <w:p w14:paraId="4E6EE9A4" w14:textId="77777777" w:rsidR="001333B2" w:rsidRPr="00AD67C2" w:rsidRDefault="001333B2" w:rsidP="001333B2">
            <w:pPr>
              <w:suppressAutoHyphens w:val="0"/>
              <w:jc w:val="both"/>
              <w:rPr>
                <w:rFonts w:ascii="Garamond" w:eastAsia="Times New Roman" w:hAnsi="Garamond" w:cs="Times New Roman"/>
                <w:b/>
                <w:sz w:val="22"/>
                <w:szCs w:val="22"/>
              </w:rPr>
            </w:pPr>
            <w:r w:rsidRPr="00AD67C2">
              <w:rPr>
                <w:rFonts w:ascii="Garamond" w:eastAsia="Times New Roman" w:hAnsi="Garamond" w:cs="Times New Roman"/>
                <w:b/>
                <w:sz w:val="22"/>
                <w:szCs w:val="22"/>
              </w:rPr>
              <w:t xml:space="preserve">Наименование </w:t>
            </w:r>
            <w:r w:rsidRPr="00AD67C2">
              <w:rPr>
                <w:rFonts w:ascii="Garamond" w:eastAsia="Times New Roman" w:hAnsi="Garamond" w:cs="Times New Roman"/>
                <w:b/>
                <w:sz w:val="22"/>
                <w:szCs w:val="24"/>
              </w:rPr>
              <w:t>электростанция/блок-станции</w:t>
            </w:r>
          </w:p>
        </w:tc>
        <w:tc>
          <w:tcPr>
            <w:tcW w:w="5339" w:type="dxa"/>
            <w:vAlign w:val="center"/>
          </w:tcPr>
          <w:p w14:paraId="1006224E" w14:textId="77777777" w:rsidR="001333B2" w:rsidRPr="00AD67C2" w:rsidRDefault="001333B2" w:rsidP="001333B2">
            <w:pPr>
              <w:suppressAutoHyphens w:val="0"/>
              <w:jc w:val="center"/>
              <w:rPr>
                <w:rFonts w:ascii="Garamond" w:eastAsia="Times New Roman" w:hAnsi="Garamond" w:cs="Times New Roman"/>
                <w:sz w:val="22"/>
                <w:szCs w:val="22"/>
              </w:rPr>
            </w:pPr>
            <w:r w:rsidRPr="00AD67C2">
              <w:rPr>
                <w:rFonts w:ascii="Garamond" w:eastAsia="Times New Roman" w:hAnsi="Garamond" w:cs="Times New Roman"/>
                <w:sz w:val="22"/>
                <w:szCs w:val="22"/>
              </w:rPr>
              <w:t>ТЭЦ КТМ</w:t>
            </w:r>
          </w:p>
        </w:tc>
      </w:tr>
      <w:tr w:rsidR="001333B2" w:rsidRPr="00AD67C2" w14:paraId="2EC4BF48" w14:textId="77777777" w:rsidTr="0064152E">
        <w:trPr>
          <w:trHeight w:val="737"/>
        </w:trPr>
        <w:tc>
          <w:tcPr>
            <w:tcW w:w="4154" w:type="dxa"/>
            <w:shd w:val="clear" w:color="auto" w:fill="D9D9D9"/>
            <w:vAlign w:val="center"/>
          </w:tcPr>
          <w:p w14:paraId="0D56B2B6" w14:textId="77777777" w:rsidR="001333B2" w:rsidRPr="00AD67C2" w:rsidRDefault="001333B2" w:rsidP="001333B2">
            <w:pPr>
              <w:suppressAutoHyphens w:val="0"/>
              <w:jc w:val="both"/>
              <w:rPr>
                <w:rFonts w:ascii="Garamond" w:eastAsia="Times New Roman" w:hAnsi="Garamond" w:cs="Times New Roman"/>
                <w:b/>
                <w:sz w:val="22"/>
                <w:szCs w:val="22"/>
              </w:rPr>
            </w:pPr>
            <w:r w:rsidRPr="00AD67C2">
              <w:rPr>
                <w:rFonts w:ascii="Garamond" w:eastAsia="Times New Roman" w:hAnsi="Garamond" w:cs="Times New Roman"/>
                <w:b/>
                <w:sz w:val="22"/>
                <w:szCs w:val="22"/>
              </w:rPr>
              <w:t xml:space="preserve">Тип </w:t>
            </w:r>
            <w:r w:rsidRPr="00AD67C2">
              <w:rPr>
                <w:rFonts w:ascii="Garamond" w:eastAsia="Times New Roman" w:hAnsi="Garamond" w:cs="Times New Roman"/>
                <w:b/>
                <w:sz w:val="22"/>
                <w:szCs w:val="24"/>
              </w:rPr>
              <w:t>электростанция/блок-станции</w:t>
            </w:r>
          </w:p>
        </w:tc>
        <w:tc>
          <w:tcPr>
            <w:tcW w:w="5339" w:type="dxa"/>
            <w:vAlign w:val="center"/>
          </w:tcPr>
          <w:p w14:paraId="52129AAD" w14:textId="77777777" w:rsidR="001333B2" w:rsidRPr="00AD67C2" w:rsidRDefault="001333B2" w:rsidP="001333B2">
            <w:pPr>
              <w:tabs>
                <w:tab w:val="left" w:pos="0"/>
              </w:tabs>
              <w:suppressAutoHyphens w:val="0"/>
              <w:jc w:val="center"/>
              <w:rPr>
                <w:rFonts w:ascii="Garamond" w:eastAsia="Times New Roman" w:hAnsi="Garamond" w:cs="Times New Roman"/>
                <w:sz w:val="22"/>
                <w:szCs w:val="22"/>
              </w:rPr>
            </w:pPr>
            <w:r w:rsidRPr="00AD67C2">
              <w:rPr>
                <w:rFonts w:ascii="Garamond" w:eastAsia="Times New Roman" w:hAnsi="Garamond" w:cs="Times New Roman"/>
                <w:sz w:val="22"/>
                <w:szCs w:val="22"/>
              </w:rPr>
              <w:t>ТЭС</w:t>
            </w:r>
          </w:p>
        </w:tc>
      </w:tr>
    </w:tbl>
    <w:p w14:paraId="4CEAFE3A" w14:textId="77777777" w:rsidR="001333B2" w:rsidRPr="00AD67C2" w:rsidRDefault="001333B2" w:rsidP="001333B2">
      <w:pPr>
        <w:suppressAutoHyphens w:val="0"/>
        <w:spacing w:line="276" w:lineRule="auto"/>
        <w:ind w:left="425"/>
        <w:contextualSpacing/>
        <w:jc w:val="both"/>
        <w:rPr>
          <w:rFonts w:ascii="Garamond" w:eastAsia="Times New Roman" w:hAnsi="Garamond" w:cs="Times New Roman"/>
          <w:sz w:val="22"/>
          <w:szCs w:val="22"/>
        </w:rPr>
      </w:pPr>
    </w:p>
    <w:tbl>
      <w:tblPr>
        <w:tblW w:w="95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85"/>
        <w:gridCol w:w="1069"/>
        <w:gridCol w:w="5417"/>
      </w:tblGrid>
      <w:tr w:rsidR="001333B2" w:rsidRPr="00AD67C2" w14:paraId="0B99E8E2" w14:textId="77777777" w:rsidTr="0064152E">
        <w:trPr>
          <w:cantSplit/>
          <w:trHeight w:val="454"/>
        </w:trPr>
        <w:tc>
          <w:tcPr>
            <w:tcW w:w="9571" w:type="dxa"/>
            <w:gridSpan w:val="3"/>
            <w:shd w:val="clear" w:color="auto" w:fill="D9D9D9"/>
            <w:vAlign w:val="center"/>
          </w:tcPr>
          <w:p w14:paraId="6E27E570" w14:textId="77777777" w:rsidR="001333B2" w:rsidRPr="00AD67C2" w:rsidRDefault="001333B2" w:rsidP="001333B2">
            <w:pPr>
              <w:suppressAutoHyphens w:val="0"/>
              <w:jc w:val="both"/>
              <w:rPr>
                <w:rFonts w:ascii="Garamond" w:eastAsia="Times New Roman" w:hAnsi="Garamond" w:cs="Times New Roman"/>
                <w:b/>
                <w:spacing w:val="-5"/>
                <w:sz w:val="22"/>
                <w:szCs w:val="22"/>
              </w:rPr>
            </w:pPr>
            <w:r w:rsidRPr="00AD67C2">
              <w:rPr>
                <w:rFonts w:ascii="Garamond" w:eastAsia="Times New Roman" w:hAnsi="Garamond" w:cs="Times New Roman"/>
                <w:b/>
                <w:spacing w:val="-5"/>
                <w:sz w:val="22"/>
                <w:szCs w:val="22"/>
              </w:rPr>
              <w:t>Общие характеристики электростанции/блок-станции</w:t>
            </w:r>
          </w:p>
        </w:tc>
      </w:tr>
      <w:tr w:rsidR="001333B2" w:rsidRPr="00AD67C2" w14:paraId="15AA1F07" w14:textId="77777777" w:rsidTr="0064152E">
        <w:trPr>
          <w:trHeight w:val="1008"/>
        </w:trPr>
        <w:tc>
          <w:tcPr>
            <w:tcW w:w="4154" w:type="dxa"/>
            <w:gridSpan w:val="2"/>
            <w:vAlign w:val="center"/>
          </w:tcPr>
          <w:p w14:paraId="2A87EEDC" w14:textId="77777777" w:rsidR="001333B2" w:rsidRPr="00AD67C2" w:rsidRDefault="001333B2" w:rsidP="001333B2">
            <w:pPr>
              <w:suppressAutoHyphens w:val="0"/>
              <w:jc w:val="both"/>
              <w:rPr>
                <w:rFonts w:ascii="Garamond" w:eastAsia="MS Mincho" w:hAnsi="Garamond" w:cs="Times New Roman"/>
                <w:sz w:val="22"/>
                <w:szCs w:val="22"/>
              </w:rPr>
            </w:pPr>
            <w:r w:rsidRPr="00AD67C2">
              <w:rPr>
                <w:rFonts w:ascii="Garamond" w:eastAsia="MS Mincho" w:hAnsi="Garamond" w:cs="Times New Roman"/>
                <w:sz w:val="22"/>
                <w:szCs w:val="22"/>
              </w:rPr>
              <w:t>Суммарная установленная мощность ЕГО в блок-станции, МВт</w:t>
            </w:r>
          </w:p>
        </w:tc>
        <w:tc>
          <w:tcPr>
            <w:tcW w:w="5417" w:type="dxa"/>
            <w:vAlign w:val="center"/>
          </w:tcPr>
          <w:p w14:paraId="3BE32FB6" w14:textId="77777777" w:rsidR="001333B2" w:rsidRPr="00AD67C2" w:rsidRDefault="001333B2" w:rsidP="001333B2">
            <w:pPr>
              <w:suppressAutoHyphens w:val="0"/>
              <w:jc w:val="center"/>
              <w:rPr>
                <w:rFonts w:ascii="Garamond" w:eastAsia="MS Mincho" w:hAnsi="Garamond" w:cs="Times New Roman"/>
                <w:sz w:val="22"/>
                <w:szCs w:val="22"/>
              </w:rPr>
            </w:pPr>
            <w:r w:rsidRPr="00AD67C2">
              <w:rPr>
                <w:rFonts w:ascii="Garamond" w:eastAsia="Times New Roman" w:hAnsi="Garamond" w:cs="Times New Roman"/>
                <w:spacing w:val="-5"/>
                <w:sz w:val="22"/>
                <w:szCs w:val="22"/>
              </w:rPr>
              <w:t>20</w:t>
            </w:r>
          </w:p>
        </w:tc>
      </w:tr>
      <w:tr w:rsidR="001333B2" w:rsidRPr="00AD67C2" w14:paraId="38B66952" w14:textId="77777777" w:rsidTr="0064152E">
        <w:trPr>
          <w:cantSplit/>
          <w:trHeight w:val="454"/>
        </w:trPr>
        <w:tc>
          <w:tcPr>
            <w:tcW w:w="9571" w:type="dxa"/>
            <w:gridSpan w:val="3"/>
            <w:shd w:val="clear" w:color="auto" w:fill="D9D9D9"/>
            <w:vAlign w:val="center"/>
          </w:tcPr>
          <w:p w14:paraId="3A751514" w14:textId="571D6F18" w:rsidR="001333B2" w:rsidRPr="00AD67C2" w:rsidRDefault="001333B2" w:rsidP="001333B2">
            <w:pPr>
              <w:tabs>
                <w:tab w:val="left" w:pos="2777"/>
              </w:tabs>
              <w:suppressAutoHyphens w:val="0"/>
              <w:jc w:val="both"/>
              <w:rPr>
                <w:rFonts w:ascii="Garamond" w:eastAsia="MS Mincho" w:hAnsi="Garamond" w:cs="Times New Roman"/>
                <w:b/>
                <w:sz w:val="22"/>
                <w:szCs w:val="22"/>
              </w:rPr>
            </w:pPr>
            <w:r w:rsidRPr="00AD67C2">
              <w:rPr>
                <w:rFonts w:ascii="Garamond" w:eastAsia="MS Mincho" w:hAnsi="Garamond" w:cs="Times New Roman"/>
                <w:b/>
                <w:sz w:val="22"/>
                <w:szCs w:val="22"/>
              </w:rPr>
              <w:t>Характеристики единиц генерирующего оборудования (ЕГ</w:t>
            </w:r>
            <w:r w:rsidR="00254029">
              <w:rPr>
                <w:rFonts w:ascii="Garamond" w:eastAsia="MS Mincho" w:hAnsi="Garamond" w:cs="Times New Roman"/>
                <w:b/>
                <w:sz w:val="22"/>
                <w:szCs w:val="22"/>
              </w:rPr>
              <w:t>О)</w:t>
            </w:r>
            <w:r w:rsidRPr="00AD67C2">
              <w:rPr>
                <w:rFonts w:ascii="Garamond" w:eastAsia="MS Mincho" w:hAnsi="Garamond" w:cs="Times New Roman"/>
                <w:b/>
                <w:sz w:val="22"/>
                <w:szCs w:val="22"/>
              </w:rPr>
              <w:t xml:space="preserve"> в составе электростанции/блок-станции</w:t>
            </w:r>
          </w:p>
        </w:tc>
      </w:tr>
      <w:tr w:rsidR="001333B2" w:rsidRPr="00AD67C2" w14:paraId="069D88B6" w14:textId="77777777" w:rsidTr="0064152E">
        <w:trPr>
          <w:trHeight w:val="283"/>
        </w:trPr>
        <w:tc>
          <w:tcPr>
            <w:tcW w:w="4154" w:type="dxa"/>
            <w:gridSpan w:val="2"/>
            <w:vAlign w:val="center"/>
          </w:tcPr>
          <w:p w14:paraId="48F34C73" w14:textId="77777777" w:rsidR="001333B2" w:rsidRPr="00AD67C2" w:rsidRDefault="001333B2" w:rsidP="001333B2">
            <w:pPr>
              <w:suppressAutoHyphens w:val="0"/>
              <w:jc w:val="both"/>
              <w:rPr>
                <w:rFonts w:ascii="Garamond" w:eastAsia="MS Mincho" w:hAnsi="Garamond" w:cs="Times New Roman"/>
                <w:sz w:val="22"/>
                <w:szCs w:val="22"/>
              </w:rPr>
            </w:pPr>
            <w:r w:rsidRPr="00AD67C2">
              <w:rPr>
                <w:rFonts w:ascii="Garamond" w:eastAsia="MS Mincho" w:hAnsi="Garamond" w:cs="Times New Roman"/>
                <w:sz w:val="22"/>
                <w:szCs w:val="22"/>
              </w:rPr>
              <w:t>№</w:t>
            </w:r>
          </w:p>
        </w:tc>
        <w:tc>
          <w:tcPr>
            <w:tcW w:w="5417" w:type="dxa"/>
            <w:vAlign w:val="center"/>
          </w:tcPr>
          <w:p w14:paraId="38C8B391" w14:textId="77777777" w:rsidR="001333B2" w:rsidRPr="00AD67C2" w:rsidRDefault="001333B2" w:rsidP="001333B2">
            <w:pPr>
              <w:suppressAutoHyphens w:val="0"/>
              <w:jc w:val="center"/>
              <w:rPr>
                <w:rFonts w:ascii="Garamond" w:eastAsia="MS Mincho" w:hAnsi="Garamond" w:cs="Times New Roman"/>
                <w:sz w:val="22"/>
                <w:szCs w:val="22"/>
                <w:lang w:val="en-US"/>
              </w:rPr>
            </w:pPr>
            <w:r w:rsidRPr="00AD67C2">
              <w:rPr>
                <w:rFonts w:ascii="Garamond" w:eastAsia="MS Mincho" w:hAnsi="Garamond" w:cs="Times New Roman"/>
                <w:sz w:val="22"/>
                <w:szCs w:val="22"/>
              </w:rPr>
              <w:t>1</w:t>
            </w:r>
          </w:p>
        </w:tc>
      </w:tr>
      <w:tr w:rsidR="001333B2" w:rsidRPr="00AD67C2" w14:paraId="3AB9C249" w14:textId="77777777" w:rsidTr="0064152E">
        <w:trPr>
          <w:trHeight w:val="856"/>
        </w:trPr>
        <w:tc>
          <w:tcPr>
            <w:tcW w:w="4154" w:type="dxa"/>
            <w:gridSpan w:val="2"/>
            <w:vAlign w:val="center"/>
          </w:tcPr>
          <w:p w14:paraId="64926915" w14:textId="77777777" w:rsidR="001333B2" w:rsidRPr="00AD67C2" w:rsidRDefault="001333B2" w:rsidP="001333B2">
            <w:pPr>
              <w:suppressAutoHyphens w:val="0"/>
              <w:jc w:val="both"/>
              <w:rPr>
                <w:rFonts w:ascii="Garamond" w:eastAsia="MS Mincho" w:hAnsi="Garamond" w:cs="Times New Roman"/>
              </w:rPr>
            </w:pPr>
            <w:r w:rsidRPr="00AD67C2">
              <w:rPr>
                <w:rFonts w:ascii="Garamond" w:eastAsia="Times New Roman" w:hAnsi="Garamond" w:cs="Times New Roman"/>
                <w:spacing w:val="-5"/>
                <w:sz w:val="22"/>
                <w:szCs w:val="22"/>
              </w:rPr>
              <w:t>Наименование ЕГО</w:t>
            </w:r>
          </w:p>
        </w:tc>
        <w:tc>
          <w:tcPr>
            <w:tcW w:w="5417" w:type="dxa"/>
            <w:vAlign w:val="center"/>
          </w:tcPr>
          <w:p w14:paraId="5FD648F5" w14:textId="77777777" w:rsidR="001333B2" w:rsidRPr="00AD67C2" w:rsidRDefault="001333B2" w:rsidP="001333B2">
            <w:pPr>
              <w:suppressAutoHyphens w:val="0"/>
              <w:jc w:val="center"/>
              <w:rPr>
                <w:rFonts w:ascii="Garamond" w:eastAsia="MS Mincho" w:hAnsi="Garamond" w:cs="Times New Roman"/>
                <w:sz w:val="22"/>
                <w:szCs w:val="22"/>
              </w:rPr>
            </w:pPr>
            <w:r w:rsidRPr="00AD67C2">
              <w:rPr>
                <w:rFonts w:ascii="Garamond" w:eastAsia="Times New Roman" w:hAnsi="Garamond" w:cs="Times New Roman"/>
                <w:sz w:val="22"/>
                <w:szCs w:val="22"/>
              </w:rPr>
              <w:t>ТГ-1</w:t>
            </w:r>
          </w:p>
        </w:tc>
      </w:tr>
      <w:tr w:rsidR="001333B2" w:rsidRPr="00AD67C2" w14:paraId="2DCE115E" w14:textId="77777777" w:rsidTr="0064152E">
        <w:trPr>
          <w:trHeight w:val="1012"/>
        </w:trPr>
        <w:tc>
          <w:tcPr>
            <w:tcW w:w="4154" w:type="dxa"/>
            <w:gridSpan w:val="2"/>
            <w:vAlign w:val="center"/>
          </w:tcPr>
          <w:p w14:paraId="035F37D9" w14:textId="77777777" w:rsidR="001333B2" w:rsidRPr="00AD67C2" w:rsidRDefault="001333B2" w:rsidP="001333B2">
            <w:pPr>
              <w:suppressAutoHyphens w:val="0"/>
              <w:jc w:val="both"/>
              <w:rPr>
                <w:rFonts w:ascii="Garamond" w:eastAsia="Times New Roman" w:hAnsi="Garamond" w:cs="Times New Roman"/>
                <w:spacing w:val="-5"/>
                <w:sz w:val="22"/>
                <w:szCs w:val="22"/>
              </w:rPr>
            </w:pPr>
            <w:r w:rsidRPr="00AD67C2">
              <w:rPr>
                <w:rFonts w:ascii="Garamond" w:eastAsia="Times New Roman" w:hAnsi="Garamond" w:cs="Times New Roman"/>
                <w:spacing w:val="-5"/>
                <w:sz w:val="22"/>
                <w:szCs w:val="22"/>
              </w:rPr>
              <w:t>Наименование (станционный номер) турбогенератора (генератора) в составе ЕГО</w:t>
            </w:r>
          </w:p>
        </w:tc>
        <w:tc>
          <w:tcPr>
            <w:tcW w:w="5417" w:type="dxa"/>
            <w:vAlign w:val="center"/>
          </w:tcPr>
          <w:p w14:paraId="76EE44B0" w14:textId="77777777" w:rsidR="001333B2" w:rsidRPr="00AD67C2" w:rsidRDefault="001333B2" w:rsidP="001333B2">
            <w:pPr>
              <w:suppressAutoHyphens w:val="0"/>
              <w:jc w:val="center"/>
              <w:rPr>
                <w:rFonts w:ascii="Garamond" w:eastAsia="MS Mincho" w:hAnsi="Garamond" w:cs="Times New Roman"/>
                <w:sz w:val="22"/>
                <w:szCs w:val="22"/>
              </w:rPr>
            </w:pPr>
            <w:r w:rsidRPr="00AD67C2">
              <w:rPr>
                <w:rFonts w:ascii="Garamond" w:eastAsia="Times New Roman" w:hAnsi="Garamond" w:cs="Times New Roman"/>
                <w:sz w:val="22"/>
                <w:szCs w:val="22"/>
              </w:rPr>
              <w:t>ТГ-1</w:t>
            </w:r>
          </w:p>
        </w:tc>
      </w:tr>
      <w:tr w:rsidR="001333B2" w:rsidRPr="00AD67C2" w14:paraId="6720FC95" w14:textId="77777777" w:rsidTr="0064152E">
        <w:trPr>
          <w:trHeight w:val="441"/>
        </w:trPr>
        <w:tc>
          <w:tcPr>
            <w:tcW w:w="4154" w:type="dxa"/>
            <w:gridSpan w:val="2"/>
            <w:vAlign w:val="center"/>
          </w:tcPr>
          <w:p w14:paraId="557D1FAF" w14:textId="77777777" w:rsidR="001333B2" w:rsidRPr="00AD67C2" w:rsidRDefault="001333B2" w:rsidP="001333B2">
            <w:pPr>
              <w:suppressAutoHyphens w:val="0"/>
              <w:jc w:val="both"/>
              <w:rPr>
                <w:rFonts w:ascii="Garamond" w:eastAsia="MS Mincho" w:hAnsi="Garamond" w:cs="Times New Roman"/>
                <w:sz w:val="22"/>
                <w:szCs w:val="22"/>
              </w:rPr>
            </w:pPr>
            <w:r w:rsidRPr="00AD67C2">
              <w:rPr>
                <w:rFonts w:ascii="Garamond" w:eastAsia="MS Mincho" w:hAnsi="Garamond" w:cs="Times New Roman"/>
                <w:sz w:val="22"/>
                <w:szCs w:val="22"/>
              </w:rPr>
              <w:t>Установленная мощность ЕГО, МВт</w:t>
            </w:r>
          </w:p>
        </w:tc>
        <w:tc>
          <w:tcPr>
            <w:tcW w:w="5417" w:type="dxa"/>
            <w:vAlign w:val="center"/>
          </w:tcPr>
          <w:p w14:paraId="3C3562ED" w14:textId="77777777" w:rsidR="001333B2" w:rsidRPr="00AD67C2" w:rsidRDefault="001333B2" w:rsidP="001333B2">
            <w:pPr>
              <w:suppressAutoHyphens w:val="0"/>
              <w:jc w:val="center"/>
              <w:rPr>
                <w:rFonts w:ascii="Garamond" w:eastAsia="MS Mincho" w:hAnsi="Garamond" w:cs="Times New Roman"/>
                <w:sz w:val="22"/>
                <w:szCs w:val="22"/>
              </w:rPr>
            </w:pPr>
            <w:r w:rsidRPr="00AD67C2">
              <w:rPr>
                <w:rFonts w:ascii="Garamond" w:eastAsia="MS Mincho" w:hAnsi="Garamond" w:cs="Times New Roman"/>
                <w:sz w:val="22"/>
                <w:szCs w:val="22"/>
              </w:rPr>
              <w:t>20</w:t>
            </w:r>
          </w:p>
        </w:tc>
      </w:tr>
      <w:tr w:rsidR="001333B2" w:rsidRPr="00AD67C2" w14:paraId="26F75263" w14:textId="77777777" w:rsidTr="0064152E">
        <w:trPr>
          <w:cantSplit/>
          <w:trHeight w:val="423"/>
        </w:trPr>
        <w:tc>
          <w:tcPr>
            <w:tcW w:w="3085" w:type="dxa"/>
            <w:vMerge w:val="restart"/>
            <w:vAlign w:val="center"/>
          </w:tcPr>
          <w:p w14:paraId="7786BBD7" w14:textId="77777777" w:rsidR="001333B2" w:rsidRPr="00AD67C2" w:rsidRDefault="001333B2" w:rsidP="001333B2">
            <w:pPr>
              <w:suppressAutoHyphens w:val="0"/>
              <w:jc w:val="both"/>
              <w:rPr>
                <w:rFonts w:ascii="Garamond" w:eastAsia="MS Mincho" w:hAnsi="Garamond" w:cs="Times New Roman"/>
                <w:sz w:val="22"/>
                <w:szCs w:val="22"/>
              </w:rPr>
            </w:pPr>
            <w:r w:rsidRPr="00AD67C2">
              <w:rPr>
                <w:rFonts w:ascii="Garamond" w:eastAsia="MS Mincho" w:hAnsi="Garamond" w:cs="Times New Roman"/>
                <w:sz w:val="22"/>
                <w:szCs w:val="22"/>
              </w:rPr>
              <w:t>Предел регулировочного диапазона, МВт</w:t>
            </w:r>
          </w:p>
        </w:tc>
        <w:tc>
          <w:tcPr>
            <w:tcW w:w="1069" w:type="dxa"/>
            <w:vAlign w:val="center"/>
          </w:tcPr>
          <w:p w14:paraId="06E10D89" w14:textId="77777777" w:rsidR="001333B2" w:rsidRPr="00AD67C2" w:rsidRDefault="001333B2" w:rsidP="001333B2">
            <w:pPr>
              <w:suppressAutoHyphens w:val="0"/>
              <w:jc w:val="center"/>
              <w:rPr>
                <w:rFonts w:ascii="Garamond" w:eastAsia="MS Mincho" w:hAnsi="Garamond" w:cs="Times New Roman"/>
                <w:sz w:val="22"/>
                <w:szCs w:val="22"/>
              </w:rPr>
            </w:pPr>
            <w:r w:rsidRPr="00AD67C2">
              <w:rPr>
                <w:rFonts w:ascii="Garamond" w:eastAsia="MS Mincho" w:hAnsi="Garamond" w:cs="Times New Roman"/>
                <w:sz w:val="22"/>
                <w:szCs w:val="22"/>
              </w:rPr>
              <w:t>нижний</w:t>
            </w:r>
          </w:p>
        </w:tc>
        <w:tc>
          <w:tcPr>
            <w:tcW w:w="5417" w:type="dxa"/>
            <w:vAlign w:val="center"/>
          </w:tcPr>
          <w:p w14:paraId="02D0FFF0" w14:textId="77777777" w:rsidR="001333B2" w:rsidRPr="00AD67C2" w:rsidRDefault="001333B2" w:rsidP="001333B2">
            <w:pPr>
              <w:suppressAutoHyphens w:val="0"/>
              <w:jc w:val="center"/>
              <w:rPr>
                <w:rFonts w:ascii="Garamond" w:eastAsia="MS Mincho" w:hAnsi="Garamond" w:cs="Times New Roman"/>
                <w:sz w:val="22"/>
                <w:szCs w:val="22"/>
              </w:rPr>
            </w:pPr>
            <w:r w:rsidRPr="00AD67C2">
              <w:rPr>
                <w:rFonts w:ascii="Garamond" w:eastAsia="MS Mincho" w:hAnsi="Garamond" w:cs="Times New Roman"/>
                <w:sz w:val="22"/>
                <w:szCs w:val="22"/>
              </w:rPr>
              <w:t>10</w:t>
            </w:r>
          </w:p>
        </w:tc>
      </w:tr>
      <w:tr w:rsidR="001333B2" w:rsidRPr="00AD67C2" w14:paraId="4AC2F90A" w14:textId="77777777" w:rsidTr="0064152E">
        <w:trPr>
          <w:cantSplit/>
          <w:trHeight w:val="401"/>
        </w:trPr>
        <w:tc>
          <w:tcPr>
            <w:tcW w:w="3085" w:type="dxa"/>
            <w:vMerge/>
            <w:vAlign w:val="center"/>
          </w:tcPr>
          <w:p w14:paraId="79205C48" w14:textId="77777777" w:rsidR="001333B2" w:rsidRPr="00AD67C2" w:rsidRDefault="001333B2" w:rsidP="001333B2">
            <w:pPr>
              <w:suppressAutoHyphens w:val="0"/>
              <w:jc w:val="both"/>
              <w:rPr>
                <w:rFonts w:ascii="Garamond" w:eastAsia="MS Mincho" w:hAnsi="Garamond" w:cs="Times New Roman"/>
                <w:sz w:val="22"/>
                <w:szCs w:val="22"/>
              </w:rPr>
            </w:pPr>
          </w:p>
        </w:tc>
        <w:tc>
          <w:tcPr>
            <w:tcW w:w="1069" w:type="dxa"/>
            <w:vAlign w:val="center"/>
          </w:tcPr>
          <w:p w14:paraId="69812F77" w14:textId="77777777" w:rsidR="001333B2" w:rsidRPr="00AD67C2" w:rsidRDefault="001333B2" w:rsidP="001333B2">
            <w:pPr>
              <w:suppressAutoHyphens w:val="0"/>
              <w:jc w:val="center"/>
              <w:rPr>
                <w:rFonts w:ascii="Garamond" w:eastAsia="MS Mincho" w:hAnsi="Garamond" w:cs="Times New Roman"/>
                <w:sz w:val="22"/>
                <w:szCs w:val="22"/>
              </w:rPr>
            </w:pPr>
            <w:r w:rsidRPr="00AD67C2">
              <w:rPr>
                <w:rFonts w:ascii="Garamond" w:eastAsia="MS Mincho" w:hAnsi="Garamond" w:cs="Times New Roman"/>
                <w:sz w:val="22"/>
                <w:szCs w:val="22"/>
              </w:rPr>
              <w:t>верхний</w:t>
            </w:r>
          </w:p>
        </w:tc>
        <w:tc>
          <w:tcPr>
            <w:tcW w:w="5417" w:type="dxa"/>
            <w:vAlign w:val="center"/>
          </w:tcPr>
          <w:p w14:paraId="1C06C512" w14:textId="77777777" w:rsidR="001333B2" w:rsidRPr="00AD67C2" w:rsidRDefault="001333B2" w:rsidP="001333B2">
            <w:pPr>
              <w:suppressAutoHyphens w:val="0"/>
              <w:jc w:val="center"/>
              <w:rPr>
                <w:rFonts w:ascii="Garamond" w:eastAsia="MS Mincho" w:hAnsi="Garamond" w:cs="Times New Roman"/>
                <w:sz w:val="22"/>
                <w:szCs w:val="22"/>
              </w:rPr>
            </w:pPr>
            <w:r w:rsidRPr="00AD67C2">
              <w:rPr>
                <w:rFonts w:ascii="Garamond" w:eastAsia="MS Mincho" w:hAnsi="Garamond" w:cs="Times New Roman"/>
                <w:sz w:val="22"/>
                <w:szCs w:val="22"/>
              </w:rPr>
              <w:t>20</w:t>
            </w:r>
          </w:p>
        </w:tc>
      </w:tr>
      <w:tr w:rsidR="001333B2" w:rsidRPr="00AD67C2" w14:paraId="3E4FA427" w14:textId="77777777" w:rsidTr="0064152E">
        <w:trPr>
          <w:trHeight w:val="404"/>
        </w:trPr>
        <w:tc>
          <w:tcPr>
            <w:tcW w:w="4154" w:type="dxa"/>
            <w:gridSpan w:val="2"/>
            <w:vAlign w:val="center"/>
          </w:tcPr>
          <w:p w14:paraId="34D8C2A2" w14:textId="77777777" w:rsidR="001333B2" w:rsidRPr="00AD67C2" w:rsidRDefault="001333B2" w:rsidP="001333B2">
            <w:pPr>
              <w:suppressAutoHyphens w:val="0"/>
              <w:jc w:val="both"/>
              <w:rPr>
                <w:rFonts w:ascii="Garamond" w:eastAsia="MS Mincho" w:hAnsi="Garamond" w:cs="Times New Roman"/>
                <w:sz w:val="22"/>
                <w:szCs w:val="22"/>
              </w:rPr>
            </w:pPr>
            <w:r w:rsidRPr="00AD67C2">
              <w:rPr>
                <w:rFonts w:ascii="Garamond" w:eastAsia="MS Mincho" w:hAnsi="Garamond" w:cs="Times New Roman"/>
                <w:sz w:val="22"/>
                <w:szCs w:val="22"/>
              </w:rPr>
              <w:t>Скорость набора нагрузки, МВт/мин</w:t>
            </w:r>
          </w:p>
        </w:tc>
        <w:tc>
          <w:tcPr>
            <w:tcW w:w="5417" w:type="dxa"/>
            <w:shd w:val="clear" w:color="auto" w:fill="auto"/>
            <w:vAlign w:val="center"/>
          </w:tcPr>
          <w:p w14:paraId="7AAF9E0F" w14:textId="77777777" w:rsidR="001333B2" w:rsidRPr="00AD67C2" w:rsidRDefault="001333B2" w:rsidP="001333B2">
            <w:pPr>
              <w:suppressAutoHyphens w:val="0"/>
              <w:jc w:val="center"/>
              <w:rPr>
                <w:rFonts w:ascii="Garamond" w:eastAsia="MS Mincho" w:hAnsi="Garamond" w:cs="Times New Roman"/>
                <w:sz w:val="22"/>
                <w:szCs w:val="22"/>
              </w:rPr>
            </w:pPr>
            <w:r w:rsidRPr="00AD67C2">
              <w:rPr>
                <w:rFonts w:ascii="Garamond" w:eastAsia="MS Mincho" w:hAnsi="Garamond" w:cs="Times New Roman"/>
                <w:sz w:val="22"/>
                <w:szCs w:val="22"/>
              </w:rPr>
              <w:t>0,3</w:t>
            </w:r>
          </w:p>
        </w:tc>
      </w:tr>
      <w:tr w:rsidR="001333B2" w:rsidRPr="00AD67C2" w14:paraId="501B15B2" w14:textId="77777777" w:rsidTr="0064152E">
        <w:trPr>
          <w:trHeight w:val="423"/>
        </w:trPr>
        <w:tc>
          <w:tcPr>
            <w:tcW w:w="4154" w:type="dxa"/>
            <w:gridSpan w:val="2"/>
            <w:vAlign w:val="center"/>
          </w:tcPr>
          <w:p w14:paraId="10594C01" w14:textId="77777777" w:rsidR="001333B2" w:rsidRPr="00AD67C2" w:rsidRDefault="001333B2" w:rsidP="001333B2">
            <w:pPr>
              <w:suppressAutoHyphens w:val="0"/>
              <w:jc w:val="both"/>
              <w:rPr>
                <w:rFonts w:ascii="Garamond" w:eastAsia="MS Mincho" w:hAnsi="Garamond" w:cs="Times New Roman"/>
                <w:sz w:val="22"/>
                <w:szCs w:val="22"/>
              </w:rPr>
            </w:pPr>
            <w:r w:rsidRPr="00AD67C2">
              <w:rPr>
                <w:rFonts w:ascii="Garamond" w:eastAsia="MS Mincho" w:hAnsi="Garamond" w:cs="Times New Roman"/>
                <w:sz w:val="22"/>
                <w:szCs w:val="22"/>
              </w:rPr>
              <w:t>Скорость снижения нагрузки, МВт/мин</w:t>
            </w:r>
          </w:p>
        </w:tc>
        <w:tc>
          <w:tcPr>
            <w:tcW w:w="5417" w:type="dxa"/>
            <w:vAlign w:val="center"/>
          </w:tcPr>
          <w:p w14:paraId="4CC5820D" w14:textId="77777777" w:rsidR="001333B2" w:rsidRPr="00AD67C2" w:rsidRDefault="001333B2" w:rsidP="001333B2">
            <w:pPr>
              <w:suppressAutoHyphens w:val="0"/>
              <w:jc w:val="center"/>
              <w:rPr>
                <w:rFonts w:ascii="Garamond" w:eastAsia="MS Mincho" w:hAnsi="Garamond" w:cs="Times New Roman"/>
                <w:sz w:val="22"/>
                <w:szCs w:val="22"/>
              </w:rPr>
            </w:pPr>
            <w:r w:rsidRPr="00AD67C2">
              <w:rPr>
                <w:rFonts w:ascii="Garamond" w:eastAsia="MS Mincho" w:hAnsi="Garamond" w:cs="Times New Roman"/>
                <w:sz w:val="22"/>
                <w:szCs w:val="22"/>
              </w:rPr>
              <w:t>0,3</w:t>
            </w:r>
          </w:p>
        </w:tc>
      </w:tr>
    </w:tbl>
    <w:p w14:paraId="3A1C39DC" w14:textId="77777777" w:rsidR="00817272" w:rsidRPr="00AD67C2" w:rsidRDefault="00817272" w:rsidP="00817272">
      <w:pPr>
        <w:widowControl w:val="0"/>
        <w:jc w:val="center"/>
        <w:outlineLvl w:val="0"/>
        <w:rPr>
          <w:rFonts w:ascii="Garamond" w:eastAsia="Times New Roman" w:hAnsi="Garamond" w:cs="Arial"/>
          <w:b/>
          <w:bCs/>
          <w:sz w:val="22"/>
        </w:rPr>
      </w:pPr>
    </w:p>
    <w:p w14:paraId="67E491D9" w14:textId="77777777" w:rsidR="00817272" w:rsidRPr="00AD67C2" w:rsidRDefault="00817272" w:rsidP="00817272">
      <w:pPr>
        <w:widowControl w:val="0"/>
        <w:jc w:val="center"/>
        <w:outlineLvl w:val="0"/>
        <w:rPr>
          <w:rFonts w:ascii="Garamond" w:eastAsia="Times New Roman" w:hAnsi="Garamond" w:cs="Arial"/>
          <w:b/>
          <w:bCs/>
          <w:sz w:val="22"/>
        </w:rPr>
      </w:pPr>
    </w:p>
    <w:p w14:paraId="46BC255F" w14:textId="77777777" w:rsidR="00817272" w:rsidRPr="00AD67C2" w:rsidRDefault="00817272" w:rsidP="00817272">
      <w:pPr>
        <w:widowControl w:val="0"/>
        <w:jc w:val="center"/>
        <w:outlineLvl w:val="0"/>
        <w:rPr>
          <w:rFonts w:ascii="Garamond" w:eastAsia="Times New Roman" w:hAnsi="Garamond" w:cs="Arial"/>
          <w:b/>
          <w:bCs/>
          <w:sz w:val="22"/>
        </w:rPr>
      </w:pPr>
    </w:p>
    <w:p w14:paraId="3AF28ACC" w14:textId="77777777" w:rsidR="00817272" w:rsidRPr="00AD67C2" w:rsidRDefault="00817272" w:rsidP="00817272">
      <w:pPr>
        <w:widowControl w:val="0"/>
        <w:jc w:val="center"/>
        <w:outlineLvl w:val="0"/>
        <w:rPr>
          <w:rFonts w:ascii="Garamond" w:eastAsia="Times New Roman" w:hAnsi="Garamond" w:cs="Arial"/>
          <w:b/>
          <w:bCs/>
          <w:sz w:val="22"/>
        </w:rPr>
      </w:pPr>
    </w:p>
    <w:p w14:paraId="05C3936C" w14:textId="77777777" w:rsidR="00817272" w:rsidRPr="00AD67C2" w:rsidRDefault="00817272" w:rsidP="00817272">
      <w:pPr>
        <w:widowControl w:val="0"/>
        <w:jc w:val="center"/>
        <w:outlineLvl w:val="0"/>
        <w:rPr>
          <w:rFonts w:ascii="Garamond" w:eastAsia="Times New Roman" w:hAnsi="Garamond" w:cs="Arial"/>
          <w:b/>
          <w:bCs/>
          <w:sz w:val="22"/>
        </w:rPr>
      </w:pPr>
    </w:p>
    <w:p w14:paraId="3AFB4B82" w14:textId="77777777" w:rsidR="00817272" w:rsidRPr="00AD67C2" w:rsidRDefault="00817272" w:rsidP="00817272">
      <w:pPr>
        <w:widowControl w:val="0"/>
        <w:jc w:val="center"/>
        <w:outlineLvl w:val="0"/>
        <w:rPr>
          <w:rFonts w:ascii="Garamond" w:eastAsia="Times New Roman" w:hAnsi="Garamond" w:cs="Arial"/>
          <w:b/>
          <w:bCs/>
          <w:sz w:val="22"/>
        </w:rPr>
      </w:pPr>
    </w:p>
    <w:p w14:paraId="558C99AF" w14:textId="77777777" w:rsidR="00817272" w:rsidRPr="00AD67C2" w:rsidRDefault="00817272" w:rsidP="00817272">
      <w:pPr>
        <w:widowControl w:val="0"/>
        <w:jc w:val="center"/>
        <w:outlineLvl w:val="0"/>
        <w:rPr>
          <w:rFonts w:ascii="Garamond" w:eastAsia="Times New Roman" w:hAnsi="Garamond" w:cs="Arial"/>
          <w:b/>
          <w:bCs/>
          <w:sz w:val="22"/>
        </w:rPr>
      </w:pPr>
    </w:p>
    <w:p w14:paraId="0DF0B827" w14:textId="77777777" w:rsidR="00817272" w:rsidRPr="00AD67C2" w:rsidRDefault="00817272" w:rsidP="00817272">
      <w:pPr>
        <w:widowControl w:val="0"/>
        <w:jc w:val="center"/>
        <w:outlineLvl w:val="0"/>
        <w:rPr>
          <w:rFonts w:ascii="Garamond" w:eastAsia="Times New Roman" w:hAnsi="Garamond" w:cs="Arial"/>
          <w:b/>
          <w:bCs/>
          <w:sz w:val="22"/>
        </w:rPr>
      </w:pPr>
    </w:p>
    <w:p w14:paraId="66D56105" w14:textId="77777777" w:rsidR="00817272" w:rsidRPr="00AD67C2" w:rsidRDefault="00817272" w:rsidP="00817272">
      <w:pPr>
        <w:widowControl w:val="0"/>
        <w:jc w:val="center"/>
        <w:outlineLvl w:val="0"/>
        <w:rPr>
          <w:rFonts w:ascii="Garamond" w:eastAsia="Times New Roman" w:hAnsi="Garamond" w:cs="Arial"/>
          <w:b/>
          <w:bCs/>
          <w:sz w:val="22"/>
        </w:rPr>
      </w:pPr>
    </w:p>
    <w:p w14:paraId="22F7E724" w14:textId="77777777" w:rsidR="00817272" w:rsidRPr="00AD67C2" w:rsidRDefault="00817272" w:rsidP="00817272">
      <w:pPr>
        <w:widowControl w:val="0"/>
        <w:jc w:val="center"/>
        <w:outlineLvl w:val="0"/>
        <w:rPr>
          <w:rFonts w:ascii="Garamond" w:eastAsia="Times New Roman" w:hAnsi="Garamond" w:cs="Arial"/>
          <w:b/>
          <w:bCs/>
          <w:sz w:val="22"/>
        </w:rPr>
      </w:pPr>
    </w:p>
    <w:p w14:paraId="1B6B2041" w14:textId="77777777" w:rsidR="00817272" w:rsidRPr="00AD67C2" w:rsidRDefault="00817272" w:rsidP="00817272">
      <w:pPr>
        <w:widowControl w:val="0"/>
        <w:jc w:val="center"/>
        <w:outlineLvl w:val="0"/>
        <w:rPr>
          <w:rFonts w:ascii="Garamond" w:eastAsia="Times New Roman" w:hAnsi="Garamond" w:cs="Arial"/>
          <w:b/>
          <w:bCs/>
          <w:sz w:val="22"/>
        </w:rPr>
      </w:pPr>
    </w:p>
    <w:p w14:paraId="77C11EB9" w14:textId="77777777" w:rsidR="00817272" w:rsidRPr="00AD67C2" w:rsidRDefault="00817272" w:rsidP="00817272">
      <w:pPr>
        <w:widowControl w:val="0"/>
        <w:jc w:val="center"/>
        <w:outlineLvl w:val="0"/>
        <w:rPr>
          <w:rFonts w:ascii="Garamond" w:eastAsia="Times New Roman" w:hAnsi="Garamond" w:cs="Arial"/>
          <w:b/>
          <w:bCs/>
          <w:sz w:val="22"/>
        </w:rPr>
      </w:pPr>
    </w:p>
    <w:p w14:paraId="46C4997D" w14:textId="77777777" w:rsidR="00817272" w:rsidRPr="00AD67C2" w:rsidRDefault="00817272" w:rsidP="00817272">
      <w:pPr>
        <w:widowControl w:val="0"/>
        <w:jc w:val="center"/>
        <w:outlineLvl w:val="0"/>
        <w:rPr>
          <w:rFonts w:ascii="Garamond" w:eastAsia="Times New Roman" w:hAnsi="Garamond" w:cs="Arial"/>
          <w:b/>
          <w:bCs/>
          <w:sz w:val="22"/>
        </w:rPr>
      </w:pPr>
    </w:p>
    <w:p w14:paraId="7F413B08" w14:textId="77777777" w:rsidR="00817272" w:rsidRPr="00AD67C2" w:rsidRDefault="00817272" w:rsidP="00817272">
      <w:pPr>
        <w:widowControl w:val="0"/>
        <w:jc w:val="center"/>
        <w:outlineLvl w:val="0"/>
        <w:rPr>
          <w:rFonts w:ascii="Garamond" w:eastAsia="Times New Roman" w:hAnsi="Garamond" w:cs="Arial"/>
          <w:b/>
          <w:bCs/>
          <w:sz w:val="22"/>
        </w:rPr>
      </w:pPr>
    </w:p>
    <w:p w14:paraId="04828DF5" w14:textId="77777777" w:rsidR="00817272" w:rsidRPr="00AD67C2" w:rsidRDefault="00817272" w:rsidP="00817272">
      <w:pPr>
        <w:widowControl w:val="0"/>
        <w:jc w:val="center"/>
        <w:outlineLvl w:val="0"/>
        <w:rPr>
          <w:rFonts w:ascii="Garamond" w:eastAsia="Times New Roman" w:hAnsi="Garamond" w:cs="Arial"/>
          <w:b/>
          <w:bCs/>
          <w:sz w:val="22"/>
        </w:rPr>
      </w:pPr>
    </w:p>
    <w:p w14:paraId="1F8CA0C9" w14:textId="77777777" w:rsidR="00817272" w:rsidRPr="00AD67C2" w:rsidRDefault="00817272" w:rsidP="00817272">
      <w:pPr>
        <w:widowControl w:val="0"/>
        <w:jc w:val="center"/>
        <w:outlineLvl w:val="0"/>
        <w:rPr>
          <w:rFonts w:ascii="Garamond" w:eastAsia="Times New Roman" w:hAnsi="Garamond" w:cs="Arial"/>
          <w:b/>
          <w:bCs/>
          <w:sz w:val="22"/>
        </w:rPr>
      </w:pPr>
    </w:p>
    <w:p w14:paraId="7100FC02" w14:textId="77777777" w:rsidR="00817272" w:rsidRPr="00AD67C2" w:rsidRDefault="00817272" w:rsidP="00817272">
      <w:pPr>
        <w:widowControl w:val="0"/>
        <w:jc w:val="center"/>
        <w:outlineLvl w:val="0"/>
        <w:rPr>
          <w:rFonts w:ascii="Garamond" w:eastAsia="Times New Roman" w:hAnsi="Garamond" w:cs="Arial"/>
          <w:b/>
          <w:bCs/>
          <w:sz w:val="22"/>
        </w:rPr>
      </w:pPr>
    </w:p>
    <w:p w14:paraId="4DD0D362" w14:textId="77777777" w:rsidR="00817272" w:rsidRPr="00AD67C2" w:rsidRDefault="00817272" w:rsidP="00817272">
      <w:pPr>
        <w:widowControl w:val="0"/>
        <w:jc w:val="center"/>
        <w:outlineLvl w:val="0"/>
        <w:rPr>
          <w:rFonts w:ascii="Garamond" w:eastAsia="Times New Roman" w:hAnsi="Garamond" w:cs="Arial"/>
          <w:b/>
          <w:bCs/>
          <w:sz w:val="22"/>
        </w:rPr>
      </w:pPr>
    </w:p>
    <w:p w14:paraId="5F4A3DC7" w14:textId="77777777" w:rsidR="00817272" w:rsidRPr="00AD67C2" w:rsidRDefault="00817272" w:rsidP="00817272">
      <w:pPr>
        <w:widowControl w:val="0"/>
        <w:jc w:val="center"/>
        <w:outlineLvl w:val="0"/>
        <w:rPr>
          <w:rFonts w:ascii="Garamond" w:eastAsia="Times New Roman" w:hAnsi="Garamond" w:cs="Arial"/>
          <w:b/>
          <w:bCs/>
          <w:sz w:val="22"/>
        </w:rPr>
      </w:pPr>
    </w:p>
    <w:tbl>
      <w:tblPr>
        <w:tblW w:w="8880" w:type="dxa"/>
        <w:tblLook w:val="04A0" w:firstRow="1" w:lastRow="0" w:firstColumn="1" w:lastColumn="0" w:noHBand="0" w:noVBand="1"/>
      </w:tblPr>
      <w:tblGrid>
        <w:gridCol w:w="256"/>
        <w:gridCol w:w="256"/>
        <w:gridCol w:w="256"/>
        <w:gridCol w:w="256"/>
        <w:gridCol w:w="256"/>
        <w:gridCol w:w="281"/>
        <w:gridCol w:w="283"/>
        <w:gridCol w:w="316"/>
        <w:gridCol w:w="256"/>
        <w:gridCol w:w="256"/>
        <w:gridCol w:w="256"/>
        <w:gridCol w:w="264"/>
        <w:gridCol w:w="263"/>
        <w:gridCol w:w="263"/>
        <w:gridCol w:w="262"/>
        <w:gridCol w:w="262"/>
        <w:gridCol w:w="316"/>
        <w:gridCol w:w="9"/>
        <w:gridCol w:w="252"/>
        <w:gridCol w:w="9"/>
        <w:gridCol w:w="247"/>
        <w:gridCol w:w="256"/>
        <w:gridCol w:w="256"/>
        <w:gridCol w:w="256"/>
        <w:gridCol w:w="256"/>
        <w:gridCol w:w="256"/>
        <w:gridCol w:w="316"/>
        <w:gridCol w:w="280"/>
        <w:gridCol w:w="279"/>
        <w:gridCol w:w="10"/>
        <w:gridCol w:w="246"/>
        <w:gridCol w:w="256"/>
        <w:gridCol w:w="256"/>
        <w:gridCol w:w="256"/>
        <w:gridCol w:w="256"/>
        <w:gridCol w:w="256"/>
        <w:gridCol w:w="316"/>
      </w:tblGrid>
      <w:tr w:rsidR="00817272" w:rsidRPr="00AD67C2" w14:paraId="058C0EB6" w14:textId="77777777" w:rsidTr="00817272">
        <w:trPr>
          <w:trHeight w:val="188"/>
        </w:trPr>
        <w:tc>
          <w:tcPr>
            <w:tcW w:w="8880" w:type="dxa"/>
            <w:gridSpan w:val="37"/>
            <w:vAlign w:val="bottom"/>
          </w:tcPr>
          <w:p w14:paraId="3E30D9B4" w14:textId="77777777" w:rsidR="00817272" w:rsidRPr="00AD67C2" w:rsidRDefault="00817272" w:rsidP="004C37C6">
            <w:pPr>
              <w:widowControl w:val="0"/>
              <w:suppressAutoHyphens w:val="0"/>
              <w:jc w:val="center"/>
              <w:outlineLvl w:val="0"/>
              <w:rPr>
                <w:rFonts w:ascii="Garamond" w:eastAsia="Times New Roman" w:hAnsi="Garamond" w:cs="Times New Roman"/>
                <w:b/>
                <w:sz w:val="22"/>
                <w:szCs w:val="22"/>
              </w:rPr>
            </w:pPr>
            <w:r w:rsidRPr="00AD67C2">
              <w:rPr>
                <w:rFonts w:ascii="Garamond" w:eastAsia="Times New Roman" w:hAnsi="Garamond" w:cs="Times New Roman"/>
                <w:b/>
                <w:sz w:val="22"/>
                <w:szCs w:val="22"/>
              </w:rPr>
              <w:lastRenderedPageBreak/>
              <w:t>Форма 7</w:t>
            </w:r>
          </w:p>
          <w:p w14:paraId="731CA322" w14:textId="77777777" w:rsidR="00817272" w:rsidRPr="00AD67C2" w:rsidRDefault="00817272" w:rsidP="003E0733">
            <w:pPr>
              <w:rPr>
                <w:rFonts w:ascii="Garamond" w:eastAsia="Times New Roman" w:hAnsi="Garamond" w:cs="Arial"/>
                <w:b/>
                <w:bCs/>
              </w:rPr>
            </w:pPr>
          </w:p>
          <w:p w14:paraId="2CAB39E7" w14:textId="77777777" w:rsidR="00817272" w:rsidRPr="00AD67C2" w:rsidRDefault="00817272" w:rsidP="003E0733">
            <w:pPr>
              <w:rPr>
                <w:rFonts w:ascii="Garamond" w:eastAsia="Times New Roman" w:hAnsi="Garamond" w:cs="Arial"/>
                <w:b/>
                <w:bCs/>
              </w:rPr>
            </w:pPr>
          </w:p>
          <w:p w14:paraId="3FD911C8" w14:textId="1BBFA5BA" w:rsidR="00817272" w:rsidRPr="00AD67C2" w:rsidRDefault="00817272" w:rsidP="00BC4FC4">
            <w:pPr>
              <w:rPr>
                <w:rFonts w:ascii="Garamond" w:eastAsia="Times New Roman" w:hAnsi="Garamond" w:cs="Arial"/>
                <w:b/>
                <w:bCs/>
              </w:rPr>
            </w:pPr>
            <w:r w:rsidRPr="00AD67C2">
              <w:rPr>
                <w:rFonts w:ascii="Garamond" w:eastAsia="Times New Roman" w:hAnsi="Garamond" w:cs="Arial"/>
                <w:b/>
                <w:bCs/>
              </w:rPr>
              <w:t xml:space="preserve">АО </w:t>
            </w:r>
            <w:r w:rsidR="00BC4FC4">
              <w:rPr>
                <w:rFonts w:ascii="Garamond" w:eastAsia="Times New Roman" w:hAnsi="Garamond" w:cs="Arial"/>
                <w:b/>
                <w:bCs/>
              </w:rPr>
              <w:t>«</w:t>
            </w:r>
            <w:r w:rsidRPr="00AD67C2">
              <w:rPr>
                <w:rFonts w:ascii="Garamond" w:eastAsia="Times New Roman" w:hAnsi="Garamond" w:cs="Arial"/>
                <w:b/>
                <w:bCs/>
              </w:rPr>
              <w:t>АТС</w:t>
            </w:r>
            <w:r w:rsidR="00BC4FC4">
              <w:rPr>
                <w:rFonts w:ascii="Garamond" w:eastAsia="Times New Roman" w:hAnsi="Garamond" w:cs="Arial"/>
                <w:b/>
                <w:bCs/>
              </w:rPr>
              <w:t>»</w:t>
            </w:r>
          </w:p>
        </w:tc>
      </w:tr>
      <w:tr w:rsidR="00817272" w:rsidRPr="00AD67C2" w14:paraId="18F7E265" w14:textId="77777777" w:rsidTr="00817272">
        <w:trPr>
          <w:trHeight w:val="378"/>
        </w:trPr>
        <w:tc>
          <w:tcPr>
            <w:tcW w:w="8880" w:type="dxa"/>
            <w:gridSpan w:val="37"/>
            <w:vAlign w:val="bottom"/>
            <w:hideMark/>
          </w:tcPr>
          <w:p w14:paraId="691D028E" w14:textId="190DA05A" w:rsidR="00817272" w:rsidRPr="00AD67C2" w:rsidRDefault="00817272" w:rsidP="00254029">
            <w:pPr>
              <w:rPr>
                <w:rFonts w:ascii="Garamond" w:eastAsia="Times New Roman" w:hAnsi="Garamond" w:cs="Arial"/>
                <w:b/>
                <w:bCs/>
              </w:rPr>
            </w:pPr>
            <w:r w:rsidRPr="00AD67C2">
              <w:rPr>
                <w:rFonts w:ascii="Garamond" w:eastAsia="Times New Roman" w:hAnsi="Garamond" w:cs="Arial"/>
                <w:b/>
                <w:bCs/>
              </w:rPr>
              <w:t xml:space="preserve">123610, </w:t>
            </w:r>
            <w:r w:rsidR="00173FC5">
              <w:rPr>
                <w:rFonts w:ascii="Garamond" w:eastAsia="Times New Roman" w:hAnsi="Garamond" w:cs="Arial"/>
                <w:b/>
                <w:bCs/>
              </w:rPr>
              <w:t>г</w:t>
            </w:r>
            <w:r w:rsidR="00254029">
              <w:rPr>
                <w:rFonts w:ascii="Garamond" w:eastAsia="Times New Roman" w:hAnsi="Garamond" w:cs="Arial"/>
                <w:b/>
                <w:bCs/>
              </w:rPr>
              <w:t>.</w:t>
            </w:r>
            <w:r w:rsidRPr="00AD67C2">
              <w:rPr>
                <w:rFonts w:ascii="Garamond" w:eastAsia="Times New Roman" w:hAnsi="Garamond" w:cs="Arial"/>
                <w:b/>
                <w:bCs/>
              </w:rPr>
              <w:t xml:space="preserve"> Москва, вн.тер.г. муниципальный округ Пресненский, наб</w:t>
            </w:r>
            <w:r w:rsidR="00173FC5">
              <w:rPr>
                <w:rFonts w:ascii="Garamond" w:eastAsia="Times New Roman" w:hAnsi="Garamond" w:cs="Arial"/>
                <w:b/>
                <w:bCs/>
              </w:rPr>
              <w:t>. Краснопресненская, д. </w:t>
            </w:r>
            <w:r w:rsidRPr="00AD67C2">
              <w:rPr>
                <w:rFonts w:ascii="Garamond" w:eastAsia="Times New Roman" w:hAnsi="Garamond" w:cs="Arial"/>
                <w:b/>
                <w:bCs/>
              </w:rPr>
              <w:t>12, помещ.</w:t>
            </w:r>
            <w:r w:rsidR="00173FC5">
              <w:rPr>
                <w:rFonts w:ascii="Garamond" w:eastAsia="Times New Roman" w:hAnsi="Garamond" w:cs="Arial"/>
                <w:b/>
                <w:bCs/>
              </w:rPr>
              <w:t xml:space="preserve"> </w:t>
            </w:r>
            <w:r w:rsidRPr="00AD67C2">
              <w:rPr>
                <w:rFonts w:ascii="Garamond" w:eastAsia="Times New Roman" w:hAnsi="Garamond" w:cs="Arial"/>
                <w:b/>
                <w:bCs/>
              </w:rPr>
              <w:t>3/2, тел.: +7 (495) 967-00-05</w:t>
            </w:r>
          </w:p>
        </w:tc>
      </w:tr>
      <w:tr w:rsidR="00817272" w:rsidRPr="00AD67C2" w14:paraId="18BCCC2A" w14:textId="77777777" w:rsidTr="00817272">
        <w:trPr>
          <w:trHeight w:val="167"/>
        </w:trPr>
        <w:tc>
          <w:tcPr>
            <w:tcW w:w="249" w:type="dxa"/>
            <w:noWrap/>
            <w:vAlign w:val="bottom"/>
            <w:hideMark/>
          </w:tcPr>
          <w:p w14:paraId="78B50A3D" w14:textId="77777777" w:rsidR="00817272" w:rsidRPr="00AD67C2" w:rsidRDefault="00817272" w:rsidP="003E0733">
            <w:pPr>
              <w:rPr>
                <w:rFonts w:ascii="Garamond" w:eastAsia="Times New Roman" w:hAnsi="Garamond" w:cs="Arial"/>
                <w:b/>
                <w:bCs/>
              </w:rPr>
            </w:pPr>
          </w:p>
        </w:tc>
        <w:tc>
          <w:tcPr>
            <w:tcW w:w="251" w:type="dxa"/>
            <w:noWrap/>
            <w:vAlign w:val="bottom"/>
            <w:hideMark/>
          </w:tcPr>
          <w:p w14:paraId="5456C649" w14:textId="77777777" w:rsidR="00817272" w:rsidRPr="00AD67C2" w:rsidRDefault="00817272" w:rsidP="003E0733"/>
        </w:tc>
        <w:tc>
          <w:tcPr>
            <w:tcW w:w="247" w:type="dxa"/>
            <w:noWrap/>
            <w:vAlign w:val="bottom"/>
            <w:hideMark/>
          </w:tcPr>
          <w:p w14:paraId="2001CFBD" w14:textId="77777777" w:rsidR="00817272" w:rsidRPr="00AD67C2" w:rsidRDefault="00817272" w:rsidP="003E0733"/>
        </w:tc>
        <w:tc>
          <w:tcPr>
            <w:tcW w:w="247" w:type="dxa"/>
            <w:noWrap/>
            <w:vAlign w:val="bottom"/>
            <w:hideMark/>
          </w:tcPr>
          <w:p w14:paraId="008B4AC0" w14:textId="77777777" w:rsidR="00817272" w:rsidRPr="00AD67C2" w:rsidRDefault="00817272" w:rsidP="003E0733"/>
        </w:tc>
        <w:tc>
          <w:tcPr>
            <w:tcW w:w="247" w:type="dxa"/>
            <w:noWrap/>
            <w:vAlign w:val="bottom"/>
            <w:hideMark/>
          </w:tcPr>
          <w:p w14:paraId="7ABF46FE" w14:textId="77777777" w:rsidR="00817272" w:rsidRPr="00AD67C2" w:rsidRDefault="00817272" w:rsidP="003E0733"/>
        </w:tc>
        <w:tc>
          <w:tcPr>
            <w:tcW w:w="281" w:type="dxa"/>
            <w:noWrap/>
            <w:vAlign w:val="bottom"/>
            <w:hideMark/>
          </w:tcPr>
          <w:p w14:paraId="171374AA" w14:textId="77777777" w:rsidR="00817272" w:rsidRPr="00AD67C2" w:rsidRDefault="00817272" w:rsidP="003E0733"/>
        </w:tc>
        <w:tc>
          <w:tcPr>
            <w:tcW w:w="283" w:type="dxa"/>
            <w:noWrap/>
            <w:vAlign w:val="bottom"/>
            <w:hideMark/>
          </w:tcPr>
          <w:p w14:paraId="606F5C79" w14:textId="77777777" w:rsidR="00817272" w:rsidRPr="00AD67C2" w:rsidRDefault="00817272" w:rsidP="003E0733"/>
        </w:tc>
        <w:tc>
          <w:tcPr>
            <w:tcW w:w="305" w:type="dxa"/>
            <w:noWrap/>
            <w:vAlign w:val="bottom"/>
            <w:hideMark/>
          </w:tcPr>
          <w:p w14:paraId="2B3B6912" w14:textId="77777777" w:rsidR="00817272" w:rsidRPr="00AD67C2" w:rsidRDefault="00817272" w:rsidP="003E0733"/>
        </w:tc>
        <w:tc>
          <w:tcPr>
            <w:tcW w:w="247" w:type="dxa"/>
            <w:noWrap/>
            <w:vAlign w:val="bottom"/>
            <w:hideMark/>
          </w:tcPr>
          <w:p w14:paraId="213AAC96" w14:textId="77777777" w:rsidR="00817272" w:rsidRPr="00AD67C2" w:rsidRDefault="00817272" w:rsidP="003E0733"/>
        </w:tc>
        <w:tc>
          <w:tcPr>
            <w:tcW w:w="247" w:type="dxa"/>
            <w:noWrap/>
            <w:vAlign w:val="bottom"/>
            <w:hideMark/>
          </w:tcPr>
          <w:p w14:paraId="62FBB02F" w14:textId="77777777" w:rsidR="00817272" w:rsidRPr="00AD67C2" w:rsidRDefault="00817272" w:rsidP="003E0733"/>
        </w:tc>
        <w:tc>
          <w:tcPr>
            <w:tcW w:w="247" w:type="dxa"/>
            <w:noWrap/>
            <w:vAlign w:val="bottom"/>
            <w:hideMark/>
          </w:tcPr>
          <w:p w14:paraId="6CA2F607" w14:textId="77777777" w:rsidR="00817272" w:rsidRPr="00AD67C2" w:rsidRDefault="00817272" w:rsidP="003E0733"/>
        </w:tc>
        <w:tc>
          <w:tcPr>
            <w:tcW w:w="264" w:type="dxa"/>
            <w:noWrap/>
            <w:vAlign w:val="bottom"/>
            <w:hideMark/>
          </w:tcPr>
          <w:p w14:paraId="42C56D85" w14:textId="77777777" w:rsidR="00817272" w:rsidRPr="00AD67C2" w:rsidRDefault="00817272" w:rsidP="003E0733"/>
        </w:tc>
        <w:tc>
          <w:tcPr>
            <w:tcW w:w="263" w:type="dxa"/>
            <w:noWrap/>
            <w:vAlign w:val="bottom"/>
            <w:hideMark/>
          </w:tcPr>
          <w:p w14:paraId="2B074E46" w14:textId="77777777" w:rsidR="00817272" w:rsidRPr="00AD67C2" w:rsidRDefault="00817272" w:rsidP="003E0733"/>
        </w:tc>
        <w:tc>
          <w:tcPr>
            <w:tcW w:w="263" w:type="dxa"/>
            <w:noWrap/>
            <w:vAlign w:val="bottom"/>
            <w:hideMark/>
          </w:tcPr>
          <w:p w14:paraId="5252ADCB" w14:textId="77777777" w:rsidR="00817272" w:rsidRPr="00AD67C2" w:rsidRDefault="00817272" w:rsidP="003E0733"/>
        </w:tc>
        <w:tc>
          <w:tcPr>
            <w:tcW w:w="262" w:type="dxa"/>
            <w:noWrap/>
            <w:vAlign w:val="bottom"/>
            <w:hideMark/>
          </w:tcPr>
          <w:p w14:paraId="48E220D5" w14:textId="77777777" w:rsidR="00817272" w:rsidRPr="00AD67C2" w:rsidRDefault="00817272" w:rsidP="003E0733"/>
        </w:tc>
        <w:tc>
          <w:tcPr>
            <w:tcW w:w="262" w:type="dxa"/>
            <w:noWrap/>
            <w:vAlign w:val="bottom"/>
            <w:hideMark/>
          </w:tcPr>
          <w:p w14:paraId="26126E49" w14:textId="77777777" w:rsidR="00817272" w:rsidRPr="00AD67C2" w:rsidRDefault="00817272" w:rsidP="003E0733"/>
        </w:tc>
        <w:tc>
          <w:tcPr>
            <w:tcW w:w="305" w:type="dxa"/>
            <w:noWrap/>
            <w:vAlign w:val="bottom"/>
            <w:hideMark/>
          </w:tcPr>
          <w:p w14:paraId="2C1DB75E" w14:textId="77777777" w:rsidR="00817272" w:rsidRPr="00AD67C2" w:rsidRDefault="00817272" w:rsidP="003E0733"/>
        </w:tc>
        <w:tc>
          <w:tcPr>
            <w:tcW w:w="261" w:type="dxa"/>
            <w:gridSpan w:val="2"/>
            <w:noWrap/>
            <w:vAlign w:val="bottom"/>
            <w:hideMark/>
          </w:tcPr>
          <w:p w14:paraId="0B106A9E" w14:textId="77777777" w:rsidR="00817272" w:rsidRPr="00AD67C2" w:rsidRDefault="00817272" w:rsidP="003E0733"/>
        </w:tc>
        <w:tc>
          <w:tcPr>
            <w:tcW w:w="247" w:type="dxa"/>
            <w:gridSpan w:val="2"/>
            <w:noWrap/>
            <w:vAlign w:val="bottom"/>
            <w:hideMark/>
          </w:tcPr>
          <w:p w14:paraId="0FD6DE3B" w14:textId="77777777" w:rsidR="00817272" w:rsidRPr="00AD67C2" w:rsidRDefault="00817272" w:rsidP="003E0733"/>
        </w:tc>
        <w:tc>
          <w:tcPr>
            <w:tcW w:w="247" w:type="dxa"/>
            <w:noWrap/>
            <w:vAlign w:val="bottom"/>
            <w:hideMark/>
          </w:tcPr>
          <w:p w14:paraId="41184511" w14:textId="77777777" w:rsidR="00817272" w:rsidRPr="00AD67C2" w:rsidRDefault="00817272" w:rsidP="003E0733"/>
        </w:tc>
        <w:tc>
          <w:tcPr>
            <w:tcW w:w="247" w:type="dxa"/>
            <w:noWrap/>
            <w:vAlign w:val="bottom"/>
            <w:hideMark/>
          </w:tcPr>
          <w:p w14:paraId="5B1E6987" w14:textId="77777777" w:rsidR="00817272" w:rsidRPr="00AD67C2" w:rsidRDefault="00817272" w:rsidP="003E0733"/>
        </w:tc>
        <w:tc>
          <w:tcPr>
            <w:tcW w:w="247" w:type="dxa"/>
            <w:noWrap/>
            <w:vAlign w:val="bottom"/>
            <w:hideMark/>
          </w:tcPr>
          <w:p w14:paraId="38C33D68" w14:textId="77777777" w:rsidR="00817272" w:rsidRPr="00AD67C2" w:rsidRDefault="00817272" w:rsidP="003E0733"/>
        </w:tc>
        <w:tc>
          <w:tcPr>
            <w:tcW w:w="247" w:type="dxa"/>
            <w:noWrap/>
            <w:vAlign w:val="bottom"/>
            <w:hideMark/>
          </w:tcPr>
          <w:p w14:paraId="35177EB2" w14:textId="77777777" w:rsidR="00817272" w:rsidRPr="00AD67C2" w:rsidRDefault="00817272" w:rsidP="003E0733"/>
        </w:tc>
        <w:tc>
          <w:tcPr>
            <w:tcW w:w="247" w:type="dxa"/>
            <w:noWrap/>
            <w:vAlign w:val="bottom"/>
            <w:hideMark/>
          </w:tcPr>
          <w:p w14:paraId="61644A2E" w14:textId="77777777" w:rsidR="00817272" w:rsidRPr="00AD67C2" w:rsidRDefault="00817272" w:rsidP="003E0733"/>
        </w:tc>
        <w:tc>
          <w:tcPr>
            <w:tcW w:w="305" w:type="dxa"/>
            <w:noWrap/>
            <w:vAlign w:val="bottom"/>
            <w:hideMark/>
          </w:tcPr>
          <w:p w14:paraId="5F7EA68B" w14:textId="77777777" w:rsidR="00817272" w:rsidRPr="00AD67C2" w:rsidRDefault="00817272" w:rsidP="003E0733"/>
        </w:tc>
        <w:tc>
          <w:tcPr>
            <w:tcW w:w="280" w:type="dxa"/>
            <w:noWrap/>
            <w:vAlign w:val="bottom"/>
            <w:hideMark/>
          </w:tcPr>
          <w:p w14:paraId="18C8088D" w14:textId="77777777" w:rsidR="00817272" w:rsidRPr="00AD67C2" w:rsidRDefault="00817272" w:rsidP="003E0733"/>
        </w:tc>
        <w:tc>
          <w:tcPr>
            <w:tcW w:w="279" w:type="dxa"/>
            <w:noWrap/>
            <w:vAlign w:val="bottom"/>
            <w:hideMark/>
          </w:tcPr>
          <w:p w14:paraId="4CFCCBD5" w14:textId="77777777" w:rsidR="00817272" w:rsidRPr="00AD67C2" w:rsidRDefault="00817272" w:rsidP="003E0733"/>
        </w:tc>
        <w:tc>
          <w:tcPr>
            <w:tcW w:w="246" w:type="dxa"/>
            <w:gridSpan w:val="2"/>
            <w:noWrap/>
            <w:vAlign w:val="bottom"/>
            <w:hideMark/>
          </w:tcPr>
          <w:p w14:paraId="19249694" w14:textId="77777777" w:rsidR="00817272" w:rsidRPr="00AD67C2" w:rsidRDefault="00817272" w:rsidP="003E0733"/>
        </w:tc>
        <w:tc>
          <w:tcPr>
            <w:tcW w:w="247" w:type="dxa"/>
            <w:noWrap/>
            <w:vAlign w:val="bottom"/>
            <w:hideMark/>
          </w:tcPr>
          <w:p w14:paraId="2BB16A55" w14:textId="77777777" w:rsidR="00817272" w:rsidRPr="00AD67C2" w:rsidRDefault="00817272" w:rsidP="003E0733"/>
        </w:tc>
        <w:tc>
          <w:tcPr>
            <w:tcW w:w="247" w:type="dxa"/>
            <w:noWrap/>
            <w:vAlign w:val="bottom"/>
            <w:hideMark/>
          </w:tcPr>
          <w:p w14:paraId="50490C0E" w14:textId="77777777" w:rsidR="00817272" w:rsidRPr="00AD67C2" w:rsidRDefault="00817272" w:rsidP="003E0733"/>
        </w:tc>
        <w:tc>
          <w:tcPr>
            <w:tcW w:w="247" w:type="dxa"/>
            <w:noWrap/>
            <w:vAlign w:val="bottom"/>
            <w:hideMark/>
          </w:tcPr>
          <w:p w14:paraId="1D605260" w14:textId="77777777" w:rsidR="00817272" w:rsidRPr="00AD67C2" w:rsidRDefault="00817272" w:rsidP="003E0733"/>
        </w:tc>
        <w:tc>
          <w:tcPr>
            <w:tcW w:w="247" w:type="dxa"/>
            <w:noWrap/>
            <w:vAlign w:val="bottom"/>
            <w:hideMark/>
          </w:tcPr>
          <w:p w14:paraId="1344E5D3" w14:textId="77777777" w:rsidR="00817272" w:rsidRPr="00AD67C2" w:rsidRDefault="00817272" w:rsidP="003E0733"/>
        </w:tc>
        <w:tc>
          <w:tcPr>
            <w:tcW w:w="247" w:type="dxa"/>
            <w:noWrap/>
            <w:vAlign w:val="bottom"/>
            <w:hideMark/>
          </w:tcPr>
          <w:p w14:paraId="553184ED" w14:textId="77777777" w:rsidR="00817272" w:rsidRPr="00AD67C2" w:rsidRDefault="00817272" w:rsidP="003E0733"/>
        </w:tc>
        <w:tc>
          <w:tcPr>
            <w:tcW w:w="305" w:type="dxa"/>
            <w:noWrap/>
            <w:vAlign w:val="bottom"/>
            <w:hideMark/>
          </w:tcPr>
          <w:p w14:paraId="67C5578E" w14:textId="77777777" w:rsidR="00817272" w:rsidRPr="00AD67C2" w:rsidRDefault="00817272" w:rsidP="003E0733"/>
        </w:tc>
      </w:tr>
      <w:tr w:rsidR="00817272" w:rsidRPr="00AD67C2" w14:paraId="4536D47F" w14:textId="77777777" w:rsidTr="00817272">
        <w:trPr>
          <w:trHeight w:val="277"/>
        </w:trPr>
        <w:tc>
          <w:tcPr>
            <w:tcW w:w="8880" w:type="dxa"/>
            <w:gridSpan w:val="37"/>
            <w:noWrap/>
            <w:vAlign w:val="bottom"/>
            <w:hideMark/>
          </w:tcPr>
          <w:p w14:paraId="1DF1181D" w14:textId="77777777" w:rsidR="00817272" w:rsidRPr="00AD67C2" w:rsidRDefault="00817272" w:rsidP="003E0733">
            <w:pPr>
              <w:jc w:val="center"/>
              <w:rPr>
                <w:rFonts w:ascii="Garamond" w:eastAsia="Times New Roman" w:hAnsi="Garamond" w:cs="Arial"/>
                <w:b/>
                <w:bCs/>
                <w:sz w:val="28"/>
                <w:szCs w:val="28"/>
              </w:rPr>
            </w:pPr>
            <w:r w:rsidRPr="00AD67C2">
              <w:rPr>
                <w:rFonts w:ascii="Garamond" w:eastAsia="Times New Roman" w:hAnsi="Garamond" w:cs="Arial"/>
                <w:b/>
                <w:bCs/>
                <w:sz w:val="28"/>
                <w:szCs w:val="28"/>
              </w:rPr>
              <w:t>Акт об оказании услуги</w:t>
            </w:r>
          </w:p>
        </w:tc>
      </w:tr>
      <w:tr w:rsidR="00817272" w:rsidRPr="00AD67C2" w14:paraId="2E4AAA2D" w14:textId="77777777" w:rsidTr="00817272">
        <w:trPr>
          <w:trHeight w:val="188"/>
        </w:trPr>
        <w:tc>
          <w:tcPr>
            <w:tcW w:w="8880" w:type="dxa"/>
            <w:gridSpan w:val="37"/>
            <w:noWrap/>
            <w:vAlign w:val="bottom"/>
            <w:hideMark/>
          </w:tcPr>
          <w:p w14:paraId="6382DC4F" w14:textId="77777777" w:rsidR="00817272" w:rsidRPr="00AD67C2" w:rsidRDefault="00817272" w:rsidP="003E0733">
            <w:pPr>
              <w:jc w:val="center"/>
              <w:rPr>
                <w:rFonts w:ascii="Garamond" w:eastAsia="Times New Roman" w:hAnsi="Garamond" w:cs="Arial"/>
              </w:rPr>
            </w:pPr>
            <w:r w:rsidRPr="00AD67C2">
              <w:rPr>
                <w:rFonts w:ascii="Garamond" w:eastAsia="Times New Roman" w:hAnsi="Garamond" w:cs="Arial"/>
              </w:rPr>
              <w:t xml:space="preserve">№      от </w:t>
            </w:r>
          </w:p>
        </w:tc>
      </w:tr>
      <w:tr w:rsidR="00817272" w:rsidRPr="00AD67C2" w14:paraId="6C608E24" w14:textId="77777777" w:rsidTr="00817272">
        <w:trPr>
          <w:trHeight w:val="167"/>
        </w:trPr>
        <w:tc>
          <w:tcPr>
            <w:tcW w:w="249" w:type="dxa"/>
            <w:noWrap/>
            <w:vAlign w:val="bottom"/>
            <w:hideMark/>
          </w:tcPr>
          <w:p w14:paraId="016F5446" w14:textId="77777777" w:rsidR="00817272" w:rsidRPr="00AD67C2" w:rsidRDefault="00817272" w:rsidP="003E0733">
            <w:pPr>
              <w:rPr>
                <w:rFonts w:ascii="Garamond" w:eastAsia="Times New Roman" w:hAnsi="Garamond" w:cs="Arial"/>
              </w:rPr>
            </w:pPr>
          </w:p>
        </w:tc>
        <w:tc>
          <w:tcPr>
            <w:tcW w:w="251" w:type="dxa"/>
            <w:noWrap/>
            <w:vAlign w:val="bottom"/>
            <w:hideMark/>
          </w:tcPr>
          <w:p w14:paraId="27009F54" w14:textId="77777777" w:rsidR="00817272" w:rsidRPr="00AD67C2" w:rsidRDefault="00817272" w:rsidP="003E0733"/>
        </w:tc>
        <w:tc>
          <w:tcPr>
            <w:tcW w:w="247" w:type="dxa"/>
            <w:noWrap/>
            <w:vAlign w:val="bottom"/>
            <w:hideMark/>
          </w:tcPr>
          <w:p w14:paraId="5DED1F33" w14:textId="77777777" w:rsidR="00817272" w:rsidRPr="00AD67C2" w:rsidRDefault="00817272" w:rsidP="003E0733"/>
        </w:tc>
        <w:tc>
          <w:tcPr>
            <w:tcW w:w="247" w:type="dxa"/>
            <w:noWrap/>
            <w:vAlign w:val="bottom"/>
            <w:hideMark/>
          </w:tcPr>
          <w:p w14:paraId="6CD2CA05" w14:textId="77777777" w:rsidR="00817272" w:rsidRPr="00AD67C2" w:rsidRDefault="00817272" w:rsidP="003E0733"/>
        </w:tc>
        <w:tc>
          <w:tcPr>
            <w:tcW w:w="247" w:type="dxa"/>
            <w:noWrap/>
            <w:vAlign w:val="bottom"/>
            <w:hideMark/>
          </w:tcPr>
          <w:p w14:paraId="6D9D05EB" w14:textId="77777777" w:rsidR="00817272" w:rsidRPr="00AD67C2" w:rsidRDefault="00817272" w:rsidP="003E0733"/>
        </w:tc>
        <w:tc>
          <w:tcPr>
            <w:tcW w:w="281" w:type="dxa"/>
            <w:noWrap/>
            <w:vAlign w:val="bottom"/>
            <w:hideMark/>
          </w:tcPr>
          <w:p w14:paraId="3BF8FBFC" w14:textId="77777777" w:rsidR="00817272" w:rsidRPr="00AD67C2" w:rsidRDefault="00817272" w:rsidP="003E0733"/>
        </w:tc>
        <w:tc>
          <w:tcPr>
            <w:tcW w:w="283" w:type="dxa"/>
            <w:noWrap/>
            <w:vAlign w:val="bottom"/>
            <w:hideMark/>
          </w:tcPr>
          <w:p w14:paraId="59E7D6E0" w14:textId="77777777" w:rsidR="00817272" w:rsidRPr="00AD67C2" w:rsidRDefault="00817272" w:rsidP="003E0733"/>
        </w:tc>
        <w:tc>
          <w:tcPr>
            <w:tcW w:w="305" w:type="dxa"/>
            <w:noWrap/>
            <w:vAlign w:val="bottom"/>
            <w:hideMark/>
          </w:tcPr>
          <w:p w14:paraId="2E2B3188" w14:textId="77777777" w:rsidR="00817272" w:rsidRPr="00AD67C2" w:rsidRDefault="00817272" w:rsidP="003E0733"/>
        </w:tc>
        <w:tc>
          <w:tcPr>
            <w:tcW w:w="247" w:type="dxa"/>
            <w:noWrap/>
            <w:vAlign w:val="bottom"/>
            <w:hideMark/>
          </w:tcPr>
          <w:p w14:paraId="4A18064C" w14:textId="77777777" w:rsidR="00817272" w:rsidRPr="00AD67C2" w:rsidRDefault="00817272" w:rsidP="003E0733"/>
        </w:tc>
        <w:tc>
          <w:tcPr>
            <w:tcW w:w="247" w:type="dxa"/>
            <w:noWrap/>
            <w:vAlign w:val="bottom"/>
            <w:hideMark/>
          </w:tcPr>
          <w:p w14:paraId="16B66DED" w14:textId="77777777" w:rsidR="00817272" w:rsidRPr="00AD67C2" w:rsidRDefault="00817272" w:rsidP="003E0733"/>
        </w:tc>
        <w:tc>
          <w:tcPr>
            <w:tcW w:w="247" w:type="dxa"/>
            <w:noWrap/>
            <w:vAlign w:val="bottom"/>
            <w:hideMark/>
          </w:tcPr>
          <w:p w14:paraId="6FA3C82E" w14:textId="77777777" w:rsidR="00817272" w:rsidRPr="00AD67C2" w:rsidRDefault="00817272" w:rsidP="003E0733"/>
        </w:tc>
        <w:tc>
          <w:tcPr>
            <w:tcW w:w="264" w:type="dxa"/>
            <w:noWrap/>
            <w:vAlign w:val="bottom"/>
            <w:hideMark/>
          </w:tcPr>
          <w:p w14:paraId="7943778E" w14:textId="77777777" w:rsidR="00817272" w:rsidRPr="00AD67C2" w:rsidRDefault="00817272" w:rsidP="003E0733"/>
        </w:tc>
        <w:tc>
          <w:tcPr>
            <w:tcW w:w="263" w:type="dxa"/>
            <w:noWrap/>
            <w:vAlign w:val="bottom"/>
            <w:hideMark/>
          </w:tcPr>
          <w:p w14:paraId="2C4E83B0" w14:textId="77777777" w:rsidR="00817272" w:rsidRPr="00AD67C2" w:rsidRDefault="00817272" w:rsidP="003E0733"/>
        </w:tc>
        <w:tc>
          <w:tcPr>
            <w:tcW w:w="263" w:type="dxa"/>
            <w:noWrap/>
            <w:vAlign w:val="bottom"/>
            <w:hideMark/>
          </w:tcPr>
          <w:p w14:paraId="5B1ECF94" w14:textId="77777777" w:rsidR="00817272" w:rsidRPr="00AD67C2" w:rsidRDefault="00817272" w:rsidP="003E0733"/>
        </w:tc>
        <w:tc>
          <w:tcPr>
            <w:tcW w:w="262" w:type="dxa"/>
            <w:noWrap/>
            <w:vAlign w:val="bottom"/>
            <w:hideMark/>
          </w:tcPr>
          <w:p w14:paraId="480E3609" w14:textId="77777777" w:rsidR="00817272" w:rsidRPr="00AD67C2" w:rsidRDefault="00817272" w:rsidP="003E0733"/>
        </w:tc>
        <w:tc>
          <w:tcPr>
            <w:tcW w:w="262" w:type="dxa"/>
            <w:noWrap/>
            <w:vAlign w:val="bottom"/>
            <w:hideMark/>
          </w:tcPr>
          <w:p w14:paraId="643BC5DE" w14:textId="77777777" w:rsidR="00817272" w:rsidRPr="00AD67C2" w:rsidRDefault="00817272" w:rsidP="003E0733"/>
        </w:tc>
        <w:tc>
          <w:tcPr>
            <w:tcW w:w="305" w:type="dxa"/>
            <w:noWrap/>
            <w:vAlign w:val="bottom"/>
            <w:hideMark/>
          </w:tcPr>
          <w:p w14:paraId="6422C43E" w14:textId="77777777" w:rsidR="00817272" w:rsidRPr="00AD67C2" w:rsidRDefault="00817272" w:rsidP="003E0733"/>
        </w:tc>
        <w:tc>
          <w:tcPr>
            <w:tcW w:w="261" w:type="dxa"/>
            <w:gridSpan w:val="2"/>
            <w:noWrap/>
            <w:vAlign w:val="bottom"/>
            <w:hideMark/>
          </w:tcPr>
          <w:p w14:paraId="24CF5C43" w14:textId="77777777" w:rsidR="00817272" w:rsidRPr="00AD67C2" w:rsidRDefault="00817272" w:rsidP="003E0733"/>
        </w:tc>
        <w:tc>
          <w:tcPr>
            <w:tcW w:w="247" w:type="dxa"/>
            <w:gridSpan w:val="2"/>
            <w:noWrap/>
            <w:vAlign w:val="bottom"/>
            <w:hideMark/>
          </w:tcPr>
          <w:p w14:paraId="421332BB" w14:textId="77777777" w:rsidR="00817272" w:rsidRPr="00AD67C2" w:rsidRDefault="00817272" w:rsidP="003E0733"/>
        </w:tc>
        <w:tc>
          <w:tcPr>
            <w:tcW w:w="247" w:type="dxa"/>
            <w:noWrap/>
            <w:vAlign w:val="bottom"/>
            <w:hideMark/>
          </w:tcPr>
          <w:p w14:paraId="758E1934" w14:textId="77777777" w:rsidR="00817272" w:rsidRPr="00AD67C2" w:rsidRDefault="00817272" w:rsidP="003E0733"/>
        </w:tc>
        <w:tc>
          <w:tcPr>
            <w:tcW w:w="247" w:type="dxa"/>
            <w:noWrap/>
            <w:vAlign w:val="bottom"/>
            <w:hideMark/>
          </w:tcPr>
          <w:p w14:paraId="6769E7F5" w14:textId="77777777" w:rsidR="00817272" w:rsidRPr="00AD67C2" w:rsidRDefault="00817272" w:rsidP="003E0733"/>
        </w:tc>
        <w:tc>
          <w:tcPr>
            <w:tcW w:w="247" w:type="dxa"/>
            <w:noWrap/>
            <w:vAlign w:val="bottom"/>
            <w:hideMark/>
          </w:tcPr>
          <w:p w14:paraId="64F49CCF" w14:textId="77777777" w:rsidR="00817272" w:rsidRPr="00AD67C2" w:rsidRDefault="00817272" w:rsidP="003E0733"/>
        </w:tc>
        <w:tc>
          <w:tcPr>
            <w:tcW w:w="247" w:type="dxa"/>
            <w:noWrap/>
            <w:vAlign w:val="bottom"/>
            <w:hideMark/>
          </w:tcPr>
          <w:p w14:paraId="1730A63D" w14:textId="77777777" w:rsidR="00817272" w:rsidRPr="00AD67C2" w:rsidRDefault="00817272" w:rsidP="003E0733"/>
        </w:tc>
        <w:tc>
          <w:tcPr>
            <w:tcW w:w="247" w:type="dxa"/>
            <w:noWrap/>
            <w:vAlign w:val="bottom"/>
            <w:hideMark/>
          </w:tcPr>
          <w:p w14:paraId="4066415C" w14:textId="77777777" w:rsidR="00817272" w:rsidRPr="00AD67C2" w:rsidRDefault="00817272" w:rsidP="003E0733"/>
        </w:tc>
        <w:tc>
          <w:tcPr>
            <w:tcW w:w="305" w:type="dxa"/>
            <w:noWrap/>
            <w:vAlign w:val="bottom"/>
            <w:hideMark/>
          </w:tcPr>
          <w:p w14:paraId="2DE6400A" w14:textId="77777777" w:rsidR="00817272" w:rsidRPr="00AD67C2" w:rsidRDefault="00817272" w:rsidP="003E0733"/>
        </w:tc>
        <w:tc>
          <w:tcPr>
            <w:tcW w:w="280" w:type="dxa"/>
            <w:noWrap/>
            <w:vAlign w:val="bottom"/>
            <w:hideMark/>
          </w:tcPr>
          <w:p w14:paraId="75337C66" w14:textId="77777777" w:rsidR="00817272" w:rsidRPr="00AD67C2" w:rsidRDefault="00817272" w:rsidP="003E0733"/>
        </w:tc>
        <w:tc>
          <w:tcPr>
            <w:tcW w:w="279" w:type="dxa"/>
            <w:noWrap/>
            <w:vAlign w:val="bottom"/>
            <w:hideMark/>
          </w:tcPr>
          <w:p w14:paraId="53383ACE" w14:textId="77777777" w:rsidR="00817272" w:rsidRPr="00AD67C2" w:rsidRDefault="00817272" w:rsidP="003E0733"/>
        </w:tc>
        <w:tc>
          <w:tcPr>
            <w:tcW w:w="246" w:type="dxa"/>
            <w:gridSpan w:val="2"/>
            <w:noWrap/>
            <w:vAlign w:val="bottom"/>
            <w:hideMark/>
          </w:tcPr>
          <w:p w14:paraId="2F34E474" w14:textId="77777777" w:rsidR="00817272" w:rsidRPr="00AD67C2" w:rsidRDefault="00817272" w:rsidP="003E0733"/>
        </w:tc>
        <w:tc>
          <w:tcPr>
            <w:tcW w:w="247" w:type="dxa"/>
            <w:noWrap/>
            <w:vAlign w:val="bottom"/>
            <w:hideMark/>
          </w:tcPr>
          <w:p w14:paraId="1B2CF409" w14:textId="77777777" w:rsidR="00817272" w:rsidRPr="00AD67C2" w:rsidRDefault="00817272" w:rsidP="003E0733"/>
        </w:tc>
        <w:tc>
          <w:tcPr>
            <w:tcW w:w="247" w:type="dxa"/>
            <w:noWrap/>
            <w:vAlign w:val="bottom"/>
            <w:hideMark/>
          </w:tcPr>
          <w:p w14:paraId="269AB219" w14:textId="77777777" w:rsidR="00817272" w:rsidRPr="00AD67C2" w:rsidRDefault="00817272" w:rsidP="003E0733"/>
        </w:tc>
        <w:tc>
          <w:tcPr>
            <w:tcW w:w="247" w:type="dxa"/>
            <w:noWrap/>
            <w:vAlign w:val="bottom"/>
            <w:hideMark/>
          </w:tcPr>
          <w:p w14:paraId="17AF1EBC" w14:textId="77777777" w:rsidR="00817272" w:rsidRPr="00AD67C2" w:rsidRDefault="00817272" w:rsidP="003E0733"/>
        </w:tc>
        <w:tc>
          <w:tcPr>
            <w:tcW w:w="247" w:type="dxa"/>
            <w:noWrap/>
            <w:vAlign w:val="bottom"/>
            <w:hideMark/>
          </w:tcPr>
          <w:p w14:paraId="343AC7DF" w14:textId="77777777" w:rsidR="00817272" w:rsidRPr="00AD67C2" w:rsidRDefault="00817272" w:rsidP="003E0733"/>
        </w:tc>
        <w:tc>
          <w:tcPr>
            <w:tcW w:w="247" w:type="dxa"/>
            <w:noWrap/>
            <w:vAlign w:val="bottom"/>
            <w:hideMark/>
          </w:tcPr>
          <w:p w14:paraId="4E128AFB" w14:textId="77777777" w:rsidR="00817272" w:rsidRPr="00AD67C2" w:rsidRDefault="00817272" w:rsidP="003E0733"/>
        </w:tc>
        <w:tc>
          <w:tcPr>
            <w:tcW w:w="305" w:type="dxa"/>
            <w:noWrap/>
            <w:vAlign w:val="bottom"/>
            <w:hideMark/>
          </w:tcPr>
          <w:p w14:paraId="386A9846" w14:textId="77777777" w:rsidR="00817272" w:rsidRPr="00AD67C2" w:rsidRDefault="00817272" w:rsidP="003E0733"/>
        </w:tc>
      </w:tr>
      <w:tr w:rsidR="00817272" w:rsidRPr="00AD67C2" w14:paraId="7EC5C6C3" w14:textId="77777777" w:rsidTr="00817272">
        <w:trPr>
          <w:trHeight w:val="225"/>
        </w:trPr>
        <w:tc>
          <w:tcPr>
            <w:tcW w:w="8880" w:type="dxa"/>
            <w:gridSpan w:val="37"/>
            <w:vMerge w:val="restart"/>
            <w:vAlign w:val="center"/>
            <w:hideMark/>
          </w:tcPr>
          <w:p w14:paraId="4F39FDAD" w14:textId="3095EEC6" w:rsidR="00817272" w:rsidRPr="00353322" w:rsidRDefault="00817272" w:rsidP="00254029">
            <w:pPr>
              <w:rPr>
                <w:rFonts w:ascii="Garamond" w:eastAsia="Times New Roman" w:hAnsi="Garamond" w:cs="Arial"/>
              </w:rPr>
            </w:pPr>
            <w:r w:rsidRPr="00353322">
              <w:rPr>
                <w:rFonts w:ascii="Garamond" w:eastAsia="Times New Roman" w:hAnsi="Garamond" w:cs="Arial"/>
              </w:rPr>
              <w:t xml:space="preserve">      АО </w:t>
            </w:r>
            <w:r w:rsidR="00BC4FC4" w:rsidRPr="00353322">
              <w:rPr>
                <w:rFonts w:ascii="Garamond" w:eastAsia="Times New Roman" w:hAnsi="Garamond" w:cs="Arial"/>
              </w:rPr>
              <w:t>«</w:t>
            </w:r>
            <w:r w:rsidRPr="00353322">
              <w:rPr>
                <w:rFonts w:ascii="Garamond" w:eastAsia="Times New Roman" w:hAnsi="Garamond" w:cs="Arial"/>
              </w:rPr>
              <w:t>АТС</w:t>
            </w:r>
            <w:r w:rsidR="00BC4FC4" w:rsidRPr="00353322">
              <w:rPr>
                <w:rFonts w:ascii="Garamond" w:eastAsia="Times New Roman" w:hAnsi="Garamond" w:cs="Arial"/>
              </w:rPr>
              <w:t>»</w:t>
            </w:r>
            <w:r w:rsidRPr="00353322">
              <w:rPr>
                <w:rFonts w:ascii="Garamond" w:eastAsia="Times New Roman" w:hAnsi="Garamond" w:cs="Arial"/>
              </w:rPr>
              <w:t xml:space="preserve"> в лице _________________, действующей на основании доверенности №</w:t>
            </w:r>
            <w:r w:rsidR="00254029" w:rsidRPr="00353322">
              <w:rPr>
                <w:rFonts w:ascii="Garamond" w:eastAsia="Times New Roman" w:hAnsi="Garamond" w:cs="Arial"/>
              </w:rPr>
              <w:t xml:space="preserve"> </w:t>
            </w:r>
            <w:r w:rsidRPr="00353322">
              <w:rPr>
                <w:rFonts w:ascii="Garamond" w:eastAsia="Times New Roman" w:hAnsi="Garamond" w:cs="Arial"/>
              </w:rPr>
              <w:t xml:space="preserve">______ от ____ с одной стороны, и __________, именуемый в дальнейшем </w:t>
            </w:r>
            <w:r w:rsidR="00BC4FC4" w:rsidRPr="00353322">
              <w:rPr>
                <w:rFonts w:ascii="Garamond" w:eastAsia="Times New Roman" w:hAnsi="Garamond" w:cs="Arial"/>
              </w:rPr>
              <w:t>«</w:t>
            </w:r>
            <w:r w:rsidRPr="00353322">
              <w:rPr>
                <w:rFonts w:ascii="Garamond" w:eastAsia="Times New Roman" w:hAnsi="Garamond" w:cs="Arial"/>
              </w:rPr>
              <w:t>Заявитель</w:t>
            </w:r>
            <w:r w:rsidR="00BC4FC4" w:rsidRPr="00353322">
              <w:rPr>
                <w:rFonts w:ascii="Garamond" w:eastAsia="Times New Roman" w:hAnsi="Garamond" w:cs="Arial"/>
              </w:rPr>
              <w:t>»</w:t>
            </w:r>
            <w:r w:rsidR="00254029" w:rsidRPr="00353322">
              <w:rPr>
                <w:rFonts w:ascii="Garamond" w:eastAsia="Times New Roman" w:hAnsi="Garamond" w:cs="Arial"/>
              </w:rPr>
              <w:t>, в лице _____________________</w:t>
            </w:r>
            <w:r w:rsidRPr="00353322">
              <w:rPr>
                <w:rFonts w:ascii="Garamond" w:eastAsia="Times New Roman" w:hAnsi="Garamond" w:cs="Arial"/>
              </w:rPr>
              <w:t>, действующего на основании _______________ с другой стороны,</w:t>
            </w:r>
          </w:p>
        </w:tc>
      </w:tr>
      <w:tr w:rsidR="00817272" w:rsidRPr="00AD67C2" w14:paraId="02C7D48A" w14:textId="77777777" w:rsidTr="00817272">
        <w:trPr>
          <w:trHeight w:val="423"/>
        </w:trPr>
        <w:tc>
          <w:tcPr>
            <w:tcW w:w="0" w:type="auto"/>
            <w:gridSpan w:val="37"/>
            <w:vMerge/>
            <w:vAlign w:val="center"/>
            <w:hideMark/>
          </w:tcPr>
          <w:p w14:paraId="04671CC8" w14:textId="77777777" w:rsidR="00817272" w:rsidRPr="00353322" w:rsidRDefault="00817272" w:rsidP="003E0733">
            <w:pPr>
              <w:rPr>
                <w:rFonts w:ascii="Garamond" w:eastAsia="Times New Roman" w:hAnsi="Garamond" w:cs="Arial"/>
              </w:rPr>
            </w:pPr>
          </w:p>
        </w:tc>
      </w:tr>
      <w:tr w:rsidR="00817272" w:rsidRPr="00AD67C2" w14:paraId="4D787ED2" w14:textId="77777777" w:rsidTr="00817272">
        <w:trPr>
          <w:trHeight w:val="423"/>
        </w:trPr>
        <w:tc>
          <w:tcPr>
            <w:tcW w:w="0" w:type="auto"/>
            <w:gridSpan w:val="37"/>
            <w:vMerge/>
            <w:vAlign w:val="center"/>
            <w:hideMark/>
          </w:tcPr>
          <w:p w14:paraId="4731683B" w14:textId="77777777" w:rsidR="00817272" w:rsidRPr="00353322" w:rsidRDefault="00817272" w:rsidP="003E0733">
            <w:pPr>
              <w:rPr>
                <w:rFonts w:ascii="Garamond" w:eastAsia="Times New Roman" w:hAnsi="Garamond" w:cs="Arial"/>
              </w:rPr>
            </w:pPr>
          </w:p>
        </w:tc>
      </w:tr>
      <w:tr w:rsidR="00817272" w:rsidRPr="00AD67C2" w14:paraId="57FB870A" w14:textId="77777777" w:rsidTr="00817272">
        <w:trPr>
          <w:trHeight w:val="423"/>
        </w:trPr>
        <w:tc>
          <w:tcPr>
            <w:tcW w:w="0" w:type="auto"/>
            <w:gridSpan w:val="37"/>
            <w:vMerge/>
            <w:vAlign w:val="center"/>
            <w:hideMark/>
          </w:tcPr>
          <w:p w14:paraId="22A61189" w14:textId="77777777" w:rsidR="00817272" w:rsidRPr="00353322" w:rsidRDefault="00817272" w:rsidP="003E0733">
            <w:pPr>
              <w:rPr>
                <w:rFonts w:ascii="Garamond" w:eastAsia="Times New Roman" w:hAnsi="Garamond" w:cs="Arial"/>
              </w:rPr>
            </w:pPr>
          </w:p>
        </w:tc>
      </w:tr>
      <w:tr w:rsidR="00817272" w:rsidRPr="00AD67C2" w14:paraId="133CEA67" w14:textId="77777777" w:rsidTr="00817272">
        <w:trPr>
          <w:trHeight w:val="423"/>
        </w:trPr>
        <w:tc>
          <w:tcPr>
            <w:tcW w:w="0" w:type="auto"/>
            <w:gridSpan w:val="37"/>
            <w:vMerge/>
            <w:vAlign w:val="center"/>
            <w:hideMark/>
          </w:tcPr>
          <w:p w14:paraId="67787567" w14:textId="77777777" w:rsidR="00817272" w:rsidRPr="00353322" w:rsidRDefault="00817272" w:rsidP="003E0733">
            <w:pPr>
              <w:rPr>
                <w:rFonts w:ascii="Garamond" w:eastAsia="Times New Roman" w:hAnsi="Garamond" w:cs="Arial"/>
              </w:rPr>
            </w:pPr>
          </w:p>
        </w:tc>
      </w:tr>
      <w:tr w:rsidR="00817272" w:rsidRPr="00AD67C2" w14:paraId="67BF6B3E" w14:textId="77777777" w:rsidTr="00817272">
        <w:trPr>
          <w:trHeight w:val="167"/>
        </w:trPr>
        <w:tc>
          <w:tcPr>
            <w:tcW w:w="249" w:type="dxa"/>
            <w:noWrap/>
            <w:vAlign w:val="bottom"/>
            <w:hideMark/>
          </w:tcPr>
          <w:p w14:paraId="22F9402B" w14:textId="77777777" w:rsidR="00817272" w:rsidRPr="00AD67C2" w:rsidRDefault="00817272" w:rsidP="003E0733">
            <w:pPr>
              <w:rPr>
                <w:rFonts w:ascii="Garamond" w:eastAsia="Times New Roman" w:hAnsi="Garamond" w:cs="Arial"/>
              </w:rPr>
            </w:pPr>
          </w:p>
        </w:tc>
        <w:tc>
          <w:tcPr>
            <w:tcW w:w="251" w:type="dxa"/>
            <w:noWrap/>
            <w:vAlign w:val="bottom"/>
            <w:hideMark/>
          </w:tcPr>
          <w:p w14:paraId="4F1F87CA" w14:textId="77777777" w:rsidR="00817272" w:rsidRPr="00AD67C2" w:rsidRDefault="00817272" w:rsidP="003E0733"/>
        </w:tc>
        <w:tc>
          <w:tcPr>
            <w:tcW w:w="247" w:type="dxa"/>
            <w:noWrap/>
            <w:vAlign w:val="bottom"/>
            <w:hideMark/>
          </w:tcPr>
          <w:p w14:paraId="07A925E1" w14:textId="77777777" w:rsidR="00817272" w:rsidRPr="00AD67C2" w:rsidRDefault="00817272" w:rsidP="003E0733"/>
        </w:tc>
        <w:tc>
          <w:tcPr>
            <w:tcW w:w="247" w:type="dxa"/>
            <w:noWrap/>
            <w:vAlign w:val="bottom"/>
            <w:hideMark/>
          </w:tcPr>
          <w:p w14:paraId="7F1EE5E0" w14:textId="77777777" w:rsidR="00817272" w:rsidRPr="00AD67C2" w:rsidRDefault="00817272" w:rsidP="003E0733"/>
        </w:tc>
        <w:tc>
          <w:tcPr>
            <w:tcW w:w="247" w:type="dxa"/>
            <w:noWrap/>
            <w:vAlign w:val="bottom"/>
            <w:hideMark/>
          </w:tcPr>
          <w:p w14:paraId="5F65CAF8" w14:textId="77777777" w:rsidR="00817272" w:rsidRPr="00AD67C2" w:rsidRDefault="00817272" w:rsidP="003E0733"/>
        </w:tc>
        <w:tc>
          <w:tcPr>
            <w:tcW w:w="281" w:type="dxa"/>
            <w:noWrap/>
            <w:vAlign w:val="bottom"/>
            <w:hideMark/>
          </w:tcPr>
          <w:p w14:paraId="5F286B07" w14:textId="77777777" w:rsidR="00817272" w:rsidRPr="00AD67C2" w:rsidRDefault="00817272" w:rsidP="003E0733"/>
        </w:tc>
        <w:tc>
          <w:tcPr>
            <w:tcW w:w="283" w:type="dxa"/>
            <w:noWrap/>
            <w:vAlign w:val="bottom"/>
            <w:hideMark/>
          </w:tcPr>
          <w:p w14:paraId="2C9ECAB4" w14:textId="77777777" w:rsidR="00817272" w:rsidRPr="00AD67C2" w:rsidRDefault="00817272" w:rsidP="003E0733"/>
        </w:tc>
        <w:tc>
          <w:tcPr>
            <w:tcW w:w="305" w:type="dxa"/>
            <w:noWrap/>
            <w:vAlign w:val="bottom"/>
            <w:hideMark/>
          </w:tcPr>
          <w:p w14:paraId="62D32917" w14:textId="77777777" w:rsidR="00817272" w:rsidRPr="00AD67C2" w:rsidRDefault="00817272" w:rsidP="003E0733"/>
        </w:tc>
        <w:tc>
          <w:tcPr>
            <w:tcW w:w="247" w:type="dxa"/>
            <w:noWrap/>
            <w:vAlign w:val="bottom"/>
            <w:hideMark/>
          </w:tcPr>
          <w:p w14:paraId="59DC3F0E" w14:textId="77777777" w:rsidR="00817272" w:rsidRPr="00AD67C2" w:rsidRDefault="00817272" w:rsidP="003E0733"/>
        </w:tc>
        <w:tc>
          <w:tcPr>
            <w:tcW w:w="247" w:type="dxa"/>
            <w:noWrap/>
            <w:vAlign w:val="bottom"/>
            <w:hideMark/>
          </w:tcPr>
          <w:p w14:paraId="716BE4E8" w14:textId="77777777" w:rsidR="00817272" w:rsidRPr="00AD67C2" w:rsidRDefault="00817272" w:rsidP="003E0733"/>
        </w:tc>
        <w:tc>
          <w:tcPr>
            <w:tcW w:w="247" w:type="dxa"/>
            <w:noWrap/>
            <w:vAlign w:val="bottom"/>
            <w:hideMark/>
          </w:tcPr>
          <w:p w14:paraId="53399CE7" w14:textId="77777777" w:rsidR="00817272" w:rsidRPr="00AD67C2" w:rsidRDefault="00817272" w:rsidP="003E0733"/>
        </w:tc>
        <w:tc>
          <w:tcPr>
            <w:tcW w:w="264" w:type="dxa"/>
            <w:noWrap/>
            <w:vAlign w:val="bottom"/>
            <w:hideMark/>
          </w:tcPr>
          <w:p w14:paraId="6445373D" w14:textId="77777777" w:rsidR="00817272" w:rsidRPr="00AD67C2" w:rsidRDefault="00817272" w:rsidP="003E0733"/>
        </w:tc>
        <w:tc>
          <w:tcPr>
            <w:tcW w:w="263" w:type="dxa"/>
            <w:noWrap/>
            <w:vAlign w:val="bottom"/>
            <w:hideMark/>
          </w:tcPr>
          <w:p w14:paraId="4E64F986" w14:textId="77777777" w:rsidR="00817272" w:rsidRPr="00AD67C2" w:rsidRDefault="00817272" w:rsidP="003E0733"/>
        </w:tc>
        <w:tc>
          <w:tcPr>
            <w:tcW w:w="263" w:type="dxa"/>
            <w:noWrap/>
            <w:vAlign w:val="bottom"/>
            <w:hideMark/>
          </w:tcPr>
          <w:p w14:paraId="12C565C5" w14:textId="77777777" w:rsidR="00817272" w:rsidRPr="00AD67C2" w:rsidRDefault="00817272" w:rsidP="003E0733"/>
        </w:tc>
        <w:tc>
          <w:tcPr>
            <w:tcW w:w="262" w:type="dxa"/>
            <w:noWrap/>
            <w:vAlign w:val="bottom"/>
            <w:hideMark/>
          </w:tcPr>
          <w:p w14:paraId="39DDF31C" w14:textId="77777777" w:rsidR="00817272" w:rsidRPr="00AD67C2" w:rsidRDefault="00817272" w:rsidP="003E0733"/>
        </w:tc>
        <w:tc>
          <w:tcPr>
            <w:tcW w:w="262" w:type="dxa"/>
            <w:noWrap/>
            <w:vAlign w:val="bottom"/>
            <w:hideMark/>
          </w:tcPr>
          <w:p w14:paraId="12C44A06" w14:textId="77777777" w:rsidR="00817272" w:rsidRPr="00353322" w:rsidRDefault="00817272" w:rsidP="003E0733"/>
        </w:tc>
        <w:tc>
          <w:tcPr>
            <w:tcW w:w="305" w:type="dxa"/>
            <w:noWrap/>
            <w:vAlign w:val="bottom"/>
            <w:hideMark/>
          </w:tcPr>
          <w:p w14:paraId="0F587B49" w14:textId="77777777" w:rsidR="00817272" w:rsidRPr="00AD67C2" w:rsidRDefault="00817272" w:rsidP="003E0733"/>
        </w:tc>
        <w:tc>
          <w:tcPr>
            <w:tcW w:w="261" w:type="dxa"/>
            <w:gridSpan w:val="2"/>
            <w:noWrap/>
            <w:vAlign w:val="bottom"/>
            <w:hideMark/>
          </w:tcPr>
          <w:p w14:paraId="507E4E59" w14:textId="77777777" w:rsidR="00817272" w:rsidRPr="00AD67C2" w:rsidRDefault="00817272" w:rsidP="003E0733"/>
        </w:tc>
        <w:tc>
          <w:tcPr>
            <w:tcW w:w="247" w:type="dxa"/>
            <w:gridSpan w:val="2"/>
            <w:noWrap/>
            <w:vAlign w:val="bottom"/>
            <w:hideMark/>
          </w:tcPr>
          <w:p w14:paraId="18909A54" w14:textId="77777777" w:rsidR="00817272" w:rsidRPr="00AD67C2" w:rsidRDefault="00817272" w:rsidP="003E0733"/>
        </w:tc>
        <w:tc>
          <w:tcPr>
            <w:tcW w:w="247" w:type="dxa"/>
            <w:noWrap/>
            <w:vAlign w:val="bottom"/>
            <w:hideMark/>
          </w:tcPr>
          <w:p w14:paraId="7E7D54DD" w14:textId="77777777" w:rsidR="00817272" w:rsidRPr="00AD67C2" w:rsidRDefault="00817272" w:rsidP="003E0733"/>
        </w:tc>
        <w:tc>
          <w:tcPr>
            <w:tcW w:w="247" w:type="dxa"/>
            <w:noWrap/>
            <w:vAlign w:val="bottom"/>
            <w:hideMark/>
          </w:tcPr>
          <w:p w14:paraId="292DA603" w14:textId="77777777" w:rsidR="00817272" w:rsidRPr="00AD67C2" w:rsidRDefault="00817272" w:rsidP="003E0733"/>
        </w:tc>
        <w:tc>
          <w:tcPr>
            <w:tcW w:w="247" w:type="dxa"/>
            <w:noWrap/>
            <w:vAlign w:val="bottom"/>
            <w:hideMark/>
          </w:tcPr>
          <w:p w14:paraId="57468127" w14:textId="77777777" w:rsidR="00817272" w:rsidRPr="00AD67C2" w:rsidRDefault="00817272" w:rsidP="003E0733"/>
        </w:tc>
        <w:tc>
          <w:tcPr>
            <w:tcW w:w="247" w:type="dxa"/>
            <w:noWrap/>
            <w:vAlign w:val="bottom"/>
            <w:hideMark/>
          </w:tcPr>
          <w:p w14:paraId="46D59A9F" w14:textId="77777777" w:rsidR="00817272" w:rsidRPr="00AD67C2" w:rsidRDefault="00817272" w:rsidP="003E0733"/>
        </w:tc>
        <w:tc>
          <w:tcPr>
            <w:tcW w:w="247" w:type="dxa"/>
            <w:noWrap/>
            <w:vAlign w:val="bottom"/>
            <w:hideMark/>
          </w:tcPr>
          <w:p w14:paraId="0B999D5B" w14:textId="77777777" w:rsidR="00817272" w:rsidRPr="00AD67C2" w:rsidRDefault="00817272" w:rsidP="003E0733"/>
        </w:tc>
        <w:tc>
          <w:tcPr>
            <w:tcW w:w="305" w:type="dxa"/>
            <w:noWrap/>
            <w:vAlign w:val="bottom"/>
            <w:hideMark/>
          </w:tcPr>
          <w:p w14:paraId="1F366C80" w14:textId="77777777" w:rsidR="00817272" w:rsidRPr="00AD67C2" w:rsidRDefault="00817272" w:rsidP="003E0733"/>
        </w:tc>
        <w:tc>
          <w:tcPr>
            <w:tcW w:w="280" w:type="dxa"/>
            <w:noWrap/>
            <w:vAlign w:val="bottom"/>
            <w:hideMark/>
          </w:tcPr>
          <w:p w14:paraId="05ED2612" w14:textId="77777777" w:rsidR="00817272" w:rsidRPr="00AD67C2" w:rsidRDefault="00817272" w:rsidP="003E0733"/>
        </w:tc>
        <w:tc>
          <w:tcPr>
            <w:tcW w:w="279" w:type="dxa"/>
            <w:noWrap/>
            <w:vAlign w:val="bottom"/>
            <w:hideMark/>
          </w:tcPr>
          <w:p w14:paraId="75DA4386" w14:textId="77777777" w:rsidR="00817272" w:rsidRPr="00AD67C2" w:rsidRDefault="00817272" w:rsidP="003E0733"/>
        </w:tc>
        <w:tc>
          <w:tcPr>
            <w:tcW w:w="246" w:type="dxa"/>
            <w:gridSpan w:val="2"/>
            <w:noWrap/>
            <w:vAlign w:val="bottom"/>
            <w:hideMark/>
          </w:tcPr>
          <w:p w14:paraId="515D545B" w14:textId="77777777" w:rsidR="00817272" w:rsidRPr="00AD67C2" w:rsidRDefault="00817272" w:rsidP="003E0733"/>
        </w:tc>
        <w:tc>
          <w:tcPr>
            <w:tcW w:w="247" w:type="dxa"/>
            <w:noWrap/>
            <w:vAlign w:val="bottom"/>
            <w:hideMark/>
          </w:tcPr>
          <w:p w14:paraId="0479F776" w14:textId="77777777" w:rsidR="00817272" w:rsidRPr="00AD67C2" w:rsidRDefault="00817272" w:rsidP="003E0733"/>
        </w:tc>
        <w:tc>
          <w:tcPr>
            <w:tcW w:w="247" w:type="dxa"/>
            <w:noWrap/>
            <w:vAlign w:val="bottom"/>
            <w:hideMark/>
          </w:tcPr>
          <w:p w14:paraId="56171985" w14:textId="77777777" w:rsidR="00817272" w:rsidRPr="00AD67C2" w:rsidRDefault="00817272" w:rsidP="003E0733"/>
        </w:tc>
        <w:tc>
          <w:tcPr>
            <w:tcW w:w="247" w:type="dxa"/>
            <w:noWrap/>
            <w:vAlign w:val="bottom"/>
            <w:hideMark/>
          </w:tcPr>
          <w:p w14:paraId="4F3AF13C" w14:textId="77777777" w:rsidR="00817272" w:rsidRPr="00AD67C2" w:rsidRDefault="00817272" w:rsidP="003E0733"/>
        </w:tc>
        <w:tc>
          <w:tcPr>
            <w:tcW w:w="247" w:type="dxa"/>
            <w:noWrap/>
            <w:vAlign w:val="bottom"/>
            <w:hideMark/>
          </w:tcPr>
          <w:p w14:paraId="2345768C" w14:textId="77777777" w:rsidR="00817272" w:rsidRPr="00AD67C2" w:rsidRDefault="00817272" w:rsidP="003E0733"/>
        </w:tc>
        <w:tc>
          <w:tcPr>
            <w:tcW w:w="247" w:type="dxa"/>
            <w:noWrap/>
            <w:vAlign w:val="bottom"/>
            <w:hideMark/>
          </w:tcPr>
          <w:p w14:paraId="3AE193FA" w14:textId="77777777" w:rsidR="00817272" w:rsidRPr="00AD67C2" w:rsidRDefault="00817272" w:rsidP="003E0733"/>
        </w:tc>
        <w:tc>
          <w:tcPr>
            <w:tcW w:w="305" w:type="dxa"/>
            <w:noWrap/>
            <w:vAlign w:val="bottom"/>
            <w:hideMark/>
          </w:tcPr>
          <w:p w14:paraId="7AF6C3B8" w14:textId="77777777" w:rsidR="00817272" w:rsidRPr="00AD67C2" w:rsidRDefault="00817272" w:rsidP="003E0733"/>
        </w:tc>
      </w:tr>
      <w:tr w:rsidR="00817272" w:rsidRPr="00AD67C2" w14:paraId="5BC72A6A" w14:textId="77777777" w:rsidTr="00817272">
        <w:trPr>
          <w:trHeight w:val="188"/>
        </w:trPr>
        <w:tc>
          <w:tcPr>
            <w:tcW w:w="8880" w:type="dxa"/>
            <w:gridSpan w:val="37"/>
            <w:noWrap/>
            <w:vAlign w:val="bottom"/>
            <w:hideMark/>
          </w:tcPr>
          <w:p w14:paraId="35821E0A" w14:textId="77777777" w:rsidR="00817272" w:rsidRPr="00353322" w:rsidRDefault="00817272" w:rsidP="003E0733">
            <w:pPr>
              <w:jc w:val="center"/>
              <w:rPr>
                <w:rFonts w:ascii="Garamond" w:eastAsia="Times New Roman" w:hAnsi="Garamond" w:cs="Arial"/>
                <w:b/>
                <w:bCs/>
                <w:i/>
                <w:iCs/>
              </w:rPr>
            </w:pPr>
            <w:r w:rsidRPr="00353322">
              <w:rPr>
                <w:rFonts w:ascii="Garamond" w:eastAsia="Times New Roman" w:hAnsi="Garamond" w:cs="Arial"/>
                <w:b/>
                <w:bCs/>
                <w:i/>
                <w:iCs/>
              </w:rPr>
              <w:t>составили настоящий акт о том, что</w:t>
            </w:r>
          </w:p>
        </w:tc>
      </w:tr>
      <w:tr w:rsidR="00817272" w:rsidRPr="00AD67C2" w14:paraId="42C4C441" w14:textId="77777777" w:rsidTr="00817272">
        <w:trPr>
          <w:trHeight w:val="167"/>
        </w:trPr>
        <w:tc>
          <w:tcPr>
            <w:tcW w:w="249" w:type="dxa"/>
            <w:noWrap/>
            <w:vAlign w:val="bottom"/>
            <w:hideMark/>
          </w:tcPr>
          <w:p w14:paraId="02B31AF9" w14:textId="77777777" w:rsidR="00817272" w:rsidRPr="00AD67C2" w:rsidRDefault="00817272" w:rsidP="003E0733">
            <w:pPr>
              <w:rPr>
                <w:rFonts w:ascii="Garamond" w:eastAsia="Times New Roman" w:hAnsi="Garamond" w:cs="Arial"/>
                <w:b/>
                <w:bCs/>
                <w:i/>
                <w:iCs/>
              </w:rPr>
            </w:pPr>
          </w:p>
        </w:tc>
        <w:tc>
          <w:tcPr>
            <w:tcW w:w="251" w:type="dxa"/>
            <w:noWrap/>
            <w:vAlign w:val="bottom"/>
            <w:hideMark/>
          </w:tcPr>
          <w:p w14:paraId="2C1E7C9A" w14:textId="77777777" w:rsidR="00817272" w:rsidRPr="00AD67C2" w:rsidRDefault="00817272" w:rsidP="003E0733"/>
        </w:tc>
        <w:tc>
          <w:tcPr>
            <w:tcW w:w="247" w:type="dxa"/>
            <w:noWrap/>
            <w:vAlign w:val="bottom"/>
            <w:hideMark/>
          </w:tcPr>
          <w:p w14:paraId="289EF7FD" w14:textId="77777777" w:rsidR="00817272" w:rsidRPr="00AD67C2" w:rsidRDefault="00817272" w:rsidP="003E0733"/>
        </w:tc>
        <w:tc>
          <w:tcPr>
            <w:tcW w:w="247" w:type="dxa"/>
            <w:noWrap/>
            <w:vAlign w:val="bottom"/>
            <w:hideMark/>
          </w:tcPr>
          <w:p w14:paraId="759C7FCC" w14:textId="77777777" w:rsidR="00817272" w:rsidRPr="00AD67C2" w:rsidRDefault="00817272" w:rsidP="003E0733"/>
        </w:tc>
        <w:tc>
          <w:tcPr>
            <w:tcW w:w="247" w:type="dxa"/>
            <w:noWrap/>
            <w:vAlign w:val="bottom"/>
            <w:hideMark/>
          </w:tcPr>
          <w:p w14:paraId="0FDF9B9D" w14:textId="77777777" w:rsidR="00817272" w:rsidRPr="00AD67C2" w:rsidRDefault="00817272" w:rsidP="003E0733"/>
        </w:tc>
        <w:tc>
          <w:tcPr>
            <w:tcW w:w="281" w:type="dxa"/>
            <w:noWrap/>
            <w:vAlign w:val="bottom"/>
            <w:hideMark/>
          </w:tcPr>
          <w:p w14:paraId="10619C19" w14:textId="77777777" w:rsidR="00817272" w:rsidRPr="00AD67C2" w:rsidRDefault="00817272" w:rsidP="003E0733"/>
        </w:tc>
        <w:tc>
          <w:tcPr>
            <w:tcW w:w="283" w:type="dxa"/>
            <w:noWrap/>
            <w:vAlign w:val="bottom"/>
            <w:hideMark/>
          </w:tcPr>
          <w:p w14:paraId="0BAE1831" w14:textId="77777777" w:rsidR="00817272" w:rsidRPr="00AD67C2" w:rsidRDefault="00817272" w:rsidP="003E0733"/>
        </w:tc>
        <w:tc>
          <w:tcPr>
            <w:tcW w:w="305" w:type="dxa"/>
            <w:noWrap/>
            <w:vAlign w:val="bottom"/>
            <w:hideMark/>
          </w:tcPr>
          <w:p w14:paraId="30E2D09D" w14:textId="77777777" w:rsidR="00817272" w:rsidRPr="00AD67C2" w:rsidRDefault="00817272" w:rsidP="003E0733"/>
        </w:tc>
        <w:tc>
          <w:tcPr>
            <w:tcW w:w="247" w:type="dxa"/>
            <w:noWrap/>
            <w:vAlign w:val="bottom"/>
            <w:hideMark/>
          </w:tcPr>
          <w:p w14:paraId="0869F573" w14:textId="77777777" w:rsidR="00817272" w:rsidRPr="00AD67C2" w:rsidRDefault="00817272" w:rsidP="003E0733"/>
        </w:tc>
        <w:tc>
          <w:tcPr>
            <w:tcW w:w="247" w:type="dxa"/>
            <w:noWrap/>
            <w:vAlign w:val="bottom"/>
            <w:hideMark/>
          </w:tcPr>
          <w:p w14:paraId="63F9EB28" w14:textId="77777777" w:rsidR="00817272" w:rsidRPr="00AD67C2" w:rsidRDefault="00817272" w:rsidP="003E0733"/>
        </w:tc>
        <w:tc>
          <w:tcPr>
            <w:tcW w:w="247" w:type="dxa"/>
            <w:noWrap/>
            <w:vAlign w:val="bottom"/>
            <w:hideMark/>
          </w:tcPr>
          <w:p w14:paraId="05BF4815" w14:textId="77777777" w:rsidR="00817272" w:rsidRPr="00AD67C2" w:rsidRDefault="00817272" w:rsidP="003E0733"/>
        </w:tc>
        <w:tc>
          <w:tcPr>
            <w:tcW w:w="264" w:type="dxa"/>
            <w:noWrap/>
            <w:vAlign w:val="bottom"/>
            <w:hideMark/>
          </w:tcPr>
          <w:p w14:paraId="163D0C59" w14:textId="77777777" w:rsidR="00817272" w:rsidRPr="00AD67C2" w:rsidRDefault="00817272" w:rsidP="003E0733"/>
        </w:tc>
        <w:tc>
          <w:tcPr>
            <w:tcW w:w="263" w:type="dxa"/>
            <w:noWrap/>
            <w:vAlign w:val="bottom"/>
            <w:hideMark/>
          </w:tcPr>
          <w:p w14:paraId="3F0F6715" w14:textId="77777777" w:rsidR="00817272" w:rsidRPr="00AD67C2" w:rsidRDefault="00817272" w:rsidP="003E0733"/>
        </w:tc>
        <w:tc>
          <w:tcPr>
            <w:tcW w:w="263" w:type="dxa"/>
            <w:noWrap/>
            <w:vAlign w:val="bottom"/>
            <w:hideMark/>
          </w:tcPr>
          <w:p w14:paraId="4CF265AC" w14:textId="77777777" w:rsidR="00817272" w:rsidRPr="00AD67C2" w:rsidRDefault="00817272" w:rsidP="003E0733"/>
        </w:tc>
        <w:tc>
          <w:tcPr>
            <w:tcW w:w="262" w:type="dxa"/>
            <w:noWrap/>
            <w:vAlign w:val="bottom"/>
            <w:hideMark/>
          </w:tcPr>
          <w:p w14:paraId="0A33578C" w14:textId="77777777" w:rsidR="00817272" w:rsidRPr="00AD67C2" w:rsidRDefault="00817272" w:rsidP="003E0733"/>
        </w:tc>
        <w:tc>
          <w:tcPr>
            <w:tcW w:w="262" w:type="dxa"/>
            <w:noWrap/>
            <w:vAlign w:val="bottom"/>
            <w:hideMark/>
          </w:tcPr>
          <w:p w14:paraId="6EB24416" w14:textId="77777777" w:rsidR="00817272" w:rsidRPr="00353322" w:rsidRDefault="00817272" w:rsidP="003E0733"/>
        </w:tc>
        <w:tc>
          <w:tcPr>
            <w:tcW w:w="305" w:type="dxa"/>
            <w:noWrap/>
            <w:vAlign w:val="bottom"/>
            <w:hideMark/>
          </w:tcPr>
          <w:p w14:paraId="47EB02F7" w14:textId="77777777" w:rsidR="00817272" w:rsidRPr="00AD67C2" w:rsidRDefault="00817272" w:rsidP="003E0733"/>
        </w:tc>
        <w:tc>
          <w:tcPr>
            <w:tcW w:w="261" w:type="dxa"/>
            <w:gridSpan w:val="2"/>
            <w:noWrap/>
            <w:vAlign w:val="bottom"/>
            <w:hideMark/>
          </w:tcPr>
          <w:p w14:paraId="1DDDAB0E" w14:textId="77777777" w:rsidR="00817272" w:rsidRPr="00AD67C2" w:rsidRDefault="00817272" w:rsidP="003E0733"/>
        </w:tc>
        <w:tc>
          <w:tcPr>
            <w:tcW w:w="247" w:type="dxa"/>
            <w:gridSpan w:val="2"/>
            <w:noWrap/>
            <w:vAlign w:val="bottom"/>
            <w:hideMark/>
          </w:tcPr>
          <w:p w14:paraId="5BF7EC16" w14:textId="77777777" w:rsidR="00817272" w:rsidRPr="00AD67C2" w:rsidRDefault="00817272" w:rsidP="003E0733"/>
        </w:tc>
        <w:tc>
          <w:tcPr>
            <w:tcW w:w="247" w:type="dxa"/>
            <w:noWrap/>
            <w:vAlign w:val="bottom"/>
            <w:hideMark/>
          </w:tcPr>
          <w:p w14:paraId="5128E414" w14:textId="77777777" w:rsidR="00817272" w:rsidRPr="00AD67C2" w:rsidRDefault="00817272" w:rsidP="003E0733"/>
        </w:tc>
        <w:tc>
          <w:tcPr>
            <w:tcW w:w="247" w:type="dxa"/>
            <w:noWrap/>
            <w:vAlign w:val="bottom"/>
            <w:hideMark/>
          </w:tcPr>
          <w:p w14:paraId="28C2B62C" w14:textId="77777777" w:rsidR="00817272" w:rsidRPr="00AD67C2" w:rsidRDefault="00817272" w:rsidP="003E0733"/>
        </w:tc>
        <w:tc>
          <w:tcPr>
            <w:tcW w:w="247" w:type="dxa"/>
            <w:noWrap/>
            <w:vAlign w:val="bottom"/>
            <w:hideMark/>
          </w:tcPr>
          <w:p w14:paraId="50D386D5" w14:textId="77777777" w:rsidR="00817272" w:rsidRPr="00AD67C2" w:rsidRDefault="00817272" w:rsidP="003E0733"/>
        </w:tc>
        <w:tc>
          <w:tcPr>
            <w:tcW w:w="247" w:type="dxa"/>
            <w:noWrap/>
            <w:vAlign w:val="bottom"/>
            <w:hideMark/>
          </w:tcPr>
          <w:p w14:paraId="5DE872D7" w14:textId="77777777" w:rsidR="00817272" w:rsidRPr="00AD67C2" w:rsidRDefault="00817272" w:rsidP="003E0733"/>
        </w:tc>
        <w:tc>
          <w:tcPr>
            <w:tcW w:w="247" w:type="dxa"/>
            <w:noWrap/>
            <w:vAlign w:val="bottom"/>
            <w:hideMark/>
          </w:tcPr>
          <w:p w14:paraId="398A9DAA" w14:textId="77777777" w:rsidR="00817272" w:rsidRPr="00AD67C2" w:rsidRDefault="00817272" w:rsidP="003E0733"/>
        </w:tc>
        <w:tc>
          <w:tcPr>
            <w:tcW w:w="305" w:type="dxa"/>
            <w:noWrap/>
            <w:vAlign w:val="bottom"/>
            <w:hideMark/>
          </w:tcPr>
          <w:p w14:paraId="15CF4A64" w14:textId="77777777" w:rsidR="00817272" w:rsidRPr="00AD67C2" w:rsidRDefault="00817272" w:rsidP="003E0733"/>
        </w:tc>
        <w:tc>
          <w:tcPr>
            <w:tcW w:w="280" w:type="dxa"/>
            <w:noWrap/>
            <w:vAlign w:val="bottom"/>
            <w:hideMark/>
          </w:tcPr>
          <w:p w14:paraId="4C65AAAE" w14:textId="77777777" w:rsidR="00817272" w:rsidRPr="00AD67C2" w:rsidRDefault="00817272" w:rsidP="003E0733"/>
        </w:tc>
        <w:tc>
          <w:tcPr>
            <w:tcW w:w="279" w:type="dxa"/>
            <w:noWrap/>
            <w:vAlign w:val="bottom"/>
            <w:hideMark/>
          </w:tcPr>
          <w:p w14:paraId="7351B292" w14:textId="77777777" w:rsidR="00817272" w:rsidRPr="00AD67C2" w:rsidRDefault="00817272" w:rsidP="003E0733"/>
        </w:tc>
        <w:tc>
          <w:tcPr>
            <w:tcW w:w="246" w:type="dxa"/>
            <w:gridSpan w:val="2"/>
            <w:noWrap/>
            <w:vAlign w:val="bottom"/>
            <w:hideMark/>
          </w:tcPr>
          <w:p w14:paraId="203C7152" w14:textId="77777777" w:rsidR="00817272" w:rsidRPr="00AD67C2" w:rsidRDefault="00817272" w:rsidP="003E0733"/>
        </w:tc>
        <w:tc>
          <w:tcPr>
            <w:tcW w:w="247" w:type="dxa"/>
            <w:noWrap/>
            <w:vAlign w:val="bottom"/>
            <w:hideMark/>
          </w:tcPr>
          <w:p w14:paraId="49D40804" w14:textId="77777777" w:rsidR="00817272" w:rsidRPr="00AD67C2" w:rsidRDefault="00817272" w:rsidP="003E0733"/>
        </w:tc>
        <w:tc>
          <w:tcPr>
            <w:tcW w:w="247" w:type="dxa"/>
            <w:noWrap/>
            <w:vAlign w:val="bottom"/>
            <w:hideMark/>
          </w:tcPr>
          <w:p w14:paraId="66446841" w14:textId="77777777" w:rsidR="00817272" w:rsidRPr="00AD67C2" w:rsidRDefault="00817272" w:rsidP="003E0733"/>
        </w:tc>
        <w:tc>
          <w:tcPr>
            <w:tcW w:w="247" w:type="dxa"/>
            <w:noWrap/>
            <w:vAlign w:val="bottom"/>
            <w:hideMark/>
          </w:tcPr>
          <w:p w14:paraId="6960678B" w14:textId="77777777" w:rsidR="00817272" w:rsidRPr="00AD67C2" w:rsidRDefault="00817272" w:rsidP="003E0733"/>
        </w:tc>
        <w:tc>
          <w:tcPr>
            <w:tcW w:w="247" w:type="dxa"/>
            <w:noWrap/>
            <w:vAlign w:val="bottom"/>
            <w:hideMark/>
          </w:tcPr>
          <w:p w14:paraId="327128D9" w14:textId="77777777" w:rsidR="00817272" w:rsidRPr="00AD67C2" w:rsidRDefault="00817272" w:rsidP="003E0733"/>
        </w:tc>
        <w:tc>
          <w:tcPr>
            <w:tcW w:w="247" w:type="dxa"/>
            <w:noWrap/>
            <w:vAlign w:val="bottom"/>
            <w:hideMark/>
          </w:tcPr>
          <w:p w14:paraId="3A38CF25" w14:textId="77777777" w:rsidR="00817272" w:rsidRPr="00AD67C2" w:rsidRDefault="00817272" w:rsidP="003E0733"/>
        </w:tc>
        <w:tc>
          <w:tcPr>
            <w:tcW w:w="305" w:type="dxa"/>
            <w:noWrap/>
            <w:vAlign w:val="bottom"/>
            <w:hideMark/>
          </w:tcPr>
          <w:p w14:paraId="306F8EC4" w14:textId="77777777" w:rsidR="00817272" w:rsidRPr="00AD67C2" w:rsidRDefault="00817272" w:rsidP="003E0733"/>
        </w:tc>
      </w:tr>
      <w:tr w:rsidR="00817272" w:rsidRPr="00AD67C2" w14:paraId="37CFAB42" w14:textId="77777777" w:rsidTr="00817272">
        <w:trPr>
          <w:trHeight w:val="225"/>
        </w:trPr>
        <w:tc>
          <w:tcPr>
            <w:tcW w:w="8880" w:type="dxa"/>
            <w:gridSpan w:val="37"/>
            <w:vMerge w:val="restart"/>
            <w:vAlign w:val="center"/>
            <w:hideMark/>
          </w:tcPr>
          <w:p w14:paraId="11A9BD4B" w14:textId="7D4F1564" w:rsidR="00817272" w:rsidRPr="00353322" w:rsidRDefault="00817272" w:rsidP="003E0733">
            <w:pPr>
              <w:rPr>
                <w:rFonts w:ascii="Garamond" w:eastAsia="Times New Roman" w:hAnsi="Garamond" w:cs="Arial"/>
              </w:rPr>
            </w:pPr>
            <w:r w:rsidRPr="00353322">
              <w:rPr>
                <w:rFonts w:ascii="Garamond" w:eastAsia="Times New Roman" w:hAnsi="Garamond" w:cs="Arial"/>
              </w:rPr>
              <w:t>в соответствии с разделом 7 Договора о присоединении к торговой системе оптового рынка №</w:t>
            </w:r>
            <w:r w:rsidR="00254029" w:rsidRPr="00353322">
              <w:rPr>
                <w:rFonts w:ascii="Garamond" w:eastAsia="Times New Roman" w:hAnsi="Garamond" w:cs="Arial"/>
              </w:rPr>
              <w:t xml:space="preserve"> </w:t>
            </w:r>
            <w:r w:rsidRPr="00353322">
              <w:rPr>
                <w:rFonts w:ascii="Garamond" w:eastAsia="Times New Roman" w:hAnsi="Garamond" w:cs="Arial"/>
              </w:rPr>
              <w:t>_______ от ______ г. оказало Заявителю услугу по процедуре регистрации одного объекта регулирования / по процедуре внесения изменений в один зарегистрированный объект регулирования.</w:t>
            </w:r>
          </w:p>
        </w:tc>
      </w:tr>
      <w:tr w:rsidR="00817272" w:rsidRPr="00AD67C2" w14:paraId="06B59E8C" w14:textId="77777777" w:rsidTr="00817272">
        <w:trPr>
          <w:trHeight w:val="423"/>
        </w:trPr>
        <w:tc>
          <w:tcPr>
            <w:tcW w:w="0" w:type="auto"/>
            <w:gridSpan w:val="37"/>
            <w:vMerge/>
            <w:vAlign w:val="center"/>
            <w:hideMark/>
          </w:tcPr>
          <w:p w14:paraId="34E9C19E" w14:textId="77777777" w:rsidR="00817272" w:rsidRPr="00AD67C2" w:rsidRDefault="00817272" w:rsidP="003E0733">
            <w:pPr>
              <w:rPr>
                <w:rFonts w:ascii="Garamond" w:eastAsia="Times New Roman" w:hAnsi="Garamond" w:cs="Arial"/>
              </w:rPr>
            </w:pPr>
          </w:p>
        </w:tc>
      </w:tr>
      <w:tr w:rsidR="00817272" w:rsidRPr="00AD67C2" w14:paraId="324F1A14" w14:textId="77777777" w:rsidTr="00817272">
        <w:trPr>
          <w:trHeight w:val="423"/>
        </w:trPr>
        <w:tc>
          <w:tcPr>
            <w:tcW w:w="0" w:type="auto"/>
            <w:gridSpan w:val="37"/>
            <w:vMerge/>
            <w:vAlign w:val="center"/>
            <w:hideMark/>
          </w:tcPr>
          <w:p w14:paraId="009013AA" w14:textId="77777777" w:rsidR="00817272" w:rsidRPr="00AD67C2" w:rsidRDefault="00817272" w:rsidP="003E0733">
            <w:pPr>
              <w:rPr>
                <w:rFonts w:ascii="Garamond" w:eastAsia="Times New Roman" w:hAnsi="Garamond" w:cs="Arial"/>
              </w:rPr>
            </w:pPr>
          </w:p>
        </w:tc>
      </w:tr>
      <w:tr w:rsidR="00817272" w:rsidRPr="00AD67C2" w14:paraId="16140AF6" w14:textId="77777777" w:rsidTr="00817272">
        <w:trPr>
          <w:trHeight w:val="423"/>
        </w:trPr>
        <w:tc>
          <w:tcPr>
            <w:tcW w:w="0" w:type="auto"/>
            <w:gridSpan w:val="37"/>
            <w:vMerge/>
            <w:vAlign w:val="center"/>
            <w:hideMark/>
          </w:tcPr>
          <w:p w14:paraId="1FA84963" w14:textId="77777777" w:rsidR="00817272" w:rsidRPr="00AD67C2" w:rsidRDefault="00817272" w:rsidP="003E0733">
            <w:pPr>
              <w:rPr>
                <w:rFonts w:ascii="Garamond" w:eastAsia="Times New Roman" w:hAnsi="Garamond" w:cs="Arial"/>
              </w:rPr>
            </w:pPr>
          </w:p>
        </w:tc>
      </w:tr>
      <w:tr w:rsidR="00817272" w:rsidRPr="00AD67C2" w14:paraId="6DC214AE" w14:textId="77777777" w:rsidTr="00254029">
        <w:trPr>
          <w:trHeight w:val="423"/>
        </w:trPr>
        <w:tc>
          <w:tcPr>
            <w:tcW w:w="0" w:type="auto"/>
            <w:gridSpan w:val="37"/>
            <w:vMerge/>
            <w:vAlign w:val="center"/>
            <w:hideMark/>
          </w:tcPr>
          <w:p w14:paraId="19F52CBD" w14:textId="77777777" w:rsidR="00817272" w:rsidRPr="00AD67C2" w:rsidRDefault="00817272" w:rsidP="003E0733">
            <w:pPr>
              <w:rPr>
                <w:rFonts w:ascii="Garamond" w:eastAsia="Times New Roman" w:hAnsi="Garamond" w:cs="Arial"/>
              </w:rPr>
            </w:pPr>
          </w:p>
        </w:tc>
      </w:tr>
      <w:tr w:rsidR="00817272" w:rsidRPr="00AD67C2" w14:paraId="22EC7155" w14:textId="77777777" w:rsidTr="00254029">
        <w:trPr>
          <w:trHeight w:val="55"/>
        </w:trPr>
        <w:tc>
          <w:tcPr>
            <w:tcW w:w="8880" w:type="dxa"/>
            <w:gridSpan w:val="37"/>
            <w:noWrap/>
            <w:vAlign w:val="bottom"/>
            <w:hideMark/>
          </w:tcPr>
          <w:p w14:paraId="49A03A61" w14:textId="77777777" w:rsidR="00817272" w:rsidRPr="00AD67C2" w:rsidRDefault="00817272" w:rsidP="003E0733">
            <w:pPr>
              <w:rPr>
                <w:rFonts w:ascii="Garamond" w:eastAsia="Times New Roman" w:hAnsi="Garamond" w:cs="Arial"/>
              </w:rPr>
            </w:pPr>
            <w:r w:rsidRPr="00AD67C2">
              <w:rPr>
                <w:rFonts w:ascii="Garamond" w:eastAsia="Times New Roman" w:hAnsi="Garamond" w:cs="Arial"/>
              </w:rPr>
              <w:t xml:space="preserve">      Вышеупомянутая услуга оказана полностью и в срок.</w:t>
            </w:r>
          </w:p>
        </w:tc>
      </w:tr>
      <w:tr w:rsidR="00817272" w:rsidRPr="00AD67C2" w14:paraId="08178F0C" w14:textId="77777777" w:rsidTr="00817272">
        <w:trPr>
          <w:trHeight w:val="188"/>
        </w:trPr>
        <w:tc>
          <w:tcPr>
            <w:tcW w:w="8880" w:type="dxa"/>
            <w:gridSpan w:val="37"/>
            <w:noWrap/>
            <w:vAlign w:val="bottom"/>
            <w:hideMark/>
          </w:tcPr>
          <w:p w14:paraId="63C49867" w14:textId="7E5E9410" w:rsidR="00817272" w:rsidRPr="00AD67C2" w:rsidRDefault="00817272" w:rsidP="003E0733">
            <w:pPr>
              <w:rPr>
                <w:rFonts w:ascii="Garamond" w:eastAsia="Times New Roman" w:hAnsi="Garamond" w:cs="Arial"/>
              </w:rPr>
            </w:pPr>
            <w:r w:rsidRPr="00AD67C2">
              <w:rPr>
                <w:rFonts w:ascii="Garamond" w:eastAsia="Times New Roman" w:hAnsi="Garamond" w:cs="Arial"/>
              </w:rPr>
              <w:t xml:space="preserve">      Заявитель не имеет к АО </w:t>
            </w:r>
            <w:r w:rsidR="00BC4FC4">
              <w:rPr>
                <w:rFonts w:ascii="Garamond" w:eastAsia="Times New Roman" w:hAnsi="Garamond" w:cs="Arial"/>
              </w:rPr>
              <w:t>«</w:t>
            </w:r>
            <w:r w:rsidRPr="00AD67C2">
              <w:rPr>
                <w:rFonts w:ascii="Garamond" w:eastAsia="Times New Roman" w:hAnsi="Garamond" w:cs="Arial"/>
              </w:rPr>
              <w:t>АТС</w:t>
            </w:r>
            <w:r w:rsidR="00BC4FC4">
              <w:rPr>
                <w:rFonts w:ascii="Garamond" w:eastAsia="Times New Roman" w:hAnsi="Garamond" w:cs="Arial"/>
              </w:rPr>
              <w:t>»</w:t>
            </w:r>
            <w:r w:rsidRPr="00AD67C2">
              <w:rPr>
                <w:rFonts w:ascii="Garamond" w:eastAsia="Times New Roman" w:hAnsi="Garamond" w:cs="Arial"/>
              </w:rPr>
              <w:t xml:space="preserve"> претензий по объему, качеству и срокам оказания услуги.</w:t>
            </w:r>
          </w:p>
        </w:tc>
      </w:tr>
      <w:tr w:rsidR="00817272" w:rsidRPr="00AD67C2" w14:paraId="25A971BF" w14:textId="77777777" w:rsidTr="00817272">
        <w:trPr>
          <w:trHeight w:val="167"/>
        </w:trPr>
        <w:tc>
          <w:tcPr>
            <w:tcW w:w="249" w:type="dxa"/>
            <w:noWrap/>
            <w:vAlign w:val="bottom"/>
            <w:hideMark/>
          </w:tcPr>
          <w:p w14:paraId="0AD77ADB" w14:textId="77777777" w:rsidR="00817272" w:rsidRPr="00AD67C2" w:rsidRDefault="00817272" w:rsidP="003E0733">
            <w:pPr>
              <w:rPr>
                <w:rFonts w:ascii="Garamond" w:eastAsia="Times New Roman" w:hAnsi="Garamond" w:cs="Arial"/>
              </w:rPr>
            </w:pPr>
          </w:p>
        </w:tc>
        <w:tc>
          <w:tcPr>
            <w:tcW w:w="251" w:type="dxa"/>
            <w:noWrap/>
            <w:vAlign w:val="bottom"/>
            <w:hideMark/>
          </w:tcPr>
          <w:p w14:paraId="0790DF94" w14:textId="77777777" w:rsidR="00817272" w:rsidRPr="00AD67C2" w:rsidRDefault="00817272" w:rsidP="003E0733"/>
        </w:tc>
        <w:tc>
          <w:tcPr>
            <w:tcW w:w="247" w:type="dxa"/>
            <w:noWrap/>
            <w:vAlign w:val="bottom"/>
            <w:hideMark/>
          </w:tcPr>
          <w:p w14:paraId="5BDDF732" w14:textId="77777777" w:rsidR="00817272" w:rsidRPr="00AD67C2" w:rsidRDefault="00817272" w:rsidP="003E0733"/>
        </w:tc>
        <w:tc>
          <w:tcPr>
            <w:tcW w:w="247" w:type="dxa"/>
            <w:noWrap/>
            <w:vAlign w:val="bottom"/>
            <w:hideMark/>
          </w:tcPr>
          <w:p w14:paraId="6D612F79" w14:textId="77777777" w:rsidR="00817272" w:rsidRPr="00AD67C2" w:rsidRDefault="00817272" w:rsidP="003E0733"/>
        </w:tc>
        <w:tc>
          <w:tcPr>
            <w:tcW w:w="247" w:type="dxa"/>
            <w:noWrap/>
            <w:vAlign w:val="bottom"/>
            <w:hideMark/>
          </w:tcPr>
          <w:p w14:paraId="44672DE4" w14:textId="77777777" w:rsidR="00817272" w:rsidRPr="00AD67C2" w:rsidRDefault="00817272" w:rsidP="003E0733"/>
        </w:tc>
        <w:tc>
          <w:tcPr>
            <w:tcW w:w="281" w:type="dxa"/>
            <w:noWrap/>
            <w:vAlign w:val="bottom"/>
            <w:hideMark/>
          </w:tcPr>
          <w:p w14:paraId="45586443" w14:textId="77777777" w:rsidR="00817272" w:rsidRPr="00AD67C2" w:rsidRDefault="00817272" w:rsidP="003E0733"/>
        </w:tc>
        <w:tc>
          <w:tcPr>
            <w:tcW w:w="283" w:type="dxa"/>
            <w:noWrap/>
            <w:vAlign w:val="bottom"/>
            <w:hideMark/>
          </w:tcPr>
          <w:p w14:paraId="6B0B2F69" w14:textId="77777777" w:rsidR="00817272" w:rsidRPr="00AD67C2" w:rsidRDefault="00817272" w:rsidP="003E0733"/>
        </w:tc>
        <w:tc>
          <w:tcPr>
            <w:tcW w:w="305" w:type="dxa"/>
            <w:noWrap/>
            <w:vAlign w:val="bottom"/>
            <w:hideMark/>
          </w:tcPr>
          <w:p w14:paraId="2726BD84" w14:textId="77777777" w:rsidR="00817272" w:rsidRPr="00AD67C2" w:rsidRDefault="00817272" w:rsidP="003E0733"/>
        </w:tc>
        <w:tc>
          <w:tcPr>
            <w:tcW w:w="247" w:type="dxa"/>
            <w:noWrap/>
            <w:vAlign w:val="bottom"/>
            <w:hideMark/>
          </w:tcPr>
          <w:p w14:paraId="144139DD" w14:textId="77777777" w:rsidR="00817272" w:rsidRPr="00AD67C2" w:rsidRDefault="00817272" w:rsidP="003E0733"/>
        </w:tc>
        <w:tc>
          <w:tcPr>
            <w:tcW w:w="247" w:type="dxa"/>
            <w:noWrap/>
            <w:vAlign w:val="bottom"/>
            <w:hideMark/>
          </w:tcPr>
          <w:p w14:paraId="25557CA6" w14:textId="77777777" w:rsidR="00817272" w:rsidRPr="00AD67C2" w:rsidRDefault="00817272" w:rsidP="003E0733"/>
        </w:tc>
        <w:tc>
          <w:tcPr>
            <w:tcW w:w="247" w:type="dxa"/>
            <w:noWrap/>
            <w:vAlign w:val="bottom"/>
            <w:hideMark/>
          </w:tcPr>
          <w:p w14:paraId="5B9BA9F8" w14:textId="77777777" w:rsidR="00817272" w:rsidRPr="00AD67C2" w:rsidRDefault="00817272" w:rsidP="003E0733"/>
        </w:tc>
        <w:tc>
          <w:tcPr>
            <w:tcW w:w="264" w:type="dxa"/>
            <w:noWrap/>
            <w:vAlign w:val="bottom"/>
            <w:hideMark/>
          </w:tcPr>
          <w:p w14:paraId="7DD47BBC" w14:textId="77777777" w:rsidR="00817272" w:rsidRPr="00AD67C2" w:rsidRDefault="00817272" w:rsidP="003E0733"/>
        </w:tc>
        <w:tc>
          <w:tcPr>
            <w:tcW w:w="263" w:type="dxa"/>
            <w:noWrap/>
            <w:vAlign w:val="bottom"/>
            <w:hideMark/>
          </w:tcPr>
          <w:p w14:paraId="5B9BEA09" w14:textId="77777777" w:rsidR="00817272" w:rsidRPr="00AD67C2" w:rsidRDefault="00817272" w:rsidP="003E0733"/>
        </w:tc>
        <w:tc>
          <w:tcPr>
            <w:tcW w:w="263" w:type="dxa"/>
            <w:noWrap/>
            <w:vAlign w:val="bottom"/>
            <w:hideMark/>
          </w:tcPr>
          <w:p w14:paraId="076E3629" w14:textId="77777777" w:rsidR="00817272" w:rsidRPr="00AD67C2" w:rsidRDefault="00817272" w:rsidP="003E0733"/>
        </w:tc>
        <w:tc>
          <w:tcPr>
            <w:tcW w:w="262" w:type="dxa"/>
            <w:noWrap/>
            <w:vAlign w:val="bottom"/>
            <w:hideMark/>
          </w:tcPr>
          <w:p w14:paraId="2A208309" w14:textId="77777777" w:rsidR="00817272" w:rsidRPr="00AD67C2" w:rsidRDefault="00817272" w:rsidP="003E0733"/>
        </w:tc>
        <w:tc>
          <w:tcPr>
            <w:tcW w:w="262" w:type="dxa"/>
            <w:noWrap/>
            <w:vAlign w:val="bottom"/>
            <w:hideMark/>
          </w:tcPr>
          <w:p w14:paraId="3C4FB654" w14:textId="77777777" w:rsidR="00817272" w:rsidRPr="00AD67C2" w:rsidRDefault="00817272" w:rsidP="003E0733"/>
        </w:tc>
        <w:tc>
          <w:tcPr>
            <w:tcW w:w="305" w:type="dxa"/>
            <w:noWrap/>
            <w:vAlign w:val="bottom"/>
            <w:hideMark/>
          </w:tcPr>
          <w:p w14:paraId="591287FC" w14:textId="77777777" w:rsidR="00817272" w:rsidRPr="00AD67C2" w:rsidRDefault="00817272" w:rsidP="003E0733"/>
        </w:tc>
        <w:tc>
          <w:tcPr>
            <w:tcW w:w="261" w:type="dxa"/>
            <w:gridSpan w:val="2"/>
            <w:noWrap/>
            <w:vAlign w:val="bottom"/>
            <w:hideMark/>
          </w:tcPr>
          <w:p w14:paraId="36F7B5B9" w14:textId="77777777" w:rsidR="00817272" w:rsidRPr="00AD67C2" w:rsidRDefault="00817272" w:rsidP="003E0733"/>
        </w:tc>
        <w:tc>
          <w:tcPr>
            <w:tcW w:w="247" w:type="dxa"/>
            <w:gridSpan w:val="2"/>
            <w:noWrap/>
            <w:vAlign w:val="bottom"/>
            <w:hideMark/>
          </w:tcPr>
          <w:p w14:paraId="5803589E" w14:textId="77777777" w:rsidR="00817272" w:rsidRPr="00AD67C2" w:rsidRDefault="00817272" w:rsidP="003E0733"/>
        </w:tc>
        <w:tc>
          <w:tcPr>
            <w:tcW w:w="247" w:type="dxa"/>
            <w:noWrap/>
            <w:vAlign w:val="bottom"/>
            <w:hideMark/>
          </w:tcPr>
          <w:p w14:paraId="136B7A25" w14:textId="77777777" w:rsidR="00817272" w:rsidRPr="00AD67C2" w:rsidRDefault="00817272" w:rsidP="003E0733"/>
        </w:tc>
        <w:tc>
          <w:tcPr>
            <w:tcW w:w="247" w:type="dxa"/>
            <w:noWrap/>
            <w:vAlign w:val="bottom"/>
            <w:hideMark/>
          </w:tcPr>
          <w:p w14:paraId="1D39A1A1" w14:textId="77777777" w:rsidR="00817272" w:rsidRPr="00AD67C2" w:rsidRDefault="00817272" w:rsidP="003E0733"/>
        </w:tc>
        <w:tc>
          <w:tcPr>
            <w:tcW w:w="247" w:type="dxa"/>
            <w:noWrap/>
            <w:vAlign w:val="bottom"/>
            <w:hideMark/>
          </w:tcPr>
          <w:p w14:paraId="46FA5C34" w14:textId="77777777" w:rsidR="00817272" w:rsidRPr="00AD67C2" w:rsidRDefault="00817272" w:rsidP="003E0733"/>
        </w:tc>
        <w:tc>
          <w:tcPr>
            <w:tcW w:w="247" w:type="dxa"/>
            <w:noWrap/>
            <w:vAlign w:val="bottom"/>
            <w:hideMark/>
          </w:tcPr>
          <w:p w14:paraId="0DB01202" w14:textId="77777777" w:rsidR="00817272" w:rsidRPr="00AD67C2" w:rsidRDefault="00817272" w:rsidP="003E0733"/>
        </w:tc>
        <w:tc>
          <w:tcPr>
            <w:tcW w:w="247" w:type="dxa"/>
            <w:noWrap/>
            <w:vAlign w:val="bottom"/>
            <w:hideMark/>
          </w:tcPr>
          <w:p w14:paraId="36AF8568" w14:textId="77777777" w:rsidR="00817272" w:rsidRPr="00AD67C2" w:rsidRDefault="00817272" w:rsidP="003E0733"/>
        </w:tc>
        <w:tc>
          <w:tcPr>
            <w:tcW w:w="305" w:type="dxa"/>
            <w:noWrap/>
            <w:vAlign w:val="bottom"/>
            <w:hideMark/>
          </w:tcPr>
          <w:p w14:paraId="069DC6D8" w14:textId="77777777" w:rsidR="00817272" w:rsidRPr="00AD67C2" w:rsidRDefault="00817272" w:rsidP="003E0733"/>
        </w:tc>
        <w:tc>
          <w:tcPr>
            <w:tcW w:w="280" w:type="dxa"/>
            <w:noWrap/>
            <w:vAlign w:val="bottom"/>
            <w:hideMark/>
          </w:tcPr>
          <w:p w14:paraId="6DE1FAB2" w14:textId="77777777" w:rsidR="00817272" w:rsidRPr="00AD67C2" w:rsidRDefault="00817272" w:rsidP="003E0733"/>
        </w:tc>
        <w:tc>
          <w:tcPr>
            <w:tcW w:w="279" w:type="dxa"/>
            <w:noWrap/>
            <w:vAlign w:val="bottom"/>
            <w:hideMark/>
          </w:tcPr>
          <w:p w14:paraId="115B81A4" w14:textId="77777777" w:rsidR="00817272" w:rsidRPr="00AD67C2" w:rsidRDefault="00817272" w:rsidP="003E0733"/>
        </w:tc>
        <w:tc>
          <w:tcPr>
            <w:tcW w:w="246" w:type="dxa"/>
            <w:gridSpan w:val="2"/>
            <w:noWrap/>
            <w:vAlign w:val="bottom"/>
            <w:hideMark/>
          </w:tcPr>
          <w:p w14:paraId="7E893788" w14:textId="77777777" w:rsidR="00817272" w:rsidRPr="00AD67C2" w:rsidRDefault="00817272" w:rsidP="003E0733"/>
        </w:tc>
        <w:tc>
          <w:tcPr>
            <w:tcW w:w="247" w:type="dxa"/>
            <w:noWrap/>
            <w:vAlign w:val="bottom"/>
            <w:hideMark/>
          </w:tcPr>
          <w:p w14:paraId="71245D21" w14:textId="77777777" w:rsidR="00817272" w:rsidRPr="00AD67C2" w:rsidRDefault="00817272" w:rsidP="003E0733"/>
        </w:tc>
        <w:tc>
          <w:tcPr>
            <w:tcW w:w="247" w:type="dxa"/>
            <w:noWrap/>
            <w:vAlign w:val="bottom"/>
            <w:hideMark/>
          </w:tcPr>
          <w:p w14:paraId="1B15BD97" w14:textId="77777777" w:rsidR="00817272" w:rsidRPr="00AD67C2" w:rsidRDefault="00817272" w:rsidP="003E0733"/>
        </w:tc>
        <w:tc>
          <w:tcPr>
            <w:tcW w:w="247" w:type="dxa"/>
            <w:noWrap/>
            <w:vAlign w:val="bottom"/>
            <w:hideMark/>
          </w:tcPr>
          <w:p w14:paraId="2C171469" w14:textId="77777777" w:rsidR="00817272" w:rsidRPr="00AD67C2" w:rsidRDefault="00817272" w:rsidP="003E0733"/>
        </w:tc>
        <w:tc>
          <w:tcPr>
            <w:tcW w:w="247" w:type="dxa"/>
            <w:noWrap/>
            <w:vAlign w:val="bottom"/>
            <w:hideMark/>
          </w:tcPr>
          <w:p w14:paraId="0C76CFB9" w14:textId="77777777" w:rsidR="00817272" w:rsidRPr="00AD67C2" w:rsidRDefault="00817272" w:rsidP="003E0733"/>
        </w:tc>
        <w:tc>
          <w:tcPr>
            <w:tcW w:w="247" w:type="dxa"/>
            <w:noWrap/>
            <w:vAlign w:val="bottom"/>
            <w:hideMark/>
          </w:tcPr>
          <w:p w14:paraId="450B9BF0" w14:textId="77777777" w:rsidR="00817272" w:rsidRPr="00AD67C2" w:rsidRDefault="00817272" w:rsidP="003E0733"/>
        </w:tc>
        <w:tc>
          <w:tcPr>
            <w:tcW w:w="305" w:type="dxa"/>
            <w:noWrap/>
            <w:vAlign w:val="bottom"/>
            <w:hideMark/>
          </w:tcPr>
          <w:p w14:paraId="696A14B6" w14:textId="77777777" w:rsidR="00817272" w:rsidRPr="00AD67C2" w:rsidRDefault="00817272" w:rsidP="003E0733"/>
        </w:tc>
      </w:tr>
      <w:tr w:rsidR="00817272" w:rsidRPr="00AD67C2" w14:paraId="1607051F" w14:textId="77777777" w:rsidTr="00817272">
        <w:trPr>
          <w:trHeight w:val="188"/>
        </w:trPr>
        <w:tc>
          <w:tcPr>
            <w:tcW w:w="8880" w:type="dxa"/>
            <w:gridSpan w:val="37"/>
            <w:noWrap/>
            <w:vAlign w:val="bottom"/>
            <w:hideMark/>
          </w:tcPr>
          <w:p w14:paraId="707D67E1" w14:textId="2088EF89" w:rsidR="00817272" w:rsidRPr="00AD67C2" w:rsidRDefault="00817272" w:rsidP="003E0733">
            <w:pPr>
              <w:rPr>
                <w:rFonts w:ascii="Garamond" w:eastAsia="Times New Roman" w:hAnsi="Garamond" w:cs="Arial"/>
              </w:rPr>
            </w:pPr>
            <w:r w:rsidRPr="00AD67C2">
              <w:rPr>
                <w:rFonts w:ascii="Garamond" w:eastAsia="Times New Roman" w:hAnsi="Garamond" w:cs="Arial"/>
              </w:rPr>
              <w:t xml:space="preserve">      Стоимость оказанной АО </w:t>
            </w:r>
            <w:r w:rsidR="00BC4FC4">
              <w:rPr>
                <w:rFonts w:ascii="Garamond" w:eastAsia="Times New Roman" w:hAnsi="Garamond" w:cs="Arial"/>
              </w:rPr>
              <w:t>«</w:t>
            </w:r>
            <w:r w:rsidRPr="00AD67C2">
              <w:rPr>
                <w:rFonts w:ascii="Garamond" w:eastAsia="Times New Roman" w:hAnsi="Garamond" w:cs="Arial"/>
              </w:rPr>
              <w:t>АТС</w:t>
            </w:r>
            <w:r w:rsidR="00BC4FC4">
              <w:rPr>
                <w:rFonts w:ascii="Garamond" w:eastAsia="Times New Roman" w:hAnsi="Garamond" w:cs="Arial"/>
              </w:rPr>
              <w:t>»</w:t>
            </w:r>
            <w:r w:rsidRPr="00AD67C2">
              <w:rPr>
                <w:rFonts w:ascii="Garamond" w:eastAsia="Times New Roman" w:hAnsi="Garamond" w:cs="Arial"/>
              </w:rPr>
              <w:t xml:space="preserve"> услуги составляет:</w:t>
            </w:r>
          </w:p>
        </w:tc>
      </w:tr>
      <w:tr w:rsidR="00817272" w:rsidRPr="00AD67C2" w14:paraId="11CE2E9D" w14:textId="77777777" w:rsidTr="00817272">
        <w:trPr>
          <w:trHeight w:val="167"/>
        </w:trPr>
        <w:tc>
          <w:tcPr>
            <w:tcW w:w="249" w:type="dxa"/>
            <w:noWrap/>
            <w:vAlign w:val="bottom"/>
            <w:hideMark/>
          </w:tcPr>
          <w:p w14:paraId="265C3CC5" w14:textId="77777777" w:rsidR="00817272" w:rsidRPr="00AD67C2" w:rsidRDefault="00817272" w:rsidP="003E0733">
            <w:pPr>
              <w:rPr>
                <w:rFonts w:ascii="Garamond" w:eastAsia="Times New Roman" w:hAnsi="Garamond" w:cs="Arial"/>
              </w:rPr>
            </w:pPr>
          </w:p>
        </w:tc>
        <w:tc>
          <w:tcPr>
            <w:tcW w:w="251" w:type="dxa"/>
            <w:noWrap/>
            <w:vAlign w:val="bottom"/>
            <w:hideMark/>
          </w:tcPr>
          <w:p w14:paraId="3B94287C" w14:textId="77777777" w:rsidR="00817272" w:rsidRPr="00AD67C2" w:rsidRDefault="00817272" w:rsidP="003E0733"/>
        </w:tc>
        <w:tc>
          <w:tcPr>
            <w:tcW w:w="247" w:type="dxa"/>
            <w:noWrap/>
            <w:vAlign w:val="bottom"/>
            <w:hideMark/>
          </w:tcPr>
          <w:p w14:paraId="3DE1EB7F" w14:textId="77777777" w:rsidR="00817272" w:rsidRPr="00AD67C2" w:rsidRDefault="00817272" w:rsidP="003E0733"/>
        </w:tc>
        <w:tc>
          <w:tcPr>
            <w:tcW w:w="247" w:type="dxa"/>
            <w:noWrap/>
            <w:vAlign w:val="bottom"/>
            <w:hideMark/>
          </w:tcPr>
          <w:p w14:paraId="1F1447CC" w14:textId="77777777" w:rsidR="00817272" w:rsidRPr="00AD67C2" w:rsidRDefault="00817272" w:rsidP="003E0733"/>
        </w:tc>
        <w:tc>
          <w:tcPr>
            <w:tcW w:w="247" w:type="dxa"/>
            <w:noWrap/>
            <w:vAlign w:val="bottom"/>
            <w:hideMark/>
          </w:tcPr>
          <w:p w14:paraId="68131CB9" w14:textId="77777777" w:rsidR="00817272" w:rsidRPr="00AD67C2" w:rsidRDefault="00817272" w:rsidP="003E0733"/>
        </w:tc>
        <w:tc>
          <w:tcPr>
            <w:tcW w:w="281" w:type="dxa"/>
            <w:noWrap/>
            <w:vAlign w:val="bottom"/>
            <w:hideMark/>
          </w:tcPr>
          <w:p w14:paraId="4041C737" w14:textId="77777777" w:rsidR="00817272" w:rsidRPr="00AD67C2" w:rsidRDefault="00817272" w:rsidP="003E0733"/>
        </w:tc>
        <w:tc>
          <w:tcPr>
            <w:tcW w:w="283" w:type="dxa"/>
            <w:noWrap/>
            <w:vAlign w:val="bottom"/>
            <w:hideMark/>
          </w:tcPr>
          <w:p w14:paraId="368452F0" w14:textId="77777777" w:rsidR="00817272" w:rsidRPr="00AD67C2" w:rsidRDefault="00817272" w:rsidP="003E0733"/>
        </w:tc>
        <w:tc>
          <w:tcPr>
            <w:tcW w:w="305" w:type="dxa"/>
            <w:noWrap/>
            <w:vAlign w:val="bottom"/>
            <w:hideMark/>
          </w:tcPr>
          <w:p w14:paraId="0D6E7F62" w14:textId="77777777" w:rsidR="00817272" w:rsidRPr="00AD67C2" w:rsidRDefault="00817272" w:rsidP="003E0733"/>
        </w:tc>
        <w:tc>
          <w:tcPr>
            <w:tcW w:w="247" w:type="dxa"/>
            <w:noWrap/>
            <w:vAlign w:val="bottom"/>
            <w:hideMark/>
          </w:tcPr>
          <w:p w14:paraId="63197CEF" w14:textId="77777777" w:rsidR="00817272" w:rsidRPr="00AD67C2" w:rsidRDefault="00817272" w:rsidP="003E0733"/>
        </w:tc>
        <w:tc>
          <w:tcPr>
            <w:tcW w:w="247" w:type="dxa"/>
            <w:noWrap/>
            <w:vAlign w:val="bottom"/>
            <w:hideMark/>
          </w:tcPr>
          <w:p w14:paraId="63DACEB7" w14:textId="77777777" w:rsidR="00817272" w:rsidRPr="00AD67C2" w:rsidRDefault="00817272" w:rsidP="003E0733"/>
        </w:tc>
        <w:tc>
          <w:tcPr>
            <w:tcW w:w="247" w:type="dxa"/>
            <w:noWrap/>
            <w:vAlign w:val="bottom"/>
            <w:hideMark/>
          </w:tcPr>
          <w:p w14:paraId="5C391FEA" w14:textId="77777777" w:rsidR="00817272" w:rsidRPr="00AD67C2" w:rsidRDefault="00817272" w:rsidP="003E0733"/>
        </w:tc>
        <w:tc>
          <w:tcPr>
            <w:tcW w:w="264" w:type="dxa"/>
            <w:noWrap/>
            <w:vAlign w:val="bottom"/>
            <w:hideMark/>
          </w:tcPr>
          <w:p w14:paraId="168A4142" w14:textId="77777777" w:rsidR="00817272" w:rsidRPr="00AD67C2" w:rsidRDefault="00817272" w:rsidP="003E0733"/>
        </w:tc>
        <w:tc>
          <w:tcPr>
            <w:tcW w:w="263" w:type="dxa"/>
            <w:noWrap/>
            <w:vAlign w:val="bottom"/>
            <w:hideMark/>
          </w:tcPr>
          <w:p w14:paraId="50F62E02" w14:textId="77777777" w:rsidR="00817272" w:rsidRPr="00AD67C2" w:rsidRDefault="00817272" w:rsidP="003E0733"/>
        </w:tc>
        <w:tc>
          <w:tcPr>
            <w:tcW w:w="263" w:type="dxa"/>
            <w:noWrap/>
            <w:vAlign w:val="bottom"/>
            <w:hideMark/>
          </w:tcPr>
          <w:p w14:paraId="0F4FE2F0" w14:textId="77777777" w:rsidR="00817272" w:rsidRPr="00AD67C2" w:rsidRDefault="00817272" w:rsidP="003E0733"/>
        </w:tc>
        <w:tc>
          <w:tcPr>
            <w:tcW w:w="262" w:type="dxa"/>
            <w:noWrap/>
            <w:vAlign w:val="bottom"/>
            <w:hideMark/>
          </w:tcPr>
          <w:p w14:paraId="06C1CD5C" w14:textId="77777777" w:rsidR="00817272" w:rsidRPr="00AD67C2" w:rsidRDefault="00817272" w:rsidP="003E0733"/>
        </w:tc>
        <w:tc>
          <w:tcPr>
            <w:tcW w:w="262" w:type="dxa"/>
            <w:noWrap/>
            <w:vAlign w:val="bottom"/>
            <w:hideMark/>
          </w:tcPr>
          <w:p w14:paraId="53EFF06D" w14:textId="77777777" w:rsidR="00817272" w:rsidRPr="00AD67C2" w:rsidRDefault="00817272" w:rsidP="003E0733"/>
        </w:tc>
        <w:tc>
          <w:tcPr>
            <w:tcW w:w="305" w:type="dxa"/>
            <w:noWrap/>
            <w:vAlign w:val="bottom"/>
            <w:hideMark/>
          </w:tcPr>
          <w:p w14:paraId="36E773AB" w14:textId="77777777" w:rsidR="00817272" w:rsidRPr="00AD67C2" w:rsidRDefault="00817272" w:rsidP="003E0733"/>
        </w:tc>
        <w:tc>
          <w:tcPr>
            <w:tcW w:w="261" w:type="dxa"/>
            <w:gridSpan w:val="2"/>
            <w:noWrap/>
            <w:vAlign w:val="bottom"/>
            <w:hideMark/>
          </w:tcPr>
          <w:p w14:paraId="684D3A70" w14:textId="77777777" w:rsidR="00817272" w:rsidRPr="00AD67C2" w:rsidRDefault="00817272" w:rsidP="003E0733"/>
        </w:tc>
        <w:tc>
          <w:tcPr>
            <w:tcW w:w="247" w:type="dxa"/>
            <w:gridSpan w:val="2"/>
            <w:noWrap/>
            <w:vAlign w:val="bottom"/>
            <w:hideMark/>
          </w:tcPr>
          <w:p w14:paraId="75C7DA4A" w14:textId="77777777" w:rsidR="00817272" w:rsidRPr="00AD67C2" w:rsidRDefault="00817272" w:rsidP="003E0733"/>
        </w:tc>
        <w:tc>
          <w:tcPr>
            <w:tcW w:w="247" w:type="dxa"/>
            <w:noWrap/>
            <w:vAlign w:val="bottom"/>
            <w:hideMark/>
          </w:tcPr>
          <w:p w14:paraId="0F0E2F8A" w14:textId="77777777" w:rsidR="00817272" w:rsidRPr="00AD67C2" w:rsidRDefault="00817272" w:rsidP="003E0733"/>
        </w:tc>
        <w:tc>
          <w:tcPr>
            <w:tcW w:w="247" w:type="dxa"/>
            <w:noWrap/>
            <w:vAlign w:val="bottom"/>
            <w:hideMark/>
          </w:tcPr>
          <w:p w14:paraId="2E426EEA" w14:textId="77777777" w:rsidR="00817272" w:rsidRPr="00AD67C2" w:rsidRDefault="00817272" w:rsidP="003E0733"/>
        </w:tc>
        <w:tc>
          <w:tcPr>
            <w:tcW w:w="247" w:type="dxa"/>
            <w:noWrap/>
            <w:vAlign w:val="bottom"/>
            <w:hideMark/>
          </w:tcPr>
          <w:p w14:paraId="45A5E02C" w14:textId="77777777" w:rsidR="00817272" w:rsidRPr="00AD67C2" w:rsidRDefault="00817272" w:rsidP="003E0733"/>
        </w:tc>
        <w:tc>
          <w:tcPr>
            <w:tcW w:w="247" w:type="dxa"/>
            <w:noWrap/>
            <w:vAlign w:val="bottom"/>
            <w:hideMark/>
          </w:tcPr>
          <w:p w14:paraId="0795D7AC" w14:textId="77777777" w:rsidR="00817272" w:rsidRPr="00AD67C2" w:rsidRDefault="00817272" w:rsidP="003E0733"/>
        </w:tc>
        <w:tc>
          <w:tcPr>
            <w:tcW w:w="247" w:type="dxa"/>
            <w:noWrap/>
            <w:vAlign w:val="bottom"/>
            <w:hideMark/>
          </w:tcPr>
          <w:p w14:paraId="1A7F933D" w14:textId="77777777" w:rsidR="00817272" w:rsidRPr="00AD67C2" w:rsidRDefault="00817272" w:rsidP="003E0733"/>
        </w:tc>
        <w:tc>
          <w:tcPr>
            <w:tcW w:w="305" w:type="dxa"/>
            <w:noWrap/>
            <w:vAlign w:val="bottom"/>
            <w:hideMark/>
          </w:tcPr>
          <w:p w14:paraId="2B405604" w14:textId="77777777" w:rsidR="00817272" w:rsidRPr="00AD67C2" w:rsidRDefault="00817272" w:rsidP="003E0733"/>
        </w:tc>
        <w:tc>
          <w:tcPr>
            <w:tcW w:w="280" w:type="dxa"/>
            <w:noWrap/>
            <w:vAlign w:val="bottom"/>
            <w:hideMark/>
          </w:tcPr>
          <w:p w14:paraId="5E309C89" w14:textId="77777777" w:rsidR="00817272" w:rsidRPr="00AD67C2" w:rsidRDefault="00817272" w:rsidP="003E0733"/>
        </w:tc>
        <w:tc>
          <w:tcPr>
            <w:tcW w:w="279" w:type="dxa"/>
            <w:noWrap/>
            <w:vAlign w:val="bottom"/>
            <w:hideMark/>
          </w:tcPr>
          <w:p w14:paraId="09F21FBF" w14:textId="77777777" w:rsidR="00817272" w:rsidRPr="00AD67C2" w:rsidRDefault="00817272" w:rsidP="003E0733"/>
        </w:tc>
        <w:tc>
          <w:tcPr>
            <w:tcW w:w="246" w:type="dxa"/>
            <w:gridSpan w:val="2"/>
            <w:noWrap/>
            <w:vAlign w:val="bottom"/>
            <w:hideMark/>
          </w:tcPr>
          <w:p w14:paraId="28B88C0C" w14:textId="77777777" w:rsidR="00817272" w:rsidRPr="00AD67C2" w:rsidRDefault="00817272" w:rsidP="003E0733"/>
        </w:tc>
        <w:tc>
          <w:tcPr>
            <w:tcW w:w="247" w:type="dxa"/>
            <w:noWrap/>
            <w:vAlign w:val="bottom"/>
            <w:hideMark/>
          </w:tcPr>
          <w:p w14:paraId="4AE181E6" w14:textId="77777777" w:rsidR="00817272" w:rsidRPr="00AD67C2" w:rsidRDefault="00817272" w:rsidP="003E0733"/>
        </w:tc>
        <w:tc>
          <w:tcPr>
            <w:tcW w:w="247" w:type="dxa"/>
            <w:noWrap/>
            <w:vAlign w:val="bottom"/>
            <w:hideMark/>
          </w:tcPr>
          <w:p w14:paraId="484130B7" w14:textId="77777777" w:rsidR="00817272" w:rsidRPr="00AD67C2" w:rsidRDefault="00817272" w:rsidP="003E0733"/>
        </w:tc>
        <w:tc>
          <w:tcPr>
            <w:tcW w:w="247" w:type="dxa"/>
            <w:noWrap/>
            <w:vAlign w:val="bottom"/>
            <w:hideMark/>
          </w:tcPr>
          <w:p w14:paraId="07F6C65C" w14:textId="77777777" w:rsidR="00817272" w:rsidRPr="00AD67C2" w:rsidRDefault="00817272" w:rsidP="003E0733"/>
        </w:tc>
        <w:tc>
          <w:tcPr>
            <w:tcW w:w="247" w:type="dxa"/>
            <w:noWrap/>
            <w:vAlign w:val="bottom"/>
            <w:hideMark/>
          </w:tcPr>
          <w:p w14:paraId="21245DCA" w14:textId="77777777" w:rsidR="00817272" w:rsidRPr="00AD67C2" w:rsidRDefault="00817272" w:rsidP="003E0733"/>
        </w:tc>
        <w:tc>
          <w:tcPr>
            <w:tcW w:w="247" w:type="dxa"/>
            <w:noWrap/>
            <w:vAlign w:val="bottom"/>
            <w:hideMark/>
          </w:tcPr>
          <w:p w14:paraId="0B2EC1DD" w14:textId="77777777" w:rsidR="00817272" w:rsidRPr="00AD67C2" w:rsidRDefault="00817272" w:rsidP="003E0733"/>
        </w:tc>
        <w:tc>
          <w:tcPr>
            <w:tcW w:w="305" w:type="dxa"/>
            <w:noWrap/>
            <w:vAlign w:val="bottom"/>
            <w:hideMark/>
          </w:tcPr>
          <w:p w14:paraId="1BCFE699" w14:textId="77777777" w:rsidR="00817272" w:rsidRPr="00AD67C2" w:rsidRDefault="00817272" w:rsidP="003E0733"/>
        </w:tc>
      </w:tr>
      <w:tr w:rsidR="00817272" w:rsidRPr="00AD67C2" w14:paraId="73804FC8" w14:textId="77777777" w:rsidTr="00817272">
        <w:trPr>
          <w:trHeight w:val="567"/>
        </w:trPr>
        <w:tc>
          <w:tcPr>
            <w:tcW w:w="500" w:type="dxa"/>
            <w:gridSpan w:val="2"/>
            <w:tcBorders>
              <w:top w:val="single" w:sz="4" w:space="0" w:color="auto"/>
              <w:left w:val="single" w:sz="4" w:space="0" w:color="auto"/>
              <w:bottom w:val="single" w:sz="4" w:space="0" w:color="auto"/>
              <w:right w:val="single" w:sz="4" w:space="0" w:color="auto"/>
            </w:tcBorders>
            <w:vAlign w:val="center"/>
            <w:hideMark/>
          </w:tcPr>
          <w:p w14:paraId="2DDEE4E6" w14:textId="77777777" w:rsidR="00817272" w:rsidRPr="00AD67C2" w:rsidRDefault="00817272" w:rsidP="003E0733">
            <w:pPr>
              <w:jc w:val="center"/>
              <w:rPr>
                <w:rFonts w:ascii="Garamond" w:eastAsia="Times New Roman" w:hAnsi="Garamond" w:cs="Arial"/>
              </w:rPr>
            </w:pPr>
            <w:r w:rsidRPr="00AD67C2">
              <w:rPr>
                <w:rFonts w:ascii="Garamond" w:eastAsia="Times New Roman" w:hAnsi="Garamond" w:cs="Arial"/>
              </w:rPr>
              <w:t>№</w:t>
            </w:r>
          </w:p>
        </w:tc>
        <w:tc>
          <w:tcPr>
            <w:tcW w:w="2353" w:type="dxa"/>
            <w:gridSpan w:val="9"/>
            <w:tcBorders>
              <w:top w:val="single" w:sz="4" w:space="0" w:color="auto"/>
              <w:left w:val="nil"/>
              <w:bottom w:val="single" w:sz="4" w:space="0" w:color="auto"/>
              <w:right w:val="single" w:sz="4" w:space="0" w:color="auto"/>
            </w:tcBorders>
            <w:vAlign w:val="center"/>
            <w:hideMark/>
          </w:tcPr>
          <w:p w14:paraId="5B00174E" w14:textId="77777777" w:rsidR="00817272" w:rsidRPr="00AD67C2" w:rsidRDefault="00817272" w:rsidP="003E0733">
            <w:pPr>
              <w:rPr>
                <w:rFonts w:ascii="Garamond" w:eastAsia="Times New Roman" w:hAnsi="Garamond" w:cs="Arial"/>
              </w:rPr>
            </w:pPr>
            <w:r w:rsidRPr="00AD67C2">
              <w:rPr>
                <w:rFonts w:ascii="Garamond" w:eastAsia="Times New Roman" w:hAnsi="Garamond" w:cs="Arial"/>
              </w:rPr>
              <w:t>Наименование услуги</w:t>
            </w:r>
          </w:p>
        </w:tc>
        <w:tc>
          <w:tcPr>
            <w:tcW w:w="1889" w:type="dxa"/>
            <w:gridSpan w:val="9"/>
            <w:tcBorders>
              <w:top w:val="single" w:sz="4" w:space="0" w:color="auto"/>
              <w:left w:val="nil"/>
              <w:bottom w:val="single" w:sz="4" w:space="0" w:color="auto"/>
              <w:right w:val="single" w:sz="4" w:space="0" w:color="auto"/>
            </w:tcBorders>
            <w:vAlign w:val="center"/>
            <w:hideMark/>
          </w:tcPr>
          <w:p w14:paraId="2D8AFDAE" w14:textId="77777777" w:rsidR="00817272" w:rsidRPr="00AD67C2" w:rsidRDefault="00817272" w:rsidP="003E0733">
            <w:pPr>
              <w:jc w:val="center"/>
              <w:rPr>
                <w:rFonts w:ascii="Garamond" w:eastAsia="Times New Roman" w:hAnsi="Garamond" w:cs="Arial"/>
              </w:rPr>
            </w:pPr>
            <w:r w:rsidRPr="00AD67C2">
              <w:rPr>
                <w:rFonts w:ascii="Garamond" w:eastAsia="Times New Roman" w:hAnsi="Garamond" w:cs="Arial"/>
              </w:rPr>
              <w:t>Цена, руб.</w:t>
            </w:r>
          </w:p>
        </w:tc>
        <w:tc>
          <w:tcPr>
            <w:tcW w:w="2348" w:type="dxa"/>
            <w:gridSpan w:val="10"/>
            <w:tcBorders>
              <w:top w:val="single" w:sz="4" w:space="0" w:color="auto"/>
              <w:left w:val="nil"/>
              <w:bottom w:val="single" w:sz="4" w:space="0" w:color="auto"/>
              <w:right w:val="single" w:sz="4" w:space="0" w:color="000000"/>
            </w:tcBorders>
            <w:vAlign w:val="center"/>
            <w:hideMark/>
          </w:tcPr>
          <w:p w14:paraId="4832B6BB" w14:textId="77777777" w:rsidR="00817272" w:rsidRPr="00AD67C2" w:rsidRDefault="00817272" w:rsidP="003E0733">
            <w:pPr>
              <w:jc w:val="center"/>
              <w:rPr>
                <w:rFonts w:ascii="Garamond" w:eastAsia="Times New Roman" w:hAnsi="Garamond" w:cs="Arial"/>
              </w:rPr>
            </w:pPr>
            <w:r w:rsidRPr="00AD67C2">
              <w:rPr>
                <w:rFonts w:ascii="Garamond" w:eastAsia="Times New Roman" w:hAnsi="Garamond" w:cs="Arial"/>
              </w:rPr>
              <w:t>Количество</w:t>
            </w:r>
          </w:p>
        </w:tc>
        <w:tc>
          <w:tcPr>
            <w:tcW w:w="1788" w:type="dxa"/>
            <w:gridSpan w:val="7"/>
            <w:tcBorders>
              <w:top w:val="single" w:sz="4" w:space="0" w:color="auto"/>
              <w:left w:val="nil"/>
              <w:bottom w:val="single" w:sz="4" w:space="0" w:color="auto"/>
              <w:right w:val="single" w:sz="4" w:space="0" w:color="auto"/>
            </w:tcBorders>
            <w:vAlign w:val="center"/>
            <w:hideMark/>
          </w:tcPr>
          <w:p w14:paraId="5C98F874" w14:textId="77777777" w:rsidR="00817272" w:rsidRPr="00AD67C2" w:rsidRDefault="00817272" w:rsidP="003E0733">
            <w:pPr>
              <w:jc w:val="center"/>
              <w:rPr>
                <w:rFonts w:ascii="Garamond" w:eastAsia="Times New Roman" w:hAnsi="Garamond" w:cs="Arial"/>
              </w:rPr>
            </w:pPr>
            <w:r w:rsidRPr="00AD67C2">
              <w:rPr>
                <w:rFonts w:ascii="Garamond" w:eastAsia="Times New Roman" w:hAnsi="Garamond" w:cs="Arial"/>
              </w:rPr>
              <w:t>Стоимость, руб.</w:t>
            </w:r>
          </w:p>
        </w:tc>
      </w:tr>
      <w:tr w:rsidR="00817272" w:rsidRPr="00AD67C2" w14:paraId="7DB5D1D8" w14:textId="77777777" w:rsidTr="00817272">
        <w:trPr>
          <w:trHeight w:val="757"/>
        </w:trPr>
        <w:tc>
          <w:tcPr>
            <w:tcW w:w="500" w:type="dxa"/>
            <w:gridSpan w:val="2"/>
            <w:tcBorders>
              <w:top w:val="single" w:sz="4" w:space="0" w:color="auto"/>
              <w:left w:val="single" w:sz="4" w:space="0" w:color="auto"/>
              <w:bottom w:val="single" w:sz="4" w:space="0" w:color="auto"/>
              <w:right w:val="single" w:sz="4" w:space="0" w:color="auto"/>
            </w:tcBorders>
            <w:noWrap/>
            <w:vAlign w:val="center"/>
            <w:hideMark/>
          </w:tcPr>
          <w:p w14:paraId="1C819D1A" w14:textId="77777777" w:rsidR="00817272" w:rsidRPr="00AD67C2" w:rsidRDefault="00817272" w:rsidP="003E0733">
            <w:pPr>
              <w:jc w:val="center"/>
              <w:rPr>
                <w:rFonts w:ascii="Garamond" w:eastAsia="Times New Roman" w:hAnsi="Garamond" w:cs="Arial"/>
              </w:rPr>
            </w:pPr>
            <w:r w:rsidRPr="00AD67C2">
              <w:rPr>
                <w:rFonts w:ascii="Garamond" w:eastAsia="Times New Roman" w:hAnsi="Garamond" w:cs="Arial"/>
              </w:rPr>
              <w:t>1</w:t>
            </w:r>
          </w:p>
        </w:tc>
        <w:tc>
          <w:tcPr>
            <w:tcW w:w="2353" w:type="dxa"/>
            <w:gridSpan w:val="9"/>
            <w:tcBorders>
              <w:top w:val="single" w:sz="4" w:space="0" w:color="auto"/>
              <w:left w:val="nil"/>
              <w:bottom w:val="single" w:sz="4" w:space="0" w:color="auto"/>
              <w:right w:val="single" w:sz="4" w:space="0" w:color="auto"/>
            </w:tcBorders>
            <w:vAlign w:val="bottom"/>
            <w:hideMark/>
          </w:tcPr>
          <w:p w14:paraId="3374A239" w14:textId="77777777" w:rsidR="00817272" w:rsidRPr="00AD67C2" w:rsidRDefault="00817272" w:rsidP="003E0733">
            <w:pPr>
              <w:jc w:val="right"/>
              <w:rPr>
                <w:rFonts w:ascii="Garamond" w:eastAsia="Times New Roman" w:hAnsi="Garamond" w:cs="Arial"/>
              </w:rPr>
            </w:pPr>
            <w:r w:rsidRPr="00AD67C2">
              <w:rPr>
                <w:rFonts w:ascii="Garamond" w:eastAsia="Times New Roman" w:hAnsi="Garamond" w:cs="Arial"/>
              </w:rPr>
              <w:t> </w:t>
            </w:r>
          </w:p>
        </w:tc>
        <w:tc>
          <w:tcPr>
            <w:tcW w:w="1889" w:type="dxa"/>
            <w:gridSpan w:val="9"/>
            <w:tcBorders>
              <w:top w:val="single" w:sz="4" w:space="0" w:color="auto"/>
              <w:left w:val="nil"/>
              <w:bottom w:val="single" w:sz="4" w:space="0" w:color="auto"/>
              <w:right w:val="single" w:sz="4" w:space="0" w:color="auto"/>
            </w:tcBorders>
            <w:noWrap/>
            <w:vAlign w:val="bottom"/>
            <w:hideMark/>
          </w:tcPr>
          <w:p w14:paraId="1C802BE4" w14:textId="77777777" w:rsidR="00817272" w:rsidRPr="00AD67C2" w:rsidRDefault="00817272" w:rsidP="003E0733">
            <w:pPr>
              <w:jc w:val="right"/>
              <w:rPr>
                <w:rFonts w:ascii="Garamond" w:eastAsia="Times New Roman" w:hAnsi="Garamond" w:cs="Arial"/>
              </w:rPr>
            </w:pPr>
            <w:r w:rsidRPr="00AD67C2">
              <w:rPr>
                <w:rFonts w:ascii="Garamond" w:eastAsia="Times New Roman" w:hAnsi="Garamond" w:cs="Arial"/>
              </w:rPr>
              <w:t> </w:t>
            </w:r>
          </w:p>
        </w:tc>
        <w:tc>
          <w:tcPr>
            <w:tcW w:w="2348" w:type="dxa"/>
            <w:gridSpan w:val="10"/>
            <w:tcBorders>
              <w:top w:val="single" w:sz="4" w:space="0" w:color="auto"/>
              <w:left w:val="nil"/>
              <w:bottom w:val="single" w:sz="4" w:space="0" w:color="auto"/>
              <w:right w:val="single" w:sz="4" w:space="0" w:color="auto"/>
            </w:tcBorders>
            <w:noWrap/>
            <w:vAlign w:val="bottom"/>
            <w:hideMark/>
          </w:tcPr>
          <w:p w14:paraId="7C2092BB" w14:textId="77777777" w:rsidR="00817272" w:rsidRPr="00AD67C2" w:rsidRDefault="00817272" w:rsidP="003E0733">
            <w:pPr>
              <w:jc w:val="center"/>
              <w:rPr>
                <w:rFonts w:ascii="Garamond" w:eastAsia="Times New Roman" w:hAnsi="Garamond" w:cs="Arial"/>
                <w:sz w:val="16"/>
                <w:szCs w:val="16"/>
              </w:rPr>
            </w:pPr>
            <w:r w:rsidRPr="00AD67C2">
              <w:rPr>
                <w:rFonts w:ascii="Garamond" w:eastAsia="Times New Roman" w:hAnsi="Garamond" w:cs="Arial"/>
                <w:sz w:val="16"/>
                <w:szCs w:val="16"/>
              </w:rPr>
              <w:t> </w:t>
            </w:r>
          </w:p>
        </w:tc>
        <w:tc>
          <w:tcPr>
            <w:tcW w:w="1788" w:type="dxa"/>
            <w:gridSpan w:val="7"/>
            <w:tcBorders>
              <w:top w:val="single" w:sz="4" w:space="0" w:color="auto"/>
              <w:left w:val="nil"/>
              <w:bottom w:val="single" w:sz="4" w:space="0" w:color="auto"/>
              <w:right w:val="single" w:sz="4" w:space="0" w:color="auto"/>
            </w:tcBorders>
            <w:noWrap/>
            <w:vAlign w:val="bottom"/>
            <w:hideMark/>
          </w:tcPr>
          <w:p w14:paraId="08AA0606" w14:textId="77777777" w:rsidR="00817272" w:rsidRPr="00AD67C2" w:rsidRDefault="00817272" w:rsidP="003E0733">
            <w:pPr>
              <w:jc w:val="right"/>
              <w:rPr>
                <w:rFonts w:ascii="Garamond" w:eastAsia="Times New Roman" w:hAnsi="Garamond" w:cs="Arial"/>
              </w:rPr>
            </w:pPr>
            <w:r w:rsidRPr="00AD67C2">
              <w:rPr>
                <w:rFonts w:ascii="Garamond" w:eastAsia="Times New Roman" w:hAnsi="Garamond" w:cs="Arial"/>
              </w:rPr>
              <w:t> </w:t>
            </w:r>
          </w:p>
        </w:tc>
      </w:tr>
      <w:tr w:rsidR="00817272" w:rsidRPr="00AD67C2" w14:paraId="7C11514C" w14:textId="77777777" w:rsidTr="00817272">
        <w:trPr>
          <w:trHeight w:val="188"/>
        </w:trPr>
        <w:tc>
          <w:tcPr>
            <w:tcW w:w="249" w:type="dxa"/>
            <w:noWrap/>
            <w:vAlign w:val="bottom"/>
            <w:hideMark/>
          </w:tcPr>
          <w:p w14:paraId="4340381D" w14:textId="77777777" w:rsidR="00817272" w:rsidRPr="00AD67C2" w:rsidRDefault="00817272" w:rsidP="003E0733">
            <w:pPr>
              <w:rPr>
                <w:rFonts w:ascii="Garamond" w:eastAsia="Times New Roman" w:hAnsi="Garamond" w:cs="Arial"/>
              </w:rPr>
            </w:pPr>
          </w:p>
        </w:tc>
        <w:tc>
          <w:tcPr>
            <w:tcW w:w="251" w:type="dxa"/>
            <w:noWrap/>
            <w:vAlign w:val="bottom"/>
            <w:hideMark/>
          </w:tcPr>
          <w:p w14:paraId="11B59910" w14:textId="77777777" w:rsidR="00817272" w:rsidRPr="00AD67C2" w:rsidRDefault="00817272" w:rsidP="003E0733"/>
        </w:tc>
        <w:tc>
          <w:tcPr>
            <w:tcW w:w="247" w:type="dxa"/>
            <w:noWrap/>
            <w:vAlign w:val="bottom"/>
            <w:hideMark/>
          </w:tcPr>
          <w:p w14:paraId="7EBDBD32" w14:textId="77777777" w:rsidR="00817272" w:rsidRPr="00AD67C2" w:rsidRDefault="00817272" w:rsidP="003E0733"/>
        </w:tc>
        <w:tc>
          <w:tcPr>
            <w:tcW w:w="247" w:type="dxa"/>
            <w:noWrap/>
            <w:vAlign w:val="bottom"/>
            <w:hideMark/>
          </w:tcPr>
          <w:p w14:paraId="501024D1" w14:textId="77777777" w:rsidR="00817272" w:rsidRPr="00AD67C2" w:rsidRDefault="00817272" w:rsidP="003E0733"/>
        </w:tc>
        <w:tc>
          <w:tcPr>
            <w:tcW w:w="247" w:type="dxa"/>
            <w:noWrap/>
            <w:vAlign w:val="bottom"/>
            <w:hideMark/>
          </w:tcPr>
          <w:p w14:paraId="1661574C" w14:textId="77777777" w:rsidR="00817272" w:rsidRPr="00AD67C2" w:rsidRDefault="00817272" w:rsidP="003E0733"/>
        </w:tc>
        <w:tc>
          <w:tcPr>
            <w:tcW w:w="281" w:type="dxa"/>
            <w:noWrap/>
            <w:vAlign w:val="bottom"/>
            <w:hideMark/>
          </w:tcPr>
          <w:p w14:paraId="2F5EAB45" w14:textId="77777777" w:rsidR="00817272" w:rsidRPr="00AD67C2" w:rsidRDefault="00817272" w:rsidP="003E0733"/>
        </w:tc>
        <w:tc>
          <w:tcPr>
            <w:tcW w:w="283" w:type="dxa"/>
            <w:noWrap/>
            <w:vAlign w:val="bottom"/>
            <w:hideMark/>
          </w:tcPr>
          <w:p w14:paraId="5DDD336E" w14:textId="77777777" w:rsidR="00817272" w:rsidRPr="00AD67C2" w:rsidRDefault="00817272" w:rsidP="003E0733"/>
        </w:tc>
        <w:tc>
          <w:tcPr>
            <w:tcW w:w="305" w:type="dxa"/>
            <w:noWrap/>
            <w:vAlign w:val="bottom"/>
            <w:hideMark/>
          </w:tcPr>
          <w:p w14:paraId="0A0AFA1A" w14:textId="77777777" w:rsidR="00817272" w:rsidRPr="00AD67C2" w:rsidRDefault="00817272" w:rsidP="003E0733"/>
        </w:tc>
        <w:tc>
          <w:tcPr>
            <w:tcW w:w="247" w:type="dxa"/>
            <w:noWrap/>
            <w:vAlign w:val="bottom"/>
            <w:hideMark/>
          </w:tcPr>
          <w:p w14:paraId="62296394" w14:textId="77777777" w:rsidR="00817272" w:rsidRPr="00AD67C2" w:rsidRDefault="00817272" w:rsidP="003E0733"/>
        </w:tc>
        <w:tc>
          <w:tcPr>
            <w:tcW w:w="247" w:type="dxa"/>
            <w:noWrap/>
            <w:vAlign w:val="bottom"/>
            <w:hideMark/>
          </w:tcPr>
          <w:p w14:paraId="68DDFE14" w14:textId="77777777" w:rsidR="00817272" w:rsidRPr="00AD67C2" w:rsidRDefault="00817272" w:rsidP="003E0733"/>
        </w:tc>
        <w:tc>
          <w:tcPr>
            <w:tcW w:w="247" w:type="dxa"/>
            <w:noWrap/>
            <w:vAlign w:val="bottom"/>
            <w:hideMark/>
          </w:tcPr>
          <w:p w14:paraId="276932E3" w14:textId="77777777" w:rsidR="00817272" w:rsidRPr="00AD67C2" w:rsidRDefault="00817272" w:rsidP="003E0733"/>
        </w:tc>
        <w:tc>
          <w:tcPr>
            <w:tcW w:w="264" w:type="dxa"/>
            <w:noWrap/>
            <w:vAlign w:val="bottom"/>
            <w:hideMark/>
          </w:tcPr>
          <w:p w14:paraId="09D1FE58" w14:textId="77777777" w:rsidR="00817272" w:rsidRPr="00AD67C2" w:rsidRDefault="00817272" w:rsidP="003E0733"/>
        </w:tc>
        <w:tc>
          <w:tcPr>
            <w:tcW w:w="263" w:type="dxa"/>
            <w:noWrap/>
            <w:vAlign w:val="bottom"/>
            <w:hideMark/>
          </w:tcPr>
          <w:p w14:paraId="58171B35" w14:textId="77777777" w:rsidR="00817272" w:rsidRPr="00AD67C2" w:rsidRDefault="00817272" w:rsidP="003E0733"/>
        </w:tc>
        <w:tc>
          <w:tcPr>
            <w:tcW w:w="263" w:type="dxa"/>
            <w:noWrap/>
            <w:vAlign w:val="bottom"/>
            <w:hideMark/>
          </w:tcPr>
          <w:p w14:paraId="097BA4A9" w14:textId="77777777" w:rsidR="00817272" w:rsidRPr="00AD67C2" w:rsidRDefault="00817272" w:rsidP="003E0733"/>
        </w:tc>
        <w:tc>
          <w:tcPr>
            <w:tcW w:w="262" w:type="dxa"/>
            <w:noWrap/>
            <w:vAlign w:val="bottom"/>
            <w:hideMark/>
          </w:tcPr>
          <w:p w14:paraId="6768AA27" w14:textId="77777777" w:rsidR="00817272" w:rsidRPr="00AD67C2" w:rsidRDefault="00817272" w:rsidP="003E0733"/>
        </w:tc>
        <w:tc>
          <w:tcPr>
            <w:tcW w:w="262" w:type="dxa"/>
            <w:noWrap/>
            <w:vAlign w:val="bottom"/>
            <w:hideMark/>
          </w:tcPr>
          <w:p w14:paraId="3554944D" w14:textId="77777777" w:rsidR="00817272" w:rsidRPr="00AD67C2" w:rsidRDefault="00817272" w:rsidP="003E0733"/>
        </w:tc>
        <w:tc>
          <w:tcPr>
            <w:tcW w:w="305" w:type="dxa"/>
            <w:noWrap/>
            <w:vAlign w:val="bottom"/>
            <w:hideMark/>
          </w:tcPr>
          <w:p w14:paraId="08CA2AAA" w14:textId="77777777" w:rsidR="00817272" w:rsidRPr="00AD67C2" w:rsidRDefault="00817272" w:rsidP="003E0733"/>
        </w:tc>
        <w:tc>
          <w:tcPr>
            <w:tcW w:w="261" w:type="dxa"/>
            <w:gridSpan w:val="2"/>
            <w:noWrap/>
            <w:vAlign w:val="bottom"/>
            <w:hideMark/>
          </w:tcPr>
          <w:p w14:paraId="4ED36352" w14:textId="77777777" w:rsidR="00817272" w:rsidRPr="00AD67C2" w:rsidRDefault="00817272" w:rsidP="003E0733"/>
        </w:tc>
        <w:tc>
          <w:tcPr>
            <w:tcW w:w="247" w:type="dxa"/>
            <w:gridSpan w:val="2"/>
            <w:noWrap/>
            <w:vAlign w:val="bottom"/>
            <w:hideMark/>
          </w:tcPr>
          <w:p w14:paraId="1E961709" w14:textId="77777777" w:rsidR="00817272" w:rsidRPr="00AD67C2" w:rsidRDefault="00817272" w:rsidP="003E0733"/>
        </w:tc>
        <w:tc>
          <w:tcPr>
            <w:tcW w:w="247" w:type="dxa"/>
            <w:noWrap/>
            <w:vAlign w:val="bottom"/>
            <w:hideMark/>
          </w:tcPr>
          <w:p w14:paraId="7EFE6A5D" w14:textId="77777777" w:rsidR="00817272" w:rsidRPr="00AD67C2" w:rsidRDefault="00817272" w:rsidP="003E0733"/>
        </w:tc>
        <w:tc>
          <w:tcPr>
            <w:tcW w:w="1853" w:type="dxa"/>
            <w:gridSpan w:val="7"/>
            <w:noWrap/>
            <w:vAlign w:val="bottom"/>
            <w:hideMark/>
          </w:tcPr>
          <w:p w14:paraId="01437789" w14:textId="77777777" w:rsidR="00817272" w:rsidRPr="00AD67C2" w:rsidRDefault="00817272" w:rsidP="003E0733">
            <w:pPr>
              <w:jc w:val="right"/>
              <w:rPr>
                <w:rFonts w:ascii="Garamond" w:eastAsia="Times New Roman" w:hAnsi="Garamond" w:cs="Arial"/>
                <w:b/>
                <w:bCs/>
              </w:rPr>
            </w:pPr>
            <w:r w:rsidRPr="00AD67C2">
              <w:rPr>
                <w:rFonts w:ascii="Garamond" w:eastAsia="Times New Roman" w:hAnsi="Garamond" w:cs="Arial"/>
                <w:b/>
                <w:bCs/>
              </w:rPr>
              <w:t>Итого:</w:t>
            </w:r>
          </w:p>
        </w:tc>
        <w:tc>
          <w:tcPr>
            <w:tcW w:w="1788" w:type="dxa"/>
            <w:gridSpan w:val="8"/>
            <w:tcBorders>
              <w:top w:val="single" w:sz="4" w:space="0" w:color="auto"/>
              <w:left w:val="single" w:sz="4" w:space="0" w:color="auto"/>
              <w:bottom w:val="single" w:sz="4" w:space="0" w:color="auto"/>
              <w:right w:val="single" w:sz="4" w:space="0" w:color="auto"/>
            </w:tcBorders>
            <w:noWrap/>
            <w:vAlign w:val="bottom"/>
            <w:hideMark/>
          </w:tcPr>
          <w:p w14:paraId="144D7F17" w14:textId="77777777" w:rsidR="00817272" w:rsidRPr="00AD67C2" w:rsidRDefault="00817272" w:rsidP="003E0733">
            <w:pPr>
              <w:jc w:val="right"/>
              <w:rPr>
                <w:rFonts w:ascii="Garamond" w:eastAsia="Times New Roman" w:hAnsi="Garamond" w:cs="Arial"/>
                <w:b/>
                <w:bCs/>
              </w:rPr>
            </w:pPr>
            <w:r w:rsidRPr="00AD67C2">
              <w:rPr>
                <w:rFonts w:ascii="Garamond" w:eastAsia="Times New Roman" w:hAnsi="Garamond" w:cs="Arial"/>
                <w:b/>
                <w:bCs/>
              </w:rPr>
              <w:t> </w:t>
            </w:r>
          </w:p>
        </w:tc>
      </w:tr>
      <w:tr w:rsidR="00817272" w:rsidRPr="00AD67C2" w14:paraId="39C1E04F" w14:textId="77777777" w:rsidTr="00817272">
        <w:trPr>
          <w:trHeight w:val="188"/>
        </w:trPr>
        <w:tc>
          <w:tcPr>
            <w:tcW w:w="249" w:type="dxa"/>
            <w:noWrap/>
            <w:vAlign w:val="bottom"/>
            <w:hideMark/>
          </w:tcPr>
          <w:p w14:paraId="3F68C1F0" w14:textId="77777777" w:rsidR="00817272" w:rsidRPr="00AD67C2" w:rsidRDefault="00817272" w:rsidP="003E0733">
            <w:pPr>
              <w:rPr>
                <w:rFonts w:ascii="Garamond" w:eastAsia="Times New Roman" w:hAnsi="Garamond" w:cs="Arial"/>
                <w:b/>
                <w:bCs/>
              </w:rPr>
            </w:pPr>
          </w:p>
        </w:tc>
        <w:tc>
          <w:tcPr>
            <w:tcW w:w="251" w:type="dxa"/>
            <w:noWrap/>
            <w:vAlign w:val="bottom"/>
            <w:hideMark/>
          </w:tcPr>
          <w:p w14:paraId="30E4F705" w14:textId="77777777" w:rsidR="00817272" w:rsidRPr="00AD67C2" w:rsidRDefault="00817272" w:rsidP="003E0733"/>
        </w:tc>
        <w:tc>
          <w:tcPr>
            <w:tcW w:w="247" w:type="dxa"/>
            <w:noWrap/>
            <w:vAlign w:val="bottom"/>
            <w:hideMark/>
          </w:tcPr>
          <w:p w14:paraId="5AE544B2" w14:textId="77777777" w:rsidR="00817272" w:rsidRPr="00AD67C2" w:rsidRDefault="00817272" w:rsidP="003E0733"/>
        </w:tc>
        <w:tc>
          <w:tcPr>
            <w:tcW w:w="247" w:type="dxa"/>
            <w:noWrap/>
            <w:vAlign w:val="bottom"/>
            <w:hideMark/>
          </w:tcPr>
          <w:p w14:paraId="28893E40" w14:textId="77777777" w:rsidR="00817272" w:rsidRPr="00AD67C2" w:rsidRDefault="00817272" w:rsidP="003E0733"/>
        </w:tc>
        <w:tc>
          <w:tcPr>
            <w:tcW w:w="247" w:type="dxa"/>
            <w:noWrap/>
            <w:vAlign w:val="bottom"/>
            <w:hideMark/>
          </w:tcPr>
          <w:p w14:paraId="3425F212" w14:textId="77777777" w:rsidR="00817272" w:rsidRPr="00AD67C2" w:rsidRDefault="00817272" w:rsidP="003E0733"/>
        </w:tc>
        <w:tc>
          <w:tcPr>
            <w:tcW w:w="281" w:type="dxa"/>
            <w:noWrap/>
            <w:vAlign w:val="bottom"/>
            <w:hideMark/>
          </w:tcPr>
          <w:p w14:paraId="2EC467B2" w14:textId="77777777" w:rsidR="00817272" w:rsidRPr="00AD67C2" w:rsidRDefault="00817272" w:rsidP="003E0733"/>
        </w:tc>
        <w:tc>
          <w:tcPr>
            <w:tcW w:w="283" w:type="dxa"/>
            <w:noWrap/>
            <w:vAlign w:val="bottom"/>
            <w:hideMark/>
          </w:tcPr>
          <w:p w14:paraId="3FCAD242" w14:textId="77777777" w:rsidR="00817272" w:rsidRPr="00AD67C2" w:rsidRDefault="00817272" w:rsidP="003E0733"/>
        </w:tc>
        <w:tc>
          <w:tcPr>
            <w:tcW w:w="305" w:type="dxa"/>
            <w:noWrap/>
            <w:vAlign w:val="bottom"/>
            <w:hideMark/>
          </w:tcPr>
          <w:p w14:paraId="62F10976" w14:textId="77777777" w:rsidR="00817272" w:rsidRPr="00AD67C2" w:rsidRDefault="00817272" w:rsidP="003E0733"/>
        </w:tc>
        <w:tc>
          <w:tcPr>
            <w:tcW w:w="247" w:type="dxa"/>
            <w:noWrap/>
            <w:vAlign w:val="bottom"/>
            <w:hideMark/>
          </w:tcPr>
          <w:p w14:paraId="5404EBC0" w14:textId="77777777" w:rsidR="00817272" w:rsidRPr="00AD67C2" w:rsidRDefault="00817272" w:rsidP="003E0733"/>
        </w:tc>
        <w:tc>
          <w:tcPr>
            <w:tcW w:w="247" w:type="dxa"/>
            <w:noWrap/>
            <w:vAlign w:val="bottom"/>
            <w:hideMark/>
          </w:tcPr>
          <w:p w14:paraId="5BD51691" w14:textId="77777777" w:rsidR="00817272" w:rsidRPr="00AD67C2" w:rsidRDefault="00817272" w:rsidP="003E0733"/>
        </w:tc>
        <w:tc>
          <w:tcPr>
            <w:tcW w:w="247" w:type="dxa"/>
            <w:noWrap/>
            <w:vAlign w:val="bottom"/>
            <w:hideMark/>
          </w:tcPr>
          <w:p w14:paraId="18CF8F25" w14:textId="77777777" w:rsidR="00817272" w:rsidRPr="00AD67C2" w:rsidRDefault="00817272" w:rsidP="003E0733"/>
        </w:tc>
        <w:tc>
          <w:tcPr>
            <w:tcW w:w="264" w:type="dxa"/>
            <w:noWrap/>
            <w:vAlign w:val="bottom"/>
            <w:hideMark/>
          </w:tcPr>
          <w:p w14:paraId="6DB34971" w14:textId="77777777" w:rsidR="00817272" w:rsidRPr="00AD67C2" w:rsidRDefault="00817272" w:rsidP="003E0733"/>
        </w:tc>
        <w:tc>
          <w:tcPr>
            <w:tcW w:w="263" w:type="dxa"/>
            <w:noWrap/>
            <w:vAlign w:val="bottom"/>
            <w:hideMark/>
          </w:tcPr>
          <w:p w14:paraId="12156D70" w14:textId="77777777" w:rsidR="00817272" w:rsidRPr="00AD67C2" w:rsidRDefault="00817272" w:rsidP="003E0733"/>
        </w:tc>
        <w:tc>
          <w:tcPr>
            <w:tcW w:w="263" w:type="dxa"/>
            <w:noWrap/>
            <w:vAlign w:val="bottom"/>
            <w:hideMark/>
          </w:tcPr>
          <w:p w14:paraId="5B141F0D" w14:textId="77777777" w:rsidR="00817272" w:rsidRPr="00AD67C2" w:rsidRDefault="00817272" w:rsidP="003E0733"/>
        </w:tc>
        <w:tc>
          <w:tcPr>
            <w:tcW w:w="262" w:type="dxa"/>
            <w:noWrap/>
            <w:vAlign w:val="bottom"/>
            <w:hideMark/>
          </w:tcPr>
          <w:p w14:paraId="2DF82CDC" w14:textId="77777777" w:rsidR="00817272" w:rsidRPr="00AD67C2" w:rsidRDefault="00817272" w:rsidP="003E0733"/>
        </w:tc>
        <w:tc>
          <w:tcPr>
            <w:tcW w:w="262" w:type="dxa"/>
            <w:noWrap/>
            <w:vAlign w:val="bottom"/>
            <w:hideMark/>
          </w:tcPr>
          <w:p w14:paraId="24DDC66B" w14:textId="77777777" w:rsidR="00817272" w:rsidRPr="00AD67C2" w:rsidRDefault="00817272" w:rsidP="003E0733"/>
        </w:tc>
        <w:tc>
          <w:tcPr>
            <w:tcW w:w="305" w:type="dxa"/>
            <w:noWrap/>
            <w:vAlign w:val="bottom"/>
            <w:hideMark/>
          </w:tcPr>
          <w:p w14:paraId="6B11D02F" w14:textId="77777777" w:rsidR="00817272" w:rsidRPr="00AD67C2" w:rsidRDefault="00817272" w:rsidP="003E0733"/>
        </w:tc>
        <w:tc>
          <w:tcPr>
            <w:tcW w:w="261" w:type="dxa"/>
            <w:gridSpan w:val="2"/>
            <w:noWrap/>
            <w:vAlign w:val="bottom"/>
            <w:hideMark/>
          </w:tcPr>
          <w:p w14:paraId="256C88B2" w14:textId="77777777" w:rsidR="00817272" w:rsidRPr="00AD67C2" w:rsidRDefault="00817272" w:rsidP="003E0733"/>
        </w:tc>
        <w:tc>
          <w:tcPr>
            <w:tcW w:w="247" w:type="dxa"/>
            <w:gridSpan w:val="2"/>
            <w:noWrap/>
            <w:vAlign w:val="bottom"/>
            <w:hideMark/>
          </w:tcPr>
          <w:p w14:paraId="4FC4E49D" w14:textId="77777777" w:rsidR="00817272" w:rsidRPr="00AD67C2" w:rsidRDefault="00817272" w:rsidP="003E0733"/>
        </w:tc>
        <w:tc>
          <w:tcPr>
            <w:tcW w:w="247" w:type="dxa"/>
            <w:noWrap/>
            <w:vAlign w:val="bottom"/>
            <w:hideMark/>
          </w:tcPr>
          <w:p w14:paraId="4F832D9B" w14:textId="77777777" w:rsidR="00817272" w:rsidRPr="00AD67C2" w:rsidRDefault="00817272" w:rsidP="003E0733"/>
        </w:tc>
        <w:tc>
          <w:tcPr>
            <w:tcW w:w="1853" w:type="dxa"/>
            <w:gridSpan w:val="7"/>
            <w:noWrap/>
            <w:vAlign w:val="bottom"/>
            <w:hideMark/>
          </w:tcPr>
          <w:p w14:paraId="76797397" w14:textId="77777777" w:rsidR="00817272" w:rsidRPr="00AD67C2" w:rsidRDefault="00817272" w:rsidP="003E0733">
            <w:pPr>
              <w:jc w:val="right"/>
              <w:rPr>
                <w:rFonts w:ascii="Garamond" w:eastAsia="Times New Roman" w:hAnsi="Garamond" w:cs="Arial"/>
                <w:b/>
                <w:bCs/>
              </w:rPr>
            </w:pPr>
            <w:r w:rsidRPr="00AD67C2">
              <w:rPr>
                <w:rFonts w:ascii="Garamond" w:eastAsia="Times New Roman" w:hAnsi="Garamond" w:cs="Arial"/>
                <w:b/>
                <w:bCs/>
              </w:rPr>
              <w:t>Итого НДС (20%):</w:t>
            </w:r>
          </w:p>
        </w:tc>
        <w:tc>
          <w:tcPr>
            <w:tcW w:w="1788" w:type="dxa"/>
            <w:gridSpan w:val="8"/>
            <w:tcBorders>
              <w:top w:val="single" w:sz="4" w:space="0" w:color="auto"/>
              <w:left w:val="single" w:sz="4" w:space="0" w:color="auto"/>
              <w:bottom w:val="single" w:sz="4" w:space="0" w:color="auto"/>
              <w:right w:val="single" w:sz="4" w:space="0" w:color="auto"/>
            </w:tcBorders>
            <w:noWrap/>
            <w:vAlign w:val="bottom"/>
            <w:hideMark/>
          </w:tcPr>
          <w:p w14:paraId="2C54515B" w14:textId="77777777" w:rsidR="00817272" w:rsidRPr="00AD67C2" w:rsidRDefault="00817272" w:rsidP="003E0733">
            <w:pPr>
              <w:jc w:val="right"/>
              <w:rPr>
                <w:rFonts w:ascii="Garamond" w:eastAsia="Times New Roman" w:hAnsi="Garamond" w:cs="Arial"/>
                <w:b/>
                <w:bCs/>
              </w:rPr>
            </w:pPr>
            <w:r w:rsidRPr="00AD67C2">
              <w:rPr>
                <w:rFonts w:ascii="Garamond" w:eastAsia="Times New Roman" w:hAnsi="Garamond" w:cs="Arial"/>
                <w:b/>
                <w:bCs/>
              </w:rPr>
              <w:t> </w:t>
            </w:r>
          </w:p>
        </w:tc>
      </w:tr>
      <w:tr w:rsidR="00817272" w:rsidRPr="00AD67C2" w14:paraId="760F2CFB" w14:textId="77777777" w:rsidTr="00817272">
        <w:trPr>
          <w:trHeight w:val="188"/>
        </w:trPr>
        <w:tc>
          <w:tcPr>
            <w:tcW w:w="249" w:type="dxa"/>
            <w:noWrap/>
            <w:vAlign w:val="bottom"/>
            <w:hideMark/>
          </w:tcPr>
          <w:p w14:paraId="5DC6FEC7" w14:textId="77777777" w:rsidR="00817272" w:rsidRPr="00AD67C2" w:rsidRDefault="00817272" w:rsidP="003E0733">
            <w:pPr>
              <w:rPr>
                <w:rFonts w:ascii="Garamond" w:eastAsia="Times New Roman" w:hAnsi="Garamond" w:cs="Arial"/>
                <w:b/>
                <w:bCs/>
              </w:rPr>
            </w:pPr>
          </w:p>
        </w:tc>
        <w:tc>
          <w:tcPr>
            <w:tcW w:w="251" w:type="dxa"/>
            <w:noWrap/>
            <w:vAlign w:val="bottom"/>
            <w:hideMark/>
          </w:tcPr>
          <w:p w14:paraId="36290E75" w14:textId="77777777" w:rsidR="00817272" w:rsidRPr="00AD67C2" w:rsidRDefault="00817272" w:rsidP="003E0733"/>
        </w:tc>
        <w:tc>
          <w:tcPr>
            <w:tcW w:w="247" w:type="dxa"/>
            <w:noWrap/>
            <w:vAlign w:val="bottom"/>
            <w:hideMark/>
          </w:tcPr>
          <w:p w14:paraId="601C6323" w14:textId="77777777" w:rsidR="00817272" w:rsidRPr="00AD67C2" w:rsidRDefault="00817272" w:rsidP="003E0733"/>
        </w:tc>
        <w:tc>
          <w:tcPr>
            <w:tcW w:w="247" w:type="dxa"/>
            <w:noWrap/>
            <w:vAlign w:val="bottom"/>
            <w:hideMark/>
          </w:tcPr>
          <w:p w14:paraId="3C141E3E" w14:textId="77777777" w:rsidR="00817272" w:rsidRPr="00AD67C2" w:rsidRDefault="00817272" w:rsidP="003E0733"/>
        </w:tc>
        <w:tc>
          <w:tcPr>
            <w:tcW w:w="247" w:type="dxa"/>
            <w:noWrap/>
            <w:vAlign w:val="bottom"/>
            <w:hideMark/>
          </w:tcPr>
          <w:p w14:paraId="6AD8F2E8" w14:textId="77777777" w:rsidR="00817272" w:rsidRPr="00AD67C2" w:rsidRDefault="00817272" w:rsidP="003E0733"/>
        </w:tc>
        <w:tc>
          <w:tcPr>
            <w:tcW w:w="281" w:type="dxa"/>
            <w:noWrap/>
            <w:vAlign w:val="bottom"/>
            <w:hideMark/>
          </w:tcPr>
          <w:p w14:paraId="1FEBABF0" w14:textId="77777777" w:rsidR="00817272" w:rsidRPr="00AD67C2" w:rsidRDefault="00817272" w:rsidP="003E0733"/>
        </w:tc>
        <w:tc>
          <w:tcPr>
            <w:tcW w:w="283" w:type="dxa"/>
            <w:noWrap/>
            <w:vAlign w:val="bottom"/>
            <w:hideMark/>
          </w:tcPr>
          <w:p w14:paraId="2F2FE131" w14:textId="77777777" w:rsidR="00817272" w:rsidRPr="00AD67C2" w:rsidRDefault="00817272" w:rsidP="003E0733"/>
        </w:tc>
        <w:tc>
          <w:tcPr>
            <w:tcW w:w="305" w:type="dxa"/>
            <w:noWrap/>
            <w:vAlign w:val="bottom"/>
            <w:hideMark/>
          </w:tcPr>
          <w:p w14:paraId="5ADEE7D2" w14:textId="77777777" w:rsidR="00817272" w:rsidRPr="00AD67C2" w:rsidRDefault="00817272" w:rsidP="003E0733"/>
        </w:tc>
        <w:tc>
          <w:tcPr>
            <w:tcW w:w="247" w:type="dxa"/>
            <w:noWrap/>
            <w:vAlign w:val="bottom"/>
            <w:hideMark/>
          </w:tcPr>
          <w:p w14:paraId="34704705" w14:textId="77777777" w:rsidR="00817272" w:rsidRPr="00AD67C2" w:rsidRDefault="00817272" w:rsidP="003E0733"/>
        </w:tc>
        <w:tc>
          <w:tcPr>
            <w:tcW w:w="247" w:type="dxa"/>
            <w:noWrap/>
            <w:vAlign w:val="bottom"/>
            <w:hideMark/>
          </w:tcPr>
          <w:p w14:paraId="52615B97" w14:textId="77777777" w:rsidR="00817272" w:rsidRPr="00AD67C2" w:rsidRDefault="00817272" w:rsidP="003E0733"/>
        </w:tc>
        <w:tc>
          <w:tcPr>
            <w:tcW w:w="247" w:type="dxa"/>
            <w:noWrap/>
            <w:vAlign w:val="bottom"/>
            <w:hideMark/>
          </w:tcPr>
          <w:p w14:paraId="7C038259" w14:textId="77777777" w:rsidR="00817272" w:rsidRPr="00AD67C2" w:rsidRDefault="00817272" w:rsidP="003E0733"/>
        </w:tc>
        <w:tc>
          <w:tcPr>
            <w:tcW w:w="264" w:type="dxa"/>
            <w:noWrap/>
            <w:vAlign w:val="bottom"/>
            <w:hideMark/>
          </w:tcPr>
          <w:p w14:paraId="2DAC9003" w14:textId="77777777" w:rsidR="00817272" w:rsidRPr="00AD67C2" w:rsidRDefault="00817272" w:rsidP="003E0733"/>
        </w:tc>
        <w:tc>
          <w:tcPr>
            <w:tcW w:w="263" w:type="dxa"/>
            <w:noWrap/>
            <w:vAlign w:val="bottom"/>
            <w:hideMark/>
          </w:tcPr>
          <w:p w14:paraId="501D8A59" w14:textId="77777777" w:rsidR="00817272" w:rsidRPr="00AD67C2" w:rsidRDefault="00817272" w:rsidP="003E0733"/>
        </w:tc>
        <w:tc>
          <w:tcPr>
            <w:tcW w:w="263" w:type="dxa"/>
            <w:noWrap/>
            <w:vAlign w:val="bottom"/>
            <w:hideMark/>
          </w:tcPr>
          <w:p w14:paraId="18514835" w14:textId="77777777" w:rsidR="00817272" w:rsidRPr="00AD67C2" w:rsidRDefault="00817272" w:rsidP="003E0733"/>
        </w:tc>
        <w:tc>
          <w:tcPr>
            <w:tcW w:w="262" w:type="dxa"/>
            <w:noWrap/>
            <w:vAlign w:val="bottom"/>
            <w:hideMark/>
          </w:tcPr>
          <w:p w14:paraId="014BE4DC" w14:textId="77777777" w:rsidR="00817272" w:rsidRPr="00AD67C2" w:rsidRDefault="00817272" w:rsidP="003E0733"/>
        </w:tc>
        <w:tc>
          <w:tcPr>
            <w:tcW w:w="262" w:type="dxa"/>
            <w:noWrap/>
            <w:vAlign w:val="bottom"/>
            <w:hideMark/>
          </w:tcPr>
          <w:p w14:paraId="579789F6" w14:textId="77777777" w:rsidR="00817272" w:rsidRPr="00AD67C2" w:rsidRDefault="00817272" w:rsidP="003E0733"/>
        </w:tc>
        <w:tc>
          <w:tcPr>
            <w:tcW w:w="305" w:type="dxa"/>
            <w:noWrap/>
            <w:vAlign w:val="bottom"/>
            <w:hideMark/>
          </w:tcPr>
          <w:p w14:paraId="6B948B7E" w14:textId="77777777" w:rsidR="00817272" w:rsidRPr="00AD67C2" w:rsidRDefault="00817272" w:rsidP="003E0733"/>
        </w:tc>
        <w:tc>
          <w:tcPr>
            <w:tcW w:w="261" w:type="dxa"/>
            <w:gridSpan w:val="2"/>
            <w:noWrap/>
            <w:vAlign w:val="bottom"/>
            <w:hideMark/>
          </w:tcPr>
          <w:p w14:paraId="3CB84002" w14:textId="77777777" w:rsidR="00817272" w:rsidRPr="00AD67C2" w:rsidRDefault="00817272" w:rsidP="003E0733"/>
        </w:tc>
        <w:tc>
          <w:tcPr>
            <w:tcW w:w="247" w:type="dxa"/>
            <w:gridSpan w:val="2"/>
            <w:noWrap/>
            <w:vAlign w:val="bottom"/>
            <w:hideMark/>
          </w:tcPr>
          <w:p w14:paraId="037C6179" w14:textId="77777777" w:rsidR="00817272" w:rsidRPr="00AD67C2" w:rsidRDefault="00817272" w:rsidP="003E0733"/>
        </w:tc>
        <w:tc>
          <w:tcPr>
            <w:tcW w:w="247" w:type="dxa"/>
            <w:noWrap/>
            <w:vAlign w:val="bottom"/>
            <w:hideMark/>
          </w:tcPr>
          <w:p w14:paraId="55B42324" w14:textId="77777777" w:rsidR="00817272" w:rsidRPr="00AD67C2" w:rsidRDefault="00817272" w:rsidP="003E0733"/>
        </w:tc>
        <w:tc>
          <w:tcPr>
            <w:tcW w:w="1853" w:type="dxa"/>
            <w:gridSpan w:val="7"/>
            <w:noWrap/>
            <w:vAlign w:val="bottom"/>
            <w:hideMark/>
          </w:tcPr>
          <w:p w14:paraId="7AB50127" w14:textId="77777777" w:rsidR="00817272" w:rsidRPr="00AD67C2" w:rsidRDefault="00817272" w:rsidP="003E0733">
            <w:pPr>
              <w:jc w:val="right"/>
              <w:rPr>
                <w:rFonts w:ascii="Garamond" w:eastAsia="Times New Roman" w:hAnsi="Garamond" w:cs="Arial"/>
                <w:b/>
                <w:bCs/>
              </w:rPr>
            </w:pPr>
            <w:r w:rsidRPr="00AD67C2">
              <w:rPr>
                <w:rFonts w:ascii="Garamond" w:eastAsia="Times New Roman" w:hAnsi="Garamond" w:cs="Arial"/>
                <w:b/>
                <w:bCs/>
              </w:rPr>
              <w:t>Всего (с учетом НДС):</w:t>
            </w:r>
          </w:p>
        </w:tc>
        <w:tc>
          <w:tcPr>
            <w:tcW w:w="1788" w:type="dxa"/>
            <w:gridSpan w:val="8"/>
            <w:tcBorders>
              <w:top w:val="single" w:sz="4" w:space="0" w:color="auto"/>
              <w:left w:val="single" w:sz="4" w:space="0" w:color="auto"/>
              <w:bottom w:val="single" w:sz="4" w:space="0" w:color="auto"/>
              <w:right w:val="single" w:sz="4" w:space="0" w:color="auto"/>
            </w:tcBorders>
            <w:noWrap/>
            <w:vAlign w:val="bottom"/>
            <w:hideMark/>
          </w:tcPr>
          <w:p w14:paraId="0CFA36A6" w14:textId="77777777" w:rsidR="00817272" w:rsidRPr="00AD67C2" w:rsidRDefault="00817272" w:rsidP="003E0733">
            <w:pPr>
              <w:jc w:val="right"/>
              <w:rPr>
                <w:rFonts w:ascii="Garamond" w:eastAsia="Times New Roman" w:hAnsi="Garamond" w:cs="Arial"/>
                <w:b/>
                <w:bCs/>
              </w:rPr>
            </w:pPr>
            <w:r w:rsidRPr="00AD67C2">
              <w:rPr>
                <w:rFonts w:ascii="Garamond" w:eastAsia="Times New Roman" w:hAnsi="Garamond" w:cs="Arial"/>
                <w:b/>
                <w:bCs/>
              </w:rPr>
              <w:t> </w:t>
            </w:r>
          </w:p>
        </w:tc>
      </w:tr>
      <w:tr w:rsidR="00817272" w:rsidRPr="00AD67C2" w14:paraId="50E8D9CC" w14:textId="77777777" w:rsidTr="00817272">
        <w:trPr>
          <w:trHeight w:val="167"/>
        </w:trPr>
        <w:tc>
          <w:tcPr>
            <w:tcW w:w="249" w:type="dxa"/>
            <w:noWrap/>
            <w:vAlign w:val="bottom"/>
            <w:hideMark/>
          </w:tcPr>
          <w:p w14:paraId="3F3D9F9B" w14:textId="77777777" w:rsidR="00817272" w:rsidRPr="00AD67C2" w:rsidRDefault="00817272" w:rsidP="003E0733">
            <w:pPr>
              <w:rPr>
                <w:rFonts w:ascii="Garamond" w:eastAsia="Times New Roman" w:hAnsi="Garamond" w:cs="Arial"/>
                <w:b/>
                <w:bCs/>
              </w:rPr>
            </w:pPr>
          </w:p>
        </w:tc>
        <w:tc>
          <w:tcPr>
            <w:tcW w:w="251" w:type="dxa"/>
            <w:noWrap/>
            <w:vAlign w:val="bottom"/>
            <w:hideMark/>
          </w:tcPr>
          <w:p w14:paraId="3A20D20E" w14:textId="77777777" w:rsidR="00817272" w:rsidRPr="00AD67C2" w:rsidRDefault="00817272" w:rsidP="003E0733"/>
        </w:tc>
        <w:tc>
          <w:tcPr>
            <w:tcW w:w="247" w:type="dxa"/>
            <w:noWrap/>
            <w:vAlign w:val="bottom"/>
            <w:hideMark/>
          </w:tcPr>
          <w:p w14:paraId="18272746" w14:textId="77777777" w:rsidR="00817272" w:rsidRPr="00AD67C2" w:rsidRDefault="00817272" w:rsidP="003E0733"/>
        </w:tc>
        <w:tc>
          <w:tcPr>
            <w:tcW w:w="247" w:type="dxa"/>
            <w:noWrap/>
            <w:vAlign w:val="bottom"/>
            <w:hideMark/>
          </w:tcPr>
          <w:p w14:paraId="311A6725" w14:textId="77777777" w:rsidR="00817272" w:rsidRPr="00AD67C2" w:rsidRDefault="00817272" w:rsidP="003E0733"/>
        </w:tc>
        <w:tc>
          <w:tcPr>
            <w:tcW w:w="247" w:type="dxa"/>
            <w:noWrap/>
            <w:vAlign w:val="bottom"/>
            <w:hideMark/>
          </w:tcPr>
          <w:p w14:paraId="5CF3D18E" w14:textId="77777777" w:rsidR="00817272" w:rsidRPr="00AD67C2" w:rsidRDefault="00817272" w:rsidP="003E0733"/>
        </w:tc>
        <w:tc>
          <w:tcPr>
            <w:tcW w:w="281" w:type="dxa"/>
            <w:noWrap/>
            <w:vAlign w:val="bottom"/>
            <w:hideMark/>
          </w:tcPr>
          <w:p w14:paraId="10BB09A2" w14:textId="77777777" w:rsidR="00817272" w:rsidRPr="00AD67C2" w:rsidRDefault="00817272" w:rsidP="003E0733"/>
        </w:tc>
        <w:tc>
          <w:tcPr>
            <w:tcW w:w="283" w:type="dxa"/>
            <w:noWrap/>
            <w:vAlign w:val="bottom"/>
            <w:hideMark/>
          </w:tcPr>
          <w:p w14:paraId="726D458B" w14:textId="77777777" w:rsidR="00817272" w:rsidRPr="00AD67C2" w:rsidRDefault="00817272" w:rsidP="003E0733"/>
        </w:tc>
        <w:tc>
          <w:tcPr>
            <w:tcW w:w="305" w:type="dxa"/>
            <w:noWrap/>
            <w:vAlign w:val="bottom"/>
            <w:hideMark/>
          </w:tcPr>
          <w:p w14:paraId="6511E074" w14:textId="77777777" w:rsidR="00817272" w:rsidRPr="00AD67C2" w:rsidRDefault="00817272" w:rsidP="003E0733"/>
        </w:tc>
        <w:tc>
          <w:tcPr>
            <w:tcW w:w="247" w:type="dxa"/>
            <w:noWrap/>
            <w:vAlign w:val="bottom"/>
            <w:hideMark/>
          </w:tcPr>
          <w:p w14:paraId="79DC9ED3" w14:textId="77777777" w:rsidR="00817272" w:rsidRPr="00AD67C2" w:rsidRDefault="00817272" w:rsidP="003E0733"/>
        </w:tc>
        <w:tc>
          <w:tcPr>
            <w:tcW w:w="247" w:type="dxa"/>
            <w:noWrap/>
            <w:vAlign w:val="bottom"/>
            <w:hideMark/>
          </w:tcPr>
          <w:p w14:paraId="1FC5F8F1" w14:textId="77777777" w:rsidR="00817272" w:rsidRPr="00AD67C2" w:rsidRDefault="00817272" w:rsidP="003E0733"/>
        </w:tc>
        <w:tc>
          <w:tcPr>
            <w:tcW w:w="247" w:type="dxa"/>
            <w:noWrap/>
            <w:vAlign w:val="bottom"/>
            <w:hideMark/>
          </w:tcPr>
          <w:p w14:paraId="08EC0BCC" w14:textId="77777777" w:rsidR="00817272" w:rsidRPr="00AD67C2" w:rsidRDefault="00817272" w:rsidP="003E0733"/>
        </w:tc>
        <w:tc>
          <w:tcPr>
            <w:tcW w:w="264" w:type="dxa"/>
            <w:noWrap/>
            <w:vAlign w:val="bottom"/>
            <w:hideMark/>
          </w:tcPr>
          <w:p w14:paraId="628D4735" w14:textId="77777777" w:rsidR="00817272" w:rsidRPr="00AD67C2" w:rsidRDefault="00817272" w:rsidP="003E0733"/>
        </w:tc>
        <w:tc>
          <w:tcPr>
            <w:tcW w:w="263" w:type="dxa"/>
            <w:noWrap/>
            <w:vAlign w:val="bottom"/>
            <w:hideMark/>
          </w:tcPr>
          <w:p w14:paraId="60F19BA3" w14:textId="77777777" w:rsidR="00817272" w:rsidRPr="00AD67C2" w:rsidRDefault="00817272" w:rsidP="003E0733"/>
        </w:tc>
        <w:tc>
          <w:tcPr>
            <w:tcW w:w="263" w:type="dxa"/>
            <w:noWrap/>
            <w:vAlign w:val="bottom"/>
            <w:hideMark/>
          </w:tcPr>
          <w:p w14:paraId="2FEC9ED2" w14:textId="77777777" w:rsidR="00817272" w:rsidRPr="00AD67C2" w:rsidRDefault="00817272" w:rsidP="003E0733"/>
        </w:tc>
        <w:tc>
          <w:tcPr>
            <w:tcW w:w="262" w:type="dxa"/>
            <w:noWrap/>
            <w:vAlign w:val="bottom"/>
            <w:hideMark/>
          </w:tcPr>
          <w:p w14:paraId="2395B9A1" w14:textId="77777777" w:rsidR="00817272" w:rsidRPr="00AD67C2" w:rsidRDefault="00817272" w:rsidP="003E0733"/>
        </w:tc>
        <w:tc>
          <w:tcPr>
            <w:tcW w:w="262" w:type="dxa"/>
            <w:noWrap/>
            <w:vAlign w:val="bottom"/>
            <w:hideMark/>
          </w:tcPr>
          <w:p w14:paraId="41FF1913" w14:textId="77777777" w:rsidR="00817272" w:rsidRPr="00AD67C2" w:rsidRDefault="00817272" w:rsidP="003E0733"/>
        </w:tc>
        <w:tc>
          <w:tcPr>
            <w:tcW w:w="305" w:type="dxa"/>
            <w:noWrap/>
            <w:vAlign w:val="bottom"/>
            <w:hideMark/>
          </w:tcPr>
          <w:p w14:paraId="7271C198" w14:textId="77777777" w:rsidR="00817272" w:rsidRPr="00AD67C2" w:rsidRDefault="00817272" w:rsidP="003E0733"/>
        </w:tc>
        <w:tc>
          <w:tcPr>
            <w:tcW w:w="261" w:type="dxa"/>
            <w:gridSpan w:val="2"/>
            <w:noWrap/>
            <w:vAlign w:val="bottom"/>
            <w:hideMark/>
          </w:tcPr>
          <w:p w14:paraId="111CE04E" w14:textId="77777777" w:rsidR="00817272" w:rsidRPr="00AD67C2" w:rsidRDefault="00817272" w:rsidP="003E0733"/>
        </w:tc>
        <w:tc>
          <w:tcPr>
            <w:tcW w:w="247" w:type="dxa"/>
            <w:gridSpan w:val="2"/>
            <w:noWrap/>
            <w:vAlign w:val="bottom"/>
            <w:hideMark/>
          </w:tcPr>
          <w:p w14:paraId="1BD5BC06" w14:textId="77777777" w:rsidR="00817272" w:rsidRPr="00AD67C2" w:rsidRDefault="00817272" w:rsidP="003E0733"/>
        </w:tc>
        <w:tc>
          <w:tcPr>
            <w:tcW w:w="247" w:type="dxa"/>
            <w:noWrap/>
            <w:vAlign w:val="bottom"/>
            <w:hideMark/>
          </w:tcPr>
          <w:p w14:paraId="719AE1AE" w14:textId="77777777" w:rsidR="00817272" w:rsidRPr="00AD67C2" w:rsidRDefault="00817272" w:rsidP="003E0733"/>
        </w:tc>
        <w:tc>
          <w:tcPr>
            <w:tcW w:w="247" w:type="dxa"/>
            <w:noWrap/>
            <w:vAlign w:val="bottom"/>
            <w:hideMark/>
          </w:tcPr>
          <w:p w14:paraId="5DD0D68E" w14:textId="77777777" w:rsidR="00817272" w:rsidRPr="00AD67C2" w:rsidRDefault="00817272" w:rsidP="003E0733"/>
        </w:tc>
        <w:tc>
          <w:tcPr>
            <w:tcW w:w="247" w:type="dxa"/>
            <w:noWrap/>
            <w:vAlign w:val="bottom"/>
            <w:hideMark/>
          </w:tcPr>
          <w:p w14:paraId="2FC3F9A7" w14:textId="77777777" w:rsidR="00817272" w:rsidRPr="00AD67C2" w:rsidRDefault="00817272" w:rsidP="003E0733"/>
        </w:tc>
        <w:tc>
          <w:tcPr>
            <w:tcW w:w="247" w:type="dxa"/>
            <w:noWrap/>
            <w:vAlign w:val="bottom"/>
            <w:hideMark/>
          </w:tcPr>
          <w:p w14:paraId="0C4D3D02" w14:textId="77777777" w:rsidR="00817272" w:rsidRPr="00AD67C2" w:rsidRDefault="00817272" w:rsidP="003E0733"/>
        </w:tc>
        <w:tc>
          <w:tcPr>
            <w:tcW w:w="247" w:type="dxa"/>
            <w:noWrap/>
            <w:vAlign w:val="bottom"/>
            <w:hideMark/>
          </w:tcPr>
          <w:p w14:paraId="0A2A3831" w14:textId="77777777" w:rsidR="00817272" w:rsidRPr="00AD67C2" w:rsidRDefault="00817272" w:rsidP="003E0733"/>
        </w:tc>
        <w:tc>
          <w:tcPr>
            <w:tcW w:w="305" w:type="dxa"/>
            <w:noWrap/>
            <w:vAlign w:val="bottom"/>
            <w:hideMark/>
          </w:tcPr>
          <w:p w14:paraId="10BA67B3" w14:textId="77777777" w:rsidR="00817272" w:rsidRPr="00AD67C2" w:rsidRDefault="00817272" w:rsidP="003E0733"/>
        </w:tc>
        <w:tc>
          <w:tcPr>
            <w:tcW w:w="280" w:type="dxa"/>
            <w:noWrap/>
            <w:vAlign w:val="bottom"/>
            <w:hideMark/>
          </w:tcPr>
          <w:p w14:paraId="5A2904D5" w14:textId="77777777" w:rsidR="00817272" w:rsidRPr="00AD67C2" w:rsidRDefault="00817272" w:rsidP="003E0733"/>
        </w:tc>
        <w:tc>
          <w:tcPr>
            <w:tcW w:w="279" w:type="dxa"/>
            <w:noWrap/>
            <w:vAlign w:val="bottom"/>
            <w:hideMark/>
          </w:tcPr>
          <w:p w14:paraId="72AB522B" w14:textId="77777777" w:rsidR="00817272" w:rsidRPr="00AD67C2" w:rsidRDefault="00817272" w:rsidP="003E0733"/>
        </w:tc>
        <w:tc>
          <w:tcPr>
            <w:tcW w:w="246" w:type="dxa"/>
            <w:gridSpan w:val="2"/>
            <w:noWrap/>
            <w:vAlign w:val="bottom"/>
            <w:hideMark/>
          </w:tcPr>
          <w:p w14:paraId="317C1FF4" w14:textId="77777777" w:rsidR="00817272" w:rsidRPr="00AD67C2" w:rsidRDefault="00817272" w:rsidP="003E0733"/>
        </w:tc>
        <w:tc>
          <w:tcPr>
            <w:tcW w:w="247" w:type="dxa"/>
            <w:noWrap/>
            <w:vAlign w:val="bottom"/>
            <w:hideMark/>
          </w:tcPr>
          <w:p w14:paraId="01E28F83" w14:textId="77777777" w:rsidR="00817272" w:rsidRPr="00AD67C2" w:rsidRDefault="00817272" w:rsidP="003E0733"/>
        </w:tc>
        <w:tc>
          <w:tcPr>
            <w:tcW w:w="247" w:type="dxa"/>
            <w:noWrap/>
            <w:vAlign w:val="bottom"/>
            <w:hideMark/>
          </w:tcPr>
          <w:p w14:paraId="6BA84D15" w14:textId="77777777" w:rsidR="00817272" w:rsidRPr="00AD67C2" w:rsidRDefault="00817272" w:rsidP="003E0733"/>
        </w:tc>
        <w:tc>
          <w:tcPr>
            <w:tcW w:w="247" w:type="dxa"/>
            <w:noWrap/>
            <w:vAlign w:val="bottom"/>
            <w:hideMark/>
          </w:tcPr>
          <w:p w14:paraId="32A21D30" w14:textId="77777777" w:rsidR="00817272" w:rsidRPr="00AD67C2" w:rsidRDefault="00817272" w:rsidP="003E0733"/>
        </w:tc>
        <w:tc>
          <w:tcPr>
            <w:tcW w:w="247" w:type="dxa"/>
            <w:noWrap/>
            <w:vAlign w:val="bottom"/>
            <w:hideMark/>
          </w:tcPr>
          <w:p w14:paraId="10467CE7" w14:textId="77777777" w:rsidR="00817272" w:rsidRPr="00AD67C2" w:rsidRDefault="00817272" w:rsidP="003E0733"/>
        </w:tc>
        <w:tc>
          <w:tcPr>
            <w:tcW w:w="247" w:type="dxa"/>
            <w:noWrap/>
            <w:vAlign w:val="bottom"/>
            <w:hideMark/>
          </w:tcPr>
          <w:p w14:paraId="7B3261D0" w14:textId="77777777" w:rsidR="00817272" w:rsidRPr="00AD67C2" w:rsidRDefault="00817272" w:rsidP="003E0733"/>
        </w:tc>
        <w:tc>
          <w:tcPr>
            <w:tcW w:w="305" w:type="dxa"/>
            <w:noWrap/>
            <w:vAlign w:val="bottom"/>
            <w:hideMark/>
          </w:tcPr>
          <w:p w14:paraId="56DF55BB" w14:textId="77777777" w:rsidR="00817272" w:rsidRPr="00AD67C2" w:rsidRDefault="00817272" w:rsidP="003E0733"/>
        </w:tc>
      </w:tr>
      <w:tr w:rsidR="00817272" w:rsidRPr="00AD67C2" w14:paraId="447E3DD1" w14:textId="77777777" w:rsidTr="00817272">
        <w:trPr>
          <w:trHeight w:val="225"/>
        </w:trPr>
        <w:tc>
          <w:tcPr>
            <w:tcW w:w="8880" w:type="dxa"/>
            <w:gridSpan w:val="37"/>
            <w:vMerge w:val="restart"/>
            <w:vAlign w:val="center"/>
            <w:hideMark/>
          </w:tcPr>
          <w:p w14:paraId="0FF85269" w14:textId="3471B106" w:rsidR="00817272" w:rsidRPr="00AD67C2" w:rsidRDefault="00817272" w:rsidP="009B5F03">
            <w:pPr>
              <w:rPr>
                <w:rFonts w:ascii="Garamond" w:eastAsia="Times New Roman" w:hAnsi="Garamond" w:cs="Arial"/>
              </w:rPr>
            </w:pPr>
            <w:r w:rsidRPr="00AD67C2">
              <w:rPr>
                <w:rFonts w:ascii="Garamond" w:eastAsia="Times New Roman" w:hAnsi="Garamond" w:cs="Arial"/>
              </w:rPr>
              <w:t>Всего оказана услуга на сумму: _________, в т.ч.: НДС ____________</w:t>
            </w:r>
          </w:p>
        </w:tc>
      </w:tr>
      <w:tr w:rsidR="00817272" w:rsidRPr="00AD67C2" w14:paraId="05825798" w14:textId="77777777" w:rsidTr="00817272">
        <w:trPr>
          <w:trHeight w:val="423"/>
        </w:trPr>
        <w:tc>
          <w:tcPr>
            <w:tcW w:w="0" w:type="auto"/>
            <w:gridSpan w:val="37"/>
            <w:vMerge/>
            <w:vAlign w:val="center"/>
            <w:hideMark/>
          </w:tcPr>
          <w:p w14:paraId="3A165331" w14:textId="77777777" w:rsidR="00817272" w:rsidRPr="00AD67C2" w:rsidRDefault="00817272" w:rsidP="003E0733">
            <w:pPr>
              <w:rPr>
                <w:rFonts w:ascii="Garamond" w:eastAsia="Times New Roman" w:hAnsi="Garamond" w:cs="Arial"/>
              </w:rPr>
            </w:pPr>
          </w:p>
        </w:tc>
      </w:tr>
      <w:tr w:rsidR="00817272" w:rsidRPr="00AD67C2" w14:paraId="331F6F2C" w14:textId="77777777" w:rsidTr="00817272">
        <w:trPr>
          <w:trHeight w:val="423"/>
        </w:trPr>
        <w:tc>
          <w:tcPr>
            <w:tcW w:w="0" w:type="auto"/>
            <w:gridSpan w:val="37"/>
            <w:vMerge/>
            <w:vAlign w:val="center"/>
            <w:hideMark/>
          </w:tcPr>
          <w:p w14:paraId="74671F0F" w14:textId="77777777" w:rsidR="00817272" w:rsidRPr="00AD67C2" w:rsidRDefault="00817272" w:rsidP="003E0733">
            <w:pPr>
              <w:rPr>
                <w:rFonts w:ascii="Garamond" w:eastAsia="Times New Roman" w:hAnsi="Garamond" w:cs="Arial"/>
              </w:rPr>
            </w:pPr>
          </w:p>
        </w:tc>
      </w:tr>
      <w:tr w:rsidR="00817272" w:rsidRPr="00AD67C2" w14:paraId="1553C262" w14:textId="77777777" w:rsidTr="00817272">
        <w:trPr>
          <w:trHeight w:val="167"/>
        </w:trPr>
        <w:tc>
          <w:tcPr>
            <w:tcW w:w="249" w:type="dxa"/>
            <w:noWrap/>
            <w:vAlign w:val="bottom"/>
            <w:hideMark/>
          </w:tcPr>
          <w:p w14:paraId="57F8B40A" w14:textId="77777777" w:rsidR="00817272" w:rsidRPr="00AD67C2" w:rsidRDefault="00817272" w:rsidP="003E0733">
            <w:pPr>
              <w:rPr>
                <w:rFonts w:ascii="Garamond" w:eastAsia="Times New Roman" w:hAnsi="Garamond" w:cs="Arial"/>
              </w:rPr>
            </w:pPr>
          </w:p>
        </w:tc>
        <w:tc>
          <w:tcPr>
            <w:tcW w:w="251" w:type="dxa"/>
            <w:noWrap/>
            <w:vAlign w:val="bottom"/>
            <w:hideMark/>
          </w:tcPr>
          <w:p w14:paraId="7B1FC14A" w14:textId="77777777" w:rsidR="00817272" w:rsidRPr="00AD67C2" w:rsidRDefault="00817272" w:rsidP="003E0733"/>
        </w:tc>
        <w:tc>
          <w:tcPr>
            <w:tcW w:w="247" w:type="dxa"/>
            <w:noWrap/>
            <w:vAlign w:val="bottom"/>
            <w:hideMark/>
          </w:tcPr>
          <w:p w14:paraId="0C473609" w14:textId="77777777" w:rsidR="00817272" w:rsidRPr="00AD67C2" w:rsidRDefault="00817272" w:rsidP="003E0733"/>
        </w:tc>
        <w:tc>
          <w:tcPr>
            <w:tcW w:w="247" w:type="dxa"/>
            <w:noWrap/>
            <w:vAlign w:val="bottom"/>
            <w:hideMark/>
          </w:tcPr>
          <w:p w14:paraId="22F0BE61" w14:textId="77777777" w:rsidR="00817272" w:rsidRPr="00AD67C2" w:rsidRDefault="00817272" w:rsidP="003E0733"/>
        </w:tc>
        <w:tc>
          <w:tcPr>
            <w:tcW w:w="247" w:type="dxa"/>
            <w:noWrap/>
            <w:vAlign w:val="bottom"/>
            <w:hideMark/>
          </w:tcPr>
          <w:p w14:paraId="08C4512E" w14:textId="77777777" w:rsidR="00817272" w:rsidRPr="00AD67C2" w:rsidRDefault="00817272" w:rsidP="003E0733"/>
        </w:tc>
        <w:tc>
          <w:tcPr>
            <w:tcW w:w="281" w:type="dxa"/>
            <w:noWrap/>
            <w:vAlign w:val="bottom"/>
            <w:hideMark/>
          </w:tcPr>
          <w:p w14:paraId="6E6AFF31" w14:textId="77777777" w:rsidR="00817272" w:rsidRPr="00AD67C2" w:rsidRDefault="00817272" w:rsidP="003E0733"/>
        </w:tc>
        <w:tc>
          <w:tcPr>
            <w:tcW w:w="283" w:type="dxa"/>
            <w:noWrap/>
            <w:vAlign w:val="bottom"/>
            <w:hideMark/>
          </w:tcPr>
          <w:p w14:paraId="19CCDE75" w14:textId="77777777" w:rsidR="00817272" w:rsidRPr="00AD67C2" w:rsidRDefault="00817272" w:rsidP="003E0733"/>
        </w:tc>
        <w:tc>
          <w:tcPr>
            <w:tcW w:w="305" w:type="dxa"/>
            <w:noWrap/>
            <w:vAlign w:val="bottom"/>
            <w:hideMark/>
          </w:tcPr>
          <w:p w14:paraId="637EF875" w14:textId="77777777" w:rsidR="00817272" w:rsidRPr="00AD67C2" w:rsidRDefault="00817272" w:rsidP="003E0733"/>
        </w:tc>
        <w:tc>
          <w:tcPr>
            <w:tcW w:w="247" w:type="dxa"/>
            <w:noWrap/>
            <w:vAlign w:val="bottom"/>
            <w:hideMark/>
          </w:tcPr>
          <w:p w14:paraId="190E850F" w14:textId="77777777" w:rsidR="00817272" w:rsidRPr="00AD67C2" w:rsidRDefault="00817272" w:rsidP="003E0733"/>
        </w:tc>
        <w:tc>
          <w:tcPr>
            <w:tcW w:w="247" w:type="dxa"/>
            <w:noWrap/>
            <w:vAlign w:val="bottom"/>
            <w:hideMark/>
          </w:tcPr>
          <w:p w14:paraId="5D136125" w14:textId="77777777" w:rsidR="00817272" w:rsidRPr="00AD67C2" w:rsidRDefault="00817272" w:rsidP="003E0733"/>
        </w:tc>
        <w:tc>
          <w:tcPr>
            <w:tcW w:w="247" w:type="dxa"/>
            <w:noWrap/>
            <w:vAlign w:val="bottom"/>
            <w:hideMark/>
          </w:tcPr>
          <w:p w14:paraId="4B82BA55" w14:textId="77777777" w:rsidR="00817272" w:rsidRPr="00AD67C2" w:rsidRDefault="00817272" w:rsidP="003E0733"/>
        </w:tc>
        <w:tc>
          <w:tcPr>
            <w:tcW w:w="264" w:type="dxa"/>
            <w:noWrap/>
            <w:vAlign w:val="bottom"/>
            <w:hideMark/>
          </w:tcPr>
          <w:p w14:paraId="71332C50" w14:textId="77777777" w:rsidR="00817272" w:rsidRPr="00AD67C2" w:rsidRDefault="00817272" w:rsidP="003E0733"/>
        </w:tc>
        <w:tc>
          <w:tcPr>
            <w:tcW w:w="263" w:type="dxa"/>
            <w:noWrap/>
            <w:vAlign w:val="bottom"/>
            <w:hideMark/>
          </w:tcPr>
          <w:p w14:paraId="5337E64F" w14:textId="77777777" w:rsidR="00817272" w:rsidRPr="00AD67C2" w:rsidRDefault="00817272" w:rsidP="003E0733"/>
        </w:tc>
        <w:tc>
          <w:tcPr>
            <w:tcW w:w="263" w:type="dxa"/>
            <w:noWrap/>
            <w:vAlign w:val="bottom"/>
            <w:hideMark/>
          </w:tcPr>
          <w:p w14:paraId="228B383F" w14:textId="77777777" w:rsidR="00817272" w:rsidRPr="00AD67C2" w:rsidRDefault="00817272" w:rsidP="003E0733"/>
        </w:tc>
        <w:tc>
          <w:tcPr>
            <w:tcW w:w="262" w:type="dxa"/>
            <w:noWrap/>
            <w:vAlign w:val="bottom"/>
            <w:hideMark/>
          </w:tcPr>
          <w:p w14:paraId="51F990AB" w14:textId="77777777" w:rsidR="00817272" w:rsidRPr="00AD67C2" w:rsidRDefault="00817272" w:rsidP="003E0733"/>
        </w:tc>
        <w:tc>
          <w:tcPr>
            <w:tcW w:w="262" w:type="dxa"/>
            <w:noWrap/>
            <w:vAlign w:val="bottom"/>
            <w:hideMark/>
          </w:tcPr>
          <w:p w14:paraId="6E2FCA68" w14:textId="77777777" w:rsidR="00817272" w:rsidRPr="00AD67C2" w:rsidRDefault="00817272" w:rsidP="003E0733"/>
        </w:tc>
        <w:tc>
          <w:tcPr>
            <w:tcW w:w="305" w:type="dxa"/>
            <w:noWrap/>
            <w:vAlign w:val="bottom"/>
            <w:hideMark/>
          </w:tcPr>
          <w:p w14:paraId="3A74F344" w14:textId="77777777" w:rsidR="00817272" w:rsidRPr="00AD67C2" w:rsidRDefault="00817272" w:rsidP="003E0733"/>
        </w:tc>
        <w:tc>
          <w:tcPr>
            <w:tcW w:w="261" w:type="dxa"/>
            <w:gridSpan w:val="2"/>
            <w:noWrap/>
            <w:vAlign w:val="bottom"/>
            <w:hideMark/>
          </w:tcPr>
          <w:p w14:paraId="33A5385E" w14:textId="77777777" w:rsidR="00817272" w:rsidRPr="00AD67C2" w:rsidRDefault="00817272" w:rsidP="003E0733"/>
        </w:tc>
        <w:tc>
          <w:tcPr>
            <w:tcW w:w="247" w:type="dxa"/>
            <w:gridSpan w:val="2"/>
            <w:noWrap/>
            <w:vAlign w:val="bottom"/>
            <w:hideMark/>
          </w:tcPr>
          <w:p w14:paraId="64703E9F" w14:textId="77777777" w:rsidR="00817272" w:rsidRPr="00AD67C2" w:rsidRDefault="00817272" w:rsidP="003E0733"/>
        </w:tc>
        <w:tc>
          <w:tcPr>
            <w:tcW w:w="247" w:type="dxa"/>
            <w:noWrap/>
            <w:vAlign w:val="bottom"/>
            <w:hideMark/>
          </w:tcPr>
          <w:p w14:paraId="411F36BF" w14:textId="77777777" w:rsidR="00817272" w:rsidRPr="00AD67C2" w:rsidRDefault="00817272" w:rsidP="003E0733"/>
        </w:tc>
        <w:tc>
          <w:tcPr>
            <w:tcW w:w="247" w:type="dxa"/>
            <w:noWrap/>
            <w:vAlign w:val="bottom"/>
            <w:hideMark/>
          </w:tcPr>
          <w:p w14:paraId="6584272F" w14:textId="77777777" w:rsidR="00817272" w:rsidRPr="00AD67C2" w:rsidRDefault="00817272" w:rsidP="003E0733"/>
        </w:tc>
        <w:tc>
          <w:tcPr>
            <w:tcW w:w="247" w:type="dxa"/>
            <w:noWrap/>
            <w:vAlign w:val="bottom"/>
            <w:hideMark/>
          </w:tcPr>
          <w:p w14:paraId="19E02233" w14:textId="77777777" w:rsidR="00817272" w:rsidRPr="00AD67C2" w:rsidRDefault="00817272" w:rsidP="003E0733"/>
        </w:tc>
        <w:tc>
          <w:tcPr>
            <w:tcW w:w="247" w:type="dxa"/>
            <w:noWrap/>
            <w:vAlign w:val="bottom"/>
            <w:hideMark/>
          </w:tcPr>
          <w:p w14:paraId="468CB620" w14:textId="77777777" w:rsidR="00817272" w:rsidRPr="00AD67C2" w:rsidRDefault="00817272" w:rsidP="003E0733"/>
        </w:tc>
        <w:tc>
          <w:tcPr>
            <w:tcW w:w="247" w:type="dxa"/>
            <w:noWrap/>
            <w:vAlign w:val="bottom"/>
            <w:hideMark/>
          </w:tcPr>
          <w:p w14:paraId="1F33BAED" w14:textId="77777777" w:rsidR="00817272" w:rsidRPr="00AD67C2" w:rsidRDefault="00817272" w:rsidP="003E0733"/>
        </w:tc>
        <w:tc>
          <w:tcPr>
            <w:tcW w:w="305" w:type="dxa"/>
            <w:noWrap/>
            <w:vAlign w:val="bottom"/>
            <w:hideMark/>
          </w:tcPr>
          <w:p w14:paraId="1E96CCA6" w14:textId="77777777" w:rsidR="00817272" w:rsidRPr="00AD67C2" w:rsidRDefault="00817272" w:rsidP="003E0733"/>
        </w:tc>
        <w:tc>
          <w:tcPr>
            <w:tcW w:w="280" w:type="dxa"/>
            <w:noWrap/>
            <w:vAlign w:val="bottom"/>
            <w:hideMark/>
          </w:tcPr>
          <w:p w14:paraId="1A35B8C6" w14:textId="77777777" w:rsidR="00817272" w:rsidRPr="00AD67C2" w:rsidRDefault="00817272" w:rsidP="003E0733"/>
        </w:tc>
        <w:tc>
          <w:tcPr>
            <w:tcW w:w="279" w:type="dxa"/>
            <w:noWrap/>
            <w:vAlign w:val="bottom"/>
            <w:hideMark/>
          </w:tcPr>
          <w:p w14:paraId="19FE4DD0" w14:textId="77777777" w:rsidR="00817272" w:rsidRPr="00AD67C2" w:rsidRDefault="00817272" w:rsidP="003E0733"/>
        </w:tc>
        <w:tc>
          <w:tcPr>
            <w:tcW w:w="246" w:type="dxa"/>
            <w:gridSpan w:val="2"/>
            <w:noWrap/>
            <w:vAlign w:val="bottom"/>
            <w:hideMark/>
          </w:tcPr>
          <w:p w14:paraId="4BFBDBC9" w14:textId="77777777" w:rsidR="00817272" w:rsidRPr="00AD67C2" w:rsidRDefault="00817272" w:rsidP="003E0733"/>
        </w:tc>
        <w:tc>
          <w:tcPr>
            <w:tcW w:w="247" w:type="dxa"/>
            <w:noWrap/>
            <w:vAlign w:val="bottom"/>
            <w:hideMark/>
          </w:tcPr>
          <w:p w14:paraId="182B82D7" w14:textId="77777777" w:rsidR="00817272" w:rsidRPr="00AD67C2" w:rsidRDefault="00817272" w:rsidP="003E0733"/>
        </w:tc>
        <w:tc>
          <w:tcPr>
            <w:tcW w:w="247" w:type="dxa"/>
            <w:noWrap/>
            <w:vAlign w:val="bottom"/>
            <w:hideMark/>
          </w:tcPr>
          <w:p w14:paraId="58473D42" w14:textId="77777777" w:rsidR="00817272" w:rsidRPr="00AD67C2" w:rsidRDefault="00817272" w:rsidP="003E0733"/>
        </w:tc>
        <w:tc>
          <w:tcPr>
            <w:tcW w:w="247" w:type="dxa"/>
            <w:noWrap/>
            <w:vAlign w:val="bottom"/>
            <w:hideMark/>
          </w:tcPr>
          <w:p w14:paraId="4005EDEF" w14:textId="77777777" w:rsidR="00817272" w:rsidRPr="00AD67C2" w:rsidRDefault="00817272" w:rsidP="003E0733"/>
        </w:tc>
        <w:tc>
          <w:tcPr>
            <w:tcW w:w="247" w:type="dxa"/>
            <w:noWrap/>
            <w:vAlign w:val="bottom"/>
            <w:hideMark/>
          </w:tcPr>
          <w:p w14:paraId="3E85C550" w14:textId="77777777" w:rsidR="00817272" w:rsidRPr="00AD67C2" w:rsidRDefault="00817272" w:rsidP="003E0733"/>
        </w:tc>
        <w:tc>
          <w:tcPr>
            <w:tcW w:w="247" w:type="dxa"/>
            <w:noWrap/>
            <w:vAlign w:val="bottom"/>
            <w:hideMark/>
          </w:tcPr>
          <w:p w14:paraId="2CEF5F96" w14:textId="77777777" w:rsidR="00817272" w:rsidRPr="00AD67C2" w:rsidRDefault="00817272" w:rsidP="003E0733"/>
        </w:tc>
        <w:tc>
          <w:tcPr>
            <w:tcW w:w="305" w:type="dxa"/>
            <w:noWrap/>
            <w:vAlign w:val="bottom"/>
            <w:hideMark/>
          </w:tcPr>
          <w:p w14:paraId="7632C8F1" w14:textId="77777777" w:rsidR="00817272" w:rsidRPr="00AD67C2" w:rsidRDefault="00817272" w:rsidP="003E0733"/>
        </w:tc>
      </w:tr>
      <w:tr w:rsidR="00817272" w:rsidRPr="00AD67C2" w14:paraId="7DE5A8FF" w14:textId="77777777" w:rsidTr="00817272">
        <w:trPr>
          <w:trHeight w:val="188"/>
        </w:trPr>
        <w:tc>
          <w:tcPr>
            <w:tcW w:w="249" w:type="dxa"/>
            <w:noWrap/>
            <w:vAlign w:val="bottom"/>
            <w:hideMark/>
          </w:tcPr>
          <w:p w14:paraId="4954F4C1" w14:textId="77777777" w:rsidR="00817272" w:rsidRPr="00AD67C2" w:rsidRDefault="00817272" w:rsidP="003E0733"/>
        </w:tc>
        <w:tc>
          <w:tcPr>
            <w:tcW w:w="251" w:type="dxa"/>
            <w:noWrap/>
            <w:vAlign w:val="bottom"/>
            <w:hideMark/>
          </w:tcPr>
          <w:p w14:paraId="5B3E7112" w14:textId="77777777" w:rsidR="00817272" w:rsidRPr="00AD67C2" w:rsidRDefault="00817272" w:rsidP="003E0733"/>
        </w:tc>
        <w:tc>
          <w:tcPr>
            <w:tcW w:w="1306" w:type="dxa"/>
            <w:gridSpan w:val="5"/>
            <w:noWrap/>
            <w:vAlign w:val="bottom"/>
            <w:hideMark/>
          </w:tcPr>
          <w:p w14:paraId="05849B08" w14:textId="77777777" w:rsidR="00817272" w:rsidRPr="00AD67C2" w:rsidRDefault="00817272" w:rsidP="003E0733">
            <w:pPr>
              <w:rPr>
                <w:rFonts w:ascii="Garamond" w:eastAsia="Times New Roman" w:hAnsi="Garamond" w:cs="Arial"/>
              </w:rPr>
            </w:pPr>
            <w:r w:rsidRPr="00AD67C2">
              <w:rPr>
                <w:rFonts w:ascii="Garamond" w:eastAsia="Times New Roman" w:hAnsi="Garamond" w:cs="Arial"/>
              </w:rPr>
              <w:t>Подписи сторон:</w:t>
            </w:r>
          </w:p>
        </w:tc>
        <w:tc>
          <w:tcPr>
            <w:tcW w:w="305" w:type="dxa"/>
            <w:noWrap/>
            <w:vAlign w:val="bottom"/>
            <w:hideMark/>
          </w:tcPr>
          <w:p w14:paraId="4B3C2D11" w14:textId="77777777" w:rsidR="00817272" w:rsidRPr="00AD67C2" w:rsidRDefault="00817272" w:rsidP="003E0733">
            <w:pPr>
              <w:rPr>
                <w:rFonts w:ascii="Garamond" w:eastAsia="Times New Roman" w:hAnsi="Garamond" w:cs="Arial"/>
              </w:rPr>
            </w:pPr>
          </w:p>
        </w:tc>
        <w:tc>
          <w:tcPr>
            <w:tcW w:w="247" w:type="dxa"/>
            <w:noWrap/>
            <w:vAlign w:val="bottom"/>
            <w:hideMark/>
          </w:tcPr>
          <w:p w14:paraId="5E99B0A1" w14:textId="77777777" w:rsidR="00817272" w:rsidRPr="00AD67C2" w:rsidRDefault="00817272" w:rsidP="003E0733"/>
        </w:tc>
        <w:tc>
          <w:tcPr>
            <w:tcW w:w="247" w:type="dxa"/>
            <w:noWrap/>
            <w:vAlign w:val="bottom"/>
            <w:hideMark/>
          </w:tcPr>
          <w:p w14:paraId="4919E6F5" w14:textId="77777777" w:rsidR="00817272" w:rsidRPr="00AD67C2" w:rsidRDefault="00817272" w:rsidP="003E0733"/>
        </w:tc>
        <w:tc>
          <w:tcPr>
            <w:tcW w:w="247" w:type="dxa"/>
            <w:noWrap/>
            <w:vAlign w:val="bottom"/>
            <w:hideMark/>
          </w:tcPr>
          <w:p w14:paraId="01BE1003" w14:textId="77777777" w:rsidR="00817272" w:rsidRPr="00AD67C2" w:rsidRDefault="00817272" w:rsidP="003E0733"/>
        </w:tc>
        <w:tc>
          <w:tcPr>
            <w:tcW w:w="264" w:type="dxa"/>
            <w:noWrap/>
            <w:vAlign w:val="bottom"/>
            <w:hideMark/>
          </w:tcPr>
          <w:p w14:paraId="7378EFBF" w14:textId="77777777" w:rsidR="00817272" w:rsidRPr="00AD67C2" w:rsidRDefault="00817272" w:rsidP="003E0733"/>
        </w:tc>
        <w:tc>
          <w:tcPr>
            <w:tcW w:w="263" w:type="dxa"/>
            <w:noWrap/>
            <w:vAlign w:val="bottom"/>
            <w:hideMark/>
          </w:tcPr>
          <w:p w14:paraId="0192561F" w14:textId="77777777" w:rsidR="00817272" w:rsidRPr="00AD67C2" w:rsidRDefault="00817272" w:rsidP="003E0733"/>
        </w:tc>
        <w:tc>
          <w:tcPr>
            <w:tcW w:w="263" w:type="dxa"/>
            <w:noWrap/>
            <w:vAlign w:val="bottom"/>
            <w:hideMark/>
          </w:tcPr>
          <w:p w14:paraId="65FEA4AC" w14:textId="77777777" w:rsidR="00817272" w:rsidRPr="00AD67C2" w:rsidRDefault="00817272" w:rsidP="003E0733"/>
        </w:tc>
        <w:tc>
          <w:tcPr>
            <w:tcW w:w="262" w:type="dxa"/>
            <w:noWrap/>
            <w:vAlign w:val="bottom"/>
            <w:hideMark/>
          </w:tcPr>
          <w:p w14:paraId="75004A47" w14:textId="77777777" w:rsidR="00817272" w:rsidRPr="00AD67C2" w:rsidRDefault="00817272" w:rsidP="003E0733"/>
        </w:tc>
        <w:tc>
          <w:tcPr>
            <w:tcW w:w="262" w:type="dxa"/>
            <w:noWrap/>
            <w:vAlign w:val="bottom"/>
            <w:hideMark/>
          </w:tcPr>
          <w:p w14:paraId="272E6B66" w14:textId="77777777" w:rsidR="00817272" w:rsidRPr="00AD67C2" w:rsidRDefault="00817272" w:rsidP="003E0733"/>
        </w:tc>
        <w:tc>
          <w:tcPr>
            <w:tcW w:w="305" w:type="dxa"/>
            <w:noWrap/>
            <w:vAlign w:val="bottom"/>
            <w:hideMark/>
          </w:tcPr>
          <w:p w14:paraId="3ADAE738" w14:textId="77777777" w:rsidR="00817272" w:rsidRPr="00AD67C2" w:rsidRDefault="00817272" w:rsidP="003E0733"/>
        </w:tc>
        <w:tc>
          <w:tcPr>
            <w:tcW w:w="261" w:type="dxa"/>
            <w:gridSpan w:val="2"/>
            <w:noWrap/>
            <w:vAlign w:val="bottom"/>
            <w:hideMark/>
          </w:tcPr>
          <w:p w14:paraId="7AE52DE6" w14:textId="77777777" w:rsidR="00817272" w:rsidRPr="00AD67C2" w:rsidRDefault="00817272" w:rsidP="003E0733"/>
        </w:tc>
        <w:tc>
          <w:tcPr>
            <w:tcW w:w="247" w:type="dxa"/>
            <w:gridSpan w:val="2"/>
            <w:noWrap/>
            <w:vAlign w:val="bottom"/>
            <w:hideMark/>
          </w:tcPr>
          <w:p w14:paraId="451ED999" w14:textId="77777777" w:rsidR="00817272" w:rsidRPr="00AD67C2" w:rsidRDefault="00817272" w:rsidP="003E0733"/>
        </w:tc>
        <w:tc>
          <w:tcPr>
            <w:tcW w:w="247" w:type="dxa"/>
            <w:noWrap/>
            <w:vAlign w:val="bottom"/>
            <w:hideMark/>
          </w:tcPr>
          <w:p w14:paraId="4B8EA4F6" w14:textId="77777777" w:rsidR="00817272" w:rsidRPr="00AD67C2" w:rsidRDefault="00817272" w:rsidP="003E0733"/>
        </w:tc>
        <w:tc>
          <w:tcPr>
            <w:tcW w:w="247" w:type="dxa"/>
            <w:noWrap/>
            <w:vAlign w:val="bottom"/>
            <w:hideMark/>
          </w:tcPr>
          <w:p w14:paraId="3A5B5E2A" w14:textId="77777777" w:rsidR="00817272" w:rsidRPr="00AD67C2" w:rsidRDefault="00817272" w:rsidP="003E0733"/>
        </w:tc>
        <w:tc>
          <w:tcPr>
            <w:tcW w:w="247" w:type="dxa"/>
            <w:noWrap/>
            <w:vAlign w:val="bottom"/>
            <w:hideMark/>
          </w:tcPr>
          <w:p w14:paraId="5E384134" w14:textId="77777777" w:rsidR="00817272" w:rsidRPr="00AD67C2" w:rsidRDefault="00817272" w:rsidP="003E0733"/>
        </w:tc>
        <w:tc>
          <w:tcPr>
            <w:tcW w:w="247" w:type="dxa"/>
            <w:noWrap/>
            <w:vAlign w:val="bottom"/>
            <w:hideMark/>
          </w:tcPr>
          <w:p w14:paraId="2F2A60D4" w14:textId="77777777" w:rsidR="00817272" w:rsidRPr="00AD67C2" w:rsidRDefault="00817272" w:rsidP="003E0733"/>
        </w:tc>
        <w:tc>
          <w:tcPr>
            <w:tcW w:w="247" w:type="dxa"/>
            <w:noWrap/>
            <w:vAlign w:val="bottom"/>
            <w:hideMark/>
          </w:tcPr>
          <w:p w14:paraId="07D15EF0" w14:textId="77777777" w:rsidR="00817272" w:rsidRPr="00AD67C2" w:rsidRDefault="00817272" w:rsidP="003E0733"/>
        </w:tc>
        <w:tc>
          <w:tcPr>
            <w:tcW w:w="305" w:type="dxa"/>
            <w:noWrap/>
            <w:vAlign w:val="bottom"/>
            <w:hideMark/>
          </w:tcPr>
          <w:p w14:paraId="0633E054" w14:textId="77777777" w:rsidR="00817272" w:rsidRPr="00AD67C2" w:rsidRDefault="00817272" w:rsidP="003E0733"/>
        </w:tc>
        <w:tc>
          <w:tcPr>
            <w:tcW w:w="280" w:type="dxa"/>
            <w:noWrap/>
            <w:vAlign w:val="bottom"/>
            <w:hideMark/>
          </w:tcPr>
          <w:p w14:paraId="0F31A067" w14:textId="77777777" w:rsidR="00817272" w:rsidRPr="00AD67C2" w:rsidRDefault="00817272" w:rsidP="003E0733"/>
        </w:tc>
        <w:tc>
          <w:tcPr>
            <w:tcW w:w="279" w:type="dxa"/>
            <w:noWrap/>
            <w:vAlign w:val="bottom"/>
            <w:hideMark/>
          </w:tcPr>
          <w:p w14:paraId="7DE3577F" w14:textId="77777777" w:rsidR="00817272" w:rsidRPr="00AD67C2" w:rsidRDefault="00817272" w:rsidP="003E0733"/>
        </w:tc>
        <w:tc>
          <w:tcPr>
            <w:tcW w:w="246" w:type="dxa"/>
            <w:gridSpan w:val="2"/>
            <w:noWrap/>
            <w:vAlign w:val="bottom"/>
            <w:hideMark/>
          </w:tcPr>
          <w:p w14:paraId="15A0994D" w14:textId="77777777" w:rsidR="00817272" w:rsidRPr="00AD67C2" w:rsidRDefault="00817272" w:rsidP="003E0733"/>
        </w:tc>
        <w:tc>
          <w:tcPr>
            <w:tcW w:w="247" w:type="dxa"/>
            <w:noWrap/>
            <w:vAlign w:val="bottom"/>
            <w:hideMark/>
          </w:tcPr>
          <w:p w14:paraId="4D25E3AE" w14:textId="77777777" w:rsidR="00817272" w:rsidRPr="00AD67C2" w:rsidRDefault="00817272" w:rsidP="003E0733"/>
        </w:tc>
        <w:tc>
          <w:tcPr>
            <w:tcW w:w="247" w:type="dxa"/>
            <w:noWrap/>
            <w:vAlign w:val="bottom"/>
            <w:hideMark/>
          </w:tcPr>
          <w:p w14:paraId="419C79B4" w14:textId="77777777" w:rsidR="00817272" w:rsidRPr="00AD67C2" w:rsidRDefault="00817272" w:rsidP="003E0733"/>
        </w:tc>
        <w:tc>
          <w:tcPr>
            <w:tcW w:w="247" w:type="dxa"/>
            <w:noWrap/>
            <w:vAlign w:val="bottom"/>
            <w:hideMark/>
          </w:tcPr>
          <w:p w14:paraId="2AF5D305" w14:textId="77777777" w:rsidR="00817272" w:rsidRPr="00AD67C2" w:rsidRDefault="00817272" w:rsidP="003E0733"/>
        </w:tc>
        <w:tc>
          <w:tcPr>
            <w:tcW w:w="247" w:type="dxa"/>
            <w:noWrap/>
            <w:vAlign w:val="bottom"/>
            <w:hideMark/>
          </w:tcPr>
          <w:p w14:paraId="33AD3E7C" w14:textId="77777777" w:rsidR="00817272" w:rsidRPr="00AD67C2" w:rsidRDefault="00817272" w:rsidP="003E0733"/>
        </w:tc>
        <w:tc>
          <w:tcPr>
            <w:tcW w:w="247" w:type="dxa"/>
            <w:noWrap/>
            <w:vAlign w:val="bottom"/>
            <w:hideMark/>
          </w:tcPr>
          <w:p w14:paraId="1842E275" w14:textId="77777777" w:rsidR="00817272" w:rsidRPr="00AD67C2" w:rsidRDefault="00817272" w:rsidP="003E0733"/>
        </w:tc>
        <w:tc>
          <w:tcPr>
            <w:tcW w:w="305" w:type="dxa"/>
            <w:noWrap/>
            <w:vAlign w:val="bottom"/>
            <w:hideMark/>
          </w:tcPr>
          <w:p w14:paraId="58F659F3" w14:textId="77777777" w:rsidR="00817272" w:rsidRPr="00AD67C2" w:rsidRDefault="00817272" w:rsidP="003E0733"/>
        </w:tc>
      </w:tr>
      <w:tr w:rsidR="00817272" w:rsidRPr="00AD67C2" w14:paraId="727884FC" w14:textId="77777777" w:rsidTr="00817272">
        <w:trPr>
          <w:trHeight w:val="167"/>
        </w:trPr>
        <w:tc>
          <w:tcPr>
            <w:tcW w:w="249" w:type="dxa"/>
            <w:noWrap/>
            <w:vAlign w:val="bottom"/>
            <w:hideMark/>
          </w:tcPr>
          <w:p w14:paraId="6E914A27" w14:textId="77777777" w:rsidR="00817272" w:rsidRPr="00AD67C2" w:rsidRDefault="00817272" w:rsidP="003E0733"/>
        </w:tc>
        <w:tc>
          <w:tcPr>
            <w:tcW w:w="251" w:type="dxa"/>
            <w:noWrap/>
            <w:vAlign w:val="bottom"/>
            <w:hideMark/>
          </w:tcPr>
          <w:p w14:paraId="56D69C66" w14:textId="77777777" w:rsidR="00817272" w:rsidRPr="00AD67C2" w:rsidRDefault="00817272" w:rsidP="003E0733"/>
        </w:tc>
        <w:tc>
          <w:tcPr>
            <w:tcW w:w="247" w:type="dxa"/>
            <w:noWrap/>
            <w:vAlign w:val="bottom"/>
            <w:hideMark/>
          </w:tcPr>
          <w:p w14:paraId="023AD3FE" w14:textId="77777777" w:rsidR="00817272" w:rsidRPr="00AD67C2" w:rsidRDefault="00817272" w:rsidP="003E0733"/>
        </w:tc>
        <w:tc>
          <w:tcPr>
            <w:tcW w:w="247" w:type="dxa"/>
            <w:noWrap/>
            <w:vAlign w:val="bottom"/>
            <w:hideMark/>
          </w:tcPr>
          <w:p w14:paraId="25E37012" w14:textId="77777777" w:rsidR="00817272" w:rsidRPr="00AD67C2" w:rsidRDefault="00817272" w:rsidP="003E0733"/>
        </w:tc>
        <w:tc>
          <w:tcPr>
            <w:tcW w:w="247" w:type="dxa"/>
            <w:noWrap/>
            <w:vAlign w:val="bottom"/>
            <w:hideMark/>
          </w:tcPr>
          <w:p w14:paraId="214F303F" w14:textId="77777777" w:rsidR="00817272" w:rsidRPr="00AD67C2" w:rsidRDefault="00817272" w:rsidP="003E0733"/>
        </w:tc>
        <w:tc>
          <w:tcPr>
            <w:tcW w:w="281" w:type="dxa"/>
            <w:noWrap/>
            <w:vAlign w:val="bottom"/>
            <w:hideMark/>
          </w:tcPr>
          <w:p w14:paraId="75FA92DC" w14:textId="77777777" w:rsidR="00817272" w:rsidRPr="00AD67C2" w:rsidRDefault="00817272" w:rsidP="003E0733"/>
        </w:tc>
        <w:tc>
          <w:tcPr>
            <w:tcW w:w="283" w:type="dxa"/>
            <w:noWrap/>
            <w:vAlign w:val="bottom"/>
            <w:hideMark/>
          </w:tcPr>
          <w:p w14:paraId="28E1080C" w14:textId="77777777" w:rsidR="00817272" w:rsidRPr="00AD67C2" w:rsidRDefault="00817272" w:rsidP="003E0733"/>
        </w:tc>
        <w:tc>
          <w:tcPr>
            <w:tcW w:w="305" w:type="dxa"/>
            <w:noWrap/>
            <w:vAlign w:val="bottom"/>
            <w:hideMark/>
          </w:tcPr>
          <w:p w14:paraId="5BFE6D3B" w14:textId="77777777" w:rsidR="00817272" w:rsidRPr="00AD67C2" w:rsidRDefault="00817272" w:rsidP="003E0733"/>
        </w:tc>
        <w:tc>
          <w:tcPr>
            <w:tcW w:w="247" w:type="dxa"/>
            <w:noWrap/>
            <w:vAlign w:val="bottom"/>
            <w:hideMark/>
          </w:tcPr>
          <w:p w14:paraId="4AB1451A" w14:textId="77777777" w:rsidR="00817272" w:rsidRPr="00AD67C2" w:rsidRDefault="00817272" w:rsidP="003E0733"/>
        </w:tc>
        <w:tc>
          <w:tcPr>
            <w:tcW w:w="247" w:type="dxa"/>
            <w:noWrap/>
            <w:vAlign w:val="bottom"/>
            <w:hideMark/>
          </w:tcPr>
          <w:p w14:paraId="0DB4DA07" w14:textId="77777777" w:rsidR="00817272" w:rsidRPr="00AD67C2" w:rsidRDefault="00817272" w:rsidP="003E0733"/>
        </w:tc>
        <w:tc>
          <w:tcPr>
            <w:tcW w:w="247" w:type="dxa"/>
            <w:noWrap/>
            <w:vAlign w:val="bottom"/>
            <w:hideMark/>
          </w:tcPr>
          <w:p w14:paraId="6E1D0160" w14:textId="77777777" w:rsidR="00817272" w:rsidRPr="00AD67C2" w:rsidRDefault="00817272" w:rsidP="003E0733"/>
        </w:tc>
        <w:tc>
          <w:tcPr>
            <w:tcW w:w="264" w:type="dxa"/>
            <w:noWrap/>
            <w:vAlign w:val="bottom"/>
            <w:hideMark/>
          </w:tcPr>
          <w:p w14:paraId="69CAC0F9" w14:textId="77777777" w:rsidR="00817272" w:rsidRPr="00AD67C2" w:rsidRDefault="00817272" w:rsidP="003E0733"/>
        </w:tc>
        <w:tc>
          <w:tcPr>
            <w:tcW w:w="263" w:type="dxa"/>
            <w:noWrap/>
            <w:vAlign w:val="bottom"/>
            <w:hideMark/>
          </w:tcPr>
          <w:p w14:paraId="225A0F76" w14:textId="77777777" w:rsidR="00817272" w:rsidRPr="00AD67C2" w:rsidRDefault="00817272" w:rsidP="003E0733"/>
        </w:tc>
        <w:tc>
          <w:tcPr>
            <w:tcW w:w="263" w:type="dxa"/>
            <w:noWrap/>
            <w:vAlign w:val="bottom"/>
            <w:hideMark/>
          </w:tcPr>
          <w:p w14:paraId="740FF722" w14:textId="77777777" w:rsidR="00817272" w:rsidRPr="00AD67C2" w:rsidRDefault="00817272" w:rsidP="003E0733"/>
        </w:tc>
        <w:tc>
          <w:tcPr>
            <w:tcW w:w="262" w:type="dxa"/>
            <w:noWrap/>
            <w:vAlign w:val="bottom"/>
            <w:hideMark/>
          </w:tcPr>
          <w:p w14:paraId="2388C851" w14:textId="77777777" w:rsidR="00817272" w:rsidRPr="00AD67C2" w:rsidRDefault="00817272" w:rsidP="003E0733"/>
        </w:tc>
        <w:tc>
          <w:tcPr>
            <w:tcW w:w="262" w:type="dxa"/>
            <w:noWrap/>
            <w:vAlign w:val="bottom"/>
            <w:hideMark/>
          </w:tcPr>
          <w:p w14:paraId="517993BB" w14:textId="77777777" w:rsidR="00817272" w:rsidRPr="00AD67C2" w:rsidRDefault="00817272" w:rsidP="003E0733"/>
        </w:tc>
        <w:tc>
          <w:tcPr>
            <w:tcW w:w="305" w:type="dxa"/>
            <w:noWrap/>
            <w:vAlign w:val="bottom"/>
            <w:hideMark/>
          </w:tcPr>
          <w:p w14:paraId="402551A3" w14:textId="77777777" w:rsidR="00817272" w:rsidRPr="00AD67C2" w:rsidRDefault="00817272" w:rsidP="003E0733"/>
        </w:tc>
        <w:tc>
          <w:tcPr>
            <w:tcW w:w="261" w:type="dxa"/>
            <w:gridSpan w:val="2"/>
            <w:noWrap/>
            <w:vAlign w:val="bottom"/>
            <w:hideMark/>
          </w:tcPr>
          <w:p w14:paraId="72B9B8D9" w14:textId="77777777" w:rsidR="00817272" w:rsidRPr="00AD67C2" w:rsidRDefault="00817272" w:rsidP="003E0733"/>
        </w:tc>
        <w:tc>
          <w:tcPr>
            <w:tcW w:w="247" w:type="dxa"/>
            <w:gridSpan w:val="2"/>
            <w:noWrap/>
            <w:vAlign w:val="bottom"/>
            <w:hideMark/>
          </w:tcPr>
          <w:p w14:paraId="59F5467B" w14:textId="77777777" w:rsidR="00817272" w:rsidRPr="00AD67C2" w:rsidRDefault="00817272" w:rsidP="003E0733"/>
        </w:tc>
        <w:tc>
          <w:tcPr>
            <w:tcW w:w="247" w:type="dxa"/>
            <w:noWrap/>
            <w:vAlign w:val="bottom"/>
            <w:hideMark/>
          </w:tcPr>
          <w:p w14:paraId="319DBB05" w14:textId="77777777" w:rsidR="00817272" w:rsidRPr="00AD67C2" w:rsidRDefault="00817272" w:rsidP="003E0733"/>
        </w:tc>
        <w:tc>
          <w:tcPr>
            <w:tcW w:w="247" w:type="dxa"/>
            <w:noWrap/>
            <w:vAlign w:val="bottom"/>
            <w:hideMark/>
          </w:tcPr>
          <w:p w14:paraId="0B1C7C98" w14:textId="77777777" w:rsidR="00817272" w:rsidRPr="00AD67C2" w:rsidRDefault="00817272" w:rsidP="003E0733"/>
        </w:tc>
        <w:tc>
          <w:tcPr>
            <w:tcW w:w="247" w:type="dxa"/>
            <w:noWrap/>
            <w:vAlign w:val="bottom"/>
            <w:hideMark/>
          </w:tcPr>
          <w:p w14:paraId="5EE49B86" w14:textId="77777777" w:rsidR="00817272" w:rsidRPr="00AD67C2" w:rsidRDefault="00817272" w:rsidP="003E0733"/>
        </w:tc>
        <w:tc>
          <w:tcPr>
            <w:tcW w:w="247" w:type="dxa"/>
            <w:noWrap/>
            <w:vAlign w:val="bottom"/>
            <w:hideMark/>
          </w:tcPr>
          <w:p w14:paraId="032F4863" w14:textId="77777777" w:rsidR="00817272" w:rsidRPr="00AD67C2" w:rsidRDefault="00817272" w:rsidP="003E0733"/>
        </w:tc>
        <w:tc>
          <w:tcPr>
            <w:tcW w:w="247" w:type="dxa"/>
            <w:noWrap/>
            <w:vAlign w:val="bottom"/>
            <w:hideMark/>
          </w:tcPr>
          <w:p w14:paraId="47F8B63C" w14:textId="77777777" w:rsidR="00817272" w:rsidRPr="00AD67C2" w:rsidRDefault="00817272" w:rsidP="003E0733"/>
        </w:tc>
        <w:tc>
          <w:tcPr>
            <w:tcW w:w="305" w:type="dxa"/>
            <w:noWrap/>
            <w:vAlign w:val="bottom"/>
            <w:hideMark/>
          </w:tcPr>
          <w:p w14:paraId="2B740573" w14:textId="77777777" w:rsidR="00817272" w:rsidRPr="00AD67C2" w:rsidRDefault="00817272" w:rsidP="003E0733"/>
        </w:tc>
        <w:tc>
          <w:tcPr>
            <w:tcW w:w="280" w:type="dxa"/>
            <w:noWrap/>
            <w:vAlign w:val="bottom"/>
            <w:hideMark/>
          </w:tcPr>
          <w:p w14:paraId="1D01DB9B" w14:textId="77777777" w:rsidR="00817272" w:rsidRPr="00AD67C2" w:rsidRDefault="00817272" w:rsidP="003E0733"/>
        </w:tc>
        <w:tc>
          <w:tcPr>
            <w:tcW w:w="279" w:type="dxa"/>
            <w:noWrap/>
            <w:vAlign w:val="bottom"/>
            <w:hideMark/>
          </w:tcPr>
          <w:p w14:paraId="6B528014" w14:textId="77777777" w:rsidR="00817272" w:rsidRPr="00AD67C2" w:rsidRDefault="00817272" w:rsidP="003E0733"/>
        </w:tc>
        <w:tc>
          <w:tcPr>
            <w:tcW w:w="246" w:type="dxa"/>
            <w:gridSpan w:val="2"/>
            <w:noWrap/>
            <w:vAlign w:val="bottom"/>
            <w:hideMark/>
          </w:tcPr>
          <w:p w14:paraId="57087700" w14:textId="77777777" w:rsidR="00817272" w:rsidRPr="00AD67C2" w:rsidRDefault="00817272" w:rsidP="003E0733"/>
        </w:tc>
        <w:tc>
          <w:tcPr>
            <w:tcW w:w="247" w:type="dxa"/>
            <w:noWrap/>
            <w:vAlign w:val="bottom"/>
            <w:hideMark/>
          </w:tcPr>
          <w:p w14:paraId="7ACA1F07" w14:textId="77777777" w:rsidR="00817272" w:rsidRPr="00AD67C2" w:rsidRDefault="00817272" w:rsidP="003E0733"/>
        </w:tc>
        <w:tc>
          <w:tcPr>
            <w:tcW w:w="247" w:type="dxa"/>
            <w:noWrap/>
            <w:vAlign w:val="bottom"/>
            <w:hideMark/>
          </w:tcPr>
          <w:p w14:paraId="37153C31" w14:textId="77777777" w:rsidR="00817272" w:rsidRPr="00AD67C2" w:rsidRDefault="00817272" w:rsidP="003E0733"/>
        </w:tc>
        <w:tc>
          <w:tcPr>
            <w:tcW w:w="247" w:type="dxa"/>
            <w:noWrap/>
            <w:vAlign w:val="bottom"/>
            <w:hideMark/>
          </w:tcPr>
          <w:p w14:paraId="44B2E5F6" w14:textId="77777777" w:rsidR="00817272" w:rsidRPr="00AD67C2" w:rsidRDefault="00817272" w:rsidP="003E0733"/>
        </w:tc>
        <w:tc>
          <w:tcPr>
            <w:tcW w:w="247" w:type="dxa"/>
            <w:noWrap/>
            <w:vAlign w:val="bottom"/>
            <w:hideMark/>
          </w:tcPr>
          <w:p w14:paraId="1E2CF71F" w14:textId="77777777" w:rsidR="00817272" w:rsidRPr="00AD67C2" w:rsidRDefault="00817272" w:rsidP="003E0733"/>
        </w:tc>
        <w:tc>
          <w:tcPr>
            <w:tcW w:w="247" w:type="dxa"/>
            <w:noWrap/>
            <w:vAlign w:val="bottom"/>
            <w:hideMark/>
          </w:tcPr>
          <w:p w14:paraId="3E111131" w14:textId="77777777" w:rsidR="00817272" w:rsidRPr="00AD67C2" w:rsidRDefault="00817272" w:rsidP="003E0733"/>
        </w:tc>
        <w:tc>
          <w:tcPr>
            <w:tcW w:w="305" w:type="dxa"/>
            <w:noWrap/>
            <w:vAlign w:val="bottom"/>
            <w:hideMark/>
          </w:tcPr>
          <w:p w14:paraId="2FCD4FBB" w14:textId="77777777" w:rsidR="00817272" w:rsidRPr="00AD67C2" w:rsidRDefault="00817272" w:rsidP="003E0733"/>
        </w:tc>
      </w:tr>
      <w:tr w:rsidR="00817272" w:rsidRPr="00AD67C2" w14:paraId="2790E3E7" w14:textId="77777777" w:rsidTr="00817272">
        <w:trPr>
          <w:trHeight w:val="225"/>
        </w:trPr>
        <w:tc>
          <w:tcPr>
            <w:tcW w:w="4481" w:type="dxa"/>
            <w:gridSpan w:val="18"/>
            <w:vMerge w:val="restart"/>
            <w:tcBorders>
              <w:top w:val="single" w:sz="4" w:space="0" w:color="auto"/>
              <w:left w:val="single" w:sz="4" w:space="0" w:color="auto"/>
              <w:bottom w:val="single" w:sz="4" w:space="0" w:color="000000"/>
              <w:right w:val="single" w:sz="4" w:space="0" w:color="auto"/>
            </w:tcBorders>
            <w:noWrap/>
            <w:vAlign w:val="center"/>
            <w:hideMark/>
          </w:tcPr>
          <w:p w14:paraId="14929F67" w14:textId="041C26DB" w:rsidR="00817272" w:rsidRPr="00AD67C2" w:rsidRDefault="00817272" w:rsidP="003E0733">
            <w:pPr>
              <w:jc w:val="center"/>
              <w:rPr>
                <w:rFonts w:ascii="Garamond" w:eastAsia="Times New Roman" w:hAnsi="Garamond" w:cs="Arial"/>
                <w:b/>
                <w:bCs/>
              </w:rPr>
            </w:pPr>
            <w:r w:rsidRPr="00AD67C2">
              <w:rPr>
                <w:rFonts w:ascii="Garamond" w:eastAsia="Times New Roman" w:hAnsi="Garamond" w:cs="Arial"/>
                <w:b/>
                <w:bCs/>
              </w:rPr>
              <w:t xml:space="preserve">АО </w:t>
            </w:r>
            <w:r w:rsidR="00BC4FC4">
              <w:rPr>
                <w:rFonts w:ascii="Garamond" w:eastAsia="Times New Roman" w:hAnsi="Garamond" w:cs="Arial"/>
                <w:b/>
                <w:bCs/>
              </w:rPr>
              <w:t>«</w:t>
            </w:r>
            <w:r w:rsidRPr="00AD67C2">
              <w:rPr>
                <w:rFonts w:ascii="Garamond" w:eastAsia="Times New Roman" w:hAnsi="Garamond" w:cs="Arial"/>
                <w:b/>
                <w:bCs/>
              </w:rPr>
              <w:t>АТС</w:t>
            </w:r>
            <w:r w:rsidR="00BC4FC4">
              <w:rPr>
                <w:rFonts w:ascii="Garamond" w:eastAsia="Times New Roman" w:hAnsi="Garamond" w:cs="Arial"/>
                <w:b/>
                <w:bCs/>
              </w:rPr>
              <w:t>»</w:t>
            </w:r>
          </w:p>
        </w:tc>
        <w:tc>
          <w:tcPr>
            <w:tcW w:w="4398" w:type="dxa"/>
            <w:gridSpan w:val="19"/>
            <w:vMerge w:val="restart"/>
            <w:tcBorders>
              <w:top w:val="single" w:sz="4" w:space="0" w:color="auto"/>
              <w:left w:val="single" w:sz="4" w:space="0" w:color="auto"/>
              <w:bottom w:val="single" w:sz="4" w:space="0" w:color="000000"/>
              <w:right w:val="single" w:sz="4" w:space="0" w:color="auto"/>
            </w:tcBorders>
            <w:noWrap/>
            <w:vAlign w:val="center"/>
            <w:hideMark/>
          </w:tcPr>
          <w:p w14:paraId="57F9DC9A" w14:textId="77777777" w:rsidR="00817272" w:rsidRPr="00AD67C2" w:rsidRDefault="00817272" w:rsidP="003E0733">
            <w:pPr>
              <w:jc w:val="center"/>
              <w:rPr>
                <w:rFonts w:ascii="Garamond" w:eastAsia="Times New Roman" w:hAnsi="Garamond" w:cs="Arial"/>
                <w:b/>
                <w:bCs/>
              </w:rPr>
            </w:pPr>
            <w:r w:rsidRPr="00AD67C2">
              <w:rPr>
                <w:rFonts w:ascii="Garamond" w:eastAsia="Times New Roman" w:hAnsi="Garamond" w:cs="Arial"/>
                <w:b/>
                <w:bCs/>
              </w:rPr>
              <w:t>Заявитель</w:t>
            </w:r>
          </w:p>
        </w:tc>
      </w:tr>
      <w:tr w:rsidR="00817272" w:rsidRPr="00AD67C2" w14:paraId="700FCFE6" w14:textId="77777777" w:rsidTr="00817272">
        <w:trPr>
          <w:trHeight w:val="423"/>
        </w:trPr>
        <w:tc>
          <w:tcPr>
            <w:tcW w:w="0" w:type="auto"/>
            <w:gridSpan w:val="18"/>
            <w:vMerge/>
            <w:tcBorders>
              <w:top w:val="single" w:sz="4" w:space="0" w:color="auto"/>
              <w:left w:val="single" w:sz="4" w:space="0" w:color="auto"/>
              <w:bottom w:val="single" w:sz="4" w:space="0" w:color="000000"/>
              <w:right w:val="single" w:sz="4" w:space="0" w:color="auto"/>
            </w:tcBorders>
            <w:vAlign w:val="center"/>
            <w:hideMark/>
          </w:tcPr>
          <w:p w14:paraId="7C83D43B" w14:textId="77777777" w:rsidR="00817272" w:rsidRPr="00AD67C2" w:rsidRDefault="00817272" w:rsidP="003E0733">
            <w:pPr>
              <w:rPr>
                <w:rFonts w:ascii="Garamond" w:eastAsia="Times New Roman" w:hAnsi="Garamond" w:cs="Arial"/>
                <w:b/>
                <w:bCs/>
              </w:rPr>
            </w:pPr>
          </w:p>
        </w:tc>
        <w:tc>
          <w:tcPr>
            <w:tcW w:w="0" w:type="auto"/>
            <w:gridSpan w:val="19"/>
            <w:vMerge/>
            <w:tcBorders>
              <w:top w:val="single" w:sz="4" w:space="0" w:color="auto"/>
              <w:left w:val="single" w:sz="4" w:space="0" w:color="auto"/>
              <w:bottom w:val="single" w:sz="4" w:space="0" w:color="000000"/>
              <w:right w:val="single" w:sz="4" w:space="0" w:color="auto"/>
            </w:tcBorders>
            <w:vAlign w:val="center"/>
            <w:hideMark/>
          </w:tcPr>
          <w:p w14:paraId="6871C7ED" w14:textId="77777777" w:rsidR="00817272" w:rsidRPr="00AD67C2" w:rsidRDefault="00817272" w:rsidP="003E0733">
            <w:pPr>
              <w:rPr>
                <w:rFonts w:ascii="Garamond" w:eastAsia="Times New Roman" w:hAnsi="Garamond" w:cs="Arial"/>
                <w:b/>
                <w:bCs/>
              </w:rPr>
            </w:pPr>
          </w:p>
        </w:tc>
      </w:tr>
      <w:tr w:rsidR="00817272" w:rsidRPr="00AD67C2" w14:paraId="13DCF3D7" w14:textId="77777777" w:rsidTr="00817272">
        <w:trPr>
          <w:trHeight w:val="501"/>
        </w:trPr>
        <w:tc>
          <w:tcPr>
            <w:tcW w:w="249" w:type="dxa"/>
            <w:tcBorders>
              <w:top w:val="nil"/>
              <w:left w:val="single" w:sz="4" w:space="0" w:color="auto"/>
              <w:bottom w:val="nil"/>
              <w:right w:val="nil"/>
            </w:tcBorders>
            <w:noWrap/>
            <w:vAlign w:val="bottom"/>
            <w:hideMark/>
          </w:tcPr>
          <w:p w14:paraId="29A78D9D" w14:textId="77777777" w:rsidR="00817272" w:rsidRPr="00AD67C2" w:rsidRDefault="00817272" w:rsidP="003E0733">
            <w:pPr>
              <w:rPr>
                <w:rFonts w:ascii="Garamond" w:eastAsia="Times New Roman" w:hAnsi="Garamond" w:cs="Arial"/>
                <w:sz w:val="16"/>
                <w:szCs w:val="16"/>
              </w:rPr>
            </w:pPr>
            <w:r w:rsidRPr="00AD67C2">
              <w:rPr>
                <w:rFonts w:ascii="Garamond" w:eastAsia="Times New Roman" w:hAnsi="Garamond" w:cs="Arial"/>
                <w:sz w:val="16"/>
                <w:szCs w:val="16"/>
              </w:rPr>
              <w:t> </w:t>
            </w:r>
          </w:p>
        </w:tc>
        <w:tc>
          <w:tcPr>
            <w:tcW w:w="251" w:type="dxa"/>
            <w:tcBorders>
              <w:top w:val="nil"/>
              <w:left w:val="nil"/>
              <w:bottom w:val="single" w:sz="4" w:space="0" w:color="auto"/>
              <w:right w:val="nil"/>
            </w:tcBorders>
            <w:noWrap/>
            <w:vAlign w:val="bottom"/>
            <w:hideMark/>
          </w:tcPr>
          <w:p w14:paraId="1BF0789C" w14:textId="77777777" w:rsidR="00817272" w:rsidRPr="00AD67C2" w:rsidRDefault="00817272" w:rsidP="003E0733">
            <w:pPr>
              <w:rPr>
                <w:rFonts w:ascii="Garamond" w:eastAsia="Times New Roman" w:hAnsi="Garamond" w:cs="Arial"/>
                <w:sz w:val="16"/>
                <w:szCs w:val="16"/>
              </w:rPr>
            </w:pPr>
            <w:r w:rsidRPr="00AD67C2">
              <w:rPr>
                <w:rFonts w:ascii="Garamond" w:eastAsia="Times New Roman" w:hAnsi="Garamond" w:cs="Arial"/>
                <w:sz w:val="16"/>
                <w:szCs w:val="16"/>
              </w:rPr>
              <w:t> </w:t>
            </w:r>
          </w:p>
        </w:tc>
        <w:tc>
          <w:tcPr>
            <w:tcW w:w="247" w:type="dxa"/>
            <w:tcBorders>
              <w:top w:val="nil"/>
              <w:left w:val="nil"/>
              <w:bottom w:val="single" w:sz="4" w:space="0" w:color="auto"/>
              <w:right w:val="nil"/>
            </w:tcBorders>
            <w:noWrap/>
            <w:vAlign w:val="bottom"/>
            <w:hideMark/>
          </w:tcPr>
          <w:p w14:paraId="734FB177" w14:textId="77777777" w:rsidR="00817272" w:rsidRPr="00AD67C2" w:rsidRDefault="00817272" w:rsidP="003E0733">
            <w:pPr>
              <w:rPr>
                <w:rFonts w:ascii="Garamond" w:eastAsia="Times New Roman" w:hAnsi="Garamond" w:cs="Arial"/>
                <w:sz w:val="16"/>
                <w:szCs w:val="16"/>
              </w:rPr>
            </w:pPr>
            <w:r w:rsidRPr="00AD67C2">
              <w:rPr>
                <w:rFonts w:ascii="Garamond" w:eastAsia="Times New Roman" w:hAnsi="Garamond" w:cs="Arial"/>
                <w:sz w:val="16"/>
                <w:szCs w:val="16"/>
              </w:rPr>
              <w:t> </w:t>
            </w:r>
          </w:p>
        </w:tc>
        <w:tc>
          <w:tcPr>
            <w:tcW w:w="247" w:type="dxa"/>
            <w:tcBorders>
              <w:top w:val="nil"/>
              <w:left w:val="nil"/>
              <w:bottom w:val="single" w:sz="4" w:space="0" w:color="auto"/>
              <w:right w:val="nil"/>
            </w:tcBorders>
            <w:noWrap/>
            <w:vAlign w:val="bottom"/>
            <w:hideMark/>
          </w:tcPr>
          <w:p w14:paraId="5358164B" w14:textId="77777777" w:rsidR="00817272" w:rsidRPr="00AD67C2" w:rsidRDefault="00817272" w:rsidP="003E0733">
            <w:pPr>
              <w:rPr>
                <w:rFonts w:ascii="Garamond" w:eastAsia="Times New Roman" w:hAnsi="Garamond" w:cs="Arial"/>
                <w:sz w:val="16"/>
                <w:szCs w:val="16"/>
              </w:rPr>
            </w:pPr>
            <w:r w:rsidRPr="00AD67C2">
              <w:rPr>
                <w:rFonts w:ascii="Garamond" w:eastAsia="Times New Roman" w:hAnsi="Garamond" w:cs="Arial"/>
                <w:sz w:val="16"/>
                <w:szCs w:val="16"/>
              </w:rPr>
              <w:t> </w:t>
            </w:r>
          </w:p>
        </w:tc>
        <w:tc>
          <w:tcPr>
            <w:tcW w:w="247" w:type="dxa"/>
            <w:tcBorders>
              <w:top w:val="nil"/>
              <w:left w:val="nil"/>
              <w:bottom w:val="single" w:sz="4" w:space="0" w:color="auto"/>
              <w:right w:val="nil"/>
            </w:tcBorders>
            <w:noWrap/>
            <w:vAlign w:val="bottom"/>
            <w:hideMark/>
          </w:tcPr>
          <w:p w14:paraId="755C2305" w14:textId="77777777" w:rsidR="00817272" w:rsidRPr="00AD67C2" w:rsidRDefault="00817272" w:rsidP="003E0733">
            <w:pPr>
              <w:rPr>
                <w:rFonts w:ascii="Garamond" w:eastAsia="Times New Roman" w:hAnsi="Garamond" w:cs="Arial"/>
                <w:sz w:val="16"/>
                <w:szCs w:val="16"/>
              </w:rPr>
            </w:pPr>
            <w:r w:rsidRPr="00AD67C2">
              <w:rPr>
                <w:rFonts w:ascii="Garamond" w:eastAsia="Times New Roman" w:hAnsi="Garamond" w:cs="Arial"/>
                <w:sz w:val="16"/>
                <w:szCs w:val="16"/>
              </w:rPr>
              <w:t> </w:t>
            </w:r>
          </w:p>
        </w:tc>
        <w:tc>
          <w:tcPr>
            <w:tcW w:w="281" w:type="dxa"/>
            <w:tcBorders>
              <w:top w:val="nil"/>
              <w:left w:val="nil"/>
              <w:bottom w:val="single" w:sz="4" w:space="0" w:color="auto"/>
              <w:right w:val="nil"/>
            </w:tcBorders>
            <w:noWrap/>
            <w:vAlign w:val="bottom"/>
            <w:hideMark/>
          </w:tcPr>
          <w:p w14:paraId="6AB8669B" w14:textId="77777777" w:rsidR="00817272" w:rsidRPr="00AD67C2" w:rsidRDefault="00817272" w:rsidP="003E0733">
            <w:pPr>
              <w:rPr>
                <w:rFonts w:ascii="Garamond" w:eastAsia="Times New Roman" w:hAnsi="Garamond" w:cs="Arial"/>
                <w:sz w:val="16"/>
                <w:szCs w:val="16"/>
              </w:rPr>
            </w:pPr>
            <w:r w:rsidRPr="00AD67C2">
              <w:rPr>
                <w:rFonts w:ascii="Garamond" w:eastAsia="Times New Roman" w:hAnsi="Garamond" w:cs="Arial"/>
                <w:sz w:val="16"/>
                <w:szCs w:val="16"/>
              </w:rPr>
              <w:t> </w:t>
            </w:r>
          </w:p>
        </w:tc>
        <w:tc>
          <w:tcPr>
            <w:tcW w:w="283" w:type="dxa"/>
            <w:tcBorders>
              <w:top w:val="nil"/>
              <w:left w:val="nil"/>
              <w:bottom w:val="single" w:sz="4" w:space="0" w:color="auto"/>
              <w:right w:val="nil"/>
            </w:tcBorders>
            <w:noWrap/>
            <w:vAlign w:val="bottom"/>
            <w:hideMark/>
          </w:tcPr>
          <w:p w14:paraId="3F4548D0" w14:textId="77777777" w:rsidR="00817272" w:rsidRPr="00AD67C2" w:rsidRDefault="00817272" w:rsidP="003E0733">
            <w:pPr>
              <w:rPr>
                <w:rFonts w:ascii="Garamond" w:eastAsia="Times New Roman" w:hAnsi="Garamond" w:cs="Arial"/>
                <w:sz w:val="16"/>
                <w:szCs w:val="16"/>
              </w:rPr>
            </w:pPr>
            <w:r w:rsidRPr="00AD67C2">
              <w:rPr>
                <w:rFonts w:ascii="Garamond" w:eastAsia="Times New Roman" w:hAnsi="Garamond" w:cs="Arial"/>
                <w:sz w:val="16"/>
                <w:szCs w:val="16"/>
              </w:rPr>
              <w:t> </w:t>
            </w:r>
          </w:p>
        </w:tc>
        <w:tc>
          <w:tcPr>
            <w:tcW w:w="305" w:type="dxa"/>
            <w:noWrap/>
            <w:vAlign w:val="bottom"/>
            <w:hideMark/>
          </w:tcPr>
          <w:p w14:paraId="60071ABE" w14:textId="77777777" w:rsidR="00817272" w:rsidRPr="00AD67C2" w:rsidRDefault="00817272" w:rsidP="003E0733">
            <w:pPr>
              <w:rPr>
                <w:rFonts w:ascii="Garamond" w:eastAsia="Times New Roman" w:hAnsi="Garamond" w:cs="Arial"/>
              </w:rPr>
            </w:pPr>
            <w:r w:rsidRPr="00AD67C2">
              <w:rPr>
                <w:rFonts w:ascii="Garamond" w:eastAsia="Times New Roman" w:hAnsi="Garamond" w:cs="Arial"/>
              </w:rPr>
              <w:t>/</w:t>
            </w:r>
          </w:p>
        </w:tc>
        <w:tc>
          <w:tcPr>
            <w:tcW w:w="247" w:type="dxa"/>
            <w:tcBorders>
              <w:top w:val="nil"/>
              <w:left w:val="nil"/>
              <w:bottom w:val="single" w:sz="4" w:space="0" w:color="auto"/>
              <w:right w:val="nil"/>
            </w:tcBorders>
            <w:noWrap/>
            <w:vAlign w:val="bottom"/>
            <w:hideMark/>
          </w:tcPr>
          <w:p w14:paraId="0B99DA4C" w14:textId="77777777" w:rsidR="00817272" w:rsidRPr="00AD67C2" w:rsidRDefault="00817272" w:rsidP="003E0733">
            <w:pPr>
              <w:rPr>
                <w:rFonts w:ascii="Garamond" w:eastAsia="Times New Roman" w:hAnsi="Garamond" w:cs="Arial"/>
                <w:sz w:val="16"/>
                <w:szCs w:val="16"/>
              </w:rPr>
            </w:pPr>
            <w:r w:rsidRPr="00AD67C2">
              <w:rPr>
                <w:rFonts w:ascii="Garamond" w:eastAsia="Times New Roman" w:hAnsi="Garamond" w:cs="Arial"/>
                <w:sz w:val="16"/>
                <w:szCs w:val="16"/>
              </w:rPr>
              <w:t> </w:t>
            </w:r>
          </w:p>
        </w:tc>
        <w:tc>
          <w:tcPr>
            <w:tcW w:w="247" w:type="dxa"/>
            <w:tcBorders>
              <w:top w:val="nil"/>
              <w:left w:val="nil"/>
              <w:bottom w:val="single" w:sz="4" w:space="0" w:color="auto"/>
              <w:right w:val="nil"/>
            </w:tcBorders>
            <w:noWrap/>
            <w:vAlign w:val="bottom"/>
            <w:hideMark/>
          </w:tcPr>
          <w:p w14:paraId="28583EF9" w14:textId="77777777" w:rsidR="00817272" w:rsidRPr="00AD67C2" w:rsidRDefault="00817272" w:rsidP="003E0733">
            <w:pPr>
              <w:rPr>
                <w:rFonts w:ascii="Garamond" w:eastAsia="Times New Roman" w:hAnsi="Garamond" w:cs="Arial"/>
                <w:sz w:val="16"/>
                <w:szCs w:val="16"/>
              </w:rPr>
            </w:pPr>
            <w:r w:rsidRPr="00AD67C2">
              <w:rPr>
                <w:rFonts w:ascii="Garamond" w:eastAsia="Times New Roman" w:hAnsi="Garamond" w:cs="Arial"/>
                <w:sz w:val="16"/>
                <w:szCs w:val="16"/>
              </w:rPr>
              <w:t> </w:t>
            </w:r>
          </w:p>
        </w:tc>
        <w:tc>
          <w:tcPr>
            <w:tcW w:w="247" w:type="dxa"/>
            <w:tcBorders>
              <w:top w:val="nil"/>
              <w:left w:val="nil"/>
              <w:bottom w:val="single" w:sz="4" w:space="0" w:color="auto"/>
              <w:right w:val="nil"/>
            </w:tcBorders>
            <w:noWrap/>
            <w:vAlign w:val="bottom"/>
            <w:hideMark/>
          </w:tcPr>
          <w:p w14:paraId="5C74941F" w14:textId="77777777" w:rsidR="00817272" w:rsidRPr="00AD67C2" w:rsidRDefault="00817272" w:rsidP="003E0733">
            <w:pPr>
              <w:rPr>
                <w:rFonts w:ascii="Garamond" w:eastAsia="Times New Roman" w:hAnsi="Garamond" w:cs="Arial"/>
                <w:sz w:val="16"/>
                <w:szCs w:val="16"/>
              </w:rPr>
            </w:pPr>
            <w:r w:rsidRPr="00AD67C2">
              <w:rPr>
                <w:rFonts w:ascii="Garamond" w:eastAsia="Times New Roman" w:hAnsi="Garamond" w:cs="Arial"/>
                <w:sz w:val="16"/>
                <w:szCs w:val="16"/>
              </w:rPr>
              <w:t> </w:t>
            </w:r>
          </w:p>
        </w:tc>
        <w:tc>
          <w:tcPr>
            <w:tcW w:w="264" w:type="dxa"/>
            <w:tcBorders>
              <w:top w:val="nil"/>
              <w:left w:val="nil"/>
              <w:bottom w:val="single" w:sz="4" w:space="0" w:color="auto"/>
              <w:right w:val="nil"/>
            </w:tcBorders>
            <w:noWrap/>
            <w:vAlign w:val="bottom"/>
            <w:hideMark/>
          </w:tcPr>
          <w:p w14:paraId="7F6355E7" w14:textId="77777777" w:rsidR="00817272" w:rsidRPr="00AD67C2" w:rsidRDefault="00817272" w:rsidP="003E0733">
            <w:pPr>
              <w:rPr>
                <w:rFonts w:ascii="Garamond" w:eastAsia="Times New Roman" w:hAnsi="Garamond" w:cs="Arial"/>
                <w:sz w:val="16"/>
                <w:szCs w:val="16"/>
              </w:rPr>
            </w:pPr>
            <w:r w:rsidRPr="00AD67C2">
              <w:rPr>
                <w:rFonts w:ascii="Garamond" w:eastAsia="Times New Roman" w:hAnsi="Garamond" w:cs="Arial"/>
                <w:sz w:val="16"/>
                <w:szCs w:val="16"/>
              </w:rPr>
              <w:t> </w:t>
            </w:r>
          </w:p>
        </w:tc>
        <w:tc>
          <w:tcPr>
            <w:tcW w:w="263" w:type="dxa"/>
            <w:tcBorders>
              <w:top w:val="nil"/>
              <w:left w:val="nil"/>
              <w:bottom w:val="single" w:sz="4" w:space="0" w:color="auto"/>
              <w:right w:val="nil"/>
            </w:tcBorders>
            <w:noWrap/>
            <w:vAlign w:val="bottom"/>
            <w:hideMark/>
          </w:tcPr>
          <w:p w14:paraId="20E38DA9" w14:textId="77777777" w:rsidR="00817272" w:rsidRPr="00AD67C2" w:rsidRDefault="00817272" w:rsidP="003E0733">
            <w:pPr>
              <w:rPr>
                <w:rFonts w:ascii="Garamond" w:eastAsia="Times New Roman" w:hAnsi="Garamond" w:cs="Arial"/>
                <w:sz w:val="16"/>
                <w:szCs w:val="16"/>
              </w:rPr>
            </w:pPr>
            <w:r w:rsidRPr="00AD67C2">
              <w:rPr>
                <w:rFonts w:ascii="Garamond" w:eastAsia="Times New Roman" w:hAnsi="Garamond" w:cs="Arial"/>
                <w:sz w:val="16"/>
                <w:szCs w:val="16"/>
              </w:rPr>
              <w:t> </w:t>
            </w:r>
          </w:p>
        </w:tc>
        <w:tc>
          <w:tcPr>
            <w:tcW w:w="263" w:type="dxa"/>
            <w:tcBorders>
              <w:top w:val="nil"/>
              <w:left w:val="nil"/>
              <w:bottom w:val="single" w:sz="4" w:space="0" w:color="auto"/>
              <w:right w:val="nil"/>
            </w:tcBorders>
            <w:noWrap/>
            <w:vAlign w:val="bottom"/>
            <w:hideMark/>
          </w:tcPr>
          <w:p w14:paraId="54BE40EB" w14:textId="77777777" w:rsidR="00817272" w:rsidRPr="00AD67C2" w:rsidRDefault="00817272" w:rsidP="003E0733">
            <w:pPr>
              <w:rPr>
                <w:rFonts w:ascii="Garamond" w:eastAsia="Times New Roman" w:hAnsi="Garamond" w:cs="Arial"/>
                <w:sz w:val="16"/>
                <w:szCs w:val="16"/>
              </w:rPr>
            </w:pPr>
            <w:r w:rsidRPr="00AD67C2">
              <w:rPr>
                <w:rFonts w:ascii="Garamond" w:eastAsia="Times New Roman" w:hAnsi="Garamond" w:cs="Arial"/>
                <w:sz w:val="16"/>
                <w:szCs w:val="16"/>
              </w:rPr>
              <w:t> </w:t>
            </w:r>
          </w:p>
        </w:tc>
        <w:tc>
          <w:tcPr>
            <w:tcW w:w="262" w:type="dxa"/>
            <w:tcBorders>
              <w:top w:val="nil"/>
              <w:left w:val="nil"/>
              <w:bottom w:val="single" w:sz="4" w:space="0" w:color="auto"/>
              <w:right w:val="nil"/>
            </w:tcBorders>
            <w:noWrap/>
            <w:vAlign w:val="bottom"/>
            <w:hideMark/>
          </w:tcPr>
          <w:p w14:paraId="21CD5DE0" w14:textId="77777777" w:rsidR="00817272" w:rsidRPr="00AD67C2" w:rsidRDefault="00817272" w:rsidP="003E0733">
            <w:pPr>
              <w:rPr>
                <w:rFonts w:ascii="Garamond" w:eastAsia="Times New Roman" w:hAnsi="Garamond" w:cs="Arial"/>
                <w:sz w:val="16"/>
                <w:szCs w:val="16"/>
              </w:rPr>
            </w:pPr>
            <w:r w:rsidRPr="00AD67C2">
              <w:rPr>
                <w:rFonts w:ascii="Garamond" w:eastAsia="Times New Roman" w:hAnsi="Garamond" w:cs="Arial"/>
                <w:sz w:val="16"/>
                <w:szCs w:val="16"/>
              </w:rPr>
              <w:t> </w:t>
            </w:r>
          </w:p>
        </w:tc>
        <w:tc>
          <w:tcPr>
            <w:tcW w:w="262" w:type="dxa"/>
            <w:tcBorders>
              <w:top w:val="nil"/>
              <w:left w:val="nil"/>
              <w:bottom w:val="single" w:sz="4" w:space="0" w:color="auto"/>
              <w:right w:val="nil"/>
            </w:tcBorders>
            <w:noWrap/>
            <w:vAlign w:val="bottom"/>
            <w:hideMark/>
          </w:tcPr>
          <w:p w14:paraId="5E97206E" w14:textId="77777777" w:rsidR="00817272" w:rsidRPr="00AD67C2" w:rsidRDefault="00817272" w:rsidP="003E0733">
            <w:pPr>
              <w:rPr>
                <w:rFonts w:ascii="Garamond" w:eastAsia="Times New Roman" w:hAnsi="Garamond" w:cs="Arial"/>
                <w:sz w:val="16"/>
                <w:szCs w:val="16"/>
              </w:rPr>
            </w:pPr>
            <w:r w:rsidRPr="00AD67C2">
              <w:rPr>
                <w:rFonts w:ascii="Garamond" w:eastAsia="Times New Roman" w:hAnsi="Garamond" w:cs="Arial"/>
                <w:sz w:val="16"/>
                <w:szCs w:val="16"/>
              </w:rPr>
              <w:t> </w:t>
            </w:r>
          </w:p>
        </w:tc>
        <w:tc>
          <w:tcPr>
            <w:tcW w:w="305" w:type="dxa"/>
            <w:tcBorders>
              <w:top w:val="nil"/>
              <w:left w:val="nil"/>
              <w:bottom w:val="nil"/>
              <w:right w:val="single" w:sz="4" w:space="0" w:color="auto"/>
            </w:tcBorders>
            <w:noWrap/>
            <w:vAlign w:val="bottom"/>
            <w:hideMark/>
          </w:tcPr>
          <w:p w14:paraId="66C415CB" w14:textId="77777777" w:rsidR="00817272" w:rsidRPr="00AD67C2" w:rsidRDefault="00817272" w:rsidP="003E0733">
            <w:pPr>
              <w:rPr>
                <w:rFonts w:ascii="Garamond" w:eastAsia="Times New Roman" w:hAnsi="Garamond" w:cs="Arial"/>
              </w:rPr>
            </w:pPr>
            <w:r w:rsidRPr="00AD67C2">
              <w:rPr>
                <w:rFonts w:ascii="Garamond" w:eastAsia="Times New Roman" w:hAnsi="Garamond" w:cs="Arial"/>
              </w:rPr>
              <w:t>/</w:t>
            </w:r>
          </w:p>
        </w:tc>
        <w:tc>
          <w:tcPr>
            <w:tcW w:w="261" w:type="dxa"/>
            <w:gridSpan w:val="2"/>
            <w:noWrap/>
            <w:vAlign w:val="bottom"/>
            <w:hideMark/>
          </w:tcPr>
          <w:p w14:paraId="0B84F3ED" w14:textId="77777777" w:rsidR="00817272" w:rsidRPr="00AD67C2" w:rsidRDefault="00817272" w:rsidP="003E0733">
            <w:pPr>
              <w:rPr>
                <w:rFonts w:ascii="Garamond" w:eastAsia="Times New Roman" w:hAnsi="Garamond" w:cs="Arial"/>
              </w:rPr>
            </w:pPr>
          </w:p>
        </w:tc>
        <w:tc>
          <w:tcPr>
            <w:tcW w:w="247" w:type="dxa"/>
            <w:gridSpan w:val="2"/>
            <w:tcBorders>
              <w:top w:val="nil"/>
              <w:left w:val="nil"/>
              <w:bottom w:val="single" w:sz="4" w:space="0" w:color="auto"/>
              <w:right w:val="nil"/>
            </w:tcBorders>
            <w:noWrap/>
            <w:vAlign w:val="bottom"/>
            <w:hideMark/>
          </w:tcPr>
          <w:p w14:paraId="068E8326" w14:textId="77777777" w:rsidR="00817272" w:rsidRPr="00AD67C2" w:rsidRDefault="00817272" w:rsidP="003E0733">
            <w:pPr>
              <w:rPr>
                <w:rFonts w:ascii="Garamond" w:eastAsia="Times New Roman" w:hAnsi="Garamond" w:cs="Arial"/>
                <w:sz w:val="16"/>
                <w:szCs w:val="16"/>
              </w:rPr>
            </w:pPr>
            <w:r w:rsidRPr="00AD67C2">
              <w:rPr>
                <w:rFonts w:ascii="Garamond" w:eastAsia="Times New Roman" w:hAnsi="Garamond" w:cs="Arial"/>
                <w:sz w:val="16"/>
                <w:szCs w:val="16"/>
              </w:rPr>
              <w:t> </w:t>
            </w:r>
          </w:p>
        </w:tc>
        <w:tc>
          <w:tcPr>
            <w:tcW w:w="247" w:type="dxa"/>
            <w:tcBorders>
              <w:top w:val="nil"/>
              <w:left w:val="nil"/>
              <w:bottom w:val="single" w:sz="4" w:space="0" w:color="auto"/>
              <w:right w:val="nil"/>
            </w:tcBorders>
            <w:noWrap/>
            <w:vAlign w:val="bottom"/>
            <w:hideMark/>
          </w:tcPr>
          <w:p w14:paraId="2449F730" w14:textId="77777777" w:rsidR="00817272" w:rsidRPr="00AD67C2" w:rsidRDefault="00817272" w:rsidP="003E0733">
            <w:pPr>
              <w:rPr>
                <w:rFonts w:ascii="Garamond" w:eastAsia="Times New Roman" w:hAnsi="Garamond" w:cs="Arial"/>
                <w:sz w:val="16"/>
                <w:szCs w:val="16"/>
              </w:rPr>
            </w:pPr>
            <w:r w:rsidRPr="00AD67C2">
              <w:rPr>
                <w:rFonts w:ascii="Garamond" w:eastAsia="Times New Roman" w:hAnsi="Garamond" w:cs="Arial"/>
                <w:sz w:val="16"/>
                <w:szCs w:val="16"/>
              </w:rPr>
              <w:t> </w:t>
            </w:r>
          </w:p>
        </w:tc>
        <w:tc>
          <w:tcPr>
            <w:tcW w:w="247" w:type="dxa"/>
            <w:tcBorders>
              <w:top w:val="nil"/>
              <w:left w:val="nil"/>
              <w:bottom w:val="single" w:sz="4" w:space="0" w:color="auto"/>
              <w:right w:val="nil"/>
            </w:tcBorders>
            <w:noWrap/>
            <w:vAlign w:val="bottom"/>
            <w:hideMark/>
          </w:tcPr>
          <w:p w14:paraId="449CB09F" w14:textId="77777777" w:rsidR="00817272" w:rsidRPr="00AD67C2" w:rsidRDefault="00817272" w:rsidP="003E0733">
            <w:pPr>
              <w:rPr>
                <w:rFonts w:ascii="Garamond" w:eastAsia="Times New Roman" w:hAnsi="Garamond" w:cs="Arial"/>
                <w:sz w:val="16"/>
                <w:szCs w:val="16"/>
              </w:rPr>
            </w:pPr>
            <w:r w:rsidRPr="00AD67C2">
              <w:rPr>
                <w:rFonts w:ascii="Garamond" w:eastAsia="Times New Roman" w:hAnsi="Garamond" w:cs="Arial"/>
                <w:sz w:val="16"/>
                <w:szCs w:val="16"/>
              </w:rPr>
              <w:t> </w:t>
            </w:r>
          </w:p>
        </w:tc>
        <w:tc>
          <w:tcPr>
            <w:tcW w:w="247" w:type="dxa"/>
            <w:tcBorders>
              <w:top w:val="nil"/>
              <w:left w:val="nil"/>
              <w:bottom w:val="single" w:sz="4" w:space="0" w:color="auto"/>
              <w:right w:val="nil"/>
            </w:tcBorders>
            <w:noWrap/>
            <w:vAlign w:val="bottom"/>
            <w:hideMark/>
          </w:tcPr>
          <w:p w14:paraId="4A30A8D7" w14:textId="77777777" w:rsidR="00817272" w:rsidRPr="00AD67C2" w:rsidRDefault="00817272" w:rsidP="003E0733">
            <w:pPr>
              <w:rPr>
                <w:rFonts w:ascii="Garamond" w:eastAsia="Times New Roman" w:hAnsi="Garamond" w:cs="Arial"/>
                <w:sz w:val="16"/>
                <w:szCs w:val="16"/>
              </w:rPr>
            </w:pPr>
            <w:r w:rsidRPr="00AD67C2">
              <w:rPr>
                <w:rFonts w:ascii="Garamond" w:eastAsia="Times New Roman" w:hAnsi="Garamond" w:cs="Arial"/>
                <w:sz w:val="16"/>
                <w:szCs w:val="16"/>
              </w:rPr>
              <w:t> </w:t>
            </w:r>
          </w:p>
        </w:tc>
        <w:tc>
          <w:tcPr>
            <w:tcW w:w="247" w:type="dxa"/>
            <w:tcBorders>
              <w:top w:val="nil"/>
              <w:left w:val="nil"/>
              <w:bottom w:val="single" w:sz="4" w:space="0" w:color="auto"/>
              <w:right w:val="nil"/>
            </w:tcBorders>
            <w:noWrap/>
            <w:vAlign w:val="bottom"/>
            <w:hideMark/>
          </w:tcPr>
          <w:p w14:paraId="47CA1B38" w14:textId="77777777" w:rsidR="00817272" w:rsidRPr="00AD67C2" w:rsidRDefault="00817272" w:rsidP="003E0733">
            <w:pPr>
              <w:rPr>
                <w:rFonts w:ascii="Garamond" w:eastAsia="Times New Roman" w:hAnsi="Garamond" w:cs="Arial"/>
                <w:sz w:val="16"/>
                <w:szCs w:val="16"/>
              </w:rPr>
            </w:pPr>
            <w:r w:rsidRPr="00AD67C2">
              <w:rPr>
                <w:rFonts w:ascii="Garamond" w:eastAsia="Times New Roman" w:hAnsi="Garamond" w:cs="Arial"/>
                <w:sz w:val="16"/>
                <w:szCs w:val="16"/>
              </w:rPr>
              <w:t> </w:t>
            </w:r>
          </w:p>
        </w:tc>
        <w:tc>
          <w:tcPr>
            <w:tcW w:w="247" w:type="dxa"/>
            <w:tcBorders>
              <w:top w:val="nil"/>
              <w:left w:val="nil"/>
              <w:bottom w:val="single" w:sz="4" w:space="0" w:color="auto"/>
              <w:right w:val="nil"/>
            </w:tcBorders>
            <w:noWrap/>
            <w:vAlign w:val="bottom"/>
            <w:hideMark/>
          </w:tcPr>
          <w:p w14:paraId="2F830864" w14:textId="77777777" w:rsidR="00817272" w:rsidRPr="00AD67C2" w:rsidRDefault="00817272" w:rsidP="003E0733">
            <w:pPr>
              <w:rPr>
                <w:rFonts w:ascii="Garamond" w:eastAsia="Times New Roman" w:hAnsi="Garamond" w:cs="Arial"/>
                <w:sz w:val="16"/>
                <w:szCs w:val="16"/>
              </w:rPr>
            </w:pPr>
            <w:r w:rsidRPr="00AD67C2">
              <w:rPr>
                <w:rFonts w:ascii="Garamond" w:eastAsia="Times New Roman" w:hAnsi="Garamond" w:cs="Arial"/>
                <w:sz w:val="16"/>
                <w:szCs w:val="16"/>
              </w:rPr>
              <w:t> </w:t>
            </w:r>
          </w:p>
        </w:tc>
        <w:tc>
          <w:tcPr>
            <w:tcW w:w="305" w:type="dxa"/>
            <w:noWrap/>
            <w:vAlign w:val="bottom"/>
            <w:hideMark/>
          </w:tcPr>
          <w:p w14:paraId="50E59E06" w14:textId="77777777" w:rsidR="00817272" w:rsidRPr="00AD67C2" w:rsidRDefault="00817272" w:rsidP="003E0733">
            <w:pPr>
              <w:rPr>
                <w:rFonts w:ascii="Garamond" w:eastAsia="Times New Roman" w:hAnsi="Garamond" w:cs="Arial"/>
              </w:rPr>
            </w:pPr>
            <w:r w:rsidRPr="00AD67C2">
              <w:rPr>
                <w:rFonts w:ascii="Garamond" w:eastAsia="Times New Roman" w:hAnsi="Garamond" w:cs="Arial"/>
              </w:rPr>
              <w:t>/</w:t>
            </w:r>
          </w:p>
        </w:tc>
        <w:tc>
          <w:tcPr>
            <w:tcW w:w="280" w:type="dxa"/>
            <w:tcBorders>
              <w:top w:val="nil"/>
              <w:left w:val="nil"/>
              <w:bottom w:val="single" w:sz="4" w:space="0" w:color="auto"/>
              <w:right w:val="nil"/>
            </w:tcBorders>
            <w:noWrap/>
            <w:vAlign w:val="bottom"/>
            <w:hideMark/>
          </w:tcPr>
          <w:p w14:paraId="13EC20C7" w14:textId="77777777" w:rsidR="00817272" w:rsidRPr="00AD67C2" w:rsidRDefault="00817272" w:rsidP="003E0733">
            <w:pPr>
              <w:rPr>
                <w:rFonts w:ascii="Garamond" w:eastAsia="Times New Roman" w:hAnsi="Garamond" w:cs="Arial"/>
                <w:sz w:val="16"/>
                <w:szCs w:val="16"/>
              </w:rPr>
            </w:pPr>
            <w:r w:rsidRPr="00AD67C2">
              <w:rPr>
                <w:rFonts w:ascii="Garamond" w:eastAsia="Times New Roman" w:hAnsi="Garamond" w:cs="Arial"/>
                <w:sz w:val="16"/>
                <w:szCs w:val="16"/>
              </w:rPr>
              <w:t> </w:t>
            </w:r>
          </w:p>
        </w:tc>
        <w:tc>
          <w:tcPr>
            <w:tcW w:w="279" w:type="dxa"/>
            <w:tcBorders>
              <w:top w:val="nil"/>
              <w:left w:val="nil"/>
              <w:bottom w:val="single" w:sz="4" w:space="0" w:color="auto"/>
              <w:right w:val="nil"/>
            </w:tcBorders>
            <w:noWrap/>
            <w:vAlign w:val="bottom"/>
            <w:hideMark/>
          </w:tcPr>
          <w:p w14:paraId="64B2288A" w14:textId="77777777" w:rsidR="00817272" w:rsidRPr="00AD67C2" w:rsidRDefault="00817272" w:rsidP="003E0733">
            <w:pPr>
              <w:rPr>
                <w:rFonts w:ascii="Garamond" w:eastAsia="Times New Roman" w:hAnsi="Garamond" w:cs="Arial"/>
                <w:sz w:val="16"/>
                <w:szCs w:val="16"/>
              </w:rPr>
            </w:pPr>
            <w:r w:rsidRPr="00AD67C2">
              <w:rPr>
                <w:rFonts w:ascii="Garamond" w:eastAsia="Times New Roman" w:hAnsi="Garamond" w:cs="Arial"/>
                <w:sz w:val="16"/>
                <w:szCs w:val="16"/>
              </w:rPr>
              <w:t> </w:t>
            </w:r>
          </w:p>
        </w:tc>
        <w:tc>
          <w:tcPr>
            <w:tcW w:w="246" w:type="dxa"/>
            <w:gridSpan w:val="2"/>
            <w:tcBorders>
              <w:top w:val="nil"/>
              <w:left w:val="nil"/>
              <w:bottom w:val="single" w:sz="4" w:space="0" w:color="auto"/>
              <w:right w:val="nil"/>
            </w:tcBorders>
            <w:noWrap/>
            <w:vAlign w:val="bottom"/>
            <w:hideMark/>
          </w:tcPr>
          <w:p w14:paraId="21CA2375" w14:textId="77777777" w:rsidR="00817272" w:rsidRPr="00AD67C2" w:rsidRDefault="00817272" w:rsidP="003E0733">
            <w:pPr>
              <w:rPr>
                <w:rFonts w:ascii="Garamond" w:eastAsia="Times New Roman" w:hAnsi="Garamond" w:cs="Arial"/>
                <w:sz w:val="16"/>
                <w:szCs w:val="16"/>
              </w:rPr>
            </w:pPr>
            <w:r w:rsidRPr="00AD67C2">
              <w:rPr>
                <w:rFonts w:ascii="Garamond" w:eastAsia="Times New Roman" w:hAnsi="Garamond" w:cs="Arial"/>
                <w:sz w:val="16"/>
                <w:szCs w:val="16"/>
              </w:rPr>
              <w:t> </w:t>
            </w:r>
          </w:p>
        </w:tc>
        <w:tc>
          <w:tcPr>
            <w:tcW w:w="247" w:type="dxa"/>
            <w:tcBorders>
              <w:top w:val="nil"/>
              <w:left w:val="nil"/>
              <w:bottom w:val="single" w:sz="4" w:space="0" w:color="auto"/>
              <w:right w:val="nil"/>
            </w:tcBorders>
            <w:noWrap/>
            <w:vAlign w:val="bottom"/>
            <w:hideMark/>
          </w:tcPr>
          <w:p w14:paraId="62BEF381" w14:textId="77777777" w:rsidR="00817272" w:rsidRPr="00AD67C2" w:rsidRDefault="00817272" w:rsidP="003E0733">
            <w:pPr>
              <w:rPr>
                <w:rFonts w:ascii="Garamond" w:eastAsia="Times New Roman" w:hAnsi="Garamond" w:cs="Arial"/>
                <w:sz w:val="16"/>
                <w:szCs w:val="16"/>
              </w:rPr>
            </w:pPr>
            <w:r w:rsidRPr="00AD67C2">
              <w:rPr>
                <w:rFonts w:ascii="Garamond" w:eastAsia="Times New Roman" w:hAnsi="Garamond" w:cs="Arial"/>
                <w:sz w:val="16"/>
                <w:szCs w:val="16"/>
              </w:rPr>
              <w:t> </w:t>
            </w:r>
          </w:p>
        </w:tc>
        <w:tc>
          <w:tcPr>
            <w:tcW w:w="247" w:type="dxa"/>
            <w:tcBorders>
              <w:top w:val="nil"/>
              <w:left w:val="nil"/>
              <w:bottom w:val="single" w:sz="4" w:space="0" w:color="auto"/>
              <w:right w:val="nil"/>
            </w:tcBorders>
            <w:noWrap/>
            <w:vAlign w:val="bottom"/>
            <w:hideMark/>
          </w:tcPr>
          <w:p w14:paraId="529077F3" w14:textId="77777777" w:rsidR="00817272" w:rsidRPr="00AD67C2" w:rsidRDefault="00817272" w:rsidP="003E0733">
            <w:pPr>
              <w:rPr>
                <w:rFonts w:ascii="Garamond" w:eastAsia="Times New Roman" w:hAnsi="Garamond" w:cs="Arial"/>
                <w:sz w:val="16"/>
                <w:szCs w:val="16"/>
              </w:rPr>
            </w:pPr>
            <w:r w:rsidRPr="00AD67C2">
              <w:rPr>
                <w:rFonts w:ascii="Garamond" w:eastAsia="Times New Roman" w:hAnsi="Garamond" w:cs="Arial"/>
                <w:sz w:val="16"/>
                <w:szCs w:val="16"/>
              </w:rPr>
              <w:t> </w:t>
            </w:r>
          </w:p>
        </w:tc>
        <w:tc>
          <w:tcPr>
            <w:tcW w:w="247" w:type="dxa"/>
            <w:tcBorders>
              <w:top w:val="nil"/>
              <w:left w:val="nil"/>
              <w:bottom w:val="single" w:sz="4" w:space="0" w:color="auto"/>
              <w:right w:val="nil"/>
            </w:tcBorders>
            <w:noWrap/>
            <w:vAlign w:val="bottom"/>
            <w:hideMark/>
          </w:tcPr>
          <w:p w14:paraId="0B568830" w14:textId="77777777" w:rsidR="00817272" w:rsidRPr="00AD67C2" w:rsidRDefault="00817272" w:rsidP="003E0733">
            <w:pPr>
              <w:rPr>
                <w:rFonts w:ascii="Garamond" w:eastAsia="Times New Roman" w:hAnsi="Garamond" w:cs="Arial"/>
                <w:sz w:val="16"/>
                <w:szCs w:val="16"/>
              </w:rPr>
            </w:pPr>
            <w:r w:rsidRPr="00AD67C2">
              <w:rPr>
                <w:rFonts w:ascii="Garamond" w:eastAsia="Times New Roman" w:hAnsi="Garamond" w:cs="Arial"/>
                <w:sz w:val="16"/>
                <w:szCs w:val="16"/>
              </w:rPr>
              <w:t> </w:t>
            </w:r>
          </w:p>
        </w:tc>
        <w:tc>
          <w:tcPr>
            <w:tcW w:w="247" w:type="dxa"/>
            <w:tcBorders>
              <w:top w:val="nil"/>
              <w:left w:val="nil"/>
              <w:bottom w:val="single" w:sz="4" w:space="0" w:color="auto"/>
              <w:right w:val="nil"/>
            </w:tcBorders>
            <w:noWrap/>
            <w:vAlign w:val="bottom"/>
            <w:hideMark/>
          </w:tcPr>
          <w:p w14:paraId="11B343ED" w14:textId="77777777" w:rsidR="00817272" w:rsidRPr="00AD67C2" w:rsidRDefault="00817272" w:rsidP="003E0733">
            <w:pPr>
              <w:rPr>
                <w:rFonts w:ascii="Garamond" w:eastAsia="Times New Roman" w:hAnsi="Garamond" w:cs="Arial"/>
                <w:sz w:val="16"/>
                <w:szCs w:val="16"/>
              </w:rPr>
            </w:pPr>
            <w:r w:rsidRPr="00AD67C2">
              <w:rPr>
                <w:rFonts w:ascii="Garamond" w:eastAsia="Times New Roman" w:hAnsi="Garamond" w:cs="Arial"/>
                <w:sz w:val="16"/>
                <w:szCs w:val="16"/>
              </w:rPr>
              <w:t> </w:t>
            </w:r>
          </w:p>
        </w:tc>
        <w:tc>
          <w:tcPr>
            <w:tcW w:w="247" w:type="dxa"/>
            <w:tcBorders>
              <w:top w:val="nil"/>
              <w:left w:val="nil"/>
              <w:bottom w:val="single" w:sz="4" w:space="0" w:color="auto"/>
              <w:right w:val="nil"/>
            </w:tcBorders>
            <w:noWrap/>
            <w:vAlign w:val="bottom"/>
            <w:hideMark/>
          </w:tcPr>
          <w:p w14:paraId="25418E33" w14:textId="77777777" w:rsidR="00817272" w:rsidRPr="00AD67C2" w:rsidRDefault="00817272" w:rsidP="003E0733">
            <w:pPr>
              <w:rPr>
                <w:rFonts w:ascii="Garamond" w:eastAsia="Times New Roman" w:hAnsi="Garamond" w:cs="Arial"/>
                <w:sz w:val="16"/>
                <w:szCs w:val="16"/>
              </w:rPr>
            </w:pPr>
            <w:r w:rsidRPr="00AD67C2">
              <w:rPr>
                <w:rFonts w:ascii="Garamond" w:eastAsia="Times New Roman" w:hAnsi="Garamond" w:cs="Arial"/>
                <w:sz w:val="16"/>
                <w:szCs w:val="16"/>
              </w:rPr>
              <w:t> </w:t>
            </w:r>
          </w:p>
        </w:tc>
        <w:tc>
          <w:tcPr>
            <w:tcW w:w="305" w:type="dxa"/>
            <w:tcBorders>
              <w:top w:val="nil"/>
              <w:left w:val="nil"/>
              <w:bottom w:val="nil"/>
              <w:right w:val="single" w:sz="4" w:space="0" w:color="auto"/>
            </w:tcBorders>
            <w:noWrap/>
            <w:vAlign w:val="bottom"/>
            <w:hideMark/>
          </w:tcPr>
          <w:p w14:paraId="5EF90FB8" w14:textId="77777777" w:rsidR="00817272" w:rsidRPr="00AD67C2" w:rsidRDefault="00817272" w:rsidP="003E0733">
            <w:pPr>
              <w:rPr>
                <w:rFonts w:ascii="Garamond" w:eastAsia="Times New Roman" w:hAnsi="Garamond" w:cs="Arial"/>
              </w:rPr>
            </w:pPr>
            <w:r w:rsidRPr="00AD67C2">
              <w:rPr>
                <w:rFonts w:ascii="Garamond" w:eastAsia="Times New Roman" w:hAnsi="Garamond" w:cs="Arial"/>
              </w:rPr>
              <w:t>/</w:t>
            </w:r>
          </w:p>
        </w:tc>
      </w:tr>
      <w:tr w:rsidR="00817272" w:rsidRPr="00AD67C2" w14:paraId="52F007E3" w14:textId="77777777" w:rsidTr="00817272">
        <w:trPr>
          <w:trHeight w:val="177"/>
        </w:trPr>
        <w:tc>
          <w:tcPr>
            <w:tcW w:w="249" w:type="dxa"/>
            <w:tcBorders>
              <w:top w:val="nil"/>
              <w:left w:val="single" w:sz="4" w:space="0" w:color="auto"/>
              <w:bottom w:val="single" w:sz="4" w:space="0" w:color="auto"/>
              <w:right w:val="nil"/>
            </w:tcBorders>
            <w:noWrap/>
            <w:vAlign w:val="bottom"/>
            <w:hideMark/>
          </w:tcPr>
          <w:p w14:paraId="1E834B76" w14:textId="77777777" w:rsidR="00817272" w:rsidRPr="00AD67C2" w:rsidRDefault="00817272" w:rsidP="003E0733">
            <w:pPr>
              <w:rPr>
                <w:rFonts w:ascii="Garamond" w:eastAsia="Times New Roman" w:hAnsi="Garamond" w:cs="Arial"/>
                <w:sz w:val="16"/>
                <w:szCs w:val="16"/>
              </w:rPr>
            </w:pPr>
            <w:r w:rsidRPr="00AD67C2">
              <w:rPr>
                <w:rFonts w:ascii="Garamond" w:eastAsia="Times New Roman" w:hAnsi="Garamond" w:cs="Arial"/>
                <w:sz w:val="16"/>
                <w:szCs w:val="16"/>
              </w:rPr>
              <w:t> </w:t>
            </w:r>
          </w:p>
        </w:tc>
        <w:tc>
          <w:tcPr>
            <w:tcW w:w="251" w:type="dxa"/>
            <w:tcBorders>
              <w:top w:val="nil"/>
              <w:left w:val="nil"/>
              <w:bottom w:val="single" w:sz="4" w:space="0" w:color="auto"/>
              <w:right w:val="nil"/>
            </w:tcBorders>
            <w:noWrap/>
            <w:vAlign w:val="bottom"/>
            <w:hideMark/>
          </w:tcPr>
          <w:p w14:paraId="2DF2A4DE" w14:textId="77777777" w:rsidR="00817272" w:rsidRPr="00AD67C2" w:rsidRDefault="00817272" w:rsidP="003E0733">
            <w:pPr>
              <w:rPr>
                <w:rFonts w:ascii="Garamond" w:eastAsia="Times New Roman" w:hAnsi="Garamond" w:cs="Arial"/>
                <w:sz w:val="16"/>
                <w:szCs w:val="16"/>
              </w:rPr>
            </w:pPr>
            <w:r w:rsidRPr="00AD67C2">
              <w:rPr>
                <w:rFonts w:ascii="Garamond" w:eastAsia="Times New Roman" w:hAnsi="Garamond" w:cs="Arial"/>
                <w:sz w:val="16"/>
                <w:szCs w:val="16"/>
              </w:rPr>
              <w:t> </w:t>
            </w:r>
          </w:p>
        </w:tc>
        <w:tc>
          <w:tcPr>
            <w:tcW w:w="247" w:type="dxa"/>
            <w:tcBorders>
              <w:top w:val="nil"/>
              <w:left w:val="nil"/>
              <w:bottom w:val="single" w:sz="4" w:space="0" w:color="auto"/>
              <w:right w:val="nil"/>
            </w:tcBorders>
            <w:noWrap/>
            <w:vAlign w:val="bottom"/>
            <w:hideMark/>
          </w:tcPr>
          <w:p w14:paraId="50AB9890" w14:textId="77777777" w:rsidR="00817272" w:rsidRPr="00AD67C2" w:rsidRDefault="00817272" w:rsidP="003E0733">
            <w:pPr>
              <w:rPr>
                <w:rFonts w:ascii="Garamond" w:eastAsia="Times New Roman" w:hAnsi="Garamond" w:cs="Arial"/>
                <w:sz w:val="16"/>
                <w:szCs w:val="16"/>
              </w:rPr>
            </w:pPr>
            <w:r w:rsidRPr="00AD67C2">
              <w:rPr>
                <w:rFonts w:ascii="Garamond" w:eastAsia="Times New Roman" w:hAnsi="Garamond" w:cs="Arial"/>
                <w:sz w:val="16"/>
                <w:szCs w:val="16"/>
              </w:rPr>
              <w:t> </w:t>
            </w:r>
          </w:p>
        </w:tc>
        <w:tc>
          <w:tcPr>
            <w:tcW w:w="247" w:type="dxa"/>
            <w:tcBorders>
              <w:top w:val="nil"/>
              <w:left w:val="nil"/>
              <w:bottom w:val="single" w:sz="4" w:space="0" w:color="auto"/>
              <w:right w:val="nil"/>
            </w:tcBorders>
            <w:noWrap/>
            <w:vAlign w:val="bottom"/>
            <w:hideMark/>
          </w:tcPr>
          <w:p w14:paraId="6208A3D4" w14:textId="77777777" w:rsidR="00817272" w:rsidRPr="00AD67C2" w:rsidRDefault="00817272" w:rsidP="003E0733">
            <w:pPr>
              <w:rPr>
                <w:rFonts w:ascii="Garamond" w:eastAsia="Times New Roman" w:hAnsi="Garamond" w:cs="Arial"/>
                <w:sz w:val="16"/>
                <w:szCs w:val="16"/>
              </w:rPr>
            </w:pPr>
            <w:r w:rsidRPr="00AD67C2">
              <w:rPr>
                <w:rFonts w:ascii="Garamond" w:eastAsia="Times New Roman" w:hAnsi="Garamond" w:cs="Arial"/>
                <w:sz w:val="16"/>
                <w:szCs w:val="16"/>
              </w:rPr>
              <w:t> </w:t>
            </w:r>
          </w:p>
        </w:tc>
        <w:tc>
          <w:tcPr>
            <w:tcW w:w="247" w:type="dxa"/>
            <w:tcBorders>
              <w:top w:val="nil"/>
              <w:left w:val="nil"/>
              <w:bottom w:val="single" w:sz="4" w:space="0" w:color="auto"/>
              <w:right w:val="nil"/>
            </w:tcBorders>
            <w:noWrap/>
            <w:vAlign w:val="bottom"/>
            <w:hideMark/>
          </w:tcPr>
          <w:p w14:paraId="0081DBDA" w14:textId="77777777" w:rsidR="00817272" w:rsidRPr="00AD67C2" w:rsidRDefault="00817272" w:rsidP="003E0733">
            <w:pPr>
              <w:rPr>
                <w:rFonts w:ascii="Garamond" w:eastAsia="Times New Roman" w:hAnsi="Garamond" w:cs="Arial"/>
                <w:sz w:val="16"/>
                <w:szCs w:val="16"/>
              </w:rPr>
            </w:pPr>
            <w:r w:rsidRPr="00AD67C2">
              <w:rPr>
                <w:rFonts w:ascii="Garamond" w:eastAsia="Times New Roman" w:hAnsi="Garamond" w:cs="Arial"/>
                <w:sz w:val="16"/>
                <w:szCs w:val="16"/>
              </w:rPr>
              <w:t> </w:t>
            </w:r>
          </w:p>
        </w:tc>
        <w:tc>
          <w:tcPr>
            <w:tcW w:w="281" w:type="dxa"/>
            <w:tcBorders>
              <w:top w:val="nil"/>
              <w:left w:val="nil"/>
              <w:bottom w:val="single" w:sz="4" w:space="0" w:color="auto"/>
              <w:right w:val="nil"/>
            </w:tcBorders>
            <w:noWrap/>
            <w:vAlign w:val="bottom"/>
            <w:hideMark/>
          </w:tcPr>
          <w:p w14:paraId="10DBF9E3" w14:textId="77777777" w:rsidR="00817272" w:rsidRPr="00AD67C2" w:rsidRDefault="00817272" w:rsidP="003E0733">
            <w:pPr>
              <w:rPr>
                <w:rFonts w:ascii="Garamond" w:eastAsia="Times New Roman" w:hAnsi="Garamond" w:cs="Arial"/>
              </w:rPr>
            </w:pPr>
            <w:r w:rsidRPr="00AD67C2">
              <w:rPr>
                <w:rFonts w:ascii="Garamond" w:eastAsia="Times New Roman" w:hAnsi="Garamond" w:cs="Arial"/>
              </w:rPr>
              <w:t> </w:t>
            </w:r>
          </w:p>
        </w:tc>
        <w:tc>
          <w:tcPr>
            <w:tcW w:w="283" w:type="dxa"/>
            <w:tcBorders>
              <w:top w:val="nil"/>
              <w:left w:val="nil"/>
              <w:bottom w:val="single" w:sz="4" w:space="0" w:color="auto"/>
              <w:right w:val="nil"/>
            </w:tcBorders>
            <w:noWrap/>
            <w:vAlign w:val="bottom"/>
            <w:hideMark/>
          </w:tcPr>
          <w:p w14:paraId="620E3C13" w14:textId="77777777" w:rsidR="00817272" w:rsidRPr="00AD67C2" w:rsidRDefault="00817272" w:rsidP="003E0733">
            <w:pPr>
              <w:rPr>
                <w:rFonts w:ascii="Garamond" w:eastAsia="Times New Roman" w:hAnsi="Garamond" w:cs="Arial"/>
              </w:rPr>
            </w:pPr>
            <w:r w:rsidRPr="00AD67C2">
              <w:rPr>
                <w:rFonts w:ascii="Garamond" w:eastAsia="Times New Roman" w:hAnsi="Garamond" w:cs="Arial"/>
              </w:rPr>
              <w:t> </w:t>
            </w:r>
          </w:p>
        </w:tc>
        <w:tc>
          <w:tcPr>
            <w:tcW w:w="305" w:type="dxa"/>
            <w:tcBorders>
              <w:top w:val="nil"/>
              <w:left w:val="nil"/>
              <w:bottom w:val="single" w:sz="4" w:space="0" w:color="auto"/>
              <w:right w:val="nil"/>
            </w:tcBorders>
            <w:noWrap/>
            <w:vAlign w:val="bottom"/>
            <w:hideMark/>
          </w:tcPr>
          <w:p w14:paraId="57239C99" w14:textId="77777777" w:rsidR="00817272" w:rsidRPr="00AD67C2" w:rsidRDefault="00817272" w:rsidP="003E0733">
            <w:pPr>
              <w:rPr>
                <w:rFonts w:ascii="Garamond" w:eastAsia="Times New Roman" w:hAnsi="Garamond" w:cs="Arial"/>
              </w:rPr>
            </w:pPr>
            <w:r w:rsidRPr="00AD67C2">
              <w:rPr>
                <w:rFonts w:ascii="Garamond" w:eastAsia="Times New Roman" w:hAnsi="Garamond" w:cs="Arial"/>
              </w:rPr>
              <w:t> </w:t>
            </w:r>
          </w:p>
        </w:tc>
        <w:tc>
          <w:tcPr>
            <w:tcW w:w="247" w:type="dxa"/>
            <w:tcBorders>
              <w:top w:val="nil"/>
              <w:left w:val="nil"/>
              <w:bottom w:val="single" w:sz="4" w:space="0" w:color="auto"/>
              <w:right w:val="nil"/>
            </w:tcBorders>
            <w:noWrap/>
            <w:vAlign w:val="bottom"/>
            <w:hideMark/>
          </w:tcPr>
          <w:p w14:paraId="0C3B8D20" w14:textId="77777777" w:rsidR="00817272" w:rsidRPr="00AD67C2" w:rsidRDefault="00817272" w:rsidP="003E0733">
            <w:pPr>
              <w:rPr>
                <w:rFonts w:ascii="Garamond" w:eastAsia="Times New Roman" w:hAnsi="Garamond" w:cs="Arial"/>
                <w:sz w:val="16"/>
                <w:szCs w:val="16"/>
              </w:rPr>
            </w:pPr>
            <w:r w:rsidRPr="00AD67C2">
              <w:rPr>
                <w:rFonts w:ascii="Garamond" w:eastAsia="Times New Roman" w:hAnsi="Garamond" w:cs="Arial"/>
                <w:sz w:val="16"/>
                <w:szCs w:val="16"/>
              </w:rPr>
              <w:t> </w:t>
            </w:r>
          </w:p>
        </w:tc>
        <w:tc>
          <w:tcPr>
            <w:tcW w:w="247" w:type="dxa"/>
            <w:tcBorders>
              <w:top w:val="nil"/>
              <w:left w:val="nil"/>
              <w:bottom w:val="single" w:sz="4" w:space="0" w:color="auto"/>
              <w:right w:val="nil"/>
            </w:tcBorders>
            <w:noWrap/>
            <w:vAlign w:val="bottom"/>
            <w:hideMark/>
          </w:tcPr>
          <w:p w14:paraId="63A1BB8C" w14:textId="77777777" w:rsidR="00817272" w:rsidRPr="00AD67C2" w:rsidRDefault="00817272" w:rsidP="003E0733">
            <w:pPr>
              <w:rPr>
                <w:rFonts w:ascii="Garamond" w:eastAsia="Times New Roman" w:hAnsi="Garamond" w:cs="Arial"/>
                <w:sz w:val="16"/>
                <w:szCs w:val="16"/>
              </w:rPr>
            </w:pPr>
            <w:r w:rsidRPr="00AD67C2">
              <w:rPr>
                <w:rFonts w:ascii="Garamond" w:eastAsia="Times New Roman" w:hAnsi="Garamond" w:cs="Arial"/>
                <w:sz w:val="16"/>
                <w:szCs w:val="16"/>
              </w:rPr>
              <w:t> </w:t>
            </w:r>
          </w:p>
        </w:tc>
        <w:tc>
          <w:tcPr>
            <w:tcW w:w="247" w:type="dxa"/>
            <w:tcBorders>
              <w:top w:val="nil"/>
              <w:left w:val="nil"/>
              <w:bottom w:val="single" w:sz="4" w:space="0" w:color="auto"/>
              <w:right w:val="nil"/>
            </w:tcBorders>
            <w:noWrap/>
            <w:vAlign w:val="bottom"/>
            <w:hideMark/>
          </w:tcPr>
          <w:p w14:paraId="4EA4C92B" w14:textId="77777777" w:rsidR="00817272" w:rsidRPr="00AD67C2" w:rsidRDefault="00817272" w:rsidP="003E0733">
            <w:pPr>
              <w:rPr>
                <w:rFonts w:ascii="Garamond" w:eastAsia="Times New Roman" w:hAnsi="Garamond" w:cs="Arial"/>
                <w:sz w:val="16"/>
                <w:szCs w:val="16"/>
              </w:rPr>
            </w:pPr>
            <w:r w:rsidRPr="00AD67C2">
              <w:rPr>
                <w:rFonts w:ascii="Garamond" w:eastAsia="Times New Roman" w:hAnsi="Garamond" w:cs="Arial"/>
                <w:sz w:val="16"/>
                <w:szCs w:val="16"/>
              </w:rPr>
              <w:t> </w:t>
            </w:r>
          </w:p>
        </w:tc>
        <w:tc>
          <w:tcPr>
            <w:tcW w:w="264" w:type="dxa"/>
            <w:tcBorders>
              <w:top w:val="nil"/>
              <w:left w:val="nil"/>
              <w:bottom w:val="single" w:sz="4" w:space="0" w:color="auto"/>
              <w:right w:val="nil"/>
            </w:tcBorders>
            <w:noWrap/>
            <w:vAlign w:val="bottom"/>
            <w:hideMark/>
          </w:tcPr>
          <w:p w14:paraId="22C65243" w14:textId="77777777" w:rsidR="00817272" w:rsidRPr="00AD67C2" w:rsidRDefault="00817272" w:rsidP="003E0733">
            <w:pPr>
              <w:rPr>
                <w:rFonts w:ascii="Garamond" w:eastAsia="Times New Roman" w:hAnsi="Garamond" w:cs="Arial"/>
                <w:sz w:val="16"/>
                <w:szCs w:val="16"/>
              </w:rPr>
            </w:pPr>
            <w:r w:rsidRPr="00AD67C2">
              <w:rPr>
                <w:rFonts w:ascii="Garamond" w:eastAsia="Times New Roman" w:hAnsi="Garamond" w:cs="Arial"/>
                <w:sz w:val="16"/>
                <w:szCs w:val="16"/>
              </w:rPr>
              <w:t> </w:t>
            </w:r>
          </w:p>
        </w:tc>
        <w:tc>
          <w:tcPr>
            <w:tcW w:w="263" w:type="dxa"/>
            <w:tcBorders>
              <w:top w:val="nil"/>
              <w:left w:val="nil"/>
              <w:bottom w:val="single" w:sz="4" w:space="0" w:color="auto"/>
              <w:right w:val="nil"/>
            </w:tcBorders>
            <w:noWrap/>
            <w:vAlign w:val="bottom"/>
            <w:hideMark/>
          </w:tcPr>
          <w:p w14:paraId="2D4E8D70" w14:textId="77777777" w:rsidR="00817272" w:rsidRPr="00AD67C2" w:rsidRDefault="00817272" w:rsidP="003E0733">
            <w:pPr>
              <w:rPr>
                <w:rFonts w:ascii="Garamond" w:eastAsia="Times New Roman" w:hAnsi="Garamond" w:cs="Arial"/>
                <w:sz w:val="16"/>
                <w:szCs w:val="16"/>
              </w:rPr>
            </w:pPr>
            <w:r w:rsidRPr="00AD67C2">
              <w:rPr>
                <w:rFonts w:ascii="Garamond" w:eastAsia="Times New Roman" w:hAnsi="Garamond" w:cs="Arial"/>
                <w:sz w:val="16"/>
                <w:szCs w:val="16"/>
              </w:rPr>
              <w:t> </w:t>
            </w:r>
          </w:p>
        </w:tc>
        <w:tc>
          <w:tcPr>
            <w:tcW w:w="263" w:type="dxa"/>
            <w:tcBorders>
              <w:top w:val="nil"/>
              <w:left w:val="nil"/>
              <w:bottom w:val="single" w:sz="4" w:space="0" w:color="auto"/>
              <w:right w:val="nil"/>
            </w:tcBorders>
            <w:noWrap/>
            <w:vAlign w:val="bottom"/>
            <w:hideMark/>
          </w:tcPr>
          <w:p w14:paraId="3994C4E6" w14:textId="77777777" w:rsidR="00817272" w:rsidRPr="00AD67C2" w:rsidRDefault="00817272" w:rsidP="003E0733">
            <w:pPr>
              <w:rPr>
                <w:rFonts w:ascii="Garamond" w:eastAsia="Times New Roman" w:hAnsi="Garamond" w:cs="Arial"/>
                <w:sz w:val="16"/>
                <w:szCs w:val="16"/>
              </w:rPr>
            </w:pPr>
            <w:r w:rsidRPr="00AD67C2">
              <w:rPr>
                <w:rFonts w:ascii="Garamond" w:eastAsia="Times New Roman" w:hAnsi="Garamond" w:cs="Arial"/>
                <w:sz w:val="16"/>
                <w:szCs w:val="16"/>
              </w:rPr>
              <w:t> </w:t>
            </w:r>
          </w:p>
        </w:tc>
        <w:tc>
          <w:tcPr>
            <w:tcW w:w="262" w:type="dxa"/>
            <w:tcBorders>
              <w:top w:val="nil"/>
              <w:left w:val="nil"/>
              <w:bottom w:val="single" w:sz="4" w:space="0" w:color="auto"/>
              <w:right w:val="nil"/>
            </w:tcBorders>
            <w:noWrap/>
            <w:vAlign w:val="bottom"/>
            <w:hideMark/>
          </w:tcPr>
          <w:p w14:paraId="1B5282C6" w14:textId="77777777" w:rsidR="00817272" w:rsidRPr="00AD67C2" w:rsidRDefault="00817272" w:rsidP="003E0733">
            <w:pPr>
              <w:rPr>
                <w:rFonts w:ascii="Garamond" w:eastAsia="Times New Roman" w:hAnsi="Garamond" w:cs="Arial"/>
                <w:sz w:val="16"/>
                <w:szCs w:val="16"/>
              </w:rPr>
            </w:pPr>
            <w:r w:rsidRPr="00AD67C2">
              <w:rPr>
                <w:rFonts w:ascii="Garamond" w:eastAsia="Times New Roman" w:hAnsi="Garamond" w:cs="Arial"/>
                <w:sz w:val="16"/>
                <w:szCs w:val="16"/>
              </w:rPr>
              <w:t> </w:t>
            </w:r>
          </w:p>
        </w:tc>
        <w:tc>
          <w:tcPr>
            <w:tcW w:w="262" w:type="dxa"/>
            <w:tcBorders>
              <w:top w:val="nil"/>
              <w:left w:val="nil"/>
              <w:bottom w:val="single" w:sz="4" w:space="0" w:color="auto"/>
              <w:right w:val="nil"/>
            </w:tcBorders>
            <w:noWrap/>
            <w:vAlign w:val="bottom"/>
            <w:hideMark/>
          </w:tcPr>
          <w:p w14:paraId="476FA9E4" w14:textId="77777777" w:rsidR="00817272" w:rsidRPr="00AD67C2" w:rsidRDefault="00817272" w:rsidP="003E0733">
            <w:pPr>
              <w:rPr>
                <w:rFonts w:ascii="Garamond" w:eastAsia="Times New Roman" w:hAnsi="Garamond" w:cs="Arial"/>
                <w:sz w:val="16"/>
                <w:szCs w:val="16"/>
              </w:rPr>
            </w:pPr>
            <w:r w:rsidRPr="00AD67C2">
              <w:rPr>
                <w:rFonts w:ascii="Garamond" w:eastAsia="Times New Roman" w:hAnsi="Garamond" w:cs="Arial"/>
                <w:sz w:val="16"/>
                <w:szCs w:val="16"/>
              </w:rPr>
              <w:t> </w:t>
            </w:r>
          </w:p>
        </w:tc>
        <w:tc>
          <w:tcPr>
            <w:tcW w:w="305" w:type="dxa"/>
            <w:tcBorders>
              <w:top w:val="nil"/>
              <w:left w:val="nil"/>
              <w:bottom w:val="single" w:sz="4" w:space="0" w:color="auto"/>
              <w:right w:val="single" w:sz="4" w:space="0" w:color="auto"/>
            </w:tcBorders>
            <w:noWrap/>
            <w:vAlign w:val="bottom"/>
            <w:hideMark/>
          </w:tcPr>
          <w:p w14:paraId="21D56001" w14:textId="77777777" w:rsidR="00817272" w:rsidRPr="00AD67C2" w:rsidRDefault="00817272" w:rsidP="003E0733">
            <w:pPr>
              <w:rPr>
                <w:rFonts w:ascii="Garamond" w:eastAsia="Times New Roman" w:hAnsi="Garamond" w:cs="Arial"/>
                <w:sz w:val="16"/>
                <w:szCs w:val="16"/>
              </w:rPr>
            </w:pPr>
            <w:r w:rsidRPr="00AD67C2">
              <w:rPr>
                <w:rFonts w:ascii="Garamond" w:eastAsia="Times New Roman" w:hAnsi="Garamond" w:cs="Arial"/>
                <w:sz w:val="16"/>
                <w:szCs w:val="16"/>
              </w:rPr>
              <w:t> </w:t>
            </w:r>
          </w:p>
        </w:tc>
        <w:tc>
          <w:tcPr>
            <w:tcW w:w="261" w:type="dxa"/>
            <w:gridSpan w:val="2"/>
            <w:tcBorders>
              <w:top w:val="nil"/>
              <w:left w:val="nil"/>
              <w:bottom w:val="single" w:sz="4" w:space="0" w:color="auto"/>
              <w:right w:val="nil"/>
            </w:tcBorders>
            <w:noWrap/>
            <w:vAlign w:val="bottom"/>
            <w:hideMark/>
          </w:tcPr>
          <w:p w14:paraId="11D0C77B" w14:textId="77777777" w:rsidR="00817272" w:rsidRPr="00AD67C2" w:rsidRDefault="00817272" w:rsidP="003E0733">
            <w:pPr>
              <w:rPr>
                <w:rFonts w:ascii="Garamond" w:eastAsia="Times New Roman" w:hAnsi="Garamond" w:cs="Arial"/>
                <w:sz w:val="16"/>
                <w:szCs w:val="16"/>
              </w:rPr>
            </w:pPr>
            <w:r w:rsidRPr="00AD67C2">
              <w:rPr>
                <w:rFonts w:ascii="Garamond" w:eastAsia="Times New Roman" w:hAnsi="Garamond" w:cs="Arial"/>
                <w:sz w:val="16"/>
                <w:szCs w:val="16"/>
              </w:rPr>
              <w:t> </w:t>
            </w:r>
          </w:p>
        </w:tc>
        <w:tc>
          <w:tcPr>
            <w:tcW w:w="247" w:type="dxa"/>
            <w:gridSpan w:val="2"/>
            <w:tcBorders>
              <w:top w:val="nil"/>
              <w:left w:val="nil"/>
              <w:bottom w:val="single" w:sz="4" w:space="0" w:color="auto"/>
              <w:right w:val="nil"/>
            </w:tcBorders>
            <w:noWrap/>
            <w:vAlign w:val="bottom"/>
            <w:hideMark/>
          </w:tcPr>
          <w:p w14:paraId="1181673E" w14:textId="77777777" w:rsidR="00817272" w:rsidRPr="00AD67C2" w:rsidRDefault="00817272" w:rsidP="003E0733">
            <w:pPr>
              <w:rPr>
                <w:rFonts w:ascii="Garamond" w:eastAsia="Times New Roman" w:hAnsi="Garamond" w:cs="Arial"/>
                <w:sz w:val="16"/>
                <w:szCs w:val="16"/>
              </w:rPr>
            </w:pPr>
            <w:r w:rsidRPr="00AD67C2">
              <w:rPr>
                <w:rFonts w:ascii="Garamond" w:eastAsia="Times New Roman" w:hAnsi="Garamond" w:cs="Arial"/>
                <w:sz w:val="16"/>
                <w:szCs w:val="16"/>
              </w:rPr>
              <w:t> </w:t>
            </w:r>
          </w:p>
        </w:tc>
        <w:tc>
          <w:tcPr>
            <w:tcW w:w="247" w:type="dxa"/>
            <w:tcBorders>
              <w:top w:val="nil"/>
              <w:left w:val="nil"/>
              <w:bottom w:val="single" w:sz="4" w:space="0" w:color="auto"/>
              <w:right w:val="nil"/>
            </w:tcBorders>
            <w:noWrap/>
            <w:vAlign w:val="bottom"/>
            <w:hideMark/>
          </w:tcPr>
          <w:p w14:paraId="2C6279C9" w14:textId="77777777" w:rsidR="00817272" w:rsidRPr="00AD67C2" w:rsidRDefault="00817272" w:rsidP="003E0733">
            <w:pPr>
              <w:rPr>
                <w:rFonts w:ascii="Garamond" w:eastAsia="Times New Roman" w:hAnsi="Garamond" w:cs="Arial"/>
                <w:sz w:val="16"/>
                <w:szCs w:val="16"/>
              </w:rPr>
            </w:pPr>
            <w:r w:rsidRPr="00AD67C2">
              <w:rPr>
                <w:rFonts w:ascii="Garamond" w:eastAsia="Times New Roman" w:hAnsi="Garamond" w:cs="Arial"/>
                <w:sz w:val="16"/>
                <w:szCs w:val="16"/>
              </w:rPr>
              <w:t> </w:t>
            </w:r>
          </w:p>
        </w:tc>
        <w:tc>
          <w:tcPr>
            <w:tcW w:w="247" w:type="dxa"/>
            <w:tcBorders>
              <w:top w:val="nil"/>
              <w:left w:val="nil"/>
              <w:bottom w:val="single" w:sz="4" w:space="0" w:color="auto"/>
              <w:right w:val="nil"/>
            </w:tcBorders>
            <w:noWrap/>
            <w:vAlign w:val="bottom"/>
            <w:hideMark/>
          </w:tcPr>
          <w:p w14:paraId="58E6D9B4" w14:textId="77777777" w:rsidR="00817272" w:rsidRPr="00AD67C2" w:rsidRDefault="00817272" w:rsidP="003E0733">
            <w:pPr>
              <w:rPr>
                <w:rFonts w:ascii="Garamond" w:eastAsia="Times New Roman" w:hAnsi="Garamond" w:cs="Arial"/>
                <w:sz w:val="16"/>
                <w:szCs w:val="16"/>
              </w:rPr>
            </w:pPr>
            <w:r w:rsidRPr="00AD67C2">
              <w:rPr>
                <w:rFonts w:ascii="Garamond" w:eastAsia="Times New Roman" w:hAnsi="Garamond" w:cs="Arial"/>
                <w:sz w:val="16"/>
                <w:szCs w:val="16"/>
              </w:rPr>
              <w:t> </w:t>
            </w:r>
          </w:p>
        </w:tc>
        <w:tc>
          <w:tcPr>
            <w:tcW w:w="247" w:type="dxa"/>
            <w:tcBorders>
              <w:top w:val="nil"/>
              <w:left w:val="nil"/>
              <w:bottom w:val="single" w:sz="4" w:space="0" w:color="auto"/>
              <w:right w:val="nil"/>
            </w:tcBorders>
            <w:noWrap/>
            <w:vAlign w:val="bottom"/>
            <w:hideMark/>
          </w:tcPr>
          <w:p w14:paraId="2B3AA562" w14:textId="77777777" w:rsidR="00817272" w:rsidRPr="00AD67C2" w:rsidRDefault="00817272" w:rsidP="003E0733">
            <w:pPr>
              <w:rPr>
                <w:rFonts w:ascii="Garamond" w:eastAsia="Times New Roman" w:hAnsi="Garamond" w:cs="Arial"/>
                <w:sz w:val="16"/>
                <w:szCs w:val="16"/>
              </w:rPr>
            </w:pPr>
            <w:r w:rsidRPr="00AD67C2">
              <w:rPr>
                <w:rFonts w:ascii="Garamond" w:eastAsia="Times New Roman" w:hAnsi="Garamond" w:cs="Arial"/>
                <w:sz w:val="16"/>
                <w:szCs w:val="16"/>
              </w:rPr>
              <w:t> </w:t>
            </w:r>
          </w:p>
        </w:tc>
        <w:tc>
          <w:tcPr>
            <w:tcW w:w="247" w:type="dxa"/>
            <w:tcBorders>
              <w:top w:val="nil"/>
              <w:left w:val="nil"/>
              <w:bottom w:val="single" w:sz="4" w:space="0" w:color="auto"/>
              <w:right w:val="nil"/>
            </w:tcBorders>
            <w:noWrap/>
            <w:vAlign w:val="bottom"/>
            <w:hideMark/>
          </w:tcPr>
          <w:p w14:paraId="03E77606" w14:textId="77777777" w:rsidR="00817272" w:rsidRPr="00AD67C2" w:rsidRDefault="00817272" w:rsidP="003E0733">
            <w:pPr>
              <w:rPr>
                <w:rFonts w:ascii="Garamond" w:eastAsia="Times New Roman" w:hAnsi="Garamond" w:cs="Arial"/>
                <w:sz w:val="16"/>
                <w:szCs w:val="16"/>
              </w:rPr>
            </w:pPr>
            <w:r w:rsidRPr="00AD67C2">
              <w:rPr>
                <w:rFonts w:ascii="Garamond" w:eastAsia="Times New Roman" w:hAnsi="Garamond" w:cs="Arial"/>
                <w:sz w:val="16"/>
                <w:szCs w:val="16"/>
              </w:rPr>
              <w:t> </w:t>
            </w:r>
          </w:p>
        </w:tc>
        <w:tc>
          <w:tcPr>
            <w:tcW w:w="552" w:type="dxa"/>
            <w:gridSpan w:val="2"/>
            <w:tcBorders>
              <w:top w:val="nil"/>
              <w:left w:val="nil"/>
              <w:bottom w:val="single" w:sz="4" w:space="0" w:color="auto"/>
              <w:right w:val="nil"/>
            </w:tcBorders>
            <w:noWrap/>
            <w:vAlign w:val="bottom"/>
            <w:hideMark/>
          </w:tcPr>
          <w:p w14:paraId="61A77A5A" w14:textId="77777777" w:rsidR="00817272" w:rsidRPr="00AD67C2" w:rsidRDefault="00817272" w:rsidP="003E0733">
            <w:pPr>
              <w:rPr>
                <w:rFonts w:ascii="Garamond" w:eastAsia="Times New Roman" w:hAnsi="Garamond" w:cs="Arial"/>
              </w:rPr>
            </w:pPr>
            <w:r w:rsidRPr="00AD67C2">
              <w:rPr>
                <w:rFonts w:ascii="Garamond" w:eastAsia="Times New Roman" w:hAnsi="Garamond" w:cs="Arial"/>
              </w:rPr>
              <w:t> </w:t>
            </w:r>
          </w:p>
        </w:tc>
        <w:tc>
          <w:tcPr>
            <w:tcW w:w="280" w:type="dxa"/>
            <w:tcBorders>
              <w:top w:val="nil"/>
              <w:left w:val="nil"/>
              <w:bottom w:val="single" w:sz="4" w:space="0" w:color="auto"/>
              <w:right w:val="nil"/>
            </w:tcBorders>
            <w:noWrap/>
            <w:vAlign w:val="bottom"/>
            <w:hideMark/>
          </w:tcPr>
          <w:p w14:paraId="710DB50B" w14:textId="77777777" w:rsidR="00817272" w:rsidRPr="00AD67C2" w:rsidRDefault="00817272" w:rsidP="003E0733">
            <w:pPr>
              <w:rPr>
                <w:rFonts w:ascii="Garamond" w:eastAsia="Times New Roman" w:hAnsi="Garamond" w:cs="Arial"/>
              </w:rPr>
            </w:pPr>
            <w:r w:rsidRPr="00AD67C2">
              <w:rPr>
                <w:rFonts w:ascii="Garamond" w:eastAsia="Times New Roman" w:hAnsi="Garamond" w:cs="Arial"/>
              </w:rPr>
              <w:t> </w:t>
            </w:r>
          </w:p>
        </w:tc>
        <w:tc>
          <w:tcPr>
            <w:tcW w:w="279" w:type="dxa"/>
            <w:tcBorders>
              <w:top w:val="nil"/>
              <w:left w:val="nil"/>
              <w:bottom w:val="single" w:sz="4" w:space="0" w:color="auto"/>
              <w:right w:val="nil"/>
            </w:tcBorders>
            <w:noWrap/>
            <w:vAlign w:val="bottom"/>
            <w:hideMark/>
          </w:tcPr>
          <w:p w14:paraId="35E76BD8" w14:textId="77777777" w:rsidR="00817272" w:rsidRPr="00AD67C2" w:rsidRDefault="00817272" w:rsidP="003E0733">
            <w:pPr>
              <w:rPr>
                <w:rFonts w:ascii="Garamond" w:eastAsia="Times New Roman" w:hAnsi="Garamond" w:cs="Arial"/>
              </w:rPr>
            </w:pPr>
            <w:r w:rsidRPr="00AD67C2">
              <w:rPr>
                <w:rFonts w:ascii="Garamond" w:eastAsia="Times New Roman" w:hAnsi="Garamond" w:cs="Arial"/>
              </w:rPr>
              <w:t> </w:t>
            </w:r>
          </w:p>
        </w:tc>
        <w:tc>
          <w:tcPr>
            <w:tcW w:w="246" w:type="dxa"/>
            <w:gridSpan w:val="2"/>
            <w:tcBorders>
              <w:top w:val="nil"/>
              <w:left w:val="nil"/>
              <w:bottom w:val="single" w:sz="4" w:space="0" w:color="auto"/>
              <w:right w:val="nil"/>
            </w:tcBorders>
            <w:noWrap/>
            <w:vAlign w:val="bottom"/>
            <w:hideMark/>
          </w:tcPr>
          <w:p w14:paraId="0A211942" w14:textId="77777777" w:rsidR="00817272" w:rsidRPr="00AD67C2" w:rsidRDefault="00817272" w:rsidP="003E0733">
            <w:pPr>
              <w:rPr>
                <w:rFonts w:ascii="Garamond" w:eastAsia="Times New Roman" w:hAnsi="Garamond" w:cs="Arial"/>
                <w:sz w:val="16"/>
                <w:szCs w:val="16"/>
              </w:rPr>
            </w:pPr>
            <w:r w:rsidRPr="00AD67C2">
              <w:rPr>
                <w:rFonts w:ascii="Garamond" w:eastAsia="Times New Roman" w:hAnsi="Garamond" w:cs="Arial"/>
                <w:sz w:val="16"/>
                <w:szCs w:val="16"/>
              </w:rPr>
              <w:t> </w:t>
            </w:r>
          </w:p>
        </w:tc>
        <w:tc>
          <w:tcPr>
            <w:tcW w:w="247" w:type="dxa"/>
            <w:tcBorders>
              <w:top w:val="nil"/>
              <w:left w:val="nil"/>
              <w:bottom w:val="single" w:sz="4" w:space="0" w:color="auto"/>
              <w:right w:val="nil"/>
            </w:tcBorders>
            <w:noWrap/>
            <w:vAlign w:val="bottom"/>
            <w:hideMark/>
          </w:tcPr>
          <w:p w14:paraId="32D2C002" w14:textId="77777777" w:rsidR="00817272" w:rsidRPr="00AD67C2" w:rsidRDefault="00817272" w:rsidP="003E0733">
            <w:pPr>
              <w:rPr>
                <w:rFonts w:ascii="Garamond" w:eastAsia="Times New Roman" w:hAnsi="Garamond" w:cs="Arial"/>
                <w:sz w:val="16"/>
                <w:szCs w:val="16"/>
              </w:rPr>
            </w:pPr>
            <w:r w:rsidRPr="00AD67C2">
              <w:rPr>
                <w:rFonts w:ascii="Garamond" w:eastAsia="Times New Roman" w:hAnsi="Garamond" w:cs="Arial"/>
                <w:sz w:val="16"/>
                <w:szCs w:val="16"/>
              </w:rPr>
              <w:t> </w:t>
            </w:r>
          </w:p>
        </w:tc>
        <w:tc>
          <w:tcPr>
            <w:tcW w:w="247" w:type="dxa"/>
            <w:tcBorders>
              <w:top w:val="nil"/>
              <w:left w:val="nil"/>
              <w:bottom w:val="single" w:sz="4" w:space="0" w:color="auto"/>
              <w:right w:val="nil"/>
            </w:tcBorders>
            <w:noWrap/>
            <w:vAlign w:val="bottom"/>
            <w:hideMark/>
          </w:tcPr>
          <w:p w14:paraId="5A1CEE0F" w14:textId="77777777" w:rsidR="00817272" w:rsidRPr="00AD67C2" w:rsidRDefault="00817272" w:rsidP="003E0733">
            <w:pPr>
              <w:rPr>
                <w:rFonts w:ascii="Garamond" w:eastAsia="Times New Roman" w:hAnsi="Garamond" w:cs="Arial"/>
                <w:sz w:val="16"/>
                <w:szCs w:val="16"/>
              </w:rPr>
            </w:pPr>
            <w:r w:rsidRPr="00AD67C2">
              <w:rPr>
                <w:rFonts w:ascii="Garamond" w:eastAsia="Times New Roman" w:hAnsi="Garamond" w:cs="Arial"/>
                <w:sz w:val="16"/>
                <w:szCs w:val="16"/>
              </w:rPr>
              <w:t> </w:t>
            </w:r>
          </w:p>
        </w:tc>
        <w:tc>
          <w:tcPr>
            <w:tcW w:w="247" w:type="dxa"/>
            <w:tcBorders>
              <w:top w:val="nil"/>
              <w:left w:val="nil"/>
              <w:bottom w:val="single" w:sz="4" w:space="0" w:color="auto"/>
              <w:right w:val="nil"/>
            </w:tcBorders>
            <w:noWrap/>
            <w:vAlign w:val="bottom"/>
            <w:hideMark/>
          </w:tcPr>
          <w:p w14:paraId="22E58D6B" w14:textId="77777777" w:rsidR="00817272" w:rsidRPr="00AD67C2" w:rsidRDefault="00817272" w:rsidP="003E0733">
            <w:pPr>
              <w:rPr>
                <w:rFonts w:ascii="Garamond" w:eastAsia="Times New Roman" w:hAnsi="Garamond" w:cs="Arial"/>
                <w:sz w:val="16"/>
                <w:szCs w:val="16"/>
              </w:rPr>
            </w:pPr>
            <w:r w:rsidRPr="00AD67C2">
              <w:rPr>
                <w:rFonts w:ascii="Garamond" w:eastAsia="Times New Roman" w:hAnsi="Garamond" w:cs="Arial"/>
                <w:sz w:val="16"/>
                <w:szCs w:val="16"/>
              </w:rPr>
              <w:t> </w:t>
            </w:r>
          </w:p>
        </w:tc>
        <w:tc>
          <w:tcPr>
            <w:tcW w:w="247" w:type="dxa"/>
            <w:tcBorders>
              <w:top w:val="nil"/>
              <w:left w:val="nil"/>
              <w:bottom w:val="single" w:sz="4" w:space="0" w:color="auto"/>
              <w:right w:val="nil"/>
            </w:tcBorders>
            <w:noWrap/>
            <w:vAlign w:val="bottom"/>
            <w:hideMark/>
          </w:tcPr>
          <w:p w14:paraId="5B6EFEC9" w14:textId="77777777" w:rsidR="00817272" w:rsidRPr="00AD67C2" w:rsidRDefault="00817272" w:rsidP="003E0733">
            <w:pPr>
              <w:rPr>
                <w:rFonts w:ascii="Garamond" w:eastAsia="Times New Roman" w:hAnsi="Garamond" w:cs="Arial"/>
                <w:sz w:val="16"/>
                <w:szCs w:val="16"/>
              </w:rPr>
            </w:pPr>
            <w:r w:rsidRPr="00AD67C2">
              <w:rPr>
                <w:rFonts w:ascii="Garamond" w:eastAsia="Times New Roman" w:hAnsi="Garamond" w:cs="Arial"/>
                <w:sz w:val="16"/>
                <w:szCs w:val="16"/>
              </w:rPr>
              <w:t> </w:t>
            </w:r>
          </w:p>
        </w:tc>
        <w:tc>
          <w:tcPr>
            <w:tcW w:w="247" w:type="dxa"/>
            <w:tcBorders>
              <w:top w:val="nil"/>
              <w:left w:val="nil"/>
              <w:bottom w:val="single" w:sz="4" w:space="0" w:color="auto"/>
              <w:right w:val="nil"/>
            </w:tcBorders>
            <w:noWrap/>
            <w:vAlign w:val="bottom"/>
            <w:hideMark/>
          </w:tcPr>
          <w:p w14:paraId="4C3158B5" w14:textId="77777777" w:rsidR="00817272" w:rsidRPr="00AD67C2" w:rsidRDefault="00817272" w:rsidP="003E0733">
            <w:pPr>
              <w:rPr>
                <w:rFonts w:ascii="Garamond" w:eastAsia="Times New Roman" w:hAnsi="Garamond" w:cs="Arial"/>
                <w:sz w:val="16"/>
                <w:szCs w:val="16"/>
              </w:rPr>
            </w:pPr>
            <w:r w:rsidRPr="00AD67C2">
              <w:rPr>
                <w:rFonts w:ascii="Garamond" w:eastAsia="Times New Roman" w:hAnsi="Garamond" w:cs="Arial"/>
                <w:sz w:val="16"/>
                <w:szCs w:val="16"/>
              </w:rPr>
              <w:t> </w:t>
            </w:r>
          </w:p>
        </w:tc>
        <w:tc>
          <w:tcPr>
            <w:tcW w:w="305" w:type="dxa"/>
            <w:tcBorders>
              <w:top w:val="nil"/>
              <w:left w:val="nil"/>
              <w:bottom w:val="single" w:sz="4" w:space="0" w:color="auto"/>
              <w:right w:val="single" w:sz="4" w:space="0" w:color="auto"/>
            </w:tcBorders>
            <w:noWrap/>
            <w:vAlign w:val="bottom"/>
            <w:hideMark/>
          </w:tcPr>
          <w:p w14:paraId="1C2502FB" w14:textId="77777777" w:rsidR="00817272" w:rsidRPr="00AD67C2" w:rsidRDefault="00817272" w:rsidP="003E0733">
            <w:pPr>
              <w:rPr>
                <w:rFonts w:ascii="Garamond" w:eastAsia="Times New Roman" w:hAnsi="Garamond" w:cs="Arial"/>
                <w:sz w:val="16"/>
                <w:szCs w:val="16"/>
              </w:rPr>
            </w:pPr>
            <w:r w:rsidRPr="00AD67C2">
              <w:rPr>
                <w:rFonts w:ascii="Garamond" w:eastAsia="Times New Roman" w:hAnsi="Garamond" w:cs="Arial"/>
                <w:sz w:val="16"/>
                <w:szCs w:val="16"/>
              </w:rPr>
              <w:t> </w:t>
            </w:r>
          </w:p>
        </w:tc>
      </w:tr>
    </w:tbl>
    <w:p w14:paraId="5D6B6BDA" w14:textId="77777777" w:rsidR="001333B2" w:rsidRPr="00AD67C2" w:rsidRDefault="001333B2" w:rsidP="001333B2">
      <w:pPr>
        <w:widowControl w:val="0"/>
        <w:tabs>
          <w:tab w:val="left" w:pos="1077"/>
        </w:tabs>
        <w:suppressAutoHyphens w:val="0"/>
        <w:spacing w:before="120" w:after="120"/>
        <w:ind w:firstLine="601"/>
        <w:jc w:val="both"/>
        <w:rPr>
          <w:rFonts w:ascii="Garamond" w:eastAsia="Calibri" w:hAnsi="Garamond" w:cs="Times New Roman"/>
          <w:bCs/>
          <w:sz w:val="22"/>
          <w:szCs w:val="22"/>
          <w:lang w:eastAsia="en-US"/>
        </w:rPr>
      </w:pPr>
    </w:p>
    <w:p w14:paraId="7D15629B" w14:textId="77777777" w:rsidR="00817272" w:rsidRPr="00AD67C2" w:rsidRDefault="00817272" w:rsidP="001333B2">
      <w:pPr>
        <w:widowControl w:val="0"/>
        <w:tabs>
          <w:tab w:val="left" w:pos="1077"/>
        </w:tabs>
        <w:suppressAutoHyphens w:val="0"/>
        <w:spacing w:before="120" w:after="120"/>
        <w:ind w:firstLine="601"/>
        <w:jc w:val="both"/>
        <w:rPr>
          <w:rFonts w:ascii="Garamond" w:eastAsia="Calibri" w:hAnsi="Garamond" w:cs="Times New Roman"/>
          <w:bCs/>
          <w:sz w:val="22"/>
          <w:szCs w:val="22"/>
          <w:lang w:eastAsia="en-US"/>
        </w:rPr>
        <w:sectPr w:rsidR="00817272" w:rsidRPr="00AD67C2" w:rsidSect="0064152E">
          <w:pgSz w:w="11906" w:h="16838"/>
          <w:pgMar w:top="1134" w:right="851" w:bottom="1134" w:left="1588" w:header="709" w:footer="709" w:gutter="0"/>
          <w:cols w:space="708"/>
          <w:docGrid w:linePitch="360"/>
        </w:sectPr>
      </w:pPr>
    </w:p>
    <w:p w14:paraId="3874E166" w14:textId="77777777" w:rsidR="001333B2" w:rsidRPr="00AD67C2" w:rsidRDefault="001333B2" w:rsidP="001043A6">
      <w:pPr>
        <w:keepNext/>
        <w:suppressAutoHyphens w:val="0"/>
        <w:spacing w:before="120" w:after="120"/>
        <w:ind w:left="2318"/>
        <w:jc w:val="right"/>
        <w:outlineLvl w:val="0"/>
        <w:rPr>
          <w:rFonts w:ascii="Garamond" w:eastAsia="Times New Roman" w:hAnsi="Garamond" w:cs="Arial"/>
          <w:b/>
          <w:bCs/>
          <w:sz w:val="22"/>
          <w:szCs w:val="22"/>
        </w:rPr>
      </w:pPr>
      <w:r w:rsidRPr="00AD67C2">
        <w:rPr>
          <w:rFonts w:ascii="Garamond" w:eastAsia="Times New Roman" w:hAnsi="Garamond" w:cs="Arial"/>
          <w:b/>
          <w:bCs/>
          <w:sz w:val="22"/>
          <w:szCs w:val="22"/>
        </w:rPr>
        <w:lastRenderedPageBreak/>
        <w:t>Приложение 10</w:t>
      </w:r>
    </w:p>
    <w:p w14:paraId="76F7E117" w14:textId="77777777" w:rsidR="001333B2" w:rsidRPr="00AD67C2" w:rsidRDefault="001333B2" w:rsidP="001043A6">
      <w:pPr>
        <w:keepNext/>
        <w:suppressAutoHyphens w:val="0"/>
        <w:spacing w:before="120" w:after="120"/>
        <w:ind w:left="601"/>
        <w:jc w:val="center"/>
        <w:outlineLvl w:val="0"/>
        <w:rPr>
          <w:rFonts w:ascii="Garamond" w:eastAsia="Times New Roman" w:hAnsi="Garamond" w:cs="Arial"/>
          <w:b/>
          <w:bCs/>
          <w:sz w:val="22"/>
        </w:rPr>
      </w:pPr>
      <w:r w:rsidRPr="00AD67C2">
        <w:rPr>
          <w:rFonts w:ascii="Garamond" w:eastAsia="Times New Roman" w:hAnsi="Garamond" w:cs="Arial"/>
          <w:b/>
          <w:bCs/>
          <w:sz w:val="22"/>
        </w:rPr>
        <w:t>Методика формирования объектов регулирования потребления электрической энергии потребителей розничных рынков и (или) оптового рынка</w:t>
      </w:r>
    </w:p>
    <w:p w14:paraId="1E8323CC" w14:textId="77777777" w:rsidR="001333B2" w:rsidRPr="00AD67C2" w:rsidRDefault="001333B2" w:rsidP="001043A6">
      <w:pPr>
        <w:keepNext/>
        <w:numPr>
          <w:ilvl w:val="0"/>
          <w:numId w:val="300"/>
        </w:numPr>
        <w:tabs>
          <w:tab w:val="left" w:pos="993"/>
        </w:tabs>
        <w:suppressAutoHyphens w:val="0"/>
        <w:spacing w:before="120" w:after="120" w:line="259" w:lineRule="auto"/>
        <w:ind w:left="0" w:firstLine="601"/>
        <w:jc w:val="both"/>
        <w:outlineLvl w:val="0"/>
        <w:rPr>
          <w:rFonts w:ascii="Garamond" w:eastAsia="Times New Roman" w:hAnsi="Garamond" w:cs="Arial"/>
          <w:b/>
          <w:bCs/>
          <w:sz w:val="22"/>
        </w:rPr>
      </w:pPr>
      <w:bookmarkStart w:id="56" w:name="_Toc247527195"/>
      <w:bookmarkStart w:id="57" w:name="_Toc399249276"/>
      <w:bookmarkStart w:id="58" w:name="_Toc404696713"/>
      <w:bookmarkStart w:id="59" w:name="_Toc407020164"/>
      <w:bookmarkStart w:id="60" w:name="_Toc428358673"/>
      <w:bookmarkStart w:id="61" w:name="_Toc473814744"/>
      <w:r w:rsidRPr="00AD67C2">
        <w:rPr>
          <w:rFonts w:ascii="Garamond" w:eastAsia="Times New Roman" w:hAnsi="Garamond" w:cs="Arial"/>
          <w:b/>
          <w:bCs/>
          <w:sz w:val="22"/>
        </w:rPr>
        <w:t>Предмет и сфера действия методики</w:t>
      </w:r>
      <w:bookmarkEnd w:id="56"/>
      <w:bookmarkEnd w:id="57"/>
      <w:bookmarkEnd w:id="58"/>
      <w:bookmarkEnd w:id="59"/>
      <w:bookmarkEnd w:id="60"/>
      <w:bookmarkEnd w:id="61"/>
    </w:p>
    <w:p w14:paraId="28010714" w14:textId="63A47E7B" w:rsidR="001333B2" w:rsidRPr="00AD67C2" w:rsidRDefault="001333B2" w:rsidP="00055642">
      <w:pPr>
        <w:widowControl w:val="0"/>
        <w:numPr>
          <w:ilvl w:val="1"/>
          <w:numId w:val="301"/>
        </w:numPr>
        <w:tabs>
          <w:tab w:val="left" w:pos="993"/>
        </w:tabs>
        <w:suppressAutoHyphens w:val="0"/>
        <w:spacing w:before="120" w:after="120" w:line="259" w:lineRule="auto"/>
        <w:ind w:firstLine="426"/>
        <w:jc w:val="both"/>
        <w:outlineLvl w:val="1"/>
        <w:rPr>
          <w:rFonts w:ascii="Garamond" w:eastAsia="Calibri" w:hAnsi="Garamond" w:cs="Times New Roman"/>
          <w:bCs/>
          <w:sz w:val="22"/>
          <w:szCs w:val="22"/>
          <w:lang w:eastAsia="en-US"/>
        </w:rPr>
      </w:pPr>
      <w:r w:rsidRPr="00AD67C2">
        <w:rPr>
          <w:rFonts w:ascii="Garamond" w:eastAsia="Calibri" w:hAnsi="Garamond" w:cs="Times New Roman"/>
          <w:bCs/>
          <w:sz w:val="22"/>
          <w:szCs w:val="22"/>
          <w:lang w:eastAsia="en-US"/>
        </w:rPr>
        <w:t xml:space="preserve">Настоящая </w:t>
      </w:r>
      <w:r w:rsidR="00EB7ED9">
        <w:rPr>
          <w:rFonts w:ascii="Garamond" w:eastAsia="Calibri" w:hAnsi="Garamond" w:cs="Times New Roman"/>
          <w:bCs/>
          <w:sz w:val="22"/>
          <w:szCs w:val="22"/>
          <w:lang w:eastAsia="en-US"/>
        </w:rPr>
        <w:t>М</w:t>
      </w:r>
      <w:r w:rsidRPr="00AD67C2">
        <w:rPr>
          <w:rFonts w:ascii="Garamond" w:eastAsia="Calibri" w:hAnsi="Garamond" w:cs="Times New Roman"/>
          <w:bCs/>
          <w:sz w:val="22"/>
          <w:szCs w:val="22"/>
          <w:lang w:eastAsia="en-US"/>
        </w:rPr>
        <w:t>етодика определяет принципы формирования объектов регулирования</w:t>
      </w:r>
      <w:r w:rsidRPr="00AD67C2">
        <w:rPr>
          <w:rFonts w:ascii="Garamond" w:eastAsia="Calibri" w:hAnsi="Garamond" w:cs="Times New Roman"/>
          <w:b/>
          <w:bCs/>
          <w:sz w:val="22"/>
          <w:szCs w:val="22"/>
          <w:lang w:eastAsia="en-US"/>
        </w:rPr>
        <w:t xml:space="preserve"> </w:t>
      </w:r>
      <w:r w:rsidRPr="00AD67C2">
        <w:rPr>
          <w:rFonts w:ascii="Garamond" w:eastAsia="Calibri" w:hAnsi="Garamond" w:cs="Times New Roman"/>
          <w:bCs/>
          <w:sz w:val="22"/>
          <w:szCs w:val="22"/>
          <w:lang w:eastAsia="en-US"/>
        </w:rPr>
        <w:t xml:space="preserve">потребления электрической энергии потребителей розничных рынков и (или) оптового рынка (далее – объекты регулирования), используемые для возможности оказания субъектами оптового рынка услуги по управлению изменением режима потребления электрической энергии и услуги </w:t>
      </w:r>
      <w:r w:rsidRPr="00AD67C2">
        <w:rPr>
          <w:rFonts w:ascii="Garamond" w:eastAsia="Calibri" w:hAnsi="Garamond" w:cs="Times New Roman"/>
          <w:bCs/>
          <w:sz w:val="22"/>
          <w:szCs w:val="22"/>
          <w:lang w:eastAsia="en-US"/>
        </w:rPr>
        <w:br/>
        <w:t>по изменению режима потребления электрической энергии.</w:t>
      </w:r>
    </w:p>
    <w:p w14:paraId="4A79460F" w14:textId="1964C126" w:rsidR="001333B2" w:rsidRPr="00AD67C2" w:rsidRDefault="001333B2" w:rsidP="00055642">
      <w:pPr>
        <w:keepNext/>
        <w:numPr>
          <w:ilvl w:val="0"/>
          <w:numId w:val="300"/>
        </w:numPr>
        <w:tabs>
          <w:tab w:val="left" w:pos="993"/>
        </w:tabs>
        <w:suppressAutoHyphens w:val="0"/>
        <w:spacing w:before="120" w:after="120" w:line="259" w:lineRule="auto"/>
        <w:ind w:left="0" w:firstLine="601"/>
        <w:jc w:val="both"/>
        <w:outlineLvl w:val="0"/>
        <w:rPr>
          <w:rFonts w:ascii="Garamond" w:eastAsia="Times New Roman" w:hAnsi="Garamond" w:cs="Arial"/>
          <w:b/>
          <w:bCs/>
          <w:sz w:val="22"/>
        </w:rPr>
      </w:pPr>
      <w:bookmarkStart w:id="62" w:name="_Toc247527196"/>
      <w:bookmarkStart w:id="63" w:name="_Toc399249277"/>
      <w:bookmarkStart w:id="64" w:name="_Toc404696714"/>
      <w:bookmarkStart w:id="65" w:name="_Toc407020165"/>
      <w:bookmarkStart w:id="66" w:name="_Toc428358674"/>
      <w:bookmarkStart w:id="67" w:name="_Toc473814745"/>
      <w:r w:rsidRPr="00AD67C2">
        <w:rPr>
          <w:rFonts w:ascii="Garamond" w:eastAsia="Times New Roman" w:hAnsi="Garamond" w:cs="Arial"/>
          <w:b/>
          <w:bCs/>
          <w:sz w:val="22"/>
        </w:rPr>
        <w:t xml:space="preserve">Виды и состав </w:t>
      </w:r>
      <w:bookmarkEnd w:id="62"/>
      <w:bookmarkEnd w:id="63"/>
      <w:bookmarkEnd w:id="64"/>
      <w:bookmarkEnd w:id="65"/>
      <w:bookmarkEnd w:id="66"/>
      <w:bookmarkEnd w:id="67"/>
      <w:r w:rsidRPr="00AD67C2">
        <w:rPr>
          <w:rFonts w:ascii="Garamond" w:eastAsia="Times New Roman" w:hAnsi="Garamond" w:cs="Arial"/>
          <w:b/>
          <w:bCs/>
          <w:sz w:val="22"/>
        </w:rPr>
        <w:t>объектов регулирования</w:t>
      </w:r>
    </w:p>
    <w:p w14:paraId="29818558" w14:textId="63201E6E" w:rsidR="001333B2" w:rsidRPr="00AD67C2" w:rsidRDefault="001333B2" w:rsidP="00055642">
      <w:pPr>
        <w:widowControl w:val="0"/>
        <w:numPr>
          <w:ilvl w:val="1"/>
          <w:numId w:val="302"/>
        </w:numPr>
        <w:tabs>
          <w:tab w:val="left" w:pos="993"/>
        </w:tabs>
        <w:suppressAutoHyphens w:val="0"/>
        <w:spacing w:before="120" w:after="120" w:line="259" w:lineRule="auto"/>
        <w:ind w:firstLine="426"/>
        <w:jc w:val="both"/>
        <w:outlineLvl w:val="1"/>
        <w:rPr>
          <w:rFonts w:ascii="Garamond" w:eastAsia="Calibri" w:hAnsi="Garamond" w:cs="Times New Roman"/>
          <w:bCs/>
          <w:sz w:val="22"/>
          <w:szCs w:val="22"/>
          <w:lang w:eastAsia="en-US"/>
        </w:rPr>
      </w:pPr>
      <w:r w:rsidRPr="00AD67C2">
        <w:rPr>
          <w:rFonts w:ascii="Garamond" w:eastAsia="Calibri" w:hAnsi="Garamond" w:cs="Times New Roman"/>
          <w:bCs/>
          <w:sz w:val="22"/>
          <w:szCs w:val="22"/>
          <w:lang w:eastAsia="en-US"/>
        </w:rPr>
        <w:t>Объект регулирования может быть отнесен к одному из следующих видов в зависимости от рынка электрической энергии</w:t>
      </w:r>
      <w:r w:rsidR="00EB7ED9">
        <w:rPr>
          <w:rFonts w:ascii="Garamond" w:eastAsia="Calibri" w:hAnsi="Garamond" w:cs="Times New Roman"/>
          <w:bCs/>
          <w:sz w:val="22"/>
          <w:szCs w:val="22"/>
          <w:lang w:eastAsia="en-US"/>
        </w:rPr>
        <w:t>,</w:t>
      </w:r>
      <w:r w:rsidRPr="00AD67C2">
        <w:rPr>
          <w:rFonts w:ascii="Garamond" w:eastAsia="Calibri" w:hAnsi="Garamond" w:cs="Times New Roman"/>
          <w:bCs/>
          <w:sz w:val="22"/>
          <w:szCs w:val="22"/>
          <w:lang w:eastAsia="en-US"/>
        </w:rPr>
        <w:t xml:space="preserve"> на котором потребителем осуществляется покупка электрической энергии (мощности):</w:t>
      </w:r>
    </w:p>
    <w:p w14:paraId="68E536EA" w14:textId="77777777" w:rsidR="001333B2" w:rsidRPr="00AD67C2" w:rsidRDefault="001333B2" w:rsidP="00EB7ED9">
      <w:pPr>
        <w:widowControl w:val="0"/>
        <w:numPr>
          <w:ilvl w:val="0"/>
          <w:numId w:val="305"/>
        </w:numPr>
        <w:tabs>
          <w:tab w:val="left" w:pos="851"/>
        </w:tabs>
        <w:suppressAutoHyphens w:val="0"/>
        <w:spacing w:before="120" w:after="120" w:line="259" w:lineRule="auto"/>
        <w:ind w:left="0" w:firstLine="426"/>
        <w:jc w:val="both"/>
        <w:rPr>
          <w:rFonts w:ascii="Garamond" w:eastAsia="Calibri" w:hAnsi="Garamond" w:cs="Times New Roman"/>
          <w:bCs/>
          <w:sz w:val="22"/>
          <w:szCs w:val="22"/>
          <w:lang w:eastAsia="en-US"/>
        </w:rPr>
      </w:pPr>
      <w:r w:rsidRPr="00AD67C2">
        <w:rPr>
          <w:rFonts w:ascii="Garamond" w:eastAsia="Calibri" w:hAnsi="Garamond" w:cs="Times New Roman"/>
          <w:bCs/>
          <w:sz w:val="22"/>
          <w:szCs w:val="22"/>
          <w:lang w:eastAsia="en-US"/>
        </w:rPr>
        <w:t>объект регулирования потребления электрической энергии потребителя розничного рынка;</w:t>
      </w:r>
    </w:p>
    <w:p w14:paraId="3C78A6D2" w14:textId="77777777" w:rsidR="001333B2" w:rsidRPr="00AD67C2" w:rsidRDefault="001333B2" w:rsidP="00EB7ED9">
      <w:pPr>
        <w:widowControl w:val="0"/>
        <w:numPr>
          <w:ilvl w:val="0"/>
          <w:numId w:val="305"/>
        </w:numPr>
        <w:tabs>
          <w:tab w:val="left" w:pos="851"/>
        </w:tabs>
        <w:suppressAutoHyphens w:val="0"/>
        <w:spacing w:before="120" w:after="120" w:line="259" w:lineRule="auto"/>
        <w:ind w:left="0" w:firstLine="426"/>
        <w:jc w:val="both"/>
        <w:rPr>
          <w:rFonts w:ascii="Garamond" w:eastAsia="Calibri" w:hAnsi="Garamond" w:cs="Times New Roman"/>
          <w:bCs/>
          <w:sz w:val="22"/>
          <w:szCs w:val="22"/>
          <w:lang w:eastAsia="en-US"/>
        </w:rPr>
      </w:pPr>
      <w:r w:rsidRPr="00AD67C2">
        <w:rPr>
          <w:rFonts w:ascii="Garamond" w:eastAsia="Calibri" w:hAnsi="Garamond" w:cs="Times New Roman"/>
          <w:bCs/>
          <w:sz w:val="22"/>
          <w:szCs w:val="22"/>
          <w:lang w:eastAsia="en-US"/>
        </w:rPr>
        <w:t>объект регулирования потребления электрической энергии потребителя оптового рынка.</w:t>
      </w:r>
    </w:p>
    <w:p w14:paraId="7BA48AC5" w14:textId="77777777" w:rsidR="001333B2" w:rsidRPr="00AD67C2" w:rsidRDefault="001333B2" w:rsidP="00055642">
      <w:pPr>
        <w:widowControl w:val="0"/>
        <w:numPr>
          <w:ilvl w:val="1"/>
          <w:numId w:val="302"/>
        </w:numPr>
        <w:tabs>
          <w:tab w:val="left" w:pos="993"/>
        </w:tabs>
        <w:suppressAutoHyphens w:val="0"/>
        <w:spacing w:before="120" w:after="120" w:line="259" w:lineRule="auto"/>
        <w:ind w:firstLine="426"/>
        <w:jc w:val="both"/>
        <w:outlineLvl w:val="1"/>
        <w:rPr>
          <w:rFonts w:ascii="Garamond" w:eastAsia="Calibri" w:hAnsi="Garamond" w:cs="Times New Roman"/>
          <w:bCs/>
          <w:sz w:val="22"/>
          <w:szCs w:val="22"/>
          <w:lang w:eastAsia="en-US"/>
        </w:rPr>
      </w:pPr>
      <w:r w:rsidRPr="00AD67C2">
        <w:rPr>
          <w:rFonts w:ascii="Garamond" w:eastAsia="Calibri" w:hAnsi="Garamond" w:cs="Times New Roman"/>
          <w:bCs/>
          <w:sz w:val="22"/>
          <w:szCs w:val="22"/>
          <w:lang w:eastAsia="en-US"/>
        </w:rPr>
        <w:t>В состав объекта регулирования потребления электрической энергии потребителя розничного рынка может быть включено следующее электрооборудование, принадлежащее на праве собственности либо ином законном основании одному потребителю – субъекту розничного рынка:</w:t>
      </w:r>
    </w:p>
    <w:p w14:paraId="726CA884" w14:textId="77777777" w:rsidR="001333B2" w:rsidRPr="00AD67C2" w:rsidRDefault="001333B2" w:rsidP="00EB7ED9">
      <w:pPr>
        <w:widowControl w:val="0"/>
        <w:numPr>
          <w:ilvl w:val="0"/>
          <w:numId w:val="305"/>
        </w:numPr>
        <w:tabs>
          <w:tab w:val="left" w:pos="851"/>
        </w:tabs>
        <w:suppressAutoHyphens w:val="0"/>
        <w:spacing w:before="120" w:after="120" w:line="259" w:lineRule="auto"/>
        <w:ind w:left="0" w:firstLine="426"/>
        <w:jc w:val="both"/>
        <w:rPr>
          <w:rFonts w:ascii="Garamond" w:eastAsia="Calibri" w:hAnsi="Garamond" w:cs="Times New Roman"/>
          <w:bCs/>
          <w:sz w:val="22"/>
          <w:szCs w:val="22"/>
          <w:lang w:eastAsia="en-US"/>
        </w:rPr>
      </w:pPr>
      <w:r w:rsidRPr="00AD67C2">
        <w:rPr>
          <w:rFonts w:ascii="Garamond" w:eastAsia="Calibri" w:hAnsi="Garamond" w:cs="Times New Roman"/>
          <w:bCs/>
          <w:sz w:val="22"/>
          <w:szCs w:val="22"/>
          <w:lang w:eastAsia="en-US"/>
        </w:rPr>
        <w:t>энергопринимающее устройство или совокупность энергопринимающих устройств потребителя, имеющих между собой электрические связи через принадлежащие потребителю объекты электросетевого хозяйства (находится в единых границах балансовой принадлежности);</w:t>
      </w:r>
    </w:p>
    <w:p w14:paraId="4D89C105" w14:textId="0D6C396C" w:rsidR="001333B2" w:rsidRPr="00AD67C2" w:rsidRDefault="001333B2" w:rsidP="00EB7ED9">
      <w:pPr>
        <w:widowControl w:val="0"/>
        <w:numPr>
          <w:ilvl w:val="0"/>
          <w:numId w:val="305"/>
        </w:numPr>
        <w:tabs>
          <w:tab w:val="left" w:pos="851"/>
        </w:tabs>
        <w:suppressAutoHyphens w:val="0"/>
        <w:spacing w:before="120" w:after="120" w:line="259" w:lineRule="auto"/>
        <w:ind w:left="0" w:firstLine="426"/>
        <w:jc w:val="both"/>
        <w:rPr>
          <w:rFonts w:ascii="Garamond" w:eastAsia="Calibri" w:hAnsi="Garamond" w:cs="Times New Roman"/>
          <w:bCs/>
          <w:sz w:val="22"/>
          <w:szCs w:val="22"/>
          <w:lang w:eastAsia="en-US"/>
        </w:rPr>
      </w:pPr>
      <w:r w:rsidRPr="00AD67C2">
        <w:rPr>
          <w:rFonts w:ascii="Garamond" w:eastAsia="Calibri" w:hAnsi="Garamond" w:cs="Times New Roman"/>
          <w:bCs/>
          <w:sz w:val="22"/>
          <w:szCs w:val="22"/>
          <w:lang w:eastAsia="en-US"/>
        </w:rPr>
        <w:t>электростанция (электростанции) (объект (объекты) по производству электрической энергии)</w:t>
      </w:r>
      <w:r w:rsidR="00EB7ED9">
        <w:rPr>
          <w:rFonts w:ascii="Garamond" w:eastAsia="Calibri" w:hAnsi="Garamond" w:cs="Times New Roman"/>
          <w:bCs/>
          <w:sz w:val="22"/>
          <w:szCs w:val="22"/>
          <w:lang w:eastAsia="en-US"/>
        </w:rPr>
        <w:t>,</w:t>
      </w:r>
      <w:r w:rsidRPr="00AD67C2">
        <w:rPr>
          <w:rFonts w:ascii="Garamond" w:eastAsia="Calibri" w:hAnsi="Garamond" w:cs="Times New Roman"/>
          <w:bCs/>
          <w:sz w:val="22"/>
          <w:szCs w:val="22"/>
          <w:lang w:eastAsia="en-US"/>
        </w:rPr>
        <w:t xml:space="preserve"> установленная генерирующая мощность которой не превышает 25 (двадцати пяти) МВт либо в отношении которой получено подтверждение о нераспространении требования Федерального закона «Об электроэнергетике» о реализации всей производимой электрической энергии и мощности только на оптовом рынке в порядке, предусмотренном Правилами оптового рынка, в случае наличия технологического соединения через принадлежащие потребителю объекты электросетевого хозяйства с энергопринимающим устройством (совокупностью энергопринимающих устройств) в составе данного объекта регулирования;</w:t>
      </w:r>
    </w:p>
    <w:p w14:paraId="38BEBA67" w14:textId="77777777" w:rsidR="001333B2" w:rsidRPr="00AD67C2" w:rsidRDefault="001333B2" w:rsidP="00EB7ED9">
      <w:pPr>
        <w:widowControl w:val="0"/>
        <w:numPr>
          <w:ilvl w:val="0"/>
          <w:numId w:val="305"/>
        </w:numPr>
        <w:tabs>
          <w:tab w:val="left" w:pos="851"/>
        </w:tabs>
        <w:suppressAutoHyphens w:val="0"/>
        <w:spacing w:before="120" w:after="120" w:line="259" w:lineRule="auto"/>
        <w:ind w:left="0" w:firstLine="426"/>
        <w:jc w:val="both"/>
        <w:rPr>
          <w:rFonts w:ascii="Garamond" w:eastAsia="Calibri" w:hAnsi="Garamond" w:cs="Times New Roman"/>
          <w:bCs/>
          <w:sz w:val="22"/>
          <w:szCs w:val="22"/>
          <w:lang w:eastAsia="en-US"/>
        </w:rPr>
      </w:pPr>
      <w:r w:rsidRPr="00AD67C2">
        <w:rPr>
          <w:rFonts w:ascii="Garamond" w:eastAsia="Calibri" w:hAnsi="Garamond" w:cs="Times New Roman"/>
          <w:bCs/>
          <w:sz w:val="22"/>
          <w:szCs w:val="22"/>
          <w:lang w:eastAsia="en-US"/>
        </w:rPr>
        <w:t>система (системы) накопления электрической энергии, при наличии технологического соединения через принадлежащие потребителю объекты электросетевого хозяйства с энергопринимающим устройством (совокупностью энергопринимающих устройств) в составе данного объекта регулирования.</w:t>
      </w:r>
    </w:p>
    <w:p w14:paraId="0801D63E" w14:textId="0D417F29" w:rsidR="001333B2" w:rsidRPr="00AD67C2" w:rsidRDefault="001333B2" w:rsidP="00055642">
      <w:pPr>
        <w:widowControl w:val="0"/>
        <w:numPr>
          <w:ilvl w:val="1"/>
          <w:numId w:val="302"/>
        </w:numPr>
        <w:tabs>
          <w:tab w:val="left" w:pos="993"/>
        </w:tabs>
        <w:suppressAutoHyphens w:val="0"/>
        <w:spacing w:before="120" w:after="120" w:line="259" w:lineRule="auto"/>
        <w:ind w:firstLine="426"/>
        <w:jc w:val="both"/>
        <w:outlineLvl w:val="1"/>
        <w:rPr>
          <w:rFonts w:ascii="Garamond" w:eastAsia="Calibri" w:hAnsi="Garamond" w:cs="Times New Roman"/>
          <w:bCs/>
          <w:sz w:val="22"/>
          <w:szCs w:val="22"/>
          <w:lang w:eastAsia="en-US"/>
        </w:rPr>
      </w:pPr>
      <w:r w:rsidRPr="00AD67C2">
        <w:rPr>
          <w:rFonts w:ascii="Garamond" w:eastAsia="Calibri" w:hAnsi="Garamond" w:cs="Times New Roman"/>
          <w:bCs/>
          <w:sz w:val="22"/>
          <w:szCs w:val="22"/>
          <w:lang w:eastAsia="en-US"/>
        </w:rPr>
        <w:t>В состав объекта регулирования потребления электрической энергии потребителя оптового рынка может быть включено следующее электрооборудование, принадлежащее на праве собственности либо ином законном основании одному потребителю – субъекту оптового рынка и относящ</w:t>
      </w:r>
      <w:r w:rsidR="00EB7ED9">
        <w:rPr>
          <w:rFonts w:ascii="Garamond" w:eastAsia="Calibri" w:hAnsi="Garamond" w:cs="Times New Roman"/>
          <w:bCs/>
          <w:sz w:val="22"/>
          <w:szCs w:val="22"/>
          <w:lang w:eastAsia="en-US"/>
        </w:rPr>
        <w:t>е</w:t>
      </w:r>
      <w:r w:rsidRPr="00AD67C2">
        <w:rPr>
          <w:rFonts w:ascii="Garamond" w:eastAsia="Calibri" w:hAnsi="Garamond" w:cs="Times New Roman"/>
          <w:bCs/>
          <w:sz w:val="22"/>
          <w:szCs w:val="22"/>
          <w:lang w:eastAsia="en-US"/>
        </w:rPr>
        <w:t>еся к одной ГТП крупного потребителя:</w:t>
      </w:r>
    </w:p>
    <w:p w14:paraId="4984AD50" w14:textId="77777777" w:rsidR="001333B2" w:rsidRPr="00AD67C2" w:rsidRDefault="001333B2" w:rsidP="00EB7ED9">
      <w:pPr>
        <w:widowControl w:val="0"/>
        <w:numPr>
          <w:ilvl w:val="0"/>
          <w:numId w:val="305"/>
        </w:numPr>
        <w:tabs>
          <w:tab w:val="left" w:pos="851"/>
        </w:tabs>
        <w:suppressAutoHyphens w:val="0"/>
        <w:spacing w:before="120" w:after="120" w:line="259" w:lineRule="auto"/>
        <w:ind w:left="0" w:firstLine="426"/>
        <w:jc w:val="both"/>
        <w:rPr>
          <w:rFonts w:ascii="Garamond" w:eastAsia="Calibri" w:hAnsi="Garamond" w:cs="Times New Roman"/>
          <w:bCs/>
          <w:sz w:val="22"/>
          <w:szCs w:val="22"/>
          <w:lang w:eastAsia="en-US"/>
        </w:rPr>
      </w:pPr>
      <w:r w:rsidRPr="00AD67C2">
        <w:rPr>
          <w:rFonts w:ascii="Garamond" w:eastAsia="Calibri" w:hAnsi="Garamond" w:cs="Times New Roman"/>
          <w:bCs/>
          <w:sz w:val="22"/>
          <w:szCs w:val="22"/>
          <w:lang w:eastAsia="en-US"/>
        </w:rPr>
        <w:t>энергопринимающее устройство или совокупность энергопринимающих устройств потребителя;</w:t>
      </w:r>
    </w:p>
    <w:p w14:paraId="01F9B706" w14:textId="7AFBDCD4" w:rsidR="001333B2" w:rsidRPr="00AD67C2" w:rsidRDefault="001333B2" w:rsidP="00EB7ED9">
      <w:pPr>
        <w:widowControl w:val="0"/>
        <w:numPr>
          <w:ilvl w:val="0"/>
          <w:numId w:val="305"/>
        </w:numPr>
        <w:tabs>
          <w:tab w:val="left" w:pos="851"/>
        </w:tabs>
        <w:suppressAutoHyphens w:val="0"/>
        <w:spacing w:before="120" w:after="120" w:line="259" w:lineRule="auto"/>
        <w:ind w:left="0" w:firstLine="426"/>
        <w:jc w:val="both"/>
        <w:rPr>
          <w:rFonts w:ascii="Garamond" w:eastAsia="Calibri" w:hAnsi="Garamond" w:cs="Times New Roman"/>
          <w:bCs/>
          <w:sz w:val="22"/>
          <w:szCs w:val="22"/>
          <w:lang w:eastAsia="en-US"/>
        </w:rPr>
      </w:pPr>
      <w:r w:rsidRPr="00AD67C2">
        <w:rPr>
          <w:rFonts w:ascii="Garamond" w:eastAsia="Calibri" w:hAnsi="Garamond" w:cs="Times New Roman"/>
          <w:bCs/>
          <w:sz w:val="22"/>
          <w:szCs w:val="22"/>
          <w:lang w:eastAsia="en-US"/>
        </w:rPr>
        <w:t>электростанция (электростанции) (объект (объекты) по производству электрической энергии)</w:t>
      </w:r>
      <w:r w:rsidR="00EB7ED9">
        <w:rPr>
          <w:rFonts w:ascii="Garamond" w:eastAsia="Calibri" w:hAnsi="Garamond" w:cs="Times New Roman"/>
          <w:bCs/>
          <w:sz w:val="22"/>
          <w:szCs w:val="22"/>
          <w:lang w:eastAsia="en-US"/>
        </w:rPr>
        <w:t>,</w:t>
      </w:r>
      <w:r w:rsidRPr="00AD67C2">
        <w:rPr>
          <w:rFonts w:ascii="Garamond" w:eastAsia="Calibri" w:hAnsi="Garamond" w:cs="Times New Roman"/>
          <w:bCs/>
          <w:sz w:val="22"/>
          <w:szCs w:val="22"/>
          <w:lang w:eastAsia="en-US"/>
        </w:rPr>
        <w:t xml:space="preserve"> установленная генерирующая мощность которой не превышает 25 (двадцати пяти) МВт либо в отношении которой получено подтверждение о нераспространении требования Федерального закона «Об электроэнергетике» о реализации всей производимой электрической энергии и мощности только на оптовом рынке в порядке, предусмотренном Правилами оптового рынка, в случае наличия технологического соединения через принадлежащие потребителю объекты электросетевого хозяйства с энергопринимающим устройством (частью энергопринимающих устройств) в составе данного объекта регулирования;</w:t>
      </w:r>
    </w:p>
    <w:p w14:paraId="63EF164D" w14:textId="77777777" w:rsidR="001333B2" w:rsidRPr="00AD67C2" w:rsidRDefault="001333B2" w:rsidP="00EB7ED9">
      <w:pPr>
        <w:widowControl w:val="0"/>
        <w:numPr>
          <w:ilvl w:val="0"/>
          <w:numId w:val="305"/>
        </w:numPr>
        <w:tabs>
          <w:tab w:val="left" w:pos="851"/>
        </w:tabs>
        <w:suppressAutoHyphens w:val="0"/>
        <w:spacing w:before="120" w:after="120" w:line="259" w:lineRule="auto"/>
        <w:ind w:left="0" w:firstLine="426"/>
        <w:jc w:val="both"/>
        <w:rPr>
          <w:rFonts w:ascii="Garamond" w:eastAsia="Calibri" w:hAnsi="Garamond" w:cs="Times New Roman"/>
          <w:b/>
          <w:bCs/>
          <w:sz w:val="22"/>
          <w:szCs w:val="22"/>
          <w:lang w:eastAsia="en-US"/>
        </w:rPr>
      </w:pPr>
      <w:r w:rsidRPr="00AD67C2">
        <w:rPr>
          <w:rFonts w:ascii="Garamond" w:eastAsia="Calibri" w:hAnsi="Garamond" w:cs="Times New Roman"/>
          <w:bCs/>
          <w:sz w:val="22"/>
          <w:szCs w:val="22"/>
          <w:lang w:eastAsia="en-US"/>
        </w:rPr>
        <w:lastRenderedPageBreak/>
        <w:t>система (системы) накопления электрической энергии, при наличии технологического соединения через принадлежащие потребителю объекты электросетевого хозяйства с энергопринимающим устройством (совокупностью энергопринимающих устройств) в составе данного объекта регулирования.</w:t>
      </w:r>
      <w:bookmarkStart w:id="68" w:name="_Toc247527197"/>
      <w:bookmarkStart w:id="69" w:name="_Toc399249278"/>
      <w:bookmarkStart w:id="70" w:name="_Toc404696715"/>
      <w:bookmarkStart w:id="71" w:name="_Toc407020166"/>
      <w:bookmarkStart w:id="72" w:name="_Toc428358675"/>
      <w:bookmarkStart w:id="73" w:name="_Toc473814746"/>
    </w:p>
    <w:p w14:paraId="66377FDC" w14:textId="77777777" w:rsidR="001333B2" w:rsidRPr="00055642" w:rsidRDefault="001333B2" w:rsidP="00055642">
      <w:pPr>
        <w:keepNext/>
        <w:numPr>
          <w:ilvl w:val="0"/>
          <w:numId w:val="300"/>
        </w:numPr>
        <w:tabs>
          <w:tab w:val="left" w:pos="993"/>
        </w:tabs>
        <w:suppressAutoHyphens w:val="0"/>
        <w:spacing w:before="120" w:after="120" w:line="259" w:lineRule="auto"/>
        <w:ind w:left="0" w:firstLine="601"/>
        <w:jc w:val="both"/>
        <w:outlineLvl w:val="0"/>
        <w:rPr>
          <w:rFonts w:ascii="Garamond" w:eastAsia="Times New Roman" w:hAnsi="Garamond" w:cs="Arial"/>
          <w:b/>
          <w:bCs/>
          <w:sz w:val="22"/>
        </w:rPr>
      </w:pPr>
      <w:r w:rsidRPr="00AD67C2">
        <w:rPr>
          <w:rFonts w:ascii="Garamond" w:eastAsia="Times New Roman" w:hAnsi="Garamond" w:cs="Arial"/>
          <w:b/>
          <w:bCs/>
          <w:sz w:val="22"/>
        </w:rPr>
        <w:t>Принципы</w:t>
      </w:r>
      <w:r w:rsidRPr="00055642">
        <w:rPr>
          <w:rFonts w:ascii="Garamond" w:eastAsia="Times New Roman" w:hAnsi="Garamond" w:cs="Arial"/>
          <w:b/>
          <w:bCs/>
          <w:sz w:val="22"/>
        </w:rPr>
        <w:t xml:space="preserve"> формирования </w:t>
      </w:r>
      <w:bookmarkEnd w:id="68"/>
      <w:bookmarkEnd w:id="69"/>
      <w:bookmarkEnd w:id="70"/>
      <w:bookmarkEnd w:id="71"/>
      <w:bookmarkEnd w:id="72"/>
      <w:bookmarkEnd w:id="73"/>
      <w:r w:rsidRPr="00055642">
        <w:rPr>
          <w:rFonts w:ascii="Garamond" w:eastAsia="Times New Roman" w:hAnsi="Garamond" w:cs="Arial"/>
          <w:b/>
          <w:bCs/>
          <w:sz w:val="22"/>
        </w:rPr>
        <w:t>объекта регулирования</w:t>
      </w:r>
    </w:p>
    <w:p w14:paraId="7A30FD60" w14:textId="77777777" w:rsidR="001333B2" w:rsidRPr="00AD67C2" w:rsidRDefault="001333B2" w:rsidP="001043A6">
      <w:pPr>
        <w:widowControl w:val="0"/>
        <w:numPr>
          <w:ilvl w:val="1"/>
          <w:numId w:val="303"/>
        </w:numPr>
        <w:tabs>
          <w:tab w:val="left" w:pos="992"/>
          <w:tab w:val="left" w:pos="1077"/>
        </w:tabs>
        <w:suppressAutoHyphens w:val="0"/>
        <w:spacing w:before="120" w:after="120" w:line="259" w:lineRule="auto"/>
        <w:jc w:val="both"/>
        <w:outlineLvl w:val="1"/>
        <w:rPr>
          <w:rFonts w:ascii="Garamond" w:eastAsia="Calibri" w:hAnsi="Garamond" w:cs="Times New Roman"/>
          <w:bCs/>
          <w:sz w:val="22"/>
          <w:szCs w:val="22"/>
          <w:lang w:eastAsia="en-US"/>
        </w:rPr>
      </w:pPr>
      <w:r w:rsidRPr="00AD67C2">
        <w:rPr>
          <w:rFonts w:ascii="Garamond" w:eastAsia="Calibri" w:hAnsi="Garamond" w:cs="Times New Roman"/>
          <w:bCs/>
          <w:sz w:val="22"/>
          <w:szCs w:val="22"/>
          <w:lang w:eastAsia="en-US"/>
        </w:rPr>
        <w:t>Формирование объекта регулирования производится на основе:</w:t>
      </w:r>
    </w:p>
    <w:p w14:paraId="44753FA4" w14:textId="77777777" w:rsidR="001333B2" w:rsidRPr="00AD67C2" w:rsidRDefault="001333B2" w:rsidP="001043A6">
      <w:pPr>
        <w:widowControl w:val="0"/>
        <w:numPr>
          <w:ilvl w:val="0"/>
          <w:numId w:val="305"/>
        </w:numPr>
        <w:tabs>
          <w:tab w:val="left" w:pos="851"/>
        </w:tabs>
        <w:suppressAutoHyphens w:val="0"/>
        <w:spacing w:before="120" w:after="120" w:line="259" w:lineRule="auto"/>
        <w:ind w:left="0" w:firstLine="601"/>
        <w:jc w:val="both"/>
        <w:rPr>
          <w:rFonts w:ascii="Garamond" w:eastAsia="Calibri" w:hAnsi="Garamond" w:cs="Times New Roman"/>
          <w:bCs/>
          <w:sz w:val="22"/>
          <w:szCs w:val="22"/>
          <w:lang w:eastAsia="en-US"/>
        </w:rPr>
      </w:pPr>
      <w:r w:rsidRPr="00AD67C2">
        <w:rPr>
          <w:rFonts w:ascii="Garamond" w:eastAsia="Calibri" w:hAnsi="Garamond" w:cs="Times New Roman"/>
          <w:bCs/>
          <w:sz w:val="22"/>
          <w:szCs w:val="22"/>
          <w:lang w:eastAsia="en-US"/>
        </w:rPr>
        <w:t>однолинейной схемы присоединения электрооборудования к внешним электрическим сетям;</w:t>
      </w:r>
    </w:p>
    <w:p w14:paraId="6117427B" w14:textId="77777777" w:rsidR="001333B2" w:rsidRPr="00AD67C2" w:rsidRDefault="001333B2" w:rsidP="001043A6">
      <w:pPr>
        <w:widowControl w:val="0"/>
        <w:numPr>
          <w:ilvl w:val="0"/>
          <w:numId w:val="305"/>
        </w:numPr>
        <w:tabs>
          <w:tab w:val="left" w:pos="851"/>
        </w:tabs>
        <w:suppressAutoHyphens w:val="0"/>
        <w:spacing w:before="120" w:after="120" w:line="259" w:lineRule="auto"/>
        <w:ind w:left="0" w:firstLine="601"/>
        <w:jc w:val="both"/>
        <w:rPr>
          <w:rFonts w:ascii="Garamond" w:eastAsia="Calibri" w:hAnsi="Garamond" w:cs="Times New Roman"/>
          <w:bCs/>
          <w:sz w:val="22"/>
          <w:szCs w:val="22"/>
          <w:lang w:eastAsia="en-US"/>
        </w:rPr>
      </w:pPr>
      <w:r w:rsidRPr="00AD67C2">
        <w:rPr>
          <w:rFonts w:ascii="Garamond" w:eastAsia="Calibri" w:hAnsi="Garamond" w:cs="Times New Roman"/>
          <w:bCs/>
          <w:sz w:val="22"/>
          <w:szCs w:val="22"/>
          <w:lang w:eastAsia="en-US"/>
        </w:rPr>
        <w:t>перечня точек измерений и точек присоединения;</w:t>
      </w:r>
    </w:p>
    <w:p w14:paraId="545E4299" w14:textId="77777777" w:rsidR="001333B2" w:rsidRPr="00AD67C2" w:rsidRDefault="001333B2" w:rsidP="001043A6">
      <w:pPr>
        <w:widowControl w:val="0"/>
        <w:numPr>
          <w:ilvl w:val="0"/>
          <w:numId w:val="305"/>
        </w:numPr>
        <w:tabs>
          <w:tab w:val="left" w:pos="851"/>
        </w:tabs>
        <w:suppressAutoHyphens w:val="0"/>
        <w:spacing w:before="120" w:after="120" w:line="259" w:lineRule="auto"/>
        <w:ind w:left="0" w:firstLine="601"/>
        <w:jc w:val="both"/>
        <w:rPr>
          <w:rFonts w:ascii="Garamond" w:eastAsia="Calibri" w:hAnsi="Garamond" w:cs="Times New Roman"/>
          <w:bCs/>
          <w:sz w:val="22"/>
          <w:szCs w:val="22"/>
          <w:lang w:eastAsia="en-US"/>
        </w:rPr>
      </w:pPr>
      <w:r w:rsidRPr="00AD67C2">
        <w:rPr>
          <w:rFonts w:ascii="Garamond" w:eastAsia="Calibri" w:hAnsi="Garamond" w:cs="Times New Roman"/>
          <w:bCs/>
          <w:sz w:val="22"/>
          <w:szCs w:val="22"/>
          <w:lang w:eastAsia="en-US"/>
        </w:rPr>
        <w:t>характеристик энергопринимающего и (при наличии) генерирующего оборудования и (или) систем накопления энергии, предоставляемых в соответствии с настоящим Положением.</w:t>
      </w:r>
    </w:p>
    <w:p w14:paraId="3F2DC039" w14:textId="46DC9D98" w:rsidR="001333B2" w:rsidRPr="00AD67C2" w:rsidRDefault="001333B2" w:rsidP="001043A6">
      <w:pPr>
        <w:widowControl w:val="0"/>
        <w:numPr>
          <w:ilvl w:val="1"/>
          <w:numId w:val="303"/>
        </w:numPr>
        <w:tabs>
          <w:tab w:val="left" w:pos="1077"/>
        </w:tabs>
        <w:suppressAutoHyphens w:val="0"/>
        <w:spacing w:before="120" w:after="120" w:line="259" w:lineRule="auto"/>
        <w:jc w:val="both"/>
        <w:outlineLvl w:val="1"/>
        <w:rPr>
          <w:rFonts w:ascii="Garamond" w:eastAsia="Calibri" w:hAnsi="Garamond" w:cs="Times New Roman"/>
          <w:bCs/>
          <w:sz w:val="22"/>
          <w:szCs w:val="22"/>
          <w:lang w:eastAsia="en-US"/>
        </w:rPr>
      </w:pPr>
      <w:r w:rsidRPr="00AD67C2">
        <w:rPr>
          <w:rFonts w:ascii="Garamond" w:eastAsia="Calibri" w:hAnsi="Garamond" w:cs="Times New Roman"/>
          <w:bCs/>
          <w:sz w:val="22"/>
          <w:szCs w:val="22"/>
          <w:lang w:eastAsia="en-US"/>
        </w:rPr>
        <w:t xml:space="preserve">Точки присоединения </w:t>
      </w:r>
      <w:r w:rsidRPr="00AD67C2">
        <w:rPr>
          <w:rFonts w:ascii="Garamond" w:eastAsia="Calibri" w:hAnsi="Garamond" w:cs="Times New Roman"/>
          <w:b/>
          <w:bCs/>
          <w:sz w:val="22"/>
          <w:szCs w:val="22"/>
          <w:lang w:eastAsia="en-US"/>
        </w:rPr>
        <w:t>объекта регулирования потребления электрической энергии потребителя розничного рынка</w:t>
      </w:r>
      <w:r w:rsidRPr="00AD67C2">
        <w:rPr>
          <w:rFonts w:ascii="Garamond" w:eastAsia="Calibri" w:hAnsi="Garamond" w:cs="Times New Roman"/>
          <w:bCs/>
          <w:sz w:val="22"/>
          <w:szCs w:val="22"/>
          <w:lang w:eastAsia="en-US"/>
        </w:rPr>
        <w:t xml:space="preserve"> к внешней электрической сети должны быть расположены на границе балансовой принадлежности энергопринимающего устройства (совокупности энергопринимающих устройств) и (или) связанной с ним (с ними) электростанци</w:t>
      </w:r>
      <w:r w:rsidR="00B47A5A">
        <w:rPr>
          <w:rFonts w:ascii="Garamond" w:eastAsia="Calibri" w:hAnsi="Garamond" w:cs="Times New Roman"/>
          <w:bCs/>
          <w:sz w:val="22"/>
          <w:szCs w:val="22"/>
          <w:lang w:eastAsia="en-US"/>
        </w:rPr>
        <w:t>и</w:t>
      </w:r>
      <w:r w:rsidRPr="00AD67C2">
        <w:rPr>
          <w:rFonts w:ascii="Garamond" w:eastAsia="Calibri" w:hAnsi="Garamond" w:cs="Times New Roman"/>
          <w:bCs/>
          <w:sz w:val="22"/>
          <w:szCs w:val="22"/>
          <w:lang w:eastAsia="en-US"/>
        </w:rPr>
        <w:t xml:space="preserve"> (электростанци</w:t>
      </w:r>
      <w:r w:rsidR="00B47A5A">
        <w:rPr>
          <w:rFonts w:ascii="Garamond" w:eastAsia="Calibri" w:hAnsi="Garamond" w:cs="Times New Roman"/>
          <w:bCs/>
          <w:sz w:val="22"/>
          <w:szCs w:val="22"/>
          <w:lang w:eastAsia="en-US"/>
        </w:rPr>
        <w:t>й</w:t>
      </w:r>
      <w:r w:rsidRPr="00AD67C2">
        <w:rPr>
          <w:rFonts w:ascii="Garamond" w:eastAsia="Calibri" w:hAnsi="Garamond" w:cs="Times New Roman"/>
          <w:bCs/>
          <w:sz w:val="22"/>
          <w:szCs w:val="22"/>
          <w:lang w:eastAsia="en-US"/>
        </w:rPr>
        <w:t>) (объект</w:t>
      </w:r>
      <w:r w:rsidR="00B47A5A">
        <w:rPr>
          <w:rFonts w:ascii="Garamond" w:eastAsia="Calibri" w:hAnsi="Garamond" w:cs="Times New Roman"/>
          <w:bCs/>
          <w:sz w:val="22"/>
          <w:szCs w:val="22"/>
          <w:lang w:eastAsia="en-US"/>
        </w:rPr>
        <w:t>а</w:t>
      </w:r>
      <w:r w:rsidRPr="00AD67C2">
        <w:rPr>
          <w:rFonts w:ascii="Garamond" w:eastAsia="Calibri" w:hAnsi="Garamond" w:cs="Times New Roman"/>
          <w:bCs/>
          <w:sz w:val="22"/>
          <w:szCs w:val="22"/>
          <w:lang w:eastAsia="en-US"/>
        </w:rPr>
        <w:t xml:space="preserve"> (объект</w:t>
      </w:r>
      <w:r w:rsidR="00B47A5A">
        <w:rPr>
          <w:rFonts w:ascii="Garamond" w:eastAsia="Calibri" w:hAnsi="Garamond" w:cs="Times New Roman"/>
          <w:bCs/>
          <w:sz w:val="22"/>
          <w:szCs w:val="22"/>
          <w:lang w:eastAsia="en-US"/>
        </w:rPr>
        <w:t>ов</w:t>
      </w:r>
      <w:r w:rsidRPr="00AD67C2">
        <w:rPr>
          <w:rFonts w:ascii="Garamond" w:eastAsia="Calibri" w:hAnsi="Garamond" w:cs="Times New Roman"/>
          <w:bCs/>
          <w:sz w:val="22"/>
          <w:szCs w:val="22"/>
          <w:lang w:eastAsia="en-US"/>
        </w:rPr>
        <w:t>) по производству электрической энергии) и (или) системы (систем) накопления электрической энергии, определенной в документах о технологическом присоединении электрооборудования к электрическим сетям.</w:t>
      </w:r>
    </w:p>
    <w:p w14:paraId="59341FF9" w14:textId="086D6D90" w:rsidR="001333B2" w:rsidRPr="00AD67C2" w:rsidRDefault="001333B2" w:rsidP="001043A6">
      <w:pPr>
        <w:widowControl w:val="0"/>
        <w:numPr>
          <w:ilvl w:val="1"/>
          <w:numId w:val="303"/>
        </w:numPr>
        <w:tabs>
          <w:tab w:val="left" w:pos="1077"/>
        </w:tabs>
        <w:suppressAutoHyphens w:val="0"/>
        <w:spacing w:before="120" w:after="120" w:line="259" w:lineRule="auto"/>
        <w:jc w:val="both"/>
        <w:outlineLvl w:val="1"/>
        <w:rPr>
          <w:rFonts w:ascii="Garamond" w:eastAsia="Calibri" w:hAnsi="Garamond" w:cs="Times New Roman"/>
          <w:bCs/>
          <w:sz w:val="22"/>
          <w:szCs w:val="22"/>
          <w:lang w:eastAsia="en-US"/>
        </w:rPr>
      </w:pPr>
      <w:r w:rsidRPr="00AD67C2">
        <w:rPr>
          <w:rFonts w:ascii="Garamond" w:eastAsia="Calibri" w:hAnsi="Garamond" w:cs="Times New Roman"/>
          <w:bCs/>
          <w:sz w:val="22"/>
          <w:szCs w:val="22"/>
          <w:lang w:eastAsia="en-US"/>
        </w:rPr>
        <w:t xml:space="preserve">Точки присоединения </w:t>
      </w:r>
      <w:r w:rsidRPr="00AD67C2">
        <w:rPr>
          <w:rFonts w:ascii="Garamond" w:eastAsia="Calibri" w:hAnsi="Garamond" w:cs="Times New Roman"/>
          <w:b/>
          <w:bCs/>
          <w:sz w:val="22"/>
          <w:szCs w:val="22"/>
          <w:lang w:eastAsia="en-US"/>
        </w:rPr>
        <w:t>объекта регулирования потребления электрической энергии потребителя оптового рынка</w:t>
      </w:r>
      <w:r w:rsidRPr="00AD67C2">
        <w:rPr>
          <w:rFonts w:ascii="Garamond" w:eastAsia="Calibri" w:hAnsi="Garamond" w:cs="Times New Roman"/>
          <w:bCs/>
          <w:sz w:val="22"/>
          <w:szCs w:val="22"/>
          <w:lang w:eastAsia="en-US"/>
        </w:rPr>
        <w:t xml:space="preserve"> к внешней электрической сети должны быть расположены в местах расположения точек поставки в соответствующей ГТП крупного потребителя</w:t>
      </w:r>
      <w:r w:rsidR="00055642">
        <w:rPr>
          <w:rFonts w:ascii="Garamond" w:eastAsia="Calibri" w:hAnsi="Garamond" w:cs="Times New Roman"/>
          <w:bCs/>
          <w:sz w:val="22"/>
          <w:szCs w:val="22"/>
          <w:lang w:eastAsia="en-US"/>
        </w:rPr>
        <w:t>,</w:t>
      </w:r>
      <w:r w:rsidRPr="00AD67C2">
        <w:rPr>
          <w:rFonts w:ascii="Garamond" w:eastAsia="Calibri" w:hAnsi="Garamond" w:cs="Times New Roman"/>
          <w:bCs/>
          <w:sz w:val="22"/>
          <w:szCs w:val="22"/>
          <w:lang w:eastAsia="en-US"/>
        </w:rPr>
        <w:t xml:space="preserve"> закрепленной за субъектом оптового рынка. </w:t>
      </w:r>
    </w:p>
    <w:p w14:paraId="3FBB886C" w14:textId="32EE3A87" w:rsidR="001333B2" w:rsidRPr="00AD67C2" w:rsidRDefault="001333B2" w:rsidP="001043A6">
      <w:pPr>
        <w:widowControl w:val="0"/>
        <w:numPr>
          <w:ilvl w:val="1"/>
          <w:numId w:val="303"/>
        </w:numPr>
        <w:tabs>
          <w:tab w:val="left" w:pos="1077"/>
        </w:tabs>
        <w:suppressAutoHyphens w:val="0"/>
        <w:spacing w:before="120" w:after="120" w:line="259" w:lineRule="auto"/>
        <w:jc w:val="both"/>
        <w:outlineLvl w:val="1"/>
        <w:rPr>
          <w:rFonts w:ascii="Garamond" w:eastAsia="Calibri" w:hAnsi="Garamond" w:cs="Times New Roman"/>
          <w:bCs/>
          <w:sz w:val="22"/>
          <w:szCs w:val="22"/>
          <w:lang w:eastAsia="en-US"/>
        </w:rPr>
      </w:pPr>
      <w:r w:rsidRPr="00AD67C2">
        <w:rPr>
          <w:rFonts w:ascii="Garamond" w:eastAsia="Calibri" w:hAnsi="Garamond" w:cs="Times New Roman"/>
          <w:bCs/>
          <w:sz w:val="22"/>
          <w:szCs w:val="22"/>
          <w:lang w:eastAsia="en-US"/>
        </w:rPr>
        <w:t>Одно и то</w:t>
      </w:r>
      <w:r w:rsidR="00055642">
        <w:rPr>
          <w:rFonts w:ascii="Garamond" w:eastAsia="Calibri" w:hAnsi="Garamond" w:cs="Times New Roman"/>
          <w:bCs/>
          <w:sz w:val="22"/>
          <w:szCs w:val="22"/>
          <w:lang w:eastAsia="en-US"/>
        </w:rPr>
        <w:t xml:space="preserve"> </w:t>
      </w:r>
      <w:r w:rsidRPr="00AD67C2">
        <w:rPr>
          <w:rFonts w:ascii="Garamond" w:eastAsia="Calibri" w:hAnsi="Garamond" w:cs="Times New Roman"/>
          <w:bCs/>
          <w:sz w:val="22"/>
          <w:szCs w:val="22"/>
          <w:lang w:eastAsia="en-US"/>
        </w:rPr>
        <w:t>же электрооборудование не может быть одновременно зарегистрировано более чем в одном объекте регулирования.</w:t>
      </w:r>
    </w:p>
    <w:p w14:paraId="186D5F78" w14:textId="77777777" w:rsidR="001333B2" w:rsidRPr="00AD67C2" w:rsidRDefault="001333B2" w:rsidP="001043A6">
      <w:pPr>
        <w:widowControl w:val="0"/>
        <w:numPr>
          <w:ilvl w:val="1"/>
          <w:numId w:val="303"/>
        </w:numPr>
        <w:tabs>
          <w:tab w:val="left" w:pos="1077"/>
        </w:tabs>
        <w:suppressAutoHyphens w:val="0"/>
        <w:spacing w:before="120" w:after="120" w:line="259" w:lineRule="auto"/>
        <w:jc w:val="both"/>
        <w:outlineLvl w:val="1"/>
        <w:rPr>
          <w:rFonts w:ascii="Garamond" w:eastAsia="Calibri" w:hAnsi="Garamond" w:cs="Times New Roman"/>
          <w:bCs/>
          <w:sz w:val="22"/>
          <w:szCs w:val="22"/>
          <w:lang w:eastAsia="en-US"/>
        </w:rPr>
      </w:pPr>
      <w:r w:rsidRPr="00AD67C2">
        <w:rPr>
          <w:rFonts w:ascii="Garamond" w:eastAsia="Calibri" w:hAnsi="Garamond" w:cs="Times New Roman"/>
          <w:bCs/>
          <w:sz w:val="22"/>
          <w:szCs w:val="22"/>
          <w:lang w:eastAsia="en-US"/>
        </w:rPr>
        <w:t>При формировании объекта регулирования не допускается включать в его состав следующее электрооборудование:</w:t>
      </w:r>
    </w:p>
    <w:p w14:paraId="36F435F7" w14:textId="283375F3" w:rsidR="001333B2" w:rsidRPr="00AD67C2" w:rsidRDefault="001333B2" w:rsidP="001043A6">
      <w:pPr>
        <w:widowControl w:val="0"/>
        <w:numPr>
          <w:ilvl w:val="0"/>
          <w:numId w:val="305"/>
        </w:numPr>
        <w:tabs>
          <w:tab w:val="left" w:pos="851"/>
        </w:tabs>
        <w:suppressAutoHyphens w:val="0"/>
        <w:spacing w:before="120" w:after="120" w:line="259" w:lineRule="auto"/>
        <w:ind w:left="0" w:firstLine="601"/>
        <w:jc w:val="both"/>
        <w:rPr>
          <w:rFonts w:ascii="Garamond" w:eastAsia="Calibri" w:hAnsi="Garamond" w:cs="Times New Roman"/>
          <w:bCs/>
          <w:sz w:val="22"/>
          <w:szCs w:val="22"/>
          <w:lang w:eastAsia="en-US"/>
        </w:rPr>
      </w:pPr>
      <w:r w:rsidRPr="00AD67C2">
        <w:rPr>
          <w:rFonts w:ascii="Garamond" w:eastAsia="Calibri" w:hAnsi="Garamond" w:cs="Times New Roman"/>
          <w:bCs/>
          <w:sz w:val="22"/>
          <w:szCs w:val="22"/>
          <w:lang w:eastAsia="en-US"/>
        </w:rPr>
        <w:t>электрические сети, принадлежащие на праве собственности или на ином законном основании, сетевым организациям</w:t>
      </w:r>
      <w:r w:rsidR="00055642">
        <w:rPr>
          <w:rFonts w:ascii="Garamond" w:eastAsia="Calibri" w:hAnsi="Garamond" w:cs="Times New Roman"/>
          <w:bCs/>
          <w:sz w:val="22"/>
          <w:szCs w:val="22"/>
          <w:lang w:eastAsia="en-US"/>
        </w:rPr>
        <w:t>,</w:t>
      </w:r>
      <w:r w:rsidRPr="00AD67C2">
        <w:rPr>
          <w:rFonts w:ascii="Garamond" w:eastAsia="Calibri" w:hAnsi="Garamond" w:cs="Times New Roman"/>
          <w:bCs/>
          <w:sz w:val="22"/>
          <w:szCs w:val="22"/>
          <w:lang w:eastAsia="en-US"/>
        </w:rPr>
        <w:t xml:space="preserve"> для которых установлен тариф на услуги по передаче электрической энергии;</w:t>
      </w:r>
    </w:p>
    <w:p w14:paraId="51C7277C" w14:textId="77777777" w:rsidR="001333B2" w:rsidRPr="00AD67C2" w:rsidRDefault="001333B2" w:rsidP="001043A6">
      <w:pPr>
        <w:widowControl w:val="0"/>
        <w:numPr>
          <w:ilvl w:val="0"/>
          <w:numId w:val="305"/>
        </w:numPr>
        <w:tabs>
          <w:tab w:val="left" w:pos="851"/>
        </w:tabs>
        <w:suppressAutoHyphens w:val="0"/>
        <w:spacing w:before="120" w:after="120" w:line="259" w:lineRule="auto"/>
        <w:ind w:left="0" w:firstLine="601"/>
        <w:jc w:val="both"/>
        <w:rPr>
          <w:rFonts w:ascii="Garamond" w:eastAsia="Calibri" w:hAnsi="Garamond" w:cs="Times New Roman"/>
          <w:bCs/>
          <w:sz w:val="22"/>
          <w:szCs w:val="22"/>
          <w:lang w:eastAsia="en-US"/>
        </w:rPr>
      </w:pPr>
      <w:r w:rsidRPr="00AD67C2">
        <w:rPr>
          <w:rFonts w:ascii="Garamond" w:eastAsia="Calibri" w:hAnsi="Garamond" w:cs="Times New Roman"/>
          <w:bCs/>
          <w:sz w:val="22"/>
          <w:szCs w:val="22"/>
          <w:lang w:eastAsia="en-US"/>
        </w:rPr>
        <w:t>энергопринимающие устройства, с использованием которых субъект оптового рынка исполняет обязательства по ценозависимому снижению потребления;</w:t>
      </w:r>
    </w:p>
    <w:p w14:paraId="6042A952" w14:textId="0BF9427A" w:rsidR="001333B2" w:rsidRPr="00AD67C2" w:rsidRDefault="001333B2" w:rsidP="001043A6">
      <w:pPr>
        <w:widowControl w:val="0"/>
        <w:numPr>
          <w:ilvl w:val="0"/>
          <w:numId w:val="305"/>
        </w:numPr>
        <w:tabs>
          <w:tab w:val="left" w:pos="851"/>
        </w:tabs>
        <w:suppressAutoHyphens w:val="0"/>
        <w:spacing w:before="120" w:after="120" w:line="259" w:lineRule="auto"/>
        <w:ind w:left="0" w:firstLine="601"/>
        <w:jc w:val="both"/>
        <w:rPr>
          <w:rFonts w:ascii="Garamond" w:eastAsia="Calibri" w:hAnsi="Garamond" w:cs="Times New Roman"/>
          <w:bCs/>
          <w:sz w:val="22"/>
          <w:szCs w:val="22"/>
          <w:lang w:eastAsia="en-US"/>
        </w:rPr>
      </w:pPr>
      <w:r w:rsidRPr="00AD67C2">
        <w:rPr>
          <w:rFonts w:ascii="Garamond" w:eastAsia="Calibri" w:hAnsi="Garamond" w:cs="Times New Roman"/>
          <w:bCs/>
          <w:sz w:val="22"/>
          <w:szCs w:val="22"/>
          <w:lang w:eastAsia="en-US"/>
        </w:rPr>
        <w:t>электростанцию (электростанции) (объект (объекты) по производству электрической энергии)</w:t>
      </w:r>
      <w:r w:rsidR="00055642">
        <w:rPr>
          <w:rFonts w:ascii="Garamond" w:eastAsia="Calibri" w:hAnsi="Garamond" w:cs="Times New Roman"/>
          <w:bCs/>
          <w:sz w:val="22"/>
          <w:szCs w:val="22"/>
          <w:lang w:eastAsia="en-US"/>
        </w:rPr>
        <w:t>,</w:t>
      </w:r>
      <w:r w:rsidRPr="00AD67C2">
        <w:rPr>
          <w:rFonts w:ascii="Garamond" w:eastAsia="Calibri" w:hAnsi="Garamond" w:cs="Times New Roman"/>
          <w:bCs/>
          <w:sz w:val="22"/>
          <w:szCs w:val="22"/>
          <w:lang w:eastAsia="en-US"/>
        </w:rPr>
        <w:t xml:space="preserve"> установленная генерирующая мощность которой превышает 25 (двадцат</w:t>
      </w:r>
      <w:r w:rsidR="00055642">
        <w:rPr>
          <w:rFonts w:ascii="Garamond" w:eastAsia="Calibri" w:hAnsi="Garamond" w:cs="Times New Roman"/>
          <w:bCs/>
          <w:sz w:val="22"/>
          <w:szCs w:val="22"/>
          <w:lang w:eastAsia="en-US"/>
        </w:rPr>
        <w:t>ь</w:t>
      </w:r>
      <w:r w:rsidRPr="00AD67C2">
        <w:rPr>
          <w:rFonts w:ascii="Garamond" w:eastAsia="Calibri" w:hAnsi="Garamond" w:cs="Times New Roman"/>
          <w:bCs/>
          <w:sz w:val="22"/>
          <w:szCs w:val="22"/>
          <w:lang w:eastAsia="en-US"/>
        </w:rPr>
        <w:t xml:space="preserve"> пят</w:t>
      </w:r>
      <w:r w:rsidR="00055642">
        <w:rPr>
          <w:rFonts w:ascii="Garamond" w:eastAsia="Calibri" w:hAnsi="Garamond" w:cs="Times New Roman"/>
          <w:bCs/>
          <w:sz w:val="22"/>
          <w:szCs w:val="22"/>
          <w:lang w:eastAsia="en-US"/>
        </w:rPr>
        <w:t>ь</w:t>
      </w:r>
      <w:r w:rsidRPr="00AD67C2">
        <w:rPr>
          <w:rFonts w:ascii="Garamond" w:eastAsia="Calibri" w:hAnsi="Garamond" w:cs="Times New Roman"/>
          <w:bCs/>
          <w:sz w:val="22"/>
          <w:szCs w:val="22"/>
          <w:lang w:eastAsia="en-US"/>
        </w:rPr>
        <w:t>) МВт либо в отношении которой не получено подтверждение о нераспространении требования Федерального закона «Об электроэнергетике» о реализации всей производимой электрической энергии и мощности только на оптовом рынке в порядке, предусмотренном Правилами оптового рынка</w:t>
      </w:r>
      <w:r w:rsidR="00055642">
        <w:rPr>
          <w:rFonts w:ascii="Garamond" w:eastAsia="Calibri" w:hAnsi="Garamond" w:cs="Times New Roman"/>
          <w:bCs/>
          <w:sz w:val="22"/>
          <w:szCs w:val="22"/>
          <w:lang w:eastAsia="en-US"/>
        </w:rPr>
        <w:t>.</w:t>
      </w:r>
    </w:p>
    <w:p w14:paraId="7866907E" w14:textId="77777777" w:rsidR="001333B2" w:rsidRPr="00AD67C2" w:rsidRDefault="001333B2" w:rsidP="001043A6">
      <w:pPr>
        <w:widowControl w:val="0"/>
        <w:numPr>
          <w:ilvl w:val="1"/>
          <w:numId w:val="303"/>
        </w:numPr>
        <w:tabs>
          <w:tab w:val="left" w:pos="1077"/>
        </w:tabs>
        <w:suppressAutoHyphens w:val="0"/>
        <w:spacing w:before="120" w:after="120" w:line="259" w:lineRule="auto"/>
        <w:jc w:val="both"/>
        <w:outlineLvl w:val="1"/>
        <w:rPr>
          <w:rFonts w:ascii="Garamond" w:eastAsia="Calibri" w:hAnsi="Garamond" w:cs="Times New Roman"/>
          <w:bCs/>
          <w:sz w:val="22"/>
          <w:szCs w:val="22"/>
          <w:lang w:eastAsia="en-US"/>
        </w:rPr>
      </w:pPr>
      <w:r w:rsidRPr="00AD67C2">
        <w:rPr>
          <w:rFonts w:ascii="Garamond" w:eastAsia="Calibri" w:hAnsi="Garamond" w:cs="Times New Roman"/>
          <w:bCs/>
          <w:sz w:val="22"/>
          <w:szCs w:val="22"/>
          <w:lang w:eastAsia="en-US"/>
        </w:rPr>
        <w:t xml:space="preserve">При формировании объекта регулирования должно быть установлено взаимно однозначное соответствие совокупности точек присоединения объекта регулирования к внешней электрической сети набору точек измерений, позволяющих определить все необходимые учетные показатели в соответствии с требованиями </w:t>
      </w:r>
      <w:r w:rsidRPr="00055642">
        <w:rPr>
          <w:rFonts w:ascii="Garamond" w:eastAsia="Calibri" w:hAnsi="Garamond" w:cs="Times New Roman"/>
          <w:bCs/>
          <w:i/>
          <w:sz w:val="22"/>
          <w:szCs w:val="22"/>
          <w:lang w:eastAsia="en-US"/>
        </w:rPr>
        <w:t>Договора о присоединении к торговой системе оптового рынка</w:t>
      </w:r>
      <w:r w:rsidRPr="00AD67C2">
        <w:rPr>
          <w:rFonts w:ascii="Garamond" w:eastAsia="Calibri" w:hAnsi="Garamond" w:cs="Times New Roman"/>
          <w:bCs/>
          <w:sz w:val="22"/>
          <w:szCs w:val="22"/>
          <w:lang w:eastAsia="en-US"/>
        </w:rPr>
        <w:t>.</w:t>
      </w:r>
    </w:p>
    <w:p w14:paraId="11C22C96" w14:textId="77777777" w:rsidR="001333B2" w:rsidRPr="00AD67C2" w:rsidRDefault="001333B2" w:rsidP="001043A6">
      <w:pPr>
        <w:widowControl w:val="0"/>
        <w:numPr>
          <w:ilvl w:val="1"/>
          <w:numId w:val="303"/>
        </w:numPr>
        <w:tabs>
          <w:tab w:val="left" w:pos="1077"/>
        </w:tabs>
        <w:suppressAutoHyphens w:val="0"/>
        <w:spacing w:before="120" w:after="120" w:line="259" w:lineRule="auto"/>
        <w:jc w:val="both"/>
        <w:outlineLvl w:val="1"/>
        <w:rPr>
          <w:rFonts w:ascii="Garamond" w:eastAsia="Calibri" w:hAnsi="Garamond" w:cs="Times New Roman"/>
          <w:bCs/>
          <w:sz w:val="22"/>
          <w:szCs w:val="22"/>
          <w:lang w:eastAsia="en-US"/>
        </w:rPr>
      </w:pPr>
      <w:r w:rsidRPr="00AD67C2">
        <w:rPr>
          <w:rFonts w:ascii="Garamond" w:eastAsia="Calibri" w:hAnsi="Garamond" w:cs="Times New Roman"/>
          <w:bCs/>
          <w:sz w:val="22"/>
          <w:szCs w:val="22"/>
          <w:lang w:eastAsia="en-US"/>
        </w:rPr>
        <w:t xml:space="preserve">Совокупность электрооборудования должна быть объединена в один </w:t>
      </w:r>
      <w:r w:rsidRPr="00AD67C2">
        <w:rPr>
          <w:rFonts w:ascii="Garamond" w:eastAsia="Calibri" w:hAnsi="Garamond" w:cs="Times New Roman"/>
          <w:b/>
          <w:bCs/>
          <w:sz w:val="22"/>
          <w:szCs w:val="22"/>
          <w:lang w:eastAsia="en-US"/>
        </w:rPr>
        <w:t xml:space="preserve">объект регулирования </w:t>
      </w:r>
      <w:r w:rsidRPr="00AD67C2">
        <w:rPr>
          <w:rFonts w:ascii="Garamond" w:eastAsia="Calibri" w:hAnsi="Garamond" w:cs="Times New Roman"/>
          <w:bCs/>
          <w:sz w:val="22"/>
          <w:szCs w:val="22"/>
          <w:lang w:eastAsia="en-US"/>
        </w:rPr>
        <w:t>потребления</w:t>
      </w:r>
      <w:r w:rsidRPr="00AD67C2">
        <w:rPr>
          <w:rFonts w:ascii="Garamond" w:eastAsia="Calibri" w:hAnsi="Garamond" w:cs="Times New Roman"/>
          <w:b/>
          <w:bCs/>
          <w:sz w:val="22"/>
          <w:szCs w:val="22"/>
          <w:lang w:eastAsia="en-US"/>
        </w:rPr>
        <w:t xml:space="preserve"> электрической энергии потребителя розничного рынка </w:t>
      </w:r>
      <w:r w:rsidRPr="00AD67C2">
        <w:rPr>
          <w:rFonts w:ascii="Garamond" w:eastAsia="Calibri" w:hAnsi="Garamond" w:cs="Times New Roman"/>
          <w:bCs/>
          <w:sz w:val="22"/>
          <w:szCs w:val="22"/>
          <w:lang w:eastAsia="en-US"/>
        </w:rPr>
        <w:t>в том случае, если для него выполняются следующие условия:</w:t>
      </w:r>
    </w:p>
    <w:p w14:paraId="61351EE0" w14:textId="459C1BDF" w:rsidR="001333B2" w:rsidRPr="00AD67C2" w:rsidRDefault="001333B2" w:rsidP="001043A6">
      <w:pPr>
        <w:widowControl w:val="0"/>
        <w:numPr>
          <w:ilvl w:val="0"/>
          <w:numId w:val="305"/>
        </w:numPr>
        <w:tabs>
          <w:tab w:val="left" w:pos="851"/>
        </w:tabs>
        <w:suppressAutoHyphens w:val="0"/>
        <w:spacing w:before="120" w:after="120" w:line="259" w:lineRule="auto"/>
        <w:ind w:left="0" w:firstLine="601"/>
        <w:jc w:val="both"/>
        <w:rPr>
          <w:rFonts w:ascii="Garamond" w:eastAsia="Calibri" w:hAnsi="Garamond" w:cs="Times New Roman"/>
          <w:bCs/>
          <w:sz w:val="22"/>
          <w:szCs w:val="22"/>
          <w:lang w:eastAsia="en-US"/>
        </w:rPr>
      </w:pPr>
      <w:r w:rsidRPr="00AD67C2">
        <w:rPr>
          <w:rFonts w:ascii="Garamond" w:eastAsia="Calibri" w:hAnsi="Garamond" w:cs="Times New Roman"/>
          <w:bCs/>
          <w:sz w:val="22"/>
          <w:szCs w:val="22"/>
          <w:lang w:eastAsia="en-US"/>
        </w:rPr>
        <w:t>все электрооборудование объекта регулирования входит в состав одной ГТП потребления;</w:t>
      </w:r>
    </w:p>
    <w:p w14:paraId="4DEE73E8" w14:textId="77777777" w:rsidR="001333B2" w:rsidRPr="00AD67C2" w:rsidRDefault="001333B2" w:rsidP="001043A6">
      <w:pPr>
        <w:widowControl w:val="0"/>
        <w:numPr>
          <w:ilvl w:val="0"/>
          <w:numId w:val="305"/>
        </w:numPr>
        <w:tabs>
          <w:tab w:val="left" w:pos="851"/>
        </w:tabs>
        <w:suppressAutoHyphens w:val="0"/>
        <w:spacing w:before="120" w:after="120" w:line="259" w:lineRule="auto"/>
        <w:ind w:left="0" w:firstLine="601"/>
        <w:jc w:val="both"/>
        <w:rPr>
          <w:rFonts w:ascii="Garamond" w:eastAsia="Calibri" w:hAnsi="Garamond" w:cs="Times New Roman"/>
          <w:bCs/>
          <w:sz w:val="22"/>
          <w:szCs w:val="22"/>
          <w:lang w:eastAsia="en-US"/>
        </w:rPr>
      </w:pPr>
      <w:r w:rsidRPr="00AD67C2">
        <w:rPr>
          <w:rFonts w:ascii="Garamond" w:eastAsia="Calibri" w:hAnsi="Garamond" w:cs="Times New Roman"/>
          <w:bCs/>
          <w:sz w:val="22"/>
          <w:szCs w:val="22"/>
          <w:lang w:eastAsia="en-US"/>
        </w:rPr>
        <w:t>в случае одновременного размыкания электрических цепей во всех точках присоединения объекта регулирования к внешней электрической сети, все электрооборудование, включаемое в объект регулирования, полностью отделяется от электрической сети (отсутствует неучтенный переток электроэнергии);</w:t>
      </w:r>
    </w:p>
    <w:p w14:paraId="4FE160C6" w14:textId="364AB371" w:rsidR="001333B2" w:rsidRPr="00AD67C2" w:rsidRDefault="001333B2" w:rsidP="001043A6">
      <w:pPr>
        <w:widowControl w:val="0"/>
        <w:numPr>
          <w:ilvl w:val="0"/>
          <w:numId w:val="305"/>
        </w:numPr>
        <w:tabs>
          <w:tab w:val="left" w:pos="851"/>
        </w:tabs>
        <w:suppressAutoHyphens w:val="0"/>
        <w:spacing w:before="120" w:after="120" w:line="259" w:lineRule="auto"/>
        <w:ind w:left="0" w:firstLine="601"/>
        <w:jc w:val="both"/>
        <w:rPr>
          <w:rFonts w:ascii="Garamond" w:eastAsia="Calibri" w:hAnsi="Garamond" w:cs="Times New Roman"/>
          <w:bCs/>
          <w:sz w:val="22"/>
          <w:szCs w:val="22"/>
          <w:lang w:eastAsia="en-US"/>
        </w:rPr>
      </w:pPr>
      <w:r w:rsidRPr="00AD67C2">
        <w:rPr>
          <w:rFonts w:ascii="Garamond" w:eastAsia="Calibri" w:hAnsi="Garamond" w:cs="Times New Roman"/>
          <w:bCs/>
          <w:sz w:val="22"/>
          <w:szCs w:val="22"/>
          <w:lang w:eastAsia="en-US"/>
        </w:rPr>
        <w:lastRenderedPageBreak/>
        <w:t>все электрооборудование в составе объекта регулирования имеет между собой электрические связи через принадлежащие потребителю объекты электросетевого хозяйства (находится в единых границах балансовой принадлежности).</w:t>
      </w:r>
    </w:p>
    <w:p w14:paraId="144A6F70" w14:textId="43DDF9F0" w:rsidR="001333B2" w:rsidRPr="00AD67C2" w:rsidRDefault="001333B2" w:rsidP="001043A6">
      <w:pPr>
        <w:widowControl w:val="0"/>
        <w:numPr>
          <w:ilvl w:val="1"/>
          <w:numId w:val="303"/>
        </w:numPr>
        <w:tabs>
          <w:tab w:val="left" w:pos="1077"/>
        </w:tabs>
        <w:suppressAutoHyphens w:val="0"/>
        <w:spacing w:before="120" w:after="120" w:line="259" w:lineRule="auto"/>
        <w:jc w:val="both"/>
        <w:outlineLvl w:val="1"/>
        <w:rPr>
          <w:rFonts w:ascii="Garamond" w:eastAsia="Calibri" w:hAnsi="Garamond" w:cs="Times New Roman"/>
          <w:bCs/>
          <w:sz w:val="22"/>
          <w:szCs w:val="22"/>
          <w:lang w:eastAsia="en-US"/>
        </w:rPr>
      </w:pPr>
      <w:r w:rsidRPr="00AD67C2">
        <w:rPr>
          <w:rFonts w:ascii="Garamond" w:eastAsia="Calibri" w:hAnsi="Garamond" w:cs="Times New Roman"/>
          <w:bCs/>
          <w:sz w:val="22"/>
          <w:szCs w:val="22"/>
          <w:lang w:eastAsia="en-US"/>
        </w:rPr>
        <w:t xml:space="preserve">Совокупность электрооборудования может быть объединена в один </w:t>
      </w:r>
      <w:r w:rsidRPr="00AD67C2">
        <w:rPr>
          <w:rFonts w:ascii="Garamond" w:eastAsia="Calibri" w:hAnsi="Garamond" w:cs="Times New Roman"/>
          <w:b/>
          <w:bCs/>
          <w:sz w:val="22"/>
          <w:szCs w:val="22"/>
          <w:lang w:eastAsia="en-US"/>
        </w:rPr>
        <w:t>объект регулирования потребления электрической энергии потребителя оптового рынка</w:t>
      </w:r>
      <w:r w:rsidRPr="00AD67C2">
        <w:rPr>
          <w:rFonts w:ascii="Garamond" w:eastAsia="Calibri" w:hAnsi="Garamond" w:cs="Times New Roman"/>
          <w:bCs/>
          <w:sz w:val="22"/>
          <w:szCs w:val="22"/>
          <w:lang w:eastAsia="en-US"/>
        </w:rPr>
        <w:t xml:space="preserve"> только в том случае, если выполняются следующие условия:</w:t>
      </w:r>
    </w:p>
    <w:p w14:paraId="06A1D78F" w14:textId="59EECB5B" w:rsidR="001333B2" w:rsidRPr="00AD67C2" w:rsidRDefault="001333B2" w:rsidP="001043A6">
      <w:pPr>
        <w:widowControl w:val="0"/>
        <w:numPr>
          <w:ilvl w:val="0"/>
          <w:numId w:val="305"/>
        </w:numPr>
        <w:tabs>
          <w:tab w:val="left" w:pos="851"/>
        </w:tabs>
        <w:suppressAutoHyphens w:val="0"/>
        <w:spacing w:before="120" w:after="120" w:line="259" w:lineRule="auto"/>
        <w:ind w:left="0" w:firstLine="601"/>
        <w:jc w:val="both"/>
        <w:rPr>
          <w:rFonts w:ascii="Garamond" w:eastAsia="Calibri" w:hAnsi="Garamond" w:cs="Times New Roman"/>
          <w:bCs/>
          <w:sz w:val="22"/>
          <w:szCs w:val="22"/>
          <w:lang w:eastAsia="en-US"/>
        </w:rPr>
      </w:pPr>
      <w:r w:rsidRPr="00AD67C2">
        <w:rPr>
          <w:rFonts w:ascii="Garamond" w:eastAsia="Calibri" w:hAnsi="Garamond" w:cs="Times New Roman"/>
          <w:bCs/>
          <w:sz w:val="22"/>
          <w:szCs w:val="22"/>
          <w:lang w:eastAsia="en-US"/>
        </w:rPr>
        <w:t>если электрооборудование в составе объекта регулирования полностью соответствует электрооборудованию</w:t>
      </w:r>
      <w:r w:rsidR="00055642">
        <w:rPr>
          <w:rFonts w:ascii="Garamond" w:eastAsia="Calibri" w:hAnsi="Garamond" w:cs="Times New Roman"/>
          <w:bCs/>
          <w:sz w:val="22"/>
          <w:szCs w:val="22"/>
          <w:lang w:eastAsia="en-US"/>
        </w:rPr>
        <w:t>,</w:t>
      </w:r>
      <w:r w:rsidRPr="00AD67C2">
        <w:rPr>
          <w:rFonts w:ascii="Garamond" w:eastAsia="Calibri" w:hAnsi="Garamond" w:cs="Times New Roman"/>
          <w:bCs/>
          <w:sz w:val="22"/>
          <w:szCs w:val="22"/>
          <w:lang w:eastAsia="en-US"/>
        </w:rPr>
        <w:t xml:space="preserve"> входящему в состав одной ГТП крупного потребителя</w:t>
      </w:r>
      <w:r w:rsidR="00055642">
        <w:rPr>
          <w:rFonts w:ascii="Garamond" w:eastAsia="Calibri" w:hAnsi="Garamond" w:cs="Times New Roman"/>
          <w:bCs/>
          <w:sz w:val="22"/>
          <w:szCs w:val="22"/>
          <w:lang w:eastAsia="en-US"/>
        </w:rPr>
        <w:t>,</w:t>
      </w:r>
      <w:r w:rsidRPr="00AD67C2">
        <w:rPr>
          <w:rFonts w:ascii="Garamond" w:eastAsia="Calibri" w:hAnsi="Garamond" w:cs="Times New Roman"/>
          <w:bCs/>
          <w:sz w:val="22"/>
          <w:szCs w:val="22"/>
          <w:lang w:eastAsia="en-US"/>
        </w:rPr>
        <w:t xml:space="preserve"> закрепленной за субъектом оптового рынка;</w:t>
      </w:r>
    </w:p>
    <w:p w14:paraId="09D74173" w14:textId="77777777" w:rsidR="001333B2" w:rsidRPr="00AD67C2" w:rsidRDefault="001333B2" w:rsidP="001043A6">
      <w:pPr>
        <w:widowControl w:val="0"/>
        <w:numPr>
          <w:ilvl w:val="0"/>
          <w:numId w:val="305"/>
        </w:numPr>
        <w:tabs>
          <w:tab w:val="left" w:pos="851"/>
        </w:tabs>
        <w:suppressAutoHyphens w:val="0"/>
        <w:spacing w:before="120" w:after="120" w:line="259" w:lineRule="auto"/>
        <w:ind w:left="0" w:firstLine="601"/>
        <w:jc w:val="both"/>
        <w:rPr>
          <w:rFonts w:ascii="Garamond" w:eastAsia="Calibri" w:hAnsi="Garamond" w:cs="Times New Roman"/>
          <w:bCs/>
          <w:sz w:val="22"/>
          <w:szCs w:val="22"/>
          <w:lang w:eastAsia="en-US"/>
        </w:rPr>
      </w:pPr>
      <w:r w:rsidRPr="00AD67C2">
        <w:rPr>
          <w:rFonts w:ascii="Garamond" w:eastAsia="Calibri" w:hAnsi="Garamond" w:cs="Times New Roman"/>
          <w:bCs/>
          <w:sz w:val="22"/>
          <w:szCs w:val="22"/>
          <w:lang w:eastAsia="en-US"/>
        </w:rPr>
        <w:t>состав и месторасположение точек присоединения объекта регулирования к внешней электрической сети полностью соответствует составу и месторасположению точек поставки в ГТП крупного потребителя.</w:t>
      </w:r>
    </w:p>
    <w:p w14:paraId="21F68A9B" w14:textId="77777777" w:rsidR="001333B2" w:rsidRPr="00AD67C2" w:rsidRDefault="001333B2" w:rsidP="001333B2">
      <w:pPr>
        <w:widowControl w:val="0"/>
        <w:tabs>
          <w:tab w:val="left" w:pos="1077"/>
        </w:tabs>
        <w:suppressAutoHyphens w:val="0"/>
        <w:spacing w:before="120" w:after="120"/>
        <w:jc w:val="both"/>
        <w:rPr>
          <w:rFonts w:ascii="Garamond" w:eastAsia="Calibri" w:hAnsi="Garamond" w:cs="Times New Roman"/>
          <w:bCs/>
          <w:sz w:val="22"/>
          <w:szCs w:val="22"/>
          <w:lang w:eastAsia="en-US"/>
        </w:rPr>
        <w:sectPr w:rsidR="001333B2" w:rsidRPr="00AD67C2" w:rsidSect="0064152E">
          <w:pgSz w:w="11906" w:h="16838"/>
          <w:pgMar w:top="1134" w:right="851" w:bottom="1134" w:left="1588" w:header="709" w:footer="709" w:gutter="0"/>
          <w:cols w:space="708"/>
          <w:docGrid w:linePitch="360"/>
        </w:sectPr>
      </w:pPr>
    </w:p>
    <w:p w14:paraId="0A302E22" w14:textId="77777777" w:rsidR="001333B2" w:rsidRPr="001043A6" w:rsidRDefault="001333B2" w:rsidP="001043A6">
      <w:pPr>
        <w:keepNext/>
        <w:suppressAutoHyphens w:val="0"/>
        <w:spacing w:before="120" w:after="120"/>
        <w:ind w:left="2318"/>
        <w:jc w:val="right"/>
        <w:outlineLvl w:val="0"/>
        <w:rPr>
          <w:rFonts w:ascii="Garamond" w:eastAsia="Times New Roman" w:hAnsi="Garamond" w:cs="Arial"/>
          <w:b/>
          <w:bCs/>
          <w:sz w:val="22"/>
          <w:szCs w:val="22"/>
        </w:rPr>
      </w:pPr>
      <w:r w:rsidRPr="001043A6">
        <w:rPr>
          <w:rFonts w:ascii="Garamond" w:eastAsia="Times New Roman" w:hAnsi="Garamond" w:cs="Arial"/>
          <w:b/>
          <w:bCs/>
          <w:sz w:val="22"/>
          <w:szCs w:val="22"/>
        </w:rPr>
        <w:lastRenderedPageBreak/>
        <w:t>Приложение 11</w:t>
      </w:r>
    </w:p>
    <w:p w14:paraId="75668F50" w14:textId="77777777" w:rsidR="001333B2" w:rsidRPr="001043A6" w:rsidRDefault="001333B2" w:rsidP="001043A6">
      <w:pPr>
        <w:keepNext/>
        <w:suppressAutoHyphens w:val="0"/>
        <w:spacing w:before="120" w:after="120"/>
        <w:ind w:left="601"/>
        <w:jc w:val="center"/>
        <w:outlineLvl w:val="0"/>
        <w:rPr>
          <w:rFonts w:ascii="Garamond" w:eastAsia="Times New Roman" w:hAnsi="Garamond" w:cs="Arial"/>
          <w:b/>
          <w:bCs/>
          <w:sz w:val="22"/>
          <w:szCs w:val="22"/>
        </w:rPr>
      </w:pPr>
      <w:r w:rsidRPr="001043A6">
        <w:rPr>
          <w:rFonts w:ascii="Garamond" w:eastAsia="Times New Roman" w:hAnsi="Garamond" w:cs="Arial"/>
          <w:b/>
          <w:bCs/>
          <w:sz w:val="22"/>
          <w:szCs w:val="22"/>
        </w:rPr>
        <w:t>Требования к оформлению однолинейных схем присоединения к внешним электрическим сетям объекта регулирования потребления электрической энергии потребителя розничного рынка и (или) оптового рынка и правила присвоения наименований точкам присоединения и точкам измерений</w:t>
      </w:r>
    </w:p>
    <w:p w14:paraId="7A94DC68" w14:textId="77777777" w:rsidR="001333B2" w:rsidRPr="001043A6" w:rsidRDefault="001333B2" w:rsidP="001043A6">
      <w:pPr>
        <w:widowControl w:val="0"/>
        <w:tabs>
          <w:tab w:val="left" w:pos="1077"/>
        </w:tabs>
        <w:suppressAutoHyphens w:val="0"/>
        <w:spacing w:before="120" w:after="120"/>
        <w:jc w:val="both"/>
        <w:rPr>
          <w:rFonts w:ascii="Garamond" w:eastAsia="Calibri" w:hAnsi="Garamond" w:cs="Times New Roman"/>
          <w:bCs/>
          <w:sz w:val="22"/>
          <w:szCs w:val="22"/>
          <w:lang w:eastAsia="en-US"/>
        </w:rPr>
      </w:pPr>
    </w:p>
    <w:p w14:paraId="3BD874CC" w14:textId="46C825C0" w:rsidR="001333B2" w:rsidRPr="001043A6" w:rsidRDefault="00055642" w:rsidP="001043A6">
      <w:pPr>
        <w:keepNext/>
        <w:tabs>
          <w:tab w:val="left" w:pos="851"/>
        </w:tabs>
        <w:suppressAutoHyphens w:val="0"/>
        <w:spacing w:before="120" w:after="120"/>
        <w:ind w:firstLine="601"/>
        <w:jc w:val="both"/>
        <w:outlineLvl w:val="0"/>
        <w:rPr>
          <w:rFonts w:ascii="Garamond" w:eastAsia="Times New Roman" w:hAnsi="Garamond" w:cs="Arial"/>
          <w:b/>
          <w:bCs/>
          <w:sz w:val="22"/>
          <w:szCs w:val="22"/>
        </w:rPr>
      </w:pPr>
      <w:r>
        <w:rPr>
          <w:rFonts w:ascii="Garamond" w:eastAsia="Times New Roman" w:hAnsi="Garamond" w:cs="Arial"/>
          <w:b/>
          <w:bCs/>
          <w:sz w:val="22"/>
          <w:szCs w:val="22"/>
        </w:rPr>
        <w:t xml:space="preserve">1. </w:t>
      </w:r>
      <w:r w:rsidR="001333B2" w:rsidRPr="001043A6">
        <w:rPr>
          <w:rFonts w:ascii="Garamond" w:eastAsia="Times New Roman" w:hAnsi="Garamond" w:cs="Arial"/>
          <w:b/>
          <w:bCs/>
          <w:sz w:val="22"/>
          <w:szCs w:val="22"/>
        </w:rPr>
        <w:t>Общие требования к оформлению однолинейной схемы присоединения к внешним электрическим сетям объекта регулирования потребления электрической энергии потребителя розничного рынка и (или) оптового рынка (далее – объект регулирования потребления электрической энергии)</w:t>
      </w:r>
    </w:p>
    <w:p w14:paraId="7A05890D" w14:textId="77777777" w:rsidR="001333B2" w:rsidRPr="001043A6" w:rsidRDefault="001333B2" w:rsidP="001043A6">
      <w:pPr>
        <w:widowControl w:val="0"/>
        <w:numPr>
          <w:ilvl w:val="1"/>
          <w:numId w:val="321"/>
        </w:numPr>
        <w:tabs>
          <w:tab w:val="left" w:pos="1077"/>
        </w:tabs>
        <w:suppressAutoHyphens w:val="0"/>
        <w:spacing w:before="120" w:after="120" w:line="259" w:lineRule="auto"/>
        <w:ind w:left="0" w:firstLine="601"/>
        <w:jc w:val="both"/>
        <w:outlineLvl w:val="1"/>
        <w:rPr>
          <w:rFonts w:ascii="Garamond" w:eastAsia="Calibri" w:hAnsi="Garamond" w:cs="Times New Roman"/>
          <w:bCs/>
          <w:sz w:val="22"/>
          <w:szCs w:val="22"/>
          <w:lang w:eastAsia="en-US"/>
        </w:rPr>
      </w:pPr>
      <w:r w:rsidRPr="001043A6">
        <w:rPr>
          <w:rFonts w:ascii="Garamond" w:eastAsia="Calibri" w:hAnsi="Garamond" w:cs="Times New Roman"/>
          <w:bCs/>
          <w:sz w:val="22"/>
          <w:szCs w:val="22"/>
          <w:lang w:eastAsia="en-US"/>
        </w:rPr>
        <w:t>Однолинейная схема присоединения к внешним электрическим сетям представляет собой однолинейную схему присоединения электрооборудования (энергопринимающих устройств и (при наличии) связанных с ними объектов по производству электрической энергии и (или) системы накопления электрической энергии), входящего в состав объекта регулирования потребления электрической энергии, к внешним электрическим сетям.</w:t>
      </w:r>
    </w:p>
    <w:p w14:paraId="4167BAD9" w14:textId="77777777" w:rsidR="001333B2" w:rsidRPr="001043A6" w:rsidRDefault="001333B2" w:rsidP="001043A6">
      <w:pPr>
        <w:widowControl w:val="0"/>
        <w:tabs>
          <w:tab w:val="left" w:pos="1077"/>
        </w:tabs>
        <w:suppressAutoHyphens w:val="0"/>
        <w:spacing w:before="120" w:after="120"/>
        <w:ind w:firstLine="601"/>
        <w:jc w:val="both"/>
        <w:rPr>
          <w:rFonts w:ascii="Garamond" w:eastAsia="Calibri" w:hAnsi="Garamond" w:cs="Times New Roman"/>
          <w:bCs/>
          <w:sz w:val="22"/>
          <w:szCs w:val="22"/>
          <w:lang w:eastAsia="en-US"/>
        </w:rPr>
      </w:pPr>
      <w:r w:rsidRPr="001043A6">
        <w:rPr>
          <w:rFonts w:ascii="Garamond" w:eastAsia="Calibri" w:hAnsi="Garamond" w:cs="Times New Roman"/>
          <w:bCs/>
          <w:sz w:val="22"/>
          <w:szCs w:val="22"/>
          <w:lang w:eastAsia="en-US"/>
        </w:rPr>
        <w:t>Однолинейная схема заверяется подписью уполномоченного представителя заявителя с указанием расшифровки подписи, даты подписи и по усмотрению заявителя печатью заявителя, подписью уполномоченного представителя собственника или иного законного владельца энергопринимающих устройств и (при наличии) связанных с ними объектов по производству электрической энергии и (или) систем накопления электрической энергии, в отношении которых заявитель намерен зарегистрировать объект регулирования потребления электрической энергии, с указанием расшифровки подписи, даты подписи и по усмотрению владельца его печатью, а также подписью уполномоченного представителя собственника или иного законного владельца энергопринимающих устройств (объектов по производству электрической энергии, объектов электросетевого хозяйства), которые являются смежными с собственниками или иными законными владельцами энергопринимающих устройств и (при наличии) связанных с ними объектов по производству электрической энергии и (или) системы накопления электрической энергии, в отношении которых заявитель намерен зарегистрировать объект регулирования потребления электрической энергии, с указанием расшифровки подписи, даты подписи и по усмотрению смежного владельца его печатью.</w:t>
      </w:r>
    </w:p>
    <w:p w14:paraId="4377EBE0" w14:textId="77777777" w:rsidR="001333B2" w:rsidRPr="001043A6" w:rsidRDefault="001333B2" w:rsidP="001043A6">
      <w:pPr>
        <w:widowControl w:val="0"/>
        <w:tabs>
          <w:tab w:val="left" w:pos="1077"/>
        </w:tabs>
        <w:suppressAutoHyphens w:val="0"/>
        <w:spacing w:before="120" w:after="120"/>
        <w:ind w:firstLine="601"/>
        <w:jc w:val="both"/>
        <w:rPr>
          <w:rFonts w:ascii="Garamond" w:eastAsia="Calibri" w:hAnsi="Garamond" w:cs="Times New Roman"/>
          <w:bCs/>
          <w:sz w:val="22"/>
          <w:szCs w:val="22"/>
          <w:lang w:eastAsia="en-US"/>
        </w:rPr>
      </w:pPr>
      <w:r w:rsidRPr="001043A6">
        <w:rPr>
          <w:rFonts w:ascii="Garamond" w:eastAsia="Calibri" w:hAnsi="Garamond" w:cs="Times New Roman"/>
          <w:bCs/>
          <w:sz w:val="22"/>
          <w:szCs w:val="22"/>
          <w:lang w:eastAsia="en-US"/>
        </w:rPr>
        <w:t>Однолинейная схема считается согласованной собственником или иным законным владельцем энергопринимающих устройств (объектов по производству электрической энергии, объектов электросетевого хозяйства), который является смежным с собственником или иными законным владельцем энергопринимающих устройств и (при наличии) связанных с ними объектов по производству электрической энергии и (или) системы накопления электрической энергии, в отношении которых заявитель намерен зарегистрировать объект регулирования потребления электрической энергии, если:</w:t>
      </w:r>
    </w:p>
    <w:p w14:paraId="6AA0D06E" w14:textId="77777777" w:rsidR="001333B2" w:rsidRPr="001043A6" w:rsidRDefault="001333B2" w:rsidP="001043A6">
      <w:pPr>
        <w:widowControl w:val="0"/>
        <w:numPr>
          <w:ilvl w:val="0"/>
          <w:numId w:val="322"/>
        </w:numPr>
        <w:tabs>
          <w:tab w:val="left" w:pos="851"/>
          <w:tab w:val="left" w:pos="1077"/>
        </w:tabs>
        <w:suppressAutoHyphens w:val="0"/>
        <w:spacing w:before="120" w:after="120" w:line="259" w:lineRule="auto"/>
        <w:ind w:left="0" w:firstLine="601"/>
        <w:jc w:val="both"/>
        <w:rPr>
          <w:rFonts w:ascii="Garamond" w:eastAsia="Calibri" w:hAnsi="Garamond" w:cs="Times New Roman"/>
          <w:bCs/>
          <w:sz w:val="22"/>
          <w:szCs w:val="22"/>
          <w:lang w:eastAsia="en-US"/>
        </w:rPr>
      </w:pPr>
      <w:r w:rsidRPr="001043A6">
        <w:rPr>
          <w:rFonts w:ascii="Garamond" w:eastAsia="Calibri" w:hAnsi="Garamond" w:cs="Times New Roman"/>
          <w:bCs/>
          <w:sz w:val="22"/>
          <w:szCs w:val="22"/>
          <w:lang w:eastAsia="en-US"/>
        </w:rPr>
        <w:t>однолинейная схема присоединения к внешним электрическим сетям направлена заявителем либо собственником или иным законным владельцем, интересы которого представляет заявитель, смежному собственнику или иному законному владельцу в виде почтового отправления с описью вложения и уведомлением о вручении либо любым другим способом доставки корреспонденции с обязательной отметкой о вручении;</w:t>
      </w:r>
    </w:p>
    <w:p w14:paraId="366906EB" w14:textId="77777777" w:rsidR="001333B2" w:rsidRPr="001043A6" w:rsidRDefault="001333B2" w:rsidP="001043A6">
      <w:pPr>
        <w:widowControl w:val="0"/>
        <w:numPr>
          <w:ilvl w:val="0"/>
          <w:numId w:val="322"/>
        </w:numPr>
        <w:tabs>
          <w:tab w:val="left" w:pos="851"/>
          <w:tab w:val="left" w:pos="1077"/>
        </w:tabs>
        <w:suppressAutoHyphens w:val="0"/>
        <w:spacing w:before="120" w:after="120" w:line="259" w:lineRule="auto"/>
        <w:ind w:left="0" w:firstLine="601"/>
        <w:jc w:val="both"/>
        <w:rPr>
          <w:rFonts w:ascii="Garamond" w:eastAsia="Calibri" w:hAnsi="Garamond" w:cs="Times New Roman"/>
          <w:bCs/>
          <w:sz w:val="22"/>
          <w:szCs w:val="22"/>
          <w:lang w:eastAsia="en-US"/>
        </w:rPr>
      </w:pPr>
      <w:r w:rsidRPr="001043A6">
        <w:rPr>
          <w:rFonts w:ascii="Garamond" w:eastAsia="Calibri" w:hAnsi="Garamond" w:cs="Times New Roman"/>
          <w:bCs/>
          <w:sz w:val="22"/>
          <w:szCs w:val="22"/>
          <w:lang w:eastAsia="en-US"/>
        </w:rPr>
        <w:t>в течение 30 (тридцати) календарных дней с даты направления смежному собственнику или иному законному владельцу однолинейной схемы присоединения к внешней электрической сети от него не получен ответ;</w:t>
      </w:r>
    </w:p>
    <w:p w14:paraId="763B41FB" w14:textId="77777777" w:rsidR="001333B2" w:rsidRPr="001043A6" w:rsidRDefault="001333B2" w:rsidP="001043A6">
      <w:pPr>
        <w:widowControl w:val="0"/>
        <w:numPr>
          <w:ilvl w:val="0"/>
          <w:numId w:val="322"/>
        </w:numPr>
        <w:tabs>
          <w:tab w:val="left" w:pos="851"/>
          <w:tab w:val="left" w:pos="1077"/>
        </w:tabs>
        <w:suppressAutoHyphens w:val="0"/>
        <w:spacing w:before="120" w:after="120" w:line="259" w:lineRule="auto"/>
        <w:ind w:left="0" w:firstLine="601"/>
        <w:jc w:val="both"/>
        <w:rPr>
          <w:rFonts w:ascii="Garamond" w:eastAsia="Calibri" w:hAnsi="Garamond" w:cs="Times New Roman"/>
          <w:bCs/>
          <w:sz w:val="22"/>
          <w:szCs w:val="22"/>
          <w:lang w:eastAsia="en-US"/>
        </w:rPr>
      </w:pPr>
      <w:r w:rsidRPr="001043A6">
        <w:rPr>
          <w:rFonts w:ascii="Garamond" w:eastAsia="Calibri" w:hAnsi="Garamond" w:cs="Times New Roman"/>
          <w:bCs/>
          <w:sz w:val="22"/>
          <w:szCs w:val="22"/>
          <w:lang w:eastAsia="en-US"/>
        </w:rPr>
        <w:t>заявителем подана жалоба на указанные выше действия (бездействие) смежного собственника или иного законного владельца в Конфликтную комиссию при Наблюдательном совете Совета рынка. Ответственность за недостоверность однолинейной схемы присоединения к внешней электрической сети несет заявитель;</w:t>
      </w:r>
    </w:p>
    <w:p w14:paraId="5A5F2781" w14:textId="5027070C" w:rsidR="001333B2" w:rsidRPr="001043A6" w:rsidRDefault="001333B2" w:rsidP="001043A6">
      <w:pPr>
        <w:widowControl w:val="0"/>
        <w:numPr>
          <w:ilvl w:val="0"/>
          <w:numId w:val="322"/>
        </w:numPr>
        <w:tabs>
          <w:tab w:val="left" w:pos="851"/>
          <w:tab w:val="left" w:pos="1077"/>
        </w:tabs>
        <w:suppressAutoHyphens w:val="0"/>
        <w:spacing w:before="120" w:after="120" w:line="259" w:lineRule="auto"/>
        <w:ind w:left="0" w:firstLine="601"/>
        <w:jc w:val="both"/>
        <w:rPr>
          <w:rFonts w:ascii="Garamond" w:eastAsia="Calibri" w:hAnsi="Garamond" w:cs="Times New Roman"/>
          <w:bCs/>
          <w:sz w:val="22"/>
          <w:szCs w:val="22"/>
          <w:lang w:eastAsia="en-US"/>
        </w:rPr>
      </w:pPr>
      <w:r w:rsidRPr="001043A6">
        <w:rPr>
          <w:rFonts w:ascii="Garamond" w:eastAsia="Calibri" w:hAnsi="Garamond" w:cs="Times New Roman"/>
          <w:bCs/>
          <w:sz w:val="22"/>
          <w:szCs w:val="22"/>
          <w:lang w:eastAsia="en-US"/>
        </w:rPr>
        <w:t>указанные выше действия (бездействие) смежного собственника или иного законного владельца решением Конфликтной комиссии при Наблюдательном совете Совета рынка признаны не обоснованными</w:t>
      </w:r>
      <w:r w:rsidR="00055642">
        <w:rPr>
          <w:rFonts w:ascii="Garamond" w:eastAsia="Calibri" w:hAnsi="Garamond" w:cs="Times New Roman"/>
          <w:bCs/>
          <w:sz w:val="22"/>
          <w:szCs w:val="22"/>
          <w:lang w:eastAsia="en-US"/>
        </w:rPr>
        <w:t xml:space="preserve"> </w:t>
      </w:r>
      <w:r w:rsidRPr="001043A6">
        <w:rPr>
          <w:rFonts w:ascii="Garamond" w:eastAsia="Calibri" w:hAnsi="Garamond" w:cs="Times New Roman"/>
          <w:bCs/>
          <w:sz w:val="22"/>
          <w:szCs w:val="22"/>
          <w:lang w:eastAsia="en-US"/>
        </w:rPr>
        <w:t xml:space="preserve">и не соответствующими Правилам оптового рынка, а также препятствующими доступу заявителя к услугам коммерческого оператора оптового рынка по организации оптовой торговли </w:t>
      </w:r>
      <w:r w:rsidRPr="001043A6">
        <w:rPr>
          <w:rFonts w:ascii="Garamond" w:eastAsia="Calibri" w:hAnsi="Garamond" w:cs="Times New Roman"/>
          <w:bCs/>
          <w:sz w:val="22"/>
          <w:szCs w:val="22"/>
          <w:lang w:eastAsia="en-US"/>
        </w:rPr>
        <w:lastRenderedPageBreak/>
        <w:t>электрической энергией, мощностью и иными допущенными к обращению на оптовом рынке товарами и услугами.</w:t>
      </w:r>
    </w:p>
    <w:p w14:paraId="0F7B5A4E" w14:textId="77777777" w:rsidR="001333B2" w:rsidRPr="001043A6" w:rsidRDefault="001333B2" w:rsidP="001043A6">
      <w:pPr>
        <w:widowControl w:val="0"/>
        <w:numPr>
          <w:ilvl w:val="1"/>
          <w:numId w:val="321"/>
        </w:numPr>
        <w:tabs>
          <w:tab w:val="left" w:pos="1077"/>
        </w:tabs>
        <w:suppressAutoHyphens w:val="0"/>
        <w:spacing w:before="120" w:after="120" w:line="259" w:lineRule="auto"/>
        <w:ind w:left="0" w:firstLine="601"/>
        <w:jc w:val="both"/>
        <w:outlineLvl w:val="1"/>
        <w:rPr>
          <w:rFonts w:ascii="Garamond" w:eastAsia="Calibri" w:hAnsi="Garamond" w:cs="Times New Roman"/>
          <w:bCs/>
          <w:sz w:val="22"/>
          <w:szCs w:val="22"/>
          <w:lang w:eastAsia="en-US"/>
        </w:rPr>
      </w:pPr>
      <w:r w:rsidRPr="001043A6">
        <w:rPr>
          <w:rFonts w:ascii="Garamond" w:eastAsia="Calibri" w:hAnsi="Garamond" w:cs="Times New Roman"/>
          <w:bCs/>
          <w:sz w:val="22"/>
          <w:szCs w:val="22"/>
          <w:lang w:eastAsia="en-US"/>
        </w:rPr>
        <w:t>На однолинейной схеме должно быть указано сокращенное наименование заявителя и наименование объекта регулирования (указывается в скобках).</w:t>
      </w:r>
    </w:p>
    <w:p w14:paraId="0A441F08" w14:textId="77777777" w:rsidR="001333B2" w:rsidRPr="001043A6" w:rsidRDefault="001333B2" w:rsidP="001043A6">
      <w:pPr>
        <w:widowControl w:val="0"/>
        <w:numPr>
          <w:ilvl w:val="1"/>
          <w:numId w:val="321"/>
        </w:numPr>
        <w:tabs>
          <w:tab w:val="left" w:pos="1077"/>
        </w:tabs>
        <w:suppressAutoHyphens w:val="0"/>
        <w:spacing w:before="120" w:after="120" w:line="259" w:lineRule="auto"/>
        <w:ind w:left="0" w:firstLine="601"/>
        <w:jc w:val="both"/>
        <w:outlineLvl w:val="1"/>
        <w:rPr>
          <w:rFonts w:ascii="Garamond" w:eastAsia="Calibri" w:hAnsi="Garamond" w:cs="Times New Roman"/>
          <w:bCs/>
          <w:sz w:val="22"/>
          <w:szCs w:val="22"/>
          <w:lang w:eastAsia="en-US"/>
        </w:rPr>
      </w:pPr>
      <w:r w:rsidRPr="001043A6">
        <w:rPr>
          <w:rFonts w:ascii="Garamond" w:eastAsia="Calibri" w:hAnsi="Garamond" w:cs="Times New Roman"/>
          <w:bCs/>
          <w:sz w:val="22"/>
          <w:szCs w:val="22"/>
          <w:lang w:eastAsia="en-US"/>
        </w:rPr>
        <w:t>Однолинейная схема выполняется на листах формата А3, при этом допустимо использование формата А4.</w:t>
      </w:r>
    </w:p>
    <w:p w14:paraId="72672E53" w14:textId="77777777" w:rsidR="001333B2" w:rsidRPr="001043A6" w:rsidRDefault="001333B2" w:rsidP="001043A6">
      <w:pPr>
        <w:widowControl w:val="0"/>
        <w:numPr>
          <w:ilvl w:val="1"/>
          <w:numId w:val="321"/>
        </w:numPr>
        <w:tabs>
          <w:tab w:val="left" w:pos="1077"/>
        </w:tabs>
        <w:suppressAutoHyphens w:val="0"/>
        <w:spacing w:before="120" w:after="120" w:line="259" w:lineRule="auto"/>
        <w:ind w:left="0" w:firstLine="601"/>
        <w:jc w:val="both"/>
        <w:outlineLvl w:val="1"/>
        <w:rPr>
          <w:rFonts w:ascii="Garamond" w:eastAsia="Calibri" w:hAnsi="Garamond" w:cs="Times New Roman"/>
          <w:bCs/>
          <w:sz w:val="22"/>
          <w:szCs w:val="22"/>
          <w:lang w:eastAsia="en-US"/>
        </w:rPr>
      </w:pPr>
      <w:r w:rsidRPr="001043A6">
        <w:rPr>
          <w:rFonts w:ascii="Garamond" w:eastAsia="Calibri" w:hAnsi="Garamond" w:cs="Times New Roman"/>
          <w:bCs/>
          <w:sz w:val="22"/>
          <w:szCs w:val="22"/>
          <w:lang w:eastAsia="en-US"/>
        </w:rPr>
        <w:t>Однолинейная схема предоставляется одним файлом.</w:t>
      </w:r>
    </w:p>
    <w:p w14:paraId="7B691DBC" w14:textId="77777777" w:rsidR="001333B2" w:rsidRPr="001043A6" w:rsidRDefault="001333B2" w:rsidP="001043A6">
      <w:pPr>
        <w:widowControl w:val="0"/>
        <w:numPr>
          <w:ilvl w:val="1"/>
          <w:numId w:val="321"/>
        </w:numPr>
        <w:tabs>
          <w:tab w:val="left" w:pos="1077"/>
        </w:tabs>
        <w:suppressAutoHyphens w:val="0"/>
        <w:spacing w:before="120" w:after="120" w:line="259" w:lineRule="auto"/>
        <w:ind w:left="0" w:firstLine="601"/>
        <w:jc w:val="both"/>
        <w:outlineLvl w:val="1"/>
        <w:rPr>
          <w:rFonts w:ascii="Garamond" w:eastAsia="Calibri" w:hAnsi="Garamond" w:cs="Times New Roman"/>
          <w:bCs/>
          <w:sz w:val="22"/>
          <w:szCs w:val="22"/>
          <w:lang w:eastAsia="en-US"/>
        </w:rPr>
      </w:pPr>
      <w:r w:rsidRPr="001043A6">
        <w:rPr>
          <w:rFonts w:ascii="Garamond" w:eastAsia="Calibri" w:hAnsi="Garamond" w:cs="Times New Roman"/>
          <w:bCs/>
          <w:sz w:val="22"/>
          <w:szCs w:val="22"/>
          <w:lang w:eastAsia="en-US"/>
        </w:rPr>
        <w:t>Элементы схем выполняются в соответствии со стандартами ЕСКД.</w:t>
      </w:r>
    </w:p>
    <w:p w14:paraId="0AA6B19B" w14:textId="77777777" w:rsidR="001333B2" w:rsidRPr="001043A6" w:rsidRDefault="001333B2" w:rsidP="001043A6">
      <w:pPr>
        <w:widowControl w:val="0"/>
        <w:numPr>
          <w:ilvl w:val="1"/>
          <w:numId w:val="321"/>
        </w:numPr>
        <w:tabs>
          <w:tab w:val="left" w:pos="1077"/>
        </w:tabs>
        <w:suppressAutoHyphens w:val="0"/>
        <w:spacing w:before="120" w:after="120" w:line="259" w:lineRule="auto"/>
        <w:ind w:left="0" w:firstLine="601"/>
        <w:jc w:val="both"/>
        <w:outlineLvl w:val="1"/>
        <w:rPr>
          <w:rFonts w:ascii="Garamond" w:eastAsia="Calibri" w:hAnsi="Garamond" w:cs="Times New Roman"/>
          <w:bCs/>
          <w:sz w:val="22"/>
          <w:szCs w:val="22"/>
          <w:lang w:eastAsia="en-US"/>
        </w:rPr>
      </w:pPr>
      <w:r w:rsidRPr="001043A6">
        <w:rPr>
          <w:rFonts w:ascii="Garamond" w:eastAsia="Calibri" w:hAnsi="Garamond" w:cs="Times New Roman"/>
          <w:bCs/>
          <w:sz w:val="22"/>
          <w:szCs w:val="22"/>
          <w:lang w:eastAsia="en-US"/>
        </w:rPr>
        <w:t>На каждом листе схемы рекомендуется отображать не более 25 точек присоединения объекта регулирования потребления электрической энергии к внешним электрическим сетям. В случае большого количества точек присоединений схему следует разделить на несколько листов. При разделении схемы на несколько листов необходимо отобразить нумерацию листов и связи между электрооборудованием указанием ссылок между различными листами схемы.</w:t>
      </w:r>
    </w:p>
    <w:p w14:paraId="37F847F9" w14:textId="77777777" w:rsidR="001333B2" w:rsidRPr="001043A6" w:rsidRDefault="001333B2" w:rsidP="001043A6">
      <w:pPr>
        <w:widowControl w:val="0"/>
        <w:numPr>
          <w:ilvl w:val="1"/>
          <w:numId w:val="321"/>
        </w:numPr>
        <w:tabs>
          <w:tab w:val="left" w:pos="1077"/>
        </w:tabs>
        <w:suppressAutoHyphens w:val="0"/>
        <w:spacing w:before="120" w:after="120" w:line="259" w:lineRule="auto"/>
        <w:ind w:left="0" w:firstLine="601"/>
        <w:jc w:val="both"/>
        <w:outlineLvl w:val="1"/>
        <w:rPr>
          <w:rFonts w:ascii="Garamond" w:eastAsia="Calibri" w:hAnsi="Garamond" w:cs="Times New Roman"/>
          <w:bCs/>
          <w:sz w:val="22"/>
          <w:szCs w:val="22"/>
          <w:lang w:eastAsia="en-US"/>
        </w:rPr>
      </w:pPr>
      <w:r w:rsidRPr="001043A6">
        <w:rPr>
          <w:rFonts w:ascii="Garamond" w:eastAsia="Calibri" w:hAnsi="Garamond" w:cs="Times New Roman"/>
          <w:bCs/>
          <w:sz w:val="22"/>
          <w:szCs w:val="22"/>
          <w:lang w:eastAsia="en-US"/>
        </w:rPr>
        <w:t>На однолинейной схеме должны быть изображены:</w:t>
      </w:r>
    </w:p>
    <w:p w14:paraId="4AEDEBEE" w14:textId="77777777" w:rsidR="001333B2" w:rsidRPr="001043A6" w:rsidRDefault="001333B2" w:rsidP="001043A6">
      <w:pPr>
        <w:widowControl w:val="0"/>
        <w:numPr>
          <w:ilvl w:val="0"/>
          <w:numId w:val="323"/>
        </w:numPr>
        <w:tabs>
          <w:tab w:val="left" w:pos="851"/>
          <w:tab w:val="left" w:pos="1077"/>
        </w:tabs>
        <w:suppressAutoHyphens w:val="0"/>
        <w:spacing w:before="120" w:after="120" w:line="259" w:lineRule="auto"/>
        <w:ind w:left="0" w:firstLine="601"/>
        <w:jc w:val="both"/>
        <w:rPr>
          <w:rFonts w:ascii="Garamond" w:eastAsia="Calibri" w:hAnsi="Garamond" w:cs="Times New Roman"/>
          <w:bCs/>
          <w:sz w:val="22"/>
          <w:szCs w:val="22"/>
          <w:lang w:eastAsia="en-US"/>
        </w:rPr>
      </w:pPr>
      <w:r w:rsidRPr="001043A6">
        <w:rPr>
          <w:rFonts w:ascii="Garamond" w:eastAsia="Calibri" w:hAnsi="Garamond" w:cs="Times New Roman"/>
          <w:bCs/>
          <w:sz w:val="22"/>
          <w:szCs w:val="22"/>
          <w:lang w:eastAsia="en-US"/>
        </w:rPr>
        <w:t>источники питания (внешние подстанции) электрооборудования (энергопринимающих устройств и (при наличии) связанных с ними объектов по производству электрической энергии и (или) системы накопления электрической энергии), входящего в состав объекта регулирования потребления электрической энергии, в соответствии с документами о технологическом присоединении электрооборудования к электрическим сетям;</w:t>
      </w:r>
    </w:p>
    <w:p w14:paraId="2480E673" w14:textId="77777777" w:rsidR="001333B2" w:rsidRPr="001043A6" w:rsidRDefault="001333B2" w:rsidP="001043A6">
      <w:pPr>
        <w:widowControl w:val="0"/>
        <w:numPr>
          <w:ilvl w:val="0"/>
          <w:numId w:val="323"/>
        </w:numPr>
        <w:tabs>
          <w:tab w:val="left" w:pos="851"/>
          <w:tab w:val="left" w:pos="1077"/>
        </w:tabs>
        <w:suppressAutoHyphens w:val="0"/>
        <w:spacing w:before="120" w:after="120" w:line="259" w:lineRule="auto"/>
        <w:ind w:left="0" w:firstLine="601"/>
        <w:jc w:val="both"/>
        <w:rPr>
          <w:rFonts w:ascii="Garamond" w:eastAsia="Calibri" w:hAnsi="Garamond" w:cs="Times New Roman"/>
          <w:bCs/>
          <w:sz w:val="22"/>
          <w:szCs w:val="22"/>
          <w:lang w:eastAsia="en-US"/>
        </w:rPr>
      </w:pPr>
      <w:r w:rsidRPr="001043A6">
        <w:rPr>
          <w:rFonts w:ascii="Garamond" w:eastAsia="Calibri" w:hAnsi="Garamond" w:cs="Times New Roman"/>
          <w:bCs/>
          <w:sz w:val="22"/>
          <w:szCs w:val="22"/>
          <w:lang w:eastAsia="en-US"/>
        </w:rPr>
        <w:t>силовые элементы электрооборудования (энергопринимающих устройств и (при наличии) связанных с ними объектов по производству электрической энергии и (или) системы накопления электрической энергии), входящего в состав объекта регулирования потребления электрической энергии;</w:t>
      </w:r>
    </w:p>
    <w:p w14:paraId="00158D38" w14:textId="77777777" w:rsidR="001333B2" w:rsidRPr="001043A6" w:rsidRDefault="001333B2" w:rsidP="001043A6">
      <w:pPr>
        <w:widowControl w:val="0"/>
        <w:numPr>
          <w:ilvl w:val="0"/>
          <w:numId w:val="323"/>
        </w:numPr>
        <w:tabs>
          <w:tab w:val="left" w:pos="851"/>
          <w:tab w:val="left" w:pos="1077"/>
        </w:tabs>
        <w:suppressAutoHyphens w:val="0"/>
        <w:spacing w:before="120" w:after="120" w:line="259" w:lineRule="auto"/>
        <w:ind w:left="0" w:firstLine="601"/>
        <w:jc w:val="both"/>
        <w:rPr>
          <w:rFonts w:ascii="Garamond" w:eastAsia="Calibri" w:hAnsi="Garamond" w:cs="Times New Roman"/>
          <w:bCs/>
          <w:sz w:val="22"/>
          <w:szCs w:val="22"/>
          <w:lang w:eastAsia="en-US"/>
        </w:rPr>
      </w:pPr>
      <w:r w:rsidRPr="001043A6">
        <w:rPr>
          <w:rFonts w:ascii="Garamond" w:eastAsia="Calibri" w:hAnsi="Garamond" w:cs="Times New Roman"/>
          <w:bCs/>
          <w:sz w:val="22"/>
          <w:szCs w:val="22"/>
          <w:lang w:eastAsia="en-US"/>
        </w:rPr>
        <w:t>граничные элементы присоединений (оборудования объектов электроэнергетики), между которыми или на которых организованы точки присоединения объекта регулирования потребления электрической энергии;</w:t>
      </w:r>
    </w:p>
    <w:p w14:paraId="55D73CBD" w14:textId="77777777" w:rsidR="001333B2" w:rsidRPr="001043A6" w:rsidRDefault="001333B2" w:rsidP="001043A6">
      <w:pPr>
        <w:widowControl w:val="0"/>
        <w:numPr>
          <w:ilvl w:val="0"/>
          <w:numId w:val="323"/>
        </w:numPr>
        <w:tabs>
          <w:tab w:val="left" w:pos="851"/>
          <w:tab w:val="left" w:pos="1077"/>
        </w:tabs>
        <w:suppressAutoHyphens w:val="0"/>
        <w:spacing w:before="120" w:after="120" w:line="259" w:lineRule="auto"/>
        <w:ind w:left="0" w:firstLine="601"/>
        <w:jc w:val="both"/>
        <w:rPr>
          <w:rFonts w:ascii="Garamond" w:eastAsia="Calibri" w:hAnsi="Garamond" w:cs="Times New Roman"/>
          <w:bCs/>
          <w:sz w:val="22"/>
          <w:szCs w:val="22"/>
          <w:lang w:eastAsia="en-US"/>
        </w:rPr>
      </w:pPr>
      <w:r w:rsidRPr="001043A6">
        <w:rPr>
          <w:rFonts w:ascii="Garamond" w:eastAsia="Calibri" w:hAnsi="Garamond" w:cs="Times New Roman"/>
          <w:bCs/>
          <w:sz w:val="22"/>
          <w:szCs w:val="22"/>
          <w:lang w:eastAsia="en-US"/>
        </w:rPr>
        <w:t>номинальные значения напряжения систем шин внешних подстанций;</w:t>
      </w:r>
    </w:p>
    <w:p w14:paraId="3D41FC9F" w14:textId="77777777" w:rsidR="001333B2" w:rsidRPr="001043A6" w:rsidRDefault="001333B2" w:rsidP="001043A6">
      <w:pPr>
        <w:widowControl w:val="0"/>
        <w:numPr>
          <w:ilvl w:val="0"/>
          <w:numId w:val="323"/>
        </w:numPr>
        <w:tabs>
          <w:tab w:val="left" w:pos="851"/>
          <w:tab w:val="left" w:pos="1077"/>
        </w:tabs>
        <w:suppressAutoHyphens w:val="0"/>
        <w:spacing w:before="120" w:after="120" w:line="259" w:lineRule="auto"/>
        <w:ind w:left="0" w:firstLine="601"/>
        <w:jc w:val="both"/>
        <w:rPr>
          <w:rFonts w:ascii="Garamond" w:eastAsia="Calibri" w:hAnsi="Garamond" w:cs="Times New Roman"/>
          <w:bCs/>
          <w:sz w:val="22"/>
          <w:szCs w:val="22"/>
          <w:lang w:eastAsia="en-US"/>
        </w:rPr>
      </w:pPr>
      <w:r w:rsidRPr="001043A6">
        <w:rPr>
          <w:rFonts w:ascii="Garamond" w:eastAsia="Calibri" w:hAnsi="Garamond" w:cs="Times New Roman"/>
          <w:bCs/>
          <w:sz w:val="22"/>
          <w:szCs w:val="22"/>
          <w:lang w:eastAsia="en-US"/>
        </w:rPr>
        <w:t>диспетчерские наименования подстанций, переключательных пунктов, распределительных пунктов и иных типов объектов электроэнергетики (с указанием всех классов напряжения);</w:t>
      </w:r>
    </w:p>
    <w:p w14:paraId="27853EB3" w14:textId="77777777" w:rsidR="001333B2" w:rsidRPr="001043A6" w:rsidRDefault="001333B2" w:rsidP="001043A6">
      <w:pPr>
        <w:widowControl w:val="0"/>
        <w:numPr>
          <w:ilvl w:val="0"/>
          <w:numId w:val="323"/>
        </w:numPr>
        <w:tabs>
          <w:tab w:val="left" w:pos="851"/>
          <w:tab w:val="left" w:pos="1077"/>
        </w:tabs>
        <w:suppressAutoHyphens w:val="0"/>
        <w:spacing w:before="120" w:after="120" w:line="259" w:lineRule="auto"/>
        <w:ind w:left="0" w:firstLine="601"/>
        <w:jc w:val="both"/>
        <w:rPr>
          <w:rFonts w:ascii="Garamond" w:eastAsia="Calibri" w:hAnsi="Garamond" w:cs="Times New Roman"/>
          <w:bCs/>
          <w:sz w:val="22"/>
          <w:szCs w:val="22"/>
          <w:lang w:eastAsia="en-US"/>
        </w:rPr>
      </w:pPr>
      <w:r w:rsidRPr="001043A6">
        <w:rPr>
          <w:rFonts w:ascii="Garamond" w:eastAsia="Calibri" w:hAnsi="Garamond" w:cs="Times New Roman"/>
          <w:bCs/>
          <w:sz w:val="22"/>
          <w:szCs w:val="22"/>
          <w:lang w:eastAsia="en-US"/>
        </w:rPr>
        <w:t>диспетчерские наименования электростанций (объектов по производству электрической энергии) (допускается не указывать классы напряжения);</w:t>
      </w:r>
    </w:p>
    <w:p w14:paraId="3DC311D3" w14:textId="77777777" w:rsidR="001333B2" w:rsidRPr="001043A6" w:rsidRDefault="001333B2" w:rsidP="001043A6">
      <w:pPr>
        <w:widowControl w:val="0"/>
        <w:numPr>
          <w:ilvl w:val="0"/>
          <w:numId w:val="323"/>
        </w:numPr>
        <w:tabs>
          <w:tab w:val="left" w:pos="851"/>
          <w:tab w:val="left" w:pos="1077"/>
        </w:tabs>
        <w:suppressAutoHyphens w:val="0"/>
        <w:spacing w:before="120" w:after="120" w:line="259" w:lineRule="auto"/>
        <w:ind w:left="0" w:firstLine="601"/>
        <w:jc w:val="both"/>
        <w:rPr>
          <w:rFonts w:ascii="Garamond" w:eastAsia="Calibri" w:hAnsi="Garamond" w:cs="Times New Roman"/>
          <w:bCs/>
          <w:sz w:val="22"/>
          <w:szCs w:val="22"/>
          <w:lang w:eastAsia="en-US"/>
        </w:rPr>
      </w:pPr>
      <w:r w:rsidRPr="001043A6">
        <w:rPr>
          <w:rFonts w:ascii="Garamond" w:eastAsia="Calibri" w:hAnsi="Garamond" w:cs="Times New Roman"/>
          <w:bCs/>
          <w:sz w:val="22"/>
          <w:szCs w:val="22"/>
          <w:lang w:eastAsia="en-US"/>
        </w:rPr>
        <w:t>диспетчерские наименования систем накопления электрической энергии;</w:t>
      </w:r>
    </w:p>
    <w:p w14:paraId="7F8F9959" w14:textId="77777777" w:rsidR="001333B2" w:rsidRPr="001043A6" w:rsidRDefault="001333B2" w:rsidP="001043A6">
      <w:pPr>
        <w:widowControl w:val="0"/>
        <w:numPr>
          <w:ilvl w:val="0"/>
          <w:numId w:val="323"/>
        </w:numPr>
        <w:tabs>
          <w:tab w:val="left" w:pos="851"/>
          <w:tab w:val="left" w:pos="1077"/>
        </w:tabs>
        <w:suppressAutoHyphens w:val="0"/>
        <w:spacing w:before="120" w:after="120" w:line="259" w:lineRule="auto"/>
        <w:ind w:left="0" w:firstLine="601"/>
        <w:jc w:val="both"/>
        <w:rPr>
          <w:rFonts w:ascii="Garamond" w:eastAsia="Calibri" w:hAnsi="Garamond" w:cs="Times New Roman"/>
          <w:bCs/>
          <w:sz w:val="22"/>
          <w:szCs w:val="22"/>
          <w:lang w:eastAsia="en-US"/>
        </w:rPr>
      </w:pPr>
      <w:r w:rsidRPr="001043A6">
        <w:rPr>
          <w:rFonts w:ascii="Garamond" w:eastAsia="Calibri" w:hAnsi="Garamond" w:cs="Times New Roman"/>
          <w:bCs/>
          <w:sz w:val="22"/>
          <w:szCs w:val="22"/>
          <w:lang w:eastAsia="en-US"/>
        </w:rPr>
        <w:t>диспетчерские наименования оборудования объектов электроэнергетики (указываются диспетчерские наименования силовых трансформаторов, генераторов, распределительных устройств, секций и систем шин, обходных выключателей);</w:t>
      </w:r>
    </w:p>
    <w:p w14:paraId="42FAF965" w14:textId="77777777" w:rsidR="001333B2" w:rsidRPr="001043A6" w:rsidRDefault="001333B2" w:rsidP="001043A6">
      <w:pPr>
        <w:widowControl w:val="0"/>
        <w:numPr>
          <w:ilvl w:val="0"/>
          <w:numId w:val="323"/>
        </w:numPr>
        <w:tabs>
          <w:tab w:val="left" w:pos="851"/>
          <w:tab w:val="left" w:pos="1077"/>
        </w:tabs>
        <w:suppressAutoHyphens w:val="0"/>
        <w:spacing w:before="120" w:after="120" w:line="259" w:lineRule="auto"/>
        <w:ind w:left="0" w:firstLine="601"/>
        <w:jc w:val="both"/>
        <w:rPr>
          <w:rFonts w:ascii="Garamond" w:eastAsia="Calibri" w:hAnsi="Garamond" w:cs="Times New Roman"/>
          <w:bCs/>
          <w:sz w:val="22"/>
          <w:szCs w:val="22"/>
          <w:lang w:eastAsia="en-US"/>
        </w:rPr>
      </w:pPr>
      <w:r w:rsidRPr="001043A6">
        <w:rPr>
          <w:rFonts w:ascii="Garamond" w:eastAsia="Calibri" w:hAnsi="Garamond" w:cs="Times New Roman"/>
          <w:bCs/>
          <w:sz w:val="22"/>
          <w:szCs w:val="22"/>
          <w:lang w:eastAsia="en-US"/>
        </w:rPr>
        <w:t>номера питающих ячеек (при их наличии) и диспетчерские наименования присоединений или тип присоединения (КЛ, ВЛ, КВЛ, фидер и т.п.), класс напряжения и наименование объекта энергоснабжения.</w:t>
      </w:r>
    </w:p>
    <w:p w14:paraId="313E8084" w14:textId="77777777" w:rsidR="001333B2" w:rsidRPr="001043A6" w:rsidRDefault="001333B2" w:rsidP="001043A6">
      <w:pPr>
        <w:widowControl w:val="0"/>
        <w:tabs>
          <w:tab w:val="left" w:pos="1077"/>
        </w:tabs>
        <w:suppressAutoHyphens w:val="0"/>
        <w:spacing w:before="120" w:after="120"/>
        <w:ind w:firstLine="601"/>
        <w:jc w:val="both"/>
        <w:rPr>
          <w:rFonts w:ascii="Garamond" w:eastAsia="Calibri" w:hAnsi="Garamond" w:cs="Times New Roman"/>
          <w:bCs/>
          <w:sz w:val="22"/>
          <w:szCs w:val="22"/>
          <w:lang w:eastAsia="en-US"/>
        </w:rPr>
      </w:pPr>
      <w:r w:rsidRPr="001043A6">
        <w:rPr>
          <w:rFonts w:ascii="Garamond" w:eastAsia="Calibri" w:hAnsi="Garamond" w:cs="Times New Roman"/>
          <w:bCs/>
          <w:sz w:val="22"/>
          <w:szCs w:val="22"/>
          <w:lang w:eastAsia="en-US"/>
        </w:rPr>
        <w:t>При отсутствии диспетчерского наименования электрооборудования на схеме указывается наименование, присвоенное собственником или иным законным владельцем электрооборудования (электроустановки), которое однозначно определяет данное оборудование или устройство в пределах объекта электроэнергетики.</w:t>
      </w:r>
    </w:p>
    <w:p w14:paraId="45D52636" w14:textId="77777777" w:rsidR="001333B2" w:rsidRPr="001043A6" w:rsidRDefault="001333B2" w:rsidP="001043A6">
      <w:pPr>
        <w:widowControl w:val="0"/>
        <w:numPr>
          <w:ilvl w:val="1"/>
          <w:numId w:val="321"/>
        </w:numPr>
        <w:tabs>
          <w:tab w:val="left" w:pos="1077"/>
        </w:tabs>
        <w:suppressAutoHyphens w:val="0"/>
        <w:spacing w:before="120" w:after="120" w:line="259" w:lineRule="auto"/>
        <w:ind w:left="0" w:firstLine="601"/>
        <w:jc w:val="both"/>
        <w:outlineLvl w:val="1"/>
        <w:rPr>
          <w:rFonts w:ascii="Garamond" w:eastAsia="Calibri" w:hAnsi="Garamond" w:cs="Times New Roman"/>
          <w:bCs/>
          <w:sz w:val="22"/>
          <w:szCs w:val="22"/>
          <w:lang w:eastAsia="en-US"/>
        </w:rPr>
      </w:pPr>
      <w:r w:rsidRPr="001043A6">
        <w:rPr>
          <w:rFonts w:ascii="Garamond" w:eastAsia="Calibri" w:hAnsi="Garamond" w:cs="Times New Roman"/>
          <w:bCs/>
          <w:sz w:val="22"/>
          <w:szCs w:val="22"/>
          <w:lang w:eastAsia="en-US"/>
        </w:rPr>
        <w:t xml:space="preserve">В случае объединения совокупности электрооборудования (совокупности энергопринимающих устройств и (при наличии) связанных с ними объектов по производству электрической энергии и (или) системы накопления электрической энергии) в один </w:t>
      </w:r>
      <w:r w:rsidRPr="001043A6">
        <w:rPr>
          <w:rFonts w:ascii="Garamond" w:eastAsia="Calibri" w:hAnsi="Garamond" w:cs="Times New Roman"/>
          <w:b/>
          <w:bCs/>
          <w:sz w:val="22"/>
          <w:szCs w:val="22"/>
          <w:lang w:eastAsia="en-US"/>
        </w:rPr>
        <w:t>объект регулирования потребления электрической энергии потребителя розничного рынка</w:t>
      </w:r>
      <w:r w:rsidRPr="001043A6">
        <w:rPr>
          <w:rFonts w:ascii="Garamond" w:eastAsia="Calibri" w:hAnsi="Garamond" w:cs="Times New Roman"/>
          <w:bCs/>
          <w:sz w:val="22"/>
          <w:szCs w:val="22"/>
          <w:lang w:eastAsia="en-US"/>
        </w:rPr>
        <w:t xml:space="preserve">, на однолинейной схеме необходимо отобразить принадлежащие потребителю объекты электросетевого </w:t>
      </w:r>
      <w:r w:rsidRPr="001043A6">
        <w:rPr>
          <w:rFonts w:ascii="Garamond" w:eastAsia="Calibri" w:hAnsi="Garamond" w:cs="Times New Roman"/>
          <w:bCs/>
          <w:sz w:val="22"/>
          <w:szCs w:val="22"/>
          <w:lang w:eastAsia="en-US"/>
        </w:rPr>
        <w:lastRenderedPageBreak/>
        <w:t>хозяйства, с использованием которых данная совокупность электрооборудования электрически связана между собой.</w:t>
      </w:r>
    </w:p>
    <w:p w14:paraId="1D27D2CA" w14:textId="77777777" w:rsidR="001333B2" w:rsidRPr="001043A6" w:rsidRDefault="001333B2" w:rsidP="001043A6">
      <w:pPr>
        <w:widowControl w:val="0"/>
        <w:numPr>
          <w:ilvl w:val="1"/>
          <w:numId w:val="321"/>
        </w:numPr>
        <w:tabs>
          <w:tab w:val="left" w:pos="1077"/>
        </w:tabs>
        <w:suppressAutoHyphens w:val="0"/>
        <w:spacing w:before="120" w:after="120" w:line="259" w:lineRule="auto"/>
        <w:ind w:left="0" w:firstLine="601"/>
        <w:jc w:val="both"/>
        <w:outlineLvl w:val="1"/>
        <w:rPr>
          <w:rFonts w:ascii="Garamond" w:eastAsia="Calibri" w:hAnsi="Garamond" w:cs="Times New Roman"/>
          <w:bCs/>
          <w:sz w:val="22"/>
          <w:szCs w:val="22"/>
          <w:lang w:eastAsia="en-US"/>
        </w:rPr>
      </w:pPr>
      <w:r w:rsidRPr="001043A6">
        <w:rPr>
          <w:rFonts w:ascii="Garamond" w:eastAsia="Calibri" w:hAnsi="Garamond" w:cs="Times New Roman"/>
          <w:bCs/>
          <w:sz w:val="22"/>
          <w:szCs w:val="22"/>
          <w:lang w:eastAsia="en-US"/>
        </w:rPr>
        <w:t>Точки присоединения и границы со смежными собственниками или иными законными владельцами электрооборудования на схеме изображаются с учетом следующих особенностей:</w:t>
      </w:r>
    </w:p>
    <w:p w14:paraId="1BCE5BD0" w14:textId="77777777" w:rsidR="001333B2" w:rsidRPr="001043A6" w:rsidRDefault="001333B2" w:rsidP="001043A6">
      <w:pPr>
        <w:widowControl w:val="0"/>
        <w:numPr>
          <w:ilvl w:val="0"/>
          <w:numId w:val="324"/>
        </w:numPr>
        <w:tabs>
          <w:tab w:val="left" w:pos="851"/>
          <w:tab w:val="left" w:pos="1077"/>
        </w:tabs>
        <w:suppressAutoHyphens w:val="0"/>
        <w:spacing w:before="120" w:after="120" w:line="259" w:lineRule="auto"/>
        <w:ind w:left="0" w:firstLine="601"/>
        <w:jc w:val="both"/>
        <w:rPr>
          <w:rFonts w:ascii="Garamond" w:eastAsia="Calibri" w:hAnsi="Garamond" w:cs="Times New Roman"/>
          <w:bCs/>
          <w:sz w:val="22"/>
          <w:szCs w:val="22"/>
          <w:lang w:eastAsia="en-US"/>
        </w:rPr>
      </w:pPr>
      <w:r w:rsidRPr="001043A6">
        <w:rPr>
          <w:rFonts w:ascii="Garamond" w:eastAsia="Calibri" w:hAnsi="Garamond" w:cs="Times New Roman"/>
          <w:bCs/>
          <w:sz w:val="22"/>
          <w:szCs w:val="22"/>
          <w:lang w:eastAsia="en-US"/>
        </w:rPr>
        <w:t>границы балансовой принадлежности электрооборудования обозначаются штриховой линией;</w:t>
      </w:r>
    </w:p>
    <w:p w14:paraId="56A4F887" w14:textId="77777777" w:rsidR="001333B2" w:rsidRPr="001043A6" w:rsidRDefault="001333B2" w:rsidP="001043A6">
      <w:pPr>
        <w:widowControl w:val="0"/>
        <w:numPr>
          <w:ilvl w:val="0"/>
          <w:numId w:val="324"/>
        </w:numPr>
        <w:tabs>
          <w:tab w:val="left" w:pos="851"/>
          <w:tab w:val="left" w:pos="1077"/>
        </w:tabs>
        <w:suppressAutoHyphens w:val="0"/>
        <w:spacing w:before="120" w:after="120" w:line="259" w:lineRule="auto"/>
        <w:ind w:left="0" w:firstLine="601"/>
        <w:jc w:val="both"/>
        <w:rPr>
          <w:rFonts w:ascii="Garamond" w:eastAsia="Calibri" w:hAnsi="Garamond" w:cs="Times New Roman"/>
          <w:bCs/>
          <w:sz w:val="22"/>
          <w:szCs w:val="22"/>
          <w:lang w:eastAsia="en-US"/>
        </w:rPr>
      </w:pPr>
      <w:r w:rsidRPr="001043A6">
        <w:rPr>
          <w:rFonts w:ascii="Garamond" w:eastAsia="Calibri" w:hAnsi="Garamond" w:cs="Times New Roman"/>
          <w:bCs/>
          <w:sz w:val="22"/>
          <w:szCs w:val="22"/>
          <w:lang w:eastAsia="en-US"/>
        </w:rPr>
        <w:t>в наименованиях смежных собственников или иных законных владельцев электрооборудования в случае насыщенной схемы или длинных наименований допускается применять цифровые обозначения с их последующей расшифровкой на схеме;</w:t>
      </w:r>
    </w:p>
    <w:p w14:paraId="11DF3534" w14:textId="77777777" w:rsidR="001333B2" w:rsidRPr="001043A6" w:rsidRDefault="001333B2" w:rsidP="001043A6">
      <w:pPr>
        <w:widowControl w:val="0"/>
        <w:numPr>
          <w:ilvl w:val="0"/>
          <w:numId w:val="324"/>
        </w:numPr>
        <w:tabs>
          <w:tab w:val="left" w:pos="851"/>
          <w:tab w:val="left" w:pos="1077"/>
        </w:tabs>
        <w:suppressAutoHyphens w:val="0"/>
        <w:spacing w:before="120" w:after="120" w:line="259" w:lineRule="auto"/>
        <w:ind w:left="0" w:firstLine="601"/>
        <w:jc w:val="both"/>
        <w:rPr>
          <w:rFonts w:ascii="Garamond" w:eastAsia="Calibri" w:hAnsi="Garamond" w:cs="Times New Roman"/>
          <w:bCs/>
          <w:sz w:val="22"/>
          <w:szCs w:val="22"/>
          <w:lang w:eastAsia="en-US"/>
        </w:rPr>
      </w:pPr>
      <w:r w:rsidRPr="001043A6">
        <w:rPr>
          <w:rFonts w:ascii="Garamond" w:eastAsia="Calibri" w:hAnsi="Garamond" w:cs="Times New Roman"/>
          <w:bCs/>
          <w:sz w:val="22"/>
          <w:szCs w:val="22"/>
          <w:lang w:eastAsia="en-US"/>
        </w:rPr>
        <w:t>нумерация точек присоединения объекта регулирования потребления электрической энергии присваивается по усмотрению заявителя. При этом нумерация должна быть уникальной.</w:t>
      </w:r>
    </w:p>
    <w:p w14:paraId="3B08BD6B" w14:textId="77777777" w:rsidR="001333B2" w:rsidRPr="001043A6" w:rsidRDefault="001333B2" w:rsidP="001043A6">
      <w:pPr>
        <w:widowControl w:val="0"/>
        <w:numPr>
          <w:ilvl w:val="1"/>
          <w:numId w:val="321"/>
        </w:numPr>
        <w:tabs>
          <w:tab w:val="left" w:pos="1077"/>
        </w:tabs>
        <w:suppressAutoHyphens w:val="0"/>
        <w:spacing w:before="120" w:after="120" w:line="259" w:lineRule="auto"/>
        <w:ind w:left="0" w:firstLine="601"/>
        <w:jc w:val="both"/>
        <w:outlineLvl w:val="1"/>
        <w:rPr>
          <w:rFonts w:ascii="Garamond" w:eastAsia="Calibri" w:hAnsi="Garamond" w:cs="Times New Roman"/>
          <w:bCs/>
          <w:sz w:val="22"/>
          <w:szCs w:val="22"/>
          <w:lang w:eastAsia="en-US"/>
        </w:rPr>
      </w:pPr>
      <w:r w:rsidRPr="001043A6">
        <w:rPr>
          <w:rFonts w:ascii="Garamond" w:eastAsia="Calibri" w:hAnsi="Garamond" w:cs="Times New Roman"/>
          <w:bCs/>
          <w:sz w:val="22"/>
          <w:szCs w:val="22"/>
          <w:lang w:eastAsia="en-US"/>
        </w:rPr>
        <w:t>При нанесении на схему точек измерений и измерительного оборудования необходимо учитывать следующее:</w:t>
      </w:r>
    </w:p>
    <w:p w14:paraId="59578E2E" w14:textId="77777777" w:rsidR="001333B2" w:rsidRPr="001043A6" w:rsidRDefault="001333B2" w:rsidP="001043A6">
      <w:pPr>
        <w:widowControl w:val="0"/>
        <w:numPr>
          <w:ilvl w:val="0"/>
          <w:numId w:val="325"/>
        </w:numPr>
        <w:tabs>
          <w:tab w:val="left" w:pos="851"/>
          <w:tab w:val="left" w:pos="1077"/>
        </w:tabs>
        <w:suppressAutoHyphens w:val="0"/>
        <w:spacing w:before="120" w:after="120" w:line="259" w:lineRule="auto"/>
        <w:ind w:left="0" w:firstLine="601"/>
        <w:jc w:val="both"/>
        <w:rPr>
          <w:rFonts w:ascii="Garamond" w:eastAsia="Calibri" w:hAnsi="Garamond" w:cs="Times New Roman"/>
          <w:bCs/>
          <w:sz w:val="22"/>
          <w:szCs w:val="22"/>
          <w:lang w:eastAsia="en-US"/>
        </w:rPr>
      </w:pPr>
      <w:r w:rsidRPr="001043A6">
        <w:rPr>
          <w:rFonts w:ascii="Garamond" w:eastAsia="Calibri" w:hAnsi="Garamond" w:cs="Times New Roman"/>
          <w:bCs/>
          <w:sz w:val="22"/>
          <w:szCs w:val="22"/>
          <w:lang w:eastAsia="en-US"/>
        </w:rPr>
        <w:t>обязательно наносятся места подключения измерительных приборов в соответствии с фактическим расположением трансформатора тока или местом присоединения прибора учета прямого включения, с указанием нумерации соответствующих точек измерений;</w:t>
      </w:r>
    </w:p>
    <w:p w14:paraId="0EF67286" w14:textId="77777777" w:rsidR="001333B2" w:rsidRPr="001043A6" w:rsidRDefault="001333B2" w:rsidP="001043A6">
      <w:pPr>
        <w:widowControl w:val="0"/>
        <w:numPr>
          <w:ilvl w:val="0"/>
          <w:numId w:val="325"/>
        </w:numPr>
        <w:tabs>
          <w:tab w:val="left" w:pos="851"/>
          <w:tab w:val="left" w:pos="1077"/>
        </w:tabs>
        <w:suppressAutoHyphens w:val="0"/>
        <w:spacing w:before="120" w:after="120" w:line="259" w:lineRule="auto"/>
        <w:ind w:left="0" w:firstLine="601"/>
        <w:jc w:val="both"/>
        <w:rPr>
          <w:rFonts w:ascii="Garamond" w:eastAsia="Calibri" w:hAnsi="Garamond" w:cs="Times New Roman"/>
          <w:bCs/>
          <w:sz w:val="22"/>
          <w:szCs w:val="22"/>
          <w:lang w:eastAsia="en-US"/>
        </w:rPr>
      </w:pPr>
      <w:r w:rsidRPr="001043A6">
        <w:rPr>
          <w:rFonts w:ascii="Garamond" w:eastAsia="Calibri" w:hAnsi="Garamond" w:cs="Times New Roman"/>
          <w:bCs/>
          <w:sz w:val="22"/>
          <w:szCs w:val="22"/>
          <w:lang w:eastAsia="en-US"/>
        </w:rPr>
        <w:t>трансформаторы тока на схеме отображаются в одной фазе (вне зависимости от их наличия в каждой фазе);</w:t>
      </w:r>
    </w:p>
    <w:p w14:paraId="1F94432B" w14:textId="77777777" w:rsidR="001333B2" w:rsidRPr="001043A6" w:rsidRDefault="001333B2" w:rsidP="001043A6">
      <w:pPr>
        <w:widowControl w:val="0"/>
        <w:numPr>
          <w:ilvl w:val="0"/>
          <w:numId w:val="325"/>
        </w:numPr>
        <w:tabs>
          <w:tab w:val="left" w:pos="851"/>
          <w:tab w:val="left" w:pos="1077"/>
        </w:tabs>
        <w:suppressAutoHyphens w:val="0"/>
        <w:spacing w:before="120" w:after="120" w:line="259" w:lineRule="auto"/>
        <w:ind w:left="0" w:firstLine="601"/>
        <w:jc w:val="both"/>
        <w:rPr>
          <w:rFonts w:ascii="Garamond" w:eastAsia="Calibri" w:hAnsi="Garamond" w:cs="Times New Roman"/>
          <w:bCs/>
          <w:sz w:val="22"/>
          <w:szCs w:val="22"/>
          <w:lang w:eastAsia="en-US"/>
        </w:rPr>
      </w:pPr>
      <w:r w:rsidRPr="001043A6">
        <w:rPr>
          <w:rFonts w:ascii="Garamond" w:eastAsia="Calibri" w:hAnsi="Garamond" w:cs="Times New Roman"/>
          <w:bCs/>
          <w:sz w:val="22"/>
          <w:szCs w:val="22"/>
          <w:lang w:eastAsia="en-US"/>
        </w:rPr>
        <w:t>нумерация точек измерений объекта регулирования потребления электрической энергии присваивается по усмотрению заявителя. Нумерация точек измерений должна быть уникальной. При расположении нескольких приборов учета в одной точке измерений (подключение к одному трансформатору тока) для каждого прибора учета указывается номер данной точки измерений;</w:t>
      </w:r>
    </w:p>
    <w:p w14:paraId="15E17CD9" w14:textId="77777777" w:rsidR="001333B2" w:rsidRPr="001043A6" w:rsidRDefault="001333B2" w:rsidP="001043A6">
      <w:pPr>
        <w:widowControl w:val="0"/>
        <w:numPr>
          <w:ilvl w:val="0"/>
          <w:numId w:val="325"/>
        </w:numPr>
        <w:tabs>
          <w:tab w:val="left" w:pos="851"/>
          <w:tab w:val="left" w:pos="1077"/>
        </w:tabs>
        <w:suppressAutoHyphens w:val="0"/>
        <w:spacing w:before="120" w:after="120" w:line="259" w:lineRule="auto"/>
        <w:ind w:left="0" w:firstLine="601"/>
        <w:jc w:val="both"/>
        <w:rPr>
          <w:rFonts w:ascii="Garamond" w:eastAsia="Calibri" w:hAnsi="Garamond" w:cs="Times New Roman"/>
          <w:bCs/>
          <w:sz w:val="22"/>
          <w:szCs w:val="22"/>
          <w:lang w:eastAsia="en-US"/>
        </w:rPr>
      </w:pPr>
      <w:r w:rsidRPr="001043A6">
        <w:rPr>
          <w:rFonts w:ascii="Garamond" w:eastAsia="Calibri" w:hAnsi="Garamond" w:cs="Times New Roman"/>
          <w:bCs/>
          <w:sz w:val="22"/>
          <w:szCs w:val="22"/>
          <w:lang w:eastAsia="en-US"/>
        </w:rPr>
        <w:t>на схеме допускается отображение точек измерений, не заявленных в перечне точек измерений. Нумерация данных точек измерений должна быть уникальной.</w:t>
      </w:r>
    </w:p>
    <w:p w14:paraId="067F5B77" w14:textId="19523BB6" w:rsidR="001333B2" w:rsidRPr="001043A6" w:rsidRDefault="00595491" w:rsidP="001043A6">
      <w:pPr>
        <w:keepNext/>
        <w:tabs>
          <w:tab w:val="left" w:pos="851"/>
        </w:tabs>
        <w:suppressAutoHyphens w:val="0"/>
        <w:spacing w:before="120" w:after="120"/>
        <w:ind w:firstLine="601"/>
        <w:jc w:val="both"/>
        <w:outlineLvl w:val="0"/>
        <w:rPr>
          <w:rFonts w:ascii="Garamond" w:eastAsia="Times New Roman" w:hAnsi="Garamond" w:cs="Arial"/>
          <w:b/>
          <w:bCs/>
          <w:sz w:val="22"/>
          <w:szCs w:val="22"/>
        </w:rPr>
      </w:pPr>
      <w:r>
        <w:rPr>
          <w:rFonts w:ascii="Garamond" w:eastAsia="Times New Roman" w:hAnsi="Garamond" w:cs="Arial"/>
          <w:b/>
          <w:bCs/>
          <w:sz w:val="22"/>
          <w:szCs w:val="22"/>
        </w:rPr>
        <w:t xml:space="preserve">2. </w:t>
      </w:r>
      <w:r w:rsidR="001333B2" w:rsidRPr="001043A6">
        <w:rPr>
          <w:rFonts w:ascii="Garamond" w:eastAsia="Times New Roman" w:hAnsi="Garamond" w:cs="Arial"/>
          <w:b/>
          <w:bCs/>
          <w:sz w:val="22"/>
          <w:szCs w:val="22"/>
        </w:rPr>
        <w:t xml:space="preserve">Правила присвоения наименований точкам </w:t>
      </w:r>
      <w:r w:rsidR="001333B2" w:rsidRPr="001043A6">
        <w:rPr>
          <w:rFonts w:ascii="Garamond" w:eastAsia="Times New Roman" w:hAnsi="Garamond" w:cs="Arial"/>
          <w:b/>
          <w:sz w:val="22"/>
          <w:szCs w:val="22"/>
        </w:rPr>
        <w:t>присоединения</w:t>
      </w:r>
      <w:r w:rsidR="001333B2" w:rsidRPr="001043A6">
        <w:rPr>
          <w:rFonts w:ascii="Garamond" w:eastAsia="Times New Roman" w:hAnsi="Garamond" w:cs="Arial"/>
          <w:b/>
          <w:bCs/>
          <w:sz w:val="22"/>
          <w:szCs w:val="22"/>
        </w:rPr>
        <w:t xml:space="preserve"> </w:t>
      </w:r>
    </w:p>
    <w:p w14:paraId="5EE49468" w14:textId="77777777" w:rsidR="001333B2" w:rsidRPr="001043A6" w:rsidRDefault="001333B2" w:rsidP="001043A6">
      <w:pPr>
        <w:widowControl w:val="0"/>
        <w:tabs>
          <w:tab w:val="left" w:pos="1077"/>
        </w:tabs>
        <w:suppressAutoHyphens w:val="0"/>
        <w:spacing w:before="120" w:after="120"/>
        <w:ind w:firstLine="601"/>
        <w:jc w:val="both"/>
        <w:rPr>
          <w:rFonts w:ascii="Garamond" w:eastAsia="Calibri" w:hAnsi="Garamond" w:cs="Times New Roman"/>
          <w:bCs/>
          <w:sz w:val="22"/>
          <w:szCs w:val="22"/>
          <w:lang w:eastAsia="en-US"/>
        </w:rPr>
      </w:pPr>
      <w:r w:rsidRPr="001043A6">
        <w:rPr>
          <w:rFonts w:ascii="Garamond" w:eastAsia="Calibri" w:hAnsi="Garamond" w:cs="Times New Roman"/>
          <w:bCs/>
          <w:sz w:val="22"/>
          <w:szCs w:val="22"/>
          <w:lang w:eastAsia="en-US"/>
        </w:rPr>
        <w:t>В наименовании точки присоединения, расположенной на присоединениях (энергообъектах), необходимо использовать наименование присоединения (энергообъекта), присвоенное (сформированное) в соответствии с требованиями ГОСТ Р 56302-2014.</w:t>
      </w:r>
    </w:p>
    <w:p w14:paraId="021E521F" w14:textId="77777777" w:rsidR="001333B2" w:rsidRPr="001043A6" w:rsidRDefault="001333B2" w:rsidP="001043A6">
      <w:pPr>
        <w:widowControl w:val="0"/>
        <w:numPr>
          <w:ilvl w:val="1"/>
          <w:numId w:val="326"/>
        </w:numPr>
        <w:tabs>
          <w:tab w:val="left" w:pos="1077"/>
        </w:tabs>
        <w:suppressAutoHyphens w:val="0"/>
        <w:spacing w:before="120" w:after="120" w:line="259" w:lineRule="auto"/>
        <w:ind w:left="0" w:firstLine="601"/>
        <w:jc w:val="both"/>
        <w:outlineLvl w:val="1"/>
        <w:rPr>
          <w:rFonts w:ascii="Garamond" w:eastAsia="Calibri" w:hAnsi="Garamond" w:cs="Times New Roman"/>
          <w:bCs/>
          <w:sz w:val="22"/>
          <w:szCs w:val="22"/>
          <w:lang w:eastAsia="en-US"/>
        </w:rPr>
      </w:pPr>
      <w:r w:rsidRPr="001043A6">
        <w:rPr>
          <w:rFonts w:ascii="Garamond" w:eastAsia="Calibri" w:hAnsi="Garamond" w:cs="Times New Roman"/>
          <w:bCs/>
          <w:sz w:val="22"/>
          <w:szCs w:val="22"/>
          <w:lang w:eastAsia="en-US"/>
        </w:rPr>
        <w:t>Особенности присвоения наименований точкам присоединения</w:t>
      </w:r>
    </w:p>
    <w:p w14:paraId="604117CC" w14:textId="77777777" w:rsidR="001333B2" w:rsidRPr="001043A6" w:rsidRDefault="001333B2" w:rsidP="001043A6">
      <w:pPr>
        <w:widowControl w:val="0"/>
        <w:tabs>
          <w:tab w:val="left" w:pos="1077"/>
        </w:tabs>
        <w:suppressAutoHyphens w:val="0"/>
        <w:spacing w:before="120" w:after="120"/>
        <w:ind w:firstLine="601"/>
        <w:jc w:val="both"/>
        <w:rPr>
          <w:rFonts w:ascii="Garamond" w:eastAsia="Calibri" w:hAnsi="Garamond" w:cs="Times New Roman"/>
          <w:bCs/>
          <w:sz w:val="22"/>
          <w:szCs w:val="22"/>
          <w:lang w:eastAsia="en-US"/>
        </w:rPr>
      </w:pPr>
      <w:r w:rsidRPr="001043A6">
        <w:rPr>
          <w:rFonts w:ascii="Garamond" w:eastAsia="Calibri" w:hAnsi="Garamond" w:cs="Times New Roman"/>
          <w:bCs/>
          <w:sz w:val="22"/>
          <w:szCs w:val="22"/>
          <w:lang w:eastAsia="en-US"/>
        </w:rPr>
        <w:t>Наименование точки присоединения должно:</w:t>
      </w:r>
    </w:p>
    <w:p w14:paraId="3C3AD137" w14:textId="77777777" w:rsidR="001333B2" w:rsidRPr="001043A6" w:rsidRDefault="001333B2" w:rsidP="001043A6">
      <w:pPr>
        <w:widowControl w:val="0"/>
        <w:numPr>
          <w:ilvl w:val="0"/>
          <w:numId w:val="327"/>
        </w:numPr>
        <w:tabs>
          <w:tab w:val="left" w:pos="851"/>
          <w:tab w:val="left" w:pos="1077"/>
        </w:tabs>
        <w:suppressAutoHyphens w:val="0"/>
        <w:spacing w:before="120" w:after="120" w:line="259" w:lineRule="auto"/>
        <w:ind w:left="0" w:firstLine="601"/>
        <w:jc w:val="both"/>
        <w:rPr>
          <w:rFonts w:ascii="Garamond" w:eastAsia="Calibri" w:hAnsi="Garamond" w:cs="Times New Roman"/>
          <w:bCs/>
          <w:sz w:val="22"/>
          <w:szCs w:val="22"/>
          <w:lang w:eastAsia="en-US"/>
        </w:rPr>
      </w:pPr>
      <w:r w:rsidRPr="001043A6">
        <w:rPr>
          <w:rFonts w:ascii="Garamond" w:eastAsia="Calibri" w:hAnsi="Garamond" w:cs="Times New Roman"/>
          <w:bCs/>
          <w:sz w:val="22"/>
          <w:szCs w:val="22"/>
          <w:lang w:eastAsia="en-US"/>
        </w:rPr>
        <w:t>быть уникальным в рамках одного объекта регулирования потребления электрической энергии;</w:t>
      </w:r>
    </w:p>
    <w:p w14:paraId="37790F3C" w14:textId="77777777" w:rsidR="001333B2" w:rsidRPr="001043A6" w:rsidRDefault="001333B2" w:rsidP="001043A6">
      <w:pPr>
        <w:widowControl w:val="0"/>
        <w:numPr>
          <w:ilvl w:val="0"/>
          <w:numId w:val="327"/>
        </w:numPr>
        <w:tabs>
          <w:tab w:val="left" w:pos="851"/>
          <w:tab w:val="left" w:pos="1077"/>
        </w:tabs>
        <w:suppressAutoHyphens w:val="0"/>
        <w:spacing w:before="120" w:after="120" w:line="259" w:lineRule="auto"/>
        <w:ind w:left="0" w:firstLine="601"/>
        <w:jc w:val="both"/>
        <w:rPr>
          <w:rFonts w:ascii="Garamond" w:eastAsia="Calibri" w:hAnsi="Garamond" w:cs="Times New Roman"/>
          <w:bCs/>
          <w:sz w:val="22"/>
          <w:szCs w:val="22"/>
          <w:lang w:val="x-none" w:eastAsia="en-US"/>
        </w:rPr>
      </w:pPr>
      <w:r w:rsidRPr="001043A6">
        <w:rPr>
          <w:rFonts w:ascii="Garamond" w:eastAsia="Calibri" w:hAnsi="Garamond" w:cs="Times New Roman"/>
          <w:bCs/>
          <w:sz w:val="22"/>
          <w:szCs w:val="22"/>
          <w:lang w:eastAsia="en-US"/>
        </w:rPr>
        <w:t>содержать наименования обозначений элементов электрической сети, отображенных на однолинейной схеме, а также необходимых и достаточных для идентификации месторасположения точки присоединения в электрической сети, с обязательным указанием уровня напряжения месторасположения в электрической сети, на котором располагается точка присоединения;</w:t>
      </w:r>
    </w:p>
    <w:p w14:paraId="3A4A4BFC" w14:textId="77777777" w:rsidR="001333B2" w:rsidRPr="001043A6" w:rsidRDefault="001333B2" w:rsidP="001043A6">
      <w:pPr>
        <w:widowControl w:val="0"/>
        <w:numPr>
          <w:ilvl w:val="0"/>
          <w:numId w:val="327"/>
        </w:numPr>
        <w:tabs>
          <w:tab w:val="left" w:pos="851"/>
          <w:tab w:val="left" w:pos="1077"/>
        </w:tabs>
        <w:suppressAutoHyphens w:val="0"/>
        <w:spacing w:before="120" w:after="120" w:line="259" w:lineRule="auto"/>
        <w:ind w:left="0" w:firstLine="601"/>
        <w:jc w:val="both"/>
        <w:rPr>
          <w:rFonts w:ascii="Garamond" w:eastAsia="Calibri" w:hAnsi="Garamond" w:cs="Times New Roman"/>
          <w:bCs/>
          <w:sz w:val="22"/>
          <w:szCs w:val="22"/>
          <w:lang w:eastAsia="en-US"/>
        </w:rPr>
      </w:pPr>
      <w:r w:rsidRPr="001043A6">
        <w:rPr>
          <w:rFonts w:ascii="Garamond" w:eastAsia="Calibri" w:hAnsi="Garamond" w:cs="Times New Roman"/>
          <w:bCs/>
          <w:sz w:val="22"/>
          <w:szCs w:val="22"/>
          <w:lang w:eastAsia="en-US"/>
        </w:rPr>
        <w:t>не противоречить условно-графическим обозначениям или надписям, указанным на однолинейной схеме.</w:t>
      </w:r>
    </w:p>
    <w:p w14:paraId="4F51DE8F" w14:textId="77777777" w:rsidR="001333B2" w:rsidRPr="001043A6" w:rsidRDefault="001333B2" w:rsidP="001043A6">
      <w:pPr>
        <w:widowControl w:val="0"/>
        <w:tabs>
          <w:tab w:val="left" w:pos="1077"/>
        </w:tabs>
        <w:suppressAutoHyphens w:val="0"/>
        <w:spacing w:before="120" w:after="120"/>
        <w:ind w:firstLine="601"/>
        <w:jc w:val="both"/>
        <w:rPr>
          <w:rFonts w:ascii="Garamond" w:eastAsia="Calibri" w:hAnsi="Garamond" w:cs="Times New Roman"/>
          <w:bCs/>
          <w:sz w:val="22"/>
          <w:szCs w:val="22"/>
          <w:lang w:eastAsia="en-US"/>
        </w:rPr>
      </w:pPr>
      <w:r w:rsidRPr="001043A6">
        <w:rPr>
          <w:rFonts w:ascii="Garamond" w:eastAsia="Calibri" w:hAnsi="Garamond" w:cs="Times New Roman"/>
          <w:bCs/>
          <w:sz w:val="22"/>
          <w:szCs w:val="22"/>
          <w:lang w:eastAsia="en-US"/>
        </w:rPr>
        <w:t>В наименовании точки присоединения допускается наличие избыточной информации.</w:t>
      </w:r>
    </w:p>
    <w:p w14:paraId="12D3EFE4" w14:textId="77777777" w:rsidR="001333B2" w:rsidRPr="001043A6" w:rsidRDefault="001333B2" w:rsidP="001043A6">
      <w:pPr>
        <w:widowControl w:val="0"/>
        <w:tabs>
          <w:tab w:val="left" w:pos="1077"/>
        </w:tabs>
        <w:suppressAutoHyphens w:val="0"/>
        <w:spacing w:before="120" w:after="120"/>
        <w:ind w:firstLine="601"/>
        <w:jc w:val="both"/>
        <w:rPr>
          <w:rFonts w:ascii="Garamond" w:eastAsia="Calibri" w:hAnsi="Garamond" w:cs="Times New Roman"/>
          <w:bCs/>
          <w:sz w:val="22"/>
          <w:szCs w:val="22"/>
          <w:lang w:eastAsia="en-US"/>
        </w:rPr>
      </w:pPr>
      <w:r w:rsidRPr="001043A6">
        <w:rPr>
          <w:rFonts w:ascii="Garamond" w:eastAsia="Calibri" w:hAnsi="Garamond" w:cs="Times New Roman"/>
          <w:bCs/>
          <w:sz w:val="22"/>
          <w:szCs w:val="22"/>
          <w:lang w:eastAsia="en-US"/>
        </w:rPr>
        <w:t>В наименовании точки присоединения рекомендуется:</w:t>
      </w:r>
    </w:p>
    <w:p w14:paraId="67A6AC6E" w14:textId="77777777" w:rsidR="001333B2" w:rsidRPr="001043A6" w:rsidRDefault="001333B2" w:rsidP="001043A6">
      <w:pPr>
        <w:widowControl w:val="0"/>
        <w:numPr>
          <w:ilvl w:val="0"/>
          <w:numId w:val="327"/>
        </w:numPr>
        <w:tabs>
          <w:tab w:val="left" w:pos="851"/>
          <w:tab w:val="left" w:pos="1077"/>
        </w:tabs>
        <w:suppressAutoHyphens w:val="0"/>
        <w:spacing w:before="120" w:after="120" w:line="259" w:lineRule="auto"/>
        <w:ind w:left="0" w:firstLine="601"/>
        <w:jc w:val="both"/>
        <w:rPr>
          <w:rFonts w:ascii="Garamond" w:eastAsia="Calibri" w:hAnsi="Garamond" w:cs="Times New Roman"/>
          <w:bCs/>
          <w:sz w:val="22"/>
          <w:szCs w:val="22"/>
          <w:lang w:eastAsia="en-US"/>
        </w:rPr>
      </w:pPr>
      <w:r w:rsidRPr="001043A6">
        <w:rPr>
          <w:rFonts w:ascii="Garamond" w:eastAsia="Calibri" w:hAnsi="Garamond" w:cs="Times New Roman"/>
          <w:bCs/>
          <w:sz w:val="22"/>
          <w:szCs w:val="22"/>
          <w:lang w:eastAsia="en-US"/>
        </w:rPr>
        <w:t>присваивать одинаковые наименования точки присоединения и точки измерений при совпадении месторасположения данных точек;</w:t>
      </w:r>
    </w:p>
    <w:p w14:paraId="0031F76B" w14:textId="77777777" w:rsidR="001333B2" w:rsidRPr="001043A6" w:rsidRDefault="001333B2" w:rsidP="001043A6">
      <w:pPr>
        <w:widowControl w:val="0"/>
        <w:numPr>
          <w:ilvl w:val="0"/>
          <w:numId w:val="327"/>
        </w:numPr>
        <w:tabs>
          <w:tab w:val="left" w:pos="851"/>
          <w:tab w:val="left" w:pos="1077"/>
        </w:tabs>
        <w:suppressAutoHyphens w:val="0"/>
        <w:spacing w:before="120" w:after="120" w:line="259" w:lineRule="auto"/>
        <w:ind w:left="0" w:firstLine="601"/>
        <w:jc w:val="both"/>
        <w:rPr>
          <w:rFonts w:ascii="Garamond" w:eastAsia="Calibri" w:hAnsi="Garamond" w:cs="Times New Roman"/>
          <w:bCs/>
          <w:sz w:val="22"/>
          <w:szCs w:val="22"/>
          <w:lang w:eastAsia="en-US"/>
        </w:rPr>
      </w:pPr>
      <w:r w:rsidRPr="001043A6">
        <w:rPr>
          <w:rFonts w:ascii="Garamond" w:eastAsia="Calibri" w:hAnsi="Garamond" w:cs="Times New Roman"/>
          <w:bCs/>
          <w:sz w:val="22"/>
          <w:szCs w:val="22"/>
          <w:lang w:eastAsia="en-US"/>
        </w:rPr>
        <w:t>не использовать кавычки.</w:t>
      </w:r>
    </w:p>
    <w:p w14:paraId="17ED763A" w14:textId="77777777" w:rsidR="001333B2" w:rsidRPr="001043A6" w:rsidRDefault="001333B2" w:rsidP="001043A6">
      <w:pPr>
        <w:widowControl w:val="0"/>
        <w:tabs>
          <w:tab w:val="left" w:pos="1077"/>
        </w:tabs>
        <w:suppressAutoHyphens w:val="0"/>
        <w:spacing w:before="120" w:after="120"/>
        <w:ind w:firstLine="601"/>
        <w:jc w:val="both"/>
        <w:rPr>
          <w:rFonts w:ascii="Garamond" w:eastAsia="Calibri" w:hAnsi="Garamond" w:cs="Times New Roman"/>
          <w:bCs/>
          <w:sz w:val="22"/>
          <w:szCs w:val="22"/>
          <w:lang w:eastAsia="en-US"/>
        </w:rPr>
      </w:pPr>
      <w:r w:rsidRPr="001043A6">
        <w:rPr>
          <w:rFonts w:ascii="Garamond" w:eastAsia="Calibri" w:hAnsi="Garamond" w:cs="Times New Roman"/>
          <w:bCs/>
          <w:sz w:val="22"/>
          <w:szCs w:val="22"/>
          <w:lang w:eastAsia="en-US"/>
        </w:rPr>
        <w:t>Невыполнение указанных рекомендаций не является основанием для завершения проверки документов с отрицательным результатом.</w:t>
      </w:r>
    </w:p>
    <w:p w14:paraId="0BDD44F3" w14:textId="77777777" w:rsidR="001333B2" w:rsidRPr="001043A6" w:rsidRDefault="001333B2" w:rsidP="001043A6">
      <w:pPr>
        <w:widowControl w:val="0"/>
        <w:numPr>
          <w:ilvl w:val="1"/>
          <w:numId w:val="326"/>
        </w:numPr>
        <w:tabs>
          <w:tab w:val="left" w:pos="1077"/>
        </w:tabs>
        <w:suppressAutoHyphens w:val="0"/>
        <w:spacing w:before="120" w:after="120" w:line="259" w:lineRule="auto"/>
        <w:ind w:left="0" w:firstLine="601"/>
        <w:jc w:val="both"/>
        <w:outlineLvl w:val="1"/>
        <w:rPr>
          <w:rFonts w:ascii="Garamond" w:eastAsia="Calibri" w:hAnsi="Garamond" w:cs="Times New Roman"/>
          <w:sz w:val="22"/>
          <w:szCs w:val="22"/>
          <w:lang w:eastAsia="en-US"/>
        </w:rPr>
      </w:pPr>
      <w:r w:rsidRPr="001043A6">
        <w:rPr>
          <w:rFonts w:ascii="Garamond" w:eastAsia="Calibri" w:hAnsi="Garamond" w:cs="Times New Roman"/>
          <w:sz w:val="22"/>
          <w:szCs w:val="22"/>
          <w:lang w:eastAsia="en-US"/>
        </w:rPr>
        <w:t xml:space="preserve">Если </w:t>
      </w:r>
      <w:r w:rsidRPr="001043A6">
        <w:rPr>
          <w:rFonts w:ascii="Garamond" w:eastAsia="Calibri" w:hAnsi="Garamond" w:cs="Times New Roman"/>
          <w:bCs/>
          <w:sz w:val="22"/>
          <w:szCs w:val="22"/>
          <w:lang w:eastAsia="en-US"/>
        </w:rPr>
        <w:t>точка</w:t>
      </w:r>
      <w:r w:rsidRPr="001043A6">
        <w:rPr>
          <w:rFonts w:ascii="Garamond" w:eastAsia="Calibri" w:hAnsi="Garamond" w:cs="Times New Roman"/>
          <w:sz w:val="22"/>
          <w:szCs w:val="22"/>
          <w:lang w:eastAsia="en-US"/>
        </w:rPr>
        <w:t xml:space="preserve"> присоединения расположена на подстанции или электростанции, а также на </w:t>
      </w:r>
      <w:r w:rsidRPr="001043A6">
        <w:rPr>
          <w:rFonts w:ascii="Garamond" w:eastAsia="Calibri" w:hAnsi="Garamond" w:cs="Times New Roman"/>
          <w:bCs/>
          <w:sz w:val="22"/>
          <w:szCs w:val="22"/>
          <w:lang w:eastAsia="en-US"/>
        </w:rPr>
        <w:t>иной</w:t>
      </w:r>
      <w:r w:rsidRPr="001043A6">
        <w:rPr>
          <w:rFonts w:ascii="Garamond" w:eastAsia="Calibri" w:hAnsi="Garamond" w:cs="Times New Roman"/>
          <w:sz w:val="22"/>
          <w:szCs w:val="22"/>
          <w:lang w:eastAsia="en-US"/>
        </w:rPr>
        <w:t xml:space="preserve"> электроустановке выше 1,0 кВ, то в наименовании точки присоединения указываются:</w:t>
      </w:r>
    </w:p>
    <w:p w14:paraId="42AAD0C3" w14:textId="77777777" w:rsidR="001333B2" w:rsidRPr="001043A6" w:rsidRDefault="001333B2" w:rsidP="001043A6">
      <w:pPr>
        <w:widowControl w:val="0"/>
        <w:tabs>
          <w:tab w:val="left" w:pos="1077"/>
        </w:tabs>
        <w:suppressAutoHyphens w:val="0"/>
        <w:spacing w:before="120" w:after="120"/>
        <w:ind w:firstLine="601"/>
        <w:jc w:val="both"/>
        <w:rPr>
          <w:rFonts w:ascii="Garamond" w:eastAsia="Calibri" w:hAnsi="Garamond" w:cs="Times New Roman"/>
          <w:bCs/>
          <w:sz w:val="22"/>
          <w:szCs w:val="22"/>
          <w:lang w:eastAsia="en-US"/>
        </w:rPr>
      </w:pPr>
      <w:r w:rsidRPr="001043A6">
        <w:rPr>
          <w:rFonts w:ascii="Garamond" w:eastAsia="Calibri" w:hAnsi="Garamond" w:cs="Times New Roman"/>
          <w:bCs/>
          <w:sz w:val="22"/>
          <w:szCs w:val="22"/>
          <w:lang w:eastAsia="en-US"/>
        </w:rPr>
        <w:lastRenderedPageBreak/>
        <w:t>а)</w:t>
      </w:r>
      <w:r w:rsidRPr="001043A6">
        <w:rPr>
          <w:rFonts w:ascii="Garamond" w:eastAsia="Calibri" w:hAnsi="Garamond" w:cs="Times New Roman"/>
          <w:bCs/>
          <w:sz w:val="22"/>
          <w:szCs w:val="22"/>
          <w:lang w:eastAsia="en-US"/>
        </w:rPr>
        <w:tab/>
        <w:t>наименование энергообъекта:</w:t>
      </w:r>
    </w:p>
    <w:p w14:paraId="2E179480" w14:textId="77777777" w:rsidR="001333B2" w:rsidRPr="001043A6" w:rsidRDefault="001333B2" w:rsidP="001043A6">
      <w:pPr>
        <w:widowControl w:val="0"/>
        <w:tabs>
          <w:tab w:val="left" w:pos="1077"/>
        </w:tabs>
        <w:suppressAutoHyphens w:val="0"/>
        <w:spacing w:before="120" w:after="120"/>
        <w:ind w:firstLine="601"/>
        <w:jc w:val="both"/>
        <w:rPr>
          <w:rFonts w:ascii="Garamond" w:eastAsia="Calibri" w:hAnsi="Garamond" w:cs="Times New Roman"/>
          <w:bCs/>
          <w:sz w:val="22"/>
          <w:szCs w:val="22"/>
          <w:lang w:eastAsia="en-US"/>
        </w:rPr>
      </w:pPr>
      <w:r w:rsidRPr="001043A6">
        <w:rPr>
          <w:rFonts w:ascii="Garamond" w:eastAsia="Calibri" w:hAnsi="Garamond" w:cs="Times New Roman"/>
          <w:bCs/>
          <w:sz w:val="22"/>
          <w:szCs w:val="22"/>
          <w:lang w:eastAsia="en-US"/>
        </w:rPr>
        <w:t>–</w:t>
      </w:r>
      <w:r w:rsidRPr="001043A6">
        <w:rPr>
          <w:rFonts w:ascii="Garamond" w:eastAsia="Calibri" w:hAnsi="Garamond" w:cs="Times New Roman"/>
          <w:bCs/>
          <w:sz w:val="22"/>
          <w:szCs w:val="22"/>
          <w:lang w:eastAsia="en-US"/>
        </w:rPr>
        <w:tab/>
        <w:t>наименование электростанции без указания классов напряжения или наименование подстанции (иной электроустановки выше 1,0 кВ) с указанием высшего класса напряжения;</w:t>
      </w:r>
    </w:p>
    <w:p w14:paraId="59A8BF60" w14:textId="77777777" w:rsidR="001333B2" w:rsidRPr="001043A6" w:rsidRDefault="001333B2" w:rsidP="001043A6">
      <w:pPr>
        <w:widowControl w:val="0"/>
        <w:tabs>
          <w:tab w:val="left" w:pos="1077"/>
        </w:tabs>
        <w:suppressAutoHyphens w:val="0"/>
        <w:spacing w:before="120" w:after="120"/>
        <w:ind w:firstLine="601"/>
        <w:jc w:val="both"/>
        <w:rPr>
          <w:rFonts w:ascii="Garamond" w:eastAsia="Calibri" w:hAnsi="Garamond" w:cs="Times New Roman"/>
          <w:bCs/>
          <w:sz w:val="22"/>
          <w:szCs w:val="22"/>
          <w:lang w:eastAsia="en-US"/>
        </w:rPr>
      </w:pPr>
      <w:r w:rsidRPr="001043A6">
        <w:rPr>
          <w:rFonts w:ascii="Garamond" w:eastAsia="Calibri" w:hAnsi="Garamond" w:cs="Times New Roman"/>
          <w:bCs/>
          <w:sz w:val="22"/>
          <w:szCs w:val="22"/>
          <w:lang w:eastAsia="en-US"/>
        </w:rPr>
        <w:t>б)</w:t>
      </w:r>
      <w:r w:rsidRPr="001043A6">
        <w:rPr>
          <w:rFonts w:ascii="Garamond" w:eastAsia="Calibri" w:hAnsi="Garamond" w:cs="Times New Roman"/>
          <w:bCs/>
          <w:sz w:val="22"/>
          <w:szCs w:val="22"/>
          <w:lang w:eastAsia="en-US"/>
        </w:rPr>
        <w:tab/>
        <w:t>описание месторасположения точки присоединения:</w:t>
      </w:r>
    </w:p>
    <w:p w14:paraId="39C2ADA7" w14:textId="77777777" w:rsidR="001333B2" w:rsidRPr="001043A6" w:rsidRDefault="001333B2" w:rsidP="001043A6">
      <w:pPr>
        <w:widowControl w:val="0"/>
        <w:tabs>
          <w:tab w:val="left" w:pos="1077"/>
        </w:tabs>
        <w:suppressAutoHyphens w:val="0"/>
        <w:spacing w:before="120" w:after="120"/>
        <w:ind w:firstLine="601"/>
        <w:jc w:val="both"/>
        <w:rPr>
          <w:rFonts w:ascii="Garamond" w:eastAsia="Calibri" w:hAnsi="Garamond" w:cs="Times New Roman"/>
          <w:bCs/>
          <w:sz w:val="22"/>
          <w:szCs w:val="22"/>
          <w:lang w:eastAsia="en-US"/>
        </w:rPr>
      </w:pPr>
      <w:r w:rsidRPr="001043A6">
        <w:rPr>
          <w:rFonts w:ascii="Garamond" w:eastAsia="Calibri" w:hAnsi="Garamond" w:cs="Times New Roman"/>
          <w:bCs/>
          <w:sz w:val="22"/>
          <w:szCs w:val="22"/>
          <w:lang w:eastAsia="en-US"/>
        </w:rPr>
        <w:t>–</w:t>
      </w:r>
      <w:r w:rsidRPr="001043A6">
        <w:rPr>
          <w:rFonts w:ascii="Garamond" w:eastAsia="Calibri" w:hAnsi="Garamond" w:cs="Times New Roman"/>
          <w:bCs/>
          <w:sz w:val="22"/>
          <w:szCs w:val="22"/>
          <w:lang w:eastAsia="en-US"/>
        </w:rPr>
        <w:tab/>
        <w:t>распределительное устройство с указанием класса напряжения;</w:t>
      </w:r>
    </w:p>
    <w:p w14:paraId="7C8CA918" w14:textId="77777777" w:rsidR="001333B2" w:rsidRPr="001043A6" w:rsidRDefault="001333B2" w:rsidP="001043A6">
      <w:pPr>
        <w:widowControl w:val="0"/>
        <w:tabs>
          <w:tab w:val="left" w:pos="1077"/>
        </w:tabs>
        <w:suppressAutoHyphens w:val="0"/>
        <w:spacing w:before="120" w:after="120"/>
        <w:ind w:firstLine="601"/>
        <w:jc w:val="both"/>
        <w:rPr>
          <w:rFonts w:ascii="Garamond" w:eastAsia="Calibri" w:hAnsi="Garamond" w:cs="Times New Roman"/>
          <w:bCs/>
          <w:sz w:val="22"/>
          <w:szCs w:val="22"/>
          <w:lang w:eastAsia="en-US"/>
        </w:rPr>
      </w:pPr>
      <w:r w:rsidRPr="001043A6">
        <w:rPr>
          <w:rFonts w:ascii="Garamond" w:eastAsia="Calibri" w:hAnsi="Garamond" w:cs="Times New Roman"/>
          <w:bCs/>
          <w:sz w:val="22"/>
          <w:szCs w:val="22"/>
          <w:lang w:eastAsia="en-US"/>
        </w:rPr>
        <w:t>–</w:t>
      </w:r>
      <w:r w:rsidRPr="001043A6">
        <w:rPr>
          <w:rFonts w:ascii="Garamond" w:eastAsia="Calibri" w:hAnsi="Garamond" w:cs="Times New Roman"/>
          <w:bCs/>
          <w:sz w:val="22"/>
          <w:szCs w:val="22"/>
          <w:lang w:eastAsia="en-US"/>
        </w:rPr>
        <w:tab/>
        <w:t>номер ячейки (панели, группы, выключателя и т.п.).</w:t>
      </w:r>
    </w:p>
    <w:p w14:paraId="3B3FFE39" w14:textId="77777777" w:rsidR="001333B2" w:rsidRPr="001043A6" w:rsidRDefault="001333B2" w:rsidP="001043A6">
      <w:pPr>
        <w:widowControl w:val="0"/>
        <w:tabs>
          <w:tab w:val="left" w:pos="1077"/>
        </w:tabs>
        <w:suppressAutoHyphens w:val="0"/>
        <w:spacing w:before="120" w:after="120"/>
        <w:ind w:firstLine="601"/>
        <w:jc w:val="both"/>
        <w:rPr>
          <w:rFonts w:ascii="Garamond" w:eastAsia="Calibri" w:hAnsi="Garamond" w:cs="Times New Roman"/>
          <w:bCs/>
          <w:sz w:val="22"/>
          <w:szCs w:val="22"/>
          <w:lang w:val="x-none" w:eastAsia="en-US"/>
        </w:rPr>
      </w:pPr>
      <w:r w:rsidRPr="001043A6">
        <w:rPr>
          <w:rFonts w:ascii="Garamond" w:eastAsia="Calibri" w:hAnsi="Garamond" w:cs="Times New Roman"/>
          <w:bCs/>
          <w:sz w:val="22"/>
          <w:szCs w:val="22"/>
          <w:lang w:eastAsia="en-US"/>
        </w:rPr>
        <w:t>Для идентификации точки присоединения допускается указание системы и секции шин с указанием класса напряжения, при этом, если имеется вариативность присоединения к системе (секции) шин, рекомендуется указывать систему (секцию) шин, к которой осуществлено присоединение в нормальном режиме;</w:t>
      </w:r>
    </w:p>
    <w:p w14:paraId="210897F7" w14:textId="77777777" w:rsidR="001333B2" w:rsidRPr="001043A6" w:rsidRDefault="001333B2" w:rsidP="001043A6">
      <w:pPr>
        <w:widowControl w:val="0"/>
        <w:tabs>
          <w:tab w:val="left" w:pos="1077"/>
        </w:tabs>
        <w:suppressAutoHyphens w:val="0"/>
        <w:spacing w:before="120" w:after="120"/>
        <w:ind w:firstLine="601"/>
        <w:jc w:val="both"/>
        <w:rPr>
          <w:rFonts w:ascii="Garamond" w:eastAsia="Calibri" w:hAnsi="Garamond" w:cs="Times New Roman"/>
          <w:bCs/>
          <w:sz w:val="22"/>
          <w:szCs w:val="22"/>
          <w:lang w:eastAsia="en-US"/>
        </w:rPr>
      </w:pPr>
      <w:r w:rsidRPr="001043A6">
        <w:rPr>
          <w:rFonts w:ascii="Garamond" w:eastAsia="Calibri" w:hAnsi="Garamond" w:cs="Times New Roman"/>
          <w:bCs/>
          <w:sz w:val="22"/>
          <w:szCs w:val="22"/>
          <w:lang w:eastAsia="en-US"/>
        </w:rPr>
        <w:t>в) наименование присоединения:</w:t>
      </w:r>
    </w:p>
    <w:p w14:paraId="61BAAE9A" w14:textId="77777777" w:rsidR="001333B2" w:rsidRPr="001043A6" w:rsidRDefault="001333B2" w:rsidP="001043A6">
      <w:pPr>
        <w:widowControl w:val="0"/>
        <w:tabs>
          <w:tab w:val="left" w:pos="1077"/>
        </w:tabs>
        <w:suppressAutoHyphens w:val="0"/>
        <w:spacing w:before="120" w:after="120"/>
        <w:ind w:firstLine="601"/>
        <w:jc w:val="both"/>
        <w:rPr>
          <w:rFonts w:ascii="Garamond" w:eastAsia="Calibri" w:hAnsi="Garamond" w:cs="Times New Roman"/>
          <w:bCs/>
          <w:sz w:val="22"/>
          <w:szCs w:val="22"/>
          <w:lang w:eastAsia="en-US"/>
        </w:rPr>
      </w:pPr>
      <w:r w:rsidRPr="001043A6">
        <w:rPr>
          <w:rFonts w:ascii="Garamond" w:eastAsia="Calibri" w:hAnsi="Garamond" w:cs="Times New Roman"/>
          <w:bCs/>
          <w:sz w:val="22"/>
          <w:szCs w:val="22"/>
          <w:lang w:eastAsia="en-US"/>
        </w:rPr>
        <w:t>–</w:t>
      </w:r>
      <w:r w:rsidRPr="001043A6">
        <w:rPr>
          <w:rFonts w:ascii="Garamond" w:eastAsia="Calibri" w:hAnsi="Garamond" w:cs="Times New Roman"/>
          <w:bCs/>
          <w:sz w:val="22"/>
          <w:szCs w:val="22"/>
          <w:lang w:eastAsia="en-US"/>
        </w:rPr>
        <w:tab/>
        <w:t>диспетчерское наименование присоединения с указанием типа присоединения (например, КЛ, ВЛ, КВЛ, ввод и т.п.) и класса напряжения или фидер. При отсутствии диспетчерского наименования присоединения указывается наименование, присвоенное владельцем электрооборудования (электроустановки), c указанием типа присоединения (КЛ, ВЛ, КВЛ и т.п.) и класса напряжения (например, КЛ 10 кВ, ВЛ 0,4 кВ и т.п.), а также при необходимости наименования объекта энергоснабжения (например, КЛ 10 кВ в сторону ТП-547 10 кВ).</w:t>
      </w:r>
    </w:p>
    <w:p w14:paraId="51C93BE9" w14:textId="77777777" w:rsidR="001333B2" w:rsidRPr="001043A6" w:rsidRDefault="001333B2" w:rsidP="001043A6">
      <w:pPr>
        <w:widowControl w:val="0"/>
        <w:tabs>
          <w:tab w:val="left" w:pos="1077"/>
        </w:tabs>
        <w:suppressAutoHyphens w:val="0"/>
        <w:spacing w:before="120" w:after="120"/>
        <w:ind w:firstLine="601"/>
        <w:jc w:val="both"/>
        <w:rPr>
          <w:rFonts w:ascii="Garamond" w:eastAsia="Calibri" w:hAnsi="Garamond" w:cs="Times New Roman"/>
          <w:bCs/>
          <w:sz w:val="22"/>
          <w:szCs w:val="22"/>
          <w:lang w:eastAsia="en-US"/>
        </w:rPr>
      </w:pPr>
      <w:r w:rsidRPr="001043A6">
        <w:rPr>
          <w:rFonts w:ascii="Garamond" w:eastAsia="Calibri" w:hAnsi="Garamond" w:cs="Times New Roman"/>
          <w:bCs/>
          <w:sz w:val="22"/>
          <w:szCs w:val="22"/>
          <w:lang w:eastAsia="en-US"/>
        </w:rPr>
        <w:t>Для идентификации точки присоединения допускается использовать наименования обозначений элементов сетевого оборудования (например, ЛР, РЛНД, ШР и т.д.).</w:t>
      </w:r>
    </w:p>
    <w:p w14:paraId="300C3E0D" w14:textId="77777777" w:rsidR="001333B2" w:rsidRPr="001043A6" w:rsidRDefault="001333B2" w:rsidP="001043A6">
      <w:pPr>
        <w:widowControl w:val="0"/>
        <w:tabs>
          <w:tab w:val="left" w:pos="1077"/>
        </w:tabs>
        <w:suppressAutoHyphens w:val="0"/>
        <w:spacing w:before="120" w:after="120"/>
        <w:ind w:firstLine="601"/>
        <w:jc w:val="both"/>
        <w:rPr>
          <w:rFonts w:ascii="Garamond" w:eastAsia="Calibri" w:hAnsi="Garamond" w:cs="Times New Roman"/>
          <w:bCs/>
          <w:sz w:val="22"/>
          <w:szCs w:val="22"/>
          <w:lang w:eastAsia="en-US"/>
        </w:rPr>
      </w:pPr>
      <w:r w:rsidRPr="001043A6">
        <w:rPr>
          <w:rFonts w:ascii="Garamond" w:eastAsia="Calibri" w:hAnsi="Garamond" w:cs="Times New Roman"/>
          <w:bCs/>
          <w:sz w:val="22"/>
          <w:szCs w:val="22"/>
          <w:lang w:eastAsia="en-US"/>
        </w:rPr>
        <w:t>Примеры наименований точек присоединения, расположенных на подстанции:</w:t>
      </w:r>
    </w:p>
    <w:tbl>
      <w:tblPr>
        <w:tblW w:w="9923"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7"/>
        <w:gridCol w:w="2410"/>
        <w:gridCol w:w="2268"/>
        <w:gridCol w:w="2268"/>
      </w:tblGrid>
      <w:tr w:rsidR="001333B2" w:rsidRPr="001333B2" w14:paraId="2911889D" w14:textId="77777777" w:rsidTr="0064152E">
        <w:trPr>
          <w:trHeight w:val="567"/>
        </w:trPr>
        <w:tc>
          <w:tcPr>
            <w:tcW w:w="2977" w:type="dxa"/>
            <w:vAlign w:val="center"/>
          </w:tcPr>
          <w:p w14:paraId="60B53B7B" w14:textId="77777777" w:rsidR="001333B2" w:rsidRPr="001333B2" w:rsidRDefault="001333B2" w:rsidP="001333B2">
            <w:pPr>
              <w:suppressAutoHyphens w:val="0"/>
              <w:spacing w:after="160" w:line="259" w:lineRule="auto"/>
              <w:ind w:firstLine="357"/>
              <w:jc w:val="center"/>
              <w:rPr>
                <w:rFonts w:ascii="Garamond" w:eastAsia="Calibri" w:hAnsi="Garamond" w:cs="Times New Roman"/>
                <w:b/>
                <w:sz w:val="22"/>
                <w:szCs w:val="22"/>
                <w:lang w:eastAsia="en-US"/>
              </w:rPr>
            </w:pPr>
            <w:r w:rsidRPr="001333B2">
              <w:rPr>
                <w:rFonts w:ascii="Garamond" w:eastAsia="Calibri" w:hAnsi="Garamond" w:cs="Times New Roman"/>
                <w:b/>
                <w:sz w:val="22"/>
                <w:szCs w:val="22"/>
                <w:lang w:eastAsia="en-US"/>
              </w:rPr>
              <w:t xml:space="preserve">Наименование точки </w:t>
            </w:r>
            <w:r w:rsidRPr="001333B2">
              <w:rPr>
                <w:rFonts w:ascii="Garamond" w:eastAsia="Calibri" w:hAnsi="Garamond" w:cs="Times New Roman"/>
                <w:b/>
                <w:bCs/>
                <w:sz w:val="22"/>
                <w:szCs w:val="22"/>
                <w:lang w:eastAsia="en-US"/>
              </w:rPr>
              <w:t>присоединения</w:t>
            </w:r>
          </w:p>
        </w:tc>
        <w:tc>
          <w:tcPr>
            <w:tcW w:w="2410" w:type="dxa"/>
            <w:shd w:val="clear" w:color="auto" w:fill="auto"/>
            <w:vAlign w:val="center"/>
          </w:tcPr>
          <w:p w14:paraId="23B7D7D2" w14:textId="77777777" w:rsidR="001333B2" w:rsidRPr="001333B2" w:rsidRDefault="001333B2" w:rsidP="001333B2">
            <w:pPr>
              <w:suppressAutoHyphens w:val="0"/>
              <w:spacing w:after="160" w:line="259" w:lineRule="auto"/>
              <w:ind w:firstLine="357"/>
              <w:jc w:val="center"/>
              <w:rPr>
                <w:rFonts w:ascii="Garamond" w:eastAsia="Calibri" w:hAnsi="Garamond" w:cs="Times New Roman"/>
                <w:sz w:val="22"/>
                <w:szCs w:val="22"/>
                <w:lang w:eastAsia="en-US"/>
              </w:rPr>
            </w:pPr>
            <w:r w:rsidRPr="001333B2">
              <w:rPr>
                <w:rFonts w:ascii="Garamond" w:eastAsia="Calibri" w:hAnsi="Garamond" w:cs="Times New Roman"/>
                <w:b/>
                <w:sz w:val="22"/>
                <w:szCs w:val="22"/>
                <w:lang w:eastAsia="en-US"/>
              </w:rPr>
              <w:t>Наименование энергообъекта</w:t>
            </w:r>
          </w:p>
        </w:tc>
        <w:tc>
          <w:tcPr>
            <w:tcW w:w="2268" w:type="dxa"/>
            <w:shd w:val="clear" w:color="auto" w:fill="auto"/>
            <w:vAlign w:val="center"/>
          </w:tcPr>
          <w:p w14:paraId="5EDF499C" w14:textId="77777777" w:rsidR="001333B2" w:rsidRPr="001333B2" w:rsidRDefault="001333B2" w:rsidP="001333B2">
            <w:pPr>
              <w:suppressAutoHyphens w:val="0"/>
              <w:spacing w:after="160" w:line="259" w:lineRule="auto"/>
              <w:ind w:firstLine="357"/>
              <w:jc w:val="center"/>
              <w:rPr>
                <w:rFonts w:ascii="Garamond" w:eastAsia="Calibri" w:hAnsi="Garamond" w:cs="Times New Roman"/>
                <w:sz w:val="22"/>
                <w:szCs w:val="22"/>
                <w:lang w:eastAsia="en-US"/>
              </w:rPr>
            </w:pPr>
            <w:r w:rsidRPr="001333B2">
              <w:rPr>
                <w:rFonts w:ascii="Garamond" w:eastAsia="Calibri" w:hAnsi="Garamond" w:cs="Times New Roman"/>
                <w:b/>
                <w:sz w:val="22"/>
                <w:szCs w:val="22"/>
                <w:lang w:eastAsia="en-US"/>
              </w:rPr>
              <w:t>Описание месторасположения</w:t>
            </w:r>
          </w:p>
        </w:tc>
        <w:tc>
          <w:tcPr>
            <w:tcW w:w="2268" w:type="dxa"/>
            <w:shd w:val="clear" w:color="auto" w:fill="auto"/>
            <w:vAlign w:val="center"/>
          </w:tcPr>
          <w:p w14:paraId="3717D9F6" w14:textId="77777777" w:rsidR="001333B2" w:rsidRPr="001333B2" w:rsidRDefault="001333B2" w:rsidP="001333B2">
            <w:pPr>
              <w:suppressAutoHyphens w:val="0"/>
              <w:spacing w:after="160" w:line="259" w:lineRule="auto"/>
              <w:ind w:firstLine="357"/>
              <w:jc w:val="center"/>
              <w:rPr>
                <w:rFonts w:ascii="Garamond" w:eastAsia="Calibri" w:hAnsi="Garamond" w:cs="Times New Roman"/>
                <w:sz w:val="22"/>
                <w:szCs w:val="22"/>
                <w:lang w:eastAsia="en-US"/>
              </w:rPr>
            </w:pPr>
            <w:r w:rsidRPr="001333B2">
              <w:rPr>
                <w:rFonts w:ascii="Garamond" w:eastAsia="Calibri" w:hAnsi="Garamond" w:cs="Times New Roman"/>
                <w:b/>
                <w:sz w:val="22"/>
                <w:szCs w:val="22"/>
                <w:lang w:eastAsia="en-US"/>
              </w:rPr>
              <w:t>Наименование присоединения</w:t>
            </w:r>
          </w:p>
        </w:tc>
      </w:tr>
      <w:tr w:rsidR="001333B2" w:rsidRPr="001333B2" w14:paraId="736B2E06" w14:textId="77777777" w:rsidTr="0064152E">
        <w:trPr>
          <w:trHeight w:val="567"/>
        </w:trPr>
        <w:tc>
          <w:tcPr>
            <w:tcW w:w="2977" w:type="dxa"/>
            <w:vAlign w:val="center"/>
          </w:tcPr>
          <w:p w14:paraId="20B2A523" w14:textId="77777777" w:rsidR="001333B2" w:rsidRPr="001333B2" w:rsidRDefault="001333B2" w:rsidP="001333B2">
            <w:pPr>
              <w:suppressAutoHyphens w:val="0"/>
              <w:spacing w:line="259" w:lineRule="auto"/>
              <w:jc w:val="both"/>
              <w:rPr>
                <w:rFonts w:ascii="Garamond" w:eastAsia="Calibri" w:hAnsi="Garamond" w:cs="Times New Roman"/>
                <w:sz w:val="22"/>
                <w:szCs w:val="22"/>
                <w:lang w:eastAsia="en-US"/>
              </w:rPr>
            </w:pPr>
            <w:r w:rsidRPr="001333B2">
              <w:rPr>
                <w:rFonts w:ascii="Garamond" w:eastAsia="Calibri" w:hAnsi="Garamond" w:cs="Times New Roman"/>
                <w:bCs/>
                <w:sz w:val="22"/>
                <w:szCs w:val="22"/>
                <w:lang w:eastAsia="en-US"/>
              </w:rPr>
              <w:t>ПС 110 кВ Восточная (ПС-15), РУ-10 кВ, КЛ 10 кВ ф. 10</w:t>
            </w:r>
          </w:p>
        </w:tc>
        <w:tc>
          <w:tcPr>
            <w:tcW w:w="2410" w:type="dxa"/>
            <w:shd w:val="clear" w:color="auto" w:fill="auto"/>
            <w:vAlign w:val="center"/>
          </w:tcPr>
          <w:p w14:paraId="0075E8BD" w14:textId="77777777" w:rsidR="001333B2" w:rsidRPr="001333B2" w:rsidRDefault="001333B2" w:rsidP="001333B2">
            <w:pPr>
              <w:suppressAutoHyphens w:val="0"/>
              <w:spacing w:line="259" w:lineRule="auto"/>
              <w:jc w:val="both"/>
              <w:rPr>
                <w:rFonts w:ascii="Garamond" w:eastAsia="Calibri" w:hAnsi="Garamond" w:cs="Times New Roman"/>
                <w:sz w:val="22"/>
                <w:szCs w:val="22"/>
                <w:lang w:eastAsia="en-US"/>
              </w:rPr>
            </w:pPr>
            <w:r w:rsidRPr="001333B2">
              <w:rPr>
                <w:rFonts w:ascii="Garamond" w:eastAsia="Calibri" w:hAnsi="Garamond" w:cs="Times New Roman"/>
                <w:bCs/>
                <w:sz w:val="22"/>
                <w:szCs w:val="22"/>
                <w:lang w:eastAsia="en-US"/>
              </w:rPr>
              <w:t>ПС 110 кВ Восточная (ПС-15)</w:t>
            </w:r>
          </w:p>
        </w:tc>
        <w:tc>
          <w:tcPr>
            <w:tcW w:w="2268" w:type="dxa"/>
            <w:shd w:val="clear" w:color="auto" w:fill="auto"/>
            <w:vAlign w:val="center"/>
          </w:tcPr>
          <w:p w14:paraId="466E56E7" w14:textId="77777777" w:rsidR="001333B2" w:rsidRPr="001333B2" w:rsidRDefault="001333B2" w:rsidP="001333B2">
            <w:pPr>
              <w:suppressAutoHyphens w:val="0"/>
              <w:spacing w:line="259" w:lineRule="auto"/>
              <w:jc w:val="both"/>
              <w:rPr>
                <w:rFonts w:ascii="Garamond" w:eastAsia="Calibri" w:hAnsi="Garamond" w:cs="Times New Roman"/>
                <w:sz w:val="22"/>
                <w:szCs w:val="22"/>
                <w:lang w:eastAsia="en-US"/>
              </w:rPr>
            </w:pPr>
            <w:r w:rsidRPr="001333B2">
              <w:rPr>
                <w:rFonts w:ascii="Garamond" w:eastAsia="Calibri" w:hAnsi="Garamond" w:cs="Times New Roman"/>
                <w:bCs/>
                <w:sz w:val="22"/>
                <w:szCs w:val="22"/>
                <w:lang w:eastAsia="en-US"/>
              </w:rPr>
              <w:t>РУ-10 кВ</w:t>
            </w:r>
          </w:p>
        </w:tc>
        <w:tc>
          <w:tcPr>
            <w:tcW w:w="2268" w:type="dxa"/>
            <w:shd w:val="clear" w:color="auto" w:fill="auto"/>
            <w:vAlign w:val="center"/>
          </w:tcPr>
          <w:p w14:paraId="1208B743" w14:textId="77777777" w:rsidR="001333B2" w:rsidRPr="001333B2" w:rsidRDefault="001333B2" w:rsidP="001333B2">
            <w:pPr>
              <w:suppressAutoHyphens w:val="0"/>
              <w:spacing w:line="259" w:lineRule="auto"/>
              <w:jc w:val="both"/>
              <w:rPr>
                <w:rFonts w:ascii="Garamond" w:eastAsia="Calibri" w:hAnsi="Garamond" w:cs="Times New Roman"/>
                <w:sz w:val="22"/>
                <w:szCs w:val="22"/>
                <w:lang w:eastAsia="en-US"/>
              </w:rPr>
            </w:pPr>
            <w:r w:rsidRPr="001333B2">
              <w:rPr>
                <w:rFonts w:ascii="Garamond" w:eastAsia="Calibri" w:hAnsi="Garamond" w:cs="Times New Roman"/>
                <w:bCs/>
                <w:sz w:val="22"/>
                <w:szCs w:val="22"/>
                <w:lang w:eastAsia="en-US"/>
              </w:rPr>
              <w:t>КЛ 10 кВ ф. 10</w:t>
            </w:r>
          </w:p>
        </w:tc>
      </w:tr>
      <w:tr w:rsidR="001333B2" w:rsidRPr="001333B2" w14:paraId="5FC07243" w14:textId="77777777" w:rsidTr="0064152E">
        <w:trPr>
          <w:trHeight w:val="567"/>
        </w:trPr>
        <w:tc>
          <w:tcPr>
            <w:tcW w:w="2977" w:type="dxa"/>
            <w:vAlign w:val="center"/>
          </w:tcPr>
          <w:p w14:paraId="71D18E38" w14:textId="77777777" w:rsidR="001333B2" w:rsidRPr="001333B2" w:rsidRDefault="001333B2" w:rsidP="001333B2">
            <w:pPr>
              <w:suppressAutoHyphens w:val="0"/>
              <w:spacing w:line="259" w:lineRule="auto"/>
              <w:jc w:val="both"/>
              <w:rPr>
                <w:rFonts w:ascii="Garamond" w:eastAsia="Calibri" w:hAnsi="Garamond" w:cs="Times New Roman"/>
                <w:bCs/>
                <w:sz w:val="22"/>
                <w:szCs w:val="22"/>
                <w:lang w:eastAsia="en-US"/>
              </w:rPr>
            </w:pPr>
            <w:r w:rsidRPr="001333B2">
              <w:rPr>
                <w:rFonts w:ascii="Garamond" w:eastAsia="Calibri" w:hAnsi="Garamond" w:cs="Times New Roman"/>
                <w:bCs/>
                <w:sz w:val="22"/>
                <w:szCs w:val="22"/>
                <w:lang w:eastAsia="en-US"/>
              </w:rPr>
              <w:t>ПС 110 кВ Заводская № 25, РУ-10 кВ, яч. 7, ф. 25</w:t>
            </w:r>
          </w:p>
        </w:tc>
        <w:tc>
          <w:tcPr>
            <w:tcW w:w="2410" w:type="dxa"/>
            <w:shd w:val="clear" w:color="auto" w:fill="auto"/>
            <w:vAlign w:val="center"/>
          </w:tcPr>
          <w:p w14:paraId="0F49E5DF" w14:textId="77777777" w:rsidR="001333B2" w:rsidRPr="001333B2" w:rsidRDefault="001333B2" w:rsidP="001333B2">
            <w:pPr>
              <w:suppressAutoHyphens w:val="0"/>
              <w:spacing w:line="259" w:lineRule="auto"/>
              <w:jc w:val="both"/>
              <w:rPr>
                <w:rFonts w:ascii="Garamond" w:eastAsia="Calibri" w:hAnsi="Garamond" w:cs="Times New Roman"/>
                <w:bCs/>
                <w:sz w:val="22"/>
                <w:szCs w:val="22"/>
                <w:lang w:eastAsia="en-US"/>
              </w:rPr>
            </w:pPr>
            <w:r w:rsidRPr="001333B2">
              <w:rPr>
                <w:rFonts w:ascii="Garamond" w:eastAsia="Calibri" w:hAnsi="Garamond" w:cs="Times New Roman"/>
                <w:bCs/>
                <w:sz w:val="22"/>
                <w:szCs w:val="22"/>
                <w:lang w:eastAsia="en-US"/>
              </w:rPr>
              <w:t>ПС 110 кВ Заводская № 25</w:t>
            </w:r>
          </w:p>
        </w:tc>
        <w:tc>
          <w:tcPr>
            <w:tcW w:w="2268" w:type="dxa"/>
            <w:shd w:val="clear" w:color="auto" w:fill="auto"/>
            <w:vAlign w:val="center"/>
          </w:tcPr>
          <w:p w14:paraId="2104424D" w14:textId="77777777" w:rsidR="001333B2" w:rsidRPr="001333B2" w:rsidRDefault="001333B2" w:rsidP="001333B2">
            <w:pPr>
              <w:suppressAutoHyphens w:val="0"/>
              <w:spacing w:line="259" w:lineRule="auto"/>
              <w:jc w:val="both"/>
              <w:rPr>
                <w:rFonts w:ascii="Garamond" w:eastAsia="Calibri" w:hAnsi="Garamond" w:cs="Times New Roman"/>
                <w:bCs/>
                <w:sz w:val="22"/>
                <w:szCs w:val="22"/>
                <w:lang w:eastAsia="en-US"/>
              </w:rPr>
            </w:pPr>
            <w:r w:rsidRPr="001333B2">
              <w:rPr>
                <w:rFonts w:ascii="Garamond" w:eastAsia="Calibri" w:hAnsi="Garamond" w:cs="Times New Roman"/>
                <w:bCs/>
                <w:sz w:val="22"/>
                <w:szCs w:val="22"/>
                <w:lang w:eastAsia="en-US"/>
              </w:rPr>
              <w:t>РУ-10 кВ, яч. 7</w:t>
            </w:r>
          </w:p>
        </w:tc>
        <w:tc>
          <w:tcPr>
            <w:tcW w:w="2268" w:type="dxa"/>
            <w:shd w:val="clear" w:color="auto" w:fill="auto"/>
            <w:vAlign w:val="center"/>
          </w:tcPr>
          <w:p w14:paraId="3B7056D8" w14:textId="77777777" w:rsidR="001333B2" w:rsidRPr="001333B2" w:rsidRDefault="001333B2" w:rsidP="001333B2">
            <w:pPr>
              <w:suppressAutoHyphens w:val="0"/>
              <w:spacing w:line="259" w:lineRule="auto"/>
              <w:jc w:val="both"/>
              <w:rPr>
                <w:rFonts w:ascii="Garamond" w:eastAsia="Calibri" w:hAnsi="Garamond" w:cs="Times New Roman"/>
                <w:bCs/>
                <w:sz w:val="22"/>
                <w:szCs w:val="22"/>
                <w:lang w:eastAsia="en-US"/>
              </w:rPr>
            </w:pPr>
            <w:r w:rsidRPr="001333B2">
              <w:rPr>
                <w:rFonts w:ascii="Garamond" w:eastAsia="Calibri" w:hAnsi="Garamond" w:cs="Times New Roman"/>
                <w:bCs/>
                <w:sz w:val="22"/>
                <w:szCs w:val="22"/>
                <w:lang w:eastAsia="en-US"/>
              </w:rPr>
              <w:t>ф. 25</w:t>
            </w:r>
          </w:p>
        </w:tc>
      </w:tr>
      <w:tr w:rsidR="001333B2" w:rsidRPr="001333B2" w14:paraId="7AD1CD15" w14:textId="77777777" w:rsidTr="0064152E">
        <w:trPr>
          <w:trHeight w:val="567"/>
        </w:trPr>
        <w:tc>
          <w:tcPr>
            <w:tcW w:w="2977" w:type="dxa"/>
            <w:vAlign w:val="center"/>
          </w:tcPr>
          <w:p w14:paraId="74EC4D5A" w14:textId="77777777" w:rsidR="001333B2" w:rsidRPr="001333B2" w:rsidRDefault="001333B2" w:rsidP="001333B2">
            <w:pPr>
              <w:suppressAutoHyphens w:val="0"/>
              <w:spacing w:line="259" w:lineRule="auto"/>
              <w:jc w:val="both"/>
              <w:rPr>
                <w:rFonts w:ascii="Garamond" w:eastAsia="Calibri" w:hAnsi="Garamond" w:cs="Times New Roman"/>
                <w:sz w:val="22"/>
                <w:szCs w:val="22"/>
                <w:lang w:eastAsia="en-US"/>
              </w:rPr>
            </w:pPr>
            <w:r w:rsidRPr="001333B2">
              <w:rPr>
                <w:rFonts w:ascii="Garamond" w:eastAsia="Calibri" w:hAnsi="Garamond" w:cs="Times New Roman"/>
                <w:bCs/>
                <w:sz w:val="22"/>
                <w:szCs w:val="22"/>
                <w:lang w:eastAsia="en-US"/>
              </w:rPr>
              <w:t>ПС 110 кВ Дальняя, Ввод 10 кВ Т-1</w:t>
            </w:r>
          </w:p>
        </w:tc>
        <w:tc>
          <w:tcPr>
            <w:tcW w:w="2410" w:type="dxa"/>
            <w:shd w:val="clear" w:color="auto" w:fill="auto"/>
            <w:vAlign w:val="center"/>
          </w:tcPr>
          <w:p w14:paraId="28606DCF" w14:textId="77777777" w:rsidR="001333B2" w:rsidRPr="001333B2" w:rsidRDefault="001333B2" w:rsidP="001333B2">
            <w:pPr>
              <w:suppressAutoHyphens w:val="0"/>
              <w:spacing w:line="259" w:lineRule="auto"/>
              <w:jc w:val="both"/>
              <w:rPr>
                <w:rFonts w:ascii="Garamond" w:eastAsia="Calibri" w:hAnsi="Garamond" w:cs="Times New Roman"/>
                <w:sz w:val="22"/>
                <w:szCs w:val="22"/>
                <w:lang w:eastAsia="en-US"/>
              </w:rPr>
            </w:pPr>
            <w:r w:rsidRPr="001333B2">
              <w:rPr>
                <w:rFonts w:ascii="Garamond" w:eastAsia="Calibri" w:hAnsi="Garamond" w:cs="Times New Roman"/>
                <w:bCs/>
                <w:sz w:val="22"/>
                <w:szCs w:val="22"/>
                <w:lang w:eastAsia="en-US"/>
              </w:rPr>
              <w:t>ПС 110 кВ Дальняя</w:t>
            </w:r>
          </w:p>
        </w:tc>
        <w:tc>
          <w:tcPr>
            <w:tcW w:w="2268" w:type="dxa"/>
            <w:shd w:val="clear" w:color="auto" w:fill="auto"/>
            <w:vAlign w:val="center"/>
          </w:tcPr>
          <w:p w14:paraId="16615846" w14:textId="77777777" w:rsidR="001333B2" w:rsidRPr="001333B2" w:rsidRDefault="001333B2" w:rsidP="001333B2">
            <w:pPr>
              <w:suppressAutoHyphens w:val="0"/>
              <w:spacing w:line="259" w:lineRule="auto"/>
              <w:jc w:val="center"/>
              <w:rPr>
                <w:rFonts w:ascii="Garamond" w:eastAsia="Calibri" w:hAnsi="Garamond" w:cs="Times New Roman"/>
                <w:sz w:val="22"/>
                <w:szCs w:val="22"/>
                <w:lang w:eastAsia="en-US"/>
              </w:rPr>
            </w:pPr>
            <w:r w:rsidRPr="001333B2">
              <w:rPr>
                <w:rFonts w:ascii="Garamond" w:eastAsia="Calibri" w:hAnsi="Garamond" w:cs="Times New Roman"/>
                <w:bCs/>
                <w:sz w:val="22"/>
                <w:szCs w:val="22"/>
                <w:lang w:eastAsia="en-US"/>
              </w:rPr>
              <w:t>–</w:t>
            </w:r>
          </w:p>
        </w:tc>
        <w:tc>
          <w:tcPr>
            <w:tcW w:w="2268" w:type="dxa"/>
            <w:shd w:val="clear" w:color="auto" w:fill="auto"/>
            <w:vAlign w:val="center"/>
          </w:tcPr>
          <w:p w14:paraId="2F842024" w14:textId="77777777" w:rsidR="001333B2" w:rsidRPr="001333B2" w:rsidRDefault="001333B2" w:rsidP="001333B2">
            <w:pPr>
              <w:suppressAutoHyphens w:val="0"/>
              <w:spacing w:line="259" w:lineRule="auto"/>
              <w:jc w:val="both"/>
              <w:rPr>
                <w:rFonts w:ascii="Garamond" w:eastAsia="Calibri" w:hAnsi="Garamond" w:cs="Times New Roman"/>
                <w:sz w:val="22"/>
                <w:szCs w:val="22"/>
                <w:lang w:eastAsia="en-US"/>
              </w:rPr>
            </w:pPr>
            <w:r w:rsidRPr="001333B2">
              <w:rPr>
                <w:rFonts w:ascii="Garamond" w:eastAsia="Calibri" w:hAnsi="Garamond" w:cs="Times New Roman"/>
                <w:bCs/>
                <w:sz w:val="22"/>
                <w:szCs w:val="22"/>
                <w:lang w:eastAsia="en-US"/>
              </w:rPr>
              <w:t>Ввод 10 кВ Т-1</w:t>
            </w:r>
          </w:p>
        </w:tc>
      </w:tr>
      <w:tr w:rsidR="001333B2" w:rsidRPr="001333B2" w14:paraId="1103B4D5" w14:textId="77777777" w:rsidTr="0064152E">
        <w:trPr>
          <w:trHeight w:val="567"/>
        </w:trPr>
        <w:tc>
          <w:tcPr>
            <w:tcW w:w="2977" w:type="dxa"/>
            <w:vAlign w:val="center"/>
          </w:tcPr>
          <w:p w14:paraId="5DB58DD2" w14:textId="77777777" w:rsidR="001333B2" w:rsidRPr="001333B2" w:rsidRDefault="001333B2" w:rsidP="001333B2">
            <w:pPr>
              <w:suppressAutoHyphens w:val="0"/>
              <w:spacing w:line="259" w:lineRule="auto"/>
              <w:jc w:val="both"/>
              <w:rPr>
                <w:rFonts w:ascii="Garamond" w:eastAsia="Calibri" w:hAnsi="Garamond" w:cs="Times New Roman"/>
                <w:sz w:val="22"/>
                <w:szCs w:val="22"/>
                <w:lang w:eastAsia="en-US"/>
              </w:rPr>
            </w:pPr>
            <w:r w:rsidRPr="001333B2">
              <w:rPr>
                <w:rFonts w:ascii="Garamond" w:eastAsia="Calibri" w:hAnsi="Garamond" w:cs="Times New Roman"/>
                <w:bCs/>
                <w:sz w:val="22"/>
                <w:szCs w:val="22"/>
                <w:lang w:eastAsia="en-US"/>
              </w:rPr>
              <w:t>ПС 35 кВ Ближняя, ЗРУ-6 кВ, яч. № 2, КЛ 6 кВ</w:t>
            </w:r>
          </w:p>
        </w:tc>
        <w:tc>
          <w:tcPr>
            <w:tcW w:w="2410" w:type="dxa"/>
            <w:shd w:val="clear" w:color="auto" w:fill="auto"/>
            <w:vAlign w:val="center"/>
          </w:tcPr>
          <w:p w14:paraId="190EA069" w14:textId="77777777" w:rsidR="001333B2" w:rsidRPr="001333B2" w:rsidRDefault="001333B2" w:rsidP="001333B2">
            <w:pPr>
              <w:suppressAutoHyphens w:val="0"/>
              <w:spacing w:line="259" w:lineRule="auto"/>
              <w:jc w:val="both"/>
              <w:rPr>
                <w:rFonts w:ascii="Garamond" w:eastAsia="Calibri" w:hAnsi="Garamond" w:cs="Times New Roman"/>
                <w:sz w:val="22"/>
                <w:szCs w:val="22"/>
                <w:lang w:eastAsia="en-US"/>
              </w:rPr>
            </w:pPr>
            <w:r w:rsidRPr="001333B2">
              <w:rPr>
                <w:rFonts w:ascii="Garamond" w:eastAsia="Calibri" w:hAnsi="Garamond" w:cs="Times New Roman"/>
                <w:bCs/>
                <w:sz w:val="22"/>
                <w:szCs w:val="22"/>
                <w:lang w:eastAsia="en-US"/>
              </w:rPr>
              <w:t>ПС 35 кВ Ближняя</w:t>
            </w:r>
          </w:p>
        </w:tc>
        <w:tc>
          <w:tcPr>
            <w:tcW w:w="2268" w:type="dxa"/>
            <w:shd w:val="clear" w:color="auto" w:fill="auto"/>
            <w:vAlign w:val="center"/>
          </w:tcPr>
          <w:p w14:paraId="612C9DEE" w14:textId="77777777" w:rsidR="001333B2" w:rsidRPr="001333B2" w:rsidRDefault="001333B2" w:rsidP="001333B2">
            <w:pPr>
              <w:suppressAutoHyphens w:val="0"/>
              <w:spacing w:line="259" w:lineRule="auto"/>
              <w:jc w:val="both"/>
              <w:rPr>
                <w:rFonts w:ascii="Garamond" w:eastAsia="Calibri" w:hAnsi="Garamond" w:cs="Times New Roman"/>
                <w:sz w:val="22"/>
                <w:szCs w:val="22"/>
                <w:lang w:eastAsia="en-US"/>
              </w:rPr>
            </w:pPr>
            <w:r w:rsidRPr="001333B2">
              <w:rPr>
                <w:rFonts w:ascii="Garamond" w:eastAsia="Calibri" w:hAnsi="Garamond" w:cs="Times New Roman"/>
                <w:bCs/>
                <w:sz w:val="22"/>
                <w:szCs w:val="22"/>
                <w:lang w:eastAsia="en-US"/>
              </w:rPr>
              <w:t>ЗРУ-6 кВ, яч. № 2</w:t>
            </w:r>
          </w:p>
        </w:tc>
        <w:tc>
          <w:tcPr>
            <w:tcW w:w="2268" w:type="dxa"/>
            <w:shd w:val="clear" w:color="auto" w:fill="auto"/>
            <w:vAlign w:val="center"/>
          </w:tcPr>
          <w:p w14:paraId="07B39FBC" w14:textId="77777777" w:rsidR="001333B2" w:rsidRPr="001333B2" w:rsidRDefault="001333B2" w:rsidP="001333B2">
            <w:pPr>
              <w:suppressAutoHyphens w:val="0"/>
              <w:spacing w:line="259" w:lineRule="auto"/>
              <w:jc w:val="both"/>
              <w:rPr>
                <w:rFonts w:ascii="Garamond" w:eastAsia="Calibri" w:hAnsi="Garamond" w:cs="Times New Roman"/>
                <w:sz w:val="22"/>
                <w:szCs w:val="22"/>
                <w:lang w:eastAsia="en-US"/>
              </w:rPr>
            </w:pPr>
            <w:r w:rsidRPr="001333B2">
              <w:rPr>
                <w:rFonts w:ascii="Garamond" w:eastAsia="Calibri" w:hAnsi="Garamond" w:cs="Times New Roman"/>
                <w:bCs/>
                <w:sz w:val="22"/>
                <w:szCs w:val="22"/>
                <w:lang w:eastAsia="en-US"/>
              </w:rPr>
              <w:t>КЛ 6 кВ</w:t>
            </w:r>
          </w:p>
        </w:tc>
      </w:tr>
      <w:tr w:rsidR="001333B2" w:rsidRPr="001333B2" w14:paraId="5A1C1643" w14:textId="77777777" w:rsidTr="0064152E">
        <w:trPr>
          <w:trHeight w:val="567"/>
        </w:trPr>
        <w:tc>
          <w:tcPr>
            <w:tcW w:w="2977" w:type="dxa"/>
            <w:vAlign w:val="center"/>
          </w:tcPr>
          <w:p w14:paraId="563D186F" w14:textId="77777777" w:rsidR="001333B2" w:rsidRPr="001333B2" w:rsidRDefault="001333B2" w:rsidP="001333B2">
            <w:pPr>
              <w:suppressAutoHyphens w:val="0"/>
              <w:spacing w:line="259" w:lineRule="auto"/>
              <w:jc w:val="both"/>
              <w:rPr>
                <w:rFonts w:ascii="Garamond" w:eastAsia="Calibri" w:hAnsi="Garamond" w:cs="Times New Roman"/>
                <w:bCs/>
                <w:sz w:val="22"/>
                <w:szCs w:val="22"/>
                <w:lang w:eastAsia="en-US"/>
              </w:rPr>
            </w:pPr>
            <w:r w:rsidRPr="001333B2">
              <w:rPr>
                <w:rFonts w:ascii="Garamond" w:eastAsia="Calibri" w:hAnsi="Garamond" w:cs="Calibri"/>
                <w:sz w:val="22"/>
                <w:szCs w:val="22"/>
                <w:lang w:eastAsia="en-US"/>
              </w:rPr>
              <w:t>ПС 35 кВ БКНС-4, ввод 0,4 кВ ТСН-1</w:t>
            </w:r>
          </w:p>
        </w:tc>
        <w:tc>
          <w:tcPr>
            <w:tcW w:w="2410" w:type="dxa"/>
            <w:shd w:val="clear" w:color="auto" w:fill="auto"/>
            <w:vAlign w:val="center"/>
          </w:tcPr>
          <w:p w14:paraId="00DF37FD" w14:textId="77777777" w:rsidR="001333B2" w:rsidRPr="001333B2" w:rsidRDefault="001333B2" w:rsidP="001333B2">
            <w:pPr>
              <w:suppressAutoHyphens w:val="0"/>
              <w:spacing w:line="259" w:lineRule="auto"/>
              <w:jc w:val="both"/>
              <w:rPr>
                <w:rFonts w:ascii="Garamond" w:eastAsia="Calibri" w:hAnsi="Garamond" w:cs="Times New Roman"/>
                <w:bCs/>
                <w:sz w:val="22"/>
                <w:szCs w:val="22"/>
                <w:lang w:eastAsia="en-US"/>
              </w:rPr>
            </w:pPr>
            <w:r w:rsidRPr="001333B2">
              <w:rPr>
                <w:rFonts w:ascii="Garamond" w:eastAsia="Calibri" w:hAnsi="Garamond" w:cs="Calibri"/>
                <w:sz w:val="22"/>
                <w:szCs w:val="22"/>
                <w:lang w:eastAsia="en-US"/>
              </w:rPr>
              <w:t>ПС 35 кВ БКНС-4</w:t>
            </w:r>
          </w:p>
        </w:tc>
        <w:tc>
          <w:tcPr>
            <w:tcW w:w="2268" w:type="dxa"/>
            <w:shd w:val="clear" w:color="auto" w:fill="auto"/>
            <w:vAlign w:val="center"/>
          </w:tcPr>
          <w:p w14:paraId="0E739A56" w14:textId="77777777" w:rsidR="001333B2" w:rsidRPr="001333B2" w:rsidRDefault="001333B2" w:rsidP="001333B2">
            <w:pPr>
              <w:suppressAutoHyphens w:val="0"/>
              <w:spacing w:line="259" w:lineRule="auto"/>
              <w:jc w:val="center"/>
              <w:rPr>
                <w:rFonts w:ascii="Garamond" w:eastAsia="Calibri" w:hAnsi="Garamond" w:cs="Times New Roman"/>
                <w:bCs/>
                <w:sz w:val="22"/>
                <w:szCs w:val="22"/>
                <w:lang w:eastAsia="en-US"/>
              </w:rPr>
            </w:pPr>
            <w:r w:rsidRPr="001333B2">
              <w:rPr>
                <w:rFonts w:ascii="Garamond" w:eastAsia="Calibri" w:hAnsi="Garamond" w:cs="Times New Roman"/>
                <w:bCs/>
                <w:sz w:val="22"/>
                <w:szCs w:val="22"/>
                <w:lang w:eastAsia="en-US"/>
              </w:rPr>
              <w:t>–</w:t>
            </w:r>
          </w:p>
        </w:tc>
        <w:tc>
          <w:tcPr>
            <w:tcW w:w="2268" w:type="dxa"/>
            <w:shd w:val="clear" w:color="auto" w:fill="auto"/>
            <w:vAlign w:val="center"/>
          </w:tcPr>
          <w:p w14:paraId="03F49C48" w14:textId="77777777" w:rsidR="001333B2" w:rsidRPr="001333B2" w:rsidRDefault="001333B2" w:rsidP="001333B2">
            <w:pPr>
              <w:suppressAutoHyphens w:val="0"/>
              <w:spacing w:line="259" w:lineRule="auto"/>
              <w:jc w:val="both"/>
              <w:rPr>
                <w:rFonts w:ascii="Garamond" w:eastAsia="Calibri" w:hAnsi="Garamond" w:cs="Times New Roman"/>
                <w:bCs/>
                <w:sz w:val="22"/>
                <w:szCs w:val="22"/>
                <w:lang w:eastAsia="en-US"/>
              </w:rPr>
            </w:pPr>
            <w:r w:rsidRPr="001333B2">
              <w:rPr>
                <w:rFonts w:ascii="Garamond" w:eastAsia="Calibri" w:hAnsi="Garamond" w:cs="Calibri"/>
                <w:sz w:val="22"/>
                <w:szCs w:val="22"/>
                <w:lang w:eastAsia="en-US"/>
              </w:rPr>
              <w:t>ввод 0,4 кВ ТСН-1</w:t>
            </w:r>
          </w:p>
        </w:tc>
      </w:tr>
      <w:tr w:rsidR="001333B2" w:rsidRPr="001333B2" w14:paraId="0CA738F1" w14:textId="77777777" w:rsidTr="0064152E">
        <w:trPr>
          <w:trHeight w:val="567"/>
        </w:trPr>
        <w:tc>
          <w:tcPr>
            <w:tcW w:w="2977" w:type="dxa"/>
            <w:vAlign w:val="center"/>
          </w:tcPr>
          <w:p w14:paraId="028EEEF5" w14:textId="77777777" w:rsidR="001333B2" w:rsidRPr="001333B2" w:rsidRDefault="001333B2" w:rsidP="001333B2">
            <w:pPr>
              <w:suppressAutoHyphens w:val="0"/>
              <w:spacing w:line="259" w:lineRule="auto"/>
              <w:jc w:val="both"/>
              <w:rPr>
                <w:rFonts w:ascii="Garamond" w:eastAsia="Calibri" w:hAnsi="Garamond" w:cs="Times New Roman"/>
                <w:sz w:val="22"/>
                <w:szCs w:val="22"/>
                <w:lang w:eastAsia="en-US"/>
              </w:rPr>
            </w:pPr>
            <w:r w:rsidRPr="001333B2">
              <w:rPr>
                <w:rFonts w:ascii="Garamond" w:eastAsia="Calibri" w:hAnsi="Garamond" w:cs="Times New Roman"/>
                <w:sz w:val="22"/>
                <w:szCs w:val="22"/>
                <w:lang w:eastAsia="en-US"/>
              </w:rPr>
              <w:t>КТПН-100 кВА 10 кВ, РУ-0,4 кВ, 2 СШ 0,4 кВ, КЛ 0,4 кВ в сторону склада</w:t>
            </w:r>
          </w:p>
        </w:tc>
        <w:tc>
          <w:tcPr>
            <w:tcW w:w="2410" w:type="dxa"/>
            <w:shd w:val="clear" w:color="auto" w:fill="auto"/>
            <w:vAlign w:val="center"/>
          </w:tcPr>
          <w:p w14:paraId="4071EA4C" w14:textId="77777777" w:rsidR="001333B2" w:rsidRPr="001333B2" w:rsidRDefault="001333B2" w:rsidP="001333B2">
            <w:pPr>
              <w:suppressAutoHyphens w:val="0"/>
              <w:spacing w:line="259" w:lineRule="auto"/>
              <w:jc w:val="both"/>
              <w:rPr>
                <w:rFonts w:ascii="Garamond" w:eastAsia="Calibri" w:hAnsi="Garamond" w:cs="Times New Roman"/>
                <w:sz w:val="22"/>
                <w:szCs w:val="22"/>
                <w:lang w:eastAsia="en-US"/>
              </w:rPr>
            </w:pPr>
            <w:r w:rsidRPr="001333B2">
              <w:rPr>
                <w:rFonts w:ascii="Garamond" w:eastAsia="Calibri" w:hAnsi="Garamond" w:cs="Times New Roman"/>
                <w:sz w:val="22"/>
                <w:szCs w:val="22"/>
                <w:lang w:eastAsia="en-US"/>
              </w:rPr>
              <w:t>КТПН-100 кВА 10 кВ</w:t>
            </w:r>
          </w:p>
        </w:tc>
        <w:tc>
          <w:tcPr>
            <w:tcW w:w="2268" w:type="dxa"/>
            <w:shd w:val="clear" w:color="auto" w:fill="auto"/>
            <w:vAlign w:val="center"/>
          </w:tcPr>
          <w:p w14:paraId="6D362F6A" w14:textId="77777777" w:rsidR="001333B2" w:rsidRPr="001333B2" w:rsidRDefault="001333B2" w:rsidP="001333B2">
            <w:pPr>
              <w:suppressAutoHyphens w:val="0"/>
              <w:spacing w:line="259" w:lineRule="auto"/>
              <w:jc w:val="both"/>
              <w:rPr>
                <w:rFonts w:ascii="Garamond" w:eastAsia="Calibri" w:hAnsi="Garamond" w:cs="Times New Roman"/>
                <w:sz w:val="22"/>
                <w:szCs w:val="22"/>
                <w:lang w:eastAsia="en-US"/>
              </w:rPr>
            </w:pPr>
            <w:r w:rsidRPr="001333B2">
              <w:rPr>
                <w:rFonts w:ascii="Garamond" w:eastAsia="Calibri" w:hAnsi="Garamond" w:cs="Times New Roman"/>
                <w:sz w:val="22"/>
                <w:szCs w:val="22"/>
                <w:lang w:eastAsia="en-US"/>
              </w:rPr>
              <w:t>РУ-0,4 кВ, 2 СШ 0,4 кВ</w:t>
            </w:r>
          </w:p>
        </w:tc>
        <w:tc>
          <w:tcPr>
            <w:tcW w:w="2268" w:type="dxa"/>
            <w:shd w:val="clear" w:color="auto" w:fill="auto"/>
            <w:vAlign w:val="center"/>
          </w:tcPr>
          <w:p w14:paraId="52C5E321" w14:textId="77777777" w:rsidR="001333B2" w:rsidRPr="001333B2" w:rsidRDefault="001333B2" w:rsidP="001333B2">
            <w:pPr>
              <w:suppressAutoHyphens w:val="0"/>
              <w:spacing w:line="259" w:lineRule="auto"/>
              <w:jc w:val="both"/>
              <w:rPr>
                <w:rFonts w:ascii="Garamond" w:eastAsia="Calibri" w:hAnsi="Garamond" w:cs="Times New Roman"/>
                <w:sz w:val="22"/>
                <w:szCs w:val="22"/>
                <w:lang w:eastAsia="en-US"/>
              </w:rPr>
            </w:pPr>
            <w:r w:rsidRPr="001333B2">
              <w:rPr>
                <w:rFonts w:ascii="Garamond" w:eastAsia="Calibri" w:hAnsi="Garamond" w:cs="Times New Roman"/>
                <w:sz w:val="22"/>
                <w:szCs w:val="22"/>
                <w:lang w:eastAsia="en-US"/>
              </w:rPr>
              <w:t>КЛ 0,4 кВ в сторону склада</w:t>
            </w:r>
          </w:p>
        </w:tc>
      </w:tr>
      <w:tr w:rsidR="001333B2" w:rsidRPr="001333B2" w14:paraId="54A6039F" w14:textId="77777777" w:rsidTr="0064152E">
        <w:trPr>
          <w:trHeight w:val="567"/>
        </w:trPr>
        <w:tc>
          <w:tcPr>
            <w:tcW w:w="2977" w:type="dxa"/>
            <w:vAlign w:val="center"/>
          </w:tcPr>
          <w:p w14:paraId="064021C3" w14:textId="77777777" w:rsidR="001333B2" w:rsidRPr="001333B2" w:rsidRDefault="001333B2" w:rsidP="001333B2">
            <w:pPr>
              <w:suppressAutoHyphens w:val="0"/>
              <w:spacing w:line="259" w:lineRule="auto"/>
              <w:jc w:val="both"/>
              <w:rPr>
                <w:rFonts w:ascii="Garamond" w:eastAsia="Calibri" w:hAnsi="Garamond" w:cs="Times New Roman"/>
                <w:sz w:val="22"/>
                <w:szCs w:val="22"/>
                <w:lang w:eastAsia="en-US"/>
              </w:rPr>
            </w:pPr>
            <w:r w:rsidRPr="001333B2">
              <w:rPr>
                <w:rFonts w:ascii="Garamond" w:eastAsia="Calibri" w:hAnsi="Garamond" w:cs="Times New Roman"/>
                <w:sz w:val="22"/>
                <w:szCs w:val="22"/>
                <w:lang w:eastAsia="en-US"/>
              </w:rPr>
              <w:t>КТП-6 кВ № 1 Куст № 259 Быстринское месторождение, КЛ 0,4 кВ</w:t>
            </w:r>
          </w:p>
        </w:tc>
        <w:tc>
          <w:tcPr>
            <w:tcW w:w="2410" w:type="dxa"/>
            <w:shd w:val="clear" w:color="auto" w:fill="auto"/>
            <w:vAlign w:val="center"/>
          </w:tcPr>
          <w:p w14:paraId="655BEFC2" w14:textId="77777777" w:rsidR="001333B2" w:rsidRPr="001333B2" w:rsidRDefault="001333B2" w:rsidP="001333B2">
            <w:pPr>
              <w:suppressAutoHyphens w:val="0"/>
              <w:spacing w:line="259" w:lineRule="auto"/>
              <w:jc w:val="both"/>
              <w:rPr>
                <w:rFonts w:ascii="Garamond" w:eastAsia="Calibri" w:hAnsi="Garamond" w:cs="Times New Roman"/>
                <w:sz w:val="22"/>
                <w:szCs w:val="22"/>
                <w:lang w:eastAsia="en-US"/>
              </w:rPr>
            </w:pPr>
            <w:r w:rsidRPr="001333B2">
              <w:rPr>
                <w:rFonts w:ascii="Garamond" w:eastAsia="Calibri" w:hAnsi="Garamond" w:cs="Times New Roman"/>
                <w:sz w:val="22"/>
                <w:szCs w:val="22"/>
                <w:lang w:eastAsia="en-US"/>
              </w:rPr>
              <w:t>КТП-6 кВ № 1 Куст № 259 Быстринское месторождение</w:t>
            </w:r>
          </w:p>
        </w:tc>
        <w:tc>
          <w:tcPr>
            <w:tcW w:w="2268" w:type="dxa"/>
            <w:shd w:val="clear" w:color="auto" w:fill="auto"/>
            <w:vAlign w:val="center"/>
          </w:tcPr>
          <w:p w14:paraId="1309CEFB" w14:textId="77777777" w:rsidR="001333B2" w:rsidRPr="001333B2" w:rsidRDefault="001333B2" w:rsidP="001333B2">
            <w:pPr>
              <w:suppressAutoHyphens w:val="0"/>
              <w:spacing w:line="259" w:lineRule="auto"/>
              <w:jc w:val="center"/>
              <w:rPr>
                <w:rFonts w:ascii="Garamond" w:eastAsia="Calibri" w:hAnsi="Garamond" w:cs="Times New Roman"/>
                <w:sz w:val="22"/>
                <w:szCs w:val="22"/>
                <w:lang w:eastAsia="en-US"/>
              </w:rPr>
            </w:pPr>
            <w:r w:rsidRPr="001333B2">
              <w:rPr>
                <w:rFonts w:ascii="Garamond" w:eastAsia="Calibri" w:hAnsi="Garamond" w:cs="Times New Roman"/>
                <w:bCs/>
                <w:sz w:val="22"/>
                <w:szCs w:val="22"/>
                <w:lang w:eastAsia="en-US"/>
              </w:rPr>
              <w:t>–</w:t>
            </w:r>
          </w:p>
        </w:tc>
        <w:tc>
          <w:tcPr>
            <w:tcW w:w="2268" w:type="dxa"/>
            <w:shd w:val="clear" w:color="auto" w:fill="auto"/>
            <w:vAlign w:val="center"/>
          </w:tcPr>
          <w:p w14:paraId="7A561D11" w14:textId="77777777" w:rsidR="001333B2" w:rsidRPr="001333B2" w:rsidRDefault="001333B2" w:rsidP="001333B2">
            <w:pPr>
              <w:suppressAutoHyphens w:val="0"/>
              <w:spacing w:line="259" w:lineRule="auto"/>
              <w:jc w:val="both"/>
              <w:rPr>
                <w:rFonts w:ascii="Garamond" w:eastAsia="Calibri" w:hAnsi="Garamond" w:cs="Times New Roman"/>
                <w:sz w:val="22"/>
                <w:szCs w:val="22"/>
                <w:lang w:eastAsia="en-US"/>
              </w:rPr>
            </w:pPr>
            <w:r w:rsidRPr="001333B2">
              <w:rPr>
                <w:rFonts w:ascii="Garamond" w:eastAsia="Calibri" w:hAnsi="Garamond" w:cs="Times New Roman"/>
                <w:sz w:val="22"/>
                <w:szCs w:val="22"/>
                <w:lang w:eastAsia="en-US"/>
              </w:rPr>
              <w:t>КЛ 0,4 кВ</w:t>
            </w:r>
          </w:p>
        </w:tc>
      </w:tr>
      <w:tr w:rsidR="001333B2" w:rsidRPr="001333B2" w14:paraId="3EE18D80" w14:textId="77777777" w:rsidTr="0064152E">
        <w:trPr>
          <w:trHeight w:val="567"/>
        </w:trPr>
        <w:tc>
          <w:tcPr>
            <w:tcW w:w="2977" w:type="dxa"/>
            <w:vAlign w:val="center"/>
          </w:tcPr>
          <w:p w14:paraId="7FE5BAB5" w14:textId="77777777" w:rsidR="001333B2" w:rsidRPr="001333B2" w:rsidRDefault="001333B2" w:rsidP="001333B2">
            <w:pPr>
              <w:suppressAutoHyphens w:val="0"/>
              <w:spacing w:line="259" w:lineRule="auto"/>
              <w:jc w:val="both"/>
              <w:rPr>
                <w:rFonts w:ascii="Garamond" w:eastAsia="Calibri" w:hAnsi="Garamond" w:cs="Times New Roman"/>
                <w:sz w:val="22"/>
                <w:szCs w:val="22"/>
                <w:lang w:eastAsia="en-US"/>
              </w:rPr>
            </w:pPr>
            <w:r w:rsidRPr="001333B2">
              <w:rPr>
                <w:rFonts w:ascii="Garamond" w:eastAsia="Calibri" w:hAnsi="Garamond" w:cs="Times New Roman"/>
                <w:bCs/>
                <w:sz w:val="22"/>
                <w:szCs w:val="22"/>
                <w:lang w:eastAsia="en-US"/>
              </w:rPr>
              <w:t>РП Снежная 10 кВ, 1 СШ 10 кВ, ввод 10 кВ</w:t>
            </w:r>
          </w:p>
        </w:tc>
        <w:tc>
          <w:tcPr>
            <w:tcW w:w="2410" w:type="dxa"/>
            <w:shd w:val="clear" w:color="auto" w:fill="auto"/>
            <w:vAlign w:val="center"/>
          </w:tcPr>
          <w:p w14:paraId="2B38AAB1" w14:textId="77777777" w:rsidR="001333B2" w:rsidRPr="001333B2" w:rsidRDefault="001333B2" w:rsidP="001333B2">
            <w:pPr>
              <w:suppressAutoHyphens w:val="0"/>
              <w:spacing w:line="259" w:lineRule="auto"/>
              <w:jc w:val="both"/>
              <w:rPr>
                <w:rFonts w:ascii="Garamond" w:eastAsia="Calibri" w:hAnsi="Garamond" w:cs="Times New Roman"/>
                <w:sz w:val="22"/>
                <w:szCs w:val="22"/>
                <w:lang w:eastAsia="en-US"/>
              </w:rPr>
            </w:pPr>
            <w:r w:rsidRPr="001333B2">
              <w:rPr>
                <w:rFonts w:ascii="Garamond" w:eastAsia="Calibri" w:hAnsi="Garamond" w:cs="Times New Roman"/>
                <w:bCs/>
                <w:sz w:val="22"/>
                <w:szCs w:val="22"/>
                <w:lang w:eastAsia="en-US"/>
              </w:rPr>
              <w:t>РП Снежная 10 кВ</w:t>
            </w:r>
          </w:p>
        </w:tc>
        <w:tc>
          <w:tcPr>
            <w:tcW w:w="2268" w:type="dxa"/>
            <w:shd w:val="clear" w:color="auto" w:fill="auto"/>
            <w:vAlign w:val="center"/>
          </w:tcPr>
          <w:p w14:paraId="37F9025F" w14:textId="77777777" w:rsidR="001333B2" w:rsidRPr="001333B2" w:rsidRDefault="001333B2" w:rsidP="001333B2">
            <w:pPr>
              <w:suppressAutoHyphens w:val="0"/>
              <w:spacing w:line="259" w:lineRule="auto"/>
              <w:jc w:val="both"/>
              <w:rPr>
                <w:rFonts w:ascii="Garamond" w:eastAsia="Calibri" w:hAnsi="Garamond" w:cs="Times New Roman"/>
                <w:sz w:val="22"/>
                <w:szCs w:val="22"/>
                <w:lang w:eastAsia="en-US"/>
              </w:rPr>
            </w:pPr>
            <w:r w:rsidRPr="001333B2">
              <w:rPr>
                <w:rFonts w:ascii="Garamond" w:eastAsia="Calibri" w:hAnsi="Garamond" w:cs="Times New Roman"/>
                <w:bCs/>
                <w:sz w:val="22"/>
                <w:szCs w:val="22"/>
                <w:lang w:eastAsia="en-US"/>
              </w:rPr>
              <w:t>1 СШ 10 кВ</w:t>
            </w:r>
          </w:p>
        </w:tc>
        <w:tc>
          <w:tcPr>
            <w:tcW w:w="2268" w:type="dxa"/>
            <w:shd w:val="clear" w:color="auto" w:fill="auto"/>
            <w:vAlign w:val="center"/>
          </w:tcPr>
          <w:p w14:paraId="66DCC795" w14:textId="77777777" w:rsidR="001333B2" w:rsidRPr="001333B2" w:rsidRDefault="001333B2" w:rsidP="001333B2">
            <w:pPr>
              <w:suppressAutoHyphens w:val="0"/>
              <w:spacing w:line="259" w:lineRule="auto"/>
              <w:jc w:val="both"/>
              <w:rPr>
                <w:rFonts w:ascii="Garamond" w:eastAsia="Calibri" w:hAnsi="Garamond" w:cs="Times New Roman"/>
                <w:sz w:val="22"/>
                <w:szCs w:val="22"/>
                <w:lang w:eastAsia="en-US"/>
              </w:rPr>
            </w:pPr>
            <w:r w:rsidRPr="001333B2">
              <w:rPr>
                <w:rFonts w:ascii="Garamond" w:eastAsia="Calibri" w:hAnsi="Garamond" w:cs="Times New Roman"/>
                <w:bCs/>
                <w:sz w:val="22"/>
                <w:szCs w:val="22"/>
                <w:lang w:eastAsia="en-US"/>
              </w:rPr>
              <w:t>ввод 10 кВ</w:t>
            </w:r>
          </w:p>
        </w:tc>
      </w:tr>
      <w:tr w:rsidR="001333B2" w:rsidRPr="001333B2" w14:paraId="453918DB" w14:textId="77777777" w:rsidTr="0064152E">
        <w:trPr>
          <w:trHeight w:val="567"/>
        </w:trPr>
        <w:tc>
          <w:tcPr>
            <w:tcW w:w="2977" w:type="dxa"/>
            <w:vAlign w:val="center"/>
          </w:tcPr>
          <w:p w14:paraId="6DFE3054" w14:textId="77777777" w:rsidR="001333B2" w:rsidRPr="001333B2" w:rsidRDefault="001333B2" w:rsidP="001333B2">
            <w:pPr>
              <w:suppressAutoHyphens w:val="0"/>
              <w:spacing w:line="259" w:lineRule="auto"/>
              <w:jc w:val="both"/>
              <w:rPr>
                <w:rFonts w:ascii="Garamond" w:eastAsia="Calibri" w:hAnsi="Garamond" w:cs="Times New Roman"/>
                <w:sz w:val="22"/>
                <w:szCs w:val="22"/>
                <w:lang w:eastAsia="en-US"/>
              </w:rPr>
            </w:pPr>
            <w:r w:rsidRPr="001333B2">
              <w:rPr>
                <w:rFonts w:ascii="Garamond" w:eastAsia="Calibri" w:hAnsi="Garamond" w:cs="Times New Roman"/>
                <w:sz w:val="22"/>
                <w:szCs w:val="22"/>
                <w:lang w:eastAsia="en-US"/>
              </w:rPr>
              <w:t>КТП № 1 6 кВ, РУ-6 кВ, Ввод 6 кВ Т-1</w:t>
            </w:r>
          </w:p>
        </w:tc>
        <w:tc>
          <w:tcPr>
            <w:tcW w:w="2410" w:type="dxa"/>
            <w:shd w:val="clear" w:color="auto" w:fill="auto"/>
            <w:vAlign w:val="center"/>
          </w:tcPr>
          <w:p w14:paraId="4B90F5A2" w14:textId="77777777" w:rsidR="001333B2" w:rsidRPr="001333B2" w:rsidRDefault="001333B2" w:rsidP="001333B2">
            <w:pPr>
              <w:suppressAutoHyphens w:val="0"/>
              <w:spacing w:line="259" w:lineRule="auto"/>
              <w:jc w:val="both"/>
              <w:rPr>
                <w:rFonts w:ascii="Garamond" w:eastAsia="Calibri" w:hAnsi="Garamond" w:cs="Times New Roman"/>
                <w:sz w:val="22"/>
                <w:szCs w:val="22"/>
                <w:lang w:eastAsia="en-US"/>
              </w:rPr>
            </w:pPr>
            <w:r w:rsidRPr="001333B2">
              <w:rPr>
                <w:rFonts w:ascii="Garamond" w:eastAsia="Calibri" w:hAnsi="Garamond" w:cs="Times New Roman"/>
                <w:sz w:val="22"/>
                <w:szCs w:val="22"/>
                <w:lang w:eastAsia="en-US"/>
              </w:rPr>
              <w:t>КТП № 1 6 кВ</w:t>
            </w:r>
          </w:p>
        </w:tc>
        <w:tc>
          <w:tcPr>
            <w:tcW w:w="2268" w:type="dxa"/>
            <w:shd w:val="clear" w:color="auto" w:fill="auto"/>
            <w:vAlign w:val="center"/>
          </w:tcPr>
          <w:p w14:paraId="132C3014" w14:textId="77777777" w:rsidR="001333B2" w:rsidRPr="001333B2" w:rsidRDefault="001333B2" w:rsidP="001333B2">
            <w:pPr>
              <w:suppressAutoHyphens w:val="0"/>
              <w:spacing w:line="259" w:lineRule="auto"/>
              <w:jc w:val="both"/>
              <w:rPr>
                <w:rFonts w:ascii="Garamond" w:eastAsia="Calibri" w:hAnsi="Garamond" w:cs="Times New Roman"/>
                <w:sz w:val="22"/>
                <w:szCs w:val="22"/>
                <w:lang w:eastAsia="en-US"/>
              </w:rPr>
            </w:pPr>
            <w:r w:rsidRPr="001333B2">
              <w:rPr>
                <w:rFonts w:ascii="Garamond" w:eastAsia="Calibri" w:hAnsi="Garamond" w:cs="Times New Roman"/>
                <w:sz w:val="22"/>
                <w:szCs w:val="22"/>
                <w:lang w:eastAsia="en-US"/>
              </w:rPr>
              <w:t>РУ-6 кВ</w:t>
            </w:r>
          </w:p>
        </w:tc>
        <w:tc>
          <w:tcPr>
            <w:tcW w:w="2268" w:type="dxa"/>
            <w:shd w:val="clear" w:color="auto" w:fill="auto"/>
            <w:vAlign w:val="center"/>
          </w:tcPr>
          <w:p w14:paraId="213D3C25" w14:textId="77777777" w:rsidR="001333B2" w:rsidRPr="001333B2" w:rsidRDefault="001333B2" w:rsidP="001333B2">
            <w:pPr>
              <w:suppressAutoHyphens w:val="0"/>
              <w:spacing w:line="259" w:lineRule="auto"/>
              <w:jc w:val="both"/>
              <w:rPr>
                <w:rFonts w:ascii="Garamond" w:eastAsia="Calibri" w:hAnsi="Garamond" w:cs="Times New Roman"/>
                <w:sz w:val="22"/>
                <w:szCs w:val="22"/>
                <w:lang w:eastAsia="en-US"/>
              </w:rPr>
            </w:pPr>
            <w:r w:rsidRPr="001333B2">
              <w:rPr>
                <w:rFonts w:ascii="Garamond" w:eastAsia="Calibri" w:hAnsi="Garamond" w:cs="Times New Roman"/>
                <w:sz w:val="22"/>
                <w:szCs w:val="22"/>
                <w:lang w:eastAsia="en-US"/>
              </w:rPr>
              <w:t>Ввод 6 кВ Т-1</w:t>
            </w:r>
          </w:p>
        </w:tc>
      </w:tr>
      <w:tr w:rsidR="001333B2" w:rsidRPr="001333B2" w14:paraId="0836412A" w14:textId="77777777" w:rsidTr="0064152E">
        <w:trPr>
          <w:trHeight w:val="567"/>
        </w:trPr>
        <w:tc>
          <w:tcPr>
            <w:tcW w:w="2977" w:type="dxa"/>
            <w:vAlign w:val="center"/>
          </w:tcPr>
          <w:p w14:paraId="3A7B52FD" w14:textId="77777777" w:rsidR="001333B2" w:rsidRPr="001333B2" w:rsidRDefault="001333B2" w:rsidP="001333B2">
            <w:pPr>
              <w:suppressAutoHyphens w:val="0"/>
              <w:spacing w:line="259" w:lineRule="auto"/>
              <w:jc w:val="both"/>
              <w:rPr>
                <w:rFonts w:ascii="Garamond" w:eastAsia="Calibri" w:hAnsi="Garamond" w:cs="Times New Roman"/>
                <w:sz w:val="22"/>
                <w:szCs w:val="22"/>
                <w:lang w:eastAsia="en-US"/>
              </w:rPr>
            </w:pPr>
            <w:r w:rsidRPr="001333B2">
              <w:rPr>
                <w:rFonts w:ascii="Garamond" w:eastAsia="Calibri" w:hAnsi="Garamond" w:cs="Times New Roman"/>
                <w:sz w:val="22"/>
                <w:szCs w:val="22"/>
                <w:lang w:eastAsia="en-US"/>
              </w:rPr>
              <w:t>ТП-7 6 кВ, Ввод 0,4 кВ Т-1</w:t>
            </w:r>
          </w:p>
        </w:tc>
        <w:tc>
          <w:tcPr>
            <w:tcW w:w="2410" w:type="dxa"/>
            <w:shd w:val="clear" w:color="auto" w:fill="auto"/>
            <w:vAlign w:val="center"/>
          </w:tcPr>
          <w:p w14:paraId="282B8E0D" w14:textId="77777777" w:rsidR="001333B2" w:rsidRPr="001333B2" w:rsidRDefault="001333B2" w:rsidP="001333B2">
            <w:pPr>
              <w:suppressAutoHyphens w:val="0"/>
              <w:spacing w:line="259" w:lineRule="auto"/>
              <w:jc w:val="both"/>
              <w:rPr>
                <w:rFonts w:ascii="Garamond" w:eastAsia="Calibri" w:hAnsi="Garamond" w:cs="Times New Roman"/>
                <w:sz w:val="22"/>
                <w:szCs w:val="22"/>
                <w:lang w:eastAsia="en-US"/>
              </w:rPr>
            </w:pPr>
            <w:r w:rsidRPr="001333B2">
              <w:rPr>
                <w:rFonts w:ascii="Garamond" w:eastAsia="Calibri" w:hAnsi="Garamond" w:cs="Times New Roman"/>
                <w:sz w:val="22"/>
                <w:szCs w:val="22"/>
                <w:lang w:eastAsia="en-US"/>
              </w:rPr>
              <w:t>ТП-7 6 кВ</w:t>
            </w:r>
          </w:p>
        </w:tc>
        <w:tc>
          <w:tcPr>
            <w:tcW w:w="2268" w:type="dxa"/>
            <w:shd w:val="clear" w:color="auto" w:fill="auto"/>
            <w:vAlign w:val="center"/>
          </w:tcPr>
          <w:p w14:paraId="29F54FE8" w14:textId="77777777" w:rsidR="001333B2" w:rsidRPr="001333B2" w:rsidRDefault="001333B2" w:rsidP="001333B2">
            <w:pPr>
              <w:suppressAutoHyphens w:val="0"/>
              <w:spacing w:line="259" w:lineRule="auto"/>
              <w:jc w:val="center"/>
              <w:rPr>
                <w:rFonts w:ascii="Garamond" w:eastAsia="Calibri" w:hAnsi="Garamond" w:cs="Times New Roman"/>
                <w:sz w:val="22"/>
                <w:szCs w:val="22"/>
                <w:lang w:eastAsia="en-US"/>
              </w:rPr>
            </w:pPr>
            <w:r w:rsidRPr="001333B2">
              <w:rPr>
                <w:rFonts w:ascii="Garamond" w:eastAsia="Calibri" w:hAnsi="Garamond" w:cs="Times New Roman"/>
                <w:bCs/>
                <w:sz w:val="22"/>
                <w:szCs w:val="22"/>
                <w:lang w:eastAsia="en-US"/>
              </w:rPr>
              <w:t>–</w:t>
            </w:r>
          </w:p>
        </w:tc>
        <w:tc>
          <w:tcPr>
            <w:tcW w:w="2268" w:type="dxa"/>
            <w:shd w:val="clear" w:color="auto" w:fill="auto"/>
            <w:vAlign w:val="center"/>
          </w:tcPr>
          <w:p w14:paraId="43074030" w14:textId="77777777" w:rsidR="001333B2" w:rsidRPr="001333B2" w:rsidRDefault="001333B2" w:rsidP="001333B2">
            <w:pPr>
              <w:suppressAutoHyphens w:val="0"/>
              <w:spacing w:line="259" w:lineRule="auto"/>
              <w:jc w:val="both"/>
              <w:rPr>
                <w:rFonts w:ascii="Garamond" w:eastAsia="Calibri" w:hAnsi="Garamond" w:cs="Times New Roman"/>
                <w:sz w:val="22"/>
                <w:szCs w:val="22"/>
                <w:lang w:eastAsia="en-US"/>
              </w:rPr>
            </w:pPr>
            <w:r w:rsidRPr="001333B2">
              <w:rPr>
                <w:rFonts w:ascii="Garamond" w:eastAsia="Calibri" w:hAnsi="Garamond" w:cs="Times New Roman"/>
                <w:sz w:val="22"/>
                <w:szCs w:val="22"/>
                <w:lang w:eastAsia="en-US"/>
              </w:rPr>
              <w:t>Ввод 0,4 кВ Т-1</w:t>
            </w:r>
          </w:p>
        </w:tc>
      </w:tr>
      <w:tr w:rsidR="001333B2" w:rsidRPr="001333B2" w14:paraId="5A3C815D" w14:textId="77777777" w:rsidTr="0064152E">
        <w:trPr>
          <w:trHeight w:val="567"/>
        </w:trPr>
        <w:tc>
          <w:tcPr>
            <w:tcW w:w="2977" w:type="dxa"/>
            <w:vAlign w:val="center"/>
          </w:tcPr>
          <w:p w14:paraId="246EA5ED" w14:textId="77777777" w:rsidR="001333B2" w:rsidRPr="001333B2" w:rsidRDefault="001333B2" w:rsidP="001333B2">
            <w:pPr>
              <w:suppressAutoHyphens w:val="0"/>
              <w:spacing w:line="259" w:lineRule="auto"/>
              <w:jc w:val="both"/>
              <w:rPr>
                <w:rFonts w:ascii="Garamond" w:eastAsia="Calibri" w:hAnsi="Garamond" w:cs="Calibri"/>
                <w:sz w:val="22"/>
                <w:szCs w:val="22"/>
                <w:lang w:eastAsia="en-US"/>
              </w:rPr>
            </w:pPr>
            <w:r w:rsidRPr="001333B2">
              <w:rPr>
                <w:rFonts w:ascii="Garamond" w:eastAsia="Calibri" w:hAnsi="Garamond" w:cs="Calibri"/>
                <w:sz w:val="22"/>
                <w:szCs w:val="22"/>
                <w:lang w:eastAsia="en-US"/>
              </w:rPr>
              <w:t>РП-2 6 кВ ЛПДС Омск, КРУН-6 кВ, 1 с.ш. 6 кВ, яч. 11</w:t>
            </w:r>
          </w:p>
        </w:tc>
        <w:tc>
          <w:tcPr>
            <w:tcW w:w="2410" w:type="dxa"/>
            <w:shd w:val="clear" w:color="auto" w:fill="auto"/>
            <w:vAlign w:val="center"/>
          </w:tcPr>
          <w:p w14:paraId="43E03B61" w14:textId="77777777" w:rsidR="001333B2" w:rsidRPr="001333B2" w:rsidRDefault="001333B2" w:rsidP="001333B2">
            <w:pPr>
              <w:suppressAutoHyphens w:val="0"/>
              <w:spacing w:line="259" w:lineRule="auto"/>
              <w:jc w:val="both"/>
              <w:rPr>
                <w:rFonts w:ascii="Garamond" w:eastAsia="Calibri" w:hAnsi="Garamond" w:cs="Calibri"/>
                <w:sz w:val="22"/>
                <w:szCs w:val="22"/>
                <w:lang w:eastAsia="en-US"/>
              </w:rPr>
            </w:pPr>
            <w:r w:rsidRPr="001333B2">
              <w:rPr>
                <w:rFonts w:ascii="Garamond" w:eastAsia="Calibri" w:hAnsi="Garamond" w:cs="Calibri"/>
                <w:sz w:val="22"/>
                <w:szCs w:val="22"/>
                <w:lang w:eastAsia="en-US"/>
              </w:rPr>
              <w:t>РП-2 6 кВ ЛПДС Омск</w:t>
            </w:r>
          </w:p>
        </w:tc>
        <w:tc>
          <w:tcPr>
            <w:tcW w:w="2268" w:type="dxa"/>
            <w:shd w:val="clear" w:color="auto" w:fill="auto"/>
            <w:vAlign w:val="center"/>
          </w:tcPr>
          <w:p w14:paraId="0C52E09E" w14:textId="77777777" w:rsidR="001333B2" w:rsidRPr="001333B2" w:rsidRDefault="001333B2" w:rsidP="001333B2">
            <w:pPr>
              <w:suppressAutoHyphens w:val="0"/>
              <w:spacing w:line="259" w:lineRule="auto"/>
              <w:jc w:val="both"/>
              <w:rPr>
                <w:rFonts w:ascii="Garamond" w:eastAsia="Calibri" w:hAnsi="Garamond" w:cs="Calibri"/>
                <w:sz w:val="22"/>
                <w:szCs w:val="22"/>
                <w:lang w:eastAsia="en-US"/>
              </w:rPr>
            </w:pPr>
            <w:r w:rsidRPr="001333B2">
              <w:rPr>
                <w:rFonts w:ascii="Garamond" w:eastAsia="Calibri" w:hAnsi="Garamond" w:cs="Calibri"/>
                <w:sz w:val="22"/>
                <w:szCs w:val="22"/>
                <w:lang w:eastAsia="en-US"/>
              </w:rPr>
              <w:t>КРУН-6 кВ, 1 с.ш. 6 кВ, яч. 11</w:t>
            </w:r>
          </w:p>
        </w:tc>
        <w:tc>
          <w:tcPr>
            <w:tcW w:w="2268" w:type="dxa"/>
            <w:shd w:val="clear" w:color="auto" w:fill="auto"/>
            <w:vAlign w:val="center"/>
          </w:tcPr>
          <w:p w14:paraId="627FC1D9" w14:textId="77777777" w:rsidR="001333B2" w:rsidRPr="001333B2" w:rsidRDefault="001333B2" w:rsidP="001333B2">
            <w:pPr>
              <w:suppressAutoHyphens w:val="0"/>
              <w:spacing w:line="259" w:lineRule="auto"/>
              <w:jc w:val="center"/>
              <w:rPr>
                <w:rFonts w:ascii="Garamond" w:eastAsia="Calibri" w:hAnsi="Garamond" w:cs="Calibri"/>
                <w:sz w:val="22"/>
                <w:szCs w:val="22"/>
                <w:lang w:eastAsia="en-US"/>
              </w:rPr>
            </w:pPr>
            <w:r w:rsidRPr="001333B2">
              <w:rPr>
                <w:rFonts w:ascii="Garamond" w:eastAsia="Calibri" w:hAnsi="Garamond" w:cs="Times New Roman"/>
                <w:bCs/>
                <w:sz w:val="22"/>
                <w:szCs w:val="22"/>
                <w:lang w:eastAsia="en-US"/>
              </w:rPr>
              <w:t>–</w:t>
            </w:r>
          </w:p>
        </w:tc>
      </w:tr>
    </w:tbl>
    <w:p w14:paraId="34DB129D" w14:textId="77777777" w:rsidR="001333B2" w:rsidRPr="001333B2" w:rsidRDefault="001333B2" w:rsidP="00595491">
      <w:pPr>
        <w:widowControl w:val="0"/>
        <w:tabs>
          <w:tab w:val="left" w:pos="1077"/>
        </w:tabs>
        <w:suppressAutoHyphens w:val="0"/>
        <w:spacing w:before="120" w:after="120"/>
        <w:ind w:firstLine="426"/>
        <w:jc w:val="both"/>
        <w:rPr>
          <w:rFonts w:ascii="Garamond" w:eastAsia="Calibri" w:hAnsi="Garamond" w:cs="Times New Roman"/>
          <w:bCs/>
          <w:sz w:val="22"/>
          <w:szCs w:val="22"/>
          <w:lang w:eastAsia="en-US"/>
        </w:rPr>
      </w:pPr>
      <w:r w:rsidRPr="001333B2">
        <w:rPr>
          <w:rFonts w:ascii="Garamond" w:eastAsia="Calibri" w:hAnsi="Garamond" w:cs="Times New Roman"/>
          <w:bCs/>
          <w:sz w:val="22"/>
          <w:szCs w:val="22"/>
          <w:lang w:eastAsia="en-US"/>
        </w:rPr>
        <w:t>Примеры наименований точек присоединения, расположенных на электростанции:</w:t>
      </w:r>
    </w:p>
    <w:tbl>
      <w:tblPr>
        <w:tblW w:w="9923"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7"/>
        <w:gridCol w:w="2410"/>
        <w:gridCol w:w="2268"/>
        <w:gridCol w:w="2268"/>
      </w:tblGrid>
      <w:tr w:rsidR="001333B2" w:rsidRPr="001333B2" w14:paraId="15B7BCAD" w14:textId="77777777" w:rsidTr="0064152E">
        <w:trPr>
          <w:trHeight w:val="597"/>
        </w:trPr>
        <w:tc>
          <w:tcPr>
            <w:tcW w:w="2977" w:type="dxa"/>
            <w:vAlign w:val="center"/>
          </w:tcPr>
          <w:p w14:paraId="5365D55E" w14:textId="77777777" w:rsidR="001333B2" w:rsidRPr="001333B2" w:rsidRDefault="001333B2" w:rsidP="001333B2">
            <w:pPr>
              <w:suppressAutoHyphens w:val="0"/>
              <w:spacing w:line="259" w:lineRule="auto"/>
              <w:ind w:firstLine="357"/>
              <w:jc w:val="center"/>
              <w:rPr>
                <w:rFonts w:ascii="Garamond" w:eastAsia="Calibri" w:hAnsi="Garamond" w:cs="Times New Roman"/>
                <w:b/>
                <w:sz w:val="22"/>
                <w:szCs w:val="22"/>
                <w:lang w:eastAsia="en-US"/>
              </w:rPr>
            </w:pPr>
            <w:r w:rsidRPr="001333B2">
              <w:rPr>
                <w:rFonts w:ascii="Garamond" w:eastAsia="Calibri" w:hAnsi="Garamond" w:cs="Times New Roman"/>
                <w:b/>
                <w:sz w:val="22"/>
                <w:szCs w:val="22"/>
                <w:lang w:eastAsia="en-US"/>
              </w:rPr>
              <w:lastRenderedPageBreak/>
              <w:t xml:space="preserve">Наименование точки </w:t>
            </w:r>
            <w:r w:rsidRPr="001333B2">
              <w:rPr>
                <w:rFonts w:ascii="Garamond" w:eastAsia="Calibri" w:hAnsi="Garamond" w:cs="Times New Roman"/>
                <w:b/>
                <w:bCs/>
                <w:sz w:val="22"/>
                <w:szCs w:val="22"/>
                <w:lang w:eastAsia="en-US"/>
              </w:rPr>
              <w:t>присоединения</w:t>
            </w:r>
          </w:p>
        </w:tc>
        <w:tc>
          <w:tcPr>
            <w:tcW w:w="2410" w:type="dxa"/>
            <w:shd w:val="clear" w:color="auto" w:fill="auto"/>
            <w:vAlign w:val="center"/>
          </w:tcPr>
          <w:p w14:paraId="04B76A2B" w14:textId="77777777" w:rsidR="001333B2" w:rsidRPr="001333B2" w:rsidRDefault="001333B2" w:rsidP="001333B2">
            <w:pPr>
              <w:suppressAutoHyphens w:val="0"/>
              <w:spacing w:line="259" w:lineRule="auto"/>
              <w:ind w:firstLine="357"/>
              <w:jc w:val="center"/>
              <w:rPr>
                <w:rFonts w:ascii="Garamond" w:eastAsia="Calibri" w:hAnsi="Garamond" w:cs="Times New Roman"/>
                <w:sz w:val="22"/>
                <w:szCs w:val="22"/>
                <w:lang w:eastAsia="en-US"/>
              </w:rPr>
            </w:pPr>
            <w:r w:rsidRPr="001333B2">
              <w:rPr>
                <w:rFonts w:ascii="Garamond" w:eastAsia="Calibri" w:hAnsi="Garamond" w:cs="Times New Roman"/>
                <w:b/>
                <w:sz w:val="22"/>
                <w:szCs w:val="22"/>
                <w:lang w:eastAsia="en-US"/>
              </w:rPr>
              <w:t>Наименование энергообъекта</w:t>
            </w:r>
          </w:p>
        </w:tc>
        <w:tc>
          <w:tcPr>
            <w:tcW w:w="2268" w:type="dxa"/>
            <w:shd w:val="clear" w:color="auto" w:fill="auto"/>
            <w:vAlign w:val="center"/>
          </w:tcPr>
          <w:p w14:paraId="0B70A022" w14:textId="77777777" w:rsidR="001333B2" w:rsidRPr="001333B2" w:rsidRDefault="001333B2" w:rsidP="001333B2">
            <w:pPr>
              <w:suppressAutoHyphens w:val="0"/>
              <w:spacing w:line="259" w:lineRule="auto"/>
              <w:ind w:firstLine="357"/>
              <w:jc w:val="center"/>
              <w:rPr>
                <w:rFonts w:ascii="Garamond" w:eastAsia="Calibri" w:hAnsi="Garamond" w:cs="Times New Roman"/>
                <w:sz w:val="22"/>
                <w:szCs w:val="22"/>
                <w:lang w:eastAsia="en-US"/>
              </w:rPr>
            </w:pPr>
            <w:r w:rsidRPr="001333B2">
              <w:rPr>
                <w:rFonts w:ascii="Garamond" w:eastAsia="Calibri" w:hAnsi="Garamond" w:cs="Times New Roman"/>
                <w:b/>
                <w:sz w:val="22"/>
                <w:szCs w:val="22"/>
                <w:lang w:eastAsia="en-US"/>
              </w:rPr>
              <w:t>Описание месторасположения</w:t>
            </w:r>
          </w:p>
        </w:tc>
        <w:tc>
          <w:tcPr>
            <w:tcW w:w="2268" w:type="dxa"/>
            <w:shd w:val="clear" w:color="auto" w:fill="auto"/>
            <w:vAlign w:val="center"/>
          </w:tcPr>
          <w:p w14:paraId="7ABBE7C7" w14:textId="77777777" w:rsidR="001333B2" w:rsidRPr="001333B2" w:rsidRDefault="001333B2" w:rsidP="001333B2">
            <w:pPr>
              <w:suppressAutoHyphens w:val="0"/>
              <w:spacing w:line="259" w:lineRule="auto"/>
              <w:ind w:firstLine="357"/>
              <w:jc w:val="center"/>
              <w:rPr>
                <w:rFonts w:ascii="Garamond" w:eastAsia="Calibri" w:hAnsi="Garamond" w:cs="Times New Roman"/>
                <w:sz w:val="22"/>
                <w:szCs w:val="22"/>
                <w:lang w:eastAsia="en-US"/>
              </w:rPr>
            </w:pPr>
            <w:r w:rsidRPr="001333B2">
              <w:rPr>
                <w:rFonts w:ascii="Garamond" w:eastAsia="Calibri" w:hAnsi="Garamond" w:cs="Times New Roman"/>
                <w:b/>
                <w:sz w:val="22"/>
                <w:szCs w:val="22"/>
                <w:lang w:eastAsia="en-US"/>
              </w:rPr>
              <w:t>Наименование присоединения</w:t>
            </w:r>
          </w:p>
        </w:tc>
      </w:tr>
      <w:tr w:rsidR="001333B2" w:rsidRPr="001333B2" w14:paraId="568CC79B" w14:textId="77777777" w:rsidTr="0064152E">
        <w:trPr>
          <w:trHeight w:val="794"/>
        </w:trPr>
        <w:tc>
          <w:tcPr>
            <w:tcW w:w="2977" w:type="dxa"/>
            <w:vAlign w:val="center"/>
          </w:tcPr>
          <w:p w14:paraId="44CDE43B" w14:textId="77777777" w:rsidR="001333B2" w:rsidRPr="001333B2" w:rsidRDefault="001333B2" w:rsidP="001333B2">
            <w:pPr>
              <w:suppressAutoHyphens w:val="0"/>
              <w:spacing w:line="259" w:lineRule="auto"/>
              <w:jc w:val="both"/>
              <w:rPr>
                <w:rFonts w:ascii="Garamond" w:eastAsia="Calibri" w:hAnsi="Garamond" w:cs="Calibri"/>
                <w:sz w:val="22"/>
                <w:szCs w:val="22"/>
                <w:lang w:eastAsia="en-US"/>
              </w:rPr>
            </w:pPr>
            <w:r w:rsidRPr="001333B2">
              <w:rPr>
                <w:rFonts w:ascii="Garamond" w:eastAsia="Calibri" w:hAnsi="Garamond" w:cs="Times New Roman"/>
                <w:bCs/>
                <w:sz w:val="22"/>
                <w:szCs w:val="22"/>
                <w:lang w:eastAsia="en-US"/>
              </w:rPr>
              <w:t>Хабаровская ТЭЦ-1, ОРУ-110 кВ, яч. 6, ВЛ 110 кВ Хабаровская-Кедрово</w:t>
            </w:r>
          </w:p>
        </w:tc>
        <w:tc>
          <w:tcPr>
            <w:tcW w:w="2410" w:type="dxa"/>
            <w:shd w:val="clear" w:color="auto" w:fill="auto"/>
            <w:vAlign w:val="center"/>
          </w:tcPr>
          <w:p w14:paraId="29B98BCB" w14:textId="77777777" w:rsidR="001333B2" w:rsidRPr="001333B2" w:rsidRDefault="001333B2" w:rsidP="001333B2">
            <w:pPr>
              <w:suppressAutoHyphens w:val="0"/>
              <w:spacing w:line="259" w:lineRule="auto"/>
              <w:jc w:val="both"/>
              <w:rPr>
                <w:rFonts w:ascii="Garamond" w:eastAsia="Calibri" w:hAnsi="Garamond" w:cs="Calibri"/>
                <w:sz w:val="22"/>
                <w:szCs w:val="22"/>
                <w:lang w:eastAsia="en-US"/>
              </w:rPr>
            </w:pPr>
            <w:r w:rsidRPr="001333B2">
              <w:rPr>
                <w:rFonts w:ascii="Garamond" w:eastAsia="Calibri" w:hAnsi="Garamond" w:cs="Times New Roman"/>
                <w:bCs/>
                <w:sz w:val="22"/>
                <w:szCs w:val="22"/>
                <w:lang w:eastAsia="en-US"/>
              </w:rPr>
              <w:t>Хабаровская ТЭЦ-1</w:t>
            </w:r>
          </w:p>
        </w:tc>
        <w:tc>
          <w:tcPr>
            <w:tcW w:w="2268" w:type="dxa"/>
            <w:shd w:val="clear" w:color="auto" w:fill="auto"/>
            <w:vAlign w:val="center"/>
          </w:tcPr>
          <w:p w14:paraId="4E34B4DA" w14:textId="77777777" w:rsidR="001333B2" w:rsidRPr="001333B2" w:rsidRDefault="001333B2" w:rsidP="001333B2">
            <w:pPr>
              <w:suppressAutoHyphens w:val="0"/>
              <w:spacing w:line="259" w:lineRule="auto"/>
              <w:jc w:val="both"/>
              <w:rPr>
                <w:rFonts w:ascii="Garamond" w:eastAsia="Calibri" w:hAnsi="Garamond" w:cs="Calibri"/>
                <w:sz w:val="22"/>
                <w:szCs w:val="22"/>
                <w:lang w:eastAsia="en-US"/>
              </w:rPr>
            </w:pPr>
            <w:r w:rsidRPr="001333B2">
              <w:rPr>
                <w:rFonts w:ascii="Garamond" w:eastAsia="Calibri" w:hAnsi="Garamond" w:cs="Times New Roman"/>
                <w:bCs/>
                <w:sz w:val="22"/>
                <w:szCs w:val="22"/>
                <w:lang w:eastAsia="en-US"/>
              </w:rPr>
              <w:t>ОРУ-110 кВ, яч. 6</w:t>
            </w:r>
          </w:p>
        </w:tc>
        <w:tc>
          <w:tcPr>
            <w:tcW w:w="2268" w:type="dxa"/>
            <w:shd w:val="clear" w:color="auto" w:fill="auto"/>
            <w:vAlign w:val="center"/>
          </w:tcPr>
          <w:p w14:paraId="570ADB52" w14:textId="77777777" w:rsidR="001333B2" w:rsidRPr="001333B2" w:rsidRDefault="001333B2" w:rsidP="001333B2">
            <w:pPr>
              <w:suppressAutoHyphens w:val="0"/>
              <w:spacing w:line="259" w:lineRule="auto"/>
              <w:jc w:val="both"/>
              <w:rPr>
                <w:rFonts w:ascii="Garamond" w:eastAsia="Calibri" w:hAnsi="Garamond" w:cs="Calibri"/>
                <w:sz w:val="22"/>
                <w:szCs w:val="22"/>
                <w:lang w:eastAsia="en-US"/>
              </w:rPr>
            </w:pPr>
            <w:r w:rsidRPr="001333B2">
              <w:rPr>
                <w:rFonts w:ascii="Garamond" w:eastAsia="Calibri" w:hAnsi="Garamond" w:cs="Times New Roman"/>
                <w:bCs/>
                <w:sz w:val="22"/>
                <w:szCs w:val="22"/>
                <w:lang w:eastAsia="en-US"/>
              </w:rPr>
              <w:t>ВЛ 110 кВ Хабаровская-Кедрово</w:t>
            </w:r>
          </w:p>
        </w:tc>
      </w:tr>
      <w:tr w:rsidR="001333B2" w:rsidRPr="001333B2" w14:paraId="395927C0" w14:textId="77777777" w:rsidTr="0064152E">
        <w:trPr>
          <w:trHeight w:val="794"/>
        </w:trPr>
        <w:tc>
          <w:tcPr>
            <w:tcW w:w="2977" w:type="dxa"/>
            <w:vAlign w:val="center"/>
          </w:tcPr>
          <w:p w14:paraId="71D277F2" w14:textId="77777777" w:rsidR="001333B2" w:rsidRPr="001333B2" w:rsidRDefault="001333B2" w:rsidP="001333B2">
            <w:pPr>
              <w:suppressAutoHyphens w:val="0"/>
              <w:spacing w:line="259" w:lineRule="auto"/>
              <w:jc w:val="both"/>
              <w:rPr>
                <w:rFonts w:ascii="Garamond" w:eastAsia="Calibri" w:hAnsi="Garamond" w:cs="Calibri"/>
                <w:sz w:val="22"/>
                <w:szCs w:val="22"/>
                <w:lang w:eastAsia="en-US"/>
              </w:rPr>
            </w:pPr>
            <w:r w:rsidRPr="001333B2">
              <w:rPr>
                <w:rFonts w:ascii="Garamond" w:eastAsia="Calibri" w:hAnsi="Garamond" w:cs="Times New Roman"/>
                <w:bCs/>
                <w:sz w:val="22"/>
                <w:szCs w:val="22"/>
                <w:lang w:eastAsia="en-US"/>
              </w:rPr>
              <w:t>ТЭЦ-9, Щит-0,4 кВ ПК, КЛ 0,4 кВ в сторону РУ-0,4 кВ Теплоэнергоремонт</w:t>
            </w:r>
          </w:p>
        </w:tc>
        <w:tc>
          <w:tcPr>
            <w:tcW w:w="2410" w:type="dxa"/>
            <w:shd w:val="clear" w:color="auto" w:fill="auto"/>
            <w:vAlign w:val="center"/>
          </w:tcPr>
          <w:p w14:paraId="32507BAC" w14:textId="77777777" w:rsidR="001333B2" w:rsidRPr="001333B2" w:rsidRDefault="001333B2" w:rsidP="001333B2">
            <w:pPr>
              <w:suppressAutoHyphens w:val="0"/>
              <w:spacing w:line="259" w:lineRule="auto"/>
              <w:jc w:val="both"/>
              <w:rPr>
                <w:rFonts w:ascii="Garamond" w:eastAsia="Calibri" w:hAnsi="Garamond" w:cs="Calibri"/>
                <w:sz w:val="22"/>
                <w:szCs w:val="22"/>
                <w:lang w:eastAsia="en-US"/>
              </w:rPr>
            </w:pPr>
            <w:r w:rsidRPr="001333B2">
              <w:rPr>
                <w:rFonts w:ascii="Garamond" w:eastAsia="Calibri" w:hAnsi="Garamond" w:cs="Times New Roman"/>
                <w:bCs/>
                <w:sz w:val="22"/>
                <w:szCs w:val="22"/>
                <w:lang w:eastAsia="en-US"/>
              </w:rPr>
              <w:t>ТЭЦ-9</w:t>
            </w:r>
          </w:p>
        </w:tc>
        <w:tc>
          <w:tcPr>
            <w:tcW w:w="2268" w:type="dxa"/>
            <w:shd w:val="clear" w:color="auto" w:fill="auto"/>
            <w:vAlign w:val="center"/>
          </w:tcPr>
          <w:p w14:paraId="54A53998" w14:textId="77777777" w:rsidR="001333B2" w:rsidRPr="001333B2" w:rsidRDefault="001333B2" w:rsidP="001333B2">
            <w:pPr>
              <w:suppressAutoHyphens w:val="0"/>
              <w:spacing w:line="259" w:lineRule="auto"/>
              <w:jc w:val="both"/>
              <w:rPr>
                <w:rFonts w:ascii="Garamond" w:eastAsia="Calibri" w:hAnsi="Garamond" w:cs="Calibri"/>
                <w:sz w:val="22"/>
                <w:szCs w:val="22"/>
                <w:lang w:eastAsia="en-US"/>
              </w:rPr>
            </w:pPr>
            <w:r w:rsidRPr="001333B2">
              <w:rPr>
                <w:rFonts w:ascii="Garamond" w:eastAsia="Calibri" w:hAnsi="Garamond" w:cs="Times New Roman"/>
                <w:bCs/>
                <w:sz w:val="22"/>
                <w:szCs w:val="22"/>
                <w:lang w:eastAsia="en-US"/>
              </w:rPr>
              <w:t>Щит-0,4 кВ ПК</w:t>
            </w:r>
          </w:p>
        </w:tc>
        <w:tc>
          <w:tcPr>
            <w:tcW w:w="2268" w:type="dxa"/>
            <w:shd w:val="clear" w:color="auto" w:fill="auto"/>
            <w:vAlign w:val="center"/>
          </w:tcPr>
          <w:p w14:paraId="619F5A54" w14:textId="77777777" w:rsidR="001333B2" w:rsidRPr="001333B2" w:rsidRDefault="001333B2" w:rsidP="001333B2">
            <w:pPr>
              <w:suppressAutoHyphens w:val="0"/>
              <w:spacing w:line="259" w:lineRule="auto"/>
              <w:jc w:val="both"/>
              <w:rPr>
                <w:rFonts w:ascii="Garamond" w:eastAsia="Calibri" w:hAnsi="Garamond" w:cs="Calibri"/>
                <w:sz w:val="22"/>
                <w:szCs w:val="22"/>
                <w:lang w:eastAsia="en-US"/>
              </w:rPr>
            </w:pPr>
            <w:r w:rsidRPr="001333B2">
              <w:rPr>
                <w:rFonts w:ascii="Garamond" w:eastAsia="Calibri" w:hAnsi="Garamond" w:cs="Times New Roman"/>
                <w:bCs/>
                <w:sz w:val="22"/>
                <w:szCs w:val="22"/>
                <w:lang w:eastAsia="en-US"/>
              </w:rPr>
              <w:t>КЛ 0,4 кВ в сторону РУ-0,4 кВ Теплоэнергоремонт</w:t>
            </w:r>
          </w:p>
        </w:tc>
      </w:tr>
    </w:tbl>
    <w:p w14:paraId="2C56C56C" w14:textId="7EEC3041" w:rsidR="001333B2" w:rsidRPr="001333B2" w:rsidRDefault="001333B2" w:rsidP="00595491">
      <w:pPr>
        <w:widowControl w:val="0"/>
        <w:tabs>
          <w:tab w:val="left" w:pos="1077"/>
        </w:tabs>
        <w:suppressAutoHyphens w:val="0"/>
        <w:spacing w:before="120" w:after="120"/>
        <w:ind w:firstLine="426"/>
        <w:jc w:val="both"/>
        <w:rPr>
          <w:rFonts w:ascii="Garamond" w:eastAsia="Calibri" w:hAnsi="Garamond" w:cs="Times New Roman"/>
          <w:bCs/>
          <w:strike/>
          <w:sz w:val="22"/>
          <w:szCs w:val="22"/>
          <w:lang w:eastAsia="en-US"/>
        </w:rPr>
      </w:pPr>
      <w:r w:rsidRPr="001333B2">
        <w:rPr>
          <w:rFonts w:ascii="Garamond" w:eastAsia="Calibri" w:hAnsi="Garamond" w:cs="Times New Roman"/>
          <w:bCs/>
          <w:sz w:val="22"/>
          <w:szCs w:val="22"/>
          <w:lang w:eastAsia="en-US"/>
        </w:rPr>
        <w:t>Примеры наименований точек присоединения, расположенны</w:t>
      </w:r>
      <w:r w:rsidR="00595491">
        <w:rPr>
          <w:rFonts w:ascii="Garamond" w:eastAsia="Calibri" w:hAnsi="Garamond" w:cs="Times New Roman"/>
          <w:bCs/>
          <w:sz w:val="22"/>
          <w:szCs w:val="22"/>
          <w:lang w:eastAsia="en-US"/>
        </w:rPr>
        <w:t>х на электроустановках выше 1,0 </w:t>
      </w:r>
      <w:r w:rsidRPr="001333B2">
        <w:rPr>
          <w:rFonts w:ascii="Garamond" w:eastAsia="Calibri" w:hAnsi="Garamond" w:cs="Times New Roman"/>
          <w:bCs/>
          <w:sz w:val="22"/>
          <w:szCs w:val="22"/>
          <w:lang w:eastAsia="en-US"/>
        </w:rPr>
        <w:t>кВ:</w:t>
      </w:r>
    </w:p>
    <w:tbl>
      <w:tblPr>
        <w:tblW w:w="9923"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7"/>
        <w:gridCol w:w="2410"/>
        <w:gridCol w:w="2268"/>
        <w:gridCol w:w="2268"/>
      </w:tblGrid>
      <w:tr w:rsidR="001333B2" w:rsidRPr="001333B2" w14:paraId="2C8E5E41" w14:textId="77777777" w:rsidTr="0064152E">
        <w:trPr>
          <w:trHeight w:val="567"/>
        </w:trPr>
        <w:tc>
          <w:tcPr>
            <w:tcW w:w="2977" w:type="dxa"/>
            <w:vAlign w:val="center"/>
          </w:tcPr>
          <w:p w14:paraId="17E07D74" w14:textId="77777777" w:rsidR="001333B2" w:rsidRPr="001333B2" w:rsidRDefault="001333B2" w:rsidP="001333B2">
            <w:pPr>
              <w:suppressAutoHyphens w:val="0"/>
              <w:spacing w:line="259" w:lineRule="auto"/>
              <w:jc w:val="center"/>
              <w:rPr>
                <w:rFonts w:ascii="Garamond" w:eastAsia="Calibri" w:hAnsi="Garamond" w:cs="Times New Roman"/>
                <w:b/>
                <w:sz w:val="22"/>
                <w:szCs w:val="22"/>
                <w:lang w:eastAsia="en-US"/>
              </w:rPr>
            </w:pPr>
            <w:r w:rsidRPr="001333B2">
              <w:rPr>
                <w:rFonts w:ascii="Garamond" w:eastAsia="Calibri" w:hAnsi="Garamond" w:cs="Times New Roman"/>
                <w:b/>
                <w:sz w:val="22"/>
                <w:szCs w:val="22"/>
                <w:lang w:eastAsia="en-US"/>
              </w:rPr>
              <w:t xml:space="preserve">Наименование точки </w:t>
            </w:r>
            <w:r w:rsidRPr="001333B2">
              <w:rPr>
                <w:rFonts w:ascii="Garamond" w:eastAsia="Calibri" w:hAnsi="Garamond" w:cs="Times New Roman"/>
                <w:b/>
                <w:bCs/>
                <w:sz w:val="22"/>
                <w:szCs w:val="22"/>
                <w:lang w:eastAsia="en-US"/>
              </w:rPr>
              <w:t>присоединения</w:t>
            </w:r>
          </w:p>
        </w:tc>
        <w:tc>
          <w:tcPr>
            <w:tcW w:w="2410" w:type="dxa"/>
            <w:shd w:val="clear" w:color="auto" w:fill="auto"/>
            <w:vAlign w:val="center"/>
          </w:tcPr>
          <w:p w14:paraId="1A398DFB" w14:textId="77777777" w:rsidR="001333B2" w:rsidRPr="001333B2" w:rsidRDefault="001333B2" w:rsidP="001333B2">
            <w:pPr>
              <w:suppressAutoHyphens w:val="0"/>
              <w:spacing w:line="259" w:lineRule="auto"/>
              <w:jc w:val="center"/>
              <w:rPr>
                <w:rFonts w:ascii="Garamond" w:eastAsia="Calibri" w:hAnsi="Garamond" w:cs="Times New Roman"/>
                <w:sz w:val="22"/>
                <w:szCs w:val="22"/>
                <w:lang w:eastAsia="en-US"/>
              </w:rPr>
            </w:pPr>
            <w:r w:rsidRPr="001333B2">
              <w:rPr>
                <w:rFonts w:ascii="Garamond" w:eastAsia="Calibri" w:hAnsi="Garamond" w:cs="Times New Roman"/>
                <w:b/>
                <w:sz w:val="22"/>
                <w:szCs w:val="22"/>
                <w:lang w:eastAsia="en-US"/>
              </w:rPr>
              <w:t>Наименование энергообъекта</w:t>
            </w:r>
          </w:p>
        </w:tc>
        <w:tc>
          <w:tcPr>
            <w:tcW w:w="2268" w:type="dxa"/>
            <w:shd w:val="clear" w:color="auto" w:fill="auto"/>
            <w:vAlign w:val="center"/>
          </w:tcPr>
          <w:p w14:paraId="2D088A8F" w14:textId="77777777" w:rsidR="001333B2" w:rsidRPr="001333B2" w:rsidRDefault="001333B2" w:rsidP="001333B2">
            <w:pPr>
              <w:suppressAutoHyphens w:val="0"/>
              <w:spacing w:line="259" w:lineRule="auto"/>
              <w:jc w:val="center"/>
              <w:rPr>
                <w:rFonts w:ascii="Garamond" w:eastAsia="Calibri" w:hAnsi="Garamond" w:cs="Times New Roman"/>
                <w:sz w:val="22"/>
                <w:szCs w:val="22"/>
                <w:lang w:eastAsia="en-US"/>
              </w:rPr>
            </w:pPr>
            <w:r w:rsidRPr="001333B2">
              <w:rPr>
                <w:rFonts w:ascii="Garamond" w:eastAsia="Calibri" w:hAnsi="Garamond" w:cs="Times New Roman"/>
                <w:b/>
                <w:sz w:val="22"/>
                <w:szCs w:val="22"/>
                <w:lang w:eastAsia="en-US"/>
              </w:rPr>
              <w:t>Описание месторасположения</w:t>
            </w:r>
          </w:p>
        </w:tc>
        <w:tc>
          <w:tcPr>
            <w:tcW w:w="2268" w:type="dxa"/>
            <w:shd w:val="clear" w:color="auto" w:fill="auto"/>
            <w:vAlign w:val="center"/>
          </w:tcPr>
          <w:p w14:paraId="3BB86884" w14:textId="77777777" w:rsidR="001333B2" w:rsidRPr="001333B2" w:rsidRDefault="001333B2" w:rsidP="001333B2">
            <w:pPr>
              <w:suppressAutoHyphens w:val="0"/>
              <w:spacing w:line="259" w:lineRule="auto"/>
              <w:jc w:val="center"/>
              <w:rPr>
                <w:rFonts w:ascii="Garamond" w:eastAsia="Calibri" w:hAnsi="Garamond" w:cs="Times New Roman"/>
                <w:sz w:val="22"/>
                <w:szCs w:val="22"/>
                <w:lang w:eastAsia="en-US"/>
              </w:rPr>
            </w:pPr>
            <w:r w:rsidRPr="001333B2">
              <w:rPr>
                <w:rFonts w:ascii="Garamond" w:eastAsia="Calibri" w:hAnsi="Garamond" w:cs="Times New Roman"/>
                <w:b/>
                <w:sz w:val="22"/>
                <w:szCs w:val="22"/>
                <w:lang w:eastAsia="en-US"/>
              </w:rPr>
              <w:t>Наименование присоединения</w:t>
            </w:r>
          </w:p>
        </w:tc>
      </w:tr>
      <w:tr w:rsidR="001333B2" w:rsidRPr="001333B2" w14:paraId="06A1243E" w14:textId="77777777" w:rsidTr="0064152E">
        <w:trPr>
          <w:trHeight w:val="567"/>
        </w:trPr>
        <w:tc>
          <w:tcPr>
            <w:tcW w:w="2977" w:type="dxa"/>
            <w:vAlign w:val="center"/>
          </w:tcPr>
          <w:p w14:paraId="6CC2B655" w14:textId="77777777" w:rsidR="001333B2" w:rsidRPr="001333B2" w:rsidRDefault="001333B2" w:rsidP="001333B2">
            <w:pPr>
              <w:suppressAutoHyphens w:val="0"/>
              <w:spacing w:line="259" w:lineRule="auto"/>
              <w:jc w:val="both"/>
              <w:rPr>
                <w:rFonts w:ascii="Garamond" w:eastAsia="Calibri" w:hAnsi="Garamond" w:cs="Calibri"/>
                <w:sz w:val="22"/>
                <w:szCs w:val="22"/>
                <w:lang w:eastAsia="en-US"/>
              </w:rPr>
            </w:pPr>
            <w:r w:rsidRPr="001333B2">
              <w:rPr>
                <w:rFonts w:ascii="Garamond" w:eastAsia="Calibri" w:hAnsi="Garamond" w:cs="Calibri"/>
                <w:sz w:val="22"/>
                <w:szCs w:val="22"/>
                <w:lang w:eastAsia="en-US"/>
              </w:rPr>
              <w:t>ЗРУ-1 6 кВ Рыбинская ЛПДС, 2 СШ 6 кВ, яч. 27, КЛ 6 кВ</w:t>
            </w:r>
          </w:p>
        </w:tc>
        <w:tc>
          <w:tcPr>
            <w:tcW w:w="2410" w:type="dxa"/>
            <w:shd w:val="clear" w:color="auto" w:fill="auto"/>
            <w:vAlign w:val="center"/>
          </w:tcPr>
          <w:p w14:paraId="04D9C91A" w14:textId="77777777" w:rsidR="001333B2" w:rsidRPr="001333B2" w:rsidRDefault="001333B2" w:rsidP="001333B2">
            <w:pPr>
              <w:suppressAutoHyphens w:val="0"/>
              <w:spacing w:line="259" w:lineRule="auto"/>
              <w:jc w:val="both"/>
              <w:rPr>
                <w:rFonts w:ascii="Garamond" w:eastAsia="Calibri" w:hAnsi="Garamond" w:cs="Calibri"/>
                <w:sz w:val="22"/>
                <w:szCs w:val="22"/>
                <w:lang w:eastAsia="en-US"/>
              </w:rPr>
            </w:pPr>
            <w:r w:rsidRPr="001333B2">
              <w:rPr>
                <w:rFonts w:ascii="Garamond" w:eastAsia="Calibri" w:hAnsi="Garamond" w:cs="Calibri"/>
                <w:sz w:val="22"/>
                <w:szCs w:val="22"/>
                <w:lang w:eastAsia="en-US"/>
              </w:rPr>
              <w:t>ЗРУ-1 6 кВ Рыбинская ЛПДС</w:t>
            </w:r>
          </w:p>
        </w:tc>
        <w:tc>
          <w:tcPr>
            <w:tcW w:w="2268" w:type="dxa"/>
            <w:shd w:val="clear" w:color="auto" w:fill="auto"/>
            <w:vAlign w:val="center"/>
          </w:tcPr>
          <w:p w14:paraId="3204A56A" w14:textId="77777777" w:rsidR="001333B2" w:rsidRPr="001333B2" w:rsidRDefault="001333B2" w:rsidP="001333B2">
            <w:pPr>
              <w:suppressAutoHyphens w:val="0"/>
              <w:spacing w:line="259" w:lineRule="auto"/>
              <w:jc w:val="both"/>
              <w:rPr>
                <w:rFonts w:ascii="Garamond" w:eastAsia="Calibri" w:hAnsi="Garamond" w:cs="Calibri"/>
                <w:sz w:val="22"/>
                <w:szCs w:val="22"/>
                <w:lang w:eastAsia="en-US"/>
              </w:rPr>
            </w:pPr>
            <w:r w:rsidRPr="001333B2">
              <w:rPr>
                <w:rFonts w:ascii="Garamond" w:eastAsia="Calibri" w:hAnsi="Garamond" w:cs="Calibri"/>
                <w:sz w:val="22"/>
                <w:szCs w:val="22"/>
                <w:lang w:eastAsia="en-US"/>
              </w:rPr>
              <w:t>2 СШ 6 кВ, яч. 27</w:t>
            </w:r>
          </w:p>
        </w:tc>
        <w:tc>
          <w:tcPr>
            <w:tcW w:w="2268" w:type="dxa"/>
            <w:shd w:val="clear" w:color="auto" w:fill="auto"/>
            <w:vAlign w:val="center"/>
          </w:tcPr>
          <w:p w14:paraId="774AAB78" w14:textId="77777777" w:rsidR="001333B2" w:rsidRPr="001333B2" w:rsidRDefault="001333B2" w:rsidP="001333B2">
            <w:pPr>
              <w:suppressAutoHyphens w:val="0"/>
              <w:spacing w:line="259" w:lineRule="auto"/>
              <w:jc w:val="both"/>
              <w:rPr>
                <w:rFonts w:ascii="Garamond" w:eastAsia="Calibri" w:hAnsi="Garamond" w:cs="Calibri"/>
                <w:sz w:val="22"/>
                <w:szCs w:val="22"/>
                <w:lang w:eastAsia="en-US"/>
              </w:rPr>
            </w:pPr>
            <w:r w:rsidRPr="001333B2">
              <w:rPr>
                <w:rFonts w:ascii="Garamond" w:eastAsia="Calibri" w:hAnsi="Garamond" w:cs="Calibri"/>
                <w:sz w:val="22"/>
                <w:szCs w:val="22"/>
                <w:lang w:eastAsia="en-US"/>
              </w:rPr>
              <w:t>КЛ 6 кВ</w:t>
            </w:r>
          </w:p>
        </w:tc>
      </w:tr>
      <w:tr w:rsidR="001333B2" w:rsidRPr="001333B2" w14:paraId="7BCD5971" w14:textId="77777777" w:rsidTr="0064152E">
        <w:trPr>
          <w:trHeight w:val="567"/>
        </w:trPr>
        <w:tc>
          <w:tcPr>
            <w:tcW w:w="2977" w:type="dxa"/>
            <w:vAlign w:val="center"/>
          </w:tcPr>
          <w:p w14:paraId="6EF8058F" w14:textId="77777777" w:rsidR="001333B2" w:rsidRPr="001333B2" w:rsidRDefault="001333B2" w:rsidP="001333B2">
            <w:pPr>
              <w:suppressAutoHyphens w:val="0"/>
              <w:spacing w:line="259" w:lineRule="auto"/>
              <w:jc w:val="both"/>
              <w:rPr>
                <w:rFonts w:ascii="Garamond" w:eastAsia="Calibri" w:hAnsi="Garamond" w:cs="Calibri"/>
                <w:sz w:val="22"/>
                <w:szCs w:val="22"/>
                <w:lang w:eastAsia="en-US"/>
              </w:rPr>
            </w:pPr>
            <w:r w:rsidRPr="001333B2">
              <w:rPr>
                <w:rFonts w:ascii="Garamond" w:eastAsia="Calibri" w:hAnsi="Garamond" w:cs="Calibri"/>
                <w:sz w:val="22"/>
                <w:szCs w:val="22"/>
                <w:lang w:eastAsia="en-US"/>
              </w:rPr>
              <w:t>ЛПДС Восток 10 кВ, ЗРУ-10 кВ, 1 СШ 10 кВ, яч. 5</w:t>
            </w:r>
          </w:p>
        </w:tc>
        <w:tc>
          <w:tcPr>
            <w:tcW w:w="2410" w:type="dxa"/>
            <w:shd w:val="clear" w:color="auto" w:fill="auto"/>
            <w:vAlign w:val="center"/>
          </w:tcPr>
          <w:p w14:paraId="3BFA3124" w14:textId="77777777" w:rsidR="001333B2" w:rsidRPr="001333B2" w:rsidRDefault="001333B2" w:rsidP="001333B2">
            <w:pPr>
              <w:suppressAutoHyphens w:val="0"/>
              <w:spacing w:line="259" w:lineRule="auto"/>
              <w:jc w:val="both"/>
              <w:rPr>
                <w:rFonts w:ascii="Garamond" w:eastAsia="Calibri" w:hAnsi="Garamond" w:cs="Calibri"/>
                <w:sz w:val="22"/>
                <w:szCs w:val="22"/>
                <w:lang w:eastAsia="en-US"/>
              </w:rPr>
            </w:pPr>
            <w:r w:rsidRPr="001333B2">
              <w:rPr>
                <w:rFonts w:ascii="Garamond" w:eastAsia="Calibri" w:hAnsi="Garamond" w:cs="Calibri"/>
                <w:sz w:val="22"/>
                <w:szCs w:val="22"/>
                <w:lang w:eastAsia="en-US"/>
              </w:rPr>
              <w:t>ЛПДС Восток 10 кВ</w:t>
            </w:r>
          </w:p>
        </w:tc>
        <w:tc>
          <w:tcPr>
            <w:tcW w:w="2268" w:type="dxa"/>
            <w:shd w:val="clear" w:color="auto" w:fill="auto"/>
            <w:vAlign w:val="center"/>
          </w:tcPr>
          <w:p w14:paraId="083C0507" w14:textId="77777777" w:rsidR="001333B2" w:rsidRPr="001333B2" w:rsidRDefault="001333B2" w:rsidP="001333B2">
            <w:pPr>
              <w:suppressAutoHyphens w:val="0"/>
              <w:spacing w:line="259" w:lineRule="auto"/>
              <w:jc w:val="both"/>
              <w:rPr>
                <w:rFonts w:ascii="Garamond" w:eastAsia="Calibri" w:hAnsi="Garamond" w:cs="Calibri"/>
                <w:sz w:val="22"/>
                <w:szCs w:val="22"/>
                <w:lang w:eastAsia="en-US"/>
              </w:rPr>
            </w:pPr>
            <w:r w:rsidRPr="001333B2">
              <w:rPr>
                <w:rFonts w:ascii="Garamond" w:eastAsia="Calibri" w:hAnsi="Garamond" w:cs="Calibri"/>
                <w:sz w:val="22"/>
                <w:szCs w:val="22"/>
                <w:lang w:eastAsia="en-US"/>
              </w:rPr>
              <w:t>ЗРУ-10 кВ, 1 СШ 10 кВ, яч. 5</w:t>
            </w:r>
          </w:p>
        </w:tc>
        <w:tc>
          <w:tcPr>
            <w:tcW w:w="2268" w:type="dxa"/>
            <w:shd w:val="clear" w:color="auto" w:fill="auto"/>
            <w:vAlign w:val="center"/>
          </w:tcPr>
          <w:p w14:paraId="019993F2" w14:textId="77777777" w:rsidR="001333B2" w:rsidRPr="001333B2" w:rsidRDefault="001333B2" w:rsidP="001333B2">
            <w:pPr>
              <w:suppressAutoHyphens w:val="0"/>
              <w:spacing w:line="259" w:lineRule="auto"/>
              <w:jc w:val="center"/>
              <w:rPr>
                <w:rFonts w:ascii="Garamond" w:eastAsia="Calibri" w:hAnsi="Garamond" w:cs="Calibri"/>
                <w:sz w:val="22"/>
                <w:szCs w:val="22"/>
                <w:lang w:eastAsia="en-US"/>
              </w:rPr>
            </w:pPr>
            <w:r w:rsidRPr="001333B2">
              <w:rPr>
                <w:rFonts w:ascii="Garamond" w:eastAsia="Calibri" w:hAnsi="Garamond" w:cs="Times New Roman"/>
                <w:bCs/>
                <w:sz w:val="22"/>
                <w:szCs w:val="22"/>
                <w:lang w:eastAsia="en-US"/>
              </w:rPr>
              <w:t>–</w:t>
            </w:r>
          </w:p>
        </w:tc>
      </w:tr>
      <w:tr w:rsidR="001333B2" w:rsidRPr="001333B2" w14:paraId="2950C6FC" w14:textId="77777777" w:rsidTr="0064152E">
        <w:trPr>
          <w:trHeight w:val="567"/>
        </w:trPr>
        <w:tc>
          <w:tcPr>
            <w:tcW w:w="2977" w:type="dxa"/>
            <w:vAlign w:val="center"/>
          </w:tcPr>
          <w:p w14:paraId="0FED3C8A" w14:textId="77777777" w:rsidR="001333B2" w:rsidRPr="001333B2" w:rsidRDefault="001333B2" w:rsidP="001333B2">
            <w:pPr>
              <w:suppressAutoHyphens w:val="0"/>
              <w:spacing w:line="259" w:lineRule="auto"/>
              <w:jc w:val="both"/>
              <w:rPr>
                <w:rFonts w:ascii="Garamond" w:eastAsia="Calibri" w:hAnsi="Garamond" w:cs="Calibri"/>
                <w:sz w:val="22"/>
                <w:szCs w:val="22"/>
                <w:lang w:eastAsia="en-US"/>
              </w:rPr>
            </w:pPr>
            <w:r w:rsidRPr="001333B2">
              <w:rPr>
                <w:rFonts w:ascii="Garamond" w:eastAsia="Calibri" w:hAnsi="Garamond" w:cs="Calibri"/>
                <w:sz w:val="22"/>
                <w:szCs w:val="22"/>
                <w:lang w:eastAsia="en-US"/>
              </w:rPr>
              <w:t>РУ 10 кВ ПНС Сосна-3, яч. 15, КЛ 10 кВ</w:t>
            </w:r>
          </w:p>
        </w:tc>
        <w:tc>
          <w:tcPr>
            <w:tcW w:w="2410" w:type="dxa"/>
            <w:shd w:val="clear" w:color="auto" w:fill="auto"/>
            <w:vAlign w:val="center"/>
          </w:tcPr>
          <w:p w14:paraId="1B383C26" w14:textId="77777777" w:rsidR="001333B2" w:rsidRPr="001333B2" w:rsidRDefault="001333B2" w:rsidP="001333B2">
            <w:pPr>
              <w:suppressAutoHyphens w:val="0"/>
              <w:spacing w:line="259" w:lineRule="auto"/>
              <w:jc w:val="both"/>
              <w:rPr>
                <w:rFonts w:ascii="Garamond" w:eastAsia="Calibri" w:hAnsi="Garamond" w:cs="Calibri"/>
                <w:sz w:val="22"/>
                <w:szCs w:val="22"/>
                <w:lang w:eastAsia="en-US"/>
              </w:rPr>
            </w:pPr>
            <w:r w:rsidRPr="001333B2">
              <w:rPr>
                <w:rFonts w:ascii="Garamond" w:eastAsia="Calibri" w:hAnsi="Garamond" w:cs="Calibri"/>
                <w:sz w:val="22"/>
                <w:szCs w:val="22"/>
                <w:lang w:eastAsia="en-US"/>
              </w:rPr>
              <w:t>РУ 10 кВ ПНС Сосна-3</w:t>
            </w:r>
          </w:p>
        </w:tc>
        <w:tc>
          <w:tcPr>
            <w:tcW w:w="2268" w:type="dxa"/>
            <w:shd w:val="clear" w:color="auto" w:fill="auto"/>
            <w:vAlign w:val="center"/>
          </w:tcPr>
          <w:p w14:paraId="57683241" w14:textId="77777777" w:rsidR="001333B2" w:rsidRPr="001333B2" w:rsidRDefault="001333B2" w:rsidP="001333B2">
            <w:pPr>
              <w:suppressAutoHyphens w:val="0"/>
              <w:spacing w:line="259" w:lineRule="auto"/>
              <w:jc w:val="both"/>
              <w:rPr>
                <w:rFonts w:ascii="Garamond" w:eastAsia="Calibri" w:hAnsi="Garamond" w:cs="Calibri"/>
                <w:sz w:val="22"/>
                <w:szCs w:val="22"/>
                <w:lang w:eastAsia="en-US"/>
              </w:rPr>
            </w:pPr>
            <w:r w:rsidRPr="001333B2">
              <w:rPr>
                <w:rFonts w:ascii="Garamond" w:eastAsia="Calibri" w:hAnsi="Garamond" w:cs="Calibri"/>
                <w:sz w:val="22"/>
                <w:szCs w:val="22"/>
                <w:lang w:eastAsia="en-US"/>
              </w:rPr>
              <w:t>яч. 15</w:t>
            </w:r>
          </w:p>
        </w:tc>
        <w:tc>
          <w:tcPr>
            <w:tcW w:w="2268" w:type="dxa"/>
            <w:shd w:val="clear" w:color="auto" w:fill="auto"/>
            <w:vAlign w:val="center"/>
          </w:tcPr>
          <w:p w14:paraId="535CC725" w14:textId="77777777" w:rsidR="001333B2" w:rsidRPr="001333B2" w:rsidRDefault="001333B2" w:rsidP="001333B2">
            <w:pPr>
              <w:suppressAutoHyphens w:val="0"/>
              <w:spacing w:line="259" w:lineRule="auto"/>
              <w:jc w:val="both"/>
              <w:rPr>
                <w:rFonts w:ascii="Garamond" w:eastAsia="Calibri" w:hAnsi="Garamond" w:cs="Calibri"/>
                <w:sz w:val="22"/>
                <w:szCs w:val="22"/>
                <w:lang w:eastAsia="en-US"/>
              </w:rPr>
            </w:pPr>
            <w:r w:rsidRPr="001333B2">
              <w:rPr>
                <w:rFonts w:ascii="Garamond" w:eastAsia="Calibri" w:hAnsi="Garamond" w:cs="Calibri"/>
                <w:sz w:val="22"/>
                <w:szCs w:val="22"/>
                <w:lang w:eastAsia="en-US"/>
              </w:rPr>
              <w:t>КЛ 10 кВ</w:t>
            </w:r>
          </w:p>
        </w:tc>
      </w:tr>
      <w:tr w:rsidR="001333B2" w:rsidRPr="001333B2" w14:paraId="287D3850" w14:textId="77777777" w:rsidTr="0064152E">
        <w:trPr>
          <w:trHeight w:val="567"/>
        </w:trPr>
        <w:tc>
          <w:tcPr>
            <w:tcW w:w="2977" w:type="dxa"/>
            <w:vAlign w:val="center"/>
          </w:tcPr>
          <w:p w14:paraId="1AEE84A5" w14:textId="77777777" w:rsidR="001333B2" w:rsidRPr="001333B2" w:rsidRDefault="001333B2" w:rsidP="001333B2">
            <w:pPr>
              <w:suppressAutoHyphens w:val="0"/>
              <w:spacing w:line="259" w:lineRule="auto"/>
              <w:jc w:val="both"/>
              <w:rPr>
                <w:rFonts w:ascii="Garamond" w:eastAsia="Calibri" w:hAnsi="Garamond" w:cs="Calibri"/>
                <w:sz w:val="22"/>
                <w:szCs w:val="22"/>
                <w:lang w:eastAsia="en-US"/>
              </w:rPr>
            </w:pPr>
            <w:r w:rsidRPr="001333B2">
              <w:rPr>
                <w:rFonts w:ascii="Garamond" w:eastAsia="Calibri" w:hAnsi="Garamond" w:cs="Calibri"/>
                <w:sz w:val="22"/>
                <w:szCs w:val="22"/>
                <w:lang w:eastAsia="en-US"/>
              </w:rPr>
              <w:t>НПС Каштан 10 кВ, РУ-0,4 кВ, 2 СШ 0,4 кВ, яч. 6</w:t>
            </w:r>
          </w:p>
        </w:tc>
        <w:tc>
          <w:tcPr>
            <w:tcW w:w="2410" w:type="dxa"/>
            <w:shd w:val="clear" w:color="auto" w:fill="auto"/>
            <w:vAlign w:val="center"/>
          </w:tcPr>
          <w:p w14:paraId="4B637247" w14:textId="77777777" w:rsidR="001333B2" w:rsidRPr="001333B2" w:rsidRDefault="001333B2" w:rsidP="001333B2">
            <w:pPr>
              <w:suppressAutoHyphens w:val="0"/>
              <w:spacing w:line="259" w:lineRule="auto"/>
              <w:jc w:val="both"/>
              <w:rPr>
                <w:rFonts w:ascii="Garamond" w:eastAsia="Calibri" w:hAnsi="Garamond" w:cs="Calibri"/>
                <w:sz w:val="22"/>
                <w:szCs w:val="22"/>
                <w:lang w:eastAsia="en-US"/>
              </w:rPr>
            </w:pPr>
            <w:r w:rsidRPr="001333B2">
              <w:rPr>
                <w:rFonts w:ascii="Garamond" w:eastAsia="Calibri" w:hAnsi="Garamond" w:cs="Calibri"/>
                <w:sz w:val="22"/>
                <w:szCs w:val="22"/>
                <w:lang w:eastAsia="en-US"/>
              </w:rPr>
              <w:t>НПС Каштан 10 кВ</w:t>
            </w:r>
          </w:p>
        </w:tc>
        <w:tc>
          <w:tcPr>
            <w:tcW w:w="2268" w:type="dxa"/>
            <w:shd w:val="clear" w:color="auto" w:fill="auto"/>
            <w:vAlign w:val="center"/>
          </w:tcPr>
          <w:p w14:paraId="4123DA72" w14:textId="77777777" w:rsidR="001333B2" w:rsidRPr="001333B2" w:rsidRDefault="001333B2" w:rsidP="001333B2">
            <w:pPr>
              <w:suppressAutoHyphens w:val="0"/>
              <w:spacing w:line="259" w:lineRule="auto"/>
              <w:jc w:val="both"/>
              <w:rPr>
                <w:rFonts w:ascii="Garamond" w:eastAsia="Calibri" w:hAnsi="Garamond" w:cs="Calibri"/>
                <w:sz w:val="22"/>
                <w:szCs w:val="22"/>
                <w:lang w:eastAsia="en-US"/>
              </w:rPr>
            </w:pPr>
            <w:r w:rsidRPr="001333B2">
              <w:rPr>
                <w:rFonts w:ascii="Garamond" w:eastAsia="Calibri" w:hAnsi="Garamond" w:cs="Calibri"/>
                <w:sz w:val="22"/>
                <w:szCs w:val="22"/>
                <w:lang w:eastAsia="en-US"/>
              </w:rPr>
              <w:t>РУ-0,4 кВ, 2 СШ 0,4 кВ, яч. 6</w:t>
            </w:r>
          </w:p>
        </w:tc>
        <w:tc>
          <w:tcPr>
            <w:tcW w:w="2268" w:type="dxa"/>
            <w:shd w:val="clear" w:color="auto" w:fill="auto"/>
            <w:vAlign w:val="center"/>
          </w:tcPr>
          <w:p w14:paraId="17801A4A" w14:textId="77777777" w:rsidR="001333B2" w:rsidRPr="001333B2" w:rsidRDefault="001333B2" w:rsidP="001333B2">
            <w:pPr>
              <w:suppressAutoHyphens w:val="0"/>
              <w:spacing w:line="259" w:lineRule="auto"/>
              <w:jc w:val="center"/>
              <w:rPr>
                <w:rFonts w:ascii="Garamond" w:eastAsia="Calibri" w:hAnsi="Garamond" w:cs="Calibri"/>
                <w:sz w:val="22"/>
                <w:szCs w:val="22"/>
                <w:lang w:eastAsia="en-US"/>
              </w:rPr>
            </w:pPr>
            <w:r w:rsidRPr="001333B2">
              <w:rPr>
                <w:rFonts w:ascii="Garamond" w:eastAsia="Calibri" w:hAnsi="Garamond" w:cs="Times New Roman"/>
                <w:bCs/>
                <w:sz w:val="22"/>
                <w:szCs w:val="22"/>
                <w:lang w:eastAsia="en-US"/>
              </w:rPr>
              <w:t>–</w:t>
            </w:r>
          </w:p>
        </w:tc>
      </w:tr>
      <w:tr w:rsidR="001333B2" w:rsidRPr="001333B2" w14:paraId="6E96493A" w14:textId="77777777" w:rsidTr="0064152E">
        <w:trPr>
          <w:trHeight w:val="567"/>
        </w:trPr>
        <w:tc>
          <w:tcPr>
            <w:tcW w:w="2977" w:type="dxa"/>
            <w:vAlign w:val="center"/>
          </w:tcPr>
          <w:p w14:paraId="66E62E13" w14:textId="77777777" w:rsidR="001333B2" w:rsidRPr="001333B2" w:rsidRDefault="001333B2" w:rsidP="001333B2">
            <w:pPr>
              <w:suppressAutoHyphens w:val="0"/>
              <w:spacing w:line="259" w:lineRule="auto"/>
              <w:jc w:val="both"/>
              <w:rPr>
                <w:rFonts w:ascii="Garamond" w:eastAsia="Calibri" w:hAnsi="Garamond" w:cs="Calibri"/>
                <w:sz w:val="22"/>
                <w:szCs w:val="22"/>
                <w:lang w:eastAsia="en-US"/>
              </w:rPr>
            </w:pPr>
            <w:r w:rsidRPr="001333B2">
              <w:rPr>
                <w:rFonts w:ascii="Garamond" w:eastAsia="Calibri" w:hAnsi="Garamond" w:cs="Calibri"/>
                <w:sz w:val="22"/>
                <w:szCs w:val="22"/>
                <w:lang w:eastAsia="en-US"/>
              </w:rPr>
              <w:t>РУ 10 кВ ПНС Кедр-1, РУ-0,4 кВ, 1 СШ 0,4 кВ, яч. 21</w:t>
            </w:r>
          </w:p>
        </w:tc>
        <w:tc>
          <w:tcPr>
            <w:tcW w:w="2410" w:type="dxa"/>
            <w:shd w:val="clear" w:color="auto" w:fill="auto"/>
            <w:vAlign w:val="center"/>
          </w:tcPr>
          <w:p w14:paraId="27828704" w14:textId="77777777" w:rsidR="001333B2" w:rsidRPr="001333B2" w:rsidRDefault="001333B2" w:rsidP="001333B2">
            <w:pPr>
              <w:suppressAutoHyphens w:val="0"/>
              <w:spacing w:line="259" w:lineRule="auto"/>
              <w:jc w:val="both"/>
              <w:rPr>
                <w:rFonts w:ascii="Garamond" w:eastAsia="Calibri" w:hAnsi="Garamond" w:cs="Calibri"/>
                <w:sz w:val="22"/>
                <w:szCs w:val="22"/>
                <w:lang w:eastAsia="en-US"/>
              </w:rPr>
            </w:pPr>
            <w:r w:rsidRPr="001333B2">
              <w:rPr>
                <w:rFonts w:ascii="Garamond" w:eastAsia="Calibri" w:hAnsi="Garamond" w:cs="Calibri"/>
                <w:sz w:val="22"/>
                <w:szCs w:val="22"/>
                <w:lang w:eastAsia="en-US"/>
              </w:rPr>
              <w:t>РУ 10 кВ ПНС Кедр-1</w:t>
            </w:r>
          </w:p>
        </w:tc>
        <w:tc>
          <w:tcPr>
            <w:tcW w:w="2268" w:type="dxa"/>
            <w:shd w:val="clear" w:color="auto" w:fill="auto"/>
            <w:vAlign w:val="center"/>
          </w:tcPr>
          <w:p w14:paraId="55825E72" w14:textId="77777777" w:rsidR="001333B2" w:rsidRPr="001333B2" w:rsidRDefault="001333B2" w:rsidP="001333B2">
            <w:pPr>
              <w:suppressAutoHyphens w:val="0"/>
              <w:spacing w:line="259" w:lineRule="auto"/>
              <w:jc w:val="both"/>
              <w:rPr>
                <w:rFonts w:ascii="Garamond" w:eastAsia="Calibri" w:hAnsi="Garamond" w:cs="Calibri"/>
                <w:sz w:val="22"/>
                <w:szCs w:val="22"/>
                <w:lang w:eastAsia="en-US"/>
              </w:rPr>
            </w:pPr>
            <w:r w:rsidRPr="001333B2">
              <w:rPr>
                <w:rFonts w:ascii="Garamond" w:eastAsia="Calibri" w:hAnsi="Garamond" w:cs="Calibri"/>
                <w:sz w:val="22"/>
                <w:szCs w:val="22"/>
                <w:lang w:eastAsia="en-US"/>
              </w:rPr>
              <w:t>РУ-0,4 кВ, 1 СШ 0,4 кВ, яч. 21</w:t>
            </w:r>
          </w:p>
        </w:tc>
        <w:tc>
          <w:tcPr>
            <w:tcW w:w="2268" w:type="dxa"/>
            <w:shd w:val="clear" w:color="auto" w:fill="auto"/>
            <w:vAlign w:val="center"/>
          </w:tcPr>
          <w:p w14:paraId="056E2BE3" w14:textId="77777777" w:rsidR="001333B2" w:rsidRPr="001333B2" w:rsidRDefault="001333B2" w:rsidP="001333B2">
            <w:pPr>
              <w:suppressAutoHyphens w:val="0"/>
              <w:spacing w:line="259" w:lineRule="auto"/>
              <w:jc w:val="center"/>
              <w:rPr>
                <w:rFonts w:ascii="Garamond" w:eastAsia="Calibri" w:hAnsi="Garamond" w:cs="Times New Roman"/>
                <w:bCs/>
                <w:sz w:val="22"/>
                <w:szCs w:val="22"/>
                <w:lang w:eastAsia="en-US"/>
              </w:rPr>
            </w:pPr>
            <w:r w:rsidRPr="001333B2">
              <w:rPr>
                <w:rFonts w:ascii="Garamond" w:eastAsia="Calibri" w:hAnsi="Garamond" w:cs="Times New Roman"/>
                <w:bCs/>
                <w:sz w:val="22"/>
                <w:szCs w:val="22"/>
                <w:lang w:eastAsia="en-US"/>
              </w:rPr>
              <w:t>-</w:t>
            </w:r>
          </w:p>
        </w:tc>
      </w:tr>
      <w:tr w:rsidR="001333B2" w:rsidRPr="001333B2" w14:paraId="3163EA71" w14:textId="77777777" w:rsidTr="0064152E">
        <w:trPr>
          <w:trHeight w:val="567"/>
        </w:trPr>
        <w:tc>
          <w:tcPr>
            <w:tcW w:w="2977" w:type="dxa"/>
            <w:vAlign w:val="center"/>
          </w:tcPr>
          <w:p w14:paraId="168424E4" w14:textId="77777777" w:rsidR="001333B2" w:rsidRPr="001333B2" w:rsidRDefault="001333B2" w:rsidP="001333B2">
            <w:pPr>
              <w:suppressAutoHyphens w:val="0"/>
              <w:spacing w:line="259" w:lineRule="auto"/>
              <w:jc w:val="both"/>
              <w:rPr>
                <w:rFonts w:ascii="Garamond" w:eastAsia="Calibri" w:hAnsi="Garamond" w:cs="Calibri"/>
                <w:sz w:val="22"/>
                <w:szCs w:val="22"/>
                <w:lang w:eastAsia="en-US"/>
              </w:rPr>
            </w:pPr>
            <w:r w:rsidRPr="001333B2">
              <w:rPr>
                <w:rFonts w:ascii="Garamond" w:eastAsia="Calibri" w:hAnsi="Garamond" w:cs="Calibri"/>
                <w:sz w:val="22"/>
                <w:szCs w:val="22"/>
                <w:lang w:eastAsia="en-US"/>
              </w:rPr>
              <w:t>ПНС Красная 6 кВ, РУ-0,4 кВ, панель 2, КЛ 0,4 кВ</w:t>
            </w:r>
          </w:p>
        </w:tc>
        <w:tc>
          <w:tcPr>
            <w:tcW w:w="2410" w:type="dxa"/>
            <w:shd w:val="clear" w:color="auto" w:fill="auto"/>
            <w:vAlign w:val="center"/>
          </w:tcPr>
          <w:p w14:paraId="66880B2E" w14:textId="77777777" w:rsidR="001333B2" w:rsidRPr="001333B2" w:rsidRDefault="001333B2" w:rsidP="001333B2">
            <w:pPr>
              <w:suppressAutoHyphens w:val="0"/>
              <w:spacing w:line="259" w:lineRule="auto"/>
              <w:jc w:val="both"/>
              <w:rPr>
                <w:rFonts w:ascii="Garamond" w:eastAsia="Calibri" w:hAnsi="Garamond" w:cs="Calibri"/>
                <w:sz w:val="22"/>
                <w:szCs w:val="22"/>
                <w:lang w:eastAsia="en-US"/>
              </w:rPr>
            </w:pPr>
            <w:r w:rsidRPr="001333B2">
              <w:rPr>
                <w:rFonts w:ascii="Garamond" w:eastAsia="Calibri" w:hAnsi="Garamond" w:cs="Calibri"/>
                <w:sz w:val="22"/>
                <w:szCs w:val="22"/>
                <w:lang w:eastAsia="en-US"/>
              </w:rPr>
              <w:t>ПНС Красная 6 кВ</w:t>
            </w:r>
          </w:p>
        </w:tc>
        <w:tc>
          <w:tcPr>
            <w:tcW w:w="2268" w:type="dxa"/>
            <w:shd w:val="clear" w:color="auto" w:fill="auto"/>
            <w:vAlign w:val="center"/>
          </w:tcPr>
          <w:p w14:paraId="0C21C113" w14:textId="77777777" w:rsidR="001333B2" w:rsidRPr="001333B2" w:rsidRDefault="001333B2" w:rsidP="001333B2">
            <w:pPr>
              <w:suppressAutoHyphens w:val="0"/>
              <w:spacing w:line="259" w:lineRule="auto"/>
              <w:jc w:val="both"/>
              <w:rPr>
                <w:rFonts w:ascii="Garamond" w:eastAsia="Calibri" w:hAnsi="Garamond" w:cs="Calibri"/>
                <w:sz w:val="22"/>
                <w:szCs w:val="22"/>
                <w:lang w:eastAsia="en-US"/>
              </w:rPr>
            </w:pPr>
            <w:r w:rsidRPr="001333B2">
              <w:rPr>
                <w:rFonts w:ascii="Garamond" w:eastAsia="Calibri" w:hAnsi="Garamond" w:cs="Calibri"/>
                <w:sz w:val="22"/>
                <w:szCs w:val="22"/>
                <w:lang w:eastAsia="en-US"/>
              </w:rPr>
              <w:t>РУ-0,4 кВ, панель 2</w:t>
            </w:r>
          </w:p>
        </w:tc>
        <w:tc>
          <w:tcPr>
            <w:tcW w:w="2268" w:type="dxa"/>
            <w:shd w:val="clear" w:color="auto" w:fill="auto"/>
            <w:vAlign w:val="center"/>
          </w:tcPr>
          <w:p w14:paraId="05F8B5D2" w14:textId="77777777" w:rsidR="001333B2" w:rsidRPr="001333B2" w:rsidRDefault="001333B2" w:rsidP="001333B2">
            <w:pPr>
              <w:suppressAutoHyphens w:val="0"/>
              <w:spacing w:line="259" w:lineRule="auto"/>
              <w:jc w:val="center"/>
              <w:rPr>
                <w:rFonts w:ascii="Garamond" w:eastAsia="Calibri" w:hAnsi="Garamond" w:cs="Times New Roman"/>
                <w:bCs/>
                <w:sz w:val="22"/>
                <w:szCs w:val="22"/>
                <w:lang w:eastAsia="en-US"/>
              </w:rPr>
            </w:pPr>
            <w:r w:rsidRPr="001333B2">
              <w:rPr>
                <w:rFonts w:ascii="Garamond" w:eastAsia="Calibri" w:hAnsi="Garamond" w:cs="Times New Roman"/>
                <w:bCs/>
                <w:sz w:val="22"/>
                <w:szCs w:val="22"/>
                <w:lang w:eastAsia="en-US"/>
              </w:rPr>
              <w:t>КЛ 0,4 кВ</w:t>
            </w:r>
          </w:p>
        </w:tc>
      </w:tr>
      <w:tr w:rsidR="001333B2" w:rsidRPr="001333B2" w14:paraId="6594135C" w14:textId="77777777" w:rsidTr="0064152E">
        <w:trPr>
          <w:trHeight w:val="567"/>
        </w:trPr>
        <w:tc>
          <w:tcPr>
            <w:tcW w:w="2977" w:type="dxa"/>
            <w:vAlign w:val="center"/>
          </w:tcPr>
          <w:p w14:paraId="6125D0E2" w14:textId="77777777" w:rsidR="001333B2" w:rsidRPr="001333B2" w:rsidRDefault="001333B2" w:rsidP="001333B2">
            <w:pPr>
              <w:suppressAutoHyphens w:val="0"/>
              <w:spacing w:line="259" w:lineRule="auto"/>
              <w:jc w:val="both"/>
              <w:rPr>
                <w:rFonts w:ascii="Garamond" w:eastAsia="Calibri" w:hAnsi="Garamond" w:cs="Calibri"/>
                <w:sz w:val="22"/>
                <w:szCs w:val="22"/>
                <w:lang w:eastAsia="en-US"/>
              </w:rPr>
            </w:pPr>
            <w:r w:rsidRPr="001333B2">
              <w:rPr>
                <w:rFonts w:ascii="Garamond" w:eastAsia="Calibri" w:hAnsi="Garamond" w:cs="Calibri"/>
                <w:sz w:val="22"/>
                <w:szCs w:val="22"/>
                <w:lang w:eastAsia="en-US"/>
              </w:rPr>
              <w:t>ЗРУ-6 кВ НПС Касторное, ввод 0,4 кВ ТСН-2</w:t>
            </w:r>
          </w:p>
        </w:tc>
        <w:tc>
          <w:tcPr>
            <w:tcW w:w="2410" w:type="dxa"/>
            <w:shd w:val="clear" w:color="auto" w:fill="auto"/>
            <w:vAlign w:val="center"/>
          </w:tcPr>
          <w:p w14:paraId="02CB5428" w14:textId="77777777" w:rsidR="001333B2" w:rsidRPr="001333B2" w:rsidRDefault="001333B2" w:rsidP="001333B2">
            <w:pPr>
              <w:suppressAutoHyphens w:val="0"/>
              <w:spacing w:line="259" w:lineRule="auto"/>
              <w:jc w:val="both"/>
              <w:rPr>
                <w:rFonts w:ascii="Garamond" w:eastAsia="Calibri" w:hAnsi="Garamond" w:cs="Calibri"/>
                <w:sz w:val="22"/>
                <w:szCs w:val="22"/>
                <w:lang w:eastAsia="en-US"/>
              </w:rPr>
            </w:pPr>
            <w:r w:rsidRPr="001333B2">
              <w:rPr>
                <w:rFonts w:ascii="Garamond" w:eastAsia="Calibri" w:hAnsi="Garamond" w:cs="Calibri"/>
                <w:sz w:val="22"/>
                <w:szCs w:val="22"/>
                <w:lang w:eastAsia="en-US"/>
              </w:rPr>
              <w:t>ЗРУ-6 кВ НПС Касторное</w:t>
            </w:r>
          </w:p>
        </w:tc>
        <w:tc>
          <w:tcPr>
            <w:tcW w:w="2268" w:type="dxa"/>
            <w:shd w:val="clear" w:color="auto" w:fill="auto"/>
            <w:vAlign w:val="center"/>
          </w:tcPr>
          <w:p w14:paraId="4D684524" w14:textId="77777777" w:rsidR="001333B2" w:rsidRPr="001333B2" w:rsidRDefault="001333B2" w:rsidP="001333B2">
            <w:pPr>
              <w:suppressAutoHyphens w:val="0"/>
              <w:spacing w:line="259" w:lineRule="auto"/>
              <w:jc w:val="center"/>
              <w:rPr>
                <w:rFonts w:ascii="Garamond" w:eastAsia="Calibri" w:hAnsi="Garamond" w:cs="Calibri"/>
                <w:sz w:val="22"/>
                <w:szCs w:val="22"/>
                <w:lang w:eastAsia="en-US"/>
              </w:rPr>
            </w:pPr>
            <w:r w:rsidRPr="001333B2">
              <w:rPr>
                <w:rFonts w:ascii="Garamond" w:eastAsia="Calibri" w:hAnsi="Garamond" w:cs="Times New Roman"/>
                <w:bCs/>
                <w:sz w:val="22"/>
                <w:szCs w:val="22"/>
                <w:lang w:eastAsia="en-US"/>
              </w:rPr>
              <w:t>–</w:t>
            </w:r>
          </w:p>
        </w:tc>
        <w:tc>
          <w:tcPr>
            <w:tcW w:w="2268" w:type="dxa"/>
            <w:shd w:val="clear" w:color="auto" w:fill="auto"/>
            <w:vAlign w:val="center"/>
          </w:tcPr>
          <w:p w14:paraId="34316247" w14:textId="77777777" w:rsidR="001333B2" w:rsidRPr="001333B2" w:rsidRDefault="001333B2" w:rsidP="001333B2">
            <w:pPr>
              <w:suppressAutoHyphens w:val="0"/>
              <w:spacing w:line="259" w:lineRule="auto"/>
              <w:jc w:val="both"/>
              <w:rPr>
                <w:rFonts w:ascii="Garamond" w:eastAsia="Calibri" w:hAnsi="Garamond" w:cs="Calibri"/>
                <w:sz w:val="22"/>
                <w:szCs w:val="22"/>
                <w:lang w:eastAsia="en-US"/>
              </w:rPr>
            </w:pPr>
            <w:r w:rsidRPr="001333B2">
              <w:rPr>
                <w:rFonts w:ascii="Garamond" w:eastAsia="Calibri" w:hAnsi="Garamond" w:cs="Calibri"/>
                <w:sz w:val="22"/>
                <w:szCs w:val="22"/>
                <w:lang w:eastAsia="en-US"/>
              </w:rPr>
              <w:t>ввод 0,4 кВ ТСН-2</w:t>
            </w:r>
          </w:p>
        </w:tc>
      </w:tr>
      <w:tr w:rsidR="001333B2" w:rsidRPr="001333B2" w14:paraId="3C27E851" w14:textId="77777777" w:rsidTr="0064152E">
        <w:trPr>
          <w:trHeight w:val="567"/>
        </w:trPr>
        <w:tc>
          <w:tcPr>
            <w:tcW w:w="2977" w:type="dxa"/>
            <w:vAlign w:val="center"/>
          </w:tcPr>
          <w:p w14:paraId="7CB79AE4" w14:textId="77777777" w:rsidR="001333B2" w:rsidRPr="001333B2" w:rsidRDefault="001333B2" w:rsidP="001333B2">
            <w:pPr>
              <w:suppressAutoHyphens w:val="0"/>
              <w:spacing w:line="259" w:lineRule="auto"/>
              <w:jc w:val="both"/>
              <w:rPr>
                <w:rFonts w:ascii="Garamond" w:eastAsia="Calibri" w:hAnsi="Garamond" w:cs="Calibri"/>
                <w:sz w:val="22"/>
                <w:szCs w:val="22"/>
                <w:lang w:eastAsia="en-US"/>
              </w:rPr>
            </w:pPr>
            <w:r w:rsidRPr="001333B2">
              <w:rPr>
                <w:rFonts w:ascii="Garamond" w:eastAsia="Calibri" w:hAnsi="Garamond" w:cs="Calibri"/>
                <w:sz w:val="22"/>
                <w:szCs w:val="22"/>
                <w:lang w:eastAsia="en-US"/>
              </w:rPr>
              <w:t>ЗРУ-10 кВ КС Волхов, 1 СШ 10 кВ, ввод № 1</w:t>
            </w:r>
          </w:p>
        </w:tc>
        <w:tc>
          <w:tcPr>
            <w:tcW w:w="2410" w:type="dxa"/>
            <w:shd w:val="clear" w:color="auto" w:fill="auto"/>
            <w:vAlign w:val="center"/>
          </w:tcPr>
          <w:p w14:paraId="2ABE214E" w14:textId="77777777" w:rsidR="001333B2" w:rsidRPr="001333B2" w:rsidRDefault="001333B2" w:rsidP="001333B2">
            <w:pPr>
              <w:suppressAutoHyphens w:val="0"/>
              <w:spacing w:line="259" w:lineRule="auto"/>
              <w:jc w:val="both"/>
              <w:rPr>
                <w:rFonts w:ascii="Garamond" w:eastAsia="Calibri" w:hAnsi="Garamond" w:cs="Calibri"/>
                <w:sz w:val="22"/>
                <w:szCs w:val="22"/>
                <w:lang w:eastAsia="en-US"/>
              </w:rPr>
            </w:pPr>
            <w:r w:rsidRPr="001333B2">
              <w:rPr>
                <w:rFonts w:ascii="Garamond" w:eastAsia="Calibri" w:hAnsi="Garamond" w:cs="Calibri"/>
                <w:sz w:val="22"/>
                <w:szCs w:val="22"/>
                <w:lang w:eastAsia="en-US"/>
              </w:rPr>
              <w:t>ЗРУ-10 кВ КС Волхов</w:t>
            </w:r>
          </w:p>
        </w:tc>
        <w:tc>
          <w:tcPr>
            <w:tcW w:w="2268" w:type="dxa"/>
            <w:shd w:val="clear" w:color="auto" w:fill="auto"/>
            <w:vAlign w:val="center"/>
          </w:tcPr>
          <w:p w14:paraId="5B106635" w14:textId="77777777" w:rsidR="001333B2" w:rsidRPr="001333B2" w:rsidRDefault="001333B2" w:rsidP="001333B2">
            <w:pPr>
              <w:suppressAutoHyphens w:val="0"/>
              <w:spacing w:line="259" w:lineRule="auto"/>
              <w:jc w:val="both"/>
              <w:rPr>
                <w:rFonts w:ascii="Garamond" w:eastAsia="Calibri" w:hAnsi="Garamond" w:cs="Calibri"/>
                <w:sz w:val="22"/>
                <w:szCs w:val="22"/>
                <w:lang w:eastAsia="en-US"/>
              </w:rPr>
            </w:pPr>
            <w:r w:rsidRPr="001333B2">
              <w:rPr>
                <w:rFonts w:ascii="Garamond" w:eastAsia="Calibri" w:hAnsi="Garamond" w:cs="Calibri"/>
                <w:sz w:val="22"/>
                <w:szCs w:val="22"/>
                <w:lang w:eastAsia="en-US"/>
              </w:rPr>
              <w:t>1 СШ 10 кВ</w:t>
            </w:r>
          </w:p>
        </w:tc>
        <w:tc>
          <w:tcPr>
            <w:tcW w:w="2268" w:type="dxa"/>
            <w:shd w:val="clear" w:color="auto" w:fill="auto"/>
            <w:vAlign w:val="center"/>
          </w:tcPr>
          <w:p w14:paraId="1F2DD3ED" w14:textId="77777777" w:rsidR="001333B2" w:rsidRPr="001333B2" w:rsidRDefault="001333B2" w:rsidP="001333B2">
            <w:pPr>
              <w:suppressAutoHyphens w:val="0"/>
              <w:spacing w:line="259" w:lineRule="auto"/>
              <w:jc w:val="both"/>
              <w:rPr>
                <w:rFonts w:ascii="Garamond" w:eastAsia="Calibri" w:hAnsi="Garamond" w:cs="Calibri"/>
                <w:sz w:val="22"/>
                <w:szCs w:val="22"/>
                <w:lang w:eastAsia="en-US"/>
              </w:rPr>
            </w:pPr>
            <w:r w:rsidRPr="001333B2">
              <w:rPr>
                <w:rFonts w:ascii="Garamond" w:eastAsia="Calibri" w:hAnsi="Garamond" w:cs="Calibri"/>
                <w:sz w:val="22"/>
                <w:szCs w:val="22"/>
                <w:lang w:eastAsia="en-US"/>
              </w:rPr>
              <w:t>ввод № 1</w:t>
            </w:r>
          </w:p>
        </w:tc>
      </w:tr>
      <w:tr w:rsidR="001333B2" w:rsidRPr="001333B2" w14:paraId="3496B0AD" w14:textId="77777777" w:rsidTr="0064152E">
        <w:trPr>
          <w:trHeight w:val="567"/>
        </w:trPr>
        <w:tc>
          <w:tcPr>
            <w:tcW w:w="2977" w:type="dxa"/>
            <w:vAlign w:val="center"/>
          </w:tcPr>
          <w:p w14:paraId="62082E43" w14:textId="77777777" w:rsidR="001333B2" w:rsidRPr="001333B2" w:rsidRDefault="001333B2" w:rsidP="001333B2">
            <w:pPr>
              <w:suppressAutoHyphens w:val="0"/>
              <w:spacing w:line="259" w:lineRule="auto"/>
              <w:jc w:val="both"/>
              <w:rPr>
                <w:rFonts w:ascii="Garamond" w:eastAsia="Calibri" w:hAnsi="Garamond" w:cs="Calibri"/>
                <w:sz w:val="22"/>
                <w:szCs w:val="22"/>
                <w:lang w:eastAsia="en-US"/>
              </w:rPr>
            </w:pPr>
            <w:r w:rsidRPr="001333B2">
              <w:rPr>
                <w:rFonts w:ascii="Garamond" w:eastAsia="Calibri" w:hAnsi="Garamond" w:cs="Calibri"/>
                <w:sz w:val="22"/>
                <w:szCs w:val="22"/>
                <w:lang w:eastAsia="en-US"/>
              </w:rPr>
              <w:t>ЯКНО 10 кВ № 341, ВЛ-10 кВ № 962</w:t>
            </w:r>
          </w:p>
        </w:tc>
        <w:tc>
          <w:tcPr>
            <w:tcW w:w="2410" w:type="dxa"/>
            <w:shd w:val="clear" w:color="auto" w:fill="auto"/>
            <w:vAlign w:val="center"/>
          </w:tcPr>
          <w:p w14:paraId="6EE39B13" w14:textId="77777777" w:rsidR="001333B2" w:rsidRPr="001333B2" w:rsidRDefault="001333B2" w:rsidP="001333B2">
            <w:pPr>
              <w:suppressAutoHyphens w:val="0"/>
              <w:spacing w:line="259" w:lineRule="auto"/>
              <w:jc w:val="both"/>
              <w:rPr>
                <w:rFonts w:ascii="Garamond" w:eastAsia="Calibri" w:hAnsi="Garamond" w:cs="Calibri"/>
                <w:sz w:val="22"/>
                <w:szCs w:val="22"/>
                <w:lang w:eastAsia="en-US"/>
              </w:rPr>
            </w:pPr>
            <w:r w:rsidRPr="001333B2">
              <w:rPr>
                <w:rFonts w:ascii="Garamond" w:eastAsia="Calibri" w:hAnsi="Garamond" w:cs="Calibri"/>
                <w:sz w:val="22"/>
                <w:szCs w:val="22"/>
                <w:lang w:eastAsia="en-US"/>
              </w:rPr>
              <w:t>ЯКНО 10 кВ № 341</w:t>
            </w:r>
          </w:p>
        </w:tc>
        <w:tc>
          <w:tcPr>
            <w:tcW w:w="2268" w:type="dxa"/>
            <w:shd w:val="clear" w:color="auto" w:fill="auto"/>
            <w:vAlign w:val="center"/>
          </w:tcPr>
          <w:p w14:paraId="2CC126D5" w14:textId="77777777" w:rsidR="001333B2" w:rsidRPr="001333B2" w:rsidRDefault="001333B2" w:rsidP="001333B2">
            <w:pPr>
              <w:suppressAutoHyphens w:val="0"/>
              <w:spacing w:line="259" w:lineRule="auto"/>
              <w:jc w:val="center"/>
              <w:rPr>
                <w:rFonts w:ascii="Garamond" w:eastAsia="Calibri" w:hAnsi="Garamond" w:cs="Calibri"/>
                <w:sz w:val="22"/>
                <w:szCs w:val="22"/>
                <w:lang w:eastAsia="en-US"/>
              </w:rPr>
            </w:pPr>
            <w:r w:rsidRPr="001333B2">
              <w:rPr>
                <w:rFonts w:ascii="Garamond" w:eastAsia="Calibri" w:hAnsi="Garamond" w:cs="Times New Roman"/>
                <w:bCs/>
                <w:sz w:val="22"/>
                <w:szCs w:val="22"/>
                <w:lang w:eastAsia="en-US"/>
              </w:rPr>
              <w:t>–</w:t>
            </w:r>
          </w:p>
        </w:tc>
        <w:tc>
          <w:tcPr>
            <w:tcW w:w="2268" w:type="dxa"/>
            <w:shd w:val="clear" w:color="auto" w:fill="auto"/>
            <w:vAlign w:val="center"/>
          </w:tcPr>
          <w:p w14:paraId="08FB87D5" w14:textId="77777777" w:rsidR="001333B2" w:rsidRPr="001333B2" w:rsidRDefault="001333B2" w:rsidP="001333B2">
            <w:pPr>
              <w:suppressAutoHyphens w:val="0"/>
              <w:spacing w:line="259" w:lineRule="auto"/>
              <w:jc w:val="both"/>
              <w:rPr>
                <w:rFonts w:ascii="Garamond" w:eastAsia="Calibri" w:hAnsi="Garamond" w:cs="Calibri"/>
                <w:sz w:val="22"/>
                <w:szCs w:val="22"/>
                <w:lang w:eastAsia="en-US"/>
              </w:rPr>
            </w:pPr>
            <w:r w:rsidRPr="001333B2">
              <w:rPr>
                <w:rFonts w:ascii="Garamond" w:eastAsia="Calibri" w:hAnsi="Garamond" w:cs="Calibri"/>
                <w:sz w:val="22"/>
                <w:szCs w:val="22"/>
                <w:lang w:eastAsia="en-US"/>
              </w:rPr>
              <w:t>ВЛ-10 кВ № 962</w:t>
            </w:r>
          </w:p>
        </w:tc>
      </w:tr>
      <w:tr w:rsidR="001333B2" w:rsidRPr="001333B2" w14:paraId="7BC7D13C" w14:textId="77777777" w:rsidTr="0064152E">
        <w:trPr>
          <w:trHeight w:val="567"/>
        </w:trPr>
        <w:tc>
          <w:tcPr>
            <w:tcW w:w="2977" w:type="dxa"/>
            <w:vAlign w:val="center"/>
          </w:tcPr>
          <w:p w14:paraId="14049C77" w14:textId="77777777" w:rsidR="001333B2" w:rsidRPr="001333B2" w:rsidRDefault="001333B2" w:rsidP="001333B2">
            <w:pPr>
              <w:suppressAutoHyphens w:val="0"/>
              <w:spacing w:line="259" w:lineRule="auto"/>
              <w:jc w:val="both"/>
              <w:rPr>
                <w:rFonts w:ascii="Garamond" w:eastAsia="Calibri" w:hAnsi="Garamond" w:cs="Calibri"/>
                <w:sz w:val="22"/>
                <w:szCs w:val="22"/>
                <w:lang w:eastAsia="en-US"/>
              </w:rPr>
            </w:pPr>
            <w:r w:rsidRPr="001333B2">
              <w:rPr>
                <w:rFonts w:ascii="Garamond" w:eastAsia="Calibri" w:hAnsi="Garamond" w:cs="Calibri"/>
                <w:sz w:val="22"/>
                <w:szCs w:val="22"/>
                <w:lang w:eastAsia="en-US"/>
              </w:rPr>
              <w:t>КРУН 6 кВ, 1 с.ш. 6 кВ, яч. 3, КЛ 6 кВ</w:t>
            </w:r>
          </w:p>
        </w:tc>
        <w:tc>
          <w:tcPr>
            <w:tcW w:w="2410" w:type="dxa"/>
            <w:shd w:val="clear" w:color="auto" w:fill="auto"/>
            <w:vAlign w:val="center"/>
          </w:tcPr>
          <w:p w14:paraId="0FF33CE0" w14:textId="77777777" w:rsidR="001333B2" w:rsidRPr="001333B2" w:rsidRDefault="001333B2" w:rsidP="001333B2">
            <w:pPr>
              <w:suppressAutoHyphens w:val="0"/>
              <w:spacing w:line="259" w:lineRule="auto"/>
              <w:jc w:val="both"/>
              <w:rPr>
                <w:rFonts w:ascii="Garamond" w:eastAsia="Calibri" w:hAnsi="Garamond" w:cs="Calibri"/>
                <w:sz w:val="22"/>
                <w:szCs w:val="22"/>
                <w:lang w:eastAsia="en-US"/>
              </w:rPr>
            </w:pPr>
            <w:r w:rsidRPr="001333B2">
              <w:rPr>
                <w:rFonts w:ascii="Garamond" w:eastAsia="Calibri" w:hAnsi="Garamond" w:cs="Calibri"/>
                <w:sz w:val="22"/>
                <w:szCs w:val="22"/>
                <w:lang w:eastAsia="en-US"/>
              </w:rPr>
              <w:t>КРУН 6 кВ</w:t>
            </w:r>
          </w:p>
        </w:tc>
        <w:tc>
          <w:tcPr>
            <w:tcW w:w="2268" w:type="dxa"/>
            <w:shd w:val="clear" w:color="auto" w:fill="auto"/>
            <w:vAlign w:val="center"/>
          </w:tcPr>
          <w:p w14:paraId="01732755" w14:textId="77777777" w:rsidR="001333B2" w:rsidRPr="001333B2" w:rsidRDefault="001333B2" w:rsidP="001333B2">
            <w:pPr>
              <w:suppressAutoHyphens w:val="0"/>
              <w:spacing w:line="259" w:lineRule="auto"/>
              <w:jc w:val="both"/>
              <w:rPr>
                <w:rFonts w:ascii="Garamond" w:eastAsia="Calibri" w:hAnsi="Garamond" w:cs="Calibri"/>
                <w:sz w:val="22"/>
                <w:szCs w:val="22"/>
                <w:lang w:eastAsia="en-US"/>
              </w:rPr>
            </w:pPr>
            <w:r w:rsidRPr="001333B2">
              <w:rPr>
                <w:rFonts w:ascii="Garamond" w:eastAsia="Calibri" w:hAnsi="Garamond" w:cs="Calibri"/>
                <w:sz w:val="22"/>
                <w:szCs w:val="22"/>
                <w:lang w:eastAsia="en-US"/>
              </w:rPr>
              <w:t>1 с.ш. 6 кВ, яч. 3</w:t>
            </w:r>
          </w:p>
        </w:tc>
        <w:tc>
          <w:tcPr>
            <w:tcW w:w="2268" w:type="dxa"/>
            <w:shd w:val="clear" w:color="auto" w:fill="auto"/>
            <w:vAlign w:val="center"/>
          </w:tcPr>
          <w:p w14:paraId="39B8A612" w14:textId="77777777" w:rsidR="001333B2" w:rsidRPr="001333B2" w:rsidRDefault="001333B2" w:rsidP="001333B2">
            <w:pPr>
              <w:suppressAutoHyphens w:val="0"/>
              <w:spacing w:line="259" w:lineRule="auto"/>
              <w:jc w:val="both"/>
              <w:rPr>
                <w:rFonts w:ascii="Garamond" w:eastAsia="Calibri" w:hAnsi="Garamond" w:cs="Calibri"/>
                <w:sz w:val="22"/>
                <w:szCs w:val="22"/>
                <w:lang w:eastAsia="en-US"/>
              </w:rPr>
            </w:pPr>
            <w:r w:rsidRPr="001333B2">
              <w:rPr>
                <w:rFonts w:ascii="Garamond" w:eastAsia="Calibri" w:hAnsi="Garamond" w:cs="Calibri"/>
                <w:sz w:val="22"/>
                <w:szCs w:val="22"/>
                <w:lang w:eastAsia="en-US"/>
              </w:rPr>
              <w:t>КЛ 6 кВ</w:t>
            </w:r>
          </w:p>
        </w:tc>
      </w:tr>
      <w:tr w:rsidR="001333B2" w:rsidRPr="001333B2" w14:paraId="415F81E1" w14:textId="77777777" w:rsidTr="0064152E">
        <w:trPr>
          <w:trHeight w:val="567"/>
        </w:trPr>
        <w:tc>
          <w:tcPr>
            <w:tcW w:w="2977" w:type="dxa"/>
            <w:vAlign w:val="center"/>
          </w:tcPr>
          <w:p w14:paraId="3BB2E827" w14:textId="77777777" w:rsidR="001333B2" w:rsidRPr="001333B2" w:rsidRDefault="001333B2" w:rsidP="001333B2">
            <w:pPr>
              <w:suppressAutoHyphens w:val="0"/>
              <w:spacing w:line="259" w:lineRule="auto"/>
              <w:jc w:val="both"/>
              <w:rPr>
                <w:rFonts w:ascii="Garamond" w:eastAsia="Calibri" w:hAnsi="Garamond" w:cs="Calibri"/>
                <w:sz w:val="22"/>
                <w:szCs w:val="22"/>
                <w:lang w:eastAsia="en-US"/>
              </w:rPr>
            </w:pPr>
            <w:r w:rsidRPr="001333B2">
              <w:rPr>
                <w:rFonts w:ascii="Garamond" w:eastAsia="Calibri" w:hAnsi="Garamond" w:cs="Calibri"/>
                <w:sz w:val="22"/>
                <w:szCs w:val="22"/>
                <w:lang w:eastAsia="en-US"/>
              </w:rPr>
              <w:t>ВЛБ 10 кВ, отпайка ВЛ-10 кВ ф. 12</w:t>
            </w:r>
          </w:p>
        </w:tc>
        <w:tc>
          <w:tcPr>
            <w:tcW w:w="2410" w:type="dxa"/>
            <w:shd w:val="clear" w:color="auto" w:fill="auto"/>
            <w:vAlign w:val="center"/>
          </w:tcPr>
          <w:p w14:paraId="5980F5A9" w14:textId="77777777" w:rsidR="001333B2" w:rsidRPr="001333B2" w:rsidRDefault="001333B2" w:rsidP="001333B2">
            <w:pPr>
              <w:suppressAutoHyphens w:val="0"/>
              <w:spacing w:line="259" w:lineRule="auto"/>
              <w:jc w:val="both"/>
              <w:rPr>
                <w:rFonts w:ascii="Garamond" w:eastAsia="Calibri" w:hAnsi="Garamond" w:cs="Calibri"/>
                <w:sz w:val="22"/>
                <w:szCs w:val="22"/>
                <w:lang w:eastAsia="en-US"/>
              </w:rPr>
            </w:pPr>
            <w:r w:rsidRPr="001333B2">
              <w:rPr>
                <w:rFonts w:ascii="Garamond" w:eastAsia="Calibri" w:hAnsi="Garamond" w:cs="Calibri"/>
                <w:sz w:val="22"/>
                <w:szCs w:val="22"/>
                <w:lang w:eastAsia="en-US"/>
              </w:rPr>
              <w:t>ВЛБ 10 кВ</w:t>
            </w:r>
          </w:p>
        </w:tc>
        <w:tc>
          <w:tcPr>
            <w:tcW w:w="2268" w:type="dxa"/>
            <w:shd w:val="clear" w:color="auto" w:fill="auto"/>
            <w:vAlign w:val="center"/>
          </w:tcPr>
          <w:p w14:paraId="435D37E6" w14:textId="77777777" w:rsidR="001333B2" w:rsidRPr="001333B2" w:rsidRDefault="001333B2" w:rsidP="001333B2">
            <w:pPr>
              <w:suppressAutoHyphens w:val="0"/>
              <w:spacing w:line="259" w:lineRule="auto"/>
              <w:jc w:val="center"/>
              <w:rPr>
                <w:rFonts w:ascii="Garamond" w:eastAsia="Calibri" w:hAnsi="Garamond" w:cs="Calibri"/>
                <w:sz w:val="22"/>
                <w:szCs w:val="22"/>
                <w:lang w:eastAsia="en-US"/>
              </w:rPr>
            </w:pPr>
            <w:r w:rsidRPr="001333B2">
              <w:rPr>
                <w:rFonts w:ascii="Garamond" w:eastAsia="Calibri" w:hAnsi="Garamond" w:cs="Times New Roman"/>
                <w:bCs/>
                <w:sz w:val="22"/>
                <w:szCs w:val="22"/>
                <w:lang w:eastAsia="en-US"/>
              </w:rPr>
              <w:t>–</w:t>
            </w:r>
          </w:p>
        </w:tc>
        <w:tc>
          <w:tcPr>
            <w:tcW w:w="2268" w:type="dxa"/>
            <w:shd w:val="clear" w:color="auto" w:fill="auto"/>
            <w:vAlign w:val="center"/>
          </w:tcPr>
          <w:p w14:paraId="6A3654C9" w14:textId="77777777" w:rsidR="001333B2" w:rsidRPr="001333B2" w:rsidRDefault="001333B2" w:rsidP="001333B2">
            <w:pPr>
              <w:suppressAutoHyphens w:val="0"/>
              <w:spacing w:line="259" w:lineRule="auto"/>
              <w:jc w:val="both"/>
              <w:rPr>
                <w:rFonts w:ascii="Garamond" w:eastAsia="Calibri" w:hAnsi="Garamond" w:cs="Calibri"/>
                <w:sz w:val="22"/>
                <w:szCs w:val="22"/>
                <w:lang w:eastAsia="en-US"/>
              </w:rPr>
            </w:pPr>
            <w:r w:rsidRPr="001333B2">
              <w:rPr>
                <w:rFonts w:ascii="Garamond" w:eastAsia="Calibri" w:hAnsi="Garamond" w:cs="Calibri"/>
                <w:sz w:val="22"/>
                <w:szCs w:val="22"/>
                <w:lang w:eastAsia="en-US"/>
              </w:rPr>
              <w:t>отпайка ВЛ-10 кВ ф. 12</w:t>
            </w:r>
          </w:p>
        </w:tc>
      </w:tr>
      <w:tr w:rsidR="001333B2" w:rsidRPr="001333B2" w14:paraId="2EC27F48" w14:textId="77777777" w:rsidTr="0064152E">
        <w:trPr>
          <w:trHeight w:val="567"/>
        </w:trPr>
        <w:tc>
          <w:tcPr>
            <w:tcW w:w="2977" w:type="dxa"/>
            <w:vAlign w:val="center"/>
          </w:tcPr>
          <w:p w14:paraId="08066CEF" w14:textId="77777777" w:rsidR="001333B2" w:rsidRPr="001333B2" w:rsidRDefault="001333B2" w:rsidP="001333B2">
            <w:pPr>
              <w:suppressAutoHyphens w:val="0"/>
              <w:spacing w:line="259" w:lineRule="auto"/>
              <w:jc w:val="both"/>
              <w:rPr>
                <w:rFonts w:ascii="Garamond" w:eastAsia="Calibri" w:hAnsi="Garamond" w:cs="Calibri"/>
                <w:sz w:val="22"/>
                <w:szCs w:val="22"/>
                <w:lang w:eastAsia="en-US"/>
              </w:rPr>
            </w:pPr>
            <w:r w:rsidRPr="001333B2">
              <w:rPr>
                <w:rFonts w:ascii="Garamond" w:eastAsia="Calibri" w:hAnsi="Garamond" w:cs="Calibri"/>
                <w:sz w:val="22"/>
                <w:szCs w:val="22"/>
                <w:lang w:eastAsia="en-US"/>
              </w:rPr>
              <w:t>ПП 6 кВ, ВЛ 6 кВ Ф-1</w:t>
            </w:r>
          </w:p>
        </w:tc>
        <w:tc>
          <w:tcPr>
            <w:tcW w:w="2410" w:type="dxa"/>
            <w:shd w:val="clear" w:color="auto" w:fill="auto"/>
            <w:vAlign w:val="center"/>
          </w:tcPr>
          <w:p w14:paraId="798DB848" w14:textId="77777777" w:rsidR="001333B2" w:rsidRPr="001333B2" w:rsidRDefault="001333B2" w:rsidP="001333B2">
            <w:pPr>
              <w:suppressAutoHyphens w:val="0"/>
              <w:spacing w:line="259" w:lineRule="auto"/>
              <w:jc w:val="both"/>
              <w:rPr>
                <w:rFonts w:ascii="Garamond" w:eastAsia="Calibri" w:hAnsi="Garamond" w:cs="Calibri"/>
                <w:sz w:val="22"/>
                <w:szCs w:val="22"/>
                <w:lang w:eastAsia="en-US"/>
              </w:rPr>
            </w:pPr>
            <w:r w:rsidRPr="001333B2">
              <w:rPr>
                <w:rFonts w:ascii="Garamond" w:eastAsia="Calibri" w:hAnsi="Garamond" w:cs="Calibri"/>
                <w:sz w:val="22"/>
                <w:szCs w:val="22"/>
                <w:lang w:eastAsia="en-US"/>
              </w:rPr>
              <w:t>ПП 6 кВ</w:t>
            </w:r>
          </w:p>
        </w:tc>
        <w:tc>
          <w:tcPr>
            <w:tcW w:w="2268" w:type="dxa"/>
            <w:shd w:val="clear" w:color="auto" w:fill="auto"/>
            <w:vAlign w:val="center"/>
          </w:tcPr>
          <w:p w14:paraId="4CE3897B" w14:textId="77777777" w:rsidR="001333B2" w:rsidRPr="001333B2" w:rsidRDefault="001333B2" w:rsidP="001333B2">
            <w:pPr>
              <w:suppressAutoHyphens w:val="0"/>
              <w:spacing w:line="259" w:lineRule="auto"/>
              <w:jc w:val="center"/>
              <w:rPr>
                <w:rFonts w:ascii="Garamond" w:eastAsia="Calibri" w:hAnsi="Garamond" w:cs="Calibri"/>
                <w:sz w:val="22"/>
                <w:szCs w:val="22"/>
                <w:lang w:eastAsia="en-US"/>
              </w:rPr>
            </w:pPr>
            <w:r w:rsidRPr="001333B2">
              <w:rPr>
                <w:rFonts w:ascii="Garamond" w:eastAsia="Calibri" w:hAnsi="Garamond" w:cs="Times New Roman"/>
                <w:bCs/>
                <w:sz w:val="22"/>
                <w:szCs w:val="22"/>
                <w:lang w:eastAsia="en-US"/>
              </w:rPr>
              <w:t>–</w:t>
            </w:r>
          </w:p>
        </w:tc>
        <w:tc>
          <w:tcPr>
            <w:tcW w:w="2268" w:type="dxa"/>
            <w:shd w:val="clear" w:color="auto" w:fill="auto"/>
            <w:vAlign w:val="center"/>
          </w:tcPr>
          <w:p w14:paraId="501E201B" w14:textId="77777777" w:rsidR="001333B2" w:rsidRPr="001333B2" w:rsidRDefault="001333B2" w:rsidP="001333B2">
            <w:pPr>
              <w:suppressAutoHyphens w:val="0"/>
              <w:spacing w:line="259" w:lineRule="auto"/>
              <w:jc w:val="both"/>
              <w:rPr>
                <w:rFonts w:ascii="Garamond" w:eastAsia="Calibri" w:hAnsi="Garamond" w:cs="Calibri"/>
                <w:sz w:val="22"/>
                <w:szCs w:val="22"/>
                <w:lang w:eastAsia="en-US"/>
              </w:rPr>
            </w:pPr>
            <w:r w:rsidRPr="001333B2">
              <w:rPr>
                <w:rFonts w:ascii="Garamond" w:eastAsia="Calibri" w:hAnsi="Garamond" w:cs="Calibri"/>
                <w:sz w:val="22"/>
                <w:szCs w:val="22"/>
                <w:lang w:eastAsia="en-US"/>
              </w:rPr>
              <w:t>ВЛ 6 кВ Ф-1</w:t>
            </w:r>
          </w:p>
        </w:tc>
      </w:tr>
      <w:tr w:rsidR="001333B2" w:rsidRPr="001333B2" w14:paraId="74776C23" w14:textId="77777777" w:rsidTr="0064152E">
        <w:trPr>
          <w:trHeight w:val="567"/>
        </w:trPr>
        <w:tc>
          <w:tcPr>
            <w:tcW w:w="2977" w:type="dxa"/>
            <w:vAlign w:val="center"/>
          </w:tcPr>
          <w:p w14:paraId="7699ADF7" w14:textId="77777777" w:rsidR="001333B2" w:rsidRPr="001333B2" w:rsidRDefault="001333B2" w:rsidP="001333B2">
            <w:pPr>
              <w:suppressAutoHyphens w:val="0"/>
              <w:spacing w:line="259" w:lineRule="auto"/>
              <w:jc w:val="both"/>
              <w:rPr>
                <w:rFonts w:ascii="Garamond" w:eastAsia="Calibri" w:hAnsi="Garamond" w:cs="Calibri"/>
                <w:sz w:val="22"/>
                <w:szCs w:val="22"/>
                <w:lang w:eastAsia="en-US"/>
              </w:rPr>
            </w:pPr>
            <w:r w:rsidRPr="001333B2">
              <w:rPr>
                <w:rFonts w:ascii="Garamond" w:eastAsia="Calibri" w:hAnsi="Garamond" w:cs="Calibri"/>
                <w:sz w:val="22"/>
                <w:szCs w:val="22"/>
                <w:lang w:eastAsia="en-US"/>
              </w:rPr>
              <w:t>РВНО 6 кВ, ф. 10</w:t>
            </w:r>
          </w:p>
        </w:tc>
        <w:tc>
          <w:tcPr>
            <w:tcW w:w="2410" w:type="dxa"/>
            <w:shd w:val="clear" w:color="auto" w:fill="auto"/>
            <w:vAlign w:val="center"/>
          </w:tcPr>
          <w:p w14:paraId="00B3E182" w14:textId="77777777" w:rsidR="001333B2" w:rsidRPr="001333B2" w:rsidRDefault="001333B2" w:rsidP="001333B2">
            <w:pPr>
              <w:suppressAutoHyphens w:val="0"/>
              <w:spacing w:line="259" w:lineRule="auto"/>
              <w:jc w:val="both"/>
              <w:rPr>
                <w:rFonts w:ascii="Garamond" w:eastAsia="Calibri" w:hAnsi="Garamond" w:cs="Calibri"/>
                <w:sz w:val="22"/>
                <w:szCs w:val="22"/>
                <w:lang w:eastAsia="en-US"/>
              </w:rPr>
            </w:pPr>
            <w:r w:rsidRPr="001333B2">
              <w:rPr>
                <w:rFonts w:ascii="Garamond" w:eastAsia="Calibri" w:hAnsi="Garamond" w:cs="Calibri"/>
                <w:sz w:val="22"/>
                <w:szCs w:val="22"/>
                <w:lang w:eastAsia="en-US"/>
              </w:rPr>
              <w:t>РВНО 6 кВ</w:t>
            </w:r>
          </w:p>
        </w:tc>
        <w:tc>
          <w:tcPr>
            <w:tcW w:w="2268" w:type="dxa"/>
            <w:shd w:val="clear" w:color="auto" w:fill="auto"/>
            <w:vAlign w:val="center"/>
          </w:tcPr>
          <w:p w14:paraId="0FDEE69C" w14:textId="77777777" w:rsidR="001333B2" w:rsidRPr="001333B2" w:rsidRDefault="001333B2" w:rsidP="001333B2">
            <w:pPr>
              <w:suppressAutoHyphens w:val="0"/>
              <w:spacing w:line="259" w:lineRule="auto"/>
              <w:jc w:val="center"/>
              <w:rPr>
                <w:rFonts w:ascii="Garamond" w:eastAsia="Calibri" w:hAnsi="Garamond" w:cs="Calibri"/>
                <w:sz w:val="22"/>
                <w:szCs w:val="22"/>
                <w:lang w:eastAsia="en-US"/>
              </w:rPr>
            </w:pPr>
            <w:r w:rsidRPr="001333B2">
              <w:rPr>
                <w:rFonts w:ascii="Garamond" w:eastAsia="Calibri" w:hAnsi="Garamond" w:cs="Times New Roman"/>
                <w:bCs/>
                <w:sz w:val="22"/>
                <w:szCs w:val="22"/>
                <w:lang w:eastAsia="en-US"/>
              </w:rPr>
              <w:t>–</w:t>
            </w:r>
          </w:p>
        </w:tc>
        <w:tc>
          <w:tcPr>
            <w:tcW w:w="2268" w:type="dxa"/>
            <w:shd w:val="clear" w:color="auto" w:fill="auto"/>
            <w:vAlign w:val="center"/>
          </w:tcPr>
          <w:p w14:paraId="7541B2DB" w14:textId="77777777" w:rsidR="001333B2" w:rsidRPr="001333B2" w:rsidRDefault="001333B2" w:rsidP="001333B2">
            <w:pPr>
              <w:suppressAutoHyphens w:val="0"/>
              <w:spacing w:line="259" w:lineRule="auto"/>
              <w:jc w:val="both"/>
              <w:rPr>
                <w:rFonts w:ascii="Garamond" w:eastAsia="Calibri" w:hAnsi="Garamond" w:cs="Calibri"/>
                <w:sz w:val="22"/>
                <w:szCs w:val="22"/>
                <w:lang w:eastAsia="en-US"/>
              </w:rPr>
            </w:pPr>
            <w:r w:rsidRPr="001333B2">
              <w:rPr>
                <w:rFonts w:ascii="Garamond" w:eastAsia="Calibri" w:hAnsi="Garamond" w:cs="Calibri"/>
                <w:sz w:val="22"/>
                <w:szCs w:val="22"/>
                <w:lang w:eastAsia="en-US"/>
              </w:rPr>
              <w:t>ф. 10</w:t>
            </w:r>
          </w:p>
        </w:tc>
      </w:tr>
    </w:tbl>
    <w:p w14:paraId="247C6497" w14:textId="77777777" w:rsidR="001333B2" w:rsidRPr="001333B2" w:rsidRDefault="001333B2" w:rsidP="001333B2">
      <w:pPr>
        <w:widowControl w:val="0"/>
        <w:tabs>
          <w:tab w:val="left" w:pos="1077"/>
        </w:tabs>
        <w:suppressAutoHyphens w:val="0"/>
        <w:spacing w:before="120" w:after="120"/>
        <w:ind w:firstLine="601"/>
        <w:jc w:val="both"/>
        <w:rPr>
          <w:rFonts w:ascii="Garamond" w:eastAsia="Calibri" w:hAnsi="Garamond" w:cs="Times New Roman"/>
          <w:bCs/>
          <w:sz w:val="22"/>
          <w:szCs w:val="22"/>
          <w:lang w:eastAsia="en-US"/>
        </w:rPr>
      </w:pPr>
      <w:r w:rsidRPr="001333B2">
        <w:rPr>
          <w:rFonts w:ascii="Garamond" w:eastAsia="Calibri" w:hAnsi="Garamond" w:cs="Times New Roman"/>
          <w:bCs/>
          <w:sz w:val="22"/>
          <w:szCs w:val="22"/>
          <w:lang w:eastAsia="en-US"/>
        </w:rPr>
        <w:t>Приведенные примеры наименований точек присоединения не являются исчерпывающими.</w:t>
      </w:r>
    </w:p>
    <w:p w14:paraId="532BC1A8" w14:textId="77777777" w:rsidR="001333B2" w:rsidRPr="001333B2" w:rsidRDefault="001333B2" w:rsidP="001A09D5">
      <w:pPr>
        <w:widowControl w:val="0"/>
        <w:numPr>
          <w:ilvl w:val="1"/>
          <w:numId w:val="326"/>
        </w:numPr>
        <w:tabs>
          <w:tab w:val="left" w:pos="1077"/>
        </w:tabs>
        <w:suppressAutoHyphens w:val="0"/>
        <w:spacing w:before="120" w:after="120" w:line="259" w:lineRule="auto"/>
        <w:ind w:left="0" w:firstLine="601"/>
        <w:jc w:val="both"/>
        <w:outlineLvl w:val="1"/>
        <w:rPr>
          <w:rFonts w:ascii="Garamond" w:eastAsia="Calibri" w:hAnsi="Garamond" w:cs="Times New Roman"/>
          <w:sz w:val="22"/>
          <w:szCs w:val="22"/>
          <w:lang w:eastAsia="en-US"/>
        </w:rPr>
      </w:pPr>
      <w:r w:rsidRPr="001333B2">
        <w:rPr>
          <w:rFonts w:ascii="Garamond" w:eastAsia="Calibri" w:hAnsi="Garamond" w:cs="Times New Roman"/>
          <w:sz w:val="22"/>
          <w:szCs w:val="22"/>
          <w:lang w:eastAsia="en-US"/>
        </w:rPr>
        <w:t>Если точка присоединения расположена на линии электропередачи, то в наименовании точки присоединения указываются:</w:t>
      </w:r>
    </w:p>
    <w:p w14:paraId="50B12AD7" w14:textId="77777777" w:rsidR="001333B2" w:rsidRPr="001333B2" w:rsidRDefault="001333B2" w:rsidP="001333B2">
      <w:pPr>
        <w:widowControl w:val="0"/>
        <w:tabs>
          <w:tab w:val="left" w:pos="1077"/>
        </w:tabs>
        <w:suppressAutoHyphens w:val="0"/>
        <w:spacing w:before="120" w:after="120"/>
        <w:ind w:firstLine="601"/>
        <w:jc w:val="both"/>
        <w:rPr>
          <w:rFonts w:ascii="Garamond" w:eastAsia="Calibri" w:hAnsi="Garamond" w:cs="Times New Roman"/>
          <w:bCs/>
          <w:sz w:val="22"/>
          <w:szCs w:val="22"/>
          <w:lang w:eastAsia="en-US"/>
        </w:rPr>
      </w:pPr>
      <w:r w:rsidRPr="001333B2">
        <w:rPr>
          <w:rFonts w:ascii="Garamond" w:eastAsia="Calibri" w:hAnsi="Garamond" w:cs="Times New Roman"/>
          <w:bCs/>
          <w:sz w:val="22"/>
          <w:szCs w:val="22"/>
          <w:lang w:eastAsia="en-US"/>
        </w:rPr>
        <w:t>а)</w:t>
      </w:r>
      <w:r w:rsidRPr="001333B2">
        <w:rPr>
          <w:rFonts w:ascii="Garamond" w:eastAsia="Calibri" w:hAnsi="Garamond" w:cs="Times New Roman"/>
          <w:bCs/>
          <w:sz w:val="22"/>
          <w:szCs w:val="22"/>
          <w:lang w:eastAsia="en-US"/>
        </w:rPr>
        <w:tab/>
        <w:t>наименование энергообъекта:</w:t>
      </w:r>
    </w:p>
    <w:p w14:paraId="37C547A8" w14:textId="77777777" w:rsidR="001333B2" w:rsidRPr="001333B2" w:rsidRDefault="001333B2" w:rsidP="001333B2">
      <w:pPr>
        <w:widowControl w:val="0"/>
        <w:tabs>
          <w:tab w:val="left" w:pos="1077"/>
        </w:tabs>
        <w:suppressAutoHyphens w:val="0"/>
        <w:spacing w:before="120" w:after="120"/>
        <w:ind w:firstLine="601"/>
        <w:jc w:val="both"/>
        <w:rPr>
          <w:rFonts w:ascii="Garamond" w:eastAsia="Calibri" w:hAnsi="Garamond" w:cs="Times New Roman"/>
          <w:bCs/>
          <w:sz w:val="22"/>
          <w:szCs w:val="22"/>
          <w:lang w:eastAsia="en-US"/>
        </w:rPr>
      </w:pPr>
      <w:r w:rsidRPr="001333B2">
        <w:rPr>
          <w:rFonts w:ascii="Garamond" w:eastAsia="Calibri" w:hAnsi="Garamond" w:cs="Times New Roman"/>
          <w:bCs/>
          <w:sz w:val="22"/>
          <w:szCs w:val="22"/>
          <w:lang w:eastAsia="en-US"/>
        </w:rPr>
        <w:t>–</w:t>
      </w:r>
      <w:r w:rsidRPr="001333B2">
        <w:rPr>
          <w:rFonts w:ascii="Garamond" w:eastAsia="Calibri" w:hAnsi="Garamond" w:cs="Times New Roman"/>
          <w:bCs/>
          <w:sz w:val="22"/>
          <w:szCs w:val="22"/>
          <w:lang w:eastAsia="en-US"/>
        </w:rPr>
        <w:tab/>
        <w:t>тип линии электропередачи (например, КЛ, ВЛ, КВЛ, ЛЭП, КЛЭП и т.п.), класс напряжения и наименование линии электропередачи. В случае отсутствия наименования линии электропередачи указываются наименования энергообъектов, соединяемых линией электропередачи и изображенных на однолинейной схеме;</w:t>
      </w:r>
    </w:p>
    <w:p w14:paraId="265AD1CC" w14:textId="77777777" w:rsidR="001333B2" w:rsidRPr="001333B2" w:rsidRDefault="001333B2" w:rsidP="001333B2">
      <w:pPr>
        <w:widowControl w:val="0"/>
        <w:tabs>
          <w:tab w:val="left" w:pos="1077"/>
        </w:tabs>
        <w:suppressAutoHyphens w:val="0"/>
        <w:spacing w:before="120" w:after="120"/>
        <w:ind w:firstLine="601"/>
        <w:jc w:val="both"/>
        <w:rPr>
          <w:rFonts w:ascii="Garamond" w:eastAsia="Calibri" w:hAnsi="Garamond" w:cs="Times New Roman"/>
          <w:bCs/>
          <w:sz w:val="22"/>
          <w:szCs w:val="22"/>
          <w:lang w:eastAsia="en-US"/>
        </w:rPr>
      </w:pPr>
      <w:r w:rsidRPr="001333B2">
        <w:rPr>
          <w:rFonts w:ascii="Garamond" w:eastAsia="Calibri" w:hAnsi="Garamond" w:cs="Times New Roman"/>
          <w:bCs/>
          <w:sz w:val="22"/>
          <w:szCs w:val="22"/>
          <w:lang w:eastAsia="en-US"/>
        </w:rPr>
        <w:t>б)</w:t>
      </w:r>
      <w:r w:rsidRPr="001333B2">
        <w:rPr>
          <w:rFonts w:ascii="Garamond" w:eastAsia="Calibri" w:hAnsi="Garamond" w:cs="Times New Roman"/>
          <w:bCs/>
          <w:sz w:val="22"/>
          <w:szCs w:val="22"/>
          <w:lang w:eastAsia="en-US"/>
        </w:rPr>
        <w:tab/>
        <w:t>описание месторасположения точки присоединения:</w:t>
      </w:r>
    </w:p>
    <w:p w14:paraId="052F49D1" w14:textId="77777777" w:rsidR="001333B2" w:rsidRPr="001333B2" w:rsidRDefault="001333B2" w:rsidP="001333B2">
      <w:pPr>
        <w:widowControl w:val="0"/>
        <w:tabs>
          <w:tab w:val="left" w:pos="1077"/>
        </w:tabs>
        <w:suppressAutoHyphens w:val="0"/>
        <w:spacing w:before="120" w:after="120"/>
        <w:ind w:firstLine="601"/>
        <w:jc w:val="both"/>
        <w:rPr>
          <w:rFonts w:ascii="Garamond" w:eastAsia="Calibri" w:hAnsi="Garamond" w:cs="Times New Roman"/>
          <w:bCs/>
          <w:sz w:val="22"/>
          <w:szCs w:val="22"/>
          <w:lang w:eastAsia="en-US"/>
        </w:rPr>
      </w:pPr>
      <w:r w:rsidRPr="001333B2">
        <w:rPr>
          <w:rFonts w:ascii="Garamond" w:eastAsia="Calibri" w:hAnsi="Garamond" w:cs="Times New Roman"/>
          <w:bCs/>
          <w:sz w:val="22"/>
          <w:szCs w:val="22"/>
          <w:lang w:eastAsia="en-US"/>
        </w:rPr>
        <w:t>–</w:t>
      </w:r>
      <w:r w:rsidRPr="001333B2">
        <w:rPr>
          <w:rFonts w:ascii="Garamond" w:eastAsia="Calibri" w:hAnsi="Garamond" w:cs="Times New Roman"/>
          <w:bCs/>
          <w:sz w:val="22"/>
          <w:szCs w:val="22"/>
          <w:lang w:eastAsia="en-US"/>
        </w:rPr>
        <w:tab/>
        <w:t>номер (обозначение) опоры (муфты). В случае отсутствия номера (обозначения) опоры допускается использовать указание типа опоры (анкерной, концевой и т.п.);</w:t>
      </w:r>
    </w:p>
    <w:p w14:paraId="022F8E14" w14:textId="77777777" w:rsidR="001333B2" w:rsidRPr="001333B2" w:rsidRDefault="001333B2" w:rsidP="001333B2">
      <w:pPr>
        <w:widowControl w:val="0"/>
        <w:tabs>
          <w:tab w:val="left" w:pos="1077"/>
        </w:tabs>
        <w:suppressAutoHyphens w:val="0"/>
        <w:spacing w:before="120" w:after="120"/>
        <w:ind w:firstLine="601"/>
        <w:jc w:val="both"/>
        <w:rPr>
          <w:rFonts w:ascii="Garamond" w:eastAsia="Calibri" w:hAnsi="Garamond" w:cs="Times New Roman"/>
          <w:bCs/>
          <w:sz w:val="22"/>
          <w:szCs w:val="22"/>
          <w:lang w:eastAsia="en-US"/>
        </w:rPr>
      </w:pPr>
      <w:r w:rsidRPr="001333B2">
        <w:rPr>
          <w:rFonts w:ascii="Garamond" w:eastAsia="Calibri" w:hAnsi="Garamond" w:cs="Times New Roman"/>
          <w:bCs/>
          <w:sz w:val="22"/>
          <w:szCs w:val="22"/>
          <w:lang w:eastAsia="en-US"/>
        </w:rPr>
        <w:lastRenderedPageBreak/>
        <w:t>в)</w:t>
      </w:r>
      <w:r w:rsidRPr="001333B2">
        <w:rPr>
          <w:rFonts w:ascii="Garamond" w:eastAsia="Calibri" w:hAnsi="Garamond" w:cs="Times New Roman"/>
          <w:bCs/>
          <w:sz w:val="22"/>
          <w:szCs w:val="22"/>
          <w:lang w:eastAsia="en-US"/>
        </w:rPr>
        <w:tab/>
        <w:t>наименование присоединения:</w:t>
      </w:r>
    </w:p>
    <w:p w14:paraId="756A3CC0" w14:textId="77777777" w:rsidR="001333B2" w:rsidRPr="001333B2" w:rsidRDefault="001333B2" w:rsidP="001333B2">
      <w:pPr>
        <w:widowControl w:val="0"/>
        <w:tabs>
          <w:tab w:val="left" w:pos="1077"/>
        </w:tabs>
        <w:suppressAutoHyphens w:val="0"/>
        <w:spacing w:before="120" w:after="120"/>
        <w:ind w:firstLine="601"/>
        <w:jc w:val="both"/>
        <w:rPr>
          <w:rFonts w:ascii="Garamond" w:eastAsia="Calibri" w:hAnsi="Garamond" w:cs="Times New Roman"/>
          <w:bCs/>
          <w:sz w:val="22"/>
          <w:szCs w:val="22"/>
          <w:lang w:eastAsia="en-US"/>
        </w:rPr>
      </w:pPr>
      <w:r w:rsidRPr="001333B2">
        <w:rPr>
          <w:rFonts w:ascii="Garamond" w:eastAsia="Calibri" w:hAnsi="Garamond" w:cs="Times New Roman"/>
          <w:bCs/>
          <w:sz w:val="22"/>
          <w:szCs w:val="22"/>
          <w:lang w:eastAsia="en-US"/>
        </w:rPr>
        <w:t>–</w:t>
      </w:r>
      <w:r w:rsidRPr="001333B2">
        <w:rPr>
          <w:rFonts w:ascii="Garamond" w:eastAsia="Calibri" w:hAnsi="Garamond" w:cs="Times New Roman"/>
          <w:bCs/>
          <w:sz w:val="22"/>
          <w:szCs w:val="22"/>
          <w:lang w:eastAsia="en-US"/>
        </w:rPr>
        <w:tab/>
        <w:t>наименование отпайки (ответвления) линии электропередачи.</w:t>
      </w:r>
    </w:p>
    <w:p w14:paraId="07A98765" w14:textId="77777777" w:rsidR="001333B2" w:rsidRPr="001333B2" w:rsidRDefault="001333B2" w:rsidP="001333B2">
      <w:pPr>
        <w:widowControl w:val="0"/>
        <w:tabs>
          <w:tab w:val="left" w:pos="1077"/>
        </w:tabs>
        <w:suppressAutoHyphens w:val="0"/>
        <w:spacing w:before="120" w:after="120"/>
        <w:ind w:firstLine="601"/>
        <w:jc w:val="both"/>
        <w:rPr>
          <w:rFonts w:ascii="Garamond" w:eastAsia="Calibri" w:hAnsi="Garamond" w:cs="Times New Roman"/>
          <w:bCs/>
          <w:sz w:val="22"/>
          <w:szCs w:val="22"/>
          <w:lang w:eastAsia="en-US"/>
        </w:rPr>
      </w:pPr>
      <w:r w:rsidRPr="001333B2">
        <w:rPr>
          <w:rFonts w:ascii="Garamond" w:eastAsia="Calibri" w:hAnsi="Garamond" w:cs="Times New Roman"/>
          <w:bCs/>
          <w:sz w:val="22"/>
          <w:szCs w:val="22"/>
          <w:lang w:eastAsia="en-US"/>
        </w:rPr>
        <w:t>Для идентификации точки присоединения допускается использовать:</w:t>
      </w:r>
    </w:p>
    <w:p w14:paraId="0DBBD8A1" w14:textId="77777777" w:rsidR="001333B2" w:rsidRPr="001333B2" w:rsidRDefault="001333B2" w:rsidP="001333B2">
      <w:pPr>
        <w:widowControl w:val="0"/>
        <w:tabs>
          <w:tab w:val="left" w:pos="1077"/>
        </w:tabs>
        <w:suppressAutoHyphens w:val="0"/>
        <w:spacing w:before="120" w:after="120"/>
        <w:ind w:firstLine="601"/>
        <w:jc w:val="both"/>
        <w:rPr>
          <w:rFonts w:ascii="Garamond" w:eastAsia="Calibri" w:hAnsi="Garamond" w:cs="Times New Roman"/>
          <w:bCs/>
          <w:sz w:val="22"/>
          <w:szCs w:val="22"/>
          <w:lang w:eastAsia="en-US"/>
        </w:rPr>
      </w:pPr>
      <w:r w:rsidRPr="001333B2">
        <w:rPr>
          <w:rFonts w:ascii="Garamond" w:eastAsia="Calibri" w:hAnsi="Garamond" w:cs="Times New Roman"/>
          <w:bCs/>
          <w:sz w:val="22"/>
          <w:szCs w:val="22"/>
          <w:lang w:eastAsia="en-US"/>
        </w:rPr>
        <w:t>–</w:t>
      </w:r>
      <w:r w:rsidRPr="001333B2">
        <w:rPr>
          <w:rFonts w:ascii="Garamond" w:eastAsia="Calibri" w:hAnsi="Garamond" w:cs="Times New Roman"/>
          <w:bCs/>
          <w:sz w:val="22"/>
          <w:szCs w:val="22"/>
          <w:lang w:eastAsia="en-US"/>
        </w:rPr>
        <w:tab/>
        <w:t>наименования обозначений элементов сетевого оборудования (например, ПКУ, реклоузер и т.п.);</w:t>
      </w:r>
    </w:p>
    <w:p w14:paraId="7A724F08" w14:textId="77777777" w:rsidR="001333B2" w:rsidRPr="001333B2" w:rsidRDefault="001333B2" w:rsidP="001333B2">
      <w:pPr>
        <w:widowControl w:val="0"/>
        <w:tabs>
          <w:tab w:val="left" w:pos="1077"/>
        </w:tabs>
        <w:suppressAutoHyphens w:val="0"/>
        <w:spacing w:before="120" w:after="120"/>
        <w:ind w:firstLine="601"/>
        <w:jc w:val="both"/>
        <w:rPr>
          <w:rFonts w:ascii="Garamond" w:eastAsia="Calibri" w:hAnsi="Garamond" w:cs="Times New Roman"/>
          <w:bCs/>
          <w:sz w:val="22"/>
          <w:szCs w:val="22"/>
          <w:lang w:eastAsia="en-US"/>
        </w:rPr>
      </w:pPr>
      <w:r w:rsidRPr="001333B2">
        <w:rPr>
          <w:rFonts w:ascii="Garamond" w:eastAsia="Calibri" w:hAnsi="Garamond" w:cs="Times New Roman"/>
          <w:bCs/>
          <w:sz w:val="22"/>
          <w:szCs w:val="22"/>
          <w:lang w:eastAsia="en-US"/>
        </w:rPr>
        <w:t>–</w:t>
      </w:r>
      <w:r w:rsidRPr="001333B2">
        <w:rPr>
          <w:rFonts w:ascii="Garamond" w:eastAsia="Calibri" w:hAnsi="Garamond" w:cs="Times New Roman"/>
          <w:bCs/>
          <w:sz w:val="22"/>
          <w:szCs w:val="22"/>
          <w:lang w:eastAsia="en-US"/>
        </w:rPr>
        <w:tab/>
        <w:t>наименование ближайшего энергообъекта, который присоединен к отпайке (ответвлению) линии электропередачи (например, отпайка в сторону КТП-31 10 кВ).</w:t>
      </w:r>
    </w:p>
    <w:p w14:paraId="0E4EEF1A" w14:textId="77777777" w:rsidR="001333B2" w:rsidRPr="001333B2" w:rsidRDefault="001333B2" w:rsidP="001333B2">
      <w:pPr>
        <w:widowControl w:val="0"/>
        <w:tabs>
          <w:tab w:val="left" w:pos="1077"/>
        </w:tabs>
        <w:suppressAutoHyphens w:val="0"/>
        <w:spacing w:before="120" w:after="120"/>
        <w:ind w:firstLine="601"/>
        <w:jc w:val="both"/>
        <w:rPr>
          <w:rFonts w:ascii="Garamond" w:eastAsia="Calibri" w:hAnsi="Garamond" w:cs="Times New Roman"/>
          <w:bCs/>
          <w:sz w:val="22"/>
          <w:szCs w:val="22"/>
          <w:lang w:eastAsia="en-US"/>
        </w:rPr>
      </w:pPr>
      <w:r w:rsidRPr="001333B2">
        <w:rPr>
          <w:rFonts w:ascii="Garamond" w:eastAsia="Calibri" w:hAnsi="Garamond" w:cs="Times New Roman"/>
          <w:bCs/>
          <w:sz w:val="22"/>
          <w:szCs w:val="22"/>
          <w:lang w:eastAsia="en-US"/>
        </w:rPr>
        <w:t>Примеры наименований точек присоединения, расположенных на линии электропередачи:</w:t>
      </w:r>
    </w:p>
    <w:tbl>
      <w:tblPr>
        <w:tblW w:w="9923"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7"/>
        <w:gridCol w:w="2410"/>
        <w:gridCol w:w="2268"/>
        <w:gridCol w:w="2268"/>
      </w:tblGrid>
      <w:tr w:rsidR="001333B2" w:rsidRPr="001333B2" w14:paraId="06FBC112" w14:textId="77777777" w:rsidTr="0064152E">
        <w:tc>
          <w:tcPr>
            <w:tcW w:w="2977" w:type="dxa"/>
            <w:vAlign w:val="center"/>
          </w:tcPr>
          <w:p w14:paraId="05378267" w14:textId="77777777" w:rsidR="001333B2" w:rsidRPr="001333B2" w:rsidRDefault="001333B2" w:rsidP="001333B2">
            <w:pPr>
              <w:suppressAutoHyphens w:val="0"/>
              <w:spacing w:line="259" w:lineRule="auto"/>
              <w:jc w:val="center"/>
              <w:rPr>
                <w:rFonts w:ascii="Garamond" w:eastAsia="Calibri" w:hAnsi="Garamond" w:cs="Times New Roman"/>
                <w:b/>
                <w:sz w:val="22"/>
                <w:szCs w:val="22"/>
                <w:lang w:eastAsia="en-US"/>
              </w:rPr>
            </w:pPr>
            <w:r w:rsidRPr="001333B2">
              <w:rPr>
                <w:rFonts w:ascii="Garamond" w:eastAsia="Calibri" w:hAnsi="Garamond" w:cs="Times New Roman"/>
                <w:b/>
                <w:sz w:val="22"/>
                <w:szCs w:val="22"/>
                <w:lang w:eastAsia="en-US"/>
              </w:rPr>
              <w:t xml:space="preserve">Наименование точки </w:t>
            </w:r>
            <w:r w:rsidRPr="001333B2">
              <w:rPr>
                <w:rFonts w:ascii="Garamond" w:eastAsia="Calibri" w:hAnsi="Garamond" w:cs="Times New Roman"/>
                <w:b/>
                <w:bCs/>
                <w:sz w:val="22"/>
                <w:szCs w:val="22"/>
                <w:lang w:eastAsia="en-US"/>
              </w:rPr>
              <w:t>присоединения</w:t>
            </w:r>
          </w:p>
        </w:tc>
        <w:tc>
          <w:tcPr>
            <w:tcW w:w="2410" w:type="dxa"/>
            <w:shd w:val="clear" w:color="auto" w:fill="auto"/>
            <w:vAlign w:val="center"/>
          </w:tcPr>
          <w:p w14:paraId="3D92679C" w14:textId="77777777" w:rsidR="001333B2" w:rsidRPr="001333B2" w:rsidRDefault="001333B2" w:rsidP="001333B2">
            <w:pPr>
              <w:suppressAutoHyphens w:val="0"/>
              <w:spacing w:line="259" w:lineRule="auto"/>
              <w:jc w:val="center"/>
              <w:rPr>
                <w:rFonts w:ascii="Garamond" w:eastAsia="Calibri" w:hAnsi="Garamond" w:cs="Times New Roman"/>
                <w:sz w:val="22"/>
                <w:szCs w:val="22"/>
                <w:lang w:eastAsia="en-US"/>
              </w:rPr>
            </w:pPr>
            <w:r w:rsidRPr="001333B2">
              <w:rPr>
                <w:rFonts w:ascii="Garamond" w:eastAsia="Calibri" w:hAnsi="Garamond" w:cs="Times New Roman"/>
                <w:b/>
                <w:sz w:val="22"/>
                <w:szCs w:val="22"/>
                <w:lang w:eastAsia="en-US"/>
              </w:rPr>
              <w:t>Наименование энергообъекта</w:t>
            </w:r>
          </w:p>
        </w:tc>
        <w:tc>
          <w:tcPr>
            <w:tcW w:w="2268" w:type="dxa"/>
            <w:shd w:val="clear" w:color="auto" w:fill="auto"/>
            <w:vAlign w:val="center"/>
          </w:tcPr>
          <w:p w14:paraId="349D9C5F" w14:textId="77777777" w:rsidR="001333B2" w:rsidRPr="001333B2" w:rsidRDefault="001333B2" w:rsidP="001333B2">
            <w:pPr>
              <w:suppressAutoHyphens w:val="0"/>
              <w:spacing w:line="259" w:lineRule="auto"/>
              <w:jc w:val="center"/>
              <w:rPr>
                <w:rFonts w:ascii="Garamond" w:eastAsia="Calibri" w:hAnsi="Garamond" w:cs="Times New Roman"/>
                <w:sz w:val="22"/>
                <w:szCs w:val="22"/>
                <w:lang w:eastAsia="en-US"/>
              </w:rPr>
            </w:pPr>
            <w:r w:rsidRPr="001333B2">
              <w:rPr>
                <w:rFonts w:ascii="Garamond" w:eastAsia="Calibri" w:hAnsi="Garamond" w:cs="Times New Roman"/>
                <w:b/>
                <w:sz w:val="22"/>
                <w:szCs w:val="22"/>
                <w:lang w:eastAsia="en-US"/>
              </w:rPr>
              <w:t>Описание месторасположения</w:t>
            </w:r>
          </w:p>
        </w:tc>
        <w:tc>
          <w:tcPr>
            <w:tcW w:w="2268" w:type="dxa"/>
            <w:shd w:val="clear" w:color="auto" w:fill="auto"/>
            <w:vAlign w:val="center"/>
          </w:tcPr>
          <w:p w14:paraId="1D84B40B" w14:textId="77777777" w:rsidR="001333B2" w:rsidRPr="001333B2" w:rsidRDefault="001333B2" w:rsidP="001333B2">
            <w:pPr>
              <w:suppressAutoHyphens w:val="0"/>
              <w:spacing w:line="259" w:lineRule="auto"/>
              <w:jc w:val="center"/>
              <w:rPr>
                <w:rFonts w:ascii="Garamond" w:eastAsia="Calibri" w:hAnsi="Garamond" w:cs="Times New Roman"/>
                <w:sz w:val="22"/>
                <w:szCs w:val="22"/>
                <w:lang w:eastAsia="en-US"/>
              </w:rPr>
            </w:pPr>
            <w:r w:rsidRPr="001333B2">
              <w:rPr>
                <w:rFonts w:ascii="Garamond" w:eastAsia="Calibri" w:hAnsi="Garamond" w:cs="Times New Roman"/>
                <w:b/>
                <w:sz w:val="22"/>
                <w:szCs w:val="22"/>
                <w:lang w:eastAsia="en-US"/>
              </w:rPr>
              <w:t>Наименование присоединения</w:t>
            </w:r>
          </w:p>
        </w:tc>
      </w:tr>
      <w:tr w:rsidR="001333B2" w:rsidRPr="001333B2" w14:paraId="4B6C3DD4" w14:textId="77777777" w:rsidTr="0064152E">
        <w:trPr>
          <w:trHeight w:val="737"/>
        </w:trPr>
        <w:tc>
          <w:tcPr>
            <w:tcW w:w="2977" w:type="dxa"/>
            <w:vAlign w:val="center"/>
          </w:tcPr>
          <w:p w14:paraId="032A966D" w14:textId="77777777" w:rsidR="001333B2" w:rsidRPr="001333B2" w:rsidRDefault="001333B2" w:rsidP="001333B2">
            <w:pPr>
              <w:suppressAutoHyphens w:val="0"/>
              <w:spacing w:line="259" w:lineRule="auto"/>
              <w:jc w:val="both"/>
              <w:rPr>
                <w:rFonts w:ascii="Garamond" w:eastAsia="Calibri" w:hAnsi="Garamond" w:cs="Calibri"/>
                <w:sz w:val="22"/>
                <w:szCs w:val="22"/>
                <w:lang w:eastAsia="en-US"/>
              </w:rPr>
            </w:pPr>
            <w:r w:rsidRPr="001333B2">
              <w:rPr>
                <w:rFonts w:ascii="Garamond" w:eastAsia="Calibri" w:hAnsi="Garamond" w:cs="Times New Roman"/>
                <w:bCs/>
                <w:sz w:val="22"/>
                <w:szCs w:val="22"/>
                <w:lang w:eastAsia="en-US"/>
              </w:rPr>
              <w:t>ВЛ 220 кВ Полоцкая – Шубинская, оп. 384</w:t>
            </w:r>
          </w:p>
        </w:tc>
        <w:tc>
          <w:tcPr>
            <w:tcW w:w="2410" w:type="dxa"/>
            <w:shd w:val="clear" w:color="auto" w:fill="auto"/>
            <w:vAlign w:val="center"/>
          </w:tcPr>
          <w:p w14:paraId="13D980A2" w14:textId="77777777" w:rsidR="001333B2" w:rsidRPr="001333B2" w:rsidRDefault="001333B2" w:rsidP="001333B2">
            <w:pPr>
              <w:suppressAutoHyphens w:val="0"/>
              <w:spacing w:line="259" w:lineRule="auto"/>
              <w:jc w:val="both"/>
              <w:rPr>
                <w:rFonts w:ascii="Garamond" w:eastAsia="Calibri" w:hAnsi="Garamond" w:cs="Calibri"/>
                <w:sz w:val="22"/>
                <w:szCs w:val="22"/>
                <w:lang w:eastAsia="en-US"/>
              </w:rPr>
            </w:pPr>
            <w:r w:rsidRPr="001333B2">
              <w:rPr>
                <w:rFonts w:ascii="Garamond" w:eastAsia="Calibri" w:hAnsi="Garamond" w:cs="Times New Roman"/>
                <w:bCs/>
                <w:sz w:val="22"/>
                <w:szCs w:val="22"/>
                <w:lang w:eastAsia="en-US"/>
              </w:rPr>
              <w:t>ВЛ 220 кВ Полоцкая – Шубинская</w:t>
            </w:r>
          </w:p>
        </w:tc>
        <w:tc>
          <w:tcPr>
            <w:tcW w:w="2268" w:type="dxa"/>
            <w:shd w:val="clear" w:color="auto" w:fill="auto"/>
            <w:vAlign w:val="center"/>
          </w:tcPr>
          <w:p w14:paraId="1A2880B4" w14:textId="77777777" w:rsidR="001333B2" w:rsidRPr="001333B2" w:rsidRDefault="001333B2" w:rsidP="001333B2">
            <w:pPr>
              <w:suppressAutoHyphens w:val="0"/>
              <w:spacing w:line="259" w:lineRule="auto"/>
              <w:jc w:val="both"/>
              <w:rPr>
                <w:rFonts w:ascii="Garamond" w:eastAsia="Calibri" w:hAnsi="Garamond" w:cs="Calibri"/>
                <w:sz w:val="22"/>
                <w:szCs w:val="22"/>
                <w:lang w:eastAsia="en-US"/>
              </w:rPr>
            </w:pPr>
            <w:r w:rsidRPr="001333B2">
              <w:rPr>
                <w:rFonts w:ascii="Garamond" w:eastAsia="Calibri" w:hAnsi="Garamond" w:cs="Times New Roman"/>
                <w:bCs/>
                <w:sz w:val="22"/>
                <w:szCs w:val="22"/>
                <w:lang w:eastAsia="en-US"/>
              </w:rPr>
              <w:t>оп. 384</w:t>
            </w:r>
          </w:p>
        </w:tc>
        <w:tc>
          <w:tcPr>
            <w:tcW w:w="2268" w:type="dxa"/>
            <w:shd w:val="clear" w:color="auto" w:fill="auto"/>
            <w:vAlign w:val="center"/>
          </w:tcPr>
          <w:p w14:paraId="1EDE2633" w14:textId="77777777" w:rsidR="001333B2" w:rsidRPr="001333B2" w:rsidRDefault="001333B2" w:rsidP="001333B2">
            <w:pPr>
              <w:suppressAutoHyphens w:val="0"/>
              <w:spacing w:line="259" w:lineRule="auto"/>
              <w:jc w:val="center"/>
              <w:rPr>
                <w:rFonts w:ascii="Garamond" w:eastAsia="Calibri" w:hAnsi="Garamond" w:cs="Calibri"/>
                <w:sz w:val="22"/>
                <w:szCs w:val="22"/>
                <w:lang w:eastAsia="en-US"/>
              </w:rPr>
            </w:pPr>
            <w:r w:rsidRPr="001333B2">
              <w:rPr>
                <w:rFonts w:ascii="Garamond" w:eastAsia="Calibri" w:hAnsi="Garamond" w:cs="Times New Roman"/>
                <w:bCs/>
                <w:sz w:val="22"/>
                <w:szCs w:val="22"/>
                <w:lang w:eastAsia="en-US"/>
              </w:rPr>
              <w:t>–</w:t>
            </w:r>
          </w:p>
        </w:tc>
      </w:tr>
      <w:tr w:rsidR="001333B2" w:rsidRPr="001333B2" w14:paraId="2118FC2E" w14:textId="77777777" w:rsidTr="0064152E">
        <w:trPr>
          <w:trHeight w:val="737"/>
        </w:trPr>
        <w:tc>
          <w:tcPr>
            <w:tcW w:w="2977" w:type="dxa"/>
            <w:vAlign w:val="center"/>
          </w:tcPr>
          <w:p w14:paraId="128CDCEA" w14:textId="77777777" w:rsidR="001333B2" w:rsidRPr="001333B2" w:rsidRDefault="001333B2" w:rsidP="001333B2">
            <w:pPr>
              <w:suppressAutoHyphens w:val="0"/>
              <w:spacing w:line="259" w:lineRule="auto"/>
              <w:jc w:val="both"/>
              <w:rPr>
                <w:rFonts w:ascii="Garamond" w:eastAsia="Calibri" w:hAnsi="Garamond" w:cs="Calibri"/>
                <w:sz w:val="22"/>
                <w:szCs w:val="22"/>
                <w:lang w:eastAsia="en-US"/>
              </w:rPr>
            </w:pPr>
            <w:r w:rsidRPr="001333B2">
              <w:rPr>
                <w:rFonts w:ascii="Garamond" w:eastAsia="Calibri" w:hAnsi="Garamond" w:cs="Times New Roman"/>
                <w:bCs/>
                <w:sz w:val="22"/>
                <w:szCs w:val="22"/>
                <w:lang w:eastAsia="en-US"/>
              </w:rPr>
              <w:t>ВЛ 10 кВ ПС 110 кВ Березовская – КТП-86 (Л-1), оп. 5</w:t>
            </w:r>
          </w:p>
        </w:tc>
        <w:tc>
          <w:tcPr>
            <w:tcW w:w="2410" w:type="dxa"/>
            <w:shd w:val="clear" w:color="auto" w:fill="auto"/>
            <w:vAlign w:val="center"/>
          </w:tcPr>
          <w:p w14:paraId="4103A9E4" w14:textId="77777777" w:rsidR="001333B2" w:rsidRPr="001333B2" w:rsidRDefault="001333B2" w:rsidP="001333B2">
            <w:pPr>
              <w:suppressAutoHyphens w:val="0"/>
              <w:spacing w:line="259" w:lineRule="auto"/>
              <w:jc w:val="both"/>
              <w:rPr>
                <w:rFonts w:ascii="Garamond" w:eastAsia="Calibri" w:hAnsi="Garamond" w:cs="Calibri"/>
                <w:sz w:val="22"/>
                <w:szCs w:val="22"/>
                <w:lang w:eastAsia="en-US"/>
              </w:rPr>
            </w:pPr>
            <w:r w:rsidRPr="001333B2">
              <w:rPr>
                <w:rFonts w:ascii="Garamond" w:eastAsia="Calibri" w:hAnsi="Garamond" w:cs="Times New Roman"/>
                <w:bCs/>
                <w:sz w:val="22"/>
                <w:szCs w:val="22"/>
                <w:lang w:eastAsia="en-US"/>
              </w:rPr>
              <w:t>ВЛ 10 кВ ПС 110 кВ Березовская – КТП-86 (Л-1)</w:t>
            </w:r>
          </w:p>
        </w:tc>
        <w:tc>
          <w:tcPr>
            <w:tcW w:w="2268" w:type="dxa"/>
            <w:shd w:val="clear" w:color="auto" w:fill="auto"/>
            <w:vAlign w:val="center"/>
          </w:tcPr>
          <w:p w14:paraId="44996219" w14:textId="77777777" w:rsidR="001333B2" w:rsidRPr="001333B2" w:rsidRDefault="001333B2" w:rsidP="001333B2">
            <w:pPr>
              <w:suppressAutoHyphens w:val="0"/>
              <w:spacing w:line="259" w:lineRule="auto"/>
              <w:jc w:val="both"/>
              <w:rPr>
                <w:rFonts w:ascii="Garamond" w:eastAsia="Calibri" w:hAnsi="Garamond" w:cs="Calibri"/>
                <w:sz w:val="22"/>
                <w:szCs w:val="22"/>
                <w:lang w:eastAsia="en-US"/>
              </w:rPr>
            </w:pPr>
            <w:r w:rsidRPr="001333B2">
              <w:rPr>
                <w:rFonts w:ascii="Garamond" w:eastAsia="Calibri" w:hAnsi="Garamond" w:cs="Times New Roman"/>
                <w:bCs/>
                <w:sz w:val="22"/>
                <w:szCs w:val="22"/>
                <w:lang w:eastAsia="en-US"/>
              </w:rPr>
              <w:t>оп. 5</w:t>
            </w:r>
          </w:p>
        </w:tc>
        <w:tc>
          <w:tcPr>
            <w:tcW w:w="2268" w:type="dxa"/>
            <w:shd w:val="clear" w:color="auto" w:fill="auto"/>
            <w:vAlign w:val="center"/>
          </w:tcPr>
          <w:p w14:paraId="4B5543DB" w14:textId="77777777" w:rsidR="001333B2" w:rsidRPr="001333B2" w:rsidRDefault="001333B2" w:rsidP="001333B2">
            <w:pPr>
              <w:suppressAutoHyphens w:val="0"/>
              <w:spacing w:line="259" w:lineRule="auto"/>
              <w:jc w:val="center"/>
              <w:rPr>
                <w:rFonts w:ascii="Garamond" w:eastAsia="Calibri" w:hAnsi="Garamond" w:cs="Calibri"/>
                <w:sz w:val="22"/>
                <w:szCs w:val="22"/>
                <w:lang w:eastAsia="en-US"/>
              </w:rPr>
            </w:pPr>
            <w:r w:rsidRPr="001333B2">
              <w:rPr>
                <w:rFonts w:ascii="Garamond" w:eastAsia="Calibri" w:hAnsi="Garamond" w:cs="Times New Roman"/>
                <w:bCs/>
                <w:sz w:val="22"/>
                <w:szCs w:val="22"/>
                <w:lang w:eastAsia="en-US"/>
              </w:rPr>
              <w:t>–</w:t>
            </w:r>
          </w:p>
        </w:tc>
      </w:tr>
      <w:tr w:rsidR="001333B2" w:rsidRPr="001333B2" w14:paraId="6D726433" w14:textId="77777777" w:rsidTr="0064152E">
        <w:trPr>
          <w:trHeight w:val="737"/>
        </w:trPr>
        <w:tc>
          <w:tcPr>
            <w:tcW w:w="2977" w:type="dxa"/>
            <w:vAlign w:val="center"/>
          </w:tcPr>
          <w:p w14:paraId="568F3F76" w14:textId="77777777" w:rsidR="001333B2" w:rsidRPr="001333B2" w:rsidRDefault="001333B2" w:rsidP="001333B2">
            <w:pPr>
              <w:suppressAutoHyphens w:val="0"/>
              <w:spacing w:line="259" w:lineRule="auto"/>
              <w:jc w:val="both"/>
              <w:rPr>
                <w:rFonts w:ascii="Garamond" w:eastAsia="Calibri" w:hAnsi="Garamond" w:cs="Calibri"/>
                <w:sz w:val="22"/>
                <w:szCs w:val="22"/>
                <w:lang w:eastAsia="en-US"/>
              </w:rPr>
            </w:pPr>
            <w:r w:rsidRPr="001333B2">
              <w:rPr>
                <w:rFonts w:ascii="Garamond" w:eastAsia="Calibri" w:hAnsi="Garamond" w:cs="Times New Roman"/>
                <w:bCs/>
                <w:sz w:val="22"/>
                <w:szCs w:val="22"/>
                <w:lang w:eastAsia="en-US"/>
              </w:rPr>
              <w:t xml:space="preserve">ВЛ 110 кВ Поплавенец – Алешинка-тяговая, концевая опора, </w:t>
            </w:r>
            <w:r w:rsidRPr="001333B2">
              <w:rPr>
                <w:rFonts w:ascii="Garamond" w:eastAsia="Calibri" w:hAnsi="Garamond" w:cs="Calibri"/>
                <w:sz w:val="22"/>
                <w:szCs w:val="22"/>
                <w:lang w:eastAsia="en-US"/>
              </w:rPr>
              <w:t>в сторону ПС 110 кВ Алешинка-тяговая</w:t>
            </w:r>
          </w:p>
        </w:tc>
        <w:tc>
          <w:tcPr>
            <w:tcW w:w="2410" w:type="dxa"/>
            <w:shd w:val="clear" w:color="auto" w:fill="auto"/>
            <w:vAlign w:val="center"/>
          </w:tcPr>
          <w:p w14:paraId="50826809" w14:textId="77777777" w:rsidR="001333B2" w:rsidRPr="001333B2" w:rsidRDefault="001333B2" w:rsidP="001333B2">
            <w:pPr>
              <w:suppressAutoHyphens w:val="0"/>
              <w:spacing w:line="259" w:lineRule="auto"/>
              <w:jc w:val="both"/>
              <w:rPr>
                <w:rFonts w:ascii="Garamond" w:eastAsia="Calibri" w:hAnsi="Garamond" w:cs="Calibri"/>
                <w:sz w:val="22"/>
                <w:szCs w:val="22"/>
                <w:lang w:eastAsia="en-US"/>
              </w:rPr>
            </w:pPr>
            <w:r w:rsidRPr="001333B2">
              <w:rPr>
                <w:rFonts w:ascii="Garamond" w:eastAsia="Calibri" w:hAnsi="Garamond" w:cs="Times New Roman"/>
                <w:bCs/>
                <w:sz w:val="22"/>
                <w:szCs w:val="22"/>
                <w:lang w:eastAsia="en-US"/>
              </w:rPr>
              <w:t>ВЛ 110 кВ Поплавенец – Алешинка-тяговая</w:t>
            </w:r>
          </w:p>
        </w:tc>
        <w:tc>
          <w:tcPr>
            <w:tcW w:w="2268" w:type="dxa"/>
            <w:shd w:val="clear" w:color="auto" w:fill="auto"/>
            <w:vAlign w:val="center"/>
          </w:tcPr>
          <w:p w14:paraId="35DDF6C3" w14:textId="77777777" w:rsidR="001333B2" w:rsidRPr="001333B2" w:rsidRDefault="001333B2" w:rsidP="001333B2">
            <w:pPr>
              <w:suppressAutoHyphens w:val="0"/>
              <w:spacing w:line="259" w:lineRule="auto"/>
              <w:jc w:val="both"/>
              <w:rPr>
                <w:rFonts w:ascii="Garamond" w:eastAsia="Calibri" w:hAnsi="Garamond" w:cs="Calibri"/>
                <w:sz w:val="22"/>
                <w:szCs w:val="22"/>
                <w:lang w:eastAsia="en-US"/>
              </w:rPr>
            </w:pPr>
            <w:r w:rsidRPr="001333B2">
              <w:rPr>
                <w:rFonts w:ascii="Garamond" w:eastAsia="Calibri" w:hAnsi="Garamond" w:cs="Times New Roman"/>
                <w:bCs/>
                <w:sz w:val="22"/>
                <w:szCs w:val="22"/>
                <w:lang w:eastAsia="en-US"/>
              </w:rPr>
              <w:t>концевая опора</w:t>
            </w:r>
          </w:p>
        </w:tc>
        <w:tc>
          <w:tcPr>
            <w:tcW w:w="2268" w:type="dxa"/>
            <w:shd w:val="clear" w:color="auto" w:fill="auto"/>
            <w:vAlign w:val="center"/>
          </w:tcPr>
          <w:p w14:paraId="1F507A59" w14:textId="77777777" w:rsidR="001333B2" w:rsidRPr="001333B2" w:rsidRDefault="001333B2" w:rsidP="001333B2">
            <w:pPr>
              <w:suppressAutoHyphens w:val="0"/>
              <w:spacing w:line="259" w:lineRule="auto"/>
              <w:jc w:val="both"/>
              <w:rPr>
                <w:rFonts w:ascii="Garamond" w:eastAsia="Calibri" w:hAnsi="Garamond" w:cs="Calibri"/>
                <w:sz w:val="22"/>
                <w:szCs w:val="22"/>
                <w:lang w:eastAsia="en-US"/>
              </w:rPr>
            </w:pPr>
            <w:r w:rsidRPr="001333B2">
              <w:rPr>
                <w:rFonts w:ascii="Garamond" w:eastAsia="Calibri" w:hAnsi="Garamond" w:cs="Calibri"/>
                <w:sz w:val="22"/>
                <w:szCs w:val="22"/>
                <w:lang w:eastAsia="en-US"/>
              </w:rPr>
              <w:t>в сторону ПС 110 кВ Алешинка-тяговая</w:t>
            </w:r>
          </w:p>
        </w:tc>
      </w:tr>
      <w:tr w:rsidR="001333B2" w:rsidRPr="001333B2" w14:paraId="54B49D4F" w14:textId="77777777" w:rsidTr="0064152E">
        <w:trPr>
          <w:trHeight w:val="737"/>
        </w:trPr>
        <w:tc>
          <w:tcPr>
            <w:tcW w:w="2977" w:type="dxa"/>
            <w:vAlign w:val="center"/>
          </w:tcPr>
          <w:p w14:paraId="587AD763" w14:textId="77777777" w:rsidR="001333B2" w:rsidRPr="001333B2" w:rsidRDefault="001333B2" w:rsidP="001333B2">
            <w:pPr>
              <w:suppressAutoHyphens w:val="0"/>
              <w:spacing w:line="259" w:lineRule="auto"/>
              <w:jc w:val="both"/>
              <w:rPr>
                <w:rFonts w:ascii="Garamond" w:eastAsia="Calibri" w:hAnsi="Garamond" w:cs="Calibri"/>
                <w:sz w:val="22"/>
                <w:szCs w:val="22"/>
                <w:lang w:eastAsia="en-US"/>
              </w:rPr>
            </w:pPr>
            <w:r w:rsidRPr="001333B2">
              <w:rPr>
                <w:rFonts w:ascii="Garamond" w:eastAsia="Calibri" w:hAnsi="Garamond" w:cs="Times New Roman"/>
                <w:bCs/>
                <w:sz w:val="22"/>
                <w:szCs w:val="22"/>
                <w:lang w:eastAsia="en-US"/>
              </w:rPr>
              <w:t>ВЛ 110 кВ В. Волочек – Бологое, анкерная опора, в сторону ПС Бологое</w:t>
            </w:r>
          </w:p>
        </w:tc>
        <w:tc>
          <w:tcPr>
            <w:tcW w:w="2410" w:type="dxa"/>
            <w:shd w:val="clear" w:color="auto" w:fill="auto"/>
            <w:vAlign w:val="center"/>
          </w:tcPr>
          <w:p w14:paraId="7BA5C94D" w14:textId="77777777" w:rsidR="001333B2" w:rsidRPr="001333B2" w:rsidRDefault="001333B2" w:rsidP="001333B2">
            <w:pPr>
              <w:suppressAutoHyphens w:val="0"/>
              <w:spacing w:line="259" w:lineRule="auto"/>
              <w:jc w:val="both"/>
              <w:rPr>
                <w:rFonts w:ascii="Garamond" w:eastAsia="Calibri" w:hAnsi="Garamond" w:cs="Calibri"/>
                <w:sz w:val="22"/>
                <w:szCs w:val="22"/>
                <w:lang w:eastAsia="en-US"/>
              </w:rPr>
            </w:pPr>
            <w:r w:rsidRPr="001333B2">
              <w:rPr>
                <w:rFonts w:ascii="Garamond" w:eastAsia="Calibri" w:hAnsi="Garamond" w:cs="Times New Roman"/>
                <w:bCs/>
                <w:sz w:val="22"/>
                <w:szCs w:val="22"/>
                <w:lang w:eastAsia="en-US"/>
              </w:rPr>
              <w:t>ВЛ 110 кВ В. Волочек – Бологое</w:t>
            </w:r>
          </w:p>
        </w:tc>
        <w:tc>
          <w:tcPr>
            <w:tcW w:w="2268" w:type="dxa"/>
            <w:shd w:val="clear" w:color="auto" w:fill="auto"/>
            <w:vAlign w:val="center"/>
          </w:tcPr>
          <w:p w14:paraId="22289519" w14:textId="77777777" w:rsidR="001333B2" w:rsidRPr="001333B2" w:rsidRDefault="001333B2" w:rsidP="001333B2">
            <w:pPr>
              <w:suppressAutoHyphens w:val="0"/>
              <w:spacing w:line="259" w:lineRule="auto"/>
              <w:jc w:val="both"/>
              <w:rPr>
                <w:rFonts w:ascii="Garamond" w:eastAsia="Calibri" w:hAnsi="Garamond" w:cs="Calibri"/>
                <w:sz w:val="22"/>
                <w:szCs w:val="22"/>
                <w:lang w:eastAsia="en-US"/>
              </w:rPr>
            </w:pPr>
            <w:r w:rsidRPr="001333B2">
              <w:rPr>
                <w:rFonts w:ascii="Garamond" w:eastAsia="Calibri" w:hAnsi="Garamond" w:cs="Times New Roman"/>
                <w:bCs/>
                <w:sz w:val="22"/>
                <w:szCs w:val="22"/>
                <w:lang w:eastAsia="en-US"/>
              </w:rPr>
              <w:t>анкерная опора</w:t>
            </w:r>
          </w:p>
        </w:tc>
        <w:tc>
          <w:tcPr>
            <w:tcW w:w="2268" w:type="dxa"/>
            <w:shd w:val="clear" w:color="auto" w:fill="auto"/>
            <w:vAlign w:val="center"/>
          </w:tcPr>
          <w:p w14:paraId="09EC98F5" w14:textId="77777777" w:rsidR="001333B2" w:rsidRPr="001333B2" w:rsidRDefault="001333B2" w:rsidP="001333B2">
            <w:pPr>
              <w:suppressAutoHyphens w:val="0"/>
              <w:spacing w:line="259" w:lineRule="auto"/>
              <w:jc w:val="both"/>
              <w:rPr>
                <w:rFonts w:ascii="Garamond" w:eastAsia="Calibri" w:hAnsi="Garamond" w:cs="Calibri"/>
                <w:sz w:val="22"/>
                <w:szCs w:val="22"/>
                <w:lang w:eastAsia="en-US"/>
              </w:rPr>
            </w:pPr>
            <w:r w:rsidRPr="001333B2">
              <w:rPr>
                <w:rFonts w:ascii="Garamond" w:eastAsia="Calibri" w:hAnsi="Garamond" w:cs="Times New Roman"/>
                <w:bCs/>
                <w:sz w:val="22"/>
                <w:szCs w:val="22"/>
                <w:lang w:eastAsia="en-US"/>
              </w:rPr>
              <w:t>в сторону ПС Бологое</w:t>
            </w:r>
          </w:p>
        </w:tc>
      </w:tr>
      <w:tr w:rsidR="001333B2" w:rsidRPr="001333B2" w14:paraId="16F2AC56" w14:textId="77777777" w:rsidTr="0064152E">
        <w:trPr>
          <w:trHeight w:val="737"/>
        </w:trPr>
        <w:tc>
          <w:tcPr>
            <w:tcW w:w="2977" w:type="dxa"/>
            <w:vAlign w:val="center"/>
          </w:tcPr>
          <w:p w14:paraId="3003C348" w14:textId="77777777" w:rsidR="001333B2" w:rsidRPr="001333B2" w:rsidRDefault="001333B2" w:rsidP="001333B2">
            <w:pPr>
              <w:suppressAutoHyphens w:val="0"/>
              <w:spacing w:line="259" w:lineRule="auto"/>
              <w:jc w:val="both"/>
              <w:rPr>
                <w:rFonts w:ascii="Garamond" w:eastAsia="Calibri" w:hAnsi="Garamond" w:cs="Calibri"/>
                <w:sz w:val="22"/>
                <w:szCs w:val="22"/>
                <w:lang w:eastAsia="en-US"/>
              </w:rPr>
            </w:pPr>
            <w:r w:rsidRPr="001333B2">
              <w:rPr>
                <w:rFonts w:ascii="Garamond" w:eastAsia="Calibri" w:hAnsi="Garamond" w:cs="Times New Roman"/>
                <w:bCs/>
                <w:sz w:val="22"/>
                <w:szCs w:val="22"/>
                <w:lang w:eastAsia="en-US"/>
              </w:rPr>
              <w:t>ВЛ 10 кВ ф. 15, оп. 10, КЛ 10 кВ ф. 15</w:t>
            </w:r>
          </w:p>
        </w:tc>
        <w:tc>
          <w:tcPr>
            <w:tcW w:w="2410" w:type="dxa"/>
            <w:shd w:val="clear" w:color="auto" w:fill="auto"/>
            <w:vAlign w:val="center"/>
          </w:tcPr>
          <w:p w14:paraId="1B6763FF" w14:textId="77777777" w:rsidR="001333B2" w:rsidRPr="001333B2" w:rsidRDefault="001333B2" w:rsidP="001333B2">
            <w:pPr>
              <w:suppressAutoHyphens w:val="0"/>
              <w:spacing w:line="259" w:lineRule="auto"/>
              <w:jc w:val="both"/>
              <w:rPr>
                <w:rFonts w:ascii="Garamond" w:eastAsia="Calibri" w:hAnsi="Garamond" w:cs="Calibri"/>
                <w:sz w:val="22"/>
                <w:szCs w:val="22"/>
                <w:lang w:eastAsia="en-US"/>
              </w:rPr>
            </w:pPr>
            <w:r w:rsidRPr="001333B2">
              <w:rPr>
                <w:rFonts w:ascii="Garamond" w:eastAsia="Calibri" w:hAnsi="Garamond" w:cs="Times New Roman"/>
                <w:bCs/>
                <w:sz w:val="22"/>
                <w:szCs w:val="22"/>
                <w:lang w:eastAsia="en-US"/>
              </w:rPr>
              <w:t>ВЛ 10 кВ ф. 15</w:t>
            </w:r>
          </w:p>
        </w:tc>
        <w:tc>
          <w:tcPr>
            <w:tcW w:w="2268" w:type="dxa"/>
            <w:shd w:val="clear" w:color="auto" w:fill="auto"/>
            <w:vAlign w:val="center"/>
          </w:tcPr>
          <w:p w14:paraId="6873E202" w14:textId="77777777" w:rsidR="001333B2" w:rsidRPr="001333B2" w:rsidRDefault="001333B2" w:rsidP="001333B2">
            <w:pPr>
              <w:suppressAutoHyphens w:val="0"/>
              <w:spacing w:line="259" w:lineRule="auto"/>
              <w:jc w:val="both"/>
              <w:rPr>
                <w:rFonts w:ascii="Garamond" w:eastAsia="Calibri" w:hAnsi="Garamond" w:cs="Calibri"/>
                <w:sz w:val="22"/>
                <w:szCs w:val="22"/>
                <w:lang w:eastAsia="en-US"/>
              </w:rPr>
            </w:pPr>
            <w:r w:rsidRPr="001333B2">
              <w:rPr>
                <w:rFonts w:ascii="Garamond" w:eastAsia="Calibri" w:hAnsi="Garamond" w:cs="Times New Roman"/>
                <w:bCs/>
                <w:sz w:val="22"/>
                <w:szCs w:val="22"/>
                <w:lang w:eastAsia="en-US"/>
              </w:rPr>
              <w:t>оп. 10</w:t>
            </w:r>
          </w:p>
        </w:tc>
        <w:tc>
          <w:tcPr>
            <w:tcW w:w="2268" w:type="dxa"/>
            <w:shd w:val="clear" w:color="auto" w:fill="auto"/>
            <w:vAlign w:val="center"/>
          </w:tcPr>
          <w:p w14:paraId="40B265A8" w14:textId="77777777" w:rsidR="001333B2" w:rsidRPr="001333B2" w:rsidRDefault="001333B2" w:rsidP="001333B2">
            <w:pPr>
              <w:suppressAutoHyphens w:val="0"/>
              <w:spacing w:line="259" w:lineRule="auto"/>
              <w:jc w:val="both"/>
              <w:rPr>
                <w:rFonts w:ascii="Garamond" w:eastAsia="Calibri" w:hAnsi="Garamond" w:cs="Calibri"/>
                <w:sz w:val="22"/>
                <w:szCs w:val="22"/>
                <w:lang w:eastAsia="en-US"/>
              </w:rPr>
            </w:pPr>
            <w:r w:rsidRPr="001333B2">
              <w:rPr>
                <w:rFonts w:ascii="Garamond" w:eastAsia="Calibri" w:hAnsi="Garamond" w:cs="Times New Roman"/>
                <w:bCs/>
                <w:sz w:val="22"/>
                <w:szCs w:val="22"/>
                <w:lang w:eastAsia="en-US"/>
              </w:rPr>
              <w:t>КЛ 10 кВ ф. 15</w:t>
            </w:r>
          </w:p>
        </w:tc>
      </w:tr>
      <w:tr w:rsidR="001333B2" w:rsidRPr="001333B2" w14:paraId="546C1CE7" w14:textId="77777777" w:rsidTr="0064152E">
        <w:trPr>
          <w:trHeight w:val="737"/>
        </w:trPr>
        <w:tc>
          <w:tcPr>
            <w:tcW w:w="2977" w:type="dxa"/>
            <w:vAlign w:val="center"/>
          </w:tcPr>
          <w:p w14:paraId="76CA0B99" w14:textId="77777777" w:rsidR="001333B2" w:rsidRPr="001333B2" w:rsidRDefault="001333B2" w:rsidP="001333B2">
            <w:pPr>
              <w:suppressAutoHyphens w:val="0"/>
              <w:spacing w:line="259" w:lineRule="auto"/>
              <w:jc w:val="both"/>
              <w:rPr>
                <w:rFonts w:ascii="Garamond" w:eastAsia="Calibri" w:hAnsi="Garamond" w:cs="Calibri"/>
                <w:sz w:val="22"/>
                <w:szCs w:val="22"/>
                <w:lang w:eastAsia="en-US"/>
              </w:rPr>
            </w:pPr>
            <w:r w:rsidRPr="001333B2">
              <w:rPr>
                <w:rFonts w:ascii="Garamond" w:eastAsia="Calibri" w:hAnsi="Garamond" w:cs="Times New Roman"/>
                <w:bCs/>
                <w:sz w:val="22"/>
                <w:szCs w:val="22"/>
                <w:lang w:eastAsia="en-US"/>
              </w:rPr>
              <w:t>КЛ 6 кВ ф. Сиреневый, муфта, КЛ 6 кВ в сторону ТП-7 6 кВ</w:t>
            </w:r>
          </w:p>
        </w:tc>
        <w:tc>
          <w:tcPr>
            <w:tcW w:w="2410" w:type="dxa"/>
            <w:shd w:val="clear" w:color="auto" w:fill="auto"/>
            <w:vAlign w:val="center"/>
          </w:tcPr>
          <w:p w14:paraId="402BDACD" w14:textId="77777777" w:rsidR="001333B2" w:rsidRPr="001333B2" w:rsidRDefault="001333B2" w:rsidP="001333B2">
            <w:pPr>
              <w:suppressAutoHyphens w:val="0"/>
              <w:spacing w:line="259" w:lineRule="auto"/>
              <w:jc w:val="both"/>
              <w:rPr>
                <w:rFonts w:ascii="Garamond" w:eastAsia="Calibri" w:hAnsi="Garamond" w:cs="Calibri"/>
                <w:sz w:val="22"/>
                <w:szCs w:val="22"/>
                <w:lang w:eastAsia="en-US"/>
              </w:rPr>
            </w:pPr>
            <w:r w:rsidRPr="001333B2">
              <w:rPr>
                <w:rFonts w:ascii="Garamond" w:eastAsia="Calibri" w:hAnsi="Garamond" w:cs="Times New Roman"/>
                <w:bCs/>
                <w:sz w:val="22"/>
                <w:szCs w:val="22"/>
                <w:lang w:eastAsia="en-US"/>
              </w:rPr>
              <w:t>КЛ 6 кВ ф. Сиреневый</w:t>
            </w:r>
          </w:p>
        </w:tc>
        <w:tc>
          <w:tcPr>
            <w:tcW w:w="2268" w:type="dxa"/>
            <w:shd w:val="clear" w:color="auto" w:fill="auto"/>
            <w:vAlign w:val="center"/>
          </w:tcPr>
          <w:p w14:paraId="6D75CBCD" w14:textId="77777777" w:rsidR="001333B2" w:rsidRPr="001333B2" w:rsidRDefault="001333B2" w:rsidP="001333B2">
            <w:pPr>
              <w:suppressAutoHyphens w:val="0"/>
              <w:spacing w:line="259" w:lineRule="auto"/>
              <w:jc w:val="both"/>
              <w:rPr>
                <w:rFonts w:ascii="Garamond" w:eastAsia="Calibri" w:hAnsi="Garamond" w:cs="Calibri"/>
                <w:sz w:val="22"/>
                <w:szCs w:val="22"/>
                <w:lang w:eastAsia="en-US"/>
              </w:rPr>
            </w:pPr>
            <w:r w:rsidRPr="001333B2">
              <w:rPr>
                <w:rFonts w:ascii="Garamond" w:eastAsia="Calibri" w:hAnsi="Garamond" w:cs="Times New Roman"/>
                <w:bCs/>
                <w:sz w:val="22"/>
                <w:szCs w:val="22"/>
                <w:lang w:eastAsia="en-US"/>
              </w:rPr>
              <w:t>муфта</w:t>
            </w:r>
          </w:p>
        </w:tc>
        <w:tc>
          <w:tcPr>
            <w:tcW w:w="2268" w:type="dxa"/>
            <w:shd w:val="clear" w:color="auto" w:fill="auto"/>
            <w:vAlign w:val="center"/>
          </w:tcPr>
          <w:p w14:paraId="5B1875CD" w14:textId="77777777" w:rsidR="001333B2" w:rsidRPr="001333B2" w:rsidRDefault="001333B2" w:rsidP="001333B2">
            <w:pPr>
              <w:suppressAutoHyphens w:val="0"/>
              <w:spacing w:line="259" w:lineRule="auto"/>
              <w:jc w:val="both"/>
              <w:rPr>
                <w:rFonts w:ascii="Garamond" w:eastAsia="Calibri" w:hAnsi="Garamond" w:cs="Calibri"/>
                <w:sz w:val="22"/>
                <w:szCs w:val="22"/>
                <w:lang w:eastAsia="en-US"/>
              </w:rPr>
            </w:pPr>
            <w:r w:rsidRPr="001333B2">
              <w:rPr>
                <w:rFonts w:ascii="Garamond" w:eastAsia="Calibri" w:hAnsi="Garamond" w:cs="Times New Roman"/>
                <w:bCs/>
                <w:sz w:val="22"/>
                <w:szCs w:val="22"/>
                <w:lang w:eastAsia="en-US"/>
              </w:rPr>
              <w:t>КЛ 6 кВ в сторону ТП-7 6 кВ</w:t>
            </w:r>
          </w:p>
        </w:tc>
      </w:tr>
      <w:tr w:rsidR="001333B2" w:rsidRPr="001333B2" w14:paraId="071A0A18" w14:textId="77777777" w:rsidTr="0064152E">
        <w:trPr>
          <w:trHeight w:val="737"/>
        </w:trPr>
        <w:tc>
          <w:tcPr>
            <w:tcW w:w="2977" w:type="dxa"/>
            <w:vAlign w:val="center"/>
          </w:tcPr>
          <w:p w14:paraId="529DA52E" w14:textId="77777777" w:rsidR="001333B2" w:rsidRPr="001333B2" w:rsidRDefault="001333B2" w:rsidP="001333B2">
            <w:pPr>
              <w:suppressAutoHyphens w:val="0"/>
              <w:spacing w:line="259" w:lineRule="auto"/>
              <w:jc w:val="both"/>
              <w:rPr>
                <w:rFonts w:ascii="Garamond" w:eastAsia="Calibri" w:hAnsi="Garamond" w:cs="Calibri"/>
                <w:sz w:val="22"/>
                <w:szCs w:val="22"/>
                <w:lang w:eastAsia="en-US"/>
              </w:rPr>
            </w:pPr>
            <w:r w:rsidRPr="001333B2">
              <w:rPr>
                <w:rFonts w:ascii="Garamond" w:eastAsia="Calibri" w:hAnsi="Garamond" w:cs="Times New Roman"/>
                <w:bCs/>
                <w:sz w:val="22"/>
                <w:szCs w:val="22"/>
                <w:lang w:eastAsia="en-US"/>
              </w:rPr>
              <w:t>КЛ 0,4 кВ от РП-5 6 кВ, КЛ 0,22 кВ ЗАО Звезда</w:t>
            </w:r>
          </w:p>
        </w:tc>
        <w:tc>
          <w:tcPr>
            <w:tcW w:w="2410" w:type="dxa"/>
            <w:shd w:val="clear" w:color="auto" w:fill="auto"/>
            <w:vAlign w:val="center"/>
          </w:tcPr>
          <w:p w14:paraId="04D6B8B2" w14:textId="77777777" w:rsidR="001333B2" w:rsidRPr="001333B2" w:rsidRDefault="001333B2" w:rsidP="001333B2">
            <w:pPr>
              <w:suppressAutoHyphens w:val="0"/>
              <w:spacing w:line="259" w:lineRule="auto"/>
              <w:jc w:val="both"/>
              <w:rPr>
                <w:rFonts w:ascii="Garamond" w:eastAsia="Calibri" w:hAnsi="Garamond" w:cs="Calibri"/>
                <w:sz w:val="22"/>
                <w:szCs w:val="22"/>
                <w:lang w:eastAsia="en-US"/>
              </w:rPr>
            </w:pPr>
            <w:r w:rsidRPr="001333B2">
              <w:rPr>
                <w:rFonts w:ascii="Garamond" w:eastAsia="Calibri" w:hAnsi="Garamond" w:cs="Times New Roman"/>
                <w:bCs/>
                <w:sz w:val="22"/>
                <w:szCs w:val="22"/>
                <w:lang w:eastAsia="en-US"/>
              </w:rPr>
              <w:t>КЛ 0,4 кВ от РП-5 6 кВ</w:t>
            </w:r>
          </w:p>
        </w:tc>
        <w:tc>
          <w:tcPr>
            <w:tcW w:w="2268" w:type="dxa"/>
            <w:shd w:val="clear" w:color="auto" w:fill="auto"/>
            <w:vAlign w:val="center"/>
          </w:tcPr>
          <w:p w14:paraId="3C78361E" w14:textId="77777777" w:rsidR="001333B2" w:rsidRPr="001333B2" w:rsidRDefault="001333B2" w:rsidP="001333B2">
            <w:pPr>
              <w:suppressAutoHyphens w:val="0"/>
              <w:spacing w:line="259" w:lineRule="auto"/>
              <w:jc w:val="center"/>
              <w:rPr>
                <w:rFonts w:ascii="Garamond" w:eastAsia="Calibri" w:hAnsi="Garamond" w:cs="Calibri"/>
                <w:sz w:val="22"/>
                <w:szCs w:val="22"/>
                <w:lang w:eastAsia="en-US"/>
              </w:rPr>
            </w:pPr>
            <w:r w:rsidRPr="001333B2">
              <w:rPr>
                <w:rFonts w:ascii="Garamond" w:eastAsia="Calibri" w:hAnsi="Garamond" w:cs="Times New Roman"/>
                <w:bCs/>
                <w:sz w:val="22"/>
                <w:szCs w:val="22"/>
                <w:lang w:eastAsia="en-US"/>
              </w:rPr>
              <w:t>–</w:t>
            </w:r>
          </w:p>
        </w:tc>
        <w:tc>
          <w:tcPr>
            <w:tcW w:w="2268" w:type="dxa"/>
            <w:shd w:val="clear" w:color="auto" w:fill="auto"/>
            <w:vAlign w:val="center"/>
          </w:tcPr>
          <w:p w14:paraId="6AC0F23D" w14:textId="77777777" w:rsidR="001333B2" w:rsidRPr="001333B2" w:rsidRDefault="001333B2" w:rsidP="001333B2">
            <w:pPr>
              <w:suppressAutoHyphens w:val="0"/>
              <w:spacing w:line="259" w:lineRule="auto"/>
              <w:jc w:val="both"/>
              <w:rPr>
                <w:rFonts w:ascii="Garamond" w:eastAsia="Calibri" w:hAnsi="Garamond" w:cs="Calibri"/>
                <w:sz w:val="22"/>
                <w:szCs w:val="22"/>
                <w:lang w:eastAsia="en-US"/>
              </w:rPr>
            </w:pPr>
            <w:r w:rsidRPr="001333B2">
              <w:rPr>
                <w:rFonts w:ascii="Garamond" w:eastAsia="Calibri" w:hAnsi="Garamond" w:cs="Times New Roman"/>
                <w:bCs/>
                <w:sz w:val="22"/>
                <w:szCs w:val="22"/>
                <w:lang w:eastAsia="en-US"/>
              </w:rPr>
              <w:t>КЛ 0,22 кВ ЗАО Звезда</w:t>
            </w:r>
          </w:p>
        </w:tc>
      </w:tr>
    </w:tbl>
    <w:p w14:paraId="0D01FED5" w14:textId="77777777" w:rsidR="001333B2" w:rsidRPr="001333B2" w:rsidRDefault="001333B2" w:rsidP="001333B2">
      <w:pPr>
        <w:widowControl w:val="0"/>
        <w:tabs>
          <w:tab w:val="left" w:pos="1077"/>
        </w:tabs>
        <w:suppressAutoHyphens w:val="0"/>
        <w:spacing w:before="120" w:after="120"/>
        <w:ind w:firstLine="601"/>
        <w:jc w:val="both"/>
        <w:rPr>
          <w:rFonts w:ascii="Garamond" w:eastAsia="Calibri" w:hAnsi="Garamond" w:cs="Times New Roman"/>
          <w:bCs/>
          <w:sz w:val="22"/>
          <w:szCs w:val="22"/>
          <w:lang w:eastAsia="en-US"/>
        </w:rPr>
      </w:pPr>
      <w:r w:rsidRPr="001333B2">
        <w:rPr>
          <w:rFonts w:ascii="Garamond" w:eastAsia="Calibri" w:hAnsi="Garamond" w:cs="Times New Roman"/>
          <w:bCs/>
          <w:sz w:val="22"/>
          <w:szCs w:val="22"/>
          <w:lang w:eastAsia="en-US"/>
        </w:rPr>
        <w:t>Приведенные примеры наименований точек присоединения не являются исчерпывающими.</w:t>
      </w:r>
    </w:p>
    <w:p w14:paraId="2099E921" w14:textId="77777777" w:rsidR="001333B2" w:rsidRPr="001333B2" w:rsidRDefault="001333B2" w:rsidP="001333B2">
      <w:pPr>
        <w:widowControl w:val="0"/>
        <w:tabs>
          <w:tab w:val="left" w:pos="1077"/>
        </w:tabs>
        <w:suppressAutoHyphens w:val="0"/>
        <w:spacing w:before="120" w:after="120"/>
        <w:ind w:firstLine="601"/>
        <w:jc w:val="both"/>
        <w:rPr>
          <w:rFonts w:ascii="Garamond" w:eastAsia="Calibri" w:hAnsi="Garamond" w:cs="Times New Roman"/>
          <w:bCs/>
          <w:sz w:val="22"/>
          <w:szCs w:val="22"/>
          <w:lang w:eastAsia="en-US"/>
        </w:rPr>
      </w:pPr>
      <w:r w:rsidRPr="001333B2">
        <w:rPr>
          <w:rFonts w:ascii="Garamond" w:eastAsia="Calibri" w:hAnsi="Garamond" w:cs="Times New Roman"/>
          <w:bCs/>
          <w:sz w:val="22"/>
          <w:szCs w:val="22"/>
          <w:lang w:eastAsia="en-US"/>
        </w:rPr>
        <w:t>Если точка присоединения расположена на отпайке (ответвлении) от линии электропередачи, то в наименовании точки присоединения указываются:</w:t>
      </w:r>
    </w:p>
    <w:p w14:paraId="4B914FDC" w14:textId="77777777" w:rsidR="001333B2" w:rsidRPr="001333B2" w:rsidRDefault="001333B2" w:rsidP="001333B2">
      <w:pPr>
        <w:widowControl w:val="0"/>
        <w:tabs>
          <w:tab w:val="left" w:pos="1077"/>
        </w:tabs>
        <w:suppressAutoHyphens w:val="0"/>
        <w:spacing w:before="120" w:after="120"/>
        <w:ind w:firstLine="601"/>
        <w:jc w:val="both"/>
        <w:rPr>
          <w:rFonts w:ascii="Garamond" w:eastAsia="Calibri" w:hAnsi="Garamond" w:cs="Times New Roman"/>
          <w:bCs/>
          <w:sz w:val="22"/>
          <w:szCs w:val="22"/>
          <w:lang w:eastAsia="en-US"/>
        </w:rPr>
      </w:pPr>
      <w:r w:rsidRPr="001333B2">
        <w:rPr>
          <w:rFonts w:ascii="Garamond" w:eastAsia="Calibri" w:hAnsi="Garamond" w:cs="Times New Roman"/>
          <w:bCs/>
          <w:sz w:val="22"/>
          <w:szCs w:val="22"/>
          <w:lang w:eastAsia="en-US"/>
        </w:rPr>
        <w:t>а)</w:t>
      </w:r>
      <w:r w:rsidRPr="001333B2">
        <w:rPr>
          <w:rFonts w:ascii="Garamond" w:eastAsia="Calibri" w:hAnsi="Garamond" w:cs="Times New Roman"/>
          <w:bCs/>
          <w:sz w:val="22"/>
          <w:szCs w:val="22"/>
          <w:lang w:eastAsia="en-US"/>
        </w:rPr>
        <w:tab/>
        <w:t>наименование энергообъекта:</w:t>
      </w:r>
    </w:p>
    <w:p w14:paraId="20B17F98" w14:textId="77777777" w:rsidR="001333B2" w:rsidRPr="001333B2" w:rsidRDefault="001333B2" w:rsidP="001333B2">
      <w:pPr>
        <w:widowControl w:val="0"/>
        <w:tabs>
          <w:tab w:val="left" w:pos="1077"/>
        </w:tabs>
        <w:suppressAutoHyphens w:val="0"/>
        <w:spacing w:before="120" w:after="120"/>
        <w:ind w:firstLine="601"/>
        <w:jc w:val="both"/>
        <w:rPr>
          <w:rFonts w:ascii="Garamond" w:eastAsia="Calibri" w:hAnsi="Garamond" w:cs="Times New Roman"/>
          <w:bCs/>
          <w:sz w:val="22"/>
          <w:szCs w:val="22"/>
          <w:lang w:val="x-none" w:eastAsia="en-US"/>
        </w:rPr>
      </w:pPr>
      <w:r w:rsidRPr="001333B2">
        <w:rPr>
          <w:rFonts w:ascii="Garamond" w:eastAsia="Calibri" w:hAnsi="Garamond" w:cs="Times New Roman"/>
          <w:bCs/>
          <w:sz w:val="22"/>
          <w:szCs w:val="22"/>
          <w:lang w:eastAsia="en-US"/>
        </w:rPr>
        <w:t>–</w:t>
      </w:r>
      <w:r w:rsidRPr="001333B2">
        <w:rPr>
          <w:rFonts w:ascii="Garamond" w:eastAsia="Calibri" w:hAnsi="Garamond" w:cs="Times New Roman"/>
          <w:bCs/>
          <w:sz w:val="22"/>
          <w:szCs w:val="22"/>
          <w:lang w:eastAsia="en-US"/>
        </w:rPr>
        <w:tab/>
        <w:t>тип линии электропередачи (например, КЛ, ВЛ, КВЛ, ЛЭП, КЛЭП и т.п.), класс напряжения и наименование линии электропередачи. В случае отсутствия наименования линии электропередачи указываются наименования энергообъектов, соединяемых линией электропередачи и изображенных на однолинейной схеме;</w:t>
      </w:r>
    </w:p>
    <w:p w14:paraId="5478A76F" w14:textId="77777777" w:rsidR="001333B2" w:rsidRPr="001333B2" w:rsidRDefault="001333B2" w:rsidP="001333B2">
      <w:pPr>
        <w:widowControl w:val="0"/>
        <w:tabs>
          <w:tab w:val="left" w:pos="1077"/>
        </w:tabs>
        <w:suppressAutoHyphens w:val="0"/>
        <w:spacing w:before="120" w:after="120"/>
        <w:ind w:firstLine="601"/>
        <w:jc w:val="both"/>
        <w:rPr>
          <w:rFonts w:ascii="Garamond" w:eastAsia="Calibri" w:hAnsi="Garamond" w:cs="Times New Roman"/>
          <w:bCs/>
          <w:sz w:val="22"/>
          <w:szCs w:val="22"/>
          <w:lang w:eastAsia="en-US"/>
        </w:rPr>
      </w:pPr>
      <w:r w:rsidRPr="001333B2">
        <w:rPr>
          <w:rFonts w:ascii="Garamond" w:eastAsia="Calibri" w:hAnsi="Garamond" w:cs="Times New Roman"/>
          <w:bCs/>
          <w:sz w:val="22"/>
          <w:szCs w:val="22"/>
          <w:lang w:eastAsia="en-US"/>
        </w:rPr>
        <w:t>–</w:t>
      </w:r>
      <w:r w:rsidRPr="001333B2">
        <w:rPr>
          <w:rFonts w:ascii="Garamond" w:eastAsia="Calibri" w:hAnsi="Garamond" w:cs="Times New Roman"/>
          <w:bCs/>
          <w:sz w:val="22"/>
          <w:szCs w:val="22"/>
          <w:lang w:eastAsia="en-US"/>
        </w:rPr>
        <w:tab/>
        <w:t>наименование отпайки (ответвления) линии электропередачи, на которой расположена точка присоединения. В случае отсутствия наименования отпайки (ответвления) линии электропередачи указывается, например, слово «отпайка», «ответвление» и т.п.;</w:t>
      </w:r>
    </w:p>
    <w:p w14:paraId="33BC3686" w14:textId="77777777" w:rsidR="001333B2" w:rsidRPr="001333B2" w:rsidRDefault="001333B2" w:rsidP="001333B2">
      <w:pPr>
        <w:widowControl w:val="0"/>
        <w:tabs>
          <w:tab w:val="left" w:pos="1077"/>
        </w:tabs>
        <w:suppressAutoHyphens w:val="0"/>
        <w:spacing w:before="120" w:after="120"/>
        <w:ind w:firstLine="601"/>
        <w:jc w:val="both"/>
        <w:rPr>
          <w:rFonts w:ascii="Garamond" w:eastAsia="Calibri" w:hAnsi="Garamond" w:cs="Times New Roman"/>
          <w:bCs/>
          <w:sz w:val="22"/>
          <w:szCs w:val="22"/>
          <w:lang w:eastAsia="en-US"/>
        </w:rPr>
      </w:pPr>
      <w:r w:rsidRPr="001333B2">
        <w:rPr>
          <w:rFonts w:ascii="Garamond" w:eastAsia="Calibri" w:hAnsi="Garamond" w:cs="Times New Roman"/>
          <w:bCs/>
          <w:sz w:val="22"/>
          <w:szCs w:val="22"/>
          <w:lang w:eastAsia="en-US"/>
        </w:rPr>
        <w:t>б)</w:t>
      </w:r>
      <w:r w:rsidRPr="001333B2">
        <w:rPr>
          <w:rFonts w:ascii="Garamond" w:eastAsia="Calibri" w:hAnsi="Garamond" w:cs="Times New Roman"/>
          <w:bCs/>
          <w:sz w:val="22"/>
          <w:szCs w:val="22"/>
          <w:lang w:eastAsia="en-US"/>
        </w:rPr>
        <w:tab/>
        <w:t>описание месторасположения точки присоединения:</w:t>
      </w:r>
    </w:p>
    <w:p w14:paraId="56848D6B" w14:textId="77777777" w:rsidR="001333B2" w:rsidRPr="001333B2" w:rsidRDefault="001333B2" w:rsidP="001333B2">
      <w:pPr>
        <w:widowControl w:val="0"/>
        <w:tabs>
          <w:tab w:val="left" w:pos="1077"/>
        </w:tabs>
        <w:suppressAutoHyphens w:val="0"/>
        <w:spacing w:before="120" w:after="120"/>
        <w:ind w:firstLine="601"/>
        <w:jc w:val="both"/>
        <w:rPr>
          <w:rFonts w:ascii="Garamond" w:eastAsia="Calibri" w:hAnsi="Garamond" w:cs="Times New Roman"/>
          <w:bCs/>
          <w:sz w:val="22"/>
          <w:szCs w:val="22"/>
          <w:lang w:eastAsia="en-US"/>
        </w:rPr>
      </w:pPr>
      <w:r w:rsidRPr="001333B2">
        <w:rPr>
          <w:rFonts w:ascii="Garamond" w:eastAsia="Calibri" w:hAnsi="Garamond" w:cs="Times New Roman"/>
          <w:bCs/>
          <w:sz w:val="22"/>
          <w:szCs w:val="22"/>
          <w:lang w:eastAsia="en-US"/>
        </w:rPr>
        <w:t>–</w:t>
      </w:r>
      <w:r w:rsidRPr="001333B2">
        <w:rPr>
          <w:rFonts w:ascii="Garamond" w:eastAsia="Calibri" w:hAnsi="Garamond" w:cs="Times New Roman"/>
          <w:bCs/>
          <w:sz w:val="22"/>
          <w:szCs w:val="22"/>
          <w:lang w:eastAsia="en-US"/>
        </w:rPr>
        <w:tab/>
        <w:t>номер (обозначение) опоры (муфты), расположенной на отпайке (ответвлении) линии электропередачи, на которой расположена точка присоединения. В случае отсутствия номера (обозначения) опоры допускается использовать указание типа опоры (анкерной, концевой и т.п.);</w:t>
      </w:r>
    </w:p>
    <w:p w14:paraId="36321A70" w14:textId="77777777" w:rsidR="001333B2" w:rsidRPr="001333B2" w:rsidRDefault="001333B2" w:rsidP="001333B2">
      <w:pPr>
        <w:widowControl w:val="0"/>
        <w:tabs>
          <w:tab w:val="left" w:pos="1077"/>
        </w:tabs>
        <w:suppressAutoHyphens w:val="0"/>
        <w:spacing w:before="120" w:after="120"/>
        <w:ind w:firstLine="601"/>
        <w:jc w:val="both"/>
        <w:rPr>
          <w:rFonts w:ascii="Garamond" w:eastAsia="Calibri" w:hAnsi="Garamond" w:cs="Times New Roman"/>
          <w:bCs/>
          <w:sz w:val="22"/>
          <w:szCs w:val="22"/>
          <w:lang w:eastAsia="en-US"/>
        </w:rPr>
      </w:pPr>
      <w:r w:rsidRPr="001333B2">
        <w:rPr>
          <w:rFonts w:ascii="Garamond" w:eastAsia="Calibri" w:hAnsi="Garamond" w:cs="Times New Roman"/>
          <w:bCs/>
          <w:sz w:val="22"/>
          <w:szCs w:val="22"/>
          <w:lang w:eastAsia="en-US"/>
        </w:rPr>
        <w:t>в)</w:t>
      </w:r>
      <w:r w:rsidRPr="001333B2">
        <w:rPr>
          <w:rFonts w:ascii="Garamond" w:eastAsia="Calibri" w:hAnsi="Garamond" w:cs="Times New Roman"/>
          <w:bCs/>
          <w:sz w:val="22"/>
          <w:szCs w:val="22"/>
          <w:lang w:eastAsia="en-US"/>
        </w:rPr>
        <w:tab/>
        <w:t>наименование присоединения:</w:t>
      </w:r>
    </w:p>
    <w:p w14:paraId="3B2D08FD" w14:textId="77777777" w:rsidR="001333B2" w:rsidRPr="001333B2" w:rsidRDefault="001333B2" w:rsidP="001333B2">
      <w:pPr>
        <w:widowControl w:val="0"/>
        <w:tabs>
          <w:tab w:val="left" w:pos="1077"/>
        </w:tabs>
        <w:suppressAutoHyphens w:val="0"/>
        <w:spacing w:before="120" w:after="120"/>
        <w:ind w:firstLine="601"/>
        <w:jc w:val="both"/>
        <w:rPr>
          <w:rFonts w:ascii="Garamond" w:eastAsia="Calibri" w:hAnsi="Garamond" w:cs="Times New Roman"/>
          <w:bCs/>
          <w:sz w:val="22"/>
          <w:szCs w:val="22"/>
          <w:lang w:eastAsia="en-US"/>
        </w:rPr>
      </w:pPr>
      <w:r w:rsidRPr="001333B2">
        <w:rPr>
          <w:rFonts w:ascii="Garamond" w:eastAsia="Calibri" w:hAnsi="Garamond" w:cs="Times New Roman"/>
          <w:bCs/>
          <w:sz w:val="22"/>
          <w:szCs w:val="22"/>
          <w:lang w:eastAsia="en-US"/>
        </w:rPr>
        <w:t>–</w:t>
      </w:r>
      <w:r w:rsidRPr="001333B2">
        <w:rPr>
          <w:rFonts w:ascii="Garamond" w:eastAsia="Calibri" w:hAnsi="Garamond" w:cs="Times New Roman"/>
          <w:bCs/>
          <w:sz w:val="22"/>
          <w:szCs w:val="22"/>
          <w:lang w:eastAsia="en-US"/>
        </w:rPr>
        <w:tab/>
        <w:t>наименование отпайки (ответвления) линии электропередачи.</w:t>
      </w:r>
    </w:p>
    <w:p w14:paraId="49BEA4A1" w14:textId="77777777" w:rsidR="001333B2" w:rsidRPr="001333B2" w:rsidRDefault="001333B2" w:rsidP="001333B2">
      <w:pPr>
        <w:widowControl w:val="0"/>
        <w:tabs>
          <w:tab w:val="left" w:pos="1077"/>
        </w:tabs>
        <w:suppressAutoHyphens w:val="0"/>
        <w:spacing w:before="120" w:after="120"/>
        <w:ind w:firstLine="601"/>
        <w:jc w:val="both"/>
        <w:rPr>
          <w:rFonts w:ascii="Garamond" w:eastAsia="Calibri" w:hAnsi="Garamond" w:cs="Times New Roman"/>
          <w:bCs/>
          <w:sz w:val="22"/>
          <w:szCs w:val="22"/>
          <w:lang w:eastAsia="en-US"/>
        </w:rPr>
      </w:pPr>
      <w:r w:rsidRPr="001333B2">
        <w:rPr>
          <w:rFonts w:ascii="Garamond" w:eastAsia="Calibri" w:hAnsi="Garamond" w:cs="Times New Roman"/>
          <w:bCs/>
          <w:sz w:val="22"/>
          <w:szCs w:val="22"/>
          <w:lang w:eastAsia="en-US"/>
        </w:rPr>
        <w:lastRenderedPageBreak/>
        <w:t>Для идентификации точки присоединения допускается использовать:</w:t>
      </w:r>
    </w:p>
    <w:p w14:paraId="31BEA2B6" w14:textId="77777777" w:rsidR="001333B2" w:rsidRPr="001333B2" w:rsidRDefault="001333B2" w:rsidP="001333B2">
      <w:pPr>
        <w:widowControl w:val="0"/>
        <w:tabs>
          <w:tab w:val="left" w:pos="1077"/>
        </w:tabs>
        <w:suppressAutoHyphens w:val="0"/>
        <w:spacing w:before="120" w:after="120"/>
        <w:ind w:firstLine="601"/>
        <w:jc w:val="both"/>
        <w:rPr>
          <w:rFonts w:ascii="Garamond" w:eastAsia="Calibri" w:hAnsi="Garamond" w:cs="Times New Roman"/>
          <w:bCs/>
          <w:sz w:val="22"/>
          <w:szCs w:val="22"/>
          <w:lang w:eastAsia="en-US"/>
        </w:rPr>
      </w:pPr>
      <w:r w:rsidRPr="001333B2">
        <w:rPr>
          <w:rFonts w:ascii="Garamond" w:eastAsia="Calibri" w:hAnsi="Garamond" w:cs="Times New Roman"/>
          <w:bCs/>
          <w:sz w:val="22"/>
          <w:szCs w:val="22"/>
          <w:lang w:eastAsia="en-US"/>
        </w:rPr>
        <w:t>–</w:t>
      </w:r>
      <w:r w:rsidRPr="001333B2">
        <w:rPr>
          <w:rFonts w:ascii="Garamond" w:eastAsia="Calibri" w:hAnsi="Garamond" w:cs="Times New Roman"/>
          <w:bCs/>
          <w:sz w:val="22"/>
          <w:szCs w:val="22"/>
          <w:lang w:eastAsia="en-US"/>
        </w:rPr>
        <w:tab/>
        <w:t>наименования обозначений элементов сетевого оборудования (например, ПКУ, реклоузер и т.п.);</w:t>
      </w:r>
    </w:p>
    <w:p w14:paraId="7974DB02" w14:textId="77777777" w:rsidR="001333B2" w:rsidRPr="001333B2" w:rsidRDefault="001333B2" w:rsidP="001333B2">
      <w:pPr>
        <w:widowControl w:val="0"/>
        <w:tabs>
          <w:tab w:val="left" w:pos="1077"/>
        </w:tabs>
        <w:suppressAutoHyphens w:val="0"/>
        <w:spacing w:before="120" w:after="120"/>
        <w:ind w:firstLine="601"/>
        <w:jc w:val="both"/>
        <w:rPr>
          <w:rFonts w:ascii="Garamond" w:eastAsia="Calibri" w:hAnsi="Garamond" w:cs="Times New Roman"/>
          <w:bCs/>
          <w:sz w:val="22"/>
          <w:szCs w:val="22"/>
          <w:lang w:eastAsia="en-US"/>
        </w:rPr>
      </w:pPr>
      <w:r w:rsidRPr="001333B2">
        <w:rPr>
          <w:rFonts w:ascii="Garamond" w:eastAsia="Calibri" w:hAnsi="Garamond" w:cs="Times New Roman"/>
          <w:bCs/>
          <w:sz w:val="22"/>
          <w:szCs w:val="22"/>
          <w:lang w:eastAsia="en-US"/>
        </w:rPr>
        <w:t>–</w:t>
      </w:r>
      <w:r w:rsidRPr="001333B2">
        <w:rPr>
          <w:rFonts w:ascii="Garamond" w:eastAsia="Calibri" w:hAnsi="Garamond" w:cs="Times New Roman"/>
          <w:bCs/>
          <w:sz w:val="22"/>
          <w:szCs w:val="22"/>
          <w:lang w:eastAsia="en-US"/>
        </w:rPr>
        <w:tab/>
        <w:t>наименование ближайшего энергообъекта, который присоединен к отпайке (ответвлению) линии электропередачи (например, отпайка в сторону КТП-31 10 кВ).</w:t>
      </w:r>
    </w:p>
    <w:p w14:paraId="1302D317" w14:textId="77777777" w:rsidR="001333B2" w:rsidRPr="001333B2" w:rsidRDefault="001333B2" w:rsidP="001333B2">
      <w:pPr>
        <w:widowControl w:val="0"/>
        <w:tabs>
          <w:tab w:val="left" w:pos="1077"/>
        </w:tabs>
        <w:suppressAutoHyphens w:val="0"/>
        <w:spacing w:before="120" w:after="120"/>
        <w:ind w:firstLine="601"/>
        <w:jc w:val="both"/>
        <w:rPr>
          <w:rFonts w:ascii="Garamond" w:eastAsia="Calibri" w:hAnsi="Garamond" w:cs="Times New Roman"/>
          <w:bCs/>
          <w:sz w:val="22"/>
          <w:szCs w:val="22"/>
          <w:lang w:eastAsia="en-US"/>
        </w:rPr>
      </w:pPr>
      <w:r w:rsidRPr="001333B2">
        <w:rPr>
          <w:rFonts w:ascii="Garamond" w:eastAsia="Calibri" w:hAnsi="Garamond" w:cs="Times New Roman"/>
          <w:bCs/>
          <w:sz w:val="22"/>
          <w:szCs w:val="22"/>
          <w:lang w:eastAsia="en-US"/>
        </w:rPr>
        <w:t>Примеры наименований точек присоединения, расположенных на отпайке (ответвлении) линии электропередачи:</w:t>
      </w: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7"/>
        <w:gridCol w:w="2268"/>
        <w:gridCol w:w="2410"/>
        <w:gridCol w:w="2268"/>
      </w:tblGrid>
      <w:tr w:rsidR="001333B2" w:rsidRPr="001333B2" w14:paraId="21C658C0" w14:textId="77777777" w:rsidTr="0064152E">
        <w:trPr>
          <w:trHeight w:val="624"/>
        </w:trPr>
        <w:tc>
          <w:tcPr>
            <w:tcW w:w="2977" w:type="dxa"/>
            <w:vAlign w:val="center"/>
          </w:tcPr>
          <w:p w14:paraId="6E68DA77" w14:textId="77777777" w:rsidR="001333B2" w:rsidRPr="001333B2" w:rsidRDefault="001333B2" w:rsidP="001333B2">
            <w:pPr>
              <w:suppressAutoHyphens w:val="0"/>
              <w:spacing w:line="259" w:lineRule="auto"/>
              <w:jc w:val="center"/>
              <w:rPr>
                <w:rFonts w:ascii="Garamond" w:eastAsia="Calibri" w:hAnsi="Garamond" w:cs="Times New Roman"/>
                <w:b/>
                <w:sz w:val="22"/>
                <w:szCs w:val="22"/>
                <w:lang w:eastAsia="en-US"/>
              </w:rPr>
            </w:pPr>
            <w:r w:rsidRPr="001333B2">
              <w:rPr>
                <w:rFonts w:ascii="Garamond" w:eastAsia="Calibri" w:hAnsi="Garamond" w:cs="Times New Roman"/>
                <w:b/>
                <w:sz w:val="22"/>
                <w:szCs w:val="22"/>
                <w:lang w:eastAsia="en-US"/>
              </w:rPr>
              <w:t xml:space="preserve">Наименование точки </w:t>
            </w:r>
            <w:r w:rsidRPr="001333B2">
              <w:rPr>
                <w:rFonts w:ascii="Garamond" w:eastAsia="Calibri" w:hAnsi="Garamond" w:cs="Times New Roman"/>
                <w:b/>
                <w:bCs/>
                <w:sz w:val="22"/>
                <w:szCs w:val="22"/>
                <w:lang w:eastAsia="en-US"/>
              </w:rPr>
              <w:t>присоединения</w:t>
            </w:r>
          </w:p>
        </w:tc>
        <w:tc>
          <w:tcPr>
            <w:tcW w:w="2268" w:type="dxa"/>
            <w:shd w:val="clear" w:color="auto" w:fill="auto"/>
            <w:vAlign w:val="center"/>
          </w:tcPr>
          <w:p w14:paraId="47920183" w14:textId="77777777" w:rsidR="001333B2" w:rsidRPr="001333B2" w:rsidRDefault="001333B2" w:rsidP="001333B2">
            <w:pPr>
              <w:suppressAutoHyphens w:val="0"/>
              <w:spacing w:line="259" w:lineRule="auto"/>
              <w:jc w:val="center"/>
              <w:rPr>
                <w:rFonts w:ascii="Garamond" w:eastAsia="Calibri" w:hAnsi="Garamond" w:cs="Times New Roman"/>
                <w:sz w:val="22"/>
                <w:szCs w:val="22"/>
                <w:lang w:eastAsia="en-US"/>
              </w:rPr>
            </w:pPr>
            <w:r w:rsidRPr="001333B2">
              <w:rPr>
                <w:rFonts w:ascii="Garamond" w:eastAsia="Calibri" w:hAnsi="Garamond" w:cs="Times New Roman"/>
                <w:b/>
                <w:sz w:val="22"/>
                <w:szCs w:val="22"/>
                <w:lang w:eastAsia="en-US"/>
              </w:rPr>
              <w:t>Наименование энергообъекта</w:t>
            </w:r>
          </w:p>
        </w:tc>
        <w:tc>
          <w:tcPr>
            <w:tcW w:w="2410" w:type="dxa"/>
            <w:shd w:val="clear" w:color="auto" w:fill="auto"/>
            <w:vAlign w:val="center"/>
          </w:tcPr>
          <w:p w14:paraId="4750E936" w14:textId="77777777" w:rsidR="001333B2" w:rsidRPr="001333B2" w:rsidRDefault="001333B2" w:rsidP="001333B2">
            <w:pPr>
              <w:suppressAutoHyphens w:val="0"/>
              <w:spacing w:line="259" w:lineRule="auto"/>
              <w:jc w:val="center"/>
              <w:rPr>
                <w:rFonts w:ascii="Garamond" w:eastAsia="Calibri" w:hAnsi="Garamond" w:cs="Times New Roman"/>
                <w:sz w:val="22"/>
                <w:szCs w:val="22"/>
                <w:lang w:eastAsia="en-US"/>
              </w:rPr>
            </w:pPr>
            <w:r w:rsidRPr="001333B2">
              <w:rPr>
                <w:rFonts w:ascii="Garamond" w:eastAsia="Calibri" w:hAnsi="Garamond" w:cs="Times New Roman"/>
                <w:b/>
                <w:sz w:val="22"/>
                <w:szCs w:val="22"/>
                <w:lang w:eastAsia="en-US"/>
              </w:rPr>
              <w:t>Описание месторасположения</w:t>
            </w:r>
          </w:p>
        </w:tc>
        <w:tc>
          <w:tcPr>
            <w:tcW w:w="2268" w:type="dxa"/>
            <w:shd w:val="clear" w:color="auto" w:fill="auto"/>
            <w:vAlign w:val="center"/>
          </w:tcPr>
          <w:p w14:paraId="060FA8AB" w14:textId="77777777" w:rsidR="001333B2" w:rsidRPr="001333B2" w:rsidRDefault="001333B2" w:rsidP="001333B2">
            <w:pPr>
              <w:suppressAutoHyphens w:val="0"/>
              <w:spacing w:line="259" w:lineRule="auto"/>
              <w:jc w:val="center"/>
              <w:rPr>
                <w:rFonts w:ascii="Garamond" w:eastAsia="Calibri" w:hAnsi="Garamond" w:cs="Times New Roman"/>
                <w:sz w:val="22"/>
                <w:szCs w:val="22"/>
                <w:lang w:eastAsia="en-US"/>
              </w:rPr>
            </w:pPr>
            <w:r w:rsidRPr="001333B2">
              <w:rPr>
                <w:rFonts w:ascii="Garamond" w:eastAsia="Calibri" w:hAnsi="Garamond" w:cs="Times New Roman"/>
                <w:b/>
                <w:sz w:val="22"/>
                <w:szCs w:val="22"/>
                <w:lang w:eastAsia="en-US"/>
              </w:rPr>
              <w:t>Наименование присоединения</w:t>
            </w:r>
          </w:p>
        </w:tc>
      </w:tr>
      <w:tr w:rsidR="001333B2" w:rsidRPr="001333B2" w14:paraId="29132F35" w14:textId="77777777" w:rsidTr="0064152E">
        <w:trPr>
          <w:trHeight w:val="567"/>
        </w:trPr>
        <w:tc>
          <w:tcPr>
            <w:tcW w:w="2977" w:type="dxa"/>
            <w:vAlign w:val="center"/>
          </w:tcPr>
          <w:p w14:paraId="5147932B" w14:textId="77777777" w:rsidR="001333B2" w:rsidRPr="001333B2" w:rsidRDefault="001333B2" w:rsidP="001333B2">
            <w:pPr>
              <w:suppressAutoHyphens w:val="0"/>
              <w:spacing w:line="259" w:lineRule="auto"/>
              <w:jc w:val="both"/>
              <w:rPr>
                <w:rFonts w:ascii="Garamond" w:eastAsia="Calibri" w:hAnsi="Garamond" w:cs="Calibri"/>
                <w:sz w:val="22"/>
                <w:szCs w:val="22"/>
                <w:lang w:eastAsia="en-US"/>
              </w:rPr>
            </w:pPr>
            <w:r w:rsidRPr="001333B2">
              <w:rPr>
                <w:rFonts w:ascii="Garamond" w:eastAsia="Calibri" w:hAnsi="Garamond" w:cs="Times New Roman"/>
                <w:bCs/>
                <w:sz w:val="22"/>
                <w:szCs w:val="22"/>
                <w:lang w:eastAsia="en-US"/>
              </w:rPr>
              <w:t>ВЛ 10 кВ ПС Березовская – ПС Хвойная с отпайками, отпайка, оп. 5, в сторону КТП-86</w:t>
            </w:r>
          </w:p>
        </w:tc>
        <w:tc>
          <w:tcPr>
            <w:tcW w:w="2268" w:type="dxa"/>
            <w:shd w:val="clear" w:color="auto" w:fill="auto"/>
            <w:vAlign w:val="center"/>
          </w:tcPr>
          <w:p w14:paraId="41E5B528" w14:textId="77777777" w:rsidR="001333B2" w:rsidRPr="001333B2" w:rsidRDefault="001333B2" w:rsidP="001333B2">
            <w:pPr>
              <w:suppressAutoHyphens w:val="0"/>
              <w:spacing w:line="259" w:lineRule="auto"/>
              <w:jc w:val="both"/>
              <w:rPr>
                <w:rFonts w:ascii="Garamond" w:eastAsia="Calibri" w:hAnsi="Garamond" w:cs="Calibri"/>
                <w:sz w:val="22"/>
                <w:szCs w:val="22"/>
                <w:lang w:eastAsia="en-US"/>
              </w:rPr>
            </w:pPr>
            <w:r w:rsidRPr="001333B2">
              <w:rPr>
                <w:rFonts w:ascii="Garamond" w:eastAsia="Calibri" w:hAnsi="Garamond" w:cs="Times New Roman"/>
                <w:bCs/>
                <w:sz w:val="22"/>
                <w:szCs w:val="22"/>
                <w:lang w:eastAsia="en-US"/>
              </w:rPr>
              <w:t>ВЛ 10 кВ ПС Березовская – ПС Хвойная с отпайками, отпайка</w:t>
            </w:r>
          </w:p>
        </w:tc>
        <w:tc>
          <w:tcPr>
            <w:tcW w:w="2410" w:type="dxa"/>
            <w:shd w:val="clear" w:color="auto" w:fill="auto"/>
            <w:vAlign w:val="center"/>
          </w:tcPr>
          <w:p w14:paraId="2463A5E3" w14:textId="77777777" w:rsidR="001333B2" w:rsidRPr="001333B2" w:rsidRDefault="001333B2" w:rsidP="001333B2">
            <w:pPr>
              <w:suppressAutoHyphens w:val="0"/>
              <w:spacing w:line="259" w:lineRule="auto"/>
              <w:jc w:val="both"/>
              <w:rPr>
                <w:rFonts w:ascii="Garamond" w:eastAsia="Calibri" w:hAnsi="Garamond" w:cs="Calibri"/>
                <w:sz w:val="22"/>
                <w:szCs w:val="22"/>
                <w:lang w:eastAsia="en-US"/>
              </w:rPr>
            </w:pPr>
            <w:r w:rsidRPr="001333B2">
              <w:rPr>
                <w:rFonts w:ascii="Garamond" w:eastAsia="Calibri" w:hAnsi="Garamond" w:cs="Times New Roman"/>
                <w:bCs/>
                <w:sz w:val="22"/>
                <w:szCs w:val="22"/>
                <w:lang w:eastAsia="en-US"/>
              </w:rPr>
              <w:t>оп. 5</w:t>
            </w:r>
          </w:p>
        </w:tc>
        <w:tc>
          <w:tcPr>
            <w:tcW w:w="2268" w:type="dxa"/>
            <w:shd w:val="clear" w:color="auto" w:fill="auto"/>
            <w:vAlign w:val="center"/>
          </w:tcPr>
          <w:p w14:paraId="1DDFAD97" w14:textId="77777777" w:rsidR="001333B2" w:rsidRPr="001333B2" w:rsidRDefault="001333B2" w:rsidP="001333B2">
            <w:pPr>
              <w:suppressAutoHyphens w:val="0"/>
              <w:spacing w:line="259" w:lineRule="auto"/>
              <w:jc w:val="both"/>
              <w:rPr>
                <w:rFonts w:ascii="Garamond" w:eastAsia="Calibri" w:hAnsi="Garamond" w:cs="Calibri"/>
                <w:sz w:val="22"/>
                <w:szCs w:val="22"/>
                <w:lang w:eastAsia="en-US"/>
              </w:rPr>
            </w:pPr>
            <w:r w:rsidRPr="001333B2">
              <w:rPr>
                <w:rFonts w:ascii="Garamond" w:eastAsia="Calibri" w:hAnsi="Garamond" w:cs="Times New Roman"/>
                <w:bCs/>
                <w:sz w:val="22"/>
                <w:szCs w:val="22"/>
                <w:lang w:eastAsia="en-US"/>
              </w:rPr>
              <w:t>в сторону КТП-86</w:t>
            </w:r>
          </w:p>
        </w:tc>
      </w:tr>
      <w:tr w:rsidR="001333B2" w:rsidRPr="001333B2" w14:paraId="702CC13A" w14:textId="77777777" w:rsidTr="0064152E">
        <w:trPr>
          <w:trHeight w:val="567"/>
        </w:trPr>
        <w:tc>
          <w:tcPr>
            <w:tcW w:w="2977" w:type="dxa"/>
            <w:vAlign w:val="center"/>
          </w:tcPr>
          <w:p w14:paraId="6006C451" w14:textId="77777777" w:rsidR="001333B2" w:rsidRPr="001333B2" w:rsidRDefault="001333B2" w:rsidP="001333B2">
            <w:pPr>
              <w:suppressAutoHyphens w:val="0"/>
              <w:spacing w:line="259" w:lineRule="auto"/>
              <w:jc w:val="both"/>
              <w:rPr>
                <w:rFonts w:ascii="Garamond" w:eastAsia="Calibri" w:hAnsi="Garamond" w:cs="Calibri"/>
                <w:sz w:val="22"/>
                <w:szCs w:val="22"/>
                <w:lang w:eastAsia="en-US"/>
              </w:rPr>
            </w:pPr>
            <w:r w:rsidRPr="001333B2">
              <w:rPr>
                <w:rFonts w:ascii="Garamond" w:eastAsia="Calibri" w:hAnsi="Garamond" w:cs="Times New Roman"/>
                <w:bCs/>
                <w:sz w:val="22"/>
                <w:szCs w:val="22"/>
                <w:lang w:eastAsia="en-US"/>
              </w:rPr>
              <w:t>ВЛ 10 кВ ф. 7, отпайка в сторону КТП-86, оп. 5</w:t>
            </w:r>
          </w:p>
        </w:tc>
        <w:tc>
          <w:tcPr>
            <w:tcW w:w="2268" w:type="dxa"/>
            <w:shd w:val="clear" w:color="auto" w:fill="auto"/>
            <w:vAlign w:val="center"/>
          </w:tcPr>
          <w:p w14:paraId="7EA63CE0" w14:textId="77777777" w:rsidR="001333B2" w:rsidRPr="001333B2" w:rsidRDefault="001333B2" w:rsidP="001333B2">
            <w:pPr>
              <w:suppressAutoHyphens w:val="0"/>
              <w:spacing w:line="259" w:lineRule="auto"/>
              <w:jc w:val="both"/>
              <w:rPr>
                <w:rFonts w:ascii="Garamond" w:eastAsia="Calibri" w:hAnsi="Garamond" w:cs="Calibri"/>
                <w:sz w:val="22"/>
                <w:szCs w:val="22"/>
                <w:lang w:eastAsia="en-US"/>
              </w:rPr>
            </w:pPr>
            <w:r w:rsidRPr="001333B2">
              <w:rPr>
                <w:rFonts w:ascii="Garamond" w:eastAsia="Calibri" w:hAnsi="Garamond" w:cs="Times New Roman"/>
                <w:bCs/>
                <w:sz w:val="22"/>
                <w:szCs w:val="22"/>
                <w:lang w:eastAsia="en-US"/>
              </w:rPr>
              <w:t>ВЛ 10 кВ ф. 7, отпайка в сторону КТП-86</w:t>
            </w:r>
          </w:p>
        </w:tc>
        <w:tc>
          <w:tcPr>
            <w:tcW w:w="2410" w:type="dxa"/>
            <w:shd w:val="clear" w:color="auto" w:fill="auto"/>
            <w:vAlign w:val="center"/>
          </w:tcPr>
          <w:p w14:paraId="4A7A5B54" w14:textId="77777777" w:rsidR="001333B2" w:rsidRPr="001333B2" w:rsidRDefault="001333B2" w:rsidP="001333B2">
            <w:pPr>
              <w:suppressAutoHyphens w:val="0"/>
              <w:spacing w:line="259" w:lineRule="auto"/>
              <w:jc w:val="both"/>
              <w:rPr>
                <w:rFonts w:ascii="Garamond" w:eastAsia="Calibri" w:hAnsi="Garamond" w:cs="Calibri"/>
                <w:sz w:val="22"/>
                <w:szCs w:val="22"/>
                <w:lang w:eastAsia="en-US"/>
              </w:rPr>
            </w:pPr>
            <w:r w:rsidRPr="001333B2">
              <w:rPr>
                <w:rFonts w:ascii="Garamond" w:eastAsia="Calibri" w:hAnsi="Garamond" w:cs="Times New Roman"/>
                <w:bCs/>
                <w:sz w:val="22"/>
                <w:szCs w:val="22"/>
                <w:lang w:eastAsia="en-US"/>
              </w:rPr>
              <w:t>оп. 5</w:t>
            </w:r>
          </w:p>
        </w:tc>
        <w:tc>
          <w:tcPr>
            <w:tcW w:w="2268" w:type="dxa"/>
            <w:shd w:val="clear" w:color="auto" w:fill="auto"/>
            <w:vAlign w:val="center"/>
          </w:tcPr>
          <w:p w14:paraId="530E8C64" w14:textId="77777777" w:rsidR="001333B2" w:rsidRPr="001333B2" w:rsidRDefault="001333B2" w:rsidP="001333B2">
            <w:pPr>
              <w:suppressAutoHyphens w:val="0"/>
              <w:spacing w:line="259" w:lineRule="auto"/>
              <w:jc w:val="center"/>
              <w:rPr>
                <w:rFonts w:ascii="Garamond" w:eastAsia="Calibri" w:hAnsi="Garamond" w:cs="Calibri"/>
                <w:sz w:val="22"/>
                <w:szCs w:val="22"/>
                <w:lang w:eastAsia="en-US"/>
              </w:rPr>
            </w:pPr>
            <w:r w:rsidRPr="001333B2">
              <w:rPr>
                <w:rFonts w:ascii="Garamond" w:eastAsia="Calibri" w:hAnsi="Garamond" w:cs="Times New Roman"/>
                <w:bCs/>
                <w:sz w:val="22"/>
                <w:szCs w:val="22"/>
                <w:lang w:eastAsia="en-US"/>
              </w:rPr>
              <w:t>–</w:t>
            </w:r>
          </w:p>
        </w:tc>
      </w:tr>
      <w:tr w:rsidR="001333B2" w:rsidRPr="001333B2" w14:paraId="57ABBD1A" w14:textId="77777777" w:rsidTr="0064152E">
        <w:trPr>
          <w:trHeight w:val="567"/>
        </w:trPr>
        <w:tc>
          <w:tcPr>
            <w:tcW w:w="2977" w:type="dxa"/>
            <w:vAlign w:val="center"/>
          </w:tcPr>
          <w:p w14:paraId="7FFDB34B" w14:textId="77777777" w:rsidR="001333B2" w:rsidRPr="001333B2" w:rsidRDefault="001333B2" w:rsidP="001333B2">
            <w:pPr>
              <w:suppressAutoHyphens w:val="0"/>
              <w:spacing w:line="259" w:lineRule="auto"/>
              <w:jc w:val="both"/>
              <w:rPr>
                <w:rFonts w:ascii="Garamond" w:eastAsia="Calibri" w:hAnsi="Garamond" w:cs="Calibri"/>
                <w:sz w:val="22"/>
                <w:szCs w:val="22"/>
                <w:lang w:eastAsia="en-US"/>
              </w:rPr>
            </w:pPr>
            <w:r w:rsidRPr="001333B2">
              <w:rPr>
                <w:rFonts w:ascii="Garamond" w:eastAsia="Calibri" w:hAnsi="Garamond" w:cs="Times New Roman"/>
                <w:bCs/>
                <w:sz w:val="22"/>
                <w:szCs w:val="22"/>
                <w:lang w:eastAsia="en-US"/>
              </w:rPr>
              <w:t>ВЛ 0,4 кВ РП-7 – ТП-4, отпайка ВЛ 0,4 кВ, оп. 16, в сторону СКЗ 56 км</w:t>
            </w:r>
          </w:p>
        </w:tc>
        <w:tc>
          <w:tcPr>
            <w:tcW w:w="2268" w:type="dxa"/>
            <w:shd w:val="clear" w:color="auto" w:fill="auto"/>
            <w:vAlign w:val="center"/>
          </w:tcPr>
          <w:p w14:paraId="42D453BC" w14:textId="77777777" w:rsidR="001333B2" w:rsidRPr="001333B2" w:rsidRDefault="001333B2" w:rsidP="001333B2">
            <w:pPr>
              <w:suppressAutoHyphens w:val="0"/>
              <w:spacing w:line="259" w:lineRule="auto"/>
              <w:jc w:val="both"/>
              <w:rPr>
                <w:rFonts w:ascii="Garamond" w:eastAsia="Calibri" w:hAnsi="Garamond" w:cs="Calibri"/>
                <w:sz w:val="22"/>
                <w:szCs w:val="22"/>
                <w:lang w:eastAsia="en-US"/>
              </w:rPr>
            </w:pPr>
            <w:r w:rsidRPr="001333B2">
              <w:rPr>
                <w:rFonts w:ascii="Garamond" w:eastAsia="Calibri" w:hAnsi="Garamond" w:cs="Times New Roman"/>
                <w:bCs/>
                <w:sz w:val="22"/>
                <w:szCs w:val="22"/>
                <w:lang w:eastAsia="en-US"/>
              </w:rPr>
              <w:t>ВЛ 0,4 кВ РП-7 – ТП-4, отпайка ВЛ 0,4 кВ</w:t>
            </w:r>
          </w:p>
        </w:tc>
        <w:tc>
          <w:tcPr>
            <w:tcW w:w="2410" w:type="dxa"/>
            <w:shd w:val="clear" w:color="auto" w:fill="auto"/>
            <w:vAlign w:val="center"/>
          </w:tcPr>
          <w:p w14:paraId="669D2724" w14:textId="77777777" w:rsidR="001333B2" w:rsidRPr="001333B2" w:rsidRDefault="001333B2" w:rsidP="001333B2">
            <w:pPr>
              <w:suppressAutoHyphens w:val="0"/>
              <w:spacing w:line="259" w:lineRule="auto"/>
              <w:jc w:val="both"/>
              <w:rPr>
                <w:rFonts w:ascii="Garamond" w:eastAsia="Calibri" w:hAnsi="Garamond" w:cs="Calibri"/>
                <w:sz w:val="22"/>
                <w:szCs w:val="22"/>
                <w:lang w:eastAsia="en-US"/>
              </w:rPr>
            </w:pPr>
            <w:r w:rsidRPr="001333B2">
              <w:rPr>
                <w:rFonts w:ascii="Garamond" w:eastAsia="Calibri" w:hAnsi="Garamond" w:cs="Times New Roman"/>
                <w:bCs/>
                <w:sz w:val="22"/>
                <w:szCs w:val="22"/>
                <w:lang w:eastAsia="en-US"/>
              </w:rPr>
              <w:t>оп. 16</w:t>
            </w:r>
          </w:p>
        </w:tc>
        <w:tc>
          <w:tcPr>
            <w:tcW w:w="2268" w:type="dxa"/>
            <w:shd w:val="clear" w:color="auto" w:fill="auto"/>
            <w:vAlign w:val="center"/>
          </w:tcPr>
          <w:p w14:paraId="35F373BC" w14:textId="77777777" w:rsidR="001333B2" w:rsidRPr="001333B2" w:rsidRDefault="001333B2" w:rsidP="001333B2">
            <w:pPr>
              <w:suppressAutoHyphens w:val="0"/>
              <w:spacing w:line="259" w:lineRule="auto"/>
              <w:jc w:val="both"/>
              <w:rPr>
                <w:rFonts w:ascii="Garamond" w:eastAsia="Calibri" w:hAnsi="Garamond" w:cs="Calibri"/>
                <w:sz w:val="22"/>
                <w:szCs w:val="22"/>
                <w:lang w:eastAsia="en-US"/>
              </w:rPr>
            </w:pPr>
            <w:r w:rsidRPr="001333B2">
              <w:rPr>
                <w:rFonts w:ascii="Garamond" w:eastAsia="Calibri" w:hAnsi="Garamond" w:cs="Times New Roman"/>
                <w:bCs/>
                <w:sz w:val="22"/>
                <w:szCs w:val="22"/>
                <w:lang w:eastAsia="en-US"/>
              </w:rPr>
              <w:t>в сторону СКЗ 56 км</w:t>
            </w:r>
          </w:p>
        </w:tc>
      </w:tr>
    </w:tbl>
    <w:p w14:paraId="7282650F" w14:textId="77777777" w:rsidR="001333B2" w:rsidRPr="001333B2" w:rsidRDefault="001333B2" w:rsidP="001333B2">
      <w:pPr>
        <w:widowControl w:val="0"/>
        <w:tabs>
          <w:tab w:val="left" w:pos="1077"/>
        </w:tabs>
        <w:suppressAutoHyphens w:val="0"/>
        <w:spacing w:before="120" w:after="120"/>
        <w:ind w:firstLine="601"/>
        <w:jc w:val="both"/>
        <w:rPr>
          <w:rFonts w:ascii="Garamond" w:eastAsia="Calibri" w:hAnsi="Garamond" w:cs="Times New Roman"/>
          <w:bCs/>
          <w:sz w:val="22"/>
          <w:szCs w:val="22"/>
          <w:lang w:eastAsia="en-US"/>
        </w:rPr>
      </w:pPr>
      <w:r w:rsidRPr="001333B2">
        <w:rPr>
          <w:rFonts w:ascii="Garamond" w:eastAsia="Calibri" w:hAnsi="Garamond" w:cs="Times New Roman"/>
          <w:bCs/>
          <w:sz w:val="22"/>
          <w:szCs w:val="22"/>
          <w:lang w:eastAsia="en-US"/>
        </w:rPr>
        <w:t>Приведенные примеры наименований точек присоединения не являются исчерпывающими.</w:t>
      </w:r>
    </w:p>
    <w:p w14:paraId="0F6BEFC1" w14:textId="77777777" w:rsidR="001333B2" w:rsidRPr="001333B2" w:rsidRDefault="001333B2" w:rsidP="001A09D5">
      <w:pPr>
        <w:widowControl w:val="0"/>
        <w:numPr>
          <w:ilvl w:val="1"/>
          <w:numId w:val="326"/>
        </w:numPr>
        <w:tabs>
          <w:tab w:val="left" w:pos="1077"/>
        </w:tabs>
        <w:suppressAutoHyphens w:val="0"/>
        <w:spacing w:before="120" w:after="120" w:line="259" w:lineRule="auto"/>
        <w:ind w:left="0" w:firstLine="601"/>
        <w:jc w:val="both"/>
        <w:outlineLvl w:val="1"/>
        <w:rPr>
          <w:rFonts w:ascii="Garamond" w:eastAsia="Calibri" w:hAnsi="Garamond" w:cs="Times New Roman"/>
          <w:sz w:val="22"/>
          <w:szCs w:val="22"/>
          <w:lang w:eastAsia="en-US"/>
        </w:rPr>
      </w:pPr>
      <w:r w:rsidRPr="001333B2">
        <w:rPr>
          <w:rFonts w:ascii="Garamond" w:eastAsia="Calibri" w:hAnsi="Garamond" w:cs="Times New Roman"/>
          <w:sz w:val="22"/>
          <w:szCs w:val="22"/>
          <w:lang w:eastAsia="en-US"/>
        </w:rPr>
        <w:t>Если точка присоединения расположена на электроустановках ниже 1,0 кВ, то в наименовании точки присоединения указываются:</w:t>
      </w:r>
    </w:p>
    <w:p w14:paraId="3AD989F8" w14:textId="77777777" w:rsidR="001333B2" w:rsidRPr="001333B2" w:rsidRDefault="001333B2" w:rsidP="001333B2">
      <w:pPr>
        <w:widowControl w:val="0"/>
        <w:tabs>
          <w:tab w:val="left" w:pos="1077"/>
        </w:tabs>
        <w:suppressAutoHyphens w:val="0"/>
        <w:spacing w:before="120" w:after="120"/>
        <w:ind w:firstLine="601"/>
        <w:jc w:val="both"/>
        <w:rPr>
          <w:rFonts w:ascii="Garamond" w:eastAsia="Calibri" w:hAnsi="Garamond" w:cs="Times New Roman"/>
          <w:bCs/>
          <w:sz w:val="22"/>
          <w:szCs w:val="22"/>
          <w:lang w:eastAsia="en-US"/>
        </w:rPr>
      </w:pPr>
      <w:r w:rsidRPr="001333B2">
        <w:rPr>
          <w:rFonts w:ascii="Garamond" w:eastAsia="Calibri" w:hAnsi="Garamond" w:cs="Times New Roman"/>
          <w:bCs/>
          <w:sz w:val="22"/>
          <w:szCs w:val="22"/>
          <w:lang w:eastAsia="en-US"/>
        </w:rPr>
        <w:t>а)</w:t>
      </w:r>
      <w:r w:rsidRPr="001333B2">
        <w:rPr>
          <w:rFonts w:ascii="Garamond" w:eastAsia="Calibri" w:hAnsi="Garamond" w:cs="Times New Roman"/>
          <w:bCs/>
          <w:sz w:val="22"/>
          <w:szCs w:val="22"/>
          <w:lang w:eastAsia="en-US"/>
        </w:rPr>
        <w:tab/>
        <w:t>наименование энергообъекта:</w:t>
      </w:r>
    </w:p>
    <w:p w14:paraId="468EB42D" w14:textId="77777777" w:rsidR="001333B2" w:rsidRPr="001333B2" w:rsidRDefault="001333B2" w:rsidP="001333B2">
      <w:pPr>
        <w:widowControl w:val="0"/>
        <w:tabs>
          <w:tab w:val="left" w:pos="1077"/>
        </w:tabs>
        <w:suppressAutoHyphens w:val="0"/>
        <w:spacing w:before="120" w:after="120"/>
        <w:ind w:firstLine="601"/>
        <w:jc w:val="both"/>
        <w:rPr>
          <w:rFonts w:ascii="Garamond" w:eastAsia="Calibri" w:hAnsi="Garamond" w:cs="Times New Roman"/>
          <w:bCs/>
          <w:sz w:val="22"/>
          <w:szCs w:val="22"/>
          <w:lang w:eastAsia="en-US"/>
        </w:rPr>
      </w:pPr>
      <w:r w:rsidRPr="001333B2">
        <w:rPr>
          <w:rFonts w:ascii="Garamond" w:eastAsia="Calibri" w:hAnsi="Garamond" w:cs="Times New Roman"/>
          <w:bCs/>
          <w:sz w:val="22"/>
          <w:szCs w:val="22"/>
          <w:lang w:eastAsia="en-US"/>
        </w:rPr>
        <w:t>–</w:t>
      </w:r>
      <w:r w:rsidRPr="001333B2">
        <w:rPr>
          <w:rFonts w:ascii="Garamond" w:eastAsia="Calibri" w:hAnsi="Garamond" w:cs="Times New Roman"/>
          <w:bCs/>
          <w:sz w:val="22"/>
          <w:szCs w:val="22"/>
          <w:lang w:eastAsia="en-US"/>
        </w:rPr>
        <w:tab/>
        <w:t>тип и наименование электроустановки ниже 1,0 кВ с указанием класса напряжения. В случае отсутствия на однолинейной схеме обозначенного типа электроустановки (РУ, ВРУ, РЩ, ВРЩ и т.п.) допускается указать РУ (например, РУ-0,4 кВ Здания № 1);</w:t>
      </w:r>
    </w:p>
    <w:p w14:paraId="6BA30E51" w14:textId="77777777" w:rsidR="001333B2" w:rsidRPr="001333B2" w:rsidRDefault="001333B2" w:rsidP="001333B2">
      <w:pPr>
        <w:widowControl w:val="0"/>
        <w:tabs>
          <w:tab w:val="left" w:pos="1077"/>
        </w:tabs>
        <w:suppressAutoHyphens w:val="0"/>
        <w:spacing w:before="120" w:after="120"/>
        <w:ind w:firstLine="601"/>
        <w:jc w:val="both"/>
        <w:rPr>
          <w:rFonts w:ascii="Garamond" w:eastAsia="Calibri" w:hAnsi="Garamond" w:cs="Times New Roman"/>
          <w:bCs/>
          <w:sz w:val="22"/>
          <w:szCs w:val="22"/>
          <w:lang w:eastAsia="en-US"/>
        </w:rPr>
      </w:pPr>
      <w:r w:rsidRPr="001333B2">
        <w:rPr>
          <w:rFonts w:ascii="Garamond" w:eastAsia="Calibri" w:hAnsi="Garamond" w:cs="Times New Roman"/>
          <w:bCs/>
          <w:sz w:val="22"/>
          <w:szCs w:val="22"/>
          <w:lang w:eastAsia="en-US"/>
        </w:rPr>
        <w:t>б)</w:t>
      </w:r>
      <w:r w:rsidRPr="001333B2">
        <w:rPr>
          <w:rFonts w:ascii="Garamond" w:eastAsia="Calibri" w:hAnsi="Garamond" w:cs="Times New Roman"/>
          <w:bCs/>
          <w:sz w:val="22"/>
          <w:szCs w:val="22"/>
          <w:lang w:eastAsia="en-US"/>
        </w:rPr>
        <w:tab/>
        <w:t>описание месторасположения, наименование присоединения:</w:t>
      </w:r>
    </w:p>
    <w:p w14:paraId="69692FCF" w14:textId="77777777" w:rsidR="001333B2" w:rsidRPr="001333B2" w:rsidRDefault="001333B2" w:rsidP="001333B2">
      <w:pPr>
        <w:widowControl w:val="0"/>
        <w:tabs>
          <w:tab w:val="left" w:pos="1077"/>
        </w:tabs>
        <w:suppressAutoHyphens w:val="0"/>
        <w:spacing w:before="120" w:after="120"/>
        <w:ind w:firstLine="601"/>
        <w:jc w:val="both"/>
        <w:rPr>
          <w:rFonts w:ascii="Garamond" w:eastAsia="Calibri" w:hAnsi="Garamond" w:cs="Times New Roman"/>
          <w:bCs/>
          <w:sz w:val="22"/>
          <w:szCs w:val="22"/>
          <w:lang w:eastAsia="en-US"/>
        </w:rPr>
      </w:pPr>
      <w:r w:rsidRPr="001333B2">
        <w:rPr>
          <w:rFonts w:ascii="Garamond" w:eastAsia="Calibri" w:hAnsi="Garamond" w:cs="Times New Roman"/>
          <w:bCs/>
          <w:sz w:val="22"/>
          <w:szCs w:val="22"/>
          <w:lang w:eastAsia="en-US"/>
        </w:rPr>
        <w:t>–</w:t>
      </w:r>
      <w:r w:rsidRPr="001333B2">
        <w:rPr>
          <w:rFonts w:ascii="Garamond" w:eastAsia="Calibri" w:hAnsi="Garamond" w:cs="Times New Roman"/>
          <w:bCs/>
          <w:sz w:val="22"/>
          <w:szCs w:val="22"/>
          <w:lang w:eastAsia="en-US"/>
        </w:rPr>
        <w:tab/>
        <w:t>распределительное устройство с указанием класса напряжения;</w:t>
      </w:r>
    </w:p>
    <w:p w14:paraId="035C181B" w14:textId="77777777" w:rsidR="001333B2" w:rsidRPr="001333B2" w:rsidRDefault="001333B2" w:rsidP="001333B2">
      <w:pPr>
        <w:widowControl w:val="0"/>
        <w:tabs>
          <w:tab w:val="left" w:pos="1077"/>
        </w:tabs>
        <w:suppressAutoHyphens w:val="0"/>
        <w:spacing w:before="120" w:after="120"/>
        <w:ind w:firstLine="601"/>
        <w:jc w:val="both"/>
        <w:rPr>
          <w:rFonts w:ascii="Garamond" w:eastAsia="Calibri" w:hAnsi="Garamond" w:cs="Times New Roman"/>
          <w:bCs/>
          <w:sz w:val="22"/>
          <w:szCs w:val="22"/>
          <w:lang w:eastAsia="en-US"/>
        </w:rPr>
      </w:pPr>
      <w:r w:rsidRPr="001333B2">
        <w:rPr>
          <w:rFonts w:ascii="Garamond" w:eastAsia="Calibri" w:hAnsi="Garamond" w:cs="Times New Roman"/>
          <w:bCs/>
          <w:sz w:val="22"/>
          <w:szCs w:val="22"/>
          <w:lang w:eastAsia="en-US"/>
        </w:rPr>
        <w:t>–</w:t>
      </w:r>
      <w:r w:rsidRPr="001333B2">
        <w:rPr>
          <w:rFonts w:ascii="Garamond" w:eastAsia="Calibri" w:hAnsi="Garamond" w:cs="Times New Roman"/>
          <w:bCs/>
          <w:sz w:val="22"/>
          <w:szCs w:val="22"/>
          <w:lang w:eastAsia="en-US"/>
        </w:rPr>
        <w:tab/>
        <w:t>номер ячейки (панели, группы, выключателя и т.п.);</w:t>
      </w:r>
    </w:p>
    <w:p w14:paraId="7F15799B" w14:textId="0A4C4B18" w:rsidR="001333B2" w:rsidRPr="001333B2" w:rsidRDefault="001333B2" w:rsidP="001333B2">
      <w:pPr>
        <w:widowControl w:val="0"/>
        <w:tabs>
          <w:tab w:val="left" w:pos="1077"/>
        </w:tabs>
        <w:suppressAutoHyphens w:val="0"/>
        <w:spacing w:before="120" w:after="120"/>
        <w:ind w:firstLine="601"/>
        <w:jc w:val="both"/>
        <w:rPr>
          <w:rFonts w:ascii="Garamond" w:eastAsia="Calibri" w:hAnsi="Garamond" w:cs="Times New Roman"/>
          <w:bCs/>
          <w:sz w:val="22"/>
          <w:szCs w:val="22"/>
          <w:lang w:eastAsia="en-US"/>
        </w:rPr>
      </w:pPr>
      <w:r w:rsidRPr="001333B2">
        <w:rPr>
          <w:rFonts w:ascii="Garamond" w:eastAsia="Calibri" w:hAnsi="Garamond" w:cs="Times New Roman"/>
          <w:bCs/>
          <w:sz w:val="22"/>
          <w:szCs w:val="22"/>
          <w:lang w:eastAsia="en-US"/>
        </w:rPr>
        <w:t>–</w:t>
      </w:r>
      <w:r w:rsidRPr="001333B2">
        <w:rPr>
          <w:rFonts w:ascii="Garamond" w:eastAsia="Calibri" w:hAnsi="Garamond" w:cs="Times New Roman"/>
          <w:bCs/>
          <w:sz w:val="22"/>
          <w:szCs w:val="22"/>
          <w:lang w:eastAsia="en-US"/>
        </w:rPr>
        <w:tab/>
        <w:t>диспетчерское наименование присоединения с указанием типа присоединения (КЛ, ВЛ, КВЛ, ввод и т.п.) и класса напряжения или фидер. При отсутствии диспетчерского наименования присоединения указывается наименование, присвоенное владельцем электрооборудования (электроустановки)</w:t>
      </w:r>
      <w:r w:rsidR="00595491">
        <w:rPr>
          <w:rFonts w:ascii="Garamond" w:eastAsia="Calibri" w:hAnsi="Garamond" w:cs="Times New Roman"/>
          <w:bCs/>
          <w:sz w:val="22"/>
          <w:szCs w:val="22"/>
          <w:lang w:eastAsia="en-US"/>
        </w:rPr>
        <w:t>,</w:t>
      </w:r>
      <w:r w:rsidRPr="001333B2">
        <w:rPr>
          <w:rFonts w:ascii="Garamond" w:eastAsia="Calibri" w:hAnsi="Garamond" w:cs="Times New Roman"/>
          <w:bCs/>
          <w:sz w:val="22"/>
          <w:szCs w:val="22"/>
          <w:lang w:eastAsia="en-US"/>
        </w:rPr>
        <w:t xml:space="preserve"> c указанием типа присоединения (КЛ, ВЛ, КВЛ и т.п.) и класса напряжения (например, КЛ 0,4 кВ, ВЛ 0,22 кВ и т.п.), а также при необходимости наименования объекта энергоснабжения (например, КЛ 0,4 кВ в сторону РУ-0,4 кВ магазина № 1; КЛ 0,4 кВ от ТП 6 кВ № 1095).</w:t>
      </w:r>
    </w:p>
    <w:p w14:paraId="75E7192E" w14:textId="77777777" w:rsidR="001333B2" w:rsidRPr="001333B2" w:rsidRDefault="001333B2" w:rsidP="001333B2">
      <w:pPr>
        <w:widowControl w:val="0"/>
        <w:tabs>
          <w:tab w:val="left" w:pos="1077"/>
        </w:tabs>
        <w:suppressAutoHyphens w:val="0"/>
        <w:spacing w:before="120" w:after="120"/>
        <w:ind w:firstLine="601"/>
        <w:jc w:val="both"/>
        <w:rPr>
          <w:rFonts w:ascii="Garamond" w:eastAsia="Calibri" w:hAnsi="Garamond" w:cs="Times New Roman"/>
          <w:bCs/>
          <w:sz w:val="22"/>
          <w:szCs w:val="22"/>
          <w:lang w:eastAsia="en-US"/>
        </w:rPr>
      </w:pPr>
      <w:r w:rsidRPr="001333B2">
        <w:rPr>
          <w:rFonts w:ascii="Garamond" w:eastAsia="Calibri" w:hAnsi="Garamond" w:cs="Times New Roman"/>
          <w:bCs/>
          <w:sz w:val="22"/>
          <w:szCs w:val="22"/>
          <w:lang w:eastAsia="en-US"/>
        </w:rPr>
        <w:t>Для идентификации точек присоединения допускается:</w:t>
      </w:r>
    </w:p>
    <w:p w14:paraId="3DBDECE0" w14:textId="77777777" w:rsidR="001333B2" w:rsidRPr="001333B2" w:rsidRDefault="001333B2" w:rsidP="001333B2">
      <w:pPr>
        <w:widowControl w:val="0"/>
        <w:tabs>
          <w:tab w:val="left" w:pos="1077"/>
        </w:tabs>
        <w:suppressAutoHyphens w:val="0"/>
        <w:spacing w:before="120" w:after="120"/>
        <w:ind w:firstLine="601"/>
        <w:jc w:val="both"/>
        <w:rPr>
          <w:rFonts w:ascii="Garamond" w:eastAsia="Calibri" w:hAnsi="Garamond" w:cs="Times New Roman"/>
          <w:bCs/>
          <w:sz w:val="22"/>
          <w:szCs w:val="22"/>
          <w:lang w:val="x-none" w:eastAsia="en-US"/>
        </w:rPr>
      </w:pPr>
      <w:r w:rsidRPr="001333B2">
        <w:rPr>
          <w:rFonts w:ascii="Garamond" w:eastAsia="Calibri" w:hAnsi="Garamond" w:cs="Times New Roman"/>
          <w:bCs/>
          <w:sz w:val="22"/>
          <w:szCs w:val="22"/>
          <w:lang w:eastAsia="en-US"/>
        </w:rPr>
        <w:t>–</w:t>
      </w:r>
      <w:r w:rsidRPr="001333B2">
        <w:rPr>
          <w:rFonts w:ascii="Garamond" w:eastAsia="Calibri" w:hAnsi="Garamond" w:cs="Times New Roman"/>
          <w:bCs/>
          <w:sz w:val="22"/>
          <w:szCs w:val="22"/>
          <w:lang w:eastAsia="en-US"/>
        </w:rPr>
        <w:tab/>
        <w:t>указание системы и секции шин с указанием класса напряжения, при этом, если имеется вариативность присоединения к системе (секции) шин, рекомендуется указывать систему (секцию) шин, к которой осуществлено присоединение в нормальном режиме;</w:t>
      </w:r>
    </w:p>
    <w:p w14:paraId="3A352E42" w14:textId="77777777" w:rsidR="001333B2" w:rsidRPr="001333B2" w:rsidRDefault="001333B2" w:rsidP="001333B2">
      <w:pPr>
        <w:widowControl w:val="0"/>
        <w:tabs>
          <w:tab w:val="left" w:pos="1077"/>
        </w:tabs>
        <w:suppressAutoHyphens w:val="0"/>
        <w:spacing w:before="120" w:after="120"/>
        <w:ind w:firstLine="601"/>
        <w:jc w:val="both"/>
        <w:rPr>
          <w:rFonts w:ascii="Garamond" w:eastAsia="Calibri" w:hAnsi="Garamond" w:cs="Times New Roman"/>
          <w:bCs/>
          <w:sz w:val="22"/>
          <w:szCs w:val="22"/>
          <w:lang w:eastAsia="en-US"/>
        </w:rPr>
      </w:pPr>
      <w:r w:rsidRPr="001333B2">
        <w:rPr>
          <w:rFonts w:ascii="Garamond" w:eastAsia="Calibri" w:hAnsi="Garamond" w:cs="Times New Roman"/>
          <w:bCs/>
          <w:sz w:val="22"/>
          <w:szCs w:val="22"/>
          <w:lang w:eastAsia="en-US"/>
        </w:rPr>
        <w:t>–</w:t>
      </w:r>
      <w:r w:rsidRPr="001333B2">
        <w:rPr>
          <w:rFonts w:ascii="Garamond" w:eastAsia="Calibri" w:hAnsi="Garamond" w:cs="Times New Roman"/>
          <w:bCs/>
          <w:sz w:val="22"/>
          <w:szCs w:val="22"/>
          <w:lang w:eastAsia="en-US"/>
        </w:rPr>
        <w:tab/>
        <w:t>использовать наименования обозначений элементов сетевого оборудования (например, рубильник, автомат и т.п.).</w:t>
      </w:r>
    </w:p>
    <w:p w14:paraId="1A67D3C8" w14:textId="77777777" w:rsidR="001333B2" w:rsidRPr="001333B2" w:rsidRDefault="001333B2" w:rsidP="001333B2">
      <w:pPr>
        <w:widowControl w:val="0"/>
        <w:tabs>
          <w:tab w:val="left" w:pos="1077"/>
        </w:tabs>
        <w:suppressAutoHyphens w:val="0"/>
        <w:spacing w:before="120" w:after="120"/>
        <w:ind w:firstLine="601"/>
        <w:jc w:val="both"/>
        <w:rPr>
          <w:rFonts w:ascii="Garamond" w:eastAsia="Calibri" w:hAnsi="Garamond" w:cs="Times New Roman"/>
          <w:bCs/>
          <w:sz w:val="22"/>
          <w:szCs w:val="22"/>
          <w:lang w:eastAsia="en-US"/>
        </w:rPr>
      </w:pPr>
      <w:r w:rsidRPr="001333B2">
        <w:rPr>
          <w:rFonts w:ascii="Garamond" w:eastAsia="Calibri" w:hAnsi="Garamond" w:cs="Times New Roman"/>
          <w:bCs/>
          <w:sz w:val="22"/>
          <w:szCs w:val="22"/>
          <w:lang w:eastAsia="en-US"/>
        </w:rPr>
        <w:t>Примеры наименований точек присоединения, расположенных на электроустановках ниже 1,0 кВ:</w:t>
      </w:r>
    </w:p>
    <w:tbl>
      <w:tblPr>
        <w:tblW w:w="8505"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7"/>
        <w:gridCol w:w="2693"/>
        <w:gridCol w:w="2835"/>
      </w:tblGrid>
      <w:tr w:rsidR="001333B2" w:rsidRPr="001333B2" w14:paraId="70121B22" w14:textId="77777777" w:rsidTr="0064152E">
        <w:trPr>
          <w:trHeight w:val="567"/>
        </w:trPr>
        <w:tc>
          <w:tcPr>
            <w:tcW w:w="2977" w:type="dxa"/>
            <w:vAlign w:val="center"/>
          </w:tcPr>
          <w:p w14:paraId="1C346ABD" w14:textId="77777777" w:rsidR="001333B2" w:rsidRPr="001333B2" w:rsidRDefault="001333B2" w:rsidP="001333B2">
            <w:pPr>
              <w:suppressAutoHyphens w:val="0"/>
              <w:spacing w:line="259" w:lineRule="auto"/>
              <w:jc w:val="center"/>
              <w:rPr>
                <w:rFonts w:ascii="Garamond" w:eastAsia="Calibri" w:hAnsi="Garamond" w:cs="Times New Roman"/>
                <w:b/>
                <w:sz w:val="22"/>
                <w:szCs w:val="22"/>
                <w:lang w:eastAsia="en-US"/>
              </w:rPr>
            </w:pPr>
            <w:r w:rsidRPr="001333B2">
              <w:rPr>
                <w:rFonts w:ascii="Garamond" w:eastAsia="Calibri" w:hAnsi="Garamond" w:cs="Times New Roman"/>
                <w:b/>
                <w:sz w:val="22"/>
                <w:szCs w:val="22"/>
                <w:lang w:eastAsia="en-US"/>
              </w:rPr>
              <w:t xml:space="preserve">Наименование точки </w:t>
            </w:r>
            <w:r w:rsidRPr="001333B2">
              <w:rPr>
                <w:rFonts w:ascii="Garamond" w:eastAsia="Calibri" w:hAnsi="Garamond" w:cs="Times New Roman"/>
                <w:b/>
                <w:bCs/>
                <w:sz w:val="22"/>
                <w:szCs w:val="22"/>
                <w:lang w:eastAsia="en-US"/>
              </w:rPr>
              <w:t>присоединения</w:t>
            </w:r>
          </w:p>
        </w:tc>
        <w:tc>
          <w:tcPr>
            <w:tcW w:w="2693" w:type="dxa"/>
            <w:shd w:val="clear" w:color="auto" w:fill="auto"/>
            <w:vAlign w:val="center"/>
          </w:tcPr>
          <w:p w14:paraId="21EF884A" w14:textId="77777777" w:rsidR="001333B2" w:rsidRPr="001333B2" w:rsidRDefault="001333B2" w:rsidP="001333B2">
            <w:pPr>
              <w:suppressAutoHyphens w:val="0"/>
              <w:spacing w:line="259" w:lineRule="auto"/>
              <w:jc w:val="center"/>
              <w:rPr>
                <w:rFonts w:ascii="Garamond" w:eastAsia="Calibri" w:hAnsi="Garamond" w:cs="Times New Roman"/>
                <w:sz w:val="22"/>
                <w:szCs w:val="22"/>
                <w:lang w:eastAsia="en-US"/>
              </w:rPr>
            </w:pPr>
            <w:r w:rsidRPr="001333B2">
              <w:rPr>
                <w:rFonts w:ascii="Garamond" w:eastAsia="Calibri" w:hAnsi="Garamond" w:cs="Times New Roman"/>
                <w:b/>
                <w:sz w:val="22"/>
                <w:szCs w:val="22"/>
                <w:lang w:eastAsia="en-US"/>
              </w:rPr>
              <w:t>Наименование энергообъекта</w:t>
            </w:r>
          </w:p>
        </w:tc>
        <w:tc>
          <w:tcPr>
            <w:tcW w:w="2835" w:type="dxa"/>
            <w:shd w:val="clear" w:color="auto" w:fill="auto"/>
            <w:vAlign w:val="center"/>
          </w:tcPr>
          <w:p w14:paraId="7D4C3820" w14:textId="77777777" w:rsidR="001333B2" w:rsidRPr="001333B2" w:rsidRDefault="001333B2" w:rsidP="001333B2">
            <w:pPr>
              <w:suppressAutoHyphens w:val="0"/>
              <w:spacing w:line="259" w:lineRule="auto"/>
              <w:jc w:val="center"/>
              <w:rPr>
                <w:rFonts w:ascii="Garamond" w:eastAsia="Calibri" w:hAnsi="Garamond" w:cs="Times New Roman"/>
                <w:b/>
                <w:sz w:val="22"/>
                <w:szCs w:val="22"/>
                <w:lang w:eastAsia="en-US"/>
              </w:rPr>
            </w:pPr>
            <w:r w:rsidRPr="001333B2">
              <w:rPr>
                <w:rFonts w:ascii="Garamond" w:eastAsia="Calibri" w:hAnsi="Garamond" w:cs="Times New Roman"/>
                <w:b/>
                <w:sz w:val="22"/>
                <w:szCs w:val="22"/>
                <w:lang w:eastAsia="en-US"/>
              </w:rPr>
              <w:t>Описание месторасположения, наименование присоединения</w:t>
            </w:r>
          </w:p>
        </w:tc>
      </w:tr>
      <w:tr w:rsidR="001333B2" w:rsidRPr="001333B2" w14:paraId="20BF0992" w14:textId="77777777" w:rsidTr="0064152E">
        <w:trPr>
          <w:trHeight w:val="567"/>
        </w:trPr>
        <w:tc>
          <w:tcPr>
            <w:tcW w:w="2977" w:type="dxa"/>
            <w:shd w:val="clear" w:color="auto" w:fill="FFFFFF"/>
            <w:vAlign w:val="center"/>
          </w:tcPr>
          <w:p w14:paraId="01A7DCC5" w14:textId="77777777" w:rsidR="001333B2" w:rsidRPr="001333B2" w:rsidRDefault="001333B2" w:rsidP="001333B2">
            <w:pPr>
              <w:suppressAutoHyphens w:val="0"/>
              <w:spacing w:line="259" w:lineRule="auto"/>
              <w:jc w:val="both"/>
              <w:rPr>
                <w:rFonts w:ascii="Garamond" w:eastAsia="Calibri" w:hAnsi="Garamond" w:cs="Calibri"/>
                <w:sz w:val="22"/>
                <w:szCs w:val="22"/>
                <w:lang w:eastAsia="en-US"/>
              </w:rPr>
            </w:pPr>
            <w:r w:rsidRPr="001333B2">
              <w:rPr>
                <w:rFonts w:ascii="Garamond" w:eastAsia="Calibri" w:hAnsi="Garamond" w:cs="Times New Roman"/>
                <w:bCs/>
                <w:sz w:val="22"/>
                <w:szCs w:val="22"/>
                <w:lang w:eastAsia="en-US"/>
              </w:rPr>
              <w:t>РУ-0,4 кВ ИП Петров, ввод 0,4 кВ</w:t>
            </w:r>
          </w:p>
        </w:tc>
        <w:tc>
          <w:tcPr>
            <w:tcW w:w="2693" w:type="dxa"/>
            <w:shd w:val="clear" w:color="auto" w:fill="FFFFFF"/>
            <w:vAlign w:val="center"/>
          </w:tcPr>
          <w:p w14:paraId="1FCD16F5" w14:textId="77777777" w:rsidR="001333B2" w:rsidRPr="001333B2" w:rsidRDefault="001333B2" w:rsidP="001333B2">
            <w:pPr>
              <w:suppressAutoHyphens w:val="0"/>
              <w:spacing w:line="259" w:lineRule="auto"/>
              <w:jc w:val="both"/>
              <w:rPr>
                <w:rFonts w:ascii="Garamond" w:eastAsia="Calibri" w:hAnsi="Garamond" w:cs="Calibri"/>
                <w:sz w:val="22"/>
                <w:szCs w:val="22"/>
                <w:lang w:eastAsia="en-US"/>
              </w:rPr>
            </w:pPr>
            <w:r w:rsidRPr="001333B2">
              <w:rPr>
                <w:rFonts w:ascii="Garamond" w:eastAsia="Calibri" w:hAnsi="Garamond" w:cs="Times New Roman"/>
                <w:bCs/>
                <w:sz w:val="22"/>
                <w:szCs w:val="22"/>
                <w:lang w:eastAsia="en-US"/>
              </w:rPr>
              <w:t>РУ-0,4 кВ ИП Петров</w:t>
            </w:r>
          </w:p>
        </w:tc>
        <w:tc>
          <w:tcPr>
            <w:tcW w:w="2835" w:type="dxa"/>
            <w:shd w:val="clear" w:color="auto" w:fill="FFFFFF"/>
            <w:vAlign w:val="center"/>
          </w:tcPr>
          <w:p w14:paraId="19F680FC" w14:textId="77777777" w:rsidR="001333B2" w:rsidRPr="001333B2" w:rsidRDefault="001333B2" w:rsidP="001333B2">
            <w:pPr>
              <w:suppressAutoHyphens w:val="0"/>
              <w:spacing w:line="259" w:lineRule="auto"/>
              <w:jc w:val="both"/>
              <w:rPr>
                <w:rFonts w:ascii="Garamond" w:eastAsia="Calibri" w:hAnsi="Garamond" w:cs="Calibri"/>
                <w:sz w:val="22"/>
                <w:szCs w:val="22"/>
                <w:lang w:eastAsia="en-US"/>
              </w:rPr>
            </w:pPr>
            <w:r w:rsidRPr="001333B2">
              <w:rPr>
                <w:rFonts w:ascii="Garamond" w:eastAsia="Calibri" w:hAnsi="Garamond" w:cs="Times New Roman"/>
                <w:bCs/>
                <w:sz w:val="22"/>
                <w:szCs w:val="22"/>
                <w:lang w:eastAsia="en-US"/>
              </w:rPr>
              <w:t>ввод 0,4 кВ</w:t>
            </w:r>
          </w:p>
        </w:tc>
      </w:tr>
      <w:tr w:rsidR="001333B2" w:rsidRPr="001333B2" w14:paraId="0DE10C5D" w14:textId="77777777" w:rsidTr="0064152E">
        <w:trPr>
          <w:trHeight w:val="567"/>
        </w:trPr>
        <w:tc>
          <w:tcPr>
            <w:tcW w:w="2977" w:type="dxa"/>
            <w:shd w:val="clear" w:color="auto" w:fill="FFFFFF"/>
            <w:vAlign w:val="center"/>
          </w:tcPr>
          <w:p w14:paraId="5BDEE2D8" w14:textId="77777777" w:rsidR="001333B2" w:rsidRPr="001333B2" w:rsidRDefault="001333B2" w:rsidP="001333B2">
            <w:pPr>
              <w:suppressAutoHyphens w:val="0"/>
              <w:spacing w:line="259" w:lineRule="auto"/>
              <w:jc w:val="both"/>
              <w:rPr>
                <w:rFonts w:ascii="Garamond" w:eastAsia="Calibri" w:hAnsi="Garamond" w:cs="Times New Roman"/>
                <w:bCs/>
                <w:sz w:val="22"/>
                <w:szCs w:val="22"/>
                <w:lang w:eastAsia="en-US"/>
              </w:rPr>
            </w:pPr>
            <w:r w:rsidRPr="001333B2">
              <w:rPr>
                <w:rFonts w:ascii="Garamond" w:eastAsia="Calibri" w:hAnsi="Garamond" w:cs="Times New Roman"/>
                <w:sz w:val="22"/>
                <w:szCs w:val="22"/>
                <w:lang w:eastAsia="en-US"/>
              </w:rPr>
              <w:lastRenderedPageBreak/>
              <w:t>ВРУ-0,4 кВ НС № 12, ф. 12 СНТ Тверца</w:t>
            </w:r>
          </w:p>
        </w:tc>
        <w:tc>
          <w:tcPr>
            <w:tcW w:w="2693" w:type="dxa"/>
            <w:shd w:val="clear" w:color="auto" w:fill="FFFFFF"/>
            <w:vAlign w:val="center"/>
          </w:tcPr>
          <w:p w14:paraId="10B14E87" w14:textId="77777777" w:rsidR="001333B2" w:rsidRPr="001333B2" w:rsidRDefault="001333B2" w:rsidP="001333B2">
            <w:pPr>
              <w:suppressAutoHyphens w:val="0"/>
              <w:spacing w:line="259" w:lineRule="auto"/>
              <w:jc w:val="both"/>
              <w:rPr>
                <w:rFonts w:ascii="Garamond" w:eastAsia="Calibri" w:hAnsi="Garamond" w:cs="Times New Roman"/>
                <w:bCs/>
                <w:sz w:val="22"/>
                <w:szCs w:val="22"/>
                <w:lang w:eastAsia="en-US"/>
              </w:rPr>
            </w:pPr>
            <w:r w:rsidRPr="001333B2">
              <w:rPr>
                <w:rFonts w:ascii="Garamond" w:eastAsia="Calibri" w:hAnsi="Garamond" w:cs="Times New Roman"/>
                <w:sz w:val="22"/>
                <w:szCs w:val="22"/>
                <w:lang w:eastAsia="en-US"/>
              </w:rPr>
              <w:t>ВРУ-0,4 кВ НС № 12</w:t>
            </w:r>
          </w:p>
        </w:tc>
        <w:tc>
          <w:tcPr>
            <w:tcW w:w="2835" w:type="dxa"/>
            <w:shd w:val="clear" w:color="auto" w:fill="FFFFFF"/>
            <w:vAlign w:val="center"/>
          </w:tcPr>
          <w:p w14:paraId="7D1E48F0" w14:textId="77777777" w:rsidR="001333B2" w:rsidRPr="001333B2" w:rsidRDefault="001333B2" w:rsidP="001333B2">
            <w:pPr>
              <w:suppressAutoHyphens w:val="0"/>
              <w:spacing w:line="259" w:lineRule="auto"/>
              <w:jc w:val="both"/>
              <w:rPr>
                <w:rFonts w:ascii="Garamond" w:eastAsia="Calibri" w:hAnsi="Garamond" w:cs="Times New Roman"/>
                <w:bCs/>
                <w:sz w:val="22"/>
                <w:szCs w:val="22"/>
                <w:lang w:eastAsia="en-US"/>
              </w:rPr>
            </w:pPr>
            <w:r w:rsidRPr="001333B2">
              <w:rPr>
                <w:rFonts w:ascii="Garamond" w:eastAsia="Calibri" w:hAnsi="Garamond" w:cs="Times New Roman"/>
                <w:sz w:val="22"/>
                <w:szCs w:val="22"/>
                <w:lang w:eastAsia="en-US"/>
              </w:rPr>
              <w:t>ф. 12 СНТ Тверца</w:t>
            </w:r>
          </w:p>
        </w:tc>
      </w:tr>
      <w:tr w:rsidR="001333B2" w:rsidRPr="001333B2" w14:paraId="76F6CBD0" w14:textId="77777777" w:rsidTr="0064152E">
        <w:trPr>
          <w:trHeight w:val="567"/>
        </w:trPr>
        <w:tc>
          <w:tcPr>
            <w:tcW w:w="2977" w:type="dxa"/>
            <w:shd w:val="clear" w:color="auto" w:fill="FFFFFF"/>
            <w:vAlign w:val="center"/>
          </w:tcPr>
          <w:p w14:paraId="0DA3F1ED" w14:textId="77777777" w:rsidR="001333B2" w:rsidRPr="001333B2" w:rsidRDefault="001333B2" w:rsidP="001333B2">
            <w:pPr>
              <w:suppressAutoHyphens w:val="0"/>
              <w:spacing w:line="259" w:lineRule="auto"/>
              <w:jc w:val="both"/>
              <w:rPr>
                <w:rFonts w:ascii="Garamond" w:eastAsia="Calibri" w:hAnsi="Garamond" w:cs="Calibri"/>
                <w:sz w:val="22"/>
                <w:szCs w:val="22"/>
                <w:lang w:eastAsia="en-US"/>
              </w:rPr>
            </w:pPr>
            <w:r w:rsidRPr="001333B2">
              <w:rPr>
                <w:rFonts w:ascii="Garamond" w:eastAsia="Calibri" w:hAnsi="Garamond" w:cs="Times New Roman"/>
                <w:bCs/>
                <w:sz w:val="22"/>
                <w:szCs w:val="22"/>
                <w:lang w:eastAsia="en-US"/>
              </w:rPr>
              <w:t>ВРУ-0,4 кВ ИП Шелухина А.Ф., КЛ 0,4 кВ</w:t>
            </w:r>
          </w:p>
        </w:tc>
        <w:tc>
          <w:tcPr>
            <w:tcW w:w="2693" w:type="dxa"/>
            <w:shd w:val="clear" w:color="auto" w:fill="FFFFFF"/>
            <w:vAlign w:val="center"/>
          </w:tcPr>
          <w:p w14:paraId="6584D608" w14:textId="77777777" w:rsidR="001333B2" w:rsidRPr="001333B2" w:rsidRDefault="001333B2" w:rsidP="001333B2">
            <w:pPr>
              <w:suppressAutoHyphens w:val="0"/>
              <w:spacing w:line="259" w:lineRule="auto"/>
              <w:jc w:val="both"/>
              <w:rPr>
                <w:rFonts w:ascii="Garamond" w:eastAsia="Calibri" w:hAnsi="Garamond" w:cs="Calibri"/>
                <w:sz w:val="22"/>
                <w:szCs w:val="22"/>
                <w:lang w:eastAsia="en-US"/>
              </w:rPr>
            </w:pPr>
            <w:r w:rsidRPr="001333B2">
              <w:rPr>
                <w:rFonts w:ascii="Garamond" w:eastAsia="Calibri" w:hAnsi="Garamond" w:cs="Times New Roman"/>
                <w:bCs/>
                <w:sz w:val="22"/>
                <w:szCs w:val="22"/>
                <w:lang w:eastAsia="en-US"/>
              </w:rPr>
              <w:t>ВРУ-0,4 кВ ИП Шелухина А.Ф.</w:t>
            </w:r>
          </w:p>
        </w:tc>
        <w:tc>
          <w:tcPr>
            <w:tcW w:w="2835" w:type="dxa"/>
            <w:shd w:val="clear" w:color="auto" w:fill="FFFFFF"/>
            <w:vAlign w:val="center"/>
          </w:tcPr>
          <w:p w14:paraId="3413CEF1" w14:textId="77777777" w:rsidR="001333B2" w:rsidRPr="001333B2" w:rsidRDefault="001333B2" w:rsidP="001333B2">
            <w:pPr>
              <w:suppressAutoHyphens w:val="0"/>
              <w:spacing w:line="259" w:lineRule="auto"/>
              <w:jc w:val="both"/>
              <w:rPr>
                <w:rFonts w:ascii="Garamond" w:eastAsia="Calibri" w:hAnsi="Garamond" w:cs="Calibri"/>
                <w:sz w:val="22"/>
                <w:szCs w:val="22"/>
                <w:lang w:eastAsia="en-US"/>
              </w:rPr>
            </w:pPr>
            <w:r w:rsidRPr="001333B2">
              <w:rPr>
                <w:rFonts w:ascii="Garamond" w:eastAsia="Calibri" w:hAnsi="Garamond" w:cs="Times New Roman"/>
                <w:bCs/>
                <w:sz w:val="22"/>
                <w:szCs w:val="22"/>
                <w:lang w:eastAsia="en-US"/>
              </w:rPr>
              <w:t>КЛ 0,4 кВ</w:t>
            </w:r>
          </w:p>
        </w:tc>
      </w:tr>
      <w:tr w:rsidR="001333B2" w:rsidRPr="001333B2" w14:paraId="2E0CD85A" w14:textId="77777777" w:rsidTr="0064152E">
        <w:trPr>
          <w:trHeight w:val="567"/>
        </w:trPr>
        <w:tc>
          <w:tcPr>
            <w:tcW w:w="2977" w:type="dxa"/>
            <w:shd w:val="clear" w:color="auto" w:fill="FFFFFF"/>
            <w:vAlign w:val="center"/>
          </w:tcPr>
          <w:p w14:paraId="74F5E9B7" w14:textId="77777777" w:rsidR="001333B2" w:rsidRPr="001333B2" w:rsidRDefault="001333B2" w:rsidP="001333B2">
            <w:pPr>
              <w:suppressAutoHyphens w:val="0"/>
              <w:spacing w:line="259" w:lineRule="auto"/>
              <w:jc w:val="both"/>
              <w:rPr>
                <w:rFonts w:ascii="Garamond" w:eastAsia="Calibri" w:hAnsi="Garamond" w:cs="Calibri"/>
                <w:sz w:val="22"/>
                <w:szCs w:val="22"/>
                <w:lang w:eastAsia="en-US"/>
              </w:rPr>
            </w:pPr>
            <w:r w:rsidRPr="001333B2">
              <w:rPr>
                <w:rFonts w:ascii="Garamond" w:eastAsia="Calibri" w:hAnsi="Garamond" w:cs="Times New Roman"/>
                <w:bCs/>
                <w:sz w:val="22"/>
                <w:szCs w:val="22"/>
                <w:lang w:eastAsia="en-US"/>
              </w:rPr>
              <w:t>РЩ 0,4 кВ адм. здания Рябовское, яч. 5</w:t>
            </w:r>
          </w:p>
        </w:tc>
        <w:tc>
          <w:tcPr>
            <w:tcW w:w="2693" w:type="dxa"/>
            <w:shd w:val="clear" w:color="auto" w:fill="FFFFFF"/>
            <w:vAlign w:val="center"/>
          </w:tcPr>
          <w:p w14:paraId="1913F4C3" w14:textId="77777777" w:rsidR="001333B2" w:rsidRPr="001333B2" w:rsidRDefault="001333B2" w:rsidP="001333B2">
            <w:pPr>
              <w:suppressAutoHyphens w:val="0"/>
              <w:spacing w:line="259" w:lineRule="auto"/>
              <w:jc w:val="both"/>
              <w:rPr>
                <w:rFonts w:ascii="Garamond" w:eastAsia="Calibri" w:hAnsi="Garamond" w:cs="Calibri"/>
                <w:sz w:val="22"/>
                <w:szCs w:val="22"/>
                <w:lang w:eastAsia="en-US"/>
              </w:rPr>
            </w:pPr>
            <w:r w:rsidRPr="001333B2">
              <w:rPr>
                <w:rFonts w:ascii="Garamond" w:eastAsia="Calibri" w:hAnsi="Garamond" w:cs="Times New Roman"/>
                <w:bCs/>
                <w:sz w:val="22"/>
                <w:szCs w:val="22"/>
                <w:lang w:eastAsia="en-US"/>
              </w:rPr>
              <w:t>РЩ 0,4 кВ адм. здания Рябовское</w:t>
            </w:r>
          </w:p>
        </w:tc>
        <w:tc>
          <w:tcPr>
            <w:tcW w:w="2835" w:type="dxa"/>
            <w:shd w:val="clear" w:color="auto" w:fill="FFFFFF"/>
            <w:vAlign w:val="center"/>
          </w:tcPr>
          <w:p w14:paraId="2DA1AA3E" w14:textId="77777777" w:rsidR="001333B2" w:rsidRPr="001333B2" w:rsidRDefault="001333B2" w:rsidP="001333B2">
            <w:pPr>
              <w:suppressAutoHyphens w:val="0"/>
              <w:spacing w:line="259" w:lineRule="auto"/>
              <w:jc w:val="both"/>
              <w:rPr>
                <w:rFonts w:ascii="Garamond" w:eastAsia="Calibri" w:hAnsi="Garamond" w:cs="Calibri"/>
                <w:sz w:val="22"/>
                <w:szCs w:val="22"/>
                <w:lang w:eastAsia="en-US"/>
              </w:rPr>
            </w:pPr>
            <w:r w:rsidRPr="001333B2">
              <w:rPr>
                <w:rFonts w:ascii="Garamond" w:eastAsia="Calibri" w:hAnsi="Garamond" w:cs="Times New Roman"/>
                <w:bCs/>
                <w:sz w:val="22"/>
                <w:szCs w:val="22"/>
                <w:lang w:eastAsia="en-US"/>
              </w:rPr>
              <w:t>яч. 5</w:t>
            </w:r>
          </w:p>
        </w:tc>
      </w:tr>
      <w:tr w:rsidR="001333B2" w:rsidRPr="001333B2" w14:paraId="442E799F" w14:textId="77777777" w:rsidTr="0064152E">
        <w:trPr>
          <w:trHeight w:val="567"/>
        </w:trPr>
        <w:tc>
          <w:tcPr>
            <w:tcW w:w="2977" w:type="dxa"/>
            <w:shd w:val="clear" w:color="auto" w:fill="FFFFFF"/>
            <w:vAlign w:val="center"/>
          </w:tcPr>
          <w:p w14:paraId="3DD4C7A4" w14:textId="77777777" w:rsidR="001333B2" w:rsidRPr="001333B2" w:rsidRDefault="001333B2" w:rsidP="001333B2">
            <w:pPr>
              <w:suppressAutoHyphens w:val="0"/>
              <w:spacing w:line="259" w:lineRule="auto"/>
              <w:jc w:val="both"/>
              <w:rPr>
                <w:rFonts w:ascii="Garamond" w:eastAsia="Calibri" w:hAnsi="Garamond" w:cs="Calibri"/>
                <w:sz w:val="22"/>
                <w:szCs w:val="22"/>
                <w:lang w:eastAsia="en-US"/>
              </w:rPr>
            </w:pPr>
            <w:r w:rsidRPr="001333B2">
              <w:rPr>
                <w:rFonts w:ascii="Garamond" w:eastAsia="Calibri" w:hAnsi="Garamond" w:cs="Times New Roman"/>
                <w:bCs/>
                <w:sz w:val="22"/>
                <w:szCs w:val="22"/>
                <w:lang w:eastAsia="en-US"/>
              </w:rPr>
              <w:t>ЭЩ-0,4 кВ Больница, ввод 0,4 кВ от КТП-1 10 кВ</w:t>
            </w:r>
          </w:p>
        </w:tc>
        <w:tc>
          <w:tcPr>
            <w:tcW w:w="2693" w:type="dxa"/>
            <w:shd w:val="clear" w:color="auto" w:fill="FFFFFF"/>
            <w:vAlign w:val="center"/>
          </w:tcPr>
          <w:p w14:paraId="26FBBB57" w14:textId="77777777" w:rsidR="001333B2" w:rsidRPr="001333B2" w:rsidRDefault="001333B2" w:rsidP="001333B2">
            <w:pPr>
              <w:suppressAutoHyphens w:val="0"/>
              <w:spacing w:line="259" w:lineRule="auto"/>
              <w:jc w:val="both"/>
              <w:rPr>
                <w:rFonts w:ascii="Garamond" w:eastAsia="Calibri" w:hAnsi="Garamond" w:cs="Calibri"/>
                <w:sz w:val="22"/>
                <w:szCs w:val="22"/>
                <w:lang w:eastAsia="en-US"/>
              </w:rPr>
            </w:pPr>
            <w:r w:rsidRPr="001333B2">
              <w:rPr>
                <w:rFonts w:ascii="Garamond" w:eastAsia="Calibri" w:hAnsi="Garamond" w:cs="Times New Roman"/>
                <w:bCs/>
                <w:sz w:val="22"/>
                <w:szCs w:val="22"/>
                <w:lang w:eastAsia="en-US"/>
              </w:rPr>
              <w:t>ЭЩ-0,4 кВ Больница</w:t>
            </w:r>
          </w:p>
        </w:tc>
        <w:tc>
          <w:tcPr>
            <w:tcW w:w="2835" w:type="dxa"/>
            <w:shd w:val="clear" w:color="auto" w:fill="FFFFFF"/>
            <w:vAlign w:val="center"/>
          </w:tcPr>
          <w:p w14:paraId="224ECD80" w14:textId="77777777" w:rsidR="001333B2" w:rsidRPr="001333B2" w:rsidRDefault="001333B2" w:rsidP="001333B2">
            <w:pPr>
              <w:suppressAutoHyphens w:val="0"/>
              <w:spacing w:line="259" w:lineRule="auto"/>
              <w:jc w:val="both"/>
              <w:rPr>
                <w:rFonts w:ascii="Garamond" w:eastAsia="Calibri" w:hAnsi="Garamond" w:cs="Calibri"/>
                <w:sz w:val="22"/>
                <w:szCs w:val="22"/>
                <w:lang w:eastAsia="en-US"/>
              </w:rPr>
            </w:pPr>
            <w:r w:rsidRPr="001333B2">
              <w:rPr>
                <w:rFonts w:ascii="Garamond" w:eastAsia="Calibri" w:hAnsi="Garamond" w:cs="Times New Roman"/>
                <w:bCs/>
                <w:sz w:val="22"/>
                <w:szCs w:val="22"/>
                <w:lang w:eastAsia="en-US"/>
              </w:rPr>
              <w:t>ввод 0,4 кВ от КТП-1 10 кВ</w:t>
            </w:r>
          </w:p>
        </w:tc>
      </w:tr>
      <w:tr w:rsidR="001333B2" w:rsidRPr="001333B2" w14:paraId="53FF40B8" w14:textId="77777777" w:rsidTr="0064152E">
        <w:trPr>
          <w:trHeight w:val="567"/>
        </w:trPr>
        <w:tc>
          <w:tcPr>
            <w:tcW w:w="2977" w:type="dxa"/>
            <w:shd w:val="clear" w:color="auto" w:fill="FFFFFF"/>
            <w:vAlign w:val="center"/>
          </w:tcPr>
          <w:p w14:paraId="45FCA599" w14:textId="77777777" w:rsidR="001333B2" w:rsidRPr="001333B2" w:rsidRDefault="001333B2" w:rsidP="001333B2">
            <w:pPr>
              <w:suppressAutoHyphens w:val="0"/>
              <w:spacing w:line="259" w:lineRule="auto"/>
              <w:jc w:val="both"/>
              <w:rPr>
                <w:rFonts w:ascii="Garamond" w:eastAsia="Calibri" w:hAnsi="Garamond" w:cs="Times New Roman"/>
                <w:bCs/>
                <w:sz w:val="22"/>
                <w:szCs w:val="22"/>
                <w:lang w:eastAsia="en-US"/>
              </w:rPr>
            </w:pPr>
            <w:r w:rsidRPr="001333B2">
              <w:rPr>
                <w:rFonts w:ascii="Garamond" w:eastAsia="Calibri" w:hAnsi="Garamond" w:cs="Times New Roman"/>
                <w:sz w:val="22"/>
                <w:szCs w:val="22"/>
                <w:lang w:eastAsia="en-US"/>
              </w:rPr>
              <w:t>РП</w:t>
            </w:r>
            <w:r w:rsidRPr="001333B2">
              <w:rPr>
                <w:rFonts w:ascii="Garamond" w:eastAsia="Calibri" w:hAnsi="Garamond" w:cs="Times New Roman"/>
                <w:bCs/>
                <w:sz w:val="22"/>
                <w:szCs w:val="22"/>
                <w:lang w:eastAsia="en-US"/>
              </w:rPr>
              <w:t>-0,4 кВ Дома читателей, РУ-0,4 кВ, КЛ-0,4 кВ</w:t>
            </w:r>
          </w:p>
        </w:tc>
        <w:tc>
          <w:tcPr>
            <w:tcW w:w="2693" w:type="dxa"/>
            <w:shd w:val="clear" w:color="auto" w:fill="FFFFFF"/>
            <w:vAlign w:val="center"/>
          </w:tcPr>
          <w:p w14:paraId="0869BA73" w14:textId="77777777" w:rsidR="001333B2" w:rsidRPr="001333B2" w:rsidRDefault="001333B2" w:rsidP="001333B2">
            <w:pPr>
              <w:suppressAutoHyphens w:val="0"/>
              <w:spacing w:line="259" w:lineRule="auto"/>
              <w:jc w:val="both"/>
              <w:rPr>
                <w:rFonts w:ascii="Garamond" w:eastAsia="Calibri" w:hAnsi="Garamond" w:cs="Times New Roman"/>
                <w:bCs/>
                <w:sz w:val="22"/>
                <w:szCs w:val="22"/>
                <w:lang w:eastAsia="en-US"/>
              </w:rPr>
            </w:pPr>
            <w:r w:rsidRPr="001333B2">
              <w:rPr>
                <w:rFonts w:ascii="Garamond" w:eastAsia="Calibri" w:hAnsi="Garamond" w:cs="Times New Roman"/>
                <w:sz w:val="22"/>
                <w:szCs w:val="22"/>
                <w:lang w:eastAsia="en-US"/>
              </w:rPr>
              <w:t>РП</w:t>
            </w:r>
            <w:r w:rsidRPr="001333B2">
              <w:rPr>
                <w:rFonts w:ascii="Garamond" w:eastAsia="Calibri" w:hAnsi="Garamond" w:cs="Times New Roman"/>
                <w:bCs/>
                <w:sz w:val="22"/>
                <w:szCs w:val="22"/>
                <w:lang w:eastAsia="en-US"/>
              </w:rPr>
              <w:t>-0,4 кВ Дома читателей</w:t>
            </w:r>
          </w:p>
        </w:tc>
        <w:tc>
          <w:tcPr>
            <w:tcW w:w="2835" w:type="dxa"/>
            <w:shd w:val="clear" w:color="auto" w:fill="FFFFFF"/>
            <w:vAlign w:val="center"/>
          </w:tcPr>
          <w:p w14:paraId="5B22756A" w14:textId="77777777" w:rsidR="001333B2" w:rsidRPr="001333B2" w:rsidRDefault="001333B2" w:rsidP="001333B2">
            <w:pPr>
              <w:suppressAutoHyphens w:val="0"/>
              <w:spacing w:line="259" w:lineRule="auto"/>
              <w:jc w:val="both"/>
              <w:rPr>
                <w:rFonts w:ascii="Garamond" w:eastAsia="Calibri" w:hAnsi="Garamond" w:cs="Times New Roman"/>
                <w:bCs/>
                <w:sz w:val="22"/>
                <w:szCs w:val="22"/>
                <w:lang w:eastAsia="en-US"/>
              </w:rPr>
            </w:pPr>
            <w:r w:rsidRPr="001333B2">
              <w:rPr>
                <w:rFonts w:ascii="Garamond" w:eastAsia="Calibri" w:hAnsi="Garamond" w:cs="Times New Roman"/>
                <w:bCs/>
                <w:sz w:val="22"/>
                <w:szCs w:val="22"/>
                <w:lang w:eastAsia="en-US"/>
              </w:rPr>
              <w:t>РУ-0,4 кВ, КЛ-0,4 кВ</w:t>
            </w:r>
          </w:p>
        </w:tc>
      </w:tr>
    </w:tbl>
    <w:p w14:paraId="0262AB30" w14:textId="77777777" w:rsidR="001333B2" w:rsidRPr="001333B2" w:rsidRDefault="001333B2" w:rsidP="001333B2">
      <w:pPr>
        <w:widowControl w:val="0"/>
        <w:tabs>
          <w:tab w:val="left" w:pos="1077"/>
        </w:tabs>
        <w:suppressAutoHyphens w:val="0"/>
        <w:spacing w:before="120" w:after="120"/>
        <w:ind w:firstLine="601"/>
        <w:jc w:val="both"/>
        <w:rPr>
          <w:rFonts w:ascii="Garamond" w:eastAsia="Calibri" w:hAnsi="Garamond" w:cs="Times New Roman"/>
          <w:bCs/>
          <w:sz w:val="22"/>
          <w:szCs w:val="22"/>
          <w:lang w:eastAsia="en-US"/>
        </w:rPr>
      </w:pPr>
      <w:r w:rsidRPr="001333B2">
        <w:rPr>
          <w:rFonts w:ascii="Garamond" w:eastAsia="Calibri" w:hAnsi="Garamond" w:cs="Times New Roman"/>
          <w:bCs/>
          <w:sz w:val="22"/>
          <w:szCs w:val="22"/>
          <w:lang w:eastAsia="en-US"/>
        </w:rPr>
        <w:t>Приведенные примеры наименований точек присоединения не являются исчерпывающими.</w:t>
      </w:r>
    </w:p>
    <w:p w14:paraId="1E4E09D6" w14:textId="2BD6125C" w:rsidR="001333B2" w:rsidRPr="001333B2" w:rsidRDefault="000C73CB" w:rsidP="001333B2">
      <w:pPr>
        <w:keepNext/>
        <w:tabs>
          <w:tab w:val="left" w:pos="851"/>
        </w:tabs>
        <w:suppressAutoHyphens w:val="0"/>
        <w:spacing w:before="120" w:after="120"/>
        <w:ind w:firstLine="601"/>
        <w:jc w:val="both"/>
        <w:outlineLvl w:val="0"/>
        <w:rPr>
          <w:rFonts w:ascii="Garamond" w:eastAsia="Times New Roman" w:hAnsi="Garamond" w:cs="Arial"/>
          <w:b/>
          <w:bCs/>
          <w:sz w:val="22"/>
        </w:rPr>
      </w:pPr>
      <w:r>
        <w:rPr>
          <w:rFonts w:ascii="Garamond" w:eastAsia="Times New Roman" w:hAnsi="Garamond" w:cs="Arial"/>
          <w:b/>
          <w:bCs/>
          <w:sz w:val="22"/>
        </w:rPr>
        <w:t xml:space="preserve">3. </w:t>
      </w:r>
      <w:r w:rsidR="001333B2" w:rsidRPr="001333B2">
        <w:rPr>
          <w:rFonts w:ascii="Garamond" w:eastAsia="Times New Roman" w:hAnsi="Garamond" w:cs="Arial"/>
          <w:b/>
          <w:bCs/>
          <w:sz w:val="22"/>
        </w:rPr>
        <w:t>Правила присвоения наименований точкам измерений</w:t>
      </w:r>
    </w:p>
    <w:p w14:paraId="32DC0F77" w14:textId="77777777" w:rsidR="001333B2" w:rsidRPr="001333B2" w:rsidRDefault="001333B2" w:rsidP="001333B2">
      <w:pPr>
        <w:widowControl w:val="0"/>
        <w:tabs>
          <w:tab w:val="left" w:pos="1077"/>
        </w:tabs>
        <w:suppressAutoHyphens w:val="0"/>
        <w:spacing w:before="120" w:after="120"/>
        <w:ind w:firstLine="601"/>
        <w:jc w:val="both"/>
        <w:rPr>
          <w:rFonts w:ascii="Garamond" w:eastAsia="Calibri" w:hAnsi="Garamond" w:cs="Times New Roman"/>
          <w:b/>
          <w:bCs/>
          <w:sz w:val="22"/>
          <w:szCs w:val="22"/>
          <w:lang w:eastAsia="en-US"/>
        </w:rPr>
      </w:pPr>
      <w:r w:rsidRPr="001333B2">
        <w:rPr>
          <w:rFonts w:ascii="Garamond" w:eastAsia="Calibri" w:hAnsi="Garamond" w:cs="Times New Roman"/>
          <w:bCs/>
          <w:sz w:val="22"/>
          <w:szCs w:val="22"/>
          <w:lang w:eastAsia="en-US"/>
        </w:rPr>
        <w:t>Присвоение наименований точкам измерений соответствует правилам присвоения наименований точкам присоединения, указанным в п. 2 настоящего приложения.</w:t>
      </w:r>
    </w:p>
    <w:p w14:paraId="3F4A25F7" w14:textId="77777777" w:rsidR="001333B2" w:rsidRPr="001333B2" w:rsidRDefault="001333B2" w:rsidP="001333B2">
      <w:pPr>
        <w:widowControl w:val="0"/>
        <w:tabs>
          <w:tab w:val="left" w:pos="1077"/>
        </w:tabs>
        <w:suppressAutoHyphens w:val="0"/>
        <w:spacing w:before="120" w:after="120"/>
        <w:ind w:firstLine="601"/>
        <w:jc w:val="both"/>
        <w:rPr>
          <w:rFonts w:ascii="Garamond" w:eastAsia="Calibri" w:hAnsi="Garamond" w:cs="Times New Roman"/>
          <w:bCs/>
          <w:sz w:val="22"/>
          <w:szCs w:val="22"/>
          <w:lang w:eastAsia="en-US"/>
        </w:rPr>
      </w:pPr>
      <w:r w:rsidRPr="001333B2">
        <w:rPr>
          <w:rFonts w:ascii="Garamond" w:eastAsia="Calibri" w:hAnsi="Garamond" w:cs="Times New Roman"/>
          <w:bCs/>
          <w:sz w:val="22"/>
          <w:szCs w:val="22"/>
          <w:lang w:eastAsia="en-US"/>
        </w:rPr>
        <w:t>В случае если несколько точек измерений соответствуют одной точке присоединения, то наименование обязательно приводится для каждой точки измерений.</w:t>
      </w:r>
    </w:p>
    <w:p w14:paraId="1A9F577D" w14:textId="77777777" w:rsidR="001333B2" w:rsidRPr="001333B2" w:rsidRDefault="001333B2" w:rsidP="001333B2">
      <w:pPr>
        <w:widowControl w:val="0"/>
        <w:tabs>
          <w:tab w:val="left" w:pos="1077"/>
        </w:tabs>
        <w:suppressAutoHyphens w:val="0"/>
        <w:spacing w:before="120" w:after="120"/>
        <w:ind w:firstLine="601"/>
        <w:jc w:val="both"/>
        <w:rPr>
          <w:rFonts w:ascii="Garamond" w:eastAsia="Calibri" w:hAnsi="Garamond" w:cs="Times New Roman"/>
          <w:bCs/>
          <w:sz w:val="22"/>
          <w:szCs w:val="22"/>
          <w:lang w:eastAsia="en-US"/>
        </w:rPr>
      </w:pPr>
      <w:r w:rsidRPr="001333B2">
        <w:rPr>
          <w:rFonts w:ascii="Garamond" w:eastAsia="Calibri" w:hAnsi="Garamond" w:cs="Times New Roman"/>
          <w:bCs/>
          <w:sz w:val="22"/>
          <w:szCs w:val="22"/>
          <w:lang w:eastAsia="en-US"/>
        </w:rPr>
        <w:t>В наименованиях точек измерений при указании номера ячейки допускается не указывать диспетчерское наименование присоединения.</w:t>
      </w:r>
    </w:p>
    <w:p w14:paraId="6DEC1952" w14:textId="77777777" w:rsidR="001333B2" w:rsidRPr="001333B2" w:rsidRDefault="001333B2" w:rsidP="001333B2">
      <w:pPr>
        <w:widowControl w:val="0"/>
        <w:tabs>
          <w:tab w:val="left" w:pos="1077"/>
        </w:tabs>
        <w:suppressAutoHyphens w:val="0"/>
        <w:spacing w:before="120" w:after="120"/>
        <w:ind w:firstLine="601"/>
        <w:jc w:val="both"/>
        <w:rPr>
          <w:rFonts w:ascii="Garamond" w:eastAsia="Calibri" w:hAnsi="Garamond" w:cs="Times New Roman"/>
          <w:bCs/>
          <w:sz w:val="22"/>
          <w:szCs w:val="22"/>
          <w:lang w:eastAsia="en-US"/>
        </w:rPr>
      </w:pPr>
      <w:r w:rsidRPr="001333B2">
        <w:rPr>
          <w:rFonts w:ascii="Garamond" w:eastAsia="Calibri" w:hAnsi="Garamond" w:cs="Times New Roman"/>
          <w:bCs/>
          <w:sz w:val="22"/>
          <w:szCs w:val="22"/>
          <w:lang w:eastAsia="en-US"/>
        </w:rPr>
        <w:t>Примеры наименований точек измерений, расположенных на подстанции и иной электроустановке выше 1,0 кВ:</w:t>
      </w:r>
    </w:p>
    <w:tbl>
      <w:tblPr>
        <w:tblW w:w="1006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7"/>
        <w:gridCol w:w="2552"/>
        <w:gridCol w:w="2268"/>
        <w:gridCol w:w="2268"/>
      </w:tblGrid>
      <w:tr w:rsidR="001333B2" w:rsidRPr="001333B2" w14:paraId="15BD66A1" w14:textId="77777777" w:rsidTr="0064152E">
        <w:trPr>
          <w:trHeight w:val="567"/>
        </w:trPr>
        <w:tc>
          <w:tcPr>
            <w:tcW w:w="2977" w:type="dxa"/>
            <w:vAlign w:val="center"/>
          </w:tcPr>
          <w:p w14:paraId="15944080" w14:textId="77777777" w:rsidR="001333B2" w:rsidRPr="001333B2" w:rsidRDefault="001333B2" w:rsidP="001333B2">
            <w:pPr>
              <w:suppressAutoHyphens w:val="0"/>
              <w:spacing w:line="259" w:lineRule="auto"/>
              <w:jc w:val="center"/>
              <w:rPr>
                <w:rFonts w:ascii="Garamond" w:eastAsia="Calibri" w:hAnsi="Garamond" w:cs="Times New Roman"/>
                <w:b/>
                <w:sz w:val="22"/>
                <w:szCs w:val="22"/>
                <w:lang w:eastAsia="en-US"/>
              </w:rPr>
            </w:pPr>
            <w:r w:rsidRPr="001333B2">
              <w:rPr>
                <w:rFonts w:ascii="Garamond" w:eastAsia="Calibri" w:hAnsi="Garamond" w:cs="Times New Roman"/>
                <w:b/>
                <w:sz w:val="22"/>
                <w:szCs w:val="22"/>
                <w:lang w:eastAsia="en-US"/>
              </w:rPr>
              <w:t>Наименование точки измерений</w:t>
            </w:r>
          </w:p>
        </w:tc>
        <w:tc>
          <w:tcPr>
            <w:tcW w:w="2552" w:type="dxa"/>
            <w:shd w:val="clear" w:color="auto" w:fill="auto"/>
            <w:vAlign w:val="center"/>
          </w:tcPr>
          <w:p w14:paraId="737B1C94" w14:textId="77777777" w:rsidR="001333B2" w:rsidRPr="001333B2" w:rsidRDefault="001333B2" w:rsidP="001333B2">
            <w:pPr>
              <w:suppressAutoHyphens w:val="0"/>
              <w:spacing w:line="259" w:lineRule="auto"/>
              <w:jc w:val="center"/>
              <w:rPr>
                <w:rFonts w:ascii="Garamond" w:eastAsia="Calibri" w:hAnsi="Garamond" w:cs="Times New Roman"/>
                <w:sz w:val="22"/>
                <w:szCs w:val="22"/>
                <w:lang w:eastAsia="en-US"/>
              </w:rPr>
            </w:pPr>
            <w:r w:rsidRPr="001333B2">
              <w:rPr>
                <w:rFonts w:ascii="Garamond" w:eastAsia="Calibri" w:hAnsi="Garamond" w:cs="Times New Roman"/>
                <w:b/>
                <w:sz w:val="22"/>
                <w:szCs w:val="22"/>
                <w:lang w:eastAsia="en-US"/>
              </w:rPr>
              <w:t>Наименование энергообъекта</w:t>
            </w:r>
          </w:p>
        </w:tc>
        <w:tc>
          <w:tcPr>
            <w:tcW w:w="2268" w:type="dxa"/>
            <w:shd w:val="clear" w:color="auto" w:fill="auto"/>
            <w:vAlign w:val="center"/>
          </w:tcPr>
          <w:p w14:paraId="55044ECD" w14:textId="77777777" w:rsidR="001333B2" w:rsidRPr="001333B2" w:rsidRDefault="001333B2" w:rsidP="001333B2">
            <w:pPr>
              <w:suppressAutoHyphens w:val="0"/>
              <w:spacing w:line="259" w:lineRule="auto"/>
              <w:jc w:val="center"/>
              <w:rPr>
                <w:rFonts w:ascii="Garamond" w:eastAsia="Calibri" w:hAnsi="Garamond" w:cs="Times New Roman"/>
                <w:sz w:val="22"/>
                <w:szCs w:val="22"/>
                <w:lang w:eastAsia="en-US"/>
              </w:rPr>
            </w:pPr>
            <w:r w:rsidRPr="001333B2">
              <w:rPr>
                <w:rFonts w:ascii="Garamond" w:eastAsia="Calibri" w:hAnsi="Garamond" w:cs="Times New Roman"/>
                <w:b/>
                <w:sz w:val="22"/>
                <w:szCs w:val="22"/>
                <w:lang w:eastAsia="en-US"/>
              </w:rPr>
              <w:t>Описание месторасположения</w:t>
            </w:r>
          </w:p>
        </w:tc>
        <w:tc>
          <w:tcPr>
            <w:tcW w:w="2268" w:type="dxa"/>
            <w:shd w:val="clear" w:color="auto" w:fill="auto"/>
            <w:vAlign w:val="center"/>
          </w:tcPr>
          <w:p w14:paraId="21500430" w14:textId="77777777" w:rsidR="001333B2" w:rsidRPr="001333B2" w:rsidRDefault="001333B2" w:rsidP="001333B2">
            <w:pPr>
              <w:suppressAutoHyphens w:val="0"/>
              <w:spacing w:line="259" w:lineRule="auto"/>
              <w:jc w:val="center"/>
              <w:rPr>
                <w:rFonts w:ascii="Garamond" w:eastAsia="Calibri" w:hAnsi="Garamond" w:cs="Times New Roman"/>
                <w:sz w:val="22"/>
                <w:szCs w:val="22"/>
                <w:lang w:eastAsia="en-US"/>
              </w:rPr>
            </w:pPr>
            <w:r w:rsidRPr="001333B2">
              <w:rPr>
                <w:rFonts w:ascii="Garamond" w:eastAsia="Calibri" w:hAnsi="Garamond" w:cs="Times New Roman"/>
                <w:b/>
                <w:sz w:val="22"/>
                <w:szCs w:val="22"/>
                <w:lang w:eastAsia="en-US"/>
              </w:rPr>
              <w:t>Наименование присоединения</w:t>
            </w:r>
          </w:p>
        </w:tc>
      </w:tr>
      <w:tr w:rsidR="001333B2" w:rsidRPr="001333B2" w14:paraId="251BD164" w14:textId="77777777" w:rsidTr="0064152E">
        <w:trPr>
          <w:trHeight w:val="567"/>
        </w:trPr>
        <w:tc>
          <w:tcPr>
            <w:tcW w:w="2977" w:type="dxa"/>
            <w:vAlign w:val="center"/>
          </w:tcPr>
          <w:p w14:paraId="1E16E304" w14:textId="77777777" w:rsidR="001333B2" w:rsidRPr="001333B2" w:rsidRDefault="001333B2" w:rsidP="001333B2">
            <w:pPr>
              <w:suppressAutoHyphens w:val="0"/>
              <w:spacing w:line="259" w:lineRule="auto"/>
              <w:jc w:val="both"/>
              <w:rPr>
                <w:rFonts w:ascii="Garamond" w:eastAsia="Calibri" w:hAnsi="Garamond" w:cs="Calibri"/>
                <w:sz w:val="22"/>
                <w:szCs w:val="22"/>
                <w:lang w:eastAsia="en-US"/>
              </w:rPr>
            </w:pPr>
            <w:r w:rsidRPr="001333B2">
              <w:rPr>
                <w:rFonts w:ascii="Garamond" w:eastAsia="Calibri" w:hAnsi="Garamond" w:cs="Times New Roman"/>
                <w:bCs/>
                <w:sz w:val="22"/>
                <w:szCs w:val="22"/>
                <w:lang w:eastAsia="en-US"/>
              </w:rPr>
              <w:t xml:space="preserve">ПС 220 кВ НПС-30, ОРУ-220 кВ, Ввод 220 кВ Т-1 </w:t>
            </w:r>
          </w:p>
        </w:tc>
        <w:tc>
          <w:tcPr>
            <w:tcW w:w="2552" w:type="dxa"/>
            <w:shd w:val="clear" w:color="auto" w:fill="auto"/>
            <w:vAlign w:val="center"/>
          </w:tcPr>
          <w:p w14:paraId="6F0FD097" w14:textId="77777777" w:rsidR="001333B2" w:rsidRPr="001333B2" w:rsidRDefault="001333B2" w:rsidP="001333B2">
            <w:pPr>
              <w:suppressAutoHyphens w:val="0"/>
              <w:spacing w:line="259" w:lineRule="auto"/>
              <w:jc w:val="both"/>
              <w:rPr>
                <w:rFonts w:ascii="Garamond" w:eastAsia="Calibri" w:hAnsi="Garamond" w:cs="Calibri"/>
                <w:sz w:val="22"/>
                <w:szCs w:val="22"/>
                <w:lang w:eastAsia="en-US"/>
              </w:rPr>
            </w:pPr>
            <w:r w:rsidRPr="001333B2">
              <w:rPr>
                <w:rFonts w:ascii="Garamond" w:eastAsia="Calibri" w:hAnsi="Garamond" w:cs="Times New Roman"/>
                <w:bCs/>
                <w:sz w:val="22"/>
                <w:szCs w:val="22"/>
                <w:lang w:eastAsia="en-US"/>
              </w:rPr>
              <w:t>ПС 220 кВ НПС-30</w:t>
            </w:r>
          </w:p>
        </w:tc>
        <w:tc>
          <w:tcPr>
            <w:tcW w:w="2268" w:type="dxa"/>
            <w:shd w:val="clear" w:color="auto" w:fill="auto"/>
            <w:vAlign w:val="center"/>
          </w:tcPr>
          <w:p w14:paraId="4CC21D47" w14:textId="77777777" w:rsidR="001333B2" w:rsidRPr="001333B2" w:rsidRDefault="001333B2" w:rsidP="001333B2">
            <w:pPr>
              <w:suppressAutoHyphens w:val="0"/>
              <w:spacing w:line="259" w:lineRule="auto"/>
              <w:jc w:val="both"/>
              <w:rPr>
                <w:rFonts w:ascii="Garamond" w:eastAsia="Calibri" w:hAnsi="Garamond" w:cs="Calibri"/>
                <w:sz w:val="22"/>
                <w:szCs w:val="22"/>
                <w:lang w:eastAsia="en-US"/>
              </w:rPr>
            </w:pPr>
            <w:r w:rsidRPr="001333B2">
              <w:rPr>
                <w:rFonts w:ascii="Garamond" w:eastAsia="Calibri" w:hAnsi="Garamond" w:cs="Times New Roman"/>
                <w:bCs/>
                <w:sz w:val="22"/>
                <w:szCs w:val="22"/>
                <w:lang w:eastAsia="en-US"/>
              </w:rPr>
              <w:t>ОРУ-220 кВ</w:t>
            </w:r>
          </w:p>
        </w:tc>
        <w:tc>
          <w:tcPr>
            <w:tcW w:w="2268" w:type="dxa"/>
            <w:shd w:val="clear" w:color="auto" w:fill="auto"/>
            <w:vAlign w:val="center"/>
          </w:tcPr>
          <w:p w14:paraId="4DEA0056" w14:textId="77777777" w:rsidR="001333B2" w:rsidRPr="001333B2" w:rsidRDefault="001333B2" w:rsidP="001333B2">
            <w:pPr>
              <w:suppressAutoHyphens w:val="0"/>
              <w:spacing w:line="259" w:lineRule="auto"/>
              <w:jc w:val="both"/>
              <w:rPr>
                <w:rFonts w:ascii="Garamond" w:eastAsia="Calibri" w:hAnsi="Garamond" w:cs="Calibri"/>
                <w:sz w:val="22"/>
                <w:szCs w:val="22"/>
                <w:lang w:eastAsia="en-US"/>
              </w:rPr>
            </w:pPr>
            <w:r w:rsidRPr="001333B2">
              <w:rPr>
                <w:rFonts w:ascii="Garamond" w:eastAsia="Calibri" w:hAnsi="Garamond" w:cs="Times New Roman"/>
                <w:bCs/>
                <w:sz w:val="22"/>
                <w:szCs w:val="22"/>
                <w:lang w:eastAsia="en-US"/>
              </w:rPr>
              <w:t xml:space="preserve">Ввод 220 кВ Т-1 </w:t>
            </w:r>
          </w:p>
        </w:tc>
      </w:tr>
      <w:tr w:rsidR="001333B2" w:rsidRPr="001333B2" w14:paraId="146C4118" w14:textId="77777777" w:rsidTr="0064152E">
        <w:trPr>
          <w:trHeight w:val="567"/>
        </w:trPr>
        <w:tc>
          <w:tcPr>
            <w:tcW w:w="2977" w:type="dxa"/>
            <w:vAlign w:val="center"/>
          </w:tcPr>
          <w:p w14:paraId="373C9D41" w14:textId="77777777" w:rsidR="001333B2" w:rsidRPr="001333B2" w:rsidRDefault="001333B2" w:rsidP="001333B2">
            <w:pPr>
              <w:suppressAutoHyphens w:val="0"/>
              <w:spacing w:line="259" w:lineRule="auto"/>
              <w:jc w:val="both"/>
              <w:rPr>
                <w:rFonts w:ascii="Garamond" w:eastAsia="Calibri" w:hAnsi="Garamond" w:cs="Calibri"/>
                <w:sz w:val="22"/>
                <w:szCs w:val="22"/>
                <w:lang w:eastAsia="en-US"/>
              </w:rPr>
            </w:pPr>
            <w:r w:rsidRPr="001333B2">
              <w:rPr>
                <w:rFonts w:ascii="Garamond" w:eastAsia="Calibri" w:hAnsi="Garamond" w:cs="Times New Roman"/>
                <w:bCs/>
                <w:sz w:val="22"/>
                <w:szCs w:val="22"/>
                <w:lang w:eastAsia="en-US"/>
              </w:rPr>
              <w:t>ТП-2 6 кВ, РУ-0,4 кВ, яч. 5, КЛ-0,4 кВ</w:t>
            </w:r>
          </w:p>
        </w:tc>
        <w:tc>
          <w:tcPr>
            <w:tcW w:w="2552" w:type="dxa"/>
            <w:shd w:val="clear" w:color="auto" w:fill="auto"/>
            <w:vAlign w:val="center"/>
          </w:tcPr>
          <w:p w14:paraId="2B699BBC" w14:textId="77777777" w:rsidR="001333B2" w:rsidRPr="001333B2" w:rsidRDefault="001333B2" w:rsidP="001333B2">
            <w:pPr>
              <w:suppressAutoHyphens w:val="0"/>
              <w:spacing w:line="259" w:lineRule="auto"/>
              <w:jc w:val="both"/>
              <w:rPr>
                <w:rFonts w:ascii="Garamond" w:eastAsia="Calibri" w:hAnsi="Garamond" w:cs="Calibri"/>
                <w:sz w:val="22"/>
                <w:szCs w:val="22"/>
                <w:lang w:eastAsia="en-US"/>
              </w:rPr>
            </w:pPr>
            <w:r w:rsidRPr="001333B2">
              <w:rPr>
                <w:rFonts w:ascii="Garamond" w:eastAsia="Calibri" w:hAnsi="Garamond" w:cs="Times New Roman"/>
                <w:bCs/>
                <w:sz w:val="22"/>
                <w:szCs w:val="22"/>
                <w:lang w:eastAsia="en-US"/>
              </w:rPr>
              <w:t>ТП-2 6 кВ</w:t>
            </w:r>
          </w:p>
        </w:tc>
        <w:tc>
          <w:tcPr>
            <w:tcW w:w="2268" w:type="dxa"/>
            <w:shd w:val="clear" w:color="auto" w:fill="auto"/>
            <w:vAlign w:val="center"/>
          </w:tcPr>
          <w:p w14:paraId="0D883BF7" w14:textId="77777777" w:rsidR="001333B2" w:rsidRPr="001333B2" w:rsidRDefault="001333B2" w:rsidP="001333B2">
            <w:pPr>
              <w:suppressAutoHyphens w:val="0"/>
              <w:spacing w:line="259" w:lineRule="auto"/>
              <w:jc w:val="both"/>
              <w:rPr>
                <w:rFonts w:ascii="Garamond" w:eastAsia="Calibri" w:hAnsi="Garamond" w:cs="Calibri"/>
                <w:sz w:val="22"/>
                <w:szCs w:val="22"/>
                <w:lang w:eastAsia="en-US"/>
              </w:rPr>
            </w:pPr>
            <w:r w:rsidRPr="001333B2">
              <w:rPr>
                <w:rFonts w:ascii="Garamond" w:eastAsia="Calibri" w:hAnsi="Garamond" w:cs="Times New Roman"/>
                <w:bCs/>
                <w:sz w:val="22"/>
                <w:szCs w:val="22"/>
                <w:lang w:eastAsia="en-US"/>
              </w:rPr>
              <w:t>РУ-0,4 кВ, яч. 5</w:t>
            </w:r>
          </w:p>
        </w:tc>
        <w:tc>
          <w:tcPr>
            <w:tcW w:w="2268" w:type="dxa"/>
            <w:shd w:val="clear" w:color="auto" w:fill="auto"/>
            <w:vAlign w:val="center"/>
          </w:tcPr>
          <w:p w14:paraId="3E711CD7" w14:textId="77777777" w:rsidR="001333B2" w:rsidRPr="001333B2" w:rsidRDefault="001333B2" w:rsidP="001333B2">
            <w:pPr>
              <w:suppressAutoHyphens w:val="0"/>
              <w:spacing w:line="259" w:lineRule="auto"/>
              <w:jc w:val="both"/>
              <w:rPr>
                <w:rFonts w:ascii="Garamond" w:eastAsia="Calibri" w:hAnsi="Garamond" w:cs="Calibri"/>
                <w:sz w:val="22"/>
                <w:szCs w:val="22"/>
                <w:lang w:eastAsia="en-US"/>
              </w:rPr>
            </w:pPr>
            <w:r w:rsidRPr="001333B2">
              <w:rPr>
                <w:rFonts w:ascii="Garamond" w:eastAsia="Calibri" w:hAnsi="Garamond" w:cs="Times New Roman"/>
                <w:bCs/>
                <w:sz w:val="22"/>
                <w:szCs w:val="22"/>
                <w:lang w:eastAsia="en-US"/>
              </w:rPr>
              <w:t>КЛ-0,4 кВ</w:t>
            </w:r>
          </w:p>
        </w:tc>
      </w:tr>
      <w:tr w:rsidR="001333B2" w:rsidRPr="001333B2" w14:paraId="3052001E" w14:textId="77777777" w:rsidTr="0064152E">
        <w:trPr>
          <w:trHeight w:val="567"/>
        </w:trPr>
        <w:tc>
          <w:tcPr>
            <w:tcW w:w="2977" w:type="dxa"/>
            <w:vAlign w:val="center"/>
          </w:tcPr>
          <w:p w14:paraId="1809F928" w14:textId="77777777" w:rsidR="001333B2" w:rsidRPr="001333B2" w:rsidRDefault="001333B2" w:rsidP="001333B2">
            <w:pPr>
              <w:suppressAutoHyphens w:val="0"/>
              <w:spacing w:line="259" w:lineRule="auto"/>
              <w:jc w:val="both"/>
              <w:rPr>
                <w:rFonts w:ascii="Garamond" w:eastAsia="Calibri" w:hAnsi="Garamond" w:cs="Calibri"/>
                <w:sz w:val="22"/>
                <w:szCs w:val="22"/>
                <w:lang w:eastAsia="en-US"/>
              </w:rPr>
            </w:pPr>
            <w:r w:rsidRPr="001333B2">
              <w:rPr>
                <w:rFonts w:ascii="Garamond" w:eastAsia="Calibri" w:hAnsi="Garamond" w:cs="Times New Roman"/>
                <w:bCs/>
                <w:sz w:val="22"/>
                <w:szCs w:val="22"/>
                <w:lang w:eastAsia="en-US"/>
              </w:rPr>
              <w:t>ТП-22 6 кВ, РУ-0,4 кВ, ф. ПШО</w:t>
            </w:r>
          </w:p>
        </w:tc>
        <w:tc>
          <w:tcPr>
            <w:tcW w:w="2552" w:type="dxa"/>
            <w:shd w:val="clear" w:color="auto" w:fill="auto"/>
            <w:vAlign w:val="center"/>
          </w:tcPr>
          <w:p w14:paraId="51A8394A" w14:textId="77777777" w:rsidR="001333B2" w:rsidRPr="001333B2" w:rsidRDefault="001333B2" w:rsidP="001333B2">
            <w:pPr>
              <w:suppressAutoHyphens w:val="0"/>
              <w:spacing w:line="259" w:lineRule="auto"/>
              <w:jc w:val="both"/>
              <w:rPr>
                <w:rFonts w:ascii="Garamond" w:eastAsia="Calibri" w:hAnsi="Garamond" w:cs="Calibri"/>
                <w:sz w:val="22"/>
                <w:szCs w:val="22"/>
                <w:lang w:eastAsia="en-US"/>
              </w:rPr>
            </w:pPr>
            <w:r w:rsidRPr="001333B2">
              <w:rPr>
                <w:rFonts w:ascii="Garamond" w:eastAsia="Calibri" w:hAnsi="Garamond" w:cs="Times New Roman"/>
                <w:bCs/>
                <w:sz w:val="22"/>
                <w:szCs w:val="22"/>
                <w:lang w:eastAsia="en-US"/>
              </w:rPr>
              <w:t>ТП-22 6 кВ</w:t>
            </w:r>
          </w:p>
        </w:tc>
        <w:tc>
          <w:tcPr>
            <w:tcW w:w="2268" w:type="dxa"/>
            <w:shd w:val="clear" w:color="auto" w:fill="auto"/>
            <w:vAlign w:val="center"/>
          </w:tcPr>
          <w:p w14:paraId="3DAAA9D8" w14:textId="77777777" w:rsidR="001333B2" w:rsidRPr="001333B2" w:rsidRDefault="001333B2" w:rsidP="001333B2">
            <w:pPr>
              <w:suppressAutoHyphens w:val="0"/>
              <w:spacing w:line="259" w:lineRule="auto"/>
              <w:jc w:val="both"/>
              <w:rPr>
                <w:rFonts w:ascii="Garamond" w:eastAsia="Calibri" w:hAnsi="Garamond" w:cs="Calibri"/>
                <w:sz w:val="22"/>
                <w:szCs w:val="22"/>
                <w:lang w:eastAsia="en-US"/>
              </w:rPr>
            </w:pPr>
            <w:r w:rsidRPr="001333B2">
              <w:rPr>
                <w:rFonts w:ascii="Garamond" w:eastAsia="Calibri" w:hAnsi="Garamond" w:cs="Times New Roman"/>
                <w:bCs/>
                <w:sz w:val="22"/>
                <w:szCs w:val="22"/>
                <w:lang w:eastAsia="en-US"/>
              </w:rPr>
              <w:t>РУ-0,4 кВ</w:t>
            </w:r>
          </w:p>
        </w:tc>
        <w:tc>
          <w:tcPr>
            <w:tcW w:w="2268" w:type="dxa"/>
            <w:shd w:val="clear" w:color="auto" w:fill="auto"/>
            <w:vAlign w:val="center"/>
          </w:tcPr>
          <w:p w14:paraId="574294C4" w14:textId="77777777" w:rsidR="001333B2" w:rsidRPr="001333B2" w:rsidRDefault="001333B2" w:rsidP="001333B2">
            <w:pPr>
              <w:suppressAutoHyphens w:val="0"/>
              <w:spacing w:line="259" w:lineRule="auto"/>
              <w:jc w:val="both"/>
              <w:rPr>
                <w:rFonts w:ascii="Garamond" w:eastAsia="Calibri" w:hAnsi="Garamond" w:cs="Calibri"/>
                <w:sz w:val="22"/>
                <w:szCs w:val="22"/>
                <w:lang w:eastAsia="en-US"/>
              </w:rPr>
            </w:pPr>
            <w:r w:rsidRPr="001333B2">
              <w:rPr>
                <w:rFonts w:ascii="Garamond" w:eastAsia="Calibri" w:hAnsi="Garamond" w:cs="Times New Roman"/>
                <w:bCs/>
                <w:sz w:val="22"/>
                <w:szCs w:val="22"/>
                <w:lang w:eastAsia="en-US"/>
              </w:rPr>
              <w:t>ф. ПШО</w:t>
            </w:r>
          </w:p>
        </w:tc>
      </w:tr>
      <w:tr w:rsidR="001333B2" w:rsidRPr="001333B2" w14:paraId="2FF4E34D" w14:textId="77777777" w:rsidTr="0064152E">
        <w:trPr>
          <w:trHeight w:val="567"/>
        </w:trPr>
        <w:tc>
          <w:tcPr>
            <w:tcW w:w="2977" w:type="dxa"/>
            <w:vAlign w:val="center"/>
          </w:tcPr>
          <w:p w14:paraId="54DB3B5D" w14:textId="77777777" w:rsidR="001333B2" w:rsidRPr="001333B2" w:rsidRDefault="001333B2" w:rsidP="001333B2">
            <w:pPr>
              <w:suppressAutoHyphens w:val="0"/>
              <w:spacing w:line="259" w:lineRule="auto"/>
              <w:jc w:val="both"/>
              <w:rPr>
                <w:rFonts w:ascii="Garamond" w:eastAsia="Calibri" w:hAnsi="Garamond" w:cs="Calibri"/>
                <w:sz w:val="22"/>
                <w:szCs w:val="22"/>
                <w:lang w:eastAsia="en-US"/>
              </w:rPr>
            </w:pPr>
            <w:r w:rsidRPr="001333B2">
              <w:rPr>
                <w:rFonts w:ascii="Garamond" w:eastAsia="Calibri" w:hAnsi="Garamond" w:cs="Times New Roman"/>
                <w:bCs/>
                <w:sz w:val="22"/>
                <w:szCs w:val="22"/>
                <w:lang w:eastAsia="en-US"/>
              </w:rPr>
              <w:t>РП-6 кВ, 1 СШ 6 кВ, ввод 6 кВ</w:t>
            </w:r>
          </w:p>
        </w:tc>
        <w:tc>
          <w:tcPr>
            <w:tcW w:w="2552" w:type="dxa"/>
            <w:shd w:val="clear" w:color="auto" w:fill="auto"/>
            <w:vAlign w:val="center"/>
          </w:tcPr>
          <w:p w14:paraId="79814F06" w14:textId="77777777" w:rsidR="001333B2" w:rsidRPr="001333B2" w:rsidRDefault="001333B2" w:rsidP="001333B2">
            <w:pPr>
              <w:suppressAutoHyphens w:val="0"/>
              <w:spacing w:line="259" w:lineRule="auto"/>
              <w:jc w:val="both"/>
              <w:rPr>
                <w:rFonts w:ascii="Garamond" w:eastAsia="Calibri" w:hAnsi="Garamond" w:cs="Calibri"/>
                <w:sz w:val="22"/>
                <w:szCs w:val="22"/>
                <w:lang w:eastAsia="en-US"/>
              </w:rPr>
            </w:pPr>
            <w:r w:rsidRPr="001333B2">
              <w:rPr>
                <w:rFonts w:ascii="Garamond" w:eastAsia="Calibri" w:hAnsi="Garamond" w:cs="Times New Roman"/>
                <w:bCs/>
                <w:sz w:val="22"/>
                <w:szCs w:val="22"/>
                <w:lang w:eastAsia="en-US"/>
              </w:rPr>
              <w:t>РП-6 кВ</w:t>
            </w:r>
          </w:p>
        </w:tc>
        <w:tc>
          <w:tcPr>
            <w:tcW w:w="2268" w:type="dxa"/>
            <w:shd w:val="clear" w:color="auto" w:fill="auto"/>
            <w:vAlign w:val="center"/>
          </w:tcPr>
          <w:p w14:paraId="70C19D20" w14:textId="77777777" w:rsidR="001333B2" w:rsidRPr="001333B2" w:rsidRDefault="001333B2" w:rsidP="001333B2">
            <w:pPr>
              <w:suppressAutoHyphens w:val="0"/>
              <w:spacing w:line="259" w:lineRule="auto"/>
              <w:jc w:val="both"/>
              <w:rPr>
                <w:rFonts w:ascii="Garamond" w:eastAsia="Calibri" w:hAnsi="Garamond" w:cs="Calibri"/>
                <w:sz w:val="22"/>
                <w:szCs w:val="22"/>
                <w:lang w:eastAsia="en-US"/>
              </w:rPr>
            </w:pPr>
            <w:r w:rsidRPr="001333B2">
              <w:rPr>
                <w:rFonts w:ascii="Garamond" w:eastAsia="Calibri" w:hAnsi="Garamond" w:cs="Times New Roman"/>
                <w:bCs/>
                <w:sz w:val="22"/>
                <w:szCs w:val="22"/>
                <w:lang w:eastAsia="en-US"/>
              </w:rPr>
              <w:t>1 СШ 6 кВ</w:t>
            </w:r>
          </w:p>
        </w:tc>
        <w:tc>
          <w:tcPr>
            <w:tcW w:w="2268" w:type="dxa"/>
            <w:shd w:val="clear" w:color="auto" w:fill="auto"/>
            <w:vAlign w:val="center"/>
          </w:tcPr>
          <w:p w14:paraId="4EB5CFE2" w14:textId="77777777" w:rsidR="001333B2" w:rsidRPr="001333B2" w:rsidRDefault="001333B2" w:rsidP="001333B2">
            <w:pPr>
              <w:suppressAutoHyphens w:val="0"/>
              <w:spacing w:line="259" w:lineRule="auto"/>
              <w:jc w:val="both"/>
              <w:rPr>
                <w:rFonts w:ascii="Garamond" w:eastAsia="Calibri" w:hAnsi="Garamond" w:cs="Calibri"/>
                <w:sz w:val="22"/>
                <w:szCs w:val="22"/>
                <w:lang w:eastAsia="en-US"/>
              </w:rPr>
            </w:pPr>
            <w:r w:rsidRPr="001333B2">
              <w:rPr>
                <w:rFonts w:ascii="Garamond" w:eastAsia="Calibri" w:hAnsi="Garamond" w:cs="Times New Roman"/>
                <w:bCs/>
                <w:sz w:val="22"/>
                <w:szCs w:val="22"/>
                <w:lang w:eastAsia="en-US"/>
              </w:rPr>
              <w:t>ввод 6 кВ</w:t>
            </w:r>
          </w:p>
        </w:tc>
      </w:tr>
      <w:tr w:rsidR="001333B2" w:rsidRPr="001333B2" w14:paraId="27B1C9AA" w14:textId="77777777" w:rsidTr="0064152E">
        <w:trPr>
          <w:trHeight w:val="567"/>
        </w:trPr>
        <w:tc>
          <w:tcPr>
            <w:tcW w:w="2977" w:type="dxa"/>
            <w:vAlign w:val="center"/>
          </w:tcPr>
          <w:p w14:paraId="60C0BE6A" w14:textId="77777777" w:rsidR="001333B2" w:rsidRPr="001333B2" w:rsidRDefault="001333B2" w:rsidP="001333B2">
            <w:pPr>
              <w:suppressAutoHyphens w:val="0"/>
              <w:spacing w:line="259" w:lineRule="auto"/>
              <w:jc w:val="both"/>
              <w:rPr>
                <w:rFonts w:ascii="Garamond" w:eastAsia="Calibri" w:hAnsi="Garamond" w:cs="Times New Roman"/>
                <w:bCs/>
                <w:sz w:val="22"/>
                <w:szCs w:val="22"/>
                <w:lang w:eastAsia="en-US"/>
              </w:rPr>
            </w:pPr>
            <w:r w:rsidRPr="001333B2">
              <w:rPr>
                <w:rFonts w:ascii="Garamond" w:eastAsia="Calibri" w:hAnsi="Garamond" w:cs="Calibri"/>
                <w:sz w:val="22"/>
                <w:szCs w:val="22"/>
                <w:lang w:eastAsia="en-US"/>
              </w:rPr>
              <w:t>КРУН 6 кВ, 1 с.ш. 6 кВ, яч. 3, КЛ 6 кВ</w:t>
            </w:r>
          </w:p>
        </w:tc>
        <w:tc>
          <w:tcPr>
            <w:tcW w:w="2552" w:type="dxa"/>
            <w:shd w:val="clear" w:color="auto" w:fill="auto"/>
            <w:vAlign w:val="center"/>
          </w:tcPr>
          <w:p w14:paraId="5D55C03F" w14:textId="77777777" w:rsidR="001333B2" w:rsidRPr="001333B2" w:rsidRDefault="001333B2" w:rsidP="001333B2">
            <w:pPr>
              <w:suppressAutoHyphens w:val="0"/>
              <w:spacing w:line="259" w:lineRule="auto"/>
              <w:jc w:val="both"/>
              <w:rPr>
                <w:rFonts w:ascii="Garamond" w:eastAsia="Calibri" w:hAnsi="Garamond" w:cs="Times New Roman"/>
                <w:bCs/>
                <w:sz w:val="22"/>
                <w:szCs w:val="22"/>
                <w:lang w:eastAsia="en-US"/>
              </w:rPr>
            </w:pPr>
            <w:r w:rsidRPr="001333B2">
              <w:rPr>
                <w:rFonts w:ascii="Garamond" w:eastAsia="Calibri" w:hAnsi="Garamond" w:cs="Calibri"/>
                <w:sz w:val="22"/>
                <w:szCs w:val="22"/>
                <w:lang w:eastAsia="en-US"/>
              </w:rPr>
              <w:t>КРУН 6 кВ</w:t>
            </w:r>
          </w:p>
        </w:tc>
        <w:tc>
          <w:tcPr>
            <w:tcW w:w="2268" w:type="dxa"/>
            <w:shd w:val="clear" w:color="auto" w:fill="auto"/>
            <w:vAlign w:val="center"/>
          </w:tcPr>
          <w:p w14:paraId="3DBD25A0" w14:textId="77777777" w:rsidR="001333B2" w:rsidRPr="001333B2" w:rsidRDefault="001333B2" w:rsidP="001333B2">
            <w:pPr>
              <w:suppressAutoHyphens w:val="0"/>
              <w:spacing w:line="259" w:lineRule="auto"/>
              <w:jc w:val="both"/>
              <w:rPr>
                <w:rFonts w:ascii="Garamond" w:eastAsia="Calibri" w:hAnsi="Garamond" w:cs="Times New Roman"/>
                <w:bCs/>
                <w:sz w:val="22"/>
                <w:szCs w:val="22"/>
                <w:lang w:eastAsia="en-US"/>
              </w:rPr>
            </w:pPr>
            <w:r w:rsidRPr="001333B2">
              <w:rPr>
                <w:rFonts w:ascii="Garamond" w:eastAsia="Calibri" w:hAnsi="Garamond" w:cs="Calibri"/>
                <w:sz w:val="22"/>
                <w:szCs w:val="22"/>
                <w:lang w:eastAsia="en-US"/>
              </w:rPr>
              <w:t>1 с.ш. 6 кВ, яч. 3</w:t>
            </w:r>
          </w:p>
        </w:tc>
        <w:tc>
          <w:tcPr>
            <w:tcW w:w="2268" w:type="dxa"/>
            <w:shd w:val="clear" w:color="auto" w:fill="auto"/>
            <w:vAlign w:val="center"/>
          </w:tcPr>
          <w:p w14:paraId="1C5944D1" w14:textId="77777777" w:rsidR="001333B2" w:rsidRPr="001333B2" w:rsidRDefault="001333B2" w:rsidP="001333B2">
            <w:pPr>
              <w:suppressAutoHyphens w:val="0"/>
              <w:spacing w:line="259" w:lineRule="auto"/>
              <w:jc w:val="both"/>
              <w:rPr>
                <w:rFonts w:ascii="Garamond" w:eastAsia="Calibri" w:hAnsi="Garamond" w:cs="Times New Roman"/>
                <w:bCs/>
                <w:sz w:val="22"/>
                <w:szCs w:val="22"/>
                <w:lang w:eastAsia="en-US"/>
              </w:rPr>
            </w:pPr>
            <w:r w:rsidRPr="001333B2">
              <w:rPr>
                <w:rFonts w:ascii="Garamond" w:eastAsia="Calibri" w:hAnsi="Garamond" w:cs="Calibri"/>
                <w:sz w:val="22"/>
                <w:szCs w:val="22"/>
                <w:lang w:eastAsia="en-US"/>
              </w:rPr>
              <w:t>КЛ 6 кВ</w:t>
            </w:r>
          </w:p>
        </w:tc>
      </w:tr>
      <w:tr w:rsidR="001333B2" w:rsidRPr="001333B2" w14:paraId="2ABCF40F" w14:textId="77777777" w:rsidTr="0064152E">
        <w:trPr>
          <w:trHeight w:val="567"/>
        </w:trPr>
        <w:tc>
          <w:tcPr>
            <w:tcW w:w="2977" w:type="dxa"/>
            <w:vAlign w:val="center"/>
          </w:tcPr>
          <w:p w14:paraId="6A923A06" w14:textId="77777777" w:rsidR="001333B2" w:rsidRPr="001333B2" w:rsidRDefault="001333B2" w:rsidP="001333B2">
            <w:pPr>
              <w:suppressAutoHyphens w:val="0"/>
              <w:spacing w:line="259" w:lineRule="auto"/>
              <w:jc w:val="both"/>
              <w:rPr>
                <w:rFonts w:ascii="Garamond" w:eastAsia="Calibri" w:hAnsi="Garamond" w:cs="Times New Roman"/>
                <w:bCs/>
                <w:sz w:val="22"/>
                <w:szCs w:val="22"/>
                <w:lang w:eastAsia="en-US"/>
              </w:rPr>
            </w:pPr>
            <w:r w:rsidRPr="001333B2">
              <w:rPr>
                <w:rFonts w:ascii="Garamond" w:eastAsia="Calibri" w:hAnsi="Garamond" w:cs="Times New Roman"/>
                <w:bCs/>
                <w:sz w:val="22"/>
                <w:szCs w:val="22"/>
                <w:lang w:eastAsia="en-US"/>
              </w:rPr>
              <w:t>РУ 10 кВ ПНС Сосна-3, яч. 15, КЛ 10 кВ</w:t>
            </w:r>
          </w:p>
        </w:tc>
        <w:tc>
          <w:tcPr>
            <w:tcW w:w="2552" w:type="dxa"/>
            <w:shd w:val="clear" w:color="auto" w:fill="auto"/>
            <w:vAlign w:val="center"/>
          </w:tcPr>
          <w:p w14:paraId="06C8EC06" w14:textId="77777777" w:rsidR="001333B2" w:rsidRPr="001333B2" w:rsidRDefault="001333B2" w:rsidP="001333B2">
            <w:pPr>
              <w:suppressAutoHyphens w:val="0"/>
              <w:spacing w:line="259" w:lineRule="auto"/>
              <w:jc w:val="both"/>
              <w:rPr>
                <w:rFonts w:ascii="Garamond" w:eastAsia="Calibri" w:hAnsi="Garamond" w:cs="Times New Roman"/>
                <w:bCs/>
                <w:sz w:val="22"/>
                <w:szCs w:val="22"/>
                <w:lang w:eastAsia="en-US"/>
              </w:rPr>
            </w:pPr>
            <w:r w:rsidRPr="001333B2">
              <w:rPr>
                <w:rFonts w:ascii="Garamond" w:eastAsia="Calibri" w:hAnsi="Garamond" w:cs="Times New Roman"/>
                <w:bCs/>
                <w:sz w:val="22"/>
                <w:szCs w:val="22"/>
                <w:lang w:eastAsia="en-US"/>
              </w:rPr>
              <w:t>РУ 10 кВ ПНС Сосна-3</w:t>
            </w:r>
          </w:p>
        </w:tc>
        <w:tc>
          <w:tcPr>
            <w:tcW w:w="2268" w:type="dxa"/>
            <w:shd w:val="clear" w:color="auto" w:fill="auto"/>
            <w:vAlign w:val="center"/>
          </w:tcPr>
          <w:p w14:paraId="65134E9C" w14:textId="77777777" w:rsidR="001333B2" w:rsidRPr="001333B2" w:rsidRDefault="001333B2" w:rsidP="001333B2">
            <w:pPr>
              <w:suppressAutoHyphens w:val="0"/>
              <w:spacing w:line="259" w:lineRule="auto"/>
              <w:jc w:val="both"/>
              <w:rPr>
                <w:rFonts w:ascii="Garamond" w:eastAsia="Calibri" w:hAnsi="Garamond" w:cs="Times New Roman"/>
                <w:bCs/>
                <w:sz w:val="22"/>
                <w:szCs w:val="22"/>
                <w:lang w:eastAsia="en-US"/>
              </w:rPr>
            </w:pPr>
            <w:r w:rsidRPr="001333B2">
              <w:rPr>
                <w:rFonts w:ascii="Garamond" w:eastAsia="Calibri" w:hAnsi="Garamond" w:cs="Times New Roman"/>
                <w:bCs/>
                <w:sz w:val="22"/>
                <w:szCs w:val="22"/>
                <w:lang w:eastAsia="en-US"/>
              </w:rPr>
              <w:t>яч. 15</w:t>
            </w:r>
          </w:p>
        </w:tc>
        <w:tc>
          <w:tcPr>
            <w:tcW w:w="2268" w:type="dxa"/>
            <w:shd w:val="clear" w:color="auto" w:fill="auto"/>
            <w:vAlign w:val="center"/>
          </w:tcPr>
          <w:p w14:paraId="30BBABDC" w14:textId="77777777" w:rsidR="001333B2" w:rsidRPr="001333B2" w:rsidRDefault="001333B2" w:rsidP="001333B2">
            <w:pPr>
              <w:suppressAutoHyphens w:val="0"/>
              <w:spacing w:line="259" w:lineRule="auto"/>
              <w:jc w:val="both"/>
              <w:rPr>
                <w:rFonts w:ascii="Garamond" w:eastAsia="Calibri" w:hAnsi="Garamond" w:cs="Times New Roman"/>
                <w:bCs/>
                <w:sz w:val="22"/>
                <w:szCs w:val="22"/>
                <w:lang w:eastAsia="en-US"/>
              </w:rPr>
            </w:pPr>
            <w:r w:rsidRPr="001333B2">
              <w:rPr>
                <w:rFonts w:ascii="Garamond" w:eastAsia="Calibri" w:hAnsi="Garamond" w:cs="Times New Roman"/>
                <w:bCs/>
                <w:sz w:val="22"/>
                <w:szCs w:val="22"/>
                <w:lang w:eastAsia="en-US"/>
              </w:rPr>
              <w:t>КЛ 10 кВ</w:t>
            </w:r>
          </w:p>
        </w:tc>
      </w:tr>
      <w:tr w:rsidR="001333B2" w:rsidRPr="001333B2" w14:paraId="48338D7D" w14:textId="77777777" w:rsidTr="0064152E">
        <w:trPr>
          <w:trHeight w:val="567"/>
        </w:trPr>
        <w:tc>
          <w:tcPr>
            <w:tcW w:w="2977" w:type="dxa"/>
            <w:vAlign w:val="center"/>
          </w:tcPr>
          <w:p w14:paraId="2DEBB4D3" w14:textId="77777777" w:rsidR="001333B2" w:rsidRPr="001333B2" w:rsidRDefault="001333B2" w:rsidP="001333B2">
            <w:pPr>
              <w:suppressAutoHyphens w:val="0"/>
              <w:spacing w:line="259" w:lineRule="auto"/>
              <w:jc w:val="both"/>
              <w:rPr>
                <w:rFonts w:ascii="Garamond" w:eastAsia="Calibri" w:hAnsi="Garamond" w:cs="Times New Roman"/>
                <w:bCs/>
                <w:sz w:val="22"/>
                <w:szCs w:val="22"/>
                <w:lang w:eastAsia="en-US"/>
              </w:rPr>
            </w:pPr>
            <w:r w:rsidRPr="001333B2">
              <w:rPr>
                <w:rFonts w:ascii="Garamond" w:eastAsia="Calibri" w:hAnsi="Garamond" w:cs="Calibri"/>
                <w:sz w:val="22"/>
                <w:szCs w:val="22"/>
                <w:lang w:eastAsia="en-US"/>
              </w:rPr>
              <w:t>ПП 6 кВ, ВЛ 6 кВ Ф-1</w:t>
            </w:r>
          </w:p>
        </w:tc>
        <w:tc>
          <w:tcPr>
            <w:tcW w:w="2552" w:type="dxa"/>
            <w:shd w:val="clear" w:color="auto" w:fill="auto"/>
            <w:vAlign w:val="center"/>
          </w:tcPr>
          <w:p w14:paraId="4684C02B" w14:textId="77777777" w:rsidR="001333B2" w:rsidRPr="001333B2" w:rsidRDefault="001333B2" w:rsidP="001333B2">
            <w:pPr>
              <w:suppressAutoHyphens w:val="0"/>
              <w:spacing w:line="259" w:lineRule="auto"/>
              <w:jc w:val="both"/>
              <w:rPr>
                <w:rFonts w:ascii="Garamond" w:eastAsia="Calibri" w:hAnsi="Garamond" w:cs="Times New Roman"/>
                <w:bCs/>
                <w:sz w:val="22"/>
                <w:szCs w:val="22"/>
                <w:lang w:eastAsia="en-US"/>
              </w:rPr>
            </w:pPr>
            <w:r w:rsidRPr="001333B2">
              <w:rPr>
                <w:rFonts w:ascii="Garamond" w:eastAsia="Calibri" w:hAnsi="Garamond" w:cs="Calibri"/>
                <w:sz w:val="22"/>
                <w:szCs w:val="22"/>
                <w:lang w:eastAsia="en-US"/>
              </w:rPr>
              <w:t>ПП 6 кВ</w:t>
            </w:r>
          </w:p>
        </w:tc>
        <w:tc>
          <w:tcPr>
            <w:tcW w:w="2268" w:type="dxa"/>
            <w:shd w:val="clear" w:color="auto" w:fill="auto"/>
            <w:vAlign w:val="center"/>
          </w:tcPr>
          <w:p w14:paraId="6DCD1054" w14:textId="77777777" w:rsidR="001333B2" w:rsidRPr="001333B2" w:rsidRDefault="001333B2" w:rsidP="001333B2">
            <w:pPr>
              <w:suppressAutoHyphens w:val="0"/>
              <w:spacing w:line="259" w:lineRule="auto"/>
              <w:jc w:val="center"/>
              <w:rPr>
                <w:rFonts w:ascii="Garamond" w:eastAsia="Calibri" w:hAnsi="Garamond" w:cs="Times New Roman"/>
                <w:bCs/>
                <w:sz w:val="22"/>
                <w:szCs w:val="22"/>
                <w:lang w:eastAsia="en-US"/>
              </w:rPr>
            </w:pPr>
            <w:r w:rsidRPr="001333B2">
              <w:rPr>
                <w:rFonts w:ascii="Garamond" w:eastAsia="Calibri" w:hAnsi="Garamond" w:cs="Times New Roman"/>
                <w:bCs/>
                <w:sz w:val="22"/>
                <w:szCs w:val="22"/>
                <w:lang w:eastAsia="en-US"/>
              </w:rPr>
              <w:t>–</w:t>
            </w:r>
          </w:p>
        </w:tc>
        <w:tc>
          <w:tcPr>
            <w:tcW w:w="2268" w:type="dxa"/>
            <w:shd w:val="clear" w:color="auto" w:fill="auto"/>
            <w:vAlign w:val="center"/>
          </w:tcPr>
          <w:p w14:paraId="6EF85721" w14:textId="77777777" w:rsidR="001333B2" w:rsidRPr="001333B2" w:rsidRDefault="001333B2" w:rsidP="001333B2">
            <w:pPr>
              <w:suppressAutoHyphens w:val="0"/>
              <w:spacing w:line="259" w:lineRule="auto"/>
              <w:jc w:val="both"/>
              <w:rPr>
                <w:rFonts w:ascii="Garamond" w:eastAsia="Calibri" w:hAnsi="Garamond" w:cs="Times New Roman"/>
                <w:bCs/>
                <w:sz w:val="22"/>
                <w:szCs w:val="22"/>
                <w:lang w:eastAsia="en-US"/>
              </w:rPr>
            </w:pPr>
            <w:r w:rsidRPr="001333B2">
              <w:rPr>
                <w:rFonts w:ascii="Garamond" w:eastAsia="Calibri" w:hAnsi="Garamond" w:cs="Calibri"/>
                <w:sz w:val="22"/>
                <w:szCs w:val="22"/>
                <w:lang w:eastAsia="en-US"/>
              </w:rPr>
              <w:t>ВЛ 6 кВ Ф-1</w:t>
            </w:r>
          </w:p>
        </w:tc>
      </w:tr>
      <w:tr w:rsidR="001333B2" w:rsidRPr="001333B2" w14:paraId="7DDA5E24" w14:textId="77777777" w:rsidTr="0064152E">
        <w:trPr>
          <w:trHeight w:val="567"/>
        </w:trPr>
        <w:tc>
          <w:tcPr>
            <w:tcW w:w="2977" w:type="dxa"/>
            <w:vAlign w:val="center"/>
          </w:tcPr>
          <w:p w14:paraId="7CC7E207" w14:textId="77777777" w:rsidR="001333B2" w:rsidRPr="001333B2" w:rsidRDefault="001333B2" w:rsidP="001333B2">
            <w:pPr>
              <w:suppressAutoHyphens w:val="0"/>
              <w:spacing w:line="259" w:lineRule="auto"/>
              <w:jc w:val="both"/>
              <w:rPr>
                <w:rFonts w:ascii="Garamond" w:eastAsia="Calibri" w:hAnsi="Garamond" w:cs="Times New Roman"/>
                <w:bCs/>
                <w:sz w:val="22"/>
                <w:szCs w:val="22"/>
                <w:lang w:eastAsia="en-US"/>
              </w:rPr>
            </w:pPr>
            <w:r w:rsidRPr="001333B2">
              <w:rPr>
                <w:rFonts w:ascii="Garamond" w:eastAsia="Calibri" w:hAnsi="Garamond" w:cs="Times New Roman"/>
                <w:bCs/>
                <w:sz w:val="22"/>
                <w:szCs w:val="22"/>
                <w:lang w:eastAsia="en-US"/>
              </w:rPr>
              <w:t>ЯКНО 10 кВ № 7, ВЛ-10 кВ № 881</w:t>
            </w:r>
          </w:p>
        </w:tc>
        <w:tc>
          <w:tcPr>
            <w:tcW w:w="2552" w:type="dxa"/>
            <w:shd w:val="clear" w:color="auto" w:fill="auto"/>
            <w:vAlign w:val="center"/>
          </w:tcPr>
          <w:p w14:paraId="1B371CC8" w14:textId="77777777" w:rsidR="001333B2" w:rsidRPr="001333B2" w:rsidRDefault="001333B2" w:rsidP="001333B2">
            <w:pPr>
              <w:suppressAutoHyphens w:val="0"/>
              <w:spacing w:line="259" w:lineRule="auto"/>
              <w:jc w:val="both"/>
              <w:rPr>
                <w:rFonts w:ascii="Garamond" w:eastAsia="Calibri" w:hAnsi="Garamond" w:cs="Times New Roman"/>
                <w:bCs/>
                <w:sz w:val="22"/>
                <w:szCs w:val="22"/>
                <w:lang w:eastAsia="en-US"/>
              </w:rPr>
            </w:pPr>
            <w:r w:rsidRPr="001333B2">
              <w:rPr>
                <w:rFonts w:ascii="Garamond" w:eastAsia="Calibri" w:hAnsi="Garamond" w:cs="Times New Roman"/>
                <w:bCs/>
                <w:sz w:val="22"/>
                <w:szCs w:val="22"/>
                <w:lang w:eastAsia="en-US"/>
              </w:rPr>
              <w:t>ЯКНО 10 кВ № 7</w:t>
            </w:r>
          </w:p>
        </w:tc>
        <w:tc>
          <w:tcPr>
            <w:tcW w:w="2268" w:type="dxa"/>
            <w:shd w:val="clear" w:color="auto" w:fill="auto"/>
            <w:vAlign w:val="center"/>
          </w:tcPr>
          <w:p w14:paraId="2C57F069" w14:textId="77777777" w:rsidR="001333B2" w:rsidRPr="001333B2" w:rsidRDefault="001333B2" w:rsidP="001333B2">
            <w:pPr>
              <w:suppressAutoHyphens w:val="0"/>
              <w:spacing w:line="259" w:lineRule="auto"/>
              <w:jc w:val="center"/>
              <w:rPr>
                <w:rFonts w:ascii="Garamond" w:eastAsia="Calibri" w:hAnsi="Garamond" w:cs="Times New Roman"/>
                <w:bCs/>
                <w:sz w:val="22"/>
                <w:szCs w:val="22"/>
                <w:lang w:eastAsia="en-US"/>
              </w:rPr>
            </w:pPr>
            <w:r w:rsidRPr="001333B2">
              <w:rPr>
                <w:rFonts w:ascii="Garamond" w:eastAsia="Calibri" w:hAnsi="Garamond" w:cs="Times New Roman"/>
                <w:bCs/>
                <w:sz w:val="22"/>
                <w:szCs w:val="22"/>
                <w:lang w:eastAsia="en-US"/>
              </w:rPr>
              <w:t>–</w:t>
            </w:r>
          </w:p>
        </w:tc>
        <w:tc>
          <w:tcPr>
            <w:tcW w:w="2268" w:type="dxa"/>
            <w:shd w:val="clear" w:color="auto" w:fill="auto"/>
            <w:vAlign w:val="center"/>
          </w:tcPr>
          <w:p w14:paraId="44AEB81F" w14:textId="77777777" w:rsidR="001333B2" w:rsidRPr="001333B2" w:rsidRDefault="001333B2" w:rsidP="001333B2">
            <w:pPr>
              <w:suppressAutoHyphens w:val="0"/>
              <w:spacing w:line="259" w:lineRule="auto"/>
              <w:jc w:val="both"/>
              <w:rPr>
                <w:rFonts w:ascii="Garamond" w:eastAsia="Calibri" w:hAnsi="Garamond" w:cs="Times New Roman"/>
                <w:bCs/>
                <w:sz w:val="22"/>
                <w:szCs w:val="22"/>
                <w:lang w:eastAsia="en-US"/>
              </w:rPr>
            </w:pPr>
            <w:r w:rsidRPr="001333B2">
              <w:rPr>
                <w:rFonts w:ascii="Garamond" w:eastAsia="Calibri" w:hAnsi="Garamond" w:cs="Times New Roman"/>
                <w:bCs/>
                <w:sz w:val="22"/>
                <w:szCs w:val="22"/>
                <w:lang w:eastAsia="en-US"/>
              </w:rPr>
              <w:t>ВЛ-10 кВ № 881</w:t>
            </w:r>
          </w:p>
        </w:tc>
      </w:tr>
      <w:tr w:rsidR="001333B2" w:rsidRPr="001333B2" w14:paraId="1BAE4148" w14:textId="77777777" w:rsidTr="0064152E">
        <w:trPr>
          <w:trHeight w:val="567"/>
        </w:trPr>
        <w:tc>
          <w:tcPr>
            <w:tcW w:w="2977" w:type="dxa"/>
            <w:vAlign w:val="center"/>
          </w:tcPr>
          <w:p w14:paraId="3D5A85F6" w14:textId="77777777" w:rsidR="001333B2" w:rsidRPr="001333B2" w:rsidRDefault="001333B2" w:rsidP="001333B2">
            <w:pPr>
              <w:suppressAutoHyphens w:val="0"/>
              <w:spacing w:line="259" w:lineRule="auto"/>
              <w:jc w:val="both"/>
              <w:rPr>
                <w:rFonts w:ascii="Garamond" w:eastAsia="Calibri" w:hAnsi="Garamond" w:cs="Times New Roman"/>
                <w:bCs/>
                <w:sz w:val="22"/>
                <w:szCs w:val="22"/>
                <w:lang w:eastAsia="en-US"/>
              </w:rPr>
            </w:pPr>
            <w:r w:rsidRPr="001333B2">
              <w:rPr>
                <w:rFonts w:ascii="Garamond" w:eastAsia="Calibri" w:hAnsi="Garamond" w:cs="Calibri"/>
                <w:sz w:val="22"/>
                <w:szCs w:val="22"/>
                <w:lang w:eastAsia="en-US"/>
              </w:rPr>
              <w:t>ВЛБ 10 кВ, отпайка ВЛ-10 кВ ф.12</w:t>
            </w:r>
          </w:p>
        </w:tc>
        <w:tc>
          <w:tcPr>
            <w:tcW w:w="2552" w:type="dxa"/>
            <w:shd w:val="clear" w:color="auto" w:fill="auto"/>
            <w:vAlign w:val="center"/>
          </w:tcPr>
          <w:p w14:paraId="54D20402" w14:textId="77777777" w:rsidR="001333B2" w:rsidRPr="001333B2" w:rsidRDefault="001333B2" w:rsidP="001333B2">
            <w:pPr>
              <w:suppressAutoHyphens w:val="0"/>
              <w:spacing w:line="259" w:lineRule="auto"/>
              <w:jc w:val="both"/>
              <w:rPr>
                <w:rFonts w:ascii="Garamond" w:eastAsia="Calibri" w:hAnsi="Garamond" w:cs="Times New Roman"/>
                <w:bCs/>
                <w:sz w:val="22"/>
                <w:szCs w:val="22"/>
                <w:lang w:eastAsia="en-US"/>
              </w:rPr>
            </w:pPr>
            <w:r w:rsidRPr="001333B2">
              <w:rPr>
                <w:rFonts w:ascii="Garamond" w:eastAsia="Calibri" w:hAnsi="Garamond" w:cs="Calibri"/>
                <w:sz w:val="22"/>
                <w:szCs w:val="22"/>
                <w:lang w:eastAsia="en-US"/>
              </w:rPr>
              <w:t>ВЛБ 10 кВ</w:t>
            </w:r>
          </w:p>
        </w:tc>
        <w:tc>
          <w:tcPr>
            <w:tcW w:w="2268" w:type="dxa"/>
            <w:shd w:val="clear" w:color="auto" w:fill="auto"/>
            <w:vAlign w:val="center"/>
          </w:tcPr>
          <w:p w14:paraId="17F0B22C" w14:textId="77777777" w:rsidR="001333B2" w:rsidRPr="001333B2" w:rsidRDefault="001333B2" w:rsidP="001333B2">
            <w:pPr>
              <w:suppressAutoHyphens w:val="0"/>
              <w:spacing w:line="259" w:lineRule="auto"/>
              <w:jc w:val="center"/>
              <w:rPr>
                <w:rFonts w:ascii="Garamond" w:eastAsia="Calibri" w:hAnsi="Garamond" w:cs="Times New Roman"/>
                <w:bCs/>
                <w:sz w:val="22"/>
                <w:szCs w:val="22"/>
                <w:lang w:eastAsia="en-US"/>
              </w:rPr>
            </w:pPr>
            <w:r w:rsidRPr="001333B2">
              <w:rPr>
                <w:rFonts w:ascii="Garamond" w:eastAsia="Calibri" w:hAnsi="Garamond" w:cs="Times New Roman"/>
                <w:bCs/>
                <w:sz w:val="22"/>
                <w:szCs w:val="22"/>
                <w:lang w:eastAsia="en-US"/>
              </w:rPr>
              <w:t>–</w:t>
            </w:r>
          </w:p>
        </w:tc>
        <w:tc>
          <w:tcPr>
            <w:tcW w:w="2268" w:type="dxa"/>
            <w:shd w:val="clear" w:color="auto" w:fill="auto"/>
            <w:vAlign w:val="center"/>
          </w:tcPr>
          <w:p w14:paraId="07EFF59D" w14:textId="77777777" w:rsidR="001333B2" w:rsidRPr="001333B2" w:rsidRDefault="001333B2" w:rsidP="001333B2">
            <w:pPr>
              <w:suppressAutoHyphens w:val="0"/>
              <w:spacing w:line="259" w:lineRule="auto"/>
              <w:jc w:val="both"/>
              <w:rPr>
                <w:rFonts w:ascii="Garamond" w:eastAsia="Calibri" w:hAnsi="Garamond" w:cs="Times New Roman"/>
                <w:bCs/>
                <w:sz w:val="22"/>
                <w:szCs w:val="22"/>
                <w:lang w:eastAsia="en-US"/>
              </w:rPr>
            </w:pPr>
            <w:r w:rsidRPr="001333B2">
              <w:rPr>
                <w:rFonts w:ascii="Garamond" w:eastAsia="Calibri" w:hAnsi="Garamond" w:cs="Calibri"/>
                <w:sz w:val="22"/>
                <w:szCs w:val="22"/>
                <w:lang w:eastAsia="en-US"/>
              </w:rPr>
              <w:t>отпайка ВЛ-10 кВ ф.12</w:t>
            </w:r>
          </w:p>
        </w:tc>
      </w:tr>
      <w:tr w:rsidR="001333B2" w:rsidRPr="001333B2" w14:paraId="6E296113" w14:textId="77777777" w:rsidTr="0064152E">
        <w:trPr>
          <w:trHeight w:val="567"/>
        </w:trPr>
        <w:tc>
          <w:tcPr>
            <w:tcW w:w="2977" w:type="dxa"/>
            <w:vAlign w:val="center"/>
          </w:tcPr>
          <w:p w14:paraId="070B384F" w14:textId="77777777" w:rsidR="001333B2" w:rsidRPr="001333B2" w:rsidRDefault="001333B2" w:rsidP="001333B2">
            <w:pPr>
              <w:suppressAutoHyphens w:val="0"/>
              <w:spacing w:line="259" w:lineRule="auto"/>
              <w:jc w:val="both"/>
              <w:rPr>
                <w:rFonts w:ascii="Garamond" w:eastAsia="Calibri" w:hAnsi="Garamond" w:cs="Times New Roman"/>
                <w:bCs/>
                <w:sz w:val="22"/>
                <w:szCs w:val="22"/>
                <w:lang w:eastAsia="en-US"/>
              </w:rPr>
            </w:pPr>
            <w:r w:rsidRPr="001333B2">
              <w:rPr>
                <w:rFonts w:ascii="Garamond" w:eastAsia="Calibri" w:hAnsi="Garamond" w:cs="Calibri"/>
                <w:sz w:val="22"/>
                <w:szCs w:val="22"/>
                <w:lang w:eastAsia="en-US"/>
              </w:rPr>
              <w:t>РВНО 6 кВ, КЛ 6 кВ ф. 10</w:t>
            </w:r>
          </w:p>
        </w:tc>
        <w:tc>
          <w:tcPr>
            <w:tcW w:w="2552" w:type="dxa"/>
            <w:shd w:val="clear" w:color="auto" w:fill="auto"/>
            <w:vAlign w:val="center"/>
          </w:tcPr>
          <w:p w14:paraId="547BD74F" w14:textId="77777777" w:rsidR="001333B2" w:rsidRPr="001333B2" w:rsidRDefault="001333B2" w:rsidP="001333B2">
            <w:pPr>
              <w:suppressAutoHyphens w:val="0"/>
              <w:spacing w:line="259" w:lineRule="auto"/>
              <w:jc w:val="both"/>
              <w:rPr>
                <w:rFonts w:ascii="Garamond" w:eastAsia="Calibri" w:hAnsi="Garamond" w:cs="Times New Roman"/>
                <w:bCs/>
                <w:sz w:val="22"/>
                <w:szCs w:val="22"/>
                <w:lang w:eastAsia="en-US"/>
              </w:rPr>
            </w:pPr>
            <w:r w:rsidRPr="001333B2">
              <w:rPr>
                <w:rFonts w:ascii="Garamond" w:eastAsia="Calibri" w:hAnsi="Garamond" w:cs="Calibri"/>
                <w:sz w:val="22"/>
                <w:szCs w:val="22"/>
                <w:lang w:eastAsia="en-US"/>
              </w:rPr>
              <w:t>РВНО 6 кВ</w:t>
            </w:r>
          </w:p>
        </w:tc>
        <w:tc>
          <w:tcPr>
            <w:tcW w:w="2268" w:type="dxa"/>
            <w:shd w:val="clear" w:color="auto" w:fill="auto"/>
            <w:vAlign w:val="center"/>
          </w:tcPr>
          <w:p w14:paraId="2DFFDCC6" w14:textId="77777777" w:rsidR="001333B2" w:rsidRPr="001333B2" w:rsidRDefault="001333B2" w:rsidP="001333B2">
            <w:pPr>
              <w:suppressAutoHyphens w:val="0"/>
              <w:spacing w:line="259" w:lineRule="auto"/>
              <w:jc w:val="center"/>
              <w:rPr>
                <w:rFonts w:ascii="Garamond" w:eastAsia="Calibri" w:hAnsi="Garamond" w:cs="Times New Roman"/>
                <w:bCs/>
                <w:sz w:val="22"/>
                <w:szCs w:val="22"/>
                <w:lang w:eastAsia="en-US"/>
              </w:rPr>
            </w:pPr>
            <w:r w:rsidRPr="001333B2">
              <w:rPr>
                <w:rFonts w:ascii="Garamond" w:eastAsia="Calibri" w:hAnsi="Garamond" w:cs="Times New Roman"/>
                <w:bCs/>
                <w:sz w:val="22"/>
                <w:szCs w:val="22"/>
                <w:lang w:eastAsia="en-US"/>
              </w:rPr>
              <w:t>–</w:t>
            </w:r>
          </w:p>
        </w:tc>
        <w:tc>
          <w:tcPr>
            <w:tcW w:w="2268" w:type="dxa"/>
            <w:shd w:val="clear" w:color="auto" w:fill="auto"/>
            <w:vAlign w:val="center"/>
          </w:tcPr>
          <w:p w14:paraId="4BC5610F" w14:textId="77777777" w:rsidR="001333B2" w:rsidRPr="001333B2" w:rsidRDefault="001333B2" w:rsidP="001333B2">
            <w:pPr>
              <w:suppressAutoHyphens w:val="0"/>
              <w:spacing w:line="259" w:lineRule="auto"/>
              <w:jc w:val="both"/>
              <w:rPr>
                <w:rFonts w:ascii="Garamond" w:eastAsia="Calibri" w:hAnsi="Garamond" w:cs="Times New Roman"/>
                <w:bCs/>
                <w:sz w:val="22"/>
                <w:szCs w:val="22"/>
                <w:lang w:eastAsia="en-US"/>
              </w:rPr>
            </w:pPr>
            <w:r w:rsidRPr="001333B2">
              <w:rPr>
                <w:rFonts w:ascii="Garamond" w:eastAsia="Calibri" w:hAnsi="Garamond" w:cs="Calibri"/>
                <w:sz w:val="22"/>
                <w:szCs w:val="22"/>
                <w:lang w:eastAsia="en-US"/>
              </w:rPr>
              <w:t>КЛ 6 кВ ф. 10</w:t>
            </w:r>
          </w:p>
        </w:tc>
      </w:tr>
    </w:tbl>
    <w:p w14:paraId="447E13EF" w14:textId="77777777" w:rsidR="001333B2" w:rsidRPr="001333B2" w:rsidRDefault="001333B2" w:rsidP="001333B2">
      <w:pPr>
        <w:widowControl w:val="0"/>
        <w:tabs>
          <w:tab w:val="left" w:pos="1077"/>
        </w:tabs>
        <w:suppressAutoHyphens w:val="0"/>
        <w:spacing w:before="120" w:after="120"/>
        <w:ind w:firstLine="601"/>
        <w:jc w:val="both"/>
        <w:rPr>
          <w:rFonts w:ascii="Garamond" w:eastAsia="Calibri" w:hAnsi="Garamond" w:cs="Times New Roman"/>
          <w:bCs/>
          <w:sz w:val="22"/>
          <w:szCs w:val="22"/>
          <w:lang w:eastAsia="en-US"/>
        </w:rPr>
      </w:pPr>
      <w:r w:rsidRPr="001333B2">
        <w:rPr>
          <w:rFonts w:ascii="Garamond" w:eastAsia="Calibri" w:hAnsi="Garamond" w:cs="Times New Roman"/>
          <w:bCs/>
          <w:sz w:val="22"/>
          <w:szCs w:val="22"/>
          <w:lang w:eastAsia="en-US"/>
        </w:rPr>
        <w:t>Приведенные примеры наименований точек измерений не являются исчерпывающими.</w:t>
      </w:r>
    </w:p>
    <w:p w14:paraId="33CF7F62" w14:textId="77777777" w:rsidR="001333B2" w:rsidRPr="001333B2" w:rsidRDefault="001333B2" w:rsidP="001333B2">
      <w:pPr>
        <w:widowControl w:val="0"/>
        <w:tabs>
          <w:tab w:val="left" w:pos="1077"/>
        </w:tabs>
        <w:suppressAutoHyphens w:val="0"/>
        <w:spacing w:before="120" w:after="120"/>
        <w:ind w:firstLine="601"/>
        <w:jc w:val="both"/>
        <w:rPr>
          <w:rFonts w:ascii="Garamond" w:eastAsia="Calibri" w:hAnsi="Garamond" w:cs="Times New Roman"/>
          <w:bCs/>
          <w:sz w:val="22"/>
          <w:szCs w:val="22"/>
          <w:lang w:eastAsia="en-US"/>
        </w:rPr>
      </w:pPr>
      <w:r w:rsidRPr="001333B2">
        <w:rPr>
          <w:rFonts w:ascii="Garamond" w:eastAsia="Calibri" w:hAnsi="Garamond" w:cs="Times New Roman"/>
          <w:bCs/>
          <w:sz w:val="22"/>
          <w:szCs w:val="22"/>
          <w:lang w:eastAsia="en-US"/>
        </w:rPr>
        <w:t>Примеры наименований точек измерений, расположенных на электростанции:</w:t>
      </w:r>
    </w:p>
    <w:tbl>
      <w:tblPr>
        <w:tblW w:w="1006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7"/>
        <w:gridCol w:w="2552"/>
        <w:gridCol w:w="2268"/>
        <w:gridCol w:w="2268"/>
      </w:tblGrid>
      <w:tr w:rsidR="001333B2" w:rsidRPr="001333B2" w14:paraId="6D92E237" w14:textId="77777777" w:rsidTr="0064152E">
        <w:trPr>
          <w:trHeight w:val="675"/>
        </w:trPr>
        <w:tc>
          <w:tcPr>
            <w:tcW w:w="2977" w:type="dxa"/>
            <w:vAlign w:val="center"/>
          </w:tcPr>
          <w:p w14:paraId="3A5697FC" w14:textId="77777777" w:rsidR="001333B2" w:rsidRPr="001333B2" w:rsidRDefault="001333B2" w:rsidP="001333B2">
            <w:pPr>
              <w:suppressAutoHyphens w:val="0"/>
              <w:spacing w:line="259" w:lineRule="auto"/>
              <w:jc w:val="center"/>
              <w:rPr>
                <w:rFonts w:ascii="Garamond" w:eastAsia="Calibri" w:hAnsi="Garamond" w:cs="Times New Roman"/>
                <w:b/>
                <w:sz w:val="22"/>
                <w:szCs w:val="22"/>
                <w:lang w:eastAsia="en-US"/>
              </w:rPr>
            </w:pPr>
            <w:r w:rsidRPr="001333B2">
              <w:rPr>
                <w:rFonts w:ascii="Garamond" w:eastAsia="Calibri" w:hAnsi="Garamond" w:cs="Times New Roman"/>
                <w:b/>
                <w:sz w:val="22"/>
                <w:szCs w:val="22"/>
                <w:lang w:eastAsia="en-US"/>
              </w:rPr>
              <w:t>Наименование точки измерений</w:t>
            </w:r>
          </w:p>
        </w:tc>
        <w:tc>
          <w:tcPr>
            <w:tcW w:w="2552" w:type="dxa"/>
            <w:shd w:val="clear" w:color="auto" w:fill="auto"/>
            <w:vAlign w:val="center"/>
          </w:tcPr>
          <w:p w14:paraId="27118008" w14:textId="77777777" w:rsidR="001333B2" w:rsidRPr="001333B2" w:rsidRDefault="001333B2" w:rsidP="001333B2">
            <w:pPr>
              <w:suppressAutoHyphens w:val="0"/>
              <w:spacing w:line="259" w:lineRule="auto"/>
              <w:jc w:val="center"/>
              <w:rPr>
                <w:rFonts w:ascii="Garamond" w:eastAsia="Calibri" w:hAnsi="Garamond" w:cs="Times New Roman"/>
                <w:b/>
                <w:sz w:val="22"/>
                <w:szCs w:val="22"/>
                <w:lang w:eastAsia="en-US"/>
              </w:rPr>
            </w:pPr>
            <w:r w:rsidRPr="001333B2">
              <w:rPr>
                <w:rFonts w:ascii="Garamond" w:eastAsia="Calibri" w:hAnsi="Garamond" w:cs="Times New Roman"/>
                <w:b/>
                <w:sz w:val="22"/>
                <w:szCs w:val="22"/>
                <w:lang w:eastAsia="en-US"/>
              </w:rPr>
              <w:t>Наименование энергообъекта</w:t>
            </w:r>
          </w:p>
        </w:tc>
        <w:tc>
          <w:tcPr>
            <w:tcW w:w="2268" w:type="dxa"/>
            <w:shd w:val="clear" w:color="auto" w:fill="auto"/>
            <w:vAlign w:val="center"/>
          </w:tcPr>
          <w:p w14:paraId="65697272" w14:textId="77777777" w:rsidR="001333B2" w:rsidRPr="001333B2" w:rsidRDefault="001333B2" w:rsidP="001333B2">
            <w:pPr>
              <w:suppressAutoHyphens w:val="0"/>
              <w:spacing w:line="259" w:lineRule="auto"/>
              <w:jc w:val="center"/>
              <w:rPr>
                <w:rFonts w:ascii="Garamond" w:eastAsia="Calibri" w:hAnsi="Garamond" w:cs="Times New Roman"/>
                <w:b/>
                <w:sz w:val="22"/>
                <w:szCs w:val="22"/>
                <w:lang w:eastAsia="en-US"/>
              </w:rPr>
            </w:pPr>
            <w:r w:rsidRPr="001333B2">
              <w:rPr>
                <w:rFonts w:ascii="Garamond" w:eastAsia="Calibri" w:hAnsi="Garamond" w:cs="Times New Roman"/>
                <w:b/>
                <w:sz w:val="22"/>
                <w:szCs w:val="22"/>
                <w:lang w:eastAsia="en-US"/>
              </w:rPr>
              <w:t>Описание месторасположения</w:t>
            </w:r>
          </w:p>
        </w:tc>
        <w:tc>
          <w:tcPr>
            <w:tcW w:w="2268" w:type="dxa"/>
            <w:shd w:val="clear" w:color="auto" w:fill="auto"/>
            <w:vAlign w:val="center"/>
          </w:tcPr>
          <w:p w14:paraId="19585A74" w14:textId="77777777" w:rsidR="001333B2" w:rsidRPr="001333B2" w:rsidRDefault="001333B2" w:rsidP="001333B2">
            <w:pPr>
              <w:suppressAutoHyphens w:val="0"/>
              <w:spacing w:line="259" w:lineRule="auto"/>
              <w:jc w:val="center"/>
              <w:rPr>
                <w:rFonts w:ascii="Garamond" w:eastAsia="Calibri" w:hAnsi="Garamond" w:cs="Times New Roman"/>
                <w:b/>
                <w:sz w:val="22"/>
                <w:szCs w:val="22"/>
                <w:lang w:eastAsia="en-US"/>
              </w:rPr>
            </w:pPr>
            <w:r w:rsidRPr="001333B2">
              <w:rPr>
                <w:rFonts w:ascii="Garamond" w:eastAsia="Calibri" w:hAnsi="Garamond" w:cs="Times New Roman"/>
                <w:b/>
                <w:sz w:val="22"/>
                <w:szCs w:val="22"/>
                <w:lang w:eastAsia="en-US"/>
              </w:rPr>
              <w:t>Наименование присоединения</w:t>
            </w:r>
          </w:p>
        </w:tc>
      </w:tr>
      <w:tr w:rsidR="001333B2" w:rsidRPr="001333B2" w14:paraId="4D55E244" w14:textId="77777777" w:rsidTr="0064152E">
        <w:trPr>
          <w:trHeight w:val="510"/>
        </w:trPr>
        <w:tc>
          <w:tcPr>
            <w:tcW w:w="2977" w:type="dxa"/>
            <w:vAlign w:val="center"/>
          </w:tcPr>
          <w:p w14:paraId="36FD3C29" w14:textId="77777777" w:rsidR="001333B2" w:rsidRPr="001333B2" w:rsidRDefault="001333B2" w:rsidP="001333B2">
            <w:pPr>
              <w:suppressAutoHyphens w:val="0"/>
              <w:spacing w:line="259" w:lineRule="auto"/>
              <w:jc w:val="center"/>
              <w:rPr>
                <w:rFonts w:ascii="Garamond" w:eastAsia="Calibri" w:hAnsi="Garamond" w:cs="Times New Roman"/>
                <w:sz w:val="22"/>
                <w:szCs w:val="22"/>
                <w:lang w:eastAsia="en-US"/>
              </w:rPr>
            </w:pPr>
            <w:r w:rsidRPr="001333B2">
              <w:rPr>
                <w:rFonts w:ascii="Garamond" w:eastAsia="Calibri" w:hAnsi="Garamond" w:cs="Times New Roman"/>
                <w:sz w:val="22"/>
                <w:szCs w:val="22"/>
                <w:lang w:eastAsia="en-US"/>
              </w:rPr>
              <w:lastRenderedPageBreak/>
              <w:t>Приморская ГРЭС, ОРУ-500 кВ, ввод 500 кВ 7АТ</w:t>
            </w:r>
          </w:p>
        </w:tc>
        <w:tc>
          <w:tcPr>
            <w:tcW w:w="2552" w:type="dxa"/>
            <w:shd w:val="clear" w:color="auto" w:fill="auto"/>
            <w:vAlign w:val="center"/>
          </w:tcPr>
          <w:p w14:paraId="2BF9C531" w14:textId="77777777" w:rsidR="001333B2" w:rsidRPr="001333B2" w:rsidRDefault="001333B2" w:rsidP="001333B2">
            <w:pPr>
              <w:suppressAutoHyphens w:val="0"/>
              <w:spacing w:line="259" w:lineRule="auto"/>
              <w:jc w:val="center"/>
              <w:rPr>
                <w:rFonts w:ascii="Garamond" w:eastAsia="Calibri" w:hAnsi="Garamond" w:cs="Times New Roman"/>
                <w:sz w:val="22"/>
                <w:szCs w:val="22"/>
                <w:lang w:eastAsia="en-US"/>
              </w:rPr>
            </w:pPr>
            <w:r w:rsidRPr="001333B2">
              <w:rPr>
                <w:rFonts w:ascii="Garamond" w:eastAsia="Calibri" w:hAnsi="Garamond" w:cs="Times New Roman"/>
                <w:sz w:val="22"/>
                <w:szCs w:val="22"/>
                <w:lang w:eastAsia="en-US"/>
              </w:rPr>
              <w:t>Приморская ГРЭС</w:t>
            </w:r>
          </w:p>
        </w:tc>
        <w:tc>
          <w:tcPr>
            <w:tcW w:w="2268" w:type="dxa"/>
            <w:shd w:val="clear" w:color="auto" w:fill="auto"/>
            <w:vAlign w:val="center"/>
          </w:tcPr>
          <w:p w14:paraId="280EA98A" w14:textId="77777777" w:rsidR="001333B2" w:rsidRPr="001333B2" w:rsidRDefault="001333B2" w:rsidP="001333B2">
            <w:pPr>
              <w:suppressAutoHyphens w:val="0"/>
              <w:spacing w:line="259" w:lineRule="auto"/>
              <w:jc w:val="center"/>
              <w:rPr>
                <w:rFonts w:ascii="Garamond" w:eastAsia="Calibri" w:hAnsi="Garamond" w:cs="Times New Roman"/>
                <w:sz w:val="22"/>
                <w:szCs w:val="22"/>
                <w:lang w:eastAsia="en-US"/>
              </w:rPr>
            </w:pPr>
            <w:r w:rsidRPr="001333B2">
              <w:rPr>
                <w:rFonts w:ascii="Garamond" w:eastAsia="Calibri" w:hAnsi="Garamond" w:cs="Times New Roman"/>
                <w:sz w:val="22"/>
                <w:szCs w:val="22"/>
                <w:lang w:eastAsia="en-US"/>
              </w:rPr>
              <w:t>ОРУ-500 кВ</w:t>
            </w:r>
          </w:p>
        </w:tc>
        <w:tc>
          <w:tcPr>
            <w:tcW w:w="2268" w:type="dxa"/>
            <w:shd w:val="clear" w:color="auto" w:fill="auto"/>
            <w:vAlign w:val="center"/>
          </w:tcPr>
          <w:p w14:paraId="558AEA93" w14:textId="77777777" w:rsidR="001333B2" w:rsidRPr="001333B2" w:rsidRDefault="001333B2" w:rsidP="001333B2">
            <w:pPr>
              <w:suppressAutoHyphens w:val="0"/>
              <w:spacing w:line="259" w:lineRule="auto"/>
              <w:jc w:val="center"/>
              <w:rPr>
                <w:rFonts w:ascii="Garamond" w:eastAsia="Calibri" w:hAnsi="Garamond" w:cs="Times New Roman"/>
                <w:sz w:val="22"/>
                <w:szCs w:val="22"/>
                <w:lang w:eastAsia="en-US"/>
              </w:rPr>
            </w:pPr>
            <w:r w:rsidRPr="001333B2">
              <w:rPr>
                <w:rFonts w:ascii="Garamond" w:eastAsia="Calibri" w:hAnsi="Garamond" w:cs="Times New Roman"/>
                <w:sz w:val="22"/>
                <w:szCs w:val="22"/>
                <w:lang w:eastAsia="en-US"/>
              </w:rPr>
              <w:t>ввод 500 кВ 7АТ</w:t>
            </w:r>
          </w:p>
        </w:tc>
      </w:tr>
      <w:tr w:rsidR="001333B2" w:rsidRPr="001333B2" w14:paraId="0DB377C6" w14:textId="77777777" w:rsidTr="0064152E">
        <w:trPr>
          <w:trHeight w:val="510"/>
        </w:trPr>
        <w:tc>
          <w:tcPr>
            <w:tcW w:w="2977" w:type="dxa"/>
            <w:vAlign w:val="center"/>
          </w:tcPr>
          <w:p w14:paraId="72D634E0" w14:textId="77777777" w:rsidR="001333B2" w:rsidRPr="001333B2" w:rsidRDefault="001333B2" w:rsidP="001333B2">
            <w:pPr>
              <w:suppressAutoHyphens w:val="0"/>
              <w:spacing w:line="259" w:lineRule="auto"/>
              <w:jc w:val="center"/>
              <w:rPr>
                <w:rFonts w:ascii="Garamond" w:eastAsia="Calibri" w:hAnsi="Garamond" w:cs="Times New Roman"/>
                <w:sz w:val="22"/>
                <w:szCs w:val="22"/>
                <w:lang w:eastAsia="en-US"/>
              </w:rPr>
            </w:pPr>
            <w:r w:rsidRPr="001333B2">
              <w:rPr>
                <w:rFonts w:ascii="Garamond" w:eastAsia="Calibri" w:hAnsi="Garamond" w:cs="Times New Roman"/>
                <w:sz w:val="22"/>
                <w:szCs w:val="22"/>
                <w:lang w:eastAsia="en-US"/>
              </w:rPr>
              <w:t>ТЭЦ-17, РУСН-0,4 кВ, пан. 13, КЛ 0,4 кВ ПМН Надежда-2</w:t>
            </w:r>
          </w:p>
        </w:tc>
        <w:tc>
          <w:tcPr>
            <w:tcW w:w="2552" w:type="dxa"/>
            <w:shd w:val="clear" w:color="auto" w:fill="auto"/>
            <w:vAlign w:val="center"/>
          </w:tcPr>
          <w:p w14:paraId="1EB75DFA" w14:textId="77777777" w:rsidR="001333B2" w:rsidRPr="001333B2" w:rsidRDefault="001333B2" w:rsidP="001333B2">
            <w:pPr>
              <w:suppressAutoHyphens w:val="0"/>
              <w:spacing w:line="259" w:lineRule="auto"/>
              <w:jc w:val="center"/>
              <w:rPr>
                <w:rFonts w:ascii="Garamond" w:eastAsia="Calibri" w:hAnsi="Garamond" w:cs="Times New Roman"/>
                <w:sz w:val="22"/>
                <w:szCs w:val="22"/>
                <w:lang w:eastAsia="en-US"/>
              </w:rPr>
            </w:pPr>
            <w:r w:rsidRPr="001333B2">
              <w:rPr>
                <w:rFonts w:ascii="Garamond" w:eastAsia="Calibri" w:hAnsi="Garamond" w:cs="Times New Roman"/>
                <w:sz w:val="22"/>
                <w:szCs w:val="22"/>
                <w:lang w:eastAsia="en-US"/>
              </w:rPr>
              <w:t>ТЭЦ-17</w:t>
            </w:r>
          </w:p>
        </w:tc>
        <w:tc>
          <w:tcPr>
            <w:tcW w:w="2268" w:type="dxa"/>
            <w:shd w:val="clear" w:color="auto" w:fill="auto"/>
            <w:vAlign w:val="center"/>
          </w:tcPr>
          <w:p w14:paraId="7B9D092C" w14:textId="77777777" w:rsidR="001333B2" w:rsidRPr="001333B2" w:rsidRDefault="001333B2" w:rsidP="001333B2">
            <w:pPr>
              <w:suppressAutoHyphens w:val="0"/>
              <w:spacing w:line="259" w:lineRule="auto"/>
              <w:jc w:val="center"/>
              <w:rPr>
                <w:rFonts w:ascii="Garamond" w:eastAsia="Calibri" w:hAnsi="Garamond" w:cs="Times New Roman"/>
                <w:sz w:val="22"/>
                <w:szCs w:val="22"/>
                <w:lang w:eastAsia="en-US"/>
              </w:rPr>
            </w:pPr>
            <w:r w:rsidRPr="001333B2">
              <w:rPr>
                <w:rFonts w:ascii="Garamond" w:eastAsia="Calibri" w:hAnsi="Garamond" w:cs="Times New Roman"/>
                <w:sz w:val="22"/>
                <w:szCs w:val="22"/>
                <w:lang w:eastAsia="en-US"/>
              </w:rPr>
              <w:t xml:space="preserve">РУСН-0,4 кВ, пан. 13 </w:t>
            </w:r>
          </w:p>
        </w:tc>
        <w:tc>
          <w:tcPr>
            <w:tcW w:w="2268" w:type="dxa"/>
            <w:shd w:val="clear" w:color="auto" w:fill="auto"/>
            <w:vAlign w:val="center"/>
          </w:tcPr>
          <w:p w14:paraId="5275D684" w14:textId="77777777" w:rsidR="001333B2" w:rsidRPr="001333B2" w:rsidRDefault="001333B2" w:rsidP="001333B2">
            <w:pPr>
              <w:suppressAutoHyphens w:val="0"/>
              <w:spacing w:line="259" w:lineRule="auto"/>
              <w:jc w:val="center"/>
              <w:rPr>
                <w:rFonts w:ascii="Garamond" w:eastAsia="Calibri" w:hAnsi="Garamond" w:cs="Times New Roman"/>
                <w:sz w:val="22"/>
                <w:szCs w:val="22"/>
                <w:lang w:eastAsia="en-US"/>
              </w:rPr>
            </w:pPr>
            <w:r w:rsidRPr="001333B2">
              <w:rPr>
                <w:rFonts w:ascii="Garamond" w:eastAsia="Calibri" w:hAnsi="Garamond" w:cs="Times New Roman"/>
                <w:sz w:val="22"/>
                <w:szCs w:val="22"/>
                <w:lang w:eastAsia="en-US"/>
              </w:rPr>
              <w:t>КЛ 0,4 кВ ПМН Надежда-2</w:t>
            </w:r>
          </w:p>
        </w:tc>
      </w:tr>
    </w:tbl>
    <w:p w14:paraId="39069709" w14:textId="77777777" w:rsidR="001333B2" w:rsidRPr="001333B2" w:rsidRDefault="001333B2" w:rsidP="001333B2">
      <w:pPr>
        <w:widowControl w:val="0"/>
        <w:tabs>
          <w:tab w:val="left" w:pos="1077"/>
        </w:tabs>
        <w:suppressAutoHyphens w:val="0"/>
        <w:spacing w:before="120" w:after="120"/>
        <w:ind w:firstLine="601"/>
        <w:jc w:val="both"/>
        <w:rPr>
          <w:rFonts w:ascii="Garamond" w:eastAsia="Calibri" w:hAnsi="Garamond" w:cs="Times New Roman"/>
          <w:bCs/>
          <w:sz w:val="22"/>
          <w:szCs w:val="22"/>
          <w:lang w:eastAsia="en-US"/>
        </w:rPr>
      </w:pPr>
      <w:r w:rsidRPr="001333B2">
        <w:rPr>
          <w:rFonts w:ascii="Garamond" w:eastAsia="Calibri" w:hAnsi="Garamond" w:cs="Times New Roman"/>
          <w:bCs/>
          <w:sz w:val="22"/>
          <w:szCs w:val="22"/>
          <w:lang w:eastAsia="en-US"/>
        </w:rPr>
        <w:t>Приведенные примеры наименований точек измерений не являются исчерпывающими.</w:t>
      </w:r>
    </w:p>
    <w:p w14:paraId="4CDCFF46" w14:textId="77777777" w:rsidR="001333B2" w:rsidRPr="001333B2" w:rsidRDefault="001333B2" w:rsidP="001333B2">
      <w:pPr>
        <w:widowControl w:val="0"/>
        <w:tabs>
          <w:tab w:val="left" w:pos="1077"/>
        </w:tabs>
        <w:suppressAutoHyphens w:val="0"/>
        <w:spacing w:before="120" w:after="120"/>
        <w:ind w:firstLine="601"/>
        <w:jc w:val="both"/>
        <w:rPr>
          <w:rFonts w:ascii="Garamond" w:eastAsia="Calibri" w:hAnsi="Garamond" w:cs="Times New Roman"/>
          <w:bCs/>
          <w:sz w:val="22"/>
          <w:szCs w:val="22"/>
          <w:lang w:eastAsia="en-US"/>
        </w:rPr>
      </w:pPr>
      <w:r w:rsidRPr="001333B2">
        <w:rPr>
          <w:rFonts w:ascii="Garamond" w:eastAsia="Calibri" w:hAnsi="Garamond" w:cs="Times New Roman"/>
          <w:bCs/>
          <w:sz w:val="22"/>
          <w:szCs w:val="22"/>
          <w:lang w:eastAsia="en-US"/>
        </w:rPr>
        <w:t>Примеры наименований точек измерений, расположенных на линии электропередачи:</w:t>
      </w:r>
    </w:p>
    <w:tbl>
      <w:tblPr>
        <w:tblW w:w="1006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7"/>
        <w:gridCol w:w="2552"/>
        <w:gridCol w:w="2268"/>
        <w:gridCol w:w="2268"/>
      </w:tblGrid>
      <w:tr w:rsidR="001333B2" w:rsidRPr="001333B2" w14:paraId="104ED588" w14:textId="77777777" w:rsidTr="0064152E">
        <w:trPr>
          <w:trHeight w:val="624"/>
        </w:trPr>
        <w:tc>
          <w:tcPr>
            <w:tcW w:w="2977" w:type="dxa"/>
            <w:vAlign w:val="center"/>
          </w:tcPr>
          <w:p w14:paraId="5539F373" w14:textId="77777777" w:rsidR="001333B2" w:rsidRPr="001333B2" w:rsidRDefault="001333B2" w:rsidP="001333B2">
            <w:pPr>
              <w:suppressAutoHyphens w:val="0"/>
              <w:spacing w:line="259" w:lineRule="auto"/>
              <w:jc w:val="center"/>
              <w:rPr>
                <w:rFonts w:ascii="Garamond" w:eastAsia="Calibri" w:hAnsi="Garamond" w:cs="Times New Roman"/>
                <w:b/>
                <w:sz w:val="22"/>
                <w:szCs w:val="22"/>
                <w:lang w:eastAsia="en-US"/>
              </w:rPr>
            </w:pPr>
            <w:r w:rsidRPr="001333B2">
              <w:rPr>
                <w:rFonts w:ascii="Garamond" w:eastAsia="Calibri" w:hAnsi="Garamond" w:cs="Times New Roman"/>
                <w:b/>
                <w:sz w:val="22"/>
                <w:szCs w:val="22"/>
                <w:lang w:eastAsia="en-US"/>
              </w:rPr>
              <w:t>Наименование точки измерений</w:t>
            </w:r>
          </w:p>
        </w:tc>
        <w:tc>
          <w:tcPr>
            <w:tcW w:w="2552" w:type="dxa"/>
            <w:shd w:val="clear" w:color="auto" w:fill="auto"/>
            <w:vAlign w:val="center"/>
          </w:tcPr>
          <w:p w14:paraId="2B3D6682" w14:textId="77777777" w:rsidR="001333B2" w:rsidRPr="001333B2" w:rsidRDefault="001333B2" w:rsidP="001333B2">
            <w:pPr>
              <w:suppressAutoHyphens w:val="0"/>
              <w:spacing w:line="259" w:lineRule="auto"/>
              <w:jc w:val="center"/>
              <w:rPr>
                <w:rFonts w:ascii="Garamond" w:eastAsia="Calibri" w:hAnsi="Garamond" w:cs="Times New Roman"/>
                <w:sz w:val="22"/>
                <w:szCs w:val="22"/>
                <w:lang w:eastAsia="en-US"/>
              </w:rPr>
            </w:pPr>
            <w:r w:rsidRPr="001333B2">
              <w:rPr>
                <w:rFonts w:ascii="Garamond" w:eastAsia="Calibri" w:hAnsi="Garamond" w:cs="Times New Roman"/>
                <w:b/>
                <w:sz w:val="22"/>
                <w:szCs w:val="22"/>
                <w:lang w:eastAsia="en-US"/>
              </w:rPr>
              <w:t>Наименование энергообъекта</w:t>
            </w:r>
          </w:p>
        </w:tc>
        <w:tc>
          <w:tcPr>
            <w:tcW w:w="2268" w:type="dxa"/>
            <w:shd w:val="clear" w:color="auto" w:fill="auto"/>
            <w:vAlign w:val="center"/>
          </w:tcPr>
          <w:p w14:paraId="6D9259FF" w14:textId="77777777" w:rsidR="001333B2" w:rsidRPr="001333B2" w:rsidRDefault="001333B2" w:rsidP="001333B2">
            <w:pPr>
              <w:suppressAutoHyphens w:val="0"/>
              <w:spacing w:line="259" w:lineRule="auto"/>
              <w:jc w:val="center"/>
              <w:rPr>
                <w:rFonts w:ascii="Garamond" w:eastAsia="Calibri" w:hAnsi="Garamond" w:cs="Times New Roman"/>
                <w:sz w:val="22"/>
                <w:szCs w:val="22"/>
                <w:lang w:eastAsia="en-US"/>
              </w:rPr>
            </w:pPr>
            <w:r w:rsidRPr="001333B2">
              <w:rPr>
                <w:rFonts w:ascii="Garamond" w:eastAsia="Calibri" w:hAnsi="Garamond" w:cs="Times New Roman"/>
                <w:b/>
                <w:sz w:val="22"/>
                <w:szCs w:val="22"/>
                <w:lang w:eastAsia="en-US"/>
              </w:rPr>
              <w:t>Описание месторасположения</w:t>
            </w:r>
          </w:p>
        </w:tc>
        <w:tc>
          <w:tcPr>
            <w:tcW w:w="2268" w:type="dxa"/>
            <w:shd w:val="clear" w:color="auto" w:fill="auto"/>
            <w:vAlign w:val="center"/>
          </w:tcPr>
          <w:p w14:paraId="22938480" w14:textId="77777777" w:rsidR="001333B2" w:rsidRPr="001333B2" w:rsidRDefault="001333B2" w:rsidP="001333B2">
            <w:pPr>
              <w:suppressAutoHyphens w:val="0"/>
              <w:spacing w:line="259" w:lineRule="auto"/>
              <w:jc w:val="center"/>
              <w:rPr>
                <w:rFonts w:ascii="Garamond" w:eastAsia="Calibri" w:hAnsi="Garamond" w:cs="Times New Roman"/>
                <w:sz w:val="22"/>
                <w:szCs w:val="22"/>
                <w:lang w:eastAsia="en-US"/>
              </w:rPr>
            </w:pPr>
            <w:r w:rsidRPr="001333B2">
              <w:rPr>
                <w:rFonts w:ascii="Garamond" w:eastAsia="Calibri" w:hAnsi="Garamond" w:cs="Times New Roman"/>
                <w:b/>
                <w:sz w:val="22"/>
                <w:szCs w:val="22"/>
                <w:lang w:eastAsia="en-US"/>
              </w:rPr>
              <w:t>Наименование присоединения</w:t>
            </w:r>
          </w:p>
        </w:tc>
      </w:tr>
      <w:tr w:rsidR="001333B2" w:rsidRPr="001333B2" w14:paraId="13021404" w14:textId="77777777" w:rsidTr="0064152E">
        <w:trPr>
          <w:trHeight w:val="794"/>
        </w:trPr>
        <w:tc>
          <w:tcPr>
            <w:tcW w:w="2977" w:type="dxa"/>
            <w:vAlign w:val="center"/>
          </w:tcPr>
          <w:p w14:paraId="3B626A45" w14:textId="77777777" w:rsidR="001333B2" w:rsidRPr="001333B2" w:rsidRDefault="001333B2" w:rsidP="001333B2">
            <w:pPr>
              <w:suppressAutoHyphens w:val="0"/>
              <w:spacing w:line="259" w:lineRule="auto"/>
              <w:jc w:val="both"/>
              <w:rPr>
                <w:rFonts w:ascii="Garamond" w:eastAsia="Calibri" w:hAnsi="Garamond" w:cs="Times New Roman"/>
                <w:bCs/>
                <w:sz w:val="22"/>
                <w:szCs w:val="22"/>
                <w:lang w:eastAsia="en-US"/>
              </w:rPr>
            </w:pPr>
            <w:r w:rsidRPr="001333B2">
              <w:rPr>
                <w:rFonts w:ascii="Garamond" w:eastAsia="Calibri" w:hAnsi="Garamond" w:cs="Times New Roman"/>
                <w:bCs/>
                <w:sz w:val="22"/>
                <w:szCs w:val="22"/>
                <w:lang w:eastAsia="en-US"/>
              </w:rPr>
              <w:t>ВЛ 6 кВ от яч. 5 ПС 35 кВ Зеленая, оп. № 2, отп. в сторону КТП-1</w:t>
            </w:r>
          </w:p>
        </w:tc>
        <w:tc>
          <w:tcPr>
            <w:tcW w:w="2552" w:type="dxa"/>
            <w:shd w:val="clear" w:color="auto" w:fill="auto"/>
            <w:vAlign w:val="center"/>
          </w:tcPr>
          <w:p w14:paraId="4993A4D2" w14:textId="77777777" w:rsidR="001333B2" w:rsidRPr="001333B2" w:rsidRDefault="001333B2" w:rsidP="001333B2">
            <w:pPr>
              <w:suppressAutoHyphens w:val="0"/>
              <w:spacing w:line="259" w:lineRule="auto"/>
              <w:jc w:val="both"/>
              <w:rPr>
                <w:rFonts w:ascii="Garamond" w:eastAsia="Calibri" w:hAnsi="Garamond" w:cs="Calibri"/>
                <w:sz w:val="22"/>
                <w:szCs w:val="22"/>
                <w:lang w:eastAsia="en-US"/>
              </w:rPr>
            </w:pPr>
            <w:r w:rsidRPr="001333B2">
              <w:rPr>
                <w:rFonts w:ascii="Garamond" w:eastAsia="Calibri" w:hAnsi="Garamond" w:cs="Times New Roman"/>
                <w:bCs/>
                <w:sz w:val="22"/>
                <w:szCs w:val="22"/>
                <w:lang w:eastAsia="en-US"/>
              </w:rPr>
              <w:t xml:space="preserve">ВЛ 6 кВ от яч. 5 ПС 35 кВ Зеленая </w:t>
            </w:r>
          </w:p>
        </w:tc>
        <w:tc>
          <w:tcPr>
            <w:tcW w:w="2268" w:type="dxa"/>
            <w:shd w:val="clear" w:color="auto" w:fill="auto"/>
            <w:vAlign w:val="center"/>
          </w:tcPr>
          <w:p w14:paraId="4026D844" w14:textId="77777777" w:rsidR="001333B2" w:rsidRPr="001333B2" w:rsidRDefault="001333B2" w:rsidP="001333B2">
            <w:pPr>
              <w:suppressAutoHyphens w:val="0"/>
              <w:spacing w:line="259" w:lineRule="auto"/>
              <w:jc w:val="both"/>
              <w:rPr>
                <w:rFonts w:ascii="Garamond" w:eastAsia="Calibri" w:hAnsi="Garamond" w:cs="Calibri"/>
                <w:sz w:val="22"/>
                <w:szCs w:val="22"/>
                <w:lang w:eastAsia="en-US"/>
              </w:rPr>
            </w:pPr>
            <w:r w:rsidRPr="001333B2">
              <w:rPr>
                <w:rFonts w:ascii="Garamond" w:eastAsia="Calibri" w:hAnsi="Garamond" w:cs="Times New Roman"/>
                <w:bCs/>
                <w:sz w:val="22"/>
                <w:szCs w:val="22"/>
                <w:lang w:eastAsia="en-US"/>
              </w:rPr>
              <w:t>оп. № 2</w:t>
            </w:r>
          </w:p>
        </w:tc>
        <w:tc>
          <w:tcPr>
            <w:tcW w:w="2268" w:type="dxa"/>
            <w:shd w:val="clear" w:color="auto" w:fill="auto"/>
            <w:vAlign w:val="center"/>
          </w:tcPr>
          <w:p w14:paraId="2D438996" w14:textId="77777777" w:rsidR="001333B2" w:rsidRPr="001333B2" w:rsidRDefault="001333B2" w:rsidP="001333B2">
            <w:pPr>
              <w:suppressAutoHyphens w:val="0"/>
              <w:spacing w:line="259" w:lineRule="auto"/>
              <w:jc w:val="both"/>
              <w:rPr>
                <w:rFonts w:ascii="Garamond" w:eastAsia="Calibri" w:hAnsi="Garamond" w:cs="Calibri"/>
                <w:sz w:val="22"/>
                <w:szCs w:val="22"/>
                <w:lang w:eastAsia="en-US"/>
              </w:rPr>
            </w:pPr>
            <w:r w:rsidRPr="001333B2">
              <w:rPr>
                <w:rFonts w:ascii="Garamond" w:eastAsia="Calibri" w:hAnsi="Garamond" w:cs="Times New Roman"/>
                <w:bCs/>
                <w:sz w:val="22"/>
                <w:szCs w:val="22"/>
                <w:lang w:eastAsia="en-US"/>
              </w:rPr>
              <w:t>отп. в сторону КТП-1</w:t>
            </w:r>
          </w:p>
        </w:tc>
      </w:tr>
      <w:tr w:rsidR="001333B2" w:rsidRPr="001333B2" w14:paraId="39514657" w14:textId="77777777" w:rsidTr="0064152E">
        <w:trPr>
          <w:trHeight w:val="794"/>
        </w:trPr>
        <w:tc>
          <w:tcPr>
            <w:tcW w:w="2977" w:type="dxa"/>
            <w:vAlign w:val="center"/>
          </w:tcPr>
          <w:p w14:paraId="51C68CBB" w14:textId="77777777" w:rsidR="001333B2" w:rsidRPr="001333B2" w:rsidRDefault="001333B2" w:rsidP="001333B2">
            <w:pPr>
              <w:suppressAutoHyphens w:val="0"/>
              <w:spacing w:line="259" w:lineRule="auto"/>
              <w:jc w:val="both"/>
              <w:rPr>
                <w:rFonts w:ascii="Garamond" w:eastAsia="Calibri" w:hAnsi="Garamond" w:cs="Calibri"/>
                <w:sz w:val="22"/>
                <w:szCs w:val="22"/>
                <w:lang w:eastAsia="en-US"/>
              </w:rPr>
            </w:pPr>
            <w:r w:rsidRPr="001333B2">
              <w:rPr>
                <w:rFonts w:ascii="Garamond" w:eastAsia="Calibri" w:hAnsi="Garamond" w:cs="Times New Roman"/>
                <w:bCs/>
                <w:sz w:val="22"/>
                <w:szCs w:val="22"/>
                <w:lang w:eastAsia="en-US"/>
              </w:rPr>
              <w:t>ВЛ 6 кВ Морская-Береговая, оп. 3</w:t>
            </w:r>
          </w:p>
        </w:tc>
        <w:tc>
          <w:tcPr>
            <w:tcW w:w="2552" w:type="dxa"/>
            <w:shd w:val="clear" w:color="auto" w:fill="auto"/>
            <w:vAlign w:val="center"/>
          </w:tcPr>
          <w:p w14:paraId="4911D360" w14:textId="77777777" w:rsidR="001333B2" w:rsidRPr="001333B2" w:rsidRDefault="001333B2" w:rsidP="001333B2">
            <w:pPr>
              <w:suppressAutoHyphens w:val="0"/>
              <w:spacing w:line="259" w:lineRule="auto"/>
              <w:jc w:val="both"/>
              <w:rPr>
                <w:rFonts w:ascii="Garamond" w:eastAsia="Calibri" w:hAnsi="Garamond" w:cs="Calibri"/>
                <w:sz w:val="22"/>
                <w:szCs w:val="22"/>
                <w:lang w:eastAsia="en-US"/>
              </w:rPr>
            </w:pPr>
            <w:r w:rsidRPr="001333B2">
              <w:rPr>
                <w:rFonts w:ascii="Garamond" w:eastAsia="Calibri" w:hAnsi="Garamond" w:cs="Times New Roman"/>
                <w:bCs/>
                <w:sz w:val="22"/>
                <w:szCs w:val="22"/>
                <w:lang w:eastAsia="en-US"/>
              </w:rPr>
              <w:t>ВЛ 6 кВ Морская-Береговая</w:t>
            </w:r>
          </w:p>
        </w:tc>
        <w:tc>
          <w:tcPr>
            <w:tcW w:w="2268" w:type="dxa"/>
            <w:shd w:val="clear" w:color="auto" w:fill="auto"/>
            <w:vAlign w:val="center"/>
          </w:tcPr>
          <w:p w14:paraId="4BE6E3DD" w14:textId="77777777" w:rsidR="001333B2" w:rsidRPr="001333B2" w:rsidRDefault="001333B2" w:rsidP="001333B2">
            <w:pPr>
              <w:suppressAutoHyphens w:val="0"/>
              <w:spacing w:line="259" w:lineRule="auto"/>
              <w:jc w:val="both"/>
              <w:rPr>
                <w:rFonts w:ascii="Garamond" w:eastAsia="Calibri" w:hAnsi="Garamond" w:cs="Calibri"/>
                <w:sz w:val="22"/>
                <w:szCs w:val="22"/>
                <w:lang w:eastAsia="en-US"/>
              </w:rPr>
            </w:pPr>
            <w:r w:rsidRPr="001333B2">
              <w:rPr>
                <w:rFonts w:ascii="Garamond" w:eastAsia="Calibri" w:hAnsi="Garamond" w:cs="Times New Roman"/>
                <w:bCs/>
                <w:sz w:val="22"/>
                <w:szCs w:val="22"/>
                <w:lang w:eastAsia="en-US"/>
              </w:rPr>
              <w:t>оп. 3</w:t>
            </w:r>
          </w:p>
        </w:tc>
        <w:tc>
          <w:tcPr>
            <w:tcW w:w="2268" w:type="dxa"/>
            <w:shd w:val="clear" w:color="auto" w:fill="auto"/>
            <w:vAlign w:val="center"/>
          </w:tcPr>
          <w:p w14:paraId="73C074E4" w14:textId="77777777" w:rsidR="001333B2" w:rsidRPr="001333B2" w:rsidRDefault="001333B2" w:rsidP="001333B2">
            <w:pPr>
              <w:suppressAutoHyphens w:val="0"/>
              <w:spacing w:line="259" w:lineRule="auto"/>
              <w:jc w:val="center"/>
              <w:rPr>
                <w:rFonts w:ascii="Garamond" w:eastAsia="Calibri" w:hAnsi="Garamond" w:cs="Calibri"/>
                <w:sz w:val="22"/>
                <w:szCs w:val="22"/>
                <w:lang w:eastAsia="en-US"/>
              </w:rPr>
            </w:pPr>
            <w:r w:rsidRPr="001333B2">
              <w:rPr>
                <w:rFonts w:ascii="Garamond" w:eastAsia="Calibri" w:hAnsi="Garamond" w:cs="Times New Roman"/>
                <w:bCs/>
                <w:sz w:val="22"/>
                <w:szCs w:val="22"/>
                <w:lang w:eastAsia="en-US"/>
              </w:rPr>
              <w:t>–</w:t>
            </w:r>
          </w:p>
        </w:tc>
      </w:tr>
      <w:tr w:rsidR="001333B2" w:rsidRPr="001333B2" w14:paraId="77F35990" w14:textId="77777777" w:rsidTr="0064152E">
        <w:trPr>
          <w:trHeight w:val="794"/>
        </w:trPr>
        <w:tc>
          <w:tcPr>
            <w:tcW w:w="2977" w:type="dxa"/>
            <w:vAlign w:val="center"/>
          </w:tcPr>
          <w:p w14:paraId="7E0446A7" w14:textId="77777777" w:rsidR="001333B2" w:rsidRPr="001333B2" w:rsidRDefault="001333B2" w:rsidP="001333B2">
            <w:pPr>
              <w:suppressAutoHyphens w:val="0"/>
              <w:spacing w:line="259" w:lineRule="auto"/>
              <w:jc w:val="both"/>
              <w:rPr>
                <w:rFonts w:ascii="Garamond" w:eastAsia="Calibri" w:hAnsi="Garamond" w:cs="Calibri"/>
                <w:sz w:val="22"/>
                <w:szCs w:val="22"/>
                <w:lang w:eastAsia="en-US"/>
              </w:rPr>
            </w:pPr>
            <w:r w:rsidRPr="001333B2">
              <w:rPr>
                <w:rFonts w:ascii="Garamond" w:eastAsia="Calibri" w:hAnsi="Garamond" w:cs="Times New Roman"/>
                <w:bCs/>
                <w:sz w:val="22"/>
                <w:szCs w:val="22"/>
                <w:lang w:eastAsia="en-US"/>
              </w:rPr>
              <w:t>ВЛ 6 кВ Александровская-1, ПКУ-6 кВ</w:t>
            </w:r>
          </w:p>
        </w:tc>
        <w:tc>
          <w:tcPr>
            <w:tcW w:w="2552" w:type="dxa"/>
            <w:shd w:val="clear" w:color="auto" w:fill="auto"/>
            <w:vAlign w:val="center"/>
          </w:tcPr>
          <w:p w14:paraId="051766B6" w14:textId="77777777" w:rsidR="001333B2" w:rsidRPr="001333B2" w:rsidRDefault="001333B2" w:rsidP="001333B2">
            <w:pPr>
              <w:suppressAutoHyphens w:val="0"/>
              <w:spacing w:line="259" w:lineRule="auto"/>
              <w:jc w:val="both"/>
              <w:rPr>
                <w:rFonts w:ascii="Garamond" w:eastAsia="Calibri" w:hAnsi="Garamond" w:cs="Calibri"/>
                <w:sz w:val="22"/>
                <w:szCs w:val="22"/>
                <w:lang w:eastAsia="en-US"/>
              </w:rPr>
            </w:pPr>
            <w:r w:rsidRPr="001333B2">
              <w:rPr>
                <w:rFonts w:ascii="Garamond" w:eastAsia="Calibri" w:hAnsi="Garamond" w:cs="Times New Roman"/>
                <w:bCs/>
                <w:sz w:val="22"/>
                <w:szCs w:val="22"/>
                <w:lang w:eastAsia="en-US"/>
              </w:rPr>
              <w:t>ВЛ 6 кВ Александровская-1</w:t>
            </w:r>
          </w:p>
        </w:tc>
        <w:tc>
          <w:tcPr>
            <w:tcW w:w="2268" w:type="dxa"/>
            <w:shd w:val="clear" w:color="auto" w:fill="auto"/>
            <w:vAlign w:val="center"/>
          </w:tcPr>
          <w:p w14:paraId="6DCC1946" w14:textId="77777777" w:rsidR="001333B2" w:rsidRPr="001333B2" w:rsidRDefault="001333B2" w:rsidP="001333B2">
            <w:pPr>
              <w:suppressAutoHyphens w:val="0"/>
              <w:spacing w:line="259" w:lineRule="auto"/>
              <w:jc w:val="center"/>
              <w:rPr>
                <w:rFonts w:ascii="Garamond" w:eastAsia="Calibri" w:hAnsi="Garamond" w:cs="Calibri"/>
                <w:sz w:val="22"/>
                <w:szCs w:val="22"/>
                <w:lang w:eastAsia="en-US"/>
              </w:rPr>
            </w:pPr>
            <w:r w:rsidRPr="001333B2">
              <w:rPr>
                <w:rFonts w:ascii="Garamond" w:eastAsia="Calibri" w:hAnsi="Garamond" w:cs="Times New Roman"/>
                <w:bCs/>
                <w:sz w:val="22"/>
                <w:szCs w:val="22"/>
                <w:lang w:eastAsia="en-US"/>
              </w:rPr>
              <w:t>–</w:t>
            </w:r>
          </w:p>
        </w:tc>
        <w:tc>
          <w:tcPr>
            <w:tcW w:w="2268" w:type="dxa"/>
            <w:shd w:val="clear" w:color="auto" w:fill="auto"/>
            <w:vAlign w:val="center"/>
          </w:tcPr>
          <w:p w14:paraId="49F2855F" w14:textId="77777777" w:rsidR="001333B2" w:rsidRPr="001333B2" w:rsidRDefault="001333B2" w:rsidP="001333B2">
            <w:pPr>
              <w:suppressAutoHyphens w:val="0"/>
              <w:spacing w:line="259" w:lineRule="auto"/>
              <w:jc w:val="both"/>
              <w:rPr>
                <w:rFonts w:ascii="Garamond" w:eastAsia="Calibri" w:hAnsi="Garamond" w:cs="Calibri"/>
                <w:sz w:val="22"/>
                <w:szCs w:val="22"/>
                <w:lang w:eastAsia="en-US"/>
              </w:rPr>
            </w:pPr>
            <w:r w:rsidRPr="001333B2">
              <w:rPr>
                <w:rFonts w:ascii="Garamond" w:eastAsia="Calibri" w:hAnsi="Garamond" w:cs="Times New Roman"/>
                <w:bCs/>
                <w:sz w:val="22"/>
                <w:szCs w:val="22"/>
                <w:lang w:eastAsia="en-US"/>
              </w:rPr>
              <w:t>ПКУ-6 кВ</w:t>
            </w:r>
          </w:p>
        </w:tc>
      </w:tr>
      <w:tr w:rsidR="001333B2" w:rsidRPr="001333B2" w14:paraId="3FDD44F2" w14:textId="77777777" w:rsidTr="0064152E">
        <w:trPr>
          <w:trHeight w:val="794"/>
        </w:trPr>
        <w:tc>
          <w:tcPr>
            <w:tcW w:w="2977" w:type="dxa"/>
            <w:vAlign w:val="center"/>
          </w:tcPr>
          <w:p w14:paraId="4DBFD12A" w14:textId="77777777" w:rsidR="001333B2" w:rsidRPr="001333B2" w:rsidRDefault="001333B2" w:rsidP="001333B2">
            <w:pPr>
              <w:suppressAutoHyphens w:val="0"/>
              <w:spacing w:line="259" w:lineRule="auto"/>
              <w:jc w:val="both"/>
              <w:rPr>
                <w:rFonts w:ascii="Garamond" w:eastAsia="Calibri" w:hAnsi="Garamond" w:cs="Calibri"/>
                <w:sz w:val="22"/>
                <w:szCs w:val="22"/>
                <w:lang w:eastAsia="en-US"/>
              </w:rPr>
            </w:pPr>
            <w:r w:rsidRPr="001333B2">
              <w:rPr>
                <w:rFonts w:ascii="Garamond" w:eastAsia="Calibri" w:hAnsi="Garamond" w:cs="Times New Roman"/>
                <w:bCs/>
                <w:sz w:val="22"/>
                <w:szCs w:val="22"/>
                <w:lang w:eastAsia="en-US"/>
              </w:rPr>
              <w:t>ВЛ 10 кВ Станционная, Реклоузер 10 кВ</w:t>
            </w:r>
          </w:p>
        </w:tc>
        <w:tc>
          <w:tcPr>
            <w:tcW w:w="2552" w:type="dxa"/>
            <w:shd w:val="clear" w:color="auto" w:fill="auto"/>
            <w:vAlign w:val="center"/>
          </w:tcPr>
          <w:p w14:paraId="52C808CE" w14:textId="77777777" w:rsidR="001333B2" w:rsidRPr="001333B2" w:rsidRDefault="001333B2" w:rsidP="001333B2">
            <w:pPr>
              <w:suppressAutoHyphens w:val="0"/>
              <w:spacing w:line="259" w:lineRule="auto"/>
              <w:jc w:val="both"/>
              <w:rPr>
                <w:rFonts w:ascii="Garamond" w:eastAsia="Calibri" w:hAnsi="Garamond" w:cs="Calibri"/>
                <w:sz w:val="22"/>
                <w:szCs w:val="22"/>
                <w:lang w:eastAsia="en-US"/>
              </w:rPr>
            </w:pPr>
            <w:r w:rsidRPr="001333B2">
              <w:rPr>
                <w:rFonts w:ascii="Garamond" w:eastAsia="Calibri" w:hAnsi="Garamond" w:cs="Times New Roman"/>
                <w:bCs/>
                <w:sz w:val="22"/>
                <w:szCs w:val="22"/>
                <w:lang w:eastAsia="en-US"/>
              </w:rPr>
              <w:t>ВЛ 10 кВ Станционная</w:t>
            </w:r>
          </w:p>
        </w:tc>
        <w:tc>
          <w:tcPr>
            <w:tcW w:w="2268" w:type="dxa"/>
            <w:shd w:val="clear" w:color="auto" w:fill="auto"/>
            <w:vAlign w:val="center"/>
          </w:tcPr>
          <w:p w14:paraId="5F06AACA" w14:textId="77777777" w:rsidR="001333B2" w:rsidRPr="001333B2" w:rsidRDefault="001333B2" w:rsidP="001333B2">
            <w:pPr>
              <w:suppressAutoHyphens w:val="0"/>
              <w:spacing w:line="259" w:lineRule="auto"/>
              <w:jc w:val="center"/>
              <w:rPr>
                <w:rFonts w:ascii="Garamond" w:eastAsia="Calibri" w:hAnsi="Garamond" w:cs="Calibri"/>
                <w:sz w:val="22"/>
                <w:szCs w:val="22"/>
                <w:lang w:eastAsia="en-US"/>
              </w:rPr>
            </w:pPr>
            <w:r w:rsidRPr="001333B2">
              <w:rPr>
                <w:rFonts w:ascii="Garamond" w:eastAsia="Calibri" w:hAnsi="Garamond" w:cs="Times New Roman"/>
                <w:bCs/>
                <w:sz w:val="22"/>
                <w:szCs w:val="22"/>
                <w:lang w:eastAsia="en-US"/>
              </w:rPr>
              <w:t>–</w:t>
            </w:r>
          </w:p>
        </w:tc>
        <w:tc>
          <w:tcPr>
            <w:tcW w:w="2268" w:type="dxa"/>
            <w:shd w:val="clear" w:color="auto" w:fill="auto"/>
            <w:vAlign w:val="center"/>
          </w:tcPr>
          <w:p w14:paraId="1DD2ED10" w14:textId="77777777" w:rsidR="001333B2" w:rsidRPr="001333B2" w:rsidRDefault="001333B2" w:rsidP="001333B2">
            <w:pPr>
              <w:suppressAutoHyphens w:val="0"/>
              <w:spacing w:line="259" w:lineRule="auto"/>
              <w:jc w:val="both"/>
              <w:rPr>
                <w:rFonts w:ascii="Garamond" w:eastAsia="Calibri" w:hAnsi="Garamond" w:cs="Calibri"/>
                <w:sz w:val="22"/>
                <w:szCs w:val="22"/>
                <w:lang w:eastAsia="en-US"/>
              </w:rPr>
            </w:pPr>
            <w:r w:rsidRPr="001333B2">
              <w:rPr>
                <w:rFonts w:ascii="Garamond" w:eastAsia="Calibri" w:hAnsi="Garamond" w:cs="Times New Roman"/>
                <w:bCs/>
                <w:sz w:val="22"/>
                <w:szCs w:val="22"/>
                <w:lang w:eastAsia="en-US"/>
              </w:rPr>
              <w:t>Реклоузер 10 кВ</w:t>
            </w:r>
          </w:p>
        </w:tc>
      </w:tr>
    </w:tbl>
    <w:p w14:paraId="26AAD25B" w14:textId="77777777" w:rsidR="001333B2" w:rsidRPr="001333B2" w:rsidRDefault="001333B2" w:rsidP="001333B2">
      <w:pPr>
        <w:widowControl w:val="0"/>
        <w:tabs>
          <w:tab w:val="left" w:pos="1077"/>
        </w:tabs>
        <w:suppressAutoHyphens w:val="0"/>
        <w:spacing w:before="120" w:after="120"/>
        <w:ind w:firstLine="601"/>
        <w:jc w:val="both"/>
        <w:rPr>
          <w:rFonts w:ascii="Garamond" w:eastAsia="Calibri" w:hAnsi="Garamond" w:cs="Times New Roman"/>
          <w:bCs/>
          <w:sz w:val="22"/>
          <w:szCs w:val="22"/>
          <w:lang w:eastAsia="en-US"/>
        </w:rPr>
      </w:pPr>
      <w:r w:rsidRPr="001333B2">
        <w:rPr>
          <w:rFonts w:ascii="Garamond" w:eastAsia="Calibri" w:hAnsi="Garamond" w:cs="Times New Roman"/>
          <w:bCs/>
          <w:sz w:val="22"/>
          <w:szCs w:val="22"/>
          <w:lang w:eastAsia="en-US"/>
        </w:rPr>
        <w:t>Приведенные примеры наименований точек измерений не являются исчерпывающими.</w:t>
      </w:r>
    </w:p>
    <w:p w14:paraId="0254A9C1" w14:textId="77777777" w:rsidR="001333B2" w:rsidRPr="001333B2" w:rsidRDefault="001333B2" w:rsidP="001333B2">
      <w:pPr>
        <w:widowControl w:val="0"/>
        <w:tabs>
          <w:tab w:val="left" w:pos="1077"/>
        </w:tabs>
        <w:suppressAutoHyphens w:val="0"/>
        <w:spacing w:before="120" w:after="120"/>
        <w:jc w:val="both"/>
        <w:rPr>
          <w:rFonts w:ascii="Garamond" w:eastAsia="Calibri" w:hAnsi="Garamond" w:cs="Times New Roman"/>
          <w:bCs/>
          <w:sz w:val="22"/>
          <w:szCs w:val="22"/>
          <w:lang w:eastAsia="en-US"/>
        </w:rPr>
        <w:sectPr w:rsidR="001333B2" w:rsidRPr="001333B2" w:rsidSect="0064152E">
          <w:pgSz w:w="11906" w:h="16838"/>
          <w:pgMar w:top="1134" w:right="851" w:bottom="1134" w:left="1588" w:header="709" w:footer="709" w:gutter="0"/>
          <w:cols w:space="708"/>
          <w:docGrid w:linePitch="360"/>
        </w:sectPr>
      </w:pPr>
    </w:p>
    <w:p w14:paraId="0501098A" w14:textId="77777777" w:rsidR="001333B2" w:rsidRPr="001333B2" w:rsidRDefault="001333B2" w:rsidP="001333B2">
      <w:pPr>
        <w:widowControl w:val="0"/>
        <w:tabs>
          <w:tab w:val="left" w:pos="1077"/>
        </w:tabs>
        <w:suppressAutoHyphens w:val="0"/>
        <w:spacing w:before="120"/>
        <w:jc w:val="center"/>
        <w:rPr>
          <w:rFonts w:ascii="Garamond" w:eastAsia="Calibri" w:hAnsi="Garamond" w:cs="Times New Roman"/>
          <w:bCs/>
          <w:sz w:val="22"/>
          <w:szCs w:val="22"/>
          <w:lang w:eastAsia="en-US"/>
        </w:rPr>
      </w:pPr>
      <w:r w:rsidRPr="001333B2">
        <w:rPr>
          <w:rFonts w:ascii="Garamond" w:eastAsia="Calibri" w:hAnsi="Garamond" w:cs="Times New Roman"/>
          <w:bCs/>
          <w:sz w:val="22"/>
          <w:szCs w:val="22"/>
          <w:lang w:eastAsia="en-US"/>
        </w:rPr>
        <w:lastRenderedPageBreak/>
        <w:t>4. Пример оформления однолинейных схем</w:t>
      </w:r>
    </w:p>
    <w:p w14:paraId="13D79DFF" w14:textId="77777777" w:rsidR="001333B2" w:rsidRPr="001333B2" w:rsidRDefault="001333B2" w:rsidP="001333B2">
      <w:pPr>
        <w:widowControl w:val="0"/>
        <w:tabs>
          <w:tab w:val="left" w:pos="1077"/>
        </w:tabs>
        <w:suppressAutoHyphens w:val="0"/>
        <w:spacing w:before="120" w:after="120"/>
        <w:jc w:val="both"/>
        <w:rPr>
          <w:rFonts w:ascii="Garamond" w:eastAsia="Calibri" w:hAnsi="Garamond" w:cs="Times New Roman"/>
          <w:bCs/>
          <w:sz w:val="22"/>
          <w:szCs w:val="22"/>
          <w:lang w:eastAsia="en-US"/>
        </w:rPr>
      </w:pPr>
      <w:r w:rsidRPr="001333B2">
        <w:rPr>
          <w:rFonts w:ascii="Garamond" w:eastAsia="Calibri" w:hAnsi="Garamond" w:cs="Times New Roman"/>
          <w:b/>
          <w:bCs/>
          <w:noProof/>
          <w:sz w:val="22"/>
          <w:szCs w:val="22"/>
        </w:rPr>
        <w:drawing>
          <wp:inline distT="0" distB="0" distL="0" distR="0" wp14:anchorId="2471D50D" wp14:editId="3E071835">
            <wp:extent cx="9125455" cy="5615940"/>
            <wp:effectExtent l="0" t="0" r="0" b="3810"/>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Схема Агрегатор 07.06.2023.bmp"/>
                    <pic:cNvPicPr/>
                  </pic:nvPicPr>
                  <pic:blipFill>
                    <a:blip r:embed="rId33">
                      <a:extLst>
                        <a:ext uri="{28A0092B-C50C-407E-A947-70E740481C1C}">
                          <a14:useLocalDpi xmlns:a14="http://schemas.microsoft.com/office/drawing/2010/main" val="0"/>
                        </a:ext>
                      </a:extLst>
                    </a:blip>
                    <a:stretch>
                      <a:fillRect/>
                    </a:stretch>
                  </pic:blipFill>
                  <pic:spPr>
                    <a:xfrm>
                      <a:off x="0" y="0"/>
                      <a:ext cx="9131555" cy="5619694"/>
                    </a:xfrm>
                    <a:prstGeom prst="rect">
                      <a:avLst/>
                    </a:prstGeom>
                  </pic:spPr>
                </pic:pic>
              </a:graphicData>
            </a:graphic>
          </wp:inline>
        </w:drawing>
      </w:r>
    </w:p>
    <w:p w14:paraId="51D50636" w14:textId="17CC3AD9" w:rsidR="001333B2" w:rsidRPr="001333B2" w:rsidRDefault="001333B2" w:rsidP="001333B2">
      <w:pPr>
        <w:widowControl w:val="0"/>
        <w:tabs>
          <w:tab w:val="left" w:pos="1077"/>
        </w:tabs>
        <w:suppressAutoHyphens w:val="0"/>
        <w:spacing w:before="120" w:after="120"/>
        <w:ind w:firstLine="601"/>
        <w:jc w:val="center"/>
        <w:rPr>
          <w:rFonts w:ascii="Garamond" w:eastAsia="Calibri" w:hAnsi="Garamond" w:cs="Times New Roman"/>
          <w:b/>
          <w:bCs/>
          <w:sz w:val="22"/>
          <w:szCs w:val="22"/>
          <w:lang w:eastAsia="en-US"/>
        </w:rPr>
      </w:pPr>
      <w:r w:rsidRPr="001333B2">
        <w:rPr>
          <w:rFonts w:ascii="Garamond" w:eastAsia="Calibri" w:hAnsi="Garamond" w:cs="Times New Roman"/>
          <w:b/>
          <w:bCs/>
          <w:sz w:val="22"/>
          <w:szCs w:val="22"/>
          <w:lang w:eastAsia="en-US"/>
        </w:rPr>
        <w:lastRenderedPageBreak/>
        <w:t>Примеры наименований точек присоединения и точек измерений для объекта регулирования потре</w:t>
      </w:r>
      <w:r w:rsidR="001043A6">
        <w:rPr>
          <w:rFonts w:ascii="Garamond" w:eastAsia="Calibri" w:hAnsi="Garamond" w:cs="Times New Roman"/>
          <w:b/>
          <w:bCs/>
          <w:sz w:val="22"/>
          <w:szCs w:val="22"/>
          <w:lang w:eastAsia="en-US"/>
        </w:rPr>
        <w:t>бления электрической энергии на </w:t>
      </w:r>
      <w:r w:rsidRPr="001333B2">
        <w:rPr>
          <w:rFonts w:ascii="Garamond" w:eastAsia="Calibri" w:hAnsi="Garamond" w:cs="Times New Roman"/>
          <w:b/>
          <w:bCs/>
          <w:sz w:val="22"/>
          <w:szCs w:val="22"/>
          <w:lang w:eastAsia="en-US"/>
        </w:rPr>
        <w:t>основании указанного примера оформления однолинейной схемы</w:t>
      </w:r>
    </w:p>
    <w:p w14:paraId="745C1440" w14:textId="77777777" w:rsidR="001333B2" w:rsidRPr="001333B2" w:rsidRDefault="001333B2" w:rsidP="001333B2">
      <w:pPr>
        <w:tabs>
          <w:tab w:val="left" w:pos="2835"/>
          <w:tab w:val="left" w:pos="6379"/>
        </w:tabs>
        <w:suppressAutoHyphens w:val="0"/>
        <w:spacing w:line="259" w:lineRule="auto"/>
        <w:ind w:right="111" w:firstLine="357"/>
        <w:jc w:val="right"/>
        <w:rPr>
          <w:rFonts w:ascii="Garamond" w:eastAsia="Calibri" w:hAnsi="Garamond" w:cs="Times New Roman"/>
          <w:sz w:val="22"/>
          <w:szCs w:val="22"/>
          <w:lang w:eastAsia="en-US"/>
        </w:rPr>
      </w:pPr>
      <w:r w:rsidRPr="001333B2">
        <w:rPr>
          <w:rFonts w:ascii="Garamond" w:eastAsia="Calibri" w:hAnsi="Garamond" w:cs="Times New Roman"/>
          <w:sz w:val="22"/>
          <w:szCs w:val="22"/>
          <w:lang w:eastAsia="en-US"/>
        </w:rPr>
        <w:t>Таблица 1. Примеры наименований точек присоединения</w:t>
      </w:r>
    </w:p>
    <w:tbl>
      <w:tblPr>
        <w:tblW w:w="156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21"/>
        <w:gridCol w:w="5862"/>
        <w:gridCol w:w="2126"/>
        <w:gridCol w:w="2977"/>
        <w:gridCol w:w="3472"/>
      </w:tblGrid>
      <w:tr w:rsidR="001333B2" w:rsidRPr="001333B2" w14:paraId="7E9A80DC" w14:textId="77777777" w:rsidTr="001A09D5">
        <w:trPr>
          <w:trHeight w:val="949"/>
          <w:jc w:val="center"/>
        </w:trPr>
        <w:tc>
          <w:tcPr>
            <w:tcW w:w="1221" w:type="dxa"/>
            <w:vAlign w:val="center"/>
          </w:tcPr>
          <w:p w14:paraId="0B81E07A" w14:textId="77777777" w:rsidR="001333B2" w:rsidRPr="001333B2" w:rsidRDefault="001333B2" w:rsidP="001333B2">
            <w:pPr>
              <w:suppressAutoHyphens w:val="0"/>
              <w:spacing w:line="259" w:lineRule="auto"/>
              <w:jc w:val="center"/>
              <w:rPr>
                <w:rFonts w:ascii="Garamond" w:eastAsia="Calibri" w:hAnsi="Garamond" w:cs="Times New Roman"/>
                <w:sz w:val="22"/>
                <w:szCs w:val="22"/>
                <w:lang w:eastAsia="en-US"/>
              </w:rPr>
            </w:pPr>
            <w:r w:rsidRPr="001333B2">
              <w:rPr>
                <w:rFonts w:ascii="Garamond" w:eastAsia="Calibri" w:hAnsi="Garamond" w:cs="Arial CYR"/>
                <w:sz w:val="22"/>
                <w:szCs w:val="22"/>
                <w:lang w:eastAsia="en-US"/>
              </w:rPr>
              <w:t>№ точки присоединения на схеме</w:t>
            </w:r>
          </w:p>
        </w:tc>
        <w:tc>
          <w:tcPr>
            <w:tcW w:w="5862" w:type="dxa"/>
            <w:vAlign w:val="center"/>
          </w:tcPr>
          <w:p w14:paraId="108D5A4D" w14:textId="77777777" w:rsidR="001333B2" w:rsidRPr="001333B2" w:rsidRDefault="001333B2" w:rsidP="001333B2">
            <w:pPr>
              <w:suppressAutoHyphens w:val="0"/>
              <w:spacing w:line="259" w:lineRule="auto"/>
              <w:jc w:val="center"/>
              <w:rPr>
                <w:rFonts w:ascii="Garamond" w:eastAsia="Calibri" w:hAnsi="Garamond" w:cs="Times New Roman"/>
                <w:sz w:val="22"/>
                <w:szCs w:val="22"/>
                <w:lang w:eastAsia="en-US"/>
              </w:rPr>
            </w:pPr>
            <w:r w:rsidRPr="001333B2">
              <w:rPr>
                <w:rFonts w:ascii="Garamond" w:eastAsia="Calibri" w:hAnsi="Garamond" w:cs="Times New Roman"/>
                <w:sz w:val="22"/>
                <w:szCs w:val="22"/>
                <w:lang w:eastAsia="en-US"/>
              </w:rPr>
              <w:t>Наименование точки присоединения</w:t>
            </w:r>
          </w:p>
        </w:tc>
        <w:tc>
          <w:tcPr>
            <w:tcW w:w="2126" w:type="dxa"/>
            <w:vAlign w:val="center"/>
          </w:tcPr>
          <w:p w14:paraId="19CDF55F" w14:textId="77777777" w:rsidR="001333B2" w:rsidRPr="001333B2" w:rsidRDefault="001333B2" w:rsidP="001333B2">
            <w:pPr>
              <w:suppressAutoHyphens w:val="0"/>
              <w:spacing w:line="259" w:lineRule="auto"/>
              <w:jc w:val="center"/>
              <w:rPr>
                <w:rFonts w:ascii="Garamond" w:eastAsia="Calibri" w:hAnsi="Garamond" w:cs="Times New Roman"/>
                <w:sz w:val="22"/>
                <w:szCs w:val="22"/>
                <w:lang w:eastAsia="en-US"/>
              </w:rPr>
            </w:pPr>
            <w:r w:rsidRPr="001333B2">
              <w:rPr>
                <w:rFonts w:ascii="Garamond" w:eastAsia="Calibri" w:hAnsi="Garamond" w:cs="Times New Roman"/>
                <w:sz w:val="22"/>
                <w:szCs w:val="22"/>
                <w:lang w:eastAsia="en-US"/>
              </w:rPr>
              <w:t>Наименование энергообъекта</w:t>
            </w:r>
          </w:p>
        </w:tc>
        <w:tc>
          <w:tcPr>
            <w:tcW w:w="2977" w:type="dxa"/>
            <w:vAlign w:val="center"/>
          </w:tcPr>
          <w:p w14:paraId="0D4AF63C" w14:textId="77777777" w:rsidR="001333B2" w:rsidRPr="001333B2" w:rsidRDefault="001333B2" w:rsidP="001333B2">
            <w:pPr>
              <w:suppressAutoHyphens w:val="0"/>
              <w:spacing w:line="259" w:lineRule="auto"/>
              <w:jc w:val="center"/>
              <w:rPr>
                <w:rFonts w:ascii="Garamond" w:eastAsia="Calibri" w:hAnsi="Garamond" w:cs="Times New Roman"/>
                <w:sz w:val="22"/>
                <w:szCs w:val="22"/>
                <w:lang w:eastAsia="en-US"/>
              </w:rPr>
            </w:pPr>
            <w:r w:rsidRPr="001333B2">
              <w:rPr>
                <w:rFonts w:ascii="Garamond" w:eastAsia="Calibri" w:hAnsi="Garamond" w:cs="Times New Roman"/>
                <w:sz w:val="22"/>
                <w:szCs w:val="22"/>
                <w:lang w:eastAsia="en-US"/>
              </w:rPr>
              <w:t>Описание месторасположения</w:t>
            </w:r>
          </w:p>
        </w:tc>
        <w:tc>
          <w:tcPr>
            <w:tcW w:w="3472" w:type="dxa"/>
            <w:vAlign w:val="center"/>
          </w:tcPr>
          <w:p w14:paraId="0FD52288" w14:textId="77777777" w:rsidR="001333B2" w:rsidRPr="001333B2" w:rsidRDefault="001333B2" w:rsidP="001333B2">
            <w:pPr>
              <w:suppressAutoHyphens w:val="0"/>
              <w:spacing w:line="259" w:lineRule="auto"/>
              <w:jc w:val="center"/>
              <w:rPr>
                <w:rFonts w:ascii="Garamond" w:eastAsia="Calibri" w:hAnsi="Garamond" w:cs="Times New Roman"/>
                <w:sz w:val="22"/>
                <w:szCs w:val="22"/>
                <w:lang w:eastAsia="en-US"/>
              </w:rPr>
            </w:pPr>
            <w:r w:rsidRPr="001333B2">
              <w:rPr>
                <w:rFonts w:ascii="Garamond" w:eastAsia="Calibri" w:hAnsi="Garamond" w:cs="Times New Roman"/>
                <w:sz w:val="22"/>
                <w:szCs w:val="22"/>
                <w:lang w:eastAsia="en-US"/>
              </w:rPr>
              <w:t>Наименование присоединения</w:t>
            </w:r>
          </w:p>
        </w:tc>
      </w:tr>
      <w:tr w:rsidR="001333B2" w:rsidRPr="001333B2" w14:paraId="271F5020" w14:textId="77777777" w:rsidTr="001A09D5">
        <w:trPr>
          <w:trHeight w:val="454"/>
          <w:jc w:val="center"/>
        </w:trPr>
        <w:tc>
          <w:tcPr>
            <w:tcW w:w="1221" w:type="dxa"/>
            <w:vAlign w:val="center"/>
          </w:tcPr>
          <w:p w14:paraId="084E86BD" w14:textId="77777777" w:rsidR="001333B2" w:rsidRPr="001333B2" w:rsidRDefault="001333B2" w:rsidP="001333B2">
            <w:pPr>
              <w:suppressAutoHyphens w:val="0"/>
              <w:spacing w:line="259" w:lineRule="auto"/>
              <w:jc w:val="center"/>
              <w:rPr>
                <w:rFonts w:ascii="Garamond" w:eastAsia="Calibri" w:hAnsi="Garamond" w:cs="Times New Roman"/>
                <w:sz w:val="22"/>
                <w:szCs w:val="22"/>
                <w:lang w:eastAsia="en-US"/>
              </w:rPr>
            </w:pPr>
            <w:r w:rsidRPr="001333B2">
              <w:rPr>
                <w:rFonts w:ascii="Garamond" w:eastAsia="Calibri" w:hAnsi="Garamond" w:cs="Times New Roman"/>
                <w:sz w:val="22"/>
                <w:szCs w:val="22"/>
                <w:lang w:eastAsia="en-US"/>
              </w:rPr>
              <w:t>1</w:t>
            </w:r>
          </w:p>
        </w:tc>
        <w:tc>
          <w:tcPr>
            <w:tcW w:w="5862" w:type="dxa"/>
            <w:vAlign w:val="center"/>
          </w:tcPr>
          <w:p w14:paraId="4793BC3A" w14:textId="77777777" w:rsidR="001333B2" w:rsidRPr="001333B2" w:rsidRDefault="001333B2" w:rsidP="001333B2">
            <w:pPr>
              <w:suppressAutoHyphens w:val="0"/>
              <w:spacing w:line="259" w:lineRule="auto"/>
              <w:jc w:val="both"/>
              <w:rPr>
                <w:rFonts w:ascii="Garamond" w:eastAsia="Calibri" w:hAnsi="Garamond" w:cs="Times New Roman"/>
                <w:sz w:val="22"/>
                <w:szCs w:val="22"/>
                <w:lang w:eastAsia="en-US"/>
              </w:rPr>
            </w:pPr>
            <w:r w:rsidRPr="001333B2">
              <w:rPr>
                <w:rFonts w:ascii="Garamond" w:eastAsia="Calibri" w:hAnsi="Garamond" w:cs="Times New Roman"/>
                <w:sz w:val="22"/>
                <w:szCs w:val="22"/>
                <w:lang w:eastAsia="en-US"/>
              </w:rPr>
              <w:t>ВЛ 35 кВ Созвездие – Егоровка, опора 20</w:t>
            </w:r>
          </w:p>
        </w:tc>
        <w:tc>
          <w:tcPr>
            <w:tcW w:w="2126" w:type="dxa"/>
            <w:vAlign w:val="center"/>
          </w:tcPr>
          <w:p w14:paraId="09A8E66C" w14:textId="77777777" w:rsidR="001333B2" w:rsidRPr="001333B2" w:rsidRDefault="001333B2" w:rsidP="001333B2">
            <w:pPr>
              <w:suppressAutoHyphens w:val="0"/>
              <w:spacing w:line="259" w:lineRule="auto"/>
              <w:jc w:val="both"/>
              <w:rPr>
                <w:rFonts w:ascii="Garamond" w:eastAsia="Calibri" w:hAnsi="Garamond" w:cs="Times New Roman"/>
                <w:sz w:val="22"/>
                <w:szCs w:val="22"/>
                <w:lang w:eastAsia="en-US"/>
              </w:rPr>
            </w:pPr>
            <w:r w:rsidRPr="001333B2">
              <w:rPr>
                <w:rFonts w:ascii="Garamond" w:eastAsia="Calibri" w:hAnsi="Garamond" w:cs="Times New Roman"/>
                <w:sz w:val="22"/>
                <w:szCs w:val="22"/>
                <w:lang w:eastAsia="en-US"/>
              </w:rPr>
              <w:t>ВЛ 35 кВ Созвездие – Егоровка</w:t>
            </w:r>
          </w:p>
        </w:tc>
        <w:tc>
          <w:tcPr>
            <w:tcW w:w="2977" w:type="dxa"/>
            <w:vAlign w:val="center"/>
          </w:tcPr>
          <w:p w14:paraId="2F9C7F8C" w14:textId="77777777" w:rsidR="001333B2" w:rsidRPr="001333B2" w:rsidRDefault="001333B2" w:rsidP="001333B2">
            <w:pPr>
              <w:suppressAutoHyphens w:val="0"/>
              <w:spacing w:line="259" w:lineRule="auto"/>
              <w:jc w:val="both"/>
              <w:rPr>
                <w:rFonts w:ascii="Garamond" w:eastAsia="Calibri" w:hAnsi="Garamond" w:cs="Times New Roman"/>
                <w:sz w:val="22"/>
                <w:szCs w:val="22"/>
                <w:lang w:eastAsia="en-US"/>
              </w:rPr>
            </w:pPr>
            <w:r w:rsidRPr="001333B2">
              <w:rPr>
                <w:rFonts w:ascii="Garamond" w:eastAsia="Calibri" w:hAnsi="Garamond" w:cs="Times New Roman"/>
                <w:sz w:val="22"/>
                <w:szCs w:val="22"/>
                <w:lang w:eastAsia="en-US"/>
              </w:rPr>
              <w:t>опора 20</w:t>
            </w:r>
          </w:p>
        </w:tc>
        <w:tc>
          <w:tcPr>
            <w:tcW w:w="3472" w:type="dxa"/>
            <w:vAlign w:val="center"/>
          </w:tcPr>
          <w:p w14:paraId="21D5EE2F" w14:textId="77777777" w:rsidR="001333B2" w:rsidRPr="001333B2" w:rsidRDefault="001333B2" w:rsidP="001333B2">
            <w:pPr>
              <w:suppressAutoHyphens w:val="0"/>
              <w:spacing w:line="259" w:lineRule="auto"/>
              <w:rPr>
                <w:rFonts w:ascii="Garamond" w:eastAsia="Calibri" w:hAnsi="Garamond" w:cs="Times New Roman"/>
                <w:sz w:val="22"/>
                <w:szCs w:val="22"/>
                <w:lang w:eastAsia="en-US"/>
              </w:rPr>
            </w:pPr>
            <w:r w:rsidRPr="001333B2">
              <w:rPr>
                <w:rFonts w:ascii="Garamond" w:eastAsia="Calibri" w:hAnsi="Garamond" w:cs="Times New Roman"/>
                <w:sz w:val="22"/>
                <w:szCs w:val="22"/>
                <w:lang w:eastAsia="en-US"/>
              </w:rPr>
              <w:t>-</w:t>
            </w:r>
          </w:p>
        </w:tc>
      </w:tr>
      <w:tr w:rsidR="001333B2" w:rsidRPr="001333B2" w14:paraId="72F3430E" w14:textId="77777777" w:rsidTr="001A09D5">
        <w:trPr>
          <w:trHeight w:val="454"/>
          <w:jc w:val="center"/>
        </w:trPr>
        <w:tc>
          <w:tcPr>
            <w:tcW w:w="1221" w:type="dxa"/>
            <w:vAlign w:val="center"/>
          </w:tcPr>
          <w:p w14:paraId="7751A74D" w14:textId="77777777" w:rsidR="001333B2" w:rsidRPr="001333B2" w:rsidRDefault="001333B2" w:rsidP="001333B2">
            <w:pPr>
              <w:suppressAutoHyphens w:val="0"/>
              <w:spacing w:line="259" w:lineRule="auto"/>
              <w:jc w:val="center"/>
              <w:rPr>
                <w:rFonts w:ascii="Garamond" w:eastAsia="Calibri" w:hAnsi="Garamond" w:cs="Times New Roman"/>
                <w:sz w:val="22"/>
                <w:szCs w:val="22"/>
                <w:lang w:eastAsia="en-US"/>
              </w:rPr>
            </w:pPr>
            <w:r w:rsidRPr="001333B2">
              <w:rPr>
                <w:rFonts w:ascii="Garamond" w:eastAsia="Calibri" w:hAnsi="Garamond" w:cs="Times New Roman"/>
                <w:sz w:val="22"/>
                <w:szCs w:val="22"/>
                <w:lang w:eastAsia="en-US"/>
              </w:rPr>
              <w:t>2</w:t>
            </w:r>
          </w:p>
        </w:tc>
        <w:tc>
          <w:tcPr>
            <w:tcW w:w="5862" w:type="dxa"/>
            <w:vAlign w:val="center"/>
          </w:tcPr>
          <w:p w14:paraId="128C2059" w14:textId="77777777" w:rsidR="001333B2" w:rsidRPr="001333B2" w:rsidRDefault="001333B2" w:rsidP="001333B2">
            <w:pPr>
              <w:suppressAutoHyphens w:val="0"/>
              <w:spacing w:line="259" w:lineRule="auto"/>
              <w:jc w:val="both"/>
              <w:rPr>
                <w:rFonts w:ascii="Garamond" w:eastAsia="Calibri" w:hAnsi="Garamond" w:cs="Times New Roman"/>
                <w:sz w:val="22"/>
                <w:szCs w:val="22"/>
                <w:lang w:eastAsia="en-US"/>
              </w:rPr>
            </w:pPr>
            <w:r w:rsidRPr="001333B2">
              <w:rPr>
                <w:rFonts w:ascii="Garamond" w:eastAsia="Calibri" w:hAnsi="Garamond" w:cs="Times New Roman"/>
                <w:sz w:val="22"/>
                <w:szCs w:val="22"/>
                <w:lang w:eastAsia="en-US"/>
              </w:rPr>
              <w:t xml:space="preserve">ПС 35 кВ Егоровка, ОРУ-35 кВ, 1 СШ 35 кВ, яч. 1, ВЛ-35 кВ ЦРП </w:t>
            </w:r>
            <w:r w:rsidR="001A09D5">
              <w:rPr>
                <w:rFonts w:ascii="Garamond" w:eastAsia="Calibri" w:hAnsi="Garamond" w:cs="Times New Roman"/>
                <w:sz w:val="22"/>
                <w:szCs w:val="22"/>
                <w:lang w:eastAsia="en-US"/>
              </w:rPr>
              <w:t>–</w:t>
            </w:r>
            <w:r w:rsidRPr="001333B2">
              <w:rPr>
                <w:rFonts w:ascii="Garamond" w:eastAsia="Calibri" w:hAnsi="Garamond" w:cs="Times New Roman"/>
                <w:sz w:val="22"/>
                <w:szCs w:val="22"/>
                <w:lang w:eastAsia="en-US"/>
              </w:rPr>
              <w:t xml:space="preserve"> Егоровка</w:t>
            </w:r>
          </w:p>
        </w:tc>
        <w:tc>
          <w:tcPr>
            <w:tcW w:w="2126" w:type="dxa"/>
            <w:vAlign w:val="center"/>
          </w:tcPr>
          <w:p w14:paraId="24C1B50D" w14:textId="77777777" w:rsidR="001333B2" w:rsidRPr="001333B2" w:rsidRDefault="001333B2" w:rsidP="001333B2">
            <w:pPr>
              <w:suppressAutoHyphens w:val="0"/>
              <w:spacing w:line="259" w:lineRule="auto"/>
              <w:jc w:val="both"/>
              <w:rPr>
                <w:rFonts w:ascii="Garamond" w:eastAsia="Calibri" w:hAnsi="Garamond" w:cs="Times New Roman"/>
                <w:sz w:val="22"/>
                <w:szCs w:val="22"/>
                <w:lang w:eastAsia="en-US"/>
              </w:rPr>
            </w:pPr>
            <w:r w:rsidRPr="001333B2">
              <w:rPr>
                <w:rFonts w:ascii="Garamond" w:eastAsia="Calibri" w:hAnsi="Garamond" w:cs="Times New Roman"/>
                <w:sz w:val="22"/>
                <w:szCs w:val="22"/>
                <w:lang w:eastAsia="en-US"/>
              </w:rPr>
              <w:t>ПС 35 кВ Егоровка</w:t>
            </w:r>
          </w:p>
        </w:tc>
        <w:tc>
          <w:tcPr>
            <w:tcW w:w="2977" w:type="dxa"/>
            <w:vAlign w:val="center"/>
          </w:tcPr>
          <w:p w14:paraId="364B6879" w14:textId="77777777" w:rsidR="001333B2" w:rsidRPr="001333B2" w:rsidRDefault="001333B2" w:rsidP="001333B2">
            <w:pPr>
              <w:suppressAutoHyphens w:val="0"/>
              <w:spacing w:line="259" w:lineRule="auto"/>
              <w:jc w:val="both"/>
              <w:rPr>
                <w:rFonts w:ascii="Garamond" w:eastAsia="Calibri" w:hAnsi="Garamond" w:cs="Times New Roman"/>
                <w:sz w:val="22"/>
                <w:szCs w:val="22"/>
                <w:lang w:eastAsia="en-US"/>
              </w:rPr>
            </w:pPr>
            <w:r w:rsidRPr="001333B2">
              <w:rPr>
                <w:rFonts w:ascii="Garamond" w:eastAsia="Calibri" w:hAnsi="Garamond" w:cs="Times New Roman"/>
                <w:sz w:val="22"/>
                <w:szCs w:val="22"/>
                <w:lang w:eastAsia="en-US"/>
              </w:rPr>
              <w:t>ОРУ-35 кВ, 1 СШ 35 кВ, яч. 1</w:t>
            </w:r>
          </w:p>
        </w:tc>
        <w:tc>
          <w:tcPr>
            <w:tcW w:w="3472" w:type="dxa"/>
            <w:vAlign w:val="center"/>
          </w:tcPr>
          <w:p w14:paraId="05F3BF01" w14:textId="77777777" w:rsidR="001333B2" w:rsidRPr="001333B2" w:rsidRDefault="001333B2" w:rsidP="001333B2">
            <w:pPr>
              <w:suppressAutoHyphens w:val="0"/>
              <w:spacing w:line="259" w:lineRule="auto"/>
              <w:rPr>
                <w:rFonts w:ascii="Garamond" w:eastAsia="Calibri" w:hAnsi="Garamond" w:cs="Times New Roman"/>
                <w:sz w:val="22"/>
                <w:szCs w:val="22"/>
                <w:lang w:eastAsia="en-US"/>
              </w:rPr>
            </w:pPr>
            <w:r w:rsidRPr="001333B2">
              <w:rPr>
                <w:rFonts w:ascii="Garamond" w:eastAsia="Calibri" w:hAnsi="Garamond" w:cs="Times New Roman"/>
                <w:sz w:val="22"/>
                <w:szCs w:val="22"/>
                <w:lang w:eastAsia="en-US"/>
              </w:rPr>
              <w:t>ВЛ-35 кВ ЦРП - Егоровка</w:t>
            </w:r>
          </w:p>
        </w:tc>
      </w:tr>
      <w:tr w:rsidR="001333B2" w:rsidRPr="001333B2" w14:paraId="6BCF95EE" w14:textId="77777777" w:rsidTr="001A09D5">
        <w:trPr>
          <w:trHeight w:val="454"/>
          <w:jc w:val="center"/>
        </w:trPr>
        <w:tc>
          <w:tcPr>
            <w:tcW w:w="1221" w:type="dxa"/>
            <w:vAlign w:val="center"/>
          </w:tcPr>
          <w:p w14:paraId="79606B0A" w14:textId="77777777" w:rsidR="001333B2" w:rsidRPr="001333B2" w:rsidRDefault="001333B2" w:rsidP="001333B2">
            <w:pPr>
              <w:suppressAutoHyphens w:val="0"/>
              <w:spacing w:line="259" w:lineRule="auto"/>
              <w:jc w:val="center"/>
              <w:rPr>
                <w:rFonts w:ascii="Garamond" w:eastAsia="Calibri" w:hAnsi="Garamond" w:cs="Times New Roman"/>
                <w:sz w:val="22"/>
                <w:szCs w:val="22"/>
                <w:lang w:eastAsia="en-US"/>
              </w:rPr>
            </w:pPr>
            <w:r w:rsidRPr="001333B2">
              <w:rPr>
                <w:rFonts w:ascii="Garamond" w:eastAsia="Calibri" w:hAnsi="Garamond" w:cs="Times New Roman"/>
                <w:sz w:val="22"/>
                <w:szCs w:val="22"/>
                <w:lang w:eastAsia="en-US"/>
              </w:rPr>
              <w:t>3</w:t>
            </w:r>
          </w:p>
        </w:tc>
        <w:tc>
          <w:tcPr>
            <w:tcW w:w="5862" w:type="dxa"/>
            <w:vAlign w:val="center"/>
          </w:tcPr>
          <w:p w14:paraId="02F761B0" w14:textId="77777777" w:rsidR="001333B2" w:rsidRPr="001333B2" w:rsidRDefault="001333B2" w:rsidP="001333B2">
            <w:pPr>
              <w:suppressAutoHyphens w:val="0"/>
              <w:spacing w:line="259" w:lineRule="auto"/>
              <w:jc w:val="both"/>
              <w:rPr>
                <w:rFonts w:ascii="Garamond" w:eastAsia="Calibri" w:hAnsi="Garamond" w:cs="Times New Roman"/>
                <w:sz w:val="22"/>
                <w:szCs w:val="22"/>
                <w:lang w:eastAsia="en-US"/>
              </w:rPr>
            </w:pPr>
            <w:r w:rsidRPr="001333B2">
              <w:rPr>
                <w:rFonts w:ascii="Garamond" w:eastAsia="Calibri" w:hAnsi="Garamond" w:cs="Times New Roman"/>
                <w:sz w:val="22"/>
                <w:szCs w:val="22"/>
                <w:lang w:eastAsia="en-US"/>
              </w:rPr>
              <w:t>Восточная ТЭЦ-1, ГРУ-6 кВ, 1 СШ 6 кВ, яч. 7, ВЛ-6 кВ</w:t>
            </w:r>
          </w:p>
        </w:tc>
        <w:tc>
          <w:tcPr>
            <w:tcW w:w="2126" w:type="dxa"/>
            <w:vAlign w:val="center"/>
          </w:tcPr>
          <w:p w14:paraId="676B4493" w14:textId="77777777" w:rsidR="001333B2" w:rsidRPr="001333B2" w:rsidRDefault="001333B2" w:rsidP="001333B2">
            <w:pPr>
              <w:suppressAutoHyphens w:val="0"/>
              <w:spacing w:line="259" w:lineRule="auto"/>
              <w:jc w:val="both"/>
              <w:rPr>
                <w:rFonts w:ascii="Garamond" w:eastAsia="Calibri" w:hAnsi="Garamond" w:cs="Times New Roman"/>
                <w:sz w:val="22"/>
                <w:szCs w:val="22"/>
                <w:lang w:eastAsia="en-US"/>
              </w:rPr>
            </w:pPr>
            <w:r w:rsidRPr="001333B2">
              <w:rPr>
                <w:rFonts w:ascii="Garamond" w:eastAsia="Calibri" w:hAnsi="Garamond" w:cs="Times New Roman"/>
                <w:sz w:val="22"/>
                <w:szCs w:val="22"/>
                <w:lang w:eastAsia="en-US"/>
              </w:rPr>
              <w:t>Восточная ТЭЦ-1</w:t>
            </w:r>
          </w:p>
        </w:tc>
        <w:tc>
          <w:tcPr>
            <w:tcW w:w="2977" w:type="dxa"/>
            <w:vAlign w:val="center"/>
          </w:tcPr>
          <w:p w14:paraId="1932989E" w14:textId="77777777" w:rsidR="001333B2" w:rsidRPr="001333B2" w:rsidRDefault="001333B2" w:rsidP="001333B2">
            <w:pPr>
              <w:suppressAutoHyphens w:val="0"/>
              <w:spacing w:line="259" w:lineRule="auto"/>
              <w:jc w:val="both"/>
              <w:rPr>
                <w:rFonts w:ascii="Garamond" w:eastAsia="Calibri" w:hAnsi="Garamond" w:cs="Times New Roman"/>
                <w:sz w:val="22"/>
                <w:szCs w:val="22"/>
                <w:lang w:eastAsia="en-US"/>
              </w:rPr>
            </w:pPr>
            <w:r w:rsidRPr="001333B2">
              <w:rPr>
                <w:rFonts w:ascii="Garamond" w:eastAsia="Calibri" w:hAnsi="Garamond" w:cs="Times New Roman"/>
                <w:sz w:val="22"/>
                <w:szCs w:val="22"/>
                <w:lang w:eastAsia="en-US"/>
              </w:rPr>
              <w:t>ГРУ-6 кВ, 1 СШ 6 кВ, яч. 7,</w:t>
            </w:r>
          </w:p>
        </w:tc>
        <w:tc>
          <w:tcPr>
            <w:tcW w:w="3472" w:type="dxa"/>
            <w:vAlign w:val="center"/>
          </w:tcPr>
          <w:p w14:paraId="4515AE61" w14:textId="77777777" w:rsidR="001333B2" w:rsidRPr="001333B2" w:rsidRDefault="001333B2" w:rsidP="001333B2">
            <w:pPr>
              <w:suppressAutoHyphens w:val="0"/>
              <w:spacing w:line="259" w:lineRule="auto"/>
              <w:rPr>
                <w:rFonts w:ascii="Garamond" w:eastAsia="Calibri" w:hAnsi="Garamond" w:cs="Times New Roman"/>
                <w:sz w:val="22"/>
                <w:szCs w:val="22"/>
                <w:lang w:eastAsia="en-US"/>
              </w:rPr>
            </w:pPr>
            <w:r w:rsidRPr="001333B2">
              <w:rPr>
                <w:rFonts w:ascii="Garamond" w:eastAsia="Calibri" w:hAnsi="Garamond" w:cs="Times New Roman"/>
                <w:sz w:val="22"/>
                <w:szCs w:val="22"/>
                <w:lang w:eastAsia="en-US"/>
              </w:rPr>
              <w:t>ВЛ-6 кВ</w:t>
            </w:r>
          </w:p>
        </w:tc>
      </w:tr>
      <w:tr w:rsidR="001333B2" w:rsidRPr="001333B2" w14:paraId="2575B4B7" w14:textId="77777777" w:rsidTr="001A09D5">
        <w:trPr>
          <w:trHeight w:val="454"/>
          <w:jc w:val="center"/>
        </w:trPr>
        <w:tc>
          <w:tcPr>
            <w:tcW w:w="1221" w:type="dxa"/>
            <w:vAlign w:val="center"/>
          </w:tcPr>
          <w:p w14:paraId="15B7AB5F" w14:textId="77777777" w:rsidR="001333B2" w:rsidRPr="001333B2" w:rsidRDefault="001333B2" w:rsidP="001333B2">
            <w:pPr>
              <w:suppressAutoHyphens w:val="0"/>
              <w:spacing w:line="259" w:lineRule="auto"/>
              <w:jc w:val="center"/>
              <w:rPr>
                <w:rFonts w:ascii="Garamond" w:eastAsia="Calibri" w:hAnsi="Garamond" w:cs="Times New Roman"/>
                <w:sz w:val="22"/>
                <w:szCs w:val="22"/>
                <w:lang w:eastAsia="en-US"/>
              </w:rPr>
            </w:pPr>
            <w:r w:rsidRPr="001333B2">
              <w:rPr>
                <w:rFonts w:ascii="Garamond" w:eastAsia="Calibri" w:hAnsi="Garamond" w:cs="Times New Roman"/>
                <w:sz w:val="22"/>
                <w:szCs w:val="22"/>
                <w:lang w:eastAsia="en-US"/>
              </w:rPr>
              <w:t>4</w:t>
            </w:r>
          </w:p>
        </w:tc>
        <w:tc>
          <w:tcPr>
            <w:tcW w:w="5862" w:type="dxa"/>
            <w:vAlign w:val="center"/>
          </w:tcPr>
          <w:p w14:paraId="4236222B" w14:textId="77777777" w:rsidR="001333B2" w:rsidRPr="001333B2" w:rsidRDefault="001333B2" w:rsidP="001333B2">
            <w:pPr>
              <w:suppressAutoHyphens w:val="0"/>
              <w:spacing w:line="259" w:lineRule="auto"/>
              <w:jc w:val="both"/>
              <w:rPr>
                <w:rFonts w:ascii="Garamond" w:eastAsia="Calibri" w:hAnsi="Garamond" w:cs="Times New Roman"/>
                <w:sz w:val="22"/>
                <w:szCs w:val="22"/>
                <w:lang w:eastAsia="en-US"/>
              </w:rPr>
            </w:pPr>
            <w:r w:rsidRPr="001333B2">
              <w:rPr>
                <w:rFonts w:ascii="Garamond" w:eastAsia="Calibri" w:hAnsi="Garamond" w:cs="Times New Roman"/>
                <w:sz w:val="22"/>
                <w:szCs w:val="22"/>
                <w:lang w:eastAsia="en-US"/>
              </w:rPr>
              <w:t>КТП-1 6/0,4 кВ, РУ-0,4 кВ, 1 СШ 0,4 кВ, яч. 2, КЛ-0,4 кВ АВК</w:t>
            </w:r>
          </w:p>
        </w:tc>
        <w:tc>
          <w:tcPr>
            <w:tcW w:w="2126" w:type="dxa"/>
            <w:vAlign w:val="center"/>
          </w:tcPr>
          <w:p w14:paraId="31C9B07A" w14:textId="77777777" w:rsidR="001333B2" w:rsidRPr="001333B2" w:rsidRDefault="001333B2" w:rsidP="001333B2">
            <w:pPr>
              <w:suppressAutoHyphens w:val="0"/>
              <w:spacing w:line="259" w:lineRule="auto"/>
              <w:jc w:val="both"/>
              <w:rPr>
                <w:rFonts w:ascii="Garamond" w:eastAsia="Calibri" w:hAnsi="Garamond" w:cs="Times New Roman"/>
                <w:sz w:val="22"/>
                <w:szCs w:val="22"/>
                <w:lang w:eastAsia="en-US"/>
              </w:rPr>
            </w:pPr>
            <w:r w:rsidRPr="001333B2">
              <w:rPr>
                <w:rFonts w:ascii="Garamond" w:eastAsia="Calibri" w:hAnsi="Garamond" w:cs="Times New Roman"/>
                <w:sz w:val="22"/>
                <w:szCs w:val="22"/>
                <w:lang w:eastAsia="en-US"/>
              </w:rPr>
              <w:t>КТП-1 6/0,4 кВ</w:t>
            </w:r>
          </w:p>
        </w:tc>
        <w:tc>
          <w:tcPr>
            <w:tcW w:w="2977" w:type="dxa"/>
            <w:vAlign w:val="center"/>
          </w:tcPr>
          <w:p w14:paraId="2183FE88" w14:textId="77777777" w:rsidR="001333B2" w:rsidRPr="001333B2" w:rsidRDefault="001333B2" w:rsidP="001333B2">
            <w:pPr>
              <w:suppressAutoHyphens w:val="0"/>
              <w:spacing w:line="259" w:lineRule="auto"/>
              <w:jc w:val="both"/>
              <w:rPr>
                <w:rFonts w:ascii="Garamond" w:eastAsia="Calibri" w:hAnsi="Garamond" w:cs="Times New Roman"/>
                <w:sz w:val="22"/>
                <w:szCs w:val="22"/>
                <w:lang w:eastAsia="en-US"/>
              </w:rPr>
            </w:pPr>
            <w:r w:rsidRPr="001333B2">
              <w:rPr>
                <w:rFonts w:ascii="Garamond" w:eastAsia="Calibri" w:hAnsi="Garamond" w:cs="Times New Roman"/>
                <w:sz w:val="22"/>
                <w:szCs w:val="22"/>
                <w:lang w:eastAsia="en-US"/>
              </w:rPr>
              <w:t>РУ-0,4 кВ, 1 СШ 0,4 кВ, яч. 2,</w:t>
            </w:r>
          </w:p>
        </w:tc>
        <w:tc>
          <w:tcPr>
            <w:tcW w:w="3472" w:type="dxa"/>
            <w:vAlign w:val="center"/>
          </w:tcPr>
          <w:p w14:paraId="5FC86273" w14:textId="77777777" w:rsidR="001333B2" w:rsidRPr="001333B2" w:rsidRDefault="001333B2" w:rsidP="001333B2">
            <w:pPr>
              <w:suppressAutoHyphens w:val="0"/>
              <w:spacing w:line="259" w:lineRule="auto"/>
              <w:rPr>
                <w:rFonts w:ascii="Garamond" w:eastAsia="Calibri" w:hAnsi="Garamond" w:cs="Times New Roman"/>
                <w:sz w:val="22"/>
                <w:szCs w:val="22"/>
                <w:lang w:eastAsia="en-US"/>
              </w:rPr>
            </w:pPr>
            <w:r w:rsidRPr="001333B2">
              <w:rPr>
                <w:rFonts w:ascii="Garamond" w:eastAsia="Calibri" w:hAnsi="Garamond" w:cs="Times New Roman"/>
                <w:sz w:val="22"/>
                <w:szCs w:val="22"/>
                <w:lang w:eastAsia="en-US"/>
              </w:rPr>
              <w:t>КЛ-0,4 кВ АВК</w:t>
            </w:r>
          </w:p>
        </w:tc>
      </w:tr>
      <w:tr w:rsidR="001333B2" w:rsidRPr="001333B2" w14:paraId="499A992E" w14:textId="77777777" w:rsidTr="001A09D5">
        <w:trPr>
          <w:trHeight w:val="454"/>
          <w:jc w:val="center"/>
        </w:trPr>
        <w:tc>
          <w:tcPr>
            <w:tcW w:w="1221" w:type="dxa"/>
            <w:vAlign w:val="center"/>
          </w:tcPr>
          <w:p w14:paraId="2FA28947" w14:textId="77777777" w:rsidR="001333B2" w:rsidRPr="001333B2" w:rsidRDefault="001333B2" w:rsidP="001333B2">
            <w:pPr>
              <w:suppressAutoHyphens w:val="0"/>
              <w:spacing w:line="259" w:lineRule="auto"/>
              <w:jc w:val="center"/>
              <w:rPr>
                <w:rFonts w:ascii="Garamond" w:eastAsia="Calibri" w:hAnsi="Garamond" w:cs="Times New Roman"/>
                <w:sz w:val="22"/>
                <w:szCs w:val="22"/>
                <w:lang w:eastAsia="en-US"/>
              </w:rPr>
            </w:pPr>
            <w:r w:rsidRPr="001333B2">
              <w:rPr>
                <w:rFonts w:ascii="Garamond" w:eastAsia="Calibri" w:hAnsi="Garamond" w:cs="Times New Roman"/>
                <w:sz w:val="22"/>
                <w:szCs w:val="22"/>
                <w:lang w:eastAsia="en-US"/>
              </w:rPr>
              <w:t>5</w:t>
            </w:r>
          </w:p>
        </w:tc>
        <w:tc>
          <w:tcPr>
            <w:tcW w:w="5862" w:type="dxa"/>
            <w:vAlign w:val="center"/>
          </w:tcPr>
          <w:p w14:paraId="0979367F" w14:textId="77777777" w:rsidR="001333B2" w:rsidRPr="001333B2" w:rsidRDefault="001333B2" w:rsidP="001333B2">
            <w:pPr>
              <w:suppressAutoHyphens w:val="0"/>
              <w:spacing w:line="259" w:lineRule="auto"/>
              <w:jc w:val="both"/>
              <w:rPr>
                <w:rFonts w:ascii="Garamond" w:eastAsia="Calibri" w:hAnsi="Garamond" w:cs="Times New Roman"/>
                <w:sz w:val="22"/>
                <w:szCs w:val="22"/>
                <w:lang w:eastAsia="en-US"/>
              </w:rPr>
            </w:pPr>
            <w:r w:rsidRPr="001333B2">
              <w:rPr>
                <w:rFonts w:ascii="Garamond" w:eastAsia="Calibri" w:hAnsi="Garamond" w:cs="Times New Roman"/>
                <w:sz w:val="22"/>
                <w:szCs w:val="22"/>
                <w:lang w:eastAsia="en-US"/>
              </w:rPr>
              <w:t>ПС 35 кВ Егоровка, ЗРУ-6 кВ, 2 СШ 6 кВ, яч. 15, КЛ-6 кВ ЦТП</w:t>
            </w:r>
          </w:p>
        </w:tc>
        <w:tc>
          <w:tcPr>
            <w:tcW w:w="2126" w:type="dxa"/>
            <w:vAlign w:val="center"/>
          </w:tcPr>
          <w:p w14:paraId="0A2C677A" w14:textId="77777777" w:rsidR="001333B2" w:rsidRPr="001333B2" w:rsidRDefault="001333B2" w:rsidP="001333B2">
            <w:pPr>
              <w:suppressAutoHyphens w:val="0"/>
              <w:spacing w:line="259" w:lineRule="auto"/>
              <w:jc w:val="both"/>
              <w:rPr>
                <w:rFonts w:ascii="Garamond" w:eastAsia="Calibri" w:hAnsi="Garamond" w:cs="Times New Roman"/>
                <w:sz w:val="22"/>
                <w:szCs w:val="22"/>
                <w:lang w:eastAsia="en-US"/>
              </w:rPr>
            </w:pPr>
            <w:r w:rsidRPr="001333B2">
              <w:rPr>
                <w:rFonts w:ascii="Garamond" w:eastAsia="Calibri" w:hAnsi="Garamond" w:cs="Times New Roman"/>
                <w:sz w:val="22"/>
                <w:szCs w:val="22"/>
                <w:lang w:eastAsia="en-US"/>
              </w:rPr>
              <w:t>ПС 35 кВ Егоровка</w:t>
            </w:r>
          </w:p>
        </w:tc>
        <w:tc>
          <w:tcPr>
            <w:tcW w:w="2977" w:type="dxa"/>
            <w:vAlign w:val="center"/>
          </w:tcPr>
          <w:p w14:paraId="648A75C8" w14:textId="77777777" w:rsidR="001333B2" w:rsidRPr="001333B2" w:rsidRDefault="001333B2" w:rsidP="001333B2">
            <w:pPr>
              <w:suppressAutoHyphens w:val="0"/>
              <w:spacing w:line="259" w:lineRule="auto"/>
              <w:jc w:val="both"/>
              <w:rPr>
                <w:rFonts w:ascii="Garamond" w:eastAsia="Calibri" w:hAnsi="Garamond" w:cs="Times New Roman"/>
                <w:sz w:val="22"/>
                <w:szCs w:val="22"/>
                <w:lang w:eastAsia="en-US"/>
              </w:rPr>
            </w:pPr>
            <w:r w:rsidRPr="001333B2">
              <w:rPr>
                <w:rFonts w:ascii="Garamond" w:eastAsia="Calibri" w:hAnsi="Garamond" w:cs="Times New Roman"/>
                <w:sz w:val="22"/>
                <w:szCs w:val="22"/>
                <w:lang w:eastAsia="en-US"/>
              </w:rPr>
              <w:t>ЗРУ-6 кВ, 2 СШ 6 кВ, яч. 15</w:t>
            </w:r>
          </w:p>
        </w:tc>
        <w:tc>
          <w:tcPr>
            <w:tcW w:w="3472" w:type="dxa"/>
            <w:vAlign w:val="center"/>
          </w:tcPr>
          <w:p w14:paraId="2ED557EB" w14:textId="77777777" w:rsidR="001333B2" w:rsidRPr="001333B2" w:rsidRDefault="001333B2" w:rsidP="001333B2">
            <w:pPr>
              <w:suppressAutoHyphens w:val="0"/>
              <w:spacing w:line="259" w:lineRule="auto"/>
              <w:rPr>
                <w:rFonts w:ascii="Garamond" w:eastAsia="Calibri" w:hAnsi="Garamond" w:cs="Times New Roman"/>
                <w:sz w:val="22"/>
                <w:szCs w:val="22"/>
                <w:lang w:eastAsia="en-US"/>
              </w:rPr>
            </w:pPr>
            <w:r w:rsidRPr="001333B2">
              <w:rPr>
                <w:rFonts w:ascii="Garamond" w:eastAsia="Calibri" w:hAnsi="Garamond" w:cs="Times New Roman"/>
                <w:sz w:val="22"/>
                <w:szCs w:val="22"/>
                <w:lang w:eastAsia="en-US"/>
              </w:rPr>
              <w:t>КЛ-6 кВ ЦТП</w:t>
            </w:r>
          </w:p>
        </w:tc>
      </w:tr>
    </w:tbl>
    <w:p w14:paraId="4AF34623" w14:textId="77777777" w:rsidR="001333B2" w:rsidRPr="001333B2" w:rsidRDefault="001333B2" w:rsidP="001333B2">
      <w:pPr>
        <w:tabs>
          <w:tab w:val="left" w:pos="2835"/>
          <w:tab w:val="left" w:pos="6379"/>
        </w:tabs>
        <w:suppressAutoHyphens w:val="0"/>
        <w:spacing w:before="240" w:line="259" w:lineRule="auto"/>
        <w:ind w:right="111" w:firstLine="357"/>
        <w:jc w:val="right"/>
        <w:rPr>
          <w:rFonts w:ascii="Garamond" w:eastAsia="Calibri" w:hAnsi="Garamond" w:cs="Times New Roman"/>
          <w:sz w:val="22"/>
          <w:szCs w:val="22"/>
          <w:lang w:eastAsia="en-US"/>
        </w:rPr>
      </w:pPr>
      <w:r w:rsidRPr="001333B2">
        <w:rPr>
          <w:rFonts w:ascii="Garamond" w:eastAsia="Calibri" w:hAnsi="Garamond" w:cs="Times New Roman"/>
          <w:sz w:val="22"/>
          <w:szCs w:val="22"/>
          <w:lang w:eastAsia="en-US"/>
        </w:rPr>
        <w:t>Таблица 2. Примеры наименований точек измерений</w:t>
      </w:r>
    </w:p>
    <w:tbl>
      <w:tblPr>
        <w:tblW w:w="1573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271"/>
        <w:gridCol w:w="5812"/>
        <w:gridCol w:w="2126"/>
        <w:gridCol w:w="2977"/>
        <w:gridCol w:w="3544"/>
      </w:tblGrid>
      <w:tr w:rsidR="001333B2" w:rsidRPr="001333B2" w14:paraId="6CD005C5" w14:textId="77777777" w:rsidTr="001A09D5">
        <w:trPr>
          <w:trHeight w:val="795"/>
          <w:jc w:val="center"/>
        </w:trPr>
        <w:tc>
          <w:tcPr>
            <w:tcW w:w="1271" w:type="dxa"/>
            <w:vAlign w:val="center"/>
          </w:tcPr>
          <w:p w14:paraId="71D6910B" w14:textId="77777777" w:rsidR="001333B2" w:rsidRPr="001333B2" w:rsidRDefault="001333B2" w:rsidP="001333B2">
            <w:pPr>
              <w:suppressAutoHyphens w:val="0"/>
              <w:spacing w:line="259" w:lineRule="auto"/>
              <w:jc w:val="center"/>
              <w:rPr>
                <w:rFonts w:ascii="Garamond" w:eastAsia="Calibri" w:hAnsi="Garamond" w:cs="Arial CYR"/>
                <w:sz w:val="22"/>
                <w:szCs w:val="22"/>
                <w:lang w:eastAsia="en-US"/>
              </w:rPr>
            </w:pPr>
            <w:r w:rsidRPr="001333B2">
              <w:rPr>
                <w:rFonts w:ascii="Garamond" w:eastAsia="Calibri" w:hAnsi="Garamond" w:cs="Arial CYR"/>
                <w:sz w:val="22"/>
                <w:szCs w:val="22"/>
                <w:lang w:eastAsia="en-US"/>
              </w:rPr>
              <w:t>№ точки измерений на схеме</w:t>
            </w:r>
          </w:p>
        </w:tc>
        <w:tc>
          <w:tcPr>
            <w:tcW w:w="5812" w:type="dxa"/>
            <w:vAlign w:val="center"/>
          </w:tcPr>
          <w:p w14:paraId="4F873527" w14:textId="77777777" w:rsidR="001333B2" w:rsidRPr="001333B2" w:rsidRDefault="001333B2" w:rsidP="001333B2">
            <w:pPr>
              <w:suppressAutoHyphens w:val="0"/>
              <w:spacing w:line="259" w:lineRule="auto"/>
              <w:jc w:val="center"/>
              <w:rPr>
                <w:rFonts w:ascii="Garamond" w:eastAsia="Calibri" w:hAnsi="Garamond" w:cs="Times New Roman"/>
                <w:sz w:val="22"/>
                <w:szCs w:val="22"/>
                <w:highlight w:val="green"/>
                <w:lang w:eastAsia="en-US"/>
              </w:rPr>
            </w:pPr>
            <w:r w:rsidRPr="001333B2">
              <w:rPr>
                <w:rFonts w:ascii="Garamond" w:eastAsia="Calibri" w:hAnsi="Garamond" w:cs="Times New Roman"/>
                <w:sz w:val="22"/>
                <w:szCs w:val="22"/>
                <w:lang w:eastAsia="en-US"/>
              </w:rPr>
              <w:t>Наименование точки измерений</w:t>
            </w:r>
          </w:p>
        </w:tc>
        <w:tc>
          <w:tcPr>
            <w:tcW w:w="2126" w:type="dxa"/>
            <w:vAlign w:val="center"/>
          </w:tcPr>
          <w:p w14:paraId="110EF136" w14:textId="77777777" w:rsidR="001333B2" w:rsidRPr="001333B2" w:rsidRDefault="001333B2" w:rsidP="001333B2">
            <w:pPr>
              <w:suppressAutoHyphens w:val="0"/>
              <w:spacing w:line="259" w:lineRule="auto"/>
              <w:jc w:val="center"/>
              <w:rPr>
                <w:rFonts w:ascii="Garamond" w:eastAsia="Calibri" w:hAnsi="Garamond" w:cs="Times New Roman"/>
                <w:bCs/>
                <w:sz w:val="22"/>
                <w:szCs w:val="22"/>
                <w:lang w:eastAsia="en-US"/>
              </w:rPr>
            </w:pPr>
            <w:r w:rsidRPr="001333B2">
              <w:rPr>
                <w:rFonts w:ascii="Garamond" w:eastAsia="Calibri" w:hAnsi="Garamond" w:cs="Times New Roman"/>
                <w:sz w:val="22"/>
                <w:szCs w:val="22"/>
                <w:lang w:eastAsia="en-US"/>
              </w:rPr>
              <w:t>Наименование энергообъекта</w:t>
            </w:r>
          </w:p>
        </w:tc>
        <w:tc>
          <w:tcPr>
            <w:tcW w:w="2977" w:type="dxa"/>
            <w:vAlign w:val="center"/>
          </w:tcPr>
          <w:p w14:paraId="05486882" w14:textId="77777777" w:rsidR="001333B2" w:rsidRPr="001333B2" w:rsidRDefault="001333B2" w:rsidP="001333B2">
            <w:pPr>
              <w:suppressAutoHyphens w:val="0"/>
              <w:spacing w:line="259" w:lineRule="auto"/>
              <w:jc w:val="center"/>
              <w:rPr>
                <w:rFonts w:ascii="Garamond" w:eastAsia="Calibri" w:hAnsi="Garamond" w:cs="Times New Roman"/>
                <w:bCs/>
                <w:sz w:val="22"/>
                <w:szCs w:val="22"/>
                <w:lang w:eastAsia="en-US"/>
              </w:rPr>
            </w:pPr>
            <w:r w:rsidRPr="001333B2">
              <w:rPr>
                <w:rFonts w:ascii="Garamond" w:eastAsia="Calibri" w:hAnsi="Garamond" w:cs="Times New Roman"/>
                <w:sz w:val="22"/>
                <w:szCs w:val="22"/>
                <w:lang w:eastAsia="en-US"/>
              </w:rPr>
              <w:t>Описание месторасположения</w:t>
            </w:r>
          </w:p>
        </w:tc>
        <w:tc>
          <w:tcPr>
            <w:tcW w:w="3544" w:type="dxa"/>
            <w:vAlign w:val="center"/>
          </w:tcPr>
          <w:p w14:paraId="45DDE611" w14:textId="77777777" w:rsidR="001333B2" w:rsidRPr="001333B2" w:rsidRDefault="001333B2" w:rsidP="001333B2">
            <w:pPr>
              <w:suppressAutoHyphens w:val="0"/>
              <w:spacing w:line="259" w:lineRule="auto"/>
              <w:jc w:val="center"/>
              <w:rPr>
                <w:rFonts w:ascii="Garamond" w:eastAsia="Calibri" w:hAnsi="Garamond" w:cs="Times New Roman"/>
                <w:bCs/>
                <w:sz w:val="22"/>
                <w:szCs w:val="22"/>
                <w:lang w:eastAsia="en-US"/>
              </w:rPr>
            </w:pPr>
            <w:r w:rsidRPr="001333B2">
              <w:rPr>
                <w:rFonts w:ascii="Garamond" w:eastAsia="Calibri" w:hAnsi="Garamond" w:cs="Times New Roman"/>
                <w:sz w:val="22"/>
                <w:szCs w:val="22"/>
                <w:lang w:eastAsia="en-US"/>
              </w:rPr>
              <w:t>Наименование присоединения</w:t>
            </w:r>
          </w:p>
        </w:tc>
      </w:tr>
      <w:tr w:rsidR="001333B2" w:rsidRPr="001333B2" w14:paraId="314FD89D" w14:textId="77777777" w:rsidTr="001A09D5">
        <w:trPr>
          <w:trHeight w:val="454"/>
          <w:jc w:val="center"/>
        </w:trPr>
        <w:tc>
          <w:tcPr>
            <w:tcW w:w="1271" w:type="dxa"/>
            <w:vAlign w:val="center"/>
          </w:tcPr>
          <w:p w14:paraId="037A507B" w14:textId="77777777" w:rsidR="001333B2" w:rsidRPr="001333B2" w:rsidRDefault="001333B2" w:rsidP="001333B2">
            <w:pPr>
              <w:suppressAutoHyphens w:val="0"/>
              <w:spacing w:line="259" w:lineRule="auto"/>
              <w:jc w:val="center"/>
              <w:rPr>
                <w:rFonts w:ascii="Garamond" w:eastAsia="Calibri" w:hAnsi="Garamond" w:cs="Times New Roman"/>
                <w:bCs/>
                <w:sz w:val="22"/>
                <w:szCs w:val="22"/>
                <w:lang w:eastAsia="en-US"/>
              </w:rPr>
            </w:pPr>
            <w:r w:rsidRPr="001333B2">
              <w:rPr>
                <w:rFonts w:ascii="Garamond" w:eastAsia="Calibri" w:hAnsi="Garamond" w:cs="Times New Roman"/>
                <w:bCs/>
                <w:sz w:val="22"/>
                <w:szCs w:val="22"/>
                <w:lang w:eastAsia="en-US"/>
              </w:rPr>
              <w:t>1</w:t>
            </w:r>
          </w:p>
        </w:tc>
        <w:tc>
          <w:tcPr>
            <w:tcW w:w="5812" w:type="dxa"/>
            <w:vAlign w:val="center"/>
          </w:tcPr>
          <w:p w14:paraId="066E202E" w14:textId="77777777" w:rsidR="001333B2" w:rsidRPr="001333B2" w:rsidRDefault="001333B2" w:rsidP="001333B2">
            <w:pPr>
              <w:suppressAutoHyphens w:val="0"/>
              <w:spacing w:line="259" w:lineRule="auto"/>
              <w:jc w:val="both"/>
              <w:rPr>
                <w:rFonts w:ascii="Garamond" w:eastAsia="Calibri" w:hAnsi="Garamond" w:cs="Times New Roman"/>
                <w:sz w:val="22"/>
                <w:szCs w:val="22"/>
                <w:lang w:eastAsia="en-US"/>
              </w:rPr>
            </w:pPr>
            <w:r w:rsidRPr="001333B2">
              <w:rPr>
                <w:rFonts w:ascii="Garamond" w:eastAsia="Calibri" w:hAnsi="Garamond" w:cs="Times New Roman"/>
                <w:sz w:val="22"/>
                <w:szCs w:val="22"/>
                <w:lang w:eastAsia="en-US"/>
              </w:rPr>
              <w:t>ПС 110 кВ Созвездие, ОРУ-35 кВ, 1 СШ 35 кВ, яч. 1, ВЛ 35 кВ Созвездие – Егоровка</w:t>
            </w:r>
          </w:p>
        </w:tc>
        <w:tc>
          <w:tcPr>
            <w:tcW w:w="2126" w:type="dxa"/>
            <w:vAlign w:val="center"/>
          </w:tcPr>
          <w:p w14:paraId="49D53F9B" w14:textId="77777777" w:rsidR="001333B2" w:rsidRPr="001333B2" w:rsidRDefault="001333B2" w:rsidP="001333B2">
            <w:pPr>
              <w:suppressAutoHyphens w:val="0"/>
              <w:spacing w:line="259" w:lineRule="auto"/>
              <w:jc w:val="both"/>
              <w:rPr>
                <w:rFonts w:ascii="Garamond" w:eastAsia="Calibri" w:hAnsi="Garamond" w:cs="Times New Roman"/>
                <w:sz w:val="22"/>
                <w:szCs w:val="22"/>
                <w:lang w:eastAsia="en-US"/>
              </w:rPr>
            </w:pPr>
            <w:r w:rsidRPr="001333B2">
              <w:rPr>
                <w:rFonts w:ascii="Garamond" w:eastAsia="Calibri" w:hAnsi="Garamond" w:cs="Times New Roman"/>
                <w:sz w:val="22"/>
                <w:szCs w:val="22"/>
                <w:lang w:eastAsia="en-US"/>
              </w:rPr>
              <w:t>ПС 110 кВ Созвездие</w:t>
            </w:r>
          </w:p>
        </w:tc>
        <w:tc>
          <w:tcPr>
            <w:tcW w:w="2977" w:type="dxa"/>
            <w:vAlign w:val="center"/>
          </w:tcPr>
          <w:p w14:paraId="14F5EE4F" w14:textId="77777777" w:rsidR="001333B2" w:rsidRPr="001333B2" w:rsidRDefault="001333B2" w:rsidP="001333B2">
            <w:pPr>
              <w:suppressAutoHyphens w:val="0"/>
              <w:spacing w:line="259" w:lineRule="auto"/>
              <w:jc w:val="both"/>
              <w:rPr>
                <w:rFonts w:ascii="Garamond" w:eastAsia="Calibri" w:hAnsi="Garamond" w:cs="Times New Roman"/>
                <w:sz w:val="22"/>
                <w:szCs w:val="22"/>
                <w:lang w:eastAsia="en-US"/>
              </w:rPr>
            </w:pPr>
            <w:r w:rsidRPr="001333B2">
              <w:rPr>
                <w:rFonts w:ascii="Garamond" w:eastAsia="Calibri" w:hAnsi="Garamond" w:cs="Times New Roman"/>
                <w:sz w:val="22"/>
                <w:szCs w:val="22"/>
                <w:lang w:eastAsia="en-US"/>
              </w:rPr>
              <w:t>ОРУ-35 кВ, 1 СШ 35 кВ, яч. 1</w:t>
            </w:r>
          </w:p>
        </w:tc>
        <w:tc>
          <w:tcPr>
            <w:tcW w:w="3544" w:type="dxa"/>
            <w:vAlign w:val="center"/>
          </w:tcPr>
          <w:p w14:paraId="39C40DBD" w14:textId="77777777" w:rsidR="001333B2" w:rsidRPr="001333B2" w:rsidRDefault="001333B2" w:rsidP="001333B2">
            <w:pPr>
              <w:suppressAutoHyphens w:val="0"/>
              <w:spacing w:line="259" w:lineRule="auto"/>
              <w:rPr>
                <w:rFonts w:ascii="Garamond" w:eastAsia="Calibri" w:hAnsi="Garamond" w:cs="Times New Roman"/>
                <w:sz w:val="22"/>
                <w:szCs w:val="22"/>
                <w:lang w:eastAsia="en-US"/>
              </w:rPr>
            </w:pPr>
            <w:r w:rsidRPr="001333B2">
              <w:rPr>
                <w:rFonts w:ascii="Garamond" w:eastAsia="Calibri" w:hAnsi="Garamond" w:cs="Times New Roman"/>
                <w:sz w:val="22"/>
                <w:szCs w:val="22"/>
                <w:lang w:eastAsia="en-US"/>
              </w:rPr>
              <w:t>ВЛ 35 кВ Созвездие – Егоровка</w:t>
            </w:r>
          </w:p>
        </w:tc>
      </w:tr>
      <w:tr w:rsidR="001333B2" w:rsidRPr="001333B2" w14:paraId="70A7572D" w14:textId="77777777" w:rsidTr="001A09D5">
        <w:trPr>
          <w:trHeight w:val="454"/>
          <w:jc w:val="center"/>
        </w:trPr>
        <w:tc>
          <w:tcPr>
            <w:tcW w:w="1271" w:type="dxa"/>
            <w:vAlign w:val="center"/>
          </w:tcPr>
          <w:p w14:paraId="5F35C76A" w14:textId="77777777" w:rsidR="001333B2" w:rsidRPr="001333B2" w:rsidRDefault="001333B2" w:rsidP="001333B2">
            <w:pPr>
              <w:suppressAutoHyphens w:val="0"/>
              <w:spacing w:line="259" w:lineRule="auto"/>
              <w:jc w:val="center"/>
              <w:rPr>
                <w:rFonts w:ascii="Garamond" w:eastAsia="Calibri" w:hAnsi="Garamond" w:cs="Times New Roman"/>
                <w:bCs/>
                <w:sz w:val="22"/>
                <w:szCs w:val="22"/>
                <w:lang w:eastAsia="en-US"/>
              </w:rPr>
            </w:pPr>
            <w:r w:rsidRPr="001333B2">
              <w:rPr>
                <w:rFonts w:ascii="Garamond" w:eastAsia="Calibri" w:hAnsi="Garamond" w:cs="Times New Roman"/>
                <w:bCs/>
                <w:sz w:val="22"/>
                <w:szCs w:val="22"/>
                <w:lang w:eastAsia="en-US"/>
              </w:rPr>
              <w:t>2</w:t>
            </w:r>
          </w:p>
        </w:tc>
        <w:tc>
          <w:tcPr>
            <w:tcW w:w="5812" w:type="dxa"/>
            <w:vAlign w:val="center"/>
          </w:tcPr>
          <w:p w14:paraId="2D30192E" w14:textId="77777777" w:rsidR="001333B2" w:rsidRPr="001333B2" w:rsidRDefault="001333B2" w:rsidP="001333B2">
            <w:pPr>
              <w:suppressAutoHyphens w:val="0"/>
              <w:spacing w:line="259" w:lineRule="auto"/>
              <w:jc w:val="both"/>
              <w:rPr>
                <w:rFonts w:ascii="Garamond" w:eastAsia="Calibri" w:hAnsi="Garamond" w:cs="Times New Roman"/>
                <w:sz w:val="22"/>
                <w:szCs w:val="22"/>
                <w:lang w:eastAsia="en-US"/>
              </w:rPr>
            </w:pPr>
            <w:r w:rsidRPr="001333B2">
              <w:rPr>
                <w:rFonts w:ascii="Garamond" w:eastAsia="Calibri" w:hAnsi="Garamond" w:cs="Times New Roman"/>
                <w:sz w:val="22"/>
                <w:szCs w:val="22"/>
                <w:lang w:eastAsia="en-US"/>
              </w:rPr>
              <w:t xml:space="preserve">ПС 35 кВ Егоровка, ОРУ-35 кВ, 1 СШ 35 кВ, яч. 1, ВЛ-35 кВ ЦРП </w:t>
            </w:r>
            <w:r w:rsidR="001A09D5">
              <w:rPr>
                <w:rFonts w:ascii="Garamond" w:eastAsia="Calibri" w:hAnsi="Garamond" w:cs="Times New Roman"/>
                <w:sz w:val="22"/>
                <w:szCs w:val="22"/>
                <w:lang w:eastAsia="en-US"/>
              </w:rPr>
              <w:t>–</w:t>
            </w:r>
            <w:r w:rsidRPr="001333B2">
              <w:rPr>
                <w:rFonts w:ascii="Garamond" w:eastAsia="Calibri" w:hAnsi="Garamond" w:cs="Times New Roman"/>
                <w:sz w:val="22"/>
                <w:szCs w:val="22"/>
                <w:lang w:eastAsia="en-US"/>
              </w:rPr>
              <w:t xml:space="preserve"> Егоровка</w:t>
            </w:r>
          </w:p>
        </w:tc>
        <w:tc>
          <w:tcPr>
            <w:tcW w:w="2126" w:type="dxa"/>
            <w:vAlign w:val="center"/>
          </w:tcPr>
          <w:p w14:paraId="2942D43A" w14:textId="77777777" w:rsidR="001333B2" w:rsidRPr="001333B2" w:rsidRDefault="001333B2" w:rsidP="001333B2">
            <w:pPr>
              <w:suppressAutoHyphens w:val="0"/>
              <w:spacing w:line="259" w:lineRule="auto"/>
              <w:jc w:val="both"/>
              <w:rPr>
                <w:rFonts w:ascii="Garamond" w:eastAsia="Calibri" w:hAnsi="Garamond" w:cs="Times New Roman"/>
                <w:sz w:val="22"/>
                <w:szCs w:val="22"/>
                <w:lang w:eastAsia="en-US"/>
              </w:rPr>
            </w:pPr>
            <w:r w:rsidRPr="001333B2">
              <w:rPr>
                <w:rFonts w:ascii="Garamond" w:eastAsia="Calibri" w:hAnsi="Garamond" w:cs="Times New Roman"/>
                <w:sz w:val="22"/>
                <w:szCs w:val="22"/>
                <w:lang w:eastAsia="en-US"/>
              </w:rPr>
              <w:t>ПС 35 кВ Егоровка</w:t>
            </w:r>
          </w:p>
        </w:tc>
        <w:tc>
          <w:tcPr>
            <w:tcW w:w="2977" w:type="dxa"/>
            <w:vAlign w:val="center"/>
          </w:tcPr>
          <w:p w14:paraId="03D478BC" w14:textId="77777777" w:rsidR="001333B2" w:rsidRPr="001333B2" w:rsidRDefault="001333B2" w:rsidP="001333B2">
            <w:pPr>
              <w:suppressAutoHyphens w:val="0"/>
              <w:spacing w:line="259" w:lineRule="auto"/>
              <w:jc w:val="both"/>
              <w:rPr>
                <w:rFonts w:ascii="Garamond" w:eastAsia="Calibri" w:hAnsi="Garamond" w:cs="Times New Roman"/>
                <w:sz w:val="22"/>
                <w:szCs w:val="22"/>
                <w:lang w:eastAsia="en-US"/>
              </w:rPr>
            </w:pPr>
            <w:r w:rsidRPr="001333B2">
              <w:rPr>
                <w:rFonts w:ascii="Garamond" w:eastAsia="Calibri" w:hAnsi="Garamond" w:cs="Times New Roman"/>
                <w:sz w:val="22"/>
                <w:szCs w:val="22"/>
                <w:lang w:eastAsia="en-US"/>
              </w:rPr>
              <w:t>ОРУ-35 кВ, 1 СШ 35 кВ, яч. 1</w:t>
            </w:r>
          </w:p>
        </w:tc>
        <w:tc>
          <w:tcPr>
            <w:tcW w:w="3544" w:type="dxa"/>
            <w:vAlign w:val="center"/>
          </w:tcPr>
          <w:p w14:paraId="0928789A" w14:textId="77777777" w:rsidR="001333B2" w:rsidRPr="001333B2" w:rsidRDefault="001333B2" w:rsidP="001333B2">
            <w:pPr>
              <w:suppressAutoHyphens w:val="0"/>
              <w:spacing w:line="259" w:lineRule="auto"/>
              <w:rPr>
                <w:rFonts w:ascii="Garamond" w:eastAsia="Calibri" w:hAnsi="Garamond" w:cs="Times New Roman"/>
                <w:sz w:val="22"/>
                <w:szCs w:val="22"/>
                <w:lang w:eastAsia="en-US"/>
              </w:rPr>
            </w:pPr>
            <w:r w:rsidRPr="001333B2">
              <w:rPr>
                <w:rFonts w:ascii="Garamond" w:eastAsia="Calibri" w:hAnsi="Garamond" w:cs="Times New Roman"/>
                <w:sz w:val="22"/>
                <w:szCs w:val="22"/>
                <w:lang w:eastAsia="en-US"/>
              </w:rPr>
              <w:t>ВЛ-35 кВ ЦРП - Егоровка</w:t>
            </w:r>
          </w:p>
        </w:tc>
      </w:tr>
      <w:tr w:rsidR="001333B2" w:rsidRPr="001333B2" w14:paraId="69E488CD" w14:textId="77777777" w:rsidTr="001A09D5">
        <w:trPr>
          <w:trHeight w:val="454"/>
          <w:jc w:val="center"/>
        </w:trPr>
        <w:tc>
          <w:tcPr>
            <w:tcW w:w="1271" w:type="dxa"/>
            <w:vAlign w:val="center"/>
          </w:tcPr>
          <w:p w14:paraId="5EC85221" w14:textId="77777777" w:rsidR="001333B2" w:rsidRPr="001333B2" w:rsidRDefault="001333B2" w:rsidP="001333B2">
            <w:pPr>
              <w:suppressAutoHyphens w:val="0"/>
              <w:spacing w:line="259" w:lineRule="auto"/>
              <w:jc w:val="center"/>
              <w:rPr>
                <w:rFonts w:ascii="Garamond" w:eastAsia="Calibri" w:hAnsi="Garamond" w:cs="Times New Roman"/>
                <w:bCs/>
                <w:sz w:val="22"/>
                <w:szCs w:val="22"/>
                <w:lang w:eastAsia="en-US"/>
              </w:rPr>
            </w:pPr>
            <w:r w:rsidRPr="001333B2">
              <w:rPr>
                <w:rFonts w:ascii="Garamond" w:eastAsia="Calibri" w:hAnsi="Garamond" w:cs="Times New Roman"/>
                <w:bCs/>
                <w:sz w:val="22"/>
                <w:szCs w:val="22"/>
                <w:lang w:eastAsia="en-US"/>
              </w:rPr>
              <w:t>3</w:t>
            </w:r>
          </w:p>
        </w:tc>
        <w:tc>
          <w:tcPr>
            <w:tcW w:w="5812" w:type="dxa"/>
            <w:vAlign w:val="center"/>
          </w:tcPr>
          <w:p w14:paraId="4603B4B3" w14:textId="77777777" w:rsidR="001333B2" w:rsidRPr="001333B2" w:rsidRDefault="001333B2" w:rsidP="001333B2">
            <w:pPr>
              <w:suppressAutoHyphens w:val="0"/>
              <w:spacing w:line="259" w:lineRule="auto"/>
              <w:jc w:val="both"/>
              <w:rPr>
                <w:rFonts w:ascii="Garamond" w:eastAsia="Calibri" w:hAnsi="Garamond" w:cs="Times New Roman"/>
                <w:sz w:val="22"/>
                <w:szCs w:val="22"/>
                <w:lang w:eastAsia="en-US"/>
              </w:rPr>
            </w:pPr>
            <w:r w:rsidRPr="001333B2">
              <w:rPr>
                <w:rFonts w:ascii="Garamond" w:eastAsia="Calibri" w:hAnsi="Garamond" w:cs="Times New Roman"/>
                <w:sz w:val="22"/>
                <w:szCs w:val="22"/>
                <w:lang w:eastAsia="en-US"/>
              </w:rPr>
              <w:t>Восточная ТЭЦ-1, ГРУ-6 кВ, 1 СШ 6 кВ, яч. 7, ВЛ-6 кВ</w:t>
            </w:r>
          </w:p>
        </w:tc>
        <w:tc>
          <w:tcPr>
            <w:tcW w:w="2126" w:type="dxa"/>
            <w:vAlign w:val="center"/>
          </w:tcPr>
          <w:p w14:paraId="17380268" w14:textId="77777777" w:rsidR="001333B2" w:rsidRPr="001333B2" w:rsidRDefault="001333B2" w:rsidP="001333B2">
            <w:pPr>
              <w:suppressAutoHyphens w:val="0"/>
              <w:spacing w:line="259" w:lineRule="auto"/>
              <w:jc w:val="both"/>
              <w:rPr>
                <w:rFonts w:ascii="Garamond" w:eastAsia="Calibri" w:hAnsi="Garamond" w:cs="Times New Roman"/>
                <w:sz w:val="22"/>
                <w:szCs w:val="22"/>
                <w:lang w:eastAsia="en-US"/>
              </w:rPr>
            </w:pPr>
            <w:r w:rsidRPr="001333B2">
              <w:rPr>
                <w:rFonts w:ascii="Garamond" w:eastAsia="Calibri" w:hAnsi="Garamond" w:cs="Times New Roman"/>
                <w:sz w:val="22"/>
                <w:szCs w:val="22"/>
                <w:lang w:eastAsia="en-US"/>
              </w:rPr>
              <w:t>Восточная ТЭЦ-1</w:t>
            </w:r>
          </w:p>
        </w:tc>
        <w:tc>
          <w:tcPr>
            <w:tcW w:w="2977" w:type="dxa"/>
            <w:vAlign w:val="center"/>
          </w:tcPr>
          <w:p w14:paraId="5AC11F47" w14:textId="77777777" w:rsidR="001333B2" w:rsidRPr="001333B2" w:rsidRDefault="001333B2" w:rsidP="001333B2">
            <w:pPr>
              <w:suppressAutoHyphens w:val="0"/>
              <w:spacing w:line="259" w:lineRule="auto"/>
              <w:jc w:val="both"/>
              <w:rPr>
                <w:rFonts w:ascii="Garamond" w:eastAsia="Calibri" w:hAnsi="Garamond" w:cs="Times New Roman"/>
                <w:sz w:val="22"/>
                <w:szCs w:val="22"/>
                <w:lang w:eastAsia="en-US"/>
              </w:rPr>
            </w:pPr>
            <w:r w:rsidRPr="001333B2">
              <w:rPr>
                <w:rFonts w:ascii="Garamond" w:eastAsia="Calibri" w:hAnsi="Garamond" w:cs="Times New Roman"/>
                <w:sz w:val="22"/>
                <w:szCs w:val="22"/>
                <w:lang w:eastAsia="en-US"/>
              </w:rPr>
              <w:t>ГРУ-6 кВ, 1 СШ 6 кВ, яч. 7,</w:t>
            </w:r>
          </w:p>
        </w:tc>
        <w:tc>
          <w:tcPr>
            <w:tcW w:w="3544" w:type="dxa"/>
            <w:vAlign w:val="center"/>
          </w:tcPr>
          <w:p w14:paraId="3DD9DC48" w14:textId="77777777" w:rsidR="001333B2" w:rsidRPr="001333B2" w:rsidRDefault="001333B2" w:rsidP="001333B2">
            <w:pPr>
              <w:suppressAutoHyphens w:val="0"/>
              <w:spacing w:line="259" w:lineRule="auto"/>
              <w:rPr>
                <w:rFonts w:ascii="Garamond" w:eastAsia="Calibri" w:hAnsi="Garamond" w:cs="Times New Roman"/>
                <w:sz w:val="22"/>
                <w:szCs w:val="22"/>
                <w:lang w:eastAsia="en-US"/>
              </w:rPr>
            </w:pPr>
            <w:r w:rsidRPr="001333B2">
              <w:rPr>
                <w:rFonts w:ascii="Garamond" w:eastAsia="Calibri" w:hAnsi="Garamond" w:cs="Times New Roman"/>
                <w:sz w:val="22"/>
                <w:szCs w:val="22"/>
                <w:lang w:eastAsia="en-US"/>
              </w:rPr>
              <w:t>ВЛ-6 кВ</w:t>
            </w:r>
          </w:p>
        </w:tc>
      </w:tr>
      <w:tr w:rsidR="001333B2" w:rsidRPr="001333B2" w14:paraId="1723899A" w14:textId="77777777" w:rsidTr="001A09D5">
        <w:trPr>
          <w:trHeight w:val="454"/>
          <w:jc w:val="center"/>
        </w:trPr>
        <w:tc>
          <w:tcPr>
            <w:tcW w:w="1271" w:type="dxa"/>
            <w:vAlign w:val="center"/>
          </w:tcPr>
          <w:p w14:paraId="7F6107B8" w14:textId="77777777" w:rsidR="001333B2" w:rsidRPr="001333B2" w:rsidRDefault="001333B2" w:rsidP="001333B2">
            <w:pPr>
              <w:suppressAutoHyphens w:val="0"/>
              <w:spacing w:line="259" w:lineRule="auto"/>
              <w:jc w:val="center"/>
              <w:rPr>
                <w:rFonts w:ascii="Garamond" w:eastAsia="Calibri" w:hAnsi="Garamond" w:cs="Times New Roman"/>
                <w:bCs/>
                <w:sz w:val="22"/>
                <w:szCs w:val="22"/>
                <w:lang w:eastAsia="en-US"/>
              </w:rPr>
            </w:pPr>
            <w:r w:rsidRPr="001333B2">
              <w:rPr>
                <w:rFonts w:ascii="Garamond" w:eastAsia="Calibri" w:hAnsi="Garamond" w:cs="Times New Roman"/>
                <w:bCs/>
                <w:sz w:val="22"/>
                <w:szCs w:val="22"/>
                <w:lang w:eastAsia="en-US"/>
              </w:rPr>
              <w:t>4</w:t>
            </w:r>
          </w:p>
        </w:tc>
        <w:tc>
          <w:tcPr>
            <w:tcW w:w="5812" w:type="dxa"/>
            <w:vAlign w:val="center"/>
          </w:tcPr>
          <w:p w14:paraId="48722996" w14:textId="77777777" w:rsidR="001333B2" w:rsidRPr="001333B2" w:rsidRDefault="001333B2" w:rsidP="001333B2">
            <w:pPr>
              <w:suppressAutoHyphens w:val="0"/>
              <w:spacing w:line="259" w:lineRule="auto"/>
              <w:jc w:val="both"/>
              <w:rPr>
                <w:rFonts w:ascii="Garamond" w:eastAsia="Calibri" w:hAnsi="Garamond" w:cs="Times New Roman"/>
                <w:sz w:val="22"/>
                <w:szCs w:val="22"/>
                <w:lang w:eastAsia="en-US"/>
              </w:rPr>
            </w:pPr>
            <w:r w:rsidRPr="001333B2">
              <w:rPr>
                <w:rFonts w:ascii="Garamond" w:eastAsia="Calibri" w:hAnsi="Garamond" w:cs="Times New Roman"/>
                <w:sz w:val="22"/>
                <w:szCs w:val="22"/>
                <w:lang w:eastAsia="en-US"/>
              </w:rPr>
              <w:t>КТП-1 6/0,4 кВ, РУ-0,4 кВ, 1 СШ 0,4 кВ, яч. 2, КЛ-0,4 кВ АВК</w:t>
            </w:r>
          </w:p>
        </w:tc>
        <w:tc>
          <w:tcPr>
            <w:tcW w:w="2126" w:type="dxa"/>
            <w:vAlign w:val="center"/>
          </w:tcPr>
          <w:p w14:paraId="5EB23030" w14:textId="77777777" w:rsidR="001333B2" w:rsidRPr="001333B2" w:rsidRDefault="001333B2" w:rsidP="001333B2">
            <w:pPr>
              <w:suppressAutoHyphens w:val="0"/>
              <w:spacing w:line="259" w:lineRule="auto"/>
              <w:jc w:val="both"/>
              <w:rPr>
                <w:rFonts w:ascii="Garamond" w:eastAsia="Calibri" w:hAnsi="Garamond" w:cs="Times New Roman"/>
                <w:sz w:val="22"/>
                <w:szCs w:val="22"/>
                <w:lang w:eastAsia="en-US"/>
              </w:rPr>
            </w:pPr>
            <w:r w:rsidRPr="001333B2">
              <w:rPr>
                <w:rFonts w:ascii="Garamond" w:eastAsia="Calibri" w:hAnsi="Garamond" w:cs="Times New Roman"/>
                <w:sz w:val="22"/>
                <w:szCs w:val="22"/>
                <w:lang w:eastAsia="en-US"/>
              </w:rPr>
              <w:t>КТП-1 6/0,4 кВ</w:t>
            </w:r>
          </w:p>
        </w:tc>
        <w:tc>
          <w:tcPr>
            <w:tcW w:w="2977" w:type="dxa"/>
            <w:vAlign w:val="center"/>
          </w:tcPr>
          <w:p w14:paraId="74EF9353" w14:textId="77777777" w:rsidR="001333B2" w:rsidRPr="001333B2" w:rsidRDefault="001333B2" w:rsidP="001333B2">
            <w:pPr>
              <w:suppressAutoHyphens w:val="0"/>
              <w:spacing w:line="259" w:lineRule="auto"/>
              <w:jc w:val="both"/>
              <w:rPr>
                <w:rFonts w:ascii="Garamond" w:eastAsia="Calibri" w:hAnsi="Garamond" w:cs="Times New Roman"/>
                <w:sz w:val="22"/>
                <w:szCs w:val="22"/>
                <w:lang w:eastAsia="en-US"/>
              </w:rPr>
            </w:pPr>
            <w:r w:rsidRPr="001333B2">
              <w:rPr>
                <w:rFonts w:ascii="Garamond" w:eastAsia="Calibri" w:hAnsi="Garamond" w:cs="Times New Roman"/>
                <w:sz w:val="22"/>
                <w:szCs w:val="22"/>
                <w:lang w:eastAsia="en-US"/>
              </w:rPr>
              <w:t>РУ-0,4 кВ, 1 СШ 0,4 кВ, яч. 2,</w:t>
            </w:r>
          </w:p>
        </w:tc>
        <w:tc>
          <w:tcPr>
            <w:tcW w:w="3544" w:type="dxa"/>
            <w:vAlign w:val="center"/>
          </w:tcPr>
          <w:p w14:paraId="25F3DAF4" w14:textId="77777777" w:rsidR="001333B2" w:rsidRPr="001333B2" w:rsidRDefault="001333B2" w:rsidP="001333B2">
            <w:pPr>
              <w:suppressAutoHyphens w:val="0"/>
              <w:spacing w:line="259" w:lineRule="auto"/>
              <w:rPr>
                <w:rFonts w:ascii="Garamond" w:eastAsia="Calibri" w:hAnsi="Garamond" w:cs="Times New Roman"/>
                <w:sz w:val="22"/>
                <w:szCs w:val="22"/>
                <w:lang w:eastAsia="en-US"/>
              </w:rPr>
            </w:pPr>
            <w:r w:rsidRPr="001333B2">
              <w:rPr>
                <w:rFonts w:ascii="Garamond" w:eastAsia="Calibri" w:hAnsi="Garamond" w:cs="Times New Roman"/>
                <w:sz w:val="22"/>
                <w:szCs w:val="22"/>
                <w:lang w:eastAsia="en-US"/>
              </w:rPr>
              <w:t>КЛ-0,4 кВ АВК</w:t>
            </w:r>
          </w:p>
        </w:tc>
      </w:tr>
      <w:tr w:rsidR="001333B2" w:rsidRPr="001333B2" w14:paraId="04EB1957" w14:textId="77777777" w:rsidTr="001A09D5">
        <w:trPr>
          <w:trHeight w:val="454"/>
          <w:jc w:val="center"/>
        </w:trPr>
        <w:tc>
          <w:tcPr>
            <w:tcW w:w="1271" w:type="dxa"/>
            <w:vAlign w:val="center"/>
          </w:tcPr>
          <w:p w14:paraId="49628CF2" w14:textId="77777777" w:rsidR="001333B2" w:rsidRPr="001333B2" w:rsidRDefault="001333B2" w:rsidP="001333B2">
            <w:pPr>
              <w:suppressAutoHyphens w:val="0"/>
              <w:spacing w:line="259" w:lineRule="auto"/>
              <w:jc w:val="center"/>
              <w:rPr>
                <w:rFonts w:ascii="Garamond" w:eastAsia="Calibri" w:hAnsi="Garamond" w:cs="Times New Roman"/>
                <w:bCs/>
                <w:sz w:val="22"/>
                <w:szCs w:val="22"/>
                <w:lang w:eastAsia="en-US"/>
              </w:rPr>
            </w:pPr>
            <w:r w:rsidRPr="001333B2">
              <w:rPr>
                <w:rFonts w:ascii="Garamond" w:eastAsia="Calibri" w:hAnsi="Garamond" w:cs="Times New Roman"/>
                <w:bCs/>
                <w:sz w:val="22"/>
                <w:szCs w:val="22"/>
                <w:lang w:eastAsia="en-US"/>
              </w:rPr>
              <w:t>5</w:t>
            </w:r>
          </w:p>
        </w:tc>
        <w:tc>
          <w:tcPr>
            <w:tcW w:w="5812" w:type="dxa"/>
            <w:vAlign w:val="center"/>
          </w:tcPr>
          <w:p w14:paraId="64C5FC00" w14:textId="77777777" w:rsidR="001333B2" w:rsidRPr="001333B2" w:rsidRDefault="001333B2" w:rsidP="001333B2">
            <w:pPr>
              <w:suppressAutoHyphens w:val="0"/>
              <w:spacing w:line="259" w:lineRule="auto"/>
              <w:jc w:val="both"/>
              <w:rPr>
                <w:rFonts w:ascii="Garamond" w:eastAsia="Calibri" w:hAnsi="Garamond" w:cs="Times New Roman"/>
                <w:sz w:val="22"/>
                <w:szCs w:val="22"/>
                <w:lang w:eastAsia="en-US"/>
              </w:rPr>
            </w:pPr>
            <w:r w:rsidRPr="001333B2">
              <w:rPr>
                <w:rFonts w:ascii="Garamond" w:eastAsia="Calibri" w:hAnsi="Garamond" w:cs="Times New Roman"/>
                <w:sz w:val="22"/>
                <w:szCs w:val="22"/>
                <w:lang w:eastAsia="en-US"/>
              </w:rPr>
              <w:t>ПС 35 кВ Егоровка, ЗРУ-6 кВ, 2 СШ 6 кВ, яч. 15, КЛ-6 кВ ЦТП</w:t>
            </w:r>
          </w:p>
        </w:tc>
        <w:tc>
          <w:tcPr>
            <w:tcW w:w="2126" w:type="dxa"/>
            <w:vAlign w:val="center"/>
          </w:tcPr>
          <w:p w14:paraId="1A616EE8" w14:textId="77777777" w:rsidR="001333B2" w:rsidRPr="001333B2" w:rsidRDefault="001333B2" w:rsidP="001333B2">
            <w:pPr>
              <w:suppressAutoHyphens w:val="0"/>
              <w:spacing w:line="259" w:lineRule="auto"/>
              <w:jc w:val="both"/>
              <w:rPr>
                <w:rFonts w:ascii="Garamond" w:eastAsia="Calibri" w:hAnsi="Garamond" w:cs="Times New Roman"/>
                <w:sz w:val="22"/>
                <w:szCs w:val="22"/>
                <w:lang w:eastAsia="en-US"/>
              </w:rPr>
            </w:pPr>
            <w:r w:rsidRPr="001333B2">
              <w:rPr>
                <w:rFonts w:ascii="Garamond" w:eastAsia="Calibri" w:hAnsi="Garamond" w:cs="Times New Roman"/>
                <w:sz w:val="22"/>
                <w:szCs w:val="22"/>
                <w:lang w:eastAsia="en-US"/>
              </w:rPr>
              <w:t>ПС 35 кВ Егоровка</w:t>
            </w:r>
          </w:p>
        </w:tc>
        <w:tc>
          <w:tcPr>
            <w:tcW w:w="2977" w:type="dxa"/>
            <w:vAlign w:val="center"/>
          </w:tcPr>
          <w:p w14:paraId="26E88B21" w14:textId="77777777" w:rsidR="001333B2" w:rsidRPr="001333B2" w:rsidRDefault="001333B2" w:rsidP="001333B2">
            <w:pPr>
              <w:suppressAutoHyphens w:val="0"/>
              <w:spacing w:line="259" w:lineRule="auto"/>
              <w:jc w:val="both"/>
              <w:rPr>
                <w:rFonts w:ascii="Garamond" w:eastAsia="Calibri" w:hAnsi="Garamond" w:cs="Times New Roman"/>
                <w:sz w:val="22"/>
                <w:szCs w:val="22"/>
                <w:lang w:eastAsia="en-US"/>
              </w:rPr>
            </w:pPr>
            <w:r w:rsidRPr="001333B2">
              <w:rPr>
                <w:rFonts w:ascii="Garamond" w:eastAsia="Calibri" w:hAnsi="Garamond" w:cs="Times New Roman"/>
                <w:sz w:val="22"/>
                <w:szCs w:val="22"/>
                <w:lang w:eastAsia="en-US"/>
              </w:rPr>
              <w:t>ЗРУ-6 кВ, 2 СШ 6 кВ, яч. 15</w:t>
            </w:r>
          </w:p>
        </w:tc>
        <w:tc>
          <w:tcPr>
            <w:tcW w:w="3544" w:type="dxa"/>
            <w:vAlign w:val="center"/>
          </w:tcPr>
          <w:p w14:paraId="422E4A74" w14:textId="77777777" w:rsidR="001333B2" w:rsidRPr="001333B2" w:rsidRDefault="001333B2" w:rsidP="001333B2">
            <w:pPr>
              <w:suppressAutoHyphens w:val="0"/>
              <w:spacing w:line="259" w:lineRule="auto"/>
              <w:rPr>
                <w:rFonts w:ascii="Garamond" w:eastAsia="Calibri" w:hAnsi="Garamond" w:cs="Times New Roman"/>
                <w:sz w:val="22"/>
                <w:szCs w:val="22"/>
                <w:lang w:eastAsia="en-US"/>
              </w:rPr>
            </w:pPr>
            <w:r w:rsidRPr="001333B2">
              <w:rPr>
                <w:rFonts w:ascii="Garamond" w:eastAsia="Calibri" w:hAnsi="Garamond" w:cs="Times New Roman"/>
                <w:sz w:val="22"/>
                <w:szCs w:val="22"/>
                <w:lang w:eastAsia="en-US"/>
              </w:rPr>
              <w:t>КЛ-6 кВ ЦТП</w:t>
            </w:r>
          </w:p>
        </w:tc>
      </w:tr>
    </w:tbl>
    <w:p w14:paraId="4A37BFE0" w14:textId="7DB89ECE" w:rsidR="00A43635" w:rsidRPr="001A09D5" w:rsidRDefault="001333B2" w:rsidP="001A09D5">
      <w:pPr>
        <w:widowControl w:val="0"/>
        <w:tabs>
          <w:tab w:val="left" w:pos="1077"/>
        </w:tabs>
        <w:suppressAutoHyphens w:val="0"/>
        <w:spacing w:before="120" w:after="120"/>
        <w:jc w:val="both"/>
        <w:rPr>
          <w:rFonts w:ascii="Garamond" w:eastAsia="Calibri" w:hAnsi="Garamond" w:cs="Times New Roman"/>
          <w:bCs/>
          <w:sz w:val="22"/>
          <w:szCs w:val="22"/>
          <w:lang w:eastAsia="en-US"/>
        </w:rPr>
        <w:sectPr w:rsidR="00A43635" w:rsidRPr="001A09D5" w:rsidSect="001333B2">
          <w:pgSz w:w="16838" w:h="11906" w:orient="landscape"/>
          <w:pgMar w:top="1276" w:right="964" w:bottom="851" w:left="964" w:header="709" w:footer="709" w:gutter="0"/>
          <w:cols w:space="708"/>
          <w:docGrid w:linePitch="360"/>
        </w:sectPr>
      </w:pPr>
      <w:r w:rsidRPr="001333B2">
        <w:rPr>
          <w:rFonts w:ascii="Garamond" w:eastAsia="Calibri" w:hAnsi="Garamond" w:cs="Times New Roman"/>
          <w:bCs/>
          <w:sz w:val="22"/>
          <w:szCs w:val="22"/>
          <w:lang w:eastAsia="en-US"/>
        </w:rPr>
        <w:t xml:space="preserve">Дополнительные примеры оформления однолинейных схем, наименований точек присоединения (точек поставки) и наименований точек измерений указаны в </w:t>
      </w:r>
      <w:r w:rsidR="001043A6">
        <w:rPr>
          <w:rFonts w:ascii="Garamond" w:eastAsia="Calibri" w:hAnsi="Garamond" w:cs="Times New Roman"/>
          <w:bCs/>
          <w:sz w:val="22"/>
          <w:szCs w:val="22"/>
          <w:lang w:eastAsia="en-US"/>
        </w:rPr>
        <w:t>п</w:t>
      </w:r>
      <w:r w:rsidRPr="001333B2">
        <w:rPr>
          <w:rFonts w:ascii="Garamond" w:eastAsia="Calibri" w:hAnsi="Garamond" w:cs="Times New Roman"/>
          <w:bCs/>
          <w:sz w:val="22"/>
          <w:szCs w:val="22"/>
          <w:lang w:eastAsia="en-US"/>
        </w:rPr>
        <w:t xml:space="preserve">риложении 5 к </w:t>
      </w:r>
      <w:r w:rsidRPr="001333B2">
        <w:rPr>
          <w:rFonts w:ascii="Garamond" w:eastAsia="Calibri" w:hAnsi="Garamond" w:cs="Times New Roman"/>
          <w:bCs/>
          <w:i/>
          <w:sz w:val="22"/>
          <w:szCs w:val="22"/>
          <w:lang w:eastAsia="en-US"/>
        </w:rPr>
        <w:t>Положению о порядке получения статуса субъекта оптового рынка и ведения реестра субъектов оптового рынка</w:t>
      </w:r>
      <w:r w:rsidRPr="001333B2">
        <w:rPr>
          <w:rFonts w:ascii="Garamond" w:eastAsia="Calibri" w:hAnsi="Garamond" w:cs="Times New Roman"/>
          <w:bCs/>
          <w:sz w:val="22"/>
          <w:szCs w:val="22"/>
          <w:lang w:eastAsia="en-US"/>
        </w:rPr>
        <w:t xml:space="preserve"> (</w:t>
      </w:r>
      <w:bookmarkStart w:id="74" w:name="_Toc399249076"/>
      <w:bookmarkStart w:id="75" w:name="_Toc404696511"/>
      <w:bookmarkStart w:id="76" w:name="_Toc407019961"/>
      <w:bookmarkStart w:id="77" w:name="_Toc428358484"/>
      <w:bookmarkStart w:id="78" w:name="_Toc473814527"/>
      <w:bookmarkStart w:id="79" w:name="_Toc479333148"/>
      <w:bookmarkStart w:id="80" w:name="_Toc501972158"/>
      <w:bookmarkStart w:id="81" w:name="_Toc531256979"/>
      <w:bookmarkStart w:id="82" w:name="_Toc536697947"/>
      <w:bookmarkStart w:id="83" w:name="_Toc91505569"/>
      <w:r w:rsidRPr="001333B2">
        <w:rPr>
          <w:rFonts w:ascii="Garamond" w:eastAsia="Calibri" w:hAnsi="Garamond" w:cs="Times New Roman"/>
          <w:bCs/>
          <w:sz w:val="22"/>
          <w:szCs w:val="22"/>
          <w:lang w:eastAsia="en-US"/>
        </w:rPr>
        <w:t>Приложение № 1.1</w:t>
      </w:r>
      <w:bookmarkEnd w:id="74"/>
      <w:bookmarkEnd w:id="75"/>
      <w:bookmarkEnd w:id="76"/>
      <w:bookmarkEnd w:id="77"/>
      <w:bookmarkEnd w:id="78"/>
      <w:bookmarkEnd w:id="79"/>
      <w:bookmarkEnd w:id="80"/>
      <w:bookmarkEnd w:id="81"/>
      <w:bookmarkEnd w:id="82"/>
      <w:bookmarkEnd w:id="83"/>
      <w:r w:rsidRPr="001333B2">
        <w:rPr>
          <w:rFonts w:ascii="Garamond" w:eastAsia="Calibri" w:hAnsi="Garamond" w:cs="Times New Roman"/>
          <w:bCs/>
          <w:sz w:val="22"/>
          <w:szCs w:val="22"/>
          <w:lang w:eastAsia="en-US"/>
        </w:rPr>
        <w:t xml:space="preserve"> к </w:t>
      </w:r>
      <w:r w:rsidRPr="001333B2">
        <w:rPr>
          <w:rFonts w:ascii="Garamond" w:eastAsia="Calibri" w:hAnsi="Garamond" w:cs="Times New Roman"/>
          <w:bCs/>
          <w:i/>
          <w:sz w:val="22"/>
          <w:szCs w:val="22"/>
          <w:lang w:eastAsia="en-US"/>
        </w:rPr>
        <w:t>Договору о присоединении к торговой системе оптового рынка</w:t>
      </w:r>
      <w:r w:rsidRPr="001333B2">
        <w:rPr>
          <w:rFonts w:ascii="Garamond" w:eastAsia="Calibri" w:hAnsi="Garamond" w:cs="Times New Roman"/>
          <w:bCs/>
          <w:sz w:val="22"/>
          <w:szCs w:val="22"/>
          <w:lang w:eastAsia="en-US"/>
        </w:rPr>
        <w:t>).</w:t>
      </w:r>
    </w:p>
    <w:p w14:paraId="57C8C0BA" w14:textId="75542DD9" w:rsidR="00C817A3" w:rsidRDefault="00C817A3" w:rsidP="001043A6">
      <w:pPr>
        <w:pStyle w:val="10"/>
        <w:keepNext w:val="0"/>
        <w:spacing w:line="240" w:lineRule="auto"/>
        <w:jc w:val="left"/>
        <w:rPr>
          <w:rFonts w:ascii="Garamond" w:eastAsia="Courier New" w:hAnsi="Garamond"/>
          <w:sz w:val="26"/>
          <w:szCs w:val="26"/>
        </w:rPr>
      </w:pPr>
      <w:r w:rsidRPr="00101F7C">
        <w:rPr>
          <w:rFonts w:ascii="Garamond" w:eastAsia="Courier New" w:hAnsi="Garamond"/>
          <w:sz w:val="26"/>
          <w:szCs w:val="26"/>
        </w:rPr>
        <w:lastRenderedPageBreak/>
        <w:t>Предложения по изменениям и дополнениям в АВТОМАТИЗИРОВАННЫЕ ИНФОРМАЦИОННО-ИЗМЕРИТЕЛЬНЫЕ СИСТЕМЫ КОММЕРЧЕСКОГО УЧЕТА ЭЛЕКТРИЧЕСКОЙ ЭНЕРГИИ (МОЩНОСТИ). ТЕХНИЧЕСКИЕ ТРЕБОВАНИЯ (Приложение № 11.1 к Положению о порядке получения статуса субъекта оптового рынка и ведения реестра субъектов оптового рынка)</w:t>
      </w:r>
    </w:p>
    <w:p w14:paraId="396FD245" w14:textId="77777777" w:rsidR="001043A6" w:rsidRPr="001043A6" w:rsidRDefault="001043A6" w:rsidP="001043A6"/>
    <w:tbl>
      <w:tblPr>
        <w:tblW w:w="14979"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1"/>
        <w:gridCol w:w="6833"/>
        <w:gridCol w:w="7115"/>
      </w:tblGrid>
      <w:tr w:rsidR="00C817A3" w:rsidRPr="001043A6" w14:paraId="51F7BFF7" w14:textId="77777777" w:rsidTr="001043A6">
        <w:tc>
          <w:tcPr>
            <w:tcW w:w="1031" w:type="dxa"/>
          </w:tcPr>
          <w:p w14:paraId="4B967CEE" w14:textId="77777777" w:rsidR="00C817A3" w:rsidRPr="001043A6" w:rsidRDefault="00C817A3" w:rsidP="001043A6">
            <w:pPr>
              <w:widowControl w:val="0"/>
              <w:jc w:val="center"/>
              <w:rPr>
                <w:rFonts w:ascii="Garamond" w:hAnsi="Garamond"/>
                <w:b/>
                <w:sz w:val="22"/>
                <w:szCs w:val="22"/>
                <w:lang w:eastAsia="en-US"/>
              </w:rPr>
            </w:pPr>
            <w:r w:rsidRPr="001043A6">
              <w:rPr>
                <w:rFonts w:ascii="Garamond" w:hAnsi="Garamond"/>
                <w:b/>
                <w:sz w:val="22"/>
                <w:szCs w:val="22"/>
                <w:lang w:eastAsia="en-US"/>
              </w:rPr>
              <w:t>№</w:t>
            </w:r>
          </w:p>
          <w:p w14:paraId="67439CBC" w14:textId="77777777" w:rsidR="00C817A3" w:rsidRPr="001043A6" w:rsidRDefault="00C817A3" w:rsidP="001043A6">
            <w:pPr>
              <w:widowControl w:val="0"/>
              <w:jc w:val="center"/>
              <w:rPr>
                <w:rFonts w:ascii="Garamond" w:hAnsi="Garamond"/>
                <w:b/>
                <w:sz w:val="22"/>
                <w:szCs w:val="22"/>
                <w:lang w:eastAsia="en-US"/>
              </w:rPr>
            </w:pPr>
            <w:r w:rsidRPr="001043A6">
              <w:rPr>
                <w:rFonts w:ascii="Garamond" w:hAnsi="Garamond"/>
                <w:b/>
                <w:sz w:val="22"/>
                <w:szCs w:val="22"/>
                <w:lang w:eastAsia="en-US"/>
              </w:rPr>
              <w:t>пункта</w:t>
            </w:r>
          </w:p>
        </w:tc>
        <w:tc>
          <w:tcPr>
            <w:tcW w:w="6833" w:type="dxa"/>
          </w:tcPr>
          <w:p w14:paraId="2A5020BB" w14:textId="77777777" w:rsidR="001043A6" w:rsidRDefault="00C817A3" w:rsidP="001043A6">
            <w:pPr>
              <w:widowControl w:val="0"/>
              <w:jc w:val="center"/>
              <w:rPr>
                <w:rFonts w:ascii="Garamond" w:hAnsi="Garamond"/>
                <w:b/>
                <w:sz w:val="22"/>
                <w:szCs w:val="22"/>
                <w:lang w:eastAsia="en-US"/>
              </w:rPr>
            </w:pPr>
            <w:r w:rsidRPr="001043A6">
              <w:rPr>
                <w:rFonts w:ascii="Garamond" w:hAnsi="Garamond"/>
                <w:b/>
                <w:sz w:val="22"/>
                <w:szCs w:val="22"/>
                <w:lang w:eastAsia="en-US"/>
              </w:rPr>
              <w:t xml:space="preserve">Редакция, действующая на момент </w:t>
            </w:r>
          </w:p>
          <w:p w14:paraId="27E0D62E" w14:textId="0673FA25" w:rsidR="00C817A3" w:rsidRPr="001043A6" w:rsidRDefault="00C817A3" w:rsidP="001043A6">
            <w:pPr>
              <w:widowControl w:val="0"/>
              <w:jc w:val="center"/>
              <w:rPr>
                <w:rFonts w:ascii="Garamond" w:hAnsi="Garamond"/>
                <w:sz w:val="22"/>
                <w:szCs w:val="22"/>
                <w:lang w:eastAsia="en-US"/>
              </w:rPr>
            </w:pPr>
            <w:r w:rsidRPr="001043A6">
              <w:rPr>
                <w:rFonts w:ascii="Garamond" w:hAnsi="Garamond"/>
                <w:b/>
                <w:sz w:val="22"/>
                <w:szCs w:val="22"/>
                <w:lang w:eastAsia="en-US"/>
              </w:rPr>
              <w:t>вступления в силу изменений</w:t>
            </w:r>
          </w:p>
        </w:tc>
        <w:tc>
          <w:tcPr>
            <w:tcW w:w="7115" w:type="dxa"/>
          </w:tcPr>
          <w:p w14:paraId="77855C2E" w14:textId="77777777" w:rsidR="00C817A3" w:rsidRPr="001043A6" w:rsidRDefault="00C817A3" w:rsidP="001043A6">
            <w:pPr>
              <w:widowControl w:val="0"/>
              <w:jc w:val="center"/>
              <w:rPr>
                <w:rFonts w:ascii="Garamond" w:hAnsi="Garamond"/>
                <w:b/>
                <w:sz w:val="22"/>
                <w:szCs w:val="22"/>
                <w:lang w:eastAsia="en-US"/>
              </w:rPr>
            </w:pPr>
            <w:r w:rsidRPr="001043A6">
              <w:rPr>
                <w:rFonts w:ascii="Garamond" w:hAnsi="Garamond"/>
                <w:b/>
                <w:sz w:val="22"/>
                <w:szCs w:val="22"/>
                <w:lang w:eastAsia="en-US"/>
              </w:rPr>
              <w:t>Предлагаемая редакция</w:t>
            </w:r>
          </w:p>
          <w:p w14:paraId="522E36C3" w14:textId="77777777" w:rsidR="00C817A3" w:rsidRPr="001043A6" w:rsidRDefault="00C817A3" w:rsidP="001043A6">
            <w:pPr>
              <w:ind w:right="-55"/>
              <w:jc w:val="center"/>
              <w:rPr>
                <w:rFonts w:ascii="Garamond" w:hAnsi="Garamond"/>
                <w:sz w:val="22"/>
                <w:szCs w:val="22"/>
                <w:lang w:eastAsia="en-US"/>
              </w:rPr>
            </w:pPr>
            <w:r w:rsidRPr="001043A6">
              <w:rPr>
                <w:rFonts w:ascii="Garamond" w:hAnsi="Garamond"/>
                <w:sz w:val="22"/>
                <w:szCs w:val="22"/>
                <w:lang w:eastAsia="en-US"/>
              </w:rPr>
              <w:t>(изменения выделены цветом)</w:t>
            </w:r>
          </w:p>
        </w:tc>
      </w:tr>
      <w:tr w:rsidR="00C817A3" w:rsidRPr="001043A6" w14:paraId="388D2E07" w14:textId="77777777" w:rsidTr="001043A6">
        <w:tc>
          <w:tcPr>
            <w:tcW w:w="1031" w:type="dxa"/>
          </w:tcPr>
          <w:p w14:paraId="288C3A81" w14:textId="77777777" w:rsidR="00C817A3" w:rsidRPr="001043A6" w:rsidRDefault="00755513" w:rsidP="00EC0A2B">
            <w:pPr>
              <w:widowControl w:val="0"/>
              <w:spacing w:line="259" w:lineRule="auto"/>
              <w:jc w:val="center"/>
              <w:rPr>
                <w:rFonts w:ascii="Garamond" w:hAnsi="Garamond"/>
                <w:b/>
                <w:sz w:val="22"/>
                <w:szCs w:val="22"/>
                <w:lang w:eastAsia="en-US"/>
              </w:rPr>
            </w:pPr>
            <w:r w:rsidRPr="001043A6">
              <w:rPr>
                <w:rFonts w:ascii="Garamond" w:hAnsi="Garamond"/>
                <w:b/>
                <w:sz w:val="22"/>
                <w:szCs w:val="22"/>
                <w:lang w:eastAsia="en-US"/>
              </w:rPr>
              <w:t>Регламент</w:t>
            </w:r>
          </w:p>
        </w:tc>
        <w:tc>
          <w:tcPr>
            <w:tcW w:w="6833" w:type="dxa"/>
          </w:tcPr>
          <w:p w14:paraId="26AD1D30" w14:textId="77777777" w:rsidR="00C817A3" w:rsidRPr="001043A6" w:rsidRDefault="00BA5D86" w:rsidP="00EC0A2B">
            <w:pPr>
              <w:widowControl w:val="0"/>
              <w:spacing w:line="259" w:lineRule="auto"/>
              <w:ind w:firstLine="486"/>
              <w:jc w:val="both"/>
              <w:rPr>
                <w:rFonts w:ascii="Garamond" w:hAnsi="Garamond"/>
                <w:sz w:val="22"/>
                <w:szCs w:val="22"/>
                <w:lang w:eastAsia="en-US"/>
              </w:rPr>
            </w:pPr>
            <w:r w:rsidRPr="001043A6">
              <w:rPr>
                <w:rFonts w:ascii="Garamond" w:hAnsi="Garamond"/>
                <w:sz w:val="22"/>
                <w:szCs w:val="22"/>
                <w:highlight w:val="yellow"/>
                <w:lang w:eastAsia="en-US"/>
              </w:rPr>
              <w:t>АВТОМАТИЗИРОВАННЫЕ ИНФОРМАЦИОННО-ИЗМЕРИТЕЛЬНЫЕ СИСТЕМЫ КОММЕРЧЕСКОГО УЧЕТА ЭЛЕКТРИЧЕСКОЙ ЭНЕРГИИ (МОЩНОСТИ).</w:t>
            </w:r>
            <w:r w:rsidRPr="001043A6">
              <w:rPr>
                <w:rFonts w:ascii="Garamond" w:hAnsi="Garamond"/>
                <w:sz w:val="22"/>
                <w:szCs w:val="22"/>
                <w:lang w:eastAsia="en-US"/>
              </w:rPr>
              <w:t xml:space="preserve"> ТЕХНИЧЕСКИЕ ТРЕБОВАНИЯ</w:t>
            </w:r>
          </w:p>
        </w:tc>
        <w:tc>
          <w:tcPr>
            <w:tcW w:w="7115" w:type="dxa"/>
          </w:tcPr>
          <w:p w14:paraId="5A45885D" w14:textId="77777777" w:rsidR="00C817A3" w:rsidRPr="001043A6" w:rsidRDefault="00BA5D86" w:rsidP="00C028B0">
            <w:pPr>
              <w:widowControl w:val="0"/>
              <w:spacing w:line="259" w:lineRule="auto"/>
              <w:ind w:firstLine="486"/>
              <w:jc w:val="both"/>
              <w:rPr>
                <w:rFonts w:ascii="Garamond" w:hAnsi="Garamond"/>
                <w:sz w:val="22"/>
                <w:szCs w:val="22"/>
                <w:lang w:eastAsia="en-US"/>
              </w:rPr>
            </w:pPr>
            <w:r w:rsidRPr="001043A6">
              <w:rPr>
                <w:rFonts w:ascii="Garamond" w:hAnsi="Garamond"/>
                <w:sz w:val="22"/>
                <w:szCs w:val="22"/>
                <w:lang w:eastAsia="en-US"/>
              </w:rPr>
              <w:t xml:space="preserve">ТЕХНИЧЕСКИЕ ТРЕБОВАНИЯ </w:t>
            </w:r>
            <w:r w:rsidRPr="001043A6">
              <w:rPr>
                <w:rFonts w:ascii="Garamond" w:hAnsi="Garamond"/>
                <w:sz w:val="22"/>
                <w:szCs w:val="22"/>
                <w:highlight w:val="yellow"/>
                <w:lang w:eastAsia="en-US"/>
              </w:rPr>
              <w:t>К СИСТЕМАМ УЧЕТА ЭЛЕКТРОЭНЕРГИИ</w:t>
            </w:r>
            <w:r w:rsidR="003753F2" w:rsidRPr="001043A6">
              <w:rPr>
                <w:rFonts w:ascii="Garamond" w:hAnsi="Garamond"/>
                <w:sz w:val="22"/>
                <w:szCs w:val="22"/>
                <w:highlight w:val="yellow"/>
                <w:lang w:eastAsia="en-US"/>
              </w:rPr>
              <w:t xml:space="preserve"> (МОЩНОСТИ)</w:t>
            </w:r>
          </w:p>
        </w:tc>
      </w:tr>
      <w:tr w:rsidR="00C817A3" w:rsidRPr="001043A6" w14:paraId="2FEAE3C1" w14:textId="77777777" w:rsidTr="001043A6">
        <w:tc>
          <w:tcPr>
            <w:tcW w:w="1031" w:type="dxa"/>
          </w:tcPr>
          <w:p w14:paraId="1B2B9F02" w14:textId="77777777" w:rsidR="00C817A3" w:rsidRPr="001043A6" w:rsidRDefault="00753E25" w:rsidP="00EC0A2B">
            <w:pPr>
              <w:widowControl w:val="0"/>
              <w:spacing w:line="259" w:lineRule="auto"/>
              <w:jc w:val="center"/>
              <w:rPr>
                <w:rFonts w:ascii="Garamond" w:hAnsi="Garamond"/>
                <w:b/>
                <w:sz w:val="22"/>
                <w:szCs w:val="22"/>
                <w:lang w:eastAsia="en-US"/>
              </w:rPr>
            </w:pPr>
            <w:r w:rsidRPr="001043A6">
              <w:rPr>
                <w:rFonts w:ascii="Garamond" w:hAnsi="Garamond"/>
                <w:b/>
                <w:sz w:val="22"/>
                <w:szCs w:val="22"/>
                <w:lang w:eastAsia="en-US"/>
              </w:rPr>
              <w:t>1.1</w:t>
            </w:r>
          </w:p>
        </w:tc>
        <w:tc>
          <w:tcPr>
            <w:tcW w:w="6833" w:type="dxa"/>
          </w:tcPr>
          <w:p w14:paraId="737FC8BF" w14:textId="77777777" w:rsidR="00C817A3" w:rsidRPr="001043A6" w:rsidRDefault="00753E25" w:rsidP="00EC0A2B">
            <w:pPr>
              <w:widowControl w:val="0"/>
              <w:spacing w:line="259" w:lineRule="auto"/>
              <w:ind w:firstLine="486"/>
              <w:jc w:val="both"/>
              <w:rPr>
                <w:rFonts w:ascii="Garamond" w:hAnsi="Garamond"/>
                <w:sz w:val="22"/>
                <w:szCs w:val="22"/>
                <w:lang w:eastAsia="en-US"/>
              </w:rPr>
            </w:pPr>
            <w:r w:rsidRPr="001043A6">
              <w:rPr>
                <w:rFonts w:ascii="Garamond" w:hAnsi="Garamond"/>
                <w:sz w:val="22"/>
                <w:szCs w:val="22"/>
                <w:lang w:eastAsia="en-US"/>
              </w:rPr>
              <w:t>Настоящее приложение к Положению о порядке получения статуса субъекта оптового рынка и ведения реестра субъектов оптового рынка, именуемое далее по тексту «Технические требования», устанавливает технические требования к автоматизированным информационно-измерительным системам коммерческого учета электрической энергии (мощности) (далее – АИИС КУЭ)</w:t>
            </w:r>
            <w:r w:rsidRPr="001043A6">
              <w:rPr>
                <w:rFonts w:ascii="Garamond" w:hAnsi="Garamond"/>
                <w:sz w:val="22"/>
                <w:szCs w:val="22"/>
                <w:highlight w:val="yellow"/>
                <w:lang w:eastAsia="en-US"/>
              </w:rPr>
              <w:t>, а также требования к</w:t>
            </w:r>
            <w:r w:rsidRPr="001043A6">
              <w:rPr>
                <w:rFonts w:ascii="Garamond" w:hAnsi="Garamond"/>
                <w:sz w:val="22"/>
                <w:szCs w:val="22"/>
                <w:lang w:eastAsia="en-US"/>
              </w:rPr>
              <w:t xml:space="preserve"> средствам измерений, не обеспечивающим совокупность функций по сбору, обработке и передаче КО данных коммерческого учета и не присоединенным к </w:t>
            </w:r>
            <w:r w:rsidRPr="001043A6">
              <w:rPr>
                <w:rFonts w:ascii="Garamond" w:hAnsi="Garamond"/>
                <w:sz w:val="22"/>
                <w:szCs w:val="22"/>
                <w:highlight w:val="yellow"/>
                <w:lang w:eastAsia="en-US"/>
              </w:rPr>
              <w:t xml:space="preserve">интеллектуальным системам учета электрической энергии (мощности) (далее – </w:t>
            </w:r>
            <w:r w:rsidRPr="001043A6">
              <w:rPr>
                <w:rFonts w:ascii="Garamond" w:hAnsi="Garamond"/>
                <w:sz w:val="22"/>
                <w:szCs w:val="22"/>
                <w:lang w:eastAsia="en-US"/>
              </w:rPr>
              <w:t>ИСУ</w:t>
            </w:r>
            <w:r w:rsidRPr="001043A6">
              <w:rPr>
                <w:rFonts w:ascii="Garamond" w:hAnsi="Garamond"/>
                <w:sz w:val="22"/>
                <w:szCs w:val="22"/>
                <w:highlight w:val="yellow"/>
                <w:lang w:eastAsia="en-US"/>
              </w:rPr>
              <w:t>)</w:t>
            </w:r>
            <w:r w:rsidRPr="001043A6">
              <w:rPr>
                <w:rFonts w:ascii="Garamond" w:hAnsi="Garamond"/>
                <w:sz w:val="22"/>
                <w:szCs w:val="22"/>
                <w:lang w:eastAsia="en-US"/>
              </w:rPr>
              <w:t>, и техническим устройствам без измерительной функции, обеспечивающим сбор, обработку, хранение и передачу КО результатов измерений, полученных с использованием указанных средств измерений (далее – технические устройства без измерительной функции).</w:t>
            </w:r>
          </w:p>
        </w:tc>
        <w:tc>
          <w:tcPr>
            <w:tcW w:w="7115" w:type="dxa"/>
          </w:tcPr>
          <w:p w14:paraId="084529FF" w14:textId="11142E5F" w:rsidR="00126EC3" w:rsidRPr="001043A6" w:rsidRDefault="00753E25" w:rsidP="00126EC3">
            <w:pPr>
              <w:widowControl w:val="0"/>
              <w:spacing w:line="259" w:lineRule="auto"/>
              <w:ind w:firstLine="486"/>
              <w:jc w:val="both"/>
              <w:rPr>
                <w:rFonts w:ascii="Garamond" w:hAnsi="Garamond"/>
                <w:sz w:val="22"/>
                <w:szCs w:val="22"/>
                <w:lang w:eastAsia="en-US"/>
              </w:rPr>
            </w:pPr>
            <w:r w:rsidRPr="001043A6">
              <w:rPr>
                <w:rFonts w:ascii="Garamond" w:hAnsi="Garamond"/>
                <w:sz w:val="22"/>
                <w:szCs w:val="22"/>
                <w:lang w:eastAsia="en-US"/>
              </w:rPr>
              <w:t xml:space="preserve">Настоящее приложение к </w:t>
            </w:r>
            <w:r w:rsidRPr="001043A6">
              <w:rPr>
                <w:rFonts w:ascii="Garamond" w:hAnsi="Garamond"/>
                <w:i/>
                <w:sz w:val="22"/>
                <w:szCs w:val="22"/>
                <w:lang w:eastAsia="en-US"/>
              </w:rPr>
              <w:t>Положению о порядке получения статуса субъекта оптового рынка и ведения реестра субъектов оптового рынка</w:t>
            </w:r>
            <w:r w:rsidR="00C028B0" w:rsidRPr="001043A6">
              <w:rPr>
                <w:rFonts w:ascii="Garamond" w:hAnsi="Garamond"/>
                <w:sz w:val="22"/>
                <w:szCs w:val="22"/>
                <w:lang w:eastAsia="en-US"/>
              </w:rPr>
              <w:t xml:space="preserve"> </w:t>
            </w:r>
            <w:r w:rsidR="00C028B0" w:rsidRPr="001043A6">
              <w:rPr>
                <w:rFonts w:ascii="Garamond" w:hAnsi="Garamond"/>
                <w:sz w:val="22"/>
                <w:szCs w:val="22"/>
                <w:highlight w:val="yellow"/>
                <w:lang w:eastAsia="en-US"/>
              </w:rPr>
              <w:t xml:space="preserve">(Приложение № 1.1 к </w:t>
            </w:r>
            <w:r w:rsidR="00C028B0" w:rsidRPr="001043A6">
              <w:rPr>
                <w:rFonts w:ascii="Garamond" w:hAnsi="Garamond"/>
                <w:i/>
                <w:sz w:val="22"/>
                <w:szCs w:val="22"/>
                <w:highlight w:val="yellow"/>
                <w:lang w:eastAsia="en-US"/>
              </w:rPr>
              <w:t>Договору о присоединении к торговой системе оптового рынка</w:t>
            </w:r>
            <w:r w:rsidR="00C028B0" w:rsidRPr="001043A6">
              <w:rPr>
                <w:rFonts w:ascii="Garamond" w:hAnsi="Garamond"/>
                <w:sz w:val="22"/>
                <w:szCs w:val="22"/>
                <w:highlight w:val="yellow"/>
                <w:lang w:eastAsia="en-US"/>
              </w:rPr>
              <w:t>, далее – Положение о реестре)</w:t>
            </w:r>
            <w:r w:rsidRPr="001043A6">
              <w:rPr>
                <w:rFonts w:ascii="Garamond" w:hAnsi="Garamond"/>
                <w:sz w:val="22"/>
                <w:szCs w:val="22"/>
                <w:lang w:eastAsia="en-US"/>
              </w:rPr>
              <w:t>, именуемое далее по тексту «Технические требования», устанавливает технические требования</w:t>
            </w:r>
            <w:r w:rsidR="00126EC3" w:rsidRPr="001043A6">
              <w:rPr>
                <w:rFonts w:ascii="Garamond" w:hAnsi="Garamond"/>
                <w:sz w:val="22"/>
                <w:szCs w:val="22"/>
                <w:highlight w:val="yellow"/>
                <w:lang w:eastAsia="en-US"/>
              </w:rPr>
              <w:t>:</w:t>
            </w:r>
          </w:p>
          <w:p w14:paraId="6068D09C" w14:textId="5517B0B1" w:rsidR="00126EC3" w:rsidRPr="001043A6" w:rsidRDefault="001043A6" w:rsidP="00126EC3">
            <w:pPr>
              <w:widowControl w:val="0"/>
              <w:spacing w:line="259" w:lineRule="auto"/>
              <w:ind w:firstLine="486"/>
              <w:jc w:val="both"/>
              <w:rPr>
                <w:rFonts w:ascii="Garamond" w:hAnsi="Garamond"/>
                <w:sz w:val="22"/>
                <w:szCs w:val="22"/>
                <w:lang w:eastAsia="en-US"/>
              </w:rPr>
            </w:pPr>
            <w:r>
              <w:rPr>
                <w:rFonts w:ascii="Garamond" w:hAnsi="Garamond"/>
                <w:sz w:val="22"/>
                <w:szCs w:val="22"/>
                <w:highlight w:val="yellow"/>
                <w:lang w:eastAsia="en-US"/>
              </w:rPr>
              <w:t>–</w:t>
            </w:r>
            <w:r w:rsidR="00126EC3" w:rsidRPr="001043A6">
              <w:rPr>
                <w:rFonts w:ascii="Garamond" w:hAnsi="Garamond"/>
                <w:sz w:val="22"/>
                <w:szCs w:val="22"/>
                <w:highlight w:val="yellow"/>
                <w:lang w:eastAsia="en-US"/>
              </w:rPr>
              <w:t xml:space="preserve"> </w:t>
            </w:r>
            <w:r w:rsidRPr="001043A6">
              <w:rPr>
                <w:rFonts w:ascii="Garamond" w:hAnsi="Garamond"/>
                <w:sz w:val="22"/>
                <w:szCs w:val="22"/>
                <w:lang w:eastAsia="en-US"/>
              </w:rPr>
              <w:t xml:space="preserve">к </w:t>
            </w:r>
            <w:r w:rsidR="00753E25" w:rsidRPr="001043A6">
              <w:rPr>
                <w:rFonts w:ascii="Garamond" w:hAnsi="Garamond"/>
                <w:sz w:val="22"/>
                <w:szCs w:val="22"/>
                <w:lang w:eastAsia="en-US"/>
              </w:rPr>
              <w:t>автоматизированным информационно-измерительным системам коммерческого учета электрической энерги</w:t>
            </w:r>
            <w:r w:rsidR="00126EC3" w:rsidRPr="001043A6">
              <w:rPr>
                <w:rFonts w:ascii="Garamond" w:hAnsi="Garamond"/>
                <w:sz w:val="22"/>
                <w:szCs w:val="22"/>
                <w:lang w:eastAsia="en-US"/>
              </w:rPr>
              <w:t>и (мощности) (далее – АИИС КУЭ)</w:t>
            </w:r>
            <w:r w:rsidR="00AE2BD2" w:rsidRPr="001043A6">
              <w:rPr>
                <w:rFonts w:ascii="Garamond" w:hAnsi="Garamond"/>
                <w:sz w:val="22"/>
                <w:szCs w:val="22"/>
                <w:lang w:eastAsia="en-US"/>
              </w:rPr>
              <w:t xml:space="preserve"> </w:t>
            </w:r>
            <w:r>
              <w:rPr>
                <w:rFonts w:ascii="Garamond" w:hAnsi="Garamond"/>
                <w:sz w:val="22"/>
                <w:szCs w:val="22"/>
                <w:highlight w:val="yellow"/>
                <w:lang w:eastAsia="en-US"/>
              </w:rPr>
              <w:t>–</w:t>
            </w:r>
            <w:r w:rsidR="00AE2BD2" w:rsidRPr="001043A6">
              <w:rPr>
                <w:rFonts w:ascii="Garamond" w:hAnsi="Garamond"/>
                <w:sz w:val="22"/>
                <w:szCs w:val="22"/>
                <w:highlight w:val="yellow"/>
                <w:lang w:eastAsia="en-US"/>
              </w:rPr>
              <w:t xml:space="preserve"> средствам измерений, обеспечивающим сбор, обработку и передачу КО данных коммерческого учета</w:t>
            </w:r>
            <w:r w:rsidR="00126EC3" w:rsidRPr="001043A6">
              <w:rPr>
                <w:rFonts w:ascii="Garamond" w:hAnsi="Garamond"/>
                <w:sz w:val="22"/>
                <w:szCs w:val="22"/>
                <w:highlight w:val="yellow"/>
                <w:lang w:eastAsia="en-US"/>
              </w:rPr>
              <w:t>;</w:t>
            </w:r>
          </w:p>
          <w:p w14:paraId="3017DA9F" w14:textId="6E309123" w:rsidR="00126EC3" w:rsidRPr="001043A6" w:rsidRDefault="001043A6" w:rsidP="00126EC3">
            <w:pPr>
              <w:widowControl w:val="0"/>
              <w:spacing w:line="259" w:lineRule="auto"/>
              <w:ind w:firstLine="486"/>
              <w:jc w:val="both"/>
              <w:rPr>
                <w:rFonts w:ascii="Garamond" w:hAnsi="Garamond"/>
                <w:sz w:val="22"/>
                <w:szCs w:val="22"/>
                <w:lang w:eastAsia="en-US"/>
              </w:rPr>
            </w:pPr>
            <w:r>
              <w:rPr>
                <w:rFonts w:ascii="Garamond" w:hAnsi="Garamond"/>
                <w:sz w:val="22"/>
                <w:szCs w:val="22"/>
                <w:highlight w:val="yellow"/>
                <w:lang w:eastAsia="en-US"/>
              </w:rPr>
              <w:t>–</w:t>
            </w:r>
            <w:r w:rsidR="00126EC3" w:rsidRPr="001043A6">
              <w:rPr>
                <w:rFonts w:ascii="Garamond" w:hAnsi="Garamond"/>
                <w:sz w:val="22"/>
                <w:szCs w:val="22"/>
                <w:highlight w:val="yellow"/>
                <w:lang w:eastAsia="en-US"/>
              </w:rPr>
              <w:t xml:space="preserve"> </w:t>
            </w:r>
            <w:r w:rsidR="00D2051C" w:rsidRPr="001043A6">
              <w:rPr>
                <w:rFonts w:ascii="Garamond" w:hAnsi="Garamond"/>
                <w:sz w:val="22"/>
                <w:szCs w:val="22"/>
                <w:highlight w:val="yellow"/>
                <w:lang w:eastAsia="en-US"/>
              </w:rPr>
              <w:t xml:space="preserve">интеллектуальным системам учета электрической энергии (мощности) (далее – ИСУ) и </w:t>
            </w:r>
            <w:r w:rsidR="00126EC3" w:rsidRPr="001043A6">
              <w:rPr>
                <w:rFonts w:ascii="Garamond" w:hAnsi="Garamond"/>
                <w:sz w:val="22"/>
                <w:szCs w:val="22"/>
                <w:highlight w:val="yellow"/>
                <w:lang w:eastAsia="en-US"/>
              </w:rPr>
              <w:t xml:space="preserve">средствам измерений, присоединенным к </w:t>
            </w:r>
            <w:r w:rsidR="00D2051C" w:rsidRPr="001043A6">
              <w:rPr>
                <w:rFonts w:ascii="Garamond" w:hAnsi="Garamond"/>
                <w:sz w:val="22"/>
                <w:szCs w:val="22"/>
                <w:highlight w:val="yellow"/>
                <w:lang w:eastAsia="en-US"/>
              </w:rPr>
              <w:t>таким ИСУ</w:t>
            </w:r>
            <w:r w:rsidR="00126EC3" w:rsidRPr="001043A6">
              <w:rPr>
                <w:rFonts w:ascii="Garamond" w:hAnsi="Garamond"/>
                <w:sz w:val="22"/>
                <w:szCs w:val="22"/>
                <w:highlight w:val="yellow"/>
                <w:lang w:eastAsia="en-US"/>
              </w:rPr>
              <w:t>, с использованием которых обеспечивается предоставление минимального функционала</w:t>
            </w:r>
            <w:r w:rsidR="00D2051C" w:rsidRPr="001043A6">
              <w:rPr>
                <w:rFonts w:ascii="Garamond" w:hAnsi="Garamond"/>
                <w:sz w:val="22"/>
                <w:szCs w:val="22"/>
                <w:highlight w:val="yellow"/>
                <w:lang w:eastAsia="en-US"/>
              </w:rPr>
              <w:t xml:space="preserve"> </w:t>
            </w:r>
            <w:r w:rsidR="00350C5A" w:rsidRPr="001043A6">
              <w:rPr>
                <w:rFonts w:ascii="Garamond" w:hAnsi="Garamond"/>
                <w:sz w:val="22"/>
                <w:szCs w:val="22"/>
                <w:highlight w:val="yellow"/>
                <w:lang w:eastAsia="en-US"/>
              </w:rPr>
              <w:t xml:space="preserve">ИСУ </w:t>
            </w:r>
            <w:r w:rsidR="00D2051C" w:rsidRPr="001043A6">
              <w:rPr>
                <w:rFonts w:ascii="Garamond" w:hAnsi="Garamond"/>
                <w:sz w:val="22"/>
                <w:szCs w:val="22"/>
                <w:highlight w:val="yellow"/>
                <w:lang w:eastAsia="en-US"/>
              </w:rPr>
              <w:t>(интеллектуальные приборы учета, далее – ИПУ), а также иным средствам измерений или оборудованию</w:t>
            </w:r>
            <w:r w:rsidR="000D7070" w:rsidRPr="001043A6">
              <w:rPr>
                <w:rFonts w:ascii="Garamond" w:hAnsi="Garamond"/>
                <w:sz w:val="22"/>
                <w:szCs w:val="22"/>
                <w:highlight w:val="yellow"/>
                <w:lang w:eastAsia="en-US"/>
              </w:rPr>
              <w:t xml:space="preserve"> (компонентам, устройствам)</w:t>
            </w:r>
            <w:r w:rsidR="00D2051C" w:rsidRPr="001043A6">
              <w:rPr>
                <w:rFonts w:ascii="Garamond" w:hAnsi="Garamond"/>
                <w:sz w:val="22"/>
                <w:szCs w:val="22"/>
                <w:highlight w:val="yellow"/>
                <w:lang w:eastAsia="en-US"/>
              </w:rPr>
              <w:t>, используемым для измерений, сбора, обработки, хранения и передачи результатов измерений в ИСУ</w:t>
            </w:r>
            <w:r w:rsidR="00126EC3" w:rsidRPr="001043A6">
              <w:rPr>
                <w:rFonts w:ascii="Garamond" w:hAnsi="Garamond"/>
                <w:sz w:val="22"/>
                <w:szCs w:val="22"/>
                <w:highlight w:val="yellow"/>
                <w:lang w:eastAsia="en-US"/>
              </w:rPr>
              <w:t>;</w:t>
            </w:r>
          </w:p>
          <w:p w14:paraId="1E2AD976" w14:textId="5C15D02C" w:rsidR="00C817A3" w:rsidRPr="00A15241" w:rsidRDefault="001043A6" w:rsidP="00972437">
            <w:pPr>
              <w:widowControl w:val="0"/>
              <w:spacing w:line="259" w:lineRule="auto"/>
              <w:ind w:firstLine="486"/>
              <w:jc w:val="both"/>
              <w:rPr>
                <w:rFonts w:ascii="Garamond" w:hAnsi="Garamond"/>
                <w:sz w:val="22"/>
                <w:szCs w:val="22"/>
                <w:highlight w:val="yellow"/>
                <w:lang w:eastAsia="en-US"/>
              </w:rPr>
            </w:pPr>
            <w:r>
              <w:rPr>
                <w:rFonts w:ascii="Garamond" w:hAnsi="Garamond"/>
                <w:sz w:val="22"/>
                <w:szCs w:val="22"/>
                <w:highlight w:val="yellow"/>
                <w:lang w:eastAsia="en-US"/>
              </w:rPr>
              <w:t>–</w:t>
            </w:r>
            <w:r w:rsidR="00126EC3" w:rsidRPr="001043A6">
              <w:rPr>
                <w:rFonts w:ascii="Garamond" w:hAnsi="Garamond"/>
                <w:sz w:val="22"/>
                <w:szCs w:val="22"/>
                <w:lang w:eastAsia="en-US"/>
              </w:rPr>
              <w:t xml:space="preserve"> </w:t>
            </w:r>
            <w:r w:rsidR="00753E25" w:rsidRPr="001043A6">
              <w:rPr>
                <w:rFonts w:ascii="Garamond" w:hAnsi="Garamond"/>
                <w:sz w:val="22"/>
                <w:szCs w:val="22"/>
                <w:lang w:eastAsia="en-US"/>
              </w:rPr>
              <w:t>средств</w:t>
            </w:r>
            <w:r w:rsidR="003753F2" w:rsidRPr="001043A6">
              <w:rPr>
                <w:rFonts w:ascii="Garamond" w:hAnsi="Garamond"/>
                <w:sz w:val="22"/>
                <w:szCs w:val="22"/>
                <w:lang w:eastAsia="en-US"/>
              </w:rPr>
              <w:t>ам</w:t>
            </w:r>
            <w:r w:rsidR="00753E25" w:rsidRPr="001043A6">
              <w:rPr>
                <w:rFonts w:ascii="Garamond" w:hAnsi="Garamond"/>
                <w:sz w:val="22"/>
                <w:szCs w:val="22"/>
                <w:lang w:eastAsia="en-US"/>
              </w:rPr>
              <w:t xml:space="preserve"> измерений, не обеспечивающи</w:t>
            </w:r>
            <w:r w:rsidR="003753F2" w:rsidRPr="001043A6">
              <w:rPr>
                <w:rFonts w:ascii="Garamond" w:hAnsi="Garamond"/>
                <w:sz w:val="22"/>
                <w:szCs w:val="22"/>
                <w:lang w:eastAsia="en-US"/>
              </w:rPr>
              <w:t>м</w:t>
            </w:r>
            <w:r w:rsidR="00753E25" w:rsidRPr="001043A6">
              <w:rPr>
                <w:rFonts w:ascii="Garamond" w:hAnsi="Garamond"/>
                <w:sz w:val="22"/>
                <w:szCs w:val="22"/>
                <w:lang w:eastAsia="en-US"/>
              </w:rPr>
              <w:t xml:space="preserve"> совокупность функций по сбору, обработке и передаче КО данных коммерческого учета</w:t>
            </w:r>
            <w:r w:rsidR="00126EC3" w:rsidRPr="001043A6">
              <w:rPr>
                <w:rFonts w:ascii="Garamond" w:hAnsi="Garamond"/>
                <w:sz w:val="22"/>
                <w:szCs w:val="22"/>
                <w:lang w:eastAsia="en-US"/>
              </w:rPr>
              <w:t xml:space="preserve"> и</w:t>
            </w:r>
            <w:r w:rsidR="00753E25" w:rsidRPr="001043A6">
              <w:rPr>
                <w:rFonts w:ascii="Garamond" w:hAnsi="Garamond"/>
                <w:sz w:val="22"/>
                <w:szCs w:val="22"/>
                <w:lang w:eastAsia="en-US"/>
              </w:rPr>
              <w:t xml:space="preserve"> не присоединенны</w:t>
            </w:r>
            <w:r w:rsidR="003753F2" w:rsidRPr="001043A6">
              <w:rPr>
                <w:rFonts w:ascii="Garamond" w:hAnsi="Garamond"/>
                <w:sz w:val="22"/>
                <w:szCs w:val="22"/>
                <w:lang w:eastAsia="en-US"/>
              </w:rPr>
              <w:t>м</w:t>
            </w:r>
            <w:r w:rsidR="00753E25" w:rsidRPr="001043A6">
              <w:rPr>
                <w:rFonts w:ascii="Garamond" w:hAnsi="Garamond"/>
                <w:sz w:val="22"/>
                <w:szCs w:val="22"/>
                <w:lang w:eastAsia="en-US"/>
              </w:rPr>
              <w:t xml:space="preserve"> к ИСУ, и техническим устройствам без измерительной функции, обеспечивающим сбор, обработку, хранение и передачу КО результатов измерений, полученных с использованием указанных средств измерений (далее – технические устройства без измерительной функции</w:t>
            </w:r>
            <w:r w:rsidR="003753F2" w:rsidRPr="001043A6">
              <w:rPr>
                <w:rFonts w:ascii="Garamond" w:hAnsi="Garamond"/>
                <w:sz w:val="22"/>
                <w:szCs w:val="22"/>
                <w:lang w:eastAsia="en-US"/>
              </w:rPr>
              <w:t>)</w:t>
            </w:r>
            <w:r w:rsidR="00972437" w:rsidRPr="001043A6">
              <w:rPr>
                <w:rFonts w:ascii="Garamond" w:hAnsi="Garamond"/>
                <w:sz w:val="22"/>
                <w:szCs w:val="22"/>
                <w:highlight w:val="yellow"/>
                <w:lang w:eastAsia="en-US"/>
              </w:rPr>
              <w:t xml:space="preserve">, </w:t>
            </w:r>
            <w:r w:rsidR="003753F2" w:rsidRPr="00A15241">
              <w:rPr>
                <w:rFonts w:ascii="Garamond" w:hAnsi="Garamond"/>
                <w:sz w:val="22"/>
                <w:szCs w:val="22"/>
                <w:highlight w:val="yellow"/>
                <w:lang w:eastAsia="en-US"/>
              </w:rPr>
              <w:t xml:space="preserve">которые в совокупности обеспечивают выполнение измерений в отношении точек поставки в соответствующей ГТП генерации (сечении </w:t>
            </w:r>
            <w:r w:rsidR="003753F2" w:rsidRPr="00A15241">
              <w:rPr>
                <w:rFonts w:ascii="Garamond" w:hAnsi="Garamond"/>
                <w:sz w:val="22"/>
                <w:szCs w:val="22"/>
                <w:highlight w:val="yellow"/>
                <w:lang w:eastAsia="en-US"/>
              </w:rPr>
              <w:lastRenderedPageBreak/>
              <w:t xml:space="preserve">коммерческого учета) или в отношении точек присоединения в соответствующем объекте регулирования потребления электрической энергии (далее </w:t>
            </w:r>
            <w:r w:rsidR="00A15241">
              <w:rPr>
                <w:rFonts w:ascii="Garamond" w:hAnsi="Garamond"/>
                <w:sz w:val="22"/>
                <w:szCs w:val="22"/>
                <w:highlight w:val="yellow"/>
                <w:lang w:eastAsia="en-US"/>
              </w:rPr>
              <w:t>–</w:t>
            </w:r>
            <w:r w:rsidR="003753F2" w:rsidRPr="00A15241">
              <w:rPr>
                <w:rFonts w:ascii="Garamond" w:hAnsi="Garamond"/>
                <w:sz w:val="22"/>
                <w:szCs w:val="22"/>
                <w:highlight w:val="yellow"/>
                <w:lang w:eastAsia="en-US"/>
              </w:rPr>
              <w:t xml:space="preserve"> </w:t>
            </w:r>
            <w:r w:rsidR="00972437" w:rsidRPr="00A15241">
              <w:rPr>
                <w:rFonts w:ascii="Garamond" w:hAnsi="Garamond"/>
                <w:sz w:val="22"/>
                <w:szCs w:val="22"/>
                <w:highlight w:val="yellow"/>
                <w:lang w:eastAsia="en-US"/>
              </w:rPr>
              <w:t>совокупность СИ и ТУ</w:t>
            </w:r>
            <w:r w:rsidR="00753E25" w:rsidRPr="00A15241">
              <w:rPr>
                <w:rFonts w:ascii="Garamond" w:hAnsi="Garamond"/>
                <w:sz w:val="22"/>
                <w:szCs w:val="22"/>
                <w:highlight w:val="yellow"/>
                <w:lang w:eastAsia="en-US"/>
              </w:rPr>
              <w:t>).</w:t>
            </w:r>
          </w:p>
          <w:p w14:paraId="6CE53338" w14:textId="38EE50C2" w:rsidR="00972437" w:rsidRPr="001043A6" w:rsidRDefault="00972437" w:rsidP="00952590">
            <w:pPr>
              <w:widowControl w:val="0"/>
              <w:spacing w:line="259" w:lineRule="auto"/>
              <w:ind w:firstLine="486"/>
              <w:jc w:val="both"/>
              <w:rPr>
                <w:rFonts w:ascii="Garamond" w:hAnsi="Garamond"/>
                <w:sz w:val="22"/>
                <w:szCs w:val="22"/>
                <w:lang w:eastAsia="en-US"/>
              </w:rPr>
            </w:pPr>
            <w:r w:rsidRPr="00A15241">
              <w:rPr>
                <w:rFonts w:ascii="Garamond" w:hAnsi="Garamond"/>
                <w:sz w:val="22"/>
                <w:szCs w:val="22"/>
                <w:highlight w:val="yellow"/>
                <w:lang w:eastAsia="en-US"/>
              </w:rPr>
              <w:t xml:space="preserve">Для целей </w:t>
            </w:r>
            <w:r w:rsidRPr="001043A6">
              <w:rPr>
                <w:rFonts w:ascii="Garamond" w:hAnsi="Garamond"/>
                <w:sz w:val="22"/>
                <w:szCs w:val="22"/>
                <w:highlight w:val="yellow"/>
                <w:lang w:eastAsia="en-US"/>
              </w:rPr>
              <w:t xml:space="preserve">настоящих Технических требований </w:t>
            </w:r>
            <w:r w:rsidR="00952590" w:rsidRPr="001043A6">
              <w:rPr>
                <w:rFonts w:ascii="Garamond" w:hAnsi="Garamond"/>
                <w:sz w:val="22"/>
                <w:szCs w:val="22"/>
                <w:highlight w:val="yellow"/>
                <w:lang w:eastAsia="en-US"/>
              </w:rPr>
              <w:t xml:space="preserve">под </w:t>
            </w:r>
            <w:r w:rsidRPr="001043A6">
              <w:rPr>
                <w:rFonts w:ascii="Garamond" w:hAnsi="Garamond"/>
                <w:sz w:val="22"/>
                <w:szCs w:val="22"/>
                <w:highlight w:val="yellow"/>
                <w:lang w:eastAsia="en-US"/>
              </w:rPr>
              <w:t>системами учета электроэнергии</w:t>
            </w:r>
            <w:r w:rsidR="00AE2BD2" w:rsidRPr="001043A6">
              <w:rPr>
                <w:rFonts w:ascii="Garamond" w:hAnsi="Garamond"/>
                <w:sz w:val="22"/>
                <w:szCs w:val="22"/>
                <w:highlight w:val="yellow"/>
                <w:lang w:eastAsia="en-US"/>
              </w:rPr>
              <w:t xml:space="preserve"> (далее – СУ)</w:t>
            </w:r>
            <w:r w:rsidRPr="001043A6">
              <w:rPr>
                <w:rFonts w:ascii="Garamond" w:hAnsi="Garamond"/>
                <w:sz w:val="22"/>
                <w:szCs w:val="22"/>
                <w:highlight w:val="yellow"/>
                <w:lang w:eastAsia="en-US"/>
              </w:rPr>
              <w:t xml:space="preserve"> </w:t>
            </w:r>
            <w:r w:rsidR="00952590" w:rsidRPr="001043A6">
              <w:rPr>
                <w:rFonts w:ascii="Garamond" w:hAnsi="Garamond"/>
                <w:sz w:val="22"/>
                <w:szCs w:val="22"/>
                <w:highlight w:val="yellow"/>
                <w:lang w:eastAsia="en-US"/>
              </w:rPr>
              <w:t>понимаются</w:t>
            </w:r>
            <w:r w:rsidRPr="001043A6">
              <w:rPr>
                <w:rFonts w:ascii="Garamond" w:hAnsi="Garamond"/>
                <w:sz w:val="22"/>
                <w:szCs w:val="22"/>
                <w:highlight w:val="yellow"/>
                <w:lang w:eastAsia="en-US"/>
              </w:rPr>
              <w:t xml:space="preserve"> АИИС КУЭ, ИСУ</w:t>
            </w:r>
            <w:r w:rsidR="00CE0FB8" w:rsidRPr="001043A6">
              <w:rPr>
                <w:rFonts w:ascii="Garamond" w:hAnsi="Garamond"/>
                <w:sz w:val="22"/>
                <w:szCs w:val="22"/>
                <w:highlight w:val="yellow"/>
                <w:lang w:eastAsia="en-US"/>
              </w:rPr>
              <w:t xml:space="preserve"> (с присоединенными к ней ИПУ</w:t>
            </w:r>
            <w:r w:rsidR="00952590" w:rsidRPr="001043A6">
              <w:rPr>
                <w:rFonts w:ascii="Garamond" w:hAnsi="Garamond"/>
                <w:sz w:val="22"/>
                <w:szCs w:val="22"/>
                <w:highlight w:val="yellow"/>
                <w:lang w:eastAsia="en-US"/>
              </w:rPr>
              <w:t xml:space="preserve"> и иными средствами измерений</w:t>
            </w:r>
            <w:r w:rsidR="00A15241">
              <w:rPr>
                <w:rFonts w:ascii="Garamond" w:hAnsi="Garamond"/>
                <w:sz w:val="22"/>
                <w:szCs w:val="22"/>
                <w:highlight w:val="yellow"/>
                <w:lang w:eastAsia="en-US"/>
              </w:rPr>
              <w:t xml:space="preserve"> </w:t>
            </w:r>
            <w:r w:rsidR="00952590" w:rsidRPr="001043A6">
              <w:rPr>
                <w:rFonts w:ascii="Garamond" w:hAnsi="Garamond"/>
                <w:sz w:val="22"/>
                <w:szCs w:val="22"/>
                <w:highlight w:val="yellow"/>
                <w:lang w:eastAsia="en-US"/>
              </w:rPr>
              <w:t>/</w:t>
            </w:r>
            <w:r w:rsidR="00A15241">
              <w:rPr>
                <w:rFonts w:ascii="Garamond" w:hAnsi="Garamond"/>
                <w:sz w:val="22"/>
                <w:szCs w:val="22"/>
                <w:highlight w:val="yellow"/>
                <w:lang w:eastAsia="en-US"/>
              </w:rPr>
              <w:t xml:space="preserve"> </w:t>
            </w:r>
            <w:r w:rsidR="00952590" w:rsidRPr="001043A6">
              <w:rPr>
                <w:rFonts w:ascii="Garamond" w:hAnsi="Garamond"/>
                <w:sz w:val="22"/>
                <w:szCs w:val="22"/>
                <w:highlight w:val="yellow"/>
                <w:lang w:eastAsia="en-US"/>
              </w:rPr>
              <w:t xml:space="preserve">оборудованием, </w:t>
            </w:r>
            <w:r w:rsidR="00D2051C" w:rsidRPr="001043A6">
              <w:rPr>
                <w:rFonts w:ascii="Garamond" w:hAnsi="Garamond"/>
                <w:sz w:val="22"/>
                <w:szCs w:val="22"/>
                <w:highlight w:val="yellow"/>
                <w:lang w:eastAsia="en-US"/>
              </w:rPr>
              <w:t>используемыми для измерений, сбора, обработки, хранения и передачи результатов измерений в ИСУ</w:t>
            </w:r>
            <w:r w:rsidR="00CE0FB8" w:rsidRPr="001043A6">
              <w:rPr>
                <w:rFonts w:ascii="Garamond" w:hAnsi="Garamond"/>
                <w:sz w:val="22"/>
                <w:szCs w:val="22"/>
                <w:highlight w:val="yellow"/>
                <w:lang w:eastAsia="en-US"/>
              </w:rPr>
              <w:t>)</w:t>
            </w:r>
            <w:r w:rsidRPr="001043A6">
              <w:rPr>
                <w:rFonts w:ascii="Garamond" w:hAnsi="Garamond"/>
                <w:sz w:val="22"/>
                <w:szCs w:val="22"/>
                <w:highlight w:val="yellow"/>
                <w:lang w:eastAsia="en-US"/>
              </w:rPr>
              <w:t xml:space="preserve"> и совокупность СИ и ТУ.</w:t>
            </w:r>
            <w:r w:rsidRPr="001043A6">
              <w:rPr>
                <w:rFonts w:ascii="Garamond" w:hAnsi="Garamond"/>
                <w:sz w:val="22"/>
                <w:szCs w:val="22"/>
                <w:lang w:eastAsia="en-US"/>
              </w:rPr>
              <w:t xml:space="preserve"> </w:t>
            </w:r>
          </w:p>
        </w:tc>
      </w:tr>
      <w:tr w:rsidR="00C817A3" w:rsidRPr="001043A6" w14:paraId="70D9FBD5" w14:textId="77777777" w:rsidTr="001043A6">
        <w:tc>
          <w:tcPr>
            <w:tcW w:w="1031" w:type="dxa"/>
          </w:tcPr>
          <w:p w14:paraId="6130390E" w14:textId="77777777" w:rsidR="00C817A3" w:rsidRPr="001043A6" w:rsidRDefault="00753E25" w:rsidP="00EC0A2B">
            <w:pPr>
              <w:widowControl w:val="0"/>
              <w:spacing w:line="259" w:lineRule="auto"/>
              <w:jc w:val="center"/>
              <w:rPr>
                <w:rFonts w:ascii="Garamond" w:hAnsi="Garamond"/>
                <w:b/>
                <w:sz w:val="22"/>
                <w:szCs w:val="22"/>
                <w:lang w:eastAsia="en-US"/>
              </w:rPr>
            </w:pPr>
            <w:r w:rsidRPr="001043A6">
              <w:rPr>
                <w:rFonts w:ascii="Garamond" w:hAnsi="Garamond"/>
                <w:b/>
                <w:sz w:val="22"/>
                <w:szCs w:val="22"/>
                <w:lang w:eastAsia="en-US"/>
              </w:rPr>
              <w:lastRenderedPageBreak/>
              <w:t>1.2</w:t>
            </w:r>
          </w:p>
        </w:tc>
        <w:tc>
          <w:tcPr>
            <w:tcW w:w="6833" w:type="dxa"/>
          </w:tcPr>
          <w:p w14:paraId="1209B50A" w14:textId="77777777" w:rsidR="00753E25" w:rsidRPr="001043A6" w:rsidRDefault="00753E25" w:rsidP="00753E25">
            <w:pPr>
              <w:widowControl w:val="0"/>
              <w:spacing w:line="259" w:lineRule="auto"/>
              <w:ind w:firstLine="486"/>
              <w:jc w:val="both"/>
              <w:rPr>
                <w:rFonts w:ascii="Garamond" w:hAnsi="Garamond"/>
                <w:sz w:val="22"/>
                <w:szCs w:val="22"/>
                <w:lang w:eastAsia="en-US"/>
              </w:rPr>
            </w:pPr>
            <w:r w:rsidRPr="001043A6">
              <w:rPr>
                <w:rFonts w:ascii="Garamond" w:hAnsi="Garamond"/>
                <w:sz w:val="22"/>
                <w:szCs w:val="22"/>
                <w:highlight w:val="yellow"/>
                <w:lang w:eastAsia="en-US"/>
              </w:rPr>
              <w:t>АИИС КУЭ</w:t>
            </w:r>
            <w:r w:rsidRPr="001043A6">
              <w:rPr>
                <w:rFonts w:ascii="Garamond" w:hAnsi="Garamond"/>
                <w:sz w:val="22"/>
                <w:szCs w:val="22"/>
                <w:lang w:eastAsia="en-US"/>
              </w:rPr>
              <w:t xml:space="preserve"> должна обеспечивать выполнение измерений в отношении всех точек поставки в соответствующей ГТП генерации (сечении коммерческого учета), если иное не предусмотрено настоящим пунктом.</w:t>
            </w:r>
          </w:p>
          <w:p w14:paraId="19730A24" w14:textId="77777777" w:rsidR="00C817A3" w:rsidRPr="001043A6" w:rsidRDefault="00753E25" w:rsidP="00753E25">
            <w:pPr>
              <w:widowControl w:val="0"/>
              <w:spacing w:line="259" w:lineRule="auto"/>
              <w:ind w:firstLine="486"/>
              <w:jc w:val="both"/>
              <w:rPr>
                <w:rFonts w:ascii="Garamond" w:hAnsi="Garamond"/>
                <w:sz w:val="22"/>
                <w:szCs w:val="22"/>
                <w:lang w:eastAsia="en-US"/>
              </w:rPr>
            </w:pPr>
            <w:r w:rsidRPr="001043A6">
              <w:rPr>
                <w:rFonts w:ascii="Garamond" w:hAnsi="Garamond"/>
                <w:sz w:val="22"/>
                <w:szCs w:val="22"/>
                <w:lang w:eastAsia="en-US"/>
              </w:rPr>
              <w:t xml:space="preserve">Для выполнения указанных измерений допускается применение средств измерений, не включенных в </w:t>
            </w:r>
            <w:r w:rsidRPr="001043A6">
              <w:rPr>
                <w:rFonts w:ascii="Garamond" w:hAnsi="Garamond"/>
                <w:sz w:val="22"/>
                <w:szCs w:val="22"/>
                <w:highlight w:val="yellow"/>
                <w:lang w:eastAsia="en-US"/>
              </w:rPr>
              <w:t>систему учета</w:t>
            </w:r>
            <w:r w:rsidRPr="001043A6">
              <w:rPr>
                <w:rFonts w:ascii="Garamond" w:hAnsi="Garamond"/>
                <w:sz w:val="22"/>
                <w:szCs w:val="22"/>
                <w:lang w:eastAsia="en-US"/>
              </w:rPr>
              <w:t xml:space="preserve"> и обеспечивающих учет </w:t>
            </w:r>
            <w:r w:rsidRPr="001043A6">
              <w:rPr>
                <w:rFonts w:ascii="Garamond" w:hAnsi="Garamond"/>
                <w:sz w:val="22"/>
                <w:szCs w:val="22"/>
                <w:highlight w:val="yellow"/>
                <w:lang w:eastAsia="en-US"/>
              </w:rPr>
              <w:t>электрической энергии</w:t>
            </w:r>
            <w:r w:rsidRPr="001043A6">
              <w:rPr>
                <w:rFonts w:ascii="Garamond" w:hAnsi="Garamond"/>
                <w:sz w:val="22"/>
                <w:szCs w:val="22"/>
                <w:lang w:eastAsia="en-US"/>
              </w:rPr>
              <w:t xml:space="preserve"> суммарно на определенный момент времени (за отчетный период − календарный месяц) с применением типовых суточных графиков в случаях, предусмотренных приложением 8 к Положению о </w:t>
            </w:r>
            <w:r w:rsidRPr="001043A6">
              <w:rPr>
                <w:rFonts w:ascii="Garamond" w:hAnsi="Garamond"/>
                <w:sz w:val="22"/>
                <w:szCs w:val="22"/>
                <w:highlight w:val="yellow"/>
                <w:lang w:eastAsia="en-US"/>
              </w:rPr>
              <w:t>порядке получения статуса субъекта оптового рынка и ведения реестра субъектов оптового рынка (Приложение № 1.1 к Договору о присоединении к торговой системе оптового рынка)</w:t>
            </w:r>
            <w:r w:rsidRPr="001043A6">
              <w:rPr>
                <w:rFonts w:ascii="Garamond" w:hAnsi="Garamond"/>
                <w:sz w:val="22"/>
                <w:szCs w:val="22"/>
                <w:lang w:eastAsia="en-US"/>
              </w:rPr>
              <w:t>.</w:t>
            </w:r>
          </w:p>
        </w:tc>
        <w:tc>
          <w:tcPr>
            <w:tcW w:w="7115" w:type="dxa"/>
          </w:tcPr>
          <w:p w14:paraId="6D58C1D2" w14:textId="77777777" w:rsidR="00EC0A2B" w:rsidRPr="001043A6" w:rsidRDefault="00972437" w:rsidP="00753E25">
            <w:pPr>
              <w:widowControl w:val="0"/>
              <w:spacing w:line="259" w:lineRule="auto"/>
              <w:ind w:firstLine="486"/>
              <w:jc w:val="both"/>
              <w:rPr>
                <w:rFonts w:ascii="Garamond" w:hAnsi="Garamond"/>
                <w:sz w:val="22"/>
                <w:szCs w:val="22"/>
                <w:lang w:eastAsia="en-US"/>
              </w:rPr>
            </w:pPr>
            <w:r w:rsidRPr="001043A6">
              <w:rPr>
                <w:rFonts w:ascii="Garamond" w:hAnsi="Garamond"/>
                <w:sz w:val="22"/>
                <w:szCs w:val="22"/>
                <w:highlight w:val="yellow"/>
                <w:lang w:eastAsia="en-US"/>
              </w:rPr>
              <w:t>С</w:t>
            </w:r>
            <w:r w:rsidR="00800F27" w:rsidRPr="001043A6">
              <w:rPr>
                <w:rFonts w:ascii="Garamond" w:hAnsi="Garamond"/>
                <w:sz w:val="22"/>
                <w:szCs w:val="22"/>
                <w:highlight w:val="yellow"/>
                <w:lang w:eastAsia="en-US"/>
              </w:rPr>
              <w:t>У</w:t>
            </w:r>
            <w:r w:rsidR="00753E25" w:rsidRPr="001043A6">
              <w:rPr>
                <w:rFonts w:ascii="Garamond" w:hAnsi="Garamond"/>
                <w:sz w:val="22"/>
                <w:szCs w:val="22"/>
                <w:lang w:eastAsia="en-US"/>
              </w:rPr>
              <w:t xml:space="preserve"> должна</w:t>
            </w:r>
            <w:r w:rsidR="00CE0FB8" w:rsidRPr="001043A6">
              <w:rPr>
                <w:rFonts w:ascii="Garamond" w:hAnsi="Garamond"/>
                <w:sz w:val="22"/>
                <w:szCs w:val="22"/>
                <w:lang w:eastAsia="en-US"/>
              </w:rPr>
              <w:t xml:space="preserve"> </w:t>
            </w:r>
            <w:r w:rsidR="00CE0FB8" w:rsidRPr="001043A6">
              <w:rPr>
                <w:rFonts w:ascii="Garamond" w:hAnsi="Garamond"/>
                <w:sz w:val="22"/>
                <w:szCs w:val="22"/>
                <w:highlight w:val="yellow"/>
                <w:lang w:eastAsia="en-US"/>
              </w:rPr>
              <w:t>(-ы)</w:t>
            </w:r>
            <w:r w:rsidR="00753E25" w:rsidRPr="001043A6">
              <w:rPr>
                <w:rFonts w:ascii="Garamond" w:hAnsi="Garamond"/>
                <w:sz w:val="22"/>
                <w:szCs w:val="22"/>
                <w:lang w:eastAsia="en-US"/>
              </w:rPr>
              <w:t xml:space="preserve"> обеспечивать выполнение измерений в отношении всех точек поставки в соответствующей ГТП генерации (сечении коммерческого учета)</w:t>
            </w:r>
            <w:r w:rsidR="00EC0A2B" w:rsidRPr="001043A6">
              <w:rPr>
                <w:rFonts w:ascii="Garamond" w:hAnsi="Garamond"/>
                <w:sz w:val="22"/>
                <w:szCs w:val="22"/>
                <w:lang w:eastAsia="en-US"/>
              </w:rPr>
              <w:t xml:space="preserve"> </w:t>
            </w:r>
            <w:r w:rsidR="00EC0A2B" w:rsidRPr="001043A6">
              <w:rPr>
                <w:rFonts w:ascii="Garamond" w:hAnsi="Garamond"/>
                <w:sz w:val="22"/>
                <w:szCs w:val="22"/>
                <w:highlight w:val="yellow"/>
                <w:lang w:eastAsia="en-US"/>
              </w:rPr>
              <w:t xml:space="preserve">или в отношении всех точек </w:t>
            </w:r>
            <w:r w:rsidR="006827B8" w:rsidRPr="001043A6">
              <w:rPr>
                <w:rFonts w:ascii="Garamond" w:hAnsi="Garamond"/>
                <w:sz w:val="22"/>
                <w:szCs w:val="22"/>
                <w:highlight w:val="yellow"/>
                <w:lang w:eastAsia="en-US"/>
              </w:rPr>
              <w:t>присоединения</w:t>
            </w:r>
            <w:r w:rsidR="00EC0A2B" w:rsidRPr="001043A6">
              <w:rPr>
                <w:rFonts w:ascii="Garamond" w:hAnsi="Garamond"/>
                <w:sz w:val="22"/>
                <w:szCs w:val="22"/>
                <w:highlight w:val="yellow"/>
                <w:lang w:eastAsia="en-US"/>
              </w:rPr>
              <w:t xml:space="preserve"> в соответствующем объекте регулирования потребления электрической энергии</w:t>
            </w:r>
            <w:r w:rsidR="00D2051C" w:rsidRPr="001043A6">
              <w:rPr>
                <w:rFonts w:ascii="Garamond" w:hAnsi="Garamond"/>
                <w:sz w:val="22"/>
                <w:szCs w:val="22"/>
                <w:highlight w:val="yellow"/>
                <w:lang w:eastAsia="en-US"/>
              </w:rPr>
              <w:t xml:space="preserve"> (далее – объект регулирования)</w:t>
            </w:r>
            <w:r w:rsidR="00753E25" w:rsidRPr="001043A6">
              <w:rPr>
                <w:rFonts w:ascii="Garamond" w:hAnsi="Garamond"/>
                <w:sz w:val="22"/>
                <w:szCs w:val="22"/>
                <w:lang w:eastAsia="en-US"/>
              </w:rPr>
              <w:t>, если иное не предусмотрено настоящим пунктом.</w:t>
            </w:r>
          </w:p>
          <w:p w14:paraId="01107EB8" w14:textId="1175E129" w:rsidR="00EC0A2B" w:rsidRPr="001043A6" w:rsidRDefault="00753E25" w:rsidP="00772F0C">
            <w:pPr>
              <w:widowControl w:val="0"/>
              <w:spacing w:line="259" w:lineRule="auto"/>
              <w:ind w:firstLine="486"/>
              <w:jc w:val="both"/>
              <w:rPr>
                <w:rFonts w:ascii="Garamond" w:hAnsi="Garamond"/>
                <w:sz w:val="22"/>
                <w:szCs w:val="22"/>
                <w:lang w:eastAsia="en-US"/>
              </w:rPr>
            </w:pPr>
            <w:r w:rsidRPr="001043A6">
              <w:rPr>
                <w:rFonts w:ascii="Garamond" w:hAnsi="Garamond"/>
                <w:sz w:val="22"/>
                <w:szCs w:val="22"/>
                <w:lang w:eastAsia="en-US"/>
              </w:rPr>
              <w:t xml:space="preserve">Для выполнения указанных измерений </w:t>
            </w:r>
            <w:r w:rsidR="00EC0A2B" w:rsidRPr="001043A6">
              <w:rPr>
                <w:rFonts w:ascii="Garamond" w:hAnsi="Garamond"/>
                <w:sz w:val="22"/>
                <w:szCs w:val="22"/>
                <w:highlight w:val="yellow"/>
                <w:lang w:eastAsia="en-US"/>
              </w:rPr>
              <w:t>в отношении точек поставки в</w:t>
            </w:r>
            <w:r w:rsidR="00800F27" w:rsidRPr="001043A6">
              <w:rPr>
                <w:rFonts w:ascii="Garamond" w:hAnsi="Garamond"/>
                <w:sz w:val="22"/>
                <w:szCs w:val="22"/>
                <w:highlight w:val="yellow"/>
                <w:lang w:eastAsia="en-US"/>
              </w:rPr>
              <w:t xml:space="preserve"> </w:t>
            </w:r>
            <w:r w:rsidR="00EC0A2B" w:rsidRPr="001043A6">
              <w:rPr>
                <w:rFonts w:ascii="Garamond" w:hAnsi="Garamond"/>
                <w:sz w:val="22"/>
                <w:szCs w:val="22"/>
                <w:highlight w:val="yellow"/>
                <w:lang w:eastAsia="en-US"/>
              </w:rPr>
              <w:t>сечении коммерческого учета</w:t>
            </w:r>
            <w:r w:rsidR="00EC0A2B" w:rsidRPr="001043A6">
              <w:rPr>
                <w:rFonts w:ascii="Garamond" w:hAnsi="Garamond"/>
                <w:sz w:val="22"/>
                <w:szCs w:val="22"/>
                <w:lang w:eastAsia="en-US"/>
              </w:rPr>
              <w:t xml:space="preserve"> </w:t>
            </w:r>
            <w:r w:rsidRPr="001043A6">
              <w:rPr>
                <w:rFonts w:ascii="Garamond" w:hAnsi="Garamond"/>
                <w:sz w:val="22"/>
                <w:szCs w:val="22"/>
                <w:lang w:eastAsia="en-US"/>
              </w:rPr>
              <w:t xml:space="preserve">допускается применение средств измерений, не включенных в </w:t>
            </w:r>
            <w:r w:rsidR="00772F0C" w:rsidRPr="001043A6">
              <w:rPr>
                <w:rFonts w:ascii="Garamond" w:hAnsi="Garamond"/>
                <w:sz w:val="22"/>
                <w:szCs w:val="22"/>
                <w:highlight w:val="yellow"/>
                <w:lang w:eastAsia="en-US"/>
              </w:rPr>
              <w:t>СУ</w:t>
            </w:r>
            <w:r w:rsidR="00BB275C" w:rsidRPr="001043A6">
              <w:rPr>
                <w:rFonts w:ascii="Garamond" w:hAnsi="Garamond"/>
                <w:sz w:val="22"/>
                <w:szCs w:val="22"/>
                <w:highlight w:val="yellow"/>
                <w:lang w:eastAsia="en-US"/>
              </w:rPr>
              <w:t xml:space="preserve"> (не присоединенных</w:t>
            </w:r>
            <w:r w:rsidR="00772F0C" w:rsidRPr="001043A6">
              <w:rPr>
                <w:rFonts w:ascii="Garamond" w:hAnsi="Garamond"/>
                <w:sz w:val="22"/>
                <w:szCs w:val="22"/>
                <w:highlight w:val="yellow"/>
                <w:lang w:eastAsia="en-US"/>
              </w:rPr>
              <w:t xml:space="preserve"> к ИСУ</w:t>
            </w:r>
            <w:r w:rsidR="00800F27" w:rsidRPr="001043A6">
              <w:rPr>
                <w:rFonts w:ascii="Garamond" w:hAnsi="Garamond"/>
                <w:sz w:val="22"/>
                <w:szCs w:val="22"/>
                <w:highlight w:val="yellow"/>
                <w:lang w:eastAsia="en-US"/>
              </w:rPr>
              <w:t>)</w:t>
            </w:r>
            <w:r w:rsidR="009B5F03">
              <w:rPr>
                <w:rFonts w:ascii="Garamond" w:hAnsi="Garamond"/>
                <w:sz w:val="22"/>
                <w:szCs w:val="22"/>
                <w:lang w:eastAsia="en-US"/>
              </w:rPr>
              <w:t xml:space="preserve"> </w:t>
            </w:r>
            <w:r w:rsidRPr="001043A6">
              <w:rPr>
                <w:rFonts w:ascii="Garamond" w:hAnsi="Garamond"/>
                <w:sz w:val="22"/>
                <w:szCs w:val="22"/>
                <w:lang w:eastAsia="en-US"/>
              </w:rPr>
              <w:t xml:space="preserve">и обеспечивающих учет </w:t>
            </w:r>
            <w:r w:rsidRPr="001043A6">
              <w:rPr>
                <w:rFonts w:ascii="Garamond" w:hAnsi="Garamond"/>
                <w:sz w:val="22"/>
                <w:szCs w:val="22"/>
                <w:highlight w:val="yellow"/>
                <w:lang w:eastAsia="en-US"/>
              </w:rPr>
              <w:t>электр</w:t>
            </w:r>
            <w:r w:rsidR="009D52DD" w:rsidRPr="001043A6">
              <w:rPr>
                <w:rFonts w:ascii="Garamond" w:hAnsi="Garamond"/>
                <w:sz w:val="22"/>
                <w:szCs w:val="22"/>
                <w:highlight w:val="yellow"/>
                <w:lang w:eastAsia="en-US"/>
              </w:rPr>
              <w:t>оэнергии</w:t>
            </w:r>
            <w:r w:rsidRPr="001043A6">
              <w:rPr>
                <w:rFonts w:ascii="Garamond" w:hAnsi="Garamond"/>
                <w:sz w:val="22"/>
                <w:szCs w:val="22"/>
                <w:lang w:eastAsia="en-US"/>
              </w:rPr>
              <w:t xml:space="preserve"> суммарно на определенный момент времени (за отчетный период − календарный месяц) с применением типовых суточных графиков в случаях, предусмотренных приложением 8 к Положению о </w:t>
            </w:r>
            <w:r w:rsidR="00092239" w:rsidRPr="001043A6">
              <w:rPr>
                <w:rFonts w:ascii="Garamond" w:hAnsi="Garamond"/>
                <w:sz w:val="22"/>
                <w:szCs w:val="22"/>
                <w:highlight w:val="yellow"/>
                <w:lang w:eastAsia="en-US"/>
              </w:rPr>
              <w:t>реестре</w:t>
            </w:r>
            <w:r w:rsidRPr="001043A6">
              <w:rPr>
                <w:rFonts w:ascii="Garamond" w:hAnsi="Garamond"/>
                <w:sz w:val="22"/>
                <w:szCs w:val="22"/>
                <w:lang w:eastAsia="en-US"/>
              </w:rPr>
              <w:t>.</w:t>
            </w:r>
            <w:r w:rsidR="00EC0A2B" w:rsidRPr="001043A6">
              <w:rPr>
                <w:rFonts w:ascii="Garamond" w:hAnsi="Garamond"/>
                <w:sz w:val="22"/>
                <w:szCs w:val="22"/>
                <w:lang w:eastAsia="en-US"/>
              </w:rPr>
              <w:t xml:space="preserve"> </w:t>
            </w:r>
            <w:r w:rsidR="00EC0A2B" w:rsidRPr="001043A6">
              <w:rPr>
                <w:rFonts w:ascii="Garamond" w:hAnsi="Garamond"/>
                <w:sz w:val="22"/>
                <w:szCs w:val="22"/>
                <w:highlight w:val="yellow"/>
                <w:lang w:eastAsia="en-US"/>
              </w:rPr>
              <w:t>Применение средств измерений, не включенных</w:t>
            </w:r>
            <w:r w:rsidR="00D0621E" w:rsidRPr="001043A6">
              <w:rPr>
                <w:rFonts w:ascii="Garamond" w:hAnsi="Garamond"/>
                <w:sz w:val="22"/>
                <w:szCs w:val="22"/>
                <w:highlight w:val="yellow"/>
                <w:lang w:eastAsia="en-US"/>
              </w:rPr>
              <w:t xml:space="preserve"> </w:t>
            </w:r>
            <w:r w:rsidR="00772F0C" w:rsidRPr="001043A6">
              <w:rPr>
                <w:rFonts w:ascii="Garamond" w:hAnsi="Garamond"/>
                <w:sz w:val="22"/>
                <w:szCs w:val="22"/>
                <w:highlight w:val="yellow"/>
                <w:lang w:eastAsia="en-US"/>
              </w:rPr>
              <w:t xml:space="preserve">в СУ </w:t>
            </w:r>
            <w:r w:rsidR="00D0621E" w:rsidRPr="001043A6">
              <w:rPr>
                <w:rFonts w:ascii="Garamond" w:hAnsi="Garamond"/>
                <w:sz w:val="22"/>
                <w:szCs w:val="22"/>
                <w:highlight w:val="yellow"/>
                <w:lang w:eastAsia="en-US"/>
              </w:rPr>
              <w:t>(не присоединенных</w:t>
            </w:r>
            <w:r w:rsidR="00772F0C" w:rsidRPr="001043A6">
              <w:rPr>
                <w:rFonts w:ascii="Garamond" w:hAnsi="Garamond"/>
                <w:sz w:val="22"/>
                <w:szCs w:val="22"/>
                <w:highlight w:val="yellow"/>
                <w:lang w:eastAsia="en-US"/>
              </w:rPr>
              <w:t xml:space="preserve"> к ИСУ</w:t>
            </w:r>
            <w:r w:rsidR="00D0621E" w:rsidRPr="001043A6">
              <w:rPr>
                <w:rFonts w:ascii="Garamond" w:hAnsi="Garamond"/>
                <w:sz w:val="22"/>
                <w:szCs w:val="22"/>
                <w:highlight w:val="yellow"/>
                <w:lang w:eastAsia="en-US"/>
              </w:rPr>
              <w:t>)</w:t>
            </w:r>
            <w:r w:rsidR="00BB275C" w:rsidRPr="001043A6">
              <w:rPr>
                <w:rFonts w:ascii="Garamond" w:hAnsi="Garamond"/>
                <w:sz w:val="22"/>
                <w:szCs w:val="22"/>
                <w:highlight w:val="yellow"/>
                <w:lang w:eastAsia="en-US"/>
              </w:rPr>
              <w:t xml:space="preserve"> </w:t>
            </w:r>
            <w:r w:rsidR="00EC0A2B" w:rsidRPr="001043A6">
              <w:rPr>
                <w:rFonts w:ascii="Garamond" w:hAnsi="Garamond"/>
                <w:sz w:val="22"/>
                <w:szCs w:val="22"/>
                <w:highlight w:val="yellow"/>
                <w:lang w:eastAsia="en-US"/>
              </w:rPr>
              <w:t>и обеспечивающих учет электр</w:t>
            </w:r>
            <w:r w:rsidR="009D52DD" w:rsidRPr="001043A6">
              <w:rPr>
                <w:rFonts w:ascii="Garamond" w:hAnsi="Garamond"/>
                <w:sz w:val="22"/>
                <w:szCs w:val="22"/>
                <w:highlight w:val="yellow"/>
                <w:lang w:eastAsia="en-US"/>
              </w:rPr>
              <w:t>оэнергии</w:t>
            </w:r>
            <w:r w:rsidR="00EC0A2B" w:rsidRPr="001043A6">
              <w:rPr>
                <w:rFonts w:ascii="Garamond" w:hAnsi="Garamond"/>
                <w:sz w:val="22"/>
                <w:szCs w:val="22"/>
                <w:highlight w:val="yellow"/>
                <w:lang w:eastAsia="en-US"/>
              </w:rPr>
              <w:t xml:space="preserve"> суммарно на определенный момент времени, в отношении точек </w:t>
            </w:r>
            <w:r w:rsidR="006827B8" w:rsidRPr="001043A6">
              <w:rPr>
                <w:rFonts w:ascii="Garamond" w:hAnsi="Garamond"/>
                <w:sz w:val="22"/>
                <w:szCs w:val="22"/>
                <w:highlight w:val="yellow"/>
                <w:lang w:eastAsia="en-US"/>
              </w:rPr>
              <w:t>присоединения</w:t>
            </w:r>
            <w:r w:rsidR="00EC0A2B" w:rsidRPr="001043A6">
              <w:rPr>
                <w:rFonts w:ascii="Garamond" w:hAnsi="Garamond"/>
                <w:sz w:val="22"/>
                <w:szCs w:val="22"/>
                <w:highlight w:val="yellow"/>
                <w:lang w:eastAsia="en-US"/>
              </w:rPr>
              <w:t xml:space="preserve"> объектов регулирования не допускается.</w:t>
            </w:r>
          </w:p>
        </w:tc>
      </w:tr>
      <w:tr w:rsidR="00C817A3" w:rsidRPr="001043A6" w14:paraId="04B2D993" w14:textId="77777777" w:rsidTr="001043A6">
        <w:tc>
          <w:tcPr>
            <w:tcW w:w="1031" w:type="dxa"/>
          </w:tcPr>
          <w:p w14:paraId="759F13E9" w14:textId="77777777" w:rsidR="00C817A3" w:rsidRPr="001043A6" w:rsidRDefault="00972437" w:rsidP="00EC0A2B">
            <w:pPr>
              <w:widowControl w:val="0"/>
              <w:spacing w:line="259" w:lineRule="auto"/>
              <w:jc w:val="center"/>
              <w:rPr>
                <w:rFonts w:ascii="Garamond" w:hAnsi="Garamond"/>
                <w:b/>
                <w:sz w:val="22"/>
                <w:szCs w:val="22"/>
                <w:lang w:eastAsia="en-US"/>
              </w:rPr>
            </w:pPr>
            <w:r w:rsidRPr="001043A6">
              <w:rPr>
                <w:rFonts w:ascii="Garamond" w:hAnsi="Garamond"/>
                <w:b/>
                <w:sz w:val="22"/>
                <w:szCs w:val="22"/>
                <w:lang w:eastAsia="en-US"/>
              </w:rPr>
              <w:t>1.3</w:t>
            </w:r>
          </w:p>
        </w:tc>
        <w:tc>
          <w:tcPr>
            <w:tcW w:w="6833" w:type="dxa"/>
          </w:tcPr>
          <w:p w14:paraId="72CBCED9" w14:textId="77777777" w:rsidR="00C817A3" w:rsidRPr="001043A6" w:rsidRDefault="00972437" w:rsidP="00EC0A2B">
            <w:pPr>
              <w:widowControl w:val="0"/>
              <w:spacing w:line="259" w:lineRule="auto"/>
              <w:ind w:firstLine="486"/>
              <w:jc w:val="both"/>
              <w:rPr>
                <w:rFonts w:ascii="Garamond" w:hAnsi="Garamond"/>
                <w:sz w:val="22"/>
                <w:szCs w:val="22"/>
                <w:lang w:eastAsia="en-US"/>
              </w:rPr>
            </w:pPr>
            <w:r w:rsidRPr="001043A6">
              <w:rPr>
                <w:rFonts w:ascii="Garamond" w:hAnsi="Garamond"/>
                <w:sz w:val="22"/>
                <w:szCs w:val="22"/>
                <w:lang w:eastAsia="en-US"/>
              </w:rPr>
              <w:t>АИИС КУЭ и все средства измерений, включенные в состав АИИС КУЭ</w:t>
            </w:r>
            <w:r w:rsidRPr="001043A6">
              <w:rPr>
                <w:rFonts w:ascii="Garamond" w:hAnsi="Garamond"/>
                <w:sz w:val="22"/>
                <w:szCs w:val="22"/>
                <w:highlight w:val="yellow"/>
                <w:lang w:eastAsia="en-US"/>
              </w:rPr>
              <w:t>, а также</w:t>
            </w:r>
            <w:r w:rsidRPr="001043A6">
              <w:rPr>
                <w:rFonts w:ascii="Garamond" w:hAnsi="Garamond"/>
                <w:sz w:val="22"/>
                <w:szCs w:val="22"/>
                <w:lang w:eastAsia="en-US"/>
              </w:rPr>
              <w:t xml:space="preserve"> средства измерений, выполняющие измерения в отношении «малых» точек поставки, </w:t>
            </w:r>
            <w:r w:rsidRPr="001043A6">
              <w:rPr>
                <w:rFonts w:ascii="Garamond" w:hAnsi="Garamond"/>
                <w:sz w:val="22"/>
                <w:szCs w:val="22"/>
                <w:highlight w:val="yellow"/>
                <w:lang w:eastAsia="en-US"/>
              </w:rPr>
              <w:t>и средства измерений, не обеспечивающие совокупность функций по сбору, обработке и передаче КО данных коммерческого учета и не присоединенные к интеллектуальным системам учета электрической энергии (мощности),</w:t>
            </w:r>
            <w:r w:rsidRPr="001043A6">
              <w:rPr>
                <w:rFonts w:ascii="Garamond" w:hAnsi="Garamond"/>
                <w:sz w:val="22"/>
                <w:szCs w:val="22"/>
                <w:lang w:eastAsia="en-US"/>
              </w:rPr>
              <w:t xml:space="preserve"> должны </w:t>
            </w:r>
            <w:r w:rsidRPr="001043A6">
              <w:rPr>
                <w:rFonts w:ascii="Garamond" w:hAnsi="Garamond"/>
                <w:sz w:val="22"/>
                <w:szCs w:val="22"/>
                <w:highlight w:val="yellow"/>
                <w:lang w:eastAsia="en-US"/>
              </w:rPr>
              <w:t>иметь свидетельства об утверждении типа средств измерений и действующие свидетельства о поверке</w:t>
            </w:r>
            <w:r w:rsidRPr="001043A6">
              <w:rPr>
                <w:rFonts w:ascii="Garamond" w:hAnsi="Garamond"/>
                <w:sz w:val="22"/>
                <w:szCs w:val="22"/>
                <w:lang w:eastAsia="en-US"/>
              </w:rPr>
              <w:t>.</w:t>
            </w:r>
          </w:p>
        </w:tc>
        <w:tc>
          <w:tcPr>
            <w:tcW w:w="7115" w:type="dxa"/>
          </w:tcPr>
          <w:p w14:paraId="0FCB48C1" w14:textId="648BD0B2" w:rsidR="00C817A3" w:rsidRPr="001043A6" w:rsidRDefault="00972437" w:rsidP="00A15241">
            <w:pPr>
              <w:widowControl w:val="0"/>
              <w:spacing w:line="259" w:lineRule="auto"/>
              <w:ind w:firstLine="486"/>
              <w:jc w:val="both"/>
              <w:rPr>
                <w:rFonts w:ascii="Garamond" w:hAnsi="Garamond"/>
                <w:sz w:val="22"/>
                <w:szCs w:val="22"/>
                <w:lang w:eastAsia="en-US"/>
              </w:rPr>
            </w:pPr>
            <w:r w:rsidRPr="001043A6">
              <w:rPr>
                <w:rFonts w:ascii="Garamond" w:hAnsi="Garamond"/>
                <w:sz w:val="22"/>
                <w:szCs w:val="22"/>
                <w:lang w:eastAsia="en-US"/>
              </w:rPr>
              <w:t>АИИС КУЭ и все средства измерений, включенные в состав АИИС КУЭ</w:t>
            </w:r>
            <w:r w:rsidRPr="001043A6">
              <w:rPr>
                <w:rFonts w:ascii="Garamond" w:hAnsi="Garamond"/>
                <w:sz w:val="22"/>
                <w:szCs w:val="22"/>
                <w:highlight w:val="yellow"/>
                <w:lang w:eastAsia="en-US"/>
              </w:rPr>
              <w:t xml:space="preserve">; </w:t>
            </w:r>
            <w:r w:rsidR="00F93303" w:rsidRPr="001043A6">
              <w:rPr>
                <w:rFonts w:ascii="Garamond" w:hAnsi="Garamond"/>
                <w:sz w:val="22"/>
                <w:szCs w:val="22"/>
                <w:highlight w:val="yellow"/>
                <w:lang w:eastAsia="en-US"/>
              </w:rPr>
              <w:t>ИПУ</w:t>
            </w:r>
            <w:r w:rsidRPr="001043A6">
              <w:rPr>
                <w:rFonts w:ascii="Garamond" w:hAnsi="Garamond"/>
                <w:sz w:val="22"/>
                <w:szCs w:val="22"/>
                <w:highlight w:val="yellow"/>
                <w:lang w:eastAsia="en-US"/>
              </w:rPr>
              <w:t>, присоединенные к ИСУ</w:t>
            </w:r>
            <w:r w:rsidR="00222405" w:rsidRPr="001043A6">
              <w:rPr>
                <w:rFonts w:ascii="Garamond" w:hAnsi="Garamond"/>
                <w:sz w:val="22"/>
                <w:szCs w:val="22"/>
                <w:highlight w:val="yellow"/>
                <w:lang w:eastAsia="en-US"/>
              </w:rPr>
              <w:t>, а также</w:t>
            </w:r>
            <w:r w:rsidR="007D3788" w:rsidRPr="001043A6">
              <w:rPr>
                <w:rFonts w:ascii="Garamond" w:hAnsi="Garamond"/>
                <w:sz w:val="22"/>
                <w:szCs w:val="22"/>
                <w:highlight w:val="yellow"/>
                <w:lang w:eastAsia="en-US"/>
              </w:rPr>
              <w:t xml:space="preserve"> </w:t>
            </w:r>
            <w:r w:rsidR="00F93303" w:rsidRPr="001043A6">
              <w:rPr>
                <w:rFonts w:ascii="Garamond" w:hAnsi="Garamond"/>
                <w:sz w:val="22"/>
                <w:szCs w:val="22"/>
                <w:highlight w:val="yellow"/>
                <w:lang w:eastAsia="en-US"/>
              </w:rPr>
              <w:t xml:space="preserve">средства измерений, </w:t>
            </w:r>
            <w:r w:rsidR="007D3788" w:rsidRPr="001043A6">
              <w:rPr>
                <w:rFonts w:ascii="Garamond" w:hAnsi="Garamond"/>
                <w:sz w:val="22"/>
                <w:szCs w:val="22"/>
                <w:highlight w:val="yellow"/>
                <w:lang w:eastAsia="en-US"/>
              </w:rPr>
              <w:t>используемые для измерений, сбора, обработки, хранения и передачи результатов измерений в ИСУ</w:t>
            </w:r>
            <w:r w:rsidRPr="001043A6">
              <w:rPr>
                <w:rFonts w:ascii="Garamond" w:hAnsi="Garamond"/>
                <w:sz w:val="22"/>
                <w:szCs w:val="22"/>
                <w:highlight w:val="yellow"/>
                <w:lang w:eastAsia="en-US"/>
              </w:rPr>
              <w:t>; средства измерений, входящие в состав совокупности СИ и ТУ</w:t>
            </w:r>
            <w:r w:rsidR="00222405" w:rsidRPr="001043A6">
              <w:rPr>
                <w:rFonts w:ascii="Garamond" w:hAnsi="Garamond"/>
                <w:sz w:val="22"/>
                <w:szCs w:val="22"/>
                <w:lang w:eastAsia="en-US"/>
              </w:rPr>
              <w:t>;</w:t>
            </w:r>
            <w:r w:rsidRPr="001043A6">
              <w:rPr>
                <w:rFonts w:ascii="Garamond" w:hAnsi="Garamond"/>
                <w:sz w:val="22"/>
                <w:szCs w:val="22"/>
                <w:lang w:eastAsia="en-US"/>
              </w:rPr>
              <w:t xml:space="preserve"> средства измерений, выполняющие измерения в от</w:t>
            </w:r>
            <w:r w:rsidR="007D3788" w:rsidRPr="001043A6">
              <w:rPr>
                <w:rFonts w:ascii="Garamond" w:hAnsi="Garamond"/>
                <w:sz w:val="22"/>
                <w:szCs w:val="22"/>
                <w:lang w:eastAsia="en-US"/>
              </w:rPr>
              <w:t>ношении «малых» точек поставки</w:t>
            </w:r>
            <w:r w:rsidRPr="001043A6">
              <w:rPr>
                <w:rFonts w:ascii="Garamond" w:hAnsi="Garamond"/>
                <w:sz w:val="22"/>
                <w:szCs w:val="22"/>
                <w:lang w:eastAsia="en-US"/>
              </w:rPr>
              <w:t xml:space="preserve">, </w:t>
            </w:r>
            <w:r w:rsidR="00CE0FB8" w:rsidRPr="001043A6">
              <w:rPr>
                <w:rFonts w:ascii="Garamond" w:hAnsi="Garamond"/>
                <w:sz w:val="22"/>
                <w:szCs w:val="22"/>
                <w:lang w:eastAsia="en-US"/>
              </w:rPr>
              <w:t xml:space="preserve">должны </w:t>
            </w:r>
            <w:r w:rsidR="00CE0FB8" w:rsidRPr="001043A6">
              <w:rPr>
                <w:rFonts w:ascii="Garamond" w:hAnsi="Garamond"/>
                <w:sz w:val="22"/>
                <w:szCs w:val="22"/>
                <w:highlight w:val="yellow"/>
                <w:lang w:eastAsia="en-US"/>
              </w:rPr>
              <w:t xml:space="preserve">быть утвержденного типа, </w:t>
            </w:r>
            <w:r w:rsidR="00743EC5" w:rsidRPr="00A15241">
              <w:rPr>
                <w:rFonts w:ascii="Garamond" w:hAnsi="Garamond"/>
                <w:sz w:val="22"/>
                <w:szCs w:val="22"/>
                <w:highlight w:val="yellow"/>
                <w:lang w:eastAsia="en-US"/>
              </w:rPr>
              <w:t xml:space="preserve">иметь действующее свидетельство о </w:t>
            </w:r>
            <w:r w:rsidR="00CE0FB8" w:rsidRPr="00A15241">
              <w:rPr>
                <w:rFonts w:ascii="Garamond" w:hAnsi="Garamond"/>
                <w:sz w:val="22"/>
                <w:szCs w:val="22"/>
                <w:highlight w:val="yellow"/>
                <w:lang w:eastAsia="en-US"/>
              </w:rPr>
              <w:t>поверк</w:t>
            </w:r>
            <w:r w:rsidR="00743EC5" w:rsidRPr="00A15241">
              <w:rPr>
                <w:rFonts w:ascii="Garamond" w:hAnsi="Garamond"/>
                <w:sz w:val="22"/>
                <w:szCs w:val="22"/>
                <w:highlight w:val="yellow"/>
                <w:lang w:eastAsia="en-US"/>
              </w:rPr>
              <w:t>е</w:t>
            </w:r>
            <w:r w:rsidR="00CE0FB8" w:rsidRPr="00A15241">
              <w:rPr>
                <w:rFonts w:ascii="Garamond" w:hAnsi="Garamond"/>
                <w:sz w:val="22"/>
                <w:szCs w:val="22"/>
                <w:highlight w:val="yellow"/>
                <w:lang w:eastAsia="en-US"/>
              </w:rPr>
              <w:t xml:space="preserve"> в соответствии с требованиями Федерального </w:t>
            </w:r>
            <w:r w:rsidR="00CE0FB8" w:rsidRPr="001043A6">
              <w:rPr>
                <w:rFonts w:ascii="Garamond" w:hAnsi="Garamond"/>
                <w:sz w:val="22"/>
                <w:szCs w:val="22"/>
                <w:highlight w:val="yellow"/>
                <w:lang w:eastAsia="en-US"/>
              </w:rPr>
              <w:t>закона от 26.06.2008 № 102-ФЗ «Об обеспечении единства измерений»</w:t>
            </w:r>
            <w:r w:rsidR="00CE0FB8" w:rsidRPr="001043A6">
              <w:rPr>
                <w:rFonts w:ascii="Garamond" w:hAnsi="Garamond"/>
                <w:sz w:val="22"/>
                <w:szCs w:val="22"/>
                <w:lang w:eastAsia="en-US"/>
              </w:rPr>
              <w:t>.</w:t>
            </w:r>
          </w:p>
        </w:tc>
      </w:tr>
      <w:tr w:rsidR="00521FC6" w:rsidRPr="001043A6" w14:paraId="41EA9A2A" w14:textId="77777777" w:rsidTr="001043A6">
        <w:tc>
          <w:tcPr>
            <w:tcW w:w="1031" w:type="dxa"/>
          </w:tcPr>
          <w:p w14:paraId="5C519E7D" w14:textId="77777777" w:rsidR="00521FC6" w:rsidRPr="001043A6" w:rsidRDefault="00E11B82" w:rsidP="00EC0A2B">
            <w:pPr>
              <w:widowControl w:val="0"/>
              <w:spacing w:line="259" w:lineRule="auto"/>
              <w:jc w:val="center"/>
              <w:rPr>
                <w:rFonts w:ascii="Garamond" w:hAnsi="Garamond"/>
                <w:b/>
                <w:sz w:val="22"/>
                <w:szCs w:val="22"/>
                <w:lang w:eastAsia="en-US"/>
              </w:rPr>
            </w:pPr>
            <w:r w:rsidRPr="001043A6">
              <w:rPr>
                <w:rFonts w:ascii="Garamond" w:hAnsi="Garamond"/>
                <w:b/>
                <w:sz w:val="22"/>
                <w:szCs w:val="22"/>
                <w:lang w:eastAsia="en-US"/>
              </w:rPr>
              <w:t>1.4</w:t>
            </w:r>
          </w:p>
        </w:tc>
        <w:tc>
          <w:tcPr>
            <w:tcW w:w="6833" w:type="dxa"/>
          </w:tcPr>
          <w:p w14:paraId="423A0331" w14:textId="77777777" w:rsidR="00521FC6" w:rsidRPr="001043A6" w:rsidRDefault="00A100C2" w:rsidP="00EC0A2B">
            <w:pPr>
              <w:widowControl w:val="0"/>
              <w:spacing w:line="259" w:lineRule="auto"/>
              <w:ind w:firstLine="486"/>
              <w:jc w:val="both"/>
              <w:rPr>
                <w:rFonts w:ascii="Garamond" w:hAnsi="Garamond"/>
                <w:b/>
                <w:sz w:val="22"/>
                <w:szCs w:val="22"/>
                <w:lang w:eastAsia="en-US"/>
              </w:rPr>
            </w:pPr>
            <w:r w:rsidRPr="001043A6">
              <w:rPr>
                <w:rFonts w:ascii="Garamond" w:hAnsi="Garamond"/>
                <w:b/>
                <w:sz w:val="22"/>
                <w:szCs w:val="22"/>
                <w:lang w:eastAsia="en-US"/>
              </w:rPr>
              <w:t>Добавить пункт</w:t>
            </w:r>
          </w:p>
        </w:tc>
        <w:tc>
          <w:tcPr>
            <w:tcW w:w="7115" w:type="dxa"/>
          </w:tcPr>
          <w:p w14:paraId="46994A37" w14:textId="77777777" w:rsidR="00521FC6" w:rsidRPr="001043A6" w:rsidRDefault="00521FC6" w:rsidP="00521FC6">
            <w:pPr>
              <w:widowControl w:val="0"/>
              <w:spacing w:line="259" w:lineRule="auto"/>
              <w:ind w:firstLine="486"/>
              <w:jc w:val="both"/>
              <w:rPr>
                <w:rFonts w:ascii="Garamond" w:hAnsi="Garamond"/>
                <w:sz w:val="22"/>
                <w:szCs w:val="22"/>
                <w:highlight w:val="yellow"/>
                <w:lang w:eastAsia="en-US"/>
              </w:rPr>
            </w:pPr>
            <w:r w:rsidRPr="001043A6">
              <w:rPr>
                <w:rFonts w:ascii="Garamond" w:hAnsi="Garamond"/>
                <w:sz w:val="22"/>
                <w:szCs w:val="22"/>
                <w:highlight w:val="yellow"/>
                <w:lang w:eastAsia="en-US"/>
              </w:rPr>
              <w:t>Совокупностью СИ и ТУ могут быть оснащены:</w:t>
            </w:r>
          </w:p>
          <w:p w14:paraId="01C0EA8A" w14:textId="7DB183E7" w:rsidR="00521FC6" w:rsidRPr="001043A6" w:rsidRDefault="00A15241" w:rsidP="00521FC6">
            <w:pPr>
              <w:widowControl w:val="0"/>
              <w:spacing w:line="259" w:lineRule="auto"/>
              <w:ind w:firstLine="486"/>
              <w:jc w:val="both"/>
              <w:rPr>
                <w:rFonts w:ascii="Garamond" w:hAnsi="Garamond"/>
                <w:sz w:val="22"/>
                <w:szCs w:val="22"/>
                <w:highlight w:val="yellow"/>
                <w:lang w:eastAsia="en-US"/>
              </w:rPr>
            </w:pPr>
            <w:r>
              <w:rPr>
                <w:rFonts w:ascii="Garamond" w:hAnsi="Garamond"/>
                <w:sz w:val="22"/>
                <w:szCs w:val="22"/>
                <w:highlight w:val="yellow"/>
                <w:lang w:eastAsia="en-US"/>
              </w:rPr>
              <w:t>–</w:t>
            </w:r>
            <w:r w:rsidR="00521FC6" w:rsidRPr="001043A6">
              <w:rPr>
                <w:rFonts w:ascii="Garamond" w:hAnsi="Garamond"/>
                <w:sz w:val="22"/>
                <w:szCs w:val="22"/>
                <w:highlight w:val="yellow"/>
                <w:lang w:eastAsia="en-US"/>
              </w:rPr>
              <w:t xml:space="preserve"> точки поставки, </w:t>
            </w:r>
            <w:r w:rsidR="00573208" w:rsidRPr="001043A6">
              <w:rPr>
                <w:rFonts w:ascii="Garamond" w:hAnsi="Garamond"/>
                <w:sz w:val="22"/>
                <w:szCs w:val="22"/>
                <w:highlight w:val="yellow"/>
                <w:lang w:eastAsia="en-US"/>
              </w:rPr>
              <w:t>включенные</w:t>
            </w:r>
            <w:r w:rsidR="00521FC6" w:rsidRPr="001043A6">
              <w:rPr>
                <w:rFonts w:ascii="Garamond" w:hAnsi="Garamond"/>
                <w:sz w:val="22"/>
                <w:szCs w:val="22"/>
                <w:highlight w:val="yellow"/>
                <w:lang w:eastAsia="en-US"/>
              </w:rPr>
              <w:t xml:space="preserve"> в состав группы точек поставки </w:t>
            </w:r>
            <w:r w:rsidR="00521FC6" w:rsidRPr="001043A6">
              <w:rPr>
                <w:rFonts w:ascii="Garamond" w:hAnsi="Garamond"/>
                <w:sz w:val="22"/>
                <w:szCs w:val="22"/>
                <w:highlight w:val="yellow"/>
                <w:lang w:eastAsia="en-US"/>
              </w:rPr>
              <w:lastRenderedPageBreak/>
              <w:t>энергосбытовых организаций, уполномоченных Правительством Российской Федерации на осуществление купли-продажи электрической энергии (мощности) на оптовом рынке для целей поставки электрической энергии (мощности) на территории новых субъектов Российской Федерации;</w:t>
            </w:r>
          </w:p>
          <w:p w14:paraId="60F25957" w14:textId="07DE2AC0" w:rsidR="00521FC6" w:rsidRPr="001043A6" w:rsidRDefault="00A15241" w:rsidP="00521FC6">
            <w:pPr>
              <w:widowControl w:val="0"/>
              <w:spacing w:line="259" w:lineRule="auto"/>
              <w:ind w:firstLine="486"/>
              <w:jc w:val="both"/>
              <w:rPr>
                <w:rFonts w:ascii="Garamond" w:hAnsi="Garamond"/>
                <w:sz w:val="22"/>
                <w:szCs w:val="22"/>
                <w:highlight w:val="yellow"/>
                <w:lang w:eastAsia="en-US"/>
              </w:rPr>
            </w:pPr>
            <w:r>
              <w:rPr>
                <w:rFonts w:ascii="Garamond" w:hAnsi="Garamond"/>
                <w:sz w:val="22"/>
                <w:szCs w:val="22"/>
                <w:highlight w:val="yellow"/>
                <w:lang w:eastAsia="en-US"/>
              </w:rPr>
              <w:t>–</w:t>
            </w:r>
            <w:r w:rsidR="00521FC6" w:rsidRPr="001043A6">
              <w:rPr>
                <w:rFonts w:ascii="Garamond" w:hAnsi="Garamond"/>
                <w:sz w:val="22"/>
                <w:szCs w:val="22"/>
                <w:highlight w:val="yellow"/>
                <w:lang w:eastAsia="en-US"/>
              </w:rPr>
              <w:t xml:space="preserve"> </w:t>
            </w:r>
            <w:r w:rsidR="00E11B82" w:rsidRPr="001043A6">
              <w:rPr>
                <w:rFonts w:ascii="Garamond" w:hAnsi="Garamond"/>
                <w:sz w:val="22"/>
                <w:szCs w:val="22"/>
                <w:highlight w:val="yellow"/>
                <w:lang w:eastAsia="en-US"/>
              </w:rPr>
              <w:t>начиная с 01.01.2025 –</w:t>
            </w:r>
            <w:r w:rsidR="0050593A" w:rsidRPr="001043A6">
              <w:rPr>
                <w:rFonts w:ascii="Garamond" w:hAnsi="Garamond"/>
                <w:sz w:val="22"/>
                <w:szCs w:val="22"/>
                <w:highlight w:val="yellow"/>
                <w:lang w:eastAsia="en-US"/>
              </w:rPr>
              <w:t xml:space="preserve"> любые </w:t>
            </w:r>
            <w:r w:rsidR="00521FC6" w:rsidRPr="001043A6">
              <w:rPr>
                <w:rFonts w:ascii="Garamond" w:hAnsi="Garamond"/>
                <w:sz w:val="22"/>
                <w:szCs w:val="22"/>
                <w:highlight w:val="yellow"/>
                <w:lang w:eastAsia="en-US"/>
              </w:rPr>
              <w:t xml:space="preserve">точки поставки, </w:t>
            </w:r>
            <w:r w:rsidR="00573208" w:rsidRPr="001043A6">
              <w:rPr>
                <w:rFonts w:ascii="Garamond" w:hAnsi="Garamond"/>
                <w:sz w:val="22"/>
                <w:szCs w:val="22"/>
                <w:highlight w:val="yellow"/>
                <w:lang w:eastAsia="en-US"/>
              </w:rPr>
              <w:t xml:space="preserve">включенные </w:t>
            </w:r>
            <w:r w:rsidR="00521FC6" w:rsidRPr="001043A6">
              <w:rPr>
                <w:rFonts w:ascii="Garamond" w:hAnsi="Garamond"/>
                <w:sz w:val="22"/>
                <w:szCs w:val="22"/>
                <w:highlight w:val="yellow"/>
                <w:lang w:eastAsia="en-US"/>
              </w:rPr>
              <w:t>в состав групп точек поставки участников оптового рынка и сечений коммерческого учета ФСК</w:t>
            </w:r>
            <w:r w:rsidR="00DC747C" w:rsidRPr="001043A6">
              <w:rPr>
                <w:rFonts w:ascii="Garamond" w:hAnsi="Garamond"/>
                <w:sz w:val="22"/>
                <w:szCs w:val="22"/>
                <w:highlight w:val="yellow"/>
                <w:lang w:eastAsia="en-US"/>
              </w:rPr>
              <w:t>.</w:t>
            </w:r>
          </w:p>
          <w:p w14:paraId="4C5A5B10" w14:textId="77777777" w:rsidR="00521FC6" w:rsidRPr="001043A6" w:rsidRDefault="00DC747C" w:rsidP="00DC747C">
            <w:pPr>
              <w:widowControl w:val="0"/>
              <w:spacing w:line="259" w:lineRule="auto"/>
              <w:ind w:firstLine="486"/>
              <w:jc w:val="both"/>
              <w:rPr>
                <w:rFonts w:ascii="Garamond" w:hAnsi="Garamond"/>
                <w:sz w:val="22"/>
                <w:szCs w:val="22"/>
                <w:highlight w:val="yellow"/>
                <w:lang w:eastAsia="en-US"/>
              </w:rPr>
            </w:pPr>
            <w:r w:rsidRPr="001043A6">
              <w:rPr>
                <w:rFonts w:ascii="Garamond" w:hAnsi="Garamond"/>
                <w:sz w:val="22"/>
                <w:szCs w:val="22"/>
                <w:highlight w:val="yellow"/>
                <w:lang w:eastAsia="en-US"/>
              </w:rPr>
              <w:t>ИПУ, присоединенными к ИСУ, могут быть оснащены точки поставки, включенные в состав групп точек поставки участников оптового рынка и сечений коммерческого учета ФСК, начиная с 01.01.2025.</w:t>
            </w:r>
          </w:p>
          <w:p w14:paraId="41645A57" w14:textId="77777777" w:rsidR="00EC0A2B" w:rsidRPr="001043A6" w:rsidRDefault="00EC0A2B" w:rsidP="007D4240">
            <w:pPr>
              <w:widowControl w:val="0"/>
              <w:spacing w:line="259" w:lineRule="auto"/>
              <w:ind w:firstLine="486"/>
              <w:jc w:val="both"/>
              <w:rPr>
                <w:rFonts w:ascii="Garamond" w:hAnsi="Garamond"/>
                <w:sz w:val="22"/>
                <w:szCs w:val="22"/>
                <w:highlight w:val="yellow"/>
                <w:lang w:eastAsia="en-US"/>
              </w:rPr>
            </w:pPr>
            <w:r w:rsidRPr="001043A6">
              <w:rPr>
                <w:rFonts w:ascii="Garamond" w:hAnsi="Garamond"/>
                <w:sz w:val="22"/>
                <w:szCs w:val="22"/>
                <w:highlight w:val="yellow"/>
                <w:lang w:eastAsia="en-US"/>
              </w:rPr>
              <w:t xml:space="preserve">Допускается использование в отношении точек </w:t>
            </w:r>
            <w:r w:rsidR="00E11B82" w:rsidRPr="001043A6">
              <w:rPr>
                <w:rFonts w:ascii="Garamond" w:hAnsi="Garamond"/>
                <w:sz w:val="22"/>
                <w:szCs w:val="22"/>
                <w:highlight w:val="yellow"/>
                <w:lang w:eastAsia="en-US"/>
              </w:rPr>
              <w:t>поставки</w:t>
            </w:r>
            <w:r w:rsidRPr="001043A6">
              <w:rPr>
                <w:rFonts w:ascii="Garamond" w:hAnsi="Garamond"/>
                <w:sz w:val="22"/>
                <w:szCs w:val="22"/>
                <w:highlight w:val="yellow"/>
                <w:lang w:eastAsia="en-US"/>
              </w:rPr>
              <w:t>, входящих в состав одного сечения коммерческого учета (ГТП генерации)</w:t>
            </w:r>
            <w:r w:rsidR="00E11B82" w:rsidRPr="001043A6">
              <w:rPr>
                <w:rFonts w:ascii="Garamond" w:hAnsi="Garamond"/>
                <w:sz w:val="22"/>
                <w:szCs w:val="22"/>
                <w:highlight w:val="yellow"/>
                <w:lang w:eastAsia="en-US"/>
              </w:rPr>
              <w:t>,</w:t>
            </w:r>
            <w:r w:rsidRPr="001043A6">
              <w:rPr>
                <w:rFonts w:ascii="Garamond" w:hAnsi="Garamond"/>
                <w:sz w:val="22"/>
                <w:szCs w:val="22"/>
                <w:highlight w:val="yellow"/>
                <w:lang w:eastAsia="en-US"/>
              </w:rPr>
              <w:t xml:space="preserve"> различных </w:t>
            </w:r>
            <w:r w:rsidR="00D0621E" w:rsidRPr="001043A6">
              <w:rPr>
                <w:rFonts w:ascii="Garamond" w:hAnsi="Garamond"/>
                <w:sz w:val="22"/>
                <w:szCs w:val="22"/>
                <w:highlight w:val="yellow"/>
                <w:lang w:eastAsia="en-US"/>
              </w:rPr>
              <w:t>СУ</w:t>
            </w:r>
            <w:r w:rsidR="00E11B82" w:rsidRPr="001043A6">
              <w:rPr>
                <w:rFonts w:ascii="Garamond" w:hAnsi="Garamond"/>
                <w:sz w:val="22"/>
                <w:szCs w:val="22"/>
                <w:highlight w:val="yellow"/>
                <w:lang w:eastAsia="en-US"/>
              </w:rPr>
              <w:t xml:space="preserve"> (АИИС КУЭ, совокупность СИ и ТИ, ИСУ)</w:t>
            </w:r>
            <w:r w:rsidR="0050593A" w:rsidRPr="001043A6">
              <w:rPr>
                <w:rFonts w:ascii="Garamond" w:hAnsi="Garamond"/>
                <w:sz w:val="22"/>
                <w:szCs w:val="22"/>
                <w:highlight w:val="yellow"/>
                <w:lang w:eastAsia="en-US"/>
              </w:rPr>
              <w:t xml:space="preserve"> </w:t>
            </w:r>
            <w:r w:rsidRPr="001043A6">
              <w:rPr>
                <w:rFonts w:ascii="Garamond" w:hAnsi="Garamond"/>
                <w:sz w:val="22"/>
                <w:szCs w:val="22"/>
                <w:highlight w:val="yellow"/>
                <w:lang w:eastAsia="en-US"/>
              </w:rPr>
              <w:t xml:space="preserve">при условии выполнения требований настоящих Технических требований и Порядка установления соответствия </w:t>
            </w:r>
            <w:r w:rsidR="005616F2" w:rsidRPr="001043A6">
              <w:rPr>
                <w:rFonts w:ascii="Garamond" w:hAnsi="Garamond"/>
                <w:sz w:val="22"/>
                <w:szCs w:val="22"/>
                <w:highlight w:val="yellow"/>
                <w:lang w:eastAsia="en-US"/>
              </w:rPr>
              <w:t>систем учета электроэнергии</w:t>
            </w:r>
            <w:r w:rsidRPr="001043A6">
              <w:rPr>
                <w:rFonts w:ascii="Garamond" w:hAnsi="Garamond"/>
                <w:sz w:val="22"/>
                <w:szCs w:val="22"/>
                <w:highlight w:val="yellow"/>
                <w:lang w:eastAsia="en-US"/>
              </w:rPr>
              <w:t xml:space="preserve"> техническим требованиям оптового рынка (Приложение № 11.3 к Положению о реестре, далее – Порядок установления соответствия </w:t>
            </w:r>
            <w:r w:rsidR="001D56E9" w:rsidRPr="001043A6">
              <w:rPr>
                <w:rFonts w:ascii="Garamond" w:hAnsi="Garamond"/>
                <w:sz w:val="22"/>
                <w:szCs w:val="22"/>
                <w:highlight w:val="yellow"/>
                <w:lang w:eastAsia="en-US"/>
              </w:rPr>
              <w:t>СУ</w:t>
            </w:r>
            <w:r w:rsidRPr="001043A6">
              <w:rPr>
                <w:rFonts w:ascii="Garamond" w:hAnsi="Garamond"/>
                <w:sz w:val="22"/>
                <w:szCs w:val="22"/>
                <w:highlight w:val="yellow"/>
                <w:lang w:eastAsia="en-US"/>
              </w:rPr>
              <w:t>).</w:t>
            </w:r>
          </w:p>
        </w:tc>
      </w:tr>
      <w:tr w:rsidR="00573208" w:rsidRPr="001043A6" w14:paraId="5F4F1DDF" w14:textId="77777777" w:rsidTr="001043A6">
        <w:tc>
          <w:tcPr>
            <w:tcW w:w="1031" w:type="dxa"/>
          </w:tcPr>
          <w:p w14:paraId="60291FF0" w14:textId="77777777" w:rsidR="00573208" w:rsidRPr="001043A6" w:rsidRDefault="00573208" w:rsidP="00E11B82">
            <w:pPr>
              <w:widowControl w:val="0"/>
              <w:spacing w:line="259" w:lineRule="auto"/>
              <w:jc w:val="center"/>
              <w:rPr>
                <w:rFonts w:ascii="Garamond" w:hAnsi="Garamond"/>
                <w:b/>
                <w:sz w:val="22"/>
                <w:szCs w:val="22"/>
                <w:lang w:eastAsia="en-US"/>
              </w:rPr>
            </w:pPr>
            <w:r w:rsidRPr="001043A6">
              <w:rPr>
                <w:rFonts w:ascii="Garamond" w:hAnsi="Garamond"/>
                <w:b/>
                <w:sz w:val="22"/>
                <w:szCs w:val="22"/>
                <w:lang w:eastAsia="en-US"/>
              </w:rPr>
              <w:lastRenderedPageBreak/>
              <w:t>1.</w:t>
            </w:r>
            <w:r w:rsidR="00E11B82" w:rsidRPr="001043A6">
              <w:rPr>
                <w:rFonts w:ascii="Garamond" w:hAnsi="Garamond"/>
                <w:b/>
                <w:sz w:val="22"/>
                <w:szCs w:val="22"/>
                <w:lang w:eastAsia="en-US"/>
              </w:rPr>
              <w:t>5</w:t>
            </w:r>
          </w:p>
        </w:tc>
        <w:tc>
          <w:tcPr>
            <w:tcW w:w="6833" w:type="dxa"/>
          </w:tcPr>
          <w:p w14:paraId="24BB1C7F" w14:textId="77777777" w:rsidR="00573208" w:rsidRPr="001043A6" w:rsidRDefault="00A100C2" w:rsidP="00EC0A2B">
            <w:pPr>
              <w:widowControl w:val="0"/>
              <w:spacing w:line="259" w:lineRule="auto"/>
              <w:ind w:firstLine="486"/>
              <w:jc w:val="both"/>
              <w:rPr>
                <w:rFonts w:ascii="Garamond" w:hAnsi="Garamond"/>
                <w:sz w:val="22"/>
                <w:szCs w:val="22"/>
                <w:lang w:eastAsia="en-US"/>
              </w:rPr>
            </w:pPr>
            <w:r w:rsidRPr="001043A6">
              <w:rPr>
                <w:rFonts w:ascii="Garamond" w:hAnsi="Garamond"/>
                <w:b/>
                <w:sz w:val="22"/>
                <w:szCs w:val="22"/>
                <w:lang w:eastAsia="en-US"/>
              </w:rPr>
              <w:t>Добавить пункт</w:t>
            </w:r>
          </w:p>
        </w:tc>
        <w:tc>
          <w:tcPr>
            <w:tcW w:w="7115" w:type="dxa"/>
          </w:tcPr>
          <w:p w14:paraId="3940F39A" w14:textId="77777777" w:rsidR="00DC747C" w:rsidRPr="00A15241" w:rsidRDefault="00DC747C" w:rsidP="00DC747C">
            <w:pPr>
              <w:widowControl w:val="0"/>
              <w:spacing w:line="259" w:lineRule="auto"/>
              <w:ind w:firstLine="486"/>
              <w:jc w:val="both"/>
              <w:rPr>
                <w:rFonts w:ascii="Garamond" w:hAnsi="Garamond"/>
                <w:sz w:val="22"/>
                <w:szCs w:val="22"/>
                <w:highlight w:val="yellow"/>
                <w:lang w:eastAsia="en-US"/>
              </w:rPr>
            </w:pPr>
            <w:r w:rsidRPr="001043A6">
              <w:rPr>
                <w:rFonts w:ascii="Garamond" w:hAnsi="Garamond"/>
                <w:sz w:val="22"/>
                <w:szCs w:val="22"/>
                <w:highlight w:val="yellow"/>
                <w:lang w:eastAsia="en-US"/>
              </w:rPr>
              <w:t>Т</w:t>
            </w:r>
            <w:r w:rsidR="00573208" w:rsidRPr="001043A6">
              <w:rPr>
                <w:rFonts w:ascii="Garamond" w:hAnsi="Garamond"/>
                <w:sz w:val="22"/>
                <w:szCs w:val="22"/>
                <w:highlight w:val="yellow"/>
                <w:lang w:eastAsia="en-US"/>
              </w:rPr>
              <w:t xml:space="preserve">очки </w:t>
            </w:r>
            <w:r w:rsidR="0050593A" w:rsidRPr="001043A6">
              <w:rPr>
                <w:rFonts w:ascii="Garamond" w:hAnsi="Garamond"/>
                <w:sz w:val="22"/>
                <w:szCs w:val="22"/>
                <w:highlight w:val="yellow"/>
                <w:lang w:eastAsia="en-US"/>
              </w:rPr>
              <w:t xml:space="preserve">присоединения </w:t>
            </w:r>
            <w:r w:rsidR="00573208" w:rsidRPr="001043A6">
              <w:rPr>
                <w:rFonts w:ascii="Garamond" w:hAnsi="Garamond"/>
                <w:sz w:val="22"/>
                <w:szCs w:val="22"/>
                <w:highlight w:val="yellow"/>
                <w:lang w:eastAsia="en-US"/>
              </w:rPr>
              <w:t xml:space="preserve">объекта регулирования </w:t>
            </w:r>
            <w:r w:rsidRPr="001043A6">
              <w:rPr>
                <w:rFonts w:ascii="Garamond" w:hAnsi="Garamond"/>
                <w:sz w:val="22"/>
                <w:szCs w:val="22"/>
                <w:highlight w:val="yellow"/>
                <w:lang w:eastAsia="en-US"/>
              </w:rPr>
              <w:t>до 01.</w:t>
            </w:r>
            <w:r w:rsidRPr="00A15241">
              <w:rPr>
                <w:rFonts w:ascii="Garamond" w:hAnsi="Garamond"/>
                <w:sz w:val="22"/>
                <w:szCs w:val="22"/>
                <w:highlight w:val="yellow"/>
                <w:lang w:eastAsia="en-US"/>
              </w:rPr>
              <w:t xml:space="preserve">01.2027 </w:t>
            </w:r>
            <w:r w:rsidR="00743EC5" w:rsidRPr="00A15241">
              <w:rPr>
                <w:rFonts w:ascii="Garamond" w:hAnsi="Garamond"/>
                <w:sz w:val="22"/>
                <w:szCs w:val="22"/>
                <w:highlight w:val="yellow"/>
                <w:lang w:eastAsia="en-US"/>
              </w:rPr>
              <w:t xml:space="preserve">могут </w:t>
            </w:r>
            <w:r w:rsidRPr="00A15241">
              <w:rPr>
                <w:rFonts w:ascii="Garamond" w:hAnsi="Garamond"/>
                <w:sz w:val="22"/>
                <w:szCs w:val="22"/>
                <w:highlight w:val="yellow"/>
                <w:lang w:eastAsia="en-US"/>
              </w:rPr>
              <w:t>быть оснащены</w:t>
            </w:r>
            <w:r w:rsidR="00092239" w:rsidRPr="00A15241">
              <w:rPr>
                <w:rFonts w:ascii="Garamond" w:hAnsi="Garamond"/>
                <w:sz w:val="22"/>
                <w:szCs w:val="22"/>
                <w:highlight w:val="yellow"/>
                <w:lang w:eastAsia="en-US"/>
              </w:rPr>
              <w:t xml:space="preserve"> одной из следующи</w:t>
            </w:r>
            <w:r w:rsidR="003446D7" w:rsidRPr="00A15241">
              <w:rPr>
                <w:rFonts w:ascii="Garamond" w:hAnsi="Garamond"/>
                <w:sz w:val="22"/>
                <w:szCs w:val="22"/>
                <w:highlight w:val="yellow"/>
                <w:lang w:eastAsia="en-US"/>
              </w:rPr>
              <w:t>х</w:t>
            </w:r>
            <w:r w:rsidR="00092239" w:rsidRPr="00A15241">
              <w:rPr>
                <w:rFonts w:ascii="Garamond" w:hAnsi="Garamond"/>
                <w:sz w:val="22"/>
                <w:szCs w:val="22"/>
                <w:highlight w:val="yellow"/>
                <w:lang w:eastAsia="en-US"/>
              </w:rPr>
              <w:t xml:space="preserve"> </w:t>
            </w:r>
            <w:r w:rsidR="00D0621E" w:rsidRPr="00A15241">
              <w:rPr>
                <w:rFonts w:ascii="Garamond" w:hAnsi="Garamond"/>
                <w:sz w:val="22"/>
                <w:szCs w:val="22"/>
                <w:highlight w:val="yellow"/>
                <w:lang w:eastAsia="en-US"/>
              </w:rPr>
              <w:t>СУ</w:t>
            </w:r>
            <w:r w:rsidRPr="00A15241">
              <w:rPr>
                <w:rFonts w:ascii="Garamond" w:hAnsi="Garamond"/>
                <w:sz w:val="22"/>
                <w:szCs w:val="22"/>
                <w:highlight w:val="yellow"/>
                <w:lang w:eastAsia="en-US"/>
              </w:rPr>
              <w:t>:</w:t>
            </w:r>
          </w:p>
          <w:p w14:paraId="0BCE2F05" w14:textId="74FCDEAD" w:rsidR="00DC747C" w:rsidRPr="001043A6" w:rsidRDefault="00A15241" w:rsidP="00DC747C">
            <w:pPr>
              <w:widowControl w:val="0"/>
              <w:spacing w:line="259" w:lineRule="auto"/>
              <w:ind w:firstLine="486"/>
              <w:jc w:val="both"/>
              <w:rPr>
                <w:rFonts w:ascii="Garamond" w:hAnsi="Garamond"/>
                <w:sz w:val="22"/>
                <w:szCs w:val="22"/>
                <w:highlight w:val="yellow"/>
                <w:lang w:eastAsia="en-US"/>
              </w:rPr>
            </w:pPr>
            <w:r>
              <w:rPr>
                <w:rFonts w:ascii="Garamond" w:hAnsi="Garamond"/>
                <w:sz w:val="22"/>
                <w:szCs w:val="22"/>
                <w:highlight w:val="yellow"/>
                <w:lang w:eastAsia="en-US"/>
              </w:rPr>
              <w:t>–</w:t>
            </w:r>
            <w:r w:rsidR="00DC747C" w:rsidRPr="001043A6">
              <w:rPr>
                <w:rFonts w:ascii="Garamond" w:hAnsi="Garamond"/>
                <w:sz w:val="22"/>
                <w:szCs w:val="22"/>
                <w:highlight w:val="yellow"/>
                <w:lang w:eastAsia="en-US"/>
              </w:rPr>
              <w:t xml:space="preserve"> совокупностью СИ и ТУ;</w:t>
            </w:r>
          </w:p>
          <w:p w14:paraId="7FEE7EA5" w14:textId="5F641272" w:rsidR="00DC747C" w:rsidRPr="001043A6" w:rsidRDefault="00A15241" w:rsidP="00240FDB">
            <w:pPr>
              <w:widowControl w:val="0"/>
              <w:spacing w:line="259" w:lineRule="auto"/>
              <w:ind w:firstLine="486"/>
              <w:jc w:val="both"/>
              <w:rPr>
                <w:rFonts w:ascii="Garamond" w:hAnsi="Garamond"/>
                <w:sz w:val="22"/>
                <w:szCs w:val="22"/>
                <w:highlight w:val="yellow"/>
                <w:lang w:eastAsia="en-US"/>
              </w:rPr>
            </w:pPr>
            <w:r>
              <w:rPr>
                <w:rFonts w:ascii="Garamond" w:hAnsi="Garamond"/>
                <w:sz w:val="22"/>
                <w:szCs w:val="22"/>
                <w:highlight w:val="yellow"/>
                <w:lang w:eastAsia="en-US"/>
              </w:rPr>
              <w:t>–</w:t>
            </w:r>
            <w:r w:rsidR="00DC747C" w:rsidRPr="001043A6">
              <w:rPr>
                <w:rFonts w:ascii="Garamond" w:hAnsi="Garamond"/>
                <w:sz w:val="22"/>
                <w:szCs w:val="22"/>
                <w:highlight w:val="yellow"/>
                <w:lang w:eastAsia="en-US"/>
              </w:rPr>
              <w:t xml:space="preserve"> ИСУ</w:t>
            </w:r>
            <w:r w:rsidR="00952590" w:rsidRPr="001043A6">
              <w:rPr>
                <w:rFonts w:ascii="Garamond" w:hAnsi="Garamond"/>
                <w:sz w:val="22"/>
                <w:szCs w:val="22"/>
                <w:highlight w:val="yellow"/>
                <w:lang w:eastAsia="en-US"/>
              </w:rPr>
              <w:t xml:space="preserve"> (с присоединенными к ней ИПУ)</w:t>
            </w:r>
            <w:r w:rsidR="00240FDB" w:rsidRPr="001043A6">
              <w:rPr>
                <w:rFonts w:ascii="Garamond" w:hAnsi="Garamond"/>
                <w:sz w:val="22"/>
                <w:szCs w:val="22"/>
                <w:highlight w:val="yellow"/>
                <w:lang w:eastAsia="en-US"/>
              </w:rPr>
              <w:t xml:space="preserve"> и (или) </w:t>
            </w:r>
            <w:r w:rsidR="00DC747C" w:rsidRPr="001043A6">
              <w:rPr>
                <w:rFonts w:ascii="Garamond" w:hAnsi="Garamond"/>
                <w:sz w:val="22"/>
                <w:szCs w:val="22"/>
                <w:highlight w:val="yellow"/>
                <w:lang w:eastAsia="en-US"/>
              </w:rPr>
              <w:t xml:space="preserve">АИИС КУЭ </w:t>
            </w:r>
            <w:r w:rsidR="00240FDB" w:rsidRPr="001043A6">
              <w:rPr>
                <w:rFonts w:ascii="Garamond" w:hAnsi="Garamond"/>
                <w:sz w:val="22"/>
                <w:szCs w:val="22"/>
                <w:highlight w:val="yellow"/>
                <w:lang w:eastAsia="en-US"/>
              </w:rPr>
              <w:t xml:space="preserve">– </w:t>
            </w:r>
            <w:r w:rsidR="00E11B82" w:rsidRPr="001043A6">
              <w:rPr>
                <w:rFonts w:ascii="Garamond" w:hAnsi="Garamond"/>
                <w:sz w:val="22"/>
                <w:szCs w:val="22"/>
                <w:highlight w:val="yellow"/>
                <w:lang w:eastAsia="en-US"/>
              </w:rPr>
              <w:t xml:space="preserve">только </w:t>
            </w:r>
            <w:r w:rsidR="0095330F" w:rsidRPr="001043A6">
              <w:rPr>
                <w:rFonts w:ascii="Garamond" w:hAnsi="Garamond"/>
                <w:sz w:val="22"/>
                <w:szCs w:val="22"/>
                <w:highlight w:val="yellow"/>
                <w:lang w:eastAsia="en-US"/>
              </w:rPr>
              <w:t>для агрегатора, являющего</w:t>
            </w:r>
            <w:r>
              <w:rPr>
                <w:rFonts w:ascii="Garamond" w:hAnsi="Garamond"/>
                <w:sz w:val="22"/>
                <w:szCs w:val="22"/>
                <w:highlight w:val="yellow"/>
                <w:lang w:eastAsia="en-US"/>
              </w:rPr>
              <w:t>ся</w:t>
            </w:r>
            <w:r w:rsidR="0095330F" w:rsidRPr="001043A6">
              <w:rPr>
                <w:rFonts w:ascii="Garamond" w:hAnsi="Garamond"/>
                <w:sz w:val="22"/>
                <w:szCs w:val="22"/>
                <w:highlight w:val="yellow"/>
                <w:lang w:eastAsia="en-US"/>
              </w:rPr>
              <w:t xml:space="preserve"> участником оптового рынка – крупным потребителем, </w:t>
            </w:r>
            <w:r w:rsidR="00DC747C" w:rsidRPr="001043A6">
              <w:rPr>
                <w:rFonts w:ascii="Garamond" w:hAnsi="Garamond"/>
                <w:sz w:val="22"/>
                <w:szCs w:val="22"/>
                <w:highlight w:val="yellow"/>
                <w:lang w:eastAsia="en-US"/>
              </w:rPr>
              <w:t xml:space="preserve">в случае, если </w:t>
            </w:r>
            <w:r w:rsidR="00450A1D" w:rsidRPr="001043A6">
              <w:rPr>
                <w:rFonts w:ascii="Garamond" w:hAnsi="Garamond"/>
                <w:sz w:val="22"/>
                <w:szCs w:val="22"/>
                <w:highlight w:val="yellow"/>
                <w:lang w:eastAsia="en-US"/>
              </w:rPr>
              <w:t xml:space="preserve">все </w:t>
            </w:r>
            <w:r w:rsidR="00DC747C" w:rsidRPr="001043A6">
              <w:rPr>
                <w:rFonts w:ascii="Garamond" w:hAnsi="Garamond"/>
                <w:sz w:val="22"/>
                <w:szCs w:val="22"/>
                <w:highlight w:val="yellow"/>
                <w:lang w:eastAsia="en-US"/>
              </w:rPr>
              <w:t xml:space="preserve">точки </w:t>
            </w:r>
            <w:r w:rsidR="00C52341" w:rsidRPr="001043A6">
              <w:rPr>
                <w:rFonts w:ascii="Garamond" w:hAnsi="Garamond"/>
                <w:sz w:val="22"/>
                <w:szCs w:val="22"/>
                <w:highlight w:val="yellow"/>
                <w:lang w:eastAsia="en-US"/>
              </w:rPr>
              <w:t xml:space="preserve">присоединения </w:t>
            </w:r>
            <w:r w:rsidR="00240FDB" w:rsidRPr="001043A6">
              <w:rPr>
                <w:rFonts w:ascii="Garamond" w:hAnsi="Garamond"/>
                <w:sz w:val="22"/>
                <w:szCs w:val="22"/>
                <w:highlight w:val="yellow"/>
                <w:lang w:eastAsia="en-US"/>
              </w:rPr>
              <w:t>и точки измерений</w:t>
            </w:r>
            <w:r w:rsidR="00DC747C" w:rsidRPr="001043A6">
              <w:rPr>
                <w:rFonts w:ascii="Garamond" w:hAnsi="Garamond"/>
                <w:sz w:val="22"/>
                <w:szCs w:val="22"/>
                <w:highlight w:val="yellow"/>
                <w:lang w:eastAsia="en-US"/>
              </w:rPr>
              <w:t xml:space="preserve"> объекта регулирования совпадают с точками поставки</w:t>
            </w:r>
            <w:r w:rsidR="00240FDB" w:rsidRPr="001043A6">
              <w:rPr>
                <w:rFonts w:ascii="Garamond" w:hAnsi="Garamond"/>
                <w:sz w:val="22"/>
                <w:szCs w:val="22"/>
                <w:highlight w:val="yellow"/>
                <w:lang w:eastAsia="en-US"/>
              </w:rPr>
              <w:t xml:space="preserve"> и точками измерений</w:t>
            </w:r>
            <w:r w:rsidR="00DC747C" w:rsidRPr="001043A6">
              <w:rPr>
                <w:rFonts w:ascii="Garamond" w:hAnsi="Garamond"/>
                <w:sz w:val="22"/>
                <w:szCs w:val="22"/>
                <w:highlight w:val="yellow"/>
                <w:lang w:eastAsia="en-US"/>
              </w:rPr>
              <w:t xml:space="preserve">, входящими в состав группы точек поставки </w:t>
            </w:r>
            <w:r w:rsidR="0095330F" w:rsidRPr="001043A6">
              <w:rPr>
                <w:rFonts w:ascii="Garamond" w:hAnsi="Garamond"/>
                <w:sz w:val="22"/>
                <w:szCs w:val="22"/>
                <w:highlight w:val="yellow"/>
                <w:lang w:eastAsia="en-US"/>
              </w:rPr>
              <w:t xml:space="preserve">такого </w:t>
            </w:r>
            <w:r w:rsidR="00DC747C" w:rsidRPr="001043A6">
              <w:rPr>
                <w:rFonts w:ascii="Garamond" w:hAnsi="Garamond"/>
                <w:sz w:val="22"/>
                <w:szCs w:val="22"/>
                <w:highlight w:val="yellow"/>
                <w:lang w:eastAsia="en-US"/>
              </w:rPr>
              <w:t>участника оптового рынка</w:t>
            </w:r>
            <w:r w:rsidR="00240FDB" w:rsidRPr="001043A6">
              <w:rPr>
                <w:rFonts w:ascii="Garamond" w:hAnsi="Garamond"/>
                <w:sz w:val="22"/>
                <w:szCs w:val="22"/>
                <w:highlight w:val="yellow"/>
                <w:lang w:eastAsia="en-US"/>
              </w:rPr>
              <w:t xml:space="preserve"> </w:t>
            </w:r>
            <w:r w:rsidR="00233D37" w:rsidRPr="001043A6">
              <w:rPr>
                <w:rFonts w:ascii="Garamond" w:hAnsi="Garamond"/>
                <w:sz w:val="22"/>
                <w:szCs w:val="22"/>
                <w:highlight w:val="yellow"/>
                <w:lang w:eastAsia="en-US"/>
              </w:rPr>
              <w:t>–</w:t>
            </w:r>
            <w:r w:rsidR="00240FDB" w:rsidRPr="001043A6">
              <w:rPr>
                <w:rFonts w:ascii="Garamond" w:hAnsi="Garamond"/>
                <w:sz w:val="22"/>
                <w:szCs w:val="22"/>
                <w:highlight w:val="yellow"/>
                <w:lang w:eastAsia="en-US"/>
              </w:rPr>
              <w:t xml:space="preserve"> </w:t>
            </w:r>
            <w:r w:rsidR="00DC747C" w:rsidRPr="001043A6">
              <w:rPr>
                <w:rFonts w:ascii="Garamond" w:hAnsi="Garamond"/>
                <w:sz w:val="22"/>
                <w:szCs w:val="22"/>
                <w:highlight w:val="yellow"/>
                <w:lang w:eastAsia="en-US"/>
              </w:rPr>
              <w:t xml:space="preserve">крупного потребителя, при условии </w:t>
            </w:r>
            <w:r w:rsidR="00240FDB" w:rsidRPr="001043A6">
              <w:rPr>
                <w:rFonts w:ascii="Garamond" w:hAnsi="Garamond"/>
                <w:sz w:val="22"/>
                <w:szCs w:val="22"/>
                <w:highlight w:val="yellow"/>
                <w:lang w:eastAsia="en-US"/>
              </w:rPr>
              <w:t xml:space="preserve">подтверждения </w:t>
            </w:r>
            <w:r w:rsidR="00DC747C" w:rsidRPr="001043A6">
              <w:rPr>
                <w:rFonts w:ascii="Garamond" w:hAnsi="Garamond"/>
                <w:sz w:val="22"/>
                <w:szCs w:val="22"/>
                <w:highlight w:val="yellow"/>
                <w:lang w:eastAsia="en-US"/>
              </w:rPr>
              <w:t>соответстви</w:t>
            </w:r>
            <w:r w:rsidR="00240FDB" w:rsidRPr="001043A6">
              <w:rPr>
                <w:rFonts w:ascii="Garamond" w:hAnsi="Garamond"/>
                <w:sz w:val="22"/>
                <w:szCs w:val="22"/>
                <w:highlight w:val="yellow"/>
                <w:lang w:eastAsia="en-US"/>
              </w:rPr>
              <w:t>я</w:t>
            </w:r>
            <w:r w:rsidR="00DC747C" w:rsidRPr="001043A6">
              <w:rPr>
                <w:rFonts w:ascii="Garamond" w:hAnsi="Garamond"/>
                <w:sz w:val="22"/>
                <w:szCs w:val="22"/>
                <w:highlight w:val="yellow"/>
                <w:lang w:eastAsia="en-US"/>
              </w:rPr>
              <w:t xml:space="preserve"> </w:t>
            </w:r>
            <w:r w:rsidR="00240FDB" w:rsidRPr="001043A6">
              <w:rPr>
                <w:rFonts w:ascii="Garamond" w:hAnsi="Garamond"/>
                <w:sz w:val="22"/>
                <w:szCs w:val="22"/>
                <w:highlight w:val="yellow"/>
                <w:lang w:eastAsia="en-US"/>
              </w:rPr>
              <w:t xml:space="preserve">указанных СУ </w:t>
            </w:r>
            <w:r w:rsidR="00DC747C" w:rsidRPr="001043A6">
              <w:rPr>
                <w:rFonts w:ascii="Garamond" w:hAnsi="Garamond"/>
                <w:sz w:val="22"/>
                <w:szCs w:val="22"/>
                <w:highlight w:val="yellow"/>
                <w:lang w:eastAsia="en-US"/>
              </w:rPr>
              <w:t xml:space="preserve">техническим требованиям оптового рынка </w:t>
            </w:r>
            <w:r w:rsidR="00240FDB" w:rsidRPr="001043A6">
              <w:rPr>
                <w:rFonts w:ascii="Garamond" w:hAnsi="Garamond"/>
                <w:sz w:val="22"/>
                <w:szCs w:val="22"/>
                <w:highlight w:val="yellow"/>
                <w:lang w:eastAsia="en-US"/>
              </w:rPr>
              <w:t xml:space="preserve">в порядке, указанном в п. 4.1.1.1 Положения о реестре, п. 4.4 </w:t>
            </w:r>
            <w:r w:rsidR="00240FDB" w:rsidRPr="00A15241">
              <w:rPr>
                <w:rFonts w:ascii="Garamond" w:hAnsi="Garamond"/>
                <w:i/>
                <w:sz w:val="22"/>
                <w:szCs w:val="22"/>
                <w:highlight w:val="yellow"/>
                <w:lang w:eastAsia="en-US"/>
              </w:rPr>
              <w:t>Регламента проведения проверок систем коммерческого учета субъектов оптового рынка</w:t>
            </w:r>
            <w:r w:rsidR="00240FDB" w:rsidRPr="001043A6">
              <w:rPr>
                <w:rFonts w:ascii="Garamond" w:hAnsi="Garamond"/>
                <w:sz w:val="22"/>
                <w:szCs w:val="22"/>
                <w:highlight w:val="yellow"/>
                <w:lang w:eastAsia="en-US"/>
              </w:rPr>
              <w:t xml:space="preserve"> (Приложение № 18 к </w:t>
            </w:r>
            <w:r w:rsidR="00240FDB" w:rsidRPr="00A15241">
              <w:rPr>
                <w:rFonts w:ascii="Garamond" w:hAnsi="Garamond"/>
                <w:i/>
                <w:sz w:val="22"/>
                <w:szCs w:val="22"/>
                <w:highlight w:val="yellow"/>
                <w:lang w:eastAsia="en-US"/>
              </w:rPr>
              <w:t>Договору о присоединении к торговой системе оптового рынка</w:t>
            </w:r>
            <w:r w:rsidR="00240FDB" w:rsidRPr="001043A6">
              <w:rPr>
                <w:rFonts w:ascii="Garamond" w:hAnsi="Garamond"/>
                <w:sz w:val="22"/>
                <w:szCs w:val="22"/>
                <w:highlight w:val="yellow"/>
                <w:lang w:eastAsia="en-US"/>
              </w:rPr>
              <w:t xml:space="preserve">, далее – Регламент проверок) или </w:t>
            </w:r>
            <w:r w:rsidR="00DC747C" w:rsidRPr="001043A6">
              <w:rPr>
                <w:rFonts w:ascii="Garamond" w:hAnsi="Garamond"/>
                <w:sz w:val="22"/>
                <w:szCs w:val="22"/>
                <w:highlight w:val="yellow"/>
                <w:lang w:eastAsia="en-US"/>
              </w:rPr>
              <w:t>Порядк</w:t>
            </w:r>
            <w:r w:rsidR="00240FDB" w:rsidRPr="001043A6">
              <w:rPr>
                <w:rFonts w:ascii="Garamond" w:hAnsi="Garamond"/>
                <w:sz w:val="22"/>
                <w:szCs w:val="22"/>
                <w:highlight w:val="yellow"/>
                <w:lang w:eastAsia="en-US"/>
              </w:rPr>
              <w:t>е</w:t>
            </w:r>
            <w:r w:rsidR="00DC747C" w:rsidRPr="001043A6">
              <w:rPr>
                <w:rFonts w:ascii="Garamond" w:hAnsi="Garamond"/>
                <w:sz w:val="22"/>
                <w:szCs w:val="22"/>
                <w:highlight w:val="yellow"/>
                <w:lang w:eastAsia="en-US"/>
              </w:rPr>
              <w:t xml:space="preserve"> установления соответствия</w:t>
            </w:r>
            <w:r w:rsidR="00240FDB" w:rsidRPr="001043A6">
              <w:rPr>
                <w:rFonts w:ascii="Garamond" w:hAnsi="Garamond"/>
                <w:sz w:val="22"/>
                <w:szCs w:val="22"/>
                <w:highlight w:val="yellow"/>
                <w:lang w:eastAsia="en-US"/>
              </w:rPr>
              <w:t xml:space="preserve"> СУ</w:t>
            </w:r>
            <w:r w:rsidR="005C089B" w:rsidRPr="001043A6">
              <w:rPr>
                <w:rFonts w:ascii="Garamond" w:hAnsi="Garamond"/>
                <w:sz w:val="22"/>
                <w:szCs w:val="22"/>
                <w:highlight w:val="yellow"/>
                <w:lang w:eastAsia="en-US"/>
              </w:rPr>
              <w:t>.</w:t>
            </w:r>
          </w:p>
          <w:p w14:paraId="7B7D8A1B" w14:textId="7C69DBE6" w:rsidR="00DC747C" w:rsidRPr="001043A6" w:rsidRDefault="00DC747C" w:rsidP="00DC747C">
            <w:pPr>
              <w:widowControl w:val="0"/>
              <w:spacing w:line="259" w:lineRule="auto"/>
              <w:ind w:firstLine="486"/>
              <w:jc w:val="both"/>
              <w:rPr>
                <w:rFonts w:ascii="Garamond" w:hAnsi="Garamond"/>
                <w:sz w:val="22"/>
                <w:szCs w:val="22"/>
                <w:highlight w:val="yellow"/>
                <w:lang w:eastAsia="en-US"/>
              </w:rPr>
            </w:pPr>
            <w:r w:rsidRPr="001043A6">
              <w:rPr>
                <w:rFonts w:ascii="Garamond" w:hAnsi="Garamond"/>
                <w:sz w:val="22"/>
                <w:szCs w:val="22"/>
                <w:highlight w:val="yellow"/>
                <w:lang w:eastAsia="en-US"/>
              </w:rPr>
              <w:t xml:space="preserve">Точки </w:t>
            </w:r>
            <w:r w:rsidR="0050593A" w:rsidRPr="001043A6">
              <w:rPr>
                <w:rFonts w:ascii="Garamond" w:hAnsi="Garamond"/>
                <w:sz w:val="22"/>
                <w:szCs w:val="22"/>
                <w:highlight w:val="yellow"/>
                <w:lang w:eastAsia="en-US"/>
              </w:rPr>
              <w:t xml:space="preserve">присоединения </w:t>
            </w:r>
            <w:r w:rsidRPr="001043A6">
              <w:rPr>
                <w:rFonts w:ascii="Garamond" w:hAnsi="Garamond"/>
                <w:sz w:val="22"/>
                <w:szCs w:val="22"/>
                <w:highlight w:val="yellow"/>
                <w:lang w:eastAsia="en-US"/>
              </w:rPr>
              <w:t xml:space="preserve">объекта регулирования начиная с 01.01.2027 </w:t>
            </w:r>
            <w:r w:rsidR="00753F55" w:rsidRPr="001043A6">
              <w:rPr>
                <w:rFonts w:ascii="Garamond" w:hAnsi="Garamond"/>
                <w:sz w:val="22"/>
                <w:szCs w:val="22"/>
                <w:highlight w:val="yellow"/>
                <w:lang w:eastAsia="en-US"/>
              </w:rPr>
              <w:t>должны</w:t>
            </w:r>
            <w:r w:rsidRPr="001043A6">
              <w:rPr>
                <w:rFonts w:ascii="Garamond" w:hAnsi="Garamond"/>
                <w:sz w:val="22"/>
                <w:szCs w:val="22"/>
                <w:highlight w:val="yellow"/>
                <w:lang w:eastAsia="en-US"/>
              </w:rPr>
              <w:t xml:space="preserve"> быть оснащены одной из следующи</w:t>
            </w:r>
            <w:r w:rsidR="00A07E35" w:rsidRPr="001043A6">
              <w:rPr>
                <w:rFonts w:ascii="Garamond" w:hAnsi="Garamond"/>
                <w:sz w:val="22"/>
                <w:szCs w:val="22"/>
                <w:highlight w:val="yellow"/>
                <w:lang w:eastAsia="en-US"/>
              </w:rPr>
              <w:t>х</w:t>
            </w:r>
            <w:r w:rsidRPr="001043A6">
              <w:rPr>
                <w:rFonts w:ascii="Garamond" w:hAnsi="Garamond"/>
                <w:sz w:val="22"/>
                <w:szCs w:val="22"/>
                <w:highlight w:val="yellow"/>
                <w:lang w:eastAsia="en-US"/>
              </w:rPr>
              <w:t xml:space="preserve"> </w:t>
            </w:r>
            <w:r w:rsidR="00D0621E" w:rsidRPr="001043A6">
              <w:rPr>
                <w:rFonts w:ascii="Garamond" w:hAnsi="Garamond"/>
                <w:sz w:val="22"/>
                <w:szCs w:val="22"/>
                <w:highlight w:val="yellow"/>
                <w:lang w:eastAsia="en-US"/>
              </w:rPr>
              <w:t>СУ</w:t>
            </w:r>
            <w:r w:rsidRPr="001043A6">
              <w:rPr>
                <w:rFonts w:ascii="Garamond" w:hAnsi="Garamond"/>
                <w:sz w:val="22"/>
                <w:szCs w:val="22"/>
                <w:highlight w:val="yellow"/>
                <w:lang w:eastAsia="en-US"/>
              </w:rPr>
              <w:t>:</w:t>
            </w:r>
          </w:p>
          <w:p w14:paraId="1A282BEA" w14:textId="2A3E979B" w:rsidR="00952590" w:rsidRPr="001043A6" w:rsidRDefault="00A15241" w:rsidP="00952590">
            <w:pPr>
              <w:widowControl w:val="0"/>
              <w:spacing w:line="259" w:lineRule="auto"/>
              <w:ind w:firstLine="486"/>
              <w:jc w:val="both"/>
              <w:rPr>
                <w:rFonts w:ascii="Garamond" w:hAnsi="Garamond"/>
                <w:sz w:val="22"/>
                <w:szCs w:val="22"/>
                <w:highlight w:val="yellow"/>
                <w:lang w:eastAsia="en-US"/>
              </w:rPr>
            </w:pPr>
            <w:r>
              <w:rPr>
                <w:rFonts w:ascii="Garamond" w:hAnsi="Garamond"/>
                <w:sz w:val="22"/>
                <w:szCs w:val="22"/>
                <w:highlight w:val="yellow"/>
                <w:lang w:eastAsia="en-US"/>
              </w:rPr>
              <w:t>–</w:t>
            </w:r>
            <w:r w:rsidR="00952590" w:rsidRPr="001043A6">
              <w:rPr>
                <w:rFonts w:ascii="Garamond" w:hAnsi="Garamond"/>
                <w:sz w:val="22"/>
                <w:szCs w:val="22"/>
                <w:highlight w:val="yellow"/>
                <w:lang w:eastAsia="en-US"/>
              </w:rPr>
              <w:t xml:space="preserve"> ИСУ (с присоединенными к ней ИПУ);</w:t>
            </w:r>
          </w:p>
          <w:p w14:paraId="12297E76" w14:textId="7D651346" w:rsidR="00573208" w:rsidRPr="001043A6" w:rsidRDefault="00F85C6B" w:rsidP="00CE0FB8">
            <w:pPr>
              <w:widowControl w:val="0"/>
              <w:spacing w:line="259" w:lineRule="auto"/>
              <w:ind w:firstLine="486"/>
              <w:jc w:val="both"/>
              <w:rPr>
                <w:rFonts w:ascii="Garamond" w:hAnsi="Garamond"/>
                <w:sz w:val="22"/>
                <w:szCs w:val="22"/>
                <w:highlight w:val="yellow"/>
                <w:lang w:eastAsia="en-US"/>
              </w:rPr>
            </w:pPr>
            <w:r>
              <w:rPr>
                <w:rFonts w:ascii="Garamond" w:hAnsi="Garamond"/>
                <w:sz w:val="22"/>
                <w:szCs w:val="22"/>
                <w:highlight w:val="yellow"/>
                <w:lang w:eastAsia="en-US"/>
              </w:rPr>
              <w:lastRenderedPageBreak/>
              <w:t>–</w:t>
            </w:r>
            <w:r w:rsidR="00DC747C" w:rsidRPr="001043A6">
              <w:rPr>
                <w:rFonts w:ascii="Garamond" w:hAnsi="Garamond"/>
                <w:sz w:val="22"/>
                <w:szCs w:val="22"/>
                <w:highlight w:val="yellow"/>
                <w:lang w:eastAsia="en-US"/>
              </w:rPr>
              <w:t xml:space="preserve"> </w:t>
            </w:r>
            <w:r w:rsidR="00741AAE" w:rsidRPr="001043A6">
              <w:rPr>
                <w:rFonts w:ascii="Garamond" w:hAnsi="Garamond"/>
                <w:sz w:val="22"/>
                <w:szCs w:val="22"/>
                <w:highlight w:val="yellow"/>
                <w:lang w:eastAsia="en-US"/>
              </w:rPr>
              <w:t xml:space="preserve">совокупностью СИ и ТУ и (или) </w:t>
            </w:r>
            <w:r w:rsidR="00DC747C" w:rsidRPr="001043A6">
              <w:rPr>
                <w:rFonts w:ascii="Garamond" w:hAnsi="Garamond"/>
                <w:sz w:val="22"/>
                <w:szCs w:val="22"/>
                <w:highlight w:val="yellow"/>
                <w:lang w:eastAsia="en-US"/>
              </w:rPr>
              <w:t xml:space="preserve">АИИС КУЭ </w:t>
            </w:r>
            <w:r w:rsidR="00741AAE" w:rsidRPr="001043A6">
              <w:rPr>
                <w:rFonts w:ascii="Garamond" w:hAnsi="Garamond"/>
                <w:sz w:val="22"/>
                <w:szCs w:val="22"/>
                <w:highlight w:val="yellow"/>
                <w:lang w:eastAsia="en-US"/>
              </w:rPr>
              <w:t>–</w:t>
            </w:r>
            <w:r w:rsidR="009B5F03">
              <w:rPr>
                <w:rFonts w:ascii="Garamond" w:hAnsi="Garamond"/>
                <w:sz w:val="22"/>
                <w:szCs w:val="22"/>
                <w:highlight w:val="yellow"/>
                <w:lang w:eastAsia="en-US"/>
              </w:rPr>
              <w:t xml:space="preserve"> </w:t>
            </w:r>
            <w:r w:rsidR="0095330F" w:rsidRPr="001043A6">
              <w:rPr>
                <w:rFonts w:ascii="Garamond" w:hAnsi="Garamond"/>
                <w:sz w:val="22"/>
                <w:szCs w:val="22"/>
                <w:highlight w:val="yellow"/>
                <w:lang w:eastAsia="en-US"/>
              </w:rPr>
              <w:t>только для агрегатора, являющего</w:t>
            </w:r>
            <w:r>
              <w:rPr>
                <w:rFonts w:ascii="Garamond" w:hAnsi="Garamond"/>
                <w:sz w:val="22"/>
                <w:szCs w:val="22"/>
                <w:highlight w:val="yellow"/>
                <w:lang w:eastAsia="en-US"/>
              </w:rPr>
              <w:t>ся</w:t>
            </w:r>
            <w:r w:rsidR="0095330F" w:rsidRPr="001043A6">
              <w:rPr>
                <w:rFonts w:ascii="Garamond" w:hAnsi="Garamond"/>
                <w:sz w:val="22"/>
                <w:szCs w:val="22"/>
                <w:highlight w:val="yellow"/>
                <w:lang w:eastAsia="en-US"/>
              </w:rPr>
              <w:t xml:space="preserve"> участником оптового рынка – крупным потребителем, </w:t>
            </w:r>
            <w:r w:rsidR="00DC747C" w:rsidRPr="001043A6">
              <w:rPr>
                <w:rFonts w:ascii="Garamond" w:hAnsi="Garamond"/>
                <w:sz w:val="22"/>
                <w:szCs w:val="22"/>
                <w:highlight w:val="yellow"/>
                <w:lang w:eastAsia="en-US"/>
              </w:rPr>
              <w:t xml:space="preserve">в случае, если </w:t>
            </w:r>
            <w:r w:rsidR="00450A1D" w:rsidRPr="001043A6">
              <w:rPr>
                <w:rFonts w:ascii="Garamond" w:hAnsi="Garamond"/>
                <w:sz w:val="22"/>
                <w:szCs w:val="22"/>
                <w:highlight w:val="yellow"/>
                <w:lang w:eastAsia="en-US"/>
              </w:rPr>
              <w:t xml:space="preserve">все </w:t>
            </w:r>
            <w:r w:rsidR="00DC747C" w:rsidRPr="001043A6">
              <w:rPr>
                <w:rFonts w:ascii="Garamond" w:hAnsi="Garamond"/>
                <w:sz w:val="22"/>
                <w:szCs w:val="22"/>
                <w:highlight w:val="yellow"/>
                <w:lang w:eastAsia="en-US"/>
              </w:rPr>
              <w:t xml:space="preserve">точки </w:t>
            </w:r>
            <w:r w:rsidR="00753F55" w:rsidRPr="001043A6">
              <w:rPr>
                <w:rFonts w:ascii="Garamond" w:hAnsi="Garamond"/>
                <w:sz w:val="22"/>
                <w:szCs w:val="22"/>
                <w:highlight w:val="yellow"/>
                <w:lang w:eastAsia="en-US"/>
              </w:rPr>
              <w:t>присоединения</w:t>
            </w:r>
            <w:r w:rsidR="00741AAE" w:rsidRPr="001043A6">
              <w:rPr>
                <w:rFonts w:ascii="Garamond" w:hAnsi="Garamond"/>
                <w:sz w:val="22"/>
                <w:szCs w:val="22"/>
                <w:highlight w:val="yellow"/>
                <w:lang w:eastAsia="en-US"/>
              </w:rPr>
              <w:t xml:space="preserve"> и точки измерений</w:t>
            </w:r>
            <w:r w:rsidR="00DC747C" w:rsidRPr="001043A6">
              <w:rPr>
                <w:rFonts w:ascii="Garamond" w:hAnsi="Garamond"/>
                <w:sz w:val="22"/>
                <w:szCs w:val="22"/>
                <w:highlight w:val="yellow"/>
                <w:lang w:eastAsia="en-US"/>
              </w:rPr>
              <w:t xml:space="preserve"> объекта регулирования</w:t>
            </w:r>
            <w:r w:rsidR="009B5F03">
              <w:rPr>
                <w:rFonts w:ascii="Garamond" w:hAnsi="Garamond"/>
                <w:sz w:val="22"/>
                <w:szCs w:val="22"/>
                <w:highlight w:val="yellow"/>
                <w:lang w:eastAsia="en-US"/>
              </w:rPr>
              <w:t xml:space="preserve"> </w:t>
            </w:r>
            <w:r w:rsidR="00DC747C" w:rsidRPr="001043A6">
              <w:rPr>
                <w:rFonts w:ascii="Garamond" w:hAnsi="Garamond"/>
                <w:sz w:val="22"/>
                <w:szCs w:val="22"/>
                <w:highlight w:val="yellow"/>
                <w:lang w:eastAsia="en-US"/>
              </w:rPr>
              <w:t>совпадают с точками поставки</w:t>
            </w:r>
            <w:r w:rsidR="00741AAE" w:rsidRPr="001043A6">
              <w:rPr>
                <w:rFonts w:ascii="Garamond" w:hAnsi="Garamond"/>
                <w:sz w:val="22"/>
                <w:szCs w:val="22"/>
                <w:highlight w:val="yellow"/>
                <w:lang w:eastAsia="en-US"/>
              </w:rPr>
              <w:t xml:space="preserve"> и точками измерений</w:t>
            </w:r>
            <w:r w:rsidR="00DC747C" w:rsidRPr="001043A6">
              <w:rPr>
                <w:rFonts w:ascii="Garamond" w:hAnsi="Garamond"/>
                <w:sz w:val="22"/>
                <w:szCs w:val="22"/>
                <w:highlight w:val="yellow"/>
                <w:lang w:eastAsia="en-US"/>
              </w:rPr>
              <w:t xml:space="preserve">, входящими в состав группы точек поставки </w:t>
            </w:r>
            <w:r w:rsidR="00753F55" w:rsidRPr="001043A6">
              <w:rPr>
                <w:rFonts w:ascii="Garamond" w:hAnsi="Garamond"/>
                <w:sz w:val="22"/>
                <w:szCs w:val="22"/>
                <w:highlight w:val="yellow"/>
                <w:lang w:eastAsia="en-US"/>
              </w:rPr>
              <w:t xml:space="preserve">такого </w:t>
            </w:r>
            <w:r w:rsidR="00DC747C" w:rsidRPr="001043A6">
              <w:rPr>
                <w:rFonts w:ascii="Garamond" w:hAnsi="Garamond"/>
                <w:sz w:val="22"/>
                <w:szCs w:val="22"/>
                <w:highlight w:val="yellow"/>
                <w:lang w:eastAsia="en-US"/>
              </w:rPr>
              <w:t>участника оптового рынка</w:t>
            </w:r>
            <w:r w:rsidR="00741AAE" w:rsidRPr="001043A6">
              <w:rPr>
                <w:rFonts w:ascii="Garamond" w:hAnsi="Garamond"/>
                <w:sz w:val="22"/>
                <w:szCs w:val="22"/>
                <w:highlight w:val="yellow"/>
                <w:lang w:eastAsia="en-US"/>
              </w:rPr>
              <w:t xml:space="preserve"> </w:t>
            </w:r>
            <w:r w:rsidR="00233D37" w:rsidRPr="001043A6">
              <w:rPr>
                <w:rFonts w:ascii="Garamond" w:hAnsi="Garamond"/>
                <w:sz w:val="22"/>
                <w:szCs w:val="22"/>
                <w:highlight w:val="yellow"/>
                <w:lang w:eastAsia="en-US"/>
              </w:rPr>
              <w:t>–</w:t>
            </w:r>
            <w:r w:rsidR="00741AAE" w:rsidRPr="001043A6">
              <w:rPr>
                <w:rFonts w:ascii="Garamond" w:hAnsi="Garamond"/>
                <w:sz w:val="22"/>
                <w:szCs w:val="22"/>
                <w:highlight w:val="yellow"/>
                <w:lang w:eastAsia="en-US"/>
              </w:rPr>
              <w:t xml:space="preserve"> </w:t>
            </w:r>
            <w:r w:rsidR="00DC747C" w:rsidRPr="001043A6">
              <w:rPr>
                <w:rFonts w:ascii="Garamond" w:hAnsi="Garamond"/>
                <w:sz w:val="22"/>
                <w:szCs w:val="22"/>
                <w:highlight w:val="yellow"/>
                <w:lang w:eastAsia="en-US"/>
              </w:rPr>
              <w:t xml:space="preserve">крупного потребителя, при условии </w:t>
            </w:r>
            <w:r w:rsidR="00741AAE" w:rsidRPr="001043A6">
              <w:rPr>
                <w:rFonts w:ascii="Garamond" w:hAnsi="Garamond"/>
                <w:sz w:val="22"/>
                <w:szCs w:val="22"/>
                <w:highlight w:val="yellow"/>
                <w:lang w:eastAsia="en-US"/>
              </w:rPr>
              <w:t xml:space="preserve">подтверждения </w:t>
            </w:r>
            <w:r w:rsidR="00DC747C" w:rsidRPr="001043A6">
              <w:rPr>
                <w:rFonts w:ascii="Garamond" w:hAnsi="Garamond"/>
                <w:sz w:val="22"/>
                <w:szCs w:val="22"/>
                <w:highlight w:val="yellow"/>
                <w:lang w:eastAsia="en-US"/>
              </w:rPr>
              <w:t>соответстви</w:t>
            </w:r>
            <w:r w:rsidR="00741AAE" w:rsidRPr="001043A6">
              <w:rPr>
                <w:rFonts w:ascii="Garamond" w:hAnsi="Garamond"/>
                <w:sz w:val="22"/>
                <w:szCs w:val="22"/>
                <w:highlight w:val="yellow"/>
                <w:lang w:eastAsia="en-US"/>
              </w:rPr>
              <w:t>я указанных СУ</w:t>
            </w:r>
            <w:r w:rsidR="00DC747C" w:rsidRPr="001043A6">
              <w:rPr>
                <w:rFonts w:ascii="Garamond" w:hAnsi="Garamond"/>
                <w:sz w:val="22"/>
                <w:szCs w:val="22"/>
                <w:highlight w:val="yellow"/>
                <w:lang w:eastAsia="en-US"/>
              </w:rPr>
              <w:t xml:space="preserve"> техническим требованиям оптового рынка </w:t>
            </w:r>
            <w:r w:rsidR="00233D37" w:rsidRPr="001043A6">
              <w:rPr>
                <w:rFonts w:ascii="Garamond" w:hAnsi="Garamond"/>
                <w:sz w:val="22"/>
                <w:szCs w:val="22"/>
                <w:highlight w:val="yellow"/>
                <w:lang w:eastAsia="en-US"/>
              </w:rPr>
              <w:t>в порядке</w:t>
            </w:r>
            <w:r w:rsidRPr="001043A6">
              <w:rPr>
                <w:rFonts w:ascii="Garamond" w:hAnsi="Garamond"/>
                <w:sz w:val="22"/>
                <w:szCs w:val="22"/>
                <w:highlight w:val="yellow"/>
                <w:lang w:eastAsia="en-US"/>
              </w:rPr>
              <w:t>,</w:t>
            </w:r>
            <w:r w:rsidR="00233D37" w:rsidRPr="001043A6">
              <w:rPr>
                <w:rFonts w:ascii="Garamond" w:hAnsi="Garamond"/>
                <w:sz w:val="22"/>
                <w:szCs w:val="22"/>
                <w:highlight w:val="yellow"/>
                <w:lang w:eastAsia="en-US"/>
              </w:rPr>
              <w:t xml:space="preserve"> </w:t>
            </w:r>
            <w:r w:rsidR="00741AAE" w:rsidRPr="001043A6">
              <w:rPr>
                <w:rFonts w:ascii="Garamond" w:hAnsi="Garamond"/>
                <w:sz w:val="22"/>
                <w:szCs w:val="22"/>
                <w:highlight w:val="yellow"/>
                <w:lang w:eastAsia="en-US"/>
              </w:rPr>
              <w:t xml:space="preserve">указанном в п. 4.1.1.1 Положения о реестре, п. 4.4 Регламента проверок или </w:t>
            </w:r>
            <w:r w:rsidR="00DC747C" w:rsidRPr="001043A6">
              <w:rPr>
                <w:rFonts w:ascii="Garamond" w:hAnsi="Garamond"/>
                <w:sz w:val="22"/>
                <w:szCs w:val="22"/>
                <w:highlight w:val="yellow"/>
                <w:lang w:eastAsia="en-US"/>
              </w:rPr>
              <w:t>Порядк</w:t>
            </w:r>
            <w:r w:rsidR="00741AAE" w:rsidRPr="001043A6">
              <w:rPr>
                <w:rFonts w:ascii="Garamond" w:hAnsi="Garamond"/>
                <w:sz w:val="22"/>
                <w:szCs w:val="22"/>
                <w:highlight w:val="yellow"/>
                <w:lang w:eastAsia="en-US"/>
              </w:rPr>
              <w:t>е</w:t>
            </w:r>
            <w:r w:rsidR="00DC747C" w:rsidRPr="001043A6">
              <w:rPr>
                <w:rFonts w:ascii="Garamond" w:hAnsi="Garamond"/>
                <w:sz w:val="22"/>
                <w:szCs w:val="22"/>
                <w:highlight w:val="yellow"/>
                <w:lang w:eastAsia="en-US"/>
              </w:rPr>
              <w:t xml:space="preserve"> установления соответствия </w:t>
            </w:r>
            <w:r w:rsidR="00741AAE" w:rsidRPr="001043A6">
              <w:rPr>
                <w:rFonts w:ascii="Garamond" w:hAnsi="Garamond"/>
                <w:sz w:val="22"/>
                <w:szCs w:val="22"/>
                <w:highlight w:val="yellow"/>
                <w:lang w:eastAsia="en-US"/>
              </w:rPr>
              <w:t>СУ</w:t>
            </w:r>
            <w:r w:rsidR="005C089B" w:rsidRPr="001043A6">
              <w:rPr>
                <w:rFonts w:ascii="Garamond" w:hAnsi="Garamond"/>
                <w:sz w:val="22"/>
                <w:szCs w:val="22"/>
                <w:highlight w:val="yellow"/>
                <w:lang w:eastAsia="en-US"/>
              </w:rPr>
              <w:t>.</w:t>
            </w:r>
          </w:p>
          <w:p w14:paraId="5CE52F29" w14:textId="77777777" w:rsidR="00E11B82" w:rsidRPr="001043A6" w:rsidRDefault="00741AAE" w:rsidP="00327BE4">
            <w:pPr>
              <w:widowControl w:val="0"/>
              <w:spacing w:line="259" w:lineRule="auto"/>
              <w:ind w:firstLine="486"/>
              <w:jc w:val="both"/>
              <w:rPr>
                <w:rFonts w:ascii="Garamond" w:hAnsi="Garamond"/>
                <w:sz w:val="22"/>
                <w:szCs w:val="22"/>
                <w:lang w:eastAsia="en-US"/>
              </w:rPr>
            </w:pPr>
            <w:r w:rsidRPr="001043A6">
              <w:rPr>
                <w:rFonts w:ascii="Garamond" w:hAnsi="Garamond"/>
                <w:sz w:val="22"/>
                <w:szCs w:val="22"/>
                <w:highlight w:val="yellow"/>
                <w:lang w:eastAsia="en-US"/>
              </w:rPr>
              <w:t xml:space="preserve">Для вышеуказанного </w:t>
            </w:r>
            <w:r w:rsidR="00753F55" w:rsidRPr="001043A6">
              <w:rPr>
                <w:rFonts w:ascii="Garamond" w:hAnsi="Garamond"/>
                <w:sz w:val="22"/>
                <w:szCs w:val="22"/>
                <w:highlight w:val="yellow"/>
                <w:lang w:eastAsia="en-US"/>
              </w:rPr>
              <w:t>агрег</w:t>
            </w:r>
            <w:r w:rsidR="00327BE4" w:rsidRPr="001043A6">
              <w:rPr>
                <w:rFonts w:ascii="Garamond" w:hAnsi="Garamond"/>
                <w:sz w:val="22"/>
                <w:szCs w:val="22"/>
                <w:highlight w:val="yellow"/>
                <w:lang w:eastAsia="en-US"/>
              </w:rPr>
              <w:t>а</w:t>
            </w:r>
            <w:r w:rsidR="00753F55" w:rsidRPr="001043A6">
              <w:rPr>
                <w:rFonts w:ascii="Garamond" w:hAnsi="Garamond"/>
                <w:sz w:val="22"/>
                <w:szCs w:val="22"/>
                <w:highlight w:val="yellow"/>
                <w:lang w:eastAsia="en-US"/>
              </w:rPr>
              <w:t xml:space="preserve">тора, являющегося </w:t>
            </w:r>
            <w:r w:rsidRPr="001043A6">
              <w:rPr>
                <w:rFonts w:ascii="Garamond" w:hAnsi="Garamond"/>
                <w:sz w:val="22"/>
                <w:szCs w:val="22"/>
                <w:highlight w:val="yellow"/>
                <w:lang w:eastAsia="en-US"/>
              </w:rPr>
              <w:t>участник</w:t>
            </w:r>
            <w:r w:rsidR="00753F55" w:rsidRPr="001043A6">
              <w:rPr>
                <w:rFonts w:ascii="Garamond" w:hAnsi="Garamond"/>
                <w:sz w:val="22"/>
                <w:szCs w:val="22"/>
                <w:highlight w:val="yellow"/>
                <w:lang w:eastAsia="en-US"/>
              </w:rPr>
              <w:t>ом</w:t>
            </w:r>
            <w:r w:rsidRPr="001043A6">
              <w:rPr>
                <w:rFonts w:ascii="Garamond" w:hAnsi="Garamond"/>
                <w:sz w:val="22"/>
                <w:szCs w:val="22"/>
                <w:highlight w:val="yellow"/>
                <w:lang w:eastAsia="en-US"/>
              </w:rPr>
              <w:t xml:space="preserve"> оптового рынка – крупн</w:t>
            </w:r>
            <w:r w:rsidR="00753F55" w:rsidRPr="001043A6">
              <w:rPr>
                <w:rFonts w:ascii="Garamond" w:hAnsi="Garamond"/>
                <w:sz w:val="22"/>
                <w:szCs w:val="22"/>
                <w:highlight w:val="yellow"/>
                <w:lang w:eastAsia="en-US"/>
              </w:rPr>
              <w:t>ым</w:t>
            </w:r>
            <w:r w:rsidRPr="001043A6">
              <w:rPr>
                <w:rFonts w:ascii="Garamond" w:hAnsi="Garamond"/>
                <w:sz w:val="22"/>
                <w:szCs w:val="22"/>
                <w:highlight w:val="yellow"/>
                <w:lang w:eastAsia="en-US"/>
              </w:rPr>
              <w:t xml:space="preserve"> потребител</w:t>
            </w:r>
            <w:r w:rsidR="00753F55" w:rsidRPr="001043A6">
              <w:rPr>
                <w:rFonts w:ascii="Garamond" w:hAnsi="Garamond"/>
                <w:sz w:val="22"/>
                <w:szCs w:val="22"/>
                <w:highlight w:val="yellow"/>
                <w:lang w:eastAsia="en-US"/>
              </w:rPr>
              <w:t>ем,</w:t>
            </w:r>
            <w:r w:rsidRPr="001043A6">
              <w:rPr>
                <w:rFonts w:ascii="Garamond" w:hAnsi="Garamond"/>
                <w:sz w:val="22"/>
                <w:szCs w:val="22"/>
                <w:highlight w:val="yellow"/>
                <w:lang w:eastAsia="en-US"/>
              </w:rPr>
              <w:t xml:space="preserve"> </w:t>
            </w:r>
            <w:r w:rsidR="00E11B82" w:rsidRPr="001043A6">
              <w:rPr>
                <w:rFonts w:ascii="Garamond" w:hAnsi="Garamond"/>
                <w:sz w:val="22"/>
                <w:szCs w:val="22"/>
                <w:highlight w:val="yellow"/>
                <w:lang w:eastAsia="en-US"/>
              </w:rPr>
              <w:t xml:space="preserve">допускается использование в отношении точек </w:t>
            </w:r>
            <w:r w:rsidR="00753F55" w:rsidRPr="001043A6">
              <w:rPr>
                <w:rFonts w:ascii="Garamond" w:hAnsi="Garamond"/>
                <w:sz w:val="22"/>
                <w:szCs w:val="22"/>
                <w:highlight w:val="yellow"/>
                <w:lang w:eastAsia="en-US"/>
              </w:rPr>
              <w:t>присоединения</w:t>
            </w:r>
            <w:r w:rsidR="00E11B82" w:rsidRPr="001043A6">
              <w:rPr>
                <w:rFonts w:ascii="Garamond" w:hAnsi="Garamond"/>
                <w:sz w:val="22"/>
                <w:szCs w:val="22"/>
                <w:highlight w:val="yellow"/>
                <w:lang w:eastAsia="en-US"/>
              </w:rPr>
              <w:t xml:space="preserve"> одного объекта регулирования различных </w:t>
            </w:r>
            <w:r w:rsidR="00D0621E" w:rsidRPr="001043A6">
              <w:rPr>
                <w:rFonts w:ascii="Garamond" w:hAnsi="Garamond"/>
                <w:sz w:val="22"/>
                <w:szCs w:val="22"/>
                <w:highlight w:val="yellow"/>
                <w:lang w:eastAsia="en-US"/>
              </w:rPr>
              <w:t>СУ</w:t>
            </w:r>
            <w:r w:rsidR="00E11B82" w:rsidRPr="001043A6">
              <w:rPr>
                <w:rFonts w:ascii="Garamond" w:hAnsi="Garamond"/>
                <w:sz w:val="22"/>
                <w:szCs w:val="22"/>
                <w:highlight w:val="yellow"/>
                <w:lang w:eastAsia="en-US"/>
              </w:rPr>
              <w:t xml:space="preserve"> (</w:t>
            </w:r>
            <w:r w:rsidRPr="001043A6">
              <w:rPr>
                <w:rFonts w:ascii="Garamond" w:hAnsi="Garamond"/>
                <w:sz w:val="22"/>
                <w:szCs w:val="22"/>
                <w:highlight w:val="yellow"/>
                <w:lang w:eastAsia="en-US"/>
              </w:rPr>
              <w:t xml:space="preserve">АИИС КУЭ, </w:t>
            </w:r>
            <w:r w:rsidR="00E11B82" w:rsidRPr="001043A6">
              <w:rPr>
                <w:rFonts w:ascii="Garamond" w:hAnsi="Garamond"/>
                <w:sz w:val="22"/>
                <w:szCs w:val="22"/>
                <w:highlight w:val="yellow"/>
                <w:lang w:eastAsia="en-US"/>
              </w:rPr>
              <w:t xml:space="preserve">совокупности СИ и ТУ и ИСУ) при условии выполнения требований настоящих Технических требований и Порядка установления соответствия </w:t>
            </w:r>
            <w:r w:rsidR="005C089B" w:rsidRPr="001043A6">
              <w:rPr>
                <w:rFonts w:ascii="Garamond" w:hAnsi="Garamond"/>
                <w:sz w:val="22"/>
                <w:szCs w:val="22"/>
                <w:highlight w:val="yellow"/>
                <w:lang w:eastAsia="en-US"/>
              </w:rPr>
              <w:t>СУ</w:t>
            </w:r>
            <w:r w:rsidR="00E11B82" w:rsidRPr="001043A6">
              <w:rPr>
                <w:rFonts w:ascii="Garamond" w:hAnsi="Garamond"/>
                <w:sz w:val="22"/>
                <w:szCs w:val="22"/>
                <w:highlight w:val="yellow"/>
                <w:lang w:eastAsia="en-US"/>
              </w:rPr>
              <w:t>.</w:t>
            </w:r>
          </w:p>
        </w:tc>
      </w:tr>
      <w:tr w:rsidR="00E11B82" w:rsidRPr="001043A6" w14:paraId="26142C93" w14:textId="77777777" w:rsidTr="001043A6">
        <w:tc>
          <w:tcPr>
            <w:tcW w:w="1031" w:type="dxa"/>
          </w:tcPr>
          <w:p w14:paraId="7939D604" w14:textId="77777777" w:rsidR="00E11B82" w:rsidRPr="001043A6" w:rsidRDefault="00E11B82" w:rsidP="00697F19">
            <w:pPr>
              <w:widowControl w:val="0"/>
              <w:spacing w:line="259" w:lineRule="auto"/>
              <w:jc w:val="center"/>
              <w:rPr>
                <w:rFonts w:ascii="Garamond" w:hAnsi="Garamond"/>
                <w:b/>
                <w:sz w:val="22"/>
                <w:szCs w:val="22"/>
                <w:lang w:eastAsia="en-US"/>
              </w:rPr>
            </w:pPr>
            <w:r w:rsidRPr="001043A6">
              <w:rPr>
                <w:rFonts w:ascii="Garamond" w:hAnsi="Garamond"/>
                <w:b/>
                <w:sz w:val="22"/>
                <w:szCs w:val="22"/>
                <w:lang w:eastAsia="en-US"/>
              </w:rPr>
              <w:lastRenderedPageBreak/>
              <w:t>1.</w:t>
            </w:r>
            <w:r w:rsidR="00697F19" w:rsidRPr="001043A6">
              <w:rPr>
                <w:rFonts w:ascii="Garamond" w:hAnsi="Garamond"/>
                <w:b/>
                <w:sz w:val="22"/>
                <w:szCs w:val="22"/>
                <w:lang w:eastAsia="en-US"/>
              </w:rPr>
              <w:t>6</w:t>
            </w:r>
          </w:p>
        </w:tc>
        <w:tc>
          <w:tcPr>
            <w:tcW w:w="6833" w:type="dxa"/>
          </w:tcPr>
          <w:p w14:paraId="3AD447C5" w14:textId="77777777" w:rsidR="00E11B82" w:rsidRPr="001043A6" w:rsidRDefault="00972C31" w:rsidP="00E11B82">
            <w:pPr>
              <w:widowControl w:val="0"/>
              <w:spacing w:line="259" w:lineRule="auto"/>
              <w:ind w:firstLine="486"/>
              <w:jc w:val="both"/>
              <w:rPr>
                <w:rFonts w:ascii="Garamond" w:hAnsi="Garamond"/>
                <w:sz w:val="22"/>
                <w:szCs w:val="22"/>
                <w:lang w:eastAsia="en-US"/>
              </w:rPr>
            </w:pPr>
            <w:r w:rsidRPr="001043A6">
              <w:rPr>
                <w:rFonts w:ascii="Garamond" w:hAnsi="Garamond"/>
                <w:b/>
                <w:sz w:val="22"/>
                <w:szCs w:val="22"/>
                <w:lang w:eastAsia="en-US"/>
              </w:rPr>
              <w:t>Добавить пункт</w:t>
            </w:r>
          </w:p>
        </w:tc>
        <w:tc>
          <w:tcPr>
            <w:tcW w:w="7115" w:type="dxa"/>
          </w:tcPr>
          <w:p w14:paraId="7CD23531" w14:textId="77777777" w:rsidR="00E11B82" w:rsidRPr="001043A6" w:rsidRDefault="00E11B82" w:rsidP="00E11B82">
            <w:pPr>
              <w:widowControl w:val="0"/>
              <w:spacing w:line="259" w:lineRule="auto"/>
              <w:ind w:firstLine="486"/>
              <w:jc w:val="both"/>
              <w:rPr>
                <w:rFonts w:ascii="Garamond" w:hAnsi="Garamond"/>
                <w:sz w:val="22"/>
                <w:szCs w:val="22"/>
                <w:highlight w:val="yellow"/>
                <w:lang w:eastAsia="en-US"/>
              </w:rPr>
            </w:pPr>
            <w:r w:rsidRPr="001043A6">
              <w:rPr>
                <w:rFonts w:ascii="Garamond" w:hAnsi="Garamond"/>
                <w:sz w:val="22"/>
                <w:szCs w:val="22"/>
                <w:highlight w:val="yellow"/>
                <w:lang w:eastAsia="en-US"/>
              </w:rPr>
              <w:t xml:space="preserve">Передача результатов измерений, данных о состоянии объектов измерений в КО, смежным субъектам оптового рынка и СО производится в соответствии с требованиями </w:t>
            </w:r>
            <w:r w:rsidRPr="00F85C6B">
              <w:rPr>
                <w:rFonts w:ascii="Garamond" w:hAnsi="Garamond"/>
                <w:i/>
                <w:sz w:val="22"/>
                <w:szCs w:val="22"/>
                <w:highlight w:val="yellow"/>
                <w:lang w:eastAsia="en-US"/>
              </w:rPr>
              <w:t>Регламента предоставления результатов измерений и состояний объектов измерений</w:t>
            </w:r>
            <w:r w:rsidRPr="001043A6">
              <w:rPr>
                <w:rFonts w:ascii="Garamond" w:hAnsi="Garamond"/>
                <w:sz w:val="22"/>
                <w:szCs w:val="22"/>
                <w:highlight w:val="yellow"/>
                <w:lang w:eastAsia="en-US"/>
              </w:rPr>
              <w:t xml:space="preserve"> (Приложение № 11.1.1 к Положению о реестре, далее – Регламент предоставления результатов измерений и состояний объектов измерений).</w:t>
            </w:r>
          </w:p>
          <w:p w14:paraId="274F96D5" w14:textId="71A10423" w:rsidR="00E11B82" w:rsidRPr="001043A6" w:rsidRDefault="00E11B82" w:rsidP="00E11B82">
            <w:pPr>
              <w:widowControl w:val="0"/>
              <w:spacing w:line="259" w:lineRule="auto"/>
              <w:ind w:firstLine="486"/>
              <w:jc w:val="both"/>
              <w:rPr>
                <w:rFonts w:ascii="Garamond" w:hAnsi="Garamond"/>
                <w:sz w:val="22"/>
                <w:szCs w:val="22"/>
                <w:lang w:eastAsia="en-US"/>
              </w:rPr>
            </w:pPr>
            <w:r w:rsidRPr="001043A6">
              <w:rPr>
                <w:rFonts w:ascii="Garamond" w:hAnsi="Garamond"/>
                <w:sz w:val="22"/>
                <w:szCs w:val="22"/>
                <w:highlight w:val="yellow"/>
                <w:lang w:eastAsia="en-US"/>
              </w:rPr>
              <w:t>В случае если в одном сечении коммерческого учета (ГТП генерации)</w:t>
            </w:r>
            <w:r w:rsidR="00697F19" w:rsidRPr="001043A6">
              <w:rPr>
                <w:rFonts w:ascii="Garamond" w:hAnsi="Garamond"/>
                <w:sz w:val="22"/>
                <w:szCs w:val="22"/>
                <w:highlight w:val="yellow"/>
                <w:lang w:eastAsia="en-US"/>
              </w:rPr>
              <w:t xml:space="preserve"> или объекте регулирования </w:t>
            </w:r>
            <w:r w:rsidRPr="001043A6">
              <w:rPr>
                <w:rFonts w:ascii="Garamond" w:hAnsi="Garamond"/>
                <w:sz w:val="22"/>
                <w:szCs w:val="22"/>
                <w:highlight w:val="yellow"/>
                <w:lang w:eastAsia="en-US"/>
              </w:rPr>
              <w:t xml:space="preserve">используются разные </w:t>
            </w:r>
            <w:r w:rsidR="00E615DD" w:rsidRPr="001043A6">
              <w:rPr>
                <w:rFonts w:ascii="Garamond" w:hAnsi="Garamond"/>
                <w:sz w:val="22"/>
                <w:szCs w:val="22"/>
                <w:highlight w:val="yellow"/>
                <w:lang w:eastAsia="en-US"/>
              </w:rPr>
              <w:t xml:space="preserve">СУ, </w:t>
            </w:r>
            <w:r w:rsidRPr="001043A6">
              <w:rPr>
                <w:rFonts w:ascii="Garamond" w:hAnsi="Garamond"/>
                <w:sz w:val="22"/>
                <w:szCs w:val="22"/>
                <w:highlight w:val="yellow"/>
                <w:lang w:eastAsia="en-US"/>
              </w:rPr>
              <w:t xml:space="preserve">хотя бы одна из перечисленных </w:t>
            </w:r>
            <w:r w:rsidR="00D0621E" w:rsidRPr="001043A6">
              <w:rPr>
                <w:rFonts w:ascii="Garamond" w:hAnsi="Garamond"/>
                <w:sz w:val="22"/>
                <w:szCs w:val="22"/>
                <w:highlight w:val="yellow"/>
                <w:lang w:eastAsia="en-US"/>
              </w:rPr>
              <w:t xml:space="preserve">СУ </w:t>
            </w:r>
            <w:r w:rsidRPr="001043A6">
              <w:rPr>
                <w:rFonts w:ascii="Garamond" w:hAnsi="Garamond"/>
                <w:sz w:val="22"/>
                <w:szCs w:val="22"/>
                <w:highlight w:val="yellow"/>
                <w:lang w:eastAsia="en-US"/>
              </w:rPr>
              <w:t>должна обеспечивать формировани</w:t>
            </w:r>
            <w:r w:rsidR="00425414" w:rsidRPr="001043A6">
              <w:rPr>
                <w:rFonts w:ascii="Garamond" w:hAnsi="Garamond"/>
                <w:sz w:val="22"/>
                <w:szCs w:val="22"/>
                <w:highlight w:val="yellow"/>
                <w:lang w:eastAsia="en-US"/>
              </w:rPr>
              <w:t>е</w:t>
            </w:r>
            <w:r w:rsidRPr="001043A6">
              <w:rPr>
                <w:rFonts w:ascii="Garamond" w:hAnsi="Garamond"/>
                <w:sz w:val="22"/>
                <w:szCs w:val="22"/>
                <w:highlight w:val="yellow"/>
                <w:lang w:eastAsia="en-US"/>
              </w:rPr>
              <w:t xml:space="preserve"> и передач</w:t>
            </w:r>
            <w:r w:rsidR="00425414" w:rsidRPr="001043A6">
              <w:rPr>
                <w:rFonts w:ascii="Garamond" w:hAnsi="Garamond"/>
                <w:sz w:val="22"/>
                <w:szCs w:val="22"/>
                <w:highlight w:val="yellow"/>
                <w:lang w:eastAsia="en-US"/>
              </w:rPr>
              <w:t>у</w:t>
            </w:r>
            <w:r w:rsidRPr="001043A6">
              <w:rPr>
                <w:rFonts w:ascii="Garamond" w:hAnsi="Garamond"/>
                <w:sz w:val="22"/>
                <w:szCs w:val="22"/>
                <w:highlight w:val="yellow"/>
                <w:lang w:eastAsia="en-US"/>
              </w:rPr>
              <w:t xml:space="preserve"> в КО результатов измерений и данных о состоянии объектов измерений в соответствии с требованиями Регламента </w:t>
            </w:r>
            <w:r w:rsidR="00425414" w:rsidRPr="001043A6">
              <w:rPr>
                <w:rFonts w:ascii="Garamond" w:hAnsi="Garamond"/>
                <w:sz w:val="22"/>
                <w:szCs w:val="22"/>
                <w:highlight w:val="yellow"/>
                <w:lang w:eastAsia="en-US"/>
              </w:rPr>
              <w:t xml:space="preserve">предоставления результатов измерений и состояний объектов измерений </w:t>
            </w:r>
            <w:r w:rsidRPr="001043A6">
              <w:rPr>
                <w:rFonts w:ascii="Garamond" w:hAnsi="Garamond"/>
                <w:sz w:val="22"/>
                <w:szCs w:val="22"/>
                <w:highlight w:val="yellow"/>
                <w:lang w:eastAsia="en-US"/>
              </w:rPr>
              <w:t>в отношении всего сечения коммерческого учета (ГТП генерации)</w:t>
            </w:r>
            <w:r w:rsidR="00697F19" w:rsidRPr="001043A6">
              <w:rPr>
                <w:rFonts w:ascii="Garamond" w:hAnsi="Garamond"/>
                <w:sz w:val="22"/>
                <w:szCs w:val="22"/>
                <w:highlight w:val="yellow"/>
                <w:lang w:eastAsia="en-US"/>
              </w:rPr>
              <w:t xml:space="preserve"> или объекта регулирования</w:t>
            </w:r>
            <w:r w:rsidRPr="001043A6">
              <w:rPr>
                <w:rFonts w:ascii="Garamond" w:hAnsi="Garamond"/>
                <w:sz w:val="22"/>
                <w:szCs w:val="22"/>
                <w:lang w:eastAsia="en-US"/>
              </w:rPr>
              <w:t>.</w:t>
            </w:r>
          </w:p>
          <w:p w14:paraId="335A30F0" w14:textId="3A11F1AA" w:rsidR="00E11B82" w:rsidRPr="001043A6" w:rsidRDefault="00E11B82" w:rsidP="00F85C6B">
            <w:pPr>
              <w:widowControl w:val="0"/>
              <w:spacing w:line="259" w:lineRule="auto"/>
              <w:ind w:firstLine="486"/>
              <w:jc w:val="both"/>
              <w:rPr>
                <w:rFonts w:ascii="Garamond" w:hAnsi="Garamond"/>
                <w:sz w:val="22"/>
                <w:szCs w:val="22"/>
                <w:highlight w:val="yellow"/>
                <w:lang w:eastAsia="en-US"/>
              </w:rPr>
            </w:pPr>
            <w:r w:rsidRPr="001043A6">
              <w:rPr>
                <w:rFonts w:ascii="Garamond" w:hAnsi="Garamond"/>
                <w:sz w:val="22"/>
                <w:szCs w:val="22"/>
                <w:highlight w:val="yellow"/>
                <w:lang w:eastAsia="en-US"/>
              </w:rPr>
              <w:t xml:space="preserve">В случае если в одном сечении коммерческого учета (ГТП генерации) </w:t>
            </w:r>
            <w:r w:rsidR="00697F19" w:rsidRPr="001043A6">
              <w:rPr>
                <w:rFonts w:ascii="Garamond" w:hAnsi="Garamond"/>
                <w:sz w:val="22"/>
                <w:szCs w:val="22"/>
                <w:highlight w:val="yellow"/>
                <w:lang w:eastAsia="en-US"/>
              </w:rPr>
              <w:t xml:space="preserve">или объекте регулирования </w:t>
            </w:r>
            <w:r w:rsidRPr="001043A6">
              <w:rPr>
                <w:rFonts w:ascii="Garamond" w:hAnsi="Garamond"/>
                <w:sz w:val="22"/>
                <w:szCs w:val="22"/>
                <w:highlight w:val="yellow"/>
                <w:lang w:eastAsia="en-US"/>
              </w:rPr>
              <w:t>используется только ИСУ и при этом такая ИСУ не обеспечивает автоматизированное формирование и передачу в КО результатов измерений и данных о состоянии объектов измерений в соответствии с требованиями Регламента предоставления результатов измерений и состояний объектов измерений в отношении всего сечения коммерческого учета (ГТП генерации)</w:t>
            </w:r>
            <w:r w:rsidR="00697F19" w:rsidRPr="001043A6">
              <w:rPr>
                <w:rFonts w:ascii="Garamond" w:hAnsi="Garamond"/>
                <w:sz w:val="22"/>
                <w:szCs w:val="22"/>
                <w:highlight w:val="yellow"/>
                <w:lang w:eastAsia="en-US"/>
              </w:rPr>
              <w:t xml:space="preserve"> или объекта регулирования</w:t>
            </w:r>
            <w:r w:rsidRPr="001043A6">
              <w:rPr>
                <w:rFonts w:ascii="Garamond" w:hAnsi="Garamond"/>
                <w:sz w:val="22"/>
                <w:szCs w:val="22"/>
                <w:highlight w:val="yellow"/>
                <w:lang w:eastAsia="en-US"/>
              </w:rPr>
              <w:t xml:space="preserve">, </w:t>
            </w:r>
            <w:r w:rsidRPr="001043A6">
              <w:rPr>
                <w:rFonts w:ascii="Garamond" w:hAnsi="Garamond"/>
                <w:sz w:val="22"/>
                <w:szCs w:val="22"/>
                <w:highlight w:val="yellow"/>
                <w:lang w:eastAsia="en-US"/>
              </w:rPr>
              <w:lastRenderedPageBreak/>
              <w:t>автоматизированное формирование и передача в КО таких результатов измерений и данных о состоянии объектов измерений должн</w:t>
            </w:r>
            <w:r w:rsidR="00450A1D" w:rsidRPr="001043A6">
              <w:rPr>
                <w:rFonts w:ascii="Garamond" w:hAnsi="Garamond"/>
                <w:sz w:val="22"/>
                <w:szCs w:val="22"/>
                <w:highlight w:val="yellow"/>
                <w:lang w:eastAsia="en-US"/>
              </w:rPr>
              <w:t>ы</w:t>
            </w:r>
            <w:r w:rsidRPr="001043A6">
              <w:rPr>
                <w:rFonts w:ascii="Garamond" w:hAnsi="Garamond"/>
                <w:sz w:val="22"/>
                <w:szCs w:val="22"/>
                <w:highlight w:val="yellow"/>
                <w:lang w:eastAsia="en-US"/>
              </w:rPr>
              <w:t xml:space="preserve"> обеспечиваться с помощью </w:t>
            </w:r>
            <w:r w:rsidR="000A7687" w:rsidRPr="001043A6">
              <w:rPr>
                <w:rFonts w:ascii="Garamond" w:hAnsi="Garamond"/>
                <w:sz w:val="22"/>
                <w:szCs w:val="22"/>
                <w:highlight w:val="yellow"/>
                <w:lang w:eastAsia="en-US"/>
              </w:rPr>
              <w:t>сервера (автоматизированного рабочего места, далее – АРМ)</w:t>
            </w:r>
            <w:r w:rsidR="00675B3A" w:rsidRPr="001043A6">
              <w:rPr>
                <w:rFonts w:ascii="Garamond" w:hAnsi="Garamond"/>
                <w:sz w:val="22"/>
                <w:szCs w:val="22"/>
                <w:highlight w:val="yellow"/>
                <w:lang w:eastAsia="en-US"/>
              </w:rPr>
              <w:t xml:space="preserve"> иной</w:t>
            </w:r>
            <w:r w:rsidR="000A7687" w:rsidRPr="001043A6">
              <w:rPr>
                <w:rFonts w:ascii="Garamond" w:hAnsi="Garamond"/>
                <w:sz w:val="22"/>
                <w:szCs w:val="22"/>
                <w:highlight w:val="yellow"/>
                <w:lang w:eastAsia="en-US"/>
              </w:rPr>
              <w:t xml:space="preserve"> СУ</w:t>
            </w:r>
            <w:r w:rsidRPr="001043A6">
              <w:rPr>
                <w:rFonts w:ascii="Garamond" w:hAnsi="Garamond"/>
                <w:sz w:val="22"/>
                <w:szCs w:val="22"/>
                <w:highlight w:val="yellow"/>
                <w:lang w:eastAsia="en-US"/>
              </w:rPr>
              <w:t xml:space="preserve"> субъекта оптового рынка (заявителя).</w:t>
            </w:r>
          </w:p>
        </w:tc>
      </w:tr>
      <w:tr w:rsidR="006834C3" w:rsidRPr="001043A6" w14:paraId="4291F307" w14:textId="77777777" w:rsidTr="001043A6">
        <w:tc>
          <w:tcPr>
            <w:tcW w:w="1031" w:type="dxa"/>
          </w:tcPr>
          <w:p w14:paraId="6EFEBE85" w14:textId="77777777" w:rsidR="006834C3" w:rsidRPr="001043A6" w:rsidRDefault="006834C3" w:rsidP="00697F19">
            <w:pPr>
              <w:widowControl w:val="0"/>
              <w:spacing w:line="259" w:lineRule="auto"/>
              <w:jc w:val="center"/>
              <w:rPr>
                <w:rFonts w:ascii="Garamond" w:hAnsi="Garamond"/>
                <w:b/>
                <w:sz w:val="22"/>
                <w:szCs w:val="22"/>
                <w:lang w:eastAsia="en-US"/>
              </w:rPr>
            </w:pPr>
            <w:r w:rsidRPr="001043A6">
              <w:rPr>
                <w:rFonts w:ascii="Garamond" w:hAnsi="Garamond"/>
                <w:b/>
                <w:sz w:val="22"/>
                <w:szCs w:val="22"/>
                <w:lang w:eastAsia="en-US"/>
              </w:rPr>
              <w:lastRenderedPageBreak/>
              <w:t>1.7</w:t>
            </w:r>
          </w:p>
        </w:tc>
        <w:tc>
          <w:tcPr>
            <w:tcW w:w="6833" w:type="dxa"/>
          </w:tcPr>
          <w:p w14:paraId="3DDFDA38" w14:textId="77777777" w:rsidR="006834C3" w:rsidRPr="001043A6" w:rsidRDefault="00972C31" w:rsidP="00E11B82">
            <w:pPr>
              <w:widowControl w:val="0"/>
              <w:spacing w:line="259" w:lineRule="auto"/>
              <w:ind w:firstLine="486"/>
              <w:jc w:val="both"/>
              <w:rPr>
                <w:rFonts w:ascii="Garamond" w:hAnsi="Garamond"/>
                <w:sz w:val="22"/>
                <w:szCs w:val="22"/>
                <w:lang w:eastAsia="en-US"/>
              </w:rPr>
            </w:pPr>
            <w:r w:rsidRPr="001043A6">
              <w:rPr>
                <w:rFonts w:ascii="Garamond" w:hAnsi="Garamond"/>
                <w:b/>
                <w:sz w:val="22"/>
                <w:szCs w:val="22"/>
                <w:lang w:eastAsia="en-US"/>
              </w:rPr>
              <w:t>Добавить пункт</w:t>
            </w:r>
          </w:p>
        </w:tc>
        <w:tc>
          <w:tcPr>
            <w:tcW w:w="7115" w:type="dxa"/>
          </w:tcPr>
          <w:p w14:paraId="4FC37162" w14:textId="77777777" w:rsidR="006834C3" w:rsidRPr="00F85C6B" w:rsidRDefault="008D2358" w:rsidP="00327BE4">
            <w:pPr>
              <w:widowControl w:val="0"/>
              <w:spacing w:line="259" w:lineRule="auto"/>
              <w:ind w:firstLine="486"/>
              <w:jc w:val="both"/>
              <w:rPr>
                <w:rFonts w:ascii="Garamond" w:hAnsi="Garamond"/>
                <w:sz w:val="22"/>
                <w:szCs w:val="22"/>
                <w:highlight w:val="yellow"/>
              </w:rPr>
            </w:pPr>
            <w:r w:rsidRPr="001043A6">
              <w:rPr>
                <w:rFonts w:ascii="Garamond" w:hAnsi="Garamond"/>
                <w:sz w:val="22"/>
                <w:szCs w:val="22"/>
                <w:highlight w:val="yellow"/>
              </w:rPr>
              <w:t>СУ</w:t>
            </w:r>
            <w:r w:rsidR="006834C3" w:rsidRPr="001043A6">
              <w:rPr>
                <w:rFonts w:ascii="Garamond" w:hAnsi="Garamond"/>
                <w:sz w:val="22"/>
                <w:szCs w:val="22"/>
                <w:highlight w:val="yellow"/>
              </w:rPr>
              <w:t xml:space="preserve"> в соответствии с настоящими Техническими требованиями</w:t>
            </w:r>
            <w:r w:rsidR="00327BE4" w:rsidRPr="001043A6">
              <w:rPr>
                <w:rFonts w:ascii="Garamond" w:hAnsi="Garamond"/>
                <w:sz w:val="22"/>
                <w:szCs w:val="22"/>
                <w:highlight w:val="yellow"/>
              </w:rPr>
              <w:t xml:space="preserve"> должны</w:t>
            </w:r>
            <w:r w:rsidR="006834C3" w:rsidRPr="001043A6">
              <w:rPr>
                <w:rFonts w:ascii="Garamond" w:hAnsi="Garamond"/>
                <w:sz w:val="22"/>
                <w:szCs w:val="22"/>
                <w:highlight w:val="yellow"/>
              </w:rPr>
              <w:t xml:space="preserve"> обеспечиват</w:t>
            </w:r>
            <w:r w:rsidR="00327BE4" w:rsidRPr="001043A6">
              <w:rPr>
                <w:rFonts w:ascii="Garamond" w:hAnsi="Garamond"/>
                <w:sz w:val="22"/>
                <w:szCs w:val="22"/>
                <w:highlight w:val="yellow"/>
              </w:rPr>
              <w:t>ь</w:t>
            </w:r>
            <w:r w:rsidR="006834C3" w:rsidRPr="001043A6">
              <w:rPr>
                <w:rFonts w:ascii="Garamond" w:hAnsi="Garamond"/>
                <w:sz w:val="22"/>
                <w:szCs w:val="22"/>
                <w:highlight w:val="yellow"/>
              </w:rPr>
              <w:t xml:space="preserve"> сбор, обработку, хранение, передачу результатов измерений, полученных в месте установки </w:t>
            </w:r>
            <w:r w:rsidR="00B17782" w:rsidRPr="001043A6">
              <w:rPr>
                <w:rFonts w:ascii="Garamond" w:hAnsi="Garamond"/>
                <w:sz w:val="22"/>
                <w:szCs w:val="22"/>
                <w:highlight w:val="yellow"/>
              </w:rPr>
              <w:t>приборов учета</w:t>
            </w:r>
            <w:r w:rsidR="006834C3" w:rsidRPr="001043A6">
              <w:rPr>
                <w:rFonts w:ascii="Garamond" w:hAnsi="Garamond"/>
                <w:sz w:val="22"/>
                <w:szCs w:val="22"/>
                <w:highlight w:val="yellow"/>
              </w:rPr>
              <w:t xml:space="preserve"> (в точк</w:t>
            </w:r>
            <w:r w:rsidR="00B17782" w:rsidRPr="001043A6">
              <w:rPr>
                <w:rFonts w:ascii="Garamond" w:hAnsi="Garamond"/>
                <w:sz w:val="22"/>
                <w:szCs w:val="22"/>
                <w:highlight w:val="yellow"/>
              </w:rPr>
              <w:t>ах</w:t>
            </w:r>
            <w:r w:rsidR="006834C3" w:rsidRPr="001043A6">
              <w:rPr>
                <w:rFonts w:ascii="Garamond" w:hAnsi="Garamond"/>
                <w:sz w:val="22"/>
                <w:szCs w:val="22"/>
                <w:highlight w:val="yellow"/>
              </w:rPr>
              <w:t xml:space="preserve"> </w:t>
            </w:r>
            <w:r w:rsidR="006834C3" w:rsidRPr="00F85C6B">
              <w:rPr>
                <w:rFonts w:ascii="Garamond" w:hAnsi="Garamond"/>
                <w:sz w:val="22"/>
                <w:szCs w:val="22"/>
                <w:highlight w:val="yellow"/>
              </w:rPr>
              <w:t>измерений).</w:t>
            </w:r>
          </w:p>
          <w:p w14:paraId="17E18AAE" w14:textId="77777777" w:rsidR="00CA2F25" w:rsidRPr="001043A6" w:rsidRDefault="00CA2F25" w:rsidP="00CA2F25">
            <w:pPr>
              <w:widowControl w:val="0"/>
              <w:spacing w:line="259" w:lineRule="auto"/>
              <w:ind w:firstLine="486"/>
              <w:jc w:val="both"/>
              <w:rPr>
                <w:rFonts w:ascii="Garamond" w:hAnsi="Garamond"/>
                <w:sz w:val="22"/>
                <w:szCs w:val="22"/>
                <w:highlight w:val="yellow"/>
                <w:lang w:eastAsia="en-US"/>
              </w:rPr>
            </w:pPr>
            <w:r w:rsidRPr="00F85C6B">
              <w:rPr>
                <w:rFonts w:ascii="Garamond" w:hAnsi="Garamond"/>
                <w:sz w:val="22"/>
                <w:szCs w:val="22"/>
                <w:highlight w:val="yellow"/>
                <w:lang w:eastAsia="en-US"/>
              </w:rPr>
              <w:t>До 01.01.2025 в отношении объектов регулирования допускается осуществлять формирование и отправку в КО результатов измерений в формате электронного документа 20020 с использованием ПО «АРМ КУ Участника ОРЭМ» (либо иного программного обеспечения) на основании электронных документов в формате 80020, сформированных СУ агрегатора на основании кодов, присвоенных КО в соответствии с п. 3.6 приложения 9 к Положению о реестре.</w:t>
            </w:r>
          </w:p>
        </w:tc>
      </w:tr>
      <w:tr w:rsidR="009C559E" w:rsidRPr="001043A6" w14:paraId="2EC90F2E" w14:textId="77777777" w:rsidTr="001043A6">
        <w:tc>
          <w:tcPr>
            <w:tcW w:w="1031" w:type="dxa"/>
          </w:tcPr>
          <w:p w14:paraId="742527C2" w14:textId="77777777" w:rsidR="009C559E" w:rsidRPr="001043A6" w:rsidRDefault="009C559E" w:rsidP="00697F19">
            <w:pPr>
              <w:widowControl w:val="0"/>
              <w:spacing w:line="259" w:lineRule="auto"/>
              <w:jc w:val="center"/>
              <w:rPr>
                <w:rFonts w:ascii="Garamond" w:hAnsi="Garamond"/>
                <w:b/>
                <w:sz w:val="22"/>
                <w:szCs w:val="22"/>
                <w:lang w:eastAsia="en-US"/>
              </w:rPr>
            </w:pPr>
            <w:r w:rsidRPr="001043A6">
              <w:rPr>
                <w:rFonts w:ascii="Garamond" w:hAnsi="Garamond"/>
                <w:b/>
                <w:sz w:val="22"/>
                <w:szCs w:val="22"/>
                <w:lang w:eastAsia="en-US"/>
              </w:rPr>
              <w:t>1.8</w:t>
            </w:r>
          </w:p>
        </w:tc>
        <w:tc>
          <w:tcPr>
            <w:tcW w:w="6833" w:type="dxa"/>
          </w:tcPr>
          <w:p w14:paraId="507343F9" w14:textId="77777777" w:rsidR="009C559E" w:rsidRPr="001043A6" w:rsidRDefault="00972C31" w:rsidP="00E11B82">
            <w:pPr>
              <w:widowControl w:val="0"/>
              <w:spacing w:line="259" w:lineRule="auto"/>
              <w:ind w:firstLine="486"/>
              <w:jc w:val="both"/>
              <w:rPr>
                <w:rFonts w:ascii="Garamond" w:hAnsi="Garamond"/>
                <w:sz w:val="22"/>
                <w:szCs w:val="22"/>
                <w:lang w:eastAsia="en-US"/>
              </w:rPr>
            </w:pPr>
            <w:r w:rsidRPr="001043A6">
              <w:rPr>
                <w:rFonts w:ascii="Garamond" w:hAnsi="Garamond"/>
                <w:b/>
                <w:sz w:val="22"/>
                <w:szCs w:val="22"/>
                <w:lang w:eastAsia="en-US"/>
              </w:rPr>
              <w:t>Добавить пункт</w:t>
            </w:r>
          </w:p>
        </w:tc>
        <w:tc>
          <w:tcPr>
            <w:tcW w:w="7115" w:type="dxa"/>
          </w:tcPr>
          <w:p w14:paraId="71038317" w14:textId="57E30603" w:rsidR="009C559E" w:rsidRPr="001043A6" w:rsidRDefault="00803C8A" w:rsidP="00753F55">
            <w:pPr>
              <w:widowControl w:val="0"/>
              <w:spacing w:line="259" w:lineRule="auto"/>
              <w:ind w:firstLine="486"/>
              <w:jc w:val="both"/>
              <w:rPr>
                <w:rFonts w:ascii="Garamond" w:hAnsi="Garamond"/>
                <w:sz w:val="22"/>
                <w:szCs w:val="22"/>
                <w:highlight w:val="yellow"/>
              </w:rPr>
            </w:pPr>
            <w:r w:rsidRPr="001043A6">
              <w:rPr>
                <w:rFonts w:ascii="Garamond" w:hAnsi="Garamond"/>
                <w:sz w:val="22"/>
                <w:szCs w:val="22"/>
                <w:highlight w:val="yellow"/>
              </w:rPr>
              <w:t>Приборы учета (и измерительные трансформаторы тока</w:t>
            </w:r>
            <w:r w:rsidR="00753F55" w:rsidRPr="001043A6">
              <w:rPr>
                <w:rFonts w:ascii="Garamond" w:hAnsi="Garamond"/>
                <w:sz w:val="22"/>
                <w:szCs w:val="22"/>
                <w:highlight w:val="yellow"/>
              </w:rPr>
              <w:t>, измерительные трансформаторы</w:t>
            </w:r>
            <w:r w:rsidRPr="001043A6">
              <w:rPr>
                <w:rFonts w:ascii="Garamond" w:hAnsi="Garamond"/>
                <w:sz w:val="22"/>
                <w:szCs w:val="22"/>
                <w:highlight w:val="yellow"/>
              </w:rPr>
              <w:t xml:space="preserve"> напряжения в случае трансформаторного подключения прибора учета), входящие в состав совокупности СИ и ТУ, а также ИПУ, присоединенные к ИСУ (и</w:t>
            </w:r>
            <w:r w:rsidR="009B5F03">
              <w:rPr>
                <w:rFonts w:ascii="Garamond" w:hAnsi="Garamond"/>
                <w:sz w:val="22"/>
                <w:szCs w:val="22"/>
                <w:highlight w:val="yellow"/>
              </w:rPr>
              <w:t xml:space="preserve"> </w:t>
            </w:r>
            <w:r w:rsidRPr="001043A6">
              <w:rPr>
                <w:rFonts w:ascii="Garamond" w:hAnsi="Garamond"/>
                <w:sz w:val="22"/>
                <w:szCs w:val="22"/>
                <w:highlight w:val="yellow"/>
              </w:rPr>
              <w:t>измерительные трансформаторы тока</w:t>
            </w:r>
            <w:r w:rsidR="00753F55" w:rsidRPr="001043A6">
              <w:rPr>
                <w:rFonts w:ascii="Garamond" w:hAnsi="Garamond"/>
                <w:sz w:val="22"/>
                <w:szCs w:val="22"/>
                <w:highlight w:val="yellow"/>
              </w:rPr>
              <w:t>, измерительные трансформаторы напряжения</w:t>
            </w:r>
            <w:r w:rsidRPr="001043A6">
              <w:rPr>
                <w:rFonts w:ascii="Garamond" w:hAnsi="Garamond"/>
                <w:sz w:val="22"/>
                <w:szCs w:val="22"/>
                <w:highlight w:val="yellow"/>
              </w:rPr>
              <w:t xml:space="preserve"> в случае трансформаторного подключения ИПУ), должны быть допущены в эксплуатацию в порядке, установленном Основными положениями функционирования розничных рынков электрической энергии</w:t>
            </w:r>
            <w:r w:rsidR="0051143E" w:rsidRPr="001043A6">
              <w:rPr>
                <w:rFonts w:ascii="Garamond" w:hAnsi="Garamond"/>
                <w:sz w:val="22"/>
                <w:szCs w:val="22"/>
                <w:highlight w:val="yellow"/>
              </w:rPr>
              <w:t xml:space="preserve">, утвержденными </w:t>
            </w:r>
            <w:r w:rsidR="00D14D2B" w:rsidRPr="001043A6">
              <w:rPr>
                <w:rFonts w:ascii="Garamond" w:hAnsi="Garamond"/>
                <w:sz w:val="22"/>
                <w:szCs w:val="22"/>
                <w:highlight w:val="yellow"/>
              </w:rPr>
              <w:t xml:space="preserve">постановлением Правительства Российской Федерации </w:t>
            </w:r>
            <w:r w:rsidR="0051143E" w:rsidRPr="001043A6">
              <w:rPr>
                <w:rFonts w:ascii="Garamond" w:hAnsi="Garamond"/>
                <w:sz w:val="22"/>
                <w:szCs w:val="22"/>
                <w:highlight w:val="yellow"/>
              </w:rPr>
              <w:t>от 04.05.2012 № 442</w:t>
            </w:r>
            <w:r w:rsidR="00D14D2B" w:rsidRPr="001043A6">
              <w:rPr>
                <w:rFonts w:ascii="Garamond" w:hAnsi="Garamond"/>
                <w:sz w:val="22"/>
                <w:szCs w:val="22"/>
                <w:highlight w:val="yellow"/>
              </w:rPr>
              <w:t xml:space="preserve"> (далее – Основные положения функционирования розничных рынков)</w:t>
            </w:r>
            <w:r w:rsidRPr="001043A6">
              <w:rPr>
                <w:rFonts w:ascii="Garamond" w:hAnsi="Garamond"/>
                <w:sz w:val="22"/>
                <w:szCs w:val="22"/>
                <w:highlight w:val="yellow"/>
              </w:rPr>
              <w:t>.</w:t>
            </w:r>
            <w:r w:rsidR="000D7070" w:rsidRPr="001043A6">
              <w:rPr>
                <w:rFonts w:ascii="Garamond" w:hAnsi="Garamond"/>
                <w:sz w:val="22"/>
                <w:szCs w:val="22"/>
                <w:highlight w:val="yellow"/>
              </w:rPr>
              <w:t xml:space="preserve"> ИПУ долж</w:t>
            </w:r>
            <w:r w:rsidR="00F00DE0" w:rsidRPr="001043A6">
              <w:rPr>
                <w:rFonts w:ascii="Garamond" w:hAnsi="Garamond"/>
                <w:sz w:val="22"/>
                <w:szCs w:val="22"/>
                <w:highlight w:val="yellow"/>
              </w:rPr>
              <w:t>ны</w:t>
            </w:r>
            <w:r w:rsidR="000D7070" w:rsidRPr="001043A6">
              <w:rPr>
                <w:rFonts w:ascii="Garamond" w:hAnsi="Garamond"/>
                <w:sz w:val="22"/>
                <w:szCs w:val="22"/>
                <w:highlight w:val="yellow"/>
              </w:rPr>
              <w:t xml:space="preserve"> быть присоединен</w:t>
            </w:r>
            <w:r w:rsidR="00F00DE0" w:rsidRPr="001043A6">
              <w:rPr>
                <w:rFonts w:ascii="Garamond" w:hAnsi="Garamond"/>
                <w:sz w:val="22"/>
                <w:szCs w:val="22"/>
                <w:highlight w:val="yellow"/>
              </w:rPr>
              <w:t>ы</w:t>
            </w:r>
            <w:r w:rsidR="000D7070" w:rsidRPr="001043A6">
              <w:rPr>
                <w:rFonts w:ascii="Garamond" w:hAnsi="Garamond"/>
                <w:sz w:val="22"/>
                <w:szCs w:val="22"/>
                <w:highlight w:val="yellow"/>
              </w:rPr>
              <w:t xml:space="preserve"> к ИСУ в порядке, установленном Правилами предоставления доступа к минимальному набору функций интеллектуальных систем учета электрической энергии (мощности)</w:t>
            </w:r>
            <w:r w:rsidR="0051143E" w:rsidRPr="001043A6">
              <w:rPr>
                <w:rFonts w:ascii="Garamond" w:hAnsi="Garamond"/>
                <w:sz w:val="22"/>
                <w:szCs w:val="22"/>
                <w:highlight w:val="yellow"/>
              </w:rPr>
              <w:t>, утвержденными п</w:t>
            </w:r>
            <w:r w:rsidR="00D14D2B" w:rsidRPr="001043A6">
              <w:rPr>
                <w:rFonts w:ascii="Garamond" w:hAnsi="Garamond"/>
                <w:sz w:val="22"/>
                <w:szCs w:val="22"/>
                <w:highlight w:val="yellow"/>
              </w:rPr>
              <w:t>остановлением Правительства Российской Федерации</w:t>
            </w:r>
            <w:r w:rsidR="0051143E" w:rsidRPr="001043A6">
              <w:rPr>
                <w:rFonts w:ascii="Garamond" w:hAnsi="Garamond"/>
                <w:sz w:val="22"/>
                <w:szCs w:val="22"/>
                <w:highlight w:val="yellow"/>
              </w:rPr>
              <w:t xml:space="preserve"> от 19.06.2020 № 890</w:t>
            </w:r>
            <w:r w:rsidR="00D14D2B" w:rsidRPr="001043A6">
              <w:rPr>
                <w:rFonts w:ascii="Garamond" w:hAnsi="Garamond"/>
                <w:sz w:val="22"/>
                <w:szCs w:val="22"/>
                <w:highlight w:val="yellow"/>
              </w:rPr>
              <w:t xml:space="preserve"> (далее – Правила предоставления доступа к минимальному набору функций интеллектуальных систем учета)</w:t>
            </w:r>
            <w:r w:rsidR="000D7070" w:rsidRPr="001043A6">
              <w:rPr>
                <w:rFonts w:ascii="Garamond" w:hAnsi="Garamond"/>
                <w:sz w:val="22"/>
                <w:szCs w:val="22"/>
                <w:highlight w:val="yellow"/>
              </w:rPr>
              <w:t>.</w:t>
            </w:r>
          </w:p>
        </w:tc>
      </w:tr>
      <w:tr w:rsidR="00350C5A" w:rsidRPr="001043A6" w14:paraId="20F4F9C0" w14:textId="77777777" w:rsidTr="001043A6">
        <w:tc>
          <w:tcPr>
            <w:tcW w:w="1031" w:type="dxa"/>
          </w:tcPr>
          <w:p w14:paraId="72581B12" w14:textId="77777777" w:rsidR="00350C5A" w:rsidRPr="001043A6" w:rsidRDefault="00350C5A" w:rsidP="00697F19">
            <w:pPr>
              <w:widowControl w:val="0"/>
              <w:spacing w:line="259" w:lineRule="auto"/>
              <w:jc w:val="center"/>
              <w:rPr>
                <w:rFonts w:ascii="Garamond" w:hAnsi="Garamond"/>
                <w:b/>
                <w:sz w:val="22"/>
                <w:szCs w:val="22"/>
                <w:lang w:eastAsia="en-US"/>
              </w:rPr>
            </w:pPr>
            <w:r w:rsidRPr="001043A6">
              <w:rPr>
                <w:rFonts w:ascii="Garamond" w:hAnsi="Garamond"/>
                <w:b/>
                <w:sz w:val="22"/>
                <w:szCs w:val="22"/>
                <w:lang w:eastAsia="en-US"/>
              </w:rPr>
              <w:t>1.9</w:t>
            </w:r>
          </w:p>
        </w:tc>
        <w:tc>
          <w:tcPr>
            <w:tcW w:w="6833" w:type="dxa"/>
          </w:tcPr>
          <w:p w14:paraId="391366B1" w14:textId="77777777" w:rsidR="00350C5A" w:rsidRPr="001043A6" w:rsidRDefault="00972C31" w:rsidP="006D3132">
            <w:pPr>
              <w:widowControl w:val="0"/>
              <w:spacing w:line="259" w:lineRule="auto"/>
              <w:ind w:firstLine="486"/>
              <w:jc w:val="both"/>
              <w:rPr>
                <w:rFonts w:ascii="Garamond" w:hAnsi="Garamond"/>
                <w:b/>
                <w:sz w:val="22"/>
                <w:szCs w:val="22"/>
                <w:lang w:eastAsia="en-US"/>
              </w:rPr>
            </w:pPr>
            <w:r w:rsidRPr="001043A6">
              <w:rPr>
                <w:rFonts w:ascii="Garamond" w:hAnsi="Garamond"/>
                <w:b/>
                <w:sz w:val="22"/>
                <w:szCs w:val="22"/>
                <w:lang w:eastAsia="en-US"/>
              </w:rPr>
              <w:t>Добавить пункт</w:t>
            </w:r>
            <w:r w:rsidR="00797618" w:rsidRPr="001043A6">
              <w:rPr>
                <w:rFonts w:ascii="Garamond" w:hAnsi="Garamond"/>
                <w:b/>
                <w:sz w:val="22"/>
                <w:szCs w:val="22"/>
                <w:lang w:eastAsia="en-US"/>
              </w:rPr>
              <w:tab/>
            </w:r>
          </w:p>
        </w:tc>
        <w:tc>
          <w:tcPr>
            <w:tcW w:w="7115" w:type="dxa"/>
          </w:tcPr>
          <w:p w14:paraId="38577688" w14:textId="77777777" w:rsidR="00712F45" w:rsidRPr="001043A6" w:rsidRDefault="00350C5A" w:rsidP="00712F45">
            <w:pPr>
              <w:widowControl w:val="0"/>
              <w:spacing w:line="259" w:lineRule="auto"/>
              <w:ind w:firstLine="486"/>
              <w:jc w:val="both"/>
              <w:rPr>
                <w:rFonts w:ascii="Garamond" w:hAnsi="Garamond"/>
                <w:sz w:val="22"/>
                <w:szCs w:val="22"/>
                <w:highlight w:val="yellow"/>
              </w:rPr>
            </w:pPr>
            <w:r w:rsidRPr="001043A6">
              <w:rPr>
                <w:rFonts w:ascii="Garamond" w:hAnsi="Garamond"/>
                <w:sz w:val="22"/>
                <w:szCs w:val="22"/>
                <w:highlight w:val="yellow"/>
              </w:rPr>
              <w:t>Для подтверждения соответствия И</w:t>
            </w:r>
            <w:r w:rsidR="00B17782" w:rsidRPr="001043A6">
              <w:rPr>
                <w:rFonts w:ascii="Garamond" w:hAnsi="Garamond"/>
                <w:sz w:val="22"/>
                <w:szCs w:val="22"/>
                <w:highlight w:val="yellow"/>
              </w:rPr>
              <w:t>ПУ, присоединенных к ИСУ,</w:t>
            </w:r>
            <w:r w:rsidRPr="001043A6">
              <w:rPr>
                <w:rFonts w:ascii="Garamond" w:hAnsi="Garamond"/>
                <w:sz w:val="22"/>
                <w:szCs w:val="22"/>
                <w:highlight w:val="yellow"/>
              </w:rPr>
              <w:t xml:space="preserve"> или совокупности СИ и ТУ требованиям п. 23 Правил оптового рынка электрической энергии и мощности</w:t>
            </w:r>
            <w:r w:rsidR="00D14D2B" w:rsidRPr="001043A6">
              <w:rPr>
                <w:rFonts w:ascii="Garamond" w:hAnsi="Garamond"/>
                <w:sz w:val="22"/>
                <w:szCs w:val="22"/>
                <w:highlight w:val="yellow"/>
              </w:rPr>
              <w:t xml:space="preserve">, утвержденных постановлением Правительства Российской Федерации от 27.12.2010 № 1172 (далее – </w:t>
            </w:r>
            <w:r w:rsidR="00D14D2B" w:rsidRPr="001043A6">
              <w:rPr>
                <w:rFonts w:ascii="Garamond" w:hAnsi="Garamond"/>
                <w:sz w:val="22"/>
                <w:szCs w:val="22"/>
                <w:highlight w:val="yellow"/>
              </w:rPr>
              <w:lastRenderedPageBreak/>
              <w:t>Правила оптового рынка)</w:t>
            </w:r>
            <w:r w:rsidRPr="001043A6">
              <w:rPr>
                <w:rFonts w:ascii="Garamond" w:hAnsi="Garamond"/>
                <w:sz w:val="22"/>
                <w:szCs w:val="22"/>
                <w:highlight w:val="yellow"/>
              </w:rPr>
              <w:t xml:space="preserve"> субъект оптового рынка (заявитель) должен направить в КО в порядке, установленном Порядком установления соответствия </w:t>
            </w:r>
            <w:r w:rsidR="005C089B" w:rsidRPr="001043A6">
              <w:rPr>
                <w:rFonts w:ascii="Garamond" w:hAnsi="Garamond"/>
                <w:sz w:val="22"/>
                <w:szCs w:val="22"/>
                <w:highlight w:val="yellow"/>
              </w:rPr>
              <w:t>СУ</w:t>
            </w:r>
            <w:r w:rsidRPr="001043A6">
              <w:rPr>
                <w:rFonts w:ascii="Garamond" w:hAnsi="Garamond"/>
                <w:sz w:val="22"/>
                <w:szCs w:val="22"/>
                <w:highlight w:val="yellow"/>
              </w:rPr>
              <w:t xml:space="preserve">, в том числе </w:t>
            </w:r>
            <w:r w:rsidRPr="001043A6">
              <w:rPr>
                <w:rFonts w:ascii="Garamond" w:hAnsi="Garamond"/>
                <w:sz w:val="22"/>
                <w:szCs w:val="22"/>
                <w:highlight w:val="yellow"/>
                <w:lang w:val="en-US"/>
              </w:rPr>
              <w:t>xml</w:t>
            </w:r>
            <w:r w:rsidRPr="001043A6">
              <w:rPr>
                <w:rFonts w:ascii="Garamond" w:hAnsi="Garamond"/>
                <w:sz w:val="22"/>
                <w:szCs w:val="22"/>
                <w:highlight w:val="yellow"/>
              </w:rPr>
              <w:t>-</w:t>
            </w:r>
            <w:r w:rsidR="008D2358" w:rsidRPr="001043A6">
              <w:rPr>
                <w:rFonts w:ascii="Garamond" w:hAnsi="Garamond"/>
                <w:sz w:val="22"/>
                <w:szCs w:val="22"/>
                <w:highlight w:val="yellow"/>
              </w:rPr>
              <w:t>макеты</w:t>
            </w:r>
            <w:r w:rsidRPr="001043A6">
              <w:rPr>
                <w:rFonts w:ascii="Garamond" w:hAnsi="Garamond"/>
                <w:sz w:val="22"/>
                <w:szCs w:val="22"/>
                <w:highlight w:val="yellow"/>
              </w:rPr>
              <w:t>, содержащие сведения</w:t>
            </w:r>
            <w:r w:rsidR="00712F45" w:rsidRPr="001043A6">
              <w:rPr>
                <w:rFonts w:ascii="Garamond" w:hAnsi="Garamond"/>
                <w:sz w:val="22"/>
                <w:szCs w:val="22"/>
                <w:highlight w:val="yellow"/>
              </w:rPr>
              <w:t>:</w:t>
            </w:r>
          </w:p>
          <w:p w14:paraId="0E6B1E45" w14:textId="2F4D7DC5" w:rsidR="00350C5A" w:rsidRPr="001043A6" w:rsidRDefault="009B5F03" w:rsidP="00712F45">
            <w:pPr>
              <w:widowControl w:val="0"/>
              <w:spacing w:line="259" w:lineRule="auto"/>
              <w:ind w:firstLine="486"/>
              <w:jc w:val="both"/>
              <w:rPr>
                <w:rFonts w:ascii="Garamond" w:hAnsi="Garamond"/>
                <w:sz w:val="22"/>
                <w:szCs w:val="22"/>
                <w:highlight w:val="yellow"/>
              </w:rPr>
            </w:pPr>
            <w:r>
              <w:rPr>
                <w:rFonts w:ascii="Garamond" w:hAnsi="Garamond"/>
                <w:sz w:val="22"/>
                <w:szCs w:val="22"/>
                <w:highlight w:val="yellow"/>
              </w:rPr>
              <w:t>–</w:t>
            </w:r>
            <w:r w:rsidR="00712F45" w:rsidRPr="001043A6">
              <w:rPr>
                <w:rFonts w:ascii="Garamond" w:hAnsi="Garamond"/>
                <w:sz w:val="22"/>
                <w:szCs w:val="22"/>
                <w:highlight w:val="yellow"/>
              </w:rPr>
              <w:t xml:space="preserve"> </w:t>
            </w:r>
            <w:r w:rsidR="00350C5A" w:rsidRPr="001043A6">
              <w:rPr>
                <w:rFonts w:ascii="Garamond" w:hAnsi="Garamond"/>
                <w:sz w:val="22"/>
                <w:szCs w:val="22"/>
                <w:highlight w:val="yellow"/>
              </w:rPr>
              <w:t>о</w:t>
            </w:r>
            <w:r w:rsidR="008D2358" w:rsidRPr="001043A6">
              <w:rPr>
                <w:rFonts w:ascii="Garamond" w:hAnsi="Garamond"/>
                <w:sz w:val="22"/>
                <w:szCs w:val="22"/>
                <w:highlight w:val="yellow"/>
              </w:rPr>
              <w:t>б ИПУ</w:t>
            </w:r>
            <w:r w:rsidR="00350C5A" w:rsidRPr="001043A6">
              <w:rPr>
                <w:rFonts w:ascii="Garamond" w:hAnsi="Garamond"/>
                <w:sz w:val="22"/>
                <w:szCs w:val="22"/>
                <w:highlight w:val="yellow"/>
              </w:rPr>
              <w:t>, присоединенных к ИСУ</w:t>
            </w:r>
            <w:r w:rsidR="00712F45" w:rsidRPr="001043A6">
              <w:rPr>
                <w:rFonts w:ascii="Garamond" w:hAnsi="Garamond"/>
                <w:sz w:val="22"/>
                <w:szCs w:val="22"/>
                <w:highlight w:val="yellow"/>
              </w:rPr>
              <w:t>,</w:t>
            </w:r>
            <w:r w:rsidR="00350C5A" w:rsidRPr="001043A6">
              <w:rPr>
                <w:rFonts w:ascii="Garamond" w:hAnsi="Garamond"/>
                <w:sz w:val="22"/>
                <w:szCs w:val="22"/>
                <w:highlight w:val="yellow"/>
              </w:rPr>
              <w:t xml:space="preserve"> </w:t>
            </w:r>
            <w:r w:rsidR="00712F45" w:rsidRPr="001043A6">
              <w:rPr>
                <w:rFonts w:ascii="Garamond" w:hAnsi="Garamond"/>
                <w:sz w:val="22"/>
                <w:szCs w:val="22"/>
                <w:highlight w:val="yellow"/>
              </w:rPr>
              <w:t>а также об иных средствах измерений</w:t>
            </w:r>
            <w:r w:rsidR="000E02B5" w:rsidRPr="001043A6">
              <w:rPr>
                <w:rFonts w:ascii="Garamond" w:hAnsi="Garamond"/>
                <w:sz w:val="22"/>
                <w:szCs w:val="22"/>
                <w:highlight w:val="yellow"/>
              </w:rPr>
              <w:t xml:space="preserve"> или оборудовании (компонентах, устройствах), </w:t>
            </w:r>
            <w:r w:rsidR="00712F45" w:rsidRPr="001043A6">
              <w:rPr>
                <w:rFonts w:ascii="Garamond" w:hAnsi="Garamond"/>
                <w:sz w:val="22"/>
                <w:szCs w:val="22"/>
                <w:highlight w:val="yellow"/>
              </w:rPr>
              <w:t>используем</w:t>
            </w:r>
            <w:r w:rsidR="00B17782" w:rsidRPr="001043A6">
              <w:rPr>
                <w:rFonts w:ascii="Garamond" w:hAnsi="Garamond"/>
                <w:sz w:val="22"/>
                <w:szCs w:val="22"/>
                <w:highlight w:val="yellow"/>
              </w:rPr>
              <w:t>ых</w:t>
            </w:r>
            <w:r w:rsidR="00712F45" w:rsidRPr="001043A6">
              <w:rPr>
                <w:rFonts w:ascii="Garamond" w:hAnsi="Garamond"/>
                <w:sz w:val="22"/>
                <w:szCs w:val="22"/>
                <w:highlight w:val="yellow"/>
              </w:rPr>
              <w:t xml:space="preserve"> для измерений, сбора, обработки, хранения и передачи результатов измерений в ИСУ (далее – </w:t>
            </w:r>
            <w:r w:rsidR="00712F45" w:rsidRPr="001043A6">
              <w:rPr>
                <w:rFonts w:ascii="Garamond" w:hAnsi="Garamond"/>
                <w:sz w:val="22"/>
                <w:szCs w:val="22"/>
                <w:highlight w:val="yellow"/>
                <w:lang w:val="en-US"/>
              </w:rPr>
              <w:t>xml</w:t>
            </w:r>
            <w:r w:rsidR="00712F45" w:rsidRPr="001043A6">
              <w:rPr>
                <w:rFonts w:ascii="Garamond" w:hAnsi="Garamond"/>
                <w:sz w:val="22"/>
                <w:szCs w:val="22"/>
                <w:highlight w:val="yellow"/>
              </w:rPr>
              <w:t>-макет 10000);</w:t>
            </w:r>
          </w:p>
          <w:p w14:paraId="3E74EEE5" w14:textId="2A0AB4F8" w:rsidR="00712F45" w:rsidRPr="001043A6" w:rsidRDefault="009B5F03" w:rsidP="00712F45">
            <w:pPr>
              <w:widowControl w:val="0"/>
              <w:spacing w:line="259" w:lineRule="auto"/>
              <w:ind w:firstLine="486"/>
              <w:jc w:val="both"/>
              <w:rPr>
                <w:rFonts w:ascii="Garamond" w:hAnsi="Garamond"/>
                <w:sz w:val="22"/>
                <w:szCs w:val="22"/>
                <w:highlight w:val="yellow"/>
              </w:rPr>
            </w:pPr>
            <w:r>
              <w:rPr>
                <w:rFonts w:ascii="Garamond" w:hAnsi="Garamond"/>
                <w:sz w:val="22"/>
                <w:szCs w:val="22"/>
                <w:highlight w:val="yellow"/>
              </w:rPr>
              <w:t>–</w:t>
            </w:r>
            <w:r w:rsidR="00712F45" w:rsidRPr="001043A6">
              <w:rPr>
                <w:rFonts w:ascii="Garamond" w:hAnsi="Garamond"/>
                <w:sz w:val="22"/>
                <w:szCs w:val="22"/>
                <w:highlight w:val="yellow"/>
              </w:rPr>
              <w:t xml:space="preserve"> о средствах измерений, используемых в составе совокупности СИ и ТУ</w:t>
            </w:r>
            <w:r w:rsidR="00753F55" w:rsidRPr="001043A6">
              <w:rPr>
                <w:rFonts w:ascii="Garamond" w:hAnsi="Garamond"/>
                <w:sz w:val="22"/>
                <w:szCs w:val="22"/>
                <w:highlight w:val="yellow"/>
              </w:rPr>
              <w:t xml:space="preserve"> </w:t>
            </w:r>
            <w:r w:rsidR="00712F45" w:rsidRPr="001043A6">
              <w:rPr>
                <w:rFonts w:ascii="Garamond" w:hAnsi="Garamond"/>
                <w:sz w:val="22"/>
                <w:szCs w:val="22"/>
                <w:highlight w:val="yellow"/>
              </w:rPr>
              <w:t xml:space="preserve">(далее – </w:t>
            </w:r>
            <w:r w:rsidR="00712F45" w:rsidRPr="001043A6">
              <w:rPr>
                <w:rFonts w:ascii="Garamond" w:hAnsi="Garamond"/>
                <w:sz w:val="22"/>
                <w:szCs w:val="22"/>
                <w:highlight w:val="yellow"/>
                <w:lang w:val="en-US"/>
              </w:rPr>
              <w:t>xml</w:t>
            </w:r>
            <w:r w:rsidR="00712F45" w:rsidRPr="001043A6">
              <w:rPr>
                <w:rFonts w:ascii="Garamond" w:hAnsi="Garamond"/>
                <w:sz w:val="22"/>
                <w:szCs w:val="22"/>
                <w:highlight w:val="yellow"/>
              </w:rPr>
              <w:t>-макет 20000).</w:t>
            </w:r>
          </w:p>
          <w:p w14:paraId="26FD9904" w14:textId="28017A7D" w:rsidR="00712F45" w:rsidRPr="001043A6" w:rsidRDefault="00712F45" w:rsidP="00712F45">
            <w:pPr>
              <w:widowControl w:val="0"/>
              <w:spacing w:line="259" w:lineRule="auto"/>
              <w:ind w:firstLine="486"/>
              <w:jc w:val="both"/>
              <w:rPr>
                <w:rFonts w:ascii="Garamond" w:hAnsi="Garamond"/>
                <w:sz w:val="22"/>
                <w:szCs w:val="22"/>
                <w:highlight w:val="yellow"/>
              </w:rPr>
            </w:pPr>
            <w:r w:rsidRPr="001043A6">
              <w:rPr>
                <w:rFonts w:ascii="Garamond" w:hAnsi="Garamond"/>
                <w:sz w:val="22"/>
                <w:szCs w:val="22"/>
                <w:highlight w:val="yellow"/>
              </w:rPr>
              <w:t xml:space="preserve">Структура и формат </w:t>
            </w:r>
            <w:r w:rsidRPr="001043A6">
              <w:rPr>
                <w:rFonts w:ascii="Garamond" w:hAnsi="Garamond"/>
                <w:sz w:val="22"/>
                <w:szCs w:val="22"/>
                <w:highlight w:val="yellow"/>
                <w:lang w:val="en-US"/>
              </w:rPr>
              <w:t>xml</w:t>
            </w:r>
            <w:r w:rsidRPr="001043A6">
              <w:rPr>
                <w:rFonts w:ascii="Garamond" w:hAnsi="Garamond"/>
                <w:sz w:val="22"/>
                <w:szCs w:val="22"/>
                <w:highlight w:val="yellow"/>
              </w:rPr>
              <w:t xml:space="preserve">-макетов 10000 и 20000 приведены в </w:t>
            </w:r>
            <w:r w:rsidR="009B5F03">
              <w:rPr>
                <w:rFonts w:ascii="Garamond" w:hAnsi="Garamond"/>
                <w:sz w:val="22"/>
                <w:szCs w:val="22"/>
                <w:highlight w:val="yellow"/>
              </w:rPr>
              <w:t>п</w:t>
            </w:r>
            <w:r w:rsidRPr="001043A6">
              <w:rPr>
                <w:rFonts w:ascii="Garamond" w:hAnsi="Garamond"/>
                <w:sz w:val="22"/>
                <w:szCs w:val="22"/>
                <w:highlight w:val="yellow"/>
              </w:rPr>
              <w:t xml:space="preserve">риложении 1 и </w:t>
            </w:r>
            <w:r w:rsidR="009B5F03">
              <w:rPr>
                <w:rFonts w:ascii="Garamond" w:hAnsi="Garamond"/>
                <w:sz w:val="22"/>
                <w:szCs w:val="22"/>
                <w:highlight w:val="yellow"/>
              </w:rPr>
              <w:t>п</w:t>
            </w:r>
            <w:r w:rsidRPr="001043A6">
              <w:rPr>
                <w:rFonts w:ascii="Garamond" w:hAnsi="Garamond"/>
                <w:sz w:val="22"/>
                <w:szCs w:val="22"/>
                <w:highlight w:val="yellow"/>
              </w:rPr>
              <w:t>риложении 2 к настоящим Техническим требованиям соответственно.</w:t>
            </w:r>
          </w:p>
          <w:p w14:paraId="69E3EF6A" w14:textId="77777777" w:rsidR="00712F45" w:rsidRPr="001043A6" w:rsidRDefault="00712F45" w:rsidP="00712F45">
            <w:pPr>
              <w:widowControl w:val="0"/>
              <w:spacing w:line="259" w:lineRule="auto"/>
              <w:ind w:firstLine="486"/>
              <w:jc w:val="both"/>
              <w:rPr>
                <w:rFonts w:ascii="Garamond" w:hAnsi="Garamond"/>
                <w:sz w:val="22"/>
                <w:szCs w:val="22"/>
                <w:highlight w:val="yellow"/>
              </w:rPr>
            </w:pPr>
            <w:r w:rsidRPr="001043A6">
              <w:rPr>
                <w:rFonts w:ascii="Garamond" w:hAnsi="Garamond"/>
                <w:sz w:val="22"/>
                <w:szCs w:val="22"/>
                <w:highlight w:val="yellow"/>
              </w:rPr>
              <w:t xml:space="preserve">Вышеуказанные </w:t>
            </w:r>
            <w:r w:rsidRPr="001043A6">
              <w:rPr>
                <w:rFonts w:ascii="Garamond" w:hAnsi="Garamond"/>
                <w:sz w:val="22"/>
                <w:szCs w:val="22"/>
                <w:highlight w:val="yellow"/>
                <w:lang w:val="en-US"/>
              </w:rPr>
              <w:t>xml</w:t>
            </w:r>
            <w:r w:rsidRPr="001043A6">
              <w:rPr>
                <w:rFonts w:ascii="Garamond" w:hAnsi="Garamond"/>
                <w:sz w:val="22"/>
                <w:szCs w:val="22"/>
                <w:highlight w:val="yellow"/>
              </w:rPr>
              <w:t>-макеты должны быть подписаны:</w:t>
            </w:r>
          </w:p>
          <w:p w14:paraId="6864A1DA" w14:textId="43F4BB85" w:rsidR="00712F45" w:rsidRPr="001043A6" w:rsidRDefault="009B5F03" w:rsidP="00712F45">
            <w:pPr>
              <w:widowControl w:val="0"/>
              <w:spacing w:line="259" w:lineRule="auto"/>
              <w:ind w:firstLine="486"/>
              <w:jc w:val="both"/>
              <w:rPr>
                <w:rFonts w:ascii="Garamond" w:hAnsi="Garamond"/>
                <w:sz w:val="22"/>
                <w:szCs w:val="22"/>
                <w:highlight w:val="yellow"/>
              </w:rPr>
            </w:pPr>
            <w:r>
              <w:rPr>
                <w:rFonts w:ascii="Garamond" w:hAnsi="Garamond"/>
                <w:sz w:val="22"/>
                <w:szCs w:val="22"/>
                <w:highlight w:val="yellow"/>
              </w:rPr>
              <w:t>–</w:t>
            </w:r>
            <w:r w:rsidR="00712F45" w:rsidRPr="001043A6">
              <w:rPr>
                <w:rFonts w:ascii="Garamond" w:hAnsi="Garamond"/>
                <w:sz w:val="22"/>
                <w:szCs w:val="22"/>
                <w:highlight w:val="yellow"/>
              </w:rPr>
              <w:t xml:space="preserve"> </w:t>
            </w:r>
            <w:r w:rsidR="00712F45" w:rsidRPr="001043A6">
              <w:rPr>
                <w:rFonts w:ascii="Garamond" w:hAnsi="Garamond"/>
                <w:sz w:val="22"/>
                <w:szCs w:val="22"/>
                <w:highlight w:val="yellow"/>
                <w:lang w:val="en-US"/>
              </w:rPr>
              <w:t>xml</w:t>
            </w:r>
            <w:r w:rsidR="00712F45" w:rsidRPr="001043A6">
              <w:rPr>
                <w:rFonts w:ascii="Garamond" w:hAnsi="Garamond"/>
                <w:sz w:val="22"/>
                <w:szCs w:val="22"/>
                <w:highlight w:val="yellow"/>
              </w:rPr>
              <w:t xml:space="preserve">-макет 10000 </w:t>
            </w:r>
            <w:r>
              <w:rPr>
                <w:rFonts w:ascii="Garamond" w:hAnsi="Garamond"/>
                <w:sz w:val="22"/>
                <w:szCs w:val="22"/>
                <w:highlight w:val="yellow"/>
              </w:rPr>
              <w:t>–</w:t>
            </w:r>
            <w:r w:rsidR="00712F45" w:rsidRPr="001043A6">
              <w:rPr>
                <w:rFonts w:ascii="Garamond" w:hAnsi="Garamond"/>
                <w:sz w:val="22"/>
                <w:szCs w:val="22"/>
                <w:highlight w:val="yellow"/>
              </w:rPr>
              <w:t xml:space="preserve"> квалифицированной электронной подписью владельца ИСУ в соответствии</w:t>
            </w:r>
            <w:r w:rsidR="00B552A1" w:rsidRPr="001043A6">
              <w:rPr>
                <w:rFonts w:ascii="Garamond" w:hAnsi="Garamond"/>
                <w:sz w:val="22"/>
                <w:szCs w:val="22"/>
                <w:highlight w:val="yellow"/>
              </w:rPr>
              <w:t xml:space="preserve"> с требованиями </w:t>
            </w:r>
            <w:r w:rsidR="00712F45" w:rsidRPr="001043A6">
              <w:rPr>
                <w:rFonts w:ascii="Garamond" w:hAnsi="Garamond"/>
                <w:sz w:val="22"/>
                <w:szCs w:val="22"/>
                <w:highlight w:val="yellow"/>
              </w:rPr>
              <w:t xml:space="preserve">Правил предоставления доступа к минимальному набору функций интеллектуальных систем учета </w:t>
            </w:r>
            <w:r w:rsidR="00F90A3A" w:rsidRPr="001043A6">
              <w:rPr>
                <w:rFonts w:ascii="Garamond" w:hAnsi="Garamond"/>
                <w:sz w:val="22"/>
                <w:szCs w:val="22"/>
                <w:highlight w:val="yellow"/>
              </w:rPr>
              <w:t>и электронной подписью субъекта оптового рынка (заявителя)</w:t>
            </w:r>
            <w:r w:rsidR="00B552A1" w:rsidRPr="001043A6">
              <w:rPr>
                <w:rFonts w:ascii="Garamond" w:hAnsi="Garamond"/>
                <w:sz w:val="22"/>
                <w:szCs w:val="22"/>
                <w:highlight w:val="yellow"/>
              </w:rPr>
              <w:t>;</w:t>
            </w:r>
          </w:p>
          <w:p w14:paraId="77A21B0F" w14:textId="069166B7" w:rsidR="00712F45" w:rsidRPr="001043A6" w:rsidRDefault="009B5F03" w:rsidP="00327BE4">
            <w:pPr>
              <w:widowControl w:val="0"/>
              <w:spacing w:line="259" w:lineRule="auto"/>
              <w:ind w:firstLine="486"/>
              <w:jc w:val="both"/>
              <w:rPr>
                <w:rFonts w:ascii="Garamond" w:hAnsi="Garamond"/>
                <w:sz w:val="22"/>
                <w:szCs w:val="22"/>
                <w:highlight w:val="yellow"/>
              </w:rPr>
            </w:pPr>
            <w:r>
              <w:rPr>
                <w:rFonts w:ascii="Garamond" w:hAnsi="Garamond"/>
                <w:sz w:val="22"/>
                <w:szCs w:val="22"/>
                <w:highlight w:val="yellow"/>
              </w:rPr>
              <w:t xml:space="preserve">– </w:t>
            </w:r>
            <w:r w:rsidR="00B552A1" w:rsidRPr="001043A6">
              <w:rPr>
                <w:rFonts w:ascii="Garamond" w:hAnsi="Garamond"/>
                <w:sz w:val="22"/>
                <w:szCs w:val="22"/>
                <w:highlight w:val="yellow"/>
                <w:lang w:val="en-US"/>
              </w:rPr>
              <w:t>xml</w:t>
            </w:r>
            <w:r w:rsidR="00B552A1" w:rsidRPr="001043A6">
              <w:rPr>
                <w:rFonts w:ascii="Garamond" w:hAnsi="Garamond"/>
                <w:sz w:val="22"/>
                <w:szCs w:val="22"/>
                <w:highlight w:val="yellow"/>
              </w:rPr>
              <w:t>-макет 20000</w:t>
            </w:r>
            <w:r>
              <w:rPr>
                <w:rFonts w:ascii="Garamond" w:hAnsi="Garamond"/>
                <w:sz w:val="22"/>
                <w:szCs w:val="22"/>
                <w:highlight w:val="yellow"/>
              </w:rPr>
              <w:t xml:space="preserve"> – </w:t>
            </w:r>
            <w:r w:rsidR="00B552A1" w:rsidRPr="001043A6">
              <w:rPr>
                <w:rFonts w:ascii="Garamond" w:hAnsi="Garamond"/>
                <w:sz w:val="22"/>
                <w:szCs w:val="22"/>
                <w:highlight w:val="yellow"/>
              </w:rPr>
              <w:t>квалифицированной электронной подписью сетевой организации в соответствии с требованиями Основных положени</w:t>
            </w:r>
            <w:r w:rsidR="00C828B7" w:rsidRPr="001043A6">
              <w:rPr>
                <w:rFonts w:ascii="Garamond" w:hAnsi="Garamond"/>
                <w:sz w:val="22"/>
                <w:szCs w:val="22"/>
                <w:highlight w:val="yellow"/>
              </w:rPr>
              <w:t>й</w:t>
            </w:r>
            <w:r w:rsidR="00B552A1" w:rsidRPr="001043A6">
              <w:rPr>
                <w:rFonts w:ascii="Garamond" w:hAnsi="Garamond"/>
                <w:sz w:val="22"/>
                <w:szCs w:val="22"/>
                <w:highlight w:val="yellow"/>
              </w:rPr>
              <w:t xml:space="preserve"> функционирования розничных рынков</w:t>
            </w:r>
            <w:r w:rsidR="00D5405E" w:rsidRPr="001043A6">
              <w:rPr>
                <w:rFonts w:ascii="Garamond" w:hAnsi="Garamond"/>
                <w:sz w:val="22"/>
                <w:szCs w:val="22"/>
                <w:highlight w:val="yellow"/>
              </w:rPr>
              <w:t xml:space="preserve"> и электронной подписью субъекта оптового рынка (</w:t>
            </w:r>
            <w:r w:rsidR="00D5405E" w:rsidRPr="00830E35">
              <w:rPr>
                <w:rFonts w:ascii="Garamond" w:hAnsi="Garamond"/>
                <w:sz w:val="22"/>
                <w:szCs w:val="22"/>
                <w:highlight w:val="yellow"/>
              </w:rPr>
              <w:t>заявителя)</w:t>
            </w:r>
            <w:r w:rsidR="006C5EC2" w:rsidRPr="00830E35">
              <w:rPr>
                <w:rFonts w:ascii="Garamond" w:hAnsi="Garamond"/>
                <w:sz w:val="22"/>
                <w:szCs w:val="22"/>
                <w:highlight w:val="yellow"/>
              </w:rPr>
              <w:t xml:space="preserve"> к отчету в отношении допущенного в эксплуатацию прибора учета электрической энергии</w:t>
            </w:r>
            <w:r w:rsidR="00B552A1" w:rsidRPr="00830E35">
              <w:rPr>
                <w:rFonts w:ascii="Garamond" w:hAnsi="Garamond"/>
                <w:sz w:val="22"/>
                <w:szCs w:val="22"/>
                <w:highlight w:val="yellow"/>
              </w:rPr>
              <w:t>.</w:t>
            </w:r>
          </w:p>
        </w:tc>
      </w:tr>
      <w:tr w:rsidR="00E11B82" w:rsidRPr="001043A6" w14:paraId="38657DD4" w14:textId="77777777" w:rsidTr="001043A6">
        <w:tc>
          <w:tcPr>
            <w:tcW w:w="1031" w:type="dxa"/>
          </w:tcPr>
          <w:p w14:paraId="711DF26B" w14:textId="77777777" w:rsidR="00E11B82" w:rsidRPr="001043A6" w:rsidRDefault="00E11B82" w:rsidP="00E11B82">
            <w:pPr>
              <w:widowControl w:val="0"/>
              <w:spacing w:line="259" w:lineRule="auto"/>
              <w:jc w:val="center"/>
              <w:rPr>
                <w:rFonts w:ascii="Garamond" w:hAnsi="Garamond"/>
                <w:b/>
                <w:sz w:val="22"/>
                <w:szCs w:val="22"/>
                <w:lang w:eastAsia="en-US"/>
              </w:rPr>
            </w:pPr>
            <w:r w:rsidRPr="001043A6">
              <w:rPr>
                <w:rFonts w:ascii="Garamond" w:hAnsi="Garamond"/>
                <w:b/>
                <w:sz w:val="22"/>
                <w:szCs w:val="22"/>
                <w:lang w:eastAsia="en-US"/>
              </w:rPr>
              <w:lastRenderedPageBreak/>
              <w:t>Раздел 2</w:t>
            </w:r>
          </w:p>
        </w:tc>
        <w:tc>
          <w:tcPr>
            <w:tcW w:w="6833" w:type="dxa"/>
          </w:tcPr>
          <w:p w14:paraId="24E9F180" w14:textId="77777777" w:rsidR="00E11B82" w:rsidRPr="001043A6" w:rsidRDefault="00E11B82" w:rsidP="00E11B82">
            <w:pPr>
              <w:widowControl w:val="0"/>
              <w:spacing w:line="259" w:lineRule="auto"/>
              <w:ind w:firstLine="486"/>
              <w:jc w:val="both"/>
              <w:rPr>
                <w:rFonts w:ascii="Garamond" w:hAnsi="Garamond"/>
                <w:sz w:val="22"/>
                <w:szCs w:val="22"/>
                <w:lang w:eastAsia="en-US"/>
              </w:rPr>
            </w:pPr>
            <w:r w:rsidRPr="001043A6">
              <w:rPr>
                <w:rFonts w:ascii="Garamond" w:hAnsi="Garamond"/>
                <w:sz w:val="22"/>
                <w:szCs w:val="22"/>
                <w:lang w:eastAsia="en-US"/>
              </w:rPr>
              <w:t xml:space="preserve">2. ОБЩИЕ ТРЕБОВАНИЯ К </w:t>
            </w:r>
            <w:r w:rsidRPr="001043A6">
              <w:rPr>
                <w:rFonts w:ascii="Garamond" w:hAnsi="Garamond"/>
                <w:sz w:val="22"/>
                <w:szCs w:val="22"/>
                <w:highlight w:val="yellow"/>
                <w:lang w:eastAsia="en-US"/>
              </w:rPr>
              <w:t>АИИС КУЭ</w:t>
            </w:r>
          </w:p>
        </w:tc>
        <w:tc>
          <w:tcPr>
            <w:tcW w:w="7115" w:type="dxa"/>
          </w:tcPr>
          <w:p w14:paraId="3DE29471" w14:textId="77777777" w:rsidR="00E11B82" w:rsidRPr="001043A6" w:rsidRDefault="00E11B82" w:rsidP="00E11B82">
            <w:pPr>
              <w:widowControl w:val="0"/>
              <w:spacing w:line="259" w:lineRule="auto"/>
              <w:ind w:firstLine="486"/>
              <w:jc w:val="both"/>
              <w:rPr>
                <w:rFonts w:ascii="Garamond" w:hAnsi="Garamond"/>
                <w:sz w:val="22"/>
                <w:szCs w:val="22"/>
                <w:lang w:eastAsia="en-US"/>
              </w:rPr>
            </w:pPr>
            <w:r w:rsidRPr="001043A6">
              <w:rPr>
                <w:rFonts w:ascii="Garamond" w:hAnsi="Garamond"/>
                <w:sz w:val="22"/>
                <w:szCs w:val="22"/>
                <w:lang w:eastAsia="en-US"/>
              </w:rPr>
              <w:t xml:space="preserve">2. ОБЩИЕ ТРЕБОВАНИЯ К </w:t>
            </w:r>
            <w:r w:rsidRPr="001043A6">
              <w:rPr>
                <w:rFonts w:ascii="Garamond" w:hAnsi="Garamond"/>
                <w:sz w:val="22"/>
                <w:szCs w:val="22"/>
                <w:highlight w:val="yellow"/>
                <w:lang w:eastAsia="en-US"/>
              </w:rPr>
              <w:t>СИСТЕМАМ УЧЕТА ЭЛЕКТРОЭНЕРГИИ</w:t>
            </w:r>
          </w:p>
        </w:tc>
      </w:tr>
      <w:tr w:rsidR="00E11B82" w:rsidRPr="001043A6" w14:paraId="2E928B70" w14:textId="77777777" w:rsidTr="001043A6">
        <w:tc>
          <w:tcPr>
            <w:tcW w:w="1031" w:type="dxa"/>
          </w:tcPr>
          <w:p w14:paraId="2899127F" w14:textId="77777777" w:rsidR="00E11B82" w:rsidRPr="001043A6" w:rsidRDefault="00E11B82" w:rsidP="00E11B82">
            <w:pPr>
              <w:widowControl w:val="0"/>
              <w:spacing w:line="259" w:lineRule="auto"/>
              <w:jc w:val="center"/>
              <w:rPr>
                <w:rFonts w:ascii="Garamond" w:hAnsi="Garamond"/>
                <w:b/>
                <w:sz w:val="22"/>
                <w:szCs w:val="22"/>
                <w:lang w:eastAsia="en-US"/>
              </w:rPr>
            </w:pPr>
            <w:r w:rsidRPr="001043A6">
              <w:rPr>
                <w:rFonts w:ascii="Garamond" w:hAnsi="Garamond"/>
                <w:b/>
                <w:sz w:val="22"/>
                <w:szCs w:val="22"/>
                <w:lang w:eastAsia="en-US"/>
              </w:rPr>
              <w:t>2.1</w:t>
            </w:r>
          </w:p>
        </w:tc>
        <w:tc>
          <w:tcPr>
            <w:tcW w:w="6833" w:type="dxa"/>
          </w:tcPr>
          <w:p w14:paraId="13675BDF" w14:textId="77777777" w:rsidR="00E11B82" w:rsidRPr="001043A6" w:rsidRDefault="00E11B82" w:rsidP="00E11B82">
            <w:pPr>
              <w:widowControl w:val="0"/>
              <w:spacing w:line="259" w:lineRule="auto"/>
              <w:ind w:firstLine="486"/>
              <w:jc w:val="both"/>
              <w:rPr>
                <w:rFonts w:ascii="Garamond" w:hAnsi="Garamond"/>
                <w:sz w:val="22"/>
                <w:szCs w:val="22"/>
                <w:lang w:eastAsia="en-US"/>
              </w:rPr>
            </w:pPr>
            <w:r w:rsidRPr="001043A6">
              <w:rPr>
                <w:rFonts w:ascii="Garamond" w:hAnsi="Garamond"/>
                <w:sz w:val="22"/>
                <w:szCs w:val="22"/>
                <w:lang w:eastAsia="en-US"/>
              </w:rPr>
              <w:t>2.1.</w:t>
            </w:r>
            <w:r w:rsidRPr="001043A6">
              <w:rPr>
                <w:rFonts w:ascii="Garamond" w:hAnsi="Garamond"/>
                <w:sz w:val="22"/>
                <w:szCs w:val="22"/>
                <w:lang w:eastAsia="en-US"/>
              </w:rPr>
              <w:tab/>
            </w:r>
            <w:r w:rsidRPr="001043A6">
              <w:rPr>
                <w:rFonts w:ascii="Garamond" w:hAnsi="Garamond"/>
                <w:sz w:val="22"/>
                <w:szCs w:val="22"/>
                <w:highlight w:val="yellow"/>
                <w:lang w:eastAsia="en-US"/>
              </w:rPr>
              <w:t>АИИС КУЭ</w:t>
            </w:r>
            <w:r w:rsidRPr="001043A6">
              <w:rPr>
                <w:rFonts w:ascii="Garamond" w:hAnsi="Garamond"/>
                <w:sz w:val="22"/>
                <w:szCs w:val="22"/>
                <w:lang w:eastAsia="en-US"/>
              </w:rPr>
              <w:t xml:space="preserve"> должна выполнять следующие функции:</w:t>
            </w:r>
          </w:p>
          <w:p w14:paraId="7F3C234B" w14:textId="77777777" w:rsidR="00E11B82" w:rsidRPr="001043A6" w:rsidRDefault="00E11B82" w:rsidP="00E11B82">
            <w:pPr>
              <w:widowControl w:val="0"/>
              <w:spacing w:line="259" w:lineRule="auto"/>
              <w:ind w:firstLine="486"/>
              <w:jc w:val="both"/>
              <w:rPr>
                <w:rFonts w:ascii="Garamond" w:hAnsi="Garamond"/>
                <w:sz w:val="22"/>
                <w:szCs w:val="22"/>
                <w:lang w:eastAsia="en-US"/>
              </w:rPr>
            </w:pPr>
            <w:r w:rsidRPr="001043A6">
              <w:rPr>
                <w:rFonts w:ascii="Garamond" w:hAnsi="Garamond"/>
                <w:sz w:val="22"/>
                <w:szCs w:val="22"/>
                <w:lang w:eastAsia="en-US"/>
              </w:rPr>
              <w:t>2.1.1.</w:t>
            </w:r>
            <w:r w:rsidRPr="001043A6">
              <w:rPr>
                <w:rFonts w:ascii="Garamond" w:hAnsi="Garamond"/>
                <w:sz w:val="22"/>
                <w:szCs w:val="22"/>
                <w:lang w:eastAsia="en-US"/>
              </w:rPr>
              <w:tab/>
              <w:t xml:space="preserve">измерение количества активной и реактивной </w:t>
            </w:r>
            <w:r w:rsidRPr="001043A6">
              <w:rPr>
                <w:rFonts w:ascii="Garamond" w:hAnsi="Garamond"/>
                <w:sz w:val="22"/>
                <w:szCs w:val="22"/>
                <w:highlight w:val="yellow"/>
                <w:lang w:eastAsia="en-US"/>
              </w:rPr>
              <w:t>электрической энергии</w:t>
            </w:r>
            <w:r w:rsidRPr="001043A6">
              <w:rPr>
                <w:rFonts w:ascii="Garamond" w:hAnsi="Garamond"/>
                <w:sz w:val="22"/>
                <w:szCs w:val="22"/>
                <w:lang w:eastAsia="en-US"/>
              </w:rPr>
              <w:t xml:space="preserve"> с дискретностью 30 минут (30-минутные приращения электроэнергии) и нарастающим итогом на начало расчетного периода (далее – результаты измерений)</w:t>
            </w:r>
            <w:r w:rsidRPr="001043A6">
              <w:rPr>
                <w:rFonts w:ascii="Garamond" w:hAnsi="Garamond"/>
                <w:sz w:val="22"/>
                <w:szCs w:val="22"/>
                <w:highlight w:val="yellow"/>
                <w:lang w:eastAsia="en-US"/>
              </w:rPr>
              <w:t>, используемое для формирования данных коммерческого учета</w:t>
            </w:r>
            <w:r w:rsidRPr="001043A6">
              <w:rPr>
                <w:rFonts w:ascii="Garamond" w:hAnsi="Garamond"/>
                <w:sz w:val="22"/>
                <w:szCs w:val="22"/>
                <w:lang w:eastAsia="en-US"/>
              </w:rPr>
              <w:t xml:space="preserve">; </w:t>
            </w:r>
          </w:p>
          <w:p w14:paraId="4122F7AC" w14:textId="77777777" w:rsidR="00E11B82" w:rsidRPr="001043A6" w:rsidRDefault="00E11B82" w:rsidP="00E11B82">
            <w:pPr>
              <w:widowControl w:val="0"/>
              <w:spacing w:line="259" w:lineRule="auto"/>
              <w:ind w:firstLine="486"/>
              <w:jc w:val="both"/>
              <w:rPr>
                <w:rFonts w:ascii="Garamond" w:hAnsi="Garamond"/>
                <w:sz w:val="22"/>
                <w:szCs w:val="22"/>
                <w:lang w:eastAsia="en-US"/>
              </w:rPr>
            </w:pPr>
            <w:r w:rsidRPr="001043A6">
              <w:rPr>
                <w:rFonts w:ascii="Garamond" w:hAnsi="Garamond"/>
                <w:sz w:val="22"/>
                <w:szCs w:val="22"/>
                <w:lang w:eastAsia="en-US"/>
              </w:rPr>
              <w:t>2.1.2.</w:t>
            </w:r>
            <w:r w:rsidRPr="001043A6">
              <w:rPr>
                <w:rFonts w:ascii="Garamond" w:hAnsi="Garamond"/>
                <w:sz w:val="22"/>
                <w:szCs w:val="22"/>
                <w:lang w:eastAsia="en-US"/>
              </w:rPr>
              <w:tab/>
              <w:t xml:space="preserve">формирование данных о состоянии средств измерений («Журналы событий») </w:t>
            </w:r>
            <w:r w:rsidRPr="001043A6">
              <w:rPr>
                <w:rFonts w:ascii="Garamond" w:hAnsi="Garamond"/>
                <w:sz w:val="22"/>
                <w:szCs w:val="22"/>
                <w:highlight w:val="yellow"/>
                <w:lang w:eastAsia="en-US"/>
              </w:rPr>
              <w:t xml:space="preserve">и в случае использования для расчета значений учетных показателей данных о вариантах схем электроснабжения и (или) о положении коммутационной аппаратуры предоставление в КО данных о состоянии объектов измерений (далее – данные о состоянии средств и </w:t>
            </w:r>
            <w:r w:rsidRPr="001043A6">
              <w:rPr>
                <w:rFonts w:ascii="Garamond" w:hAnsi="Garamond"/>
                <w:sz w:val="22"/>
                <w:szCs w:val="22"/>
                <w:highlight w:val="yellow"/>
                <w:lang w:eastAsia="en-US"/>
              </w:rPr>
              <w:lastRenderedPageBreak/>
              <w:t>объектов измерений)</w:t>
            </w:r>
            <w:r w:rsidRPr="001043A6">
              <w:rPr>
                <w:rFonts w:ascii="Garamond" w:hAnsi="Garamond"/>
                <w:sz w:val="22"/>
                <w:szCs w:val="22"/>
                <w:lang w:eastAsia="en-US"/>
              </w:rPr>
              <w:t xml:space="preserve">; </w:t>
            </w:r>
          </w:p>
          <w:p w14:paraId="75844C09" w14:textId="77777777" w:rsidR="00E11B82" w:rsidRPr="001043A6" w:rsidRDefault="00E11B82" w:rsidP="00E11B82">
            <w:pPr>
              <w:widowControl w:val="0"/>
              <w:spacing w:line="259" w:lineRule="auto"/>
              <w:ind w:firstLine="486"/>
              <w:jc w:val="both"/>
              <w:rPr>
                <w:rFonts w:ascii="Garamond" w:hAnsi="Garamond"/>
                <w:sz w:val="22"/>
                <w:szCs w:val="22"/>
                <w:lang w:eastAsia="en-US"/>
              </w:rPr>
            </w:pPr>
            <w:r w:rsidRPr="001043A6">
              <w:rPr>
                <w:rFonts w:ascii="Garamond" w:hAnsi="Garamond"/>
                <w:sz w:val="22"/>
                <w:szCs w:val="22"/>
                <w:highlight w:val="yellow"/>
                <w:lang w:eastAsia="en-US"/>
              </w:rPr>
              <w:t>2.1.3.</w:t>
            </w:r>
            <w:r w:rsidRPr="001043A6">
              <w:rPr>
                <w:rFonts w:ascii="Garamond" w:hAnsi="Garamond"/>
                <w:sz w:val="22"/>
                <w:szCs w:val="22"/>
                <w:lang w:eastAsia="en-US"/>
              </w:rPr>
              <w:tab/>
              <w:t xml:space="preserve">ведение единого времени при выполнении измерений количества активной и реактивной </w:t>
            </w:r>
            <w:r w:rsidRPr="001043A6">
              <w:rPr>
                <w:rFonts w:ascii="Garamond" w:hAnsi="Garamond"/>
                <w:sz w:val="22"/>
                <w:szCs w:val="22"/>
                <w:highlight w:val="yellow"/>
                <w:lang w:eastAsia="en-US"/>
              </w:rPr>
              <w:t>электрической энергии</w:t>
            </w:r>
            <w:r w:rsidRPr="001043A6">
              <w:rPr>
                <w:rFonts w:ascii="Garamond" w:hAnsi="Garamond"/>
                <w:sz w:val="22"/>
                <w:szCs w:val="22"/>
                <w:lang w:eastAsia="en-US"/>
              </w:rPr>
              <w:t xml:space="preserve"> и формировани</w:t>
            </w:r>
            <w:r w:rsidRPr="009767E2">
              <w:rPr>
                <w:rFonts w:ascii="Garamond" w:hAnsi="Garamond"/>
                <w:sz w:val="22"/>
                <w:szCs w:val="22"/>
                <w:highlight w:val="yellow"/>
                <w:lang w:eastAsia="en-US"/>
              </w:rPr>
              <w:t>я</w:t>
            </w:r>
            <w:r w:rsidRPr="001043A6">
              <w:rPr>
                <w:rFonts w:ascii="Garamond" w:hAnsi="Garamond"/>
                <w:sz w:val="22"/>
                <w:szCs w:val="22"/>
                <w:lang w:eastAsia="en-US"/>
              </w:rPr>
              <w:t xml:space="preserve"> данных о состоянии средств </w:t>
            </w:r>
            <w:r w:rsidRPr="001043A6">
              <w:rPr>
                <w:rFonts w:ascii="Garamond" w:hAnsi="Garamond"/>
                <w:sz w:val="22"/>
                <w:szCs w:val="22"/>
                <w:highlight w:val="yellow"/>
                <w:lang w:eastAsia="en-US"/>
              </w:rPr>
              <w:t>и объектов</w:t>
            </w:r>
            <w:r w:rsidRPr="001043A6">
              <w:rPr>
                <w:rFonts w:ascii="Garamond" w:hAnsi="Garamond"/>
                <w:sz w:val="22"/>
                <w:szCs w:val="22"/>
                <w:lang w:eastAsia="en-US"/>
              </w:rPr>
              <w:t xml:space="preserve"> измерений; </w:t>
            </w:r>
          </w:p>
          <w:p w14:paraId="6F65EB34" w14:textId="77777777" w:rsidR="00E11B82" w:rsidRPr="001043A6" w:rsidRDefault="00E11B82" w:rsidP="00E11B82">
            <w:pPr>
              <w:widowControl w:val="0"/>
              <w:spacing w:line="259" w:lineRule="auto"/>
              <w:ind w:firstLine="486"/>
              <w:jc w:val="both"/>
              <w:rPr>
                <w:rFonts w:ascii="Garamond" w:hAnsi="Garamond"/>
                <w:sz w:val="22"/>
                <w:szCs w:val="22"/>
                <w:lang w:eastAsia="en-US"/>
              </w:rPr>
            </w:pPr>
            <w:r w:rsidRPr="001043A6">
              <w:rPr>
                <w:rFonts w:ascii="Garamond" w:hAnsi="Garamond"/>
                <w:sz w:val="22"/>
                <w:szCs w:val="22"/>
                <w:highlight w:val="yellow"/>
                <w:lang w:eastAsia="en-US"/>
              </w:rPr>
              <w:t>2.1.4.</w:t>
            </w:r>
            <w:r w:rsidRPr="001043A6">
              <w:rPr>
                <w:rFonts w:ascii="Garamond" w:hAnsi="Garamond"/>
                <w:sz w:val="22"/>
                <w:szCs w:val="22"/>
                <w:lang w:eastAsia="en-US"/>
              </w:rPr>
              <w:tab/>
              <w:t xml:space="preserve">периодический (1 раз в сутки) и (или) по запросу автоматический сбор результатов измерений </w:t>
            </w:r>
            <w:r w:rsidRPr="001043A6">
              <w:rPr>
                <w:rFonts w:ascii="Garamond" w:hAnsi="Garamond"/>
                <w:sz w:val="22"/>
                <w:szCs w:val="22"/>
                <w:highlight w:val="yellow"/>
                <w:lang w:eastAsia="en-US"/>
              </w:rPr>
              <w:t>электрической энергии</w:t>
            </w:r>
            <w:r w:rsidRPr="001043A6">
              <w:rPr>
                <w:rFonts w:ascii="Garamond" w:hAnsi="Garamond"/>
                <w:sz w:val="22"/>
                <w:szCs w:val="22"/>
                <w:lang w:eastAsia="en-US"/>
              </w:rPr>
              <w:t xml:space="preserve"> и данных о состоянии средств </w:t>
            </w:r>
            <w:r w:rsidRPr="001043A6">
              <w:rPr>
                <w:rFonts w:ascii="Garamond" w:hAnsi="Garamond"/>
                <w:sz w:val="22"/>
                <w:szCs w:val="22"/>
                <w:highlight w:val="yellow"/>
                <w:lang w:eastAsia="en-US"/>
              </w:rPr>
              <w:t>и объектов</w:t>
            </w:r>
            <w:r w:rsidRPr="001043A6">
              <w:rPr>
                <w:rFonts w:ascii="Garamond" w:hAnsi="Garamond"/>
                <w:sz w:val="22"/>
                <w:szCs w:val="22"/>
                <w:lang w:eastAsia="en-US"/>
              </w:rPr>
              <w:t xml:space="preserve"> измерений; </w:t>
            </w:r>
          </w:p>
          <w:p w14:paraId="33FD267F" w14:textId="77777777" w:rsidR="00E11B82" w:rsidRPr="001043A6" w:rsidRDefault="00E11B82" w:rsidP="00E11B82">
            <w:pPr>
              <w:widowControl w:val="0"/>
              <w:spacing w:line="259" w:lineRule="auto"/>
              <w:ind w:firstLine="486"/>
              <w:jc w:val="both"/>
              <w:rPr>
                <w:rFonts w:ascii="Garamond" w:hAnsi="Garamond"/>
                <w:sz w:val="22"/>
                <w:szCs w:val="22"/>
                <w:lang w:eastAsia="en-US"/>
              </w:rPr>
            </w:pPr>
            <w:r w:rsidRPr="001043A6">
              <w:rPr>
                <w:rFonts w:ascii="Garamond" w:hAnsi="Garamond"/>
                <w:sz w:val="22"/>
                <w:szCs w:val="22"/>
                <w:highlight w:val="yellow"/>
                <w:lang w:eastAsia="en-US"/>
              </w:rPr>
              <w:t>2.1.5.</w:t>
            </w:r>
            <w:r w:rsidRPr="001043A6">
              <w:rPr>
                <w:rFonts w:ascii="Garamond" w:hAnsi="Garamond"/>
                <w:sz w:val="22"/>
                <w:szCs w:val="22"/>
                <w:lang w:eastAsia="en-US"/>
              </w:rPr>
              <w:tab/>
              <w:t>хранение не менее 3</w:t>
            </w:r>
            <w:r w:rsidRPr="001043A6">
              <w:rPr>
                <w:rFonts w:ascii="Garamond" w:hAnsi="Garamond"/>
                <w:sz w:val="22"/>
                <w:szCs w:val="22"/>
                <w:highlight w:val="yellow"/>
                <w:lang w:eastAsia="en-US"/>
              </w:rPr>
              <w:t>,5</w:t>
            </w:r>
            <w:r w:rsidRPr="001043A6">
              <w:rPr>
                <w:rFonts w:ascii="Garamond" w:hAnsi="Garamond"/>
                <w:sz w:val="22"/>
                <w:szCs w:val="22"/>
                <w:lang w:eastAsia="en-US"/>
              </w:rPr>
              <w:t xml:space="preserve"> лет результатов измерений</w:t>
            </w:r>
            <w:r w:rsidRPr="001043A6">
              <w:rPr>
                <w:rFonts w:ascii="Garamond" w:hAnsi="Garamond"/>
                <w:sz w:val="22"/>
                <w:szCs w:val="22"/>
                <w:highlight w:val="yellow"/>
                <w:lang w:eastAsia="en-US"/>
              </w:rPr>
              <w:t>,</w:t>
            </w:r>
            <w:r w:rsidRPr="001043A6">
              <w:rPr>
                <w:rFonts w:ascii="Garamond" w:hAnsi="Garamond"/>
                <w:sz w:val="22"/>
                <w:szCs w:val="22"/>
                <w:lang w:eastAsia="en-US"/>
              </w:rPr>
              <w:t xml:space="preserve"> данных о состоянии средств </w:t>
            </w:r>
            <w:r w:rsidRPr="001043A6">
              <w:rPr>
                <w:rFonts w:ascii="Garamond" w:hAnsi="Garamond"/>
                <w:sz w:val="22"/>
                <w:szCs w:val="22"/>
                <w:highlight w:val="yellow"/>
                <w:lang w:eastAsia="en-US"/>
              </w:rPr>
              <w:t>и</w:t>
            </w:r>
            <w:r w:rsidRPr="001043A6">
              <w:rPr>
                <w:rFonts w:ascii="Garamond" w:hAnsi="Garamond"/>
                <w:sz w:val="22"/>
                <w:szCs w:val="22"/>
                <w:lang w:eastAsia="en-US"/>
              </w:rPr>
              <w:t xml:space="preserve"> объектов измерений;</w:t>
            </w:r>
          </w:p>
          <w:p w14:paraId="11BAB2AD" w14:textId="77777777" w:rsidR="00E11B82" w:rsidRPr="001043A6" w:rsidRDefault="00E11B82" w:rsidP="00E11B82">
            <w:pPr>
              <w:widowControl w:val="0"/>
              <w:spacing w:line="259" w:lineRule="auto"/>
              <w:ind w:firstLine="486"/>
              <w:jc w:val="both"/>
              <w:rPr>
                <w:rFonts w:ascii="Garamond" w:hAnsi="Garamond"/>
                <w:sz w:val="22"/>
                <w:szCs w:val="22"/>
                <w:lang w:eastAsia="en-US"/>
              </w:rPr>
            </w:pPr>
            <w:r w:rsidRPr="001043A6">
              <w:rPr>
                <w:rFonts w:ascii="Garamond" w:hAnsi="Garamond"/>
                <w:sz w:val="22"/>
                <w:szCs w:val="22"/>
                <w:highlight w:val="yellow"/>
                <w:lang w:eastAsia="en-US"/>
              </w:rPr>
              <w:t>2.1.6.</w:t>
            </w:r>
            <w:r w:rsidRPr="001043A6">
              <w:rPr>
                <w:rFonts w:ascii="Garamond" w:hAnsi="Garamond"/>
                <w:sz w:val="22"/>
                <w:szCs w:val="22"/>
                <w:highlight w:val="yellow"/>
                <w:lang w:eastAsia="en-US"/>
              </w:rPr>
              <w:tab/>
            </w:r>
            <w:r w:rsidRPr="001043A6">
              <w:rPr>
                <w:rFonts w:ascii="Garamond" w:hAnsi="Garamond"/>
                <w:sz w:val="22"/>
                <w:szCs w:val="22"/>
                <w:lang w:eastAsia="en-US"/>
              </w:rPr>
              <w:t xml:space="preserve">обработку, формирование и передачу результатов измерений и в случае использования для расчета значений учетных показателей данных о вариантах схем электроснабжения и (или) о положении коммутационной аппаратуры данных о состоянии объектов измерений в </w:t>
            </w:r>
            <w:r w:rsidRPr="001043A6">
              <w:rPr>
                <w:rFonts w:ascii="Garamond" w:hAnsi="Garamond"/>
                <w:sz w:val="22"/>
                <w:szCs w:val="22"/>
                <w:highlight w:val="yellow"/>
                <w:lang w:eastAsia="en-US"/>
              </w:rPr>
              <w:t>ХML-формате по электронной почте КО и внешним организациям с электронной подписью</w:t>
            </w:r>
            <w:r w:rsidRPr="001043A6">
              <w:rPr>
                <w:rFonts w:ascii="Garamond" w:hAnsi="Garamond"/>
                <w:sz w:val="22"/>
                <w:szCs w:val="22"/>
                <w:lang w:eastAsia="en-US"/>
              </w:rPr>
              <w:t>;</w:t>
            </w:r>
          </w:p>
          <w:p w14:paraId="426556D6" w14:textId="77777777" w:rsidR="00E11B82" w:rsidRPr="001043A6" w:rsidRDefault="00E11B82" w:rsidP="00E11B82">
            <w:pPr>
              <w:widowControl w:val="0"/>
              <w:spacing w:line="259" w:lineRule="auto"/>
              <w:ind w:firstLine="486"/>
              <w:jc w:val="both"/>
              <w:rPr>
                <w:rFonts w:ascii="Garamond" w:hAnsi="Garamond"/>
                <w:sz w:val="22"/>
                <w:szCs w:val="22"/>
                <w:lang w:eastAsia="en-US"/>
              </w:rPr>
            </w:pPr>
            <w:r w:rsidRPr="001043A6">
              <w:rPr>
                <w:rFonts w:ascii="Garamond" w:hAnsi="Garamond"/>
                <w:sz w:val="22"/>
                <w:szCs w:val="22"/>
                <w:highlight w:val="yellow"/>
                <w:lang w:eastAsia="en-US"/>
              </w:rPr>
              <w:t>2.1.7.</w:t>
            </w:r>
            <w:r w:rsidRPr="001043A6">
              <w:rPr>
                <w:rFonts w:ascii="Garamond" w:hAnsi="Garamond"/>
                <w:sz w:val="22"/>
                <w:szCs w:val="22"/>
                <w:lang w:eastAsia="en-US"/>
              </w:rPr>
              <w:tab/>
              <w:t>обеспечение защиты оборудования, программного обеспечения от несанкционированного доступа на физическом и программном уровне;</w:t>
            </w:r>
          </w:p>
          <w:p w14:paraId="44C12E3A" w14:textId="77777777" w:rsidR="00E11B82" w:rsidRPr="001043A6" w:rsidRDefault="00E11B82" w:rsidP="00E11B82">
            <w:pPr>
              <w:widowControl w:val="0"/>
              <w:spacing w:line="259" w:lineRule="auto"/>
              <w:ind w:firstLine="486"/>
              <w:jc w:val="both"/>
              <w:rPr>
                <w:rFonts w:ascii="Garamond" w:hAnsi="Garamond"/>
                <w:sz w:val="22"/>
                <w:szCs w:val="22"/>
                <w:lang w:eastAsia="en-US"/>
              </w:rPr>
            </w:pPr>
            <w:r w:rsidRPr="001043A6">
              <w:rPr>
                <w:rFonts w:ascii="Garamond" w:hAnsi="Garamond"/>
                <w:sz w:val="22"/>
                <w:szCs w:val="22"/>
                <w:highlight w:val="yellow"/>
                <w:lang w:eastAsia="en-US"/>
              </w:rPr>
              <w:t>2.1.8.</w:t>
            </w:r>
            <w:r w:rsidRPr="001043A6">
              <w:rPr>
                <w:rFonts w:ascii="Garamond" w:hAnsi="Garamond"/>
                <w:sz w:val="22"/>
                <w:szCs w:val="22"/>
                <w:lang w:eastAsia="en-US"/>
              </w:rPr>
              <w:tab/>
              <w:t xml:space="preserve">обеспечение по запросу КО дистанционного доступа к результатам измерений, данным о состоянии средств измерений </w:t>
            </w:r>
            <w:r w:rsidRPr="001043A6">
              <w:rPr>
                <w:rFonts w:ascii="Garamond" w:hAnsi="Garamond"/>
                <w:sz w:val="22"/>
                <w:szCs w:val="22"/>
                <w:highlight w:val="yellow"/>
                <w:lang w:eastAsia="en-US"/>
              </w:rPr>
              <w:t>и</w:t>
            </w:r>
            <w:r w:rsidRPr="001043A6">
              <w:rPr>
                <w:rFonts w:ascii="Garamond" w:hAnsi="Garamond"/>
                <w:sz w:val="22"/>
                <w:szCs w:val="22"/>
                <w:lang w:eastAsia="en-US"/>
              </w:rPr>
              <w:t xml:space="preserve"> в случае использования для расчета значений учетных показателей данных о вариантах схем электроснабжения и (или) о положении коммутационной аппаратуры </w:t>
            </w:r>
            <w:r w:rsidRPr="001043A6">
              <w:rPr>
                <w:rFonts w:ascii="Garamond" w:hAnsi="Garamond"/>
                <w:sz w:val="22"/>
                <w:szCs w:val="22"/>
                <w:highlight w:val="yellow"/>
                <w:lang w:eastAsia="en-US"/>
              </w:rPr>
              <w:t>объектов измерений</w:t>
            </w:r>
            <w:r w:rsidRPr="001043A6">
              <w:rPr>
                <w:rFonts w:ascii="Garamond" w:hAnsi="Garamond"/>
                <w:sz w:val="22"/>
                <w:szCs w:val="22"/>
                <w:lang w:eastAsia="en-US"/>
              </w:rPr>
              <w:t xml:space="preserve"> с сервера (АРМ</w:t>
            </w:r>
            <w:r w:rsidRPr="001043A6">
              <w:rPr>
                <w:rFonts w:ascii="Garamond" w:hAnsi="Garamond"/>
                <w:sz w:val="22"/>
                <w:szCs w:val="22"/>
                <w:highlight w:val="yellow"/>
                <w:lang w:eastAsia="en-US"/>
              </w:rPr>
              <w:t>а</w:t>
            </w:r>
            <w:r w:rsidRPr="001043A6">
              <w:rPr>
                <w:rFonts w:ascii="Garamond" w:hAnsi="Garamond"/>
                <w:sz w:val="22"/>
                <w:szCs w:val="22"/>
                <w:lang w:eastAsia="en-US"/>
              </w:rPr>
              <w:t xml:space="preserve">) ИВК АИИС КУЭ </w:t>
            </w:r>
            <w:r w:rsidRPr="001043A6">
              <w:rPr>
                <w:rFonts w:ascii="Garamond" w:hAnsi="Garamond"/>
                <w:sz w:val="22"/>
                <w:szCs w:val="22"/>
                <w:highlight w:val="yellow"/>
                <w:lang w:eastAsia="en-US"/>
              </w:rPr>
              <w:t>на</w:t>
            </w:r>
            <w:r w:rsidRPr="001043A6">
              <w:rPr>
                <w:rFonts w:ascii="Garamond" w:hAnsi="Garamond"/>
                <w:sz w:val="22"/>
                <w:szCs w:val="22"/>
                <w:lang w:eastAsia="en-US"/>
              </w:rPr>
              <w:t xml:space="preserve"> всех уровн</w:t>
            </w:r>
            <w:r w:rsidRPr="001043A6">
              <w:rPr>
                <w:rFonts w:ascii="Garamond" w:hAnsi="Garamond"/>
                <w:sz w:val="22"/>
                <w:szCs w:val="22"/>
                <w:highlight w:val="yellow"/>
                <w:lang w:eastAsia="en-US"/>
              </w:rPr>
              <w:t>ях АИИС КУЭ.</w:t>
            </w:r>
          </w:p>
        </w:tc>
        <w:tc>
          <w:tcPr>
            <w:tcW w:w="7115" w:type="dxa"/>
          </w:tcPr>
          <w:p w14:paraId="421742C8" w14:textId="77777777" w:rsidR="00E11B82" w:rsidRPr="001043A6" w:rsidRDefault="00E11B82" w:rsidP="00E11B82">
            <w:pPr>
              <w:widowControl w:val="0"/>
              <w:spacing w:line="259" w:lineRule="auto"/>
              <w:ind w:firstLine="486"/>
              <w:jc w:val="both"/>
              <w:rPr>
                <w:rFonts w:ascii="Garamond" w:hAnsi="Garamond"/>
                <w:sz w:val="22"/>
                <w:szCs w:val="22"/>
                <w:lang w:eastAsia="en-US"/>
              </w:rPr>
            </w:pPr>
            <w:r w:rsidRPr="001043A6">
              <w:rPr>
                <w:rFonts w:ascii="Garamond" w:hAnsi="Garamond"/>
                <w:sz w:val="22"/>
                <w:szCs w:val="22"/>
                <w:lang w:eastAsia="en-US"/>
              </w:rPr>
              <w:lastRenderedPageBreak/>
              <w:t>2.1.</w:t>
            </w:r>
            <w:r w:rsidRPr="001043A6">
              <w:rPr>
                <w:rFonts w:ascii="Garamond" w:hAnsi="Garamond"/>
                <w:sz w:val="22"/>
                <w:szCs w:val="22"/>
                <w:lang w:eastAsia="en-US"/>
              </w:rPr>
              <w:tab/>
            </w:r>
            <w:r w:rsidR="00D0621E" w:rsidRPr="001043A6">
              <w:rPr>
                <w:rFonts w:ascii="Garamond" w:hAnsi="Garamond"/>
                <w:sz w:val="22"/>
                <w:szCs w:val="22"/>
                <w:highlight w:val="yellow"/>
                <w:lang w:eastAsia="en-US"/>
              </w:rPr>
              <w:t>СУ</w:t>
            </w:r>
            <w:r w:rsidRPr="001043A6">
              <w:rPr>
                <w:rFonts w:ascii="Garamond" w:hAnsi="Garamond"/>
                <w:sz w:val="22"/>
                <w:szCs w:val="22"/>
                <w:lang w:eastAsia="en-US"/>
              </w:rPr>
              <w:t xml:space="preserve"> должна выполнять следующие </w:t>
            </w:r>
            <w:r w:rsidR="00CD51B5" w:rsidRPr="001043A6">
              <w:rPr>
                <w:rFonts w:ascii="Garamond" w:hAnsi="Garamond"/>
                <w:sz w:val="22"/>
                <w:szCs w:val="22"/>
                <w:highlight w:val="yellow"/>
                <w:lang w:eastAsia="en-US"/>
              </w:rPr>
              <w:t>основные</w:t>
            </w:r>
            <w:r w:rsidR="00CD51B5" w:rsidRPr="001043A6">
              <w:rPr>
                <w:rFonts w:ascii="Garamond" w:hAnsi="Garamond"/>
                <w:sz w:val="22"/>
                <w:szCs w:val="22"/>
                <w:lang w:eastAsia="en-US"/>
              </w:rPr>
              <w:t xml:space="preserve"> </w:t>
            </w:r>
            <w:r w:rsidRPr="001043A6">
              <w:rPr>
                <w:rFonts w:ascii="Garamond" w:hAnsi="Garamond"/>
                <w:sz w:val="22"/>
                <w:szCs w:val="22"/>
                <w:lang w:eastAsia="en-US"/>
              </w:rPr>
              <w:t>функции:</w:t>
            </w:r>
          </w:p>
          <w:p w14:paraId="1169D916" w14:textId="3B503560" w:rsidR="00E11B82" w:rsidRPr="001043A6" w:rsidRDefault="00E11B82" w:rsidP="00E11B82">
            <w:pPr>
              <w:widowControl w:val="0"/>
              <w:spacing w:line="259" w:lineRule="auto"/>
              <w:ind w:firstLine="486"/>
              <w:jc w:val="both"/>
              <w:rPr>
                <w:rFonts w:ascii="Garamond" w:hAnsi="Garamond"/>
                <w:sz w:val="22"/>
                <w:szCs w:val="22"/>
                <w:lang w:eastAsia="en-US"/>
              </w:rPr>
            </w:pPr>
            <w:r w:rsidRPr="001043A6">
              <w:rPr>
                <w:rFonts w:ascii="Garamond" w:hAnsi="Garamond"/>
                <w:sz w:val="22"/>
                <w:szCs w:val="22"/>
                <w:lang w:eastAsia="en-US"/>
              </w:rPr>
              <w:t>2.1.1.</w:t>
            </w:r>
            <w:r w:rsidRPr="001043A6">
              <w:rPr>
                <w:rFonts w:ascii="Garamond" w:hAnsi="Garamond"/>
                <w:sz w:val="22"/>
                <w:szCs w:val="22"/>
                <w:lang w:eastAsia="en-US"/>
              </w:rPr>
              <w:tab/>
              <w:t>измерение количества активной и реактивной</w:t>
            </w:r>
            <w:r w:rsidR="00716453" w:rsidRPr="001043A6">
              <w:rPr>
                <w:rFonts w:ascii="Garamond" w:hAnsi="Garamond"/>
                <w:sz w:val="22"/>
                <w:szCs w:val="22"/>
                <w:lang w:eastAsia="en-US"/>
              </w:rPr>
              <w:t xml:space="preserve"> </w:t>
            </w:r>
            <w:r w:rsidRPr="001043A6">
              <w:rPr>
                <w:rFonts w:ascii="Garamond" w:hAnsi="Garamond"/>
                <w:sz w:val="22"/>
                <w:szCs w:val="22"/>
                <w:highlight w:val="yellow"/>
                <w:lang w:eastAsia="en-US"/>
              </w:rPr>
              <w:t>электр</w:t>
            </w:r>
            <w:r w:rsidR="000A1A68" w:rsidRPr="001043A6">
              <w:rPr>
                <w:rFonts w:ascii="Garamond" w:hAnsi="Garamond"/>
                <w:sz w:val="22"/>
                <w:szCs w:val="22"/>
                <w:highlight w:val="yellow"/>
                <w:lang w:eastAsia="en-US"/>
              </w:rPr>
              <w:t>оэнергии</w:t>
            </w:r>
            <w:r w:rsidRPr="001043A6">
              <w:rPr>
                <w:rFonts w:ascii="Garamond" w:hAnsi="Garamond"/>
                <w:sz w:val="22"/>
                <w:szCs w:val="22"/>
                <w:lang w:eastAsia="en-US"/>
              </w:rPr>
              <w:t xml:space="preserve"> с дискретностью 30 минут (30-минутные приращения электроэнергии) и нарастающим итогом </w:t>
            </w:r>
            <w:r w:rsidR="008867A5" w:rsidRPr="001043A6">
              <w:rPr>
                <w:rFonts w:ascii="Garamond" w:hAnsi="Garamond"/>
                <w:sz w:val="22"/>
                <w:szCs w:val="22"/>
                <w:lang w:eastAsia="en-US"/>
              </w:rPr>
              <w:t>на</w:t>
            </w:r>
            <w:r w:rsidRPr="001043A6">
              <w:rPr>
                <w:rFonts w:ascii="Garamond" w:hAnsi="Garamond"/>
                <w:sz w:val="22"/>
                <w:szCs w:val="22"/>
                <w:lang w:eastAsia="en-US"/>
              </w:rPr>
              <w:t xml:space="preserve"> начал</w:t>
            </w:r>
            <w:r w:rsidR="008867A5" w:rsidRPr="001043A6">
              <w:rPr>
                <w:rFonts w:ascii="Garamond" w:hAnsi="Garamond"/>
                <w:sz w:val="22"/>
                <w:szCs w:val="22"/>
                <w:lang w:eastAsia="en-US"/>
              </w:rPr>
              <w:t>о</w:t>
            </w:r>
            <w:r w:rsidRPr="001043A6">
              <w:rPr>
                <w:rFonts w:ascii="Garamond" w:hAnsi="Garamond"/>
                <w:sz w:val="22"/>
                <w:szCs w:val="22"/>
                <w:lang w:eastAsia="en-US"/>
              </w:rPr>
              <w:t xml:space="preserve"> расчетного периода (далее – результаты измерений)</w:t>
            </w:r>
            <w:r w:rsidR="00716453" w:rsidRPr="001043A6">
              <w:rPr>
                <w:rFonts w:ascii="Garamond" w:hAnsi="Garamond"/>
                <w:sz w:val="22"/>
                <w:szCs w:val="22"/>
                <w:highlight w:val="yellow"/>
                <w:lang w:eastAsia="en-US"/>
              </w:rPr>
              <w:t xml:space="preserve">. </w:t>
            </w:r>
            <w:r w:rsidR="006C5EC2" w:rsidRPr="009767E2">
              <w:rPr>
                <w:rFonts w:ascii="Garamond" w:hAnsi="Garamond"/>
                <w:sz w:val="22"/>
                <w:szCs w:val="22"/>
                <w:highlight w:val="yellow"/>
              </w:rPr>
              <w:t xml:space="preserve">В </w:t>
            </w:r>
            <w:r w:rsidR="00B17782" w:rsidRPr="009767E2">
              <w:rPr>
                <w:rFonts w:ascii="Garamond" w:hAnsi="Garamond"/>
                <w:sz w:val="22"/>
                <w:szCs w:val="22"/>
                <w:highlight w:val="yellow"/>
              </w:rPr>
              <w:t xml:space="preserve">случае </w:t>
            </w:r>
            <w:r w:rsidR="006C5EC2" w:rsidRPr="009767E2">
              <w:rPr>
                <w:rFonts w:ascii="Garamond" w:hAnsi="Garamond"/>
                <w:sz w:val="22"/>
                <w:szCs w:val="22"/>
                <w:highlight w:val="yellow"/>
              </w:rPr>
              <w:t xml:space="preserve">отсутствия необходимости </w:t>
            </w:r>
            <w:r w:rsidR="00B17782" w:rsidRPr="009767E2">
              <w:rPr>
                <w:rFonts w:ascii="Garamond" w:hAnsi="Garamond"/>
                <w:sz w:val="22"/>
                <w:szCs w:val="22"/>
                <w:highlight w:val="yellow"/>
              </w:rPr>
              <w:t xml:space="preserve">кодирования </w:t>
            </w:r>
            <w:r w:rsidR="001D56E9" w:rsidRPr="009767E2">
              <w:rPr>
                <w:rFonts w:ascii="Garamond" w:hAnsi="Garamond"/>
                <w:sz w:val="22"/>
                <w:szCs w:val="22"/>
                <w:highlight w:val="yellow"/>
              </w:rPr>
              <w:t xml:space="preserve">измерительных </w:t>
            </w:r>
            <w:r w:rsidR="00B17782" w:rsidRPr="009767E2">
              <w:rPr>
                <w:rFonts w:ascii="Garamond" w:hAnsi="Garamond"/>
                <w:sz w:val="22"/>
                <w:szCs w:val="22"/>
                <w:highlight w:val="yellow"/>
              </w:rPr>
              <w:t xml:space="preserve">каналов </w:t>
            </w:r>
            <w:r w:rsidR="00716453" w:rsidRPr="009767E2">
              <w:rPr>
                <w:rFonts w:ascii="Garamond" w:hAnsi="Garamond"/>
                <w:sz w:val="22"/>
                <w:szCs w:val="22"/>
                <w:highlight w:val="yellow"/>
              </w:rPr>
              <w:t>реактивной электроэнергии</w:t>
            </w:r>
            <w:r w:rsidR="00A77AA4" w:rsidRPr="009767E2">
              <w:rPr>
                <w:rFonts w:ascii="Garamond" w:hAnsi="Garamond"/>
                <w:sz w:val="22"/>
                <w:szCs w:val="22"/>
                <w:highlight w:val="yellow"/>
              </w:rPr>
              <w:t xml:space="preserve"> приборов учета в составе АИИС КУЭ и (или) совокупности СИ и ТУ</w:t>
            </w:r>
            <w:r w:rsidR="009767E2">
              <w:rPr>
                <w:rFonts w:ascii="Garamond" w:hAnsi="Garamond"/>
                <w:sz w:val="22"/>
                <w:szCs w:val="22"/>
                <w:highlight w:val="yellow"/>
              </w:rPr>
              <w:t>,</w:t>
            </w:r>
            <w:r w:rsidR="00541CD1" w:rsidRPr="009767E2">
              <w:rPr>
                <w:rFonts w:ascii="Garamond" w:hAnsi="Garamond"/>
                <w:sz w:val="22"/>
                <w:szCs w:val="22"/>
                <w:highlight w:val="yellow"/>
              </w:rPr>
              <w:t xml:space="preserve"> наличие функции по </w:t>
            </w:r>
            <w:r w:rsidR="00541CD1" w:rsidRPr="009767E2">
              <w:rPr>
                <w:rFonts w:ascii="Garamond" w:hAnsi="Garamond"/>
                <w:sz w:val="22"/>
                <w:szCs w:val="22"/>
                <w:highlight w:val="yellow"/>
                <w:lang w:eastAsia="en-US"/>
              </w:rPr>
              <w:t>измерению реактивной электроэнергии не является обязательным</w:t>
            </w:r>
            <w:r w:rsidR="00B81A12" w:rsidRPr="001043A6">
              <w:rPr>
                <w:rFonts w:ascii="Garamond" w:hAnsi="Garamond"/>
                <w:sz w:val="22"/>
                <w:szCs w:val="22"/>
                <w:lang w:eastAsia="en-US"/>
              </w:rPr>
              <w:t>;</w:t>
            </w:r>
          </w:p>
          <w:p w14:paraId="24B9E015" w14:textId="77777777" w:rsidR="00E11B82" w:rsidRPr="001043A6" w:rsidRDefault="00E11B82" w:rsidP="00E11B82">
            <w:pPr>
              <w:widowControl w:val="0"/>
              <w:spacing w:line="259" w:lineRule="auto"/>
              <w:ind w:firstLine="486"/>
              <w:jc w:val="both"/>
              <w:rPr>
                <w:rFonts w:ascii="Garamond" w:hAnsi="Garamond"/>
                <w:sz w:val="22"/>
                <w:szCs w:val="22"/>
                <w:lang w:eastAsia="en-US"/>
              </w:rPr>
            </w:pPr>
            <w:r w:rsidRPr="001043A6">
              <w:rPr>
                <w:rFonts w:ascii="Garamond" w:hAnsi="Garamond"/>
                <w:sz w:val="22"/>
                <w:szCs w:val="22"/>
                <w:lang w:eastAsia="en-US"/>
              </w:rPr>
              <w:t>2.1.2.</w:t>
            </w:r>
            <w:r w:rsidRPr="001043A6">
              <w:rPr>
                <w:rFonts w:ascii="Garamond" w:hAnsi="Garamond"/>
                <w:sz w:val="22"/>
                <w:szCs w:val="22"/>
                <w:lang w:eastAsia="en-US"/>
              </w:rPr>
              <w:tab/>
              <w:t>формирование данных о состоянии средств измерений («Журналы событий»);</w:t>
            </w:r>
          </w:p>
          <w:p w14:paraId="09D65D39" w14:textId="1D9652DA" w:rsidR="00E11B82" w:rsidRPr="001043A6" w:rsidRDefault="00E11B82" w:rsidP="00E11B82">
            <w:pPr>
              <w:widowControl w:val="0"/>
              <w:spacing w:line="259" w:lineRule="auto"/>
              <w:ind w:firstLine="486"/>
              <w:jc w:val="both"/>
              <w:rPr>
                <w:rFonts w:ascii="Garamond" w:hAnsi="Garamond"/>
                <w:sz w:val="22"/>
                <w:szCs w:val="22"/>
                <w:lang w:eastAsia="en-US"/>
              </w:rPr>
            </w:pPr>
            <w:r w:rsidRPr="001043A6">
              <w:rPr>
                <w:rFonts w:ascii="Garamond" w:hAnsi="Garamond"/>
                <w:sz w:val="22"/>
                <w:szCs w:val="22"/>
                <w:highlight w:val="yellow"/>
                <w:lang w:eastAsia="en-US"/>
              </w:rPr>
              <w:t xml:space="preserve">2.1.3. в отношении АИИС КУЭ и совокупности СИ и ТУ в случае </w:t>
            </w:r>
            <w:r w:rsidRPr="001043A6">
              <w:rPr>
                <w:rFonts w:ascii="Garamond" w:hAnsi="Garamond"/>
                <w:sz w:val="22"/>
                <w:szCs w:val="22"/>
                <w:highlight w:val="yellow"/>
                <w:lang w:eastAsia="en-US"/>
              </w:rPr>
              <w:lastRenderedPageBreak/>
              <w:t>использования для расчета значений учетных показателей данных о вариантах схем электроснабжения и (или) о положении коммутационной аппаратуры</w:t>
            </w:r>
            <w:r w:rsidR="009B5F03">
              <w:rPr>
                <w:rFonts w:ascii="Garamond" w:hAnsi="Garamond"/>
                <w:sz w:val="22"/>
                <w:szCs w:val="22"/>
                <w:highlight w:val="yellow"/>
                <w:lang w:eastAsia="en-US"/>
              </w:rPr>
              <w:t xml:space="preserve"> – </w:t>
            </w:r>
            <w:r w:rsidRPr="001043A6">
              <w:rPr>
                <w:rFonts w:ascii="Garamond" w:hAnsi="Garamond"/>
                <w:sz w:val="22"/>
                <w:szCs w:val="22"/>
                <w:highlight w:val="yellow"/>
                <w:lang w:eastAsia="en-US"/>
              </w:rPr>
              <w:t>формирование данных о состоянии объектов измерений;</w:t>
            </w:r>
            <w:r w:rsidRPr="001043A6">
              <w:rPr>
                <w:rFonts w:ascii="Garamond" w:hAnsi="Garamond"/>
                <w:sz w:val="22"/>
                <w:szCs w:val="22"/>
                <w:lang w:eastAsia="en-US"/>
              </w:rPr>
              <w:t xml:space="preserve"> </w:t>
            </w:r>
          </w:p>
          <w:p w14:paraId="7FC31424" w14:textId="617C40A5" w:rsidR="00E11B82" w:rsidRPr="001043A6" w:rsidRDefault="00E11B82" w:rsidP="00E11B82">
            <w:pPr>
              <w:widowControl w:val="0"/>
              <w:spacing w:line="259" w:lineRule="auto"/>
              <w:ind w:firstLine="486"/>
              <w:jc w:val="both"/>
              <w:rPr>
                <w:rFonts w:ascii="Garamond" w:hAnsi="Garamond"/>
                <w:sz w:val="22"/>
                <w:szCs w:val="22"/>
                <w:lang w:eastAsia="en-US"/>
              </w:rPr>
            </w:pPr>
            <w:r w:rsidRPr="001043A6">
              <w:rPr>
                <w:rFonts w:ascii="Garamond" w:hAnsi="Garamond"/>
                <w:sz w:val="22"/>
                <w:szCs w:val="22"/>
                <w:highlight w:val="yellow"/>
                <w:lang w:eastAsia="en-US"/>
              </w:rPr>
              <w:t>2.1.</w:t>
            </w:r>
            <w:r w:rsidR="00C87638" w:rsidRPr="001043A6">
              <w:rPr>
                <w:rFonts w:ascii="Garamond" w:hAnsi="Garamond"/>
                <w:sz w:val="22"/>
                <w:szCs w:val="22"/>
                <w:highlight w:val="yellow"/>
                <w:lang w:eastAsia="en-US"/>
              </w:rPr>
              <w:t>4</w:t>
            </w:r>
            <w:r w:rsidRPr="001043A6">
              <w:rPr>
                <w:rFonts w:ascii="Garamond" w:hAnsi="Garamond"/>
                <w:sz w:val="22"/>
                <w:szCs w:val="22"/>
                <w:highlight w:val="yellow"/>
                <w:lang w:eastAsia="en-US"/>
              </w:rPr>
              <w:t>.</w:t>
            </w:r>
            <w:r w:rsidRPr="001043A6">
              <w:rPr>
                <w:rFonts w:ascii="Garamond" w:hAnsi="Garamond"/>
                <w:sz w:val="22"/>
                <w:szCs w:val="22"/>
                <w:highlight w:val="yellow"/>
                <w:lang w:eastAsia="en-US"/>
              </w:rPr>
              <w:tab/>
            </w:r>
            <w:r w:rsidRPr="001043A6">
              <w:rPr>
                <w:rFonts w:ascii="Garamond" w:hAnsi="Garamond"/>
                <w:sz w:val="22"/>
                <w:szCs w:val="22"/>
                <w:lang w:eastAsia="en-US"/>
              </w:rPr>
              <w:t xml:space="preserve">ведение единого времени при выполнении измерений количества активной и реактивной </w:t>
            </w:r>
            <w:r w:rsidR="000A1A68" w:rsidRPr="001043A6">
              <w:rPr>
                <w:rFonts w:ascii="Garamond" w:hAnsi="Garamond"/>
                <w:sz w:val="22"/>
                <w:szCs w:val="22"/>
                <w:highlight w:val="yellow"/>
                <w:lang w:eastAsia="en-US"/>
              </w:rPr>
              <w:t>электро</w:t>
            </w:r>
            <w:r w:rsidRPr="001043A6">
              <w:rPr>
                <w:rFonts w:ascii="Garamond" w:hAnsi="Garamond"/>
                <w:sz w:val="22"/>
                <w:szCs w:val="22"/>
                <w:highlight w:val="yellow"/>
                <w:lang w:eastAsia="en-US"/>
              </w:rPr>
              <w:t>энергии</w:t>
            </w:r>
            <w:r w:rsidRPr="001043A6">
              <w:rPr>
                <w:rFonts w:ascii="Garamond" w:hAnsi="Garamond"/>
                <w:sz w:val="22"/>
                <w:szCs w:val="22"/>
                <w:lang w:eastAsia="en-US"/>
              </w:rPr>
              <w:t xml:space="preserve"> и формировани</w:t>
            </w:r>
            <w:r w:rsidR="009767E2" w:rsidRPr="009767E2">
              <w:rPr>
                <w:rFonts w:ascii="Garamond" w:hAnsi="Garamond"/>
                <w:sz w:val="22"/>
                <w:szCs w:val="22"/>
                <w:highlight w:val="yellow"/>
                <w:lang w:eastAsia="en-US"/>
              </w:rPr>
              <w:t>е</w:t>
            </w:r>
            <w:r w:rsidRPr="001043A6">
              <w:rPr>
                <w:rFonts w:ascii="Garamond" w:hAnsi="Garamond"/>
                <w:sz w:val="22"/>
                <w:szCs w:val="22"/>
                <w:lang w:eastAsia="en-US"/>
              </w:rPr>
              <w:t xml:space="preserve"> данных о состоянии средств измерений </w:t>
            </w:r>
            <w:r w:rsidRPr="001043A6">
              <w:rPr>
                <w:rFonts w:ascii="Garamond" w:hAnsi="Garamond"/>
                <w:sz w:val="22"/>
                <w:szCs w:val="22"/>
                <w:highlight w:val="yellow"/>
                <w:lang w:eastAsia="en-US"/>
              </w:rPr>
              <w:t xml:space="preserve">(при этом в отношении совокупности СИ и ТУ и ИСУ не предъявляются требования </w:t>
            </w:r>
            <w:r w:rsidR="00CD51B5" w:rsidRPr="001043A6">
              <w:rPr>
                <w:rFonts w:ascii="Garamond" w:hAnsi="Garamond"/>
                <w:sz w:val="22"/>
                <w:szCs w:val="22"/>
                <w:highlight w:val="yellow"/>
                <w:lang w:eastAsia="en-US"/>
              </w:rPr>
              <w:t>о ведении единого времени с</w:t>
            </w:r>
            <w:r w:rsidR="009949FE" w:rsidRPr="001043A6">
              <w:rPr>
                <w:rFonts w:ascii="Garamond" w:hAnsi="Garamond"/>
                <w:sz w:val="22"/>
                <w:szCs w:val="22"/>
                <w:highlight w:val="yellow"/>
                <w:lang w:eastAsia="en-US"/>
              </w:rPr>
              <w:t xml:space="preserve"> помощью системы обеспечения единого времени, </w:t>
            </w:r>
            <w:r w:rsidR="004A0CBF" w:rsidRPr="001043A6">
              <w:rPr>
                <w:rFonts w:ascii="Garamond" w:hAnsi="Garamond"/>
                <w:sz w:val="22"/>
                <w:szCs w:val="22"/>
                <w:highlight w:val="yellow"/>
                <w:lang w:eastAsia="en-US"/>
              </w:rPr>
              <w:t xml:space="preserve">в том числе </w:t>
            </w:r>
            <w:r w:rsidR="009949FE" w:rsidRPr="001043A6">
              <w:rPr>
                <w:rFonts w:ascii="Garamond" w:hAnsi="Garamond"/>
                <w:sz w:val="22"/>
                <w:szCs w:val="22"/>
                <w:highlight w:val="yellow"/>
                <w:lang w:eastAsia="en-US"/>
              </w:rPr>
              <w:t>включающей</w:t>
            </w:r>
            <w:r w:rsidRPr="001043A6">
              <w:rPr>
                <w:rFonts w:ascii="Garamond" w:hAnsi="Garamond"/>
                <w:sz w:val="22"/>
                <w:szCs w:val="22"/>
                <w:highlight w:val="yellow"/>
                <w:lang w:eastAsia="en-US"/>
              </w:rPr>
              <w:t xml:space="preserve"> средств</w:t>
            </w:r>
            <w:r w:rsidR="009949FE" w:rsidRPr="001043A6">
              <w:rPr>
                <w:rFonts w:ascii="Garamond" w:hAnsi="Garamond"/>
                <w:sz w:val="22"/>
                <w:szCs w:val="22"/>
                <w:highlight w:val="yellow"/>
                <w:lang w:eastAsia="en-US"/>
              </w:rPr>
              <w:t>а</w:t>
            </w:r>
            <w:r w:rsidRPr="001043A6">
              <w:rPr>
                <w:rFonts w:ascii="Garamond" w:hAnsi="Garamond"/>
                <w:sz w:val="22"/>
                <w:szCs w:val="22"/>
                <w:highlight w:val="yellow"/>
                <w:lang w:eastAsia="en-US"/>
              </w:rPr>
              <w:t xml:space="preserve"> измерений утвержденного типа)</w:t>
            </w:r>
            <w:r w:rsidRPr="001043A6">
              <w:rPr>
                <w:rFonts w:ascii="Garamond" w:hAnsi="Garamond"/>
                <w:sz w:val="22"/>
                <w:szCs w:val="22"/>
                <w:lang w:eastAsia="en-US"/>
              </w:rPr>
              <w:t>;</w:t>
            </w:r>
          </w:p>
          <w:p w14:paraId="79E8B15F" w14:textId="77777777" w:rsidR="00E11B82" w:rsidRPr="001043A6" w:rsidRDefault="00E11B82" w:rsidP="00E11B82">
            <w:pPr>
              <w:widowControl w:val="0"/>
              <w:spacing w:line="259" w:lineRule="auto"/>
              <w:ind w:firstLine="486"/>
              <w:jc w:val="both"/>
              <w:rPr>
                <w:rFonts w:ascii="Garamond" w:hAnsi="Garamond"/>
                <w:sz w:val="22"/>
                <w:szCs w:val="22"/>
                <w:lang w:eastAsia="en-US"/>
              </w:rPr>
            </w:pPr>
            <w:r w:rsidRPr="001043A6">
              <w:rPr>
                <w:rFonts w:ascii="Garamond" w:hAnsi="Garamond"/>
                <w:sz w:val="22"/>
                <w:szCs w:val="22"/>
                <w:highlight w:val="yellow"/>
                <w:lang w:eastAsia="en-US"/>
              </w:rPr>
              <w:t>2.1.</w:t>
            </w:r>
            <w:r w:rsidR="00C87638" w:rsidRPr="001043A6">
              <w:rPr>
                <w:rFonts w:ascii="Garamond" w:hAnsi="Garamond"/>
                <w:sz w:val="22"/>
                <w:szCs w:val="22"/>
                <w:highlight w:val="yellow"/>
                <w:lang w:eastAsia="en-US"/>
              </w:rPr>
              <w:t>5</w:t>
            </w:r>
            <w:r w:rsidRPr="001043A6">
              <w:rPr>
                <w:rFonts w:ascii="Garamond" w:hAnsi="Garamond"/>
                <w:sz w:val="22"/>
                <w:szCs w:val="22"/>
                <w:highlight w:val="yellow"/>
                <w:lang w:eastAsia="en-US"/>
              </w:rPr>
              <w:t>.</w:t>
            </w:r>
            <w:r w:rsidRPr="001043A6">
              <w:rPr>
                <w:rFonts w:ascii="Garamond" w:hAnsi="Garamond"/>
                <w:sz w:val="22"/>
                <w:szCs w:val="22"/>
                <w:lang w:eastAsia="en-US"/>
              </w:rPr>
              <w:tab/>
              <w:t>периодический (</w:t>
            </w:r>
            <w:r w:rsidRPr="001043A6">
              <w:rPr>
                <w:rFonts w:ascii="Garamond" w:hAnsi="Garamond"/>
                <w:sz w:val="22"/>
                <w:szCs w:val="22"/>
                <w:highlight w:val="yellow"/>
                <w:lang w:eastAsia="en-US"/>
              </w:rPr>
              <w:t>не реже</w:t>
            </w:r>
            <w:r w:rsidRPr="001043A6">
              <w:rPr>
                <w:rFonts w:ascii="Garamond" w:hAnsi="Garamond"/>
                <w:sz w:val="22"/>
                <w:szCs w:val="22"/>
                <w:lang w:eastAsia="en-US"/>
              </w:rPr>
              <w:t xml:space="preserve"> 1</w:t>
            </w:r>
            <w:r w:rsidRPr="001043A6">
              <w:rPr>
                <w:rFonts w:ascii="Garamond" w:hAnsi="Garamond"/>
                <w:sz w:val="22"/>
                <w:szCs w:val="22"/>
                <w:highlight w:val="yellow"/>
                <w:lang w:eastAsia="en-US"/>
              </w:rPr>
              <w:t>-го</w:t>
            </w:r>
            <w:r w:rsidRPr="001043A6">
              <w:rPr>
                <w:rFonts w:ascii="Garamond" w:hAnsi="Garamond"/>
                <w:sz w:val="22"/>
                <w:szCs w:val="22"/>
                <w:lang w:eastAsia="en-US"/>
              </w:rPr>
              <w:t xml:space="preserve"> раз</w:t>
            </w:r>
            <w:r w:rsidRPr="001043A6">
              <w:rPr>
                <w:rFonts w:ascii="Garamond" w:hAnsi="Garamond"/>
                <w:sz w:val="22"/>
                <w:szCs w:val="22"/>
                <w:highlight w:val="yellow"/>
                <w:lang w:eastAsia="en-US"/>
              </w:rPr>
              <w:t>а</w:t>
            </w:r>
            <w:r w:rsidRPr="001043A6">
              <w:rPr>
                <w:rFonts w:ascii="Garamond" w:hAnsi="Garamond"/>
                <w:sz w:val="22"/>
                <w:szCs w:val="22"/>
                <w:lang w:eastAsia="en-US"/>
              </w:rPr>
              <w:t xml:space="preserve"> в сутки) и (или) по запросу автоматический сбор результатов измерений </w:t>
            </w:r>
            <w:r w:rsidR="000A1A68" w:rsidRPr="001043A6">
              <w:rPr>
                <w:rFonts w:ascii="Garamond" w:hAnsi="Garamond"/>
                <w:sz w:val="22"/>
                <w:szCs w:val="22"/>
                <w:highlight w:val="yellow"/>
                <w:lang w:eastAsia="en-US"/>
              </w:rPr>
              <w:t>электро</w:t>
            </w:r>
            <w:r w:rsidRPr="001043A6">
              <w:rPr>
                <w:rFonts w:ascii="Garamond" w:hAnsi="Garamond"/>
                <w:sz w:val="22"/>
                <w:szCs w:val="22"/>
                <w:highlight w:val="yellow"/>
                <w:lang w:eastAsia="en-US"/>
              </w:rPr>
              <w:t>энергии</w:t>
            </w:r>
            <w:r w:rsidRPr="001043A6">
              <w:rPr>
                <w:rFonts w:ascii="Garamond" w:hAnsi="Garamond"/>
                <w:sz w:val="22"/>
                <w:szCs w:val="22"/>
                <w:lang w:eastAsia="en-US"/>
              </w:rPr>
              <w:t xml:space="preserve"> и данных о состоянии средств измерений; </w:t>
            </w:r>
          </w:p>
          <w:p w14:paraId="6EE972EF" w14:textId="4D31FD7E" w:rsidR="00E11B82" w:rsidRPr="001043A6" w:rsidRDefault="00E11B82" w:rsidP="00E11B82">
            <w:pPr>
              <w:widowControl w:val="0"/>
              <w:spacing w:line="259" w:lineRule="auto"/>
              <w:ind w:firstLine="486"/>
              <w:jc w:val="both"/>
              <w:rPr>
                <w:rFonts w:ascii="Garamond" w:hAnsi="Garamond"/>
                <w:sz w:val="22"/>
                <w:szCs w:val="22"/>
                <w:lang w:eastAsia="en-US"/>
              </w:rPr>
            </w:pPr>
            <w:r w:rsidRPr="001043A6">
              <w:rPr>
                <w:rFonts w:ascii="Garamond" w:hAnsi="Garamond"/>
                <w:sz w:val="22"/>
                <w:szCs w:val="22"/>
                <w:highlight w:val="yellow"/>
                <w:lang w:eastAsia="en-US"/>
              </w:rPr>
              <w:t>2.1.</w:t>
            </w:r>
            <w:r w:rsidR="00C87638" w:rsidRPr="001043A6">
              <w:rPr>
                <w:rFonts w:ascii="Garamond" w:hAnsi="Garamond"/>
                <w:sz w:val="22"/>
                <w:szCs w:val="22"/>
                <w:highlight w:val="yellow"/>
                <w:lang w:eastAsia="en-US"/>
              </w:rPr>
              <w:t>6</w:t>
            </w:r>
            <w:r w:rsidRPr="001043A6">
              <w:rPr>
                <w:rFonts w:ascii="Garamond" w:hAnsi="Garamond"/>
                <w:sz w:val="22"/>
                <w:szCs w:val="22"/>
                <w:highlight w:val="yellow"/>
                <w:lang w:eastAsia="en-US"/>
              </w:rPr>
              <w:t>.</w:t>
            </w:r>
            <w:r w:rsidRPr="001043A6">
              <w:rPr>
                <w:rFonts w:ascii="Garamond" w:hAnsi="Garamond"/>
                <w:sz w:val="22"/>
                <w:szCs w:val="22"/>
                <w:highlight w:val="yellow"/>
                <w:lang w:eastAsia="en-US"/>
              </w:rPr>
              <w:tab/>
            </w:r>
            <w:r w:rsidRPr="001043A6">
              <w:rPr>
                <w:rFonts w:ascii="Garamond" w:hAnsi="Garamond"/>
                <w:sz w:val="22"/>
                <w:szCs w:val="22"/>
                <w:lang w:eastAsia="en-US"/>
              </w:rPr>
              <w:t xml:space="preserve">хранение не менее 3 лет результатов измерений </w:t>
            </w:r>
            <w:r w:rsidRPr="001043A6">
              <w:rPr>
                <w:rFonts w:ascii="Garamond" w:hAnsi="Garamond"/>
                <w:sz w:val="22"/>
                <w:szCs w:val="22"/>
                <w:highlight w:val="yellow"/>
                <w:lang w:eastAsia="en-US"/>
              </w:rPr>
              <w:t>и</w:t>
            </w:r>
            <w:r w:rsidRPr="001043A6">
              <w:rPr>
                <w:rFonts w:ascii="Garamond" w:hAnsi="Garamond"/>
                <w:sz w:val="22"/>
                <w:szCs w:val="22"/>
                <w:lang w:eastAsia="en-US"/>
              </w:rPr>
              <w:t xml:space="preserve"> данных о состоянии средств </w:t>
            </w:r>
            <w:r w:rsidRPr="001043A6">
              <w:rPr>
                <w:rFonts w:ascii="Garamond" w:hAnsi="Garamond"/>
                <w:sz w:val="22"/>
                <w:szCs w:val="22"/>
                <w:highlight w:val="yellow"/>
                <w:lang w:eastAsia="en-US"/>
              </w:rPr>
              <w:t>измерений, а также в отношении А</w:t>
            </w:r>
            <w:r w:rsidR="00B17782" w:rsidRPr="001043A6">
              <w:rPr>
                <w:rFonts w:ascii="Garamond" w:hAnsi="Garamond"/>
                <w:sz w:val="22"/>
                <w:szCs w:val="22"/>
                <w:highlight w:val="yellow"/>
                <w:lang w:eastAsia="en-US"/>
              </w:rPr>
              <w:t>ИИС КУЭ и совокупности СИ и ТУ</w:t>
            </w:r>
            <w:r w:rsidR="009B5F03">
              <w:rPr>
                <w:rFonts w:ascii="Garamond" w:hAnsi="Garamond"/>
                <w:sz w:val="22"/>
                <w:szCs w:val="22"/>
                <w:highlight w:val="yellow"/>
                <w:lang w:eastAsia="en-US"/>
              </w:rPr>
              <w:t xml:space="preserve"> – </w:t>
            </w:r>
            <w:r w:rsidRPr="001043A6">
              <w:rPr>
                <w:rFonts w:ascii="Garamond" w:hAnsi="Garamond"/>
                <w:sz w:val="22"/>
                <w:szCs w:val="22"/>
                <w:highlight w:val="yellow"/>
                <w:lang w:eastAsia="en-US"/>
              </w:rPr>
              <w:t>данных о состоянии</w:t>
            </w:r>
            <w:r w:rsidRPr="001043A6">
              <w:rPr>
                <w:rFonts w:ascii="Garamond" w:hAnsi="Garamond"/>
                <w:sz w:val="22"/>
                <w:szCs w:val="22"/>
                <w:lang w:eastAsia="en-US"/>
              </w:rPr>
              <w:t xml:space="preserve"> объектов измерений </w:t>
            </w:r>
            <w:r w:rsidRPr="001043A6">
              <w:rPr>
                <w:rFonts w:ascii="Garamond" w:hAnsi="Garamond"/>
                <w:sz w:val="22"/>
                <w:szCs w:val="22"/>
                <w:highlight w:val="yellow"/>
                <w:lang w:eastAsia="en-US"/>
              </w:rPr>
              <w:t>(в случае использования для расчета значений учетных показателей данных о вариантах схем электроснабжения и (или) о положении коммутационной аппаратуры</w:t>
            </w:r>
            <w:r w:rsidRPr="001043A6">
              <w:rPr>
                <w:rFonts w:ascii="Garamond" w:hAnsi="Garamond"/>
                <w:sz w:val="22"/>
                <w:szCs w:val="22"/>
                <w:lang w:eastAsia="en-US"/>
              </w:rPr>
              <w:t>);</w:t>
            </w:r>
          </w:p>
          <w:p w14:paraId="0CEB2A8C" w14:textId="4397A9C5" w:rsidR="00CD51B5" w:rsidRPr="001043A6" w:rsidRDefault="00E11B82" w:rsidP="00E11B82">
            <w:pPr>
              <w:widowControl w:val="0"/>
              <w:spacing w:line="259" w:lineRule="auto"/>
              <w:ind w:firstLine="486"/>
              <w:jc w:val="both"/>
              <w:rPr>
                <w:rFonts w:ascii="Garamond" w:hAnsi="Garamond"/>
                <w:sz w:val="22"/>
                <w:szCs w:val="22"/>
                <w:highlight w:val="yellow"/>
                <w:lang w:eastAsia="en-US"/>
              </w:rPr>
            </w:pPr>
            <w:r w:rsidRPr="001043A6">
              <w:rPr>
                <w:rFonts w:ascii="Garamond" w:hAnsi="Garamond"/>
                <w:sz w:val="22"/>
                <w:szCs w:val="22"/>
                <w:highlight w:val="yellow"/>
                <w:lang w:eastAsia="en-US"/>
              </w:rPr>
              <w:t>2.1.</w:t>
            </w:r>
            <w:r w:rsidR="00C87638" w:rsidRPr="001043A6">
              <w:rPr>
                <w:rFonts w:ascii="Garamond" w:hAnsi="Garamond"/>
                <w:sz w:val="22"/>
                <w:szCs w:val="22"/>
                <w:highlight w:val="yellow"/>
                <w:lang w:eastAsia="en-US"/>
              </w:rPr>
              <w:t>7</w:t>
            </w:r>
            <w:r w:rsidRPr="001043A6">
              <w:rPr>
                <w:rFonts w:ascii="Garamond" w:hAnsi="Garamond"/>
                <w:sz w:val="22"/>
                <w:szCs w:val="22"/>
                <w:highlight w:val="yellow"/>
                <w:lang w:eastAsia="en-US"/>
              </w:rPr>
              <w:t>.</w:t>
            </w:r>
            <w:r w:rsidRPr="001043A6">
              <w:rPr>
                <w:rFonts w:ascii="Garamond" w:hAnsi="Garamond"/>
                <w:sz w:val="22"/>
                <w:szCs w:val="22"/>
                <w:lang w:eastAsia="en-US"/>
              </w:rPr>
              <w:tab/>
              <w:t xml:space="preserve">обработку, формирование и передачу результатов измерений и в случае использования для расчета значений учетных показателей данных о вариантах схем электроснабжения и (или) о положении коммутационной аппаратуры </w:t>
            </w:r>
            <w:r w:rsidR="009767E2" w:rsidRPr="009767E2">
              <w:rPr>
                <w:rFonts w:ascii="Garamond" w:hAnsi="Garamond"/>
                <w:sz w:val="22"/>
                <w:szCs w:val="22"/>
                <w:highlight w:val="yellow"/>
                <w:lang w:eastAsia="en-US"/>
              </w:rPr>
              <w:t>–</w:t>
            </w:r>
            <w:r w:rsidR="009767E2">
              <w:rPr>
                <w:rFonts w:ascii="Garamond" w:hAnsi="Garamond"/>
                <w:sz w:val="22"/>
                <w:szCs w:val="22"/>
                <w:lang w:eastAsia="en-US"/>
              </w:rPr>
              <w:t xml:space="preserve"> </w:t>
            </w:r>
            <w:r w:rsidRPr="001043A6">
              <w:rPr>
                <w:rFonts w:ascii="Garamond" w:hAnsi="Garamond"/>
                <w:sz w:val="22"/>
                <w:szCs w:val="22"/>
                <w:lang w:eastAsia="en-US"/>
              </w:rPr>
              <w:t xml:space="preserve">данных о состоянии объектов измерений в </w:t>
            </w:r>
            <w:r w:rsidRPr="001043A6">
              <w:rPr>
                <w:rFonts w:ascii="Garamond" w:hAnsi="Garamond"/>
                <w:sz w:val="22"/>
                <w:szCs w:val="22"/>
                <w:highlight w:val="yellow"/>
                <w:lang w:eastAsia="en-US"/>
              </w:rPr>
              <w:t>соответствии с требованиями Регламента предоставления результатов измерений и состояний объектов измерений</w:t>
            </w:r>
            <w:r w:rsidR="00A159CE" w:rsidRPr="001043A6">
              <w:rPr>
                <w:rFonts w:ascii="Garamond" w:hAnsi="Garamond"/>
                <w:sz w:val="22"/>
                <w:szCs w:val="22"/>
                <w:lang w:eastAsia="en-US"/>
              </w:rPr>
              <w:t>;</w:t>
            </w:r>
          </w:p>
          <w:p w14:paraId="34CBE9BE" w14:textId="77777777" w:rsidR="00E11B82" w:rsidRPr="001043A6" w:rsidRDefault="00E11B82" w:rsidP="00E11B82">
            <w:pPr>
              <w:widowControl w:val="0"/>
              <w:spacing w:line="259" w:lineRule="auto"/>
              <w:ind w:firstLine="486"/>
              <w:jc w:val="both"/>
              <w:rPr>
                <w:rFonts w:ascii="Garamond" w:hAnsi="Garamond"/>
                <w:sz w:val="22"/>
                <w:szCs w:val="22"/>
                <w:lang w:eastAsia="en-US"/>
              </w:rPr>
            </w:pPr>
            <w:r w:rsidRPr="001043A6">
              <w:rPr>
                <w:rFonts w:ascii="Garamond" w:hAnsi="Garamond"/>
                <w:sz w:val="22"/>
                <w:szCs w:val="22"/>
                <w:highlight w:val="yellow"/>
                <w:lang w:eastAsia="en-US"/>
              </w:rPr>
              <w:t>2.1.</w:t>
            </w:r>
            <w:r w:rsidR="00C87638" w:rsidRPr="001043A6">
              <w:rPr>
                <w:rFonts w:ascii="Garamond" w:hAnsi="Garamond"/>
                <w:sz w:val="22"/>
                <w:szCs w:val="22"/>
                <w:highlight w:val="yellow"/>
                <w:lang w:eastAsia="en-US"/>
              </w:rPr>
              <w:t>8</w:t>
            </w:r>
            <w:r w:rsidRPr="001043A6">
              <w:rPr>
                <w:rFonts w:ascii="Garamond" w:hAnsi="Garamond"/>
                <w:sz w:val="22"/>
                <w:szCs w:val="22"/>
                <w:highlight w:val="yellow"/>
                <w:lang w:eastAsia="en-US"/>
              </w:rPr>
              <w:t>.</w:t>
            </w:r>
            <w:r w:rsidRPr="001043A6">
              <w:rPr>
                <w:rFonts w:ascii="Garamond" w:hAnsi="Garamond"/>
                <w:sz w:val="22"/>
                <w:szCs w:val="22"/>
                <w:lang w:eastAsia="en-US"/>
              </w:rPr>
              <w:tab/>
              <w:t>обеспечение защиты оборудования, программного обеспечения от несанкционированного доступа на физическом и программном уровне;</w:t>
            </w:r>
          </w:p>
          <w:p w14:paraId="0DD2F04C" w14:textId="6BAF7600" w:rsidR="00E11B82" w:rsidRPr="001043A6" w:rsidRDefault="00E11B82" w:rsidP="00E86EB2">
            <w:pPr>
              <w:widowControl w:val="0"/>
              <w:spacing w:line="259" w:lineRule="auto"/>
              <w:ind w:firstLine="486"/>
              <w:jc w:val="both"/>
              <w:rPr>
                <w:rFonts w:ascii="Garamond" w:hAnsi="Garamond"/>
                <w:sz w:val="22"/>
                <w:szCs w:val="22"/>
                <w:lang w:eastAsia="en-US"/>
              </w:rPr>
            </w:pPr>
            <w:r w:rsidRPr="001043A6">
              <w:rPr>
                <w:rFonts w:ascii="Garamond" w:hAnsi="Garamond"/>
                <w:sz w:val="22"/>
                <w:szCs w:val="22"/>
                <w:highlight w:val="yellow"/>
                <w:lang w:eastAsia="en-US"/>
              </w:rPr>
              <w:t>2.1.</w:t>
            </w:r>
            <w:r w:rsidR="00C87638" w:rsidRPr="001043A6">
              <w:rPr>
                <w:rFonts w:ascii="Garamond" w:hAnsi="Garamond"/>
                <w:sz w:val="22"/>
                <w:szCs w:val="22"/>
                <w:highlight w:val="yellow"/>
                <w:lang w:eastAsia="en-US"/>
              </w:rPr>
              <w:t>9</w:t>
            </w:r>
            <w:r w:rsidRPr="001043A6">
              <w:rPr>
                <w:rFonts w:ascii="Garamond" w:hAnsi="Garamond"/>
                <w:sz w:val="22"/>
                <w:szCs w:val="22"/>
                <w:highlight w:val="yellow"/>
                <w:lang w:eastAsia="en-US"/>
              </w:rPr>
              <w:t>.</w:t>
            </w:r>
            <w:r w:rsidRPr="001043A6">
              <w:rPr>
                <w:rFonts w:ascii="Garamond" w:hAnsi="Garamond"/>
                <w:sz w:val="22"/>
                <w:szCs w:val="22"/>
                <w:highlight w:val="yellow"/>
                <w:lang w:eastAsia="en-US"/>
              </w:rPr>
              <w:tab/>
            </w:r>
            <w:r w:rsidRPr="001043A6">
              <w:rPr>
                <w:rFonts w:ascii="Garamond" w:hAnsi="Garamond"/>
                <w:sz w:val="22"/>
                <w:szCs w:val="22"/>
                <w:lang w:eastAsia="en-US"/>
              </w:rPr>
              <w:t xml:space="preserve">обеспечение по запросу КО </w:t>
            </w:r>
            <w:r w:rsidRPr="001043A6">
              <w:rPr>
                <w:rFonts w:ascii="Garamond" w:hAnsi="Garamond"/>
                <w:sz w:val="22"/>
                <w:szCs w:val="22"/>
                <w:highlight w:val="yellow"/>
                <w:lang w:eastAsia="en-US"/>
              </w:rPr>
              <w:t xml:space="preserve">в порядке, установленном Порядком установления соответствия </w:t>
            </w:r>
            <w:r w:rsidR="005C089B" w:rsidRPr="001043A6">
              <w:rPr>
                <w:rFonts w:ascii="Garamond" w:hAnsi="Garamond"/>
                <w:sz w:val="22"/>
                <w:szCs w:val="22"/>
                <w:highlight w:val="yellow"/>
                <w:lang w:eastAsia="en-US"/>
              </w:rPr>
              <w:t>СУ</w:t>
            </w:r>
            <w:r w:rsidRPr="001043A6">
              <w:rPr>
                <w:rFonts w:ascii="Garamond" w:hAnsi="Garamond"/>
                <w:sz w:val="22"/>
                <w:szCs w:val="22"/>
                <w:highlight w:val="yellow"/>
                <w:lang w:eastAsia="en-US"/>
              </w:rPr>
              <w:t xml:space="preserve"> или Регламентом</w:t>
            </w:r>
            <w:r w:rsidR="009958A1" w:rsidRPr="001043A6">
              <w:rPr>
                <w:rFonts w:ascii="Garamond" w:hAnsi="Garamond"/>
                <w:sz w:val="22"/>
                <w:szCs w:val="22"/>
                <w:highlight w:val="yellow"/>
                <w:lang w:eastAsia="en-US"/>
              </w:rPr>
              <w:t xml:space="preserve"> </w:t>
            </w:r>
            <w:r w:rsidRPr="001043A6">
              <w:rPr>
                <w:rFonts w:ascii="Garamond" w:hAnsi="Garamond"/>
                <w:sz w:val="22"/>
                <w:szCs w:val="22"/>
                <w:highlight w:val="yellow"/>
                <w:lang w:eastAsia="en-US"/>
              </w:rPr>
              <w:t>проверок</w:t>
            </w:r>
            <w:r w:rsidR="009767E2">
              <w:rPr>
                <w:rFonts w:ascii="Garamond" w:hAnsi="Garamond"/>
                <w:sz w:val="22"/>
                <w:szCs w:val="22"/>
                <w:highlight w:val="yellow"/>
                <w:lang w:eastAsia="en-US"/>
              </w:rPr>
              <w:t>,</w:t>
            </w:r>
            <w:r w:rsidRPr="001043A6">
              <w:rPr>
                <w:rFonts w:ascii="Garamond" w:hAnsi="Garamond"/>
                <w:sz w:val="22"/>
                <w:szCs w:val="22"/>
                <w:highlight w:val="yellow"/>
                <w:lang w:eastAsia="en-US"/>
              </w:rPr>
              <w:t xml:space="preserve"> </w:t>
            </w:r>
            <w:r w:rsidRPr="001043A6">
              <w:rPr>
                <w:rFonts w:ascii="Garamond" w:hAnsi="Garamond"/>
                <w:sz w:val="22"/>
                <w:szCs w:val="22"/>
                <w:lang w:eastAsia="en-US"/>
              </w:rPr>
              <w:t>дистанционного доступа к результатам измерений, данным о состоянии средств измерений</w:t>
            </w:r>
            <w:r w:rsidR="00E86EB2" w:rsidRPr="001043A6">
              <w:rPr>
                <w:rFonts w:ascii="Garamond" w:hAnsi="Garamond"/>
                <w:sz w:val="22"/>
                <w:szCs w:val="22"/>
                <w:highlight w:val="yellow"/>
                <w:lang w:eastAsia="en-US"/>
              </w:rPr>
              <w:t>, данным о состоянии объектов измерений</w:t>
            </w:r>
            <w:r w:rsidRPr="001043A6">
              <w:rPr>
                <w:rFonts w:ascii="Garamond" w:hAnsi="Garamond"/>
                <w:sz w:val="22"/>
                <w:szCs w:val="22"/>
                <w:lang w:eastAsia="en-US"/>
              </w:rPr>
              <w:t xml:space="preserve"> </w:t>
            </w:r>
            <w:r w:rsidR="00E86EB2" w:rsidRPr="001043A6">
              <w:rPr>
                <w:rFonts w:ascii="Garamond" w:hAnsi="Garamond"/>
                <w:sz w:val="22"/>
                <w:szCs w:val="22"/>
                <w:highlight w:val="yellow"/>
                <w:lang w:eastAsia="en-US"/>
              </w:rPr>
              <w:t>(</w:t>
            </w:r>
            <w:r w:rsidRPr="001043A6">
              <w:rPr>
                <w:rFonts w:ascii="Garamond" w:hAnsi="Garamond"/>
                <w:sz w:val="22"/>
                <w:szCs w:val="22"/>
                <w:lang w:eastAsia="en-US"/>
              </w:rPr>
              <w:t>в случае использования для расчета значений учетных показателей данных о вариантах схем электроснабжения и (или) о положении коммутационной аппаратуры</w:t>
            </w:r>
            <w:r w:rsidR="00E86EB2" w:rsidRPr="001043A6">
              <w:rPr>
                <w:rFonts w:ascii="Garamond" w:hAnsi="Garamond"/>
                <w:sz w:val="22"/>
                <w:szCs w:val="22"/>
                <w:highlight w:val="yellow"/>
                <w:lang w:eastAsia="en-US"/>
              </w:rPr>
              <w:t>), а также иным сведениям, предусмотренным настоящими Техническими требованиями,</w:t>
            </w:r>
            <w:r w:rsidRPr="001043A6">
              <w:rPr>
                <w:rFonts w:ascii="Garamond" w:hAnsi="Garamond"/>
                <w:sz w:val="22"/>
                <w:szCs w:val="22"/>
                <w:lang w:eastAsia="en-US"/>
              </w:rPr>
              <w:t xml:space="preserve"> с сервера (АРМ) ИВК</w:t>
            </w:r>
            <w:r w:rsidR="005D055B" w:rsidRPr="001043A6">
              <w:rPr>
                <w:rFonts w:ascii="Garamond" w:hAnsi="Garamond"/>
                <w:sz w:val="22"/>
                <w:szCs w:val="22"/>
                <w:lang w:eastAsia="en-US"/>
              </w:rPr>
              <w:t xml:space="preserve"> </w:t>
            </w:r>
            <w:r w:rsidR="005D055B" w:rsidRPr="001043A6">
              <w:rPr>
                <w:rFonts w:ascii="Garamond" w:hAnsi="Garamond"/>
                <w:sz w:val="22"/>
                <w:szCs w:val="22"/>
                <w:highlight w:val="yellow"/>
                <w:lang w:eastAsia="en-US"/>
              </w:rPr>
              <w:t>СУ</w:t>
            </w:r>
            <w:r w:rsidRPr="001043A6">
              <w:rPr>
                <w:rFonts w:ascii="Garamond" w:hAnsi="Garamond"/>
                <w:sz w:val="22"/>
                <w:szCs w:val="22"/>
                <w:lang w:eastAsia="en-US"/>
              </w:rPr>
              <w:t xml:space="preserve"> </w:t>
            </w:r>
            <w:r w:rsidR="00E86EB2" w:rsidRPr="001043A6">
              <w:rPr>
                <w:rFonts w:ascii="Garamond" w:hAnsi="Garamond"/>
                <w:sz w:val="22"/>
                <w:szCs w:val="22"/>
                <w:highlight w:val="yellow"/>
                <w:lang w:eastAsia="en-US"/>
              </w:rPr>
              <w:t>до</w:t>
            </w:r>
            <w:r w:rsidRPr="001043A6">
              <w:rPr>
                <w:rFonts w:ascii="Garamond" w:hAnsi="Garamond"/>
                <w:sz w:val="22"/>
                <w:szCs w:val="22"/>
                <w:lang w:eastAsia="en-US"/>
              </w:rPr>
              <w:t xml:space="preserve"> всех уровн</w:t>
            </w:r>
            <w:r w:rsidR="00E86EB2" w:rsidRPr="001043A6">
              <w:rPr>
                <w:rFonts w:ascii="Garamond" w:hAnsi="Garamond"/>
                <w:sz w:val="22"/>
                <w:szCs w:val="22"/>
                <w:highlight w:val="yellow"/>
                <w:lang w:eastAsia="en-US"/>
              </w:rPr>
              <w:t>ей</w:t>
            </w:r>
            <w:r w:rsidR="005D055B" w:rsidRPr="001043A6">
              <w:rPr>
                <w:rFonts w:ascii="Garamond" w:hAnsi="Garamond"/>
                <w:sz w:val="22"/>
                <w:szCs w:val="22"/>
                <w:lang w:eastAsia="en-US"/>
              </w:rPr>
              <w:t xml:space="preserve"> </w:t>
            </w:r>
            <w:r w:rsidR="005D055B" w:rsidRPr="001043A6">
              <w:rPr>
                <w:rFonts w:ascii="Garamond" w:hAnsi="Garamond"/>
                <w:sz w:val="22"/>
                <w:szCs w:val="22"/>
                <w:highlight w:val="yellow"/>
                <w:lang w:eastAsia="en-US"/>
              </w:rPr>
              <w:t>СУ</w:t>
            </w:r>
            <w:r w:rsidRPr="001043A6">
              <w:rPr>
                <w:rFonts w:ascii="Garamond" w:hAnsi="Garamond"/>
                <w:sz w:val="22"/>
                <w:szCs w:val="22"/>
                <w:lang w:eastAsia="en-US"/>
              </w:rPr>
              <w:t>.</w:t>
            </w:r>
            <w:r w:rsidR="00E86EB2" w:rsidRPr="001043A6">
              <w:rPr>
                <w:rFonts w:ascii="Garamond" w:hAnsi="Garamond"/>
                <w:sz w:val="22"/>
                <w:szCs w:val="22"/>
                <w:lang w:eastAsia="en-US"/>
              </w:rPr>
              <w:t xml:space="preserve"> </w:t>
            </w:r>
            <w:r w:rsidR="00E86EB2" w:rsidRPr="001043A6">
              <w:rPr>
                <w:rFonts w:ascii="Garamond" w:hAnsi="Garamond"/>
                <w:sz w:val="22"/>
                <w:szCs w:val="22"/>
                <w:highlight w:val="yellow"/>
                <w:lang w:eastAsia="en-US"/>
              </w:rPr>
              <w:t xml:space="preserve">Вышеуказанный доступ обеспечивается в удаленном режиме с </w:t>
            </w:r>
            <w:r w:rsidR="00E86EB2" w:rsidRPr="001043A6">
              <w:rPr>
                <w:rFonts w:ascii="Garamond" w:hAnsi="Garamond"/>
                <w:sz w:val="22"/>
                <w:szCs w:val="22"/>
                <w:highlight w:val="yellow"/>
                <w:lang w:eastAsia="en-US"/>
              </w:rPr>
              <w:lastRenderedPageBreak/>
              <w:t>предоставлением удаленного доступа КО к экрану ИВК (АРМ)</w:t>
            </w:r>
            <w:r w:rsidR="00C51C85" w:rsidRPr="001043A6">
              <w:rPr>
                <w:rFonts w:ascii="Garamond" w:hAnsi="Garamond"/>
                <w:sz w:val="22"/>
                <w:szCs w:val="22"/>
                <w:highlight w:val="yellow"/>
                <w:lang w:eastAsia="en-US"/>
              </w:rPr>
              <w:t xml:space="preserve"> СУ</w:t>
            </w:r>
            <w:r w:rsidR="00E86EB2" w:rsidRPr="001043A6">
              <w:rPr>
                <w:rFonts w:ascii="Garamond" w:hAnsi="Garamond"/>
                <w:sz w:val="22"/>
                <w:szCs w:val="22"/>
                <w:highlight w:val="yellow"/>
                <w:lang w:eastAsia="en-US"/>
              </w:rPr>
              <w:t xml:space="preserve"> заявителя</w:t>
            </w:r>
            <w:r w:rsidR="00D32A7F" w:rsidRPr="001043A6">
              <w:rPr>
                <w:rFonts w:ascii="Garamond" w:hAnsi="Garamond"/>
                <w:sz w:val="22"/>
                <w:szCs w:val="22"/>
                <w:highlight w:val="yellow"/>
                <w:lang w:eastAsia="en-US"/>
              </w:rPr>
              <w:t>/</w:t>
            </w:r>
            <w:r w:rsidR="00E86EB2" w:rsidRPr="001043A6">
              <w:rPr>
                <w:rFonts w:ascii="Garamond" w:hAnsi="Garamond"/>
                <w:sz w:val="22"/>
                <w:szCs w:val="22"/>
                <w:highlight w:val="yellow"/>
                <w:lang w:eastAsia="en-US"/>
              </w:rPr>
              <w:t xml:space="preserve">владельца ИСУ путем использования функции демонстрации экрана специализированного программного обеспечения, при этом качество демонстрации экрана ИВК (АРМ) </w:t>
            </w:r>
            <w:r w:rsidR="00C51C85" w:rsidRPr="001043A6">
              <w:rPr>
                <w:rFonts w:ascii="Garamond" w:hAnsi="Garamond"/>
                <w:sz w:val="22"/>
                <w:szCs w:val="22"/>
                <w:highlight w:val="yellow"/>
                <w:lang w:eastAsia="en-US"/>
              </w:rPr>
              <w:t xml:space="preserve">СУ </w:t>
            </w:r>
            <w:r w:rsidR="00E86EB2" w:rsidRPr="001043A6">
              <w:rPr>
                <w:rFonts w:ascii="Garamond" w:hAnsi="Garamond"/>
                <w:sz w:val="22"/>
                <w:szCs w:val="22"/>
                <w:highlight w:val="yellow"/>
                <w:lang w:eastAsia="en-US"/>
              </w:rPr>
              <w:t>должно обеспечивать возможность идентификации отображаемой на экране ИВК (АРМ)</w:t>
            </w:r>
            <w:r w:rsidR="00C51C85" w:rsidRPr="001043A6">
              <w:rPr>
                <w:rFonts w:ascii="Garamond" w:hAnsi="Garamond"/>
                <w:sz w:val="22"/>
                <w:szCs w:val="22"/>
                <w:highlight w:val="yellow"/>
                <w:lang w:eastAsia="en-US"/>
              </w:rPr>
              <w:t xml:space="preserve"> СУ</w:t>
            </w:r>
            <w:r w:rsidR="00E86EB2" w:rsidRPr="001043A6">
              <w:rPr>
                <w:rFonts w:ascii="Garamond" w:hAnsi="Garamond"/>
                <w:sz w:val="22"/>
                <w:szCs w:val="22"/>
                <w:highlight w:val="yellow"/>
                <w:lang w:eastAsia="en-US"/>
              </w:rPr>
              <w:t xml:space="preserve"> информации, а также возможность визуального контроля за выполнением действий со стороны заявителя</w:t>
            </w:r>
            <w:r w:rsidR="00D32A7F" w:rsidRPr="001043A6">
              <w:rPr>
                <w:rFonts w:ascii="Garamond" w:hAnsi="Garamond"/>
                <w:sz w:val="22"/>
                <w:szCs w:val="22"/>
                <w:highlight w:val="yellow"/>
                <w:lang w:eastAsia="en-US"/>
              </w:rPr>
              <w:t>/</w:t>
            </w:r>
            <w:r w:rsidR="00E86EB2" w:rsidRPr="001043A6">
              <w:rPr>
                <w:rFonts w:ascii="Garamond" w:hAnsi="Garamond"/>
                <w:sz w:val="22"/>
                <w:szCs w:val="22"/>
                <w:highlight w:val="yellow"/>
                <w:lang w:eastAsia="en-US"/>
              </w:rPr>
              <w:t xml:space="preserve">владельца ИСУ (перечень указанного программного обеспечения размещается на официальном интернет-сайте </w:t>
            </w:r>
            <w:r w:rsidR="00D32A7F" w:rsidRPr="001043A6">
              <w:rPr>
                <w:rFonts w:ascii="Garamond" w:hAnsi="Garamond"/>
                <w:sz w:val="22"/>
                <w:szCs w:val="22"/>
                <w:highlight w:val="yellow"/>
                <w:lang w:eastAsia="en-US"/>
              </w:rPr>
              <w:t>КО</w:t>
            </w:r>
            <w:r w:rsidR="00E86EB2" w:rsidRPr="001043A6">
              <w:rPr>
                <w:rFonts w:ascii="Garamond" w:hAnsi="Garamond"/>
                <w:sz w:val="22"/>
                <w:szCs w:val="22"/>
                <w:highlight w:val="yellow"/>
                <w:lang w:eastAsia="en-US"/>
              </w:rPr>
              <w:t xml:space="preserve"> www.atsenergo.ru в разделе «Коммерческий учет»). В случае отсутствия возможности использования заявителем</w:t>
            </w:r>
            <w:r w:rsidR="00D32A7F" w:rsidRPr="001043A6">
              <w:rPr>
                <w:rFonts w:ascii="Garamond" w:hAnsi="Garamond"/>
                <w:sz w:val="22"/>
                <w:szCs w:val="22"/>
                <w:highlight w:val="yellow"/>
                <w:lang w:eastAsia="en-US"/>
              </w:rPr>
              <w:t>/владельцем ИСУ</w:t>
            </w:r>
            <w:r w:rsidR="00E86EB2" w:rsidRPr="001043A6">
              <w:rPr>
                <w:rFonts w:ascii="Garamond" w:hAnsi="Garamond"/>
                <w:sz w:val="22"/>
                <w:szCs w:val="22"/>
                <w:highlight w:val="yellow"/>
                <w:lang w:eastAsia="en-US"/>
              </w:rPr>
              <w:t xml:space="preserve"> программного обеспечения из перечня, размещенного на официальном интернет-сайте </w:t>
            </w:r>
            <w:r w:rsidR="00D32A7F" w:rsidRPr="001043A6">
              <w:rPr>
                <w:rFonts w:ascii="Garamond" w:hAnsi="Garamond"/>
                <w:sz w:val="22"/>
                <w:szCs w:val="22"/>
                <w:highlight w:val="yellow"/>
                <w:lang w:eastAsia="en-US"/>
              </w:rPr>
              <w:t>КО</w:t>
            </w:r>
            <w:r w:rsidR="00E86EB2" w:rsidRPr="001043A6">
              <w:rPr>
                <w:rFonts w:ascii="Garamond" w:hAnsi="Garamond"/>
                <w:sz w:val="22"/>
                <w:szCs w:val="22"/>
                <w:highlight w:val="yellow"/>
                <w:lang w:eastAsia="en-US"/>
              </w:rPr>
              <w:t xml:space="preserve">, доступ к </w:t>
            </w:r>
            <w:r w:rsidR="00C51C85" w:rsidRPr="001043A6">
              <w:rPr>
                <w:rFonts w:ascii="Garamond" w:hAnsi="Garamond"/>
                <w:sz w:val="22"/>
                <w:szCs w:val="22"/>
                <w:highlight w:val="yellow"/>
                <w:lang w:eastAsia="en-US"/>
              </w:rPr>
              <w:t>СУ</w:t>
            </w:r>
            <w:r w:rsidR="00E86EB2" w:rsidRPr="001043A6">
              <w:rPr>
                <w:rFonts w:ascii="Garamond" w:hAnsi="Garamond"/>
                <w:sz w:val="22"/>
                <w:szCs w:val="22"/>
                <w:highlight w:val="yellow"/>
                <w:lang w:eastAsia="en-US"/>
              </w:rPr>
              <w:t xml:space="preserve"> по предварительному согласованию </w:t>
            </w:r>
            <w:r w:rsidR="00B17782" w:rsidRPr="001043A6">
              <w:rPr>
                <w:rFonts w:ascii="Garamond" w:hAnsi="Garamond"/>
                <w:sz w:val="22"/>
                <w:szCs w:val="22"/>
                <w:highlight w:val="yellow"/>
                <w:lang w:eastAsia="en-US"/>
              </w:rPr>
              <w:t xml:space="preserve">заявителя </w:t>
            </w:r>
            <w:r w:rsidR="00E86EB2" w:rsidRPr="001043A6">
              <w:rPr>
                <w:rFonts w:ascii="Garamond" w:hAnsi="Garamond"/>
                <w:sz w:val="22"/>
                <w:szCs w:val="22"/>
                <w:highlight w:val="yellow"/>
                <w:lang w:eastAsia="en-US"/>
              </w:rPr>
              <w:t xml:space="preserve">с КО может быть обеспечен путем трансляции в режиме онлайн экрана ИВК (АРМ) </w:t>
            </w:r>
            <w:r w:rsidR="00C51C85" w:rsidRPr="001043A6">
              <w:rPr>
                <w:rFonts w:ascii="Garamond" w:hAnsi="Garamond"/>
                <w:sz w:val="22"/>
                <w:szCs w:val="22"/>
                <w:highlight w:val="yellow"/>
                <w:lang w:eastAsia="en-US"/>
              </w:rPr>
              <w:t>СУ</w:t>
            </w:r>
            <w:r w:rsidR="00E86EB2" w:rsidRPr="001043A6">
              <w:rPr>
                <w:rFonts w:ascii="Garamond" w:hAnsi="Garamond"/>
                <w:sz w:val="22"/>
                <w:szCs w:val="22"/>
                <w:highlight w:val="yellow"/>
                <w:lang w:eastAsia="en-US"/>
              </w:rPr>
              <w:t xml:space="preserve"> при выполнении </w:t>
            </w:r>
            <w:r w:rsidR="00D32A7F" w:rsidRPr="001043A6">
              <w:rPr>
                <w:rFonts w:ascii="Garamond" w:hAnsi="Garamond"/>
                <w:sz w:val="22"/>
                <w:szCs w:val="22"/>
                <w:highlight w:val="yellow"/>
                <w:lang w:eastAsia="en-US"/>
              </w:rPr>
              <w:t>условий</w:t>
            </w:r>
            <w:r w:rsidR="00E86EB2" w:rsidRPr="001043A6">
              <w:rPr>
                <w:rFonts w:ascii="Garamond" w:hAnsi="Garamond"/>
                <w:sz w:val="22"/>
                <w:szCs w:val="22"/>
                <w:highlight w:val="yellow"/>
                <w:lang w:eastAsia="en-US"/>
              </w:rPr>
              <w:t xml:space="preserve">, </w:t>
            </w:r>
            <w:r w:rsidR="00D32A7F" w:rsidRPr="001043A6">
              <w:rPr>
                <w:rFonts w:ascii="Garamond" w:hAnsi="Garamond"/>
                <w:sz w:val="22"/>
                <w:szCs w:val="22"/>
                <w:highlight w:val="yellow"/>
                <w:lang w:eastAsia="en-US"/>
              </w:rPr>
              <w:t xml:space="preserve">предусмотренных Порядком установления соответствия </w:t>
            </w:r>
            <w:r w:rsidR="005C089B" w:rsidRPr="001043A6">
              <w:rPr>
                <w:rFonts w:ascii="Garamond" w:hAnsi="Garamond"/>
                <w:sz w:val="22"/>
                <w:szCs w:val="22"/>
                <w:highlight w:val="yellow"/>
                <w:lang w:eastAsia="en-US"/>
              </w:rPr>
              <w:t>СУ</w:t>
            </w:r>
            <w:r w:rsidR="00E86EB2" w:rsidRPr="001043A6">
              <w:rPr>
                <w:rFonts w:ascii="Garamond" w:hAnsi="Garamond"/>
                <w:sz w:val="22"/>
                <w:szCs w:val="22"/>
                <w:highlight w:val="yellow"/>
                <w:lang w:eastAsia="en-US"/>
              </w:rPr>
              <w:t xml:space="preserve">. При этом качество видеотрансляции должно обеспечивать возможность идентификации отображаемой на экране ИВК (АРМ) </w:t>
            </w:r>
            <w:r w:rsidR="00C51C85" w:rsidRPr="001043A6">
              <w:rPr>
                <w:rFonts w:ascii="Garamond" w:hAnsi="Garamond"/>
                <w:sz w:val="22"/>
                <w:szCs w:val="22"/>
                <w:highlight w:val="yellow"/>
                <w:lang w:eastAsia="en-US"/>
              </w:rPr>
              <w:t>СУ</w:t>
            </w:r>
            <w:r w:rsidR="00E86EB2" w:rsidRPr="001043A6">
              <w:rPr>
                <w:rFonts w:ascii="Garamond" w:hAnsi="Garamond"/>
                <w:sz w:val="22"/>
                <w:szCs w:val="22"/>
                <w:highlight w:val="yellow"/>
                <w:lang w:eastAsia="en-US"/>
              </w:rPr>
              <w:t xml:space="preserve"> информации, а также возможность визуального контроля за выполнением действий со стороны заявителя</w:t>
            </w:r>
            <w:r w:rsidR="00D32A7F" w:rsidRPr="001043A6">
              <w:rPr>
                <w:rFonts w:ascii="Garamond" w:hAnsi="Garamond"/>
                <w:sz w:val="22"/>
                <w:szCs w:val="22"/>
                <w:highlight w:val="yellow"/>
                <w:lang w:eastAsia="en-US"/>
              </w:rPr>
              <w:t>/владельца ИСУ</w:t>
            </w:r>
            <w:r w:rsidR="00E86EB2" w:rsidRPr="001043A6">
              <w:rPr>
                <w:rFonts w:ascii="Garamond" w:hAnsi="Garamond"/>
                <w:sz w:val="22"/>
                <w:szCs w:val="22"/>
                <w:highlight w:val="yellow"/>
                <w:lang w:eastAsia="en-US"/>
              </w:rPr>
              <w:t xml:space="preserve"> (с разрешением не менее 1280×720 точек (пикселей) и частотой не менее 30 кадров в секунду).</w:t>
            </w:r>
          </w:p>
          <w:p w14:paraId="70595804" w14:textId="77777777" w:rsidR="00E86EB2" w:rsidRPr="001043A6" w:rsidRDefault="00E86EB2" w:rsidP="00D5405E">
            <w:pPr>
              <w:widowControl w:val="0"/>
              <w:spacing w:line="259" w:lineRule="auto"/>
              <w:ind w:firstLine="486"/>
              <w:jc w:val="both"/>
              <w:rPr>
                <w:rFonts w:ascii="Garamond" w:hAnsi="Garamond"/>
                <w:sz w:val="22"/>
                <w:szCs w:val="22"/>
                <w:lang w:eastAsia="en-US"/>
              </w:rPr>
            </w:pPr>
            <w:r w:rsidRPr="001043A6">
              <w:rPr>
                <w:rFonts w:ascii="Garamond" w:hAnsi="Garamond"/>
                <w:sz w:val="22"/>
                <w:szCs w:val="22"/>
                <w:highlight w:val="yellow"/>
                <w:lang w:eastAsia="en-US"/>
              </w:rPr>
              <w:t xml:space="preserve">В отношении ИСУ </w:t>
            </w:r>
            <w:r w:rsidR="00C51C85" w:rsidRPr="001043A6">
              <w:rPr>
                <w:rFonts w:ascii="Garamond" w:hAnsi="Garamond"/>
                <w:sz w:val="22"/>
                <w:szCs w:val="22"/>
                <w:highlight w:val="yellow"/>
                <w:lang w:eastAsia="en-US"/>
              </w:rPr>
              <w:t>дополнительно</w:t>
            </w:r>
            <w:r w:rsidRPr="001043A6">
              <w:rPr>
                <w:rFonts w:ascii="Garamond" w:hAnsi="Garamond"/>
                <w:sz w:val="22"/>
                <w:szCs w:val="22"/>
                <w:highlight w:val="yellow"/>
                <w:lang w:eastAsia="en-US"/>
              </w:rPr>
              <w:t xml:space="preserve"> для КО</w:t>
            </w:r>
            <w:r w:rsidR="00D32A7F" w:rsidRPr="001043A6">
              <w:rPr>
                <w:rFonts w:ascii="Garamond" w:hAnsi="Garamond"/>
                <w:sz w:val="22"/>
                <w:szCs w:val="22"/>
                <w:highlight w:val="yellow"/>
                <w:lang w:eastAsia="en-US"/>
              </w:rPr>
              <w:t xml:space="preserve"> (как пользователя ИСУ)</w:t>
            </w:r>
            <w:r w:rsidRPr="001043A6">
              <w:rPr>
                <w:rFonts w:ascii="Garamond" w:hAnsi="Garamond"/>
                <w:sz w:val="22"/>
                <w:szCs w:val="22"/>
                <w:highlight w:val="yellow"/>
                <w:lang w:eastAsia="en-US"/>
              </w:rPr>
              <w:t xml:space="preserve"> должен обеспечиваться </w:t>
            </w:r>
            <w:r w:rsidR="00EA3747" w:rsidRPr="001043A6">
              <w:rPr>
                <w:rFonts w:ascii="Garamond" w:hAnsi="Garamond"/>
                <w:sz w:val="22"/>
                <w:szCs w:val="22"/>
                <w:highlight w:val="yellow"/>
                <w:lang w:eastAsia="en-US"/>
              </w:rPr>
              <w:t xml:space="preserve">постоянный </w:t>
            </w:r>
            <w:r w:rsidRPr="001043A6">
              <w:rPr>
                <w:rFonts w:ascii="Garamond" w:hAnsi="Garamond"/>
                <w:sz w:val="22"/>
                <w:szCs w:val="22"/>
                <w:highlight w:val="yellow"/>
                <w:lang w:eastAsia="en-US"/>
              </w:rPr>
              <w:t xml:space="preserve">доступ </w:t>
            </w:r>
            <w:r w:rsidR="00D32A7F" w:rsidRPr="001043A6">
              <w:rPr>
                <w:rFonts w:ascii="Garamond" w:hAnsi="Garamond"/>
                <w:sz w:val="22"/>
                <w:szCs w:val="22"/>
                <w:highlight w:val="yellow"/>
                <w:lang w:eastAsia="en-US"/>
              </w:rPr>
              <w:t xml:space="preserve">к ИСУ </w:t>
            </w:r>
            <w:r w:rsidRPr="001043A6">
              <w:rPr>
                <w:rFonts w:ascii="Garamond" w:hAnsi="Garamond"/>
                <w:sz w:val="22"/>
                <w:szCs w:val="22"/>
                <w:highlight w:val="yellow"/>
                <w:lang w:eastAsia="en-US"/>
              </w:rPr>
              <w:t>с использованием личного кабинета пользователя ИСУ</w:t>
            </w:r>
            <w:r w:rsidR="00D32A7F" w:rsidRPr="001043A6">
              <w:rPr>
                <w:rFonts w:ascii="Garamond" w:hAnsi="Garamond"/>
                <w:sz w:val="22"/>
                <w:szCs w:val="22"/>
                <w:highlight w:val="yellow"/>
                <w:lang w:eastAsia="en-US"/>
              </w:rPr>
              <w:t xml:space="preserve"> в соответствии с </w:t>
            </w:r>
            <w:r w:rsidR="00D14D2B" w:rsidRPr="001043A6">
              <w:rPr>
                <w:rFonts w:ascii="Garamond" w:hAnsi="Garamond"/>
                <w:sz w:val="22"/>
                <w:szCs w:val="22"/>
                <w:highlight w:val="yellow"/>
              </w:rPr>
              <w:t>Правила</w:t>
            </w:r>
            <w:r w:rsidR="001F6BDD" w:rsidRPr="001043A6">
              <w:rPr>
                <w:rFonts w:ascii="Garamond" w:hAnsi="Garamond"/>
                <w:sz w:val="22"/>
                <w:szCs w:val="22"/>
                <w:highlight w:val="yellow"/>
              </w:rPr>
              <w:t>ми</w:t>
            </w:r>
            <w:r w:rsidR="00D14D2B" w:rsidRPr="001043A6">
              <w:rPr>
                <w:rFonts w:ascii="Garamond" w:hAnsi="Garamond"/>
                <w:sz w:val="22"/>
                <w:szCs w:val="22"/>
                <w:highlight w:val="yellow"/>
              </w:rPr>
              <w:t xml:space="preserve"> предоставления доступа к минимальному набору функций интеллектуальных систем учета</w:t>
            </w:r>
            <w:r w:rsidR="00420909" w:rsidRPr="001043A6" w:rsidDel="00420909">
              <w:rPr>
                <w:rFonts w:ascii="Garamond" w:hAnsi="Garamond"/>
                <w:sz w:val="22"/>
                <w:szCs w:val="22"/>
                <w:highlight w:val="yellow"/>
                <w:lang w:eastAsia="en-US"/>
              </w:rPr>
              <w:t xml:space="preserve"> </w:t>
            </w:r>
            <w:r w:rsidR="00D32A7F" w:rsidRPr="001043A6">
              <w:rPr>
                <w:rFonts w:ascii="Garamond" w:hAnsi="Garamond"/>
                <w:sz w:val="22"/>
                <w:szCs w:val="22"/>
                <w:highlight w:val="yellow"/>
                <w:lang w:eastAsia="en-US"/>
              </w:rPr>
              <w:t>(с отображением в личном кабинете всех сведений, предусмотренных вышеуказанными Правилами).</w:t>
            </w:r>
          </w:p>
        </w:tc>
      </w:tr>
      <w:tr w:rsidR="00E11B82" w:rsidRPr="001043A6" w14:paraId="333BC3E0" w14:textId="77777777" w:rsidTr="001043A6">
        <w:tc>
          <w:tcPr>
            <w:tcW w:w="1031" w:type="dxa"/>
          </w:tcPr>
          <w:p w14:paraId="46FC1670" w14:textId="77777777" w:rsidR="00E11B82" w:rsidRPr="001043A6" w:rsidRDefault="00E11B82" w:rsidP="00E11B82">
            <w:pPr>
              <w:widowControl w:val="0"/>
              <w:spacing w:line="259" w:lineRule="auto"/>
              <w:jc w:val="center"/>
              <w:rPr>
                <w:rFonts w:ascii="Garamond" w:hAnsi="Garamond"/>
                <w:b/>
                <w:sz w:val="22"/>
                <w:szCs w:val="22"/>
                <w:lang w:eastAsia="en-US"/>
              </w:rPr>
            </w:pPr>
            <w:r w:rsidRPr="001043A6">
              <w:rPr>
                <w:rFonts w:ascii="Garamond" w:hAnsi="Garamond"/>
                <w:b/>
                <w:sz w:val="22"/>
                <w:szCs w:val="22"/>
                <w:lang w:eastAsia="en-US"/>
              </w:rPr>
              <w:lastRenderedPageBreak/>
              <w:t>2.2</w:t>
            </w:r>
          </w:p>
        </w:tc>
        <w:tc>
          <w:tcPr>
            <w:tcW w:w="6833" w:type="dxa"/>
          </w:tcPr>
          <w:p w14:paraId="4FF59CDB" w14:textId="77777777" w:rsidR="00E11B82" w:rsidRPr="001043A6" w:rsidRDefault="00E11B82" w:rsidP="009D7164">
            <w:pPr>
              <w:pStyle w:val="ac"/>
              <w:numPr>
                <w:ilvl w:val="1"/>
                <w:numId w:val="13"/>
              </w:numPr>
              <w:tabs>
                <w:tab w:val="num" w:pos="771"/>
              </w:tabs>
              <w:ind w:left="0" w:firstLine="629"/>
              <w:jc w:val="both"/>
              <w:rPr>
                <w:rFonts w:ascii="Garamond" w:hAnsi="Garamond"/>
                <w:sz w:val="22"/>
                <w:szCs w:val="22"/>
              </w:rPr>
            </w:pPr>
            <w:r w:rsidRPr="001043A6">
              <w:rPr>
                <w:rFonts w:ascii="Garamond" w:hAnsi="Garamond"/>
                <w:sz w:val="22"/>
                <w:szCs w:val="22"/>
              </w:rPr>
              <w:t xml:space="preserve">Функции </w:t>
            </w:r>
            <w:r w:rsidRPr="001043A6">
              <w:rPr>
                <w:rFonts w:ascii="Garamond" w:hAnsi="Garamond"/>
                <w:sz w:val="22"/>
                <w:szCs w:val="22"/>
                <w:highlight w:val="yellow"/>
              </w:rPr>
              <w:t>АИИС КУЭ</w:t>
            </w:r>
            <w:r w:rsidRPr="001043A6">
              <w:rPr>
                <w:rFonts w:ascii="Garamond" w:hAnsi="Garamond"/>
                <w:sz w:val="22"/>
                <w:szCs w:val="22"/>
              </w:rPr>
              <w:t xml:space="preserve"> реализуются на следующих уровнях:</w:t>
            </w:r>
          </w:p>
          <w:p w14:paraId="1C8F530E" w14:textId="77777777" w:rsidR="00E11B82" w:rsidRPr="001043A6" w:rsidRDefault="00E11B82" w:rsidP="009D7164">
            <w:pPr>
              <w:numPr>
                <w:ilvl w:val="2"/>
                <w:numId w:val="11"/>
              </w:numPr>
              <w:tabs>
                <w:tab w:val="num" w:pos="0"/>
                <w:tab w:val="left" w:pos="851"/>
                <w:tab w:val="left" w:pos="1080"/>
              </w:tabs>
              <w:suppressAutoHyphens w:val="0"/>
              <w:ind w:left="0" w:firstLine="600"/>
              <w:jc w:val="both"/>
              <w:rPr>
                <w:rFonts w:ascii="Garamond" w:hAnsi="Garamond"/>
                <w:sz w:val="22"/>
                <w:szCs w:val="22"/>
              </w:rPr>
            </w:pPr>
            <w:r w:rsidRPr="001043A6">
              <w:rPr>
                <w:rFonts w:ascii="Garamond" w:hAnsi="Garamond"/>
                <w:sz w:val="22"/>
                <w:szCs w:val="22"/>
              </w:rPr>
              <w:t>Уровень измерительно-информационных комплексов (далее – ИИК), в состав которых входят:</w:t>
            </w:r>
          </w:p>
          <w:p w14:paraId="4171FD3A" w14:textId="77777777" w:rsidR="00E11B82" w:rsidRPr="001043A6" w:rsidRDefault="00E11B82" w:rsidP="009D7164">
            <w:pPr>
              <w:numPr>
                <w:ilvl w:val="0"/>
                <w:numId w:val="12"/>
              </w:numPr>
              <w:tabs>
                <w:tab w:val="clear" w:pos="360"/>
                <w:tab w:val="num" w:pos="0"/>
                <w:tab w:val="left" w:pos="1080"/>
                <w:tab w:val="left" w:pos="1440"/>
                <w:tab w:val="num" w:pos="1800"/>
              </w:tabs>
              <w:suppressAutoHyphens w:val="0"/>
              <w:ind w:left="0" w:firstLine="600"/>
              <w:jc w:val="both"/>
              <w:rPr>
                <w:rFonts w:ascii="Garamond" w:hAnsi="Garamond"/>
                <w:sz w:val="22"/>
                <w:szCs w:val="22"/>
              </w:rPr>
            </w:pPr>
            <w:r w:rsidRPr="001043A6">
              <w:rPr>
                <w:rFonts w:ascii="Garamond" w:hAnsi="Garamond"/>
                <w:sz w:val="22"/>
                <w:szCs w:val="22"/>
                <w:highlight w:val="yellow"/>
              </w:rPr>
              <w:t>счетчики электрической энергии</w:t>
            </w:r>
            <w:r w:rsidRPr="001043A6">
              <w:rPr>
                <w:rFonts w:ascii="Garamond" w:hAnsi="Garamond"/>
                <w:sz w:val="22"/>
                <w:szCs w:val="22"/>
              </w:rPr>
              <w:t>;</w:t>
            </w:r>
          </w:p>
          <w:p w14:paraId="4D0C7C4D" w14:textId="77777777" w:rsidR="00E11B82" w:rsidRPr="001043A6" w:rsidRDefault="00E11B82" w:rsidP="009D7164">
            <w:pPr>
              <w:numPr>
                <w:ilvl w:val="0"/>
                <w:numId w:val="12"/>
              </w:numPr>
              <w:tabs>
                <w:tab w:val="clear" w:pos="360"/>
                <w:tab w:val="num" w:pos="0"/>
                <w:tab w:val="left" w:pos="1080"/>
                <w:tab w:val="left" w:pos="1440"/>
                <w:tab w:val="num" w:pos="1800"/>
              </w:tabs>
              <w:suppressAutoHyphens w:val="0"/>
              <w:ind w:left="0" w:firstLine="600"/>
              <w:jc w:val="both"/>
              <w:rPr>
                <w:rFonts w:ascii="Garamond" w:hAnsi="Garamond"/>
                <w:sz w:val="22"/>
                <w:szCs w:val="22"/>
              </w:rPr>
            </w:pPr>
            <w:r w:rsidRPr="001043A6">
              <w:rPr>
                <w:rFonts w:ascii="Garamond" w:hAnsi="Garamond"/>
                <w:sz w:val="22"/>
                <w:szCs w:val="22"/>
              </w:rPr>
              <w:t>измерительные трансформаторы тока и напряжения;</w:t>
            </w:r>
          </w:p>
          <w:p w14:paraId="730974D4" w14:textId="77777777" w:rsidR="00E11B82" w:rsidRPr="001043A6" w:rsidRDefault="00E11B82" w:rsidP="009D7164">
            <w:pPr>
              <w:numPr>
                <w:ilvl w:val="0"/>
                <w:numId w:val="12"/>
              </w:numPr>
              <w:tabs>
                <w:tab w:val="clear" w:pos="360"/>
                <w:tab w:val="num" w:pos="0"/>
                <w:tab w:val="left" w:pos="1080"/>
                <w:tab w:val="left" w:pos="1440"/>
                <w:tab w:val="num" w:pos="1800"/>
              </w:tabs>
              <w:suppressAutoHyphens w:val="0"/>
              <w:ind w:left="0" w:firstLine="600"/>
              <w:jc w:val="both"/>
              <w:rPr>
                <w:rFonts w:ascii="Garamond" w:hAnsi="Garamond"/>
                <w:sz w:val="22"/>
                <w:szCs w:val="22"/>
              </w:rPr>
            </w:pPr>
            <w:r w:rsidRPr="001043A6">
              <w:rPr>
                <w:rFonts w:ascii="Garamond" w:hAnsi="Garamond"/>
                <w:sz w:val="22"/>
                <w:szCs w:val="22"/>
              </w:rPr>
              <w:t>вторичные аналоговые и (или) цифровые измерительные цепи;</w:t>
            </w:r>
          </w:p>
          <w:p w14:paraId="4CD3E792" w14:textId="77777777" w:rsidR="00E11B82" w:rsidRPr="001043A6" w:rsidRDefault="00E11B82" w:rsidP="009D7164">
            <w:pPr>
              <w:numPr>
                <w:ilvl w:val="0"/>
                <w:numId w:val="12"/>
              </w:numPr>
              <w:tabs>
                <w:tab w:val="clear" w:pos="360"/>
                <w:tab w:val="num" w:pos="0"/>
                <w:tab w:val="left" w:pos="1080"/>
                <w:tab w:val="left" w:pos="1440"/>
                <w:tab w:val="num" w:pos="1800"/>
              </w:tabs>
              <w:suppressAutoHyphens w:val="0"/>
              <w:ind w:left="0" w:firstLine="600"/>
              <w:jc w:val="both"/>
              <w:rPr>
                <w:rFonts w:ascii="Garamond" w:hAnsi="Garamond"/>
                <w:sz w:val="22"/>
                <w:szCs w:val="22"/>
              </w:rPr>
            </w:pPr>
            <w:r w:rsidRPr="001043A6">
              <w:rPr>
                <w:rFonts w:ascii="Garamond" w:hAnsi="Garamond"/>
                <w:sz w:val="22"/>
                <w:szCs w:val="22"/>
              </w:rPr>
              <w:t>устройства сопряжения измерительных цепей;</w:t>
            </w:r>
          </w:p>
          <w:p w14:paraId="78679DEF" w14:textId="77777777" w:rsidR="00E11B82" w:rsidRPr="001043A6" w:rsidRDefault="00E11B82" w:rsidP="009D7164">
            <w:pPr>
              <w:numPr>
                <w:ilvl w:val="0"/>
                <w:numId w:val="12"/>
              </w:numPr>
              <w:tabs>
                <w:tab w:val="clear" w:pos="360"/>
                <w:tab w:val="num" w:pos="0"/>
                <w:tab w:val="left" w:pos="1080"/>
                <w:tab w:val="left" w:pos="1440"/>
                <w:tab w:val="num" w:pos="1800"/>
              </w:tabs>
              <w:suppressAutoHyphens w:val="0"/>
              <w:ind w:left="0" w:firstLine="600"/>
              <w:jc w:val="both"/>
              <w:rPr>
                <w:rFonts w:ascii="Garamond" w:hAnsi="Garamond"/>
                <w:sz w:val="22"/>
                <w:szCs w:val="22"/>
              </w:rPr>
            </w:pPr>
            <w:r w:rsidRPr="001043A6">
              <w:rPr>
                <w:rFonts w:ascii="Garamond" w:hAnsi="Garamond"/>
                <w:sz w:val="22"/>
                <w:szCs w:val="22"/>
              </w:rPr>
              <w:t>технические средства приема-передачи данных и каналы связи (каналообразующая аппаратура).</w:t>
            </w:r>
          </w:p>
          <w:p w14:paraId="3A22C81F" w14:textId="77777777" w:rsidR="00E11B82" w:rsidRPr="001043A6" w:rsidRDefault="00E11B82" w:rsidP="009D7164">
            <w:pPr>
              <w:numPr>
                <w:ilvl w:val="2"/>
                <w:numId w:val="11"/>
              </w:numPr>
              <w:tabs>
                <w:tab w:val="num" w:pos="0"/>
                <w:tab w:val="left" w:pos="851"/>
                <w:tab w:val="left" w:pos="1080"/>
              </w:tabs>
              <w:suppressAutoHyphens w:val="0"/>
              <w:ind w:left="0" w:firstLine="600"/>
              <w:jc w:val="both"/>
              <w:rPr>
                <w:rFonts w:ascii="Garamond" w:hAnsi="Garamond"/>
                <w:sz w:val="22"/>
                <w:szCs w:val="22"/>
              </w:rPr>
            </w:pPr>
            <w:r w:rsidRPr="001043A6">
              <w:rPr>
                <w:rFonts w:ascii="Garamond" w:hAnsi="Garamond"/>
                <w:sz w:val="22"/>
                <w:szCs w:val="22"/>
              </w:rPr>
              <w:lastRenderedPageBreak/>
              <w:t xml:space="preserve">Уровень информационно-вычислительных комплексов электроустановок (далее – ИВКЭ), в состав которых входят: </w:t>
            </w:r>
          </w:p>
          <w:p w14:paraId="63640F1F" w14:textId="77777777" w:rsidR="00E11B82" w:rsidRPr="001043A6" w:rsidRDefault="00E11B82" w:rsidP="009D7164">
            <w:pPr>
              <w:numPr>
                <w:ilvl w:val="0"/>
                <w:numId w:val="12"/>
              </w:numPr>
              <w:tabs>
                <w:tab w:val="clear" w:pos="360"/>
                <w:tab w:val="num" w:pos="0"/>
                <w:tab w:val="left" w:pos="1080"/>
                <w:tab w:val="left" w:pos="1418"/>
                <w:tab w:val="num" w:pos="1800"/>
              </w:tabs>
              <w:suppressAutoHyphens w:val="0"/>
              <w:ind w:left="0" w:firstLine="600"/>
              <w:jc w:val="both"/>
              <w:rPr>
                <w:rFonts w:ascii="Garamond" w:hAnsi="Garamond"/>
                <w:sz w:val="22"/>
                <w:szCs w:val="22"/>
              </w:rPr>
            </w:pPr>
            <w:r w:rsidRPr="001043A6">
              <w:rPr>
                <w:rFonts w:ascii="Garamond" w:hAnsi="Garamond"/>
                <w:sz w:val="22"/>
                <w:szCs w:val="22"/>
              </w:rPr>
              <w:t>устройства сбора и передачи данных (УСПД);</w:t>
            </w:r>
          </w:p>
          <w:p w14:paraId="10A50B81" w14:textId="77777777" w:rsidR="00E11B82" w:rsidRPr="001043A6" w:rsidRDefault="00E11B82" w:rsidP="009D7164">
            <w:pPr>
              <w:numPr>
                <w:ilvl w:val="0"/>
                <w:numId w:val="12"/>
              </w:numPr>
              <w:tabs>
                <w:tab w:val="clear" w:pos="360"/>
                <w:tab w:val="num" w:pos="0"/>
                <w:tab w:val="left" w:pos="1080"/>
                <w:tab w:val="left" w:pos="1418"/>
                <w:tab w:val="num" w:pos="1800"/>
              </w:tabs>
              <w:suppressAutoHyphens w:val="0"/>
              <w:ind w:left="0" w:firstLine="600"/>
              <w:jc w:val="both"/>
              <w:rPr>
                <w:rFonts w:ascii="Garamond" w:hAnsi="Garamond"/>
                <w:sz w:val="22"/>
                <w:szCs w:val="22"/>
              </w:rPr>
            </w:pPr>
            <w:r w:rsidRPr="001043A6">
              <w:rPr>
                <w:rFonts w:ascii="Garamond" w:hAnsi="Garamond"/>
                <w:sz w:val="22"/>
                <w:szCs w:val="22"/>
              </w:rPr>
              <w:t>технические средства приема-передачи данных и каналы связи (каналообразующая аппаратура).</w:t>
            </w:r>
          </w:p>
          <w:p w14:paraId="26B71547" w14:textId="77777777" w:rsidR="00E11B82" w:rsidRPr="001043A6" w:rsidRDefault="00E11B82" w:rsidP="009D7164">
            <w:pPr>
              <w:numPr>
                <w:ilvl w:val="2"/>
                <w:numId w:val="11"/>
              </w:numPr>
              <w:tabs>
                <w:tab w:val="num" w:pos="0"/>
                <w:tab w:val="left" w:pos="851"/>
                <w:tab w:val="left" w:pos="1080"/>
              </w:tabs>
              <w:suppressAutoHyphens w:val="0"/>
              <w:ind w:left="0" w:firstLine="600"/>
              <w:jc w:val="both"/>
              <w:rPr>
                <w:rFonts w:ascii="Garamond" w:hAnsi="Garamond"/>
                <w:sz w:val="22"/>
                <w:szCs w:val="22"/>
              </w:rPr>
            </w:pPr>
            <w:r w:rsidRPr="001043A6">
              <w:rPr>
                <w:rFonts w:ascii="Garamond" w:hAnsi="Garamond"/>
                <w:sz w:val="22"/>
                <w:szCs w:val="22"/>
              </w:rPr>
              <w:t>Уровень информационно-вычислительного комплекса (далее – ИВК), в состав которого входят:</w:t>
            </w:r>
          </w:p>
          <w:p w14:paraId="58B80E39" w14:textId="77777777" w:rsidR="00E11B82" w:rsidRPr="001043A6" w:rsidRDefault="00E11B82" w:rsidP="009D7164">
            <w:pPr>
              <w:numPr>
                <w:ilvl w:val="0"/>
                <w:numId w:val="12"/>
              </w:numPr>
              <w:tabs>
                <w:tab w:val="clear" w:pos="360"/>
                <w:tab w:val="num" w:pos="0"/>
                <w:tab w:val="left" w:pos="1080"/>
                <w:tab w:val="left" w:pos="1418"/>
                <w:tab w:val="num" w:pos="1800"/>
              </w:tabs>
              <w:suppressAutoHyphens w:val="0"/>
              <w:ind w:left="0" w:firstLine="600"/>
              <w:jc w:val="both"/>
              <w:rPr>
                <w:rFonts w:ascii="Garamond" w:hAnsi="Garamond"/>
                <w:sz w:val="22"/>
                <w:szCs w:val="22"/>
              </w:rPr>
            </w:pPr>
            <w:r w:rsidRPr="001043A6">
              <w:rPr>
                <w:rFonts w:ascii="Garamond" w:hAnsi="Garamond"/>
                <w:sz w:val="22"/>
                <w:szCs w:val="22"/>
              </w:rPr>
              <w:t>сервер (сервер</w:t>
            </w:r>
            <w:r w:rsidRPr="001043A6">
              <w:rPr>
                <w:rFonts w:ascii="Garamond" w:hAnsi="Garamond"/>
                <w:sz w:val="22"/>
                <w:szCs w:val="22"/>
                <w:highlight w:val="yellow"/>
              </w:rPr>
              <w:t>а</w:t>
            </w:r>
            <w:r w:rsidRPr="001043A6">
              <w:rPr>
                <w:rFonts w:ascii="Garamond" w:hAnsi="Garamond"/>
                <w:sz w:val="22"/>
                <w:szCs w:val="22"/>
              </w:rPr>
              <w:t xml:space="preserve">) </w:t>
            </w:r>
            <w:r w:rsidRPr="001043A6">
              <w:rPr>
                <w:rFonts w:ascii="Garamond" w:hAnsi="Garamond"/>
                <w:sz w:val="22"/>
                <w:szCs w:val="22"/>
                <w:highlight w:val="yellow"/>
              </w:rPr>
              <w:t>баз данных</w:t>
            </w:r>
            <w:r w:rsidRPr="001043A6">
              <w:rPr>
                <w:rFonts w:ascii="Garamond" w:hAnsi="Garamond"/>
                <w:sz w:val="22"/>
                <w:szCs w:val="22"/>
              </w:rPr>
              <w:t xml:space="preserve"> с установленным программным обеспечением (ПО);</w:t>
            </w:r>
          </w:p>
          <w:p w14:paraId="28067AD9" w14:textId="77777777" w:rsidR="00E11B82" w:rsidRPr="001043A6" w:rsidRDefault="00E11B82" w:rsidP="009D7164">
            <w:pPr>
              <w:numPr>
                <w:ilvl w:val="0"/>
                <w:numId w:val="12"/>
              </w:numPr>
              <w:tabs>
                <w:tab w:val="clear" w:pos="360"/>
                <w:tab w:val="num" w:pos="0"/>
                <w:tab w:val="left" w:pos="1080"/>
                <w:tab w:val="left" w:pos="1418"/>
                <w:tab w:val="num" w:pos="1800"/>
              </w:tabs>
              <w:suppressAutoHyphens w:val="0"/>
              <w:ind w:left="0" w:firstLine="600"/>
              <w:jc w:val="both"/>
              <w:rPr>
                <w:rFonts w:ascii="Garamond" w:hAnsi="Garamond"/>
                <w:sz w:val="22"/>
                <w:szCs w:val="22"/>
              </w:rPr>
            </w:pPr>
            <w:r w:rsidRPr="001043A6">
              <w:rPr>
                <w:rFonts w:ascii="Garamond" w:hAnsi="Garamond"/>
                <w:sz w:val="22"/>
                <w:szCs w:val="22"/>
              </w:rPr>
              <w:t>автоматизированные рабочие места (АРМ);</w:t>
            </w:r>
          </w:p>
          <w:p w14:paraId="1BA39E04" w14:textId="77777777" w:rsidR="00E11B82" w:rsidRPr="001043A6" w:rsidRDefault="00E11B82" w:rsidP="009D7164">
            <w:pPr>
              <w:numPr>
                <w:ilvl w:val="0"/>
                <w:numId w:val="12"/>
              </w:numPr>
              <w:tabs>
                <w:tab w:val="clear" w:pos="360"/>
                <w:tab w:val="num" w:pos="0"/>
                <w:tab w:val="left" w:pos="1080"/>
                <w:tab w:val="left" w:pos="1418"/>
                <w:tab w:val="num" w:pos="1800"/>
              </w:tabs>
              <w:suppressAutoHyphens w:val="0"/>
              <w:ind w:left="0" w:firstLine="600"/>
              <w:jc w:val="both"/>
              <w:rPr>
                <w:rFonts w:ascii="Garamond" w:hAnsi="Garamond"/>
                <w:sz w:val="22"/>
                <w:szCs w:val="22"/>
              </w:rPr>
            </w:pPr>
            <w:r w:rsidRPr="001043A6">
              <w:rPr>
                <w:rFonts w:ascii="Garamond" w:hAnsi="Garamond"/>
                <w:sz w:val="22"/>
                <w:szCs w:val="22"/>
              </w:rPr>
              <w:t>технические средства приема-передачи данных и каналы связи (каналообразующая аппаратура).</w:t>
            </w:r>
          </w:p>
          <w:p w14:paraId="6EF1C85B" w14:textId="77777777" w:rsidR="00E11B82" w:rsidRPr="001043A6" w:rsidRDefault="00E11B82" w:rsidP="00E11B82">
            <w:pPr>
              <w:tabs>
                <w:tab w:val="num" w:pos="0"/>
                <w:tab w:val="left" w:pos="1080"/>
                <w:tab w:val="left" w:pos="1418"/>
              </w:tabs>
              <w:ind w:firstLine="600"/>
              <w:jc w:val="both"/>
              <w:rPr>
                <w:rFonts w:ascii="Garamond" w:hAnsi="Garamond"/>
                <w:sz w:val="22"/>
                <w:szCs w:val="22"/>
              </w:rPr>
            </w:pPr>
            <w:r w:rsidRPr="001043A6">
              <w:rPr>
                <w:rFonts w:ascii="Garamond" w:hAnsi="Garamond"/>
                <w:sz w:val="22"/>
                <w:szCs w:val="22"/>
              </w:rPr>
              <w:t>При отсутствии уровня ИВКЭ его функции выполняет уровень ИВК.</w:t>
            </w:r>
          </w:p>
        </w:tc>
        <w:tc>
          <w:tcPr>
            <w:tcW w:w="7115" w:type="dxa"/>
          </w:tcPr>
          <w:p w14:paraId="4CA04125" w14:textId="77777777" w:rsidR="00E11B82" w:rsidRPr="001043A6" w:rsidRDefault="00E11B82" w:rsidP="009D7164">
            <w:pPr>
              <w:pStyle w:val="ac"/>
              <w:numPr>
                <w:ilvl w:val="1"/>
                <w:numId w:val="15"/>
              </w:numPr>
              <w:tabs>
                <w:tab w:val="num" w:pos="792"/>
              </w:tabs>
              <w:ind w:left="0" w:firstLine="601"/>
              <w:jc w:val="both"/>
              <w:rPr>
                <w:rFonts w:ascii="Garamond" w:hAnsi="Garamond"/>
                <w:sz w:val="22"/>
                <w:szCs w:val="22"/>
              </w:rPr>
            </w:pPr>
            <w:r w:rsidRPr="001043A6">
              <w:rPr>
                <w:rFonts w:ascii="Garamond" w:hAnsi="Garamond"/>
                <w:sz w:val="22"/>
                <w:szCs w:val="22"/>
              </w:rPr>
              <w:lastRenderedPageBreak/>
              <w:t xml:space="preserve">Функции </w:t>
            </w:r>
            <w:r w:rsidR="00D0621E" w:rsidRPr="001043A6">
              <w:rPr>
                <w:rFonts w:ascii="Garamond" w:hAnsi="Garamond"/>
                <w:sz w:val="22"/>
                <w:szCs w:val="22"/>
                <w:highlight w:val="yellow"/>
              </w:rPr>
              <w:t>СУ</w:t>
            </w:r>
            <w:r w:rsidRPr="001043A6">
              <w:rPr>
                <w:rFonts w:ascii="Garamond" w:hAnsi="Garamond"/>
                <w:sz w:val="22"/>
                <w:szCs w:val="22"/>
              </w:rPr>
              <w:t xml:space="preserve"> реализуются на следующих уровнях:</w:t>
            </w:r>
          </w:p>
          <w:p w14:paraId="3AF00C79" w14:textId="77777777" w:rsidR="00E11B82" w:rsidRPr="001043A6" w:rsidRDefault="00E11B82" w:rsidP="009D7164">
            <w:pPr>
              <w:pStyle w:val="ac"/>
              <w:numPr>
                <w:ilvl w:val="2"/>
                <w:numId w:val="15"/>
              </w:numPr>
              <w:tabs>
                <w:tab w:val="left" w:pos="851"/>
                <w:tab w:val="left" w:pos="1080"/>
              </w:tabs>
              <w:ind w:left="0" w:firstLine="601"/>
              <w:jc w:val="both"/>
              <w:rPr>
                <w:rFonts w:ascii="Garamond" w:hAnsi="Garamond"/>
                <w:sz w:val="22"/>
                <w:szCs w:val="22"/>
              </w:rPr>
            </w:pPr>
            <w:r w:rsidRPr="001043A6">
              <w:rPr>
                <w:rFonts w:ascii="Garamond" w:hAnsi="Garamond"/>
                <w:sz w:val="22"/>
                <w:szCs w:val="22"/>
              </w:rPr>
              <w:t>Уровень измерительно-информационных комплексов (далее – ИИК), в состав которых входят:</w:t>
            </w:r>
          </w:p>
          <w:p w14:paraId="261B443E" w14:textId="77777777" w:rsidR="00E11B82" w:rsidRPr="001043A6" w:rsidRDefault="0069012E" w:rsidP="009D7164">
            <w:pPr>
              <w:numPr>
                <w:ilvl w:val="0"/>
                <w:numId w:val="12"/>
              </w:numPr>
              <w:tabs>
                <w:tab w:val="clear" w:pos="360"/>
                <w:tab w:val="num" w:pos="0"/>
                <w:tab w:val="left" w:pos="1080"/>
                <w:tab w:val="left" w:pos="1440"/>
                <w:tab w:val="num" w:pos="1800"/>
              </w:tabs>
              <w:suppressAutoHyphens w:val="0"/>
              <w:ind w:left="0" w:firstLine="600"/>
              <w:jc w:val="both"/>
              <w:rPr>
                <w:rFonts w:ascii="Garamond" w:hAnsi="Garamond"/>
                <w:sz w:val="22"/>
                <w:szCs w:val="22"/>
              </w:rPr>
            </w:pPr>
            <w:r w:rsidRPr="001043A6">
              <w:rPr>
                <w:rFonts w:ascii="Garamond" w:hAnsi="Garamond"/>
                <w:sz w:val="22"/>
                <w:szCs w:val="22"/>
                <w:highlight w:val="yellow"/>
              </w:rPr>
              <w:t>приборы учета</w:t>
            </w:r>
            <w:r w:rsidRPr="001043A6">
              <w:rPr>
                <w:rFonts w:ascii="Garamond" w:hAnsi="Garamond"/>
                <w:sz w:val="22"/>
                <w:szCs w:val="22"/>
              </w:rPr>
              <w:t xml:space="preserve"> </w:t>
            </w:r>
            <w:r w:rsidR="000A1A68" w:rsidRPr="001043A6">
              <w:rPr>
                <w:rFonts w:ascii="Garamond" w:hAnsi="Garamond"/>
                <w:sz w:val="22"/>
                <w:szCs w:val="22"/>
                <w:highlight w:val="yellow"/>
              </w:rPr>
              <w:t>электро</w:t>
            </w:r>
            <w:r w:rsidR="00E11B82" w:rsidRPr="001043A6">
              <w:rPr>
                <w:rFonts w:ascii="Garamond" w:hAnsi="Garamond"/>
                <w:sz w:val="22"/>
                <w:szCs w:val="22"/>
                <w:highlight w:val="yellow"/>
              </w:rPr>
              <w:t>энергии</w:t>
            </w:r>
            <w:r w:rsidR="00606D4F" w:rsidRPr="001043A6">
              <w:rPr>
                <w:rFonts w:ascii="Garamond" w:hAnsi="Garamond"/>
                <w:sz w:val="22"/>
                <w:szCs w:val="22"/>
              </w:rPr>
              <w:t xml:space="preserve"> </w:t>
            </w:r>
            <w:r w:rsidR="00606D4F" w:rsidRPr="001043A6">
              <w:rPr>
                <w:rFonts w:ascii="Garamond" w:hAnsi="Garamond"/>
                <w:sz w:val="22"/>
                <w:szCs w:val="22"/>
                <w:highlight w:val="yellow"/>
              </w:rPr>
              <w:t>(ИПУ в случае использования ИСУ)</w:t>
            </w:r>
            <w:r w:rsidR="00E11B82" w:rsidRPr="001043A6">
              <w:rPr>
                <w:rFonts w:ascii="Garamond" w:hAnsi="Garamond"/>
                <w:sz w:val="22"/>
                <w:szCs w:val="22"/>
              </w:rPr>
              <w:t>;</w:t>
            </w:r>
          </w:p>
          <w:p w14:paraId="7F15C088" w14:textId="77777777" w:rsidR="00E11B82" w:rsidRPr="001043A6" w:rsidRDefault="00E11B82" w:rsidP="009D7164">
            <w:pPr>
              <w:numPr>
                <w:ilvl w:val="0"/>
                <w:numId w:val="12"/>
              </w:numPr>
              <w:tabs>
                <w:tab w:val="clear" w:pos="360"/>
                <w:tab w:val="num" w:pos="0"/>
                <w:tab w:val="left" w:pos="1080"/>
                <w:tab w:val="left" w:pos="1440"/>
                <w:tab w:val="num" w:pos="1800"/>
              </w:tabs>
              <w:suppressAutoHyphens w:val="0"/>
              <w:ind w:left="0" w:firstLine="600"/>
              <w:jc w:val="both"/>
              <w:rPr>
                <w:rFonts w:ascii="Garamond" w:hAnsi="Garamond"/>
                <w:sz w:val="22"/>
                <w:szCs w:val="22"/>
              </w:rPr>
            </w:pPr>
            <w:r w:rsidRPr="001043A6">
              <w:rPr>
                <w:rFonts w:ascii="Garamond" w:hAnsi="Garamond"/>
                <w:sz w:val="22"/>
                <w:szCs w:val="22"/>
              </w:rPr>
              <w:t>измерительные трансформаторы тока и напряжения;</w:t>
            </w:r>
          </w:p>
          <w:p w14:paraId="00882296" w14:textId="77777777" w:rsidR="00E11B82" w:rsidRPr="001043A6" w:rsidRDefault="00E11B82" w:rsidP="009D7164">
            <w:pPr>
              <w:numPr>
                <w:ilvl w:val="0"/>
                <w:numId w:val="12"/>
              </w:numPr>
              <w:tabs>
                <w:tab w:val="clear" w:pos="360"/>
                <w:tab w:val="num" w:pos="0"/>
                <w:tab w:val="left" w:pos="1080"/>
                <w:tab w:val="left" w:pos="1440"/>
                <w:tab w:val="num" w:pos="1800"/>
              </w:tabs>
              <w:suppressAutoHyphens w:val="0"/>
              <w:ind w:left="0" w:firstLine="600"/>
              <w:jc w:val="both"/>
              <w:rPr>
                <w:rFonts w:ascii="Garamond" w:hAnsi="Garamond"/>
                <w:sz w:val="22"/>
                <w:szCs w:val="22"/>
              </w:rPr>
            </w:pPr>
            <w:r w:rsidRPr="001043A6">
              <w:rPr>
                <w:rFonts w:ascii="Garamond" w:hAnsi="Garamond"/>
                <w:sz w:val="22"/>
                <w:szCs w:val="22"/>
              </w:rPr>
              <w:t>вторичные аналоговые и (или) цифровые измерительные цепи;</w:t>
            </w:r>
          </w:p>
          <w:p w14:paraId="01A38DAB" w14:textId="77777777" w:rsidR="00792E6C" w:rsidRPr="001043A6" w:rsidRDefault="00E11B82" w:rsidP="009D7164">
            <w:pPr>
              <w:numPr>
                <w:ilvl w:val="0"/>
                <w:numId w:val="12"/>
              </w:numPr>
              <w:tabs>
                <w:tab w:val="clear" w:pos="360"/>
                <w:tab w:val="num" w:pos="0"/>
                <w:tab w:val="left" w:pos="1080"/>
                <w:tab w:val="left" w:pos="1440"/>
                <w:tab w:val="num" w:pos="1800"/>
              </w:tabs>
              <w:suppressAutoHyphens w:val="0"/>
              <w:ind w:left="0" w:firstLine="600"/>
              <w:jc w:val="both"/>
              <w:rPr>
                <w:rFonts w:ascii="Garamond" w:hAnsi="Garamond"/>
                <w:sz w:val="22"/>
                <w:szCs w:val="22"/>
              </w:rPr>
            </w:pPr>
            <w:r w:rsidRPr="001043A6">
              <w:rPr>
                <w:rFonts w:ascii="Garamond" w:hAnsi="Garamond"/>
                <w:sz w:val="22"/>
                <w:szCs w:val="22"/>
              </w:rPr>
              <w:t>устройства сопряжения измерительных цепей;</w:t>
            </w:r>
          </w:p>
          <w:p w14:paraId="7A7E7CEF" w14:textId="77777777" w:rsidR="00E11B82" w:rsidRPr="001043A6" w:rsidRDefault="00E11B82" w:rsidP="009537EC">
            <w:pPr>
              <w:numPr>
                <w:ilvl w:val="0"/>
                <w:numId w:val="12"/>
              </w:numPr>
              <w:tabs>
                <w:tab w:val="clear" w:pos="360"/>
                <w:tab w:val="num" w:pos="0"/>
                <w:tab w:val="left" w:pos="1080"/>
                <w:tab w:val="left" w:pos="1440"/>
                <w:tab w:val="num" w:pos="1800"/>
              </w:tabs>
              <w:suppressAutoHyphens w:val="0"/>
              <w:ind w:left="0" w:firstLine="600"/>
              <w:jc w:val="both"/>
              <w:rPr>
                <w:rFonts w:ascii="Garamond" w:hAnsi="Garamond"/>
                <w:sz w:val="22"/>
                <w:szCs w:val="22"/>
              </w:rPr>
            </w:pPr>
            <w:r w:rsidRPr="001043A6">
              <w:rPr>
                <w:rFonts w:ascii="Garamond" w:hAnsi="Garamond"/>
                <w:sz w:val="22"/>
                <w:szCs w:val="22"/>
              </w:rPr>
              <w:t>технические средства приема-передачи данных и каналы связи (каналообразующая аппаратура).</w:t>
            </w:r>
          </w:p>
          <w:p w14:paraId="618BE1C8" w14:textId="77777777" w:rsidR="00E11B82" w:rsidRPr="001043A6" w:rsidRDefault="00E11B82" w:rsidP="009D7164">
            <w:pPr>
              <w:numPr>
                <w:ilvl w:val="2"/>
                <w:numId w:val="15"/>
              </w:numPr>
              <w:tabs>
                <w:tab w:val="num" w:pos="0"/>
                <w:tab w:val="left" w:pos="851"/>
                <w:tab w:val="left" w:pos="1080"/>
              </w:tabs>
              <w:suppressAutoHyphens w:val="0"/>
              <w:ind w:left="0" w:firstLine="600"/>
              <w:jc w:val="both"/>
              <w:rPr>
                <w:rFonts w:ascii="Garamond" w:hAnsi="Garamond"/>
                <w:sz w:val="22"/>
                <w:szCs w:val="22"/>
              </w:rPr>
            </w:pPr>
            <w:r w:rsidRPr="001043A6">
              <w:rPr>
                <w:rFonts w:ascii="Garamond" w:hAnsi="Garamond"/>
                <w:sz w:val="22"/>
                <w:szCs w:val="22"/>
              </w:rPr>
              <w:lastRenderedPageBreak/>
              <w:t xml:space="preserve">Уровень информационно-вычислительных комплексов электроустановок (далее – ИВКЭ), в состав которых входят: </w:t>
            </w:r>
          </w:p>
          <w:p w14:paraId="4E619809" w14:textId="77777777" w:rsidR="00792E6C" w:rsidRPr="001043A6" w:rsidRDefault="00E11B82" w:rsidP="009537EC">
            <w:pPr>
              <w:numPr>
                <w:ilvl w:val="0"/>
                <w:numId w:val="12"/>
              </w:numPr>
              <w:tabs>
                <w:tab w:val="clear" w:pos="360"/>
                <w:tab w:val="num" w:pos="0"/>
                <w:tab w:val="left" w:pos="1080"/>
                <w:tab w:val="left" w:pos="1418"/>
                <w:tab w:val="num" w:pos="1800"/>
              </w:tabs>
              <w:suppressAutoHyphens w:val="0"/>
              <w:ind w:left="0" w:firstLine="600"/>
              <w:jc w:val="both"/>
              <w:rPr>
                <w:rFonts w:ascii="Garamond" w:hAnsi="Garamond"/>
                <w:sz w:val="22"/>
                <w:szCs w:val="22"/>
              </w:rPr>
            </w:pPr>
            <w:r w:rsidRPr="001043A6">
              <w:rPr>
                <w:rFonts w:ascii="Garamond" w:hAnsi="Garamond"/>
                <w:sz w:val="22"/>
                <w:szCs w:val="22"/>
              </w:rPr>
              <w:t>устройства сбора и передачи данных (УСПД);</w:t>
            </w:r>
          </w:p>
          <w:p w14:paraId="11127E12" w14:textId="77777777" w:rsidR="00E11B82" w:rsidRPr="001043A6" w:rsidRDefault="00E11B82" w:rsidP="009537EC">
            <w:pPr>
              <w:numPr>
                <w:ilvl w:val="0"/>
                <w:numId w:val="12"/>
              </w:numPr>
              <w:tabs>
                <w:tab w:val="clear" w:pos="360"/>
                <w:tab w:val="num" w:pos="0"/>
                <w:tab w:val="left" w:pos="1080"/>
                <w:tab w:val="left" w:pos="1418"/>
                <w:tab w:val="num" w:pos="1800"/>
              </w:tabs>
              <w:suppressAutoHyphens w:val="0"/>
              <w:ind w:left="0" w:firstLine="600"/>
              <w:jc w:val="both"/>
              <w:rPr>
                <w:rFonts w:ascii="Garamond" w:hAnsi="Garamond"/>
                <w:sz w:val="22"/>
                <w:szCs w:val="22"/>
              </w:rPr>
            </w:pPr>
            <w:r w:rsidRPr="001043A6">
              <w:rPr>
                <w:rFonts w:ascii="Garamond" w:hAnsi="Garamond"/>
                <w:sz w:val="22"/>
                <w:szCs w:val="22"/>
              </w:rPr>
              <w:t>технические средства приема-передачи данных и каналы связи (каналообразующая аппаратура).</w:t>
            </w:r>
          </w:p>
          <w:p w14:paraId="0D7B2221" w14:textId="77777777" w:rsidR="0063335A" w:rsidRPr="001043A6" w:rsidRDefault="0063335A" w:rsidP="00EC3A47">
            <w:pPr>
              <w:widowControl w:val="0"/>
              <w:spacing w:line="259" w:lineRule="auto"/>
              <w:ind w:firstLine="486"/>
              <w:jc w:val="both"/>
              <w:rPr>
                <w:rFonts w:ascii="Garamond" w:hAnsi="Garamond"/>
                <w:sz w:val="22"/>
                <w:szCs w:val="22"/>
              </w:rPr>
            </w:pPr>
            <w:r w:rsidRPr="001043A6">
              <w:rPr>
                <w:rFonts w:ascii="Garamond" w:hAnsi="Garamond"/>
                <w:bCs/>
                <w:sz w:val="22"/>
                <w:szCs w:val="22"/>
                <w:highlight w:val="yellow"/>
              </w:rPr>
              <w:t>Наличие ИВКЭ не является обязательным. Указанные в настоящих Технических требовани</w:t>
            </w:r>
            <w:r w:rsidR="00E72123" w:rsidRPr="001043A6">
              <w:rPr>
                <w:rFonts w:ascii="Garamond" w:hAnsi="Garamond"/>
                <w:bCs/>
                <w:sz w:val="22"/>
                <w:szCs w:val="22"/>
                <w:highlight w:val="yellow"/>
              </w:rPr>
              <w:t>ях</w:t>
            </w:r>
            <w:r w:rsidRPr="001043A6">
              <w:rPr>
                <w:rFonts w:ascii="Garamond" w:hAnsi="Garamond"/>
                <w:bCs/>
                <w:sz w:val="22"/>
                <w:szCs w:val="22"/>
                <w:highlight w:val="yellow"/>
              </w:rPr>
              <w:t xml:space="preserve"> положения применяются ко всем ИВКЭ, используемым в составе АИИС КУЭ, а к ИВКЭ, используемым для сбора, обработки, хранения, передачи результатов измерений и данных о состоянии средств измерений в ИСУ и в составе совокупности СИ и ТУ – только в случае выполнения такими ИВКЭ функции преобразования результатов измерений с учетом коэффициентов трансформации измерительных трансформаторов</w:t>
            </w:r>
            <w:r w:rsidRPr="001043A6">
              <w:rPr>
                <w:rFonts w:ascii="Garamond" w:hAnsi="Garamond"/>
                <w:bCs/>
                <w:sz w:val="22"/>
                <w:szCs w:val="22"/>
              </w:rPr>
              <w:t>.</w:t>
            </w:r>
          </w:p>
          <w:p w14:paraId="47D8F832" w14:textId="77777777" w:rsidR="00E11B82" w:rsidRPr="001043A6" w:rsidRDefault="00E11B82" w:rsidP="009D7164">
            <w:pPr>
              <w:numPr>
                <w:ilvl w:val="2"/>
                <w:numId w:val="15"/>
              </w:numPr>
              <w:tabs>
                <w:tab w:val="num" w:pos="0"/>
                <w:tab w:val="left" w:pos="851"/>
                <w:tab w:val="left" w:pos="1080"/>
              </w:tabs>
              <w:suppressAutoHyphens w:val="0"/>
              <w:ind w:left="0" w:firstLine="600"/>
              <w:jc w:val="both"/>
              <w:rPr>
                <w:rFonts w:ascii="Garamond" w:hAnsi="Garamond"/>
                <w:sz w:val="22"/>
                <w:szCs w:val="22"/>
              </w:rPr>
            </w:pPr>
            <w:r w:rsidRPr="001043A6">
              <w:rPr>
                <w:rFonts w:ascii="Garamond" w:hAnsi="Garamond"/>
                <w:sz w:val="22"/>
                <w:szCs w:val="22"/>
              </w:rPr>
              <w:t>Уровень информационно-вычислительного комплекса (далее – ИВК)</w:t>
            </w:r>
            <w:r w:rsidR="00606D4F" w:rsidRPr="001043A6">
              <w:rPr>
                <w:rFonts w:ascii="Garamond" w:hAnsi="Garamond"/>
                <w:sz w:val="22"/>
                <w:szCs w:val="22"/>
              </w:rPr>
              <w:t>,</w:t>
            </w:r>
            <w:r w:rsidRPr="001043A6">
              <w:rPr>
                <w:rFonts w:ascii="Garamond" w:hAnsi="Garamond"/>
                <w:sz w:val="22"/>
                <w:szCs w:val="22"/>
              </w:rPr>
              <w:t xml:space="preserve"> в состав которого входят:</w:t>
            </w:r>
          </w:p>
          <w:p w14:paraId="69B67672" w14:textId="77777777" w:rsidR="00E11B82" w:rsidRPr="001043A6" w:rsidRDefault="00E11B82" w:rsidP="009D7164">
            <w:pPr>
              <w:numPr>
                <w:ilvl w:val="0"/>
                <w:numId w:val="12"/>
              </w:numPr>
              <w:tabs>
                <w:tab w:val="clear" w:pos="360"/>
                <w:tab w:val="num" w:pos="0"/>
                <w:tab w:val="left" w:pos="1080"/>
                <w:tab w:val="left" w:pos="1418"/>
                <w:tab w:val="num" w:pos="1800"/>
              </w:tabs>
              <w:suppressAutoHyphens w:val="0"/>
              <w:ind w:left="0" w:firstLine="600"/>
              <w:jc w:val="both"/>
              <w:rPr>
                <w:rFonts w:ascii="Garamond" w:hAnsi="Garamond"/>
                <w:sz w:val="22"/>
                <w:szCs w:val="22"/>
              </w:rPr>
            </w:pPr>
            <w:r w:rsidRPr="001043A6">
              <w:rPr>
                <w:rFonts w:ascii="Garamond" w:hAnsi="Garamond"/>
                <w:sz w:val="22"/>
                <w:szCs w:val="22"/>
              </w:rPr>
              <w:t>сервер (сервер</w:t>
            </w:r>
            <w:r w:rsidRPr="001043A6">
              <w:rPr>
                <w:rFonts w:ascii="Garamond" w:hAnsi="Garamond"/>
                <w:sz w:val="22"/>
                <w:szCs w:val="22"/>
                <w:highlight w:val="yellow"/>
              </w:rPr>
              <w:t>ы</w:t>
            </w:r>
            <w:r w:rsidRPr="001043A6">
              <w:rPr>
                <w:rFonts w:ascii="Garamond" w:hAnsi="Garamond"/>
                <w:sz w:val="22"/>
                <w:szCs w:val="22"/>
              </w:rPr>
              <w:t>) с установленным программным обеспечением (ПО);</w:t>
            </w:r>
          </w:p>
          <w:p w14:paraId="17EADCEA" w14:textId="77777777" w:rsidR="00B36E64" w:rsidRPr="001043A6" w:rsidRDefault="00E11B82" w:rsidP="00B36E64">
            <w:pPr>
              <w:numPr>
                <w:ilvl w:val="0"/>
                <w:numId w:val="12"/>
              </w:numPr>
              <w:tabs>
                <w:tab w:val="clear" w:pos="360"/>
                <w:tab w:val="num" w:pos="0"/>
                <w:tab w:val="left" w:pos="1080"/>
                <w:tab w:val="left" w:pos="1418"/>
                <w:tab w:val="num" w:pos="1800"/>
              </w:tabs>
              <w:suppressAutoHyphens w:val="0"/>
              <w:ind w:left="0" w:firstLine="600"/>
              <w:jc w:val="both"/>
              <w:rPr>
                <w:rFonts w:ascii="Garamond" w:hAnsi="Garamond"/>
                <w:sz w:val="22"/>
                <w:szCs w:val="22"/>
              </w:rPr>
            </w:pPr>
            <w:r w:rsidRPr="001043A6">
              <w:rPr>
                <w:rFonts w:ascii="Garamond" w:hAnsi="Garamond"/>
                <w:sz w:val="22"/>
                <w:szCs w:val="22"/>
              </w:rPr>
              <w:t>автоматизированные рабочие места (АРМ);</w:t>
            </w:r>
          </w:p>
          <w:p w14:paraId="2829CD42" w14:textId="77777777" w:rsidR="00B36E64" w:rsidRPr="001043A6" w:rsidRDefault="00E11B82" w:rsidP="00B36E64">
            <w:pPr>
              <w:numPr>
                <w:ilvl w:val="0"/>
                <w:numId w:val="12"/>
              </w:numPr>
              <w:tabs>
                <w:tab w:val="clear" w:pos="360"/>
                <w:tab w:val="num" w:pos="0"/>
                <w:tab w:val="left" w:pos="1080"/>
                <w:tab w:val="left" w:pos="1418"/>
                <w:tab w:val="num" w:pos="1800"/>
              </w:tabs>
              <w:suppressAutoHyphens w:val="0"/>
              <w:ind w:left="0" w:firstLine="600"/>
              <w:jc w:val="both"/>
              <w:rPr>
                <w:rFonts w:ascii="Garamond" w:hAnsi="Garamond"/>
                <w:sz w:val="22"/>
                <w:szCs w:val="22"/>
              </w:rPr>
            </w:pPr>
            <w:r w:rsidRPr="001043A6">
              <w:rPr>
                <w:rFonts w:ascii="Garamond" w:hAnsi="Garamond"/>
                <w:sz w:val="22"/>
                <w:szCs w:val="22"/>
              </w:rPr>
              <w:t>технические средства приема-передачи данных и каналы связ</w:t>
            </w:r>
            <w:r w:rsidR="00606D4F" w:rsidRPr="001043A6">
              <w:rPr>
                <w:rFonts w:ascii="Garamond" w:hAnsi="Garamond"/>
                <w:sz w:val="22"/>
                <w:szCs w:val="22"/>
              </w:rPr>
              <w:t>и (каналообразующая аппаратура)</w:t>
            </w:r>
            <w:r w:rsidR="00B36E64" w:rsidRPr="001043A6">
              <w:rPr>
                <w:rFonts w:ascii="Garamond" w:hAnsi="Garamond"/>
                <w:sz w:val="22"/>
                <w:szCs w:val="22"/>
              </w:rPr>
              <w:t>.</w:t>
            </w:r>
          </w:p>
          <w:p w14:paraId="66B4250E" w14:textId="77777777" w:rsidR="00E11B82" w:rsidRPr="001043A6" w:rsidRDefault="00E11B82" w:rsidP="009537EC">
            <w:pPr>
              <w:tabs>
                <w:tab w:val="left" w:pos="1080"/>
                <w:tab w:val="left" w:pos="1418"/>
                <w:tab w:val="num" w:pos="1800"/>
              </w:tabs>
              <w:suppressAutoHyphens w:val="0"/>
              <w:ind w:firstLine="462"/>
              <w:jc w:val="both"/>
              <w:rPr>
                <w:rFonts w:ascii="Garamond" w:hAnsi="Garamond"/>
                <w:sz w:val="22"/>
                <w:szCs w:val="22"/>
              </w:rPr>
            </w:pPr>
            <w:r w:rsidRPr="001043A6">
              <w:rPr>
                <w:rFonts w:ascii="Garamond" w:hAnsi="Garamond"/>
                <w:sz w:val="22"/>
                <w:szCs w:val="22"/>
              </w:rPr>
              <w:t>При отсутствии уровня ИВКЭ его функции выполняет уровень ИВК</w:t>
            </w:r>
            <w:r w:rsidR="00BE505C" w:rsidRPr="001043A6">
              <w:rPr>
                <w:rFonts w:ascii="Garamond" w:hAnsi="Garamond"/>
                <w:sz w:val="22"/>
                <w:szCs w:val="22"/>
              </w:rPr>
              <w:t>.</w:t>
            </w:r>
          </w:p>
          <w:p w14:paraId="27FE8040" w14:textId="77777777" w:rsidR="00B36E64" w:rsidRPr="001043A6" w:rsidRDefault="00EC3A47" w:rsidP="00B36E64">
            <w:pPr>
              <w:widowControl w:val="0"/>
              <w:spacing w:line="259" w:lineRule="auto"/>
              <w:ind w:firstLine="486"/>
              <w:jc w:val="both"/>
              <w:rPr>
                <w:rFonts w:ascii="Garamond" w:hAnsi="Garamond"/>
                <w:sz w:val="22"/>
                <w:szCs w:val="22"/>
                <w:highlight w:val="yellow"/>
              </w:rPr>
            </w:pPr>
            <w:r w:rsidRPr="001043A6">
              <w:rPr>
                <w:rFonts w:ascii="Garamond" w:hAnsi="Garamond"/>
                <w:sz w:val="22"/>
                <w:szCs w:val="22"/>
                <w:highlight w:val="yellow"/>
              </w:rPr>
              <w:t>Для целей н</w:t>
            </w:r>
            <w:r w:rsidR="003135D0" w:rsidRPr="001043A6">
              <w:rPr>
                <w:rFonts w:ascii="Garamond" w:hAnsi="Garamond"/>
                <w:sz w:val="22"/>
                <w:szCs w:val="22"/>
                <w:highlight w:val="yellow"/>
              </w:rPr>
              <w:t>астоящих Т</w:t>
            </w:r>
            <w:r w:rsidRPr="001043A6">
              <w:rPr>
                <w:rFonts w:ascii="Garamond" w:hAnsi="Garamond"/>
                <w:sz w:val="22"/>
                <w:szCs w:val="22"/>
                <w:highlight w:val="yellow"/>
              </w:rPr>
              <w:t xml:space="preserve">ехнических требований </w:t>
            </w:r>
            <w:r w:rsidR="00BE505C" w:rsidRPr="001043A6">
              <w:rPr>
                <w:rFonts w:ascii="Garamond" w:hAnsi="Garamond"/>
                <w:sz w:val="22"/>
                <w:szCs w:val="22"/>
                <w:highlight w:val="yellow"/>
              </w:rPr>
              <w:t xml:space="preserve">под </w:t>
            </w:r>
            <w:r w:rsidR="00B36E64" w:rsidRPr="001043A6">
              <w:rPr>
                <w:rFonts w:ascii="Garamond" w:hAnsi="Garamond"/>
                <w:sz w:val="22"/>
                <w:szCs w:val="22"/>
                <w:highlight w:val="yellow"/>
              </w:rPr>
              <w:t xml:space="preserve">вышеуказанным </w:t>
            </w:r>
            <w:r w:rsidR="00BE505C" w:rsidRPr="001043A6">
              <w:rPr>
                <w:rFonts w:ascii="Garamond" w:hAnsi="Garamond"/>
                <w:sz w:val="22"/>
                <w:szCs w:val="22"/>
                <w:highlight w:val="yellow"/>
              </w:rPr>
              <w:t xml:space="preserve">ИВК </w:t>
            </w:r>
            <w:r w:rsidR="00B36E64" w:rsidRPr="001043A6">
              <w:rPr>
                <w:rFonts w:ascii="Garamond" w:hAnsi="Garamond"/>
                <w:sz w:val="22"/>
                <w:szCs w:val="22"/>
                <w:highlight w:val="yellow"/>
              </w:rPr>
              <w:t>понимается:</w:t>
            </w:r>
          </w:p>
          <w:p w14:paraId="698ADBE2" w14:textId="4C7F1FCD" w:rsidR="00B36E64" w:rsidRPr="001043A6" w:rsidRDefault="009B5F03" w:rsidP="00B36E64">
            <w:pPr>
              <w:widowControl w:val="0"/>
              <w:spacing w:line="259" w:lineRule="auto"/>
              <w:ind w:firstLine="486"/>
              <w:jc w:val="both"/>
              <w:rPr>
                <w:rFonts w:ascii="Garamond" w:hAnsi="Garamond"/>
                <w:sz w:val="22"/>
                <w:szCs w:val="22"/>
                <w:highlight w:val="yellow"/>
              </w:rPr>
            </w:pPr>
            <w:r>
              <w:rPr>
                <w:rFonts w:ascii="Garamond" w:hAnsi="Garamond"/>
                <w:sz w:val="22"/>
                <w:szCs w:val="22"/>
                <w:highlight w:val="yellow"/>
              </w:rPr>
              <w:t xml:space="preserve">– </w:t>
            </w:r>
            <w:r w:rsidR="00B36E64" w:rsidRPr="001043A6">
              <w:rPr>
                <w:rFonts w:ascii="Garamond" w:hAnsi="Garamond"/>
                <w:sz w:val="22"/>
                <w:szCs w:val="22"/>
                <w:highlight w:val="yellow"/>
              </w:rPr>
              <w:t>техническое устройство без измерительных функций</w:t>
            </w:r>
            <w:r>
              <w:rPr>
                <w:rFonts w:ascii="Garamond" w:hAnsi="Garamond"/>
                <w:sz w:val="22"/>
                <w:szCs w:val="22"/>
                <w:highlight w:val="yellow"/>
              </w:rPr>
              <w:t xml:space="preserve"> – </w:t>
            </w:r>
            <w:r w:rsidR="00EC3A47" w:rsidRPr="001043A6">
              <w:rPr>
                <w:rFonts w:ascii="Garamond" w:hAnsi="Garamond"/>
                <w:sz w:val="22"/>
                <w:szCs w:val="22"/>
                <w:highlight w:val="yellow"/>
              </w:rPr>
              <w:t>в случае использования совокупности СИ и ТУ</w:t>
            </w:r>
            <w:r w:rsidR="00B36E64" w:rsidRPr="001043A6">
              <w:rPr>
                <w:rFonts w:ascii="Garamond" w:hAnsi="Garamond"/>
                <w:sz w:val="22"/>
                <w:szCs w:val="22"/>
                <w:highlight w:val="yellow"/>
              </w:rPr>
              <w:t>;</w:t>
            </w:r>
          </w:p>
          <w:p w14:paraId="0F2255A1" w14:textId="202C6F65" w:rsidR="00EC3A47" w:rsidRPr="001043A6" w:rsidRDefault="009B5F03" w:rsidP="00866F59">
            <w:pPr>
              <w:widowControl w:val="0"/>
              <w:spacing w:line="259" w:lineRule="auto"/>
              <w:ind w:firstLine="486"/>
              <w:jc w:val="both"/>
              <w:rPr>
                <w:rFonts w:ascii="Garamond" w:hAnsi="Garamond"/>
                <w:sz w:val="22"/>
                <w:szCs w:val="22"/>
              </w:rPr>
            </w:pPr>
            <w:r>
              <w:rPr>
                <w:rFonts w:ascii="Garamond" w:hAnsi="Garamond"/>
                <w:sz w:val="22"/>
                <w:szCs w:val="22"/>
                <w:highlight w:val="yellow"/>
              </w:rPr>
              <w:t xml:space="preserve">– </w:t>
            </w:r>
            <w:r w:rsidR="00B36E64" w:rsidRPr="001043A6">
              <w:rPr>
                <w:rFonts w:ascii="Garamond" w:hAnsi="Garamond"/>
                <w:sz w:val="22"/>
                <w:szCs w:val="22"/>
                <w:highlight w:val="yellow"/>
              </w:rPr>
              <w:t xml:space="preserve">совокупность функционально объединенных компонентов и устройств, предназначенная для удаленного сбора, обработки, передачи показаний </w:t>
            </w:r>
            <w:r w:rsidR="00A20D15" w:rsidRPr="001043A6">
              <w:rPr>
                <w:rFonts w:ascii="Garamond" w:hAnsi="Garamond"/>
                <w:sz w:val="22"/>
                <w:szCs w:val="22"/>
                <w:highlight w:val="yellow"/>
              </w:rPr>
              <w:t>ИПУ</w:t>
            </w:r>
            <w:r w:rsidR="00B36E64" w:rsidRPr="001043A6">
              <w:rPr>
                <w:rFonts w:ascii="Garamond" w:hAnsi="Garamond"/>
                <w:sz w:val="22"/>
                <w:szCs w:val="22"/>
                <w:highlight w:val="yellow"/>
              </w:rPr>
              <w:t xml:space="preserve">, обеспечивающая информационный обмен, хранение показаний </w:t>
            </w:r>
            <w:r w:rsidR="00A20D15" w:rsidRPr="001043A6">
              <w:rPr>
                <w:rFonts w:ascii="Garamond" w:hAnsi="Garamond"/>
                <w:sz w:val="22"/>
                <w:szCs w:val="22"/>
                <w:highlight w:val="yellow"/>
              </w:rPr>
              <w:t>ИПУ</w:t>
            </w:r>
            <w:r w:rsidR="00B36E64" w:rsidRPr="001043A6">
              <w:rPr>
                <w:rFonts w:ascii="Garamond" w:hAnsi="Garamond"/>
                <w:sz w:val="22"/>
                <w:szCs w:val="22"/>
                <w:highlight w:val="yellow"/>
              </w:rPr>
              <w:t xml:space="preserve">, удаленное управление ее компонентами, устройствами и </w:t>
            </w:r>
            <w:r w:rsidR="00A20D15" w:rsidRPr="001043A6">
              <w:rPr>
                <w:rFonts w:ascii="Garamond" w:hAnsi="Garamond"/>
                <w:sz w:val="22"/>
                <w:szCs w:val="22"/>
                <w:highlight w:val="yellow"/>
              </w:rPr>
              <w:t>ИПУ</w:t>
            </w:r>
            <w:r w:rsidR="00B36E64" w:rsidRPr="001043A6">
              <w:rPr>
                <w:rFonts w:ascii="Garamond" w:hAnsi="Garamond"/>
                <w:sz w:val="22"/>
                <w:szCs w:val="22"/>
                <w:highlight w:val="yellow"/>
              </w:rPr>
              <w:t xml:space="preserve">, не влияющее на результаты измерений, выполняемых </w:t>
            </w:r>
            <w:r w:rsidR="00A20D15" w:rsidRPr="001043A6">
              <w:rPr>
                <w:rFonts w:ascii="Garamond" w:hAnsi="Garamond"/>
                <w:sz w:val="22"/>
                <w:szCs w:val="22"/>
                <w:highlight w:val="yellow"/>
              </w:rPr>
              <w:t>ИПУ</w:t>
            </w:r>
            <w:r w:rsidR="00B36E64" w:rsidRPr="001043A6">
              <w:rPr>
                <w:rFonts w:ascii="Garamond" w:hAnsi="Garamond"/>
                <w:sz w:val="22"/>
                <w:szCs w:val="22"/>
                <w:highlight w:val="yellow"/>
              </w:rPr>
              <w:t xml:space="preserve">, а также предоставление информации о результатах измерений, данных о количестве и иных параметрах электрической энергии в соответствии с </w:t>
            </w:r>
            <w:r w:rsidR="00A20D15" w:rsidRPr="001043A6">
              <w:rPr>
                <w:rFonts w:ascii="Garamond" w:hAnsi="Garamond"/>
                <w:sz w:val="22"/>
                <w:szCs w:val="22"/>
                <w:highlight w:val="yellow"/>
              </w:rPr>
              <w:t>Правилами предоставления доступа к минимальному набору функций интеллектуальных систем учета</w:t>
            </w:r>
            <w:r>
              <w:rPr>
                <w:rFonts w:ascii="Garamond" w:hAnsi="Garamond"/>
                <w:sz w:val="22"/>
                <w:szCs w:val="22"/>
                <w:highlight w:val="yellow"/>
              </w:rPr>
              <w:t xml:space="preserve"> – </w:t>
            </w:r>
            <w:r w:rsidR="00A20D15" w:rsidRPr="001043A6">
              <w:rPr>
                <w:rFonts w:ascii="Garamond" w:hAnsi="Garamond"/>
                <w:sz w:val="22"/>
                <w:szCs w:val="22"/>
                <w:highlight w:val="yellow"/>
              </w:rPr>
              <w:t>в</w:t>
            </w:r>
            <w:r w:rsidR="00B36E64" w:rsidRPr="001043A6">
              <w:rPr>
                <w:rFonts w:ascii="Garamond" w:hAnsi="Garamond"/>
                <w:sz w:val="22"/>
                <w:szCs w:val="22"/>
                <w:highlight w:val="yellow"/>
              </w:rPr>
              <w:t xml:space="preserve"> </w:t>
            </w:r>
            <w:r w:rsidR="00BE505C" w:rsidRPr="001043A6">
              <w:rPr>
                <w:rFonts w:ascii="Garamond" w:hAnsi="Garamond"/>
                <w:sz w:val="22"/>
                <w:szCs w:val="22"/>
                <w:highlight w:val="yellow"/>
              </w:rPr>
              <w:t xml:space="preserve">случае использования </w:t>
            </w:r>
            <w:r w:rsidR="00EC3A47" w:rsidRPr="001043A6">
              <w:rPr>
                <w:rFonts w:ascii="Garamond" w:hAnsi="Garamond"/>
                <w:sz w:val="22"/>
                <w:szCs w:val="22"/>
                <w:highlight w:val="yellow"/>
              </w:rPr>
              <w:t>ИСУ</w:t>
            </w:r>
            <w:r w:rsidR="00B36E64" w:rsidRPr="001043A6">
              <w:rPr>
                <w:rFonts w:ascii="Garamond" w:hAnsi="Garamond"/>
                <w:sz w:val="22"/>
                <w:szCs w:val="22"/>
                <w:highlight w:val="yellow"/>
              </w:rPr>
              <w:t>.</w:t>
            </w:r>
          </w:p>
        </w:tc>
      </w:tr>
      <w:tr w:rsidR="00E11B82" w:rsidRPr="001043A6" w14:paraId="04714BE4" w14:textId="77777777" w:rsidTr="001043A6">
        <w:tc>
          <w:tcPr>
            <w:tcW w:w="1031" w:type="dxa"/>
          </w:tcPr>
          <w:p w14:paraId="16D63FAB" w14:textId="77777777" w:rsidR="00E11B82" w:rsidRPr="001043A6" w:rsidRDefault="00E11B82" w:rsidP="00E11B82">
            <w:pPr>
              <w:widowControl w:val="0"/>
              <w:spacing w:line="259" w:lineRule="auto"/>
              <w:jc w:val="center"/>
              <w:rPr>
                <w:rFonts w:ascii="Garamond" w:hAnsi="Garamond"/>
                <w:b/>
                <w:sz w:val="22"/>
                <w:szCs w:val="22"/>
                <w:lang w:eastAsia="en-US"/>
              </w:rPr>
            </w:pPr>
            <w:r w:rsidRPr="001043A6">
              <w:rPr>
                <w:rFonts w:ascii="Garamond" w:hAnsi="Garamond"/>
                <w:b/>
                <w:sz w:val="22"/>
                <w:szCs w:val="22"/>
                <w:lang w:eastAsia="en-US"/>
              </w:rPr>
              <w:lastRenderedPageBreak/>
              <w:t>2.3</w:t>
            </w:r>
          </w:p>
        </w:tc>
        <w:tc>
          <w:tcPr>
            <w:tcW w:w="6833" w:type="dxa"/>
          </w:tcPr>
          <w:p w14:paraId="34554E0D" w14:textId="77777777" w:rsidR="00E11B82" w:rsidRPr="001043A6" w:rsidRDefault="00E11B82" w:rsidP="00E11B82">
            <w:pPr>
              <w:tabs>
                <w:tab w:val="num" w:pos="792"/>
                <w:tab w:val="left" w:pos="1080"/>
                <w:tab w:val="num" w:pos="1134"/>
                <w:tab w:val="left" w:pos="8100"/>
              </w:tabs>
              <w:suppressAutoHyphens w:val="0"/>
              <w:spacing w:line="259" w:lineRule="auto"/>
              <w:ind w:firstLine="629"/>
              <w:jc w:val="both"/>
              <w:rPr>
                <w:rFonts w:ascii="Garamond" w:hAnsi="Garamond"/>
                <w:sz w:val="22"/>
                <w:szCs w:val="22"/>
              </w:rPr>
            </w:pPr>
            <w:r w:rsidRPr="001043A6">
              <w:rPr>
                <w:rFonts w:ascii="Garamond" w:hAnsi="Garamond"/>
                <w:sz w:val="22"/>
                <w:szCs w:val="22"/>
              </w:rPr>
              <w:t xml:space="preserve">Система обеспечения единого времени (далее – СОЕВ) </w:t>
            </w:r>
            <w:r w:rsidRPr="001043A6">
              <w:rPr>
                <w:rFonts w:ascii="Garamond" w:hAnsi="Garamond"/>
                <w:sz w:val="22"/>
                <w:szCs w:val="22"/>
                <w:shd w:val="clear" w:color="auto" w:fill="FFFFFF" w:themeFill="background1"/>
              </w:rPr>
              <w:t>формируется на всех уровнях</w:t>
            </w:r>
            <w:r w:rsidRPr="001043A6">
              <w:rPr>
                <w:rFonts w:ascii="Garamond" w:hAnsi="Garamond"/>
                <w:sz w:val="22"/>
                <w:szCs w:val="22"/>
              </w:rPr>
              <w:t xml:space="preserve"> АИИС КУЭ.</w:t>
            </w:r>
            <w:r w:rsidRPr="001043A6">
              <w:rPr>
                <w:rFonts w:ascii="Garamond" w:hAnsi="Garamond"/>
                <w:bCs/>
                <w:sz w:val="22"/>
                <w:szCs w:val="22"/>
              </w:rPr>
              <w:t xml:space="preserve"> СОЕВ</w:t>
            </w:r>
            <w:r w:rsidRPr="001043A6">
              <w:rPr>
                <w:rFonts w:ascii="Garamond" w:hAnsi="Garamond"/>
                <w:sz w:val="22"/>
                <w:szCs w:val="22"/>
              </w:rPr>
              <w:t xml:space="preserve"> выполняет </w:t>
            </w:r>
            <w:r w:rsidRPr="001043A6">
              <w:rPr>
                <w:rFonts w:ascii="Garamond" w:hAnsi="Garamond"/>
                <w:sz w:val="22"/>
                <w:szCs w:val="22"/>
              </w:rPr>
              <w:lastRenderedPageBreak/>
              <w:t xml:space="preserve">законченную функцию измерений времени, имеет нормированные метрологические характеристики и обеспечивает синхронизацию времени от источника точного времени при проведении измерений количества электроэнергии с точностью не хуже </w:t>
            </w:r>
            <w:r w:rsidRPr="001043A6">
              <w:rPr>
                <w:rFonts w:ascii="Garamond" w:hAnsi="Garamond"/>
                <w:sz w:val="22"/>
                <w:szCs w:val="22"/>
              </w:rPr>
              <w:sym w:font="Symbol" w:char="F0B1"/>
            </w:r>
            <w:r w:rsidRPr="001043A6">
              <w:rPr>
                <w:rFonts w:ascii="Garamond" w:hAnsi="Garamond"/>
                <w:sz w:val="22"/>
                <w:szCs w:val="22"/>
              </w:rPr>
              <w:t>5,0 с. В СОЕВ входят все средства измерений времени, влияющие на процесс измерения количества электроэнергии, и учитываются временные характеристики (задержки) линий связи между ними, которые используются при синхронизации и коррекции времени. СОЕВ должна быть привязана к единому календарному времени.</w:t>
            </w:r>
          </w:p>
          <w:p w14:paraId="47A014C6" w14:textId="77777777" w:rsidR="00E11B82" w:rsidRPr="001043A6" w:rsidRDefault="00E11B82" w:rsidP="00E11B82">
            <w:pPr>
              <w:tabs>
                <w:tab w:val="num" w:pos="0"/>
                <w:tab w:val="left" w:pos="1080"/>
                <w:tab w:val="left" w:pos="8100"/>
              </w:tabs>
              <w:spacing w:line="259" w:lineRule="auto"/>
              <w:ind w:firstLine="600"/>
              <w:jc w:val="both"/>
              <w:rPr>
                <w:rFonts w:ascii="Garamond" w:hAnsi="Garamond"/>
                <w:sz w:val="22"/>
                <w:szCs w:val="22"/>
                <w:highlight w:val="yellow"/>
              </w:rPr>
            </w:pPr>
            <w:r w:rsidRPr="001043A6">
              <w:rPr>
                <w:rFonts w:ascii="Garamond" w:hAnsi="Garamond"/>
                <w:sz w:val="22"/>
                <w:szCs w:val="22"/>
                <w:highlight w:val="yellow"/>
              </w:rPr>
              <w:t>Значения показателей надежности СОЕВ должны быть не ниже:</w:t>
            </w:r>
          </w:p>
          <w:p w14:paraId="6349D7C7" w14:textId="77777777" w:rsidR="00E11B82" w:rsidRPr="001043A6" w:rsidRDefault="00E11B82" w:rsidP="009D7164">
            <w:pPr>
              <w:numPr>
                <w:ilvl w:val="0"/>
                <w:numId w:val="14"/>
              </w:numPr>
              <w:tabs>
                <w:tab w:val="num" w:pos="0"/>
                <w:tab w:val="left" w:pos="993"/>
                <w:tab w:val="left" w:pos="1080"/>
                <w:tab w:val="left" w:pos="1320"/>
                <w:tab w:val="num" w:pos="1440"/>
              </w:tabs>
              <w:suppressAutoHyphens w:val="0"/>
              <w:spacing w:line="259" w:lineRule="auto"/>
              <w:ind w:left="0" w:firstLine="600"/>
              <w:jc w:val="both"/>
              <w:rPr>
                <w:rFonts w:ascii="Garamond" w:hAnsi="Garamond"/>
                <w:bCs/>
                <w:sz w:val="22"/>
                <w:szCs w:val="22"/>
                <w:highlight w:val="yellow"/>
              </w:rPr>
            </w:pPr>
            <w:r w:rsidRPr="001043A6">
              <w:rPr>
                <w:rFonts w:ascii="Garamond" w:hAnsi="Garamond"/>
                <w:bCs/>
                <w:sz w:val="22"/>
                <w:szCs w:val="22"/>
                <w:highlight w:val="yellow"/>
              </w:rPr>
              <w:t>коэффициент готовности – не менее 0,95;</w:t>
            </w:r>
          </w:p>
          <w:p w14:paraId="22E7E40E" w14:textId="77777777" w:rsidR="00E11B82" w:rsidRPr="001043A6" w:rsidRDefault="00E11B82" w:rsidP="009D7164">
            <w:pPr>
              <w:numPr>
                <w:ilvl w:val="0"/>
                <w:numId w:val="14"/>
              </w:numPr>
              <w:tabs>
                <w:tab w:val="num" w:pos="0"/>
                <w:tab w:val="left" w:pos="993"/>
                <w:tab w:val="left" w:pos="1080"/>
                <w:tab w:val="left" w:pos="1320"/>
                <w:tab w:val="num" w:pos="1440"/>
              </w:tabs>
              <w:suppressAutoHyphens w:val="0"/>
              <w:spacing w:line="259" w:lineRule="auto"/>
              <w:ind w:left="0" w:firstLine="600"/>
              <w:jc w:val="both"/>
              <w:rPr>
                <w:rFonts w:ascii="Garamond" w:hAnsi="Garamond"/>
                <w:bCs/>
                <w:sz w:val="22"/>
                <w:szCs w:val="22"/>
              </w:rPr>
            </w:pPr>
            <w:r w:rsidRPr="001043A6">
              <w:rPr>
                <w:rFonts w:ascii="Garamond" w:hAnsi="Garamond"/>
                <w:bCs/>
                <w:sz w:val="22"/>
                <w:szCs w:val="22"/>
                <w:highlight w:val="yellow"/>
              </w:rPr>
              <w:t>время восстановления – не более 24 часов.</w:t>
            </w:r>
          </w:p>
        </w:tc>
        <w:tc>
          <w:tcPr>
            <w:tcW w:w="7115" w:type="dxa"/>
          </w:tcPr>
          <w:p w14:paraId="3524C31B" w14:textId="77777777" w:rsidR="00E11B82" w:rsidRPr="001043A6" w:rsidRDefault="00E11B82" w:rsidP="00E11B82">
            <w:pPr>
              <w:tabs>
                <w:tab w:val="num" w:pos="792"/>
                <w:tab w:val="left" w:pos="1080"/>
                <w:tab w:val="num" w:pos="1134"/>
                <w:tab w:val="left" w:pos="8100"/>
              </w:tabs>
              <w:suppressAutoHyphens w:val="0"/>
              <w:spacing w:line="259" w:lineRule="auto"/>
              <w:ind w:firstLine="629"/>
              <w:jc w:val="both"/>
              <w:rPr>
                <w:rFonts w:ascii="Garamond" w:hAnsi="Garamond"/>
                <w:sz w:val="22"/>
                <w:szCs w:val="22"/>
              </w:rPr>
            </w:pPr>
            <w:r w:rsidRPr="001043A6">
              <w:rPr>
                <w:rFonts w:ascii="Garamond" w:hAnsi="Garamond"/>
                <w:sz w:val="22"/>
                <w:szCs w:val="22"/>
              </w:rPr>
              <w:lastRenderedPageBreak/>
              <w:t xml:space="preserve">Система обеспечения единого времени (далее – СОЕВ) </w:t>
            </w:r>
            <w:r w:rsidRPr="001043A6">
              <w:rPr>
                <w:rFonts w:ascii="Garamond" w:hAnsi="Garamond"/>
                <w:sz w:val="22"/>
                <w:szCs w:val="22"/>
                <w:highlight w:val="yellow"/>
              </w:rPr>
              <w:t>АИИС КУЭ</w:t>
            </w:r>
            <w:r w:rsidRPr="001043A6">
              <w:rPr>
                <w:rFonts w:ascii="Garamond" w:hAnsi="Garamond"/>
                <w:sz w:val="22"/>
                <w:szCs w:val="22"/>
              </w:rPr>
              <w:t xml:space="preserve"> </w:t>
            </w:r>
            <w:r w:rsidR="002F61C7" w:rsidRPr="001043A6">
              <w:rPr>
                <w:rFonts w:ascii="Garamond" w:hAnsi="Garamond"/>
                <w:sz w:val="22"/>
                <w:szCs w:val="22"/>
              </w:rPr>
              <w:t>формируется на всех уровнях</w:t>
            </w:r>
            <w:r w:rsidR="00882348" w:rsidRPr="001043A6">
              <w:rPr>
                <w:rFonts w:ascii="Garamond" w:hAnsi="Garamond"/>
                <w:sz w:val="22"/>
                <w:szCs w:val="22"/>
              </w:rPr>
              <w:t xml:space="preserve"> </w:t>
            </w:r>
            <w:r w:rsidRPr="001043A6">
              <w:rPr>
                <w:rFonts w:ascii="Garamond" w:hAnsi="Garamond"/>
                <w:sz w:val="22"/>
                <w:szCs w:val="22"/>
              </w:rPr>
              <w:t>АИИС КУЭ.</w:t>
            </w:r>
            <w:r w:rsidRPr="001043A6">
              <w:rPr>
                <w:rFonts w:ascii="Garamond" w:hAnsi="Garamond"/>
                <w:bCs/>
                <w:sz w:val="22"/>
                <w:szCs w:val="22"/>
              </w:rPr>
              <w:t xml:space="preserve"> СОЕВ</w:t>
            </w:r>
            <w:r w:rsidRPr="001043A6">
              <w:rPr>
                <w:rFonts w:ascii="Garamond" w:hAnsi="Garamond"/>
                <w:sz w:val="22"/>
                <w:szCs w:val="22"/>
              </w:rPr>
              <w:t xml:space="preserve"> </w:t>
            </w:r>
            <w:r w:rsidRPr="001043A6">
              <w:rPr>
                <w:rFonts w:ascii="Garamond" w:hAnsi="Garamond"/>
                <w:sz w:val="22"/>
                <w:szCs w:val="22"/>
                <w:highlight w:val="yellow"/>
              </w:rPr>
              <w:t>АИИС КУ</w:t>
            </w:r>
            <w:r w:rsidR="00882348" w:rsidRPr="001043A6">
              <w:rPr>
                <w:rFonts w:ascii="Garamond" w:hAnsi="Garamond"/>
                <w:sz w:val="22"/>
                <w:szCs w:val="22"/>
                <w:highlight w:val="yellow"/>
              </w:rPr>
              <w:t>Э</w:t>
            </w:r>
            <w:r w:rsidR="00882348" w:rsidRPr="001043A6">
              <w:rPr>
                <w:rFonts w:ascii="Garamond" w:hAnsi="Garamond"/>
                <w:sz w:val="22"/>
                <w:szCs w:val="22"/>
              </w:rPr>
              <w:t xml:space="preserve"> </w:t>
            </w:r>
            <w:r w:rsidRPr="001043A6">
              <w:rPr>
                <w:rFonts w:ascii="Garamond" w:hAnsi="Garamond"/>
                <w:sz w:val="22"/>
                <w:szCs w:val="22"/>
              </w:rPr>
              <w:t xml:space="preserve">выполняет </w:t>
            </w:r>
            <w:r w:rsidRPr="001043A6">
              <w:rPr>
                <w:rFonts w:ascii="Garamond" w:hAnsi="Garamond"/>
                <w:sz w:val="22"/>
                <w:szCs w:val="22"/>
              </w:rPr>
              <w:lastRenderedPageBreak/>
              <w:t>законченную функцию измерений времени, имеет нормированные метрологические характеристики</w:t>
            </w:r>
            <w:r w:rsidR="002F61C7" w:rsidRPr="001043A6">
              <w:rPr>
                <w:rFonts w:ascii="Garamond" w:hAnsi="Garamond"/>
                <w:sz w:val="22"/>
                <w:szCs w:val="22"/>
              </w:rPr>
              <w:t xml:space="preserve"> </w:t>
            </w:r>
            <w:r w:rsidRPr="001043A6">
              <w:rPr>
                <w:rFonts w:ascii="Garamond" w:hAnsi="Garamond"/>
                <w:sz w:val="22"/>
                <w:szCs w:val="22"/>
              </w:rPr>
              <w:t xml:space="preserve">и обеспечивает синхронизацию времени от источника точного времени при проведении измерений количества электроэнергии с точностью не хуже </w:t>
            </w:r>
            <w:r w:rsidRPr="001043A6">
              <w:rPr>
                <w:rFonts w:ascii="Garamond" w:hAnsi="Garamond"/>
                <w:sz w:val="22"/>
                <w:szCs w:val="22"/>
              </w:rPr>
              <w:sym w:font="Symbol" w:char="F0B1"/>
            </w:r>
            <w:r w:rsidRPr="001043A6">
              <w:rPr>
                <w:rFonts w:ascii="Garamond" w:hAnsi="Garamond"/>
                <w:sz w:val="22"/>
                <w:szCs w:val="22"/>
              </w:rPr>
              <w:t xml:space="preserve">5,0 с. В СОЕВ </w:t>
            </w:r>
            <w:r w:rsidRPr="001043A6">
              <w:rPr>
                <w:rFonts w:ascii="Garamond" w:hAnsi="Garamond"/>
                <w:sz w:val="22"/>
                <w:szCs w:val="22"/>
                <w:highlight w:val="yellow"/>
              </w:rPr>
              <w:t>АИИС КУЭ</w:t>
            </w:r>
            <w:r w:rsidRPr="001043A6">
              <w:rPr>
                <w:rFonts w:ascii="Garamond" w:hAnsi="Garamond"/>
                <w:sz w:val="22"/>
                <w:szCs w:val="22"/>
              </w:rPr>
              <w:t xml:space="preserve"> входят все средства измерений времени, влияющие на процесс измерения количества электроэнергии, и учитываются временные характеристики (задержки) линий связи между ними, которые используются при синхронизации и коррекции времени.</w:t>
            </w:r>
            <w:r w:rsidR="00792E6C" w:rsidRPr="001043A6">
              <w:rPr>
                <w:rFonts w:ascii="Garamond" w:hAnsi="Garamond"/>
                <w:sz w:val="22"/>
                <w:szCs w:val="22"/>
              </w:rPr>
              <w:t xml:space="preserve"> </w:t>
            </w:r>
          </w:p>
          <w:p w14:paraId="5E5DAA5D" w14:textId="77777777" w:rsidR="009949FE" w:rsidRPr="001043A6" w:rsidRDefault="009949FE" w:rsidP="00E11B82">
            <w:pPr>
              <w:tabs>
                <w:tab w:val="num" w:pos="792"/>
                <w:tab w:val="left" w:pos="1080"/>
                <w:tab w:val="num" w:pos="1134"/>
                <w:tab w:val="left" w:pos="8100"/>
              </w:tabs>
              <w:suppressAutoHyphens w:val="0"/>
              <w:spacing w:line="259" w:lineRule="auto"/>
              <w:ind w:firstLine="629"/>
              <w:jc w:val="both"/>
              <w:rPr>
                <w:rFonts w:ascii="Garamond" w:hAnsi="Garamond"/>
                <w:sz w:val="22"/>
                <w:szCs w:val="22"/>
              </w:rPr>
            </w:pPr>
            <w:r w:rsidRPr="001043A6">
              <w:rPr>
                <w:rFonts w:ascii="Garamond" w:hAnsi="Garamond"/>
                <w:sz w:val="22"/>
                <w:szCs w:val="22"/>
              </w:rPr>
              <w:t xml:space="preserve">СОЕВ </w:t>
            </w:r>
            <w:r w:rsidRPr="001043A6">
              <w:rPr>
                <w:rFonts w:ascii="Garamond" w:hAnsi="Garamond"/>
                <w:sz w:val="22"/>
                <w:szCs w:val="22"/>
                <w:highlight w:val="yellow"/>
              </w:rPr>
              <w:t>АИИС КУЭ</w:t>
            </w:r>
            <w:r w:rsidRPr="001043A6">
              <w:rPr>
                <w:rFonts w:ascii="Garamond" w:hAnsi="Garamond"/>
                <w:sz w:val="22"/>
                <w:szCs w:val="22"/>
              </w:rPr>
              <w:t xml:space="preserve"> должна быть привязана к единому календарному времени.</w:t>
            </w:r>
          </w:p>
          <w:p w14:paraId="4A5D9D88" w14:textId="634BC781" w:rsidR="00E11B82" w:rsidRPr="001043A6" w:rsidRDefault="00E11B82" w:rsidP="00901075">
            <w:pPr>
              <w:tabs>
                <w:tab w:val="num" w:pos="792"/>
                <w:tab w:val="left" w:pos="1080"/>
                <w:tab w:val="num" w:pos="1134"/>
                <w:tab w:val="left" w:pos="8100"/>
              </w:tabs>
              <w:suppressAutoHyphens w:val="0"/>
              <w:spacing w:line="259" w:lineRule="auto"/>
              <w:ind w:firstLine="596"/>
              <w:jc w:val="both"/>
              <w:rPr>
                <w:rFonts w:ascii="Garamond" w:hAnsi="Garamond"/>
                <w:sz w:val="22"/>
                <w:szCs w:val="22"/>
              </w:rPr>
            </w:pPr>
            <w:r w:rsidRPr="001043A6">
              <w:rPr>
                <w:rFonts w:ascii="Garamond" w:hAnsi="Garamond"/>
                <w:sz w:val="22"/>
                <w:szCs w:val="22"/>
                <w:highlight w:val="yellow"/>
              </w:rPr>
              <w:t>Совокупност</w:t>
            </w:r>
            <w:r w:rsidR="00567565" w:rsidRPr="001043A6">
              <w:rPr>
                <w:rFonts w:ascii="Garamond" w:hAnsi="Garamond"/>
                <w:sz w:val="22"/>
                <w:szCs w:val="22"/>
                <w:highlight w:val="yellow"/>
              </w:rPr>
              <w:t>ь</w:t>
            </w:r>
            <w:r w:rsidRPr="001043A6">
              <w:rPr>
                <w:rFonts w:ascii="Garamond" w:hAnsi="Garamond"/>
                <w:sz w:val="22"/>
                <w:szCs w:val="22"/>
                <w:highlight w:val="yellow"/>
              </w:rPr>
              <w:t xml:space="preserve"> СИ и ТУ</w:t>
            </w:r>
            <w:r w:rsidR="00901075" w:rsidRPr="001043A6">
              <w:rPr>
                <w:rFonts w:ascii="Garamond" w:hAnsi="Garamond"/>
                <w:sz w:val="22"/>
                <w:szCs w:val="22"/>
                <w:highlight w:val="yellow"/>
              </w:rPr>
              <w:t>,</w:t>
            </w:r>
            <w:r w:rsidR="0069727B" w:rsidRPr="001043A6">
              <w:rPr>
                <w:rFonts w:ascii="Garamond" w:hAnsi="Garamond"/>
                <w:sz w:val="22"/>
                <w:szCs w:val="22"/>
                <w:highlight w:val="yellow"/>
              </w:rPr>
              <w:t xml:space="preserve"> </w:t>
            </w:r>
            <w:r w:rsidR="00901075" w:rsidRPr="001043A6">
              <w:rPr>
                <w:rFonts w:ascii="Garamond" w:hAnsi="Garamond"/>
                <w:sz w:val="22"/>
                <w:szCs w:val="22"/>
                <w:highlight w:val="yellow"/>
              </w:rPr>
              <w:t xml:space="preserve">ИСУ (с </w:t>
            </w:r>
            <w:r w:rsidR="009949FE" w:rsidRPr="001043A6">
              <w:rPr>
                <w:rFonts w:ascii="Garamond" w:hAnsi="Garamond"/>
                <w:sz w:val="22"/>
                <w:szCs w:val="22"/>
                <w:highlight w:val="yellow"/>
              </w:rPr>
              <w:t>присоединенны</w:t>
            </w:r>
            <w:r w:rsidR="00901075" w:rsidRPr="001043A6">
              <w:rPr>
                <w:rFonts w:ascii="Garamond" w:hAnsi="Garamond"/>
                <w:sz w:val="22"/>
                <w:szCs w:val="22"/>
                <w:highlight w:val="yellow"/>
              </w:rPr>
              <w:t>ми</w:t>
            </w:r>
            <w:r w:rsidR="009949FE" w:rsidRPr="001043A6">
              <w:rPr>
                <w:rFonts w:ascii="Garamond" w:hAnsi="Garamond"/>
                <w:sz w:val="22"/>
                <w:szCs w:val="22"/>
                <w:highlight w:val="yellow"/>
              </w:rPr>
              <w:t xml:space="preserve"> </w:t>
            </w:r>
            <w:r w:rsidR="00901075" w:rsidRPr="001043A6">
              <w:rPr>
                <w:rFonts w:ascii="Garamond" w:hAnsi="Garamond"/>
                <w:sz w:val="22"/>
                <w:szCs w:val="22"/>
                <w:highlight w:val="yellow"/>
              </w:rPr>
              <w:t xml:space="preserve">к ней ИПУ, а также иными </w:t>
            </w:r>
            <w:r w:rsidR="009949FE" w:rsidRPr="001043A6">
              <w:rPr>
                <w:rFonts w:ascii="Garamond" w:hAnsi="Garamond"/>
                <w:sz w:val="22"/>
                <w:szCs w:val="22"/>
                <w:highlight w:val="yellow"/>
              </w:rPr>
              <w:t>средства</w:t>
            </w:r>
            <w:r w:rsidR="00901075" w:rsidRPr="001043A6">
              <w:rPr>
                <w:rFonts w:ascii="Garamond" w:hAnsi="Garamond"/>
                <w:sz w:val="22"/>
                <w:szCs w:val="22"/>
                <w:highlight w:val="yellow"/>
              </w:rPr>
              <w:t>ми</w:t>
            </w:r>
            <w:r w:rsidR="009949FE" w:rsidRPr="001043A6">
              <w:rPr>
                <w:rFonts w:ascii="Garamond" w:hAnsi="Garamond"/>
                <w:sz w:val="22"/>
                <w:szCs w:val="22"/>
                <w:highlight w:val="yellow"/>
              </w:rPr>
              <w:t xml:space="preserve"> измерений или оборудование</w:t>
            </w:r>
            <w:r w:rsidR="00901075" w:rsidRPr="001043A6">
              <w:rPr>
                <w:rFonts w:ascii="Garamond" w:hAnsi="Garamond"/>
                <w:sz w:val="22"/>
                <w:szCs w:val="22"/>
                <w:highlight w:val="yellow"/>
              </w:rPr>
              <w:t>м, используемыми</w:t>
            </w:r>
            <w:r w:rsidR="009B5F03">
              <w:rPr>
                <w:rFonts w:ascii="Garamond" w:hAnsi="Garamond"/>
                <w:sz w:val="22"/>
                <w:szCs w:val="22"/>
                <w:highlight w:val="yellow"/>
              </w:rPr>
              <w:t xml:space="preserve"> </w:t>
            </w:r>
            <w:r w:rsidR="00901075" w:rsidRPr="001043A6">
              <w:rPr>
                <w:rFonts w:ascii="Garamond" w:hAnsi="Garamond"/>
                <w:sz w:val="22"/>
                <w:szCs w:val="22"/>
                <w:highlight w:val="yellow"/>
                <w:lang w:eastAsia="en-US"/>
              </w:rPr>
              <w:t>для измерений, сбора, обработки, хранения и передачи результатов измерений в</w:t>
            </w:r>
            <w:r w:rsidR="009B5F03">
              <w:rPr>
                <w:rFonts w:ascii="Garamond" w:hAnsi="Garamond"/>
                <w:sz w:val="22"/>
                <w:szCs w:val="22"/>
                <w:highlight w:val="yellow"/>
                <w:lang w:eastAsia="en-US"/>
              </w:rPr>
              <w:t xml:space="preserve"> </w:t>
            </w:r>
            <w:r w:rsidR="0069727B" w:rsidRPr="001043A6">
              <w:rPr>
                <w:rFonts w:ascii="Garamond" w:hAnsi="Garamond"/>
                <w:sz w:val="22"/>
                <w:szCs w:val="22"/>
                <w:highlight w:val="yellow"/>
              </w:rPr>
              <w:t>ИСУ</w:t>
            </w:r>
            <w:r w:rsidR="00901075" w:rsidRPr="001043A6">
              <w:rPr>
                <w:rFonts w:ascii="Garamond" w:hAnsi="Garamond"/>
                <w:sz w:val="22"/>
                <w:szCs w:val="22"/>
                <w:highlight w:val="yellow"/>
              </w:rPr>
              <w:t>)</w:t>
            </w:r>
            <w:r w:rsidRPr="001043A6">
              <w:rPr>
                <w:rFonts w:ascii="Garamond" w:hAnsi="Garamond"/>
                <w:sz w:val="22"/>
                <w:szCs w:val="22"/>
                <w:highlight w:val="yellow"/>
              </w:rPr>
              <w:t xml:space="preserve"> </w:t>
            </w:r>
            <w:r w:rsidR="009949FE" w:rsidRPr="001043A6">
              <w:rPr>
                <w:rFonts w:ascii="Garamond" w:hAnsi="Garamond"/>
                <w:sz w:val="22"/>
                <w:szCs w:val="22"/>
                <w:highlight w:val="yellow"/>
              </w:rPr>
              <w:t xml:space="preserve">должны </w:t>
            </w:r>
            <w:r w:rsidRPr="001043A6">
              <w:rPr>
                <w:rFonts w:ascii="Garamond" w:hAnsi="Garamond"/>
                <w:sz w:val="22"/>
                <w:szCs w:val="22"/>
                <w:highlight w:val="yellow"/>
              </w:rPr>
              <w:t>обеспечива</w:t>
            </w:r>
            <w:r w:rsidR="009949FE" w:rsidRPr="001043A6">
              <w:rPr>
                <w:rFonts w:ascii="Garamond" w:hAnsi="Garamond"/>
                <w:sz w:val="22"/>
                <w:szCs w:val="22"/>
                <w:highlight w:val="yellow"/>
              </w:rPr>
              <w:t>ть</w:t>
            </w:r>
            <w:r w:rsidRPr="001043A6">
              <w:rPr>
                <w:rFonts w:ascii="Garamond" w:hAnsi="Garamond"/>
                <w:sz w:val="22"/>
                <w:szCs w:val="22"/>
                <w:highlight w:val="yellow"/>
              </w:rPr>
              <w:t xml:space="preserve"> синхронизацию времени от источника точного времени </w:t>
            </w:r>
            <w:r w:rsidR="005B2A29" w:rsidRPr="001043A6">
              <w:rPr>
                <w:rFonts w:ascii="Garamond" w:hAnsi="Garamond"/>
                <w:sz w:val="22"/>
                <w:szCs w:val="22"/>
                <w:highlight w:val="yellow"/>
              </w:rPr>
              <w:t xml:space="preserve">и автоматическую коррекцию </w:t>
            </w:r>
            <w:r w:rsidRPr="001043A6">
              <w:rPr>
                <w:rFonts w:ascii="Garamond" w:hAnsi="Garamond"/>
                <w:sz w:val="22"/>
                <w:szCs w:val="22"/>
                <w:highlight w:val="yellow"/>
              </w:rPr>
              <w:t>при проведении изм</w:t>
            </w:r>
            <w:r w:rsidR="0069727B" w:rsidRPr="001043A6">
              <w:rPr>
                <w:rFonts w:ascii="Garamond" w:hAnsi="Garamond"/>
                <w:sz w:val="22"/>
                <w:szCs w:val="22"/>
                <w:highlight w:val="yellow"/>
              </w:rPr>
              <w:t>ерений количества электроэнергии</w:t>
            </w:r>
            <w:r w:rsidRPr="001043A6">
              <w:rPr>
                <w:rFonts w:ascii="Garamond" w:hAnsi="Garamond"/>
                <w:sz w:val="22"/>
                <w:szCs w:val="22"/>
                <w:highlight w:val="yellow"/>
              </w:rPr>
              <w:t xml:space="preserve"> на всех уровнях совокупности СИ и ТУ</w:t>
            </w:r>
            <w:r w:rsidR="0069727B" w:rsidRPr="001043A6">
              <w:rPr>
                <w:rFonts w:ascii="Garamond" w:hAnsi="Garamond"/>
                <w:sz w:val="22"/>
                <w:szCs w:val="22"/>
                <w:highlight w:val="yellow"/>
              </w:rPr>
              <w:t xml:space="preserve"> и ИСУ</w:t>
            </w:r>
            <w:r w:rsidR="0035356A" w:rsidRPr="001043A6">
              <w:rPr>
                <w:rFonts w:ascii="Garamond" w:hAnsi="Garamond"/>
                <w:sz w:val="22"/>
                <w:szCs w:val="22"/>
                <w:highlight w:val="yellow"/>
              </w:rPr>
              <w:t xml:space="preserve"> (</w:t>
            </w:r>
            <w:r w:rsidR="005E3C74" w:rsidRPr="001043A6">
              <w:rPr>
                <w:rFonts w:ascii="Garamond" w:hAnsi="Garamond"/>
                <w:sz w:val="22"/>
                <w:szCs w:val="22"/>
                <w:highlight w:val="yellow"/>
              </w:rPr>
              <w:t>на уровне ИВКЭ ИСУ и совокупности СИ и ТУ</w:t>
            </w:r>
            <w:r w:rsidR="009B5F03">
              <w:rPr>
                <w:rFonts w:ascii="Garamond" w:hAnsi="Garamond"/>
                <w:sz w:val="22"/>
                <w:szCs w:val="22"/>
                <w:highlight w:val="yellow"/>
              </w:rPr>
              <w:t xml:space="preserve"> – </w:t>
            </w:r>
            <w:r w:rsidR="0035356A" w:rsidRPr="001043A6">
              <w:rPr>
                <w:rFonts w:ascii="Garamond" w:hAnsi="Garamond"/>
                <w:sz w:val="22"/>
                <w:szCs w:val="22"/>
                <w:highlight w:val="yellow"/>
              </w:rPr>
              <w:t>в случае выполнения УСПД функции преобразования результатов измерений с учетом коэффициентов трансформации измерительных трансформаторов)</w:t>
            </w:r>
            <w:r w:rsidRPr="001043A6">
              <w:rPr>
                <w:rFonts w:ascii="Garamond" w:hAnsi="Garamond"/>
                <w:sz w:val="22"/>
                <w:szCs w:val="22"/>
                <w:highlight w:val="yellow"/>
              </w:rPr>
              <w:t xml:space="preserve"> с точностью не хуже </w:t>
            </w:r>
            <w:r w:rsidRPr="001043A6">
              <w:rPr>
                <w:rFonts w:ascii="Garamond" w:hAnsi="Garamond"/>
                <w:sz w:val="22"/>
                <w:szCs w:val="22"/>
                <w:highlight w:val="yellow"/>
              </w:rPr>
              <w:sym w:font="Symbol" w:char="F0B1"/>
            </w:r>
            <w:r w:rsidRPr="001043A6">
              <w:rPr>
                <w:rFonts w:ascii="Garamond" w:hAnsi="Garamond"/>
                <w:sz w:val="22"/>
                <w:szCs w:val="22"/>
                <w:highlight w:val="yellow"/>
              </w:rPr>
              <w:t>5,0 с</w:t>
            </w:r>
            <w:r w:rsidR="009949FE" w:rsidRPr="001043A6">
              <w:rPr>
                <w:rFonts w:ascii="Garamond" w:hAnsi="Garamond"/>
                <w:sz w:val="22"/>
                <w:szCs w:val="22"/>
                <w:highlight w:val="yellow"/>
              </w:rPr>
              <w:t xml:space="preserve"> и с привязкой к единому календарному времени</w:t>
            </w:r>
            <w:r w:rsidRPr="001043A6">
              <w:rPr>
                <w:rFonts w:ascii="Garamond" w:hAnsi="Garamond"/>
                <w:sz w:val="22"/>
                <w:szCs w:val="22"/>
                <w:highlight w:val="yellow"/>
              </w:rPr>
              <w:t>.</w:t>
            </w:r>
          </w:p>
        </w:tc>
      </w:tr>
      <w:tr w:rsidR="00E11B82" w:rsidRPr="001043A6" w14:paraId="06B82EC6" w14:textId="77777777" w:rsidTr="001043A6">
        <w:tc>
          <w:tcPr>
            <w:tcW w:w="1031" w:type="dxa"/>
          </w:tcPr>
          <w:p w14:paraId="0979295F" w14:textId="77777777" w:rsidR="00E11B82" w:rsidRPr="001043A6" w:rsidRDefault="00E11B82" w:rsidP="00E11B82">
            <w:pPr>
              <w:widowControl w:val="0"/>
              <w:spacing w:line="259" w:lineRule="auto"/>
              <w:jc w:val="center"/>
              <w:rPr>
                <w:rFonts w:ascii="Garamond" w:hAnsi="Garamond"/>
                <w:b/>
                <w:sz w:val="22"/>
                <w:szCs w:val="22"/>
                <w:lang w:eastAsia="en-US"/>
              </w:rPr>
            </w:pPr>
            <w:r w:rsidRPr="001043A6">
              <w:rPr>
                <w:rFonts w:ascii="Garamond" w:hAnsi="Garamond"/>
                <w:b/>
                <w:sz w:val="22"/>
                <w:szCs w:val="22"/>
                <w:lang w:eastAsia="en-US"/>
              </w:rPr>
              <w:lastRenderedPageBreak/>
              <w:t>2.4</w:t>
            </w:r>
          </w:p>
        </w:tc>
        <w:tc>
          <w:tcPr>
            <w:tcW w:w="6833" w:type="dxa"/>
          </w:tcPr>
          <w:p w14:paraId="0834D631" w14:textId="77777777" w:rsidR="00E11B82" w:rsidRPr="001043A6" w:rsidRDefault="00E11B82" w:rsidP="00E11B82">
            <w:pPr>
              <w:tabs>
                <w:tab w:val="num" w:pos="792"/>
                <w:tab w:val="left" w:pos="1080"/>
                <w:tab w:val="num" w:pos="1134"/>
                <w:tab w:val="left" w:pos="8100"/>
              </w:tabs>
              <w:suppressAutoHyphens w:val="0"/>
              <w:spacing w:line="259" w:lineRule="auto"/>
              <w:ind w:firstLine="629"/>
              <w:jc w:val="both"/>
              <w:rPr>
                <w:rFonts w:ascii="Garamond" w:hAnsi="Garamond"/>
                <w:sz w:val="22"/>
                <w:szCs w:val="22"/>
              </w:rPr>
            </w:pPr>
            <w:r w:rsidRPr="001043A6">
              <w:rPr>
                <w:rFonts w:ascii="Garamond" w:hAnsi="Garamond"/>
                <w:sz w:val="22"/>
                <w:szCs w:val="22"/>
                <w:highlight w:val="yellow"/>
              </w:rPr>
              <w:t>Передача результатов измерений, данных о состоянии средств и объектов измерений в Х</w:t>
            </w:r>
            <w:r w:rsidRPr="001043A6">
              <w:rPr>
                <w:rFonts w:ascii="Garamond" w:hAnsi="Garamond"/>
                <w:sz w:val="22"/>
                <w:szCs w:val="22"/>
                <w:highlight w:val="yellow"/>
                <w:lang w:val="en-US"/>
              </w:rPr>
              <w:t>ML</w:t>
            </w:r>
            <w:r w:rsidRPr="001043A6">
              <w:rPr>
                <w:rFonts w:ascii="Garamond" w:hAnsi="Garamond"/>
                <w:sz w:val="22"/>
                <w:szCs w:val="22"/>
                <w:highlight w:val="yellow"/>
              </w:rPr>
              <w:t>-формате КО и внешним организациям производится по электронной почте с электронной подписью в соответствии с требованиями</w:t>
            </w:r>
            <w:r w:rsidRPr="001043A6">
              <w:rPr>
                <w:rFonts w:ascii="Garamond" w:hAnsi="Garamond"/>
                <w:color w:val="252525"/>
                <w:sz w:val="22"/>
                <w:szCs w:val="22"/>
                <w:highlight w:val="yellow"/>
              </w:rPr>
              <w:t xml:space="preserve"> </w:t>
            </w:r>
            <w:r w:rsidRPr="001043A6">
              <w:rPr>
                <w:rFonts w:ascii="Garamond" w:hAnsi="Garamond"/>
                <w:i/>
                <w:sz w:val="22"/>
                <w:szCs w:val="22"/>
                <w:highlight w:val="yellow"/>
              </w:rPr>
              <w:t xml:space="preserve">Формата и регламента предоставления результатов измерений, состояний объектов измерений в АО «АТС», АО «СО ЕЭС» и смежным субъектам </w:t>
            </w:r>
            <w:r w:rsidRPr="001043A6">
              <w:rPr>
                <w:rFonts w:ascii="Garamond" w:hAnsi="Garamond"/>
                <w:sz w:val="22"/>
                <w:szCs w:val="22"/>
                <w:highlight w:val="yellow"/>
              </w:rPr>
              <w:t xml:space="preserve">(Приложение № 11.1.1 к </w:t>
            </w:r>
            <w:r w:rsidRPr="001043A6">
              <w:rPr>
                <w:rFonts w:ascii="Garamond" w:hAnsi="Garamond"/>
                <w:i/>
                <w:sz w:val="22"/>
                <w:szCs w:val="22"/>
                <w:highlight w:val="yellow"/>
              </w:rPr>
              <w:t xml:space="preserve">Положению о порядке получения статуса субъекта оптового рынка и ведения реестра субъектов оптового рынка </w:t>
            </w:r>
            <w:r w:rsidRPr="001043A6">
              <w:rPr>
                <w:rFonts w:ascii="Garamond" w:hAnsi="Garamond"/>
                <w:sz w:val="22"/>
                <w:szCs w:val="22"/>
                <w:highlight w:val="yellow"/>
              </w:rPr>
              <w:t>(Приложение № 1.1 к</w:t>
            </w:r>
            <w:r w:rsidRPr="001043A6">
              <w:rPr>
                <w:rFonts w:ascii="Garamond" w:hAnsi="Garamond"/>
                <w:i/>
                <w:sz w:val="22"/>
                <w:szCs w:val="22"/>
                <w:highlight w:val="yellow"/>
              </w:rPr>
              <w:t xml:space="preserve"> Договору о присоединении к торговой системе оптового рынка</w:t>
            </w:r>
            <w:r w:rsidRPr="001043A6">
              <w:rPr>
                <w:rFonts w:ascii="Garamond" w:hAnsi="Garamond"/>
                <w:sz w:val="22"/>
                <w:szCs w:val="22"/>
                <w:highlight w:val="yellow"/>
              </w:rPr>
              <w:t>)).</w:t>
            </w:r>
          </w:p>
        </w:tc>
        <w:tc>
          <w:tcPr>
            <w:tcW w:w="7115" w:type="dxa"/>
          </w:tcPr>
          <w:p w14:paraId="6E09BD83" w14:textId="50CC7AEC" w:rsidR="00E11B82" w:rsidRPr="001043A6" w:rsidRDefault="00254807" w:rsidP="009767E2">
            <w:pPr>
              <w:tabs>
                <w:tab w:val="num" w:pos="792"/>
                <w:tab w:val="left" w:pos="1080"/>
                <w:tab w:val="num" w:pos="1134"/>
                <w:tab w:val="left" w:pos="8100"/>
              </w:tabs>
              <w:suppressAutoHyphens w:val="0"/>
              <w:spacing w:line="259" w:lineRule="auto"/>
              <w:ind w:firstLine="601"/>
              <w:jc w:val="both"/>
              <w:rPr>
                <w:rFonts w:ascii="Garamond" w:hAnsi="Garamond"/>
                <w:sz w:val="22"/>
                <w:szCs w:val="22"/>
              </w:rPr>
            </w:pPr>
            <w:r w:rsidRPr="001043A6">
              <w:rPr>
                <w:rFonts w:ascii="Garamond" w:hAnsi="Garamond"/>
                <w:sz w:val="22"/>
                <w:szCs w:val="22"/>
                <w:highlight w:val="yellow"/>
              </w:rPr>
              <w:t xml:space="preserve">Защита ИСУ и содержащейся в ней информации должна обеспечиваться владельцами ИСУ в соответствии с федеральными законами </w:t>
            </w:r>
            <w:r w:rsidR="009767E2">
              <w:rPr>
                <w:rFonts w:ascii="Garamond" w:hAnsi="Garamond"/>
                <w:sz w:val="22"/>
                <w:szCs w:val="22"/>
                <w:highlight w:val="yellow"/>
              </w:rPr>
              <w:t>«</w:t>
            </w:r>
            <w:r w:rsidRPr="001043A6">
              <w:rPr>
                <w:rFonts w:ascii="Garamond" w:hAnsi="Garamond"/>
                <w:sz w:val="22"/>
                <w:szCs w:val="22"/>
                <w:highlight w:val="yellow"/>
              </w:rPr>
              <w:t>О персональных данных</w:t>
            </w:r>
            <w:r w:rsidR="009767E2">
              <w:rPr>
                <w:rFonts w:ascii="Garamond" w:hAnsi="Garamond"/>
                <w:sz w:val="22"/>
                <w:szCs w:val="22"/>
                <w:highlight w:val="yellow"/>
              </w:rPr>
              <w:t>»</w:t>
            </w:r>
            <w:r w:rsidRPr="001043A6">
              <w:rPr>
                <w:rFonts w:ascii="Garamond" w:hAnsi="Garamond"/>
                <w:sz w:val="22"/>
                <w:szCs w:val="22"/>
                <w:highlight w:val="yellow"/>
              </w:rPr>
              <w:t xml:space="preserve">, </w:t>
            </w:r>
            <w:r w:rsidR="009767E2">
              <w:rPr>
                <w:rFonts w:ascii="Garamond" w:hAnsi="Garamond"/>
                <w:sz w:val="22"/>
                <w:szCs w:val="22"/>
                <w:highlight w:val="yellow"/>
              </w:rPr>
              <w:t>«</w:t>
            </w:r>
            <w:r w:rsidRPr="001043A6">
              <w:rPr>
                <w:rFonts w:ascii="Garamond" w:hAnsi="Garamond"/>
                <w:sz w:val="22"/>
                <w:szCs w:val="22"/>
                <w:highlight w:val="yellow"/>
              </w:rPr>
              <w:t>О безопасности критической информационной инфраструктуры Российской Федерации</w:t>
            </w:r>
            <w:r w:rsidR="009767E2">
              <w:rPr>
                <w:rFonts w:ascii="Garamond" w:hAnsi="Garamond"/>
                <w:sz w:val="22"/>
                <w:szCs w:val="22"/>
                <w:highlight w:val="yellow"/>
              </w:rPr>
              <w:t>»</w:t>
            </w:r>
            <w:r w:rsidRPr="001043A6">
              <w:rPr>
                <w:rFonts w:ascii="Garamond" w:hAnsi="Garamond"/>
                <w:sz w:val="22"/>
                <w:szCs w:val="22"/>
                <w:highlight w:val="yellow"/>
              </w:rPr>
              <w:t xml:space="preserve">, </w:t>
            </w:r>
            <w:r w:rsidR="009767E2">
              <w:rPr>
                <w:rFonts w:ascii="Garamond" w:hAnsi="Garamond"/>
                <w:sz w:val="22"/>
                <w:szCs w:val="22"/>
                <w:highlight w:val="yellow"/>
              </w:rPr>
              <w:t>«</w:t>
            </w:r>
            <w:r w:rsidRPr="001043A6">
              <w:rPr>
                <w:rFonts w:ascii="Garamond" w:hAnsi="Garamond"/>
                <w:sz w:val="22"/>
                <w:szCs w:val="22"/>
                <w:highlight w:val="yellow"/>
              </w:rPr>
              <w:t>Об информации, информационных технологиях и о защите информации</w:t>
            </w:r>
            <w:r w:rsidR="009767E2">
              <w:rPr>
                <w:rFonts w:ascii="Garamond" w:hAnsi="Garamond"/>
                <w:sz w:val="22"/>
                <w:szCs w:val="22"/>
                <w:highlight w:val="yellow"/>
              </w:rPr>
              <w:t>»</w:t>
            </w:r>
            <w:r w:rsidRPr="001043A6">
              <w:rPr>
                <w:rFonts w:ascii="Garamond" w:hAnsi="Garamond"/>
                <w:sz w:val="22"/>
                <w:szCs w:val="22"/>
                <w:highlight w:val="yellow"/>
              </w:rPr>
              <w:t xml:space="preserve"> и актами Федеральной службы безопасности Российской Федерации, разработанными в соответствии с подпунктом </w:t>
            </w:r>
            <w:r w:rsidR="009767E2">
              <w:rPr>
                <w:rFonts w:ascii="Garamond" w:hAnsi="Garamond"/>
                <w:sz w:val="22"/>
                <w:szCs w:val="22"/>
                <w:highlight w:val="yellow"/>
              </w:rPr>
              <w:t>«</w:t>
            </w:r>
            <w:r w:rsidRPr="001043A6">
              <w:rPr>
                <w:rFonts w:ascii="Garamond" w:hAnsi="Garamond"/>
                <w:sz w:val="22"/>
                <w:szCs w:val="22"/>
                <w:highlight w:val="yellow"/>
              </w:rPr>
              <w:t>ш</w:t>
            </w:r>
            <w:r w:rsidR="009767E2">
              <w:rPr>
                <w:rFonts w:ascii="Garamond" w:hAnsi="Garamond"/>
                <w:sz w:val="22"/>
                <w:szCs w:val="22"/>
                <w:highlight w:val="yellow"/>
              </w:rPr>
              <w:t>»</w:t>
            </w:r>
            <w:r w:rsidRPr="001043A6">
              <w:rPr>
                <w:rFonts w:ascii="Garamond" w:hAnsi="Garamond"/>
                <w:sz w:val="22"/>
                <w:szCs w:val="22"/>
                <w:highlight w:val="yellow"/>
              </w:rPr>
              <w:t xml:space="preserve"> статьи 13 Федерального закона </w:t>
            </w:r>
            <w:r w:rsidR="009767E2">
              <w:rPr>
                <w:rFonts w:ascii="Garamond" w:hAnsi="Garamond"/>
                <w:sz w:val="22"/>
                <w:szCs w:val="22"/>
                <w:highlight w:val="yellow"/>
              </w:rPr>
              <w:t>«</w:t>
            </w:r>
            <w:r w:rsidRPr="001043A6">
              <w:rPr>
                <w:rFonts w:ascii="Garamond" w:hAnsi="Garamond"/>
                <w:sz w:val="22"/>
                <w:szCs w:val="22"/>
                <w:highlight w:val="yellow"/>
              </w:rPr>
              <w:t>О федеральной службе безопасности</w:t>
            </w:r>
            <w:r w:rsidR="009767E2">
              <w:rPr>
                <w:rFonts w:ascii="Garamond" w:hAnsi="Garamond"/>
                <w:sz w:val="22"/>
                <w:szCs w:val="22"/>
                <w:highlight w:val="yellow"/>
              </w:rPr>
              <w:t>»</w:t>
            </w:r>
            <w:r w:rsidRPr="001043A6">
              <w:rPr>
                <w:rFonts w:ascii="Garamond" w:hAnsi="Garamond"/>
                <w:sz w:val="22"/>
                <w:szCs w:val="22"/>
                <w:highlight w:val="yellow"/>
              </w:rPr>
              <w:t xml:space="preserve">, путем принятия организационных и технических мер (в том числе путем разграничения прав доступа участников оптового рынка (ФСК), КО к функциям ИСУ и сведениям, содержащимся в ИСУ), а также в соответствии с </w:t>
            </w:r>
            <w:r w:rsidRPr="001043A6">
              <w:rPr>
                <w:rFonts w:ascii="Garamond" w:hAnsi="Garamond"/>
                <w:sz w:val="22"/>
                <w:szCs w:val="22"/>
                <w:highlight w:val="yellow"/>
                <w:lang w:eastAsia="en-US"/>
              </w:rPr>
              <w:t>Правилами предоставления доступа к минимальному набору функций интеллектуальных систем учета.</w:t>
            </w:r>
          </w:p>
        </w:tc>
      </w:tr>
      <w:tr w:rsidR="00E11B82" w:rsidRPr="001043A6" w14:paraId="4C43F864" w14:textId="77777777" w:rsidTr="001043A6">
        <w:tc>
          <w:tcPr>
            <w:tcW w:w="1031" w:type="dxa"/>
          </w:tcPr>
          <w:p w14:paraId="62E70FDC" w14:textId="33640691" w:rsidR="00E11B82" w:rsidRPr="001043A6" w:rsidRDefault="008867A5" w:rsidP="00E11B82">
            <w:pPr>
              <w:widowControl w:val="0"/>
              <w:spacing w:line="259" w:lineRule="auto"/>
              <w:jc w:val="center"/>
              <w:rPr>
                <w:rFonts w:ascii="Garamond" w:hAnsi="Garamond"/>
                <w:b/>
                <w:sz w:val="22"/>
                <w:szCs w:val="22"/>
                <w:lang w:eastAsia="en-US"/>
              </w:rPr>
            </w:pPr>
            <w:r w:rsidRPr="001043A6">
              <w:rPr>
                <w:rFonts w:ascii="Garamond" w:hAnsi="Garamond"/>
                <w:b/>
                <w:sz w:val="22"/>
                <w:szCs w:val="22"/>
                <w:lang w:eastAsia="en-US"/>
              </w:rPr>
              <w:t>3</w:t>
            </w:r>
            <w:r w:rsidR="009767E2">
              <w:rPr>
                <w:rFonts w:ascii="Garamond" w:hAnsi="Garamond"/>
                <w:b/>
                <w:sz w:val="22"/>
                <w:szCs w:val="22"/>
                <w:lang w:eastAsia="en-US"/>
              </w:rPr>
              <w:t>.1</w:t>
            </w:r>
          </w:p>
        </w:tc>
        <w:tc>
          <w:tcPr>
            <w:tcW w:w="6833" w:type="dxa"/>
          </w:tcPr>
          <w:p w14:paraId="55585206" w14:textId="77777777" w:rsidR="00E11B82" w:rsidRPr="001043A6" w:rsidRDefault="00E11B82" w:rsidP="00E11B82">
            <w:pPr>
              <w:tabs>
                <w:tab w:val="num" w:pos="792"/>
                <w:tab w:val="left" w:pos="1080"/>
                <w:tab w:val="num" w:pos="1134"/>
                <w:tab w:val="left" w:pos="8100"/>
              </w:tabs>
              <w:suppressAutoHyphens w:val="0"/>
              <w:spacing w:line="259" w:lineRule="auto"/>
              <w:ind w:firstLine="629"/>
              <w:jc w:val="both"/>
              <w:rPr>
                <w:rFonts w:ascii="Garamond" w:hAnsi="Garamond"/>
                <w:sz w:val="22"/>
                <w:szCs w:val="22"/>
              </w:rPr>
            </w:pPr>
            <w:r w:rsidRPr="001043A6">
              <w:rPr>
                <w:rFonts w:ascii="Garamond" w:hAnsi="Garamond"/>
                <w:sz w:val="22"/>
                <w:szCs w:val="22"/>
              </w:rPr>
              <w:t>Общие требования к ИИК</w:t>
            </w:r>
          </w:p>
          <w:p w14:paraId="384F879F" w14:textId="77777777" w:rsidR="00E11B82" w:rsidRPr="001043A6" w:rsidRDefault="00E11B82" w:rsidP="00E11B82">
            <w:pPr>
              <w:tabs>
                <w:tab w:val="num" w:pos="792"/>
                <w:tab w:val="left" w:pos="1080"/>
                <w:tab w:val="num" w:pos="1134"/>
                <w:tab w:val="left" w:pos="8100"/>
              </w:tabs>
              <w:suppressAutoHyphens w:val="0"/>
              <w:spacing w:line="259" w:lineRule="auto"/>
              <w:ind w:firstLine="629"/>
              <w:jc w:val="both"/>
              <w:rPr>
                <w:rFonts w:ascii="Garamond" w:hAnsi="Garamond"/>
                <w:sz w:val="22"/>
                <w:szCs w:val="22"/>
              </w:rPr>
            </w:pPr>
            <w:r w:rsidRPr="001043A6">
              <w:rPr>
                <w:rFonts w:ascii="Garamond" w:hAnsi="Garamond"/>
                <w:sz w:val="22"/>
                <w:szCs w:val="22"/>
              </w:rPr>
              <w:t>ИИК обеспечивает:</w:t>
            </w:r>
          </w:p>
          <w:p w14:paraId="5E12B7A0" w14:textId="77777777" w:rsidR="00E11B82" w:rsidRPr="001043A6" w:rsidRDefault="00E11B82" w:rsidP="00E11B82">
            <w:pPr>
              <w:tabs>
                <w:tab w:val="num" w:pos="792"/>
                <w:tab w:val="left" w:pos="1080"/>
                <w:tab w:val="num" w:pos="1134"/>
                <w:tab w:val="left" w:pos="8100"/>
              </w:tabs>
              <w:suppressAutoHyphens w:val="0"/>
              <w:spacing w:line="259" w:lineRule="auto"/>
              <w:ind w:firstLine="629"/>
              <w:jc w:val="both"/>
              <w:rPr>
                <w:rFonts w:ascii="Garamond" w:hAnsi="Garamond"/>
                <w:sz w:val="22"/>
                <w:szCs w:val="22"/>
              </w:rPr>
            </w:pPr>
            <w:r w:rsidRPr="001043A6">
              <w:rPr>
                <w:rFonts w:ascii="Garamond" w:hAnsi="Garamond"/>
                <w:sz w:val="22"/>
                <w:szCs w:val="22"/>
              </w:rPr>
              <w:lastRenderedPageBreak/>
              <w:t>3.1.1.</w:t>
            </w:r>
            <w:r w:rsidRPr="001043A6">
              <w:rPr>
                <w:rFonts w:ascii="Garamond" w:hAnsi="Garamond"/>
                <w:sz w:val="22"/>
                <w:szCs w:val="22"/>
              </w:rPr>
              <w:tab/>
              <w:t xml:space="preserve">автоматическое выполнение измерений величин активной и реактивной электроэнергии (измерение реактивной электроэнергии </w:t>
            </w:r>
            <w:r w:rsidRPr="001043A6">
              <w:rPr>
                <w:rFonts w:ascii="Garamond" w:hAnsi="Garamond"/>
                <w:sz w:val="22"/>
                <w:szCs w:val="22"/>
                <w:highlight w:val="yellow"/>
              </w:rPr>
              <w:t>не</w:t>
            </w:r>
            <w:r w:rsidRPr="001043A6">
              <w:rPr>
                <w:rFonts w:ascii="Garamond" w:hAnsi="Garamond"/>
                <w:sz w:val="22"/>
                <w:szCs w:val="22"/>
              </w:rPr>
              <w:t xml:space="preserve"> является обязательным </w:t>
            </w:r>
            <w:r w:rsidRPr="001043A6">
              <w:rPr>
                <w:rFonts w:ascii="Garamond" w:hAnsi="Garamond"/>
                <w:sz w:val="22"/>
                <w:szCs w:val="22"/>
                <w:highlight w:val="yellow"/>
              </w:rPr>
              <w:t>техническим требованием</w:t>
            </w:r>
            <w:r w:rsidRPr="001043A6">
              <w:rPr>
                <w:rFonts w:ascii="Garamond" w:hAnsi="Garamond"/>
                <w:sz w:val="22"/>
                <w:szCs w:val="22"/>
              </w:rPr>
              <w:t>);</w:t>
            </w:r>
          </w:p>
          <w:p w14:paraId="0F1B5F4D" w14:textId="77777777" w:rsidR="00E11B82" w:rsidRPr="001043A6" w:rsidRDefault="00E11B82" w:rsidP="00E11B82">
            <w:pPr>
              <w:tabs>
                <w:tab w:val="num" w:pos="792"/>
                <w:tab w:val="left" w:pos="1080"/>
                <w:tab w:val="num" w:pos="1134"/>
                <w:tab w:val="left" w:pos="8100"/>
              </w:tabs>
              <w:suppressAutoHyphens w:val="0"/>
              <w:spacing w:line="259" w:lineRule="auto"/>
              <w:ind w:firstLine="629"/>
              <w:jc w:val="both"/>
              <w:rPr>
                <w:rFonts w:ascii="Garamond" w:hAnsi="Garamond"/>
                <w:sz w:val="22"/>
                <w:szCs w:val="22"/>
              </w:rPr>
            </w:pPr>
            <w:r w:rsidRPr="001043A6">
              <w:rPr>
                <w:rFonts w:ascii="Garamond" w:hAnsi="Garamond"/>
                <w:sz w:val="22"/>
                <w:szCs w:val="22"/>
              </w:rPr>
              <w:t>3.1.2.</w:t>
            </w:r>
            <w:r w:rsidRPr="001043A6">
              <w:rPr>
                <w:rFonts w:ascii="Garamond" w:hAnsi="Garamond"/>
                <w:sz w:val="22"/>
                <w:szCs w:val="22"/>
              </w:rPr>
              <w:tab/>
              <w:t>автоматическое выполнение измерений времени в составе СОЕВ;</w:t>
            </w:r>
          </w:p>
          <w:p w14:paraId="2823CF36" w14:textId="77777777" w:rsidR="00E11B82" w:rsidRPr="001043A6" w:rsidRDefault="00E11B82" w:rsidP="00E11B82">
            <w:pPr>
              <w:tabs>
                <w:tab w:val="num" w:pos="792"/>
                <w:tab w:val="left" w:pos="1080"/>
                <w:tab w:val="num" w:pos="1134"/>
                <w:tab w:val="left" w:pos="8100"/>
              </w:tabs>
              <w:suppressAutoHyphens w:val="0"/>
              <w:spacing w:line="259" w:lineRule="auto"/>
              <w:ind w:firstLine="629"/>
              <w:jc w:val="both"/>
              <w:rPr>
                <w:rFonts w:ascii="Garamond" w:hAnsi="Garamond"/>
                <w:sz w:val="22"/>
                <w:szCs w:val="22"/>
              </w:rPr>
            </w:pPr>
            <w:r w:rsidRPr="001043A6">
              <w:rPr>
                <w:rFonts w:ascii="Garamond" w:hAnsi="Garamond"/>
                <w:sz w:val="22"/>
                <w:szCs w:val="22"/>
              </w:rPr>
              <w:t>3.1.3.</w:t>
            </w:r>
            <w:r w:rsidRPr="001043A6">
              <w:rPr>
                <w:rFonts w:ascii="Garamond" w:hAnsi="Garamond"/>
                <w:sz w:val="22"/>
                <w:szCs w:val="22"/>
              </w:rPr>
              <w:tab/>
              <w:t xml:space="preserve">автоматическую регистрацию событий, сопровождающих процессы измерения, в «Журнале событий» ИИК; </w:t>
            </w:r>
          </w:p>
          <w:p w14:paraId="00D113FA" w14:textId="77777777" w:rsidR="00E11B82" w:rsidRPr="001043A6" w:rsidRDefault="00E11B82" w:rsidP="00E11B82">
            <w:pPr>
              <w:tabs>
                <w:tab w:val="num" w:pos="792"/>
                <w:tab w:val="left" w:pos="1080"/>
                <w:tab w:val="num" w:pos="1134"/>
                <w:tab w:val="left" w:pos="8100"/>
              </w:tabs>
              <w:suppressAutoHyphens w:val="0"/>
              <w:spacing w:line="259" w:lineRule="auto"/>
              <w:ind w:firstLine="629"/>
              <w:jc w:val="both"/>
              <w:rPr>
                <w:rFonts w:ascii="Garamond" w:hAnsi="Garamond"/>
                <w:sz w:val="22"/>
                <w:szCs w:val="22"/>
              </w:rPr>
            </w:pPr>
            <w:r w:rsidRPr="001043A6">
              <w:rPr>
                <w:rFonts w:ascii="Garamond" w:hAnsi="Garamond"/>
                <w:sz w:val="22"/>
                <w:szCs w:val="22"/>
              </w:rPr>
              <w:t>3.1.4.</w:t>
            </w:r>
            <w:r w:rsidRPr="001043A6">
              <w:rPr>
                <w:rFonts w:ascii="Garamond" w:hAnsi="Garamond"/>
                <w:sz w:val="22"/>
                <w:szCs w:val="22"/>
              </w:rPr>
              <w:tab/>
              <w:t>хранение результатов измерений, информации о состоянии средств измерений («Журналов событий»);</w:t>
            </w:r>
          </w:p>
          <w:p w14:paraId="6FF80AA0" w14:textId="77777777" w:rsidR="00E11B82" w:rsidRPr="001043A6" w:rsidRDefault="00E11B82" w:rsidP="00E11B82">
            <w:pPr>
              <w:tabs>
                <w:tab w:val="num" w:pos="792"/>
                <w:tab w:val="left" w:pos="1080"/>
                <w:tab w:val="num" w:pos="1134"/>
                <w:tab w:val="left" w:pos="8100"/>
              </w:tabs>
              <w:suppressAutoHyphens w:val="0"/>
              <w:spacing w:line="259" w:lineRule="auto"/>
              <w:ind w:firstLine="629"/>
              <w:jc w:val="both"/>
              <w:rPr>
                <w:rFonts w:ascii="Garamond" w:hAnsi="Garamond"/>
                <w:sz w:val="22"/>
                <w:szCs w:val="22"/>
                <w:highlight w:val="yellow"/>
              </w:rPr>
            </w:pPr>
            <w:r w:rsidRPr="001043A6">
              <w:rPr>
                <w:rFonts w:ascii="Garamond" w:hAnsi="Garamond"/>
                <w:sz w:val="22"/>
                <w:szCs w:val="22"/>
              </w:rPr>
              <w:t>3.1.5.</w:t>
            </w:r>
            <w:r w:rsidRPr="001043A6">
              <w:rPr>
                <w:rFonts w:ascii="Garamond" w:hAnsi="Garamond"/>
                <w:sz w:val="22"/>
                <w:szCs w:val="22"/>
              </w:rPr>
              <w:tab/>
              <w:t>предоставление доступа к измеренным значениям и «Журналам событий» ИИК со стороны ИВКЭ или ИВК</w:t>
            </w:r>
            <w:r w:rsidRPr="001043A6">
              <w:rPr>
                <w:rFonts w:ascii="Garamond" w:hAnsi="Garamond"/>
                <w:sz w:val="22"/>
                <w:szCs w:val="22"/>
                <w:highlight w:val="yellow"/>
              </w:rPr>
              <w:t>.</w:t>
            </w:r>
          </w:p>
        </w:tc>
        <w:tc>
          <w:tcPr>
            <w:tcW w:w="7115" w:type="dxa"/>
          </w:tcPr>
          <w:p w14:paraId="19BC8DCC" w14:textId="77777777" w:rsidR="00E11B82" w:rsidRPr="001043A6" w:rsidRDefault="00E11B82" w:rsidP="00E11B82">
            <w:pPr>
              <w:tabs>
                <w:tab w:val="num" w:pos="792"/>
                <w:tab w:val="left" w:pos="1080"/>
                <w:tab w:val="num" w:pos="1134"/>
                <w:tab w:val="left" w:pos="8100"/>
              </w:tabs>
              <w:suppressAutoHyphens w:val="0"/>
              <w:spacing w:line="259" w:lineRule="auto"/>
              <w:ind w:firstLine="629"/>
              <w:jc w:val="both"/>
              <w:rPr>
                <w:rFonts w:ascii="Garamond" w:hAnsi="Garamond"/>
                <w:sz w:val="22"/>
                <w:szCs w:val="22"/>
              </w:rPr>
            </w:pPr>
            <w:r w:rsidRPr="001043A6">
              <w:rPr>
                <w:rFonts w:ascii="Garamond" w:hAnsi="Garamond"/>
                <w:sz w:val="22"/>
                <w:szCs w:val="22"/>
              </w:rPr>
              <w:lastRenderedPageBreak/>
              <w:t>Общие требования к ИИК</w:t>
            </w:r>
          </w:p>
          <w:p w14:paraId="719878E3" w14:textId="77777777" w:rsidR="00E11B82" w:rsidRPr="001043A6" w:rsidRDefault="00E11B82" w:rsidP="00E11B82">
            <w:pPr>
              <w:tabs>
                <w:tab w:val="num" w:pos="792"/>
                <w:tab w:val="left" w:pos="1080"/>
                <w:tab w:val="num" w:pos="1134"/>
                <w:tab w:val="left" w:pos="8100"/>
              </w:tabs>
              <w:suppressAutoHyphens w:val="0"/>
              <w:spacing w:line="259" w:lineRule="auto"/>
              <w:ind w:firstLine="629"/>
              <w:jc w:val="both"/>
              <w:rPr>
                <w:rFonts w:ascii="Garamond" w:hAnsi="Garamond"/>
                <w:sz w:val="22"/>
                <w:szCs w:val="22"/>
              </w:rPr>
            </w:pPr>
            <w:r w:rsidRPr="001043A6">
              <w:rPr>
                <w:rFonts w:ascii="Garamond" w:hAnsi="Garamond"/>
                <w:sz w:val="22"/>
                <w:szCs w:val="22"/>
              </w:rPr>
              <w:t>ИИК обеспечивает:</w:t>
            </w:r>
          </w:p>
          <w:p w14:paraId="01629BFF" w14:textId="65A8DE57" w:rsidR="00E11B82" w:rsidRPr="001043A6" w:rsidRDefault="00F810CA" w:rsidP="00E11B82">
            <w:pPr>
              <w:tabs>
                <w:tab w:val="num" w:pos="792"/>
                <w:tab w:val="left" w:pos="1080"/>
                <w:tab w:val="num" w:pos="1134"/>
                <w:tab w:val="left" w:pos="8100"/>
              </w:tabs>
              <w:suppressAutoHyphens w:val="0"/>
              <w:spacing w:line="259" w:lineRule="auto"/>
              <w:ind w:firstLine="629"/>
              <w:jc w:val="both"/>
              <w:rPr>
                <w:rFonts w:ascii="Garamond" w:hAnsi="Garamond"/>
                <w:sz w:val="22"/>
                <w:szCs w:val="22"/>
              </w:rPr>
            </w:pPr>
            <w:r w:rsidRPr="001043A6">
              <w:rPr>
                <w:rFonts w:ascii="Garamond" w:hAnsi="Garamond"/>
                <w:sz w:val="22"/>
                <w:szCs w:val="22"/>
              </w:rPr>
              <w:lastRenderedPageBreak/>
              <w:t>3</w:t>
            </w:r>
            <w:r w:rsidR="00E11B82" w:rsidRPr="001043A6">
              <w:rPr>
                <w:rFonts w:ascii="Garamond" w:hAnsi="Garamond"/>
                <w:sz w:val="22"/>
                <w:szCs w:val="22"/>
              </w:rPr>
              <w:t>.1.1.</w:t>
            </w:r>
            <w:r w:rsidR="00E11B82" w:rsidRPr="001043A6">
              <w:rPr>
                <w:rFonts w:ascii="Garamond" w:hAnsi="Garamond"/>
                <w:sz w:val="22"/>
                <w:szCs w:val="22"/>
              </w:rPr>
              <w:tab/>
              <w:t xml:space="preserve">автоматическое выполнение измерений величин активной и реактивной электроэнергии </w:t>
            </w:r>
            <w:r w:rsidR="009745D8" w:rsidRPr="001043A6">
              <w:rPr>
                <w:rFonts w:ascii="Garamond" w:hAnsi="Garamond"/>
                <w:sz w:val="22"/>
                <w:szCs w:val="22"/>
                <w:highlight w:val="yellow"/>
              </w:rPr>
              <w:t>в получасовых интервалах времени и нарастающим итогом</w:t>
            </w:r>
            <w:r w:rsidR="009745D8" w:rsidRPr="001043A6">
              <w:rPr>
                <w:rFonts w:ascii="Garamond" w:hAnsi="Garamond"/>
                <w:sz w:val="22"/>
                <w:szCs w:val="22"/>
                <w:highlight w:val="yellow"/>
                <w:lang w:eastAsia="en-US"/>
              </w:rPr>
              <w:t xml:space="preserve"> </w:t>
            </w:r>
            <w:r w:rsidR="008867A5" w:rsidRPr="001043A6">
              <w:rPr>
                <w:rFonts w:ascii="Garamond" w:hAnsi="Garamond"/>
                <w:sz w:val="22"/>
                <w:szCs w:val="22"/>
                <w:highlight w:val="yellow"/>
                <w:lang w:eastAsia="en-US"/>
              </w:rPr>
              <w:t>на</w:t>
            </w:r>
            <w:r w:rsidR="009745D8" w:rsidRPr="001043A6">
              <w:rPr>
                <w:rFonts w:ascii="Garamond" w:hAnsi="Garamond"/>
                <w:sz w:val="22"/>
                <w:szCs w:val="22"/>
                <w:highlight w:val="yellow"/>
                <w:lang w:eastAsia="en-US"/>
              </w:rPr>
              <w:t xml:space="preserve"> начал</w:t>
            </w:r>
            <w:r w:rsidR="008867A5" w:rsidRPr="001043A6">
              <w:rPr>
                <w:rFonts w:ascii="Garamond" w:hAnsi="Garamond"/>
                <w:sz w:val="22"/>
                <w:szCs w:val="22"/>
                <w:highlight w:val="yellow"/>
                <w:lang w:eastAsia="en-US"/>
              </w:rPr>
              <w:t>о</w:t>
            </w:r>
            <w:r w:rsidR="009745D8" w:rsidRPr="001043A6">
              <w:rPr>
                <w:rFonts w:ascii="Garamond" w:hAnsi="Garamond"/>
                <w:sz w:val="22"/>
                <w:szCs w:val="22"/>
                <w:highlight w:val="yellow"/>
                <w:lang w:eastAsia="en-US"/>
              </w:rPr>
              <w:t xml:space="preserve"> расчетного периода</w:t>
            </w:r>
            <w:r w:rsidR="009745D8" w:rsidRPr="001043A6">
              <w:rPr>
                <w:rFonts w:ascii="Garamond" w:hAnsi="Garamond"/>
                <w:sz w:val="22"/>
                <w:szCs w:val="22"/>
              </w:rPr>
              <w:t xml:space="preserve"> </w:t>
            </w:r>
            <w:r w:rsidR="00E11B82" w:rsidRPr="001043A6">
              <w:rPr>
                <w:rFonts w:ascii="Garamond" w:hAnsi="Garamond"/>
                <w:sz w:val="22"/>
                <w:szCs w:val="22"/>
              </w:rPr>
              <w:t xml:space="preserve">(измерение реактивной электроэнергии </w:t>
            </w:r>
            <w:r w:rsidR="00F23AD4" w:rsidRPr="001043A6">
              <w:rPr>
                <w:rFonts w:ascii="Garamond" w:hAnsi="Garamond"/>
                <w:sz w:val="22"/>
                <w:szCs w:val="22"/>
                <w:highlight w:val="yellow"/>
              </w:rPr>
              <w:t xml:space="preserve">для ИПУ, присоединенных к ИСУ, </w:t>
            </w:r>
            <w:r w:rsidR="00374F31" w:rsidRPr="001043A6">
              <w:rPr>
                <w:rFonts w:ascii="Garamond" w:hAnsi="Garamond"/>
                <w:sz w:val="22"/>
                <w:szCs w:val="22"/>
              </w:rPr>
              <w:t>является обязательным</w:t>
            </w:r>
            <w:r w:rsidR="00374F31" w:rsidRPr="001043A6">
              <w:rPr>
                <w:rFonts w:ascii="Garamond" w:hAnsi="Garamond"/>
                <w:sz w:val="22"/>
                <w:szCs w:val="22"/>
                <w:highlight w:val="yellow"/>
              </w:rPr>
              <w:t xml:space="preserve">, </w:t>
            </w:r>
            <w:r w:rsidR="00F23AD4" w:rsidRPr="001043A6">
              <w:rPr>
                <w:rFonts w:ascii="Garamond" w:hAnsi="Garamond"/>
                <w:sz w:val="22"/>
                <w:szCs w:val="22"/>
                <w:highlight w:val="yellow"/>
              </w:rPr>
              <w:t>а для АИИС КУЭ и совокупности СИ и ТУ</w:t>
            </w:r>
            <w:r w:rsidR="009B5F03">
              <w:rPr>
                <w:rFonts w:ascii="Garamond" w:hAnsi="Garamond"/>
                <w:sz w:val="22"/>
                <w:szCs w:val="22"/>
                <w:highlight w:val="yellow"/>
              </w:rPr>
              <w:t xml:space="preserve"> – </w:t>
            </w:r>
            <w:r w:rsidR="0013792E" w:rsidRPr="001043A6">
              <w:rPr>
                <w:rFonts w:ascii="Garamond" w:hAnsi="Garamond"/>
                <w:sz w:val="22"/>
                <w:szCs w:val="22"/>
                <w:highlight w:val="yellow"/>
              </w:rPr>
              <w:t>в случае кодирования соответствующих измерительных каналов</w:t>
            </w:r>
            <w:r w:rsidR="00E11B82" w:rsidRPr="001043A6">
              <w:rPr>
                <w:rFonts w:ascii="Garamond" w:hAnsi="Garamond"/>
                <w:sz w:val="22"/>
                <w:szCs w:val="22"/>
                <w:highlight w:val="yellow"/>
              </w:rPr>
              <w:t>)</w:t>
            </w:r>
            <w:r w:rsidR="009C5F8F" w:rsidRPr="001043A6">
              <w:rPr>
                <w:rFonts w:ascii="Garamond" w:hAnsi="Garamond"/>
                <w:sz w:val="22"/>
                <w:szCs w:val="22"/>
                <w:highlight w:val="yellow"/>
              </w:rPr>
              <w:t xml:space="preserve">. </w:t>
            </w:r>
            <w:r w:rsidR="00F23AD4" w:rsidRPr="001043A6">
              <w:rPr>
                <w:rFonts w:ascii="Garamond" w:hAnsi="Garamond"/>
                <w:sz w:val="22"/>
                <w:szCs w:val="22"/>
                <w:highlight w:val="yellow"/>
              </w:rPr>
              <w:t>При этом в</w:t>
            </w:r>
            <w:r w:rsidR="009C5F8F" w:rsidRPr="001043A6">
              <w:rPr>
                <w:rFonts w:ascii="Garamond" w:hAnsi="Garamond"/>
                <w:sz w:val="22"/>
                <w:szCs w:val="22"/>
                <w:highlight w:val="yellow"/>
              </w:rPr>
              <w:t xml:space="preserve"> отношении ИПУ, присоединенных к ИСУ</w:t>
            </w:r>
            <w:r w:rsidR="00374F31" w:rsidRPr="001043A6">
              <w:rPr>
                <w:rFonts w:ascii="Garamond" w:hAnsi="Garamond"/>
                <w:sz w:val="22"/>
                <w:szCs w:val="22"/>
                <w:highlight w:val="yellow"/>
              </w:rPr>
              <w:t>,</w:t>
            </w:r>
            <w:r w:rsidR="009C5F8F" w:rsidRPr="001043A6">
              <w:rPr>
                <w:rFonts w:ascii="Garamond" w:hAnsi="Garamond"/>
                <w:sz w:val="22"/>
                <w:szCs w:val="22"/>
                <w:highlight w:val="yellow"/>
              </w:rPr>
              <w:t xml:space="preserve"> </w:t>
            </w:r>
            <w:r w:rsidR="00F23AD4" w:rsidRPr="001043A6">
              <w:rPr>
                <w:rFonts w:ascii="Garamond" w:hAnsi="Garamond"/>
                <w:sz w:val="22"/>
                <w:szCs w:val="22"/>
                <w:highlight w:val="yellow"/>
              </w:rPr>
              <w:t>обязательным является</w:t>
            </w:r>
            <w:r w:rsidR="009C5F8F" w:rsidRPr="001043A6">
              <w:rPr>
                <w:rFonts w:ascii="Garamond" w:hAnsi="Garamond"/>
                <w:sz w:val="22"/>
                <w:szCs w:val="22"/>
                <w:highlight w:val="yellow"/>
              </w:rPr>
              <w:t xml:space="preserve"> автоматическое выполнение измерений </w:t>
            </w:r>
            <w:r w:rsidR="00F23AD4" w:rsidRPr="001043A6">
              <w:rPr>
                <w:rFonts w:ascii="Garamond" w:hAnsi="Garamond"/>
                <w:sz w:val="22"/>
                <w:szCs w:val="22"/>
                <w:highlight w:val="yellow"/>
              </w:rPr>
              <w:t xml:space="preserve">указанных </w:t>
            </w:r>
            <w:r w:rsidR="009C5F8F" w:rsidRPr="001043A6">
              <w:rPr>
                <w:rFonts w:ascii="Garamond" w:hAnsi="Garamond"/>
                <w:sz w:val="22"/>
                <w:szCs w:val="22"/>
                <w:highlight w:val="yellow"/>
              </w:rPr>
              <w:t>величин активной и реактивной электроэнергии в двух направлениях</w:t>
            </w:r>
            <w:r w:rsidR="00374F31" w:rsidRPr="001043A6">
              <w:rPr>
                <w:rFonts w:ascii="Garamond" w:hAnsi="Garamond"/>
                <w:sz w:val="22"/>
                <w:szCs w:val="22"/>
                <w:highlight w:val="yellow"/>
              </w:rPr>
              <w:t xml:space="preserve"> (прием/отдача), а для ИИК в составе АИИС КУЭ и совокупности СИ и ТУ – в случае кодирования соответствующих каналов (прием/отдача)</w:t>
            </w:r>
            <w:r w:rsidR="00E11B82" w:rsidRPr="001043A6">
              <w:rPr>
                <w:rFonts w:ascii="Garamond" w:hAnsi="Garamond"/>
                <w:sz w:val="22"/>
                <w:szCs w:val="22"/>
              </w:rPr>
              <w:t>;</w:t>
            </w:r>
          </w:p>
          <w:p w14:paraId="3F073F1B" w14:textId="77777777" w:rsidR="005A117A" w:rsidRPr="001043A6" w:rsidRDefault="00F810CA" w:rsidP="00E11B82">
            <w:pPr>
              <w:tabs>
                <w:tab w:val="num" w:pos="792"/>
                <w:tab w:val="left" w:pos="1080"/>
                <w:tab w:val="num" w:pos="1134"/>
                <w:tab w:val="left" w:pos="8100"/>
              </w:tabs>
              <w:suppressAutoHyphens w:val="0"/>
              <w:spacing w:line="259" w:lineRule="auto"/>
              <w:ind w:firstLine="629"/>
              <w:jc w:val="both"/>
              <w:rPr>
                <w:rFonts w:ascii="Garamond" w:hAnsi="Garamond"/>
                <w:sz w:val="22"/>
                <w:szCs w:val="22"/>
              </w:rPr>
            </w:pPr>
            <w:r w:rsidRPr="001043A6">
              <w:rPr>
                <w:rFonts w:ascii="Garamond" w:hAnsi="Garamond"/>
                <w:sz w:val="22"/>
                <w:szCs w:val="22"/>
              </w:rPr>
              <w:t>3</w:t>
            </w:r>
            <w:r w:rsidR="00E11B82" w:rsidRPr="001043A6">
              <w:rPr>
                <w:rFonts w:ascii="Garamond" w:hAnsi="Garamond"/>
                <w:sz w:val="22"/>
                <w:szCs w:val="22"/>
              </w:rPr>
              <w:t>.1.2.</w:t>
            </w:r>
            <w:r w:rsidR="00E11B82" w:rsidRPr="001043A6">
              <w:rPr>
                <w:rFonts w:ascii="Garamond" w:hAnsi="Garamond"/>
                <w:sz w:val="22"/>
                <w:szCs w:val="22"/>
              </w:rPr>
              <w:tab/>
              <w:t>автоматическое выполнение измерений</w:t>
            </w:r>
            <w:r w:rsidR="009745D8" w:rsidRPr="001043A6">
              <w:rPr>
                <w:rFonts w:ascii="Garamond" w:hAnsi="Garamond"/>
                <w:sz w:val="22"/>
                <w:szCs w:val="22"/>
                <w:highlight w:val="yellow"/>
              </w:rPr>
              <w:t>, синхронизации</w:t>
            </w:r>
            <w:r w:rsidR="00E11B82" w:rsidRPr="001043A6">
              <w:rPr>
                <w:rFonts w:ascii="Garamond" w:hAnsi="Garamond"/>
                <w:sz w:val="22"/>
                <w:szCs w:val="22"/>
              </w:rPr>
              <w:t xml:space="preserve"> </w:t>
            </w:r>
            <w:r w:rsidR="005A117A" w:rsidRPr="001043A6">
              <w:rPr>
                <w:rFonts w:ascii="Garamond" w:hAnsi="Garamond"/>
                <w:sz w:val="22"/>
                <w:szCs w:val="22"/>
                <w:highlight w:val="yellow"/>
              </w:rPr>
              <w:t>и коррекции</w:t>
            </w:r>
            <w:r w:rsidR="005A117A" w:rsidRPr="001043A6">
              <w:rPr>
                <w:rFonts w:ascii="Garamond" w:hAnsi="Garamond"/>
                <w:sz w:val="22"/>
                <w:szCs w:val="22"/>
              </w:rPr>
              <w:t xml:space="preserve"> </w:t>
            </w:r>
            <w:r w:rsidR="00E11B82" w:rsidRPr="001043A6">
              <w:rPr>
                <w:rFonts w:ascii="Garamond" w:hAnsi="Garamond"/>
                <w:sz w:val="22"/>
                <w:szCs w:val="22"/>
              </w:rPr>
              <w:t xml:space="preserve">времени в составе СОЕВ </w:t>
            </w:r>
            <w:r w:rsidR="004233B7" w:rsidRPr="001043A6">
              <w:rPr>
                <w:rFonts w:ascii="Garamond" w:hAnsi="Garamond"/>
                <w:sz w:val="22"/>
                <w:szCs w:val="22"/>
                <w:highlight w:val="yellow"/>
              </w:rPr>
              <w:t xml:space="preserve">(для ИИК </w:t>
            </w:r>
            <w:r w:rsidR="00E11B82" w:rsidRPr="001043A6">
              <w:rPr>
                <w:rFonts w:ascii="Garamond" w:hAnsi="Garamond"/>
                <w:sz w:val="22"/>
                <w:szCs w:val="22"/>
                <w:highlight w:val="yellow"/>
              </w:rPr>
              <w:t xml:space="preserve">в </w:t>
            </w:r>
            <w:r w:rsidR="004233B7" w:rsidRPr="001043A6">
              <w:rPr>
                <w:rFonts w:ascii="Garamond" w:hAnsi="Garamond"/>
                <w:sz w:val="22"/>
                <w:szCs w:val="22"/>
                <w:highlight w:val="yellow"/>
              </w:rPr>
              <w:t>составе</w:t>
            </w:r>
            <w:r w:rsidR="00E11B82" w:rsidRPr="001043A6">
              <w:rPr>
                <w:rFonts w:ascii="Garamond" w:hAnsi="Garamond"/>
                <w:sz w:val="22"/>
                <w:szCs w:val="22"/>
                <w:highlight w:val="yellow"/>
              </w:rPr>
              <w:t xml:space="preserve"> АИИС КУЭ</w:t>
            </w:r>
            <w:r w:rsidR="004233B7" w:rsidRPr="001043A6">
              <w:rPr>
                <w:rFonts w:ascii="Garamond" w:hAnsi="Garamond"/>
                <w:sz w:val="22"/>
                <w:szCs w:val="22"/>
                <w:highlight w:val="yellow"/>
              </w:rPr>
              <w:t>)</w:t>
            </w:r>
            <w:r w:rsidR="00E11B82" w:rsidRPr="001043A6">
              <w:rPr>
                <w:rFonts w:ascii="Garamond" w:hAnsi="Garamond"/>
                <w:sz w:val="22"/>
                <w:szCs w:val="22"/>
                <w:highlight w:val="yellow"/>
              </w:rPr>
              <w:t xml:space="preserve"> и </w:t>
            </w:r>
            <w:r w:rsidR="00466E60" w:rsidRPr="001043A6">
              <w:rPr>
                <w:rFonts w:ascii="Garamond" w:hAnsi="Garamond"/>
                <w:sz w:val="22"/>
                <w:szCs w:val="22"/>
                <w:highlight w:val="yellow"/>
              </w:rPr>
              <w:t>автоматическое выполнение</w:t>
            </w:r>
            <w:r w:rsidR="00E11B82" w:rsidRPr="001043A6">
              <w:rPr>
                <w:rFonts w:ascii="Garamond" w:hAnsi="Garamond"/>
                <w:sz w:val="22"/>
                <w:szCs w:val="22"/>
                <w:highlight w:val="yellow"/>
              </w:rPr>
              <w:t xml:space="preserve"> синхронизации</w:t>
            </w:r>
            <w:r w:rsidR="005A117A" w:rsidRPr="001043A6">
              <w:rPr>
                <w:rFonts w:ascii="Garamond" w:hAnsi="Garamond"/>
                <w:sz w:val="22"/>
                <w:szCs w:val="22"/>
                <w:highlight w:val="yellow"/>
              </w:rPr>
              <w:t xml:space="preserve"> </w:t>
            </w:r>
            <w:r w:rsidR="00374F31" w:rsidRPr="001043A6">
              <w:rPr>
                <w:rFonts w:ascii="Garamond" w:hAnsi="Garamond"/>
                <w:sz w:val="22"/>
                <w:szCs w:val="22"/>
                <w:highlight w:val="yellow"/>
              </w:rPr>
              <w:t xml:space="preserve">с источником точного времени </w:t>
            </w:r>
            <w:r w:rsidR="005A117A" w:rsidRPr="001043A6">
              <w:rPr>
                <w:rFonts w:ascii="Garamond" w:hAnsi="Garamond"/>
                <w:sz w:val="22"/>
                <w:szCs w:val="22"/>
                <w:highlight w:val="yellow"/>
              </w:rPr>
              <w:t>и коррекции</w:t>
            </w:r>
            <w:r w:rsidR="00E11B82" w:rsidRPr="001043A6">
              <w:rPr>
                <w:rFonts w:ascii="Garamond" w:hAnsi="Garamond"/>
                <w:sz w:val="22"/>
                <w:szCs w:val="22"/>
                <w:highlight w:val="yellow"/>
              </w:rPr>
              <w:t xml:space="preserve"> времени </w:t>
            </w:r>
            <w:r w:rsidR="004233B7" w:rsidRPr="001043A6">
              <w:rPr>
                <w:rFonts w:ascii="Garamond" w:hAnsi="Garamond"/>
                <w:sz w:val="22"/>
                <w:szCs w:val="22"/>
                <w:highlight w:val="yellow"/>
              </w:rPr>
              <w:t>(для ИИК в составе с</w:t>
            </w:r>
            <w:r w:rsidR="00E11B82" w:rsidRPr="001043A6">
              <w:rPr>
                <w:rFonts w:ascii="Garamond" w:hAnsi="Garamond"/>
                <w:sz w:val="22"/>
                <w:szCs w:val="22"/>
                <w:highlight w:val="yellow"/>
              </w:rPr>
              <w:t>овокупности СИ и ТУ</w:t>
            </w:r>
            <w:r w:rsidR="009C5F8F" w:rsidRPr="001043A6">
              <w:rPr>
                <w:rFonts w:ascii="Garamond" w:hAnsi="Garamond"/>
                <w:sz w:val="22"/>
                <w:szCs w:val="22"/>
                <w:highlight w:val="yellow"/>
              </w:rPr>
              <w:t xml:space="preserve"> и ИСУ</w:t>
            </w:r>
            <w:r w:rsidR="004233B7" w:rsidRPr="001043A6">
              <w:rPr>
                <w:rFonts w:ascii="Garamond" w:hAnsi="Garamond"/>
                <w:sz w:val="22"/>
                <w:szCs w:val="22"/>
                <w:highlight w:val="yellow"/>
              </w:rPr>
              <w:t>)</w:t>
            </w:r>
            <w:r w:rsidR="00792E6C" w:rsidRPr="001043A6">
              <w:rPr>
                <w:rFonts w:ascii="Garamond" w:hAnsi="Garamond"/>
                <w:sz w:val="22"/>
                <w:szCs w:val="22"/>
              </w:rPr>
              <w:t>;</w:t>
            </w:r>
          </w:p>
          <w:p w14:paraId="140CD4DD" w14:textId="77777777" w:rsidR="00E11B82" w:rsidRPr="001043A6" w:rsidRDefault="00F810CA" w:rsidP="00E11B82">
            <w:pPr>
              <w:tabs>
                <w:tab w:val="num" w:pos="792"/>
                <w:tab w:val="left" w:pos="1080"/>
                <w:tab w:val="num" w:pos="1134"/>
                <w:tab w:val="left" w:pos="8100"/>
              </w:tabs>
              <w:suppressAutoHyphens w:val="0"/>
              <w:spacing w:line="259" w:lineRule="auto"/>
              <w:ind w:firstLine="629"/>
              <w:jc w:val="both"/>
              <w:rPr>
                <w:rFonts w:ascii="Garamond" w:hAnsi="Garamond"/>
                <w:sz w:val="22"/>
                <w:szCs w:val="22"/>
              </w:rPr>
            </w:pPr>
            <w:r w:rsidRPr="001043A6">
              <w:rPr>
                <w:rFonts w:ascii="Garamond" w:hAnsi="Garamond"/>
                <w:sz w:val="22"/>
                <w:szCs w:val="22"/>
              </w:rPr>
              <w:t>3</w:t>
            </w:r>
            <w:r w:rsidR="00E11B82" w:rsidRPr="001043A6">
              <w:rPr>
                <w:rFonts w:ascii="Garamond" w:hAnsi="Garamond"/>
                <w:sz w:val="22"/>
                <w:szCs w:val="22"/>
              </w:rPr>
              <w:t>.1.3.</w:t>
            </w:r>
            <w:r w:rsidR="00E11B82" w:rsidRPr="001043A6">
              <w:rPr>
                <w:rFonts w:ascii="Garamond" w:hAnsi="Garamond"/>
                <w:sz w:val="22"/>
                <w:szCs w:val="22"/>
              </w:rPr>
              <w:tab/>
              <w:t>автоматическую регистрацию событий, сопровождающих процессы измерения, в «Журнале событий» ИИК</w:t>
            </w:r>
            <w:r w:rsidR="00EF6370" w:rsidRPr="001043A6">
              <w:rPr>
                <w:rFonts w:ascii="Garamond" w:hAnsi="Garamond"/>
                <w:sz w:val="22"/>
                <w:szCs w:val="22"/>
                <w:highlight w:val="yellow"/>
              </w:rPr>
              <w:t>.</w:t>
            </w:r>
            <w:r w:rsidR="00EF6370" w:rsidRPr="001043A6">
              <w:rPr>
                <w:rFonts w:ascii="Garamond" w:hAnsi="Garamond"/>
                <w:sz w:val="22"/>
                <w:szCs w:val="22"/>
              </w:rPr>
              <w:t xml:space="preserve"> </w:t>
            </w:r>
            <w:r w:rsidR="00EF6370" w:rsidRPr="001043A6">
              <w:rPr>
                <w:rFonts w:ascii="Garamond" w:hAnsi="Garamond"/>
                <w:sz w:val="22"/>
                <w:szCs w:val="22"/>
                <w:highlight w:val="yellow"/>
              </w:rPr>
              <w:t>В случае использования ИПУ, присоединенного к ИСУ –</w:t>
            </w:r>
            <w:r w:rsidR="00374F31" w:rsidRPr="001043A6">
              <w:rPr>
                <w:rFonts w:ascii="Garamond" w:hAnsi="Garamond"/>
                <w:sz w:val="22"/>
                <w:szCs w:val="22"/>
              </w:rPr>
              <w:t xml:space="preserve"> </w:t>
            </w:r>
            <w:r w:rsidR="00374F31" w:rsidRPr="001043A6">
              <w:rPr>
                <w:rFonts w:ascii="Garamond" w:hAnsi="Garamond"/>
                <w:sz w:val="22"/>
                <w:szCs w:val="22"/>
                <w:highlight w:val="yellow"/>
              </w:rPr>
              <w:t xml:space="preserve">возможность передачи зарегистрированных событий в ИВК по инициативе </w:t>
            </w:r>
            <w:r w:rsidR="00EF6370" w:rsidRPr="001043A6">
              <w:rPr>
                <w:rFonts w:ascii="Garamond" w:hAnsi="Garamond"/>
                <w:sz w:val="22"/>
                <w:szCs w:val="22"/>
                <w:highlight w:val="yellow"/>
              </w:rPr>
              <w:t>ИПУ</w:t>
            </w:r>
            <w:r w:rsidR="006821BF" w:rsidRPr="001043A6">
              <w:rPr>
                <w:rFonts w:ascii="Garamond" w:hAnsi="Garamond"/>
                <w:sz w:val="22"/>
                <w:szCs w:val="22"/>
                <w:highlight w:val="yellow"/>
              </w:rPr>
              <w:t>, присоединенного к ИСУ,</w:t>
            </w:r>
            <w:r w:rsidR="00374F31" w:rsidRPr="001043A6">
              <w:rPr>
                <w:rFonts w:ascii="Garamond" w:hAnsi="Garamond"/>
                <w:sz w:val="22"/>
                <w:szCs w:val="22"/>
                <w:highlight w:val="yellow"/>
              </w:rPr>
              <w:t xml:space="preserve"> в момент их возникновения и выбор их состава</w:t>
            </w:r>
            <w:r w:rsidR="00E11B82" w:rsidRPr="001043A6">
              <w:rPr>
                <w:rFonts w:ascii="Garamond" w:hAnsi="Garamond"/>
                <w:sz w:val="22"/>
                <w:szCs w:val="22"/>
              </w:rPr>
              <w:t xml:space="preserve">; </w:t>
            </w:r>
          </w:p>
          <w:p w14:paraId="4B4EF05C" w14:textId="29022E0A" w:rsidR="00E11B82" w:rsidRPr="001043A6" w:rsidRDefault="00F810CA" w:rsidP="00E11B82">
            <w:pPr>
              <w:tabs>
                <w:tab w:val="num" w:pos="792"/>
                <w:tab w:val="left" w:pos="1080"/>
                <w:tab w:val="num" w:pos="1134"/>
                <w:tab w:val="left" w:pos="8100"/>
              </w:tabs>
              <w:suppressAutoHyphens w:val="0"/>
              <w:spacing w:line="259" w:lineRule="auto"/>
              <w:ind w:firstLine="629"/>
              <w:jc w:val="both"/>
              <w:rPr>
                <w:rFonts w:ascii="Garamond" w:hAnsi="Garamond"/>
                <w:sz w:val="22"/>
                <w:szCs w:val="22"/>
              </w:rPr>
            </w:pPr>
            <w:r w:rsidRPr="001043A6">
              <w:rPr>
                <w:rFonts w:ascii="Garamond" w:hAnsi="Garamond"/>
                <w:sz w:val="22"/>
                <w:szCs w:val="22"/>
              </w:rPr>
              <w:t>3</w:t>
            </w:r>
            <w:r w:rsidR="00E11B82" w:rsidRPr="001043A6">
              <w:rPr>
                <w:rFonts w:ascii="Garamond" w:hAnsi="Garamond"/>
                <w:sz w:val="22"/>
                <w:szCs w:val="22"/>
              </w:rPr>
              <w:t>.1.4.</w:t>
            </w:r>
            <w:r w:rsidR="00E11B82" w:rsidRPr="001043A6">
              <w:rPr>
                <w:rFonts w:ascii="Garamond" w:hAnsi="Garamond"/>
                <w:sz w:val="22"/>
                <w:szCs w:val="22"/>
              </w:rPr>
              <w:tab/>
              <w:t xml:space="preserve">хранение </w:t>
            </w:r>
            <w:r w:rsidR="004233B7" w:rsidRPr="001043A6">
              <w:rPr>
                <w:rFonts w:ascii="Garamond" w:hAnsi="Garamond"/>
                <w:sz w:val="22"/>
                <w:szCs w:val="22"/>
                <w:highlight w:val="yellow"/>
              </w:rPr>
              <w:t>в отдельных выделенных сегментах энергонезависимой памяти</w:t>
            </w:r>
            <w:r w:rsidR="004233B7" w:rsidRPr="001043A6">
              <w:rPr>
                <w:rFonts w:ascii="Garamond" w:hAnsi="Garamond"/>
                <w:sz w:val="22"/>
                <w:szCs w:val="22"/>
              </w:rPr>
              <w:t xml:space="preserve"> </w:t>
            </w:r>
            <w:r w:rsidR="00E11B82" w:rsidRPr="001043A6">
              <w:rPr>
                <w:rFonts w:ascii="Garamond" w:hAnsi="Garamond"/>
                <w:sz w:val="22"/>
                <w:szCs w:val="22"/>
              </w:rPr>
              <w:t>результатов измерений, информации о состоянии средств измерений («Журналов событий»)</w:t>
            </w:r>
            <w:r w:rsidR="004233B7" w:rsidRPr="001043A6">
              <w:rPr>
                <w:rFonts w:ascii="Garamond" w:hAnsi="Garamond"/>
                <w:sz w:val="22"/>
                <w:szCs w:val="22"/>
              </w:rPr>
              <w:t xml:space="preserve"> </w:t>
            </w:r>
            <w:r w:rsidR="004233B7" w:rsidRPr="001043A6">
              <w:rPr>
                <w:rFonts w:ascii="Garamond" w:hAnsi="Garamond"/>
                <w:sz w:val="22"/>
                <w:szCs w:val="22"/>
                <w:highlight w:val="yellow"/>
              </w:rPr>
              <w:t>(для ИПУ</w:t>
            </w:r>
            <w:r w:rsidR="00FA0311" w:rsidRPr="001043A6">
              <w:rPr>
                <w:rFonts w:ascii="Garamond" w:hAnsi="Garamond"/>
                <w:sz w:val="22"/>
                <w:szCs w:val="22"/>
                <w:highlight w:val="yellow"/>
              </w:rPr>
              <w:t>, присоединенных</w:t>
            </w:r>
            <w:r w:rsidR="00BF3F35" w:rsidRPr="001043A6">
              <w:rPr>
                <w:rFonts w:ascii="Garamond" w:hAnsi="Garamond"/>
                <w:sz w:val="22"/>
                <w:szCs w:val="22"/>
                <w:highlight w:val="yellow"/>
              </w:rPr>
              <w:t xml:space="preserve"> к ИСУ</w:t>
            </w:r>
            <w:r w:rsidR="007569A2">
              <w:rPr>
                <w:rFonts w:ascii="Garamond" w:hAnsi="Garamond"/>
                <w:sz w:val="22"/>
                <w:szCs w:val="22"/>
                <w:highlight w:val="yellow"/>
              </w:rPr>
              <w:t>,</w:t>
            </w:r>
            <w:r w:rsidR="004233B7" w:rsidRPr="001043A6">
              <w:rPr>
                <w:rFonts w:ascii="Garamond" w:hAnsi="Garamond"/>
                <w:sz w:val="22"/>
                <w:szCs w:val="22"/>
                <w:highlight w:val="yellow"/>
              </w:rPr>
              <w:t xml:space="preserve"> хранение записей о состоянии средств измерений в объеме не менее чем на 500 записей)</w:t>
            </w:r>
            <w:r w:rsidR="004233B7" w:rsidRPr="001043A6">
              <w:rPr>
                <w:rFonts w:ascii="Garamond" w:hAnsi="Garamond"/>
                <w:sz w:val="22"/>
                <w:szCs w:val="22"/>
              </w:rPr>
              <w:t>;</w:t>
            </w:r>
          </w:p>
          <w:p w14:paraId="2E67DD9A" w14:textId="77777777" w:rsidR="00231522" w:rsidRPr="001043A6" w:rsidRDefault="00F810CA" w:rsidP="00374F31">
            <w:pPr>
              <w:tabs>
                <w:tab w:val="num" w:pos="792"/>
                <w:tab w:val="left" w:pos="1080"/>
                <w:tab w:val="num" w:pos="1134"/>
                <w:tab w:val="left" w:pos="8100"/>
              </w:tabs>
              <w:suppressAutoHyphens w:val="0"/>
              <w:spacing w:line="259" w:lineRule="auto"/>
              <w:ind w:firstLine="601"/>
              <w:jc w:val="both"/>
              <w:rPr>
                <w:rFonts w:ascii="Garamond" w:hAnsi="Garamond"/>
                <w:sz w:val="22"/>
                <w:szCs w:val="22"/>
              </w:rPr>
            </w:pPr>
            <w:r w:rsidRPr="001043A6">
              <w:rPr>
                <w:rFonts w:ascii="Garamond" w:hAnsi="Garamond"/>
                <w:sz w:val="22"/>
                <w:szCs w:val="22"/>
              </w:rPr>
              <w:t>3</w:t>
            </w:r>
            <w:r w:rsidR="00E11B82" w:rsidRPr="001043A6">
              <w:rPr>
                <w:rFonts w:ascii="Garamond" w:hAnsi="Garamond"/>
                <w:sz w:val="22"/>
                <w:szCs w:val="22"/>
              </w:rPr>
              <w:t>.1.5.</w:t>
            </w:r>
            <w:r w:rsidR="00E11B82" w:rsidRPr="001043A6">
              <w:rPr>
                <w:rFonts w:ascii="Garamond" w:hAnsi="Garamond"/>
                <w:sz w:val="22"/>
                <w:szCs w:val="22"/>
              </w:rPr>
              <w:tab/>
              <w:t>предоставление доступа к измеренным значениям и «Журналам событий» ИИК со стороны ИВКЭ или ИВК</w:t>
            </w:r>
            <w:r w:rsidR="00B81A12" w:rsidRPr="001043A6">
              <w:rPr>
                <w:rFonts w:ascii="Garamond" w:hAnsi="Garamond"/>
                <w:sz w:val="22"/>
                <w:szCs w:val="22"/>
                <w:highlight w:val="yellow"/>
              </w:rPr>
              <w:t>;</w:t>
            </w:r>
          </w:p>
          <w:p w14:paraId="61AD312A" w14:textId="77777777" w:rsidR="00466E60" w:rsidRPr="001043A6" w:rsidRDefault="00FE55CC" w:rsidP="00866F59">
            <w:pPr>
              <w:tabs>
                <w:tab w:val="num" w:pos="792"/>
                <w:tab w:val="left" w:pos="1080"/>
                <w:tab w:val="num" w:pos="1134"/>
                <w:tab w:val="left" w:pos="8100"/>
              </w:tabs>
              <w:suppressAutoHyphens w:val="0"/>
              <w:spacing w:line="259" w:lineRule="auto"/>
              <w:ind w:firstLine="601"/>
              <w:jc w:val="both"/>
              <w:rPr>
                <w:rFonts w:ascii="Garamond" w:hAnsi="Garamond"/>
                <w:sz w:val="22"/>
                <w:szCs w:val="22"/>
              </w:rPr>
            </w:pPr>
            <w:r w:rsidRPr="001043A6">
              <w:rPr>
                <w:rFonts w:ascii="Garamond" w:hAnsi="Garamond"/>
                <w:sz w:val="22"/>
                <w:szCs w:val="22"/>
                <w:highlight w:val="yellow"/>
              </w:rPr>
              <w:t>3.1.6. формирование по результатам автоматической самодиагностики обобщенного события или каждого факта события в «Журнале событий».</w:t>
            </w:r>
          </w:p>
        </w:tc>
      </w:tr>
      <w:tr w:rsidR="00E11B82" w:rsidRPr="001043A6" w14:paraId="1E00869C" w14:textId="77777777" w:rsidTr="001043A6">
        <w:tc>
          <w:tcPr>
            <w:tcW w:w="1031" w:type="dxa"/>
          </w:tcPr>
          <w:p w14:paraId="669CEFE3" w14:textId="77777777" w:rsidR="00E11B82" w:rsidRPr="001043A6" w:rsidRDefault="001176B2" w:rsidP="00E11B82">
            <w:pPr>
              <w:widowControl w:val="0"/>
              <w:spacing w:line="259" w:lineRule="auto"/>
              <w:jc w:val="center"/>
              <w:rPr>
                <w:rFonts w:ascii="Garamond" w:hAnsi="Garamond"/>
                <w:b/>
                <w:sz w:val="22"/>
                <w:szCs w:val="22"/>
                <w:lang w:eastAsia="en-US"/>
              </w:rPr>
            </w:pPr>
            <w:r w:rsidRPr="001043A6">
              <w:rPr>
                <w:rFonts w:ascii="Garamond" w:hAnsi="Garamond"/>
                <w:b/>
                <w:sz w:val="22"/>
                <w:szCs w:val="22"/>
                <w:lang w:eastAsia="en-US"/>
              </w:rPr>
              <w:lastRenderedPageBreak/>
              <w:t>3</w:t>
            </w:r>
            <w:r w:rsidR="00E11B82" w:rsidRPr="001043A6">
              <w:rPr>
                <w:rFonts w:ascii="Garamond" w:hAnsi="Garamond"/>
                <w:b/>
                <w:sz w:val="22"/>
                <w:szCs w:val="22"/>
                <w:lang w:eastAsia="en-US"/>
              </w:rPr>
              <w:t>.2.1</w:t>
            </w:r>
          </w:p>
        </w:tc>
        <w:tc>
          <w:tcPr>
            <w:tcW w:w="6833" w:type="dxa"/>
          </w:tcPr>
          <w:p w14:paraId="2DABD652" w14:textId="77777777" w:rsidR="00E11B82" w:rsidRPr="001043A6" w:rsidRDefault="00E11B82" w:rsidP="00E11B82">
            <w:pPr>
              <w:tabs>
                <w:tab w:val="num" w:pos="792"/>
                <w:tab w:val="left" w:pos="1080"/>
                <w:tab w:val="num" w:pos="1134"/>
                <w:tab w:val="left" w:pos="8100"/>
              </w:tabs>
              <w:suppressAutoHyphens w:val="0"/>
              <w:spacing w:line="259" w:lineRule="auto"/>
              <w:ind w:firstLine="629"/>
              <w:jc w:val="both"/>
              <w:rPr>
                <w:rFonts w:ascii="Garamond" w:hAnsi="Garamond"/>
                <w:sz w:val="22"/>
                <w:szCs w:val="22"/>
              </w:rPr>
            </w:pPr>
            <w:r w:rsidRPr="001043A6">
              <w:rPr>
                <w:rFonts w:ascii="Garamond" w:hAnsi="Garamond"/>
                <w:sz w:val="22"/>
                <w:szCs w:val="22"/>
              </w:rPr>
              <w:t xml:space="preserve">Классы точности измерительных трансформаторов тока должны быть не хуже 0,5, при этом в каждом из следующих случаев: плановой замене, истечении срока службы, отрицательных результатах поверки измерительных трансформаторов тока, а также новом строительстве и (или) модернизации сетевого оборудования энергообъектов или </w:t>
            </w:r>
            <w:r w:rsidRPr="001043A6">
              <w:rPr>
                <w:rFonts w:ascii="Garamond" w:hAnsi="Garamond"/>
                <w:sz w:val="22"/>
                <w:szCs w:val="22"/>
              </w:rPr>
              <w:lastRenderedPageBreak/>
              <w:t xml:space="preserve">модернизации </w:t>
            </w:r>
            <w:r w:rsidRPr="001043A6">
              <w:rPr>
                <w:rFonts w:ascii="Garamond" w:hAnsi="Garamond"/>
                <w:sz w:val="22"/>
                <w:szCs w:val="22"/>
                <w:highlight w:val="yellow"/>
              </w:rPr>
              <w:t>АИИС КУЭ</w:t>
            </w:r>
            <w:r w:rsidRPr="001043A6">
              <w:rPr>
                <w:rFonts w:ascii="Garamond" w:hAnsi="Garamond"/>
                <w:sz w:val="22"/>
                <w:szCs w:val="22"/>
              </w:rPr>
              <w:t xml:space="preserve">, влекущих за собой установку измерительных трансформаторов тока в точках измерений коммерческого учета </w:t>
            </w:r>
            <w:r w:rsidRPr="001043A6">
              <w:rPr>
                <w:rFonts w:ascii="Garamond" w:hAnsi="Garamond"/>
                <w:sz w:val="22"/>
                <w:szCs w:val="22"/>
                <w:highlight w:val="yellow"/>
              </w:rPr>
              <w:t>электрической энергии</w:t>
            </w:r>
            <w:r w:rsidRPr="001043A6">
              <w:rPr>
                <w:rFonts w:ascii="Garamond" w:hAnsi="Garamond"/>
                <w:sz w:val="22"/>
                <w:szCs w:val="22"/>
              </w:rPr>
              <w:t>, – рекомендуется устанавливать измерительные трансформаторы тока класса точности не хуже 0,5S.</w:t>
            </w:r>
          </w:p>
          <w:p w14:paraId="3449CF1F" w14:textId="77777777" w:rsidR="00E11B82" w:rsidRPr="001043A6" w:rsidRDefault="00E11B82" w:rsidP="00E11B82">
            <w:pPr>
              <w:tabs>
                <w:tab w:val="num" w:pos="792"/>
                <w:tab w:val="left" w:pos="1080"/>
                <w:tab w:val="num" w:pos="1134"/>
                <w:tab w:val="left" w:pos="8100"/>
              </w:tabs>
              <w:suppressAutoHyphens w:val="0"/>
              <w:spacing w:line="259" w:lineRule="auto"/>
              <w:ind w:firstLine="629"/>
              <w:jc w:val="both"/>
              <w:rPr>
                <w:rFonts w:ascii="Garamond" w:hAnsi="Garamond"/>
                <w:sz w:val="22"/>
                <w:szCs w:val="22"/>
              </w:rPr>
            </w:pPr>
            <w:r w:rsidRPr="001043A6">
              <w:rPr>
                <w:rFonts w:ascii="Garamond" w:hAnsi="Garamond"/>
                <w:sz w:val="22"/>
                <w:szCs w:val="22"/>
              </w:rPr>
              <w:t>Классы точности измерительных трансформаторов напряжения должны быть не хуже 0,5, при этом:</w:t>
            </w:r>
          </w:p>
          <w:p w14:paraId="0E9BAF1B" w14:textId="77777777" w:rsidR="00E11B82" w:rsidRPr="001043A6" w:rsidRDefault="00E11B82" w:rsidP="00E11B82">
            <w:pPr>
              <w:tabs>
                <w:tab w:val="num" w:pos="792"/>
                <w:tab w:val="left" w:pos="1080"/>
                <w:tab w:val="num" w:pos="1134"/>
                <w:tab w:val="left" w:pos="8100"/>
              </w:tabs>
              <w:suppressAutoHyphens w:val="0"/>
              <w:spacing w:line="259" w:lineRule="auto"/>
              <w:ind w:firstLine="629"/>
              <w:jc w:val="both"/>
              <w:rPr>
                <w:rFonts w:ascii="Garamond" w:hAnsi="Garamond"/>
                <w:sz w:val="22"/>
                <w:szCs w:val="22"/>
              </w:rPr>
            </w:pPr>
            <w:r w:rsidRPr="001043A6">
              <w:rPr>
                <w:rFonts w:ascii="Garamond" w:hAnsi="Garamond"/>
                <w:sz w:val="22"/>
                <w:szCs w:val="22"/>
              </w:rPr>
              <w:t>– допускается применение измерительных трансформаторов напряжения класса точности не хуже 1,0 при условии</w:t>
            </w:r>
            <w:r w:rsidRPr="001043A6">
              <w:rPr>
                <w:rFonts w:ascii="Garamond" w:hAnsi="Garamond"/>
                <w:sz w:val="22"/>
                <w:szCs w:val="22"/>
                <w:highlight w:val="yellow"/>
              </w:rPr>
              <w:t>, если обеспечено выполнение требований</w:t>
            </w:r>
            <w:r w:rsidRPr="001043A6">
              <w:rPr>
                <w:rFonts w:ascii="Garamond" w:hAnsi="Garamond"/>
                <w:sz w:val="22"/>
                <w:szCs w:val="22"/>
              </w:rPr>
              <w:t xml:space="preserve"> п. 3.2.2;</w:t>
            </w:r>
          </w:p>
          <w:p w14:paraId="0599664B" w14:textId="77777777" w:rsidR="00E11B82" w:rsidRPr="001043A6" w:rsidRDefault="00E11B82" w:rsidP="00E11B82">
            <w:pPr>
              <w:tabs>
                <w:tab w:val="num" w:pos="792"/>
                <w:tab w:val="left" w:pos="1080"/>
                <w:tab w:val="num" w:pos="1134"/>
                <w:tab w:val="left" w:pos="8100"/>
              </w:tabs>
              <w:suppressAutoHyphens w:val="0"/>
              <w:spacing w:line="259" w:lineRule="auto"/>
              <w:ind w:firstLine="629"/>
              <w:jc w:val="both"/>
              <w:rPr>
                <w:rFonts w:ascii="Garamond" w:hAnsi="Garamond"/>
                <w:sz w:val="22"/>
                <w:szCs w:val="22"/>
              </w:rPr>
            </w:pPr>
            <w:r w:rsidRPr="001043A6">
              <w:rPr>
                <w:rFonts w:ascii="Garamond" w:hAnsi="Garamond"/>
                <w:sz w:val="22"/>
                <w:szCs w:val="22"/>
              </w:rPr>
              <w:t xml:space="preserve">– в каждом из следующих случаев: плановой замене, истечении срока службы, отрицательных результатах поверки измерительных трансформаторов напряжения, а также новом строительстве и (или) модернизации сетевого оборудования энергообъектов или модернизации АИИС КУЭ, влекущих за собой установку измерительных трансформаторов напряжения в точках измерений коммерческого учета </w:t>
            </w:r>
            <w:r w:rsidRPr="001043A6">
              <w:rPr>
                <w:rFonts w:ascii="Garamond" w:hAnsi="Garamond"/>
                <w:sz w:val="22"/>
                <w:szCs w:val="22"/>
                <w:highlight w:val="yellow"/>
              </w:rPr>
              <w:t>электрической энергии</w:t>
            </w:r>
            <w:r w:rsidRPr="001043A6">
              <w:rPr>
                <w:rFonts w:ascii="Garamond" w:hAnsi="Garamond"/>
                <w:sz w:val="22"/>
                <w:szCs w:val="22"/>
              </w:rPr>
              <w:t>, – должны устанавливаться измерительные трансформаторы напряжения класса точности не хуже 0,5.</w:t>
            </w:r>
          </w:p>
        </w:tc>
        <w:tc>
          <w:tcPr>
            <w:tcW w:w="7115" w:type="dxa"/>
          </w:tcPr>
          <w:p w14:paraId="68F609A9" w14:textId="77777777" w:rsidR="00E11B82" w:rsidRPr="001043A6" w:rsidRDefault="00E11B82" w:rsidP="00E11B82">
            <w:pPr>
              <w:tabs>
                <w:tab w:val="num" w:pos="792"/>
                <w:tab w:val="left" w:pos="1080"/>
                <w:tab w:val="num" w:pos="1134"/>
                <w:tab w:val="left" w:pos="8100"/>
              </w:tabs>
              <w:suppressAutoHyphens w:val="0"/>
              <w:spacing w:line="259" w:lineRule="auto"/>
              <w:ind w:firstLine="629"/>
              <w:jc w:val="both"/>
              <w:rPr>
                <w:rFonts w:ascii="Garamond" w:hAnsi="Garamond"/>
                <w:sz w:val="22"/>
                <w:szCs w:val="22"/>
              </w:rPr>
            </w:pPr>
            <w:r w:rsidRPr="001043A6">
              <w:rPr>
                <w:rFonts w:ascii="Garamond" w:hAnsi="Garamond"/>
                <w:sz w:val="22"/>
                <w:szCs w:val="22"/>
              </w:rPr>
              <w:lastRenderedPageBreak/>
              <w:t xml:space="preserve">Классы точности измерительных трансформаторов тока должны быть не хуже 0,5, при этом в каждом из следующих случаев: плановой замене, истечении срока службы, отрицательных результатах поверки измерительных трансформаторов тока, а также новом строительстве и (или) модернизации сетевого оборудования энергообъектов или модернизации </w:t>
            </w:r>
            <w:r w:rsidR="00BF3F35" w:rsidRPr="001043A6">
              <w:rPr>
                <w:rFonts w:ascii="Garamond" w:hAnsi="Garamond"/>
                <w:sz w:val="22"/>
                <w:szCs w:val="22"/>
                <w:highlight w:val="yellow"/>
              </w:rPr>
              <w:lastRenderedPageBreak/>
              <w:t>СУ</w:t>
            </w:r>
            <w:r w:rsidR="00AB02D7" w:rsidRPr="001043A6">
              <w:rPr>
                <w:rFonts w:ascii="Garamond" w:hAnsi="Garamond"/>
                <w:sz w:val="22"/>
                <w:szCs w:val="22"/>
              </w:rPr>
              <w:t>,</w:t>
            </w:r>
            <w:r w:rsidRPr="001043A6">
              <w:rPr>
                <w:rFonts w:ascii="Garamond" w:hAnsi="Garamond"/>
                <w:sz w:val="22"/>
                <w:szCs w:val="22"/>
              </w:rPr>
              <w:t xml:space="preserve"> влекущих за собой установку измерительных трансформаторов тока в точках измерений коммерческого учета </w:t>
            </w:r>
            <w:r w:rsidR="000A1A68" w:rsidRPr="001043A6">
              <w:rPr>
                <w:rFonts w:ascii="Garamond" w:hAnsi="Garamond"/>
                <w:sz w:val="22"/>
                <w:szCs w:val="22"/>
                <w:highlight w:val="yellow"/>
              </w:rPr>
              <w:t>электро</w:t>
            </w:r>
            <w:r w:rsidRPr="001043A6">
              <w:rPr>
                <w:rFonts w:ascii="Garamond" w:hAnsi="Garamond"/>
                <w:sz w:val="22"/>
                <w:szCs w:val="22"/>
                <w:highlight w:val="yellow"/>
              </w:rPr>
              <w:t>энергии</w:t>
            </w:r>
            <w:r w:rsidRPr="001043A6">
              <w:rPr>
                <w:rFonts w:ascii="Garamond" w:hAnsi="Garamond"/>
                <w:sz w:val="22"/>
                <w:szCs w:val="22"/>
              </w:rPr>
              <w:t>, – рекомендуется устанавливать измерительные трансформаторы тока класса точности не хуже 0,5S.</w:t>
            </w:r>
          </w:p>
          <w:p w14:paraId="41DD7DFF" w14:textId="77777777" w:rsidR="00E11B82" w:rsidRPr="001043A6" w:rsidRDefault="00E11B82" w:rsidP="00E11B82">
            <w:pPr>
              <w:tabs>
                <w:tab w:val="num" w:pos="792"/>
                <w:tab w:val="left" w:pos="1080"/>
                <w:tab w:val="num" w:pos="1134"/>
                <w:tab w:val="left" w:pos="8100"/>
              </w:tabs>
              <w:suppressAutoHyphens w:val="0"/>
              <w:spacing w:line="259" w:lineRule="auto"/>
              <w:ind w:firstLine="629"/>
              <w:jc w:val="both"/>
              <w:rPr>
                <w:rFonts w:ascii="Garamond" w:hAnsi="Garamond"/>
                <w:sz w:val="22"/>
                <w:szCs w:val="22"/>
              </w:rPr>
            </w:pPr>
            <w:r w:rsidRPr="001043A6">
              <w:rPr>
                <w:rFonts w:ascii="Garamond" w:hAnsi="Garamond"/>
                <w:sz w:val="22"/>
                <w:szCs w:val="22"/>
              </w:rPr>
              <w:t>Классы точности измерительных трансформаторов напряжения должны быть не хуже 0,5, при этом:</w:t>
            </w:r>
          </w:p>
          <w:p w14:paraId="6937852A" w14:textId="37794BCC" w:rsidR="00E11B82" w:rsidRPr="001043A6" w:rsidRDefault="00E11B82" w:rsidP="00E11B82">
            <w:pPr>
              <w:tabs>
                <w:tab w:val="num" w:pos="792"/>
                <w:tab w:val="left" w:pos="1080"/>
                <w:tab w:val="num" w:pos="1134"/>
                <w:tab w:val="left" w:pos="8100"/>
              </w:tabs>
              <w:suppressAutoHyphens w:val="0"/>
              <w:spacing w:line="259" w:lineRule="auto"/>
              <w:ind w:firstLine="629"/>
              <w:jc w:val="both"/>
              <w:rPr>
                <w:rFonts w:ascii="Garamond" w:hAnsi="Garamond"/>
                <w:sz w:val="22"/>
                <w:szCs w:val="22"/>
              </w:rPr>
            </w:pPr>
            <w:r w:rsidRPr="001043A6">
              <w:rPr>
                <w:rFonts w:ascii="Garamond" w:hAnsi="Garamond"/>
                <w:sz w:val="22"/>
                <w:szCs w:val="22"/>
              </w:rPr>
              <w:t xml:space="preserve">– </w:t>
            </w:r>
            <w:r w:rsidR="001176B2" w:rsidRPr="001043A6">
              <w:rPr>
                <w:rFonts w:ascii="Garamond" w:hAnsi="Garamond"/>
                <w:sz w:val="22"/>
                <w:szCs w:val="22"/>
                <w:highlight w:val="yellow"/>
              </w:rPr>
              <w:t xml:space="preserve">в отношении совокупности СИ и ТУ и </w:t>
            </w:r>
            <w:r w:rsidR="0013792E" w:rsidRPr="001043A6">
              <w:rPr>
                <w:rFonts w:ascii="Garamond" w:hAnsi="Garamond"/>
                <w:sz w:val="22"/>
                <w:szCs w:val="22"/>
                <w:highlight w:val="yellow"/>
              </w:rPr>
              <w:t>АИИС КУЭ</w:t>
            </w:r>
            <w:r w:rsidR="001176B2" w:rsidRPr="001043A6">
              <w:rPr>
                <w:rFonts w:ascii="Garamond" w:hAnsi="Garamond"/>
                <w:sz w:val="22"/>
                <w:szCs w:val="22"/>
              </w:rPr>
              <w:t xml:space="preserve"> </w:t>
            </w:r>
            <w:r w:rsidRPr="001043A6">
              <w:rPr>
                <w:rFonts w:ascii="Garamond" w:hAnsi="Garamond"/>
                <w:sz w:val="22"/>
                <w:szCs w:val="22"/>
              </w:rPr>
              <w:t>допускается применение измерительных трансформаторов напряжения класса точности не хуже 1,0 при условии</w:t>
            </w:r>
            <w:r w:rsidR="009861E7" w:rsidRPr="001043A6">
              <w:rPr>
                <w:rFonts w:ascii="Garamond" w:hAnsi="Garamond"/>
                <w:sz w:val="22"/>
                <w:szCs w:val="22"/>
              </w:rPr>
              <w:t xml:space="preserve"> </w:t>
            </w:r>
            <w:r w:rsidR="009861E7" w:rsidRPr="001043A6">
              <w:rPr>
                <w:rFonts w:ascii="Garamond" w:hAnsi="Garamond"/>
                <w:sz w:val="22"/>
                <w:szCs w:val="22"/>
                <w:highlight w:val="yellow"/>
              </w:rPr>
              <w:t>использования допустимых к применению комбинаций классов точности измерительных трансформаторов и приборов учета</w:t>
            </w:r>
            <w:r w:rsidRPr="001043A6">
              <w:rPr>
                <w:rFonts w:ascii="Garamond" w:hAnsi="Garamond"/>
                <w:sz w:val="22"/>
                <w:szCs w:val="22"/>
                <w:highlight w:val="yellow"/>
              </w:rPr>
              <w:t xml:space="preserve">, </w:t>
            </w:r>
            <w:r w:rsidR="009861E7" w:rsidRPr="001043A6">
              <w:rPr>
                <w:rFonts w:ascii="Garamond" w:hAnsi="Garamond"/>
                <w:sz w:val="22"/>
                <w:szCs w:val="22"/>
                <w:highlight w:val="yellow"/>
              </w:rPr>
              <w:t>указанных в таблице 1</w:t>
            </w:r>
            <w:r w:rsidR="00AB02D7" w:rsidRPr="001043A6">
              <w:rPr>
                <w:rFonts w:ascii="Garamond" w:hAnsi="Garamond"/>
                <w:sz w:val="22"/>
                <w:szCs w:val="22"/>
              </w:rPr>
              <w:t xml:space="preserve"> </w:t>
            </w:r>
            <w:r w:rsidRPr="001043A6">
              <w:rPr>
                <w:rFonts w:ascii="Garamond" w:hAnsi="Garamond"/>
                <w:sz w:val="22"/>
                <w:szCs w:val="22"/>
              </w:rPr>
              <w:t xml:space="preserve">п. </w:t>
            </w:r>
            <w:r w:rsidR="001176B2" w:rsidRPr="001043A6">
              <w:rPr>
                <w:rFonts w:ascii="Garamond" w:hAnsi="Garamond"/>
                <w:sz w:val="22"/>
                <w:szCs w:val="22"/>
              </w:rPr>
              <w:t>3</w:t>
            </w:r>
            <w:r w:rsidRPr="001043A6">
              <w:rPr>
                <w:rFonts w:ascii="Garamond" w:hAnsi="Garamond"/>
                <w:sz w:val="22"/>
                <w:szCs w:val="22"/>
              </w:rPr>
              <w:t>.2.2</w:t>
            </w:r>
            <w:r w:rsidR="007569A2">
              <w:rPr>
                <w:rFonts w:ascii="Garamond" w:hAnsi="Garamond"/>
                <w:sz w:val="22"/>
                <w:szCs w:val="22"/>
              </w:rPr>
              <w:t xml:space="preserve"> </w:t>
            </w:r>
            <w:r w:rsidR="007569A2" w:rsidRPr="007569A2">
              <w:rPr>
                <w:rFonts w:ascii="Garamond" w:hAnsi="Garamond"/>
                <w:sz w:val="22"/>
                <w:szCs w:val="22"/>
                <w:highlight w:val="yellow"/>
              </w:rPr>
              <w:t>настоящих Технических требований</w:t>
            </w:r>
            <w:r w:rsidRPr="001043A6">
              <w:rPr>
                <w:rFonts w:ascii="Garamond" w:hAnsi="Garamond"/>
                <w:sz w:val="22"/>
                <w:szCs w:val="22"/>
              </w:rPr>
              <w:t>;</w:t>
            </w:r>
          </w:p>
          <w:p w14:paraId="11FC7AD2" w14:textId="77777777" w:rsidR="00E11B82" w:rsidRPr="001043A6" w:rsidRDefault="00E11B82" w:rsidP="000A1A68">
            <w:pPr>
              <w:tabs>
                <w:tab w:val="num" w:pos="792"/>
                <w:tab w:val="left" w:pos="1080"/>
                <w:tab w:val="num" w:pos="1134"/>
                <w:tab w:val="left" w:pos="8100"/>
              </w:tabs>
              <w:suppressAutoHyphens w:val="0"/>
              <w:spacing w:line="259" w:lineRule="auto"/>
              <w:ind w:firstLine="629"/>
              <w:jc w:val="both"/>
              <w:rPr>
                <w:rFonts w:ascii="Garamond" w:hAnsi="Garamond"/>
                <w:sz w:val="22"/>
                <w:szCs w:val="22"/>
              </w:rPr>
            </w:pPr>
            <w:r w:rsidRPr="001043A6">
              <w:rPr>
                <w:rFonts w:ascii="Garamond" w:hAnsi="Garamond"/>
                <w:sz w:val="22"/>
                <w:szCs w:val="22"/>
              </w:rPr>
              <w:t>– в каждом из следующих случаев: плановой замене, истечении срока службы, отрицательных результатах поверки измерительных трансформаторов напряжения, а также новом строительстве и (или) модернизации сетевого оборудования энергообъектов или модернизации АИИС КУЭ</w:t>
            </w:r>
            <w:r w:rsidR="001176B2" w:rsidRPr="001043A6">
              <w:rPr>
                <w:rFonts w:ascii="Garamond" w:hAnsi="Garamond"/>
                <w:sz w:val="22"/>
                <w:szCs w:val="22"/>
                <w:highlight w:val="yellow"/>
              </w:rPr>
              <w:t>, совокупности СИ и ТУ</w:t>
            </w:r>
            <w:r w:rsidRPr="001043A6">
              <w:rPr>
                <w:rFonts w:ascii="Garamond" w:hAnsi="Garamond"/>
                <w:sz w:val="22"/>
                <w:szCs w:val="22"/>
              </w:rPr>
              <w:t xml:space="preserve">, влекущих за собой установку измерительных трансформаторов напряжения в точках измерений коммерческого учета </w:t>
            </w:r>
            <w:r w:rsidR="000A1A68" w:rsidRPr="001043A6">
              <w:rPr>
                <w:rFonts w:ascii="Garamond" w:hAnsi="Garamond"/>
                <w:sz w:val="22"/>
                <w:szCs w:val="22"/>
                <w:highlight w:val="yellow"/>
              </w:rPr>
              <w:t>электро</w:t>
            </w:r>
            <w:r w:rsidRPr="001043A6">
              <w:rPr>
                <w:rFonts w:ascii="Garamond" w:hAnsi="Garamond"/>
                <w:sz w:val="22"/>
                <w:szCs w:val="22"/>
                <w:highlight w:val="yellow"/>
              </w:rPr>
              <w:t>энергии</w:t>
            </w:r>
            <w:r w:rsidRPr="001043A6">
              <w:rPr>
                <w:rFonts w:ascii="Garamond" w:hAnsi="Garamond"/>
                <w:sz w:val="22"/>
                <w:szCs w:val="22"/>
              </w:rPr>
              <w:t>, – должны устанавливаться измерительные трансформаторы напряжения класса точности не хуже 0,5.</w:t>
            </w:r>
          </w:p>
        </w:tc>
      </w:tr>
      <w:tr w:rsidR="00E11B82" w:rsidRPr="001043A6" w14:paraId="1E0B5173" w14:textId="77777777" w:rsidTr="001043A6">
        <w:tc>
          <w:tcPr>
            <w:tcW w:w="1031" w:type="dxa"/>
          </w:tcPr>
          <w:p w14:paraId="1538CA9E" w14:textId="77777777" w:rsidR="00E11B82" w:rsidRPr="001043A6" w:rsidRDefault="00821ED7" w:rsidP="00E11B82">
            <w:pPr>
              <w:widowControl w:val="0"/>
              <w:spacing w:line="259" w:lineRule="auto"/>
              <w:jc w:val="center"/>
              <w:rPr>
                <w:rFonts w:ascii="Garamond" w:hAnsi="Garamond"/>
                <w:b/>
                <w:sz w:val="22"/>
                <w:szCs w:val="22"/>
                <w:lang w:eastAsia="en-US"/>
              </w:rPr>
            </w:pPr>
            <w:r w:rsidRPr="001043A6">
              <w:rPr>
                <w:rFonts w:ascii="Garamond" w:hAnsi="Garamond"/>
                <w:b/>
                <w:sz w:val="22"/>
                <w:szCs w:val="22"/>
                <w:lang w:eastAsia="en-US"/>
              </w:rPr>
              <w:lastRenderedPageBreak/>
              <w:t>3.2.2</w:t>
            </w:r>
          </w:p>
        </w:tc>
        <w:tc>
          <w:tcPr>
            <w:tcW w:w="6833" w:type="dxa"/>
          </w:tcPr>
          <w:p w14:paraId="3EC1CEDD" w14:textId="77777777" w:rsidR="00821ED7" w:rsidRPr="001043A6" w:rsidRDefault="00821ED7" w:rsidP="00821ED7">
            <w:pPr>
              <w:tabs>
                <w:tab w:val="left" w:pos="1080"/>
                <w:tab w:val="num" w:pos="1276"/>
                <w:tab w:val="left" w:pos="1320"/>
              </w:tabs>
              <w:suppressAutoHyphens w:val="0"/>
              <w:spacing w:line="22" w:lineRule="atLeast"/>
              <w:ind w:firstLine="629"/>
              <w:jc w:val="both"/>
              <w:rPr>
                <w:rFonts w:ascii="Garamond" w:hAnsi="Garamond"/>
                <w:sz w:val="22"/>
                <w:szCs w:val="22"/>
              </w:rPr>
            </w:pPr>
            <w:r w:rsidRPr="001043A6">
              <w:rPr>
                <w:rFonts w:ascii="Garamond" w:hAnsi="Garamond"/>
                <w:sz w:val="22"/>
                <w:szCs w:val="22"/>
              </w:rPr>
              <w:t xml:space="preserve">Нормы основной относительной погрешности измерения активной </w:t>
            </w:r>
            <w:r w:rsidRPr="001043A6">
              <w:rPr>
                <w:rFonts w:ascii="Garamond" w:hAnsi="Garamond"/>
                <w:sz w:val="22"/>
                <w:szCs w:val="22"/>
                <w:highlight w:val="yellow"/>
              </w:rPr>
              <w:t>электрической энергии</w:t>
            </w:r>
            <w:r w:rsidRPr="001043A6">
              <w:rPr>
                <w:rFonts w:ascii="Garamond" w:hAnsi="Garamond"/>
                <w:sz w:val="22"/>
                <w:szCs w:val="22"/>
              </w:rPr>
              <w:t xml:space="preserve"> по каждому ИИК должны соответствовать указанным ниже значениям:</w:t>
            </w:r>
          </w:p>
          <w:p w14:paraId="2C29C85B" w14:textId="77777777" w:rsidR="00821ED7" w:rsidRPr="001043A6" w:rsidRDefault="00821ED7" w:rsidP="00821ED7">
            <w:pPr>
              <w:tabs>
                <w:tab w:val="num" w:pos="792"/>
                <w:tab w:val="left" w:pos="1080"/>
                <w:tab w:val="num" w:pos="1134"/>
                <w:tab w:val="left" w:pos="8100"/>
              </w:tabs>
              <w:suppressAutoHyphens w:val="0"/>
              <w:spacing w:line="22" w:lineRule="atLeast"/>
              <w:ind w:firstLine="629"/>
              <w:jc w:val="both"/>
              <w:rPr>
                <w:rFonts w:ascii="Garamond" w:hAnsi="Garamond"/>
                <w:sz w:val="22"/>
                <w:szCs w:val="22"/>
              </w:rPr>
            </w:pPr>
            <w:r w:rsidRPr="001043A6">
              <w:rPr>
                <w:rFonts w:ascii="Garamond" w:hAnsi="Garamond"/>
                <w:sz w:val="22"/>
                <w:szCs w:val="22"/>
              </w:rPr>
              <w:t>1)</w:t>
            </w:r>
            <w:r w:rsidRPr="001043A6">
              <w:rPr>
                <w:rFonts w:ascii="Garamond" w:hAnsi="Garamond"/>
                <w:sz w:val="22"/>
                <w:szCs w:val="22"/>
              </w:rPr>
              <w:tab/>
              <w:t>для значений cos φ в промежутке &gt;0,8 и ≤1:</w:t>
            </w:r>
          </w:p>
          <w:p w14:paraId="59F81D41" w14:textId="6D2B62CD" w:rsidR="00821ED7" w:rsidRPr="001043A6" w:rsidRDefault="00821ED7" w:rsidP="00821ED7">
            <w:pPr>
              <w:tabs>
                <w:tab w:val="num" w:pos="792"/>
                <w:tab w:val="left" w:pos="1080"/>
                <w:tab w:val="num" w:pos="1134"/>
                <w:tab w:val="left" w:pos="8100"/>
              </w:tabs>
              <w:suppressAutoHyphens w:val="0"/>
              <w:spacing w:line="22" w:lineRule="atLeast"/>
              <w:ind w:firstLine="629"/>
              <w:jc w:val="both"/>
              <w:rPr>
                <w:rFonts w:ascii="Garamond" w:hAnsi="Garamond"/>
                <w:sz w:val="22"/>
                <w:szCs w:val="22"/>
              </w:rPr>
            </w:pPr>
            <w:r w:rsidRPr="001043A6">
              <w:rPr>
                <w:rFonts w:ascii="Garamond" w:hAnsi="Garamond"/>
                <w:sz w:val="22"/>
                <w:szCs w:val="22"/>
              </w:rPr>
              <w:t>-</w:t>
            </w:r>
            <w:r w:rsidRPr="001043A6">
              <w:rPr>
                <w:rFonts w:ascii="Garamond" w:hAnsi="Garamond"/>
                <w:sz w:val="22"/>
                <w:szCs w:val="22"/>
              </w:rPr>
              <w:tab/>
              <w:t>для области нагрузок до 2 %</w:t>
            </w:r>
            <w:r w:rsidR="009B5F03">
              <w:rPr>
                <w:rFonts w:ascii="Garamond" w:hAnsi="Garamond"/>
                <w:sz w:val="22"/>
                <w:szCs w:val="22"/>
              </w:rPr>
              <w:t xml:space="preserve"> </w:t>
            </w:r>
            <w:r w:rsidRPr="001043A6">
              <w:rPr>
                <w:rFonts w:ascii="Garamond" w:hAnsi="Garamond"/>
                <w:sz w:val="22"/>
                <w:szCs w:val="22"/>
              </w:rPr>
              <w:t>(относительная величина нагрузки трансформатора тока) не регламентируется;</w:t>
            </w:r>
          </w:p>
          <w:p w14:paraId="1E872A6C" w14:textId="77777777" w:rsidR="00821ED7" w:rsidRPr="001043A6" w:rsidRDefault="00821ED7" w:rsidP="00821ED7">
            <w:pPr>
              <w:tabs>
                <w:tab w:val="num" w:pos="792"/>
                <w:tab w:val="left" w:pos="1080"/>
                <w:tab w:val="num" w:pos="1134"/>
                <w:tab w:val="left" w:pos="8100"/>
              </w:tabs>
              <w:suppressAutoHyphens w:val="0"/>
              <w:spacing w:line="22" w:lineRule="atLeast"/>
              <w:ind w:firstLine="629"/>
              <w:jc w:val="both"/>
              <w:rPr>
                <w:rFonts w:ascii="Garamond" w:hAnsi="Garamond"/>
                <w:sz w:val="22"/>
                <w:szCs w:val="22"/>
              </w:rPr>
            </w:pPr>
            <w:r w:rsidRPr="001043A6">
              <w:rPr>
                <w:rFonts w:ascii="Garamond" w:hAnsi="Garamond"/>
                <w:sz w:val="22"/>
                <w:szCs w:val="22"/>
              </w:rPr>
              <w:t>-</w:t>
            </w:r>
            <w:r w:rsidRPr="001043A6">
              <w:rPr>
                <w:rFonts w:ascii="Garamond" w:hAnsi="Garamond"/>
                <w:sz w:val="22"/>
                <w:szCs w:val="22"/>
              </w:rPr>
              <w:tab/>
              <w:t>для области малых нагрузок (2–20 % включительно)</w:t>
            </w:r>
            <w:r w:rsidRPr="001043A6">
              <w:rPr>
                <w:rFonts w:ascii="Garamond" w:hAnsi="Garamond"/>
                <w:sz w:val="22"/>
                <w:szCs w:val="22"/>
                <w:vertAlign w:val="superscript"/>
              </w:rPr>
              <w:t>1</w:t>
            </w:r>
            <w:r w:rsidRPr="001043A6">
              <w:rPr>
                <w:rFonts w:ascii="Garamond" w:hAnsi="Garamond"/>
                <w:sz w:val="22"/>
                <w:szCs w:val="22"/>
              </w:rPr>
              <w:t xml:space="preserve"> не хуже 2,9%;</w:t>
            </w:r>
          </w:p>
          <w:p w14:paraId="4273229D" w14:textId="77777777" w:rsidR="00821ED7" w:rsidRPr="001043A6" w:rsidRDefault="00821ED7" w:rsidP="00821ED7">
            <w:pPr>
              <w:tabs>
                <w:tab w:val="num" w:pos="792"/>
                <w:tab w:val="left" w:pos="1080"/>
                <w:tab w:val="num" w:pos="1134"/>
                <w:tab w:val="left" w:pos="8100"/>
              </w:tabs>
              <w:suppressAutoHyphens w:val="0"/>
              <w:spacing w:line="22" w:lineRule="atLeast"/>
              <w:ind w:firstLine="629"/>
              <w:jc w:val="both"/>
              <w:rPr>
                <w:rFonts w:ascii="Garamond" w:hAnsi="Garamond"/>
                <w:sz w:val="22"/>
                <w:szCs w:val="22"/>
              </w:rPr>
            </w:pPr>
            <w:r w:rsidRPr="001043A6">
              <w:rPr>
                <w:rFonts w:ascii="Garamond" w:hAnsi="Garamond"/>
                <w:sz w:val="22"/>
                <w:szCs w:val="22"/>
              </w:rPr>
              <w:t>-</w:t>
            </w:r>
            <w:r w:rsidRPr="001043A6">
              <w:rPr>
                <w:rFonts w:ascii="Garamond" w:hAnsi="Garamond"/>
                <w:sz w:val="22"/>
                <w:szCs w:val="22"/>
              </w:rPr>
              <w:tab/>
              <w:t>для диапазона нагрузок 20–120 % не хуже 1,7 %;</w:t>
            </w:r>
          </w:p>
          <w:p w14:paraId="5603AF69" w14:textId="77777777" w:rsidR="00821ED7" w:rsidRPr="001043A6" w:rsidRDefault="00821ED7" w:rsidP="00821ED7">
            <w:pPr>
              <w:tabs>
                <w:tab w:val="num" w:pos="792"/>
                <w:tab w:val="left" w:pos="1080"/>
                <w:tab w:val="num" w:pos="1134"/>
                <w:tab w:val="left" w:pos="8100"/>
              </w:tabs>
              <w:suppressAutoHyphens w:val="0"/>
              <w:spacing w:line="22" w:lineRule="atLeast"/>
              <w:ind w:firstLine="629"/>
              <w:jc w:val="both"/>
              <w:rPr>
                <w:rFonts w:ascii="Garamond" w:hAnsi="Garamond"/>
                <w:sz w:val="22"/>
                <w:szCs w:val="22"/>
              </w:rPr>
            </w:pPr>
            <w:r w:rsidRPr="001043A6">
              <w:rPr>
                <w:rFonts w:ascii="Garamond" w:hAnsi="Garamond"/>
                <w:sz w:val="22"/>
                <w:szCs w:val="22"/>
              </w:rPr>
              <w:t>2)</w:t>
            </w:r>
            <w:r w:rsidRPr="001043A6">
              <w:rPr>
                <w:rFonts w:ascii="Garamond" w:hAnsi="Garamond"/>
                <w:sz w:val="22"/>
                <w:szCs w:val="22"/>
              </w:rPr>
              <w:tab/>
              <w:t>для значений cos φ в промежутке ≥0,5 и ≤0,8:</w:t>
            </w:r>
          </w:p>
          <w:p w14:paraId="666D28D5" w14:textId="77777777" w:rsidR="00821ED7" w:rsidRPr="001043A6" w:rsidRDefault="00821ED7" w:rsidP="00821ED7">
            <w:pPr>
              <w:tabs>
                <w:tab w:val="num" w:pos="792"/>
                <w:tab w:val="left" w:pos="1080"/>
                <w:tab w:val="num" w:pos="1134"/>
                <w:tab w:val="left" w:pos="8100"/>
              </w:tabs>
              <w:suppressAutoHyphens w:val="0"/>
              <w:spacing w:line="22" w:lineRule="atLeast"/>
              <w:ind w:firstLine="629"/>
              <w:jc w:val="both"/>
              <w:rPr>
                <w:rFonts w:ascii="Garamond" w:hAnsi="Garamond"/>
                <w:sz w:val="22"/>
                <w:szCs w:val="22"/>
              </w:rPr>
            </w:pPr>
            <w:r w:rsidRPr="001043A6">
              <w:rPr>
                <w:rFonts w:ascii="Garamond" w:hAnsi="Garamond"/>
                <w:sz w:val="22"/>
                <w:szCs w:val="22"/>
              </w:rPr>
              <w:t>-</w:t>
            </w:r>
            <w:r w:rsidRPr="001043A6">
              <w:rPr>
                <w:rFonts w:ascii="Garamond" w:hAnsi="Garamond"/>
                <w:sz w:val="22"/>
                <w:szCs w:val="22"/>
              </w:rPr>
              <w:tab/>
              <w:t>для области нагрузок до 2 %</w:t>
            </w:r>
            <w:r w:rsidRPr="001043A6">
              <w:rPr>
                <w:rFonts w:ascii="Garamond" w:hAnsi="Garamond"/>
                <w:sz w:val="22"/>
                <w:szCs w:val="22"/>
                <w:vertAlign w:val="superscript"/>
              </w:rPr>
              <w:t>1</w:t>
            </w:r>
            <w:r w:rsidRPr="001043A6">
              <w:rPr>
                <w:rFonts w:ascii="Garamond" w:hAnsi="Garamond"/>
                <w:sz w:val="22"/>
                <w:szCs w:val="22"/>
              </w:rPr>
              <w:t xml:space="preserve"> (относительная величина нагрузки трансформатора тока) не регламентируется;</w:t>
            </w:r>
          </w:p>
          <w:p w14:paraId="04C45D7B" w14:textId="77777777" w:rsidR="00821ED7" w:rsidRPr="001043A6" w:rsidRDefault="00821ED7" w:rsidP="00821ED7">
            <w:pPr>
              <w:tabs>
                <w:tab w:val="num" w:pos="792"/>
                <w:tab w:val="left" w:pos="1080"/>
                <w:tab w:val="num" w:pos="1134"/>
                <w:tab w:val="left" w:pos="8100"/>
              </w:tabs>
              <w:suppressAutoHyphens w:val="0"/>
              <w:spacing w:line="22" w:lineRule="atLeast"/>
              <w:ind w:firstLine="629"/>
              <w:jc w:val="both"/>
              <w:rPr>
                <w:rFonts w:ascii="Garamond" w:hAnsi="Garamond"/>
                <w:sz w:val="22"/>
                <w:szCs w:val="22"/>
              </w:rPr>
            </w:pPr>
            <w:r w:rsidRPr="001043A6">
              <w:rPr>
                <w:rFonts w:ascii="Garamond" w:hAnsi="Garamond"/>
                <w:sz w:val="22"/>
                <w:szCs w:val="22"/>
              </w:rPr>
              <w:t>-</w:t>
            </w:r>
            <w:r w:rsidRPr="001043A6">
              <w:rPr>
                <w:rFonts w:ascii="Garamond" w:hAnsi="Garamond"/>
                <w:sz w:val="22"/>
                <w:szCs w:val="22"/>
              </w:rPr>
              <w:tab/>
              <w:t>для области малых нагрузок (2–20 % включительно)</w:t>
            </w:r>
            <w:r w:rsidRPr="001043A6">
              <w:rPr>
                <w:rFonts w:ascii="Garamond" w:hAnsi="Garamond"/>
                <w:sz w:val="22"/>
                <w:szCs w:val="22"/>
                <w:vertAlign w:val="superscript"/>
              </w:rPr>
              <w:t>1</w:t>
            </w:r>
            <w:r w:rsidRPr="001043A6">
              <w:rPr>
                <w:rFonts w:ascii="Garamond" w:hAnsi="Garamond"/>
                <w:sz w:val="22"/>
                <w:szCs w:val="22"/>
              </w:rPr>
              <w:t xml:space="preserve"> не хуже 5,5 %;</w:t>
            </w:r>
          </w:p>
          <w:p w14:paraId="7C42F2F3" w14:textId="77777777" w:rsidR="00821ED7" w:rsidRPr="001043A6" w:rsidRDefault="00821ED7" w:rsidP="00821ED7">
            <w:pPr>
              <w:tabs>
                <w:tab w:val="num" w:pos="792"/>
                <w:tab w:val="left" w:pos="1080"/>
                <w:tab w:val="num" w:pos="1134"/>
                <w:tab w:val="left" w:pos="8100"/>
              </w:tabs>
              <w:suppressAutoHyphens w:val="0"/>
              <w:spacing w:line="22" w:lineRule="atLeast"/>
              <w:ind w:firstLine="629"/>
              <w:jc w:val="both"/>
              <w:rPr>
                <w:rFonts w:ascii="Garamond" w:hAnsi="Garamond"/>
                <w:sz w:val="22"/>
                <w:szCs w:val="22"/>
              </w:rPr>
            </w:pPr>
            <w:r w:rsidRPr="001043A6">
              <w:rPr>
                <w:rFonts w:ascii="Garamond" w:hAnsi="Garamond"/>
                <w:sz w:val="22"/>
                <w:szCs w:val="22"/>
              </w:rPr>
              <w:t>-</w:t>
            </w:r>
            <w:r w:rsidRPr="001043A6">
              <w:rPr>
                <w:rFonts w:ascii="Garamond" w:hAnsi="Garamond"/>
                <w:sz w:val="22"/>
                <w:szCs w:val="22"/>
              </w:rPr>
              <w:tab/>
              <w:t>для диапазона нагрузок 20–120 % не хуже 3,0 %.</w:t>
            </w:r>
          </w:p>
          <w:p w14:paraId="2F6F481E" w14:textId="77777777" w:rsidR="00316B1B" w:rsidRPr="001043A6" w:rsidRDefault="00821ED7" w:rsidP="00821ED7">
            <w:pPr>
              <w:tabs>
                <w:tab w:val="num" w:pos="792"/>
                <w:tab w:val="left" w:pos="1080"/>
                <w:tab w:val="num" w:pos="1134"/>
                <w:tab w:val="left" w:pos="8100"/>
              </w:tabs>
              <w:suppressAutoHyphens w:val="0"/>
              <w:spacing w:line="22" w:lineRule="atLeast"/>
              <w:ind w:firstLine="629"/>
              <w:jc w:val="both"/>
              <w:rPr>
                <w:rFonts w:ascii="Garamond" w:hAnsi="Garamond"/>
                <w:sz w:val="22"/>
                <w:szCs w:val="22"/>
              </w:rPr>
            </w:pPr>
            <w:r w:rsidRPr="001043A6">
              <w:rPr>
                <w:rFonts w:ascii="Garamond" w:hAnsi="Garamond"/>
                <w:sz w:val="22"/>
                <w:szCs w:val="22"/>
              </w:rPr>
              <w:lastRenderedPageBreak/>
              <w:t xml:space="preserve">Допускаемые к применению комбинации классов точности измерительных трансформаторов тока и </w:t>
            </w:r>
            <w:r w:rsidRPr="001043A6">
              <w:rPr>
                <w:rFonts w:ascii="Garamond" w:hAnsi="Garamond"/>
                <w:sz w:val="22"/>
                <w:szCs w:val="22"/>
                <w:highlight w:val="yellow"/>
              </w:rPr>
              <w:t>счетчиков</w:t>
            </w:r>
            <w:r w:rsidRPr="001043A6">
              <w:rPr>
                <w:rFonts w:ascii="Garamond" w:hAnsi="Garamond"/>
                <w:sz w:val="22"/>
                <w:szCs w:val="22"/>
              </w:rPr>
              <w:t>, включенных в состав ИИК, при наличии в составе ИИК измерительных трансформаторов напряжения класса точности 1,0 приведены в таблице 1.</w:t>
            </w:r>
          </w:p>
          <w:p w14:paraId="5B2E79D8" w14:textId="77777777" w:rsidR="00316B1B" w:rsidRPr="001043A6" w:rsidRDefault="00316B1B" w:rsidP="00BA2007">
            <w:pPr>
              <w:tabs>
                <w:tab w:val="num" w:pos="792"/>
                <w:tab w:val="left" w:pos="1080"/>
                <w:tab w:val="num" w:pos="1134"/>
                <w:tab w:val="left" w:pos="8100"/>
              </w:tabs>
              <w:suppressAutoHyphens w:val="0"/>
              <w:spacing w:line="22" w:lineRule="atLeast"/>
              <w:ind w:firstLine="629"/>
              <w:jc w:val="right"/>
              <w:rPr>
                <w:rFonts w:ascii="Garamond" w:hAnsi="Garamond"/>
                <w:sz w:val="22"/>
                <w:szCs w:val="22"/>
              </w:rPr>
            </w:pPr>
            <w:r w:rsidRPr="001043A6">
              <w:rPr>
                <w:rFonts w:ascii="Garamond" w:hAnsi="Garamond"/>
                <w:sz w:val="22"/>
                <w:szCs w:val="22"/>
              </w:rPr>
              <w:t>Таблица 1</w:t>
            </w:r>
          </w:p>
          <w:tbl>
            <w:tblPr>
              <w:tblW w:w="658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960"/>
              <w:gridCol w:w="1800"/>
              <w:gridCol w:w="1843"/>
              <w:gridCol w:w="1984"/>
            </w:tblGrid>
            <w:tr w:rsidR="00316B1B" w:rsidRPr="001043A6" w14:paraId="66A9E495" w14:textId="77777777" w:rsidTr="004262A3">
              <w:trPr>
                <w:trHeight w:val="300"/>
              </w:trPr>
              <w:tc>
                <w:tcPr>
                  <w:tcW w:w="96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2105303B" w14:textId="77777777" w:rsidR="00316B1B" w:rsidRPr="001043A6" w:rsidRDefault="00316B1B" w:rsidP="00316B1B">
                  <w:pPr>
                    <w:jc w:val="center"/>
                    <w:rPr>
                      <w:rFonts w:ascii="Garamond" w:hAnsi="Garamond"/>
                      <w:color w:val="000000"/>
                      <w:sz w:val="22"/>
                      <w:szCs w:val="22"/>
                    </w:rPr>
                  </w:pPr>
                  <w:r w:rsidRPr="001043A6">
                    <w:rPr>
                      <w:rFonts w:ascii="Garamond" w:hAnsi="Garamond"/>
                      <w:color w:val="000000"/>
                      <w:sz w:val="22"/>
                      <w:szCs w:val="22"/>
                    </w:rPr>
                    <w:t>№ п/п</w:t>
                  </w:r>
                </w:p>
              </w:tc>
              <w:tc>
                <w:tcPr>
                  <w:tcW w:w="180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5F181C53" w14:textId="77777777" w:rsidR="00316B1B" w:rsidRPr="001043A6" w:rsidRDefault="00316B1B" w:rsidP="00316B1B">
                  <w:pPr>
                    <w:jc w:val="center"/>
                    <w:rPr>
                      <w:rFonts w:ascii="Garamond" w:hAnsi="Garamond"/>
                      <w:color w:val="000000"/>
                      <w:sz w:val="22"/>
                      <w:szCs w:val="22"/>
                    </w:rPr>
                  </w:pPr>
                  <w:r w:rsidRPr="001043A6">
                    <w:rPr>
                      <w:rFonts w:ascii="Garamond" w:hAnsi="Garamond"/>
                      <w:color w:val="000000"/>
                      <w:sz w:val="22"/>
                      <w:szCs w:val="22"/>
                    </w:rPr>
                    <w:t xml:space="preserve">Класс точности </w:t>
                  </w:r>
                  <w:r w:rsidRPr="001043A6">
                    <w:rPr>
                      <w:rFonts w:ascii="Garamond" w:hAnsi="Garamond"/>
                      <w:sz w:val="22"/>
                      <w:szCs w:val="22"/>
                    </w:rPr>
                    <w:t>измерительных трансформаторов тока</w:t>
                  </w:r>
                </w:p>
              </w:tc>
              <w:tc>
                <w:tcPr>
                  <w:tcW w:w="1843"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3B0394A3" w14:textId="77777777" w:rsidR="00316B1B" w:rsidRPr="001043A6" w:rsidRDefault="00316B1B" w:rsidP="00316B1B">
                  <w:pPr>
                    <w:jc w:val="center"/>
                    <w:rPr>
                      <w:rFonts w:ascii="Garamond" w:hAnsi="Garamond"/>
                      <w:color w:val="000000"/>
                      <w:sz w:val="22"/>
                      <w:szCs w:val="22"/>
                    </w:rPr>
                  </w:pPr>
                  <w:r w:rsidRPr="001043A6">
                    <w:rPr>
                      <w:rFonts w:ascii="Garamond" w:hAnsi="Garamond"/>
                      <w:color w:val="000000"/>
                      <w:sz w:val="22"/>
                      <w:szCs w:val="22"/>
                    </w:rPr>
                    <w:t xml:space="preserve">Класс точности </w:t>
                  </w:r>
                  <w:r w:rsidRPr="001043A6">
                    <w:rPr>
                      <w:rFonts w:ascii="Garamond" w:hAnsi="Garamond"/>
                      <w:sz w:val="22"/>
                      <w:szCs w:val="22"/>
                    </w:rPr>
                    <w:t>измерительных трансформаторов напряжения</w:t>
                  </w:r>
                </w:p>
              </w:tc>
              <w:tc>
                <w:tcPr>
                  <w:tcW w:w="198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136A0E0E" w14:textId="77777777" w:rsidR="00316B1B" w:rsidRPr="001043A6" w:rsidRDefault="00316B1B" w:rsidP="00316B1B">
                  <w:pPr>
                    <w:jc w:val="center"/>
                    <w:rPr>
                      <w:rFonts w:ascii="Garamond" w:hAnsi="Garamond"/>
                      <w:color w:val="000000"/>
                      <w:sz w:val="22"/>
                      <w:szCs w:val="22"/>
                    </w:rPr>
                  </w:pPr>
                  <w:r w:rsidRPr="001043A6">
                    <w:rPr>
                      <w:rFonts w:ascii="Garamond" w:hAnsi="Garamond"/>
                      <w:color w:val="000000"/>
                      <w:sz w:val="22"/>
                      <w:szCs w:val="22"/>
                    </w:rPr>
                    <w:t xml:space="preserve">Класс точности </w:t>
                  </w:r>
                  <w:r w:rsidRPr="001043A6">
                    <w:rPr>
                      <w:rFonts w:ascii="Garamond" w:hAnsi="Garamond"/>
                      <w:color w:val="000000"/>
                      <w:sz w:val="22"/>
                      <w:szCs w:val="22"/>
                      <w:highlight w:val="yellow"/>
                    </w:rPr>
                    <w:t>счетчиков</w:t>
                  </w:r>
                  <w:r w:rsidRPr="001043A6">
                    <w:rPr>
                      <w:rFonts w:ascii="Garamond" w:hAnsi="Garamond"/>
                      <w:color w:val="000000"/>
                      <w:sz w:val="22"/>
                      <w:szCs w:val="22"/>
                    </w:rPr>
                    <w:t xml:space="preserve"> по активной </w:t>
                  </w:r>
                  <w:r w:rsidRPr="001043A6">
                    <w:rPr>
                      <w:rFonts w:ascii="Garamond" w:hAnsi="Garamond"/>
                      <w:color w:val="000000"/>
                      <w:sz w:val="22"/>
                      <w:szCs w:val="22"/>
                      <w:highlight w:val="yellow"/>
                    </w:rPr>
                    <w:t>электрической энергии</w:t>
                  </w:r>
                </w:p>
              </w:tc>
            </w:tr>
            <w:tr w:rsidR="00316B1B" w:rsidRPr="001043A6" w14:paraId="5BAD82CA" w14:textId="77777777" w:rsidTr="004262A3">
              <w:trPr>
                <w:trHeight w:val="300"/>
              </w:trPr>
              <w:tc>
                <w:tcPr>
                  <w:tcW w:w="96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1EB31C7F" w14:textId="77777777" w:rsidR="00316B1B" w:rsidRPr="001043A6" w:rsidRDefault="00316B1B" w:rsidP="00316B1B">
                  <w:pPr>
                    <w:jc w:val="center"/>
                    <w:rPr>
                      <w:rFonts w:ascii="Garamond" w:hAnsi="Garamond"/>
                      <w:color w:val="000000"/>
                      <w:sz w:val="22"/>
                      <w:szCs w:val="22"/>
                      <w:highlight w:val="yellow"/>
                    </w:rPr>
                  </w:pPr>
                  <w:r w:rsidRPr="001043A6">
                    <w:rPr>
                      <w:rFonts w:ascii="Garamond" w:hAnsi="Garamond"/>
                      <w:color w:val="000000"/>
                      <w:sz w:val="22"/>
                      <w:szCs w:val="22"/>
                      <w:highlight w:val="yellow"/>
                    </w:rPr>
                    <w:t>1</w:t>
                  </w:r>
                </w:p>
              </w:tc>
              <w:tc>
                <w:tcPr>
                  <w:tcW w:w="180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5858EAFC" w14:textId="77777777" w:rsidR="00316B1B" w:rsidRPr="001043A6" w:rsidRDefault="00316B1B" w:rsidP="00316B1B">
                  <w:pPr>
                    <w:jc w:val="center"/>
                    <w:rPr>
                      <w:rFonts w:ascii="Garamond" w:hAnsi="Garamond"/>
                      <w:color w:val="000000"/>
                      <w:sz w:val="22"/>
                      <w:szCs w:val="22"/>
                    </w:rPr>
                  </w:pPr>
                  <w:r w:rsidRPr="001043A6">
                    <w:rPr>
                      <w:rFonts w:ascii="Garamond" w:hAnsi="Garamond"/>
                      <w:color w:val="000000"/>
                      <w:sz w:val="22"/>
                      <w:szCs w:val="22"/>
                    </w:rPr>
                    <w:t>0,1</w:t>
                  </w:r>
                </w:p>
              </w:tc>
              <w:tc>
                <w:tcPr>
                  <w:tcW w:w="1843"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663B9DE3" w14:textId="77777777" w:rsidR="00316B1B" w:rsidRPr="001043A6" w:rsidRDefault="00316B1B" w:rsidP="00316B1B">
                  <w:pPr>
                    <w:jc w:val="center"/>
                    <w:rPr>
                      <w:rFonts w:ascii="Garamond" w:hAnsi="Garamond"/>
                      <w:color w:val="000000"/>
                      <w:sz w:val="22"/>
                      <w:szCs w:val="22"/>
                    </w:rPr>
                  </w:pPr>
                  <w:r w:rsidRPr="001043A6">
                    <w:rPr>
                      <w:rFonts w:ascii="Garamond" w:hAnsi="Garamond"/>
                      <w:color w:val="000000"/>
                      <w:sz w:val="22"/>
                      <w:szCs w:val="22"/>
                    </w:rPr>
                    <w:t>1,0</w:t>
                  </w:r>
                </w:p>
              </w:tc>
              <w:tc>
                <w:tcPr>
                  <w:tcW w:w="198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1824ED3A" w14:textId="77777777" w:rsidR="00316B1B" w:rsidRPr="001043A6" w:rsidRDefault="00316B1B" w:rsidP="00316B1B">
                  <w:pPr>
                    <w:jc w:val="center"/>
                    <w:rPr>
                      <w:rFonts w:ascii="Garamond" w:hAnsi="Garamond"/>
                      <w:color w:val="000000"/>
                      <w:sz w:val="22"/>
                      <w:szCs w:val="22"/>
                    </w:rPr>
                  </w:pPr>
                  <w:r w:rsidRPr="001043A6">
                    <w:rPr>
                      <w:rFonts w:ascii="Garamond" w:hAnsi="Garamond"/>
                      <w:color w:val="000000"/>
                      <w:sz w:val="22"/>
                      <w:szCs w:val="22"/>
                    </w:rPr>
                    <w:t>0,2S</w:t>
                  </w:r>
                </w:p>
              </w:tc>
            </w:tr>
            <w:tr w:rsidR="00316B1B" w:rsidRPr="001043A6" w14:paraId="52500ACE" w14:textId="77777777" w:rsidTr="004262A3">
              <w:trPr>
                <w:trHeight w:val="300"/>
              </w:trPr>
              <w:tc>
                <w:tcPr>
                  <w:tcW w:w="96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2A7F6C7B" w14:textId="77777777" w:rsidR="00316B1B" w:rsidRPr="001043A6" w:rsidRDefault="00316B1B" w:rsidP="00316B1B">
                  <w:pPr>
                    <w:jc w:val="center"/>
                    <w:rPr>
                      <w:rFonts w:ascii="Garamond" w:hAnsi="Garamond"/>
                      <w:color w:val="000000"/>
                      <w:sz w:val="22"/>
                      <w:szCs w:val="22"/>
                      <w:highlight w:val="yellow"/>
                    </w:rPr>
                  </w:pPr>
                  <w:r w:rsidRPr="001043A6">
                    <w:rPr>
                      <w:rFonts w:ascii="Garamond" w:hAnsi="Garamond"/>
                      <w:color w:val="000000"/>
                      <w:sz w:val="22"/>
                      <w:szCs w:val="22"/>
                      <w:highlight w:val="yellow"/>
                    </w:rPr>
                    <w:t>2</w:t>
                  </w:r>
                </w:p>
              </w:tc>
              <w:tc>
                <w:tcPr>
                  <w:tcW w:w="180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75717024" w14:textId="77777777" w:rsidR="00316B1B" w:rsidRPr="001043A6" w:rsidRDefault="00316B1B" w:rsidP="00316B1B">
                  <w:pPr>
                    <w:jc w:val="center"/>
                    <w:rPr>
                      <w:rFonts w:ascii="Garamond" w:hAnsi="Garamond"/>
                      <w:color w:val="000000"/>
                      <w:sz w:val="22"/>
                      <w:szCs w:val="22"/>
                    </w:rPr>
                  </w:pPr>
                  <w:r w:rsidRPr="001043A6">
                    <w:rPr>
                      <w:rFonts w:ascii="Garamond" w:hAnsi="Garamond"/>
                      <w:color w:val="000000"/>
                      <w:sz w:val="22"/>
                      <w:szCs w:val="22"/>
                    </w:rPr>
                    <w:t>0,1</w:t>
                  </w:r>
                </w:p>
              </w:tc>
              <w:tc>
                <w:tcPr>
                  <w:tcW w:w="1843"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1BE7FD88" w14:textId="77777777" w:rsidR="00316B1B" w:rsidRPr="001043A6" w:rsidRDefault="00316B1B" w:rsidP="00316B1B">
                  <w:pPr>
                    <w:jc w:val="center"/>
                    <w:rPr>
                      <w:rFonts w:ascii="Garamond" w:hAnsi="Garamond"/>
                      <w:color w:val="000000"/>
                      <w:sz w:val="22"/>
                      <w:szCs w:val="22"/>
                    </w:rPr>
                  </w:pPr>
                  <w:r w:rsidRPr="001043A6">
                    <w:rPr>
                      <w:rFonts w:ascii="Garamond" w:hAnsi="Garamond"/>
                      <w:color w:val="000000"/>
                      <w:sz w:val="22"/>
                      <w:szCs w:val="22"/>
                    </w:rPr>
                    <w:t>1,0</w:t>
                  </w:r>
                </w:p>
              </w:tc>
              <w:tc>
                <w:tcPr>
                  <w:tcW w:w="198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2DF605FA" w14:textId="77777777" w:rsidR="00316B1B" w:rsidRPr="001043A6" w:rsidRDefault="00316B1B" w:rsidP="00316B1B">
                  <w:pPr>
                    <w:jc w:val="center"/>
                    <w:rPr>
                      <w:rFonts w:ascii="Garamond" w:hAnsi="Garamond"/>
                      <w:color w:val="000000"/>
                      <w:sz w:val="22"/>
                      <w:szCs w:val="22"/>
                    </w:rPr>
                  </w:pPr>
                  <w:r w:rsidRPr="001043A6">
                    <w:rPr>
                      <w:rFonts w:ascii="Garamond" w:hAnsi="Garamond"/>
                      <w:color w:val="000000"/>
                      <w:sz w:val="22"/>
                      <w:szCs w:val="22"/>
                    </w:rPr>
                    <w:t>0,5S</w:t>
                  </w:r>
                </w:p>
              </w:tc>
            </w:tr>
            <w:tr w:rsidR="00316B1B" w:rsidRPr="001043A6" w14:paraId="724B83FF" w14:textId="77777777" w:rsidTr="004262A3">
              <w:trPr>
                <w:trHeight w:val="300"/>
              </w:trPr>
              <w:tc>
                <w:tcPr>
                  <w:tcW w:w="96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63BB6982" w14:textId="77777777" w:rsidR="00316B1B" w:rsidRPr="001043A6" w:rsidRDefault="00316B1B" w:rsidP="00316B1B">
                  <w:pPr>
                    <w:jc w:val="center"/>
                    <w:rPr>
                      <w:rFonts w:ascii="Garamond" w:hAnsi="Garamond"/>
                      <w:color w:val="000000"/>
                      <w:sz w:val="22"/>
                      <w:szCs w:val="22"/>
                      <w:highlight w:val="yellow"/>
                    </w:rPr>
                  </w:pPr>
                  <w:r w:rsidRPr="001043A6">
                    <w:rPr>
                      <w:rFonts w:ascii="Garamond" w:hAnsi="Garamond"/>
                      <w:color w:val="000000"/>
                      <w:sz w:val="22"/>
                      <w:szCs w:val="22"/>
                      <w:highlight w:val="yellow"/>
                    </w:rPr>
                    <w:t>3</w:t>
                  </w:r>
                </w:p>
              </w:tc>
              <w:tc>
                <w:tcPr>
                  <w:tcW w:w="180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27CB96EA" w14:textId="77777777" w:rsidR="00316B1B" w:rsidRPr="001043A6" w:rsidRDefault="00316B1B" w:rsidP="00316B1B">
                  <w:pPr>
                    <w:jc w:val="center"/>
                    <w:rPr>
                      <w:rFonts w:ascii="Garamond" w:hAnsi="Garamond"/>
                      <w:color w:val="000000"/>
                      <w:sz w:val="22"/>
                      <w:szCs w:val="22"/>
                    </w:rPr>
                  </w:pPr>
                  <w:r w:rsidRPr="001043A6">
                    <w:rPr>
                      <w:rFonts w:ascii="Garamond" w:hAnsi="Garamond"/>
                      <w:color w:val="000000"/>
                      <w:sz w:val="22"/>
                      <w:szCs w:val="22"/>
                    </w:rPr>
                    <w:t>0,2S</w:t>
                  </w:r>
                </w:p>
              </w:tc>
              <w:tc>
                <w:tcPr>
                  <w:tcW w:w="1843"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48695E0F" w14:textId="77777777" w:rsidR="00316B1B" w:rsidRPr="001043A6" w:rsidRDefault="00316B1B" w:rsidP="00316B1B">
                  <w:pPr>
                    <w:jc w:val="center"/>
                    <w:rPr>
                      <w:rFonts w:ascii="Garamond" w:hAnsi="Garamond"/>
                      <w:color w:val="000000"/>
                      <w:sz w:val="22"/>
                      <w:szCs w:val="22"/>
                    </w:rPr>
                  </w:pPr>
                  <w:r w:rsidRPr="001043A6">
                    <w:rPr>
                      <w:rFonts w:ascii="Garamond" w:hAnsi="Garamond"/>
                      <w:color w:val="000000"/>
                      <w:sz w:val="22"/>
                      <w:szCs w:val="22"/>
                    </w:rPr>
                    <w:t>1,0</w:t>
                  </w:r>
                </w:p>
              </w:tc>
              <w:tc>
                <w:tcPr>
                  <w:tcW w:w="198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0D4A3121" w14:textId="77777777" w:rsidR="00316B1B" w:rsidRPr="001043A6" w:rsidRDefault="00316B1B" w:rsidP="00316B1B">
                  <w:pPr>
                    <w:jc w:val="center"/>
                    <w:rPr>
                      <w:rFonts w:ascii="Garamond" w:hAnsi="Garamond"/>
                      <w:color w:val="000000"/>
                      <w:sz w:val="22"/>
                      <w:szCs w:val="22"/>
                    </w:rPr>
                  </w:pPr>
                  <w:r w:rsidRPr="001043A6">
                    <w:rPr>
                      <w:rFonts w:ascii="Garamond" w:hAnsi="Garamond"/>
                      <w:color w:val="000000"/>
                      <w:sz w:val="22"/>
                      <w:szCs w:val="22"/>
                    </w:rPr>
                    <w:t>0,2S</w:t>
                  </w:r>
                </w:p>
              </w:tc>
            </w:tr>
            <w:tr w:rsidR="00316B1B" w:rsidRPr="001043A6" w14:paraId="469F795B" w14:textId="77777777" w:rsidTr="004262A3">
              <w:trPr>
                <w:trHeight w:val="300"/>
              </w:trPr>
              <w:tc>
                <w:tcPr>
                  <w:tcW w:w="96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5613B2A4" w14:textId="77777777" w:rsidR="00316B1B" w:rsidRPr="001043A6" w:rsidRDefault="00316B1B" w:rsidP="00316B1B">
                  <w:pPr>
                    <w:jc w:val="center"/>
                    <w:rPr>
                      <w:rFonts w:ascii="Garamond" w:hAnsi="Garamond"/>
                      <w:color w:val="000000"/>
                      <w:sz w:val="22"/>
                      <w:szCs w:val="22"/>
                      <w:highlight w:val="yellow"/>
                    </w:rPr>
                  </w:pPr>
                  <w:r w:rsidRPr="001043A6">
                    <w:rPr>
                      <w:rFonts w:ascii="Garamond" w:hAnsi="Garamond"/>
                      <w:color w:val="000000"/>
                      <w:sz w:val="22"/>
                      <w:szCs w:val="22"/>
                      <w:highlight w:val="yellow"/>
                    </w:rPr>
                    <w:t>4</w:t>
                  </w:r>
                </w:p>
              </w:tc>
              <w:tc>
                <w:tcPr>
                  <w:tcW w:w="180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4CB911B9" w14:textId="77777777" w:rsidR="00316B1B" w:rsidRPr="001043A6" w:rsidRDefault="00316B1B" w:rsidP="00316B1B">
                  <w:pPr>
                    <w:jc w:val="center"/>
                    <w:rPr>
                      <w:rFonts w:ascii="Garamond" w:hAnsi="Garamond"/>
                      <w:color w:val="000000"/>
                      <w:sz w:val="22"/>
                      <w:szCs w:val="22"/>
                    </w:rPr>
                  </w:pPr>
                  <w:r w:rsidRPr="001043A6">
                    <w:rPr>
                      <w:rFonts w:ascii="Garamond" w:hAnsi="Garamond"/>
                      <w:color w:val="000000"/>
                      <w:sz w:val="22"/>
                      <w:szCs w:val="22"/>
                    </w:rPr>
                    <w:t>0,2S</w:t>
                  </w:r>
                </w:p>
              </w:tc>
              <w:tc>
                <w:tcPr>
                  <w:tcW w:w="1843"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72E9BF5E" w14:textId="77777777" w:rsidR="00316B1B" w:rsidRPr="001043A6" w:rsidRDefault="00316B1B" w:rsidP="00316B1B">
                  <w:pPr>
                    <w:jc w:val="center"/>
                    <w:rPr>
                      <w:rFonts w:ascii="Garamond" w:hAnsi="Garamond"/>
                      <w:color w:val="000000"/>
                      <w:sz w:val="22"/>
                      <w:szCs w:val="22"/>
                    </w:rPr>
                  </w:pPr>
                  <w:r w:rsidRPr="001043A6">
                    <w:rPr>
                      <w:rFonts w:ascii="Garamond" w:hAnsi="Garamond"/>
                      <w:color w:val="000000"/>
                      <w:sz w:val="22"/>
                      <w:szCs w:val="22"/>
                    </w:rPr>
                    <w:t>1,0</w:t>
                  </w:r>
                </w:p>
              </w:tc>
              <w:tc>
                <w:tcPr>
                  <w:tcW w:w="198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0C5F7F33" w14:textId="77777777" w:rsidR="00316B1B" w:rsidRPr="001043A6" w:rsidRDefault="00316B1B" w:rsidP="00316B1B">
                  <w:pPr>
                    <w:jc w:val="center"/>
                    <w:rPr>
                      <w:rFonts w:ascii="Garamond" w:hAnsi="Garamond"/>
                      <w:color w:val="000000"/>
                      <w:sz w:val="22"/>
                      <w:szCs w:val="22"/>
                    </w:rPr>
                  </w:pPr>
                  <w:r w:rsidRPr="001043A6">
                    <w:rPr>
                      <w:rFonts w:ascii="Garamond" w:hAnsi="Garamond"/>
                      <w:color w:val="000000"/>
                      <w:sz w:val="22"/>
                      <w:szCs w:val="22"/>
                    </w:rPr>
                    <w:t>0,5S</w:t>
                  </w:r>
                </w:p>
              </w:tc>
            </w:tr>
            <w:tr w:rsidR="00316B1B" w:rsidRPr="001043A6" w14:paraId="6E803B07" w14:textId="77777777" w:rsidTr="004262A3">
              <w:trPr>
                <w:trHeight w:val="300"/>
              </w:trPr>
              <w:tc>
                <w:tcPr>
                  <w:tcW w:w="96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6EFF69E1" w14:textId="77777777" w:rsidR="00316B1B" w:rsidRPr="001043A6" w:rsidRDefault="00316B1B" w:rsidP="00316B1B">
                  <w:pPr>
                    <w:jc w:val="center"/>
                    <w:rPr>
                      <w:rFonts w:ascii="Garamond" w:hAnsi="Garamond"/>
                      <w:color w:val="000000"/>
                      <w:sz w:val="22"/>
                      <w:szCs w:val="22"/>
                      <w:highlight w:val="yellow"/>
                    </w:rPr>
                  </w:pPr>
                  <w:r w:rsidRPr="001043A6">
                    <w:rPr>
                      <w:rFonts w:ascii="Garamond" w:hAnsi="Garamond"/>
                      <w:color w:val="000000"/>
                      <w:sz w:val="22"/>
                      <w:szCs w:val="22"/>
                      <w:highlight w:val="yellow"/>
                    </w:rPr>
                    <w:t>5</w:t>
                  </w:r>
                </w:p>
              </w:tc>
              <w:tc>
                <w:tcPr>
                  <w:tcW w:w="180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578DC410" w14:textId="77777777" w:rsidR="00316B1B" w:rsidRPr="001043A6" w:rsidRDefault="00316B1B" w:rsidP="00316B1B">
                  <w:pPr>
                    <w:jc w:val="center"/>
                    <w:rPr>
                      <w:rFonts w:ascii="Garamond" w:hAnsi="Garamond"/>
                      <w:color w:val="000000"/>
                      <w:sz w:val="22"/>
                      <w:szCs w:val="22"/>
                    </w:rPr>
                  </w:pPr>
                  <w:r w:rsidRPr="001043A6">
                    <w:rPr>
                      <w:rFonts w:ascii="Garamond" w:hAnsi="Garamond"/>
                      <w:color w:val="000000"/>
                      <w:sz w:val="22"/>
                      <w:szCs w:val="22"/>
                    </w:rPr>
                    <w:t>0,2</w:t>
                  </w:r>
                </w:p>
              </w:tc>
              <w:tc>
                <w:tcPr>
                  <w:tcW w:w="1843"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74A7863B" w14:textId="77777777" w:rsidR="00316B1B" w:rsidRPr="001043A6" w:rsidRDefault="00316B1B" w:rsidP="00316B1B">
                  <w:pPr>
                    <w:jc w:val="center"/>
                    <w:rPr>
                      <w:rFonts w:ascii="Garamond" w:hAnsi="Garamond"/>
                      <w:color w:val="000000"/>
                      <w:sz w:val="22"/>
                      <w:szCs w:val="22"/>
                    </w:rPr>
                  </w:pPr>
                  <w:r w:rsidRPr="001043A6">
                    <w:rPr>
                      <w:rFonts w:ascii="Garamond" w:hAnsi="Garamond"/>
                      <w:color w:val="000000"/>
                      <w:sz w:val="22"/>
                      <w:szCs w:val="22"/>
                    </w:rPr>
                    <w:t>1,0</w:t>
                  </w:r>
                </w:p>
              </w:tc>
              <w:tc>
                <w:tcPr>
                  <w:tcW w:w="198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59D57F44" w14:textId="77777777" w:rsidR="00316B1B" w:rsidRPr="001043A6" w:rsidRDefault="00316B1B" w:rsidP="00316B1B">
                  <w:pPr>
                    <w:jc w:val="center"/>
                    <w:rPr>
                      <w:rFonts w:ascii="Garamond" w:hAnsi="Garamond"/>
                      <w:color w:val="000000"/>
                      <w:sz w:val="22"/>
                      <w:szCs w:val="22"/>
                    </w:rPr>
                  </w:pPr>
                  <w:r w:rsidRPr="001043A6">
                    <w:rPr>
                      <w:rFonts w:ascii="Garamond" w:hAnsi="Garamond"/>
                      <w:color w:val="000000"/>
                      <w:sz w:val="22"/>
                      <w:szCs w:val="22"/>
                    </w:rPr>
                    <w:t>0,2S</w:t>
                  </w:r>
                </w:p>
              </w:tc>
            </w:tr>
            <w:tr w:rsidR="00316B1B" w:rsidRPr="001043A6" w14:paraId="79779DFE" w14:textId="77777777" w:rsidTr="004262A3">
              <w:trPr>
                <w:trHeight w:val="300"/>
              </w:trPr>
              <w:tc>
                <w:tcPr>
                  <w:tcW w:w="96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486567E4" w14:textId="77777777" w:rsidR="00316B1B" w:rsidRPr="001043A6" w:rsidRDefault="00316B1B" w:rsidP="00316B1B">
                  <w:pPr>
                    <w:jc w:val="center"/>
                    <w:rPr>
                      <w:rFonts w:ascii="Garamond" w:hAnsi="Garamond"/>
                      <w:color w:val="000000"/>
                      <w:sz w:val="22"/>
                      <w:szCs w:val="22"/>
                      <w:highlight w:val="yellow"/>
                    </w:rPr>
                  </w:pPr>
                  <w:r w:rsidRPr="001043A6">
                    <w:rPr>
                      <w:rFonts w:ascii="Garamond" w:hAnsi="Garamond"/>
                      <w:color w:val="000000"/>
                      <w:sz w:val="22"/>
                      <w:szCs w:val="22"/>
                      <w:highlight w:val="yellow"/>
                    </w:rPr>
                    <w:t>6</w:t>
                  </w:r>
                </w:p>
              </w:tc>
              <w:tc>
                <w:tcPr>
                  <w:tcW w:w="180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754F627A" w14:textId="77777777" w:rsidR="00316B1B" w:rsidRPr="001043A6" w:rsidRDefault="00316B1B" w:rsidP="00316B1B">
                  <w:pPr>
                    <w:jc w:val="center"/>
                    <w:rPr>
                      <w:rFonts w:ascii="Garamond" w:hAnsi="Garamond"/>
                      <w:sz w:val="22"/>
                      <w:szCs w:val="22"/>
                    </w:rPr>
                  </w:pPr>
                  <w:r w:rsidRPr="001043A6">
                    <w:rPr>
                      <w:rFonts w:ascii="Garamond" w:hAnsi="Garamond"/>
                      <w:sz w:val="22"/>
                      <w:szCs w:val="22"/>
                    </w:rPr>
                    <w:t>0,2</w:t>
                  </w:r>
                </w:p>
              </w:tc>
              <w:tc>
                <w:tcPr>
                  <w:tcW w:w="1843"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0181DB8F" w14:textId="77777777" w:rsidR="00316B1B" w:rsidRPr="001043A6" w:rsidRDefault="00316B1B" w:rsidP="00316B1B">
                  <w:pPr>
                    <w:jc w:val="center"/>
                    <w:rPr>
                      <w:rFonts w:ascii="Garamond" w:hAnsi="Garamond"/>
                      <w:sz w:val="22"/>
                      <w:szCs w:val="22"/>
                    </w:rPr>
                  </w:pPr>
                  <w:r w:rsidRPr="001043A6">
                    <w:rPr>
                      <w:rFonts w:ascii="Garamond" w:hAnsi="Garamond"/>
                      <w:sz w:val="22"/>
                      <w:szCs w:val="22"/>
                    </w:rPr>
                    <w:t>1,0</w:t>
                  </w:r>
                </w:p>
              </w:tc>
              <w:tc>
                <w:tcPr>
                  <w:tcW w:w="198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6DD0AC87" w14:textId="77777777" w:rsidR="00316B1B" w:rsidRPr="001043A6" w:rsidRDefault="00316B1B" w:rsidP="00316B1B">
                  <w:pPr>
                    <w:jc w:val="center"/>
                    <w:rPr>
                      <w:rFonts w:ascii="Garamond" w:hAnsi="Garamond"/>
                      <w:sz w:val="22"/>
                      <w:szCs w:val="22"/>
                    </w:rPr>
                  </w:pPr>
                  <w:r w:rsidRPr="001043A6">
                    <w:rPr>
                      <w:rFonts w:ascii="Garamond" w:hAnsi="Garamond"/>
                      <w:sz w:val="22"/>
                      <w:szCs w:val="22"/>
                    </w:rPr>
                    <w:t>0,5S</w:t>
                  </w:r>
                </w:p>
              </w:tc>
            </w:tr>
            <w:tr w:rsidR="00316B1B" w:rsidRPr="001043A6" w14:paraId="674B13C6" w14:textId="77777777" w:rsidTr="004262A3">
              <w:trPr>
                <w:trHeight w:val="300"/>
              </w:trPr>
              <w:tc>
                <w:tcPr>
                  <w:tcW w:w="96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7CF514AD" w14:textId="77777777" w:rsidR="00316B1B" w:rsidRPr="001043A6" w:rsidRDefault="00316B1B" w:rsidP="00316B1B">
                  <w:pPr>
                    <w:jc w:val="center"/>
                    <w:rPr>
                      <w:rFonts w:ascii="Garamond" w:hAnsi="Garamond"/>
                      <w:color w:val="000000"/>
                      <w:sz w:val="22"/>
                      <w:szCs w:val="22"/>
                      <w:highlight w:val="yellow"/>
                    </w:rPr>
                  </w:pPr>
                  <w:r w:rsidRPr="001043A6">
                    <w:rPr>
                      <w:rFonts w:ascii="Garamond" w:hAnsi="Garamond"/>
                      <w:color w:val="000000"/>
                      <w:sz w:val="22"/>
                      <w:szCs w:val="22"/>
                      <w:highlight w:val="yellow"/>
                    </w:rPr>
                    <w:t>7</w:t>
                  </w:r>
                </w:p>
              </w:tc>
              <w:tc>
                <w:tcPr>
                  <w:tcW w:w="180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61273758" w14:textId="77777777" w:rsidR="00316B1B" w:rsidRPr="001043A6" w:rsidRDefault="00316B1B" w:rsidP="00316B1B">
                  <w:pPr>
                    <w:jc w:val="center"/>
                    <w:rPr>
                      <w:rFonts w:ascii="Garamond" w:hAnsi="Garamond"/>
                      <w:sz w:val="22"/>
                      <w:szCs w:val="22"/>
                    </w:rPr>
                  </w:pPr>
                  <w:r w:rsidRPr="001043A6">
                    <w:rPr>
                      <w:rFonts w:ascii="Garamond" w:hAnsi="Garamond"/>
                      <w:sz w:val="22"/>
                      <w:szCs w:val="22"/>
                    </w:rPr>
                    <w:t>0,5S</w:t>
                  </w:r>
                </w:p>
              </w:tc>
              <w:tc>
                <w:tcPr>
                  <w:tcW w:w="1843"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3883069B" w14:textId="77777777" w:rsidR="00316B1B" w:rsidRPr="001043A6" w:rsidRDefault="00316B1B" w:rsidP="00316B1B">
                  <w:pPr>
                    <w:jc w:val="center"/>
                    <w:rPr>
                      <w:rFonts w:ascii="Garamond" w:hAnsi="Garamond"/>
                      <w:sz w:val="22"/>
                      <w:szCs w:val="22"/>
                    </w:rPr>
                  </w:pPr>
                  <w:r w:rsidRPr="001043A6">
                    <w:rPr>
                      <w:rFonts w:ascii="Garamond" w:hAnsi="Garamond"/>
                      <w:sz w:val="22"/>
                      <w:szCs w:val="22"/>
                    </w:rPr>
                    <w:t>1,0</w:t>
                  </w:r>
                </w:p>
              </w:tc>
              <w:tc>
                <w:tcPr>
                  <w:tcW w:w="198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15A147C5" w14:textId="77777777" w:rsidR="00316B1B" w:rsidRPr="001043A6" w:rsidRDefault="00316B1B" w:rsidP="00316B1B">
                  <w:pPr>
                    <w:jc w:val="center"/>
                    <w:rPr>
                      <w:rFonts w:ascii="Garamond" w:hAnsi="Garamond"/>
                      <w:sz w:val="22"/>
                      <w:szCs w:val="22"/>
                    </w:rPr>
                  </w:pPr>
                  <w:r w:rsidRPr="001043A6">
                    <w:rPr>
                      <w:rFonts w:ascii="Garamond" w:hAnsi="Garamond"/>
                      <w:sz w:val="22"/>
                      <w:szCs w:val="22"/>
                    </w:rPr>
                    <w:t>0,2S</w:t>
                  </w:r>
                </w:p>
              </w:tc>
            </w:tr>
          </w:tbl>
          <w:p w14:paraId="46429082" w14:textId="77777777" w:rsidR="00316B1B" w:rsidRPr="001043A6" w:rsidRDefault="00316B1B" w:rsidP="00BA2007">
            <w:pPr>
              <w:tabs>
                <w:tab w:val="num" w:pos="792"/>
                <w:tab w:val="left" w:pos="1080"/>
                <w:tab w:val="num" w:pos="1134"/>
                <w:tab w:val="left" w:pos="8100"/>
              </w:tabs>
              <w:suppressAutoHyphens w:val="0"/>
              <w:spacing w:line="22" w:lineRule="atLeast"/>
              <w:jc w:val="both"/>
              <w:rPr>
                <w:rFonts w:ascii="Garamond" w:hAnsi="Garamond"/>
                <w:sz w:val="22"/>
                <w:szCs w:val="22"/>
              </w:rPr>
            </w:pPr>
          </w:p>
          <w:p w14:paraId="02AEB58E" w14:textId="77777777" w:rsidR="00821ED7" w:rsidRPr="001043A6" w:rsidRDefault="00821ED7" w:rsidP="00BA2007">
            <w:pPr>
              <w:tabs>
                <w:tab w:val="num" w:pos="792"/>
                <w:tab w:val="left" w:pos="1080"/>
                <w:tab w:val="num" w:pos="1134"/>
                <w:tab w:val="left" w:pos="8100"/>
              </w:tabs>
              <w:suppressAutoHyphens w:val="0"/>
              <w:spacing w:line="22" w:lineRule="atLeast"/>
              <w:ind w:firstLine="629"/>
              <w:jc w:val="both"/>
              <w:rPr>
                <w:rFonts w:ascii="Garamond" w:hAnsi="Garamond"/>
                <w:sz w:val="22"/>
                <w:szCs w:val="22"/>
              </w:rPr>
            </w:pPr>
          </w:p>
        </w:tc>
        <w:tc>
          <w:tcPr>
            <w:tcW w:w="7115" w:type="dxa"/>
          </w:tcPr>
          <w:p w14:paraId="0377B266" w14:textId="77777777" w:rsidR="00821ED7" w:rsidRPr="001043A6" w:rsidRDefault="00821ED7" w:rsidP="00821ED7">
            <w:pPr>
              <w:tabs>
                <w:tab w:val="left" w:pos="1080"/>
                <w:tab w:val="num" w:pos="1276"/>
                <w:tab w:val="left" w:pos="1320"/>
              </w:tabs>
              <w:suppressAutoHyphens w:val="0"/>
              <w:spacing w:line="22" w:lineRule="atLeast"/>
              <w:ind w:firstLine="629"/>
              <w:jc w:val="both"/>
              <w:rPr>
                <w:rFonts w:ascii="Garamond" w:hAnsi="Garamond"/>
                <w:sz w:val="22"/>
                <w:szCs w:val="22"/>
              </w:rPr>
            </w:pPr>
            <w:r w:rsidRPr="001043A6">
              <w:rPr>
                <w:rFonts w:ascii="Garamond" w:hAnsi="Garamond"/>
                <w:sz w:val="22"/>
                <w:szCs w:val="22"/>
              </w:rPr>
              <w:lastRenderedPageBreak/>
              <w:t xml:space="preserve">Нормы основной относительной погрешности измерения активной </w:t>
            </w:r>
            <w:r w:rsidR="000A1A68" w:rsidRPr="001043A6">
              <w:rPr>
                <w:rFonts w:ascii="Garamond" w:hAnsi="Garamond"/>
                <w:sz w:val="22"/>
                <w:szCs w:val="22"/>
                <w:highlight w:val="yellow"/>
              </w:rPr>
              <w:t>электро</w:t>
            </w:r>
            <w:r w:rsidRPr="001043A6">
              <w:rPr>
                <w:rFonts w:ascii="Garamond" w:hAnsi="Garamond"/>
                <w:sz w:val="22"/>
                <w:szCs w:val="22"/>
                <w:highlight w:val="yellow"/>
              </w:rPr>
              <w:t>энергии</w:t>
            </w:r>
            <w:r w:rsidRPr="001043A6">
              <w:rPr>
                <w:rFonts w:ascii="Garamond" w:hAnsi="Garamond"/>
                <w:sz w:val="22"/>
                <w:szCs w:val="22"/>
              </w:rPr>
              <w:t xml:space="preserve"> по каждому ИИК </w:t>
            </w:r>
            <w:r w:rsidRPr="001043A6">
              <w:rPr>
                <w:rFonts w:ascii="Garamond" w:hAnsi="Garamond"/>
                <w:sz w:val="22"/>
                <w:szCs w:val="22"/>
                <w:highlight w:val="yellow"/>
              </w:rPr>
              <w:t xml:space="preserve">АИИС КУЭ </w:t>
            </w:r>
            <w:r w:rsidRPr="001043A6">
              <w:rPr>
                <w:rFonts w:ascii="Garamond" w:hAnsi="Garamond"/>
                <w:sz w:val="22"/>
                <w:szCs w:val="22"/>
              </w:rPr>
              <w:t>должны соответствовать указанным ниже значениям:</w:t>
            </w:r>
          </w:p>
          <w:p w14:paraId="2203B42C" w14:textId="77777777" w:rsidR="00821ED7" w:rsidRPr="001043A6" w:rsidRDefault="00821ED7" w:rsidP="00821ED7">
            <w:pPr>
              <w:tabs>
                <w:tab w:val="num" w:pos="792"/>
                <w:tab w:val="left" w:pos="1080"/>
                <w:tab w:val="num" w:pos="1134"/>
                <w:tab w:val="left" w:pos="8100"/>
              </w:tabs>
              <w:suppressAutoHyphens w:val="0"/>
              <w:spacing w:line="22" w:lineRule="atLeast"/>
              <w:ind w:firstLine="629"/>
              <w:jc w:val="both"/>
              <w:rPr>
                <w:rFonts w:ascii="Garamond" w:hAnsi="Garamond"/>
                <w:sz w:val="22"/>
                <w:szCs w:val="22"/>
              </w:rPr>
            </w:pPr>
            <w:r w:rsidRPr="001043A6">
              <w:rPr>
                <w:rFonts w:ascii="Garamond" w:hAnsi="Garamond"/>
                <w:sz w:val="22"/>
                <w:szCs w:val="22"/>
              </w:rPr>
              <w:t>1)</w:t>
            </w:r>
            <w:r w:rsidRPr="001043A6">
              <w:rPr>
                <w:rFonts w:ascii="Garamond" w:hAnsi="Garamond"/>
                <w:sz w:val="22"/>
                <w:szCs w:val="22"/>
              </w:rPr>
              <w:tab/>
              <w:t>для значений cos φ в промежутке &gt;0,8 и ≤1:</w:t>
            </w:r>
          </w:p>
          <w:p w14:paraId="0323C08A" w14:textId="4FEEE435" w:rsidR="00821ED7" w:rsidRPr="001043A6" w:rsidRDefault="00821ED7" w:rsidP="00821ED7">
            <w:pPr>
              <w:tabs>
                <w:tab w:val="num" w:pos="792"/>
                <w:tab w:val="left" w:pos="1080"/>
                <w:tab w:val="num" w:pos="1134"/>
                <w:tab w:val="left" w:pos="8100"/>
              </w:tabs>
              <w:suppressAutoHyphens w:val="0"/>
              <w:spacing w:line="22" w:lineRule="atLeast"/>
              <w:ind w:firstLine="629"/>
              <w:jc w:val="both"/>
              <w:rPr>
                <w:rFonts w:ascii="Garamond" w:hAnsi="Garamond"/>
                <w:sz w:val="22"/>
                <w:szCs w:val="22"/>
              </w:rPr>
            </w:pPr>
            <w:r w:rsidRPr="001043A6">
              <w:rPr>
                <w:rFonts w:ascii="Garamond" w:hAnsi="Garamond"/>
                <w:sz w:val="22"/>
                <w:szCs w:val="22"/>
              </w:rPr>
              <w:t>-</w:t>
            </w:r>
            <w:r w:rsidRPr="001043A6">
              <w:rPr>
                <w:rFonts w:ascii="Garamond" w:hAnsi="Garamond"/>
                <w:sz w:val="22"/>
                <w:szCs w:val="22"/>
              </w:rPr>
              <w:tab/>
              <w:t>для области нагрузок до 2 %</w:t>
            </w:r>
            <w:r w:rsidR="009B5F03">
              <w:rPr>
                <w:rFonts w:ascii="Garamond" w:hAnsi="Garamond"/>
                <w:sz w:val="22"/>
                <w:szCs w:val="22"/>
              </w:rPr>
              <w:t xml:space="preserve"> </w:t>
            </w:r>
            <w:r w:rsidRPr="001043A6">
              <w:rPr>
                <w:rFonts w:ascii="Garamond" w:hAnsi="Garamond"/>
                <w:sz w:val="22"/>
                <w:szCs w:val="22"/>
              </w:rPr>
              <w:t>(относительная величина нагрузки трансформатора тока) не регламентируется;</w:t>
            </w:r>
          </w:p>
          <w:p w14:paraId="0D9E1A15" w14:textId="77777777" w:rsidR="00821ED7" w:rsidRPr="001043A6" w:rsidRDefault="00821ED7" w:rsidP="00821ED7">
            <w:pPr>
              <w:tabs>
                <w:tab w:val="num" w:pos="792"/>
                <w:tab w:val="left" w:pos="1080"/>
                <w:tab w:val="num" w:pos="1134"/>
                <w:tab w:val="left" w:pos="8100"/>
              </w:tabs>
              <w:suppressAutoHyphens w:val="0"/>
              <w:spacing w:line="22" w:lineRule="atLeast"/>
              <w:ind w:firstLine="629"/>
              <w:jc w:val="both"/>
              <w:rPr>
                <w:rFonts w:ascii="Garamond" w:hAnsi="Garamond"/>
                <w:sz w:val="22"/>
                <w:szCs w:val="22"/>
              </w:rPr>
            </w:pPr>
            <w:r w:rsidRPr="001043A6">
              <w:rPr>
                <w:rFonts w:ascii="Garamond" w:hAnsi="Garamond"/>
                <w:sz w:val="22"/>
                <w:szCs w:val="22"/>
              </w:rPr>
              <w:t>-</w:t>
            </w:r>
            <w:r w:rsidRPr="001043A6">
              <w:rPr>
                <w:rFonts w:ascii="Garamond" w:hAnsi="Garamond"/>
                <w:sz w:val="22"/>
                <w:szCs w:val="22"/>
              </w:rPr>
              <w:tab/>
              <w:t>для области малых нагрузок (2–20 % включительно)</w:t>
            </w:r>
            <w:r w:rsidRPr="001043A6">
              <w:rPr>
                <w:rFonts w:ascii="Garamond" w:hAnsi="Garamond"/>
                <w:sz w:val="22"/>
                <w:szCs w:val="22"/>
                <w:vertAlign w:val="superscript"/>
              </w:rPr>
              <w:t>1</w:t>
            </w:r>
            <w:r w:rsidRPr="001043A6">
              <w:rPr>
                <w:rFonts w:ascii="Garamond" w:hAnsi="Garamond"/>
                <w:sz w:val="22"/>
                <w:szCs w:val="22"/>
              </w:rPr>
              <w:t xml:space="preserve"> не хуже 2,9 %;</w:t>
            </w:r>
          </w:p>
          <w:p w14:paraId="055B4C59" w14:textId="77777777" w:rsidR="00821ED7" w:rsidRPr="001043A6" w:rsidRDefault="00821ED7" w:rsidP="00821ED7">
            <w:pPr>
              <w:tabs>
                <w:tab w:val="num" w:pos="792"/>
                <w:tab w:val="left" w:pos="1080"/>
                <w:tab w:val="num" w:pos="1134"/>
                <w:tab w:val="left" w:pos="8100"/>
              </w:tabs>
              <w:suppressAutoHyphens w:val="0"/>
              <w:spacing w:line="22" w:lineRule="atLeast"/>
              <w:ind w:firstLine="629"/>
              <w:jc w:val="both"/>
              <w:rPr>
                <w:rFonts w:ascii="Garamond" w:hAnsi="Garamond"/>
                <w:sz w:val="22"/>
                <w:szCs w:val="22"/>
              </w:rPr>
            </w:pPr>
            <w:r w:rsidRPr="001043A6">
              <w:rPr>
                <w:rFonts w:ascii="Garamond" w:hAnsi="Garamond"/>
                <w:sz w:val="22"/>
                <w:szCs w:val="22"/>
              </w:rPr>
              <w:t>-</w:t>
            </w:r>
            <w:r w:rsidRPr="001043A6">
              <w:rPr>
                <w:rFonts w:ascii="Garamond" w:hAnsi="Garamond"/>
                <w:sz w:val="22"/>
                <w:szCs w:val="22"/>
              </w:rPr>
              <w:tab/>
              <w:t>для диапазона нагрузок 20–120 % не хуже 1,7 %;</w:t>
            </w:r>
          </w:p>
          <w:p w14:paraId="1A8CA15A" w14:textId="77777777" w:rsidR="00821ED7" w:rsidRPr="001043A6" w:rsidRDefault="00821ED7" w:rsidP="00821ED7">
            <w:pPr>
              <w:tabs>
                <w:tab w:val="num" w:pos="792"/>
                <w:tab w:val="left" w:pos="1080"/>
                <w:tab w:val="num" w:pos="1134"/>
                <w:tab w:val="left" w:pos="8100"/>
              </w:tabs>
              <w:suppressAutoHyphens w:val="0"/>
              <w:spacing w:line="22" w:lineRule="atLeast"/>
              <w:ind w:firstLine="629"/>
              <w:jc w:val="both"/>
              <w:rPr>
                <w:rFonts w:ascii="Garamond" w:hAnsi="Garamond"/>
                <w:sz w:val="22"/>
                <w:szCs w:val="22"/>
              </w:rPr>
            </w:pPr>
            <w:r w:rsidRPr="001043A6">
              <w:rPr>
                <w:rFonts w:ascii="Garamond" w:hAnsi="Garamond"/>
                <w:sz w:val="22"/>
                <w:szCs w:val="22"/>
              </w:rPr>
              <w:t>2)</w:t>
            </w:r>
            <w:r w:rsidRPr="001043A6">
              <w:rPr>
                <w:rFonts w:ascii="Garamond" w:hAnsi="Garamond"/>
                <w:sz w:val="22"/>
                <w:szCs w:val="22"/>
              </w:rPr>
              <w:tab/>
              <w:t>для значений cos φ в промежутке ≥0,5 и ≤0,8:</w:t>
            </w:r>
          </w:p>
          <w:p w14:paraId="2016BF91" w14:textId="77777777" w:rsidR="00821ED7" w:rsidRPr="001043A6" w:rsidRDefault="00821ED7" w:rsidP="00821ED7">
            <w:pPr>
              <w:tabs>
                <w:tab w:val="num" w:pos="792"/>
                <w:tab w:val="left" w:pos="1080"/>
                <w:tab w:val="num" w:pos="1134"/>
                <w:tab w:val="left" w:pos="8100"/>
              </w:tabs>
              <w:suppressAutoHyphens w:val="0"/>
              <w:spacing w:line="22" w:lineRule="atLeast"/>
              <w:ind w:firstLine="629"/>
              <w:jc w:val="both"/>
              <w:rPr>
                <w:rFonts w:ascii="Garamond" w:hAnsi="Garamond"/>
                <w:sz w:val="22"/>
                <w:szCs w:val="22"/>
              </w:rPr>
            </w:pPr>
            <w:r w:rsidRPr="001043A6">
              <w:rPr>
                <w:rFonts w:ascii="Garamond" w:hAnsi="Garamond"/>
                <w:sz w:val="22"/>
                <w:szCs w:val="22"/>
              </w:rPr>
              <w:t>-</w:t>
            </w:r>
            <w:r w:rsidRPr="001043A6">
              <w:rPr>
                <w:rFonts w:ascii="Garamond" w:hAnsi="Garamond"/>
                <w:sz w:val="22"/>
                <w:szCs w:val="22"/>
              </w:rPr>
              <w:tab/>
              <w:t>для области нагрузок до 2 %</w:t>
            </w:r>
            <w:r w:rsidRPr="001043A6">
              <w:rPr>
                <w:rFonts w:ascii="Garamond" w:hAnsi="Garamond"/>
                <w:sz w:val="22"/>
                <w:szCs w:val="22"/>
                <w:vertAlign w:val="superscript"/>
              </w:rPr>
              <w:t>1</w:t>
            </w:r>
            <w:r w:rsidRPr="001043A6">
              <w:rPr>
                <w:rFonts w:ascii="Garamond" w:hAnsi="Garamond"/>
                <w:sz w:val="22"/>
                <w:szCs w:val="22"/>
              </w:rPr>
              <w:t xml:space="preserve"> (относительная величина нагрузки трансформатора тока) не регламентируется;</w:t>
            </w:r>
          </w:p>
          <w:p w14:paraId="23BFF2E9" w14:textId="77777777" w:rsidR="00821ED7" w:rsidRPr="001043A6" w:rsidRDefault="00821ED7" w:rsidP="00821ED7">
            <w:pPr>
              <w:tabs>
                <w:tab w:val="num" w:pos="792"/>
                <w:tab w:val="left" w:pos="1080"/>
                <w:tab w:val="num" w:pos="1134"/>
                <w:tab w:val="left" w:pos="8100"/>
              </w:tabs>
              <w:suppressAutoHyphens w:val="0"/>
              <w:spacing w:line="22" w:lineRule="atLeast"/>
              <w:ind w:firstLine="629"/>
              <w:jc w:val="both"/>
              <w:rPr>
                <w:rFonts w:ascii="Garamond" w:hAnsi="Garamond"/>
                <w:sz w:val="22"/>
                <w:szCs w:val="22"/>
              </w:rPr>
            </w:pPr>
            <w:r w:rsidRPr="001043A6">
              <w:rPr>
                <w:rFonts w:ascii="Garamond" w:hAnsi="Garamond"/>
                <w:sz w:val="22"/>
                <w:szCs w:val="22"/>
              </w:rPr>
              <w:t>-</w:t>
            </w:r>
            <w:r w:rsidRPr="001043A6">
              <w:rPr>
                <w:rFonts w:ascii="Garamond" w:hAnsi="Garamond"/>
                <w:sz w:val="22"/>
                <w:szCs w:val="22"/>
              </w:rPr>
              <w:tab/>
              <w:t>для области малых нагрузок (2–20 % включительно)</w:t>
            </w:r>
            <w:r w:rsidRPr="001043A6">
              <w:rPr>
                <w:rFonts w:ascii="Garamond" w:hAnsi="Garamond"/>
                <w:sz w:val="22"/>
                <w:szCs w:val="22"/>
                <w:vertAlign w:val="superscript"/>
              </w:rPr>
              <w:t>1</w:t>
            </w:r>
            <w:r w:rsidRPr="001043A6">
              <w:rPr>
                <w:rFonts w:ascii="Garamond" w:hAnsi="Garamond"/>
                <w:sz w:val="22"/>
                <w:szCs w:val="22"/>
              </w:rPr>
              <w:t xml:space="preserve"> не хуже 5,5 %;</w:t>
            </w:r>
          </w:p>
          <w:p w14:paraId="15D68C95" w14:textId="77777777" w:rsidR="00821ED7" w:rsidRPr="001043A6" w:rsidRDefault="00821ED7" w:rsidP="00821ED7">
            <w:pPr>
              <w:tabs>
                <w:tab w:val="num" w:pos="792"/>
                <w:tab w:val="left" w:pos="1080"/>
                <w:tab w:val="num" w:pos="1134"/>
                <w:tab w:val="left" w:pos="8100"/>
              </w:tabs>
              <w:suppressAutoHyphens w:val="0"/>
              <w:spacing w:line="22" w:lineRule="atLeast"/>
              <w:ind w:firstLine="629"/>
              <w:jc w:val="both"/>
              <w:rPr>
                <w:rFonts w:ascii="Garamond" w:hAnsi="Garamond"/>
                <w:sz w:val="22"/>
                <w:szCs w:val="22"/>
              </w:rPr>
            </w:pPr>
            <w:r w:rsidRPr="001043A6">
              <w:rPr>
                <w:rFonts w:ascii="Garamond" w:hAnsi="Garamond"/>
                <w:sz w:val="22"/>
                <w:szCs w:val="22"/>
              </w:rPr>
              <w:t>-</w:t>
            </w:r>
            <w:r w:rsidRPr="001043A6">
              <w:rPr>
                <w:rFonts w:ascii="Garamond" w:hAnsi="Garamond"/>
                <w:sz w:val="22"/>
                <w:szCs w:val="22"/>
              </w:rPr>
              <w:tab/>
              <w:t>для диапазона нагрузок 20–120 % не хуже 3,0 %.</w:t>
            </w:r>
          </w:p>
          <w:p w14:paraId="62DBE73D" w14:textId="77777777" w:rsidR="00821ED7" w:rsidRPr="001043A6" w:rsidRDefault="00821ED7" w:rsidP="00821ED7">
            <w:pPr>
              <w:tabs>
                <w:tab w:val="num" w:pos="792"/>
                <w:tab w:val="left" w:pos="1080"/>
                <w:tab w:val="num" w:pos="1134"/>
                <w:tab w:val="left" w:pos="8100"/>
              </w:tabs>
              <w:suppressAutoHyphens w:val="0"/>
              <w:spacing w:line="22" w:lineRule="atLeast"/>
              <w:ind w:firstLine="629"/>
              <w:jc w:val="both"/>
              <w:rPr>
                <w:rFonts w:ascii="Garamond" w:hAnsi="Garamond"/>
                <w:sz w:val="22"/>
                <w:szCs w:val="22"/>
              </w:rPr>
            </w:pPr>
            <w:r w:rsidRPr="001043A6">
              <w:rPr>
                <w:rFonts w:ascii="Garamond" w:hAnsi="Garamond"/>
                <w:sz w:val="22"/>
                <w:szCs w:val="22"/>
              </w:rPr>
              <w:t xml:space="preserve">Допускаемые к применению комбинации классов точности измерительных трансформаторов тока и </w:t>
            </w:r>
            <w:r w:rsidR="00316B1B" w:rsidRPr="001043A6">
              <w:rPr>
                <w:rFonts w:ascii="Garamond" w:hAnsi="Garamond"/>
                <w:sz w:val="22"/>
                <w:szCs w:val="22"/>
                <w:highlight w:val="yellow"/>
              </w:rPr>
              <w:t>приборов учета</w:t>
            </w:r>
            <w:r w:rsidRPr="001043A6">
              <w:rPr>
                <w:rFonts w:ascii="Garamond" w:hAnsi="Garamond"/>
                <w:sz w:val="22"/>
                <w:szCs w:val="22"/>
              </w:rPr>
              <w:t xml:space="preserve">, включенных в состав ИИК </w:t>
            </w:r>
            <w:r w:rsidRPr="001043A6">
              <w:rPr>
                <w:rFonts w:ascii="Garamond" w:hAnsi="Garamond"/>
                <w:sz w:val="22"/>
                <w:szCs w:val="22"/>
                <w:highlight w:val="yellow"/>
              </w:rPr>
              <w:t>АИИС КУЭ или совокупности СИ и ТУ</w:t>
            </w:r>
            <w:r w:rsidRPr="001043A6">
              <w:rPr>
                <w:rFonts w:ascii="Garamond" w:hAnsi="Garamond"/>
                <w:sz w:val="22"/>
                <w:szCs w:val="22"/>
              </w:rPr>
              <w:t xml:space="preserve">, при наличии в составе </w:t>
            </w:r>
            <w:r w:rsidRPr="001043A6">
              <w:rPr>
                <w:rFonts w:ascii="Garamond" w:hAnsi="Garamond"/>
                <w:sz w:val="22"/>
                <w:szCs w:val="22"/>
                <w:highlight w:val="yellow"/>
              </w:rPr>
              <w:lastRenderedPageBreak/>
              <w:t>указанных</w:t>
            </w:r>
            <w:r w:rsidRPr="001043A6">
              <w:rPr>
                <w:rFonts w:ascii="Garamond" w:hAnsi="Garamond"/>
                <w:sz w:val="22"/>
                <w:szCs w:val="22"/>
              </w:rPr>
              <w:t xml:space="preserve"> ИИК измерительных трансформаторов напряжения класса точности 1,0 приведены в таблице 1.</w:t>
            </w:r>
          </w:p>
          <w:p w14:paraId="2942ECB6" w14:textId="77777777" w:rsidR="00316B1B" w:rsidRPr="001043A6" w:rsidRDefault="00316B1B" w:rsidP="00BA2007">
            <w:pPr>
              <w:tabs>
                <w:tab w:val="num" w:pos="792"/>
                <w:tab w:val="left" w:pos="1080"/>
                <w:tab w:val="num" w:pos="1134"/>
                <w:tab w:val="left" w:pos="8100"/>
              </w:tabs>
              <w:suppressAutoHyphens w:val="0"/>
              <w:spacing w:line="22" w:lineRule="atLeast"/>
              <w:ind w:firstLine="629"/>
              <w:jc w:val="right"/>
              <w:rPr>
                <w:rFonts w:ascii="Garamond" w:hAnsi="Garamond"/>
                <w:sz w:val="22"/>
                <w:szCs w:val="22"/>
              </w:rPr>
            </w:pPr>
            <w:r w:rsidRPr="001043A6">
              <w:rPr>
                <w:rFonts w:ascii="Garamond" w:hAnsi="Garamond"/>
                <w:sz w:val="22"/>
                <w:szCs w:val="22"/>
              </w:rPr>
              <w:t>Таблица 1</w:t>
            </w:r>
          </w:p>
          <w:tbl>
            <w:tblPr>
              <w:tblW w:w="658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960"/>
              <w:gridCol w:w="1800"/>
              <w:gridCol w:w="1843"/>
              <w:gridCol w:w="1984"/>
            </w:tblGrid>
            <w:tr w:rsidR="00316B1B" w:rsidRPr="001043A6" w14:paraId="14800590" w14:textId="77777777" w:rsidTr="00BA2007">
              <w:trPr>
                <w:trHeight w:val="300"/>
              </w:trPr>
              <w:tc>
                <w:tcPr>
                  <w:tcW w:w="96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077FC050" w14:textId="77777777" w:rsidR="00316B1B" w:rsidRPr="001043A6" w:rsidRDefault="00316B1B" w:rsidP="00316B1B">
                  <w:pPr>
                    <w:jc w:val="center"/>
                    <w:rPr>
                      <w:rFonts w:ascii="Garamond" w:hAnsi="Garamond"/>
                      <w:color w:val="000000"/>
                      <w:sz w:val="22"/>
                      <w:szCs w:val="22"/>
                    </w:rPr>
                  </w:pPr>
                  <w:r w:rsidRPr="001043A6">
                    <w:rPr>
                      <w:rFonts w:ascii="Garamond" w:hAnsi="Garamond"/>
                      <w:color w:val="000000"/>
                      <w:sz w:val="22"/>
                      <w:szCs w:val="22"/>
                    </w:rPr>
                    <w:t>№ п/п</w:t>
                  </w:r>
                </w:p>
              </w:tc>
              <w:tc>
                <w:tcPr>
                  <w:tcW w:w="180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4B016766" w14:textId="77777777" w:rsidR="00316B1B" w:rsidRPr="001043A6" w:rsidRDefault="00316B1B" w:rsidP="00316B1B">
                  <w:pPr>
                    <w:jc w:val="center"/>
                    <w:rPr>
                      <w:rFonts w:ascii="Garamond" w:hAnsi="Garamond"/>
                      <w:color w:val="000000"/>
                      <w:sz w:val="22"/>
                      <w:szCs w:val="22"/>
                    </w:rPr>
                  </w:pPr>
                  <w:r w:rsidRPr="001043A6">
                    <w:rPr>
                      <w:rFonts w:ascii="Garamond" w:hAnsi="Garamond"/>
                      <w:color w:val="000000"/>
                      <w:sz w:val="22"/>
                      <w:szCs w:val="22"/>
                    </w:rPr>
                    <w:t xml:space="preserve">Класс точности </w:t>
                  </w:r>
                  <w:r w:rsidRPr="001043A6">
                    <w:rPr>
                      <w:rFonts w:ascii="Garamond" w:hAnsi="Garamond"/>
                      <w:sz w:val="22"/>
                      <w:szCs w:val="22"/>
                    </w:rPr>
                    <w:t>измерительных трансформаторов тока</w:t>
                  </w:r>
                </w:p>
              </w:tc>
              <w:tc>
                <w:tcPr>
                  <w:tcW w:w="1843"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0FE87F96" w14:textId="77777777" w:rsidR="00316B1B" w:rsidRPr="001043A6" w:rsidRDefault="00316B1B" w:rsidP="00316B1B">
                  <w:pPr>
                    <w:jc w:val="center"/>
                    <w:rPr>
                      <w:rFonts w:ascii="Garamond" w:hAnsi="Garamond"/>
                      <w:color w:val="000000"/>
                      <w:sz w:val="22"/>
                      <w:szCs w:val="22"/>
                    </w:rPr>
                  </w:pPr>
                  <w:r w:rsidRPr="001043A6">
                    <w:rPr>
                      <w:rFonts w:ascii="Garamond" w:hAnsi="Garamond"/>
                      <w:color w:val="000000"/>
                      <w:sz w:val="22"/>
                      <w:szCs w:val="22"/>
                    </w:rPr>
                    <w:t xml:space="preserve">Класс точности </w:t>
                  </w:r>
                  <w:r w:rsidRPr="001043A6">
                    <w:rPr>
                      <w:rFonts w:ascii="Garamond" w:hAnsi="Garamond"/>
                      <w:sz w:val="22"/>
                      <w:szCs w:val="22"/>
                    </w:rPr>
                    <w:t>измерительных трансформаторов напряжения</w:t>
                  </w:r>
                </w:p>
              </w:tc>
              <w:tc>
                <w:tcPr>
                  <w:tcW w:w="198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65735490" w14:textId="77777777" w:rsidR="00316B1B" w:rsidRPr="001043A6" w:rsidRDefault="00316B1B" w:rsidP="000A1A68">
                  <w:pPr>
                    <w:jc w:val="center"/>
                    <w:rPr>
                      <w:rFonts w:ascii="Garamond" w:hAnsi="Garamond"/>
                      <w:color w:val="000000"/>
                      <w:sz w:val="22"/>
                      <w:szCs w:val="22"/>
                    </w:rPr>
                  </w:pPr>
                  <w:r w:rsidRPr="001043A6">
                    <w:rPr>
                      <w:rFonts w:ascii="Garamond" w:hAnsi="Garamond"/>
                      <w:color w:val="000000"/>
                      <w:sz w:val="22"/>
                      <w:szCs w:val="22"/>
                    </w:rPr>
                    <w:t xml:space="preserve">Класс точности </w:t>
                  </w:r>
                  <w:r w:rsidRPr="001043A6">
                    <w:rPr>
                      <w:rFonts w:ascii="Garamond" w:hAnsi="Garamond"/>
                      <w:color w:val="000000"/>
                      <w:sz w:val="22"/>
                      <w:szCs w:val="22"/>
                      <w:highlight w:val="yellow"/>
                    </w:rPr>
                    <w:t>приборов учета</w:t>
                  </w:r>
                  <w:r w:rsidRPr="001043A6">
                    <w:rPr>
                      <w:rFonts w:ascii="Garamond" w:hAnsi="Garamond"/>
                      <w:color w:val="000000"/>
                      <w:sz w:val="22"/>
                      <w:szCs w:val="22"/>
                    </w:rPr>
                    <w:t xml:space="preserve"> по активной </w:t>
                  </w:r>
                  <w:r w:rsidRPr="001043A6">
                    <w:rPr>
                      <w:rFonts w:ascii="Garamond" w:hAnsi="Garamond"/>
                      <w:color w:val="000000"/>
                      <w:sz w:val="22"/>
                      <w:szCs w:val="22"/>
                      <w:highlight w:val="yellow"/>
                    </w:rPr>
                    <w:t>электр</w:t>
                  </w:r>
                  <w:r w:rsidR="000A1A68" w:rsidRPr="001043A6">
                    <w:rPr>
                      <w:rFonts w:ascii="Garamond" w:hAnsi="Garamond"/>
                      <w:color w:val="000000"/>
                      <w:sz w:val="22"/>
                      <w:szCs w:val="22"/>
                      <w:highlight w:val="yellow"/>
                    </w:rPr>
                    <w:t>о</w:t>
                  </w:r>
                  <w:r w:rsidRPr="001043A6">
                    <w:rPr>
                      <w:rFonts w:ascii="Garamond" w:hAnsi="Garamond"/>
                      <w:color w:val="000000"/>
                      <w:sz w:val="22"/>
                      <w:szCs w:val="22"/>
                      <w:highlight w:val="yellow"/>
                    </w:rPr>
                    <w:t>энергии</w:t>
                  </w:r>
                </w:p>
              </w:tc>
            </w:tr>
            <w:tr w:rsidR="008A6B88" w:rsidRPr="001043A6" w14:paraId="0A9B7808" w14:textId="77777777" w:rsidTr="00316B1B">
              <w:trPr>
                <w:trHeight w:val="300"/>
              </w:trPr>
              <w:tc>
                <w:tcPr>
                  <w:tcW w:w="96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0E621259" w14:textId="77777777" w:rsidR="008A6B88" w:rsidRPr="001043A6" w:rsidRDefault="008A6B88" w:rsidP="00316B1B">
                  <w:pPr>
                    <w:jc w:val="center"/>
                    <w:rPr>
                      <w:rFonts w:ascii="Garamond" w:hAnsi="Garamond"/>
                      <w:color w:val="000000"/>
                      <w:sz w:val="22"/>
                      <w:szCs w:val="22"/>
                      <w:highlight w:val="yellow"/>
                      <w:lang w:val="en-US"/>
                    </w:rPr>
                  </w:pPr>
                  <w:r w:rsidRPr="001043A6">
                    <w:rPr>
                      <w:rFonts w:ascii="Garamond" w:hAnsi="Garamond"/>
                      <w:color w:val="000000"/>
                      <w:sz w:val="22"/>
                      <w:szCs w:val="22"/>
                      <w:highlight w:val="yellow"/>
                      <w:lang w:val="en-US"/>
                    </w:rPr>
                    <w:t>1</w:t>
                  </w:r>
                </w:p>
              </w:tc>
              <w:tc>
                <w:tcPr>
                  <w:tcW w:w="180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63669A2D" w14:textId="77777777" w:rsidR="008A6B88" w:rsidRPr="001043A6" w:rsidRDefault="008A6B88" w:rsidP="00316B1B">
                  <w:pPr>
                    <w:jc w:val="center"/>
                    <w:rPr>
                      <w:rFonts w:ascii="Garamond" w:hAnsi="Garamond"/>
                      <w:color w:val="000000"/>
                      <w:sz w:val="22"/>
                      <w:szCs w:val="22"/>
                      <w:highlight w:val="yellow"/>
                      <w:lang w:val="en-US"/>
                    </w:rPr>
                  </w:pPr>
                  <w:r w:rsidRPr="001043A6">
                    <w:rPr>
                      <w:rFonts w:ascii="Garamond" w:hAnsi="Garamond"/>
                      <w:color w:val="000000"/>
                      <w:sz w:val="22"/>
                      <w:szCs w:val="22"/>
                      <w:highlight w:val="yellow"/>
                      <w:lang w:val="en-US"/>
                    </w:rPr>
                    <w:t>0,1</w:t>
                  </w:r>
                </w:p>
              </w:tc>
              <w:tc>
                <w:tcPr>
                  <w:tcW w:w="1843"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723592E0" w14:textId="77777777" w:rsidR="008A6B88" w:rsidRPr="001043A6" w:rsidRDefault="008A6B88" w:rsidP="00316B1B">
                  <w:pPr>
                    <w:jc w:val="center"/>
                    <w:rPr>
                      <w:rFonts w:ascii="Garamond" w:hAnsi="Garamond"/>
                      <w:color w:val="000000"/>
                      <w:sz w:val="22"/>
                      <w:szCs w:val="22"/>
                      <w:highlight w:val="yellow"/>
                    </w:rPr>
                  </w:pPr>
                  <w:r w:rsidRPr="001043A6">
                    <w:rPr>
                      <w:rFonts w:ascii="Garamond" w:hAnsi="Garamond"/>
                      <w:color w:val="000000"/>
                      <w:sz w:val="22"/>
                      <w:szCs w:val="22"/>
                      <w:highlight w:val="yellow"/>
                    </w:rPr>
                    <w:t>1,0</w:t>
                  </w:r>
                </w:p>
              </w:tc>
              <w:tc>
                <w:tcPr>
                  <w:tcW w:w="198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0C50961C" w14:textId="77777777" w:rsidR="008A6B88" w:rsidRPr="001043A6" w:rsidRDefault="008A6B88" w:rsidP="00316B1B">
                  <w:pPr>
                    <w:jc w:val="center"/>
                    <w:rPr>
                      <w:rFonts w:ascii="Garamond" w:hAnsi="Garamond"/>
                      <w:color w:val="000000"/>
                      <w:sz w:val="22"/>
                      <w:szCs w:val="22"/>
                      <w:highlight w:val="yellow"/>
                      <w:lang w:val="en-US"/>
                    </w:rPr>
                  </w:pPr>
                  <w:r w:rsidRPr="001043A6">
                    <w:rPr>
                      <w:rFonts w:ascii="Garamond" w:hAnsi="Garamond"/>
                      <w:color w:val="000000"/>
                      <w:sz w:val="22"/>
                      <w:szCs w:val="22"/>
                      <w:highlight w:val="yellow"/>
                    </w:rPr>
                    <w:t>0,1</w:t>
                  </w:r>
                  <w:r w:rsidRPr="001043A6">
                    <w:rPr>
                      <w:rFonts w:ascii="Garamond" w:hAnsi="Garamond"/>
                      <w:color w:val="000000"/>
                      <w:sz w:val="22"/>
                      <w:szCs w:val="22"/>
                      <w:highlight w:val="yellow"/>
                      <w:lang w:val="en-US"/>
                    </w:rPr>
                    <w:t>S</w:t>
                  </w:r>
                </w:p>
              </w:tc>
            </w:tr>
            <w:tr w:rsidR="00316B1B" w:rsidRPr="001043A6" w14:paraId="19E0343D" w14:textId="77777777" w:rsidTr="00BA2007">
              <w:trPr>
                <w:trHeight w:val="300"/>
              </w:trPr>
              <w:tc>
                <w:tcPr>
                  <w:tcW w:w="96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095885CE" w14:textId="77777777" w:rsidR="00316B1B" w:rsidRPr="001043A6" w:rsidRDefault="008A6B88" w:rsidP="00316B1B">
                  <w:pPr>
                    <w:jc w:val="center"/>
                    <w:rPr>
                      <w:rFonts w:ascii="Garamond" w:hAnsi="Garamond"/>
                      <w:color w:val="000000"/>
                      <w:sz w:val="22"/>
                      <w:szCs w:val="22"/>
                      <w:highlight w:val="yellow"/>
                    </w:rPr>
                  </w:pPr>
                  <w:r w:rsidRPr="001043A6">
                    <w:rPr>
                      <w:rFonts w:ascii="Garamond" w:hAnsi="Garamond"/>
                      <w:color w:val="000000"/>
                      <w:sz w:val="22"/>
                      <w:szCs w:val="22"/>
                      <w:highlight w:val="yellow"/>
                    </w:rPr>
                    <w:t>2</w:t>
                  </w:r>
                </w:p>
              </w:tc>
              <w:tc>
                <w:tcPr>
                  <w:tcW w:w="180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2411DA79" w14:textId="77777777" w:rsidR="00316B1B" w:rsidRPr="001043A6" w:rsidRDefault="00316B1B" w:rsidP="00316B1B">
                  <w:pPr>
                    <w:jc w:val="center"/>
                    <w:rPr>
                      <w:rFonts w:ascii="Garamond" w:hAnsi="Garamond"/>
                      <w:color w:val="000000"/>
                      <w:sz w:val="22"/>
                      <w:szCs w:val="22"/>
                    </w:rPr>
                  </w:pPr>
                  <w:r w:rsidRPr="001043A6">
                    <w:rPr>
                      <w:rFonts w:ascii="Garamond" w:hAnsi="Garamond"/>
                      <w:color w:val="000000"/>
                      <w:sz w:val="22"/>
                      <w:szCs w:val="22"/>
                    </w:rPr>
                    <w:t>0,1</w:t>
                  </w:r>
                </w:p>
              </w:tc>
              <w:tc>
                <w:tcPr>
                  <w:tcW w:w="1843"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5BF714FE" w14:textId="77777777" w:rsidR="00316B1B" w:rsidRPr="001043A6" w:rsidRDefault="00316B1B" w:rsidP="00316B1B">
                  <w:pPr>
                    <w:jc w:val="center"/>
                    <w:rPr>
                      <w:rFonts w:ascii="Garamond" w:hAnsi="Garamond"/>
                      <w:color w:val="000000"/>
                      <w:sz w:val="22"/>
                      <w:szCs w:val="22"/>
                    </w:rPr>
                  </w:pPr>
                  <w:r w:rsidRPr="001043A6">
                    <w:rPr>
                      <w:rFonts w:ascii="Garamond" w:hAnsi="Garamond"/>
                      <w:color w:val="000000"/>
                      <w:sz w:val="22"/>
                      <w:szCs w:val="22"/>
                    </w:rPr>
                    <w:t>1,0</w:t>
                  </w:r>
                </w:p>
              </w:tc>
              <w:tc>
                <w:tcPr>
                  <w:tcW w:w="198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30ED4797" w14:textId="77777777" w:rsidR="00316B1B" w:rsidRPr="001043A6" w:rsidRDefault="00316B1B" w:rsidP="00316B1B">
                  <w:pPr>
                    <w:jc w:val="center"/>
                    <w:rPr>
                      <w:rFonts w:ascii="Garamond" w:hAnsi="Garamond"/>
                      <w:color w:val="000000"/>
                      <w:sz w:val="22"/>
                      <w:szCs w:val="22"/>
                    </w:rPr>
                  </w:pPr>
                  <w:r w:rsidRPr="001043A6">
                    <w:rPr>
                      <w:rFonts w:ascii="Garamond" w:hAnsi="Garamond"/>
                      <w:color w:val="000000"/>
                      <w:sz w:val="22"/>
                      <w:szCs w:val="22"/>
                    </w:rPr>
                    <w:t>0,2S</w:t>
                  </w:r>
                </w:p>
              </w:tc>
            </w:tr>
            <w:tr w:rsidR="00316B1B" w:rsidRPr="001043A6" w14:paraId="31144D98" w14:textId="77777777" w:rsidTr="00BA2007">
              <w:trPr>
                <w:trHeight w:val="300"/>
              </w:trPr>
              <w:tc>
                <w:tcPr>
                  <w:tcW w:w="96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4940CD78" w14:textId="77777777" w:rsidR="00316B1B" w:rsidRPr="001043A6" w:rsidRDefault="008A6B88" w:rsidP="00316B1B">
                  <w:pPr>
                    <w:jc w:val="center"/>
                    <w:rPr>
                      <w:rFonts w:ascii="Garamond" w:hAnsi="Garamond"/>
                      <w:color w:val="000000"/>
                      <w:sz w:val="22"/>
                      <w:szCs w:val="22"/>
                      <w:highlight w:val="yellow"/>
                    </w:rPr>
                  </w:pPr>
                  <w:r w:rsidRPr="001043A6">
                    <w:rPr>
                      <w:rFonts w:ascii="Garamond" w:hAnsi="Garamond"/>
                      <w:color w:val="000000"/>
                      <w:sz w:val="22"/>
                      <w:szCs w:val="22"/>
                      <w:highlight w:val="yellow"/>
                    </w:rPr>
                    <w:t>3</w:t>
                  </w:r>
                </w:p>
              </w:tc>
              <w:tc>
                <w:tcPr>
                  <w:tcW w:w="180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56174F1B" w14:textId="77777777" w:rsidR="00316B1B" w:rsidRPr="001043A6" w:rsidRDefault="00316B1B" w:rsidP="00316B1B">
                  <w:pPr>
                    <w:jc w:val="center"/>
                    <w:rPr>
                      <w:rFonts w:ascii="Garamond" w:hAnsi="Garamond"/>
                      <w:color w:val="000000"/>
                      <w:sz w:val="22"/>
                      <w:szCs w:val="22"/>
                    </w:rPr>
                  </w:pPr>
                  <w:r w:rsidRPr="001043A6">
                    <w:rPr>
                      <w:rFonts w:ascii="Garamond" w:hAnsi="Garamond"/>
                      <w:color w:val="000000"/>
                      <w:sz w:val="22"/>
                      <w:szCs w:val="22"/>
                    </w:rPr>
                    <w:t>0,1</w:t>
                  </w:r>
                </w:p>
              </w:tc>
              <w:tc>
                <w:tcPr>
                  <w:tcW w:w="1843"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5742A8D5" w14:textId="77777777" w:rsidR="00316B1B" w:rsidRPr="001043A6" w:rsidRDefault="00316B1B" w:rsidP="00316B1B">
                  <w:pPr>
                    <w:jc w:val="center"/>
                    <w:rPr>
                      <w:rFonts w:ascii="Garamond" w:hAnsi="Garamond"/>
                      <w:color w:val="000000"/>
                      <w:sz w:val="22"/>
                      <w:szCs w:val="22"/>
                    </w:rPr>
                  </w:pPr>
                  <w:r w:rsidRPr="001043A6">
                    <w:rPr>
                      <w:rFonts w:ascii="Garamond" w:hAnsi="Garamond"/>
                      <w:color w:val="000000"/>
                      <w:sz w:val="22"/>
                      <w:szCs w:val="22"/>
                    </w:rPr>
                    <w:t>1,0</w:t>
                  </w:r>
                </w:p>
              </w:tc>
              <w:tc>
                <w:tcPr>
                  <w:tcW w:w="198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3353CE0B" w14:textId="77777777" w:rsidR="00316B1B" w:rsidRPr="001043A6" w:rsidRDefault="00316B1B" w:rsidP="00316B1B">
                  <w:pPr>
                    <w:jc w:val="center"/>
                    <w:rPr>
                      <w:rFonts w:ascii="Garamond" w:hAnsi="Garamond"/>
                      <w:color w:val="000000"/>
                      <w:sz w:val="22"/>
                      <w:szCs w:val="22"/>
                    </w:rPr>
                  </w:pPr>
                  <w:r w:rsidRPr="001043A6">
                    <w:rPr>
                      <w:rFonts w:ascii="Garamond" w:hAnsi="Garamond"/>
                      <w:color w:val="000000"/>
                      <w:sz w:val="22"/>
                      <w:szCs w:val="22"/>
                    </w:rPr>
                    <w:t>0,5S</w:t>
                  </w:r>
                </w:p>
              </w:tc>
            </w:tr>
            <w:tr w:rsidR="008A6B88" w:rsidRPr="001043A6" w14:paraId="3C023E4E" w14:textId="77777777" w:rsidTr="00BA2007">
              <w:trPr>
                <w:trHeight w:val="300"/>
              </w:trPr>
              <w:tc>
                <w:tcPr>
                  <w:tcW w:w="96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72F192A3" w14:textId="77777777" w:rsidR="008A6B88" w:rsidRPr="001043A6" w:rsidRDefault="008A6B88" w:rsidP="008A6B88">
                  <w:pPr>
                    <w:jc w:val="center"/>
                    <w:rPr>
                      <w:rFonts w:ascii="Garamond" w:hAnsi="Garamond"/>
                      <w:color w:val="000000"/>
                      <w:sz w:val="22"/>
                      <w:szCs w:val="22"/>
                      <w:highlight w:val="yellow"/>
                      <w:lang w:val="en-US"/>
                    </w:rPr>
                  </w:pPr>
                  <w:r w:rsidRPr="001043A6">
                    <w:rPr>
                      <w:rFonts w:ascii="Garamond" w:hAnsi="Garamond"/>
                      <w:color w:val="000000"/>
                      <w:sz w:val="22"/>
                      <w:szCs w:val="22"/>
                      <w:highlight w:val="yellow"/>
                      <w:lang w:val="en-US"/>
                    </w:rPr>
                    <w:t>4</w:t>
                  </w:r>
                </w:p>
              </w:tc>
              <w:tc>
                <w:tcPr>
                  <w:tcW w:w="180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38936FED" w14:textId="77777777" w:rsidR="008A6B88" w:rsidRPr="001043A6" w:rsidRDefault="008A6B88" w:rsidP="008A6B88">
                  <w:pPr>
                    <w:jc w:val="center"/>
                    <w:rPr>
                      <w:rFonts w:ascii="Garamond" w:hAnsi="Garamond"/>
                      <w:color w:val="000000"/>
                      <w:sz w:val="22"/>
                      <w:szCs w:val="22"/>
                      <w:highlight w:val="yellow"/>
                    </w:rPr>
                  </w:pPr>
                  <w:r w:rsidRPr="001043A6">
                    <w:rPr>
                      <w:rFonts w:ascii="Garamond" w:hAnsi="Garamond"/>
                      <w:color w:val="000000"/>
                      <w:sz w:val="22"/>
                      <w:szCs w:val="22"/>
                      <w:highlight w:val="yellow"/>
                    </w:rPr>
                    <w:t>0,2S</w:t>
                  </w:r>
                </w:p>
              </w:tc>
              <w:tc>
                <w:tcPr>
                  <w:tcW w:w="1843"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0B39A28E" w14:textId="77777777" w:rsidR="008A6B88" w:rsidRPr="001043A6" w:rsidRDefault="008A6B88" w:rsidP="008A6B88">
                  <w:pPr>
                    <w:jc w:val="center"/>
                    <w:rPr>
                      <w:rFonts w:ascii="Garamond" w:hAnsi="Garamond"/>
                      <w:color w:val="000000"/>
                      <w:sz w:val="22"/>
                      <w:szCs w:val="22"/>
                      <w:highlight w:val="yellow"/>
                    </w:rPr>
                  </w:pPr>
                  <w:r w:rsidRPr="001043A6">
                    <w:rPr>
                      <w:rFonts w:ascii="Garamond" w:hAnsi="Garamond"/>
                      <w:color w:val="000000"/>
                      <w:sz w:val="22"/>
                      <w:szCs w:val="22"/>
                      <w:highlight w:val="yellow"/>
                    </w:rPr>
                    <w:t>1,0</w:t>
                  </w:r>
                </w:p>
              </w:tc>
              <w:tc>
                <w:tcPr>
                  <w:tcW w:w="198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3D1DD1B1" w14:textId="77777777" w:rsidR="008A6B88" w:rsidRPr="001043A6" w:rsidRDefault="008A6B88" w:rsidP="008A6B88">
                  <w:pPr>
                    <w:jc w:val="center"/>
                    <w:rPr>
                      <w:rFonts w:ascii="Garamond" w:hAnsi="Garamond"/>
                      <w:color w:val="000000"/>
                      <w:sz w:val="22"/>
                      <w:szCs w:val="22"/>
                      <w:highlight w:val="yellow"/>
                    </w:rPr>
                  </w:pPr>
                  <w:r w:rsidRPr="001043A6">
                    <w:rPr>
                      <w:rFonts w:ascii="Garamond" w:hAnsi="Garamond"/>
                      <w:color w:val="000000"/>
                      <w:sz w:val="22"/>
                      <w:szCs w:val="22"/>
                      <w:highlight w:val="yellow"/>
                    </w:rPr>
                    <w:t>0,1</w:t>
                  </w:r>
                  <w:r w:rsidRPr="001043A6">
                    <w:rPr>
                      <w:rFonts w:ascii="Garamond" w:hAnsi="Garamond"/>
                      <w:color w:val="000000"/>
                      <w:sz w:val="22"/>
                      <w:szCs w:val="22"/>
                      <w:highlight w:val="yellow"/>
                      <w:lang w:val="en-US"/>
                    </w:rPr>
                    <w:t>S</w:t>
                  </w:r>
                </w:p>
              </w:tc>
            </w:tr>
            <w:tr w:rsidR="008A6B88" w:rsidRPr="001043A6" w14:paraId="2F840FDC" w14:textId="77777777" w:rsidTr="00BA2007">
              <w:trPr>
                <w:trHeight w:val="300"/>
              </w:trPr>
              <w:tc>
                <w:tcPr>
                  <w:tcW w:w="96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3D1D095B" w14:textId="77777777" w:rsidR="008A6B88" w:rsidRPr="001043A6" w:rsidRDefault="008A6B88" w:rsidP="008A6B88">
                  <w:pPr>
                    <w:jc w:val="center"/>
                    <w:rPr>
                      <w:rFonts w:ascii="Garamond" w:hAnsi="Garamond"/>
                      <w:color w:val="000000"/>
                      <w:sz w:val="22"/>
                      <w:szCs w:val="22"/>
                      <w:highlight w:val="yellow"/>
                    </w:rPr>
                  </w:pPr>
                  <w:r w:rsidRPr="001043A6">
                    <w:rPr>
                      <w:rFonts w:ascii="Garamond" w:hAnsi="Garamond"/>
                      <w:color w:val="000000"/>
                      <w:sz w:val="22"/>
                      <w:szCs w:val="22"/>
                      <w:highlight w:val="yellow"/>
                    </w:rPr>
                    <w:t>5</w:t>
                  </w:r>
                </w:p>
              </w:tc>
              <w:tc>
                <w:tcPr>
                  <w:tcW w:w="180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1DFCCBCA" w14:textId="77777777" w:rsidR="008A6B88" w:rsidRPr="001043A6" w:rsidRDefault="008A6B88" w:rsidP="008A6B88">
                  <w:pPr>
                    <w:jc w:val="center"/>
                    <w:rPr>
                      <w:rFonts w:ascii="Garamond" w:hAnsi="Garamond"/>
                      <w:color w:val="000000"/>
                      <w:sz w:val="22"/>
                      <w:szCs w:val="22"/>
                    </w:rPr>
                  </w:pPr>
                  <w:r w:rsidRPr="001043A6">
                    <w:rPr>
                      <w:rFonts w:ascii="Garamond" w:hAnsi="Garamond"/>
                      <w:color w:val="000000"/>
                      <w:sz w:val="22"/>
                      <w:szCs w:val="22"/>
                    </w:rPr>
                    <w:t>0,2S</w:t>
                  </w:r>
                </w:p>
              </w:tc>
              <w:tc>
                <w:tcPr>
                  <w:tcW w:w="1843"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0622D529" w14:textId="77777777" w:rsidR="008A6B88" w:rsidRPr="001043A6" w:rsidRDefault="008A6B88" w:rsidP="008A6B88">
                  <w:pPr>
                    <w:jc w:val="center"/>
                    <w:rPr>
                      <w:rFonts w:ascii="Garamond" w:hAnsi="Garamond"/>
                      <w:color w:val="000000"/>
                      <w:sz w:val="22"/>
                      <w:szCs w:val="22"/>
                    </w:rPr>
                  </w:pPr>
                  <w:r w:rsidRPr="001043A6">
                    <w:rPr>
                      <w:rFonts w:ascii="Garamond" w:hAnsi="Garamond"/>
                      <w:color w:val="000000"/>
                      <w:sz w:val="22"/>
                      <w:szCs w:val="22"/>
                    </w:rPr>
                    <w:t>1,0</w:t>
                  </w:r>
                </w:p>
              </w:tc>
              <w:tc>
                <w:tcPr>
                  <w:tcW w:w="198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01583208" w14:textId="77777777" w:rsidR="008A6B88" w:rsidRPr="001043A6" w:rsidRDefault="008A6B88" w:rsidP="008A6B88">
                  <w:pPr>
                    <w:jc w:val="center"/>
                    <w:rPr>
                      <w:rFonts w:ascii="Garamond" w:hAnsi="Garamond"/>
                      <w:color w:val="000000"/>
                      <w:sz w:val="22"/>
                      <w:szCs w:val="22"/>
                    </w:rPr>
                  </w:pPr>
                  <w:r w:rsidRPr="001043A6">
                    <w:rPr>
                      <w:rFonts w:ascii="Garamond" w:hAnsi="Garamond"/>
                      <w:color w:val="000000"/>
                      <w:sz w:val="22"/>
                      <w:szCs w:val="22"/>
                    </w:rPr>
                    <w:t>0,2S</w:t>
                  </w:r>
                </w:p>
              </w:tc>
            </w:tr>
            <w:tr w:rsidR="008A6B88" w:rsidRPr="001043A6" w14:paraId="51DC8F75" w14:textId="77777777" w:rsidTr="00BA2007">
              <w:trPr>
                <w:trHeight w:val="300"/>
              </w:trPr>
              <w:tc>
                <w:tcPr>
                  <w:tcW w:w="96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7861322D" w14:textId="77777777" w:rsidR="008A6B88" w:rsidRPr="001043A6" w:rsidRDefault="008A6B88" w:rsidP="008A6B88">
                  <w:pPr>
                    <w:jc w:val="center"/>
                    <w:rPr>
                      <w:rFonts w:ascii="Garamond" w:hAnsi="Garamond"/>
                      <w:color w:val="000000"/>
                      <w:sz w:val="22"/>
                      <w:szCs w:val="22"/>
                      <w:highlight w:val="yellow"/>
                    </w:rPr>
                  </w:pPr>
                  <w:r w:rsidRPr="001043A6">
                    <w:rPr>
                      <w:rFonts w:ascii="Garamond" w:hAnsi="Garamond"/>
                      <w:color w:val="000000"/>
                      <w:sz w:val="22"/>
                      <w:szCs w:val="22"/>
                      <w:highlight w:val="yellow"/>
                    </w:rPr>
                    <w:t>6</w:t>
                  </w:r>
                </w:p>
              </w:tc>
              <w:tc>
                <w:tcPr>
                  <w:tcW w:w="180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43CEEA16" w14:textId="77777777" w:rsidR="008A6B88" w:rsidRPr="001043A6" w:rsidRDefault="008A6B88" w:rsidP="008A6B88">
                  <w:pPr>
                    <w:jc w:val="center"/>
                    <w:rPr>
                      <w:rFonts w:ascii="Garamond" w:hAnsi="Garamond"/>
                      <w:color w:val="000000"/>
                      <w:sz w:val="22"/>
                      <w:szCs w:val="22"/>
                    </w:rPr>
                  </w:pPr>
                  <w:r w:rsidRPr="001043A6">
                    <w:rPr>
                      <w:rFonts w:ascii="Garamond" w:hAnsi="Garamond"/>
                      <w:color w:val="000000"/>
                      <w:sz w:val="22"/>
                      <w:szCs w:val="22"/>
                    </w:rPr>
                    <w:t>0,2S</w:t>
                  </w:r>
                </w:p>
              </w:tc>
              <w:tc>
                <w:tcPr>
                  <w:tcW w:w="1843"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73F72847" w14:textId="77777777" w:rsidR="008A6B88" w:rsidRPr="001043A6" w:rsidRDefault="008A6B88" w:rsidP="008A6B88">
                  <w:pPr>
                    <w:jc w:val="center"/>
                    <w:rPr>
                      <w:rFonts w:ascii="Garamond" w:hAnsi="Garamond"/>
                      <w:color w:val="000000"/>
                      <w:sz w:val="22"/>
                      <w:szCs w:val="22"/>
                    </w:rPr>
                  </w:pPr>
                  <w:r w:rsidRPr="001043A6">
                    <w:rPr>
                      <w:rFonts w:ascii="Garamond" w:hAnsi="Garamond"/>
                      <w:color w:val="000000"/>
                      <w:sz w:val="22"/>
                      <w:szCs w:val="22"/>
                    </w:rPr>
                    <w:t>1,0</w:t>
                  </w:r>
                </w:p>
              </w:tc>
              <w:tc>
                <w:tcPr>
                  <w:tcW w:w="198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6BD12746" w14:textId="77777777" w:rsidR="008A6B88" w:rsidRPr="001043A6" w:rsidRDefault="008A6B88" w:rsidP="008A6B88">
                  <w:pPr>
                    <w:jc w:val="center"/>
                    <w:rPr>
                      <w:rFonts w:ascii="Garamond" w:hAnsi="Garamond"/>
                      <w:color w:val="000000"/>
                      <w:sz w:val="22"/>
                      <w:szCs w:val="22"/>
                    </w:rPr>
                  </w:pPr>
                  <w:r w:rsidRPr="001043A6">
                    <w:rPr>
                      <w:rFonts w:ascii="Garamond" w:hAnsi="Garamond"/>
                      <w:color w:val="000000"/>
                      <w:sz w:val="22"/>
                      <w:szCs w:val="22"/>
                    </w:rPr>
                    <w:t>0,5S</w:t>
                  </w:r>
                </w:p>
              </w:tc>
            </w:tr>
            <w:tr w:rsidR="008A6B88" w:rsidRPr="001043A6" w14:paraId="730011C9" w14:textId="77777777" w:rsidTr="00316B1B">
              <w:trPr>
                <w:trHeight w:val="300"/>
              </w:trPr>
              <w:tc>
                <w:tcPr>
                  <w:tcW w:w="96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15784C0E" w14:textId="77777777" w:rsidR="008A6B88" w:rsidRPr="001043A6" w:rsidRDefault="008A6B88" w:rsidP="008A6B88">
                  <w:pPr>
                    <w:jc w:val="center"/>
                    <w:rPr>
                      <w:rFonts w:ascii="Garamond" w:hAnsi="Garamond"/>
                      <w:color w:val="000000"/>
                      <w:sz w:val="22"/>
                      <w:szCs w:val="22"/>
                      <w:highlight w:val="yellow"/>
                      <w:lang w:val="en-US"/>
                    </w:rPr>
                  </w:pPr>
                  <w:r w:rsidRPr="001043A6">
                    <w:rPr>
                      <w:rFonts w:ascii="Garamond" w:hAnsi="Garamond"/>
                      <w:color w:val="000000"/>
                      <w:sz w:val="22"/>
                      <w:szCs w:val="22"/>
                      <w:highlight w:val="yellow"/>
                      <w:lang w:val="en-US"/>
                    </w:rPr>
                    <w:t>7</w:t>
                  </w:r>
                </w:p>
              </w:tc>
              <w:tc>
                <w:tcPr>
                  <w:tcW w:w="180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430A72AD" w14:textId="77777777" w:rsidR="008A6B88" w:rsidRPr="001043A6" w:rsidRDefault="008A6B88" w:rsidP="008A6B88">
                  <w:pPr>
                    <w:jc w:val="center"/>
                    <w:rPr>
                      <w:rFonts w:ascii="Garamond" w:hAnsi="Garamond"/>
                      <w:color w:val="000000"/>
                      <w:sz w:val="22"/>
                      <w:szCs w:val="22"/>
                      <w:highlight w:val="yellow"/>
                    </w:rPr>
                  </w:pPr>
                  <w:r w:rsidRPr="001043A6">
                    <w:rPr>
                      <w:rFonts w:ascii="Garamond" w:hAnsi="Garamond"/>
                      <w:color w:val="000000"/>
                      <w:sz w:val="22"/>
                      <w:szCs w:val="22"/>
                      <w:highlight w:val="yellow"/>
                    </w:rPr>
                    <w:t>0,2</w:t>
                  </w:r>
                </w:p>
              </w:tc>
              <w:tc>
                <w:tcPr>
                  <w:tcW w:w="1843"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02DE3C88" w14:textId="77777777" w:rsidR="008A6B88" w:rsidRPr="001043A6" w:rsidRDefault="008A6B88" w:rsidP="008A6B88">
                  <w:pPr>
                    <w:jc w:val="center"/>
                    <w:rPr>
                      <w:rFonts w:ascii="Garamond" w:hAnsi="Garamond"/>
                      <w:color w:val="000000"/>
                      <w:sz w:val="22"/>
                      <w:szCs w:val="22"/>
                      <w:highlight w:val="yellow"/>
                    </w:rPr>
                  </w:pPr>
                  <w:r w:rsidRPr="001043A6">
                    <w:rPr>
                      <w:rFonts w:ascii="Garamond" w:hAnsi="Garamond"/>
                      <w:color w:val="000000"/>
                      <w:sz w:val="22"/>
                      <w:szCs w:val="22"/>
                      <w:highlight w:val="yellow"/>
                    </w:rPr>
                    <w:t>1,0</w:t>
                  </w:r>
                </w:p>
              </w:tc>
              <w:tc>
                <w:tcPr>
                  <w:tcW w:w="198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22C4CD2E" w14:textId="77777777" w:rsidR="008A6B88" w:rsidRPr="001043A6" w:rsidRDefault="008A6B88" w:rsidP="008A6B88">
                  <w:pPr>
                    <w:jc w:val="center"/>
                    <w:rPr>
                      <w:rFonts w:ascii="Garamond" w:hAnsi="Garamond"/>
                      <w:color w:val="000000"/>
                      <w:sz w:val="22"/>
                      <w:szCs w:val="22"/>
                      <w:highlight w:val="yellow"/>
                    </w:rPr>
                  </w:pPr>
                  <w:r w:rsidRPr="001043A6">
                    <w:rPr>
                      <w:rFonts w:ascii="Garamond" w:hAnsi="Garamond"/>
                      <w:color w:val="000000"/>
                      <w:sz w:val="22"/>
                      <w:szCs w:val="22"/>
                      <w:highlight w:val="yellow"/>
                    </w:rPr>
                    <w:t>0,1</w:t>
                  </w:r>
                  <w:r w:rsidRPr="001043A6">
                    <w:rPr>
                      <w:rFonts w:ascii="Garamond" w:hAnsi="Garamond"/>
                      <w:color w:val="000000"/>
                      <w:sz w:val="22"/>
                      <w:szCs w:val="22"/>
                      <w:highlight w:val="yellow"/>
                      <w:lang w:val="en-US"/>
                    </w:rPr>
                    <w:t>S</w:t>
                  </w:r>
                </w:p>
              </w:tc>
            </w:tr>
            <w:tr w:rsidR="008A6B88" w:rsidRPr="001043A6" w14:paraId="790BCC2D" w14:textId="77777777" w:rsidTr="00BA2007">
              <w:trPr>
                <w:trHeight w:val="300"/>
              </w:trPr>
              <w:tc>
                <w:tcPr>
                  <w:tcW w:w="96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64B74613" w14:textId="77777777" w:rsidR="008A6B88" w:rsidRPr="001043A6" w:rsidRDefault="008A6B88" w:rsidP="008A6B88">
                  <w:pPr>
                    <w:jc w:val="center"/>
                    <w:rPr>
                      <w:rFonts w:ascii="Garamond" w:hAnsi="Garamond"/>
                      <w:color w:val="000000"/>
                      <w:sz w:val="22"/>
                      <w:szCs w:val="22"/>
                      <w:highlight w:val="yellow"/>
                    </w:rPr>
                  </w:pPr>
                  <w:r w:rsidRPr="001043A6">
                    <w:rPr>
                      <w:rFonts w:ascii="Garamond" w:hAnsi="Garamond"/>
                      <w:color w:val="000000"/>
                      <w:sz w:val="22"/>
                      <w:szCs w:val="22"/>
                      <w:highlight w:val="yellow"/>
                    </w:rPr>
                    <w:t>8</w:t>
                  </w:r>
                </w:p>
              </w:tc>
              <w:tc>
                <w:tcPr>
                  <w:tcW w:w="180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6608430E" w14:textId="77777777" w:rsidR="008A6B88" w:rsidRPr="001043A6" w:rsidRDefault="008A6B88" w:rsidP="008A6B88">
                  <w:pPr>
                    <w:jc w:val="center"/>
                    <w:rPr>
                      <w:rFonts w:ascii="Garamond" w:hAnsi="Garamond"/>
                      <w:color w:val="000000"/>
                      <w:sz w:val="22"/>
                      <w:szCs w:val="22"/>
                    </w:rPr>
                  </w:pPr>
                  <w:r w:rsidRPr="001043A6">
                    <w:rPr>
                      <w:rFonts w:ascii="Garamond" w:hAnsi="Garamond"/>
                      <w:color w:val="000000"/>
                      <w:sz w:val="22"/>
                      <w:szCs w:val="22"/>
                    </w:rPr>
                    <w:t>0,2</w:t>
                  </w:r>
                </w:p>
              </w:tc>
              <w:tc>
                <w:tcPr>
                  <w:tcW w:w="1843"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66016F76" w14:textId="77777777" w:rsidR="008A6B88" w:rsidRPr="001043A6" w:rsidRDefault="008A6B88" w:rsidP="008A6B88">
                  <w:pPr>
                    <w:jc w:val="center"/>
                    <w:rPr>
                      <w:rFonts w:ascii="Garamond" w:hAnsi="Garamond"/>
                      <w:color w:val="000000"/>
                      <w:sz w:val="22"/>
                      <w:szCs w:val="22"/>
                    </w:rPr>
                  </w:pPr>
                  <w:r w:rsidRPr="001043A6">
                    <w:rPr>
                      <w:rFonts w:ascii="Garamond" w:hAnsi="Garamond"/>
                      <w:color w:val="000000"/>
                      <w:sz w:val="22"/>
                      <w:szCs w:val="22"/>
                    </w:rPr>
                    <w:t>1,0</w:t>
                  </w:r>
                </w:p>
              </w:tc>
              <w:tc>
                <w:tcPr>
                  <w:tcW w:w="198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601DF9FA" w14:textId="77777777" w:rsidR="008A6B88" w:rsidRPr="001043A6" w:rsidRDefault="008A6B88" w:rsidP="008A6B88">
                  <w:pPr>
                    <w:jc w:val="center"/>
                    <w:rPr>
                      <w:rFonts w:ascii="Garamond" w:hAnsi="Garamond"/>
                      <w:color w:val="000000"/>
                      <w:sz w:val="22"/>
                      <w:szCs w:val="22"/>
                    </w:rPr>
                  </w:pPr>
                  <w:r w:rsidRPr="001043A6">
                    <w:rPr>
                      <w:rFonts w:ascii="Garamond" w:hAnsi="Garamond"/>
                      <w:color w:val="000000"/>
                      <w:sz w:val="22"/>
                      <w:szCs w:val="22"/>
                    </w:rPr>
                    <w:t>0,2S</w:t>
                  </w:r>
                </w:p>
              </w:tc>
            </w:tr>
            <w:tr w:rsidR="008A6B88" w:rsidRPr="001043A6" w14:paraId="72551B86" w14:textId="77777777" w:rsidTr="00BA2007">
              <w:trPr>
                <w:trHeight w:val="300"/>
              </w:trPr>
              <w:tc>
                <w:tcPr>
                  <w:tcW w:w="96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54A4CAD0" w14:textId="77777777" w:rsidR="008A6B88" w:rsidRPr="001043A6" w:rsidRDefault="008A6B88" w:rsidP="008A6B88">
                  <w:pPr>
                    <w:jc w:val="center"/>
                    <w:rPr>
                      <w:rFonts w:ascii="Garamond" w:hAnsi="Garamond"/>
                      <w:color w:val="000000"/>
                      <w:sz w:val="22"/>
                      <w:szCs w:val="22"/>
                      <w:highlight w:val="yellow"/>
                    </w:rPr>
                  </w:pPr>
                  <w:r w:rsidRPr="001043A6">
                    <w:rPr>
                      <w:rFonts w:ascii="Garamond" w:hAnsi="Garamond"/>
                      <w:color w:val="000000"/>
                      <w:sz w:val="22"/>
                      <w:szCs w:val="22"/>
                      <w:highlight w:val="yellow"/>
                    </w:rPr>
                    <w:t>9</w:t>
                  </w:r>
                </w:p>
              </w:tc>
              <w:tc>
                <w:tcPr>
                  <w:tcW w:w="180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51058021" w14:textId="77777777" w:rsidR="008A6B88" w:rsidRPr="001043A6" w:rsidRDefault="008A6B88" w:rsidP="008A6B88">
                  <w:pPr>
                    <w:jc w:val="center"/>
                    <w:rPr>
                      <w:rFonts w:ascii="Garamond" w:hAnsi="Garamond"/>
                      <w:sz w:val="22"/>
                      <w:szCs w:val="22"/>
                    </w:rPr>
                  </w:pPr>
                  <w:r w:rsidRPr="001043A6">
                    <w:rPr>
                      <w:rFonts w:ascii="Garamond" w:hAnsi="Garamond"/>
                      <w:sz w:val="22"/>
                      <w:szCs w:val="22"/>
                    </w:rPr>
                    <w:t>0,2</w:t>
                  </w:r>
                </w:p>
              </w:tc>
              <w:tc>
                <w:tcPr>
                  <w:tcW w:w="1843"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5B114169" w14:textId="77777777" w:rsidR="008A6B88" w:rsidRPr="001043A6" w:rsidRDefault="008A6B88" w:rsidP="008A6B88">
                  <w:pPr>
                    <w:jc w:val="center"/>
                    <w:rPr>
                      <w:rFonts w:ascii="Garamond" w:hAnsi="Garamond"/>
                      <w:sz w:val="22"/>
                      <w:szCs w:val="22"/>
                    </w:rPr>
                  </w:pPr>
                  <w:r w:rsidRPr="001043A6">
                    <w:rPr>
                      <w:rFonts w:ascii="Garamond" w:hAnsi="Garamond"/>
                      <w:sz w:val="22"/>
                      <w:szCs w:val="22"/>
                    </w:rPr>
                    <w:t>1,0</w:t>
                  </w:r>
                </w:p>
              </w:tc>
              <w:tc>
                <w:tcPr>
                  <w:tcW w:w="198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400747AA" w14:textId="77777777" w:rsidR="008A6B88" w:rsidRPr="001043A6" w:rsidRDefault="008A6B88" w:rsidP="008A6B88">
                  <w:pPr>
                    <w:jc w:val="center"/>
                    <w:rPr>
                      <w:rFonts w:ascii="Garamond" w:hAnsi="Garamond"/>
                      <w:sz w:val="22"/>
                      <w:szCs w:val="22"/>
                    </w:rPr>
                  </w:pPr>
                  <w:r w:rsidRPr="001043A6">
                    <w:rPr>
                      <w:rFonts w:ascii="Garamond" w:hAnsi="Garamond"/>
                      <w:sz w:val="22"/>
                      <w:szCs w:val="22"/>
                    </w:rPr>
                    <w:t>0,5S</w:t>
                  </w:r>
                </w:p>
              </w:tc>
            </w:tr>
            <w:tr w:rsidR="008A6B88" w:rsidRPr="001043A6" w14:paraId="488B3DC3" w14:textId="77777777" w:rsidTr="00316B1B">
              <w:trPr>
                <w:trHeight w:val="300"/>
              </w:trPr>
              <w:tc>
                <w:tcPr>
                  <w:tcW w:w="96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460DCA8E" w14:textId="77777777" w:rsidR="008A6B88" w:rsidRPr="001043A6" w:rsidRDefault="008A6B88" w:rsidP="008A6B88">
                  <w:pPr>
                    <w:jc w:val="center"/>
                    <w:rPr>
                      <w:rFonts w:ascii="Garamond" w:hAnsi="Garamond"/>
                      <w:color w:val="000000"/>
                      <w:sz w:val="22"/>
                      <w:szCs w:val="22"/>
                      <w:highlight w:val="yellow"/>
                      <w:lang w:val="en-US"/>
                    </w:rPr>
                  </w:pPr>
                  <w:r w:rsidRPr="001043A6">
                    <w:rPr>
                      <w:rFonts w:ascii="Garamond" w:hAnsi="Garamond"/>
                      <w:color w:val="000000"/>
                      <w:sz w:val="22"/>
                      <w:szCs w:val="22"/>
                      <w:highlight w:val="yellow"/>
                      <w:lang w:val="en-US"/>
                    </w:rPr>
                    <w:t>10</w:t>
                  </w:r>
                </w:p>
              </w:tc>
              <w:tc>
                <w:tcPr>
                  <w:tcW w:w="180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1A209290" w14:textId="77777777" w:rsidR="008A6B88" w:rsidRPr="001043A6" w:rsidRDefault="008A6B88" w:rsidP="008A6B88">
                  <w:pPr>
                    <w:jc w:val="center"/>
                    <w:rPr>
                      <w:rFonts w:ascii="Garamond" w:hAnsi="Garamond"/>
                      <w:sz w:val="22"/>
                      <w:szCs w:val="22"/>
                      <w:highlight w:val="yellow"/>
                    </w:rPr>
                  </w:pPr>
                  <w:r w:rsidRPr="001043A6">
                    <w:rPr>
                      <w:rFonts w:ascii="Garamond" w:hAnsi="Garamond"/>
                      <w:sz w:val="22"/>
                      <w:szCs w:val="22"/>
                      <w:highlight w:val="yellow"/>
                    </w:rPr>
                    <w:t>0,5S</w:t>
                  </w:r>
                </w:p>
              </w:tc>
              <w:tc>
                <w:tcPr>
                  <w:tcW w:w="1843"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6EA36425" w14:textId="77777777" w:rsidR="008A6B88" w:rsidRPr="001043A6" w:rsidRDefault="008A6B88" w:rsidP="008A6B88">
                  <w:pPr>
                    <w:jc w:val="center"/>
                    <w:rPr>
                      <w:rFonts w:ascii="Garamond" w:hAnsi="Garamond"/>
                      <w:sz w:val="22"/>
                      <w:szCs w:val="22"/>
                      <w:highlight w:val="yellow"/>
                    </w:rPr>
                  </w:pPr>
                  <w:r w:rsidRPr="001043A6">
                    <w:rPr>
                      <w:rFonts w:ascii="Garamond" w:hAnsi="Garamond"/>
                      <w:sz w:val="22"/>
                      <w:szCs w:val="22"/>
                      <w:highlight w:val="yellow"/>
                    </w:rPr>
                    <w:t>1,0</w:t>
                  </w:r>
                </w:p>
              </w:tc>
              <w:tc>
                <w:tcPr>
                  <w:tcW w:w="198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0D45C460" w14:textId="77777777" w:rsidR="008A6B88" w:rsidRPr="001043A6" w:rsidRDefault="008A6B88" w:rsidP="008A6B88">
                  <w:pPr>
                    <w:jc w:val="center"/>
                    <w:rPr>
                      <w:rFonts w:ascii="Garamond" w:hAnsi="Garamond"/>
                      <w:sz w:val="22"/>
                      <w:szCs w:val="22"/>
                      <w:highlight w:val="yellow"/>
                    </w:rPr>
                  </w:pPr>
                  <w:r w:rsidRPr="001043A6">
                    <w:rPr>
                      <w:rFonts w:ascii="Garamond" w:hAnsi="Garamond"/>
                      <w:sz w:val="22"/>
                      <w:szCs w:val="22"/>
                      <w:highlight w:val="yellow"/>
                    </w:rPr>
                    <w:t>0,1S</w:t>
                  </w:r>
                </w:p>
              </w:tc>
            </w:tr>
            <w:tr w:rsidR="008A6B88" w:rsidRPr="001043A6" w14:paraId="30F9FA0B" w14:textId="77777777" w:rsidTr="00BA2007">
              <w:trPr>
                <w:trHeight w:val="300"/>
              </w:trPr>
              <w:tc>
                <w:tcPr>
                  <w:tcW w:w="96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20CD4619" w14:textId="77777777" w:rsidR="008A6B88" w:rsidRPr="001043A6" w:rsidRDefault="008A6B88" w:rsidP="008A6B88">
                  <w:pPr>
                    <w:jc w:val="center"/>
                    <w:rPr>
                      <w:rFonts w:ascii="Garamond" w:hAnsi="Garamond"/>
                      <w:color w:val="000000"/>
                      <w:sz w:val="22"/>
                      <w:szCs w:val="22"/>
                      <w:highlight w:val="yellow"/>
                    </w:rPr>
                  </w:pPr>
                  <w:r w:rsidRPr="001043A6">
                    <w:rPr>
                      <w:rFonts w:ascii="Garamond" w:hAnsi="Garamond"/>
                      <w:color w:val="000000"/>
                      <w:sz w:val="22"/>
                      <w:szCs w:val="22"/>
                      <w:highlight w:val="yellow"/>
                    </w:rPr>
                    <w:t>11</w:t>
                  </w:r>
                </w:p>
              </w:tc>
              <w:tc>
                <w:tcPr>
                  <w:tcW w:w="180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7E06E1E7" w14:textId="77777777" w:rsidR="008A6B88" w:rsidRPr="001043A6" w:rsidRDefault="008A6B88" w:rsidP="008A6B88">
                  <w:pPr>
                    <w:jc w:val="center"/>
                    <w:rPr>
                      <w:rFonts w:ascii="Garamond" w:hAnsi="Garamond"/>
                      <w:sz w:val="22"/>
                      <w:szCs w:val="22"/>
                    </w:rPr>
                  </w:pPr>
                  <w:r w:rsidRPr="001043A6">
                    <w:rPr>
                      <w:rFonts w:ascii="Garamond" w:hAnsi="Garamond"/>
                      <w:sz w:val="22"/>
                      <w:szCs w:val="22"/>
                    </w:rPr>
                    <w:t>0,5S</w:t>
                  </w:r>
                </w:p>
              </w:tc>
              <w:tc>
                <w:tcPr>
                  <w:tcW w:w="1843"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69155D4A" w14:textId="77777777" w:rsidR="008A6B88" w:rsidRPr="001043A6" w:rsidRDefault="008A6B88" w:rsidP="008A6B88">
                  <w:pPr>
                    <w:jc w:val="center"/>
                    <w:rPr>
                      <w:rFonts w:ascii="Garamond" w:hAnsi="Garamond"/>
                      <w:sz w:val="22"/>
                      <w:szCs w:val="22"/>
                    </w:rPr>
                  </w:pPr>
                  <w:r w:rsidRPr="001043A6">
                    <w:rPr>
                      <w:rFonts w:ascii="Garamond" w:hAnsi="Garamond"/>
                      <w:sz w:val="22"/>
                      <w:szCs w:val="22"/>
                    </w:rPr>
                    <w:t>1,0</w:t>
                  </w:r>
                </w:p>
              </w:tc>
              <w:tc>
                <w:tcPr>
                  <w:tcW w:w="198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73A8E22E" w14:textId="77777777" w:rsidR="008A6B88" w:rsidRPr="001043A6" w:rsidRDefault="008A6B88" w:rsidP="008A6B88">
                  <w:pPr>
                    <w:jc w:val="center"/>
                    <w:rPr>
                      <w:rFonts w:ascii="Garamond" w:hAnsi="Garamond"/>
                      <w:sz w:val="22"/>
                      <w:szCs w:val="22"/>
                    </w:rPr>
                  </w:pPr>
                  <w:r w:rsidRPr="001043A6">
                    <w:rPr>
                      <w:rFonts w:ascii="Garamond" w:hAnsi="Garamond"/>
                      <w:sz w:val="22"/>
                      <w:szCs w:val="22"/>
                    </w:rPr>
                    <w:t>0,2S</w:t>
                  </w:r>
                </w:p>
              </w:tc>
            </w:tr>
          </w:tbl>
          <w:p w14:paraId="00FA513D" w14:textId="77777777" w:rsidR="00E11B82" w:rsidRPr="001043A6" w:rsidRDefault="00E11B82" w:rsidP="00BA2007">
            <w:pPr>
              <w:tabs>
                <w:tab w:val="num" w:pos="792"/>
                <w:tab w:val="left" w:pos="1080"/>
                <w:tab w:val="num" w:pos="1134"/>
                <w:tab w:val="left" w:pos="8100"/>
              </w:tabs>
              <w:suppressAutoHyphens w:val="0"/>
              <w:spacing w:line="22" w:lineRule="atLeast"/>
              <w:jc w:val="both"/>
              <w:rPr>
                <w:rFonts w:ascii="Garamond" w:hAnsi="Garamond"/>
                <w:sz w:val="22"/>
                <w:szCs w:val="22"/>
              </w:rPr>
            </w:pPr>
          </w:p>
        </w:tc>
      </w:tr>
      <w:tr w:rsidR="009F33C2" w:rsidRPr="001043A6" w14:paraId="6AAD471F" w14:textId="77777777" w:rsidTr="001043A6">
        <w:tc>
          <w:tcPr>
            <w:tcW w:w="1031" w:type="dxa"/>
          </w:tcPr>
          <w:p w14:paraId="33407CC6" w14:textId="25DFB190" w:rsidR="009F33C2" w:rsidRPr="001043A6" w:rsidRDefault="009F33C2" w:rsidP="008C41A8">
            <w:pPr>
              <w:widowControl w:val="0"/>
              <w:spacing w:line="259" w:lineRule="auto"/>
              <w:jc w:val="center"/>
              <w:rPr>
                <w:rFonts w:ascii="Garamond" w:hAnsi="Garamond"/>
                <w:b/>
                <w:sz w:val="22"/>
                <w:szCs w:val="22"/>
                <w:lang w:eastAsia="en-US"/>
              </w:rPr>
            </w:pPr>
            <w:r w:rsidRPr="001043A6">
              <w:rPr>
                <w:rFonts w:ascii="Garamond" w:hAnsi="Garamond"/>
                <w:b/>
                <w:sz w:val="22"/>
                <w:szCs w:val="22"/>
                <w:lang w:val="en-US" w:eastAsia="en-US"/>
              </w:rPr>
              <w:lastRenderedPageBreak/>
              <w:t>3</w:t>
            </w:r>
            <w:r w:rsidRPr="001043A6">
              <w:rPr>
                <w:rFonts w:ascii="Garamond" w:hAnsi="Garamond"/>
                <w:b/>
                <w:sz w:val="22"/>
                <w:szCs w:val="22"/>
                <w:lang w:eastAsia="en-US"/>
              </w:rPr>
              <w:t>.2.3</w:t>
            </w:r>
          </w:p>
        </w:tc>
        <w:tc>
          <w:tcPr>
            <w:tcW w:w="6833" w:type="dxa"/>
          </w:tcPr>
          <w:p w14:paraId="4BFF8EA9" w14:textId="77777777" w:rsidR="009F33C2" w:rsidRPr="001043A6" w:rsidRDefault="009F33C2" w:rsidP="00821ED7">
            <w:pPr>
              <w:tabs>
                <w:tab w:val="left" w:pos="1080"/>
                <w:tab w:val="num" w:pos="1276"/>
                <w:tab w:val="left" w:pos="1320"/>
              </w:tabs>
              <w:suppressAutoHyphens w:val="0"/>
              <w:spacing w:line="22" w:lineRule="atLeast"/>
              <w:ind w:firstLine="629"/>
              <w:jc w:val="both"/>
              <w:rPr>
                <w:rFonts w:ascii="Garamond" w:hAnsi="Garamond"/>
                <w:sz w:val="22"/>
                <w:szCs w:val="22"/>
              </w:rPr>
            </w:pPr>
            <w:r w:rsidRPr="001043A6">
              <w:rPr>
                <w:rFonts w:ascii="Garamond" w:hAnsi="Garamond"/>
                <w:sz w:val="22"/>
                <w:szCs w:val="22"/>
              </w:rPr>
              <w:t xml:space="preserve">В случае использования трансформатора напряжения только в целях коммерческого учета необходимо обеспечить контроль целостности вторичных цепей трансформатора напряжения. (Требование данного пункта не обязательно при применении </w:t>
            </w:r>
            <w:r w:rsidRPr="001043A6">
              <w:rPr>
                <w:rFonts w:ascii="Garamond" w:hAnsi="Garamond"/>
                <w:sz w:val="22"/>
                <w:szCs w:val="22"/>
                <w:highlight w:val="yellow"/>
              </w:rPr>
              <w:t>электросчетчиков</w:t>
            </w:r>
            <w:r w:rsidRPr="001043A6">
              <w:rPr>
                <w:rFonts w:ascii="Garamond" w:hAnsi="Garamond"/>
                <w:sz w:val="22"/>
                <w:szCs w:val="22"/>
              </w:rPr>
              <w:t>, реализующих функцию контроля наличия напряжения с фиксацией в «Журнале событий».)</w:t>
            </w:r>
          </w:p>
        </w:tc>
        <w:tc>
          <w:tcPr>
            <w:tcW w:w="7115" w:type="dxa"/>
          </w:tcPr>
          <w:p w14:paraId="2610B99B" w14:textId="77777777" w:rsidR="009F33C2" w:rsidRPr="001043A6" w:rsidRDefault="009F33C2" w:rsidP="00821ED7">
            <w:pPr>
              <w:tabs>
                <w:tab w:val="left" w:pos="1080"/>
                <w:tab w:val="num" w:pos="1276"/>
                <w:tab w:val="left" w:pos="1320"/>
              </w:tabs>
              <w:suppressAutoHyphens w:val="0"/>
              <w:spacing w:line="22" w:lineRule="atLeast"/>
              <w:ind w:firstLine="629"/>
              <w:jc w:val="both"/>
              <w:rPr>
                <w:rFonts w:ascii="Garamond" w:hAnsi="Garamond"/>
                <w:sz w:val="22"/>
                <w:szCs w:val="22"/>
              </w:rPr>
            </w:pPr>
            <w:r w:rsidRPr="001043A6">
              <w:rPr>
                <w:rFonts w:ascii="Garamond" w:hAnsi="Garamond"/>
                <w:sz w:val="22"/>
                <w:szCs w:val="22"/>
              </w:rPr>
              <w:t xml:space="preserve">В случае использования трансформатора напряжения только в целях коммерческого учета необходимо обеспечить контроль целостности вторичных цепей трансформатора напряжения. (Требование данного пункта не обязательно при применении </w:t>
            </w:r>
            <w:r w:rsidRPr="001043A6">
              <w:rPr>
                <w:rFonts w:ascii="Garamond" w:hAnsi="Garamond"/>
                <w:sz w:val="22"/>
                <w:szCs w:val="22"/>
                <w:highlight w:val="yellow"/>
              </w:rPr>
              <w:t>приборов учета</w:t>
            </w:r>
            <w:r w:rsidRPr="001043A6">
              <w:rPr>
                <w:rFonts w:ascii="Garamond" w:hAnsi="Garamond"/>
                <w:sz w:val="22"/>
                <w:szCs w:val="22"/>
              </w:rPr>
              <w:t>, реализующих функцию контроля наличия напряжения с фиксацией в «Журнале событий».)</w:t>
            </w:r>
          </w:p>
        </w:tc>
      </w:tr>
      <w:tr w:rsidR="000C1CDA" w:rsidRPr="001043A6" w14:paraId="050499C3" w14:textId="77777777" w:rsidTr="001043A6">
        <w:tc>
          <w:tcPr>
            <w:tcW w:w="1031" w:type="dxa"/>
          </w:tcPr>
          <w:p w14:paraId="148E6BF9" w14:textId="3AE00934" w:rsidR="000C1CDA" w:rsidRPr="001043A6" w:rsidRDefault="000C1CDA" w:rsidP="008C41A8">
            <w:pPr>
              <w:widowControl w:val="0"/>
              <w:spacing w:line="259" w:lineRule="auto"/>
              <w:jc w:val="center"/>
              <w:rPr>
                <w:rFonts w:ascii="Garamond" w:hAnsi="Garamond"/>
                <w:b/>
                <w:sz w:val="22"/>
                <w:szCs w:val="22"/>
                <w:lang w:eastAsia="en-US"/>
              </w:rPr>
            </w:pPr>
            <w:r w:rsidRPr="001043A6">
              <w:rPr>
                <w:rFonts w:ascii="Garamond" w:hAnsi="Garamond"/>
                <w:b/>
                <w:sz w:val="22"/>
                <w:szCs w:val="22"/>
                <w:lang w:eastAsia="en-US"/>
              </w:rPr>
              <w:t>3.3.1</w:t>
            </w:r>
          </w:p>
        </w:tc>
        <w:tc>
          <w:tcPr>
            <w:tcW w:w="6833" w:type="dxa"/>
          </w:tcPr>
          <w:p w14:paraId="36D0DEAA" w14:textId="77777777" w:rsidR="000C1CDA" w:rsidRPr="001043A6" w:rsidRDefault="000C1CDA" w:rsidP="00821ED7">
            <w:pPr>
              <w:tabs>
                <w:tab w:val="left" w:pos="1080"/>
                <w:tab w:val="num" w:pos="1276"/>
                <w:tab w:val="left" w:pos="1320"/>
              </w:tabs>
              <w:suppressAutoHyphens w:val="0"/>
              <w:spacing w:line="22" w:lineRule="atLeast"/>
              <w:ind w:firstLine="629"/>
              <w:jc w:val="both"/>
              <w:rPr>
                <w:rFonts w:ascii="Garamond" w:hAnsi="Garamond"/>
                <w:sz w:val="22"/>
                <w:szCs w:val="22"/>
              </w:rPr>
            </w:pPr>
            <w:r w:rsidRPr="001043A6">
              <w:rPr>
                <w:rFonts w:ascii="Garamond" w:hAnsi="Garamond"/>
                <w:sz w:val="22"/>
                <w:szCs w:val="22"/>
              </w:rPr>
              <w:t xml:space="preserve">Потери напряжения в цепи «трансформатор напряжения – </w:t>
            </w:r>
            <w:r w:rsidRPr="001043A6">
              <w:rPr>
                <w:rFonts w:ascii="Garamond" w:hAnsi="Garamond"/>
                <w:sz w:val="22"/>
                <w:szCs w:val="22"/>
                <w:highlight w:val="yellow"/>
              </w:rPr>
              <w:t>электросчетчик</w:t>
            </w:r>
            <w:r w:rsidRPr="001043A6">
              <w:rPr>
                <w:rFonts w:ascii="Garamond" w:hAnsi="Garamond"/>
                <w:sz w:val="22"/>
                <w:szCs w:val="22"/>
              </w:rPr>
              <w:t>» не должны превышать 0,25 % номинального вторичного напряжения трансформатора напряжения (требования данного пункта применяются только к вторичным аналоговым измерительным цепям).</w:t>
            </w:r>
          </w:p>
        </w:tc>
        <w:tc>
          <w:tcPr>
            <w:tcW w:w="7115" w:type="dxa"/>
          </w:tcPr>
          <w:p w14:paraId="05FAE3DF" w14:textId="77777777" w:rsidR="000C1CDA" w:rsidRPr="001043A6" w:rsidRDefault="000C1CDA" w:rsidP="00821ED7">
            <w:pPr>
              <w:tabs>
                <w:tab w:val="left" w:pos="1080"/>
                <w:tab w:val="num" w:pos="1276"/>
                <w:tab w:val="left" w:pos="1320"/>
              </w:tabs>
              <w:suppressAutoHyphens w:val="0"/>
              <w:spacing w:line="22" w:lineRule="atLeast"/>
              <w:ind w:firstLine="629"/>
              <w:jc w:val="both"/>
              <w:rPr>
                <w:rFonts w:ascii="Garamond" w:hAnsi="Garamond"/>
                <w:sz w:val="22"/>
                <w:szCs w:val="22"/>
              </w:rPr>
            </w:pPr>
            <w:r w:rsidRPr="001043A6">
              <w:rPr>
                <w:rFonts w:ascii="Garamond" w:hAnsi="Garamond"/>
                <w:sz w:val="22"/>
                <w:szCs w:val="22"/>
              </w:rPr>
              <w:t xml:space="preserve">Потери напряжения в цепи «трансформатор напряжения – </w:t>
            </w:r>
            <w:r w:rsidRPr="001043A6">
              <w:rPr>
                <w:rFonts w:ascii="Garamond" w:hAnsi="Garamond"/>
                <w:sz w:val="22"/>
                <w:szCs w:val="22"/>
                <w:highlight w:val="yellow"/>
              </w:rPr>
              <w:t>прибор учета</w:t>
            </w:r>
            <w:r w:rsidRPr="001043A6">
              <w:rPr>
                <w:rFonts w:ascii="Garamond" w:hAnsi="Garamond"/>
                <w:sz w:val="22"/>
                <w:szCs w:val="22"/>
              </w:rPr>
              <w:t>» не должны превышать 0,25 % номинального вторичного напряжения трансформатора напряжения (требования данного пункта применяются только к вторичным аналоговым измерительным цепям).</w:t>
            </w:r>
          </w:p>
        </w:tc>
      </w:tr>
      <w:tr w:rsidR="00821ED7" w:rsidRPr="001043A6" w14:paraId="53DBC9F2" w14:textId="77777777" w:rsidTr="001043A6">
        <w:tc>
          <w:tcPr>
            <w:tcW w:w="1031" w:type="dxa"/>
          </w:tcPr>
          <w:p w14:paraId="1C8B86B7" w14:textId="77777777" w:rsidR="00821ED7" w:rsidRPr="001043A6" w:rsidRDefault="00821ED7" w:rsidP="00E11B82">
            <w:pPr>
              <w:widowControl w:val="0"/>
              <w:spacing w:line="259" w:lineRule="auto"/>
              <w:jc w:val="center"/>
              <w:rPr>
                <w:rFonts w:ascii="Garamond" w:hAnsi="Garamond"/>
                <w:b/>
                <w:sz w:val="22"/>
                <w:szCs w:val="22"/>
                <w:lang w:eastAsia="en-US"/>
              </w:rPr>
            </w:pPr>
            <w:r w:rsidRPr="001043A6">
              <w:rPr>
                <w:rFonts w:ascii="Garamond" w:hAnsi="Garamond"/>
                <w:b/>
                <w:sz w:val="22"/>
                <w:szCs w:val="22"/>
                <w:lang w:eastAsia="en-US"/>
              </w:rPr>
              <w:t>3.4</w:t>
            </w:r>
          </w:p>
        </w:tc>
        <w:tc>
          <w:tcPr>
            <w:tcW w:w="6833" w:type="dxa"/>
          </w:tcPr>
          <w:p w14:paraId="2FBBC8CA" w14:textId="77777777" w:rsidR="008867A5" w:rsidRPr="001043A6" w:rsidRDefault="008867A5" w:rsidP="00101F7C">
            <w:pPr>
              <w:pStyle w:val="ac"/>
              <w:numPr>
                <w:ilvl w:val="1"/>
                <w:numId w:val="95"/>
              </w:numPr>
              <w:tabs>
                <w:tab w:val="left" w:pos="0"/>
                <w:tab w:val="left" w:pos="1200"/>
              </w:tabs>
              <w:spacing w:line="22" w:lineRule="atLeast"/>
              <w:ind w:left="0" w:firstLine="629"/>
              <w:rPr>
                <w:rFonts w:ascii="Garamond" w:hAnsi="Garamond"/>
                <w:bCs/>
                <w:sz w:val="22"/>
                <w:szCs w:val="22"/>
              </w:rPr>
            </w:pPr>
            <w:r w:rsidRPr="001043A6">
              <w:rPr>
                <w:rFonts w:ascii="Garamond" w:hAnsi="Garamond"/>
                <w:bCs/>
                <w:sz w:val="22"/>
                <w:szCs w:val="22"/>
              </w:rPr>
              <w:t xml:space="preserve">Требования к </w:t>
            </w:r>
            <w:r w:rsidRPr="001043A6">
              <w:rPr>
                <w:rFonts w:ascii="Garamond" w:hAnsi="Garamond"/>
                <w:bCs/>
                <w:sz w:val="22"/>
                <w:szCs w:val="22"/>
                <w:highlight w:val="yellow"/>
              </w:rPr>
              <w:t>счетчикам</w:t>
            </w:r>
            <w:r w:rsidRPr="001043A6">
              <w:rPr>
                <w:rFonts w:ascii="Garamond" w:hAnsi="Garamond"/>
                <w:bCs/>
                <w:sz w:val="22"/>
                <w:szCs w:val="22"/>
              </w:rPr>
              <w:t xml:space="preserve"> </w:t>
            </w:r>
            <w:r w:rsidRPr="001043A6">
              <w:rPr>
                <w:rFonts w:ascii="Garamond" w:hAnsi="Garamond"/>
                <w:bCs/>
                <w:sz w:val="22"/>
                <w:szCs w:val="22"/>
                <w:highlight w:val="yellow"/>
              </w:rPr>
              <w:t>электроэнергии</w:t>
            </w:r>
          </w:p>
          <w:p w14:paraId="5212AA99" w14:textId="77777777" w:rsidR="008867A5" w:rsidRPr="001043A6" w:rsidRDefault="008867A5" w:rsidP="00101F7C">
            <w:pPr>
              <w:numPr>
                <w:ilvl w:val="2"/>
                <w:numId w:val="93"/>
              </w:numPr>
              <w:tabs>
                <w:tab w:val="left" w:pos="480"/>
                <w:tab w:val="left" w:pos="1200"/>
                <w:tab w:val="left" w:pos="8100"/>
              </w:tabs>
              <w:suppressAutoHyphens w:val="0"/>
              <w:spacing w:line="22" w:lineRule="atLeast"/>
              <w:ind w:left="0" w:firstLine="600"/>
              <w:jc w:val="both"/>
              <w:rPr>
                <w:rFonts w:ascii="Garamond" w:hAnsi="Garamond"/>
                <w:sz w:val="22"/>
                <w:szCs w:val="22"/>
              </w:rPr>
            </w:pPr>
            <w:r w:rsidRPr="001043A6">
              <w:rPr>
                <w:rFonts w:ascii="Garamond" w:hAnsi="Garamond"/>
                <w:sz w:val="22"/>
                <w:szCs w:val="22"/>
              </w:rPr>
              <w:t>Класс</w:t>
            </w:r>
            <w:r w:rsidRPr="001043A6">
              <w:rPr>
                <w:rFonts w:ascii="Garamond" w:hAnsi="Garamond"/>
                <w:bCs/>
                <w:sz w:val="22"/>
                <w:szCs w:val="22"/>
              </w:rPr>
              <w:t xml:space="preserve"> то</w:t>
            </w:r>
            <w:r w:rsidRPr="001043A6">
              <w:rPr>
                <w:rFonts w:ascii="Garamond" w:hAnsi="Garamond"/>
                <w:sz w:val="22"/>
                <w:szCs w:val="22"/>
              </w:rPr>
              <w:t xml:space="preserve">чности – не хуже 0,5S по активной </w:t>
            </w:r>
            <w:r w:rsidRPr="001043A6">
              <w:rPr>
                <w:rFonts w:ascii="Garamond" w:hAnsi="Garamond"/>
                <w:sz w:val="22"/>
                <w:szCs w:val="22"/>
                <w:highlight w:val="yellow"/>
              </w:rPr>
              <w:t>электрической энергии</w:t>
            </w:r>
            <w:r w:rsidRPr="001043A6">
              <w:rPr>
                <w:rFonts w:ascii="Garamond" w:hAnsi="Garamond"/>
                <w:sz w:val="22"/>
                <w:szCs w:val="22"/>
              </w:rPr>
              <w:t xml:space="preserve">. Допускается применять счетчики прямого включения (без применения в составе ИИК измерительных трансформаторов тока и напряжения) с классом точности не хуже 1,0 по активной </w:t>
            </w:r>
            <w:r w:rsidRPr="001043A6">
              <w:rPr>
                <w:rFonts w:ascii="Garamond" w:hAnsi="Garamond"/>
                <w:sz w:val="22"/>
                <w:szCs w:val="22"/>
                <w:highlight w:val="yellow"/>
              </w:rPr>
              <w:t>электрической энергии</w:t>
            </w:r>
            <w:r w:rsidRPr="001043A6">
              <w:rPr>
                <w:rFonts w:ascii="Garamond" w:hAnsi="Garamond"/>
                <w:sz w:val="22"/>
                <w:szCs w:val="22"/>
              </w:rPr>
              <w:t>.</w:t>
            </w:r>
          </w:p>
          <w:p w14:paraId="312798C8" w14:textId="77777777" w:rsidR="008867A5" w:rsidRPr="001043A6" w:rsidRDefault="008867A5" w:rsidP="008867A5">
            <w:pPr>
              <w:widowControl w:val="0"/>
              <w:spacing w:line="22" w:lineRule="atLeast"/>
              <w:ind w:firstLine="600"/>
              <w:jc w:val="both"/>
              <w:rPr>
                <w:rFonts w:ascii="Garamond" w:hAnsi="Garamond"/>
                <w:sz w:val="22"/>
                <w:szCs w:val="22"/>
              </w:rPr>
            </w:pPr>
            <w:r w:rsidRPr="001043A6">
              <w:rPr>
                <w:rFonts w:ascii="Garamond" w:hAnsi="Garamond"/>
                <w:sz w:val="22"/>
                <w:szCs w:val="22"/>
                <w:highlight w:val="yellow"/>
              </w:rPr>
              <w:lastRenderedPageBreak/>
              <w:t>Для счетчиков с возможностью измерений количества реактивной электрической энергии класс точности по реактивной электрической энергии должен быть не хуже 1,0 для счетчиков трансформаторного включения и не хуже 2,0 для счетчиков прямого включения.</w:t>
            </w:r>
            <w:r w:rsidRPr="001043A6">
              <w:rPr>
                <w:rFonts w:ascii="Garamond" w:hAnsi="Garamond"/>
                <w:sz w:val="22"/>
                <w:szCs w:val="22"/>
              </w:rPr>
              <w:t xml:space="preserve"> Указанные требования к классу точности </w:t>
            </w:r>
            <w:r w:rsidRPr="001043A6">
              <w:rPr>
                <w:rFonts w:ascii="Garamond" w:hAnsi="Garamond"/>
                <w:sz w:val="22"/>
                <w:szCs w:val="22"/>
                <w:highlight w:val="yellow"/>
              </w:rPr>
              <w:t>счетчиков с возможностью</w:t>
            </w:r>
            <w:r w:rsidRPr="001043A6">
              <w:rPr>
                <w:rFonts w:ascii="Garamond" w:hAnsi="Garamond"/>
                <w:sz w:val="22"/>
                <w:szCs w:val="22"/>
              </w:rPr>
              <w:t xml:space="preserve"> измерений количества реактивной </w:t>
            </w:r>
            <w:r w:rsidRPr="001043A6">
              <w:rPr>
                <w:rFonts w:ascii="Garamond" w:hAnsi="Garamond"/>
                <w:sz w:val="22"/>
                <w:szCs w:val="22"/>
                <w:highlight w:val="yellow"/>
              </w:rPr>
              <w:t>электрической энергии</w:t>
            </w:r>
            <w:r w:rsidRPr="001043A6">
              <w:rPr>
                <w:rFonts w:ascii="Garamond" w:hAnsi="Garamond"/>
                <w:sz w:val="22"/>
                <w:szCs w:val="22"/>
              </w:rPr>
              <w:t xml:space="preserve"> применяются только в случае кодирования </w:t>
            </w:r>
            <w:r w:rsidRPr="001043A6">
              <w:rPr>
                <w:rFonts w:ascii="Garamond" w:hAnsi="Garamond"/>
                <w:sz w:val="22"/>
                <w:szCs w:val="22"/>
                <w:highlight w:val="yellow"/>
              </w:rPr>
              <w:t>КО</w:t>
            </w:r>
            <w:r w:rsidRPr="001043A6">
              <w:rPr>
                <w:rFonts w:ascii="Garamond" w:hAnsi="Garamond"/>
                <w:sz w:val="22"/>
                <w:szCs w:val="22"/>
              </w:rPr>
              <w:t xml:space="preserve"> соответствующих измерительных каналов.</w:t>
            </w:r>
          </w:p>
          <w:p w14:paraId="571D0B65" w14:textId="77777777" w:rsidR="008867A5" w:rsidRPr="001043A6" w:rsidRDefault="008867A5" w:rsidP="00101F7C">
            <w:pPr>
              <w:numPr>
                <w:ilvl w:val="2"/>
                <w:numId w:val="93"/>
              </w:numPr>
              <w:tabs>
                <w:tab w:val="left" w:pos="600"/>
                <w:tab w:val="left" w:pos="1200"/>
                <w:tab w:val="left" w:pos="8100"/>
              </w:tabs>
              <w:suppressAutoHyphens w:val="0"/>
              <w:spacing w:line="22" w:lineRule="atLeast"/>
              <w:ind w:left="0" w:firstLine="600"/>
              <w:jc w:val="both"/>
              <w:rPr>
                <w:rFonts w:ascii="Garamond" w:hAnsi="Garamond"/>
                <w:sz w:val="22"/>
                <w:szCs w:val="22"/>
              </w:rPr>
            </w:pPr>
            <w:r w:rsidRPr="001043A6">
              <w:rPr>
                <w:rFonts w:ascii="Garamond" w:hAnsi="Garamond"/>
                <w:bCs/>
                <w:sz w:val="22"/>
                <w:szCs w:val="22"/>
              </w:rPr>
              <w:t>Подключение</w:t>
            </w:r>
            <w:r w:rsidRPr="001043A6">
              <w:rPr>
                <w:rFonts w:ascii="Garamond" w:hAnsi="Garamond"/>
                <w:sz w:val="22"/>
                <w:szCs w:val="22"/>
              </w:rPr>
              <w:t xml:space="preserve"> по цифровым интерфейсам для автономного считывания результатов измерений и «Журнала событий», удаленного доступа и параметрирования.</w:t>
            </w:r>
          </w:p>
          <w:p w14:paraId="104AFA43" w14:textId="77777777" w:rsidR="008867A5" w:rsidRPr="001043A6" w:rsidRDefault="008867A5" w:rsidP="00101F7C">
            <w:pPr>
              <w:numPr>
                <w:ilvl w:val="2"/>
                <w:numId w:val="93"/>
              </w:numPr>
              <w:tabs>
                <w:tab w:val="left" w:pos="600"/>
                <w:tab w:val="left" w:pos="1200"/>
                <w:tab w:val="left" w:pos="8100"/>
              </w:tabs>
              <w:suppressAutoHyphens w:val="0"/>
              <w:spacing w:line="22" w:lineRule="atLeast"/>
              <w:ind w:left="0" w:firstLine="600"/>
              <w:jc w:val="both"/>
              <w:rPr>
                <w:rFonts w:ascii="Garamond" w:hAnsi="Garamond"/>
                <w:sz w:val="22"/>
                <w:szCs w:val="22"/>
              </w:rPr>
            </w:pPr>
            <w:r w:rsidRPr="001043A6">
              <w:rPr>
                <w:rFonts w:ascii="Garamond" w:hAnsi="Garamond"/>
                <w:bCs/>
                <w:sz w:val="22"/>
                <w:szCs w:val="22"/>
              </w:rPr>
              <w:t>Наличие энергонезависимой</w:t>
            </w:r>
            <w:r w:rsidRPr="001043A6">
              <w:rPr>
                <w:rFonts w:ascii="Garamond" w:hAnsi="Garamond"/>
                <w:sz w:val="22"/>
                <w:szCs w:val="22"/>
              </w:rPr>
              <w:t xml:space="preserve"> памяти для хранения профиля нагрузки с получасовым интервалом на глубину не менее 45 суток, данных по активной и реактивной электроэнергии с нарастающим итогом на начало расчетного периода.</w:t>
            </w:r>
            <w:r w:rsidRPr="001043A6">
              <w:rPr>
                <w:rFonts w:ascii="Garamond" w:hAnsi="Garamond"/>
                <w:color w:val="FF0000"/>
                <w:sz w:val="22"/>
                <w:szCs w:val="22"/>
              </w:rPr>
              <w:t xml:space="preserve"> </w:t>
            </w:r>
          </w:p>
          <w:p w14:paraId="276F8447" w14:textId="77777777" w:rsidR="008867A5" w:rsidRPr="001043A6" w:rsidRDefault="008867A5" w:rsidP="00101F7C">
            <w:pPr>
              <w:numPr>
                <w:ilvl w:val="2"/>
                <w:numId w:val="93"/>
              </w:numPr>
              <w:tabs>
                <w:tab w:val="left" w:pos="600"/>
                <w:tab w:val="left" w:pos="1200"/>
                <w:tab w:val="left" w:pos="8100"/>
              </w:tabs>
              <w:suppressAutoHyphens w:val="0"/>
              <w:spacing w:line="22" w:lineRule="atLeast"/>
              <w:ind w:left="0" w:firstLine="600"/>
              <w:jc w:val="both"/>
              <w:rPr>
                <w:rFonts w:ascii="Garamond" w:hAnsi="Garamond"/>
                <w:sz w:val="22"/>
                <w:szCs w:val="22"/>
              </w:rPr>
            </w:pPr>
            <w:r w:rsidRPr="001043A6">
              <w:rPr>
                <w:rFonts w:ascii="Garamond" w:hAnsi="Garamond"/>
                <w:sz w:val="22"/>
                <w:szCs w:val="22"/>
              </w:rPr>
              <w:t xml:space="preserve">Наличие энергонезависимых часов, обеспечивающих ведение даты и времени (точность хода не хуже </w:t>
            </w:r>
            <w:r w:rsidRPr="001043A6">
              <w:rPr>
                <w:rFonts w:ascii="Garamond" w:hAnsi="Garamond"/>
                <w:sz w:val="22"/>
                <w:szCs w:val="22"/>
              </w:rPr>
              <w:sym w:font="Symbol" w:char="F0B1"/>
            </w:r>
            <w:r w:rsidRPr="001043A6">
              <w:rPr>
                <w:rFonts w:ascii="Garamond" w:hAnsi="Garamond"/>
                <w:sz w:val="22"/>
                <w:szCs w:val="22"/>
              </w:rPr>
              <w:t>5,0 с/сут с внешней автоматической коррекцией, работающей в составе СОЕВ).</w:t>
            </w:r>
          </w:p>
          <w:p w14:paraId="7C326A83" w14:textId="77777777" w:rsidR="008867A5" w:rsidRPr="001043A6" w:rsidRDefault="008867A5" w:rsidP="00101F7C">
            <w:pPr>
              <w:numPr>
                <w:ilvl w:val="2"/>
                <w:numId w:val="93"/>
              </w:numPr>
              <w:tabs>
                <w:tab w:val="left" w:pos="600"/>
                <w:tab w:val="left" w:pos="1200"/>
                <w:tab w:val="left" w:pos="8100"/>
              </w:tabs>
              <w:suppressAutoHyphens w:val="0"/>
              <w:spacing w:line="22" w:lineRule="atLeast"/>
              <w:ind w:left="0" w:firstLine="600"/>
              <w:jc w:val="both"/>
              <w:rPr>
                <w:rFonts w:ascii="Garamond" w:hAnsi="Garamond"/>
                <w:sz w:val="22"/>
                <w:szCs w:val="22"/>
              </w:rPr>
            </w:pPr>
            <w:r w:rsidRPr="001043A6">
              <w:rPr>
                <w:rFonts w:ascii="Garamond" w:hAnsi="Garamond"/>
                <w:sz w:val="22"/>
                <w:szCs w:val="22"/>
              </w:rPr>
              <w:t xml:space="preserve">Автоматическое ведение «Журнала событий» </w:t>
            </w:r>
            <w:r w:rsidRPr="001043A6">
              <w:rPr>
                <w:rFonts w:ascii="Garamond" w:hAnsi="Garamond"/>
                <w:sz w:val="22"/>
                <w:szCs w:val="22"/>
                <w:highlight w:val="yellow"/>
              </w:rPr>
              <w:t>счетчика</w:t>
            </w:r>
            <w:r w:rsidRPr="001043A6">
              <w:rPr>
                <w:rFonts w:ascii="Garamond" w:hAnsi="Garamond"/>
                <w:sz w:val="22"/>
                <w:szCs w:val="22"/>
              </w:rPr>
              <w:t>, фиксирующего время и даты наступления событий:</w:t>
            </w:r>
          </w:p>
          <w:p w14:paraId="352D11CF" w14:textId="77777777" w:rsidR="008867A5" w:rsidRPr="001043A6" w:rsidRDefault="008867A5" w:rsidP="00101F7C">
            <w:pPr>
              <w:numPr>
                <w:ilvl w:val="2"/>
                <w:numId w:val="94"/>
              </w:numPr>
              <w:tabs>
                <w:tab w:val="left" w:pos="600"/>
                <w:tab w:val="left" w:pos="1200"/>
              </w:tabs>
              <w:suppressAutoHyphens w:val="0"/>
              <w:spacing w:line="22" w:lineRule="atLeast"/>
              <w:ind w:left="0" w:firstLine="600"/>
              <w:jc w:val="both"/>
              <w:rPr>
                <w:rFonts w:ascii="Garamond" w:hAnsi="Garamond"/>
                <w:sz w:val="22"/>
                <w:szCs w:val="22"/>
              </w:rPr>
            </w:pPr>
            <w:r w:rsidRPr="001043A6">
              <w:rPr>
                <w:rFonts w:ascii="Garamond" w:hAnsi="Garamond"/>
                <w:sz w:val="22"/>
                <w:szCs w:val="22"/>
              </w:rPr>
              <w:t>факты связи с</w:t>
            </w:r>
            <w:r w:rsidRPr="001043A6">
              <w:rPr>
                <w:rFonts w:ascii="Garamond" w:hAnsi="Garamond"/>
                <w:sz w:val="22"/>
                <w:szCs w:val="22"/>
                <w:highlight w:val="yellow"/>
              </w:rPr>
              <w:t>о</w:t>
            </w:r>
            <w:r w:rsidRPr="001043A6">
              <w:rPr>
                <w:rFonts w:ascii="Garamond" w:hAnsi="Garamond"/>
                <w:sz w:val="22"/>
                <w:szCs w:val="22"/>
              </w:rPr>
              <w:t xml:space="preserve"> </w:t>
            </w:r>
            <w:r w:rsidRPr="001043A6">
              <w:rPr>
                <w:rFonts w:ascii="Garamond" w:hAnsi="Garamond"/>
                <w:sz w:val="22"/>
                <w:szCs w:val="22"/>
                <w:highlight w:val="yellow"/>
              </w:rPr>
              <w:t>счетчиком</w:t>
            </w:r>
            <w:r w:rsidRPr="001043A6">
              <w:rPr>
                <w:rFonts w:ascii="Garamond" w:hAnsi="Garamond"/>
                <w:sz w:val="22"/>
                <w:szCs w:val="22"/>
              </w:rPr>
              <w:t>, приведшие к каким-либо изменениям данных и конфигурации;</w:t>
            </w:r>
          </w:p>
          <w:p w14:paraId="1D111389" w14:textId="77777777" w:rsidR="008867A5" w:rsidRPr="001043A6" w:rsidRDefault="008867A5" w:rsidP="00101F7C">
            <w:pPr>
              <w:numPr>
                <w:ilvl w:val="2"/>
                <w:numId w:val="94"/>
              </w:numPr>
              <w:tabs>
                <w:tab w:val="left" w:pos="600"/>
                <w:tab w:val="left" w:pos="1200"/>
              </w:tabs>
              <w:suppressAutoHyphens w:val="0"/>
              <w:spacing w:line="22" w:lineRule="atLeast"/>
              <w:ind w:left="0" w:firstLine="600"/>
              <w:jc w:val="both"/>
              <w:rPr>
                <w:rFonts w:ascii="Garamond" w:hAnsi="Garamond"/>
                <w:sz w:val="22"/>
                <w:szCs w:val="22"/>
              </w:rPr>
            </w:pPr>
            <w:r w:rsidRPr="001043A6">
              <w:rPr>
                <w:rFonts w:ascii="Garamond" w:hAnsi="Garamond"/>
                <w:color w:val="000000"/>
                <w:sz w:val="22"/>
                <w:szCs w:val="22"/>
              </w:rPr>
              <w:t>факты коррекции времени с обязательной фиксацией времени до и после коррекции или величины коррекции времени, на которую было скорректировано устройство</w:t>
            </w:r>
            <w:r w:rsidRPr="001043A6">
              <w:rPr>
                <w:rFonts w:ascii="Garamond" w:hAnsi="Garamond"/>
                <w:sz w:val="22"/>
                <w:szCs w:val="22"/>
              </w:rPr>
              <w:t>;</w:t>
            </w:r>
          </w:p>
          <w:p w14:paraId="33272060" w14:textId="77777777" w:rsidR="008867A5" w:rsidRPr="001043A6" w:rsidRDefault="008867A5" w:rsidP="00101F7C">
            <w:pPr>
              <w:numPr>
                <w:ilvl w:val="2"/>
                <w:numId w:val="94"/>
              </w:numPr>
              <w:tabs>
                <w:tab w:val="left" w:pos="600"/>
                <w:tab w:val="left" w:pos="1200"/>
              </w:tabs>
              <w:suppressAutoHyphens w:val="0"/>
              <w:spacing w:line="22" w:lineRule="atLeast"/>
              <w:ind w:left="0" w:firstLine="600"/>
              <w:jc w:val="both"/>
              <w:rPr>
                <w:rFonts w:ascii="Garamond" w:hAnsi="Garamond"/>
                <w:sz w:val="22"/>
                <w:szCs w:val="22"/>
              </w:rPr>
            </w:pPr>
            <w:r w:rsidRPr="001043A6">
              <w:rPr>
                <w:rFonts w:ascii="Garamond" w:hAnsi="Garamond"/>
                <w:sz w:val="22"/>
                <w:szCs w:val="22"/>
              </w:rPr>
              <w:t>формирование обобщенного события (или по каждому факту) по результатам автоматической самодиагностики;</w:t>
            </w:r>
          </w:p>
          <w:p w14:paraId="7F11BFCA" w14:textId="77777777" w:rsidR="008867A5" w:rsidRPr="001043A6" w:rsidRDefault="008867A5" w:rsidP="00101F7C">
            <w:pPr>
              <w:numPr>
                <w:ilvl w:val="2"/>
                <w:numId w:val="94"/>
              </w:numPr>
              <w:tabs>
                <w:tab w:val="left" w:pos="600"/>
                <w:tab w:val="left" w:pos="1200"/>
              </w:tabs>
              <w:suppressAutoHyphens w:val="0"/>
              <w:spacing w:line="22" w:lineRule="atLeast"/>
              <w:ind w:left="0" w:firstLine="600"/>
              <w:jc w:val="both"/>
              <w:rPr>
                <w:rFonts w:ascii="Garamond" w:hAnsi="Garamond"/>
                <w:sz w:val="22"/>
                <w:szCs w:val="22"/>
              </w:rPr>
            </w:pPr>
            <w:r w:rsidRPr="001043A6">
              <w:rPr>
                <w:rFonts w:ascii="Garamond" w:hAnsi="Garamond"/>
                <w:sz w:val="22"/>
                <w:szCs w:val="22"/>
              </w:rPr>
              <w:t>отсутствие напряжения по каждой фазе с фиксацией времени пропадания и восстановления напряжения (обязательно с 31.12.2029);</w:t>
            </w:r>
          </w:p>
          <w:p w14:paraId="66F79C12" w14:textId="77777777" w:rsidR="008867A5" w:rsidRPr="001043A6" w:rsidRDefault="008867A5" w:rsidP="00101F7C">
            <w:pPr>
              <w:numPr>
                <w:ilvl w:val="2"/>
                <w:numId w:val="94"/>
              </w:numPr>
              <w:tabs>
                <w:tab w:val="left" w:pos="600"/>
                <w:tab w:val="left" w:pos="1200"/>
              </w:tabs>
              <w:suppressAutoHyphens w:val="0"/>
              <w:spacing w:line="22" w:lineRule="atLeast"/>
              <w:ind w:left="0" w:firstLine="600"/>
              <w:jc w:val="both"/>
              <w:rPr>
                <w:rFonts w:ascii="Garamond" w:hAnsi="Garamond"/>
                <w:sz w:val="22"/>
                <w:szCs w:val="22"/>
              </w:rPr>
            </w:pPr>
            <w:r w:rsidRPr="001043A6">
              <w:rPr>
                <w:rFonts w:ascii="Garamond" w:hAnsi="Garamond"/>
                <w:sz w:val="22"/>
                <w:szCs w:val="22"/>
              </w:rPr>
              <w:t xml:space="preserve">перерывы питания </w:t>
            </w:r>
            <w:r w:rsidRPr="001043A6">
              <w:rPr>
                <w:rFonts w:ascii="Garamond" w:hAnsi="Garamond"/>
                <w:sz w:val="22"/>
                <w:szCs w:val="22"/>
                <w:highlight w:val="yellow"/>
              </w:rPr>
              <w:t>электросчетчика</w:t>
            </w:r>
            <w:r w:rsidRPr="001043A6">
              <w:rPr>
                <w:rFonts w:ascii="Garamond" w:hAnsi="Garamond"/>
                <w:sz w:val="22"/>
                <w:szCs w:val="22"/>
              </w:rPr>
              <w:t xml:space="preserve"> с фиксацией времени пропадания и восстановления.</w:t>
            </w:r>
          </w:p>
          <w:p w14:paraId="442B49C3" w14:textId="77777777" w:rsidR="008867A5" w:rsidRPr="001043A6" w:rsidRDefault="008867A5" w:rsidP="00101F7C">
            <w:pPr>
              <w:numPr>
                <w:ilvl w:val="2"/>
                <w:numId w:val="93"/>
              </w:numPr>
              <w:tabs>
                <w:tab w:val="left" w:pos="600"/>
                <w:tab w:val="left" w:pos="1200"/>
                <w:tab w:val="left" w:pos="8100"/>
              </w:tabs>
              <w:suppressAutoHyphens w:val="0"/>
              <w:spacing w:line="22" w:lineRule="atLeast"/>
              <w:ind w:left="0" w:firstLine="600"/>
              <w:jc w:val="both"/>
              <w:rPr>
                <w:rFonts w:ascii="Garamond" w:hAnsi="Garamond"/>
                <w:sz w:val="22"/>
                <w:szCs w:val="22"/>
              </w:rPr>
            </w:pPr>
            <w:r w:rsidRPr="001043A6">
              <w:rPr>
                <w:rFonts w:ascii="Garamond" w:hAnsi="Garamond"/>
                <w:sz w:val="22"/>
                <w:szCs w:val="22"/>
              </w:rPr>
              <w:t xml:space="preserve">Обеспечение защиты от несанкционированного изменения параметров </w:t>
            </w:r>
            <w:r w:rsidRPr="001043A6">
              <w:rPr>
                <w:rFonts w:ascii="Garamond" w:hAnsi="Garamond"/>
                <w:sz w:val="22"/>
                <w:szCs w:val="22"/>
                <w:highlight w:val="yellow"/>
              </w:rPr>
              <w:t>счетчика</w:t>
            </w:r>
            <w:r w:rsidRPr="001043A6">
              <w:rPr>
                <w:rFonts w:ascii="Garamond" w:hAnsi="Garamond"/>
                <w:sz w:val="22"/>
                <w:szCs w:val="22"/>
              </w:rPr>
              <w:t>, при этом защита должна быть обеспечена на программном (логическом) уровне (установка паролей) и аппаратном (физическом) уровне (установка пломб, марок и т.п.).</w:t>
            </w:r>
          </w:p>
          <w:p w14:paraId="4BB994E8" w14:textId="77777777" w:rsidR="008867A5" w:rsidRPr="001043A6" w:rsidRDefault="008867A5" w:rsidP="00101F7C">
            <w:pPr>
              <w:numPr>
                <w:ilvl w:val="2"/>
                <w:numId w:val="93"/>
              </w:numPr>
              <w:tabs>
                <w:tab w:val="left" w:pos="600"/>
                <w:tab w:val="left" w:pos="1200"/>
                <w:tab w:val="left" w:pos="8100"/>
              </w:tabs>
              <w:suppressAutoHyphens w:val="0"/>
              <w:spacing w:line="22" w:lineRule="atLeast"/>
              <w:ind w:left="0" w:firstLine="600"/>
              <w:jc w:val="both"/>
              <w:rPr>
                <w:rFonts w:ascii="Garamond" w:hAnsi="Garamond"/>
                <w:sz w:val="22"/>
                <w:szCs w:val="22"/>
              </w:rPr>
            </w:pPr>
            <w:r w:rsidRPr="001043A6">
              <w:rPr>
                <w:rFonts w:ascii="Garamond" w:hAnsi="Garamond"/>
                <w:sz w:val="22"/>
                <w:szCs w:val="22"/>
              </w:rPr>
              <w:t xml:space="preserve">Предоставление доступа к результатам измерений и «Журналам событий» </w:t>
            </w:r>
            <w:r w:rsidRPr="001043A6">
              <w:rPr>
                <w:rFonts w:ascii="Garamond" w:hAnsi="Garamond"/>
                <w:sz w:val="22"/>
                <w:szCs w:val="22"/>
                <w:highlight w:val="yellow"/>
              </w:rPr>
              <w:t>счетчика</w:t>
            </w:r>
            <w:r w:rsidRPr="001043A6">
              <w:rPr>
                <w:rFonts w:ascii="Garamond" w:hAnsi="Garamond"/>
                <w:sz w:val="22"/>
                <w:szCs w:val="22"/>
              </w:rPr>
              <w:t xml:space="preserve"> со стороны ИВКЭ или ИВК.</w:t>
            </w:r>
          </w:p>
          <w:p w14:paraId="299264AB" w14:textId="77777777" w:rsidR="00821ED7" w:rsidRPr="001043A6" w:rsidRDefault="008867A5" w:rsidP="00101F7C">
            <w:pPr>
              <w:pStyle w:val="ac"/>
              <w:numPr>
                <w:ilvl w:val="2"/>
                <w:numId w:val="93"/>
              </w:numPr>
              <w:tabs>
                <w:tab w:val="left" w:pos="1080"/>
                <w:tab w:val="num" w:pos="1276"/>
                <w:tab w:val="left" w:pos="1320"/>
              </w:tabs>
              <w:spacing w:line="22" w:lineRule="atLeast"/>
              <w:ind w:left="0" w:firstLine="629"/>
              <w:jc w:val="both"/>
              <w:rPr>
                <w:rFonts w:ascii="Garamond" w:hAnsi="Garamond"/>
                <w:sz w:val="22"/>
                <w:szCs w:val="22"/>
              </w:rPr>
            </w:pPr>
            <w:r w:rsidRPr="001043A6">
              <w:rPr>
                <w:rFonts w:ascii="Garamond" w:hAnsi="Garamond"/>
                <w:sz w:val="22"/>
                <w:szCs w:val="22"/>
                <w:highlight w:val="yellow"/>
              </w:rPr>
              <w:lastRenderedPageBreak/>
              <w:t xml:space="preserve">Среднее время наработки на отказ счетчика должно составлять не менее 35 000 часов, время восстановления не более </w:t>
            </w:r>
            <w:r w:rsidRPr="001043A6">
              <w:rPr>
                <w:rFonts w:ascii="Garamond" w:hAnsi="Garamond"/>
                <w:color w:val="000000"/>
                <w:sz w:val="22"/>
                <w:szCs w:val="22"/>
                <w:highlight w:val="yellow"/>
                <w:lang w:val="en-US"/>
              </w:rPr>
              <w:t>t</w:t>
            </w:r>
            <w:r w:rsidRPr="001043A6">
              <w:rPr>
                <w:rFonts w:ascii="Garamond" w:hAnsi="Garamond"/>
                <w:color w:val="000000"/>
                <w:sz w:val="22"/>
                <w:szCs w:val="22"/>
                <w:highlight w:val="yellow"/>
                <w:vertAlign w:val="subscript"/>
              </w:rPr>
              <w:t>В</w:t>
            </w:r>
            <w:r w:rsidRPr="001043A6">
              <w:rPr>
                <w:rFonts w:ascii="Garamond" w:hAnsi="Garamond"/>
                <w:color w:val="000000"/>
                <w:sz w:val="22"/>
                <w:szCs w:val="22"/>
                <w:highlight w:val="yellow"/>
              </w:rPr>
              <w:t xml:space="preserve"> = 3 суток</w:t>
            </w:r>
            <w:r w:rsidRPr="001043A6">
              <w:rPr>
                <w:rFonts w:ascii="Garamond" w:hAnsi="Garamond"/>
                <w:sz w:val="22"/>
                <w:szCs w:val="22"/>
                <w:highlight w:val="yellow"/>
              </w:rPr>
              <w:t>,</w:t>
            </w:r>
            <w:r w:rsidRPr="001043A6">
              <w:rPr>
                <w:rFonts w:ascii="Garamond" w:hAnsi="Garamond"/>
                <w:sz w:val="22"/>
                <w:szCs w:val="22"/>
              </w:rPr>
              <w:t xml:space="preserve"> </w:t>
            </w:r>
            <w:r w:rsidRPr="001043A6">
              <w:rPr>
                <w:rFonts w:ascii="Garamond" w:hAnsi="Garamond"/>
                <w:sz w:val="22"/>
                <w:szCs w:val="22"/>
                <w:highlight w:val="yellow"/>
              </w:rPr>
              <w:t>м</w:t>
            </w:r>
            <w:r w:rsidRPr="001043A6">
              <w:rPr>
                <w:rFonts w:ascii="Garamond" w:hAnsi="Garamond"/>
                <w:sz w:val="22"/>
                <w:szCs w:val="22"/>
              </w:rPr>
              <w:t>ежповерочный интервал – не менее 8 лет.</w:t>
            </w:r>
          </w:p>
        </w:tc>
        <w:tc>
          <w:tcPr>
            <w:tcW w:w="7115" w:type="dxa"/>
          </w:tcPr>
          <w:p w14:paraId="702CCC89" w14:textId="77777777" w:rsidR="008867A5" w:rsidRPr="001043A6" w:rsidRDefault="008867A5" w:rsidP="00715C20">
            <w:pPr>
              <w:pStyle w:val="ac"/>
              <w:numPr>
                <w:ilvl w:val="1"/>
                <w:numId w:val="94"/>
              </w:numPr>
              <w:tabs>
                <w:tab w:val="clear" w:pos="720"/>
                <w:tab w:val="num" w:pos="0"/>
                <w:tab w:val="left" w:pos="1200"/>
              </w:tabs>
              <w:spacing w:line="22" w:lineRule="atLeast"/>
              <w:ind w:left="0" w:firstLine="601"/>
              <w:jc w:val="both"/>
              <w:rPr>
                <w:rFonts w:ascii="Garamond" w:hAnsi="Garamond"/>
                <w:bCs/>
                <w:sz w:val="22"/>
                <w:szCs w:val="22"/>
              </w:rPr>
            </w:pPr>
            <w:r w:rsidRPr="001043A6">
              <w:rPr>
                <w:rFonts w:ascii="Garamond" w:hAnsi="Garamond"/>
                <w:bCs/>
                <w:sz w:val="22"/>
                <w:szCs w:val="22"/>
              </w:rPr>
              <w:lastRenderedPageBreak/>
              <w:t xml:space="preserve">Требования к </w:t>
            </w:r>
            <w:r w:rsidR="000C1CDA" w:rsidRPr="001043A6">
              <w:rPr>
                <w:rFonts w:ascii="Garamond" w:hAnsi="Garamond"/>
                <w:bCs/>
                <w:sz w:val="22"/>
                <w:szCs w:val="22"/>
                <w:highlight w:val="yellow"/>
              </w:rPr>
              <w:t>приборам учета</w:t>
            </w:r>
            <w:r w:rsidRPr="001043A6">
              <w:rPr>
                <w:rFonts w:ascii="Garamond" w:hAnsi="Garamond"/>
                <w:bCs/>
                <w:sz w:val="22"/>
                <w:szCs w:val="22"/>
              </w:rPr>
              <w:t xml:space="preserve"> </w:t>
            </w:r>
            <w:r w:rsidRPr="001043A6">
              <w:rPr>
                <w:rFonts w:ascii="Garamond" w:hAnsi="Garamond"/>
                <w:bCs/>
                <w:sz w:val="22"/>
                <w:szCs w:val="22"/>
                <w:highlight w:val="yellow"/>
              </w:rPr>
              <w:t>(в том числе ИПУ</w:t>
            </w:r>
            <w:r w:rsidR="006821BF" w:rsidRPr="001043A6">
              <w:rPr>
                <w:rFonts w:ascii="Garamond" w:hAnsi="Garamond"/>
                <w:bCs/>
                <w:sz w:val="22"/>
                <w:szCs w:val="22"/>
                <w:highlight w:val="yellow"/>
              </w:rPr>
              <w:t xml:space="preserve">, </w:t>
            </w:r>
            <w:r w:rsidR="00715C20" w:rsidRPr="001043A6">
              <w:rPr>
                <w:rFonts w:ascii="Garamond" w:hAnsi="Garamond"/>
                <w:bCs/>
                <w:sz w:val="22"/>
                <w:szCs w:val="22"/>
                <w:highlight w:val="yellow"/>
              </w:rPr>
              <w:t>п</w:t>
            </w:r>
            <w:r w:rsidR="006821BF" w:rsidRPr="001043A6">
              <w:rPr>
                <w:rFonts w:ascii="Garamond" w:hAnsi="Garamond"/>
                <w:bCs/>
                <w:sz w:val="22"/>
                <w:szCs w:val="22"/>
                <w:highlight w:val="yellow"/>
              </w:rPr>
              <w:t>рисоединенным к ИСУ</w:t>
            </w:r>
            <w:r w:rsidRPr="001043A6">
              <w:rPr>
                <w:rFonts w:ascii="Garamond" w:hAnsi="Garamond"/>
                <w:bCs/>
                <w:sz w:val="22"/>
                <w:szCs w:val="22"/>
                <w:highlight w:val="yellow"/>
              </w:rPr>
              <w:t>)</w:t>
            </w:r>
          </w:p>
          <w:p w14:paraId="01AF8A80" w14:textId="77777777" w:rsidR="008867A5" w:rsidRPr="001043A6" w:rsidRDefault="008867A5" w:rsidP="00101F7C">
            <w:pPr>
              <w:pStyle w:val="ac"/>
              <w:numPr>
                <w:ilvl w:val="2"/>
                <w:numId w:val="95"/>
              </w:numPr>
              <w:tabs>
                <w:tab w:val="left" w:pos="480"/>
                <w:tab w:val="left" w:pos="1200"/>
                <w:tab w:val="left" w:pos="8100"/>
              </w:tabs>
              <w:spacing w:line="22" w:lineRule="atLeast"/>
              <w:ind w:left="0" w:firstLine="601"/>
              <w:jc w:val="both"/>
              <w:rPr>
                <w:rFonts w:ascii="Garamond" w:hAnsi="Garamond"/>
                <w:sz w:val="22"/>
                <w:szCs w:val="22"/>
              </w:rPr>
            </w:pPr>
            <w:r w:rsidRPr="001043A6">
              <w:rPr>
                <w:rFonts w:ascii="Garamond" w:hAnsi="Garamond"/>
                <w:sz w:val="22"/>
                <w:szCs w:val="22"/>
              </w:rPr>
              <w:t>Класс</w:t>
            </w:r>
            <w:r w:rsidRPr="001043A6">
              <w:rPr>
                <w:rFonts w:ascii="Garamond" w:hAnsi="Garamond"/>
                <w:bCs/>
                <w:sz w:val="22"/>
                <w:szCs w:val="22"/>
              </w:rPr>
              <w:t xml:space="preserve"> то</w:t>
            </w:r>
            <w:r w:rsidRPr="001043A6">
              <w:rPr>
                <w:rFonts w:ascii="Garamond" w:hAnsi="Garamond"/>
                <w:sz w:val="22"/>
                <w:szCs w:val="22"/>
              </w:rPr>
              <w:t xml:space="preserve">чности – не хуже 0,5S по активной </w:t>
            </w:r>
            <w:r w:rsidR="00AB02D7" w:rsidRPr="001043A6">
              <w:rPr>
                <w:rFonts w:ascii="Garamond" w:hAnsi="Garamond"/>
                <w:sz w:val="22"/>
                <w:szCs w:val="22"/>
                <w:highlight w:val="yellow"/>
              </w:rPr>
              <w:t>электроэнергии</w:t>
            </w:r>
            <w:r w:rsidR="00AB02D7" w:rsidRPr="001043A6">
              <w:rPr>
                <w:rFonts w:ascii="Garamond" w:hAnsi="Garamond"/>
                <w:sz w:val="22"/>
                <w:szCs w:val="22"/>
              </w:rPr>
              <w:t xml:space="preserve"> </w:t>
            </w:r>
            <w:r w:rsidR="0013792E" w:rsidRPr="001043A6">
              <w:rPr>
                <w:rFonts w:ascii="Garamond" w:hAnsi="Garamond"/>
                <w:sz w:val="22"/>
                <w:szCs w:val="22"/>
              </w:rPr>
              <w:t xml:space="preserve">и </w:t>
            </w:r>
            <w:r w:rsidR="0013792E" w:rsidRPr="001043A6">
              <w:rPr>
                <w:rFonts w:ascii="Garamond" w:hAnsi="Garamond"/>
                <w:sz w:val="22"/>
                <w:szCs w:val="22"/>
                <w:highlight w:val="yellow"/>
              </w:rPr>
              <w:t xml:space="preserve">не хуже 1,0 по реактивной </w:t>
            </w:r>
            <w:r w:rsidR="000A1A68" w:rsidRPr="001043A6">
              <w:rPr>
                <w:rFonts w:ascii="Garamond" w:hAnsi="Garamond"/>
                <w:sz w:val="22"/>
                <w:szCs w:val="22"/>
                <w:highlight w:val="yellow"/>
              </w:rPr>
              <w:t>электро</w:t>
            </w:r>
            <w:r w:rsidR="0013792E" w:rsidRPr="001043A6">
              <w:rPr>
                <w:rFonts w:ascii="Garamond" w:hAnsi="Garamond"/>
                <w:sz w:val="22"/>
                <w:szCs w:val="22"/>
                <w:highlight w:val="yellow"/>
              </w:rPr>
              <w:t>энергии</w:t>
            </w:r>
            <w:r w:rsidRPr="001043A6">
              <w:rPr>
                <w:rFonts w:ascii="Garamond" w:hAnsi="Garamond"/>
                <w:sz w:val="22"/>
                <w:szCs w:val="22"/>
              </w:rPr>
              <w:t xml:space="preserve">. Допускается применять </w:t>
            </w:r>
            <w:r w:rsidR="00F22159" w:rsidRPr="001043A6">
              <w:rPr>
                <w:rFonts w:ascii="Garamond" w:hAnsi="Garamond"/>
                <w:sz w:val="22"/>
                <w:szCs w:val="22"/>
                <w:highlight w:val="yellow"/>
              </w:rPr>
              <w:t>приборы учета</w:t>
            </w:r>
            <w:r w:rsidRPr="001043A6">
              <w:rPr>
                <w:rFonts w:ascii="Garamond" w:hAnsi="Garamond"/>
                <w:sz w:val="22"/>
                <w:szCs w:val="22"/>
              </w:rPr>
              <w:t xml:space="preserve"> прямого включения (без применения в составе ИИК измерительных </w:t>
            </w:r>
            <w:r w:rsidRPr="001043A6">
              <w:rPr>
                <w:rFonts w:ascii="Garamond" w:hAnsi="Garamond"/>
                <w:sz w:val="22"/>
                <w:szCs w:val="22"/>
              </w:rPr>
              <w:lastRenderedPageBreak/>
              <w:t xml:space="preserve">трансформаторов тока и напряжения) с классом точности не хуже 1,0 по активной </w:t>
            </w:r>
            <w:r w:rsidR="000A1A68" w:rsidRPr="001043A6">
              <w:rPr>
                <w:rFonts w:ascii="Garamond" w:hAnsi="Garamond"/>
                <w:sz w:val="22"/>
                <w:szCs w:val="22"/>
                <w:highlight w:val="yellow"/>
              </w:rPr>
              <w:t>электро</w:t>
            </w:r>
            <w:r w:rsidRPr="001043A6">
              <w:rPr>
                <w:rFonts w:ascii="Garamond" w:hAnsi="Garamond"/>
                <w:sz w:val="22"/>
                <w:szCs w:val="22"/>
                <w:highlight w:val="yellow"/>
              </w:rPr>
              <w:t>энергии</w:t>
            </w:r>
            <w:r w:rsidR="0013792E" w:rsidRPr="001043A6">
              <w:rPr>
                <w:rFonts w:ascii="Garamond" w:hAnsi="Garamond"/>
                <w:sz w:val="22"/>
                <w:szCs w:val="22"/>
                <w:highlight w:val="yellow"/>
              </w:rPr>
              <w:t xml:space="preserve"> и не хуже 2,0 по реактивной </w:t>
            </w:r>
            <w:r w:rsidR="000D73B3" w:rsidRPr="001043A6">
              <w:rPr>
                <w:rFonts w:ascii="Garamond" w:hAnsi="Garamond"/>
                <w:sz w:val="22"/>
                <w:szCs w:val="22"/>
                <w:highlight w:val="yellow"/>
              </w:rPr>
              <w:t>электро</w:t>
            </w:r>
            <w:r w:rsidR="0013792E" w:rsidRPr="001043A6">
              <w:rPr>
                <w:rFonts w:ascii="Garamond" w:hAnsi="Garamond"/>
                <w:sz w:val="22"/>
                <w:szCs w:val="22"/>
                <w:highlight w:val="yellow"/>
              </w:rPr>
              <w:t>энергии</w:t>
            </w:r>
            <w:r w:rsidRPr="001043A6">
              <w:rPr>
                <w:rFonts w:ascii="Garamond" w:hAnsi="Garamond"/>
                <w:sz w:val="22"/>
                <w:szCs w:val="22"/>
              </w:rPr>
              <w:t>.</w:t>
            </w:r>
          </w:p>
          <w:p w14:paraId="4661052D" w14:textId="77777777" w:rsidR="008867A5" w:rsidRPr="001043A6" w:rsidRDefault="008867A5" w:rsidP="008867A5">
            <w:pPr>
              <w:widowControl w:val="0"/>
              <w:spacing w:line="22" w:lineRule="atLeast"/>
              <w:ind w:firstLine="600"/>
              <w:jc w:val="both"/>
              <w:rPr>
                <w:rFonts w:ascii="Garamond" w:hAnsi="Garamond"/>
                <w:sz w:val="22"/>
                <w:szCs w:val="22"/>
              </w:rPr>
            </w:pPr>
            <w:r w:rsidRPr="001043A6">
              <w:rPr>
                <w:rFonts w:ascii="Garamond" w:hAnsi="Garamond"/>
                <w:sz w:val="22"/>
                <w:szCs w:val="22"/>
              </w:rPr>
              <w:t xml:space="preserve">Указанные требования к классу точности измерений количества реактивной </w:t>
            </w:r>
            <w:r w:rsidR="000A1A68" w:rsidRPr="001043A6">
              <w:rPr>
                <w:rFonts w:ascii="Garamond" w:hAnsi="Garamond"/>
                <w:sz w:val="22"/>
                <w:szCs w:val="22"/>
                <w:highlight w:val="yellow"/>
              </w:rPr>
              <w:t>электро</w:t>
            </w:r>
            <w:r w:rsidRPr="001043A6">
              <w:rPr>
                <w:rFonts w:ascii="Garamond" w:hAnsi="Garamond"/>
                <w:sz w:val="22"/>
                <w:szCs w:val="22"/>
                <w:highlight w:val="yellow"/>
              </w:rPr>
              <w:t>энергии</w:t>
            </w:r>
            <w:r w:rsidRPr="001043A6">
              <w:rPr>
                <w:rFonts w:ascii="Garamond" w:hAnsi="Garamond"/>
                <w:sz w:val="22"/>
                <w:szCs w:val="22"/>
              </w:rPr>
              <w:t xml:space="preserve"> применяются </w:t>
            </w:r>
            <w:r w:rsidR="0013792E" w:rsidRPr="001043A6">
              <w:rPr>
                <w:rFonts w:ascii="Garamond" w:hAnsi="Garamond"/>
                <w:sz w:val="22"/>
                <w:szCs w:val="22"/>
                <w:highlight w:val="yellow"/>
              </w:rPr>
              <w:t xml:space="preserve">в отношении </w:t>
            </w:r>
            <w:r w:rsidR="00F22159" w:rsidRPr="001043A6">
              <w:rPr>
                <w:rFonts w:ascii="Garamond" w:hAnsi="Garamond"/>
                <w:sz w:val="22"/>
                <w:szCs w:val="22"/>
                <w:highlight w:val="yellow"/>
              </w:rPr>
              <w:t>приборов учета</w:t>
            </w:r>
            <w:r w:rsidR="0013792E" w:rsidRPr="001043A6">
              <w:rPr>
                <w:rFonts w:ascii="Garamond" w:hAnsi="Garamond"/>
                <w:sz w:val="22"/>
                <w:szCs w:val="22"/>
                <w:highlight w:val="yellow"/>
              </w:rPr>
              <w:t xml:space="preserve">, включенных в состав АИИС КУЭ </w:t>
            </w:r>
            <w:r w:rsidR="00A77AA4" w:rsidRPr="001043A6">
              <w:rPr>
                <w:rFonts w:ascii="Garamond" w:hAnsi="Garamond"/>
                <w:sz w:val="22"/>
                <w:szCs w:val="22"/>
                <w:highlight w:val="yellow"/>
              </w:rPr>
              <w:t>и (</w:t>
            </w:r>
            <w:r w:rsidR="0013792E" w:rsidRPr="001043A6">
              <w:rPr>
                <w:rFonts w:ascii="Garamond" w:hAnsi="Garamond"/>
                <w:sz w:val="22"/>
                <w:szCs w:val="22"/>
                <w:highlight w:val="yellow"/>
              </w:rPr>
              <w:t>или</w:t>
            </w:r>
            <w:r w:rsidR="00A77AA4" w:rsidRPr="001043A6">
              <w:rPr>
                <w:rFonts w:ascii="Garamond" w:hAnsi="Garamond"/>
                <w:sz w:val="22"/>
                <w:szCs w:val="22"/>
                <w:highlight w:val="yellow"/>
              </w:rPr>
              <w:t>)</w:t>
            </w:r>
            <w:r w:rsidR="0013792E" w:rsidRPr="001043A6">
              <w:rPr>
                <w:rFonts w:ascii="Garamond" w:hAnsi="Garamond"/>
                <w:sz w:val="22"/>
                <w:szCs w:val="22"/>
                <w:highlight w:val="yellow"/>
              </w:rPr>
              <w:t xml:space="preserve"> совокупности СИ и ТУ</w:t>
            </w:r>
            <w:r w:rsidR="0013792E" w:rsidRPr="001043A6">
              <w:rPr>
                <w:rFonts w:ascii="Garamond" w:hAnsi="Garamond"/>
                <w:sz w:val="22"/>
                <w:szCs w:val="22"/>
              </w:rPr>
              <w:t xml:space="preserve">, </w:t>
            </w:r>
            <w:r w:rsidRPr="001043A6">
              <w:rPr>
                <w:rFonts w:ascii="Garamond" w:hAnsi="Garamond"/>
                <w:sz w:val="22"/>
                <w:szCs w:val="22"/>
              </w:rPr>
              <w:t>только в случае кодирования соответствующих измерительных каналов.</w:t>
            </w:r>
          </w:p>
          <w:p w14:paraId="13105D6E" w14:textId="308CB415" w:rsidR="008867A5" w:rsidRPr="001043A6" w:rsidRDefault="008867A5" w:rsidP="00101F7C">
            <w:pPr>
              <w:numPr>
                <w:ilvl w:val="2"/>
                <w:numId w:val="95"/>
              </w:numPr>
              <w:tabs>
                <w:tab w:val="left" w:pos="1200"/>
                <w:tab w:val="left" w:pos="8100"/>
              </w:tabs>
              <w:suppressAutoHyphens w:val="0"/>
              <w:spacing w:line="22" w:lineRule="atLeast"/>
              <w:ind w:left="0" w:firstLine="601"/>
              <w:jc w:val="both"/>
              <w:rPr>
                <w:rFonts w:ascii="Garamond" w:hAnsi="Garamond"/>
                <w:sz w:val="22"/>
                <w:szCs w:val="22"/>
              </w:rPr>
            </w:pPr>
            <w:r w:rsidRPr="001043A6">
              <w:rPr>
                <w:rFonts w:ascii="Garamond" w:hAnsi="Garamond"/>
                <w:bCs/>
                <w:sz w:val="22"/>
                <w:szCs w:val="22"/>
              </w:rPr>
              <w:t>Подключение</w:t>
            </w:r>
            <w:r w:rsidRPr="001043A6">
              <w:rPr>
                <w:rFonts w:ascii="Garamond" w:hAnsi="Garamond"/>
                <w:sz w:val="22"/>
                <w:szCs w:val="22"/>
              </w:rPr>
              <w:t xml:space="preserve"> по цифровым интерфейсам для автономного считывания результатов измерений и «Журнала событий», удаленного доступа и параметрирования </w:t>
            </w:r>
            <w:r w:rsidRPr="001043A6">
              <w:rPr>
                <w:rFonts w:ascii="Garamond" w:hAnsi="Garamond"/>
                <w:sz w:val="22"/>
                <w:szCs w:val="22"/>
                <w:highlight w:val="yellow"/>
              </w:rPr>
              <w:t xml:space="preserve">(для </w:t>
            </w:r>
            <w:r w:rsidR="00F22159" w:rsidRPr="001043A6">
              <w:rPr>
                <w:rFonts w:ascii="Garamond" w:hAnsi="Garamond"/>
                <w:sz w:val="22"/>
                <w:szCs w:val="22"/>
                <w:highlight w:val="yellow"/>
              </w:rPr>
              <w:t>приборов учета</w:t>
            </w:r>
            <w:r w:rsidRPr="001043A6">
              <w:rPr>
                <w:rFonts w:ascii="Garamond" w:hAnsi="Garamond"/>
                <w:sz w:val="22"/>
                <w:szCs w:val="22"/>
                <w:highlight w:val="yellow"/>
              </w:rPr>
              <w:t xml:space="preserve"> в составе АИИС КУЭ и совокупности СИ и ТУ). Для ИПУ</w:t>
            </w:r>
            <w:r w:rsidR="006821BF" w:rsidRPr="001043A6">
              <w:rPr>
                <w:rFonts w:ascii="Garamond" w:hAnsi="Garamond"/>
                <w:sz w:val="22"/>
                <w:szCs w:val="22"/>
                <w:highlight w:val="yellow"/>
              </w:rPr>
              <w:t>, присоединенных к ИСУ,</w:t>
            </w:r>
            <w:r w:rsidRPr="001043A6">
              <w:rPr>
                <w:rFonts w:ascii="Garamond" w:hAnsi="Garamond"/>
                <w:sz w:val="22"/>
                <w:szCs w:val="22"/>
                <w:highlight w:val="yellow"/>
              </w:rPr>
              <w:t xml:space="preserve"> </w:t>
            </w:r>
            <w:r w:rsidR="008C41A8">
              <w:rPr>
                <w:rFonts w:ascii="Garamond" w:hAnsi="Garamond"/>
                <w:sz w:val="22"/>
                <w:szCs w:val="22"/>
                <w:highlight w:val="yellow"/>
              </w:rPr>
              <w:t xml:space="preserve">– </w:t>
            </w:r>
            <w:r w:rsidRPr="001043A6">
              <w:rPr>
                <w:rFonts w:ascii="Garamond" w:hAnsi="Garamond"/>
                <w:sz w:val="22"/>
                <w:szCs w:val="22"/>
                <w:highlight w:val="yellow"/>
              </w:rPr>
              <w:t xml:space="preserve">наличие </w:t>
            </w:r>
            <w:r w:rsidR="008C41A8">
              <w:rPr>
                <w:rFonts w:ascii="Garamond" w:hAnsi="Garamond"/>
                <w:sz w:val="22"/>
                <w:szCs w:val="22"/>
                <w:highlight w:val="yellow"/>
              </w:rPr>
              <w:t>двух</w:t>
            </w:r>
            <w:r w:rsidRPr="001043A6">
              <w:rPr>
                <w:rFonts w:ascii="Garamond" w:hAnsi="Garamond"/>
                <w:sz w:val="22"/>
                <w:szCs w:val="22"/>
                <w:highlight w:val="yellow"/>
              </w:rPr>
              <w:t xml:space="preserve"> интерфейсов связи для организации канала связи (оптического и иного </w:t>
            </w:r>
            <w:r w:rsidR="005951D1">
              <w:rPr>
                <w:rFonts w:ascii="Garamond" w:hAnsi="Garamond"/>
                <w:sz w:val="22"/>
                <w:szCs w:val="22"/>
                <w:highlight w:val="yellow"/>
              </w:rPr>
              <w:t>интерфейса связи</w:t>
            </w:r>
            <w:r w:rsidRPr="001043A6">
              <w:rPr>
                <w:rFonts w:ascii="Garamond" w:hAnsi="Garamond"/>
                <w:sz w:val="22"/>
                <w:szCs w:val="22"/>
                <w:highlight w:val="yellow"/>
              </w:rPr>
              <w:t xml:space="preserve">), а в отношении </w:t>
            </w:r>
            <w:r w:rsidR="0021353F" w:rsidRPr="001043A6">
              <w:rPr>
                <w:rFonts w:ascii="Garamond" w:hAnsi="Garamond"/>
                <w:sz w:val="22"/>
                <w:szCs w:val="22"/>
                <w:highlight w:val="yellow"/>
              </w:rPr>
              <w:t>ИПУ</w:t>
            </w:r>
            <w:r w:rsidRPr="001043A6">
              <w:rPr>
                <w:rFonts w:ascii="Garamond" w:hAnsi="Garamond"/>
                <w:sz w:val="22"/>
                <w:szCs w:val="22"/>
                <w:highlight w:val="yellow"/>
              </w:rPr>
              <w:t xml:space="preserve"> трансформаторного включения </w:t>
            </w:r>
            <w:r w:rsidR="008C41A8">
              <w:rPr>
                <w:rFonts w:ascii="Garamond" w:hAnsi="Garamond"/>
                <w:sz w:val="22"/>
                <w:szCs w:val="22"/>
                <w:highlight w:val="yellow"/>
              </w:rPr>
              <w:t xml:space="preserve">– </w:t>
            </w:r>
            <w:r w:rsidR="00FC3381" w:rsidRPr="001043A6">
              <w:rPr>
                <w:rFonts w:ascii="Garamond" w:hAnsi="Garamond"/>
                <w:sz w:val="22"/>
                <w:szCs w:val="22"/>
                <w:highlight w:val="yellow"/>
              </w:rPr>
              <w:t>дополнительно</w:t>
            </w:r>
            <w:r w:rsidRPr="001043A6">
              <w:rPr>
                <w:rFonts w:ascii="Garamond" w:hAnsi="Garamond"/>
                <w:sz w:val="22"/>
                <w:szCs w:val="22"/>
                <w:highlight w:val="yellow"/>
              </w:rPr>
              <w:t xml:space="preserve"> по цифровому электрическому интерфейсу связи</w:t>
            </w:r>
            <w:r w:rsidRPr="001043A6">
              <w:rPr>
                <w:rFonts w:ascii="Garamond" w:hAnsi="Garamond"/>
                <w:sz w:val="22"/>
                <w:szCs w:val="22"/>
              </w:rPr>
              <w:t>.</w:t>
            </w:r>
          </w:p>
          <w:p w14:paraId="75DCF36A" w14:textId="77777777" w:rsidR="008867A5" w:rsidRPr="001043A6" w:rsidRDefault="008867A5" w:rsidP="00101F7C">
            <w:pPr>
              <w:numPr>
                <w:ilvl w:val="2"/>
                <w:numId w:val="95"/>
              </w:numPr>
              <w:tabs>
                <w:tab w:val="left" w:pos="600"/>
                <w:tab w:val="left" w:pos="1200"/>
                <w:tab w:val="left" w:pos="8100"/>
              </w:tabs>
              <w:suppressAutoHyphens w:val="0"/>
              <w:spacing w:line="22" w:lineRule="atLeast"/>
              <w:ind w:left="0" w:firstLine="600"/>
              <w:jc w:val="both"/>
              <w:rPr>
                <w:rFonts w:ascii="Garamond" w:hAnsi="Garamond"/>
                <w:sz w:val="22"/>
                <w:szCs w:val="22"/>
              </w:rPr>
            </w:pPr>
            <w:r w:rsidRPr="001043A6">
              <w:rPr>
                <w:rFonts w:ascii="Garamond" w:hAnsi="Garamond"/>
                <w:bCs/>
                <w:sz w:val="22"/>
                <w:szCs w:val="22"/>
              </w:rPr>
              <w:t>Наличие энергонезависимой</w:t>
            </w:r>
            <w:r w:rsidRPr="001043A6">
              <w:rPr>
                <w:rFonts w:ascii="Garamond" w:hAnsi="Garamond"/>
                <w:sz w:val="22"/>
                <w:szCs w:val="22"/>
              </w:rPr>
              <w:t xml:space="preserve"> памяти для хранения профиля нагрузки с получасовым интервалом на глубину не менее 45 суток </w:t>
            </w:r>
            <w:r w:rsidRPr="001043A6">
              <w:rPr>
                <w:rFonts w:ascii="Garamond" w:hAnsi="Garamond"/>
                <w:sz w:val="22"/>
                <w:szCs w:val="22"/>
                <w:highlight w:val="yellow"/>
              </w:rPr>
              <w:t xml:space="preserve">для </w:t>
            </w:r>
            <w:r w:rsidR="00F22159" w:rsidRPr="001043A6">
              <w:rPr>
                <w:rFonts w:ascii="Garamond" w:hAnsi="Garamond"/>
                <w:sz w:val="22"/>
                <w:szCs w:val="22"/>
                <w:highlight w:val="yellow"/>
              </w:rPr>
              <w:t>приборов учета</w:t>
            </w:r>
            <w:r w:rsidRPr="001043A6">
              <w:rPr>
                <w:rFonts w:ascii="Garamond" w:hAnsi="Garamond"/>
                <w:sz w:val="22"/>
                <w:szCs w:val="22"/>
                <w:highlight w:val="yellow"/>
              </w:rPr>
              <w:t xml:space="preserve"> в составе АИИС КУЭ и 90 суток для </w:t>
            </w:r>
            <w:r w:rsidR="00236FD1" w:rsidRPr="001043A6">
              <w:rPr>
                <w:rFonts w:ascii="Garamond" w:hAnsi="Garamond"/>
                <w:sz w:val="22"/>
                <w:szCs w:val="22"/>
                <w:highlight w:val="yellow"/>
              </w:rPr>
              <w:t>приборов учета</w:t>
            </w:r>
            <w:r w:rsidRPr="001043A6">
              <w:rPr>
                <w:rFonts w:ascii="Garamond" w:hAnsi="Garamond"/>
                <w:sz w:val="22"/>
                <w:szCs w:val="22"/>
                <w:highlight w:val="yellow"/>
              </w:rPr>
              <w:t xml:space="preserve"> в составе совокупности СИ и ТУ и ИПУ</w:t>
            </w:r>
            <w:r w:rsidR="006821BF" w:rsidRPr="001043A6">
              <w:rPr>
                <w:rFonts w:ascii="Garamond" w:hAnsi="Garamond"/>
                <w:sz w:val="22"/>
                <w:szCs w:val="22"/>
                <w:highlight w:val="yellow"/>
              </w:rPr>
              <w:t>, присоединенных к ИСУ</w:t>
            </w:r>
            <w:r w:rsidRPr="001043A6">
              <w:rPr>
                <w:rFonts w:ascii="Garamond" w:hAnsi="Garamond"/>
                <w:sz w:val="22"/>
                <w:szCs w:val="22"/>
              </w:rPr>
              <w:t>,</w:t>
            </w:r>
            <w:r w:rsidRPr="001043A6">
              <w:rPr>
                <w:rFonts w:ascii="Garamond" w:hAnsi="Garamond"/>
                <w:sz w:val="22"/>
                <w:szCs w:val="22"/>
                <w:highlight w:val="yellow"/>
              </w:rPr>
              <w:t xml:space="preserve"> </w:t>
            </w:r>
            <w:r w:rsidR="00240754" w:rsidRPr="001043A6">
              <w:rPr>
                <w:rFonts w:ascii="Garamond" w:hAnsi="Garamond"/>
                <w:sz w:val="22"/>
                <w:szCs w:val="22"/>
                <w:highlight w:val="yellow"/>
              </w:rPr>
              <w:t>а также</w:t>
            </w:r>
            <w:r w:rsidR="00240754" w:rsidRPr="001043A6">
              <w:rPr>
                <w:rFonts w:ascii="Garamond" w:hAnsi="Garamond"/>
                <w:sz w:val="22"/>
                <w:szCs w:val="22"/>
              </w:rPr>
              <w:t xml:space="preserve"> </w:t>
            </w:r>
            <w:r w:rsidRPr="001043A6">
              <w:rPr>
                <w:rFonts w:ascii="Garamond" w:hAnsi="Garamond"/>
                <w:sz w:val="22"/>
                <w:szCs w:val="22"/>
              </w:rPr>
              <w:t>данных по активной и реактивной электроэнергии с нарастающим итогом на начало расчетного периода</w:t>
            </w:r>
            <w:r w:rsidR="00240754" w:rsidRPr="001043A6">
              <w:rPr>
                <w:rFonts w:ascii="Garamond" w:hAnsi="Garamond"/>
                <w:sz w:val="22"/>
                <w:szCs w:val="22"/>
              </w:rPr>
              <w:t xml:space="preserve"> </w:t>
            </w:r>
            <w:r w:rsidR="00240754" w:rsidRPr="001043A6">
              <w:rPr>
                <w:rFonts w:ascii="Garamond" w:hAnsi="Garamond"/>
                <w:sz w:val="22"/>
                <w:szCs w:val="22"/>
                <w:highlight w:val="yellow"/>
              </w:rPr>
              <w:t>(в отношении ИПУ</w:t>
            </w:r>
            <w:r w:rsidR="006821BF" w:rsidRPr="001043A6">
              <w:rPr>
                <w:rFonts w:ascii="Garamond" w:hAnsi="Garamond"/>
                <w:sz w:val="22"/>
                <w:szCs w:val="22"/>
                <w:highlight w:val="yellow"/>
              </w:rPr>
              <w:t>, присоединенных к ИСУ,</w:t>
            </w:r>
            <w:r w:rsidR="00240754" w:rsidRPr="001043A6">
              <w:rPr>
                <w:rFonts w:ascii="Garamond" w:hAnsi="Garamond"/>
                <w:sz w:val="22"/>
                <w:szCs w:val="22"/>
                <w:highlight w:val="yellow"/>
              </w:rPr>
              <w:t xml:space="preserve"> – не менее 36 </w:t>
            </w:r>
            <w:r w:rsidR="00FC3381" w:rsidRPr="001043A6">
              <w:rPr>
                <w:rFonts w:ascii="Garamond" w:hAnsi="Garamond"/>
                <w:sz w:val="22"/>
                <w:szCs w:val="22"/>
                <w:highlight w:val="yellow"/>
              </w:rPr>
              <w:t>месяцев</w:t>
            </w:r>
            <w:r w:rsidR="00240754" w:rsidRPr="001043A6">
              <w:rPr>
                <w:rFonts w:ascii="Garamond" w:hAnsi="Garamond"/>
                <w:sz w:val="22"/>
                <w:szCs w:val="22"/>
                <w:highlight w:val="yellow"/>
              </w:rPr>
              <w:t>)</w:t>
            </w:r>
            <w:r w:rsidRPr="001043A6">
              <w:rPr>
                <w:rFonts w:ascii="Garamond" w:hAnsi="Garamond"/>
                <w:sz w:val="22"/>
                <w:szCs w:val="22"/>
              </w:rPr>
              <w:t>.</w:t>
            </w:r>
            <w:r w:rsidRPr="001043A6">
              <w:rPr>
                <w:rFonts w:ascii="Garamond" w:hAnsi="Garamond"/>
                <w:color w:val="FF0000"/>
                <w:sz w:val="22"/>
                <w:szCs w:val="22"/>
              </w:rPr>
              <w:t xml:space="preserve"> </w:t>
            </w:r>
          </w:p>
          <w:p w14:paraId="38731B06" w14:textId="77777777" w:rsidR="008867A5" w:rsidRPr="001043A6" w:rsidRDefault="008867A5" w:rsidP="00101F7C">
            <w:pPr>
              <w:numPr>
                <w:ilvl w:val="2"/>
                <w:numId w:val="95"/>
              </w:numPr>
              <w:tabs>
                <w:tab w:val="left" w:pos="0"/>
                <w:tab w:val="left" w:pos="1200"/>
                <w:tab w:val="left" w:pos="8100"/>
              </w:tabs>
              <w:suppressAutoHyphens w:val="0"/>
              <w:spacing w:line="22" w:lineRule="atLeast"/>
              <w:ind w:left="0" w:firstLine="601"/>
              <w:jc w:val="both"/>
              <w:rPr>
                <w:rFonts w:ascii="Garamond" w:hAnsi="Garamond"/>
                <w:sz w:val="22"/>
                <w:szCs w:val="22"/>
              </w:rPr>
            </w:pPr>
            <w:r w:rsidRPr="001043A6">
              <w:rPr>
                <w:rFonts w:ascii="Garamond" w:hAnsi="Garamond"/>
                <w:sz w:val="22"/>
                <w:szCs w:val="22"/>
              </w:rPr>
              <w:t>Наличие энергонезависимых часов</w:t>
            </w:r>
            <w:r w:rsidR="00240754" w:rsidRPr="001043A6">
              <w:rPr>
                <w:rFonts w:ascii="Garamond" w:hAnsi="Garamond"/>
                <w:sz w:val="22"/>
                <w:szCs w:val="22"/>
              </w:rPr>
              <w:t xml:space="preserve"> </w:t>
            </w:r>
            <w:r w:rsidR="00240754" w:rsidRPr="001043A6">
              <w:rPr>
                <w:rFonts w:ascii="Garamond" w:hAnsi="Garamond"/>
                <w:sz w:val="22"/>
                <w:szCs w:val="22"/>
                <w:highlight w:val="yellow"/>
              </w:rPr>
              <w:t>(независимо от наличия напряжения в питающей сети)</w:t>
            </w:r>
            <w:r w:rsidR="00240754" w:rsidRPr="001043A6">
              <w:rPr>
                <w:rFonts w:ascii="Garamond" w:hAnsi="Garamond"/>
                <w:sz w:val="22"/>
                <w:szCs w:val="22"/>
              </w:rPr>
              <w:t>,</w:t>
            </w:r>
            <w:r w:rsidRPr="001043A6">
              <w:rPr>
                <w:rFonts w:ascii="Garamond" w:hAnsi="Garamond"/>
                <w:sz w:val="22"/>
                <w:szCs w:val="22"/>
              </w:rPr>
              <w:t xml:space="preserve"> обеспечивающих ведение даты и времени (</w:t>
            </w:r>
            <w:r w:rsidR="00466E60" w:rsidRPr="001043A6">
              <w:rPr>
                <w:rFonts w:ascii="Garamond" w:hAnsi="Garamond"/>
                <w:sz w:val="22"/>
                <w:szCs w:val="22"/>
                <w:highlight w:val="yellow"/>
              </w:rPr>
              <w:t>с</w:t>
            </w:r>
            <w:r w:rsidR="00466E60" w:rsidRPr="001043A6">
              <w:rPr>
                <w:rFonts w:ascii="Garamond" w:hAnsi="Garamond"/>
                <w:sz w:val="22"/>
                <w:szCs w:val="22"/>
              </w:rPr>
              <w:t xml:space="preserve"> </w:t>
            </w:r>
            <w:r w:rsidRPr="001043A6">
              <w:rPr>
                <w:rFonts w:ascii="Garamond" w:hAnsi="Garamond"/>
                <w:sz w:val="22"/>
                <w:szCs w:val="22"/>
              </w:rPr>
              <w:t>точность</w:t>
            </w:r>
            <w:r w:rsidR="00466E60" w:rsidRPr="001043A6">
              <w:rPr>
                <w:rFonts w:ascii="Garamond" w:hAnsi="Garamond"/>
                <w:sz w:val="22"/>
                <w:szCs w:val="22"/>
                <w:highlight w:val="yellow"/>
              </w:rPr>
              <w:t>ю</w:t>
            </w:r>
            <w:r w:rsidRPr="001043A6">
              <w:rPr>
                <w:rFonts w:ascii="Garamond" w:hAnsi="Garamond"/>
                <w:sz w:val="22"/>
                <w:szCs w:val="22"/>
              </w:rPr>
              <w:t xml:space="preserve"> хода не хуже </w:t>
            </w:r>
            <w:r w:rsidRPr="001043A6">
              <w:rPr>
                <w:rFonts w:ascii="Garamond" w:hAnsi="Garamond"/>
                <w:sz w:val="22"/>
                <w:szCs w:val="22"/>
              </w:rPr>
              <w:sym w:font="Symbol" w:char="F0B1"/>
            </w:r>
            <w:r w:rsidRPr="001043A6">
              <w:rPr>
                <w:rFonts w:ascii="Garamond" w:hAnsi="Garamond"/>
                <w:sz w:val="22"/>
                <w:szCs w:val="22"/>
              </w:rPr>
              <w:t xml:space="preserve">5,0 с/сут </w:t>
            </w:r>
            <w:r w:rsidR="00BE360F" w:rsidRPr="001043A6">
              <w:rPr>
                <w:rFonts w:ascii="Garamond" w:hAnsi="Garamond"/>
                <w:sz w:val="22"/>
                <w:szCs w:val="22"/>
              </w:rPr>
              <w:t xml:space="preserve">с внешней </w:t>
            </w:r>
            <w:r w:rsidRPr="001043A6">
              <w:rPr>
                <w:rFonts w:ascii="Garamond" w:hAnsi="Garamond"/>
                <w:sz w:val="22"/>
                <w:szCs w:val="22"/>
              </w:rPr>
              <w:t>автоматическ</w:t>
            </w:r>
            <w:r w:rsidR="00BE360F" w:rsidRPr="001043A6">
              <w:rPr>
                <w:rFonts w:ascii="Garamond" w:hAnsi="Garamond"/>
                <w:sz w:val="22"/>
                <w:szCs w:val="22"/>
              </w:rPr>
              <w:t>ой</w:t>
            </w:r>
            <w:r w:rsidRPr="001043A6">
              <w:rPr>
                <w:rFonts w:ascii="Garamond" w:hAnsi="Garamond"/>
                <w:sz w:val="22"/>
                <w:szCs w:val="22"/>
              </w:rPr>
              <w:t xml:space="preserve"> </w:t>
            </w:r>
            <w:r w:rsidR="00240754" w:rsidRPr="001043A6">
              <w:rPr>
                <w:rFonts w:ascii="Garamond" w:hAnsi="Garamond"/>
                <w:sz w:val="22"/>
                <w:szCs w:val="22"/>
                <w:highlight w:val="yellow"/>
              </w:rPr>
              <w:t>синхронизаци</w:t>
            </w:r>
            <w:r w:rsidR="00F250EC" w:rsidRPr="001043A6">
              <w:rPr>
                <w:rFonts w:ascii="Garamond" w:hAnsi="Garamond"/>
                <w:sz w:val="22"/>
                <w:szCs w:val="22"/>
                <w:highlight w:val="yellow"/>
              </w:rPr>
              <w:t>ей</w:t>
            </w:r>
            <w:r w:rsidR="00240754" w:rsidRPr="001043A6">
              <w:rPr>
                <w:rFonts w:ascii="Garamond" w:hAnsi="Garamond"/>
                <w:sz w:val="22"/>
                <w:szCs w:val="22"/>
                <w:highlight w:val="yellow"/>
              </w:rPr>
              <w:t xml:space="preserve"> и</w:t>
            </w:r>
            <w:r w:rsidR="00240754" w:rsidRPr="001043A6">
              <w:rPr>
                <w:rFonts w:ascii="Garamond" w:hAnsi="Garamond"/>
                <w:sz w:val="22"/>
                <w:szCs w:val="22"/>
              </w:rPr>
              <w:t xml:space="preserve"> </w:t>
            </w:r>
            <w:r w:rsidRPr="001043A6">
              <w:rPr>
                <w:rFonts w:ascii="Garamond" w:hAnsi="Garamond"/>
                <w:sz w:val="22"/>
                <w:szCs w:val="22"/>
              </w:rPr>
              <w:t>коррекци</w:t>
            </w:r>
            <w:r w:rsidR="00F250EC" w:rsidRPr="001043A6">
              <w:rPr>
                <w:rFonts w:ascii="Garamond" w:hAnsi="Garamond"/>
                <w:sz w:val="22"/>
                <w:szCs w:val="22"/>
              </w:rPr>
              <w:t xml:space="preserve">ей </w:t>
            </w:r>
            <w:r w:rsidR="00F250EC" w:rsidRPr="001043A6">
              <w:rPr>
                <w:rFonts w:ascii="Garamond" w:hAnsi="Garamond"/>
                <w:sz w:val="22"/>
                <w:szCs w:val="22"/>
                <w:highlight w:val="yellow"/>
              </w:rPr>
              <w:t>времени</w:t>
            </w:r>
            <w:r w:rsidR="00F250EC" w:rsidRPr="001043A6">
              <w:rPr>
                <w:rFonts w:ascii="Garamond" w:hAnsi="Garamond"/>
                <w:sz w:val="22"/>
                <w:szCs w:val="22"/>
              </w:rPr>
              <w:t>, работающей</w:t>
            </w:r>
            <w:r w:rsidR="00240754" w:rsidRPr="001043A6">
              <w:rPr>
                <w:rFonts w:ascii="Garamond" w:hAnsi="Garamond"/>
                <w:sz w:val="22"/>
                <w:szCs w:val="22"/>
              </w:rPr>
              <w:t xml:space="preserve"> </w:t>
            </w:r>
            <w:r w:rsidRPr="001043A6">
              <w:rPr>
                <w:rFonts w:ascii="Garamond" w:hAnsi="Garamond"/>
                <w:sz w:val="22"/>
                <w:szCs w:val="22"/>
              </w:rPr>
              <w:t>в составе СОЕВ</w:t>
            </w:r>
            <w:r w:rsidR="00240754" w:rsidRPr="001043A6">
              <w:rPr>
                <w:rFonts w:ascii="Garamond" w:hAnsi="Garamond"/>
                <w:sz w:val="22"/>
                <w:szCs w:val="22"/>
              </w:rPr>
              <w:t xml:space="preserve"> </w:t>
            </w:r>
            <w:r w:rsidR="00240754" w:rsidRPr="001043A6">
              <w:rPr>
                <w:rFonts w:ascii="Garamond" w:hAnsi="Garamond"/>
                <w:sz w:val="22"/>
                <w:szCs w:val="22"/>
                <w:highlight w:val="yellow"/>
              </w:rPr>
              <w:t>или с внешним источником точного времени</w:t>
            </w:r>
            <w:r w:rsidR="00BE360F" w:rsidRPr="001043A6">
              <w:rPr>
                <w:rFonts w:ascii="Garamond" w:hAnsi="Garamond"/>
                <w:sz w:val="22"/>
                <w:szCs w:val="22"/>
              </w:rPr>
              <w:t>)</w:t>
            </w:r>
            <w:r w:rsidR="00952E69" w:rsidRPr="001043A6">
              <w:rPr>
                <w:rFonts w:ascii="Garamond" w:hAnsi="Garamond"/>
                <w:sz w:val="22"/>
                <w:szCs w:val="22"/>
              </w:rPr>
              <w:t>.</w:t>
            </w:r>
          </w:p>
          <w:p w14:paraId="32E09637" w14:textId="77777777" w:rsidR="008867A5" w:rsidRPr="001043A6" w:rsidRDefault="008867A5" w:rsidP="00101F7C">
            <w:pPr>
              <w:numPr>
                <w:ilvl w:val="2"/>
                <w:numId w:val="95"/>
              </w:numPr>
              <w:tabs>
                <w:tab w:val="left" w:pos="600"/>
                <w:tab w:val="left" w:pos="1200"/>
                <w:tab w:val="left" w:pos="8100"/>
              </w:tabs>
              <w:suppressAutoHyphens w:val="0"/>
              <w:spacing w:line="22" w:lineRule="atLeast"/>
              <w:ind w:left="0" w:firstLine="600"/>
              <w:jc w:val="both"/>
              <w:rPr>
                <w:rFonts w:ascii="Garamond" w:hAnsi="Garamond"/>
                <w:sz w:val="22"/>
                <w:szCs w:val="22"/>
              </w:rPr>
            </w:pPr>
            <w:r w:rsidRPr="001043A6">
              <w:rPr>
                <w:rFonts w:ascii="Garamond" w:hAnsi="Garamond"/>
                <w:sz w:val="22"/>
                <w:szCs w:val="22"/>
              </w:rPr>
              <w:t xml:space="preserve">Автоматическое ведение «Журнала событий» </w:t>
            </w:r>
            <w:r w:rsidR="00F22159" w:rsidRPr="001043A6">
              <w:rPr>
                <w:rFonts w:ascii="Garamond" w:hAnsi="Garamond"/>
                <w:sz w:val="22"/>
                <w:szCs w:val="22"/>
                <w:highlight w:val="yellow"/>
              </w:rPr>
              <w:t>прибора учета</w:t>
            </w:r>
            <w:r w:rsidRPr="001043A6">
              <w:rPr>
                <w:rFonts w:ascii="Garamond" w:hAnsi="Garamond"/>
                <w:sz w:val="22"/>
                <w:szCs w:val="22"/>
              </w:rPr>
              <w:t>, фиксирующего время и даты наступления событий:</w:t>
            </w:r>
          </w:p>
          <w:p w14:paraId="6CEF7812" w14:textId="77777777" w:rsidR="008867A5" w:rsidRPr="001043A6" w:rsidRDefault="008867A5" w:rsidP="00101F7C">
            <w:pPr>
              <w:numPr>
                <w:ilvl w:val="2"/>
                <w:numId w:val="94"/>
              </w:numPr>
              <w:tabs>
                <w:tab w:val="clear" w:pos="720"/>
                <w:tab w:val="left" w:pos="0"/>
                <w:tab w:val="num" w:pos="1026"/>
                <w:tab w:val="left" w:pos="1200"/>
              </w:tabs>
              <w:suppressAutoHyphens w:val="0"/>
              <w:spacing w:line="22" w:lineRule="atLeast"/>
              <w:ind w:left="34" w:firstLine="567"/>
              <w:jc w:val="both"/>
              <w:rPr>
                <w:rFonts w:ascii="Garamond" w:hAnsi="Garamond"/>
                <w:sz w:val="22"/>
                <w:szCs w:val="22"/>
              </w:rPr>
            </w:pPr>
            <w:r w:rsidRPr="001043A6">
              <w:rPr>
                <w:rFonts w:ascii="Garamond" w:hAnsi="Garamond"/>
                <w:sz w:val="22"/>
                <w:szCs w:val="22"/>
              </w:rPr>
              <w:t>факты связи с</w:t>
            </w:r>
            <w:r w:rsidR="00F22159" w:rsidRPr="001043A6">
              <w:rPr>
                <w:rFonts w:ascii="Garamond" w:hAnsi="Garamond"/>
                <w:sz w:val="22"/>
                <w:szCs w:val="22"/>
              </w:rPr>
              <w:t xml:space="preserve"> </w:t>
            </w:r>
            <w:r w:rsidR="00F22159" w:rsidRPr="001043A6">
              <w:rPr>
                <w:rFonts w:ascii="Garamond" w:hAnsi="Garamond"/>
                <w:sz w:val="22"/>
                <w:szCs w:val="22"/>
                <w:highlight w:val="yellow"/>
              </w:rPr>
              <w:t>прибором учета</w:t>
            </w:r>
            <w:r w:rsidRPr="001043A6">
              <w:rPr>
                <w:rFonts w:ascii="Garamond" w:hAnsi="Garamond"/>
                <w:sz w:val="22"/>
                <w:szCs w:val="22"/>
              </w:rPr>
              <w:t>, приведшие к каким-либо изменениям данных и конфигурации</w:t>
            </w:r>
            <w:r w:rsidR="00271DD8" w:rsidRPr="001043A6">
              <w:rPr>
                <w:rFonts w:ascii="Garamond" w:hAnsi="Garamond"/>
                <w:sz w:val="22"/>
                <w:szCs w:val="22"/>
              </w:rPr>
              <w:t xml:space="preserve"> </w:t>
            </w:r>
            <w:r w:rsidR="00271DD8" w:rsidRPr="001043A6">
              <w:rPr>
                <w:rFonts w:ascii="Garamond" w:hAnsi="Garamond"/>
                <w:sz w:val="22"/>
                <w:szCs w:val="22"/>
                <w:highlight w:val="yellow"/>
              </w:rPr>
              <w:t>(</w:t>
            </w:r>
            <w:r w:rsidR="004D66B4" w:rsidRPr="001043A6">
              <w:rPr>
                <w:rFonts w:ascii="Garamond" w:hAnsi="Garamond"/>
                <w:sz w:val="22"/>
                <w:szCs w:val="22"/>
                <w:highlight w:val="yellow"/>
              </w:rPr>
              <w:t>для ИПУ</w:t>
            </w:r>
            <w:r w:rsidR="006821BF" w:rsidRPr="001043A6">
              <w:rPr>
                <w:rFonts w:ascii="Garamond" w:hAnsi="Garamond"/>
                <w:sz w:val="22"/>
                <w:szCs w:val="22"/>
                <w:highlight w:val="yellow"/>
              </w:rPr>
              <w:t>, присоединенных к ИСУ,</w:t>
            </w:r>
            <w:r w:rsidR="004D66B4" w:rsidRPr="001043A6">
              <w:rPr>
                <w:rFonts w:ascii="Garamond" w:hAnsi="Garamond"/>
                <w:sz w:val="22"/>
                <w:szCs w:val="22"/>
                <w:highlight w:val="yellow"/>
              </w:rPr>
              <w:t xml:space="preserve"> </w:t>
            </w:r>
            <w:r w:rsidR="00271DD8" w:rsidRPr="001043A6">
              <w:rPr>
                <w:rFonts w:ascii="Garamond" w:hAnsi="Garamond"/>
                <w:sz w:val="22"/>
                <w:szCs w:val="22"/>
                <w:highlight w:val="yellow"/>
              </w:rPr>
              <w:t xml:space="preserve">с указанием типа и параметров выполненной команды, в том числе </w:t>
            </w:r>
            <w:r w:rsidR="004233B7" w:rsidRPr="001043A6">
              <w:rPr>
                <w:rFonts w:ascii="Garamond" w:hAnsi="Garamond"/>
                <w:sz w:val="22"/>
                <w:szCs w:val="22"/>
                <w:highlight w:val="yellow"/>
              </w:rPr>
              <w:t xml:space="preserve">выполненного </w:t>
            </w:r>
            <w:r w:rsidR="00271DD8" w:rsidRPr="001043A6">
              <w:rPr>
                <w:rFonts w:ascii="Garamond" w:hAnsi="Garamond"/>
                <w:sz w:val="22"/>
                <w:szCs w:val="22"/>
                <w:highlight w:val="yellow"/>
              </w:rPr>
              <w:t>перепрограммирования)</w:t>
            </w:r>
            <w:r w:rsidRPr="001043A6">
              <w:rPr>
                <w:rFonts w:ascii="Garamond" w:hAnsi="Garamond"/>
                <w:sz w:val="22"/>
                <w:szCs w:val="22"/>
              </w:rPr>
              <w:t>;</w:t>
            </w:r>
          </w:p>
          <w:p w14:paraId="39DE3E4E" w14:textId="77777777" w:rsidR="008867A5" w:rsidRPr="001043A6" w:rsidRDefault="008867A5" w:rsidP="00101F7C">
            <w:pPr>
              <w:numPr>
                <w:ilvl w:val="2"/>
                <w:numId w:val="94"/>
              </w:numPr>
              <w:tabs>
                <w:tab w:val="clear" w:pos="720"/>
                <w:tab w:val="left" w:pos="0"/>
                <w:tab w:val="num" w:pos="1026"/>
                <w:tab w:val="left" w:pos="1200"/>
              </w:tabs>
              <w:suppressAutoHyphens w:val="0"/>
              <w:spacing w:line="22" w:lineRule="atLeast"/>
              <w:ind w:left="34" w:firstLine="567"/>
              <w:jc w:val="both"/>
              <w:rPr>
                <w:rFonts w:ascii="Garamond" w:hAnsi="Garamond"/>
                <w:sz w:val="22"/>
                <w:szCs w:val="22"/>
              </w:rPr>
            </w:pPr>
            <w:r w:rsidRPr="001043A6">
              <w:rPr>
                <w:rFonts w:ascii="Garamond" w:hAnsi="Garamond"/>
                <w:color w:val="000000"/>
                <w:sz w:val="22"/>
                <w:szCs w:val="22"/>
              </w:rPr>
              <w:t>факты коррекции времени с обязательной фиксацией времени до и после коррекции или величины коррекции времени, на которую было скорректировано устройство</w:t>
            </w:r>
            <w:r w:rsidRPr="001043A6">
              <w:rPr>
                <w:rFonts w:ascii="Garamond" w:hAnsi="Garamond"/>
                <w:sz w:val="22"/>
                <w:szCs w:val="22"/>
              </w:rPr>
              <w:t>;</w:t>
            </w:r>
          </w:p>
          <w:p w14:paraId="1E09023E" w14:textId="77777777" w:rsidR="008867A5" w:rsidRPr="001043A6" w:rsidRDefault="008867A5" w:rsidP="00101F7C">
            <w:pPr>
              <w:numPr>
                <w:ilvl w:val="2"/>
                <w:numId w:val="94"/>
              </w:numPr>
              <w:tabs>
                <w:tab w:val="clear" w:pos="720"/>
                <w:tab w:val="left" w:pos="0"/>
                <w:tab w:val="num" w:pos="1026"/>
                <w:tab w:val="left" w:pos="1200"/>
              </w:tabs>
              <w:suppressAutoHyphens w:val="0"/>
              <w:spacing w:line="22" w:lineRule="atLeast"/>
              <w:ind w:left="34" w:firstLine="567"/>
              <w:jc w:val="both"/>
              <w:rPr>
                <w:rFonts w:ascii="Garamond" w:hAnsi="Garamond"/>
                <w:sz w:val="22"/>
                <w:szCs w:val="22"/>
              </w:rPr>
            </w:pPr>
            <w:r w:rsidRPr="001043A6">
              <w:rPr>
                <w:rFonts w:ascii="Garamond" w:hAnsi="Garamond"/>
                <w:sz w:val="22"/>
                <w:szCs w:val="22"/>
              </w:rPr>
              <w:t>формирование обобщенного события (или по каждому факту) по результатам автоматической самодиагностики;</w:t>
            </w:r>
          </w:p>
          <w:p w14:paraId="5AA7B813" w14:textId="6E2A7B94" w:rsidR="008867A5" w:rsidRPr="001043A6" w:rsidRDefault="008867A5" w:rsidP="00101F7C">
            <w:pPr>
              <w:numPr>
                <w:ilvl w:val="2"/>
                <w:numId w:val="94"/>
              </w:numPr>
              <w:tabs>
                <w:tab w:val="clear" w:pos="720"/>
                <w:tab w:val="left" w:pos="0"/>
                <w:tab w:val="num" w:pos="1026"/>
                <w:tab w:val="left" w:pos="1200"/>
              </w:tabs>
              <w:suppressAutoHyphens w:val="0"/>
              <w:spacing w:line="22" w:lineRule="atLeast"/>
              <w:ind w:left="34" w:firstLine="567"/>
              <w:jc w:val="both"/>
              <w:rPr>
                <w:rFonts w:ascii="Garamond" w:hAnsi="Garamond"/>
                <w:sz w:val="22"/>
                <w:szCs w:val="22"/>
              </w:rPr>
            </w:pPr>
            <w:r w:rsidRPr="001043A6">
              <w:rPr>
                <w:rFonts w:ascii="Garamond" w:hAnsi="Garamond"/>
                <w:sz w:val="22"/>
                <w:szCs w:val="22"/>
              </w:rPr>
              <w:lastRenderedPageBreak/>
              <w:t>отсутствие напряжения по каждой фазе с фиксацией времени пропадания и восстановления напряжения (обязательно с 31.12.2029</w:t>
            </w:r>
            <w:r w:rsidR="00A91A88" w:rsidRPr="001043A6">
              <w:rPr>
                <w:rFonts w:ascii="Garamond" w:hAnsi="Garamond"/>
                <w:sz w:val="22"/>
                <w:szCs w:val="22"/>
              </w:rPr>
              <w:t xml:space="preserve"> </w:t>
            </w:r>
            <w:r w:rsidR="00A91A88" w:rsidRPr="001043A6">
              <w:rPr>
                <w:rFonts w:ascii="Garamond" w:hAnsi="Garamond"/>
                <w:sz w:val="22"/>
                <w:szCs w:val="22"/>
                <w:highlight w:val="yellow"/>
              </w:rPr>
              <w:t xml:space="preserve">для </w:t>
            </w:r>
            <w:r w:rsidR="00F22159" w:rsidRPr="001043A6">
              <w:rPr>
                <w:rFonts w:ascii="Garamond" w:hAnsi="Garamond"/>
                <w:sz w:val="22"/>
                <w:szCs w:val="22"/>
                <w:highlight w:val="yellow"/>
              </w:rPr>
              <w:t>приборов учета</w:t>
            </w:r>
            <w:r w:rsidR="00A91A88" w:rsidRPr="001043A6">
              <w:rPr>
                <w:rFonts w:ascii="Garamond" w:hAnsi="Garamond"/>
                <w:sz w:val="22"/>
                <w:szCs w:val="22"/>
                <w:highlight w:val="yellow"/>
              </w:rPr>
              <w:t>, входящих в состав АИИС КУЭ</w:t>
            </w:r>
            <w:r w:rsidR="008C41A8">
              <w:rPr>
                <w:rFonts w:ascii="Garamond" w:hAnsi="Garamond"/>
                <w:sz w:val="22"/>
                <w:szCs w:val="22"/>
                <w:highlight w:val="yellow"/>
              </w:rPr>
              <w:t>,</w:t>
            </w:r>
            <w:r w:rsidR="00A91A88" w:rsidRPr="001043A6">
              <w:rPr>
                <w:rFonts w:ascii="Garamond" w:hAnsi="Garamond"/>
                <w:sz w:val="22"/>
                <w:szCs w:val="22"/>
                <w:highlight w:val="yellow"/>
              </w:rPr>
              <w:t xml:space="preserve"> и совокупности СИ и ТУ</w:t>
            </w:r>
            <w:r w:rsidRPr="001043A6">
              <w:rPr>
                <w:rFonts w:ascii="Garamond" w:hAnsi="Garamond"/>
                <w:sz w:val="22"/>
                <w:szCs w:val="22"/>
              </w:rPr>
              <w:t>);</w:t>
            </w:r>
          </w:p>
          <w:p w14:paraId="6F4D898A" w14:textId="77777777" w:rsidR="008867A5" w:rsidRPr="001043A6" w:rsidRDefault="008867A5" w:rsidP="00101F7C">
            <w:pPr>
              <w:numPr>
                <w:ilvl w:val="2"/>
                <w:numId w:val="94"/>
              </w:numPr>
              <w:tabs>
                <w:tab w:val="clear" w:pos="720"/>
                <w:tab w:val="left" w:pos="0"/>
                <w:tab w:val="num" w:pos="1026"/>
                <w:tab w:val="left" w:pos="1200"/>
              </w:tabs>
              <w:suppressAutoHyphens w:val="0"/>
              <w:spacing w:line="22" w:lineRule="atLeast"/>
              <w:ind w:left="34" w:firstLine="567"/>
              <w:jc w:val="both"/>
              <w:rPr>
                <w:rFonts w:ascii="Garamond" w:hAnsi="Garamond"/>
                <w:sz w:val="22"/>
                <w:szCs w:val="22"/>
              </w:rPr>
            </w:pPr>
            <w:r w:rsidRPr="001043A6">
              <w:rPr>
                <w:rFonts w:ascii="Garamond" w:hAnsi="Garamond"/>
                <w:sz w:val="22"/>
                <w:szCs w:val="22"/>
              </w:rPr>
              <w:t xml:space="preserve">перерывы питания </w:t>
            </w:r>
            <w:r w:rsidR="00F22159" w:rsidRPr="001043A6">
              <w:rPr>
                <w:rFonts w:ascii="Garamond" w:hAnsi="Garamond"/>
                <w:sz w:val="22"/>
                <w:szCs w:val="22"/>
                <w:highlight w:val="yellow"/>
              </w:rPr>
              <w:t>прибора учета</w:t>
            </w:r>
            <w:r w:rsidRPr="001043A6">
              <w:rPr>
                <w:rFonts w:ascii="Garamond" w:hAnsi="Garamond"/>
                <w:sz w:val="22"/>
                <w:szCs w:val="22"/>
              </w:rPr>
              <w:t xml:space="preserve"> с фиксацией времени пропадания и восстановления.</w:t>
            </w:r>
          </w:p>
          <w:p w14:paraId="0CA26EC5" w14:textId="77777777" w:rsidR="0021353F" w:rsidRPr="001043A6" w:rsidRDefault="0021353F" w:rsidP="00FC3381">
            <w:pPr>
              <w:tabs>
                <w:tab w:val="left" w:pos="0"/>
                <w:tab w:val="left" w:pos="885"/>
                <w:tab w:val="num" w:pos="1026"/>
                <w:tab w:val="left" w:pos="1200"/>
              </w:tabs>
              <w:suppressAutoHyphens w:val="0"/>
              <w:spacing w:line="22" w:lineRule="atLeast"/>
              <w:ind w:left="34" w:firstLine="567"/>
              <w:jc w:val="both"/>
              <w:rPr>
                <w:rFonts w:ascii="Garamond" w:hAnsi="Garamond"/>
                <w:sz w:val="22"/>
                <w:szCs w:val="22"/>
                <w:highlight w:val="yellow"/>
              </w:rPr>
            </w:pPr>
            <w:r w:rsidRPr="001043A6">
              <w:rPr>
                <w:rFonts w:ascii="Garamond" w:hAnsi="Garamond"/>
                <w:sz w:val="22"/>
                <w:szCs w:val="22"/>
                <w:highlight w:val="yellow"/>
              </w:rPr>
              <w:t>В отношении ИПУ</w:t>
            </w:r>
            <w:r w:rsidR="006821BF" w:rsidRPr="001043A6">
              <w:rPr>
                <w:rFonts w:ascii="Garamond" w:hAnsi="Garamond"/>
                <w:sz w:val="22"/>
                <w:szCs w:val="22"/>
                <w:highlight w:val="yellow"/>
              </w:rPr>
              <w:t>, присоединенных к ИСУ,</w:t>
            </w:r>
            <w:r w:rsidRPr="001043A6">
              <w:rPr>
                <w:rFonts w:ascii="Garamond" w:hAnsi="Garamond"/>
                <w:sz w:val="22"/>
                <w:szCs w:val="22"/>
                <w:highlight w:val="yellow"/>
              </w:rPr>
              <w:t xml:space="preserve"> </w:t>
            </w:r>
            <w:r w:rsidR="004233B7" w:rsidRPr="001043A6">
              <w:rPr>
                <w:rFonts w:ascii="Garamond" w:hAnsi="Garamond"/>
                <w:sz w:val="22"/>
                <w:szCs w:val="22"/>
                <w:highlight w:val="yellow"/>
              </w:rPr>
              <w:t>в</w:t>
            </w:r>
            <w:r w:rsidR="00271DD8" w:rsidRPr="001043A6">
              <w:rPr>
                <w:rFonts w:ascii="Garamond" w:hAnsi="Garamond"/>
                <w:sz w:val="22"/>
                <w:szCs w:val="22"/>
                <w:highlight w:val="yellow"/>
              </w:rPr>
              <w:t xml:space="preserve"> «Журнал</w:t>
            </w:r>
            <w:r w:rsidR="004233B7" w:rsidRPr="001043A6">
              <w:rPr>
                <w:rFonts w:ascii="Garamond" w:hAnsi="Garamond"/>
                <w:sz w:val="22"/>
                <w:szCs w:val="22"/>
                <w:highlight w:val="yellow"/>
              </w:rPr>
              <w:t>е</w:t>
            </w:r>
            <w:r w:rsidR="00271DD8" w:rsidRPr="001043A6">
              <w:rPr>
                <w:rFonts w:ascii="Garamond" w:hAnsi="Garamond"/>
                <w:sz w:val="22"/>
                <w:szCs w:val="22"/>
                <w:highlight w:val="yellow"/>
              </w:rPr>
              <w:t xml:space="preserve"> событий»</w:t>
            </w:r>
            <w:r w:rsidR="004233B7" w:rsidRPr="001043A6">
              <w:rPr>
                <w:rFonts w:ascii="Garamond" w:hAnsi="Garamond"/>
                <w:sz w:val="22"/>
                <w:szCs w:val="22"/>
                <w:highlight w:val="yellow"/>
              </w:rPr>
              <w:t xml:space="preserve"> дополнительно должны</w:t>
            </w:r>
            <w:r w:rsidR="00271DD8" w:rsidRPr="001043A6">
              <w:rPr>
                <w:rFonts w:ascii="Garamond" w:hAnsi="Garamond"/>
                <w:sz w:val="22"/>
                <w:szCs w:val="22"/>
                <w:highlight w:val="yellow"/>
              </w:rPr>
              <w:t xml:space="preserve"> фиксир</w:t>
            </w:r>
            <w:r w:rsidR="004233B7" w:rsidRPr="001043A6">
              <w:rPr>
                <w:rFonts w:ascii="Garamond" w:hAnsi="Garamond"/>
                <w:sz w:val="22"/>
                <w:szCs w:val="22"/>
                <w:highlight w:val="yellow"/>
              </w:rPr>
              <w:t>оваться</w:t>
            </w:r>
            <w:r w:rsidR="00271DD8" w:rsidRPr="001043A6">
              <w:rPr>
                <w:rFonts w:ascii="Garamond" w:hAnsi="Garamond"/>
                <w:sz w:val="22"/>
                <w:szCs w:val="22"/>
                <w:highlight w:val="yellow"/>
              </w:rPr>
              <w:t xml:space="preserve"> время и даты наступления событий</w:t>
            </w:r>
            <w:r w:rsidRPr="001043A6">
              <w:rPr>
                <w:rFonts w:ascii="Garamond" w:hAnsi="Garamond"/>
                <w:sz w:val="22"/>
                <w:szCs w:val="22"/>
                <w:highlight w:val="yellow"/>
              </w:rPr>
              <w:t>:</w:t>
            </w:r>
          </w:p>
          <w:p w14:paraId="4E8023F4" w14:textId="77777777" w:rsidR="0021353F" w:rsidRPr="001043A6" w:rsidRDefault="0021353F" w:rsidP="00101F7C">
            <w:pPr>
              <w:numPr>
                <w:ilvl w:val="2"/>
                <w:numId w:val="94"/>
              </w:numPr>
              <w:tabs>
                <w:tab w:val="clear" w:pos="720"/>
                <w:tab w:val="left" w:pos="0"/>
                <w:tab w:val="num" w:pos="885"/>
                <w:tab w:val="num" w:pos="1026"/>
                <w:tab w:val="left" w:pos="1200"/>
              </w:tabs>
              <w:suppressAutoHyphens w:val="0"/>
              <w:spacing w:line="22" w:lineRule="atLeast"/>
              <w:ind w:left="34" w:firstLine="567"/>
              <w:jc w:val="both"/>
              <w:rPr>
                <w:rFonts w:ascii="Garamond" w:hAnsi="Garamond"/>
                <w:sz w:val="22"/>
                <w:szCs w:val="22"/>
                <w:highlight w:val="yellow"/>
              </w:rPr>
            </w:pPr>
            <w:r w:rsidRPr="001043A6">
              <w:rPr>
                <w:rFonts w:ascii="Garamond" w:hAnsi="Garamond"/>
                <w:sz w:val="22"/>
                <w:szCs w:val="22"/>
                <w:highlight w:val="yellow"/>
              </w:rPr>
              <w:t>вскрытия клеммной крышки;</w:t>
            </w:r>
          </w:p>
          <w:p w14:paraId="24F01DCF" w14:textId="77777777" w:rsidR="0021353F" w:rsidRPr="001043A6" w:rsidRDefault="00271DD8" w:rsidP="00101F7C">
            <w:pPr>
              <w:numPr>
                <w:ilvl w:val="2"/>
                <w:numId w:val="94"/>
              </w:numPr>
              <w:tabs>
                <w:tab w:val="clear" w:pos="720"/>
                <w:tab w:val="left" w:pos="0"/>
                <w:tab w:val="num" w:pos="885"/>
                <w:tab w:val="num" w:pos="1026"/>
                <w:tab w:val="left" w:pos="1200"/>
              </w:tabs>
              <w:suppressAutoHyphens w:val="0"/>
              <w:spacing w:line="22" w:lineRule="atLeast"/>
              <w:ind w:left="34" w:firstLine="567"/>
              <w:jc w:val="both"/>
              <w:rPr>
                <w:rFonts w:ascii="Garamond" w:hAnsi="Garamond"/>
                <w:sz w:val="22"/>
                <w:szCs w:val="22"/>
                <w:highlight w:val="yellow"/>
              </w:rPr>
            </w:pPr>
            <w:r w:rsidRPr="001043A6">
              <w:rPr>
                <w:rFonts w:ascii="Garamond" w:hAnsi="Garamond"/>
                <w:sz w:val="22"/>
                <w:szCs w:val="22"/>
                <w:highlight w:val="yellow"/>
              </w:rPr>
              <w:t>вскрытия корпуса прибора учета</w:t>
            </w:r>
            <w:r w:rsidR="00567565" w:rsidRPr="001043A6">
              <w:rPr>
                <w:rFonts w:ascii="Garamond" w:hAnsi="Garamond"/>
                <w:sz w:val="22"/>
                <w:szCs w:val="22"/>
                <w:highlight w:val="yellow"/>
              </w:rPr>
              <w:t xml:space="preserve"> </w:t>
            </w:r>
            <w:r w:rsidRPr="001043A6">
              <w:rPr>
                <w:rFonts w:ascii="Garamond" w:hAnsi="Garamond"/>
                <w:sz w:val="22"/>
                <w:szCs w:val="22"/>
                <w:highlight w:val="yellow"/>
              </w:rPr>
              <w:t>(для разборных корпусов);</w:t>
            </w:r>
          </w:p>
          <w:p w14:paraId="2AB463B2" w14:textId="77777777" w:rsidR="00271DD8" w:rsidRPr="001043A6" w:rsidRDefault="00271DD8" w:rsidP="00101F7C">
            <w:pPr>
              <w:numPr>
                <w:ilvl w:val="2"/>
                <w:numId w:val="94"/>
              </w:numPr>
              <w:tabs>
                <w:tab w:val="clear" w:pos="720"/>
                <w:tab w:val="left" w:pos="0"/>
                <w:tab w:val="left" w:pos="885"/>
                <w:tab w:val="num" w:pos="1026"/>
                <w:tab w:val="left" w:pos="1200"/>
              </w:tabs>
              <w:suppressAutoHyphens w:val="0"/>
              <w:spacing w:line="22" w:lineRule="atLeast"/>
              <w:ind w:left="34" w:firstLine="567"/>
              <w:jc w:val="both"/>
              <w:rPr>
                <w:rFonts w:ascii="Garamond" w:hAnsi="Garamond"/>
                <w:sz w:val="22"/>
                <w:szCs w:val="22"/>
                <w:highlight w:val="yellow"/>
              </w:rPr>
            </w:pPr>
            <w:r w:rsidRPr="001043A6">
              <w:rPr>
                <w:rFonts w:ascii="Garamond" w:hAnsi="Garamond"/>
                <w:sz w:val="22"/>
                <w:szCs w:val="22"/>
                <w:highlight w:val="yellow"/>
              </w:rPr>
              <w:t>включения и отключения встроенного коммутационного аппарата</w:t>
            </w:r>
            <w:r w:rsidR="00FC3381" w:rsidRPr="001043A6">
              <w:rPr>
                <w:rFonts w:ascii="Garamond" w:hAnsi="Garamond"/>
                <w:sz w:val="22"/>
                <w:szCs w:val="22"/>
                <w:highlight w:val="yellow"/>
              </w:rPr>
              <w:t xml:space="preserve"> (с указанием причины)</w:t>
            </w:r>
            <w:r w:rsidRPr="001043A6">
              <w:rPr>
                <w:rFonts w:ascii="Garamond" w:hAnsi="Garamond"/>
                <w:sz w:val="22"/>
                <w:szCs w:val="22"/>
                <w:highlight w:val="yellow"/>
              </w:rPr>
              <w:t>;</w:t>
            </w:r>
          </w:p>
          <w:p w14:paraId="656160CE" w14:textId="77777777" w:rsidR="00271DD8" w:rsidRPr="001043A6" w:rsidRDefault="00271DD8" w:rsidP="00101F7C">
            <w:pPr>
              <w:numPr>
                <w:ilvl w:val="2"/>
                <w:numId w:val="94"/>
              </w:numPr>
              <w:tabs>
                <w:tab w:val="clear" w:pos="720"/>
                <w:tab w:val="left" w:pos="0"/>
                <w:tab w:val="left" w:pos="885"/>
                <w:tab w:val="num" w:pos="1026"/>
                <w:tab w:val="left" w:pos="1200"/>
              </w:tabs>
              <w:suppressAutoHyphens w:val="0"/>
              <w:spacing w:line="22" w:lineRule="atLeast"/>
              <w:ind w:left="34" w:firstLine="567"/>
              <w:jc w:val="both"/>
              <w:rPr>
                <w:rFonts w:ascii="Garamond" w:hAnsi="Garamond"/>
                <w:sz w:val="22"/>
                <w:szCs w:val="22"/>
                <w:highlight w:val="yellow"/>
              </w:rPr>
            </w:pPr>
            <w:r w:rsidRPr="001043A6">
              <w:rPr>
                <w:rFonts w:ascii="Garamond" w:hAnsi="Garamond"/>
                <w:sz w:val="22"/>
                <w:szCs w:val="22"/>
                <w:highlight w:val="yellow"/>
              </w:rPr>
              <w:t>попытк</w:t>
            </w:r>
            <w:r w:rsidR="00FC3381" w:rsidRPr="001043A6">
              <w:rPr>
                <w:rFonts w:ascii="Garamond" w:hAnsi="Garamond"/>
                <w:sz w:val="22"/>
                <w:szCs w:val="22"/>
                <w:highlight w:val="yellow"/>
              </w:rPr>
              <w:t>и</w:t>
            </w:r>
            <w:r w:rsidRPr="001043A6">
              <w:rPr>
                <w:rFonts w:ascii="Garamond" w:hAnsi="Garamond"/>
                <w:sz w:val="22"/>
                <w:szCs w:val="22"/>
                <w:highlight w:val="yellow"/>
              </w:rPr>
              <w:t xml:space="preserve"> доступа с неуспешной идентификацией и (или) аутентификацией;</w:t>
            </w:r>
          </w:p>
          <w:p w14:paraId="63CBA111" w14:textId="77777777" w:rsidR="00271DD8" w:rsidRPr="001043A6" w:rsidRDefault="00271DD8" w:rsidP="00101F7C">
            <w:pPr>
              <w:numPr>
                <w:ilvl w:val="2"/>
                <w:numId w:val="94"/>
              </w:numPr>
              <w:tabs>
                <w:tab w:val="clear" w:pos="720"/>
                <w:tab w:val="left" w:pos="0"/>
                <w:tab w:val="left" w:pos="885"/>
                <w:tab w:val="num" w:pos="1026"/>
                <w:tab w:val="left" w:pos="1200"/>
              </w:tabs>
              <w:suppressAutoHyphens w:val="0"/>
              <w:spacing w:line="22" w:lineRule="atLeast"/>
              <w:ind w:left="34" w:firstLine="567"/>
              <w:jc w:val="both"/>
              <w:rPr>
                <w:rFonts w:ascii="Garamond" w:hAnsi="Garamond"/>
                <w:sz w:val="22"/>
                <w:szCs w:val="22"/>
                <w:highlight w:val="yellow"/>
              </w:rPr>
            </w:pPr>
            <w:r w:rsidRPr="001043A6">
              <w:rPr>
                <w:rFonts w:ascii="Garamond" w:hAnsi="Garamond"/>
                <w:sz w:val="22"/>
                <w:szCs w:val="22"/>
                <w:highlight w:val="yellow"/>
              </w:rPr>
              <w:t>попытк</w:t>
            </w:r>
            <w:r w:rsidR="00FC3381" w:rsidRPr="001043A6">
              <w:rPr>
                <w:rFonts w:ascii="Garamond" w:hAnsi="Garamond"/>
                <w:sz w:val="22"/>
                <w:szCs w:val="22"/>
                <w:highlight w:val="yellow"/>
              </w:rPr>
              <w:t>и</w:t>
            </w:r>
            <w:r w:rsidRPr="001043A6">
              <w:rPr>
                <w:rFonts w:ascii="Garamond" w:hAnsi="Garamond"/>
                <w:sz w:val="22"/>
                <w:szCs w:val="22"/>
                <w:highlight w:val="yellow"/>
              </w:rPr>
              <w:t xml:space="preserve"> доступа с нарушением правил управления доступом;</w:t>
            </w:r>
          </w:p>
          <w:p w14:paraId="15EEE80A" w14:textId="77777777" w:rsidR="00271DD8" w:rsidRPr="001043A6" w:rsidRDefault="00271DD8" w:rsidP="00101F7C">
            <w:pPr>
              <w:numPr>
                <w:ilvl w:val="2"/>
                <w:numId w:val="94"/>
              </w:numPr>
              <w:tabs>
                <w:tab w:val="clear" w:pos="720"/>
                <w:tab w:val="left" w:pos="0"/>
                <w:tab w:val="left" w:pos="885"/>
                <w:tab w:val="num" w:pos="1026"/>
                <w:tab w:val="left" w:pos="1200"/>
              </w:tabs>
              <w:suppressAutoHyphens w:val="0"/>
              <w:spacing w:line="22" w:lineRule="atLeast"/>
              <w:ind w:left="34" w:firstLine="567"/>
              <w:jc w:val="both"/>
              <w:rPr>
                <w:rFonts w:ascii="Garamond" w:hAnsi="Garamond"/>
                <w:sz w:val="22"/>
                <w:szCs w:val="22"/>
                <w:highlight w:val="yellow"/>
              </w:rPr>
            </w:pPr>
            <w:r w:rsidRPr="001043A6">
              <w:rPr>
                <w:rFonts w:ascii="Garamond" w:hAnsi="Garamond"/>
                <w:sz w:val="22"/>
                <w:szCs w:val="22"/>
                <w:highlight w:val="yellow"/>
              </w:rPr>
              <w:t>попытк</w:t>
            </w:r>
            <w:r w:rsidR="00FC3381" w:rsidRPr="001043A6">
              <w:rPr>
                <w:rFonts w:ascii="Garamond" w:hAnsi="Garamond"/>
                <w:sz w:val="22"/>
                <w:szCs w:val="22"/>
                <w:highlight w:val="yellow"/>
              </w:rPr>
              <w:t>и</w:t>
            </w:r>
            <w:r w:rsidRPr="001043A6">
              <w:rPr>
                <w:rFonts w:ascii="Garamond" w:hAnsi="Garamond"/>
                <w:sz w:val="22"/>
                <w:szCs w:val="22"/>
                <w:highlight w:val="yellow"/>
              </w:rPr>
              <w:t xml:space="preserve"> несанкционированного нарушения целостности программного обеспечения и параметров;</w:t>
            </w:r>
          </w:p>
          <w:p w14:paraId="09487977" w14:textId="77777777" w:rsidR="009B4FB3" w:rsidRPr="001043A6" w:rsidRDefault="009B4FB3" w:rsidP="00101F7C">
            <w:pPr>
              <w:numPr>
                <w:ilvl w:val="2"/>
                <w:numId w:val="94"/>
              </w:numPr>
              <w:tabs>
                <w:tab w:val="clear" w:pos="720"/>
                <w:tab w:val="left" w:pos="0"/>
                <w:tab w:val="left" w:pos="885"/>
                <w:tab w:val="num" w:pos="1026"/>
                <w:tab w:val="left" w:pos="1200"/>
              </w:tabs>
              <w:suppressAutoHyphens w:val="0"/>
              <w:spacing w:line="22" w:lineRule="atLeast"/>
              <w:ind w:left="34" w:firstLine="567"/>
              <w:jc w:val="both"/>
              <w:rPr>
                <w:rFonts w:ascii="Garamond" w:hAnsi="Garamond"/>
                <w:sz w:val="22"/>
                <w:szCs w:val="22"/>
                <w:highlight w:val="yellow"/>
              </w:rPr>
            </w:pPr>
            <w:r w:rsidRPr="001043A6">
              <w:rPr>
                <w:rFonts w:ascii="Garamond" w:hAnsi="Garamond"/>
                <w:sz w:val="22"/>
                <w:szCs w:val="22"/>
                <w:highlight w:val="yellow"/>
              </w:rPr>
              <w:t>воздействи</w:t>
            </w:r>
            <w:r w:rsidR="00FC3381" w:rsidRPr="001043A6">
              <w:rPr>
                <w:rFonts w:ascii="Garamond" w:hAnsi="Garamond"/>
                <w:sz w:val="22"/>
                <w:szCs w:val="22"/>
                <w:highlight w:val="yellow"/>
              </w:rPr>
              <w:t>я</w:t>
            </w:r>
            <w:r w:rsidRPr="001043A6">
              <w:rPr>
                <w:rFonts w:ascii="Garamond" w:hAnsi="Garamond"/>
                <w:sz w:val="22"/>
                <w:szCs w:val="22"/>
                <w:highlight w:val="yellow"/>
              </w:rPr>
              <w:t xml:space="preserve"> постоянного или переменного магнитного поля со значением модуля вектора магнитной индукции свыше 150 мТл (пиковое значение);</w:t>
            </w:r>
          </w:p>
          <w:p w14:paraId="3C6875B0" w14:textId="1AEE2C77" w:rsidR="009B4FB3" w:rsidRPr="001043A6" w:rsidRDefault="009B4FB3" w:rsidP="00101F7C">
            <w:pPr>
              <w:numPr>
                <w:ilvl w:val="2"/>
                <w:numId w:val="94"/>
              </w:numPr>
              <w:tabs>
                <w:tab w:val="clear" w:pos="720"/>
                <w:tab w:val="left" w:pos="0"/>
                <w:tab w:val="left" w:pos="885"/>
                <w:tab w:val="num" w:pos="1026"/>
                <w:tab w:val="left" w:pos="1200"/>
              </w:tabs>
              <w:suppressAutoHyphens w:val="0"/>
              <w:spacing w:line="22" w:lineRule="atLeast"/>
              <w:ind w:left="34" w:firstLine="567"/>
              <w:jc w:val="both"/>
              <w:rPr>
                <w:rFonts w:ascii="Garamond" w:hAnsi="Garamond"/>
                <w:sz w:val="22"/>
                <w:szCs w:val="22"/>
                <w:highlight w:val="yellow"/>
              </w:rPr>
            </w:pPr>
            <w:r w:rsidRPr="001043A6">
              <w:rPr>
                <w:rFonts w:ascii="Garamond" w:hAnsi="Garamond"/>
                <w:sz w:val="22"/>
                <w:szCs w:val="22"/>
                <w:highlight w:val="yellow"/>
              </w:rPr>
              <w:t>факт</w:t>
            </w:r>
            <w:r w:rsidR="00FC3381" w:rsidRPr="001043A6">
              <w:rPr>
                <w:rFonts w:ascii="Garamond" w:hAnsi="Garamond"/>
                <w:sz w:val="22"/>
                <w:szCs w:val="22"/>
                <w:highlight w:val="yellow"/>
              </w:rPr>
              <w:t>а</w:t>
            </w:r>
            <w:r w:rsidRPr="001043A6">
              <w:rPr>
                <w:rFonts w:ascii="Garamond" w:hAnsi="Garamond"/>
                <w:sz w:val="22"/>
                <w:szCs w:val="22"/>
                <w:highlight w:val="yellow"/>
              </w:rPr>
              <w:t xml:space="preserve"> связи с прибором учета, приведше</w:t>
            </w:r>
            <w:r w:rsidR="00FC3381" w:rsidRPr="001043A6">
              <w:rPr>
                <w:rFonts w:ascii="Garamond" w:hAnsi="Garamond"/>
                <w:sz w:val="22"/>
                <w:szCs w:val="22"/>
                <w:highlight w:val="yellow"/>
              </w:rPr>
              <w:t>го</w:t>
            </w:r>
            <w:r w:rsidRPr="001043A6">
              <w:rPr>
                <w:rFonts w:ascii="Garamond" w:hAnsi="Garamond"/>
                <w:sz w:val="22"/>
                <w:szCs w:val="22"/>
                <w:highlight w:val="yellow"/>
              </w:rPr>
              <w:t xml:space="preserve"> к изменению режимов функционирования (в том числе введение полного и (или) частичного ограничения (возобновления) режима потребления </w:t>
            </w:r>
            <w:r w:rsidR="000D73B3" w:rsidRPr="001043A6">
              <w:rPr>
                <w:rFonts w:ascii="Garamond" w:hAnsi="Garamond"/>
                <w:sz w:val="22"/>
                <w:szCs w:val="22"/>
                <w:highlight w:val="yellow"/>
              </w:rPr>
              <w:t>электро</w:t>
            </w:r>
            <w:r w:rsidRPr="001043A6">
              <w:rPr>
                <w:rFonts w:ascii="Garamond" w:hAnsi="Garamond"/>
                <w:sz w:val="22"/>
                <w:szCs w:val="22"/>
                <w:highlight w:val="yellow"/>
              </w:rPr>
              <w:t>энергии (управление нагрузкой)</w:t>
            </w:r>
            <w:r w:rsidR="008C41A8">
              <w:rPr>
                <w:rFonts w:ascii="Garamond" w:hAnsi="Garamond"/>
                <w:sz w:val="22"/>
                <w:szCs w:val="22"/>
                <w:highlight w:val="yellow"/>
              </w:rPr>
              <w:t>)</w:t>
            </w:r>
            <w:r w:rsidRPr="001043A6">
              <w:rPr>
                <w:rFonts w:ascii="Garamond" w:hAnsi="Garamond"/>
                <w:sz w:val="22"/>
                <w:szCs w:val="22"/>
                <w:highlight w:val="yellow"/>
              </w:rPr>
              <w:t>;</w:t>
            </w:r>
          </w:p>
          <w:p w14:paraId="0E77C844" w14:textId="77777777" w:rsidR="009B4FB3" w:rsidRPr="001043A6" w:rsidRDefault="009B4FB3" w:rsidP="00101F7C">
            <w:pPr>
              <w:numPr>
                <w:ilvl w:val="2"/>
                <w:numId w:val="94"/>
              </w:numPr>
              <w:tabs>
                <w:tab w:val="clear" w:pos="720"/>
                <w:tab w:val="left" w:pos="0"/>
                <w:tab w:val="left" w:pos="885"/>
                <w:tab w:val="num" w:pos="1026"/>
                <w:tab w:val="left" w:pos="1200"/>
              </w:tabs>
              <w:suppressAutoHyphens w:val="0"/>
              <w:spacing w:line="22" w:lineRule="atLeast"/>
              <w:ind w:left="34" w:firstLine="567"/>
              <w:jc w:val="both"/>
              <w:rPr>
                <w:rFonts w:ascii="Garamond" w:hAnsi="Garamond"/>
                <w:sz w:val="22"/>
                <w:szCs w:val="22"/>
                <w:highlight w:val="yellow"/>
              </w:rPr>
            </w:pPr>
            <w:r w:rsidRPr="001043A6">
              <w:rPr>
                <w:rFonts w:ascii="Garamond" w:hAnsi="Garamond"/>
                <w:sz w:val="22"/>
                <w:szCs w:val="22"/>
                <w:highlight w:val="yellow"/>
              </w:rPr>
              <w:t>отклонения напряжения в измерительных цепях от заданных пределов;</w:t>
            </w:r>
          </w:p>
          <w:p w14:paraId="244A9EB0" w14:textId="2A4A8838" w:rsidR="009B4FB3" w:rsidRPr="001043A6" w:rsidRDefault="009B4FB3" w:rsidP="00101F7C">
            <w:pPr>
              <w:numPr>
                <w:ilvl w:val="2"/>
                <w:numId w:val="94"/>
              </w:numPr>
              <w:tabs>
                <w:tab w:val="clear" w:pos="720"/>
                <w:tab w:val="left" w:pos="0"/>
                <w:tab w:val="left" w:pos="885"/>
                <w:tab w:val="num" w:pos="1026"/>
                <w:tab w:val="left" w:pos="1200"/>
              </w:tabs>
              <w:suppressAutoHyphens w:val="0"/>
              <w:spacing w:line="22" w:lineRule="atLeast"/>
              <w:ind w:left="34" w:firstLine="567"/>
              <w:jc w:val="both"/>
              <w:rPr>
                <w:rFonts w:ascii="Garamond" w:hAnsi="Garamond"/>
                <w:sz w:val="22"/>
                <w:szCs w:val="22"/>
                <w:highlight w:val="yellow"/>
              </w:rPr>
            </w:pPr>
            <w:r w:rsidRPr="001043A6">
              <w:rPr>
                <w:rFonts w:ascii="Garamond" w:hAnsi="Garamond"/>
                <w:sz w:val="22"/>
                <w:szCs w:val="22"/>
                <w:highlight w:val="yellow"/>
              </w:rPr>
              <w:t>отсутстви</w:t>
            </w:r>
            <w:r w:rsidR="00FC3381" w:rsidRPr="001043A6">
              <w:rPr>
                <w:rFonts w:ascii="Garamond" w:hAnsi="Garamond"/>
                <w:sz w:val="22"/>
                <w:szCs w:val="22"/>
                <w:highlight w:val="yellow"/>
              </w:rPr>
              <w:t>я</w:t>
            </w:r>
            <w:r w:rsidRPr="001043A6">
              <w:rPr>
                <w:rFonts w:ascii="Garamond" w:hAnsi="Garamond"/>
                <w:sz w:val="22"/>
                <w:szCs w:val="22"/>
                <w:highlight w:val="yellow"/>
              </w:rPr>
              <w:t xml:space="preserve"> или низко</w:t>
            </w:r>
            <w:r w:rsidR="008C41A8">
              <w:rPr>
                <w:rFonts w:ascii="Garamond" w:hAnsi="Garamond"/>
                <w:sz w:val="22"/>
                <w:szCs w:val="22"/>
                <w:highlight w:val="yellow"/>
              </w:rPr>
              <w:t>го</w:t>
            </w:r>
            <w:r w:rsidRPr="001043A6">
              <w:rPr>
                <w:rFonts w:ascii="Garamond" w:hAnsi="Garamond"/>
                <w:sz w:val="22"/>
                <w:szCs w:val="22"/>
                <w:highlight w:val="yellow"/>
              </w:rPr>
              <w:t xml:space="preserve"> напряжени</w:t>
            </w:r>
            <w:r w:rsidR="008C41A8">
              <w:rPr>
                <w:rFonts w:ascii="Garamond" w:hAnsi="Garamond"/>
                <w:sz w:val="22"/>
                <w:szCs w:val="22"/>
                <w:highlight w:val="yellow"/>
              </w:rPr>
              <w:t>я</w:t>
            </w:r>
            <w:r w:rsidRPr="001043A6">
              <w:rPr>
                <w:rFonts w:ascii="Garamond" w:hAnsi="Garamond"/>
                <w:sz w:val="22"/>
                <w:szCs w:val="22"/>
                <w:highlight w:val="yellow"/>
              </w:rPr>
              <w:t xml:space="preserve"> при наличии тока в измерительных цепях с конфигурируемыми порогами (кроме однофазных и трехфазных </w:t>
            </w:r>
            <w:r w:rsidR="00FC3381" w:rsidRPr="001043A6">
              <w:rPr>
                <w:rFonts w:ascii="Garamond" w:hAnsi="Garamond"/>
                <w:sz w:val="22"/>
                <w:szCs w:val="22"/>
                <w:highlight w:val="yellow"/>
              </w:rPr>
              <w:t>ИПУ</w:t>
            </w:r>
            <w:r w:rsidR="00834E9D" w:rsidRPr="001043A6">
              <w:rPr>
                <w:rFonts w:ascii="Garamond" w:hAnsi="Garamond"/>
                <w:sz w:val="22"/>
                <w:szCs w:val="22"/>
                <w:highlight w:val="yellow"/>
              </w:rPr>
              <w:t>, присоединенных к ИСУ,</w:t>
            </w:r>
            <w:r w:rsidRPr="001043A6">
              <w:rPr>
                <w:rFonts w:ascii="Garamond" w:hAnsi="Garamond"/>
                <w:sz w:val="22"/>
                <w:szCs w:val="22"/>
                <w:highlight w:val="yellow"/>
              </w:rPr>
              <w:t xml:space="preserve"> прямого включения);</w:t>
            </w:r>
          </w:p>
          <w:p w14:paraId="5DB69270" w14:textId="77777777" w:rsidR="009B4FB3" w:rsidRPr="001043A6" w:rsidRDefault="009B4FB3" w:rsidP="00101F7C">
            <w:pPr>
              <w:numPr>
                <w:ilvl w:val="2"/>
                <w:numId w:val="94"/>
              </w:numPr>
              <w:tabs>
                <w:tab w:val="clear" w:pos="720"/>
                <w:tab w:val="left" w:pos="0"/>
                <w:tab w:val="left" w:pos="885"/>
                <w:tab w:val="num" w:pos="1026"/>
                <w:tab w:val="left" w:pos="1200"/>
              </w:tabs>
              <w:suppressAutoHyphens w:val="0"/>
              <w:spacing w:line="22" w:lineRule="atLeast"/>
              <w:ind w:left="34" w:firstLine="567"/>
              <w:jc w:val="both"/>
              <w:rPr>
                <w:rFonts w:ascii="Garamond" w:hAnsi="Garamond"/>
                <w:sz w:val="22"/>
                <w:szCs w:val="22"/>
                <w:highlight w:val="yellow"/>
              </w:rPr>
            </w:pPr>
            <w:r w:rsidRPr="001043A6">
              <w:rPr>
                <w:rFonts w:ascii="Garamond" w:hAnsi="Garamond"/>
                <w:sz w:val="22"/>
                <w:szCs w:val="22"/>
                <w:highlight w:val="yellow"/>
              </w:rPr>
              <w:t>отсутстви</w:t>
            </w:r>
            <w:r w:rsidR="00FC3381" w:rsidRPr="001043A6">
              <w:rPr>
                <w:rFonts w:ascii="Garamond" w:hAnsi="Garamond"/>
                <w:sz w:val="22"/>
                <w:szCs w:val="22"/>
                <w:highlight w:val="yellow"/>
              </w:rPr>
              <w:t>я</w:t>
            </w:r>
            <w:r w:rsidRPr="001043A6">
              <w:rPr>
                <w:rFonts w:ascii="Garamond" w:hAnsi="Garamond"/>
                <w:sz w:val="22"/>
                <w:szCs w:val="22"/>
                <w:highlight w:val="yellow"/>
              </w:rPr>
              <w:t xml:space="preserve"> напряжения либо значени</w:t>
            </w:r>
            <w:r w:rsidR="00CD35FC" w:rsidRPr="001043A6">
              <w:rPr>
                <w:rFonts w:ascii="Garamond" w:hAnsi="Garamond"/>
                <w:sz w:val="22"/>
                <w:szCs w:val="22"/>
                <w:highlight w:val="yellow"/>
              </w:rPr>
              <w:t>я</w:t>
            </w:r>
            <w:r w:rsidRPr="001043A6">
              <w:rPr>
                <w:rFonts w:ascii="Garamond" w:hAnsi="Garamond"/>
                <w:sz w:val="22"/>
                <w:szCs w:val="22"/>
                <w:highlight w:val="yellow"/>
              </w:rPr>
              <w:t xml:space="preserve"> напряжения ниже запрограммированного порога по каждой фазе с фиксацией времени пропадания и восстановления напряжения;</w:t>
            </w:r>
          </w:p>
          <w:p w14:paraId="401CBDFC" w14:textId="77777777" w:rsidR="009B4FB3" w:rsidRPr="001043A6" w:rsidRDefault="009B4FB3" w:rsidP="00101F7C">
            <w:pPr>
              <w:numPr>
                <w:ilvl w:val="2"/>
                <w:numId w:val="94"/>
              </w:numPr>
              <w:tabs>
                <w:tab w:val="clear" w:pos="720"/>
                <w:tab w:val="left" w:pos="0"/>
                <w:tab w:val="left" w:pos="885"/>
                <w:tab w:val="num" w:pos="1026"/>
                <w:tab w:val="left" w:pos="1200"/>
              </w:tabs>
              <w:suppressAutoHyphens w:val="0"/>
              <w:spacing w:line="22" w:lineRule="atLeast"/>
              <w:ind w:left="34" w:firstLine="567"/>
              <w:jc w:val="both"/>
              <w:rPr>
                <w:rFonts w:ascii="Garamond" w:hAnsi="Garamond"/>
                <w:sz w:val="22"/>
                <w:szCs w:val="22"/>
                <w:highlight w:val="yellow"/>
              </w:rPr>
            </w:pPr>
            <w:r w:rsidRPr="001043A6">
              <w:rPr>
                <w:rFonts w:ascii="Garamond" w:hAnsi="Garamond"/>
                <w:sz w:val="22"/>
                <w:szCs w:val="22"/>
                <w:highlight w:val="yellow"/>
              </w:rPr>
              <w:t>инверси</w:t>
            </w:r>
            <w:r w:rsidR="00CD35FC" w:rsidRPr="001043A6">
              <w:rPr>
                <w:rFonts w:ascii="Garamond" w:hAnsi="Garamond"/>
                <w:sz w:val="22"/>
                <w:szCs w:val="22"/>
                <w:highlight w:val="yellow"/>
              </w:rPr>
              <w:t>и</w:t>
            </w:r>
            <w:r w:rsidRPr="001043A6">
              <w:rPr>
                <w:rFonts w:ascii="Garamond" w:hAnsi="Garamond"/>
                <w:sz w:val="22"/>
                <w:szCs w:val="22"/>
                <w:highlight w:val="yellow"/>
              </w:rPr>
              <w:t xml:space="preserve"> фазы или нарушени</w:t>
            </w:r>
            <w:r w:rsidR="00CD35FC" w:rsidRPr="001043A6">
              <w:rPr>
                <w:rFonts w:ascii="Garamond" w:hAnsi="Garamond"/>
                <w:sz w:val="22"/>
                <w:szCs w:val="22"/>
                <w:highlight w:val="yellow"/>
              </w:rPr>
              <w:t>я</w:t>
            </w:r>
            <w:r w:rsidRPr="001043A6">
              <w:rPr>
                <w:rFonts w:ascii="Garamond" w:hAnsi="Garamond"/>
                <w:sz w:val="22"/>
                <w:szCs w:val="22"/>
                <w:highlight w:val="yellow"/>
              </w:rPr>
              <w:t xml:space="preserve"> чередования фаз (для трехфазных приборов учета);</w:t>
            </w:r>
          </w:p>
          <w:p w14:paraId="29B14A95" w14:textId="77777777" w:rsidR="009B4FB3" w:rsidRPr="001043A6" w:rsidRDefault="009B4FB3" w:rsidP="00101F7C">
            <w:pPr>
              <w:numPr>
                <w:ilvl w:val="2"/>
                <w:numId w:val="94"/>
              </w:numPr>
              <w:tabs>
                <w:tab w:val="clear" w:pos="720"/>
                <w:tab w:val="left" w:pos="0"/>
                <w:tab w:val="left" w:pos="885"/>
                <w:tab w:val="num" w:pos="1026"/>
                <w:tab w:val="left" w:pos="1200"/>
              </w:tabs>
              <w:suppressAutoHyphens w:val="0"/>
              <w:spacing w:line="22" w:lineRule="atLeast"/>
              <w:ind w:left="34" w:firstLine="567"/>
              <w:jc w:val="both"/>
              <w:rPr>
                <w:rFonts w:ascii="Garamond" w:hAnsi="Garamond"/>
                <w:sz w:val="22"/>
                <w:szCs w:val="22"/>
                <w:highlight w:val="yellow"/>
              </w:rPr>
            </w:pPr>
            <w:r w:rsidRPr="001043A6">
              <w:rPr>
                <w:rFonts w:ascii="Garamond" w:hAnsi="Garamond"/>
                <w:sz w:val="22"/>
                <w:szCs w:val="22"/>
                <w:highlight w:val="yellow"/>
              </w:rPr>
              <w:t>небаланс</w:t>
            </w:r>
            <w:r w:rsidR="00CD35FC" w:rsidRPr="001043A6">
              <w:rPr>
                <w:rFonts w:ascii="Garamond" w:hAnsi="Garamond"/>
                <w:sz w:val="22"/>
                <w:szCs w:val="22"/>
                <w:highlight w:val="yellow"/>
              </w:rPr>
              <w:t>а</w:t>
            </w:r>
            <w:r w:rsidRPr="001043A6">
              <w:rPr>
                <w:rFonts w:ascii="Garamond" w:hAnsi="Garamond"/>
                <w:sz w:val="22"/>
                <w:szCs w:val="22"/>
                <w:highlight w:val="yellow"/>
              </w:rPr>
              <w:t xml:space="preserve"> тока в нулевом и фазном проводе (для однофазных прибор</w:t>
            </w:r>
            <w:r w:rsidR="00FC3381" w:rsidRPr="001043A6">
              <w:rPr>
                <w:rFonts w:ascii="Garamond" w:hAnsi="Garamond"/>
                <w:sz w:val="22"/>
                <w:szCs w:val="22"/>
                <w:highlight w:val="yellow"/>
              </w:rPr>
              <w:t>ов учета).</w:t>
            </w:r>
          </w:p>
          <w:p w14:paraId="11870E66" w14:textId="77777777" w:rsidR="008867A5" w:rsidRPr="001043A6" w:rsidRDefault="008867A5" w:rsidP="00101F7C">
            <w:pPr>
              <w:numPr>
                <w:ilvl w:val="2"/>
                <w:numId w:val="95"/>
              </w:numPr>
              <w:tabs>
                <w:tab w:val="left" w:pos="1200"/>
                <w:tab w:val="left" w:pos="8100"/>
              </w:tabs>
              <w:suppressAutoHyphens w:val="0"/>
              <w:spacing w:line="22" w:lineRule="atLeast"/>
              <w:ind w:left="0" w:firstLine="601"/>
              <w:jc w:val="both"/>
              <w:rPr>
                <w:rFonts w:ascii="Garamond" w:hAnsi="Garamond"/>
                <w:sz w:val="22"/>
                <w:szCs w:val="22"/>
              </w:rPr>
            </w:pPr>
            <w:r w:rsidRPr="001043A6">
              <w:rPr>
                <w:rFonts w:ascii="Garamond" w:hAnsi="Garamond"/>
                <w:sz w:val="22"/>
                <w:szCs w:val="22"/>
              </w:rPr>
              <w:t xml:space="preserve">Обеспечение защиты от несанкционированного </w:t>
            </w:r>
            <w:r w:rsidR="00344ABD" w:rsidRPr="001043A6">
              <w:rPr>
                <w:rFonts w:ascii="Garamond" w:hAnsi="Garamond"/>
                <w:sz w:val="22"/>
                <w:szCs w:val="22"/>
                <w:highlight w:val="yellow"/>
              </w:rPr>
              <w:t>доступа и</w:t>
            </w:r>
            <w:r w:rsidR="00344ABD" w:rsidRPr="001043A6">
              <w:rPr>
                <w:rFonts w:ascii="Garamond" w:hAnsi="Garamond"/>
                <w:sz w:val="22"/>
                <w:szCs w:val="22"/>
              </w:rPr>
              <w:t xml:space="preserve"> </w:t>
            </w:r>
            <w:r w:rsidRPr="001043A6">
              <w:rPr>
                <w:rFonts w:ascii="Garamond" w:hAnsi="Garamond"/>
                <w:sz w:val="22"/>
                <w:szCs w:val="22"/>
              </w:rPr>
              <w:t xml:space="preserve">изменения параметров </w:t>
            </w:r>
            <w:r w:rsidR="00F22159" w:rsidRPr="001043A6">
              <w:rPr>
                <w:rFonts w:ascii="Garamond" w:hAnsi="Garamond"/>
                <w:sz w:val="22"/>
                <w:szCs w:val="22"/>
                <w:highlight w:val="yellow"/>
              </w:rPr>
              <w:t>прибора учета</w:t>
            </w:r>
            <w:r w:rsidRPr="001043A6">
              <w:rPr>
                <w:rFonts w:ascii="Garamond" w:hAnsi="Garamond"/>
                <w:sz w:val="22"/>
                <w:szCs w:val="22"/>
              </w:rPr>
              <w:t>, при этом защита должна быть обеспечена на программном (логическом) уровне (установка паролей</w:t>
            </w:r>
            <w:r w:rsidR="003828FD" w:rsidRPr="001043A6">
              <w:rPr>
                <w:rFonts w:ascii="Garamond" w:hAnsi="Garamond"/>
                <w:sz w:val="22"/>
                <w:szCs w:val="22"/>
              </w:rPr>
              <w:t xml:space="preserve">, </w:t>
            </w:r>
            <w:r w:rsidR="003828FD" w:rsidRPr="001043A6">
              <w:rPr>
                <w:rFonts w:ascii="Garamond" w:hAnsi="Garamond"/>
                <w:sz w:val="22"/>
                <w:szCs w:val="22"/>
                <w:highlight w:val="yellow"/>
              </w:rPr>
              <w:lastRenderedPageBreak/>
              <w:t>идентификация и аутентификация</w:t>
            </w:r>
            <w:r w:rsidR="00CD35FC" w:rsidRPr="001043A6">
              <w:rPr>
                <w:rFonts w:ascii="Garamond" w:hAnsi="Garamond"/>
                <w:sz w:val="22"/>
                <w:szCs w:val="22"/>
                <w:highlight w:val="yellow"/>
              </w:rPr>
              <w:t>, контроль доступа</w:t>
            </w:r>
            <w:r w:rsidRPr="001043A6">
              <w:rPr>
                <w:rFonts w:ascii="Garamond" w:hAnsi="Garamond"/>
                <w:sz w:val="22"/>
                <w:szCs w:val="22"/>
              </w:rPr>
              <w:t>) и аппаратном (физическом) уровне (установка пломб, марок и т.п.).</w:t>
            </w:r>
            <w:r w:rsidR="00B01D56" w:rsidRPr="001043A6">
              <w:rPr>
                <w:rFonts w:ascii="Garamond" w:hAnsi="Garamond"/>
                <w:sz w:val="22"/>
                <w:szCs w:val="22"/>
              </w:rPr>
              <w:t xml:space="preserve"> </w:t>
            </w:r>
            <w:r w:rsidR="00B01D56" w:rsidRPr="001043A6">
              <w:rPr>
                <w:rFonts w:ascii="Garamond" w:hAnsi="Garamond"/>
                <w:sz w:val="22"/>
                <w:szCs w:val="22"/>
                <w:highlight w:val="yellow"/>
              </w:rPr>
              <w:t>Для ИПУ</w:t>
            </w:r>
            <w:r w:rsidR="00834E9D" w:rsidRPr="001043A6">
              <w:rPr>
                <w:rFonts w:ascii="Garamond" w:hAnsi="Garamond"/>
                <w:sz w:val="22"/>
                <w:szCs w:val="22"/>
                <w:highlight w:val="yellow"/>
              </w:rPr>
              <w:t>, присоединенных к ИСУ,</w:t>
            </w:r>
            <w:r w:rsidR="00B01D56" w:rsidRPr="001043A6">
              <w:rPr>
                <w:rFonts w:ascii="Garamond" w:hAnsi="Garamond"/>
                <w:sz w:val="22"/>
                <w:szCs w:val="22"/>
                <w:highlight w:val="yellow"/>
              </w:rPr>
              <w:t xml:space="preserve"> дополнительно должна быть обеспечена защита ИПУ с помощью реализации контроля целостности</w:t>
            </w:r>
            <w:r w:rsidR="00800ABD" w:rsidRPr="001043A6">
              <w:rPr>
                <w:rFonts w:ascii="Garamond" w:hAnsi="Garamond"/>
                <w:sz w:val="22"/>
                <w:szCs w:val="22"/>
                <w:highlight w:val="yellow"/>
              </w:rPr>
              <w:t xml:space="preserve"> программного обеспечения и параметров</w:t>
            </w:r>
            <w:r w:rsidR="00FB3643" w:rsidRPr="001043A6">
              <w:rPr>
                <w:rFonts w:ascii="Garamond" w:hAnsi="Garamond"/>
                <w:sz w:val="22"/>
                <w:szCs w:val="22"/>
                <w:highlight w:val="yellow"/>
              </w:rPr>
              <w:t>, а также</w:t>
            </w:r>
            <w:r w:rsidR="00611BE3" w:rsidRPr="001043A6">
              <w:rPr>
                <w:rFonts w:ascii="Garamond" w:hAnsi="Garamond"/>
                <w:sz w:val="22"/>
                <w:szCs w:val="22"/>
                <w:highlight w:val="yellow"/>
              </w:rPr>
              <w:t xml:space="preserve"> регистрация событий безопасности в </w:t>
            </w:r>
            <w:r w:rsidR="00B456BE" w:rsidRPr="001043A6">
              <w:rPr>
                <w:rFonts w:ascii="Garamond" w:hAnsi="Garamond"/>
                <w:sz w:val="22"/>
                <w:szCs w:val="22"/>
                <w:highlight w:val="yellow"/>
              </w:rPr>
              <w:t>«Ж</w:t>
            </w:r>
            <w:r w:rsidR="00611BE3" w:rsidRPr="001043A6">
              <w:rPr>
                <w:rFonts w:ascii="Garamond" w:hAnsi="Garamond"/>
                <w:sz w:val="22"/>
                <w:szCs w:val="22"/>
                <w:highlight w:val="yellow"/>
              </w:rPr>
              <w:t>урнале событий</w:t>
            </w:r>
            <w:r w:rsidR="00B456BE" w:rsidRPr="001043A6">
              <w:rPr>
                <w:rFonts w:ascii="Garamond" w:hAnsi="Garamond"/>
                <w:sz w:val="22"/>
                <w:szCs w:val="22"/>
                <w:highlight w:val="yellow"/>
              </w:rPr>
              <w:t>»</w:t>
            </w:r>
            <w:r w:rsidR="00B01D56" w:rsidRPr="001043A6">
              <w:rPr>
                <w:rFonts w:ascii="Garamond" w:hAnsi="Garamond"/>
                <w:sz w:val="22"/>
                <w:szCs w:val="22"/>
                <w:highlight w:val="yellow"/>
              </w:rPr>
              <w:t>.</w:t>
            </w:r>
          </w:p>
          <w:p w14:paraId="0540117C" w14:textId="77777777" w:rsidR="008867A5" w:rsidRPr="001043A6" w:rsidRDefault="008867A5" w:rsidP="00101F7C">
            <w:pPr>
              <w:numPr>
                <w:ilvl w:val="2"/>
                <w:numId w:val="95"/>
              </w:numPr>
              <w:tabs>
                <w:tab w:val="left" w:pos="600"/>
                <w:tab w:val="left" w:pos="1200"/>
                <w:tab w:val="left" w:pos="8100"/>
              </w:tabs>
              <w:suppressAutoHyphens w:val="0"/>
              <w:spacing w:line="22" w:lineRule="atLeast"/>
              <w:ind w:left="0" w:firstLine="600"/>
              <w:jc w:val="both"/>
              <w:rPr>
                <w:rFonts w:ascii="Garamond" w:hAnsi="Garamond"/>
                <w:sz w:val="22"/>
                <w:szCs w:val="22"/>
              </w:rPr>
            </w:pPr>
            <w:r w:rsidRPr="001043A6">
              <w:rPr>
                <w:rFonts w:ascii="Garamond" w:hAnsi="Garamond"/>
                <w:sz w:val="22"/>
                <w:szCs w:val="22"/>
              </w:rPr>
              <w:t xml:space="preserve">Предоставление доступа к результатам измерений и «Журналам событий» </w:t>
            </w:r>
            <w:r w:rsidR="006075CB" w:rsidRPr="001043A6">
              <w:rPr>
                <w:rFonts w:ascii="Garamond" w:hAnsi="Garamond"/>
                <w:sz w:val="22"/>
                <w:szCs w:val="22"/>
                <w:highlight w:val="yellow"/>
              </w:rPr>
              <w:t>прибора учета</w:t>
            </w:r>
            <w:r w:rsidRPr="001043A6">
              <w:rPr>
                <w:rFonts w:ascii="Garamond" w:hAnsi="Garamond"/>
                <w:sz w:val="22"/>
                <w:szCs w:val="22"/>
              </w:rPr>
              <w:t xml:space="preserve"> со стороны ИВКЭ или ИВК</w:t>
            </w:r>
            <w:r w:rsidR="00CD35FC" w:rsidRPr="001043A6">
              <w:rPr>
                <w:rFonts w:ascii="Garamond" w:hAnsi="Garamond"/>
                <w:sz w:val="22"/>
                <w:szCs w:val="22"/>
              </w:rPr>
              <w:t xml:space="preserve"> </w:t>
            </w:r>
            <w:r w:rsidR="00CD35FC" w:rsidRPr="001043A6">
              <w:rPr>
                <w:rFonts w:ascii="Garamond" w:hAnsi="Garamond"/>
                <w:sz w:val="22"/>
                <w:szCs w:val="22"/>
                <w:highlight w:val="yellow"/>
              </w:rPr>
              <w:t xml:space="preserve">в порядке, установленном Порядком установления соответствия </w:t>
            </w:r>
            <w:r w:rsidR="005C089B" w:rsidRPr="001043A6">
              <w:rPr>
                <w:rFonts w:ascii="Garamond" w:hAnsi="Garamond"/>
                <w:sz w:val="22"/>
                <w:szCs w:val="22"/>
                <w:highlight w:val="yellow"/>
              </w:rPr>
              <w:t>СУ</w:t>
            </w:r>
            <w:r w:rsidR="00217F19" w:rsidRPr="001043A6">
              <w:rPr>
                <w:rFonts w:ascii="Garamond" w:hAnsi="Garamond"/>
                <w:sz w:val="22"/>
                <w:szCs w:val="22"/>
                <w:highlight w:val="yellow"/>
              </w:rPr>
              <w:t xml:space="preserve"> или Регламентом проверок</w:t>
            </w:r>
            <w:r w:rsidRPr="001043A6">
              <w:rPr>
                <w:rFonts w:ascii="Garamond" w:hAnsi="Garamond"/>
                <w:sz w:val="22"/>
                <w:szCs w:val="22"/>
              </w:rPr>
              <w:t>.</w:t>
            </w:r>
          </w:p>
          <w:p w14:paraId="05EB7EE4" w14:textId="77777777" w:rsidR="00821ED7" w:rsidRPr="001043A6" w:rsidRDefault="00344ABD" w:rsidP="00101F7C">
            <w:pPr>
              <w:pStyle w:val="ac"/>
              <w:numPr>
                <w:ilvl w:val="2"/>
                <w:numId w:val="95"/>
              </w:numPr>
              <w:tabs>
                <w:tab w:val="left" w:pos="1080"/>
                <w:tab w:val="num" w:pos="1276"/>
                <w:tab w:val="left" w:pos="1320"/>
              </w:tabs>
              <w:spacing w:line="22" w:lineRule="atLeast"/>
              <w:ind w:left="0" w:firstLine="601"/>
              <w:jc w:val="both"/>
              <w:rPr>
                <w:rFonts w:ascii="Garamond" w:hAnsi="Garamond"/>
                <w:sz w:val="22"/>
                <w:szCs w:val="22"/>
              </w:rPr>
            </w:pPr>
            <w:r w:rsidRPr="001043A6">
              <w:rPr>
                <w:rFonts w:ascii="Garamond" w:hAnsi="Garamond"/>
                <w:sz w:val="22"/>
                <w:szCs w:val="22"/>
                <w:highlight w:val="yellow"/>
              </w:rPr>
              <w:t>М</w:t>
            </w:r>
            <w:r w:rsidR="008867A5" w:rsidRPr="001043A6">
              <w:rPr>
                <w:rFonts w:ascii="Garamond" w:hAnsi="Garamond"/>
                <w:sz w:val="22"/>
                <w:szCs w:val="22"/>
              </w:rPr>
              <w:t xml:space="preserve">ежповерочный интервал </w:t>
            </w:r>
            <w:r w:rsidR="00226A14" w:rsidRPr="001043A6">
              <w:rPr>
                <w:rFonts w:ascii="Garamond" w:hAnsi="Garamond"/>
                <w:sz w:val="22"/>
                <w:szCs w:val="22"/>
                <w:highlight w:val="yellow"/>
              </w:rPr>
              <w:t>приборов учета</w:t>
            </w:r>
            <w:r w:rsidR="003828FD" w:rsidRPr="001043A6">
              <w:rPr>
                <w:rFonts w:ascii="Garamond" w:hAnsi="Garamond"/>
                <w:sz w:val="22"/>
                <w:szCs w:val="22"/>
              </w:rPr>
              <w:t xml:space="preserve"> </w:t>
            </w:r>
            <w:r w:rsidR="003828FD" w:rsidRPr="001043A6">
              <w:rPr>
                <w:rFonts w:ascii="Garamond" w:hAnsi="Garamond"/>
                <w:sz w:val="22"/>
                <w:szCs w:val="22"/>
                <w:highlight w:val="yellow"/>
              </w:rPr>
              <w:t>в составе АИИС КУЭ и совокупности СИ и ТУ</w:t>
            </w:r>
            <w:r w:rsidRPr="001043A6">
              <w:rPr>
                <w:rFonts w:ascii="Garamond" w:hAnsi="Garamond"/>
                <w:sz w:val="22"/>
                <w:szCs w:val="22"/>
                <w:highlight w:val="yellow"/>
              </w:rPr>
              <w:t xml:space="preserve"> должен составлять</w:t>
            </w:r>
            <w:r w:rsidR="008867A5" w:rsidRPr="001043A6">
              <w:rPr>
                <w:rFonts w:ascii="Garamond" w:hAnsi="Garamond"/>
                <w:sz w:val="22"/>
                <w:szCs w:val="22"/>
              </w:rPr>
              <w:t xml:space="preserve"> не менее 8 лет</w:t>
            </w:r>
            <w:r w:rsidRPr="001043A6">
              <w:rPr>
                <w:rFonts w:ascii="Garamond" w:hAnsi="Garamond"/>
                <w:sz w:val="22"/>
                <w:szCs w:val="22"/>
              </w:rPr>
              <w:t xml:space="preserve"> </w:t>
            </w:r>
            <w:r w:rsidRPr="001043A6">
              <w:rPr>
                <w:rFonts w:ascii="Garamond" w:hAnsi="Garamond"/>
                <w:sz w:val="22"/>
                <w:szCs w:val="22"/>
                <w:highlight w:val="yellow"/>
              </w:rPr>
              <w:t>(не менее 16 лет для однофазных ИПУ</w:t>
            </w:r>
            <w:r w:rsidR="00834E9D" w:rsidRPr="001043A6">
              <w:rPr>
                <w:rFonts w:ascii="Garamond" w:hAnsi="Garamond"/>
                <w:sz w:val="22"/>
                <w:szCs w:val="22"/>
                <w:highlight w:val="yellow"/>
              </w:rPr>
              <w:t>, присоединенных к ИСУ,</w:t>
            </w:r>
            <w:r w:rsidRPr="001043A6">
              <w:rPr>
                <w:rFonts w:ascii="Garamond" w:hAnsi="Garamond"/>
                <w:sz w:val="22"/>
                <w:szCs w:val="22"/>
                <w:highlight w:val="yellow"/>
              </w:rPr>
              <w:t xml:space="preserve"> и не менее 10 лет для трехфазных ИПУ)</w:t>
            </w:r>
            <w:r w:rsidRPr="001043A6">
              <w:rPr>
                <w:rFonts w:ascii="Garamond" w:hAnsi="Garamond"/>
                <w:sz w:val="22"/>
                <w:szCs w:val="22"/>
              </w:rPr>
              <w:t>.</w:t>
            </w:r>
          </w:p>
          <w:p w14:paraId="366FB730" w14:textId="77777777" w:rsidR="00A62CD5" w:rsidRPr="001043A6" w:rsidRDefault="00A62CD5" w:rsidP="00821DC0">
            <w:pPr>
              <w:pStyle w:val="ac"/>
              <w:numPr>
                <w:ilvl w:val="2"/>
                <w:numId w:val="95"/>
              </w:numPr>
              <w:tabs>
                <w:tab w:val="left" w:pos="596"/>
                <w:tab w:val="left" w:pos="1320"/>
              </w:tabs>
              <w:spacing w:line="22" w:lineRule="atLeast"/>
              <w:ind w:left="29" w:firstLine="567"/>
              <w:jc w:val="both"/>
              <w:rPr>
                <w:rFonts w:ascii="Garamond" w:hAnsi="Garamond"/>
                <w:sz w:val="22"/>
                <w:szCs w:val="22"/>
                <w:highlight w:val="yellow"/>
              </w:rPr>
            </w:pPr>
            <w:r w:rsidRPr="001043A6">
              <w:rPr>
                <w:rFonts w:ascii="Garamond" w:hAnsi="Garamond"/>
                <w:sz w:val="22"/>
                <w:szCs w:val="22"/>
                <w:highlight w:val="yellow"/>
              </w:rPr>
              <w:t>ИПУ</w:t>
            </w:r>
            <w:r w:rsidR="00AA5C6B" w:rsidRPr="001043A6">
              <w:rPr>
                <w:rFonts w:ascii="Garamond" w:hAnsi="Garamond"/>
                <w:sz w:val="22"/>
                <w:szCs w:val="22"/>
                <w:highlight w:val="yellow"/>
              </w:rPr>
              <w:t>, присоединенные к ИСУ, дополнительно должны</w:t>
            </w:r>
            <w:r w:rsidRPr="001043A6">
              <w:rPr>
                <w:rFonts w:ascii="Garamond" w:hAnsi="Garamond"/>
                <w:sz w:val="22"/>
                <w:szCs w:val="22"/>
                <w:highlight w:val="yellow"/>
              </w:rPr>
              <w:t xml:space="preserve"> обеспечивать:</w:t>
            </w:r>
          </w:p>
          <w:p w14:paraId="76D3756A" w14:textId="7AF91F96" w:rsidR="00A62CD5" w:rsidRPr="001043A6" w:rsidRDefault="009B5F03" w:rsidP="00821DC0">
            <w:pPr>
              <w:tabs>
                <w:tab w:val="left" w:pos="1080"/>
                <w:tab w:val="left" w:pos="1320"/>
              </w:tabs>
              <w:spacing w:line="22" w:lineRule="atLeast"/>
              <w:ind w:firstLine="596"/>
              <w:jc w:val="both"/>
              <w:rPr>
                <w:rFonts w:ascii="Garamond" w:hAnsi="Garamond"/>
                <w:sz w:val="22"/>
                <w:szCs w:val="22"/>
                <w:highlight w:val="yellow"/>
              </w:rPr>
            </w:pPr>
            <w:r>
              <w:rPr>
                <w:rFonts w:ascii="Garamond" w:hAnsi="Garamond"/>
                <w:sz w:val="22"/>
                <w:szCs w:val="22"/>
                <w:highlight w:val="yellow"/>
              </w:rPr>
              <w:t xml:space="preserve">– </w:t>
            </w:r>
            <w:r w:rsidR="00A62CD5" w:rsidRPr="001043A6">
              <w:rPr>
                <w:rFonts w:ascii="Garamond" w:hAnsi="Garamond"/>
                <w:sz w:val="22"/>
                <w:szCs w:val="22"/>
                <w:highlight w:val="yellow"/>
              </w:rPr>
              <w:t>измерение и вычисление фазного напряжения в каждой фазе; линейного напряжения (для трехфазных ИПУ); фазного тока в каждой фазе; активной, реактивной и полной мощности в каждой фазе и суммарной мощности; значения тока в нулевом проводе (для однофазного ИПУ); небаланса токов в фазном и нулевом проводах (для однофазного ИПУ);</w:t>
            </w:r>
          </w:p>
          <w:p w14:paraId="294C6091" w14:textId="01571BDA" w:rsidR="00A62CD5" w:rsidRPr="001043A6" w:rsidRDefault="009B5F03" w:rsidP="00821DC0">
            <w:pPr>
              <w:tabs>
                <w:tab w:val="left" w:pos="1080"/>
                <w:tab w:val="left" w:pos="1320"/>
              </w:tabs>
              <w:spacing w:line="22" w:lineRule="atLeast"/>
              <w:ind w:firstLine="596"/>
              <w:jc w:val="both"/>
              <w:rPr>
                <w:rFonts w:ascii="Garamond" w:hAnsi="Garamond"/>
                <w:sz w:val="22"/>
                <w:szCs w:val="22"/>
                <w:highlight w:val="yellow"/>
              </w:rPr>
            </w:pPr>
            <w:r>
              <w:rPr>
                <w:rFonts w:ascii="Garamond" w:hAnsi="Garamond"/>
                <w:sz w:val="22"/>
                <w:szCs w:val="22"/>
                <w:highlight w:val="yellow"/>
              </w:rPr>
              <w:t xml:space="preserve">– </w:t>
            </w:r>
            <w:r w:rsidR="00A62CD5" w:rsidRPr="001043A6">
              <w:rPr>
                <w:rFonts w:ascii="Garamond" w:hAnsi="Garamond"/>
                <w:sz w:val="22"/>
                <w:szCs w:val="22"/>
                <w:highlight w:val="yellow"/>
              </w:rPr>
              <w:t>контроль наличия внешнего переменного и постоянного магнитного поля;</w:t>
            </w:r>
          </w:p>
          <w:p w14:paraId="7221544B" w14:textId="3B8DEEF0" w:rsidR="00A62CD5" w:rsidRPr="001043A6" w:rsidRDefault="009B5F03" w:rsidP="00821DC0">
            <w:pPr>
              <w:tabs>
                <w:tab w:val="left" w:pos="1080"/>
                <w:tab w:val="left" w:pos="1320"/>
              </w:tabs>
              <w:spacing w:line="22" w:lineRule="atLeast"/>
              <w:ind w:firstLine="596"/>
              <w:jc w:val="both"/>
              <w:rPr>
                <w:rFonts w:ascii="Garamond" w:hAnsi="Garamond"/>
                <w:sz w:val="22"/>
                <w:szCs w:val="22"/>
                <w:highlight w:val="yellow"/>
              </w:rPr>
            </w:pPr>
            <w:r>
              <w:rPr>
                <w:rFonts w:ascii="Garamond" w:hAnsi="Garamond"/>
                <w:sz w:val="22"/>
                <w:szCs w:val="22"/>
                <w:highlight w:val="yellow"/>
              </w:rPr>
              <w:t xml:space="preserve">– </w:t>
            </w:r>
            <w:r w:rsidR="00A62CD5" w:rsidRPr="001043A6">
              <w:rPr>
                <w:rFonts w:ascii="Garamond" w:hAnsi="Garamond"/>
                <w:sz w:val="22"/>
                <w:szCs w:val="22"/>
                <w:highlight w:val="yellow"/>
              </w:rPr>
              <w:t>выявление фактов изменения (искажения) информации, влияющих на информацию о количестве и иных параметрах электроэнергии, а также фактов изменения (искажения) программного обеспечения ИПУ, присоединенного к ИСУ;</w:t>
            </w:r>
          </w:p>
          <w:p w14:paraId="03ABB53D" w14:textId="7186A0A5" w:rsidR="00A62CD5" w:rsidRPr="001043A6" w:rsidRDefault="009B5F03" w:rsidP="00821DC0">
            <w:pPr>
              <w:tabs>
                <w:tab w:val="left" w:pos="1080"/>
                <w:tab w:val="left" w:pos="1320"/>
              </w:tabs>
              <w:spacing w:line="22" w:lineRule="atLeast"/>
              <w:ind w:firstLine="596"/>
              <w:jc w:val="both"/>
              <w:rPr>
                <w:rFonts w:ascii="Garamond" w:hAnsi="Garamond"/>
                <w:sz w:val="22"/>
                <w:szCs w:val="22"/>
                <w:highlight w:val="yellow"/>
              </w:rPr>
            </w:pPr>
            <w:r>
              <w:rPr>
                <w:rFonts w:ascii="Garamond" w:hAnsi="Garamond"/>
                <w:sz w:val="22"/>
                <w:szCs w:val="22"/>
                <w:highlight w:val="yellow"/>
              </w:rPr>
              <w:t xml:space="preserve">– </w:t>
            </w:r>
            <w:r w:rsidR="00A62CD5" w:rsidRPr="001043A6">
              <w:rPr>
                <w:rFonts w:ascii="Garamond" w:hAnsi="Garamond"/>
                <w:sz w:val="22"/>
                <w:szCs w:val="22"/>
                <w:highlight w:val="yellow"/>
              </w:rPr>
              <w:t>фиксирование несанкционированного доступа к ИПУ, присоединенного к ИСУ, посредством энергонезависимой электронной пломбы, фиксирующей вскрытие клеммной крышки и вскрытие корпуса (для разборных корпусов);</w:t>
            </w:r>
          </w:p>
          <w:p w14:paraId="6D549F87" w14:textId="5E5D89B1" w:rsidR="00A62CD5" w:rsidRPr="001043A6" w:rsidRDefault="009B5F03" w:rsidP="00821DC0">
            <w:pPr>
              <w:tabs>
                <w:tab w:val="left" w:pos="1080"/>
                <w:tab w:val="left" w:pos="1320"/>
              </w:tabs>
              <w:spacing w:line="22" w:lineRule="atLeast"/>
              <w:ind w:firstLine="596"/>
              <w:jc w:val="both"/>
              <w:rPr>
                <w:rFonts w:ascii="Garamond" w:hAnsi="Garamond"/>
                <w:sz w:val="22"/>
                <w:szCs w:val="22"/>
                <w:highlight w:val="yellow"/>
              </w:rPr>
            </w:pPr>
            <w:r>
              <w:rPr>
                <w:rFonts w:ascii="Garamond" w:hAnsi="Garamond"/>
                <w:sz w:val="22"/>
                <w:szCs w:val="22"/>
                <w:highlight w:val="yellow"/>
              </w:rPr>
              <w:t xml:space="preserve">– </w:t>
            </w:r>
            <w:r w:rsidR="00AA5C6B" w:rsidRPr="001043A6">
              <w:rPr>
                <w:rFonts w:ascii="Garamond" w:hAnsi="Garamond"/>
                <w:sz w:val="22"/>
                <w:szCs w:val="22"/>
                <w:highlight w:val="yellow"/>
              </w:rPr>
              <w:t>фиксацию</w:t>
            </w:r>
            <w:r w:rsidR="00A62CD5" w:rsidRPr="001043A6">
              <w:rPr>
                <w:rFonts w:ascii="Garamond" w:hAnsi="Garamond"/>
                <w:sz w:val="22"/>
                <w:szCs w:val="22"/>
                <w:highlight w:val="yellow"/>
              </w:rPr>
              <w:t xml:space="preserve"> воздействия постоянного или переменного магнитного поля с указанием даты и времени воздействия со значением модуля вектора магнитной индукции свыше 150 мТл (пиковое значение);</w:t>
            </w:r>
          </w:p>
          <w:p w14:paraId="6278EAFD" w14:textId="2102CC6B" w:rsidR="00A62CD5" w:rsidRPr="001043A6" w:rsidRDefault="009B5F03" w:rsidP="009428EA">
            <w:pPr>
              <w:tabs>
                <w:tab w:val="left" w:pos="1080"/>
                <w:tab w:val="left" w:pos="1320"/>
              </w:tabs>
              <w:spacing w:line="22" w:lineRule="atLeast"/>
              <w:ind w:firstLine="596"/>
              <w:jc w:val="both"/>
              <w:rPr>
                <w:rFonts w:ascii="Garamond" w:hAnsi="Garamond"/>
                <w:sz w:val="22"/>
                <w:szCs w:val="22"/>
              </w:rPr>
            </w:pPr>
            <w:r>
              <w:rPr>
                <w:rFonts w:ascii="Garamond" w:hAnsi="Garamond"/>
                <w:sz w:val="22"/>
                <w:szCs w:val="22"/>
                <w:highlight w:val="yellow"/>
              </w:rPr>
              <w:t xml:space="preserve">– </w:t>
            </w:r>
            <w:r w:rsidR="00A62CD5" w:rsidRPr="001043A6">
              <w:rPr>
                <w:rFonts w:ascii="Garamond" w:hAnsi="Garamond"/>
                <w:sz w:val="22"/>
                <w:szCs w:val="22"/>
                <w:highlight w:val="yellow"/>
              </w:rPr>
              <w:t xml:space="preserve">возможность полного и (или) частичного ограничения (возобновления) режима потребления электроэнергии в случае несанкционированного доступа к ИПУ, присоединенного к ИСУ (вскрытие </w:t>
            </w:r>
            <w:r w:rsidR="00A62CD5" w:rsidRPr="001043A6">
              <w:rPr>
                <w:rFonts w:ascii="Garamond" w:hAnsi="Garamond"/>
                <w:sz w:val="22"/>
                <w:szCs w:val="22"/>
                <w:highlight w:val="yellow"/>
              </w:rPr>
              <w:lastRenderedPageBreak/>
              <w:t>клеммной крышки, вскрытие корпуса (для разборных корпусов) и воздействие постоянным и переменным магнитным полем).</w:t>
            </w:r>
          </w:p>
        </w:tc>
      </w:tr>
      <w:tr w:rsidR="00821ED7" w:rsidRPr="001043A6" w14:paraId="65B85ADA" w14:textId="77777777" w:rsidTr="001043A6">
        <w:tc>
          <w:tcPr>
            <w:tcW w:w="1031" w:type="dxa"/>
          </w:tcPr>
          <w:p w14:paraId="31DF212E" w14:textId="77777777" w:rsidR="00821ED7" w:rsidRPr="001043A6" w:rsidRDefault="00A91A88" w:rsidP="00E11B82">
            <w:pPr>
              <w:widowControl w:val="0"/>
              <w:spacing w:line="259" w:lineRule="auto"/>
              <w:jc w:val="center"/>
              <w:rPr>
                <w:rFonts w:ascii="Garamond" w:hAnsi="Garamond"/>
                <w:b/>
                <w:sz w:val="22"/>
                <w:szCs w:val="22"/>
                <w:lang w:eastAsia="en-US"/>
              </w:rPr>
            </w:pPr>
            <w:r w:rsidRPr="001043A6">
              <w:rPr>
                <w:rFonts w:ascii="Garamond" w:hAnsi="Garamond"/>
                <w:b/>
                <w:sz w:val="22"/>
                <w:szCs w:val="22"/>
                <w:lang w:eastAsia="en-US"/>
              </w:rPr>
              <w:lastRenderedPageBreak/>
              <w:t>4.1</w:t>
            </w:r>
          </w:p>
        </w:tc>
        <w:tc>
          <w:tcPr>
            <w:tcW w:w="6833" w:type="dxa"/>
          </w:tcPr>
          <w:p w14:paraId="5808BA80" w14:textId="77777777" w:rsidR="00A91A88" w:rsidRPr="001043A6" w:rsidRDefault="00A91A88" w:rsidP="00101F7C">
            <w:pPr>
              <w:numPr>
                <w:ilvl w:val="1"/>
                <w:numId w:val="96"/>
              </w:numPr>
              <w:tabs>
                <w:tab w:val="clear" w:pos="720"/>
                <w:tab w:val="num" w:pos="426"/>
                <w:tab w:val="left" w:pos="1200"/>
                <w:tab w:val="num" w:pos="1440"/>
              </w:tabs>
              <w:suppressAutoHyphens w:val="0"/>
              <w:spacing w:line="259" w:lineRule="auto"/>
              <w:ind w:left="0" w:firstLine="601"/>
              <w:rPr>
                <w:rFonts w:ascii="Garamond" w:hAnsi="Garamond"/>
                <w:bCs/>
                <w:sz w:val="22"/>
                <w:szCs w:val="22"/>
              </w:rPr>
            </w:pPr>
            <w:r w:rsidRPr="001043A6">
              <w:rPr>
                <w:rFonts w:ascii="Garamond" w:hAnsi="Garamond"/>
                <w:bCs/>
                <w:sz w:val="22"/>
                <w:szCs w:val="22"/>
              </w:rPr>
              <w:t>Общие требования к ИВКЭ</w:t>
            </w:r>
          </w:p>
          <w:p w14:paraId="61E7A3B4" w14:textId="77777777" w:rsidR="00A91A88" w:rsidRPr="001043A6" w:rsidRDefault="00A91A88" w:rsidP="00A91A88">
            <w:pPr>
              <w:tabs>
                <w:tab w:val="left" w:pos="1200"/>
              </w:tabs>
              <w:spacing w:line="259" w:lineRule="auto"/>
              <w:ind w:firstLine="601"/>
              <w:rPr>
                <w:rFonts w:ascii="Garamond" w:hAnsi="Garamond"/>
                <w:bCs/>
                <w:sz w:val="22"/>
                <w:szCs w:val="22"/>
              </w:rPr>
            </w:pPr>
            <w:r w:rsidRPr="001043A6">
              <w:rPr>
                <w:rFonts w:ascii="Garamond" w:hAnsi="Garamond"/>
                <w:bCs/>
                <w:sz w:val="22"/>
                <w:szCs w:val="22"/>
              </w:rPr>
              <w:t xml:space="preserve"> </w:t>
            </w:r>
            <w:r w:rsidRPr="001043A6">
              <w:rPr>
                <w:rFonts w:ascii="Garamond" w:hAnsi="Garamond"/>
                <w:iCs/>
                <w:sz w:val="22"/>
                <w:szCs w:val="22"/>
              </w:rPr>
              <w:t>ИВКЭ обеспечивает:</w:t>
            </w:r>
          </w:p>
          <w:p w14:paraId="0E801D1D" w14:textId="77777777" w:rsidR="00A91A88" w:rsidRPr="001043A6" w:rsidRDefault="00A91A88" w:rsidP="00101F7C">
            <w:pPr>
              <w:numPr>
                <w:ilvl w:val="1"/>
                <w:numId w:val="97"/>
              </w:numPr>
              <w:tabs>
                <w:tab w:val="num" w:pos="1200"/>
              </w:tabs>
              <w:suppressAutoHyphens w:val="0"/>
              <w:spacing w:line="259" w:lineRule="auto"/>
              <w:ind w:left="0" w:firstLine="601"/>
              <w:rPr>
                <w:rFonts w:ascii="Garamond" w:hAnsi="Garamond"/>
                <w:sz w:val="22"/>
                <w:szCs w:val="22"/>
              </w:rPr>
            </w:pPr>
            <w:r w:rsidRPr="001043A6">
              <w:rPr>
                <w:rFonts w:ascii="Garamond" w:hAnsi="Garamond"/>
                <w:sz w:val="22"/>
                <w:szCs w:val="22"/>
              </w:rPr>
              <w:t xml:space="preserve">автоматический </w:t>
            </w:r>
            <w:r w:rsidRPr="001043A6">
              <w:rPr>
                <w:rFonts w:ascii="Garamond" w:hAnsi="Garamond"/>
                <w:sz w:val="22"/>
                <w:szCs w:val="22"/>
                <w:highlight w:val="yellow"/>
              </w:rPr>
              <w:t>регламентный</w:t>
            </w:r>
            <w:r w:rsidRPr="001043A6">
              <w:rPr>
                <w:rFonts w:ascii="Garamond" w:hAnsi="Garamond"/>
                <w:sz w:val="22"/>
                <w:szCs w:val="22"/>
              </w:rPr>
              <w:t xml:space="preserve"> сбор результатов измерений;</w:t>
            </w:r>
          </w:p>
          <w:p w14:paraId="63E9AA83" w14:textId="77777777" w:rsidR="00A91A88" w:rsidRPr="001043A6" w:rsidRDefault="00A91A88" w:rsidP="00101F7C">
            <w:pPr>
              <w:numPr>
                <w:ilvl w:val="1"/>
                <w:numId w:val="97"/>
              </w:numPr>
              <w:tabs>
                <w:tab w:val="num" w:pos="1200"/>
              </w:tabs>
              <w:suppressAutoHyphens w:val="0"/>
              <w:spacing w:line="259" w:lineRule="auto"/>
              <w:ind w:left="0" w:firstLine="601"/>
              <w:jc w:val="both"/>
              <w:rPr>
                <w:rFonts w:ascii="Garamond" w:hAnsi="Garamond"/>
                <w:strike/>
                <w:sz w:val="22"/>
                <w:szCs w:val="22"/>
              </w:rPr>
            </w:pPr>
            <w:r w:rsidRPr="001043A6">
              <w:rPr>
                <w:rFonts w:ascii="Garamond" w:hAnsi="Garamond"/>
                <w:sz w:val="22"/>
                <w:szCs w:val="22"/>
              </w:rPr>
              <w:t xml:space="preserve">сбор и хранение данных о состоянии средств измерений («Журналов событий» </w:t>
            </w:r>
            <w:r w:rsidRPr="001043A6">
              <w:rPr>
                <w:rFonts w:ascii="Garamond" w:hAnsi="Garamond"/>
                <w:sz w:val="22"/>
                <w:szCs w:val="22"/>
                <w:highlight w:val="yellow"/>
              </w:rPr>
              <w:t>электросчетчиков</w:t>
            </w:r>
            <w:r w:rsidRPr="001043A6">
              <w:rPr>
                <w:rFonts w:ascii="Garamond" w:hAnsi="Garamond"/>
                <w:sz w:val="22"/>
                <w:szCs w:val="22"/>
              </w:rPr>
              <w:t>) со всех ИИК, опрашиваемых непосредственно данным ИВКЭ;</w:t>
            </w:r>
          </w:p>
          <w:p w14:paraId="163F60A6" w14:textId="77777777" w:rsidR="00A91A88" w:rsidRPr="001043A6" w:rsidRDefault="00A91A88" w:rsidP="00101F7C">
            <w:pPr>
              <w:numPr>
                <w:ilvl w:val="1"/>
                <w:numId w:val="97"/>
              </w:numPr>
              <w:tabs>
                <w:tab w:val="num" w:pos="1200"/>
              </w:tabs>
              <w:suppressAutoHyphens w:val="0"/>
              <w:spacing w:line="259" w:lineRule="auto"/>
              <w:ind w:left="0" w:firstLine="601"/>
              <w:jc w:val="both"/>
              <w:rPr>
                <w:rFonts w:ascii="Garamond" w:hAnsi="Garamond"/>
                <w:sz w:val="22"/>
                <w:szCs w:val="22"/>
              </w:rPr>
            </w:pPr>
            <w:r w:rsidRPr="001043A6">
              <w:rPr>
                <w:rFonts w:ascii="Garamond" w:hAnsi="Garamond"/>
                <w:sz w:val="22"/>
                <w:szCs w:val="22"/>
              </w:rPr>
              <w:t>возможность масштабирования долей именованных величин электроэнергии;</w:t>
            </w:r>
          </w:p>
          <w:p w14:paraId="186B79DA" w14:textId="77777777" w:rsidR="00A91A88" w:rsidRPr="001043A6" w:rsidRDefault="00A91A88" w:rsidP="00101F7C">
            <w:pPr>
              <w:numPr>
                <w:ilvl w:val="1"/>
                <w:numId w:val="97"/>
              </w:numPr>
              <w:tabs>
                <w:tab w:val="num" w:pos="1200"/>
              </w:tabs>
              <w:suppressAutoHyphens w:val="0"/>
              <w:spacing w:line="259" w:lineRule="auto"/>
              <w:ind w:left="0" w:firstLine="601"/>
              <w:jc w:val="both"/>
              <w:rPr>
                <w:rFonts w:ascii="Garamond" w:hAnsi="Garamond"/>
                <w:sz w:val="22"/>
                <w:szCs w:val="22"/>
              </w:rPr>
            </w:pPr>
            <w:r w:rsidRPr="001043A6">
              <w:rPr>
                <w:rFonts w:ascii="Garamond" w:hAnsi="Garamond"/>
                <w:sz w:val="22"/>
                <w:szCs w:val="22"/>
              </w:rPr>
              <w:t>ведение «Журнала событий» ИВКЭ;</w:t>
            </w:r>
          </w:p>
          <w:p w14:paraId="6E2E66DA" w14:textId="77777777" w:rsidR="00A91A88" w:rsidRPr="001043A6" w:rsidRDefault="00D151D1" w:rsidP="00D151D1">
            <w:pPr>
              <w:suppressAutoHyphens w:val="0"/>
              <w:spacing w:line="259" w:lineRule="auto"/>
              <w:ind w:left="601"/>
              <w:jc w:val="both"/>
              <w:rPr>
                <w:rFonts w:ascii="Garamond" w:hAnsi="Garamond"/>
                <w:sz w:val="22"/>
                <w:szCs w:val="22"/>
                <w:highlight w:val="yellow"/>
              </w:rPr>
            </w:pPr>
            <w:r w:rsidRPr="001043A6">
              <w:rPr>
                <w:rFonts w:ascii="Garamond" w:hAnsi="Garamond"/>
                <w:sz w:val="22"/>
                <w:szCs w:val="22"/>
              </w:rPr>
              <w:t xml:space="preserve">4.1.5. </w:t>
            </w:r>
            <w:r w:rsidR="00A91A88" w:rsidRPr="001043A6">
              <w:rPr>
                <w:rFonts w:ascii="Garamond" w:hAnsi="Garamond"/>
                <w:sz w:val="22"/>
                <w:szCs w:val="22"/>
              </w:rPr>
              <w:t xml:space="preserve">предоставление дистанционного доступа до </w:t>
            </w:r>
            <w:r w:rsidR="00A91A88" w:rsidRPr="001043A6">
              <w:rPr>
                <w:rFonts w:ascii="Garamond" w:hAnsi="Garamond"/>
                <w:sz w:val="22"/>
                <w:szCs w:val="22"/>
                <w:highlight w:val="yellow"/>
              </w:rPr>
              <w:t>счетчика</w:t>
            </w:r>
            <w:r w:rsidR="00A91A88" w:rsidRPr="001043A6">
              <w:rPr>
                <w:rFonts w:ascii="Garamond" w:hAnsi="Garamond"/>
                <w:sz w:val="22"/>
                <w:szCs w:val="22"/>
              </w:rPr>
              <w:t xml:space="preserve"> </w:t>
            </w:r>
            <w:r w:rsidR="00A91A88" w:rsidRPr="001043A6">
              <w:rPr>
                <w:rFonts w:ascii="Garamond" w:hAnsi="Garamond"/>
                <w:sz w:val="22"/>
                <w:szCs w:val="22"/>
                <w:highlight w:val="yellow"/>
              </w:rPr>
              <w:t>с сервера (АРМа) АИИС КУЭ;</w:t>
            </w:r>
          </w:p>
          <w:p w14:paraId="052C9E0D" w14:textId="77777777" w:rsidR="00A91A88" w:rsidRPr="001043A6" w:rsidRDefault="00D151D1" w:rsidP="00D151D1">
            <w:pPr>
              <w:suppressAutoHyphens w:val="0"/>
              <w:spacing w:line="259" w:lineRule="auto"/>
              <w:ind w:firstLine="627"/>
              <w:jc w:val="both"/>
              <w:rPr>
                <w:rFonts w:ascii="Garamond" w:hAnsi="Garamond"/>
                <w:sz w:val="22"/>
                <w:szCs w:val="22"/>
              </w:rPr>
            </w:pPr>
            <w:r w:rsidRPr="001043A6">
              <w:rPr>
                <w:rFonts w:ascii="Garamond" w:hAnsi="Garamond"/>
                <w:sz w:val="22"/>
                <w:szCs w:val="22"/>
              </w:rPr>
              <w:t xml:space="preserve">4.1.6. </w:t>
            </w:r>
            <w:r w:rsidR="00A91A88" w:rsidRPr="001043A6">
              <w:rPr>
                <w:rFonts w:ascii="Garamond" w:hAnsi="Garamond"/>
                <w:sz w:val="22"/>
                <w:szCs w:val="22"/>
              </w:rPr>
              <w:t>предоставление доступа ИВК к результатам измерений, к данным о состоянии средств измерений, объектов измерений (при наличии автоматического сбора информации о состоянии объектов измерений);</w:t>
            </w:r>
          </w:p>
          <w:p w14:paraId="1BB81F15" w14:textId="77777777" w:rsidR="00A91A88" w:rsidRPr="001043A6" w:rsidRDefault="00D151D1" w:rsidP="00D151D1">
            <w:pPr>
              <w:suppressAutoHyphens w:val="0"/>
              <w:spacing w:line="259" w:lineRule="auto"/>
              <w:ind w:firstLine="627"/>
              <w:jc w:val="both"/>
              <w:rPr>
                <w:rFonts w:ascii="Garamond" w:hAnsi="Garamond"/>
                <w:sz w:val="22"/>
                <w:szCs w:val="22"/>
              </w:rPr>
            </w:pPr>
            <w:r w:rsidRPr="001043A6">
              <w:rPr>
                <w:rFonts w:ascii="Garamond" w:hAnsi="Garamond"/>
                <w:sz w:val="22"/>
                <w:szCs w:val="22"/>
              </w:rPr>
              <w:t xml:space="preserve">4.1.7. </w:t>
            </w:r>
            <w:r w:rsidR="00A91A88" w:rsidRPr="001043A6">
              <w:rPr>
                <w:rFonts w:ascii="Garamond" w:hAnsi="Garamond"/>
                <w:sz w:val="22"/>
                <w:szCs w:val="22"/>
                <w:highlight w:val="yellow"/>
              </w:rPr>
              <w:t>аппаратную и программную</w:t>
            </w:r>
            <w:r w:rsidR="00A91A88" w:rsidRPr="001043A6">
              <w:rPr>
                <w:rFonts w:ascii="Garamond" w:hAnsi="Garamond"/>
                <w:sz w:val="22"/>
                <w:szCs w:val="22"/>
              </w:rPr>
              <w:t xml:space="preserve"> защиту от несанкционированного изменения параметров и любого изменения данных;</w:t>
            </w:r>
          </w:p>
          <w:p w14:paraId="018D319D" w14:textId="77777777" w:rsidR="00A91A88" w:rsidRPr="001043A6" w:rsidRDefault="00D151D1" w:rsidP="00D151D1">
            <w:pPr>
              <w:suppressAutoHyphens w:val="0"/>
              <w:spacing w:line="259" w:lineRule="auto"/>
              <w:ind w:firstLine="627"/>
              <w:jc w:val="both"/>
              <w:rPr>
                <w:rFonts w:ascii="Garamond" w:hAnsi="Garamond"/>
                <w:color w:val="000000"/>
                <w:sz w:val="22"/>
                <w:szCs w:val="22"/>
              </w:rPr>
            </w:pPr>
            <w:r w:rsidRPr="001043A6">
              <w:rPr>
                <w:rFonts w:ascii="Garamond" w:hAnsi="Garamond"/>
                <w:color w:val="000000"/>
                <w:sz w:val="22"/>
                <w:szCs w:val="22"/>
              </w:rPr>
              <w:t xml:space="preserve">4.1.8. </w:t>
            </w:r>
            <w:r w:rsidR="00A91A88" w:rsidRPr="001043A6">
              <w:rPr>
                <w:rFonts w:ascii="Garamond" w:hAnsi="Garamond"/>
                <w:color w:val="000000"/>
                <w:sz w:val="22"/>
                <w:szCs w:val="22"/>
              </w:rPr>
              <w:t>синхронизаци</w:t>
            </w:r>
            <w:r w:rsidR="00A91A88" w:rsidRPr="001043A6">
              <w:rPr>
                <w:rFonts w:ascii="Garamond" w:hAnsi="Garamond"/>
                <w:color w:val="000000"/>
                <w:sz w:val="22"/>
                <w:szCs w:val="22"/>
                <w:highlight w:val="yellow"/>
              </w:rPr>
              <w:t>ю</w:t>
            </w:r>
            <w:r w:rsidR="00A91A88" w:rsidRPr="001043A6">
              <w:rPr>
                <w:rFonts w:ascii="Garamond" w:hAnsi="Garamond"/>
                <w:color w:val="000000"/>
                <w:sz w:val="22"/>
                <w:szCs w:val="22"/>
              </w:rPr>
              <w:t xml:space="preserve"> </w:t>
            </w:r>
            <w:r w:rsidR="00A91A88" w:rsidRPr="001043A6">
              <w:rPr>
                <w:rFonts w:ascii="Garamond" w:hAnsi="Garamond"/>
                <w:color w:val="000000"/>
                <w:sz w:val="22"/>
                <w:szCs w:val="22"/>
                <w:highlight w:val="yellow"/>
              </w:rPr>
              <w:t>(</w:t>
            </w:r>
            <w:r w:rsidR="00A91A88" w:rsidRPr="001043A6">
              <w:rPr>
                <w:rFonts w:ascii="Garamond" w:hAnsi="Garamond"/>
                <w:color w:val="000000"/>
                <w:sz w:val="22"/>
                <w:szCs w:val="22"/>
              </w:rPr>
              <w:t>коррекци</w:t>
            </w:r>
            <w:r w:rsidR="00A91A88" w:rsidRPr="001043A6">
              <w:rPr>
                <w:rFonts w:ascii="Garamond" w:hAnsi="Garamond"/>
                <w:color w:val="000000"/>
                <w:sz w:val="22"/>
                <w:szCs w:val="22"/>
                <w:highlight w:val="yellow"/>
              </w:rPr>
              <w:t>ю)</w:t>
            </w:r>
            <w:r w:rsidR="00A91A88" w:rsidRPr="001043A6">
              <w:rPr>
                <w:rFonts w:ascii="Garamond" w:hAnsi="Garamond"/>
                <w:color w:val="000000"/>
                <w:sz w:val="22"/>
                <w:szCs w:val="22"/>
              </w:rPr>
              <w:t xml:space="preserve"> времени в </w:t>
            </w:r>
            <w:r w:rsidR="00A91A88" w:rsidRPr="001043A6">
              <w:rPr>
                <w:rFonts w:ascii="Garamond" w:hAnsi="Garamond"/>
                <w:color w:val="000000"/>
                <w:sz w:val="22"/>
                <w:szCs w:val="22"/>
                <w:highlight w:val="yellow"/>
              </w:rPr>
              <w:t>ИВКЭ (д</w:t>
            </w:r>
            <w:r w:rsidR="00A91A88" w:rsidRPr="001043A6">
              <w:rPr>
                <w:rFonts w:ascii="Garamond" w:hAnsi="Garamond"/>
                <w:color w:val="000000"/>
                <w:sz w:val="22"/>
                <w:szCs w:val="22"/>
              </w:rPr>
              <w:t>опускается синхронизация времени ИВК</w:t>
            </w:r>
            <w:r w:rsidR="00A91A88" w:rsidRPr="001043A6">
              <w:rPr>
                <w:rFonts w:ascii="Garamond" w:hAnsi="Garamond"/>
                <w:color w:val="000000"/>
                <w:sz w:val="22"/>
                <w:szCs w:val="22"/>
                <w:highlight w:val="yellow"/>
              </w:rPr>
              <w:t>) и коррекцию времени</w:t>
            </w:r>
            <w:r w:rsidR="00A91A88" w:rsidRPr="001043A6">
              <w:rPr>
                <w:rFonts w:ascii="Garamond" w:hAnsi="Garamond"/>
                <w:color w:val="000000"/>
                <w:sz w:val="22"/>
                <w:szCs w:val="22"/>
              </w:rPr>
              <w:t xml:space="preserve"> в </w:t>
            </w:r>
            <w:r w:rsidR="00A91A88" w:rsidRPr="001043A6">
              <w:rPr>
                <w:rFonts w:ascii="Garamond" w:hAnsi="Garamond"/>
                <w:color w:val="000000"/>
                <w:sz w:val="22"/>
                <w:szCs w:val="22"/>
                <w:highlight w:val="yellow"/>
              </w:rPr>
              <w:t>счетчиках</w:t>
            </w:r>
            <w:r w:rsidR="00A91A88" w:rsidRPr="001043A6">
              <w:rPr>
                <w:rFonts w:ascii="Garamond" w:hAnsi="Garamond"/>
                <w:color w:val="000000"/>
                <w:sz w:val="22"/>
                <w:szCs w:val="22"/>
              </w:rPr>
              <w:t xml:space="preserve"> </w:t>
            </w:r>
            <w:r w:rsidR="00A91A88" w:rsidRPr="001043A6">
              <w:rPr>
                <w:rFonts w:ascii="Garamond" w:hAnsi="Garamond"/>
                <w:color w:val="000000"/>
                <w:sz w:val="22"/>
                <w:szCs w:val="22"/>
                <w:highlight w:val="yellow"/>
              </w:rPr>
              <w:t>электроэнергии</w:t>
            </w:r>
            <w:r w:rsidR="00A91A88" w:rsidRPr="001043A6">
              <w:rPr>
                <w:rFonts w:ascii="Garamond" w:hAnsi="Garamond"/>
                <w:color w:val="000000"/>
                <w:sz w:val="22"/>
                <w:szCs w:val="22"/>
              </w:rPr>
              <w:t>;</w:t>
            </w:r>
          </w:p>
          <w:p w14:paraId="20B5045E" w14:textId="77777777" w:rsidR="00821ED7" w:rsidRPr="001043A6" w:rsidRDefault="00D151D1" w:rsidP="00D151D1">
            <w:pPr>
              <w:suppressAutoHyphens w:val="0"/>
              <w:spacing w:line="259" w:lineRule="auto"/>
              <w:ind w:firstLine="627"/>
              <w:jc w:val="both"/>
              <w:rPr>
                <w:rFonts w:ascii="Garamond" w:hAnsi="Garamond"/>
                <w:sz w:val="22"/>
                <w:szCs w:val="22"/>
              </w:rPr>
            </w:pPr>
            <w:r w:rsidRPr="001043A6">
              <w:rPr>
                <w:rFonts w:ascii="Garamond" w:hAnsi="Garamond"/>
                <w:sz w:val="22"/>
                <w:szCs w:val="22"/>
              </w:rPr>
              <w:t xml:space="preserve">4.1.9. </w:t>
            </w:r>
            <w:r w:rsidR="00A91A88" w:rsidRPr="001043A6">
              <w:rPr>
                <w:rFonts w:ascii="Garamond" w:hAnsi="Garamond"/>
                <w:sz w:val="22"/>
                <w:szCs w:val="22"/>
              </w:rPr>
              <w:t>самодиагностик</w:t>
            </w:r>
            <w:r w:rsidR="00A91A88" w:rsidRPr="001043A6">
              <w:rPr>
                <w:rFonts w:ascii="Garamond" w:hAnsi="Garamond"/>
                <w:sz w:val="22"/>
                <w:szCs w:val="22"/>
                <w:highlight w:val="yellow"/>
              </w:rPr>
              <w:t>у</w:t>
            </w:r>
            <w:r w:rsidR="00A91A88" w:rsidRPr="001043A6">
              <w:rPr>
                <w:rFonts w:ascii="Garamond" w:hAnsi="Garamond"/>
                <w:sz w:val="22"/>
                <w:szCs w:val="22"/>
              </w:rPr>
              <w:t xml:space="preserve"> с фиксацией результатов в «Журнале событий».</w:t>
            </w:r>
          </w:p>
        </w:tc>
        <w:tc>
          <w:tcPr>
            <w:tcW w:w="7115" w:type="dxa"/>
          </w:tcPr>
          <w:p w14:paraId="5B7543B1" w14:textId="77777777" w:rsidR="00A91A88" w:rsidRPr="001043A6" w:rsidRDefault="00A91A88" w:rsidP="00101F7C">
            <w:pPr>
              <w:pStyle w:val="ac"/>
              <w:numPr>
                <w:ilvl w:val="1"/>
                <w:numId w:val="98"/>
              </w:numPr>
              <w:tabs>
                <w:tab w:val="left" w:pos="1200"/>
                <w:tab w:val="num" w:pos="1440"/>
              </w:tabs>
              <w:spacing w:line="259" w:lineRule="auto"/>
              <w:ind w:left="0" w:firstLine="601"/>
              <w:jc w:val="both"/>
              <w:rPr>
                <w:rFonts w:ascii="Garamond" w:hAnsi="Garamond"/>
                <w:bCs/>
                <w:sz w:val="22"/>
                <w:szCs w:val="22"/>
              </w:rPr>
            </w:pPr>
            <w:r w:rsidRPr="001043A6">
              <w:rPr>
                <w:rFonts w:ascii="Garamond" w:hAnsi="Garamond"/>
                <w:bCs/>
                <w:sz w:val="22"/>
                <w:szCs w:val="22"/>
              </w:rPr>
              <w:t>Общие требования к ИВКЭ</w:t>
            </w:r>
            <w:r w:rsidR="00DE0FFE" w:rsidRPr="001043A6">
              <w:rPr>
                <w:rFonts w:ascii="Garamond" w:hAnsi="Garamond"/>
                <w:bCs/>
                <w:sz w:val="22"/>
                <w:szCs w:val="22"/>
              </w:rPr>
              <w:t xml:space="preserve"> </w:t>
            </w:r>
          </w:p>
          <w:p w14:paraId="3CB2D5D3" w14:textId="77777777" w:rsidR="00A91A88" w:rsidRPr="001043A6" w:rsidRDefault="00A91A88" w:rsidP="009C7D1D">
            <w:pPr>
              <w:tabs>
                <w:tab w:val="left" w:pos="1200"/>
              </w:tabs>
              <w:spacing w:line="259" w:lineRule="auto"/>
              <w:ind w:firstLine="601"/>
              <w:jc w:val="both"/>
              <w:rPr>
                <w:rFonts w:ascii="Garamond" w:hAnsi="Garamond"/>
                <w:bCs/>
                <w:sz w:val="22"/>
                <w:szCs w:val="22"/>
              </w:rPr>
            </w:pPr>
            <w:r w:rsidRPr="001043A6">
              <w:rPr>
                <w:rFonts w:ascii="Garamond" w:hAnsi="Garamond"/>
                <w:iCs/>
                <w:sz w:val="22"/>
                <w:szCs w:val="22"/>
              </w:rPr>
              <w:t>ИВКЭ обеспечивает:</w:t>
            </w:r>
          </w:p>
          <w:p w14:paraId="33C1CCD4" w14:textId="77777777" w:rsidR="00A91A88" w:rsidRPr="001043A6" w:rsidRDefault="009C7D1D" w:rsidP="009C7D1D">
            <w:pPr>
              <w:tabs>
                <w:tab w:val="num" w:pos="1200"/>
              </w:tabs>
              <w:suppressAutoHyphens w:val="0"/>
              <w:spacing w:line="259" w:lineRule="auto"/>
              <w:ind w:firstLine="601"/>
              <w:jc w:val="both"/>
              <w:rPr>
                <w:rFonts w:ascii="Garamond" w:hAnsi="Garamond"/>
                <w:sz w:val="22"/>
                <w:szCs w:val="22"/>
              </w:rPr>
            </w:pPr>
            <w:r w:rsidRPr="001043A6">
              <w:rPr>
                <w:rFonts w:ascii="Garamond" w:hAnsi="Garamond"/>
                <w:sz w:val="22"/>
                <w:szCs w:val="22"/>
              </w:rPr>
              <w:t xml:space="preserve">4.1.1. </w:t>
            </w:r>
            <w:r w:rsidR="00A91A88" w:rsidRPr="001043A6">
              <w:rPr>
                <w:rFonts w:ascii="Garamond" w:hAnsi="Garamond"/>
                <w:sz w:val="22"/>
                <w:szCs w:val="22"/>
              </w:rPr>
              <w:t>автоматический сбор результатов измерений</w:t>
            </w:r>
            <w:r w:rsidR="006C5CEB" w:rsidRPr="001043A6">
              <w:rPr>
                <w:rFonts w:ascii="Garamond" w:hAnsi="Garamond"/>
                <w:sz w:val="22"/>
                <w:szCs w:val="22"/>
              </w:rPr>
              <w:t xml:space="preserve"> </w:t>
            </w:r>
            <w:r w:rsidR="006C5CEB" w:rsidRPr="001043A6">
              <w:rPr>
                <w:rFonts w:ascii="Garamond" w:hAnsi="Garamond"/>
                <w:sz w:val="22"/>
                <w:szCs w:val="22"/>
                <w:highlight w:val="yellow"/>
              </w:rPr>
              <w:t>с приборов учета (ИИК) (по тем же измерительным каналам (активная/реактивная электроэнергия) и направлениям (прием/отдача), что и опрашиваемый прибор учета)</w:t>
            </w:r>
            <w:r w:rsidR="00A91A88" w:rsidRPr="001043A6">
              <w:rPr>
                <w:rFonts w:ascii="Garamond" w:hAnsi="Garamond"/>
                <w:sz w:val="22"/>
                <w:szCs w:val="22"/>
              </w:rPr>
              <w:t>;</w:t>
            </w:r>
          </w:p>
          <w:p w14:paraId="2CDBBE4E" w14:textId="77777777" w:rsidR="00A91A88" w:rsidRPr="001043A6" w:rsidRDefault="009C7D1D" w:rsidP="009C7D1D">
            <w:pPr>
              <w:tabs>
                <w:tab w:val="num" w:pos="1200"/>
              </w:tabs>
              <w:suppressAutoHyphens w:val="0"/>
              <w:spacing w:line="259" w:lineRule="auto"/>
              <w:ind w:firstLine="601"/>
              <w:jc w:val="both"/>
              <w:rPr>
                <w:rFonts w:ascii="Garamond" w:hAnsi="Garamond"/>
                <w:strike/>
                <w:sz w:val="22"/>
                <w:szCs w:val="22"/>
              </w:rPr>
            </w:pPr>
            <w:r w:rsidRPr="001043A6">
              <w:rPr>
                <w:rFonts w:ascii="Garamond" w:hAnsi="Garamond"/>
                <w:sz w:val="22"/>
                <w:szCs w:val="22"/>
              </w:rPr>
              <w:t xml:space="preserve">4.1.2. </w:t>
            </w:r>
            <w:r w:rsidR="00A91A88" w:rsidRPr="001043A6">
              <w:rPr>
                <w:rFonts w:ascii="Garamond" w:hAnsi="Garamond"/>
                <w:sz w:val="22"/>
                <w:szCs w:val="22"/>
              </w:rPr>
              <w:t xml:space="preserve">сбор и хранение данных о состоянии средств измерений («Журналов событий» </w:t>
            </w:r>
            <w:r w:rsidR="00B92B7C" w:rsidRPr="001043A6">
              <w:rPr>
                <w:rFonts w:ascii="Garamond" w:hAnsi="Garamond"/>
                <w:sz w:val="22"/>
                <w:szCs w:val="22"/>
                <w:highlight w:val="yellow"/>
              </w:rPr>
              <w:t>приборов учета</w:t>
            </w:r>
            <w:r w:rsidR="00A91A88" w:rsidRPr="001043A6">
              <w:rPr>
                <w:rFonts w:ascii="Garamond" w:hAnsi="Garamond"/>
                <w:sz w:val="22"/>
                <w:szCs w:val="22"/>
              </w:rPr>
              <w:t>) со всех ИИК, опрашиваемых непосредственно данным ИВКЭ;</w:t>
            </w:r>
          </w:p>
          <w:p w14:paraId="05206F49" w14:textId="77777777" w:rsidR="00A91A88" w:rsidRPr="001043A6" w:rsidRDefault="00A91A88" w:rsidP="00101F7C">
            <w:pPr>
              <w:pStyle w:val="ac"/>
              <w:numPr>
                <w:ilvl w:val="2"/>
                <w:numId w:val="99"/>
              </w:numPr>
              <w:tabs>
                <w:tab w:val="num" w:pos="1200"/>
              </w:tabs>
              <w:spacing w:line="259" w:lineRule="auto"/>
              <w:ind w:left="0" w:firstLine="601"/>
              <w:jc w:val="both"/>
              <w:rPr>
                <w:rFonts w:ascii="Garamond" w:hAnsi="Garamond"/>
                <w:sz w:val="22"/>
                <w:szCs w:val="22"/>
              </w:rPr>
            </w:pPr>
            <w:r w:rsidRPr="001043A6">
              <w:rPr>
                <w:rFonts w:ascii="Garamond" w:hAnsi="Garamond"/>
                <w:sz w:val="22"/>
                <w:szCs w:val="22"/>
              </w:rPr>
              <w:t>возможность масштабирования долей именованных величин электроэнергии;</w:t>
            </w:r>
          </w:p>
          <w:p w14:paraId="4859F8CB" w14:textId="77777777" w:rsidR="00A91A88" w:rsidRPr="001043A6" w:rsidRDefault="00A91A88" w:rsidP="00101F7C">
            <w:pPr>
              <w:pStyle w:val="ac"/>
              <w:numPr>
                <w:ilvl w:val="2"/>
                <w:numId w:val="99"/>
              </w:numPr>
              <w:tabs>
                <w:tab w:val="num" w:pos="1200"/>
              </w:tabs>
              <w:spacing w:line="259" w:lineRule="auto"/>
              <w:ind w:left="0" w:firstLine="601"/>
              <w:jc w:val="both"/>
              <w:rPr>
                <w:rFonts w:ascii="Garamond" w:hAnsi="Garamond"/>
                <w:sz w:val="22"/>
                <w:szCs w:val="22"/>
              </w:rPr>
            </w:pPr>
            <w:r w:rsidRPr="001043A6">
              <w:rPr>
                <w:rFonts w:ascii="Garamond" w:hAnsi="Garamond"/>
                <w:sz w:val="22"/>
                <w:szCs w:val="22"/>
              </w:rPr>
              <w:t>ведение «Журнала событий» ИВКЭ;</w:t>
            </w:r>
          </w:p>
          <w:p w14:paraId="3EAA6335" w14:textId="77777777" w:rsidR="00A91A88" w:rsidRPr="001043A6" w:rsidRDefault="00A91A88" w:rsidP="00101F7C">
            <w:pPr>
              <w:pStyle w:val="ac"/>
              <w:numPr>
                <w:ilvl w:val="2"/>
                <w:numId w:val="99"/>
              </w:numPr>
              <w:tabs>
                <w:tab w:val="num" w:pos="1200"/>
              </w:tabs>
              <w:spacing w:line="259" w:lineRule="auto"/>
              <w:ind w:left="0" w:firstLine="601"/>
              <w:jc w:val="both"/>
              <w:rPr>
                <w:rFonts w:ascii="Garamond" w:hAnsi="Garamond"/>
                <w:sz w:val="22"/>
                <w:szCs w:val="22"/>
              </w:rPr>
            </w:pPr>
            <w:r w:rsidRPr="001043A6">
              <w:rPr>
                <w:rFonts w:ascii="Garamond" w:hAnsi="Garamond"/>
                <w:sz w:val="22"/>
                <w:szCs w:val="22"/>
              </w:rPr>
              <w:t xml:space="preserve">предоставление дистанционного доступа до </w:t>
            </w:r>
            <w:r w:rsidR="00B92B7C" w:rsidRPr="001043A6">
              <w:rPr>
                <w:rFonts w:ascii="Garamond" w:hAnsi="Garamond"/>
                <w:sz w:val="22"/>
                <w:szCs w:val="22"/>
                <w:highlight w:val="yellow"/>
              </w:rPr>
              <w:t>прибора учета</w:t>
            </w:r>
            <w:r w:rsidRPr="001043A6">
              <w:rPr>
                <w:rFonts w:ascii="Garamond" w:hAnsi="Garamond"/>
                <w:sz w:val="22"/>
                <w:szCs w:val="22"/>
                <w:highlight w:val="yellow"/>
              </w:rPr>
              <w:t xml:space="preserve"> </w:t>
            </w:r>
            <w:r w:rsidR="006C5CEB" w:rsidRPr="001043A6">
              <w:rPr>
                <w:rFonts w:ascii="Garamond" w:hAnsi="Garamond"/>
                <w:sz w:val="22"/>
                <w:szCs w:val="22"/>
                <w:highlight w:val="yellow"/>
              </w:rPr>
              <w:t xml:space="preserve">в порядке, предусмотренном Порядком установления соответствия </w:t>
            </w:r>
            <w:r w:rsidR="005C089B" w:rsidRPr="001043A6">
              <w:rPr>
                <w:rFonts w:ascii="Garamond" w:hAnsi="Garamond"/>
                <w:sz w:val="22"/>
                <w:szCs w:val="22"/>
                <w:highlight w:val="yellow"/>
              </w:rPr>
              <w:t>СУ</w:t>
            </w:r>
            <w:r w:rsidR="006C5CEB" w:rsidRPr="001043A6">
              <w:rPr>
                <w:rFonts w:ascii="Garamond" w:hAnsi="Garamond"/>
                <w:sz w:val="22"/>
                <w:szCs w:val="22"/>
                <w:highlight w:val="yellow"/>
              </w:rPr>
              <w:t xml:space="preserve"> и Регламентом проверок</w:t>
            </w:r>
            <w:r w:rsidRPr="001043A6">
              <w:rPr>
                <w:rFonts w:ascii="Garamond" w:hAnsi="Garamond"/>
                <w:sz w:val="22"/>
                <w:szCs w:val="22"/>
              </w:rPr>
              <w:t>;</w:t>
            </w:r>
          </w:p>
          <w:p w14:paraId="29ACAB77" w14:textId="77777777" w:rsidR="00A91A88" w:rsidRPr="001043A6" w:rsidRDefault="00A91A88" w:rsidP="00101F7C">
            <w:pPr>
              <w:pStyle w:val="ac"/>
              <w:numPr>
                <w:ilvl w:val="2"/>
                <w:numId w:val="99"/>
              </w:numPr>
              <w:tabs>
                <w:tab w:val="num" w:pos="1200"/>
              </w:tabs>
              <w:spacing w:line="259" w:lineRule="auto"/>
              <w:ind w:left="0" w:firstLine="601"/>
              <w:jc w:val="both"/>
              <w:rPr>
                <w:rFonts w:ascii="Garamond" w:hAnsi="Garamond"/>
                <w:sz w:val="22"/>
                <w:szCs w:val="22"/>
              </w:rPr>
            </w:pPr>
            <w:r w:rsidRPr="001043A6">
              <w:rPr>
                <w:rFonts w:ascii="Garamond" w:hAnsi="Garamond"/>
                <w:sz w:val="22"/>
                <w:szCs w:val="22"/>
              </w:rPr>
              <w:t>предоставление доступа ИВК к результатам измерений, к данным о состоянии средств измерений, объектов измерений (при наличии автоматического сбора информации о состоянии объектов измерений);</w:t>
            </w:r>
          </w:p>
          <w:p w14:paraId="603ACB72" w14:textId="77777777" w:rsidR="00A91A88" w:rsidRPr="001043A6" w:rsidRDefault="00A91A88" w:rsidP="00101F7C">
            <w:pPr>
              <w:pStyle w:val="ac"/>
              <w:numPr>
                <w:ilvl w:val="2"/>
                <w:numId w:val="99"/>
              </w:numPr>
              <w:tabs>
                <w:tab w:val="num" w:pos="1200"/>
              </w:tabs>
              <w:spacing w:line="259" w:lineRule="auto"/>
              <w:ind w:left="0" w:firstLine="601"/>
              <w:jc w:val="both"/>
              <w:rPr>
                <w:rFonts w:ascii="Garamond" w:hAnsi="Garamond"/>
                <w:sz w:val="22"/>
                <w:szCs w:val="22"/>
              </w:rPr>
            </w:pPr>
            <w:r w:rsidRPr="001043A6">
              <w:rPr>
                <w:rFonts w:ascii="Garamond" w:hAnsi="Garamond"/>
                <w:sz w:val="22"/>
                <w:szCs w:val="22"/>
              </w:rPr>
              <w:t xml:space="preserve">защиту от несанкционированного </w:t>
            </w:r>
            <w:r w:rsidR="00154100" w:rsidRPr="001043A6">
              <w:rPr>
                <w:rFonts w:ascii="Garamond" w:hAnsi="Garamond"/>
                <w:sz w:val="22"/>
                <w:szCs w:val="22"/>
                <w:highlight w:val="yellow"/>
              </w:rPr>
              <w:t>доступа,</w:t>
            </w:r>
            <w:r w:rsidR="00154100" w:rsidRPr="001043A6">
              <w:rPr>
                <w:rFonts w:ascii="Garamond" w:hAnsi="Garamond"/>
                <w:sz w:val="22"/>
                <w:szCs w:val="22"/>
              </w:rPr>
              <w:t xml:space="preserve"> </w:t>
            </w:r>
            <w:r w:rsidRPr="001043A6">
              <w:rPr>
                <w:rFonts w:ascii="Garamond" w:hAnsi="Garamond"/>
                <w:sz w:val="22"/>
                <w:szCs w:val="22"/>
              </w:rPr>
              <w:t>изменения параметров</w:t>
            </w:r>
            <w:r w:rsidR="00154100" w:rsidRPr="001043A6">
              <w:rPr>
                <w:rFonts w:ascii="Garamond" w:hAnsi="Garamond"/>
                <w:sz w:val="22"/>
                <w:szCs w:val="22"/>
              </w:rPr>
              <w:t xml:space="preserve"> </w:t>
            </w:r>
            <w:r w:rsidR="00154100" w:rsidRPr="001043A6">
              <w:rPr>
                <w:rFonts w:ascii="Garamond" w:hAnsi="Garamond"/>
                <w:sz w:val="22"/>
                <w:szCs w:val="22"/>
                <w:highlight w:val="yellow"/>
              </w:rPr>
              <w:t>ИВКЭ</w:t>
            </w:r>
            <w:r w:rsidR="00154100" w:rsidRPr="001043A6">
              <w:rPr>
                <w:rFonts w:ascii="Garamond" w:hAnsi="Garamond"/>
                <w:sz w:val="22"/>
                <w:szCs w:val="22"/>
              </w:rPr>
              <w:t xml:space="preserve"> и любого изменения данных,</w:t>
            </w:r>
            <w:r w:rsidR="00154100" w:rsidRPr="001043A6">
              <w:rPr>
                <w:rFonts w:ascii="Garamond" w:hAnsi="Garamond"/>
                <w:sz w:val="22"/>
                <w:szCs w:val="22"/>
                <w:highlight w:val="yellow"/>
              </w:rPr>
              <w:t xml:space="preserve"> содержащихся в ИВКЭ, при этом защита должна быть обеспечена на программном (логическом) уровне (установка паролей, идентификация и аутентификация, контроль доступа) и аппаратном (физическом) уровне (установка пломб, марок и т.п.)</w:t>
            </w:r>
            <w:r w:rsidR="009979D3" w:rsidRPr="001043A6">
              <w:rPr>
                <w:rFonts w:ascii="Garamond" w:hAnsi="Garamond"/>
                <w:sz w:val="22"/>
                <w:szCs w:val="22"/>
              </w:rPr>
              <w:t>;</w:t>
            </w:r>
          </w:p>
          <w:p w14:paraId="4A9BBEBD" w14:textId="3A2679EB" w:rsidR="00A91A88" w:rsidRPr="001043A6" w:rsidRDefault="0063335A" w:rsidP="00101F7C">
            <w:pPr>
              <w:pStyle w:val="ac"/>
              <w:numPr>
                <w:ilvl w:val="2"/>
                <w:numId w:val="99"/>
              </w:numPr>
              <w:tabs>
                <w:tab w:val="num" w:pos="1200"/>
              </w:tabs>
              <w:spacing w:line="259" w:lineRule="auto"/>
              <w:ind w:left="0" w:firstLine="601"/>
              <w:jc w:val="both"/>
              <w:rPr>
                <w:rFonts w:ascii="Garamond" w:hAnsi="Garamond"/>
                <w:color w:val="000000"/>
                <w:sz w:val="22"/>
                <w:szCs w:val="22"/>
              </w:rPr>
            </w:pPr>
            <w:r w:rsidRPr="001043A6">
              <w:rPr>
                <w:rFonts w:ascii="Garamond" w:hAnsi="Garamond"/>
                <w:color w:val="000000"/>
                <w:sz w:val="22"/>
                <w:szCs w:val="22"/>
                <w:highlight w:val="yellow"/>
              </w:rPr>
              <w:t>автоматическое выполнение измерений,</w:t>
            </w:r>
            <w:r w:rsidRPr="001043A6">
              <w:rPr>
                <w:rFonts w:ascii="Garamond" w:hAnsi="Garamond"/>
                <w:color w:val="000000"/>
                <w:sz w:val="22"/>
                <w:szCs w:val="22"/>
              </w:rPr>
              <w:t xml:space="preserve"> </w:t>
            </w:r>
            <w:r w:rsidR="00A91A88" w:rsidRPr="001043A6">
              <w:rPr>
                <w:rFonts w:ascii="Garamond" w:hAnsi="Garamond"/>
                <w:color w:val="000000"/>
                <w:sz w:val="22"/>
                <w:szCs w:val="22"/>
              </w:rPr>
              <w:t>синхронизаци</w:t>
            </w:r>
            <w:r w:rsidRPr="001043A6">
              <w:rPr>
                <w:rFonts w:ascii="Garamond" w:hAnsi="Garamond"/>
                <w:color w:val="000000"/>
                <w:sz w:val="22"/>
                <w:szCs w:val="22"/>
                <w:highlight w:val="yellow"/>
              </w:rPr>
              <w:t>и</w:t>
            </w:r>
            <w:r w:rsidR="00A91A88" w:rsidRPr="001043A6">
              <w:rPr>
                <w:rFonts w:ascii="Garamond" w:hAnsi="Garamond"/>
                <w:color w:val="000000"/>
                <w:sz w:val="22"/>
                <w:szCs w:val="22"/>
              </w:rPr>
              <w:t xml:space="preserve"> </w:t>
            </w:r>
            <w:r w:rsidRPr="001043A6">
              <w:rPr>
                <w:rFonts w:ascii="Garamond" w:hAnsi="Garamond"/>
                <w:color w:val="000000"/>
                <w:sz w:val="22"/>
                <w:szCs w:val="22"/>
                <w:highlight w:val="yellow"/>
              </w:rPr>
              <w:t>и</w:t>
            </w:r>
            <w:r w:rsidRPr="001043A6">
              <w:rPr>
                <w:rFonts w:ascii="Garamond" w:hAnsi="Garamond"/>
                <w:color w:val="000000"/>
                <w:sz w:val="22"/>
                <w:szCs w:val="22"/>
              </w:rPr>
              <w:t xml:space="preserve"> </w:t>
            </w:r>
            <w:r w:rsidR="00A91A88" w:rsidRPr="001043A6">
              <w:rPr>
                <w:rFonts w:ascii="Garamond" w:hAnsi="Garamond"/>
                <w:color w:val="000000"/>
                <w:sz w:val="22"/>
                <w:szCs w:val="22"/>
              </w:rPr>
              <w:t>коррекци</w:t>
            </w:r>
            <w:r w:rsidRPr="001043A6">
              <w:rPr>
                <w:rFonts w:ascii="Garamond" w:hAnsi="Garamond"/>
                <w:color w:val="000000"/>
                <w:sz w:val="22"/>
                <w:szCs w:val="22"/>
                <w:highlight w:val="yellow"/>
              </w:rPr>
              <w:t>и</w:t>
            </w:r>
            <w:r w:rsidR="00A91A88" w:rsidRPr="001043A6">
              <w:rPr>
                <w:rFonts w:ascii="Garamond" w:hAnsi="Garamond"/>
                <w:color w:val="000000"/>
                <w:sz w:val="22"/>
                <w:szCs w:val="22"/>
              </w:rPr>
              <w:t xml:space="preserve"> времени в </w:t>
            </w:r>
            <w:r w:rsidRPr="001043A6">
              <w:rPr>
                <w:rFonts w:ascii="Garamond" w:hAnsi="Garamond"/>
                <w:color w:val="000000"/>
                <w:sz w:val="22"/>
                <w:szCs w:val="22"/>
                <w:highlight w:val="yellow"/>
              </w:rPr>
              <w:t>составе СОЕВ (в отношении АИИС КУЭ) и автоматическое выполнение синхронизации с источником точного времени и коррекции времени (в отношении совокупности СИ и ТУ и ИСУ)</w:t>
            </w:r>
            <w:r w:rsidR="00BD4118" w:rsidRPr="001043A6">
              <w:rPr>
                <w:rFonts w:ascii="Garamond" w:hAnsi="Garamond"/>
                <w:color w:val="000000"/>
                <w:sz w:val="22"/>
                <w:szCs w:val="22"/>
                <w:highlight w:val="yellow"/>
              </w:rPr>
              <w:t>.</w:t>
            </w:r>
            <w:r w:rsidR="00BD4118" w:rsidRPr="001043A6">
              <w:rPr>
                <w:rFonts w:ascii="Garamond" w:hAnsi="Garamond"/>
                <w:color w:val="000000"/>
                <w:sz w:val="22"/>
                <w:szCs w:val="22"/>
              </w:rPr>
              <w:t xml:space="preserve"> </w:t>
            </w:r>
            <w:r w:rsidR="00BD4118" w:rsidRPr="001043A6">
              <w:rPr>
                <w:rFonts w:ascii="Garamond" w:hAnsi="Garamond"/>
                <w:color w:val="000000"/>
                <w:sz w:val="22"/>
                <w:szCs w:val="22"/>
                <w:highlight w:val="yellow"/>
              </w:rPr>
              <w:t>Д</w:t>
            </w:r>
            <w:r w:rsidR="00A91A88" w:rsidRPr="001043A6">
              <w:rPr>
                <w:rFonts w:ascii="Garamond" w:hAnsi="Garamond"/>
                <w:color w:val="000000"/>
                <w:sz w:val="22"/>
                <w:szCs w:val="22"/>
              </w:rPr>
              <w:t xml:space="preserve">опускается синхронизация времени </w:t>
            </w:r>
            <w:r w:rsidR="00154100" w:rsidRPr="001043A6">
              <w:rPr>
                <w:rFonts w:ascii="Garamond" w:hAnsi="Garamond"/>
                <w:color w:val="000000"/>
                <w:sz w:val="22"/>
                <w:szCs w:val="22"/>
                <w:highlight w:val="yellow"/>
              </w:rPr>
              <w:t>со стороны ИВКЭ</w:t>
            </w:r>
            <w:r w:rsidR="00154100" w:rsidRPr="001043A6">
              <w:rPr>
                <w:rFonts w:ascii="Garamond" w:hAnsi="Garamond"/>
                <w:color w:val="000000"/>
                <w:sz w:val="22"/>
                <w:szCs w:val="22"/>
              </w:rPr>
              <w:t xml:space="preserve"> </w:t>
            </w:r>
            <w:r w:rsidR="00154100" w:rsidRPr="001043A6">
              <w:rPr>
                <w:rFonts w:ascii="Garamond" w:hAnsi="Garamond"/>
                <w:color w:val="000000"/>
                <w:sz w:val="22"/>
                <w:szCs w:val="22"/>
                <w:highlight w:val="yellow"/>
              </w:rPr>
              <w:t>в</w:t>
            </w:r>
            <w:r w:rsidR="00154100" w:rsidRPr="001043A6">
              <w:rPr>
                <w:rFonts w:ascii="Garamond" w:hAnsi="Garamond"/>
                <w:color w:val="000000"/>
                <w:sz w:val="22"/>
                <w:szCs w:val="22"/>
              </w:rPr>
              <w:t xml:space="preserve"> </w:t>
            </w:r>
            <w:r w:rsidR="00A91A88" w:rsidRPr="001043A6">
              <w:rPr>
                <w:rFonts w:ascii="Garamond" w:hAnsi="Garamond"/>
                <w:color w:val="000000"/>
                <w:sz w:val="22"/>
                <w:szCs w:val="22"/>
              </w:rPr>
              <w:t>ИВК и в</w:t>
            </w:r>
            <w:r w:rsidR="00BD4118" w:rsidRPr="001043A6">
              <w:rPr>
                <w:rFonts w:ascii="Garamond" w:hAnsi="Garamond"/>
                <w:color w:val="000000"/>
                <w:sz w:val="22"/>
                <w:szCs w:val="22"/>
              </w:rPr>
              <w:t xml:space="preserve"> </w:t>
            </w:r>
            <w:r w:rsidR="009979D3" w:rsidRPr="001043A6">
              <w:rPr>
                <w:rFonts w:ascii="Garamond" w:hAnsi="Garamond"/>
                <w:color w:val="000000"/>
                <w:sz w:val="22"/>
                <w:szCs w:val="22"/>
                <w:highlight w:val="yellow"/>
              </w:rPr>
              <w:t>ИИК</w:t>
            </w:r>
            <w:r w:rsidR="009979D3" w:rsidRPr="001043A6">
              <w:rPr>
                <w:rFonts w:ascii="Garamond" w:hAnsi="Garamond"/>
                <w:color w:val="000000"/>
                <w:sz w:val="22"/>
                <w:szCs w:val="22"/>
              </w:rPr>
              <w:t>;</w:t>
            </w:r>
          </w:p>
          <w:p w14:paraId="53F128D5" w14:textId="77777777" w:rsidR="00821ED7" w:rsidRPr="001043A6" w:rsidRDefault="00F33198" w:rsidP="00101F7C">
            <w:pPr>
              <w:pStyle w:val="ac"/>
              <w:numPr>
                <w:ilvl w:val="2"/>
                <w:numId w:val="99"/>
              </w:numPr>
              <w:tabs>
                <w:tab w:val="left" w:pos="1080"/>
                <w:tab w:val="num" w:pos="1276"/>
                <w:tab w:val="left" w:pos="1320"/>
              </w:tabs>
              <w:spacing w:line="22" w:lineRule="atLeast"/>
              <w:ind w:left="0" w:firstLine="601"/>
              <w:jc w:val="both"/>
              <w:rPr>
                <w:rFonts w:ascii="Garamond" w:hAnsi="Garamond"/>
                <w:sz w:val="22"/>
                <w:szCs w:val="22"/>
              </w:rPr>
            </w:pPr>
            <w:r w:rsidRPr="001043A6">
              <w:rPr>
                <w:rFonts w:ascii="Garamond" w:hAnsi="Garamond"/>
                <w:sz w:val="22"/>
                <w:szCs w:val="22"/>
              </w:rPr>
              <w:t xml:space="preserve"> </w:t>
            </w:r>
            <w:r w:rsidRPr="001043A6">
              <w:rPr>
                <w:rFonts w:ascii="Garamond" w:hAnsi="Garamond"/>
                <w:sz w:val="22"/>
                <w:szCs w:val="22"/>
                <w:highlight w:val="yellow"/>
              </w:rPr>
              <w:t>формирование по результатам автоматической</w:t>
            </w:r>
            <w:r w:rsidRPr="001043A6">
              <w:rPr>
                <w:rFonts w:ascii="Garamond" w:hAnsi="Garamond"/>
                <w:sz w:val="22"/>
                <w:szCs w:val="22"/>
              </w:rPr>
              <w:t xml:space="preserve"> </w:t>
            </w:r>
            <w:r w:rsidR="00A91A88" w:rsidRPr="001043A6">
              <w:rPr>
                <w:rFonts w:ascii="Garamond" w:hAnsi="Garamond"/>
                <w:sz w:val="22"/>
                <w:szCs w:val="22"/>
              </w:rPr>
              <w:t>самодиагностик</w:t>
            </w:r>
            <w:r w:rsidRPr="001043A6">
              <w:rPr>
                <w:rFonts w:ascii="Garamond" w:hAnsi="Garamond"/>
                <w:sz w:val="22"/>
                <w:szCs w:val="22"/>
                <w:highlight w:val="yellow"/>
              </w:rPr>
              <w:t>и</w:t>
            </w:r>
            <w:r w:rsidR="00A91A88" w:rsidRPr="001043A6">
              <w:rPr>
                <w:rFonts w:ascii="Garamond" w:hAnsi="Garamond"/>
                <w:sz w:val="22"/>
                <w:szCs w:val="22"/>
                <w:highlight w:val="yellow"/>
              </w:rPr>
              <w:t xml:space="preserve"> </w:t>
            </w:r>
            <w:r w:rsidR="00FE55CC" w:rsidRPr="001043A6">
              <w:rPr>
                <w:rFonts w:ascii="Garamond" w:hAnsi="Garamond"/>
                <w:sz w:val="22"/>
                <w:szCs w:val="22"/>
                <w:highlight w:val="yellow"/>
              </w:rPr>
              <w:t>обобщенного события или каждого факта</w:t>
            </w:r>
            <w:r w:rsidR="00FE55CC" w:rsidRPr="001043A6">
              <w:rPr>
                <w:rFonts w:ascii="Garamond" w:hAnsi="Garamond"/>
                <w:sz w:val="22"/>
                <w:szCs w:val="22"/>
              </w:rPr>
              <w:t xml:space="preserve"> </w:t>
            </w:r>
            <w:r w:rsidR="00A91A88" w:rsidRPr="001043A6">
              <w:rPr>
                <w:rFonts w:ascii="Garamond" w:hAnsi="Garamond"/>
                <w:sz w:val="22"/>
                <w:szCs w:val="22"/>
              </w:rPr>
              <w:t>с фиксацией результатов в «Журнале событий».</w:t>
            </w:r>
          </w:p>
        </w:tc>
      </w:tr>
      <w:tr w:rsidR="00821ED7" w:rsidRPr="001043A6" w14:paraId="4982E05F" w14:textId="77777777" w:rsidTr="001043A6">
        <w:tc>
          <w:tcPr>
            <w:tcW w:w="1031" w:type="dxa"/>
          </w:tcPr>
          <w:p w14:paraId="6C82577A" w14:textId="77777777" w:rsidR="00821ED7" w:rsidRPr="001043A6" w:rsidRDefault="000175F5" w:rsidP="00E11B82">
            <w:pPr>
              <w:widowControl w:val="0"/>
              <w:spacing w:line="259" w:lineRule="auto"/>
              <w:jc w:val="center"/>
              <w:rPr>
                <w:rFonts w:ascii="Garamond" w:hAnsi="Garamond"/>
                <w:b/>
                <w:sz w:val="22"/>
                <w:szCs w:val="22"/>
                <w:lang w:eastAsia="en-US"/>
              </w:rPr>
            </w:pPr>
            <w:r w:rsidRPr="001043A6">
              <w:rPr>
                <w:rFonts w:ascii="Garamond" w:hAnsi="Garamond"/>
                <w:b/>
                <w:sz w:val="22"/>
                <w:szCs w:val="22"/>
                <w:lang w:eastAsia="en-US"/>
              </w:rPr>
              <w:t>4.2</w:t>
            </w:r>
          </w:p>
        </w:tc>
        <w:tc>
          <w:tcPr>
            <w:tcW w:w="6833" w:type="dxa"/>
          </w:tcPr>
          <w:p w14:paraId="5F62CDF1" w14:textId="77777777" w:rsidR="000175F5" w:rsidRPr="001043A6" w:rsidRDefault="000175F5" w:rsidP="000175F5">
            <w:pPr>
              <w:tabs>
                <w:tab w:val="left" w:pos="1200"/>
                <w:tab w:val="num" w:pos="1440"/>
              </w:tabs>
              <w:suppressAutoHyphens w:val="0"/>
              <w:spacing w:line="259" w:lineRule="auto"/>
              <w:ind w:firstLine="629"/>
              <w:jc w:val="both"/>
              <w:rPr>
                <w:rFonts w:ascii="Garamond" w:hAnsi="Garamond"/>
                <w:bCs/>
                <w:sz w:val="22"/>
                <w:szCs w:val="22"/>
              </w:rPr>
            </w:pPr>
            <w:r w:rsidRPr="001043A6">
              <w:rPr>
                <w:rFonts w:ascii="Garamond" w:hAnsi="Garamond"/>
                <w:bCs/>
                <w:sz w:val="22"/>
                <w:szCs w:val="22"/>
              </w:rPr>
              <w:t>В «Журнале событий» ИВКЭ автоматически фиксируются время и даты наступления следующих событий:</w:t>
            </w:r>
          </w:p>
          <w:p w14:paraId="6C8382AB" w14:textId="77777777" w:rsidR="000175F5" w:rsidRPr="001043A6" w:rsidRDefault="000175F5" w:rsidP="00101F7C">
            <w:pPr>
              <w:numPr>
                <w:ilvl w:val="0"/>
                <w:numId w:val="100"/>
              </w:numPr>
              <w:tabs>
                <w:tab w:val="clear" w:pos="1353"/>
                <w:tab w:val="num" w:pos="960"/>
                <w:tab w:val="num" w:pos="1440"/>
              </w:tabs>
              <w:suppressAutoHyphens w:val="0"/>
              <w:spacing w:line="259" w:lineRule="auto"/>
              <w:ind w:left="0" w:firstLine="600"/>
              <w:jc w:val="both"/>
              <w:rPr>
                <w:rFonts w:ascii="Garamond" w:hAnsi="Garamond"/>
                <w:sz w:val="22"/>
                <w:szCs w:val="22"/>
              </w:rPr>
            </w:pPr>
            <w:r w:rsidRPr="001043A6">
              <w:rPr>
                <w:rFonts w:ascii="Garamond" w:hAnsi="Garamond"/>
                <w:sz w:val="22"/>
                <w:szCs w:val="22"/>
              </w:rPr>
              <w:lastRenderedPageBreak/>
              <w:t>ввода расчетных коэффициентов измерительных каналов (коэффициентов трансформации измерительных трансформаторов тока и напряжения);</w:t>
            </w:r>
          </w:p>
          <w:p w14:paraId="0C38DE73" w14:textId="77777777" w:rsidR="000175F5" w:rsidRPr="001043A6" w:rsidRDefault="000175F5" w:rsidP="00101F7C">
            <w:pPr>
              <w:numPr>
                <w:ilvl w:val="0"/>
                <w:numId w:val="100"/>
              </w:numPr>
              <w:tabs>
                <w:tab w:val="clear" w:pos="1353"/>
                <w:tab w:val="num" w:pos="960"/>
                <w:tab w:val="num" w:pos="1440"/>
              </w:tabs>
              <w:suppressAutoHyphens w:val="0"/>
              <w:spacing w:line="259" w:lineRule="auto"/>
              <w:ind w:left="0" w:firstLine="600"/>
              <w:jc w:val="both"/>
              <w:rPr>
                <w:rFonts w:ascii="Garamond" w:hAnsi="Garamond"/>
                <w:sz w:val="22"/>
                <w:szCs w:val="22"/>
              </w:rPr>
            </w:pPr>
            <w:r w:rsidRPr="001043A6">
              <w:rPr>
                <w:rFonts w:ascii="Garamond" w:hAnsi="Garamond"/>
                <w:sz w:val="22"/>
                <w:szCs w:val="22"/>
              </w:rPr>
              <w:t>попыток несанкционированного доступа;</w:t>
            </w:r>
          </w:p>
          <w:p w14:paraId="7CBA8CDC" w14:textId="77777777" w:rsidR="000175F5" w:rsidRPr="001043A6" w:rsidRDefault="000175F5" w:rsidP="00101F7C">
            <w:pPr>
              <w:numPr>
                <w:ilvl w:val="0"/>
                <w:numId w:val="100"/>
              </w:numPr>
              <w:tabs>
                <w:tab w:val="clear" w:pos="1353"/>
                <w:tab w:val="num" w:pos="960"/>
                <w:tab w:val="num" w:pos="1440"/>
              </w:tabs>
              <w:suppressAutoHyphens w:val="0"/>
              <w:spacing w:line="259" w:lineRule="auto"/>
              <w:ind w:left="0" w:firstLine="600"/>
              <w:jc w:val="both"/>
              <w:rPr>
                <w:rFonts w:ascii="Garamond" w:hAnsi="Garamond"/>
                <w:sz w:val="22"/>
                <w:szCs w:val="22"/>
              </w:rPr>
            </w:pPr>
            <w:r w:rsidRPr="001043A6">
              <w:rPr>
                <w:rFonts w:ascii="Garamond" w:hAnsi="Garamond"/>
                <w:sz w:val="22"/>
                <w:szCs w:val="22"/>
              </w:rPr>
              <w:t>связ</w:t>
            </w:r>
            <w:r w:rsidRPr="001043A6">
              <w:rPr>
                <w:rFonts w:ascii="Garamond" w:hAnsi="Garamond"/>
                <w:sz w:val="22"/>
                <w:szCs w:val="22"/>
                <w:highlight w:val="yellow"/>
              </w:rPr>
              <w:t>ей</w:t>
            </w:r>
            <w:r w:rsidRPr="001043A6">
              <w:rPr>
                <w:rFonts w:ascii="Garamond" w:hAnsi="Garamond"/>
                <w:sz w:val="22"/>
                <w:szCs w:val="22"/>
              </w:rPr>
              <w:t xml:space="preserve"> с ИВКЭ, приведших к каким-либо изменениям данных;</w:t>
            </w:r>
          </w:p>
          <w:p w14:paraId="1BBABEC6" w14:textId="77777777" w:rsidR="000175F5" w:rsidRPr="001043A6" w:rsidRDefault="000175F5" w:rsidP="00101F7C">
            <w:pPr>
              <w:numPr>
                <w:ilvl w:val="0"/>
                <w:numId w:val="100"/>
              </w:numPr>
              <w:tabs>
                <w:tab w:val="clear" w:pos="1353"/>
                <w:tab w:val="num" w:pos="960"/>
                <w:tab w:val="num" w:pos="1440"/>
              </w:tabs>
              <w:suppressAutoHyphens w:val="0"/>
              <w:spacing w:line="259" w:lineRule="auto"/>
              <w:ind w:left="0" w:firstLine="600"/>
              <w:jc w:val="both"/>
              <w:rPr>
                <w:rFonts w:ascii="Garamond" w:hAnsi="Garamond"/>
                <w:sz w:val="22"/>
                <w:szCs w:val="22"/>
              </w:rPr>
            </w:pPr>
            <w:r w:rsidRPr="001043A6">
              <w:rPr>
                <w:rFonts w:ascii="Garamond" w:hAnsi="Garamond"/>
                <w:sz w:val="22"/>
                <w:szCs w:val="22"/>
              </w:rPr>
              <w:t>перезапусков ИВКЭ;</w:t>
            </w:r>
          </w:p>
          <w:p w14:paraId="6635664D" w14:textId="77777777" w:rsidR="000175F5" w:rsidRPr="001043A6" w:rsidRDefault="000175F5" w:rsidP="00101F7C">
            <w:pPr>
              <w:numPr>
                <w:ilvl w:val="0"/>
                <w:numId w:val="100"/>
              </w:numPr>
              <w:tabs>
                <w:tab w:val="clear" w:pos="1353"/>
                <w:tab w:val="num" w:pos="960"/>
                <w:tab w:val="num" w:pos="1440"/>
              </w:tabs>
              <w:suppressAutoHyphens w:val="0"/>
              <w:spacing w:line="259" w:lineRule="auto"/>
              <w:ind w:left="0" w:firstLine="600"/>
              <w:jc w:val="both"/>
              <w:rPr>
                <w:rFonts w:ascii="Garamond" w:hAnsi="Garamond"/>
                <w:sz w:val="22"/>
                <w:szCs w:val="22"/>
              </w:rPr>
            </w:pPr>
            <w:r w:rsidRPr="001043A6">
              <w:rPr>
                <w:rFonts w:ascii="Garamond" w:hAnsi="Garamond"/>
                <w:color w:val="000000"/>
                <w:sz w:val="22"/>
                <w:szCs w:val="22"/>
              </w:rPr>
              <w:t>фактов корректировки времени с обязательной фиксацией времени до и после коррекции или величины коррекции времени, на которую было скорректировано устройство</w:t>
            </w:r>
            <w:r w:rsidRPr="001043A6">
              <w:rPr>
                <w:rFonts w:ascii="Garamond" w:hAnsi="Garamond"/>
                <w:sz w:val="22"/>
                <w:szCs w:val="22"/>
              </w:rPr>
              <w:t>;</w:t>
            </w:r>
          </w:p>
          <w:p w14:paraId="29A296E7" w14:textId="77777777" w:rsidR="000175F5" w:rsidRPr="001043A6" w:rsidRDefault="000175F5" w:rsidP="00101F7C">
            <w:pPr>
              <w:numPr>
                <w:ilvl w:val="0"/>
                <w:numId w:val="100"/>
              </w:numPr>
              <w:tabs>
                <w:tab w:val="clear" w:pos="1353"/>
                <w:tab w:val="num" w:pos="960"/>
                <w:tab w:val="num" w:pos="1440"/>
              </w:tabs>
              <w:suppressAutoHyphens w:val="0"/>
              <w:spacing w:line="259" w:lineRule="auto"/>
              <w:ind w:left="0" w:firstLine="600"/>
              <w:jc w:val="both"/>
              <w:rPr>
                <w:rFonts w:ascii="Garamond" w:hAnsi="Garamond"/>
                <w:sz w:val="22"/>
                <w:szCs w:val="22"/>
              </w:rPr>
            </w:pPr>
            <w:r w:rsidRPr="001043A6">
              <w:rPr>
                <w:rFonts w:ascii="Garamond" w:hAnsi="Garamond"/>
                <w:sz w:val="22"/>
                <w:szCs w:val="22"/>
              </w:rPr>
              <w:t>результат</w:t>
            </w:r>
            <w:r w:rsidRPr="001043A6">
              <w:rPr>
                <w:rFonts w:ascii="Garamond" w:hAnsi="Garamond"/>
                <w:sz w:val="22"/>
                <w:szCs w:val="22"/>
                <w:highlight w:val="yellow"/>
              </w:rPr>
              <w:t>ов</w:t>
            </w:r>
            <w:r w:rsidRPr="001043A6">
              <w:rPr>
                <w:rFonts w:ascii="Garamond" w:hAnsi="Garamond"/>
                <w:sz w:val="22"/>
                <w:szCs w:val="22"/>
              </w:rPr>
              <w:t xml:space="preserve"> самодиагностики;</w:t>
            </w:r>
          </w:p>
          <w:p w14:paraId="5D83EA37" w14:textId="77777777" w:rsidR="00821ED7" w:rsidRPr="001043A6" w:rsidRDefault="000175F5" w:rsidP="00101F7C">
            <w:pPr>
              <w:numPr>
                <w:ilvl w:val="0"/>
                <w:numId w:val="100"/>
              </w:numPr>
              <w:tabs>
                <w:tab w:val="clear" w:pos="1353"/>
                <w:tab w:val="num" w:pos="960"/>
                <w:tab w:val="num" w:pos="1440"/>
              </w:tabs>
              <w:suppressAutoHyphens w:val="0"/>
              <w:spacing w:line="259" w:lineRule="auto"/>
              <w:ind w:left="0" w:firstLine="600"/>
              <w:jc w:val="both"/>
              <w:rPr>
                <w:rFonts w:ascii="Garamond" w:hAnsi="Garamond"/>
                <w:sz w:val="22"/>
                <w:szCs w:val="22"/>
              </w:rPr>
            </w:pPr>
            <w:r w:rsidRPr="001043A6">
              <w:rPr>
                <w:rFonts w:ascii="Garamond" w:hAnsi="Garamond"/>
                <w:sz w:val="22"/>
                <w:szCs w:val="22"/>
                <w:highlight w:val="yellow"/>
              </w:rPr>
              <w:t>отключения</w:t>
            </w:r>
            <w:r w:rsidRPr="001043A6">
              <w:rPr>
                <w:rFonts w:ascii="Garamond" w:hAnsi="Garamond"/>
                <w:sz w:val="22"/>
                <w:szCs w:val="22"/>
              </w:rPr>
              <w:t xml:space="preserve"> питания.</w:t>
            </w:r>
          </w:p>
        </w:tc>
        <w:tc>
          <w:tcPr>
            <w:tcW w:w="7115" w:type="dxa"/>
          </w:tcPr>
          <w:p w14:paraId="28BD3911" w14:textId="77777777" w:rsidR="000175F5" w:rsidRPr="001043A6" w:rsidRDefault="000175F5" w:rsidP="000175F5">
            <w:pPr>
              <w:tabs>
                <w:tab w:val="left" w:pos="1200"/>
                <w:tab w:val="num" w:pos="1440"/>
              </w:tabs>
              <w:suppressAutoHyphens w:val="0"/>
              <w:spacing w:line="259" w:lineRule="auto"/>
              <w:ind w:firstLine="629"/>
              <w:jc w:val="both"/>
              <w:rPr>
                <w:rFonts w:ascii="Garamond" w:hAnsi="Garamond"/>
                <w:bCs/>
                <w:sz w:val="22"/>
                <w:szCs w:val="22"/>
              </w:rPr>
            </w:pPr>
            <w:r w:rsidRPr="001043A6">
              <w:rPr>
                <w:rFonts w:ascii="Garamond" w:hAnsi="Garamond"/>
                <w:bCs/>
                <w:sz w:val="22"/>
                <w:szCs w:val="22"/>
              </w:rPr>
              <w:lastRenderedPageBreak/>
              <w:t>В «Журнале событий» ИВКЭ автоматически фиксируются время и даты наступления следующих событий:</w:t>
            </w:r>
          </w:p>
          <w:p w14:paraId="7E430907" w14:textId="77777777" w:rsidR="000175F5" w:rsidRPr="001043A6" w:rsidRDefault="000175F5" w:rsidP="00101F7C">
            <w:pPr>
              <w:numPr>
                <w:ilvl w:val="0"/>
                <w:numId w:val="100"/>
              </w:numPr>
              <w:tabs>
                <w:tab w:val="clear" w:pos="1353"/>
                <w:tab w:val="num" w:pos="960"/>
                <w:tab w:val="num" w:pos="1440"/>
              </w:tabs>
              <w:suppressAutoHyphens w:val="0"/>
              <w:spacing w:line="259" w:lineRule="auto"/>
              <w:ind w:left="0" w:firstLine="600"/>
              <w:jc w:val="both"/>
              <w:rPr>
                <w:rFonts w:ascii="Garamond" w:hAnsi="Garamond"/>
                <w:sz w:val="22"/>
                <w:szCs w:val="22"/>
              </w:rPr>
            </w:pPr>
            <w:r w:rsidRPr="001043A6">
              <w:rPr>
                <w:rFonts w:ascii="Garamond" w:hAnsi="Garamond"/>
                <w:sz w:val="22"/>
                <w:szCs w:val="22"/>
              </w:rPr>
              <w:lastRenderedPageBreak/>
              <w:t>ввода расчетных коэффициентов измерительных каналов (коэффициентов трансформации измерительных трансформаторов тока и напряжения);</w:t>
            </w:r>
          </w:p>
          <w:p w14:paraId="6CBE5929" w14:textId="77777777" w:rsidR="000175F5" w:rsidRPr="001043A6" w:rsidRDefault="000175F5" w:rsidP="00101F7C">
            <w:pPr>
              <w:numPr>
                <w:ilvl w:val="0"/>
                <w:numId w:val="100"/>
              </w:numPr>
              <w:tabs>
                <w:tab w:val="clear" w:pos="1353"/>
                <w:tab w:val="num" w:pos="960"/>
                <w:tab w:val="num" w:pos="1440"/>
              </w:tabs>
              <w:suppressAutoHyphens w:val="0"/>
              <w:spacing w:line="259" w:lineRule="auto"/>
              <w:ind w:left="0" w:firstLine="600"/>
              <w:jc w:val="both"/>
              <w:rPr>
                <w:rFonts w:ascii="Garamond" w:hAnsi="Garamond"/>
                <w:sz w:val="22"/>
                <w:szCs w:val="22"/>
              </w:rPr>
            </w:pPr>
            <w:r w:rsidRPr="001043A6">
              <w:rPr>
                <w:rFonts w:ascii="Garamond" w:hAnsi="Garamond"/>
                <w:sz w:val="22"/>
                <w:szCs w:val="22"/>
              </w:rPr>
              <w:t>попыток несанкционированного доступа;</w:t>
            </w:r>
          </w:p>
          <w:p w14:paraId="5D6F7167" w14:textId="77777777" w:rsidR="000175F5" w:rsidRPr="001043A6" w:rsidRDefault="000175F5" w:rsidP="00101F7C">
            <w:pPr>
              <w:numPr>
                <w:ilvl w:val="0"/>
                <w:numId w:val="100"/>
              </w:numPr>
              <w:tabs>
                <w:tab w:val="clear" w:pos="1353"/>
                <w:tab w:val="num" w:pos="960"/>
                <w:tab w:val="num" w:pos="1440"/>
              </w:tabs>
              <w:suppressAutoHyphens w:val="0"/>
              <w:spacing w:line="259" w:lineRule="auto"/>
              <w:ind w:left="0" w:firstLine="600"/>
              <w:jc w:val="both"/>
              <w:rPr>
                <w:rFonts w:ascii="Garamond" w:hAnsi="Garamond"/>
                <w:sz w:val="22"/>
                <w:szCs w:val="22"/>
              </w:rPr>
            </w:pPr>
            <w:r w:rsidRPr="001043A6">
              <w:rPr>
                <w:rFonts w:ascii="Garamond" w:hAnsi="Garamond"/>
                <w:sz w:val="22"/>
                <w:szCs w:val="22"/>
                <w:highlight w:val="yellow"/>
              </w:rPr>
              <w:t>фактов</w:t>
            </w:r>
            <w:r w:rsidRPr="001043A6">
              <w:rPr>
                <w:rFonts w:ascii="Garamond" w:hAnsi="Garamond"/>
                <w:sz w:val="22"/>
                <w:szCs w:val="22"/>
              </w:rPr>
              <w:t xml:space="preserve"> связ</w:t>
            </w:r>
            <w:r w:rsidRPr="001043A6">
              <w:rPr>
                <w:rFonts w:ascii="Garamond" w:hAnsi="Garamond"/>
                <w:sz w:val="22"/>
                <w:szCs w:val="22"/>
                <w:highlight w:val="yellow"/>
              </w:rPr>
              <w:t>и</w:t>
            </w:r>
            <w:r w:rsidRPr="001043A6">
              <w:rPr>
                <w:rFonts w:ascii="Garamond" w:hAnsi="Garamond"/>
                <w:sz w:val="22"/>
                <w:szCs w:val="22"/>
              </w:rPr>
              <w:t xml:space="preserve"> с ИВКЭ, приведших к каким-либо изменениям данных</w:t>
            </w:r>
            <w:r w:rsidR="001B7B52" w:rsidRPr="001043A6">
              <w:rPr>
                <w:rFonts w:ascii="Garamond" w:hAnsi="Garamond"/>
                <w:sz w:val="22"/>
                <w:szCs w:val="22"/>
              </w:rPr>
              <w:t xml:space="preserve"> </w:t>
            </w:r>
            <w:r w:rsidR="001B7B52" w:rsidRPr="001043A6">
              <w:rPr>
                <w:rFonts w:ascii="Garamond" w:hAnsi="Garamond"/>
                <w:sz w:val="22"/>
                <w:szCs w:val="22"/>
                <w:highlight w:val="yellow"/>
              </w:rPr>
              <w:t>и конфигурации</w:t>
            </w:r>
            <w:r w:rsidRPr="001043A6">
              <w:rPr>
                <w:rFonts w:ascii="Garamond" w:hAnsi="Garamond"/>
                <w:sz w:val="22"/>
                <w:szCs w:val="22"/>
              </w:rPr>
              <w:t>;</w:t>
            </w:r>
          </w:p>
          <w:p w14:paraId="175E71D5" w14:textId="77777777" w:rsidR="000175F5" w:rsidRPr="001043A6" w:rsidRDefault="000175F5" w:rsidP="00101F7C">
            <w:pPr>
              <w:numPr>
                <w:ilvl w:val="0"/>
                <w:numId w:val="100"/>
              </w:numPr>
              <w:tabs>
                <w:tab w:val="clear" w:pos="1353"/>
                <w:tab w:val="num" w:pos="960"/>
                <w:tab w:val="num" w:pos="1440"/>
              </w:tabs>
              <w:suppressAutoHyphens w:val="0"/>
              <w:spacing w:line="259" w:lineRule="auto"/>
              <w:ind w:left="0" w:firstLine="600"/>
              <w:jc w:val="both"/>
              <w:rPr>
                <w:rFonts w:ascii="Garamond" w:hAnsi="Garamond"/>
                <w:sz w:val="22"/>
                <w:szCs w:val="22"/>
              </w:rPr>
            </w:pPr>
            <w:r w:rsidRPr="001043A6">
              <w:rPr>
                <w:rFonts w:ascii="Garamond" w:hAnsi="Garamond"/>
                <w:sz w:val="22"/>
                <w:szCs w:val="22"/>
              </w:rPr>
              <w:t>перезапусков ИВКЭ;</w:t>
            </w:r>
          </w:p>
          <w:p w14:paraId="1D41C40F" w14:textId="77777777" w:rsidR="000175F5" w:rsidRPr="001043A6" w:rsidRDefault="000175F5" w:rsidP="00101F7C">
            <w:pPr>
              <w:numPr>
                <w:ilvl w:val="0"/>
                <w:numId w:val="100"/>
              </w:numPr>
              <w:tabs>
                <w:tab w:val="clear" w:pos="1353"/>
                <w:tab w:val="num" w:pos="960"/>
                <w:tab w:val="num" w:pos="1440"/>
              </w:tabs>
              <w:suppressAutoHyphens w:val="0"/>
              <w:spacing w:line="259" w:lineRule="auto"/>
              <w:ind w:left="0" w:firstLine="600"/>
              <w:jc w:val="both"/>
              <w:rPr>
                <w:rFonts w:ascii="Garamond" w:hAnsi="Garamond"/>
                <w:sz w:val="22"/>
                <w:szCs w:val="22"/>
              </w:rPr>
            </w:pPr>
            <w:r w:rsidRPr="001043A6">
              <w:rPr>
                <w:rFonts w:ascii="Garamond" w:hAnsi="Garamond"/>
                <w:color w:val="000000"/>
                <w:sz w:val="22"/>
                <w:szCs w:val="22"/>
              </w:rPr>
              <w:t>фактов корректировки времени с обязательной фиксацией времени до и после коррекции или величины коррекции времени, на которую было скорректировано устройство</w:t>
            </w:r>
            <w:r w:rsidRPr="001043A6">
              <w:rPr>
                <w:rFonts w:ascii="Garamond" w:hAnsi="Garamond"/>
                <w:sz w:val="22"/>
                <w:szCs w:val="22"/>
              </w:rPr>
              <w:t>;</w:t>
            </w:r>
          </w:p>
          <w:p w14:paraId="7F0B3874" w14:textId="40A7BEBF" w:rsidR="001B7B52" w:rsidRPr="001043A6" w:rsidRDefault="001B7B52" w:rsidP="00101F7C">
            <w:pPr>
              <w:numPr>
                <w:ilvl w:val="0"/>
                <w:numId w:val="100"/>
              </w:numPr>
              <w:tabs>
                <w:tab w:val="clear" w:pos="1353"/>
                <w:tab w:val="num" w:pos="960"/>
                <w:tab w:val="num" w:pos="1440"/>
              </w:tabs>
              <w:suppressAutoHyphens w:val="0"/>
              <w:spacing w:line="259" w:lineRule="auto"/>
              <w:ind w:left="0" w:firstLine="600"/>
              <w:jc w:val="both"/>
              <w:rPr>
                <w:rFonts w:ascii="Garamond" w:hAnsi="Garamond"/>
                <w:sz w:val="22"/>
                <w:szCs w:val="22"/>
              </w:rPr>
            </w:pPr>
            <w:r w:rsidRPr="001043A6">
              <w:rPr>
                <w:rFonts w:ascii="Garamond" w:hAnsi="Garamond"/>
                <w:sz w:val="22"/>
                <w:szCs w:val="22"/>
                <w:highlight w:val="yellow"/>
              </w:rPr>
              <w:t>формировани</w:t>
            </w:r>
            <w:r w:rsidR="009428EA">
              <w:rPr>
                <w:rFonts w:ascii="Garamond" w:hAnsi="Garamond"/>
                <w:sz w:val="22"/>
                <w:szCs w:val="22"/>
                <w:highlight w:val="yellow"/>
              </w:rPr>
              <w:t>я</w:t>
            </w:r>
            <w:r w:rsidRPr="001043A6">
              <w:rPr>
                <w:rFonts w:ascii="Garamond" w:hAnsi="Garamond"/>
                <w:sz w:val="22"/>
                <w:szCs w:val="22"/>
                <w:highlight w:val="yellow"/>
              </w:rPr>
              <w:t xml:space="preserve"> обобщенного события (или по каждому факту</w:t>
            </w:r>
            <w:r w:rsidRPr="009428EA">
              <w:rPr>
                <w:rFonts w:ascii="Garamond" w:hAnsi="Garamond"/>
                <w:sz w:val="22"/>
                <w:szCs w:val="22"/>
                <w:highlight w:val="yellow"/>
              </w:rPr>
              <w:t>) по</w:t>
            </w:r>
            <w:r w:rsidRPr="001043A6">
              <w:rPr>
                <w:rFonts w:ascii="Garamond" w:hAnsi="Garamond"/>
                <w:sz w:val="22"/>
                <w:szCs w:val="22"/>
              </w:rPr>
              <w:t xml:space="preserve"> </w:t>
            </w:r>
            <w:r w:rsidR="000175F5" w:rsidRPr="001043A6">
              <w:rPr>
                <w:rFonts w:ascii="Garamond" w:hAnsi="Garamond"/>
                <w:sz w:val="22"/>
                <w:szCs w:val="22"/>
              </w:rPr>
              <w:t>результат</w:t>
            </w:r>
            <w:r w:rsidRPr="001043A6">
              <w:rPr>
                <w:rFonts w:ascii="Garamond" w:hAnsi="Garamond"/>
                <w:sz w:val="22"/>
                <w:szCs w:val="22"/>
                <w:highlight w:val="yellow"/>
              </w:rPr>
              <w:t>ам</w:t>
            </w:r>
            <w:r w:rsidR="000175F5" w:rsidRPr="001043A6">
              <w:rPr>
                <w:rFonts w:ascii="Garamond" w:hAnsi="Garamond"/>
                <w:sz w:val="22"/>
                <w:szCs w:val="22"/>
              </w:rPr>
              <w:t xml:space="preserve"> самодиагностики;</w:t>
            </w:r>
          </w:p>
          <w:p w14:paraId="6C81C581" w14:textId="21552711" w:rsidR="00821ED7" w:rsidRPr="001043A6" w:rsidRDefault="001B7B52" w:rsidP="009428EA">
            <w:pPr>
              <w:numPr>
                <w:ilvl w:val="0"/>
                <w:numId w:val="100"/>
              </w:numPr>
              <w:tabs>
                <w:tab w:val="clear" w:pos="1353"/>
                <w:tab w:val="num" w:pos="960"/>
                <w:tab w:val="num" w:pos="1440"/>
              </w:tabs>
              <w:suppressAutoHyphens w:val="0"/>
              <w:spacing w:line="259" w:lineRule="auto"/>
              <w:ind w:left="0" w:firstLine="600"/>
              <w:jc w:val="both"/>
              <w:rPr>
                <w:rFonts w:ascii="Garamond" w:hAnsi="Garamond"/>
                <w:sz w:val="22"/>
                <w:szCs w:val="22"/>
              </w:rPr>
            </w:pPr>
            <w:r w:rsidRPr="001043A6">
              <w:rPr>
                <w:rFonts w:ascii="Garamond" w:hAnsi="Garamond"/>
                <w:sz w:val="22"/>
                <w:szCs w:val="22"/>
                <w:highlight w:val="yellow"/>
              </w:rPr>
              <w:t>переры</w:t>
            </w:r>
            <w:r w:rsidRPr="009428EA">
              <w:rPr>
                <w:rFonts w:ascii="Garamond" w:hAnsi="Garamond"/>
                <w:sz w:val="22"/>
                <w:szCs w:val="22"/>
                <w:highlight w:val="yellow"/>
              </w:rPr>
              <w:t>в</w:t>
            </w:r>
            <w:r w:rsidR="009428EA" w:rsidRPr="009428EA">
              <w:rPr>
                <w:rFonts w:ascii="Garamond" w:hAnsi="Garamond"/>
                <w:sz w:val="22"/>
                <w:szCs w:val="22"/>
                <w:highlight w:val="yellow"/>
              </w:rPr>
              <w:t>ов</w:t>
            </w:r>
            <w:r w:rsidR="000175F5" w:rsidRPr="001043A6">
              <w:rPr>
                <w:rFonts w:ascii="Garamond" w:hAnsi="Garamond"/>
                <w:sz w:val="22"/>
                <w:szCs w:val="22"/>
              </w:rPr>
              <w:t xml:space="preserve"> питания</w:t>
            </w:r>
            <w:r w:rsidRPr="001043A6">
              <w:rPr>
                <w:rFonts w:ascii="Garamond" w:hAnsi="Garamond"/>
                <w:sz w:val="22"/>
                <w:szCs w:val="22"/>
              </w:rPr>
              <w:t xml:space="preserve"> </w:t>
            </w:r>
            <w:r w:rsidRPr="001043A6">
              <w:rPr>
                <w:rFonts w:ascii="Garamond" w:hAnsi="Garamond"/>
                <w:sz w:val="22"/>
                <w:szCs w:val="22"/>
                <w:highlight w:val="yellow"/>
              </w:rPr>
              <w:t>с фиксацией времени пропадания и восстановления</w:t>
            </w:r>
            <w:r w:rsidR="000175F5" w:rsidRPr="001043A6">
              <w:rPr>
                <w:rFonts w:ascii="Garamond" w:hAnsi="Garamond"/>
                <w:sz w:val="22"/>
                <w:szCs w:val="22"/>
              </w:rPr>
              <w:t>.</w:t>
            </w:r>
          </w:p>
        </w:tc>
      </w:tr>
      <w:tr w:rsidR="00821ED7" w:rsidRPr="001043A6" w14:paraId="3CEF59D0" w14:textId="77777777" w:rsidTr="001043A6">
        <w:tc>
          <w:tcPr>
            <w:tcW w:w="1031" w:type="dxa"/>
          </w:tcPr>
          <w:p w14:paraId="3CE675C0" w14:textId="77777777" w:rsidR="00821ED7" w:rsidRPr="001043A6" w:rsidRDefault="001B7B52" w:rsidP="00E11B82">
            <w:pPr>
              <w:widowControl w:val="0"/>
              <w:spacing w:line="259" w:lineRule="auto"/>
              <w:jc w:val="center"/>
              <w:rPr>
                <w:rFonts w:ascii="Garamond" w:hAnsi="Garamond"/>
                <w:b/>
                <w:sz w:val="22"/>
                <w:szCs w:val="22"/>
                <w:lang w:eastAsia="en-US"/>
              </w:rPr>
            </w:pPr>
            <w:r w:rsidRPr="001043A6">
              <w:rPr>
                <w:rFonts w:ascii="Garamond" w:hAnsi="Garamond"/>
                <w:b/>
                <w:sz w:val="22"/>
                <w:szCs w:val="22"/>
                <w:lang w:eastAsia="en-US"/>
              </w:rPr>
              <w:lastRenderedPageBreak/>
              <w:t>4.3</w:t>
            </w:r>
          </w:p>
        </w:tc>
        <w:tc>
          <w:tcPr>
            <w:tcW w:w="6833" w:type="dxa"/>
          </w:tcPr>
          <w:p w14:paraId="70402D66" w14:textId="77777777" w:rsidR="00821ED7" w:rsidRPr="001043A6" w:rsidRDefault="001B7B52" w:rsidP="00821ED7">
            <w:pPr>
              <w:tabs>
                <w:tab w:val="left" w:pos="1080"/>
                <w:tab w:val="num" w:pos="1276"/>
                <w:tab w:val="left" w:pos="1320"/>
              </w:tabs>
              <w:suppressAutoHyphens w:val="0"/>
              <w:spacing w:line="22" w:lineRule="atLeast"/>
              <w:ind w:firstLine="629"/>
              <w:jc w:val="both"/>
              <w:rPr>
                <w:rFonts w:ascii="Garamond" w:hAnsi="Garamond"/>
                <w:sz w:val="22"/>
                <w:szCs w:val="22"/>
              </w:rPr>
            </w:pPr>
            <w:r w:rsidRPr="001043A6">
              <w:rPr>
                <w:rFonts w:ascii="Garamond" w:hAnsi="Garamond"/>
                <w:sz w:val="22"/>
                <w:szCs w:val="22"/>
              </w:rPr>
              <w:t xml:space="preserve">Наличие энергонезависимых часов, обеспечивающих ведение даты и времени (точность хода не хуже </w:t>
            </w:r>
            <w:r w:rsidRPr="001043A6">
              <w:rPr>
                <w:rFonts w:ascii="Garamond" w:hAnsi="Garamond"/>
                <w:bCs/>
                <w:sz w:val="22"/>
                <w:szCs w:val="22"/>
              </w:rPr>
              <w:sym w:font="Symbol" w:char="F0B1"/>
            </w:r>
            <w:r w:rsidRPr="001043A6">
              <w:rPr>
                <w:rFonts w:ascii="Garamond" w:hAnsi="Garamond"/>
                <w:sz w:val="22"/>
                <w:szCs w:val="22"/>
              </w:rPr>
              <w:t xml:space="preserve">5,0 с/сут с автоматической коррекцией </w:t>
            </w:r>
            <w:r w:rsidRPr="001043A6">
              <w:rPr>
                <w:rFonts w:ascii="Garamond" w:hAnsi="Garamond"/>
                <w:sz w:val="22"/>
                <w:szCs w:val="22"/>
                <w:highlight w:val="yellow"/>
              </w:rPr>
              <w:t>(синхронизацией)</w:t>
            </w:r>
            <w:r w:rsidRPr="001043A6">
              <w:rPr>
                <w:rFonts w:ascii="Garamond" w:hAnsi="Garamond"/>
                <w:sz w:val="22"/>
                <w:szCs w:val="22"/>
              </w:rPr>
              <w:t>, работающих в составе СОЕВ).</w:t>
            </w:r>
          </w:p>
        </w:tc>
        <w:tc>
          <w:tcPr>
            <w:tcW w:w="7115" w:type="dxa"/>
          </w:tcPr>
          <w:p w14:paraId="691A9C69" w14:textId="77777777" w:rsidR="00821ED7" w:rsidRPr="001043A6" w:rsidRDefault="001B7B52" w:rsidP="009938CA">
            <w:pPr>
              <w:tabs>
                <w:tab w:val="left" w:pos="0"/>
                <w:tab w:val="left" w:pos="1200"/>
              </w:tabs>
              <w:suppressAutoHyphens w:val="0"/>
              <w:spacing w:line="22" w:lineRule="atLeast"/>
              <w:ind w:firstLine="601"/>
              <w:jc w:val="both"/>
              <w:rPr>
                <w:rFonts w:ascii="Garamond" w:hAnsi="Garamond"/>
                <w:sz w:val="22"/>
                <w:szCs w:val="22"/>
              </w:rPr>
            </w:pPr>
            <w:r w:rsidRPr="001043A6">
              <w:rPr>
                <w:rFonts w:ascii="Garamond" w:hAnsi="Garamond"/>
                <w:sz w:val="22"/>
                <w:szCs w:val="22"/>
              </w:rPr>
              <w:t xml:space="preserve">Наличие энергонезависимых часов </w:t>
            </w:r>
            <w:r w:rsidRPr="001043A6">
              <w:rPr>
                <w:rFonts w:ascii="Garamond" w:hAnsi="Garamond"/>
                <w:sz w:val="22"/>
                <w:szCs w:val="22"/>
                <w:highlight w:val="yellow"/>
              </w:rPr>
              <w:t>(независимо от наличия напряжения в питающей сети)</w:t>
            </w:r>
            <w:r w:rsidRPr="001043A6">
              <w:rPr>
                <w:rFonts w:ascii="Garamond" w:hAnsi="Garamond"/>
                <w:sz w:val="22"/>
                <w:szCs w:val="22"/>
              </w:rPr>
              <w:t>, обеспечивающих ведение даты и времени (</w:t>
            </w:r>
            <w:r w:rsidRPr="001043A6">
              <w:rPr>
                <w:rFonts w:ascii="Garamond" w:hAnsi="Garamond"/>
                <w:sz w:val="22"/>
                <w:szCs w:val="22"/>
                <w:highlight w:val="yellow"/>
              </w:rPr>
              <w:t>с</w:t>
            </w:r>
            <w:r w:rsidRPr="001043A6">
              <w:rPr>
                <w:rFonts w:ascii="Garamond" w:hAnsi="Garamond"/>
                <w:sz w:val="22"/>
                <w:szCs w:val="22"/>
              </w:rPr>
              <w:t xml:space="preserve"> точность</w:t>
            </w:r>
            <w:r w:rsidRPr="001043A6">
              <w:rPr>
                <w:rFonts w:ascii="Garamond" w:hAnsi="Garamond"/>
                <w:sz w:val="22"/>
                <w:szCs w:val="22"/>
                <w:highlight w:val="yellow"/>
              </w:rPr>
              <w:t>ю</w:t>
            </w:r>
            <w:r w:rsidRPr="001043A6">
              <w:rPr>
                <w:rFonts w:ascii="Garamond" w:hAnsi="Garamond"/>
                <w:sz w:val="22"/>
                <w:szCs w:val="22"/>
              </w:rPr>
              <w:t xml:space="preserve"> хода не хуже </w:t>
            </w:r>
            <w:r w:rsidRPr="001043A6">
              <w:rPr>
                <w:rFonts w:ascii="Garamond" w:hAnsi="Garamond"/>
                <w:sz w:val="22"/>
                <w:szCs w:val="22"/>
              </w:rPr>
              <w:sym w:font="Symbol" w:char="F0B1"/>
            </w:r>
            <w:r w:rsidRPr="001043A6">
              <w:rPr>
                <w:rFonts w:ascii="Garamond" w:hAnsi="Garamond"/>
                <w:sz w:val="22"/>
                <w:szCs w:val="22"/>
              </w:rPr>
              <w:t>5,0 с/сут</w:t>
            </w:r>
            <w:r w:rsidR="00FB7CEB" w:rsidRPr="001043A6">
              <w:rPr>
                <w:rFonts w:ascii="Garamond" w:hAnsi="Garamond"/>
                <w:sz w:val="22"/>
                <w:szCs w:val="22"/>
              </w:rPr>
              <w:t xml:space="preserve"> </w:t>
            </w:r>
            <w:r w:rsidR="0072520F" w:rsidRPr="001043A6">
              <w:rPr>
                <w:rFonts w:ascii="Garamond" w:hAnsi="Garamond"/>
                <w:sz w:val="22"/>
                <w:szCs w:val="22"/>
              </w:rPr>
              <w:t>с</w:t>
            </w:r>
            <w:r w:rsidR="009938CA" w:rsidRPr="001043A6">
              <w:rPr>
                <w:rFonts w:ascii="Garamond" w:hAnsi="Garamond"/>
                <w:sz w:val="22"/>
                <w:szCs w:val="22"/>
              </w:rPr>
              <w:t xml:space="preserve"> внешней</w:t>
            </w:r>
            <w:r w:rsidR="0072520F" w:rsidRPr="001043A6">
              <w:rPr>
                <w:rFonts w:ascii="Garamond" w:hAnsi="Garamond"/>
                <w:sz w:val="22"/>
                <w:szCs w:val="22"/>
              </w:rPr>
              <w:t xml:space="preserve"> </w:t>
            </w:r>
            <w:r w:rsidRPr="001043A6">
              <w:rPr>
                <w:rFonts w:ascii="Garamond" w:hAnsi="Garamond"/>
                <w:sz w:val="22"/>
                <w:szCs w:val="22"/>
              </w:rPr>
              <w:t>автоматическ</w:t>
            </w:r>
            <w:r w:rsidR="009938CA" w:rsidRPr="001043A6">
              <w:rPr>
                <w:rFonts w:ascii="Garamond" w:hAnsi="Garamond"/>
                <w:sz w:val="22"/>
                <w:szCs w:val="22"/>
              </w:rPr>
              <w:t>ой</w:t>
            </w:r>
            <w:r w:rsidRPr="001043A6">
              <w:rPr>
                <w:rFonts w:ascii="Garamond" w:hAnsi="Garamond"/>
                <w:sz w:val="22"/>
                <w:szCs w:val="22"/>
              </w:rPr>
              <w:t xml:space="preserve"> </w:t>
            </w:r>
            <w:r w:rsidRPr="001043A6">
              <w:rPr>
                <w:rFonts w:ascii="Garamond" w:hAnsi="Garamond"/>
                <w:sz w:val="22"/>
                <w:szCs w:val="22"/>
                <w:highlight w:val="yellow"/>
              </w:rPr>
              <w:t>синхронизаци</w:t>
            </w:r>
            <w:r w:rsidR="009938CA" w:rsidRPr="001043A6">
              <w:rPr>
                <w:rFonts w:ascii="Garamond" w:hAnsi="Garamond"/>
                <w:sz w:val="22"/>
                <w:szCs w:val="22"/>
                <w:highlight w:val="yellow"/>
              </w:rPr>
              <w:t>ей</w:t>
            </w:r>
            <w:r w:rsidRPr="001043A6">
              <w:rPr>
                <w:rFonts w:ascii="Garamond" w:hAnsi="Garamond"/>
                <w:sz w:val="22"/>
                <w:szCs w:val="22"/>
                <w:highlight w:val="yellow"/>
              </w:rPr>
              <w:t xml:space="preserve"> и</w:t>
            </w:r>
            <w:r w:rsidRPr="001043A6">
              <w:rPr>
                <w:rFonts w:ascii="Garamond" w:hAnsi="Garamond"/>
                <w:sz w:val="22"/>
                <w:szCs w:val="22"/>
              </w:rPr>
              <w:t xml:space="preserve"> коррекци</w:t>
            </w:r>
            <w:r w:rsidR="00FB7CEB" w:rsidRPr="001043A6">
              <w:rPr>
                <w:rFonts w:ascii="Garamond" w:hAnsi="Garamond"/>
                <w:sz w:val="22"/>
                <w:szCs w:val="22"/>
              </w:rPr>
              <w:t>ей</w:t>
            </w:r>
            <w:r w:rsidRPr="001043A6">
              <w:rPr>
                <w:rFonts w:ascii="Garamond" w:hAnsi="Garamond"/>
                <w:sz w:val="22"/>
                <w:szCs w:val="22"/>
              </w:rPr>
              <w:t xml:space="preserve"> </w:t>
            </w:r>
            <w:r w:rsidRPr="001043A6">
              <w:rPr>
                <w:rFonts w:ascii="Garamond" w:hAnsi="Garamond"/>
                <w:sz w:val="22"/>
                <w:szCs w:val="22"/>
                <w:highlight w:val="yellow"/>
              </w:rPr>
              <w:t>времени</w:t>
            </w:r>
            <w:r w:rsidR="00FB7CEB" w:rsidRPr="001043A6">
              <w:rPr>
                <w:rFonts w:ascii="Garamond" w:hAnsi="Garamond"/>
                <w:sz w:val="22"/>
                <w:szCs w:val="22"/>
              </w:rPr>
              <w:t>, работающей</w:t>
            </w:r>
            <w:r w:rsidRPr="001043A6">
              <w:rPr>
                <w:rFonts w:ascii="Garamond" w:hAnsi="Garamond"/>
                <w:sz w:val="22"/>
                <w:szCs w:val="22"/>
              </w:rPr>
              <w:t xml:space="preserve"> в составе СОЕВ </w:t>
            </w:r>
            <w:r w:rsidRPr="001043A6">
              <w:rPr>
                <w:rFonts w:ascii="Garamond" w:hAnsi="Garamond"/>
                <w:sz w:val="22"/>
                <w:szCs w:val="22"/>
                <w:highlight w:val="yellow"/>
              </w:rPr>
              <w:t>или с внешним источником точного времени</w:t>
            </w:r>
            <w:r w:rsidR="00FB7CEB" w:rsidRPr="001043A6">
              <w:rPr>
                <w:rFonts w:ascii="Garamond" w:hAnsi="Garamond"/>
                <w:sz w:val="22"/>
                <w:szCs w:val="22"/>
              </w:rPr>
              <w:t>)</w:t>
            </w:r>
            <w:r w:rsidRPr="001043A6">
              <w:rPr>
                <w:rFonts w:ascii="Garamond" w:hAnsi="Garamond"/>
                <w:sz w:val="22"/>
                <w:szCs w:val="22"/>
              </w:rPr>
              <w:t>.</w:t>
            </w:r>
          </w:p>
        </w:tc>
      </w:tr>
      <w:tr w:rsidR="00821ED7" w:rsidRPr="001043A6" w14:paraId="3C8118EC" w14:textId="77777777" w:rsidTr="001043A6">
        <w:tc>
          <w:tcPr>
            <w:tcW w:w="1031" w:type="dxa"/>
          </w:tcPr>
          <w:p w14:paraId="45554918" w14:textId="77777777" w:rsidR="00821ED7" w:rsidRPr="001043A6" w:rsidRDefault="001B7B52" w:rsidP="00E11B82">
            <w:pPr>
              <w:widowControl w:val="0"/>
              <w:spacing w:line="259" w:lineRule="auto"/>
              <w:jc w:val="center"/>
              <w:rPr>
                <w:rFonts w:ascii="Garamond" w:hAnsi="Garamond"/>
                <w:b/>
                <w:sz w:val="22"/>
                <w:szCs w:val="22"/>
                <w:lang w:eastAsia="en-US"/>
              </w:rPr>
            </w:pPr>
            <w:r w:rsidRPr="001043A6">
              <w:rPr>
                <w:rFonts w:ascii="Garamond" w:hAnsi="Garamond"/>
                <w:b/>
                <w:sz w:val="22"/>
                <w:szCs w:val="22"/>
                <w:lang w:eastAsia="en-US"/>
              </w:rPr>
              <w:t>4.4</w:t>
            </w:r>
          </w:p>
        </w:tc>
        <w:tc>
          <w:tcPr>
            <w:tcW w:w="6833" w:type="dxa"/>
          </w:tcPr>
          <w:p w14:paraId="73E1F0F6" w14:textId="77777777" w:rsidR="00821ED7" w:rsidRPr="001043A6" w:rsidRDefault="001B7B52" w:rsidP="00821ED7">
            <w:pPr>
              <w:tabs>
                <w:tab w:val="left" w:pos="1080"/>
                <w:tab w:val="num" w:pos="1276"/>
                <w:tab w:val="left" w:pos="1320"/>
              </w:tabs>
              <w:suppressAutoHyphens w:val="0"/>
              <w:spacing w:line="22" w:lineRule="atLeast"/>
              <w:ind w:firstLine="629"/>
              <w:jc w:val="both"/>
              <w:rPr>
                <w:rFonts w:ascii="Garamond" w:hAnsi="Garamond"/>
                <w:sz w:val="22"/>
                <w:szCs w:val="22"/>
              </w:rPr>
            </w:pPr>
            <w:r w:rsidRPr="001043A6">
              <w:rPr>
                <w:rFonts w:ascii="Garamond" w:hAnsi="Garamond"/>
                <w:sz w:val="22"/>
                <w:szCs w:val="22"/>
              </w:rPr>
              <w:t xml:space="preserve">ИВКЭ должен обеспечивать хранение </w:t>
            </w:r>
            <w:r w:rsidRPr="001043A6">
              <w:rPr>
                <w:rFonts w:ascii="Garamond" w:hAnsi="Garamond"/>
                <w:sz w:val="22"/>
                <w:szCs w:val="22"/>
                <w:highlight w:val="yellow"/>
              </w:rPr>
              <w:t>суточных данных о</w:t>
            </w:r>
            <w:r w:rsidRPr="001043A6">
              <w:rPr>
                <w:rFonts w:ascii="Garamond" w:hAnsi="Garamond"/>
                <w:sz w:val="22"/>
                <w:szCs w:val="22"/>
              </w:rPr>
              <w:t xml:space="preserve"> тридцатиминутных </w:t>
            </w:r>
            <w:r w:rsidRPr="001043A6">
              <w:rPr>
                <w:rFonts w:ascii="Garamond" w:hAnsi="Garamond"/>
                <w:sz w:val="22"/>
                <w:szCs w:val="22"/>
                <w:highlight w:val="yellow"/>
              </w:rPr>
              <w:t>приращениях электропотребления (выработки)</w:t>
            </w:r>
            <w:r w:rsidRPr="001043A6">
              <w:rPr>
                <w:rFonts w:ascii="Garamond" w:hAnsi="Garamond"/>
                <w:sz w:val="22"/>
                <w:szCs w:val="22"/>
              </w:rPr>
              <w:t xml:space="preserve"> по каждому каналу, а также электропотребление (выработку) за месяц по каждому каналу не менее 45 суток.</w:t>
            </w:r>
          </w:p>
        </w:tc>
        <w:tc>
          <w:tcPr>
            <w:tcW w:w="7115" w:type="dxa"/>
          </w:tcPr>
          <w:p w14:paraId="3DE60601" w14:textId="77777777" w:rsidR="00821ED7" w:rsidRPr="001043A6" w:rsidRDefault="001B7B52" w:rsidP="001B7B52">
            <w:pPr>
              <w:tabs>
                <w:tab w:val="left" w:pos="1080"/>
                <w:tab w:val="num" w:pos="1276"/>
                <w:tab w:val="left" w:pos="1320"/>
              </w:tabs>
              <w:suppressAutoHyphens w:val="0"/>
              <w:spacing w:line="22" w:lineRule="atLeast"/>
              <w:ind w:firstLine="629"/>
              <w:jc w:val="both"/>
              <w:rPr>
                <w:rFonts w:ascii="Garamond" w:hAnsi="Garamond"/>
                <w:sz w:val="22"/>
                <w:szCs w:val="22"/>
              </w:rPr>
            </w:pPr>
            <w:r w:rsidRPr="001043A6">
              <w:rPr>
                <w:rFonts w:ascii="Garamond" w:hAnsi="Garamond"/>
                <w:sz w:val="22"/>
                <w:szCs w:val="22"/>
              </w:rPr>
              <w:t xml:space="preserve">ИВКЭ должен обеспечивать хранение </w:t>
            </w:r>
            <w:r w:rsidRPr="001043A6">
              <w:rPr>
                <w:rFonts w:ascii="Garamond" w:hAnsi="Garamond"/>
                <w:sz w:val="22"/>
                <w:szCs w:val="22"/>
                <w:highlight w:val="yellow"/>
              </w:rPr>
              <w:t>результатов измерений в</w:t>
            </w:r>
            <w:r w:rsidRPr="001043A6">
              <w:rPr>
                <w:rFonts w:ascii="Garamond" w:hAnsi="Garamond"/>
                <w:sz w:val="22"/>
                <w:szCs w:val="22"/>
              </w:rPr>
              <w:t xml:space="preserve"> тридцатиминутных </w:t>
            </w:r>
            <w:r w:rsidRPr="001043A6">
              <w:rPr>
                <w:rFonts w:ascii="Garamond" w:hAnsi="Garamond"/>
                <w:sz w:val="22"/>
                <w:szCs w:val="22"/>
                <w:highlight w:val="yellow"/>
              </w:rPr>
              <w:t xml:space="preserve">интервалах измерений и </w:t>
            </w:r>
            <w:r w:rsidRPr="001043A6">
              <w:rPr>
                <w:rFonts w:ascii="Garamond" w:hAnsi="Garamond"/>
                <w:sz w:val="22"/>
                <w:szCs w:val="22"/>
                <w:highlight w:val="yellow"/>
                <w:lang w:eastAsia="en-US"/>
              </w:rPr>
              <w:t>нарастающим итогом на начало расчетного периода</w:t>
            </w:r>
            <w:r w:rsidRPr="001043A6">
              <w:rPr>
                <w:rFonts w:ascii="Garamond" w:hAnsi="Garamond"/>
                <w:sz w:val="22"/>
                <w:szCs w:val="22"/>
              </w:rPr>
              <w:t xml:space="preserve"> по каждому каналу не менее 45 суток.</w:t>
            </w:r>
          </w:p>
        </w:tc>
      </w:tr>
      <w:tr w:rsidR="00821ED7" w:rsidRPr="001043A6" w14:paraId="6573065B" w14:textId="77777777" w:rsidTr="001043A6">
        <w:tc>
          <w:tcPr>
            <w:tcW w:w="1031" w:type="dxa"/>
          </w:tcPr>
          <w:p w14:paraId="3FA5F74B" w14:textId="77777777" w:rsidR="00821ED7" w:rsidRPr="001043A6" w:rsidRDefault="00322329" w:rsidP="00E11B82">
            <w:pPr>
              <w:widowControl w:val="0"/>
              <w:spacing w:line="259" w:lineRule="auto"/>
              <w:jc w:val="center"/>
              <w:rPr>
                <w:rFonts w:ascii="Garamond" w:hAnsi="Garamond"/>
                <w:b/>
                <w:sz w:val="22"/>
                <w:szCs w:val="22"/>
                <w:lang w:eastAsia="en-US"/>
              </w:rPr>
            </w:pPr>
            <w:r w:rsidRPr="001043A6">
              <w:rPr>
                <w:rFonts w:ascii="Garamond" w:hAnsi="Garamond"/>
                <w:b/>
                <w:sz w:val="22"/>
                <w:szCs w:val="22"/>
                <w:lang w:eastAsia="en-US"/>
              </w:rPr>
              <w:t>4.5</w:t>
            </w:r>
          </w:p>
        </w:tc>
        <w:tc>
          <w:tcPr>
            <w:tcW w:w="6833" w:type="dxa"/>
          </w:tcPr>
          <w:p w14:paraId="5D0CBEC1" w14:textId="77777777" w:rsidR="00821ED7" w:rsidRPr="001043A6" w:rsidRDefault="00322329" w:rsidP="00821ED7">
            <w:pPr>
              <w:tabs>
                <w:tab w:val="left" w:pos="1080"/>
                <w:tab w:val="num" w:pos="1276"/>
                <w:tab w:val="left" w:pos="1320"/>
              </w:tabs>
              <w:suppressAutoHyphens w:val="0"/>
              <w:spacing w:line="22" w:lineRule="atLeast"/>
              <w:ind w:firstLine="629"/>
              <w:jc w:val="both"/>
              <w:rPr>
                <w:rFonts w:ascii="Garamond" w:hAnsi="Garamond"/>
                <w:sz w:val="22"/>
                <w:szCs w:val="22"/>
              </w:rPr>
            </w:pPr>
            <w:r w:rsidRPr="001043A6">
              <w:rPr>
                <w:rFonts w:ascii="Garamond" w:hAnsi="Garamond"/>
                <w:sz w:val="22"/>
                <w:szCs w:val="22"/>
                <w:highlight w:val="yellow"/>
              </w:rPr>
              <w:t>П</w:t>
            </w:r>
            <w:r w:rsidRPr="001043A6">
              <w:rPr>
                <w:rFonts w:ascii="Garamond" w:hAnsi="Garamond"/>
                <w:sz w:val="22"/>
                <w:szCs w:val="22"/>
              </w:rPr>
              <w:t>одключение резервного источника питания и автоматическо</w:t>
            </w:r>
            <w:r w:rsidRPr="009428EA">
              <w:rPr>
                <w:rFonts w:ascii="Garamond" w:hAnsi="Garamond"/>
                <w:sz w:val="22"/>
                <w:szCs w:val="22"/>
                <w:highlight w:val="yellow"/>
              </w:rPr>
              <w:t>го</w:t>
            </w:r>
            <w:r w:rsidRPr="001043A6">
              <w:rPr>
                <w:rFonts w:ascii="Garamond" w:hAnsi="Garamond"/>
                <w:sz w:val="22"/>
                <w:szCs w:val="22"/>
              </w:rPr>
              <w:t xml:space="preserve"> переключени</w:t>
            </w:r>
            <w:r w:rsidRPr="009428EA">
              <w:rPr>
                <w:rFonts w:ascii="Garamond" w:hAnsi="Garamond"/>
                <w:sz w:val="22"/>
                <w:szCs w:val="22"/>
                <w:highlight w:val="yellow"/>
              </w:rPr>
              <w:t>я</w:t>
            </w:r>
            <w:r w:rsidRPr="001043A6">
              <w:rPr>
                <w:rFonts w:ascii="Garamond" w:hAnsi="Garamond"/>
                <w:sz w:val="22"/>
                <w:szCs w:val="22"/>
              </w:rPr>
              <w:t xml:space="preserve"> на источник резервного питания при пропадании основного (резервного) питания (обязательно при создании АИИС).</w:t>
            </w:r>
          </w:p>
        </w:tc>
        <w:tc>
          <w:tcPr>
            <w:tcW w:w="7115" w:type="dxa"/>
          </w:tcPr>
          <w:p w14:paraId="4CFEC908" w14:textId="73F12B0A" w:rsidR="00821ED7" w:rsidRPr="001043A6" w:rsidRDefault="00322329" w:rsidP="009428EA">
            <w:pPr>
              <w:widowControl w:val="0"/>
              <w:spacing w:line="259" w:lineRule="auto"/>
              <w:ind w:firstLine="486"/>
              <w:jc w:val="both"/>
              <w:rPr>
                <w:rFonts w:ascii="Garamond" w:hAnsi="Garamond"/>
                <w:sz w:val="22"/>
                <w:szCs w:val="22"/>
              </w:rPr>
            </w:pPr>
            <w:r w:rsidRPr="001043A6">
              <w:rPr>
                <w:rFonts w:ascii="Garamond" w:hAnsi="Garamond"/>
                <w:sz w:val="22"/>
                <w:szCs w:val="22"/>
                <w:highlight w:val="yellow"/>
              </w:rPr>
              <w:t>В отношении ИВКЭ, входящего в состав АИИС КУЭ, должно быть обеспечено п</w:t>
            </w:r>
            <w:r w:rsidRPr="001043A6">
              <w:rPr>
                <w:rFonts w:ascii="Garamond" w:hAnsi="Garamond"/>
                <w:sz w:val="22"/>
                <w:szCs w:val="22"/>
              </w:rPr>
              <w:t>одключение резервного источника питания и автоматическо</w:t>
            </w:r>
            <w:r w:rsidR="009428EA" w:rsidRPr="009428EA">
              <w:rPr>
                <w:rFonts w:ascii="Garamond" w:hAnsi="Garamond"/>
                <w:sz w:val="22"/>
                <w:szCs w:val="22"/>
                <w:highlight w:val="yellow"/>
              </w:rPr>
              <w:t>е</w:t>
            </w:r>
            <w:r w:rsidRPr="001043A6">
              <w:rPr>
                <w:rFonts w:ascii="Garamond" w:hAnsi="Garamond"/>
                <w:sz w:val="22"/>
                <w:szCs w:val="22"/>
              </w:rPr>
              <w:t xml:space="preserve"> переключени</w:t>
            </w:r>
            <w:r w:rsidR="009428EA" w:rsidRPr="009428EA">
              <w:rPr>
                <w:rFonts w:ascii="Garamond" w:hAnsi="Garamond"/>
                <w:sz w:val="22"/>
                <w:szCs w:val="22"/>
                <w:highlight w:val="yellow"/>
              </w:rPr>
              <w:t>е</w:t>
            </w:r>
            <w:r w:rsidRPr="001043A6">
              <w:rPr>
                <w:rFonts w:ascii="Garamond" w:hAnsi="Garamond"/>
                <w:sz w:val="22"/>
                <w:szCs w:val="22"/>
              </w:rPr>
              <w:t xml:space="preserve"> на источник резервного питания при пропадании основного (резервного) питания</w:t>
            </w:r>
            <w:r w:rsidR="00A62CD5" w:rsidRPr="001043A6">
              <w:rPr>
                <w:rFonts w:ascii="Garamond" w:hAnsi="Garamond"/>
                <w:sz w:val="22"/>
                <w:szCs w:val="22"/>
              </w:rPr>
              <w:t xml:space="preserve"> (обязательно при создании АИИС)</w:t>
            </w:r>
            <w:r w:rsidRPr="001043A6">
              <w:rPr>
                <w:rFonts w:ascii="Garamond" w:hAnsi="Garamond"/>
                <w:sz w:val="22"/>
                <w:szCs w:val="22"/>
              </w:rPr>
              <w:t>.</w:t>
            </w:r>
          </w:p>
        </w:tc>
      </w:tr>
      <w:tr w:rsidR="00322329" w:rsidRPr="001043A6" w14:paraId="4F49C48B" w14:textId="77777777" w:rsidTr="001043A6">
        <w:tc>
          <w:tcPr>
            <w:tcW w:w="1031" w:type="dxa"/>
          </w:tcPr>
          <w:p w14:paraId="08C7B1B8" w14:textId="77777777" w:rsidR="00322329" w:rsidRPr="001043A6" w:rsidRDefault="00322329" w:rsidP="00E11B82">
            <w:pPr>
              <w:widowControl w:val="0"/>
              <w:spacing w:line="259" w:lineRule="auto"/>
              <w:jc w:val="center"/>
              <w:rPr>
                <w:rFonts w:ascii="Garamond" w:hAnsi="Garamond"/>
                <w:b/>
                <w:sz w:val="22"/>
                <w:szCs w:val="22"/>
                <w:lang w:eastAsia="en-US"/>
              </w:rPr>
            </w:pPr>
            <w:r w:rsidRPr="001043A6">
              <w:rPr>
                <w:rFonts w:ascii="Garamond" w:hAnsi="Garamond"/>
                <w:b/>
                <w:sz w:val="22"/>
                <w:szCs w:val="22"/>
                <w:lang w:eastAsia="en-US"/>
              </w:rPr>
              <w:t>4.6</w:t>
            </w:r>
          </w:p>
        </w:tc>
        <w:tc>
          <w:tcPr>
            <w:tcW w:w="6833" w:type="dxa"/>
          </w:tcPr>
          <w:p w14:paraId="6FF99F75" w14:textId="77777777" w:rsidR="00322329" w:rsidRPr="001043A6" w:rsidRDefault="00322329" w:rsidP="00821ED7">
            <w:pPr>
              <w:tabs>
                <w:tab w:val="left" w:pos="1080"/>
                <w:tab w:val="num" w:pos="1276"/>
                <w:tab w:val="left" w:pos="1320"/>
              </w:tabs>
              <w:suppressAutoHyphens w:val="0"/>
              <w:spacing w:line="22" w:lineRule="atLeast"/>
              <w:ind w:firstLine="629"/>
              <w:jc w:val="both"/>
              <w:rPr>
                <w:rFonts w:ascii="Garamond" w:hAnsi="Garamond"/>
                <w:sz w:val="22"/>
                <w:szCs w:val="22"/>
                <w:highlight w:val="yellow"/>
              </w:rPr>
            </w:pPr>
            <w:r w:rsidRPr="001043A6">
              <w:rPr>
                <w:rFonts w:ascii="Garamond" w:hAnsi="Garamond"/>
                <w:sz w:val="22"/>
                <w:szCs w:val="22"/>
                <w:highlight w:val="yellow"/>
              </w:rPr>
              <w:t>Компоненты, входящие в состав ИВКЭ должны быть защищены от несанкционированного доступа как в аппаратной части (разъемы, функциональные модули и т.п.), так и в программно-информационном обеспечении (установка паролей).</w:t>
            </w:r>
          </w:p>
        </w:tc>
        <w:tc>
          <w:tcPr>
            <w:tcW w:w="7115" w:type="dxa"/>
          </w:tcPr>
          <w:p w14:paraId="56672D82" w14:textId="77777777" w:rsidR="00322329" w:rsidRPr="001043A6" w:rsidRDefault="00322329" w:rsidP="004F4873">
            <w:pPr>
              <w:widowControl w:val="0"/>
              <w:spacing w:line="259" w:lineRule="auto"/>
              <w:ind w:firstLine="486"/>
              <w:jc w:val="both"/>
              <w:rPr>
                <w:rFonts w:ascii="Garamond" w:hAnsi="Garamond"/>
                <w:b/>
                <w:sz w:val="22"/>
                <w:szCs w:val="22"/>
                <w:highlight w:val="yellow"/>
              </w:rPr>
            </w:pPr>
            <w:r w:rsidRPr="001043A6">
              <w:rPr>
                <w:rFonts w:ascii="Garamond" w:hAnsi="Garamond"/>
                <w:b/>
                <w:sz w:val="22"/>
                <w:szCs w:val="22"/>
              </w:rPr>
              <w:t>Исключить</w:t>
            </w:r>
            <w:r w:rsidR="00C86338" w:rsidRPr="001043A6">
              <w:rPr>
                <w:rFonts w:ascii="Garamond" w:hAnsi="Garamond"/>
                <w:b/>
                <w:sz w:val="22"/>
                <w:szCs w:val="22"/>
              </w:rPr>
              <w:t xml:space="preserve"> пункт</w:t>
            </w:r>
          </w:p>
        </w:tc>
      </w:tr>
      <w:tr w:rsidR="00322329" w:rsidRPr="001043A6" w14:paraId="27A0A447" w14:textId="77777777" w:rsidTr="001043A6">
        <w:tc>
          <w:tcPr>
            <w:tcW w:w="1031" w:type="dxa"/>
          </w:tcPr>
          <w:p w14:paraId="5C05ED0C" w14:textId="77777777" w:rsidR="00322329" w:rsidRPr="001043A6" w:rsidRDefault="00322329" w:rsidP="00E11B82">
            <w:pPr>
              <w:widowControl w:val="0"/>
              <w:spacing w:line="259" w:lineRule="auto"/>
              <w:jc w:val="center"/>
              <w:rPr>
                <w:rFonts w:ascii="Garamond" w:hAnsi="Garamond"/>
                <w:b/>
                <w:sz w:val="22"/>
                <w:szCs w:val="22"/>
                <w:lang w:eastAsia="en-US"/>
              </w:rPr>
            </w:pPr>
            <w:r w:rsidRPr="001043A6">
              <w:rPr>
                <w:rFonts w:ascii="Garamond" w:hAnsi="Garamond"/>
                <w:b/>
                <w:sz w:val="22"/>
                <w:szCs w:val="22"/>
                <w:lang w:eastAsia="en-US"/>
              </w:rPr>
              <w:t>4.7</w:t>
            </w:r>
          </w:p>
        </w:tc>
        <w:tc>
          <w:tcPr>
            <w:tcW w:w="6833" w:type="dxa"/>
          </w:tcPr>
          <w:p w14:paraId="6A63DC6B" w14:textId="77777777" w:rsidR="00322329" w:rsidRPr="001043A6" w:rsidRDefault="00322329" w:rsidP="00821ED7">
            <w:pPr>
              <w:tabs>
                <w:tab w:val="left" w:pos="1080"/>
                <w:tab w:val="num" w:pos="1276"/>
                <w:tab w:val="left" w:pos="1320"/>
              </w:tabs>
              <w:suppressAutoHyphens w:val="0"/>
              <w:spacing w:line="22" w:lineRule="atLeast"/>
              <w:ind w:firstLine="629"/>
              <w:jc w:val="both"/>
              <w:rPr>
                <w:rFonts w:ascii="Garamond" w:hAnsi="Garamond"/>
                <w:sz w:val="22"/>
                <w:szCs w:val="22"/>
                <w:highlight w:val="yellow"/>
              </w:rPr>
            </w:pPr>
            <w:r w:rsidRPr="001043A6">
              <w:rPr>
                <w:rFonts w:ascii="Garamond" w:hAnsi="Garamond"/>
                <w:sz w:val="22"/>
                <w:szCs w:val="22"/>
                <w:highlight w:val="yellow"/>
              </w:rPr>
              <w:t>При отсутствии ИВКЭ его функции выполняет ИВК.</w:t>
            </w:r>
          </w:p>
        </w:tc>
        <w:tc>
          <w:tcPr>
            <w:tcW w:w="7115" w:type="dxa"/>
          </w:tcPr>
          <w:p w14:paraId="140BE6C4" w14:textId="77777777" w:rsidR="00322329" w:rsidRPr="001043A6" w:rsidRDefault="00322329" w:rsidP="004F4873">
            <w:pPr>
              <w:widowControl w:val="0"/>
              <w:spacing w:line="259" w:lineRule="auto"/>
              <w:ind w:firstLine="486"/>
              <w:jc w:val="both"/>
              <w:rPr>
                <w:rFonts w:ascii="Garamond" w:hAnsi="Garamond"/>
                <w:b/>
                <w:sz w:val="22"/>
                <w:szCs w:val="22"/>
                <w:highlight w:val="yellow"/>
              </w:rPr>
            </w:pPr>
            <w:r w:rsidRPr="001043A6">
              <w:rPr>
                <w:rFonts w:ascii="Garamond" w:hAnsi="Garamond"/>
                <w:b/>
                <w:sz w:val="22"/>
                <w:szCs w:val="22"/>
              </w:rPr>
              <w:t>И</w:t>
            </w:r>
            <w:r w:rsidR="004F4873" w:rsidRPr="001043A6">
              <w:rPr>
                <w:rFonts w:ascii="Garamond" w:hAnsi="Garamond"/>
                <w:b/>
                <w:sz w:val="22"/>
                <w:szCs w:val="22"/>
              </w:rPr>
              <w:t>сключить</w:t>
            </w:r>
            <w:r w:rsidR="00C86338" w:rsidRPr="001043A6">
              <w:rPr>
                <w:rFonts w:ascii="Garamond" w:hAnsi="Garamond"/>
                <w:b/>
                <w:sz w:val="22"/>
                <w:szCs w:val="22"/>
              </w:rPr>
              <w:t xml:space="preserve"> пункт</w:t>
            </w:r>
          </w:p>
        </w:tc>
      </w:tr>
      <w:tr w:rsidR="004F4873" w:rsidRPr="001043A6" w14:paraId="435A20A7" w14:textId="77777777" w:rsidTr="001043A6">
        <w:tc>
          <w:tcPr>
            <w:tcW w:w="1031" w:type="dxa"/>
          </w:tcPr>
          <w:p w14:paraId="58CAFEAD" w14:textId="77777777" w:rsidR="004F4873" w:rsidRPr="001043A6" w:rsidRDefault="004F4873" w:rsidP="00E11B82">
            <w:pPr>
              <w:widowControl w:val="0"/>
              <w:spacing w:line="259" w:lineRule="auto"/>
              <w:jc w:val="center"/>
              <w:rPr>
                <w:rFonts w:ascii="Garamond" w:hAnsi="Garamond"/>
                <w:b/>
                <w:sz w:val="22"/>
                <w:szCs w:val="22"/>
                <w:lang w:eastAsia="en-US"/>
              </w:rPr>
            </w:pPr>
            <w:r w:rsidRPr="001043A6">
              <w:rPr>
                <w:rFonts w:ascii="Garamond" w:hAnsi="Garamond"/>
                <w:b/>
                <w:sz w:val="22"/>
                <w:szCs w:val="22"/>
                <w:lang w:eastAsia="en-US"/>
              </w:rPr>
              <w:t>4.8</w:t>
            </w:r>
          </w:p>
        </w:tc>
        <w:tc>
          <w:tcPr>
            <w:tcW w:w="6833" w:type="dxa"/>
          </w:tcPr>
          <w:p w14:paraId="7E99063D" w14:textId="77777777" w:rsidR="004F4873" w:rsidRPr="001043A6" w:rsidRDefault="004F4873" w:rsidP="004F4873">
            <w:pPr>
              <w:tabs>
                <w:tab w:val="left" w:pos="1200"/>
                <w:tab w:val="num" w:pos="1440"/>
                <w:tab w:val="num" w:pos="5399"/>
              </w:tabs>
              <w:suppressAutoHyphens w:val="0"/>
              <w:spacing w:line="259" w:lineRule="auto"/>
              <w:ind w:firstLine="629"/>
              <w:rPr>
                <w:rFonts w:ascii="Garamond" w:hAnsi="Garamond"/>
                <w:bCs/>
                <w:sz w:val="22"/>
                <w:szCs w:val="22"/>
                <w:highlight w:val="yellow"/>
              </w:rPr>
            </w:pPr>
            <w:r w:rsidRPr="001043A6">
              <w:rPr>
                <w:rFonts w:ascii="Garamond" w:hAnsi="Garamond"/>
                <w:bCs/>
                <w:sz w:val="22"/>
                <w:szCs w:val="22"/>
                <w:highlight w:val="yellow"/>
              </w:rPr>
              <w:t>Значения показателей надежности ИВКЭ не ниже:</w:t>
            </w:r>
          </w:p>
          <w:p w14:paraId="4F9158BB" w14:textId="77777777" w:rsidR="004F4873" w:rsidRPr="001043A6" w:rsidRDefault="004F4873" w:rsidP="009D7164">
            <w:pPr>
              <w:numPr>
                <w:ilvl w:val="0"/>
                <w:numId w:val="14"/>
              </w:numPr>
              <w:tabs>
                <w:tab w:val="left" w:pos="993"/>
                <w:tab w:val="left" w:pos="1320"/>
                <w:tab w:val="num" w:pos="1440"/>
              </w:tabs>
              <w:suppressAutoHyphens w:val="0"/>
              <w:spacing w:line="259" w:lineRule="auto"/>
              <w:ind w:left="0" w:firstLine="600"/>
              <w:jc w:val="both"/>
              <w:rPr>
                <w:rFonts w:ascii="Garamond" w:hAnsi="Garamond"/>
                <w:bCs/>
                <w:sz w:val="22"/>
                <w:szCs w:val="22"/>
                <w:highlight w:val="yellow"/>
              </w:rPr>
            </w:pPr>
            <w:r w:rsidRPr="001043A6">
              <w:rPr>
                <w:rFonts w:ascii="Garamond" w:hAnsi="Garamond"/>
                <w:bCs/>
                <w:sz w:val="22"/>
                <w:szCs w:val="22"/>
                <w:highlight w:val="yellow"/>
              </w:rPr>
              <w:t>наработка на отказ – не менее 35 000 часов;</w:t>
            </w:r>
          </w:p>
          <w:p w14:paraId="1605E078" w14:textId="77777777" w:rsidR="004F4873" w:rsidRPr="001043A6" w:rsidRDefault="004F4873" w:rsidP="009D7164">
            <w:pPr>
              <w:numPr>
                <w:ilvl w:val="0"/>
                <w:numId w:val="14"/>
              </w:numPr>
              <w:tabs>
                <w:tab w:val="left" w:pos="993"/>
                <w:tab w:val="left" w:pos="1320"/>
                <w:tab w:val="num" w:pos="1440"/>
              </w:tabs>
              <w:suppressAutoHyphens w:val="0"/>
              <w:spacing w:line="259" w:lineRule="auto"/>
              <w:ind w:left="0" w:firstLine="600"/>
              <w:jc w:val="both"/>
              <w:rPr>
                <w:rFonts w:ascii="Garamond" w:hAnsi="Garamond"/>
                <w:bCs/>
                <w:sz w:val="22"/>
                <w:szCs w:val="22"/>
              </w:rPr>
            </w:pPr>
            <w:r w:rsidRPr="001043A6">
              <w:rPr>
                <w:rFonts w:ascii="Garamond" w:hAnsi="Garamond"/>
                <w:bCs/>
                <w:sz w:val="22"/>
                <w:szCs w:val="22"/>
                <w:highlight w:val="yellow"/>
              </w:rPr>
              <w:t>время восстановления – не более 24 часов.</w:t>
            </w:r>
          </w:p>
        </w:tc>
        <w:tc>
          <w:tcPr>
            <w:tcW w:w="7115" w:type="dxa"/>
          </w:tcPr>
          <w:p w14:paraId="7A810999" w14:textId="77777777" w:rsidR="004F4873" w:rsidRPr="001043A6" w:rsidRDefault="004F4873" w:rsidP="004F4873">
            <w:pPr>
              <w:widowControl w:val="0"/>
              <w:spacing w:line="259" w:lineRule="auto"/>
              <w:ind w:firstLine="486"/>
              <w:jc w:val="both"/>
              <w:rPr>
                <w:rFonts w:ascii="Garamond" w:hAnsi="Garamond"/>
                <w:b/>
                <w:sz w:val="22"/>
                <w:szCs w:val="22"/>
              </w:rPr>
            </w:pPr>
            <w:r w:rsidRPr="001043A6">
              <w:rPr>
                <w:rFonts w:ascii="Garamond" w:hAnsi="Garamond"/>
                <w:b/>
                <w:sz w:val="22"/>
                <w:szCs w:val="22"/>
              </w:rPr>
              <w:t>Исключить</w:t>
            </w:r>
            <w:r w:rsidR="00C86338" w:rsidRPr="001043A6">
              <w:rPr>
                <w:rFonts w:ascii="Garamond" w:hAnsi="Garamond"/>
                <w:b/>
                <w:sz w:val="22"/>
                <w:szCs w:val="22"/>
              </w:rPr>
              <w:t xml:space="preserve"> пункт</w:t>
            </w:r>
          </w:p>
        </w:tc>
      </w:tr>
      <w:tr w:rsidR="00964038" w:rsidRPr="001043A6" w14:paraId="39DD1CCD" w14:textId="77777777" w:rsidTr="001043A6">
        <w:tc>
          <w:tcPr>
            <w:tcW w:w="1031" w:type="dxa"/>
          </w:tcPr>
          <w:p w14:paraId="73A37A0F" w14:textId="77777777" w:rsidR="00964038" w:rsidRPr="001043A6" w:rsidRDefault="00964038" w:rsidP="00E11B82">
            <w:pPr>
              <w:widowControl w:val="0"/>
              <w:spacing w:line="259" w:lineRule="auto"/>
              <w:jc w:val="center"/>
              <w:rPr>
                <w:rFonts w:ascii="Garamond" w:hAnsi="Garamond"/>
                <w:b/>
                <w:sz w:val="22"/>
                <w:szCs w:val="22"/>
                <w:lang w:eastAsia="en-US"/>
              </w:rPr>
            </w:pPr>
            <w:r w:rsidRPr="001043A6">
              <w:rPr>
                <w:rFonts w:ascii="Garamond" w:hAnsi="Garamond"/>
                <w:b/>
                <w:sz w:val="22"/>
                <w:szCs w:val="22"/>
                <w:lang w:eastAsia="en-US"/>
              </w:rPr>
              <w:lastRenderedPageBreak/>
              <w:t>5.1</w:t>
            </w:r>
          </w:p>
        </w:tc>
        <w:tc>
          <w:tcPr>
            <w:tcW w:w="6833" w:type="dxa"/>
          </w:tcPr>
          <w:p w14:paraId="618E9805" w14:textId="77777777" w:rsidR="00964038" w:rsidRPr="001043A6" w:rsidRDefault="00964038" w:rsidP="00964038">
            <w:pPr>
              <w:tabs>
                <w:tab w:val="left" w:pos="1200"/>
                <w:tab w:val="num" w:pos="1440"/>
              </w:tabs>
              <w:suppressAutoHyphens w:val="0"/>
              <w:spacing w:line="259" w:lineRule="auto"/>
              <w:ind w:left="601"/>
              <w:rPr>
                <w:rFonts w:ascii="Garamond" w:hAnsi="Garamond"/>
                <w:sz w:val="22"/>
                <w:szCs w:val="22"/>
              </w:rPr>
            </w:pPr>
            <w:r w:rsidRPr="001043A6">
              <w:rPr>
                <w:rFonts w:ascii="Garamond" w:hAnsi="Garamond"/>
                <w:sz w:val="22"/>
                <w:szCs w:val="22"/>
              </w:rPr>
              <w:t xml:space="preserve">Общие требования к ИВК </w:t>
            </w:r>
          </w:p>
          <w:p w14:paraId="366ADA59" w14:textId="77777777" w:rsidR="00964038" w:rsidRPr="001043A6" w:rsidRDefault="00964038" w:rsidP="00964038">
            <w:pPr>
              <w:tabs>
                <w:tab w:val="left" w:pos="1200"/>
                <w:tab w:val="num" w:pos="1440"/>
              </w:tabs>
              <w:spacing w:line="259" w:lineRule="auto"/>
              <w:ind w:firstLine="601"/>
              <w:rPr>
                <w:rFonts w:ascii="Garamond" w:hAnsi="Garamond"/>
                <w:sz w:val="22"/>
                <w:szCs w:val="22"/>
              </w:rPr>
            </w:pPr>
            <w:r w:rsidRPr="001043A6">
              <w:rPr>
                <w:rFonts w:ascii="Garamond" w:hAnsi="Garamond"/>
                <w:iCs/>
                <w:sz w:val="22"/>
                <w:szCs w:val="22"/>
              </w:rPr>
              <w:t>ИВК обеспечивает:</w:t>
            </w:r>
          </w:p>
          <w:p w14:paraId="3C475CB4" w14:textId="77777777" w:rsidR="00964038" w:rsidRPr="001043A6" w:rsidRDefault="00964038" w:rsidP="00101F7C">
            <w:pPr>
              <w:numPr>
                <w:ilvl w:val="0"/>
                <w:numId w:val="101"/>
              </w:numPr>
              <w:tabs>
                <w:tab w:val="left" w:pos="1200"/>
                <w:tab w:val="num" w:pos="1440"/>
              </w:tabs>
              <w:suppressAutoHyphens w:val="0"/>
              <w:spacing w:line="259" w:lineRule="auto"/>
              <w:ind w:left="0" w:firstLine="601"/>
              <w:jc w:val="both"/>
              <w:rPr>
                <w:rFonts w:ascii="Garamond" w:hAnsi="Garamond"/>
                <w:sz w:val="22"/>
                <w:szCs w:val="22"/>
              </w:rPr>
            </w:pPr>
            <w:r w:rsidRPr="001043A6">
              <w:rPr>
                <w:rFonts w:ascii="Garamond" w:hAnsi="Garamond"/>
                <w:sz w:val="22"/>
                <w:szCs w:val="22"/>
              </w:rPr>
              <w:t xml:space="preserve">периодический (1 раз в сутки) и (или) по запросу автоматический сбор результатов измерений </w:t>
            </w:r>
            <w:r w:rsidRPr="001043A6">
              <w:rPr>
                <w:rFonts w:ascii="Garamond" w:hAnsi="Garamond"/>
                <w:sz w:val="22"/>
                <w:szCs w:val="22"/>
                <w:highlight w:val="yellow"/>
              </w:rPr>
              <w:t>электрической энергии</w:t>
            </w:r>
            <w:r w:rsidRPr="001043A6">
              <w:rPr>
                <w:rFonts w:ascii="Garamond" w:hAnsi="Garamond"/>
                <w:sz w:val="22"/>
                <w:szCs w:val="22"/>
              </w:rPr>
              <w:t>;</w:t>
            </w:r>
          </w:p>
          <w:p w14:paraId="18BC2D1A" w14:textId="77777777" w:rsidR="00964038" w:rsidRPr="001043A6" w:rsidRDefault="00964038" w:rsidP="00101F7C">
            <w:pPr>
              <w:numPr>
                <w:ilvl w:val="0"/>
                <w:numId w:val="101"/>
              </w:numPr>
              <w:tabs>
                <w:tab w:val="left" w:pos="1200"/>
                <w:tab w:val="num" w:pos="1440"/>
              </w:tabs>
              <w:suppressAutoHyphens w:val="0"/>
              <w:spacing w:line="259" w:lineRule="auto"/>
              <w:ind w:left="0" w:firstLine="601"/>
              <w:jc w:val="both"/>
              <w:rPr>
                <w:rFonts w:ascii="Garamond" w:hAnsi="Garamond"/>
                <w:sz w:val="22"/>
                <w:szCs w:val="22"/>
              </w:rPr>
            </w:pPr>
            <w:r w:rsidRPr="001043A6">
              <w:rPr>
                <w:rFonts w:ascii="Garamond" w:hAnsi="Garamond"/>
                <w:sz w:val="22"/>
                <w:szCs w:val="22"/>
              </w:rPr>
              <w:t>автоматический сбор данных о состоянии средств измерений со всех ИИК, ИВКЭ, опрашиваемых непосредственно данным ИВК, и состоянии объектов измерений (при наличии автоматического сбора информации о состоянии объектов измерений);</w:t>
            </w:r>
          </w:p>
          <w:p w14:paraId="061AEB68" w14:textId="77777777" w:rsidR="00964038" w:rsidRPr="001043A6" w:rsidRDefault="00964038" w:rsidP="00101F7C">
            <w:pPr>
              <w:numPr>
                <w:ilvl w:val="0"/>
                <w:numId w:val="101"/>
              </w:numPr>
              <w:tabs>
                <w:tab w:val="left" w:pos="1200"/>
                <w:tab w:val="num" w:pos="1440"/>
              </w:tabs>
              <w:suppressAutoHyphens w:val="0"/>
              <w:spacing w:line="259" w:lineRule="auto"/>
              <w:ind w:left="0" w:firstLine="601"/>
              <w:jc w:val="both"/>
              <w:rPr>
                <w:rFonts w:ascii="Garamond" w:hAnsi="Garamond"/>
                <w:sz w:val="22"/>
                <w:szCs w:val="22"/>
              </w:rPr>
            </w:pPr>
            <w:r w:rsidRPr="001043A6">
              <w:rPr>
                <w:rFonts w:ascii="Garamond" w:hAnsi="Garamond"/>
                <w:sz w:val="22"/>
                <w:szCs w:val="22"/>
              </w:rPr>
              <w:t>хранение не менее 3</w:t>
            </w:r>
            <w:r w:rsidRPr="001043A6">
              <w:rPr>
                <w:rFonts w:ascii="Garamond" w:hAnsi="Garamond"/>
                <w:sz w:val="22"/>
                <w:szCs w:val="22"/>
                <w:highlight w:val="yellow"/>
              </w:rPr>
              <w:t>,5</w:t>
            </w:r>
            <w:r w:rsidRPr="001043A6">
              <w:rPr>
                <w:rFonts w:ascii="Garamond" w:hAnsi="Garamond"/>
                <w:sz w:val="22"/>
                <w:szCs w:val="22"/>
              </w:rPr>
              <w:t xml:space="preserve"> лет результатов измерений, данных о состоянии объектов измерений (при наличии автоматического сбора информации о состоянии объектов измерений), данных о состоянии средств измерений («Журнал событий»);</w:t>
            </w:r>
          </w:p>
          <w:p w14:paraId="51C5A7A8" w14:textId="77777777" w:rsidR="00964038" w:rsidRPr="001043A6" w:rsidRDefault="00964038" w:rsidP="00101F7C">
            <w:pPr>
              <w:numPr>
                <w:ilvl w:val="0"/>
                <w:numId w:val="101"/>
              </w:numPr>
              <w:tabs>
                <w:tab w:val="left" w:pos="1200"/>
                <w:tab w:val="num" w:pos="1440"/>
              </w:tabs>
              <w:suppressAutoHyphens w:val="0"/>
              <w:spacing w:line="259" w:lineRule="auto"/>
              <w:ind w:left="0" w:firstLine="601"/>
              <w:jc w:val="both"/>
              <w:rPr>
                <w:rFonts w:ascii="Garamond" w:hAnsi="Garamond"/>
                <w:sz w:val="22"/>
                <w:szCs w:val="22"/>
              </w:rPr>
            </w:pPr>
            <w:r w:rsidRPr="001043A6">
              <w:rPr>
                <w:rFonts w:ascii="Garamond" w:hAnsi="Garamond"/>
                <w:sz w:val="22"/>
                <w:szCs w:val="22"/>
              </w:rPr>
              <w:t>возможность масштабирования долей именованных величин количества электроэнергии;</w:t>
            </w:r>
          </w:p>
          <w:p w14:paraId="26BDBEAF" w14:textId="77777777" w:rsidR="00964038" w:rsidRPr="001043A6" w:rsidRDefault="00964038" w:rsidP="00101F7C">
            <w:pPr>
              <w:numPr>
                <w:ilvl w:val="0"/>
                <w:numId w:val="101"/>
              </w:numPr>
              <w:tabs>
                <w:tab w:val="left" w:pos="1200"/>
                <w:tab w:val="num" w:pos="1440"/>
              </w:tabs>
              <w:suppressAutoHyphens w:val="0"/>
              <w:spacing w:line="259" w:lineRule="auto"/>
              <w:ind w:left="0" w:firstLine="601"/>
              <w:jc w:val="both"/>
              <w:rPr>
                <w:rFonts w:ascii="Garamond" w:hAnsi="Garamond"/>
                <w:sz w:val="22"/>
                <w:szCs w:val="22"/>
              </w:rPr>
            </w:pPr>
            <w:r w:rsidRPr="001043A6">
              <w:rPr>
                <w:rFonts w:ascii="Garamond" w:hAnsi="Garamond"/>
                <w:sz w:val="22"/>
                <w:szCs w:val="22"/>
              </w:rPr>
              <w:t>синхронизаци</w:t>
            </w:r>
            <w:r w:rsidRPr="001043A6">
              <w:rPr>
                <w:rFonts w:ascii="Garamond" w:hAnsi="Garamond"/>
                <w:sz w:val="22"/>
                <w:szCs w:val="22"/>
                <w:highlight w:val="yellow"/>
              </w:rPr>
              <w:t>ю</w:t>
            </w:r>
            <w:r w:rsidRPr="001043A6">
              <w:rPr>
                <w:rFonts w:ascii="Garamond" w:hAnsi="Garamond"/>
                <w:sz w:val="22"/>
                <w:szCs w:val="22"/>
              </w:rPr>
              <w:t xml:space="preserve"> времени в </w:t>
            </w:r>
            <w:r w:rsidRPr="001043A6">
              <w:rPr>
                <w:rFonts w:ascii="Garamond" w:hAnsi="Garamond"/>
                <w:sz w:val="22"/>
                <w:szCs w:val="22"/>
                <w:highlight w:val="yellow"/>
              </w:rPr>
              <w:t>ИВК (допускается синхронизация ИВКЭ времени ИВК) и коррекцию времени в счетчиках электроэнергии и ИВКЭ, передающих информацию в данный ИВК</w:t>
            </w:r>
            <w:r w:rsidRPr="001043A6">
              <w:rPr>
                <w:rFonts w:ascii="Garamond" w:hAnsi="Garamond"/>
                <w:sz w:val="22"/>
                <w:szCs w:val="22"/>
              </w:rPr>
              <w:t>;</w:t>
            </w:r>
          </w:p>
          <w:p w14:paraId="58491391" w14:textId="77777777" w:rsidR="00964038" w:rsidRPr="001043A6" w:rsidRDefault="00964038" w:rsidP="00101F7C">
            <w:pPr>
              <w:numPr>
                <w:ilvl w:val="0"/>
                <w:numId w:val="101"/>
              </w:numPr>
              <w:tabs>
                <w:tab w:val="left" w:pos="1200"/>
                <w:tab w:val="num" w:pos="1440"/>
              </w:tabs>
              <w:suppressAutoHyphens w:val="0"/>
              <w:spacing w:line="259" w:lineRule="auto"/>
              <w:ind w:left="0" w:firstLine="601"/>
              <w:jc w:val="both"/>
              <w:rPr>
                <w:rFonts w:ascii="Garamond" w:hAnsi="Garamond"/>
                <w:sz w:val="22"/>
                <w:szCs w:val="22"/>
                <w:highlight w:val="yellow"/>
              </w:rPr>
            </w:pPr>
            <w:r w:rsidRPr="001043A6">
              <w:rPr>
                <w:rFonts w:ascii="Garamond" w:hAnsi="Garamond"/>
                <w:sz w:val="22"/>
                <w:szCs w:val="22"/>
                <w:highlight w:val="yellow"/>
              </w:rPr>
              <w:t>расчеты потерь электроэнергии от точки измерений до точки поставки в случае использования данных от АИИС в качестве замещающей информации либо для расчета величины сальдо перетоков электроэнергии по внутреннему сечению коммерческого учета;</w:t>
            </w:r>
          </w:p>
          <w:p w14:paraId="06809345" w14:textId="77777777" w:rsidR="00964038" w:rsidRPr="001043A6" w:rsidRDefault="00964038" w:rsidP="00101F7C">
            <w:pPr>
              <w:numPr>
                <w:ilvl w:val="0"/>
                <w:numId w:val="101"/>
              </w:numPr>
              <w:tabs>
                <w:tab w:val="left" w:pos="1200"/>
                <w:tab w:val="num" w:pos="1440"/>
              </w:tabs>
              <w:suppressAutoHyphens w:val="0"/>
              <w:spacing w:line="259" w:lineRule="auto"/>
              <w:ind w:left="0" w:firstLine="601"/>
              <w:jc w:val="both"/>
              <w:rPr>
                <w:rFonts w:ascii="Garamond" w:hAnsi="Garamond"/>
                <w:sz w:val="22"/>
                <w:szCs w:val="22"/>
                <w:highlight w:val="yellow"/>
              </w:rPr>
            </w:pPr>
            <w:r w:rsidRPr="001043A6">
              <w:rPr>
                <w:rFonts w:ascii="Garamond" w:hAnsi="Garamond"/>
                <w:sz w:val="22"/>
                <w:szCs w:val="22"/>
                <w:highlight w:val="yellow"/>
              </w:rPr>
              <w:t>автоматический сбор результатов измерений и данных о состоянии средств измерений со всех ИИК, ИВКЭ, опрашиваемых данным ИВК, и состоянии объектов измерений (при наличии автоматического сбора информации о состоянии объектов измерений) после восстановления работы каналов связи, восстановления питания;</w:t>
            </w:r>
          </w:p>
          <w:p w14:paraId="0D9E7FA2" w14:textId="77777777" w:rsidR="00964038" w:rsidRPr="001043A6" w:rsidRDefault="00964038" w:rsidP="00101F7C">
            <w:pPr>
              <w:numPr>
                <w:ilvl w:val="0"/>
                <w:numId w:val="101"/>
              </w:numPr>
              <w:tabs>
                <w:tab w:val="left" w:pos="1200"/>
                <w:tab w:val="num" w:pos="1440"/>
              </w:tabs>
              <w:suppressAutoHyphens w:val="0"/>
              <w:spacing w:line="259" w:lineRule="auto"/>
              <w:ind w:left="0" w:firstLine="601"/>
              <w:jc w:val="both"/>
              <w:rPr>
                <w:rFonts w:ascii="Garamond" w:hAnsi="Garamond"/>
                <w:sz w:val="22"/>
                <w:szCs w:val="22"/>
                <w:highlight w:val="yellow"/>
              </w:rPr>
            </w:pPr>
            <w:r w:rsidRPr="001043A6">
              <w:rPr>
                <w:rFonts w:ascii="Garamond" w:hAnsi="Garamond"/>
                <w:sz w:val="22"/>
                <w:szCs w:val="22"/>
              </w:rPr>
              <w:t xml:space="preserve">формирование и передачу </w:t>
            </w:r>
            <w:r w:rsidRPr="001043A6">
              <w:rPr>
                <w:rFonts w:ascii="Garamond" w:hAnsi="Garamond"/>
                <w:sz w:val="22"/>
                <w:szCs w:val="22"/>
                <w:highlight w:val="yellow"/>
              </w:rPr>
              <w:t>в Х</w:t>
            </w:r>
            <w:r w:rsidRPr="001043A6">
              <w:rPr>
                <w:rFonts w:ascii="Garamond" w:hAnsi="Garamond"/>
                <w:sz w:val="22"/>
                <w:szCs w:val="22"/>
                <w:highlight w:val="yellow"/>
                <w:lang w:val="en-US"/>
              </w:rPr>
              <w:t>ML</w:t>
            </w:r>
            <w:r w:rsidRPr="001043A6">
              <w:rPr>
                <w:rFonts w:ascii="Garamond" w:hAnsi="Garamond"/>
                <w:sz w:val="22"/>
                <w:szCs w:val="22"/>
                <w:highlight w:val="yellow"/>
              </w:rPr>
              <w:t xml:space="preserve">-формате по электронной почте </w:t>
            </w:r>
            <w:r w:rsidRPr="001043A6">
              <w:rPr>
                <w:rFonts w:ascii="Garamond" w:hAnsi="Garamond"/>
                <w:sz w:val="22"/>
                <w:szCs w:val="22"/>
              </w:rPr>
              <w:t>КО</w:t>
            </w:r>
            <w:r w:rsidRPr="001043A6">
              <w:rPr>
                <w:rFonts w:ascii="Garamond" w:hAnsi="Garamond"/>
                <w:sz w:val="22"/>
                <w:szCs w:val="22"/>
                <w:highlight w:val="yellow"/>
              </w:rPr>
              <w:t xml:space="preserve"> и внешним организациям с электронной подписью:</w:t>
            </w:r>
          </w:p>
          <w:p w14:paraId="14931ADC" w14:textId="77777777" w:rsidR="00964038" w:rsidRPr="001043A6" w:rsidRDefault="00964038" w:rsidP="00101F7C">
            <w:pPr>
              <w:numPr>
                <w:ilvl w:val="0"/>
                <w:numId w:val="100"/>
              </w:numPr>
              <w:tabs>
                <w:tab w:val="clear" w:pos="1353"/>
                <w:tab w:val="num" w:pos="960"/>
                <w:tab w:val="num" w:pos="1440"/>
              </w:tabs>
              <w:suppressAutoHyphens w:val="0"/>
              <w:spacing w:line="259" w:lineRule="auto"/>
              <w:ind w:left="0" w:firstLine="601"/>
              <w:jc w:val="both"/>
              <w:rPr>
                <w:rFonts w:ascii="Garamond" w:hAnsi="Garamond"/>
                <w:sz w:val="22"/>
                <w:szCs w:val="22"/>
              </w:rPr>
            </w:pPr>
            <w:r w:rsidRPr="001043A6">
              <w:rPr>
                <w:rFonts w:ascii="Garamond" w:hAnsi="Garamond"/>
                <w:sz w:val="22"/>
                <w:szCs w:val="22"/>
              </w:rPr>
              <w:t>результатов измерений</w:t>
            </w:r>
            <w:r w:rsidRPr="001043A6">
              <w:rPr>
                <w:rFonts w:ascii="Garamond" w:hAnsi="Garamond"/>
                <w:sz w:val="22"/>
                <w:szCs w:val="22"/>
                <w:highlight w:val="yellow"/>
              </w:rPr>
              <w:t>;</w:t>
            </w:r>
          </w:p>
          <w:p w14:paraId="6A7A1574" w14:textId="77777777" w:rsidR="00964038" w:rsidRPr="001043A6" w:rsidRDefault="00964038" w:rsidP="00101F7C">
            <w:pPr>
              <w:numPr>
                <w:ilvl w:val="0"/>
                <w:numId w:val="100"/>
              </w:numPr>
              <w:tabs>
                <w:tab w:val="clear" w:pos="1353"/>
                <w:tab w:val="num" w:pos="960"/>
                <w:tab w:val="num" w:pos="1440"/>
              </w:tabs>
              <w:suppressAutoHyphens w:val="0"/>
              <w:spacing w:line="259" w:lineRule="auto"/>
              <w:ind w:left="0" w:firstLine="601"/>
              <w:jc w:val="both"/>
              <w:rPr>
                <w:rFonts w:ascii="Garamond" w:hAnsi="Garamond"/>
                <w:sz w:val="22"/>
                <w:szCs w:val="22"/>
              </w:rPr>
            </w:pPr>
            <w:r w:rsidRPr="001043A6">
              <w:rPr>
                <w:rFonts w:ascii="Garamond" w:hAnsi="Garamond"/>
                <w:sz w:val="22"/>
                <w:szCs w:val="22"/>
              </w:rPr>
              <w:t>данных о состоянии объектов измерений (при наличии автоматического сбора информации о состоянии объектов измерений);</w:t>
            </w:r>
          </w:p>
          <w:p w14:paraId="6895F16F" w14:textId="77777777" w:rsidR="00964038" w:rsidRPr="001043A6" w:rsidRDefault="00735F02" w:rsidP="00894985">
            <w:pPr>
              <w:tabs>
                <w:tab w:val="left" w:pos="1200"/>
                <w:tab w:val="num" w:pos="1440"/>
              </w:tabs>
              <w:suppressAutoHyphens w:val="0"/>
              <w:spacing w:line="259" w:lineRule="auto"/>
              <w:ind w:firstLine="627"/>
              <w:jc w:val="both"/>
              <w:rPr>
                <w:rFonts w:ascii="Garamond" w:hAnsi="Garamond"/>
                <w:sz w:val="22"/>
                <w:szCs w:val="22"/>
              </w:rPr>
            </w:pPr>
            <w:r w:rsidRPr="001043A6">
              <w:rPr>
                <w:rFonts w:ascii="Garamond" w:hAnsi="Garamond"/>
                <w:sz w:val="22"/>
                <w:szCs w:val="22"/>
                <w:highlight w:val="yellow"/>
              </w:rPr>
              <w:t>5.1.9.</w:t>
            </w:r>
            <w:r w:rsidRPr="001043A6">
              <w:rPr>
                <w:rFonts w:ascii="Garamond" w:hAnsi="Garamond"/>
                <w:sz w:val="22"/>
                <w:szCs w:val="22"/>
              </w:rPr>
              <w:t xml:space="preserve"> </w:t>
            </w:r>
            <w:r w:rsidR="00964038" w:rsidRPr="001043A6">
              <w:rPr>
                <w:rFonts w:ascii="Garamond" w:hAnsi="Garamond"/>
                <w:sz w:val="22"/>
                <w:szCs w:val="22"/>
              </w:rPr>
              <w:t xml:space="preserve">дистанционный доступ КО к компонентам </w:t>
            </w:r>
            <w:r w:rsidR="00964038" w:rsidRPr="001043A6">
              <w:rPr>
                <w:rFonts w:ascii="Garamond" w:hAnsi="Garamond"/>
                <w:sz w:val="22"/>
                <w:szCs w:val="22"/>
                <w:highlight w:val="yellow"/>
              </w:rPr>
              <w:t>АИИС</w:t>
            </w:r>
            <w:r w:rsidR="00964038" w:rsidRPr="001043A6">
              <w:rPr>
                <w:rFonts w:ascii="Garamond" w:hAnsi="Garamond"/>
                <w:sz w:val="22"/>
                <w:szCs w:val="22"/>
              </w:rPr>
              <w:t>;</w:t>
            </w:r>
          </w:p>
          <w:p w14:paraId="5B5C178C" w14:textId="77777777" w:rsidR="00964038" w:rsidRPr="001043A6" w:rsidRDefault="004A2A35" w:rsidP="004A2A35">
            <w:pPr>
              <w:tabs>
                <w:tab w:val="left" w:pos="1200"/>
                <w:tab w:val="num" w:pos="1440"/>
              </w:tabs>
              <w:suppressAutoHyphens w:val="0"/>
              <w:spacing w:line="259" w:lineRule="auto"/>
              <w:ind w:firstLine="627"/>
              <w:jc w:val="both"/>
              <w:rPr>
                <w:rFonts w:ascii="Garamond" w:hAnsi="Garamond"/>
                <w:sz w:val="22"/>
                <w:szCs w:val="22"/>
              </w:rPr>
            </w:pPr>
            <w:r w:rsidRPr="001043A6">
              <w:rPr>
                <w:rFonts w:ascii="Garamond" w:hAnsi="Garamond"/>
                <w:sz w:val="22"/>
                <w:szCs w:val="22"/>
                <w:highlight w:val="yellow"/>
              </w:rPr>
              <w:t>5.1.</w:t>
            </w:r>
            <w:r w:rsidR="00735F02" w:rsidRPr="001043A6">
              <w:rPr>
                <w:rFonts w:ascii="Garamond" w:hAnsi="Garamond"/>
                <w:sz w:val="22"/>
                <w:szCs w:val="22"/>
                <w:highlight w:val="yellow"/>
              </w:rPr>
              <w:t>10</w:t>
            </w:r>
            <w:r w:rsidRPr="001043A6">
              <w:rPr>
                <w:rFonts w:ascii="Garamond" w:hAnsi="Garamond"/>
                <w:sz w:val="22"/>
                <w:szCs w:val="22"/>
                <w:highlight w:val="yellow"/>
              </w:rPr>
              <w:t>.</w:t>
            </w:r>
            <w:r w:rsidRPr="001043A6">
              <w:rPr>
                <w:rFonts w:ascii="Garamond" w:hAnsi="Garamond"/>
                <w:sz w:val="22"/>
                <w:szCs w:val="22"/>
              </w:rPr>
              <w:t xml:space="preserve"> </w:t>
            </w:r>
            <w:r w:rsidR="00964038" w:rsidRPr="001043A6">
              <w:rPr>
                <w:rFonts w:ascii="Garamond" w:hAnsi="Garamond"/>
                <w:sz w:val="22"/>
                <w:szCs w:val="22"/>
              </w:rPr>
              <w:t>ведение «Журнала событий» ИВК, в котором фиксируется:</w:t>
            </w:r>
          </w:p>
          <w:p w14:paraId="77004919" w14:textId="77777777" w:rsidR="00964038" w:rsidRPr="001043A6" w:rsidRDefault="00964038" w:rsidP="00101F7C">
            <w:pPr>
              <w:numPr>
                <w:ilvl w:val="0"/>
                <w:numId w:val="100"/>
              </w:numPr>
              <w:tabs>
                <w:tab w:val="clear" w:pos="1353"/>
                <w:tab w:val="num" w:pos="960"/>
                <w:tab w:val="num" w:pos="1440"/>
              </w:tabs>
              <w:suppressAutoHyphens w:val="0"/>
              <w:spacing w:line="259" w:lineRule="auto"/>
              <w:ind w:left="0" w:firstLine="601"/>
              <w:jc w:val="both"/>
              <w:rPr>
                <w:rFonts w:ascii="Garamond" w:hAnsi="Garamond"/>
                <w:sz w:val="22"/>
                <w:szCs w:val="22"/>
              </w:rPr>
            </w:pPr>
            <w:r w:rsidRPr="001043A6">
              <w:rPr>
                <w:rFonts w:ascii="Garamond" w:hAnsi="Garamond"/>
                <w:sz w:val="22"/>
                <w:szCs w:val="22"/>
              </w:rPr>
              <w:t>изменение значений результатов измерений;</w:t>
            </w:r>
          </w:p>
          <w:p w14:paraId="61012BDB" w14:textId="77777777" w:rsidR="00964038" w:rsidRPr="001043A6" w:rsidRDefault="00964038" w:rsidP="00101F7C">
            <w:pPr>
              <w:numPr>
                <w:ilvl w:val="0"/>
                <w:numId w:val="100"/>
              </w:numPr>
              <w:tabs>
                <w:tab w:val="clear" w:pos="1353"/>
                <w:tab w:val="num" w:pos="960"/>
                <w:tab w:val="num" w:pos="1440"/>
              </w:tabs>
              <w:suppressAutoHyphens w:val="0"/>
              <w:spacing w:line="259" w:lineRule="auto"/>
              <w:ind w:left="0" w:firstLine="601"/>
              <w:jc w:val="both"/>
              <w:rPr>
                <w:rFonts w:ascii="Garamond" w:hAnsi="Garamond"/>
                <w:sz w:val="22"/>
                <w:szCs w:val="22"/>
              </w:rPr>
            </w:pPr>
            <w:r w:rsidRPr="001043A6">
              <w:rPr>
                <w:rFonts w:ascii="Garamond" w:hAnsi="Garamond"/>
                <w:sz w:val="22"/>
                <w:szCs w:val="22"/>
              </w:rPr>
              <w:lastRenderedPageBreak/>
              <w:t xml:space="preserve">изменение коэффициентов измерительных трансформаторов тока и напряжения; </w:t>
            </w:r>
          </w:p>
          <w:p w14:paraId="04FC606E" w14:textId="77777777" w:rsidR="00964038" w:rsidRPr="001043A6" w:rsidRDefault="00964038" w:rsidP="00101F7C">
            <w:pPr>
              <w:numPr>
                <w:ilvl w:val="0"/>
                <w:numId w:val="100"/>
              </w:numPr>
              <w:tabs>
                <w:tab w:val="clear" w:pos="1353"/>
                <w:tab w:val="num" w:pos="960"/>
                <w:tab w:val="num" w:pos="1440"/>
              </w:tabs>
              <w:suppressAutoHyphens w:val="0"/>
              <w:spacing w:line="259" w:lineRule="auto"/>
              <w:ind w:left="0" w:firstLine="601"/>
              <w:jc w:val="both"/>
              <w:rPr>
                <w:rFonts w:ascii="Garamond" w:hAnsi="Garamond"/>
                <w:sz w:val="22"/>
                <w:szCs w:val="22"/>
              </w:rPr>
            </w:pPr>
            <w:r w:rsidRPr="001043A6">
              <w:rPr>
                <w:rFonts w:ascii="Garamond" w:hAnsi="Garamond"/>
                <w:sz w:val="22"/>
                <w:szCs w:val="22"/>
              </w:rPr>
              <w:t>факт и величина синхронизации (коррекции) времени;</w:t>
            </w:r>
          </w:p>
          <w:p w14:paraId="610C16B4" w14:textId="77777777" w:rsidR="00964038" w:rsidRPr="001043A6" w:rsidRDefault="00964038" w:rsidP="00101F7C">
            <w:pPr>
              <w:numPr>
                <w:ilvl w:val="0"/>
                <w:numId w:val="100"/>
              </w:numPr>
              <w:tabs>
                <w:tab w:val="clear" w:pos="1353"/>
                <w:tab w:val="num" w:pos="960"/>
                <w:tab w:val="num" w:pos="1440"/>
              </w:tabs>
              <w:suppressAutoHyphens w:val="0"/>
              <w:spacing w:line="259" w:lineRule="auto"/>
              <w:ind w:left="0" w:firstLine="601"/>
              <w:jc w:val="both"/>
              <w:rPr>
                <w:rFonts w:ascii="Garamond" w:hAnsi="Garamond"/>
                <w:sz w:val="22"/>
                <w:szCs w:val="22"/>
              </w:rPr>
            </w:pPr>
            <w:r w:rsidRPr="001043A6">
              <w:rPr>
                <w:rFonts w:ascii="Garamond" w:hAnsi="Garamond"/>
                <w:sz w:val="22"/>
                <w:szCs w:val="22"/>
                <w:highlight w:val="yellow"/>
              </w:rPr>
              <w:t>пропадание</w:t>
            </w:r>
            <w:r w:rsidRPr="001043A6">
              <w:rPr>
                <w:rFonts w:ascii="Garamond" w:hAnsi="Garamond"/>
                <w:sz w:val="22"/>
                <w:szCs w:val="22"/>
              </w:rPr>
              <w:t xml:space="preserve"> питания; </w:t>
            </w:r>
          </w:p>
          <w:p w14:paraId="27CFE0D1" w14:textId="77777777" w:rsidR="00964038" w:rsidRPr="001043A6" w:rsidRDefault="00964038" w:rsidP="00101F7C">
            <w:pPr>
              <w:numPr>
                <w:ilvl w:val="0"/>
                <w:numId w:val="100"/>
              </w:numPr>
              <w:tabs>
                <w:tab w:val="clear" w:pos="1353"/>
                <w:tab w:val="num" w:pos="960"/>
                <w:tab w:val="num" w:pos="1440"/>
              </w:tabs>
              <w:suppressAutoHyphens w:val="0"/>
              <w:spacing w:line="259" w:lineRule="auto"/>
              <w:ind w:left="0" w:firstLine="601"/>
              <w:jc w:val="both"/>
              <w:rPr>
                <w:rFonts w:ascii="Garamond" w:hAnsi="Garamond"/>
                <w:sz w:val="22"/>
                <w:szCs w:val="22"/>
              </w:rPr>
            </w:pPr>
            <w:r w:rsidRPr="001043A6">
              <w:rPr>
                <w:rFonts w:ascii="Garamond" w:hAnsi="Garamond"/>
                <w:sz w:val="22"/>
                <w:szCs w:val="22"/>
              </w:rPr>
              <w:t xml:space="preserve">замена </w:t>
            </w:r>
            <w:r w:rsidRPr="001043A6">
              <w:rPr>
                <w:rFonts w:ascii="Garamond" w:hAnsi="Garamond"/>
                <w:sz w:val="22"/>
                <w:szCs w:val="22"/>
                <w:highlight w:val="yellow"/>
              </w:rPr>
              <w:t>счетчика</w:t>
            </w:r>
            <w:r w:rsidRPr="001043A6">
              <w:rPr>
                <w:rFonts w:ascii="Garamond" w:hAnsi="Garamond"/>
                <w:sz w:val="22"/>
                <w:szCs w:val="22"/>
              </w:rPr>
              <w:t xml:space="preserve">; </w:t>
            </w:r>
          </w:p>
          <w:p w14:paraId="6CF07B34" w14:textId="77777777" w:rsidR="00964038" w:rsidRPr="001043A6" w:rsidRDefault="00964038" w:rsidP="00101F7C">
            <w:pPr>
              <w:numPr>
                <w:ilvl w:val="0"/>
                <w:numId w:val="100"/>
              </w:numPr>
              <w:tabs>
                <w:tab w:val="clear" w:pos="1353"/>
                <w:tab w:val="num" w:pos="960"/>
                <w:tab w:val="num" w:pos="1440"/>
              </w:tabs>
              <w:suppressAutoHyphens w:val="0"/>
              <w:spacing w:line="259" w:lineRule="auto"/>
              <w:ind w:left="0" w:firstLine="601"/>
              <w:jc w:val="both"/>
              <w:rPr>
                <w:rFonts w:ascii="Garamond" w:hAnsi="Garamond"/>
                <w:sz w:val="22"/>
                <w:szCs w:val="22"/>
              </w:rPr>
            </w:pPr>
            <w:r w:rsidRPr="001043A6">
              <w:rPr>
                <w:rFonts w:ascii="Garamond" w:hAnsi="Garamond"/>
                <w:sz w:val="22"/>
                <w:szCs w:val="22"/>
              </w:rPr>
              <w:t>полученные с уровней ИВКЭ «Журналы событий» ИВКЭ и ИИК.</w:t>
            </w:r>
          </w:p>
          <w:p w14:paraId="60B36C74" w14:textId="77777777" w:rsidR="00964038" w:rsidRPr="001043A6" w:rsidRDefault="004A2A35" w:rsidP="004A2A35">
            <w:pPr>
              <w:tabs>
                <w:tab w:val="left" w:pos="1200"/>
                <w:tab w:val="num" w:pos="1336"/>
              </w:tabs>
              <w:suppressAutoHyphens w:val="0"/>
              <w:spacing w:line="259" w:lineRule="auto"/>
              <w:ind w:firstLine="627"/>
              <w:jc w:val="both"/>
              <w:rPr>
                <w:rFonts w:ascii="Garamond" w:hAnsi="Garamond"/>
                <w:sz w:val="22"/>
                <w:szCs w:val="22"/>
              </w:rPr>
            </w:pPr>
            <w:r w:rsidRPr="001043A6">
              <w:rPr>
                <w:rFonts w:ascii="Garamond" w:hAnsi="Garamond"/>
                <w:sz w:val="22"/>
                <w:szCs w:val="22"/>
                <w:highlight w:val="yellow"/>
              </w:rPr>
              <w:t>5.1.</w:t>
            </w:r>
            <w:r w:rsidR="00735F02" w:rsidRPr="001043A6">
              <w:rPr>
                <w:rFonts w:ascii="Garamond" w:hAnsi="Garamond"/>
                <w:sz w:val="22"/>
                <w:szCs w:val="22"/>
                <w:highlight w:val="yellow"/>
              </w:rPr>
              <w:t>11</w:t>
            </w:r>
            <w:r w:rsidRPr="001043A6">
              <w:rPr>
                <w:rFonts w:ascii="Garamond" w:hAnsi="Garamond"/>
                <w:sz w:val="22"/>
                <w:szCs w:val="22"/>
                <w:highlight w:val="yellow"/>
              </w:rPr>
              <w:t xml:space="preserve">. </w:t>
            </w:r>
            <w:r w:rsidR="00964038" w:rsidRPr="001043A6">
              <w:rPr>
                <w:rFonts w:ascii="Garamond" w:hAnsi="Garamond"/>
                <w:sz w:val="22"/>
                <w:szCs w:val="22"/>
                <w:highlight w:val="yellow"/>
              </w:rPr>
              <w:t>аппаратную и программную</w:t>
            </w:r>
            <w:r w:rsidR="00964038" w:rsidRPr="001043A6">
              <w:rPr>
                <w:rFonts w:ascii="Garamond" w:hAnsi="Garamond"/>
                <w:sz w:val="22"/>
                <w:szCs w:val="22"/>
              </w:rPr>
              <w:t xml:space="preserve"> защиту от несанкционированного изменения параметров и любого изменения данных;</w:t>
            </w:r>
          </w:p>
          <w:p w14:paraId="5E549400" w14:textId="77777777" w:rsidR="00964038" w:rsidRPr="001043A6" w:rsidRDefault="004A2A35" w:rsidP="00735F02">
            <w:pPr>
              <w:tabs>
                <w:tab w:val="left" w:pos="1200"/>
                <w:tab w:val="num" w:pos="1440"/>
              </w:tabs>
              <w:suppressAutoHyphens w:val="0"/>
              <w:spacing w:line="259" w:lineRule="auto"/>
              <w:ind w:firstLine="627"/>
              <w:jc w:val="both"/>
              <w:rPr>
                <w:rFonts w:ascii="Garamond" w:hAnsi="Garamond"/>
                <w:sz w:val="22"/>
                <w:szCs w:val="22"/>
              </w:rPr>
            </w:pPr>
            <w:r w:rsidRPr="001043A6">
              <w:rPr>
                <w:rFonts w:ascii="Garamond" w:hAnsi="Garamond"/>
                <w:sz w:val="22"/>
                <w:szCs w:val="22"/>
                <w:highlight w:val="yellow"/>
              </w:rPr>
              <w:t>5.1.</w:t>
            </w:r>
            <w:r w:rsidR="00735F02" w:rsidRPr="001043A6">
              <w:rPr>
                <w:rFonts w:ascii="Garamond" w:hAnsi="Garamond"/>
                <w:sz w:val="22"/>
                <w:szCs w:val="22"/>
                <w:highlight w:val="yellow"/>
              </w:rPr>
              <w:t>12</w:t>
            </w:r>
            <w:r w:rsidRPr="001043A6">
              <w:rPr>
                <w:rFonts w:ascii="Garamond" w:hAnsi="Garamond"/>
                <w:sz w:val="22"/>
                <w:szCs w:val="22"/>
                <w:highlight w:val="yellow"/>
              </w:rPr>
              <w:t>.</w:t>
            </w:r>
            <w:r w:rsidRPr="001043A6">
              <w:rPr>
                <w:rFonts w:ascii="Garamond" w:hAnsi="Garamond"/>
                <w:sz w:val="22"/>
                <w:szCs w:val="22"/>
              </w:rPr>
              <w:t xml:space="preserve"> </w:t>
            </w:r>
            <w:r w:rsidR="00964038" w:rsidRPr="001043A6">
              <w:rPr>
                <w:rFonts w:ascii="Garamond" w:hAnsi="Garamond"/>
                <w:sz w:val="22"/>
                <w:szCs w:val="22"/>
              </w:rPr>
              <w:t xml:space="preserve">конфигурирование и параметрирование технических </w:t>
            </w:r>
            <w:r w:rsidR="00964038" w:rsidRPr="001043A6">
              <w:rPr>
                <w:rFonts w:ascii="Garamond" w:hAnsi="Garamond"/>
                <w:sz w:val="22"/>
                <w:szCs w:val="22"/>
                <w:highlight w:val="yellow"/>
              </w:rPr>
              <w:t>средств</w:t>
            </w:r>
            <w:r w:rsidR="00964038" w:rsidRPr="001043A6">
              <w:rPr>
                <w:rFonts w:ascii="Garamond" w:hAnsi="Garamond"/>
                <w:sz w:val="22"/>
                <w:szCs w:val="22"/>
              </w:rPr>
              <w:t xml:space="preserve"> и программного обеспечения ИВК.</w:t>
            </w:r>
          </w:p>
        </w:tc>
        <w:tc>
          <w:tcPr>
            <w:tcW w:w="7115" w:type="dxa"/>
          </w:tcPr>
          <w:p w14:paraId="6DBEB97C" w14:textId="77777777" w:rsidR="00964038" w:rsidRPr="001043A6" w:rsidRDefault="00964038" w:rsidP="005616F2">
            <w:pPr>
              <w:tabs>
                <w:tab w:val="left" w:pos="1200"/>
                <w:tab w:val="num" w:pos="1440"/>
              </w:tabs>
              <w:suppressAutoHyphens w:val="0"/>
              <w:spacing w:line="259" w:lineRule="auto"/>
              <w:ind w:firstLine="459"/>
              <w:jc w:val="both"/>
              <w:rPr>
                <w:rFonts w:ascii="Garamond" w:hAnsi="Garamond"/>
                <w:sz w:val="22"/>
                <w:szCs w:val="22"/>
              </w:rPr>
            </w:pPr>
            <w:r w:rsidRPr="001043A6">
              <w:rPr>
                <w:rFonts w:ascii="Garamond" w:hAnsi="Garamond"/>
                <w:sz w:val="22"/>
                <w:szCs w:val="22"/>
              </w:rPr>
              <w:lastRenderedPageBreak/>
              <w:t xml:space="preserve">Общие требования к ИВК </w:t>
            </w:r>
          </w:p>
          <w:p w14:paraId="48DEC30E" w14:textId="77777777" w:rsidR="00964038" w:rsidRPr="001043A6" w:rsidRDefault="00964038" w:rsidP="005616F2">
            <w:pPr>
              <w:tabs>
                <w:tab w:val="left" w:pos="1200"/>
                <w:tab w:val="num" w:pos="1440"/>
              </w:tabs>
              <w:spacing w:line="259" w:lineRule="auto"/>
              <w:ind w:firstLine="459"/>
              <w:jc w:val="both"/>
              <w:rPr>
                <w:rFonts w:ascii="Garamond" w:hAnsi="Garamond"/>
                <w:sz w:val="22"/>
                <w:szCs w:val="22"/>
              </w:rPr>
            </w:pPr>
            <w:r w:rsidRPr="001043A6">
              <w:rPr>
                <w:rFonts w:ascii="Garamond" w:hAnsi="Garamond"/>
                <w:iCs/>
                <w:sz w:val="22"/>
                <w:szCs w:val="22"/>
              </w:rPr>
              <w:t>ИВК обеспечивает:</w:t>
            </w:r>
          </w:p>
          <w:p w14:paraId="24EDD76A" w14:textId="77777777" w:rsidR="00964038" w:rsidRPr="001043A6" w:rsidRDefault="00F61A6A" w:rsidP="00877E1C">
            <w:pPr>
              <w:tabs>
                <w:tab w:val="left" w:pos="1200"/>
              </w:tabs>
              <w:spacing w:line="259" w:lineRule="auto"/>
              <w:ind w:firstLine="462"/>
              <w:jc w:val="both"/>
              <w:rPr>
                <w:rFonts w:ascii="Garamond" w:hAnsi="Garamond"/>
                <w:sz w:val="22"/>
                <w:szCs w:val="22"/>
                <w:highlight w:val="yellow"/>
              </w:rPr>
            </w:pPr>
            <w:r w:rsidRPr="001043A6">
              <w:rPr>
                <w:rFonts w:ascii="Garamond" w:hAnsi="Garamond"/>
                <w:sz w:val="22"/>
                <w:szCs w:val="22"/>
              </w:rPr>
              <w:t xml:space="preserve">5.1.1. </w:t>
            </w:r>
            <w:r w:rsidR="00964038" w:rsidRPr="001043A6">
              <w:rPr>
                <w:rFonts w:ascii="Garamond" w:hAnsi="Garamond"/>
                <w:sz w:val="22"/>
                <w:szCs w:val="22"/>
              </w:rPr>
              <w:t>периодический (</w:t>
            </w:r>
            <w:r w:rsidR="00501F97" w:rsidRPr="001043A6">
              <w:rPr>
                <w:rFonts w:ascii="Garamond" w:hAnsi="Garamond"/>
                <w:sz w:val="22"/>
                <w:szCs w:val="22"/>
                <w:highlight w:val="yellow"/>
              </w:rPr>
              <w:t>не реже</w:t>
            </w:r>
            <w:r w:rsidR="00501F97" w:rsidRPr="001043A6">
              <w:rPr>
                <w:rFonts w:ascii="Garamond" w:hAnsi="Garamond"/>
                <w:sz w:val="22"/>
                <w:szCs w:val="22"/>
              </w:rPr>
              <w:t xml:space="preserve"> </w:t>
            </w:r>
            <w:r w:rsidR="00964038" w:rsidRPr="001043A6">
              <w:rPr>
                <w:rFonts w:ascii="Garamond" w:hAnsi="Garamond"/>
                <w:sz w:val="22"/>
                <w:szCs w:val="22"/>
              </w:rPr>
              <w:t>1</w:t>
            </w:r>
            <w:r w:rsidR="00501F97" w:rsidRPr="001043A6">
              <w:rPr>
                <w:rFonts w:ascii="Garamond" w:hAnsi="Garamond"/>
                <w:sz w:val="22"/>
                <w:szCs w:val="22"/>
                <w:highlight w:val="yellow"/>
              </w:rPr>
              <w:t>-го</w:t>
            </w:r>
            <w:r w:rsidR="00964038" w:rsidRPr="001043A6">
              <w:rPr>
                <w:rFonts w:ascii="Garamond" w:hAnsi="Garamond"/>
                <w:sz w:val="22"/>
                <w:szCs w:val="22"/>
              </w:rPr>
              <w:t xml:space="preserve"> раз</w:t>
            </w:r>
            <w:r w:rsidR="00501F97" w:rsidRPr="001043A6">
              <w:rPr>
                <w:rFonts w:ascii="Garamond" w:hAnsi="Garamond"/>
                <w:sz w:val="22"/>
                <w:szCs w:val="22"/>
                <w:highlight w:val="yellow"/>
              </w:rPr>
              <w:t>а</w:t>
            </w:r>
            <w:r w:rsidR="00964038" w:rsidRPr="001043A6">
              <w:rPr>
                <w:rFonts w:ascii="Garamond" w:hAnsi="Garamond"/>
                <w:sz w:val="22"/>
                <w:szCs w:val="22"/>
              </w:rPr>
              <w:t xml:space="preserve"> в сутки) и (или) по запросу автоматический сбор результатов измерений </w:t>
            </w:r>
            <w:r w:rsidR="000D73B3" w:rsidRPr="001043A6">
              <w:rPr>
                <w:rFonts w:ascii="Garamond" w:hAnsi="Garamond"/>
                <w:sz w:val="22"/>
                <w:szCs w:val="22"/>
                <w:highlight w:val="yellow"/>
              </w:rPr>
              <w:t>электро</w:t>
            </w:r>
            <w:r w:rsidR="00964038" w:rsidRPr="001043A6">
              <w:rPr>
                <w:rFonts w:ascii="Garamond" w:hAnsi="Garamond"/>
                <w:sz w:val="22"/>
                <w:szCs w:val="22"/>
                <w:highlight w:val="yellow"/>
              </w:rPr>
              <w:t>энергии</w:t>
            </w:r>
            <w:r w:rsidR="00F27676" w:rsidRPr="001043A6">
              <w:rPr>
                <w:rFonts w:ascii="Garamond" w:hAnsi="Garamond"/>
                <w:sz w:val="22"/>
                <w:szCs w:val="22"/>
                <w:highlight w:val="yellow"/>
              </w:rPr>
              <w:t xml:space="preserve"> </w:t>
            </w:r>
            <w:r w:rsidR="003173B7" w:rsidRPr="001043A6">
              <w:rPr>
                <w:rFonts w:ascii="Garamond" w:hAnsi="Garamond"/>
                <w:sz w:val="22"/>
                <w:szCs w:val="22"/>
                <w:highlight w:val="yellow"/>
              </w:rPr>
              <w:t xml:space="preserve">в получасовых интервалах измерений </w:t>
            </w:r>
            <w:r w:rsidR="00F27676" w:rsidRPr="001043A6">
              <w:rPr>
                <w:rFonts w:ascii="Garamond" w:hAnsi="Garamond"/>
                <w:sz w:val="22"/>
                <w:szCs w:val="22"/>
                <w:highlight w:val="yellow"/>
              </w:rPr>
              <w:t xml:space="preserve">с уровня ИИК и (или) ИВКЭ </w:t>
            </w:r>
            <w:r w:rsidR="009A5505" w:rsidRPr="001043A6">
              <w:rPr>
                <w:rFonts w:ascii="Garamond" w:hAnsi="Garamond"/>
                <w:sz w:val="22"/>
                <w:szCs w:val="22"/>
                <w:highlight w:val="yellow"/>
              </w:rPr>
              <w:t>по соответствующим измерительным каналам (активная/реактивная электроэнергия) и направлениям (прием/отдача) (для ИСУ – в обязательном порядке как принятой, так и отпущенной активной и реактивной электроэнергии)</w:t>
            </w:r>
            <w:r w:rsidR="005616F2" w:rsidRPr="001043A6">
              <w:rPr>
                <w:rFonts w:ascii="Garamond" w:hAnsi="Garamond"/>
                <w:sz w:val="22"/>
                <w:szCs w:val="22"/>
                <w:highlight w:val="yellow"/>
              </w:rPr>
              <w:t xml:space="preserve">, в том числе после восстановления работы каналов связи, восстановления питания </w:t>
            </w:r>
            <w:r w:rsidR="005616F2" w:rsidRPr="001043A6">
              <w:rPr>
                <w:rFonts w:ascii="Garamond" w:hAnsi="Garamond"/>
                <w:iCs/>
                <w:sz w:val="22"/>
                <w:szCs w:val="22"/>
                <w:highlight w:val="yellow"/>
              </w:rPr>
              <w:t>ИВК</w:t>
            </w:r>
            <w:r w:rsidR="00913155" w:rsidRPr="001043A6">
              <w:rPr>
                <w:rFonts w:ascii="Garamond" w:hAnsi="Garamond"/>
                <w:sz w:val="22"/>
                <w:szCs w:val="22"/>
              </w:rPr>
              <w:t>;</w:t>
            </w:r>
          </w:p>
          <w:p w14:paraId="536DC37D" w14:textId="77777777" w:rsidR="00964038" w:rsidRPr="001043A6" w:rsidRDefault="00F61A6A" w:rsidP="00877E1C">
            <w:pPr>
              <w:tabs>
                <w:tab w:val="left" w:pos="1200"/>
              </w:tabs>
              <w:spacing w:line="259" w:lineRule="auto"/>
              <w:ind w:firstLine="462"/>
              <w:jc w:val="both"/>
              <w:rPr>
                <w:rFonts w:ascii="Garamond" w:hAnsi="Garamond"/>
                <w:sz w:val="22"/>
                <w:szCs w:val="22"/>
              </w:rPr>
            </w:pPr>
            <w:r w:rsidRPr="001043A6">
              <w:rPr>
                <w:rFonts w:ascii="Garamond" w:hAnsi="Garamond"/>
                <w:sz w:val="22"/>
                <w:szCs w:val="22"/>
              </w:rPr>
              <w:t xml:space="preserve">5.1.2. </w:t>
            </w:r>
            <w:r w:rsidR="00F27676" w:rsidRPr="001043A6">
              <w:rPr>
                <w:rFonts w:ascii="Garamond" w:hAnsi="Garamond"/>
                <w:sz w:val="22"/>
                <w:szCs w:val="22"/>
                <w:highlight w:val="yellow"/>
              </w:rPr>
              <w:t>периодический (</w:t>
            </w:r>
            <w:r w:rsidR="00501F97" w:rsidRPr="001043A6">
              <w:rPr>
                <w:rFonts w:ascii="Garamond" w:hAnsi="Garamond"/>
                <w:sz w:val="22"/>
                <w:szCs w:val="22"/>
                <w:highlight w:val="yellow"/>
              </w:rPr>
              <w:t xml:space="preserve">не реже </w:t>
            </w:r>
            <w:r w:rsidR="00F27676" w:rsidRPr="001043A6">
              <w:rPr>
                <w:rFonts w:ascii="Garamond" w:hAnsi="Garamond"/>
                <w:sz w:val="22"/>
                <w:szCs w:val="22"/>
                <w:highlight w:val="yellow"/>
              </w:rPr>
              <w:t>1</w:t>
            </w:r>
            <w:r w:rsidR="00501F97" w:rsidRPr="001043A6">
              <w:rPr>
                <w:rFonts w:ascii="Garamond" w:hAnsi="Garamond"/>
                <w:sz w:val="22"/>
                <w:szCs w:val="22"/>
                <w:highlight w:val="yellow"/>
              </w:rPr>
              <w:t>-го</w:t>
            </w:r>
            <w:r w:rsidR="00F27676" w:rsidRPr="001043A6">
              <w:rPr>
                <w:rFonts w:ascii="Garamond" w:hAnsi="Garamond"/>
                <w:sz w:val="22"/>
                <w:szCs w:val="22"/>
                <w:highlight w:val="yellow"/>
              </w:rPr>
              <w:t xml:space="preserve"> раз</w:t>
            </w:r>
            <w:r w:rsidR="00501F97" w:rsidRPr="001043A6">
              <w:rPr>
                <w:rFonts w:ascii="Garamond" w:hAnsi="Garamond"/>
                <w:sz w:val="22"/>
                <w:szCs w:val="22"/>
                <w:highlight w:val="yellow"/>
              </w:rPr>
              <w:t>а</w:t>
            </w:r>
            <w:r w:rsidR="00F27676" w:rsidRPr="001043A6">
              <w:rPr>
                <w:rFonts w:ascii="Garamond" w:hAnsi="Garamond"/>
                <w:sz w:val="22"/>
                <w:szCs w:val="22"/>
                <w:highlight w:val="yellow"/>
              </w:rPr>
              <w:t xml:space="preserve"> в сутки) и (или) по запросу</w:t>
            </w:r>
            <w:r w:rsidR="00F27676" w:rsidRPr="001043A6">
              <w:rPr>
                <w:rFonts w:ascii="Garamond" w:hAnsi="Garamond"/>
                <w:sz w:val="22"/>
                <w:szCs w:val="22"/>
              </w:rPr>
              <w:t xml:space="preserve"> </w:t>
            </w:r>
            <w:r w:rsidR="00964038" w:rsidRPr="001043A6">
              <w:rPr>
                <w:rFonts w:ascii="Garamond" w:hAnsi="Garamond"/>
                <w:sz w:val="22"/>
                <w:szCs w:val="22"/>
              </w:rPr>
              <w:t>автоматический сбор данных о состоянии средств измерений со всех ИИК, ИВКЭ, опрашиваемых непосредственно данным ИВК, и состоянии объектов измерений (</w:t>
            </w:r>
            <w:r w:rsidR="00045DA0" w:rsidRPr="001043A6">
              <w:rPr>
                <w:rFonts w:ascii="Garamond" w:hAnsi="Garamond"/>
                <w:sz w:val="22"/>
                <w:szCs w:val="22"/>
                <w:highlight w:val="yellow"/>
                <w:lang w:eastAsia="en-US"/>
              </w:rPr>
              <w:t>в случае использования для расчета значений учетных показателей данных о вариантах схем электроснабжения и (или) о положении коммутационной аппаратуры</w:t>
            </w:r>
            <w:r w:rsidR="00834B87" w:rsidRPr="001043A6">
              <w:rPr>
                <w:rFonts w:ascii="Garamond" w:hAnsi="Garamond"/>
                <w:sz w:val="22"/>
                <w:szCs w:val="22"/>
                <w:highlight w:val="yellow"/>
                <w:lang w:eastAsia="en-US"/>
              </w:rPr>
              <w:t>, для ИСУ –</w:t>
            </w:r>
            <w:r w:rsidR="00834B87" w:rsidRPr="001043A6">
              <w:rPr>
                <w:rFonts w:ascii="Garamond" w:hAnsi="Garamond"/>
                <w:sz w:val="22"/>
                <w:szCs w:val="22"/>
                <w:lang w:eastAsia="en-US"/>
              </w:rPr>
              <w:t xml:space="preserve"> </w:t>
            </w:r>
            <w:r w:rsidR="00964038" w:rsidRPr="001043A6">
              <w:rPr>
                <w:rFonts w:ascii="Garamond" w:hAnsi="Garamond"/>
                <w:sz w:val="22"/>
                <w:szCs w:val="22"/>
              </w:rPr>
              <w:t>при наличии автоматического сбора информации о состоянии объектов измерений);</w:t>
            </w:r>
          </w:p>
          <w:p w14:paraId="34F18547" w14:textId="77777777" w:rsidR="00964038" w:rsidRPr="001043A6" w:rsidRDefault="00F61A6A" w:rsidP="00877E1C">
            <w:pPr>
              <w:tabs>
                <w:tab w:val="left" w:pos="1200"/>
              </w:tabs>
              <w:spacing w:line="259" w:lineRule="auto"/>
              <w:ind w:firstLine="462"/>
              <w:jc w:val="both"/>
              <w:rPr>
                <w:rFonts w:ascii="Garamond" w:hAnsi="Garamond"/>
                <w:sz w:val="22"/>
                <w:szCs w:val="22"/>
              </w:rPr>
            </w:pPr>
            <w:r w:rsidRPr="001043A6">
              <w:rPr>
                <w:rFonts w:ascii="Garamond" w:hAnsi="Garamond"/>
                <w:sz w:val="22"/>
                <w:szCs w:val="22"/>
              </w:rPr>
              <w:t xml:space="preserve">5.1.3. </w:t>
            </w:r>
            <w:r w:rsidR="00964038" w:rsidRPr="001043A6">
              <w:rPr>
                <w:rFonts w:ascii="Garamond" w:hAnsi="Garamond"/>
                <w:sz w:val="22"/>
                <w:szCs w:val="22"/>
              </w:rPr>
              <w:t>хранение не менее 3 лет результатов измерений</w:t>
            </w:r>
            <w:r w:rsidR="00A256C6" w:rsidRPr="001043A6">
              <w:rPr>
                <w:rFonts w:ascii="Garamond" w:hAnsi="Garamond"/>
                <w:sz w:val="22"/>
                <w:szCs w:val="22"/>
              </w:rPr>
              <w:t xml:space="preserve"> </w:t>
            </w:r>
            <w:r w:rsidR="00A256C6" w:rsidRPr="001043A6">
              <w:rPr>
                <w:rFonts w:ascii="Garamond" w:hAnsi="Garamond"/>
                <w:sz w:val="22"/>
                <w:szCs w:val="22"/>
                <w:highlight w:val="yellow"/>
              </w:rPr>
              <w:t xml:space="preserve">активной и реактивной электроэнергии </w:t>
            </w:r>
            <w:r w:rsidR="00F27676" w:rsidRPr="001043A6">
              <w:rPr>
                <w:rFonts w:ascii="Garamond" w:hAnsi="Garamond"/>
                <w:sz w:val="22"/>
                <w:szCs w:val="22"/>
                <w:highlight w:val="yellow"/>
              </w:rPr>
              <w:t xml:space="preserve">в тридцатиминутных интервалах измерений и </w:t>
            </w:r>
            <w:r w:rsidR="00F27676" w:rsidRPr="001043A6">
              <w:rPr>
                <w:rFonts w:ascii="Garamond" w:hAnsi="Garamond"/>
                <w:sz w:val="22"/>
                <w:szCs w:val="22"/>
                <w:highlight w:val="yellow"/>
                <w:lang w:eastAsia="en-US"/>
              </w:rPr>
              <w:t>нарастающим итогом на начало расчетного периода</w:t>
            </w:r>
            <w:r w:rsidR="009A5505" w:rsidRPr="001043A6">
              <w:rPr>
                <w:rFonts w:ascii="Garamond" w:hAnsi="Garamond"/>
                <w:sz w:val="22"/>
                <w:szCs w:val="22"/>
                <w:highlight w:val="yellow"/>
                <w:lang w:eastAsia="en-US"/>
              </w:rPr>
              <w:t xml:space="preserve"> </w:t>
            </w:r>
            <w:r w:rsidR="009A5505" w:rsidRPr="001043A6">
              <w:rPr>
                <w:rFonts w:ascii="Garamond" w:hAnsi="Garamond"/>
                <w:sz w:val="22"/>
                <w:szCs w:val="22"/>
                <w:highlight w:val="yellow"/>
              </w:rPr>
              <w:t>по соответствующим измерительным каналам (активная/реактивная электроэнергия) и направлениям (прием/отдача) (для ИСУ – в обязательном порядке как принятой, так и отпущенной активной и реактивной электроэнергии)</w:t>
            </w:r>
            <w:r w:rsidR="00964038" w:rsidRPr="001043A6">
              <w:rPr>
                <w:rFonts w:ascii="Garamond" w:hAnsi="Garamond"/>
                <w:sz w:val="22"/>
                <w:szCs w:val="22"/>
                <w:highlight w:val="yellow"/>
              </w:rPr>
              <w:t>,</w:t>
            </w:r>
            <w:r w:rsidR="00964038" w:rsidRPr="001043A6">
              <w:rPr>
                <w:rFonts w:ascii="Garamond" w:hAnsi="Garamond"/>
                <w:sz w:val="22"/>
                <w:szCs w:val="22"/>
              </w:rPr>
              <w:t xml:space="preserve"> данных о состоянии объектов измерений (</w:t>
            </w:r>
            <w:r w:rsidR="00045DA0" w:rsidRPr="001043A6">
              <w:rPr>
                <w:rFonts w:ascii="Garamond" w:hAnsi="Garamond"/>
                <w:sz w:val="22"/>
                <w:szCs w:val="22"/>
                <w:highlight w:val="yellow"/>
                <w:lang w:eastAsia="en-US"/>
              </w:rPr>
              <w:t>в случае использования для расчета значений учетных показателей данных о вариантах схем электроснабжения и (или) о положении коммутационной аппаратуры</w:t>
            </w:r>
            <w:r w:rsidR="00834B87" w:rsidRPr="001043A6">
              <w:rPr>
                <w:rFonts w:ascii="Garamond" w:hAnsi="Garamond"/>
                <w:sz w:val="22"/>
                <w:szCs w:val="22"/>
                <w:highlight w:val="yellow"/>
                <w:lang w:eastAsia="en-US"/>
              </w:rPr>
              <w:t>, для ИСУ –</w:t>
            </w:r>
            <w:r w:rsidR="00834B87" w:rsidRPr="001043A6">
              <w:rPr>
                <w:rFonts w:ascii="Garamond" w:hAnsi="Garamond"/>
                <w:sz w:val="22"/>
                <w:szCs w:val="22"/>
                <w:lang w:eastAsia="en-US"/>
              </w:rPr>
              <w:t xml:space="preserve"> </w:t>
            </w:r>
            <w:r w:rsidR="00964038" w:rsidRPr="001043A6">
              <w:rPr>
                <w:rFonts w:ascii="Garamond" w:hAnsi="Garamond"/>
                <w:sz w:val="22"/>
                <w:szCs w:val="22"/>
              </w:rPr>
              <w:t>при наличии автоматического сбора информации о состоянии объектов измерений), данных о состоянии средств измерений («Журнал событий»);</w:t>
            </w:r>
          </w:p>
          <w:p w14:paraId="3092B9BA" w14:textId="77777777" w:rsidR="00B21F20" w:rsidRPr="001043A6" w:rsidRDefault="00F61A6A" w:rsidP="00877E1C">
            <w:pPr>
              <w:tabs>
                <w:tab w:val="left" w:pos="1200"/>
              </w:tabs>
              <w:spacing w:line="259" w:lineRule="auto"/>
              <w:ind w:firstLine="462"/>
              <w:jc w:val="both"/>
              <w:rPr>
                <w:rFonts w:ascii="Garamond" w:hAnsi="Garamond"/>
                <w:sz w:val="22"/>
                <w:szCs w:val="22"/>
              </w:rPr>
            </w:pPr>
            <w:r w:rsidRPr="001043A6">
              <w:rPr>
                <w:rFonts w:ascii="Garamond" w:hAnsi="Garamond"/>
                <w:sz w:val="22"/>
                <w:szCs w:val="22"/>
              </w:rPr>
              <w:t xml:space="preserve">5.1.4. </w:t>
            </w:r>
            <w:r w:rsidR="00964038" w:rsidRPr="001043A6">
              <w:rPr>
                <w:rFonts w:ascii="Garamond" w:hAnsi="Garamond"/>
                <w:sz w:val="22"/>
                <w:szCs w:val="22"/>
              </w:rPr>
              <w:t>возможность масштабирования долей именованных величин количества электроэнергии;</w:t>
            </w:r>
          </w:p>
          <w:p w14:paraId="07EBF29C" w14:textId="77777777" w:rsidR="007B1563" w:rsidRPr="001043A6" w:rsidRDefault="00F61A6A" w:rsidP="00877E1C">
            <w:pPr>
              <w:tabs>
                <w:tab w:val="left" w:pos="1200"/>
              </w:tabs>
              <w:spacing w:line="259" w:lineRule="auto"/>
              <w:ind w:firstLine="462"/>
              <w:jc w:val="both"/>
              <w:rPr>
                <w:rFonts w:ascii="Garamond" w:hAnsi="Garamond"/>
                <w:sz w:val="22"/>
                <w:szCs w:val="22"/>
              </w:rPr>
            </w:pPr>
            <w:r w:rsidRPr="001043A6">
              <w:rPr>
                <w:rFonts w:ascii="Garamond" w:hAnsi="Garamond"/>
                <w:sz w:val="22"/>
                <w:szCs w:val="22"/>
              </w:rPr>
              <w:t xml:space="preserve">5.1.5. </w:t>
            </w:r>
            <w:r w:rsidR="007B1563" w:rsidRPr="001043A6">
              <w:rPr>
                <w:rFonts w:ascii="Garamond" w:hAnsi="Garamond"/>
                <w:sz w:val="22"/>
                <w:szCs w:val="22"/>
                <w:highlight w:val="yellow"/>
              </w:rPr>
              <w:t xml:space="preserve">автоматическое выполнение измерений, </w:t>
            </w:r>
            <w:r w:rsidR="007B1563" w:rsidRPr="001043A6">
              <w:rPr>
                <w:rFonts w:ascii="Garamond" w:hAnsi="Garamond"/>
                <w:sz w:val="22"/>
                <w:szCs w:val="22"/>
              </w:rPr>
              <w:t>синхронизаци</w:t>
            </w:r>
            <w:r w:rsidR="007B1563" w:rsidRPr="001043A6">
              <w:rPr>
                <w:rFonts w:ascii="Garamond" w:hAnsi="Garamond"/>
                <w:sz w:val="22"/>
                <w:szCs w:val="22"/>
                <w:highlight w:val="yellow"/>
              </w:rPr>
              <w:t>и и коррекции</w:t>
            </w:r>
            <w:r w:rsidR="007B1563" w:rsidRPr="001043A6">
              <w:rPr>
                <w:rFonts w:ascii="Garamond" w:hAnsi="Garamond"/>
                <w:sz w:val="22"/>
                <w:szCs w:val="22"/>
              </w:rPr>
              <w:t xml:space="preserve"> времени в </w:t>
            </w:r>
            <w:r w:rsidR="007B1563" w:rsidRPr="001043A6">
              <w:rPr>
                <w:rFonts w:ascii="Garamond" w:hAnsi="Garamond"/>
                <w:sz w:val="22"/>
                <w:szCs w:val="22"/>
                <w:highlight w:val="yellow"/>
              </w:rPr>
              <w:t>составе СОЕВ (</w:t>
            </w:r>
            <w:r w:rsidR="00B21F20" w:rsidRPr="001043A6">
              <w:rPr>
                <w:rFonts w:ascii="Garamond" w:hAnsi="Garamond"/>
                <w:sz w:val="22"/>
                <w:szCs w:val="22"/>
                <w:highlight w:val="yellow"/>
              </w:rPr>
              <w:t>в отношении</w:t>
            </w:r>
            <w:r w:rsidR="007B1563" w:rsidRPr="001043A6">
              <w:rPr>
                <w:rFonts w:ascii="Garamond" w:hAnsi="Garamond"/>
                <w:sz w:val="22"/>
                <w:szCs w:val="22"/>
                <w:highlight w:val="yellow"/>
              </w:rPr>
              <w:t xml:space="preserve"> АИИС КУЭ) и автоматическое выполнение синхронизации</w:t>
            </w:r>
            <w:r w:rsidR="001B4905" w:rsidRPr="001043A6">
              <w:rPr>
                <w:rFonts w:ascii="Garamond" w:hAnsi="Garamond"/>
                <w:sz w:val="22"/>
                <w:szCs w:val="22"/>
                <w:highlight w:val="yellow"/>
              </w:rPr>
              <w:t xml:space="preserve"> </w:t>
            </w:r>
            <w:r w:rsidR="00B21F20" w:rsidRPr="001043A6">
              <w:rPr>
                <w:rFonts w:ascii="Garamond" w:hAnsi="Garamond"/>
                <w:sz w:val="22"/>
                <w:szCs w:val="22"/>
                <w:highlight w:val="yellow"/>
              </w:rPr>
              <w:t xml:space="preserve">с источником точного времени </w:t>
            </w:r>
            <w:r w:rsidR="007B1563" w:rsidRPr="001043A6">
              <w:rPr>
                <w:rFonts w:ascii="Garamond" w:hAnsi="Garamond"/>
                <w:sz w:val="22"/>
                <w:szCs w:val="22"/>
                <w:highlight w:val="yellow"/>
              </w:rPr>
              <w:t xml:space="preserve">и коррекции </w:t>
            </w:r>
            <w:r w:rsidR="00D47D6F" w:rsidRPr="001043A6">
              <w:rPr>
                <w:rFonts w:ascii="Garamond" w:hAnsi="Garamond"/>
                <w:sz w:val="22"/>
                <w:szCs w:val="22"/>
                <w:highlight w:val="yellow"/>
              </w:rPr>
              <w:t xml:space="preserve">времени </w:t>
            </w:r>
            <w:r w:rsidR="007B1563" w:rsidRPr="001043A6">
              <w:rPr>
                <w:rFonts w:ascii="Garamond" w:hAnsi="Garamond"/>
                <w:sz w:val="22"/>
                <w:szCs w:val="22"/>
                <w:highlight w:val="yellow"/>
              </w:rPr>
              <w:t>(</w:t>
            </w:r>
            <w:r w:rsidR="00B21F20" w:rsidRPr="001043A6">
              <w:rPr>
                <w:rFonts w:ascii="Garamond" w:hAnsi="Garamond"/>
                <w:sz w:val="22"/>
                <w:szCs w:val="22"/>
                <w:highlight w:val="yellow"/>
              </w:rPr>
              <w:t>в отношении</w:t>
            </w:r>
            <w:r w:rsidR="007B1563" w:rsidRPr="001043A6">
              <w:rPr>
                <w:rFonts w:ascii="Garamond" w:hAnsi="Garamond"/>
                <w:sz w:val="22"/>
                <w:szCs w:val="22"/>
                <w:highlight w:val="yellow"/>
              </w:rPr>
              <w:t xml:space="preserve"> совокупности СИ и ТУ и ИСУ).</w:t>
            </w:r>
          </w:p>
          <w:p w14:paraId="01C6FC94" w14:textId="114CF01F" w:rsidR="007B1563" w:rsidRPr="001043A6" w:rsidRDefault="00F61A6A" w:rsidP="00877E1C">
            <w:pPr>
              <w:tabs>
                <w:tab w:val="left" w:pos="1200"/>
              </w:tabs>
              <w:spacing w:line="259" w:lineRule="auto"/>
              <w:ind w:firstLine="462"/>
              <w:jc w:val="both"/>
              <w:rPr>
                <w:rFonts w:ascii="Garamond" w:hAnsi="Garamond"/>
                <w:sz w:val="22"/>
                <w:szCs w:val="22"/>
                <w:highlight w:val="yellow"/>
              </w:rPr>
            </w:pPr>
            <w:r w:rsidRPr="001043A6">
              <w:rPr>
                <w:rFonts w:ascii="Garamond" w:hAnsi="Garamond"/>
                <w:sz w:val="22"/>
                <w:szCs w:val="22"/>
                <w:highlight w:val="yellow"/>
              </w:rPr>
              <w:lastRenderedPageBreak/>
              <w:t xml:space="preserve">5.1.6. </w:t>
            </w:r>
            <w:r w:rsidR="00B21F20" w:rsidRPr="001043A6">
              <w:rPr>
                <w:rFonts w:ascii="Garamond" w:hAnsi="Garamond"/>
                <w:sz w:val="22"/>
                <w:szCs w:val="22"/>
                <w:highlight w:val="yellow"/>
              </w:rPr>
              <w:t>синхронизаци</w:t>
            </w:r>
            <w:r w:rsidR="009428EA">
              <w:rPr>
                <w:rFonts w:ascii="Garamond" w:hAnsi="Garamond"/>
                <w:sz w:val="22"/>
                <w:szCs w:val="22"/>
                <w:highlight w:val="yellow"/>
              </w:rPr>
              <w:t>ю</w:t>
            </w:r>
            <w:r w:rsidR="00B21F20" w:rsidRPr="001043A6">
              <w:rPr>
                <w:rFonts w:ascii="Garamond" w:hAnsi="Garamond"/>
                <w:sz w:val="22"/>
                <w:szCs w:val="22"/>
                <w:highlight w:val="yellow"/>
              </w:rPr>
              <w:t xml:space="preserve"> и коррекци</w:t>
            </w:r>
            <w:r w:rsidR="009428EA">
              <w:rPr>
                <w:rFonts w:ascii="Garamond" w:hAnsi="Garamond"/>
                <w:sz w:val="22"/>
                <w:szCs w:val="22"/>
                <w:highlight w:val="yellow"/>
              </w:rPr>
              <w:t>ю</w:t>
            </w:r>
            <w:r w:rsidR="00B21F20" w:rsidRPr="001043A6">
              <w:rPr>
                <w:rFonts w:ascii="Garamond" w:hAnsi="Garamond"/>
                <w:sz w:val="22"/>
                <w:szCs w:val="22"/>
                <w:highlight w:val="yellow"/>
              </w:rPr>
              <w:t xml:space="preserve"> времени на уровнях ИИК и ИВКЭ </w:t>
            </w:r>
            <w:r w:rsidR="00D47D6F" w:rsidRPr="001043A6">
              <w:rPr>
                <w:rFonts w:ascii="Garamond" w:hAnsi="Garamond"/>
                <w:sz w:val="22"/>
                <w:szCs w:val="22"/>
                <w:highlight w:val="yellow"/>
              </w:rPr>
              <w:t>со стороны ИВК</w:t>
            </w:r>
            <w:r w:rsidR="00B21F20" w:rsidRPr="001043A6">
              <w:rPr>
                <w:rFonts w:ascii="Garamond" w:hAnsi="Garamond"/>
                <w:sz w:val="22"/>
                <w:szCs w:val="22"/>
                <w:highlight w:val="yellow"/>
              </w:rPr>
              <w:t>, при этом допускается синхронизация времени в ИВК</w:t>
            </w:r>
            <w:r w:rsidR="005E31D1" w:rsidRPr="001043A6">
              <w:rPr>
                <w:rFonts w:ascii="Garamond" w:hAnsi="Garamond"/>
                <w:sz w:val="22"/>
                <w:szCs w:val="22"/>
                <w:highlight w:val="yellow"/>
              </w:rPr>
              <w:t xml:space="preserve"> и ИИК</w:t>
            </w:r>
            <w:r w:rsidR="00B21F20" w:rsidRPr="001043A6">
              <w:rPr>
                <w:rFonts w:ascii="Garamond" w:hAnsi="Garamond"/>
                <w:sz w:val="22"/>
                <w:szCs w:val="22"/>
                <w:highlight w:val="yellow"/>
              </w:rPr>
              <w:t xml:space="preserve"> со стороны ИВКЭ;</w:t>
            </w:r>
          </w:p>
          <w:p w14:paraId="49D46C31" w14:textId="77777777" w:rsidR="00964038" w:rsidRPr="001043A6" w:rsidRDefault="00F61A6A" w:rsidP="00877E1C">
            <w:pPr>
              <w:tabs>
                <w:tab w:val="left" w:pos="1200"/>
              </w:tabs>
              <w:spacing w:line="259" w:lineRule="auto"/>
              <w:ind w:firstLine="462"/>
              <w:jc w:val="both"/>
              <w:rPr>
                <w:rFonts w:ascii="Garamond" w:hAnsi="Garamond"/>
                <w:color w:val="FF0000"/>
                <w:sz w:val="22"/>
                <w:szCs w:val="22"/>
              </w:rPr>
            </w:pPr>
            <w:r w:rsidRPr="001043A6">
              <w:rPr>
                <w:rFonts w:ascii="Garamond" w:hAnsi="Garamond"/>
                <w:sz w:val="22"/>
                <w:szCs w:val="22"/>
                <w:highlight w:val="yellow"/>
              </w:rPr>
              <w:t>5.1.7.</w:t>
            </w:r>
            <w:r w:rsidRPr="001043A6">
              <w:rPr>
                <w:rFonts w:ascii="Garamond" w:hAnsi="Garamond"/>
                <w:sz w:val="22"/>
                <w:szCs w:val="22"/>
              </w:rPr>
              <w:t xml:space="preserve"> </w:t>
            </w:r>
            <w:r w:rsidR="00964038" w:rsidRPr="001043A6">
              <w:rPr>
                <w:rFonts w:ascii="Garamond" w:hAnsi="Garamond"/>
                <w:sz w:val="22"/>
                <w:szCs w:val="22"/>
              </w:rPr>
              <w:t>формирование и передачу результатов измерений</w:t>
            </w:r>
            <w:r w:rsidR="005616F2" w:rsidRPr="001043A6">
              <w:rPr>
                <w:rFonts w:ascii="Garamond" w:hAnsi="Garamond"/>
                <w:sz w:val="22"/>
                <w:szCs w:val="22"/>
              </w:rPr>
              <w:t xml:space="preserve"> и </w:t>
            </w:r>
            <w:r w:rsidR="00964038" w:rsidRPr="001043A6">
              <w:rPr>
                <w:rFonts w:ascii="Garamond" w:hAnsi="Garamond"/>
                <w:sz w:val="22"/>
                <w:szCs w:val="22"/>
              </w:rPr>
              <w:t>данных о состоянии объектов измерений (при наличии автоматического сбора информации о состоянии объектов измерений)</w:t>
            </w:r>
            <w:r w:rsidR="005616F2" w:rsidRPr="001043A6">
              <w:rPr>
                <w:rFonts w:ascii="Garamond" w:hAnsi="Garamond"/>
                <w:sz w:val="22"/>
                <w:szCs w:val="22"/>
              </w:rPr>
              <w:t xml:space="preserve"> </w:t>
            </w:r>
            <w:r w:rsidR="00D47D6F" w:rsidRPr="001043A6">
              <w:rPr>
                <w:rFonts w:ascii="Garamond" w:hAnsi="Garamond"/>
                <w:sz w:val="22"/>
                <w:szCs w:val="22"/>
                <w:highlight w:val="yellow"/>
              </w:rPr>
              <w:t>в КО и иным субъектам</w:t>
            </w:r>
            <w:r w:rsidR="00C424F7" w:rsidRPr="001043A6">
              <w:rPr>
                <w:rFonts w:ascii="Garamond" w:hAnsi="Garamond"/>
                <w:sz w:val="22"/>
                <w:szCs w:val="22"/>
                <w:highlight w:val="yellow"/>
              </w:rPr>
              <w:t xml:space="preserve"> </w:t>
            </w:r>
            <w:r w:rsidR="00293B77" w:rsidRPr="001043A6">
              <w:rPr>
                <w:rFonts w:ascii="Garamond" w:hAnsi="Garamond"/>
                <w:sz w:val="22"/>
                <w:szCs w:val="22"/>
                <w:highlight w:val="yellow"/>
              </w:rPr>
              <w:t>оптового рынка</w:t>
            </w:r>
            <w:r w:rsidR="00D47D6F" w:rsidRPr="001043A6">
              <w:rPr>
                <w:rFonts w:ascii="Garamond" w:hAnsi="Garamond"/>
                <w:sz w:val="22"/>
                <w:szCs w:val="22"/>
                <w:highlight w:val="yellow"/>
              </w:rPr>
              <w:t xml:space="preserve"> </w:t>
            </w:r>
            <w:r w:rsidR="005616F2" w:rsidRPr="001043A6">
              <w:rPr>
                <w:rFonts w:ascii="Garamond" w:hAnsi="Garamond"/>
                <w:sz w:val="22"/>
                <w:szCs w:val="22"/>
                <w:highlight w:val="yellow"/>
              </w:rPr>
              <w:t xml:space="preserve">в порядке, предусмотренном Регламентом </w:t>
            </w:r>
            <w:r w:rsidR="005616F2" w:rsidRPr="001043A6">
              <w:rPr>
                <w:rFonts w:ascii="Garamond" w:hAnsi="Garamond"/>
                <w:sz w:val="22"/>
                <w:szCs w:val="22"/>
                <w:highlight w:val="yellow"/>
                <w:lang w:eastAsia="en-US"/>
              </w:rPr>
              <w:t>предоставления результатов измерений и состояний объектов измерений</w:t>
            </w:r>
            <w:r w:rsidR="00964038" w:rsidRPr="001043A6">
              <w:rPr>
                <w:rFonts w:ascii="Garamond" w:hAnsi="Garamond"/>
                <w:sz w:val="22"/>
                <w:szCs w:val="22"/>
              </w:rPr>
              <w:t>;</w:t>
            </w:r>
          </w:p>
          <w:p w14:paraId="75477701" w14:textId="77777777" w:rsidR="00964038" w:rsidRPr="001043A6" w:rsidRDefault="00F61A6A" w:rsidP="00877E1C">
            <w:pPr>
              <w:tabs>
                <w:tab w:val="left" w:pos="1200"/>
              </w:tabs>
              <w:spacing w:line="259" w:lineRule="auto"/>
              <w:ind w:firstLine="462"/>
              <w:jc w:val="both"/>
              <w:rPr>
                <w:rFonts w:ascii="Garamond" w:hAnsi="Garamond"/>
                <w:sz w:val="22"/>
                <w:szCs w:val="22"/>
              </w:rPr>
            </w:pPr>
            <w:r w:rsidRPr="001043A6">
              <w:rPr>
                <w:rFonts w:ascii="Garamond" w:hAnsi="Garamond"/>
                <w:sz w:val="22"/>
                <w:szCs w:val="22"/>
                <w:highlight w:val="yellow"/>
              </w:rPr>
              <w:t>5.1.8.</w:t>
            </w:r>
            <w:r w:rsidRPr="001043A6">
              <w:rPr>
                <w:rFonts w:ascii="Garamond" w:hAnsi="Garamond"/>
                <w:sz w:val="22"/>
                <w:szCs w:val="22"/>
              </w:rPr>
              <w:t xml:space="preserve"> </w:t>
            </w:r>
            <w:r w:rsidR="00964038" w:rsidRPr="001043A6">
              <w:rPr>
                <w:rFonts w:ascii="Garamond" w:hAnsi="Garamond"/>
                <w:sz w:val="22"/>
                <w:szCs w:val="22"/>
              </w:rPr>
              <w:t xml:space="preserve">дистанционный доступ КО к </w:t>
            </w:r>
            <w:r w:rsidR="005616F2" w:rsidRPr="001043A6">
              <w:rPr>
                <w:rFonts w:ascii="Garamond" w:hAnsi="Garamond"/>
                <w:sz w:val="22"/>
                <w:szCs w:val="22"/>
                <w:highlight w:val="yellow"/>
              </w:rPr>
              <w:t>средствам измерений, техническим устройствам,</w:t>
            </w:r>
            <w:r w:rsidR="005616F2" w:rsidRPr="001043A6">
              <w:rPr>
                <w:rFonts w:ascii="Garamond" w:hAnsi="Garamond"/>
                <w:sz w:val="22"/>
                <w:szCs w:val="22"/>
              </w:rPr>
              <w:t xml:space="preserve"> </w:t>
            </w:r>
            <w:r w:rsidR="00964038" w:rsidRPr="001043A6">
              <w:rPr>
                <w:rFonts w:ascii="Garamond" w:hAnsi="Garamond"/>
                <w:sz w:val="22"/>
                <w:szCs w:val="22"/>
              </w:rPr>
              <w:t xml:space="preserve">компонентам </w:t>
            </w:r>
            <w:r w:rsidR="005E31D1" w:rsidRPr="001043A6">
              <w:rPr>
                <w:rFonts w:ascii="Garamond" w:hAnsi="Garamond"/>
                <w:sz w:val="22"/>
                <w:szCs w:val="22"/>
                <w:highlight w:val="yellow"/>
              </w:rPr>
              <w:t>СУ (включая ИПУ</w:t>
            </w:r>
            <w:r w:rsidR="00834E9D" w:rsidRPr="001043A6">
              <w:rPr>
                <w:rFonts w:ascii="Garamond" w:hAnsi="Garamond"/>
                <w:sz w:val="22"/>
                <w:szCs w:val="22"/>
                <w:highlight w:val="yellow"/>
              </w:rPr>
              <w:t>, присоединенные к ИСУ</w:t>
            </w:r>
            <w:r w:rsidR="005E31D1" w:rsidRPr="001043A6">
              <w:rPr>
                <w:rFonts w:ascii="Garamond" w:hAnsi="Garamond"/>
                <w:sz w:val="22"/>
                <w:szCs w:val="22"/>
                <w:highlight w:val="yellow"/>
              </w:rPr>
              <w:t>)</w:t>
            </w:r>
            <w:r w:rsidR="005616F2" w:rsidRPr="001043A6">
              <w:rPr>
                <w:rFonts w:ascii="Garamond" w:hAnsi="Garamond"/>
                <w:sz w:val="22"/>
                <w:szCs w:val="22"/>
                <w:highlight w:val="yellow"/>
              </w:rPr>
              <w:t xml:space="preserve"> в порядке, предусмотренном Порядком установления соответствия </w:t>
            </w:r>
            <w:r w:rsidR="005C089B" w:rsidRPr="001043A6">
              <w:rPr>
                <w:rFonts w:ascii="Garamond" w:hAnsi="Garamond"/>
                <w:sz w:val="22"/>
                <w:szCs w:val="22"/>
                <w:highlight w:val="yellow"/>
              </w:rPr>
              <w:t>СУ</w:t>
            </w:r>
            <w:r w:rsidR="00217F19" w:rsidRPr="001043A6">
              <w:rPr>
                <w:rFonts w:ascii="Garamond" w:hAnsi="Garamond"/>
                <w:sz w:val="22"/>
                <w:szCs w:val="22"/>
                <w:highlight w:val="yellow"/>
                <w:lang w:eastAsia="en-US"/>
              </w:rPr>
              <w:t xml:space="preserve"> и Регламентом проверок</w:t>
            </w:r>
            <w:r w:rsidR="00964038" w:rsidRPr="001043A6">
              <w:rPr>
                <w:rFonts w:ascii="Garamond" w:hAnsi="Garamond"/>
                <w:sz w:val="22"/>
                <w:szCs w:val="22"/>
              </w:rPr>
              <w:t>;</w:t>
            </w:r>
          </w:p>
          <w:p w14:paraId="51AD6516" w14:textId="77777777" w:rsidR="00964038" w:rsidRPr="001043A6" w:rsidRDefault="00F61A6A" w:rsidP="00877E1C">
            <w:pPr>
              <w:tabs>
                <w:tab w:val="left" w:pos="601"/>
              </w:tabs>
              <w:spacing w:line="259" w:lineRule="auto"/>
              <w:ind w:firstLine="462"/>
              <w:jc w:val="both"/>
              <w:rPr>
                <w:rFonts w:ascii="Garamond" w:hAnsi="Garamond"/>
                <w:sz w:val="22"/>
                <w:szCs w:val="22"/>
              </w:rPr>
            </w:pPr>
            <w:r w:rsidRPr="001043A6">
              <w:rPr>
                <w:rFonts w:ascii="Garamond" w:hAnsi="Garamond"/>
                <w:sz w:val="22"/>
                <w:szCs w:val="22"/>
                <w:highlight w:val="yellow"/>
              </w:rPr>
              <w:t>5.1.9.</w:t>
            </w:r>
            <w:r w:rsidRPr="001043A6">
              <w:rPr>
                <w:rFonts w:ascii="Garamond" w:hAnsi="Garamond"/>
                <w:sz w:val="22"/>
                <w:szCs w:val="22"/>
              </w:rPr>
              <w:t xml:space="preserve"> </w:t>
            </w:r>
            <w:r w:rsidR="00964038" w:rsidRPr="001043A6">
              <w:rPr>
                <w:rFonts w:ascii="Garamond" w:hAnsi="Garamond"/>
                <w:sz w:val="22"/>
                <w:szCs w:val="22"/>
              </w:rPr>
              <w:t>ведение «Журнала событий» ИВК, в котором фиксируется</w:t>
            </w:r>
            <w:r w:rsidR="00AB5B04" w:rsidRPr="001043A6">
              <w:rPr>
                <w:rFonts w:ascii="Garamond" w:hAnsi="Garamond"/>
                <w:sz w:val="22"/>
                <w:szCs w:val="22"/>
              </w:rPr>
              <w:t xml:space="preserve"> </w:t>
            </w:r>
            <w:r w:rsidR="00AB5B04" w:rsidRPr="001043A6">
              <w:rPr>
                <w:rFonts w:ascii="Garamond" w:hAnsi="Garamond"/>
                <w:sz w:val="22"/>
                <w:szCs w:val="22"/>
                <w:highlight w:val="yellow"/>
              </w:rPr>
              <w:t>(с указанием даты и времени возникновения соответствующих изменений и (или) событий и (или) их окончания)</w:t>
            </w:r>
            <w:r w:rsidR="00AB5B04" w:rsidRPr="001043A6">
              <w:rPr>
                <w:rFonts w:ascii="Garamond" w:hAnsi="Garamond"/>
                <w:sz w:val="22"/>
                <w:szCs w:val="22"/>
              </w:rPr>
              <w:t>:</w:t>
            </w:r>
          </w:p>
          <w:p w14:paraId="040BE36C" w14:textId="1112816D" w:rsidR="00E5509E" w:rsidRPr="001043A6" w:rsidRDefault="00E5509E" w:rsidP="00101F7C">
            <w:pPr>
              <w:numPr>
                <w:ilvl w:val="0"/>
                <w:numId w:val="100"/>
              </w:numPr>
              <w:tabs>
                <w:tab w:val="clear" w:pos="1353"/>
                <w:tab w:val="num" w:pos="960"/>
                <w:tab w:val="num" w:pos="1440"/>
              </w:tabs>
              <w:suppressAutoHyphens w:val="0"/>
              <w:spacing w:line="259" w:lineRule="auto"/>
              <w:ind w:left="0" w:firstLine="459"/>
              <w:jc w:val="both"/>
              <w:rPr>
                <w:rFonts w:ascii="Garamond" w:hAnsi="Garamond"/>
                <w:sz w:val="22"/>
                <w:szCs w:val="22"/>
              </w:rPr>
            </w:pPr>
            <w:r w:rsidRPr="001043A6">
              <w:rPr>
                <w:rFonts w:ascii="Garamond" w:hAnsi="Garamond"/>
                <w:sz w:val="22"/>
                <w:szCs w:val="22"/>
              </w:rPr>
              <w:t xml:space="preserve">изменение </w:t>
            </w:r>
            <w:r w:rsidRPr="001043A6">
              <w:rPr>
                <w:rFonts w:ascii="Garamond" w:hAnsi="Garamond"/>
                <w:sz w:val="22"/>
                <w:szCs w:val="22"/>
                <w:highlight w:val="yellow"/>
              </w:rPr>
              <w:t>или сброс</w:t>
            </w:r>
            <w:r w:rsidRPr="001043A6">
              <w:rPr>
                <w:rFonts w:ascii="Garamond" w:hAnsi="Garamond"/>
                <w:sz w:val="22"/>
                <w:szCs w:val="22"/>
              </w:rPr>
              <w:t xml:space="preserve"> значений результатов измерений</w:t>
            </w:r>
            <w:r w:rsidRPr="001043A6">
              <w:rPr>
                <w:rFonts w:ascii="Garamond" w:hAnsi="Garamond"/>
                <w:sz w:val="22"/>
                <w:szCs w:val="22"/>
                <w:highlight w:val="yellow"/>
              </w:rPr>
              <w:t>, данных о состоянии средств измерений, данных о состоянии объектов измерений (</w:t>
            </w:r>
            <w:r w:rsidRPr="001043A6">
              <w:rPr>
                <w:rFonts w:ascii="Garamond" w:hAnsi="Garamond"/>
                <w:sz w:val="22"/>
                <w:szCs w:val="22"/>
                <w:highlight w:val="yellow"/>
                <w:lang w:eastAsia="en-US"/>
              </w:rPr>
              <w:t>в случае использования для расчета значений учетных показателей данных о вариантах схем электроснабжения и (или) о положении коммутационной аппаратуры</w:t>
            </w:r>
            <w:r w:rsidR="005A78BD" w:rsidRPr="001043A6">
              <w:rPr>
                <w:rFonts w:ascii="Garamond" w:hAnsi="Garamond"/>
                <w:sz w:val="22"/>
                <w:szCs w:val="22"/>
                <w:highlight w:val="yellow"/>
              </w:rPr>
              <w:t>, для ИСУ –</w:t>
            </w:r>
            <w:r w:rsidR="009B5F03">
              <w:rPr>
                <w:rFonts w:ascii="Garamond" w:hAnsi="Garamond"/>
                <w:sz w:val="22"/>
                <w:szCs w:val="22"/>
                <w:highlight w:val="yellow"/>
              </w:rPr>
              <w:t xml:space="preserve"> </w:t>
            </w:r>
            <w:r w:rsidRPr="001043A6">
              <w:rPr>
                <w:rFonts w:ascii="Garamond" w:hAnsi="Garamond"/>
                <w:sz w:val="22"/>
                <w:szCs w:val="22"/>
                <w:highlight w:val="yellow"/>
              </w:rPr>
              <w:t>при наличии автоматического сбора информации о состоянии объектов измерений системой учета)</w:t>
            </w:r>
            <w:r w:rsidRPr="001043A6">
              <w:rPr>
                <w:rFonts w:ascii="Garamond" w:hAnsi="Garamond"/>
                <w:sz w:val="22"/>
                <w:szCs w:val="22"/>
              </w:rPr>
              <w:t>;</w:t>
            </w:r>
          </w:p>
          <w:p w14:paraId="57206553" w14:textId="77777777" w:rsidR="00964038" w:rsidRPr="001043A6" w:rsidRDefault="00964038" w:rsidP="00101F7C">
            <w:pPr>
              <w:numPr>
                <w:ilvl w:val="0"/>
                <w:numId w:val="100"/>
              </w:numPr>
              <w:tabs>
                <w:tab w:val="clear" w:pos="1353"/>
                <w:tab w:val="num" w:pos="960"/>
                <w:tab w:val="num" w:pos="1440"/>
              </w:tabs>
              <w:suppressAutoHyphens w:val="0"/>
              <w:spacing w:line="259" w:lineRule="auto"/>
              <w:ind w:left="0" w:firstLine="459"/>
              <w:jc w:val="both"/>
              <w:rPr>
                <w:rFonts w:ascii="Garamond" w:hAnsi="Garamond"/>
                <w:sz w:val="22"/>
                <w:szCs w:val="22"/>
              </w:rPr>
            </w:pPr>
            <w:r w:rsidRPr="001043A6">
              <w:rPr>
                <w:rFonts w:ascii="Garamond" w:hAnsi="Garamond"/>
                <w:sz w:val="22"/>
                <w:szCs w:val="22"/>
              </w:rPr>
              <w:t>изменение коэффициентов измерительных трансформаторов тока и напряжения</w:t>
            </w:r>
            <w:r w:rsidR="00E5509E" w:rsidRPr="001043A6">
              <w:rPr>
                <w:rFonts w:ascii="Garamond" w:hAnsi="Garamond"/>
                <w:sz w:val="22"/>
                <w:szCs w:val="22"/>
              </w:rPr>
              <w:t xml:space="preserve"> </w:t>
            </w:r>
            <w:r w:rsidR="00E5509E" w:rsidRPr="001043A6">
              <w:rPr>
                <w:rFonts w:ascii="Garamond" w:hAnsi="Garamond"/>
                <w:sz w:val="22"/>
                <w:szCs w:val="22"/>
                <w:highlight w:val="yellow"/>
              </w:rPr>
              <w:t>(в том числе на уровне ИВКЭ)</w:t>
            </w:r>
            <w:r w:rsidRPr="001043A6">
              <w:rPr>
                <w:rFonts w:ascii="Garamond" w:hAnsi="Garamond"/>
                <w:sz w:val="22"/>
                <w:szCs w:val="22"/>
              </w:rPr>
              <w:t xml:space="preserve">; </w:t>
            </w:r>
          </w:p>
          <w:p w14:paraId="10DBF8BF" w14:textId="77777777" w:rsidR="00964038" w:rsidRPr="001043A6" w:rsidRDefault="00964038" w:rsidP="00101F7C">
            <w:pPr>
              <w:numPr>
                <w:ilvl w:val="0"/>
                <w:numId w:val="100"/>
              </w:numPr>
              <w:tabs>
                <w:tab w:val="clear" w:pos="1353"/>
                <w:tab w:val="num" w:pos="960"/>
                <w:tab w:val="num" w:pos="1440"/>
              </w:tabs>
              <w:suppressAutoHyphens w:val="0"/>
              <w:spacing w:line="259" w:lineRule="auto"/>
              <w:ind w:left="0" w:firstLine="459"/>
              <w:jc w:val="both"/>
              <w:rPr>
                <w:rFonts w:ascii="Garamond" w:hAnsi="Garamond"/>
                <w:sz w:val="22"/>
                <w:szCs w:val="22"/>
              </w:rPr>
            </w:pPr>
            <w:r w:rsidRPr="001043A6">
              <w:rPr>
                <w:rFonts w:ascii="Garamond" w:hAnsi="Garamond"/>
                <w:sz w:val="22"/>
                <w:szCs w:val="22"/>
              </w:rPr>
              <w:t>факт и величина синхронизации (коррекции) времени;</w:t>
            </w:r>
          </w:p>
          <w:p w14:paraId="61E277D3" w14:textId="77777777" w:rsidR="00964038" w:rsidRPr="001043A6" w:rsidRDefault="00AB5B04" w:rsidP="00101F7C">
            <w:pPr>
              <w:numPr>
                <w:ilvl w:val="0"/>
                <w:numId w:val="100"/>
              </w:numPr>
              <w:tabs>
                <w:tab w:val="clear" w:pos="1353"/>
                <w:tab w:val="num" w:pos="1026"/>
              </w:tabs>
              <w:suppressAutoHyphens w:val="0"/>
              <w:spacing w:line="259" w:lineRule="auto"/>
              <w:ind w:left="34" w:firstLine="425"/>
              <w:jc w:val="both"/>
              <w:rPr>
                <w:rFonts w:ascii="Garamond" w:hAnsi="Garamond"/>
                <w:sz w:val="22"/>
                <w:szCs w:val="22"/>
              </w:rPr>
            </w:pPr>
            <w:r w:rsidRPr="001043A6">
              <w:rPr>
                <w:rFonts w:ascii="Garamond" w:hAnsi="Garamond"/>
                <w:sz w:val="22"/>
                <w:szCs w:val="22"/>
                <w:highlight w:val="yellow"/>
              </w:rPr>
              <w:t>сбой, перерыв</w:t>
            </w:r>
            <w:r w:rsidR="00964038" w:rsidRPr="001043A6">
              <w:rPr>
                <w:rFonts w:ascii="Garamond" w:hAnsi="Garamond"/>
                <w:sz w:val="22"/>
                <w:szCs w:val="22"/>
              </w:rPr>
              <w:t xml:space="preserve"> питания</w:t>
            </w:r>
            <w:r w:rsidR="000D73B3" w:rsidRPr="001043A6">
              <w:rPr>
                <w:rFonts w:ascii="Garamond" w:hAnsi="Garamond"/>
                <w:sz w:val="22"/>
                <w:szCs w:val="22"/>
                <w:highlight w:val="yellow"/>
              </w:rPr>
              <w:t>;</w:t>
            </w:r>
          </w:p>
          <w:p w14:paraId="481BBB95" w14:textId="77777777" w:rsidR="00964038" w:rsidRPr="001043A6" w:rsidRDefault="00964038" w:rsidP="00101F7C">
            <w:pPr>
              <w:numPr>
                <w:ilvl w:val="0"/>
                <w:numId w:val="100"/>
              </w:numPr>
              <w:tabs>
                <w:tab w:val="clear" w:pos="1353"/>
                <w:tab w:val="num" w:pos="960"/>
                <w:tab w:val="num" w:pos="1440"/>
              </w:tabs>
              <w:suppressAutoHyphens w:val="0"/>
              <w:spacing w:line="259" w:lineRule="auto"/>
              <w:ind w:left="0" w:firstLine="459"/>
              <w:jc w:val="both"/>
              <w:rPr>
                <w:rFonts w:ascii="Garamond" w:hAnsi="Garamond"/>
                <w:sz w:val="22"/>
                <w:szCs w:val="22"/>
              </w:rPr>
            </w:pPr>
            <w:r w:rsidRPr="001043A6">
              <w:rPr>
                <w:rFonts w:ascii="Garamond" w:hAnsi="Garamond"/>
                <w:sz w:val="22"/>
                <w:szCs w:val="22"/>
              </w:rPr>
              <w:t xml:space="preserve">замена </w:t>
            </w:r>
            <w:r w:rsidR="00B66834" w:rsidRPr="001043A6">
              <w:rPr>
                <w:rFonts w:ascii="Garamond" w:hAnsi="Garamond"/>
                <w:sz w:val="22"/>
                <w:szCs w:val="22"/>
                <w:highlight w:val="yellow"/>
              </w:rPr>
              <w:t>прибора учета</w:t>
            </w:r>
            <w:r w:rsidRPr="001043A6">
              <w:rPr>
                <w:rFonts w:ascii="Garamond" w:hAnsi="Garamond"/>
                <w:sz w:val="22"/>
                <w:szCs w:val="22"/>
              </w:rPr>
              <w:t xml:space="preserve">; </w:t>
            </w:r>
          </w:p>
          <w:p w14:paraId="6AF82C7A" w14:textId="77777777" w:rsidR="00964038" w:rsidRPr="001043A6" w:rsidRDefault="00964038" w:rsidP="00101F7C">
            <w:pPr>
              <w:numPr>
                <w:ilvl w:val="0"/>
                <w:numId w:val="100"/>
              </w:numPr>
              <w:tabs>
                <w:tab w:val="clear" w:pos="1353"/>
                <w:tab w:val="num" w:pos="960"/>
                <w:tab w:val="num" w:pos="1440"/>
              </w:tabs>
              <w:suppressAutoHyphens w:val="0"/>
              <w:spacing w:line="259" w:lineRule="auto"/>
              <w:ind w:left="0" w:firstLine="459"/>
              <w:jc w:val="both"/>
              <w:rPr>
                <w:rFonts w:ascii="Garamond" w:hAnsi="Garamond"/>
                <w:sz w:val="22"/>
                <w:szCs w:val="22"/>
              </w:rPr>
            </w:pPr>
            <w:r w:rsidRPr="001043A6">
              <w:rPr>
                <w:rFonts w:ascii="Garamond" w:hAnsi="Garamond"/>
                <w:sz w:val="22"/>
                <w:szCs w:val="22"/>
              </w:rPr>
              <w:t>полученные с уровней ИВКЭ «Журналы событий» ИВКЭ и ИИК.</w:t>
            </w:r>
          </w:p>
          <w:p w14:paraId="4DCF2CFF" w14:textId="77777777" w:rsidR="00AB5B04" w:rsidRPr="001043A6" w:rsidRDefault="007909E5" w:rsidP="00AB5B04">
            <w:pPr>
              <w:tabs>
                <w:tab w:val="num" w:pos="1440"/>
              </w:tabs>
              <w:suppressAutoHyphens w:val="0"/>
              <w:spacing w:line="259" w:lineRule="auto"/>
              <w:ind w:firstLine="459"/>
              <w:jc w:val="both"/>
              <w:rPr>
                <w:rFonts w:ascii="Garamond" w:hAnsi="Garamond"/>
                <w:sz w:val="22"/>
                <w:szCs w:val="22"/>
                <w:highlight w:val="yellow"/>
              </w:rPr>
            </w:pPr>
            <w:r w:rsidRPr="001043A6">
              <w:rPr>
                <w:rFonts w:ascii="Garamond" w:hAnsi="Garamond"/>
                <w:sz w:val="22"/>
                <w:szCs w:val="22"/>
                <w:highlight w:val="yellow"/>
              </w:rPr>
              <w:t>При этом в</w:t>
            </w:r>
            <w:r w:rsidR="00AB5B04" w:rsidRPr="001043A6">
              <w:rPr>
                <w:rFonts w:ascii="Garamond" w:hAnsi="Garamond"/>
                <w:sz w:val="22"/>
                <w:szCs w:val="22"/>
                <w:highlight w:val="yellow"/>
              </w:rPr>
              <w:t xml:space="preserve"> «Журнале событий» ИСУ дополнительно </w:t>
            </w:r>
            <w:r w:rsidR="0072254A" w:rsidRPr="001043A6">
              <w:rPr>
                <w:rFonts w:ascii="Garamond" w:hAnsi="Garamond"/>
                <w:sz w:val="22"/>
                <w:szCs w:val="22"/>
                <w:highlight w:val="yellow"/>
              </w:rPr>
              <w:t xml:space="preserve">должны </w:t>
            </w:r>
            <w:r w:rsidR="00AB5B04" w:rsidRPr="001043A6">
              <w:rPr>
                <w:rFonts w:ascii="Garamond" w:hAnsi="Garamond"/>
                <w:sz w:val="22"/>
                <w:szCs w:val="22"/>
                <w:highlight w:val="yellow"/>
              </w:rPr>
              <w:t>фиксир</w:t>
            </w:r>
            <w:r w:rsidR="0072254A" w:rsidRPr="001043A6">
              <w:rPr>
                <w:rFonts w:ascii="Garamond" w:hAnsi="Garamond"/>
                <w:sz w:val="22"/>
                <w:szCs w:val="22"/>
                <w:highlight w:val="yellow"/>
              </w:rPr>
              <w:t>оваться</w:t>
            </w:r>
            <w:r w:rsidR="00AB5B04" w:rsidRPr="001043A6">
              <w:rPr>
                <w:rFonts w:ascii="Garamond" w:hAnsi="Garamond"/>
                <w:sz w:val="22"/>
                <w:szCs w:val="22"/>
                <w:highlight w:val="yellow"/>
              </w:rPr>
              <w:t xml:space="preserve"> сведения</w:t>
            </w:r>
            <w:r w:rsidRPr="001043A6">
              <w:rPr>
                <w:rFonts w:ascii="Garamond" w:hAnsi="Garamond"/>
                <w:sz w:val="22"/>
                <w:szCs w:val="22"/>
                <w:highlight w:val="yellow"/>
              </w:rPr>
              <w:t>, полученные и хранимые на уровне ИИК</w:t>
            </w:r>
            <w:r w:rsidR="00AB5B04" w:rsidRPr="001043A6">
              <w:rPr>
                <w:rFonts w:ascii="Garamond" w:hAnsi="Garamond"/>
                <w:sz w:val="22"/>
                <w:szCs w:val="22"/>
                <w:highlight w:val="yellow"/>
              </w:rPr>
              <w:t>:</w:t>
            </w:r>
          </w:p>
          <w:p w14:paraId="1FFE0309" w14:textId="77777777" w:rsidR="00AB5B04" w:rsidRPr="001043A6" w:rsidRDefault="00AB5B04" w:rsidP="00101F7C">
            <w:pPr>
              <w:pStyle w:val="ac"/>
              <w:numPr>
                <w:ilvl w:val="0"/>
                <w:numId w:val="102"/>
              </w:numPr>
              <w:tabs>
                <w:tab w:val="num" w:pos="1026"/>
              </w:tabs>
              <w:spacing w:line="259" w:lineRule="auto"/>
              <w:ind w:left="0" w:firstLine="459"/>
              <w:jc w:val="both"/>
              <w:rPr>
                <w:rFonts w:ascii="Garamond" w:hAnsi="Garamond"/>
                <w:sz w:val="22"/>
                <w:szCs w:val="22"/>
                <w:highlight w:val="yellow"/>
              </w:rPr>
            </w:pPr>
            <w:r w:rsidRPr="001043A6">
              <w:rPr>
                <w:rFonts w:ascii="Garamond" w:hAnsi="Garamond"/>
                <w:sz w:val="22"/>
                <w:szCs w:val="22"/>
                <w:highlight w:val="yellow"/>
              </w:rPr>
              <w:t>о несанкционированном доступе к работе ИПУ</w:t>
            </w:r>
            <w:r w:rsidR="00834E9D" w:rsidRPr="001043A6">
              <w:rPr>
                <w:rFonts w:ascii="Garamond" w:hAnsi="Garamond"/>
                <w:sz w:val="22"/>
                <w:szCs w:val="22"/>
                <w:highlight w:val="yellow"/>
              </w:rPr>
              <w:t>, присоединенных к ИСУ</w:t>
            </w:r>
            <w:r w:rsidRPr="001043A6">
              <w:rPr>
                <w:rFonts w:ascii="Garamond" w:hAnsi="Garamond"/>
                <w:sz w:val="22"/>
                <w:szCs w:val="22"/>
                <w:highlight w:val="yellow"/>
              </w:rPr>
              <w:t>, в том числе о несанкционированном доступе к его программному обеспечению, параметрах и обрабатываемой им информации;</w:t>
            </w:r>
          </w:p>
          <w:p w14:paraId="6EC74649" w14:textId="77777777" w:rsidR="00AB5B04" w:rsidRPr="001043A6" w:rsidRDefault="00AB5B04" w:rsidP="00101F7C">
            <w:pPr>
              <w:pStyle w:val="ac"/>
              <w:numPr>
                <w:ilvl w:val="0"/>
                <w:numId w:val="102"/>
              </w:numPr>
              <w:tabs>
                <w:tab w:val="num" w:pos="1026"/>
              </w:tabs>
              <w:spacing w:line="259" w:lineRule="auto"/>
              <w:ind w:left="0" w:firstLine="459"/>
              <w:jc w:val="both"/>
              <w:rPr>
                <w:rFonts w:ascii="Garamond" w:hAnsi="Garamond"/>
                <w:sz w:val="22"/>
                <w:szCs w:val="22"/>
                <w:highlight w:val="yellow"/>
              </w:rPr>
            </w:pPr>
            <w:r w:rsidRPr="001043A6">
              <w:rPr>
                <w:rFonts w:ascii="Garamond" w:hAnsi="Garamond"/>
                <w:sz w:val="22"/>
                <w:szCs w:val="22"/>
                <w:highlight w:val="yellow"/>
              </w:rPr>
              <w:lastRenderedPageBreak/>
              <w:t>о нарушении в подключении токовых цепей ИПУ</w:t>
            </w:r>
            <w:r w:rsidR="00834E9D" w:rsidRPr="001043A6">
              <w:rPr>
                <w:rFonts w:ascii="Garamond" w:hAnsi="Garamond"/>
                <w:sz w:val="22"/>
                <w:szCs w:val="22"/>
                <w:highlight w:val="yellow"/>
              </w:rPr>
              <w:t>, присоединенных к ИСУ</w:t>
            </w:r>
            <w:r w:rsidRPr="001043A6">
              <w:rPr>
                <w:rFonts w:ascii="Garamond" w:hAnsi="Garamond"/>
                <w:sz w:val="22"/>
                <w:szCs w:val="22"/>
                <w:highlight w:val="yellow"/>
              </w:rPr>
              <w:t>;</w:t>
            </w:r>
          </w:p>
          <w:p w14:paraId="6DE04C70" w14:textId="447D1705" w:rsidR="00AB5B04" w:rsidRPr="001043A6" w:rsidRDefault="00AB5B04" w:rsidP="00101F7C">
            <w:pPr>
              <w:pStyle w:val="ac"/>
              <w:numPr>
                <w:ilvl w:val="0"/>
                <w:numId w:val="102"/>
              </w:numPr>
              <w:tabs>
                <w:tab w:val="num" w:pos="1026"/>
              </w:tabs>
              <w:spacing w:line="259" w:lineRule="auto"/>
              <w:ind w:left="0" w:firstLine="459"/>
              <w:jc w:val="both"/>
              <w:rPr>
                <w:rFonts w:ascii="Garamond" w:hAnsi="Garamond"/>
                <w:sz w:val="22"/>
                <w:szCs w:val="22"/>
                <w:highlight w:val="yellow"/>
              </w:rPr>
            </w:pPr>
            <w:r w:rsidRPr="001043A6">
              <w:rPr>
                <w:rFonts w:ascii="Garamond" w:hAnsi="Garamond"/>
                <w:sz w:val="22"/>
                <w:szCs w:val="22"/>
                <w:highlight w:val="yellow"/>
              </w:rPr>
              <w:t>о включении (отключении) измерительных цепей И</w:t>
            </w:r>
            <w:r w:rsidR="0072254A" w:rsidRPr="001043A6">
              <w:rPr>
                <w:rFonts w:ascii="Garamond" w:hAnsi="Garamond"/>
                <w:sz w:val="22"/>
                <w:szCs w:val="22"/>
                <w:highlight w:val="yellow"/>
              </w:rPr>
              <w:t>ПУ</w:t>
            </w:r>
            <w:r w:rsidR="00834E9D" w:rsidRPr="001043A6">
              <w:rPr>
                <w:rFonts w:ascii="Garamond" w:hAnsi="Garamond"/>
                <w:sz w:val="22"/>
                <w:szCs w:val="22"/>
                <w:highlight w:val="yellow"/>
              </w:rPr>
              <w:t>, присоединенных к ИСУ</w:t>
            </w:r>
            <w:r w:rsidR="009428EA">
              <w:rPr>
                <w:rFonts w:ascii="Garamond" w:hAnsi="Garamond"/>
                <w:sz w:val="22"/>
                <w:szCs w:val="22"/>
                <w:highlight w:val="yellow"/>
              </w:rPr>
              <w:t>;</w:t>
            </w:r>
          </w:p>
          <w:p w14:paraId="50E15082" w14:textId="77777777" w:rsidR="00964038" w:rsidRPr="001043A6" w:rsidRDefault="00F61A6A" w:rsidP="00877E1C">
            <w:pPr>
              <w:tabs>
                <w:tab w:val="left" w:pos="1200"/>
              </w:tabs>
              <w:spacing w:line="259" w:lineRule="auto"/>
              <w:ind w:firstLine="462"/>
              <w:jc w:val="both"/>
              <w:rPr>
                <w:rFonts w:ascii="Garamond" w:hAnsi="Garamond"/>
                <w:sz w:val="22"/>
                <w:szCs w:val="22"/>
              </w:rPr>
            </w:pPr>
            <w:r w:rsidRPr="001043A6">
              <w:rPr>
                <w:rFonts w:ascii="Garamond" w:hAnsi="Garamond"/>
                <w:sz w:val="22"/>
                <w:szCs w:val="22"/>
                <w:highlight w:val="yellow"/>
              </w:rPr>
              <w:t>5.1.10.</w:t>
            </w:r>
            <w:r w:rsidRPr="001043A6">
              <w:rPr>
                <w:rFonts w:ascii="Garamond" w:hAnsi="Garamond"/>
                <w:sz w:val="22"/>
                <w:szCs w:val="22"/>
              </w:rPr>
              <w:t xml:space="preserve"> </w:t>
            </w:r>
            <w:r w:rsidR="00EA2950" w:rsidRPr="001043A6">
              <w:rPr>
                <w:rFonts w:ascii="Garamond" w:hAnsi="Garamond"/>
                <w:sz w:val="22"/>
                <w:szCs w:val="22"/>
              </w:rPr>
              <w:t xml:space="preserve">защиту от несанкционированного </w:t>
            </w:r>
            <w:r w:rsidR="00EA2950" w:rsidRPr="001043A6">
              <w:rPr>
                <w:rFonts w:ascii="Garamond" w:hAnsi="Garamond"/>
                <w:sz w:val="22"/>
                <w:szCs w:val="22"/>
                <w:highlight w:val="yellow"/>
              </w:rPr>
              <w:t>доступа,</w:t>
            </w:r>
            <w:r w:rsidR="00EA2950" w:rsidRPr="001043A6">
              <w:rPr>
                <w:rFonts w:ascii="Garamond" w:hAnsi="Garamond"/>
                <w:sz w:val="22"/>
                <w:szCs w:val="22"/>
              </w:rPr>
              <w:t xml:space="preserve"> изменения параметров </w:t>
            </w:r>
            <w:r w:rsidR="00EA2950" w:rsidRPr="001043A6">
              <w:rPr>
                <w:rFonts w:ascii="Garamond" w:hAnsi="Garamond"/>
                <w:sz w:val="22"/>
                <w:szCs w:val="22"/>
                <w:highlight w:val="yellow"/>
              </w:rPr>
              <w:t>ИВК</w:t>
            </w:r>
            <w:r w:rsidR="00EA2950" w:rsidRPr="001043A6">
              <w:rPr>
                <w:rFonts w:ascii="Garamond" w:hAnsi="Garamond"/>
                <w:sz w:val="22"/>
                <w:szCs w:val="22"/>
              </w:rPr>
              <w:t xml:space="preserve"> и любого изменения данных</w:t>
            </w:r>
            <w:r w:rsidR="00EA2950" w:rsidRPr="001043A6">
              <w:rPr>
                <w:rFonts w:ascii="Garamond" w:hAnsi="Garamond"/>
                <w:sz w:val="22"/>
                <w:szCs w:val="22"/>
                <w:highlight w:val="yellow"/>
              </w:rPr>
              <w:t>, содержащихся в ИВК, при этом защита должна быть обеспечена на программном (логическом) уровне (установка паролей, идентификация и аутентификация, контроль доступа</w:t>
            </w:r>
            <w:r w:rsidR="000916E9" w:rsidRPr="001043A6">
              <w:rPr>
                <w:rFonts w:ascii="Garamond" w:hAnsi="Garamond"/>
                <w:sz w:val="22"/>
                <w:szCs w:val="22"/>
                <w:highlight w:val="yellow"/>
              </w:rPr>
              <w:t>)</w:t>
            </w:r>
            <w:r w:rsidR="00EA2950" w:rsidRPr="001043A6">
              <w:rPr>
                <w:rFonts w:ascii="Garamond" w:hAnsi="Garamond"/>
                <w:sz w:val="22"/>
                <w:szCs w:val="22"/>
                <w:highlight w:val="yellow"/>
              </w:rPr>
              <w:t xml:space="preserve"> и аппаратном (физическом</w:t>
            </w:r>
            <w:r w:rsidR="00E428CB" w:rsidRPr="001043A6">
              <w:rPr>
                <w:rFonts w:ascii="Garamond" w:hAnsi="Garamond"/>
                <w:sz w:val="22"/>
                <w:szCs w:val="22"/>
                <w:highlight w:val="yellow"/>
              </w:rPr>
              <w:t>, механическом</w:t>
            </w:r>
            <w:r w:rsidR="00EA2950" w:rsidRPr="001043A6">
              <w:rPr>
                <w:rFonts w:ascii="Garamond" w:hAnsi="Garamond"/>
                <w:sz w:val="22"/>
                <w:szCs w:val="22"/>
                <w:highlight w:val="yellow"/>
              </w:rPr>
              <w:t>) уровне (установка пломб, марок и т.п.)</w:t>
            </w:r>
            <w:r w:rsidR="00A84F49" w:rsidRPr="001043A6">
              <w:rPr>
                <w:rFonts w:ascii="Garamond" w:hAnsi="Garamond"/>
                <w:sz w:val="22"/>
                <w:szCs w:val="22"/>
              </w:rPr>
              <w:t>;</w:t>
            </w:r>
          </w:p>
          <w:p w14:paraId="6EDA73C0" w14:textId="77777777" w:rsidR="00964038" w:rsidRPr="001043A6" w:rsidRDefault="00F61A6A" w:rsidP="00877E1C">
            <w:pPr>
              <w:widowControl w:val="0"/>
              <w:spacing w:line="259" w:lineRule="auto"/>
              <w:ind w:firstLine="462"/>
              <w:jc w:val="both"/>
              <w:rPr>
                <w:rFonts w:ascii="Garamond" w:hAnsi="Garamond"/>
                <w:sz w:val="22"/>
                <w:szCs w:val="22"/>
              </w:rPr>
            </w:pPr>
            <w:r w:rsidRPr="001043A6">
              <w:rPr>
                <w:rFonts w:ascii="Garamond" w:hAnsi="Garamond"/>
                <w:sz w:val="22"/>
                <w:szCs w:val="22"/>
                <w:highlight w:val="yellow"/>
              </w:rPr>
              <w:t>5.1.11.</w:t>
            </w:r>
            <w:r w:rsidRPr="001043A6">
              <w:rPr>
                <w:rFonts w:ascii="Garamond" w:hAnsi="Garamond"/>
                <w:sz w:val="22"/>
                <w:szCs w:val="22"/>
              </w:rPr>
              <w:t xml:space="preserve"> </w:t>
            </w:r>
            <w:r w:rsidR="00964038" w:rsidRPr="001043A6">
              <w:rPr>
                <w:rFonts w:ascii="Garamond" w:hAnsi="Garamond"/>
                <w:sz w:val="22"/>
                <w:szCs w:val="22"/>
              </w:rPr>
              <w:t xml:space="preserve">конфигурирование и параметрирование </w:t>
            </w:r>
            <w:r w:rsidR="0048334A" w:rsidRPr="001043A6">
              <w:rPr>
                <w:rFonts w:ascii="Garamond" w:hAnsi="Garamond"/>
                <w:sz w:val="22"/>
                <w:szCs w:val="22"/>
                <w:highlight w:val="yellow"/>
              </w:rPr>
              <w:t>средств измерений,</w:t>
            </w:r>
            <w:r w:rsidR="0048334A" w:rsidRPr="001043A6">
              <w:rPr>
                <w:rFonts w:ascii="Garamond" w:hAnsi="Garamond"/>
                <w:sz w:val="22"/>
                <w:szCs w:val="22"/>
              </w:rPr>
              <w:t xml:space="preserve"> </w:t>
            </w:r>
            <w:r w:rsidR="00964038" w:rsidRPr="001043A6">
              <w:rPr>
                <w:rFonts w:ascii="Garamond" w:hAnsi="Garamond"/>
                <w:sz w:val="22"/>
                <w:szCs w:val="22"/>
              </w:rPr>
              <w:t xml:space="preserve">технических </w:t>
            </w:r>
            <w:r w:rsidR="00D47D6F" w:rsidRPr="001043A6">
              <w:rPr>
                <w:rFonts w:ascii="Garamond" w:hAnsi="Garamond"/>
                <w:sz w:val="22"/>
                <w:szCs w:val="22"/>
                <w:highlight w:val="yellow"/>
              </w:rPr>
              <w:t>устройств</w:t>
            </w:r>
            <w:r w:rsidR="00964038" w:rsidRPr="001043A6">
              <w:rPr>
                <w:rFonts w:ascii="Garamond" w:hAnsi="Garamond"/>
                <w:sz w:val="22"/>
                <w:szCs w:val="22"/>
              </w:rPr>
              <w:t xml:space="preserve"> и программного обеспечения ИВК.</w:t>
            </w:r>
          </w:p>
          <w:p w14:paraId="4D977580" w14:textId="77777777" w:rsidR="005C5A2F" w:rsidRPr="001043A6" w:rsidRDefault="003173B7" w:rsidP="005C5A2F">
            <w:pPr>
              <w:widowControl w:val="0"/>
              <w:spacing w:line="259" w:lineRule="auto"/>
              <w:ind w:firstLine="459"/>
              <w:jc w:val="both"/>
              <w:rPr>
                <w:rFonts w:ascii="Garamond" w:hAnsi="Garamond"/>
                <w:sz w:val="22"/>
                <w:szCs w:val="22"/>
                <w:highlight w:val="yellow"/>
              </w:rPr>
            </w:pPr>
            <w:r w:rsidRPr="001043A6">
              <w:rPr>
                <w:rFonts w:ascii="Garamond" w:hAnsi="Garamond"/>
                <w:sz w:val="22"/>
                <w:szCs w:val="22"/>
                <w:highlight w:val="yellow"/>
              </w:rPr>
              <w:t xml:space="preserve">5.1.12. </w:t>
            </w:r>
            <w:r w:rsidR="005C5A2F" w:rsidRPr="001043A6">
              <w:rPr>
                <w:rFonts w:ascii="Garamond" w:hAnsi="Garamond"/>
                <w:sz w:val="22"/>
                <w:szCs w:val="22"/>
                <w:highlight w:val="yellow"/>
              </w:rPr>
              <w:t>ИСУ дополнительно обеспечивает:</w:t>
            </w:r>
          </w:p>
          <w:p w14:paraId="468386F1" w14:textId="0D48EB6F" w:rsidR="005C5A2F" w:rsidRPr="001043A6" w:rsidRDefault="009B5F03" w:rsidP="005C5A2F">
            <w:pPr>
              <w:widowControl w:val="0"/>
              <w:spacing w:line="259" w:lineRule="auto"/>
              <w:ind w:firstLine="459"/>
              <w:jc w:val="both"/>
              <w:rPr>
                <w:rFonts w:ascii="Garamond" w:hAnsi="Garamond"/>
                <w:sz w:val="22"/>
                <w:szCs w:val="22"/>
                <w:highlight w:val="yellow"/>
              </w:rPr>
            </w:pPr>
            <w:r>
              <w:rPr>
                <w:rFonts w:ascii="Garamond" w:hAnsi="Garamond"/>
                <w:sz w:val="22"/>
                <w:szCs w:val="22"/>
                <w:highlight w:val="yellow"/>
              </w:rPr>
              <w:t xml:space="preserve">– </w:t>
            </w:r>
            <w:r w:rsidR="00406ECC" w:rsidRPr="001043A6">
              <w:rPr>
                <w:rFonts w:ascii="Garamond" w:hAnsi="Garamond"/>
                <w:sz w:val="22"/>
                <w:szCs w:val="22"/>
                <w:highlight w:val="yellow"/>
              </w:rPr>
              <w:t>оповещение о возможных недостоверных данных, поступающих с ИПУ в случае срабатывания индикаторов вскрытия электронных пломб на корпусе и клеммной крышке ИПУ, воздействия магнитным полем на элементы ИПУ, неработоспособности ИПУ вследствие аппаратного или программного сбоя, его отключения (после повторного включения), перезагрузки;</w:t>
            </w:r>
          </w:p>
          <w:p w14:paraId="3EDCA46B" w14:textId="49380F55" w:rsidR="00406ECC" w:rsidRPr="001043A6" w:rsidRDefault="009B5F03" w:rsidP="003173B7">
            <w:pPr>
              <w:widowControl w:val="0"/>
              <w:spacing w:line="259" w:lineRule="auto"/>
              <w:ind w:firstLine="459"/>
              <w:jc w:val="both"/>
              <w:rPr>
                <w:rFonts w:ascii="Garamond" w:hAnsi="Garamond"/>
                <w:sz w:val="22"/>
                <w:szCs w:val="22"/>
                <w:highlight w:val="yellow"/>
              </w:rPr>
            </w:pPr>
            <w:r>
              <w:rPr>
                <w:rFonts w:ascii="Garamond" w:hAnsi="Garamond"/>
                <w:sz w:val="22"/>
                <w:szCs w:val="22"/>
                <w:highlight w:val="yellow"/>
              </w:rPr>
              <w:t xml:space="preserve">– </w:t>
            </w:r>
            <w:r w:rsidR="00B16F6E" w:rsidRPr="001043A6">
              <w:rPr>
                <w:rFonts w:ascii="Garamond" w:hAnsi="Garamond"/>
                <w:sz w:val="22"/>
                <w:szCs w:val="22"/>
                <w:highlight w:val="yellow"/>
              </w:rPr>
              <w:t xml:space="preserve">справочное </w:t>
            </w:r>
            <w:r w:rsidR="003173B7" w:rsidRPr="001043A6">
              <w:rPr>
                <w:rFonts w:ascii="Garamond" w:hAnsi="Garamond"/>
                <w:sz w:val="22"/>
                <w:szCs w:val="22"/>
                <w:highlight w:val="yellow"/>
              </w:rPr>
              <w:t xml:space="preserve">предоставление информации о величине потерь </w:t>
            </w:r>
            <w:r w:rsidR="000D73B3" w:rsidRPr="001043A6">
              <w:rPr>
                <w:rFonts w:ascii="Garamond" w:hAnsi="Garamond"/>
                <w:sz w:val="22"/>
                <w:szCs w:val="22"/>
                <w:highlight w:val="yellow"/>
              </w:rPr>
              <w:t>электро</w:t>
            </w:r>
            <w:r w:rsidR="003173B7" w:rsidRPr="001043A6">
              <w:rPr>
                <w:rFonts w:ascii="Garamond" w:hAnsi="Garamond"/>
                <w:sz w:val="22"/>
                <w:szCs w:val="22"/>
                <w:highlight w:val="yellow"/>
              </w:rPr>
              <w:t xml:space="preserve">энергии в объектах электросетевого хозяйства на участке сети от точки измерений до точки поставки, </w:t>
            </w:r>
            <w:r w:rsidR="006834C3" w:rsidRPr="001043A6">
              <w:rPr>
                <w:rFonts w:ascii="Garamond" w:hAnsi="Garamond"/>
                <w:sz w:val="22"/>
                <w:szCs w:val="22"/>
                <w:highlight w:val="yellow"/>
              </w:rPr>
              <w:t xml:space="preserve">характеристиках указанных объектов электросетевого хозяйства, а также об </w:t>
            </w:r>
            <w:r w:rsidR="003173B7" w:rsidRPr="001043A6">
              <w:rPr>
                <w:rFonts w:ascii="Garamond" w:hAnsi="Garamond"/>
                <w:sz w:val="22"/>
                <w:szCs w:val="22"/>
                <w:highlight w:val="yellow"/>
              </w:rPr>
              <w:t>алгоритм</w:t>
            </w:r>
            <w:r w:rsidR="006834C3" w:rsidRPr="001043A6">
              <w:rPr>
                <w:rFonts w:ascii="Garamond" w:hAnsi="Garamond"/>
                <w:sz w:val="22"/>
                <w:szCs w:val="22"/>
                <w:highlight w:val="yellow"/>
              </w:rPr>
              <w:t>е</w:t>
            </w:r>
            <w:r w:rsidR="003173B7" w:rsidRPr="001043A6">
              <w:rPr>
                <w:rFonts w:ascii="Garamond" w:hAnsi="Garamond"/>
                <w:sz w:val="22"/>
                <w:szCs w:val="22"/>
                <w:highlight w:val="yellow"/>
              </w:rPr>
              <w:t xml:space="preserve"> определения объема принятой и отданной </w:t>
            </w:r>
            <w:r w:rsidR="000D73B3" w:rsidRPr="001043A6">
              <w:rPr>
                <w:rFonts w:ascii="Garamond" w:hAnsi="Garamond"/>
                <w:sz w:val="22"/>
                <w:szCs w:val="22"/>
                <w:highlight w:val="yellow"/>
              </w:rPr>
              <w:t>электро</w:t>
            </w:r>
            <w:r w:rsidR="003173B7" w:rsidRPr="001043A6">
              <w:rPr>
                <w:rFonts w:ascii="Garamond" w:hAnsi="Garamond"/>
                <w:sz w:val="22"/>
                <w:szCs w:val="22"/>
                <w:highlight w:val="yellow"/>
              </w:rPr>
              <w:t>энергии по точке поставки на основании результатов измерений в точке измерений (</w:t>
            </w:r>
            <w:r w:rsidR="00B16F6E" w:rsidRPr="001043A6">
              <w:rPr>
                <w:rFonts w:ascii="Garamond" w:hAnsi="Garamond"/>
                <w:sz w:val="22"/>
                <w:szCs w:val="22"/>
                <w:highlight w:val="yellow"/>
              </w:rPr>
              <w:t xml:space="preserve">в случае если при определении объема потребления (производства, передачи) </w:t>
            </w:r>
            <w:r w:rsidR="000D73B3" w:rsidRPr="001043A6">
              <w:rPr>
                <w:rFonts w:ascii="Garamond" w:hAnsi="Garamond"/>
                <w:sz w:val="22"/>
                <w:szCs w:val="22"/>
                <w:highlight w:val="yellow"/>
              </w:rPr>
              <w:t>электро</w:t>
            </w:r>
            <w:r w:rsidR="00B16F6E" w:rsidRPr="001043A6">
              <w:rPr>
                <w:rFonts w:ascii="Garamond" w:hAnsi="Garamond"/>
                <w:sz w:val="22"/>
                <w:szCs w:val="22"/>
                <w:highlight w:val="yellow"/>
              </w:rPr>
              <w:t>энергии предусмотрена корректировка соответствующего объема, определенного на основании показаний ИПУ, на величину потерь на участке сети от точки поставки до точки измерений</w:t>
            </w:r>
            <w:r w:rsidR="003173B7" w:rsidRPr="001043A6">
              <w:rPr>
                <w:rFonts w:ascii="Garamond" w:hAnsi="Garamond"/>
                <w:sz w:val="22"/>
                <w:szCs w:val="22"/>
                <w:highlight w:val="yellow"/>
              </w:rPr>
              <w:t>);</w:t>
            </w:r>
          </w:p>
          <w:p w14:paraId="319C60AF" w14:textId="528B1BB2" w:rsidR="003173B7" w:rsidRPr="001043A6" w:rsidRDefault="009B5F03" w:rsidP="003173B7">
            <w:pPr>
              <w:widowControl w:val="0"/>
              <w:spacing w:line="259" w:lineRule="auto"/>
              <w:ind w:firstLine="459"/>
              <w:jc w:val="both"/>
              <w:rPr>
                <w:rFonts w:ascii="Garamond" w:hAnsi="Garamond"/>
                <w:sz w:val="22"/>
                <w:szCs w:val="22"/>
                <w:highlight w:val="yellow"/>
              </w:rPr>
            </w:pPr>
            <w:r>
              <w:rPr>
                <w:rFonts w:ascii="Garamond" w:hAnsi="Garamond"/>
                <w:sz w:val="22"/>
                <w:szCs w:val="22"/>
                <w:highlight w:val="yellow"/>
              </w:rPr>
              <w:t xml:space="preserve">– </w:t>
            </w:r>
            <w:r w:rsidR="003173B7" w:rsidRPr="001043A6">
              <w:rPr>
                <w:rFonts w:ascii="Garamond" w:hAnsi="Garamond"/>
                <w:sz w:val="22"/>
                <w:szCs w:val="22"/>
                <w:highlight w:val="yellow"/>
              </w:rPr>
              <w:t xml:space="preserve">в случае использования расчетных способов определения объемов электроэнергии (замещающей информации) </w:t>
            </w:r>
            <w:r w:rsidR="000460AC" w:rsidRPr="001043A6">
              <w:rPr>
                <w:rFonts w:ascii="Garamond" w:hAnsi="Garamond"/>
                <w:sz w:val="22"/>
                <w:szCs w:val="22"/>
                <w:highlight w:val="yellow"/>
              </w:rPr>
              <w:t>–</w:t>
            </w:r>
            <w:r w:rsidR="003173B7" w:rsidRPr="001043A6">
              <w:rPr>
                <w:rFonts w:ascii="Garamond" w:hAnsi="Garamond"/>
                <w:sz w:val="22"/>
                <w:szCs w:val="22"/>
                <w:highlight w:val="yellow"/>
              </w:rPr>
              <w:t xml:space="preserve"> </w:t>
            </w:r>
            <w:r w:rsidR="000460AC" w:rsidRPr="001043A6">
              <w:rPr>
                <w:rFonts w:ascii="Garamond" w:hAnsi="Garamond"/>
                <w:sz w:val="22"/>
                <w:szCs w:val="22"/>
                <w:highlight w:val="yellow"/>
              </w:rPr>
              <w:t xml:space="preserve">справочное </w:t>
            </w:r>
            <w:r w:rsidR="00A256C6" w:rsidRPr="001043A6">
              <w:rPr>
                <w:rFonts w:ascii="Garamond" w:hAnsi="Garamond"/>
                <w:sz w:val="22"/>
                <w:szCs w:val="22"/>
                <w:highlight w:val="yellow"/>
              </w:rPr>
              <w:t>отображение</w:t>
            </w:r>
            <w:r w:rsidR="003173B7" w:rsidRPr="001043A6">
              <w:rPr>
                <w:rFonts w:ascii="Garamond" w:hAnsi="Garamond"/>
                <w:sz w:val="22"/>
                <w:szCs w:val="22"/>
                <w:highlight w:val="yellow"/>
              </w:rPr>
              <w:t xml:space="preserve"> </w:t>
            </w:r>
            <w:r w:rsidR="00A256C6" w:rsidRPr="001043A6">
              <w:rPr>
                <w:rFonts w:ascii="Garamond" w:hAnsi="Garamond"/>
                <w:sz w:val="22"/>
                <w:szCs w:val="22"/>
                <w:highlight w:val="yellow"/>
              </w:rPr>
              <w:t>сведений</w:t>
            </w:r>
            <w:r w:rsidR="003173B7" w:rsidRPr="001043A6">
              <w:rPr>
                <w:rFonts w:ascii="Garamond" w:hAnsi="Garamond"/>
                <w:sz w:val="22"/>
                <w:szCs w:val="22"/>
                <w:highlight w:val="yellow"/>
              </w:rPr>
              <w:t xml:space="preserve"> об их использовании</w:t>
            </w:r>
            <w:r w:rsidR="00A256C6" w:rsidRPr="001043A6">
              <w:rPr>
                <w:rFonts w:ascii="Garamond" w:hAnsi="Garamond"/>
                <w:sz w:val="22"/>
                <w:szCs w:val="22"/>
                <w:highlight w:val="yellow"/>
              </w:rPr>
              <w:t xml:space="preserve"> вместо результатов измерений ИПУ</w:t>
            </w:r>
            <w:r w:rsidR="003173B7" w:rsidRPr="001043A6">
              <w:rPr>
                <w:rFonts w:ascii="Garamond" w:hAnsi="Garamond"/>
                <w:sz w:val="22"/>
                <w:szCs w:val="22"/>
                <w:highlight w:val="yellow"/>
              </w:rPr>
              <w:t>;</w:t>
            </w:r>
          </w:p>
          <w:p w14:paraId="5735DBCF" w14:textId="07FEEBD3" w:rsidR="003173B7" w:rsidRPr="001043A6" w:rsidRDefault="009B5F03" w:rsidP="006834C3">
            <w:pPr>
              <w:widowControl w:val="0"/>
              <w:spacing w:line="259" w:lineRule="auto"/>
              <w:ind w:firstLine="459"/>
              <w:jc w:val="both"/>
              <w:rPr>
                <w:rFonts w:ascii="Garamond" w:hAnsi="Garamond"/>
                <w:sz w:val="22"/>
                <w:szCs w:val="22"/>
                <w:highlight w:val="yellow"/>
              </w:rPr>
            </w:pPr>
            <w:r>
              <w:rPr>
                <w:rFonts w:ascii="Garamond" w:hAnsi="Garamond"/>
                <w:sz w:val="22"/>
                <w:szCs w:val="22"/>
                <w:highlight w:val="yellow"/>
              </w:rPr>
              <w:t xml:space="preserve">– </w:t>
            </w:r>
            <w:r w:rsidR="006834C3" w:rsidRPr="001043A6">
              <w:rPr>
                <w:rFonts w:ascii="Garamond" w:hAnsi="Garamond"/>
                <w:sz w:val="22"/>
                <w:szCs w:val="22"/>
                <w:highlight w:val="yellow"/>
              </w:rPr>
              <w:t>предоставление информации об уникальном идентификаторе точки поставки в соответствии с методикой и порядком кодификации точек поставки (точек учета), устанавливаемым</w:t>
            </w:r>
            <w:r w:rsidR="004258F2">
              <w:rPr>
                <w:rFonts w:ascii="Garamond" w:hAnsi="Garamond"/>
                <w:sz w:val="22"/>
                <w:szCs w:val="22"/>
                <w:highlight w:val="yellow"/>
              </w:rPr>
              <w:t>и</w:t>
            </w:r>
            <w:r w:rsidR="006834C3" w:rsidRPr="001043A6">
              <w:rPr>
                <w:rFonts w:ascii="Garamond" w:hAnsi="Garamond"/>
                <w:sz w:val="22"/>
                <w:szCs w:val="22"/>
                <w:highlight w:val="yellow"/>
              </w:rPr>
              <w:t xml:space="preserve"> в соответствии с нормативными </w:t>
            </w:r>
            <w:r w:rsidR="006834C3" w:rsidRPr="001043A6">
              <w:rPr>
                <w:rFonts w:ascii="Garamond" w:hAnsi="Garamond"/>
                <w:sz w:val="22"/>
                <w:szCs w:val="22"/>
                <w:highlight w:val="yellow"/>
              </w:rPr>
              <w:lastRenderedPageBreak/>
              <w:t>правовыми актами;</w:t>
            </w:r>
          </w:p>
          <w:p w14:paraId="483E83EB" w14:textId="2E35AFDA" w:rsidR="006834C3" w:rsidRPr="001043A6" w:rsidRDefault="009B5F03" w:rsidP="006834C3">
            <w:pPr>
              <w:widowControl w:val="0"/>
              <w:spacing w:line="259" w:lineRule="auto"/>
              <w:ind w:firstLine="459"/>
              <w:jc w:val="both"/>
              <w:rPr>
                <w:rFonts w:ascii="Garamond" w:hAnsi="Garamond"/>
                <w:sz w:val="22"/>
                <w:szCs w:val="22"/>
                <w:highlight w:val="yellow"/>
              </w:rPr>
            </w:pPr>
            <w:r>
              <w:rPr>
                <w:rFonts w:ascii="Garamond" w:hAnsi="Garamond"/>
                <w:sz w:val="22"/>
                <w:szCs w:val="22"/>
                <w:highlight w:val="yellow"/>
              </w:rPr>
              <w:t xml:space="preserve">– </w:t>
            </w:r>
            <w:r w:rsidR="006834C3" w:rsidRPr="001043A6">
              <w:rPr>
                <w:rFonts w:ascii="Garamond" w:hAnsi="Garamond"/>
                <w:sz w:val="22"/>
                <w:szCs w:val="22"/>
                <w:highlight w:val="yellow"/>
              </w:rPr>
              <w:t>предоставление информации о пользователе ИСУ (полное наименование, номер записи в Едином государственном реестре юридических лиц и дата ее внесения в реестр, номер записи в Едином государственном реестре индивидуальных предпринимателей и дата ее внесения в реестр, адрес энергопринимающего устройства, номер договора энергоснабжения (лицевого счета физического лица, договора, содержащего положения о предоставлении коммунальной услуги по электроснабжению, договора купли-продажи (поставки) электрической энергии (мощности), договора оказания услуг по передаче электрической энергии, соглашения)</w:t>
            </w:r>
            <w:r w:rsidR="004258F2">
              <w:rPr>
                <w:rFonts w:ascii="Garamond" w:hAnsi="Garamond"/>
                <w:sz w:val="22"/>
                <w:szCs w:val="22"/>
                <w:highlight w:val="yellow"/>
              </w:rPr>
              <w:t>)</w:t>
            </w:r>
            <w:r w:rsidR="006834C3" w:rsidRPr="001043A6">
              <w:rPr>
                <w:rFonts w:ascii="Garamond" w:hAnsi="Garamond"/>
                <w:sz w:val="22"/>
                <w:szCs w:val="22"/>
                <w:highlight w:val="yellow"/>
              </w:rPr>
              <w:t>;</w:t>
            </w:r>
          </w:p>
          <w:p w14:paraId="2157A18B" w14:textId="0F555E41" w:rsidR="006834C3" w:rsidRPr="001043A6" w:rsidRDefault="009B5F03" w:rsidP="000D73B3">
            <w:pPr>
              <w:widowControl w:val="0"/>
              <w:spacing w:line="259" w:lineRule="auto"/>
              <w:ind w:firstLine="459"/>
              <w:jc w:val="both"/>
              <w:rPr>
                <w:rFonts w:ascii="Garamond" w:hAnsi="Garamond"/>
                <w:sz w:val="22"/>
                <w:szCs w:val="22"/>
              </w:rPr>
            </w:pPr>
            <w:r>
              <w:rPr>
                <w:rFonts w:ascii="Garamond" w:hAnsi="Garamond"/>
                <w:sz w:val="22"/>
                <w:szCs w:val="22"/>
                <w:highlight w:val="yellow"/>
              </w:rPr>
              <w:t xml:space="preserve">– </w:t>
            </w:r>
            <w:r w:rsidR="006834C3" w:rsidRPr="001043A6">
              <w:rPr>
                <w:rFonts w:ascii="Garamond" w:hAnsi="Garamond"/>
                <w:sz w:val="22"/>
                <w:szCs w:val="22"/>
                <w:highlight w:val="yellow"/>
              </w:rPr>
              <w:t>предоставление информации о характеристиках точки измерений (место установки, типы и модификации, регистрационные номера средств измерений утвержденного типа в Федеральном информационным фонде по обеспечению единства измерений, заводские номера используемых средств измерений (в том числе УСПД при наличии), их метрологические характеристики, дата ввода в эксплуатацию, дата последней и следующей поверки, дата последней инструментальной проверки, дата последнего снятия результатов измерений с прибора учета)</w:t>
            </w:r>
            <w:r w:rsidR="005201F2" w:rsidRPr="001043A6">
              <w:rPr>
                <w:rFonts w:ascii="Garamond" w:hAnsi="Garamond"/>
                <w:sz w:val="22"/>
                <w:szCs w:val="22"/>
                <w:highlight w:val="yellow"/>
              </w:rPr>
              <w:t>.</w:t>
            </w:r>
          </w:p>
        </w:tc>
      </w:tr>
      <w:tr w:rsidR="00964038" w:rsidRPr="001043A6" w14:paraId="10039857" w14:textId="77777777" w:rsidTr="001043A6">
        <w:tc>
          <w:tcPr>
            <w:tcW w:w="1031" w:type="dxa"/>
          </w:tcPr>
          <w:p w14:paraId="72A6AD00" w14:textId="77777777" w:rsidR="00964038" w:rsidRPr="001043A6" w:rsidRDefault="00406ECC" w:rsidP="00E11B82">
            <w:pPr>
              <w:widowControl w:val="0"/>
              <w:spacing w:line="259" w:lineRule="auto"/>
              <w:jc w:val="center"/>
              <w:rPr>
                <w:rFonts w:ascii="Garamond" w:hAnsi="Garamond"/>
                <w:b/>
                <w:sz w:val="22"/>
                <w:szCs w:val="22"/>
                <w:lang w:eastAsia="en-US"/>
              </w:rPr>
            </w:pPr>
            <w:r w:rsidRPr="001043A6">
              <w:rPr>
                <w:rFonts w:ascii="Garamond" w:hAnsi="Garamond"/>
                <w:b/>
                <w:sz w:val="22"/>
                <w:szCs w:val="22"/>
                <w:lang w:eastAsia="en-US"/>
              </w:rPr>
              <w:lastRenderedPageBreak/>
              <w:t>5.3</w:t>
            </w:r>
          </w:p>
        </w:tc>
        <w:tc>
          <w:tcPr>
            <w:tcW w:w="6833" w:type="dxa"/>
          </w:tcPr>
          <w:p w14:paraId="7F47D29B" w14:textId="138D0C97" w:rsidR="00406ECC" w:rsidRPr="001043A6" w:rsidRDefault="00406ECC" w:rsidP="00406ECC">
            <w:pPr>
              <w:tabs>
                <w:tab w:val="num" w:pos="1080"/>
              </w:tabs>
              <w:suppressAutoHyphens w:val="0"/>
              <w:spacing w:line="259" w:lineRule="auto"/>
              <w:ind w:firstLine="629"/>
              <w:jc w:val="both"/>
              <w:rPr>
                <w:rFonts w:ascii="Garamond" w:hAnsi="Garamond"/>
                <w:sz w:val="22"/>
                <w:szCs w:val="22"/>
              </w:rPr>
            </w:pPr>
            <w:r w:rsidRPr="001043A6">
              <w:rPr>
                <w:rFonts w:ascii="Garamond" w:hAnsi="Garamond"/>
                <w:sz w:val="22"/>
                <w:szCs w:val="22"/>
              </w:rPr>
              <w:t xml:space="preserve">Требования к каналу связи при организации дистанционного доступа КО к </w:t>
            </w:r>
            <w:r w:rsidRPr="001043A6">
              <w:rPr>
                <w:rFonts w:ascii="Garamond" w:hAnsi="Garamond"/>
                <w:sz w:val="22"/>
                <w:szCs w:val="22"/>
                <w:highlight w:val="yellow"/>
              </w:rPr>
              <w:t>АИИС КУЭ</w:t>
            </w:r>
            <w:r w:rsidRPr="001043A6">
              <w:rPr>
                <w:rFonts w:ascii="Garamond" w:hAnsi="Garamond"/>
                <w:sz w:val="22"/>
                <w:szCs w:val="22"/>
              </w:rPr>
              <w:t>.</w:t>
            </w:r>
            <w:r w:rsidR="009B5F03">
              <w:rPr>
                <w:rFonts w:ascii="Garamond" w:hAnsi="Garamond"/>
                <w:sz w:val="22"/>
                <w:szCs w:val="22"/>
              </w:rPr>
              <w:t xml:space="preserve"> </w:t>
            </w:r>
          </w:p>
          <w:p w14:paraId="01677D06" w14:textId="6ED77AFB" w:rsidR="00406ECC" w:rsidRPr="001043A6" w:rsidRDefault="00406ECC" w:rsidP="00406ECC">
            <w:pPr>
              <w:tabs>
                <w:tab w:val="num" w:pos="1080"/>
              </w:tabs>
              <w:spacing w:line="259" w:lineRule="auto"/>
              <w:ind w:firstLine="601"/>
              <w:jc w:val="both"/>
              <w:rPr>
                <w:rFonts w:ascii="Garamond" w:hAnsi="Garamond"/>
                <w:sz w:val="22"/>
                <w:szCs w:val="22"/>
              </w:rPr>
            </w:pPr>
            <w:r w:rsidRPr="001043A6">
              <w:rPr>
                <w:rFonts w:ascii="Garamond" w:hAnsi="Garamond"/>
                <w:sz w:val="22"/>
                <w:szCs w:val="22"/>
              </w:rPr>
              <w:t xml:space="preserve">Канал связи (интернет-соединение) организуется по запросу КО с уровня ИВК </w:t>
            </w:r>
            <w:r w:rsidRPr="001043A6">
              <w:rPr>
                <w:rFonts w:ascii="Garamond" w:hAnsi="Garamond"/>
                <w:sz w:val="22"/>
                <w:szCs w:val="22"/>
                <w:highlight w:val="yellow"/>
              </w:rPr>
              <w:t>АИИС КУЭ</w:t>
            </w:r>
            <w:r w:rsidRPr="001043A6">
              <w:rPr>
                <w:rFonts w:ascii="Garamond" w:hAnsi="Garamond"/>
                <w:sz w:val="22"/>
                <w:szCs w:val="22"/>
              </w:rPr>
              <w:t xml:space="preserve"> до рабочего места в КО на </w:t>
            </w:r>
            <w:r w:rsidRPr="001043A6">
              <w:rPr>
                <w:rFonts w:ascii="Garamond" w:hAnsi="Garamond"/>
                <w:sz w:val="22"/>
                <w:szCs w:val="22"/>
                <w:highlight w:val="yellow"/>
              </w:rPr>
              <w:t>согласованный с КО</w:t>
            </w:r>
            <w:r w:rsidRPr="001043A6">
              <w:rPr>
                <w:rFonts w:ascii="Garamond" w:hAnsi="Garamond"/>
                <w:sz w:val="22"/>
                <w:szCs w:val="22"/>
              </w:rPr>
              <w:t xml:space="preserve"> период со следующими характеристиками:</w:t>
            </w:r>
            <w:r w:rsidR="009B5F03">
              <w:rPr>
                <w:rFonts w:ascii="Garamond" w:hAnsi="Garamond"/>
                <w:sz w:val="22"/>
                <w:szCs w:val="22"/>
              </w:rPr>
              <w:t xml:space="preserve"> </w:t>
            </w:r>
          </w:p>
          <w:p w14:paraId="7A33F444" w14:textId="77777777" w:rsidR="00406ECC" w:rsidRPr="001043A6" w:rsidRDefault="00406ECC" w:rsidP="00101F7C">
            <w:pPr>
              <w:numPr>
                <w:ilvl w:val="0"/>
                <w:numId w:val="100"/>
              </w:numPr>
              <w:tabs>
                <w:tab w:val="clear" w:pos="1353"/>
                <w:tab w:val="num" w:pos="960"/>
                <w:tab w:val="num" w:pos="1440"/>
              </w:tabs>
              <w:suppressAutoHyphens w:val="0"/>
              <w:spacing w:line="259" w:lineRule="auto"/>
              <w:ind w:left="0" w:firstLine="601"/>
              <w:jc w:val="both"/>
              <w:rPr>
                <w:rFonts w:ascii="Garamond" w:hAnsi="Garamond"/>
                <w:sz w:val="22"/>
                <w:szCs w:val="22"/>
              </w:rPr>
            </w:pPr>
            <w:r w:rsidRPr="001043A6">
              <w:rPr>
                <w:rFonts w:ascii="Garamond" w:hAnsi="Garamond"/>
                <w:sz w:val="22"/>
                <w:szCs w:val="22"/>
              </w:rPr>
              <w:t>коэффициент готовности – не менее 0,99 (на весь период предоставления канала);</w:t>
            </w:r>
          </w:p>
          <w:p w14:paraId="362ED189" w14:textId="77777777" w:rsidR="00406ECC" w:rsidRPr="001043A6" w:rsidRDefault="00406ECC" w:rsidP="00101F7C">
            <w:pPr>
              <w:numPr>
                <w:ilvl w:val="0"/>
                <w:numId w:val="100"/>
              </w:numPr>
              <w:tabs>
                <w:tab w:val="clear" w:pos="1353"/>
                <w:tab w:val="num" w:pos="960"/>
                <w:tab w:val="num" w:pos="1440"/>
              </w:tabs>
              <w:suppressAutoHyphens w:val="0"/>
              <w:spacing w:line="259" w:lineRule="auto"/>
              <w:ind w:left="0" w:firstLine="601"/>
              <w:jc w:val="both"/>
              <w:rPr>
                <w:rFonts w:ascii="Garamond" w:hAnsi="Garamond"/>
                <w:sz w:val="22"/>
                <w:szCs w:val="22"/>
              </w:rPr>
            </w:pPr>
            <w:r w:rsidRPr="001043A6">
              <w:rPr>
                <w:rFonts w:ascii="Garamond" w:hAnsi="Garamond"/>
                <w:sz w:val="22"/>
                <w:szCs w:val="22"/>
              </w:rPr>
              <w:t>время восстановления – не более 1 часа (суммарно за 1 рабочий день);</w:t>
            </w:r>
          </w:p>
          <w:p w14:paraId="3D294B50" w14:textId="77777777" w:rsidR="00406ECC" w:rsidRPr="001043A6" w:rsidRDefault="00406ECC" w:rsidP="00101F7C">
            <w:pPr>
              <w:numPr>
                <w:ilvl w:val="0"/>
                <w:numId w:val="100"/>
              </w:numPr>
              <w:tabs>
                <w:tab w:val="clear" w:pos="1353"/>
                <w:tab w:val="num" w:pos="960"/>
                <w:tab w:val="num" w:pos="1440"/>
              </w:tabs>
              <w:suppressAutoHyphens w:val="0"/>
              <w:spacing w:line="259" w:lineRule="auto"/>
              <w:ind w:left="0" w:firstLine="601"/>
              <w:jc w:val="both"/>
              <w:rPr>
                <w:rFonts w:ascii="Garamond" w:hAnsi="Garamond"/>
                <w:sz w:val="22"/>
                <w:szCs w:val="22"/>
              </w:rPr>
            </w:pPr>
            <w:r w:rsidRPr="001043A6">
              <w:rPr>
                <w:rFonts w:ascii="Garamond" w:hAnsi="Garamond"/>
                <w:sz w:val="22"/>
                <w:szCs w:val="22"/>
              </w:rPr>
              <w:t xml:space="preserve">скорость – не менее 1 Мбит/с. </w:t>
            </w:r>
          </w:p>
          <w:p w14:paraId="743B0E08" w14:textId="77777777" w:rsidR="00964038" w:rsidRPr="001043A6" w:rsidRDefault="00406ECC" w:rsidP="00406ECC">
            <w:pPr>
              <w:tabs>
                <w:tab w:val="num" w:pos="1440"/>
              </w:tabs>
              <w:spacing w:line="259" w:lineRule="auto"/>
              <w:ind w:firstLine="601"/>
              <w:jc w:val="both"/>
              <w:rPr>
                <w:rFonts w:ascii="Garamond" w:hAnsi="Garamond"/>
                <w:sz w:val="22"/>
                <w:szCs w:val="22"/>
              </w:rPr>
            </w:pPr>
            <w:r w:rsidRPr="001043A6">
              <w:rPr>
                <w:rFonts w:ascii="Garamond" w:hAnsi="Garamond"/>
                <w:sz w:val="22"/>
                <w:szCs w:val="22"/>
                <w:highlight w:val="yellow"/>
              </w:rPr>
              <w:t>Технические средства АИИС КУЭ</w:t>
            </w:r>
            <w:r w:rsidRPr="001043A6">
              <w:rPr>
                <w:rFonts w:ascii="Garamond" w:hAnsi="Garamond"/>
                <w:sz w:val="22"/>
                <w:szCs w:val="22"/>
              </w:rPr>
              <w:t xml:space="preserve"> должн</w:t>
            </w:r>
            <w:r w:rsidRPr="001043A6">
              <w:rPr>
                <w:rFonts w:ascii="Garamond" w:hAnsi="Garamond"/>
                <w:sz w:val="22"/>
                <w:szCs w:val="22"/>
                <w:highlight w:val="yellow"/>
              </w:rPr>
              <w:t>ы</w:t>
            </w:r>
            <w:r w:rsidRPr="001043A6">
              <w:rPr>
                <w:rFonts w:ascii="Garamond" w:hAnsi="Garamond"/>
                <w:sz w:val="22"/>
                <w:szCs w:val="22"/>
              </w:rPr>
              <w:t xml:space="preserve"> иметь возможность дистанционного доступа до всех компонентов с уровня ИВК.</w:t>
            </w:r>
          </w:p>
        </w:tc>
        <w:tc>
          <w:tcPr>
            <w:tcW w:w="7115" w:type="dxa"/>
          </w:tcPr>
          <w:p w14:paraId="18963E2C" w14:textId="77777777" w:rsidR="00406ECC" w:rsidRPr="001043A6" w:rsidRDefault="00406ECC" w:rsidP="00406ECC">
            <w:pPr>
              <w:tabs>
                <w:tab w:val="num" w:pos="1080"/>
              </w:tabs>
              <w:suppressAutoHyphens w:val="0"/>
              <w:spacing w:line="259" w:lineRule="auto"/>
              <w:ind w:firstLine="629"/>
              <w:jc w:val="both"/>
              <w:rPr>
                <w:rFonts w:ascii="Garamond" w:hAnsi="Garamond"/>
                <w:sz w:val="22"/>
                <w:szCs w:val="22"/>
              </w:rPr>
            </w:pPr>
            <w:r w:rsidRPr="001043A6">
              <w:rPr>
                <w:rFonts w:ascii="Garamond" w:hAnsi="Garamond"/>
                <w:sz w:val="22"/>
                <w:szCs w:val="22"/>
              </w:rPr>
              <w:t xml:space="preserve">Требования к каналу связи при организации дистанционного доступа КО к </w:t>
            </w:r>
            <w:r w:rsidR="00C42234" w:rsidRPr="001043A6">
              <w:rPr>
                <w:rFonts w:ascii="Garamond" w:hAnsi="Garamond"/>
                <w:sz w:val="22"/>
                <w:szCs w:val="22"/>
                <w:highlight w:val="yellow"/>
              </w:rPr>
              <w:t>ИВК</w:t>
            </w:r>
            <w:r w:rsidR="00D4230B" w:rsidRPr="001043A6">
              <w:rPr>
                <w:rFonts w:ascii="Garamond" w:hAnsi="Garamond"/>
                <w:sz w:val="22"/>
                <w:szCs w:val="22"/>
              </w:rPr>
              <w:t>.</w:t>
            </w:r>
          </w:p>
          <w:p w14:paraId="56DBDBCD" w14:textId="35879EBD" w:rsidR="00406ECC" w:rsidRPr="001043A6" w:rsidRDefault="00406ECC" w:rsidP="00406ECC">
            <w:pPr>
              <w:tabs>
                <w:tab w:val="num" w:pos="1080"/>
              </w:tabs>
              <w:spacing w:line="259" w:lineRule="auto"/>
              <w:ind w:firstLine="601"/>
              <w:jc w:val="both"/>
              <w:rPr>
                <w:rFonts w:ascii="Garamond" w:hAnsi="Garamond"/>
                <w:sz w:val="22"/>
                <w:szCs w:val="22"/>
              </w:rPr>
            </w:pPr>
            <w:r w:rsidRPr="001043A6">
              <w:rPr>
                <w:rFonts w:ascii="Garamond" w:hAnsi="Garamond"/>
                <w:sz w:val="22"/>
                <w:szCs w:val="22"/>
              </w:rPr>
              <w:t>Канал связи (интернет-соединение) организуется по запросу КО с уровня ИВК до рабочего места в КО на период</w:t>
            </w:r>
            <w:r w:rsidR="00C42234" w:rsidRPr="001043A6">
              <w:rPr>
                <w:rFonts w:ascii="Garamond" w:hAnsi="Garamond"/>
                <w:sz w:val="22"/>
                <w:szCs w:val="22"/>
                <w:highlight w:val="yellow"/>
              </w:rPr>
              <w:t xml:space="preserve">, определяемый </w:t>
            </w:r>
            <w:r w:rsidR="00E428CB" w:rsidRPr="001043A6">
              <w:rPr>
                <w:rFonts w:ascii="Garamond" w:hAnsi="Garamond"/>
                <w:sz w:val="22"/>
                <w:szCs w:val="22"/>
                <w:highlight w:val="yellow"/>
              </w:rPr>
              <w:t>П</w:t>
            </w:r>
            <w:r w:rsidR="00C42234" w:rsidRPr="001043A6">
              <w:rPr>
                <w:rFonts w:ascii="Garamond" w:hAnsi="Garamond"/>
                <w:sz w:val="22"/>
                <w:szCs w:val="22"/>
                <w:highlight w:val="yellow"/>
              </w:rPr>
              <w:t xml:space="preserve">орядком установления соответствия </w:t>
            </w:r>
            <w:r w:rsidR="00772ADF" w:rsidRPr="001043A6">
              <w:rPr>
                <w:rFonts w:ascii="Garamond" w:hAnsi="Garamond"/>
                <w:sz w:val="22"/>
                <w:szCs w:val="22"/>
                <w:highlight w:val="yellow"/>
              </w:rPr>
              <w:t>СУ</w:t>
            </w:r>
            <w:r w:rsidR="00C42234" w:rsidRPr="001043A6">
              <w:rPr>
                <w:rFonts w:ascii="Garamond" w:hAnsi="Garamond"/>
                <w:sz w:val="22"/>
                <w:szCs w:val="22"/>
                <w:highlight w:val="yellow"/>
              </w:rPr>
              <w:t xml:space="preserve"> или </w:t>
            </w:r>
            <w:r w:rsidR="00E428CB" w:rsidRPr="001043A6">
              <w:rPr>
                <w:rFonts w:ascii="Garamond" w:hAnsi="Garamond"/>
                <w:sz w:val="22"/>
                <w:szCs w:val="22"/>
                <w:highlight w:val="yellow"/>
              </w:rPr>
              <w:t>Регламентом проверок,</w:t>
            </w:r>
            <w:r w:rsidRPr="001043A6">
              <w:rPr>
                <w:rFonts w:ascii="Garamond" w:hAnsi="Garamond"/>
                <w:sz w:val="22"/>
                <w:szCs w:val="22"/>
              </w:rPr>
              <w:t xml:space="preserve"> со следующими характеристиками:</w:t>
            </w:r>
            <w:r w:rsidR="009B5F03">
              <w:rPr>
                <w:rFonts w:ascii="Garamond" w:hAnsi="Garamond"/>
                <w:sz w:val="22"/>
                <w:szCs w:val="22"/>
              </w:rPr>
              <w:t xml:space="preserve"> </w:t>
            </w:r>
          </w:p>
          <w:p w14:paraId="4B8C1BB1" w14:textId="77777777" w:rsidR="00406ECC" w:rsidRPr="001043A6" w:rsidRDefault="00406ECC" w:rsidP="00101F7C">
            <w:pPr>
              <w:numPr>
                <w:ilvl w:val="0"/>
                <w:numId w:val="100"/>
              </w:numPr>
              <w:tabs>
                <w:tab w:val="clear" w:pos="1353"/>
                <w:tab w:val="num" w:pos="960"/>
                <w:tab w:val="num" w:pos="1440"/>
              </w:tabs>
              <w:suppressAutoHyphens w:val="0"/>
              <w:spacing w:line="259" w:lineRule="auto"/>
              <w:ind w:left="0" w:firstLine="601"/>
              <w:jc w:val="both"/>
              <w:rPr>
                <w:rFonts w:ascii="Garamond" w:hAnsi="Garamond"/>
                <w:sz w:val="22"/>
                <w:szCs w:val="22"/>
              </w:rPr>
            </w:pPr>
            <w:r w:rsidRPr="001043A6">
              <w:rPr>
                <w:rFonts w:ascii="Garamond" w:hAnsi="Garamond"/>
                <w:sz w:val="22"/>
                <w:szCs w:val="22"/>
              </w:rPr>
              <w:t>коэффициент готовности – не менее 0,99 (на весь период предоставления канала);</w:t>
            </w:r>
          </w:p>
          <w:p w14:paraId="590F356F" w14:textId="77777777" w:rsidR="00406ECC" w:rsidRPr="001043A6" w:rsidRDefault="00406ECC" w:rsidP="00101F7C">
            <w:pPr>
              <w:numPr>
                <w:ilvl w:val="0"/>
                <w:numId w:val="100"/>
              </w:numPr>
              <w:tabs>
                <w:tab w:val="clear" w:pos="1353"/>
                <w:tab w:val="num" w:pos="960"/>
                <w:tab w:val="num" w:pos="1440"/>
              </w:tabs>
              <w:suppressAutoHyphens w:val="0"/>
              <w:spacing w:line="259" w:lineRule="auto"/>
              <w:ind w:left="0" w:firstLine="601"/>
              <w:jc w:val="both"/>
              <w:rPr>
                <w:rFonts w:ascii="Garamond" w:hAnsi="Garamond"/>
                <w:sz w:val="22"/>
                <w:szCs w:val="22"/>
              </w:rPr>
            </w:pPr>
            <w:r w:rsidRPr="001043A6">
              <w:rPr>
                <w:rFonts w:ascii="Garamond" w:hAnsi="Garamond"/>
                <w:sz w:val="22"/>
                <w:szCs w:val="22"/>
              </w:rPr>
              <w:t>время восстановления – не более 1 часа (суммарно за 1 рабочий день);</w:t>
            </w:r>
          </w:p>
          <w:p w14:paraId="3781BEE3" w14:textId="77777777" w:rsidR="00406ECC" w:rsidRPr="001043A6" w:rsidRDefault="00406ECC" w:rsidP="00101F7C">
            <w:pPr>
              <w:numPr>
                <w:ilvl w:val="0"/>
                <w:numId w:val="100"/>
              </w:numPr>
              <w:tabs>
                <w:tab w:val="clear" w:pos="1353"/>
                <w:tab w:val="num" w:pos="960"/>
                <w:tab w:val="num" w:pos="1440"/>
              </w:tabs>
              <w:suppressAutoHyphens w:val="0"/>
              <w:spacing w:line="259" w:lineRule="auto"/>
              <w:ind w:left="0" w:firstLine="601"/>
              <w:jc w:val="both"/>
              <w:rPr>
                <w:rFonts w:ascii="Garamond" w:hAnsi="Garamond"/>
                <w:sz w:val="22"/>
                <w:szCs w:val="22"/>
              </w:rPr>
            </w:pPr>
            <w:r w:rsidRPr="001043A6">
              <w:rPr>
                <w:rFonts w:ascii="Garamond" w:hAnsi="Garamond"/>
                <w:sz w:val="22"/>
                <w:szCs w:val="22"/>
              </w:rPr>
              <w:t xml:space="preserve">скорость – не менее 1 Мбит/с. </w:t>
            </w:r>
          </w:p>
          <w:p w14:paraId="0784E2F5" w14:textId="5A569103" w:rsidR="00964038" w:rsidRPr="001043A6" w:rsidRDefault="00D4230B" w:rsidP="004258F2">
            <w:pPr>
              <w:widowControl w:val="0"/>
              <w:spacing w:line="259" w:lineRule="auto"/>
              <w:ind w:firstLine="486"/>
              <w:jc w:val="both"/>
              <w:rPr>
                <w:rFonts w:ascii="Garamond" w:hAnsi="Garamond"/>
                <w:sz w:val="22"/>
                <w:szCs w:val="22"/>
              </w:rPr>
            </w:pPr>
            <w:r w:rsidRPr="001043A6">
              <w:rPr>
                <w:rFonts w:ascii="Garamond" w:hAnsi="Garamond"/>
                <w:sz w:val="22"/>
                <w:szCs w:val="22"/>
                <w:highlight w:val="yellow"/>
              </w:rPr>
              <w:t>СУ</w:t>
            </w:r>
            <w:r w:rsidR="00406ECC" w:rsidRPr="001043A6">
              <w:rPr>
                <w:rFonts w:ascii="Garamond" w:hAnsi="Garamond"/>
                <w:sz w:val="22"/>
                <w:szCs w:val="22"/>
              </w:rPr>
              <w:t xml:space="preserve"> должн</w:t>
            </w:r>
            <w:r w:rsidRPr="001043A6">
              <w:rPr>
                <w:rFonts w:ascii="Garamond" w:hAnsi="Garamond"/>
                <w:sz w:val="22"/>
                <w:szCs w:val="22"/>
                <w:highlight w:val="yellow"/>
              </w:rPr>
              <w:t>а</w:t>
            </w:r>
            <w:r w:rsidR="00406ECC" w:rsidRPr="001043A6">
              <w:rPr>
                <w:rFonts w:ascii="Garamond" w:hAnsi="Garamond"/>
                <w:sz w:val="22"/>
                <w:szCs w:val="22"/>
              </w:rPr>
              <w:t xml:space="preserve"> иметь возможность дистанционного доступа до всех компонентов</w:t>
            </w:r>
            <w:r w:rsidRPr="001043A6">
              <w:rPr>
                <w:rFonts w:ascii="Garamond" w:hAnsi="Garamond"/>
                <w:sz w:val="22"/>
                <w:szCs w:val="22"/>
                <w:highlight w:val="yellow"/>
              </w:rPr>
              <w:t>, включая ИПУ</w:t>
            </w:r>
            <w:r w:rsidR="00834E9D" w:rsidRPr="001043A6">
              <w:rPr>
                <w:rFonts w:ascii="Garamond" w:hAnsi="Garamond"/>
                <w:sz w:val="22"/>
                <w:szCs w:val="22"/>
                <w:highlight w:val="yellow"/>
              </w:rPr>
              <w:t>, присоединенны</w:t>
            </w:r>
            <w:r w:rsidR="004258F2">
              <w:rPr>
                <w:rFonts w:ascii="Garamond" w:hAnsi="Garamond"/>
                <w:sz w:val="22"/>
                <w:szCs w:val="22"/>
                <w:highlight w:val="yellow"/>
              </w:rPr>
              <w:t>е</w:t>
            </w:r>
            <w:r w:rsidR="00834E9D" w:rsidRPr="001043A6">
              <w:rPr>
                <w:rFonts w:ascii="Garamond" w:hAnsi="Garamond"/>
                <w:sz w:val="22"/>
                <w:szCs w:val="22"/>
                <w:highlight w:val="yellow"/>
              </w:rPr>
              <w:t xml:space="preserve"> к ИСУ</w:t>
            </w:r>
            <w:r w:rsidRPr="001043A6">
              <w:rPr>
                <w:rFonts w:ascii="Garamond" w:hAnsi="Garamond"/>
                <w:sz w:val="22"/>
                <w:szCs w:val="22"/>
                <w:highlight w:val="yellow"/>
              </w:rPr>
              <w:t>,</w:t>
            </w:r>
            <w:r w:rsidR="00406ECC" w:rsidRPr="001043A6">
              <w:rPr>
                <w:rFonts w:ascii="Garamond" w:hAnsi="Garamond"/>
                <w:sz w:val="22"/>
                <w:szCs w:val="22"/>
              </w:rPr>
              <w:t xml:space="preserve"> с уровня ИВК</w:t>
            </w:r>
            <w:r w:rsidRPr="001043A6">
              <w:rPr>
                <w:rFonts w:ascii="Garamond" w:hAnsi="Garamond"/>
                <w:sz w:val="22"/>
                <w:szCs w:val="22"/>
              </w:rPr>
              <w:t>.</w:t>
            </w:r>
          </w:p>
        </w:tc>
      </w:tr>
      <w:tr w:rsidR="00964038" w:rsidRPr="001043A6" w14:paraId="4EE5A4A4" w14:textId="77777777" w:rsidTr="001043A6">
        <w:tc>
          <w:tcPr>
            <w:tcW w:w="1031" w:type="dxa"/>
          </w:tcPr>
          <w:p w14:paraId="74F7F215" w14:textId="77777777" w:rsidR="00964038" w:rsidRPr="001043A6" w:rsidRDefault="00E428CB" w:rsidP="00E11B82">
            <w:pPr>
              <w:widowControl w:val="0"/>
              <w:spacing w:line="259" w:lineRule="auto"/>
              <w:jc w:val="center"/>
              <w:rPr>
                <w:rFonts w:ascii="Garamond" w:hAnsi="Garamond"/>
                <w:b/>
                <w:sz w:val="22"/>
                <w:szCs w:val="22"/>
                <w:lang w:eastAsia="en-US"/>
              </w:rPr>
            </w:pPr>
            <w:r w:rsidRPr="001043A6">
              <w:rPr>
                <w:rFonts w:ascii="Garamond" w:hAnsi="Garamond"/>
                <w:b/>
                <w:sz w:val="22"/>
                <w:szCs w:val="22"/>
                <w:lang w:eastAsia="en-US"/>
              </w:rPr>
              <w:t>5.4</w:t>
            </w:r>
          </w:p>
        </w:tc>
        <w:tc>
          <w:tcPr>
            <w:tcW w:w="6833" w:type="dxa"/>
          </w:tcPr>
          <w:p w14:paraId="670EFD79" w14:textId="77777777" w:rsidR="00964038" w:rsidRPr="001043A6" w:rsidRDefault="00E428CB" w:rsidP="00E428CB">
            <w:pPr>
              <w:tabs>
                <w:tab w:val="left" w:pos="1200"/>
                <w:tab w:val="num" w:pos="1440"/>
                <w:tab w:val="num" w:pos="5399"/>
              </w:tabs>
              <w:suppressAutoHyphens w:val="0"/>
              <w:spacing w:line="259" w:lineRule="auto"/>
              <w:ind w:firstLine="629"/>
              <w:jc w:val="both"/>
              <w:rPr>
                <w:rFonts w:ascii="Garamond" w:hAnsi="Garamond"/>
                <w:bCs/>
                <w:sz w:val="22"/>
                <w:szCs w:val="22"/>
                <w:highlight w:val="yellow"/>
              </w:rPr>
            </w:pPr>
            <w:r w:rsidRPr="001043A6">
              <w:rPr>
                <w:rFonts w:ascii="Garamond" w:hAnsi="Garamond"/>
                <w:bCs/>
                <w:sz w:val="22"/>
                <w:szCs w:val="22"/>
                <w:highlight w:val="yellow"/>
              </w:rPr>
              <w:t>Обеспечение механической защиты ИВК от несанкционированного доступа</w:t>
            </w:r>
            <w:r w:rsidRPr="001043A6">
              <w:rPr>
                <w:rFonts w:ascii="Garamond" w:hAnsi="Garamond"/>
                <w:bCs/>
                <w:sz w:val="22"/>
                <w:szCs w:val="22"/>
              </w:rPr>
              <w:t>.</w:t>
            </w:r>
          </w:p>
        </w:tc>
        <w:tc>
          <w:tcPr>
            <w:tcW w:w="7115" w:type="dxa"/>
          </w:tcPr>
          <w:p w14:paraId="451EEFE3" w14:textId="77777777" w:rsidR="00964038" w:rsidRPr="001043A6" w:rsidRDefault="00E428CB" w:rsidP="008957AD">
            <w:pPr>
              <w:widowControl w:val="0"/>
              <w:spacing w:line="259" w:lineRule="auto"/>
              <w:ind w:firstLine="486"/>
              <w:jc w:val="both"/>
              <w:rPr>
                <w:rFonts w:ascii="Garamond" w:hAnsi="Garamond"/>
                <w:sz w:val="22"/>
                <w:szCs w:val="22"/>
              </w:rPr>
            </w:pPr>
            <w:r w:rsidRPr="001043A6">
              <w:rPr>
                <w:rFonts w:ascii="Garamond" w:hAnsi="Garamond"/>
                <w:sz w:val="22"/>
                <w:szCs w:val="22"/>
                <w:highlight w:val="yellow"/>
              </w:rPr>
              <w:t xml:space="preserve">ИСУ должна обеспечивать возможность формирования и экспорта </w:t>
            </w:r>
            <w:r w:rsidR="00254807" w:rsidRPr="001043A6">
              <w:rPr>
                <w:rFonts w:ascii="Garamond" w:hAnsi="Garamond"/>
                <w:sz w:val="22"/>
                <w:szCs w:val="22"/>
                <w:highlight w:val="yellow"/>
              </w:rPr>
              <w:t xml:space="preserve">в личном кабинете пользователя ИСУ </w:t>
            </w:r>
            <w:r w:rsidR="008957AD" w:rsidRPr="001043A6">
              <w:rPr>
                <w:rFonts w:ascii="Garamond" w:hAnsi="Garamond"/>
                <w:sz w:val="22"/>
                <w:szCs w:val="22"/>
                <w:highlight w:val="yellow"/>
                <w:lang w:val="en-US"/>
              </w:rPr>
              <w:t>xml</w:t>
            </w:r>
            <w:r w:rsidR="008957AD" w:rsidRPr="001043A6">
              <w:rPr>
                <w:rFonts w:ascii="Garamond" w:hAnsi="Garamond"/>
                <w:sz w:val="22"/>
                <w:szCs w:val="22"/>
                <w:highlight w:val="yellow"/>
              </w:rPr>
              <w:t>-макета 10000</w:t>
            </w:r>
            <w:r w:rsidRPr="001043A6">
              <w:rPr>
                <w:rFonts w:ascii="Garamond" w:hAnsi="Garamond"/>
                <w:sz w:val="22"/>
                <w:szCs w:val="22"/>
                <w:highlight w:val="yellow"/>
              </w:rPr>
              <w:t xml:space="preserve">, а также автоматизированное подписание указанного </w:t>
            </w:r>
            <w:r w:rsidR="008957AD" w:rsidRPr="001043A6">
              <w:rPr>
                <w:rFonts w:ascii="Garamond" w:hAnsi="Garamond"/>
                <w:sz w:val="22"/>
                <w:szCs w:val="22"/>
                <w:highlight w:val="yellow"/>
              </w:rPr>
              <w:t>макета</w:t>
            </w:r>
            <w:r w:rsidRPr="001043A6">
              <w:rPr>
                <w:rFonts w:ascii="Garamond" w:hAnsi="Garamond"/>
                <w:sz w:val="22"/>
                <w:szCs w:val="22"/>
                <w:highlight w:val="yellow"/>
              </w:rPr>
              <w:t xml:space="preserve"> в момент его </w:t>
            </w:r>
            <w:r w:rsidRPr="001043A6">
              <w:rPr>
                <w:rFonts w:ascii="Garamond" w:hAnsi="Garamond"/>
                <w:sz w:val="22"/>
                <w:szCs w:val="22"/>
                <w:highlight w:val="yellow"/>
              </w:rPr>
              <w:lastRenderedPageBreak/>
              <w:t xml:space="preserve">формирования усиленной квалифицированной электронной подписью владельца </w:t>
            </w:r>
            <w:r w:rsidR="009D5874" w:rsidRPr="001043A6">
              <w:rPr>
                <w:rFonts w:ascii="Garamond" w:hAnsi="Garamond"/>
                <w:sz w:val="22"/>
                <w:szCs w:val="22"/>
                <w:highlight w:val="yellow"/>
              </w:rPr>
              <w:t>ИСУ</w:t>
            </w:r>
            <w:r w:rsidRPr="001043A6">
              <w:rPr>
                <w:rFonts w:ascii="Garamond" w:hAnsi="Garamond"/>
                <w:sz w:val="22"/>
                <w:szCs w:val="22"/>
                <w:highlight w:val="yellow"/>
              </w:rPr>
              <w:t xml:space="preserve">, подтверждающей корректность сведений, содержащихся в </w:t>
            </w:r>
            <w:r w:rsidR="009D5874" w:rsidRPr="001043A6">
              <w:rPr>
                <w:rFonts w:ascii="Garamond" w:hAnsi="Garamond"/>
                <w:sz w:val="22"/>
                <w:szCs w:val="22"/>
                <w:highlight w:val="yellow"/>
              </w:rPr>
              <w:t>ИСУ.</w:t>
            </w:r>
          </w:p>
        </w:tc>
      </w:tr>
      <w:tr w:rsidR="00E428CB" w:rsidRPr="001043A6" w14:paraId="05299E81" w14:textId="77777777" w:rsidTr="001043A6">
        <w:tc>
          <w:tcPr>
            <w:tcW w:w="1031" w:type="dxa"/>
          </w:tcPr>
          <w:p w14:paraId="5AEA04DD" w14:textId="77777777" w:rsidR="00E428CB" w:rsidRPr="001043A6" w:rsidRDefault="00E428CB" w:rsidP="00E11B82">
            <w:pPr>
              <w:widowControl w:val="0"/>
              <w:spacing w:line="259" w:lineRule="auto"/>
              <w:jc w:val="center"/>
              <w:rPr>
                <w:rFonts w:ascii="Garamond" w:hAnsi="Garamond"/>
                <w:b/>
                <w:sz w:val="22"/>
                <w:szCs w:val="22"/>
                <w:lang w:eastAsia="en-US"/>
              </w:rPr>
            </w:pPr>
            <w:r w:rsidRPr="001043A6">
              <w:rPr>
                <w:rFonts w:ascii="Garamond" w:hAnsi="Garamond"/>
                <w:b/>
                <w:sz w:val="22"/>
                <w:szCs w:val="22"/>
                <w:lang w:eastAsia="en-US"/>
              </w:rPr>
              <w:lastRenderedPageBreak/>
              <w:t>5.5</w:t>
            </w:r>
          </w:p>
        </w:tc>
        <w:tc>
          <w:tcPr>
            <w:tcW w:w="6833" w:type="dxa"/>
          </w:tcPr>
          <w:p w14:paraId="5EC97198" w14:textId="77777777" w:rsidR="00E428CB" w:rsidRPr="001043A6" w:rsidRDefault="00E428CB" w:rsidP="00E428CB">
            <w:pPr>
              <w:tabs>
                <w:tab w:val="num" w:pos="1080"/>
              </w:tabs>
              <w:suppressAutoHyphens w:val="0"/>
              <w:spacing w:line="259" w:lineRule="auto"/>
              <w:ind w:left="601"/>
              <w:jc w:val="both"/>
              <w:rPr>
                <w:rFonts w:ascii="Garamond" w:hAnsi="Garamond"/>
                <w:sz w:val="22"/>
                <w:szCs w:val="22"/>
                <w:highlight w:val="yellow"/>
              </w:rPr>
            </w:pPr>
            <w:r w:rsidRPr="001043A6">
              <w:rPr>
                <w:rFonts w:ascii="Garamond" w:hAnsi="Garamond"/>
                <w:sz w:val="22"/>
                <w:szCs w:val="22"/>
                <w:highlight w:val="yellow"/>
              </w:rPr>
              <w:t>Значения показателей надежности технических средств ИВК:</w:t>
            </w:r>
          </w:p>
          <w:p w14:paraId="7117AFDA" w14:textId="77777777" w:rsidR="00E428CB" w:rsidRPr="001043A6" w:rsidRDefault="00E428CB" w:rsidP="009D7164">
            <w:pPr>
              <w:numPr>
                <w:ilvl w:val="0"/>
                <w:numId w:val="14"/>
              </w:numPr>
              <w:tabs>
                <w:tab w:val="left" w:pos="993"/>
                <w:tab w:val="left" w:pos="1320"/>
                <w:tab w:val="num" w:pos="1440"/>
              </w:tabs>
              <w:suppressAutoHyphens w:val="0"/>
              <w:spacing w:line="259" w:lineRule="auto"/>
              <w:ind w:left="0" w:firstLine="601"/>
              <w:jc w:val="both"/>
              <w:rPr>
                <w:rFonts w:ascii="Garamond" w:hAnsi="Garamond"/>
                <w:bCs/>
                <w:sz w:val="22"/>
                <w:szCs w:val="22"/>
                <w:highlight w:val="yellow"/>
              </w:rPr>
            </w:pPr>
            <w:r w:rsidRPr="001043A6">
              <w:rPr>
                <w:rFonts w:ascii="Garamond" w:hAnsi="Garamond"/>
                <w:bCs/>
                <w:sz w:val="22"/>
                <w:szCs w:val="22"/>
                <w:highlight w:val="yellow"/>
              </w:rPr>
              <w:t>коэффициент готовности – не менее 0,99;</w:t>
            </w:r>
          </w:p>
          <w:p w14:paraId="34C24405" w14:textId="77777777" w:rsidR="00E428CB" w:rsidRPr="001043A6" w:rsidRDefault="00E428CB" w:rsidP="009D7164">
            <w:pPr>
              <w:numPr>
                <w:ilvl w:val="0"/>
                <w:numId w:val="14"/>
              </w:numPr>
              <w:tabs>
                <w:tab w:val="left" w:pos="993"/>
                <w:tab w:val="left" w:pos="1320"/>
                <w:tab w:val="num" w:pos="1440"/>
              </w:tabs>
              <w:suppressAutoHyphens w:val="0"/>
              <w:spacing w:line="259" w:lineRule="auto"/>
              <w:ind w:left="0" w:firstLine="601"/>
              <w:jc w:val="both"/>
              <w:rPr>
                <w:rFonts w:ascii="Garamond" w:hAnsi="Garamond"/>
                <w:bCs/>
                <w:sz w:val="22"/>
                <w:szCs w:val="22"/>
              </w:rPr>
            </w:pPr>
            <w:r w:rsidRPr="001043A6">
              <w:rPr>
                <w:rFonts w:ascii="Garamond" w:hAnsi="Garamond"/>
                <w:bCs/>
                <w:sz w:val="22"/>
                <w:szCs w:val="22"/>
                <w:highlight w:val="yellow"/>
              </w:rPr>
              <w:t>время восстановления – не более 1 часа.</w:t>
            </w:r>
          </w:p>
        </w:tc>
        <w:tc>
          <w:tcPr>
            <w:tcW w:w="7115" w:type="dxa"/>
          </w:tcPr>
          <w:p w14:paraId="1BB8372E" w14:textId="77777777" w:rsidR="00E428CB" w:rsidRPr="001043A6" w:rsidRDefault="009D5874" w:rsidP="00772ADF">
            <w:pPr>
              <w:widowControl w:val="0"/>
              <w:spacing w:line="259" w:lineRule="auto"/>
              <w:ind w:firstLine="486"/>
              <w:jc w:val="both"/>
              <w:rPr>
                <w:rFonts w:ascii="Garamond" w:hAnsi="Garamond"/>
                <w:sz w:val="22"/>
                <w:szCs w:val="22"/>
              </w:rPr>
            </w:pPr>
            <w:r w:rsidRPr="001043A6">
              <w:rPr>
                <w:rFonts w:ascii="Garamond" w:hAnsi="Garamond"/>
                <w:sz w:val="22"/>
                <w:szCs w:val="22"/>
                <w:highlight w:val="yellow"/>
              </w:rPr>
              <w:t xml:space="preserve">ИСУ должна обеспечивать формирование и экспорт не чаще одного раза в месяц по запросу КО в порядке, установленном Порядком установления соответствия </w:t>
            </w:r>
            <w:r w:rsidR="00772ADF" w:rsidRPr="001043A6">
              <w:rPr>
                <w:rFonts w:ascii="Garamond" w:hAnsi="Garamond"/>
                <w:sz w:val="22"/>
                <w:szCs w:val="22"/>
                <w:highlight w:val="yellow"/>
              </w:rPr>
              <w:t>СУ</w:t>
            </w:r>
            <w:r w:rsidRPr="001043A6">
              <w:rPr>
                <w:rFonts w:ascii="Garamond" w:hAnsi="Garamond"/>
                <w:sz w:val="22"/>
                <w:szCs w:val="22"/>
                <w:highlight w:val="yellow"/>
              </w:rPr>
              <w:t xml:space="preserve"> и Регламентом проверок, профиля мощности в получасовой разбивке, полученного непосредственно с ИПУ.</w:t>
            </w:r>
          </w:p>
        </w:tc>
      </w:tr>
      <w:tr w:rsidR="008B2F28" w:rsidRPr="001043A6" w14:paraId="01134DD8" w14:textId="77777777" w:rsidTr="001043A6">
        <w:tc>
          <w:tcPr>
            <w:tcW w:w="1031" w:type="dxa"/>
          </w:tcPr>
          <w:p w14:paraId="28B27695" w14:textId="77777777" w:rsidR="008B2F28" w:rsidRPr="001043A6" w:rsidRDefault="002C64A0" w:rsidP="00E11B82">
            <w:pPr>
              <w:widowControl w:val="0"/>
              <w:spacing w:line="259" w:lineRule="auto"/>
              <w:jc w:val="center"/>
              <w:rPr>
                <w:rFonts w:ascii="Garamond" w:hAnsi="Garamond"/>
                <w:b/>
                <w:sz w:val="22"/>
                <w:szCs w:val="22"/>
                <w:lang w:eastAsia="en-US"/>
              </w:rPr>
            </w:pPr>
            <w:r w:rsidRPr="001043A6">
              <w:rPr>
                <w:rFonts w:ascii="Garamond" w:hAnsi="Garamond"/>
                <w:b/>
                <w:sz w:val="22"/>
                <w:szCs w:val="22"/>
                <w:lang w:eastAsia="en-US"/>
              </w:rPr>
              <w:t>Раздел 6</w:t>
            </w:r>
          </w:p>
        </w:tc>
        <w:tc>
          <w:tcPr>
            <w:tcW w:w="6833" w:type="dxa"/>
          </w:tcPr>
          <w:p w14:paraId="617C030D" w14:textId="77777777" w:rsidR="002C64A0" w:rsidRPr="001043A6" w:rsidRDefault="002C64A0" w:rsidP="002C64A0">
            <w:pPr>
              <w:tabs>
                <w:tab w:val="num" w:pos="1080"/>
              </w:tabs>
              <w:suppressAutoHyphens w:val="0"/>
              <w:spacing w:line="259" w:lineRule="auto"/>
              <w:ind w:firstLine="629"/>
              <w:jc w:val="both"/>
              <w:rPr>
                <w:rFonts w:ascii="Garamond" w:hAnsi="Garamond"/>
                <w:sz w:val="22"/>
                <w:szCs w:val="22"/>
                <w:highlight w:val="yellow"/>
              </w:rPr>
            </w:pPr>
            <w:r w:rsidRPr="001043A6">
              <w:rPr>
                <w:rFonts w:ascii="Garamond" w:hAnsi="Garamond"/>
                <w:sz w:val="22"/>
                <w:szCs w:val="22"/>
                <w:highlight w:val="yellow"/>
              </w:rPr>
              <w:t>6. ТРЕБОВАНИЯ К СРЕДСТВАМ ИЗМЕРЕНИЙ, НЕ ОБЕСПЕЧИВАЮЩИМ СОВОКУПНОСТЬ ФУНКЦИЙ ПО СБОРУ, ОБРАБОТКЕ И ПЕРЕДАЧЕ КО ДАННЫХ КОММЕРЧЕСКОГО УЧЕТА И НЕ ПРИСОЕДИНЕННЫМ К ИСУ, И ТЕХНИЧЕСКИМ УСТРОЙСТВАМ БЕЗ ИЗМЕРИТЕЛЬНОЙ ФУНКЦИИ</w:t>
            </w:r>
          </w:p>
          <w:p w14:paraId="6D8DEA27" w14:textId="77777777" w:rsidR="002C64A0" w:rsidRPr="001043A6" w:rsidRDefault="002C64A0" w:rsidP="002C64A0">
            <w:pPr>
              <w:tabs>
                <w:tab w:val="num" w:pos="1080"/>
              </w:tabs>
              <w:suppressAutoHyphens w:val="0"/>
              <w:spacing w:line="259" w:lineRule="auto"/>
              <w:ind w:firstLine="629"/>
              <w:jc w:val="both"/>
              <w:rPr>
                <w:rFonts w:ascii="Garamond" w:hAnsi="Garamond"/>
                <w:sz w:val="22"/>
                <w:szCs w:val="22"/>
                <w:highlight w:val="yellow"/>
              </w:rPr>
            </w:pPr>
            <w:r w:rsidRPr="001043A6">
              <w:rPr>
                <w:rFonts w:ascii="Garamond" w:hAnsi="Garamond"/>
                <w:sz w:val="22"/>
                <w:szCs w:val="22"/>
                <w:highlight w:val="yellow"/>
              </w:rPr>
              <w:t>6.1. Совокупностью средств измерений, не обеспечивающих совокупность функций по сбору, обработке и передаче КО данных коммерческого учета и не присоединенных к интеллектуальным системам учета электрической энергии (мощности), и технических устройств без измерительной функции, обеспечивающих сбор, обработку, хранение и передачу КО результатов измерений, полученных с использованием указанных средств измерений (далее – совокупность средств измерений и технических устройств без измерительной функции), могут быть оснащены только группы точек поставки энергосбытовых организаций, уполномоченных Правительством Российской Федерации на осуществление купли-продажи электрической энергии (мощности) на оптовом рынке для целей поставки электрической энергии (мощности) на территории новых субъектов Российской Федерации.</w:t>
            </w:r>
          </w:p>
          <w:p w14:paraId="785CD19A" w14:textId="77777777" w:rsidR="002C64A0" w:rsidRPr="001043A6" w:rsidRDefault="002C64A0" w:rsidP="002C64A0">
            <w:pPr>
              <w:tabs>
                <w:tab w:val="num" w:pos="1080"/>
              </w:tabs>
              <w:suppressAutoHyphens w:val="0"/>
              <w:spacing w:line="259" w:lineRule="auto"/>
              <w:ind w:firstLine="629"/>
              <w:jc w:val="both"/>
              <w:rPr>
                <w:rFonts w:ascii="Garamond" w:hAnsi="Garamond"/>
                <w:sz w:val="22"/>
                <w:szCs w:val="22"/>
                <w:highlight w:val="yellow"/>
              </w:rPr>
            </w:pPr>
            <w:r w:rsidRPr="001043A6">
              <w:rPr>
                <w:rFonts w:ascii="Garamond" w:hAnsi="Garamond"/>
                <w:sz w:val="22"/>
                <w:szCs w:val="22"/>
                <w:highlight w:val="yellow"/>
              </w:rPr>
              <w:t>Совокупность средств измерений и технических устройств без измерительной функции должна выполнять функции, приведенные в разделе 2 настоящего Приложения, за исключением требований, предусмотренных п. 2.3 настоящего Приложения (в части использования СОЕВ как средства измерений утвержденного типа).</w:t>
            </w:r>
          </w:p>
          <w:p w14:paraId="1BE1EF78" w14:textId="77777777" w:rsidR="002C64A0" w:rsidRPr="001043A6" w:rsidRDefault="002C64A0" w:rsidP="002C64A0">
            <w:pPr>
              <w:tabs>
                <w:tab w:val="num" w:pos="1080"/>
              </w:tabs>
              <w:suppressAutoHyphens w:val="0"/>
              <w:spacing w:line="259" w:lineRule="auto"/>
              <w:ind w:firstLine="629"/>
              <w:jc w:val="both"/>
              <w:rPr>
                <w:rFonts w:ascii="Garamond" w:hAnsi="Garamond"/>
                <w:sz w:val="22"/>
                <w:szCs w:val="22"/>
                <w:highlight w:val="yellow"/>
              </w:rPr>
            </w:pPr>
            <w:r w:rsidRPr="001043A6">
              <w:rPr>
                <w:rFonts w:ascii="Garamond" w:hAnsi="Garamond"/>
                <w:sz w:val="22"/>
                <w:szCs w:val="22"/>
                <w:highlight w:val="yellow"/>
              </w:rPr>
              <w:t xml:space="preserve">6.2. Требования к счетчикам электроэнергии и измерительным трансформаторам, входящим в совокупность средств измерений и технических устройств без измерительной функции, соответствуют требованиям, приведенным в разделе 3 настоящего Приложения, за </w:t>
            </w:r>
            <w:r w:rsidRPr="001043A6">
              <w:rPr>
                <w:rFonts w:ascii="Garamond" w:hAnsi="Garamond"/>
                <w:sz w:val="22"/>
                <w:szCs w:val="22"/>
                <w:highlight w:val="yellow"/>
              </w:rPr>
              <w:lastRenderedPageBreak/>
              <w:t>исключением требований, указанных в пп. 3.1.2, 3.4.4 (в части обязательной работы в составе СОЕВ как средства измерений утвержденного типа) настоящего Приложения.</w:t>
            </w:r>
          </w:p>
          <w:p w14:paraId="45AC7F13" w14:textId="77777777" w:rsidR="002C64A0" w:rsidRPr="001043A6" w:rsidRDefault="002C64A0" w:rsidP="002C64A0">
            <w:pPr>
              <w:tabs>
                <w:tab w:val="num" w:pos="1080"/>
              </w:tabs>
              <w:suppressAutoHyphens w:val="0"/>
              <w:spacing w:line="259" w:lineRule="auto"/>
              <w:ind w:firstLine="629"/>
              <w:jc w:val="both"/>
              <w:rPr>
                <w:rFonts w:ascii="Garamond" w:hAnsi="Garamond"/>
                <w:sz w:val="22"/>
                <w:szCs w:val="22"/>
                <w:highlight w:val="yellow"/>
              </w:rPr>
            </w:pPr>
            <w:r w:rsidRPr="001043A6">
              <w:rPr>
                <w:rFonts w:ascii="Garamond" w:hAnsi="Garamond"/>
                <w:sz w:val="22"/>
                <w:szCs w:val="22"/>
                <w:highlight w:val="yellow"/>
              </w:rPr>
              <w:t>6.3. Требования к устройствам сбора и передачи данных (информационно-вычислительным комплексам электроустановки), входящим в совокупность средств измерений и технических устройств без измерительной функции (в случае их использования в составе вышеуказанной совокупности), соответствуют требованиям, приведенным в разделе 4 настоящего Приложения, за исключением требований, указанных в п. 4.3 (в части обязательной работы в составе СОЕВ как средства измерений утвержденного типа) настоящего Приложения.</w:t>
            </w:r>
          </w:p>
          <w:p w14:paraId="0593C363" w14:textId="77777777" w:rsidR="008B2F28" w:rsidRPr="001043A6" w:rsidRDefault="002C64A0" w:rsidP="002C64A0">
            <w:pPr>
              <w:tabs>
                <w:tab w:val="num" w:pos="1080"/>
              </w:tabs>
              <w:suppressAutoHyphens w:val="0"/>
              <w:spacing w:line="259" w:lineRule="auto"/>
              <w:ind w:firstLine="629"/>
              <w:jc w:val="both"/>
              <w:rPr>
                <w:rFonts w:ascii="Garamond" w:hAnsi="Garamond"/>
                <w:sz w:val="22"/>
                <w:szCs w:val="22"/>
                <w:highlight w:val="yellow"/>
              </w:rPr>
            </w:pPr>
            <w:r w:rsidRPr="001043A6">
              <w:rPr>
                <w:rFonts w:ascii="Garamond" w:hAnsi="Garamond"/>
                <w:sz w:val="22"/>
                <w:szCs w:val="22"/>
                <w:highlight w:val="yellow"/>
              </w:rPr>
              <w:t>6.4. Требования к техническим устройствам без измерительной функции соответствуют требованиям, приведенным в разделе 5 настоящего Приложения.</w:t>
            </w:r>
          </w:p>
        </w:tc>
        <w:tc>
          <w:tcPr>
            <w:tcW w:w="7115" w:type="dxa"/>
          </w:tcPr>
          <w:p w14:paraId="10BB6B62" w14:textId="77777777" w:rsidR="008B2F28" w:rsidRPr="001043A6" w:rsidRDefault="002C64A0" w:rsidP="00D4230B">
            <w:pPr>
              <w:widowControl w:val="0"/>
              <w:spacing w:line="259" w:lineRule="auto"/>
              <w:ind w:firstLine="486"/>
              <w:jc w:val="both"/>
              <w:rPr>
                <w:rFonts w:ascii="Garamond" w:hAnsi="Garamond"/>
                <w:b/>
                <w:sz w:val="22"/>
                <w:szCs w:val="22"/>
              </w:rPr>
            </w:pPr>
            <w:r w:rsidRPr="001043A6">
              <w:rPr>
                <w:rFonts w:ascii="Garamond" w:hAnsi="Garamond"/>
                <w:b/>
                <w:sz w:val="22"/>
                <w:szCs w:val="22"/>
              </w:rPr>
              <w:lastRenderedPageBreak/>
              <w:t>Исключить</w:t>
            </w:r>
            <w:r w:rsidR="00D4230B" w:rsidRPr="001043A6">
              <w:rPr>
                <w:rFonts w:ascii="Garamond" w:hAnsi="Garamond"/>
                <w:b/>
                <w:sz w:val="22"/>
                <w:szCs w:val="22"/>
              </w:rPr>
              <w:t xml:space="preserve"> раздел</w:t>
            </w:r>
          </w:p>
        </w:tc>
      </w:tr>
    </w:tbl>
    <w:p w14:paraId="5C9E16A2" w14:textId="77777777" w:rsidR="00C817A3" w:rsidRDefault="00C817A3" w:rsidP="00835158">
      <w:pPr>
        <w:autoSpaceDE w:val="0"/>
        <w:autoSpaceDN w:val="0"/>
        <w:jc w:val="both"/>
        <w:rPr>
          <w:rFonts w:ascii="Garamond" w:hAnsi="Garamond"/>
          <w:b/>
          <w:sz w:val="26"/>
          <w:szCs w:val="26"/>
        </w:rPr>
      </w:pPr>
    </w:p>
    <w:p w14:paraId="37D7236A" w14:textId="77777777" w:rsidR="00CE6209" w:rsidRDefault="00CE6209" w:rsidP="00C817A3">
      <w:pPr>
        <w:widowControl w:val="0"/>
        <w:jc w:val="both"/>
        <w:rPr>
          <w:rFonts w:ascii="Garamond" w:hAnsi="Garamond"/>
          <w:b/>
          <w:sz w:val="26"/>
          <w:szCs w:val="26"/>
        </w:rPr>
        <w:sectPr w:rsidR="00CE6209" w:rsidSect="001043A6">
          <w:pgSz w:w="16838" w:h="11906" w:orient="landscape"/>
          <w:pgMar w:top="1134" w:right="851" w:bottom="1134" w:left="1304" w:header="709" w:footer="709" w:gutter="0"/>
          <w:cols w:space="708"/>
          <w:docGrid w:linePitch="360"/>
        </w:sectPr>
      </w:pPr>
    </w:p>
    <w:p w14:paraId="5376614A" w14:textId="77777777" w:rsidR="00F91CA6" w:rsidRDefault="00F91CA6" w:rsidP="007C72D5">
      <w:pPr>
        <w:spacing w:before="120" w:after="120"/>
        <w:rPr>
          <w:rFonts w:ascii="Garamond" w:hAnsi="Garamond"/>
          <w:b/>
          <w:bCs/>
          <w:sz w:val="22"/>
          <w:szCs w:val="22"/>
        </w:rPr>
      </w:pPr>
      <w:r>
        <w:rPr>
          <w:rFonts w:ascii="Garamond" w:hAnsi="Garamond"/>
          <w:b/>
          <w:bCs/>
          <w:sz w:val="22"/>
          <w:szCs w:val="22"/>
        </w:rPr>
        <w:lastRenderedPageBreak/>
        <w:t>Удалить приложение</w:t>
      </w:r>
    </w:p>
    <w:p w14:paraId="7F7F2E2B" w14:textId="77777777" w:rsidR="002C64A0" w:rsidRPr="005F0C8A" w:rsidRDefault="002C64A0" w:rsidP="002C64A0">
      <w:pPr>
        <w:spacing w:before="120" w:after="120"/>
        <w:jc w:val="right"/>
        <w:rPr>
          <w:rFonts w:ascii="Garamond" w:hAnsi="Garamond"/>
          <w:b/>
          <w:bCs/>
          <w:sz w:val="22"/>
          <w:szCs w:val="22"/>
        </w:rPr>
      </w:pPr>
      <w:r w:rsidRPr="005F0C8A">
        <w:rPr>
          <w:rFonts w:ascii="Garamond" w:hAnsi="Garamond"/>
          <w:b/>
          <w:bCs/>
          <w:sz w:val="22"/>
          <w:szCs w:val="22"/>
        </w:rPr>
        <w:t>Приложение 1</w:t>
      </w:r>
    </w:p>
    <w:p w14:paraId="4D1B231A" w14:textId="77777777" w:rsidR="002C64A0" w:rsidRPr="007C72D5" w:rsidRDefault="002C64A0" w:rsidP="002C64A0">
      <w:pPr>
        <w:spacing w:before="120" w:after="120"/>
        <w:jc w:val="center"/>
        <w:rPr>
          <w:rFonts w:ascii="Garamond" w:hAnsi="Garamond"/>
          <w:b/>
          <w:bCs/>
          <w:sz w:val="22"/>
          <w:szCs w:val="22"/>
        </w:rPr>
      </w:pPr>
      <w:r w:rsidRPr="007C72D5">
        <w:rPr>
          <w:rFonts w:ascii="Garamond" w:hAnsi="Garamond"/>
          <w:b/>
          <w:bCs/>
          <w:sz w:val="22"/>
          <w:szCs w:val="22"/>
        </w:rPr>
        <w:t>Перечень документов, регулирующих техническое и метрологическое обеспечение коммерческого учета электроэнергии при создании и эксплуатации субъектами ОРЭМ АИИС КУЭ</w:t>
      </w:r>
    </w:p>
    <w:p w14:paraId="251E8379" w14:textId="77777777" w:rsidR="002C64A0" w:rsidRPr="007C72D5" w:rsidRDefault="002C64A0" w:rsidP="002C64A0">
      <w:pPr>
        <w:tabs>
          <w:tab w:val="left" w:pos="8100"/>
        </w:tabs>
        <w:spacing w:before="120" w:after="120"/>
        <w:jc w:val="both"/>
        <w:rPr>
          <w:rFonts w:ascii="Garamond" w:hAnsi="Garamond"/>
          <w:sz w:val="22"/>
          <w:szCs w:val="22"/>
        </w:rPr>
      </w:pPr>
      <w:r w:rsidRPr="007C72D5">
        <w:rPr>
          <w:rFonts w:ascii="Garamond" w:hAnsi="Garamond"/>
          <w:sz w:val="22"/>
          <w:szCs w:val="22"/>
        </w:rPr>
        <w:t>ГОСТ 1983-2015. Межгосударственный стандарт. Трансформаторы напряжения. Общие технические требования.</w:t>
      </w:r>
    </w:p>
    <w:p w14:paraId="1EA6896F" w14:textId="77777777" w:rsidR="002C64A0" w:rsidRPr="007C72D5" w:rsidRDefault="002C64A0" w:rsidP="002C64A0">
      <w:pPr>
        <w:tabs>
          <w:tab w:val="left" w:pos="8100"/>
        </w:tabs>
        <w:spacing w:before="120" w:after="120"/>
        <w:jc w:val="both"/>
        <w:rPr>
          <w:rFonts w:ascii="Garamond" w:hAnsi="Garamond"/>
          <w:iCs/>
          <w:sz w:val="22"/>
          <w:szCs w:val="22"/>
        </w:rPr>
      </w:pPr>
      <w:r w:rsidRPr="007C72D5">
        <w:rPr>
          <w:rFonts w:ascii="Garamond" w:hAnsi="Garamond"/>
          <w:sz w:val="22"/>
          <w:szCs w:val="22"/>
        </w:rPr>
        <w:t xml:space="preserve">ГОСТ 14254-2015. Межгосударственный стандарт. </w:t>
      </w:r>
      <w:r w:rsidRPr="007C72D5">
        <w:rPr>
          <w:rFonts w:ascii="Garamond" w:hAnsi="Garamond"/>
          <w:iCs/>
          <w:sz w:val="22"/>
          <w:szCs w:val="22"/>
        </w:rPr>
        <w:t xml:space="preserve">Степени защиты, обеспечиваемые оболочками (Код IP). </w:t>
      </w:r>
    </w:p>
    <w:p w14:paraId="75F31DF2" w14:textId="77777777" w:rsidR="002C64A0" w:rsidRPr="007C72D5" w:rsidRDefault="002C64A0" w:rsidP="002C64A0">
      <w:pPr>
        <w:tabs>
          <w:tab w:val="left" w:pos="8100"/>
        </w:tabs>
        <w:spacing w:before="120" w:after="120"/>
        <w:jc w:val="both"/>
        <w:rPr>
          <w:rFonts w:ascii="Garamond" w:hAnsi="Garamond"/>
          <w:sz w:val="22"/>
          <w:szCs w:val="22"/>
        </w:rPr>
      </w:pPr>
      <w:r w:rsidRPr="007C72D5">
        <w:rPr>
          <w:rFonts w:ascii="Garamond" w:hAnsi="Garamond"/>
          <w:sz w:val="22"/>
          <w:szCs w:val="22"/>
        </w:rPr>
        <w:t>ГОСТ 27.002-2015</w:t>
      </w:r>
      <w:r w:rsidRPr="007C72D5">
        <w:rPr>
          <w:rFonts w:ascii="Garamond" w:hAnsi="Garamond"/>
          <w:iCs/>
          <w:sz w:val="22"/>
          <w:szCs w:val="22"/>
        </w:rPr>
        <w:t xml:space="preserve">. </w:t>
      </w:r>
      <w:r w:rsidRPr="007C72D5">
        <w:rPr>
          <w:rFonts w:ascii="Garamond" w:hAnsi="Garamond"/>
          <w:sz w:val="22"/>
          <w:szCs w:val="22"/>
        </w:rPr>
        <w:t xml:space="preserve">Межгосударственный стандарт. </w:t>
      </w:r>
      <w:r w:rsidRPr="007C72D5">
        <w:rPr>
          <w:rFonts w:ascii="Garamond" w:hAnsi="Garamond"/>
          <w:iCs/>
          <w:sz w:val="22"/>
          <w:szCs w:val="22"/>
        </w:rPr>
        <w:t>Надежность в технике. Термины и определения.</w:t>
      </w:r>
    </w:p>
    <w:p w14:paraId="0AD0B6B7" w14:textId="77777777" w:rsidR="002C64A0" w:rsidRPr="007C72D5" w:rsidRDefault="002C64A0" w:rsidP="002C64A0">
      <w:pPr>
        <w:tabs>
          <w:tab w:val="left" w:pos="8100"/>
        </w:tabs>
        <w:spacing w:before="120" w:after="120"/>
        <w:jc w:val="both"/>
        <w:rPr>
          <w:rFonts w:ascii="Garamond" w:hAnsi="Garamond"/>
          <w:sz w:val="22"/>
          <w:szCs w:val="22"/>
        </w:rPr>
      </w:pPr>
      <w:r w:rsidRPr="007C72D5">
        <w:rPr>
          <w:rFonts w:ascii="Garamond" w:hAnsi="Garamond"/>
          <w:iCs/>
          <w:sz w:val="22"/>
          <w:szCs w:val="22"/>
        </w:rPr>
        <w:t xml:space="preserve">ГОСТ 27.301-95. </w:t>
      </w:r>
      <w:r w:rsidRPr="007C72D5">
        <w:rPr>
          <w:rFonts w:ascii="Garamond" w:hAnsi="Garamond"/>
          <w:sz w:val="22"/>
          <w:szCs w:val="22"/>
        </w:rPr>
        <w:t xml:space="preserve">Межгосударственный стандарт. </w:t>
      </w:r>
      <w:r w:rsidRPr="007C72D5">
        <w:rPr>
          <w:rFonts w:ascii="Garamond" w:hAnsi="Garamond"/>
          <w:iCs/>
          <w:sz w:val="22"/>
          <w:szCs w:val="22"/>
        </w:rPr>
        <w:t>Надежность в технике. Расчет надежности. Основные положения.</w:t>
      </w:r>
    </w:p>
    <w:p w14:paraId="03FE503E" w14:textId="77777777" w:rsidR="002C64A0" w:rsidRPr="007C72D5" w:rsidRDefault="002C64A0" w:rsidP="002C64A0">
      <w:pPr>
        <w:autoSpaceDE w:val="0"/>
        <w:autoSpaceDN w:val="0"/>
        <w:adjustRightInd w:val="0"/>
        <w:spacing w:before="120" w:after="120"/>
        <w:jc w:val="both"/>
        <w:rPr>
          <w:rFonts w:ascii="Garamond" w:hAnsi="Garamond" w:cs="Arial"/>
          <w:sz w:val="22"/>
          <w:szCs w:val="22"/>
        </w:rPr>
      </w:pPr>
      <w:r w:rsidRPr="007C72D5">
        <w:rPr>
          <w:rFonts w:ascii="Garamond" w:hAnsi="Garamond" w:cs="Arial"/>
          <w:sz w:val="22"/>
          <w:szCs w:val="22"/>
        </w:rPr>
        <w:t xml:space="preserve">ГОСТ 27.310-95. </w:t>
      </w:r>
      <w:r w:rsidRPr="007C72D5">
        <w:rPr>
          <w:rFonts w:ascii="Garamond" w:hAnsi="Garamond"/>
          <w:sz w:val="22"/>
          <w:szCs w:val="22"/>
        </w:rPr>
        <w:t xml:space="preserve">Межгосударственный стандарт. </w:t>
      </w:r>
      <w:r w:rsidRPr="007C72D5">
        <w:rPr>
          <w:rFonts w:ascii="Garamond" w:hAnsi="Garamond" w:cs="Arial"/>
          <w:sz w:val="22"/>
          <w:szCs w:val="22"/>
        </w:rPr>
        <w:t>Надежность в технике. Анализ видов, последствий и критичности отказов. Основные положения.</w:t>
      </w:r>
    </w:p>
    <w:p w14:paraId="4E59121F" w14:textId="77777777" w:rsidR="002C64A0" w:rsidRPr="007C72D5" w:rsidRDefault="002C64A0" w:rsidP="002C64A0">
      <w:pPr>
        <w:autoSpaceDE w:val="0"/>
        <w:autoSpaceDN w:val="0"/>
        <w:adjustRightInd w:val="0"/>
        <w:spacing w:before="120" w:after="120"/>
        <w:jc w:val="both"/>
        <w:rPr>
          <w:rFonts w:ascii="Garamond" w:hAnsi="Garamond"/>
          <w:bCs/>
          <w:sz w:val="22"/>
          <w:szCs w:val="22"/>
        </w:rPr>
      </w:pPr>
      <w:r w:rsidRPr="007C72D5">
        <w:rPr>
          <w:rFonts w:ascii="Garamond" w:hAnsi="Garamond"/>
          <w:sz w:val="22"/>
          <w:szCs w:val="22"/>
        </w:rPr>
        <w:t>ГОСТ 31818.11-2012. Межгосударственный стандарт. Аппаратура для измерения электрической энергии переменного тока. Общие требования. Испытания и условия испытаний. Часть 11. Счетчики электрической энергии.</w:t>
      </w:r>
    </w:p>
    <w:p w14:paraId="4A19008F" w14:textId="77777777" w:rsidR="002C64A0" w:rsidRPr="007C72D5" w:rsidRDefault="002C64A0" w:rsidP="002C64A0">
      <w:pPr>
        <w:spacing w:before="120" w:after="120"/>
        <w:jc w:val="both"/>
        <w:rPr>
          <w:rFonts w:ascii="Garamond" w:hAnsi="Garamond"/>
          <w:sz w:val="22"/>
          <w:szCs w:val="22"/>
        </w:rPr>
      </w:pPr>
      <w:r w:rsidRPr="007C72D5">
        <w:rPr>
          <w:rFonts w:ascii="Garamond" w:hAnsi="Garamond"/>
          <w:sz w:val="22"/>
          <w:szCs w:val="22"/>
        </w:rPr>
        <w:t>ГОСТ 31819.22-2012. Межгосударственный стандарт. Аппаратура для измерения электрической энергии переменного тока. Частные требования. Часть 22. Статические счетчики активной энергии классов точности 0,2S и 0,5S.</w:t>
      </w:r>
    </w:p>
    <w:p w14:paraId="3C374ADC" w14:textId="77777777" w:rsidR="002C64A0" w:rsidRPr="007C72D5" w:rsidRDefault="002C64A0" w:rsidP="002C64A0">
      <w:pPr>
        <w:spacing w:before="120" w:after="120"/>
        <w:jc w:val="both"/>
        <w:rPr>
          <w:rFonts w:ascii="Garamond" w:hAnsi="Garamond"/>
          <w:sz w:val="22"/>
          <w:szCs w:val="22"/>
        </w:rPr>
      </w:pPr>
      <w:r w:rsidRPr="007C72D5">
        <w:rPr>
          <w:rFonts w:ascii="Garamond" w:hAnsi="Garamond"/>
          <w:sz w:val="22"/>
          <w:szCs w:val="22"/>
        </w:rPr>
        <w:t>ГОСТ 31819.23-2012. Межгосударственный стандарт. Аппаратура для измерения электрической энергии переменного тока. Частные требования. Часть 23. Статические счетчики реактивной энергии.</w:t>
      </w:r>
    </w:p>
    <w:p w14:paraId="303FBCC1" w14:textId="77777777" w:rsidR="002C64A0" w:rsidRPr="007C72D5" w:rsidRDefault="002C64A0" w:rsidP="002C64A0">
      <w:pPr>
        <w:tabs>
          <w:tab w:val="left" w:pos="8100"/>
        </w:tabs>
        <w:spacing w:before="120" w:after="120"/>
        <w:jc w:val="both"/>
        <w:rPr>
          <w:rFonts w:ascii="Garamond" w:hAnsi="Garamond"/>
          <w:sz w:val="22"/>
          <w:szCs w:val="22"/>
        </w:rPr>
      </w:pPr>
      <w:r w:rsidRPr="007C72D5">
        <w:rPr>
          <w:rFonts w:ascii="Garamond" w:hAnsi="Garamond"/>
          <w:spacing w:val="2"/>
          <w:sz w:val="22"/>
          <w:szCs w:val="22"/>
        </w:rPr>
        <w:t>ГОСТ 34.201-89. Государственный стандарт Союза ССР. Информационная технология. Комплекс стандартов на автоматизированные системы. Виды, комплектность и обозначение документов при создании автоматизированных систем.</w:t>
      </w:r>
    </w:p>
    <w:p w14:paraId="183901FF" w14:textId="77777777" w:rsidR="002C64A0" w:rsidRPr="007C72D5" w:rsidRDefault="002C64A0" w:rsidP="002C64A0">
      <w:pPr>
        <w:tabs>
          <w:tab w:val="left" w:pos="8100"/>
        </w:tabs>
        <w:spacing w:before="120" w:after="120"/>
        <w:jc w:val="both"/>
        <w:rPr>
          <w:rFonts w:ascii="Garamond" w:hAnsi="Garamond"/>
          <w:sz w:val="22"/>
          <w:szCs w:val="22"/>
        </w:rPr>
      </w:pPr>
      <w:r w:rsidRPr="007C72D5">
        <w:rPr>
          <w:rFonts w:ascii="Garamond" w:hAnsi="Garamond"/>
          <w:sz w:val="22"/>
          <w:szCs w:val="22"/>
        </w:rPr>
        <w:t xml:space="preserve">ГОСТ 34.601-90. </w:t>
      </w:r>
      <w:r w:rsidRPr="007C72D5">
        <w:rPr>
          <w:rFonts w:ascii="Garamond" w:hAnsi="Garamond"/>
          <w:spacing w:val="2"/>
          <w:sz w:val="22"/>
          <w:szCs w:val="22"/>
        </w:rPr>
        <w:t>Государственный стандарт Союза ССР. Информационная технология. Комплекс стандартов на автоматизированные системы. Автоматизированные системы. Стадии создания.</w:t>
      </w:r>
    </w:p>
    <w:p w14:paraId="5E0E4ADB" w14:textId="77777777" w:rsidR="002C64A0" w:rsidRPr="007C72D5" w:rsidRDefault="002C64A0" w:rsidP="002C64A0">
      <w:pPr>
        <w:tabs>
          <w:tab w:val="left" w:pos="8100"/>
        </w:tabs>
        <w:spacing w:before="120" w:after="120"/>
        <w:jc w:val="both"/>
        <w:rPr>
          <w:rFonts w:ascii="Garamond" w:hAnsi="Garamond"/>
          <w:sz w:val="22"/>
          <w:szCs w:val="22"/>
        </w:rPr>
      </w:pPr>
      <w:r w:rsidRPr="007C72D5">
        <w:rPr>
          <w:rFonts w:ascii="Garamond" w:hAnsi="Garamond"/>
          <w:sz w:val="22"/>
          <w:szCs w:val="22"/>
        </w:rPr>
        <w:t xml:space="preserve">ГОСТ 34.602-89. Межгосударственный стандарт. </w:t>
      </w:r>
      <w:r w:rsidRPr="007C72D5">
        <w:rPr>
          <w:rFonts w:ascii="Garamond" w:hAnsi="Garamond"/>
          <w:spacing w:val="2"/>
          <w:sz w:val="22"/>
          <w:szCs w:val="22"/>
        </w:rPr>
        <w:t>Информационная технология. Комплекс стандартов на автоматизированные системы. Техническое задание на создание автоматизированной системы.</w:t>
      </w:r>
    </w:p>
    <w:p w14:paraId="655AAEBD" w14:textId="77777777" w:rsidR="002C64A0" w:rsidRPr="007C72D5" w:rsidRDefault="002C64A0" w:rsidP="002C64A0">
      <w:pPr>
        <w:tabs>
          <w:tab w:val="left" w:pos="8100"/>
        </w:tabs>
        <w:spacing w:before="120" w:after="120"/>
        <w:jc w:val="both"/>
        <w:rPr>
          <w:rFonts w:ascii="Garamond" w:hAnsi="Garamond"/>
          <w:spacing w:val="2"/>
          <w:sz w:val="22"/>
          <w:szCs w:val="22"/>
        </w:rPr>
      </w:pPr>
      <w:r w:rsidRPr="007C72D5">
        <w:rPr>
          <w:rFonts w:ascii="Garamond" w:hAnsi="Garamond"/>
          <w:sz w:val="22"/>
          <w:szCs w:val="22"/>
        </w:rPr>
        <w:t xml:space="preserve">ГОСТ 34.603-92. </w:t>
      </w:r>
      <w:r w:rsidRPr="007C72D5">
        <w:rPr>
          <w:rFonts w:ascii="Garamond" w:hAnsi="Garamond"/>
          <w:spacing w:val="2"/>
          <w:sz w:val="22"/>
          <w:szCs w:val="22"/>
        </w:rPr>
        <w:t>Государственный стандарт Союза ССР. Информационная технология. Виды испытаний автоматизированных систем.</w:t>
      </w:r>
    </w:p>
    <w:p w14:paraId="62EE7A2D" w14:textId="77777777" w:rsidR="002C64A0" w:rsidRPr="007C72D5" w:rsidRDefault="002C64A0" w:rsidP="002C64A0">
      <w:pPr>
        <w:tabs>
          <w:tab w:val="left" w:pos="8100"/>
        </w:tabs>
        <w:spacing w:before="120" w:after="120"/>
        <w:jc w:val="both"/>
        <w:rPr>
          <w:rFonts w:ascii="Garamond" w:hAnsi="Garamond"/>
          <w:sz w:val="22"/>
          <w:szCs w:val="22"/>
        </w:rPr>
      </w:pPr>
      <w:r w:rsidRPr="007C72D5">
        <w:rPr>
          <w:rFonts w:ascii="Garamond" w:hAnsi="Garamond"/>
          <w:sz w:val="22"/>
          <w:szCs w:val="22"/>
        </w:rPr>
        <w:t>ГОСТ 2.503-2013. Межгосударственный стандарт. Единая система конструкторской документации. Правила внесения изменений.</w:t>
      </w:r>
    </w:p>
    <w:p w14:paraId="71D1F14D" w14:textId="77777777" w:rsidR="002C64A0" w:rsidRPr="007C72D5" w:rsidRDefault="002C64A0" w:rsidP="002C64A0">
      <w:pPr>
        <w:tabs>
          <w:tab w:val="left" w:pos="8100"/>
        </w:tabs>
        <w:spacing w:before="120" w:after="120"/>
        <w:jc w:val="both"/>
        <w:rPr>
          <w:rFonts w:ascii="Garamond" w:hAnsi="Garamond"/>
          <w:iCs/>
          <w:sz w:val="22"/>
          <w:szCs w:val="22"/>
        </w:rPr>
      </w:pPr>
      <w:r w:rsidRPr="007C72D5">
        <w:rPr>
          <w:rFonts w:ascii="Garamond" w:hAnsi="Garamond"/>
          <w:iCs/>
          <w:sz w:val="22"/>
          <w:szCs w:val="22"/>
        </w:rPr>
        <w:t xml:space="preserve">ГОСТ </w:t>
      </w:r>
      <w:r w:rsidRPr="007C72D5">
        <w:rPr>
          <w:rFonts w:ascii="Garamond" w:hAnsi="Garamond"/>
          <w:sz w:val="22"/>
          <w:szCs w:val="22"/>
        </w:rPr>
        <w:t>33073-2014</w:t>
      </w:r>
      <w:r w:rsidRPr="007C72D5">
        <w:rPr>
          <w:rFonts w:ascii="Garamond" w:hAnsi="Garamond"/>
          <w:iCs/>
          <w:sz w:val="22"/>
          <w:szCs w:val="22"/>
        </w:rPr>
        <w:t xml:space="preserve">. </w:t>
      </w:r>
      <w:r w:rsidRPr="007C72D5">
        <w:rPr>
          <w:rFonts w:ascii="Garamond" w:hAnsi="Garamond"/>
          <w:sz w:val="22"/>
          <w:szCs w:val="22"/>
        </w:rPr>
        <w:t xml:space="preserve">Межгосударственный стандарт. </w:t>
      </w:r>
      <w:r w:rsidRPr="007C72D5">
        <w:rPr>
          <w:rFonts w:ascii="Garamond" w:hAnsi="Garamond"/>
          <w:iCs/>
          <w:sz w:val="22"/>
          <w:szCs w:val="22"/>
        </w:rPr>
        <w:t>Электрическая энергия. Совместимость технических средств электромагнитная. Контроль и мониторинг качества электрической энергии в системах электроснабжения общего назначения.</w:t>
      </w:r>
    </w:p>
    <w:p w14:paraId="1E2318D3" w14:textId="77777777" w:rsidR="002C64A0" w:rsidRPr="007C72D5" w:rsidRDefault="002C64A0" w:rsidP="002C64A0">
      <w:pPr>
        <w:tabs>
          <w:tab w:val="left" w:pos="8100"/>
        </w:tabs>
        <w:spacing w:before="120" w:after="120"/>
        <w:jc w:val="both"/>
        <w:rPr>
          <w:rFonts w:ascii="Garamond" w:hAnsi="Garamond"/>
          <w:sz w:val="22"/>
          <w:szCs w:val="22"/>
        </w:rPr>
      </w:pPr>
      <w:r w:rsidRPr="007C72D5">
        <w:rPr>
          <w:rFonts w:ascii="Garamond" w:hAnsi="Garamond"/>
          <w:sz w:val="22"/>
          <w:szCs w:val="22"/>
        </w:rPr>
        <w:t xml:space="preserve">ГОСТ 7746-2015. Межгосударственный стандарт. Трансформаторы тока. Общие технические условия. </w:t>
      </w:r>
    </w:p>
    <w:p w14:paraId="437C2840" w14:textId="77777777" w:rsidR="002C64A0" w:rsidRPr="007C72D5" w:rsidRDefault="002C64A0" w:rsidP="002C64A0">
      <w:pPr>
        <w:tabs>
          <w:tab w:val="left" w:pos="8100"/>
        </w:tabs>
        <w:spacing w:before="120" w:after="120"/>
        <w:jc w:val="both"/>
        <w:rPr>
          <w:rFonts w:ascii="Garamond" w:hAnsi="Garamond"/>
          <w:sz w:val="22"/>
          <w:szCs w:val="22"/>
        </w:rPr>
      </w:pPr>
      <w:r w:rsidRPr="007C72D5">
        <w:rPr>
          <w:rFonts w:ascii="Garamond" w:hAnsi="Garamond"/>
          <w:sz w:val="22"/>
          <w:szCs w:val="22"/>
        </w:rPr>
        <w:t>ГОСТ 8.217-2003. Межгосударственный стандарт. Государственная система обеспечения единства измерений. Трансформаторы тока. Методика поверки.</w:t>
      </w:r>
    </w:p>
    <w:p w14:paraId="0D20F1AD" w14:textId="77777777" w:rsidR="002C64A0" w:rsidRPr="007C72D5" w:rsidRDefault="002C64A0" w:rsidP="002C64A0">
      <w:pPr>
        <w:tabs>
          <w:tab w:val="left" w:pos="8100"/>
        </w:tabs>
        <w:spacing w:before="120" w:after="120"/>
        <w:jc w:val="both"/>
        <w:rPr>
          <w:rFonts w:ascii="Garamond" w:hAnsi="Garamond"/>
          <w:sz w:val="22"/>
          <w:szCs w:val="22"/>
        </w:rPr>
      </w:pPr>
      <w:r w:rsidRPr="007C72D5">
        <w:rPr>
          <w:rFonts w:ascii="Garamond" w:hAnsi="Garamond"/>
          <w:sz w:val="22"/>
          <w:szCs w:val="22"/>
        </w:rPr>
        <w:t xml:space="preserve">ГОСТ 8.216-2011. Межгосударственный стандарт. Государственная система обеспечения единства измерений. Трансформаторы напряжения. Методика поверки. </w:t>
      </w:r>
    </w:p>
    <w:p w14:paraId="43E425D5" w14:textId="77777777" w:rsidR="002C64A0" w:rsidRPr="007C72D5" w:rsidRDefault="002C64A0" w:rsidP="002C64A0">
      <w:pPr>
        <w:tabs>
          <w:tab w:val="left" w:pos="8100"/>
        </w:tabs>
        <w:spacing w:before="120" w:after="120"/>
        <w:jc w:val="both"/>
        <w:rPr>
          <w:rFonts w:ascii="Garamond" w:hAnsi="Garamond"/>
          <w:sz w:val="22"/>
          <w:szCs w:val="22"/>
        </w:rPr>
      </w:pPr>
      <w:r w:rsidRPr="007C72D5">
        <w:rPr>
          <w:rFonts w:ascii="Garamond" w:hAnsi="Garamond"/>
          <w:sz w:val="22"/>
          <w:szCs w:val="22"/>
        </w:rPr>
        <w:t>ГОСТ Р 8.563–2009. Национальный стандарт Российской Федерации. Государственная система обеспечения единства измерений. Методики (методы) измерений.</w:t>
      </w:r>
    </w:p>
    <w:p w14:paraId="228C27C2" w14:textId="77777777" w:rsidR="002C64A0" w:rsidRPr="007C72D5" w:rsidRDefault="002C64A0" w:rsidP="002C64A0">
      <w:pPr>
        <w:tabs>
          <w:tab w:val="left" w:pos="8100"/>
        </w:tabs>
        <w:spacing w:before="120" w:after="120"/>
        <w:jc w:val="both"/>
        <w:rPr>
          <w:rFonts w:ascii="Garamond" w:hAnsi="Garamond"/>
          <w:sz w:val="22"/>
          <w:szCs w:val="22"/>
        </w:rPr>
      </w:pPr>
      <w:r w:rsidRPr="007C72D5">
        <w:rPr>
          <w:rFonts w:ascii="Garamond" w:hAnsi="Garamond"/>
          <w:sz w:val="22"/>
          <w:szCs w:val="22"/>
        </w:rPr>
        <w:t>ГОСТ Р 8.596-2002. Государственный стандарт Российской Федерации. Государственная система обеспечения единства измерений. Метрологическое обеспечение измерительных систем. Основные положения.</w:t>
      </w:r>
    </w:p>
    <w:p w14:paraId="75DE0CF9" w14:textId="77777777" w:rsidR="002C64A0" w:rsidRPr="007C72D5" w:rsidRDefault="002C64A0" w:rsidP="002C64A0">
      <w:pPr>
        <w:tabs>
          <w:tab w:val="left" w:pos="8100"/>
        </w:tabs>
        <w:spacing w:before="120" w:after="120"/>
        <w:jc w:val="both"/>
        <w:rPr>
          <w:rFonts w:ascii="Garamond" w:hAnsi="Garamond"/>
          <w:sz w:val="22"/>
          <w:szCs w:val="22"/>
        </w:rPr>
      </w:pPr>
      <w:r w:rsidRPr="007C72D5">
        <w:rPr>
          <w:rFonts w:ascii="Garamond" w:hAnsi="Garamond"/>
          <w:sz w:val="22"/>
          <w:szCs w:val="22"/>
        </w:rPr>
        <w:t xml:space="preserve">ГОСТ Р 56302-2014. Национальный стандарт Российской Федерации. Единая энергетическая система и изолированно работающие энергосистемы. Оперативно-диспетчерское управление. Диспетчерские </w:t>
      </w:r>
      <w:r w:rsidRPr="007C72D5">
        <w:rPr>
          <w:rFonts w:ascii="Garamond" w:hAnsi="Garamond"/>
          <w:sz w:val="22"/>
          <w:szCs w:val="22"/>
        </w:rPr>
        <w:lastRenderedPageBreak/>
        <w:t>наименования объектов электроэнергетики и оборудования объектов электроэнергетики. Общие требования.</w:t>
      </w:r>
    </w:p>
    <w:p w14:paraId="62A4A1F1" w14:textId="77777777" w:rsidR="002C64A0" w:rsidRPr="007C72D5" w:rsidRDefault="002C64A0" w:rsidP="002C64A0">
      <w:pPr>
        <w:spacing w:before="120" w:after="120"/>
        <w:jc w:val="both"/>
        <w:rPr>
          <w:rFonts w:ascii="Garamond" w:hAnsi="Garamond"/>
          <w:sz w:val="22"/>
          <w:szCs w:val="22"/>
        </w:rPr>
      </w:pPr>
      <w:r w:rsidRPr="007C72D5">
        <w:rPr>
          <w:rFonts w:ascii="Garamond" w:hAnsi="Garamond"/>
          <w:sz w:val="22"/>
          <w:szCs w:val="22"/>
        </w:rPr>
        <w:t>ГОСТ Р МЭК 60044-8-2010. Национальный стандарт Российской Федерации. Трансформаторы измерительные. Часть 8. Электронные трансформаторы тока.</w:t>
      </w:r>
    </w:p>
    <w:p w14:paraId="60E5938F" w14:textId="77777777" w:rsidR="002C64A0" w:rsidRPr="007C72D5" w:rsidRDefault="002C64A0" w:rsidP="002C64A0">
      <w:pPr>
        <w:tabs>
          <w:tab w:val="left" w:pos="8100"/>
        </w:tabs>
        <w:spacing w:before="120" w:after="120"/>
        <w:jc w:val="both"/>
        <w:rPr>
          <w:rFonts w:ascii="Garamond" w:hAnsi="Garamond"/>
          <w:sz w:val="22"/>
          <w:szCs w:val="22"/>
        </w:rPr>
      </w:pPr>
      <w:r w:rsidRPr="007C72D5">
        <w:rPr>
          <w:rFonts w:ascii="Garamond" w:hAnsi="Garamond"/>
          <w:sz w:val="22"/>
          <w:szCs w:val="22"/>
        </w:rPr>
        <w:t>ГОСТ Р МЭК 60044-7-2010. Национальный стандарт Российской Федерации. Трансформаторы измерительные. Часть 7. Электронные трансформаторы напряжения.</w:t>
      </w:r>
    </w:p>
    <w:p w14:paraId="625ABC33" w14:textId="77777777" w:rsidR="002C64A0" w:rsidRPr="007C72D5" w:rsidRDefault="002C64A0" w:rsidP="002C64A0">
      <w:pPr>
        <w:tabs>
          <w:tab w:val="left" w:pos="8100"/>
        </w:tabs>
        <w:spacing w:before="120" w:after="120"/>
        <w:jc w:val="both"/>
        <w:rPr>
          <w:rFonts w:ascii="Garamond" w:hAnsi="Garamond"/>
          <w:sz w:val="22"/>
          <w:szCs w:val="22"/>
        </w:rPr>
      </w:pPr>
      <w:r w:rsidRPr="007C72D5">
        <w:rPr>
          <w:rFonts w:ascii="Garamond" w:hAnsi="Garamond"/>
          <w:sz w:val="22"/>
          <w:szCs w:val="22"/>
        </w:rPr>
        <w:t>РД 34.11.502-95. Методические указания. Организация и порядок проведения метрологической экспертизы документации на стадии разработки и проектирования.</w:t>
      </w:r>
    </w:p>
    <w:p w14:paraId="4DF2D5E8" w14:textId="77777777" w:rsidR="002C64A0" w:rsidRPr="007C72D5" w:rsidRDefault="002C64A0" w:rsidP="002C64A0">
      <w:pPr>
        <w:tabs>
          <w:tab w:val="left" w:pos="8100"/>
        </w:tabs>
        <w:spacing w:before="120" w:after="120"/>
        <w:jc w:val="both"/>
        <w:rPr>
          <w:rFonts w:ascii="Garamond" w:hAnsi="Garamond"/>
          <w:sz w:val="22"/>
          <w:szCs w:val="22"/>
        </w:rPr>
      </w:pPr>
      <w:r w:rsidRPr="007C72D5">
        <w:rPr>
          <w:rFonts w:ascii="Garamond" w:hAnsi="Garamond"/>
          <w:sz w:val="22"/>
          <w:szCs w:val="22"/>
        </w:rPr>
        <w:t>РД 34.11.202-95. Методические указания. Измерительные каналы информационно-измерительных систем. Организация и порядок проведения метрологической аттестации.</w:t>
      </w:r>
    </w:p>
    <w:p w14:paraId="7804F5E7" w14:textId="77777777" w:rsidR="002C64A0" w:rsidRPr="007C72D5" w:rsidRDefault="002C64A0" w:rsidP="002C64A0">
      <w:pPr>
        <w:tabs>
          <w:tab w:val="left" w:pos="8100"/>
        </w:tabs>
        <w:spacing w:before="120" w:after="120"/>
        <w:jc w:val="both"/>
        <w:rPr>
          <w:rFonts w:ascii="Garamond" w:hAnsi="Garamond"/>
          <w:sz w:val="22"/>
          <w:szCs w:val="22"/>
        </w:rPr>
      </w:pPr>
      <w:r w:rsidRPr="007C72D5">
        <w:rPr>
          <w:rFonts w:ascii="Garamond" w:hAnsi="Garamond"/>
          <w:sz w:val="22"/>
          <w:szCs w:val="22"/>
        </w:rPr>
        <w:t>РД 34.11.333-97. Типовая методика выполнения измерений количества электрической энергии.</w:t>
      </w:r>
    </w:p>
    <w:p w14:paraId="715A89D7" w14:textId="77777777" w:rsidR="002C64A0" w:rsidRPr="007C72D5" w:rsidRDefault="002C64A0" w:rsidP="002C64A0">
      <w:pPr>
        <w:tabs>
          <w:tab w:val="left" w:pos="8100"/>
        </w:tabs>
        <w:spacing w:before="120" w:after="120"/>
        <w:jc w:val="both"/>
        <w:rPr>
          <w:rFonts w:ascii="Garamond" w:hAnsi="Garamond"/>
          <w:sz w:val="22"/>
          <w:szCs w:val="22"/>
        </w:rPr>
      </w:pPr>
      <w:r w:rsidRPr="007C72D5">
        <w:rPr>
          <w:rFonts w:ascii="Garamond" w:hAnsi="Garamond"/>
          <w:sz w:val="22"/>
          <w:szCs w:val="22"/>
        </w:rPr>
        <w:t>РД 34.11.334-97. Типовая методика выполнения измерений электрической мощности.</w:t>
      </w:r>
    </w:p>
    <w:p w14:paraId="3966DEBD" w14:textId="77777777" w:rsidR="002C64A0" w:rsidRPr="007C72D5" w:rsidRDefault="002C64A0" w:rsidP="002C64A0">
      <w:pPr>
        <w:tabs>
          <w:tab w:val="left" w:pos="8100"/>
        </w:tabs>
        <w:spacing w:before="120" w:after="120"/>
        <w:jc w:val="both"/>
        <w:rPr>
          <w:rFonts w:ascii="Garamond" w:hAnsi="Garamond"/>
          <w:sz w:val="22"/>
          <w:szCs w:val="22"/>
        </w:rPr>
      </w:pPr>
      <w:r w:rsidRPr="007C72D5">
        <w:rPr>
          <w:rFonts w:ascii="Garamond" w:hAnsi="Garamond"/>
          <w:sz w:val="22"/>
          <w:szCs w:val="22"/>
        </w:rPr>
        <w:t>РД 34.11.114-98. Автоматизированные системы контроля и учета электроэнергии и мощности. Основные нормируемые метрологические характеристики. Общие требования.</w:t>
      </w:r>
    </w:p>
    <w:p w14:paraId="3A7BC636" w14:textId="77777777" w:rsidR="002C64A0" w:rsidRPr="007C72D5" w:rsidRDefault="002C64A0" w:rsidP="002C64A0">
      <w:pPr>
        <w:tabs>
          <w:tab w:val="left" w:pos="8100"/>
        </w:tabs>
        <w:spacing w:before="120" w:after="120"/>
        <w:jc w:val="both"/>
        <w:rPr>
          <w:rFonts w:ascii="Garamond" w:hAnsi="Garamond"/>
          <w:sz w:val="22"/>
          <w:szCs w:val="22"/>
        </w:rPr>
      </w:pPr>
      <w:r w:rsidRPr="007C72D5">
        <w:rPr>
          <w:rFonts w:ascii="Garamond" w:hAnsi="Garamond"/>
          <w:sz w:val="22"/>
          <w:szCs w:val="22"/>
        </w:rPr>
        <w:t>РД 153-34.0-11.209-99. Рекомендации. Автоматизированные системы контроля и учета электроэнергии и мощности. Типовая методика выполнения измерений электроэнергии и мощности.</w:t>
      </w:r>
    </w:p>
    <w:p w14:paraId="396FDF62" w14:textId="77777777" w:rsidR="002C64A0" w:rsidRPr="007C72D5" w:rsidRDefault="002C64A0" w:rsidP="002C64A0">
      <w:pPr>
        <w:tabs>
          <w:tab w:val="left" w:pos="8100"/>
        </w:tabs>
        <w:spacing w:before="120" w:after="120"/>
        <w:jc w:val="both"/>
        <w:rPr>
          <w:rFonts w:ascii="Garamond" w:eastAsia="Arial Unicode MS" w:hAnsi="Garamond"/>
          <w:sz w:val="22"/>
          <w:szCs w:val="22"/>
        </w:rPr>
      </w:pPr>
      <w:r w:rsidRPr="007C72D5">
        <w:rPr>
          <w:rFonts w:ascii="Garamond" w:hAnsi="Garamond"/>
          <w:sz w:val="22"/>
          <w:szCs w:val="22"/>
        </w:rPr>
        <w:t xml:space="preserve">РМГ 29-2013. Рекомендации по межгосударственной стандартизации. Государственная система обеспечения единства измерений. </w:t>
      </w:r>
      <w:r w:rsidRPr="007C72D5">
        <w:rPr>
          <w:rFonts w:ascii="Garamond" w:hAnsi="Garamond"/>
          <w:spacing w:val="6"/>
          <w:sz w:val="22"/>
          <w:szCs w:val="22"/>
        </w:rPr>
        <w:t xml:space="preserve">Метрология. </w:t>
      </w:r>
      <w:r w:rsidRPr="007C72D5">
        <w:rPr>
          <w:rFonts w:ascii="Garamond" w:hAnsi="Garamond"/>
          <w:sz w:val="22"/>
          <w:szCs w:val="22"/>
        </w:rPr>
        <w:t>Основные термины и определения.</w:t>
      </w:r>
    </w:p>
    <w:p w14:paraId="13D97D4F" w14:textId="77777777" w:rsidR="002C64A0" w:rsidRPr="007C72D5" w:rsidRDefault="002C64A0" w:rsidP="002C64A0">
      <w:pPr>
        <w:tabs>
          <w:tab w:val="left" w:pos="8100"/>
        </w:tabs>
        <w:jc w:val="both"/>
        <w:rPr>
          <w:rFonts w:ascii="Garamond" w:hAnsi="Garamond"/>
          <w:sz w:val="22"/>
          <w:szCs w:val="22"/>
        </w:rPr>
      </w:pPr>
      <w:r w:rsidRPr="007C72D5">
        <w:rPr>
          <w:rFonts w:ascii="Garamond" w:hAnsi="Garamond"/>
          <w:spacing w:val="2"/>
          <w:sz w:val="22"/>
          <w:szCs w:val="22"/>
        </w:rPr>
        <w:t xml:space="preserve">МИ 222-80. Методика расчета метрологических характеристик </w:t>
      </w:r>
      <w:r w:rsidRPr="007C72D5">
        <w:rPr>
          <w:rFonts w:ascii="Garamond" w:hAnsi="Garamond"/>
          <w:sz w:val="22"/>
          <w:szCs w:val="22"/>
        </w:rPr>
        <w:t>измерительных каналов информационно-измерительных систем</w:t>
      </w:r>
      <w:r w:rsidRPr="007C72D5">
        <w:rPr>
          <w:rFonts w:ascii="Garamond" w:hAnsi="Garamond"/>
          <w:spacing w:val="2"/>
          <w:sz w:val="22"/>
          <w:szCs w:val="22"/>
        </w:rPr>
        <w:t xml:space="preserve"> по метрологическим характеристикам компонентов.</w:t>
      </w:r>
    </w:p>
    <w:p w14:paraId="19A8F6D9" w14:textId="77777777" w:rsidR="002C64A0" w:rsidRPr="007C72D5" w:rsidRDefault="002C64A0" w:rsidP="002C64A0">
      <w:pPr>
        <w:tabs>
          <w:tab w:val="left" w:pos="8100"/>
        </w:tabs>
        <w:spacing w:before="120" w:after="120"/>
        <w:jc w:val="both"/>
        <w:rPr>
          <w:rFonts w:ascii="Garamond" w:hAnsi="Garamond"/>
          <w:sz w:val="22"/>
          <w:szCs w:val="22"/>
        </w:rPr>
      </w:pPr>
      <w:r w:rsidRPr="007C72D5">
        <w:rPr>
          <w:rFonts w:ascii="Garamond" w:hAnsi="Garamond"/>
          <w:spacing w:val="-1"/>
          <w:sz w:val="22"/>
          <w:szCs w:val="22"/>
        </w:rPr>
        <w:t xml:space="preserve">МИ 2168-91. </w:t>
      </w:r>
      <w:r w:rsidRPr="007C72D5">
        <w:rPr>
          <w:rFonts w:ascii="Garamond" w:hAnsi="Garamond"/>
          <w:sz w:val="22"/>
          <w:szCs w:val="22"/>
        </w:rPr>
        <w:t>Рекомендация.</w:t>
      </w:r>
      <w:r w:rsidRPr="007C72D5">
        <w:rPr>
          <w:rFonts w:ascii="Garamond" w:hAnsi="Garamond"/>
          <w:spacing w:val="-1"/>
          <w:sz w:val="22"/>
          <w:szCs w:val="22"/>
        </w:rPr>
        <w:t xml:space="preserve"> </w:t>
      </w:r>
      <w:r w:rsidRPr="007C72D5">
        <w:rPr>
          <w:rFonts w:ascii="Garamond" w:hAnsi="Garamond"/>
          <w:sz w:val="22"/>
          <w:szCs w:val="22"/>
        </w:rPr>
        <w:t>Государственная система обеспечения единства измерений. Системы измерительные информационные</w:t>
      </w:r>
      <w:r w:rsidRPr="007C72D5">
        <w:rPr>
          <w:rFonts w:ascii="Garamond" w:hAnsi="Garamond"/>
          <w:spacing w:val="-1"/>
          <w:sz w:val="22"/>
          <w:szCs w:val="22"/>
        </w:rPr>
        <w:t>. Методика расчета метро</w:t>
      </w:r>
      <w:r w:rsidRPr="007C72D5">
        <w:rPr>
          <w:rFonts w:ascii="Garamond" w:hAnsi="Garamond"/>
          <w:spacing w:val="-1"/>
          <w:sz w:val="22"/>
          <w:szCs w:val="22"/>
        </w:rPr>
        <w:softHyphen/>
      </w:r>
      <w:r w:rsidRPr="007C72D5">
        <w:rPr>
          <w:rFonts w:ascii="Garamond" w:hAnsi="Garamond"/>
          <w:sz w:val="22"/>
          <w:szCs w:val="22"/>
        </w:rPr>
        <w:t>логических характеристик измерительных каналов по метрологическим характеристикам линейных ана</w:t>
      </w:r>
      <w:r w:rsidRPr="007C72D5">
        <w:rPr>
          <w:rFonts w:ascii="Garamond" w:hAnsi="Garamond"/>
          <w:sz w:val="22"/>
          <w:szCs w:val="22"/>
        </w:rPr>
        <w:softHyphen/>
      </w:r>
      <w:r w:rsidRPr="007C72D5">
        <w:rPr>
          <w:rFonts w:ascii="Garamond" w:hAnsi="Garamond"/>
          <w:spacing w:val="1"/>
          <w:sz w:val="22"/>
          <w:szCs w:val="22"/>
        </w:rPr>
        <w:t>логовых компонентов.</w:t>
      </w:r>
    </w:p>
    <w:p w14:paraId="0212B0B0" w14:textId="77777777" w:rsidR="002C64A0" w:rsidRPr="007C72D5" w:rsidRDefault="002C64A0" w:rsidP="002C64A0">
      <w:pPr>
        <w:tabs>
          <w:tab w:val="left" w:pos="8100"/>
        </w:tabs>
        <w:spacing w:before="120" w:after="120"/>
        <w:jc w:val="both"/>
        <w:rPr>
          <w:rFonts w:ascii="Garamond" w:hAnsi="Garamond"/>
          <w:sz w:val="22"/>
          <w:szCs w:val="22"/>
        </w:rPr>
      </w:pPr>
      <w:r w:rsidRPr="007C72D5">
        <w:rPr>
          <w:rFonts w:ascii="Garamond" w:hAnsi="Garamond"/>
          <w:spacing w:val="1"/>
          <w:sz w:val="22"/>
          <w:szCs w:val="22"/>
        </w:rPr>
        <w:t>МИ 2439-</w:t>
      </w:r>
      <w:r w:rsidRPr="007C72D5">
        <w:rPr>
          <w:rFonts w:ascii="Garamond" w:hAnsi="Garamond"/>
          <w:spacing w:val="-1"/>
          <w:sz w:val="22"/>
          <w:szCs w:val="22"/>
        </w:rPr>
        <w:t xml:space="preserve">97. </w:t>
      </w:r>
      <w:r w:rsidRPr="007C72D5">
        <w:rPr>
          <w:rFonts w:ascii="Garamond" w:hAnsi="Garamond"/>
          <w:sz w:val="22"/>
          <w:szCs w:val="22"/>
        </w:rPr>
        <w:t xml:space="preserve">Рекомендация. Государственная система обеспечения единства измерений. </w:t>
      </w:r>
      <w:r w:rsidRPr="007C72D5">
        <w:rPr>
          <w:rFonts w:ascii="Garamond" w:hAnsi="Garamond"/>
          <w:spacing w:val="-1"/>
          <w:sz w:val="22"/>
          <w:szCs w:val="22"/>
        </w:rPr>
        <w:t>Метрологические характеристи</w:t>
      </w:r>
      <w:r w:rsidRPr="007C72D5">
        <w:rPr>
          <w:rFonts w:ascii="Garamond" w:hAnsi="Garamond"/>
          <w:spacing w:val="2"/>
          <w:sz w:val="22"/>
          <w:szCs w:val="22"/>
        </w:rPr>
        <w:t>ки измерительных систем. Номенклатура. Принцип регламентации, определения и контроля.</w:t>
      </w:r>
    </w:p>
    <w:p w14:paraId="2210F8DA" w14:textId="77777777" w:rsidR="002C64A0" w:rsidRPr="007C72D5" w:rsidRDefault="002C64A0" w:rsidP="002C64A0">
      <w:pPr>
        <w:tabs>
          <w:tab w:val="left" w:pos="8100"/>
        </w:tabs>
        <w:spacing w:before="120" w:after="120"/>
        <w:jc w:val="both"/>
        <w:rPr>
          <w:rFonts w:ascii="Garamond" w:hAnsi="Garamond"/>
          <w:sz w:val="22"/>
          <w:szCs w:val="22"/>
        </w:rPr>
      </w:pPr>
      <w:r w:rsidRPr="007C72D5">
        <w:rPr>
          <w:rFonts w:ascii="Garamond" w:hAnsi="Garamond"/>
          <w:sz w:val="22"/>
          <w:szCs w:val="22"/>
        </w:rPr>
        <w:t>МИ 2440-</w:t>
      </w:r>
      <w:r w:rsidRPr="007C72D5">
        <w:rPr>
          <w:rFonts w:ascii="Garamond" w:hAnsi="Garamond"/>
          <w:spacing w:val="2"/>
          <w:sz w:val="22"/>
          <w:szCs w:val="22"/>
        </w:rPr>
        <w:t xml:space="preserve">97. </w:t>
      </w:r>
      <w:r w:rsidRPr="007C72D5">
        <w:rPr>
          <w:rFonts w:ascii="Garamond" w:hAnsi="Garamond"/>
          <w:sz w:val="22"/>
          <w:szCs w:val="22"/>
        </w:rPr>
        <w:t xml:space="preserve">Рекомендация. Государственная система обеспечения единства измерений. </w:t>
      </w:r>
      <w:r w:rsidRPr="007C72D5">
        <w:rPr>
          <w:rFonts w:ascii="Garamond" w:hAnsi="Garamond"/>
          <w:spacing w:val="2"/>
          <w:sz w:val="22"/>
          <w:szCs w:val="22"/>
        </w:rPr>
        <w:t xml:space="preserve">Методы экспериментального определения и контроля характеристик погрешности измерительных каналов измерительных систем и </w:t>
      </w:r>
      <w:r w:rsidRPr="007C72D5">
        <w:rPr>
          <w:rFonts w:ascii="Garamond" w:hAnsi="Garamond"/>
          <w:spacing w:val="1"/>
          <w:sz w:val="22"/>
          <w:szCs w:val="22"/>
        </w:rPr>
        <w:t>измерительных комплексов.</w:t>
      </w:r>
    </w:p>
    <w:p w14:paraId="00277D6C" w14:textId="77777777" w:rsidR="002C64A0" w:rsidRPr="007C72D5" w:rsidRDefault="002C64A0" w:rsidP="002C64A0">
      <w:pPr>
        <w:tabs>
          <w:tab w:val="left" w:pos="8100"/>
        </w:tabs>
        <w:spacing w:before="120" w:after="120"/>
        <w:jc w:val="both"/>
        <w:rPr>
          <w:rFonts w:ascii="Garamond" w:hAnsi="Garamond"/>
          <w:sz w:val="22"/>
          <w:szCs w:val="22"/>
        </w:rPr>
      </w:pPr>
      <w:r w:rsidRPr="007C72D5">
        <w:rPr>
          <w:rFonts w:ascii="Garamond" w:hAnsi="Garamond"/>
          <w:spacing w:val="2"/>
          <w:sz w:val="22"/>
          <w:szCs w:val="22"/>
        </w:rPr>
        <w:t xml:space="preserve">МИ 2539-99. </w:t>
      </w:r>
      <w:r w:rsidRPr="007C72D5">
        <w:rPr>
          <w:rFonts w:ascii="Garamond" w:hAnsi="Garamond"/>
          <w:sz w:val="22"/>
          <w:szCs w:val="22"/>
        </w:rPr>
        <w:t xml:space="preserve">Рекомендация. Государственная система обеспечения единства измерений. </w:t>
      </w:r>
      <w:r w:rsidRPr="007C72D5">
        <w:rPr>
          <w:rFonts w:ascii="Garamond" w:hAnsi="Garamond"/>
          <w:spacing w:val="2"/>
          <w:sz w:val="22"/>
          <w:szCs w:val="22"/>
        </w:rPr>
        <w:t>Измерительные каналы кон</w:t>
      </w:r>
      <w:r w:rsidRPr="007C72D5">
        <w:rPr>
          <w:rFonts w:ascii="Garamond" w:hAnsi="Garamond"/>
          <w:spacing w:val="1"/>
          <w:sz w:val="22"/>
          <w:szCs w:val="22"/>
        </w:rPr>
        <w:t>троллеров, измерительно-вычислительных, управляющих, программно-технических комплексов. Мето</w:t>
      </w:r>
      <w:r w:rsidRPr="007C72D5">
        <w:rPr>
          <w:rFonts w:ascii="Garamond" w:hAnsi="Garamond"/>
          <w:spacing w:val="2"/>
          <w:sz w:val="22"/>
          <w:szCs w:val="22"/>
        </w:rPr>
        <w:t>дика поверки.</w:t>
      </w:r>
    </w:p>
    <w:p w14:paraId="06034186" w14:textId="77777777" w:rsidR="002C64A0" w:rsidRPr="007C72D5" w:rsidRDefault="002C64A0" w:rsidP="002C64A0">
      <w:pPr>
        <w:tabs>
          <w:tab w:val="left" w:pos="8100"/>
        </w:tabs>
        <w:spacing w:before="120" w:after="120"/>
        <w:jc w:val="both"/>
        <w:rPr>
          <w:rFonts w:ascii="Garamond" w:hAnsi="Garamond"/>
          <w:sz w:val="22"/>
          <w:szCs w:val="22"/>
        </w:rPr>
      </w:pPr>
      <w:r w:rsidRPr="007C72D5">
        <w:rPr>
          <w:rFonts w:ascii="Garamond" w:hAnsi="Garamond"/>
          <w:spacing w:val="-1"/>
          <w:sz w:val="22"/>
          <w:szCs w:val="22"/>
        </w:rPr>
        <w:t>МИ 2808-</w:t>
      </w:r>
      <w:r w:rsidRPr="007C72D5">
        <w:rPr>
          <w:rFonts w:ascii="Garamond" w:hAnsi="Garamond"/>
          <w:sz w:val="22"/>
          <w:szCs w:val="22"/>
        </w:rPr>
        <w:t>2003. Рекомендация. Государственная система обеспечения единства измерений. Количество электрической энергии. Методика выполнения измерений при распределении небалансов на оптовом рынке электрической энергии.</w:t>
      </w:r>
    </w:p>
    <w:p w14:paraId="45F56861" w14:textId="77777777" w:rsidR="002C64A0" w:rsidRPr="007C72D5" w:rsidRDefault="002C64A0" w:rsidP="002C64A0">
      <w:pPr>
        <w:tabs>
          <w:tab w:val="left" w:pos="8100"/>
        </w:tabs>
        <w:spacing w:before="120" w:after="120"/>
        <w:jc w:val="both"/>
        <w:rPr>
          <w:rFonts w:ascii="Garamond" w:hAnsi="Garamond"/>
          <w:sz w:val="22"/>
          <w:szCs w:val="22"/>
        </w:rPr>
      </w:pPr>
      <w:r w:rsidRPr="007C72D5">
        <w:rPr>
          <w:rFonts w:ascii="Garamond" w:hAnsi="Garamond"/>
          <w:sz w:val="22"/>
          <w:szCs w:val="22"/>
        </w:rPr>
        <w:t>МИ 2999-2022. Рекомендация. Государственная система обеспечения единства измерений. Системы автоматизированные информационно-измерительные коммерческого учета электрической энергии. Рекомендации по составлению описания типа. (Документ носит рекомендательный характер).</w:t>
      </w:r>
    </w:p>
    <w:p w14:paraId="72B22A03" w14:textId="77777777" w:rsidR="002C64A0" w:rsidRPr="007C72D5" w:rsidRDefault="002C64A0" w:rsidP="002C64A0">
      <w:pPr>
        <w:tabs>
          <w:tab w:val="left" w:pos="8100"/>
        </w:tabs>
        <w:spacing w:before="120" w:after="120"/>
        <w:jc w:val="both"/>
        <w:rPr>
          <w:rFonts w:ascii="Garamond" w:hAnsi="Garamond"/>
          <w:sz w:val="22"/>
          <w:szCs w:val="22"/>
        </w:rPr>
      </w:pPr>
      <w:r w:rsidRPr="007C72D5">
        <w:rPr>
          <w:rFonts w:ascii="Garamond" w:hAnsi="Garamond"/>
          <w:sz w:val="22"/>
          <w:szCs w:val="22"/>
        </w:rPr>
        <w:t>МИ 3000-2022. Рекомендация. Государственная система обеспечения единства измерений. Системы автоматизированные информационно-измерительные коммерческого учета электрической энергии. Методика поверки. (Документ носит рекомендательный характер).</w:t>
      </w:r>
    </w:p>
    <w:p w14:paraId="3802A7CE" w14:textId="77777777" w:rsidR="002C64A0" w:rsidRPr="007C72D5" w:rsidRDefault="002C64A0" w:rsidP="002C64A0">
      <w:pPr>
        <w:tabs>
          <w:tab w:val="left" w:pos="8100"/>
        </w:tabs>
        <w:spacing w:before="120" w:after="120"/>
        <w:jc w:val="both"/>
        <w:rPr>
          <w:rFonts w:ascii="Garamond" w:hAnsi="Garamond"/>
          <w:sz w:val="22"/>
          <w:szCs w:val="22"/>
        </w:rPr>
      </w:pPr>
      <w:r w:rsidRPr="007C72D5">
        <w:rPr>
          <w:rFonts w:ascii="Garamond" w:hAnsi="Garamond"/>
          <w:sz w:val="22"/>
          <w:szCs w:val="22"/>
        </w:rPr>
        <w:t>МИ 3022-2006. Рекомендация. Государственная система обеспечения единства измерений. Нормализация нагрузки вторичных цепей измерительных трансформаторов тока.</w:t>
      </w:r>
    </w:p>
    <w:p w14:paraId="58EC6745" w14:textId="77777777" w:rsidR="002C64A0" w:rsidRPr="007C72D5" w:rsidRDefault="002C64A0" w:rsidP="002C64A0">
      <w:pPr>
        <w:tabs>
          <w:tab w:val="left" w:pos="8100"/>
        </w:tabs>
        <w:spacing w:before="120" w:after="120"/>
        <w:jc w:val="both"/>
        <w:rPr>
          <w:rFonts w:ascii="Garamond" w:hAnsi="Garamond"/>
          <w:sz w:val="22"/>
          <w:szCs w:val="22"/>
        </w:rPr>
      </w:pPr>
      <w:r w:rsidRPr="007C72D5">
        <w:rPr>
          <w:rFonts w:ascii="Garamond" w:hAnsi="Garamond"/>
          <w:sz w:val="22"/>
          <w:szCs w:val="22"/>
        </w:rPr>
        <w:t>МИ 3023-2006. Рекомендация. Государственная система обеспечения единства измерений. Нормализация нагрузки вторичных цепей измерительных трансформаторов напряжения.</w:t>
      </w:r>
    </w:p>
    <w:p w14:paraId="0042AF51" w14:textId="77777777" w:rsidR="002C64A0" w:rsidRPr="007C72D5" w:rsidRDefault="002C64A0" w:rsidP="002C64A0">
      <w:pPr>
        <w:spacing w:before="120" w:after="120"/>
        <w:jc w:val="both"/>
        <w:rPr>
          <w:rFonts w:ascii="Garamond" w:hAnsi="Garamond"/>
          <w:sz w:val="22"/>
          <w:szCs w:val="22"/>
        </w:rPr>
      </w:pPr>
      <w:r w:rsidRPr="007C72D5">
        <w:rPr>
          <w:rFonts w:ascii="Garamond" w:hAnsi="Garamond"/>
          <w:sz w:val="22"/>
          <w:szCs w:val="22"/>
        </w:rPr>
        <w:t>РД 34.35.305. Инструкция по проверке трансформаторов напряжения и их вторичных цепей.</w:t>
      </w:r>
    </w:p>
    <w:p w14:paraId="194C6376" w14:textId="77777777" w:rsidR="002C64A0" w:rsidRPr="007C72D5" w:rsidRDefault="002C64A0" w:rsidP="002C64A0">
      <w:pPr>
        <w:spacing w:before="120" w:after="120"/>
        <w:jc w:val="both"/>
        <w:rPr>
          <w:rFonts w:ascii="Garamond" w:hAnsi="Garamond"/>
          <w:sz w:val="22"/>
          <w:szCs w:val="22"/>
        </w:rPr>
      </w:pPr>
      <w:r w:rsidRPr="007C72D5">
        <w:rPr>
          <w:rFonts w:ascii="Garamond" w:hAnsi="Garamond"/>
        </w:rPr>
        <w:t>ПУЭ. Правила устройства электроустановок. Издание шестое.</w:t>
      </w:r>
    </w:p>
    <w:p w14:paraId="22905FB7" w14:textId="77777777" w:rsidR="002C64A0" w:rsidRPr="007C72D5" w:rsidRDefault="002C64A0" w:rsidP="002C64A0">
      <w:pPr>
        <w:spacing w:before="120" w:after="120"/>
        <w:jc w:val="both"/>
        <w:rPr>
          <w:rFonts w:ascii="Garamond" w:hAnsi="Garamond"/>
          <w:sz w:val="22"/>
          <w:szCs w:val="22"/>
        </w:rPr>
      </w:pPr>
      <w:r w:rsidRPr="007C72D5">
        <w:rPr>
          <w:rFonts w:ascii="Garamond" w:hAnsi="Garamond"/>
          <w:sz w:val="22"/>
          <w:szCs w:val="22"/>
        </w:rPr>
        <w:t xml:space="preserve">ПУЭ. Правила устройства электроустановок. Издание седьмое. </w:t>
      </w:r>
    </w:p>
    <w:p w14:paraId="17B4BA05" w14:textId="77777777" w:rsidR="002C64A0" w:rsidRPr="001E3420" w:rsidRDefault="002C64A0" w:rsidP="002C64A0">
      <w:pPr>
        <w:spacing w:before="120" w:after="120"/>
        <w:jc w:val="both"/>
        <w:rPr>
          <w:rFonts w:ascii="Garamond" w:hAnsi="Garamond"/>
        </w:rPr>
      </w:pPr>
      <w:r w:rsidRPr="007C72D5">
        <w:rPr>
          <w:rFonts w:ascii="Garamond" w:hAnsi="Garamond"/>
          <w:i/>
        </w:rPr>
        <w:lastRenderedPageBreak/>
        <w:t>Примечание</w:t>
      </w:r>
      <w:r w:rsidRPr="007C72D5">
        <w:rPr>
          <w:rFonts w:ascii="Garamond" w:hAnsi="Garamond"/>
        </w:rPr>
        <w:t>. При включении в состав АИИС КУЭ технических средств, произведенных до даты вступления в силу вышеуказанных нормативных документов, применяются соответствующие нормативные документы, действовавшие на дату производства таких технических средств.</w:t>
      </w:r>
    </w:p>
    <w:p w14:paraId="0B5102E6" w14:textId="77777777" w:rsidR="002C64A0" w:rsidRPr="001E3420" w:rsidRDefault="002C64A0" w:rsidP="002C64A0">
      <w:pPr>
        <w:jc w:val="both"/>
        <w:rPr>
          <w:rFonts w:ascii="Garamond" w:hAnsi="Garamond"/>
          <w:b/>
          <w:sz w:val="22"/>
          <w:szCs w:val="22"/>
        </w:rPr>
      </w:pPr>
    </w:p>
    <w:p w14:paraId="3DE8E40F" w14:textId="77777777" w:rsidR="006464EC" w:rsidRDefault="006464EC" w:rsidP="007C72D5">
      <w:pPr>
        <w:spacing w:before="120" w:after="120"/>
        <w:rPr>
          <w:rFonts w:ascii="Garamond" w:hAnsi="Garamond"/>
          <w:b/>
          <w:bCs/>
          <w:sz w:val="22"/>
          <w:szCs w:val="22"/>
        </w:rPr>
      </w:pPr>
      <w:r>
        <w:rPr>
          <w:rFonts w:ascii="Garamond" w:hAnsi="Garamond"/>
          <w:b/>
          <w:bCs/>
          <w:sz w:val="22"/>
          <w:szCs w:val="22"/>
        </w:rPr>
        <w:br w:type="page"/>
      </w:r>
    </w:p>
    <w:p w14:paraId="2A81D743" w14:textId="77777777" w:rsidR="00F91CA6" w:rsidRPr="001E3420" w:rsidRDefault="00F91CA6" w:rsidP="007C72D5">
      <w:pPr>
        <w:spacing w:before="120" w:after="120"/>
        <w:rPr>
          <w:rFonts w:ascii="Garamond" w:hAnsi="Garamond"/>
          <w:b/>
          <w:bCs/>
          <w:sz w:val="22"/>
          <w:szCs w:val="22"/>
        </w:rPr>
      </w:pPr>
      <w:r w:rsidRPr="001E3420">
        <w:rPr>
          <w:rFonts w:ascii="Garamond" w:hAnsi="Garamond"/>
          <w:b/>
          <w:bCs/>
          <w:sz w:val="22"/>
          <w:szCs w:val="22"/>
        </w:rPr>
        <w:lastRenderedPageBreak/>
        <w:t>Добавить приложение</w:t>
      </w:r>
    </w:p>
    <w:p w14:paraId="522BE793" w14:textId="77777777" w:rsidR="00CE6209" w:rsidRPr="001E3420" w:rsidRDefault="00CE6209" w:rsidP="00CE6209">
      <w:pPr>
        <w:spacing w:before="120" w:after="120"/>
        <w:jc w:val="right"/>
        <w:rPr>
          <w:rFonts w:ascii="Garamond" w:hAnsi="Garamond"/>
          <w:b/>
          <w:bCs/>
          <w:sz w:val="22"/>
          <w:szCs w:val="22"/>
        </w:rPr>
      </w:pPr>
      <w:r w:rsidRPr="001E3420">
        <w:rPr>
          <w:rFonts w:ascii="Garamond" w:hAnsi="Garamond"/>
          <w:b/>
          <w:bCs/>
          <w:sz w:val="22"/>
          <w:szCs w:val="22"/>
        </w:rPr>
        <w:t xml:space="preserve">Приложение </w:t>
      </w:r>
      <w:r w:rsidR="002C64A0" w:rsidRPr="001E3420">
        <w:rPr>
          <w:rFonts w:ascii="Garamond" w:hAnsi="Garamond"/>
          <w:b/>
          <w:bCs/>
          <w:sz w:val="22"/>
          <w:szCs w:val="22"/>
        </w:rPr>
        <w:t>1</w:t>
      </w:r>
    </w:p>
    <w:p w14:paraId="795FE21E" w14:textId="77777777" w:rsidR="00CE6209" w:rsidRPr="007C72D5" w:rsidRDefault="00CE6209" w:rsidP="00CE6209">
      <w:pPr>
        <w:spacing w:before="120" w:after="120"/>
        <w:jc w:val="center"/>
        <w:rPr>
          <w:rFonts w:ascii="Garamond" w:hAnsi="Garamond"/>
          <w:b/>
          <w:bCs/>
          <w:sz w:val="22"/>
          <w:szCs w:val="22"/>
        </w:rPr>
      </w:pPr>
      <w:r w:rsidRPr="007C72D5">
        <w:rPr>
          <w:rFonts w:ascii="Garamond" w:hAnsi="Garamond"/>
          <w:b/>
          <w:bCs/>
          <w:sz w:val="22"/>
          <w:szCs w:val="22"/>
        </w:rPr>
        <w:t>МАКЕТ 10000</w:t>
      </w:r>
    </w:p>
    <w:p w14:paraId="6E72926E" w14:textId="77777777" w:rsidR="00CE6209" w:rsidRPr="007C72D5" w:rsidRDefault="00CE6209" w:rsidP="009D7164">
      <w:pPr>
        <w:numPr>
          <w:ilvl w:val="1"/>
          <w:numId w:val="90"/>
        </w:numPr>
        <w:suppressAutoHyphens w:val="0"/>
        <w:spacing w:before="240" w:after="240"/>
        <w:ind w:left="1134" w:hanging="567"/>
        <w:jc w:val="both"/>
        <w:rPr>
          <w:rFonts w:ascii="Garamond" w:hAnsi="Garamond"/>
          <w:b/>
          <w:bCs/>
          <w:sz w:val="22"/>
          <w:szCs w:val="22"/>
        </w:rPr>
      </w:pPr>
      <w:r w:rsidRPr="007C72D5">
        <w:rPr>
          <w:rFonts w:ascii="Garamond" w:hAnsi="Garamond"/>
          <w:b/>
          <w:bCs/>
          <w:sz w:val="22"/>
          <w:szCs w:val="22"/>
        </w:rPr>
        <w:t>Описание макета 10000</w:t>
      </w:r>
    </w:p>
    <w:p w14:paraId="3C6877C7" w14:textId="77777777" w:rsidR="00CE6209" w:rsidRPr="007C72D5" w:rsidRDefault="00CE6209" w:rsidP="00CE6209">
      <w:pPr>
        <w:spacing w:before="120" w:after="120"/>
        <w:ind w:firstLine="567"/>
        <w:jc w:val="both"/>
        <w:rPr>
          <w:rFonts w:ascii="Garamond" w:hAnsi="Garamond"/>
          <w:bCs/>
          <w:sz w:val="22"/>
          <w:szCs w:val="22"/>
        </w:rPr>
      </w:pPr>
      <w:r w:rsidRPr="007C72D5">
        <w:rPr>
          <w:rFonts w:ascii="Garamond" w:hAnsi="Garamond"/>
          <w:bCs/>
          <w:sz w:val="22"/>
          <w:szCs w:val="22"/>
        </w:rPr>
        <w:t xml:space="preserve">Формат документа используется для формирования субъектом электроэнергетики xml-документа в соответствии с п. </w:t>
      </w:r>
      <w:r w:rsidRPr="00D14D2B">
        <w:rPr>
          <w:rFonts w:ascii="Garamond" w:hAnsi="Garamond"/>
          <w:bCs/>
          <w:sz w:val="22"/>
          <w:szCs w:val="22"/>
        </w:rPr>
        <w:t xml:space="preserve">55 </w:t>
      </w:r>
      <w:r w:rsidR="001F6BDD" w:rsidRPr="001F6BDD">
        <w:rPr>
          <w:rFonts w:ascii="Garamond" w:hAnsi="Garamond"/>
          <w:sz w:val="22"/>
          <w:szCs w:val="22"/>
        </w:rPr>
        <w:t>Правил</w:t>
      </w:r>
      <w:r w:rsidR="00D14D2B" w:rsidRPr="00AB6884">
        <w:rPr>
          <w:rFonts w:ascii="Garamond" w:hAnsi="Garamond"/>
          <w:sz w:val="22"/>
          <w:szCs w:val="22"/>
        </w:rPr>
        <w:t xml:space="preserve"> предоставления доступа к минимальному набору функций интеллектуальных систем учета</w:t>
      </w:r>
      <w:r w:rsidRPr="00D14D2B">
        <w:rPr>
          <w:rFonts w:ascii="Garamond" w:hAnsi="Garamond"/>
          <w:bCs/>
          <w:sz w:val="22"/>
          <w:szCs w:val="22"/>
        </w:rPr>
        <w:t xml:space="preserve"> для</w:t>
      </w:r>
      <w:r w:rsidRPr="007C72D5">
        <w:rPr>
          <w:rFonts w:ascii="Garamond" w:hAnsi="Garamond"/>
          <w:bCs/>
          <w:sz w:val="22"/>
          <w:szCs w:val="22"/>
        </w:rPr>
        <w:t xml:space="preserve"> последующего направления в адрес Коммерческого оператора оптового рынка с целью установления соответствия интеллектуальных приборов учета (ИПУ) и интеллектуальных систем учета (ИСУ) требованиям Правил оптового рынка.</w:t>
      </w:r>
    </w:p>
    <w:p w14:paraId="0EC7E3D7" w14:textId="77777777" w:rsidR="00CE6209" w:rsidRPr="007C72D5" w:rsidRDefault="00CE6209" w:rsidP="00CE6209">
      <w:pPr>
        <w:spacing w:before="120" w:after="120"/>
        <w:ind w:firstLine="567"/>
        <w:jc w:val="both"/>
        <w:rPr>
          <w:rFonts w:ascii="Garamond" w:hAnsi="Garamond"/>
          <w:bCs/>
          <w:sz w:val="22"/>
          <w:szCs w:val="22"/>
        </w:rPr>
      </w:pPr>
      <w:r w:rsidRPr="007C72D5">
        <w:rPr>
          <w:rFonts w:ascii="Garamond" w:hAnsi="Garamond"/>
          <w:bCs/>
          <w:sz w:val="22"/>
          <w:szCs w:val="22"/>
        </w:rPr>
        <w:t>При передаче электронного документа используется расширяемый язык разметки (XML) в соответствии со спецификацией Extensible Markup Language (XML) 1.0.</w:t>
      </w:r>
    </w:p>
    <w:p w14:paraId="257C5AB7" w14:textId="77777777" w:rsidR="00CE6209" w:rsidRPr="007C72D5" w:rsidRDefault="00CE6209" w:rsidP="00CE6209">
      <w:pPr>
        <w:spacing w:before="120" w:after="120"/>
        <w:ind w:firstLine="567"/>
        <w:jc w:val="both"/>
        <w:rPr>
          <w:rFonts w:ascii="Garamond" w:hAnsi="Garamond"/>
          <w:bCs/>
          <w:sz w:val="22"/>
          <w:szCs w:val="22"/>
        </w:rPr>
      </w:pPr>
      <w:r w:rsidRPr="007C72D5">
        <w:rPr>
          <w:rFonts w:ascii="Garamond" w:hAnsi="Garamond"/>
          <w:bCs/>
          <w:sz w:val="22"/>
          <w:szCs w:val="22"/>
        </w:rPr>
        <w:t>При декларации кодировки, являющейся частью декларации XML, используются названия и псевдонимы русскоязычных наборов символов, зарегистрированных в Internet Assigned Numbers Authority. Для данного электронного документа может быть использована кодировка “windows-1251” или “utf-8”.</w:t>
      </w:r>
    </w:p>
    <w:p w14:paraId="2EB0ED62" w14:textId="77777777" w:rsidR="00CE6209" w:rsidRPr="007C72D5" w:rsidRDefault="00CE6209" w:rsidP="00CE6209">
      <w:pPr>
        <w:spacing w:before="120" w:after="120"/>
        <w:ind w:firstLine="567"/>
        <w:jc w:val="both"/>
        <w:rPr>
          <w:rFonts w:ascii="Garamond" w:hAnsi="Garamond"/>
          <w:bCs/>
          <w:sz w:val="22"/>
          <w:szCs w:val="22"/>
        </w:rPr>
      </w:pPr>
      <w:r w:rsidRPr="007C72D5">
        <w:rPr>
          <w:rFonts w:ascii="Garamond" w:hAnsi="Garamond"/>
          <w:bCs/>
          <w:sz w:val="22"/>
          <w:szCs w:val="22"/>
        </w:rPr>
        <w:t>Имя файла, содержащего электронный документ, должно составляться в формате «&lt;тип документа&gt;_&lt;дата формирования&gt;», где:</w:t>
      </w:r>
    </w:p>
    <w:p w14:paraId="548F8657" w14:textId="77777777" w:rsidR="00CE6209" w:rsidRPr="007C72D5" w:rsidRDefault="00CE6209" w:rsidP="00CE6209">
      <w:pPr>
        <w:spacing w:before="120" w:after="120"/>
        <w:ind w:firstLine="567"/>
        <w:jc w:val="both"/>
        <w:rPr>
          <w:rFonts w:ascii="Garamond" w:hAnsi="Garamond"/>
          <w:bCs/>
          <w:sz w:val="22"/>
          <w:szCs w:val="22"/>
        </w:rPr>
      </w:pPr>
      <w:r w:rsidRPr="007C72D5">
        <w:rPr>
          <w:rFonts w:ascii="Garamond" w:hAnsi="Garamond"/>
          <w:bCs/>
          <w:sz w:val="22"/>
          <w:szCs w:val="22"/>
        </w:rPr>
        <w:t>–</w:t>
      </w:r>
      <w:r w:rsidRPr="007C72D5">
        <w:rPr>
          <w:rFonts w:ascii="Garamond" w:hAnsi="Garamond"/>
          <w:bCs/>
          <w:sz w:val="22"/>
          <w:szCs w:val="22"/>
        </w:rPr>
        <w:tab/>
        <w:t xml:space="preserve"> тип документа – номер, присвоенный КО данному типу документа (10000);</w:t>
      </w:r>
    </w:p>
    <w:p w14:paraId="2121AB39" w14:textId="77777777" w:rsidR="00CE6209" w:rsidRPr="007C72D5" w:rsidRDefault="00CE6209" w:rsidP="00CE6209">
      <w:pPr>
        <w:spacing w:before="120" w:after="120"/>
        <w:ind w:firstLine="567"/>
        <w:jc w:val="both"/>
        <w:rPr>
          <w:rFonts w:ascii="Garamond" w:hAnsi="Garamond"/>
          <w:bCs/>
          <w:sz w:val="22"/>
          <w:szCs w:val="22"/>
        </w:rPr>
      </w:pPr>
      <w:r w:rsidRPr="007C72D5">
        <w:rPr>
          <w:rFonts w:ascii="Garamond" w:hAnsi="Garamond"/>
          <w:bCs/>
          <w:sz w:val="22"/>
          <w:szCs w:val="22"/>
        </w:rPr>
        <w:t>–</w:t>
      </w:r>
      <w:r w:rsidRPr="007C72D5">
        <w:rPr>
          <w:rFonts w:ascii="Garamond" w:hAnsi="Garamond"/>
          <w:bCs/>
          <w:sz w:val="22"/>
          <w:szCs w:val="22"/>
        </w:rPr>
        <w:tab/>
        <w:t xml:space="preserve"> дата формирования – момент времени, в который был сформирован макет, в формате «ГГГГММДДччммсс», где ГГГГ – год, ММ – порядковый номер месяца, ДД – день, чч – час, мм – минуты, сс – секунды. Длина поля &lt;дата формирования&gt; – 14 знаков. Указывается по московскому времени. Дата формирования, используемая в имени электронного документа, должна соответствовать дате, указанной в элементе &lt;podis:Timestamp&gt; (за исключением данных о миллисекундах).</w:t>
      </w:r>
    </w:p>
    <w:p w14:paraId="23B2679A" w14:textId="77777777" w:rsidR="00CE6209" w:rsidRPr="007C72D5" w:rsidRDefault="00CE6209" w:rsidP="009D7164">
      <w:pPr>
        <w:numPr>
          <w:ilvl w:val="1"/>
          <w:numId w:val="90"/>
        </w:numPr>
        <w:suppressAutoHyphens w:val="0"/>
        <w:spacing w:before="240" w:after="240"/>
        <w:ind w:left="1134" w:hanging="567"/>
        <w:jc w:val="both"/>
        <w:rPr>
          <w:rFonts w:ascii="Garamond" w:hAnsi="Garamond"/>
          <w:b/>
          <w:bCs/>
          <w:sz w:val="22"/>
          <w:szCs w:val="22"/>
        </w:rPr>
      </w:pPr>
      <w:r w:rsidRPr="007C72D5">
        <w:rPr>
          <w:rFonts w:ascii="Garamond" w:hAnsi="Garamond"/>
          <w:b/>
          <w:bCs/>
          <w:sz w:val="22"/>
          <w:szCs w:val="22"/>
        </w:rPr>
        <w:t>Описание структуры макета 10000</w:t>
      </w:r>
    </w:p>
    <w:p w14:paraId="0E3D33C6" w14:textId="77777777" w:rsidR="00CE6209" w:rsidRPr="007C72D5" w:rsidRDefault="00CE6209" w:rsidP="00101F7C">
      <w:pPr>
        <w:pStyle w:val="ac"/>
        <w:numPr>
          <w:ilvl w:val="1"/>
          <w:numId w:val="104"/>
        </w:numPr>
        <w:spacing w:before="120" w:after="120"/>
        <w:jc w:val="both"/>
        <w:rPr>
          <w:rFonts w:ascii="Garamond" w:hAnsi="Garamond"/>
          <w:b/>
          <w:bCs/>
          <w:sz w:val="22"/>
          <w:szCs w:val="22"/>
        </w:rPr>
      </w:pPr>
      <w:r w:rsidRPr="007C72D5">
        <w:rPr>
          <w:rFonts w:ascii="Garamond" w:hAnsi="Garamond"/>
          <w:b/>
          <w:bCs/>
          <w:sz w:val="22"/>
          <w:szCs w:val="22"/>
        </w:rPr>
        <w:t>&lt;podis:Request&gt;</w:t>
      </w:r>
      <w:r w:rsidRPr="007C72D5">
        <w:rPr>
          <w:rFonts w:ascii="Garamond" w:hAnsi="Garamond"/>
          <w:bCs/>
          <w:sz w:val="22"/>
          <w:szCs w:val="22"/>
        </w:rPr>
        <w:t xml:space="preserve"> – сообщение с информацией об ИСУ. Является обязательным корневым элементом.</w:t>
      </w:r>
    </w:p>
    <w:p w14:paraId="5CF7E894" w14:textId="77777777" w:rsidR="00CE6209" w:rsidRPr="007C72D5" w:rsidRDefault="00CE6209" w:rsidP="00CE6209">
      <w:pPr>
        <w:spacing w:before="120" w:after="120"/>
        <w:ind w:firstLine="567"/>
        <w:jc w:val="both"/>
        <w:rPr>
          <w:rFonts w:ascii="Garamond" w:hAnsi="Garamond"/>
          <w:bCs/>
          <w:sz w:val="22"/>
          <w:szCs w:val="22"/>
        </w:rPr>
      </w:pPr>
      <w:r w:rsidRPr="007C72D5">
        <w:rPr>
          <w:rFonts w:ascii="Garamond" w:hAnsi="Garamond"/>
          <w:bCs/>
          <w:sz w:val="22"/>
          <w:szCs w:val="22"/>
        </w:rPr>
        <w:t>В документе допускается наличие только одного корневого элемента &lt;podis:Request&gt;.</w:t>
      </w:r>
    </w:p>
    <w:p w14:paraId="2DA251B4" w14:textId="77777777" w:rsidR="00CE6209" w:rsidRPr="007C72D5" w:rsidRDefault="00CE6209" w:rsidP="00CE6209">
      <w:pPr>
        <w:spacing w:before="120" w:after="120"/>
        <w:ind w:firstLine="567"/>
        <w:jc w:val="both"/>
        <w:rPr>
          <w:rFonts w:ascii="Garamond" w:hAnsi="Garamond"/>
          <w:bCs/>
          <w:sz w:val="22"/>
          <w:szCs w:val="22"/>
        </w:rPr>
      </w:pPr>
      <w:r w:rsidRPr="007C72D5">
        <w:rPr>
          <w:rFonts w:ascii="Garamond" w:hAnsi="Garamond"/>
          <w:bCs/>
          <w:sz w:val="22"/>
          <w:szCs w:val="22"/>
        </w:rPr>
        <w:t>Атрибутами элемента &lt;podis:Request&gt; являются:</w:t>
      </w:r>
    </w:p>
    <w:p w14:paraId="47253B5C" w14:textId="77777777" w:rsidR="00CE6209" w:rsidRPr="007C72D5" w:rsidRDefault="00CE6209" w:rsidP="00CE6209">
      <w:pPr>
        <w:spacing w:before="120" w:after="120"/>
        <w:ind w:firstLine="567"/>
        <w:jc w:val="both"/>
        <w:rPr>
          <w:rFonts w:ascii="Garamond" w:hAnsi="Garamond"/>
          <w:bCs/>
          <w:sz w:val="22"/>
          <w:szCs w:val="22"/>
        </w:rPr>
      </w:pPr>
      <w:r w:rsidRPr="007C72D5">
        <w:rPr>
          <w:rFonts w:ascii="Garamond" w:hAnsi="Garamond"/>
          <w:bCs/>
          <w:sz w:val="22"/>
          <w:szCs w:val="22"/>
        </w:rPr>
        <w:t>–</w:t>
      </w:r>
      <w:r w:rsidRPr="007C72D5">
        <w:rPr>
          <w:rFonts w:ascii="Garamond" w:hAnsi="Garamond"/>
          <w:bCs/>
          <w:sz w:val="22"/>
          <w:szCs w:val="22"/>
        </w:rPr>
        <w:tab/>
        <w:t xml:space="preserve"> xmlns:podis. Является обязательным атрибутом, обозначает пространство имен модели протокола обмена данными между интеллектуальными системами учета электрической энергии (далее – ПОДИС), в рамках макета 10000. Принимает строго определенное значение «http://iec.ch/TC57/2011/schema/podis/Layout_10000#»;</w:t>
      </w:r>
    </w:p>
    <w:p w14:paraId="7A631182" w14:textId="77777777" w:rsidR="00CE6209" w:rsidRPr="007C72D5" w:rsidRDefault="00CE6209" w:rsidP="00CE6209">
      <w:pPr>
        <w:spacing w:before="120" w:after="120"/>
        <w:ind w:firstLine="567"/>
        <w:jc w:val="both"/>
        <w:rPr>
          <w:rFonts w:ascii="Garamond" w:hAnsi="Garamond"/>
          <w:bCs/>
          <w:sz w:val="22"/>
          <w:szCs w:val="22"/>
        </w:rPr>
      </w:pPr>
      <w:r w:rsidRPr="007C72D5">
        <w:rPr>
          <w:rFonts w:ascii="Garamond" w:hAnsi="Garamond"/>
          <w:bCs/>
          <w:sz w:val="22"/>
          <w:szCs w:val="22"/>
        </w:rPr>
        <w:t>–</w:t>
      </w:r>
      <w:r w:rsidRPr="007C72D5">
        <w:rPr>
          <w:rFonts w:ascii="Garamond" w:hAnsi="Garamond"/>
          <w:bCs/>
          <w:sz w:val="22"/>
          <w:szCs w:val="22"/>
        </w:rPr>
        <w:tab/>
        <w:t xml:space="preserve"> xmlns:sawsdl. Является обязательным атрибутом, обозначает семантическую аннотацию модели ПОДИС к атрибутам макета. Принимает строго определенное значение «http://www.w3.org/ns/sawsdl»;</w:t>
      </w:r>
    </w:p>
    <w:p w14:paraId="45A3A74E" w14:textId="77777777" w:rsidR="00CE6209" w:rsidRPr="007C72D5" w:rsidRDefault="00CE6209" w:rsidP="00CE6209">
      <w:pPr>
        <w:spacing w:before="120" w:after="120"/>
        <w:ind w:firstLine="567"/>
        <w:jc w:val="both"/>
        <w:rPr>
          <w:rFonts w:ascii="Garamond" w:hAnsi="Garamond"/>
          <w:bCs/>
          <w:sz w:val="22"/>
          <w:szCs w:val="22"/>
        </w:rPr>
      </w:pPr>
      <w:r w:rsidRPr="007C72D5">
        <w:rPr>
          <w:rFonts w:ascii="Garamond" w:hAnsi="Garamond"/>
          <w:bCs/>
          <w:sz w:val="22"/>
          <w:szCs w:val="22"/>
        </w:rPr>
        <w:t>–</w:t>
      </w:r>
      <w:r w:rsidRPr="007C72D5">
        <w:rPr>
          <w:rFonts w:ascii="Garamond" w:hAnsi="Garamond"/>
          <w:bCs/>
          <w:sz w:val="22"/>
          <w:szCs w:val="22"/>
        </w:rPr>
        <w:tab/>
        <w:t xml:space="preserve"> class – является обязательным и содержит данные о типе электронного документа в системе ЭДО. Значение атрибута class должно быть равно «10000».</w:t>
      </w:r>
    </w:p>
    <w:p w14:paraId="32563793" w14:textId="6F003EE2" w:rsidR="00CE6209" w:rsidRPr="007C72D5" w:rsidRDefault="00CE6209" w:rsidP="00CE6209">
      <w:pPr>
        <w:spacing w:before="120" w:after="120"/>
        <w:ind w:firstLine="567"/>
        <w:jc w:val="both"/>
        <w:rPr>
          <w:rFonts w:ascii="Garamond" w:hAnsi="Garamond"/>
          <w:bCs/>
          <w:sz w:val="22"/>
          <w:szCs w:val="22"/>
        </w:rPr>
      </w:pPr>
      <w:r w:rsidRPr="007C72D5">
        <w:rPr>
          <w:rFonts w:ascii="Garamond" w:hAnsi="Garamond"/>
          <w:bCs/>
          <w:sz w:val="22"/>
          <w:szCs w:val="22"/>
        </w:rPr>
        <w:t>Дочерними элементами &lt;podis:Request&gt; являются элементы &lt;podis:Header&gt; и &lt;podis:Payload&gt;. У элемента &lt;podis:Request&gt; может быть только один дочерний элемент &lt;podis:Header&gt; и</w:t>
      </w:r>
      <w:r w:rsidR="009B5F03">
        <w:rPr>
          <w:rFonts w:ascii="Garamond" w:hAnsi="Garamond"/>
          <w:bCs/>
          <w:sz w:val="22"/>
          <w:szCs w:val="22"/>
        </w:rPr>
        <w:t xml:space="preserve"> </w:t>
      </w:r>
      <w:r w:rsidRPr="007C72D5">
        <w:rPr>
          <w:rFonts w:ascii="Garamond" w:hAnsi="Garamond"/>
          <w:bCs/>
          <w:sz w:val="22"/>
          <w:szCs w:val="22"/>
        </w:rPr>
        <w:t>&lt;podis:Payload&gt;.</w:t>
      </w:r>
    </w:p>
    <w:p w14:paraId="309ECCE2" w14:textId="77777777" w:rsidR="00CE6209" w:rsidRPr="007C72D5" w:rsidRDefault="00CE6209" w:rsidP="00101F7C">
      <w:pPr>
        <w:pStyle w:val="ac"/>
        <w:numPr>
          <w:ilvl w:val="2"/>
          <w:numId w:val="104"/>
        </w:numPr>
        <w:spacing w:before="120" w:after="120"/>
        <w:ind w:left="1134" w:hanging="567"/>
        <w:jc w:val="both"/>
        <w:rPr>
          <w:rFonts w:ascii="Garamond" w:hAnsi="Garamond"/>
          <w:b/>
          <w:bCs/>
          <w:sz w:val="22"/>
          <w:szCs w:val="22"/>
        </w:rPr>
      </w:pPr>
      <w:r w:rsidRPr="007C72D5">
        <w:rPr>
          <w:rFonts w:ascii="Garamond" w:hAnsi="Garamond"/>
          <w:b/>
          <w:bCs/>
          <w:sz w:val="22"/>
          <w:szCs w:val="22"/>
        </w:rPr>
        <w:t>&lt;podis:Header&gt;</w:t>
      </w:r>
    </w:p>
    <w:p w14:paraId="5726C2B5" w14:textId="77777777" w:rsidR="00CE6209" w:rsidRPr="007C72D5" w:rsidRDefault="00CE6209" w:rsidP="00CE6209">
      <w:pPr>
        <w:spacing w:before="120" w:after="120"/>
        <w:ind w:firstLine="567"/>
        <w:jc w:val="both"/>
        <w:rPr>
          <w:rFonts w:ascii="Garamond" w:hAnsi="Garamond"/>
          <w:bCs/>
          <w:sz w:val="22"/>
          <w:szCs w:val="22"/>
        </w:rPr>
      </w:pPr>
      <w:r w:rsidRPr="007C72D5">
        <w:rPr>
          <w:rFonts w:ascii="Garamond" w:hAnsi="Garamond"/>
          <w:bCs/>
          <w:sz w:val="22"/>
          <w:szCs w:val="22"/>
        </w:rPr>
        <w:t>Элемент &lt;podis:Header&gt; – заголовок сообщения, содержащий данные со служебными элементами. Является обязательным элементом.</w:t>
      </w:r>
    </w:p>
    <w:p w14:paraId="050873F9" w14:textId="20492387" w:rsidR="00CE6209" w:rsidRPr="007C72D5" w:rsidRDefault="00CE6209" w:rsidP="00CE6209">
      <w:pPr>
        <w:spacing w:before="120" w:after="120"/>
        <w:ind w:firstLine="567"/>
        <w:jc w:val="both"/>
        <w:rPr>
          <w:rFonts w:ascii="Garamond" w:hAnsi="Garamond"/>
          <w:bCs/>
          <w:sz w:val="22"/>
          <w:szCs w:val="22"/>
        </w:rPr>
      </w:pPr>
      <w:r w:rsidRPr="007C72D5">
        <w:rPr>
          <w:rFonts w:ascii="Garamond" w:hAnsi="Garamond"/>
          <w:bCs/>
          <w:sz w:val="22"/>
          <w:szCs w:val="22"/>
        </w:rPr>
        <w:t>Дочерними элементами &lt;podis:Header&gt; являются элементы &lt;podis:Timestamp&gt;, &lt;podis:Revision&gt;</w:t>
      </w:r>
      <w:r w:rsidR="009B5F03">
        <w:rPr>
          <w:rFonts w:ascii="Garamond" w:hAnsi="Garamond"/>
          <w:bCs/>
          <w:sz w:val="22"/>
          <w:szCs w:val="22"/>
        </w:rPr>
        <w:t xml:space="preserve"> </w:t>
      </w:r>
      <w:r w:rsidRPr="007C72D5">
        <w:rPr>
          <w:rFonts w:ascii="Garamond" w:hAnsi="Garamond"/>
          <w:bCs/>
          <w:sz w:val="22"/>
          <w:szCs w:val="22"/>
        </w:rPr>
        <w:t>и &lt;podis:MessageID&gt;. У элемента &lt;podis:Header&gt; может быть только один дочерний элемент &lt;podis:Timestamp&gt;, &lt;podis:Revision&gt; и &lt;podis:MessageID&gt;.</w:t>
      </w:r>
    </w:p>
    <w:p w14:paraId="3055BF3F" w14:textId="77777777" w:rsidR="00CE6209" w:rsidRPr="007C72D5" w:rsidRDefault="00CE6209" w:rsidP="00101F7C">
      <w:pPr>
        <w:pStyle w:val="ac"/>
        <w:numPr>
          <w:ilvl w:val="3"/>
          <w:numId w:val="104"/>
        </w:numPr>
        <w:spacing w:before="120" w:after="120"/>
        <w:ind w:left="1134" w:hanging="567"/>
        <w:jc w:val="both"/>
        <w:rPr>
          <w:rFonts w:ascii="Garamond" w:hAnsi="Garamond"/>
          <w:b/>
          <w:bCs/>
          <w:sz w:val="22"/>
          <w:szCs w:val="22"/>
        </w:rPr>
      </w:pPr>
      <w:r w:rsidRPr="007C72D5">
        <w:rPr>
          <w:rFonts w:ascii="Garamond" w:hAnsi="Garamond"/>
          <w:b/>
          <w:bCs/>
          <w:sz w:val="22"/>
          <w:szCs w:val="22"/>
        </w:rPr>
        <w:t>&lt;podis:Timestamp&gt;</w:t>
      </w:r>
    </w:p>
    <w:p w14:paraId="649698AB" w14:textId="77777777" w:rsidR="00CE6209" w:rsidRPr="007C72D5" w:rsidRDefault="00CE6209" w:rsidP="00CE6209">
      <w:pPr>
        <w:spacing w:before="120" w:after="120"/>
        <w:ind w:firstLine="567"/>
        <w:jc w:val="both"/>
        <w:rPr>
          <w:rFonts w:ascii="Garamond" w:hAnsi="Garamond"/>
          <w:bCs/>
          <w:sz w:val="22"/>
          <w:szCs w:val="22"/>
        </w:rPr>
      </w:pPr>
      <w:r w:rsidRPr="007C72D5">
        <w:rPr>
          <w:rFonts w:ascii="Garamond" w:hAnsi="Garamond"/>
          <w:bCs/>
          <w:sz w:val="22"/>
          <w:szCs w:val="22"/>
        </w:rPr>
        <w:t xml:space="preserve">Элемент &lt;podis:Timestamp&gt; содержит дату создания документа, в формате «ГГГГ-ММ-ДДТчч:мм:сс.мсс», где ГГГГ – год, ММ – порядковый номер месяца, ДД – день, чч – час, мм – минуты, сс – </w:t>
      </w:r>
      <w:r w:rsidRPr="007C72D5">
        <w:rPr>
          <w:rFonts w:ascii="Garamond" w:hAnsi="Garamond"/>
          <w:bCs/>
          <w:sz w:val="22"/>
          <w:szCs w:val="22"/>
        </w:rPr>
        <w:lastRenderedPageBreak/>
        <w:t>секунды, мсс – миллисекунды. Длина поля – 23 знака. Указывается по московскому времени. Является обязательным элементом. Дата создания документа, указанная в элементе &lt;podis:Timestamp&gt;, должна соответствовать дате, указанной в наименовании электронного документа (за исключением данных о миллисекундах).</w:t>
      </w:r>
    </w:p>
    <w:p w14:paraId="006BCE96" w14:textId="77777777" w:rsidR="00CE6209" w:rsidRPr="007C72D5" w:rsidRDefault="00CE6209" w:rsidP="00101F7C">
      <w:pPr>
        <w:pStyle w:val="ac"/>
        <w:numPr>
          <w:ilvl w:val="3"/>
          <w:numId w:val="104"/>
        </w:numPr>
        <w:spacing w:before="120" w:after="120"/>
        <w:ind w:left="1134" w:hanging="567"/>
        <w:jc w:val="both"/>
        <w:rPr>
          <w:rFonts w:ascii="Garamond" w:hAnsi="Garamond"/>
          <w:b/>
          <w:bCs/>
          <w:sz w:val="22"/>
          <w:szCs w:val="22"/>
        </w:rPr>
      </w:pPr>
      <w:r w:rsidRPr="007C72D5">
        <w:rPr>
          <w:rFonts w:ascii="Garamond" w:hAnsi="Garamond"/>
          <w:b/>
          <w:bCs/>
          <w:sz w:val="22"/>
          <w:szCs w:val="22"/>
        </w:rPr>
        <w:t>&lt;podis:Revision&gt;</w:t>
      </w:r>
    </w:p>
    <w:p w14:paraId="42E10AA3" w14:textId="77777777" w:rsidR="00CE6209" w:rsidRPr="007C72D5" w:rsidRDefault="00CE6209" w:rsidP="00CE6209">
      <w:pPr>
        <w:spacing w:before="120" w:after="120"/>
        <w:ind w:firstLine="567"/>
        <w:jc w:val="both"/>
        <w:rPr>
          <w:rFonts w:ascii="Garamond" w:hAnsi="Garamond"/>
          <w:bCs/>
          <w:sz w:val="22"/>
          <w:szCs w:val="22"/>
        </w:rPr>
      </w:pPr>
      <w:r w:rsidRPr="007C72D5">
        <w:rPr>
          <w:rFonts w:ascii="Garamond" w:hAnsi="Garamond"/>
          <w:bCs/>
          <w:sz w:val="22"/>
          <w:szCs w:val="22"/>
        </w:rPr>
        <w:t>Элемент &lt;podis:Revision&gt; содержит данные о версии формата (версии набора элементов). Данный элемент определяет версию макета 10000 (равен «1»). Является обязательным элементом.</w:t>
      </w:r>
    </w:p>
    <w:p w14:paraId="4E61E742" w14:textId="77777777" w:rsidR="00CE6209" w:rsidRPr="007C72D5" w:rsidRDefault="00CE6209" w:rsidP="00101F7C">
      <w:pPr>
        <w:pStyle w:val="ac"/>
        <w:numPr>
          <w:ilvl w:val="3"/>
          <w:numId w:val="104"/>
        </w:numPr>
        <w:spacing w:before="120" w:after="120"/>
        <w:ind w:left="1134" w:hanging="567"/>
        <w:jc w:val="both"/>
        <w:rPr>
          <w:rFonts w:ascii="Garamond" w:hAnsi="Garamond"/>
          <w:b/>
          <w:bCs/>
          <w:sz w:val="22"/>
          <w:szCs w:val="22"/>
        </w:rPr>
      </w:pPr>
      <w:r w:rsidRPr="007C72D5">
        <w:rPr>
          <w:rFonts w:ascii="Garamond" w:hAnsi="Garamond"/>
          <w:b/>
          <w:bCs/>
          <w:sz w:val="22"/>
          <w:szCs w:val="22"/>
        </w:rPr>
        <w:t>&lt;podis:MessageID&gt;</w:t>
      </w:r>
    </w:p>
    <w:p w14:paraId="1CF19E54" w14:textId="77777777" w:rsidR="00CE6209" w:rsidRPr="007C72D5" w:rsidRDefault="00CE6209" w:rsidP="00CE6209">
      <w:pPr>
        <w:spacing w:before="120" w:after="120"/>
        <w:ind w:firstLine="567"/>
        <w:jc w:val="both"/>
        <w:rPr>
          <w:rFonts w:ascii="Garamond" w:hAnsi="Garamond"/>
          <w:bCs/>
          <w:sz w:val="22"/>
          <w:szCs w:val="22"/>
        </w:rPr>
      </w:pPr>
      <w:r w:rsidRPr="007C72D5">
        <w:rPr>
          <w:rFonts w:ascii="Garamond" w:hAnsi="Garamond"/>
          <w:bCs/>
          <w:sz w:val="22"/>
          <w:szCs w:val="22"/>
        </w:rPr>
        <w:t>Элемент &lt;podis:MessageID&gt; содержит данные с уникальным идентификатором сообщения. Представляет собой текст, состоящий из 36 символов. Является обязательным элементом. Представляет из себя UUID – Universal Unique Identifier, универсальный идентификатор информации, состоящий из 36 символов. Генерируется при помощи основанного на времени алгоритма генерации, согласно ГОСТ Р ИСО/МЭК 9834-8-2011.</w:t>
      </w:r>
    </w:p>
    <w:p w14:paraId="7C53BDB3" w14:textId="77777777" w:rsidR="00CE6209" w:rsidRPr="007C72D5" w:rsidRDefault="00CE6209" w:rsidP="00101F7C">
      <w:pPr>
        <w:pStyle w:val="ac"/>
        <w:numPr>
          <w:ilvl w:val="2"/>
          <w:numId w:val="104"/>
        </w:numPr>
        <w:spacing w:before="120" w:after="120"/>
        <w:ind w:left="1134" w:hanging="567"/>
        <w:jc w:val="both"/>
        <w:rPr>
          <w:rFonts w:ascii="Garamond" w:hAnsi="Garamond"/>
          <w:b/>
          <w:bCs/>
          <w:sz w:val="22"/>
          <w:szCs w:val="22"/>
        </w:rPr>
      </w:pPr>
      <w:r w:rsidRPr="007C72D5">
        <w:rPr>
          <w:rFonts w:ascii="Garamond" w:hAnsi="Garamond"/>
          <w:b/>
          <w:bCs/>
          <w:sz w:val="22"/>
          <w:szCs w:val="22"/>
        </w:rPr>
        <w:t>&lt;podis:Payload&gt;</w:t>
      </w:r>
    </w:p>
    <w:p w14:paraId="33A17D48" w14:textId="77777777" w:rsidR="00CE6209" w:rsidRPr="007C72D5" w:rsidRDefault="00CE6209" w:rsidP="00CE6209">
      <w:pPr>
        <w:spacing w:before="120" w:after="120"/>
        <w:ind w:firstLine="567"/>
        <w:jc w:val="both"/>
        <w:rPr>
          <w:rFonts w:ascii="Garamond" w:hAnsi="Garamond"/>
          <w:bCs/>
          <w:sz w:val="22"/>
          <w:szCs w:val="22"/>
        </w:rPr>
      </w:pPr>
      <w:r w:rsidRPr="007C72D5">
        <w:rPr>
          <w:rFonts w:ascii="Garamond" w:hAnsi="Garamond"/>
          <w:bCs/>
          <w:sz w:val="22"/>
          <w:szCs w:val="22"/>
        </w:rPr>
        <w:t>Элемент &lt;podis:Payload&gt; содержит в себе профиль информационной модели. Является обязательным элементом.</w:t>
      </w:r>
    </w:p>
    <w:p w14:paraId="554FF35E" w14:textId="77777777" w:rsidR="00CE6209" w:rsidRPr="007C72D5" w:rsidRDefault="00CE6209" w:rsidP="00CE6209">
      <w:pPr>
        <w:spacing w:before="120" w:after="120"/>
        <w:ind w:firstLine="567"/>
        <w:jc w:val="both"/>
        <w:rPr>
          <w:rFonts w:ascii="Garamond" w:hAnsi="Garamond"/>
          <w:bCs/>
          <w:sz w:val="22"/>
          <w:szCs w:val="22"/>
        </w:rPr>
      </w:pPr>
      <w:r w:rsidRPr="007C72D5">
        <w:rPr>
          <w:rFonts w:ascii="Garamond" w:hAnsi="Garamond"/>
          <w:bCs/>
          <w:sz w:val="22"/>
          <w:szCs w:val="22"/>
        </w:rPr>
        <w:t>Дочерним элементом &lt;podis:Payload&gt; является элемент &lt;podis:AMIConfig&gt;. У элемента &lt;podis:Payload&gt; может быть только один дочерний элемент &lt;podis:AMIConfig&gt;.</w:t>
      </w:r>
    </w:p>
    <w:p w14:paraId="77385089" w14:textId="77777777" w:rsidR="00CE6209" w:rsidRPr="007C72D5" w:rsidRDefault="00CE6209" w:rsidP="00101F7C">
      <w:pPr>
        <w:pStyle w:val="ac"/>
        <w:numPr>
          <w:ilvl w:val="3"/>
          <w:numId w:val="104"/>
        </w:numPr>
        <w:spacing w:before="120" w:after="120"/>
        <w:ind w:left="1134" w:hanging="567"/>
        <w:jc w:val="both"/>
        <w:rPr>
          <w:rFonts w:ascii="Garamond" w:hAnsi="Garamond"/>
          <w:b/>
          <w:bCs/>
          <w:sz w:val="22"/>
          <w:szCs w:val="22"/>
        </w:rPr>
      </w:pPr>
      <w:r w:rsidRPr="007C72D5">
        <w:rPr>
          <w:rFonts w:ascii="Garamond" w:hAnsi="Garamond"/>
          <w:b/>
          <w:bCs/>
          <w:sz w:val="22"/>
          <w:szCs w:val="22"/>
        </w:rPr>
        <w:t>&lt;podis:AMIConfig&gt;</w:t>
      </w:r>
    </w:p>
    <w:p w14:paraId="46768D7B" w14:textId="77777777" w:rsidR="00CE6209" w:rsidRPr="007C72D5" w:rsidRDefault="00CE6209" w:rsidP="00CE6209">
      <w:pPr>
        <w:spacing w:before="120" w:after="120"/>
        <w:ind w:firstLine="567"/>
        <w:jc w:val="both"/>
        <w:rPr>
          <w:rFonts w:ascii="Garamond" w:hAnsi="Garamond"/>
          <w:bCs/>
          <w:sz w:val="22"/>
          <w:szCs w:val="22"/>
        </w:rPr>
      </w:pPr>
      <w:r w:rsidRPr="007C72D5">
        <w:rPr>
          <w:rFonts w:ascii="Garamond" w:hAnsi="Garamond"/>
          <w:bCs/>
          <w:sz w:val="22"/>
          <w:szCs w:val="22"/>
        </w:rPr>
        <w:t xml:space="preserve">Элемент &lt;podis:AMIConfig&gt; содержит информацию (профиль) об ИСУ. Является обязательным элементом. </w:t>
      </w:r>
    </w:p>
    <w:p w14:paraId="4D1E8F4F" w14:textId="77777777" w:rsidR="00CE6209" w:rsidRPr="007C72D5" w:rsidRDefault="00CE6209" w:rsidP="00CE6209">
      <w:pPr>
        <w:spacing w:before="120" w:after="120"/>
        <w:ind w:firstLine="567"/>
        <w:jc w:val="both"/>
        <w:rPr>
          <w:rFonts w:ascii="Garamond" w:hAnsi="Garamond"/>
          <w:bCs/>
          <w:sz w:val="22"/>
          <w:szCs w:val="22"/>
        </w:rPr>
      </w:pPr>
      <w:r w:rsidRPr="007C72D5">
        <w:rPr>
          <w:rFonts w:ascii="Garamond" w:hAnsi="Garamond"/>
          <w:bCs/>
          <w:sz w:val="22"/>
          <w:szCs w:val="22"/>
        </w:rPr>
        <w:t>Дочерними элементами &lt;podis:AMIConfig&gt; являются элементы &lt;podis:partner&gt; и &lt;podis:usagePoints&gt;. У элемента &lt;podis:AMIConfig&gt; может быть только один дочерний элемент &lt;podis:partner&gt; и &lt;podis:usagePoints&gt;.</w:t>
      </w:r>
    </w:p>
    <w:p w14:paraId="286CAB8F" w14:textId="77777777" w:rsidR="00CE6209" w:rsidRPr="007C72D5" w:rsidRDefault="00CE6209" w:rsidP="00101F7C">
      <w:pPr>
        <w:pStyle w:val="ac"/>
        <w:numPr>
          <w:ilvl w:val="4"/>
          <w:numId w:val="104"/>
        </w:numPr>
        <w:spacing w:before="120" w:after="120"/>
        <w:ind w:left="1134" w:hanging="567"/>
        <w:jc w:val="both"/>
        <w:rPr>
          <w:rFonts w:ascii="Garamond" w:hAnsi="Garamond"/>
          <w:b/>
          <w:bCs/>
          <w:sz w:val="22"/>
          <w:szCs w:val="22"/>
        </w:rPr>
      </w:pPr>
      <w:r w:rsidRPr="007C72D5">
        <w:rPr>
          <w:rFonts w:ascii="Garamond" w:hAnsi="Garamond"/>
          <w:b/>
          <w:bCs/>
          <w:sz w:val="22"/>
          <w:szCs w:val="22"/>
        </w:rPr>
        <w:t>&lt;podis:partner&gt;</w:t>
      </w:r>
    </w:p>
    <w:p w14:paraId="6BFE48F7" w14:textId="77777777" w:rsidR="00CE6209" w:rsidRPr="007C72D5" w:rsidRDefault="00CE6209" w:rsidP="00CE6209">
      <w:pPr>
        <w:spacing w:before="120" w:after="120"/>
        <w:ind w:firstLine="567"/>
        <w:jc w:val="both"/>
        <w:rPr>
          <w:rFonts w:ascii="Garamond" w:hAnsi="Garamond"/>
          <w:bCs/>
          <w:sz w:val="22"/>
          <w:szCs w:val="22"/>
        </w:rPr>
      </w:pPr>
      <w:r w:rsidRPr="007C72D5">
        <w:rPr>
          <w:rFonts w:ascii="Garamond" w:hAnsi="Garamond"/>
          <w:bCs/>
          <w:sz w:val="22"/>
          <w:szCs w:val="22"/>
        </w:rPr>
        <w:t>Элемент &lt;podis:partner&gt; содержит информацию об организации-владельце ИСУ. Является обязательным элементом.</w:t>
      </w:r>
    </w:p>
    <w:p w14:paraId="15421887" w14:textId="15CC03CE" w:rsidR="00CE6209" w:rsidRPr="007C72D5" w:rsidRDefault="00CE6209" w:rsidP="00CE6209">
      <w:pPr>
        <w:spacing w:before="120" w:after="120"/>
        <w:ind w:firstLine="567"/>
        <w:jc w:val="both"/>
        <w:rPr>
          <w:rFonts w:ascii="Garamond" w:hAnsi="Garamond"/>
          <w:bCs/>
          <w:sz w:val="22"/>
          <w:szCs w:val="22"/>
        </w:rPr>
      </w:pPr>
      <w:r w:rsidRPr="007C72D5">
        <w:rPr>
          <w:rFonts w:ascii="Garamond" w:hAnsi="Garamond"/>
          <w:bCs/>
          <w:sz w:val="22"/>
          <w:szCs w:val="22"/>
        </w:rPr>
        <w:t>Дочерними элементами &lt;podis:partner&gt; являются элементы &lt;podis:mRID&gt; и &lt;podis:organisation&gt;. У элемента &lt;podis:partner&gt; может быть только один дочерний элемент &lt;podis:mRID&gt; и</w:t>
      </w:r>
      <w:r w:rsidR="009B5F03">
        <w:rPr>
          <w:rFonts w:ascii="Garamond" w:hAnsi="Garamond"/>
          <w:bCs/>
          <w:sz w:val="22"/>
          <w:szCs w:val="22"/>
        </w:rPr>
        <w:t xml:space="preserve"> </w:t>
      </w:r>
      <w:r w:rsidRPr="007C72D5">
        <w:rPr>
          <w:rFonts w:ascii="Garamond" w:hAnsi="Garamond"/>
          <w:bCs/>
          <w:sz w:val="22"/>
          <w:szCs w:val="22"/>
        </w:rPr>
        <w:t>&lt;podis:organisation&gt;.</w:t>
      </w:r>
    </w:p>
    <w:p w14:paraId="23B3C2FE" w14:textId="77777777" w:rsidR="00CE6209" w:rsidRPr="007C72D5" w:rsidRDefault="00CE6209" w:rsidP="00101F7C">
      <w:pPr>
        <w:pStyle w:val="ac"/>
        <w:numPr>
          <w:ilvl w:val="5"/>
          <w:numId w:val="104"/>
        </w:numPr>
        <w:spacing w:before="120" w:after="120"/>
        <w:ind w:left="993" w:hanging="426"/>
        <w:jc w:val="both"/>
        <w:rPr>
          <w:rFonts w:ascii="Garamond" w:hAnsi="Garamond"/>
          <w:b/>
          <w:bCs/>
          <w:sz w:val="22"/>
          <w:szCs w:val="22"/>
        </w:rPr>
      </w:pPr>
      <w:r w:rsidRPr="007C72D5">
        <w:rPr>
          <w:rFonts w:ascii="Garamond" w:hAnsi="Garamond"/>
          <w:b/>
          <w:bCs/>
          <w:sz w:val="22"/>
          <w:szCs w:val="22"/>
        </w:rPr>
        <w:t xml:space="preserve">&lt;podis:mRID&gt; </w:t>
      </w:r>
    </w:p>
    <w:p w14:paraId="424C5CD8" w14:textId="77777777" w:rsidR="00CE6209" w:rsidRPr="007C72D5" w:rsidRDefault="00CE6209" w:rsidP="00CE6209">
      <w:pPr>
        <w:spacing w:before="120" w:after="120"/>
        <w:ind w:firstLine="567"/>
        <w:jc w:val="both"/>
        <w:rPr>
          <w:rFonts w:ascii="Garamond" w:hAnsi="Garamond"/>
          <w:bCs/>
          <w:sz w:val="22"/>
          <w:szCs w:val="22"/>
        </w:rPr>
      </w:pPr>
      <w:r w:rsidRPr="007C72D5">
        <w:rPr>
          <w:rFonts w:ascii="Garamond" w:hAnsi="Garamond"/>
          <w:bCs/>
          <w:sz w:val="22"/>
          <w:szCs w:val="22"/>
        </w:rPr>
        <w:t>Элемент &lt;podis:mRID&gt; содержит уникальный идентификатор организации-владельца ИСУ в системе – источнике данных. Является обязательным элементом. Представляет из себя UUID – Universal Unique Identifier, универсальный идентификатор информации, состоящий из 36 символов. Генерируется при помощи основанного на именах алгоритма генерации, согласно ГОСТ Р ИСО/МЭК 9834-8-2011. При использовании основанного на именах алгоритма генерации согласно ГОСТ Р ИСО/МЭК 9834-8-2011 в качестве имени используется конкатенация следующих строк:</w:t>
      </w:r>
    </w:p>
    <w:p w14:paraId="0692AAC1" w14:textId="77777777" w:rsidR="00CE6209" w:rsidRPr="007C72D5" w:rsidRDefault="00CE6209" w:rsidP="00CE6209">
      <w:pPr>
        <w:tabs>
          <w:tab w:val="left" w:pos="851"/>
        </w:tabs>
        <w:spacing w:before="120" w:after="120"/>
        <w:ind w:firstLine="567"/>
        <w:jc w:val="both"/>
        <w:rPr>
          <w:rFonts w:ascii="Garamond" w:hAnsi="Garamond"/>
          <w:bCs/>
          <w:sz w:val="22"/>
          <w:szCs w:val="22"/>
        </w:rPr>
      </w:pPr>
      <w:r w:rsidRPr="007C72D5">
        <w:rPr>
          <w:rFonts w:ascii="Garamond" w:hAnsi="Garamond"/>
          <w:bCs/>
          <w:sz w:val="22"/>
          <w:szCs w:val="22"/>
        </w:rPr>
        <w:t xml:space="preserve">– </w:t>
      </w:r>
      <w:r w:rsidRPr="007C72D5">
        <w:rPr>
          <w:rFonts w:ascii="Garamond" w:hAnsi="Garamond"/>
          <w:bCs/>
          <w:sz w:val="22"/>
          <w:szCs w:val="22"/>
        </w:rPr>
        <w:tab/>
        <w:t>идентификатор объекта в ИСУ (программном комплексе ИСУ, в котором ведется учет оборудования ИСУ);</w:t>
      </w:r>
    </w:p>
    <w:p w14:paraId="43AD7140" w14:textId="019FB5FC" w:rsidR="00CE6209" w:rsidRPr="007C72D5" w:rsidRDefault="00CE6209" w:rsidP="00CE6209">
      <w:pPr>
        <w:spacing w:before="120" w:after="120"/>
        <w:ind w:firstLine="567"/>
        <w:jc w:val="both"/>
        <w:rPr>
          <w:rFonts w:ascii="Garamond" w:hAnsi="Garamond"/>
          <w:bCs/>
          <w:sz w:val="22"/>
          <w:szCs w:val="22"/>
        </w:rPr>
      </w:pPr>
      <w:r w:rsidRPr="007C72D5">
        <w:rPr>
          <w:rFonts w:ascii="Garamond" w:hAnsi="Garamond"/>
          <w:bCs/>
          <w:sz w:val="22"/>
          <w:szCs w:val="22"/>
        </w:rPr>
        <w:t>–</w:t>
      </w:r>
      <w:r w:rsidRPr="007C72D5">
        <w:rPr>
          <w:rFonts w:ascii="Garamond" w:hAnsi="Garamond"/>
          <w:bCs/>
          <w:sz w:val="22"/>
          <w:szCs w:val="22"/>
        </w:rPr>
        <w:tab/>
        <w:t xml:space="preserve"> мнемоника сущности ПОДИС</w:t>
      </w:r>
      <w:r w:rsidR="009B5F03">
        <w:rPr>
          <w:rFonts w:ascii="Garamond" w:hAnsi="Garamond"/>
          <w:bCs/>
          <w:sz w:val="22"/>
          <w:szCs w:val="22"/>
        </w:rPr>
        <w:t xml:space="preserve"> – </w:t>
      </w:r>
      <w:r w:rsidRPr="007C72D5">
        <w:rPr>
          <w:rFonts w:ascii="Garamond" w:hAnsi="Garamond"/>
          <w:bCs/>
          <w:sz w:val="22"/>
          <w:szCs w:val="22"/>
        </w:rPr>
        <w:t>"Partner";</w:t>
      </w:r>
    </w:p>
    <w:p w14:paraId="6FDE747F" w14:textId="3143832F" w:rsidR="00CE6209" w:rsidRPr="007C72D5" w:rsidRDefault="00CE6209" w:rsidP="00CE6209">
      <w:pPr>
        <w:spacing w:before="120" w:after="120"/>
        <w:ind w:firstLine="567"/>
        <w:jc w:val="both"/>
        <w:rPr>
          <w:rFonts w:ascii="Garamond" w:hAnsi="Garamond"/>
          <w:bCs/>
          <w:sz w:val="22"/>
          <w:szCs w:val="22"/>
        </w:rPr>
      </w:pPr>
      <w:r w:rsidRPr="007C72D5">
        <w:rPr>
          <w:rFonts w:ascii="Garamond" w:hAnsi="Garamond"/>
          <w:bCs/>
          <w:sz w:val="22"/>
          <w:szCs w:val="22"/>
        </w:rPr>
        <w:t>–</w:t>
      </w:r>
      <w:r w:rsidRPr="007C72D5">
        <w:rPr>
          <w:rFonts w:ascii="Garamond" w:hAnsi="Garamond"/>
          <w:bCs/>
          <w:sz w:val="22"/>
          <w:szCs w:val="22"/>
        </w:rPr>
        <w:tab/>
        <w:t xml:space="preserve"> идентификатор ИСУ (при отсутствии идентификатора используется полное наименование организации</w:t>
      </w:r>
      <w:r w:rsidR="009B5F03">
        <w:rPr>
          <w:rFonts w:ascii="Garamond" w:hAnsi="Garamond"/>
          <w:bCs/>
          <w:sz w:val="22"/>
          <w:szCs w:val="22"/>
        </w:rPr>
        <w:t xml:space="preserve"> –</w:t>
      </w:r>
      <w:r w:rsidRPr="007C72D5">
        <w:rPr>
          <w:rFonts w:ascii="Garamond" w:hAnsi="Garamond"/>
          <w:bCs/>
          <w:sz w:val="22"/>
          <w:szCs w:val="22"/>
        </w:rPr>
        <w:t xml:space="preserve"> владельца ИСУ).</w:t>
      </w:r>
    </w:p>
    <w:p w14:paraId="44281A95" w14:textId="77777777" w:rsidR="00CE6209" w:rsidRPr="007C72D5" w:rsidRDefault="00CE6209" w:rsidP="00101F7C">
      <w:pPr>
        <w:pStyle w:val="ac"/>
        <w:numPr>
          <w:ilvl w:val="5"/>
          <w:numId w:val="104"/>
        </w:numPr>
        <w:spacing w:before="120" w:after="120"/>
        <w:ind w:left="1134" w:hanging="567"/>
        <w:jc w:val="both"/>
        <w:rPr>
          <w:rFonts w:ascii="Garamond" w:hAnsi="Garamond"/>
          <w:b/>
          <w:bCs/>
          <w:sz w:val="22"/>
          <w:szCs w:val="22"/>
        </w:rPr>
      </w:pPr>
      <w:r w:rsidRPr="007C72D5">
        <w:rPr>
          <w:rFonts w:ascii="Garamond" w:hAnsi="Garamond"/>
          <w:b/>
          <w:bCs/>
          <w:sz w:val="22"/>
          <w:szCs w:val="22"/>
        </w:rPr>
        <w:t>&lt;podis:organisation&gt;</w:t>
      </w:r>
    </w:p>
    <w:p w14:paraId="51909614" w14:textId="666176C8" w:rsidR="00CE6209" w:rsidRPr="007C72D5" w:rsidRDefault="00CE6209" w:rsidP="00CE6209">
      <w:pPr>
        <w:spacing w:before="120" w:after="120"/>
        <w:ind w:firstLine="567"/>
        <w:jc w:val="both"/>
        <w:rPr>
          <w:rFonts w:ascii="Garamond" w:hAnsi="Garamond"/>
          <w:bCs/>
          <w:sz w:val="22"/>
          <w:szCs w:val="22"/>
        </w:rPr>
      </w:pPr>
      <w:r w:rsidRPr="007C72D5">
        <w:rPr>
          <w:rFonts w:ascii="Garamond" w:hAnsi="Garamond"/>
          <w:bCs/>
          <w:sz w:val="22"/>
          <w:szCs w:val="22"/>
        </w:rPr>
        <w:t>Элемент &lt;podis:organisation&gt; содержит в себе сведения об организации</w:t>
      </w:r>
      <w:r w:rsidR="009B5F03">
        <w:rPr>
          <w:rFonts w:ascii="Garamond" w:hAnsi="Garamond"/>
          <w:bCs/>
          <w:sz w:val="22"/>
          <w:szCs w:val="22"/>
        </w:rPr>
        <w:t xml:space="preserve"> – </w:t>
      </w:r>
      <w:r w:rsidRPr="007C72D5">
        <w:rPr>
          <w:rFonts w:ascii="Garamond" w:hAnsi="Garamond"/>
          <w:bCs/>
          <w:sz w:val="22"/>
          <w:szCs w:val="22"/>
        </w:rPr>
        <w:t xml:space="preserve">владельце ИСУ. Является обязательным элементом. </w:t>
      </w:r>
    </w:p>
    <w:p w14:paraId="32DA4FD6" w14:textId="77777777" w:rsidR="00CE6209" w:rsidRPr="007C72D5" w:rsidRDefault="00CE6209" w:rsidP="00CE6209">
      <w:pPr>
        <w:spacing w:before="120" w:after="120"/>
        <w:ind w:firstLine="567"/>
        <w:jc w:val="both"/>
        <w:rPr>
          <w:rFonts w:ascii="Garamond" w:hAnsi="Garamond"/>
          <w:bCs/>
          <w:sz w:val="22"/>
          <w:szCs w:val="22"/>
        </w:rPr>
      </w:pPr>
      <w:r w:rsidRPr="007C72D5">
        <w:rPr>
          <w:rFonts w:ascii="Garamond" w:hAnsi="Garamond"/>
          <w:bCs/>
          <w:sz w:val="22"/>
          <w:szCs w:val="22"/>
        </w:rPr>
        <w:t xml:space="preserve">Дочерними элементами &lt;podis:organisation&gt; являются элементы &lt;podis:orgINN&gt; и &lt;podis:orgNameFull&gt;. У элемента &lt;podis:organisation&gt; может быть только один дочерний элемент &lt;podis:orgINN&gt; и &lt;podis:orgNameFull&gt;. </w:t>
      </w:r>
    </w:p>
    <w:p w14:paraId="7C35A506" w14:textId="77777777" w:rsidR="00CE6209" w:rsidRPr="007C72D5" w:rsidRDefault="00CE6209" w:rsidP="00101F7C">
      <w:pPr>
        <w:pStyle w:val="ac"/>
        <w:numPr>
          <w:ilvl w:val="6"/>
          <w:numId w:val="104"/>
        </w:numPr>
        <w:spacing w:before="120" w:after="120"/>
        <w:ind w:left="1134" w:hanging="567"/>
        <w:jc w:val="both"/>
        <w:rPr>
          <w:rFonts w:ascii="Garamond" w:hAnsi="Garamond"/>
          <w:b/>
          <w:bCs/>
          <w:sz w:val="22"/>
          <w:szCs w:val="22"/>
        </w:rPr>
      </w:pPr>
      <w:r w:rsidRPr="007C72D5">
        <w:rPr>
          <w:rFonts w:ascii="Garamond" w:hAnsi="Garamond"/>
          <w:b/>
          <w:bCs/>
          <w:sz w:val="22"/>
          <w:szCs w:val="22"/>
        </w:rPr>
        <w:t>&lt;podis:orgINN&gt;</w:t>
      </w:r>
    </w:p>
    <w:p w14:paraId="3108C0AE" w14:textId="5F760599" w:rsidR="00CE6209" w:rsidRPr="007C72D5" w:rsidRDefault="00CE6209" w:rsidP="00CE6209">
      <w:pPr>
        <w:spacing w:before="120" w:after="120"/>
        <w:ind w:firstLine="567"/>
        <w:jc w:val="both"/>
        <w:rPr>
          <w:rFonts w:ascii="Garamond" w:hAnsi="Garamond"/>
          <w:bCs/>
          <w:sz w:val="22"/>
          <w:szCs w:val="22"/>
        </w:rPr>
      </w:pPr>
      <w:r w:rsidRPr="007C72D5">
        <w:rPr>
          <w:rFonts w:ascii="Garamond" w:hAnsi="Garamond"/>
          <w:bCs/>
          <w:sz w:val="22"/>
          <w:szCs w:val="22"/>
        </w:rPr>
        <w:lastRenderedPageBreak/>
        <w:t>Элемент &lt;podis:orgINN&gt; содержит ИНН организации</w:t>
      </w:r>
      <w:r w:rsidR="004258F2">
        <w:rPr>
          <w:rFonts w:ascii="Garamond" w:hAnsi="Garamond"/>
          <w:bCs/>
          <w:sz w:val="22"/>
          <w:szCs w:val="22"/>
        </w:rPr>
        <w:t xml:space="preserve"> – </w:t>
      </w:r>
      <w:r w:rsidRPr="007C72D5">
        <w:rPr>
          <w:rFonts w:ascii="Garamond" w:hAnsi="Garamond"/>
          <w:bCs/>
          <w:sz w:val="22"/>
          <w:szCs w:val="22"/>
        </w:rPr>
        <w:t>владельца ИСУ. Является обязательным элементом и состоит из 10 или 12 цифр.</w:t>
      </w:r>
    </w:p>
    <w:p w14:paraId="37D4A376" w14:textId="77777777" w:rsidR="00CE6209" w:rsidRPr="007C72D5" w:rsidRDefault="00CE6209" w:rsidP="00101F7C">
      <w:pPr>
        <w:pStyle w:val="ac"/>
        <w:numPr>
          <w:ilvl w:val="6"/>
          <w:numId w:val="104"/>
        </w:numPr>
        <w:spacing w:before="120" w:after="120"/>
        <w:ind w:left="1134" w:hanging="567"/>
        <w:jc w:val="both"/>
        <w:rPr>
          <w:rFonts w:ascii="Garamond" w:hAnsi="Garamond"/>
          <w:b/>
          <w:bCs/>
          <w:sz w:val="22"/>
          <w:szCs w:val="22"/>
        </w:rPr>
      </w:pPr>
      <w:r w:rsidRPr="007C72D5">
        <w:rPr>
          <w:rFonts w:ascii="Garamond" w:hAnsi="Garamond"/>
          <w:b/>
          <w:bCs/>
          <w:sz w:val="22"/>
          <w:szCs w:val="22"/>
        </w:rPr>
        <w:t>&lt;podis:orgNameFull&gt;</w:t>
      </w:r>
    </w:p>
    <w:p w14:paraId="738FADF2" w14:textId="2EA1D99F" w:rsidR="00CE6209" w:rsidRPr="007C72D5" w:rsidRDefault="00CE6209" w:rsidP="00CE6209">
      <w:pPr>
        <w:spacing w:before="120" w:after="120"/>
        <w:ind w:firstLine="567"/>
        <w:jc w:val="both"/>
        <w:rPr>
          <w:rFonts w:ascii="Garamond" w:hAnsi="Garamond"/>
          <w:bCs/>
          <w:sz w:val="22"/>
          <w:szCs w:val="22"/>
        </w:rPr>
      </w:pPr>
      <w:r w:rsidRPr="007C72D5">
        <w:rPr>
          <w:rFonts w:ascii="Garamond" w:hAnsi="Garamond"/>
          <w:bCs/>
          <w:sz w:val="22"/>
          <w:szCs w:val="22"/>
        </w:rPr>
        <w:t>Элемент &lt;podis:orgNameFull&gt; содержит наименование организации</w:t>
      </w:r>
      <w:r w:rsidR="004258F2">
        <w:rPr>
          <w:rFonts w:ascii="Garamond" w:hAnsi="Garamond"/>
          <w:bCs/>
          <w:sz w:val="22"/>
          <w:szCs w:val="22"/>
        </w:rPr>
        <w:t xml:space="preserve"> – </w:t>
      </w:r>
      <w:r w:rsidRPr="007C72D5">
        <w:rPr>
          <w:rFonts w:ascii="Garamond" w:hAnsi="Garamond"/>
          <w:bCs/>
          <w:sz w:val="22"/>
          <w:szCs w:val="22"/>
        </w:rPr>
        <w:t>владельца ИСУ. Является обязательным элементом. Длина наименования до 512 символов.</w:t>
      </w:r>
    </w:p>
    <w:p w14:paraId="6A111313" w14:textId="77777777" w:rsidR="00CE6209" w:rsidRPr="007C72D5" w:rsidRDefault="00B66834" w:rsidP="00101F7C">
      <w:pPr>
        <w:pStyle w:val="ac"/>
        <w:numPr>
          <w:ilvl w:val="4"/>
          <w:numId w:val="104"/>
        </w:numPr>
        <w:spacing w:before="120" w:after="120"/>
        <w:ind w:left="1134" w:hanging="567"/>
        <w:jc w:val="both"/>
        <w:rPr>
          <w:rFonts w:ascii="Garamond" w:hAnsi="Garamond"/>
          <w:b/>
          <w:bCs/>
          <w:sz w:val="22"/>
          <w:szCs w:val="22"/>
        </w:rPr>
      </w:pPr>
      <w:r w:rsidRPr="007C72D5">
        <w:rPr>
          <w:rFonts w:ascii="Garamond" w:hAnsi="Garamond"/>
          <w:b/>
          <w:bCs/>
          <w:sz w:val="22"/>
          <w:szCs w:val="22"/>
        </w:rPr>
        <w:t xml:space="preserve"> </w:t>
      </w:r>
      <w:r w:rsidR="00CE6209" w:rsidRPr="007C72D5">
        <w:rPr>
          <w:rFonts w:ascii="Garamond" w:hAnsi="Garamond"/>
          <w:b/>
          <w:bCs/>
          <w:sz w:val="22"/>
          <w:szCs w:val="22"/>
        </w:rPr>
        <w:t>&lt;podis:usagePoints&gt;</w:t>
      </w:r>
    </w:p>
    <w:p w14:paraId="2C15AAFA" w14:textId="77777777" w:rsidR="00CE6209" w:rsidRPr="007C72D5" w:rsidRDefault="00CE6209" w:rsidP="00CE6209">
      <w:pPr>
        <w:spacing w:before="120" w:after="120"/>
        <w:ind w:firstLine="567"/>
        <w:jc w:val="both"/>
        <w:rPr>
          <w:rFonts w:ascii="Garamond" w:hAnsi="Garamond"/>
          <w:bCs/>
          <w:sz w:val="22"/>
          <w:szCs w:val="22"/>
        </w:rPr>
      </w:pPr>
      <w:r w:rsidRPr="007C72D5">
        <w:rPr>
          <w:rFonts w:ascii="Garamond" w:hAnsi="Garamond"/>
          <w:bCs/>
          <w:sz w:val="22"/>
          <w:szCs w:val="22"/>
        </w:rPr>
        <w:t xml:space="preserve">Элемент &lt;podis:usagePoints&gt; содержит справочник точек измерений ИСУ. Является обязательным элементом. </w:t>
      </w:r>
    </w:p>
    <w:p w14:paraId="564D01F3" w14:textId="77777777" w:rsidR="00CE6209" w:rsidRPr="007C72D5" w:rsidRDefault="00CE6209" w:rsidP="00CE6209">
      <w:pPr>
        <w:spacing w:before="120" w:after="120"/>
        <w:ind w:firstLine="567"/>
        <w:jc w:val="both"/>
        <w:rPr>
          <w:rFonts w:ascii="Garamond" w:hAnsi="Garamond"/>
          <w:bCs/>
          <w:sz w:val="22"/>
          <w:szCs w:val="22"/>
        </w:rPr>
      </w:pPr>
      <w:r w:rsidRPr="007C72D5">
        <w:rPr>
          <w:rFonts w:ascii="Garamond" w:hAnsi="Garamond"/>
          <w:bCs/>
          <w:sz w:val="22"/>
          <w:szCs w:val="22"/>
        </w:rPr>
        <w:t>Дочерними элементами &lt;podis:usagePoints&gt; являются элементы &lt;podis:usagePoint&gt;. У каждого элемента &lt;podis:usagePoints&gt; должен быть как минимум один дочерний элемент &lt;podis:usagePoint&gt;.</w:t>
      </w:r>
    </w:p>
    <w:p w14:paraId="6350ABE7" w14:textId="77777777" w:rsidR="00CE6209" w:rsidRPr="007C72D5" w:rsidRDefault="00CE6209" w:rsidP="00101F7C">
      <w:pPr>
        <w:pStyle w:val="ac"/>
        <w:numPr>
          <w:ilvl w:val="5"/>
          <w:numId w:val="104"/>
        </w:numPr>
        <w:spacing w:before="120" w:after="120"/>
        <w:ind w:left="1134" w:hanging="567"/>
        <w:jc w:val="both"/>
        <w:rPr>
          <w:rFonts w:ascii="Garamond" w:hAnsi="Garamond"/>
          <w:b/>
          <w:bCs/>
          <w:sz w:val="22"/>
          <w:szCs w:val="22"/>
        </w:rPr>
      </w:pPr>
      <w:r w:rsidRPr="007C72D5">
        <w:rPr>
          <w:rFonts w:ascii="Garamond" w:hAnsi="Garamond"/>
          <w:b/>
          <w:bCs/>
          <w:sz w:val="22"/>
          <w:szCs w:val="22"/>
        </w:rPr>
        <w:t>&lt;podis:usagePoint&gt;</w:t>
      </w:r>
    </w:p>
    <w:p w14:paraId="28DFBAF3" w14:textId="77777777" w:rsidR="00CE6209" w:rsidRPr="007C72D5" w:rsidRDefault="00CE6209" w:rsidP="00CE6209">
      <w:pPr>
        <w:spacing w:before="120" w:after="120"/>
        <w:ind w:firstLine="567"/>
        <w:jc w:val="both"/>
        <w:rPr>
          <w:rFonts w:ascii="Garamond" w:hAnsi="Garamond"/>
          <w:bCs/>
          <w:sz w:val="22"/>
          <w:szCs w:val="22"/>
        </w:rPr>
      </w:pPr>
      <w:r w:rsidRPr="007C72D5">
        <w:rPr>
          <w:rFonts w:ascii="Garamond" w:hAnsi="Garamond"/>
          <w:bCs/>
          <w:sz w:val="22"/>
          <w:szCs w:val="22"/>
        </w:rPr>
        <w:t xml:space="preserve">Элемент &lt;podis:usagePoint&gt; содержит информацию о точке измерений. Является обязательным элементом. </w:t>
      </w:r>
    </w:p>
    <w:p w14:paraId="2A13C3B0" w14:textId="77777777" w:rsidR="00CE6209" w:rsidRPr="007C72D5" w:rsidRDefault="00CE6209" w:rsidP="00CE6209">
      <w:pPr>
        <w:spacing w:before="120" w:after="120"/>
        <w:ind w:firstLine="567"/>
        <w:jc w:val="both"/>
        <w:rPr>
          <w:rFonts w:ascii="Garamond" w:hAnsi="Garamond"/>
          <w:bCs/>
          <w:sz w:val="22"/>
          <w:szCs w:val="22"/>
        </w:rPr>
      </w:pPr>
      <w:r w:rsidRPr="007C72D5">
        <w:rPr>
          <w:rFonts w:ascii="Garamond" w:hAnsi="Garamond"/>
          <w:bCs/>
          <w:sz w:val="22"/>
          <w:szCs w:val="22"/>
        </w:rPr>
        <w:t>Дочерними элементами &lt;podis:usagePoint&gt; являются элементы &lt;podis:mRID&gt;, &lt;podis:name&gt; и &lt;podis:accountPointRole&gt;. У элемента &lt;podis:usagePoint&gt; может быть только один дочерний элемент &lt;podis:mRID&gt;, &lt;podis:name&gt; и &lt;podis:accountPointRole&gt;.</w:t>
      </w:r>
    </w:p>
    <w:p w14:paraId="5346EE62" w14:textId="77777777" w:rsidR="00CE6209" w:rsidRPr="007C72D5" w:rsidRDefault="00CE6209" w:rsidP="00101F7C">
      <w:pPr>
        <w:pStyle w:val="ac"/>
        <w:numPr>
          <w:ilvl w:val="6"/>
          <w:numId w:val="104"/>
        </w:numPr>
        <w:spacing w:before="120" w:after="120"/>
        <w:ind w:left="1134" w:hanging="567"/>
        <w:jc w:val="both"/>
        <w:rPr>
          <w:rFonts w:ascii="Garamond" w:hAnsi="Garamond"/>
          <w:b/>
          <w:bCs/>
          <w:sz w:val="22"/>
          <w:szCs w:val="22"/>
        </w:rPr>
      </w:pPr>
      <w:r w:rsidRPr="007C72D5">
        <w:rPr>
          <w:rFonts w:ascii="Garamond" w:hAnsi="Garamond"/>
          <w:b/>
          <w:bCs/>
          <w:sz w:val="22"/>
          <w:szCs w:val="22"/>
        </w:rPr>
        <w:t>&lt;podis:mRID&gt;</w:t>
      </w:r>
    </w:p>
    <w:p w14:paraId="63340F53" w14:textId="77777777" w:rsidR="00CE6209" w:rsidRPr="007C72D5" w:rsidRDefault="00CE6209" w:rsidP="00CE6209">
      <w:pPr>
        <w:spacing w:before="120" w:after="120"/>
        <w:ind w:firstLine="567"/>
        <w:jc w:val="both"/>
        <w:rPr>
          <w:rFonts w:ascii="Garamond" w:hAnsi="Garamond"/>
          <w:bCs/>
          <w:sz w:val="22"/>
          <w:szCs w:val="22"/>
        </w:rPr>
      </w:pPr>
      <w:r w:rsidRPr="007C72D5">
        <w:rPr>
          <w:rFonts w:ascii="Garamond" w:hAnsi="Garamond"/>
          <w:bCs/>
          <w:sz w:val="22"/>
          <w:szCs w:val="22"/>
        </w:rPr>
        <w:t>Элемент &lt;podis:mRID&gt; содержит уникальный идентификатор точки измерений в ИСУ, присвоенный в соответствии с утвержденным Минэнерго России порядком кодификации мест установки приборов учета электрической энергии и точек поставки электрической энергии, является обязательным элементом. Представляет из себя UUID – Universal Unique Identifier, универсальный идентификатор информации, состоящий из 36 символов. Генерируется при помощи основанного на именах алгоритма генерации, согласно ГОСТ Р ИСО/МЭК 9834-8-2011. При использовании основанного на именах алгоритма генерации согласно ГОСТ Р ИСО/МЭК 9834-8-2011 в качестве имени используется конкатенация следующих строк:</w:t>
      </w:r>
    </w:p>
    <w:p w14:paraId="5F3CC84E" w14:textId="77777777" w:rsidR="00CE6209" w:rsidRPr="007C72D5" w:rsidRDefault="00CE6209" w:rsidP="00CE6209">
      <w:pPr>
        <w:spacing w:before="120" w:after="120"/>
        <w:ind w:firstLine="567"/>
        <w:jc w:val="both"/>
        <w:rPr>
          <w:rFonts w:ascii="Garamond" w:hAnsi="Garamond"/>
          <w:bCs/>
          <w:sz w:val="22"/>
          <w:szCs w:val="22"/>
        </w:rPr>
      </w:pPr>
      <w:r w:rsidRPr="007C72D5">
        <w:rPr>
          <w:rFonts w:ascii="Garamond" w:hAnsi="Garamond"/>
          <w:bCs/>
          <w:sz w:val="22"/>
          <w:szCs w:val="22"/>
        </w:rPr>
        <w:t>–</w:t>
      </w:r>
      <w:r w:rsidRPr="007C72D5">
        <w:rPr>
          <w:rFonts w:ascii="Garamond" w:hAnsi="Garamond"/>
          <w:bCs/>
          <w:sz w:val="22"/>
          <w:szCs w:val="22"/>
        </w:rPr>
        <w:tab/>
        <w:t xml:space="preserve"> идентификатор объекта в ИСУ (программном комплексе ИСУ, в котором ведется учет оборудования ИСУ);</w:t>
      </w:r>
    </w:p>
    <w:p w14:paraId="39DD3A6B" w14:textId="5BF4177E" w:rsidR="00CE6209" w:rsidRPr="007C72D5" w:rsidRDefault="00CE6209" w:rsidP="00CE6209">
      <w:pPr>
        <w:spacing w:before="120" w:after="120"/>
        <w:ind w:firstLine="567"/>
        <w:jc w:val="both"/>
        <w:rPr>
          <w:rFonts w:ascii="Garamond" w:hAnsi="Garamond"/>
          <w:bCs/>
          <w:sz w:val="22"/>
          <w:szCs w:val="22"/>
        </w:rPr>
      </w:pPr>
      <w:r w:rsidRPr="007C72D5">
        <w:rPr>
          <w:rFonts w:ascii="Garamond" w:hAnsi="Garamond"/>
          <w:bCs/>
          <w:sz w:val="22"/>
          <w:szCs w:val="22"/>
        </w:rPr>
        <w:t>–</w:t>
      </w:r>
      <w:r w:rsidRPr="007C72D5">
        <w:rPr>
          <w:rFonts w:ascii="Garamond" w:hAnsi="Garamond"/>
          <w:bCs/>
          <w:sz w:val="22"/>
          <w:szCs w:val="22"/>
        </w:rPr>
        <w:tab/>
        <w:t xml:space="preserve"> мнемоника сущности ПОДИС</w:t>
      </w:r>
      <w:r w:rsidR="009B5F03">
        <w:rPr>
          <w:rFonts w:ascii="Garamond" w:hAnsi="Garamond"/>
          <w:bCs/>
          <w:sz w:val="22"/>
          <w:szCs w:val="22"/>
        </w:rPr>
        <w:t xml:space="preserve"> – </w:t>
      </w:r>
      <w:r w:rsidRPr="007C72D5">
        <w:rPr>
          <w:rFonts w:ascii="Garamond" w:hAnsi="Garamond"/>
          <w:bCs/>
          <w:sz w:val="22"/>
          <w:szCs w:val="22"/>
        </w:rPr>
        <w:t>"UsagePoint";</w:t>
      </w:r>
    </w:p>
    <w:p w14:paraId="7716EBCA" w14:textId="253B3A91" w:rsidR="00CE6209" w:rsidRPr="007C72D5" w:rsidRDefault="00CE6209" w:rsidP="00CE6209">
      <w:pPr>
        <w:spacing w:before="120" w:after="120"/>
        <w:ind w:firstLine="567"/>
        <w:jc w:val="both"/>
        <w:rPr>
          <w:rFonts w:ascii="Garamond" w:hAnsi="Garamond"/>
          <w:bCs/>
          <w:sz w:val="22"/>
          <w:szCs w:val="22"/>
        </w:rPr>
      </w:pPr>
      <w:r w:rsidRPr="007C72D5">
        <w:rPr>
          <w:rFonts w:ascii="Garamond" w:hAnsi="Garamond"/>
          <w:bCs/>
          <w:sz w:val="22"/>
          <w:szCs w:val="22"/>
        </w:rPr>
        <w:t>–</w:t>
      </w:r>
      <w:r w:rsidRPr="007C72D5">
        <w:rPr>
          <w:rFonts w:ascii="Garamond" w:hAnsi="Garamond"/>
          <w:bCs/>
          <w:sz w:val="22"/>
          <w:szCs w:val="22"/>
        </w:rPr>
        <w:tab/>
        <w:t xml:space="preserve"> идентификатор ИСУ (при отсутствии идентификатора используется полное наименование организации</w:t>
      </w:r>
      <w:r w:rsidR="009B5F03">
        <w:rPr>
          <w:rFonts w:ascii="Garamond" w:hAnsi="Garamond"/>
          <w:bCs/>
          <w:sz w:val="22"/>
          <w:szCs w:val="22"/>
        </w:rPr>
        <w:t xml:space="preserve"> – </w:t>
      </w:r>
      <w:r w:rsidRPr="007C72D5">
        <w:rPr>
          <w:rFonts w:ascii="Garamond" w:hAnsi="Garamond"/>
          <w:bCs/>
          <w:sz w:val="22"/>
          <w:szCs w:val="22"/>
        </w:rPr>
        <w:t>владельца ИСУ).</w:t>
      </w:r>
    </w:p>
    <w:p w14:paraId="4560AB2E" w14:textId="77777777" w:rsidR="00CE6209" w:rsidRPr="007C72D5" w:rsidRDefault="00CE6209" w:rsidP="00101F7C">
      <w:pPr>
        <w:pStyle w:val="ac"/>
        <w:numPr>
          <w:ilvl w:val="6"/>
          <w:numId w:val="104"/>
        </w:numPr>
        <w:spacing w:before="120" w:after="120"/>
        <w:ind w:left="1134" w:hanging="567"/>
        <w:jc w:val="both"/>
        <w:rPr>
          <w:rFonts w:ascii="Garamond" w:hAnsi="Garamond"/>
          <w:b/>
          <w:bCs/>
          <w:sz w:val="22"/>
          <w:szCs w:val="22"/>
        </w:rPr>
      </w:pPr>
      <w:r w:rsidRPr="007C72D5">
        <w:rPr>
          <w:rFonts w:ascii="Garamond" w:hAnsi="Garamond"/>
          <w:b/>
          <w:bCs/>
          <w:sz w:val="22"/>
          <w:szCs w:val="22"/>
        </w:rPr>
        <w:t>&lt;podis:name&gt;</w:t>
      </w:r>
    </w:p>
    <w:p w14:paraId="2893D4DC" w14:textId="77777777" w:rsidR="00CE6209" w:rsidRPr="007C72D5" w:rsidRDefault="00CE6209" w:rsidP="00CE6209">
      <w:pPr>
        <w:spacing w:before="120" w:after="120"/>
        <w:ind w:firstLine="567"/>
        <w:jc w:val="both"/>
        <w:rPr>
          <w:rFonts w:ascii="Garamond" w:hAnsi="Garamond"/>
          <w:bCs/>
          <w:sz w:val="22"/>
          <w:szCs w:val="22"/>
        </w:rPr>
      </w:pPr>
      <w:r w:rsidRPr="007C72D5">
        <w:rPr>
          <w:rFonts w:ascii="Garamond" w:hAnsi="Garamond"/>
          <w:bCs/>
          <w:sz w:val="22"/>
          <w:szCs w:val="22"/>
        </w:rPr>
        <w:t>Элемент &lt;podis:name&gt; содержит наименование точки измерений в ИСУ. Является обязательным элементом. Длина наименования до 512 символов.</w:t>
      </w:r>
    </w:p>
    <w:p w14:paraId="4A59CAE5" w14:textId="77777777" w:rsidR="00CE6209" w:rsidRPr="007C72D5" w:rsidRDefault="00CE6209" w:rsidP="00101F7C">
      <w:pPr>
        <w:pStyle w:val="ac"/>
        <w:numPr>
          <w:ilvl w:val="6"/>
          <w:numId w:val="104"/>
        </w:numPr>
        <w:spacing w:before="120" w:after="120"/>
        <w:ind w:left="1134" w:hanging="567"/>
        <w:jc w:val="both"/>
        <w:rPr>
          <w:rFonts w:ascii="Garamond" w:hAnsi="Garamond"/>
          <w:b/>
          <w:bCs/>
          <w:sz w:val="22"/>
          <w:szCs w:val="22"/>
        </w:rPr>
      </w:pPr>
      <w:r w:rsidRPr="007C72D5">
        <w:rPr>
          <w:rFonts w:ascii="Garamond" w:hAnsi="Garamond"/>
          <w:b/>
          <w:bCs/>
          <w:sz w:val="22"/>
          <w:szCs w:val="22"/>
        </w:rPr>
        <w:t>&lt;podis:accountPointRole&gt;</w:t>
      </w:r>
    </w:p>
    <w:p w14:paraId="71C99E43" w14:textId="77777777" w:rsidR="00CE6209" w:rsidRPr="007C72D5" w:rsidRDefault="00CE6209" w:rsidP="00CE6209">
      <w:pPr>
        <w:spacing w:before="120" w:after="120"/>
        <w:ind w:firstLine="567"/>
        <w:jc w:val="both"/>
        <w:rPr>
          <w:rFonts w:ascii="Garamond" w:hAnsi="Garamond"/>
          <w:bCs/>
          <w:sz w:val="22"/>
          <w:szCs w:val="22"/>
        </w:rPr>
      </w:pPr>
      <w:r w:rsidRPr="007C72D5">
        <w:rPr>
          <w:rFonts w:ascii="Garamond" w:hAnsi="Garamond"/>
          <w:bCs/>
          <w:sz w:val="22"/>
          <w:szCs w:val="22"/>
        </w:rPr>
        <w:t>Элемент &lt;podis:accountPointRole&gt; содержит в себе элементы, которые характерны для точки измерений. Является обязательным элементом.</w:t>
      </w:r>
    </w:p>
    <w:p w14:paraId="5EC95FD5" w14:textId="77777777" w:rsidR="00CE6209" w:rsidRPr="007C72D5" w:rsidRDefault="00CE6209" w:rsidP="00CE6209">
      <w:pPr>
        <w:spacing w:before="120" w:after="120"/>
        <w:ind w:firstLine="567"/>
        <w:jc w:val="both"/>
        <w:rPr>
          <w:rFonts w:ascii="Garamond" w:hAnsi="Garamond"/>
          <w:bCs/>
          <w:sz w:val="22"/>
          <w:szCs w:val="22"/>
        </w:rPr>
      </w:pPr>
      <w:r w:rsidRPr="007C72D5">
        <w:rPr>
          <w:rFonts w:ascii="Garamond" w:hAnsi="Garamond"/>
          <w:bCs/>
          <w:sz w:val="22"/>
          <w:szCs w:val="22"/>
        </w:rPr>
        <w:t>Дочерними элементами &lt;podis:accountPointRole&gt; являются элементы &lt;podis:endDevices&gt; и &lt;podis:equipments&gt;. У элемента &lt;podis:accountPointRole&gt; может быть только один дочерний элемент &lt;podis:endDevices&gt; и &lt;podis:equipments&gt;.</w:t>
      </w:r>
    </w:p>
    <w:p w14:paraId="6E6E5301" w14:textId="77777777" w:rsidR="00CE6209" w:rsidRPr="007C72D5" w:rsidRDefault="00CE6209" w:rsidP="00101F7C">
      <w:pPr>
        <w:pStyle w:val="ac"/>
        <w:numPr>
          <w:ilvl w:val="7"/>
          <w:numId w:val="104"/>
        </w:numPr>
        <w:spacing w:before="120" w:after="120"/>
        <w:ind w:left="1134" w:hanging="567"/>
        <w:jc w:val="both"/>
        <w:rPr>
          <w:rFonts w:ascii="Garamond" w:hAnsi="Garamond"/>
          <w:b/>
          <w:bCs/>
          <w:sz w:val="22"/>
          <w:szCs w:val="22"/>
        </w:rPr>
      </w:pPr>
      <w:r w:rsidRPr="007C72D5">
        <w:rPr>
          <w:rFonts w:ascii="Garamond" w:hAnsi="Garamond"/>
          <w:b/>
          <w:bCs/>
          <w:sz w:val="22"/>
          <w:szCs w:val="22"/>
        </w:rPr>
        <w:t>&lt;podis:endDevices&gt;</w:t>
      </w:r>
    </w:p>
    <w:p w14:paraId="19734B65" w14:textId="77777777" w:rsidR="00CE6209" w:rsidRPr="007C72D5" w:rsidRDefault="00CE6209" w:rsidP="00CE6209">
      <w:pPr>
        <w:spacing w:before="120" w:after="120"/>
        <w:ind w:firstLine="567"/>
        <w:jc w:val="both"/>
        <w:rPr>
          <w:rFonts w:ascii="Garamond" w:hAnsi="Garamond"/>
          <w:bCs/>
          <w:sz w:val="22"/>
          <w:szCs w:val="22"/>
        </w:rPr>
      </w:pPr>
      <w:r w:rsidRPr="007C72D5">
        <w:rPr>
          <w:rFonts w:ascii="Garamond" w:hAnsi="Garamond"/>
          <w:bCs/>
          <w:sz w:val="22"/>
          <w:szCs w:val="22"/>
        </w:rPr>
        <w:t>Элемент &lt;podis:endDevices&gt; содержит информацию о приборах учета и устройствах сбора и передачи данных (далее – УСПД) точки измерений. Является обязательным элементом.</w:t>
      </w:r>
    </w:p>
    <w:p w14:paraId="7720293F" w14:textId="77777777" w:rsidR="00CE6209" w:rsidRPr="007C72D5" w:rsidRDefault="00CE6209" w:rsidP="00CE6209">
      <w:pPr>
        <w:spacing w:before="120" w:after="120"/>
        <w:ind w:firstLine="567"/>
        <w:jc w:val="both"/>
        <w:rPr>
          <w:rFonts w:ascii="Garamond" w:hAnsi="Garamond"/>
          <w:bCs/>
          <w:sz w:val="22"/>
          <w:szCs w:val="22"/>
        </w:rPr>
      </w:pPr>
      <w:r w:rsidRPr="007C72D5">
        <w:rPr>
          <w:rFonts w:ascii="Garamond" w:hAnsi="Garamond"/>
          <w:bCs/>
          <w:sz w:val="22"/>
          <w:szCs w:val="22"/>
        </w:rPr>
        <w:t>Дочерними элементами &lt;podis:endDevices&gt; являются элементы &lt;podis:meter&gt; и &lt;podis:rtu&gt;. У элемента &lt;podis:endDevices&gt; может быть только один дочерний элемент &lt;podis:meter&gt; и не более двух дочерних элементов &lt;podis:rtu&gt;.</w:t>
      </w:r>
    </w:p>
    <w:p w14:paraId="27DB41A3" w14:textId="77777777" w:rsidR="00CE6209" w:rsidRPr="007C72D5" w:rsidRDefault="00CE6209" w:rsidP="00101F7C">
      <w:pPr>
        <w:pStyle w:val="ac"/>
        <w:numPr>
          <w:ilvl w:val="8"/>
          <w:numId w:val="104"/>
        </w:numPr>
        <w:spacing w:before="120" w:after="120"/>
        <w:ind w:left="1134" w:hanging="567"/>
        <w:jc w:val="both"/>
        <w:rPr>
          <w:rFonts w:ascii="Garamond" w:hAnsi="Garamond"/>
          <w:b/>
          <w:bCs/>
          <w:sz w:val="22"/>
          <w:szCs w:val="22"/>
        </w:rPr>
      </w:pPr>
      <w:r w:rsidRPr="007C72D5">
        <w:rPr>
          <w:rFonts w:ascii="Garamond" w:hAnsi="Garamond"/>
          <w:b/>
          <w:bCs/>
          <w:sz w:val="22"/>
          <w:szCs w:val="22"/>
        </w:rPr>
        <w:t>&lt;podis:meter&gt;</w:t>
      </w:r>
    </w:p>
    <w:p w14:paraId="2171C57C" w14:textId="77777777" w:rsidR="00CE6209" w:rsidRPr="007C72D5" w:rsidRDefault="00CE6209" w:rsidP="00CE6209">
      <w:pPr>
        <w:spacing w:before="120" w:after="120"/>
        <w:ind w:firstLine="567"/>
        <w:jc w:val="both"/>
        <w:rPr>
          <w:rFonts w:ascii="Garamond" w:hAnsi="Garamond"/>
          <w:bCs/>
          <w:sz w:val="22"/>
          <w:szCs w:val="22"/>
        </w:rPr>
      </w:pPr>
      <w:r w:rsidRPr="007C72D5">
        <w:rPr>
          <w:rFonts w:ascii="Garamond" w:hAnsi="Garamond"/>
          <w:bCs/>
          <w:sz w:val="22"/>
          <w:szCs w:val="22"/>
        </w:rPr>
        <w:t xml:space="preserve">Элемент &lt;podis:meter&gt; содержит информацию о приборе учета. Является обязательным элементом. </w:t>
      </w:r>
    </w:p>
    <w:p w14:paraId="24B1F386" w14:textId="607129F1" w:rsidR="00B66834" w:rsidRPr="007C72D5" w:rsidRDefault="00CE6209" w:rsidP="00CE6209">
      <w:pPr>
        <w:spacing w:before="120" w:after="120"/>
        <w:ind w:firstLine="567"/>
        <w:jc w:val="both"/>
        <w:rPr>
          <w:rFonts w:ascii="Garamond" w:hAnsi="Garamond"/>
          <w:bCs/>
          <w:sz w:val="22"/>
          <w:szCs w:val="22"/>
        </w:rPr>
      </w:pPr>
      <w:r w:rsidRPr="007C72D5">
        <w:rPr>
          <w:rFonts w:ascii="Garamond" w:hAnsi="Garamond"/>
          <w:bCs/>
          <w:sz w:val="22"/>
          <w:szCs w:val="22"/>
        </w:rPr>
        <w:lastRenderedPageBreak/>
        <w:t>Дочерними элементами &lt;podis:meter&gt; являются элементы &lt;podis:mRID&gt;, &lt;podis:lifeCycleDate&gt;,</w:t>
      </w:r>
      <w:r w:rsidR="009B5F03">
        <w:rPr>
          <w:rFonts w:ascii="Garamond" w:hAnsi="Garamond"/>
          <w:bCs/>
          <w:sz w:val="22"/>
          <w:szCs w:val="22"/>
        </w:rPr>
        <w:t xml:space="preserve"> </w:t>
      </w:r>
      <w:r w:rsidRPr="007C72D5">
        <w:rPr>
          <w:rFonts w:ascii="Garamond" w:hAnsi="Garamond"/>
          <w:bCs/>
          <w:sz w:val="22"/>
          <w:szCs w:val="22"/>
        </w:rPr>
        <w:t>&lt;podis:serialNumber&gt; и &lt;podis:meterInfoLink&gt;. У элемента &lt;podis:meter&gt; может быть только один дочерний элемент &lt;podis:mRID&gt;, &lt;podis:lifeCycleDate&gt;,</w:t>
      </w:r>
      <w:r w:rsidR="009B5F03">
        <w:rPr>
          <w:rFonts w:ascii="Garamond" w:hAnsi="Garamond"/>
          <w:bCs/>
          <w:sz w:val="22"/>
          <w:szCs w:val="22"/>
        </w:rPr>
        <w:t xml:space="preserve"> </w:t>
      </w:r>
      <w:r w:rsidRPr="007C72D5">
        <w:rPr>
          <w:rFonts w:ascii="Garamond" w:hAnsi="Garamond"/>
          <w:bCs/>
          <w:sz w:val="22"/>
          <w:szCs w:val="22"/>
        </w:rPr>
        <w:t>&lt;podis:serialNumber&gt; и &lt;podis:meterInfoLink&gt;.</w:t>
      </w:r>
    </w:p>
    <w:p w14:paraId="59D82E79" w14:textId="77777777" w:rsidR="00CE6209" w:rsidRPr="007C72D5" w:rsidRDefault="00B66834" w:rsidP="007C72D5">
      <w:pPr>
        <w:spacing w:before="120" w:after="120"/>
        <w:ind w:firstLine="567"/>
        <w:jc w:val="both"/>
        <w:rPr>
          <w:rFonts w:ascii="Garamond" w:hAnsi="Garamond"/>
          <w:b/>
          <w:bCs/>
          <w:sz w:val="22"/>
          <w:szCs w:val="22"/>
        </w:rPr>
      </w:pPr>
      <w:r w:rsidRPr="007C72D5">
        <w:rPr>
          <w:rFonts w:ascii="Garamond" w:hAnsi="Garamond"/>
          <w:b/>
          <w:bCs/>
          <w:sz w:val="22"/>
          <w:szCs w:val="22"/>
        </w:rPr>
        <w:t xml:space="preserve">2.1.2.1.2.1.3.1.1.1. </w:t>
      </w:r>
      <w:r w:rsidR="00CE6209" w:rsidRPr="007C72D5">
        <w:rPr>
          <w:rFonts w:ascii="Garamond" w:hAnsi="Garamond"/>
          <w:b/>
          <w:bCs/>
          <w:sz w:val="22"/>
          <w:szCs w:val="22"/>
        </w:rPr>
        <w:t>&lt;podis:mRID&gt;</w:t>
      </w:r>
    </w:p>
    <w:p w14:paraId="557BCD25" w14:textId="77777777" w:rsidR="00CE6209" w:rsidRPr="007C72D5" w:rsidRDefault="00CE6209" w:rsidP="00CE6209">
      <w:pPr>
        <w:spacing w:before="120" w:after="120"/>
        <w:ind w:firstLine="567"/>
        <w:jc w:val="both"/>
        <w:rPr>
          <w:rFonts w:ascii="Garamond" w:hAnsi="Garamond"/>
          <w:bCs/>
          <w:sz w:val="22"/>
          <w:szCs w:val="22"/>
        </w:rPr>
      </w:pPr>
      <w:r w:rsidRPr="007C72D5">
        <w:rPr>
          <w:rFonts w:ascii="Garamond" w:hAnsi="Garamond"/>
          <w:bCs/>
          <w:sz w:val="22"/>
          <w:szCs w:val="22"/>
        </w:rPr>
        <w:t>Элемент &lt;podis:mRID&gt; содержит уникальный идентификатор прибора учета в ИСУ. Является обязательным элементом. Представляет из себя UUID – Universal Unique Identifier, универсальный идентификатор информации, состоящий из 36 символов. Генерируется при помощи основанного на именах алгоритма генерации, согласно ГОСТ Р ИСО/МЭК 9834-8-2011. При использовании основанного на именах алгоритма генерации согласно ГОСТ Р ИСО/МЭК 9834-8-2011 в качестве имени используется конкатенация следующих строк:</w:t>
      </w:r>
    </w:p>
    <w:p w14:paraId="0979E195" w14:textId="77777777" w:rsidR="00CE6209" w:rsidRPr="007C72D5" w:rsidRDefault="00CE6209" w:rsidP="00CE6209">
      <w:pPr>
        <w:tabs>
          <w:tab w:val="left" w:pos="851"/>
        </w:tabs>
        <w:spacing w:before="120" w:after="120"/>
        <w:ind w:firstLine="567"/>
        <w:jc w:val="both"/>
        <w:rPr>
          <w:rFonts w:ascii="Garamond" w:hAnsi="Garamond"/>
          <w:bCs/>
          <w:sz w:val="22"/>
          <w:szCs w:val="22"/>
        </w:rPr>
      </w:pPr>
      <w:r w:rsidRPr="007C72D5">
        <w:rPr>
          <w:rFonts w:ascii="Garamond" w:hAnsi="Garamond"/>
          <w:bCs/>
          <w:sz w:val="22"/>
          <w:szCs w:val="22"/>
        </w:rPr>
        <w:t xml:space="preserve">– </w:t>
      </w:r>
      <w:r w:rsidRPr="007C72D5">
        <w:rPr>
          <w:rFonts w:ascii="Garamond" w:hAnsi="Garamond"/>
          <w:bCs/>
          <w:sz w:val="22"/>
          <w:szCs w:val="22"/>
        </w:rPr>
        <w:tab/>
        <w:t>идентификатор объекта в ИСУ (программном комплексе ИСУ, в котором ведется учет оборудования ИСУ);</w:t>
      </w:r>
    </w:p>
    <w:p w14:paraId="23CFBC24" w14:textId="6DA634DB" w:rsidR="00CE6209" w:rsidRPr="007C72D5" w:rsidRDefault="00CE6209" w:rsidP="00CE6209">
      <w:pPr>
        <w:spacing w:before="120" w:after="120"/>
        <w:ind w:firstLine="567"/>
        <w:jc w:val="both"/>
        <w:rPr>
          <w:rFonts w:ascii="Garamond" w:hAnsi="Garamond"/>
          <w:bCs/>
          <w:sz w:val="22"/>
          <w:szCs w:val="22"/>
        </w:rPr>
      </w:pPr>
      <w:r w:rsidRPr="007C72D5">
        <w:rPr>
          <w:rFonts w:ascii="Garamond" w:hAnsi="Garamond"/>
          <w:bCs/>
          <w:sz w:val="22"/>
          <w:szCs w:val="22"/>
        </w:rPr>
        <w:t>–</w:t>
      </w:r>
      <w:r w:rsidRPr="007C72D5">
        <w:rPr>
          <w:rFonts w:ascii="Garamond" w:hAnsi="Garamond"/>
          <w:bCs/>
          <w:sz w:val="22"/>
          <w:szCs w:val="22"/>
        </w:rPr>
        <w:tab/>
        <w:t xml:space="preserve"> мнемоника сущности ПОДИС</w:t>
      </w:r>
      <w:r w:rsidR="009B5F03">
        <w:rPr>
          <w:rFonts w:ascii="Garamond" w:hAnsi="Garamond"/>
          <w:bCs/>
          <w:sz w:val="22"/>
          <w:szCs w:val="22"/>
        </w:rPr>
        <w:t xml:space="preserve"> – </w:t>
      </w:r>
      <w:r w:rsidRPr="007C72D5">
        <w:rPr>
          <w:rFonts w:ascii="Garamond" w:hAnsi="Garamond"/>
          <w:bCs/>
          <w:sz w:val="22"/>
          <w:szCs w:val="22"/>
        </w:rPr>
        <w:t>"Meter";</w:t>
      </w:r>
    </w:p>
    <w:p w14:paraId="73716E97" w14:textId="404A69F1" w:rsidR="00CE6209" w:rsidRPr="007C72D5" w:rsidRDefault="00CE6209" w:rsidP="00CE6209">
      <w:pPr>
        <w:spacing w:before="120" w:after="120"/>
        <w:ind w:firstLine="567"/>
        <w:jc w:val="both"/>
        <w:rPr>
          <w:rFonts w:ascii="Garamond" w:hAnsi="Garamond"/>
          <w:bCs/>
          <w:sz w:val="22"/>
          <w:szCs w:val="22"/>
        </w:rPr>
      </w:pPr>
      <w:r w:rsidRPr="007C72D5">
        <w:rPr>
          <w:rFonts w:ascii="Garamond" w:hAnsi="Garamond"/>
          <w:bCs/>
          <w:sz w:val="22"/>
          <w:szCs w:val="22"/>
        </w:rPr>
        <w:t>–</w:t>
      </w:r>
      <w:r w:rsidRPr="007C72D5">
        <w:rPr>
          <w:rFonts w:ascii="Garamond" w:hAnsi="Garamond"/>
          <w:bCs/>
          <w:sz w:val="22"/>
          <w:szCs w:val="22"/>
        </w:rPr>
        <w:tab/>
        <w:t xml:space="preserve"> идентификатор ИСУ (при отсутствии идентификатора используется полное наименование организации</w:t>
      </w:r>
      <w:r w:rsidR="009B5F03">
        <w:rPr>
          <w:rFonts w:ascii="Garamond" w:hAnsi="Garamond"/>
          <w:bCs/>
          <w:sz w:val="22"/>
          <w:szCs w:val="22"/>
        </w:rPr>
        <w:t xml:space="preserve"> – </w:t>
      </w:r>
      <w:r w:rsidRPr="007C72D5">
        <w:rPr>
          <w:rFonts w:ascii="Garamond" w:hAnsi="Garamond"/>
          <w:bCs/>
          <w:sz w:val="22"/>
          <w:szCs w:val="22"/>
        </w:rPr>
        <w:t>владельца ИСУ).</w:t>
      </w:r>
    </w:p>
    <w:p w14:paraId="61AC9BED" w14:textId="77777777" w:rsidR="00CE6209" w:rsidRPr="007C72D5" w:rsidRDefault="00B66834" w:rsidP="007C72D5">
      <w:pPr>
        <w:suppressAutoHyphens w:val="0"/>
        <w:spacing w:before="120" w:after="120"/>
        <w:ind w:left="1134" w:hanging="567"/>
        <w:jc w:val="both"/>
        <w:rPr>
          <w:rFonts w:ascii="Garamond" w:hAnsi="Garamond"/>
          <w:b/>
          <w:bCs/>
          <w:sz w:val="22"/>
          <w:szCs w:val="22"/>
        </w:rPr>
      </w:pPr>
      <w:r w:rsidRPr="007C72D5">
        <w:rPr>
          <w:rFonts w:ascii="Garamond" w:hAnsi="Garamond"/>
          <w:b/>
          <w:bCs/>
          <w:sz w:val="22"/>
          <w:szCs w:val="22"/>
        </w:rPr>
        <w:t xml:space="preserve">2.1.2.1.2.1.3.1.1.2. </w:t>
      </w:r>
      <w:r w:rsidR="00CE6209" w:rsidRPr="007C72D5">
        <w:rPr>
          <w:rFonts w:ascii="Garamond" w:hAnsi="Garamond"/>
          <w:b/>
          <w:bCs/>
          <w:sz w:val="22"/>
          <w:szCs w:val="22"/>
        </w:rPr>
        <w:t>&lt;podis:lifeCycleDate&gt;</w:t>
      </w:r>
    </w:p>
    <w:p w14:paraId="35E6C3B7" w14:textId="77777777" w:rsidR="00CE6209" w:rsidRPr="007C72D5" w:rsidRDefault="00CE6209" w:rsidP="00CE6209">
      <w:pPr>
        <w:spacing w:before="120" w:after="120"/>
        <w:ind w:firstLine="567"/>
        <w:jc w:val="both"/>
        <w:rPr>
          <w:rFonts w:ascii="Garamond" w:hAnsi="Garamond"/>
          <w:bCs/>
          <w:sz w:val="22"/>
          <w:szCs w:val="22"/>
        </w:rPr>
      </w:pPr>
      <w:r w:rsidRPr="007C72D5">
        <w:rPr>
          <w:rFonts w:ascii="Garamond" w:hAnsi="Garamond"/>
          <w:bCs/>
          <w:sz w:val="22"/>
          <w:szCs w:val="22"/>
        </w:rPr>
        <w:t>Элемент &lt;podis:lifeCycleDate&gt; содержит даты жизненного цикла прибора учета. Является обязательным элементом.</w:t>
      </w:r>
    </w:p>
    <w:p w14:paraId="70EF1D8B" w14:textId="77777777" w:rsidR="00CE6209" w:rsidRPr="007C72D5" w:rsidRDefault="00CE6209" w:rsidP="00CE6209">
      <w:pPr>
        <w:spacing w:before="120" w:after="120"/>
        <w:ind w:firstLine="567"/>
        <w:jc w:val="both"/>
        <w:rPr>
          <w:rFonts w:ascii="Garamond" w:hAnsi="Garamond"/>
          <w:bCs/>
          <w:sz w:val="22"/>
          <w:szCs w:val="22"/>
        </w:rPr>
      </w:pPr>
      <w:r w:rsidRPr="007C72D5">
        <w:rPr>
          <w:rFonts w:ascii="Garamond" w:hAnsi="Garamond"/>
          <w:bCs/>
          <w:sz w:val="22"/>
          <w:szCs w:val="22"/>
        </w:rPr>
        <w:t>Дочерним элементом &lt;podis:lifeCycleDate&gt; является элемент &lt;podis:nextDateValid&gt;. У элемента &lt;podis:lifeCycleDate&gt; может быть только один дочерний элемент &lt;podis:nextDateValid&gt;.</w:t>
      </w:r>
    </w:p>
    <w:p w14:paraId="204D4413" w14:textId="77777777" w:rsidR="00CE6209" w:rsidRPr="007C72D5" w:rsidRDefault="00B66834" w:rsidP="007C72D5">
      <w:pPr>
        <w:suppressAutoHyphens w:val="0"/>
        <w:spacing w:before="120" w:after="120"/>
        <w:ind w:left="1134" w:hanging="567"/>
        <w:jc w:val="both"/>
        <w:rPr>
          <w:rFonts w:ascii="Garamond" w:hAnsi="Garamond"/>
          <w:b/>
          <w:bCs/>
          <w:sz w:val="22"/>
          <w:szCs w:val="22"/>
        </w:rPr>
      </w:pPr>
      <w:r w:rsidRPr="007C72D5">
        <w:rPr>
          <w:rFonts w:ascii="Garamond" w:hAnsi="Garamond"/>
          <w:b/>
          <w:bCs/>
          <w:sz w:val="22"/>
          <w:szCs w:val="22"/>
        </w:rPr>
        <w:t xml:space="preserve">2.1.2.1.2.1.3.1.1.2.1. </w:t>
      </w:r>
      <w:r w:rsidR="00CE6209" w:rsidRPr="007C72D5">
        <w:rPr>
          <w:rFonts w:ascii="Garamond" w:hAnsi="Garamond"/>
          <w:b/>
          <w:bCs/>
          <w:sz w:val="22"/>
          <w:szCs w:val="22"/>
        </w:rPr>
        <w:t>&lt;podis:nextDateValid&gt;</w:t>
      </w:r>
    </w:p>
    <w:p w14:paraId="4F395A01" w14:textId="77777777" w:rsidR="00CE6209" w:rsidRPr="007C72D5" w:rsidRDefault="00CE6209" w:rsidP="00CE6209">
      <w:pPr>
        <w:spacing w:before="120" w:after="120"/>
        <w:ind w:firstLine="567"/>
        <w:jc w:val="both"/>
        <w:rPr>
          <w:rFonts w:ascii="Garamond" w:hAnsi="Garamond"/>
          <w:bCs/>
          <w:sz w:val="22"/>
          <w:szCs w:val="22"/>
        </w:rPr>
      </w:pPr>
      <w:r w:rsidRPr="007C72D5">
        <w:rPr>
          <w:rFonts w:ascii="Garamond" w:hAnsi="Garamond"/>
          <w:bCs/>
          <w:sz w:val="22"/>
          <w:szCs w:val="22"/>
        </w:rPr>
        <w:t>Элемент &lt;podis:nextDateValid&gt; содержит дату очередной поверки, дата в формате «ГГГГ-ММ-ДД». Является обязательным элементом.</w:t>
      </w:r>
    </w:p>
    <w:p w14:paraId="663EAEAE" w14:textId="77777777" w:rsidR="00CE6209" w:rsidRPr="007C72D5" w:rsidRDefault="00B66834" w:rsidP="007C72D5">
      <w:pPr>
        <w:suppressAutoHyphens w:val="0"/>
        <w:spacing w:before="120" w:after="120"/>
        <w:ind w:left="1134" w:hanging="567"/>
        <w:jc w:val="both"/>
        <w:rPr>
          <w:rFonts w:ascii="Garamond" w:hAnsi="Garamond"/>
          <w:b/>
          <w:bCs/>
          <w:sz w:val="22"/>
          <w:szCs w:val="22"/>
        </w:rPr>
      </w:pPr>
      <w:r w:rsidRPr="007C72D5">
        <w:rPr>
          <w:rFonts w:ascii="Garamond" w:hAnsi="Garamond"/>
          <w:b/>
          <w:bCs/>
          <w:sz w:val="22"/>
          <w:szCs w:val="22"/>
        </w:rPr>
        <w:t xml:space="preserve">2.1.2.1.2.1.3.1.1.3. </w:t>
      </w:r>
      <w:r w:rsidR="00CE6209" w:rsidRPr="007C72D5">
        <w:rPr>
          <w:rFonts w:ascii="Garamond" w:hAnsi="Garamond"/>
          <w:b/>
          <w:bCs/>
          <w:sz w:val="22"/>
          <w:szCs w:val="22"/>
        </w:rPr>
        <w:t>&lt;podis:serialNumber&gt;</w:t>
      </w:r>
    </w:p>
    <w:p w14:paraId="0DC02CA5" w14:textId="77777777" w:rsidR="00CE6209" w:rsidRPr="007C72D5" w:rsidRDefault="00CE6209" w:rsidP="00CE6209">
      <w:pPr>
        <w:spacing w:before="120" w:after="120"/>
        <w:ind w:firstLine="567"/>
        <w:jc w:val="both"/>
        <w:rPr>
          <w:rFonts w:ascii="Garamond" w:hAnsi="Garamond"/>
          <w:bCs/>
          <w:sz w:val="22"/>
          <w:szCs w:val="22"/>
        </w:rPr>
      </w:pPr>
      <w:r w:rsidRPr="007C72D5">
        <w:rPr>
          <w:rFonts w:ascii="Garamond" w:hAnsi="Garamond"/>
          <w:bCs/>
          <w:sz w:val="22"/>
          <w:szCs w:val="22"/>
        </w:rPr>
        <w:t>Элемент &lt;podis:serialNumber&gt; содержит заводской номер прибора учета. Обязательный элемент, текстовое поле длиной не более 250 символов.</w:t>
      </w:r>
    </w:p>
    <w:p w14:paraId="207D6AD8" w14:textId="77777777" w:rsidR="00CE6209" w:rsidRPr="007C72D5" w:rsidRDefault="00B66834" w:rsidP="007C72D5">
      <w:pPr>
        <w:suppressAutoHyphens w:val="0"/>
        <w:spacing w:before="120" w:after="120"/>
        <w:ind w:left="1134" w:hanging="567"/>
        <w:jc w:val="both"/>
        <w:rPr>
          <w:rFonts w:ascii="Garamond" w:hAnsi="Garamond"/>
          <w:b/>
          <w:bCs/>
          <w:sz w:val="22"/>
          <w:szCs w:val="22"/>
        </w:rPr>
      </w:pPr>
      <w:r w:rsidRPr="007C72D5">
        <w:rPr>
          <w:rFonts w:ascii="Garamond" w:hAnsi="Garamond"/>
          <w:b/>
          <w:bCs/>
          <w:sz w:val="22"/>
          <w:szCs w:val="22"/>
        </w:rPr>
        <w:t xml:space="preserve">2.1.2.1.2.1.3.1.1.4. </w:t>
      </w:r>
      <w:r w:rsidR="00CE6209" w:rsidRPr="007C72D5">
        <w:rPr>
          <w:rFonts w:ascii="Garamond" w:hAnsi="Garamond"/>
          <w:b/>
          <w:bCs/>
          <w:sz w:val="22"/>
          <w:szCs w:val="22"/>
        </w:rPr>
        <w:t>&lt;podis:meterInfoLink&gt;</w:t>
      </w:r>
    </w:p>
    <w:p w14:paraId="06789D17" w14:textId="77777777" w:rsidR="00CE6209" w:rsidRPr="007C72D5" w:rsidRDefault="00CE6209" w:rsidP="00CE6209">
      <w:pPr>
        <w:spacing w:before="120" w:after="120"/>
        <w:ind w:firstLine="567"/>
        <w:jc w:val="both"/>
        <w:rPr>
          <w:rFonts w:ascii="Garamond" w:hAnsi="Garamond"/>
          <w:bCs/>
          <w:sz w:val="22"/>
          <w:szCs w:val="22"/>
        </w:rPr>
      </w:pPr>
      <w:r w:rsidRPr="007C72D5">
        <w:rPr>
          <w:rFonts w:ascii="Garamond" w:hAnsi="Garamond"/>
          <w:bCs/>
          <w:sz w:val="22"/>
          <w:szCs w:val="22"/>
        </w:rPr>
        <w:t xml:space="preserve">Элемент &lt;podis:meterInfoLink&gt; содержит описание модели прибора учета. Является обязательным элементом. </w:t>
      </w:r>
    </w:p>
    <w:p w14:paraId="5C2F2CCF" w14:textId="77777777" w:rsidR="00CE6209" w:rsidRPr="007C72D5" w:rsidRDefault="00CE6209" w:rsidP="00CE6209">
      <w:pPr>
        <w:spacing w:before="120" w:after="120"/>
        <w:ind w:firstLine="567"/>
        <w:jc w:val="both"/>
        <w:rPr>
          <w:rFonts w:ascii="Garamond" w:hAnsi="Garamond"/>
          <w:bCs/>
          <w:sz w:val="22"/>
          <w:szCs w:val="22"/>
        </w:rPr>
      </w:pPr>
      <w:r w:rsidRPr="007C72D5">
        <w:rPr>
          <w:rFonts w:ascii="Garamond" w:hAnsi="Garamond"/>
          <w:bCs/>
          <w:sz w:val="22"/>
          <w:szCs w:val="22"/>
        </w:rPr>
        <w:t>Дочерними элементами &lt;podis:meterInfoLink&gt; являются элементы &lt;podis:mRID&gt;, &lt;podis:modelNumber&gt;, &lt;podis:accuracyClass&gt;, &lt;podis:accuracyClassR&gt; и &lt;podis:regNumber&gt;. У элемента &lt;podis:meterInfoLink&gt; может быть только один дочерний элемент &lt;podis:mRID&gt;, &lt;podis:modelNumber&gt;, &lt;podis:accuracyClass&gt;, &lt;podis:accuracyClassR&gt; и &lt;podis:regNumber&gt;.</w:t>
      </w:r>
    </w:p>
    <w:p w14:paraId="18D6D68C" w14:textId="77777777" w:rsidR="00CE6209" w:rsidRPr="007C72D5" w:rsidRDefault="00B66834" w:rsidP="00CE6209">
      <w:pPr>
        <w:spacing w:before="120" w:after="120"/>
        <w:ind w:firstLine="567"/>
        <w:jc w:val="both"/>
        <w:rPr>
          <w:rFonts w:ascii="Garamond" w:hAnsi="Garamond"/>
          <w:b/>
          <w:bCs/>
          <w:sz w:val="22"/>
          <w:szCs w:val="22"/>
        </w:rPr>
      </w:pPr>
      <w:r w:rsidRPr="007C72D5">
        <w:rPr>
          <w:rFonts w:ascii="Garamond" w:hAnsi="Garamond"/>
          <w:b/>
          <w:bCs/>
          <w:sz w:val="22"/>
          <w:szCs w:val="22"/>
        </w:rPr>
        <w:t xml:space="preserve">2.1.2.1.2.1.3.1.1.4.1. </w:t>
      </w:r>
      <w:r w:rsidR="00CE6209" w:rsidRPr="007C72D5">
        <w:rPr>
          <w:rFonts w:ascii="Garamond" w:hAnsi="Garamond"/>
          <w:b/>
          <w:bCs/>
          <w:sz w:val="22"/>
          <w:szCs w:val="22"/>
        </w:rPr>
        <w:t>&lt;podis:mRID&gt;</w:t>
      </w:r>
    </w:p>
    <w:p w14:paraId="04F16811" w14:textId="79B48A7A" w:rsidR="00CE6209" w:rsidRPr="007C72D5" w:rsidRDefault="00CE6209" w:rsidP="00CE6209">
      <w:pPr>
        <w:spacing w:before="120" w:after="120"/>
        <w:ind w:firstLine="567"/>
        <w:jc w:val="both"/>
        <w:rPr>
          <w:rFonts w:ascii="Garamond" w:hAnsi="Garamond"/>
          <w:bCs/>
          <w:sz w:val="22"/>
          <w:szCs w:val="22"/>
        </w:rPr>
      </w:pPr>
      <w:r w:rsidRPr="007C72D5">
        <w:rPr>
          <w:rFonts w:ascii="Garamond" w:hAnsi="Garamond"/>
          <w:bCs/>
          <w:sz w:val="22"/>
          <w:szCs w:val="22"/>
        </w:rPr>
        <w:t>Элемент &lt;podis:mRID&gt; содержит уникальный идентификатор модели прибора учета в ИСУ. Является обязательным элементом. Представляет из себя UUID – Universal Unique Identifier, универсальный идентификатор информации, состоящий из 36 символов.</w:t>
      </w:r>
      <w:r w:rsidR="009B5F03">
        <w:rPr>
          <w:rFonts w:ascii="Garamond" w:hAnsi="Garamond"/>
          <w:bCs/>
          <w:sz w:val="22"/>
          <w:szCs w:val="22"/>
        </w:rPr>
        <w:t xml:space="preserve"> </w:t>
      </w:r>
      <w:r w:rsidRPr="007C72D5">
        <w:rPr>
          <w:rFonts w:ascii="Garamond" w:hAnsi="Garamond"/>
          <w:bCs/>
          <w:sz w:val="22"/>
          <w:szCs w:val="22"/>
        </w:rPr>
        <w:t>Генерируется при помощи основанного на именах алгоритма генерации, согласно ГОСТ Р ИСО/МЭК 9834-8-2011. При использовании основанного на именах алгоритма генерации согласно ГОСТ Р ИСО/МЭК 9834-8-2011 в качестве имени используется конкатенация следующих строк:</w:t>
      </w:r>
    </w:p>
    <w:p w14:paraId="3C321849" w14:textId="77777777" w:rsidR="00CE6209" w:rsidRPr="007C72D5" w:rsidRDefault="00CE6209" w:rsidP="00CE6209">
      <w:pPr>
        <w:spacing w:before="120" w:after="120"/>
        <w:ind w:firstLine="567"/>
        <w:jc w:val="both"/>
        <w:rPr>
          <w:rFonts w:ascii="Garamond" w:hAnsi="Garamond"/>
          <w:bCs/>
          <w:sz w:val="22"/>
          <w:szCs w:val="22"/>
        </w:rPr>
      </w:pPr>
      <w:r w:rsidRPr="007C72D5">
        <w:rPr>
          <w:rFonts w:ascii="Garamond" w:hAnsi="Garamond"/>
          <w:bCs/>
          <w:sz w:val="22"/>
          <w:szCs w:val="22"/>
        </w:rPr>
        <w:t>–</w:t>
      </w:r>
      <w:r w:rsidRPr="007C72D5">
        <w:rPr>
          <w:rFonts w:ascii="Garamond" w:hAnsi="Garamond"/>
          <w:bCs/>
          <w:sz w:val="22"/>
          <w:szCs w:val="22"/>
        </w:rPr>
        <w:tab/>
        <w:t xml:space="preserve"> идентификатор объекта в ИСУ (программном комплексе ИСУ, в котором ведется учет оборудования ИСУ);</w:t>
      </w:r>
    </w:p>
    <w:p w14:paraId="68DA86A1" w14:textId="317C413F" w:rsidR="00CE6209" w:rsidRPr="007C72D5" w:rsidRDefault="00CE6209" w:rsidP="00CE6209">
      <w:pPr>
        <w:tabs>
          <w:tab w:val="left" w:pos="851"/>
        </w:tabs>
        <w:spacing w:before="120" w:after="120"/>
        <w:ind w:firstLine="567"/>
        <w:jc w:val="both"/>
        <w:rPr>
          <w:rFonts w:ascii="Garamond" w:hAnsi="Garamond"/>
          <w:bCs/>
          <w:sz w:val="22"/>
          <w:szCs w:val="22"/>
        </w:rPr>
      </w:pPr>
      <w:r w:rsidRPr="007C72D5">
        <w:rPr>
          <w:rFonts w:ascii="Garamond" w:hAnsi="Garamond"/>
          <w:bCs/>
          <w:sz w:val="22"/>
          <w:szCs w:val="22"/>
        </w:rPr>
        <w:t xml:space="preserve">– </w:t>
      </w:r>
      <w:r w:rsidRPr="007C72D5">
        <w:rPr>
          <w:rFonts w:ascii="Garamond" w:hAnsi="Garamond"/>
          <w:bCs/>
          <w:sz w:val="22"/>
          <w:szCs w:val="22"/>
        </w:rPr>
        <w:tab/>
        <w:t>мнемоника сущности ПОДИС</w:t>
      </w:r>
      <w:r w:rsidR="009B5F03">
        <w:rPr>
          <w:rFonts w:ascii="Garamond" w:hAnsi="Garamond"/>
          <w:bCs/>
          <w:sz w:val="22"/>
          <w:szCs w:val="22"/>
        </w:rPr>
        <w:t xml:space="preserve"> – </w:t>
      </w:r>
      <w:r w:rsidRPr="007C72D5">
        <w:rPr>
          <w:rFonts w:ascii="Garamond" w:hAnsi="Garamond"/>
          <w:bCs/>
          <w:sz w:val="22"/>
          <w:szCs w:val="22"/>
        </w:rPr>
        <w:t>"MeterInfo";</w:t>
      </w:r>
    </w:p>
    <w:p w14:paraId="226BADB9" w14:textId="0F5543E3" w:rsidR="00CE6209" w:rsidRPr="007C72D5" w:rsidRDefault="00CE6209" w:rsidP="00CE6209">
      <w:pPr>
        <w:tabs>
          <w:tab w:val="left" w:pos="851"/>
        </w:tabs>
        <w:spacing w:before="120" w:after="120"/>
        <w:ind w:firstLine="567"/>
        <w:jc w:val="both"/>
        <w:rPr>
          <w:rFonts w:ascii="Garamond" w:hAnsi="Garamond"/>
          <w:bCs/>
          <w:sz w:val="22"/>
          <w:szCs w:val="22"/>
        </w:rPr>
      </w:pPr>
      <w:r w:rsidRPr="007C72D5">
        <w:rPr>
          <w:rFonts w:ascii="Garamond" w:hAnsi="Garamond"/>
          <w:bCs/>
          <w:sz w:val="22"/>
          <w:szCs w:val="22"/>
        </w:rPr>
        <w:t xml:space="preserve">– </w:t>
      </w:r>
      <w:r w:rsidRPr="007C72D5">
        <w:rPr>
          <w:rFonts w:ascii="Garamond" w:hAnsi="Garamond"/>
          <w:bCs/>
          <w:sz w:val="22"/>
          <w:szCs w:val="22"/>
        </w:rPr>
        <w:tab/>
        <w:t>идентификатор ИСУ (при отсутствии идентификатора используется полное наименование организации</w:t>
      </w:r>
      <w:r w:rsidR="009B5F03">
        <w:rPr>
          <w:rFonts w:ascii="Garamond" w:hAnsi="Garamond"/>
          <w:bCs/>
          <w:sz w:val="22"/>
          <w:szCs w:val="22"/>
        </w:rPr>
        <w:t xml:space="preserve"> – </w:t>
      </w:r>
      <w:r w:rsidRPr="007C72D5">
        <w:rPr>
          <w:rFonts w:ascii="Garamond" w:hAnsi="Garamond"/>
          <w:bCs/>
          <w:sz w:val="22"/>
          <w:szCs w:val="22"/>
        </w:rPr>
        <w:t>владельца ИСУ).</w:t>
      </w:r>
    </w:p>
    <w:p w14:paraId="17F466E1" w14:textId="77777777" w:rsidR="00CE6209" w:rsidRPr="007C72D5" w:rsidRDefault="00B66834" w:rsidP="00CE6209">
      <w:pPr>
        <w:spacing w:before="120" w:after="120"/>
        <w:ind w:firstLine="567"/>
        <w:jc w:val="both"/>
        <w:rPr>
          <w:rFonts w:ascii="Garamond" w:hAnsi="Garamond"/>
          <w:b/>
          <w:bCs/>
          <w:sz w:val="22"/>
          <w:szCs w:val="22"/>
        </w:rPr>
      </w:pPr>
      <w:r w:rsidRPr="007C72D5">
        <w:rPr>
          <w:rFonts w:ascii="Garamond" w:hAnsi="Garamond"/>
          <w:b/>
          <w:bCs/>
          <w:sz w:val="22"/>
          <w:szCs w:val="22"/>
        </w:rPr>
        <w:t>2.1.2.1.2.1.3.1.1.4.2.</w:t>
      </w:r>
      <w:r w:rsidR="00CE6209" w:rsidRPr="007C72D5">
        <w:rPr>
          <w:rFonts w:ascii="Garamond" w:hAnsi="Garamond"/>
          <w:b/>
          <w:bCs/>
          <w:sz w:val="22"/>
          <w:szCs w:val="22"/>
        </w:rPr>
        <w:t xml:space="preserve"> &lt;podis:modelNumber&gt;</w:t>
      </w:r>
    </w:p>
    <w:p w14:paraId="161B82F5" w14:textId="77777777" w:rsidR="00CE6209" w:rsidRPr="007C72D5" w:rsidRDefault="00CE6209" w:rsidP="00CE6209">
      <w:pPr>
        <w:spacing w:before="120" w:after="120"/>
        <w:ind w:firstLine="567"/>
        <w:jc w:val="both"/>
        <w:rPr>
          <w:rFonts w:ascii="Garamond" w:hAnsi="Garamond"/>
          <w:bCs/>
          <w:sz w:val="22"/>
          <w:szCs w:val="22"/>
        </w:rPr>
      </w:pPr>
      <w:r w:rsidRPr="007C72D5">
        <w:rPr>
          <w:rFonts w:ascii="Garamond" w:hAnsi="Garamond"/>
          <w:bCs/>
          <w:sz w:val="22"/>
          <w:szCs w:val="22"/>
        </w:rPr>
        <w:t xml:space="preserve">Элемент &lt;podis:modelNumber&gt; содержит тип прибора учета с указанием его модификации или варианта исполнения. Тип и модификация или вариант исполнения должны быть приведены согласно </w:t>
      </w:r>
      <w:r w:rsidRPr="007C72D5">
        <w:rPr>
          <w:rFonts w:ascii="Garamond" w:hAnsi="Garamond"/>
          <w:bCs/>
          <w:sz w:val="22"/>
          <w:szCs w:val="22"/>
        </w:rPr>
        <w:lastRenderedPageBreak/>
        <w:t>данным, внесенным в Федеральный информационный фонд по обеспечению единства измерений. Текстовое поле длиной не более 80 символов. Является обязательным элементом.</w:t>
      </w:r>
    </w:p>
    <w:p w14:paraId="387BB3D7" w14:textId="77777777" w:rsidR="00CE6209" w:rsidRPr="007C72D5" w:rsidRDefault="00B66834" w:rsidP="00CE6209">
      <w:pPr>
        <w:spacing w:before="120" w:after="120"/>
        <w:ind w:firstLine="567"/>
        <w:jc w:val="both"/>
        <w:rPr>
          <w:rFonts w:ascii="Garamond" w:hAnsi="Garamond"/>
          <w:b/>
          <w:bCs/>
          <w:sz w:val="22"/>
          <w:szCs w:val="22"/>
        </w:rPr>
      </w:pPr>
      <w:r w:rsidRPr="007C72D5">
        <w:rPr>
          <w:rFonts w:ascii="Garamond" w:hAnsi="Garamond"/>
          <w:b/>
          <w:bCs/>
          <w:sz w:val="22"/>
          <w:szCs w:val="22"/>
        </w:rPr>
        <w:t>2.1.2.1.2.1.3.1.1.4.3.</w:t>
      </w:r>
      <w:r w:rsidR="00CE6209" w:rsidRPr="007C72D5">
        <w:rPr>
          <w:rFonts w:ascii="Garamond" w:hAnsi="Garamond"/>
          <w:b/>
          <w:bCs/>
          <w:sz w:val="22"/>
          <w:szCs w:val="22"/>
        </w:rPr>
        <w:t xml:space="preserve"> &lt;podis:accuracyClass&gt;</w:t>
      </w:r>
    </w:p>
    <w:p w14:paraId="7CAF19D7" w14:textId="77777777" w:rsidR="00CE6209" w:rsidRPr="007C72D5" w:rsidRDefault="00CE6209" w:rsidP="00CE6209">
      <w:pPr>
        <w:spacing w:before="120" w:after="120"/>
        <w:ind w:firstLine="567"/>
        <w:jc w:val="both"/>
        <w:rPr>
          <w:rFonts w:ascii="Garamond" w:hAnsi="Garamond"/>
          <w:bCs/>
          <w:sz w:val="22"/>
          <w:szCs w:val="22"/>
        </w:rPr>
      </w:pPr>
      <w:r w:rsidRPr="007C72D5">
        <w:rPr>
          <w:rFonts w:ascii="Garamond" w:hAnsi="Garamond"/>
          <w:bCs/>
          <w:sz w:val="22"/>
          <w:szCs w:val="22"/>
        </w:rPr>
        <w:t xml:space="preserve">Элемент &lt;podis:accuracyClass&gt; содержит класс точности прибора учета по активной энергии. Текстовое поле, содержащее от 1 до 3 символов до десятичного разделителя и от 1 до 3 символов после десятичного разделителя. Является обязательным элементом. В качестве десятичного разделителя должна быть использована точка. Допускается использовать только один десятичный разделитель. В случае отсутствия символов после десятичного разделителя он должен отсутствовать. </w:t>
      </w:r>
    </w:p>
    <w:p w14:paraId="647F4C08" w14:textId="77777777" w:rsidR="00CE6209" w:rsidRPr="007C72D5" w:rsidRDefault="00CE6209" w:rsidP="00CE6209">
      <w:pPr>
        <w:spacing w:before="120" w:after="120"/>
        <w:ind w:firstLine="567"/>
        <w:jc w:val="both"/>
        <w:rPr>
          <w:rFonts w:ascii="Garamond" w:hAnsi="Garamond"/>
          <w:b/>
          <w:bCs/>
          <w:sz w:val="22"/>
          <w:szCs w:val="22"/>
        </w:rPr>
      </w:pPr>
      <w:r w:rsidRPr="007C72D5">
        <w:rPr>
          <w:rFonts w:ascii="Garamond" w:hAnsi="Garamond"/>
          <w:b/>
          <w:bCs/>
          <w:sz w:val="22"/>
          <w:szCs w:val="22"/>
        </w:rPr>
        <w:t>2.1.2.1.2.1.3.1.1.4.4. &lt;podis:accuracyClassR&gt;</w:t>
      </w:r>
    </w:p>
    <w:p w14:paraId="0294C3B9" w14:textId="77777777" w:rsidR="00CE6209" w:rsidRPr="007C72D5" w:rsidRDefault="00CE6209" w:rsidP="00CE6209">
      <w:pPr>
        <w:spacing w:before="120" w:after="120"/>
        <w:ind w:firstLine="567"/>
        <w:jc w:val="both"/>
        <w:rPr>
          <w:rFonts w:ascii="Garamond" w:hAnsi="Garamond"/>
          <w:bCs/>
          <w:sz w:val="22"/>
          <w:szCs w:val="22"/>
        </w:rPr>
      </w:pPr>
      <w:r w:rsidRPr="007C72D5">
        <w:rPr>
          <w:rFonts w:ascii="Garamond" w:hAnsi="Garamond"/>
          <w:bCs/>
          <w:sz w:val="22"/>
          <w:szCs w:val="22"/>
        </w:rPr>
        <w:t>Элемент &lt;podis:accuracyClassR&gt; содержит класс точности прибора учета по реактивной энергии. Текстовое поле, содержащее от 1 до 3 символов до десятичного разделителя и от 1 до 3 символов после десятичного разделителя. Является обязательным элементом в случае наличия для данной модификации прибора учета возможности измерения реактивной электроэнергии, в противном случае должен отсутствовать. В качестве десятичного разделителя должна быть использована точка. Допускается использовать только один десятичный разделитель. В случае отсутствия символов после десятичного разделителя он должен отсутствовать.</w:t>
      </w:r>
    </w:p>
    <w:p w14:paraId="20254A81" w14:textId="77777777" w:rsidR="00CE6209" w:rsidRPr="007C72D5" w:rsidRDefault="00CE6209" w:rsidP="00CE6209">
      <w:pPr>
        <w:spacing w:before="120" w:after="120"/>
        <w:ind w:firstLine="567"/>
        <w:jc w:val="both"/>
        <w:rPr>
          <w:rFonts w:ascii="Garamond" w:hAnsi="Garamond"/>
          <w:b/>
          <w:bCs/>
          <w:sz w:val="22"/>
          <w:szCs w:val="22"/>
        </w:rPr>
      </w:pPr>
      <w:r w:rsidRPr="007C72D5">
        <w:rPr>
          <w:rFonts w:ascii="Garamond" w:hAnsi="Garamond"/>
          <w:b/>
          <w:bCs/>
          <w:sz w:val="22"/>
          <w:szCs w:val="22"/>
        </w:rPr>
        <w:t>2.1.2.1.2.1.3.1.1.4.5. &lt;podis:regNumber&gt;</w:t>
      </w:r>
    </w:p>
    <w:p w14:paraId="51A7F67B" w14:textId="77777777" w:rsidR="00CE6209" w:rsidRPr="007C72D5" w:rsidRDefault="00CE6209" w:rsidP="00CE6209">
      <w:pPr>
        <w:spacing w:before="120" w:after="120"/>
        <w:ind w:firstLine="567"/>
        <w:jc w:val="both"/>
        <w:rPr>
          <w:rFonts w:ascii="Garamond" w:hAnsi="Garamond"/>
          <w:bCs/>
          <w:sz w:val="22"/>
          <w:szCs w:val="22"/>
        </w:rPr>
      </w:pPr>
      <w:r w:rsidRPr="007C72D5">
        <w:rPr>
          <w:rFonts w:ascii="Garamond" w:hAnsi="Garamond"/>
          <w:bCs/>
          <w:sz w:val="22"/>
          <w:szCs w:val="22"/>
        </w:rPr>
        <w:t>Элемент &lt;podis:regNumber&gt; содержит регистрационный номер прибора учета в Федеральном информационном фонде по обеспечению единства измерений (Госреестр). Текстовое поле длиной не более 20 символов. Является обязательным элементом.</w:t>
      </w:r>
    </w:p>
    <w:p w14:paraId="33A79F55" w14:textId="77777777" w:rsidR="00CE6209" w:rsidRPr="007C72D5" w:rsidRDefault="00CE6209" w:rsidP="00101F7C">
      <w:pPr>
        <w:pStyle w:val="ac"/>
        <w:numPr>
          <w:ilvl w:val="8"/>
          <w:numId w:val="104"/>
        </w:numPr>
        <w:spacing w:before="120" w:after="120"/>
        <w:ind w:left="1134" w:hanging="567"/>
        <w:jc w:val="both"/>
        <w:rPr>
          <w:rFonts w:ascii="Garamond" w:hAnsi="Garamond"/>
          <w:b/>
          <w:bCs/>
          <w:sz w:val="22"/>
          <w:szCs w:val="22"/>
        </w:rPr>
      </w:pPr>
      <w:r w:rsidRPr="007C72D5">
        <w:rPr>
          <w:rFonts w:ascii="Garamond" w:hAnsi="Garamond"/>
          <w:b/>
          <w:bCs/>
          <w:sz w:val="22"/>
          <w:szCs w:val="22"/>
        </w:rPr>
        <w:t>&lt;podis:rtu&gt;</w:t>
      </w:r>
    </w:p>
    <w:p w14:paraId="409840C4" w14:textId="77777777" w:rsidR="00CE6209" w:rsidRPr="007C72D5" w:rsidRDefault="00CE6209" w:rsidP="00CE6209">
      <w:pPr>
        <w:spacing w:before="120" w:after="120"/>
        <w:ind w:firstLine="567"/>
        <w:jc w:val="both"/>
        <w:rPr>
          <w:rFonts w:ascii="Garamond" w:hAnsi="Garamond"/>
          <w:bCs/>
          <w:sz w:val="22"/>
          <w:szCs w:val="22"/>
        </w:rPr>
      </w:pPr>
      <w:r w:rsidRPr="007C72D5">
        <w:rPr>
          <w:rFonts w:ascii="Garamond" w:hAnsi="Garamond"/>
          <w:bCs/>
          <w:sz w:val="22"/>
          <w:szCs w:val="22"/>
        </w:rPr>
        <w:t>Элемент &lt;podis:rtu&gt; содержит информацию об УСПД. Является обязательным элементом в случае выполнения УСПД функции преобразования результатов измерений с учетом коэффициентов трансформации измерительных трансформаторов, в ином случае должен отсутствовать. Допускается наличие не более двух элементов &lt;podis:rtu&gt; для одного элемента &lt;podis:endDevices&gt;.</w:t>
      </w:r>
    </w:p>
    <w:p w14:paraId="2BF98495" w14:textId="77BFC824" w:rsidR="00CE6209" w:rsidRPr="007C72D5" w:rsidRDefault="00CE6209" w:rsidP="00CE6209">
      <w:pPr>
        <w:spacing w:before="120" w:after="120"/>
        <w:ind w:firstLine="567"/>
        <w:jc w:val="both"/>
        <w:rPr>
          <w:rFonts w:ascii="Garamond" w:hAnsi="Garamond"/>
          <w:bCs/>
          <w:sz w:val="22"/>
          <w:szCs w:val="22"/>
        </w:rPr>
      </w:pPr>
      <w:r w:rsidRPr="007C72D5">
        <w:rPr>
          <w:rFonts w:ascii="Garamond" w:hAnsi="Garamond"/>
          <w:bCs/>
          <w:sz w:val="22"/>
          <w:szCs w:val="22"/>
        </w:rPr>
        <w:t>Дочерними элементами &lt;podis:rtu&gt; являются элементы &lt;podis:mRID&gt;, &lt;podis:lifeCycleDate&gt;,</w:t>
      </w:r>
      <w:r w:rsidR="009B5F03">
        <w:rPr>
          <w:rFonts w:ascii="Garamond" w:hAnsi="Garamond"/>
          <w:bCs/>
          <w:sz w:val="22"/>
          <w:szCs w:val="22"/>
        </w:rPr>
        <w:t xml:space="preserve"> </w:t>
      </w:r>
      <w:r w:rsidRPr="007C72D5">
        <w:rPr>
          <w:rFonts w:ascii="Garamond" w:hAnsi="Garamond"/>
          <w:bCs/>
          <w:sz w:val="22"/>
          <w:szCs w:val="22"/>
        </w:rPr>
        <w:t>&lt;podis:serialNumber&gt; и &lt;podis:rtuInfoLink&gt;. У элемента &lt;podis:rtu&gt; может быть только один дочерний элемент &lt;podis:mRID&gt;, &lt;podis:lifeCycleDate&gt;,</w:t>
      </w:r>
      <w:r w:rsidR="009B5F03">
        <w:rPr>
          <w:rFonts w:ascii="Garamond" w:hAnsi="Garamond"/>
          <w:bCs/>
          <w:sz w:val="22"/>
          <w:szCs w:val="22"/>
        </w:rPr>
        <w:t xml:space="preserve"> </w:t>
      </w:r>
      <w:r w:rsidRPr="007C72D5">
        <w:rPr>
          <w:rFonts w:ascii="Garamond" w:hAnsi="Garamond"/>
          <w:bCs/>
          <w:sz w:val="22"/>
          <w:szCs w:val="22"/>
        </w:rPr>
        <w:t>&lt;podis:serialNumber&gt; и &lt;podis:rtuInfoLink&gt;.</w:t>
      </w:r>
    </w:p>
    <w:p w14:paraId="1E6018C1" w14:textId="77777777" w:rsidR="00CE6209" w:rsidRPr="007C72D5" w:rsidRDefault="00B66834" w:rsidP="007C72D5">
      <w:pPr>
        <w:suppressAutoHyphens w:val="0"/>
        <w:spacing w:before="120" w:after="120"/>
        <w:ind w:left="1134" w:hanging="567"/>
        <w:jc w:val="both"/>
        <w:rPr>
          <w:rFonts w:ascii="Garamond" w:hAnsi="Garamond"/>
          <w:b/>
          <w:bCs/>
          <w:sz w:val="22"/>
          <w:szCs w:val="22"/>
        </w:rPr>
      </w:pPr>
      <w:r w:rsidRPr="007C72D5">
        <w:rPr>
          <w:rFonts w:ascii="Garamond" w:hAnsi="Garamond"/>
          <w:b/>
          <w:bCs/>
          <w:sz w:val="22"/>
          <w:szCs w:val="22"/>
        </w:rPr>
        <w:t xml:space="preserve">2.1.2.1.2.1.3.1.2.1. </w:t>
      </w:r>
      <w:r w:rsidR="00CE6209" w:rsidRPr="007C72D5">
        <w:rPr>
          <w:rFonts w:ascii="Garamond" w:hAnsi="Garamond"/>
          <w:b/>
          <w:bCs/>
          <w:sz w:val="22"/>
          <w:szCs w:val="22"/>
        </w:rPr>
        <w:t>&lt;podis:mRID&gt;</w:t>
      </w:r>
    </w:p>
    <w:p w14:paraId="67A268AC" w14:textId="26C844CF" w:rsidR="00CE6209" w:rsidRPr="007C72D5" w:rsidRDefault="00CE6209" w:rsidP="00CE6209">
      <w:pPr>
        <w:spacing w:before="120" w:after="120"/>
        <w:ind w:firstLine="567"/>
        <w:jc w:val="both"/>
        <w:rPr>
          <w:rFonts w:ascii="Garamond" w:hAnsi="Garamond"/>
          <w:bCs/>
          <w:sz w:val="22"/>
          <w:szCs w:val="22"/>
        </w:rPr>
      </w:pPr>
      <w:r w:rsidRPr="007C72D5">
        <w:rPr>
          <w:rFonts w:ascii="Garamond" w:hAnsi="Garamond"/>
          <w:bCs/>
          <w:sz w:val="22"/>
          <w:szCs w:val="22"/>
        </w:rPr>
        <w:t>Элемент &lt;podis:mRID&gt; содержит уникальный идентификатор УСПД в ИСУ. Является обязательным элементом в случае наличия в макете элемента &lt;podis:rtu&gt;. Представляет из себя UUID – Universal Unique Identifier, универсальный идентификатор информации, состоящий из 36 символов.</w:t>
      </w:r>
      <w:r w:rsidR="009B5F03">
        <w:rPr>
          <w:rFonts w:ascii="Garamond" w:hAnsi="Garamond"/>
          <w:bCs/>
          <w:sz w:val="22"/>
          <w:szCs w:val="22"/>
        </w:rPr>
        <w:t xml:space="preserve"> </w:t>
      </w:r>
      <w:r w:rsidRPr="007C72D5">
        <w:rPr>
          <w:rFonts w:ascii="Garamond" w:hAnsi="Garamond"/>
          <w:bCs/>
          <w:sz w:val="22"/>
          <w:szCs w:val="22"/>
        </w:rPr>
        <w:t>Генерируется при помощи основанного на именах алгоритма генерации, согласно ГОСТ Р ИСО/МЭК 9834-8-2011. При использовании основанного на именах алгоритма генерации согласно ГОСТ Р ИСО/МЭК 9834-8-2011 в качестве имени используется конкатенация следующих строк:</w:t>
      </w:r>
    </w:p>
    <w:p w14:paraId="5C96700A" w14:textId="77777777" w:rsidR="00CE6209" w:rsidRPr="007C72D5" w:rsidRDefault="00CE6209" w:rsidP="00CE6209">
      <w:pPr>
        <w:spacing w:before="120" w:after="120"/>
        <w:ind w:firstLine="567"/>
        <w:jc w:val="both"/>
        <w:rPr>
          <w:rFonts w:ascii="Garamond" w:hAnsi="Garamond"/>
          <w:bCs/>
          <w:sz w:val="22"/>
          <w:szCs w:val="22"/>
        </w:rPr>
      </w:pPr>
      <w:r w:rsidRPr="007C72D5">
        <w:rPr>
          <w:rFonts w:ascii="Garamond" w:hAnsi="Garamond"/>
          <w:bCs/>
          <w:sz w:val="22"/>
          <w:szCs w:val="22"/>
        </w:rPr>
        <w:t>–</w:t>
      </w:r>
      <w:r w:rsidRPr="007C72D5">
        <w:rPr>
          <w:rFonts w:ascii="Garamond" w:hAnsi="Garamond"/>
          <w:bCs/>
          <w:sz w:val="22"/>
          <w:szCs w:val="22"/>
        </w:rPr>
        <w:tab/>
        <w:t xml:space="preserve"> идентификатор объекта в ИСУ (программном комплексе ИСУ, в котором ведется учет оборудования ИСУ);</w:t>
      </w:r>
    </w:p>
    <w:p w14:paraId="12551C82" w14:textId="39103E58" w:rsidR="00CE6209" w:rsidRPr="007C72D5" w:rsidRDefault="00CE6209" w:rsidP="00CE6209">
      <w:pPr>
        <w:tabs>
          <w:tab w:val="left" w:pos="851"/>
        </w:tabs>
        <w:spacing w:before="120" w:after="120"/>
        <w:ind w:firstLine="567"/>
        <w:jc w:val="both"/>
        <w:rPr>
          <w:rFonts w:ascii="Garamond" w:hAnsi="Garamond"/>
          <w:bCs/>
          <w:sz w:val="22"/>
          <w:szCs w:val="22"/>
        </w:rPr>
      </w:pPr>
      <w:r w:rsidRPr="007C72D5">
        <w:rPr>
          <w:rFonts w:ascii="Garamond" w:hAnsi="Garamond"/>
          <w:bCs/>
          <w:sz w:val="22"/>
          <w:szCs w:val="22"/>
        </w:rPr>
        <w:t xml:space="preserve">– </w:t>
      </w:r>
      <w:r w:rsidRPr="007C72D5">
        <w:rPr>
          <w:rFonts w:ascii="Garamond" w:hAnsi="Garamond"/>
          <w:bCs/>
          <w:sz w:val="22"/>
          <w:szCs w:val="22"/>
        </w:rPr>
        <w:tab/>
        <w:t>мнемоника сущности ПОДИС</w:t>
      </w:r>
      <w:r w:rsidR="009B5F03">
        <w:rPr>
          <w:rFonts w:ascii="Garamond" w:hAnsi="Garamond"/>
          <w:bCs/>
          <w:sz w:val="22"/>
          <w:szCs w:val="22"/>
        </w:rPr>
        <w:t xml:space="preserve"> – </w:t>
      </w:r>
      <w:r w:rsidRPr="007C72D5">
        <w:rPr>
          <w:rFonts w:ascii="Garamond" w:hAnsi="Garamond"/>
          <w:bCs/>
          <w:sz w:val="22"/>
          <w:szCs w:val="22"/>
        </w:rPr>
        <w:t>"RTU";</w:t>
      </w:r>
    </w:p>
    <w:p w14:paraId="663357C7" w14:textId="3FB5D9F3" w:rsidR="00CE6209" w:rsidRPr="007C72D5" w:rsidRDefault="00CE6209" w:rsidP="00CE6209">
      <w:pPr>
        <w:spacing w:before="120" w:after="120"/>
        <w:ind w:firstLine="567"/>
        <w:jc w:val="both"/>
        <w:rPr>
          <w:rFonts w:ascii="Garamond" w:hAnsi="Garamond"/>
          <w:bCs/>
          <w:sz w:val="22"/>
          <w:szCs w:val="22"/>
        </w:rPr>
      </w:pPr>
      <w:r w:rsidRPr="007C72D5">
        <w:rPr>
          <w:rFonts w:ascii="Garamond" w:hAnsi="Garamond"/>
          <w:bCs/>
          <w:sz w:val="22"/>
          <w:szCs w:val="22"/>
        </w:rPr>
        <w:t>–</w:t>
      </w:r>
      <w:r w:rsidRPr="007C72D5">
        <w:rPr>
          <w:rFonts w:ascii="Garamond" w:hAnsi="Garamond"/>
          <w:bCs/>
          <w:sz w:val="22"/>
          <w:szCs w:val="22"/>
        </w:rPr>
        <w:tab/>
        <w:t xml:space="preserve"> идентификатор ИСУ (при отсутствии идентификатора используется полное наименование организации</w:t>
      </w:r>
      <w:r w:rsidR="009B5F03">
        <w:rPr>
          <w:rFonts w:ascii="Garamond" w:hAnsi="Garamond"/>
          <w:bCs/>
          <w:sz w:val="22"/>
          <w:szCs w:val="22"/>
        </w:rPr>
        <w:t xml:space="preserve"> – </w:t>
      </w:r>
      <w:r w:rsidRPr="007C72D5">
        <w:rPr>
          <w:rFonts w:ascii="Garamond" w:hAnsi="Garamond"/>
          <w:bCs/>
          <w:sz w:val="22"/>
          <w:szCs w:val="22"/>
        </w:rPr>
        <w:t>владельца ИСУ).</w:t>
      </w:r>
    </w:p>
    <w:p w14:paraId="5ABB621B" w14:textId="77777777" w:rsidR="00CE6209" w:rsidRPr="007C72D5" w:rsidRDefault="00B66834" w:rsidP="007C72D5">
      <w:pPr>
        <w:suppressAutoHyphens w:val="0"/>
        <w:spacing w:before="120" w:after="120"/>
        <w:ind w:left="1134" w:hanging="567"/>
        <w:jc w:val="both"/>
        <w:rPr>
          <w:rFonts w:ascii="Garamond" w:hAnsi="Garamond"/>
          <w:b/>
          <w:bCs/>
          <w:sz w:val="22"/>
          <w:szCs w:val="22"/>
        </w:rPr>
      </w:pPr>
      <w:r w:rsidRPr="007C72D5">
        <w:rPr>
          <w:rFonts w:ascii="Garamond" w:hAnsi="Garamond"/>
          <w:b/>
          <w:bCs/>
          <w:sz w:val="22"/>
          <w:szCs w:val="22"/>
        </w:rPr>
        <w:t xml:space="preserve">2.1.2.1.2.1.3.1.2.2. </w:t>
      </w:r>
      <w:r w:rsidR="00CE6209" w:rsidRPr="007C72D5">
        <w:rPr>
          <w:rFonts w:ascii="Garamond" w:hAnsi="Garamond"/>
          <w:b/>
          <w:bCs/>
          <w:sz w:val="22"/>
          <w:szCs w:val="22"/>
        </w:rPr>
        <w:t>&lt;podis:lifeCycleDate&gt;</w:t>
      </w:r>
    </w:p>
    <w:p w14:paraId="61AF8677" w14:textId="77777777" w:rsidR="00CE6209" w:rsidRPr="007C72D5" w:rsidRDefault="00CE6209" w:rsidP="00CE6209">
      <w:pPr>
        <w:spacing w:before="120" w:after="120"/>
        <w:ind w:firstLine="567"/>
        <w:jc w:val="both"/>
        <w:rPr>
          <w:rFonts w:ascii="Garamond" w:hAnsi="Garamond"/>
          <w:bCs/>
          <w:sz w:val="22"/>
          <w:szCs w:val="22"/>
        </w:rPr>
      </w:pPr>
      <w:r w:rsidRPr="007C72D5">
        <w:rPr>
          <w:rFonts w:ascii="Garamond" w:hAnsi="Garamond"/>
          <w:bCs/>
          <w:sz w:val="22"/>
          <w:szCs w:val="22"/>
        </w:rPr>
        <w:t>Элемент &lt;podis:lifeCycleDate&gt; содержит даты жизненного цикла УСПД. Является обязательным элементом в случае наличия в макете элемента &lt;podis:rtu&gt;.</w:t>
      </w:r>
    </w:p>
    <w:p w14:paraId="25C66936" w14:textId="77777777" w:rsidR="00CE6209" w:rsidRPr="007C72D5" w:rsidRDefault="00CE6209" w:rsidP="00CE6209">
      <w:pPr>
        <w:spacing w:before="120" w:after="120"/>
        <w:ind w:firstLine="567"/>
        <w:jc w:val="both"/>
        <w:rPr>
          <w:rFonts w:ascii="Garamond" w:hAnsi="Garamond"/>
          <w:bCs/>
          <w:sz w:val="22"/>
          <w:szCs w:val="22"/>
        </w:rPr>
      </w:pPr>
      <w:r w:rsidRPr="007C72D5">
        <w:rPr>
          <w:rFonts w:ascii="Garamond" w:hAnsi="Garamond"/>
          <w:bCs/>
          <w:sz w:val="22"/>
          <w:szCs w:val="22"/>
        </w:rPr>
        <w:t>Дочерним элементом &lt;podis:lifeCycleDate&gt; является элемент &lt;podis:nextDateValid&gt;. У элемента &lt;podis:lifeCycleDate&gt; может быть только один дочерний элемент &lt;podis:nextDateValid&gt;.</w:t>
      </w:r>
    </w:p>
    <w:p w14:paraId="47BEF843" w14:textId="77777777" w:rsidR="00CE6209" w:rsidRPr="007C72D5" w:rsidRDefault="00CE6209" w:rsidP="00CE6209">
      <w:pPr>
        <w:spacing w:before="120" w:after="120"/>
        <w:ind w:firstLine="567"/>
        <w:jc w:val="both"/>
        <w:rPr>
          <w:rFonts w:ascii="Garamond" w:hAnsi="Garamond"/>
          <w:b/>
          <w:bCs/>
          <w:sz w:val="22"/>
          <w:szCs w:val="22"/>
        </w:rPr>
      </w:pPr>
      <w:r w:rsidRPr="007C72D5">
        <w:rPr>
          <w:rFonts w:ascii="Garamond" w:hAnsi="Garamond"/>
          <w:b/>
          <w:bCs/>
          <w:sz w:val="22"/>
          <w:szCs w:val="22"/>
        </w:rPr>
        <w:t>2.1.2.1.2.1.3.1.2.2.1. &lt;podis:nextDateValid&gt;</w:t>
      </w:r>
    </w:p>
    <w:p w14:paraId="0446EC4C" w14:textId="77777777" w:rsidR="00CE6209" w:rsidRPr="007C72D5" w:rsidRDefault="00CE6209" w:rsidP="00CE6209">
      <w:pPr>
        <w:spacing w:before="120" w:after="120"/>
        <w:ind w:firstLine="567"/>
        <w:jc w:val="both"/>
        <w:rPr>
          <w:rFonts w:ascii="Garamond" w:hAnsi="Garamond"/>
          <w:bCs/>
          <w:sz w:val="22"/>
          <w:szCs w:val="22"/>
        </w:rPr>
      </w:pPr>
      <w:r w:rsidRPr="007C72D5">
        <w:rPr>
          <w:rFonts w:ascii="Garamond" w:hAnsi="Garamond"/>
          <w:bCs/>
          <w:sz w:val="22"/>
          <w:szCs w:val="22"/>
        </w:rPr>
        <w:t>Элемент &lt;podis:nextDateValid&gt; содержит дату очередной поверки, дата в формате «ГГГГ-ММ-ДД». Является обязательным элементом в случае наличия в макете элемента &lt;podis:rtu&gt;.</w:t>
      </w:r>
    </w:p>
    <w:p w14:paraId="2FE3DDCD" w14:textId="77777777" w:rsidR="00CE6209" w:rsidRPr="007C72D5" w:rsidRDefault="00B66834" w:rsidP="007C72D5">
      <w:pPr>
        <w:suppressAutoHyphens w:val="0"/>
        <w:spacing w:before="120" w:after="120"/>
        <w:ind w:left="1134" w:hanging="567"/>
        <w:jc w:val="both"/>
        <w:rPr>
          <w:rFonts w:ascii="Garamond" w:hAnsi="Garamond"/>
          <w:b/>
          <w:bCs/>
          <w:sz w:val="22"/>
          <w:szCs w:val="22"/>
        </w:rPr>
      </w:pPr>
      <w:r w:rsidRPr="007C72D5">
        <w:rPr>
          <w:rFonts w:ascii="Garamond" w:hAnsi="Garamond"/>
          <w:b/>
          <w:bCs/>
          <w:sz w:val="22"/>
          <w:szCs w:val="22"/>
        </w:rPr>
        <w:t xml:space="preserve">2.1.2.1.2.1.3.1.2.3. </w:t>
      </w:r>
      <w:r w:rsidR="00CE6209" w:rsidRPr="007C72D5">
        <w:rPr>
          <w:rFonts w:ascii="Garamond" w:hAnsi="Garamond"/>
          <w:b/>
          <w:bCs/>
          <w:sz w:val="22"/>
          <w:szCs w:val="22"/>
        </w:rPr>
        <w:t>&lt;podis:serialNumber&gt;</w:t>
      </w:r>
    </w:p>
    <w:p w14:paraId="53C0D22B" w14:textId="77777777" w:rsidR="00CE6209" w:rsidRPr="007C72D5" w:rsidRDefault="00CE6209" w:rsidP="00CE6209">
      <w:pPr>
        <w:spacing w:before="120" w:after="120"/>
        <w:ind w:firstLine="567"/>
        <w:jc w:val="both"/>
        <w:rPr>
          <w:rFonts w:ascii="Garamond" w:hAnsi="Garamond"/>
          <w:bCs/>
          <w:sz w:val="22"/>
          <w:szCs w:val="22"/>
        </w:rPr>
      </w:pPr>
      <w:r w:rsidRPr="007C72D5">
        <w:rPr>
          <w:rFonts w:ascii="Garamond" w:hAnsi="Garamond"/>
          <w:bCs/>
          <w:sz w:val="22"/>
          <w:szCs w:val="22"/>
        </w:rPr>
        <w:lastRenderedPageBreak/>
        <w:t>Элемент &lt;podis:serialNumber&gt; содержит заводской номер УСПД. Обязательный элемент (в случае наличия в макете элемента &lt;podis:rtu&gt;), текстовое поле длиной не более 250 символов.</w:t>
      </w:r>
    </w:p>
    <w:p w14:paraId="274BAD84" w14:textId="77777777" w:rsidR="00CE6209" w:rsidRPr="007C72D5" w:rsidRDefault="00B66834" w:rsidP="007C72D5">
      <w:pPr>
        <w:suppressAutoHyphens w:val="0"/>
        <w:spacing w:before="120" w:after="120"/>
        <w:ind w:left="1134" w:hanging="567"/>
        <w:jc w:val="both"/>
        <w:rPr>
          <w:rFonts w:ascii="Garamond" w:hAnsi="Garamond"/>
          <w:b/>
          <w:bCs/>
          <w:sz w:val="22"/>
          <w:szCs w:val="22"/>
        </w:rPr>
      </w:pPr>
      <w:r w:rsidRPr="007C72D5">
        <w:rPr>
          <w:rFonts w:ascii="Garamond" w:hAnsi="Garamond"/>
          <w:b/>
          <w:bCs/>
          <w:sz w:val="22"/>
          <w:szCs w:val="22"/>
        </w:rPr>
        <w:t xml:space="preserve">2.1.2.1.2.1.3.1.2.4. </w:t>
      </w:r>
      <w:r w:rsidR="00CE6209" w:rsidRPr="007C72D5">
        <w:rPr>
          <w:rFonts w:ascii="Garamond" w:hAnsi="Garamond"/>
          <w:b/>
          <w:bCs/>
          <w:sz w:val="22"/>
          <w:szCs w:val="22"/>
        </w:rPr>
        <w:t>&lt;podis:rtuInfoLink&gt;</w:t>
      </w:r>
    </w:p>
    <w:p w14:paraId="1D4C5807" w14:textId="77777777" w:rsidR="00CE6209" w:rsidRPr="007C72D5" w:rsidRDefault="00CE6209" w:rsidP="00CE6209">
      <w:pPr>
        <w:spacing w:before="120" w:after="120"/>
        <w:ind w:firstLine="567"/>
        <w:jc w:val="both"/>
        <w:rPr>
          <w:rFonts w:ascii="Garamond" w:hAnsi="Garamond"/>
          <w:bCs/>
          <w:sz w:val="22"/>
          <w:szCs w:val="22"/>
        </w:rPr>
      </w:pPr>
      <w:r w:rsidRPr="007C72D5">
        <w:rPr>
          <w:rFonts w:ascii="Garamond" w:hAnsi="Garamond"/>
          <w:bCs/>
          <w:sz w:val="22"/>
          <w:szCs w:val="22"/>
        </w:rPr>
        <w:t xml:space="preserve">Элемент &lt;podis:rtuInfoLink&gt; содержит описание типа УСПД. Является обязательным элементом в случае наличия в макете элемента &lt;podis:rtu&gt;. </w:t>
      </w:r>
    </w:p>
    <w:p w14:paraId="14D9CB6E" w14:textId="77777777" w:rsidR="00CE6209" w:rsidRPr="007C72D5" w:rsidRDefault="00CE6209" w:rsidP="00CE6209">
      <w:pPr>
        <w:spacing w:before="120" w:after="120"/>
        <w:ind w:firstLine="567"/>
        <w:jc w:val="both"/>
        <w:rPr>
          <w:rFonts w:ascii="Garamond" w:hAnsi="Garamond"/>
          <w:bCs/>
          <w:sz w:val="22"/>
          <w:szCs w:val="22"/>
        </w:rPr>
      </w:pPr>
      <w:r w:rsidRPr="007C72D5">
        <w:rPr>
          <w:rFonts w:ascii="Garamond" w:hAnsi="Garamond"/>
          <w:bCs/>
          <w:sz w:val="22"/>
          <w:szCs w:val="22"/>
        </w:rPr>
        <w:t>Дочерними элементами &lt;podis:rtuInfoLink&gt; являются элементы &lt;podis:mRID&gt;, &lt;podis:modelNumber&gt; и &lt;podis:regNumber&gt;. У элемента &lt;podis:rtuInfoLink&gt; может быть только один дочерний элемент &lt;podis:mRID&gt;, &lt;podis:modelNumber&gt; и &lt;podis:regNumber&gt;.</w:t>
      </w:r>
    </w:p>
    <w:p w14:paraId="025DE7FF" w14:textId="77777777" w:rsidR="00CE6209" w:rsidRPr="007C72D5" w:rsidRDefault="00CE6209" w:rsidP="00CE6209">
      <w:pPr>
        <w:spacing w:before="120" w:after="120"/>
        <w:ind w:firstLine="567"/>
        <w:jc w:val="both"/>
        <w:rPr>
          <w:rFonts w:ascii="Garamond" w:hAnsi="Garamond"/>
          <w:b/>
          <w:bCs/>
          <w:sz w:val="22"/>
          <w:szCs w:val="22"/>
        </w:rPr>
      </w:pPr>
      <w:r w:rsidRPr="007C72D5">
        <w:rPr>
          <w:rFonts w:ascii="Garamond" w:hAnsi="Garamond"/>
          <w:b/>
          <w:bCs/>
          <w:sz w:val="22"/>
          <w:szCs w:val="22"/>
        </w:rPr>
        <w:t>2.1.2.1.2.1.3.1.2.4.1. &lt;podis:mRID&gt;</w:t>
      </w:r>
    </w:p>
    <w:p w14:paraId="6799DB7B" w14:textId="7F78E82E" w:rsidR="00CE6209" w:rsidRPr="007C72D5" w:rsidRDefault="00CE6209" w:rsidP="00CE6209">
      <w:pPr>
        <w:spacing w:before="120" w:after="120"/>
        <w:ind w:firstLine="567"/>
        <w:jc w:val="both"/>
        <w:rPr>
          <w:rFonts w:ascii="Garamond" w:hAnsi="Garamond"/>
          <w:bCs/>
          <w:sz w:val="22"/>
          <w:szCs w:val="22"/>
        </w:rPr>
      </w:pPr>
      <w:r w:rsidRPr="007C72D5">
        <w:rPr>
          <w:rFonts w:ascii="Garamond" w:hAnsi="Garamond"/>
          <w:bCs/>
          <w:sz w:val="22"/>
          <w:szCs w:val="22"/>
        </w:rPr>
        <w:t>Элемент &lt;podis:mRID&gt; содержит уникальный идентификатор типа УСПД в ИСУ. Является обязательным элементом в случае наличия в макете элемента &lt;podis:rtu&gt;. Представляет из себя UUID – Universal Unique Identifier, универсальный идентификатор информации, состоящий из 36 символов.</w:t>
      </w:r>
      <w:r w:rsidR="009B5F03">
        <w:rPr>
          <w:rFonts w:ascii="Garamond" w:hAnsi="Garamond"/>
          <w:bCs/>
          <w:sz w:val="22"/>
          <w:szCs w:val="22"/>
        </w:rPr>
        <w:t xml:space="preserve"> </w:t>
      </w:r>
      <w:r w:rsidRPr="007C72D5">
        <w:rPr>
          <w:rFonts w:ascii="Garamond" w:hAnsi="Garamond"/>
          <w:bCs/>
          <w:sz w:val="22"/>
          <w:szCs w:val="22"/>
        </w:rPr>
        <w:t>Генерируется при помощи основанного на именах алгоритма генерации, согласно ГОСТ Р ИСО/МЭК 9834-8-2011. При использовании основанного на именах алгоритма генерации согласно ГОСТ Р ИСО/МЭК 9834-8-2011 в качестве имени используется конкатенация следующих строк:</w:t>
      </w:r>
    </w:p>
    <w:p w14:paraId="1485E038" w14:textId="77777777" w:rsidR="00CE6209" w:rsidRPr="007C72D5" w:rsidRDefault="00CE6209" w:rsidP="00CE6209">
      <w:pPr>
        <w:spacing w:before="120" w:after="120"/>
        <w:ind w:firstLine="567"/>
        <w:jc w:val="both"/>
        <w:rPr>
          <w:rFonts w:ascii="Garamond" w:hAnsi="Garamond"/>
          <w:bCs/>
          <w:sz w:val="22"/>
          <w:szCs w:val="22"/>
        </w:rPr>
      </w:pPr>
      <w:r w:rsidRPr="007C72D5">
        <w:rPr>
          <w:rFonts w:ascii="Garamond" w:hAnsi="Garamond"/>
          <w:bCs/>
          <w:sz w:val="22"/>
          <w:szCs w:val="22"/>
        </w:rPr>
        <w:t>–</w:t>
      </w:r>
      <w:r w:rsidRPr="007C72D5">
        <w:rPr>
          <w:rFonts w:ascii="Garamond" w:hAnsi="Garamond"/>
          <w:bCs/>
          <w:sz w:val="22"/>
          <w:szCs w:val="22"/>
        </w:rPr>
        <w:tab/>
        <w:t xml:space="preserve"> идентификатор объекта в ИСУ (программном комплексе ИСУ, в котором ведется учет оборудования ИСУ);</w:t>
      </w:r>
    </w:p>
    <w:p w14:paraId="6EF7895A" w14:textId="6E9325C3" w:rsidR="00CE6209" w:rsidRPr="007C72D5" w:rsidRDefault="00CE6209" w:rsidP="00CE6209">
      <w:pPr>
        <w:spacing w:before="120" w:after="120"/>
        <w:ind w:firstLine="567"/>
        <w:jc w:val="both"/>
        <w:rPr>
          <w:rFonts w:ascii="Garamond" w:hAnsi="Garamond"/>
          <w:bCs/>
          <w:sz w:val="22"/>
          <w:szCs w:val="22"/>
        </w:rPr>
      </w:pPr>
      <w:r w:rsidRPr="007C72D5">
        <w:rPr>
          <w:rFonts w:ascii="Garamond" w:hAnsi="Garamond"/>
          <w:bCs/>
          <w:sz w:val="22"/>
          <w:szCs w:val="22"/>
        </w:rPr>
        <w:t>– мнемоника сущности ПОДИС</w:t>
      </w:r>
      <w:r w:rsidR="009B5F03">
        <w:rPr>
          <w:rFonts w:ascii="Garamond" w:hAnsi="Garamond"/>
          <w:bCs/>
          <w:sz w:val="22"/>
          <w:szCs w:val="22"/>
        </w:rPr>
        <w:t xml:space="preserve"> – </w:t>
      </w:r>
      <w:r w:rsidRPr="007C72D5">
        <w:rPr>
          <w:rFonts w:ascii="Garamond" w:hAnsi="Garamond"/>
          <w:bCs/>
          <w:sz w:val="22"/>
          <w:szCs w:val="22"/>
        </w:rPr>
        <w:t>"RTUInfo";</w:t>
      </w:r>
    </w:p>
    <w:p w14:paraId="295D26B3" w14:textId="0AD8F2C8" w:rsidR="00CE6209" w:rsidRPr="007C72D5" w:rsidRDefault="00CE6209" w:rsidP="00CE6209">
      <w:pPr>
        <w:spacing w:before="120" w:after="120"/>
        <w:ind w:firstLine="567"/>
        <w:jc w:val="both"/>
        <w:rPr>
          <w:rFonts w:ascii="Garamond" w:hAnsi="Garamond"/>
          <w:bCs/>
          <w:sz w:val="22"/>
          <w:szCs w:val="22"/>
        </w:rPr>
      </w:pPr>
      <w:r w:rsidRPr="007C72D5">
        <w:rPr>
          <w:rFonts w:ascii="Garamond" w:hAnsi="Garamond"/>
          <w:bCs/>
          <w:sz w:val="22"/>
          <w:szCs w:val="22"/>
        </w:rPr>
        <w:t>–</w:t>
      </w:r>
      <w:r w:rsidRPr="007C72D5">
        <w:rPr>
          <w:rFonts w:ascii="Garamond" w:hAnsi="Garamond"/>
          <w:bCs/>
          <w:sz w:val="22"/>
          <w:szCs w:val="22"/>
        </w:rPr>
        <w:tab/>
        <w:t xml:space="preserve"> идентификатор ИСУ (при отсутствии идентификатора используется полное наименование организации</w:t>
      </w:r>
      <w:r w:rsidR="009B5F03">
        <w:rPr>
          <w:rFonts w:ascii="Garamond" w:hAnsi="Garamond"/>
          <w:bCs/>
          <w:sz w:val="22"/>
          <w:szCs w:val="22"/>
        </w:rPr>
        <w:t xml:space="preserve"> – </w:t>
      </w:r>
      <w:r w:rsidRPr="007C72D5">
        <w:rPr>
          <w:rFonts w:ascii="Garamond" w:hAnsi="Garamond"/>
          <w:bCs/>
          <w:sz w:val="22"/>
          <w:szCs w:val="22"/>
        </w:rPr>
        <w:t>владельца ИСУ).</w:t>
      </w:r>
    </w:p>
    <w:p w14:paraId="75A2752B" w14:textId="77777777" w:rsidR="00CE6209" w:rsidRPr="007C72D5" w:rsidRDefault="00CE6209" w:rsidP="00CE6209">
      <w:pPr>
        <w:spacing w:before="120" w:after="120"/>
        <w:ind w:firstLine="567"/>
        <w:jc w:val="both"/>
        <w:rPr>
          <w:rFonts w:ascii="Garamond" w:hAnsi="Garamond"/>
          <w:b/>
          <w:bCs/>
          <w:sz w:val="22"/>
          <w:szCs w:val="22"/>
        </w:rPr>
      </w:pPr>
      <w:r w:rsidRPr="007C72D5">
        <w:rPr>
          <w:rFonts w:ascii="Garamond" w:hAnsi="Garamond"/>
          <w:b/>
          <w:bCs/>
          <w:sz w:val="22"/>
          <w:szCs w:val="22"/>
        </w:rPr>
        <w:t>2.1.2.1.2.1.3.1.2.4.2. &lt;podis:modelNumber&gt;</w:t>
      </w:r>
    </w:p>
    <w:p w14:paraId="7475F225" w14:textId="77777777" w:rsidR="00CE6209" w:rsidRPr="007C72D5" w:rsidRDefault="00CE6209" w:rsidP="00CE6209">
      <w:pPr>
        <w:spacing w:before="120" w:after="120"/>
        <w:ind w:firstLine="567"/>
        <w:jc w:val="both"/>
        <w:rPr>
          <w:rFonts w:ascii="Garamond" w:hAnsi="Garamond"/>
          <w:bCs/>
          <w:sz w:val="22"/>
          <w:szCs w:val="22"/>
        </w:rPr>
      </w:pPr>
      <w:r w:rsidRPr="007C72D5">
        <w:rPr>
          <w:rFonts w:ascii="Garamond" w:hAnsi="Garamond"/>
          <w:bCs/>
          <w:sz w:val="22"/>
          <w:szCs w:val="22"/>
        </w:rPr>
        <w:t>Элемент &lt;podis:modelNumber&gt; содержит тип УСПД. Тип должен быть приведен согласно данным, внесенным в Федеральный информационный фонд по обеспечению единства измерений. Текстовое поле длиной не более 80 символов. Является обязательным элементом в случае наличия в макете элемента &lt;podis:rtu&gt;.</w:t>
      </w:r>
    </w:p>
    <w:p w14:paraId="6BD77BA3" w14:textId="77777777" w:rsidR="00CE6209" w:rsidRPr="007C72D5" w:rsidRDefault="00CE6209" w:rsidP="00CE6209">
      <w:pPr>
        <w:spacing w:before="120" w:after="120"/>
        <w:ind w:firstLine="567"/>
        <w:jc w:val="both"/>
        <w:rPr>
          <w:rFonts w:ascii="Garamond" w:hAnsi="Garamond"/>
          <w:b/>
          <w:bCs/>
          <w:sz w:val="22"/>
          <w:szCs w:val="22"/>
        </w:rPr>
      </w:pPr>
      <w:r w:rsidRPr="007C72D5">
        <w:rPr>
          <w:rFonts w:ascii="Garamond" w:hAnsi="Garamond"/>
          <w:b/>
          <w:bCs/>
          <w:sz w:val="22"/>
          <w:szCs w:val="22"/>
        </w:rPr>
        <w:t>2.1.2.1.2.1.3.1.2.4.3. &lt;podis:regNumber&gt;</w:t>
      </w:r>
    </w:p>
    <w:p w14:paraId="44AF0258" w14:textId="77777777" w:rsidR="00CE6209" w:rsidRPr="007C72D5" w:rsidRDefault="00CE6209" w:rsidP="00CE6209">
      <w:pPr>
        <w:spacing w:before="120" w:after="120"/>
        <w:ind w:firstLine="567"/>
        <w:jc w:val="both"/>
        <w:rPr>
          <w:rFonts w:ascii="Garamond" w:hAnsi="Garamond"/>
          <w:bCs/>
          <w:sz w:val="22"/>
          <w:szCs w:val="22"/>
        </w:rPr>
      </w:pPr>
      <w:r w:rsidRPr="007C72D5">
        <w:rPr>
          <w:rFonts w:ascii="Garamond" w:hAnsi="Garamond"/>
          <w:bCs/>
          <w:sz w:val="22"/>
          <w:szCs w:val="22"/>
        </w:rPr>
        <w:t>Элемент &lt;podis:regNumber&gt; содержит регистрационный номер УСПД в Федеральном информационном фонде по обеспечению единства измерений (Госреестр). Текстовое поле длиной не более 20 символов. Является обязательным элементом в случае наличия в макете элемента &lt;podis:rtu&gt;.</w:t>
      </w:r>
    </w:p>
    <w:p w14:paraId="08F9B3A0" w14:textId="77777777" w:rsidR="00CE6209" w:rsidRPr="007C72D5" w:rsidRDefault="00CE6209" w:rsidP="00101F7C">
      <w:pPr>
        <w:pStyle w:val="ac"/>
        <w:numPr>
          <w:ilvl w:val="7"/>
          <w:numId w:val="104"/>
        </w:numPr>
        <w:spacing w:before="120" w:after="120"/>
        <w:ind w:left="1134" w:hanging="567"/>
        <w:jc w:val="both"/>
        <w:rPr>
          <w:rFonts w:ascii="Garamond" w:hAnsi="Garamond"/>
          <w:b/>
          <w:bCs/>
          <w:sz w:val="22"/>
          <w:szCs w:val="22"/>
        </w:rPr>
      </w:pPr>
      <w:r w:rsidRPr="007C72D5">
        <w:rPr>
          <w:rFonts w:ascii="Garamond" w:hAnsi="Garamond"/>
          <w:b/>
          <w:bCs/>
          <w:sz w:val="22"/>
          <w:szCs w:val="22"/>
        </w:rPr>
        <w:t>&lt;podis:equipments&gt;</w:t>
      </w:r>
    </w:p>
    <w:p w14:paraId="6E6CC9CE" w14:textId="77777777" w:rsidR="00CE6209" w:rsidRPr="007C72D5" w:rsidRDefault="00CE6209" w:rsidP="00CE6209">
      <w:pPr>
        <w:spacing w:before="120" w:after="120"/>
        <w:ind w:firstLine="567"/>
        <w:jc w:val="both"/>
        <w:rPr>
          <w:rFonts w:ascii="Garamond" w:hAnsi="Garamond"/>
          <w:bCs/>
          <w:sz w:val="22"/>
          <w:szCs w:val="22"/>
        </w:rPr>
      </w:pPr>
      <w:r w:rsidRPr="007C72D5">
        <w:rPr>
          <w:rFonts w:ascii="Garamond" w:hAnsi="Garamond"/>
          <w:bCs/>
          <w:sz w:val="22"/>
          <w:szCs w:val="22"/>
        </w:rPr>
        <w:t>Элемент &lt;podis:equipments&gt; содержит информацию об измерительных трансформаторах тока и напряжения точки измерений. Является обязательным элементом в случае наличия трансформаторов тока и (или) трансформаторов напряжения, в противном случае должен отсутствовать.</w:t>
      </w:r>
    </w:p>
    <w:p w14:paraId="5E86C504" w14:textId="77777777" w:rsidR="00CE6209" w:rsidRPr="00FA57FB" w:rsidRDefault="00CE6209" w:rsidP="00CE6209">
      <w:pPr>
        <w:spacing w:before="120" w:after="120"/>
        <w:ind w:firstLine="567"/>
        <w:jc w:val="both"/>
        <w:rPr>
          <w:rFonts w:ascii="Garamond" w:hAnsi="Garamond"/>
          <w:sz w:val="22"/>
          <w:szCs w:val="22"/>
          <w:lang w:val="en-US"/>
        </w:rPr>
      </w:pPr>
      <w:r w:rsidRPr="007C72D5">
        <w:rPr>
          <w:rFonts w:ascii="Garamond" w:hAnsi="Garamond"/>
          <w:bCs/>
          <w:sz w:val="22"/>
          <w:szCs w:val="22"/>
        </w:rPr>
        <w:t>Дочерними</w:t>
      </w:r>
      <w:r w:rsidRPr="00FA57FB">
        <w:rPr>
          <w:rFonts w:ascii="Garamond" w:hAnsi="Garamond"/>
          <w:sz w:val="22"/>
          <w:szCs w:val="22"/>
          <w:lang w:val="en-US"/>
        </w:rPr>
        <w:t xml:space="preserve"> </w:t>
      </w:r>
      <w:r w:rsidRPr="007C72D5">
        <w:rPr>
          <w:rFonts w:ascii="Garamond" w:hAnsi="Garamond"/>
          <w:bCs/>
          <w:sz w:val="22"/>
          <w:szCs w:val="22"/>
        </w:rPr>
        <w:t>элементами</w:t>
      </w:r>
      <w:r w:rsidRPr="00FA57FB">
        <w:rPr>
          <w:rFonts w:ascii="Garamond" w:hAnsi="Garamond"/>
          <w:sz w:val="22"/>
          <w:szCs w:val="22"/>
          <w:lang w:val="en-US"/>
        </w:rPr>
        <w:t xml:space="preserve"> &lt;</w:t>
      </w:r>
      <w:r w:rsidRPr="007C72D5">
        <w:rPr>
          <w:rFonts w:ascii="Garamond" w:hAnsi="Garamond"/>
          <w:bCs/>
          <w:sz w:val="22"/>
          <w:szCs w:val="22"/>
          <w:lang w:val="en-US"/>
        </w:rPr>
        <w:t>podis</w:t>
      </w:r>
      <w:r w:rsidRPr="00FA57FB">
        <w:rPr>
          <w:rFonts w:ascii="Garamond" w:hAnsi="Garamond"/>
          <w:sz w:val="22"/>
          <w:szCs w:val="22"/>
          <w:lang w:val="en-US"/>
        </w:rPr>
        <w:t>:</w:t>
      </w:r>
      <w:r w:rsidRPr="007C72D5">
        <w:rPr>
          <w:rFonts w:ascii="Garamond" w:hAnsi="Garamond"/>
          <w:bCs/>
          <w:sz w:val="22"/>
          <w:szCs w:val="22"/>
          <w:lang w:val="en-US"/>
        </w:rPr>
        <w:t>equipments</w:t>
      </w:r>
      <w:r w:rsidRPr="00FA57FB">
        <w:rPr>
          <w:rFonts w:ascii="Garamond" w:hAnsi="Garamond"/>
          <w:sz w:val="22"/>
          <w:szCs w:val="22"/>
          <w:lang w:val="en-US"/>
        </w:rPr>
        <w:t xml:space="preserve">&gt; </w:t>
      </w:r>
      <w:r w:rsidRPr="007C72D5">
        <w:rPr>
          <w:rFonts w:ascii="Garamond" w:hAnsi="Garamond"/>
          <w:bCs/>
          <w:sz w:val="22"/>
          <w:szCs w:val="22"/>
        </w:rPr>
        <w:t>являются</w:t>
      </w:r>
      <w:r w:rsidRPr="00FA57FB">
        <w:rPr>
          <w:rFonts w:ascii="Garamond" w:hAnsi="Garamond"/>
          <w:sz w:val="22"/>
          <w:szCs w:val="22"/>
          <w:lang w:val="en-US"/>
        </w:rPr>
        <w:t xml:space="preserve"> </w:t>
      </w:r>
      <w:r w:rsidRPr="007C72D5">
        <w:rPr>
          <w:rFonts w:ascii="Garamond" w:hAnsi="Garamond"/>
          <w:bCs/>
          <w:sz w:val="22"/>
          <w:szCs w:val="22"/>
        </w:rPr>
        <w:t>элементы</w:t>
      </w:r>
      <w:r w:rsidRPr="00FA57FB">
        <w:rPr>
          <w:rFonts w:ascii="Garamond" w:hAnsi="Garamond"/>
          <w:sz w:val="22"/>
          <w:szCs w:val="22"/>
          <w:lang w:val="en-US"/>
        </w:rPr>
        <w:t xml:space="preserve"> &lt;</w:t>
      </w:r>
      <w:r w:rsidRPr="007C72D5">
        <w:rPr>
          <w:rFonts w:ascii="Garamond" w:hAnsi="Garamond"/>
          <w:bCs/>
          <w:sz w:val="22"/>
          <w:szCs w:val="22"/>
          <w:lang w:val="en-US"/>
        </w:rPr>
        <w:t>podis</w:t>
      </w:r>
      <w:r w:rsidRPr="00FA57FB">
        <w:rPr>
          <w:rFonts w:ascii="Garamond" w:hAnsi="Garamond"/>
          <w:sz w:val="22"/>
          <w:szCs w:val="22"/>
          <w:lang w:val="en-US"/>
        </w:rPr>
        <w:t>:</w:t>
      </w:r>
      <w:r w:rsidRPr="007C72D5">
        <w:rPr>
          <w:rFonts w:ascii="Garamond" w:hAnsi="Garamond"/>
          <w:bCs/>
          <w:sz w:val="22"/>
          <w:szCs w:val="22"/>
          <w:lang w:val="en-US"/>
        </w:rPr>
        <w:t>currentTransformer</w:t>
      </w:r>
      <w:r w:rsidRPr="00FA57FB">
        <w:rPr>
          <w:rFonts w:ascii="Garamond" w:hAnsi="Garamond"/>
          <w:sz w:val="22"/>
          <w:szCs w:val="22"/>
          <w:lang w:val="en-US"/>
        </w:rPr>
        <w:t xml:space="preserve">&gt; </w:t>
      </w:r>
      <w:r w:rsidRPr="007C72D5">
        <w:rPr>
          <w:rFonts w:ascii="Garamond" w:hAnsi="Garamond"/>
          <w:bCs/>
          <w:sz w:val="22"/>
          <w:szCs w:val="22"/>
        </w:rPr>
        <w:t>и</w:t>
      </w:r>
      <w:r w:rsidRPr="00FA57FB">
        <w:rPr>
          <w:rFonts w:ascii="Garamond" w:hAnsi="Garamond"/>
          <w:sz w:val="22"/>
          <w:szCs w:val="22"/>
          <w:lang w:val="en-US"/>
        </w:rPr>
        <w:t xml:space="preserve"> &lt;</w:t>
      </w:r>
      <w:r w:rsidRPr="007C72D5">
        <w:rPr>
          <w:rFonts w:ascii="Garamond" w:hAnsi="Garamond"/>
          <w:bCs/>
          <w:sz w:val="22"/>
          <w:szCs w:val="22"/>
          <w:lang w:val="en-US"/>
        </w:rPr>
        <w:t>podis</w:t>
      </w:r>
      <w:r w:rsidRPr="00FA57FB">
        <w:rPr>
          <w:rFonts w:ascii="Garamond" w:hAnsi="Garamond"/>
          <w:sz w:val="22"/>
          <w:szCs w:val="22"/>
          <w:lang w:val="en-US"/>
        </w:rPr>
        <w:t>:</w:t>
      </w:r>
      <w:r w:rsidRPr="007C72D5">
        <w:rPr>
          <w:rFonts w:ascii="Garamond" w:hAnsi="Garamond"/>
          <w:bCs/>
          <w:sz w:val="22"/>
          <w:szCs w:val="22"/>
          <w:lang w:val="en-US"/>
        </w:rPr>
        <w:t>potentialTransformer</w:t>
      </w:r>
      <w:r w:rsidRPr="00FA57FB">
        <w:rPr>
          <w:rFonts w:ascii="Garamond" w:hAnsi="Garamond"/>
          <w:sz w:val="22"/>
          <w:szCs w:val="22"/>
          <w:lang w:val="en-US"/>
        </w:rPr>
        <w:t xml:space="preserve">&gt;. </w:t>
      </w:r>
      <w:r w:rsidRPr="007C72D5">
        <w:rPr>
          <w:rFonts w:ascii="Garamond" w:hAnsi="Garamond"/>
          <w:bCs/>
          <w:sz w:val="22"/>
          <w:szCs w:val="22"/>
        </w:rPr>
        <w:t>У</w:t>
      </w:r>
      <w:r w:rsidRPr="00FA57FB">
        <w:rPr>
          <w:rFonts w:ascii="Garamond" w:hAnsi="Garamond"/>
          <w:sz w:val="22"/>
          <w:szCs w:val="22"/>
          <w:lang w:val="en-US"/>
        </w:rPr>
        <w:t xml:space="preserve"> </w:t>
      </w:r>
      <w:r w:rsidRPr="007C72D5">
        <w:rPr>
          <w:rFonts w:ascii="Garamond" w:hAnsi="Garamond"/>
          <w:bCs/>
          <w:sz w:val="22"/>
          <w:szCs w:val="22"/>
        </w:rPr>
        <w:t>элемента</w:t>
      </w:r>
      <w:r w:rsidRPr="00FA57FB">
        <w:rPr>
          <w:rFonts w:ascii="Garamond" w:hAnsi="Garamond"/>
          <w:sz w:val="22"/>
          <w:szCs w:val="22"/>
          <w:lang w:val="en-US"/>
        </w:rPr>
        <w:t xml:space="preserve"> &lt;</w:t>
      </w:r>
      <w:r w:rsidRPr="007C72D5">
        <w:rPr>
          <w:rFonts w:ascii="Garamond" w:hAnsi="Garamond"/>
          <w:bCs/>
          <w:sz w:val="22"/>
          <w:szCs w:val="22"/>
          <w:lang w:val="en-US"/>
        </w:rPr>
        <w:t>podis</w:t>
      </w:r>
      <w:r w:rsidRPr="00FA57FB">
        <w:rPr>
          <w:rFonts w:ascii="Garamond" w:hAnsi="Garamond"/>
          <w:sz w:val="22"/>
          <w:szCs w:val="22"/>
          <w:lang w:val="en-US"/>
        </w:rPr>
        <w:t>:</w:t>
      </w:r>
      <w:r w:rsidRPr="007C72D5">
        <w:rPr>
          <w:rFonts w:ascii="Garamond" w:hAnsi="Garamond"/>
          <w:bCs/>
          <w:sz w:val="22"/>
          <w:szCs w:val="22"/>
          <w:lang w:val="en-US"/>
        </w:rPr>
        <w:t>equipments</w:t>
      </w:r>
      <w:r w:rsidRPr="00FA57FB">
        <w:rPr>
          <w:rFonts w:ascii="Garamond" w:hAnsi="Garamond"/>
          <w:sz w:val="22"/>
          <w:szCs w:val="22"/>
          <w:lang w:val="en-US"/>
        </w:rPr>
        <w:t xml:space="preserve">&gt; </w:t>
      </w:r>
      <w:r w:rsidRPr="007C72D5">
        <w:rPr>
          <w:rFonts w:ascii="Garamond" w:hAnsi="Garamond"/>
          <w:bCs/>
          <w:sz w:val="22"/>
          <w:szCs w:val="22"/>
        </w:rPr>
        <w:t>может</w:t>
      </w:r>
      <w:r w:rsidRPr="00FA57FB">
        <w:rPr>
          <w:rFonts w:ascii="Garamond" w:hAnsi="Garamond"/>
          <w:sz w:val="22"/>
          <w:szCs w:val="22"/>
          <w:lang w:val="en-US"/>
        </w:rPr>
        <w:t xml:space="preserve"> </w:t>
      </w:r>
      <w:r w:rsidRPr="007C72D5">
        <w:rPr>
          <w:rFonts w:ascii="Garamond" w:hAnsi="Garamond"/>
          <w:bCs/>
          <w:sz w:val="22"/>
          <w:szCs w:val="22"/>
        </w:rPr>
        <w:t>быть</w:t>
      </w:r>
      <w:r w:rsidRPr="00FA57FB">
        <w:rPr>
          <w:rFonts w:ascii="Garamond" w:hAnsi="Garamond"/>
          <w:sz w:val="22"/>
          <w:szCs w:val="22"/>
          <w:lang w:val="en-US"/>
        </w:rPr>
        <w:t xml:space="preserve"> </w:t>
      </w:r>
      <w:r w:rsidRPr="007C72D5">
        <w:rPr>
          <w:rFonts w:ascii="Garamond" w:hAnsi="Garamond"/>
          <w:bCs/>
          <w:sz w:val="22"/>
          <w:szCs w:val="22"/>
        </w:rPr>
        <w:t>не</w:t>
      </w:r>
      <w:r w:rsidRPr="00FA57FB">
        <w:rPr>
          <w:rFonts w:ascii="Garamond" w:hAnsi="Garamond"/>
          <w:sz w:val="22"/>
          <w:szCs w:val="22"/>
          <w:lang w:val="en-US"/>
        </w:rPr>
        <w:t xml:space="preserve"> </w:t>
      </w:r>
      <w:r w:rsidRPr="007C72D5">
        <w:rPr>
          <w:rFonts w:ascii="Garamond" w:hAnsi="Garamond"/>
          <w:bCs/>
          <w:sz w:val="22"/>
          <w:szCs w:val="22"/>
        </w:rPr>
        <w:t>более</w:t>
      </w:r>
      <w:r w:rsidRPr="00FA57FB">
        <w:rPr>
          <w:rFonts w:ascii="Garamond" w:hAnsi="Garamond"/>
          <w:sz w:val="22"/>
          <w:szCs w:val="22"/>
          <w:lang w:val="en-US"/>
        </w:rPr>
        <w:t xml:space="preserve"> </w:t>
      </w:r>
      <w:r w:rsidRPr="007C72D5">
        <w:rPr>
          <w:rFonts w:ascii="Garamond" w:hAnsi="Garamond"/>
          <w:bCs/>
          <w:sz w:val="22"/>
          <w:szCs w:val="22"/>
        </w:rPr>
        <w:t>шести</w:t>
      </w:r>
      <w:r w:rsidRPr="00FA57FB">
        <w:rPr>
          <w:rFonts w:ascii="Garamond" w:hAnsi="Garamond"/>
          <w:sz w:val="22"/>
          <w:szCs w:val="22"/>
          <w:lang w:val="en-US"/>
        </w:rPr>
        <w:t xml:space="preserve"> </w:t>
      </w:r>
      <w:r w:rsidRPr="007C72D5">
        <w:rPr>
          <w:rFonts w:ascii="Garamond" w:hAnsi="Garamond"/>
          <w:bCs/>
          <w:sz w:val="22"/>
          <w:szCs w:val="22"/>
        </w:rPr>
        <w:t>дочерних</w:t>
      </w:r>
      <w:r w:rsidRPr="00FA57FB">
        <w:rPr>
          <w:rFonts w:ascii="Garamond" w:hAnsi="Garamond"/>
          <w:sz w:val="22"/>
          <w:szCs w:val="22"/>
          <w:lang w:val="en-US"/>
        </w:rPr>
        <w:t xml:space="preserve"> </w:t>
      </w:r>
      <w:r w:rsidRPr="007C72D5">
        <w:rPr>
          <w:rFonts w:ascii="Garamond" w:hAnsi="Garamond"/>
          <w:bCs/>
          <w:sz w:val="22"/>
          <w:szCs w:val="22"/>
        </w:rPr>
        <w:t>элементов</w:t>
      </w:r>
      <w:r w:rsidRPr="00FA57FB">
        <w:rPr>
          <w:rFonts w:ascii="Garamond" w:hAnsi="Garamond"/>
          <w:sz w:val="22"/>
          <w:szCs w:val="22"/>
          <w:lang w:val="en-US"/>
        </w:rPr>
        <w:t xml:space="preserve"> &lt;</w:t>
      </w:r>
      <w:r w:rsidRPr="007C72D5">
        <w:rPr>
          <w:rFonts w:ascii="Garamond" w:hAnsi="Garamond"/>
          <w:bCs/>
          <w:sz w:val="22"/>
          <w:szCs w:val="22"/>
          <w:lang w:val="en-US"/>
        </w:rPr>
        <w:t>podis</w:t>
      </w:r>
      <w:r w:rsidRPr="00FA57FB">
        <w:rPr>
          <w:rFonts w:ascii="Garamond" w:hAnsi="Garamond"/>
          <w:sz w:val="22"/>
          <w:szCs w:val="22"/>
          <w:lang w:val="en-US"/>
        </w:rPr>
        <w:t>:</w:t>
      </w:r>
      <w:r w:rsidRPr="007C72D5">
        <w:rPr>
          <w:rFonts w:ascii="Garamond" w:hAnsi="Garamond"/>
          <w:bCs/>
          <w:sz w:val="22"/>
          <w:szCs w:val="22"/>
          <w:lang w:val="en-US"/>
        </w:rPr>
        <w:t>currentTransformer</w:t>
      </w:r>
      <w:r w:rsidRPr="00FA57FB">
        <w:rPr>
          <w:rFonts w:ascii="Garamond" w:hAnsi="Garamond"/>
          <w:sz w:val="22"/>
          <w:szCs w:val="22"/>
          <w:lang w:val="en-US"/>
        </w:rPr>
        <w:t xml:space="preserve">&gt; </w:t>
      </w:r>
      <w:r w:rsidRPr="007C72D5">
        <w:rPr>
          <w:rFonts w:ascii="Garamond" w:hAnsi="Garamond"/>
          <w:bCs/>
          <w:sz w:val="22"/>
          <w:szCs w:val="22"/>
        </w:rPr>
        <w:t>и</w:t>
      </w:r>
      <w:r w:rsidRPr="00FA57FB">
        <w:rPr>
          <w:rFonts w:ascii="Garamond" w:hAnsi="Garamond"/>
          <w:sz w:val="22"/>
          <w:szCs w:val="22"/>
          <w:lang w:val="en-US"/>
        </w:rPr>
        <w:t xml:space="preserve"> </w:t>
      </w:r>
      <w:r w:rsidRPr="007C72D5">
        <w:rPr>
          <w:rFonts w:ascii="Garamond" w:hAnsi="Garamond"/>
          <w:bCs/>
          <w:sz w:val="22"/>
          <w:szCs w:val="22"/>
        </w:rPr>
        <w:t>не</w:t>
      </w:r>
      <w:r w:rsidRPr="00FA57FB">
        <w:rPr>
          <w:rFonts w:ascii="Garamond" w:hAnsi="Garamond"/>
          <w:sz w:val="22"/>
          <w:szCs w:val="22"/>
          <w:lang w:val="en-US"/>
        </w:rPr>
        <w:t xml:space="preserve"> </w:t>
      </w:r>
      <w:r w:rsidRPr="007C72D5">
        <w:rPr>
          <w:rFonts w:ascii="Garamond" w:hAnsi="Garamond"/>
          <w:bCs/>
          <w:sz w:val="22"/>
          <w:szCs w:val="22"/>
        </w:rPr>
        <w:t>более</w:t>
      </w:r>
      <w:r w:rsidRPr="00FA57FB">
        <w:rPr>
          <w:rFonts w:ascii="Garamond" w:hAnsi="Garamond"/>
          <w:sz w:val="22"/>
          <w:szCs w:val="22"/>
          <w:lang w:val="en-US"/>
        </w:rPr>
        <w:t xml:space="preserve"> </w:t>
      </w:r>
      <w:r w:rsidRPr="007C72D5">
        <w:rPr>
          <w:rFonts w:ascii="Garamond" w:hAnsi="Garamond"/>
          <w:bCs/>
          <w:sz w:val="22"/>
          <w:szCs w:val="22"/>
        </w:rPr>
        <w:t>шести</w:t>
      </w:r>
      <w:r w:rsidRPr="00FA57FB">
        <w:rPr>
          <w:rFonts w:ascii="Garamond" w:hAnsi="Garamond"/>
          <w:sz w:val="22"/>
          <w:szCs w:val="22"/>
          <w:lang w:val="en-US"/>
        </w:rPr>
        <w:t xml:space="preserve"> </w:t>
      </w:r>
      <w:r w:rsidRPr="007C72D5">
        <w:rPr>
          <w:rFonts w:ascii="Garamond" w:hAnsi="Garamond"/>
          <w:bCs/>
          <w:sz w:val="22"/>
          <w:szCs w:val="22"/>
        </w:rPr>
        <w:t>дочерних</w:t>
      </w:r>
      <w:r w:rsidRPr="00FA57FB">
        <w:rPr>
          <w:rFonts w:ascii="Garamond" w:hAnsi="Garamond"/>
          <w:sz w:val="22"/>
          <w:szCs w:val="22"/>
          <w:lang w:val="en-US"/>
        </w:rPr>
        <w:t xml:space="preserve"> </w:t>
      </w:r>
      <w:r w:rsidRPr="007C72D5">
        <w:rPr>
          <w:rFonts w:ascii="Garamond" w:hAnsi="Garamond"/>
          <w:bCs/>
          <w:sz w:val="22"/>
          <w:szCs w:val="22"/>
        </w:rPr>
        <w:t>элементов</w:t>
      </w:r>
      <w:r w:rsidRPr="00FA57FB">
        <w:rPr>
          <w:rFonts w:ascii="Garamond" w:hAnsi="Garamond"/>
          <w:sz w:val="22"/>
          <w:szCs w:val="22"/>
          <w:lang w:val="en-US"/>
        </w:rPr>
        <w:t xml:space="preserve"> &lt;</w:t>
      </w:r>
      <w:r w:rsidRPr="007C72D5">
        <w:rPr>
          <w:rFonts w:ascii="Garamond" w:hAnsi="Garamond"/>
          <w:bCs/>
          <w:sz w:val="22"/>
          <w:szCs w:val="22"/>
          <w:lang w:val="en-US"/>
        </w:rPr>
        <w:t>podis</w:t>
      </w:r>
      <w:r w:rsidRPr="00FA57FB">
        <w:rPr>
          <w:rFonts w:ascii="Garamond" w:hAnsi="Garamond"/>
          <w:sz w:val="22"/>
          <w:szCs w:val="22"/>
          <w:lang w:val="en-US"/>
        </w:rPr>
        <w:t>:</w:t>
      </w:r>
      <w:r w:rsidRPr="007C72D5">
        <w:rPr>
          <w:rFonts w:ascii="Garamond" w:hAnsi="Garamond"/>
          <w:bCs/>
          <w:sz w:val="22"/>
          <w:szCs w:val="22"/>
          <w:lang w:val="en-US"/>
        </w:rPr>
        <w:t>potentialTransformer</w:t>
      </w:r>
      <w:r w:rsidRPr="00FA57FB">
        <w:rPr>
          <w:rFonts w:ascii="Garamond" w:hAnsi="Garamond"/>
          <w:sz w:val="22"/>
          <w:szCs w:val="22"/>
          <w:lang w:val="en-US"/>
        </w:rPr>
        <w:t>&gt;.</w:t>
      </w:r>
    </w:p>
    <w:p w14:paraId="73411AEB" w14:textId="77777777" w:rsidR="00CE6209" w:rsidRPr="007C72D5" w:rsidRDefault="00CE6209" w:rsidP="00101F7C">
      <w:pPr>
        <w:pStyle w:val="ac"/>
        <w:numPr>
          <w:ilvl w:val="8"/>
          <w:numId w:val="104"/>
        </w:numPr>
        <w:spacing w:before="120" w:after="120"/>
        <w:ind w:left="1134" w:hanging="567"/>
        <w:jc w:val="both"/>
        <w:rPr>
          <w:rFonts w:ascii="Garamond" w:hAnsi="Garamond"/>
          <w:b/>
          <w:bCs/>
          <w:sz w:val="22"/>
          <w:szCs w:val="22"/>
          <w:lang w:val="en-US"/>
        </w:rPr>
      </w:pPr>
      <w:r w:rsidRPr="007C72D5">
        <w:rPr>
          <w:rFonts w:ascii="Garamond" w:hAnsi="Garamond"/>
          <w:b/>
          <w:bCs/>
          <w:sz w:val="22"/>
          <w:szCs w:val="22"/>
          <w:lang w:val="en-US"/>
        </w:rPr>
        <w:t>&lt;podis:currentTransformer&gt;</w:t>
      </w:r>
    </w:p>
    <w:p w14:paraId="23B29BDD" w14:textId="77777777" w:rsidR="00CE6209" w:rsidRPr="00D934B1" w:rsidRDefault="00CE6209" w:rsidP="00CE6209">
      <w:pPr>
        <w:spacing w:before="120" w:after="120"/>
        <w:ind w:firstLine="567"/>
        <w:jc w:val="both"/>
        <w:rPr>
          <w:rFonts w:ascii="Garamond" w:hAnsi="Garamond"/>
          <w:bCs/>
          <w:sz w:val="22"/>
          <w:szCs w:val="22"/>
        </w:rPr>
      </w:pPr>
      <w:r w:rsidRPr="007C72D5">
        <w:rPr>
          <w:rFonts w:ascii="Garamond" w:hAnsi="Garamond"/>
          <w:bCs/>
          <w:sz w:val="22"/>
          <w:szCs w:val="22"/>
        </w:rPr>
        <w:t>Элемент</w:t>
      </w:r>
      <w:r w:rsidRPr="00D934B1">
        <w:rPr>
          <w:rFonts w:ascii="Garamond" w:hAnsi="Garamond"/>
          <w:bCs/>
          <w:sz w:val="22"/>
          <w:szCs w:val="22"/>
        </w:rPr>
        <w:t xml:space="preserve"> &lt;</w:t>
      </w:r>
      <w:r w:rsidRPr="00D934B1">
        <w:rPr>
          <w:rFonts w:ascii="Garamond" w:hAnsi="Garamond"/>
          <w:bCs/>
          <w:sz w:val="22"/>
          <w:szCs w:val="22"/>
          <w:lang w:val="en-US"/>
        </w:rPr>
        <w:t>podis</w:t>
      </w:r>
      <w:r w:rsidRPr="00D934B1">
        <w:rPr>
          <w:rFonts w:ascii="Garamond" w:hAnsi="Garamond"/>
          <w:bCs/>
          <w:sz w:val="22"/>
          <w:szCs w:val="22"/>
        </w:rPr>
        <w:t>:</w:t>
      </w:r>
      <w:r w:rsidRPr="00D934B1">
        <w:rPr>
          <w:rFonts w:ascii="Garamond" w:hAnsi="Garamond"/>
          <w:bCs/>
          <w:sz w:val="22"/>
          <w:szCs w:val="22"/>
          <w:lang w:val="en-US"/>
        </w:rPr>
        <w:t>currentTransformer</w:t>
      </w:r>
      <w:r w:rsidRPr="00D934B1">
        <w:rPr>
          <w:rFonts w:ascii="Garamond" w:hAnsi="Garamond"/>
          <w:bCs/>
          <w:sz w:val="22"/>
          <w:szCs w:val="22"/>
        </w:rPr>
        <w:t>&gt; содержит информацию о трансформаторе тока. Является необязательным элементом, обязательно указывается для &lt;podis:usagePoint&gt; с элементами &lt;podis:potentialTransformer&gt;. При использовании в конкретной точке измерений (элемент &lt;podis:usagePoint&gt;) прибора учета (элемент &lt;podis:meter&gt;) с классом точности (элемент &lt;podis:accuracyClass&gt;) 1.0 по активной электроэнергии, элементы &lt;podis:currentTransformer&gt; должны отсутствовать в макете для такой точки измерений. Допускается наличие не более шести элементов &lt;podis:currentTransformer&gt; для одного элемента &lt;podis:equipments&gt;.</w:t>
      </w:r>
    </w:p>
    <w:p w14:paraId="161235BE" w14:textId="3E20506D" w:rsidR="00CE6209" w:rsidRPr="00FA57FB" w:rsidRDefault="00CE6209" w:rsidP="00CE6209">
      <w:pPr>
        <w:spacing w:before="120" w:after="120"/>
        <w:ind w:firstLine="567"/>
        <w:jc w:val="both"/>
        <w:rPr>
          <w:rFonts w:ascii="Garamond" w:hAnsi="Garamond"/>
          <w:sz w:val="22"/>
          <w:szCs w:val="22"/>
          <w:lang w:val="en-US"/>
        </w:rPr>
      </w:pPr>
      <w:r w:rsidRPr="00D934B1">
        <w:rPr>
          <w:rFonts w:ascii="Garamond" w:hAnsi="Garamond"/>
          <w:bCs/>
          <w:sz w:val="22"/>
          <w:szCs w:val="22"/>
        </w:rPr>
        <w:t>Дочерними</w:t>
      </w:r>
      <w:r w:rsidRPr="00FA57FB">
        <w:rPr>
          <w:rFonts w:ascii="Garamond" w:hAnsi="Garamond"/>
          <w:sz w:val="22"/>
          <w:szCs w:val="22"/>
          <w:lang w:val="en-US"/>
        </w:rPr>
        <w:t xml:space="preserve"> </w:t>
      </w:r>
      <w:r w:rsidRPr="00D934B1">
        <w:rPr>
          <w:rFonts w:ascii="Garamond" w:hAnsi="Garamond"/>
          <w:bCs/>
          <w:sz w:val="22"/>
          <w:szCs w:val="22"/>
        </w:rPr>
        <w:t>элементами</w:t>
      </w:r>
      <w:r w:rsidRPr="00FA57FB">
        <w:rPr>
          <w:rFonts w:ascii="Garamond" w:hAnsi="Garamond"/>
          <w:sz w:val="22"/>
          <w:szCs w:val="22"/>
          <w:lang w:val="en-US"/>
        </w:rPr>
        <w:t xml:space="preserve"> &lt;</w:t>
      </w:r>
      <w:r w:rsidRPr="00D934B1">
        <w:rPr>
          <w:rFonts w:ascii="Garamond" w:hAnsi="Garamond"/>
          <w:bCs/>
          <w:sz w:val="22"/>
          <w:szCs w:val="22"/>
          <w:lang w:val="en-US"/>
        </w:rPr>
        <w:t>podis</w:t>
      </w:r>
      <w:r w:rsidRPr="00FA57FB">
        <w:rPr>
          <w:rFonts w:ascii="Garamond" w:hAnsi="Garamond"/>
          <w:sz w:val="22"/>
          <w:szCs w:val="22"/>
          <w:lang w:val="en-US"/>
        </w:rPr>
        <w:t>:</w:t>
      </w:r>
      <w:r w:rsidRPr="00D934B1">
        <w:rPr>
          <w:rFonts w:ascii="Garamond" w:hAnsi="Garamond"/>
          <w:bCs/>
          <w:sz w:val="22"/>
          <w:szCs w:val="22"/>
          <w:lang w:val="en-US"/>
        </w:rPr>
        <w:t>currentTransformer</w:t>
      </w:r>
      <w:r w:rsidRPr="00FA57FB">
        <w:rPr>
          <w:rFonts w:ascii="Garamond" w:hAnsi="Garamond"/>
          <w:sz w:val="22"/>
          <w:szCs w:val="22"/>
          <w:lang w:val="en-US"/>
        </w:rPr>
        <w:t xml:space="preserve">&gt; </w:t>
      </w:r>
      <w:r w:rsidRPr="00D934B1">
        <w:rPr>
          <w:rFonts w:ascii="Garamond" w:hAnsi="Garamond"/>
          <w:bCs/>
          <w:sz w:val="22"/>
          <w:szCs w:val="22"/>
        </w:rPr>
        <w:t>являются</w:t>
      </w:r>
      <w:r w:rsidRPr="00FA57FB">
        <w:rPr>
          <w:rFonts w:ascii="Garamond" w:hAnsi="Garamond"/>
          <w:sz w:val="22"/>
          <w:szCs w:val="22"/>
          <w:lang w:val="en-US"/>
        </w:rPr>
        <w:t xml:space="preserve"> </w:t>
      </w:r>
      <w:r w:rsidRPr="00D934B1">
        <w:rPr>
          <w:rFonts w:ascii="Garamond" w:hAnsi="Garamond"/>
          <w:bCs/>
          <w:sz w:val="22"/>
          <w:szCs w:val="22"/>
        </w:rPr>
        <w:t>элементы</w:t>
      </w:r>
      <w:r w:rsidRPr="00FA57FB">
        <w:rPr>
          <w:rFonts w:ascii="Garamond" w:hAnsi="Garamond"/>
          <w:sz w:val="22"/>
          <w:szCs w:val="22"/>
          <w:lang w:val="en-US"/>
        </w:rPr>
        <w:t xml:space="preserve"> &lt;</w:t>
      </w:r>
      <w:r w:rsidRPr="00D934B1">
        <w:rPr>
          <w:rFonts w:ascii="Garamond" w:hAnsi="Garamond"/>
          <w:bCs/>
          <w:sz w:val="22"/>
          <w:szCs w:val="22"/>
          <w:lang w:val="en-US"/>
        </w:rPr>
        <w:t>podis</w:t>
      </w:r>
      <w:r w:rsidRPr="00FA57FB">
        <w:rPr>
          <w:rFonts w:ascii="Garamond" w:hAnsi="Garamond"/>
          <w:sz w:val="22"/>
          <w:szCs w:val="22"/>
          <w:lang w:val="en-US"/>
        </w:rPr>
        <w:t>:</w:t>
      </w:r>
      <w:r w:rsidRPr="00D934B1">
        <w:rPr>
          <w:rFonts w:ascii="Garamond" w:hAnsi="Garamond"/>
          <w:bCs/>
          <w:sz w:val="22"/>
          <w:szCs w:val="22"/>
          <w:lang w:val="en-US"/>
        </w:rPr>
        <w:t>mRID</w:t>
      </w:r>
      <w:r w:rsidRPr="00FA57FB">
        <w:rPr>
          <w:rFonts w:ascii="Garamond" w:hAnsi="Garamond"/>
          <w:sz w:val="22"/>
          <w:szCs w:val="22"/>
          <w:lang w:val="en-US"/>
        </w:rPr>
        <w:t>&gt;, &lt;</w:t>
      </w:r>
      <w:r w:rsidRPr="00D934B1">
        <w:rPr>
          <w:rFonts w:ascii="Garamond" w:hAnsi="Garamond"/>
          <w:bCs/>
          <w:sz w:val="22"/>
          <w:szCs w:val="22"/>
          <w:lang w:val="en-US"/>
        </w:rPr>
        <w:t>podis</w:t>
      </w:r>
      <w:r w:rsidRPr="00FA57FB">
        <w:rPr>
          <w:rFonts w:ascii="Garamond" w:hAnsi="Garamond"/>
          <w:sz w:val="22"/>
          <w:szCs w:val="22"/>
          <w:lang w:val="en-US"/>
        </w:rPr>
        <w:t>:</w:t>
      </w:r>
      <w:r w:rsidRPr="00D934B1">
        <w:rPr>
          <w:rFonts w:ascii="Garamond" w:hAnsi="Garamond"/>
          <w:bCs/>
          <w:sz w:val="22"/>
          <w:szCs w:val="22"/>
          <w:lang w:val="en-US"/>
        </w:rPr>
        <w:t>lifeCycleDate</w:t>
      </w:r>
      <w:r w:rsidRPr="00FA57FB">
        <w:rPr>
          <w:rFonts w:ascii="Garamond" w:hAnsi="Garamond"/>
          <w:sz w:val="22"/>
          <w:szCs w:val="22"/>
          <w:lang w:val="en-US"/>
        </w:rPr>
        <w:t>&gt;,</w:t>
      </w:r>
      <w:r w:rsidR="009B5F03">
        <w:rPr>
          <w:rFonts w:ascii="Garamond" w:hAnsi="Garamond"/>
          <w:sz w:val="22"/>
          <w:szCs w:val="22"/>
          <w:lang w:val="en-US"/>
        </w:rPr>
        <w:t xml:space="preserve"> </w:t>
      </w:r>
      <w:r w:rsidRPr="00FA57FB">
        <w:rPr>
          <w:rFonts w:ascii="Garamond" w:hAnsi="Garamond"/>
          <w:sz w:val="22"/>
          <w:szCs w:val="22"/>
          <w:lang w:val="en-US"/>
        </w:rPr>
        <w:t>&lt;</w:t>
      </w:r>
      <w:r w:rsidRPr="00D934B1">
        <w:rPr>
          <w:rFonts w:ascii="Garamond" w:hAnsi="Garamond"/>
          <w:bCs/>
          <w:sz w:val="22"/>
          <w:szCs w:val="22"/>
          <w:lang w:val="en-US"/>
        </w:rPr>
        <w:t>podis</w:t>
      </w:r>
      <w:r w:rsidRPr="00FA57FB">
        <w:rPr>
          <w:rFonts w:ascii="Garamond" w:hAnsi="Garamond"/>
          <w:sz w:val="22"/>
          <w:szCs w:val="22"/>
          <w:lang w:val="en-US"/>
        </w:rPr>
        <w:t>:</w:t>
      </w:r>
      <w:r w:rsidRPr="00D934B1">
        <w:rPr>
          <w:rFonts w:ascii="Garamond" w:hAnsi="Garamond"/>
          <w:bCs/>
          <w:sz w:val="22"/>
          <w:szCs w:val="22"/>
          <w:lang w:val="en-US"/>
        </w:rPr>
        <w:t>customAttributes</w:t>
      </w:r>
      <w:r w:rsidRPr="00FA57FB">
        <w:rPr>
          <w:rFonts w:ascii="Garamond" w:hAnsi="Garamond"/>
          <w:sz w:val="22"/>
          <w:szCs w:val="22"/>
          <w:lang w:val="en-US"/>
        </w:rPr>
        <w:t>&gt;, &lt;</w:t>
      </w:r>
      <w:r w:rsidRPr="00D934B1">
        <w:rPr>
          <w:rFonts w:ascii="Garamond" w:hAnsi="Garamond"/>
          <w:bCs/>
          <w:sz w:val="22"/>
          <w:szCs w:val="22"/>
          <w:lang w:val="en-US"/>
        </w:rPr>
        <w:t>podis</w:t>
      </w:r>
      <w:r w:rsidRPr="00FA57FB">
        <w:rPr>
          <w:rFonts w:ascii="Garamond" w:hAnsi="Garamond"/>
          <w:sz w:val="22"/>
          <w:szCs w:val="22"/>
          <w:lang w:val="en-US"/>
        </w:rPr>
        <w:t>:</w:t>
      </w:r>
      <w:r w:rsidRPr="00D934B1">
        <w:rPr>
          <w:rFonts w:ascii="Garamond" w:hAnsi="Garamond"/>
          <w:bCs/>
          <w:sz w:val="22"/>
          <w:szCs w:val="22"/>
          <w:lang w:val="en-US"/>
        </w:rPr>
        <w:t>serialNumber</w:t>
      </w:r>
      <w:r w:rsidRPr="00FA57FB">
        <w:rPr>
          <w:rFonts w:ascii="Garamond" w:hAnsi="Garamond"/>
          <w:sz w:val="22"/>
          <w:szCs w:val="22"/>
          <w:lang w:val="en-US"/>
        </w:rPr>
        <w:t xml:space="preserve">&gt; </w:t>
      </w:r>
      <w:r w:rsidRPr="00D934B1">
        <w:rPr>
          <w:rFonts w:ascii="Garamond" w:hAnsi="Garamond"/>
          <w:bCs/>
          <w:sz w:val="22"/>
          <w:szCs w:val="22"/>
        </w:rPr>
        <w:t>и</w:t>
      </w:r>
      <w:r w:rsidRPr="00FA57FB">
        <w:rPr>
          <w:rFonts w:ascii="Garamond" w:hAnsi="Garamond"/>
          <w:sz w:val="22"/>
          <w:szCs w:val="22"/>
          <w:lang w:val="en-US"/>
        </w:rPr>
        <w:t xml:space="preserve"> &lt;</w:t>
      </w:r>
      <w:r w:rsidRPr="00D934B1">
        <w:rPr>
          <w:rFonts w:ascii="Garamond" w:hAnsi="Garamond"/>
          <w:bCs/>
          <w:sz w:val="22"/>
          <w:szCs w:val="22"/>
          <w:lang w:val="en-US"/>
        </w:rPr>
        <w:t>podis</w:t>
      </w:r>
      <w:r w:rsidRPr="00FA57FB">
        <w:rPr>
          <w:rFonts w:ascii="Garamond" w:hAnsi="Garamond"/>
          <w:sz w:val="22"/>
          <w:szCs w:val="22"/>
          <w:lang w:val="en-US"/>
        </w:rPr>
        <w:t>:</w:t>
      </w:r>
      <w:r w:rsidRPr="00D934B1">
        <w:rPr>
          <w:rFonts w:ascii="Garamond" w:hAnsi="Garamond"/>
          <w:bCs/>
          <w:sz w:val="22"/>
          <w:szCs w:val="22"/>
          <w:lang w:val="en-US"/>
        </w:rPr>
        <w:t>currentTransformerInfo</w:t>
      </w:r>
      <w:r w:rsidRPr="00FA57FB">
        <w:rPr>
          <w:rFonts w:ascii="Garamond" w:hAnsi="Garamond"/>
          <w:sz w:val="22"/>
          <w:szCs w:val="22"/>
          <w:lang w:val="en-US"/>
        </w:rPr>
        <w:t xml:space="preserve">&gt;. </w:t>
      </w:r>
      <w:r w:rsidRPr="00D934B1">
        <w:rPr>
          <w:rFonts w:ascii="Garamond" w:hAnsi="Garamond"/>
          <w:bCs/>
          <w:sz w:val="22"/>
          <w:szCs w:val="22"/>
        </w:rPr>
        <w:t>У</w:t>
      </w:r>
      <w:r w:rsidRPr="00FA57FB">
        <w:rPr>
          <w:rFonts w:ascii="Garamond" w:hAnsi="Garamond"/>
          <w:sz w:val="22"/>
          <w:szCs w:val="22"/>
          <w:lang w:val="en-US"/>
        </w:rPr>
        <w:t xml:space="preserve"> </w:t>
      </w:r>
      <w:r w:rsidRPr="00D934B1">
        <w:rPr>
          <w:rFonts w:ascii="Garamond" w:hAnsi="Garamond"/>
          <w:bCs/>
          <w:sz w:val="22"/>
          <w:szCs w:val="22"/>
        </w:rPr>
        <w:t>элемента</w:t>
      </w:r>
      <w:r w:rsidRPr="00FA57FB">
        <w:rPr>
          <w:rFonts w:ascii="Garamond" w:hAnsi="Garamond"/>
          <w:sz w:val="22"/>
          <w:szCs w:val="22"/>
          <w:lang w:val="en-US"/>
        </w:rPr>
        <w:t xml:space="preserve"> &lt;</w:t>
      </w:r>
      <w:r w:rsidRPr="00D934B1">
        <w:rPr>
          <w:rFonts w:ascii="Garamond" w:hAnsi="Garamond"/>
          <w:bCs/>
          <w:sz w:val="22"/>
          <w:szCs w:val="22"/>
          <w:lang w:val="en-US"/>
        </w:rPr>
        <w:t>podis</w:t>
      </w:r>
      <w:r w:rsidRPr="00FA57FB">
        <w:rPr>
          <w:rFonts w:ascii="Garamond" w:hAnsi="Garamond"/>
          <w:sz w:val="22"/>
          <w:szCs w:val="22"/>
          <w:lang w:val="en-US"/>
        </w:rPr>
        <w:t>:</w:t>
      </w:r>
      <w:r w:rsidRPr="00D934B1">
        <w:rPr>
          <w:rFonts w:ascii="Garamond" w:hAnsi="Garamond"/>
          <w:bCs/>
          <w:sz w:val="22"/>
          <w:szCs w:val="22"/>
          <w:lang w:val="en-US"/>
        </w:rPr>
        <w:t>currentTransformer</w:t>
      </w:r>
      <w:r w:rsidRPr="00FA57FB">
        <w:rPr>
          <w:rFonts w:ascii="Garamond" w:hAnsi="Garamond"/>
          <w:sz w:val="22"/>
          <w:szCs w:val="22"/>
          <w:lang w:val="en-US"/>
        </w:rPr>
        <w:t xml:space="preserve">&gt; </w:t>
      </w:r>
      <w:r w:rsidRPr="00D934B1">
        <w:rPr>
          <w:rFonts w:ascii="Garamond" w:hAnsi="Garamond"/>
          <w:bCs/>
          <w:sz w:val="22"/>
          <w:szCs w:val="22"/>
        </w:rPr>
        <w:t>может</w:t>
      </w:r>
      <w:r w:rsidRPr="00FA57FB">
        <w:rPr>
          <w:rFonts w:ascii="Garamond" w:hAnsi="Garamond"/>
          <w:sz w:val="22"/>
          <w:szCs w:val="22"/>
          <w:lang w:val="en-US"/>
        </w:rPr>
        <w:t xml:space="preserve"> </w:t>
      </w:r>
      <w:r w:rsidRPr="00D934B1">
        <w:rPr>
          <w:rFonts w:ascii="Garamond" w:hAnsi="Garamond"/>
          <w:bCs/>
          <w:sz w:val="22"/>
          <w:szCs w:val="22"/>
        </w:rPr>
        <w:t>быть</w:t>
      </w:r>
      <w:r w:rsidRPr="00FA57FB">
        <w:rPr>
          <w:rFonts w:ascii="Garamond" w:hAnsi="Garamond"/>
          <w:sz w:val="22"/>
          <w:szCs w:val="22"/>
          <w:lang w:val="en-US"/>
        </w:rPr>
        <w:t xml:space="preserve"> </w:t>
      </w:r>
      <w:r w:rsidRPr="00D934B1">
        <w:rPr>
          <w:rFonts w:ascii="Garamond" w:hAnsi="Garamond"/>
          <w:bCs/>
          <w:sz w:val="22"/>
          <w:szCs w:val="22"/>
        </w:rPr>
        <w:t>только</w:t>
      </w:r>
      <w:r w:rsidRPr="00FA57FB">
        <w:rPr>
          <w:rFonts w:ascii="Garamond" w:hAnsi="Garamond"/>
          <w:sz w:val="22"/>
          <w:szCs w:val="22"/>
          <w:lang w:val="en-US"/>
        </w:rPr>
        <w:t xml:space="preserve"> </w:t>
      </w:r>
      <w:r w:rsidRPr="00D934B1">
        <w:rPr>
          <w:rFonts w:ascii="Garamond" w:hAnsi="Garamond"/>
          <w:bCs/>
          <w:sz w:val="22"/>
          <w:szCs w:val="22"/>
        </w:rPr>
        <w:t>один</w:t>
      </w:r>
      <w:r w:rsidRPr="00FA57FB">
        <w:rPr>
          <w:rFonts w:ascii="Garamond" w:hAnsi="Garamond"/>
          <w:sz w:val="22"/>
          <w:szCs w:val="22"/>
          <w:lang w:val="en-US"/>
        </w:rPr>
        <w:t xml:space="preserve"> </w:t>
      </w:r>
      <w:r w:rsidRPr="00D934B1">
        <w:rPr>
          <w:rFonts w:ascii="Garamond" w:hAnsi="Garamond"/>
          <w:bCs/>
          <w:sz w:val="22"/>
          <w:szCs w:val="22"/>
        </w:rPr>
        <w:t>дочерний</w:t>
      </w:r>
      <w:r w:rsidRPr="00FA57FB">
        <w:rPr>
          <w:rFonts w:ascii="Garamond" w:hAnsi="Garamond"/>
          <w:sz w:val="22"/>
          <w:szCs w:val="22"/>
          <w:lang w:val="en-US"/>
        </w:rPr>
        <w:t xml:space="preserve"> </w:t>
      </w:r>
      <w:r w:rsidRPr="00D934B1">
        <w:rPr>
          <w:rFonts w:ascii="Garamond" w:hAnsi="Garamond"/>
          <w:bCs/>
          <w:sz w:val="22"/>
          <w:szCs w:val="22"/>
        </w:rPr>
        <w:t>элемент</w:t>
      </w:r>
      <w:r w:rsidRPr="00FA57FB">
        <w:rPr>
          <w:rFonts w:ascii="Garamond" w:hAnsi="Garamond"/>
          <w:sz w:val="22"/>
          <w:szCs w:val="22"/>
          <w:lang w:val="en-US"/>
        </w:rPr>
        <w:t xml:space="preserve"> &lt;</w:t>
      </w:r>
      <w:r w:rsidRPr="00D934B1">
        <w:rPr>
          <w:rFonts w:ascii="Garamond" w:hAnsi="Garamond"/>
          <w:bCs/>
          <w:sz w:val="22"/>
          <w:szCs w:val="22"/>
          <w:lang w:val="en-US"/>
        </w:rPr>
        <w:t>podis</w:t>
      </w:r>
      <w:r w:rsidRPr="00FA57FB">
        <w:rPr>
          <w:rFonts w:ascii="Garamond" w:hAnsi="Garamond"/>
          <w:sz w:val="22"/>
          <w:szCs w:val="22"/>
          <w:lang w:val="en-US"/>
        </w:rPr>
        <w:t>:</w:t>
      </w:r>
      <w:r w:rsidRPr="00D934B1">
        <w:rPr>
          <w:rFonts w:ascii="Garamond" w:hAnsi="Garamond"/>
          <w:bCs/>
          <w:sz w:val="22"/>
          <w:szCs w:val="22"/>
          <w:lang w:val="en-US"/>
        </w:rPr>
        <w:t>mRID</w:t>
      </w:r>
      <w:r w:rsidRPr="00FA57FB">
        <w:rPr>
          <w:rFonts w:ascii="Garamond" w:hAnsi="Garamond"/>
          <w:sz w:val="22"/>
          <w:szCs w:val="22"/>
          <w:lang w:val="en-US"/>
        </w:rPr>
        <w:t>&gt;, &lt;</w:t>
      </w:r>
      <w:r w:rsidRPr="00D934B1">
        <w:rPr>
          <w:rFonts w:ascii="Garamond" w:hAnsi="Garamond"/>
          <w:bCs/>
          <w:sz w:val="22"/>
          <w:szCs w:val="22"/>
          <w:lang w:val="en-US"/>
        </w:rPr>
        <w:t>podis</w:t>
      </w:r>
      <w:r w:rsidRPr="00FA57FB">
        <w:rPr>
          <w:rFonts w:ascii="Garamond" w:hAnsi="Garamond"/>
          <w:sz w:val="22"/>
          <w:szCs w:val="22"/>
          <w:lang w:val="en-US"/>
        </w:rPr>
        <w:t>:</w:t>
      </w:r>
      <w:r w:rsidRPr="00D934B1">
        <w:rPr>
          <w:rFonts w:ascii="Garamond" w:hAnsi="Garamond"/>
          <w:bCs/>
          <w:sz w:val="22"/>
          <w:szCs w:val="22"/>
          <w:lang w:val="en-US"/>
        </w:rPr>
        <w:t>lifeCycleDate</w:t>
      </w:r>
      <w:r w:rsidRPr="00FA57FB">
        <w:rPr>
          <w:rFonts w:ascii="Garamond" w:hAnsi="Garamond"/>
          <w:sz w:val="22"/>
          <w:szCs w:val="22"/>
          <w:lang w:val="en-US"/>
        </w:rPr>
        <w:t>&gt;, &lt;</w:t>
      </w:r>
      <w:r w:rsidRPr="00D934B1">
        <w:rPr>
          <w:rFonts w:ascii="Garamond" w:hAnsi="Garamond"/>
          <w:bCs/>
          <w:sz w:val="22"/>
          <w:szCs w:val="22"/>
          <w:lang w:val="en-US"/>
        </w:rPr>
        <w:t>podis</w:t>
      </w:r>
      <w:r w:rsidRPr="00FA57FB">
        <w:rPr>
          <w:rFonts w:ascii="Garamond" w:hAnsi="Garamond"/>
          <w:sz w:val="22"/>
          <w:szCs w:val="22"/>
          <w:lang w:val="en-US"/>
        </w:rPr>
        <w:t>:</w:t>
      </w:r>
      <w:r w:rsidRPr="00D934B1">
        <w:rPr>
          <w:rFonts w:ascii="Garamond" w:hAnsi="Garamond"/>
          <w:bCs/>
          <w:sz w:val="22"/>
          <w:szCs w:val="22"/>
          <w:lang w:val="en-US"/>
        </w:rPr>
        <w:t>customAttributes</w:t>
      </w:r>
      <w:r w:rsidRPr="00FA57FB">
        <w:rPr>
          <w:rFonts w:ascii="Garamond" w:hAnsi="Garamond"/>
          <w:sz w:val="22"/>
          <w:szCs w:val="22"/>
          <w:lang w:val="en-US"/>
        </w:rPr>
        <w:t>&gt;, &lt;</w:t>
      </w:r>
      <w:r w:rsidRPr="00D934B1">
        <w:rPr>
          <w:rFonts w:ascii="Garamond" w:hAnsi="Garamond"/>
          <w:bCs/>
          <w:sz w:val="22"/>
          <w:szCs w:val="22"/>
          <w:lang w:val="en-US"/>
        </w:rPr>
        <w:t>podis</w:t>
      </w:r>
      <w:r w:rsidRPr="00FA57FB">
        <w:rPr>
          <w:rFonts w:ascii="Garamond" w:hAnsi="Garamond"/>
          <w:sz w:val="22"/>
          <w:szCs w:val="22"/>
          <w:lang w:val="en-US"/>
        </w:rPr>
        <w:t>:</w:t>
      </w:r>
      <w:r w:rsidRPr="00D934B1">
        <w:rPr>
          <w:rFonts w:ascii="Garamond" w:hAnsi="Garamond"/>
          <w:bCs/>
          <w:sz w:val="22"/>
          <w:szCs w:val="22"/>
          <w:lang w:val="en-US"/>
        </w:rPr>
        <w:t>serialNumber</w:t>
      </w:r>
      <w:r w:rsidRPr="00FA57FB">
        <w:rPr>
          <w:rFonts w:ascii="Garamond" w:hAnsi="Garamond"/>
          <w:sz w:val="22"/>
          <w:szCs w:val="22"/>
          <w:lang w:val="en-US"/>
        </w:rPr>
        <w:t xml:space="preserve">&gt; </w:t>
      </w:r>
      <w:r w:rsidRPr="00D934B1">
        <w:rPr>
          <w:rFonts w:ascii="Garamond" w:hAnsi="Garamond"/>
          <w:bCs/>
          <w:sz w:val="22"/>
          <w:szCs w:val="22"/>
        </w:rPr>
        <w:t>и</w:t>
      </w:r>
      <w:r w:rsidRPr="00FA57FB">
        <w:rPr>
          <w:rFonts w:ascii="Garamond" w:hAnsi="Garamond"/>
          <w:sz w:val="22"/>
          <w:szCs w:val="22"/>
          <w:lang w:val="en-US"/>
        </w:rPr>
        <w:t xml:space="preserve"> &lt;</w:t>
      </w:r>
      <w:r w:rsidRPr="00D934B1">
        <w:rPr>
          <w:rFonts w:ascii="Garamond" w:hAnsi="Garamond"/>
          <w:bCs/>
          <w:sz w:val="22"/>
          <w:szCs w:val="22"/>
          <w:lang w:val="en-US"/>
        </w:rPr>
        <w:t>podis</w:t>
      </w:r>
      <w:r w:rsidRPr="00FA57FB">
        <w:rPr>
          <w:rFonts w:ascii="Garamond" w:hAnsi="Garamond"/>
          <w:sz w:val="22"/>
          <w:szCs w:val="22"/>
          <w:lang w:val="en-US"/>
        </w:rPr>
        <w:t>:</w:t>
      </w:r>
      <w:r w:rsidRPr="00D934B1">
        <w:rPr>
          <w:rFonts w:ascii="Garamond" w:hAnsi="Garamond"/>
          <w:bCs/>
          <w:sz w:val="22"/>
          <w:szCs w:val="22"/>
          <w:lang w:val="en-US"/>
        </w:rPr>
        <w:t>currentTransformerInfo</w:t>
      </w:r>
      <w:r w:rsidRPr="00FA57FB">
        <w:rPr>
          <w:rFonts w:ascii="Garamond" w:hAnsi="Garamond"/>
          <w:sz w:val="22"/>
          <w:szCs w:val="22"/>
          <w:lang w:val="en-US"/>
        </w:rPr>
        <w:t>&gt;.</w:t>
      </w:r>
    </w:p>
    <w:p w14:paraId="53A4864D" w14:textId="77777777" w:rsidR="00CE6209" w:rsidRPr="00D934B1" w:rsidRDefault="00CE6209" w:rsidP="00CE6209">
      <w:pPr>
        <w:spacing w:before="120" w:after="120"/>
        <w:ind w:firstLine="567"/>
        <w:jc w:val="both"/>
        <w:rPr>
          <w:rFonts w:ascii="Garamond" w:hAnsi="Garamond"/>
          <w:b/>
          <w:bCs/>
          <w:sz w:val="22"/>
          <w:szCs w:val="22"/>
        </w:rPr>
      </w:pPr>
      <w:r w:rsidRPr="00D934B1">
        <w:rPr>
          <w:rFonts w:ascii="Garamond" w:hAnsi="Garamond"/>
          <w:b/>
          <w:bCs/>
          <w:sz w:val="22"/>
          <w:szCs w:val="22"/>
        </w:rPr>
        <w:t>2.1.2.1.2.1.3.2.1.1. &lt;podis:mRID&gt;</w:t>
      </w:r>
    </w:p>
    <w:p w14:paraId="69C10E5D" w14:textId="3A9D9449" w:rsidR="00CE6209" w:rsidRPr="00D934B1" w:rsidRDefault="00CE6209" w:rsidP="00CE6209">
      <w:pPr>
        <w:spacing w:before="120" w:after="120"/>
        <w:ind w:firstLine="567"/>
        <w:jc w:val="both"/>
        <w:rPr>
          <w:rFonts w:ascii="Garamond" w:hAnsi="Garamond"/>
          <w:bCs/>
          <w:sz w:val="22"/>
          <w:szCs w:val="22"/>
        </w:rPr>
      </w:pPr>
      <w:r w:rsidRPr="00D934B1">
        <w:rPr>
          <w:rFonts w:ascii="Garamond" w:hAnsi="Garamond"/>
          <w:bCs/>
          <w:sz w:val="22"/>
          <w:szCs w:val="22"/>
        </w:rPr>
        <w:lastRenderedPageBreak/>
        <w:t>Элемент &lt;podis:mRID&gt; содержит уникальный идентификатор трансформатора тока в ИСУ. Является обязательным элементом. Представляет из себя UUID – Universal Unique Identifier, универсальный идентификатор информации, состоящий из 36 символов.</w:t>
      </w:r>
      <w:r w:rsidR="009B5F03">
        <w:rPr>
          <w:rFonts w:ascii="Garamond" w:hAnsi="Garamond"/>
          <w:bCs/>
          <w:sz w:val="22"/>
          <w:szCs w:val="22"/>
        </w:rPr>
        <w:t xml:space="preserve"> </w:t>
      </w:r>
      <w:r w:rsidRPr="00D934B1">
        <w:rPr>
          <w:rFonts w:ascii="Garamond" w:hAnsi="Garamond"/>
          <w:bCs/>
          <w:sz w:val="22"/>
          <w:szCs w:val="22"/>
        </w:rPr>
        <w:t>Генерируется при помощи основанного на именах алгоритма генерации, согласно ГОСТ Р ИСО/МЭК 9834-8-2011. При использовании основанного на именах алгоритма генерации согласно ГОСТ Р ИСО/МЭК 9834-8-2011 в качестве имени используется конкатенация следующих строк:</w:t>
      </w:r>
    </w:p>
    <w:p w14:paraId="2E50F02F" w14:textId="77777777" w:rsidR="00CE6209" w:rsidRPr="00D934B1" w:rsidRDefault="00CE6209" w:rsidP="00CE6209">
      <w:pPr>
        <w:spacing w:before="120" w:after="120"/>
        <w:ind w:firstLine="567"/>
        <w:jc w:val="both"/>
        <w:rPr>
          <w:rFonts w:ascii="Garamond" w:hAnsi="Garamond"/>
          <w:bCs/>
          <w:sz w:val="22"/>
          <w:szCs w:val="22"/>
        </w:rPr>
      </w:pPr>
      <w:r w:rsidRPr="00D934B1">
        <w:rPr>
          <w:rFonts w:ascii="Garamond" w:hAnsi="Garamond"/>
          <w:bCs/>
          <w:sz w:val="22"/>
          <w:szCs w:val="22"/>
        </w:rPr>
        <w:t>–</w:t>
      </w:r>
      <w:r w:rsidRPr="00D934B1">
        <w:rPr>
          <w:rFonts w:ascii="Garamond" w:hAnsi="Garamond"/>
          <w:bCs/>
          <w:sz w:val="22"/>
          <w:szCs w:val="22"/>
        </w:rPr>
        <w:tab/>
        <w:t xml:space="preserve"> идентификатор объекта в ИСУ (программном комплексе ИСУ, в котором ведется учет оборудования ИСУ);</w:t>
      </w:r>
    </w:p>
    <w:p w14:paraId="721B1237" w14:textId="617752AA" w:rsidR="00CE6209" w:rsidRPr="00D934B1" w:rsidRDefault="00CE6209" w:rsidP="00CE6209">
      <w:pPr>
        <w:spacing w:before="120" w:after="120"/>
        <w:ind w:firstLine="567"/>
        <w:jc w:val="both"/>
        <w:rPr>
          <w:rFonts w:ascii="Garamond" w:hAnsi="Garamond"/>
          <w:bCs/>
          <w:sz w:val="22"/>
          <w:szCs w:val="22"/>
        </w:rPr>
      </w:pPr>
      <w:r w:rsidRPr="00D934B1">
        <w:rPr>
          <w:rFonts w:ascii="Garamond" w:hAnsi="Garamond"/>
          <w:bCs/>
          <w:sz w:val="22"/>
          <w:szCs w:val="22"/>
        </w:rPr>
        <w:t>–</w:t>
      </w:r>
      <w:r w:rsidRPr="00D934B1">
        <w:rPr>
          <w:rFonts w:ascii="Garamond" w:hAnsi="Garamond"/>
          <w:bCs/>
          <w:sz w:val="22"/>
          <w:szCs w:val="22"/>
        </w:rPr>
        <w:tab/>
        <w:t xml:space="preserve"> мнемоника сущности ПОДИС</w:t>
      </w:r>
      <w:r w:rsidR="009B5F03">
        <w:rPr>
          <w:rFonts w:ascii="Garamond" w:hAnsi="Garamond"/>
          <w:bCs/>
          <w:sz w:val="22"/>
          <w:szCs w:val="22"/>
        </w:rPr>
        <w:t xml:space="preserve"> – </w:t>
      </w:r>
      <w:r w:rsidRPr="00D934B1">
        <w:rPr>
          <w:rFonts w:ascii="Garamond" w:hAnsi="Garamond"/>
          <w:bCs/>
          <w:sz w:val="22"/>
          <w:szCs w:val="22"/>
        </w:rPr>
        <w:t>"CurrentTransformer";</w:t>
      </w:r>
    </w:p>
    <w:p w14:paraId="1396AB57" w14:textId="350C6E5F" w:rsidR="00CE6209" w:rsidRPr="00D934B1" w:rsidRDefault="00CE6209" w:rsidP="00CE6209">
      <w:pPr>
        <w:spacing w:before="120" w:after="120"/>
        <w:ind w:firstLine="567"/>
        <w:jc w:val="both"/>
        <w:rPr>
          <w:rFonts w:ascii="Garamond" w:hAnsi="Garamond"/>
          <w:bCs/>
          <w:sz w:val="22"/>
          <w:szCs w:val="22"/>
        </w:rPr>
      </w:pPr>
      <w:r w:rsidRPr="00D934B1">
        <w:rPr>
          <w:rFonts w:ascii="Garamond" w:hAnsi="Garamond"/>
          <w:bCs/>
          <w:sz w:val="22"/>
          <w:szCs w:val="22"/>
        </w:rPr>
        <w:t>–</w:t>
      </w:r>
      <w:r w:rsidRPr="00D934B1">
        <w:rPr>
          <w:rFonts w:ascii="Garamond" w:hAnsi="Garamond"/>
          <w:bCs/>
          <w:sz w:val="22"/>
          <w:szCs w:val="22"/>
        </w:rPr>
        <w:tab/>
        <w:t xml:space="preserve"> идентификатор ИСУ (при отсутствии идентификатора используется полное наименование организации</w:t>
      </w:r>
      <w:r w:rsidR="009B5F03">
        <w:rPr>
          <w:rFonts w:ascii="Garamond" w:hAnsi="Garamond"/>
          <w:bCs/>
          <w:sz w:val="22"/>
          <w:szCs w:val="22"/>
        </w:rPr>
        <w:t xml:space="preserve"> – </w:t>
      </w:r>
      <w:r w:rsidRPr="00D934B1">
        <w:rPr>
          <w:rFonts w:ascii="Garamond" w:hAnsi="Garamond"/>
          <w:bCs/>
          <w:sz w:val="22"/>
          <w:szCs w:val="22"/>
        </w:rPr>
        <w:t>владельца ИСУ).</w:t>
      </w:r>
    </w:p>
    <w:p w14:paraId="1637D6B0" w14:textId="77777777" w:rsidR="00CE6209" w:rsidRPr="00D934B1" w:rsidRDefault="00CE6209" w:rsidP="00CE6209">
      <w:pPr>
        <w:spacing w:before="120" w:after="120"/>
        <w:ind w:firstLine="567"/>
        <w:jc w:val="both"/>
        <w:rPr>
          <w:rFonts w:ascii="Garamond" w:hAnsi="Garamond"/>
          <w:b/>
          <w:bCs/>
          <w:sz w:val="22"/>
          <w:szCs w:val="22"/>
        </w:rPr>
      </w:pPr>
      <w:r w:rsidRPr="00D934B1">
        <w:rPr>
          <w:rFonts w:ascii="Garamond" w:hAnsi="Garamond"/>
          <w:b/>
          <w:bCs/>
          <w:sz w:val="22"/>
          <w:szCs w:val="22"/>
        </w:rPr>
        <w:t>2.1.2.1.2.1.3.2.1.2. &lt;podis:serialNumber&gt;</w:t>
      </w:r>
    </w:p>
    <w:p w14:paraId="7733EC9C" w14:textId="77777777" w:rsidR="00CE6209" w:rsidRPr="00D934B1" w:rsidRDefault="00CE6209" w:rsidP="00CE6209">
      <w:pPr>
        <w:spacing w:before="120" w:after="120"/>
        <w:ind w:firstLine="567"/>
        <w:jc w:val="both"/>
        <w:rPr>
          <w:rFonts w:ascii="Garamond" w:hAnsi="Garamond"/>
          <w:bCs/>
          <w:sz w:val="22"/>
          <w:szCs w:val="22"/>
        </w:rPr>
      </w:pPr>
      <w:r w:rsidRPr="00D934B1">
        <w:rPr>
          <w:rFonts w:ascii="Garamond" w:hAnsi="Garamond"/>
          <w:bCs/>
          <w:sz w:val="22"/>
          <w:szCs w:val="22"/>
        </w:rPr>
        <w:t>Элемент &lt;podis:serialNumber&gt; содержит заводской номер трансформатора тока. Обязательный элемент, текстовое поле длиной не более 250 символов.</w:t>
      </w:r>
    </w:p>
    <w:p w14:paraId="1E09123D" w14:textId="77777777" w:rsidR="00CE6209" w:rsidRPr="00D934B1" w:rsidRDefault="00CE6209" w:rsidP="00CE6209">
      <w:pPr>
        <w:spacing w:before="120" w:after="120"/>
        <w:ind w:firstLine="567"/>
        <w:jc w:val="both"/>
        <w:rPr>
          <w:rFonts w:ascii="Garamond" w:hAnsi="Garamond"/>
          <w:b/>
          <w:bCs/>
          <w:sz w:val="22"/>
          <w:szCs w:val="22"/>
        </w:rPr>
      </w:pPr>
      <w:r w:rsidRPr="00D934B1">
        <w:rPr>
          <w:rFonts w:ascii="Garamond" w:hAnsi="Garamond"/>
          <w:b/>
          <w:bCs/>
          <w:sz w:val="22"/>
          <w:szCs w:val="22"/>
        </w:rPr>
        <w:t>2.1.2.1.2.1.3.2.1.3. &lt;podis:lifeCycleDate&gt;</w:t>
      </w:r>
    </w:p>
    <w:p w14:paraId="5D0D617C" w14:textId="77777777" w:rsidR="00CE6209" w:rsidRPr="00D934B1" w:rsidRDefault="00CE6209" w:rsidP="00CE6209">
      <w:pPr>
        <w:spacing w:before="120" w:after="120"/>
        <w:ind w:firstLine="567"/>
        <w:jc w:val="both"/>
        <w:rPr>
          <w:rFonts w:ascii="Garamond" w:hAnsi="Garamond"/>
          <w:bCs/>
          <w:sz w:val="22"/>
          <w:szCs w:val="22"/>
        </w:rPr>
      </w:pPr>
      <w:r w:rsidRPr="00D934B1">
        <w:rPr>
          <w:rFonts w:ascii="Garamond" w:hAnsi="Garamond"/>
          <w:bCs/>
          <w:sz w:val="22"/>
          <w:szCs w:val="22"/>
        </w:rPr>
        <w:t>Элемент &lt;podis:lifeCycleDate&gt; содержит даты жизненного цикла трансформатора тока. Является обязательным элементом.</w:t>
      </w:r>
    </w:p>
    <w:p w14:paraId="6561BC25" w14:textId="77777777" w:rsidR="00CE6209" w:rsidRPr="00D934B1" w:rsidRDefault="00CE6209" w:rsidP="00CE6209">
      <w:pPr>
        <w:spacing w:before="120" w:after="120"/>
        <w:ind w:firstLine="567"/>
        <w:jc w:val="both"/>
        <w:rPr>
          <w:rFonts w:ascii="Garamond" w:hAnsi="Garamond"/>
          <w:bCs/>
          <w:sz w:val="22"/>
          <w:szCs w:val="22"/>
        </w:rPr>
      </w:pPr>
      <w:r w:rsidRPr="00D934B1">
        <w:rPr>
          <w:rFonts w:ascii="Garamond" w:hAnsi="Garamond"/>
          <w:bCs/>
          <w:sz w:val="22"/>
          <w:szCs w:val="22"/>
        </w:rPr>
        <w:t>Дочерним элементом &lt;podis:lifeCycleDate&gt; является элемент &lt;podis:nextDateValid&gt;. У элемента &lt;podis:lifeCycleDate&gt; может быть только один дочерний элемент &lt;podis:nextDateValid&gt;.</w:t>
      </w:r>
    </w:p>
    <w:p w14:paraId="717BB912" w14:textId="77777777" w:rsidR="00CE6209" w:rsidRPr="00D934B1" w:rsidRDefault="00CE6209" w:rsidP="00CE6209">
      <w:pPr>
        <w:spacing w:before="120" w:after="120"/>
        <w:ind w:firstLine="567"/>
        <w:jc w:val="both"/>
        <w:rPr>
          <w:rFonts w:ascii="Garamond" w:hAnsi="Garamond"/>
          <w:b/>
          <w:bCs/>
          <w:sz w:val="22"/>
          <w:szCs w:val="22"/>
        </w:rPr>
      </w:pPr>
      <w:r w:rsidRPr="00D934B1">
        <w:rPr>
          <w:rFonts w:ascii="Garamond" w:hAnsi="Garamond"/>
          <w:b/>
          <w:bCs/>
          <w:sz w:val="22"/>
          <w:szCs w:val="22"/>
        </w:rPr>
        <w:t>2.1.2.1.2.1.3.2.1.3.1. &lt;podis:nextDateValid&gt;</w:t>
      </w:r>
    </w:p>
    <w:p w14:paraId="3277DB61" w14:textId="77777777" w:rsidR="00CE6209" w:rsidRPr="00D934B1" w:rsidRDefault="00CE6209" w:rsidP="00CE6209">
      <w:pPr>
        <w:spacing w:before="120" w:after="120"/>
        <w:ind w:firstLine="567"/>
        <w:jc w:val="both"/>
        <w:rPr>
          <w:rFonts w:ascii="Garamond" w:hAnsi="Garamond"/>
          <w:bCs/>
          <w:sz w:val="22"/>
          <w:szCs w:val="22"/>
        </w:rPr>
      </w:pPr>
      <w:r w:rsidRPr="00D934B1">
        <w:rPr>
          <w:rFonts w:ascii="Garamond" w:hAnsi="Garamond"/>
          <w:bCs/>
          <w:sz w:val="22"/>
          <w:szCs w:val="22"/>
        </w:rPr>
        <w:t>Элемент &lt;podis:nextDateValid&gt; содержит дату очередной поверки, дата в формате «ГГГГ-ММ-ДД». Является обязательным элементом.</w:t>
      </w:r>
    </w:p>
    <w:p w14:paraId="3B27EB2F" w14:textId="77777777" w:rsidR="00CE6209" w:rsidRPr="00D934B1" w:rsidRDefault="00CE6209" w:rsidP="00CE6209">
      <w:pPr>
        <w:spacing w:before="120" w:after="120"/>
        <w:ind w:firstLine="567"/>
        <w:jc w:val="both"/>
        <w:rPr>
          <w:rFonts w:ascii="Garamond" w:hAnsi="Garamond"/>
          <w:b/>
          <w:bCs/>
          <w:sz w:val="22"/>
          <w:szCs w:val="22"/>
        </w:rPr>
      </w:pPr>
      <w:r w:rsidRPr="00D934B1">
        <w:rPr>
          <w:rFonts w:ascii="Garamond" w:hAnsi="Garamond"/>
          <w:b/>
          <w:bCs/>
          <w:sz w:val="22"/>
          <w:szCs w:val="22"/>
        </w:rPr>
        <w:t>2.1.2.1.2.1.3.2.1.4. &lt;podis:customAttributes&gt;</w:t>
      </w:r>
    </w:p>
    <w:p w14:paraId="057646D7" w14:textId="77777777" w:rsidR="00CE6209" w:rsidRPr="00D934B1" w:rsidRDefault="00CE6209" w:rsidP="00CE6209">
      <w:pPr>
        <w:spacing w:before="120" w:after="120"/>
        <w:ind w:firstLine="567"/>
        <w:jc w:val="both"/>
        <w:rPr>
          <w:rFonts w:ascii="Garamond" w:hAnsi="Garamond"/>
          <w:bCs/>
          <w:sz w:val="22"/>
          <w:szCs w:val="22"/>
        </w:rPr>
      </w:pPr>
      <w:r w:rsidRPr="00D934B1">
        <w:rPr>
          <w:rFonts w:ascii="Garamond" w:hAnsi="Garamond"/>
          <w:bCs/>
          <w:sz w:val="22"/>
          <w:szCs w:val="22"/>
        </w:rPr>
        <w:t>Элемент &lt;podis:customAttributes&gt; содержит сведения о принадлежности трансформатора тока. Данный элемент должен содержаться только для измерительных трансформаторов тока и напряжения (&lt;podis:currentTransformer&gt; и &lt;podis:potentialTransformer&gt;), для остальных элементов не указывается.</w:t>
      </w:r>
    </w:p>
    <w:p w14:paraId="258854A3" w14:textId="77777777" w:rsidR="00CE6209" w:rsidRPr="00D934B1" w:rsidRDefault="00CE6209" w:rsidP="00CE6209">
      <w:pPr>
        <w:spacing w:before="120" w:after="120"/>
        <w:ind w:firstLine="567"/>
        <w:jc w:val="both"/>
        <w:rPr>
          <w:rFonts w:ascii="Garamond" w:hAnsi="Garamond"/>
          <w:bCs/>
          <w:sz w:val="22"/>
          <w:szCs w:val="22"/>
        </w:rPr>
      </w:pPr>
      <w:r w:rsidRPr="00D934B1">
        <w:rPr>
          <w:rFonts w:ascii="Garamond" w:hAnsi="Garamond"/>
          <w:bCs/>
          <w:sz w:val="22"/>
          <w:szCs w:val="22"/>
        </w:rPr>
        <w:t>Дочерними элементами &lt;podis:customAttributes&gt; являются элементы &lt;podis:name&gt; и &lt;podis:value&gt;. У элемента &lt;podis:customAttributes&gt; может быть только один дочерний элемент &lt;podis:name&gt; и &lt;podis:value&gt;.</w:t>
      </w:r>
    </w:p>
    <w:p w14:paraId="7A23C355" w14:textId="77777777" w:rsidR="00CE6209" w:rsidRPr="00D934B1" w:rsidRDefault="00CE6209" w:rsidP="00CE6209">
      <w:pPr>
        <w:spacing w:before="120" w:after="120"/>
        <w:ind w:firstLine="567"/>
        <w:jc w:val="both"/>
        <w:rPr>
          <w:rFonts w:ascii="Garamond" w:hAnsi="Garamond"/>
          <w:b/>
          <w:bCs/>
          <w:sz w:val="22"/>
          <w:szCs w:val="22"/>
        </w:rPr>
      </w:pPr>
      <w:r w:rsidRPr="00D934B1">
        <w:rPr>
          <w:rFonts w:ascii="Garamond" w:hAnsi="Garamond"/>
          <w:b/>
          <w:bCs/>
          <w:sz w:val="22"/>
          <w:szCs w:val="22"/>
        </w:rPr>
        <w:t>2.1.2.1.2.1.3.2.1.4.1. &lt;podis:name&gt;</w:t>
      </w:r>
    </w:p>
    <w:p w14:paraId="49099714" w14:textId="77777777" w:rsidR="00CE6209" w:rsidRPr="00D934B1" w:rsidRDefault="00CE6209" w:rsidP="00CE6209">
      <w:pPr>
        <w:spacing w:before="120" w:after="120"/>
        <w:ind w:firstLine="567"/>
        <w:jc w:val="both"/>
        <w:rPr>
          <w:rFonts w:ascii="Garamond" w:hAnsi="Garamond"/>
          <w:bCs/>
          <w:sz w:val="22"/>
          <w:szCs w:val="22"/>
        </w:rPr>
      </w:pPr>
      <w:r w:rsidRPr="00D934B1">
        <w:rPr>
          <w:rFonts w:ascii="Garamond" w:hAnsi="Garamond"/>
          <w:bCs/>
          <w:sz w:val="22"/>
          <w:szCs w:val="22"/>
        </w:rPr>
        <w:t>Элемент &lt;podis:name&gt; содержит имя дополнительного пользовательского элемента. Является обязательным элементом, принимает значение «assetOwnerKind».</w:t>
      </w:r>
    </w:p>
    <w:p w14:paraId="0FF5B635" w14:textId="77777777" w:rsidR="00CE6209" w:rsidRPr="00D934B1" w:rsidRDefault="00CE6209" w:rsidP="00CE6209">
      <w:pPr>
        <w:spacing w:before="120" w:after="120"/>
        <w:ind w:firstLine="567"/>
        <w:jc w:val="both"/>
        <w:rPr>
          <w:rFonts w:ascii="Garamond" w:hAnsi="Garamond"/>
          <w:b/>
          <w:bCs/>
          <w:sz w:val="22"/>
          <w:szCs w:val="22"/>
        </w:rPr>
      </w:pPr>
      <w:r w:rsidRPr="00D934B1">
        <w:rPr>
          <w:rFonts w:ascii="Garamond" w:hAnsi="Garamond"/>
          <w:b/>
          <w:bCs/>
          <w:sz w:val="22"/>
          <w:szCs w:val="22"/>
        </w:rPr>
        <w:t>2.1.2.1.2.1.3.2.1.4.2. &lt;podis:value&gt;</w:t>
      </w:r>
    </w:p>
    <w:p w14:paraId="605BBDDC" w14:textId="77777777" w:rsidR="00CE6209" w:rsidRPr="00D934B1" w:rsidRDefault="00CE6209" w:rsidP="00CE6209">
      <w:pPr>
        <w:spacing w:before="120" w:after="120"/>
        <w:ind w:firstLine="567"/>
        <w:jc w:val="both"/>
        <w:rPr>
          <w:rFonts w:ascii="Garamond" w:hAnsi="Garamond"/>
          <w:bCs/>
          <w:sz w:val="22"/>
          <w:szCs w:val="22"/>
        </w:rPr>
      </w:pPr>
      <w:r w:rsidRPr="00D934B1">
        <w:rPr>
          <w:rFonts w:ascii="Garamond" w:hAnsi="Garamond"/>
          <w:bCs/>
          <w:sz w:val="22"/>
          <w:szCs w:val="22"/>
        </w:rPr>
        <w:t xml:space="preserve">Элемент &lt;podis:value&gt; содержит значение дополнительного пользовательского элемента. Обязательный элемент, принимает значение «tso_or_gp» (если трансформатор тока принадлежит сетевой организации (гарантирующему поставщику)) или «other» – в противном случае. </w:t>
      </w:r>
    </w:p>
    <w:p w14:paraId="3A8F7A03" w14:textId="77777777" w:rsidR="00CE6209" w:rsidRPr="00D934B1" w:rsidRDefault="00CE6209" w:rsidP="00CE6209">
      <w:pPr>
        <w:spacing w:before="120" w:after="120"/>
        <w:ind w:firstLine="567"/>
        <w:jc w:val="both"/>
        <w:rPr>
          <w:rFonts w:ascii="Garamond" w:hAnsi="Garamond"/>
          <w:b/>
          <w:bCs/>
          <w:sz w:val="22"/>
          <w:szCs w:val="22"/>
        </w:rPr>
      </w:pPr>
      <w:r w:rsidRPr="00D934B1">
        <w:rPr>
          <w:rFonts w:ascii="Garamond" w:hAnsi="Garamond"/>
          <w:b/>
          <w:bCs/>
          <w:sz w:val="22"/>
          <w:szCs w:val="22"/>
        </w:rPr>
        <w:t>2.1.2.1.2.1.3.2.1.5. &lt;podis:currentTransformerInfo&gt;</w:t>
      </w:r>
    </w:p>
    <w:p w14:paraId="2D489DCE" w14:textId="77777777" w:rsidR="00CE6209" w:rsidRPr="00D934B1" w:rsidRDefault="00CE6209" w:rsidP="00CE6209">
      <w:pPr>
        <w:spacing w:before="120" w:after="120"/>
        <w:ind w:firstLine="567"/>
        <w:jc w:val="both"/>
        <w:rPr>
          <w:rFonts w:ascii="Garamond" w:hAnsi="Garamond"/>
          <w:bCs/>
          <w:sz w:val="22"/>
          <w:szCs w:val="22"/>
        </w:rPr>
      </w:pPr>
      <w:r w:rsidRPr="00D934B1">
        <w:rPr>
          <w:rFonts w:ascii="Garamond" w:hAnsi="Garamond"/>
          <w:bCs/>
          <w:sz w:val="22"/>
          <w:szCs w:val="22"/>
        </w:rPr>
        <w:t xml:space="preserve">Элемент &lt;podis:currentTransformerInfo&gt; содержит описание типа трансформатора тока. Является обязательным элементом. </w:t>
      </w:r>
    </w:p>
    <w:p w14:paraId="55DAC412" w14:textId="4195D333" w:rsidR="00CE6209" w:rsidRPr="00D934B1" w:rsidRDefault="00CE6209" w:rsidP="00CE6209">
      <w:pPr>
        <w:spacing w:before="120" w:after="120"/>
        <w:ind w:firstLine="567"/>
        <w:jc w:val="both"/>
        <w:rPr>
          <w:rFonts w:ascii="Garamond" w:hAnsi="Garamond"/>
          <w:bCs/>
          <w:sz w:val="22"/>
          <w:szCs w:val="22"/>
        </w:rPr>
      </w:pPr>
      <w:r w:rsidRPr="00D934B1">
        <w:rPr>
          <w:rFonts w:ascii="Garamond" w:hAnsi="Garamond"/>
          <w:bCs/>
          <w:sz w:val="22"/>
          <w:szCs w:val="22"/>
        </w:rPr>
        <w:t>Дочерними элементами &lt;podis:currentTransformerInfo&gt; являются элементы &lt;podis:mRID&gt;, &lt;podis:modelNumber&gt;, &lt;podis:ratedCurrent&gt;, &lt;podis:ratedSecondaryCurrent&gt;, &lt;podis:secondaryFlsRating&gt;, &lt;podis:accuracyClass&gt; и &lt;podis:regNumber&gt;. У элемента &lt;podis:currentTransformerInfo&gt; может быть только один дочерний элемент &lt;podis:mRID&gt;, &lt;podis:modelNumber&gt;, &lt;podis:ratedCurrent&gt;, &lt;podis:ratedSecondaryCurrent&gt;, &lt;podis:secondaryFlsRating&gt;, &lt;podis:accuracyClass&gt; и &lt;podis:regNumber&gt;.</w:t>
      </w:r>
      <w:r w:rsidR="009B5F03">
        <w:rPr>
          <w:rFonts w:ascii="Garamond" w:hAnsi="Garamond"/>
          <w:bCs/>
          <w:sz w:val="22"/>
          <w:szCs w:val="22"/>
        </w:rPr>
        <w:t xml:space="preserve"> </w:t>
      </w:r>
    </w:p>
    <w:p w14:paraId="44A0D762" w14:textId="77777777" w:rsidR="00CE6209" w:rsidRPr="00D934B1" w:rsidRDefault="00CE6209" w:rsidP="00CE6209">
      <w:pPr>
        <w:spacing w:before="120" w:after="120"/>
        <w:ind w:firstLine="567"/>
        <w:jc w:val="both"/>
        <w:rPr>
          <w:rFonts w:ascii="Garamond" w:hAnsi="Garamond"/>
          <w:b/>
          <w:bCs/>
          <w:sz w:val="22"/>
          <w:szCs w:val="22"/>
        </w:rPr>
      </w:pPr>
      <w:r w:rsidRPr="00D934B1">
        <w:rPr>
          <w:rFonts w:ascii="Garamond" w:hAnsi="Garamond"/>
          <w:b/>
          <w:bCs/>
          <w:sz w:val="22"/>
          <w:szCs w:val="22"/>
        </w:rPr>
        <w:t>2.1.2.1.2.1.3.2.1.5.1. &lt;podis:mRID&gt;</w:t>
      </w:r>
    </w:p>
    <w:p w14:paraId="69739334" w14:textId="77777777" w:rsidR="00CE6209" w:rsidRPr="00D934B1" w:rsidRDefault="00CE6209" w:rsidP="00CE6209">
      <w:pPr>
        <w:spacing w:before="120" w:after="120"/>
        <w:ind w:firstLine="567"/>
        <w:jc w:val="both"/>
        <w:rPr>
          <w:rFonts w:ascii="Garamond" w:hAnsi="Garamond"/>
          <w:bCs/>
          <w:sz w:val="22"/>
          <w:szCs w:val="22"/>
        </w:rPr>
      </w:pPr>
      <w:r w:rsidRPr="00D934B1">
        <w:rPr>
          <w:rFonts w:ascii="Garamond" w:hAnsi="Garamond"/>
          <w:bCs/>
          <w:sz w:val="22"/>
          <w:szCs w:val="22"/>
        </w:rPr>
        <w:t xml:space="preserve">Элемент &lt;podis:mRID&gt; содержит уникальный идентификатор типа трансформатора тока в ИСУ. Является обязательным элементом. Представляет из себя UUID – Universal Unique Identifier, универсальный идентификатор информации, состоящий из 36 символов. Генерируется при помощи основанного на </w:t>
      </w:r>
      <w:r w:rsidRPr="00D934B1">
        <w:rPr>
          <w:rFonts w:ascii="Garamond" w:hAnsi="Garamond"/>
          <w:bCs/>
          <w:sz w:val="22"/>
          <w:szCs w:val="22"/>
        </w:rPr>
        <w:lastRenderedPageBreak/>
        <w:t>именах алгоритма генерации, согласно ГОСТ Р ИСО/МЭК 9834-8-2011. При использовании основанного на именах алгоритма генерации согласно ГОСТ Р ИСО/МЭК 9834-8-2011 в качестве имени используется конкатенация следующих строк:</w:t>
      </w:r>
    </w:p>
    <w:p w14:paraId="11E33279" w14:textId="77777777" w:rsidR="00CE6209" w:rsidRPr="00D934B1" w:rsidRDefault="00CE6209" w:rsidP="00CE6209">
      <w:pPr>
        <w:spacing w:before="120" w:after="120"/>
        <w:ind w:firstLine="567"/>
        <w:jc w:val="both"/>
        <w:rPr>
          <w:rFonts w:ascii="Garamond" w:hAnsi="Garamond"/>
          <w:bCs/>
          <w:sz w:val="22"/>
          <w:szCs w:val="22"/>
        </w:rPr>
      </w:pPr>
      <w:r w:rsidRPr="00D934B1">
        <w:rPr>
          <w:rFonts w:ascii="Garamond" w:hAnsi="Garamond"/>
          <w:bCs/>
          <w:sz w:val="22"/>
          <w:szCs w:val="22"/>
        </w:rPr>
        <w:t>–</w:t>
      </w:r>
      <w:r w:rsidRPr="00D934B1">
        <w:rPr>
          <w:rFonts w:ascii="Garamond" w:hAnsi="Garamond"/>
          <w:bCs/>
          <w:sz w:val="22"/>
          <w:szCs w:val="22"/>
        </w:rPr>
        <w:tab/>
        <w:t xml:space="preserve"> идентификатор объекта в ИСУ (программном комплексе ИСУ, в котором ведется учет оборудования ИСУ);</w:t>
      </w:r>
    </w:p>
    <w:p w14:paraId="5413F3BE" w14:textId="7163D12E" w:rsidR="00CE6209" w:rsidRPr="00D934B1" w:rsidRDefault="00CE6209" w:rsidP="00CE6209">
      <w:pPr>
        <w:spacing w:before="120" w:after="120"/>
        <w:ind w:firstLine="567"/>
        <w:jc w:val="both"/>
        <w:rPr>
          <w:rFonts w:ascii="Garamond" w:hAnsi="Garamond"/>
          <w:bCs/>
          <w:sz w:val="22"/>
          <w:szCs w:val="22"/>
        </w:rPr>
      </w:pPr>
      <w:r w:rsidRPr="00D934B1">
        <w:rPr>
          <w:rFonts w:ascii="Garamond" w:hAnsi="Garamond"/>
          <w:bCs/>
          <w:sz w:val="22"/>
          <w:szCs w:val="22"/>
        </w:rPr>
        <w:t>–</w:t>
      </w:r>
      <w:r w:rsidRPr="00D934B1">
        <w:rPr>
          <w:rFonts w:ascii="Garamond" w:hAnsi="Garamond"/>
          <w:bCs/>
          <w:sz w:val="22"/>
          <w:szCs w:val="22"/>
        </w:rPr>
        <w:tab/>
        <w:t xml:space="preserve"> мнемоника сущности ПОДИС</w:t>
      </w:r>
      <w:r w:rsidR="009B5F03">
        <w:rPr>
          <w:rFonts w:ascii="Garamond" w:hAnsi="Garamond"/>
          <w:bCs/>
          <w:sz w:val="22"/>
          <w:szCs w:val="22"/>
        </w:rPr>
        <w:t xml:space="preserve"> – </w:t>
      </w:r>
      <w:r w:rsidRPr="00D934B1">
        <w:rPr>
          <w:rFonts w:ascii="Garamond" w:hAnsi="Garamond"/>
          <w:bCs/>
          <w:sz w:val="22"/>
          <w:szCs w:val="22"/>
        </w:rPr>
        <w:t>"CurrentTransformerInfo";</w:t>
      </w:r>
    </w:p>
    <w:p w14:paraId="1C7AAB2C" w14:textId="5AF3D526" w:rsidR="00CE6209" w:rsidRPr="00D934B1" w:rsidRDefault="00CE6209" w:rsidP="00CE6209">
      <w:pPr>
        <w:spacing w:before="120" w:after="120"/>
        <w:ind w:firstLine="567"/>
        <w:jc w:val="both"/>
        <w:rPr>
          <w:rFonts w:ascii="Garamond" w:hAnsi="Garamond"/>
          <w:bCs/>
          <w:sz w:val="22"/>
          <w:szCs w:val="22"/>
        </w:rPr>
      </w:pPr>
      <w:r w:rsidRPr="00D934B1">
        <w:rPr>
          <w:rFonts w:ascii="Garamond" w:hAnsi="Garamond"/>
          <w:bCs/>
          <w:sz w:val="22"/>
          <w:szCs w:val="22"/>
        </w:rPr>
        <w:t>–</w:t>
      </w:r>
      <w:r w:rsidRPr="00D934B1">
        <w:rPr>
          <w:rFonts w:ascii="Garamond" w:hAnsi="Garamond"/>
          <w:bCs/>
          <w:sz w:val="22"/>
          <w:szCs w:val="22"/>
        </w:rPr>
        <w:tab/>
        <w:t xml:space="preserve"> идентификатор ИСУ (при отсутствии идентификатора используется полное наименование организации</w:t>
      </w:r>
      <w:r w:rsidR="009B5F03">
        <w:rPr>
          <w:rFonts w:ascii="Garamond" w:hAnsi="Garamond"/>
          <w:bCs/>
          <w:sz w:val="22"/>
          <w:szCs w:val="22"/>
        </w:rPr>
        <w:t xml:space="preserve"> – </w:t>
      </w:r>
      <w:r w:rsidRPr="00D934B1">
        <w:rPr>
          <w:rFonts w:ascii="Garamond" w:hAnsi="Garamond"/>
          <w:bCs/>
          <w:sz w:val="22"/>
          <w:szCs w:val="22"/>
        </w:rPr>
        <w:t>владельца ИСУ).</w:t>
      </w:r>
    </w:p>
    <w:p w14:paraId="29058716" w14:textId="77777777" w:rsidR="00CE6209" w:rsidRPr="00D934B1" w:rsidRDefault="00CE6209" w:rsidP="00CE6209">
      <w:pPr>
        <w:spacing w:before="120" w:after="120"/>
        <w:ind w:firstLine="567"/>
        <w:jc w:val="both"/>
        <w:rPr>
          <w:rFonts w:ascii="Garamond" w:hAnsi="Garamond"/>
          <w:b/>
          <w:bCs/>
          <w:sz w:val="22"/>
          <w:szCs w:val="22"/>
        </w:rPr>
      </w:pPr>
      <w:r w:rsidRPr="00D934B1">
        <w:rPr>
          <w:rFonts w:ascii="Garamond" w:hAnsi="Garamond"/>
          <w:b/>
          <w:bCs/>
          <w:sz w:val="22"/>
          <w:szCs w:val="22"/>
        </w:rPr>
        <w:t>2.1.2.1.2.1.3.2.1.5.2. &lt;podis:modelNumber&gt;</w:t>
      </w:r>
    </w:p>
    <w:p w14:paraId="541C1123" w14:textId="77777777" w:rsidR="00CE6209" w:rsidRPr="00D934B1" w:rsidRDefault="00CE6209" w:rsidP="00CE6209">
      <w:pPr>
        <w:spacing w:before="120" w:after="120"/>
        <w:ind w:firstLine="567"/>
        <w:jc w:val="both"/>
        <w:rPr>
          <w:rFonts w:ascii="Garamond" w:hAnsi="Garamond"/>
          <w:bCs/>
          <w:sz w:val="22"/>
          <w:szCs w:val="22"/>
        </w:rPr>
      </w:pPr>
      <w:r w:rsidRPr="00D934B1">
        <w:rPr>
          <w:rFonts w:ascii="Garamond" w:hAnsi="Garamond"/>
          <w:bCs/>
          <w:sz w:val="22"/>
          <w:szCs w:val="22"/>
        </w:rPr>
        <w:t>Элемент &lt;podis:modelNumber&gt; содержит тип трансформатора тока. Тип должен быть приведен согласно данным, внесенным в Федеральный информационный фонд по обеспечению единства измерений. Текстовое поле длиной не более 80 символов. Является обязательным элементом.</w:t>
      </w:r>
    </w:p>
    <w:p w14:paraId="53CA43C1" w14:textId="77777777" w:rsidR="00CE6209" w:rsidRPr="00D934B1" w:rsidRDefault="00CE6209" w:rsidP="00CE6209">
      <w:pPr>
        <w:spacing w:before="120" w:after="120"/>
        <w:ind w:firstLine="567"/>
        <w:jc w:val="both"/>
        <w:rPr>
          <w:rFonts w:ascii="Garamond" w:hAnsi="Garamond"/>
          <w:b/>
          <w:bCs/>
          <w:sz w:val="22"/>
          <w:szCs w:val="22"/>
        </w:rPr>
      </w:pPr>
      <w:r w:rsidRPr="00D934B1">
        <w:rPr>
          <w:rFonts w:ascii="Garamond" w:hAnsi="Garamond"/>
          <w:b/>
          <w:bCs/>
          <w:sz w:val="22"/>
          <w:szCs w:val="22"/>
        </w:rPr>
        <w:t>2.1.2.1.2.1.3.2.1.5.3. &lt;podis:ratedCurrent&gt;</w:t>
      </w:r>
    </w:p>
    <w:p w14:paraId="11962D5D" w14:textId="77777777" w:rsidR="00CE6209" w:rsidRPr="00D934B1" w:rsidRDefault="00CE6209" w:rsidP="00CE6209">
      <w:pPr>
        <w:spacing w:before="120" w:after="120"/>
        <w:ind w:firstLine="567"/>
        <w:jc w:val="both"/>
        <w:rPr>
          <w:rFonts w:ascii="Garamond" w:hAnsi="Garamond"/>
          <w:bCs/>
          <w:sz w:val="22"/>
          <w:szCs w:val="22"/>
        </w:rPr>
      </w:pPr>
      <w:r w:rsidRPr="00D934B1">
        <w:rPr>
          <w:rFonts w:ascii="Garamond" w:hAnsi="Garamond"/>
          <w:bCs/>
          <w:sz w:val="22"/>
          <w:szCs w:val="22"/>
        </w:rPr>
        <w:t>Элемент &lt;podis:ratedCurrent&gt; содержит номинальный первичный ток (ток первичной обмотки), размерность: А (Ампер). Является обязательным элементом. Положительное число, содержащее от 1 до 6 знаков до десятичного разделителя и от 1 до 3 знаков после десятичного разделителя, значение «0» недопустимо. В качестве десятичного разделителя должна быть использована точка. Допускается использовать только один десятичный разделитель. В случае отсутствия символов после десятичного разделителя он должен отсутствовать. В случае использования цифрового выхода трансформатора тока для передачи информации о результатах измерений на прибор учета, значение данного элемента равняется значению элемента &lt;podis:ratedSecondaryCurrent&gt;.</w:t>
      </w:r>
    </w:p>
    <w:p w14:paraId="495711FD" w14:textId="77777777" w:rsidR="00CE6209" w:rsidRPr="00D934B1" w:rsidRDefault="00CE6209" w:rsidP="00CE6209">
      <w:pPr>
        <w:spacing w:before="120" w:after="120"/>
        <w:ind w:firstLine="567"/>
        <w:jc w:val="both"/>
        <w:rPr>
          <w:rFonts w:ascii="Garamond" w:hAnsi="Garamond"/>
          <w:b/>
          <w:bCs/>
          <w:sz w:val="22"/>
          <w:szCs w:val="22"/>
        </w:rPr>
      </w:pPr>
      <w:r w:rsidRPr="00D934B1">
        <w:rPr>
          <w:rFonts w:ascii="Garamond" w:hAnsi="Garamond"/>
          <w:b/>
          <w:bCs/>
          <w:sz w:val="22"/>
          <w:szCs w:val="22"/>
        </w:rPr>
        <w:t>2.1.2.1.2.1.3.2.1.5.4. &lt;podis:ratedSecondaryCurrent&gt;</w:t>
      </w:r>
    </w:p>
    <w:p w14:paraId="2C5A0282" w14:textId="77777777" w:rsidR="00CE6209" w:rsidRPr="00D934B1" w:rsidRDefault="00CE6209" w:rsidP="00CE6209">
      <w:pPr>
        <w:spacing w:before="120" w:after="120"/>
        <w:ind w:firstLine="567"/>
        <w:jc w:val="both"/>
        <w:rPr>
          <w:rFonts w:ascii="Garamond" w:hAnsi="Garamond"/>
          <w:bCs/>
          <w:sz w:val="22"/>
          <w:szCs w:val="22"/>
        </w:rPr>
      </w:pPr>
      <w:r w:rsidRPr="00D934B1">
        <w:rPr>
          <w:rFonts w:ascii="Garamond" w:hAnsi="Garamond"/>
          <w:bCs/>
          <w:sz w:val="22"/>
          <w:szCs w:val="22"/>
        </w:rPr>
        <w:t>Элемент &lt;podis:ratedSecondaryCurrent&gt; содержит номинальный вторичный ток (ток вторичной обмотки), размерность: А (Ампер). Является обязательным элементом. Положительное число, содержащее от 1 до 6 знаков до десятичного разделителя и от 1 до 3 знаков после десятичного разделителя, значение «0» недопустимо. В качестве десятичного разделителя должна быть использована точка. Допускается использовать только один десятичный разделитель. В случае отсутствия символов после десятичного разделителя он должен отсутствовать. В случае использования цифрового выхода трансформатора тока для передачи информации о результатах измерений на прибор учета, значение данного элемента равняется значению элемента &lt;podis:ratedCurrent&gt;.</w:t>
      </w:r>
    </w:p>
    <w:p w14:paraId="141F08C6" w14:textId="77777777" w:rsidR="00CE6209" w:rsidRPr="00D934B1" w:rsidRDefault="00CE6209" w:rsidP="00CE6209">
      <w:pPr>
        <w:spacing w:before="120" w:after="120"/>
        <w:ind w:firstLine="567"/>
        <w:jc w:val="both"/>
        <w:rPr>
          <w:rFonts w:ascii="Garamond" w:hAnsi="Garamond"/>
          <w:b/>
          <w:bCs/>
          <w:sz w:val="22"/>
          <w:szCs w:val="22"/>
        </w:rPr>
      </w:pPr>
      <w:r w:rsidRPr="00D934B1">
        <w:rPr>
          <w:rFonts w:ascii="Garamond" w:hAnsi="Garamond"/>
          <w:b/>
          <w:bCs/>
          <w:sz w:val="22"/>
          <w:szCs w:val="22"/>
        </w:rPr>
        <w:t>2.1.2.1.2.1.3.2.1.5.5. &lt;podis:secondaryFlsRating&gt;</w:t>
      </w:r>
    </w:p>
    <w:p w14:paraId="05A05BB7" w14:textId="77777777" w:rsidR="00CE6209" w:rsidRPr="00D934B1" w:rsidRDefault="00CE6209" w:rsidP="00CE6209">
      <w:pPr>
        <w:spacing w:before="120" w:after="120"/>
        <w:ind w:firstLine="567"/>
        <w:jc w:val="both"/>
        <w:rPr>
          <w:rFonts w:ascii="Garamond" w:hAnsi="Garamond"/>
          <w:bCs/>
          <w:sz w:val="22"/>
          <w:szCs w:val="22"/>
        </w:rPr>
      </w:pPr>
      <w:r w:rsidRPr="00D934B1">
        <w:rPr>
          <w:rFonts w:ascii="Garamond" w:hAnsi="Garamond"/>
          <w:bCs/>
          <w:sz w:val="22"/>
          <w:szCs w:val="22"/>
        </w:rPr>
        <w:t xml:space="preserve">Элемент &lt;podis:secondaryFlsRating&gt; содержит данные о номинальной нагрузке вторичных цепей, размерность: ВА (Вольт-ампер). Элемент должен отсутствовать в случае использования цифрового выхода трансформатора тока для передачи информации о результатах измерений на прибор учета, в остальных случаях является обязательным. Положительное число, содержащее от 1 до 6 знаков до десятичного разделителя и от 1 до 3 знаков после десятичного разделителя, значение «0» недопустимо. В качестве десятичного разделителя должна быть использована точка. Допускается использовать только один десятичный разделитель. В случае отсутствия символов после десятичного разделителя он должен отсутствовать. </w:t>
      </w:r>
    </w:p>
    <w:p w14:paraId="73EB2F67" w14:textId="77777777" w:rsidR="00CE6209" w:rsidRPr="00D934B1" w:rsidRDefault="00CE6209" w:rsidP="00CE6209">
      <w:pPr>
        <w:spacing w:before="120" w:after="120"/>
        <w:ind w:firstLine="567"/>
        <w:jc w:val="both"/>
        <w:rPr>
          <w:rFonts w:ascii="Garamond" w:hAnsi="Garamond"/>
          <w:b/>
          <w:bCs/>
          <w:sz w:val="22"/>
          <w:szCs w:val="22"/>
        </w:rPr>
      </w:pPr>
      <w:r w:rsidRPr="00D934B1">
        <w:rPr>
          <w:rFonts w:ascii="Garamond" w:hAnsi="Garamond"/>
          <w:b/>
          <w:bCs/>
          <w:sz w:val="22"/>
          <w:szCs w:val="22"/>
        </w:rPr>
        <w:t>2.1.2.1.2.1.3.2.1.5.6. &lt;podis:accuracyClass&gt;</w:t>
      </w:r>
    </w:p>
    <w:p w14:paraId="20867DE7" w14:textId="77777777" w:rsidR="00CE6209" w:rsidRPr="00D934B1" w:rsidRDefault="00CE6209" w:rsidP="00CE6209">
      <w:pPr>
        <w:spacing w:before="120" w:after="120"/>
        <w:ind w:firstLine="567"/>
        <w:jc w:val="both"/>
        <w:rPr>
          <w:rFonts w:ascii="Garamond" w:hAnsi="Garamond"/>
          <w:bCs/>
          <w:sz w:val="22"/>
          <w:szCs w:val="22"/>
        </w:rPr>
      </w:pPr>
      <w:r w:rsidRPr="00D934B1">
        <w:rPr>
          <w:rFonts w:ascii="Garamond" w:hAnsi="Garamond"/>
          <w:bCs/>
          <w:sz w:val="22"/>
          <w:szCs w:val="22"/>
        </w:rPr>
        <w:t>Элемент &lt;podis:accuracyClass&gt; содержит класс точности трансформатора тока. Является обязательным элементом. Текстовое поле, содержащее от 1 до 3 символов до десятичного разделителя и от 1 до 3 символов после десятичного разделителя. В качестве десятичного разделителя должна быть использована точка. Допускается использовать только один десятичный разделитель. В случае отсутствия символов после десятичного разделителя он должен отсутствовать.</w:t>
      </w:r>
    </w:p>
    <w:p w14:paraId="6298C794" w14:textId="77777777" w:rsidR="00CE6209" w:rsidRPr="00D934B1" w:rsidRDefault="00CE6209" w:rsidP="00CE6209">
      <w:pPr>
        <w:spacing w:before="120" w:after="120"/>
        <w:ind w:firstLine="567"/>
        <w:jc w:val="both"/>
        <w:rPr>
          <w:rFonts w:ascii="Garamond" w:hAnsi="Garamond"/>
          <w:b/>
          <w:bCs/>
          <w:sz w:val="22"/>
          <w:szCs w:val="22"/>
        </w:rPr>
      </w:pPr>
      <w:r w:rsidRPr="00D934B1">
        <w:rPr>
          <w:rFonts w:ascii="Garamond" w:hAnsi="Garamond"/>
          <w:b/>
          <w:bCs/>
          <w:sz w:val="22"/>
          <w:szCs w:val="22"/>
        </w:rPr>
        <w:t>2.1.2.1.2.1.3.2.1.5.7. &lt;podis:regNumber&gt;</w:t>
      </w:r>
    </w:p>
    <w:p w14:paraId="1A2D6F9B" w14:textId="77777777" w:rsidR="00CE6209" w:rsidRPr="00D934B1" w:rsidRDefault="00CE6209" w:rsidP="00CE6209">
      <w:pPr>
        <w:spacing w:before="120" w:after="120"/>
        <w:ind w:firstLine="567"/>
        <w:jc w:val="both"/>
        <w:rPr>
          <w:rFonts w:ascii="Garamond" w:hAnsi="Garamond"/>
          <w:bCs/>
          <w:sz w:val="22"/>
          <w:szCs w:val="22"/>
        </w:rPr>
      </w:pPr>
      <w:r w:rsidRPr="00D934B1">
        <w:rPr>
          <w:rFonts w:ascii="Garamond" w:hAnsi="Garamond"/>
          <w:bCs/>
          <w:sz w:val="22"/>
          <w:szCs w:val="22"/>
        </w:rPr>
        <w:t>Элемент &lt;podis:regNumber&gt; содержит регистрационный номер трансформатора тока в Федеральном информационном фонде по обеспечению единства измерений (Госреестр). Текстовое поле длиной не более 20 символов. Является обязательным элементом.</w:t>
      </w:r>
    </w:p>
    <w:p w14:paraId="5C1F43EE" w14:textId="77777777" w:rsidR="00CE6209" w:rsidRPr="00D934B1" w:rsidRDefault="00CE6209" w:rsidP="00101F7C">
      <w:pPr>
        <w:pStyle w:val="ac"/>
        <w:numPr>
          <w:ilvl w:val="8"/>
          <w:numId w:val="104"/>
        </w:numPr>
        <w:spacing w:before="120" w:after="120"/>
        <w:ind w:left="1134" w:hanging="567"/>
        <w:jc w:val="both"/>
        <w:rPr>
          <w:rFonts w:ascii="Garamond" w:hAnsi="Garamond"/>
          <w:b/>
          <w:bCs/>
          <w:sz w:val="22"/>
          <w:szCs w:val="22"/>
        </w:rPr>
      </w:pPr>
      <w:r w:rsidRPr="00D934B1">
        <w:rPr>
          <w:rFonts w:ascii="Garamond" w:hAnsi="Garamond"/>
          <w:b/>
          <w:bCs/>
          <w:sz w:val="22"/>
          <w:szCs w:val="22"/>
        </w:rPr>
        <w:t>&lt;podis:potentialTransformer&gt;</w:t>
      </w:r>
    </w:p>
    <w:p w14:paraId="367DEB43" w14:textId="77777777" w:rsidR="00CE6209" w:rsidRPr="00D934B1" w:rsidRDefault="00CE6209" w:rsidP="00CE6209">
      <w:pPr>
        <w:spacing w:before="120" w:after="120"/>
        <w:ind w:firstLine="567"/>
        <w:jc w:val="both"/>
        <w:rPr>
          <w:rFonts w:ascii="Garamond" w:hAnsi="Garamond"/>
          <w:bCs/>
          <w:sz w:val="22"/>
          <w:szCs w:val="22"/>
        </w:rPr>
      </w:pPr>
      <w:r w:rsidRPr="00D934B1">
        <w:rPr>
          <w:rFonts w:ascii="Garamond" w:hAnsi="Garamond"/>
          <w:bCs/>
          <w:sz w:val="22"/>
          <w:szCs w:val="22"/>
        </w:rPr>
        <w:lastRenderedPageBreak/>
        <w:t>Элемент &lt;podis:potentialTransformer&gt; содержит информацию о трансформаторе напряжения. Является необязательным элементом и может присутствовать только при наличии в макете элемента &lt;podis:currentTransformer&gt; для соответствующего &lt;podis:usagePoint&gt;. При использовании в конкретной точке измерений (элемент &lt;podis:usagePoint&gt;) прибора учета (элемент &lt;podis:meter&gt;) с классом точности (элемент &lt;podis:accuracyClass&gt;) 1.0 по активной электроэнергии, элементы &lt;podis:potentialTransformer&gt; должны отсутствовать в макете для такой точки измерений. Допускается наличие не более шести элементов &lt;podis:potentialTransformer&gt; для одного элемента &lt;podis:equipments&gt;.</w:t>
      </w:r>
    </w:p>
    <w:p w14:paraId="17B72F1A" w14:textId="5B132CF6" w:rsidR="00CE6209" w:rsidRPr="00FA57FB" w:rsidRDefault="00CE6209" w:rsidP="00CE6209">
      <w:pPr>
        <w:spacing w:before="120" w:after="120"/>
        <w:ind w:firstLine="567"/>
        <w:jc w:val="both"/>
        <w:rPr>
          <w:rFonts w:ascii="Garamond" w:hAnsi="Garamond"/>
          <w:sz w:val="22"/>
          <w:szCs w:val="22"/>
          <w:lang w:val="en-US"/>
        </w:rPr>
      </w:pPr>
      <w:r w:rsidRPr="00D934B1">
        <w:rPr>
          <w:rFonts w:ascii="Garamond" w:hAnsi="Garamond"/>
          <w:bCs/>
          <w:sz w:val="22"/>
          <w:szCs w:val="22"/>
        </w:rPr>
        <w:t>Дочерними</w:t>
      </w:r>
      <w:r w:rsidRPr="00FA57FB">
        <w:rPr>
          <w:rFonts w:ascii="Garamond" w:hAnsi="Garamond"/>
          <w:sz w:val="22"/>
          <w:szCs w:val="22"/>
          <w:lang w:val="en-US"/>
        </w:rPr>
        <w:t xml:space="preserve"> </w:t>
      </w:r>
      <w:r w:rsidRPr="00D934B1">
        <w:rPr>
          <w:rFonts w:ascii="Garamond" w:hAnsi="Garamond"/>
          <w:bCs/>
          <w:sz w:val="22"/>
          <w:szCs w:val="22"/>
        </w:rPr>
        <w:t>элементами</w:t>
      </w:r>
      <w:r w:rsidRPr="00FA57FB">
        <w:rPr>
          <w:rFonts w:ascii="Garamond" w:hAnsi="Garamond"/>
          <w:sz w:val="22"/>
          <w:szCs w:val="22"/>
          <w:lang w:val="en-US"/>
        </w:rPr>
        <w:t xml:space="preserve"> &lt;</w:t>
      </w:r>
      <w:r w:rsidRPr="00D934B1">
        <w:rPr>
          <w:rFonts w:ascii="Garamond" w:hAnsi="Garamond"/>
          <w:bCs/>
          <w:sz w:val="22"/>
          <w:szCs w:val="22"/>
          <w:lang w:val="en-US"/>
        </w:rPr>
        <w:t>podis</w:t>
      </w:r>
      <w:r w:rsidRPr="00FA57FB">
        <w:rPr>
          <w:rFonts w:ascii="Garamond" w:hAnsi="Garamond"/>
          <w:sz w:val="22"/>
          <w:szCs w:val="22"/>
          <w:lang w:val="en-US"/>
        </w:rPr>
        <w:t>:</w:t>
      </w:r>
      <w:r w:rsidRPr="00D934B1">
        <w:rPr>
          <w:rFonts w:ascii="Garamond" w:hAnsi="Garamond"/>
          <w:bCs/>
          <w:sz w:val="22"/>
          <w:szCs w:val="22"/>
          <w:lang w:val="en-US"/>
        </w:rPr>
        <w:t>potentialTransformer</w:t>
      </w:r>
      <w:r w:rsidRPr="00FA57FB">
        <w:rPr>
          <w:rFonts w:ascii="Garamond" w:hAnsi="Garamond"/>
          <w:sz w:val="22"/>
          <w:szCs w:val="22"/>
          <w:lang w:val="en-US"/>
        </w:rPr>
        <w:t xml:space="preserve">&gt; </w:t>
      </w:r>
      <w:r w:rsidRPr="00D934B1">
        <w:rPr>
          <w:rFonts w:ascii="Garamond" w:hAnsi="Garamond"/>
          <w:bCs/>
          <w:sz w:val="22"/>
          <w:szCs w:val="22"/>
        </w:rPr>
        <w:t>являются</w:t>
      </w:r>
      <w:r w:rsidRPr="00FA57FB">
        <w:rPr>
          <w:rFonts w:ascii="Garamond" w:hAnsi="Garamond"/>
          <w:sz w:val="22"/>
          <w:szCs w:val="22"/>
          <w:lang w:val="en-US"/>
        </w:rPr>
        <w:t xml:space="preserve"> </w:t>
      </w:r>
      <w:r w:rsidRPr="00D934B1">
        <w:rPr>
          <w:rFonts w:ascii="Garamond" w:hAnsi="Garamond"/>
          <w:bCs/>
          <w:sz w:val="22"/>
          <w:szCs w:val="22"/>
        </w:rPr>
        <w:t>элементы</w:t>
      </w:r>
      <w:r w:rsidRPr="00FA57FB">
        <w:rPr>
          <w:rFonts w:ascii="Garamond" w:hAnsi="Garamond"/>
          <w:sz w:val="22"/>
          <w:szCs w:val="22"/>
          <w:lang w:val="en-US"/>
        </w:rPr>
        <w:t xml:space="preserve"> &lt;</w:t>
      </w:r>
      <w:r w:rsidRPr="00D934B1">
        <w:rPr>
          <w:rFonts w:ascii="Garamond" w:hAnsi="Garamond"/>
          <w:bCs/>
          <w:sz w:val="22"/>
          <w:szCs w:val="22"/>
          <w:lang w:val="en-US"/>
        </w:rPr>
        <w:t>podis</w:t>
      </w:r>
      <w:r w:rsidRPr="00FA57FB">
        <w:rPr>
          <w:rFonts w:ascii="Garamond" w:hAnsi="Garamond"/>
          <w:sz w:val="22"/>
          <w:szCs w:val="22"/>
          <w:lang w:val="en-US"/>
        </w:rPr>
        <w:t>:</w:t>
      </w:r>
      <w:r w:rsidRPr="00D934B1">
        <w:rPr>
          <w:rFonts w:ascii="Garamond" w:hAnsi="Garamond"/>
          <w:bCs/>
          <w:sz w:val="22"/>
          <w:szCs w:val="22"/>
          <w:lang w:val="en-US"/>
        </w:rPr>
        <w:t>mRID</w:t>
      </w:r>
      <w:r w:rsidRPr="00FA57FB">
        <w:rPr>
          <w:rFonts w:ascii="Garamond" w:hAnsi="Garamond"/>
          <w:sz w:val="22"/>
          <w:szCs w:val="22"/>
          <w:lang w:val="en-US"/>
        </w:rPr>
        <w:t>&gt;, &lt;</w:t>
      </w:r>
      <w:r w:rsidRPr="00D934B1">
        <w:rPr>
          <w:rFonts w:ascii="Garamond" w:hAnsi="Garamond"/>
          <w:bCs/>
          <w:sz w:val="22"/>
          <w:szCs w:val="22"/>
          <w:lang w:val="en-US"/>
        </w:rPr>
        <w:t>podis</w:t>
      </w:r>
      <w:r w:rsidRPr="00FA57FB">
        <w:rPr>
          <w:rFonts w:ascii="Garamond" w:hAnsi="Garamond"/>
          <w:sz w:val="22"/>
          <w:szCs w:val="22"/>
          <w:lang w:val="en-US"/>
        </w:rPr>
        <w:t>:</w:t>
      </w:r>
      <w:r w:rsidRPr="00D934B1">
        <w:rPr>
          <w:rFonts w:ascii="Garamond" w:hAnsi="Garamond"/>
          <w:bCs/>
          <w:sz w:val="22"/>
          <w:szCs w:val="22"/>
          <w:lang w:val="en-US"/>
        </w:rPr>
        <w:t>lifeCycleDate</w:t>
      </w:r>
      <w:r w:rsidRPr="00FA57FB">
        <w:rPr>
          <w:rFonts w:ascii="Garamond" w:hAnsi="Garamond"/>
          <w:sz w:val="22"/>
          <w:szCs w:val="22"/>
          <w:lang w:val="en-US"/>
        </w:rPr>
        <w:t>&gt;,</w:t>
      </w:r>
      <w:r w:rsidR="009B5F03">
        <w:rPr>
          <w:rFonts w:ascii="Garamond" w:hAnsi="Garamond"/>
          <w:sz w:val="22"/>
          <w:szCs w:val="22"/>
          <w:lang w:val="en-US"/>
        </w:rPr>
        <w:t xml:space="preserve"> </w:t>
      </w:r>
      <w:r w:rsidRPr="00FA57FB">
        <w:rPr>
          <w:rFonts w:ascii="Garamond" w:hAnsi="Garamond"/>
          <w:sz w:val="22"/>
          <w:szCs w:val="22"/>
          <w:lang w:val="en-US"/>
        </w:rPr>
        <w:t>&lt;</w:t>
      </w:r>
      <w:r w:rsidRPr="00D934B1">
        <w:rPr>
          <w:rFonts w:ascii="Garamond" w:hAnsi="Garamond"/>
          <w:bCs/>
          <w:sz w:val="22"/>
          <w:szCs w:val="22"/>
          <w:lang w:val="en-US"/>
        </w:rPr>
        <w:t>podis</w:t>
      </w:r>
      <w:r w:rsidRPr="00FA57FB">
        <w:rPr>
          <w:rFonts w:ascii="Garamond" w:hAnsi="Garamond"/>
          <w:sz w:val="22"/>
          <w:szCs w:val="22"/>
          <w:lang w:val="en-US"/>
        </w:rPr>
        <w:t>:</w:t>
      </w:r>
      <w:r w:rsidRPr="00D934B1">
        <w:rPr>
          <w:rFonts w:ascii="Garamond" w:hAnsi="Garamond"/>
          <w:bCs/>
          <w:sz w:val="22"/>
          <w:szCs w:val="22"/>
          <w:lang w:val="en-US"/>
        </w:rPr>
        <w:t>customAttributes</w:t>
      </w:r>
      <w:r w:rsidRPr="00FA57FB">
        <w:rPr>
          <w:rFonts w:ascii="Garamond" w:hAnsi="Garamond"/>
          <w:sz w:val="22"/>
          <w:szCs w:val="22"/>
          <w:lang w:val="en-US"/>
        </w:rPr>
        <w:t>&gt;, &lt;</w:t>
      </w:r>
      <w:r w:rsidRPr="00D934B1">
        <w:rPr>
          <w:rFonts w:ascii="Garamond" w:hAnsi="Garamond"/>
          <w:bCs/>
          <w:sz w:val="22"/>
          <w:szCs w:val="22"/>
          <w:lang w:val="en-US"/>
        </w:rPr>
        <w:t>podis</w:t>
      </w:r>
      <w:r w:rsidRPr="00FA57FB">
        <w:rPr>
          <w:rFonts w:ascii="Garamond" w:hAnsi="Garamond"/>
          <w:sz w:val="22"/>
          <w:szCs w:val="22"/>
          <w:lang w:val="en-US"/>
        </w:rPr>
        <w:t>:</w:t>
      </w:r>
      <w:r w:rsidRPr="00D934B1">
        <w:rPr>
          <w:rFonts w:ascii="Garamond" w:hAnsi="Garamond"/>
          <w:bCs/>
          <w:sz w:val="22"/>
          <w:szCs w:val="22"/>
          <w:lang w:val="en-US"/>
        </w:rPr>
        <w:t>serialNumber</w:t>
      </w:r>
      <w:r w:rsidRPr="00FA57FB">
        <w:rPr>
          <w:rFonts w:ascii="Garamond" w:hAnsi="Garamond"/>
          <w:sz w:val="22"/>
          <w:szCs w:val="22"/>
          <w:lang w:val="en-US"/>
        </w:rPr>
        <w:t xml:space="preserve">&gt; </w:t>
      </w:r>
      <w:r w:rsidRPr="00D934B1">
        <w:rPr>
          <w:rFonts w:ascii="Garamond" w:hAnsi="Garamond"/>
          <w:bCs/>
          <w:sz w:val="22"/>
          <w:szCs w:val="22"/>
        </w:rPr>
        <w:t>и</w:t>
      </w:r>
      <w:r w:rsidRPr="00FA57FB">
        <w:rPr>
          <w:rFonts w:ascii="Garamond" w:hAnsi="Garamond"/>
          <w:sz w:val="22"/>
          <w:szCs w:val="22"/>
          <w:lang w:val="en-US"/>
        </w:rPr>
        <w:t xml:space="preserve"> &lt;</w:t>
      </w:r>
      <w:r w:rsidRPr="00D934B1">
        <w:rPr>
          <w:rFonts w:ascii="Garamond" w:hAnsi="Garamond"/>
          <w:bCs/>
          <w:sz w:val="22"/>
          <w:szCs w:val="22"/>
          <w:lang w:val="en-US"/>
        </w:rPr>
        <w:t>podis</w:t>
      </w:r>
      <w:r w:rsidRPr="00FA57FB">
        <w:rPr>
          <w:rFonts w:ascii="Garamond" w:hAnsi="Garamond"/>
          <w:sz w:val="22"/>
          <w:szCs w:val="22"/>
          <w:lang w:val="en-US"/>
        </w:rPr>
        <w:t>:</w:t>
      </w:r>
      <w:r w:rsidRPr="00D934B1">
        <w:rPr>
          <w:rFonts w:ascii="Garamond" w:hAnsi="Garamond"/>
          <w:bCs/>
          <w:sz w:val="22"/>
          <w:szCs w:val="22"/>
          <w:lang w:val="en-US"/>
        </w:rPr>
        <w:t>potentialTransformerInfo</w:t>
      </w:r>
      <w:r w:rsidRPr="00FA57FB">
        <w:rPr>
          <w:rFonts w:ascii="Garamond" w:hAnsi="Garamond"/>
          <w:sz w:val="22"/>
          <w:szCs w:val="22"/>
          <w:lang w:val="en-US"/>
        </w:rPr>
        <w:t xml:space="preserve">&gt;. </w:t>
      </w:r>
      <w:r w:rsidRPr="00D934B1">
        <w:rPr>
          <w:rFonts w:ascii="Garamond" w:hAnsi="Garamond"/>
          <w:bCs/>
          <w:sz w:val="22"/>
          <w:szCs w:val="22"/>
        </w:rPr>
        <w:t>У</w:t>
      </w:r>
      <w:r w:rsidRPr="00FA57FB">
        <w:rPr>
          <w:rFonts w:ascii="Garamond" w:hAnsi="Garamond"/>
          <w:sz w:val="22"/>
          <w:szCs w:val="22"/>
          <w:lang w:val="en-US"/>
        </w:rPr>
        <w:t xml:space="preserve"> </w:t>
      </w:r>
      <w:r w:rsidRPr="00D934B1">
        <w:rPr>
          <w:rFonts w:ascii="Garamond" w:hAnsi="Garamond"/>
          <w:bCs/>
          <w:sz w:val="22"/>
          <w:szCs w:val="22"/>
        </w:rPr>
        <w:t>элемента</w:t>
      </w:r>
      <w:r w:rsidRPr="00FA57FB">
        <w:rPr>
          <w:rFonts w:ascii="Garamond" w:hAnsi="Garamond"/>
          <w:sz w:val="22"/>
          <w:szCs w:val="22"/>
          <w:lang w:val="en-US"/>
        </w:rPr>
        <w:t xml:space="preserve"> &lt;</w:t>
      </w:r>
      <w:r w:rsidRPr="00D934B1">
        <w:rPr>
          <w:rFonts w:ascii="Garamond" w:hAnsi="Garamond"/>
          <w:bCs/>
          <w:sz w:val="22"/>
          <w:szCs w:val="22"/>
          <w:lang w:val="en-US"/>
        </w:rPr>
        <w:t>podis</w:t>
      </w:r>
      <w:r w:rsidRPr="00FA57FB">
        <w:rPr>
          <w:rFonts w:ascii="Garamond" w:hAnsi="Garamond"/>
          <w:sz w:val="22"/>
          <w:szCs w:val="22"/>
          <w:lang w:val="en-US"/>
        </w:rPr>
        <w:t>:</w:t>
      </w:r>
      <w:r w:rsidRPr="00D934B1">
        <w:rPr>
          <w:rFonts w:ascii="Garamond" w:hAnsi="Garamond"/>
          <w:bCs/>
          <w:sz w:val="22"/>
          <w:szCs w:val="22"/>
          <w:lang w:val="en-US"/>
        </w:rPr>
        <w:t>potentialTransformer</w:t>
      </w:r>
      <w:r w:rsidRPr="00FA57FB">
        <w:rPr>
          <w:rFonts w:ascii="Garamond" w:hAnsi="Garamond"/>
          <w:sz w:val="22"/>
          <w:szCs w:val="22"/>
          <w:lang w:val="en-US"/>
        </w:rPr>
        <w:t xml:space="preserve">&gt; </w:t>
      </w:r>
      <w:r w:rsidRPr="00D934B1">
        <w:rPr>
          <w:rFonts w:ascii="Garamond" w:hAnsi="Garamond"/>
          <w:bCs/>
          <w:sz w:val="22"/>
          <w:szCs w:val="22"/>
        </w:rPr>
        <w:t>может</w:t>
      </w:r>
      <w:r w:rsidRPr="00FA57FB">
        <w:rPr>
          <w:rFonts w:ascii="Garamond" w:hAnsi="Garamond"/>
          <w:sz w:val="22"/>
          <w:szCs w:val="22"/>
          <w:lang w:val="en-US"/>
        </w:rPr>
        <w:t xml:space="preserve"> </w:t>
      </w:r>
      <w:r w:rsidRPr="00D934B1">
        <w:rPr>
          <w:rFonts w:ascii="Garamond" w:hAnsi="Garamond"/>
          <w:bCs/>
          <w:sz w:val="22"/>
          <w:szCs w:val="22"/>
        </w:rPr>
        <w:t>быть</w:t>
      </w:r>
      <w:r w:rsidRPr="00FA57FB">
        <w:rPr>
          <w:rFonts w:ascii="Garamond" w:hAnsi="Garamond"/>
          <w:sz w:val="22"/>
          <w:szCs w:val="22"/>
          <w:lang w:val="en-US"/>
        </w:rPr>
        <w:t xml:space="preserve"> </w:t>
      </w:r>
      <w:r w:rsidRPr="00D934B1">
        <w:rPr>
          <w:rFonts w:ascii="Garamond" w:hAnsi="Garamond"/>
          <w:bCs/>
          <w:sz w:val="22"/>
          <w:szCs w:val="22"/>
        </w:rPr>
        <w:t>только</w:t>
      </w:r>
      <w:r w:rsidRPr="00FA57FB">
        <w:rPr>
          <w:rFonts w:ascii="Garamond" w:hAnsi="Garamond"/>
          <w:sz w:val="22"/>
          <w:szCs w:val="22"/>
          <w:lang w:val="en-US"/>
        </w:rPr>
        <w:t xml:space="preserve"> </w:t>
      </w:r>
      <w:r w:rsidRPr="00D934B1">
        <w:rPr>
          <w:rFonts w:ascii="Garamond" w:hAnsi="Garamond"/>
          <w:bCs/>
          <w:sz w:val="22"/>
          <w:szCs w:val="22"/>
        </w:rPr>
        <w:t>один</w:t>
      </w:r>
      <w:r w:rsidRPr="00FA57FB">
        <w:rPr>
          <w:rFonts w:ascii="Garamond" w:hAnsi="Garamond"/>
          <w:sz w:val="22"/>
          <w:szCs w:val="22"/>
          <w:lang w:val="en-US"/>
        </w:rPr>
        <w:t xml:space="preserve"> </w:t>
      </w:r>
      <w:r w:rsidRPr="00D934B1">
        <w:rPr>
          <w:rFonts w:ascii="Garamond" w:hAnsi="Garamond"/>
          <w:bCs/>
          <w:sz w:val="22"/>
          <w:szCs w:val="22"/>
        </w:rPr>
        <w:t>дочерний</w:t>
      </w:r>
      <w:r w:rsidRPr="00FA57FB">
        <w:rPr>
          <w:rFonts w:ascii="Garamond" w:hAnsi="Garamond"/>
          <w:sz w:val="22"/>
          <w:szCs w:val="22"/>
          <w:lang w:val="en-US"/>
        </w:rPr>
        <w:t xml:space="preserve"> </w:t>
      </w:r>
      <w:r w:rsidRPr="00D934B1">
        <w:rPr>
          <w:rFonts w:ascii="Garamond" w:hAnsi="Garamond"/>
          <w:bCs/>
          <w:sz w:val="22"/>
          <w:szCs w:val="22"/>
        </w:rPr>
        <w:t>элемент</w:t>
      </w:r>
      <w:r w:rsidRPr="00FA57FB">
        <w:rPr>
          <w:rFonts w:ascii="Garamond" w:hAnsi="Garamond"/>
          <w:sz w:val="22"/>
          <w:szCs w:val="22"/>
          <w:lang w:val="en-US"/>
        </w:rPr>
        <w:t xml:space="preserve"> &lt;</w:t>
      </w:r>
      <w:r w:rsidRPr="00D934B1">
        <w:rPr>
          <w:rFonts w:ascii="Garamond" w:hAnsi="Garamond"/>
          <w:bCs/>
          <w:sz w:val="22"/>
          <w:szCs w:val="22"/>
          <w:lang w:val="en-US"/>
        </w:rPr>
        <w:t>podis</w:t>
      </w:r>
      <w:r w:rsidRPr="00FA57FB">
        <w:rPr>
          <w:rFonts w:ascii="Garamond" w:hAnsi="Garamond"/>
          <w:sz w:val="22"/>
          <w:szCs w:val="22"/>
          <w:lang w:val="en-US"/>
        </w:rPr>
        <w:t>:</w:t>
      </w:r>
      <w:r w:rsidRPr="00D934B1">
        <w:rPr>
          <w:rFonts w:ascii="Garamond" w:hAnsi="Garamond"/>
          <w:bCs/>
          <w:sz w:val="22"/>
          <w:szCs w:val="22"/>
          <w:lang w:val="en-US"/>
        </w:rPr>
        <w:t>mRID</w:t>
      </w:r>
      <w:r w:rsidRPr="00FA57FB">
        <w:rPr>
          <w:rFonts w:ascii="Garamond" w:hAnsi="Garamond"/>
          <w:sz w:val="22"/>
          <w:szCs w:val="22"/>
          <w:lang w:val="en-US"/>
        </w:rPr>
        <w:t>&gt;, &lt;</w:t>
      </w:r>
      <w:r w:rsidRPr="00D934B1">
        <w:rPr>
          <w:rFonts w:ascii="Garamond" w:hAnsi="Garamond"/>
          <w:bCs/>
          <w:sz w:val="22"/>
          <w:szCs w:val="22"/>
          <w:lang w:val="en-US"/>
        </w:rPr>
        <w:t>podis</w:t>
      </w:r>
      <w:r w:rsidRPr="00FA57FB">
        <w:rPr>
          <w:rFonts w:ascii="Garamond" w:hAnsi="Garamond"/>
          <w:sz w:val="22"/>
          <w:szCs w:val="22"/>
          <w:lang w:val="en-US"/>
        </w:rPr>
        <w:t>:</w:t>
      </w:r>
      <w:r w:rsidRPr="00D934B1">
        <w:rPr>
          <w:rFonts w:ascii="Garamond" w:hAnsi="Garamond"/>
          <w:bCs/>
          <w:sz w:val="22"/>
          <w:szCs w:val="22"/>
          <w:lang w:val="en-US"/>
        </w:rPr>
        <w:t>lifeCycleDate</w:t>
      </w:r>
      <w:r w:rsidRPr="00FA57FB">
        <w:rPr>
          <w:rFonts w:ascii="Garamond" w:hAnsi="Garamond"/>
          <w:sz w:val="22"/>
          <w:szCs w:val="22"/>
          <w:lang w:val="en-US"/>
        </w:rPr>
        <w:t>&gt;,</w:t>
      </w:r>
      <w:r w:rsidR="009B5F03">
        <w:rPr>
          <w:rFonts w:ascii="Garamond" w:hAnsi="Garamond"/>
          <w:sz w:val="22"/>
          <w:szCs w:val="22"/>
          <w:lang w:val="en-US"/>
        </w:rPr>
        <w:t xml:space="preserve"> </w:t>
      </w:r>
      <w:r w:rsidRPr="00FA57FB">
        <w:rPr>
          <w:rFonts w:ascii="Garamond" w:hAnsi="Garamond"/>
          <w:sz w:val="22"/>
          <w:szCs w:val="22"/>
          <w:lang w:val="en-US"/>
        </w:rPr>
        <w:t>&lt;</w:t>
      </w:r>
      <w:r w:rsidRPr="00D934B1">
        <w:rPr>
          <w:rFonts w:ascii="Garamond" w:hAnsi="Garamond"/>
          <w:bCs/>
          <w:sz w:val="22"/>
          <w:szCs w:val="22"/>
          <w:lang w:val="en-US"/>
        </w:rPr>
        <w:t>podis</w:t>
      </w:r>
      <w:r w:rsidRPr="00FA57FB">
        <w:rPr>
          <w:rFonts w:ascii="Garamond" w:hAnsi="Garamond"/>
          <w:sz w:val="22"/>
          <w:szCs w:val="22"/>
          <w:lang w:val="en-US"/>
        </w:rPr>
        <w:t>:</w:t>
      </w:r>
      <w:r w:rsidRPr="00D934B1">
        <w:rPr>
          <w:rFonts w:ascii="Garamond" w:hAnsi="Garamond"/>
          <w:bCs/>
          <w:sz w:val="22"/>
          <w:szCs w:val="22"/>
          <w:lang w:val="en-US"/>
        </w:rPr>
        <w:t>customAttributes</w:t>
      </w:r>
      <w:r w:rsidRPr="00FA57FB">
        <w:rPr>
          <w:rFonts w:ascii="Garamond" w:hAnsi="Garamond"/>
          <w:sz w:val="22"/>
          <w:szCs w:val="22"/>
          <w:lang w:val="en-US"/>
        </w:rPr>
        <w:t>&gt;, &lt;</w:t>
      </w:r>
      <w:r w:rsidRPr="00D934B1">
        <w:rPr>
          <w:rFonts w:ascii="Garamond" w:hAnsi="Garamond"/>
          <w:bCs/>
          <w:sz w:val="22"/>
          <w:szCs w:val="22"/>
          <w:lang w:val="en-US"/>
        </w:rPr>
        <w:t>podis</w:t>
      </w:r>
      <w:r w:rsidRPr="00FA57FB">
        <w:rPr>
          <w:rFonts w:ascii="Garamond" w:hAnsi="Garamond"/>
          <w:sz w:val="22"/>
          <w:szCs w:val="22"/>
          <w:lang w:val="en-US"/>
        </w:rPr>
        <w:t>:</w:t>
      </w:r>
      <w:r w:rsidRPr="00D934B1">
        <w:rPr>
          <w:rFonts w:ascii="Garamond" w:hAnsi="Garamond"/>
          <w:bCs/>
          <w:sz w:val="22"/>
          <w:szCs w:val="22"/>
          <w:lang w:val="en-US"/>
        </w:rPr>
        <w:t>serialNumber</w:t>
      </w:r>
      <w:r w:rsidRPr="00FA57FB">
        <w:rPr>
          <w:rFonts w:ascii="Garamond" w:hAnsi="Garamond"/>
          <w:sz w:val="22"/>
          <w:szCs w:val="22"/>
          <w:lang w:val="en-US"/>
        </w:rPr>
        <w:t xml:space="preserve">&gt; </w:t>
      </w:r>
      <w:r w:rsidRPr="00D934B1">
        <w:rPr>
          <w:rFonts w:ascii="Garamond" w:hAnsi="Garamond"/>
          <w:bCs/>
          <w:sz w:val="22"/>
          <w:szCs w:val="22"/>
        </w:rPr>
        <w:t>и</w:t>
      </w:r>
      <w:r w:rsidRPr="00FA57FB">
        <w:rPr>
          <w:rFonts w:ascii="Garamond" w:hAnsi="Garamond"/>
          <w:sz w:val="22"/>
          <w:szCs w:val="22"/>
          <w:lang w:val="en-US"/>
        </w:rPr>
        <w:t xml:space="preserve"> &lt;</w:t>
      </w:r>
      <w:r w:rsidRPr="00D934B1">
        <w:rPr>
          <w:rFonts w:ascii="Garamond" w:hAnsi="Garamond"/>
          <w:bCs/>
          <w:sz w:val="22"/>
          <w:szCs w:val="22"/>
          <w:lang w:val="en-US"/>
        </w:rPr>
        <w:t>podis</w:t>
      </w:r>
      <w:r w:rsidRPr="00FA57FB">
        <w:rPr>
          <w:rFonts w:ascii="Garamond" w:hAnsi="Garamond"/>
          <w:sz w:val="22"/>
          <w:szCs w:val="22"/>
          <w:lang w:val="en-US"/>
        </w:rPr>
        <w:t>:</w:t>
      </w:r>
      <w:r w:rsidRPr="00D934B1">
        <w:rPr>
          <w:rFonts w:ascii="Garamond" w:hAnsi="Garamond"/>
          <w:bCs/>
          <w:sz w:val="22"/>
          <w:szCs w:val="22"/>
          <w:lang w:val="en-US"/>
        </w:rPr>
        <w:t>potentialTransformerInfo</w:t>
      </w:r>
      <w:r w:rsidRPr="00FA57FB">
        <w:rPr>
          <w:rFonts w:ascii="Garamond" w:hAnsi="Garamond"/>
          <w:sz w:val="22"/>
          <w:szCs w:val="22"/>
          <w:lang w:val="en-US"/>
        </w:rPr>
        <w:t>&gt;.</w:t>
      </w:r>
    </w:p>
    <w:p w14:paraId="6996B00A" w14:textId="77777777" w:rsidR="00CE6209" w:rsidRPr="00D934B1" w:rsidRDefault="00CE6209" w:rsidP="00CE6209">
      <w:pPr>
        <w:spacing w:before="120" w:after="120"/>
        <w:ind w:firstLine="567"/>
        <w:jc w:val="both"/>
        <w:rPr>
          <w:rFonts w:ascii="Garamond" w:hAnsi="Garamond"/>
          <w:b/>
          <w:bCs/>
          <w:sz w:val="22"/>
          <w:szCs w:val="22"/>
        </w:rPr>
      </w:pPr>
      <w:r w:rsidRPr="00D934B1">
        <w:rPr>
          <w:rFonts w:ascii="Garamond" w:hAnsi="Garamond"/>
          <w:b/>
          <w:bCs/>
          <w:sz w:val="22"/>
          <w:szCs w:val="22"/>
        </w:rPr>
        <w:t>2.1.2.1.2.1.3.2.2.1. &lt;podis:mRID&gt;</w:t>
      </w:r>
    </w:p>
    <w:p w14:paraId="54EC674B" w14:textId="5D1A9DFE" w:rsidR="00CE6209" w:rsidRPr="00D934B1" w:rsidRDefault="00CE6209" w:rsidP="00CE6209">
      <w:pPr>
        <w:spacing w:before="120" w:after="120"/>
        <w:ind w:firstLine="567"/>
        <w:jc w:val="both"/>
        <w:rPr>
          <w:rFonts w:ascii="Garamond" w:hAnsi="Garamond"/>
          <w:bCs/>
          <w:sz w:val="22"/>
          <w:szCs w:val="22"/>
        </w:rPr>
      </w:pPr>
      <w:r w:rsidRPr="00D934B1">
        <w:rPr>
          <w:rFonts w:ascii="Garamond" w:hAnsi="Garamond"/>
          <w:bCs/>
          <w:sz w:val="22"/>
          <w:szCs w:val="22"/>
        </w:rPr>
        <w:t>Элемент &lt;podis:mRID&gt; содержит уникальный идентификатор трансформатора напряжения в ИСУ. Является обязательным элементом. Представляет из себя UUID – Universal Unique Identifier, универсальный идентификатор информации, состоящий из 36 символов.</w:t>
      </w:r>
      <w:r w:rsidR="009B5F03">
        <w:rPr>
          <w:rFonts w:ascii="Garamond" w:hAnsi="Garamond"/>
          <w:bCs/>
          <w:sz w:val="22"/>
          <w:szCs w:val="22"/>
        </w:rPr>
        <w:t xml:space="preserve"> </w:t>
      </w:r>
      <w:r w:rsidRPr="00D934B1">
        <w:rPr>
          <w:rFonts w:ascii="Garamond" w:hAnsi="Garamond"/>
          <w:bCs/>
          <w:sz w:val="22"/>
          <w:szCs w:val="22"/>
        </w:rPr>
        <w:t>Генерируется при помощи основанного на именах алгоритма генерации, согласно ГОСТ Р ИСО/МЭК 9834-8-2011. При использовании основанного на именах алгоритма генерации согласно ГОСТ Р ИСО/МЭК 9834-8-2011 в качестве имени используется конкатенация следующих строк:</w:t>
      </w:r>
    </w:p>
    <w:p w14:paraId="0C438529" w14:textId="77777777" w:rsidR="00CE6209" w:rsidRPr="00D934B1" w:rsidRDefault="00CE6209" w:rsidP="00CE6209">
      <w:pPr>
        <w:spacing w:before="120" w:after="120"/>
        <w:ind w:firstLine="567"/>
        <w:jc w:val="both"/>
        <w:rPr>
          <w:rFonts w:ascii="Garamond" w:hAnsi="Garamond"/>
          <w:bCs/>
          <w:sz w:val="22"/>
          <w:szCs w:val="22"/>
        </w:rPr>
      </w:pPr>
      <w:r w:rsidRPr="00D934B1">
        <w:rPr>
          <w:rFonts w:ascii="Garamond" w:hAnsi="Garamond"/>
          <w:bCs/>
          <w:sz w:val="22"/>
          <w:szCs w:val="22"/>
        </w:rPr>
        <w:t>–</w:t>
      </w:r>
      <w:r w:rsidRPr="00D934B1">
        <w:rPr>
          <w:rFonts w:ascii="Garamond" w:hAnsi="Garamond"/>
          <w:bCs/>
          <w:sz w:val="22"/>
          <w:szCs w:val="22"/>
        </w:rPr>
        <w:tab/>
        <w:t xml:space="preserve"> идентификатор объекта в ИСУ (программном комплексе ИСУ, в котором ведется учет оборудования ИСУ);</w:t>
      </w:r>
    </w:p>
    <w:p w14:paraId="1558325D" w14:textId="46B55644" w:rsidR="00CE6209" w:rsidRPr="00D934B1" w:rsidRDefault="00CE6209" w:rsidP="00CE6209">
      <w:pPr>
        <w:spacing w:before="120" w:after="120"/>
        <w:ind w:firstLine="567"/>
        <w:jc w:val="both"/>
        <w:rPr>
          <w:rFonts w:ascii="Garamond" w:hAnsi="Garamond"/>
          <w:bCs/>
          <w:sz w:val="22"/>
          <w:szCs w:val="22"/>
        </w:rPr>
      </w:pPr>
      <w:r w:rsidRPr="00D934B1">
        <w:rPr>
          <w:rFonts w:ascii="Garamond" w:hAnsi="Garamond"/>
          <w:bCs/>
          <w:sz w:val="22"/>
          <w:szCs w:val="22"/>
        </w:rPr>
        <w:t>– мнемоника сущности ПОДИС</w:t>
      </w:r>
      <w:r w:rsidR="009B5F03">
        <w:rPr>
          <w:rFonts w:ascii="Garamond" w:hAnsi="Garamond"/>
          <w:bCs/>
          <w:sz w:val="22"/>
          <w:szCs w:val="22"/>
        </w:rPr>
        <w:t xml:space="preserve"> – </w:t>
      </w:r>
      <w:r w:rsidRPr="00D934B1">
        <w:rPr>
          <w:rFonts w:ascii="Garamond" w:hAnsi="Garamond"/>
          <w:bCs/>
          <w:sz w:val="22"/>
          <w:szCs w:val="22"/>
        </w:rPr>
        <w:t>"PotentialTransformer";</w:t>
      </w:r>
    </w:p>
    <w:p w14:paraId="7390E3A9" w14:textId="707DC22E" w:rsidR="00CE6209" w:rsidRPr="00D934B1" w:rsidRDefault="00CE6209" w:rsidP="00CE6209">
      <w:pPr>
        <w:spacing w:before="120" w:after="120"/>
        <w:ind w:firstLine="567"/>
        <w:jc w:val="both"/>
        <w:rPr>
          <w:rFonts w:ascii="Garamond" w:hAnsi="Garamond"/>
          <w:bCs/>
          <w:sz w:val="22"/>
          <w:szCs w:val="22"/>
        </w:rPr>
      </w:pPr>
      <w:r w:rsidRPr="00D934B1">
        <w:rPr>
          <w:rFonts w:ascii="Garamond" w:hAnsi="Garamond"/>
          <w:bCs/>
          <w:sz w:val="22"/>
          <w:szCs w:val="22"/>
        </w:rPr>
        <w:t>–</w:t>
      </w:r>
      <w:r w:rsidRPr="00D934B1">
        <w:rPr>
          <w:rFonts w:ascii="Garamond" w:hAnsi="Garamond"/>
          <w:bCs/>
          <w:sz w:val="22"/>
          <w:szCs w:val="22"/>
        </w:rPr>
        <w:tab/>
        <w:t xml:space="preserve"> идентификатор ИСУ (при отсутствии идентификатора используется полное наименование организации</w:t>
      </w:r>
      <w:r w:rsidR="009B5F03">
        <w:rPr>
          <w:rFonts w:ascii="Garamond" w:hAnsi="Garamond"/>
          <w:bCs/>
          <w:sz w:val="22"/>
          <w:szCs w:val="22"/>
        </w:rPr>
        <w:t xml:space="preserve"> – </w:t>
      </w:r>
      <w:r w:rsidRPr="00D934B1">
        <w:rPr>
          <w:rFonts w:ascii="Garamond" w:hAnsi="Garamond"/>
          <w:bCs/>
          <w:sz w:val="22"/>
          <w:szCs w:val="22"/>
        </w:rPr>
        <w:t>владельца ИСУ).</w:t>
      </w:r>
    </w:p>
    <w:p w14:paraId="187ACE59" w14:textId="77777777" w:rsidR="00CE6209" w:rsidRPr="00D934B1" w:rsidRDefault="00CE6209" w:rsidP="00CE6209">
      <w:pPr>
        <w:spacing w:before="120" w:after="120"/>
        <w:ind w:firstLine="567"/>
        <w:jc w:val="both"/>
        <w:rPr>
          <w:rFonts w:ascii="Garamond" w:hAnsi="Garamond"/>
          <w:b/>
          <w:bCs/>
          <w:sz w:val="22"/>
          <w:szCs w:val="22"/>
        </w:rPr>
      </w:pPr>
      <w:r w:rsidRPr="00D934B1">
        <w:rPr>
          <w:rFonts w:ascii="Garamond" w:hAnsi="Garamond"/>
          <w:b/>
          <w:bCs/>
          <w:sz w:val="22"/>
          <w:szCs w:val="22"/>
        </w:rPr>
        <w:t>2.1.2.1.2.1.3.2.2.2. &lt;podis:serialNumber&gt;</w:t>
      </w:r>
    </w:p>
    <w:p w14:paraId="3A4ADADD" w14:textId="77777777" w:rsidR="00CE6209" w:rsidRPr="00D934B1" w:rsidRDefault="00CE6209" w:rsidP="00CE6209">
      <w:pPr>
        <w:spacing w:before="120" w:after="120"/>
        <w:ind w:firstLine="567"/>
        <w:jc w:val="both"/>
        <w:rPr>
          <w:rFonts w:ascii="Garamond" w:hAnsi="Garamond"/>
          <w:bCs/>
          <w:sz w:val="22"/>
          <w:szCs w:val="22"/>
        </w:rPr>
      </w:pPr>
      <w:r w:rsidRPr="00D934B1">
        <w:rPr>
          <w:rFonts w:ascii="Garamond" w:hAnsi="Garamond"/>
          <w:bCs/>
          <w:sz w:val="22"/>
          <w:szCs w:val="22"/>
        </w:rPr>
        <w:t>Элемент &lt;podis:serialNumber&gt; содержит заводской номер трансформатора напряжения. Обязательный элемент, текстовое поле длиной не более 250 символов.</w:t>
      </w:r>
    </w:p>
    <w:p w14:paraId="64BB2268" w14:textId="77777777" w:rsidR="00CE6209" w:rsidRPr="00D934B1" w:rsidRDefault="00CE6209" w:rsidP="00CE6209">
      <w:pPr>
        <w:spacing w:before="120" w:after="120"/>
        <w:ind w:firstLine="567"/>
        <w:jc w:val="both"/>
        <w:rPr>
          <w:rFonts w:ascii="Garamond" w:hAnsi="Garamond"/>
          <w:b/>
          <w:bCs/>
          <w:sz w:val="22"/>
          <w:szCs w:val="22"/>
        </w:rPr>
      </w:pPr>
      <w:r w:rsidRPr="00D934B1">
        <w:rPr>
          <w:rFonts w:ascii="Garamond" w:hAnsi="Garamond"/>
          <w:b/>
          <w:bCs/>
          <w:sz w:val="22"/>
          <w:szCs w:val="22"/>
        </w:rPr>
        <w:t>2.1.2.1.2.1.3.2.2.3. &lt;podis:lifeCycleDate&gt;</w:t>
      </w:r>
    </w:p>
    <w:p w14:paraId="7A23CC9D" w14:textId="77777777" w:rsidR="00CE6209" w:rsidRPr="00D934B1" w:rsidRDefault="00CE6209" w:rsidP="00CE6209">
      <w:pPr>
        <w:spacing w:before="120" w:after="120"/>
        <w:ind w:firstLine="567"/>
        <w:jc w:val="both"/>
        <w:rPr>
          <w:rFonts w:ascii="Garamond" w:hAnsi="Garamond"/>
          <w:bCs/>
          <w:sz w:val="22"/>
          <w:szCs w:val="22"/>
        </w:rPr>
      </w:pPr>
      <w:r w:rsidRPr="00D934B1">
        <w:rPr>
          <w:rFonts w:ascii="Garamond" w:hAnsi="Garamond"/>
          <w:bCs/>
          <w:sz w:val="22"/>
          <w:szCs w:val="22"/>
        </w:rPr>
        <w:t>Элемент &lt;podis:lifeCycleDate&gt; содержит даты жизненного цикла трансформатора напряжения. Является обязательным элементом.</w:t>
      </w:r>
    </w:p>
    <w:p w14:paraId="4A6DA543" w14:textId="77777777" w:rsidR="00CE6209" w:rsidRPr="00D934B1" w:rsidRDefault="00CE6209" w:rsidP="00CE6209">
      <w:pPr>
        <w:spacing w:before="120" w:after="120"/>
        <w:ind w:firstLine="567"/>
        <w:jc w:val="both"/>
        <w:rPr>
          <w:rFonts w:ascii="Garamond" w:hAnsi="Garamond"/>
          <w:bCs/>
          <w:sz w:val="22"/>
          <w:szCs w:val="22"/>
        </w:rPr>
      </w:pPr>
      <w:r w:rsidRPr="00D934B1">
        <w:rPr>
          <w:rFonts w:ascii="Garamond" w:hAnsi="Garamond"/>
          <w:bCs/>
          <w:sz w:val="22"/>
          <w:szCs w:val="22"/>
        </w:rPr>
        <w:t>Дочерним элементом &lt;podis:lifeCycleDate&gt; является элемент &lt;podis:nextDateValid&gt;. У элемента &lt;podis:lifeCycleDate&gt; может быть только один дочерний элемент &lt;podis:nextDateValid&gt;.</w:t>
      </w:r>
    </w:p>
    <w:p w14:paraId="6B69C97D" w14:textId="77777777" w:rsidR="00CE6209" w:rsidRPr="00D934B1" w:rsidRDefault="00CE6209" w:rsidP="00CE6209">
      <w:pPr>
        <w:spacing w:before="120" w:after="120"/>
        <w:ind w:firstLine="567"/>
        <w:jc w:val="both"/>
        <w:rPr>
          <w:rFonts w:ascii="Garamond" w:hAnsi="Garamond"/>
          <w:b/>
          <w:bCs/>
          <w:sz w:val="22"/>
          <w:szCs w:val="22"/>
        </w:rPr>
      </w:pPr>
      <w:r w:rsidRPr="00D934B1">
        <w:rPr>
          <w:rFonts w:ascii="Garamond" w:hAnsi="Garamond"/>
          <w:b/>
          <w:bCs/>
          <w:sz w:val="22"/>
          <w:szCs w:val="22"/>
        </w:rPr>
        <w:t>2.1.2.1.2.1.3.2.2.3.1. &lt;podis:nextDateValid&gt;</w:t>
      </w:r>
    </w:p>
    <w:p w14:paraId="5463AB8F" w14:textId="77777777" w:rsidR="00CE6209" w:rsidRPr="00D934B1" w:rsidRDefault="00CE6209" w:rsidP="00CE6209">
      <w:pPr>
        <w:spacing w:before="120" w:after="120"/>
        <w:ind w:firstLine="567"/>
        <w:jc w:val="both"/>
        <w:rPr>
          <w:rFonts w:ascii="Garamond" w:hAnsi="Garamond"/>
          <w:bCs/>
          <w:sz w:val="22"/>
          <w:szCs w:val="22"/>
        </w:rPr>
      </w:pPr>
      <w:r w:rsidRPr="00D934B1">
        <w:rPr>
          <w:rFonts w:ascii="Garamond" w:hAnsi="Garamond"/>
          <w:bCs/>
          <w:sz w:val="22"/>
          <w:szCs w:val="22"/>
        </w:rPr>
        <w:t>Элемент &lt;podis:nextDateValid&gt; содержит дату очередной поверки, дата в формате «ГГГГ-ММ-ДД». Является обязательным элементом.</w:t>
      </w:r>
    </w:p>
    <w:p w14:paraId="0EB95D33" w14:textId="77777777" w:rsidR="00CE6209" w:rsidRPr="00D934B1" w:rsidRDefault="00CE6209" w:rsidP="00CE6209">
      <w:pPr>
        <w:spacing w:before="120" w:after="120"/>
        <w:ind w:firstLine="567"/>
        <w:jc w:val="both"/>
        <w:rPr>
          <w:rFonts w:ascii="Garamond" w:hAnsi="Garamond"/>
          <w:b/>
          <w:bCs/>
          <w:sz w:val="22"/>
          <w:szCs w:val="22"/>
        </w:rPr>
      </w:pPr>
      <w:r w:rsidRPr="00D934B1">
        <w:rPr>
          <w:rFonts w:ascii="Garamond" w:hAnsi="Garamond"/>
          <w:b/>
          <w:bCs/>
          <w:sz w:val="22"/>
          <w:szCs w:val="22"/>
        </w:rPr>
        <w:t>2.1.2.1.2.1.3.2.2.4. &lt;podis:customAttributes&gt;</w:t>
      </w:r>
    </w:p>
    <w:p w14:paraId="7839359B" w14:textId="77777777" w:rsidR="00CE6209" w:rsidRPr="00D934B1" w:rsidRDefault="00CE6209" w:rsidP="00CE6209">
      <w:pPr>
        <w:spacing w:before="120" w:after="120"/>
        <w:ind w:firstLine="567"/>
        <w:jc w:val="both"/>
        <w:rPr>
          <w:rFonts w:ascii="Garamond" w:hAnsi="Garamond"/>
          <w:bCs/>
          <w:sz w:val="22"/>
          <w:szCs w:val="22"/>
        </w:rPr>
      </w:pPr>
      <w:r w:rsidRPr="00D934B1">
        <w:rPr>
          <w:rFonts w:ascii="Garamond" w:hAnsi="Garamond"/>
          <w:bCs/>
          <w:sz w:val="22"/>
          <w:szCs w:val="22"/>
        </w:rPr>
        <w:t>Элемент &lt;podis:customAttributes&gt; содержит сведения о принадлежности трансформатора напряжения. Данный элемент должен содержаться только для измерительных трансформаторов тока и напряжения (&lt;podis:currentTransformer&gt; и &lt;podis:potentialTransformer&gt;), для остальных элементов не указывается.</w:t>
      </w:r>
    </w:p>
    <w:p w14:paraId="45CA7178" w14:textId="77777777" w:rsidR="00CE6209" w:rsidRPr="00D934B1" w:rsidRDefault="00CE6209" w:rsidP="00CE6209">
      <w:pPr>
        <w:spacing w:before="120" w:after="120"/>
        <w:ind w:firstLine="567"/>
        <w:jc w:val="both"/>
        <w:rPr>
          <w:rFonts w:ascii="Garamond" w:hAnsi="Garamond"/>
          <w:bCs/>
          <w:sz w:val="22"/>
          <w:szCs w:val="22"/>
        </w:rPr>
      </w:pPr>
      <w:r w:rsidRPr="00D934B1">
        <w:rPr>
          <w:rFonts w:ascii="Garamond" w:hAnsi="Garamond"/>
          <w:bCs/>
          <w:sz w:val="22"/>
          <w:szCs w:val="22"/>
        </w:rPr>
        <w:t>Дочерними элементами &lt;podis:customAttributes&gt; являются элементы &lt;podis:name&gt; и &lt;podis:value&gt;. У элемента &lt;podis:customAttributes&gt; может быть только один дочерний элемент &lt;podis:name&gt; и &lt;podis:value&gt;.</w:t>
      </w:r>
    </w:p>
    <w:p w14:paraId="026FF3AC" w14:textId="77777777" w:rsidR="00CE6209" w:rsidRPr="00D934B1" w:rsidRDefault="00CE6209" w:rsidP="00CE6209">
      <w:pPr>
        <w:spacing w:before="120" w:after="120"/>
        <w:ind w:firstLine="567"/>
        <w:jc w:val="both"/>
        <w:rPr>
          <w:rFonts w:ascii="Garamond" w:hAnsi="Garamond"/>
          <w:b/>
          <w:bCs/>
          <w:sz w:val="22"/>
          <w:szCs w:val="22"/>
        </w:rPr>
      </w:pPr>
      <w:r w:rsidRPr="00D934B1">
        <w:rPr>
          <w:rFonts w:ascii="Garamond" w:hAnsi="Garamond"/>
          <w:b/>
          <w:bCs/>
          <w:sz w:val="22"/>
          <w:szCs w:val="22"/>
        </w:rPr>
        <w:t>2.1.2.1.2.1.3.2.2.4.1. &lt;podis:name&gt;</w:t>
      </w:r>
    </w:p>
    <w:p w14:paraId="1BE3B041" w14:textId="77777777" w:rsidR="00CE6209" w:rsidRPr="00D934B1" w:rsidRDefault="00CE6209" w:rsidP="00CE6209">
      <w:pPr>
        <w:spacing w:before="120" w:after="120"/>
        <w:ind w:firstLine="567"/>
        <w:jc w:val="both"/>
        <w:rPr>
          <w:rFonts w:ascii="Garamond" w:hAnsi="Garamond"/>
          <w:bCs/>
          <w:sz w:val="22"/>
          <w:szCs w:val="22"/>
        </w:rPr>
      </w:pPr>
      <w:r w:rsidRPr="00D934B1">
        <w:rPr>
          <w:rFonts w:ascii="Garamond" w:hAnsi="Garamond"/>
          <w:bCs/>
          <w:sz w:val="22"/>
          <w:szCs w:val="22"/>
        </w:rPr>
        <w:t>Элемент &lt;podis:name&gt; содержит имя дополнительного пользовательского элемента. Является обязательным элементом, принимает значение «assetOwnerKind».</w:t>
      </w:r>
    </w:p>
    <w:p w14:paraId="08ED6BE2" w14:textId="77777777" w:rsidR="00CE6209" w:rsidRPr="00D934B1" w:rsidRDefault="00CE6209" w:rsidP="00CE6209">
      <w:pPr>
        <w:spacing w:before="120" w:after="120"/>
        <w:ind w:firstLine="567"/>
        <w:jc w:val="both"/>
        <w:rPr>
          <w:rFonts w:ascii="Garamond" w:hAnsi="Garamond"/>
          <w:b/>
          <w:bCs/>
          <w:sz w:val="22"/>
          <w:szCs w:val="22"/>
        </w:rPr>
      </w:pPr>
      <w:r w:rsidRPr="00D934B1">
        <w:rPr>
          <w:rFonts w:ascii="Garamond" w:hAnsi="Garamond"/>
          <w:b/>
          <w:bCs/>
          <w:sz w:val="22"/>
          <w:szCs w:val="22"/>
        </w:rPr>
        <w:t>2.1.2.1.2.1.3.2.2.4.2. &lt;podis:value&gt;</w:t>
      </w:r>
    </w:p>
    <w:p w14:paraId="17508569" w14:textId="77777777" w:rsidR="00CE6209" w:rsidRPr="00D934B1" w:rsidRDefault="00CE6209" w:rsidP="00CE6209">
      <w:pPr>
        <w:spacing w:before="120" w:after="120"/>
        <w:ind w:firstLine="567"/>
        <w:jc w:val="both"/>
        <w:rPr>
          <w:rFonts w:ascii="Garamond" w:hAnsi="Garamond"/>
          <w:bCs/>
          <w:sz w:val="22"/>
          <w:szCs w:val="22"/>
        </w:rPr>
      </w:pPr>
      <w:r w:rsidRPr="00D934B1">
        <w:rPr>
          <w:rFonts w:ascii="Garamond" w:hAnsi="Garamond"/>
          <w:bCs/>
          <w:sz w:val="22"/>
          <w:szCs w:val="22"/>
        </w:rPr>
        <w:t>Элемент &lt;podis:value&gt; содержит значение дополнительного пользовательского элемента. Обязательный элемент, принимает значение «tso_or_gp» (если трансформатор напряжения принадлежит сетевой организации (гарантирующему поставщику)) или «other» – в противном случае.</w:t>
      </w:r>
    </w:p>
    <w:p w14:paraId="071ACB7D" w14:textId="77777777" w:rsidR="00CE6209" w:rsidRPr="00D934B1" w:rsidRDefault="00CE6209" w:rsidP="00CE6209">
      <w:pPr>
        <w:spacing w:before="120" w:after="120"/>
        <w:ind w:firstLine="567"/>
        <w:jc w:val="both"/>
        <w:rPr>
          <w:rFonts w:ascii="Garamond" w:hAnsi="Garamond"/>
          <w:b/>
          <w:bCs/>
          <w:sz w:val="22"/>
          <w:szCs w:val="22"/>
        </w:rPr>
      </w:pPr>
      <w:r w:rsidRPr="00D934B1">
        <w:rPr>
          <w:rFonts w:ascii="Garamond" w:hAnsi="Garamond"/>
          <w:b/>
          <w:bCs/>
          <w:sz w:val="22"/>
          <w:szCs w:val="22"/>
        </w:rPr>
        <w:lastRenderedPageBreak/>
        <w:t>2.1.2.1.2.1.3.2.2.5. &lt;podis:potentialTransformerInfo&gt;</w:t>
      </w:r>
    </w:p>
    <w:p w14:paraId="29FD32AF" w14:textId="77777777" w:rsidR="00CE6209" w:rsidRPr="00D934B1" w:rsidRDefault="00CE6209" w:rsidP="00CE6209">
      <w:pPr>
        <w:spacing w:before="120" w:after="120"/>
        <w:ind w:firstLine="567"/>
        <w:jc w:val="both"/>
        <w:rPr>
          <w:rFonts w:ascii="Garamond" w:hAnsi="Garamond"/>
          <w:bCs/>
          <w:sz w:val="22"/>
          <w:szCs w:val="22"/>
        </w:rPr>
      </w:pPr>
      <w:r w:rsidRPr="00D934B1">
        <w:rPr>
          <w:rFonts w:ascii="Garamond" w:hAnsi="Garamond"/>
          <w:bCs/>
          <w:sz w:val="22"/>
          <w:szCs w:val="22"/>
        </w:rPr>
        <w:t xml:space="preserve">Элемент &lt;podis:potentialTransformerInfo&gt; содержит описание типа трансформатора напряжения. Является обязательным элементом. </w:t>
      </w:r>
    </w:p>
    <w:p w14:paraId="718E26DB" w14:textId="77777777" w:rsidR="00CE6209" w:rsidRPr="00D934B1" w:rsidRDefault="00CE6209" w:rsidP="00CE6209">
      <w:pPr>
        <w:spacing w:before="120" w:after="120"/>
        <w:ind w:firstLine="567"/>
        <w:jc w:val="both"/>
        <w:rPr>
          <w:rFonts w:ascii="Garamond" w:hAnsi="Garamond"/>
          <w:bCs/>
          <w:sz w:val="22"/>
          <w:szCs w:val="22"/>
        </w:rPr>
      </w:pPr>
      <w:r w:rsidRPr="00D934B1">
        <w:rPr>
          <w:rFonts w:ascii="Garamond" w:hAnsi="Garamond"/>
          <w:bCs/>
          <w:sz w:val="22"/>
          <w:szCs w:val="22"/>
        </w:rPr>
        <w:t>Дочерними элементами &lt;podis:potentialTransformerInfo&gt; являются элементы &lt;podis:mRID&gt;, &lt;podis:modelNumber&gt;, &lt;podis:customAttributes&gt;, &lt;podis:nominalRatio&gt;, &lt;podis:accuracyClass&gt; и &lt;podis:regNumber&gt;. У элемента &lt;podis:potentialTransformerInfo&gt; может быть только один дочерний элемент &lt;podis:mRID&gt;, &lt;podis:modelNumber&gt;, &lt;podis:customAttributes&gt;, &lt;podis:nominalRatio&gt;, &lt;podis:accuracyClass&gt; и &lt;podis:regNumber&gt;.</w:t>
      </w:r>
    </w:p>
    <w:p w14:paraId="7575A41B" w14:textId="77777777" w:rsidR="00CE6209" w:rsidRPr="00D934B1" w:rsidRDefault="00CE6209" w:rsidP="00CE6209">
      <w:pPr>
        <w:spacing w:before="120" w:after="120"/>
        <w:ind w:firstLine="567"/>
        <w:jc w:val="both"/>
        <w:rPr>
          <w:rFonts w:ascii="Garamond" w:hAnsi="Garamond"/>
          <w:b/>
          <w:bCs/>
          <w:sz w:val="22"/>
          <w:szCs w:val="22"/>
        </w:rPr>
      </w:pPr>
      <w:r w:rsidRPr="00D934B1">
        <w:rPr>
          <w:rFonts w:ascii="Garamond" w:hAnsi="Garamond"/>
          <w:b/>
          <w:bCs/>
          <w:sz w:val="22"/>
          <w:szCs w:val="22"/>
        </w:rPr>
        <w:t>2.1.2.1.2.1.3.2.2.5.1. &lt;podis:mRID&gt;</w:t>
      </w:r>
    </w:p>
    <w:p w14:paraId="3D258616" w14:textId="180BA493" w:rsidR="00CE6209" w:rsidRPr="00D934B1" w:rsidRDefault="00CE6209" w:rsidP="00CE6209">
      <w:pPr>
        <w:spacing w:before="120" w:after="120"/>
        <w:ind w:firstLine="567"/>
        <w:jc w:val="both"/>
        <w:rPr>
          <w:rFonts w:ascii="Garamond" w:hAnsi="Garamond"/>
          <w:bCs/>
          <w:sz w:val="22"/>
          <w:szCs w:val="22"/>
        </w:rPr>
      </w:pPr>
      <w:r w:rsidRPr="00D934B1">
        <w:rPr>
          <w:rFonts w:ascii="Garamond" w:hAnsi="Garamond"/>
          <w:bCs/>
          <w:sz w:val="22"/>
          <w:szCs w:val="22"/>
        </w:rPr>
        <w:t>Элемент &lt;podis:mRID&gt; содержит уникальный идентификатор типа трансформатора напряжения в ИСУ. Является обязательным элементом. Представляет из себя UUID – Universal Unique Identifier, универсальный идентификатор информации, состоящий из 36 символов.</w:t>
      </w:r>
      <w:r w:rsidR="009B5F03">
        <w:rPr>
          <w:rFonts w:ascii="Garamond" w:hAnsi="Garamond"/>
          <w:bCs/>
          <w:sz w:val="22"/>
          <w:szCs w:val="22"/>
        </w:rPr>
        <w:t xml:space="preserve"> </w:t>
      </w:r>
      <w:r w:rsidRPr="00D934B1">
        <w:rPr>
          <w:rFonts w:ascii="Garamond" w:hAnsi="Garamond"/>
          <w:bCs/>
          <w:sz w:val="22"/>
          <w:szCs w:val="22"/>
        </w:rPr>
        <w:t>Генерируется при помощи основанного на именах алгоритма генерации, согласно ГОСТ Р ИСО/МЭК 9834-8-2011. При использовании основанного на именах алгоритма генерации согласно ГОСТ Р ИСО/МЭК 9834-8-2011 в качестве имени используется конкатенация следующих строк:</w:t>
      </w:r>
    </w:p>
    <w:p w14:paraId="6395D195" w14:textId="77777777" w:rsidR="00CE6209" w:rsidRPr="00D934B1" w:rsidRDefault="00CE6209" w:rsidP="00CE6209">
      <w:pPr>
        <w:tabs>
          <w:tab w:val="left" w:pos="851"/>
        </w:tabs>
        <w:spacing w:before="120" w:after="120"/>
        <w:ind w:firstLine="567"/>
        <w:jc w:val="both"/>
        <w:rPr>
          <w:rFonts w:ascii="Garamond" w:hAnsi="Garamond"/>
          <w:bCs/>
          <w:sz w:val="22"/>
          <w:szCs w:val="22"/>
        </w:rPr>
      </w:pPr>
      <w:r w:rsidRPr="00D934B1">
        <w:rPr>
          <w:rFonts w:ascii="Garamond" w:hAnsi="Garamond"/>
          <w:bCs/>
          <w:sz w:val="22"/>
          <w:szCs w:val="22"/>
        </w:rPr>
        <w:t xml:space="preserve">– </w:t>
      </w:r>
      <w:r w:rsidRPr="00D934B1">
        <w:rPr>
          <w:rFonts w:ascii="Garamond" w:hAnsi="Garamond"/>
          <w:bCs/>
          <w:sz w:val="22"/>
          <w:szCs w:val="22"/>
        </w:rPr>
        <w:tab/>
        <w:t>идентификатор объекта в ИСУ (программном комплексе ИСУ, в котором ведется учет оборудования ИСУ);</w:t>
      </w:r>
    </w:p>
    <w:p w14:paraId="059627EF" w14:textId="53DCA4BE" w:rsidR="00CE6209" w:rsidRPr="00D934B1" w:rsidRDefault="00CE6209" w:rsidP="00CE6209">
      <w:pPr>
        <w:spacing w:before="120" w:after="120"/>
        <w:ind w:firstLine="567"/>
        <w:jc w:val="both"/>
        <w:rPr>
          <w:rFonts w:ascii="Garamond" w:hAnsi="Garamond"/>
          <w:bCs/>
          <w:sz w:val="22"/>
          <w:szCs w:val="22"/>
        </w:rPr>
      </w:pPr>
      <w:r w:rsidRPr="00D934B1">
        <w:rPr>
          <w:rFonts w:ascii="Garamond" w:hAnsi="Garamond"/>
          <w:bCs/>
          <w:sz w:val="22"/>
          <w:szCs w:val="22"/>
        </w:rPr>
        <w:t>–</w:t>
      </w:r>
      <w:r w:rsidRPr="00D934B1">
        <w:rPr>
          <w:rFonts w:ascii="Garamond" w:hAnsi="Garamond"/>
          <w:bCs/>
          <w:sz w:val="22"/>
          <w:szCs w:val="22"/>
        </w:rPr>
        <w:tab/>
        <w:t xml:space="preserve"> мнемоника сущности ПОДИС</w:t>
      </w:r>
      <w:r w:rsidR="009B5F03">
        <w:rPr>
          <w:rFonts w:ascii="Garamond" w:hAnsi="Garamond"/>
          <w:bCs/>
          <w:sz w:val="22"/>
          <w:szCs w:val="22"/>
        </w:rPr>
        <w:t xml:space="preserve"> – </w:t>
      </w:r>
      <w:r w:rsidRPr="00D934B1">
        <w:rPr>
          <w:rFonts w:ascii="Garamond" w:hAnsi="Garamond"/>
          <w:bCs/>
          <w:sz w:val="22"/>
          <w:szCs w:val="22"/>
        </w:rPr>
        <w:t>"PotentialTransformerInfo";</w:t>
      </w:r>
    </w:p>
    <w:p w14:paraId="6C86B764" w14:textId="435B3E34" w:rsidR="00CE6209" w:rsidRPr="00D934B1" w:rsidRDefault="00CE6209" w:rsidP="00CE6209">
      <w:pPr>
        <w:spacing w:before="120" w:after="120"/>
        <w:ind w:firstLine="567"/>
        <w:jc w:val="both"/>
        <w:rPr>
          <w:rFonts w:ascii="Garamond" w:hAnsi="Garamond"/>
          <w:bCs/>
          <w:sz w:val="22"/>
          <w:szCs w:val="22"/>
        </w:rPr>
      </w:pPr>
      <w:r w:rsidRPr="00D934B1">
        <w:rPr>
          <w:rFonts w:ascii="Garamond" w:hAnsi="Garamond"/>
          <w:bCs/>
          <w:sz w:val="22"/>
          <w:szCs w:val="22"/>
        </w:rPr>
        <w:t>–</w:t>
      </w:r>
      <w:r w:rsidRPr="00D934B1">
        <w:rPr>
          <w:rFonts w:ascii="Garamond" w:hAnsi="Garamond"/>
          <w:bCs/>
          <w:sz w:val="22"/>
          <w:szCs w:val="22"/>
        </w:rPr>
        <w:tab/>
        <w:t xml:space="preserve"> идентификатор ИСУ (при отсутствии идентификатора используется полное наименование организации</w:t>
      </w:r>
      <w:r w:rsidR="009B5F03">
        <w:rPr>
          <w:rFonts w:ascii="Garamond" w:hAnsi="Garamond"/>
          <w:bCs/>
          <w:sz w:val="22"/>
          <w:szCs w:val="22"/>
        </w:rPr>
        <w:t xml:space="preserve"> – </w:t>
      </w:r>
      <w:r w:rsidRPr="00D934B1">
        <w:rPr>
          <w:rFonts w:ascii="Garamond" w:hAnsi="Garamond"/>
          <w:bCs/>
          <w:sz w:val="22"/>
          <w:szCs w:val="22"/>
        </w:rPr>
        <w:t>владельца ИСУ).</w:t>
      </w:r>
    </w:p>
    <w:p w14:paraId="073660AE" w14:textId="77777777" w:rsidR="00CE6209" w:rsidRPr="00D934B1" w:rsidRDefault="00CE6209" w:rsidP="00CE6209">
      <w:pPr>
        <w:spacing w:before="120" w:after="120"/>
        <w:ind w:firstLine="567"/>
        <w:jc w:val="both"/>
        <w:rPr>
          <w:rFonts w:ascii="Garamond" w:hAnsi="Garamond"/>
          <w:b/>
          <w:bCs/>
          <w:sz w:val="22"/>
          <w:szCs w:val="22"/>
        </w:rPr>
      </w:pPr>
      <w:r w:rsidRPr="00D934B1">
        <w:rPr>
          <w:rFonts w:ascii="Garamond" w:hAnsi="Garamond"/>
          <w:b/>
          <w:bCs/>
          <w:sz w:val="22"/>
          <w:szCs w:val="22"/>
        </w:rPr>
        <w:t>2.1.2.1.2.1.3.2.2.5.2. &lt;podis:modelNumber&gt;</w:t>
      </w:r>
    </w:p>
    <w:p w14:paraId="4C27B5AC" w14:textId="77777777" w:rsidR="00CE6209" w:rsidRPr="00D934B1" w:rsidRDefault="00CE6209" w:rsidP="00CE6209">
      <w:pPr>
        <w:spacing w:before="120" w:after="120"/>
        <w:ind w:firstLine="567"/>
        <w:jc w:val="both"/>
        <w:rPr>
          <w:rFonts w:ascii="Garamond" w:hAnsi="Garamond"/>
          <w:bCs/>
          <w:sz w:val="22"/>
          <w:szCs w:val="22"/>
        </w:rPr>
      </w:pPr>
      <w:r w:rsidRPr="00D934B1">
        <w:rPr>
          <w:rFonts w:ascii="Garamond" w:hAnsi="Garamond"/>
          <w:bCs/>
          <w:sz w:val="22"/>
          <w:szCs w:val="22"/>
        </w:rPr>
        <w:t>Элемент &lt;podis:modelNumber&gt; содержит тип трансформатора напряжения. Тип должен быть приведен согласно данным, внесенным в Федеральный информационный фонд по обеспечению единства измерений. Текстовое поле длиной не более 80 символов. Является обязательным элементом.</w:t>
      </w:r>
    </w:p>
    <w:p w14:paraId="2A7165BF" w14:textId="77777777" w:rsidR="00CE6209" w:rsidRPr="00D934B1" w:rsidRDefault="00CE6209" w:rsidP="00CE6209">
      <w:pPr>
        <w:spacing w:before="120" w:after="120"/>
        <w:ind w:firstLine="567"/>
        <w:jc w:val="both"/>
        <w:rPr>
          <w:rFonts w:ascii="Garamond" w:hAnsi="Garamond"/>
          <w:b/>
          <w:bCs/>
          <w:sz w:val="22"/>
          <w:szCs w:val="22"/>
        </w:rPr>
      </w:pPr>
      <w:r w:rsidRPr="00D934B1">
        <w:rPr>
          <w:rFonts w:ascii="Garamond" w:hAnsi="Garamond"/>
          <w:b/>
          <w:bCs/>
          <w:sz w:val="22"/>
          <w:szCs w:val="22"/>
        </w:rPr>
        <w:t>2.1.2.1.2.1.3.2.2.5.3. &lt;podis:nominalRatio&gt;</w:t>
      </w:r>
    </w:p>
    <w:p w14:paraId="5B591731" w14:textId="77777777" w:rsidR="00CE6209" w:rsidRPr="00D934B1" w:rsidRDefault="00CE6209" w:rsidP="00CE6209">
      <w:pPr>
        <w:spacing w:before="120" w:after="120"/>
        <w:ind w:firstLine="567"/>
        <w:jc w:val="both"/>
        <w:rPr>
          <w:rFonts w:ascii="Garamond" w:hAnsi="Garamond"/>
          <w:bCs/>
          <w:sz w:val="22"/>
          <w:szCs w:val="22"/>
        </w:rPr>
      </w:pPr>
      <w:r w:rsidRPr="00D934B1">
        <w:rPr>
          <w:rFonts w:ascii="Garamond" w:hAnsi="Garamond"/>
          <w:bCs/>
          <w:sz w:val="22"/>
          <w:szCs w:val="22"/>
        </w:rPr>
        <w:t>Элемент &lt;podis:nominalRatio&gt; содержит данные о номинальном соотношении между первичным и вторичным напряжением. Является обязательным элементом.</w:t>
      </w:r>
    </w:p>
    <w:p w14:paraId="03DBA598" w14:textId="77777777" w:rsidR="00CE6209" w:rsidRPr="00D934B1" w:rsidRDefault="00CE6209" w:rsidP="00CE6209">
      <w:pPr>
        <w:spacing w:before="120" w:after="120"/>
        <w:ind w:firstLine="567"/>
        <w:jc w:val="both"/>
        <w:rPr>
          <w:rFonts w:ascii="Garamond" w:hAnsi="Garamond"/>
          <w:bCs/>
          <w:sz w:val="22"/>
          <w:szCs w:val="22"/>
        </w:rPr>
      </w:pPr>
      <w:r w:rsidRPr="00D934B1">
        <w:rPr>
          <w:rFonts w:ascii="Garamond" w:hAnsi="Garamond"/>
          <w:bCs/>
          <w:sz w:val="22"/>
          <w:szCs w:val="22"/>
        </w:rPr>
        <w:t>Дочерними элементами &lt;podis:nominalRatio&gt; являются элементы &lt;podis:denominator&gt; и &lt;podis:numerator&gt;. У элемента &lt;podis:nominalRatio&gt; может быть только один дочерний элемент &lt;podis:denominator&gt; и &lt;podis:numerator&gt;.</w:t>
      </w:r>
    </w:p>
    <w:p w14:paraId="1C6C7630" w14:textId="77777777" w:rsidR="00CE6209" w:rsidRPr="00D934B1" w:rsidRDefault="00CE6209" w:rsidP="00CE6209">
      <w:pPr>
        <w:spacing w:before="120" w:after="120"/>
        <w:ind w:firstLine="567"/>
        <w:jc w:val="both"/>
        <w:rPr>
          <w:rFonts w:ascii="Garamond" w:hAnsi="Garamond"/>
          <w:b/>
          <w:bCs/>
          <w:sz w:val="22"/>
          <w:szCs w:val="22"/>
        </w:rPr>
      </w:pPr>
      <w:r w:rsidRPr="00D934B1">
        <w:rPr>
          <w:rFonts w:ascii="Garamond" w:hAnsi="Garamond"/>
          <w:b/>
          <w:bCs/>
          <w:sz w:val="22"/>
          <w:szCs w:val="22"/>
        </w:rPr>
        <w:t>2.1.2.1.2.1.3.2.2.5.3.1. &lt;podis:denominator&gt;</w:t>
      </w:r>
    </w:p>
    <w:p w14:paraId="07FECB3C" w14:textId="77777777" w:rsidR="00CE6209" w:rsidRPr="00D934B1" w:rsidRDefault="00CE6209" w:rsidP="00CE6209">
      <w:pPr>
        <w:spacing w:before="120" w:after="120"/>
        <w:ind w:firstLine="567"/>
        <w:jc w:val="both"/>
        <w:rPr>
          <w:rFonts w:ascii="Garamond" w:hAnsi="Garamond"/>
          <w:bCs/>
          <w:sz w:val="22"/>
          <w:szCs w:val="22"/>
        </w:rPr>
      </w:pPr>
      <w:r w:rsidRPr="00D934B1">
        <w:rPr>
          <w:rFonts w:ascii="Garamond" w:hAnsi="Garamond"/>
          <w:bCs/>
          <w:sz w:val="22"/>
          <w:szCs w:val="22"/>
        </w:rPr>
        <w:t>Элемент &lt;podis:denominator&gt; содержит номинальное вторичное напряжение (напряжение вторичной обмотки), размерность: В (Вольт). Является обязательным элементом. Положительное целое число не более 8 символов, значение «0» недопустимо. В случае использования цифрового выхода трансформатора напряжения для передачи информации о результатах измерений на прибор учета, значение данного элемента равняется значению элемента &lt;podis:numerator&gt;, который является дочерним элементом &lt;podis:nominalRatio&gt; соответствующего &lt;podis:potentialTransformer&gt;.</w:t>
      </w:r>
    </w:p>
    <w:p w14:paraId="54C76E53" w14:textId="77777777" w:rsidR="00CE6209" w:rsidRPr="00D934B1" w:rsidRDefault="00CE6209" w:rsidP="00CE6209">
      <w:pPr>
        <w:spacing w:before="120" w:after="120"/>
        <w:ind w:firstLine="567"/>
        <w:jc w:val="both"/>
        <w:rPr>
          <w:rFonts w:ascii="Garamond" w:hAnsi="Garamond"/>
          <w:b/>
          <w:bCs/>
          <w:sz w:val="22"/>
          <w:szCs w:val="22"/>
        </w:rPr>
      </w:pPr>
      <w:r w:rsidRPr="00D934B1">
        <w:rPr>
          <w:rFonts w:ascii="Garamond" w:hAnsi="Garamond"/>
          <w:b/>
          <w:bCs/>
          <w:sz w:val="22"/>
          <w:szCs w:val="22"/>
        </w:rPr>
        <w:t>2.1.2.1.2.1.3.2.2.5.3.2. &lt;podis:numerator&gt;</w:t>
      </w:r>
    </w:p>
    <w:p w14:paraId="01E04278" w14:textId="77777777" w:rsidR="00CE6209" w:rsidRPr="00D934B1" w:rsidRDefault="00CE6209" w:rsidP="00CE6209">
      <w:pPr>
        <w:spacing w:before="120" w:after="120"/>
        <w:ind w:firstLine="567"/>
        <w:jc w:val="both"/>
        <w:rPr>
          <w:rFonts w:ascii="Garamond" w:hAnsi="Garamond"/>
          <w:bCs/>
          <w:sz w:val="22"/>
          <w:szCs w:val="22"/>
        </w:rPr>
      </w:pPr>
      <w:r w:rsidRPr="00D934B1">
        <w:rPr>
          <w:rFonts w:ascii="Garamond" w:hAnsi="Garamond"/>
          <w:bCs/>
          <w:sz w:val="22"/>
          <w:szCs w:val="22"/>
        </w:rPr>
        <w:t>Элемент &lt;podis:numerator&gt; содержит номинальное первичное напряжение (напряжение первичной обмотки), размерность: В (Вольт). Является обязательным элементом. Положительное целое число не более 8 символов, значение «0» недопустимо. В случае использования цифрового выхода трансформатора напряжения для передачи информации о результатах измерений на прибор учета, значение данного элемента равняется значению элемента &lt;podis:denominator&gt;, который является дочерним элементом &lt;podis:nominalRatio&gt; соответствующего &lt;podis:potentialTransformer&gt;.</w:t>
      </w:r>
    </w:p>
    <w:p w14:paraId="1362A0AE" w14:textId="77777777" w:rsidR="00CE6209" w:rsidRPr="00D934B1" w:rsidRDefault="00CE6209" w:rsidP="00CE6209">
      <w:pPr>
        <w:spacing w:before="120" w:after="120"/>
        <w:ind w:firstLine="567"/>
        <w:jc w:val="both"/>
        <w:rPr>
          <w:rFonts w:ascii="Garamond" w:hAnsi="Garamond"/>
          <w:b/>
          <w:bCs/>
          <w:sz w:val="22"/>
          <w:szCs w:val="22"/>
        </w:rPr>
      </w:pPr>
      <w:r w:rsidRPr="00D934B1">
        <w:rPr>
          <w:rFonts w:ascii="Garamond" w:hAnsi="Garamond"/>
          <w:b/>
          <w:bCs/>
          <w:sz w:val="22"/>
          <w:szCs w:val="22"/>
        </w:rPr>
        <w:t>2.1.2.1.2.1.3.2.2.5.4. &lt;podis:customAttributes&gt;</w:t>
      </w:r>
    </w:p>
    <w:p w14:paraId="49BAF7B3" w14:textId="77777777" w:rsidR="00CE6209" w:rsidRPr="00D934B1" w:rsidRDefault="00CE6209" w:rsidP="00CE6209">
      <w:pPr>
        <w:spacing w:before="120" w:after="120"/>
        <w:ind w:firstLine="567"/>
        <w:jc w:val="both"/>
        <w:rPr>
          <w:rFonts w:ascii="Garamond" w:hAnsi="Garamond"/>
          <w:bCs/>
          <w:sz w:val="22"/>
          <w:szCs w:val="22"/>
        </w:rPr>
      </w:pPr>
      <w:r w:rsidRPr="00D934B1">
        <w:rPr>
          <w:rFonts w:ascii="Garamond" w:hAnsi="Garamond"/>
          <w:bCs/>
          <w:sz w:val="22"/>
          <w:szCs w:val="22"/>
        </w:rPr>
        <w:t xml:space="preserve">Элемент &lt;podis:customAttributes&gt; содержит сведения о номинальной вторичной нагрузке вторичных цепей трансформатора напряжения. Элемент должен отсутствовать в случае использования цифрового выхода трансформатора напряжения для передачи информации о результатах измерений на прибор учета, в остальных случаях является обязательным. </w:t>
      </w:r>
    </w:p>
    <w:p w14:paraId="24BD5942" w14:textId="77777777" w:rsidR="00CE6209" w:rsidRPr="00D934B1" w:rsidRDefault="00CE6209" w:rsidP="00CE6209">
      <w:pPr>
        <w:spacing w:before="120" w:after="120"/>
        <w:ind w:firstLine="567"/>
        <w:jc w:val="both"/>
        <w:rPr>
          <w:rFonts w:ascii="Garamond" w:hAnsi="Garamond"/>
          <w:bCs/>
          <w:sz w:val="22"/>
          <w:szCs w:val="22"/>
        </w:rPr>
      </w:pPr>
      <w:r w:rsidRPr="00D934B1">
        <w:rPr>
          <w:rFonts w:ascii="Garamond" w:hAnsi="Garamond"/>
          <w:bCs/>
          <w:sz w:val="22"/>
          <w:szCs w:val="22"/>
        </w:rPr>
        <w:lastRenderedPageBreak/>
        <w:t>Дочерними элементами &lt;podis:customAttributes&gt; являются элементы &lt;podis:name&gt; и &lt;podis:value&gt;. У элемента &lt;podis:customAttributes&gt; может быть только один дочерний элемент &lt;podis:name&gt; и &lt;podis:value&gt;.</w:t>
      </w:r>
    </w:p>
    <w:p w14:paraId="0F15FA8B" w14:textId="77777777" w:rsidR="00CE6209" w:rsidRPr="00D934B1" w:rsidRDefault="00CE6209" w:rsidP="00CE6209">
      <w:pPr>
        <w:spacing w:before="120" w:after="120"/>
        <w:ind w:firstLine="567"/>
        <w:jc w:val="both"/>
        <w:rPr>
          <w:rFonts w:ascii="Garamond" w:hAnsi="Garamond"/>
          <w:b/>
          <w:bCs/>
          <w:sz w:val="22"/>
          <w:szCs w:val="22"/>
        </w:rPr>
      </w:pPr>
      <w:r w:rsidRPr="00D934B1">
        <w:rPr>
          <w:rFonts w:ascii="Garamond" w:hAnsi="Garamond"/>
          <w:b/>
          <w:bCs/>
          <w:sz w:val="22"/>
          <w:szCs w:val="22"/>
        </w:rPr>
        <w:t>2.1.2.1.2.1.3.2.2.5.4.1 &lt;podis:name&gt;</w:t>
      </w:r>
    </w:p>
    <w:p w14:paraId="5939577F" w14:textId="77777777" w:rsidR="00CE6209" w:rsidRPr="00D934B1" w:rsidRDefault="00CE6209" w:rsidP="00CE6209">
      <w:pPr>
        <w:spacing w:before="120" w:after="120"/>
        <w:ind w:firstLine="567"/>
        <w:jc w:val="both"/>
        <w:rPr>
          <w:rFonts w:ascii="Garamond" w:hAnsi="Garamond"/>
          <w:bCs/>
          <w:sz w:val="22"/>
          <w:szCs w:val="22"/>
        </w:rPr>
      </w:pPr>
      <w:r w:rsidRPr="00D934B1">
        <w:rPr>
          <w:rFonts w:ascii="Garamond" w:hAnsi="Garamond"/>
          <w:bCs/>
          <w:sz w:val="22"/>
          <w:szCs w:val="22"/>
        </w:rPr>
        <w:t>Элемент &lt;podis:name&gt; содержит имя дополнительного пользовательского элемента. Является обязательным элементом, принимает значение «RatedLoad».</w:t>
      </w:r>
    </w:p>
    <w:p w14:paraId="07DE9B66" w14:textId="77777777" w:rsidR="00CE6209" w:rsidRPr="00D934B1" w:rsidRDefault="00CE6209" w:rsidP="00CE6209">
      <w:pPr>
        <w:spacing w:before="120" w:after="120"/>
        <w:ind w:firstLine="567"/>
        <w:jc w:val="both"/>
        <w:rPr>
          <w:rFonts w:ascii="Garamond" w:hAnsi="Garamond"/>
          <w:b/>
          <w:bCs/>
          <w:sz w:val="22"/>
          <w:szCs w:val="22"/>
        </w:rPr>
      </w:pPr>
      <w:r w:rsidRPr="00D934B1">
        <w:rPr>
          <w:rFonts w:ascii="Garamond" w:hAnsi="Garamond"/>
          <w:b/>
          <w:bCs/>
          <w:sz w:val="22"/>
          <w:szCs w:val="22"/>
        </w:rPr>
        <w:t>2.1.2.1.2.1.3.2.1.5.4.2. &lt;podis:value&gt;</w:t>
      </w:r>
    </w:p>
    <w:p w14:paraId="01FC5FFD" w14:textId="77777777" w:rsidR="00CE6209" w:rsidRPr="00D934B1" w:rsidRDefault="00CE6209" w:rsidP="00CE6209">
      <w:pPr>
        <w:spacing w:before="120" w:after="120"/>
        <w:ind w:firstLine="567"/>
        <w:jc w:val="both"/>
        <w:rPr>
          <w:rFonts w:ascii="Garamond" w:hAnsi="Garamond"/>
          <w:bCs/>
          <w:sz w:val="22"/>
          <w:szCs w:val="22"/>
        </w:rPr>
      </w:pPr>
      <w:r w:rsidRPr="00D934B1">
        <w:rPr>
          <w:rFonts w:ascii="Garamond" w:hAnsi="Garamond"/>
          <w:bCs/>
          <w:sz w:val="22"/>
          <w:szCs w:val="22"/>
        </w:rPr>
        <w:t>Элемент &lt;podis:value&gt; содержит значение номинальной вторичной нагрузки вторичных цепей, размерность: ВА (Вольт-ампер). Является обязательным элементом. Положительное число, содержащее от 1 до 6 знаков до десятичного разделителя и от 1 до 3 знаков после десятичного разделителя, значение «0» недопустимо. В качестве десятичного разделителя должна быть использована точка. Допускается использовать только один десятичный разделитель. В случае отсутствия символов после десятичного разделителя он должен отсутствовать.</w:t>
      </w:r>
    </w:p>
    <w:p w14:paraId="49FB2EC6" w14:textId="77777777" w:rsidR="00CE6209" w:rsidRPr="00D934B1" w:rsidRDefault="00CE6209" w:rsidP="00CE6209">
      <w:pPr>
        <w:spacing w:before="120" w:after="120"/>
        <w:ind w:firstLine="567"/>
        <w:jc w:val="both"/>
        <w:rPr>
          <w:rFonts w:ascii="Garamond" w:hAnsi="Garamond"/>
          <w:b/>
          <w:bCs/>
          <w:sz w:val="22"/>
          <w:szCs w:val="22"/>
        </w:rPr>
      </w:pPr>
      <w:r w:rsidRPr="00D934B1">
        <w:rPr>
          <w:rFonts w:ascii="Garamond" w:hAnsi="Garamond"/>
          <w:b/>
          <w:bCs/>
          <w:sz w:val="22"/>
          <w:szCs w:val="22"/>
        </w:rPr>
        <w:t>2.1.2.1.2.1.3.2.2.5.5. &lt;podis:accuracyClass&gt;</w:t>
      </w:r>
    </w:p>
    <w:p w14:paraId="443E2ECF" w14:textId="77777777" w:rsidR="00CE6209" w:rsidRPr="00D934B1" w:rsidRDefault="00CE6209" w:rsidP="00CE6209">
      <w:pPr>
        <w:spacing w:before="120" w:after="120"/>
        <w:ind w:firstLine="567"/>
        <w:jc w:val="both"/>
        <w:rPr>
          <w:rFonts w:ascii="Garamond" w:hAnsi="Garamond"/>
          <w:bCs/>
          <w:sz w:val="22"/>
          <w:szCs w:val="22"/>
        </w:rPr>
      </w:pPr>
      <w:r w:rsidRPr="00D934B1">
        <w:rPr>
          <w:rFonts w:ascii="Garamond" w:hAnsi="Garamond"/>
          <w:bCs/>
          <w:sz w:val="22"/>
          <w:szCs w:val="22"/>
        </w:rPr>
        <w:t>Элемент &lt;podis:accuracyClass&gt; содержит класс точности трансформатора напряжения. Является обязательным элементом. Текстовое поле, содержащее от 1 до 3 символов до десятичного разделителя и от 1 до 3 символов после десятичного разделителя. В качестве десятичного разделителя должна быть использована точка. Допускается использовать только один десятичный разделитель. В случае отсутствия символов после десятичного разделителя он должен отсутствовать.</w:t>
      </w:r>
    </w:p>
    <w:p w14:paraId="2096939E" w14:textId="77777777" w:rsidR="00CE6209" w:rsidRPr="00D934B1" w:rsidRDefault="00CE6209" w:rsidP="00CE6209">
      <w:pPr>
        <w:spacing w:before="120" w:after="120"/>
        <w:ind w:firstLine="567"/>
        <w:jc w:val="both"/>
        <w:rPr>
          <w:rFonts w:ascii="Garamond" w:hAnsi="Garamond"/>
          <w:b/>
          <w:bCs/>
          <w:sz w:val="22"/>
          <w:szCs w:val="22"/>
        </w:rPr>
      </w:pPr>
      <w:r w:rsidRPr="00D934B1">
        <w:rPr>
          <w:rFonts w:ascii="Garamond" w:hAnsi="Garamond"/>
          <w:b/>
          <w:bCs/>
          <w:sz w:val="22"/>
          <w:szCs w:val="22"/>
        </w:rPr>
        <w:t>2.1.2.1.2.1.3.2.2.5.6. &lt;podis:regNumber&gt;</w:t>
      </w:r>
    </w:p>
    <w:p w14:paraId="4BA9D4C3" w14:textId="77777777" w:rsidR="00CE6209" w:rsidRPr="00D934B1" w:rsidRDefault="00CE6209" w:rsidP="00CE6209">
      <w:pPr>
        <w:spacing w:before="120" w:after="240"/>
        <w:ind w:firstLine="567"/>
        <w:jc w:val="both"/>
        <w:rPr>
          <w:rFonts w:ascii="Garamond" w:hAnsi="Garamond"/>
          <w:bCs/>
          <w:sz w:val="22"/>
          <w:szCs w:val="22"/>
        </w:rPr>
      </w:pPr>
      <w:r w:rsidRPr="00D934B1">
        <w:rPr>
          <w:rFonts w:ascii="Garamond" w:hAnsi="Garamond"/>
          <w:bCs/>
          <w:sz w:val="22"/>
          <w:szCs w:val="22"/>
        </w:rPr>
        <w:t>Элемент &lt;podis:regNumber&gt; содержит регистрационный номер трансформатора напряжения в Федеральном информационном фонде по обеспечению единства измерений (Госреестр). Текстовое поле длиной не более 20 символов. Является обязательным элементом.</w:t>
      </w:r>
    </w:p>
    <w:p w14:paraId="4D5417CD" w14:textId="77777777" w:rsidR="00CE6209" w:rsidRPr="00D934B1" w:rsidRDefault="00CE6209" w:rsidP="00101F7C">
      <w:pPr>
        <w:pStyle w:val="ac"/>
        <w:numPr>
          <w:ilvl w:val="0"/>
          <w:numId w:val="104"/>
        </w:numPr>
        <w:spacing w:before="240" w:after="240"/>
        <w:ind w:left="1134" w:hanging="567"/>
        <w:jc w:val="both"/>
        <w:rPr>
          <w:rFonts w:ascii="Garamond" w:hAnsi="Garamond"/>
          <w:b/>
          <w:bCs/>
          <w:sz w:val="22"/>
          <w:szCs w:val="22"/>
        </w:rPr>
      </w:pPr>
      <w:r w:rsidRPr="00D934B1">
        <w:rPr>
          <w:rFonts w:ascii="Garamond" w:hAnsi="Garamond"/>
          <w:b/>
          <w:bCs/>
          <w:sz w:val="22"/>
          <w:szCs w:val="22"/>
        </w:rPr>
        <w:t>Пример электронного документа</w:t>
      </w:r>
    </w:p>
    <w:p w14:paraId="2E2200F2" w14:textId="77777777" w:rsidR="00CE6209" w:rsidRPr="00D934B1" w:rsidRDefault="00CE6209" w:rsidP="00CE6209">
      <w:pPr>
        <w:spacing w:after="120"/>
        <w:ind w:left="1134" w:hanging="567"/>
        <w:jc w:val="both"/>
        <w:rPr>
          <w:rFonts w:ascii="Garamond" w:hAnsi="Garamond"/>
          <w:bCs/>
          <w:sz w:val="22"/>
          <w:szCs w:val="22"/>
          <w:lang w:val="en-US"/>
        </w:rPr>
      </w:pPr>
      <w:r w:rsidRPr="00D934B1">
        <w:rPr>
          <w:rFonts w:ascii="Garamond" w:hAnsi="Garamond"/>
          <w:bCs/>
          <w:sz w:val="22"/>
          <w:szCs w:val="22"/>
          <w:lang w:val="en-US"/>
        </w:rPr>
        <w:t>&lt;?xml version="1.0" encoding="utf-8"?&gt;</w:t>
      </w:r>
    </w:p>
    <w:p w14:paraId="698B05D9" w14:textId="77777777" w:rsidR="00CE6209" w:rsidRPr="00E750D0" w:rsidRDefault="00CE6209" w:rsidP="00CE6209">
      <w:pPr>
        <w:spacing w:after="120"/>
        <w:ind w:left="1134" w:hanging="567"/>
        <w:jc w:val="both"/>
        <w:rPr>
          <w:rFonts w:ascii="Garamond" w:hAnsi="Garamond"/>
          <w:bCs/>
          <w:sz w:val="22"/>
          <w:szCs w:val="22"/>
          <w:lang w:val="es-ES"/>
        </w:rPr>
      </w:pPr>
      <w:r w:rsidRPr="00E750D0">
        <w:rPr>
          <w:rFonts w:ascii="Garamond" w:hAnsi="Garamond"/>
          <w:bCs/>
          <w:sz w:val="22"/>
          <w:szCs w:val="22"/>
          <w:lang w:val="es-ES"/>
        </w:rPr>
        <w:t>&lt;podis:Request xmlns:podis="http://iec.ch/TC57/2011/schema/podis/Layout_10000#"</w:t>
      </w:r>
    </w:p>
    <w:p w14:paraId="156C500B" w14:textId="77777777" w:rsidR="00CE6209" w:rsidRPr="00E750D0" w:rsidRDefault="00CE6209" w:rsidP="00CE6209">
      <w:pPr>
        <w:spacing w:after="120"/>
        <w:ind w:left="1134" w:hanging="567"/>
        <w:jc w:val="both"/>
        <w:rPr>
          <w:rFonts w:ascii="Garamond" w:hAnsi="Garamond"/>
          <w:bCs/>
          <w:sz w:val="22"/>
          <w:szCs w:val="22"/>
          <w:lang w:val="es-ES"/>
        </w:rPr>
      </w:pPr>
      <w:r w:rsidRPr="00E750D0">
        <w:rPr>
          <w:rFonts w:ascii="Garamond" w:hAnsi="Garamond"/>
          <w:bCs/>
          <w:sz w:val="22"/>
          <w:szCs w:val="22"/>
          <w:lang w:val="es-ES"/>
        </w:rPr>
        <w:t xml:space="preserve">               xmlns:sawsdl="http://www.w3.org/ns/sawsdl"</w:t>
      </w:r>
    </w:p>
    <w:p w14:paraId="77477349" w14:textId="77777777" w:rsidR="00CE6209" w:rsidRPr="00E750D0" w:rsidRDefault="00CE6209" w:rsidP="00CE6209">
      <w:pPr>
        <w:spacing w:after="120"/>
        <w:ind w:left="1134" w:hanging="567"/>
        <w:jc w:val="both"/>
        <w:rPr>
          <w:rFonts w:ascii="Garamond" w:hAnsi="Garamond"/>
          <w:bCs/>
          <w:sz w:val="22"/>
          <w:szCs w:val="22"/>
          <w:lang w:val="es-ES"/>
        </w:rPr>
      </w:pPr>
      <w:r w:rsidRPr="00E750D0">
        <w:rPr>
          <w:rFonts w:ascii="Garamond" w:hAnsi="Garamond"/>
          <w:bCs/>
          <w:sz w:val="22"/>
          <w:szCs w:val="22"/>
          <w:lang w:val="es-ES"/>
        </w:rPr>
        <w:t xml:space="preserve">               class="10000"&gt;</w:t>
      </w:r>
    </w:p>
    <w:p w14:paraId="0B1EA7B1" w14:textId="77777777" w:rsidR="00CE6209" w:rsidRPr="00E750D0" w:rsidRDefault="00CE6209" w:rsidP="00CE6209">
      <w:pPr>
        <w:spacing w:after="120"/>
        <w:ind w:left="1134" w:hanging="567"/>
        <w:jc w:val="both"/>
        <w:rPr>
          <w:rFonts w:ascii="Garamond" w:hAnsi="Garamond"/>
          <w:bCs/>
          <w:sz w:val="22"/>
          <w:szCs w:val="22"/>
          <w:lang w:val="es-ES"/>
        </w:rPr>
      </w:pPr>
      <w:r w:rsidRPr="00E750D0">
        <w:rPr>
          <w:rFonts w:ascii="Garamond" w:hAnsi="Garamond"/>
          <w:bCs/>
          <w:sz w:val="22"/>
          <w:szCs w:val="22"/>
          <w:lang w:val="es-ES"/>
        </w:rPr>
        <w:t xml:space="preserve">    &lt;podis:Header&gt;</w:t>
      </w:r>
    </w:p>
    <w:p w14:paraId="3213E1A1" w14:textId="77777777" w:rsidR="00CE6209" w:rsidRPr="00E750D0" w:rsidRDefault="00CE6209" w:rsidP="00CE6209">
      <w:pPr>
        <w:spacing w:after="120"/>
        <w:ind w:left="1134" w:hanging="567"/>
        <w:jc w:val="both"/>
        <w:rPr>
          <w:rFonts w:ascii="Garamond" w:hAnsi="Garamond"/>
          <w:bCs/>
          <w:sz w:val="22"/>
          <w:szCs w:val="22"/>
          <w:lang w:val="es-ES"/>
        </w:rPr>
      </w:pPr>
      <w:r w:rsidRPr="00E750D0">
        <w:rPr>
          <w:rFonts w:ascii="Garamond" w:hAnsi="Garamond"/>
          <w:bCs/>
          <w:sz w:val="22"/>
          <w:szCs w:val="22"/>
          <w:lang w:val="es-ES"/>
        </w:rPr>
        <w:t xml:space="preserve">        &lt;podis:Revision&gt;1&lt;/podis:Revision&gt;</w:t>
      </w:r>
    </w:p>
    <w:p w14:paraId="3FC3BD66" w14:textId="77777777" w:rsidR="00CE6209" w:rsidRPr="00E750D0" w:rsidRDefault="00CE6209" w:rsidP="00CE6209">
      <w:pPr>
        <w:spacing w:after="120"/>
        <w:ind w:left="1134" w:hanging="567"/>
        <w:jc w:val="both"/>
        <w:rPr>
          <w:rFonts w:ascii="Garamond" w:hAnsi="Garamond"/>
          <w:bCs/>
          <w:sz w:val="22"/>
          <w:szCs w:val="22"/>
          <w:lang w:val="es-ES"/>
        </w:rPr>
      </w:pPr>
      <w:r w:rsidRPr="00E750D0">
        <w:rPr>
          <w:rFonts w:ascii="Garamond" w:hAnsi="Garamond"/>
          <w:bCs/>
          <w:sz w:val="22"/>
          <w:szCs w:val="22"/>
          <w:lang w:val="es-ES"/>
        </w:rPr>
        <w:t xml:space="preserve">        &lt;podis:Timestamp&gt;2022-12-21T11:45:20.021&lt;/podis:Timestamp&gt;</w:t>
      </w:r>
    </w:p>
    <w:p w14:paraId="5345B8B6" w14:textId="77777777" w:rsidR="00CE6209" w:rsidRPr="00E750D0" w:rsidRDefault="00CE6209" w:rsidP="00CE6209">
      <w:pPr>
        <w:spacing w:after="120"/>
        <w:ind w:left="1134" w:hanging="567"/>
        <w:jc w:val="both"/>
        <w:rPr>
          <w:rFonts w:ascii="Garamond" w:hAnsi="Garamond"/>
          <w:bCs/>
          <w:sz w:val="22"/>
          <w:szCs w:val="22"/>
          <w:lang w:val="es-ES"/>
        </w:rPr>
      </w:pPr>
      <w:r w:rsidRPr="00E750D0">
        <w:rPr>
          <w:rFonts w:ascii="Garamond" w:hAnsi="Garamond"/>
          <w:bCs/>
          <w:sz w:val="22"/>
          <w:szCs w:val="22"/>
          <w:lang w:val="es-ES"/>
        </w:rPr>
        <w:t xml:space="preserve">        &lt;podis:MessageID&gt;f6e22cea-a8e5-40b1-de8a-ab605fe683b0&lt;/podis:MessageID&gt;</w:t>
      </w:r>
    </w:p>
    <w:p w14:paraId="34CC02F9" w14:textId="77777777" w:rsidR="00CE6209" w:rsidRPr="00E750D0" w:rsidRDefault="00CE6209" w:rsidP="00CE6209">
      <w:pPr>
        <w:spacing w:after="120"/>
        <w:ind w:left="1134" w:hanging="567"/>
        <w:jc w:val="both"/>
        <w:rPr>
          <w:rFonts w:ascii="Garamond" w:hAnsi="Garamond"/>
          <w:bCs/>
          <w:sz w:val="22"/>
          <w:szCs w:val="22"/>
          <w:lang w:val="es-ES"/>
        </w:rPr>
      </w:pPr>
      <w:r w:rsidRPr="00E750D0">
        <w:rPr>
          <w:rFonts w:ascii="Garamond" w:hAnsi="Garamond"/>
          <w:bCs/>
          <w:sz w:val="22"/>
          <w:szCs w:val="22"/>
          <w:lang w:val="es-ES"/>
        </w:rPr>
        <w:t xml:space="preserve">    &lt;/podis:Header&gt;</w:t>
      </w:r>
    </w:p>
    <w:p w14:paraId="119AD0AB" w14:textId="77777777" w:rsidR="00CE6209" w:rsidRPr="00E750D0" w:rsidRDefault="00CE6209" w:rsidP="00CE6209">
      <w:pPr>
        <w:spacing w:after="120"/>
        <w:ind w:left="1134" w:hanging="567"/>
        <w:jc w:val="both"/>
        <w:rPr>
          <w:rFonts w:ascii="Garamond" w:hAnsi="Garamond"/>
          <w:bCs/>
          <w:sz w:val="22"/>
          <w:szCs w:val="22"/>
          <w:lang w:val="es-ES"/>
        </w:rPr>
      </w:pPr>
      <w:r w:rsidRPr="00E750D0">
        <w:rPr>
          <w:rFonts w:ascii="Garamond" w:hAnsi="Garamond"/>
          <w:bCs/>
          <w:sz w:val="22"/>
          <w:szCs w:val="22"/>
          <w:lang w:val="es-ES"/>
        </w:rPr>
        <w:t xml:space="preserve">    &lt;podis:Payload&gt;</w:t>
      </w:r>
    </w:p>
    <w:p w14:paraId="7B43EB29" w14:textId="77777777" w:rsidR="00CE6209" w:rsidRPr="00E750D0" w:rsidRDefault="00CE6209" w:rsidP="00CE6209">
      <w:pPr>
        <w:spacing w:after="120"/>
        <w:ind w:left="1134" w:hanging="567"/>
        <w:jc w:val="both"/>
        <w:rPr>
          <w:rFonts w:ascii="Garamond" w:hAnsi="Garamond"/>
          <w:bCs/>
          <w:sz w:val="22"/>
          <w:szCs w:val="22"/>
          <w:lang w:val="es-ES"/>
        </w:rPr>
      </w:pPr>
      <w:r w:rsidRPr="00E750D0">
        <w:rPr>
          <w:rFonts w:ascii="Garamond" w:hAnsi="Garamond"/>
          <w:bCs/>
          <w:sz w:val="22"/>
          <w:szCs w:val="22"/>
          <w:lang w:val="es-ES"/>
        </w:rPr>
        <w:t xml:space="preserve">        &lt;podis:AMIConfig&gt;</w:t>
      </w:r>
    </w:p>
    <w:p w14:paraId="77A18930" w14:textId="77777777" w:rsidR="00CE6209" w:rsidRPr="00E750D0" w:rsidRDefault="00CE6209" w:rsidP="00CE6209">
      <w:pPr>
        <w:spacing w:after="120"/>
        <w:ind w:left="1134" w:hanging="567"/>
        <w:jc w:val="both"/>
        <w:rPr>
          <w:rFonts w:ascii="Garamond" w:hAnsi="Garamond"/>
          <w:bCs/>
          <w:sz w:val="22"/>
          <w:szCs w:val="22"/>
          <w:lang w:val="es-ES"/>
        </w:rPr>
      </w:pPr>
      <w:r w:rsidRPr="00E750D0">
        <w:rPr>
          <w:rFonts w:ascii="Garamond" w:hAnsi="Garamond"/>
          <w:bCs/>
          <w:sz w:val="22"/>
          <w:szCs w:val="22"/>
          <w:lang w:val="es-ES"/>
        </w:rPr>
        <w:t xml:space="preserve">            &lt;podis:partner&gt;</w:t>
      </w:r>
    </w:p>
    <w:p w14:paraId="0B18FC0A" w14:textId="77777777" w:rsidR="00CE6209" w:rsidRPr="00E750D0" w:rsidRDefault="00CE6209" w:rsidP="00CE6209">
      <w:pPr>
        <w:spacing w:after="120"/>
        <w:ind w:left="1134" w:hanging="567"/>
        <w:jc w:val="both"/>
        <w:rPr>
          <w:rFonts w:ascii="Garamond" w:hAnsi="Garamond"/>
          <w:bCs/>
          <w:sz w:val="22"/>
          <w:szCs w:val="22"/>
          <w:lang w:val="es-ES"/>
        </w:rPr>
      </w:pPr>
      <w:r w:rsidRPr="00E750D0">
        <w:rPr>
          <w:rFonts w:ascii="Garamond" w:hAnsi="Garamond"/>
          <w:bCs/>
          <w:sz w:val="22"/>
          <w:szCs w:val="22"/>
          <w:lang w:val="es-ES"/>
        </w:rPr>
        <w:t xml:space="preserve">                &lt;podis:mRID&gt;6ea9cfde-9ff1-da0a-2bda-1adbfd5f5edf&lt;/podis:mRID&gt;</w:t>
      </w:r>
    </w:p>
    <w:p w14:paraId="5889BA03" w14:textId="77777777" w:rsidR="00CE6209" w:rsidRPr="00E750D0" w:rsidRDefault="00CE6209" w:rsidP="00CE6209">
      <w:pPr>
        <w:spacing w:after="120"/>
        <w:ind w:left="1134" w:hanging="567"/>
        <w:jc w:val="both"/>
        <w:rPr>
          <w:rFonts w:ascii="Garamond" w:hAnsi="Garamond"/>
          <w:bCs/>
          <w:sz w:val="22"/>
          <w:szCs w:val="22"/>
          <w:lang w:val="es-ES"/>
        </w:rPr>
      </w:pPr>
      <w:r w:rsidRPr="00E750D0">
        <w:rPr>
          <w:rFonts w:ascii="Garamond" w:hAnsi="Garamond"/>
          <w:bCs/>
          <w:sz w:val="22"/>
          <w:szCs w:val="22"/>
          <w:lang w:val="es-ES"/>
        </w:rPr>
        <w:t xml:space="preserve">                &lt;podis:organisation&gt;</w:t>
      </w:r>
    </w:p>
    <w:p w14:paraId="36B1EFA4" w14:textId="77777777" w:rsidR="00CE6209" w:rsidRPr="00E750D0" w:rsidRDefault="00CE6209" w:rsidP="00CE6209">
      <w:pPr>
        <w:spacing w:after="120"/>
        <w:ind w:left="1134" w:hanging="567"/>
        <w:jc w:val="both"/>
        <w:rPr>
          <w:rFonts w:ascii="Garamond" w:hAnsi="Garamond"/>
          <w:bCs/>
          <w:sz w:val="22"/>
          <w:szCs w:val="22"/>
          <w:lang w:val="es-ES"/>
        </w:rPr>
      </w:pPr>
      <w:r w:rsidRPr="00E750D0">
        <w:rPr>
          <w:rFonts w:ascii="Garamond" w:hAnsi="Garamond"/>
          <w:bCs/>
          <w:sz w:val="22"/>
          <w:szCs w:val="22"/>
          <w:lang w:val="es-ES"/>
        </w:rPr>
        <w:t xml:space="preserve">                    &lt;podis:orgINN&gt;1234567890&lt;/podis:orgINN&gt;</w:t>
      </w:r>
    </w:p>
    <w:p w14:paraId="6343254B" w14:textId="77777777" w:rsidR="00CE6209" w:rsidRPr="00E750D0" w:rsidRDefault="00CE6209" w:rsidP="00CE6209">
      <w:pPr>
        <w:spacing w:after="120"/>
        <w:ind w:left="1134" w:hanging="567"/>
        <w:jc w:val="both"/>
        <w:rPr>
          <w:rFonts w:ascii="Garamond" w:hAnsi="Garamond"/>
          <w:bCs/>
          <w:sz w:val="22"/>
          <w:szCs w:val="22"/>
          <w:lang w:val="es-ES"/>
        </w:rPr>
      </w:pPr>
      <w:r w:rsidRPr="00E750D0">
        <w:rPr>
          <w:rFonts w:ascii="Garamond" w:hAnsi="Garamond"/>
          <w:bCs/>
          <w:sz w:val="22"/>
          <w:szCs w:val="22"/>
          <w:lang w:val="es-ES"/>
        </w:rPr>
        <w:t xml:space="preserve">                    &lt;podis:orgNameFull&gt;"</w:t>
      </w:r>
      <w:r w:rsidRPr="00D934B1">
        <w:rPr>
          <w:rFonts w:ascii="Garamond" w:hAnsi="Garamond"/>
          <w:bCs/>
          <w:sz w:val="22"/>
          <w:szCs w:val="22"/>
        </w:rPr>
        <w:t>Наименование</w:t>
      </w:r>
      <w:r w:rsidRPr="00E750D0">
        <w:rPr>
          <w:rFonts w:ascii="Garamond" w:hAnsi="Garamond"/>
          <w:bCs/>
          <w:sz w:val="22"/>
          <w:szCs w:val="22"/>
          <w:lang w:val="es-ES"/>
        </w:rPr>
        <w:t xml:space="preserve"> </w:t>
      </w:r>
      <w:r w:rsidRPr="00D934B1">
        <w:rPr>
          <w:rFonts w:ascii="Garamond" w:hAnsi="Garamond"/>
          <w:bCs/>
          <w:sz w:val="22"/>
          <w:szCs w:val="22"/>
        </w:rPr>
        <w:t>организации</w:t>
      </w:r>
      <w:r w:rsidRPr="00E750D0">
        <w:rPr>
          <w:rFonts w:ascii="Garamond" w:hAnsi="Garamond"/>
          <w:bCs/>
          <w:sz w:val="22"/>
          <w:szCs w:val="22"/>
          <w:lang w:val="es-ES"/>
        </w:rPr>
        <w:t xml:space="preserve"> </w:t>
      </w:r>
      <w:r w:rsidRPr="00D934B1">
        <w:rPr>
          <w:rFonts w:ascii="Garamond" w:hAnsi="Garamond"/>
          <w:bCs/>
          <w:sz w:val="22"/>
          <w:szCs w:val="22"/>
        </w:rPr>
        <w:t>владельца</w:t>
      </w:r>
      <w:r w:rsidRPr="00E750D0">
        <w:rPr>
          <w:rFonts w:ascii="Garamond" w:hAnsi="Garamond"/>
          <w:bCs/>
          <w:sz w:val="22"/>
          <w:szCs w:val="22"/>
          <w:lang w:val="es-ES"/>
        </w:rPr>
        <w:t xml:space="preserve"> </w:t>
      </w:r>
      <w:r w:rsidRPr="00D934B1">
        <w:rPr>
          <w:rFonts w:ascii="Garamond" w:hAnsi="Garamond"/>
          <w:bCs/>
          <w:sz w:val="22"/>
          <w:szCs w:val="22"/>
        </w:rPr>
        <w:t>ИСУ</w:t>
      </w:r>
      <w:r w:rsidRPr="00E750D0">
        <w:rPr>
          <w:rFonts w:ascii="Garamond" w:hAnsi="Garamond"/>
          <w:bCs/>
          <w:sz w:val="22"/>
          <w:szCs w:val="22"/>
          <w:lang w:val="es-ES"/>
        </w:rPr>
        <w:t>"&lt;/podis:orgNameFull&gt;</w:t>
      </w:r>
    </w:p>
    <w:p w14:paraId="21FA895C" w14:textId="77777777" w:rsidR="00CE6209" w:rsidRPr="00E750D0" w:rsidRDefault="00CE6209" w:rsidP="00CE6209">
      <w:pPr>
        <w:spacing w:after="120"/>
        <w:ind w:left="1134" w:hanging="567"/>
        <w:jc w:val="both"/>
        <w:rPr>
          <w:rFonts w:ascii="Garamond" w:hAnsi="Garamond"/>
          <w:bCs/>
          <w:sz w:val="22"/>
          <w:szCs w:val="22"/>
          <w:lang w:val="es-ES"/>
        </w:rPr>
      </w:pPr>
      <w:r w:rsidRPr="00E750D0">
        <w:rPr>
          <w:rFonts w:ascii="Garamond" w:hAnsi="Garamond"/>
          <w:bCs/>
          <w:sz w:val="22"/>
          <w:szCs w:val="22"/>
          <w:lang w:val="es-ES"/>
        </w:rPr>
        <w:t xml:space="preserve">                &lt;/podis:organisation&gt;</w:t>
      </w:r>
    </w:p>
    <w:p w14:paraId="23746378" w14:textId="77777777" w:rsidR="00CE6209" w:rsidRPr="00E750D0" w:rsidRDefault="00CE6209" w:rsidP="00CE6209">
      <w:pPr>
        <w:spacing w:after="120"/>
        <w:ind w:left="1134" w:hanging="567"/>
        <w:jc w:val="both"/>
        <w:rPr>
          <w:rFonts w:ascii="Garamond" w:hAnsi="Garamond"/>
          <w:bCs/>
          <w:sz w:val="22"/>
          <w:szCs w:val="22"/>
          <w:lang w:val="es-ES"/>
        </w:rPr>
      </w:pPr>
      <w:r w:rsidRPr="00E750D0">
        <w:rPr>
          <w:rFonts w:ascii="Garamond" w:hAnsi="Garamond"/>
          <w:bCs/>
          <w:sz w:val="22"/>
          <w:szCs w:val="22"/>
          <w:lang w:val="es-ES"/>
        </w:rPr>
        <w:t xml:space="preserve">            &lt;/podis:partner&gt;</w:t>
      </w:r>
    </w:p>
    <w:p w14:paraId="4318AC4A" w14:textId="77777777" w:rsidR="00CE6209" w:rsidRPr="00E750D0" w:rsidRDefault="00CE6209" w:rsidP="00CE6209">
      <w:pPr>
        <w:spacing w:after="120"/>
        <w:ind w:left="1134" w:hanging="567"/>
        <w:jc w:val="both"/>
        <w:rPr>
          <w:rFonts w:ascii="Garamond" w:hAnsi="Garamond"/>
          <w:bCs/>
          <w:sz w:val="22"/>
          <w:szCs w:val="22"/>
          <w:lang w:val="es-ES"/>
        </w:rPr>
      </w:pPr>
      <w:r w:rsidRPr="00E750D0">
        <w:rPr>
          <w:rFonts w:ascii="Garamond" w:hAnsi="Garamond"/>
          <w:bCs/>
          <w:sz w:val="22"/>
          <w:szCs w:val="22"/>
          <w:lang w:val="es-ES"/>
        </w:rPr>
        <w:t xml:space="preserve">            &lt;podis:usagePoints&gt;</w:t>
      </w:r>
    </w:p>
    <w:p w14:paraId="2496677B" w14:textId="77777777" w:rsidR="00CE6209" w:rsidRPr="00E750D0" w:rsidRDefault="00CE6209" w:rsidP="00CE6209">
      <w:pPr>
        <w:spacing w:after="120"/>
        <w:ind w:left="1134" w:hanging="567"/>
        <w:jc w:val="both"/>
        <w:rPr>
          <w:rFonts w:ascii="Garamond" w:hAnsi="Garamond"/>
          <w:bCs/>
          <w:sz w:val="22"/>
          <w:szCs w:val="22"/>
          <w:lang w:val="es-ES"/>
        </w:rPr>
      </w:pPr>
      <w:r w:rsidRPr="00E750D0">
        <w:rPr>
          <w:rFonts w:ascii="Garamond" w:hAnsi="Garamond"/>
          <w:bCs/>
          <w:sz w:val="22"/>
          <w:szCs w:val="22"/>
          <w:lang w:val="es-ES"/>
        </w:rPr>
        <w:lastRenderedPageBreak/>
        <w:t xml:space="preserve">                &lt;podis:usagePoint&gt;</w:t>
      </w:r>
    </w:p>
    <w:p w14:paraId="390C8FEF" w14:textId="77777777" w:rsidR="00CE6209" w:rsidRPr="00E750D0" w:rsidRDefault="00CE6209" w:rsidP="00CE6209">
      <w:pPr>
        <w:spacing w:after="120"/>
        <w:ind w:left="1134" w:hanging="567"/>
        <w:jc w:val="both"/>
        <w:rPr>
          <w:rFonts w:ascii="Garamond" w:hAnsi="Garamond"/>
          <w:bCs/>
          <w:sz w:val="22"/>
          <w:szCs w:val="22"/>
          <w:lang w:val="es-ES"/>
        </w:rPr>
      </w:pPr>
      <w:r w:rsidRPr="00E750D0">
        <w:rPr>
          <w:rFonts w:ascii="Garamond" w:hAnsi="Garamond"/>
          <w:bCs/>
          <w:sz w:val="22"/>
          <w:szCs w:val="22"/>
          <w:lang w:val="es-ES"/>
        </w:rPr>
        <w:t xml:space="preserve">                    &lt;podis:mRID&gt;eaaba645-dd8c-fcf6-fca2-ceabcc6f815b&lt;/podis:mRID&gt;</w:t>
      </w:r>
    </w:p>
    <w:p w14:paraId="31FA8AC8" w14:textId="77777777" w:rsidR="00CE6209" w:rsidRPr="00D934B1" w:rsidRDefault="00CE6209" w:rsidP="00CE6209">
      <w:pPr>
        <w:spacing w:after="120"/>
        <w:ind w:left="1134" w:hanging="567"/>
        <w:jc w:val="both"/>
        <w:rPr>
          <w:rFonts w:ascii="Garamond" w:hAnsi="Garamond"/>
          <w:bCs/>
          <w:sz w:val="22"/>
          <w:szCs w:val="22"/>
          <w:lang w:val="en-US"/>
        </w:rPr>
      </w:pPr>
      <w:r w:rsidRPr="00E750D0">
        <w:rPr>
          <w:rFonts w:ascii="Garamond" w:hAnsi="Garamond"/>
          <w:bCs/>
          <w:sz w:val="22"/>
          <w:szCs w:val="22"/>
          <w:lang w:val="es-ES"/>
        </w:rPr>
        <w:t xml:space="preserve">                    </w:t>
      </w:r>
      <w:r w:rsidRPr="00D934B1">
        <w:rPr>
          <w:rFonts w:ascii="Garamond" w:hAnsi="Garamond"/>
          <w:bCs/>
          <w:sz w:val="22"/>
          <w:szCs w:val="22"/>
          <w:lang w:val="en-US"/>
        </w:rPr>
        <w:t>&lt;podis:name&gt;</w:t>
      </w:r>
      <w:r w:rsidRPr="00D934B1">
        <w:rPr>
          <w:rFonts w:ascii="Garamond" w:hAnsi="Garamond"/>
          <w:bCs/>
          <w:sz w:val="22"/>
          <w:szCs w:val="22"/>
        </w:rPr>
        <w:t>КРУ</w:t>
      </w:r>
      <w:r w:rsidRPr="00D934B1">
        <w:rPr>
          <w:rFonts w:ascii="Garamond" w:hAnsi="Garamond"/>
          <w:bCs/>
          <w:sz w:val="22"/>
          <w:szCs w:val="22"/>
          <w:lang w:val="en-US"/>
        </w:rPr>
        <w:t xml:space="preserve">-3, </w:t>
      </w:r>
      <w:r w:rsidRPr="00D934B1">
        <w:rPr>
          <w:rFonts w:ascii="Garamond" w:hAnsi="Garamond"/>
          <w:bCs/>
          <w:sz w:val="22"/>
          <w:szCs w:val="22"/>
        </w:rPr>
        <w:t>яч</w:t>
      </w:r>
      <w:r w:rsidRPr="00D934B1">
        <w:rPr>
          <w:rFonts w:ascii="Garamond" w:hAnsi="Garamond"/>
          <w:bCs/>
          <w:sz w:val="22"/>
          <w:szCs w:val="22"/>
          <w:lang w:val="en-US"/>
        </w:rPr>
        <w:t>. 10&lt;/podis:name&gt;</w:t>
      </w:r>
    </w:p>
    <w:p w14:paraId="73AAF504" w14:textId="77777777" w:rsidR="00CE6209" w:rsidRPr="00E750D0" w:rsidRDefault="00CE6209" w:rsidP="00CE6209">
      <w:pPr>
        <w:spacing w:after="120"/>
        <w:ind w:left="1134" w:hanging="567"/>
        <w:jc w:val="both"/>
        <w:rPr>
          <w:rFonts w:ascii="Garamond" w:hAnsi="Garamond"/>
          <w:bCs/>
          <w:sz w:val="22"/>
          <w:szCs w:val="22"/>
          <w:lang w:val="es-ES"/>
        </w:rPr>
      </w:pPr>
      <w:r w:rsidRPr="00D934B1">
        <w:rPr>
          <w:rFonts w:ascii="Garamond" w:hAnsi="Garamond"/>
          <w:bCs/>
          <w:sz w:val="22"/>
          <w:szCs w:val="22"/>
          <w:lang w:val="en-US"/>
        </w:rPr>
        <w:t xml:space="preserve">                    </w:t>
      </w:r>
      <w:r w:rsidRPr="00E750D0">
        <w:rPr>
          <w:rFonts w:ascii="Garamond" w:hAnsi="Garamond"/>
          <w:bCs/>
          <w:sz w:val="22"/>
          <w:szCs w:val="22"/>
          <w:lang w:val="es-ES"/>
        </w:rPr>
        <w:t>&lt;podis:accountPointRole&gt;</w:t>
      </w:r>
    </w:p>
    <w:p w14:paraId="00869CE8" w14:textId="77777777" w:rsidR="00CE6209" w:rsidRPr="00E750D0" w:rsidRDefault="00CE6209" w:rsidP="00CE6209">
      <w:pPr>
        <w:spacing w:after="120"/>
        <w:ind w:left="1134" w:hanging="567"/>
        <w:jc w:val="both"/>
        <w:rPr>
          <w:rFonts w:ascii="Garamond" w:hAnsi="Garamond"/>
          <w:bCs/>
          <w:sz w:val="22"/>
          <w:szCs w:val="22"/>
          <w:lang w:val="es-ES"/>
        </w:rPr>
      </w:pPr>
      <w:r w:rsidRPr="00E750D0">
        <w:rPr>
          <w:rFonts w:ascii="Garamond" w:hAnsi="Garamond"/>
          <w:bCs/>
          <w:sz w:val="22"/>
          <w:szCs w:val="22"/>
          <w:lang w:val="es-ES"/>
        </w:rPr>
        <w:t xml:space="preserve">                        &lt;podis:endDevices&gt;</w:t>
      </w:r>
    </w:p>
    <w:p w14:paraId="473E2CE6" w14:textId="77777777" w:rsidR="00CE6209" w:rsidRPr="00E750D0" w:rsidRDefault="00CE6209" w:rsidP="00CE6209">
      <w:pPr>
        <w:spacing w:after="120"/>
        <w:ind w:left="1134" w:hanging="567"/>
        <w:jc w:val="both"/>
        <w:rPr>
          <w:rFonts w:ascii="Garamond" w:hAnsi="Garamond"/>
          <w:bCs/>
          <w:sz w:val="22"/>
          <w:szCs w:val="22"/>
          <w:lang w:val="es-ES"/>
        </w:rPr>
      </w:pPr>
      <w:r w:rsidRPr="00E750D0">
        <w:rPr>
          <w:rFonts w:ascii="Garamond" w:hAnsi="Garamond"/>
          <w:bCs/>
          <w:sz w:val="22"/>
          <w:szCs w:val="22"/>
          <w:lang w:val="es-ES"/>
        </w:rPr>
        <w:t xml:space="preserve">                            &lt;podis:meter&gt;</w:t>
      </w:r>
    </w:p>
    <w:p w14:paraId="374D4B5F" w14:textId="77777777" w:rsidR="00CE6209" w:rsidRPr="00E750D0" w:rsidRDefault="00CE6209" w:rsidP="00CE6209">
      <w:pPr>
        <w:spacing w:after="120"/>
        <w:ind w:left="1134" w:hanging="567"/>
        <w:jc w:val="both"/>
        <w:rPr>
          <w:rFonts w:ascii="Garamond" w:hAnsi="Garamond"/>
          <w:bCs/>
          <w:sz w:val="22"/>
          <w:szCs w:val="22"/>
          <w:lang w:val="es-ES"/>
        </w:rPr>
      </w:pPr>
      <w:r w:rsidRPr="00E750D0">
        <w:rPr>
          <w:rFonts w:ascii="Garamond" w:hAnsi="Garamond"/>
          <w:bCs/>
          <w:sz w:val="22"/>
          <w:szCs w:val="22"/>
          <w:lang w:val="es-ES"/>
        </w:rPr>
        <w:t xml:space="preserve">                                &lt;podis:mRID&gt;ac950e8b-ebac-cbfa-2f2d-674bddce41d2&lt;/podis:mRID&gt;</w:t>
      </w:r>
    </w:p>
    <w:p w14:paraId="2B515C52" w14:textId="77777777" w:rsidR="00CE6209" w:rsidRPr="00D934B1" w:rsidRDefault="00CE6209" w:rsidP="00CE6209">
      <w:pPr>
        <w:spacing w:after="120"/>
        <w:ind w:left="1134" w:hanging="567"/>
        <w:jc w:val="both"/>
        <w:rPr>
          <w:rFonts w:ascii="Garamond" w:hAnsi="Garamond"/>
          <w:bCs/>
          <w:sz w:val="22"/>
          <w:szCs w:val="22"/>
          <w:lang w:val="en-US"/>
        </w:rPr>
      </w:pPr>
      <w:r w:rsidRPr="00E750D0">
        <w:rPr>
          <w:rFonts w:ascii="Garamond" w:hAnsi="Garamond"/>
          <w:bCs/>
          <w:sz w:val="22"/>
          <w:szCs w:val="22"/>
          <w:lang w:val="es-ES"/>
        </w:rPr>
        <w:t xml:space="preserve">                                </w:t>
      </w:r>
      <w:r w:rsidRPr="00D934B1">
        <w:rPr>
          <w:rFonts w:ascii="Garamond" w:hAnsi="Garamond"/>
          <w:bCs/>
          <w:sz w:val="22"/>
          <w:szCs w:val="22"/>
          <w:lang w:val="en-US"/>
        </w:rPr>
        <w:t>&lt;podis:lifeCycleDate&gt;</w:t>
      </w:r>
    </w:p>
    <w:p w14:paraId="6B4F8356" w14:textId="77777777" w:rsidR="00CE6209" w:rsidRPr="00D934B1" w:rsidRDefault="00CE6209" w:rsidP="00CE6209">
      <w:pPr>
        <w:spacing w:after="120"/>
        <w:ind w:left="1134" w:hanging="567"/>
        <w:jc w:val="both"/>
        <w:rPr>
          <w:rFonts w:ascii="Garamond" w:hAnsi="Garamond"/>
          <w:bCs/>
          <w:sz w:val="22"/>
          <w:szCs w:val="22"/>
          <w:lang w:val="en-US"/>
        </w:rPr>
      </w:pPr>
      <w:r w:rsidRPr="00D934B1">
        <w:rPr>
          <w:rFonts w:ascii="Garamond" w:hAnsi="Garamond"/>
          <w:bCs/>
          <w:sz w:val="22"/>
          <w:szCs w:val="22"/>
          <w:lang w:val="en-US"/>
        </w:rPr>
        <w:t xml:space="preserve">                                    &lt;podis:nextDateValid&gt;2023-12-27&lt;/podis:nextDateValid&gt;</w:t>
      </w:r>
    </w:p>
    <w:p w14:paraId="646E7A5E" w14:textId="77777777" w:rsidR="00CE6209" w:rsidRPr="00D934B1" w:rsidRDefault="00CE6209" w:rsidP="00CE6209">
      <w:pPr>
        <w:spacing w:after="120"/>
        <w:ind w:left="1134" w:hanging="567"/>
        <w:jc w:val="both"/>
        <w:rPr>
          <w:rFonts w:ascii="Garamond" w:hAnsi="Garamond"/>
          <w:bCs/>
          <w:sz w:val="22"/>
          <w:szCs w:val="22"/>
          <w:lang w:val="en-US"/>
        </w:rPr>
      </w:pPr>
      <w:r w:rsidRPr="00D934B1">
        <w:rPr>
          <w:rFonts w:ascii="Garamond" w:hAnsi="Garamond"/>
          <w:bCs/>
          <w:sz w:val="22"/>
          <w:szCs w:val="22"/>
          <w:lang w:val="en-US"/>
        </w:rPr>
        <w:t xml:space="preserve">                                &lt;/podis:lifeCycleDate&gt;</w:t>
      </w:r>
    </w:p>
    <w:p w14:paraId="7D59595D" w14:textId="77777777" w:rsidR="00CE6209" w:rsidRPr="00D934B1" w:rsidRDefault="00CE6209" w:rsidP="00CE6209">
      <w:pPr>
        <w:spacing w:after="120"/>
        <w:ind w:left="1134" w:hanging="567"/>
        <w:jc w:val="both"/>
        <w:rPr>
          <w:rFonts w:ascii="Garamond" w:hAnsi="Garamond"/>
          <w:bCs/>
          <w:sz w:val="22"/>
          <w:szCs w:val="22"/>
          <w:lang w:val="en-US"/>
        </w:rPr>
      </w:pPr>
      <w:r w:rsidRPr="00D934B1">
        <w:rPr>
          <w:rFonts w:ascii="Garamond" w:hAnsi="Garamond"/>
          <w:bCs/>
          <w:sz w:val="22"/>
          <w:szCs w:val="22"/>
          <w:lang w:val="en-US"/>
        </w:rPr>
        <w:t xml:space="preserve">                                &lt;podis:serialNumber&gt;01345001&lt;/podis:serialNumber&gt;</w:t>
      </w:r>
    </w:p>
    <w:p w14:paraId="67C6303B" w14:textId="77777777" w:rsidR="00CE6209" w:rsidRPr="00D934B1" w:rsidRDefault="00CE6209" w:rsidP="00CE6209">
      <w:pPr>
        <w:spacing w:after="120"/>
        <w:ind w:left="1134" w:hanging="567"/>
        <w:jc w:val="both"/>
        <w:rPr>
          <w:rFonts w:ascii="Garamond" w:hAnsi="Garamond"/>
          <w:bCs/>
          <w:sz w:val="22"/>
          <w:szCs w:val="22"/>
          <w:lang w:val="en-US"/>
        </w:rPr>
      </w:pPr>
      <w:r w:rsidRPr="00D934B1">
        <w:rPr>
          <w:rFonts w:ascii="Garamond" w:hAnsi="Garamond"/>
          <w:bCs/>
          <w:sz w:val="22"/>
          <w:szCs w:val="22"/>
          <w:lang w:val="en-US"/>
        </w:rPr>
        <w:t xml:space="preserve">                                &lt;podis:meterInfoLink&gt;</w:t>
      </w:r>
    </w:p>
    <w:p w14:paraId="3935338E" w14:textId="77777777" w:rsidR="00CE6209" w:rsidRPr="00D934B1" w:rsidRDefault="00CE6209" w:rsidP="00CE6209">
      <w:pPr>
        <w:spacing w:after="120"/>
        <w:ind w:left="1134" w:hanging="567"/>
        <w:jc w:val="both"/>
        <w:rPr>
          <w:rFonts w:ascii="Garamond" w:hAnsi="Garamond"/>
          <w:bCs/>
          <w:sz w:val="22"/>
          <w:szCs w:val="22"/>
          <w:lang w:val="en-US"/>
        </w:rPr>
      </w:pPr>
      <w:r w:rsidRPr="00D934B1">
        <w:rPr>
          <w:rFonts w:ascii="Garamond" w:hAnsi="Garamond"/>
          <w:bCs/>
          <w:sz w:val="22"/>
          <w:szCs w:val="22"/>
          <w:lang w:val="en-US"/>
        </w:rPr>
        <w:t xml:space="preserve">                                    &lt;podis:mRID&gt;4be91b5e-bab5-5bf1-90fa-b1dacafe1bda&lt;/podis:mRID&gt;</w:t>
      </w:r>
    </w:p>
    <w:p w14:paraId="4907AC8C" w14:textId="77777777" w:rsidR="00CE6209" w:rsidRPr="00D934B1" w:rsidRDefault="00CE6209" w:rsidP="00CE6209">
      <w:pPr>
        <w:spacing w:after="120"/>
        <w:ind w:left="1134" w:hanging="567"/>
        <w:jc w:val="both"/>
        <w:rPr>
          <w:rFonts w:ascii="Garamond" w:hAnsi="Garamond"/>
          <w:bCs/>
          <w:sz w:val="22"/>
          <w:szCs w:val="22"/>
          <w:lang w:val="en-US"/>
        </w:rPr>
      </w:pPr>
      <w:r w:rsidRPr="00D934B1">
        <w:rPr>
          <w:rFonts w:ascii="Garamond" w:hAnsi="Garamond"/>
          <w:bCs/>
          <w:sz w:val="22"/>
          <w:szCs w:val="22"/>
          <w:lang w:val="en-US"/>
        </w:rPr>
        <w:t xml:space="preserve">                                    &lt;podis:modelNumber&gt;A1805RAL-P4GE-DW-4&lt;/podis:modelNumber&gt;</w:t>
      </w:r>
    </w:p>
    <w:p w14:paraId="46734828" w14:textId="77777777" w:rsidR="00CE6209" w:rsidRPr="00D934B1" w:rsidRDefault="00CE6209" w:rsidP="00CE6209">
      <w:pPr>
        <w:spacing w:after="120"/>
        <w:ind w:left="1134" w:hanging="567"/>
        <w:jc w:val="both"/>
        <w:rPr>
          <w:rFonts w:ascii="Garamond" w:hAnsi="Garamond"/>
          <w:bCs/>
          <w:sz w:val="22"/>
          <w:szCs w:val="22"/>
          <w:lang w:val="en-US"/>
        </w:rPr>
      </w:pPr>
      <w:r w:rsidRPr="00D934B1">
        <w:rPr>
          <w:rFonts w:ascii="Garamond" w:hAnsi="Garamond"/>
          <w:bCs/>
          <w:sz w:val="22"/>
          <w:szCs w:val="22"/>
          <w:lang w:val="en-US"/>
        </w:rPr>
        <w:t xml:space="preserve">                                    &lt;podis:accuracyClass&gt;0.5S&lt;/podis:accuracyClass&gt;</w:t>
      </w:r>
    </w:p>
    <w:p w14:paraId="4FA40371" w14:textId="77777777" w:rsidR="00CE6209" w:rsidRPr="00D934B1" w:rsidRDefault="00CE6209" w:rsidP="00CE6209">
      <w:pPr>
        <w:spacing w:after="120"/>
        <w:ind w:left="1134" w:hanging="567"/>
        <w:jc w:val="both"/>
        <w:rPr>
          <w:rFonts w:ascii="Garamond" w:hAnsi="Garamond"/>
          <w:bCs/>
          <w:sz w:val="22"/>
          <w:szCs w:val="22"/>
          <w:lang w:val="en-US"/>
        </w:rPr>
      </w:pPr>
      <w:r w:rsidRPr="00D934B1">
        <w:rPr>
          <w:rFonts w:ascii="Garamond" w:hAnsi="Garamond"/>
          <w:bCs/>
          <w:sz w:val="22"/>
          <w:szCs w:val="22"/>
          <w:lang w:val="en-US"/>
        </w:rPr>
        <w:t xml:space="preserve">                                    &lt;podis:accuracyClassR&gt;1.0&lt;/podis:accuracyClassR&gt;</w:t>
      </w:r>
    </w:p>
    <w:p w14:paraId="6224E8E1" w14:textId="77777777" w:rsidR="00CE6209" w:rsidRPr="00D934B1" w:rsidRDefault="00CE6209" w:rsidP="00CE6209">
      <w:pPr>
        <w:spacing w:after="120"/>
        <w:ind w:left="1134" w:hanging="567"/>
        <w:jc w:val="both"/>
        <w:rPr>
          <w:rFonts w:ascii="Garamond" w:hAnsi="Garamond"/>
          <w:bCs/>
          <w:sz w:val="22"/>
          <w:szCs w:val="22"/>
          <w:lang w:val="en-US"/>
        </w:rPr>
      </w:pPr>
      <w:r w:rsidRPr="00D934B1">
        <w:rPr>
          <w:rFonts w:ascii="Garamond" w:hAnsi="Garamond"/>
          <w:bCs/>
          <w:sz w:val="22"/>
          <w:szCs w:val="22"/>
          <w:lang w:val="en-US"/>
        </w:rPr>
        <w:t xml:space="preserve">                                    &lt;podis:regNumber&gt;31857-06&lt;/podis:regNumber&gt;</w:t>
      </w:r>
    </w:p>
    <w:p w14:paraId="3D06EFFB" w14:textId="77777777" w:rsidR="00CE6209" w:rsidRPr="00D934B1" w:rsidRDefault="00CE6209" w:rsidP="00CE6209">
      <w:pPr>
        <w:spacing w:after="120"/>
        <w:ind w:left="1134" w:hanging="567"/>
        <w:jc w:val="both"/>
        <w:rPr>
          <w:rFonts w:ascii="Garamond" w:hAnsi="Garamond"/>
          <w:bCs/>
          <w:sz w:val="22"/>
          <w:szCs w:val="22"/>
          <w:lang w:val="en-US"/>
        </w:rPr>
      </w:pPr>
      <w:r w:rsidRPr="00D934B1">
        <w:rPr>
          <w:rFonts w:ascii="Garamond" w:hAnsi="Garamond"/>
          <w:bCs/>
          <w:sz w:val="22"/>
          <w:szCs w:val="22"/>
          <w:lang w:val="en-US"/>
        </w:rPr>
        <w:t xml:space="preserve">                                &lt;/podis:meterInfoLink&gt;</w:t>
      </w:r>
    </w:p>
    <w:p w14:paraId="4E314DC5" w14:textId="77777777" w:rsidR="00CE6209" w:rsidRPr="00D934B1" w:rsidRDefault="00CE6209" w:rsidP="00CE6209">
      <w:pPr>
        <w:spacing w:after="120"/>
        <w:ind w:left="1134" w:hanging="567"/>
        <w:jc w:val="both"/>
        <w:rPr>
          <w:rFonts w:ascii="Garamond" w:hAnsi="Garamond"/>
          <w:bCs/>
          <w:sz w:val="22"/>
          <w:szCs w:val="22"/>
          <w:lang w:val="en-US"/>
        </w:rPr>
      </w:pPr>
      <w:r w:rsidRPr="00D934B1">
        <w:rPr>
          <w:rFonts w:ascii="Garamond" w:hAnsi="Garamond"/>
          <w:bCs/>
          <w:sz w:val="22"/>
          <w:szCs w:val="22"/>
          <w:lang w:val="en-US"/>
        </w:rPr>
        <w:t xml:space="preserve">                            &lt;/podis:meter&gt;</w:t>
      </w:r>
    </w:p>
    <w:p w14:paraId="54815362" w14:textId="77777777" w:rsidR="00CE6209" w:rsidRPr="00D934B1" w:rsidRDefault="00CE6209" w:rsidP="00CE6209">
      <w:pPr>
        <w:spacing w:after="120"/>
        <w:ind w:left="1134" w:hanging="567"/>
        <w:jc w:val="both"/>
        <w:rPr>
          <w:rFonts w:ascii="Garamond" w:hAnsi="Garamond"/>
          <w:bCs/>
          <w:sz w:val="22"/>
          <w:szCs w:val="22"/>
          <w:lang w:val="en-US"/>
        </w:rPr>
      </w:pPr>
      <w:r w:rsidRPr="00D934B1">
        <w:rPr>
          <w:rFonts w:ascii="Garamond" w:hAnsi="Garamond"/>
          <w:bCs/>
          <w:sz w:val="22"/>
          <w:szCs w:val="22"/>
          <w:lang w:val="en-US"/>
        </w:rPr>
        <w:t xml:space="preserve">                            &lt;podis:rtu&gt;</w:t>
      </w:r>
    </w:p>
    <w:p w14:paraId="0068C81F" w14:textId="77777777" w:rsidR="00CE6209" w:rsidRPr="00D934B1" w:rsidRDefault="00CE6209" w:rsidP="00CE6209">
      <w:pPr>
        <w:spacing w:after="120"/>
        <w:ind w:left="1134" w:hanging="567"/>
        <w:jc w:val="both"/>
        <w:rPr>
          <w:rFonts w:ascii="Garamond" w:hAnsi="Garamond"/>
          <w:bCs/>
          <w:sz w:val="22"/>
          <w:szCs w:val="22"/>
          <w:lang w:val="en-US"/>
        </w:rPr>
      </w:pPr>
      <w:r w:rsidRPr="00D934B1">
        <w:rPr>
          <w:rFonts w:ascii="Garamond" w:hAnsi="Garamond"/>
          <w:bCs/>
          <w:sz w:val="22"/>
          <w:szCs w:val="22"/>
          <w:lang w:val="en-US"/>
        </w:rPr>
        <w:t xml:space="preserve">                                &lt;podis:mRID&gt;07bd81ce-bb3e-1aa5-a5f7-c07fefd9b2cb&lt;/podis:mRID&gt;</w:t>
      </w:r>
    </w:p>
    <w:p w14:paraId="4ED207DB" w14:textId="77777777" w:rsidR="00CE6209" w:rsidRPr="00D934B1" w:rsidRDefault="00CE6209" w:rsidP="00CE6209">
      <w:pPr>
        <w:spacing w:after="120"/>
        <w:ind w:left="1134" w:hanging="567"/>
        <w:jc w:val="both"/>
        <w:rPr>
          <w:rFonts w:ascii="Garamond" w:hAnsi="Garamond"/>
          <w:bCs/>
          <w:sz w:val="22"/>
          <w:szCs w:val="22"/>
          <w:lang w:val="en-US"/>
        </w:rPr>
      </w:pPr>
      <w:r w:rsidRPr="00D934B1">
        <w:rPr>
          <w:rFonts w:ascii="Garamond" w:hAnsi="Garamond"/>
          <w:bCs/>
          <w:sz w:val="22"/>
          <w:szCs w:val="22"/>
          <w:lang w:val="en-US"/>
        </w:rPr>
        <w:t xml:space="preserve">                                &lt;podis:lifeCycleDate&gt;</w:t>
      </w:r>
    </w:p>
    <w:p w14:paraId="6A84380C" w14:textId="77777777" w:rsidR="00CE6209" w:rsidRPr="00D934B1" w:rsidRDefault="00CE6209" w:rsidP="00CE6209">
      <w:pPr>
        <w:spacing w:after="120"/>
        <w:ind w:left="1134" w:hanging="567"/>
        <w:jc w:val="both"/>
        <w:rPr>
          <w:rFonts w:ascii="Garamond" w:hAnsi="Garamond"/>
          <w:bCs/>
          <w:sz w:val="22"/>
          <w:szCs w:val="22"/>
          <w:lang w:val="en-US"/>
        </w:rPr>
      </w:pPr>
      <w:r w:rsidRPr="00D934B1">
        <w:rPr>
          <w:rFonts w:ascii="Garamond" w:hAnsi="Garamond"/>
          <w:bCs/>
          <w:sz w:val="22"/>
          <w:szCs w:val="22"/>
          <w:lang w:val="en-US"/>
        </w:rPr>
        <w:t xml:space="preserve">                                    &lt;podis:nextDateValid&gt;2024-02-20&lt;/podis:nextDateValid&gt;</w:t>
      </w:r>
    </w:p>
    <w:p w14:paraId="6D670444" w14:textId="77777777" w:rsidR="00CE6209" w:rsidRPr="00D934B1" w:rsidRDefault="00CE6209" w:rsidP="00CE6209">
      <w:pPr>
        <w:spacing w:after="120"/>
        <w:ind w:left="1134" w:hanging="567"/>
        <w:jc w:val="both"/>
        <w:rPr>
          <w:rFonts w:ascii="Garamond" w:hAnsi="Garamond"/>
          <w:bCs/>
          <w:sz w:val="22"/>
          <w:szCs w:val="22"/>
          <w:lang w:val="en-US"/>
        </w:rPr>
      </w:pPr>
      <w:r w:rsidRPr="00D934B1">
        <w:rPr>
          <w:rFonts w:ascii="Garamond" w:hAnsi="Garamond"/>
          <w:bCs/>
          <w:sz w:val="22"/>
          <w:szCs w:val="22"/>
          <w:lang w:val="en-US"/>
        </w:rPr>
        <w:t xml:space="preserve">                                &lt;/podis:lifeCycleDate&gt;</w:t>
      </w:r>
    </w:p>
    <w:p w14:paraId="241B91BA" w14:textId="77777777" w:rsidR="00CE6209" w:rsidRPr="00D934B1" w:rsidRDefault="00CE6209" w:rsidP="00CE6209">
      <w:pPr>
        <w:spacing w:after="120"/>
        <w:ind w:left="1134" w:hanging="567"/>
        <w:jc w:val="both"/>
        <w:rPr>
          <w:rFonts w:ascii="Garamond" w:hAnsi="Garamond"/>
          <w:bCs/>
          <w:sz w:val="22"/>
          <w:szCs w:val="22"/>
          <w:lang w:val="en-US"/>
        </w:rPr>
      </w:pPr>
      <w:r w:rsidRPr="00D934B1">
        <w:rPr>
          <w:rFonts w:ascii="Garamond" w:hAnsi="Garamond"/>
          <w:bCs/>
          <w:sz w:val="22"/>
          <w:szCs w:val="22"/>
          <w:lang w:val="en-US"/>
        </w:rPr>
        <w:t xml:space="preserve">                                &lt;podis:serialNumber&gt;1325626&lt;/podis:serialNumber&gt;</w:t>
      </w:r>
    </w:p>
    <w:p w14:paraId="50B24B22" w14:textId="77777777" w:rsidR="00CE6209" w:rsidRPr="00D934B1" w:rsidRDefault="00CE6209" w:rsidP="00CE6209">
      <w:pPr>
        <w:spacing w:after="120"/>
        <w:ind w:left="1134" w:hanging="567"/>
        <w:jc w:val="both"/>
        <w:rPr>
          <w:rFonts w:ascii="Garamond" w:hAnsi="Garamond"/>
          <w:bCs/>
          <w:sz w:val="22"/>
          <w:szCs w:val="22"/>
          <w:lang w:val="en-US"/>
        </w:rPr>
      </w:pPr>
      <w:r w:rsidRPr="00D934B1">
        <w:rPr>
          <w:rFonts w:ascii="Garamond" w:hAnsi="Garamond"/>
          <w:bCs/>
          <w:sz w:val="22"/>
          <w:szCs w:val="22"/>
          <w:lang w:val="en-US"/>
        </w:rPr>
        <w:t xml:space="preserve">                                &lt;podis:rtuInfoLink&gt;</w:t>
      </w:r>
    </w:p>
    <w:p w14:paraId="62F94AE4" w14:textId="77777777" w:rsidR="00CE6209" w:rsidRPr="00D934B1" w:rsidRDefault="00CE6209" w:rsidP="00CE6209">
      <w:pPr>
        <w:spacing w:after="120"/>
        <w:ind w:left="1134" w:hanging="567"/>
        <w:jc w:val="both"/>
        <w:rPr>
          <w:rFonts w:ascii="Garamond" w:hAnsi="Garamond"/>
          <w:bCs/>
          <w:sz w:val="22"/>
          <w:szCs w:val="22"/>
          <w:lang w:val="en-US"/>
        </w:rPr>
      </w:pPr>
      <w:r w:rsidRPr="00D934B1">
        <w:rPr>
          <w:rFonts w:ascii="Garamond" w:hAnsi="Garamond"/>
          <w:bCs/>
          <w:sz w:val="22"/>
          <w:szCs w:val="22"/>
          <w:lang w:val="en-US"/>
        </w:rPr>
        <w:t xml:space="preserve">                                    &lt;podis:mRID&gt;ecbbde76-ef8d-6e0c-faec-ab9daaa86feb&lt;/podis:mRID&gt;</w:t>
      </w:r>
    </w:p>
    <w:p w14:paraId="10BAEA1E" w14:textId="77777777" w:rsidR="00CE6209" w:rsidRPr="00E750D0" w:rsidRDefault="00CE6209" w:rsidP="00CE6209">
      <w:pPr>
        <w:spacing w:after="120"/>
        <w:ind w:left="1134" w:hanging="567"/>
        <w:jc w:val="both"/>
        <w:rPr>
          <w:rFonts w:ascii="Garamond" w:hAnsi="Garamond"/>
          <w:bCs/>
          <w:sz w:val="22"/>
          <w:szCs w:val="22"/>
          <w:lang w:val="es-ES"/>
        </w:rPr>
      </w:pPr>
      <w:r w:rsidRPr="00D934B1">
        <w:rPr>
          <w:rFonts w:ascii="Garamond" w:hAnsi="Garamond"/>
          <w:bCs/>
          <w:sz w:val="22"/>
          <w:szCs w:val="22"/>
          <w:lang w:val="en-US"/>
        </w:rPr>
        <w:t xml:space="preserve">                                    </w:t>
      </w:r>
      <w:r w:rsidRPr="00E750D0">
        <w:rPr>
          <w:rFonts w:ascii="Garamond" w:hAnsi="Garamond"/>
          <w:bCs/>
          <w:sz w:val="22"/>
          <w:szCs w:val="22"/>
          <w:lang w:val="es-ES"/>
        </w:rPr>
        <w:t>&lt;podis:modelNumber&gt;RTU-325H&lt;/podis:modelNumber&gt;</w:t>
      </w:r>
    </w:p>
    <w:p w14:paraId="6DB439D7" w14:textId="77777777" w:rsidR="00CE6209" w:rsidRPr="00E750D0" w:rsidRDefault="00CE6209" w:rsidP="00CE6209">
      <w:pPr>
        <w:spacing w:after="120"/>
        <w:ind w:left="1134" w:hanging="567"/>
        <w:jc w:val="both"/>
        <w:rPr>
          <w:rFonts w:ascii="Garamond" w:hAnsi="Garamond"/>
          <w:bCs/>
          <w:sz w:val="22"/>
          <w:szCs w:val="22"/>
          <w:lang w:val="es-ES"/>
        </w:rPr>
      </w:pPr>
      <w:r w:rsidRPr="00E750D0">
        <w:rPr>
          <w:rFonts w:ascii="Garamond" w:hAnsi="Garamond"/>
          <w:bCs/>
          <w:sz w:val="22"/>
          <w:szCs w:val="22"/>
          <w:lang w:val="es-ES"/>
        </w:rPr>
        <w:t xml:space="preserve">                                    &lt;podis:regNumber&gt;44626-10&lt;/podis:regNumber&gt;</w:t>
      </w:r>
    </w:p>
    <w:p w14:paraId="361BEF1B" w14:textId="77777777" w:rsidR="00CE6209" w:rsidRPr="00E750D0" w:rsidRDefault="00CE6209" w:rsidP="00CE6209">
      <w:pPr>
        <w:spacing w:after="120"/>
        <w:ind w:left="1134" w:hanging="567"/>
        <w:jc w:val="both"/>
        <w:rPr>
          <w:rFonts w:ascii="Garamond" w:hAnsi="Garamond"/>
          <w:bCs/>
          <w:sz w:val="22"/>
          <w:szCs w:val="22"/>
          <w:lang w:val="es-ES"/>
        </w:rPr>
      </w:pPr>
      <w:r w:rsidRPr="00E750D0">
        <w:rPr>
          <w:rFonts w:ascii="Garamond" w:hAnsi="Garamond"/>
          <w:bCs/>
          <w:sz w:val="22"/>
          <w:szCs w:val="22"/>
          <w:lang w:val="es-ES"/>
        </w:rPr>
        <w:t xml:space="preserve">                                &lt;/podis:rtuInfoLink&gt;</w:t>
      </w:r>
    </w:p>
    <w:p w14:paraId="68B0BE57" w14:textId="77777777" w:rsidR="00CE6209" w:rsidRPr="00E750D0" w:rsidRDefault="00CE6209" w:rsidP="00CE6209">
      <w:pPr>
        <w:spacing w:after="120"/>
        <w:ind w:left="1134" w:hanging="567"/>
        <w:jc w:val="both"/>
        <w:rPr>
          <w:rFonts w:ascii="Garamond" w:hAnsi="Garamond"/>
          <w:bCs/>
          <w:sz w:val="22"/>
          <w:szCs w:val="22"/>
          <w:lang w:val="es-ES"/>
        </w:rPr>
      </w:pPr>
      <w:r w:rsidRPr="00E750D0">
        <w:rPr>
          <w:rFonts w:ascii="Garamond" w:hAnsi="Garamond"/>
          <w:bCs/>
          <w:sz w:val="22"/>
          <w:szCs w:val="22"/>
          <w:lang w:val="es-ES"/>
        </w:rPr>
        <w:t xml:space="preserve">                            &lt;/podis:rtu&gt;</w:t>
      </w:r>
    </w:p>
    <w:p w14:paraId="5F830025" w14:textId="77777777" w:rsidR="00CE6209" w:rsidRPr="00E750D0" w:rsidRDefault="00CE6209" w:rsidP="00CE6209">
      <w:pPr>
        <w:spacing w:after="120"/>
        <w:ind w:left="1134" w:hanging="567"/>
        <w:jc w:val="both"/>
        <w:rPr>
          <w:rFonts w:ascii="Garamond" w:hAnsi="Garamond"/>
          <w:bCs/>
          <w:sz w:val="22"/>
          <w:szCs w:val="22"/>
          <w:lang w:val="es-ES"/>
        </w:rPr>
      </w:pPr>
      <w:r w:rsidRPr="00E750D0">
        <w:rPr>
          <w:rFonts w:ascii="Garamond" w:hAnsi="Garamond"/>
          <w:bCs/>
          <w:sz w:val="22"/>
          <w:szCs w:val="22"/>
          <w:lang w:val="es-ES"/>
        </w:rPr>
        <w:t xml:space="preserve">                            &lt;podis:rtu&gt;</w:t>
      </w:r>
    </w:p>
    <w:p w14:paraId="3FA984E7" w14:textId="77777777" w:rsidR="00CE6209" w:rsidRPr="00E750D0" w:rsidRDefault="00CE6209" w:rsidP="00CE6209">
      <w:pPr>
        <w:spacing w:after="120"/>
        <w:ind w:left="1134" w:hanging="567"/>
        <w:jc w:val="both"/>
        <w:rPr>
          <w:rFonts w:ascii="Garamond" w:hAnsi="Garamond"/>
          <w:bCs/>
          <w:sz w:val="22"/>
          <w:szCs w:val="22"/>
          <w:lang w:val="es-ES"/>
        </w:rPr>
      </w:pPr>
      <w:r w:rsidRPr="00E750D0">
        <w:rPr>
          <w:rFonts w:ascii="Garamond" w:hAnsi="Garamond"/>
          <w:bCs/>
          <w:sz w:val="22"/>
          <w:szCs w:val="22"/>
          <w:lang w:val="es-ES"/>
        </w:rPr>
        <w:t xml:space="preserve">                                &lt;podis:mRID&gt;90d7717d-ae9d-ef5a-61f8-d1e5cfe43784&lt;/podis:mRID&gt;</w:t>
      </w:r>
    </w:p>
    <w:p w14:paraId="655C5640" w14:textId="77777777" w:rsidR="00CE6209" w:rsidRPr="00D934B1" w:rsidRDefault="00CE6209" w:rsidP="00CE6209">
      <w:pPr>
        <w:spacing w:after="120"/>
        <w:ind w:left="1134" w:hanging="567"/>
        <w:jc w:val="both"/>
        <w:rPr>
          <w:rFonts w:ascii="Garamond" w:hAnsi="Garamond"/>
          <w:bCs/>
          <w:sz w:val="22"/>
          <w:szCs w:val="22"/>
          <w:lang w:val="en-US"/>
        </w:rPr>
      </w:pPr>
      <w:r w:rsidRPr="00E750D0">
        <w:rPr>
          <w:rFonts w:ascii="Garamond" w:hAnsi="Garamond"/>
          <w:bCs/>
          <w:sz w:val="22"/>
          <w:szCs w:val="22"/>
          <w:lang w:val="es-ES"/>
        </w:rPr>
        <w:t xml:space="preserve">                                </w:t>
      </w:r>
      <w:r w:rsidRPr="00D934B1">
        <w:rPr>
          <w:rFonts w:ascii="Garamond" w:hAnsi="Garamond"/>
          <w:bCs/>
          <w:sz w:val="22"/>
          <w:szCs w:val="22"/>
          <w:lang w:val="en-US"/>
        </w:rPr>
        <w:t>&lt;podis:lifeCycleDate&gt;</w:t>
      </w:r>
    </w:p>
    <w:p w14:paraId="2265C844" w14:textId="77777777" w:rsidR="00CE6209" w:rsidRPr="00D934B1" w:rsidRDefault="00CE6209" w:rsidP="00CE6209">
      <w:pPr>
        <w:spacing w:after="120"/>
        <w:ind w:left="1134" w:hanging="567"/>
        <w:jc w:val="both"/>
        <w:rPr>
          <w:rFonts w:ascii="Garamond" w:hAnsi="Garamond"/>
          <w:bCs/>
          <w:sz w:val="22"/>
          <w:szCs w:val="22"/>
          <w:lang w:val="en-US"/>
        </w:rPr>
      </w:pPr>
      <w:r w:rsidRPr="00D934B1">
        <w:rPr>
          <w:rFonts w:ascii="Garamond" w:hAnsi="Garamond"/>
          <w:bCs/>
          <w:sz w:val="22"/>
          <w:szCs w:val="22"/>
          <w:lang w:val="en-US"/>
        </w:rPr>
        <w:t xml:space="preserve">                                    &lt;podis:nextDateValid&gt;2024-07-06&lt;/podis:nextDateValid&gt;</w:t>
      </w:r>
    </w:p>
    <w:p w14:paraId="35C0AB93" w14:textId="77777777" w:rsidR="00CE6209" w:rsidRPr="00D934B1" w:rsidRDefault="00CE6209" w:rsidP="00CE6209">
      <w:pPr>
        <w:spacing w:after="120"/>
        <w:ind w:left="1134" w:hanging="567"/>
        <w:jc w:val="both"/>
        <w:rPr>
          <w:rFonts w:ascii="Garamond" w:hAnsi="Garamond"/>
          <w:bCs/>
          <w:sz w:val="22"/>
          <w:szCs w:val="22"/>
          <w:lang w:val="en-US"/>
        </w:rPr>
      </w:pPr>
      <w:r w:rsidRPr="00D934B1">
        <w:rPr>
          <w:rFonts w:ascii="Garamond" w:hAnsi="Garamond"/>
          <w:bCs/>
          <w:sz w:val="22"/>
          <w:szCs w:val="22"/>
          <w:lang w:val="en-US"/>
        </w:rPr>
        <w:t xml:space="preserve">                                &lt;/podis:lifeCycleDate&gt;</w:t>
      </w:r>
    </w:p>
    <w:p w14:paraId="3B82FC32" w14:textId="77777777" w:rsidR="00CE6209" w:rsidRPr="00D934B1" w:rsidRDefault="00CE6209" w:rsidP="00CE6209">
      <w:pPr>
        <w:spacing w:after="120"/>
        <w:ind w:left="1134" w:hanging="567"/>
        <w:jc w:val="both"/>
        <w:rPr>
          <w:rFonts w:ascii="Garamond" w:hAnsi="Garamond"/>
          <w:bCs/>
          <w:sz w:val="22"/>
          <w:szCs w:val="22"/>
          <w:lang w:val="en-US"/>
        </w:rPr>
      </w:pPr>
      <w:r w:rsidRPr="00D934B1">
        <w:rPr>
          <w:rFonts w:ascii="Garamond" w:hAnsi="Garamond"/>
          <w:bCs/>
          <w:sz w:val="22"/>
          <w:szCs w:val="22"/>
          <w:lang w:val="en-US"/>
        </w:rPr>
        <w:t xml:space="preserve">                                &lt;podis:serialNumber&gt;04639000&lt;/podis:serialNumber&gt;</w:t>
      </w:r>
    </w:p>
    <w:p w14:paraId="2B11E32E" w14:textId="77777777" w:rsidR="00CE6209" w:rsidRPr="00D934B1" w:rsidRDefault="00CE6209" w:rsidP="00CE6209">
      <w:pPr>
        <w:spacing w:after="120"/>
        <w:ind w:left="1134" w:hanging="567"/>
        <w:jc w:val="both"/>
        <w:rPr>
          <w:rFonts w:ascii="Garamond" w:hAnsi="Garamond"/>
          <w:bCs/>
          <w:sz w:val="22"/>
          <w:szCs w:val="22"/>
          <w:lang w:val="en-US"/>
        </w:rPr>
      </w:pPr>
      <w:r w:rsidRPr="00D934B1">
        <w:rPr>
          <w:rFonts w:ascii="Garamond" w:hAnsi="Garamond"/>
          <w:bCs/>
          <w:sz w:val="22"/>
          <w:szCs w:val="22"/>
          <w:lang w:val="en-US"/>
        </w:rPr>
        <w:t xml:space="preserve">                                &lt;podis:rtuInfoLink&gt;</w:t>
      </w:r>
    </w:p>
    <w:p w14:paraId="68452D75" w14:textId="77777777" w:rsidR="00CE6209" w:rsidRPr="00D934B1" w:rsidRDefault="00CE6209" w:rsidP="00CE6209">
      <w:pPr>
        <w:spacing w:after="120"/>
        <w:ind w:left="1134" w:hanging="567"/>
        <w:jc w:val="both"/>
        <w:rPr>
          <w:rFonts w:ascii="Garamond" w:hAnsi="Garamond"/>
          <w:bCs/>
          <w:sz w:val="22"/>
          <w:szCs w:val="22"/>
          <w:lang w:val="en-US"/>
        </w:rPr>
      </w:pPr>
      <w:r w:rsidRPr="00D934B1">
        <w:rPr>
          <w:rFonts w:ascii="Garamond" w:hAnsi="Garamond"/>
          <w:bCs/>
          <w:sz w:val="22"/>
          <w:szCs w:val="22"/>
          <w:lang w:val="en-US"/>
        </w:rPr>
        <w:t xml:space="preserve">                                    &lt;podis:mRID&gt;ecbbde76-ef8d-6e0c-faec-ab9daaa86feb&lt;/podis:mRID&gt;</w:t>
      </w:r>
    </w:p>
    <w:p w14:paraId="40EDC1DD" w14:textId="77777777" w:rsidR="00CE6209" w:rsidRPr="00D934B1" w:rsidRDefault="00CE6209" w:rsidP="00CE6209">
      <w:pPr>
        <w:spacing w:after="120"/>
        <w:ind w:left="1134" w:hanging="567"/>
        <w:jc w:val="both"/>
        <w:rPr>
          <w:rFonts w:ascii="Garamond" w:hAnsi="Garamond"/>
          <w:bCs/>
          <w:sz w:val="22"/>
          <w:szCs w:val="22"/>
          <w:lang w:val="en-US"/>
        </w:rPr>
      </w:pPr>
      <w:r w:rsidRPr="00D934B1">
        <w:rPr>
          <w:rFonts w:ascii="Garamond" w:hAnsi="Garamond"/>
          <w:bCs/>
          <w:sz w:val="22"/>
          <w:szCs w:val="22"/>
          <w:lang w:val="en-US"/>
        </w:rPr>
        <w:t xml:space="preserve">                                    &lt;podis:modelNumber&gt;RTU-325H&lt;/podis:modelNumber&gt;</w:t>
      </w:r>
    </w:p>
    <w:p w14:paraId="7C330563" w14:textId="77777777" w:rsidR="00CE6209" w:rsidRPr="00D934B1" w:rsidRDefault="00CE6209" w:rsidP="00CE6209">
      <w:pPr>
        <w:spacing w:after="120"/>
        <w:ind w:left="1134" w:hanging="567"/>
        <w:jc w:val="both"/>
        <w:rPr>
          <w:rFonts w:ascii="Garamond" w:hAnsi="Garamond"/>
          <w:bCs/>
          <w:sz w:val="22"/>
          <w:szCs w:val="22"/>
          <w:lang w:val="en-US"/>
        </w:rPr>
      </w:pPr>
      <w:r w:rsidRPr="00D934B1">
        <w:rPr>
          <w:rFonts w:ascii="Garamond" w:hAnsi="Garamond"/>
          <w:bCs/>
          <w:sz w:val="22"/>
          <w:szCs w:val="22"/>
          <w:lang w:val="en-US"/>
        </w:rPr>
        <w:lastRenderedPageBreak/>
        <w:t xml:space="preserve">                                    &lt;podis:regNumber&gt;44626-10&lt;/podis:regNumber&gt;</w:t>
      </w:r>
    </w:p>
    <w:p w14:paraId="4C629974" w14:textId="77777777" w:rsidR="00CE6209" w:rsidRPr="00D934B1" w:rsidRDefault="00CE6209" w:rsidP="00CE6209">
      <w:pPr>
        <w:spacing w:after="120"/>
        <w:ind w:left="1134" w:hanging="567"/>
        <w:jc w:val="both"/>
        <w:rPr>
          <w:rFonts w:ascii="Garamond" w:hAnsi="Garamond"/>
          <w:bCs/>
          <w:sz w:val="22"/>
          <w:szCs w:val="22"/>
          <w:lang w:val="en-US"/>
        </w:rPr>
      </w:pPr>
      <w:r w:rsidRPr="00D934B1">
        <w:rPr>
          <w:rFonts w:ascii="Garamond" w:hAnsi="Garamond"/>
          <w:bCs/>
          <w:sz w:val="22"/>
          <w:szCs w:val="22"/>
          <w:lang w:val="en-US"/>
        </w:rPr>
        <w:t xml:space="preserve">                                &lt;/podis:rtuInfoLink&gt;</w:t>
      </w:r>
    </w:p>
    <w:p w14:paraId="7DA5E5F5" w14:textId="77777777" w:rsidR="00CE6209" w:rsidRPr="00D934B1" w:rsidRDefault="00CE6209" w:rsidP="00CE6209">
      <w:pPr>
        <w:spacing w:after="120"/>
        <w:ind w:left="1134" w:hanging="567"/>
        <w:jc w:val="both"/>
        <w:rPr>
          <w:rFonts w:ascii="Garamond" w:hAnsi="Garamond"/>
          <w:bCs/>
          <w:sz w:val="22"/>
          <w:szCs w:val="22"/>
          <w:lang w:val="en-US"/>
        </w:rPr>
      </w:pPr>
      <w:r w:rsidRPr="00D934B1">
        <w:rPr>
          <w:rFonts w:ascii="Garamond" w:hAnsi="Garamond"/>
          <w:bCs/>
          <w:sz w:val="22"/>
          <w:szCs w:val="22"/>
          <w:lang w:val="en-US"/>
        </w:rPr>
        <w:t xml:space="preserve">                            &lt;/podis:rtu&gt;</w:t>
      </w:r>
    </w:p>
    <w:p w14:paraId="6073DAA4" w14:textId="77777777" w:rsidR="00CE6209" w:rsidRPr="00D934B1" w:rsidRDefault="00CE6209" w:rsidP="00CE6209">
      <w:pPr>
        <w:spacing w:after="120"/>
        <w:ind w:left="1134" w:hanging="567"/>
        <w:jc w:val="both"/>
        <w:rPr>
          <w:rFonts w:ascii="Garamond" w:hAnsi="Garamond"/>
          <w:bCs/>
          <w:sz w:val="22"/>
          <w:szCs w:val="22"/>
          <w:lang w:val="en-US"/>
        </w:rPr>
      </w:pPr>
      <w:r w:rsidRPr="00D934B1">
        <w:rPr>
          <w:rFonts w:ascii="Garamond" w:hAnsi="Garamond"/>
          <w:bCs/>
          <w:sz w:val="22"/>
          <w:szCs w:val="22"/>
          <w:lang w:val="en-US"/>
        </w:rPr>
        <w:t xml:space="preserve">                        &lt;/podis:endDevices&gt;</w:t>
      </w:r>
    </w:p>
    <w:p w14:paraId="5797C27C" w14:textId="77777777" w:rsidR="00CE6209" w:rsidRPr="00D934B1" w:rsidRDefault="00CE6209" w:rsidP="00CE6209">
      <w:pPr>
        <w:spacing w:after="120"/>
        <w:ind w:left="1134" w:hanging="567"/>
        <w:jc w:val="both"/>
        <w:rPr>
          <w:rFonts w:ascii="Garamond" w:hAnsi="Garamond"/>
          <w:bCs/>
          <w:sz w:val="22"/>
          <w:szCs w:val="22"/>
          <w:lang w:val="en-US"/>
        </w:rPr>
      </w:pPr>
      <w:r w:rsidRPr="00D934B1">
        <w:rPr>
          <w:rFonts w:ascii="Garamond" w:hAnsi="Garamond"/>
          <w:bCs/>
          <w:sz w:val="22"/>
          <w:szCs w:val="22"/>
          <w:lang w:val="en-US"/>
        </w:rPr>
        <w:t xml:space="preserve">                        &lt;podis:equipments&gt;</w:t>
      </w:r>
    </w:p>
    <w:p w14:paraId="740CE104" w14:textId="77777777" w:rsidR="00CE6209" w:rsidRPr="00D934B1" w:rsidRDefault="00CE6209" w:rsidP="00CE6209">
      <w:pPr>
        <w:spacing w:after="120"/>
        <w:ind w:left="1134" w:hanging="567"/>
        <w:jc w:val="both"/>
        <w:rPr>
          <w:rFonts w:ascii="Garamond" w:hAnsi="Garamond"/>
          <w:bCs/>
          <w:sz w:val="22"/>
          <w:szCs w:val="22"/>
          <w:lang w:val="en-US"/>
        </w:rPr>
      </w:pPr>
      <w:r w:rsidRPr="00D934B1">
        <w:rPr>
          <w:rFonts w:ascii="Garamond" w:hAnsi="Garamond"/>
          <w:bCs/>
          <w:sz w:val="22"/>
          <w:szCs w:val="22"/>
          <w:lang w:val="en-US"/>
        </w:rPr>
        <w:t xml:space="preserve">                            &lt;podis:currentTransformer&gt;</w:t>
      </w:r>
    </w:p>
    <w:p w14:paraId="2D214BB8" w14:textId="77777777" w:rsidR="00CE6209" w:rsidRPr="00D934B1" w:rsidRDefault="00CE6209" w:rsidP="00CE6209">
      <w:pPr>
        <w:spacing w:after="120"/>
        <w:ind w:left="1134" w:hanging="567"/>
        <w:jc w:val="both"/>
        <w:rPr>
          <w:rFonts w:ascii="Garamond" w:hAnsi="Garamond"/>
          <w:bCs/>
          <w:sz w:val="22"/>
          <w:szCs w:val="22"/>
          <w:lang w:val="en-US"/>
        </w:rPr>
      </w:pPr>
      <w:r w:rsidRPr="00D934B1">
        <w:rPr>
          <w:rFonts w:ascii="Garamond" w:hAnsi="Garamond"/>
          <w:bCs/>
          <w:sz w:val="22"/>
          <w:szCs w:val="22"/>
          <w:lang w:val="en-US"/>
        </w:rPr>
        <w:t xml:space="preserve">                                &lt;podis:mRID&gt;dffab0c1-95bf-bfd6-eedb-decedffd3a67&lt;/podis:mRID&gt;</w:t>
      </w:r>
    </w:p>
    <w:p w14:paraId="71628FA8" w14:textId="77777777" w:rsidR="00CE6209" w:rsidRPr="00D934B1" w:rsidRDefault="00CE6209" w:rsidP="00CE6209">
      <w:pPr>
        <w:spacing w:after="120"/>
        <w:ind w:left="1134" w:hanging="567"/>
        <w:jc w:val="both"/>
        <w:rPr>
          <w:rFonts w:ascii="Garamond" w:hAnsi="Garamond"/>
          <w:bCs/>
          <w:sz w:val="22"/>
          <w:szCs w:val="22"/>
          <w:lang w:val="en-US"/>
        </w:rPr>
      </w:pPr>
      <w:r w:rsidRPr="00D934B1">
        <w:rPr>
          <w:rFonts w:ascii="Garamond" w:hAnsi="Garamond"/>
          <w:bCs/>
          <w:sz w:val="22"/>
          <w:szCs w:val="22"/>
          <w:lang w:val="en-US"/>
        </w:rPr>
        <w:t xml:space="preserve">                                &lt;podis:serialNumber&gt;8000127&lt;/podis:serialNumber&gt;</w:t>
      </w:r>
    </w:p>
    <w:p w14:paraId="6D2E1A9D" w14:textId="77777777" w:rsidR="00CE6209" w:rsidRPr="00D934B1" w:rsidRDefault="00CE6209" w:rsidP="00CE6209">
      <w:pPr>
        <w:spacing w:after="120"/>
        <w:ind w:left="1134" w:hanging="567"/>
        <w:jc w:val="both"/>
        <w:rPr>
          <w:rFonts w:ascii="Garamond" w:hAnsi="Garamond"/>
          <w:bCs/>
          <w:sz w:val="22"/>
          <w:szCs w:val="22"/>
          <w:lang w:val="en-US"/>
        </w:rPr>
      </w:pPr>
      <w:r w:rsidRPr="00D934B1">
        <w:rPr>
          <w:rFonts w:ascii="Garamond" w:hAnsi="Garamond"/>
          <w:bCs/>
          <w:sz w:val="22"/>
          <w:szCs w:val="22"/>
          <w:lang w:val="en-US"/>
        </w:rPr>
        <w:t xml:space="preserve">                                &lt;podis:customAttributes&gt;</w:t>
      </w:r>
    </w:p>
    <w:p w14:paraId="1CBFD92C" w14:textId="77777777" w:rsidR="00CE6209" w:rsidRPr="00D934B1" w:rsidRDefault="00CE6209" w:rsidP="00CE6209">
      <w:pPr>
        <w:spacing w:after="120"/>
        <w:ind w:left="1134" w:hanging="567"/>
        <w:jc w:val="both"/>
        <w:rPr>
          <w:rFonts w:ascii="Garamond" w:hAnsi="Garamond"/>
          <w:bCs/>
          <w:sz w:val="22"/>
          <w:szCs w:val="22"/>
          <w:lang w:val="en-US"/>
        </w:rPr>
      </w:pPr>
      <w:r w:rsidRPr="00D934B1">
        <w:rPr>
          <w:rFonts w:ascii="Garamond" w:hAnsi="Garamond"/>
          <w:bCs/>
          <w:sz w:val="22"/>
          <w:szCs w:val="22"/>
          <w:lang w:val="en-US"/>
        </w:rPr>
        <w:t xml:space="preserve">                                    &lt;podis:name&gt;assetOwnerKind&lt;/podis:name&gt;</w:t>
      </w:r>
    </w:p>
    <w:p w14:paraId="06FB2243" w14:textId="77777777" w:rsidR="00CE6209" w:rsidRPr="00D934B1" w:rsidRDefault="00CE6209" w:rsidP="00CE6209">
      <w:pPr>
        <w:spacing w:after="120"/>
        <w:ind w:left="1134" w:hanging="567"/>
        <w:jc w:val="both"/>
        <w:rPr>
          <w:rFonts w:ascii="Garamond" w:hAnsi="Garamond"/>
          <w:bCs/>
          <w:sz w:val="22"/>
          <w:szCs w:val="22"/>
          <w:lang w:val="en-US"/>
        </w:rPr>
      </w:pPr>
      <w:r w:rsidRPr="00D934B1">
        <w:rPr>
          <w:rFonts w:ascii="Garamond" w:hAnsi="Garamond"/>
          <w:bCs/>
          <w:sz w:val="22"/>
          <w:szCs w:val="22"/>
          <w:lang w:val="en-US"/>
        </w:rPr>
        <w:t xml:space="preserve">                                    &lt;podis:value&gt;tso_or_gp&lt;/podis:value&gt;</w:t>
      </w:r>
    </w:p>
    <w:p w14:paraId="6B5E1D6F" w14:textId="77777777" w:rsidR="00CE6209" w:rsidRPr="00D934B1" w:rsidRDefault="00CE6209" w:rsidP="00CE6209">
      <w:pPr>
        <w:spacing w:after="120"/>
        <w:ind w:left="1134" w:hanging="567"/>
        <w:jc w:val="both"/>
        <w:rPr>
          <w:rFonts w:ascii="Garamond" w:hAnsi="Garamond"/>
          <w:bCs/>
          <w:sz w:val="22"/>
          <w:szCs w:val="22"/>
          <w:lang w:val="en-US"/>
        </w:rPr>
      </w:pPr>
      <w:r w:rsidRPr="00D934B1">
        <w:rPr>
          <w:rFonts w:ascii="Garamond" w:hAnsi="Garamond"/>
          <w:bCs/>
          <w:sz w:val="22"/>
          <w:szCs w:val="22"/>
          <w:lang w:val="en-US"/>
        </w:rPr>
        <w:t xml:space="preserve">                                &lt;/podis:customAttributes&gt;</w:t>
      </w:r>
    </w:p>
    <w:p w14:paraId="149C14E7" w14:textId="77777777" w:rsidR="00CE6209" w:rsidRPr="00D934B1" w:rsidRDefault="00CE6209" w:rsidP="00CE6209">
      <w:pPr>
        <w:spacing w:after="120"/>
        <w:ind w:left="1134" w:hanging="567"/>
        <w:jc w:val="both"/>
        <w:rPr>
          <w:rFonts w:ascii="Garamond" w:hAnsi="Garamond"/>
          <w:bCs/>
          <w:sz w:val="22"/>
          <w:szCs w:val="22"/>
          <w:lang w:val="en-US"/>
        </w:rPr>
      </w:pPr>
      <w:r w:rsidRPr="00D934B1">
        <w:rPr>
          <w:rFonts w:ascii="Garamond" w:hAnsi="Garamond"/>
          <w:bCs/>
          <w:sz w:val="22"/>
          <w:szCs w:val="22"/>
          <w:lang w:val="en-US"/>
        </w:rPr>
        <w:t xml:space="preserve">                                &lt;podis:lifeCycleDate&gt;</w:t>
      </w:r>
    </w:p>
    <w:p w14:paraId="42DA92D9" w14:textId="77777777" w:rsidR="00CE6209" w:rsidRPr="00D934B1" w:rsidRDefault="00CE6209" w:rsidP="00CE6209">
      <w:pPr>
        <w:spacing w:after="120"/>
        <w:ind w:left="1134" w:hanging="567"/>
        <w:jc w:val="both"/>
        <w:rPr>
          <w:rFonts w:ascii="Garamond" w:hAnsi="Garamond"/>
          <w:bCs/>
          <w:sz w:val="22"/>
          <w:szCs w:val="22"/>
          <w:lang w:val="en-US"/>
        </w:rPr>
      </w:pPr>
      <w:r w:rsidRPr="00D934B1">
        <w:rPr>
          <w:rFonts w:ascii="Garamond" w:hAnsi="Garamond"/>
          <w:bCs/>
          <w:sz w:val="22"/>
          <w:szCs w:val="22"/>
          <w:lang w:val="en-US"/>
        </w:rPr>
        <w:t xml:space="preserve">                                    &lt;podis:nextDateValid&gt;2026-02-20&lt;/podis:nextDateValid&gt;</w:t>
      </w:r>
    </w:p>
    <w:p w14:paraId="564059C2" w14:textId="77777777" w:rsidR="00CE6209" w:rsidRPr="00E750D0" w:rsidRDefault="00CE6209" w:rsidP="00CE6209">
      <w:pPr>
        <w:spacing w:after="120"/>
        <w:ind w:left="1134" w:hanging="567"/>
        <w:jc w:val="both"/>
        <w:rPr>
          <w:rFonts w:ascii="Garamond" w:hAnsi="Garamond"/>
          <w:bCs/>
          <w:sz w:val="22"/>
          <w:szCs w:val="22"/>
          <w:lang w:val="es-ES"/>
        </w:rPr>
      </w:pPr>
      <w:r w:rsidRPr="00D934B1">
        <w:rPr>
          <w:rFonts w:ascii="Garamond" w:hAnsi="Garamond"/>
          <w:bCs/>
          <w:sz w:val="22"/>
          <w:szCs w:val="22"/>
          <w:lang w:val="en-US"/>
        </w:rPr>
        <w:t xml:space="preserve">                                </w:t>
      </w:r>
      <w:r w:rsidRPr="00E750D0">
        <w:rPr>
          <w:rFonts w:ascii="Garamond" w:hAnsi="Garamond"/>
          <w:bCs/>
          <w:sz w:val="22"/>
          <w:szCs w:val="22"/>
          <w:lang w:val="es-ES"/>
        </w:rPr>
        <w:t>&lt;/podis:lifeCycleDate&gt;</w:t>
      </w:r>
    </w:p>
    <w:p w14:paraId="7DC059E3" w14:textId="77777777" w:rsidR="00CE6209" w:rsidRPr="00E750D0" w:rsidRDefault="00CE6209" w:rsidP="00CE6209">
      <w:pPr>
        <w:spacing w:after="120"/>
        <w:ind w:left="1134" w:hanging="567"/>
        <w:jc w:val="both"/>
        <w:rPr>
          <w:rFonts w:ascii="Garamond" w:hAnsi="Garamond"/>
          <w:bCs/>
          <w:sz w:val="22"/>
          <w:szCs w:val="22"/>
          <w:lang w:val="es-ES"/>
        </w:rPr>
      </w:pPr>
      <w:r w:rsidRPr="00E750D0">
        <w:rPr>
          <w:rFonts w:ascii="Garamond" w:hAnsi="Garamond"/>
          <w:bCs/>
          <w:sz w:val="22"/>
          <w:szCs w:val="22"/>
          <w:lang w:val="es-ES"/>
        </w:rPr>
        <w:t xml:space="preserve">                                &lt;podis:currentTransformerInfo&gt;</w:t>
      </w:r>
    </w:p>
    <w:p w14:paraId="574567AD" w14:textId="77777777" w:rsidR="00CE6209" w:rsidRPr="00E750D0" w:rsidRDefault="00CE6209" w:rsidP="00CE6209">
      <w:pPr>
        <w:spacing w:after="120"/>
        <w:ind w:left="1134" w:hanging="567"/>
        <w:jc w:val="both"/>
        <w:rPr>
          <w:rFonts w:ascii="Garamond" w:hAnsi="Garamond"/>
          <w:bCs/>
          <w:sz w:val="22"/>
          <w:szCs w:val="22"/>
          <w:lang w:val="es-ES"/>
        </w:rPr>
      </w:pPr>
      <w:r w:rsidRPr="00E750D0">
        <w:rPr>
          <w:rFonts w:ascii="Garamond" w:hAnsi="Garamond"/>
          <w:bCs/>
          <w:sz w:val="22"/>
          <w:szCs w:val="22"/>
          <w:lang w:val="es-ES"/>
        </w:rPr>
        <w:t xml:space="preserve">                                    &lt;podis:mRID&gt;4ecc7ba5-3bb2-9bbf-ac5a-e4c9edaaabbb&lt;/podis:mRID&gt;</w:t>
      </w:r>
    </w:p>
    <w:p w14:paraId="1CA74EC3" w14:textId="77777777" w:rsidR="00CE6209" w:rsidRPr="00D934B1" w:rsidRDefault="00CE6209" w:rsidP="00CE6209">
      <w:pPr>
        <w:spacing w:after="120"/>
        <w:ind w:left="1134" w:hanging="567"/>
        <w:jc w:val="both"/>
        <w:rPr>
          <w:rFonts w:ascii="Garamond" w:hAnsi="Garamond"/>
          <w:bCs/>
          <w:sz w:val="22"/>
          <w:szCs w:val="22"/>
          <w:lang w:val="en-US"/>
        </w:rPr>
      </w:pPr>
      <w:r w:rsidRPr="00E750D0">
        <w:rPr>
          <w:rFonts w:ascii="Garamond" w:hAnsi="Garamond"/>
          <w:bCs/>
          <w:sz w:val="22"/>
          <w:szCs w:val="22"/>
          <w:lang w:val="es-ES"/>
        </w:rPr>
        <w:t xml:space="preserve">                                    </w:t>
      </w:r>
      <w:r w:rsidRPr="00D934B1">
        <w:rPr>
          <w:rFonts w:ascii="Garamond" w:hAnsi="Garamond"/>
          <w:bCs/>
          <w:sz w:val="22"/>
          <w:szCs w:val="22"/>
          <w:lang w:val="en-US"/>
        </w:rPr>
        <w:t>&lt;podis:modelNumber&gt;</w:t>
      </w:r>
      <w:r w:rsidRPr="00D934B1">
        <w:rPr>
          <w:rFonts w:ascii="Garamond" w:hAnsi="Garamond"/>
          <w:bCs/>
          <w:sz w:val="22"/>
          <w:szCs w:val="22"/>
        </w:rPr>
        <w:t>ТЛШ</w:t>
      </w:r>
      <w:r w:rsidRPr="00D934B1">
        <w:rPr>
          <w:rFonts w:ascii="Garamond" w:hAnsi="Garamond"/>
          <w:bCs/>
          <w:sz w:val="22"/>
          <w:szCs w:val="22"/>
          <w:lang w:val="en-US"/>
        </w:rPr>
        <w:t>&lt;/podis:modelNumber&gt;</w:t>
      </w:r>
    </w:p>
    <w:p w14:paraId="59854C6E" w14:textId="77777777" w:rsidR="00CE6209" w:rsidRPr="00D934B1" w:rsidRDefault="00CE6209" w:rsidP="00CE6209">
      <w:pPr>
        <w:spacing w:after="120"/>
        <w:ind w:left="1134" w:hanging="567"/>
        <w:jc w:val="both"/>
        <w:rPr>
          <w:rFonts w:ascii="Garamond" w:hAnsi="Garamond"/>
          <w:bCs/>
          <w:sz w:val="22"/>
          <w:szCs w:val="22"/>
          <w:lang w:val="en-US"/>
        </w:rPr>
      </w:pPr>
      <w:r w:rsidRPr="00D934B1">
        <w:rPr>
          <w:rFonts w:ascii="Garamond" w:hAnsi="Garamond"/>
          <w:bCs/>
          <w:sz w:val="22"/>
          <w:szCs w:val="22"/>
          <w:lang w:val="en-US"/>
        </w:rPr>
        <w:t xml:space="preserve">                                    &lt;podis:ratedCurrent&gt;5000&lt;/podis:ratedCurrent&gt;</w:t>
      </w:r>
    </w:p>
    <w:p w14:paraId="69D1FDA3" w14:textId="77777777" w:rsidR="00CE6209" w:rsidRPr="00D934B1" w:rsidRDefault="00CE6209" w:rsidP="00CE6209">
      <w:pPr>
        <w:spacing w:after="120"/>
        <w:ind w:left="1134" w:hanging="567"/>
        <w:jc w:val="both"/>
        <w:rPr>
          <w:rFonts w:ascii="Garamond" w:hAnsi="Garamond"/>
          <w:bCs/>
          <w:sz w:val="22"/>
          <w:szCs w:val="22"/>
          <w:lang w:val="en-US"/>
        </w:rPr>
      </w:pPr>
      <w:r w:rsidRPr="00D934B1">
        <w:rPr>
          <w:rFonts w:ascii="Garamond" w:hAnsi="Garamond"/>
          <w:bCs/>
          <w:sz w:val="22"/>
          <w:szCs w:val="22"/>
          <w:lang w:val="en-US"/>
        </w:rPr>
        <w:t xml:space="preserve">                                    &lt;podis:secondaryFlsRating&gt;10&lt;/podis:secondaryFlsRating&gt;</w:t>
      </w:r>
    </w:p>
    <w:p w14:paraId="37FC42B6" w14:textId="77777777" w:rsidR="00CE6209" w:rsidRPr="00D934B1" w:rsidRDefault="00CE6209" w:rsidP="00CE6209">
      <w:pPr>
        <w:spacing w:after="120"/>
        <w:ind w:left="1134" w:hanging="567"/>
        <w:jc w:val="both"/>
        <w:rPr>
          <w:rFonts w:ascii="Garamond" w:hAnsi="Garamond"/>
          <w:bCs/>
          <w:sz w:val="22"/>
          <w:szCs w:val="22"/>
          <w:lang w:val="en-US"/>
        </w:rPr>
      </w:pPr>
      <w:r w:rsidRPr="00D934B1">
        <w:rPr>
          <w:rFonts w:ascii="Garamond" w:hAnsi="Garamond"/>
          <w:bCs/>
          <w:sz w:val="22"/>
          <w:szCs w:val="22"/>
          <w:lang w:val="en-US"/>
        </w:rPr>
        <w:t xml:space="preserve">                                    &lt;podis:ratedSecondaryCurrent&gt;5&lt;/podis:ratedSecondaryCurrent&gt;</w:t>
      </w:r>
    </w:p>
    <w:p w14:paraId="63981A8E" w14:textId="77777777" w:rsidR="00CE6209" w:rsidRPr="00D934B1" w:rsidRDefault="00CE6209" w:rsidP="00CE6209">
      <w:pPr>
        <w:spacing w:after="120"/>
        <w:ind w:left="1134" w:hanging="567"/>
        <w:jc w:val="both"/>
        <w:rPr>
          <w:rFonts w:ascii="Garamond" w:hAnsi="Garamond"/>
          <w:bCs/>
          <w:sz w:val="22"/>
          <w:szCs w:val="22"/>
          <w:lang w:val="en-US"/>
        </w:rPr>
      </w:pPr>
      <w:r w:rsidRPr="00D934B1">
        <w:rPr>
          <w:rFonts w:ascii="Garamond" w:hAnsi="Garamond"/>
          <w:bCs/>
          <w:sz w:val="22"/>
          <w:szCs w:val="22"/>
          <w:lang w:val="en-US"/>
        </w:rPr>
        <w:t xml:space="preserve">                                    &lt;podis:accuracyClass&gt;0.5S&lt;/podis:accuracyClass&gt;</w:t>
      </w:r>
    </w:p>
    <w:p w14:paraId="5D3F9CA4" w14:textId="77777777" w:rsidR="00CE6209" w:rsidRPr="00E750D0" w:rsidRDefault="00CE6209" w:rsidP="00CE6209">
      <w:pPr>
        <w:spacing w:after="120"/>
        <w:ind w:left="1134" w:hanging="567"/>
        <w:jc w:val="both"/>
        <w:rPr>
          <w:rFonts w:ascii="Garamond" w:hAnsi="Garamond"/>
          <w:bCs/>
          <w:sz w:val="22"/>
          <w:szCs w:val="22"/>
          <w:lang w:val="es-ES"/>
        </w:rPr>
      </w:pPr>
      <w:r w:rsidRPr="00D934B1">
        <w:rPr>
          <w:rFonts w:ascii="Garamond" w:hAnsi="Garamond"/>
          <w:bCs/>
          <w:sz w:val="22"/>
          <w:szCs w:val="22"/>
          <w:lang w:val="en-US"/>
        </w:rPr>
        <w:t xml:space="preserve">                                    </w:t>
      </w:r>
      <w:r w:rsidRPr="00E750D0">
        <w:rPr>
          <w:rFonts w:ascii="Garamond" w:hAnsi="Garamond"/>
          <w:bCs/>
          <w:sz w:val="22"/>
          <w:szCs w:val="22"/>
          <w:lang w:val="es-ES"/>
        </w:rPr>
        <w:t>&lt;podis:regNumber&gt;64182-16&lt;/podis:regNumber&gt;</w:t>
      </w:r>
    </w:p>
    <w:p w14:paraId="6C691E5C" w14:textId="77777777" w:rsidR="00CE6209" w:rsidRPr="00E750D0" w:rsidRDefault="00CE6209" w:rsidP="00CE6209">
      <w:pPr>
        <w:spacing w:after="120"/>
        <w:ind w:left="1134" w:hanging="567"/>
        <w:jc w:val="both"/>
        <w:rPr>
          <w:rFonts w:ascii="Garamond" w:hAnsi="Garamond"/>
          <w:bCs/>
          <w:sz w:val="22"/>
          <w:szCs w:val="22"/>
          <w:lang w:val="es-ES"/>
        </w:rPr>
      </w:pPr>
      <w:r w:rsidRPr="00E750D0">
        <w:rPr>
          <w:rFonts w:ascii="Garamond" w:hAnsi="Garamond"/>
          <w:bCs/>
          <w:sz w:val="22"/>
          <w:szCs w:val="22"/>
          <w:lang w:val="es-ES"/>
        </w:rPr>
        <w:t xml:space="preserve">                                &lt;/podis:currentTransformerInfo&gt;</w:t>
      </w:r>
    </w:p>
    <w:p w14:paraId="17BEA703" w14:textId="77777777" w:rsidR="00CE6209" w:rsidRPr="00E750D0" w:rsidRDefault="00CE6209" w:rsidP="00CE6209">
      <w:pPr>
        <w:spacing w:after="120"/>
        <w:ind w:left="1134" w:hanging="567"/>
        <w:jc w:val="both"/>
        <w:rPr>
          <w:rFonts w:ascii="Garamond" w:hAnsi="Garamond"/>
          <w:bCs/>
          <w:sz w:val="22"/>
          <w:szCs w:val="22"/>
          <w:lang w:val="es-ES"/>
        </w:rPr>
      </w:pPr>
      <w:r w:rsidRPr="00E750D0">
        <w:rPr>
          <w:rFonts w:ascii="Garamond" w:hAnsi="Garamond"/>
          <w:bCs/>
          <w:sz w:val="22"/>
          <w:szCs w:val="22"/>
          <w:lang w:val="es-ES"/>
        </w:rPr>
        <w:t xml:space="preserve">                            &lt;/podis:currentTransformer&gt;</w:t>
      </w:r>
    </w:p>
    <w:p w14:paraId="0819CDAC" w14:textId="77777777" w:rsidR="00CE6209" w:rsidRPr="00E750D0" w:rsidRDefault="00CE6209" w:rsidP="00CE6209">
      <w:pPr>
        <w:spacing w:after="120"/>
        <w:ind w:left="1134" w:hanging="567"/>
        <w:jc w:val="both"/>
        <w:rPr>
          <w:rFonts w:ascii="Garamond" w:hAnsi="Garamond"/>
          <w:bCs/>
          <w:sz w:val="22"/>
          <w:szCs w:val="22"/>
          <w:lang w:val="es-ES"/>
        </w:rPr>
      </w:pPr>
      <w:r w:rsidRPr="00E750D0">
        <w:rPr>
          <w:rFonts w:ascii="Garamond" w:hAnsi="Garamond"/>
          <w:bCs/>
          <w:sz w:val="22"/>
          <w:szCs w:val="22"/>
          <w:lang w:val="es-ES"/>
        </w:rPr>
        <w:t xml:space="preserve">                            &lt;podis:currentTransformer&gt;</w:t>
      </w:r>
    </w:p>
    <w:p w14:paraId="60F40012" w14:textId="77777777" w:rsidR="00CE6209" w:rsidRPr="00E750D0" w:rsidRDefault="00CE6209" w:rsidP="00CE6209">
      <w:pPr>
        <w:spacing w:after="120"/>
        <w:ind w:left="1134" w:hanging="567"/>
        <w:jc w:val="both"/>
        <w:rPr>
          <w:rFonts w:ascii="Garamond" w:hAnsi="Garamond"/>
          <w:bCs/>
          <w:sz w:val="22"/>
          <w:szCs w:val="22"/>
          <w:lang w:val="es-ES"/>
        </w:rPr>
      </w:pPr>
      <w:r w:rsidRPr="00E750D0">
        <w:rPr>
          <w:rFonts w:ascii="Garamond" w:hAnsi="Garamond"/>
          <w:bCs/>
          <w:sz w:val="22"/>
          <w:szCs w:val="22"/>
          <w:lang w:val="es-ES"/>
        </w:rPr>
        <w:t xml:space="preserve">                                &lt;podis:mRID&gt;ed1c0c18-fde0-e2bd-fcf5-54da7aad1fdd&lt;/podis:mRID&gt;</w:t>
      </w:r>
    </w:p>
    <w:p w14:paraId="0BB3A269" w14:textId="77777777" w:rsidR="00CE6209" w:rsidRPr="00D934B1" w:rsidRDefault="00CE6209" w:rsidP="00CE6209">
      <w:pPr>
        <w:spacing w:after="120"/>
        <w:ind w:left="1134" w:hanging="567"/>
        <w:jc w:val="both"/>
        <w:rPr>
          <w:rFonts w:ascii="Garamond" w:hAnsi="Garamond"/>
          <w:bCs/>
          <w:sz w:val="22"/>
          <w:szCs w:val="22"/>
          <w:lang w:val="en-US"/>
        </w:rPr>
      </w:pPr>
      <w:r w:rsidRPr="00E750D0">
        <w:rPr>
          <w:rFonts w:ascii="Garamond" w:hAnsi="Garamond"/>
          <w:bCs/>
          <w:sz w:val="22"/>
          <w:szCs w:val="22"/>
          <w:lang w:val="es-ES"/>
        </w:rPr>
        <w:t xml:space="preserve">                                </w:t>
      </w:r>
      <w:r w:rsidRPr="00D934B1">
        <w:rPr>
          <w:rFonts w:ascii="Garamond" w:hAnsi="Garamond"/>
          <w:bCs/>
          <w:sz w:val="22"/>
          <w:szCs w:val="22"/>
          <w:lang w:val="en-US"/>
        </w:rPr>
        <w:t>&lt;podis:serialNumber&gt;8000132&lt;/podis:serialNumber&gt;</w:t>
      </w:r>
    </w:p>
    <w:p w14:paraId="056A50E4" w14:textId="77777777" w:rsidR="00CE6209" w:rsidRPr="00D934B1" w:rsidRDefault="00CE6209" w:rsidP="00CE6209">
      <w:pPr>
        <w:spacing w:after="120"/>
        <w:ind w:left="1134" w:hanging="567"/>
        <w:jc w:val="both"/>
        <w:rPr>
          <w:rFonts w:ascii="Garamond" w:hAnsi="Garamond"/>
          <w:bCs/>
          <w:sz w:val="22"/>
          <w:szCs w:val="22"/>
          <w:lang w:val="en-US"/>
        </w:rPr>
      </w:pPr>
      <w:r w:rsidRPr="00D934B1">
        <w:rPr>
          <w:rFonts w:ascii="Garamond" w:hAnsi="Garamond"/>
          <w:bCs/>
          <w:sz w:val="22"/>
          <w:szCs w:val="22"/>
          <w:lang w:val="en-US"/>
        </w:rPr>
        <w:t xml:space="preserve">                                &lt;podis:customAttributes&gt;</w:t>
      </w:r>
    </w:p>
    <w:p w14:paraId="5AADFDE3" w14:textId="77777777" w:rsidR="00CE6209" w:rsidRPr="00D934B1" w:rsidRDefault="00CE6209" w:rsidP="00CE6209">
      <w:pPr>
        <w:spacing w:after="120"/>
        <w:ind w:left="1134" w:hanging="567"/>
        <w:jc w:val="both"/>
        <w:rPr>
          <w:rFonts w:ascii="Garamond" w:hAnsi="Garamond"/>
          <w:bCs/>
          <w:sz w:val="22"/>
          <w:szCs w:val="22"/>
          <w:lang w:val="en-US"/>
        </w:rPr>
      </w:pPr>
      <w:r w:rsidRPr="00D934B1">
        <w:rPr>
          <w:rFonts w:ascii="Garamond" w:hAnsi="Garamond"/>
          <w:bCs/>
          <w:sz w:val="22"/>
          <w:szCs w:val="22"/>
          <w:lang w:val="en-US"/>
        </w:rPr>
        <w:t xml:space="preserve">                                    &lt;podis:name&gt;assetOwnerKind&lt;/podis:name&gt;</w:t>
      </w:r>
    </w:p>
    <w:p w14:paraId="5FF1DD1B" w14:textId="77777777" w:rsidR="00CE6209" w:rsidRPr="00D934B1" w:rsidRDefault="00CE6209" w:rsidP="00CE6209">
      <w:pPr>
        <w:spacing w:after="120"/>
        <w:ind w:left="1134" w:hanging="567"/>
        <w:jc w:val="both"/>
        <w:rPr>
          <w:rFonts w:ascii="Garamond" w:hAnsi="Garamond"/>
          <w:bCs/>
          <w:sz w:val="22"/>
          <w:szCs w:val="22"/>
          <w:lang w:val="en-US"/>
        </w:rPr>
      </w:pPr>
      <w:r w:rsidRPr="00D934B1">
        <w:rPr>
          <w:rFonts w:ascii="Garamond" w:hAnsi="Garamond"/>
          <w:bCs/>
          <w:sz w:val="22"/>
          <w:szCs w:val="22"/>
          <w:lang w:val="en-US"/>
        </w:rPr>
        <w:t xml:space="preserve">                                    &lt;podis:value&gt;tso_or_gp&lt;/podis:value&gt;</w:t>
      </w:r>
    </w:p>
    <w:p w14:paraId="5CBC475F" w14:textId="77777777" w:rsidR="00CE6209" w:rsidRPr="00D934B1" w:rsidRDefault="00CE6209" w:rsidP="00CE6209">
      <w:pPr>
        <w:spacing w:after="120"/>
        <w:ind w:left="1134" w:hanging="567"/>
        <w:jc w:val="both"/>
        <w:rPr>
          <w:rFonts w:ascii="Garamond" w:hAnsi="Garamond"/>
          <w:bCs/>
          <w:sz w:val="22"/>
          <w:szCs w:val="22"/>
          <w:lang w:val="en-US"/>
        </w:rPr>
      </w:pPr>
      <w:r w:rsidRPr="00D934B1">
        <w:rPr>
          <w:rFonts w:ascii="Garamond" w:hAnsi="Garamond"/>
          <w:bCs/>
          <w:sz w:val="22"/>
          <w:szCs w:val="22"/>
          <w:lang w:val="en-US"/>
        </w:rPr>
        <w:t xml:space="preserve">                                &lt;/podis:customAttributes&gt;</w:t>
      </w:r>
    </w:p>
    <w:p w14:paraId="3E0AFD4D" w14:textId="77777777" w:rsidR="00CE6209" w:rsidRPr="00D934B1" w:rsidRDefault="00CE6209" w:rsidP="00CE6209">
      <w:pPr>
        <w:spacing w:after="120"/>
        <w:ind w:left="1134" w:hanging="567"/>
        <w:jc w:val="both"/>
        <w:rPr>
          <w:rFonts w:ascii="Garamond" w:hAnsi="Garamond"/>
          <w:bCs/>
          <w:sz w:val="22"/>
          <w:szCs w:val="22"/>
          <w:lang w:val="en-US"/>
        </w:rPr>
      </w:pPr>
      <w:r w:rsidRPr="00D934B1">
        <w:rPr>
          <w:rFonts w:ascii="Garamond" w:hAnsi="Garamond"/>
          <w:bCs/>
          <w:sz w:val="22"/>
          <w:szCs w:val="22"/>
          <w:lang w:val="en-US"/>
        </w:rPr>
        <w:t xml:space="preserve">                                &lt;podis:lifeCycleDate&gt;</w:t>
      </w:r>
    </w:p>
    <w:p w14:paraId="46A43B21" w14:textId="77777777" w:rsidR="00CE6209" w:rsidRPr="00D934B1" w:rsidRDefault="00CE6209" w:rsidP="00CE6209">
      <w:pPr>
        <w:spacing w:after="120"/>
        <w:ind w:left="1134" w:hanging="567"/>
        <w:jc w:val="both"/>
        <w:rPr>
          <w:rFonts w:ascii="Garamond" w:hAnsi="Garamond"/>
          <w:bCs/>
          <w:sz w:val="22"/>
          <w:szCs w:val="22"/>
          <w:lang w:val="en-US"/>
        </w:rPr>
      </w:pPr>
      <w:r w:rsidRPr="00D934B1">
        <w:rPr>
          <w:rFonts w:ascii="Garamond" w:hAnsi="Garamond"/>
          <w:bCs/>
          <w:sz w:val="22"/>
          <w:szCs w:val="22"/>
          <w:lang w:val="en-US"/>
        </w:rPr>
        <w:t xml:space="preserve">                                    &lt;podis:nextDateValid&gt;2026-02-20&lt;/podis:nextDateValid&gt;</w:t>
      </w:r>
    </w:p>
    <w:p w14:paraId="257D37C2" w14:textId="77777777" w:rsidR="00CE6209" w:rsidRPr="00E750D0" w:rsidRDefault="00CE6209" w:rsidP="00CE6209">
      <w:pPr>
        <w:spacing w:after="120"/>
        <w:ind w:left="1134" w:hanging="567"/>
        <w:jc w:val="both"/>
        <w:rPr>
          <w:rFonts w:ascii="Garamond" w:hAnsi="Garamond"/>
          <w:bCs/>
          <w:sz w:val="22"/>
          <w:szCs w:val="22"/>
          <w:lang w:val="es-ES"/>
        </w:rPr>
      </w:pPr>
      <w:r w:rsidRPr="00D934B1">
        <w:rPr>
          <w:rFonts w:ascii="Garamond" w:hAnsi="Garamond"/>
          <w:bCs/>
          <w:sz w:val="22"/>
          <w:szCs w:val="22"/>
          <w:lang w:val="en-US"/>
        </w:rPr>
        <w:t xml:space="preserve">                                </w:t>
      </w:r>
      <w:r w:rsidRPr="00E750D0">
        <w:rPr>
          <w:rFonts w:ascii="Garamond" w:hAnsi="Garamond"/>
          <w:bCs/>
          <w:sz w:val="22"/>
          <w:szCs w:val="22"/>
          <w:lang w:val="es-ES"/>
        </w:rPr>
        <w:t>&lt;/podis:lifeCycleDate&gt;</w:t>
      </w:r>
    </w:p>
    <w:p w14:paraId="4FD0CDFD" w14:textId="77777777" w:rsidR="00CE6209" w:rsidRPr="00E750D0" w:rsidRDefault="00CE6209" w:rsidP="00CE6209">
      <w:pPr>
        <w:spacing w:after="120"/>
        <w:ind w:left="1134" w:hanging="567"/>
        <w:jc w:val="both"/>
        <w:rPr>
          <w:rFonts w:ascii="Garamond" w:hAnsi="Garamond"/>
          <w:bCs/>
          <w:sz w:val="22"/>
          <w:szCs w:val="22"/>
          <w:lang w:val="es-ES"/>
        </w:rPr>
      </w:pPr>
      <w:r w:rsidRPr="00E750D0">
        <w:rPr>
          <w:rFonts w:ascii="Garamond" w:hAnsi="Garamond"/>
          <w:bCs/>
          <w:sz w:val="22"/>
          <w:szCs w:val="22"/>
          <w:lang w:val="es-ES"/>
        </w:rPr>
        <w:t xml:space="preserve">                                &lt;podis:currentTransformerInfo&gt;</w:t>
      </w:r>
    </w:p>
    <w:p w14:paraId="187B4BD0" w14:textId="77777777" w:rsidR="00CE6209" w:rsidRPr="00E750D0" w:rsidRDefault="00CE6209" w:rsidP="00CE6209">
      <w:pPr>
        <w:spacing w:after="120"/>
        <w:ind w:left="1134" w:hanging="567"/>
        <w:jc w:val="both"/>
        <w:rPr>
          <w:rFonts w:ascii="Garamond" w:hAnsi="Garamond"/>
          <w:bCs/>
          <w:sz w:val="22"/>
          <w:szCs w:val="22"/>
          <w:lang w:val="es-ES"/>
        </w:rPr>
      </w:pPr>
      <w:r w:rsidRPr="00E750D0">
        <w:rPr>
          <w:rFonts w:ascii="Garamond" w:hAnsi="Garamond"/>
          <w:bCs/>
          <w:sz w:val="22"/>
          <w:szCs w:val="22"/>
          <w:lang w:val="es-ES"/>
        </w:rPr>
        <w:t xml:space="preserve">                                    &lt;podis:mRID&gt;4ecc7ba5-3bb2-9bbf-ac5a-e4c9edaaabbb&lt;/podis:mRID&gt;</w:t>
      </w:r>
    </w:p>
    <w:p w14:paraId="4D18296D" w14:textId="77777777" w:rsidR="00CE6209" w:rsidRPr="00D934B1" w:rsidRDefault="00CE6209" w:rsidP="00CE6209">
      <w:pPr>
        <w:spacing w:after="120"/>
        <w:ind w:left="1134" w:hanging="567"/>
        <w:jc w:val="both"/>
        <w:rPr>
          <w:rFonts w:ascii="Garamond" w:hAnsi="Garamond"/>
          <w:bCs/>
          <w:sz w:val="22"/>
          <w:szCs w:val="22"/>
          <w:lang w:val="en-US"/>
        </w:rPr>
      </w:pPr>
      <w:r w:rsidRPr="00E750D0">
        <w:rPr>
          <w:rFonts w:ascii="Garamond" w:hAnsi="Garamond"/>
          <w:bCs/>
          <w:sz w:val="22"/>
          <w:szCs w:val="22"/>
          <w:lang w:val="es-ES"/>
        </w:rPr>
        <w:t xml:space="preserve">                                    </w:t>
      </w:r>
      <w:r w:rsidRPr="00D934B1">
        <w:rPr>
          <w:rFonts w:ascii="Garamond" w:hAnsi="Garamond"/>
          <w:bCs/>
          <w:sz w:val="22"/>
          <w:szCs w:val="22"/>
          <w:lang w:val="en-US"/>
        </w:rPr>
        <w:t>&lt;podis:modelNumber&gt;</w:t>
      </w:r>
      <w:r w:rsidRPr="00D934B1">
        <w:rPr>
          <w:rFonts w:ascii="Garamond" w:hAnsi="Garamond"/>
          <w:bCs/>
          <w:sz w:val="22"/>
          <w:szCs w:val="22"/>
        </w:rPr>
        <w:t>ТЛШ</w:t>
      </w:r>
      <w:r w:rsidRPr="00D934B1">
        <w:rPr>
          <w:rFonts w:ascii="Garamond" w:hAnsi="Garamond"/>
          <w:bCs/>
          <w:sz w:val="22"/>
          <w:szCs w:val="22"/>
          <w:lang w:val="en-US"/>
        </w:rPr>
        <w:t>&lt;/podis:modelNumber&gt;</w:t>
      </w:r>
    </w:p>
    <w:p w14:paraId="32FA23A6" w14:textId="77777777" w:rsidR="00CE6209" w:rsidRPr="00D934B1" w:rsidRDefault="00CE6209" w:rsidP="00CE6209">
      <w:pPr>
        <w:spacing w:after="120"/>
        <w:ind w:left="1134" w:hanging="567"/>
        <w:jc w:val="both"/>
        <w:rPr>
          <w:rFonts w:ascii="Garamond" w:hAnsi="Garamond"/>
          <w:bCs/>
          <w:sz w:val="22"/>
          <w:szCs w:val="22"/>
          <w:lang w:val="en-US"/>
        </w:rPr>
      </w:pPr>
      <w:r w:rsidRPr="00D934B1">
        <w:rPr>
          <w:rFonts w:ascii="Garamond" w:hAnsi="Garamond"/>
          <w:bCs/>
          <w:sz w:val="22"/>
          <w:szCs w:val="22"/>
          <w:lang w:val="en-US"/>
        </w:rPr>
        <w:t xml:space="preserve">                                    &lt;podis:ratedCurrent&gt;5000&lt;/podis:ratedCurrent&gt;</w:t>
      </w:r>
    </w:p>
    <w:p w14:paraId="4136641B" w14:textId="77777777" w:rsidR="00CE6209" w:rsidRPr="00D934B1" w:rsidRDefault="00CE6209" w:rsidP="00CE6209">
      <w:pPr>
        <w:spacing w:after="120"/>
        <w:ind w:left="1134" w:hanging="567"/>
        <w:jc w:val="both"/>
        <w:rPr>
          <w:rFonts w:ascii="Garamond" w:hAnsi="Garamond"/>
          <w:bCs/>
          <w:sz w:val="22"/>
          <w:szCs w:val="22"/>
          <w:lang w:val="en-US"/>
        </w:rPr>
      </w:pPr>
      <w:r w:rsidRPr="00D934B1">
        <w:rPr>
          <w:rFonts w:ascii="Garamond" w:hAnsi="Garamond"/>
          <w:bCs/>
          <w:sz w:val="22"/>
          <w:szCs w:val="22"/>
          <w:lang w:val="en-US"/>
        </w:rPr>
        <w:tab/>
      </w:r>
      <w:r w:rsidRPr="00D934B1">
        <w:rPr>
          <w:rFonts w:ascii="Garamond" w:hAnsi="Garamond"/>
          <w:bCs/>
          <w:sz w:val="22"/>
          <w:szCs w:val="22"/>
          <w:lang w:val="en-US"/>
        </w:rPr>
        <w:tab/>
      </w:r>
      <w:r w:rsidRPr="00D934B1">
        <w:rPr>
          <w:rFonts w:ascii="Garamond" w:hAnsi="Garamond"/>
          <w:bCs/>
          <w:sz w:val="22"/>
          <w:szCs w:val="22"/>
          <w:lang w:val="en-US"/>
        </w:rPr>
        <w:tab/>
        <w:t xml:space="preserve">   &lt;podis:secondaryFlsRating&gt;10&lt;/podis:secondaryFlsRating&gt;</w:t>
      </w:r>
    </w:p>
    <w:p w14:paraId="5EAB409D" w14:textId="77777777" w:rsidR="00CE6209" w:rsidRPr="00D934B1" w:rsidRDefault="00CE6209" w:rsidP="00CE6209">
      <w:pPr>
        <w:spacing w:after="120"/>
        <w:ind w:left="1134" w:hanging="567"/>
        <w:jc w:val="both"/>
        <w:rPr>
          <w:rFonts w:ascii="Garamond" w:hAnsi="Garamond"/>
          <w:bCs/>
          <w:sz w:val="22"/>
          <w:szCs w:val="22"/>
          <w:lang w:val="en-US"/>
        </w:rPr>
      </w:pPr>
      <w:r w:rsidRPr="00D934B1">
        <w:rPr>
          <w:rFonts w:ascii="Garamond" w:hAnsi="Garamond"/>
          <w:bCs/>
          <w:sz w:val="22"/>
          <w:szCs w:val="22"/>
          <w:lang w:val="en-US"/>
        </w:rPr>
        <w:lastRenderedPageBreak/>
        <w:t xml:space="preserve">                                    &lt;podis:ratedSecondaryCurrent&gt;5&lt;/podis:ratedSecondaryCurrent&gt;</w:t>
      </w:r>
    </w:p>
    <w:p w14:paraId="6ADABAF2" w14:textId="77777777" w:rsidR="00CE6209" w:rsidRPr="00D934B1" w:rsidRDefault="00CE6209" w:rsidP="00CE6209">
      <w:pPr>
        <w:spacing w:after="120"/>
        <w:ind w:left="1134" w:hanging="567"/>
        <w:jc w:val="both"/>
        <w:rPr>
          <w:rFonts w:ascii="Garamond" w:hAnsi="Garamond"/>
          <w:bCs/>
          <w:sz w:val="22"/>
          <w:szCs w:val="22"/>
          <w:lang w:val="en-US"/>
        </w:rPr>
      </w:pPr>
      <w:r w:rsidRPr="00D934B1">
        <w:rPr>
          <w:rFonts w:ascii="Garamond" w:hAnsi="Garamond"/>
          <w:bCs/>
          <w:sz w:val="22"/>
          <w:szCs w:val="22"/>
          <w:lang w:val="en-US"/>
        </w:rPr>
        <w:t xml:space="preserve">                                    &lt;podis:accuracyClass&gt;0.5S&lt;/podis:accuracyClass&gt;</w:t>
      </w:r>
    </w:p>
    <w:p w14:paraId="6442D60A" w14:textId="77777777" w:rsidR="00CE6209" w:rsidRPr="00E750D0" w:rsidRDefault="00CE6209" w:rsidP="00CE6209">
      <w:pPr>
        <w:spacing w:after="120"/>
        <w:ind w:left="1134" w:hanging="567"/>
        <w:jc w:val="both"/>
        <w:rPr>
          <w:rFonts w:ascii="Garamond" w:hAnsi="Garamond"/>
          <w:bCs/>
          <w:sz w:val="22"/>
          <w:szCs w:val="22"/>
          <w:lang w:val="es-ES"/>
        </w:rPr>
      </w:pPr>
      <w:r w:rsidRPr="00D934B1">
        <w:rPr>
          <w:rFonts w:ascii="Garamond" w:hAnsi="Garamond"/>
          <w:bCs/>
          <w:sz w:val="22"/>
          <w:szCs w:val="22"/>
          <w:lang w:val="en-US"/>
        </w:rPr>
        <w:t xml:space="preserve">                                    </w:t>
      </w:r>
      <w:r w:rsidRPr="00E750D0">
        <w:rPr>
          <w:rFonts w:ascii="Garamond" w:hAnsi="Garamond"/>
          <w:bCs/>
          <w:sz w:val="22"/>
          <w:szCs w:val="22"/>
          <w:lang w:val="es-ES"/>
        </w:rPr>
        <w:t>&lt;podis:regNumber&gt;64182-16&lt;/podis:regNumber&gt;</w:t>
      </w:r>
    </w:p>
    <w:p w14:paraId="731A2ED9" w14:textId="77777777" w:rsidR="00CE6209" w:rsidRPr="00E750D0" w:rsidRDefault="00CE6209" w:rsidP="00CE6209">
      <w:pPr>
        <w:spacing w:after="120"/>
        <w:ind w:left="1134" w:hanging="567"/>
        <w:jc w:val="both"/>
        <w:rPr>
          <w:rFonts w:ascii="Garamond" w:hAnsi="Garamond"/>
          <w:bCs/>
          <w:sz w:val="22"/>
          <w:szCs w:val="22"/>
          <w:lang w:val="es-ES"/>
        </w:rPr>
      </w:pPr>
      <w:r w:rsidRPr="00E750D0">
        <w:rPr>
          <w:rFonts w:ascii="Garamond" w:hAnsi="Garamond"/>
          <w:bCs/>
          <w:sz w:val="22"/>
          <w:szCs w:val="22"/>
          <w:lang w:val="es-ES"/>
        </w:rPr>
        <w:t xml:space="preserve">                                &lt;/podis:currentTransformerInfo&gt;</w:t>
      </w:r>
    </w:p>
    <w:p w14:paraId="4E842647" w14:textId="77777777" w:rsidR="00CE6209" w:rsidRPr="00E750D0" w:rsidRDefault="00CE6209" w:rsidP="00CE6209">
      <w:pPr>
        <w:spacing w:after="120"/>
        <w:ind w:left="1134" w:hanging="567"/>
        <w:jc w:val="both"/>
        <w:rPr>
          <w:rFonts w:ascii="Garamond" w:hAnsi="Garamond"/>
          <w:bCs/>
          <w:sz w:val="22"/>
          <w:szCs w:val="22"/>
          <w:lang w:val="es-ES"/>
        </w:rPr>
      </w:pPr>
      <w:r w:rsidRPr="00E750D0">
        <w:rPr>
          <w:rFonts w:ascii="Garamond" w:hAnsi="Garamond"/>
          <w:bCs/>
          <w:sz w:val="22"/>
          <w:szCs w:val="22"/>
          <w:lang w:val="es-ES"/>
        </w:rPr>
        <w:t xml:space="preserve">                            &lt;/podis:currentTransformer&gt;</w:t>
      </w:r>
    </w:p>
    <w:p w14:paraId="3EBD5DEA" w14:textId="77777777" w:rsidR="00CE6209" w:rsidRPr="00E750D0" w:rsidRDefault="00CE6209" w:rsidP="00CE6209">
      <w:pPr>
        <w:spacing w:after="120"/>
        <w:ind w:left="1134" w:hanging="567"/>
        <w:jc w:val="both"/>
        <w:rPr>
          <w:rFonts w:ascii="Garamond" w:hAnsi="Garamond"/>
          <w:bCs/>
          <w:sz w:val="22"/>
          <w:szCs w:val="22"/>
          <w:lang w:val="es-ES"/>
        </w:rPr>
      </w:pPr>
      <w:r w:rsidRPr="00E750D0">
        <w:rPr>
          <w:rFonts w:ascii="Garamond" w:hAnsi="Garamond"/>
          <w:bCs/>
          <w:sz w:val="22"/>
          <w:szCs w:val="22"/>
          <w:lang w:val="es-ES"/>
        </w:rPr>
        <w:t xml:space="preserve">                            &lt;podis:currentTransformer&gt;</w:t>
      </w:r>
    </w:p>
    <w:p w14:paraId="01C8B7F9" w14:textId="77777777" w:rsidR="00CE6209" w:rsidRPr="00E750D0" w:rsidRDefault="00CE6209" w:rsidP="00CE6209">
      <w:pPr>
        <w:spacing w:after="120"/>
        <w:ind w:left="1134" w:hanging="567"/>
        <w:jc w:val="both"/>
        <w:rPr>
          <w:rFonts w:ascii="Garamond" w:hAnsi="Garamond"/>
          <w:bCs/>
          <w:sz w:val="22"/>
          <w:szCs w:val="22"/>
          <w:lang w:val="es-ES"/>
        </w:rPr>
      </w:pPr>
      <w:r w:rsidRPr="00E750D0">
        <w:rPr>
          <w:rFonts w:ascii="Garamond" w:hAnsi="Garamond"/>
          <w:bCs/>
          <w:sz w:val="22"/>
          <w:szCs w:val="22"/>
          <w:lang w:val="es-ES"/>
        </w:rPr>
        <w:t xml:space="preserve">                                &lt;podis:mRID&gt;357decfc-8bea-3eb5-0daa-bd18cfdafbf9&lt;/podis:mRID&gt;</w:t>
      </w:r>
    </w:p>
    <w:p w14:paraId="0C467665" w14:textId="77777777" w:rsidR="00CE6209" w:rsidRPr="00D934B1" w:rsidRDefault="00CE6209" w:rsidP="00CE6209">
      <w:pPr>
        <w:spacing w:after="120"/>
        <w:ind w:left="1134" w:hanging="567"/>
        <w:jc w:val="both"/>
        <w:rPr>
          <w:rFonts w:ascii="Garamond" w:hAnsi="Garamond"/>
          <w:bCs/>
          <w:sz w:val="22"/>
          <w:szCs w:val="22"/>
          <w:lang w:val="en-US"/>
        </w:rPr>
      </w:pPr>
      <w:r w:rsidRPr="00E750D0">
        <w:rPr>
          <w:rFonts w:ascii="Garamond" w:hAnsi="Garamond"/>
          <w:bCs/>
          <w:sz w:val="22"/>
          <w:szCs w:val="22"/>
          <w:lang w:val="es-ES"/>
        </w:rPr>
        <w:t xml:space="preserve">                                </w:t>
      </w:r>
      <w:r w:rsidRPr="00D934B1">
        <w:rPr>
          <w:rFonts w:ascii="Garamond" w:hAnsi="Garamond"/>
          <w:bCs/>
          <w:sz w:val="22"/>
          <w:szCs w:val="22"/>
          <w:lang w:val="en-US"/>
        </w:rPr>
        <w:t>&lt;podis:serialNumber&gt;8000133&lt;/podis:serialNumber&gt;</w:t>
      </w:r>
    </w:p>
    <w:p w14:paraId="0638B73F" w14:textId="77777777" w:rsidR="00CE6209" w:rsidRPr="00D934B1" w:rsidRDefault="00CE6209" w:rsidP="00CE6209">
      <w:pPr>
        <w:spacing w:after="120"/>
        <w:ind w:left="1134" w:hanging="567"/>
        <w:jc w:val="both"/>
        <w:rPr>
          <w:rFonts w:ascii="Garamond" w:hAnsi="Garamond"/>
          <w:bCs/>
          <w:sz w:val="22"/>
          <w:szCs w:val="22"/>
          <w:lang w:val="en-US"/>
        </w:rPr>
      </w:pPr>
      <w:r w:rsidRPr="00D934B1">
        <w:rPr>
          <w:rFonts w:ascii="Garamond" w:hAnsi="Garamond"/>
          <w:bCs/>
          <w:sz w:val="22"/>
          <w:szCs w:val="22"/>
          <w:lang w:val="en-US"/>
        </w:rPr>
        <w:t xml:space="preserve">                                &lt;podis:customAttributes&gt;</w:t>
      </w:r>
    </w:p>
    <w:p w14:paraId="48DA98FC" w14:textId="77777777" w:rsidR="00CE6209" w:rsidRPr="00D934B1" w:rsidRDefault="00CE6209" w:rsidP="00CE6209">
      <w:pPr>
        <w:spacing w:after="120"/>
        <w:ind w:left="1134" w:hanging="567"/>
        <w:jc w:val="both"/>
        <w:rPr>
          <w:rFonts w:ascii="Garamond" w:hAnsi="Garamond"/>
          <w:bCs/>
          <w:sz w:val="22"/>
          <w:szCs w:val="22"/>
          <w:lang w:val="en-US"/>
        </w:rPr>
      </w:pPr>
      <w:r w:rsidRPr="00D934B1">
        <w:rPr>
          <w:rFonts w:ascii="Garamond" w:hAnsi="Garamond"/>
          <w:bCs/>
          <w:sz w:val="22"/>
          <w:szCs w:val="22"/>
          <w:lang w:val="en-US"/>
        </w:rPr>
        <w:t xml:space="preserve">                                    &lt;podis:name&gt;assetOwnerKind&lt;/podis:name&gt;</w:t>
      </w:r>
    </w:p>
    <w:p w14:paraId="052BD378" w14:textId="77777777" w:rsidR="00CE6209" w:rsidRPr="00D934B1" w:rsidRDefault="00CE6209" w:rsidP="00CE6209">
      <w:pPr>
        <w:spacing w:after="120"/>
        <w:ind w:left="1134" w:hanging="567"/>
        <w:jc w:val="both"/>
        <w:rPr>
          <w:rFonts w:ascii="Garamond" w:hAnsi="Garamond"/>
          <w:bCs/>
          <w:sz w:val="22"/>
          <w:szCs w:val="22"/>
          <w:lang w:val="en-US"/>
        </w:rPr>
      </w:pPr>
      <w:r w:rsidRPr="00D934B1">
        <w:rPr>
          <w:rFonts w:ascii="Garamond" w:hAnsi="Garamond"/>
          <w:bCs/>
          <w:sz w:val="22"/>
          <w:szCs w:val="22"/>
          <w:lang w:val="en-US"/>
        </w:rPr>
        <w:t xml:space="preserve">                                    &lt;podis:value&gt;tso_or_gp&lt;/podis:value&gt;</w:t>
      </w:r>
    </w:p>
    <w:p w14:paraId="7D5C5FF5" w14:textId="77777777" w:rsidR="00CE6209" w:rsidRPr="00D934B1" w:rsidRDefault="00CE6209" w:rsidP="00CE6209">
      <w:pPr>
        <w:spacing w:after="120"/>
        <w:ind w:left="1134" w:hanging="567"/>
        <w:jc w:val="both"/>
        <w:rPr>
          <w:rFonts w:ascii="Garamond" w:hAnsi="Garamond"/>
          <w:bCs/>
          <w:sz w:val="22"/>
          <w:szCs w:val="22"/>
          <w:lang w:val="en-US"/>
        </w:rPr>
      </w:pPr>
      <w:r w:rsidRPr="00D934B1">
        <w:rPr>
          <w:rFonts w:ascii="Garamond" w:hAnsi="Garamond"/>
          <w:bCs/>
          <w:sz w:val="22"/>
          <w:szCs w:val="22"/>
          <w:lang w:val="en-US"/>
        </w:rPr>
        <w:t xml:space="preserve">                                &lt;/podis:customAttributes&gt;</w:t>
      </w:r>
    </w:p>
    <w:p w14:paraId="5BDA3123" w14:textId="77777777" w:rsidR="00CE6209" w:rsidRPr="00D934B1" w:rsidRDefault="00CE6209" w:rsidP="00CE6209">
      <w:pPr>
        <w:spacing w:after="120"/>
        <w:ind w:left="1134" w:hanging="567"/>
        <w:jc w:val="both"/>
        <w:rPr>
          <w:rFonts w:ascii="Garamond" w:hAnsi="Garamond"/>
          <w:bCs/>
          <w:sz w:val="22"/>
          <w:szCs w:val="22"/>
          <w:lang w:val="en-US"/>
        </w:rPr>
      </w:pPr>
      <w:r w:rsidRPr="00D934B1">
        <w:rPr>
          <w:rFonts w:ascii="Garamond" w:hAnsi="Garamond"/>
          <w:bCs/>
          <w:sz w:val="22"/>
          <w:szCs w:val="22"/>
          <w:lang w:val="en-US"/>
        </w:rPr>
        <w:t xml:space="preserve">                                &lt;podis:lifeCycleDate&gt;</w:t>
      </w:r>
    </w:p>
    <w:p w14:paraId="5C9C04B9" w14:textId="77777777" w:rsidR="00CE6209" w:rsidRPr="00D934B1" w:rsidRDefault="00CE6209" w:rsidP="00CE6209">
      <w:pPr>
        <w:spacing w:after="120"/>
        <w:ind w:left="1134" w:hanging="567"/>
        <w:jc w:val="both"/>
        <w:rPr>
          <w:rFonts w:ascii="Garamond" w:hAnsi="Garamond"/>
          <w:bCs/>
          <w:sz w:val="22"/>
          <w:szCs w:val="22"/>
          <w:lang w:val="en-US"/>
        </w:rPr>
      </w:pPr>
      <w:r w:rsidRPr="00D934B1">
        <w:rPr>
          <w:rFonts w:ascii="Garamond" w:hAnsi="Garamond"/>
          <w:bCs/>
          <w:sz w:val="22"/>
          <w:szCs w:val="22"/>
          <w:lang w:val="en-US"/>
        </w:rPr>
        <w:t xml:space="preserve">                                    &lt;podis:nextDateValid&gt;2026-02-20&lt;/podis:nextDateValid&gt;</w:t>
      </w:r>
    </w:p>
    <w:p w14:paraId="686E1475" w14:textId="77777777" w:rsidR="00CE6209" w:rsidRPr="00E750D0" w:rsidRDefault="00CE6209" w:rsidP="00CE6209">
      <w:pPr>
        <w:spacing w:after="120"/>
        <w:ind w:left="1134" w:hanging="567"/>
        <w:jc w:val="both"/>
        <w:rPr>
          <w:rFonts w:ascii="Garamond" w:hAnsi="Garamond"/>
          <w:bCs/>
          <w:sz w:val="22"/>
          <w:szCs w:val="22"/>
          <w:lang w:val="es-ES"/>
        </w:rPr>
      </w:pPr>
      <w:r w:rsidRPr="00D934B1">
        <w:rPr>
          <w:rFonts w:ascii="Garamond" w:hAnsi="Garamond"/>
          <w:bCs/>
          <w:sz w:val="22"/>
          <w:szCs w:val="22"/>
          <w:lang w:val="en-US"/>
        </w:rPr>
        <w:t xml:space="preserve">                                </w:t>
      </w:r>
      <w:r w:rsidRPr="00E750D0">
        <w:rPr>
          <w:rFonts w:ascii="Garamond" w:hAnsi="Garamond"/>
          <w:bCs/>
          <w:sz w:val="22"/>
          <w:szCs w:val="22"/>
          <w:lang w:val="es-ES"/>
        </w:rPr>
        <w:t>&lt;/podis:lifeCycleDate&gt;</w:t>
      </w:r>
    </w:p>
    <w:p w14:paraId="6213B1E1" w14:textId="77777777" w:rsidR="00CE6209" w:rsidRPr="00E750D0" w:rsidRDefault="00CE6209" w:rsidP="00CE6209">
      <w:pPr>
        <w:spacing w:after="120"/>
        <w:ind w:left="1134" w:hanging="567"/>
        <w:jc w:val="both"/>
        <w:rPr>
          <w:rFonts w:ascii="Garamond" w:hAnsi="Garamond"/>
          <w:bCs/>
          <w:sz w:val="22"/>
          <w:szCs w:val="22"/>
          <w:lang w:val="es-ES"/>
        </w:rPr>
      </w:pPr>
      <w:r w:rsidRPr="00E750D0">
        <w:rPr>
          <w:rFonts w:ascii="Garamond" w:hAnsi="Garamond"/>
          <w:bCs/>
          <w:sz w:val="22"/>
          <w:szCs w:val="22"/>
          <w:lang w:val="es-ES"/>
        </w:rPr>
        <w:t xml:space="preserve">                                &lt;podis:currentTransformerInfo&gt;</w:t>
      </w:r>
    </w:p>
    <w:p w14:paraId="289BFBBA" w14:textId="77777777" w:rsidR="00CE6209" w:rsidRPr="00E750D0" w:rsidRDefault="00CE6209" w:rsidP="00CE6209">
      <w:pPr>
        <w:spacing w:after="120"/>
        <w:ind w:left="1134" w:hanging="567"/>
        <w:jc w:val="both"/>
        <w:rPr>
          <w:rFonts w:ascii="Garamond" w:hAnsi="Garamond"/>
          <w:bCs/>
          <w:sz w:val="22"/>
          <w:szCs w:val="22"/>
          <w:lang w:val="es-ES"/>
        </w:rPr>
      </w:pPr>
      <w:r w:rsidRPr="00E750D0">
        <w:rPr>
          <w:rFonts w:ascii="Garamond" w:hAnsi="Garamond"/>
          <w:bCs/>
          <w:sz w:val="22"/>
          <w:szCs w:val="22"/>
          <w:lang w:val="es-ES"/>
        </w:rPr>
        <w:t xml:space="preserve">                                    &lt;podis:mRID&gt;4ecc7ba5-3bb2-9bbf-ac5a-e4c9edaaabbb&lt;/podis:mRID&gt;</w:t>
      </w:r>
    </w:p>
    <w:p w14:paraId="0314D322" w14:textId="77777777" w:rsidR="00CE6209" w:rsidRPr="00D934B1" w:rsidRDefault="00CE6209" w:rsidP="00CE6209">
      <w:pPr>
        <w:spacing w:after="120"/>
        <w:ind w:left="1134" w:hanging="567"/>
        <w:jc w:val="both"/>
        <w:rPr>
          <w:rFonts w:ascii="Garamond" w:hAnsi="Garamond"/>
          <w:bCs/>
          <w:sz w:val="22"/>
          <w:szCs w:val="22"/>
          <w:lang w:val="en-US"/>
        </w:rPr>
      </w:pPr>
      <w:r w:rsidRPr="00E750D0">
        <w:rPr>
          <w:rFonts w:ascii="Garamond" w:hAnsi="Garamond"/>
          <w:bCs/>
          <w:sz w:val="22"/>
          <w:szCs w:val="22"/>
          <w:lang w:val="es-ES"/>
        </w:rPr>
        <w:t xml:space="preserve">                                    </w:t>
      </w:r>
      <w:r w:rsidRPr="00D934B1">
        <w:rPr>
          <w:rFonts w:ascii="Garamond" w:hAnsi="Garamond"/>
          <w:bCs/>
          <w:sz w:val="22"/>
          <w:szCs w:val="22"/>
          <w:lang w:val="en-US"/>
        </w:rPr>
        <w:t>&lt;podis:modelNumber&gt;</w:t>
      </w:r>
      <w:r w:rsidRPr="00D934B1">
        <w:rPr>
          <w:rFonts w:ascii="Garamond" w:hAnsi="Garamond"/>
          <w:bCs/>
          <w:sz w:val="22"/>
          <w:szCs w:val="22"/>
        </w:rPr>
        <w:t>ТЛШ</w:t>
      </w:r>
      <w:r w:rsidRPr="00D934B1">
        <w:rPr>
          <w:rFonts w:ascii="Garamond" w:hAnsi="Garamond"/>
          <w:bCs/>
          <w:sz w:val="22"/>
          <w:szCs w:val="22"/>
          <w:lang w:val="en-US"/>
        </w:rPr>
        <w:t>&lt;/podis:modelNumber&gt;</w:t>
      </w:r>
    </w:p>
    <w:p w14:paraId="50F47A8B" w14:textId="77777777" w:rsidR="00CE6209" w:rsidRPr="00D934B1" w:rsidRDefault="00CE6209" w:rsidP="00CE6209">
      <w:pPr>
        <w:spacing w:after="120"/>
        <w:ind w:left="1134" w:hanging="567"/>
        <w:jc w:val="both"/>
        <w:rPr>
          <w:rFonts w:ascii="Garamond" w:hAnsi="Garamond"/>
          <w:bCs/>
          <w:sz w:val="22"/>
          <w:szCs w:val="22"/>
          <w:lang w:val="en-US"/>
        </w:rPr>
      </w:pPr>
      <w:r w:rsidRPr="00D934B1">
        <w:rPr>
          <w:rFonts w:ascii="Garamond" w:hAnsi="Garamond"/>
          <w:bCs/>
          <w:sz w:val="22"/>
          <w:szCs w:val="22"/>
          <w:lang w:val="en-US"/>
        </w:rPr>
        <w:t xml:space="preserve">                                    &lt;podis:ratedCurrent&gt;5000&lt;/podis:ratedCurrent&gt;</w:t>
      </w:r>
    </w:p>
    <w:p w14:paraId="4E0E135E" w14:textId="77777777" w:rsidR="00CE6209" w:rsidRPr="00D934B1" w:rsidRDefault="00CE6209" w:rsidP="00CE6209">
      <w:pPr>
        <w:spacing w:after="120"/>
        <w:ind w:left="1134" w:hanging="567"/>
        <w:jc w:val="both"/>
        <w:rPr>
          <w:rFonts w:ascii="Garamond" w:hAnsi="Garamond"/>
          <w:bCs/>
          <w:sz w:val="22"/>
          <w:szCs w:val="22"/>
          <w:lang w:val="en-US"/>
        </w:rPr>
      </w:pPr>
      <w:r w:rsidRPr="00D934B1">
        <w:rPr>
          <w:rFonts w:ascii="Garamond" w:hAnsi="Garamond"/>
          <w:bCs/>
          <w:sz w:val="22"/>
          <w:szCs w:val="22"/>
          <w:lang w:val="en-US"/>
        </w:rPr>
        <w:tab/>
      </w:r>
      <w:r w:rsidRPr="00D934B1">
        <w:rPr>
          <w:rFonts w:ascii="Garamond" w:hAnsi="Garamond"/>
          <w:bCs/>
          <w:sz w:val="22"/>
          <w:szCs w:val="22"/>
          <w:lang w:val="en-US"/>
        </w:rPr>
        <w:tab/>
      </w:r>
      <w:r w:rsidRPr="00D934B1">
        <w:rPr>
          <w:rFonts w:ascii="Garamond" w:hAnsi="Garamond"/>
          <w:bCs/>
          <w:sz w:val="22"/>
          <w:szCs w:val="22"/>
          <w:lang w:val="en-US"/>
        </w:rPr>
        <w:tab/>
        <w:t xml:space="preserve">   &lt;podis:secondaryFlsRating&gt;10&lt;/podis:secondaryFlsRating&gt;</w:t>
      </w:r>
    </w:p>
    <w:p w14:paraId="0D09EB12" w14:textId="77777777" w:rsidR="00CE6209" w:rsidRPr="00D934B1" w:rsidRDefault="00CE6209" w:rsidP="00CE6209">
      <w:pPr>
        <w:spacing w:after="120"/>
        <w:ind w:left="1134" w:hanging="567"/>
        <w:jc w:val="both"/>
        <w:rPr>
          <w:rFonts w:ascii="Garamond" w:hAnsi="Garamond"/>
          <w:bCs/>
          <w:sz w:val="22"/>
          <w:szCs w:val="22"/>
          <w:lang w:val="en-US"/>
        </w:rPr>
      </w:pPr>
      <w:r w:rsidRPr="00D934B1">
        <w:rPr>
          <w:rFonts w:ascii="Garamond" w:hAnsi="Garamond"/>
          <w:bCs/>
          <w:sz w:val="22"/>
          <w:szCs w:val="22"/>
          <w:lang w:val="en-US"/>
        </w:rPr>
        <w:t xml:space="preserve">                                    &lt;podis:ratedSecondaryCurrent&gt;5&lt;/podis:ratedSecondaryCurrent&gt;</w:t>
      </w:r>
    </w:p>
    <w:p w14:paraId="508BD6EC" w14:textId="77777777" w:rsidR="00CE6209" w:rsidRPr="00D934B1" w:rsidRDefault="00CE6209" w:rsidP="00CE6209">
      <w:pPr>
        <w:spacing w:after="120"/>
        <w:ind w:left="1134" w:hanging="567"/>
        <w:jc w:val="both"/>
        <w:rPr>
          <w:rFonts w:ascii="Garamond" w:hAnsi="Garamond"/>
          <w:bCs/>
          <w:sz w:val="22"/>
          <w:szCs w:val="22"/>
          <w:lang w:val="en-US"/>
        </w:rPr>
      </w:pPr>
      <w:r w:rsidRPr="00D934B1">
        <w:rPr>
          <w:rFonts w:ascii="Garamond" w:hAnsi="Garamond"/>
          <w:bCs/>
          <w:sz w:val="22"/>
          <w:szCs w:val="22"/>
          <w:lang w:val="en-US"/>
        </w:rPr>
        <w:t xml:space="preserve">                                    &lt;podis:accuracyClass&gt;0.5S&lt;/podis:accuracyClass&gt;</w:t>
      </w:r>
    </w:p>
    <w:p w14:paraId="1FC0FD38" w14:textId="77777777" w:rsidR="00CE6209" w:rsidRPr="00E750D0" w:rsidRDefault="00CE6209" w:rsidP="00CE6209">
      <w:pPr>
        <w:spacing w:after="120"/>
        <w:ind w:left="1134" w:hanging="567"/>
        <w:jc w:val="both"/>
        <w:rPr>
          <w:rFonts w:ascii="Garamond" w:hAnsi="Garamond"/>
          <w:bCs/>
          <w:sz w:val="22"/>
          <w:szCs w:val="22"/>
          <w:lang w:val="es-ES"/>
        </w:rPr>
      </w:pPr>
      <w:r w:rsidRPr="00D934B1">
        <w:rPr>
          <w:rFonts w:ascii="Garamond" w:hAnsi="Garamond"/>
          <w:bCs/>
          <w:sz w:val="22"/>
          <w:szCs w:val="22"/>
          <w:lang w:val="en-US"/>
        </w:rPr>
        <w:t xml:space="preserve">                                    </w:t>
      </w:r>
      <w:r w:rsidRPr="00E750D0">
        <w:rPr>
          <w:rFonts w:ascii="Garamond" w:hAnsi="Garamond"/>
          <w:bCs/>
          <w:sz w:val="22"/>
          <w:szCs w:val="22"/>
          <w:lang w:val="es-ES"/>
        </w:rPr>
        <w:t>&lt;podis:regNumber&gt;64182-16&lt;/podis:regNumber&gt;</w:t>
      </w:r>
    </w:p>
    <w:p w14:paraId="49BF0CE2" w14:textId="77777777" w:rsidR="00CE6209" w:rsidRPr="00E750D0" w:rsidRDefault="00CE6209" w:rsidP="00CE6209">
      <w:pPr>
        <w:spacing w:after="120"/>
        <w:ind w:left="1134" w:hanging="567"/>
        <w:jc w:val="both"/>
        <w:rPr>
          <w:rFonts w:ascii="Garamond" w:hAnsi="Garamond"/>
          <w:bCs/>
          <w:sz w:val="22"/>
          <w:szCs w:val="22"/>
          <w:lang w:val="es-ES"/>
        </w:rPr>
      </w:pPr>
      <w:r w:rsidRPr="00E750D0">
        <w:rPr>
          <w:rFonts w:ascii="Garamond" w:hAnsi="Garamond"/>
          <w:bCs/>
          <w:sz w:val="22"/>
          <w:szCs w:val="22"/>
          <w:lang w:val="es-ES"/>
        </w:rPr>
        <w:t xml:space="preserve">                                &lt;/podis:currentTransformerInfo&gt;</w:t>
      </w:r>
    </w:p>
    <w:p w14:paraId="415E1524" w14:textId="77777777" w:rsidR="00CE6209" w:rsidRPr="00E750D0" w:rsidRDefault="00CE6209" w:rsidP="00CE6209">
      <w:pPr>
        <w:spacing w:after="120"/>
        <w:ind w:left="1134" w:hanging="567"/>
        <w:jc w:val="both"/>
        <w:rPr>
          <w:rFonts w:ascii="Garamond" w:hAnsi="Garamond"/>
          <w:bCs/>
          <w:sz w:val="22"/>
          <w:szCs w:val="22"/>
          <w:lang w:val="es-ES"/>
        </w:rPr>
      </w:pPr>
      <w:r w:rsidRPr="00E750D0">
        <w:rPr>
          <w:rFonts w:ascii="Garamond" w:hAnsi="Garamond"/>
          <w:bCs/>
          <w:sz w:val="22"/>
          <w:szCs w:val="22"/>
          <w:lang w:val="es-ES"/>
        </w:rPr>
        <w:t xml:space="preserve">                            &lt;/podis:currentTransformer&gt;</w:t>
      </w:r>
    </w:p>
    <w:p w14:paraId="515DD427" w14:textId="77777777" w:rsidR="00CE6209" w:rsidRPr="00E750D0" w:rsidRDefault="00CE6209" w:rsidP="00CE6209">
      <w:pPr>
        <w:spacing w:after="120"/>
        <w:ind w:left="1134" w:hanging="567"/>
        <w:jc w:val="both"/>
        <w:rPr>
          <w:rFonts w:ascii="Garamond" w:hAnsi="Garamond"/>
          <w:bCs/>
          <w:sz w:val="22"/>
          <w:szCs w:val="22"/>
          <w:lang w:val="es-ES"/>
        </w:rPr>
      </w:pPr>
      <w:r w:rsidRPr="00E750D0">
        <w:rPr>
          <w:rFonts w:ascii="Garamond" w:hAnsi="Garamond"/>
          <w:bCs/>
          <w:sz w:val="22"/>
          <w:szCs w:val="22"/>
          <w:lang w:val="es-ES"/>
        </w:rPr>
        <w:t xml:space="preserve">                            &lt;podis:potentialTransformer&gt;</w:t>
      </w:r>
    </w:p>
    <w:p w14:paraId="17A0C05A" w14:textId="77777777" w:rsidR="00CE6209" w:rsidRPr="00E750D0" w:rsidRDefault="00CE6209" w:rsidP="00CE6209">
      <w:pPr>
        <w:spacing w:after="120"/>
        <w:ind w:left="1134" w:hanging="567"/>
        <w:jc w:val="both"/>
        <w:rPr>
          <w:rFonts w:ascii="Garamond" w:hAnsi="Garamond"/>
          <w:bCs/>
          <w:sz w:val="22"/>
          <w:szCs w:val="22"/>
          <w:lang w:val="es-ES"/>
        </w:rPr>
      </w:pPr>
      <w:r w:rsidRPr="00E750D0">
        <w:rPr>
          <w:rFonts w:ascii="Garamond" w:hAnsi="Garamond"/>
          <w:bCs/>
          <w:sz w:val="22"/>
          <w:szCs w:val="22"/>
          <w:lang w:val="es-ES"/>
        </w:rPr>
        <w:t xml:space="preserve">                                &lt;podis:mRID&gt;e1fbbba7-acf9-ada5-4d82-caaf3fadab5c&lt;/podis:mRID&gt;</w:t>
      </w:r>
    </w:p>
    <w:p w14:paraId="0CFFEA8E" w14:textId="77777777" w:rsidR="00CE6209" w:rsidRPr="00D934B1" w:rsidRDefault="00CE6209" w:rsidP="00CE6209">
      <w:pPr>
        <w:spacing w:after="120"/>
        <w:ind w:left="1134" w:hanging="567"/>
        <w:jc w:val="both"/>
        <w:rPr>
          <w:rFonts w:ascii="Garamond" w:hAnsi="Garamond"/>
          <w:bCs/>
          <w:sz w:val="22"/>
          <w:szCs w:val="22"/>
          <w:lang w:val="en-US"/>
        </w:rPr>
      </w:pPr>
      <w:r w:rsidRPr="00E750D0">
        <w:rPr>
          <w:rFonts w:ascii="Garamond" w:hAnsi="Garamond"/>
          <w:bCs/>
          <w:sz w:val="22"/>
          <w:szCs w:val="22"/>
          <w:lang w:val="es-ES"/>
        </w:rPr>
        <w:t xml:space="preserve">                                </w:t>
      </w:r>
      <w:r w:rsidRPr="00D934B1">
        <w:rPr>
          <w:rFonts w:ascii="Garamond" w:hAnsi="Garamond"/>
          <w:bCs/>
          <w:sz w:val="22"/>
          <w:szCs w:val="22"/>
          <w:lang w:val="en-US"/>
        </w:rPr>
        <w:t>&lt;podis:serialNumber&gt;1613&lt;/podis:serialNumber&gt;</w:t>
      </w:r>
    </w:p>
    <w:p w14:paraId="50D6035B" w14:textId="77777777" w:rsidR="00CE6209" w:rsidRPr="00D934B1" w:rsidRDefault="00CE6209" w:rsidP="00CE6209">
      <w:pPr>
        <w:spacing w:after="120"/>
        <w:ind w:left="1134" w:hanging="567"/>
        <w:jc w:val="both"/>
        <w:rPr>
          <w:rFonts w:ascii="Garamond" w:hAnsi="Garamond"/>
          <w:bCs/>
          <w:sz w:val="22"/>
          <w:szCs w:val="22"/>
          <w:lang w:val="en-US"/>
        </w:rPr>
      </w:pPr>
      <w:r w:rsidRPr="00D934B1">
        <w:rPr>
          <w:rFonts w:ascii="Garamond" w:hAnsi="Garamond"/>
          <w:bCs/>
          <w:sz w:val="22"/>
          <w:szCs w:val="22"/>
          <w:lang w:val="en-US"/>
        </w:rPr>
        <w:t xml:space="preserve">                                &lt;podis:customAttributes&gt;</w:t>
      </w:r>
    </w:p>
    <w:p w14:paraId="3D4B959F" w14:textId="77777777" w:rsidR="00CE6209" w:rsidRPr="00D934B1" w:rsidRDefault="00CE6209" w:rsidP="00CE6209">
      <w:pPr>
        <w:spacing w:after="120"/>
        <w:ind w:left="1134" w:hanging="567"/>
        <w:jc w:val="both"/>
        <w:rPr>
          <w:rFonts w:ascii="Garamond" w:hAnsi="Garamond"/>
          <w:bCs/>
          <w:sz w:val="22"/>
          <w:szCs w:val="22"/>
          <w:lang w:val="en-US"/>
        </w:rPr>
      </w:pPr>
      <w:r w:rsidRPr="00D934B1">
        <w:rPr>
          <w:rFonts w:ascii="Garamond" w:hAnsi="Garamond"/>
          <w:bCs/>
          <w:sz w:val="22"/>
          <w:szCs w:val="22"/>
          <w:lang w:val="en-US"/>
        </w:rPr>
        <w:t xml:space="preserve">                                    &lt;podis:name&gt;assetOwnerKind&lt;/podis:name&gt;</w:t>
      </w:r>
    </w:p>
    <w:p w14:paraId="17B7CD41" w14:textId="77777777" w:rsidR="00CE6209" w:rsidRPr="00D934B1" w:rsidRDefault="00CE6209" w:rsidP="00CE6209">
      <w:pPr>
        <w:spacing w:after="120"/>
        <w:ind w:left="1134" w:hanging="567"/>
        <w:jc w:val="both"/>
        <w:rPr>
          <w:rFonts w:ascii="Garamond" w:hAnsi="Garamond"/>
          <w:bCs/>
          <w:sz w:val="22"/>
          <w:szCs w:val="22"/>
          <w:lang w:val="en-US"/>
        </w:rPr>
      </w:pPr>
      <w:r w:rsidRPr="00D934B1">
        <w:rPr>
          <w:rFonts w:ascii="Garamond" w:hAnsi="Garamond"/>
          <w:bCs/>
          <w:sz w:val="22"/>
          <w:szCs w:val="22"/>
          <w:lang w:val="en-US"/>
        </w:rPr>
        <w:t xml:space="preserve">                                    &lt;podis:value&gt;tso_or_gp&lt;/podis:value&gt;</w:t>
      </w:r>
    </w:p>
    <w:p w14:paraId="0149FDF3" w14:textId="77777777" w:rsidR="00CE6209" w:rsidRPr="00D934B1" w:rsidRDefault="00CE6209" w:rsidP="00CE6209">
      <w:pPr>
        <w:spacing w:after="120"/>
        <w:ind w:left="1134" w:hanging="567"/>
        <w:jc w:val="both"/>
        <w:rPr>
          <w:rFonts w:ascii="Garamond" w:hAnsi="Garamond"/>
          <w:bCs/>
          <w:sz w:val="22"/>
          <w:szCs w:val="22"/>
          <w:lang w:val="en-US"/>
        </w:rPr>
      </w:pPr>
      <w:r w:rsidRPr="00D934B1">
        <w:rPr>
          <w:rFonts w:ascii="Garamond" w:hAnsi="Garamond"/>
          <w:bCs/>
          <w:sz w:val="22"/>
          <w:szCs w:val="22"/>
          <w:lang w:val="en-US"/>
        </w:rPr>
        <w:t xml:space="preserve">                                &lt;/podis:customAttributes&gt;</w:t>
      </w:r>
    </w:p>
    <w:p w14:paraId="0EA003C2" w14:textId="77777777" w:rsidR="00CE6209" w:rsidRPr="00D934B1" w:rsidRDefault="00CE6209" w:rsidP="00CE6209">
      <w:pPr>
        <w:spacing w:after="120"/>
        <w:ind w:left="1134" w:hanging="567"/>
        <w:jc w:val="both"/>
        <w:rPr>
          <w:rFonts w:ascii="Garamond" w:hAnsi="Garamond"/>
          <w:bCs/>
          <w:sz w:val="22"/>
          <w:szCs w:val="22"/>
          <w:lang w:val="en-US"/>
        </w:rPr>
      </w:pPr>
      <w:r w:rsidRPr="00D934B1">
        <w:rPr>
          <w:rFonts w:ascii="Garamond" w:hAnsi="Garamond"/>
          <w:bCs/>
          <w:sz w:val="22"/>
          <w:szCs w:val="22"/>
          <w:lang w:val="en-US"/>
        </w:rPr>
        <w:t xml:space="preserve">                                &lt;podis:lifeCycleDate&gt;</w:t>
      </w:r>
    </w:p>
    <w:p w14:paraId="2BBCF0F6" w14:textId="77777777" w:rsidR="00CE6209" w:rsidRPr="00D934B1" w:rsidRDefault="00CE6209" w:rsidP="00CE6209">
      <w:pPr>
        <w:spacing w:after="120"/>
        <w:ind w:left="1134" w:hanging="567"/>
        <w:jc w:val="both"/>
        <w:rPr>
          <w:rFonts w:ascii="Garamond" w:hAnsi="Garamond"/>
          <w:bCs/>
          <w:sz w:val="22"/>
          <w:szCs w:val="22"/>
          <w:lang w:val="en-US"/>
        </w:rPr>
      </w:pPr>
      <w:r w:rsidRPr="00D934B1">
        <w:rPr>
          <w:rFonts w:ascii="Garamond" w:hAnsi="Garamond"/>
          <w:bCs/>
          <w:sz w:val="22"/>
          <w:szCs w:val="22"/>
          <w:lang w:val="en-US"/>
        </w:rPr>
        <w:t xml:space="preserve">                                    &lt;podis:nextDateValid&gt;2025-04-19&lt;/podis:nextDateValid&gt;</w:t>
      </w:r>
    </w:p>
    <w:p w14:paraId="0A74D74A" w14:textId="77777777" w:rsidR="00CE6209" w:rsidRPr="00E750D0" w:rsidRDefault="00CE6209" w:rsidP="00CE6209">
      <w:pPr>
        <w:spacing w:after="120"/>
        <w:ind w:left="1134" w:hanging="567"/>
        <w:jc w:val="both"/>
        <w:rPr>
          <w:rFonts w:ascii="Garamond" w:hAnsi="Garamond"/>
          <w:bCs/>
          <w:sz w:val="22"/>
          <w:szCs w:val="22"/>
          <w:lang w:val="es-ES"/>
        </w:rPr>
      </w:pPr>
      <w:r w:rsidRPr="00D934B1">
        <w:rPr>
          <w:rFonts w:ascii="Garamond" w:hAnsi="Garamond"/>
          <w:bCs/>
          <w:sz w:val="22"/>
          <w:szCs w:val="22"/>
          <w:lang w:val="en-US"/>
        </w:rPr>
        <w:t xml:space="preserve">                                </w:t>
      </w:r>
      <w:r w:rsidRPr="00E750D0">
        <w:rPr>
          <w:rFonts w:ascii="Garamond" w:hAnsi="Garamond"/>
          <w:bCs/>
          <w:sz w:val="22"/>
          <w:szCs w:val="22"/>
          <w:lang w:val="es-ES"/>
        </w:rPr>
        <w:t>&lt;/podis:lifeCycleDate&gt;</w:t>
      </w:r>
    </w:p>
    <w:p w14:paraId="3F73D968" w14:textId="77777777" w:rsidR="00CE6209" w:rsidRPr="00E750D0" w:rsidRDefault="00CE6209" w:rsidP="00CE6209">
      <w:pPr>
        <w:spacing w:after="120"/>
        <w:ind w:left="1134" w:hanging="567"/>
        <w:jc w:val="both"/>
        <w:rPr>
          <w:rFonts w:ascii="Garamond" w:hAnsi="Garamond"/>
          <w:bCs/>
          <w:sz w:val="22"/>
          <w:szCs w:val="22"/>
          <w:lang w:val="es-ES"/>
        </w:rPr>
      </w:pPr>
      <w:r w:rsidRPr="00E750D0">
        <w:rPr>
          <w:rFonts w:ascii="Garamond" w:hAnsi="Garamond"/>
          <w:bCs/>
          <w:sz w:val="22"/>
          <w:szCs w:val="22"/>
          <w:lang w:val="es-ES"/>
        </w:rPr>
        <w:t xml:space="preserve">                                &lt;podis:potentialTransformerInfo&gt;</w:t>
      </w:r>
    </w:p>
    <w:p w14:paraId="5A6850B8" w14:textId="77777777" w:rsidR="00CE6209" w:rsidRPr="00E750D0" w:rsidRDefault="00CE6209" w:rsidP="00CE6209">
      <w:pPr>
        <w:spacing w:after="120"/>
        <w:ind w:left="1134" w:hanging="567"/>
        <w:jc w:val="both"/>
        <w:rPr>
          <w:rFonts w:ascii="Garamond" w:hAnsi="Garamond"/>
          <w:bCs/>
          <w:sz w:val="22"/>
          <w:szCs w:val="22"/>
          <w:lang w:val="es-ES"/>
        </w:rPr>
      </w:pPr>
      <w:r w:rsidRPr="00E750D0">
        <w:rPr>
          <w:rFonts w:ascii="Garamond" w:hAnsi="Garamond"/>
          <w:bCs/>
          <w:sz w:val="22"/>
          <w:szCs w:val="22"/>
          <w:lang w:val="es-ES"/>
        </w:rPr>
        <w:t xml:space="preserve">                                    &lt;podis:mRID&gt;4aa7f49e-d9b0-eaea-ea2f-9b8bcdb9a495&lt;/podis:mRID&gt;</w:t>
      </w:r>
    </w:p>
    <w:p w14:paraId="6EED9495" w14:textId="77777777" w:rsidR="00CE6209" w:rsidRPr="00D934B1" w:rsidRDefault="00CE6209" w:rsidP="00CE6209">
      <w:pPr>
        <w:spacing w:after="120"/>
        <w:ind w:left="1134" w:hanging="567"/>
        <w:jc w:val="both"/>
        <w:rPr>
          <w:rFonts w:ascii="Garamond" w:hAnsi="Garamond"/>
          <w:bCs/>
          <w:sz w:val="22"/>
          <w:szCs w:val="22"/>
          <w:lang w:val="en-US"/>
        </w:rPr>
      </w:pPr>
      <w:r w:rsidRPr="00E750D0">
        <w:rPr>
          <w:rFonts w:ascii="Garamond" w:hAnsi="Garamond"/>
          <w:bCs/>
          <w:sz w:val="22"/>
          <w:szCs w:val="22"/>
          <w:lang w:val="es-ES"/>
        </w:rPr>
        <w:t xml:space="preserve">                                    </w:t>
      </w:r>
      <w:r w:rsidRPr="00D934B1">
        <w:rPr>
          <w:rFonts w:ascii="Garamond" w:hAnsi="Garamond"/>
          <w:bCs/>
          <w:sz w:val="22"/>
          <w:szCs w:val="22"/>
          <w:lang w:val="en-US"/>
        </w:rPr>
        <w:t>&lt;podis:modelNumber&gt;</w:t>
      </w:r>
      <w:r w:rsidRPr="00D934B1">
        <w:rPr>
          <w:rFonts w:ascii="Garamond" w:hAnsi="Garamond"/>
          <w:bCs/>
          <w:sz w:val="22"/>
          <w:szCs w:val="22"/>
        </w:rPr>
        <w:t>НОЛ</w:t>
      </w:r>
      <w:r w:rsidRPr="00D934B1">
        <w:rPr>
          <w:rFonts w:ascii="Garamond" w:hAnsi="Garamond"/>
          <w:bCs/>
          <w:sz w:val="22"/>
          <w:szCs w:val="22"/>
          <w:lang w:val="en-US"/>
        </w:rPr>
        <w:t>&lt;/podis:modelNumber&gt;</w:t>
      </w:r>
    </w:p>
    <w:p w14:paraId="2B6A0DFE" w14:textId="77777777" w:rsidR="00CE6209" w:rsidRPr="00D934B1" w:rsidRDefault="00CE6209" w:rsidP="00CE6209">
      <w:pPr>
        <w:spacing w:after="120"/>
        <w:ind w:left="1134" w:hanging="567"/>
        <w:jc w:val="both"/>
        <w:rPr>
          <w:rFonts w:ascii="Garamond" w:hAnsi="Garamond"/>
          <w:bCs/>
          <w:sz w:val="22"/>
          <w:szCs w:val="22"/>
          <w:lang w:val="en-US"/>
        </w:rPr>
      </w:pPr>
      <w:r w:rsidRPr="00D934B1">
        <w:rPr>
          <w:rFonts w:ascii="Garamond" w:hAnsi="Garamond"/>
          <w:bCs/>
          <w:sz w:val="22"/>
          <w:szCs w:val="22"/>
          <w:lang w:val="en-US"/>
        </w:rPr>
        <w:t xml:space="preserve">                                    &lt;podis:customAttributes&gt;</w:t>
      </w:r>
    </w:p>
    <w:p w14:paraId="1EA7987A" w14:textId="77777777" w:rsidR="00CE6209" w:rsidRPr="00D934B1" w:rsidRDefault="00CE6209" w:rsidP="00CE6209">
      <w:pPr>
        <w:spacing w:after="120"/>
        <w:ind w:left="1134" w:hanging="567"/>
        <w:jc w:val="both"/>
        <w:rPr>
          <w:rFonts w:ascii="Garamond" w:hAnsi="Garamond"/>
          <w:bCs/>
          <w:sz w:val="22"/>
          <w:szCs w:val="22"/>
          <w:lang w:val="en-US"/>
        </w:rPr>
      </w:pPr>
      <w:r w:rsidRPr="00D934B1">
        <w:rPr>
          <w:rFonts w:ascii="Garamond" w:hAnsi="Garamond"/>
          <w:bCs/>
          <w:sz w:val="22"/>
          <w:szCs w:val="22"/>
          <w:lang w:val="en-US"/>
        </w:rPr>
        <w:t xml:space="preserve">                                        &lt;podis:name&gt;RatedLoad&lt;/podis:name&gt;</w:t>
      </w:r>
    </w:p>
    <w:p w14:paraId="1E913393" w14:textId="77777777" w:rsidR="00CE6209" w:rsidRPr="00D934B1" w:rsidRDefault="00CE6209" w:rsidP="00CE6209">
      <w:pPr>
        <w:spacing w:after="120"/>
        <w:ind w:left="1134" w:hanging="567"/>
        <w:jc w:val="both"/>
        <w:rPr>
          <w:rFonts w:ascii="Garamond" w:hAnsi="Garamond"/>
          <w:bCs/>
          <w:sz w:val="22"/>
          <w:szCs w:val="22"/>
          <w:lang w:val="en-US"/>
        </w:rPr>
      </w:pPr>
      <w:r w:rsidRPr="00D934B1">
        <w:rPr>
          <w:rFonts w:ascii="Garamond" w:hAnsi="Garamond"/>
          <w:bCs/>
          <w:sz w:val="22"/>
          <w:szCs w:val="22"/>
          <w:lang w:val="en-US"/>
        </w:rPr>
        <w:lastRenderedPageBreak/>
        <w:t xml:space="preserve">                                        &lt;podis:value&gt;100&lt;/podis:value&gt;</w:t>
      </w:r>
    </w:p>
    <w:p w14:paraId="43744B2B" w14:textId="77777777" w:rsidR="00CE6209" w:rsidRPr="00D934B1" w:rsidRDefault="00CE6209" w:rsidP="00CE6209">
      <w:pPr>
        <w:spacing w:after="120"/>
        <w:ind w:left="1134" w:hanging="567"/>
        <w:jc w:val="both"/>
        <w:rPr>
          <w:rFonts w:ascii="Garamond" w:hAnsi="Garamond"/>
          <w:bCs/>
          <w:sz w:val="22"/>
          <w:szCs w:val="22"/>
          <w:lang w:val="en-US"/>
        </w:rPr>
      </w:pPr>
      <w:r w:rsidRPr="00D934B1">
        <w:rPr>
          <w:rFonts w:ascii="Garamond" w:hAnsi="Garamond"/>
          <w:bCs/>
          <w:sz w:val="22"/>
          <w:szCs w:val="22"/>
          <w:lang w:val="en-US"/>
        </w:rPr>
        <w:t xml:space="preserve">                                    &lt;/podis:customAttributes&gt;</w:t>
      </w:r>
    </w:p>
    <w:p w14:paraId="5F74965F" w14:textId="77777777" w:rsidR="00CE6209" w:rsidRPr="00E750D0" w:rsidRDefault="00CE6209" w:rsidP="00CE6209">
      <w:pPr>
        <w:spacing w:after="120"/>
        <w:ind w:left="1134" w:hanging="567"/>
        <w:jc w:val="both"/>
        <w:rPr>
          <w:rFonts w:ascii="Garamond" w:hAnsi="Garamond"/>
          <w:bCs/>
          <w:sz w:val="22"/>
          <w:szCs w:val="22"/>
          <w:lang w:val="es-ES"/>
        </w:rPr>
      </w:pPr>
      <w:r w:rsidRPr="00D934B1">
        <w:rPr>
          <w:rFonts w:ascii="Garamond" w:hAnsi="Garamond"/>
          <w:bCs/>
          <w:sz w:val="22"/>
          <w:szCs w:val="22"/>
          <w:lang w:val="en-US"/>
        </w:rPr>
        <w:t xml:space="preserve">                                    </w:t>
      </w:r>
      <w:r w:rsidRPr="00E750D0">
        <w:rPr>
          <w:rFonts w:ascii="Garamond" w:hAnsi="Garamond"/>
          <w:bCs/>
          <w:sz w:val="22"/>
          <w:szCs w:val="22"/>
          <w:lang w:val="es-ES"/>
        </w:rPr>
        <w:t>&lt;podis:nominalRatio&gt;</w:t>
      </w:r>
    </w:p>
    <w:p w14:paraId="16B9ADFB" w14:textId="77777777" w:rsidR="00CE6209" w:rsidRPr="00E750D0" w:rsidRDefault="00CE6209" w:rsidP="00CE6209">
      <w:pPr>
        <w:spacing w:after="120"/>
        <w:ind w:left="1134" w:hanging="567"/>
        <w:jc w:val="both"/>
        <w:rPr>
          <w:rFonts w:ascii="Garamond" w:hAnsi="Garamond"/>
          <w:bCs/>
          <w:sz w:val="22"/>
          <w:szCs w:val="22"/>
          <w:lang w:val="es-ES"/>
        </w:rPr>
      </w:pPr>
      <w:r w:rsidRPr="00E750D0">
        <w:rPr>
          <w:rFonts w:ascii="Garamond" w:hAnsi="Garamond"/>
          <w:bCs/>
          <w:sz w:val="22"/>
          <w:szCs w:val="22"/>
          <w:lang w:val="es-ES"/>
        </w:rPr>
        <w:t xml:space="preserve">                                        &lt;podis:denominator&gt;100&lt;/podis:denominator&gt;</w:t>
      </w:r>
    </w:p>
    <w:p w14:paraId="6C542623" w14:textId="77777777" w:rsidR="00CE6209" w:rsidRPr="00E750D0" w:rsidRDefault="00CE6209" w:rsidP="00CE6209">
      <w:pPr>
        <w:spacing w:after="120"/>
        <w:ind w:left="1134" w:hanging="567"/>
        <w:jc w:val="both"/>
        <w:rPr>
          <w:rFonts w:ascii="Garamond" w:hAnsi="Garamond"/>
          <w:bCs/>
          <w:sz w:val="22"/>
          <w:szCs w:val="22"/>
          <w:lang w:val="es-ES"/>
        </w:rPr>
      </w:pPr>
      <w:r w:rsidRPr="00E750D0">
        <w:rPr>
          <w:rFonts w:ascii="Garamond" w:hAnsi="Garamond"/>
          <w:bCs/>
          <w:sz w:val="22"/>
          <w:szCs w:val="22"/>
          <w:lang w:val="es-ES"/>
        </w:rPr>
        <w:t xml:space="preserve">                                        &lt;podis:numerator&gt;10000&lt;/podis:numerator&gt;</w:t>
      </w:r>
    </w:p>
    <w:p w14:paraId="7347F024" w14:textId="77777777" w:rsidR="00CE6209" w:rsidRPr="00E750D0" w:rsidRDefault="00CE6209" w:rsidP="00CE6209">
      <w:pPr>
        <w:spacing w:after="120"/>
        <w:ind w:left="1134" w:hanging="567"/>
        <w:jc w:val="both"/>
        <w:rPr>
          <w:rFonts w:ascii="Garamond" w:hAnsi="Garamond"/>
          <w:bCs/>
          <w:sz w:val="22"/>
          <w:szCs w:val="22"/>
          <w:lang w:val="es-ES"/>
        </w:rPr>
      </w:pPr>
      <w:r w:rsidRPr="00E750D0">
        <w:rPr>
          <w:rFonts w:ascii="Garamond" w:hAnsi="Garamond"/>
          <w:bCs/>
          <w:sz w:val="22"/>
          <w:szCs w:val="22"/>
          <w:lang w:val="es-ES"/>
        </w:rPr>
        <w:t xml:space="preserve">                                    &lt;/podis:nominalRatio&gt;</w:t>
      </w:r>
    </w:p>
    <w:p w14:paraId="29D496C8" w14:textId="77777777" w:rsidR="00CE6209" w:rsidRPr="00D934B1" w:rsidRDefault="00CE6209" w:rsidP="00CE6209">
      <w:pPr>
        <w:spacing w:after="120"/>
        <w:ind w:left="1134" w:hanging="567"/>
        <w:jc w:val="both"/>
        <w:rPr>
          <w:rFonts w:ascii="Garamond" w:hAnsi="Garamond"/>
          <w:bCs/>
          <w:sz w:val="22"/>
          <w:szCs w:val="22"/>
          <w:lang w:val="en-US"/>
        </w:rPr>
      </w:pPr>
      <w:r w:rsidRPr="00E750D0">
        <w:rPr>
          <w:rFonts w:ascii="Garamond" w:hAnsi="Garamond"/>
          <w:bCs/>
          <w:sz w:val="22"/>
          <w:szCs w:val="22"/>
          <w:lang w:val="es-ES"/>
        </w:rPr>
        <w:t xml:space="preserve">                                    </w:t>
      </w:r>
      <w:r w:rsidRPr="00D934B1">
        <w:rPr>
          <w:rFonts w:ascii="Garamond" w:hAnsi="Garamond"/>
          <w:bCs/>
          <w:sz w:val="22"/>
          <w:szCs w:val="22"/>
          <w:lang w:val="en-US"/>
        </w:rPr>
        <w:t>&lt;podis:accuracyClass&gt;0.5&lt;/podis:accuracyClass&gt;</w:t>
      </w:r>
    </w:p>
    <w:p w14:paraId="5BA93A51" w14:textId="77777777" w:rsidR="00CE6209" w:rsidRPr="00D934B1" w:rsidRDefault="00CE6209" w:rsidP="00CE6209">
      <w:pPr>
        <w:spacing w:after="120"/>
        <w:ind w:left="1134" w:hanging="567"/>
        <w:jc w:val="both"/>
        <w:rPr>
          <w:rFonts w:ascii="Garamond" w:hAnsi="Garamond"/>
          <w:bCs/>
          <w:sz w:val="22"/>
          <w:szCs w:val="22"/>
          <w:lang w:val="en-US"/>
        </w:rPr>
      </w:pPr>
      <w:r w:rsidRPr="00D934B1">
        <w:rPr>
          <w:rFonts w:ascii="Garamond" w:hAnsi="Garamond"/>
          <w:bCs/>
          <w:sz w:val="22"/>
          <w:szCs w:val="22"/>
          <w:lang w:val="en-US"/>
        </w:rPr>
        <w:t xml:space="preserve">                                    &lt;podis:regNumber&gt;66629-17&lt;/podis:regNumber&gt;</w:t>
      </w:r>
    </w:p>
    <w:p w14:paraId="062F1018" w14:textId="77777777" w:rsidR="00CE6209" w:rsidRPr="00E750D0" w:rsidRDefault="00CE6209" w:rsidP="00CE6209">
      <w:pPr>
        <w:spacing w:after="120"/>
        <w:ind w:left="1134" w:hanging="567"/>
        <w:jc w:val="both"/>
        <w:rPr>
          <w:rFonts w:ascii="Garamond" w:hAnsi="Garamond"/>
          <w:bCs/>
          <w:sz w:val="22"/>
          <w:szCs w:val="22"/>
          <w:lang w:val="es-ES"/>
        </w:rPr>
      </w:pPr>
      <w:r w:rsidRPr="00D934B1">
        <w:rPr>
          <w:rFonts w:ascii="Garamond" w:hAnsi="Garamond"/>
          <w:bCs/>
          <w:sz w:val="22"/>
          <w:szCs w:val="22"/>
          <w:lang w:val="en-US"/>
        </w:rPr>
        <w:t xml:space="preserve">                                </w:t>
      </w:r>
      <w:r w:rsidRPr="00E750D0">
        <w:rPr>
          <w:rFonts w:ascii="Garamond" w:hAnsi="Garamond"/>
          <w:bCs/>
          <w:sz w:val="22"/>
          <w:szCs w:val="22"/>
          <w:lang w:val="es-ES"/>
        </w:rPr>
        <w:t>&lt;/podis:potentialTransformerInfo&gt;</w:t>
      </w:r>
    </w:p>
    <w:p w14:paraId="568913F4" w14:textId="77777777" w:rsidR="00CE6209" w:rsidRPr="00E750D0" w:rsidRDefault="00CE6209" w:rsidP="00CE6209">
      <w:pPr>
        <w:spacing w:after="120"/>
        <w:ind w:left="1134" w:hanging="567"/>
        <w:jc w:val="both"/>
        <w:rPr>
          <w:rFonts w:ascii="Garamond" w:hAnsi="Garamond"/>
          <w:bCs/>
          <w:sz w:val="22"/>
          <w:szCs w:val="22"/>
          <w:lang w:val="es-ES"/>
        </w:rPr>
      </w:pPr>
      <w:r w:rsidRPr="00E750D0">
        <w:rPr>
          <w:rFonts w:ascii="Garamond" w:hAnsi="Garamond"/>
          <w:bCs/>
          <w:sz w:val="22"/>
          <w:szCs w:val="22"/>
          <w:lang w:val="es-ES"/>
        </w:rPr>
        <w:t xml:space="preserve">                            &lt;/podis:potentialTransformer&gt;</w:t>
      </w:r>
    </w:p>
    <w:p w14:paraId="63CF4A0F" w14:textId="77777777" w:rsidR="00CE6209" w:rsidRPr="00E750D0" w:rsidRDefault="00CE6209" w:rsidP="00CE6209">
      <w:pPr>
        <w:spacing w:after="120"/>
        <w:ind w:left="1134" w:hanging="567"/>
        <w:jc w:val="both"/>
        <w:rPr>
          <w:rFonts w:ascii="Garamond" w:hAnsi="Garamond"/>
          <w:bCs/>
          <w:sz w:val="22"/>
          <w:szCs w:val="22"/>
          <w:lang w:val="es-ES"/>
        </w:rPr>
      </w:pPr>
      <w:r w:rsidRPr="00E750D0">
        <w:rPr>
          <w:rFonts w:ascii="Garamond" w:hAnsi="Garamond"/>
          <w:bCs/>
          <w:sz w:val="22"/>
          <w:szCs w:val="22"/>
          <w:lang w:val="es-ES"/>
        </w:rPr>
        <w:t xml:space="preserve">                            &lt;podis:potentialTransformer&gt;</w:t>
      </w:r>
    </w:p>
    <w:p w14:paraId="22591A29" w14:textId="77777777" w:rsidR="00CE6209" w:rsidRPr="00E750D0" w:rsidRDefault="00CE6209" w:rsidP="00CE6209">
      <w:pPr>
        <w:spacing w:after="120"/>
        <w:ind w:left="1134" w:hanging="567"/>
        <w:jc w:val="both"/>
        <w:rPr>
          <w:rFonts w:ascii="Garamond" w:hAnsi="Garamond"/>
          <w:bCs/>
          <w:sz w:val="22"/>
          <w:szCs w:val="22"/>
          <w:lang w:val="es-ES"/>
        </w:rPr>
      </w:pPr>
      <w:r w:rsidRPr="00E750D0">
        <w:rPr>
          <w:rFonts w:ascii="Garamond" w:hAnsi="Garamond"/>
          <w:bCs/>
          <w:sz w:val="22"/>
          <w:szCs w:val="22"/>
          <w:lang w:val="es-ES"/>
        </w:rPr>
        <w:t xml:space="preserve">                                &lt;podis:mRID&gt;feecb34c-cfdd-c4df-cde8-fedf991b7dde&lt;/podis:mRID&gt;</w:t>
      </w:r>
    </w:p>
    <w:p w14:paraId="4F4D6246" w14:textId="77777777" w:rsidR="00CE6209" w:rsidRPr="00D934B1" w:rsidRDefault="00CE6209" w:rsidP="00CE6209">
      <w:pPr>
        <w:spacing w:after="120"/>
        <w:ind w:left="1134" w:hanging="567"/>
        <w:jc w:val="both"/>
        <w:rPr>
          <w:rFonts w:ascii="Garamond" w:hAnsi="Garamond"/>
          <w:bCs/>
          <w:sz w:val="22"/>
          <w:szCs w:val="22"/>
          <w:lang w:val="en-US"/>
        </w:rPr>
      </w:pPr>
      <w:r w:rsidRPr="00E750D0">
        <w:rPr>
          <w:rFonts w:ascii="Garamond" w:hAnsi="Garamond"/>
          <w:bCs/>
          <w:sz w:val="22"/>
          <w:szCs w:val="22"/>
          <w:lang w:val="es-ES"/>
        </w:rPr>
        <w:t xml:space="preserve">                                </w:t>
      </w:r>
      <w:r w:rsidRPr="00D934B1">
        <w:rPr>
          <w:rFonts w:ascii="Garamond" w:hAnsi="Garamond"/>
          <w:bCs/>
          <w:sz w:val="22"/>
          <w:szCs w:val="22"/>
          <w:lang w:val="en-US"/>
        </w:rPr>
        <w:t>&lt;podis:serialNumber&gt;1614&lt;/podis:serialNumber&gt;</w:t>
      </w:r>
    </w:p>
    <w:p w14:paraId="66BFE6ED" w14:textId="77777777" w:rsidR="00CE6209" w:rsidRPr="00D934B1" w:rsidRDefault="00CE6209" w:rsidP="00CE6209">
      <w:pPr>
        <w:spacing w:after="120"/>
        <w:ind w:left="1134" w:hanging="567"/>
        <w:jc w:val="both"/>
        <w:rPr>
          <w:rFonts w:ascii="Garamond" w:hAnsi="Garamond"/>
          <w:bCs/>
          <w:sz w:val="22"/>
          <w:szCs w:val="22"/>
          <w:lang w:val="en-US"/>
        </w:rPr>
      </w:pPr>
      <w:r w:rsidRPr="00D934B1">
        <w:rPr>
          <w:rFonts w:ascii="Garamond" w:hAnsi="Garamond"/>
          <w:bCs/>
          <w:sz w:val="22"/>
          <w:szCs w:val="22"/>
          <w:lang w:val="en-US"/>
        </w:rPr>
        <w:t xml:space="preserve">                                &lt;podis:customAttributes&gt;</w:t>
      </w:r>
    </w:p>
    <w:p w14:paraId="6B0B0795" w14:textId="77777777" w:rsidR="00CE6209" w:rsidRPr="00D934B1" w:rsidRDefault="00CE6209" w:rsidP="00CE6209">
      <w:pPr>
        <w:spacing w:after="120"/>
        <w:ind w:left="1134" w:hanging="567"/>
        <w:jc w:val="both"/>
        <w:rPr>
          <w:rFonts w:ascii="Garamond" w:hAnsi="Garamond"/>
          <w:bCs/>
          <w:sz w:val="22"/>
          <w:szCs w:val="22"/>
          <w:lang w:val="en-US"/>
        </w:rPr>
      </w:pPr>
      <w:r w:rsidRPr="00D934B1">
        <w:rPr>
          <w:rFonts w:ascii="Garamond" w:hAnsi="Garamond"/>
          <w:bCs/>
          <w:sz w:val="22"/>
          <w:szCs w:val="22"/>
          <w:lang w:val="en-US"/>
        </w:rPr>
        <w:t xml:space="preserve">                                    &lt;podis:name&gt;assetOwnerKind&lt;/podis:name&gt;</w:t>
      </w:r>
    </w:p>
    <w:p w14:paraId="212ED824" w14:textId="77777777" w:rsidR="00CE6209" w:rsidRPr="00D934B1" w:rsidRDefault="00CE6209" w:rsidP="00CE6209">
      <w:pPr>
        <w:spacing w:after="120"/>
        <w:ind w:left="1134" w:hanging="567"/>
        <w:jc w:val="both"/>
        <w:rPr>
          <w:rFonts w:ascii="Garamond" w:hAnsi="Garamond"/>
          <w:bCs/>
          <w:sz w:val="22"/>
          <w:szCs w:val="22"/>
          <w:lang w:val="en-US"/>
        </w:rPr>
      </w:pPr>
      <w:r w:rsidRPr="00D934B1">
        <w:rPr>
          <w:rFonts w:ascii="Garamond" w:hAnsi="Garamond"/>
          <w:bCs/>
          <w:sz w:val="22"/>
          <w:szCs w:val="22"/>
          <w:lang w:val="en-US"/>
        </w:rPr>
        <w:t xml:space="preserve">                                    &lt;podis:value&gt;tso_or_gp&lt;/podis:value&gt;</w:t>
      </w:r>
    </w:p>
    <w:p w14:paraId="1D269E0B" w14:textId="77777777" w:rsidR="00CE6209" w:rsidRPr="00D934B1" w:rsidRDefault="00CE6209" w:rsidP="00CE6209">
      <w:pPr>
        <w:spacing w:after="120"/>
        <w:ind w:left="1134" w:hanging="567"/>
        <w:jc w:val="both"/>
        <w:rPr>
          <w:rFonts w:ascii="Garamond" w:hAnsi="Garamond"/>
          <w:bCs/>
          <w:sz w:val="22"/>
          <w:szCs w:val="22"/>
          <w:lang w:val="en-US"/>
        </w:rPr>
      </w:pPr>
      <w:r w:rsidRPr="00D934B1">
        <w:rPr>
          <w:rFonts w:ascii="Garamond" w:hAnsi="Garamond"/>
          <w:bCs/>
          <w:sz w:val="22"/>
          <w:szCs w:val="22"/>
          <w:lang w:val="en-US"/>
        </w:rPr>
        <w:t xml:space="preserve">                                &lt;/podis:customAttributes&gt;</w:t>
      </w:r>
    </w:p>
    <w:p w14:paraId="6D89D1FA" w14:textId="77777777" w:rsidR="00CE6209" w:rsidRPr="00D934B1" w:rsidRDefault="00CE6209" w:rsidP="00CE6209">
      <w:pPr>
        <w:spacing w:after="120"/>
        <w:ind w:left="1134" w:hanging="567"/>
        <w:jc w:val="both"/>
        <w:rPr>
          <w:rFonts w:ascii="Garamond" w:hAnsi="Garamond"/>
          <w:bCs/>
          <w:sz w:val="22"/>
          <w:szCs w:val="22"/>
          <w:lang w:val="en-US"/>
        </w:rPr>
      </w:pPr>
      <w:r w:rsidRPr="00D934B1">
        <w:rPr>
          <w:rFonts w:ascii="Garamond" w:hAnsi="Garamond"/>
          <w:bCs/>
          <w:sz w:val="22"/>
          <w:szCs w:val="22"/>
          <w:lang w:val="en-US"/>
        </w:rPr>
        <w:t xml:space="preserve">                                &lt;podis:lifeCycleDate&gt;</w:t>
      </w:r>
    </w:p>
    <w:p w14:paraId="5B4956AF" w14:textId="77777777" w:rsidR="00CE6209" w:rsidRPr="00D934B1" w:rsidRDefault="00CE6209" w:rsidP="00CE6209">
      <w:pPr>
        <w:spacing w:after="120"/>
        <w:ind w:left="1134" w:hanging="567"/>
        <w:jc w:val="both"/>
        <w:rPr>
          <w:rFonts w:ascii="Garamond" w:hAnsi="Garamond"/>
          <w:bCs/>
          <w:sz w:val="22"/>
          <w:szCs w:val="22"/>
          <w:lang w:val="en-US"/>
        </w:rPr>
      </w:pPr>
      <w:r w:rsidRPr="00D934B1">
        <w:rPr>
          <w:rFonts w:ascii="Garamond" w:hAnsi="Garamond"/>
          <w:bCs/>
          <w:sz w:val="22"/>
          <w:szCs w:val="22"/>
          <w:lang w:val="en-US"/>
        </w:rPr>
        <w:t xml:space="preserve">                                    &lt;podis:nextDateValid&gt;2025-04-19&lt;/podis:nextDateValid&gt;</w:t>
      </w:r>
    </w:p>
    <w:p w14:paraId="278F62F3" w14:textId="77777777" w:rsidR="00CE6209" w:rsidRPr="00E750D0" w:rsidRDefault="00CE6209" w:rsidP="00CE6209">
      <w:pPr>
        <w:spacing w:after="120"/>
        <w:ind w:left="1134" w:hanging="567"/>
        <w:jc w:val="both"/>
        <w:rPr>
          <w:rFonts w:ascii="Garamond" w:hAnsi="Garamond"/>
          <w:bCs/>
          <w:sz w:val="22"/>
          <w:szCs w:val="22"/>
          <w:lang w:val="es-ES"/>
        </w:rPr>
      </w:pPr>
      <w:r w:rsidRPr="00D934B1">
        <w:rPr>
          <w:rFonts w:ascii="Garamond" w:hAnsi="Garamond"/>
          <w:bCs/>
          <w:sz w:val="22"/>
          <w:szCs w:val="22"/>
          <w:lang w:val="en-US"/>
        </w:rPr>
        <w:t xml:space="preserve">                                </w:t>
      </w:r>
      <w:r w:rsidRPr="00E750D0">
        <w:rPr>
          <w:rFonts w:ascii="Garamond" w:hAnsi="Garamond"/>
          <w:bCs/>
          <w:sz w:val="22"/>
          <w:szCs w:val="22"/>
          <w:lang w:val="es-ES"/>
        </w:rPr>
        <w:t>&lt;/podis:lifeCycleDate&gt;</w:t>
      </w:r>
    </w:p>
    <w:p w14:paraId="42D3C2EB" w14:textId="77777777" w:rsidR="00CE6209" w:rsidRPr="00E750D0" w:rsidRDefault="00CE6209" w:rsidP="00CE6209">
      <w:pPr>
        <w:spacing w:after="120"/>
        <w:ind w:left="1134" w:hanging="567"/>
        <w:jc w:val="both"/>
        <w:rPr>
          <w:rFonts w:ascii="Garamond" w:hAnsi="Garamond"/>
          <w:bCs/>
          <w:sz w:val="22"/>
          <w:szCs w:val="22"/>
          <w:lang w:val="es-ES"/>
        </w:rPr>
      </w:pPr>
      <w:r w:rsidRPr="00E750D0">
        <w:rPr>
          <w:rFonts w:ascii="Garamond" w:hAnsi="Garamond"/>
          <w:bCs/>
          <w:sz w:val="22"/>
          <w:szCs w:val="22"/>
          <w:lang w:val="es-ES"/>
        </w:rPr>
        <w:t xml:space="preserve">                                &lt;podis:potentialTransformerInfo&gt;</w:t>
      </w:r>
    </w:p>
    <w:p w14:paraId="50E98584" w14:textId="77777777" w:rsidR="00CE6209" w:rsidRPr="00E750D0" w:rsidRDefault="00CE6209" w:rsidP="00CE6209">
      <w:pPr>
        <w:spacing w:after="120"/>
        <w:ind w:left="1134" w:hanging="567"/>
        <w:jc w:val="both"/>
        <w:rPr>
          <w:rFonts w:ascii="Garamond" w:hAnsi="Garamond"/>
          <w:bCs/>
          <w:sz w:val="22"/>
          <w:szCs w:val="22"/>
          <w:lang w:val="es-ES"/>
        </w:rPr>
      </w:pPr>
      <w:r w:rsidRPr="00E750D0">
        <w:rPr>
          <w:rFonts w:ascii="Garamond" w:hAnsi="Garamond"/>
          <w:bCs/>
          <w:sz w:val="22"/>
          <w:szCs w:val="22"/>
          <w:lang w:val="es-ES"/>
        </w:rPr>
        <w:t xml:space="preserve">                                    &lt;podis:mRID&gt;4aa7f49e-d9b0-eaea-ea2f-9b8bcdb9a495&lt;/podis:mRID&gt;</w:t>
      </w:r>
    </w:p>
    <w:p w14:paraId="29B3F21F" w14:textId="77777777" w:rsidR="00CE6209" w:rsidRPr="00D934B1" w:rsidRDefault="00CE6209" w:rsidP="00CE6209">
      <w:pPr>
        <w:spacing w:after="120"/>
        <w:ind w:left="1134" w:hanging="567"/>
        <w:jc w:val="both"/>
        <w:rPr>
          <w:rFonts w:ascii="Garamond" w:hAnsi="Garamond"/>
          <w:bCs/>
          <w:sz w:val="22"/>
          <w:szCs w:val="22"/>
          <w:lang w:val="en-US"/>
        </w:rPr>
      </w:pPr>
      <w:r w:rsidRPr="00E750D0">
        <w:rPr>
          <w:rFonts w:ascii="Garamond" w:hAnsi="Garamond"/>
          <w:bCs/>
          <w:sz w:val="22"/>
          <w:szCs w:val="22"/>
          <w:lang w:val="es-ES"/>
        </w:rPr>
        <w:t xml:space="preserve">                                    </w:t>
      </w:r>
      <w:r w:rsidRPr="00D934B1">
        <w:rPr>
          <w:rFonts w:ascii="Garamond" w:hAnsi="Garamond"/>
          <w:bCs/>
          <w:sz w:val="22"/>
          <w:szCs w:val="22"/>
          <w:lang w:val="en-US"/>
        </w:rPr>
        <w:t>&lt;podis:modelNumber&gt;</w:t>
      </w:r>
      <w:r w:rsidRPr="00D934B1">
        <w:rPr>
          <w:rFonts w:ascii="Garamond" w:hAnsi="Garamond"/>
          <w:bCs/>
          <w:sz w:val="22"/>
          <w:szCs w:val="22"/>
        </w:rPr>
        <w:t>НОЛ</w:t>
      </w:r>
      <w:r w:rsidRPr="00D934B1">
        <w:rPr>
          <w:rFonts w:ascii="Garamond" w:hAnsi="Garamond"/>
          <w:bCs/>
          <w:sz w:val="22"/>
          <w:szCs w:val="22"/>
          <w:lang w:val="en-US"/>
        </w:rPr>
        <w:t>&lt;/podis:modelNumber&gt;</w:t>
      </w:r>
    </w:p>
    <w:p w14:paraId="775C4894" w14:textId="77777777" w:rsidR="00CE6209" w:rsidRPr="00D934B1" w:rsidRDefault="00CE6209" w:rsidP="00CE6209">
      <w:pPr>
        <w:spacing w:after="120"/>
        <w:ind w:left="1134" w:hanging="567"/>
        <w:jc w:val="both"/>
        <w:rPr>
          <w:rFonts w:ascii="Garamond" w:hAnsi="Garamond"/>
          <w:bCs/>
          <w:sz w:val="22"/>
          <w:szCs w:val="22"/>
          <w:lang w:val="en-US"/>
        </w:rPr>
      </w:pPr>
      <w:r w:rsidRPr="00D934B1">
        <w:rPr>
          <w:rFonts w:ascii="Garamond" w:hAnsi="Garamond"/>
          <w:bCs/>
          <w:sz w:val="22"/>
          <w:szCs w:val="22"/>
          <w:lang w:val="en-US"/>
        </w:rPr>
        <w:t xml:space="preserve">                                    &lt;podis:customAttributes&gt;</w:t>
      </w:r>
    </w:p>
    <w:p w14:paraId="2A59543F" w14:textId="77777777" w:rsidR="00CE6209" w:rsidRPr="00D934B1" w:rsidRDefault="00CE6209" w:rsidP="00CE6209">
      <w:pPr>
        <w:spacing w:after="120"/>
        <w:ind w:left="1134" w:hanging="567"/>
        <w:jc w:val="both"/>
        <w:rPr>
          <w:rFonts w:ascii="Garamond" w:hAnsi="Garamond"/>
          <w:bCs/>
          <w:sz w:val="22"/>
          <w:szCs w:val="22"/>
          <w:lang w:val="en-US"/>
        </w:rPr>
      </w:pPr>
      <w:r w:rsidRPr="00D934B1">
        <w:rPr>
          <w:rFonts w:ascii="Garamond" w:hAnsi="Garamond"/>
          <w:bCs/>
          <w:sz w:val="22"/>
          <w:szCs w:val="22"/>
          <w:lang w:val="en-US"/>
        </w:rPr>
        <w:t xml:space="preserve">                                        &lt;podis:name&gt;RatedLoad&lt;/podis:name&gt;</w:t>
      </w:r>
    </w:p>
    <w:p w14:paraId="4001BFBE" w14:textId="77777777" w:rsidR="00CE6209" w:rsidRPr="00D934B1" w:rsidRDefault="00CE6209" w:rsidP="00CE6209">
      <w:pPr>
        <w:spacing w:after="120"/>
        <w:ind w:left="1134" w:hanging="567"/>
        <w:jc w:val="both"/>
        <w:rPr>
          <w:rFonts w:ascii="Garamond" w:hAnsi="Garamond"/>
          <w:bCs/>
          <w:sz w:val="22"/>
          <w:szCs w:val="22"/>
          <w:lang w:val="en-US"/>
        </w:rPr>
      </w:pPr>
      <w:r w:rsidRPr="00D934B1">
        <w:rPr>
          <w:rFonts w:ascii="Garamond" w:hAnsi="Garamond"/>
          <w:bCs/>
          <w:sz w:val="22"/>
          <w:szCs w:val="22"/>
          <w:lang w:val="en-US"/>
        </w:rPr>
        <w:t xml:space="preserve">                                        &lt;podis:value&gt;100&lt;/podis:value&gt;</w:t>
      </w:r>
    </w:p>
    <w:p w14:paraId="1E25A11C" w14:textId="77777777" w:rsidR="00CE6209" w:rsidRPr="00D934B1" w:rsidRDefault="00CE6209" w:rsidP="00CE6209">
      <w:pPr>
        <w:spacing w:after="120"/>
        <w:ind w:left="1134" w:hanging="567"/>
        <w:jc w:val="both"/>
        <w:rPr>
          <w:rFonts w:ascii="Garamond" w:hAnsi="Garamond"/>
          <w:bCs/>
          <w:sz w:val="22"/>
          <w:szCs w:val="22"/>
          <w:lang w:val="en-US"/>
        </w:rPr>
      </w:pPr>
      <w:r w:rsidRPr="00D934B1">
        <w:rPr>
          <w:rFonts w:ascii="Garamond" w:hAnsi="Garamond"/>
          <w:bCs/>
          <w:sz w:val="22"/>
          <w:szCs w:val="22"/>
          <w:lang w:val="en-US"/>
        </w:rPr>
        <w:t xml:space="preserve">                                    &lt;/podis:customAttributes&gt;</w:t>
      </w:r>
    </w:p>
    <w:p w14:paraId="24A274C8" w14:textId="77777777" w:rsidR="00CE6209" w:rsidRPr="00E750D0" w:rsidRDefault="00CE6209" w:rsidP="00CE6209">
      <w:pPr>
        <w:spacing w:after="120"/>
        <w:ind w:left="1134" w:hanging="567"/>
        <w:jc w:val="both"/>
        <w:rPr>
          <w:rFonts w:ascii="Garamond" w:hAnsi="Garamond"/>
          <w:bCs/>
          <w:sz w:val="22"/>
          <w:szCs w:val="22"/>
          <w:lang w:val="es-ES"/>
        </w:rPr>
      </w:pPr>
      <w:r w:rsidRPr="00D934B1">
        <w:rPr>
          <w:rFonts w:ascii="Garamond" w:hAnsi="Garamond"/>
          <w:bCs/>
          <w:sz w:val="22"/>
          <w:szCs w:val="22"/>
          <w:lang w:val="en-US"/>
        </w:rPr>
        <w:t xml:space="preserve">                                    </w:t>
      </w:r>
      <w:r w:rsidRPr="00E750D0">
        <w:rPr>
          <w:rFonts w:ascii="Garamond" w:hAnsi="Garamond"/>
          <w:bCs/>
          <w:sz w:val="22"/>
          <w:szCs w:val="22"/>
          <w:lang w:val="es-ES"/>
        </w:rPr>
        <w:t>&lt;podis:nominalRatio&gt;</w:t>
      </w:r>
    </w:p>
    <w:p w14:paraId="0766ECAF" w14:textId="77777777" w:rsidR="00CE6209" w:rsidRPr="00E750D0" w:rsidRDefault="00CE6209" w:rsidP="00CE6209">
      <w:pPr>
        <w:spacing w:after="120"/>
        <w:ind w:left="1134" w:hanging="567"/>
        <w:jc w:val="both"/>
        <w:rPr>
          <w:rFonts w:ascii="Garamond" w:hAnsi="Garamond"/>
          <w:bCs/>
          <w:sz w:val="22"/>
          <w:szCs w:val="22"/>
          <w:lang w:val="es-ES"/>
        </w:rPr>
      </w:pPr>
      <w:r w:rsidRPr="00E750D0">
        <w:rPr>
          <w:rFonts w:ascii="Garamond" w:hAnsi="Garamond"/>
          <w:bCs/>
          <w:sz w:val="22"/>
          <w:szCs w:val="22"/>
          <w:lang w:val="es-ES"/>
        </w:rPr>
        <w:t xml:space="preserve">                                        &lt;podis:denominator&gt;100&lt;/podis:denominator&gt;</w:t>
      </w:r>
    </w:p>
    <w:p w14:paraId="1292A8C1" w14:textId="77777777" w:rsidR="00CE6209" w:rsidRPr="00E750D0" w:rsidRDefault="00CE6209" w:rsidP="00CE6209">
      <w:pPr>
        <w:spacing w:after="120"/>
        <w:ind w:left="1134" w:hanging="567"/>
        <w:jc w:val="both"/>
        <w:rPr>
          <w:rFonts w:ascii="Garamond" w:hAnsi="Garamond"/>
          <w:bCs/>
          <w:sz w:val="22"/>
          <w:szCs w:val="22"/>
          <w:lang w:val="es-ES"/>
        </w:rPr>
      </w:pPr>
      <w:r w:rsidRPr="00E750D0">
        <w:rPr>
          <w:rFonts w:ascii="Garamond" w:hAnsi="Garamond"/>
          <w:bCs/>
          <w:sz w:val="22"/>
          <w:szCs w:val="22"/>
          <w:lang w:val="es-ES"/>
        </w:rPr>
        <w:t xml:space="preserve">                                        &lt;podis:numerator&gt;10000&lt;/podis:numerator&gt;</w:t>
      </w:r>
    </w:p>
    <w:p w14:paraId="1F60A9EA" w14:textId="77777777" w:rsidR="00CE6209" w:rsidRPr="00E750D0" w:rsidRDefault="00CE6209" w:rsidP="00CE6209">
      <w:pPr>
        <w:spacing w:after="120"/>
        <w:ind w:left="1134" w:hanging="567"/>
        <w:jc w:val="both"/>
        <w:rPr>
          <w:rFonts w:ascii="Garamond" w:hAnsi="Garamond"/>
          <w:bCs/>
          <w:sz w:val="22"/>
          <w:szCs w:val="22"/>
          <w:lang w:val="es-ES"/>
        </w:rPr>
      </w:pPr>
      <w:r w:rsidRPr="00E750D0">
        <w:rPr>
          <w:rFonts w:ascii="Garamond" w:hAnsi="Garamond"/>
          <w:bCs/>
          <w:sz w:val="22"/>
          <w:szCs w:val="22"/>
          <w:lang w:val="es-ES"/>
        </w:rPr>
        <w:t xml:space="preserve">                                    &lt;/podis:nominalRatio&gt;</w:t>
      </w:r>
    </w:p>
    <w:p w14:paraId="5A633984" w14:textId="77777777" w:rsidR="00CE6209" w:rsidRPr="00D934B1" w:rsidRDefault="00CE6209" w:rsidP="00CE6209">
      <w:pPr>
        <w:spacing w:after="120"/>
        <w:ind w:left="1134" w:hanging="567"/>
        <w:jc w:val="both"/>
        <w:rPr>
          <w:rFonts w:ascii="Garamond" w:hAnsi="Garamond"/>
          <w:bCs/>
          <w:sz w:val="22"/>
          <w:szCs w:val="22"/>
          <w:lang w:val="en-US"/>
        </w:rPr>
      </w:pPr>
      <w:r w:rsidRPr="00E750D0">
        <w:rPr>
          <w:rFonts w:ascii="Garamond" w:hAnsi="Garamond"/>
          <w:bCs/>
          <w:sz w:val="22"/>
          <w:szCs w:val="22"/>
          <w:lang w:val="es-ES"/>
        </w:rPr>
        <w:t xml:space="preserve">                                    </w:t>
      </w:r>
      <w:r w:rsidRPr="00D934B1">
        <w:rPr>
          <w:rFonts w:ascii="Garamond" w:hAnsi="Garamond"/>
          <w:bCs/>
          <w:sz w:val="22"/>
          <w:szCs w:val="22"/>
          <w:lang w:val="en-US"/>
        </w:rPr>
        <w:t>&lt;podis:accuracyClass&gt;0.5&lt;/podis:accuracyClass&gt;</w:t>
      </w:r>
    </w:p>
    <w:p w14:paraId="2BA2700B" w14:textId="77777777" w:rsidR="00CE6209" w:rsidRPr="00D934B1" w:rsidRDefault="00CE6209" w:rsidP="00CE6209">
      <w:pPr>
        <w:spacing w:after="120"/>
        <w:ind w:left="1134" w:hanging="567"/>
        <w:jc w:val="both"/>
        <w:rPr>
          <w:rFonts w:ascii="Garamond" w:hAnsi="Garamond"/>
          <w:bCs/>
          <w:sz w:val="22"/>
          <w:szCs w:val="22"/>
          <w:lang w:val="en-US"/>
        </w:rPr>
      </w:pPr>
      <w:r w:rsidRPr="00D934B1">
        <w:rPr>
          <w:rFonts w:ascii="Garamond" w:hAnsi="Garamond"/>
          <w:bCs/>
          <w:sz w:val="22"/>
          <w:szCs w:val="22"/>
          <w:lang w:val="en-US"/>
        </w:rPr>
        <w:t xml:space="preserve">                                    &lt;podis:regNumber&gt;66629-17&lt;/podis:regNumber&gt;</w:t>
      </w:r>
    </w:p>
    <w:p w14:paraId="11B12FD7" w14:textId="77777777" w:rsidR="00CE6209" w:rsidRPr="00E750D0" w:rsidRDefault="00CE6209" w:rsidP="00CE6209">
      <w:pPr>
        <w:spacing w:after="120"/>
        <w:ind w:left="1134" w:hanging="567"/>
        <w:jc w:val="both"/>
        <w:rPr>
          <w:rFonts w:ascii="Garamond" w:hAnsi="Garamond"/>
          <w:bCs/>
          <w:sz w:val="22"/>
          <w:szCs w:val="22"/>
          <w:lang w:val="es-ES"/>
        </w:rPr>
      </w:pPr>
      <w:r w:rsidRPr="00D934B1">
        <w:rPr>
          <w:rFonts w:ascii="Garamond" w:hAnsi="Garamond"/>
          <w:bCs/>
          <w:sz w:val="22"/>
          <w:szCs w:val="22"/>
          <w:lang w:val="en-US"/>
        </w:rPr>
        <w:t xml:space="preserve">                                </w:t>
      </w:r>
      <w:r w:rsidRPr="00E750D0">
        <w:rPr>
          <w:rFonts w:ascii="Garamond" w:hAnsi="Garamond"/>
          <w:bCs/>
          <w:sz w:val="22"/>
          <w:szCs w:val="22"/>
          <w:lang w:val="es-ES"/>
        </w:rPr>
        <w:t>&lt;/podis:potentialTransformerInfo&gt;</w:t>
      </w:r>
    </w:p>
    <w:p w14:paraId="5584F66A" w14:textId="77777777" w:rsidR="00CE6209" w:rsidRPr="00E750D0" w:rsidRDefault="00CE6209" w:rsidP="00CE6209">
      <w:pPr>
        <w:spacing w:after="120"/>
        <w:ind w:left="1134" w:hanging="567"/>
        <w:jc w:val="both"/>
        <w:rPr>
          <w:rFonts w:ascii="Garamond" w:hAnsi="Garamond"/>
          <w:bCs/>
          <w:sz w:val="22"/>
          <w:szCs w:val="22"/>
          <w:lang w:val="es-ES"/>
        </w:rPr>
      </w:pPr>
      <w:r w:rsidRPr="00E750D0">
        <w:rPr>
          <w:rFonts w:ascii="Garamond" w:hAnsi="Garamond"/>
          <w:bCs/>
          <w:sz w:val="22"/>
          <w:szCs w:val="22"/>
          <w:lang w:val="es-ES"/>
        </w:rPr>
        <w:t xml:space="preserve">                            &lt;/podis:potentialTransformer&gt;</w:t>
      </w:r>
    </w:p>
    <w:p w14:paraId="68EE19E5" w14:textId="77777777" w:rsidR="00CE6209" w:rsidRPr="00E750D0" w:rsidRDefault="00CE6209" w:rsidP="00CE6209">
      <w:pPr>
        <w:spacing w:after="120"/>
        <w:ind w:left="1134" w:hanging="567"/>
        <w:jc w:val="both"/>
        <w:rPr>
          <w:rFonts w:ascii="Garamond" w:hAnsi="Garamond"/>
          <w:bCs/>
          <w:sz w:val="22"/>
          <w:szCs w:val="22"/>
          <w:lang w:val="es-ES"/>
        </w:rPr>
      </w:pPr>
      <w:r w:rsidRPr="00E750D0">
        <w:rPr>
          <w:rFonts w:ascii="Garamond" w:hAnsi="Garamond"/>
          <w:bCs/>
          <w:sz w:val="22"/>
          <w:szCs w:val="22"/>
          <w:lang w:val="es-ES"/>
        </w:rPr>
        <w:t xml:space="preserve">                            &lt;podis:potentialTransformer&gt;</w:t>
      </w:r>
    </w:p>
    <w:p w14:paraId="11645AC8" w14:textId="77777777" w:rsidR="00CE6209" w:rsidRPr="00E750D0" w:rsidRDefault="00CE6209" w:rsidP="00CE6209">
      <w:pPr>
        <w:spacing w:after="120"/>
        <w:ind w:left="1134" w:hanging="567"/>
        <w:jc w:val="both"/>
        <w:rPr>
          <w:rFonts w:ascii="Garamond" w:hAnsi="Garamond"/>
          <w:bCs/>
          <w:sz w:val="22"/>
          <w:szCs w:val="22"/>
          <w:lang w:val="es-ES"/>
        </w:rPr>
      </w:pPr>
      <w:r w:rsidRPr="00E750D0">
        <w:rPr>
          <w:rFonts w:ascii="Garamond" w:hAnsi="Garamond"/>
          <w:bCs/>
          <w:sz w:val="22"/>
          <w:szCs w:val="22"/>
          <w:lang w:val="es-ES"/>
        </w:rPr>
        <w:t xml:space="preserve">                                &lt;podis:mRID&gt;4bf7bd42-dae6-c6b9-b0ca-dc2ba9b2882d&lt;/podis:mRID&gt;</w:t>
      </w:r>
    </w:p>
    <w:p w14:paraId="51FB7668" w14:textId="77777777" w:rsidR="00CE6209" w:rsidRPr="00D934B1" w:rsidRDefault="00CE6209" w:rsidP="00CE6209">
      <w:pPr>
        <w:spacing w:after="120"/>
        <w:ind w:left="1134" w:hanging="567"/>
        <w:jc w:val="both"/>
        <w:rPr>
          <w:rFonts w:ascii="Garamond" w:hAnsi="Garamond"/>
          <w:bCs/>
          <w:sz w:val="22"/>
          <w:szCs w:val="22"/>
          <w:lang w:val="en-US"/>
        </w:rPr>
      </w:pPr>
      <w:r w:rsidRPr="00E750D0">
        <w:rPr>
          <w:rFonts w:ascii="Garamond" w:hAnsi="Garamond"/>
          <w:bCs/>
          <w:sz w:val="22"/>
          <w:szCs w:val="22"/>
          <w:lang w:val="es-ES"/>
        </w:rPr>
        <w:t xml:space="preserve">                                </w:t>
      </w:r>
      <w:r w:rsidRPr="00D934B1">
        <w:rPr>
          <w:rFonts w:ascii="Garamond" w:hAnsi="Garamond"/>
          <w:bCs/>
          <w:sz w:val="22"/>
          <w:szCs w:val="22"/>
          <w:lang w:val="en-US"/>
        </w:rPr>
        <w:t>&lt;podis:serialNumber&gt;1670&lt;/podis:serialNumber&gt;</w:t>
      </w:r>
    </w:p>
    <w:p w14:paraId="36FA661F" w14:textId="77777777" w:rsidR="00CE6209" w:rsidRPr="00D934B1" w:rsidRDefault="00CE6209" w:rsidP="00CE6209">
      <w:pPr>
        <w:spacing w:after="120"/>
        <w:ind w:left="1134" w:hanging="567"/>
        <w:jc w:val="both"/>
        <w:rPr>
          <w:rFonts w:ascii="Garamond" w:hAnsi="Garamond"/>
          <w:bCs/>
          <w:sz w:val="22"/>
          <w:szCs w:val="22"/>
          <w:lang w:val="en-US"/>
        </w:rPr>
      </w:pPr>
      <w:r w:rsidRPr="00D934B1">
        <w:rPr>
          <w:rFonts w:ascii="Garamond" w:hAnsi="Garamond"/>
          <w:bCs/>
          <w:sz w:val="22"/>
          <w:szCs w:val="22"/>
          <w:lang w:val="en-US"/>
        </w:rPr>
        <w:t xml:space="preserve">                                &lt;podis:customAttributes&gt;</w:t>
      </w:r>
    </w:p>
    <w:p w14:paraId="3F2C9425" w14:textId="77777777" w:rsidR="00CE6209" w:rsidRPr="00D934B1" w:rsidRDefault="00CE6209" w:rsidP="00CE6209">
      <w:pPr>
        <w:spacing w:after="120"/>
        <w:ind w:left="1134" w:hanging="567"/>
        <w:jc w:val="both"/>
        <w:rPr>
          <w:rFonts w:ascii="Garamond" w:hAnsi="Garamond"/>
          <w:bCs/>
          <w:sz w:val="22"/>
          <w:szCs w:val="22"/>
          <w:lang w:val="en-US"/>
        </w:rPr>
      </w:pPr>
      <w:r w:rsidRPr="00D934B1">
        <w:rPr>
          <w:rFonts w:ascii="Garamond" w:hAnsi="Garamond"/>
          <w:bCs/>
          <w:sz w:val="22"/>
          <w:szCs w:val="22"/>
          <w:lang w:val="en-US"/>
        </w:rPr>
        <w:t xml:space="preserve">                                    &lt;podis:name&gt;assetOwnerKind&lt;/podis:name&gt;</w:t>
      </w:r>
    </w:p>
    <w:p w14:paraId="2C3C23F6" w14:textId="77777777" w:rsidR="00CE6209" w:rsidRPr="00D934B1" w:rsidRDefault="00CE6209" w:rsidP="00CE6209">
      <w:pPr>
        <w:spacing w:after="120"/>
        <w:ind w:left="1134" w:hanging="567"/>
        <w:jc w:val="both"/>
        <w:rPr>
          <w:rFonts w:ascii="Garamond" w:hAnsi="Garamond"/>
          <w:bCs/>
          <w:sz w:val="22"/>
          <w:szCs w:val="22"/>
          <w:lang w:val="en-US"/>
        </w:rPr>
      </w:pPr>
      <w:r w:rsidRPr="00D934B1">
        <w:rPr>
          <w:rFonts w:ascii="Garamond" w:hAnsi="Garamond"/>
          <w:bCs/>
          <w:sz w:val="22"/>
          <w:szCs w:val="22"/>
          <w:lang w:val="en-US"/>
        </w:rPr>
        <w:lastRenderedPageBreak/>
        <w:t xml:space="preserve">                                    &lt;podis:value&gt;tso_or_gp&lt;/podis:value&gt;</w:t>
      </w:r>
    </w:p>
    <w:p w14:paraId="1A3C6A03" w14:textId="77777777" w:rsidR="00CE6209" w:rsidRPr="00D934B1" w:rsidRDefault="00CE6209" w:rsidP="00CE6209">
      <w:pPr>
        <w:spacing w:after="120"/>
        <w:ind w:left="1134" w:hanging="567"/>
        <w:jc w:val="both"/>
        <w:rPr>
          <w:rFonts w:ascii="Garamond" w:hAnsi="Garamond"/>
          <w:bCs/>
          <w:sz w:val="22"/>
          <w:szCs w:val="22"/>
          <w:lang w:val="en-US"/>
        </w:rPr>
      </w:pPr>
      <w:r w:rsidRPr="00D934B1">
        <w:rPr>
          <w:rFonts w:ascii="Garamond" w:hAnsi="Garamond"/>
          <w:bCs/>
          <w:sz w:val="22"/>
          <w:szCs w:val="22"/>
          <w:lang w:val="en-US"/>
        </w:rPr>
        <w:t xml:space="preserve">                                &lt;/podis:customAttributes&gt;</w:t>
      </w:r>
    </w:p>
    <w:p w14:paraId="1ABBC02C" w14:textId="77777777" w:rsidR="00CE6209" w:rsidRPr="00D934B1" w:rsidRDefault="00CE6209" w:rsidP="00CE6209">
      <w:pPr>
        <w:spacing w:after="120"/>
        <w:ind w:left="1134" w:hanging="567"/>
        <w:jc w:val="both"/>
        <w:rPr>
          <w:rFonts w:ascii="Garamond" w:hAnsi="Garamond"/>
          <w:bCs/>
          <w:sz w:val="22"/>
          <w:szCs w:val="22"/>
          <w:lang w:val="en-US"/>
        </w:rPr>
      </w:pPr>
      <w:r w:rsidRPr="00D934B1">
        <w:rPr>
          <w:rFonts w:ascii="Garamond" w:hAnsi="Garamond"/>
          <w:bCs/>
          <w:sz w:val="22"/>
          <w:szCs w:val="22"/>
          <w:lang w:val="en-US"/>
        </w:rPr>
        <w:t xml:space="preserve">                                &lt;podis:lifeCycleDate&gt;</w:t>
      </w:r>
    </w:p>
    <w:p w14:paraId="2FC80B9C" w14:textId="77777777" w:rsidR="00CE6209" w:rsidRPr="00D934B1" w:rsidRDefault="00CE6209" w:rsidP="00CE6209">
      <w:pPr>
        <w:spacing w:after="120"/>
        <w:ind w:left="1134" w:hanging="567"/>
        <w:jc w:val="both"/>
        <w:rPr>
          <w:rFonts w:ascii="Garamond" w:hAnsi="Garamond"/>
          <w:bCs/>
          <w:sz w:val="22"/>
          <w:szCs w:val="22"/>
          <w:lang w:val="en-US"/>
        </w:rPr>
      </w:pPr>
      <w:r w:rsidRPr="00D934B1">
        <w:rPr>
          <w:rFonts w:ascii="Garamond" w:hAnsi="Garamond"/>
          <w:bCs/>
          <w:sz w:val="22"/>
          <w:szCs w:val="22"/>
          <w:lang w:val="en-US"/>
        </w:rPr>
        <w:t xml:space="preserve">                                    &lt;podis:nextDateValid&gt;2025-04-19&lt;/podis:nextDateValid&gt;</w:t>
      </w:r>
    </w:p>
    <w:p w14:paraId="28723F48" w14:textId="77777777" w:rsidR="00CE6209" w:rsidRPr="00E750D0" w:rsidRDefault="00CE6209" w:rsidP="00CE6209">
      <w:pPr>
        <w:spacing w:after="120"/>
        <w:ind w:left="1134" w:hanging="567"/>
        <w:jc w:val="both"/>
        <w:rPr>
          <w:rFonts w:ascii="Garamond" w:hAnsi="Garamond"/>
          <w:bCs/>
          <w:sz w:val="22"/>
          <w:szCs w:val="22"/>
          <w:lang w:val="es-ES"/>
        </w:rPr>
      </w:pPr>
      <w:r w:rsidRPr="00D934B1">
        <w:rPr>
          <w:rFonts w:ascii="Garamond" w:hAnsi="Garamond"/>
          <w:bCs/>
          <w:sz w:val="22"/>
          <w:szCs w:val="22"/>
          <w:lang w:val="en-US"/>
        </w:rPr>
        <w:t xml:space="preserve">                                </w:t>
      </w:r>
      <w:r w:rsidRPr="00E750D0">
        <w:rPr>
          <w:rFonts w:ascii="Garamond" w:hAnsi="Garamond"/>
          <w:bCs/>
          <w:sz w:val="22"/>
          <w:szCs w:val="22"/>
          <w:lang w:val="es-ES"/>
        </w:rPr>
        <w:t>&lt;/podis:lifeCycleDate&gt;</w:t>
      </w:r>
    </w:p>
    <w:p w14:paraId="41F27E4E" w14:textId="77777777" w:rsidR="00CE6209" w:rsidRPr="00E750D0" w:rsidRDefault="00CE6209" w:rsidP="00CE6209">
      <w:pPr>
        <w:spacing w:after="120"/>
        <w:ind w:left="1134" w:hanging="567"/>
        <w:jc w:val="both"/>
        <w:rPr>
          <w:rFonts w:ascii="Garamond" w:hAnsi="Garamond"/>
          <w:bCs/>
          <w:sz w:val="22"/>
          <w:szCs w:val="22"/>
          <w:lang w:val="es-ES"/>
        </w:rPr>
      </w:pPr>
      <w:r w:rsidRPr="00E750D0">
        <w:rPr>
          <w:rFonts w:ascii="Garamond" w:hAnsi="Garamond"/>
          <w:bCs/>
          <w:sz w:val="22"/>
          <w:szCs w:val="22"/>
          <w:lang w:val="es-ES"/>
        </w:rPr>
        <w:t xml:space="preserve">                                &lt;podis:potentialTransformerInfo&gt;</w:t>
      </w:r>
    </w:p>
    <w:p w14:paraId="0EE44550" w14:textId="77777777" w:rsidR="00CE6209" w:rsidRPr="00E750D0" w:rsidRDefault="00CE6209" w:rsidP="00CE6209">
      <w:pPr>
        <w:spacing w:after="120"/>
        <w:ind w:left="1134" w:hanging="567"/>
        <w:jc w:val="both"/>
        <w:rPr>
          <w:rFonts w:ascii="Garamond" w:hAnsi="Garamond"/>
          <w:bCs/>
          <w:sz w:val="22"/>
          <w:szCs w:val="22"/>
          <w:lang w:val="es-ES"/>
        </w:rPr>
      </w:pPr>
      <w:r w:rsidRPr="00E750D0">
        <w:rPr>
          <w:rFonts w:ascii="Garamond" w:hAnsi="Garamond"/>
          <w:bCs/>
          <w:sz w:val="22"/>
          <w:szCs w:val="22"/>
          <w:lang w:val="es-ES"/>
        </w:rPr>
        <w:t xml:space="preserve">                                    &lt;podis:mRID&gt;4aa7f49e-d9b0-eaea-ea2f-9b8bcdb9a495&lt;/podis:mRID&gt;</w:t>
      </w:r>
    </w:p>
    <w:p w14:paraId="6643D2C5" w14:textId="77777777" w:rsidR="00CE6209" w:rsidRPr="00D934B1" w:rsidRDefault="00CE6209" w:rsidP="00CE6209">
      <w:pPr>
        <w:spacing w:after="120"/>
        <w:ind w:left="1134" w:hanging="567"/>
        <w:jc w:val="both"/>
        <w:rPr>
          <w:rFonts w:ascii="Garamond" w:hAnsi="Garamond"/>
          <w:bCs/>
          <w:sz w:val="22"/>
          <w:szCs w:val="22"/>
          <w:lang w:val="en-US"/>
        </w:rPr>
      </w:pPr>
      <w:r w:rsidRPr="00E750D0">
        <w:rPr>
          <w:rFonts w:ascii="Garamond" w:hAnsi="Garamond"/>
          <w:bCs/>
          <w:sz w:val="22"/>
          <w:szCs w:val="22"/>
          <w:lang w:val="es-ES"/>
        </w:rPr>
        <w:t xml:space="preserve">                                    </w:t>
      </w:r>
      <w:r w:rsidRPr="00D934B1">
        <w:rPr>
          <w:rFonts w:ascii="Garamond" w:hAnsi="Garamond"/>
          <w:bCs/>
          <w:sz w:val="22"/>
          <w:szCs w:val="22"/>
          <w:lang w:val="en-US"/>
        </w:rPr>
        <w:t>&lt;podis:modelNumber&gt;</w:t>
      </w:r>
      <w:r w:rsidRPr="00D934B1">
        <w:rPr>
          <w:rFonts w:ascii="Garamond" w:hAnsi="Garamond"/>
          <w:bCs/>
          <w:sz w:val="22"/>
          <w:szCs w:val="22"/>
        </w:rPr>
        <w:t>НОЛ</w:t>
      </w:r>
      <w:r w:rsidRPr="00D934B1">
        <w:rPr>
          <w:rFonts w:ascii="Garamond" w:hAnsi="Garamond"/>
          <w:bCs/>
          <w:sz w:val="22"/>
          <w:szCs w:val="22"/>
          <w:lang w:val="en-US"/>
        </w:rPr>
        <w:t>&lt;/podis:modelNumber&gt;</w:t>
      </w:r>
    </w:p>
    <w:p w14:paraId="52F9BF0F" w14:textId="77777777" w:rsidR="00CE6209" w:rsidRPr="00D934B1" w:rsidRDefault="00CE6209" w:rsidP="00CE6209">
      <w:pPr>
        <w:spacing w:after="120"/>
        <w:ind w:left="1134" w:hanging="567"/>
        <w:jc w:val="both"/>
        <w:rPr>
          <w:rFonts w:ascii="Garamond" w:hAnsi="Garamond"/>
          <w:bCs/>
          <w:sz w:val="22"/>
          <w:szCs w:val="22"/>
          <w:lang w:val="en-US"/>
        </w:rPr>
      </w:pPr>
      <w:r w:rsidRPr="00D934B1">
        <w:rPr>
          <w:rFonts w:ascii="Garamond" w:hAnsi="Garamond"/>
          <w:bCs/>
          <w:sz w:val="22"/>
          <w:szCs w:val="22"/>
          <w:lang w:val="en-US"/>
        </w:rPr>
        <w:t xml:space="preserve">                                    &lt;podis:customAttributes&gt;</w:t>
      </w:r>
    </w:p>
    <w:p w14:paraId="52238714" w14:textId="77777777" w:rsidR="00CE6209" w:rsidRPr="00D934B1" w:rsidRDefault="00CE6209" w:rsidP="00CE6209">
      <w:pPr>
        <w:spacing w:after="120"/>
        <w:ind w:left="1134" w:hanging="567"/>
        <w:jc w:val="both"/>
        <w:rPr>
          <w:rFonts w:ascii="Garamond" w:hAnsi="Garamond"/>
          <w:bCs/>
          <w:sz w:val="22"/>
          <w:szCs w:val="22"/>
          <w:lang w:val="en-US"/>
        </w:rPr>
      </w:pPr>
      <w:r w:rsidRPr="00D934B1">
        <w:rPr>
          <w:rFonts w:ascii="Garamond" w:hAnsi="Garamond"/>
          <w:bCs/>
          <w:sz w:val="22"/>
          <w:szCs w:val="22"/>
          <w:lang w:val="en-US"/>
        </w:rPr>
        <w:t xml:space="preserve">                                        &lt;podis:name&gt;RatedLoad&lt;/podis:name&gt;</w:t>
      </w:r>
    </w:p>
    <w:p w14:paraId="3801E1EF" w14:textId="77777777" w:rsidR="00CE6209" w:rsidRPr="00D934B1" w:rsidRDefault="00CE6209" w:rsidP="00CE6209">
      <w:pPr>
        <w:spacing w:after="120"/>
        <w:ind w:left="1134" w:hanging="567"/>
        <w:jc w:val="both"/>
        <w:rPr>
          <w:rFonts w:ascii="Garamond" w:hAnsi="Garamond"/>
          <w:bCs/>
          <w:sz w:val="22"/>
          <w:szCs w:val="22"/>
          <w:lang w:val="en-US"/>
        </w:rPr>
      </w:pPr>
      <w:r w:rsidRPr="00D934B1">
        <w:rPr>
          <w:rFonts w:ascii="Garamond" w:hAnsi="Garamond"/>
          <w:bCs/>
          <w:sz w:val="22"/>
          <w:szCs w:val="22"/>
          <w:lang w:val="en-US"/>
        </w:rPr>
        <w:t xml:space="preserve">                                        &lt;podis:value&gt;100&lt;/podis:value&gt;</w:t>
      </w:r>
    </w:p>
    <w:p w14:paraId="3B45553B" w14:textId="77777777" w:rsidR="00CE6209" w:rsidRPr="00D934B1" w:rsidRDefault="00CE6209" w:rsidP="00CE6209">
      <w:pPr>
        <w:spacing w:after="120"/>
        <w:ind w:left="1134" w:hanging="567"/>
        <w:jc w:val="both"/>
        <w:rPr>
          <w:rFonts w:ascii="Garamond" w:hAnsi="Garamond"/>
          <w:bCs/>
          <w:sz w:val="22"/>
          <w:szCs w:val="22"/>
          <w:lang w:val="en-US"/>
        </w:rPr>
      </w:pPr>
      <w:r w:rsidRPr="00D934B1">
        <w:rPr>
          <w:rFonts w:ascii="Garamond" w:hAnsi="Garamond"/>
          <w:bCs/>
          <w:sz w:val="22"/>
          <w:szCs w:val="22"/>
          <w:lang w:val="en-US"/>
        </w:rPr>
        <w:t xml:space="preserve">                                    &lt;/podis:customAttributes&gt;</w:t>
      </w:r>
    </w:p>
    <w:p w14:paraId="6DE3963E" w14:textId="77777777" w:rsidR="00CE6209" w:rsidRPr="00E750D0" w:rsidRDefault="00CE6209" w:rsidP="00CE6209">
      <w:pPr>
        <w:spacing w:after="120"/>
        <w:ind w:left="1134" w:hanging="567"/>
        <w:jc w:val="both"/>
        <w:rPr>
          <w:rFonts w:ascii="Garamond" w:hAnsi="Garamond"/>
          <w:bCs/>
          <w:sz w:val="22"/>
          <w:szCs w:val="22"/>
          <w:lang w:val="es-ES"/>
        </w:rPr>
      </w:pPr>
      <w:r w:rsidRPr="00D934B1">
        <w:rPr>
          <w:rFonts w:ascii="Garamond" w:hAnsi="Garamond"/>
          <w:bCs/>
          <w:sz w:val="22"/>
          <w:szCs w:val="22"/>
          <w:lang w:val="en-US"/>
        </w:rPr>
        <w:t xml:space="preserve">                                    </w:t>
      </w:r>
      <w:r w:rsidRPr="00E750D0">
        <w:rPr>
          <w:rFonts w:ascii="Garamond" w:hAnsi="Garamond"/>
          <w:bCs/>
          <w:sz w:val="22"/>
          <w:szCs w:val="22"/>
          <w:lang w:val="es-ES"/>
        </w:rPr>
        <w:t>&lt;podis:nominalRatio&gt;</w:t>
      </w:r>
    </w:p>
    <w:p w14:paraId="4F07B23F" w14:textId="77777777" w:rsidR="00CE6209" w:rsidRPr="00E750D0" w:rsidRDefault="00CE6209" w:rsidP="00CE6209">
      <w:pPr>
        <w:spacing w:after="120"/>
        <w:ind w:left="1134" w:hanging="567"/>
        <w:jc w:val="both"/>
        <w:rPr>
          <w:rFonts w:ascii="Garamond" w:hAnsi="Garamond"/>
          <w:bCs/>
          <w:sz w:val="22"/>
          <w:szCs w:val="22"/>
          <w:lang w:val="es-ES"/>
        </w:rPr>
      </w:pPr>
      <w:r w:rsidRPr="00E750D0">
        <w:rPr>
          <w:rFonts w:ascii="Garamond" w:hAnsi="Garamond"/>
          <w:bCs/>
          <w:sz w:val="22"/>
          <w:szCs w:val="22"/>
          <w:lang w:val="es-ES"/>
        </w:rPr>
        <w:t xml:space="preserve">                                        &lt;podis:denominator&gt;100&lt;/podis:denominator&gt;</w:t>
      </w:r>
    </w:p>
    <w:p w14:paraId="754E001D" w14:textId="77777777" w:rsidR="00CE6209" w:rsidRPr="00E750D0" w:rsidRDefault="00CE6209" w:rsidP="00CE6209">
      <w:pPr>
        <w:spacing w:after="120"/>
        <w:ind w:left="1134" w:hanging="567"/>
        <w:jc w:val="both"/>
        <w:rPr>
          <w:rFonts w:ascii="Garamond" w:hAnsi="Garamond"/>
          <w:bCs/>
          <w:sz w:val="22"/>
          <w:szCs w:val="22"/>
          <w:lang w:val="es-ES"/>
        </w:rPr>
      </w:pPr>
      <w:r w:rsidRPr="00E750D0">
        <w:rPr>
          <w:rFonts w:ascii="Garamond" w:hAnsi="Garamond"/>
          <w:bCs/>
          <w:sz w:val="22"/>
          <w:szCs w:val="22"/>
          <w:lang w:val="es-ES"/>
        </w:rPr>
        <w:t xml:space="preserve">                                        &lt;podis:numerator&gt;10000&lt;/podis:numerator&gt;</w:t>
      </w:r>
    </w:p>
    <w:p w14:paraId="4C674196" w14:textId="77777777" w:rsidR="00CE6209" w:rsidRPr="00E750D0" w:rsidRDefault="00CE6209" w:rsidP="00CE6209">
      <w:pPr>
        <w:spacing w:after="120"/>
        <w:ind w:left="1134" w:hanging="567"/>
        <w:jc w:val="both"/>
        <w:rPr>
          <w:rFonts w:ascii="Garamond" w:hAnsi="Garamond"/>
          <w:bCs/>
          <w:sz w:val="22"/>
          <w:szCs w:val="22"/>
          <w:lang w:val="es-ES"/>
        </w:rPr>
      </w:pPr>
      <w:r w:rsidRPr="00E750D0">
        <w:rPr>
          <w:rFonts w:ascii="Garamond" w:hAnsi="Garamond"/>
          <w:bCs/>
          <w:sz w:val="22"/>
          <w:szCs w:val="22"/>
          <w:lang w:val="es-ES"/>
        </w:rPr>
        <w:t xml:space="preserve">                                    &lt;/podis:nominalRatio&gt;</w:t>
      </w:r>
    </w:p>
    <w:p w14:paraId="304BE472" w14:textId="77777777" w:rsidR="00CE6209" w:rsidRPr="00D934B1" w:rsidRDefault="00CE6209" w:rsidP="00CE6209">
      <w:pPr>
        <w:spacing w:after="120"/>
        <w:ind w:left="1134" w:hanging="567"/>
        <w:jc w:val="both"/>
        <w:rPr>
          <w:rFonts w:ascii="Garamond" w:hAnsi="Garamond"/>
          <w:bCs/>
          <w:sz w:val="22"/>
          <w:szCs w:val="22"/>
          <w:lang w:val="en-US"/>
        </w:rPr>
      </w:pPr>
      <w:r w:rsidRPr="00E750D0">
        <w:rPr>
          <w:rFonts w:ascii="Garamond" w:hAnsi="Garamond"/>
          <w:bCs/>
          <w:sz w:val="22"/>
          <w:szCs w:val="22"/>
          <w:lang w:val="es-ES"/>
        </w:rPr>
        <w:t xml:space="preserve">                                    </w:t>
      </w:r>
      <w:r w:rsidRPr="00D934B1">
        <w:rPr>
          <w:rFonts w:ascii="Garamond" w:hAnsi="Garamond"/>
          <w:bCs/>
          <w:sz w:val="22"/>
          <w:szCs w:val="22"/>
          <w:lang w:val="en-US"/>
        </w:rPr>
        <w:t>&lt;podis:accuracyClass&gt;0.5&lt;/podis:accuracyClass&gt;</w:t>
      </w:r>
    </w:p>
    <w:p w14:paraId="6A87B1CB" w14:textId="77777777" w:rsidR="00CE6209" w:rsidRPr="00D934B1" w:rsidRDefault="00CE6209" w:rsidP="00CE6209">
      <w:pPr>
        <w:spacing w:after="120"/>
        <w:ind w:left="1134" w:hanging="567"/>
        <w:jc w:val="both"/>
        <w:rPr>
          <w:rFonts w:ascii="Garamond" w:hAnsi="Garamond"/>
          <w:bCs/>
          <w:sz w:val="22"/>
          <w:szCs w:val="22"/>
          <w:lang w:val="en-US"/>
        </w:rPr>
      </w:pPr>
      <w:r w:rsidRPr="00D934B1">
        <w:rPr>
          <w:rFonts w:ascii="Garamond" w:hAnsi="Garamond"/>
          <w:bCs/>
          <w:sz w:val="22"/>
          <w:szCs w:val="22"/>
          <w:lang w:val="en-US"/>
        </w:rPr>
        <w:t xml:space="preserve">                                    &lt;podis:regNumber&gt;66629-17&lt;/podis:regNumber&gt;</w:t>
      </w:r>
    </w:p>
    <w:p w14:paraId="72BCA46A" w14:textId="77777777" w:rsidR="00CE6209" w:rsidRPr="00E750D0" w:rsidRDefault="00CE6209" w:rsidP="00CE6209">
      <w:pPr>
        <w:spacing w:after="120"/>
        <w:ind w:left="1134" w:hanging="567"/>
        <w:jc w:val="both"/>
        <w:rPr>
          <w:rFonts w:ascii="Garamond" w:hAnsi="Garamond"/>
          <w:bCs/>
          <w:sz w:val="22"/>
          <w:szCs w:val="22"/>
          <w:lang w:val="es-ES"/>
        </w:rPr>
      </w:pPr>
      <w:r w:rsidRPr="00D934B1">
        <w:rPr>
          <w:rFonts w:ascii="Garamond" w:hAnsi="Garamond"/>
          <w:bCs/>
          <w:sz w:val="22"/>
          <w:szCs w:val="22"/>
          <w:lang w:val="en-US"/>
        </w:rPr>
        <w:t xml:space="preserve">                                </w:t>
      </w:r>
      <w:r w:rsidRPr="00E750D0">
        <w:rPr>
          <w:rFonts w:ascii="Garamond" w:hAnsi="Garamond"/>
          <w:bCs/>
          <w:sz w:val="22"/>
          <w:szCs w:val="22"/>
          <w:lang w:val="es-ES"/>
        </w:rPr>
        <w:t>&lt;/podis:potentialTransformerInfo&gt;</w:t>
      </w:r>
    </w:p>
    <w:p w14:paraId="49FC7762" w14:textId="77777777" w:rsidR="00CE6209" w:rsidRPr="00E750D0" w:rsidRDefault="00CE6209" w:rsidP="00CE6209">
      <w:pPr>
        <w:spacing w:after="120"/>
        <w:ind w:left="1134" w:hanging="567"/>
        <w:jc w:val="both"/>
        <w:rPr>
          <w:rFonts w:ascii="Garamond" w:hAnsi="Garamond"/>
          <w:bCs/>
          <w:sz w:val="22"/>
          <w:szCs w:val="22"/>
          <w:lang w:val="es-ES"/>
        </w:rPr>
      </w:pPr>
      <w:r w:rsidRPr="00E750D0">
        <w:rPr>
          <w:rFonts w:ascii="Garamond" w:hAnsi="Garamond"/>
          <w:bCs/>
          <w:sz w:val="22"/>
          <w:szCs w:val="22"/>
          <w:lang w:val="es-ES"/>
        </w:rPr>
        <w:t xml:space="preserve">                            &lt;/podis:potentialTransformer&gt;</w:t>
      </w:r>
    </w:p>
    <w:p w14:paraId="757CD49F" w14:textId="77777777" w:rsidR="00CE6209" w:rsidRPr="00E750D0" w:rsidRDefault="00CE6209" w:rsidP="00CE6209">
      <w:pPr>
        <w:spacing w:after="120"/>
        <w:ind w:left="1134" w:hanging="567"/>
        <w:jc w:val="both"/>
        <w:rPr>
          <w:rFonts w:ascii="Garamond" w:hAnsi="Garamond"/>
          <w:bCs/>
          <w:sz w:val="22"/>
          <w:szCs w:val="22"/>
          <w:lang w:val="es-ES"/>
        </w:rPr>
      </w:pPr>
      <w:r w:rsidRPr="00E750D0">
        <w:rPr>
          <w:rFonts w:ascii="Garamond" w:hAnsi="Garamond"/>
          <w:bCs/>
          <w:sz w:val="22"/>
          <w:szCs w:val="22"/>
          <w:lang w:val="es-ES"/>
        </w:rPr>
        <w:t xml:space="preserve">                        &lt;/podis:equipments&gt;</w:t>
      </w:r>
    </w:p>
    <w:p w14:paraId="50F5D8CA" w14:textId="77777777" w:rsidR="00CE6209" w:rsidRPr="00D934B1" w:rsidRDefault="00CE6209" w:rsidP="00CE6209">
      <w:pPr>
        <w:spacing w:after="120"/>
        <w:ind w:left="1134" w:hanging="567"/>
        <w:jc w:val="both"/>
        <w:rPr>
          <w:rFonts w:ascii="Garamond" w:hAnsi="Garamond"/>
          <w:bCs/>
          <w:sz w:val="22"/>
          <w:szCs w:val="22"/>
          <w:lang w:val="en-US"/>
        </w:rPr>
      </w:pPr>
      <w:r w:rsidRPr="00E750D0">
        <w:rPr>
          <w:rFonts w:ascii="Garamond" w:hAnsi="Garamond"/>
          <w:bCs/>
          <w:sz w:val="22"/>
          <w:szCs w:val="22"/>
          <w:lang w:val="es-ES"/>
        </w:rPr>
        <w:t xml:space="preserve">                    </w:t>
      </w:r>
      <w:r w:rsidRPr="00D934B1">
        <w:rPr>
          <w:rFonts w:ascii="Garamond" w:hAnsi="Garamond"/>
          <w:bCs/>
          <w:sz w:val="22"/>
          <w:szCs w:val="22"/>
          <w:lang w:val="en-US"/>
        </w:rPr>
        <w:t>&lt;/podis:accountPointRole&gt;</w:t>
      </w:r>
    </w:p>
    <w:p w14:paraId="028A8F22" w14:textId="77777777" w:rsidR="00CE6209" w:rsidRPr="00D934B1" w:rsidRDefault="00CE6209" w:rsidP="00CE6209">
      <w:pPr>
        <w:spacing w:after="120"/>
        <w:ind w:left="1134" w:hanging="567"/>
        <w:jc w:val="both"/>
        <w:rPr>
          <w:rFonts w:ascii="Garamond" w:hAnsi="Garamond"/>
          <w:bCs/>
          <w:sz w:val="22"/>
          <w:szCs w:val="22"/>
          <w:lang w:val="en-US"/>
        </w:rPr>
      </w:pPr>
      <w:r w:rsidRPr="00D934B1">
        <w:rPr>
          <w:rFonts w:ascii="Garamond" w:hAnsi="Garamond"/>
          <w:bCs/>
          <w:sz w:val="22"/>
          <w:szCs w:val="22"/>
          <w:lang w:val="en-US"/>
        </w:rPr>
        <w:t xml:space="preserve">                &lt;/podis:usagePoint&gt;</w:t>
      </w:r>
    </w:p>
    <w:p w14:paraId="18A1C559" w14:textId="77777777" w:rsidR="00CE6209" w:rsidRPr="00D934B1" w:rsidRDefault="00CE6209" w:rsidP="00CE6209">
      <w:pPr>
        <w:spacing w:after="120"/>
        <w:ind w:left="1134" w:hanging="567"/>
        <w:jc w:val="both"/>
        <w:rPr>
          <w:rFonts w:ascii="Garamond" w:hAnsi="Garamond"/>
          <w:bCs/>
          <w:sz w:val="22"/>
          <w:szCs w:val="22"/>
          <w:lang w:val="en-US"/>
        </w:rPr>
      </w:pPr>
      <w:r w:rsidRPr="00D934B1">
        <w:rPr>
          <w:rFonts w:ascii="Garamond" w:hAnsi="Garamond"/>
          <w:bCs/>
          <w:sz w:val="22"/>
          <w:szCs w:val="22"/>
          <w:lang w:val="en-US"/>
        </w:rPr>
        <w:t xml:space="preserve">            &lt;/podis:usagePoints&gt;</w:t>
      </w:r>
    </w:p>
    <w:p w14:paraId="111CB171" w14:textId="77777777" w:rsidR="00CE6209" w:rsidRPr="00E750D0" w:rsidRDefault="00CE6209" w:rsidP="00CE6209">
      <w:pPr>
        <w:spacing w:after="120"/>
        <w:ind w:left="1134" w:hanging="567"/>
        <w:jc w:val="both"/>
        <w:rPr>
          <w:rFonts w:ascii="Garamond" w:hAnsi="Garamond"/>
          <w:bCs/>
          <w:sz w:val="22"/>
          <w:szCs w:val="22"/>
          <w:lang w:val="es-ES"/>
        </w:rPr>
      </w:pPr>
      <w:r w:rsidRPr="00D934B1">
        <w:rPr>
          <w:rFonts w:ascii="Garamond" w:hAnsi="Garamond"/>
          <w:bCs/>
          <w:sz w:val="22"/>
          <w:szCs w:val="22"/>
          <w:lang w:val="en-US"/>
        </w:rPr>
        <w:t xml:space="preserve">        </w:t>
      </w:r>
      <w:r w:rsidRPr="00E750D0">
        <w:rPr>
          <w:rFonts w:ascii="Garamond" w:hAnsi="Garamond"/>
          <w:bCs/>
          <w:sz w:val="22"/>
          <w:szCs w:val="22"/>
          <w:lang w:val="es-ES"/>
        </w:rPr>
        <w:t>&lt;/podis:AMIConfig&gt;</w:t>
      </w:r>
    </w:p>
    <w:p w14:paraId="14CFF8D2" w14:textId="77777777" w:rsidR="00CE6209" w:rsidRPr="00E750D0" w:rsidRDefault="00CE6209" w:rsidP="00CE6209">
      <w:pPr>
        <w:spacing w:after="120"/>
        <w:ind w:left="1134" w:hanging="567"/>
        <w:jc w:val="both"/>
        <w:rPr>
          <w:rFonts w:ascii="Garamond" w:hAnsi="Garamond"/>
          <w:bCs/>
          <w:sz w:val="22"/>
          <w:szCs w:val="22"/>
          <w:lang w:val="es-ES"/>
        </w:rPr>
      </w:pPr>
      <w:r w:rsidRPr="00E750D0">
        <w:rPr>
          <w:rFonts w:ascii="Garamond" w:hAnsi="Garamond"/>
          <w:bCs/>
          <w:sz w:val="22"/>
          <w:szCs w:val="22"/>
          <w:lang w:val="es-ES"/>
        </w:rPr>
        <w:t xml:space="preserve">    &lt;/podis:Payload&gt;</w:t>
      </w:r>
    </w:p>
    <w:p w14:paraId="09894FAF" w14:textId="77777777" w:rsidR="00CE6209" w:rsidRPr="00E750D0" w:rsidRDefault="00CE6209" w:rsidP="00CE6209">
      <w:pPr>
        <w:spacing w:after="240"/>
        <w:ind w:left="1134" w:hanging="567"/>
        <w:jc w:val="both"/>
        <w:rPr>
          <w:rFonts w:ascii="Garamond" w:hAnsi="Garamond"/>
          <w:bCs/>
          <w:sz w:val="22"/>
          <w:szCs w:val="22"/>
          <w:lang w:val="es-ES"/>
        </w:rPr>
      </w:pPr>
      <w:r w:rsidRPr="00E750D0">
        <w:rPr>
          <w:rFonts w:ascii="Garamond" w:hAnsi="Garamond"/>
          <w:bCs/>
          <w:sz w:val="22"/>
          <w:szCs w:val="22"/>
          <w:lang w:val="es-ES"/>
        </w:rPr>
        <w:t>&lt;/podis:Request&gt;</w:t>
      </w:r>
    </w:p>
    <w:p w14:paraId="73C2934F" w14:textId="77777777" w:rsidR="00CD79E4" w:rsidRPr="00E750D0" w:rsidRDefault="00CD79E4" w:rsidP="00CE6209">
      <w:pPr>
        <w:spacing w:before="240" w:after="240"/>
        <w:jc w:val="center"/>
        <w:rPr>
          <w:rFonts w:ascii="Garamond" w:hAnsi="Garamond"/>
          <w:b/>
          <w:sz w:val="22"/>
          <w:szCs w:val="22"/>
          <w:lang w:val="es-ES"/>
        </w:rPr>
        <w:sectPr w:rsidR="00CD79E4" w:rsidRPr="00E750D0" w:rsidSect="00CE6209">
          <w:pgSz w:w="11906" w:h="16838"/>
          <w:pgMar w:top="964" w:right="851" w:bottom="964" w:left="1276" w:header="709" w:footer="709" w:gutter="0"/>
          <w:cols w:space="708"/>
          <w:docGrid w:linePitch="360"/>
        </w:sectPr>
      </w:pPr>
    </w:p>
    <w:p w14:paraId="0A9A3A62" w14:textId="77777777" w:rsidR="00F91CA6" w:rsidRPr="00D934B1" w:rsidRDefault="00F91CA6" w:rsidP="00D934B1">
      <w:pPr>
        <w:spacing w:before="120" w:after="120"/>
        <w:rPr>
          <w:rFonts w:ascii="Garamond" w:hAnsi="Garamond"/>
          <w:b/>
          <w:sz w:val="22"/>
          <w:szCs w:val="22"/>
        </w:rPr>
      </w:pPr>
      <w:r w:rsidRPr="00D934B1">
        <w:rPr>
          <w:rFonts w:ascii="Garamond" w:hAnsi="Garamond"/>
          <w:b/>
          <w:sz w:val="22"/>
          <w:szCs w:val="22"/>
        </w:rPr>
        <w:lastRenderedPageBreak/>
        <w:t>Добавить приложение</w:t>
      </w:r>
    </w:p>
    <w:p w14:paraId="59BE7EAB" w14:textId="77777777" w:rsidR="00CD79E4" w:rsidRPr="00D934B1" w:rsidRDefault="00CD79E4" w:rsidP="00CD79E4">
      <w:pPr>
        <w:spacing w:before="120" w:after="120"/>
        <w:jc w:val="right"/>
        <w:rPr>
          <w:rFonts w:ascii="Garamond" w:hAnsi="Garamond"/>
          <w:b/>
          <w:sz w:val="22"/>
          <w:szCs w:val="22"/>
        </w:rPr>
      </w:pPr>
      <w:r w:rsidRPr="00D934B1">
        <w:rPr>
          <w:rFonts w:ascii="Garamond" w:hAnsi="Garamond"/>
          <w:b/>
          <w:sz w:val="22"/>
          <w:szCs w:val="22"/>
        </w:rPr>
        <w:t>Приложение 2</w:t>
      </w:r>
    </w:p>
    <w:p w14:paraId="7C0E4161" w14:textId="77777777" w:rsidR="00CE6209" w:rsidRPr="00D934B1" w:rsidRDefault="00CE6209" w:rsidP="00D934B1">
      <w:pPr>
        <w:spacing w:before="120" w:after="120"/>
        <w:jc w:val="center"/>
        <w:rPr>
          <w:rFonts w:ascii="Garamond" w:hAnsi="Garamond"/>
          <w:b/>
          <w:sz w:val="22"/>
          <w:szCs w:val="22"/>
        </w:rPr>
      </w:pPr>
      <w:r w:rsidRPr="00D934B1">
        <w:rPr>
          <w:rFonts w:ascii="Garamond" w:hAnsi="Garamond"/>
          <w:b/>
          <w:sz w:val="22"/>
          <w:szCs w:val="22"/>
        </w:rPr>
        <w:t>МАКЕТ 20000</w:t>
      </w:r>
    </w:p>
    <w:p w14:paraId="49EF2F95" w14:textId="77777777" w:rsidR="00CE6209" w:rsidRPr="00D934B1" w:rsidRDefault="00CE6209" w:rsidP="00101F7C">
      <w:pPr>
        <w:pStyle w:val="ac"/>
        <w:numPr>
          <w:ilvl w:val="2"/>
          <w:numId w:val="97"/>
        </w:numPr>
        <w:spacing w:before="240" w:after="240"/>
        <w:ind w:left="1134" w:hanging="567"/>
        <w:rPr>
          <w:rFonts w:ascii="Garamond" w:hAnsi="Garamond"/>
          <w:b/>
          <w:sz w:val="22"/>
          <w:szCs w:val="22"/>
        </w:rPr>
      </w:pPr>
      <w:r w:rsidRPr="00D934B1">
        <w:rPr>
          <w:rFonts w:ascii="Garamond" w:hAnsi="Garamond"/>
          <w:b/>
          <w:sz w:val="22"/>
          <w:szCs w:val="22"/>
        </w:rPr>
        <w:t>Описание макета 20000</w:t>
      </w:r>
    </w:p>
    <w:p w14:paraId="78013F04" w14:textId="77777777" w:rsidR="00CE6209" w:rsidRPr="00D934B1" w:rsidRDefault="00CE6209" w:rsidP="00CE6209">
      <w:pPr>
        <w:spacing w:after="120"/>
        <w:ind w:firstLine="567"/>
        <w:jc w:val="both"/>
        <w:rPr>
          <w:rFonts w:ascii="Garamond" w:hAnsi="Garamond"/>
          <w:sz w:val="22"/>
          <w:szCs w:val="22"/>
        </w:rPr>
      </w:pPr>
      <w:r w:rsidRPr="00D934B1">
        <w:rPr>
          <w:rFonts w:ascii="Garamond" w:hAnsi="Garamond"/>
          <w:sz w:val="22"/>
          <w:szCs w:val="22"/>
        </w:rPr>
        <w:t xml:space="preserve">Формат документа используется для направления субъектом ОРЭМ в АО «АТС» (далее – КО) метрологической информации о точках измерений, входящих в </w:t>
      </w:r>
      <w:r w:rsidR="0026223F">
        <w:rPr>
          <w:rFonts w:ascii="Garamond" w:hAnsi="Garamond"/>
          <w:sz w:val="22"/>
          <w:szCs w:val="22"/>
        </w:rPr>
        <w:t>совокупность СИ и ТУ</w:t>
      </w:r>
      <w:r w:rsidRPr="00D934B1">
        <w:rPr>
          <w:rFonts w:ascii="Garamond" w:hAnsi="Garamond"/>
          <w:sz w:val="22"/>
          <w:szCs w:val="22"/>
        </w:rPr>
        <w:t>, согласованной с сетевой организацией, осуществившей допуск в эксплуатацию прибора учета или измерительного комплекса (проверку прибора учета или измерительного комплекса).</w:t>
      </w:r>
    </w:p>
    <w:p w14:paraId="62DB7F20" w14:textId="77777777" w:rsidR="00CE6209" w:rsidRPr="00D934B1" w:rsidRDefault="00CE6209" w:rsidP="00CE6209">
      <w:pPr>
        <w:spacing w:after="120"/>
        <w:ind w:firstLine="567"/>
        <w:jc w:val="both"/>
        <w:rPr>
          <w:rFonts w:ascii="Garamond" w:hAnsi="Garamond"/>
          <w:sz w:val="22"/>
          <w:szCs w:val="22"/>
        </w:rPr>
      </w:pPr>
      <w:r w:rsidRPr="00D934B1">
        <w:rPr>
          <w:rFonts w:ascii="Garamond" w:hAnsi="Garamond"/>
          <w:sz w:val="22"/>
          <w:szCs w:val="22"/>
        </w:rPr>
        <w:t>При передаче электронного документа используется расширяемый язык разметки (XML) в соответствии со спецификацией Extensible Markup Language (XML) 1.0.</w:t>
      </w:r>
    </w:p>
    <w:p w14:paraId="19A8E670" w14:textId="77777777" w:rsidR="00CE6209" w:rsidRPr="00D934B1" w:rsidRDefault="00CE6209" w:rsidP="00CE6209">
      <w:pPr>
        <w:spacing w:after="120"/>
        <w:ind w:firstLine="567"/>
        <w:jc w:val="both"/>
        <w:rPr>
          <w:rFonts w:ascii="Garamond" w:hAnsi="Garamond"/>
          <w:sz w:val="22"/>
          <w:szCs w:val="22"/>
        </w:rPr>
      </w:pPr>
      <w:r w:rsidRPr="00D934B1">
        <w:rPr>
          <w:rFonts w:ascii="Garamond" w:hAnsi="Garamond"/>
          <w:sz w:val="22"/>
          <w:szCs w:val="22"/>
        </w:rPr>
        <w:t>При декларации кодировки, являющейся частью декларации XML, используются названия и псевдонимы русскоязычных наборов символов, зарегистрированных в Internet Assigned Numbers Authority. Для данного электронного документа может быть использована кодировка “windows-1251” или “utf-8”.</w:t>
      </w:r>
    </w:p>
    <w:p w14:paraId="7F9D1B2B" w14:textId="77777777" w:rsidR="00CE6209" w:rsidRPr="00D934B1" w:rsidRDefault="00CE6209" w:rsidP="00CE6209">
      <w:pPr>
        <w:spacing w:after="120"/>
        <w:ind w:firstLine="567"/>
        <w:jc w:val="both"/>
        <w:rPr>
          <w:rFonts w:ascii="Garamond" w:hAnsi="Garamond"/>
          <w:sz w:val="22"/>
          <w:szCs w:val="22"/>
        </w:rPr>
      </w:pPr>
      <w:r w:rsidRPr="00D934B1">
        <w:rPr>
          <w:rFonts w:ascii="Garamond" w:hAnsi="Garamond"/>
          <w:sz w:val="22"/>
          <w:szCs w:val="22"/>
        </w:rPr>
        <w:t>Имя файла, содержащего электронный документ, должно составляться в формате «&lt;тип документа&gt;_&lt;ИНН&gt;_&lt;дата формирования&gt;_&lt;код ГТП генерации или сечения коммерческого учета&gt;», где:</w:t>
      </w:r>
    </w:p>
    <w:p w14:paraId="49284193" w14:textId="77777777" w:rsidR="00CE6209" w:rsidRPr="00D934B1" w:rsidRDefault="00CE6209" w:rsidP="00101F7C">
      <w:pPr>
        <w:numPr>
          <w:ilvl w:val="0"/>
          <w:numId w:val="91"/>
        </w:numPr>
        <w:suppressAutoHyphens w:val="0"/>
        <w:spacing w:after="120"/>
        <w:ind w:left="0" w:firstLine="567"/>
        <w:jc w:val="both"/>
        <w:rPr>
          <w:rFonts w:ascii="Garamond" w:hAnsi="Garamond"/>
          <w:sz w:val="22"/>
          <w:szCs w:val="22"/>
        </w:rPr>
      </w:pPr>
      <w:r w:rsidRPr="00D934B1">
        <w:rPr>
          <w:rFonts w:ascii="Garamond" w:hAnsi="Garamond"/>
          <w:sz w:val="22"/>
          <w:szCs w:val="22"/>
        </w:rPr>
        <w:t xml:space="preserve"> тип документа – номер, присвоенный КО данному типу документа (20000);</w:t>
      </w:r>
    </w:p>
    <w:p w14:paraId="28686F1C" w14:textId="77777777" w:rsidR="00CE6209" w:rsidRPr="00D934B1" w:rsidRDefault="00CE6209" w:rsidP="00101F7C">
      <w:pPr>
        <w:numPr>
          <w:ilvl w:val="0"/>
          <w:numId w:val="91"/>
        </w:numPr>
        <w:suppressAutoHyphens w:val="0"/>
        <w:spacing w:after="120"/>
        <w:ind w:left="0" w:firstLine="567"/>
        <w:jc w:val="both"/>
        <w:rPr>
          <w:rFonts w:ascii="Garamond" w:hAnsi="Garamond"/>
          <w:sz w:val="22"/>
          <w:szCs w:val="22"/>
        </w:rPr>
      </w:pPr>
      <w:r w:rsidRPr="00D934B1">
        <w:rPr>
          <w:rFonts w:ascii="Garamond" w:hAnsi="Garamond"/>
          <w:sz w:val="22"/>
          <w:szCs w:val="22"/>
        </w:rPr>
        <w:t xml:space="preserve"> ИНН – ИНН организации, предоставляющей информацию (субъекта ОРЭМ), длина ИНН – 10 символов;</w:t>
      </w:r>
    </w:p>
    <w:p w14:paraId="497B3C52" w14:textId="77777777" w:rsidR="00CE6209" w:rsidRPr="00D934B1" w:rsidRDefault="00CE6209" w:rsidP="00101F7C">
      <w:pPr>
        <w:numPr>
          <w:ilvl w:val="0"/>
          <w:numId w:val="91"/>
        </w:numPr>
        <w:suppressAutoHyphens w:val="0"/>
        <w:spacing w:after="120"/>
        <w:ind w:left="0" w:firstLine="567"/>
        <w:jc w:val="both"/>
        <w:rPr>
          <w:rFonts w:ascii="Garamond" w:hAnsi="Garamond"/>
          <w:sz w:val="22"/>
          <w:szCs w:val="22"/>
        </w:rPr>
      </w:pPr>
      <w:r w:rsidRPr="00D934B1">
        <w:rPr>
          <w:rFonts w:ascii="Garamond" w:hAnsi="Garamond"/>
          <w:sz w:val="22"/>
          <w:szCs w:val="22"/>
        </w:rPr>
        <w:t xml:space="preserve"> дата формирования – момент времени, в который был сформирован макет, в формате «ГГГГММДДччммсс», где ГГГГ – год, ММ – порядковый номер месяца, ДД – день, чч – час, мм – минуты, сс – секунды. Длина поля – 14 знаков. Указывается по московскому времени. Дата формирования, используемая в имени электронного документа, должна соответствовать дате, указанной в элементе &lt;podis:Timestamp&gt; (за исключением данных о миллисекундах);</w:t>
      </w:r>
    </w:p>
    <w:p w14:paraId="17C5E3A4" w14:textId="77777777" w:rsidR="00CE6209" w:rsidRPr="00D934B1" w:rsidRDefault="00CE6209" w:rsidP="00101F7C">
      <w:pPr>
        <w:numPr>
          <w:ilvl w:val="0"/>
          <w:numId w:val="91"/>
        </w:numPr>
        <w:suppressAutoHyphens w:val="0"/>
        <w:spacing w:after="120"/>
        <w:ind w:left="0" w:firstLine="567"/>
        <w:jc w:val="both"/>
        <w:rPr>
          <w:rFonts w:ascii="Garamond" w:hAnsi="Garamond"/>
          <w:sz w:val="22"/>
          <w:szCs w:val="22"/>
        </w:rPr>
      </w:pPr>
      <w:r w:rsidRPr="00D934B1">
        <w:rPr>
          <w:rFonts w:ascii="Garamond" w:hAnsi="Garamond"/>
          <w:sz w:val="22"/>
          <w:szCs w:val="22"/>
        </w:rPr>
        <w:t xml:space="preserve"> код ГТП генерации или сечения коммерческого учета – указывается либо код ГТП генерации в формате GXXXXXXX, либо код сечения коммерческого учета в формате XXXXXXXX_YYYYYYYY, состоящий из кодов ГТП потребления/сечения коммерческого учета смежных субъектов оптового рынка, разделенных знаком «_». При этом код ГТП потребления / код ГТП генерации состоит из 8 (восьми) символов, включающих строчные или прописные буквы латинского алфавита и (или) цифры. Значение не проверяется сетевой организацией, осуществившей допуск в эксплуатацию прибора учета или измерительного комплекса (проверку прибора учета или измерительного комплекса).</w:t>
      </w:r>
    </w:p>
    <w:p w14:paraId="1DBAD9DB" w14:textId="77777777" w:rsidR="00CE6209" w:rsidRPr="00D934B1" w:rsidRDefault="00CE6209" w:rsidP="00101F7C">
      <w:pPr>
        <w:pStyle w:val="ac"/>
        <w:numPr>
          <w:ilvl w:val="0"/>
          <w:numId w:val="92"/>
        </w:numPr>
        <w:tabs>
          <w:tab w:val="clear" w:pos="360"/>
        </w:tabs>
        <w:spacing w:before="240" w:after="240"/>
        <w:ind w:left="1134" w:hanging="567"/>
        <w:jc w:val="both"/>
        <w:rPr>
          <w:rFonts w:ascii="Garamond" w:hAnsi="Garamond"/>
          <w:b/>
          <w:sz w:val="22"/>
          <w:szCs w:val="22"/>
        </w:rPr>
      </w:pPr>
      <w:r w:rsidRPr="00D934B1">
        <w:rPr>
          <w:rFonts w:ascii="Garamond" w:hAnsi="Garamond"/>
          <w:b/>
          <w:sz w:val="22"/>
          <w:szCs w:val="22"/>
        </w:rPr>
        <w:t>Описание структуры макета 20000</w:t>
      </w:r>
    </w:p>
    <w:p w14:paraId="244460C8" w14:textId="77777777" w:rsidR="00CE6209" w:rsidRPr="00D934B1" w:rsidRDefault="00CE6209" w:rsidP="00101F7C">
      <w:pPr>
        <w:pStyle w:val="ac"/>
        <w:numPr>
          <w:ilvl w:val="1"/>
          <w:numId w:val="92"/>
        </w:numPr>
        <w:tabs>
          <w:tab w:val="clear" w:pos="792"/>
          <w:tab w:val="num" w:pos="1134"/>
        </w:tabs>
        <w:spacing w:after="120"/>
        <w:ind w:left="1134" w:hanging="567"/>
        <w:jc w:val="both"/>
        <w:rPr>
          <w:rFonts w:ascii="Garamond" w:hAnsi="Garamond"/>
          <w:b/>
          <w:sz w:val="22"/>
          <w:szCs w:val="22"/>
        </w:rPr>
      </w:pPr>
      <w:r w:rsidRPr="00D934B1">
        <w:rPr>
          <w:rFonts w:ascii="Garamond" w:hAnsi="Garamond"/>
          <w:b/>
          <w:sz w:val="22"/>
          <w:szCs w:val="22"/>
        </w:rPr>
        <w:t xml:space="preserve">&lt;podis:Request&gt; </w:t>
      </w:r>
    </w:p>
    <w:p w14:paraId="6E41914D" w14:textId="77777777" w:rsidR="00CE6209" w:rsidRPr="00D934B1" w:rsidRDefault="00CE6209" w:rsidP="00CE6209">
      <w:pPr>
        <w:spacing w:after="120"/>
        <w:ind w:firstLine="567"/>
        <w:jc w:val="both"/>
        <w:rPr>
          <w:rFonts w:ascii="Garamond" w:hAnsi="Garamond"/>
          <w:sz w:val="22"/>
          <w:szCs w:val="22"/>
        </w:rPr>
      </w:pPr>
      <w:r w:rsidRPr="00D934B1">
        <w:rPr>
          <w:rFonts w:ascii="Garamond" w:hAnsi="Garamond"/>
          <w:sz w:val="22"/>
          <w:szCs w:val="22"/>
        </w:rPr>
        <w:t xml:space="preserve">Элемент &lt;podis:Request&gt; содержит сообщение с информацией о </w:t>
      </w:r>
      <w:r w:rsidR="0026223F">
        <w:rPr>
          <w:rFonts w:ascii="Garamond" w:hAnsi="Garamond"/>
          <w:sz w:val="22"/>
          <w:szCs w:val="22"/>
        </w:rPr>
        <w:t>совокупности СИ и ТУ</w:t>
      </w:r>
      <w:r w:rsidRPr="00D934B1">
        <w:rPr>
          <w:rFonts w:ascii="Garamond" w:hAnsi="Garamond"/>
          <w:sz w:val="22"/>
          <w:szCs w:val="22"/>
        </w:rPr>
        <w:t>. Является обязательным корневым элементом.</w:t>
      </w:r>
    </w:p>
    <w:p w14:paraId="64701D19" w14:textId="77777777" w:rsidR="00CE6209" w:rsidRPr="00D934B1" w:rsidRDefault="00CE6209" w:rsidP="00CE6209">
      <w:pPr>
        <w:spacing w:after="120"/>
        <w:ind w:firstLine="567"/>
        <w:jc w:val="both"/>
        <w:rPr>
          <w:rFonts w:ascii="Garamond" w:hAnsi="Garamond"/>
          <w:sz w:val="22"/>
          <w:szCs w:val="22"/>
        </w:rPr>
      </w:pPr>
      <w:r w:rsidRPr="00D934B1">
        <w:rPr>
          <w:rFonts w:ascii="Garamond" w:hAnsi="Garamond"/>
          <w:sz w:val="22"/>
          <w:szCs w:val="22"/>
        </w:rPr>
        <w:t>В документе допускается наличие только одного корневого элемента &lt;podis:Request&gt;.</w:t>
      </w:r>
    </w:p>
    <w:p w14:paraId="3C19381A" w14:textId="77777777" w:rsidR="00CE6209" w:rsidRPr="00D934B1" w:rsidRDefault="00CE6209" w:rsidP="00CE6209">
      <w:pPr>
        <w:spacing w:after="120"/>
        <w:ind w:firstLine="567"/>
        <w:jc w:val="both"/>
        <w:rPr>
          <w:rFonts w:ascii="Garamond" w:hAnsi="Garamond"/>
          <w:sz w:val="22"/>
          <w:szCs w:val="22"/>
        </w:rPr>
      </w:pPr>
      <w:r w:rsidRPr="00D934B1">
        <w:rPr>
          <w:rFonts w:ascii="Garamond" w:hAnsi="Garamond"/>
          <w:sz w:val="22"/>
          <w:szCs w:val="22"/>
        </w:rPr>
        <w:t>Атрибутами элемента &lt;podis:Request&gt; являются:</w:t>
      </w:r>
    </w:p>
    <w:p w14:paraId="2E8A0621" w14:textId="77777777" w:rsidR="00CE6209" w:rsidRPr="00D934B1" w:rsidRDefault="00CE6209" w:rsidP="00CE6209">
      <w:pPr>
        <w:spacing w:after="120"/>
        <w:ind w:firstLine="567"/>
        <w:jc w:val="both"/>
        <w:rPr>
          <w:rFonts w:ascii="Garamond" w:hAnsi="Garamond"/>
          <w:sz w:val="22"/>
          <w:szCs w:val="22"/>
        </w:rPr>
      </w:pPr>
      <w:r w:rsidRPr="00D934B1">
        <w:rPr>
          <w:rFonts w:ascii="Garamond" w:hAnsi="Garamond"/>
          <w:sz w:val="22"/>
          <w:szCs w:val="22"/>
        </w:rPr>
        <w:t>–</w:t>
      </w:r>
      <w:r w:rsidRPr="00D934B1">
        <w:rPr>
          <w:rFonts w:ascii="Garamond" w:hAnsi="Garamond"/>
          <w:sz w:val="22"/>
          <w:szCs w:val="22"/>
        </w:rPr>
        <w:tab/>
        <w:t xml:space="preserve"> xmlns:podis. Является обязательным атрибутом, обозначает пространство имен модели протокола обмена данными между </w:t>
      </w:r>
      <w:r w:rsidR="00D64471">
        <w:rPr>
          <w:rFonts w:ascii="Garamond" w:hAnsi="Garamond"/>
          <w:sz w:val="22"/>
          <w:szCs w:val="22"/>
        </w:rPr>
        <w:t>совокупностям СИ и ТУ</w:t>
      </w:r>
      <w:r w:rsidRPr="00D934B1">
        <w:rPr>
          <w:rFonts w:ascii="Garamond" w:hAnsi="Garamond"/>
          <w:sz w:val="22"/>
          <w:szCs w:val="22"/>
        </w:rPr>
        <w:t>, в рамках макета 20000. Принимает строго определенное значение «http://iec.ch/TC57/2011/schema/podis/Layout_20000#»;</w:t>
      </w:r>
    </w:p>
    <w:p w14:paraId="0019DAD0" w14:textId="77777777" w:rsidR="00CE6209" w:rsidRPr="00D934B1" w:rsidRDefault="00CE6209" w:rsidP="00CE6209">
      <w:pPr>
        <w:spacing w:after="120"/>
        <w:ind w:firstLine="567"/>
        <w:jc w:val="both"/>
        <w:rPr>
          <w:rFonts w:ascii="Garamond" w:hAnsi="Garamond"/>
          <w:sz w:val="22"/>
          <w:szCs w:val="22"/>
        </w:rPr>
      </w:pPr>
      <w:r w:rsidRPr="00D934B1">
        <w:rPr>
          <w:rFonts w:ascii="Garamond" w:hAnsi="Garamond"/>
          <w:sz w:val="22"/>
          <w:szCs w:val="22"/>
        </w:rPr>
        <w:t>–</w:t>
      </w:r>
      <w:r w:rsidRPr="00D934B1">
        <w:rPr>
          <w:rFonts w:ascii="Garamond" w:hAnsi="Garamond"/>
          <w:sz w:val="22"/>
          <w:szCs w:val="22"/>
        </w:rPr>
        <w:tab/>
        <w:t xml:space="preserve"> xmlns:sawsdl. Является обязательным атрибутом. Принимает строго определенное значение «http://www.w3.org/ns/sawsdl»;</w:t>
      </w:r>
    </w:p>
    <w:p w14:paraId="7AEC013A" w14:textId="77777777" w:rsidR="00CE6209" w:rsidRPr="00D934B1" w:rsidRDefault="00CE6209" w:rsidP="00CE6209">
      <w:pPr>
        <w:spacing w:after="120"/>
        <w:ind w:firstLine="567"/>
        <w:jc w:val="both"/>
        <w:rPr>
          <w:rFonts w:ascii="Garamond" w:hAnsi="Garamond"/>
          <w:sz w:val="22"/>
          <w:szCs w:val="22"/>
        </w:rPr>
      </w:pPr>
      <w:r w:rsidRPr="00D934B1">
        <w:rPr>
          <w:rFonts w:ascii="Garamond" w:hAnsi="Garamond"/>
          <w:sz w:val="22"/>
          <w:szCs w:val="22"/>
        </w:rPr>
        <w:t>–</w:t>
      </w:r>
      <w:r w:rsidRPr="00D934B1">
        <w:rPr>
          <w:rFonts w:ascii="Garamond" w:hAnsi="Garamond"/>
          <w:sz w:val="22"/>
          <w:szCs w:val="22"/>
        </w:rPr>
        <w:tab/>
        <w:t xml:space="preserve"> class – является обязательным и содержит данные о типе электронного документа в системе ЭДО. Значение атрибута class должно быть равно «20000»;</w:t>
      </w:r>
    </w:p>
    <w:p w14:paraId="4AF7F998" w14:textId="77777777" w:rsidR="00CE6209" w:rsidRPr="00D934B1" w:rsidRDefault="00CE6209" w:rsidP="00CE6209">
      <w:pPr>
        <w:spacing w:after="120"/>
        <w:ind w:firstLine="567"/>
        <w:jc w:val="both"/>
        <w:rPr>
          <w:rFonts w:ascii="Garamond" w:hAnsi="Garamond"/>
          <w:sz w:val="22"/>
          <w:szCs w:val="22"/>
        </w:rPr>
      </w:pPr>
      <w:r w:rsidRPr="00D934B1">
        <w:rPr>
          <w:rFonts w:ascii="Garamond" w:hAnsi="Garamond"/>
          <w:sz w:val="22"/>
          <w:szCs w:val="22"/>
        </w:rPr>
        <w:t>–</w:t>
      </w:r>
      <w:r w:rsidRPr="00D934B1">
        <w:rPr>
          <w:rFonts w:ascii="Garamond" w:hAnsi="Garamond"/>
          <w:sz w:val="22"/>
          <w:szCs w:val="22"/>
        </w:rPr>
        <w:tab/>
        <w:t xml:space="preserve"> base-file-name – наименование файла справочника типов и модификаций приборов учета (ПУ), измерительных трансформаторов тока и напряжения, устройств сбора и передачи данных, который был опубликован на сайте КО и использовался при подготовке макета. Текст до 250 символов. Является </w:t>
      </w:r>
      <w:r w:rsidRPr="00D934B1">
        <w:rPr>
          <w:rFonts w:ascii="Garamond" w:hAnsi="Garamond"/>
          <w:sz w:val="22"/>
          <w:szCs w:val="22"/>
        </w:rPr>
        <w:lastRenderedPageBreak/>
        <w:t>обязательным атрибутом. Значение не проверяется сетевой организацией, осуществившей допуск в эксплуатацию прибора учета или измерительного комплекса (проверку прибора учета или измерительного комплекса);</w:t>
      </w:r>
    </w:p>
    <w:p w14:paraId="262F1682" w14:textId="77777777" w:rsidR="00CE6209" w:rsidRPr="00D934B1" w:rsidRDefault="00CE6209" w:rsidP="00CE6209">
      <w:pPr>
        <w:spacing w:after="120"/>
        <w:ind w:firstLine="567"/>
        <w:jc w:val="both"/>
        <w:rPr>
          <w:rFonts w:ascii="Garamond" w:hAnsi="Garamond"/>
          <w:sz w:val="22"/>
          <w:szCs w:val="22"/>
        </w:rPr>
      </w:pPr>
      <w:r w:rsidRPr="00D934B1">
        <w:rPr>
          <w:rFonts w:ascii="Garamond" w:hAnsi="Garamond"/>
          <w:sz w:val="22"/>
          <w:szCs w:val="22"/>
        </w:rPr>
        <w:t>–</w:t>
      </w:r>
      <w:r w:rsidRPr="00D934B1">
        <w:rPr>
          <w:rFonts w:ascii="Garamond" w:hAnsi="Garamond"/>
          <w:sz w:val="22"/>
          <w:szCs w:val="22"/>
        </w:rPr>
        <w:tab/>
        <w:t xml:space="preserve"> base-file-hash – хэш файла справочника типов и модификаций приборов учета (ПУ), измерительных трансформаторов тока и напряжения, устройств сбора и передачи данных, который был опубликован на сайте КО и использовался при подготовке макета. Текст, состоящий из 64 символов. Является обязательным атрибутом. Значение не проверяется сетевой организацией, осуществившей допуск в эксплуатацию прибора учета или измерительного комплекса (проверку прибора учета или измерительного комплекса).</w:t>
      </w:r>
    </w:p>
    <w:p w14:paraId="777F4E58" w14:textId="77777777" w:rsidR="00CE6209" w:rsidRPr="00D934B1" w:rsidRDefault="00CE6209" w:rsidP="00CE6209">
      <w:pPr>
        <w:spacing w:after="120"/>
        <w:ind w:firstLine="567"/>
        <w:jc w:val="both"/>
        <w:rPr>
          <w:rFonts w:ascii="Garamond" w:hAnsi="Garamond"/>
          <w:sz w:val="22"/>
          <w:szCs w:val="22"/>
        </w:rPr>
      </w:pPr>
      <w:r w:rsidRPr="00D934B1">
        <w:rPr>
          <w:rFonts w:ascii="Garamond" w:hAnsi="Garamond"/>
          <w:sz w:val="22"/>
          <w:szCs w:val="22"/>
        </w:rPr>
        <w:t>Дочерними элементами &lt;podis:Request&gt; являются элементы &lt;podis:Header&gt;, &lt;podis:psi-file&gt; и &lt;podis:Payload&gt;. У элемента &lt;podis:Request&gt; может быть только один дочерний элемент &lt;podis:Header&gt;, &lt;podis:psi-file&gt; и &lt;podis:Payload&gt;.</w:t>
      </w:r>
    </w:p>
    <w:p w14:paraId="69ED6CFE" w14:textId="77777777" w:rsidR="00CE6209" w:rsidRPr="00D934B1" w:rsidRDefault="00CE6209" w:rsidP="00101F7C">
      <w:pPr>
        <w:pStyle w:val="ac"/>
        <w:numPr>
          <w:ilvl w:val="2"/>
          <w:numId w:val="105"/>
        </w:numPr>
        <w:spacing w:after="120"/>
        <w:ind w:left="1134" w:hanging="567"/>
        <w:jc w:val="both"/>
        <w:rPr>
          <w:rFonts w:ascii="Garamond" w:hAnsi="Garamond"/>
          <w:b/>
          <w:sz w:val="22"/>
          <w:szCs w:val="22"/>
        </w:rPr>
      </w:pPr>
      <w:r w:rsidRPr="00D934B1">
        <w:rPr>
          <w:rFonts w:ascii="Garamond" w:hAnsi="Garamond"/>
          <w:b/>
          <w:sz w:val="22"/>
          <w:szCs w:val="22"/>
        </w:rPr>
        <w:t>&lt;podis:Header&gt;</w:t>
      </w:r>
    </w:p>
    <w:p w14:paraId="547B432F" w14:textId="77777777" w:rsidR="00CE6209" w:rsidRPr="00D934B1" w:rsidRDefault="00CE6209" w:rsidP="00CE6209">
      <w:pPr>
        <w:spacing w:after="120"/>
        <w:ind w:firstLine="567"/>
        <w:jc w:val="both"/>
        <w:rPr>
          <w:rFonts w:ascii="Garamond" w:hAnsi="Garamond"/>
          <w:sz w:val="22"/>
          <w:szCs w:val="22"/>
        </w:rPr>
      </w:pPr>
      <w:r w:rsidRPr="00D934B1">
        <w:rPr>
          <w:rFonts w:ascii="Garamond" w:hAnsi="Garamond"/>
          <w:sz w:val="22"/>
          <w:szCs w:val="22"/>
        </w:rPr>
        <w:t>Элемент &lt;podis:Header&gt; – заголовок сообщения, содержащий данные со служебными элементами. Является обязательным элементом.</w:t>
      </w:r>
    </w:p>
    <w:p w14:paraId="17CD4608" w14:textId="77777777" w:rsidR="00CE6209" w:rsidRPr="00D934B1" w:rsidRDefault="00CE6209" w:rsidP="00CE6209">
      <w:pPr>
        <w:spacing w:after="120"/>
        <w:ind w:firstLine="567"/>
        <w:jc w:val="both"/>
        <w:rPr>
          <w:rFonts w:ascii="Garamond" w:hAnsi="Garamond"/>
          <w:sz w:val="22"/>
          <w:szCs w:val="22"/>
        </w:rPr>
      </w:pPr>
      <w:r w:rsidRPr="00D934B1">
        <w:rPr>
          <w:rFonts w:ascii="Garamond" w:hAnsi="Garamond"/>
          <w:sz w:val="22"/>
          <w:szCs w:val="22"/>
        </w:rPr>
        <w:t>Дочерними элементами &lt;podis:Header&gt; являются элементы &lt;podis:Timestamp&gt; и &lt;podis:Revision&gt;. У элемента &lt;podis:Header&gt; может быть только один дочерний элемент &lt;podis:Timestamp&gt; и &lt;podis:Revision&gt;.</w:t>
      </w:r>
    </w:p>
    <w:p w14:paraId="39046039" w14:textId="77777777" w:rsidR="00CE6209" w:rsidRPr="00D934B1" w:rsidRDefault="00CE6209" w:rsidP="00101F7C">
      <w:pPr>
        <w:pStyle w:val="ac"/>
        <w:numPr>
          <w:ilvl w:val="3"/>
          <w:numId w:val="105"/>
        </w:numPr>
        <w:spacing w:after="120"/>
        <w:ind w:left="1134" w:hanging="567"/>
        <w:jc w:val="both"/>
        <w:rPr>
          <w:rFonts w:ascii="Garamond" w:hAnsi="Garamond"/>
          <w:b/>
          <w:sz w:val="22"/>
          <w:szCs w:val="22"/>
        </w:rPr>
      </w:pPr>
      <w:r w:rsidRPr="00D934B1">
        <w:rPr>
          <w:rFonts w:ascii="Garamond" w:hAnsi="Garamond"/>
          <w:b/>
          <w:sz w:val="22"/>
          <w:szCs w:val="22"/>
        </w:rPr>
        <w:t>&lt;podis:Timestamp&gt;</w:t>
      </w:r>
    </w:p>
    <w:p w14:paraId="77EC30D6" w14:textId="77777777" w:rsidR="00CE6209" w:rsidRPr="00D934B1" w:rsidRDefault="00CE6209" w:rsidP="00CE6209">
      <w:pPr>
        <w:spacing w:after="120"/>
        <w:ind w:firstLine="567"/>
        <w:jc w:val="both"/>
        <w:rPr>
          <w:rFonts w:ascii="Garamond" w:hAnsi="Garamond"/>
          <w:sz w:val="22"/>
          <w:szCs w:val="22"/>
        </w:rPr>
      </w:pPr>
      <w:r w:rsidRPr="00D934B1">
        <w:rPr>
          <w:rFonts w:ascii="Garamond" w:hAnsi="Garamond"/>
          <w:sz w:val="22"/>
          <w:szCs w:val="22"/>
        </w:rPr>
        <w:t>Элемент &lt;podis:Timestamp&gt; содержит дату создания документа, в формате «ГГГГ-ММ-ДДТчч:мм:сс.мс», где ГГГГ – год, ММ – порядковый номер месяца, ДД – день, чч – час, мм – минуты, сс – секунды, мсс – миллисекунды. Длина поля – 23 знака. Указывается по московскому времени. Является обязательным элементом. Дата создания документа, указанная в элементе &lt;podis:Timestamp&gt;, должна соответствовать дате, указанной в наименовании электронного документа (за исключением данных о миллисекундах).</w:t>
      </w:r>
    </w:p>
    <w:p w14:paraId="3B1A828B" w14:textId="77777777" w:rsidR="00CE6209" w:rsidRPr="00D934B1" w:rsidRDefault="00CE6209" w:rsidP="00101F7C">
      <w:pPr>
        <w:pStyle w:val="ac"/>
        <w:numPr>
          <w:ilvl w:val="3"/>
          <w:numId w:val="105"/>
        </w:numPr>
        <w:spacing w:after="120"/>
        <w:ind w:left="1134" w:hanging="567"/>
        <w:jc w:val="both"/>
        <w:rPr>
          <w:rFonts w:ascii="Garamond" w:hAnsi="Garamond"/>
          <w:b/>
          <w:sz w:val="22"/>
          <w:szCs w:val="22"/>
        </w:rPr>
      </w:pPr>
      <w:r w:rsidRPr="00D934B1">
        <w:rPr>
          <w:rFonts w:ascii="Garamond" w:hAnsi="Garamond"/>
          <w:b/>
          <w:sz w:val="22"/>
          <w:szCs w:val="22"/>
        </w:rPr>
        <w:t>&lt;podis:Revision&gt;</w:t>
      </w:r>
    </w:p>
    <w:p w14:paraId="030EF1A1" w14:textId="77777777" w:rsidR="00CE6209" w:rsidRPr="00D934B1" w:rsidRDefault="00CE6209" w:rsidP="00CE6209">
      <w:pPr>
        <w:spacing w:after="120"/>
        <w:ind w:firstLine="567"/>
        <w:jc w:val="both"/>
        <w:rPr>
          <w:rFonts w:ascii="Garamond" w:hAnsi="Garamond"/>
          <w:sz w:val="22"/>
          <w:szCs w:val="22"/>
        </w:rPr>
      </w:pPr>
      <w:r w:rsidRPr="00D934B1">
        <w:rPr>
          <w:rFonts w:ascii="Garamond" w:hAnsi="Garamond"/>
          <w:sz w:val="22"/>
          <w:szCs w:val="22"/>
        </w:rPr>
        <w:t>Элемент &lt;podis:Revision&gt; содержит данные о версии формата (версии набора элементов). Данный элемент определяет версию макета 20000 (равен «1»). Является обязательным элементом.</w:t>
      </w:r>
    </w:p>
    <w:p w14:paraId="6F586CE0" w14:textId="77777777" w:rsidR="00CE6209" w:rsidRPr="00D934B1" w:rsidRDefault="00CE6209" w:rsidP="00101F7C">
      <w:pPr>
        <w:pStyle w:val="ac"/>
        <w:numPr>
          <w:ilvl w:val="2"/>
          <w:numId w:val="105"/>
        </w:numPr>
        <w:spacing w:after="120"/>
        <w:ind w:left="1134" w:hanging="567"/>
        <w:jc w:val="both"/>
        <w:rPr>
          <w:rFonts w:ascii="Garamond" w:hAnsi="Garamond"/>
          <w:b/>
          <w:sz w:val="22"/>
          <w:szCs w:val="22"/>
        </w:rPr>
      </w:pPr>
      <w:r w:rsidRPr="00D934B1">
        <w:rPr>
          <w:rFonts w:ascii="Garamond" w:hAnsi="Garamond"/>
          <w:b/>
          <w:sz w:val="22"/>
          <w:szCs w:val="22"/>
        </w:rPr>
        <w:t>&lt;podis:psi-file&gt;</w:t>
      </w:r>
    </w:p>
    <w:p w14:paraId="2E55C0D8" w14:textId="77777777" w:rsidR="00CE6209" w:rsidRPr="00D934B1" w:rsidRDefault="00CE6209" w:rsidP="00CE6209">
      <w:pPr>
        <w:spacing w:after="120"/>
        <w:ind w:firstLine="567"/>
        <w:jc w:val="both"/>
        <w:rPr>
          <w:rFonts w:ascii="Garamond" w:hAnsi="Garamond"/>
          <w:sz w:val="22"/>
          <w:szCs w:val="22"/>
        </w:rPr>
      </w:pPr>
      <w:r w:rsidRPr="00D934B1">
        <w:rPr>
          <w:rFonts w:ascii="Garamond" w:hAnsi="Garamond"/>
          <w:sz w:val="22"/>
          <w:szCs w:val="22"/>
        </w:rPr>
        <w:t>Элемент &lt;podis:psi-file&gt; содержит информацию о макете 60000/60090/60002, на основании которого сформирован макет 20000, а также о сечении коммерческого учета (ГТП генерации), в отношении которого сформирован макет 20000. Является обязательным элементом. В документе допускается наличие только одного элемента &lt;podis:psi-file&gt;.</w:t>
      </w:r>
    </w:p>
    <w:p w14:paraId="2AD3E56D" w14:textId="77777777" w:rsidR="00CE6209" w:rsidRPr="00D934B1" w:rsidRDefault="00CE6209" w:rsidP="00CE6209">
      <w:pPr>
        <w:spacing w:after="120"/>
        <w:ind w:firstLine="567"/>
        <w:jc w:val="both"/>
        <w:rPr>
          <w:rFonts w:ascii="Garamond" w:hAnsi="Garamond"/>
          <w:sz w:val="22"/>
          <w:szCs w:val="22"/>
        </w:rPr>
      </w:pPr>
      <w:r w:rsidRPr="00D934B1">
        <w:rPr>
          <w:rFonts w:ascii="Garamond" w:hAnsi="Garamond"/>
          <w:sz w:val="22"/>
          <w:szCs w:val="22"/>
        </w:rPr>
        <w:t>Атрибутами элемента &lt;podis:psi-file&gt; являются:</w:t>
      </w:r>
    </w:p>
    <w:p w14:paraId="1E1560F7" w14:textId="77777777" w:rsidR="00CE6209" w:rsidRPr="00D934B1" w:rsidRDefault="00CE6209" w:rsidP="00CE6209">
      <w:pPr>
        <w:spacing w:after="120"/>
        <w:ind w:firstLine="567"/>
        <w:jc w:val="both"/>
        <w:rPr>
          <w:rFonts w:ascii="Garamond" w:hAnsi="Garamond"/>
          <w:sz w:val="22"/>
          <w:szCs w:val="22"/>
        </w:rPr>
      </w:pPr>
      <w:r w:rsidRPr="00D934B1">
        <w:rPr>
          <w:rFonts w:ascii="Garamond" w:hAnsi="Garamond"/>
          <w:sz w:val="22"/>
          <w:szCs w:val="22"/>
        </w:rPr>
        <w:t>–</w:t>
      </w:r>
      <w:r w:rsidRPr="00D934B1">
        <w:rPr>
          <w:rFonts w:ascii="Garamond" w:hAnsi="Garamond"/>
          <w:sz w:val="22"/>
          <w:szCs w:val="22"/>
        </w:rPr>
        <w:tab/>
        <w:t xml:space="preserve"> id-in-iasuku – идентификатор макета 60090/60002 в БД ИАСУ КУ. Является обязательным атрибутом, если макет 20000 составлен на основании макета 60090/60002, в ином случае не указывается. Числовое поле длиной не более 15 символов. Значение не проверяется сетевой организацией, осуществившей допуск в эксплуатацию прибора учета или измерительного комплекса (проверку прибора учета или измерительного комплекса);</w:t>
      </w:r>
    </w:p>
    <w:p w14:paraId="35359974" w14:textId="77777777" w:rsidR="00CE6209" w:rsidRPr="00D934B1" w:rsidRDefault="00CE6209" w:rsidP="00CE6209">
      <w:pPr>
        <w:tabs>
          <w:tab w:val="left" w:pos="851"/>
        </w:tabs>
        <w:spacing w:after="120"/>
        <w:ind w:firstLine="567"/>
        <w:jc w:val="both"/>
        <w:rPr>
          <w:rFonts w:ascii="Garamond" w:hAnsi="Garamond"/>
          <w:sz w:val="22"/>
          <w:szCs w:val="22"/>
        </w:rPr>
      </w:pPr>
      <w:r w:rsidRPr="00D934B1">
        <w:rPr>
          <w:rFonts w:ascii="Garamond" w:hAnsi="Garamond"/>
          <w:sz w:val="22"/>
          <w:szCs w:val="22"/>
        </w:rPr>
        <w:t xml:space="preserve">– </w:t>
      </w:r>
      <w:r w:rsidRPr="00D934B1">
        <w:rPr>
          <w:rFonts w:ascii="Garamond" w:hAnsi="Garamond"/>
          <w:sz w:val="22"/>
          <w:szCs w:val="22"/>
        </w:rPr>
        <w:tab/>
        <w:t>code-from – содержит информацию о коде одной из ГТП потребления сечения коммерческого учета, указанном в макете 60000/60090/60002. Является обязательным атрибутом, если отсутствует атрибут code. Текстовое поле из 8 символов. Значение не проверяется сетевой организацией, осуществившей допуск в эксплуатацию прибора учета или измерительного комплекса (проверку прибора учета или измерительного комплекса);</w:t>
      </w:r>
    </w:p>
    <w:p w14:paraId="644CDA0B" w14:textId="77777777" w:rsidR="00CE6209" w:rsidRPr="00D934B1" w:rsidRDefault="00CE6209" w:rsidP="00CE6209">
      <w:pPr>
        <w:spacing w:after="120"/>
        <w:ind w:firstLine="567"/>
        <w:jc w:val="both"/>
        <w:rPr>
          <w:rFonts w:ascii="Garamond" w:hAnsi="Garamond"/>
          <w:sz w:val="22"/>
          <w:szCs w:val="22"/>
        </w:rPr>
      </w:pPr>
      <w:r w:rsidRPr="00D934B1">
        <w:rPr>
          <w:rFonts w:ascii="Garamond" w:hAnsi="Garamond"/>
          <w:sz w:val="22"/>
          <w:szCs w:val="22"/>
        </w:rPr>
        <w:t>–</w:t>
      </w:r>
      <w:r w:rsidRPr="00D934B1">
        <w:rPr>
          <w:rFonts w:ascii="Garamond" w:hAnsi="Garamond"/>
          <w:sz w:val="22"/>
          <w:szCs w:val="22"/>
        </w:rPr>
        <w:tab/>
        <w:t xml:space="preserve"> code-to – содержит информацию о коде второй ГТП потребления сечения коммерческого учета, указанном в макете 60000/60090/60002. Является обязательным атрибутом, если отсутствует атрибут code. Текстовое поле из 8 символов. Значение не проверяется сетевой организацией, осуществившей допуск в эксплуатацию прибора учета или измерительного комплекса (проверку прибора учета или измерительного комплекса);</w:t>
      </w:r>
    </w:p>
    <w:p w14:paraId="7355CF34" w14:textId="77777777" w:rsidR="00CE6209" w:rsidRPr="00D934B1" w:rsidRDefault="00CE6209" w:rsidP="00CE6209">
      <w:pPr>
        <w:spacing w:after="120"/>
        <w:ind w:firstLine="567"/>
        <w:jc w:val="both"/>
        <w:rPr>
          <w:rFonts w:ascii="Garamond" w:hAnsi="Garamond"/>
          <w:sz w:val="22"/>
          <w:szCs w:val="22"/>
        </w:rPr>
      </w:pPr>
      <w:r w:rsidRPr="00D934B1">
        <w:rPr>
          <w:rFonts w:ascii="Garamond" w:hAnsi="Garamond"/>
          <w:sz w:val="22"/>
          <w:szCs w:val="22"/>
        </w:rPr>
        <w:t>–</w:t>
      </w:r>
      <w:r w:rsidRPr="00D934B1">
        <w:rPr>
          <w:rFonts w:ascii="Garamond" w:hAnsi="Garamond"/>
          <w:sz w:val="22"/>
          <w:szCs w:val="22"/>
        </w:rPr>
        <w:tab/>
        <w:t xml:space="preserve"> code – содержит информацию о коде ГТП генерации, указанном в макете 60000/60090/60002. Является обязательным атрибутом, если одновременно отсутствуют атрибуты code-from и code-to. Текстовое </w:t>
      </w:r>
      <w:r w:rsidRPr="00D934B1">
        <w:rPr>
          <w:rFonts w:ascii="Garamond" w:hAnsi="Garamond"/>
          <w:sz w:val="22"/>
          <w:szCs w:val="22"/>
        </w:rPr>
        <w:lastRenderedPageBreak/>
        <w:t>поле из 8 символов. Значение не проверяется сетевой организацией, осуществившей допуск в эксплуатацию прибора учета или измерительного комплекса (проверку прибора учета или измерительного комплекса);</w:t>
      </w:r>
    </w:p>
    <w:p w14:paraId="3DFAFDB8" w14:textId="77777777" w:rsidR="00CE6209" w:rsidRPr="00D934B1" w:rsidRDefault="00CE6209" w:rsidP="00CE6209">
      <w:pPr>
        <w:spacing w:after="120"/>
        <w:ind w:firstLine="567"/>
        <w:jc w:val="both"/>
        <w:rPr>
          <w:rFonts w:ascii="Garamond" w:hAnsi="Garamond"/>
          <w:sz w:val="22"/>
          <w:szCs w:val="22"/>
        </w:rPr>
      </w:pPr>
      <w:r w:rsidRPr="00D934B1">
        <w:rPr>
          <w:rFonts w:ascii="Garamond" w:hAnsi="Garamond"/>
          <w:sz w:val="22"/>
          <w:szCs w:val="22"/>
        </w:rPr>
        <w:t>–</w:t>
      </w:r>
      <w:r w:rsidRPr="00D934B1">
        <w:rPr>
          <w:rFonts w:ascii="Garamond" w:hAnsi="Garamond"/>
          <w:sz w:val="22"/>
          <w:szCs w:val="22"/>
        </w:rPr>
        <w:tab/>
        <w:t xml:space="preserve"> name – содержит информацию о наименовании сечения коммерческого учета (ГТП генерации), указанном в макете 60090/60000/60002. Является обязательным атрибутом. Текстовое поле не более 512 символов. Значение не проверяется сетевой организацией, осуществившей допуск в эксплуатацию прибора учета или измерительного комплекса (проверку прибора учета или измерительного комплекса).</w:t>
      </w:r>
    </w:p>
    <w:p w14:paraId="60E4512F" w14:textId="77777777" w:rsidR="00CE6209" w:rsidRPr="00D934B1" w:rsidRDefault="00CE6209" w:rsidP="00101F7C">
      <w:pPr>
        <w:pStyle w:val="ac"/>
        <w:numPr>
          <w:ilvl w:val="2"/>
          <w:numId w:val="105"/>
        </w:numPr>
        <w:spacing w:after="120"/>
        <w:ind w:left="1134" w:hanging="567"/>
        <w:jc w:val="both"/>
        <w:rPr>
          <w:rFonts w:ascii="Garamond" w:hAnsi="Garamond"/>
          <w:b/>
          <w:sz w:val="22"/>
          <w:szCs w:val="22"/>
        </w:rPr>
      </w:pPr>
      <w:r w:rsidRPr="00D934B1">
        <w:rPr>
          <w:rFonts w:ascii="Garamond" w:hAnsi="Garamond"/>
          <w:b/>
          <w:sz w:val="22"/>
          <w:szCs w:val="22"/>
        </w:rPr>
        <w:t>&lt;podis:Payload&gt;</w:t>
      </w:r>
    </w:p>
    <w:p w14:paraId="320B7402" w14:textId="77777777" w:rsidR="00CE6209" w:rsidRPr="00D934B1" w:rsidRDefault="00CE6209" w:rsidP="00CE6209">
      <w:pPr>
        <w:spacing w:after="120"/>
        <w:ind w:firstLine="567"/>
        <w:jc w:val="both"/>
        <w:rPr>
          <w:rFonts w:ascii="Garamond" w:hAnsi="Garamond"/>
          <w:sz w:val="22"/>
          <w:szCs w:val="22"/>
        </w:rPr>
      </w:pPr>
      <w:r w:rsidRPr="00D934B1">
        <w:rPr>
          <w:rFonts w:ascii="Garamond" w:hAnsi="Garamond"/>
          <w:sz w:val="22"/>
          <w:szCs w:val="22"/>
        </w:rPr>
        <w:t>Элемент &lt;podis:Payload&gt; содержит в себе профиль информационной модели. Является обязательным элементом.</w:t>
      </w:r>
    </w:p>
    <w:p w14:paraId="7C6E34D5" w14:textId="77777777" w:rsidR="00CE6209" w:rsidRPr="00D934B1" w:rsidRDefault="00CE6209" w:rsidP="00CE6209">
      <w:pPr>
        <w:spacing w:after="120"/>
        <w:ind w:firstLine="567"/>
        <w:jc w:val="both"/>
        <w:rPr>
          <w:rFonts w:ascii="Garamond" w:hAnsi="Garamond"/>
          <w:sz w:val="22"/>
          <w:szCs w:val="22"/>
        </w:rPr>
      </w:pPr>
      <w:r w:rsidRPr="00D934B1">
        <w:rPr>
          <w:rFonts w:ascii="Garamond" w:hAnsi="Garamond"/>
          <w:sz w:val="22"/>
          <w:szCs w:val="22"/>
        </w:rPr>
        <w:t>Дочерним элементом &lt;podis:Payload&gt; является элемент &lt;podis:EEMSConfig&gt;. У элемента &lt;podis:Payload&gt; может быть только один дочерний элемент &lt;podis:EEMSConfig&gt;.</w:t>
      </w:r>
    </w:p>
    <w:p w14:paraId="2AEDD3DB" w14:textId="77777777" w:rsidR="00CE6209" w:rsidRPr="00D934B1" w:rsidRDefault="00CE6209" w:rsidP="00101F7C">
      <w:pPr>
        <w:pStyle w:val="ac"/>
        <w:numPr>
          <w:ilvl w:val="3"/>
          <w:numId w:val="105"/>
        </w:numPr>
        <w:spacing w:after="120"/>
        <w:ind w:left="1134" w:hanging="567"/>
        <w:jc w:val="both"/>
        <w:rPr>
          <w:rFonts w:ascii="Garamond" w:hAnsi="Garamond"/>
          <w:b/>
          <w:sz w:val="22"/>
          <w:szCs w:val="22"/>
        </w:rPr>
      </w:pPr>
      <w:r w:rsidRPr="00D934B1">
        <w:rPr>
          <w:rFonts w:ascii="Garamond" w:hAnsi="Garamond"/>
          <w:b/>
          <w:sz w:val="22"/>
          <w:szCs w:val="22"/>
        </w:rPr>
        <w:t>&lt;podis:EEMSConfig&gt;</w:t>
      </w:r>
    </w:p>
    <w:p w14:paraId="00E5316F" w14:textId="77777777" w:rsidR="00CE6209" w:rsidRPr="00D934B1" w:rsidRDefault="00CE6209" w:rsidP="00CE6209">
      <w:pPr>
        <w:spacing w:after="120"/>
        <w:ind w:firstLine="567"/>
        <w:jc w:val="both"/>
        <w:rPr>
          <w:rFonts w:ascii="Garamond" w:hAnsi="Garamond"/>
          <w:sz w:val="22"/>
          <w:szCs w:val="22"/>
        </w:rPr>
      </w:pPr>
      <w:r w:rsidRPr="00D934B1">
        <w:rPr>
          <w:rFonts w:ascii="Garamond" w:hAnsi="Garamond"/>
          <w:sz w:val="22"/>
          <w:szCs w:val="22"/>
        </w:rPr>
        <w:t xml:space="preserve">Элемент &lt;podis:EEMSConfig&gt; содержит информацию (профиль) о </w:t>
      </w:r>
      <w:r w:rsidR="00D64471">
        <w:rPr>
          <w:rFonts w:ascii="Garamond" w:hAnsi="Garamond"/>
          <w:sz w:val="22"/>
          <w:szCs w:val="22"/>
        </w:rPr>
        <w:t>совокупности СИ и ТУ</w:t>
      </w:r>
      <w:r w:rsidRPr="00D934B1">
        <w:rPr>
          <w:rFonts w:ascii="Garamond" w:hAnsi="Garamond"/>
          <w:sz w:val="22"/>
          <w:szCs w:val="22"/>
        </w:rPr>
        <w:t xml:space="preserve">. Является обязательным элементом. </w:t>
      </w:r>
    </w:p>
    <w:p w14:paraId="73A61DA1" w14:textId="77777777" w:rsidR="00CE6209" w:rsidRPr="00D934B1" w:rsidRDefault="00CE6209" w:rsidP="00CE6209">
      <w:pPr>
        <w:spacing w:after="120"/>
        <w:ind w:firstLine="567"/>
        <w:jc w:val="both"/>
        <w:rPr>
          <w:rFonts w:ascii="Garamond" w:hAnsi="Garamond"/>
          <w:sz w:val="22"/>
          <w:szCs w:val="22"/>
        </w:rPr>
      </w:pPr>
      <w:r w:rsidRPr="00D934B1">
        <w:rPr>
          <w:rFonts w:ascii="Garamond" w:hAnsi="Garamond"/>
          <w:sz w:val="22"/>
          <w:szCs w:val="22"/>
        </w:rPr>
        <w:t>Дочерними элементами &lt;podis:EEMSConfig&gt; являются элементы &lt;podis:subject&gt;, &lt;podis:partner&gt; и &lt;podis:usagePoints&gt;. У элемента &lt;podis:EEMSConfig&gt; может быть только один дочерний элемент &lt;podis:subject&gt;, &lt;podis:partner&gt; и &lt;podis:usagePoints&gt;.</w:t>
      </w:r>
    </w:p>
    <w:p w14:paraId="46CB8D12" w14:textId="77777777" w:rsidR="00CE6209" w:rsidRPr="00D934B1" w:rsidRDefault="00CE6209" w:rsidP="00101F7C">
      <w:pPr>
        <w:pStyle w:val="ac"/>
        <w:numPr>
          <w:ilvl w:val="4"/>
          <w:numId w:val="105"/>
        </w:numPr>
        <w:spacing w:after="120"/>
        <w:ind w:left="1134" w:hanging="567"/>
        <w:jc w:val="both"/>
        <w:rPr>
          <w:rFonts w:ascii="Garamond" w:hAnsi="Garamond"/>
          <w:b/>
          <w:sz w:val="22"/>
          <w:szCs w:val="22"/>
        </w:rPr>
      </w:pPr>
      <w:r w:rsidRPr="00D934B1">
        <w:rPr>
          <w:rFonts w:ascii="Garamond" w:hAnsi="Garamond"/>
          <w:b/>
          <w:sz w:val="22"/>
          <w:szCs w:val="22"/>
        </w:rPr>
        <w:t>&lt;podis:subject&gt;</w:t>
      </w:r>
    </w:p>
    <w:p w14:paraId="09EFB9FE" w14:textId="77777777" w:rsidR="00CE6209" w:rsidRPr="00D934B1" w:rsidRDefault="00CE6209" w:rsidP="00CE6209">
      <w:pPr>
        <w:spacing w:after="120"/>
        <w:ind w:firstLine="567"/>
        <w:jc w:val="both"/>
        <w:rPr>
          <w:rFonts w:ascii="Garamond" w:hAnsi="Garamond"/>
          <w:sz w:val="22"/>
          <w:szCs w:val="22"/>
        </w:rPr>
      </w:pPr>
      <w:r w:rsidRPr="00D934B1">
        <w:rPr>
          <w:rFonts w:ascii="Garamond" w:hAnsi="Garamond"/>
          <w:sz w:val="22"/>
          <w:szCs w:val="22"/>
        </w:rPr>
        <w:t>Элемент &lt;podis:subject&gt; содержит информацию о субъекте ОРЭМ – организации-поставщике информации. Является обязательным элементом. В документе допускается наличие только одного элемента &lt;podis:subject&gt;.</w:t>
      </w:r>
    </w:p>
    <w:p w14:paraId="4CBEFF91" w14:textId="77777777" w:rsidR="00CE6209" w:rsidRPr="00D934B1" w:rsidRDefault="00CE6209" w:rsidP="00CE6209">
      <w:pPr>
        <w:spacing w:after="120"/>
        <w:ind w:firstLine="567"/>
        <w:jc w:val="both"/>
        <w:rPr>
          <w:rFonts w:ascii="Garamond" w:hAnsi="Garamond"/>
          <w:sz w:val="22"/>
          <w:szCs w:val="22"/>
        </w:rPr>
      </w:pPr>
      <w:r w:rsidRPr="00D934B1">
        <w:rPr>
          <w:rFonts w:ascii="Garamond" w:hAnsi="Garamond"/>
          <w:sz w:val="22"/>
          <w:szCs w:val="22"/>
        </w:rPr>
        <w:t>Атрибутами элемента &lt;podis:subject&gt; являются:</w:t>
      </w:r>
    </w:p>
    <w:p w14:paraId="565F43A7" w14:textId="77777777" w:rsidR="00CE6209" w:rsidRPr="00D934B1" w:rsidRDefault="00CE6209" w:rsidP="00CE6209">
      <w:pPr>
        <w:spacing w:after="120"/>
        <w:ind w:firstLine="567"/>
        <w:jc w:val="both"/>
        <w:rPr>
          <w:rFonts w:ascii="Garamond" w:hAnsi="Garamond"/>
          <w:sz w:val="22"/>
          <w:szCs w:val="22"/>
        </w:rPr>
      </w:pPr>
      <w:r w:rsidRPr="00D934B1">
        <w:rPr>
          <w:rFonts w:ascii="Garamond" w:hAnsi="Garamond"/>
          <w:sz w:val="22"/>
          <w:szCs w:val="22"/>
        </w:rPr>
        <w:t>–</w:t>
      </w:r>
      <w:r w:rsidRPr="00D934B1">
        <w:rPr>
          <w:rFonts w:ascii="Garamond" w:hAnsi="Garamond"/>
          <w:sz w:val="22"/>
          <w:szCs w:val="22"/>
        </w:rPr>
        <w:tab/>
        <w:t xml:space="preserve"> inn – ИНН организации, предоставляющей информацию, длина inn – 10 символов. Является обязательным атрибутом. Значение не проверяется сетевой организацией, осуществившей допуск в эксплуатацию прибора учета или измерительного комплекса (проверку прибора учета или измерительного комплекса);</w:t>
      </w:r>
    </w:p>
    <w:p w14:paraId="1FB33FAD" w14:textId="77777777" w:rsidR="00CE6209" w:rsidRPr="00D934B1" w:rsidRDefault="00CE6209" w:rsidP="00CE6209">
      <w:pPr>
        <w:spacing w:after="120"/>
        <w:ind w:firstLine="567"/>
        <w:jc w:val="both"/>
        <w:rPr>
          <w:rFonts w:ascii="Garamond" w:hAnsi="Garamond"/>
          <w:sz w:val="22"/>
          <w:szCs w:val="22"/>
        </w:rPr>
      </w:pPr>
      <w:r w:rsidRPr="00D934B1">
        <w:rPr>
          <w:rFonts w:ascii="Garamond" w:hAnsi="Garamond"/>
          <w:sz w:val="22"/>
          <w:szCs w:val="22"/>
        </w:rPr>
        <w:t>–</w:t>
      </w:r>
      <w:r w:rsidRPr="00D934B1">
        <w:rPr>
          <w:rFonts w:ascii="Garamond" w:hAnsi="Garamond"/>
          <w:sz w:val="22"/>
          <w:szCs w:val="22"/>
        </w:rPr>
        <w:tab/>
        <w:t xml:space="preserve"> name – сокращенное наименование организации-заявителя в соответствии с данными, указанными в реестре субъектов оптового рынка. Длина названия до 512 символов. Является обязательным атрибутом. Значение не проверяется сетевой организацией, осуществившей допуск в эксплуатацию прибора учета или измерительного комплекса (проверку прибора учета или измерительного комплекса);</w:t>
      </w:r>
    </w:p>
    <w:p w14:paraId="3A9E99CD" w14:textId="77777777" w:rsidR="00CE6209" w:rsidRPr="00D934B1" w:rsidRDefault="00CE6209" w:rsidP="00CE6209">
      <w:pPr>
        <w:spacing w:after="120"/>
        <w:ind w:firstLine="567"/>
        <w:jc w:val="both"/>
        <w:rPr>
          <w:rFonts w:ascii="Garamond" w:hAnsi="Garamond"/>
          <w:sz w:val="22"/>
          <w:szCs w:val="22"/>
        </w:rPr>
      </w:pPr>
      <w:r w:rsidRPr="00D934B1">
        <w:rPr>
          <w:rFonts w:ascii="Garamond" w:hAnsi="Garamond"/>
          <w:sz w:val="22"/>
          <w:szCs w:val="22"/>
        </w:rPr>
        <w:t>–</w:t>
      </w:r>
      <w:r w:rsidRPr="00D934B1">
        <w:rPr>
          <w:rFonts w:ascii="Garamond" w:hAnsi="Garamond"/>
          <w:sz w:val="22"/>
          <w:szCs w:val="22"/>
        </w:rPr>
        <w:tab/>
        <w:t xml:space="preserve"> trader-code – код заявителя в торговой системе КО. Является обязательным атрибутом, длина поля – ровно 8 символов, состоит из латинских букв и цифр. Значение не проверяется сетевой организацией, осуществившей допуск в эксплуатацию прибора учета или измерительного комплекса (проверку прибора учета или измерительного комплекса).</w:t>
      </w:r>
    </w:p>
    <w:p w14:paraId="717F3206" w14:textId="77777777" w:rsidR="00CE6209" w:rsidRPr="00D934B1" w:rsidRDefault="00CE6209" w:rsidP="00101F7C">
      <w:pPr>
        <w:pStyle w:val="ac"/>
        <w:numPr>
          <w:ilvl w:val="4"/>
          <w:numId w:val="105"/>
        </w:numPr>
        <w:spacing w:after="120"/>
        <w:ind w:left="1134" w:hanging="567"/>
        <w:jc w:val="both"/>
        <w:rPr>
          <w:rFonts w:ascii="Garamond" w:hAnsi="Garamond"/>
          <w:b/>
          <w:sz w:val="22"/>
          <w:szCs w:val="22"/>
        </w:rPr>
      </w:pPr>
      <w:r w:rsidRPr="00D934B1">
        <w:rPr>
          <w:rFonts w:ascii="Garamond" w:hAnsi="Garamond"/>
          <w:b/>
          <w:sz w:val="22"/>
          <w:szCs w:val="22"/>
        </w:rPr>
        <w:t>&lt;podis:partner&gt;</w:t>
      </w:r>
    </w:p>
    <w:p w14:paraId="37AF073E" w14:textId="77777777" w:rsidR="00CE6209" w:rsidRPr="00D934B1" w:rsidRDefault="00CE6209" w:rsidP="00CE6209">
      <w:pPr>
        <w:spacing w:after="120"/>
        <w:ind w:firstLine="567"/>
        <w:jc w:val="both"/>
        <w:rPr>
          <w:rFonts w:ascii="Garamond" w:hAnsi="Garamond"/>
          <w:sz w:val="22"/>
          <w:szCs w:val="22"/>
        </w:rPr>
      </w:pPr>
      <w:r w:rsidRPr="00D934B1">
        <w:rPr>
          <w:rFonts w:ascii="Garamond" w:hAnsi="Garamond"/>
          <w:sz w:val="22"/>
          <w:szCs w:val="22"/>
        </w:rPr>
        <w:t>Элемент &lt;podis:partner&gt; содержит информацию о сетевой организации, осуществившей допуск в эксплуатацию прибора учета или измерительного комплекса (проверку прибора учета или измерительного комплекса). Является обязательным элементом.</w:t>
      </w:r>
    </w:p>
    <w:p w14:paraId="50B5A120" w14:textId="77777777" w:rsidR="00CE6209" w:rsidRPr="00D934B1" w:rsidRDefault="00CE6209" w:rsidP="00CE6209">
      <w:pPr>
        <w:spacing w:after="120"/>
        <w:ind w:firstLine="567"/>
        <w:jc w:val="both"/>
        <w:rPr>
          <w:rFonts w:ascii="Garamond" w:hAnsi="Garamond"/>
          <w:sz w:val="22"/>
          <w:szCs w:val="22"/>
        </w:rPr>
      </w:pPr>
      <w:r w:rsidRPr="00D934B1">
        <w:rPr>
          <w:rFonts w:ascii="Garamond" w:hAnsi="Garamond"/>
          <w:sz w:val="22"/>
          <w:szCs w:val="22"/>
        </w:rPr>
        <w:t>Дочерним элементом &lt;podis:partner&gt; является элемент &lt;podis:organisation&gt;. У элемента &lt;podis:partner&gt; может быть только один дочерний элемент &lt;podis:organisation&gt;.</w:t>
      </w:r>
    </w:p>
    <w:p w14:paraId="62F32D07" w14:textId="77777777" w:rsidR="00CE6209" w:rsidRPr="00D934B1" w:rsidRDefault="00CE6209" w:rsidP="00101F7C">
      <w:pPr>
        <w:pStyle w:val="ac"/>
        <w:numPr>
          <w:ilvl w:val="5"/>
          <w:numId w:val="105"/>
        </w:numPr>
        <w:spacing w:after="120"/>
        <w:ind w:left="1134" w:hanging="567"/>
        <w:jc w:val="both"/>
        <w:rPr>
          <w:rFonts w:ascii="Garamond" w:hAnsi="Garamond"/>
          <w:b/>
          <w:sz w:val="22"/>
          <w:szCs w:val="22"/>
        </w:rPr>
      </w:pPr>
      <w:r w:rsidRPr="00D934B1">
        <w:rPr>
          <w:rFonts w:ascii="Garamond" w:hAnsi="Garamond"/>
          <w:b/>
          <w:sz w:val="22"/>
          <w:szCs w:val="22"/>
        </w:rPr>
        <w:t>&lt;podis:organisation&gt;</w:t>
      </w:r>
    </w:p>
    <w:p w14:paraId="26134EAB" w14:textId="77777777" w:rsidR="00CE6209" w:rsidRPr="00D934B1" w:rsidRDefault="00CE6209" w:rsidP="00CE6209">
      <w:pPr>
        <w:spacing w:after="120"/>
        <w:ind w:firstLine="567"/>
        <w:jc w:val="both"/>
        <w:rPr>
          <w:rFonts w:ascii="Garamond" w:hAnsi="Garamond"/>
          <w:sz w:val="22"/>
          <w:szCs w:val="22"/>
        </w:rPr>
      </w:pPr>
      <w:r w:rsidRPr="00D934B1">
        <w:rPr>
          <w:rFonts w:ascii="Garamond" w:hAnsi="Garamond"/>
          <w:sz w:val="22"/>
          <w:szCs w:val="22"/>
        </w:rPr>
        <w:t xml:space="preserve">Элемент &lt;podis:organisation&gt; содержит в себе сведения о сетевой организации, осуществившей допуск в эксплуатацию прибора учета или измерительного комплекса (проверку прибора учета или измерительного комплекса). Является обязательным элементом. </w:t>
      </w:r>
    </w:p>
    <w:p w14:paraId="4DBDC9E4" w14:textId="77777777" w:rsidR="00CE6209" w:rsidRPr="00D934B1" w:rsidRDefault="00CE6209" w:rsidP="00CE6209">
      <w:pPr>
        <w:spacing w:after="120"/>
        <w:ind w:firstLine="567"/>
        <w:jc w:val="both"/>
        <w:rPr>
          <w:rFonts w:ascii="Garamond" w:hAnsi="Garamond"/>
          <w:sz w:val="22"/>
          <w:szCs w:val="22"/>
        </w:rPr>
      </w:pPr>
      <w:r w:rsidRPr="00D934B1">
        <w:rPr>
          <w:rFonts w:ascii="Garamond" w:hAnsi="Garamond"/>
          <w:sz w:val="22"/>
          <w:szCs w:val="22"/>
        </w:rPr>
        <w:t xml:space="preserve">Дочерними элементами &lt;podis:organisation&gt; являются элементы &lt;podis:orgINN&gt; и &lt;podis:orgNameFull&gt;. У элемента &lt;podis:organisation&gt; может быть только один дочерний элемент &lt;podis:orgINN&gt;, &lt;podis:orgNameFull&gt;. </w:t>
      </w:r>
    </w:p>
    <w:p w14:paraId="04F70C85" w14:textId="77777777" w:rsidR="00CE6209" w:rsidRPr="00D934B1" w:rsidRDefault="00CE6209" w:rsidP="00101F7C">
      <w:pPr>
        <w:pStyle w:val="ac"/>
        <w:numPr>
          <w:ilvl w:val="6"/>
          <w:numId w:val="105"/>
        </w:numPr>
        <w:spacing w:after="120"/>
        <w:ind w:left="1134" w:hanging="567"/>
        <w:jc w:val="both"/>
        <w:rPr>
          <w:rFonts w:ascii="Garamond" w:hAnsi="Garamond"/>
          <w:b/>
          <w:sz w:val="22"/>
          <w:szCs w:val="22"/>
        </w:rPr>
      </w:pPr>
      <w:r w:rsidRPr="00D934B1">
        <w:rPr>
          <w:rFonts w:ascii="Garamond" w:hAnsi="Garamond"/>
          <w:b/>
          <w:sz w:val="22"/>
          <w:szCs w:val="22"/>
        </w:rPr>
        <w:t>&lt;podis:orgINN&gt;</w:t>
      </w:r>
    </w:p>
    <w:p w14:paraId="14A7F1E2" w14:textId="268D471B" w:rsidR="00CE6209" w:rsidRPr="00D934B1" w:rsidRDefault="00CE6209" w:rsidP="00CE6209">
      <w:pPr>
        <w:spacing w:after="120"/>
        <w:ind w:firstLine="567"/>
        <w:jc w:val="both"/>
        <w:rPr>
          <w:rFonts w:ascii="Garamond" w:hAnsi="Garamond"/>
          <w:sz w:val="22"/>
          <w:szCs w:val="22"/>
        </w:rPr>
      </w:pPr>
      <w:r w:rsidRPr="00D934B1">
        <w:rPr>
          <w:rFonts w:ascii="Garamond" w:hAnsi="Garamond"/>
          <w:sz w:val="22"/>
          <w:szCs w:val="22"/>
        </w:rPr>
        <w:lastRenderedPageBreak/>
        <w:t>Элемент &lt;podis:orgINN&gt; содержит ИНН сетевой организации, осуществившей допуск в эксплуатацию прибора учета или измерительного комплекса (проверку прибора учета или измерительного комплекса).</w:t>
      </w:r>
      <w:r w:rsidR="009B5F03">
        <w:rPr>
          <w:rFonts w:ascii="Garamond" w:hAnsi="Garamond"/>
          <w:sz w:val="22"/>
          <w:szCs w:val="22"/>
        </w:rPr>
        <w:t xml:space="preserve"> </w:t>
      </w:r>
      <w:r w:rsidRPr="00D934B1">
        <w:rPr>
          <w:rFonts w:ascii="Garamond" w:hAnsi="Garamond"/>
          <w:sz w:val="22"/>
          <w:szCs w:val="22"/>
        </w:rPr>
        <w:t>Является обязательным элементом и состоит из 10 или 12 цифр.</w:t>
      </w:r>
    </w:p>
    <w:p w14:paraId="09F71AFC" w14:textId="77777777" w:rsidR="00CE6209" w:rsidRPr="00D934B1" w:rsidRDefault="00CE6209" w:rsidP="00101F7C">
      <w:pPr>
        <w:pStyle w:val="ac"/>
        <w:numPr>
          <w:ilvl w:val="6"/>
          <w:numId w:val="105"/>
        </w:numPr>
        <w:spacing w:after="120"/>
        <w:ind w:left="1134" w:hanging="567"/>
        <w:jc w:val="both"/>
        <w:rPr>
          <w:rFonts w:ascii="Garamond" w:hAnsi="Garamond"/>
          <w:b/>
          <w:sz w:val="22"/>
          <w:szCs w:val="22"/>
        </w:rPr>
      </w:pPr>
      <w:r w:rsidRPr="00D934B1">
        <w:rPr>
          <w:rFonts w:ascii="Garamond" w:hAnsi="Garamond"/>
          <w:b/>
          <w:sz w:val="22"/>
          <w:szCs w:val="22"/>
        </w:rPr>
        <w:t>&lt;podis:orgNameFull&gt;</w:t>
      </w:r>
    </w:p>
    <w:p w14:paraId="67D2EBA5" w14:textId="77777777" w:rsidR="00CE6209" w:rsidRPr="00D934B1" w:rsidRDefault="00CE6209" w:rsidP="00CE6209">
      <w:pPr>
        <w:spacing w:after="120"/>
        <w:ind w:firstLine="567"/>
        <w:jc w:val="both"/>
        <w:rPr>
          <w:rFonts w:ascii="Garamond" w:hAnsi="Garamond"/>
          <w:sz w:val="22"/>
          <w:szCs w:val="22"/>
        </w:rPr>
      </w:pPr>
      <w:r w:rsidRPr="00D934B1">
        <w:rPr>
          <w:rFonts w:ascii="Garamond" w:hAnsi="Garamond"/>
          <w:sz w:val="22"/>
          <w:szCs w:val="22"/>
        </w:rPr>
        <w:t>Элемент &lt;podis:orgNameFull&gt; содержит наименование сетевой организации, осуществившей допуск в эксплуатацию прибора учета или измерительного комплекса (проверку прибора учета или измерительного комплекса). Является обязательным элементом. Длина наименования до 512 символов.</w:t>
      </w:r>
    </w:p>
    <w:p w14:paraId="21A6F854" w14:textId="77777777" w:rsidR="00CE6209" w:rsidRPr="00D934B1" w:rsidRDefault="00CE6209" w:rsidP="00101F7C">
      <w:pPr>
        <w:pStyle w:val="ac"/>
        <w:numPr>
          <w:ilvl w:val="4"/>
          <w:numId w:val="105"/>
        </w:numPr>
        <w:spacing w:after="120"/>
        <w:ind w:left="1134" w:hanging="567"/>
        <w:jc w:val="both"/>
        <w:rPr>
          <w:rFonts w:ascii="Garamond" w:hAnsi="Garamond"/>
          <w:b/>
          <w:sz w:val="22"/>
          <w:szCs w:val="22"/>
        </w:rPr>
      </w:pPr>
      <w:r w:rsidRPr="00D934B1">
        <w:rPr>
          <w:rFonts w:ascii="Garamond" w:hAnsi="Garamond"/>
          <w:b/>
          <w:sz w:val="22"/>
          <w:szCs w:val="22"/>
        </w:rPr>
        <w:t>&lt;podis:usagePoints&gt;</w:t>
      </w:r>
    </w:p>
    <w:p w14:paraId="1D916AC3" w14:textId="77777777" w:rsidR="00CE6209" w:rsidRPr="00D934B1" w:rsidRDefault="00CE6209" w:rsidP="00CE6209">
      <w:pPr>
        <w:spacing w:after="120"/>
        <w:ind w:firstLine="567"/>
        <w:jc w:val="both"/>
        <w:rPr>
          <w:rFonts w:ascii="Garamond" w:hAnsi="Garamond"/>
          <w:sz w:val="22"/>
          <w:szCs w:val="22"/>
        </w:rPr>
      </w:pPr>
      <w:r w:rsidRPr="00D934B1">
        <w:rPr>
          <w:rFonts w:ascii="Garamond" w:hAnsi="Garamond"/>
          <w:sz w:val="22"/>
          <w:szCs w:val="22"/>
        </w:rPr>
        <w:t xml:space="preserve">Элемент &lt;podis:usagePoints&gt; содержит справочник точек измерений </w:t>
      </w:r>
      <w:r w:rsidR="00D64471">
        <w:rPr>
          <w:rFonts w:ascii="Garamond" w:hAnsi="Garamond"/>
          <w:sz w:val="22"/>
          <w:szCs w:val="22"/>
        </w:rPr>
        <w:t>совокупности СИ и ТУ</w:t>
      </w:r>
      <w:r w:rsidRPr="00D934B1">
        <w:rPr>
          <w:rFonts w:ascii="Garamond" w:hAnsi="Garamond"/>
          <w:sz w:val="22"/>
          <w:szCs w:val="22"/>
        </w:rPr>
        <w:t xml:space="preserve">. Является обязательным элементом. </w:t>
      </w:r>
    </w:p>
    <w:p w14:paraId="6EB96FD0" w14:textId="77777777" w:rsidR="00CE6209" w:rsidRPr="00D934B1" w:rsidRDefault="00CE6209" w:rsidP="00CE6209">
      <w:pPr>
        <w:spacing w:after="120"/>
        <w:ind w:firstLine="567"/>
        <w:jc w:val="both"/>
        <w:rPr>
          <w:rFonts w:ascii="Garamond" w:hAnsi="Garamond"/>
          <w:sz w:val="22"/>
          <w:szCs w:val="22"/>
        </w:rPr>
      </w:pPr>
      <w:r w:rsidRPr="00D934B1">
        <w:rPr>
          <w:rFonts w:ascii="Garamond" w:hAnsi="Garamond"/>
          <w:sz w:val="22"/>
          <w:szCs w:val="22"/>
        </w:rPr>
        <w:t>Дочерним элементом &lt;podis:usagePoints&gt; является элемент &lt;podis:usagePoint&gt;. У каждого элемента &lt;podis:usagePoints&gt; должен быть как минимум один дочерний элемент &lt;podis:usagePoint&gt;.</w:t>
      </w:r>
    </w:p>
    <w:p w14:paraId="5B036883" w14:textId="77777777" w:rsidR="00CE6209" w:rsidRPr="00D934B1" w:rsidRDefault="00CE6209" w:rsidP="00101F7C">
      <w:pPr>
        <w:pStyle w:val="ac"/>
        <w:numPr>
          <w:ilvl w:val="5"/>
          <w:numId w:val="105"/>
        </w:numPr>
        <w:spacing w:after="120"/>
        <w:ind w:left="1134" w:hanging="567"/>
        <w:jc w:val="both"/>
        <w:rPr>
          <w:rFonts w:ascii="Garamond" w:hAnsi="Garamond"/>
          <w:b/>
          <w:sz w:val="22"/>
          <w:szCs w:val="22"/>
        </w:rPr>
      </w:pPr>
      <w:r w:rsidRPr="00D934B1">
        <w:rPr>
          <w:rFonts w:ascii="Garamond" w:hAnsi="Garamond"/>
          <w:b/>
          <w:sz w:val="22"/>
          <w:szCs w:val="22"/>
        </w:rPr>
        <w:t>&lt;podis:usagePoint&gt;</w:t>
      </w:r>
    </w:p>
    <w:p w14:paraId="2CCD3D70" w14:textId="77777777" w:rsidR="00CE6209" w:rsidRPr="00D934B1" w:rsidRDefault="00CE6209" w:rsidP="00CE6209">
      <w:pPr>
        <w:spacing w:after="120"/>
        <w:ind w:firstLine="567"/>
        <w:jc w:val="both"/>
        <w:rPr>
          <w:rFonts w:ascii="Garamond" w:hAnsi="Garamond"/>
          <w:sz w:val="22"/>
          <w:szCs w:val="22"/>
        </w:rPr>
      </w:pPr>
      <w:r w:rsidRPr="00D934B1">
        <w:rPr>
          <w:rFonts w:ascii="Garamond" w:hAnsi="Garamond"/>
          <w:sz w:val="22"/>
          <w:szCs w:val="22"/>
        </w:rPr>
        <w:t>Элемент &lt;podis:usagePoint&gt; содержит информацию о точке измерений. Является обязательным элементом. В документе может присутствовать несколько элементов &lt;podis:usagePoint&gt;.</w:t>
      </w:r>
    </w:p>
    <w:p w14:paraId="58BAAEFA" w14:textId="77777777" w:rsidR="00CE6209" w:rsidRPr="00D934B1" w:rsidRDefault="00CE6209" w:rsidP="00CE6209">
      <w:pPr>
        <w:spacing w:after="120"/>
        <w:ind w:firstLine="567"/>
        <w:jc w:val="both"/>
        <w:rPr>
          <w:rFonts w:ascii="Garamond" w:hAnsi="Garamond"/>
          <w:sz w:val="22"/>
          <w:szCs w:val="22"/>
        </w:rPr>
      </w:pPr>
      <w:r w:rsidRPr="00D934B1">
        <w:rPr>
          <w:rFonts w:ascii="Garamond" w:hAnsi="Garamond"/>
          <w:sz w:val="22"/>
          <w:szCs w:val="22"/>
        </w:rPr>
        <w:t>Дочерними элементами &lt;podis:usagePoint&gt; являются элементы &lt;podis:measuring-point-code&gt;, &lt;podis:guid&gt;, &lt;podis:name&gt; и &lt;podis:accountPointRole&gt;. У элемента &lt;podis:usagePoint&gt; может быть только один дочерний элемент &lt;podis:measuring-point-code&gt;, &lt;podis:guid&gt;, &lt;podis:name&gt; и &lt;podis:accountPointRole&gt;.</w:t>
      </w:r>
    </w:p>
    <w:p w14:paraId="0CD79CFE" w14:textId="77777777" w:rsidR="00CE6209" w:rsidRPr="00D934B1" w:rsidRDefault="00CE6209" w:rsidP="00101F7C">
      <w:pPr>
        <w:pStyle w:val="ac"/>
        <w:numPr>
          <w:ilvl w:val="6"/>
          <w:numId w:val="105"/>
        </w:numPr>
        <w:spacing w:after="120"/>
        <w:ind w:left="1134" w:hanging="567"/>
        <w:jc w:val="both"/>
        <w:rPr>
          <w:rFonts w:ascii="Garamond" w:hAnsi="Garamond"/>
          <w:b/>
          <w:sz w:val="22"/>
          <w:szCs w:val="22"/>
        </w:rPr>
      </w:pPr>
      <w:r w:rsidRPr="00D934B1">
        <w:rPr>
          <w:rFonts w:ascii="Garamond" w:hAnsi="Garamond"/>
          <w:b/>
          <w:sz w:val="22"/>
          <w:szCs w:val="22"/>
        </w:rPr>
        <w:t>&lt;podis:measuring-point-code&gt;</w:t>
      </w:r>
    </w:p>
    <w:p w14:paraId="46AE6C87" w14:textId="77777777" w:rsidR="00CE6209" w:rsidRPr="00D934B1" w:rsidRDefault="00CE6209" w:rsidP="00CE6209">
      <w:pPr>
        <w:spacing w:after="120"/>
        <w:ind w:firstLine="567"/>
        <w:jc w:val="both"/>
        <w:rPr>
          <w:rFonts w:ascii="Garamond" w:hAnsi="Garamond"/>
          <w:sz w:val="22"/>
          <w:szCs w:val="22"/>
        </w:rPr>
      </w:pPr>
      <w:r w:rsidRPr="00D934B1">
        <w:rPr>
          <w:rFonts w:ascii="Garamond" w:hAnsi="Garamond"/>
          <w:sz w:val="22"/>
          <w:szCs w:val="22"/>
        </w:rPr>
        <w:t>Элемент &lt;podis:measuring-point-code&gt; содержит код, присвоенный КО точке измерений. Является обязательным элементом в случае наличия кода АТС точки измерений, в ином случае не указывается. Состоит из 15 знаков. Значение не проверяется сетевой организацией, осуществившей допуск в эксплуатацию прибора учета или измерительного комплекса (проверку прибора учета или измерительного комплекса).</w:t>
      </w:r>
    </w:p>
    <w:p w14:paraId="2C864FFC" w14:textId="77777777" w:rsidR="00CE6209" w:rsidRPr="00D934B1" w:rsidRDefault="00CE6209" w:rsidP="00101F7C">
      <w:pPr>
        <w:pStyle w:val="ac"/>
        <w:numPr>
          <w:ilvl w:val="6"/>
          <w:numId w:val="105"/>
        </w:numPr>
        <w:spacing w:after="120"/>
        <w:ind w:left="1134" w:hanging="567"/>
        <w:jc w:val="both"/>
        <w:rPr>
          <w:rFonts w:ascii="Garamond" w:hAnsi="Garamond"/>
          <w:b/>
          <w:sz w:val="22"/>
          <w:szCs w:val="22"/>
        </w:rPr>
      </w:pPr>
      <w:r w:rsidRPr="00D934B1">
        <w:rPr>
          <w:rFonts w:ascii="Garamond" w:hAnsi="Garamond"/>
          <w:b/>
          <w:sz w:val="22"/>
          <w:szCs w:val="22"/>
        </w:rPr>
        <w:t>&lt;podis:guid&gt;</w:t>
      </w:r>
    </w:p>
    <w:p w14:paraId="37B74153" w14:textId="77777777" w:rsidR="00CE6209" w:rsidRPr="00D934B1" w:rsidRDefault="00CE6209" w:rsidP="00CE6209">
      <w:pPr>
        <w:spacing w:after="120"/>
        <w:ind w:firstLine="567"/>
        <w:jc w:val="both"/>
        <w:rPr>
          <w:rFonts w:ascii="Garamond" w:hAnsi="Garamond"/>
          <w:sz w:val="22"/>
          <w:szCs w:val="22"/>
        </w:rPr>
      </w:pPr>
      <w:r w:rsidRPr="00D934B1">
        <w:rPr>
          <w:rFonts w:ascii="Garamond" w:hAnsi="Garamond"/>
          <w:sz w:val="22"/>
          <w:szCs w:val="22"/>
        </w:rPr>
        <w:t>Элемент &lt;podis:guid&gt; содержит уникальный идентификатор (globally unique identifier (GUID)) точки измерений, присваиваемый системой, формирующей файл 60000. Является текстовым полем из 36 символов. Обязательный элемент в случае отсутствия элемента &lt;podis:measuring-point-code&gt;, дочернего для &lt;podis:usagePoint&gt;, в ином случае не указывается. Значение не проверяется сетевой организацией, осуществившей допуск в эксплуатацию прибора учета или измерительного комплекса (проверку прибора учета или измерительного комплекса).</w:t>
      </w:r>
    </w:p>
    <w:p w14:paraId="0C51F1A2" w14:textId="77777777" w:rsidR="00CE6209" w:rsidRPr="00D934B1" w:rsidRDefault="00CE6209" w:rsidP="00101F7C">
      <w:pPr>
        <w:pStyle w:val="ac"/>
        <w:numPr>
          <w:ilvl w:val="6"/>
          <w:numId w:val="105"/>
        </w:numPr>
        <w:spacing w:after="120"/>
        <w:ind w:left="1134" w:hanging="567"/>
        <w:jc w:val="both"/>
        <w:rPr>
          <w:rFonts w:ascii="Garamond" w:hAnsi="Garamond"/>
          <w:b/>
          <w:sz w:val="22"/>
          <w:szCs w:val="22"/>
        </w:rPr>
      </w:pPr>
      <w:r w:rsidRPr="00D934B1">
        <w:rPr>
          <w:rFonts w:ascii="Garamond" w:hAnsi="Garamond"/>
          <w:b/>
          <w:sz w:val="22"/>
          <w:szCs w:val="22"/>
        </w:rPr>
        <w:t>&lt;podis:name&gt;</w:t>
      </w:r>
    </w:p>
    <w:p w14:paraId="3EAF9D95" w14:textId="77777777" w:rsidR="00CE6209" w:rsidRPr="00D934B1" w:rsidRDefault="00CE6209" w:rsidP="00CE6209">
      <w:pPr>
        <w:spacing w:after="120"/>
        <w:ind w:firstLine="567"/>
        <w:jc w:val="both"/>
        <w:rPr>
          <w:rFonts w:ascii="Garamond" w:hAnsi="Garamond"/>
          <w:sz w:val="22"/>
          <w:szCs w:val="22"/>
        </w:rPr>
      </w:pPr>
      <w:r w:rsidRPr="00D934B1">
        <w:rPr>
          <w:rFonts w:ascii="Garamond" w:hAnsi="Garamond"/>
          <w:sz w:val="22"/>
          <w:szCs w:val="22"/>
        </w:rPr>
        <w:t>Элемент &lt;podis:name&gt; содержит наименование точки измерений, присвоенное КО. Является обязательным элементом. Длина наименования до 512 символов.</w:t>
      </w:r>
    </w:p>
    <w:p w14:paraId="723D2CC6" w14:textId="77777777" w:rsidR="00CE6209" w:rsidRPr="00D934B1" w:rsidRDefault="00CE6209" w:rsidP="00101F7C">
      <w:pPr>
        <w:pStyle w:val="ac"/>
        <w:numPr>
          <w:ilvl w:val="6"/>
          <w:numId w:val="105"/>
        </w:numPr>
        <w:spacing w:after="120"/>
        <w:ind w:left="1134" w:hanging="567"/>
        <w:jc w:val="both"/>
        <w:rPr>
          <w:rFonts w:ascii="Garamond" w:hAnsi="Garamond"/>
          <w:b/>
          <w:sz w:val="22"/>
          <w:szCs w:val="22"/>
        </w:rPr>
      </w:pPr>
      <w:r w:rsidRPr="00D934B1">
        <w:rPr>
          <w:rFonts w:ascii="Garamond" w:hAnsi="Garamond"/>
          <w:b/>
          <w:sz w:val="22"/>
          <w:szCs w:val="22"/>
        </w:rPr>
        <w:t>&lt;podis:accountPointRole&gt;</w:t>
      </w:r>
    </w:p>
    <w:p w14:paraId="2FEBAB5B" w14:textId="77777777" w:rsidR="00CE6209" w:rsidRPr="00D934B1" w:rsidRDefault="00CE6209" w:rsidP="00CE6209">
      <w:pPr>
        <w:spacing w:after="120"/>
        <w:ind w:firstLine="567"/>
        <w:jc w:val="both"/>
        <w:rPr>
          <w:rFonts w:ascii="Garamond" w:hAnsi="Garamond"/>
          <w:sz w:val="22"/>
          <w:szCs w:val="22"/>
        </w:rPr>
      </w:pPr>
      <w:r w:rsidRPr="00D934B1">
        <w:rPr>
          <w:rFonts w:ascii="Garamond" w:hAnsi="Garamond"/>
          <w:sz w:val="22"/>
          <w:szCs w:val="22"/>
        </w:rPr>
        <w:t>Элемент &lt;podis:accountPointRole&gt; содержит в себе элементы, которые характерны для точки измерений. Является обязательным элементом.</w:t>
      </w:r>
    </w:p>
    <w:p w14:paraId="7F198C9C" w14:textId="77777777" w:rsidR="00CE6209" w:rsidRPr="00D934B1" w:rsidRDefault="00CE6209" w:rsidP="00CE6209">
      <w:pPr>
        <w:spacing w:after="120"/>
        <w:ind w:firstLine="567"/>
        <w:jc w:val="both"/>
        <w:rPr>
          <w:rFonts w:ascii="Garamond" w:hAnsi="Garamond"/>
          <w:sz w:val="22"/>
          <w:szCs w:val="22"/>
        </w:rPr>
      </w:pPr>
      <w:r w:rsidRPr="00D934B1">
        <w:rPr>
          <w:rFonts w:ascii="Garamond" w:hAnsi="Garamond"/>
          <w:sz w:val="22"/>
          <w:szCs w:val="22"/>
        </w:rPr>
        <w:t>Дочерними элементами &lt;podis:accountPointRole&gt; являются элементы &lt;podis:endDevices&gt; и &lt;podis:equipments&gt;. У элемента &lt;podis:accountPointRole&gt; может быть только один дочерний элемент &lt;podis:endDevices&gt; и &lt;podis:equipments&gt;.</w:t>
      </w:r>
    </w:p>
    <w:p w14:paraId="1234329D" w14:textId="77777777" w:rsidR="00CE6209" w:rsidRPr="00D934B1" w:rsidRDefault="00CE6209" w:rsidP="00101F7C">
      <w:pPr>
        <w:pStyle w:val="ac"/>
        <w:numPr>
          <w:ilvl w:val="7"/>
          <w:numId w:val="105"/>
        </w:numPr>
        <w:spacing w:after="120"/>
        <w:ind w:left="1134" w:hanging="567"/>
        <w:jc w:val="both"/>
        <w:rPr>
          <w:rFonts w:ascii="Garamond" w:hAnsi="Garamond"/>
          <w:b/>
          <w:sz w:val="22"/>
          <w:szCs w:val="22"/>
        </w:rPr>
      </w:pPr>
      <w:r w:rsidRPr="00D934B1">
        <w:rPr>
          <w:rFonts w:ascii="Garamond" w:hAnsi="Garamond"/>
          <w:b/>
          <w:sz w:val="22"/>
          <w:szCs w:val="22"/>
        </w:rPr>
        <w:t>&lt;podis:endDevices&gt;</w:t>
      </w:r>
    </w:p>
    <w:p w14:paraId="778660E9" w14:textId="77777777" w:rsidR="00CE6209" w:rsidRPr="00D934B1" w:rsidRDefault="00CE6209" w:rsidP="00CE6209">
      <w:pPr>
        <w:spacing w:after="120"/>
        <w:ind w:firstLine="567"/>
        <w:jc w:val="both"/>
        <w:rPr>
          <w:rFonts w:ascii="Garamond" w:hAnsi="Garamond"/>
          <w:sz w:val="22"/>
          <w:szCs w:val="22"/>
        </w:rPr>
      </w:pPr>
      <w:r w:rsidRPr="00D934B1">
        <w:rPr>
          <w:rFonts w:ascii="Garamond" w:hAnsi="Garamond"/>
          <w:sz w:val="22"/>
          <w:szCs w:val="22"/>
        </w:rPr>
        <w:t>Элемент &lt;podis:endDevices&gt; содержит информацию о приборах учета и устройствах сбора и передачи данных (далее УСПД) точки измерений. Является обязательным элементом.</w:t>
      </w:r>
    </w:p>
    <w:p w14:paraId="7940CD77" w14:textId="77777777" w:rsidR="00CE6209" w:rsidRPr="00D934B1" w:rsidRDefault="00CE6209" w:rsidP="00CE6209">
      <w:pPr>
        <w:spacing w:after="120"/>
        <w:ind w:firstLine="567"/>
        <w:jc w:val="both"/>
        <w:rPr>
          <w:rFonts w:ascii="Garamond" w:hAnsi="Garamond"/>
          <w:sz w:val="22"/>
          <w:szCs w:val="22"/>
        </w:rPr>
      </w:pPr>
      <w:r w:rsidRPr="00D934B1">
        <w:rPr>
          <w:rFonts w:ascii="Garamond" w:hAnsi="Garamond"/>
          <w:sz w:val="22"/>
          <w:szCs w:val="22"/>
        </w:rPr>
        <w:t>Дочерними элементами &lt;podis:endDevices&gt; являются элементы &lt;podis:meter&gt; и &lt;podis:rtu&gt;. У элемента &lt;podis:endDevices&gt; может быть только один дочерний элемент &lt;podis:meter&gt; и не более двух дочерних элементов &lt;podis:rtu&gt;.</w:t>
      </w:r>
    </w:p>
    <w:p w14:paraId="46175421" w14:textId="77777777" w:rsidR="00CE6209" w:rsidRPr="00D934B1" w:rsidRDefault="00CE6209" w:rsidP="00101F7C">
      <w:pPr>
        <w:pStyle w:val="ac"/>
        <w:numPr>
          <w:ilvl w:val="8"/>
          <w:numId w:val="105"/>
        </w:numPr>
        <w:spacing w:after="120"/>
        <w:ind w:left="1134" w:hanging="567"/>
        <w:jc w:val="both"/>
        <w:rPr>
          <w:rFonts w:ascii="Garamond" w:hAnsi="Garamond"/>
          <w:b/>
          <w:sz w:val="22"/>
          <w:szCs w:val="22"/>
        </w:rPr>
      </w:pPr>
      <w:r w:rsidRPr="00D934B1">
        <w:rPr>
          <w:rFonts w:ascii="Garamond" w:hAnsi="Garamond"/>
          <w:b/>
          <w:sz w:val="22"/>
          <w:szCs w:val="22"/>
        </w:rPr>
        <w:t>&lt;podis:meter&gt;</w:t>
      </w:r>
    </w:p>
    <w:p w14:paraId="0803403F" w14:textId="77777777" w:rsidR="00CE6209" w:rsidRPr="00D934B1" w:rsidRDefault="00CE6209" w:rsidP="00CE6209">
      <w:pPr>
        <w:spacing w:after="120"/>
        <w:ind w:firstLine="567"/>
        <w:jc w:val="both"/>
        <w:rPr>
          <w:rFonts w:ascii="Garamond" w:hAnsi="Garamond"/>
          <w:sz w:val="22"/>
          <w:szCs w:val="22"/>
        </w:rPr>
      </w:pPr>
      <w:r w:rsidRPr="00D934B1">
        <w:rPr>
          <w:rFonts w:ascii="Garamond" w:hAnsi="Garamond"/>
          <w:sz w:val="22"/>
          <w:szCs w:val="22"/>
        </w:rPr>
        <w:lastRenderedPageBreak/>
        <w:t xml:space="preserve">Элемент &lt;podis:meter&gt; содержит информацию о приборе учета. Является обязательным элементом. </w:t>
      </w:r>
    </w:p>
    <w:p w14:paraId="7FC46495" w14:textId="296588AA" w:rsidR="00CE6209" w:rsidRPr="00241C66" w:rsidRDefault="00CE6209" w:rsidP="00CE6209">
      <w:pPr>
        <w:spacing w:after="120"/>
        <w:ind w:firstLine="567"/>
        <w:jc w:val="both"/>
        <w:rPr>
          <w:rFonts w:ascii="Garamond" w:hAnsi="Garamond"/>
          <w:sz w:val="22"/>
          <w:szCs w:val="22"/>
        </w:rPr>
      </w:pPr>
      <w:r w:rsidRPr="00D934B1">
        <w:rPr>
          <w:rFonts w:ascii="Garamond" w:hAnsi="Garamond"/>
          <w:sz w:val="22"/>
          <w:szCs w:val="22"/>
        </w:rPr>
        <w:t>Дочерними</w:t>
      </w:r>
      <w:r w:rsidRPr="00241C66">
        <w:rPr>
          <w:rFonts w:ascii="Garamond" w:hAnsi="Garamond"/>
          <w:sz w:val="22"/>
          <w:szCs w:val="22"/>
        </w:rPr>
        <w:t xml:space="preserve"> </w:t>
      </w:r>
      <w:r w:rsidRPr="00D934B1">
        <w:rPr>
          <w:rFonts w:ascii="Garamond" w:hAnsi="Garamond"/>
          <w:sz w:val="22"/>
          <w:szCs w:val="22"/>
        </w:rPr>
        <w:t>элементами</w:t>
      </w:r>
      <w:r w:rsidRPr="00241C66">
        <w:rPr>
          <w:rFonts w:ascii="Garamond" w:hAnsi="Garamond"/>
          <w:sz w:val="22"/>
          <w:szCs w:val="22"/>
        </w:rPr>
        <w:t xml:space="preserve"> &lt;</w:t>
      </w:r>
      <w:r w:rsidRPr="009537EC">
        <w:rPr>
          <w:rFonts w:ascii="Garamond" w:hAnsi="Garamond"/>
          <w:sz w:val="22"/>
          <w:szCs w:val="22"/>
          <w:lang w:val="en-US"/>
        </w:rPr>
        <w:t>podis</w:t>
      </w:r>
      <w:r w:rsidRPr="00241C66">
        <w:rPr>
          <w:rFonts w:ascii="Garamond" w:hAnsi="Garamond"/>
          <w:sz w:val="22"/>
          <w:szCs w:val="22"/>
        </w:rPr>
        <w:t>:</w:t>
      </w:r>
      <w:r w:rsidRPr="009537EC">
        <w:rPr>
          <w:rFonts w:ascii="Garamond" w:hAnsi="Garamond"/>
          <w:sz w:val="22"/>
          <w:szCs w:val="22"/>
          <w:lang w:val="en-US"/>
        </w:rPr>
        <w:t>meter</w:t>
      </w:r>
      <w:r w:rsidRPr="00241C66">
        <w:rPr>
          <w:rFonts w:ascii="Garamond" w:hAnsi="Garamond"/>
          <w:sz w:val="22"/>
          <w:szCs w:val="22"/>
        </w:rPr>
        <w:t xml:space="preserve">&gt; </w:t>
      </w:r>
      <w:r w:rsidRPr="00D934B1">
        <w:rPr>
          <w:rFonts w:ascii="Garamond" w:hAnsi="Garamond"/>
          <w:sz w:val="22"/>
          <w:szCs w:val="22"/>
        </w:rPr>
        <w:t>являются</w:t>
      </w:r>
      <w:r w:rsidRPr="00241C66">
        <w:rPr>
          <w:rFonts w:ascii="Garamond" w:hAnsi="Garamond"/>
          <w:sz w:val="22"/>
          <w:szCs w:val="22"/>
        </w:rPr>
        <w:t xml:space="preserve"> </w:t>
      </w:r>
      <w:r w:rsidRPr="00D934B1">
        <w:rPr>
          <w:rFonts w:ascii="Garamond" w:hAnsi="Garamond"/>
          <w:sz w:val="22"/>
          <w:szCs w:val="22"/>
        </w:rPr>
        <w:t>элементы</w:t>
      </w:r>
      <w:r w:rsidRPr="00241C66">
        <w:rPr>
          <w:rFonts w:ascii="Garamond" w:hAnsi="Garamond"/>
          <w:sz w:val="22"/>
          <w:szCs w:val="22"/>
        </w:rPr>
        <w:t xml:space="preserve"> &lt;</w:t>
      </w:r>
      <w:r w:rsidRPr="009537EC">
        <w:rPr>
          <w:rFonts w:ascii="Garamond" w:hAnsi="Garamond"/>
          <w:sz w:val="22"/>
          <w:szCs w:val="22"/>
          <w:lang w:val="en-US"/>
        </w:rPr>
        <w:t>podis</w:t>
      </w:r>
      <w:r w:rsidRPr="00241C66">
        <w:rPr>
          <w:rFonts w:ascii="Garamond" w:hAnsi="Garamond"/>
          <w:sz w:val="22"/>
          <w:szCs w:val="22"/>
        </w:rPr>
        <w:t>:</w:t>
      </w:r>
      <w:r w:rsidRPr="009537EC">
        <w:rPr>
          <w:rFonts w:ascii="Garamond" w:hAnsi="Garamond"/>
          <w:sz w:val="22"/>
          <w:szCs w:val="22"/>
          <w:lang w:val="en-US"/>
        </w:rPr>
        <w:t>measuring</w:t>
      </w:r>
      <w:r w:rsidRPr="00241C66">
        <w:rPr>
          <w:rFonts w:ascii="Garamond" w:hAnsi="Garamond"/>
          <w:sz w:val="22"/>
          <w:szCs w:val="22"/>
        </w:rPr>
        <w:t>-</w:t>
      </w:r>
      <w:r w:rsidRPr="009537EC">
        <w:rPr>
          <w:rFonts w:ascii="Garamond" w:hAnsi="Garamond"/>
          <w:sz w:val="22"/>
          <w:szCs w:val="22"/>
          <w:lang w:val="en-US"/>
        </w:rPr>
        <w:t>device</w:t>
      </w:r>
      <w:r w:rsidRPr="00241C66">
        <w:rPr>
          <w:rFonts w:ascii="Garamond" w:hAnsi="Garamond"/>
          <w:sz w:val="22"/>
          <w:szCs w:val="22"/>
        </w:rPr>
        <w:t>-</w:t>
      </w:r>
      <w:r w:rsidRPr="009537EC">
        <w:rPr>
          <w:rFonts w:ascii="Garamond" w:hAnsi="Garamond"/>
          <w:sz w:val="22"/>
          <w:szCs w:val="22"/>
          <w:lang w:val="en-US"/>
        </w:rPr>
        <w:t>code</w:t>
      </w:r>
      <w:r w:rsidRPr="00241C66">
        <w:rPr>
          <w:rFonts w:ascii="Garamond" w:hAnsi="Garamond"/>
          <w:sz w:val="22"/>
          <w:szCs w:val="22"/>
        </w:rPr>
        <w:t>&gt;, &lt;</w:t>
      </w:r>
      <w:r w:rsidRPr="009537EC">
        <w:rPr>
          <w:rFonts w:ascii="Garamond" w:hAnsi="Garamond"/>
          <w:sz w:val="22"/>
          <w:szCs w:val="22"/>
          <w:lang w:val="en-US"/>
        </w:rPr>
        <w:t>podis</w:t>
      </w:r>
      <w:r w:rsidRPr="00241C66">
        <w:rPr>
          <w:rFonts w:ascii="Garamond" w:hAnsi="Garamond"/>
          <w:sz w:val="22"/>
          <w:szCs w:val="22"/>
        </w:rPr>
        <w:t>:</w:t>
      </w:r>
      <w:r w:rsidRPr="009537EC">
        <w:rPr>
          <w:rFonts w:ascii="Garamond" w:hAnsi="Garamond"/>
          <w:sz w:val="22"/>
          <w:szCs w:val="22"/>
          <w:lang w:val="en-US"/>
        </w:rPr>
        <w:t>guid</w:t>
      </w:r>
      <w:r w:rsidRPr="00241C66">
        <w:rPr>
          <w:rFonts w:ascii="Garamond" w:hAnsi="Garamond"/>
          <w:sz w:val="22"/>
          <w:szCs w:val="22"/>
        </w:rPr>
        <w:t>&gt;, &lt;</w:t>
      </w:r>
      <w:r w:rsidRPr="009537EC">
        <w:rPr>
          <w:rFonts w:ascii="Garamond" w:hAnsi="Garamond"/>
          <w:sz w:val="22"/>
          <w:szCs w:val="22"/>
          <w:lang w:val="en-US"/>
        </w:rPr>
        <w:t>podis</w:t>
      </w:r>
      <w:r w:rsidRPr="00241C66">
        <w:rPr>
          <w:rFonts w:ascii="Garamond" w:hAnsi="Garamond"/>
          <w:sz w:val="22"/>
          <w:szCs w:val="22"/>
        </w:rPr>
        <w:t>:</w:t>
      </w:r>
      <w:r w:rsidRPr="009537EC">
        <w:rPr>
          <w:rFonts w:ascii="Garamond" w:hAnsi="Garamond"/>
          <w:sz w:val="22"/>
          <w:szCs w:val="22"/>
          <w:lang w:val="en-US"/>
        </w:rPr>
        <w:t>lifeCycleDate</w:t>
      </w:r>
      <w:r w:rsidRPr="00241C66">
        <w:rPr>
          <w:rFonts w:ascii="Garamond" w:hAnsi="Garamond"/>
          <w:sz w:val="22"/>
          <w:szCs w:val="22"/>
        </w:rPr>
        <w:t>&gt;, &lt;</w:t>
      </w:r>
      <w:r w:rsidRPr="009537EC">
        <w:rPr>
          <w:rFonts w:ascii="Garamond" w:hAnsi="Garamond"/>
          <w:sz w:val="22"/>
          <w:szCs w:val="22"/>
          <w:lang w:val="en-US"/>
        </w:rPr>
        <w:t>podis</w:t>
      </w:r>
      <w:r w:rsidRPr="00241C66">
        <w:rPr>
          <w:rFonts w:ascii="Garamond" w:hAnsi="Garamond"/>
          <w:sz w:val="22"/>
          <w:szCs w:val="22"/>
        </w:rPr>
        <w:t>:</w:t>
      </w:r>
      <w:r w:rsidRPr="009537EC">
        <w:rPr>
          <w:rFonts w:ascii="Garamond" w:hAnsi="Garamond"/>
          <w:sz w:val="22"/>
          <w:szCs w:val="22"/>
          <w:lang w:val="en-US"/>
        </w:rPr>
        <w:t>serialNumber</w:t>
      </w:r>
      <w:r w:rsidRPr="00241C66">
        <w:rPr>
          <w:rFonts w:ascii="Garamond" w:hAnsi="Garamond"/>
          <w:sz w:val="22"/>
          <w:szCs w:val="22"/>
        </w:rPr>
        <w:t>&gt;, &lt;</w:t>
      </w:r>
      <w:r w:rsidRPr="009537EC">
        <w:rPr>
          <w:rFonts w:ascii="Garamond" w:hAnsi="Garamond"/>
          <w:sz w:val="22"/>
          <w:szCs w:val="22"/>
          <w:lang w:val="en-US"/>
        </w:rPr>
        <w:t>podis</w:t>
      </w:r>
      <w:r w:rsidRPr="00241C66">
        <w:rPr>
          <w:rFonts w:ascii="Garamond" w:hAnsi="Garamond"/>
          <w:sz w:val="22"/>
          <w:szCs w:val="22"/>
        </w:rPr>
        <w:t>:</w:t>
      </w:r>
      <w:r w:rsidRPr="009537EC">
        <w:rPr>
          <w:rFonts w:ascii="Garamond" w:hAnsi="Garamond"/>
          <w:sz w:val="22"/>
          <w:szCs w:val="22"/>
          <w:lang w:val="en-US"/>
        </w:rPr>
        <w:t>n</w:t>
      </w:r>
      <w:r w:rsidRPr="00241C66">
        <w:rPr>
          <w:rFonts w:ascii="Garamond" w:hAnsi="Garamond"/>
          <w:sz w:val="22"/>
          <w:szCs w:val="22"/>
        </w:rPr>
        <w:t>-</w:t>
      </w:r>
      <w:r w:rsidRPr="009537EC">
        <w:rPr>
          <w:rFonts w:ascii="Garamond" w:hAnsi="Garamond"/>
          <w:sz w:val="22"/>
          <w:szCs w:val="22"/>
          <w:lang w:val="en-US"/>
        </w:rPr>
        <w:t>active</w:t>
      </w:r>
      <w:r w:rsidRPr="00241C66">
        <w:rPr>
          <w:rFonts w:ascii="Garamond" w:hAnsi="Garamond"/>
          <w:sz w:val="22"/>
          <w:szCs w:val="22"/>
        </w:rPr>
        <w:t>-</w:t>
      </w:r>
      <w:r w:rsidRPr="009537EC">
        <w:rPr>
          <w:rFonts w:ascii="Garamond" w:hAnsi="Garamond"/>
          <w:sz w:val="22"/>
          <w:szCs w:val="22"/>
          <w:lang w:val="en-US"/>
        </w:rPr>
        <w:t>channels</w:t>
      </w:r>
      <w:r w:rsidRPr="00241C66">
        <w:rPr>
          <w:rFonts w:ascii="Garamond" w:hAnsi="Garamond"/>
          <w:sz w:val="22"/>
          <w:szCs w:val="22"/>
        </w:rPr>
        <w:t>&gt;, &lt;</w:t>
      </w:r>
      <w:r w:rsidRPr="009537EC">
        <w:rPr>
          <w:rFonts w:ascii="Garamond" w:hAnsi="Garamond"/>
          <w:sz w:val="22"/>
          <w:szCs w:val="22"/>
          <w:lang w:val="en-US"/>
        </w:rPr>
        <w:t>podis</w:t>
      </w:r>
      <w:r w:rsidRPr="00241C66">
        <w:rPr>
          <w:rFonts w:ascii="Garamond" w:hAnsi="Garamond"/>
          <w:sz w:val="22"/>
          <w:szCs w:val="22"/>
        </w:rPr>
        <w:t>:</w:t>
      </w:r>
      <w:r w:rsidRPr="009537EC">
        <w:rPr>
          <w:rFonts w:ascii="Garamond" w:hAnsi="Garamond"/>
          <w:sz w:val="22"/>
          <w:szCs w:val="22"/>
          <w:lang w:val="en-US"/>
        </w:rPr>
        <w:t>n</w:t>
      </w:r>
      <w:r w:rsidRPr="00241C66">
        <w:rPr>
          <w:rFonts w:ascii="Garamond" w:hAnsi="Garamond"/>
          <w:sz w:val="22"/>
          <w:szCs w:val="22"/>
        </w:rPr>
        <w:t>-</w:t>
      </w:r>
      <w:r w:rsidRPr="009537EC">
        <w:rPr>
          <w:rFonts w:ascii="Garamond" w:hAnsi="Garamond"/>
          <w:sz w:val="22"/>
          <w:szCs w:val="22"/>
          <w:lang w:val="en-US"/>
        </w:rPr>
        <w:t>reactive</w:t>
      </w:r>
      <w:r w:rsidRPr="00241C66">
        <w:rPr>
          <w:rFonts w:ascii="Garamond" w:hAnsi="Garamond"/>
          <w:sz w:val="22"/>
          <w:szCs w:val="22"/>
        </w:rPr>
        <w:t>-</w:t>
      </w:r>
      <w:r w:rsidRPr="009537EC">
        <w:rPr>
          <w:rFonts w:ascii="Garamond" w:hAnsi="Garamond"/>
          <w:sz w:val="22"/>
          <w:szCs w:val="22"/>
          <w:lang w:val="en-US"/>
        </w:rPr>
        <w:t>channels</w:t>
      </w:r>
      <w:r w:rsidRPr="00241C66">
        <w:rPr>
          <w:rFonts w:ascii="Garamond" w:hAnsi="Garamond"/>
          <w:sz w:val="22"/>
          <w:szCs w:val="22"/>
        </w:rPr>
        <w:t xml:space="preserve">&gt; </w:t>
      </w:r>
      <w:r w:rsidRPr="00D934B1">
        <w:rPr>
          <w:rFonts w:ascii="Garamond" w:hAnsi="Garamond"/>
          <w:sz w:val="22"/>
          <w:szCs w:val="22"/>
        </w:rPr>
        <w:t>и</w:t>
      </w:r>
      <w:r w:rsidRPr="00241C66">
        <w:rPr>
          <w:rFonts w:ascii="Garamond" w:hAnsi="Garamond"/>
          <w:sz w:val="22"/>
          <w:szCs w:val="22"/>
        </w:rPr>
        <w:t xml:space="preserve"> &lt;</w:t>
      </w:r>
      <w:r w:rsidRPr="009537EC">
        <w:rPr>
          <w:rFonts w:ascii="Garamond" w:hAnsi="Garamond"/>
          <w:sz w:val="22"/>
          <w:szCs w:val="22"/>
          <w:lang w:val="en-US"/>
        </w:rPr>
        <w:t>podis</w:t>
      </w:r>
      <w:r w:rsidRPr="00241C66">
        <w:rPr>
          <w:rFonts w:ascii="Garamond" w:hAnsi="Garamond"/>
          <w:sz w:val="22"/>
          <w:szCs w:val="22"/>
        </w:rPr>
        <w:t>:</w:t>
      </w:r>
      <w:r w:rsidRPr="009537EC">
        <w:rPr>
          <w:rFonts w:ascii="Garamond" w:hAnsi="Garamond"/>
          <w:sz w:val="22"/>
          <w:szCs w:val="22"/>
          <w:lang w:val="en-US"/>
        </w:rPr>
        <w:t>meterInfoLink</w:t>
      </w:r>
      <w:r w:rsidRPr="00241C66">
        <w:rPr>
          <w:rFonts w:ascii="Garamond" w:hAnsi="Garamond"/>
          <w:sz w:val="22"/>
          <w:szCs w:val="22"/>
        </w:rPr>
        <w:t xml:space="preserve">&gt;. </w:t>
      </w:r>
      <w:r w:rsidRPr="00D934B1">
        <w:rPr>
          <w:rFonts w:ascii="Garamond" w:hAnsi="Garamond"/>
          <w:sz w:val="22"/>
          <w:szCs w:val="22"/>
        </w:rPr>
        <w:t>У</w:t>
      </w:r>
      <w:r w:rsidRPr="00241C66">
        <w:rPr>
          <w:rFonts w:ascii="Garamond" w:hAnsi="Garamond"/>
          <w:sz w:val="22"/>
          <w:szCs w:val="22"/>
        </w:rPr>
        <w:t xml:space="preserve"> </w:t>
      </w:r>
      <w:r w:rsidRPr="00D934B1">
        <w:rPr>
          <w:rFonts w:ascii="Garamond" w:hAnsi="Garamond"/>
          <w:sz w:val="22"/>
          <w:szCs w:val="22"/>
        </w:rPr>
        <w:t>элемента</w:t>
      </w:r>
      <w:r w:rsidRPr="00241C66">
        <w:rPr>
          <w:rFonts w:ascii="Garamond" w:hAnsi="Garamond"/>
          <w:sz w:val="22"/>
          <w:szCs w:val="22"/>
        </w:rPr>
        <w:t xml:space="preserve"> &lt;</w:t>
      </w:r>
      <w:r w:rsidRPr="009537EC">
        <w:rPr>
          <w:rFonts w:ascii="Garamond" w:hAnsi="Garamond"/>
          <w:sz w:val="22"/>
          <w:szCs w:val="22"/>
          <w:lang w:val="en-US"/>
        </w:rPr>
        <w:t>podis</w:t>
      </w:r>
      <w:r w:rsidRPr="00241C66">
        <w:rPr>
          <w:rFonts w:ascii="Garamond" w:hAnsi="Garamond"/>
          <w:sz w:val="22"/>
          <w:szCs w:val="22"/>
        </w:rPr>
        <w:t>:</w:t>
      </w:r>
      <w:r w:rsidRPr="009537EC">
        <w:rPr>
          <w:rFonts w:ascii="Garamond" w:hAnsi="Garamond"/>
          <w:sz w:val="22"/>
          <w:szCs w:val="22"/>
          <w:lang w:val="en-US"/>
        </w:rPr>
        <w:t>meter</w:t>
      </w:r>
      <w:r w:rsidRPr="00241C66">
        <w:rPr>
          <w:rFonts w:ascii="Garamond" w:hAnsi="Garamond"/>
          <w:sz w:val="22"/>
          <w:szCs w:val="22"/>
        </w:rPr>
        <w:t xml:space="preserve">&gt; </w:t>
      </w:r>
      <w:r w:rsidRPr="00D934B1">
        <w:rPr>
          <w:rFonts w:ascii="Garamond" w:hAnsi="Garamond"/>
          <w:sz w:val="22"/>
          <w:szCs w:val="22"/>
        </w:rPr>
        <w:t>может</w:t>
      </w:r>
      <w:r w:rsidRPr="00241C66">
        <w:rPr>
          <w:rFonts w:ascii="Garamond" w:hAnsi="Garamond"/>
          <w:sz w:val="22"/>
          <w:szCs w:val="22"/>
        </w:rPr>
        <w:t xml:space="preserve"> </w:t>
      </w:r>
      <w:r w:rsidRPr="00D934B1">
        <w:rPr>
          <w:rFonts w:ascii="Garamond" w:hAnsi="Garamond"/>
          <w:sz w:val="22"/>
          <w:szCs w:val="22"/>
        </w:rPr>
        <w:t>быть</w:t>
      </w:r>
      <w:r w:rsidRPr="00241C66">
        <w:rPr>
          <w:rFonts w:ascii="Garamond" w:hAnsi="Garamond"/>
          <w:sz w:val="22"/>
          <w:szCs w:val="22"/>
        </w:rPr>
        <w:t xml:space="preserve"> </w:t>
      </w:r>
      <w:r w:rsidRPr="00D934B1">
        <w:rPr>
          <w:rFonts w:ascii="Garamond" w:hAnsi="Garamond"/>
          <w:sz w:val="22"/>
          <w:szCs w:val="22"/>
        </w:rPr>
        <w:t>только</w:t>
      </w:r>
      <w:r w:rsidRPr="00241C66">
        <w:rPr>
          <w:rFonts w:ascii="Garamond" w:hAnsi="Garamond"/>
          <w:sz w:val="22"/>
          <w:szCs w:val="22"/>
        </w:rPr>
        <w:t xml:space="preserve"> </w:t>
      </w:r>
      <w:r w:rsidRPr="00D934B1">
        <w:rPr>
          <w:rFonts w:ascii="Garamond" w:hAnsi="Garamond"/>
          <w:sz w:val="22"/>
          <w:szCs w:val="22"/>
        </w:rPr>
        <w:t>один</w:t>
      </w:r>
      <w:r w:rsidRPr="00241C66">
        <w:rPr>
          <w:rFonts w:ascii="Garamond" w:hAnsi="Garamond"/>
          <w:sz w:val="22"/>
          <w:szCs w:val="22"/>
        </w:rPr>
        <w:t xml:space="preserve"> </w:t>
      </w:r>
      <w:r w:rsidRPr="00D934B1">
        <w:rPr>
          <w:rFonts w:ascii="Garamond" w:hAnsi="Garamond"/>
          <w:sz w:val="22"/>
          <w:szCs w:val="22"/>
        </w:rPr>
        <w:t>дочерний</w:t>
      </w:r>
      <w:r w:rsidRPr="00241C66">
        <w:rPr>
          <w:rFonts w:ascii="Garamond" w:hAnsi="Garamond"/>
          <w:sz w:val="22"/>
          <w:szCs w:val="22"/>
        </w:rPr>
        <w:t xml:space="preserve"> </w:t>
      </w:r>
      <w:r w:rsidRPr="00D934B1">
        <w:rPr>
          <w:rFonts w:ascii="Garamond" w:hAnsi="Garamond"/>
          <w:sz w:val="22"/>
          <w:szCs w:val="22"/>
        </w:rPr>
        <w:t>элемент</w:t>
      </w:r>
      <w:r w:rsidRPr="00241C66">
        <w:rPr>
          <w:rFonts w:ascii="Garamond" w:hAnsi="Garamond"/>
          <w:sz w:val="22"/>
          <w:szCs w:val="22"/>
        </w:rPr>
        <w:t xml:space="preserve"> &lt;</w:t>
      </w:r>
      <w:r w:rsidRPr="009537EC">
        <w:rPr>
          <w:rFonts w:ascii="Garamond" w:hAnsi="Garamond"/>
          <w:sz w:val="22"/>
          <w:szCs w:val="22"/>
          <w:lang w:val="en-US"/>
        </w:rPr>
        <w:t>podis</w:t>
      </w:r>
      <w:r w:rsidRPr="00241C66">
        <w:rPr>
          <w:rFonts w:ascii="Garamond" w:hAnsi="Garamond"/>
          <w:sz w:val="22"/>
          <w:szCs w:val="22"/>
        </w:rPr>
        <w:t>:</w:t>
      </w:r>
      <w:r w:rsidRPr="009537EC">
        <w:rPr>
          <w:rFonts w:ascii="Garamond" w:hAnsi="Garamond"/>
          <w:sz w:val="22"/>
          <w:szCs w:val="22"/>
          <w:lang w:val="en-US"/>
        </w:rPr>
        <w:t>measuring</w:t>
      </w:r>
      <w:r w:rsidRPr="00241C66">
        <w:rPr>
          <w:rFonts w:ascii="Garamond" w:hAnsi="Garamond"/>
          <w:sz w:val="22"/>
          <w:szCs w:val="22"/>
        </w:rPr>
        <w:t>-</w:t>
      </w:r>
      <w:r w:rsidRPr="009537EC">
        <w:rPr>
          <w:rFonts w:ascii="Garamond" w:hAnsi="Garamond"/>
          <w:sz w:val="22"/>
          <w:szCs w:val="22"/>
          <w:lang w:val="en-US"/>
        </w:rPr>
        <w:t>device</w:t>
      </w:r>
      <w:r w:rsidRPr="00241C66">
        <w:rPr>
          <w:rFonts w:ascii="Garamond" w:hAnsi="Garamond"/>
          <w:sz w:val="22"/>
          <w:szCs w:val="22"/>
        </w:rPr>
        <w:t>-</w:t>
      </w:r>
      <w:r w:rsidRPr="009537EC">
        <w:rPr>
          <w:rFonts w:ascii="Garamond" w:hAnsi="Garamond"/>
          <w:sz w:val="22"/>
          <w:szCs w:val="22"/>
          <w:lang w:val="en-US"/>
        </w:rPr>
        <w:t>code</w:t>
      </w:r>
      <w:r w:rsidRPr="00241C66">
        <w:rPr>
          <w:rFonts w:ascii="Garamond" w:hAnsi="Garamond"/>
          <w:sz w:val="22"/>
          <w:szCs w:val="22"/>
        </w:rPr>
        <w:t>&gt;, &lt;</w:t>
      </w:r>
      <w:r w:rsidRPr="009537EC">
        <w:rPr>
          <w:rFonts w:ascii="Garamond" w:hAnsi="Garamond"/>
          <w:sz w:val="22"/>
          <w:szCs w:val="22"/>
          <w:lang w:val="en-US"/>
        </w:rPr>
        <w:t>podis</w:t>
      </w:r>
      <w:r w:rsidRPr="00241C66">
        <w:rPr>
          <w:rFonts w:ascii="Garamond" w:hAnsi="Garamond"/>
          <w:sz w:val="22"/>
          <w:szCs w:val="22"/>
        </w:rPr>
        <w:t>:</w:t>
      </w:r>
      <w:r w:rsidRPr="009537EC">
        <w:rPr>
          <w:rFonts w:ascii="Garamond" w:hAnsi="Garamond"/>
          <w:sz w:val="22"/>
          <w:szCs w:val="22"/>
          <w:lang w:val="en-US"/>
        </w:rPr>
        <w:t>guid</w:t>
      </w:r>
      <w:r w:rsidRPr="00241C66">
        <w:rPr>
          <w:rFonts w:ascii="Garamond" w:hAnsi="Garamond"/>
          <w:sz w:val="22"/>
          <w:szCs w:val="22"/>
        </w:rPr>
        <w:t>&gt;, &lt;</w:t>
      </w:r>
      <w:r w:rsidRPr="009537EC">
        <w:rPr>
          <w:rFonts w:ascii="Garamond" w:hAnsi="Garamond"/>
          <w:sz w:val="22"/>
          <w:szCs w:val="22"/>
          <w:lang w:val="en-US"/>
        </w:rPr>
        <w:t>podis</w:t>
      </w:r>
      <w:r w:rsidRPr="00241C66">
        <w:rPr>
          <w:rFonts w:ascii="Garamond" w:hAnsi="Garamond"/>
          <w:sz w:val="22"/>
          <w:szCs w:val="22"/>
        </w:rPr>
        <w:t>:</w:t>
      </w:r>
      <w:r w:rsidRPr="009537EC">
        <w:rPr>
          <w:rFonts w:ascii="Garamond" w:hAnsi="Garamond"/>
          <w:sz w:val="22"/>
          <w:szCs w:val="22"/>
          <w:lang w:val="en-US"/>
        </w:rPr>
        <w:t>lifeCycleDate</w:t>
      </w:r>
      <w:r w:rsidRPr="00241C66">
        <w:rPr>
          <w:rFonts w:ascii="Garamond" w:hAnsi="Garamond"/>
          <w:sz w:val="22"/>
          <w:szCs w:val="22"/>
        </w:rPr>
        <w:t>&gt;,</w:t>
      </w:r>
      <w:r w:rsidR="009B5F03">
        <w:rPr>
          <w:rFonts w:ascii="Garamond" w:hAnsi="Garamond"/>
          <w:sz w:val="22"/>
          <w:szCs w:val="22"/>
        </w:rPr>
        <w:t xml:space="preserve"> </w:t>
      </w:r>
      <w:r w:rsidRPr="00241C66">
        <w:rPr>
          <w:rFonts w:ascii="Garamond" w:hAnsi="Garamond"/>
          <w:sz w:val="22"/>
          <w:szCs w:val="22"/>
        </w:rPr>
        <w:t>&lt;</w:t>
      </w:r>
      <w:r w:rsidRPr="009537EC">
        <w:rPr>
          <w:rFonts w:ascii="Garamond" w:hAnsi="Garamond"/>
          <w:sz w:val="22"/>
          <w:szCs w:val="22"/>
          <w:lang w:val="en-US"/>
        </w:rPr>
        <w:t>podis</w:t>
      </w:r>
      <w:r w:rsidRPr="00241C66">
        <w:rPr>
          <w:rFonts w:ascii="Garamond" w:hAnsi="Garamond"/>
          <w:sz w:val="22"/>
          <w:szCs w:val="22"/>
        </w:rPr>
        <w:t>:</w:t>
      </w:r>
      <w:r w:rsidRPr="009537EC">
        <w:rPr>
          <w:rFonts w:ascii="Garamond" w:hAnsi="Garamond"/>
          <w:sz w:val="22"/>
          <w:szCs w:val="22"/>
          <w:lang w:val="en-US"/>
        </w:rPr>
        <w:t>serialNumber</w:t>
      </w:r>
      <w:r w:rsidRPr="00241C66">
        <w:rPr>
          <w:rFonts w:ascii="Garamond" w:hAnsi="Garamond"/>
          <w:sz w:val="22"/>
          <w:szCs w:val="22"/>
        </w:rPr>
        <w:t>&gt;, &lt;</w:t>
      </w:r>
      <w:r w:rsidRPr="009537EC">
        <w:rPr>
          <w:rFonts w:ascii="Garamond" w:hAnsi="Garamond"/>
          <w:sz w:val="22"/>
          <w:szCs w:val="22"/>
          <w:lang w:val="en-US"/>
        </w:rPr>
        <w:t>podis</w:t>
      </w:r>
      <w:r w:rsidRPr="00241C66">
        <w:rPr>
          <w:rFonts w:ascii="Garamond" w:hAnsi="Garamond"/>
          <w:sz w:val="22"/>
          <w:szCs w:val="22"/>
        </w:rPr>
        <w:t>:</w:t>
      </w:r>
      <w:r w:rsidRPr="009537EC">
        <w:rPr>
          <w:rFonts w:ascii="Garamond" w:hAnsi="Garamond"/>
          <w:sz w:val="22"/>
          <w:szCs w:val="22"/>
          <w:lang w:val="en-US"/>
        </w:rPr>
        <w:t>n</w:t>
      </w:r>
      <w:r w:rsidRPr="00241C66">
        <w:rPr>
          <w:rFonts w:ascii="Garamond" w:hAnsi="Garamond"/>
          <w:sz w:val="22"/>
          <w:szCs w:val="22"/>
        </w:rPr>
        <w:t>-</w:t>
      </w:r>
      <w:r w:rsidRPr="009537EC">
        <w:rPr>
          <w:rFonts w:ascii="Garamond" w:hAnsi="Garamond"/>
          <w:sz w:val="22"/>
          <w:szCs w:val="22"/>
          <w:lang w:val="en-US"/>
        </w:rPr>
        <w:t>active</w:t>
      </w:r>
      <w:r w:rsidRPr="00241C66">
        <w:rPr>
          <w:rFonts w:ascii="Garamond" w:hAnsi="Garamond"/>
          <w:sz w:val="22"/>
          <w:szCs w:val="22"/>
        </w:rPr>
        <w:t>-</w:t>
      </w:r>
      <w:r w:rsidRPr="009537EC">
        <w:rPr>
          <w:rFonts w:ascii="Garamond" w:hAnsi="Garamond"/>
          <w:sz w:val="22"/>
          <w:szCs w:val="22"/>
          <w:lang w:val="en-US"/>
        </w:rPr>
        <w:t>channels</w:t>
      </w:r>
      <w:r w:rsidRPr="00241C66">
        <w:rPr>
          <w:rFonts w:ascii="Garamond" w:hAnsi="Garamond"/>
          <w:sz w:val="22"/>
          <w:szCs w:val="22"/>
        </w:rPr>
        <w:t>&gt;, &lt;</w:t>
      </w:r>
      <w:r w:rsidRPr="009537EC">
        <w:rPr>
          <w:rFonts w:ascii="Garamond" w:hAnsi="Garamond"/>
          <w:sz w:val="22"/>
          <w:szCs w:val="22"/>
          <w:lang w:val="en-US"/>
        </w:rPr>
        <w:t>podis</w:t>
      </w:r>
      <w:r w:rsidRPr="00241C66">
        <w:rPr>
          <w:rFonts w:ascii="Garamond" w:hAnsi="Garamond"/>
          <w:sz w:val="22"/>
          <w:szCs w:val="22"/>
        </w:rPr>
        <w:t>:</w:t>
      </w:r>
      <w:r w:rsidRPr="009537EC">
        <w:rPr>
          <w:rFonts w:ascii="Garamond" w:hAnsi="Garamond"/>
          <w:sz w:val="22"/>
          <w:szCs w:val="22"/>
          <w:lang w:val="en-US"/>
        </w:rPr>
        <w:t>n</w:t>
      </w:r>
      <w:r w:rsidRPr="00241C66">
        <w:rPr>
          <w:rFonts w:ascii="Garamond" w:hAnsi="Garamond"/>
          <w:sz w:val="22"/>
          <w:szCs w:val="22"/>
        </w:rPr>
        <w:t>-</w:t>
      </w:r>
      <w:r w:rsidRPr="009537EC">
        <w:rPr>
          <w:rFonts w:ascii="Garamond" w:hAnsi="Garamond"/>
          <w:sz w:val="22"/>
          <w:szCs w:val="22"/>
          <w:lang w:val="en-US"/>
        </w:rPr>
        <w:t>reactive</w:t>
      </w:r>
      <w:r w:rsidRPr="00241C66">
        <w:rPr>
          <w:rFonts w:ascii="Garamond" w:hAnsi="Garamond"/>
          <w:sz w:val="22"/>
          <w:szCs w:val="22"/>
        </w:rPr>
        <w:t>-</w:t>
      </w:r>
      <w:r w:rsidRPr="009537EC">
        <w:rPr>
          <w:rFonts w:ascii="Garamond" w:hAnsi="Garamond"/>
          <w:sz w:val="22"/>
          <w:szCs w:val="22"/>
          <w:lang w:val="en-US"/>
        </w:rPr>
        <w:t>channels</w:t>
      </w:r>
      <w:r w:rsidRPr="00241C66">
        <w:rPr>
          <w:rFonts w:ascii="Garamond" w:hAnsi="Garamond"/>
          <w:sz w:val="22"/>
          <w:szCs w:val="22"/>
        </w:rPr>
        <w:t xml:space="preserve">&gt; </w:t>
      </w:r>
      <w:r w:rsidRPr="00D934B1">
        <w:rPr>
          <w:rFonts w:ascii="Garamond" w:hAnsi="Garamond"/>
          <w:sz w:val="22"/>
          <w:szCs w:val="22"/>
        </w:rPr>
        <w:t>и</w:t>
      </w:r>
      <w:r w:rsidRPr="00241C66">
        <w:rPr>
          <w:rFonts w:ascii="Garamond" w:hAnsi="Garamond"/>
          <w:sz w:val="22"/>
          <w:szCs w:val="22"/>
        </w:rPr>
        <w:t xml:space="preserve"> &lt;</w:t>
      </w:r>
      <w:r w:rsidRPr="009537EC">
        <w:rPr>
          <w:rFonts w:ascii="Garamond" w:hAnsi="Garamond"/>
          <w:sz w:val="22"/>
          <w:szCs w:val="22"/>
          <w:lang w:val="en-US"/>
        </w:rPr>
        <w:t>podis</w:t>
      </w:r>
      <w:r w:rsidRPr="00241C66">
        <w:rPr>
          <w:rFonts w:ascii="Garamond" w:hAnsi="Garamond"/>
          <w:sz w:val="22"/>
          <w:szCs w:val="22"/>
        </w:rPr>
        <w:t>:</w:t>
      </w:r>
      <w:r w:rsidRPr="009537EC">
        <w:rPr>
          <w:rFonts w:ascii="Garamond" w:hAnsi="Garamond"/>
          <w:sz w:val="22"/>
          <w:szCs w:val="22"/>
          <w:lang w:val="en-US"/>
        </w:rPr>
        <w:t>meterInfoLink</w:t>
      </w:r>
      <w:r w:rsidRPr="00241C66">
        <w:rPr>
          <w:rFonts w:ascii="Garamond" w:hAnsi="Garamond"/>
          <w:sz w:val="22"/>
          <w:szCs w:val="22"/>
        </w:rPr>
        <w:t>&gt;.</w:t>
      </w:r>
    </w:p>
    <w:p w14:paraId="2C53B512" w14:textId="77777777" w:rsidR="00CE6209" w:rsidRPr="00D934B1" w:rsidRDefault="00CD79E4" w:rsidP="00CE6209">
      <w:pPr>
        <w:spacing w:after="120"/>
        <w:ind w:firstLine="567"/>
        <w:jc w:val="both"/>
        <w:rPr>
          <w:rFonts w:ascii="Garamond" w:hAnsi="Garamond"/>
          <w:b/>
          <w:sz w:val="22"/>
          <w:szCs w:val="22"/>
        </w:rPr>
      </w:pPr>
      <w:r w:rsidRPr="00D934B1">
        <w:rPr>
          <w:rFonts w:ascii="Garamond" w:hAnsi="Garamond"/>
          <w:b/>
          <w:sz w:val="22"/>
          <w:szCs w:val="22"/>
        </w:rPr>
        <w:t xml:space="preserve">2.1.3.1.3.1.4.1.1.1. </w:t>
      </w:r>
      <w:r w:rsidR="00CE6209" w:rsidRPr="00D934B1">
        <w:rPr>
          <w:rFonts w:ascii="Garamond" w:hAnsi="Garamond"/>
          <w:b/>
          <w:sz w:val="22"/>
          <w:szCs w:val="22"/>
        </w:rPr>
        <w:t>&lt;podis:measuring-device-code&gt;</w:t>
      </w:r>
    </w:p>
    <w:p w14:paraId="225640A4" w14:textId="77777777" w:rsidR="00CE6209" w:rsidRPr="00D934B1" w:rsidRDefault="00CE6209" w:rsidP="00CE6209">
      <w:pPr>
        <w:spacing w:after="120"/>
        <w:ind w:firstLine="567"/>
        <w:jc w:val="both"/>
        <w:rPr>
          <w:rFonts w:ascii="Garamond" w:hAnsi="Garamond"/>
          <w:sz w:val="22"/>
          <w:szCs w:val="22"/>
        </w:rPr>
      </w:pPr>
      <w:r w:rsidRPr="00D934B1">
        <w:rPr>
          <w:rFonts w:ascii="Garamond" w:hAnsi="Garamond"/>
          <w:sz w:val="22"/>
          <w:szCs w:val="22"/>
        </w:rPr>
        <w:t>Элемент &lt;podis:measuring-device-code&gt; содержит код, присвоенный КО прибору учета. Является обязательным элементом в случае наличия кода АТС прибора учета, в ином случае не указывается. Состоит из двух знаков. Значение не проверяется сетевой организацией, осуществившей допуск в эксплуатацию прибора учета или измерительного комплекса (проверку прибора учета или измерительного комплекса).</w:t>
      </w:r>
    </w:p>
    <w:p w14:paraId="61FAA9E5" w14:textId="77777777" w:rsidR="00CE6209" w:rsidRPr="00D934B1" w:rsidRDefault="00CE6209" w:rsidP="00CE6209">
      <w:pPr>
        <w:spacing w:after="120"/>
        <w:ind w:firstLine="567"/>
        <w:jc w:val="both"/>
        <w:rPr>
          <w:rFonts w:ascii="Garamond" w:hAnsi="Garamond"/>
          <w:b/>
          <w:sz w:val="22"/>
          <w:szCs w:val="22"/>
        </w:rPr>
      </w:pPr>
      <w:r w:rsidRPr="00D934B1">
        <w:rPr>
          <w:rFonts w:ascii="Garamond" w:hAnsi="Garamond"/>
          <w:b/>
          <w:sz w:val="22"/>
          <w:szCs w:val="22"/>
        </w:rPr>
        <w:t>2.1.3.1.3.1.4.1.1.2. &lt;podis:guid&gt;</w:t>
      </w:r>
    </w:p>
    <w:p w14:paraId="6854999E" w14:textId="77777777" w:rsidR="00CE6209" w:rsidRPr="00D934B1" w:rsidRDefault="00CE6209" w:rsidP="00CE6209">
      <w:pPr>
        <w:spacing w:after="120"/>
        <w:ind w:firstLine="567"/>
        <w:jc w:val="both"/>
        <w:rPr>
          <w:rFonts w:ascii="Garamond" w:hAnsi="Garamond"/>
          <w:sz w:val="22"/>
          <w:szCs w:val="22"/>
        </w:rPr>
      </w:pPr>
      <w:r w:rsidRPr="00D934B1">
        <w:rPr>
          <w:rFonts w:ascii="Garamond" w:hAnsi="Garamond"/>
          <w:sz w:val="22"/>
          <w:szCs w:val="22"/>
        </w:rPr>
        <w:t>Элемент &lt;podis:guid&gt; содержит уникальный идентификатор (globally unique identifier (GUID)) прибора учета, присваиваемый системой, формирующей файл 60000. Является текстовым полем из 36 символов. Обязательный элемент в случае отсутствия элемента &lt;podis:measuring-device-code&gt;, дочернего для &lt;podis:meter&gt;, в ином случае не указывается. Значение не проверяется сетевой организацией, осуществившей допуск в эксплуатацию прибора учета или измерительного комплекса (проверку прибора учета или измерительного комплекса).</w:t>
      </w:r>
    </w:p>
    <w:p w14:paraId="10964407" w14:textId="77777777" w:rsidR="00CE6209" w:rsidRPr="00D934B1" w:rsidRDefault="00CE6209" w:rsidP="00CE6209">
      <w:pPr>
        <w:spacing w:after="120"/>
        <w:ind w:firstLine="567"/>
        <w:jc w:val="both"/>
        <w:rPr>
          <w:rFonts w:ascii="Garamond" w:hAnsi="Garamond"/>
          <w:b/>
          <w:sz w:val="22"/>
          <w:szCs w:val="22"/>
        </w:rPr>
      </w:pPr>
      <w:r w:rsidRPr="00D934B1">
        <w:rPr>
          <w:rFonts w:ascii="Garamond" w:hAnsi="Garamond"/>
          <w:b/>
          <w:sz w:val="22"/>
          <w:szCs w:val="22"/>
        </w:rPr>
        <w:t>2.1.3.1.3.1.4.1.1.3. &lt;podis:lifeCycleDate&gt;</w:t>
      </w:r>
    </w:p>
    <w:p w14:paraId="6FBC7D28" w14:textId="77777777" w:rsidR="00CE6209" w:rsidRPr="00D934B1" w:rsidRDefault="00CE6209" w:rsidP="00CE6209">
      <w:pPr>
        <w:spacing w:after="120"/>
        <w:ind w:firstLine="567"/>
        <w:jc w:val="both"/>
        <w:rPr>
          <w:rFonts w:ascii="Garamond" w:hAnsi="Garamond"/>
          <w:sz w:val="22"/>
          <w:szCs w:val="22"/>
        </w:rPr>
      </w:pPr>
      <w:r w:rsidRPr="00D934B1">
        <w:rPr>
          <w:rFonts w:ascii="Garamond" w:hAnsi="Garamond"/>
          <w:sz w:val="22"/>
          <w:szCs w:val="22"/>
        </w:rPr>
        <w:t>Элемент &lt;podis:lifeCycleDate&gt; содержит даты жизненного цикла прибора учета. Является обязательным элементом.</w:t>
      </w:r>
    </w:p>
    <w:p w14:paraId="2D1A65B6" w14:textId="77777777" w:rsidR="00CE6209" w:rsidRPr="00D934B1" w:rsidRDefault="00CE6209" w:rsidP="00CE6209">
      <w:pPr>
        <w:spacing w:after="120"/>
        <w:ind w:firstLine="567"/>
        <w:jc w:val="both"/>
        <w:rPr>
          <w:rFonts w:ascii="Garamond" w:hAnsi="Garamond"/>
          <w:sz w:val="22"/>
          <w:szCs w:val="22"/>
        </w:rPr>
      </w:pPr>
      <w:r w:rsidRPr="00D934B1">
        <w:rPr>
          <w:rFonts w:ascii="Garamond" w:hAnsi="Garamond"/>
          <w:sz w:val="22"/>
          <w:szCs w:val="22"/>
        </w:rPr>
        <w:t>Дочерним элементом &lt;podis:lifeCycleDate&gt; является элемент &lt;podis:nextDateValid&gt;. У элемента &lt;podis:lifeCycleDate&gt; может быть только один дочерний элемент &lt;podis:nextDateValid&gt;.</w:t>
      </w:r>
    </w:p>
    <w:p w14:paraId="68BCCC75" w14:textId="77777777" w:rsidR="00CE6209" w:rsidRPr="00D934B1" w:rsidRDefault="00CE6209" w:rsidP="00CE6209">
      <w:pPr>
        <w:spacing w:after="120"/>
        <w:ind w:firstLine="567"/>
        <w:jc w:val="both"/>
        <w:rPr>
          <w:rFonts w:ascii="Garamond" w:hAnsi="Garamond"/>
          <w:b/>
          <w:sz w:val="22"/>
          <w:szCs w:val="22"/>
        </w:rPr>
      </w:pPr>
      <w:r w:rsidRPr="00D934B1">
        <w:rPr>
          <w:rFonts w:ascii="Garamond" w:hAnsi="Garamond"/>
          <w:b/>
          <w:sz w:val="22"/>
          <w:szCs w:val="22"/>
        </w:rPr>
        <w:t>2.1.3.1.3.1.4.1.1.3.1. &lt;podis:nextDateValid&gt;</w:t>
      </w:r>
    </w:p>
    <w:p w14:paraId="2DFCA070" w14:textId="77777777" w:rsidR="00CE6209" w:rsidRPr="00D934B1" w:rsidRDefault="00CE6209" w:rsidP="00CE6209">
      <w:pPr>
        <w:spacing w:after="120"/>
        <w:ind w:firstLine="567"/>
        <w:jc w:val="both"/>
        <w:rPr>
          <w:rFonts w:ascii="Garamond" w:hAnsi="Garamond"/>
          <w:sz w:val="22"/>
          <w:szCs w:val="22"/>
        </w:rPr>
      </w:pPr>
      <w:r w:rsidRPr="00D934B1">
        <w:rPr>
          <w:rFonts w:ascii="Garamond" w:hAnsi="Garamond"/>
          <w:sz w:val="22"/>
          <w:szCs w:val="22"/>
        </w:rPr>
        <w:t>Элемент &lt;podis:nextDateValid&gt; содержит дату очередной поверки, дата в формате «ГГГГ-ММ-ДД». Является обязательным элементом.</w:t>
      </w:r>
    </w:p>
    <w:p w14:paraId="4FA3ACCC" w14:textId="77777777" w:rsidR="00CE6209" w:rsidRPr="00D934B1" w:rsidRDefault="00CE6209" w:rsidP="00CE6209">
      <w:pPr>
        <w:spacing w:after="120"/>
        <w:ind w:firstLine="567"/>
        <w:jc w:val="both"/>
        <w:rPr>
          <w:rFonts w:ascii="Garamond" w:hAnsi="Garamond"/>
          <w:b/>
          <w:sz w:val="22"/>
          <w:szCs w:val="22"/>
        </w:rPr>
      </w:pPr>
      <w:r w:rsidRPr="00D934B1">
        <w:rPr>
          <w:rFonts w:ascii="Garamond" w:hAnsi="Garamond"/>
          <w:b/>
          <w:sz w:val="22"/>
          <w:szCs w:val="22"/>
        </w:rPr>
        <w:t>2.1.3.1.3.1.4.1.1.4. &lt;podis:serialNumber&gt;</w:t>
      </w:r>
    </w:p>
    <w:p w14:paraId="5528EC38" w14:textId="77777777" w:rsidR="00CE6209" w:rsidRPr="00D934B1" w:rsidRDefault="00CE6209" w:rsidP="00CE6209">
      <w:pPr>
        <w:spacing w:after="120"/>
        <w:ind w:firstLine="567"/>
        <w:jc w:val="both"/>
        <w:rPr>
          <w:rFonts w:ascii="Garamond" w:hAnsi="Garamond"/>
          <w:sz w:val="22"/>
          <w:szCs w:val="22"/>
        </w:rPr>
      </w:pPr>
      <w:r w:rsidRPr="00D934B1">
        <w:rPr>
          <w:rFonts w:ascii="Garamond" w:hAnsi="Garamond"/>
          <w:sz w:val="22"/>
          <w:szCs w:val="22"/>
        </w:rPr>
        <w:t>Элемент &lt;podis:serialNumber&gt; содержит заводской номер прибора учета. Обязательный элемент, содержит буквенно-числовые обозначения (любые цифры, буквы латинского и русского алфавита). Длина поля не более 250 символов.</w:t>
      </w:r>
    </w:p>
    <w:p w14:paraId="1DFAFF94" w14:textId="77777777" w:rsidR="00CE6209" w:rsidRPr="00D934B1" w:rsidRDefault="00CE6209" w:rsidP="00CE6209">
      <w:pPr>
        <w:spacing w:after="120"/>
        <w:ind w:firstLine="567"/>
        <w:jc w:val="both"/>
        <w:rPr>
          <w:rFonts w:ascii="Garamond" w:hAnsi="Garamond"/>
          <w:b/>
          <w:sz w:val="22"/>
          <w:szCs w:val="22"/>
        </w:rPr>
      </w:pPr>
      <w:r w:rsidRPr="00D934B1">
        <w:rPr>
          <w:rFonts w:ascii="Garamond" w:hAnsi="Garamond"/>
          <w:b/>
          <w:sz w:val="22"/>
          <w:szCs w:val="22"/>
        </w:rPr>
        <w:t>2.1.3.1.3.1.4.1.1.5. &lt;podis:n-active-channels&gt;</w:t>
      </w:r>
    </w:p>
    <w:p w14:paraId="412BA56F" w14:textId="77777777" w:rsidR="00CE6209" w:rsidRPr="00D934B1" w:rsidRDefault="00CE6209" w:rsidP="00CE6209">
      <w:pPr>
        <w:spacing w:after="120"/>
        <w:ind w:firstLine="567"/>
        <w:jc w:val="both"/>
        <w:rPr>
          <w:rFonts w:ascii="Garamond" w:hAnsi="Garamond"/>
          <w:sz w:val="22"/>
          <w:szCs w:val="22"/>
        </w:rPr>
      </w:pPr>
      <w:r w:rsidRPr="00D934B1">
        <w:rPr>
          <w:rFonts w:ascii="Garamond" w:hAnsi="Garamond"/>
          <w:sz w:val="22"/>
          <w:szCs w:val="22"/>
        </w:rPr>
        <w:t>Элемент &lt;podis:n-active-channels&gt; содержит значение количества измерительных каналов прибора учета по активной энергии, предназначенных для кодирования КО. Обязательный элемент, может содержать только одно значение «0», «1» или «2». Значение не проверяется сетевой организацией, осуществившей допуск в эксплуатацию прибора учета или измерительного комплекса (проверку прибора учета или измерительного комплекса).</w:t>
      </w:r>
    </w:p>
    <w:p w14:paraId="427676E7" w14:textId="77777777" w:rsidR="00CE6209" w:rsidRPr="00D934B1" w:rsidRDefault="00CE6209" w:rsidP="00CE6209">
      <w:pPr>
        <w:spacing w:after="120"/>
        <w:ind w:firstLine="567"/>
        <w:jc w:val="both"/>
        <w:rPr>
          <w:rFonts w:ascii="Garamond" w:hAnsi="Garamond"/>
          <w:b/>
          <w:sz w:val="22"/>
          <w:szCs w:val="22"/>
        </w:rPr>
      </w:pPr>
      <w:r w:rsidRPr="00D934B1">
        <w:rPr>
          <w:rFonts w:ascii="Garamond" w:hAnsi="Garamond"/>
          <w:b/>
          <w:sz w:val="22"/>
          <w:szCs w:val="22"/>
        </w:rPr>
        <w:t>2.1.3.1.3.1.4.1.1.6. &lt;podis:n-reactive-channels&gt;</w:t>
      </w:r>
    </w:p>
    <w:p w14:paraId="55BC651E" w14:textId="77777777" w:rsidR="00CE6209" w:rsidRPr="00D934B1" w:rsidRDefault="00CE6209" w:rsidP="00CE6209">
      <w:pPr>
        <w:spacing w:after="120"/>
        <w:ind w:firstLine="567"/>
        <w:jc w:val="both"/>
        <w:rPr>
          <w:rFonts w:ascii="Garamond" w:hAnsi="Garamond"/>
          <w:sz w:val="22"/>
          <w:szCs w:val="22"/>
        </w:rPr>
      </w:pPr>
      <w:r w:rsidRPr="00D934B1">
        <w:rPr>
          <w:rFonts w:ascii="Garamond" w:hAnsi="Garamond"/>
          <w:sz w:val="22"/>
          <w:szCs w:val="22"/>
        </w:rPr>
        <w:t>Элемент &lt;podis:n-reactive-channels&gt; содержит значение количества измерительных каналов прибора учета по реактивной энергии, предназначенных для кодирования КО. Обязательный элемент, может содержать только одно значение «0», «1» или «2». Значение не проверяется сетевой организацией, осуществившей допуск в эксплуатацию прибора учета или измерительного комплекса (проверку прибора учета или измерительного комплекса).</w:t>
      </w:r>
    </w:p>
    <w:p w14:paraId="37800AA3" w14:textId="77777777" w:rsidR="00CE6209" w:rsidRPr="00D934B1" w:rsidRDefault="00CE6209" w:rsidP="00CE6209">
      <w:pPr>
        <w:spacing w:after="120"/>
        <w:ind w:firstLine="567"/>
        <w:jc w:val="both"/>
        <w:rPr>
          <w:rFonts w:ascii="Garamond" w:hAnsi="Garamond"/>
          <w:b/>
          <w:sz w:val="22"/>
          <w:szCs w:val="22"/>
        </w:rPr>
      </w:pPr>
      <w:r w:rsidRPr="00D934B1">
        <w:rPr>
          <w:rFonts w:ascii="Garamond" w:hAnsi="Garamond"/>
          <w:b/>
          <w:sz w:val="22"/>
          <w:szCs w:val="22"/>
        </w:rPr>
        <w:t>2.1.3.1.3.1.4.1.1.7. &lt;podis:meterInfoLink&gt;</w:t>
      </w:r>
    </w:p>
    <w:p w14:paraId="4624E7C8" w14:textId="77777777" w:rsidR="00CE6209" w:rsidRPr="00D934B1" w:rsidRDefault="00CE6209" w:rsidP="00CE6209">
      <w:pPr>
        <w:spacing w:after="120"/>
        <w:ind w:firstLine="567"/>
        <w:jc w:val="both"/>
        <w:rPr>
          <w:rFonts w:ascii="Garamond" w:hAnsi="Garamond"/>
          <w:sz w:val="22"/>
          <w:szCs w:val="22"/>
        </w:rPr>
      </w:pPr>
      <w:r w:rsidRPr="00D934B1">
        <w:rPr>
          <w:rFonts w:ascii="Garamond" w:hAnsi="Garamond"/>
          <w:sz w:val="22"/>
          <w:szCs w:val="22"/>
        </w:rPr>
        <w:t xml:space="preserve">Элемент &lt;podis:meterInfoLink&gt; содержит описание модели прибора учета. Является обязательным элементом. </w:t>
      </w:r>
    </w:p>
    <w:p w14:paraId="10DCB1F6" w14:textId="77777777" w:rsidR="00CE6209" w:rsidRPr="00D934B1" w:rsidRDefault="00CE6209" w:rsidP="00CE6209">
      <w:pPr>
        <w:spacing w:after="120"/>
        <w:ind w:firstLine="567"/>
        <w:jc w:val="both"/>
        <w:rPr>
          <w:rFonts w:ascii="Garamond" w:hAnsi="Garamond"/>
          <w:sz w:val="22"/>
          <w:szCs w:val="22"/>
        </w:rPr>
      </w:pPr>
      <w:r w:rsidRPr="00D934B1">
        <w:rPr>
          <w:rFonts w:ascii="Garamond" w:hAnsi="Garamond"/>
          <w:sz w:val="22"/>
          <w:szCs w:val="22"/>
        </w:rPr>
        <w:t>Дочерними элементами &lt;podis:meterInfoLink&gt; являются элементы &lt;podis:measuring-tool-code&gt;, &lt;podis:modelNumber&gt;, &lt;podis:accuracyClass&gt;, &lt;podis:accuracyClassR&gt; и &lt;podis:regNumber&gt;. У элемента &lt;podis:meterInfoLink&gt; может быть только один дочерний элемент &lt;podis:measuring-tool-code&gt;, &lt;podis:modelNumber&gt;, &lt;podis:accuracyClass&gt;, &lt;podis:accuracyClassR&gt; и &lt;podis:regNumber&gt;.</w:t>
      </w:r>
    </w:p>
    <w:p w14:paraId="7DA3D6B9" w14:textId="77777777" w:rsidR="00CE6209" w:rsidRPr="00D934B1" w:rsidRDefault="00CE6209" w:rsidP="00CE6209">
      <w:pPr>
        <w:spacing w:after="120"/>
        <w:ind w:firstLine="567"/>
        <w:jc w:val="both"/>
        <w:rPr>
          <w:rFonts w:ascii="Garamond" w:hAnsi="Garamond"/>
          <w:b/>
          <w:sz w:val="22"/>
          <w:szCs w:val="22"/>
        </w:rPr>
      </w:pPr>
      <w:r w:rsidRPr="00D934B1">
        <w:rPr>
          <w:rFonts w:ascii="Garamond" w:hAnsi="Garamond"/>
          <w:b/>
          <w:sz w:val="22"/>
          <w:szCs w:val="22"/>
        </w:rPr>
        <w:lastRenderedPageBreak/>
        <w:t>2.1.3.1.3.1.4.1.1.7.1. &lt;podis:measuring-tool-code&gt;</w:t>
      </w:r>
    </w:p>
    <w:p w14:paraId="1171656E" w14:textId="77777777" w:rsidR="00CE6209" w:rsidRPr="00D934B1" w:rsidRDefault="00CE6209" w:rsidP="00CE6209">
      <w:pPr>
        <w:spacing w:after="120"/>
        <w:ind w:firstLine="567"/>
        <w:jc w:val="both"/>
        <w:rPr>
          <w:rFonts w:ascii="Garamond" w:hAnsi="Garamond"/>
          <w:sz w:val="22"/>
          <w:szCs w:val="22"/>
        </w:rPr>
      </w:pPr>
      <w:r w:rsidRPr="00D934B1">
        <w:rPr>
          <w:rFonts w:ascii="Garamond" w:hAnsi="Garamond"/>
          <w:sz w:val="22"/>
          <w:szCs w:val="22"/>
        </w:rPr>
        <w:t>Элемент &lt;podis:measuring-tool-code&gt; содержит уникальный код, присвоенный КО модификации или варианту исполнения типа ПУ. Текстовое поле длиной не более 32 символов. Является обязательным элементом. Значение не проверяется сетевой организацией, осуществившей допуск в эксплуатацию прибора учета или измерительного комплекса (проверку прибора учета или измерительного комплекса).</w:t>
      </w:r>
    </w:p>
    <w:p w14:paraId="464CE7EE" w14:textId="77777777" w:rsidR="00CE6209" w:rsidRPr="00D934B1" w:rsidRDefault="00CE6209" w:rsidP="00CE6209">
      <w:pPr>
        <w:spacing w:after="120"/>
        <w:ind w:firstLine="567"/>
        <w:jc w:val="both"/>
        <w:rPr>
          <w:rFonts w:ascii="Garamond" w:hAnsi="Garamond"/>
          <w:b/>
          <w:sz w:val="22"/>
          <w:szCs w:val="22"/>
        </w:rPr>
      </w:pPr>
      <w:r w:rsidRPr="00D934B1">
        <w:rPr>
          <w:rFonts w:ascii="Garamond" w:hAnsi="Garamond"/>
          <w:b/>
          <w:sz w:val="22"/>
          <w:szCs w:val="22"/>
        </w:rPr>
        <w:t>2.1.3.1.3.1.4.1.1.7.2. &lt;podis:modelNumber&gt;</w:t>
      </w:r>
    </w:p>
    <w:p w14:paraId="0F6A6D6E" w14:textId="77777777" w:rsidR="00CE6209" w:rsidRPr="00D934B1" w:rsidRDefault="00CE6209" w:rsidP="00CE6209">
      <w:pPr>
        <w:spacing w:after="120"/>
        <w:ind w:firstLine="567"/>
        <w:jc w:val="both"/>
        <w:rPr>
          <w:rFonts w:ascii="Garamond" w:hAnsi="Garamond"/>
          <w:sz w:val="22"/>
          <w:szCs w:val="22"/>
        </w:rPr>
      </w:pPr>
      <w:r w:rsidRPr="00D934B1">
        <w:rPr>
          <w:rFonts w:ascii="Garamond" w:hAnsi="Garamond"/>
          <w:sz w:val="22"/>
          <w:szCs w:val="22"/>
        </w:rPr>
        <w:t>Элемент &lt;podis:modelNumber&gt; содержит тип прибора учета с указанием его модификации или варианта исполнения. Тип и модификация или вариант исполнения должны быть приведены согласно данным, внесенным в Федеральный информационный фонд по обеспечению единства измерений. Текстовое поле длиной не более 80 символов. Является обязательным элементом.</w:t>
      </w:r>
    </w:p>
    <w:p w14:paraId="00F4D1E2" w14:textId="77777777" w:rsidR="00CE6209" w:rsidRPr="00D934B1" w:rsidRDefault="00CE6209" w:rsidP="00CE6209">
      <w:pPr>
        <w:spacing w:after="120"/>
        <w:ind w:firstLine="567"/>
        <w:jc w:val="both"/>
        <w:rPr>
          <w:rFonts w:ascii="Garamond" w:hAnsi="Garamond"/>
          <w:b/>
          <w:sz w:val="22"/>
          <w:szCs w:val="22"/>
        </w:rPr>
      </w:pPr>
      <w:r w:rsidRPr="00D934B1">
        <w:rPr>
          <w:rFonts w:ascii="Garamond" w:hAnsi="Garamond"/>
          <w:b/>
          <w:sz w:val="22"/>
          <w:szCs w:val="22"/>
        </w:rPr>
        <w:t>2.1.3.1.3.1.4.1.1.7.3. &lt;podis:accuracyClass&gt;</w:t>
      </w:r>
    </w:p>
    <w:p w14:paraId="4B247210" w14:textId="77777777" w:rsidR="00CE6209" w:rsidRPr="00D934B1" w:rsidRDefault="00CE6209" w:rsidP="00CE6209">
      <w:pPr>
        <w:spacing w:after="120"/>
        <w:ind w:firstLine="567"/>
        <w:jc w:val="both"/>
        <w:rPr>
          <w:rFonts w:ascii="Garamond" w:hAnsi="Garamond"/>
          <w:sz w:val="22"/>
          <w:szCs w:val="22"/>
        </w:rPr>
      </w:pPr>
      <w:r w:rsidRPr="00D934B1">
        <w:rPr>
          <w:rFonts w:ascii="Garamond" w:hAnsi="Garamond"/>
          <w:sz w:val="22"/>
          <w:szCs w:val="22"/>
        </w:rPr>
        <w:t>Элемент &lt;podis:accuracyClass&gt; содержит класс точности прибора учета по активной энергии. Текстовое поле, содержащее от 1 до 3 символов до десятичного разделителя и от 1 до 3 символов после десятичного разделителя. Является обязательным элементом. В качестве десятичного разделителя должна быть использована точка. Допускается использовать только один десятичный разделитель. В случае отсутствия символов после десятичного разделителя он должен отсутствовать.</w:t>
      </w:r>
    </w:p>
    <w:p w14:paraId="5038BB09" w14:textId="77777777" w:rsidR="00CE6209" w:rsidRPr="00D934B1" w:rsidRDefault="00CE6209" w:rsidP="00CE6209">
      <w:pPr>
        <w:spacing w:after="120"/>
        <w:ind w:firstLine="567"/>
        <w:jc w:val="both"/>
        <w:rPr>
          <w:rFonts w:ascii="Garamond" w:hAnsi="Garamond"/>
          <w:b/>
          <w:sz w:val="22"/>
          <w:szCs w:val="22"/>
        </w:rPr>
      </w:pPr>
      <w:r w:rsidRPr="00D934B1">
        <w:rPr>
          <w:rFonts w:ascii="Garamond" w:hAnsi="Garamond"/>
          <w:b/>
          <w:sz w:val="22"/>
          <w:szCs w:val="22"/>
        </w:rPr>
        <w:t>2.1.3.1.3.1.4.1.1.7.4. &lt;podis:accuracyClassR&gt;</w:t>
      </w:r>
    </w:p>
    <w:p w14:paraId="2B6C2ACD" w14:textId="77777777" w:rsidR="00CE6209" w:rsidRPr="00D934B1" w:rsidRDefault="00CE6209" w:rsidP="00CE6209">
      <w:pPr>
        <w:spacing w:after="120"/>
        <w:ind w:firstLine="567"/>
        <w:jc w:val="both"/>
        <w:rPr>
          <w:rFonts w:ascii="Garamond" w:hAnsi="Garamond"/>
          <w:sz w:val="22"/>
          <w:szCs w:val="22"/>
        </w:rPr>
      </w:pPr>
      <w:r w:rsidRPr="00D934B1">
        <w:rPr>
          <w:rFonts w:ascii="Garamond" w:hAnsi="Garamond"/>
          <w:sz w:val="22"/>
          <w:szCs w:val="22"/>
        </w:rPr>
        <w:t>Элемент &lt;podis:accuracyClassR&gt; содержит класс точности прибора учета по реактивной энергии. Текстовое поле, содержащее от 1 до 3 символов до десятичного разделителя и от 1 до 3 символов после десятичного разделителя. Является обязательным элементом в случае наличия для данной модификации прибора учета возможности измерения реактивной электроэнергии, в противном случае должен отсутствовать. В качестве десятичного разделителя должна быть использована точка. Допускается использовать только один десятичный разделитель. В случае отсутствия символов после десятичного разделителя он должен отсутствовать.</w:t>
      </w:r>
    </w:p>
    <w:p w14:paraId="6FB2CED7" w14:textId="77777777" w:rsidR="00CE6209" w:rsidRPr="00D934B1" w:rsidRDefault="00CE6209" w:rsidP="00CE6209">
      <w:pPr>
        <w:spacing w:after="120"/>
        <w:ind w:firstLine="567"/>
        <w:jc w:val="both"/>
        <w:rPr>
          <w:rFonts w:ascii="Garamond" w:hAnsi="Garamond"/>
          <w:b/>
          <w:sz w:val="22"/>
          <w:szCs w:val="22"/>
        </w:rPr>
      </w:pPr>
      <w:r w:rsidRPr="00D934B1">
        <w:rPr>
          <w:rFonts w:ascii="Garamond" w:hAnsi="Garamond"/>
          <w:b/>
          <w:sz w:val="22"/>
          <w:szCs w:val="22"/>
        </w:rPr>
        <w:t>2.1.3.1.3.1.4.1.1.7.5. &lt;podis:regNumber&gt;</w:t>
      </w:r>
    </w:p>
    <w:p w14:paraId="39B5FC2D" w14:textId="77777777" w:rsidR="00CE6209" w:rsidRPr="00D934B1" w:rsidRDefault="00CE6209" w:rsidP="00CE6209">
      <w:pPr>
        <w:spacing w:after="120"/>
        <w:ind w:firstLine="567"/>
        <w:jc w:val="both"/>
        <w:rPr>
          <w:rFonts w:ascii="Garamond" w:hAnsi="Garamond"/>
          <w:sz w:val="22"/>
          <w:szCs w:val="22"/>
        </w:rPr>
      </w:pPr>
      <w:r w:rsidRPr="00D934B1">
        <w:rPr>
          <w:rFonts w:ascii="Garamond" w:hAnsi="Garamond"/>
          <w:sz w:val="22"/>
          <w:szCs w:val="22"/>
        </w:rPr>
        <w:t>Элемент &lt;podis:regNumber&gt; содержит регистрационный номер прибора учета в Федеральном информационном фонде по обеспечению единства измерений (Госреестр). Текстовое поле длиной не более 20 символов. Является обязательным элементом.</w:t>
      </w:r>
    </w:p>
    <w:p w14:paraId="15981DBF" w14:textId="77777777" w:rsidR="00CE6209" w:rsidRPr="00D934B1" w:rsidRDefault="00CE6209" w:rsidP="00101F7C">
      <w:pPr>
        <w:pStyle w:val="ac"/>
        <w:numPr>
          <w:ilvl w:val="8"/>
          <w:numId w:val="105"/>
        </w:numPr>
        <w:spacing w:after="120"/>
        <w:ind w:left="1134" w:hanging="567"/>
        <w:jc w:val="both"/>
        <w:rPr>
          <w:rFonts w:ascii="Garamond" w:hAnsi="Garamond"/>
          <w:b/>
          <w:sz w:val="22"/>
          <w:szCs w:val="22"/>
        </w:rPr>
      </w:pPr>
      <w:r w:rsidRPr="00D934B1">
        <w:rPr>
          <w:rFonts w:ascii="Garamond" w:hAnsi="Garamond"/>
          <w:b/>
          <w:sz w:val="22"/>
          <w:szCs w:val="22"/>
        </w:rPr>
        <w:t>&lt;podis:rtu&gt;</w:t>
      </w:r>
    </w:p>
    <w:p w14:paraId="07B9E23C" w14:textId="77777777" w:rsidR="00CE6209" w:rsidRPr="00D934B1" w:rsidRDefault="00CE6209" w:rsidP="00CE6209">
      <w:pPr>
        <w:spacing w:after="120"/>
        <w:ind w:firstLine="567"/>
        <w:jc w:val="both"/>
        <w:rPr>
          <w:rFonts w:ascii="Garamond" w:hAnsi="Garamond"/>
          <w:sz w:val="22"/>
          <w:szCs w:val="22"/>
        </w:rPr>
      </w:pPr>
      <w:r w:rsidRPr="00D934B1">
        <w:rPr>
          <w:rFonts w:ascii="Garamond" w:hAnsi="Garamond"/>
          <w:sz w:val="22"/>
          <w:szCs w:val="22"/>
        </w:rPr>
        <w:t>Элемент &lt;podis:rtu&gt; содержит информацию об УСПД. Является обязательным элементом в случае выполнения УСПД функции преобразования результатов измерений с учетом коэффициентов трансформации измерительных трансформаторов, в ином случае должен отсутствовать. Допускается наличие не более двух элементов &lt;podis:rtu&gt; для одного элемента &lt;podis:endDevices&gt;.</w:t>
      </w:r>
    </w:p>
    <w:p w14:paraId="0128D3F8" w14:textId="446E3452" w:rsidR="00CE6209" w:rsidRPr="00D934B1" w:rsidRDefault="00CE6209" w:rsidP="00CE6209">
      <w:pPr>
        <w:spacing w:after="120"/>
        <w:ind w:firstLine="567"/>
        <w:jc w:val="both"/>
        <w:rPr>
          <w:rFonts w:ascii="Garamond" w:hAnsi="Garamond"/>
          <w:sz w:val="22"/>
          <w:szCs w:val="22"/>
        </w:rPr>
      </w:pPr>
      <w:r w:rsidRPr="00D934B1">
        <w:rPr>
          <w:rFonts w:ascii="Garamond" w:hAnsi="Garamond"/>
          <w:sz w:val="22"/>
          <w:szCs w:val="22"/>
        </w:rPr>
        <w:t>Дочерними элементами &lt;podis:rtu&gt; являются элементы &lt;podis:lifeCycleDate&gt;,</w:t>
      </w:r>
      <w:r w:rsidR="009B5F03">
        <w:rPr>
          <w:rFonts w:ascii="Garamond" w:hAnsi="Garamond"/>
          <w:sz w:val="22"/>
          <w:szCs w:val="22"/>
        </w:rPr>
        <w:t xml:space="preserve"> </w:t>
      </w:r>
      <w:r w:rsidRPr="00D934B1">
        <w:rPr>
          <w:rFonts w:ascii="Garamond" w:hAnsi="Garamond"/>
          <w:sz w:val="22"/>
          <w:szCs w:val="22"/>
        </w:rPr>
        <w:t>&lt;podis:serialNumber&gt; и &lt;podis:rtuInfoLink&gt;. У элемента &lt;podis:rtu&gt; может быть только один дочерний элемент &lt;podis:lifeCycleDate&gt;,</w:t>
      </w:r>
      <w:r w:rsidR="009B5F03">
        <w:rPr>
          <w:rFonts w:ascii="Garamond" w:hAnsi="Garamond"/>
          <w:sz w:val="22"/>
          <w:szCs w:val="22"/>
        </w:rPr>
        <w:t xml:space="preserve"> </w:t>
      </w:r>
      <w:r w:rsidRPr="00D934B1">
        <w:rPr>
          <w:rFonts w:ascii="Garamond" w:hAnsi="Garamond"/>
          <w:sz w:val="22"/>
          <w:szCs w:val="22"/>
        </w:rPr>
        <w:t>&lt;podis:serialNumber&gt; и &lt;podis:rtuInfoLink&gt;.</w:t>
      </w:r>
    </w:p>
    <w:p w14:paraId="16587F1A" w14:textId="77777777" w:rsidR="00CE6209" w:rsidRPr="00D934B1" w:rsidRDefault="00CE6209" w:rsidP="00CE6209">
      <w:pPr>
        <w:spacing w:after="120"/>
        <w:ind w:firstLine="567"/>
        <w:jc w:val="both"/>
        <w:rPr>
          <w:rFonts w:ascii="Garamond" w:hAnsi="Garamond"/>
          <w:b/>
          <w:sz w:val="22"/>
          <w:szCs w:val="22"/>
        </w:rPr>
      </w:pPr>
      <w:r w:rsidRPr="00D934B1">
        <w:rPr>
          <w:rFonts w:ascii="Garamond" w:hAnsi="Garamond"/>
          <w:b/>
          <w:sz w:val="22"/>
          <w:szCs w:val="22"/>
        </w:rPr>
        <w:t>2.1.3.1.3.1.4.1.2.1. &lt;podis:lifeCycleDate&gt;</w:t>
      </w:r>
    </w:p>
    <w:p w14:paraId="5C10D027" w14:textId="77777777" w:rsidR="00CE6209" w:rsidRPr="00D934B1" w:rsidRDefault="00CE6209" w:rsidP="00CE6209">
      <w:pPr>
        <w:spacing w:after="120"/>
        <w:ind w:firstLine="567"/>
        <w:jc w:val="both"/>
        <w:rPr>
          <w:rFonts w:ascii="Garamond" w:hAnsi="Garamond"/>
          <w:sz w:val="22"/>
          <w:szCs w:val="22"/>
        </w:rPr>
      </w:pPr>
      <w:r w:rsidRPr="00D934B1">
        <w:rPr>
          <w:rFonts w:ascii="Garamond" w:hAnsi="Garamond"/>
          <w:sz w:val="22"/>
          <w:szCs w:val="22"/>
        </w:rPr>
        <w:t>Элемент &lt;podis:lifeCycleDate&gt; содержит даты жизненного цикла УСПД. Является обязательным элементом в случае наличия в макете элемента &lt;podis:rtu&gt;.</w:t>
      </w:r>
    </w:p>
    <w:p w14:paraId="0C0E46FE" w14:textId="77777777" w:rsidR="00CE6209" w:rsidRPr="00D934B1" w:rsidRDefault="00CE6209" w:rsidP="00CE6209">
      <w:pPr>
        <w:spacing w:after="120"/>
        <w:ind w:firstLine="567"/>
        <w:jc w:val="both"/>
        <w:rPr>
          <w:rFonts w:ascii="Garamond" w:hAnsi="Garamond"/>
          <w:sz w:val="22"/>
          <w:szCs w:val="22"/>
        </w:rPr>
      </w:pPr>
      <w:r w:rsidRPr="00D934B1">
        <w:rPr>
          <w:rFonts w:ascii="Garamond" w:hAnsi="Garamond"/>
          <w:sz w:val="22"/>
          <w:szCs w:val="22"/>
        </w:rPr>
        <w:t>Дочерним элементом &lt;podis:lifeCycleDate&gt; является элемент &lt;podis:nextDateValid&gt;. У элемента &lt;podis:lifeCycleDate&gt; может быть только один дочерний элемент &lt;podis:nextDateValid&gt;.</w:t>
      </w:r>
    </w:p>
    <w:p w14:paraId="1AC63FC3" w14:textId="77777777" w:rsidR="00CE6209" w:rsidRPr="00D934B1" w:rsidRDefault="00CE6209" w:rsidP="00CE6209">
      <w:pPr>
        <w:spacing w:after="120"/>
        <w:ind w:firstLine="567"/>
        <w:jc w:val="both"/>
        <w:rPr>
          <w:rFonts w:ascii="Garamond" w:hAnsi="Garamond"/>
          <w:b/>
          <w:sz w:val="22"/>
          <w:szCs w:val="22"/>
        </w:rPr>
      </w:pPr>
      <w:r w:rsidRPr="00D934B1">
        <w:rPr>
          <w:rFonts w:ascii="Garamond" w:hAnsi="Garamond"/>
          <w:b/>
          <w:sz w:val="22"/>
          <w:szCs w:val="22"/>
        </w:rPr>
        <w:t>2.1.3.1.3.1.4.1.2.1.1. &lt;podis:nextDateValid&gt;</w:t>
      </w:r>
    </w:p>
    <w:p w14:paraId="4288EC3D" w14:textId="77777777" w:rsidR="00CE6209" w:rsidRPr="00D934B1" w:rsidRDefault="00CE6209" w:rsidP="00CE6209">
      <w:pPr>
        <w:spacing w:after="120"/>
        <w:ind w:firstLine="567"/>
        <w:jc w:val="both"/>
        <w:rPr>
          <w:rFonts w:ascii="Garamond" w:hAnsi="Garamond"/>
          <w:sz w:val="22"/>
          <w:szCs w:val="22"/>
        </w:rPr>
      </w:pPr>
      <w:r w:rsidRPr="00D934B1">
        <w:rPr>
          <w:rFonts w:ascii="Garamond" w:hAnsi="Garamond"/>
          <w:sz w:val="22"/>
          <w:szCs w:val="22"/>
        </w:rPr>
        <w:t>Элемент &lt;podis:nextDateValid&gt; содержит дату очередной поверки, дата в формате «ГГГГ-ММ-ДД». Является обязательным элементом в случае наличия в макете элемента &lt;podis:rtu&gt;.</w:t>
      </w:r>
    </w:p>
    <w:p w14:paraId="19DBB62E" w14:textId="77777777" w:rsidR="00CE6209" w:rsidRPr="00D934B1" w:rsidRDefault="00CE6209" w:rsidP="00CE6209">
      <w:pPr>
        <w:spacing w:after="120"/>
        <w:ind w:firstLine="567"/>
        <w:jc w:val="both"/>
        <w:rPr>
          <w:rFonts w:ascii="Garamond" w:hAnsi="Garamond"/>
          <w:b/>
          <w:sz w:val="22"/>
          <w:szCs w:val="22"/>
        </w:rPr>
      </w:pPr>
      <w:r w:rsidRPr="00D934B1">
        <w:rPr>
          <w:rFonts w:ascii="Garamond" w:hAnsi="Garamond"/>
          <w:b/>
          <w:sz w:val="22"/>
          <w:szCs w:val="22"/>
        </w:rPr>
        <w:t>2.1.3.1.3.1.4.1.2.2. &lt;podis:serialNumber&gt;</w:t>
      </w:r>
    </w:p>
    <w:p w14:paraId="1CE8CA45" w14:textId="77777777" w:rsidR="00CE6209" w:rsidRPr="00D934B1" w:rsidRDefault="00CE6209" w:rsidP="00CE6209">
      <w:pPr>
        <w:spacing w:after="120"/>
        <w:ind w:firstLine="567"/>
        <w:jc w:val="both"/>
        <w:rPr>
          <w:rFonts w:ascii="Garamond" w:hAnsi="Garamond"/>
          <w:sz w:val="22"/>
          <w:szCs w:val="22"/>
        </w:rPr>
      </w:pPr>
      <w:r w:rsidRPr="00D934B1">
        <w:rPr>
          <w:rFonts w:ascii="Garamond" w:hAnsi="Garamond"/>
          <w:sz w:val="22"/>
          <w:szCs w:val="22"/>
        </w:rPr>
        <w:t>Элемент &lt;podis:serialNumber&gt; содержит заводской номер УСПД. Обязательный элемент (в случае наличия в макете элемента &lt;podis:rtu&gt;), содержит буквенно-числовые обозначения (любые цифры, буквы латинского и русского алфавита). Длина поля не более 250 символов.</w:t>
      </w:r>
    </w:p>
    <w:p w14:paraId="29A47E74" w14:textId="77777777" w:rsidR="00CE6209" w:rsidRPr="00D934B1" w:rsidRDefault="00CE6209" w:rsidP="00CE6209">
      <w:pPr>
        <w:spacing w:after="120"/>
        <w:ind w:firstLine="567"/>
        <w:jc w:val="both"/>
        <w:rPr>
          <w:rFonts w:ascii="Garamond" w:hAnsi="Garamond"/>
          <w:b/>
          <w:sz w:val="22"/>
          <w:szCs w:val="22"/>
        </w:rPr>
      </w:pPr>
      <w:r w:rsidRPr="00D934B1">
        <w:rPr>
          <w:rFonts w:ascii="Garamond" w:hAnsi="Garamond"/>
          <w:b/>
          <w:sz w:val="22"/>
          <w:szCs w:val="22"/>
        </w:rPr>
        <w:t>2.1.3.1.3.1.4.1.2.3. &lt;podis:rtuInfoLink&gt;</w:t>
      </w:r>
    </w:p>
    <w:p w14:paraId="2693E343" w14:textId="77777777" w:rsidR="00CE6209" w:rsidRPr="00D934B1" w:rsidRDefault="00CE6209" w:rsidP="00CE6209">
      <w:pPr>
        <w:spacing w:after="120"/>
        <w:ind w:firstLine="567"/>
        <w:jc w:val="both"/>
        <w:rPr>
          <w:rFonts w:ascii="Garamond" w:hAnsi="Garamond"/>
          <w:sz w:val="22"/>
          <w:szCs w:val="22"/>
        </w:rPr>
      </w:pPr>
      <w:r w:rsidRPr="00D934B1">
        <w:rPr>
          <w:rFonts w:ascii="Garamond" w:hAnsi="Garamond"/>
          <w:sz w:val="22"/>
          <w:szCs w:val="22"/>
        </w:rPr>
        <w:lastRenderedPageBreak/>
        <w:t xml:space="preserve">Элемент &lt;podis:rtuInfoLink&gt; содержит описание типа УСПД. Является обязательным элементом в случае наличия в макете элемента &lt;podis:rtu&gt;. </w:t>
      </w:r>
    </w:p>
    <w:p w14:paraId="128240E2" w14:textId="77777777" w:rsidR="00CE6209" w:rsidRPr="00D934B1" w:rsidRDefault="00CE6209" w:rsidP="00CE6209">
      <w:pPr>
        <w:spacing w:after="120"/>
        <w:ind w:firstLine="567"/>
        <w:jc w:val="both"/>
        <w:rPr>
          <w:rFonts w:ascii="Garamond" w:hAnsi="Garamond"/>
          <w:sz w:val="22"/>
          <w:szCs w:val="22"/>
        </w:rPr>
      </w:pPr>
      <w:r w:rsidRPr="00D934B1">
        <w:rPr>
          <w:rFonts w:ascii="Garamond" w:hAnsi="Garamond"/>
          <w:sz w:val="22"/>
          <w:szCs w:val="22"/>
        </w:rPr>
        <w:t>Дочерними элементами &lt;podis:rtuInfoLink&gt; являются элементы &lt;podis:measuring-tool-code&gt;, &lt;podis:modelNumber&gt; и &lt;podis:regNumber&gt;. У элемента &lt;podis:rtuInfoLink&gt; может быть только один дочерний элемент &lt;podis:measuring-tool-code&gt;, &lt;podis:modelNumber&gt; и &lt;podis:regNumber&gt;.</w:t>
      </w:r>
    </w:p>
    <w:p w14:paraId="29FFD2C7" w14:textId="77777777" w:rsidR="00CE6209" w:rsidRPr="00D934B1" w:rsidRDefault="00CE6209" w:rsidP="00CE6209">
      <w:pPr>
        <w:spacing w:after="120"/>
        <w:ind w:firstLine="567"/>
        <w:jc w:val="both"/>
        <w:rPr>
          <w:rFonts w:ascii="Garamond" w:hAnsi="Garamond"/>
          <w:b/>
          <w:sz w:val="22"/>
          <w:szCs w:val="22"/>
        </w:rPr>
      </w:pPr>
      <w:r w:rsidRPr="00D934B1">
        <w:rPr>
          <w:rFonts w:ascii="Garamond" w:hAnsi="Garamond"/>
          <w:b/>
          <w:sz w:val="22"/>
          <w:szCs w:val="22"/>
        </w:rPr>
        <w:t>2.1.3.1.3.1.4.1.2.3.1. &lt;podis:measuring-tool-code&gt;</w:t>
      </w:r>
    </w:p>
    <w:p w14:paraId="5645EA5E" w14:textId="68164615" w:rsidR="00CE6209" w:rsidRPr="00D934B1" w:rsidRDefault="00CE6209" w:rsidP="00CE6209">
      <w:pPr>
        <w:spacing w:after="120"/>
        <w:ind w:firstLine="567"/>
        <w:jc w:val="both"/>
        <w:rPr>
          <w:rFonts w:ascii="Garamond" w:hAnsi="Garamond"/>
          <w:sz w:val="22"/>
          <w:szCs w:val="22"/>
        </w:rPr>
      </w:pPr>
      <w:r w:rsidRPr="00D934B1">
        <w:rPr>
          <w:rFonts w:ascii="Garamond" w:hAnsi="Garamond"/>
          <w:sz w:val="22"/>
          <w:szCs w:val="22"/>
        </w:rPr>
        <w:t>Элемент &lt;podis:measuring-tool-code&gt; содержит уникальный код, присвоенный КО типу УСПД. Текстовое поле длиной не более 32 символов. Является обязательным элементом в случае наличия в макете элемента &lt;podis:rtu&gt;.</w:t>
      </w:r>
      <w:r w:rsidR="009B5F03">
        <w:rPr>
          <w:rFonts w:ascii="Garamond" w:hAnsi="Garamond"/>
          <w:sz w:val="22"/>
          <w:szCs w:val="22"/>
        </w:rPr>
        <w:t xml:space="preserve"> </w:t>
      </w:r>
      <w:r w:rsidRPr="00D934B1">
        <w:rPr>
          <w:rFonts w:ascii="Garamond" w:hAnsi="Garamond"/>
          <w:sz w:val="22"/>
          <w:szCs w:val="22"/>
        </w:rPr>
        <w:t>Значение не проверяется сетевой организацией, осуществившей допуск в эксплуатацию прибора учета или измерительного комплекса (проверку прибора учета или измерительного комплекса).</w:t>
      </w:r>
    </w:p>
    <w:p w14:paraId="533CFC54" w14:textId="77777777" w:rsidR="00CE6209" w:rsidRPr="00D934B1" w:rsidRDefault="00CE6209" w:rsidP="00CE6209">
      <w:pPr>
        <w:spacing w:after="120"/>
        <w:ind w:firstLine="567"/>
        <w:jc w:val="both"/>
        <w:rPr>
          <w:rFonts w:ascii="Garamond" w:hAnsi="Garamond"/>
          <w:b/>
          <w:sz w:val="22"/>
          <w:szCs w:val="22"/>
        </w:rPr>
      </w:pPr>
      <w:r w:rsidRPr="00D934B1">
        <w:rPr>
          <w:rFonts w:ascii="Garamond" w:hAnsi="Garamond"/>
          <w:b/>
          <w:sz w:val="22"/>
          <w:szCs w:val="22"/>
        </w:rPr>
        <w:t>2.1.3.1.3.1.4.1.2.3.2. &lt;podis:modelNumber&gt;</w:t>
      </w:r>
    </w:p>
    <w:p w14:paraId="65A8F6BC" w14:textId="77777777" w:rsidR="00CE6209" w:rsidRPr="00D934B1" w:rsidRDefault="00CE6209" w:rsidP="00CE6209">
      <w:pPr>
        <w:spacing w:after="120"/>
        <w:ind w:firstLine="567"/>
        <w:jc w:val="both"/>
        <w:rPr>
          <w:rFonts w:ascii="Garamond" w:hAnsi="Garamond"/>
          <w:sz w:val="22"/>
          <w:szCs w:val="22"/>
        </w:rPr>
      </w:pPr>
      <w:r w:rsidRPr="00D934B1">
        <w:rPr>
          <w:rFonts w:ascii="Garamond" w:hAnsi="Garamond"/>
          <w:sz w:val="22"/>
          <w:szCs w:val="22"/>
        </w:rPr>
        <w:t>Элемент &lt;podis:modelNumber&gt; содержит тип УСПД. Тип должен быть приведен согласно данным, внесенным в Федеральный информационный фонд по обеспечению единства измерений. Текстовое поле длиной не более 80 символов. Является обязательным элементом в случае наличия в макете элемента &lt;podis:rtu&gt;.</w:t>
      </w:r>
    </w:p>
    <w:p w14:paraId="1E0E6A6F" w14:textId="77777777" w:rsidR="00CE6209" w:rsidRPr="00D934B1" w:rsidRDefault="00CE6209" w:rsidP="00CE6209">
      <w:pPr>
        <w:spacing w:after="120"/>
        <w:ind w:firstLine="567"/>
        <w:jc w:val="both"/>
        <w:rPr>
          <w:rFonts w:ascii="Garamond" w:hAnsi="Garamond"/>
          <w:b/>
          <w:sz w:val="22"/>
          <w:szCs w:val="22"/>
        </w:rPr>
      </w:pPr>
      <w:r w:rsidRPr="00D934B1">
        <w:rPr>
          <w:rFonts w:ascii="Garamond" w:hAnsi="Garamond"/>
          <w:b/>
          <w:sz w:val="22"/>
          <w:szCs w:val="22"/>
        </w:rPr>
        <w:t>2.1.3.1.3.1.4.1.2.3.3. &lt;podis:regNumber&gt;</w:t>
      </w:r>
    </w:p>
    <w:p w14:paraId="2A15D986" w14:textId="77777777" w:rsidR="00CE6209" w:rsidRPr="00D934B1" w:rsidRDefault="00CE6209" w:rsidP="00CE6209">
      <w:pPr>
        <w:spacing w:after="120"/>
        <w:ind w:firstLine="567"/>
        <w:jc w:val="both"/>
        <w:rPr>
          <w:rFonts w:ascii="Garamond" w:hAnsi="Garamond"/>
          <w:sz w:val="22"/>
          <w:szCs w:val="22"/>
        </w:rPr>
      </w:pPr>
      <w:r w:rsidRPr="00D934B1">
        <w:rPr>
          <w:rFonts w:ascii="Garamond" w:hAnsi="Garamond"/>
          <w:sz w:val="22"/>
          <w:szCs w:val="22"/>
        </w:rPr>
        <w:t>Элемент &lt;podis:regNumber&gt; содержит регистрационный номер УСПД в Федеральном информационном фонде по обеспечению единства измерений (Госреестр). Текстовое поле длиной не более 20 символов. Является обязательным элементом в случае наличия в макете элемента &lt;podis:rtu&gt;.</w:t>
      </w:r>
    </w:p>
    <w:p w14:paraId="2346C22C" w14:textId="77777777" w:rsidR="00CE6209" w:rsidRPr="00D934B1" w:rsidRDefault="00CE6209" w:rsidP="00101F7C">
      <w:pPr>
        <w:pStyle w:val="ac"/>
        <w:numPr>
          <w:ilvl w:val="7"/>
          <w:numId w:val="105"/>
        </w:numPr>
        <w:spacing w:after="120"/>
        <w:ind w:left="1134" w:hanging="567"/>
        <w:jc w:val="both"/>
        <w:rPr>
          <w:rFonts w:ascii="Garamond" w:hAnsi="Garamond"/>
          <w:b/>
          <w:sz w:val="22"/>
          <w:szCs w:val="22"/>
        </w:rPr>
      </w:pPr>
      <w:r w:rsidRPr="00D934B1">
        <w:rPr>
          <w:rFonts w:ascii="Garamond" w:hAnsi="Garamond"/>
          <w:b/>
          <w:sz w:val="22"/>
          <w:szCs w:val="22"/>
        </w:rPr>
        <w:t>&lt;podis:equipments&gt;</w:t>
      </w:r>
    </w:p>
    <w:p w14:paraId="6C93D950" w14:textId="77777777" w:rsidR="00CE6209" w:rsidRPr="00D934B1" w:rsidRDefault="00CE6209" w:rsidP="00CE6209">
      <w:pPr>
        <w:spacing w:after="120"/>
        <w:ind w:firstLine="567"/>
        <w:jc w:val="both"/>
        <w:rPr>
          <w:rFonts w:ascii="Garamond" w:hAnsi="Garamond"/>
          <w:sz w:val="22"/>
          <w:szCs w:val="22"/>
        </w:rPr>
      </w:pPr>
      <w:r w:rsidRPr="00D934B1">
        <w:rPr>
          <w:rFonts w:ascii="Garamond" w:hAnsi="Garamond"/>
          <w:sz w:val="22"/>
          <w:szCs w:val="22"/>
        </w:rPr>
        <w:t>Элемент &lt;podis:equipments&gt; содержит информацию об измерительных трансформаторах тока и напряжения точки измерений. Является обязательным элементом в случае наличия трансформаторов тока и (или) трансформаторов напряжения, в противном случае должен отсутствовать.</w:t>
      </w:r>
    </w:p>
    <w:p w14:paraId="7F04CF44" w14:textId="77777777" w:rsidR="00CE6209" w:rsidRPr="00F401C0" w:rsidRDefault="00CE6209" w:rsidP="00CE6209">
      <w:pPr>
        <w:spacing w:after="120"/>
        <w:ind w:firstLine="567"/>
        <w:jc w:val="both"/>
        <w:rPr>
          <w:rFonts w:ascii="Garamond" w:hAnsi="Garamond"/>
          <w:sz w:val="22"/>
          <w:szCs w:val="22"/>
          <w:lang w:val="en-US"/>
        </w:rPr>
      </w:pPr>
      <w:r w:rsidRPr="00D934B1">
        <w:rPr>
          <w:rFonts w:ascii="Garamond" w:hAnsi="Garamond"/>
          <w:sz w:val="22"/>
          <w:szCs w:val="22"/>
        </w:rPr>
        <w:t>Дочерними</w:t>
      </w:r>
      <w:r w:rsidRPr="00F401C0">
        <w:rPr>
          <w:rFonts w:ascii="Garamond" w:hAnsi="Garamond"/>
          <w:sz w:val="22"/>
          <w:szCs w:val="22"/>
          <w:lang w:val="en-US"/>
        </w:rPr>
        <w:t xml:space="preserve"> </w:t>
      </w:r>
      <w:r w:rsidRPr="00D934B1">
        <w:rPr>
          <w:rFonts w:ascii="Garamond" w:hAnsi="Garamond"/>
          <w:sz w:val="22"/>
          <w:szCs w:val="22"/>
        </w:rPr>
        <w:t>элементами</w:t>
      </w:r>
      <w:r w:rsidRPr="00F401C0">
        <w:rPr>
          <w:rFonts w:ascii="Garamond" w:hAnsi="Garamond"/>
          <w:sz w:val="22"/>
          <w:szCs w:val="22"/>
          <w:lang w:val="en-US"/>
        </w:rPr>
        <w:t xml:space="preserve"> &lt;</w:t>
      </w:r>
      <w:r w:rsidRPr="00D934B1">
        <w:rPr>
          <w:rFonts w:ascii="Garamond" w:hAnsi="Garamond"/>
          <w:sz w:val="22"/>
          <w:szCs w:val="22"/>
          <w:lang w:val="en-US"/>
        </w:rPr>
        <w:t>podis</w:t>
      </w:r>
      <w:r w:rsidRPr="00F401C0">
        <w:rPr>
          <w:rFonts w:ascii="Garamond" w:hAnsi="Garamond"/>
          <w:sz w:val="22"/>
          <w:szCs w:val="22"/>
          <w:lang w:val="en-US"/>
        </w:rPr>
        <w:t>:</w:t>
      </w:r>
      <w:r w:rsidRPr="00D934B1">
        <w:rPr>
          <w:rFonts w:ascii="Garamond" w:hAnsi="Garamond"/>
          <w:sz w:val="22"/>
          <w:szCs w:val="22"/>
          <w:lang w:val="en-US"/>
        </w:rPr>
        <w:t>equipments</w:t>
      </w:r>
      <w:r w:rsidRPr="00F401C0">
        <w:rPr>
          <w:rFonts w:ascii="Garamond" w:hAnsi="Garamond"/>
          <w:sz w:val="22"/>
          <w:szCs w:val="22"/>
          <w:lang w:val="en-US"/>
        </w:rPr>
        <w:t xml:space="preserve">&gt; </w:t>
      </w:r>
      <w:r w:rsidRPr="00D934B1">
        <w:rPr>
          <w:rFonts w:ascii="Garamond" w:hAnsi="Garamond"/>
          <w:sz w:val="22"/>
          <w:szCs w:val="22"/>
        </w:rPr>
        <w:t>являются</w:t>
      </w:r>
      <w:r w:rsidRPr="00F401C0">
        <w:rPr>
          <w:rFonts w:ascii="Garamond" w:hAnsi="Garamond"/>
          <w:sz w:val="22"/>
          <w:szCs w:val="22"/>
          <w:lang w:val="en-US"/>
        </w:rPr>
        <w:t xml:space="preserve"> </w:t>
      </w:r>
      <w:r w:rsidRPr="00D934B1">
        <w:rPr>
          <w:rFonts w:ascii="Garamond" w:hAnsi="Garamond"/>
          <w:sz w:val="22"/>
          <w:szCs w:val="22"/>
        </w:rPr>
        <w:t>элементы</w:t>
      </w:r>
      <w:r w:rsidRPr="00F401C0">
        <w:rPr>
          <w:rFonts w:ascii="Garamond" w:hAnsi="Garamond"/>
          <w:sz w:val="22"/>
          <w:szCs w:val="22"/>
          <w:lang w:val="en-US"/>
        </w:rPr>
        <w:t xml:space="preserve"> &lt;</w:t>
      </w:r>
      <w:r w:rsidRPr="00D934B1">
        <w:rPr>
          <w:rFonts w:ascii="Garamond" w:hAnsi="Garamond"/>
          <w:sz w:val="22"/>
          <w:szCs w:val="22"/>
          <w:lang w:val="en-US"/>
        </w:rPr>
        <w:t>podis</w:t>
      </w:r>
      <w:r w:rsidRPr="00F401C0">
        <w:rPr>
          <w:rFonts w:ascii="Garamond" w:hAnsi="Garamond"/>
          <w:sz w:val="22"/>
          <w:szCs w:val="22"/>
          <w:lang w:val="en-US"/>
        </w:rPr>
        <w:t>:</w:t>
      </w:r>
      <w:r w:rsidRPr="00D934B1">
        <w:rPr>
          <w:rFonts w:ascii="Garamond" w:hAnsi="Garamond"/>
          <w:sz w:val="22"/>
          <w:szCs w:val="22"/>
          <w:lang w:val="en-US"/>
        </w:rPr>
        <w:t>currentTransformer</w:t>
      </w:r>
      <w:r w:rsidRPr="00F401C0">
        <w:rPr>
          <w:rFonts w:ascii="Garamond" w:hAnsi="Garamond"/>
          <w:sz w:val="22"/>
          <w:szCs w:val="22"/>
          <w:lang w:val="en-US"/>
        </w:rPr>
        <w:t xml:space="preserve">&gt; </w:t>
      </w:r>
      <w:r w:rsidRPr="00D934B1">
        <w:rPr>
          <w:rFonts w:ascii="Garamond" w:hAnsi="Garamond"/>
          <w:sz w:val="22"/>
          <w:szCs w:val="22"/>
        </w:rPr>
        <w:t>и</w:t>
      </w:r>
      <w:r w:rsidRPr="00F401C0">
        <w:rPr>
          <w:rFonts w:ascii="Garamond" w:hAnsi="Garamond"/>
          <w:sz w:val="22"/>
          <w:szCs w:val="22"/>
          <w:lang w:val="en-US"/>
        </w:rPr>
        <w:t xml:space="preserve"> &lt;</w:t>
      </w:r>
      <w:r w:rsidRPr="00D934B1">
        <w:rPr>
          <w:rFonts w:ascii="Garamond" w:hAnsi="Garamond"/>
          <w:sz w:val="22"/>
          <w:szCs w:val="22"/>
          <w:lang w:val="en-US"/>
        </w:rPr>
        <w:t>podis</w:t>
      </w:r>
      <w:r w:rsidRPr="00F401C0">
        <w:rPr>
          <w:rFonts w:ascii="Garamond" w:hAnsi="Garamond"/>
          <w:sz w:val="22"/>
          <w:szCs w:val="22"/>
          <w:lang w:val="en-US"/>
        </w:rPr>
        <w:t>:</w:t>
      </w:r>
      <w:r w:rsidRPr="00D934B1">
        <w:rPr>
          <w:rFonts w:ascii="Garamond" w:hAnsi="Garamond"/>
          <w:sz w:val="22"/>
          <w:szCs w:val="22"/>
          <w:lang w:val="en-US"/>
        </w:rPr>
        <w:t>potentialTransformer</w:t>
      </w:r>
      <w:r w:rsidRPr="00F401C0">
        <w:rPr>
          <w:rFonts w:ascii="Garamond" w:hAnsi="Garamond"/>
          <w:sz w:val="22"/>
          <w:szCs w:val="22"/>
          <w:lang w:val="en-US"/>
        </w:rPr>
        <w:t xml:space="preserve">&gt;. </w:t>
      </w:r>
      <w:r w:rsidRPr="00D934B1">
        <w:rPr>
          <w:rFonts w:ascii="Garamond" w:hAnsi="Garamond"/>
          <w:sz w:val="22"/>
          <w:szCs w:val="22"/>
        </w:rPr>
        <w:t>У</w:t>
      </w:r>
      <w:r w:rsidRPr="00F401C0">
        <w:rPr>
          <w:rFonts w:ascii="Garamond" w:hAnsi="Garamond"/>
          <w:sz w:val="22"/>
          <w:szCs w:val="22"/>
          <w:lang w:val="en-US"/>
        </w:rPr>
        <w:t xml:space="preserve"> </w:t>
      </w:r>
      <w:r w:rsidRPr="00D934B1">
        <w:rPr>
          <w:rFonts w:ascii="Garamond" w:hAnsi="Garamond"/>
          <w:sz w:val="22"/>
          <w:szCs w:val="22"/>
        </w:rPr>
        <w:t>элемента</w:t>
      </w:r>
      <w:r w:rsidRPr="00F401C0">
        <w:rPr>
          <w:rFonts w:ascii="Garamond" w:hAnsi="Garamond"/>
          <w:sz w:val="22"/>
          <w:szCs w:val="22"/>
          <w:lang w:val="en-US"/>
        </w:rPr>
        <w:t xml:space="preserve"> &lt;</w:t>
      </w:r>
      <w:r w:rsidRPr="00D934B1">
        <w:rPr>
          <w:rFonts w:ascii="Garamond" w:hAnsi="Garamond"/>
          <w:sz w:val="22"/>
          <w:szCs w:val="22"/>
          <w:lang w:val="en-US"/>
        </w:rPr>
        <w:t>podis</w:t>
      </w:r>
      <w:r w:rsidRPr="00F401C0">
        <w:rPr>
          <w:rFonts w:ascii="Garamond" w:hAnsi="Garamond"/>
          <w:sz w:val="22"/>
          <w:szCs w:val="22"/>
          <w:lang w:val="en-US"/>
        </w:rPr>
        <w:t>:</w:t>
      </w:r>
      <w:r w:rsidRPr="00D934B1">
        <w:rPr>
          <w:rFonts w:ascii="Garamond" w:hAnsi="Garamond"/>
          <w:sz w:val="22"/>
          <w:szCs w:val="22"/>
          <w:lang w:val="en-US"/>
        </w:rPr>
        <w:t>equipments</w:t>
      </w:r>
      <w:r w:rsidRPr="00F401C0">
        <w:rPr>
          <w:rFonts w:ascii="Garamond" w:hAnsi="Garamond"/>
          <w:sz w:val="22"/>
          <w:szCs w:val="22"/>
          <w:lang w:val="en-US"/>
        </w:rPr>
        <w:t xml:space="preserve">&gt; </w:t>
      </w:r>
      <w:r w:rsidRPr="00D934B1">
        <w:rPr>
          <w:rFonts w:ascii="Garamond" w:hAnsi="Garamond"/>
          <w:sz w:val="22"/>
          <w:szCs w:val="22"/>
        </w:rPr>
        <w:t>может</w:t>
      </w:r>
      <w:r w:rsidRPr="00F401C0">
        <w:rPr>
          <w:rFonts w:ascii="Garamond" w:hAnsi="Garamond"/>
          <w:sz w:val="22"/>
          <w:szCs w:val="22"/>
          <w:lang w:val="en-US"/>
        </w:rPr>
        <w:t xml:space="preserve"> </w:t>
      </w:r>
      <w:r w:rsidRPr="00D934B1">
        <w:rPr>
          <w:rFonts w:ascii="Garamond" w:hAnsi="Garamond"/>
          <w:sz w:val="22"/>
          <w:szCs w:val="22"/>
        </w:rPr>
        <w:t>быть</w:t>
      </w:r>
      <w:r w:rsidRPr="00F401C0">
        <w:rPr>
          <w:rFonts w:ascii="Garamond" w:hAnsi="Garamond"/>
          <w:sz w:val="22"/>
          <w:szCs w:val="22"/>
          <w:lang w:val="en-US"/>
        </w:rPr>
        <w:t xml:space="preserve"> </w:t>
      </w:r>
      <w:r w:rsidRPr="00D934B1">
        <w:rPr>
          <w:rFonts w:ascii="Garamond" w:hAnsi="Garamond"/>
          <w:sz w:val="22"/>
          <w:szCs w:val="22"/>
        </w:rPr>
        <w:t>не</w:t>
      </w:r>
      <w:r w:rsidRPr="00F401C0">
        <w:rPr>
          <w:rFonts w:ascii="Garamond" w:hAnsi="Garamond"/>
          <w:sz w:val="22"/>
          <w:szCs w:val="22"/>
          <w:lang w:val="en-US"/>
        </w:rPr>
        <w:t xml:space="preserve"> </w:t>
      </w:r>
      <w:r w:rsidRPr="00D934B1">
        <w:rPr>
          <w:rFonts w:ascii="Garamond" w:hAnsi="Garamond"/>
          <w:sz w:val="22"/>
          <w:szCs w:val="22"/>
        </w:rPr>
        <w:t>более</w:t>
      </w:r>
      <w:r w:rsidRPr="00F401C0">
        <w:rPr>
          <w:rFonts w:ascii="Garamond" w:hAnsi="Garamond"/>
          <w:sz w:val="22"/>
          <w:szCs w:val="22"/>
          <w:lang w:val="en-US"/>
        </w:rPr>
        <w:t xml:space="preserve"> </w:t>
      </w:r>
      <w:r w:rsidRPr="00D934B1">
        <w:rPr>
          <w:rFonts w:ascii="Garamond" w:hAnsi="Garamond"/>
          <w:sz w:val="22"/>
          <w:szCs w:val="22"/>
        </w:rPr>
        <w:t>шести</w:t>
      </w:r>
      <w:r w:rsidRPr="00F401C0">
        <w:rPr>
          <w:rFonts w:ascii="Garamond" w:hAnsi="Garamond"/>
          <w:sz w:val="22"/>
          <w:szCs w:val="22"/>
          <w:lang w:val="en-US"/>
        </w:rPr>
        <w:t xml:space="preserve"> </w:t>
      </w:r>
      <w:r w:rsidRPr="00D934B1">
        <w:rPr>
          <w:rFonts w:ascii="Garamond" w:hAnsi="Garamond"/>
          <w:sz w:val="22"/>
          <w:szCs w:val="22"/>
        </w:rPr>
        <w:t>дочерних</w:t>
      </w:r>
      <w:r w:rsidRPr="00F401C0">
        <w:rPr>
          <w:rFonts w:ascii="Garamond" w:hAnsi="Garamond"/>
          <w:sz w:val="22"/>
          <w:szCs w:val="22"/>
          <w:lang w:val="en-US"/>
        </w:rPr>
        <w:t xml:space="preserve"> </w:t>
      </w:r>
      <w:r w:rsidRPr="00D934B1">
        <w:rPr>
          <w:rFonts w:ascii="Garamond" w:hAnsi="Garamond"/>
          <w:sz w:val="22"/>
          <w:szCs w:val="22"/>
        </w:rPr>
        <w:t>элементов</w:t>
      </w:r>
      <w:r w:rsidRPr="00F401C0">
        <w:rPr>
          <w:rFonts w:ascii="Garamond" w:hAnsi="Garamond"/>
          <w:sz w:val="22"/>
          <w:szCs w:val="22"/>
          <w:lang w:val="en-US"/>
        </w:rPr>
        <w:t xml:space="preserve"> &lt;</w:t>
      </w:r>
      <w:r w:rsidRPr="00D934B1">
        <w:rPr>
          <w:rFonts w:ascii="Garamond" w:hAnsi="Garamond"/>
          <w:sz w:val="22"/>
          <w:szCs w:val="22"/>
          <w:lang w:val="en-US"/>
        </w:rPr>
        <w:t>podis</w:t>
      </w:r>
      <w:r w:rsidRPr="00F401C0">
        <w:rPr>
          <w:rFonts w:ascii="Garamond" w:hAnsi="Garamond"/>
          <w:sz w:val="22"/>
          <w:szCs w:val="22"/>
          <w:lang w:val="en-US"/>
        </w:rPr>
        <w:t>:</w:t>
      </w:r>
      <w:r w:rsidRPr="00D934B1">
        <w:rPr>
          <w:rFonts w:ascii="Garamond" w:hAnsi="Garamond"/>
          <w:sz w:val="22"/>
          <w:szCs w:val="22"/>
          <w:lang w:val="en-US"/>
        </w:rPr>
        <w:t>currentTransformer</w:t>
      </w:r>
      <w:r w:rsidRPr="00F401C0">
        <w:rPr>
          <w:rFonts w:ascii="Garamond" w:hAnsi="Garamond"/>
          <w:sz w:val="22"/>
          <w:szCs w:val="22"/>
          <w:lang w:val="en-US"/>
        </w:rPr>
        <w:t xml:space="preserve">&gt; </w:t>
      </w:r>
      <w:r w:rsidRPr="00D934B1">
        <w:rPr>
          <w:rFonts w:ascii="Garamond" w:hAnsi="Garamond"/>
          <w:sz w:val="22"/>
          <w:szCs w:val="22"/>
        </w:rPr>
        <w:t>и</w:t>
      </w:r>
      <w:r w:rsidRPr="00F401C0">
        <w:rPr>
          <w:rFonts w:ascii="Garamond" w:hAnsi="Garamond"/>
          <w:sz w:val="22"/>
          <w:szCs w:val="22"/>
          <w:lang w:val="en-US"/>
        </w:rPr>
        <w:t xml:space="preserve"> </w:t>
      </w:r>
      <w:r w:rsidRPr="00D934B1">
        <w:rPr>
          <w:rFonts w:ascii="Garamond" w:hAnsi="Garamond"/>
          <w:sz w:val="22"/>
          <w:szCs w:val="22"/>
        </w:rPr>
        <w:t>не</w:t>
      </w:r>
      <w:r w:rsidRPr="00F401C0">
        <w:rPr>
          <w:rFonts w:ascii="Garamond" w:hAnsi="Garamond"/>
          <w:sz w:val="22"/>
          <w:szCs w:val="22"/>
          <w:lang w:val="en-US"/>
        </w:rPr>
        <w:t xml:space="preserve"> </w:t>
      </w:r>
      <w:r w:rsidRPr="00D934B1">
        <w:rPr>
          <w:rFonts w:ascii="Garamond" w:hAnsi="Garamond"/>
          <w:sz w:val="22"/>
          <w:szCs w:val="22"/>
        </w:rPr>
        <w:t>более</w:t>
      </w:r>
      <w:r w:rsidRPr="00F401C0">
        <w:rPr>
          <w:rFonts w:ascii="Garamond" w:hAnsi="Garamond"/>
          <w:sz w:val="22"/>
          <w:szCs w:val="22"/>
          <w:lang w:val="en-US"/>
        </w:rPr>
        <w:t xml:space="preserve"> </w:t>
      </w:r>
      <w:r w:rsidRPr="00D934B1">
        <w:rPr>
          <w:rFonts w:ascii="Garamond" w:hAnsi="Garamond"/>
          <w:sz w:val="22"/>
          <w:szCs w:val="22"/>
        </w:rPr>
        <w:t>шести</w:t>
      </w:r>
      <w:r w:rsidRPr="00F401C0">
        <w:rPr>
          <w:rFonts w:ascii="Garamond" w:hAnsi="Garamond"/>
          <w:sz w:val="22"/>
          <w:szCs w:val="22"/>
          <w:lang w:val="en-US"/>
        </w:rPr>
        <w:t xml:space="preserve"> </w:t>
      </w:r>
      <w:r w:rsidRPr="00D934B1">
        <w:rPr>
          <w:rFonts w:ascii="Garamond" w:hAnsi="Garamond"/>
          <w:sz w:val="22"/>
          <w:szCs w:val="22"/>
        </w:rPr>
        <w:t>дочерних</w:t>
      </w:r>
      <w:r w:rsidRPr="00F401C0">
        <w:rPr>
          <w:rFonts w:ascii="Garamond" w:hAnsi="Garamond"/>
          <w:sz w:val="22"/>
          <w:szCs w:val="22"/>
          <w:lang w:val="en-US"/>
        </w:rPr>
        <w:t xml:space="preserve"> </w:t>
      </w:r>
      <w:r w:rsidRPr="00D934B1">
        <w:rPr>
          <w:rFonts w:ascii="Garamond" w:hAnsi="Garamond"/>
          <w:sz w:val="22"/>
          <w:szCs w:val="22"/>
        </w:rPr>
        <w:t>элементов</w:t>
      </w:r>
      <w:r w:rsidRPr="00F401C0">
        <w:rPr>
          <w:rFonts w:ascii="Garamond" w:hAnsi="Garamond"/>
          <w:sz w:val="22"/>
          <w:szCs w:val="22"/>
          <w:lang w:val="en-US"/>
        </w:rPr>
        <w:t xml:space="preserve"> &lt;</w:t>
      </w:r>
      <w:r w:rsidRPr="00D934B1">
        <w:rPr>
          <w:rFonts w:ascii="Garamond" w:hAnsi="Garamond"/>
          <w:sz w:val="22"/>
          <w:szCs w:val="22"/>
          <w:lang w:val="en-US"/>
        </w:rPr>
        <w:t>podis</w:t>
      </w:r>
      <w:r w:rsidRPr="00F401C0">
        <w:rPr>
          <w:rFonts w:ascii="Garamond" w:hAnsi="Garamond"/>
          <w:sz w:val="22"/>
          <w:szCs w:val="22"/>
          <w:lang w:val="en-US"/>
        </w:rPr>
        <w:t>:</w:t>
      </w:r>
      <w:r w:rsidRPr="00D934B1">
        <w:rPr>
          <w:rFonts w:ascii="Garamond" w:hAnsi="Garamond"/>
          <w:sz w:val="22"/>
          <w:szCs w:val="22"/>
          <w:lang w:val="en-US"/>
        </w:rPr>
        <w:t>potentialTransformer</w:t>
      </w:r>
      <w:r w:rsidRPr="00F401C0">
        <w:rPr>
          <w:rFonts w:ascii="Garamond" w:hAnsi="Garamond"/>
          <w:sz w:val="22"/>
          <w:szCs w:val="22"/>
          <w:lang w:val="en-US"/>
        </w:rPr>
        <w:t>&gt;.</w:t>
      </w:r>
    </w:p>
    <w:p w14:paraId="7690519F" w14:textId="77777777" w:rsidR="00CE6209" w:rsidRPr="00D934B1" w:rsidRDefault="00CE6209" w:rsidP="00101F7C">
      <w:pPr>
        <w:pStyle w:val="ac"/>
        <w:numPr>
          <w:ilvl w:val="8"/>
          <w:numId w:val="105"/>
        </w:numPr>
        <w:spacing w:after="120"/>
        <w:ind w:left="1134" w:hanging="567"/>
        <w:jc w:val="both"/>
        <w:rPr>
          <w:rFonts w:ascii="Garamond" w:hAnsi="Garamond"/>
          <w:b/>
          <w:sz w:val="22"/>
          <w:szCs w:val="22"/>
          <w:lang w:val="en-US"/>
        </w:rPr>
      </w:pPr>
      <w:r w:rsidRPr="00D934B1">
        <w:rPr>
          <w:rFonts w:ascii="Garamond" w:hAnsi="Garamond"/>
          <w:b/>
          <w:sz w:val="22"/>
          <w:szCs w:val="22"/>
          <w:lang w:val="en-US"/>
        </w:rPr>
        <w:t>&lt;podis:currentTransformer&gt;</w:t>
      </w:r>
    </w:p>
    <w:p w14:paraId="19982C96" w14:textId="77777777" w:rsidR="00CE6209" w:rsidRPr="00D934B1" w:rsidRDefault="00CE6209" w:rsidP="00CE6209">
      <w:pPr>
        <w:spacing w:after="120"/>
        <w:ind w:firstLine="567"/>
        <w:jc w:val="both"/>
        <w:rPr>
          <w:rFonts w:ascii="Garamond" w:hAnsi="Garamond"/>
          <w:sz w:val="22"/>
          <w:szCs w:val="22"/>
        </w:rPr>
      </w:pPr>
      <w:r w:rsidRPr="00D934B1">
        <w:rPr>
          <w:rFonts w:ascii="Garamond" w:hAnsi="Garamond"/>
          <w:sz w:val="22"/>
          <w:szCs w:val="22"/>
        </w:rPr>
        <w:t>Элемент &lt;</w:t>
      </w:r>
      <w:r w:rsidRPr="00D934B1">
        <w:rPr>
          <w:rFonts w:ascii="Garamond" w:hAnsi="Garamond"/>
          <w:sz w:val="22"/>
          <w:szCs w:val="22"/>
          <w:lang w:val="en-US"/>
        </w:rPr>
        <w:t>podis</w:t>
      </w:r>
      <w:r w:rsidRPr="00D934B1">
        <w:rPr>
          <w:rFonts w:ascii="Garamond" w:hAnsi="Garamond"/>
          <w:sz w:val="22"/>
          <w:szCs w:val="22"/>
        </w:rPr>
        <w:t>:</w:t>
      </w:r>
      <w:r w:rsidRPr="00D934B1">
        <w:rPr>
          <w:rFonts w:ascii="Garamond" w:hAnsi="Garamond"/>
          <w:sz w:val="22"/>
          <w:szCs w:val="22"/>
          <w:lang w:val="en-US"/>
        </w:rPr>
        <w:t>currentTransformer</w:t>
      </w:r>
      <w:r w:rsidRPr="00D934B1">
        <w:rPr>
          <w:rFonts w:ascii="Garamond" w:hAnsi="Garamond"/>
          <w:sz w:val="22"/>
          <w:szCs w:val="22"/>
        </w:rPr>
        <w:t>&gt; содержит информацию о трансформаторе тока. Является необязательным элементом, обязательно указывается для &lt;podis:usagePoint&gt; с элементами &lt;podis:potentialTransformer&gt;.</w:t>
      </w:r>
    </w:p>
    <w:p w14:paraId="7DF338A7" w14:textId="3A03C640" w:rsidR="00CE6209" w:rsidRPr="00F401C0" w:rsidRDefault="00CE6209" w:rsidP="00CE6209">
      <w:pPr>
        <w:spacing w:after="120"/>
        <w:ind w:firstLine="567"/>
        <w:jc w:val="both"/>
        <w:rPr>
          <w:rFonts w:ascii="Garamond" w:hAnsi="Garamond"/>
          <w:sz w:val="22"/>
          <w:szCs w:val="22"/>
          <w:lang w:val="en-US"/>
        </w:rPr>
      </w:pPr>
      <w:r w:rsidRPr="00D934B1">
        <w:rPr>
          <w:rFonts w:ascii="Garamond" w:hAnsi="Garamond"/>
          <w:sz w:val="22"/>
          <w:szCs w:val="22"/>
        </w:rPr>
        <w:t>Дочерними</w:t>
      </w:r>
      <w:r w:rsidRPr="00F401C0">
        <w:rPr>
          <w:rFonts w:ascii="Garamond" w:hAnsi="Garamond"/>
          <w:sz w:val="22"/>
          <w:szCs w:val="22"/>
          <w:lang w:val="en-US"/>
        </w:rPr>
        <w:t xml:space="preserve"> </w:t>
      </w:r>
      <w:r w:rsidRPr="00D934B1">
        <w:rPr>
          <w:rFonts w:ascii="Garamond" w:hAnsi="Garamond"/>
          <w:sz w:val="22"/>
          <w:szCs w:val="22"/>
        </w:rPr>
        <w:t>элементами</w:t>
      </w:r>
      <w:r w:rsidRPr="00F401C0">
        <w:rPr>
          <w:rFonts w:ascii="Garamond" w:hAnsi="Garamond"/>
          <w:sz w:val="22"/>
          <w:szCs w:val="22"/>
          <w:lang w:val="en-US"/>
        </w:rPr>
        <w:t xml:space="preserve"> &lt;</w:t>
      </w:r>
      <w:r w:rsidRPr="00D934B1">
        <w:rPr>
          <w:rFonts w:ascii="Garamond" w:hAnsi="Garamond"/>
          <w:sz w:val="22"/>
          <w:szCs w:val="22"/>
          <w:lang w:val="en-US"/>
        </w:rPr>
        <w:t>podis</w:t>
      </w:r>
      <w:r w:rsidRPr="00F401C0">
        <w:rPr>
          <w:rFonts w:ascii="Garamond" w:hAnsi="Garamond"/>
          <w:sz w:val="22"/>
          <w:szCs w:val="22"/>
          <w:lang w:val="en-US"/>
        </w:rPr>
        <w:t>:</w:t>
      </w:r>
      <w:r w:rsidRPr="00D934B1">
        <w:rPr>
          <w:rFonts w:ascii="Garamond" w:hAnsi="Garamond"/>
          <w:sz w:val="22"/>
          <w:szCs w:val="22"/>
          <w:lang w:val="en-US"/>
        </w:rPr>
        <w:t>currentTransformer</w:t>
      </w:r>
      <w:r w:rsidRPr="00F401C0">
        <w:rPr>
          <w:rFonts w:ascii="Garamond" w:hAnsi="Garamond"/>
          <w:sz w:val="22"/>
          <w:szCs w:val="22"/>
          <w:lang w:val="en-US"/>
        </w:rPr>
        <w:t xml:space="preserve">&gt; </w:t>
      </w:r>
      <w:r w:rsidRPr="00D934B1">
        <w:rPr>
          <w:rFonts w:ascii="Garamond" w:hAnsi="Garamond"/>
          <w:sz w:val="22"/>
          <w:szCs w:val="22"/>
        </w:rPr>
        <w:t>являются</w:t>
      </w:r>
      <w:r w:rsidRPr="00F401C0">
        <w:rPr>
          <w:rFonts w:ascii="Garamond" w:hAnsi="Garamond"/>
          <w:sz w:val="22"/>
          <w:szCs w:val="22"/>
          <w:lang w:val="en-US"/>
        </w:rPr>
        <w:t xml:space="preserve"> </w:t>
      </w:r>
      <w:r w:rsidRPr="00D934B1">
        <w:rPr>
          <w:rFonts w:ascii="Garamond" w:hAnsi="Garamond"/>
          <w:sz w:val="22"/>
          <w:szCs w:val="22"/>
        </w:rPr>
        <w:t>элементы</w:t>
      </w:r>
      <w:r w:rsidRPr="00F401C0">
        <w:rPr>
          <w:rFonts w:ascii="Garamond" w:hAnsi="Garamond"/>
          <w:sz w:val="22"/>
          <w:szCs w:val="22"/>
          <w:lang w:val="en-US"/>
        </w:rPr>
        <w:t xml:space="preserve"> &lt;</w:t>
      </w:r>
      <w:r w:rsidRPr="00D934B1">
        <w:rPr>
          <w:rFonts w:ascii="Garamond" w:hAnsi="Garamond"/>
          <w:sz w:val="22"/>
          <w:szCs w:val="22"/>
          <w:lang w:val="en-US"/>
        </w:rPr>
        <w:t>podis</w:t>
      </w:r>
      <w:r w:rsidRPr="00F401C0">
        <w:rPr>
          <w:rFonts w:ascii="Garamond" w:hAnsi="Garamond"/>
          <w:sz w:val="22"/>
          <w:szCs w:val="22"/>
          <w:lang w:val="en-US"/>
        </w:rPr>
        <w:t>:</w:t>
      </w:r>
      <w:r w:rsidRPr="00D934B1">
        <w:rPr>
          <w:rFonts w:ascii="Garamond" w:hAnsi="Garamond"/>
          <w:sz w:val="22"/>
          <w:szCs w:val="22"/>
          <w:lang w:val="en-US"/>
        </w:rPr>
        <w:t>lifeCycleDate</w:t>
      </w:r>
      <w:r w:rsidRPr="00F401C0">
        <w:rPr>
          <w:rFonts w:ascii="Garamond" w:hAnsi="Garamond"/>
          <w:sz w:val="22"/>
          <w:szCs w:val="22"/>
          <w:lang w:val="en-US"/>
        </w:rPr>
        <w:t>&gt;,</w:t>
      </w:r>
      <w:r w:rsidR="009B5F03">
        <w:rPr>
          <w:rFonts w:ascii="Garamond" w:hAnsi="Garamond"/>
          <w:sz w:val="22"/>
          <w:szCs w:val="22"/>
          <w:lang w:val="en-US"/>
        </w:rPr>
        <w:t xml:space="preserve"> </w:t>
      </w:r>
      <w:r w:rsidRPr="00F401C0">
        <w:rPr>
          <w:rFonts w:ascii="Garamond" w:hAnsi="Garamond"/>
          <w:sz w:val="22"/>
          <w:szCs w:val="22"/>
          <w:lang w:val="en-US"/>
        </w:rPr>
        <w:t>&lt;</w:t>
      </w:r>
      <w:r w:rsidRPr="00D934B1">
        <w:rPr>
          <w:rFonts w:ascii="Garamond" w:hAnsi="Garamond"/>
          <w:sz w:val="22"/>
          <w:szCs w:val="22"/>
          <w:lang w:val="en-US"/>
        </w:rPr>
        <w:t>podis</w:t>
      </w:r>
      <w:r w:rsidRPr="00F401C0">
        <w:rPr>
          <w:rFonts w:ascii="Garamond" w:hAnsi="Garamond"/>
          <w:sz w:val="22"/>
          <w:szCs w:val="22"/>
          <w:lang w:val="en-US"/>
        </w:rPr>
        <w:t>:</w:t>
      </w:r>
      <w:r w:rsidRPr="00D934B1">
        <w:rPr>
          <w:rFonts w:ascii="Garamond" w:hAnsi="Garamond"/>
          <w:sz w:val="22"/>
          <w:szCs w:val="22"/>
          <w:lang w:val="en-US"/>
        </w:rPr>
        <w:t>customAttributes</w:t>
      </w:r>
      <w:r w:rsidRPr="00F401C0">
        <w:rPr>
          <w:rFonts w:ascii="Garamond" w:hAnsi="Garamond"/>
          <w:sz w:val="22"/>
          <w:szCs w:val="22"/>
          <w:lang w:val="en-US"/>
        </w:rPr>
        <w:t>&gt;, &lt;</w:t>
      </w:r>
      <w:r w:rsidRPr="00D934B1">
        <w:rPr>
          <w:rFonts w:ascii="Garamond" w:hAnsi="Garamond"/>
          <w:sz w:val="22"/>
          <w:szCs w:val="22"/>
          <w:lang w:val="en-US"/>
        </w:rPr>
        <w:t>podis</w:t>
      </w:r>
      <w:r w:rsidRPr="00F401C0">
        <w:rPr>
          <w:rFonts w:ascii="Garamond" w:hAnsi="Garamond"/>
          <w:sz w:val="22"/>
          <w:szCs w:val="22"/>
          <w:lang w:val="en-US"/>
        </w:rPr>
        <w:t>:</w:t>
      </w:r>
      <w:r w:rsidRPr="00D934B1">
        <w:rPr>
          <w:rFonts w:ascii="Garamond" w:hAnsi="Garamond"/>
          <w:sz w:val="22"/>
          <w:szCs w:val="22"/>
          <w:lang w:val="en-US"/>
        </w:rPr>
        <w:t>serialNumber</w:t>
      </w:r>
      <w:r w:rsidRPr="00F401C0">
        <w:rPr>
          <w:rFonts w:ascii="Garamond" w:hAnsi="Garamond"/>
          <w:sz w:val="22"/>
          <w:szCs w:val="22"/>
          <w:lang w:val="en-US"/>
        </w:rPr>
        <w:t xml:space="preserve">&gt; </w:t>
      </w:r>
      <w:r w:rsidRPr="00D934B1">
        <w:rPr>
          <w:rFonts w:ascii="Garamond" w:hAnsi="Garamond"/>
          <w:sz w:val="22"/>
          <w:szCs w:val="22"/>
        </w:rPr>
        <w:t>и</w:t>
      </w:r>
      <w:r w:rsidRPr="00F401C0">
        <w:rPr>
          <w:rFonts w:ascii="Garamond" w:hAnsi="Garamond"/>
          <w:sz w:val="22"/>
          <w:szCs w:val="22"/>
          <w:lang w:val="en-US"/>
        </w:rPr>
        <w:t xml:space="preserve"> &lt;</w:t>
      </w:r>
      <w:r w:rsidRPr="00D934B1">
        <w:rPr>
          <w:rFonts w:ascii="Garamond" w:hAnsi="Garamond"/>
          <w:sz w:val="22"/>
          <w:szCs w:val="22"/>
          <w:lang w:val="en-US"/>
        </w:rPr>
        <w:t>podis</w:t>
      </w:r>
      <w:r w:rsidRPr="00F401C0">
        <w:rPr>
          <w:rFonts w:ascii="Garamond" w:hAnsi="Garamond"/>
          <w:sz w:val="22"/>
          <w:szCs w:val="22"/>
          <w:lang w:val="en-US"/>
        </w:rPr>
        <w:t>:</w:t>
      </w:r>
      <w:r w:rsidRPr="00D934B1">
        <w:rPr>
          <w:rFonts w:ascii="Garamond" w:hAnsi="Garamond"/>
          <w:sz w:val="22"/>
          <w:szCs w:val="22"/>
          <w:lang w:val="en-US"/>
        </w:rPr>
        <w:t>currentTransformerInfo</w:t>
      </w:r>
      <w:r w:rsidRPr="00F401C0">
        <w:rPr>
          <w:rFonts w:ascii="Garamond" w:hAnsi="Garamond"/>
          <w:sz w:val="22"/>
          <w:szCs w:val="22"/>
          <w:lang w:val="en-US"/>
        </w:rPr>
        <w:t xml:space="preserve">&gt;. </w:t>
      </w:r>
      <w:r w:rsidRPr="00D934B1">
        <w:rPr>
          <w:rFonts w:ascii="Garamond" w:hAnsi="Garamond"/>
          <w:sz w:val="22"/>
          <w:szCs w:val="22"/>
        </w:rPr>
        <w:t>У</w:t>
      </w:r>
      <w:r w:rsidRPr="00F401C0">
        <w:rPr>
          <w:rFonts w:ascii="Garamond" w:hAnsi="Garamond"/>
          <w:sz w:val="22"/>
          <w:szCs w:val="22"/>
          <w:lang w:val="en-US"/>
        </w:rPr>
        <w:t xml:space="preserve"> </w:t>
      </w:r>
      <w:r w:rsidRPr="00D934B1">
        <w:rPr>
          <w:rFonts w:ascii="Garamond" w:hAnsi="Garamond"/>
          <w:sz w:val="22"/>
          <w:szCs w:val="22"/>
        </w:rPr>
        <w:t>элемента</w:t>
      </w:r>
      <w:r w:rsidRPr="00F401C0">
        <w:rPr>
          <w:rFonts w:ascii="Garamond" w:hAnsi="Garamond"/>
          <w:sz w:val="22"/>
          <w:szCs w:val="22"/>
          <w:lang w:val="en-US"/>
        </w:rPr>
        <w:t xml:space="preserve"> &lt;</w:t>
      </w:r>
      <w:r w:rsidRPr="00D934B1">
        <w:rPr>
          <w:rFonts w:ascii="Garamond" w:hAnsi="Garamond"/>
          <w:sz w:val="22"/>
          <w:szCs w:val="22"/>
          <w:lang w:val="en-US"/>
        </w:rPr>
        <w:t>podis</w:t>
      </w:r>
      <w:r w:rsidRPr="00F401C0">
        <w:rPr>
          <w:rFonts w:ascii="Garamond" w:hAnsi="Garamond"/>
          <w:sz w:val="22"/>
          <w:szCs w:val="22"/>
          <w:lang w:val="en-US"/>
        </w:rPr>
        <w:t>:</w:t>
      </w:r>
      <w:r w:rsidRPr="00D934B1">
        <w:rPr>
          <w:rFonts w:ascii="Garamond" w:hAnsi="Garamond"/>
          <w:sz w:val="22"/>
          <w:szCs w:val="22"/>
          <w:lang w:val="en-US"/>
        </w:rPr>
        <w:t>currentTransformer</w:t>
      </w:r>
      <w:r w:rsidRPr="00F401C0">
        <w:rPr>
          <w:rFonts w:ascii="Garamond" w:hAnsi="Garamond"/>
          <w:sz w:val="22"/>
          <w:szCs w:val="22"/>
          <w:lang w:val="en-US"/>
        </w:rPr>
        <w:t xml:space="preserve">&gt; </w:t>
      </w:r>
      <w:r w:rsidRPr="00D934B1">
        <w:rPr>
          <w:rFonts w:ascii="Garamond" w:hAnsi="Garamond"/>
          <w:sz w:val="22"/>
          <w:szCs w:val="22"/>
        </w:rPr>
        <w:t>может</w:t>
      </w:r>
      <w:r w:rsidRPr="00F401C0">
        <w:rPr>
          <w:rFonts w:ascii="Garamond" w:hAnsi="Garamond"/>
          <w:sz w:val="22"/>
          <w:szCs w:val="22"/>
          <w:lang w:val="en-US"/>
        </w:rPr>
        <w:t xml:space="preserve"> </w:t>
      </w:r>
      <w:r w:rsidRPr="00D934B1">
        <w:rPr>
          <w:rFonts w:ascii="Garamond" w:hAnsi="Garamond"/>
          <w:sz w:val="22"/>
          <w:szCs w:val="22"/>
        </w:rPr>
        <w:t>быть</w:t>
      </w:r>
      <w:r w:rsidRPr="00F401C0">
        <w:rPr>
          <w:rFonts w:ascii="Garamond" w:hAnsi="Garamond"/>
          <w:sz w:val="22"/>
          <w:szCs w:val="22"/>
          <w:lang w:val="en-US"/>
        </w:rPr>
        <w:t xml:space="preserve"> </w:t>
      </w:r>
      <w:r w:rsidRPr="00D934B1">
        <w:rPr>
          <w:rFonts w:ascii="Garamond" w:hAnsi="Garamond"/>
          <w:sz w:val="22"/>
          <w:szCs w:val="22"/>
        </w:rPr>
        <w:t>только</w:t>
      </w:r>
      <w:r w:rsidRPr="00F401C0">
        <w:rPr>
          <w:rFonts w:ascii="Garamond" w:hAnsi="Garamond"/>
          <w:sz w:val="22"/>
          <w:szCs w:val="22"/>
          <w:lang w:val="en-US"/>
        </w:rPr>
        <w:t xml:space="preserve"> </w:t>
      </w:r>
      <w:r w:rsidRPr="00D934B1">
        <w:rPr>
          <w:rFonts w:ascii="Garamond" w:hAnsi="Garamond"/>
          <w:sz w:val="22"/>
          <w:szCs w:val="22"/>
        </w:rPr>
        <w:t>один</w:t>
      </w:r>
      <w:r w:rsidRPr="00F401C0">
        <w:rPr>
          <w:rFonts w:ascii="Garamond" w:hAnsi="Garamond"/>
          <w:sz w:val="22"/>
          <w:szCs w:val="22"/>
          <w:lang w:val="en-US"/>
        </w:rPr>
        <w:t xml:space="preserve"> </w:t>
      </w:r>
      <w:r w:rsidRPr="00D934B1">
        <w:rPr>
          <w:rFonts w:ascii="Garamond" w:hAnsi="Garamond"/>
          <w:sz w:val="22"/>
          <w:szCs w:val="22"/>
        </w:rPr>
        <w:t>дочерний</w:t>
      </w:r>
      <w:r w:rsidRPr="00F401C0">
        <w:rPr>
          <w:rFonts w:ascii="Garamond" w:hAnsi="Garamond"/>
          <w:sz w:val="22"/>
          <w:szCs w:val="22"/>
          <w:lang w:val="en-US"/>
        </w:rPr>
        <w:t xml:space="preserve"> </w:t>
      </w:r>
      <w:r w:rsidRPr="00D934B1">
        <w:rPr>
          <w:rFonts w:ascii="Garamond" w:hAnsi="Garamond"/>
          <w:sz w:val="22"/>
          <w:szCs w:val="22"/>
        </w:rPr>
        <w:t>элемент</w:t>
      </w:r>
      <w:r w:rsidRPr="00F401C0">
        <w:rPr>
          <w:rFonts w:ascii="Garamond" w:hAnsi="Garamond"/>
          <w:sz w:val="22"/>
          <w:szCs w:val="22"/>
          <w:lang w:val="en-US"/>
        </w:rPr>
        <w:t xml:space="preserve"> &lt;</w:t>
      </w:r>
      <w:r w:rsidRPr="00D934B1">
        <w:rPr>
          <w:rFonts w:ascii="Garamond" w:hAnsi="Garamond"/>
          <w:sz w:val="22"/>
          <w:szCs w:val="22"/>
          <w:lang w:val="en-US"/>
        </w:rPr>
        <w:t>podis</w:t>
      </w:r>
      <w:r w:rsidRPr="00F401C0">
        <w:rPr>
          <w:rFonts w:ascii="Garamond" w:hAnsi="Garamond"/>
          <w:sz w:val="22"/>
          <w:szCs w:val="22"/>
          <w:lang w:val="en-US"/>
        </w:rPr>
        <w:t>:</w:t>
      </w:r>
      <w:r w:rsidRPr="00D934B1">
        <w:rPr>
          <w:rFonts w:ascii="Garamond" w:hAnsi="Garamond"/>
          <w:sz w:val="22"/>
          <w:szCs w:val="22"/>
          <w:lang w:val="en-US"/>
        </w:rPr>
        <w:t>lifeCycleDate</w:t>
      </w:r>
      <w:r w:rsidRPr="00F401C0">
        <w:rPr>
          <w:rFonts w:ascii="Garamond" w:hAnsi="Garamond"/>
          <w:sz w:val="22"/>
          <w:szCs w:val="22"/>
          <w:lang w:val="en-US"/>
        </w:rPr>
        <w:t>&gt;, &lt;</w:t>
      </w:r>
      <w:r w:rsidRPr="00D934B1">
        <w:rPr>
          <w:rFonts w:ascii="Garamond" w:hAnsi="Garamond"/>
          <w:sz w:val="22"/>
          <w:szCs w:val="22"/>
          <w:lang w:val="en-US"/>
        </w:rPr>
        <w:t>podis</w:t>
      </w:r>
      <w:r w:rsidRPr="00F401C0">
        <w:rPr>
          <w:rFonts w:ascii="Garamond" w:hAnsi="Garamond"/>
          <w:sz w:val="22"/>
          <w:szCs w:val="22"/>
          <w:lang w:val="en-US"/>
        </w:rPr>
        <w:t>:</w:t>
      </w:r>
      <w:r w:rsidRPr="00D934B1">
        <w:rPr>
          <w:rFonts w:ascii="Garamond" w:hAnsi="Garamond"/>
          <w:sz w:val="22"/>
          <w:szCs w:val="22"/>
          <w:lang w:val="en-US"/>
        </w:rPr>
        <w:t>customAttributes</w:t>
      </w:r>
      <w:r w:rsidRPr="00F401C0">
        <w:rPr>
          <w:rFonts w:ascii="Garamond" w:hAnsi="Garamond"/>
          <w:sz w:val="22"/>
          <w:szCs w:val="22"/>
          <w:lang w:val="en-US"/>
        </w:rPr>
        <w:t>&gt;, &lt;</w:t>
      </w:r>
      <w:r w:rsidRPr="00D934B1">
        <w:rPr>
          <w:rFonts w:ascii="Garamond" w:hAnsi="Garamond"/>
          <w:sz w:val="22"/>
          <w:szCs w:val="22"/>
          <w:lang w:val="en-US"/>
        </w:rPr>
        <w:t>podis</w:t>
      </w:r>
      <w:r w:rsidRPr="00F401C0">
        <w:rPr>
          <w:rFonts w:ascii="Garamond" w:hAnsi="Garamond"/>
          <w:sz w:val="22"/>
          <w:szCs w:val="22"/>
          <w:lang w:val="en-US"/>
        </w:rPr>
        <w:t>:</w:t>
      </w:r>
      <w:r w:rsidRPr="00D934B1">
        <w:rPr>
          <w:rFonts w:ascii="Garamond" w:hAnsi="Garamond"/>
          <w:sz w:val="22"/>
          <w:szCs w:val="22"/>
          <w:lang w:val="en-US"/>
        </w:rPr>
        <w:t>serialNumber</w:t>
      </w:r>
      <w:r w:rsidRPr="00F401C0">
        <w:rPr>
          <w:rFonts w:ascii="Garamond" w:hAnsi="Garamond"/>
          <w:sz w:val="22"/>
          <w:szCs w:val="22"/>
          <w:lang w:val="en-US"/>
        </w:rPr>
        <w:t xml:space="preserve">&gt; </w:t>
      </w:r>
      <w:r w:rsidRPr="00D934B1">
        <w:rPr>
          <w:rFonts w:ascii="Garamond" w:hAnsi="Garamond"/>
          <w:sz w:val="22"/>
          <w:szCs w:val="22"/>
        </w:rPr>
        <w:t>и</w:t>
      </w:r>
      <w:r w:rsidRPr="00F401C0">
        <w:rPr>
          <w:rFonts w:ascii="Garamond" w:hAnsi="Garamond"/>
          <w:sz w:val="22"/>
          <w:szCs w:val="22"/>
          <w:lang w:val="en-US"/>
        </w:rPr>
        <w:t xml:space="preserve"> &lt;</w:t>
      </w:r>
      <w:r w:rsidRPr="00D934B1">
        <w:rPr>
          <w:rFonts w:ascii="Garamond" w:hAnsi="Garamond"/>
          <w:sz w:val="22"/>
          <w:szCs w:val="22"/>
          <w:lang w:val="en-US"/>
        </w:rPr>
        <w:t>podis</w:t>
      </w:r>
      <w:r w:rsidRPr="00F401C0">
        <w:rPr>
          <w:rFonts w:ascii="Garamond" w:hAnsi="Garamond"/>
          <w:sz w:val="22"/>
          <w:szCs w:val="22"/>
          <w:lang w:val="en-US"/>
        </w:rPr>
        <w:t>:</w:t>
      </w:r>
      <w:r w:rsidRPr="00D934B1">
        <w:rPr>
          <w:rFonts w:ascii="Garamond" w:hAnsi="Garamond"/>
          <w:sz w:val="22"/>
          <w:szCs w:val="22"/>
          <w:lang w:val="en-US"/>
        </w:rPr>
        <w:t>currentTransformerInfo</w:t>
      </w:r>
      <w:r w:rsidRPr="00F401C0">
        <w:rPr>
          <w:rFonts w:ascii="Garamond" w:hAnsi="Garamond"/>
          <w:sz w:val="22"/>
          <w:szCs w:val="22"/>
          <w:lang w:val="en-US"/>
        </w:rPr>
        <w:t>&gt;.</w:t>
      </w:r>
    </w:p>
    <w:p w14:paraId="76D1476A" w14:textId="77777777" w:rsidR="00CE6209" w:rsidRPr="003C7CB1" w:rsidRDefault="00CE6209" w:rsidP="00CE6209">
      <w:pPr>
        <w:spacing w:after="120"/>
        <w:ind w:firstLine="567"/>
        <w:jc w:val="both"/>
        <w:rPr>
          <w:rFonts w:ascii="Garamond" w:hAnsi="Garamond"/>
          <w:b/>
          <w:sz w:val="22"/>
          <w:szCs w:val="22"/>
        </w:rPr>
      </w:pPr>
      <w:r w:rsidRPr="003C7CB1">
        <w:rPr>
          <w:rFonts w:ascii="Garamond" w:hAnsi="Garamond"/>
          <w:b/>
          <w:sz w:val="22"/>
          <w:szCs w:val="22"/>
        </w:rPr>
        <w:t>2.1.3.1.3.1.4.2.1.1. &lt;</w:t>
      </w:r>
      <w:r w:rsidRPr="00D934B1">
        <w:rPr>
          <w:rFonts w:ascii="Garamond" w:hAnsi="Garamond"/>
          <w:b/>
          <w:sz w:val="22"/>
          <w:szCs w:val="22"/>
          <w:lang w:val="en-US"/>
        </w:rPr>
        <w:t>podis</w:t>
      </w:r>
      <w:r w:rsidRPr="003C7CB1">
        <w:rPr>
          <w:rFonts w:ascii="Garamond" w:hAnsi="Garamond"/>
          <w:b/>
          <w:sz w:val="22"/>
          <w:szCs w:val="22"/>
        </w:rPr>
        <w:t>:</w:t>
      </w:r>
      <w:r w:rsidRPr="00D934B1">
        <w:rPr>
          <w:rFonts w:ascii="Garamond" w:hAnsi="Garamond"/>
          <w:b/>
          <w:sz w:val="22"/>
          <w:szCs w:val="22"/>
          <w:lang w:val="en-US"/>
        </w:rPr>
        <w:t>serialNumber</w:t>
      </w:r>
      <w:r w:rsidRPr="003C7CB1">
        <w:rPr>
          <w:rFonts w:ascii="Garamond" w:hAnsi="Garamond"/>
          <w:b/>
          <w:sz w:val="22"/>
          <w:szCs w:val="22"/>
        </w:rPr>
        <w:t>&gt;</w:t>
      </w:r>
    </w:p>
    <w:p w14:paraId="55ADAB50" w14:textId="77777777" w:rsidR="00CE6209" w:rsidRPr="00D934B1" w:rsidRDefault="00CE6209" w:rsidP="00CE6209">
      <w:pPr>
        <w:spacing w:after="120"/>
        <w:ind w:firstLine="567"/>
        <w:jc w:val="both"/>
        <w:rPr>
          <w:rFonts w:ascii="Garamond" w:hAnsi="Garamond"/>
          <w:sz w:val="22"/>
          <w:szCs w:val="22"/>
        </w:rPr>
      </w:pPr>
      <w:r w:rsidRPr="00D934B1">
        <w:rPr>
          <w:rFonts w:ascii="Garamond" w:hAnsi="Garamond"/>
          <w:sz w:val="22"/>
          <w:szCs w:val="22"/>
        </w:rPr>
        <w:t>Элемент</w:t>
      </w:r>
      <w:r w:rsidRPr="003C7CB1">
        <w:rPr>
          <w:rFonts w:ascii="Garamond" w:hAnsi="Garamond"/>
          <w:sz w:val="22"/>
          <w:szCs w:val="22"/>
        </w:rPr>
        <w:t xml:space="preserve"> &lt;</w:t>
      </w:r>
      <w:r w:rsidRPr="00D934B1">
        <w:rPr>
          <w:rFonts w:ascii="Garamond" w:hAnsi="Garamond"/>
          <w:sz w:val="22"/>
          <w:szCs w:val="22"/>
          <w:lang w:val="en-US"/>
        </w:rPr>
        <w:t>podis</w:t>
      </w:r>
      <w:r w:rsidRPr="003C7CB1">
        <w:rPr>
          <w:rFonts w:ascii="Garamond" w:hAnsi="Garamond"/>
          <w:sz w:val="22"/>
          <w:szCs w:val="22"/>
        </w:rPr>
        <w:t>:</w:t>
      </w:r>
      <w:r w:rsidRPr="00D934B1">
        <w:rPr>
          <w:rFonts w:ascii="Garamond" w:hAnsi="Garamond"/>
          <w:sz w:val="22"/>
          <w:szCs w:val="22"/>
          <w:lang w:val="en-US"/>
        </w:rPr>
        <w:t>serialNumber</w:t>
      </w:r>
      <w:r w:rsidRPr="003C7CB1">
        <w:rPr>
          <w:rFonts w:ascii="Garamond" w:hAnsi="Garamond"/>
          <w:sz w:val="22"/>
          <w:szCs w:val="22"/>
        </w:rPr>
        <w:t xml:space="preserve">&gt; </w:t>
      </w:r>
      <w:r w:rsidRPr="00D934B1">
        <w:rPr>
          <w:rFonts w:ascii="Garamond" w:hAnsi="Garamond"/>
          <w:sz w:val="22"/>
          <w:szCs w:val="22"/>
        </w:rPr>
        <w:t>содержит</w:t>
      </w:r>
      <w:r w:rsidRPr="003C7CB1">
        <w:rPr>
          <w:rFonts w:ascii="Garamond" w:hAnsi="Garamond"/>
          <w:sz w:val="22"/>
          <w:szCs w:val="22"/>
        </w:rPr>
        <w:t xml:space="preserve"> </w:t>
      </w:r>
      <w:r w:rsidRPr="00D934B1">
        <w:rPr>
          <w:rFonts w:ascii="Garamond" w:hAnsi="Garamond"/>
          <w:sz w:val="22"/>
          <w:szCs w:val="22"/>
        </w:rPr>
        <w:t>заводской</w:t>
      </w:r>
      <w:r w:rsidRPr="003C7CB1">
        <w:rPr>
          <w:rFonts w:ascii="Garamond" w:hAnsi="Garamond"/>
          <w:sz w:val="22"/>
          <w:szCs w:val="22"/>
        </w:rPr>
        <w:t xml:space="preserve"> </w:t>
      </w:r>
      <w:r w:rsidRPr="00D934B1">
        <w:rPr>
          <w:rFonts w:ascii="Garamond" w:hAnsi="Garamond"/>
          <w:sz w:val="22"/>
          <w:szCs w:val="22"/>
        </w:rPr>
        <w:t>номер</w:t>
      </w:r>
      <w:r w:rsidRPr="003C7CB1">
        <w:rPr>
          <w:rFonts w:ascii="Garamond" w:hAnsi="Garamond"/>
          <w:sz w:val="22"/>
          <w:szCs w:val="22"/>
        </w:rPr>
        <w:t xml:space="preserve"> </w:t>
      </w:r>
      <w:r w:rsidRPr="00D934B1">
        <w:rPr>
          <w:rFonts w:ascii="Garamond" w:hAnsi="Garamond"/>
          <w:sz w:val="22"/>
          <w:szCs w:val="22"/>
        </w:rPr>
        <w:t>трансформатора</w:t>
      </w:r>
      <w:r w:rsidRPr="003C7CB1">
        <w:rPr>
          <w:rFonts w:ascii="Garamond" w:hAnsi="Garamond"/>
          <w:sz w:val="22"/>
          <w:szCs w:val="22"/>
        </w:rPr>
        <w:t xml:space="preserve"> </w:t>
      </w:r>
      <w:r w:rsidRPr="00D934B1">
        <w:rPr>
          <w:rFonts w:ascii="Garamond" w:hAnsi="Garamond"/>
          <w:sz w:val="22"/>
          <w:szCs w:val="22"/>
        </w:rPr>
        <w:t>тока</w:t>
      </w:r>
      <w:r w:rsidRPr="003C7CB1">
        <w:rPr>
          <w:rFonts w:ascii="Garamond" w:hAnsi="Garamond"/>
          <w:sz w:val="22"/>
          <w:szCs w:val="22"/>
        </w:rPr>
        <w:t xml:space="preserve">. </w:t>
      </w:r>
      <w:r w:rsidRPr="00D934B1">
        <w:rPr>
          <w:rFonts w:ascii="Garamond" w:hAnsi="Garamond"/>
          <w:sz w:val="22"/>
          <w:szCs w:val="22"/>
        </w:rPr>
        <w:t>Обязательный элемент, текстовое поле длиной не более 250 символов.</w:t>
      </w:r>
    </w:p>
    <w:p w14:paraId="0291F502" w14:textId="77777777" w:rsidR="00CE6209" w:rsidRPr="00D934B1" w:rsidRDefault="00CE6209" w:rsidP="00CE6209">
      <w:pPr>
        <w:spacing w:after="120"/>
        <w:ind w:firstLine="567"/>
        <w:jc w:val="both"/>
        <w:rPr>
          <w:rFonts w:ascii="Garamond" w:hAnsi="Garamond"/>
          <w:b/>
          <w:sz w:val="22"/>
          <w:szCs w:val="22"/>
        </w:rPr>
      </w:pPr>
      <w:r w:rsidRPr="00D934B1">
        <w:rPr>
          <w:rFonts w:ascii="Garamond" w:hAnsi="Garamond"/>
          <w:b/>
          <w:sz w:val="22"/>
          <w:szCs w:val="22"/>
        </w:rPr>
        <w:t>2.1.3.1.3.1.4.2.1.2. &lt;podis:lifeCycleDate&gt;</w:t>
      </w:r>
    </w:p>
    <w:p w14:paraId="3470F225" w14:textId="77777777" w:rsidR="00CE6209" w:rsidRPr="00D934B1" w:rsidRDefault="00CE6209" w:rsidP="00CE6209">
      <w:pPr>
        <w:spacing w:after="120"/>
        <w:ind w:firstLine="567"/>
        <w:jc w:val="both"/>
        <w:rPr>
          <w:rFonts w:ascii="Garamond" w:hAnsi="Garamond"/>
          <w:sz w:val="22"/>
          <w:szCs w:val="22"/>
        </w:rPr>
      </w:pPr>
      <w:r w:rsidRPr="00D934B1">
        <w:rPr>
          <w:rFonts w:ascii="Garamond" w:hAnsi="Garamond"/>
          <w:sz w:val="22"/>
          <w:szCs w:val="22"/>
        </w:rPr>
        <w:t>Элемент &lt;podis:lifeCycleDate&gt; содержит даты жизненного цикла трансформатора тока. Является обязательным элементом.</w:t>
      </w:r>
    </w:p>
    <w:p w14:paraId="6C06338F" w14:textId="77777777" w:rsidR="00CE6209" w:rsidRPr="00D934B1" w:rsidRDefault="00CE6209" w:rsidP="00CE6209">
      <w:pPr>
        <w:spacing w:after="120"/>
        <w:ind w:firstLine="567"/>
        <w:jc w:val="both"/>
        <w:rPr>
          <w:rFonts w:ascii="Garamond" w:hAnsi="Garamond"/>
          <w:sz w:val="22"/>
          <w:szCs w:val="22"/>
        </w:rPr>
      </w:pPr>
      <w:r w:rsidRPr="00D934B1">
        <w:rPr>
          <w:rFonts w:ascii="Garamond" w:hAnsi="Garamond"/>
          <w:sz w:val="22"/>
          <w:szCs w:val="22"/>
        </w:rPr>
        <w:t>Дочерним элементом &lt;podis:lifeCycleDate&gt; является элемент &lt;podis:nextDateValid&gt;. У элемента &lt;podis:lifeCycleDate&gt; может быть только один дочерний элемент &lt;podis:nextDateValid&gt;.</w:t>
      </w:r>
    </w:p>
    <w:p w14:paraId="44F4D5AF" w14:textId="77777777" w:rsidR="00CE6209" w:rsidRPr="00D934B1" w:rsidRDefault="00CE6209" w:rsidP="00CE6209">
      <w:pPr>
        <w:spacing w:after="120"/>
        <w:ind w:firstLine="567"/>
        <w:jc w:val="both"/>
        <w:rPr>
          <w:rFonts w:ascii="Garamond" w:hAnsi="Garamond"/>
          <w:b/>
          <w:sz w:val="22"/>
          <w:szCs w:val="22"/>
        </w:rPr>
      </w:pPr>
      <w:r w:rsidRPr="00D934B1">
        <w:rPr>
          <w:rFonts w:ascii="Garamond" w:hAnsi="Garamond"/>
          <w:b/>
          <w:sz w:val="22"/>
          <w:szCs w:val="22"/>
        </w:rPr>
        <w:t>2.1.3.1.3.1.4.2.1.2.1. &lt;podis:nextDateValid&gt;</w:t>
      </w:r>
    </w:p>
    <w:p w14:paraId="7FB6613A" w14:textId="77777777" w:rsidR="00CE6209" w:rsidRPr="00D934B1" w:rsidRDefault="00CE6209" w:rsidP="00CE6209">
      <w:pPr>
        <w:spacing w:after="120"/>
        <w:ind w:firstLine="567"/>
        <w:jc w:val="both"/>
        <w:rPr>
          <w:rFonts w:ascii="Garamond" w:hAnsi="Garamond"/>
          <w:sz w:val="22"/>
          <w:szCs w:val="22"/>
        </w:rPr>
      </w:pPr>
      <w:r w:rsidRPr="00D934B1">
        <w:rPr>
          <w:rFonts w:ascii="Garamond" w:hAnsi="Garamond"/>
          <w:sz w:val="22"/>
          <w:szCs w:val="22"/>
        </w:rPr>
        <w:t>Элемент &lt;podis:nextDateValid&gt; содержит дату очередной поверки, дата в формате «ГГГГ-ММ-ДД». Является обязательным элементом.</w:t>
      </w:r>
    </w:p>
    <w:p w14:paraId="12BCF94A" w14:textId="77777777" w:rsidR="00CE6209" w:rsidRPr="00D934B1" w:rsidRDefault="00CE6209" w:rsidP="00CE6209">
      <w:pPr>
        <w:spacing w:after="120"/>
        <w:ind w:firstLine="567"/>
        <w:jc w:val="both"/>
        <w:rPr>
          <w:rFonts w:ascii="Garamond" w:hAnsi="Garamond"/>
          <w:b/>
          <w:sz w:val="22"/>
          <w:szCs w:val="22"/>
        </w:rPr>
      </w:pPr>
      <w:r w:rsidRPr="00D934B1">
        <w:rPr>
          <w:rFonts w:ascii="Garamond" w:hAnsi="Garamond"/>
          <w:b/>
          <w:sz w:val="22"/>
          <w:szCs w:val="22"/>
        </w:rPr>
        <w:t>2.1.3.1.3.1.4.2.1.3. &lt;podis:customAttributes&gt;</w:t>
      </w:r>
    </w:p>
    <w:p w14:paraId="76B4523D" w14:textId="77777777" w:rsidR="00CE6209" w:rsidRPr="00D934B1" w:rsidRDefault="00CE6209" w:rsidP="00CE6209">
      <w:pPr>
        <w:spacing w:after="120"/>
        <w:ind w:firstLine="567"/>
        <w:jc w:val="both"/>
        <w:rPr>
          <w:rFonts w:ascii="Garamond" w:hAnsi="Garamond"/>
          <w:sz w:val="22"/>
          <w:szCs w:val="22"/>
        </w:rPr>
      </w:pPr>
      <w:r w:rsidRPr="00D934B1">
        <w:rPr>
          <w:rFonts w:ascii="Garamond" w:hAnsi="Garamond"/>
          <w:sz w:val="22"/>
          <w:szCs w:val="22"/>
        </w:rPr>
        <w:lastRenderedPageBreak/>
        <w:t>Элемент &lt;podis:customAttributes&gt; содержит сведения о принадлежности трансформатора тока. Данный элемент должен содержаться только для измерительных трансформаторов тока и напряжения (&lt;podis:currentTransformer&gt; и &lt;podis:potentialTransformer&gt;), для остальных элементов не указывается.</w:t>
      </w:r>
    </w:p>
    <w:p w14:paraId="7EC3DD80" w14:textId="77777777" w:rsidR="00CE6209" w:rsidRPr="00D934B1" w:rsidRDefault="00CE6209" w:rsidP="00CE6209">
      <w:pPr>
        <w:spacing w:after="120"/>
        <w:ind w:firstLine="567"/>
        <w:jc w:val="both"/>
        <w:rPr>
          <w:rFonts w:ascii="Garamond" w:hAnsi="Garamond"/>
          <w:sz w:val="22"/>
          <w:szCs w:val="22"/>
        </w:rPr>
      </w:pPr>
      <w:r w:rsidRPr="00D934B1">
        <w:rPr>
          <w:rFonts w:ascii="Garamond" w:hAnsi="Garamond"/>
          <w:sz w:val="22"/>
          <w:szCs w:val="22"/>
        </w:rPr>
        <w:t>Дочерними элементами &lt;podis:customAttributes&gt; являются элементы &lt;podis:name&gt; и &lt;podis:value&gt;. У элемента &lt;podis:customAttributes&gt; может быть только один дочерний элемент &lt;podis:name&gt; и &lt;podis:value&gt;.</w:t>
      </w:r>
    </w:p>
    <w:p w14:paraId="3B1574B5" w14:textId="77777777" w:rsidR="00CE6209" w:rsidRPr="00D934B1" w:rsidRDefault="00CE6209" w:rsidP="00CE6209">
      <w:pPr>
        <w:spacing w:after="120"/>
        <w:ind w:firstLine="567"/>
        <w:jc w:val="both"/>
        <w:rPr>
          <w:rFonts w:ascii="Garamond" w:hAnsi="Garamond"/>
          <w:b/>
          <w:sz w:val="22"/>
          <w:szCs w:val="22"/>
        </w:rPr>
      </w:pPr>
      <w:r w:rsidRPr="00D934B1">
        <w:rPr>
          <w:rFonts w:ascii="Garamond" w:hAnsi="Garamond"/>
          <w:b/>
          <w:sz w:val="22"/>
          <w:szCs w:val="22"/>
        </w:rPr>
        <w:t>2.1.3.1.3.1.4.2.1.3.1. &lt;podis:name&gt;</w:t>
      </w:r>
    </w:p>
    <w:p w14:paraId="412B0B50" w14:textId="77777777" w:rsidR="00CE6209" w:rsidRPr="00D934B1" w:rsidRDefault="00CE6209" w:rsidP="00CE6209">
      <w:pPr>
        <w:spacing w:after="120"/>
        <w:ind w:firstLine="567"/>
        <w:jc w:val="both"/>
        <w:rPr>
          <w:rFonts w:ascii="Garamond" w:hAnsi="Garamond"/>
          <w:sz w:val="22"/>
          <w:szCs w:val="22"/>
        </w:rPr>
      </w:pPr>
      <w:r w:rsidRPr="00D934B1">
        <w:rPr>
          <w:rFonts w:ascii="Garamond" w:hAnsi="Garamond"/>
          <w:sz w:val="22"/>
          <w:szCs w:val="22"/>
        </w:rPr>
        <w:t>Элемент &lt;podis:name&gt; содержит имя дополнительного пользовательского элемента. Является обязательным элементом, принимает значение «assetOwnerKind».</w:t>
      </w:r>
    </w:p>
    <w:p w14:paraId="2B5DC173" w14:textId="77777777" w:rsidR="00CE6209" w:rsidRPr="00D934B1" w:rsidRDefault="00CE6209" w:rsidP="00CE6209">
      <w:pPr>
        <w:spacing w:after="120"/>
        <w:ind w:firstLine="567"/>
        <w:jc w:val="both"/>
        <w:rPr>
          <w:rFonts w:ascii="Garamond" w:hAnsi="Garamond"/>
          <w:b/>
          <w:sz w:val="22"/>
          <w:szCs w:val="22"/>
        </w:rPr>
      </w:pPr>
      <w:r w:rsidRPr="00D934B1">
        <w:rPr>
          <w:rFonts w:ascii="Garamond" w:hAnsi="Garamond"/>
          <w:b/>
          <w:sz w:val="22"/>
          <w:szCs w:val="22"/>
        </w:rPr>
        <w:t>2.1.3.1.3.1.4.2.1.3.2. &lt;podis:value&gt;</w:t>
      </w:r>
    </w:p>
    <w:p w14:paraId="46D313E5" w14:textId="77777777" w:rsidR="00CE6209" w:rsidRPr="00D934B1" w:rsidRDefault="00CE6209" w:rsidP="00CE6209">
      <w:pPr>
        <w:spacing w:after="120"/>
        <w:ind w:firstLine="567"/>
        <w:jc w:val="both"/>
        <w:rPr>
          <w:rFonts w:ascii="Garamond" w:hAnsi="Garamond"/>
          <w:sz w:val="22"/>
          <w:szCs w:val="22"/>
        </w:rPr>
      </w:pPr>
      <w:r w:rsidRPr="00D934B1">
        <w:rPr>
          <w:rFonts w:ascii="Garamond" w:hAnsi="Garamond"/>
          <w:sz w:val="22"/>
          <w:szCs w:val="22"/>
        </w:rPr>
        <w:t xml:space="preserve">Элемент &lt;podis:value&gt; содержит значение дополнительного пользовательского элемента. Обязательный элемент, принимает значение «tso_or_gp» (если трансформатор тока принадлежит сетевой организации (гарантирующему поставщику)) или «other» – в обратном случае. </w:t>
      </w:r>
    </w:p>
    <w:p w14:paraId="2AAF1E18" w14:textId="77777777" w:rsidR="00CE6209" w:rsidRPr="00D934B1" w:rsidRDefault="00CE6209" w:rsidP="00CE6209">
      <w:pPr>
        <w:spacing w:after="120"/>
        <w:ind w:firstLine="567"/>
        <w:jc w:val="both"/>
        <w:rPr>
          <w:rFonts w:ascii="Garamond" w:hAnsi="Garamond"/>
          <w:b/>
          <w:sz w:val="22"/>
          <w:szCs w:val="22"/>
        </w:rPr>
      </w:pPr>
      <w:r w:rsidRPr="00D934B1">
        <w:rPr>
          <w:rFonts w:ascii="Garamond" w:hAnsi="Garamond"/>
          <w:b/>
          <w:sz w:val="22"/>
          <w:szCs w:val="22"/>
        </w:rPr>
        <w:t>2.1.3.1.3.1.4.2.1.4. &lt;podis:currentTransformerInfo&gt;</w:t>
      </w:r>
    </w:p>
    <w:p w14:paraId="1B2259C2" w14:textId="77777777" w:rsidR="00CE6209" w:rsidRPr="00D934B1" w:rsidRDefault="00CE6209" w:rsidP="00CE6209">
      <w:pPr>
        <w:spacing w:after="120"/>
        <w:ind w:firstLine="567"/>
        <w:jc w:val="both"/>
        <w:rPr>
          <w:rFonts w:ascii="Garamond" w:hAnsi="Garamond"/>
          <w:sz w:val="22"/>
          <w:szCs w:val="22"/>
        </w:rPr>
      </w:pPr>
      <w:r w:rsidRPr="00D934B1">
        <w:rPr>
          <w:rFonts w:ascii="Garamond" w:hAnsi="Garamond"/>
          <w:sz w:val="22"/>
          <w:szCs w:val="22"/>
        </w:rPr>
        <w:t xml:space="preserve">Элемент &lt;podis:currentTransformerInfo&gt; содержит описание типа трансформатора тока. Является обязательным элементом. </w:t>
      </w:r>
    </w:p>
    <w:p w14:paraId="0FDA358E" w14:textId="7C498D34" w:rsidR="00CE6209" w:rsidRPr="00241C66" w:rsidRDefault="00CE6209" w:rsidP="00CE6209">
      <w:pPr>
        <w:spacing w:after="120"/>
        <w:ind w:firstLine="567"/>
        <w:jc w:val="both"/>
        <w:rPr>
          <w:rFonts w:ascii="Garamond" w:hAnsi="Garamond"/>
          <w:sz w:val="22"/>
          <w:szCs w:val="22"/>
        </w:rPr>
      </w:pPr>
      <w:r w:rsidRPr="00D934B1">
        <w:rPr>
          <w:rFonts w:ascii="Garamond" w:hAnsi="Garamond"/>
          <w:sz w:val="22"/>
          <w:szCs w:val="22"/>
        </w:rPr>
        <w:t>Дочерними</w:t>
      </w:r>
      <w:r w:rsidRPr="00241C66">
        <w:rPr>
          <w:rFonts w:ascii="Garamond" w:hAnsi="Garamond"/>
          <w:sz w:val="22"/>
          <w:szCs w:val="22"/>
        </w:rPr>
        <w:t xml:space="preserve"> </w:t>
      </w:r>
      <w:r w:rsidRPr="00D934B1">
        <w:rPr>
          <w:rFonts w:ascii="Garamond" w:hAnsi="Garamond"/>
          <w:sz w:val="22"/>
          <w:szCs w:val="22"/>
        </w:rPr>
        <w:t>элементами</w:t>
      </w:r>
      <w:r w:rsidRPr="00241C66">
        <w:rPr>
          <w:rFonts w:ascii="Garamond" w:hAnsi="Garamond"/>
          <w:sz w:val="22"/>
          <w:szCs w:val="22"/>
        </w:rPr>
        <w:t xml:space="preserve"> &lt;</w:t>
      </w:r>
      <w:r w:rsidRPr="009537EC">
        <w:rPr>
          <w:rFonts w:ascii="Garamond" w:hAnsi="Garamond"/>
          <w:sz w:val="22"/>
          <w:szCs w:val="22"/>
          <w:lang w:val="en-US"/>
        </w:rPr>
        <w:t>podis</w:t>
      </w:r>
      <w:r w:rsidRPr="00241C66">
        <w:rPr>
          <w:rFonts w:ascii="Garamond" w:hAnsi="Garamond"/>
          <w:sz w:val="22"/>
          <w:szCs w:val="22"/>
        </w:rPr>
        <w:t>:</w:t>
      </w:r>
      <w:r w:rsidRPr="009537EC">
        <w:rPr>
          <w:rFonts w:ascii="Garamond" w:hAnsi="Garamond"/>
          <w:sz w:val="22"/>
          <w:szCs w:val="22"/>
          <w:lang w:val="en-US"/>
        </w:rPr>
        <w:t>currentTransformerInfo</w:t>
      </w:r>
      <w:r w:rsidRPr="00241C66">
        <w:rPr>
          <w:rFonts w:ascii="Garamond" w:hAnsi="Garamond"/>
          <w:sz w:val="22"/>
          <w:szCs w:val="22"/>
        </w:rPr>
        <w:t xml:space="preserve">&gt; </w:t>
      </w:r>
      <w:r w:rsidRPr="00D934B1">
        <w:rPr>
          <w:rFonts w:ascii="Garamond" w:hAnsi="Garamond"/>
          <w:sz w:val="22"/>
          <w:szCs w:val="22"/>
        </w:rPr>
        <w:t>являются</w:t>
      </w:r>
      <w:r w:rsidRPr="00241C66">
        <w:rPr>
          <w:rFonts w:ascii="Garamond" w:hAnsi="Garamond"/>
          <w:sz w:val="22"/>
          <w:szCs w:val="22"/>
        </w:rPr>
        <w:t xml:space="preserve"> </w:t>
      </w:r>
      <w:r w:rsidRPr="00D934B1">
        <w:rPr>
          <w:rFonts w:ascii="Garamond" w:hAnsi="Garamond"/>
          <w:sz w:val="22"/>
          <w:szCs w:val="22"/>
        </w:rPr>
        <w:t>элементы</w:t>
      </w:r>
      <w:r w:rsidRPr="00241C66">
        <w:rPr>
          <w:rFonts w:ascii="Garamond" w:hAnsi="Garamond"/>
          <w:sz w:val="22"/>
          <w:szCs w:val="22"/>
        </w:rPr>
        <w:t xml:space="preserve"> &lt;</w:t>
      </w:r>
      <w:r w:rsidRPr="009537EC">
        <w:rPr>
          <w:rFonts w:ascii="Garamond" w:hAnsi="Garamond"/>
          <w:sz w:val="22"/>
          <w:szCs w:val="22"/>
          <w:lang w:val="en-US"/>
        </w:rPr>
        <w:t>podis</w:t>
      </w:r>
      <w:r w:rsidRPr="00241C66">
        <w:rPr>
          <w:rFonts w:ascii="Garamond" w:hAnsi="Garamond"/>
          <w:sz w:val="22"/>
          <w:szCs w:val="22"/>
        </w:rPr>
        <w:t>:</w:t>
      </w:r>
      <w:r w:rsidRPr="009537EC">
        <w:rPr>
          <w:rFonts w:ascii="Garamond" w:hAnsi="Garamond"/>
          <w:sz w:val="22"/>
          <w:szCs w:val="22"/>
          <w:lang w:val="en-US"/>
        </w:rPr>
        <w:t>measuring</w:t>
      </w:r>
      <w:r w:rsidRPr="00241C66">
        <w:rPr>
          <w:rFonts w:ascii="Garamond" w:hAnsi="Garamond"/>
          <w:sz w:val="22"/>
          <w:szCs w:val="22"/>
        </w:rPr>
        <w:t>-</w:t>
      </w:r>
      <w:r w:rsidRPr="009537EC">
        <w:rPr>
          <w:rFonts w:ascii="Garamond" w:hAnsi="Garamond"/>
          <w:sz w:val="22"/>
          <w:szCs w:val="22"/>
          <w:lang w:val="en-US"/>
        </w:rPr>
        <w:t>tool</w:t>
      </w:r>
      <w:r w:rsidRPr="00241C66">
        <w:rPr>
          <w:rFonts w:ascii="Garamond" w:hAnsi="Garamond"/>
          <w:sz w:val="22"/>
          <w:szCs w:val="22"/>
        </w:rPr>
        <w:t>-</w:t>
      </w:r>
      <w:r w:rsidRPr="009537EC">
        <w:rPr>
          <w:rFonts w:ascii="Garamond" w:hAnsi="Garamond"/>
          <w:sz w:val="22"/>
          <w:szCs w:val="22"/>
          <w:lang w:val="en-US"/>
        </w:rPr>
        <w:t>code</w:t>
      </w:r>
      <w:r w:rsidRPr="00241C66">
        <w:rPr>
          <w:rFonts w:ascii="Garamond" w:hAnsi="Garamond"/>
          <w:sz w:val="22"/>
          <w:szCs w:val="22"/>
        </w:rPr>
        <w:t>&gt;, &lt;</w:t>
      </w:r>
      <w:r w:rsidRPr="009537EC">
        <w:rPr>
          <w:rFonts w:ascii="Garamond" w:hAnsi="Garamond"/>
          <w:sz w:val="22"/>
          <w:szCs w:val="22"/>
          <w:lang w:val="en-US"/>
        </w:rPr>
        <w:t>podis</w:t>
      </w:r>
      <w:r w:rsidRPr="00241C66">
        <w:rPr>
          <w:rFonts w:ascii="Garamond" w:hAnsi="Garamond"/>
          <w:sz w:val="22"/>
          <w:szCs w:val="22"/>
        </w:rPr>
        <w:t>:</w:t>
      </w:r>
      <w:r w:rsidRPr="009537EC">
        <w:rPr>
          <w:rFonts w:ascii="Garamond" w:hAnsi="Garamond"/>
          <w:sz w:val="22"/>
          <w:szCs w:val="22"/>
          <w:lang w:val="en-US"/>
        </w:rPr>
        <w:t>modelNumber</w:t>
      </w:r>
      <w:r w:rsidRPr="00241C66">
        <w:rPr>
          <w:rFonts w:ascii="Garamond" w:hAnsi="Garamond"/>
          <w:sz w:val="22"/>
          <w:szCs w:val="22"/>
        </w:rPr>
        <w:t>&gt;, &lt;</w:t>
      </w:r>
      <w:r w:rsidRPr="009537EC">
        <w:rPr>
          <w:rFonts w:ascii="Garamond" w:hAnsi="Garamond"/>
          <w:sz w:val="22"/>
          <w:szCs w:val="22"/>
          <w:lang w:val="en-US"/>
        </w:rPr>
        <w:t>podis</w:t>
      </w:r>
      <w:r w:rsidRPr="00241C66">
        <w:rPr>
          <w:rFonts w:ascii="Garamond" w:hAnsi="Garamond"/>
          <w:sz w:val="22"/>
          <w:szCs w:val="22"/>
        </w:rPr>
        <w:t>:</w:t>
      </w:r>
      <w:r w:rsidRPr="009537EC">
        <w:rPr>
          <w:rFonts w:ascii="Garamond" w:hAnsi="Garamond"/>
          <w:sz w:val="22"/>
          <w:szCs w:val="22"/>
          <w:lang w:val="en-US"/>
        </w:rPr>
        <w:t>ratedCurrent</w:t>
      </w:r>
      <w:r w:rsidRPr="00241C66">
        <w:rPr>
          <w:rFonts w:ascii="Garamond" w:hAnsi="Garamond"/>
          <w:sz w:val="22"/>
          <w:szCs w:val="22"/>
        </w:rPr>
        <w:t>&gt;, &lt;</w:t>
      </w:r>
      <w:r w:rsidRPr="009537EC">
        <w:rPr>
          <w:rFonts w:ascii="Garamond" w:hAnsi="Garamond"/>
          <w:sz w:val="22"/>
          <w:szCs w:val="22"/>
          <w:lang w:val="en-US"/>
        </w:rPr>
        <w:t>podis</w:t>
      </w:r>
      <w:r w:rsidRPr="00241C66">
        <w:rPr>
          <w:rFonts w:ascii="Garamond" w:hAnsi="Garamond"/>
          <w:sz w:val="22"/>
          <w:szCs w:val="22"/>
        </w:rPr>
        <w:t>:</w:t>
      </w:r>
      <w:r w:rsidRPr="009537EC">
        <w:rPr>
          <w:rFonts w:ascii="Garamond" w:hAnsi="Garamond"/>
          <w:sz w:val="22"/>
          <w:szCs w:val="22"/>
          <w:lang w:val="en-US"/>
        </w:rPr>
        <w:t>ratedSecondaryCurrent</w:t>
      </w:r>
      <w:r w:rsidRPr="00241C66">
        <w:rPr>
          <w:rFonts w:ascii="Garamond" w:hAnsi="Garamond"/>
          <w:sz w:val="22"/>
          <w:szCs w:val="22"/>
        </w:rPr>
        <w:t>&gt;, &lt;</w:t>
      </w:r>
      <w:r w:rsidRPr="009537EC">
        <w:rPr>
          <w:rFonts w:ascii="Garamond" w:hAnsi="Garamond"/>
          <w:sz w:val="22"/>
          <w:szCs w:val="22"/>
          <w:lang w:val="en-US"/>
        </w:rPr>
        <w:t>podis</w:t>
      </w:r>
      <w:r w:rsidRPr="00241C66">
        <w:rPr>
          <w:rFonts w:ascii="Garamond" w:hAnsi="Garamond"/>
          <w:sz w:val="22"/>
          <w:szCs w:val="22"/>
        </w:rPr>
        <w:t>:</w:t>
      </w:r>
      <w:r w:rsidRPr="009537EC">
        <w:rPr>
          <w:rFonts w:ascii="Garamond" w:hAnsi="Garamond"/>
          <w:sz w:val="22"/>
          <w:szCs w:val="22"/>
          <w:lang w:val="en-US"/>
        </w:rPr>
        <w:t>secondaryFlsRating</w:t>
      </w:r>
      <w:r w:rsidRPr="00241C66">
        <w:rPr>
          <w:rFonts w:ascii="Garamond" w:hAnsi="Garamond"/>
          <w:sz w:val="22"/>
          <w:szCs w:val="22"/>
        </w:rPr>
        <w:t>&gt;, &lt;</w:t>
      </w:r>
      <w:r w:rsidRPr="009537EC">
        <w:rPr>
          <w:rFonts w:ascii="Garamond" w:hAnsi="Garamond"/>
          <w:sz w:val="22"/>
          <w:szCs w:val="22"/>
          <w:lang w:val="en-US"/>
        </w:rPr>
        <w:t>podis</w:t>
      </w:r>
      <w:r w:rsidRPr="00241C66">
        <w:rPr>
          <w:rFonts w:ascii="Garamond" w:hAnsi="Garamond"/>
          <w:sz w:val="22"/>
          <w:szCs w:val="22"/>
        </w:rPr>
        <w:t>:</w:t>
      </w:r>
      <w:r w:rsidRPr="009537EC">
        <w:rPr>
          <w:rFonts w:ascii="Garamond" w:hAnsi="Garamond"/>
          <w:sz w:val="22"/>
          <w:szCs w:val="22"/>
          <w:lang w:val="en-US"/>
        </w:rPr>
        <w:t>accuracyClass</w:t>
      </w:r>
      <w:r w:rsidRPr="00241C66">
        <w:rPr>
          <w:rFonts w:ascii="Garamond" w:hAnsi="Garamond"/>
          <w:sz w:val="22"/>
          <w:szCs w:val="22"/>
        </w:rPr>
        <w:t xml:space="preserve">&gt; </w:t>
      </w:r>
      <w:r w:rsidRPr="00D934B1">
        <w:rPr>
          <w:rFonts w:ascii="Garamond" w:hAnsi="Garamond"/>
          <w:sz w:val="22"/>
          <w:szCs w:val="22"/>
        </w:rPr>
        <w:t>и</w:t>
      </w:r>
      <w:r w:rsidRPr="00241C66">
        <w:rPr>
          <w:rFonts w:ascii="Garamond" w:hAnsi="Garamond"/>
          <w:sz w:val="22"/>
          <w:szCs w:val="22"/>
        </w:rPr>
        <w:t xml:space="preserve"> &lt;</w:t>
      </w:r>
      <w:r w:rsidRPr="009537EC">
        <w:rPr>
          <w:rFonts w:ascii="Garamond" w:hAnsi="Garamond"/>
          <w:sz w:val="22"/>
          <w:szCs w:val="22"/>
          <w:lang w:val="en-US"/>
        </w:rPr>
        <w:t>podis</w:t>
      </w:r>
      <w:r w:rsidRPr="00241C66">
        <w:rPr>
          <w:rFonts w:ascii="Garamond" w:hAnsi="Garamond"/>
          <w:sz w:val="22"/>
          <w:szCs w:val="22"/>
        </w:rPr>
        <w:t>:</w:t>
      </w:r>
      <w:r w:rsidRPr="009537EC">
        <w:rPr>
          <w:rFonts w:ascii="Garamond" w:hAnsi="Garamond"/>
          <w:sz w:val="22"/>
          <w:szCs w:val="22"/>
          <w:lang w:val="en-US"/>
        </w:rPr>
        <w:t>regNumber</w:t>
      </w:r>
      <w:r w:rsidRPr="00241C66">
        <w:rPr>
          <w:rFonts w:ascii="Garamond" w:hAnsi="Garamond"/>
          <w:sz w:val="22"/>
          <w:szCs w:val="22"/>
        </w:rPr>
        <w:t xml:space="preserve">&gt;. </w:t>
      </w:r>
      <w:r w:rsidRPr="00D934B1">
        <w:rPr>
          <w:rFonts w:ascii="Garamond" w:hAnsi="Garamond"/>
          <w:sz w:val="22"/>
          <w:szCs w:val="22"/>
        </w:rPr>
        <w:t>У</w:t>
      </w:r>
      <w:r w:rsidRPr="00241C66">
        <w:rPr>
          <w:rFonts w:ascii="Garamond" w:hAnsi="Garamond"/>
          <w:sz w:val="22"/>
          <w:szCs w:val="22"/>
        </w:rPr>
        <w:t xml:space="preserve"> </w:t>
      </w:r>
      <w:r w:rsidRPr="00D934B1">
        <w:rPr>
          <w:rFonts w:ascii="Garamond" w:hAnsi="Garamond"/>
          <w:sz w:val="22"/>
          <w:szCs w:val="22"/>
        </w:rPr>
        <w:t>элемента</w:t>
      </w:r>
      <w:r w:rsidRPr="00241C66">
        <w:rPr>
          <w:rFonts w:ascii="Garamond" w:hAnsi="Garamond"/>
          <w:sz w:val="22"/>
          <w:szCs w:val="22"/>
        </w:rPr>
        <w:t xml:space="preserve"> &lt;</w:t>
      </w:r>
      <w:r w:rsidRPr="009537EC">
        <w:rPr>
          <w:rFonts w:ascii="Garamond" w:hAnsi="Garamond"/>
          <w:sz w:val="22"/>
          <w:szCs w:val="22"/>
          <w:lang w:val="en-US"/>
        </w:rPr>
        <w:t>podis</w:t>
      </w:r>
      <w:r w:rsidRPr="00241C66">
        <w:rPr>
          <w:rFonts w:ascii="Garamond" w:hAnsi="Garamond"/>
          <w:sz w:val="22"/>
          <w:szCs w:val="22"/>
        </w:rPr>
        <w:t>:</w:t>
      </w:r>
      <w:r w:rsidRPr="009537EC">
        <w:rPr>
          <w:rFonts w:ascii="Garamond" w:hAnsi="Garamond"/>
          <w:sz w:val="22"/>
          <w:szCs w:val="22"/>
          <w:lang w:val="en-US"/>
        </w:rPr>
        <w:t>currentTransformerInfo</w:t>
      </w:r>
      <w:r w:rsidRPr="00241C66">
        <w:rPr>
          <w:rFonts w:ascii="Garamond" w:hAnsi="Garamond"/>
          <w:sz w:val="22"/>
          <w:szCs w:val="22"/>
        </w:rPr>
        <w:t xml:space="preserve">&gt; </w:t>
      </w:r>
      <w:r w:rsidRPr="00D934B1">
        <w:rPr>
          <w:rFonts w:ascii="Garamond" w:hAnsi="Garamond"/>
          <w:sz w:val="22"/>
          <w:szCs w:val="22"/>
        </w:rPr>
        <w:t>может</w:t>
      </w:r>
      <w:r w:rsidRPr="00241C66">
        <w:rPr>
          <w:rFonts w:ascii="Garamond" w:hAnsi="Garamond"/>
          <w:sz w:val="22"/>
          <w:szCs w:val="22"/>
        </w:rPr>
        <w:t xml:space="preserve"> </w:t>
      </w:r>
      <w:r w:rsidRPr="00D934B1">
        <w:rPr>
          <w:rFonts w:ascii="Garamond" w:hAnsi="Garamond"/>
          <w:sz w:val="22"/>
          <w:szCs w:val="22"/>
        </w:rPr>
        <w:t>быть</w:t>
      </w:r>
      <w:r w:rsidRPr="00241C66">
        <w:rPr>
          <w:rFonts w:ascii="Garamond" w:hAnsi="Garamond"/>
          <w:sz w:val="22"/>
          <w:szCs w:val="22"/>
        </w:rPr>
        <w:t xml:space="preserve"> </w:t>
      </w:r>
      <w:r w:rsidRPr="00D934B1">
        <w:rPr>
          <w:rFonts w:ascii="Garamond" w:hAnsi="Garamond"/>
          <w:sz w:val="22"/>
          <w:szCs w:val="22"/>
        </w:rPr>
        <w:t>только</w:t>
      </w:r>
      <w:r w:rsidRPr="00241C66">
        <w:rPr>
          <w:rFonts w:ascii="Garamond" w:hAnsi="Garamond"/>
          <w:sz w:val="22"/>
          <w:szCs w:val="22"/>
        </w:rPr>
        <w:t xml:space="preserve"> </w:t>
      </w:r>
      <w:r w:rsidRPr="00D934B1">
        <w:rPr>
          <w:rFonts w:ascii="Garamond" w:hAnsi="Garamond"/>
          <w:sz w:val="22"/>
          <w:szCs w:val="22"/>
        </w:rPr>
        <w:t>один</w:t>
      </w:r>
      <w:r w:rsidRPr="00241C66">
        <w:rPr>
          <w:rFonts w:ascii="Garamond" w:hAnsi="Garamond"/>
          <w:sz w:val="22"/>
          <w:szCs w:val="22"/>
        </w:rPr>
        <w:t xml:space="preserve"> </w:t>
      </w:r>
      <w:r w:rsidRPr="00D934B1">
        <w:rPr>
          <w:rFonts w:ascii="Garamond" w:hAnsi="Garamond"/>
          <w:sz w:val="22"/>
          <w:szCs w:val="22"/>
        </w:rPr>
        <w:t>дочерний</w:t>
      </w:r>
      <w:r w:rsidRPr="00241C66">
        <w:rPr>
          <w:rFonts w:ascii="Garamond" w:hAnsi="Garamond"/>
          <w:sz w:val="22"/>
          <w:szCs w:val="22"/>
        </w:rPr>
        <w:t xml:space="preserve"> </w:t>
      </w:r>
      <w:r w:rsidRPr="00D934B1">
        <w:rPr>
          <w:rFonts w:ascii="Garamond" w:hAnsi="Garamond"/>
          <w:sz w:val="22"/>
          <w:szCs w:val="22"/>
        </w:rPr>
        <w:t>элемент</w:t>
      </w:r>
      <w:r w:rsidRPr="00241C66">
        <w:rPr>
          <w:rFonts w:ascii="Garamond" w:hAnsi="Garamond"/>
          <w:sz w:val="22"/>
          <w:szCs w:val="22"/>
        </w:rPr>
        <w:t xml:space="preserve"> &lt;</w:t>
      </w:r>
      <w:r w:rsidRPr="009537EC">
        <w:rPr>
          <w:rFonts w:ascii="Garamond" w:hAnsi="Garamond"/>
          <w:sz w:val="22"/>
          <w:szCs w:val="22"/>
          <w:lang w:val="en-US"/>
        </w:rPr>
        <w:t>podis</w:t>
      </w:r>
      <w:r w:rsidRPr="00241C66">
        <w:rPr>
          <w:rFonts w:ascii="Garamond" w:hAnsi="Garamond"/>
          <w:sz w:val="22"/>
          <w:szCs w:val="22"/>
        </w:rPr>
        <w:t>:</w:t>
      </w:r>
      <w:r w:rsidRPr="009537EC">
        <w:rPr>
          <w:rFonts w:ascii="Garamond" w:hAnsi="Garamond"/>
          <w:sz w:val="22"/>
          <w:szCs w:val="22"/>
          <w:lang w:val="en-US"/>
        </w:rPr>
        <w:t>measuring</w:t>
      </w:r>
      <w:r w:rsidRPr="00241C66">
        <w:rPr>
          <w:rFonts w:ascii="Garamond" w:hAnsi="Garamond"/>
          <w:sz w:val="22"/>
          <w:szCs w:val="22"/>
        </w:rPr>
        <w:t>-</w:t>
      </w:r>
      <w:r w:rsidRPr="009537EC">
        <w:rPr>
          <w:rFonts w:ascii="Garamond" w:hAnsi="Garamond"/>
          <w:sz w:val="22"/>
          <w:szCs w:val="22"/>
          <w:lang w:val="en-US"/>
        </w:rPr>
        <w:t>tool</w:t>
      </w:r>
      <w:r w:rsidRPr="00241C66">
        <w:rPr>
          <w:rFonts w:ascii="Garamond" w:hAnsi="Garamond"/>
          <w:sz w:val="22"/>
          <w:szCs w:val="22"/>
        </w:rPr>
        <w:t>-</w:t>
      </w:r>
      <w:r w:rsidRPr="009537EC">
        <w:rPr>
          <w:rFonts w:ascii="Garamond" w:hAnsi="Garamond"/>
          <w:sz w:val="22"/>
          <w:szCs w:val="22"/>
          <w:lang w:val="en-US"/>
        </w:rPr>
        <w:t>code</w:t>
      </w:r>
      <w:r w:rsidRPr="00241C66">
        <w:rPr>
          <w:rFonts w:ascii="Garamond" w:hAnsi="Garamond"/>
          <w:sz w:val="22"/>
          <w:szCs w:val="22"/>
        </w:rPr>
        <w:t>&gt;, &lt;</w:t>
      </w:r>
      <w:r w:rsidRPr="009537EC">
        <w:rPr>
          <w:rFonts w:ascii="Garamond" w:hAnsi="Garamond"/>
          <w:sz w:val="22"/>
          <w:szCs w:val="22"/>
          <w:lang w:val="en-US"/>
        </w:rPr>
        <w:t>podis</w:t>
      </w:r>
      <w:r w:rsidRPr="00241C66">
        <w:rPr>
          <w:rFonts w:ascii="Garamond" w:hAnsi="Garamond"/>
          <w:sz w:val="22"/>
          <w:szCs w:val="22"/>
        </w:rPr>
        <w:t>:</w:t>
      </w:r>
      <w:r w:rsidRPr="009537EC">
        <w:rPr>
          <w:rFonts w:ascii="Garamond" w:hAnsi="Garamond"/>
          <w:sz w:val="22"/>
          <w:szCs w:val="22"/>
          <w:lang w:val="en-US"/>
        </w:rPr>
        <w:t>modelNumber</w:t>
      </w:r>
      <w:r w:rsidRPr="00241C66">
        <w:rPr>
          <w:rFonts w:ascii="Garamond" w:hAnsi="Garamond"/>
          <w:sz w:val="22"/>
          <w:szCs w:val="22"/>
        </w:rPr>
        <w:t>&gt;, &lt;</w:t>
      </w:r>
      <w:r w:rsidRPr="009537EC">
        <w:rPr>
          <w:rFonts w:ascii="Garamond" w:hAnsi="Garamond"/>
          <w:sz w:val="22"/>
          <w:szCs w:val="22"/>
          <w:lang w:val="en-US"/>
        </w:rPr>
        <w:t>podis</w:t>
      </w:r>
      <w:r w:rsidRPr="00241C66">
        <w:rPr>
          <w:rFonts w:ascii="Garamond" w:hAnsi="Garamond"/>
          <w:sz w:val="22"/>
          <w:szCs w:val="22"/>
        </w:rPr>
        <w:t>:</w:t>
      </w:r>
      <w:r w:rsidRPr="009537EC">
        <w:rPr>
          <w:rFonts w:ascii="Garamond" w:hAnsi="Garamond"/>
          <w:sz w:val="22"/>
          <w:szCs w:val="22"/>
          <w:lang w:val="en-US"/>
        </w:rPr>
        <w:t>ratedCurrent</w:t>
      </w:r>
      <w:r w:rsidRPr="00241C66">
        <w:rPr>
          <w:rFonts w:ascii="Garamond" w:hAnsi="Garamond"/>
          <w:sz w:val="22"/>
          <w:szCs w:val="22"/>
        </w:rPr>
        <w:t>&gt;, &lt;</w:t>
      </w:r>
      <w:r w:rsidRPr="009537EC">
        <w:rPr>
          <w:rFonts w:ascii="Garamond" w:hAnsi="Garamond"/>
          <w:sz w:val="22"/>
          <w:szCs w:val="22"/>
          <w:lang w:val="en-US"/>
        </w:rPr>
        <w:t>podis</w:t>
      </w:r>
      <w:r w:rsidRPr="00241C66">
        <w:rPr>
          <w:rFonts w:ascii="Garamond" w:hAnsi="Garamond"/>
          <w:sz w:val="22"/>
          <w:szCs w:val="22"/>
        </w:rPr>
        <w:t>:</w:t>
      </w:r>
      <w:r w:rsidRPr="009537EC">
        <w:rPr>
          <w:rFonts w:ascii="Garamond" w:hAnsi="Garamond"/>
          <w:sz w:val="22"/>
          <w:szCs w:val="22"/>
          <w:lang w:val="en-US"/>
        </w:rPr>
        <w:t>ratedSecondaryCurrent</w:t>
      </w:r>
      <w:r w:rsidRPr="00241C66">
        <w:rPr>
          <w:rFonts w:ascii="Garamond" w:hAnsi="Garamond"/>
          <w:sz w:val="22"/>
          <w:szCs w:val="22"/>
        </w:rPr>
        <w:t>&gt;, &lt;</w:t>
      </w:r>
      <w:r w:rsidRPr="009537EC">
        <w:rPr>
          <w:rFonts w:ascii="Garamond" w:hAnsi="Garamond"/>
          <w:sz w:val="22"/>
          <w:szCs w:val="22"/>
          <w:lang w:val="en-US"/>
        </w:rPr>
        <w:t>podis</w:t>
      </w:r>
      <w:r w:rsidRPr="00241C66">
        <w:rPr>
          <w:rFonts w:ascii="Garamond" w:hAnsi="Garamond"/>
          <w:sz w:val="22"/>
          <w:szCs w:val="22"/>
        </w:rPr>
        <w:t>:</w:t>
      </w:r>
      <w:r w:rsidRPr="009537EC">
        <w:rPr>
          <w:rFonts w:ascii="Garamond" w:hAnsi="Garamond"/>
          <w:sz w:val="22"/>
          <w:szCs w:val="22"/>
          <w:lang w:val="en-US"/>
        </w:rPr>
        <w:t>secondaryFlsRating</w:t>
      </w:r>
      <w:r w:rsidRPr="00241C66">
        <w:rPr>
          <w:rFonts w:ascii="Garamond" w:hAnsi="Garamond"/>
          <w:sz w:val="22"/>
          <w:szCs w:val="22"/>
        </w:rPr>
        <w:t>&gt;, &lt;</w:t>
      </w:r>
      <w:r w:rsidRPr="009537EC">
        <w:rPr>
          <w:rFonts w:ascii="Garamond" w:hAnsi="Garamond"/>
          <w:sz w:val="22"/>
          <w:szCs w:val="22"/>
          <w:lang w:val="en-US"/>
        </w:rPr>
        <w:t>podis</w:t>
      </w:r>
      <w:r w:rsidRPr="00241C66">
        <w:rPr>
          <w:rFonts w:ascii="Garamond" w:hAnsi="Garamond"/>
          <w:sz w:val="22"/>
          <w:szCs w:val="22"/>
        </w:rPr>
        <w:t>:</w:t>
      </w:r>
      <w:r w:rsidRPr="009537EC">
        <w:rPr>
          <w:rFonts w:ascii="Garamond" w:hAnsi="Garamond"/>
          <w:sz w:val="22"/>
          <w:szCs w:val="22"/>
          <w:lang w:val="en-US"/>
        </w:rPr>
        <w:t>accuracyClass</w:t>
      </w:r>
      <w:r w:rsidRPr="00241C66">
        <w:rPr>
          <w:rFonts w:ascii="Garamond" w:hAnsi="Garamond"/>
          <w:sz w:val="22"/>
          <w:szCs w:val="22"/>
        </w:rPr>
        <w:t xml:space="preserve">&gt; </w:t>
      </w:r>
      <w:r w:rsidRPr="00D934B1">
        <w:rPr>
          <w:rFonts w:ascii="Garamond" w:hAnsi="Garamond"/>
          <w:sz w:val="22"/>
          <w:szCs w:val="22"/>
        </w:rPr>
        <w:t>и</w:t>
      </w:r>
      <w:r w:rsidRPr="00241C66">
        <w:rPr>
          <w:rFonts w:ascii="Garamond" w:hAnsi="Garamond"/>
          <w:sz w:val="22"/>
          <w:szCs w:val="22"/>
        </w:rPr>
        <w:t xml:space="preserve"> &lt;</w:t>
      </w:r>
      <w:r w:rsidRPr="009537EC">
        <w:rPr>
          <w:rFonts w:ascii="Garamond" w:hAnsi="Garamond"/>
          <w:sz w:val="22"/>
          <w:szCs w:val="22"/>
          <w:lang w:val="en-US"/>
        </w:rPr>
        <w:t>podis</w:t>
      </w:r>
      <w:r w:rsidRPr="00241C66">
        <w:rPr>
          <w:rFonts w:ascii="Garamond" w:hAnsi="Garamond"/>
          <w:sz w:val="22"/>
          <w:szCs w:val="22"/>
        </w:rPr>
        <w:t>:</w:t>
      </w:r>
      <w:r w:rsidRPr="009537EC">
        <w:rPr>
          <w:rFonts w:ascii="Garamond" w:hAnsi="Garamond"/>
          <w:sz w:val="22"/>
          <w:szCs w:val="22"/>
          <w:lang w:val="en-US"/>
        </w:rPr>
        <w:t>regNumber</w:t>
      </w:r>
      <w:r w:rsidRPr="00241C66">
        <w:rPr>
          <w:rFonts w:ascii="Garamond" w:hAnsi="Garamond"/>
          <w:sz w:val="22"/>
          <w:szCs w:val="22"/>
        </w:rPr>
        <w:t>&gt;.</w:t>
      </w:r>
      <w:r w:rsidR="009B5F03">
        <w:rPr>
          <w:rFonts w:ascii="Garamond" w:hAnsi="Garamond"/>
          <w:sz w:val="22"/>
          <w:szCs w:val="22"/>
        </w:rPr>
        <w:t xml:space="preserve"> </w:t>
      </w:r>
    </w:p>
    <w:p w14:paraId="41454667" w14:textId="77777777" w:rsidR="00CE6209" w:rsidRPr="00D934B1" w:rsidRDefault="00CE6209" w:rsidP="00CE6209">
      <w:pPr>
        <w:spacing w:after="120"/>
        <w:ind w:firstLine="567"/>
        <w:jc w:val="both"/>
        <w:rPr>
          <w:rFonts w:ascii="Garamond" w:hAnsi="Garamond"/>
          <w:b/>
          <w:sz w:val="22"/>
          <w:szCs w:val="22"/>
        </w:rPr>
      </w:pPr>
      <w:r w:rsidRPr="00D934B1">
        <w:rPr>
          <w:rFonts w:ascii="Garamond" w:hAnsi="Garamond"/>
          <w:b/>
          <w:sz w:val="22"/>
          <w:szCs w:val="22"/>
        </w:rPr>
        <w:t>2.1.3.1.3.1.4.2.1.4.1. &lt;podis:measuring-tool-code&gt;</w:t>
      </w:r>
    </w:p>
    <w:p w14:paraId="19AAB1A4" w14:textId="77777777" w:rsidR="00CE6209" w:rsidRPr="00D934B1" w:rsidRDefault="00CE6209" w:rsidP="00CE6209">
      <w:pPr>
        <w:spacing w:after="120"/>
        <w:ind w:firstLine="567"/>
        <w:jc w:val="both"/>
        <w:rPr>
          <w:rFonts w:ascii="Garamond" w:hAnsi="Garamond"/>
          <w:sz w:val="22"/>
          <w:szCs w:val="22"/>
        </w:rPr>
      </w:pPr>
      <w:r w:rsidRPr="00D934B1">
        <w:rPr>
          <w:rFonts w:ascii="Garamond" w:hAnsi="Garamond"/>
          <w:sz w:val="22"/>
          <w:szCs w:val="22"/>
        </w:rPr>
        <w:t>Элемент &lt;podis:measuring-tool-code&gt; уникальный код, присвоенный КО типу трансформатора тока. Текстовое поле длиной не более 32 символов. Является обязательным элементом. Значение не проверяется сетевой организацией, осуществившей допуск в эксплуатацию прибора учета или измерительного комплекса (проверку прибора учета или измерительного комплекса).</w:t>
      </w:r>
    </w:p>
    <w:p w14:paraId="446D9A59" w14:textId="77777777" w:rsidR="00CE6209" w:rsidRPr="00D934B1" w:rsidRDefault="00CE6209" w:rsidP="00CE6209">
      <w:pPr>
        <w:spacing w:after="120"/>
        <w:ind w:firstLine="567"/>
        <w:jc w:val="both"/>
        <w:rPr>
          <w:rFonts w:ascii="Garamond" w:hAnsi="Garamond"/>
          <w:b/>
          <w:sz w:val="22"/>
          <w:szCs w:val="22"/>
        </w:rPr>
      </w:pPr>
      <w:r w:rsidRPr="00D934B1">
        <w:rPr>
          <w:rFonts w:ascii="Garamond" w:hAnsi="Garamond"/>
          <w:b/>
          <w:sz w:val="22"/>
          <w:szCs w:val="22"/>
        </w:rPr>
        <w:t>2.1.3.1.3.1.4.2.1.4.2. &lt;podis:modelNumber&gt;</w:t>
      </w:r>
    </w:p>
    <w:p w14:paraId="3BC723E5" w14:textId="77777777" w:rsidR="00CE6209" w:rsidRPr="00D934B1" w:rsidRDefault="00CE6209" w:rsidP="00CE6209">
      <w:pPr>
        <w:spacing w:after="120"/>
        <w:ind w:firstLine="567"/>
        <w:jc w:val="both"/>
        <w:rPr>
          <w:rFonts w:ascii="Garamond" w:hAnsi="Garamond"/>
          <w:sz w:val="22"/>
          <w:szCs w:val="22"/>
        </w:rPr>
      </w:pPr>
      <w:r w:rsidRPr="00D934B1">
        <w:rPr>
          <w:rFonts w:ascii="Garamond" w:hAnsi="Garamond"/>
          <w:sz w:val="22"/>
          <w:szCs w:val="22"/>
        </w:rPr>
        <w:t>Элемент &lt;podis:modelNumber&gt; содержит тип трансформатора тока. Тип должен быть приведен согласно данным, внесенным в Федеральный информационный фонд по обеспечению единства измерений. Текстовое поле длиной не более 80 символов. Является обязательным элементом.</w:t>
      </w:r>
    </w:p>
    <w:p w14:paraId="61B8E0AE" w14:textId="77777777" w:rsidR="00CE6209" w:rsidRPr="00D934B1" w:rsidRDefault="00CE6209" w:rsidP="00CE6209">
      <w:pPr>
        <w:spacing w:after="120"/>
        <w:ind w:firstLine="567"/>
        <w:jc w:val="both"/>
        <w:rPr>
          <w:rFonts w:ascii="Garamond" w:hAnsi="Garamond"/>
          <w:b/>
          <w:sz w:val="22"/>
          <w:szCs w:val="22"/>
        </w:rPr>
      </w:pPr>
      <w:r w:rsidRPr="00D934B1">
        <w:rPr>
          <w:rFonts w:ascii="Garamond" w:hAnsi="Garamond"/>
          <w:b/>
          <w:sz w:val="22"/>
          <w:szCs w:val="22"/>
        </w:rPr>
        <w:t>2.1.3.1.3.1.4.2.1.4.3. &lt;podis:ratedCurrent&gt;</w:t>
      </w:r>
    </w:p>
    <w:p w14:paraId="0C9060E9" w14:textId="77777777" w:rsidR="00CE6209" w:rsidRPr="00D934B1" w:rsidRDefault="00CE6209" w:rsidP="00CE6209">
      <w:pPr>
        <w:spacing w:after="120"/>
        <w:ind w:firstLine="567"/>
        <w:jc w:val="both"/>
        <w:rPr>
          <w:rFonts w:ascii="Garamond" w:hAnsi="Garamond"/>
          <w:sz w:val="22"/>
          <w:szCs w:val="22"/>
        </w:rPr>
      </w:pPr>
      <w:r w:rsidRPr="00D934B1">
        <w:rPr>
          <w:rFonts w:ascii="Garamond" w:hAnsi="Garamond"/>
          <w:sz w:val="22"/>
          <w:szCs w:val="22"/>
        </w:rPr>
        <w:t>Элемент &lt;podis:ratedCurrent&gt; содержит номинальный первичный ток (ток первичной обмотки), размерность: А (Ампер). Является обязательным элементом. Положительное число, содержащее от 1 до 6 знаков до десятичного разделителя и от 1 до 3 знаков после десятичного разделителя, значение «0» недопустимо. В качестве десятичного разделителя должна быть использована точка. Допускается использовать только один десятичный разделитель. В случае отсутствия символов после десятичного разделителя он должен отсутствовать. В случае использования цифрового выхода трансформатора тока для передачи информации о результатах измерений на прибор учета, значение данного элемента равняется значению элемента &lt;podis:ratedSecondaryCurrent&gt;.</w:t>
      </w:r>
    </w:p>
    <w:p w14:paraId="19E27B20" w14:textId="77777777" w:rsidR="00CE6209" w:rsidRPr="00D934B1" w:rsidRDefault="00CE6209" w:rsidP="00CE6209">
      <w:pPr>
        <w:spacing w:after="120"/>
        <w:ind w:firstLine="567"/>
        <w:jc w:val="both"/>
        <w:rPr>
          <w:rFonts w:ascii="Garamond" w:hAnsi="Garamond"/>
          <w:b/>
          <w:sz w:val="22"/>
          <w:szCs w:val="22"/>
        </w:rPr>
      </w:pPr>
      <w:r w:rsidRPr="00D934B1">
        <w:rPr>
          <w:rFonts w:ascii="Garamond" w:hAnsi="Garamond"/>
          <w:b/>
          <w:sz w:val="22"/>
          <w:szCs w:val="22"/>
        </w:rPr>
        <w:t>2.1.3.1.3.1.4.2.1.4.4. &lt;podis:ratedSecondaryCurrent&gt;</w:t>
      </w:r>
    </w:p>
    <w:p w14:paraId="209A421C" w14:textId="77777777" w:rsidR="00CE6209" w:rsidRPr="00D934B1" w:rsidRDefault="00CE6209" w:rsidP="00CE6209">
      <w:pPr>
        <w:spacing w:after="120"/>
        <w:ind w:firstLine="567"/>
        <w:jc w:val="both"/>
        <w:rPr>
          <w:rFonts w:ascii="Garamond" w:hAnsi="Garamond"/>
          <w:sz w:val="22"/>
          <w:szCs w:val="22"/>
        </w:rPr>
      </w:pPr>
      <w:r w:rsidRPr="00D934B1">
        <w:rPr>
          <w:rFonts w:ascii="Garamond" w:hAnsi="Garamond"/>
          <w:sz w:val="22"/>
          <w:szCs w:val="22"/>
        </w:rPr>
        <w:t>Элемент &lt;podis:ratedSecondaryCurrent&gt; содержит номинальный вторичный ток (ток вторичной обмотки), размерность: А (Ампер). Является обязательным элементом. Положительное число, содержащее от 1 до 6 знаков до десятичного разделителя и от 1 до 3 знаков после десятичного разделителя, значение «0» недопустимо. В качестве десятичного разделителя должна быть использована точка. Допускается использовать только один десятичный разделитель. В случае отсутствия символов после десятичного разделителя он должен отсутствовать. В случае использования цифрового выхода трансформатора тока для передачи информации о результатах измерений на прибор учета, значение данного элемента равняется значению элемента &lt;podis:ratedCurrent&gt;.</w:t>
      </w:r>
    </w:p>
    <w:p w14:paraId="58E6EA96" w14:textId="77777777" w:rsidR="00CE6209" w:rsidRPr="00D934B1" w:rsidRDefault="00CE6209" w:rsidP="00CE6209">
      <w:pPr>
        <w:spacing w:after="120"/>
        <w:ind w:firstLine="567"/>
        <w:jc w:val="both"/>
        <w:rPr>
          <w:rFonts w:ascii="Garamond" w:hAnsi="Garamond"/>
          <w:b/>
          <w:sz w:val="22"/>
          <w:szCs w:val="22"/>
        </w:rPr>
      </w:pPr>
      <w:r w:rsidRPr="00D934B1">
        <w:rPr>
          <w:rFonts w:ascii="Garamond" w:hAnsi="Garamond"/>
          <w:b/>
          <w:sz w:val="22"/>
          <w:szCs w:val="22"/>
        </w:rPr>
        <w:t>2.1.3.1.3.1.4.2.1.4.5. &lt;podis:secondaryFlsRating&gt;</w:t>
      </w:r>
    </w:p>
    <w:p w14:paraId="2DC26219" w14:textId="77777777" w:rsidR="00CE6209" w:rsidRPr="00D934B1" w:rsidRDefault="00CE6209" w:rsidP="00CE6209">
      <w:pPr>
        <w:spacing w:after="120"/>
        <w:ind w:firstLine="567"/>
        <w:jc w:val="both"/>
        <w:rPr>
          <w:rFonts w:ascii="Garamond" w:hAnsi="Garamond"/>
          <w:sz w:val="22"/>
          <w:szCs w:val="22"/>
        </w:rPr>
      </w:pPr>
      <w:r w:rsidRPr="00D934B1">
        <w:rPr>
          <w:rFonts w:ascii="Garamond" w:hAnsi="Garamond"/>
          <w:sz w:val="22"/>
          <w:szCs w:val="22"/>
        </w:rPr>
        <w:lastRenderedPageBreak/>
        <w:t xml:space="preserve">Элемент &lt;podis:secondaryFlsRating&gt; содержит данные о номинальной нагрузке вторичных цепей, размерность: ВА (Вольт-ампер). Элемент должен отсутствовать в случае использования цифрового выхода трансформатора тока для передачи информации о результатах измерений на прибор учета, в остальных случаях является обязательным. Положительное число, содержащее от 1 до 6 знаков до десятичного разделителя и от 1 до 3 знаков после десятичного разделителя, значение «0» недопустимо. В качестве десятичного разделителя должна быть использована точка. Допускается использовать только один десятичный разделитель. В случае отсутствия символов после десятичного разделителя он должен отсутствовать. </w:t>
      </w:r>
    </w:p>
    <w:p w14:paraId="153A1840" w14:textId="77777777" w:rsidR="00CE6209" w:rsidRPr="00D934B1" w:rsidRDefault="00CE6209" w:rsidP="00CE6209">
      <w:pPr>
        <w:spacing w:after="120"/>
        <w:ind w:firstLine="567"/>
        <w:jc w:val="both"/>
        <w:rPr>
          <w:rFonts w:ascii="Garamond" w:hAnsi="Garamond"/>
          <w:b/>
          <w:sz w:val="22"/>
          <w:szCs w:val="22"/>
        </w:rPr>
      </w:pPr>
      <w:r w:rsidRPr="00D934B1">
        <w:rPr>
          <w:rFonts w:ascii="Garamond" w:hAnsi="Garamond"/>
          <w:b/>
          <w:sz w:val="22"/>
          <w:szCs w:val="22"/>
        </w:rPr>
        <w:t>2.1.3.1.3.1.4.2.1.4.6. &lt;podis:accuracyClass&gt;</w:t>
      </w:r>
    </w:p>
    <w:p w14:paraId="70C10772" w14:textId="77777777" w:rsidR="00CE6209" w:rsidRPr="00D934B1" w:rsidRDefault="00CE6209" w:rsidP="00CE6209">
      <w:pPr>
        <w:spacing w:after="120"/>
        <w:ind w:firstLine="567"/>
        <w:jc w:val="both"/>
        <w:rPr>
          <w:rFonts w:ascii="Garamond" w:hAnsi="Garamond"/>
          <w:sz w:val="22"/>
          <w:szCs w:val="22"/>
        </w:rPr>
      </w:pPr>
      <w:r w:rsidRPr="00D934B1">
        <w:rPr>
          <w:rFonts w:ascii="Garamond" w:hAnsi="Garamond"/>
          <w:sz w:val="22"/>
          <w:szCs w:val="22"/>
        </w:rPr>
        <w:t>Элемент &lt;podis:accuracyClass&gt; содержит класс точности трансформатора тока. Является обязательным элементом. Текстовое поле, содержащее от 1 до 3 символов до десятичного разделителя и от 1 до 3 символов после десятичного разделителя. В качестве десятичного разделителя должна быть использована точка. Допускается использовать только один десятичный разделитель. В случае отсутствия символов после десятичного разделителя он должен отсутствовать.</w:t>
      </w:r>
    </w:p>
    <w:p w14:paraId="38478318" w14:textId="77777777" w:rsidR="00CE6209" w:rsidRPr="00D934B1" w:rsidRDefault="00CE6209" w:rsidP="00CE6209">
      <w:pPr>
        <w:spacing w:after="120"/>
        <w:ind w:firstLine="567"/>
        <w:jc w:val="both"/>
        <w:rPr>
          <w:rFonts w:ascii="Garamond" w:hAnsi="Garamond"/>
          <w:b/>
          <w:sz w:val="22"/>
          <w:szCs w:val="22"/>
        </w:rPr>
      </w:pPr>
      <w:r w:rsidRPr="00D934B1">
        <w:rPr>
          <w:rFonts w:ascii="Garamond" w:hAnsi="Garamond"/>
          <w:b/>
          <w:sz w:val="22"/>
          <w:szCs w:val="22"/>
        </w:rPr>
        <w:t>2.1.3.1.3.1.4.2.1.4.7. &lt;podis:regNumber&gt;</w:t>
      </w:r>
    </w:p>
    <w:p w14:paraId="2A7D121A" w14:textId="77777777" w:rsidR="00CE6209" w:rsidRPr="00D934B1" w:rsidRDefault="00CE6209" w:rsidP="00CE6209">
      <w:pPr>
        <w:spacing w:after="120"/>
        <w:ind w:firstLine="567"/>
        <w:jc w:val="both"/>
        <w:rPr>
          <w:rFonts w:ascii="Garamond" w:hAnsi="Garamond"/>
          <w:sz w:val="22"/>
          <w:szCs w:val="22"/>
        </w:rPr>
      </w:pPr>
      <w:r w:rsidRPr="00D934B1">
        <w:rPr>
          <w:rFonts w:ascii="Garamond" w:hAnsi="Garamond"/>
          <w:sz w:val="22"/>
          <w:szCs w:val="22"/>
        </w:rPr>
        <w:t>Элемент &lt;podis:regNumber&gt; содержит регистрационный номер трансформатора тока в Федеральном информационном фонде по обеспечению единства измерений (Госреестр). Текстовое поле длиной не более 20 символов. Является обязательным элементом.</w:t>
      </w:r>
    </w:p>
    <w:p w14:paraId="1B2C35E1" w14:textId="77777777" w:rsidR="00CE6209" w:rsidRPr="00D934B1" w:rsidRDefault="00CE6209" w:rsidP="00101F7C">
      <w:pPr>
        <w:pStyle w:val="ac"/>
        <w:numPr>
          <w:ilvl w:val="8"/>
          <w:numId w:val="105"/>
        </w:numPr>
        <w:spacing w:after="120"/>
        <w:ind w:left="1134" w:hanging="567"/>
        <w:jc w:val="both"/>
        <w:rPr>
          <w:rFonts w:ascii="Garamond" w:hAnsi="Garamond"/>
          <w:b/>
          <w:sz w:val="22"/>
          <w:szCs w:val="22"/>
        </w:rPr>
      </w:pPr>
      <w:r w:rsidRPr="00D934B1">
        <w:rPr>
          <w:rFonts w:ascii="Garamond" w:hAnsi="Garamond"/>
          <w:b/>
          <w:sz w:val="22"/>
          <w:szCs w:val="22"/>
        </w:rPr>
        <w:t>&lt;podis:potentialTransformer&gt;</w:t>
      </w:r>
    </w:p>
    <w:p w14:paraId="0A1BC8B1" w14:textId="77777777" w:rsidR="00CE6209" w:rsidRPr="00D934B1" w:rsidRDefault="00CE6209" w:rsidP="00CE6209">
      <w:pPr>
        <w:spacing w:after="120"/>
        <w:ind w:firstLine="567"/>
        <w:jc w:val="both"/>
        <w:rPr>
          <w:rFonts w:ascii="Garamond" w:hAnsi="Garamond"/>
          <w:sz w:val="22"/>
          <w:szCs w:val="22"/>
        </w:rPr>
      </w:pPr>
      <w:r w:rsidRPr="00D934B1">
        <w:rPr>
          <w:rFonts w:ascii="Garamond" w:hAnsi="Garamond"/>
          <w:sz w:val="22"/>
          <w:szCs w:val="22"/>
        </w:rPr>
        <w:t>Элемент &lt;podis:potentialTransformer&gt; содержит информацию о трансформаторе напряжения. Является необязательным элементом и может присутствовать только при наличии в макете элемента &lt;podis:currentTransformer&gt; для соответствующего &lt;podis:usagePoint&gt;.</w:t>
      </w:r>
    </w:p>
    <w:p w14:paraId="66EEDA82" w14:textId="2F8183A4" w:rsidR="00CE6209" w:rsidRPr="00F401C0" w:rsidRDefault="00CE6209" w:rsidP="00CE6209">
      <w:pPr>
        <w:spacing w:after="120"/>
        <w:ind w:firstLine="567"/>
        <w:jc w:val="both"/>
        <w:rPr>
          <w:rFonts w:ascii="Garamond" w:hAnsi="Garamond"/>
          <w:sz w:val="22"/>
          <w:szCs w:val="22"/>
          <w:lang w:val="en-US"/>
        </w:rPr>
      </w:pPr>
      <w:r w:rsidRPr="00D934B1">
        <w:rPr>
          <w:rFonts w:ascii="Garamond" w:hAnsi="Garamond"/>
          <w:sz w:val="22"/>
          <w:szCs w:val="22"/>
        </w:rPr>
        <w:t>Дочерними</w:t>
      </w:r>
      <w:r w:rsidRPr="00F401C0">
        <w:rPr>
          <w:rFonts w:ascii="Garamond" w:hAnsi="Garamond"/>
          <w:sz w:val="22"/>
          <w:szCs w:val="22"/>
          <w:lang w:val="en-US"/>
        </w:rPr>
        <w:t xml:space="preserve"> </w:t>
      </w:r>
      <w:r w:rsidRPr="00D934B1">
        <w:rPr>
          <w:rFonts w:ascii="Garamond" w:hAnsi="Garamond"/>
          <w:sz w:val="22"/>
          <w:szCs w:val="22"/>
        </w:rPr>
        <w:t>элементами</w:t>
      </w:r>
      <w:r w:rsidRPr="00F401C0">
        <w:rPr>
          <w:rFonts w:ascii="Garamond" w:hAnsi="Garamond"/>
          <w:sz w:val="22"/>
          <w:szCs w:val="22"/>
          <w:lang w:val="en-US"/>
        </w:rPr>
        <w:t xml:space="preserve"> &lt;</w:t>
      </w:r>
      <w:r w:rsidRPr="00D934B1">
        <w:rPr>
          <w:rFonts w:ascii="Garamond" w:hAnsi="Garamond"/>
          <w:sz w:val="22"/>
          <w:szCs w:val="22"/>
          <w:lang w:val="en-US"/>
        </w:rPr>
        <w:t>podis</w:t>
      </w:r>
      <w:r w:rsidRPr="00F401C0">
        <w:rPr>
          <w:rFonts w:ascii="Garamond" w:hAnsi="Garamond"/>
          <w:sz w:val="22"/>
          <w:szCs w:val="22"/>
          <w:lang w:val="en-US"/>
        </w:rPr>
        <w:t>:</w:t>
      </w:r>
      <w:r w:rsidRPr="00D934B1">
        <w:rPr>
          <w:rFonts w:ascii="Garamond" w:hAnsi="Garamond"/>
          <w:sz w:val="22"/>
          <w:szCs w:val="22"/>
          <w:lang w:val="en-US"/>
        </w:rPr>
        <w:t>potentialTransformer</w:t>
      </w:r>
      <w:r w:rsidRPr="00F401C0">
        <w:rPr>
          <w:rFonts w:ascii="Garamond" w:hAnsi="Garamond"/>
          <w:sz w:val="22"/>
          <w:szCs w:val="22"/>
          <w:lang w:val="en-US"/>
        </w:rPr>
        <w:t xml:space="preserve">&gt; </w:t>
      </w:r>
      <w:r w:rsidRPr="00D934B1">
        <w:rPr>
          <w:rFonts w:ascii="Garamond" w:hAnsi="Garamond"/>
          <w:sz w:val="22"/>
          <w:szCs w:val="22"/>
        </w:rPr>
        <w:t>являются</w:t>
      </w:r>
      <w:r w:rsidRPr="00F401C0">
        <w:rPr>
          <w:rFonts w:ascii="Garamond" w:hAnsi="Garamond"/>
          <w:sz w:val="22"/>
          <w:szCs w:val="22"/>
          <w:lang w:val="en-US"/>
        </w:rPr>
        <w:t xml:space="preserve"> </w:t>
      </w:r>
      <w:r w:rsidRPr="00D934B1">
        <w:rPr>
          <w:rFonts w:ascii="Garamond" w:hAnsi="Garamond"/>
          <w:sz w:val="22"/>
          <w:szCs w:val="22"/>
        </w:rPr>
        <w:t>элементы</w:t>
      </w:r>
      <w:r w:rsidRPr="00F401C0">
        <w:rPr>
          <w:rFonts w:ascii="Garamond" w:hAnsi="Garamond"/>
          <w:sz w:val="22"/>
          <w:szCs w:val="22"/>
          <w:lang w:val="en-US"/>
        </w:rPr>
        <w:t xml:space="preserve"> &lt;</w:t>
      </w:r>
      <w:r w:rsidRPr="00D934B1">
        <w:rPr>
          <w:rFonts w:ascii="Garamond" w:hAnsi="Garamond"/>
          <w:sz w:val="22"/>
          <w:szCs w:val="22"/>
          <w:lang w:val="en-US"/>
        </w:rPr>
        <w:t>podis</w:t>
      </w:r>
      <w:r w:rsidRPr="00F401C0">
        <w:rPr>
          <w:rFonts w:ascii="Garamond" w:hAnsi="Garamond"/>
          <w:sz w:val="22"/>
          <w:szCs w:val="22"/>
          <w:lang w:val="en-US"/>
        </w:rPr>
        <w:t>:</w:t>
      </w:r>
      <w:r w:rsidRPr="00D934B1">
        <w:rPr>
          <w:rFonts w:ascii="Garamond" w:hAnsi="Garamond"/>
          <w:sz w:val="22"/>
          <w:szCs w:val="22"/>
          <w:lang w:val="en-US"/>
        </w:rPr>
        <w:t>lifeCycleDate</w:t>
      </w:r>
      <w:r w:rsidRPr="00F401C0">
        <w:rPr>
          <w:rFonts w:ascii="Garamond" w:hAnsi="Garamond"/>
          <w:sz w:val="22"/>
          <w:szCs w:val="22"/>
          <w:lang w:val="en-US"/>
        </w:rPr>
        <w:t>&gt;,</w:t>
      </w:r>
      <w:r w:rsidR="009B5F03">
        <w:rPr>
          <w:rFonts w:ascii="Garamond" w:hAnsi="Garamond"/>
          <w:sz w:val="22"/>
          <w:szCs w:val="22"/>
          <w:lang w:val="en-US"/>
        </w:rPr>
        <w:t xml:space="preserve"> </w:t>
      </w:r>
      <w:r w:rsidRPr="00F401C0">
        <w:rPr>
          <w:rFonts w:ascii="Garamond" w:hAnsi="Garamond"/>
          <w:sz w:val="22"/>
          <w:szCs w:val="22"/>
          <w:lang w:val="en-US"/>
        </w:rPr>
        <w:t>&lt;</w:t>
      </w:r>
      <w:r w:rsidRPr="00D934B1">
        <w:rPr>
          <w:rFonts w:ascii="Garamond" w:hAnsi="Garamond"/>
          <w:sz w:val="22"/>
          <w:szCs w:val="22"/>
          <w:lang w:val="en-US"/>
        </w:rPr>
        <w:t>podis</w:t>
      </w:r>
      <w:r w:rsidRPr="00F401C0">
        <w:rPr>
          <w:rFonts w:ascii="Garamond" w:hAnsi="Garamond"/>
          <w:sz w:val="22"/>
          <w:szCs w:val="22"/>
          <w:lang w:val="en-US"/>
        </w:rPr>
        <w:t>:</w:t>
      </w:r>
      <w:r w:rsidRPr="00D934B1">
        <w:rPr>
          <w:rFonts w:ascii="Garamond" w:hAnsi="Garamond"/>
          <w:sz w:val="22"/>
          <w:szCs w:val="22"/>
          <w:lang w:val="en-US"/>
        </w:rPr>
        <w:t>customAttributes</w:t>
      </w:r>
      <w:r w:rsidRPr="00F401C0">
        <w:rPr>
          <w:rFonts w:ascii="Garamond" w:hAnsi="Garamond"/>
          <w:sz w:val="22"/>
          <w:szCs w:val="22"/>
          <w:lang w:val="en-US"/>
        </w:rPr>
        <w:t>&gt;, &lt;</w:t>
      </w:r>
      <w:r w:rsidRPr="00D934B1">
        <w:rPr>
          <w:rFonts w:ascii="Garamond" w:hAnsi="Garamond"/>
          <w:sz w:val="22"/>
          <w:szCs w:val="22"/>
          <w:lang w:val="en-US"/>
        </w:rPr>
        <w:t>podis</w:t>
      </w:r>
      <w:r w:rsidRPr="00F401C0">
        <w:rPr>
          <w:rFonts w:ascii="Garamond" w:hAnsi="Garamond"/>
          <w:sz w:val="22"/>
          <w:szCs w:val="22"/>
          <w:lang w:val="en-US"/>
        </w:rPr>
        <w:t>:</w:t>
      </w:r>
      <w:r w:rsidRPr="00D934B1">
        <w:rPr>
          <w:rFonts w:ascii="Garamond" w:hAnsi="Garamond"/>
          <w:sz w:val="22"/>
          <w:szCs w:val="22"/>
          <w:lang w:val="en-US"/>
        </w:rPr>
        <w:t>serialNumber</w:t>
      </w:r>
      <w:r w:rsidRPr="00F401C0">
        <w:rPr>
          <w:rFonts w:ascii="Garamond" w:hAnsi="Garamond"/>
          <w:sz w:val="22"/>
          <w:szCs w:val="22"/>
          <w:lang w:val="en-US"/>
        </w:rPr>
        <w:t xml:space="preserve">&gt; </w:t>
      </w:r>
      <w:r w:rsidRPr="00D934B1">
        <w:rPr>
          <w:rFonts w:ascii="Garamond" w:hAnsi="Garamond"/>
          <w:sz w:val="22"/>
          <w:szCs w:val="22"/>
        </w:rPr>
        <w:t>и</w:t>
      </w:r>
      <w:r w:rsidRPr="00F401C0">
        <w:rPr>
          <w:rFonts w:ascii="Garamond" w:hAnsi="Garamond"/>
          <w:sz w:val="22"/>
          <w:szCs w:val="22"/>
          <w:lang w:val="en-US"/>
        </w:rPr>
        <w:t xml:space="preserve"> &lt;</w:t>
      </w:r>
      <w:r w:rsidRPr="00D934B1">
        <w:rPr>
          <w:rFonts w:ascii="Garamond" w:hAnsi="Garamond"/>
          <w:sz w:val="22"/>
          <w:szCs w:val="22"/>
          <w:lang w:val="en-US"/>
        </w:rPr>
        <w:t>podis</w:t>
      </w:r>
      <w:r w:rsidRPr="00F401C0">
        <w:rPr>
          <w:rFonts w:ascii="Garamond" w:hAnsi="Garamond"/>
          <w:sz w:val="22"/>
          <w:szCs w:val="22"/>
          <w:lang w:val="en-US"/>
        </w:rPr>
        <w:t>:</w:t>
      </w:r>
      <w:r w:rsidRPr="00D934B1">
        <w:rPr>
          <w:rFonts w:ascii="Garamond" w:hAnsi="Garamond"/>
          <w:sz w:val="22"/>
          <w:szCs w:val="22"/>
          <w:lang w:val="en-US"/>
        </w:rPr>
        <w:t>potentialTransformerInfo</w:t>
      </w:r>
      <w:r w:rsidRPr="00F401C0">
        <w:rPr>
          <w:rFonts w:ascii="Garamond" w:hAnsi="Garamond"/>
          <w:sz w:val="22"/>
          <w:szCs w:val="22"/>
          <w:lang w:val="en-US"/>
        </w:rPr>
        <w:t xml:space="preserve">&gt;. </w:t>
      </w:r>
      <w:r w:rsidRPr="00D934B1">
        <w:rPr>
          <w:rFonts w:ascii="Garamond" w:hAnsi="Garamond"/>
          <w:sz w:val="22"/>
          <w:szCs w:val="22"/>
        </w:rPr>
        <w:t>У</w:t>
      </w:r>
      <w:r w:rsidRPr="00F401C0">
        <w:rPr>
          <w:rFonts w:ascii="Garamond" w:hAnsi="Garamond"/>
          <w:sz w:val="22"/>
          <w:szCs w:val="22"/>
          <w:lang w:val="en-US"/>
        </w:rPr>
        <w:t xml:space="preserve"> </w:t>
      </w:r>
      <w:r w:rsidRPr="00D934B1">
        <w:rPr>
          <w:rFonts w:ascii="Garamond" w:hAnsi="Garamond"/>
          <w:sz w:val="22"/>
          <w:szCs w:val="22"/>
        </w:rPr>
        <w:t>элемента</w:t>
      </w:r>
      <w:r w:rsidRPr="00F401C0">
        <w:rPr>
          <w:rFonts w:ascii="Garamond" w:hAnsi="Garamond"/>
          <w:sz w:val="22"/>
          <w:szCs w:val="22"/>
          <w:lang w:val="en-US"/>
        </w:rPr>
        <w:t xml:space="preserve"> &lt;</w:t>
      </w:r>
      <w:r w:rsidRPr="00D934B1">
        <w:rPr>
          <w:rFonts w:ascii="Garamond" w:hAnsi="Garamond"/>
          <w:sz w:val="22"/>
          <w:szCs w:val="22"/>
          <w:lang w:val="en-US"/>
        </w:rPr>
        <w:t>podis</w:t>
      </w:r>
      <w:r w:rsidRPr="00F401C0">
        <w:rPr>
          <w:rFonts w:ascii="Garamond" w:hAnsi="Garamond"/>
          <w:sz w:val="22"/>
          <w:szCs w:val="22"/>
          <w:lang w:val="en-US"/>
        </w:rPr>
        <w:t>:</w:t>
      </w:r>
      <w:r w:rsidRPr="00D934B1">
        <w:rPr>
          <w:rFonts w:ascii="Garamond" w:hAnsi="Garamond"/>
          <w:sz w:val="22"/>
          <w:szCs w:val="22"/>
          <w:lang w:val="en-US"/>
        </w:rPr>
        <w:t>potentialTransformer</w:t>
      </w:r>
      <w:r w:rsidRPr="00F401C0">
        <w:rPr>
          <w:rFonts w:ascii="Garamond" w:hAnsi="Garamond"/>
          <w:sz w:val="22"/>
          <w:szCs w:val="22"/>
          <w:lang w:val="en-US"/>
        </w:rPr>
        <w:t xml:space="preserve">&gt; </w:t>
      </w:r>
      <w:r w:rsidRPr="00D934B1">
        <w:rPr>
          <w:rFonts w:ascii="Garamond" w:hAnsi="Garamond"/>
          <w:sz w:val="22"/>
          <w:szCs w:val="22"/>
        </w:rPr>
        <w:t>может</w:t>
      </w:r>
      <w:r w:rsidRPr="00F401C0">
        <w:rPr>
          <w:rFonts w:ascii="Garamond" w:hAnsi="Garamond"/>
          <w:sz w:val="22"/>
          <w:szCs w:val="22"/>
          <w:lang w:val="en-US"/>
        </w:rPr>
        <w:t xml:space="preserve"> </w:t>
      </w:r>
      <w:r w:rsidRPr="00D934B1">
        <w:rPr>
          <w:rFonts w:ascii="Garamond" w:hAnsi="Garamond"/>
          <w:sz w:val="22"/>
          <w:szCs w:val="22"/>
        </w:rPr>
        <w:t>быть</w:t>
      </w:r>
      <w:r w:rsidRPr="00F401C0">
        <w:rPr>
          <w:rFonts w:ascii="Garamond" w:hAnsi="Garamond"/>
          <w:sz w:val="22"/>
          <w:szCs w:val="22"/>
          <w:lang w:val="en-US"/>
        </w:rPr>
        <w:t xml:space="preserve"> </w:t>
      </w:r>
      <w:r w:rsidRPr="00D934B1">
        <w:rPr>
          <w:rFonts w:ascii="Garamond" w:hAnsi="Garamond"/>
          <w:sz w:val="22"/>
          <w:szCs w:val="22"/>
        </w:rPr>
        <w:t>только</w:t>
      </w:r>
      <w:r w:rsidRPr="00F401C0">
        <w:rPr>
          <w:rFonts w:ascii="Garamond" w:hAnsi="Garamond"/>
          <w:sz w:val="22"/>
          <w:szCs w:val="22"/>
          <w:lang w:val="en-US"/>
        </w:rPr>
        <w:t xml:space="preserve"> </w:t>
      </w:r>
      <w:r w:rsidRPr="00D934B1">
        <w:rPr>
          <w:rFonts w:ascii="Garamond" w:hAnsi="Garamond"/>
          <w:sz w:val="22"/>
          <w:szCs w:val="22"/>
        </w:rPr>
        <w:t>один</w:t>
      </w:r>
      <w:r w:rsidRPr="00F401C0">
        <w:rPr>
          <w:rFonts w:ascii="Garamond" w:hAnsi="Garamond"/>
          <w:sz w:val="22"/>
          <w:szCs w:val="22"/>
          <w:lang w:val="en-US"/>
        </w:rPr>
        <w:t xml:space="preserve"> </w:t>
      </w:r>
      <w:r w:rsidRPr="00D934B1">
        <w:rPr>
          <w:rFonts w:ascii="Garamond" w:hAnsi="Garamond"/>
          <w:sz w:val="22"/>
          <w:szCs w:val="22"/>
        </w:rPr>
        <w:t>дочерний</w:t>
      </w:r>
      <w:r w:rsidRPr="00F401C0">
        <w:rPr>
          <w:rFonts w:ascii="Garamond" w:hAnsi="Garamond"/>
          <w:sz w:val="22"/>
          <w:szCs w:val="22"/>
          <w:lang w:val="en-US"/>
        </w:rPr>
        <w:t xml:space="preserve"> </w:t>
      </w:r>
      <w:r w:rsidRPr="00D934B1">
        <w:rPr>
          <w:rFonts w:ascii="Garamond" w:hAnsi="Garamond"/>
          <w:sz w:val="22"/>
          <w:szCs w:val="22"/>
        </w:rPr>
        <w:t>элемент</w:t>
      </w:r>
      <w:r w:rsidRPr="00F401C0">
        <w:rPr>
          <w:rFonts w:ascii="Garamond" w:hAnsi="Garamond"/>
          <w:sz w:val="22"/>
          <w:szCs w:val="22"/>
          <w:lang w:val="en-US"/>
        </w:rPr>
        <w:t xml:space="preserve"> &lt;</w:t>
      </w:r>
      <w:r w:rsidRPr="00D934B1">
        <w:rPr>
          <w:rFonts w:ascii="Garamond" w:hAnsi="Garamond"/>
          <w:sz w:val="22"/>
          <w:szCs w:val="22"/>
          <w:lang w:val="en-US"/>
        </w:rPr>
        <w:t>podis</w:t>
      </w:r>
      <w:r w:rsidRPr="00F401C0">
        <w:rPr>
          <w:rFonts w:ascii="Garamond" w:hAnsi="Garamond"/>
          <w:sz w:val="22"/>
          <w:szCs w:val="22"/>
          <w:lang w:val="en-US"/>
        </w:rPr>
        <w:t>:</w:t>
      </w:r>
      <w:r w:rsidRPr="00D934B1">
        <w:rPr>
          <w:rFonts w:ascii="Garamond" w:hAnsi="Garamond"/>
          <w:sz w:val="22"/>
          <w:szCs w:val="22"/>
          <w:lang w:val="en-US"/>
        </w:rPr>
        <w:t>lifeCycleDate</w:t>
      </w:r>
      <w:r w:rsidRPr="00F401C0">
        <w:rPr>
          <w:rFonts w:ascii="Garamond" w:hAnsi="Garamond"/>
          <w:sz w:val="22"/>
          <w:szCs w:val="22"/>
          <w:lang w:val="en-US"/>
        </w:rPr>
        <w:t>&gt;,</w:t>
      </w:r>
      <w:r w:rsidR="009B5F03">
        <w:rPr>
          <w:rFonts w:ascii="Garamond" w:hAnsi="Garamond"/>
          <w:sz w:val="22"/>
          <w:szCs w:val="22"/>
          <w:lang w:val="en-US"/>
        </w:rPr>
        <w:t xml:space="preserve"> </w:t>
      </w:r>
      <w:r w:rsidRPr="00F401C0">
        <w:rPr>
          <w:rFonts w:ascii="Garamond" w:hAnsi="Garamond"/>
          <w:sz w:val="22"/>
          <w:szCs w:val="22"/>
          <w:lang w:val="en-US"/>
        </w:rPr>
        <w:t>&lt;</w:t>
      </w:r>
      <w:r w:rsidRPr="00D934B1">
        <w:rPr>
          <w:rFonts w:ascii="Garamond" w:hAnsi="Garamond"/>
          <w:sz w:val="22"/>
          <w:szCs w:val="22"/>
          <w:lang w:val="en-US"/>
        </w:rPr>
        <w:t>podis</w:t>
      </w:r>
      <w:r w:rsidRPr="00F401C0">
        <w:rPr>
          <w:rFonts w:ascii="Garamond" w:hAnsi="Garamond"/>
          <w:sz w:val="22"/>
          <w:szCs w:val="22"/>
          <w:lang w:val="en-US"/>
        </w:rPr>
        <w:t>:</w:t>
      </w:r>
      <w:r w:rsidRPr="00D934B1">
        <w:rPr>
          <w:rFonts w:ascii="Garamond" w:hAnsi="Garamond"/>
          <w:sz w:val="22"/>
          <w:szCs w:val="22"/>
          <w:lang w:val="en-US"/>
        </w:rPr>
        <w:t>customAttributes</w:t>
      </w:r>
      <w:r w:rsidRPr="00F401C0">
        <w:rPr>
          <w:rFonts w:ascii="Garamond" w:hAnsi="Garamond"/>
          <w:sz w:val="22"/>
          <w:szCs w:val="22"/>
          <w:lang w:val="en-US"/>
        </w:rPr>
        <w:t>&gt;, &lt;</w:t>
      </w:r>
      <w:r w:rsidRPr="00D934B1">
        <w:rPr>
          <w:rFonts w:ascii="Garamond" w:hAnsi="Garamond"/>
          <w:sz w:val="22"/>
          <w:szCs w:val="22"/>
          <w:lang w:val="en-US"/>
        </w:rPr>
        <w:t>podis</w:t>
      </w:r>
      <w:r w:rsidRPr="00F401C0">
        <w:rPr>
          <w:rFonts w:ascii="Garamond" w:hAnsi="Garamond"/>
          <w:sz w:val="22"/>
          <w:szCs w:val="22"/>
          <w:lang w:val="en-US"/>
        </w:rPr>
        <w:t>:</w:t>
      </w:r>
      <w:r w:rsidRPr="00D934B1">
        <w:rPr>
          <w:rFonts w:ascii="Garamond" w:hAnsi="Garamond"/>
          <w:sz w:val="22"/>
          <w:szCs w:val="22"/>
          <w:lang w:val="en-US"/>
        </w:rPr>
        <w:t>serialNumber</w:t>
      </w:r>
      <w:r w:rsidRPr="00F401C0">
        <w:rPr>
          <w:rFonts w:ascii="Garamond" w:hAnsi="Garamond"/>
          <w:sz w:val="22"/>
          <w:szCs w:val="22"/>
          <w:lang w:val="en-US"/>
        </w:rPr>
        <w:t xml:space="preserve">&gt; </w:t>
      </w:r>
      <w:r w:rsidRPr="00D934B1">
        <w:rPr>
          <w:rFonts w:ascii="Garamond" w:hAnsi="Garamond"/>
          <w:sz w:val="22"/>
          <w:szCs w:val="22"/>
        </w:rPr>
        <w:t>и</w:t>
      </w:r>
      <w:r w:rsidRPr="00F401C0">
        <w:rPr>
          <w:rFonts w:ascii="Garamond" w:hAnsi="Garamond"/>
          <w:sz w:val="22"/>
          <w:szCs w:val="22"/>
          <w:lang w:val="en-US"/>
        </w:rPr>
        <w:t xml:space="preserve"> &lt;</w:t>
      </w:r>
      <w:r w:rsidRPr="00D934B1">
        <w:rPr>
          <w:rFonts w:ascii="Garamond" w:hAnsi="Garamond"/>
          <w:sz w:val="22"/>
          <w:szCs w:val="22"/>
          <w:lang w:val="en-US"/>
        </w:rPr>
        <w:t>podis</w:t>
      </w:r>
      <w:r w:rsidRPr="00F401C0">
        <w:rPr>
          <w:rFonts w:ascii="Garamond" w:hAnsi="Garamond"/>
          <w:sz w:val="22"/>
          <w:szCs w:val="22"/>
          <w:lang w:val="en-US"/>
        </w:rPr>
        <w:t>:</w:t>
      </w:r>
      <w:r w:rsidRPr="00D934B1">
        <w:rPr>
          <w:rFonts w:ascii="Garamond" w:hAnsi="Garamond"/>
          <w:sz w:val="22"/>
          <w:szCs w:val="22"/>
          <w:lang w:val="en-US"/>
        </w:rPr>
        <w:t>potentialTransformerInfo</w:t>
      </w:r>
      <w:r w:rsidRPr="00F401C0">
        <w:rPr>
          <w:rFonts w:ascii="Garamond" w:hAnsi="Garamond"/>
          <w:sz w:val="22"/>
          <w:szCs w:val="22"/>
          <w:lang w:val="en-US"/>
        </w:rPr>
        <w:t>&gt;.</w:t>
      </w:r>
    </w:p>
    <w:p w14:paraId="74418D82" w14:textId="77777777" w:rsidR="00CE6209" w:rsidRPr="00D934B1" w:rsidRDefault="00CE6209" w:rsidP="00CE6209">
      <w:pPr>
        <w:spacing w:after="120"/>
        <w:ind w:firstLine="567"/>
        <w:jc w:val="both"/>
        <w:rPr>
          <w:rFonts w:ascii="Garamond" w:hAnsi="Garamond"/>
          <w:b/>
          <w:sz w:val="22"/>
          <w:szCs w:val="22"/>
        </w:rPr>
      </w:pPr>
      <w:r w:rsidRPr="00D934B1">
        <w:rPr>
          <w:rFonts w:ascii="Garamond" w:hAnsi="Garamond"/>
          <w:b/>
          <w:sz w:val="22"/>
          <w:szCs w:val="22"/>
        </w:rPr>
        <w:t>2.1.3.1.3.1.4.2.2.1. &lt;podis:serialNumber&gt;</w:t>
      </w:r>
    </w:p>
    <w:p w14:paraId="11DE9DBB" w14:textId="77777777" w:rsidR="00CE6209" w:rsidRPr="00D934B1" w:rsidRDefault="00CE6209" w:rsidP="00CE6209">
      <w:pPr>
        <w:spacing w:after="120"/>
        <w:ind w:firstLine="567"/>
        <w:jc w:val="both"/>
        <w:rPr>
          <w:rFonts w:ascii="Garamond" w:hAnsi="Garamond"/>
          <w:sz w:val="22"/>
          <w:szCs w:val="22"/>
        </w:rPr>
      </w:pPr>
      <w:r w:rsidRPr="00D934B1">
        <w:rPr>
          <w:rFonts w:ascii="Garamond" w:hAnsi="Garamond"/>
          <w:sz w:val="22"/>
          <w:szCs w:val="22"/>
        </w:rPr>
        <w:t>Элемент &lt;podis:serialNumber&gt; содержит заводской номер трансформатора напряжения. Обязательный элемент, текстовое поле длиной не более 250 символов.</w:t>
      </w:r>
    </w:p>
    <w:p w14:paraId="2455B8D2" w14:textId="77777777" w:rsidR="00CE6209" w:rsidRPr="00D934B1" w:rsidRDefault="00CE6209" w:rsidP="00CE6209">
      <w:pPr>
        <w:spacing w:after="120"/>
        <w:ind w:firstLine="567"/>
        <w:jc w:val="both"/>
        <w:rPr>
          <w:rFonts w:ascii="Garamond" w:hAnsi="Garamond"/>
          <w:b/>
          <w:sz w:val="22"/>
          <w:szCs w:val="22"/>
        </w:rPr>
      </w:pPr>
      <w:r w:rsidRPr="00D934B1">
        <w:rPr>
          <w:rFonts w:ascii="Garamond" w:hAnsi="Garamond"/>
          <w:b/>
          <w:sz w:val="22"/>
          <w:szCs w:val="22"/>
        </w:rPr>
        <w:t>2.1.3.1.3.1.4.2.2.2. &lt;podis:lifeCycleDate&gt;</w:t>
      </w:r>
    </w:p>
    <w:p w14:paraId="07A01860" w14:textId="77777777" w:rsidR="00CE6209" w:rsidRPr="00D934B1" w:rsidRDefault="00CE6209" w:rsidP="00CE6209">
      <w:pPr>
        <w:spacing w:after="120"/>
        <w:ind w:firstLine="567"/>
        <w:jc w:val="both"/>
        <w:rPr>
          <w:rFonts w:ascii="Garamond" w:hAnsi="Garamond"/>
          <w:sz w:val="22"/>
          <w:szCs w:val="22"/>
        </w:rPr>
      </w:pPr>
      <w:r w:rsidRPr="00D934B1">
        <w:rPr>
          <w:rFonts w:ascii="Garamond" w:hAnsi="Garamond"/>
          <w:sz w:val="22"/>
          <w:szCs w:val="22"/>
        </w:rPr>
        <w:t>Элемент &lt;podis:lifeCycleDate&gt; содержит даты жизненного цикла трансформатора напряжения. Является обязательным элементом.</w:t>
      </w:r>
    </w:p>
    <w:p w14:paraId="23D3C450" w14:textId="77777777" w:rsidR="00CE6209" w:rsidRPr="00D934B1" w:rsidRDefault="00CE6209" w:rsidP="00CE6209">
      <w:pPr>
        <w:spacing w:after="120"/>
        <w:ind w:firstLine="567"/>
        <w:jc w:val="both"/>
        <w:rPr>
          <w:rFonts w:ascii="Garamond" w:hAnsi="Garamond"/>
          <w:sz w:val="22"/>
          <w:szCs w:val="22"/>
        </w:rPr>
      </w:pPr>
      <w:r w:rsidRPr="00D934B1">
        <w:rPr>
          <w:rFonts w:ascii="Garamond" w:hAnsi="Garamond"/>
          <w:sz w:val="22"/>
          <w:szCs w:val="22"/>
        </w:rPr>
        <w:t>Дочерним элементом &lt;podis:lifeCycleDate&gt; является элемент &lt;podis:nextDateValid&gt;. У элемента &lt;podis:lifeCycleDate&gt; может быть только один дочерний элемент &lt;podis:nextDateValid&gt;.</w:t>
      </w:r>
    </w:p>
    <w:p w14:paraId="0E1EF5B3" w14:textId="77777777" w:rsidR="00CE6209" w:rsidRPr="00D934B1" w:rsidRDefault="00CE6209" w:rsidP="00CE6209">
      <w:pPr>
        <w:spacing w:after="120"/>
        <w:ind w:firstLine="567"/>
        <w:jc w:val="both"/>
        <w:rPr>
          <w:rFonts w:ascii="Garamond" w:hAnsi="Garamond"/>
          <w:b/>
          <w:sz w:val="22"/>
          <w:szCs w:val="22"/>
        </w:rPr>
      </w:pPr>
      <w:r w:rsidRPr="00D934B1">
        <w:rPr>
          <w:rFonts w:ascii="Garamond" w:hAnsi="Garamond"/>
          <w:b/>
          <w:sz w:val="22"/>
          <w:szCs w:val="22"/>
        </w:rPr>
        <w:t>2.1.3.1.3.1.4.2.2.2.1. &lt;podis:nextDateValid&gt;</w:t>
      </w:r>
    </w:p>
    <w:p w14:paraId="54C49630" w14:textId="77777777" w:rsidR="00CE6209" w:rsidRPr="00D934B1" w:rsidRDefault="00CE6209" w:rsidP="00CE6209">
      <w:pPr>
        <w:spacing w:after="120"/>
        <w:ind w:firstLine="567"/>
        <w:jc w:val="both"/>
        <w:rPr>
          <w:rFonts w:ascii="Garamond" w:hAnsi="Garamond"/>
          <w:sz w:val="22"/>
          <w:szCs w:val="22"/>
        </w:rPr>
      </w:pPr>
      <w:r w:rsidRPr="00D934B1">
        <w:rPr>
          <w:rFonts w:ascii="Garamond" w:hAnsi="Garamond"/>
          <w:sz w:val="22"/>
          <w:szCs w:val="22"/>
        </w:rPr>
        <w:t>Элемент &lt;podis:nextDateValid&gt; содержит дату очередной поверки, дата в формате «ГГГГ-ММ-ДД». Является обязательным элементом.</w:t>
      </w:r>
    </w:p>
    <w:p w14:paraId="14C29831" w14:textId="77777777" w:rsidR="00CE6209" w:rsidRPr="00D934B1" w:rsidRDefault="00CE6209" w:rsidP="00CE6209">
      <w:pPr>
        <w:spacing w:after="120"/>
        <w:ind w:firstLine="567"/>
        <w:jc w:val="both"/>
        <w:rPr>
          <w:rFonts w:ascii="Garamond" w:hAnsi="Garamond"/>
          <w:b/>
          <w:sz w:val="22"/>
          <w:szCs w:val="22"/>
        </w:rPr>
      </w:pPr>
      <w:r w:rsidRPr="00D934B1">
        <w:rPr>
          <w:rFonts w:ascii="Garamond" w:hAnsi="Garamond"/>
          <w:b/>
          <w:sz w:val="22"/>
          <w:szCs w:val="22"/>
        </w:rPr>
        <w:t>2.1.3.1.3.1.4.2.2.3. &lt;podis:customAttributes&gt;</w:t>
      </w:r>
    </w:p>
    <w:p w14:paraId="085540BC" w14:textId="77777777" w:rsidR="00CE6209" w:rsidRPr="00D934B1" w:rsidRDefault="00CE6209" w:rsidP="00CE6209">
      <w:pPr>
        <w:spacing w:after="120"/>
        <w:ind w:firstLine="567"/>
        <w:jc w:val="both"/>
        <w:rPr>
          <w:rFonts w:ascii="Garamond" w:hAnsi="Garamond"/>
          <w:sz w:val="22"/>
          <w:szCs w:val="22"/>
        </w:rPr>
      </w:pPr>
      <w:r w:rsidRPr="00D934B1">
        <w:rPr>
          <w:rFonts w:ascii="Garamond" w:hAnsi="Garamond"/>
          <w:sz w:val="22"/>
          <w:szCs w:val="22"/>
        </w:rPr>
        <w:t>Элемент &lt;podis:customAttributes&gt; содержит сведения о принадлежности трансформатора напряжения. Данный элемент должен содержаться только для измерительных трансформаторов тока и напряжения (&lt;podis:currentTransformer&gt; и &lt;podis:potentialTransformer&gt;), для остальных элементов не указывается.</w:t>
      </w:r>
    </w:p>
    <w:p w14:paraId="49A110DD" w14:textId="77777777" w:rsidR="00CE6209" w:rsidRPr="00D934B1" w:rsidRDefault="00CE6209" w:rsidP="00CE6209">
      <w:pPr>
        <w:spacing w:after="120"/>
        <w:ind w:firstLine="567"/>
        <w:jc w:val="both"/>
        <w:rPr>
          <w:rFonts w:ascii="Garamond" w:hAnsi="Garamond"/>
          <w:sz w:val="22"/>
          <w:szCs w:val="22"/>
        </w:rPr>
      </w:pPr>
      <w:r w:rsidRPr="00D934B1">
        <w:rPr>
          <w:rFonts w:ascii="Garamond" w:hAnsi="Garamond"/>
          <w:sz w:val="22"/>
          <w:szCs w:val="22"/>
        </w:rPr>
        <w:t>Дочерними элементами &lt;podis:customAttributes&gt; являются элементы &lt;podis:name&gt; и &lt;podis:value&gt;. У элемента &lt;podis:customAttributes&gt; может быть только один дочерний элемент &lt;podis:name&gt; и &lt;podis:value&gt;.</w:t>
      </w:r>
    </w:p>
    <w:p w14:paraId="4310BA56" w14:textId="77777777" w:rsidR="00CE6209" w:rsidRPr="00D934B1" w:rsidRDefault="00CE6209" w:rsidP="00CE6209">
      <w:pPr>
        <w:spacing w:after="120"/>
        <w:ind w:firstLine="567"/>
        <w:jc w:val="both"/>
        <w:rPr>
          <w:rFonts w:ascii="Garamond" w:hAnsi="Garamond"/>
          <w:b/>
          <w:sz w:val="22"/>
          <w:szCs w:val="22"/>
        </w:rPr>
      </w:pPr>
      <w:r w:rsidRPr="00D934B1">
        <w:rPr>
          <w:rFonts w:ascii="Garamond" w:hAnsi="Garamond"/>
          <w:b/>
          <w:sz w:val="22"/>
          <w:szCs w:val="22"/>
        </w:rPr>
        <w:t>2.1.3.1.3.1.4.2.2.3.1. &lt;podis:name&gt;</w:t>
      </w:r>
    </w:p>
    <w:p w14:paraId="73C95D17" w14:textId="77777777" w:rsidR="00CE6209" w:rsidRPr="00D934B1" w:rsidRDefault="00CE6209" w:rsidP="00CE6209">
      <w:pPr>
        <w:spacing w:after="120"/>
        <w:ind w:firstLine="567"/>
        <w:jc w:val="both"/>
        <w:rPr>
          <w:rFonts w:ascii="Garamond" w:hAnsi="Garamond"/>
          <w:sz w:val="22"/>
          <w:szCs w:val="22"/>
        </w:rPr>
      </w:pPr>
      <w:r w:rsidRPr="00D934B1">
        <w:rPr>
          <w:rFonts w:ascii="Garamond" w:hAnsi="Garamond"/>
          <w:sz w:val="22"/>
          <w:szCs w:val="22"/>
        </w:rPr>
        <w:t>Элемент &lt;podis:name&gt; содержит имя дополнительного пользовательского элемента. Является обязательным элементом, принимает значение «assetOwnerKind».</w:t>
      </w:r>
    </w:p>
    <w:p w14:paraId="0F05321F" w14:textId="77777777" w:rsidR="00CE6209" w:rsidRPr="00D934B1" w:rsidRDefault="00CE6209" w:rsidP="00CE6209">
      <w:pPr>
        <w:spacing w:after="120"/>
        <w:ind w:firstLine="567"/>
        <w:jc w:val="both"/>
        <w:rPr>
          <w:rFonts w:ascii="Garamond" w:hAnsi="Garamond"/>
          <w:b/>
          <w:sz w:val="22"/>
          <w:szCs w:val="22"/>
        </w:rPr>
      </w:pPr>
      <w:r w:rsidRPr="00D934B1">
        <w:rPr>
          <w:rFonts w:ascii="Garamond" w:hAnsi="Garamond"/>
          <w:b/>
          <w:sz w:val="22"/>
          <w:szCs w:val="22"/>
        </w:rPr>
        <w:t>2.1.3.1.3.1.4.2.2.3.2. &lt;podis:value&gt;</w:t>
      </w:r>
    </w:p>
    <w:p w14:paraId="55607EFD" w14:textId="77777777" w:rsidR="00CE6209" w:rsidRPr="00D934B1" w:rsidRDefault="00CE6209" w:rsidP="00CE6209">
      <w:pPr>
        <w:spacing w:after="120"/>
        <w:ind w:firstLine="567"/>
        <w:jc w:val="both"/>
        <w:rPr>
          <w:rFonts w:ascii="Garamond" w:hAnsi="Garamond"/>
          <w:sz w:val="22"/>
          <w:szCs w:val="22"/>
        </w:rPr>
      </w:pPr>
      <w:r w:rsidRPr="00D934B1">
        <w:rPr>
          <w:rFonts w:ascii="Garamond" w:hAnsi="Garamond"/>
          <w:sz w:val="22"/>
          <w:szCs w:val="22"/>
        </w:rPr>
        <w:lastRenderedPageBreak/>
        <w:t>Элемент &lt;podis:value&gt; содержит значение дополнительного пользовательского элемента. Обязательный элемент, принимает значение «tso_or_gp» (если трансформатор напряжения принадлежит сетевой организации (гарантирующему поставщику)) или «other» – в обратном случае.</w:t>
      </w:r>
    </w:p>
    <w:p w14:paraId="71F4A4CC" w14:textId="77777777" w:rsidR="00CE6209" w:rsidRPr="00D934B1" w:rsidRDefault="00CE6209" w:rsidP="00CE6209">
      <w:pPr>
        <w:spacing w:after="120"/>
        <w:ind w:firstLine="567"/>
        <w:jc w:val="both"/>
        <w:rPr>
          <w:rFonts w:ascii="Garamond" w:hAnsi="Garamond"/>
          <w:b/>
          <w:sz w:val="22"/>
          <w:szCs w:val="22"/>
        </w:rPr>
      </w:pPr>
      <w:r w:rsidRPr="00D934B1">
        <w:rPr>
          <w:rFonts w:ascii="Garamond" w:hAnsi="Garamond"/>
          <w:b/>
          <w:sz w:val="22"/>
          <w:szCs w:val="22"/>
        </w:rPr>
        <w:t>2.1.3.1.3.1.4.2.2.4. &lt;podis:potentialTransformerInfo&gt;</w:t>
      </w:r>
    </w:p>
    <w:p w14:paraId="51630DBC" w14:textId="77777777" w:rsidR="00CE6209" w:rsidRPr="00D934B1" w:rsidRDefault="00CE6209" w:rsidP="00CE6209">
      <w:pPr>
        <w:spacing w:after="120"/>
        <w:ind w:firstLine="567"/>
        <w:jc w:val="both"/>
        <w:rPr>
          <w:rFonts w:ascii="Garamond" w:hAnsi="Garamond"/>
          <w:sz w:val="22"/>
          <w:szCs w:val="22"/>
        </w:rPr>
      </w:pPr>
      <w:r w:rsidRPr="00D934B1">
        <w:rPr>
          <w:rFonts w:ascii="Garamond" w:hAnsi="Garamond"/>
          <w:sz w:val="22"/>
          <w:szCs w:val="22"/>
        </w:rPr>
        <w:t xml:space="preserve">Элемент &lt;podis:potentialTransformerInfo&gt; содержит описание типа трансформатора напряжения. Является обязательным элементом. </w:t>
      </w:r>
    </w:p>
    <w:p w14:paraId="6012C73A" w14:textId="77777777" w:rsidR="00CE6209" w:rsidRPr="00241C66" w:rsidRDefault="00CE6209" w:rsidP="00CE6209">
      <w:pPr>
        <w:spacing w:after="120"/>
        <w:ind w:firstLine="567"/>
        <w:jc w:val="both"/>
        <w:rPr>
          <w:rFonts w:ascii="Garamond" w:hAnsi="Garamond"/>
          <w:sz w:val="22"/>
          <w:szCs w:val="22"/>
        </w:rPr>
      </w:pPr>
      <w:r w:rsidRPr="00D934B1">
        <w:rPr>
          <w:rFonts w:ascii="Garamond" w:hAnsi="Garamond"/>
          <w:sz w:val="22"/>
          <w:szCs w:val="22"/>
        </w:rPr>
        <w:t>Дочерними</w:t>
      </w:r>
      <w:r w:rsidRPr="00241C66">
        <w:rPr>
          <w:rFonts w:ascii="Garamond" w:hAnsi="Garamond"/>
          <w:sz w:val="22"/>
          <w:szCs w:val="22"/>
        </w:rPr>
        <w:t xml:space="preserve"> </w:t>
      </w:r>
      <w:r w:rsidRPr="00D934B1">
        <w:rPr>
          <w:rFonts w:ascii="Garamond" w:hAnsi="Garamond"/>
          <w:sz w:val="22"/>
          <w:szCs w:val="22"/>
        </w:rPr>
        <w:t>элементами</w:t>
      </w:r>
      <w:r w:rsidRPr="00241C66">
        <w:rPr>
          <w:rFonts w:ascii="Garamond" w:hAnsi="Garamond"/>
          <w:sz w:val="22"/>
          <w:szCs w:val="22"/>
        </w:rPr>
        <w:t xml:space="preserve"> &lt;</w:t>
      </w:r>
      <w:r w:rsidRPr="009537EC">
        <w:rPr>
          <w:rFonts w:ascii="Garamond" w:hAnsi="Garamond"/>
          <w:sz w:val="22"/>
          <w:szCs w:val="22"/>
          <w:lang w:val="en-US"/>
        </w:rPr>
        <w:t>podis</w:t>
      </w:r>
      <w:r w:rsidRPr="00241C66">
        <w:rPr>
          <w:rFonts w:ascii="Garamond" w:hAnsi="Garamond"/>
          <w:sz w:val="22"/>
          <w:szCs w:val="22"/>
        </w:rPr>
        <w:t>:</w:t>
      </w:r>
      <w:r w:rsidRPr="009537EC">
        <w:rPr>
          <w:rFonts w:ascii="Garamond" w:hAnsi="Garamond"/>
          <w:sz w:val="22"/>
          <w:szCs w:val="22"/>
          <w:lang w:val="en-US"/>
        </w:rPr>
        <w:t>potentialTransformerInfo</w:t>
      </w:r>
      <w:r w:rsidRPr="00241C66">
        <w:rPr>
          <w:rFonts w:ascii="Garamond" w:hAnsi="Garamond"/>
          <w:sz w:val="22"/>
          <w:szCs w:val="22"/>
        </w:rPr>
        <w:t xml:space="preserve">&gt; </w:t>
      </w:r>
      <w:r w:rsidRPr="00D934B1">
        <w:rPr>
          <w:rFonts w:ascii="Garamond" w:hAnsi="Garamond"/>
          <w:sz w:val="22"/>
          <w:szCs w:val="22"/>
        </w:rPr>
        <w:t>являются</w:t>
      </w:r>
      <w:r w:rsidRPr="00241C66">
        <w:rPr>
          <w:rFonts w:ascii="Garamond" w:hAnsi="Garamond"/>
          <w:sz w:val="22"/>
          <w:szCs w:val="22"/>
        </w:rPr>
        <w:t xml:space="preserve"> </w:t>
      </w:r>
      <w:r w:rsidRPr="00D934B1">
        <w:rPr>
          <w:rFonts w:ascii="Garamond" w:hAnsi="Garamond"/>
          <w:sz w:val="22"/>
          <w:szCs w:val="22"/>
        </w:rPr>
        <w:t>элементы</w:t>
      </w:r>
      <w:r w:rsidRPr="00241C66">
        <w:rPr>
          <w:rFonts w:ascii="Garamond" w:hAnsi="Garamond"/>
          <w:sz w:val="22"/>
          <w:szCs w:val="22"/>
        </w:rPr>
        <w:t xml:space="preserve"> &lt;</w:t>
      </w:r>
      <w:r w:rsidRPr="009537EC">
        <w:rPr>
          <w:rFonts w:ascii="Garamond" w:hAnsi="Garamond"/>
          <w:sz w:val="22"/>
          <w:szCs w:val="22"/>
          <w:lang w:val="en-US"/>
        </w:rPr>
        <w:t>podis</w:t>
      </w:r>
      <w:r w:rsidRPr="00241C66">
        <w:rPr>
          <w:rFonts w:ascii="Garamond" w:hAnsi="Garamond"/>
          <w:sz w:val="22"/>
          <w:szCs w:val="22"/>
        </w:rPr>
        <w:t>:</w:t>
      </w:r>
      <w:r w:rsidRPr="009537EC">
        <w:rPr>
          <w:rFonts w:ascii="Garamond" w:hAnsi="Garamond"/>
          <w:sz w:val="22"/>
          <w:szCs w:val="22"/>
          <w:lang w:val="en-US"/>
        </w:rPr>
        <w:t>measuring</w:t>
      </w:r>
      <w:r w:rsidRPr="00241C66">
        <w:rPr>
          <w:rFonts w:ascii="Garamond" w:hAnsi="Garamond"/>
          <w:sz w:val="22"/>
          <w:szCs w:val="22"/>
        </w:rPr>
        <w:t>-</w:t>
      </w:r>
      <w:r w:rsidRPr="009537EC">
        <w:rPr>
          <w:rFonts w:ascii="Garamond" w:hAnsi="Garamond"/>
          <w:sz w:val="22"/>
          <w:szCs w:val="22"/>
          <w:lang w:val="en-US"/>
        </w:rPr>
        <w:t>tool</w:t>
      </w:r>
      <w:r w:rsidRPr="00241C66">
        <w:rPr>
          <w:rFonts w:ascii="Garamond" w:hAnsi="Garamond"/>
          <w:sz w:val="22"/>
          <w:szCs w:val="22"/>
        </w:rPr>
        <w:t>-</w:t>
      </w:r>
      <w:r w:rsidRPr="009537EC">
        <w:rPr>
          <w:rFonts w:ascii="Garamond" w:hAnsi="Garamond"/>
          <w:sz w:val="22"/>
          <w:szCs w:val="22"/>
          <w:lang w:val="en-US"/>
        </w:rPr>
        <w:t>code</w:t>
      </w:r>
      <w:r w:rsidRPr="00241C66">
        <w:rPr>
          <w:rFonts w:ascii="Garamond" w:hAnsi="Garamond"/>
          <w:sz w:val="22"/>
          <w:szCs w:val="22"/>
        </w:rPr>
        <w:t>&gt;, &lt;</w:t>
      </w:r>
      <w:r w:rsidRPr="009537EC">
        <w:rPr>
          <w:rFonts w:ascii="Garamond" w:hAnsi="Garamond"/>
          <w:sz w:val="22"/>
          <w:szCs w:val="22"/>
          <w:lang w:val="en-US"/>
        </w:rPr>
        <w:t>podis</w:t>
      </w:r>
      <w:r w:rsidRPr="00241C66">
        <w:rPr>
          <w:rFonts w:ascii="Garamond" w:hAnsi="Garamond"/>
          <w:sz w:val="22"/>
          <w:szCs w:val="22"/>
        </w:rPr>
        <w:t>:</w:t>
      </w:r>
      <w:r w:rsidRPr="009537EC">
        <w:rPr>
          <w:rFonts w:ascii="Garamond" w:hAnsi="Garamond"/>
          <w:sz w:val="22"/>
          <w:szCs w:val="22"/>
          <w:lang w:val="en-US"/>
        </w:rPr>
        <w:t>modelNumber</w:t>
      </w:r>
      <w:r w:rsidRPr="00241C66">
        <w:rPr>
          <w:rFonts w:ascii="Garamond" w:hAnsi="Garamond"/>
          <w:sz w:val="22"/>
          <w:szCs w:val="22"/>
        </w:rPr>
        <w:t>&gt;, &lt;</w:t>
      </w:r>
      <w:r w:rsidRPr="009537EC">
        <w:rPr>
          <w:rFonts w:ascii="Garamond" w:hAnsi="Garamond"/>
          <w:sz w:val="22"/>
          <w:szCs w:val="22"/>
          <w:lang w:val="en-US"/>
        </w:rPr>
        <w:t>podis</w:t>
      </w:r>
      <w:r w:rsidRPr="00241C66">
        <w:rPr>
          <w:rFonts w:ascii="Garamond" w:hAnsi="Garamond"/>
          <w:sz w:val="22"/>
          <w:szCs w:val="22"/>
        </w:rPr>
        <w:t>:</w:t>
      </w:r>
      <w:r w:rsidRPr="009537EC">
        <w:rPr>
          <w:rFonts w:ascii="Garamond" w:hAnsi="Garamond"/>
          <w:sz w:val="22"/>
          <w:szCs w:val="22"/>
          <w:lang w:val="en-US"/>
        </w:rPr>
        <w:t>customAttributes</w:t>
      </w:r>
      <w:r w:rsidRPr="00241C66">
        <w:rPr>
          <w:rFonts w:ascii="Garamond" w:hAnsi="Garamond"/>
          <w:sz w:val="22"/>
          <w:szCs w:val="22"/>
        </w:rPr>
        <w:t>&gt;, &lt;</w:t>
      </w:r>
      <w:r w:rsidRPr="009537EC">
        <w:rPr>
          <w:rFonts w:ascii="Garamond" w:hAnsi="Garamond"/>
          <w:sz w:val="22"/>
          <w:szCs w:val="22"/>
          <w:lang w:val="en-US"/>
        </w:rPr>
        <w:t>podis</w:t>
      </w:r>
      <w:r w:rsidRPr="00241C66">
        <w:rPr>
          <w:rFonts w:ascii="Garamond" w:hAnsi="Garamond"/>
          <w:sz w:val="22"/>
          <w:szCs w:val="22"/>
        </w:rPr>
        <w:t>:</w:t>
      </w:r>
      <w:r w:rsidRPr="009537EC">
        <w:rPr>
          <w:rFonts w:ascii="Garamond" w:hAnsi="Garamond"/>
          <w:sz w:val="22"/>
          <w:szCs w:val="22"/>
          <w:lang w:val="en-US"/>
        </w:rPr>
        <w:t>nominalRatio</w:t>
      </w:r>
      <w:r w:rsidRPr="00241C66">
        <w:rPr>
          <w:rFonts w:ascii="Garamond" w:hAnsi="Garamond"/>
          <w:sz w:val="22"/>
          <w:szCs w:val="22"/>
        </w:rPr>
        <w:t>&gt;, &lt;</w:t>
      </w:r>
      <w:r w:rsidRPr="009537EC">
        <w:rPr>
          <w:rFonts w:ascii="Garamond" w:hAnsi="Garamond"/>
          <w:sz w:val="22"/>
          <w:szCs w:val="22"/>
          <w:lang w:val="en-US"/>
        </w:rPr>
        <w:t>podis</w:t>
      </w:r>
      <w:r w:rsidRPr="00241C66">
        <w:rPr>
          <w:rFonts w:ascii="Garamond" w:hAnsi="Garamond"/>
          <w:sz w:val="22"/>
          <w:szCs w:val="22"/>
        </w:rPr>
        <w:t>:</w:t>
      </w:r>
      <w:r w:rsidRPr="009537EC">
        <w:rPr>
          <w:rFonts w:ascii="Garamond" w:hAnsi="Garamond"/>
          <w:sz w:val="22"/>
          <w:szCs w:val="22"/>
          <w:lang w:val="en-US"/>
        </w:rPr>
        <w:t>accuracyClass</w:t>
      </w:r>
      <w:r w:rsidRPr="00241C66">
        <w:rPr>
          <w:rFonts w:ascii="Garamond" w:hAnsi="Garamond"/>
          <w:sz w:val="22"/>
          <w:szCs w:val="22"/>
        </w:rPr>
        <w:t xml:space="preserve">&gt; </w:t>
      </w:r>
      <w:r w:rsidRPr="00D934B1">
        <w:rPr>
          <w:rFonts w:ascii="Garamond" w:hAnsi="Garamond"/>
          <w:sz w:val="22"/>
          <w:szCs w:val="22"/>
        </w:rPr>
        <w:t>и</w:t>
      </w:r>
      <w:r w:rsidRPr="00241C66">
        <w:rPr>
          <w:rFonts w:ascii="Garamond" w:hAnsi="Garamond"/>
          <w:sz w:val="22"/>
          <w:szCs w:val="22"/>
        </w:rPr>
        <w:t xml:space="preserve"> &lt;</w:t>
      </w:r>
      <w:r w:rsidRPr="009537EC">
        <w:rPr>
          <w:rFonts w:ascii="Garamond" w:hAnsi="Garamond"/>
          <w:sz w:val="22"/>
          <w:szCs w:val="22"/>
          <w:lang w:val="en-US"/>
        </w:rPr>
        <w:t>podis</w:t>
      </w:r>
      <w:r w:rsidRPr="00241C66">
        <w:rPr>
          <w:rFonts w:ascii="Garamond" w:hAnsi="Garamond"/>
          <w:sz w:val="22"/>
          <w:szCs w:val="22"/>
        </w:rPr>
        <w:t>:</w:t>
      </w:r>
      <w:r w:rsidRPr="009537EC">
        <w:rPr>
          <w:rFonts w:ascii="Garamond" w:hAnsi="Garamond"/>
          <w:sz w:val="22"/>
          <w:szCs w:val="22"/>
          <w:lang w:val="en-US"/>
        </w:rPr>
        <w:t>regNumber</w:t>
      </w:r>
      <w:r w:rsidRPr="00241C66">
        <w:rPr>
          <w:rFonts w:ascii="Garamond" w:hAnsi="Garamond"/>
          <w:sz w:val="22"/>
          <w:szCs w:val="22"/>
        </w:rPr>
        <w:t xml:space="preserve">&gt;. </w:t>
      </w:r>
      <w:r w:rsidRPr="00D934B1">
        <w:rPr>
          <w:rFonts w:ascii="Garamond" w:hAnsi="Garamond"/>
          <w:sz w:val="22"/>
          <w:szCs w:val="22"/>
        </w:rPr>
        <w:t>У</w:t>
      </w:r>
      <w:r w:rsidRPr="00241C66">
        <w:rPr>
          <w:rFonts w:ascii="Garamond" w:hAnsi="Garamond"/>
          <w:sz w:val="22"/>
          <w:szCs w:val="22"/>
        </w:rPr>
        <w:t xml:space="preserve"> </w:t>
      </w:r>
      <w:r w:rsidRPr="00D934B1">
        <w:rPr>
          <w:rFonts w:ascii="Garamond" w:hAnsi="Garamond"/>
          <w:sz w:val="22"/>
          <w:szCs w:val="22"/>
        </w:rPr>
        <w:t>элемента</w:t>
      </w:r>
      <w:r w:rsidRPr="00241C66">
        <w:rPr>
          <w:rFonts w:ascii="Garamond" w:hAnsi="Garamond"/>
          <w:sz w:val="22"/>
          <w:szCs w:val="22"/>
        </w:rPr>
        <w:t xml:space="preserve"> &lt;</w:t>
      </w:r>
      <w:r w:rsidRPr="009537EC">
        <w:rPr>
          <w:rFonts w:ascii="Garamond" w:hAnsi="Garamond"/>
          <w:sz w:val="22"/>
          <w:szCs w:val="22"/>
          <w:lang w:val="en-US"/>
        </w:rPr>
        <w:t>podis</w:t>
      </w:r>
      <w:r w:rsidRPr="00241C66">
        <w:rPr>
          <w:rFonts w:ascii="Garamond" w:hAnsi="Garamond"/>
          <w:sz w:val="22"/>
          <w:szCs w:val="22"/>
        </w:rPr>
        <w:t>:</w:t>
      </w:r>
      <w:r w:rsidRPr="009537EC">
        <w:rPr>
          <w:rFonts w:ascii="Garamond" w:hAnsi="Garamond"/>
          <w:sz w:val="22"/>
          <w:szCs w:val="22"/>
          <w:lang w:val="en-US"/>
        </w:rPr>
        <w:t>potentialTransformerInfo</w:t>
      </w:r>
      <w:r w:rsidRPr="00241C66">
        <w:rPr>
          <w:rFonts w:ascii="Garamond" w:hAnsi="Garamond"/>
          <w:sz w:val="22"/>
          <w:szCs w:val="22"/>
        </w:rPr>
        <w:t xml:space="preserve">&gt; </w:t>
      </w:r>
      <w:r w:rsidRPr="00D934B1">
        <w:rPr>
          <w:rFonts w:ascii="Garamond" w:hAnsi="Garamond"/>
          <w:sz w:val="22"/>
          <w:szCs w:val="22"/>
        </w:rPr>
        <w:t>может</w:t>
      </w:r>
      <w:r w:rsidRPr="00241C66">
        <w:rPr>
          <w:rFonts w:ascii="Garamond" w:hAnsi="Garamond"/>
          <w:sz w:val="22"/>
          <w:szCs w:val="22"/>
        </w:rPr>
        <w:t xml:space="preserve"> </w:t>
      </w:r>
      <w:r w:rsidRPr="00D934B1">
        <w:rPr>
          <w:rFonts w:ascii="Garamond" w:hAnsi="Garamond"/>
          <w:sz w:val="22"/>
          <w:szCs w:val="22"/>
        </w:rPr>
        <w:t>быть</w:t>
      </w:r>
      <w:r w:rsidRPr="00241C66">
        <w:rPr>
          <w:rFonts w:ascii="Garamond" w:hAnsi="Garamond"/>
          <w:sz w:val="22"/>
          <w:szCs w:val="22"/>
        </w:rPr>
        <w:t xml:space="preserve"> </w:t>
      </w:r>
      <w:r w:rsidRPr="00D934B1">
        <w:rPr>
          <w:rFonts w:ascii="Garamond" w:hAnsi="Garamond"/>
          <w:sz w:val="22"/>
          <w:szCs w:val="22"/>
        </w:rPr>
        <w:t>только</w:t>
      </w:r>
      <w:r w:rsidRPr="00241C66">
        <w:rPr>
          <w:rFonts w:ascii="Garamond" w:hAnsi="Garamond"/>
          <w:sz w:val="22"/>
          <w:szCs w:val="22"/>
        </w:rPr>
        <w:t xml:space="preserve"> </w:t>
      </w:r>
      <w:r w:rsidRPr="00D934B1">
        <w:rPr>
          <w:rFonts w:ascii="Garamond" w:hAnsi="Garamond"/>
          <w:sz w:val="22"/>
          <w:szCs w:val="22"/>
        </w:rPr>
        <w:t>один</w:t>
      </w:r>
      <w:r w:rsidRPr="00241C66">
        <w:rPr>
          <w:rFonts w:ascii="Garamond" w:hAnsi="Garamond"/>
          <w:sz w:val="22"/>
          <w:szCs w:val="22"/>
        </w:rPr>
        <w:t xml:space="preserve"> </w:t>
      </w:r>
      <w:r w:rsidRPr="00D934B1">
        <w:rPr>
          <w:rFonts w:ascii="Garamond" w:hAnsi="Garamond"/>
          <w:sz w:val="22"/>
          <w:szCs w:val="22"/>
        </w:rPr>
        <w:t>дочерний</w:t>
      </w:r>
      <w:r w:rsidRPr="00241C66">
        <w:rPr>
          <w:rFonts w:ascii="Garamond" w:hAnsi="Garamond"/>
          <w:sz w:val="22"/>
          <w:szCs w:val="22"/>
        </w:rPr>
        <w:t xml:space="preserve"> </w:t>
      </w:r>
      <w:r w:rsidRPr="00D934B1">
        <w:rPr>
          <w:rFonts w:ascii="Garamond" w:hAnsi="Garamond"/>
          <w:sz w:val="22"/>
          <w:szCs w:val="22"/>
        </w:rPr>
        <w:t>элемент</w:t>
      </w:r>
      <w:r w:rsidRPr="00241C66">
        <w:rPr>
          <w:rFonts w:ascii="Garamond" w:hAnsi="Garamond"/>
          <w:sz w:val="22"/>
          <w:szCs w:val="22"/>
        </w:rPr>
        <w:t xml:space="preserve"> &lt;</w:t>
      </w:r>
      <w:r w:rsidRPr="009537EC">
        <w:rPr>
          <w:rFonts w:ascii="Garamond" w:hAnsi="Garamond"/>
          <w:sz w:val="22"/>
          <w:szCs w:val="22"/>
          <w:lang w:val="en-US"/>
        </w:rPr>
        <w:t>podis</w:t>
      </w:r>
      <w:r w:rsidRPr="00241C66">
        <w:rPr>
          <w:rFonts w:ascii="Garamond" w:hAnsi="Garamond"/>
          <w:sz w:val="22"/>
          <w:szCs w:val="22"/>
        </w:rPr>
        <w:t>:</w:t>
      </w:r>
      <w:r w:rsidRPr="009537EC">
        <w:rPr>
          <w:rFonts w:ascii="Garamond" w:hAnsi="Garamond"/>
          <w:sz w:val="22"/>
          <w:szCs w:val="22"/>
          <w:lang w:val="en-US"/>
        </w:rPr>
        <w:t>measuring</w:t>
      </w:r>
      <w:r w:rsidRPr="00241C66">
        <w:rPr>
          <w:rFonts w:ascii="Garamond" w:hAnsi="Garamond"/>
          <w:sz w:val="22"/>
          <w:szCs w:val="22"/>
        </w:rPr>
        <w:t>-</w:t>
      </w:r>
      <w:r w:rsidRPr="009537EC">
        <w:rPr>
          <w:rFonts w:ascii="Garamond" w:hAnsi="Garamond"/>
          <w:sz w:val="22"/>
          <w:szCs w:val="22"/>
          <w:lang w:val="en-US"/>
        </w:rPr>
        <w:t>tool</w:t>
      </w:r>
      <w:r w:rsidRPr="00241C66">
        <w:rPr>
          <w:rFonts w:ascii="Garamond" w:hAnsi="Garamond"/>
          <w:sz w:val="22"/>
          <w:szCs w:val="22"/>
        </w:rPr>
        <w:t>-</w:t>
      </w:r>
      <w:r w:rsidRPr="009537EC">
        <w:rPr>
          <w:rFonts w:ascii="Garamond" w:hAnsi="Garamond"/>
          <w:sz w:val="22"/>
          <w:szCs w:val="22"/>
          <w:lang w:val="en-US"/>
        </w:rPr>
        <w:t>code</w:t>
      </w:r>
      <w:r w:rsidRPr="00241C66">
        <w:rPr>
          <w:rFonts w:ascii="Garamond" w:hAnsi="Garamond"/>
          <w:sz w:val="22"/>
          <w:szCs w:val="22"/>
        </w:rPr>
        <w:t>&gt;, &lt;</w:t>
      </w:r>
      <w:r w:rsidRPr="009537EC">
        <w:rPr>
          <w:rFonts w:ascii="Garamond" w:hAnsi="Garamond"/>
          <w:sz w:val="22"/>
          <w:szCs w:val="22"/>
          <w:lang w:val="en-US"/>
        </w:rPr>
        <w:t>podis</w:t>
      </w:r>
      <w:r w:rsidRPr="00241C66">
        <w:rPr>
          <w:rFonts w:ascii="Garamond" w:hAnsi="Garamond"/>
          <w:sz w:val="22"/>
          <w:szCs w:val="22"/>
        </w:rPr>
        <w:t>:</w:t>
      </w:r>
      <w:r w:rsidRPr="009537EC">
        <w:rPr>
          <w:rFonts w:ascii="Garamond" w:hAnsi="Garamond"/>
          <w:sz w:val="22"/>
          <w:szCs w:val="22"/>
          <w:lang w:val="en-US"/>
        </w:rPr>
        <w:t>modelNumber</w:t>
      </w:r>
      <w:r w:rsidRPr="00241C66">
        <w:rPr>
          <w:rFonts w:ascii="Garamond" w:hAnsi="Garamond"/>
          <w:sz w:val="22"/>
          <w:szCs w:val="22"/>
        </w:rPr>
        <w:t>&gt;, &lt;</w:t>
      </w:r>
      <w:r w:rsidRPr="009537EC">
        <w:rPr>
          <w:rFonts w:ascii="Garamond" w:hAnsi="Garamond"/>
          <w:sz w:val="22"/>
          <w:szCs w:val="22"/>
          <w:lang w:val="en-US"/>
        </w:rPr>
        <w:t>podis</w:t>
      </w:r>
      <w:r w:rsidRPr="00241C66">
        <w:rPr>
          <w:rFonts w:ascii="Garamond" w:hAnsi="Garamond"/>
          <w:sz w:val="22"/>
          <w:szCs w:val="22"/>
        </w:rPr>
        <w:t>:</w:t>
      </w:r>
      <w:r w:rsidRPr="009537EC">
        <w:rPr>
          <w:rFonts w:ascii="Garamond" w:hAnsi="Garamond"/>
          <w:sz w:val="22"/>
          <w:szCs w:val="22"/>
          <w:lang w:val="en-US"/>
        </w:rPr>
        <w:t>customAttributes</w:t>
      </w:r>
      <w:r w:rsidRPr="00241C66">
        <w:rPr>
          <w:rFonts w:ascii="Garamond" w:hAnsi="Garamond"/>
          <w:sz w:val="22"/>
          <w:szCs w:val="22"/>
        </w:rPr>
        <w:t>&gt;, &lt;</w:t>
      </w:r>
      <w:r w:rsidRPr="009537EC">
        <w:rPr>
          <w:rFonts w:ascii="Garamond" w:hAnsi="Garamond"/>
          <w:sz w:val="22"/>
          <w:szCs w:val="22"/>
          <w:lang w:val="en-US"/>
        </w:rPr>
        <w:t>podis</w:t>
      </w:r>
      <w:r w:rsidRPr="00241C66">
        <w:rPr>
          <w:rFonts w:ascii="Garamond" w:hAnsi="Garamond"/>
          <w:sz w:val="22"/>
          <w:szCs w:val="22"/>
        </w:rPr>
        <w:t>:</w:t>
      </w:r>
      <w:r w:rsidRPr="009537EC">
        <w:rPr>
          <w:rFonts w:ascii="Garamond" w:hAnsi="Garamond"/>
          <w:sz w:val="22"/>
          <w:szCs w:val="22"/>
          <w:lang w:val="en-US"/>
        </w:rPr>
        <w:t>nominalRatio</w:t>
      </w:r>
      <w:r w:rsidRPr="00241C66">
        <w:rPr>
          <w:rFonts w:ascii="Garamond" w:hAnsi="Garamond"/>
          <w:sz w:val="22"/>
          <w:szCs w:val="22"/>
        </w:rPr>
        <w:t>&gt;, &lt;</w:t>
      </w:r>
      <w:r w:rsidRPr="009537EC">
        <w:rPr>
          <w:rFonts w:ascii="Garamond" w:hAnsi="Garamond"/>
          <w:sz w:val="22"/>
          <w:szCs w:val="22"/>
          <w:lang w:val="en-US"/>
        </w:rPr>
        <w:t>podis</w:t>
      </w:r>
      <w:r w:rsidRPr="00241C66">
        <w:rPr>
          <w:rFonts w:ascii="Garamond" w:hAnsi="Garamond"/>
          <w:sz w:val="22"/>
          <w:szCs w:val="22"/>
        </w:rPr>
        <w:t>:</w:t>
      </w:r>
      <w:r w:rsidRPr="009537EC">
        <w:rPr>
          <w:rFonts w:ascii="Garamond" w:hAnsi="Garamond"/>
          <w:sz w:val="22"/>
          <w:szCs w:val="22"/>
          <w:lang w:val="en-US"/>
        </w:rPr>
        <w:t>accuracyClass</w:t>
      </w:r>
      <w:r w:rsidRPr="00241C66">
        <w:rPr>
          <w:rFonts w:ascii="Garamond" w:hAnsi="Garamond"/>
          <w:sz w:val="22"/>
          <w:szCs w:val="22"/>
        </w:rPr>
        <w:t xml:space="preserve">&gt; </w:t>
      </w:r>
      <w:r w:rsidRPr="00D934B1">
        <w:rPr>
          <w:rFonts w:ascii="Garamond" w:hAnsi="Garamond"/>
          <w:sz w:val="22"/>
          <w:szCs w:val="22"/>
        </w:rPr>
        <w:t>и</w:t>
      </w:r>
      <w:r w:rsidRPr="00241C66">
        <w:rPr>
          <w:rFonts w:ascii="Garamond" w:hAnsi="Garamond"/>
          <w:sz w:val="22"/>
          <w:szCs w:val="22"/>
        </w:rPr>
        <w:t xml:space="preserve"> &lt;</w:t>
      </w:r>
      <w:r w:rsidRPr="009537EC">
        <w:rPr>
          <w:rFonts w:ascii="Garamond" w:hAnsi="Garamond"/>
          <w:sz w:val="22"/>
          <w:szCs w:val="22"/>
          <w:lang w:val="en-US"/>
        </w:rPr>
        <w:t>podis</w:t>
      </w:r>
      <w:r w:rsidRPr="00241C66">
        <w:rPr>
          <w:rFonts w:ascii="Garamond" w:hAnsi="Garamond"/>
          <w:sz w:val="22"/>
          <w:szCs w:val="22"/>
        </w:rPr>
        <w:t>:</w:t>
      </w:r>
      <w:r w:rsidRPr="009537EC">
        <w:rPr>
          <w:rFonts w:ascii="Garamond" w:hAnsi="Garamond"/>
          <w:sz w:val="22"/>
          <w:szCs w:val="22"/>
          <w:lang w:val="en-US"/>
        </w:rPr>
        <w:t>regNumber</w:t>
      </w:r>
      <w:r w:rsidRPr="00241C66">
        <w:rPr>
          <w:rFonts w:ascii="Garamond" w:hAnsi="Garamond"/>
          <w:sz w:val="22"/>
          <w:szCs w:val="22"/>
        </w:rPr>
        <w:t>&gt;.</w:t>
      </w:r>
    </w:p>
    <w:p w14:paraId="4B71E56B" w14:textId="77777777" w:rsidR="00CE6209" w:rsidRPr="00D934B1" w:rsidRDefault="00CE6209" w:rsidP="00CE6209">
      <w:pPr>
        <w:spacing w:after="120"/>
        <w:ind w:firstLine="567"/>
        <w:jc w:val="both"/>
        <w:rPr>
          <w:rFonts w:ascii="Garamond" w:hAnsi="Garamond"/>
          <w:b/>
          <w:sz w:val="22"/>
          <w:szCs w:val="22"/>
        </w:rPr>
      </w:pPr>
      <w:r w:rsidRPr="00D934B1">
        <w:rPr>
          <w:rFonts w:ascii="Garamond" w:hAnsi="Garamond"/>
          <w:b/>
          <w:sz w:val="22"/>
          <w:szCs w:val="22"/>
        </w:rPr>
        <w:t>2.1.3.1.3.1.4.2.2.4.1. &lt;podis:measuring-tool-code&gt;</w:t>
      </w:r>
    </w:p>
    <w:p w14:paraId="6B7B228B" w14:textId="77777777" w:rsidR="00CE6209" w:rsidRPr="00D934B1" w:rsidRDefault="00CE6209" w:rsidP="00CE6209">
      <w:pPr>
        <w:spacing w:after="120"/>
        <w:ind w:firstLine="567"/>
        <w:jc w:val="both"/>
        <w:rPr>
          <w:rFonts w:ascii="Garamond" w:hAnsi="Garamond"/>
          <w:sz w:val="22"/>
          <w:szCs w:val="22"/>
        </w:rPr>
      </w:pPr>
      <w:r w:rsidRPr="00D934B1">
        <w:rPr>
          <w:rFonts w:ascii="Garamond" w:hAnsi="Garamond"/>
          <w:sz w:val="22"/>
          <w:szCs w:val="22"/>
        </w:rPr>
        <w:t>Элемент &lt;podis:measuring-tool-code&gt; уникальный код, присвоенный КО типу трансформатора напряжения. Текстовое поле длиной не более 32 символов. Является обязательным элементом. Значение не проверяется сетевой организацией, осуществившей допуск в эксплуатацию прибора учета или измерительного комплекса (проверку прибора учета или измерительного комплекса).</w:t>
      </w:r>
    </w:p>
    <w:p w14:paraId="6DE9252E" w14:textId="77777777" w:rsidR="00CE6209" w:rsidRPr="00D934B1" w:rsidRDefault="00CE6209" w:rsidP="00CE6209">
      <w:pPr>
        <w:spacing w:after="120"/>
        <w:ind w:firstLine="567"/>
        <w:jc w:val="both"/>
        <w:rPr>
          <w:rFonts w:ascii="Garamond" w:hAnsi="Garamond"/>
          <w:b/>
          <w:sz w:val="22"/>
          <w:szCs w:val="22"/>
        </w:rPr>
      </w:pPr>
      <w:r w:rsidRPr="00D934B1">
        <w:rPr>
          <w:rFonts w:ascii="Garamond" w:hAnsi="Garamond"/>
          <w:b/>
          <w:sz w:val="22"/>
          <w:szCs w:val="22"/>
        </w:rPr>
        <w:t>2.1.3.1.3.1.4.2.2.4.2. &lt;podis:modelNumber&gt;</w:t>
      </w:r>
    </w:p>
    <w:p w14:paraId="24444B20" w14:textId="77777777" w:rsidR="00CE6209" w:rsidRPr="00D934B1" w:rsidRDefault="00CE6209" w:rsidP="00CE6209">
      <w:pPr>
        <w:spacing w:after="120"/>
        <w:ind w:firstLine="567"/>
        <w:jc w:val="both"/>
        <w:rPr>
          <w:rFonts w:ascii="Garamond" w:hAnsi="Garamond"/>
          <w:sz w:val="22"/>
          <w:szCs w:val="22"/>
        </w:rPr>
      </w:pPr>
      <w:r w:rsidRPr="00D934B1">
        <w:rPr>
          <w:rFonts w:ascii="Garamond" w:hAnsi="Garamond"/>
          <w:sz w:val="22"/>
          <w:szCs w:val="22"/>
        </w:rPr>
        <w:t>Элемент &lt;podis:modelNumber&gt; содержит тип трансформатора напряжения. Тип должен быть приведен согласно данным, внесенным в Федеральный информационный фонд по обеспечению единства измерений. Текстовое поле длиной не более 80 символов. Является обязательным элементом.</w:t>
      </w:r>
    </w:p>
    <w:p w14:paraId="6B02D660" w14:textId="77777777" w:rsidR="00CE6209" w:rsidRPr="00D934B1" w:rsidRDefault="00CE6209" w:rsidP="00CE6209">
      <w:pPr>
        <w:spacing w:after="120"/>
        <w:ind w:firstLine="567"/>
        <w:jc w:val="both"/>
        <w:rPr>
          <w:rFonts w:ascii="Garamond" w:hAnsi="Garamond"/>
          <w:b/>
          <w:sz w:val="22"/>
          <w:szCs w:val="22"/>
        </w:rPr>
      </w:pPr>
      <w:r w:rsidRPr="00D934B1">
        <w:rPr>
          <w:rFonts w:ascii="Garamond" w:hAnsi="Garamond"/>
          <w:b/>
          <w:sz w:val="22"/>
          <w:szCs w:val="22"/>
        </w:rPr>
        <w:t>2.1.3.1.3.1.4.2.2.4.3. &lt;podis:nominalRatio&gt;</w:t>
      </w:r>
    </w:p>
    <w:p w14:paraId="66E71337" w14:textId="77777777" w:rsidR="00CE6209" w:rsidRPr="00D934B1" w:rsidRDefault="00CE6209" w:rsidP="00CE6209">
      <w:pPr>
        <w:spacing w:after="120"/>
        <w:ind w:firstLine="567"/>
        <w:jc w:val="both"/>
        <w:rPr>
          <w:rFonts w:ascii="Garamond" w:hAnsi="Garamond"/>
          <w:sz w:val="22"/>
          <w:szCs w:val="22"/>
        </w:rPr>
      </w:pPr>
      <w:r w:rsidRPr="00D934B1">
        <w:rPr>
          <w:rFonts w:ascii="Garamond" w:hAnsi="Garamond"/>
          <w:sz w:val="22"/>
          <w:szCs w:val="22"/>
        </w:rPr>
        <w:t>Элемент &lt;podis:nominalRatio&gt; содержит данные о номинальном соотношении между первичным и вторичным напряжением. Является обязательным элементом.</w:t>
      </w:r>
    </w:p>
    <w:p w14:paraId="49D90603" w14:textId="77777777" w:rsidR="00CE6209" w:rsidRPr="00D934B1" w:rsidRDefault="00CE6209" w:rsidP="00CE6209">
      <w:pPr>
        <w:spacing w:after="120"/>
        <w:ind w:firstLine="567"/>
        <w:jc w:val="both"/>
        <w:rPr>
          <w:rFonts w:ascii="Garamond" w:hAnsi="Garamond"/>
          <w:sz w:val="22"/>
          <w:szCs w:val="22"/>
        </w:rPr>
      </w:pPr>
      <w:r w:rsidRPr="00D934B1">
        <w:rPr>
          <w:rFonts w:ascii="Garamond" w:hAnsi="Garamond"/>
          <w:sz w:val="22"/>
          <w:szCs w:val="22"/>
        </w:rPr>
        <w:t>Дочерними элементами &lt;podis:nominalRatio&gt; являются элементы &lt;podis:denominator&gt; и &lt;podis:numerator&gt;. У элемента &lt;podis:nominalRatio&gt; может быть только один дочерний элемент &lt;podis:denominator&gt; и &lt;podis:numerator&gt;.</w:t>
      </w:r>
    </w:p>
    <w:p w14:paraId="25C8838C" w14:textId="77777777" w:rsidR="00CE6209" w:rsidRPr="00D934B1" w:rsidRDefault="00CE6209" w:rsidP="00CE6209">
      <w:pPr>
        <w:spacing w:after="120"/>
        <w:ind w:firstLine="567"/>
        <w:jc w:val="both"/>
        <w:rPr>
          <w:rFonts w:ascii="Garamond" w:hAnsi="Garamond"/>
          <w:b/>
          <w:sz w:val="22"/>
          <w:szCs w:val="22"/>
        </w:rPr>
      </w:pPr>
      <w:r w:rsidRPr="00D934B1">
        <w:rPr>
          <w:rFonts w:ascii="Garamond" w:hAnsi="Garamond"/>
          <w:b/>
          <w:sz w:val="22"/>
          <w:szCs w:val="22"/>
        </w:rPr>
        <w:t>2.1.3.1.3.1.4.2.2.4.3.1. &lt;podis:denominator&gt;</w:t>
      </w:r>
    </w:p>
    <w:p w14:paraId="186B5F43" w14:textId="77777777" w:rsidR="00CE6209" w:rsidRPr="00D934B1" w:rsidRDefault="00CE6209" w:rsidP="00CE6209">
      <w:pPr>
        <w:spacing w:after="120"/>
        <w:ind w:firstLine="567"/>
        <w:jc w:val="both"/>
        <w:rPr>
          <w:rFonts w:ascii="Garamond" w:hAnsi="Garamond"/>
          <w:sz w:val="22"/>
          <w:szCs w:val="22"/>
        </w:rPr>
      </w:pPr>
      <w:r w:rsidRPr="00D934B1">
        <w:rPr>
          <w:rFonts w:ascii="Garamond" w:hAnsi="Garamond"/>
          <w:sz w:val="22"/>
          <w:szCs w:val="22"/>
        </w:rPr>
        <w:t>Элемент &lt;podis:denominator&gt; содержит номинальное вторичное напряжение (напряжение вторичной обмотки), размерность: В (Вольт). Является обязательным элементом. Положительное целое число не более 8 символов, значение «0» недопустимо. В случае использования цифрового выхода трансформатора напряжения для передачи информации о результатах измерений на прибор учета, значение данного элемента равняется значению элемента &lt;podis:numerator&gt;, который является дочерним элементом &lt;podis:nominalRatio&gt; соответствующего &lt;podis:potentialTransformer&gt;.</w:t>
      </w:r>
    </w:p>
    <w:p w14:paraId="6A32592A" w14:textId="77777777" w:rsidR="00CE6209" w:rsidRPr="00D934B1" w:rsidRDefault="00CE6209" w:rsidP="00CE6209">
      <w:pPr>
        <w:spacing w:after="120"/>
        <w:ind w:firstLine="567"/>
        <w:jc w:val="both"/>
        <w:rPr>
          <w:rFonts w:ascii="Garamond" w:hAnsi="Garamond"/>
          <w:b/>
          <w:sz w:val="22"/>
          <w:szCs w:val="22"/>
        </w:rPr>
      </w:pPr>
      <w:r w:rsidRPr="00D934B1">
        <w:rPr>
          <w:rFonts w:ascii="Garamond" w:hAnsi="Garamond"/>
          <w:b/>
          <w:sz w:val="22"/>
          <w:szCs w:val="22"/>
        </w:rPr>
        <w:t>2.1.3.1.3.1.4.2.2.4.3.2. &lt;podis:numerator&gt;</w:t>
      </w:r>
    </w:p>
    <w:p w14:paraId="28939992" w14:textId="77777777" w:rsidR="00CE6209" w:rsidRPr="00D934B1" w:rsidRDefault="00CE6209" w:rsidP="00CE6209">
      <w:pPr>
        <w:spacing w:after="120"/>
        <w:ind w:firstLine="567"/>
        <w:jc w:val="both"/>
        <w:rPr>
          <w:rFonts w:ascii="Garamond" w:hAnsi="Garamond"/>
          <w:sz w:val="22"/>
          <w:szCs w:val="22"/>
        </w:rPr>
      </w:pPr>
      <w:r w:rsidRPr="00D934B1">
        <w:rPr>
          <w:rFonts w:ascii="Garamond" w:hAnsi="Garamond"/>
          <w:sz w:val="22"/>
          <w:szCs w:val="22"/>
        </w:rPr>
        <w:t>Элемент &lt;podis:numerator&gt; содержит номинальное первичное напряжение (напряжение первичной обмотки), размерность: В (Вольт). Является обязательным элементом. Положительное целое число не более 8 символов, значение «0» недопустимо. В случае использования цифрового выхода трансформатора напряжения для передачи информации о результатах измерений на прибор учета, значение данного элемента равняется значению элемента &lt;podis:denominator&gt;, который является дочерним элементом &lt;podis:nominalRatio&gt; соответствующего &lt;podis:potentialTransformer&gt;.</w:t>
      </w:r>
    </w:p>
    <w:p w14:paraId="41772C70" w14:textId="77777777" w:rsidR="00CE6209" w:rsidRPr="00D934B1" w:rsidRDefault="00CE6209" w:rsidP="00CE6209">
      <w:pPr>
        <w:spacing w:after="120"/>
        <w:ind w:firstLine="567"/>
        <w:jc w:val="both"/>
        <w:rPr>
          <w:rFonts w:ascii="Garamond" w:hAnsi="Garamond"/>
          <w:b/>
          <w:sz w:val="22"/>
          <w:szCs w:val="22"/>
        </w:rPr>
      </w:pPr>
      <w:r w:rsidRPr="00D934B1">
        <w:rPr>
          <w:rFonts w:ascii="Garamond" w:hAnsi="Garamond"/>
          <w:b/>
          <w:sz w:val="22"/>
          <w:szCs w:val="22"/>
        </w:rPr>
        <w:t>2.1.3.1.3.1.4.2.2.4.4. &lt;podis:customAttributes&gt;</w:t>
      </w:r>
    </w:p>
    <w:p w14:paraId="13F09996" w14:textId="77777777" w:rsidR="00CE6209" w:rsidRPr="00D934B1" w:rsidRDefault="00CE6209" w:rsidP="00CE6209">
      <w:pPr>
        <w:spacing w:after="120"/>
        <w:ind w:firstLine="567"/>
        <w:jc w:val="both"/>
        <w:rPr>
          <w:rFonts w:ascii="Garamond" w:hAnsi="Garamond"/>
          <w:sz w:val="22"/>
          <w:szCs w:val="22"/>
        </w:rPr>
      </w:pPr>
      <w:r w:rsidRPr="00D934B1">
        <w:rPr>
          <w:rFonts w:ascii="Garamond" w:hAnsi="Garamond"/>
          <w:sz w:val="22"/>
          <w:szCs w:val="22"/>
        </w:rPr>
        <w:t>Элемент &lt;podis:customAttributes&gt; содержит сведения о номинальной вторичной нагрузке вторичных цепей трансформатора напряжения. Элемент должен отсутствовать в случае использования цифрового выхода трансформатора напряжения для передачи информации о результатах измерений на прибор учета, в остальных случаях является обязательным.</w:t>
      </w:r>
    </w:p>
    <w:p w14:paraId="1040BB41" w14:textId="77777777" w:rsidR="00CE6209" w:rsidRPr="00D934B1" w:rsidRDefault="00CE6209" w:rsidP="00CE6209">
      <w:pPr>
        <w:spacing w:after="120"/>
        <w:ind w:firstLine="567"/>
        <w:jc w:val="both"/>
        <w:rPr>
          <w:rFonts w:ascii="Garamond" w:hAnsi="Garamond"/>
          <w:sz w:val="22"/>
          <w:szCs w:val="22"/>
        </w:rPr>
      </w:pPr>
      <w:r w:rsidRPr="00D934B1">
        <w:rPr>
          <w:rFonts w:ascii="Garamond" w:hAnsi="Garamond"/>
          <w:sz w:val="22"/>
          <w:szCs w:val="22"/>
        </w:rPr>
        <w:t>Дочерними элементами &lt;podis:customAttributes&gt; являются элементы &lt;podis:name&gt; и &lt;podis:value&gt;. У элемента &lt;podis:customAttributes&gt; может быть только один дочерний элемент &lt;podis:name&gt; и &lt;podis:value&gt;.</w:t>
      </w:r>
    </w:p>
    <w:p w14:paraId="1E5C6317" w14:textId="77777777" w:rsidR="00CE6209" w:rsidRPr="00D934B1" w:rsidRDefault="00CE6209" w:rsidP="00CE6209">
      <w:pPr>
        <w:spacing w:after="120"/>
        <w:ind w:firstLine="567"/>
        <w:jc w:val="both"/>
        <w:rPr>
          <w:rFonts w:ascii="Garamond" w:hAnsi="Garamond"/>
          <w:b/>
          <w:sz w:val="22"/>
          <w:szCs w:val="22"/>
        </w:rPr>
      </w:pPr>
      <w:r w:rsidRPr="00D934B1">
        <w:rPr>
          <w:rFonts w:ascii="Garamond" w:hAnsi="Garamond"/>
          <w:b/>
          <w:sz w:val="22"/>
          <w:szCs w:val="22"/>
        </w:rPr>
        <w:t>2.1.3.1.3.1.4.2.2.4.4.1 &lt;podis:name&gt;</w:t>
      </w:r>
    </w:p>
    <w:p w14:paraId="59521EDA" w14:textId="77777777" w:rsidR="00CE6209" w:rsidRPr="00D934B1" w:rsidRDefault="00CE6209" w:rsidP="00CE6209">
      <w:pPr>
        <w:spacing w:after="120"/>
        <w:ind w:firstLine="567"/>
        <w:jc w:val="both"/>
        <w:rPr>
          <w:rFonts w:ascii="Garamond" w:hAnsi="Garamond"/>
          <w:sz w:val="22"/>
          <w:szCs w:val="22"/>
        </w:rPr>
      </w:pPr>
      <w:r w:rsidRPr="00D934B1">
        <w:rPr>
          <w:rFonts w:ascii="Garamond" w:hAnsi="Garamond"/>
          <w:sz w:val="22"/>
          <w:szCs w:val="22"/>
        </w:rPr>
        <w:lastRenderedPageBreak/>
        <w:t>Элемент &lt;podis:name&gt; содержит имя дополнительного пользовательского элемента. Является обязательным элементом, принимает значение «RatedLoad».</w:t>
      </w:r>
    </w:p>
    <w:p w14:paraId="3E76858F" w14:textId="77777777" w:rsidR="00CE6209" w:rsidRPr="00D934B1" w:rsidRDefault="00CE6209" w:rsidP="00CE6209">
      <w:pPr>
        <w:spacing w:after="120"/>
        <w:ind w:firstLine="567"/>
        <w:jc w:val="both"/>
        <w:rPr>
          <w:rFonts w:ascii="Garamond" w:hAnsi="Garamond"/>
          <w:b/>
          <w:sz w:val="22"/>
          <w:szCs w:val="22"/>
        </w:rPr>
      </w:pPr>
      <w:r w:rsidRPr="00D934B1">
        <w:rPr>
          <w:rFonts w:ascii="Garamond" w:hAnsi="Garamond"/>
          <w:b/>
          <w:sz w:val="22"/>
          <w:szCs w:val="22"/>
        </w:rPr>
        <w:t>2.1.3.1.3.1.4.2.2.4.4.2. &lt;podis:value&gt;</w:t>
      </w:r>
    </w:p>
    <w:p w14:paraId="63EE9C28" w14:textId="77777777" w:rsidR="00CE6209" w:rsidRPr="00D934B1" w:rsidRDefault="00CE6209" w:rsidP="00CE6209">
      <w:pPr>
        <w:spacing w:after="120"/>
        <w:ind w:firstLine="567"/>
        <w:jc w:val="both"/>
        <w:rPr>
          <w:rFonts w:ascii="Garamond" w:hAnsi="Garamond"/>
          <w:sz w:val="22"/>
          <w:szCs w:val="22"/>
        </w:rPr>
      </w:pPr>
      <w:r w:rsidRPr="00D934B1">
        <w:rPr>
          <w:rFonts w:ascii="Garamond" w:hAnsi="Garamond"/>
          <w:sz w:val="22"/>
          <w:szCs w:val="22"/>
        </w:rPr>
        <w:t>Элемент &lt;podis:value&gt; содержит значение номинальной вторичной нагрузки вторичных цепей, размерность: ВА (Вольт-ампер). Является обязательным элементом. Положительное число, содержащее от 1 до 6 знаков до десятичного разделителя и от 1 до 3 знаков после десятичного разделителя, значение «0» недопустимо. В качестве десятичного разделителя должна быть использована точка. Допускается использовать только один десятичный разделитель. В случае отсутствия символов после десятичного разделителя он должен отсутствовать.</w:t>
      </w:r>
    </w:p>
    <w:p w14:paraId="53E9A93C" w14:textId="77777777" w:rsidR="00CE6209" w:rsidRPr="00D934B1" w:rsidRDefault="00CE6209" w:rsidP="00CE6209">
      <w:pPr>
        <w:spacing w:after="120"/>
        <w:ind w:firstLine="567"/>
        <w:jc w:val="both"/>
        <w:rPr>
          <w:rFonts w:ascii="Garamond" w:hAnsi="Garamond"/>
          <w:b/>
          <w:sz w:val="22"/>
          <w:szCs w:val="22"/>
        </w:rPr>
      </w:pPr>
      <w:r w:rsidRPr="00D934B1">
        <w:rPr>
          <w:rFonts w:ascii="Garamond" w:hAnsi="Garamond"/>
          <w:b/>
          <w:sz w:val="22"/>
          <w:szCs w:val="22"/>
        </w:rPr>
        <w:t>2.1.3.1.3.1.4.2.2.4.5. &lt;podis:accuracyClass&gt;</w:t>
      </w:r>
    </w:p>
    <w:p w14:paraId="460E428E" w14:textId="77777777" w:rsidR="00CE6209" w:rsidRPr="00D934B1" w:rsidRDefault="00CE6209" w:rsidP="00CE6209">
      <w:pPr>
        <w:spacing w:after="120"/>
        <w:ind w:firstLine="567"/>
        <w:jc w:val="both"/>
        <w:rPr>
          <w:rFonts w:ascii="Garamond" w:hAnsi="Garamond"/>
          <w:sz w:val="22"/>
          <w:szCs w:val="22"/>
        </w:rPr>
      </w:pPr>
      <w:r w:rsidRPr="00D934B1">
        <w:rPr>
          <w:rFonts w:ascii="Garamond" w:hAnsi="Garamond"/>
          <w:sz w:val="22"/>
          <w:szCs w:val="22"/>
        </w:rPr>
        <w:t>Элемент &lt;podis:accuracyClass&gt; содержит класс точности трансформатора напряжения. Является обязательным элементом. Текстовое поле, содержащее от 1 до 3 символов до десятичного разделителя и от 1 до 3 символов после десятичного разделителя. В качестве десятичного разделителя должна быть использована точка. Допускается использовать только один десятичный разделитель. В случае отсутствия символов после десятичного разделителя он должен отсутствовать.</w:t>
      </w:r>
    </w:p>
    <w:p w14:paraId="2C1C20AC" w14:textId="77777777" w:rsidR="00CE6209" w:rsidRPr="00D934B1" w:rsidRDefault="00CE6209" w:rsidP="00CE6209">
      <w:pPr>
        <w:spacing w:after="120"/>
        <w:ind w:firstLine="567"/>
        <w:jc w:val="both"/>
        <w:rPr>
          <w:rFonts w:ascii="Garamond" w:hAnsi="Garamond"/>
          <w:b/>
          <w:sz w:val="22"/>
          <w:szCs w:val="22"/>
        </w:rPr>
      </w:pPr>
      <w:r w:rsidRPr="00D934B1">
        <w:rPr>
          <w:rFonts w:ascii="Garamond" w:hAnsi="Garamond"/>
          <w:b/>
          <w:sz w:val="22"/>
          <w:szCs w:val="22"/>
        </w:rPr>
        <w:t>2.1.3.1.3.1.4.2.2.4.6. &lt;podis:regNumber&gt;</w:t>
      </w:r>
    </w:p>
    <w:p w14:paraId="4E1E2D37" w14:textId="77777777" w:rsidR="00CE6209" w:rsidRPr="00D934B1" w:rsidRDefault="00CE6209" w:rsidP="00CE6209">
      <w:pPr>
        <w:spacing w:after="120"/>
        <w:ind w:firstLine="567"/>
        <w:jc w:val="both"/>
        <w:rPr>
          <w:rFonts w:ascii="Garamond" w:hAnsi="Garamond"/>
          <w:sz w:val="22"/>
          <w:szCs w:val="22"/>
        </w:rPr>
      </w:pPr>
      <w:r w:rsidRPr="00D934B1">
        <w:rPr>
          <w:rFonts w:ascii="Garamond" w:hAnsi="Garamond"/>
          <w:sz w:val="22"/>
          <w:szCs w:val="22"/>
        </w:rPr>
        <w:t>Элемент &lt;podis:regNumber&gt; содержит регистрационный номер трансформатора напряжения в Федеральном информационном фонде по обеспечению единства измерений (Госреестр). Текстовое поле длиной не более 20 символов. Является обязательным элементом.</w:t>
      </w:r>
    </w:p>
    <w:p w14:paraId="76B982CD" w14:textId="77777777" w:rsidR="00CE6209" w:rsidRPr="00D934B1" w:rsidRDefault="00CE6209" w:rsidP="00101F7C">
      <w:pPr>
        <w:pStyle w:val="ac"/>
        <w:numPr>
          <w:ilvl w:val="0"/>
          <w:numId w:val="105"/>
        </w:numPr>
        <w:spacing w:before="240" w:after="240"/>
        <w:ind w:left="1134" w:hanging="567"/>
        <w:rPr>
          <w:rFonts w:ascii="Garamond" w:hAnsi="Garamond"/>
          <w:b/>
          <w:sz w:val="22"/>
          <w:szCs w:val="22"/>
        </w:rPr>
      </w:pPr>
      <w:r w:rsidRPr="00D934B1">
        <w:rPr>
          <w:rFonts w:ascii="Garamond" w:hAnsi="Garamond"/>
          <w:b/>
          <w:sz w:val="22"/>
          <w:szCs w:val="22"/>
        </w:rPr>
        <w:t>Пример электронного документа</w:t>
      </w:r>
    </w:p>
    <w:p w14:paraId="45DBDAEC" w14:textId="77777777" w:rsidR="00CE6209" w:rsidRPr="00431AD6" w:rsidRDefault="00CE6209" w:rsidP="00CE6209">
      <w:pPr>
        <w:spacing w:after="120"/>
        <w:ind w:left="567"/>
        <w:rPr>
          <w:rFonts w:ascii="Garamond" w:hAnsi="Garamond"/>
          <w:sz w:val="22"/>
          <w:szCs w:val="22"/>
          <w:lang w:val="en-US"/>
        </w:rPr>
      </w:pPr>
      <w:r w:rsidRPr="00431AD6">
        <w:rPr>
          <w:rFonts w:ascii="Garamond" w:hAnsi="Garamond"/>
          <w:sz w:val="22"/>
          <w:szCs w:val="22"/>
          <w:lang w:val="en-US"/>
        </w:rPr>
        <w:t>&lt;podis:Request xmlns:podis="http://iec.ch/TC57/2011/schema/podis/Layout_20000#" xmlns:sawsdl="http://www.w3.org/ns/sawsdl" class="20000" base-file-name="ku_aiis_dictionary_20210101153505.xml" base-file-hash="EC0D229FF159FFF24C0814DD0654C606929FBFC5199E4638CB3F5A4459B320B5"&gt;</w:t>
      </w:r>
    </w:p>
    <w:p w14:paraId="1E6A71AB" w14:textId="77777777" w:rsidR="00CE6209" w:rsidRPr="00E750D0" w:rsidRDefault="00CE6209" w:rsidP="00CE6209">
      <w:pPr>
        <w:spacing w:after="120"/>
        <w:ind w:left="567"/>
        <w:rPr>
          <w:rFonts w:ascii="Garamond" w:hAnsi="Garamond"/>
          <w:sz w:val="22"/>
          <w:szCs w:val="22"/>
          <w:lang w:val="es-ES"/>
        </w:rPr>
      </w:pPr>
      <w:r w:rsidRPr="00431AD6">
        <w:rPr>
          <w:rFonts w:ascii="Garamond" w:hAnsi="Garamond"/>
          <w:sz w:val="22"/>
          <w:szCs w:val="22"/>
          <w:lang w:val="en-US"/>
        </w:rPr>
        <w:t xml:space="preserve">    </w:t>
      </w:r>
      <w:r w:rsidRPr="00E750D0">
        <w:rPr>
          <w:rFonts w:ascii="Garamond" w:hAnsi="Garamond"/>
          <w:sz w:val="22"/>
          <w:szCs w:val="22"/>
          <w:lang w:val="es-ES"/>
        </w:rPr>
        <w:t>&lt;podis:Header&gt;</w:t>
      </w:r>
    </w:p>
    <w:p w14:paraId="7497701B" w14:textId="77777777" w:rsidR="00CE6209" w:rsidRPr="00E750D0" w:rsidRDefault="00CE6209" w:rsidP="00CE6209">
      <w:pPr>
        <w:spacing w:after="120"/>
        <w:ind w:left="567"/>
        <w:rPr>
          <w:rFonts w:ascii="Garamond" w:hAnsi="Garamond"/>
          <w:sz w:val="22"/>
          <w:szCs w:val="22"/>
          <w:lang w:val="es-ES"/>
        </w:rPr>
      </w:pPr>
      <w:r w:rsidRPr="00E750D0">
        <w:rPr>
          <w:rFonts w:ascii="Garamond" w:hAnsi="Garamond"/>
          <w:sz w:val="22"/>
          <w:szCs w:val="22"/>
          <w:lang w:val="es-ES"/>
        </w:rPr>
        <w:t xml:space="preserve">        &lt;podis:Revision&gt;1&lt;/podis:Revision&gt;</w:t>
      </w:r>
    </w:p>
    <w:p w14:paraId="70B4A47B" w14:textId="77777777" w:rsidR="00CE6209" w:rsidRPr="00E750D0" w:rsidRDefault="00CE6209" w:rsidP="00CE6209">
      <w:pPr>
        <w:spacing w:after="120"/>
        <w:ind w:left="567"/>
        <w:rPr>
          <w:rFonts w:ascii="Garamond" w:hAnsi="Garamond"/>
          <w:sz w:val="22"/>
          <w:szCs w:val="22"/>
          <w:lang w:val="es-ES"/>
        </w:rPr>
      </w:pPr>
      <w:r w:rsidRPr="00E750D0">
        <w:rPr>
          <w:rFonts w:ascii="Garamond" w:hAnsi="Garamond"/>
          <w:sz w:val="22"/>
          <w:szCs w:val="22"/>
          <w:lang w:val="es-ES"/>
        </w:rPr>
        <w:t xml:space="preserve">        &lt;podis:Timestamp&gt;2023-02-01T10:33:15.014&lt;/podis:Timestamp&gt;</w:t>
      </w:r>
    </w:p>
    <w:p w14:paraId="5D16F972" w14:textId="77777777" w:rsidR="00CE6209" w:rsidRPr="00E750D0" w:rsidRDefault="00CE6209" w:rsidP="00CE6209">
      <w:pPr>
        <w:spacing w:after="120"/>
        <w:ind w:left="567"/>
        <w:rPr>
          <w:rFonts w:ascii="Garamond" w:hAnsi="Garamond"/>
          <w:sz w:val="22"/>
          <w:szCs w:val="22"/>
          <w:lang w:val="es-ES"/>
        </w:rPr>
      </w:pPr>
      <w:r w:rsidRPr="00E750D0">
        <w:rPr>
          <w:rFonts w:ascii="Garamond" w:hAnsi="Garamond"/>
          <w:sz w:val="22"/>
          <w:szCs w:val="22"/>
          <w:lang w:val="es-ES"/>
        </w:rPr>
        <w:t xml:space="preserve">    &lt;/podis:Header&gt;</w:t>
      </w:r>
    </w:p>
    <w:p w14:paraId="556C6081" w14:textId="77777777" w:rsidR="00CE6209" w:rsidRPr="00E750D0" w:rsidRDefault="00CE6209" w:rsidP="00CE6209">
      <w:pPr>
        <w:spacing w:after="120"/>
        <w:ind w:left="567"/>
        <w:rPr>
          <w:rFonts w:ascii="Garamond" w:hAnsi="Garamond"/>
          <w:sz w:val="22"/>
          <w:szCs w:val="22"/>
          <w:lang w:val="es-ES"/>
        </w:rPr>
      </w:pPr>
      <w:r w:rsidRPr="00E750D0">
        <w:rPr>
          <w:rFonts w:ascii="Garamond" w:hAnsi="Garamond"/>
          <w:sz w:val="22"/>
          <w:szCs w:val="22"/>
          <w:lang w:val="es-ES"/>
        </w:rPr>
        <w:tab/>
        <w:t>&lt;podis:psi-file id-in-iasuku="12345678" code-from="PEXEMPL1" code-to="PEXEMPL2" name="</w:t>
      </w:r>
      <w:r w:rsidRPr="00431AD6">
        <w:rPr>
          <w:rFonts w:ascii="Garamond" w:hAnsi="Garamond"/>
          <w:sz w:val="22"/>
          <w:szCs w:val="22"/>
        </w:rPr>
        <w:t>Наименование</w:t>
      </w:r>
      <w:r w:rsidRPr="00E750D0">
        <w:rPr>
          <w:rFonts w:ascii="Garamond" w:hAnsi="Garamond"/>
          <w:sz w:val="22"/>
          <w:szCs w:val="22"/>
          <w:lang w:val="es-ES"/>
        </w:rPr>
        <w:t xml:space="preserve"> </w:t>
      </w:r>
      <w:r w:rsidRPr="00431AD6">
        <w:rPr>
          <w:rFonts w:ascii="Garamond" w:hAnsi="Garamond"/>
          <w:sz w:val="22"/>
          <w:szCs w:val="22"/>
        </w:rPr>
        <w:t>сечения</w:t>
      </w:r>
      <w:r w:rsidRPr="00E750D0">
        <w:rPr>
          <w:rFonts w:ascii="Garamond" w:hAnsi="Garamond"/>
          <w:sz w:val="22"/>
          <w:szCs w:val="22"/>
          <w:lang w:val="es-ES"/>
        </w:rPr>
        <w:t xml:space="preserve"> </w:t>
      </w:r>
      <w:r w:rsidRPr="00431AD6">
        <w:rPr>
          <w:rFonts w:ascii="Garamond" w:hAnsi="Garamond"/>
          <w:sz w:val="22"/>
          <w:szCs w:val="22"/>
        </w:rPr>
        <w:t>КУ</w:t>
      </w:r>
      <w:r w:rsidRPr="00E750D0">
        <w:rPr>
          <w:rFonts w:ascii="Garamond" w:hAnsi="Garamond"/>
          <w:sz w:val="22"/>
          <w:szCs w:val="22"/>
          <w:lang w:val="es-ES"/>
        </w:rPr>
        <w:t>"/&gt;</w:t>
      </w:r>
    </w:p>
    <w:p w14:paraId="39BF29C1" w14:textId="77777777" w:rsidR="00CE6209" w:rsidRPr="00E750D0" w:rsidRDefault="00CE6209" w:rsidP="00CE6209">
      <w:pPr>
        <w:spacing w:after="120"/>
        <w:ind w:left="567"/>
        <w:rPr>
          <w:rFonts w:ascii="Garamond" w:hAnsi="Garamond"/>
          <w:sz w:val="22"/>
          <w:szCs w:val="22"/>
          <w:lang w:val="es-ES"/>
        </w:rPr>
      </w:pPr>
      <w:r w:rsidRPr="00E750D0">
        <w:rPr>
          <w:rFonts w:ascii="Garamond" w:hAnsi="Garamond"/>
          <w:sz w:val="22"/>
          <w:szCs w:val="22"/>
          <w:lang w:val="es-ES"/>
        </w:rPr>
        <w:t xml:space="preserve">    &lt;podis:Payload&gt;</w:t>
      </w:r>
    </w:p>
    <w:p w14:paraId="75B1925F" w14:textId="77777777" w:rsidR="00CE6209" w:rsidRPr="00E750D0" w:rsidRDefault="00CE6209" w:rsidP="00CE6209">
      <w:pPr>
        <w:spacing w:after="120"/>
        <w:ind w:left="567"/>
        <w:rPr>
          <w:rFonts w:ascii="Garamond" w:hAnsi="Garamond"/>
          <w:sz w:val="22"/>
          <w:szCs w:val="22"/>
          <w:lang w:val="es-ES"/>
        </w:rPr>
      </w:pPr>
      <w:r w:rsidRPr="00E750D0">
        <w:rPr>
          <w:rFonts w:ascii="Garamond" w:hAnsi="Garamond"/>
          <w:sz w:val="22"/>
          <w:szCs w:val="22"/>
          <w:lang w:val="es-ES"/>
        </w:rPr>
        <w:t xml:space="preserve">        &lt;podis:EEMSConfig&gt;</w:t>
      </w:r>
    </w:p>
    <w:p w14:paraId="38494EBB" w14:textId="6923A2BB" w:rsidR="00CE6209" w:rsidRPr="00E750D0" w:rsidRDefault="00CE6209" w:rsidP="00CE6209">
      <w:pPr>
        <w:spacing w:after="120"/>
        <w:ind w:left="567"/>
        <w:rPr>
          <w:rFonts w:ascii="Garamond" w:hAnsi="Garamond"/>
          <w:sz w:val="22"/>
          <w:szCs w:val="22"/>
          <w:lang w:val="es-ES"/>
        </w:rPr>
      </w:pPr>
      <w:r w:rsidRPr="00E750D0">
        <w:rPr>
          <w:rFonts w:ascii="Garamond" w:hAnsi="Garamond"/>
          <w:sz w:val="22"/>
          <w:szCs w:val="22"/>
          <w:lang w:val="es-ES"/>
        </w:rPr>
        <w:tab/>
        <w:t>&lt;podis:subject inn="1234567890" name="</w:t>
      </w:r>
      <w:r w:rsidRPr="00431AD6">
        <w:rPr>
          <w:rFonts w:ascii="Garamond" w:hAnsi="Garamond"/>
          <w:sz w:val="22"/>
          <w:szCs w:val="22"/>
        </w:rPr>
        <w:t>Наименование</w:t>
      </w:r>
      <w:r w:rsidRPr="00E750D0">
        <w:rPr>
          <w:rFonts w:ascii="Garamond" w:hAnsi="Garamond"/>
          <w:sz w:val="22"/>
          <w:szCs w:val="22"/>
          <w:lang w:val="es-ES"/>
        </w:rPr>
        <w:t xml:space="preserve"> </w:t>
      </w:r>
      <w:r w:rsidRPr="00431AD6">
        <w:rPr>
          <w:rFonts w:ascii="Garamond" w:hAnsi="Garamond"/>
          <w:sz w:val="22"/>
          <w:szCs w:val="22"/>
        </w:rPr>
        <w:t>организации</w:t>
      </w:r>
      <w:r w:rsidR="009B5F03">
        <w:rPr>
          <w:rFonts w:ascii="Garamond" w:hAnsi="Garamond"/>
          <w:sz w:val="22"/>
          <w:szCs w:val="22"/>
          <w:lang w:val="es-ES"/>
        </w:rPr>
        <w:t>-</w:t>
      </w:r>
      <w:r w:rsidRPr="00431AD6">
        <w:rPr>
          <w:rFonts w:ascii="Garamond" w:hAnsi="Garamond"/>
          <w:sz w:val="22"/>
          <w:szCs w:val="22"/>
        </w:rPr>
        <w:t>заявителя</w:t>
      </w:r>
      <w:r w:rsidRPr="00E750D0">
        <w:rPr>
          <w:rFonts w:ascii="Garamond" w:hAnsi="Garamond"/>
          <w:sz w:val="22"/>
          <w:szCs w:val="22"/>
          <w:lang w:val="es-ES"/>
        </w:rPr>
        <w:t>" trader-code="ABCDEFGH"/&gt;</w:t>
      </w:r>
    </w:p>
    <w:p w14:paraId="6F5E3E76" w14:textId="77777777" w:rsidR="00CE6209" w:rsidRPr="00E750D0" w:rsidRDefault="00CE6209" w:rsidP="00CE6209">
      <w:pPr>
        <w:spacing w:after="120"/>
        <w:ind w:left="567"/>
        <w:rPr>
          <w:rFonts w:ascii="Garamond" w:hAnsi="Garamond"/>
          <w:sz w:val="22"/>
          <w:szCs w:val="22"/>
          <w:lang w:val="es-ES"/>
        </w:rPr>
      </w:pPr>
      <w:r w:rsidRPr="00E750D0">
        <w:rPr>
          <w:rFonts w:ascii="Garamond" w:hAnsi="Garamond"/>
          <w:sz w:val="22"/>
          <w:szCs w:val="22"/>
          <w:lang w:val="es-ES"/>
        </w:rPr>
        <w:t xml:space="preserve">            &lt;podis:partner&gt;</w:t>
      </w:r>
    </w:p>
    <w:p w14:paraId="0D8F2F9A" w14:textId="77777777" w:rsidR="00CE6209" w:rsidRPr="00E750D0" w:rsidRDefault="00CE6209" w:rsidP="00CE6209">
      <w:pPr>
        <w:spacing w:after="120"/>
        <w:ind w:left="567"/>
        <w:rPr>
          <w:rFonts w:ascii="Garamond" w:hAnsi="Garamond"/>
          <w:sz w:val="22"/>
          <w:szCs w:val="22"/>
          <w:lang w:val="es-ES"/>
        </w:rPr>
      </w:pPr>
      <w:r w:rsidRPr="00E750D0">
        <w:rPr>
          <w:rFonts w:ascii="Garamond" w:hAnsi="Garamond"/>
          <w:sz w:val="22"/>
          <w:szCs w:val="22"/>
          <w:lang w:val="es-ES"/>
        </w:rPr>
        <w:t xml:space="preserve">                &lt;podis:organisation&gt;</w:t>
      </w:r>
    </w:p>
    <w:p w14:paraId="4921EECD" w14:textId="77777777" w:rsidR="00CE6209" w:rsidRPr="00E750D0" w:rsidRDefault="00CE6209" w:rsidP="00CE6209">
      <w:pPr>
        <w:spacing w:after="120"/>
        <w:ind w:left="567"/>
        <w:rPr>
          <w:rFonts w:ascii="Garamond" w:hAnsi="Garamond"/>
          <w:sz w:val="22"/>
          <w:szCs w:val="22"/>
          <w:lang w:val="es-ES"/>
        </w:rPr>
      </w:pPr>
      <w:r w:rsidRPr="00E750D0">
        <w:rPr>
          <w:rFonts w:ascii="Garamond" w:hAnsi="Garamond"/>
          <w:sz w:val="22"/>
          <w:szCs w:val="22"/>
          <w:lang w:val="es-ES"/>
        </w:rPr>
        <w:t xml:space="preserve">                    &lt;podis:orgINN&gt;0987654321&lt;/podis:orgINN&gt;</w:t>
      </w:r>
    </w:p>
    <w:p w14:paraId="35D30FBB" w14:textId="77777777" w:rsidR="00CE6209" w:rsidRPr="00E750D0" w:rsidRDefault="00CE6209" w:rsidP="00CE6209">
      <w:pPr>
        <w:spacing w:after="120"/>
        <w:ind w:left="567"/>
        <w:rPr>
          <w:rFonts w:ascii="Garamond" w:hAnsi="Garamond"/>
          <w:sz w:val="22"/>
          <w:szCs w:val="22"/>
          <w:lang w:val="es-ES"/>
        </w:rPr>
      </w:pPr>
      <w:r w:rsidRPr="00E750D0">
        <w:rPr>
          <w:rFonts w:ascii="Garamond" w:hAnsi="Garamond"/>
          <w:sz w:val="22"/>
          <w:szCs w:val="22"/>
          <w:lang w:val="es-ES"/>
        </w:rPr>
        <w:t xml:space="preserve">                    &lt;podis:orgNameFull&gt;"</w:t>
      </w:r>
      <w:r w:rsidRPr="00431AD6">
        <w:rPr>
          <w:rFonts w:ascii="Garamond" w:hAnsi="Garamond"/>
          <w:sz w:val="22"/>
          <w:szCs w:val="22"/>
        </w:rPr>
        <w:t>Наименование</w:t>
      </w:r>
      <w:r w:rsidRPr="00E750D0">
        <w:rPr>
          <w:rFonts w:ascii="Garamond" w:hAnsi="Garamond"/>
          <w:sz w:val="22"/>
          <w:szCs w:val="22"/>
          <w:lang w:val="es-ES"/>
        </w:rPr>
        <w:t xml:space="preserve"> </w:t>
      </w:r>
      <w:r w:rsidRPr="00431AD6">
        <w:rPr>
          <w:rFonts w:ascii="Garamond" w:hAnsi="Garamond"/>
          <w:sz w:val="22"/>
          <w:szCs w:val="22"/>
        </w:rPr>
        <w:t>сетевой</w:t>
      </w:r>
      <w:r w:rsidRPr="00E750D0">
        <w:rPr>
          <w:rFonts w:ascii="Garamond" w:hAnsi="Garamond"/>
          <w:sz w:val="22"/>
          <w:szCs w:val="22"/>
          <w:lang w:val="es-ES"/>
        </w:rPr>
        <w:t xml:space="preserve"> </w:t>
      </w:r>
      <w:r w:rsidRPr="00431AD6">
        <w:rPr>
          <w:rFonts w:ascii="Garamond" w:hAnsi="Garamond"/>
          <w:sz w:val="22"/>
          <w:szCs w:val="22"/>
        </w:rPr>
        <w:t>организации</w:t>
      </w:r>
      <w:r w:rsidRPr="00E750D0">
        <w:rPr>
          <w:rFonts w:ascii="Garamond" w:hAnsi="Garamond"/>
          <w:sz w:val="22"/>
          <w:szCs w:val="22"/>
          <w:lang w:val="es-ES"/>
        </w:rPr>
        <w:t>"&lt;/podis:orgNameFull&gt;</w:t>
      </w:r>
    </w:p>
    <w:p w14:paraId="7D0F49ED" w14:textId="77777777" w:rsidR="00CE6209" w:rsidRPr="00431AD6" w:rsidRDefault="00CE6209" w:rsidP="00CE6209">
      <w:pPr>
        <w:spacing w:after="120"/>
        <w:ind w:left="567"/>
        <w:rPr>
          <w:rFonts w:ascii="Garamond" w:hAnsi="Garamond"/>
          <w:sz w:val="22"/>
          <w:szCs w:val="22"/>
          <w:lang w:val="en-US"/>
        </w:rPr>
      </w:pPr>
      <w:r w:rsidRPr="00E750D0">
        <w:rPr>
          <w:rFonts w:ascii="Garamond" w:hAnsi="Garamond"/>
          <w:sz w:val="22"/>
          <w:szCs w:val="22"/>
          <w:lang w:val="es-ES"/>
        </w:rPr>
        <w:t xml:space="preserve">                </w:t>
      </w:r>
      <w:r w:rsidRPr="00431AD6">
        <w:rPr>
          <w:rFonts w:ascii="Garamond" w:hAnsi="Garamond"/>
          <w:sz w:val="22"/>
          <w:szCs w:val="22"/>
          <w:lang w:val="en-US"/>
        </w:rPr>
        <w:t>&lt;/podis:organisation&gt;</w:t>
      </w:r>
    </w:p>
    <w:p w14:paraId="4E9416DD" w14:textId="77777777" w:rsidR="00CE6209" w:rsidRPr="00431AD6" w:rsidRDefault="00CE6209" w:rsidP="00CE6209">
      <w:pPr>
        <w:spacing w:after="120"/>
        <w:ind w:left="567"/>
        <w:rPr>
          <w:rFonts w:ascii="Garamond" w:hAnsi="Garamond"/>
          <w:sz w:val="22"/>
          <w:szCs w:val="22"/>
          <w:lang w:val="en-US"/>
        </w:rPr>
      </w:pPr>
      <w:r w:rsidRPr="00431AD6">
        <w:rPr>
          <w:rFonts w:ascii="Garamond" w:hAnsi="Garamond"/>
          <w:sz w:val="22"/>
          <w:szCs w:val="22"/>
          <w:lang w:val="en-US"/>
        </w:rPr>
        <w:t xml:space="preserve">            &lt;/podis:partner&gt;</w:t>
      </w:r>
    </w:p>
    <w:p w14:paraId="223DE93D" w14:textId="77777777" w:rsidR="00CE6209" w:rsidRPr="00431AD6" w:rsidRDefault="00CE6209" w:rsidP="00CE6209">
      <w:pPr>
        <w:spacing w:after="120"/>
        <w:ind w:left="567"/>
        <w:rPr>
          <w:rFonts w:ascii="Garamond" w:hAnsi="Garamond"/>
          <w:sz w:val="22"/>
          <w:szCs w:val="22"/>
          <w:lang w:val="en-US"/>
        </w:rPr>
      </w:pPr>
      <w:r w:rsidRPr="00431AD6">
        <w:rPr>
          <w:rFonts w:ascii="Garamond" w:hAnsi="Garamond"/>
          <w:sz w:val="22"/>
          <w:szCs w:val="22"/>
          <w:lang w:val="en-US"/>
        </w:rPr>
        <w:t xml:space="preserve">            &lt;podis:usagePoints&gt;</w:t>
      </w:r>
    </w:p>
    <w:p w14:paraId="3C29918B" w14:textId="77777777" w:rsidR="00CE6209" w:rsidRPr="00431AD6" w:rsidRDefault="00CE6209" w:rsidP="00CE6209">
      <w:pPr>
        <w:spacing w:after="120"/>
        <w:ind w:left="567"/>
        <w:rPr>
          <w:rFonts w:ascii="Garamond" w:hAnsi="Garamond"/>
          <w:sz w:val="22"/>
          <w:szCs w:val="22"/>
          <w:lang w:val="en-US"/>
        </w:rPr>
      </w:pPr>
      <w:r w:rsidRPr="00431AD6">
        <w:rPr>
          <w:rFonts w:ascii="Garamond" w:hAnsi="Garamond"/>
          <w:sz w:val="22"/>
          <w:szCs w:val="22"/>
          <w:lang w:val="en-US"/>
        </w:rPr>
        <w:t xml:space="preserve">                &lt;podis:usagePoint&gt;</w:t>
      </w:r>
    </w:p>
    <w:p w14:paraId="21C146CF" w14:textId="77777777" w:rsidR="00CE6209" w:rsidRPr="00431AD6" w:rsidRDefault="00CE6209" w:rsidP="00CE6209">
      <w:pPr>
        <w:spacing w:after="120"/>
        <w:ind w:left="567"/>
        <w:rPr>
          <w:rFonts w:ascii="Garamond" w:hAnsi="Garamond"/>
          <w:sz w:val="22"/>
          <w:szCs w:val="22"/>
          <w:lang w:val="en-US"/>
        </w:rPr>
      </w:pPr>
      <w:r w:rsidRPr="00431AD6">
        <w:rPr>
          <w:rFonts w:ascii="Garamond" w:hAnsi="Garamond"/>
          <w:sz w:val="22"/>
          <w:szCs w:val="22"/>
          <w:lang w:val="en-US"/>
        </w:rPr>
        <w:t xml:space="preserve">                    &lt;podis:measuring-point-code&gt;480000460014202&lt;/podis:measuring-point-code&gt;</w:t>
      </w:r>
    </w:p>
    <w:p w14:paraId="0EC6275A" w14:textId="77777777" w:rsidR="00CE6209" w:rsidRPr="00431AD6" w:rsidRDefault="00CE6209" w:rsidP="00CE6209">
      <w:pPr>
        <w:spacing w:after="120"/>
        <w:ind w:left="567"/>
        <w:rPr>
          <w:rFonts w:ascii="Garamond" w:hAnsi="Garamond"/>
          <w:sz w:val="22"/>
          <w:szCs w:val="22"/>
          <w:lang w:val="en-US"/>
        </w:rPr>
      </w:pPr>
      <w:r w:rsidRPr="00431AD6">
        <w:rPr>
          <w:rFonts w:ascii="Garamond" w:hAnsi="Garamond"/>
          <w:sz w:val="22"/>
          <w:szCs w:val="22"/>
          <w:lang w:val="en-US"/>
        </w:rPr>
        <w:t xml:space="preserve">                    &lt;podis:name&gt;</w:t>
      </w:r>
      <w:r w:rsidRPr="00431AD6">
        <w:rPr>
          <w:rFonts w:ascii="Garamond" w:hAnsi="Garamond"/>
          <w:sz w:val="22"/>
          <w:szCs w:val="22"/>
        </w:rPr>
        <w:t>КРУ</w:t>
      </w:r>
      <w:r w:rsidRPr="00431AD6">
        <w:rPr>
          <w:rFonts w:ascii="Garamond" w:hAnsi="Garamond"/>
          <w:sz w:val="22"/>
          <w:szCs w:val="22"/>
          <w:lang w:val="en-US"/>
        </w:rPr>
        <w:t xml:space="preserve">-3, </w:t>
      </w:r>
      <w:r w:rsidRPr="00431AD6">
        <w:rPr>
          <w:rFonts w:ascii="Garamond" w:hAnsi="Garamond"/>
          <w:sz w:val="22"/>
          <w:szCs w:val="22"/>
        </w:rPr>
        <w:t>яч</w:t>
      </w:r>
      <w:r w:rsidRPr="00431AD6">
        <w:rPr>
          <w:rFonts w:ascii="Garamond" w:hAnsi="Garamond"/>
          <w:sz w:val="22"/>
          <w:szCs w:val="22"/>
          <w:lang w:val="en-US"/>
        </w:rPr>
        <w:t>. 10&lt;/podis:name&gt;</w:t>
      </w:r>
    </w:p>
    <w:p w14:paraId="62E06B5B" w14:textId="77777777" w:rsidR="00CE6209" w:rsidRPr="00431AD6" w:rsidRDefault="00CE6209" w:rsidP="00CE6209">
      <w:pPr>
        <w:spacing w:after="120"/>
        <w:ind w:left="567"/>
        <w:rPr>
          <w:rFonts w:ascii="Garamond" w:hAnsi="Garamond"/>
          <w:sz w:val="22"/>
          <w:szCs w:val="22"/>
          <w:lang w:val="en-US"/>
        </w:rPr>
      </w:pPr>
      <w:r w:rsidRPr="00431AD6">
        <w:rPr>
          <w:rFonts w:ascii="Garamond" w:hAnsi="Garamond"/>
          <w:sz w:val="22"/>
          <w:szCs w:val="22"/>
          <w:lang w:val="en-US"/>
        </w:rPr>
        <w:t xml:space="preserve">                    &lt;podis:accountPointRole&gt;</w:t>
      </w:r>
    </w:p>
    <w:p w14:paraId="56835CB9" w14:textId="77777777" w:rsidR="00CE6209" w:rsidRPr="00431AD6" w:rsidRDefault="00CE6209" w:rsidP="00CE6209">
      <w:pPr>
        <w:spacing w:after="120"/>
        <w:ind w:left="567"/>
        <w:rPr>
          <w:rFonts w:ascii="Garamond" w:hAnsi="Garamond"/>
          <w:sz w:val="22"/>
          <w:szCs w:val="22"/>
          <w:lang w:val="en-US"/>
        </w:rPr>
      </w:pPr>
      <w:r w:rsidRPr="00431AD6">
        <w:rPr>
          <w:rFonts w:ascii="Garamond" w:hAnsi="Garamond"/>
          <w:sz w:val="22"/>
          <w:szCs w:val="22"/>
          <w:lang w:val="en-US"/>
        </w:rPr>
        <w:lastRenderedPageBreak/>
        <w:t xml:space="preserve">                        &lt;podis:endDevices&gt;</w:t>
      </w:r>
    </w:p>
    <w:p w14:paraId="0888F6CF" w14:textId="77777777" w:rsidR="00CE6209" w:rsidRPr="00431AD6" w:rsidRDefault="00CE6209" w:rsidP="00CE6209">
      <w:pPr>
        <w:spacing w:after="120"/>
        <w:ind w:left="567"/>
        <w:rPr>
          <w:rFonts w:ascii="Garamond" w:hAnsi="Garamond"/>
          <w:sz w:val="22"/>
          <w:szCs w:val="22"/>
          <w:lang w:val="en-US"/>
        </w:rPr>
      </w:pPr>
      <w:r w:rsidRPr="00431AD6">
        <w:rPr>
          <w:rFonts w:ascii="Garamond" w:hAnsi="Garamond"/>
          <w:sz w:val="22"/>
          <w:szCs w:val="22"/>
          <w:lang w:val="en-US"/>
        </w:rPr>
        <w:t xml:space="preserve">                            &lt;podis:meter&gt;</w:t>
      </w:r>
    </w:p>
    <w:p w14:paraId="09710F43" w14:textId="77777777" w:rsidR="00CE6209" w:rsidRPr="00431AD6" w:rsidRDefault="00CE6209" w:rsidP="00CE6209">
      <w:pPr>
        <w:spacing w:after="120"/>
        <w:ind w:left="567"/>
        <w:rPr>
          <w:rFonts w:ascii="Garamond" w:hAnsi="Garamond"/>
          <w:sz w:val="22"/>
          <w:szCs w:val="22"/>
          <w:lang w:val="en-US"/>
        </w:rPr>
      </w:pPr>
      <w:r w:rsidRPr="00431AD6">
        <w:rPr>
          <w:rFonts w:ascii="Garamond" w:hAnsi="Garamond"/>
          <w:sz w:val="22"/>
          <w:szCs w:val="22"/>
          <w:lang w:val="en-US"/>
        </w:rPr>
        <w:t xml:space="preserve">                                &lt;podis:measuring-device-code&gt;01&lt;/podis:measuring-device-code&gt;</w:t>
      </w:r>
    </w:p>
    <w:p w14:paraId="51632952" w14:textId="77777777" w:rsidR="00CE6209" w:rsidRPr="00431AD6" w:rsidRDefault="00CE6209" w:rsidP="00CE6209">
      <w:pPr>
        <w:spacing w:after="120"/>
        <w:ind w:left="567"/>
        <w:rPr>
          <w:rFonts w:ascii="Garamond" w:hAnsi="Garamond"/>
          <w:sz w:val="22"/>
          <w:szCs w:val="22"/>
          <w:lang w:val="en-US"/>
        </w:rPr>
      </w:pPr>
      <w:r w:rsidRPr="00431AD6">
        <w:rPr>
          <w:rFonts w:ascii="Garamond" w:hAnsi="Garamond"/>
          <w:sz w:val="22"/>
          <w:szCs w:val="22"/>
          <w:lang w:val="en-US"/>
        </w:rPr>
        <w:t xml:space="preserve">                                &lt;podis:lifeCycleDate&gt;</w:t>
      </w:r>
    </w:p>
    <w:p w14:paraId="64352087" w14:textId="77777777" w:rsidR="00CE6209" w:rsidRPr="00431AD6" w:rsidRDefault="00CE6209" w:rsidP="00CE6209">
      <w:pPr>
        <w:spacing w:after="120"/>
        <w:ind w:left="567"/>
        <w:rPr>
          <w:rFonts w:ascii="Garamond" w:hAnsi="Garamond"/>
          <w:sz w:val="22"/>
          <w:szCs w:val="22"/>
          <w:lang w:val="en-US"/>
        </w:rPr>
      </w:pPr>
      <w:r w:rsidRPr="00431AD6">
        <w:rPr>
          <w:rFonts w:ascii="Garamond" w:hAnsi="Garamond"/>
          <w:sz w:val="22"/>
          <w:szCs w:val="22"/>
          <w:lang w:val="en-US"/>
        </w:rPr>
        <w:t xml:space="preserve">                                    &lt;podis:nextDateValid&gt;2023-12-27&lt;/podis:nextDateValid&gt;</w:t>
      </w:r>
    </w:p>
    <w:p w14:paraId="652DD0E7" w14:textId="77777777" w:rsidR="00CE6209" w:rsidRPr="00431AD6" w:rsidRDefault="00CE6209" w:rsidP="00CE6209">
      <w:pPr>
        <w:spacing w:after="120"/>
        <w:ind w:left="567"/>
        <w:rPr>
          <w:rFonts w:ascii="Garamond" w:hAnsi="Garamond"/>
          <w:sz w:val="22"/>
          <w:szCs w:val="22"/>
          <w:lang w:val="en-US"/>
        </w:rPr>
      </w:pPr>
      <w:r w:rsidRPr="00431AD6">
        <w:rPr>
          <w:rFonts w:ascii="Garamond" w:hAnsi="Garamond"/>
          <w:sz w:val="22"/>
          <w:szCs w:val="22"/>
          <w:lang w:val="en-US"/>
        </w:rPr>
        <w:t xml:space="preserve">                                &lt;/podis:lifeCycleDate&gt;</w:t>
      </w:r>
    </w:p>
    <w:p w14:paraId="29B42368" w14:textId="77777777" w:rsidR="00CE6209" w:rsidRPr="00431AD6" w:rsidRDefault="00CE6209" w:rsidP="00CE6209">
      <w:pPr>
        <w:spacing w:after="120"/>
        <w:ind w:left="567"/>
        <w:rPr>
          <w:rFonts w:ascii="Garamond" w:hAnsi="Garamond"/>
          <w:sz w:val="22"/>
          <w:szCs w:val="22"/>
          <w:lang w:val="en-US"/>
        </w:rPr>
      </w:pPr>
      <w:r w:rsidRPr="00431AD6">
        <w:rPr>
          <w:rFonts w:ascii="Garamond" w:hAnsi="Garamond"/>
          <w:sz w:val="22"/>
          <w:szCs w:val="22"/>
          <w:lang w:val="en-US"/>
        </w:rPr>
        <w:t xml:space="preserve">                                &lt;podis:serialNumber&gt;01345001&lt;/podis:serialNumber&gt;</w:t>
      </w:r>
    </w:p>
    <w:p w14:paraId="7EBF1F6C" w14:textId="77777777" w:rsidR="00CE6209" w:rsidRPr="00431AD6" w:rsidRDefault="00CE6209" w:rsidP="00CE6209">
      <w:pPr>
        <w:spacing w:after="120"/>
        <w:ind w:left="567"/>
        <w:rPr>
          <w:rFonts w:ascii="Garamond" w:hAnsi="Garamond"/>
          <w:sz w:val="22"/>
          <w:szCs w:val="22"/>
          <w:lang w:val="en-US"/>
        </w:rPr>
      </w:pPr>
      <w:r w:rsidRPr="00431AD6">
        <w:rPr>
          <w:rFonts w:ascii="Garamond" w:hAnsi="Garamond"/>
          <w:sz w:val="22"/>
          <w:szCs w:val="22"/>
          <w:lang w:val="en-US"/>
        </w:rPr>
        <w:t xml:space="preserve">                                &lt;podis:n-active-channels&gt;2&lt;/podis:n-active-channels&gt;</w:t>
      </w:r>
    </w:p>
    <w:p w14:paraId="05257FDA" w14:textId="77777777" w:rsidR="00CE6209" w:rsidRPr="00431AD6" w:rsidRDefault="00CE6209" w:rsidP="00CE6209">
      <w:pPr>
        <w:spacing w:after="120"/>
        <w:ind w:left="567"/>
        <w:rPr>
          <w:rFonts w:ascii="Garamond" w:hAnsi="Garamond"/>
          <w:sz w:val="22"/>
          <w:szCs w:val="22"/>
          <w:lang w:val="en-US"/>
        </w:rPr>
      </w:pPr>
      <w:r w:rsidRPr="00431AD6">
        <w:rPr>
          <w:rFonts w:ascii="Garamond" w:hAnsi="Garamond"/>
          <w:sz w:val="22"/>
          <w:szCs w:val="22"/>
          <w:lang w:val="en-US"/>
        </w:rPr>
        <w:tab/>
        <w:t xml:space="preserve">                    &lt;podis:n-reactive-channels&gt;2&lt;/podis:n-reactive-channels&gt;</w:t>
      </w:r>
    </w:p>
    <w:p w14:paraId="0AA68D5D" w14:textId="77777777" w:rsidR="00CE6209" w:rsidRPr="00431AD6" w:rsidRDefault="00CE6209" w:rsidP="00CE6209">
      <w:pPr>
        <w:spacing w:after="120"/>
        <w:ind w:left="567"/>
        <w:rPr>
          <w:rFonts w:ascii="Garamond" w:hAnsi="Garamond"/>
          <w:sz w:val="22"/>
          <w:szCs w:val="22"/>
          <w:lang w:val="en-US"/>
        </w:rPr>
      </w:pPr>
      <w:r w:rsidRPr="00431AD6">
        <w:rPr>
          <w:rFonts w:ascii="Garamond" w:hAnsi="Garamond"/>
          <w:sz w:val="22"/>
          <w:szCs w:val="22"/>
          <w:lang w:val="en-US"/>
        </w:rPr>
        <w:t xml:space="preserve">                                &lt;podis:meterInfoLink&gt;</w:t>
      </w:r>
    </w:p>
    <w:p w14:paraId="3289E0FC" w14:textId="77777777" w:rsidR="00CE6209" w:rsidRPr="00431AD6" w:rsidRDefault="00CE6209" w:rsidP="00CE6209">
      <w:pPr>
        <w:spacing w:after="120"/>
        <w:ind w:left="567"/>
        <w:rPr>
          <w:rFonts w:ascii="Garamond" w:hAnsi="Garamond"/>
          <w:sz w:val="22"/>
          <w:szCs w:val="22"/>
          <w:lang w:val="en-US"/>
        </w:rPr>
      </w:pPr>
      <w:r w:rsidRPr="00431AD6">
        <w:rPr>
          <w:rFonts w:ascii="Garamond" w:hAnsi="Garamond"/>
          <w:sz w:val="22"/>
          <w:szCs w:val="22"/>
          <w:lang w:val="en-US"/>
        </w:rPr>
        <w:t xml:space="preserve">                                    &lt;podis:measuring-tool-code&gt;559A7B5B54F30471E0530A01490A6E4F&lt;/podis:measuring-tool-code&gt;</w:t>
      </w:r>
    </w:p>
    <w:p w14:paraId="6E88DFDD" w14:textId="77777777" w:rsidR="00CE6209" w:rsidRPr="00431AD6" w:rsidRDefault="00CE6209" w:rsidP="00CE6209">
      <w:pPr>
        <w:spacing w:after="120"/>
        <w:ind w:left="567"/>
        <w:rPr>
          <w:rFonts w:ascii="Garamond" w:hAnsi="Garamond"/>
          <w:sz w:val="22"/>
          <w:szCs w:val="22"/>
          <w:lang w:val="en-US"/>
        </w:rPr>
      </w:pPr>
      <w:r w:rsidRPr="00431AD6">
        <w:rPr>
          <w:rFonts w:ascii="Garamond" w:hAnsi="Garamond"/>
          <w:sz w:val="22"/>
          <w:szCs w:val="22"/>
          <w:lang w:val="en-US"/>
        </w:rPr>
        <w:t xml:space="preserve">                                    &lt;podis:modelNumber&gt;A1805RAL-P4GE-DW-4&lt;/podis:modelNumber&gt;</w:t>
      </w:r>
    </w:p>
    <w:p w14:paraId="14010398" w14:textId="77777777" w:rsidR="00CE6209" w:rsidRPr="00431AD6" w:rsidRDefault="00CE6209" w:rsidP="00CE6209">
      <w:pPr>
        <w:spacing w:after="120"/>
        <w:ind w:left="567"/>
        <w:rPr>
          <w:rFonts w:ascii="Garamond" w:hAnsi="Garamond"/>
          <w:sz w:val="22"/>
          <w:szCs w:val="22"/>
          <w:lang w:val="en-US"/>
        </w:rPr>
      </w:pPr>
      <w:r w:rsidRPr="00431AD6">
        <w:rPr>
          <w:rFonts w:ascii="Garamond" w:hAnsi="Garamond"/>
          <w:sz w:val="22"/>
          <w:szCs w:val="22"/>
          <w:lang w:val="en-US"/>
        </w:rPr>
        <w:t xml:space="preserve">                                    &lt;podis:accuracyClass&gt;0.5S&lt;/podis:accuracyClass&gt;</w:t>
      </w:r>
    </w:p>
    <w:p w14:paraId="05F39DB0" w14:textId="77777777" w:rsidR="00CE6209" w:rsidRPr="00431AD6" w:rsidRDefault="00CE6209" w:rsidP="00CE6209">
      <w:pPr>
        <w:spacing w:after="120"/>
        <w:ind w:left="567"/>
        <w:rPr>
          <w:rFonts w:ascii="Garamond" w:hAnsi="Garamond"/>
          <w:sz w:val="22"/>
          <w:szCs w:val="22"/>
          <w:lang w:val="en-US"/>
        </w:rPr>
      </w:pPr>
      <w:r w:rsidRPr="00431AD6">
        <w:rPr>
          <w:rFonts w:ascii="Garamond" w:hAnsi="Garamond"/>
          <w:sz w:val="22"/>
          <w:szCs w:val="22"/>
          <w:lang w:val="en-US"/>
        </w:rPr>
        <w:t xml:space="preserve">                                    &lt;podis:accuracyClassR&gt;1.0&lt;/podis:accuracyClassR&gt;</w:t>
      </w:r>
    </w:p>
    <w:p w14:paraId="6DF516A4" w14:textId="77777777" w:rsidR="00CE6209" w:rsidRPr="00431AD6" w:rsidRDefault="00CE6209" w:rsidP="00CE6209">
      <w:pPr>
        <w:spacing w:after="120"/>
        <w:ind w:left="567"/>
        <w:rPr>
          <w:rFonts w:ascii="Garamond" w:hAnsi="Garamond"/>
          <w:sz w:val="22"/>
          <w:szCs w:val="22"/>
          <w:lang w:val="en-US"/>
        </w:rPr>
      </w:pPr>
      <w:r w:rsidRPr="00431AD6">
        <w:rPr>
          <w:rFonts w:ascii="Garamond" w:hAnsi="Garamond"/>
          <w:sz w:val="22"/>
          <w:szCs w:val="22"/>
          <w:lang w:val="en-US"/>
        </w:rPr>
        <w:t xml:space="preserve">                                    &lt;podis:regNumber&gt;31857-06&lt;/podis:regNumber&gt;</w:t>
      </w:r>
    </w:p>
    <w:p w14:paraId="6E728A23" w14:textId="77777777" w:rsidR="00CE6209" w:rsidRPr="00431AD6" w:rsidRDefault="00CE6209" w:rsidP="00CE6209">
      <w:pPr>
        <w:spacing w:after="120"/>
        <w:ind w:left="567"/>
        <w:rPr>
          <w:rFonts w:ascii="Garamond" w:hAnsi="Garamond"/>
          <w:sz w:val="22"/>
          <w:szCs w:val="22"/>
          <w:lang w:val="en-US"/>
        </w:rPr>
      </w:pPr>
      <w:r w:rsidRPr="00431AD6">
        <w:rPr>
          <w:rFonts w:ascii="Garamond" w:hAnsi="Garamond"/>
          <w:sz w:val="22"/>
          <w:szCs w:val="22"/>
          <w:lang w:val="en-US"/>
        </w:rPr>
        <w:t xml:space="preserve">                                &lt;/podis:meterInfoLink&gt;</w:t>
      </w:r>
    </w:p>
    <w:p w14:paraId="3B2A4498" w14:textId="77777777" w:rsidR="00CE6209" w:rsidRPr="00431AD6" w:rsidRDefault="00CE6209" w:rsidP="00CE6209">
      <w:pPr>
        <w:spacing w:after="120"/>
        <w:ind w:left="567"/>
        <w:rPr>
          <w:rFonts w:ascii="Garamond" w:hAnsi="Garamond"/>
          <w:sz w:val="22"/>
          <w:szCs w:val="22"/>
          <w:lang w:val="en-US"/>
        </w:rPr>
      </w:pPr>
      <w:r w:rsidRPr="00431AD6">
        <w:rPr>
          <w:rFonts w:ascii="Garamond" w:hAnsi="Garamond"/>
          <w:sz w:val="22"/>
          <w:szCs w:val="22"/>
          <w:lang w:val="en-US"/>
        </w:rPr>
        <w:t xml:space="preserve">                            &lt;/podis:meter&gt;</w:t>
      </w:r>
    </w:p>
    <w:p w14:paraId="5F965A00" w14:textId="77777777" w:rsidR="00CE6209" w:rsidRPr="00431AD6" w:rsidRDefault="00CE6209" w:rsidP="00CE6209">
      <w:pPr>
        <w:spacing w:after="120"/>
        <w:ind w:left="567"/>
        <w:rPr>
          <w:rFonts w:ascii="Garamond" w:hAnsi="Garamond"/>
          <w:sz w:val="22"/>
          <w:szCs w:val="22"/>
          <w:lang w:val="en-US"/>
        </w:rPr>
      </w:pPr>
      <w:r w:rsidRPr="00431AD6">
        <w:rPr>
          <w:rFonts w:ascii="Garamond" w:hAnsi="Garamond"/>
          <w:sz w:val="22"/>
          <w:szCs w:val="22"/>
          <w:lang w:val="en-US"/>
        </w:rPr>
        <w:t xml:space="preserve">                            &lt;podis:rtu&gt;</w:t>
      </w:r>
    </w:p>
    <w:p w14:paraId="2607A996" w14:textId="77777777" w:rsidR="00CE6209" w:rsidRPr="00431AD6" w:rsidRDefault="00CE6209" w:rsidP="00CE6209">
      <w:pPr>
        <w:spacing w:after="120"/>
        <w:ind w:left="567"/>
        <w:rPr>
          <w:rFonts w:ascii="Garamond" w:hAnsi="Garamond"/>
          <w:sz w:val="22"/>
          <w:szCs w:val="22"/>
          <w:lang w:val="en-US"/>
        </w:rPr>
      </w:pPr>
      <w:r w:rsidRPr="00431AD6">
        <w:rPr>
          <w:rFonts w:ascii="Garamond" w:hAnsi="Garamond"/>
          <w:sz w:val="22"/>
          <w:szCs w:val="22"/>
          <w:lang w:val="en-US"/>
        </w:rPr>
        <w:t xml:space="preserve">                                &lt;podis:lifeCycleDate&gt;</w:t>
      </w:r>
    </w:p>
    <w:p w14:paraId="0F01B570" w14:textId="77777777" w:rsidR="00CE6209" w:rsidRPr="00431AD6" w:rsidRDefault="00CE6209" w:rsidP="00CE6209">
      <w:pPr>
        <w:spacing w:after="120"/>
        <w:ind w:left="567"/>
        <w:rPr>
          <w:rFonts w:ascii="Garamond" w:hAnsi="Garamond"/>
          <w:sz w:val="22"/>
          <w:szCs w:val="22"/>
          <w:lang w:val="en-US"/>
        </w:rPr>
      </w:pPr>
      <w:r w:rsidRPr="00431AD6">
        <w:rPr>
          <w:rFonts w:ascii="Garamond" w:hAnsi="Garamond"/>
          <w:sz w:val="22"/>
          <w:szCs w:val="22"/>
          <w:lang w:val="en-US"/>
        </w:rPr>
        <w:t xml:space="preserve">                                    &lt;podis:nextDateValid&gt;2024-02-20&lt;/podis:nextDateValid&gt;</w:t>
      </w:r>
    </w:p>
    <w:p w14:paraId="4F9A4A46" w14:textId="77777777" w:rsidR="00CE6209" w:rsidRPr="00431AD6" w:rsidRDefault="00CE6209" w:rsidP="00CE6209">
      <w:pPr>
        <w:spacing w:after="120"/>
        <w:ind w:left="567"/>
        <w:rPr>
          <w:rFonts w:ascii="Garamond" w:hAnsi="Garamond"/>
          <w:sz w:val="22"/>
          <w:szCs w:val="22"/>
          <w:lang w:val="en-US"/>
        </w:rPr>
      </w:pPr>
      <w:r w:rsidRPr="00431AD6">
        <w:rPr>
          <w:rFonts w:ascii="Garamond" w:hAnsi="Garamond"/>
          <w:sz w:val="22"/>
          <w:szCs w:val="22"/>
          <w:lang w:val="en-US"/>
        </w:rPr>
        <w:t xml:space="preserve">                                &lt;/podis:lifeCycleDate&gt;</w:t>
      </w:r>
    </w:p>
    <w:p w14:paraId="6D204F4C" w14:textId="77777777" w:rsidR="00CE6209" w:rsidRPr="00431AD6" w:rsidRDefault="00CE6209" w:rsidP="00CE6209">
      <w:pPr>
        <w:spacing w:after="120"/>
        <w:ind w:left="567"/>
        <w:rPr>
          <w:rFonts w:ascii="Garamond" w:hAnsi="Garamond"/>
          <w:sz w:val="22"/>
          <w:szCs w:val="22"/>
          <w:lang w:val="en-US"/>
        </w:rPr>
      </w:pPr>
      <w:r w:rsidRPr="00431AD6">
        <w:rPr>
          <w:rFonts w:ascii="Garamond" w:hAnsi="Garamond"/>
          <w:sz w:val="22"/>
          <w:szCs w:val="22"/>
          <w:lang w:val="en-US"/>
        </w:rPr>
        <w:t xml:space="preserve">                                &lt;podis:serialNumber&gt;000778&lt;/podis:serialNumber&gt;</w:t>
      </w:r>
    </w:p>
    <w:p w14:paraId="0B8EF7B8" w14:textId="77777777" w:rsidR="00CE6209" w:rsidRPr="00431AD6" w:rsidRDefault="00CE6209" w:rsidP="00CE6209">
      <w:pPr>
        <w:spacing w:after="120"/>
        <w:ind w:left="567"/>
        <w:rPr>
          <w:rFonts w:ascii="Garamond" w:hAnsi="Garamond"/>
          <w:sz w:val="22"/>
          <w:szCs w:val="22"/>
          <w:lang w:val="en-US"/>
        </w:rPr>
      </w:pPr>
      <w:r w:rsidRPr="00431AD6">
        <w:rPr>
          <w:rFonts w:ascii="Garamond" w:hAnsi="Garamond"/>
          <w:sz w:val="22"/>
          <w:szCs w:val="22"/>
          <w:lang w:val="en-US"/>
        </w:rPr>
        <w:t xml:space="preserve">                                &lt;podis:rtuInfoLink&gt;</w:t>
      </w:r>
    </w:p>
    <w:p w14:paraId="06C210E9" w14:textId="77777777" w:rsidR="00CE6209" w:rsidRPr="00431AD6" w:rsidRDefault="00CE6209" w:rsidP="00CE6209">
      <w:pPr>
        <w:spacing w:after="120"/>
        <w:ind w:left="567"/>
        <w:rPr>
          <w:rFonts w:ascii="Garamond" w:hAnsi="Garamond"/>
          <w:sz w:val="22"/>
          <w:szCs w:val="22"/>
          <w:lang w:val="en-US"/>
        </w:rPr>
      </w:pPr>
      <w:r w:rsidRPr="00431AD6">
        <w:rPr>
          <w:rFonts w:ascii="Garamond" w:hAnsi="Garamond"/>
          <w:sz w:val="22"/>
          <w:szCs w:val="22"/>
          <w:lang w:val="en-US"/>
        </w:rPr>
        <w:t xml:space="preserve">                                    &lt;podis:measuring-tool-code&gt;119A7B5B54F30471E0530A01490A6E4F&lt;/podis:measuring-tool-code&gt;</w:t>
      </w:r>
    </w:p>
    <w:p w14:paraId="5E0F5D8F" w14:textId="77777777" w:rsidR="00CE6209" w:rsidRPr="00431AD6" w:rsidRDefault="00CE6209" w:rsidP="00CE6209">
      <w:pPr>
        <w:spacing w:after="120"/>
        <w:ind w:left="567"/>
        <w:rPr>
          <w:rFonts w:ascii="Garamond" w:hAnsi="Garamond"/>
          <w:sz w:val="22"/>
          <w:szCs w:val="22"/>
          <w:lang w:val="en-US"/>
        </w:rPr>
      </w:pPr>
      <w:r w:rsidRPr="00431AD6">
        <w:rPr>
          <w:rFonts w:ascii="Garamond" w:hAnsi="Garamond"/>
          <w:sz w:val="22"/>
          <w:szCs w:val="22"/>
          <w:lang w:val="en-US"/>
        </w:rPr>
        <w:t xml:space="preserve">                                    &lt;podis:modelNumber&gt;RTU-325H&lt;/podis:modelNumber&gt;</w:t>
      </w:r>
    </w:p>
    <w:p w14:paraId="0E852985" w14:textId="77777777" w:rsidR="00CE6209" w:rsidRPr="00431AD6" w:rsidRDefault="00CE6209" w:rsidP="00CE6209">
      <w:pPr>
        <w:spacing w:after="120"/>
        <w:ind w:left="567"/>
        <w:rPr>
          <w:rFonts w:ascii="Garamond" w:hAnsi="Garamond"/>
          <w:sz w:val="22"/>
          <w:szCs w:val="22"/>
          <w:lang w:val="en-US"/>
        </w:rPr>
      </w:pPr>
      <w:r w:rsidRPr="00431AD6">
        <w:rPr>
          <w:rFonts w:ascii="Garamond" w:hAnsi="Garamond"/>
          <w:sz w:val="22"/>
          <w:szCs w:val="22"/>
          <w:lang w:val="en-US"/>
        </w:rPr>
        <w:t xml:space="preserve">                                    &lt;podis:regNumber&gt;44626-10&lt;/podis:regNumber&gt;</w:t>
      </w:r>
    </w:p>
    <w:p w14:paraId="25967C61" w14:textId="77777777" w:rsidR="00CE6209" w:rsidRPr="00431AD6" w:rsidRDefault="00CE6209" w:rsidP="00CE6209">
      <w:pPr>
        <w:spacing w:after="120"/>
        <w:ind w:left="567"/>
        <w:rPr>
          <w:rFonts w:ascii="Garamond" w:hAnsi="Garamond"/>
          <w:sz w:val="22"/>
          <w:szCs w:val="22"/>
          <w:lang w:val="en-US"/>
        </w:rPr>
      </w:pPr>
      <w:r w:rsidRPr="00431AD6">
        <w:rPr>
          <w:rFonts w:ascii="Garamond" w:hAnsi="Garamond"/>
          <w:sz w:val="22"/>
          <w:szCs w:val="22"/>
          <w:lang w:val="en-US"/>
        </w:rPr>
        <w:t xml:space="preserve">                                &lt;/podis:rtuInfoLink&gt;</w:t>
      </w:r>
    </w:p>
    <w:p w14:paraId="192E5D66" w14:textId="77777777" w:rsidR="00CE6209" w:rsidRPr="00431AD6" w:rsidRDefault="00CE6209" w:rsidP="00CE6209">
      <w:pPr>
        <w:spacing w:after="120"/>
        <w:ind w:left="567"/>
        <w:rPr>
          <w:rFonts w:ascii="Garamond" w:hAnsi="Garamond"/>
          <w:sz w:val="22"/>
          <w:szCs w:val="22"/>
          <w:lang w:val="en-US"/>
        </w:rPr>
      </w:pPr>
      <w:r w:rsidRPr="00431AD6">
        <w:rPr>
          <w:rFonts w:ascii="Garamond" w:hAnsi="Garamond"/>
          <w:sz w:val="22"/>
          <w:szCs w:val="22"/>
          <w:lang w:val="en-US"/>
        </w:rPr>
        <w:t xml:space="preserve">                            &lt;/podis:rtu&gt;</w:t>
      </w:r>
    </w:p>
    <w:p w14:paraId="22C1C276" w14:textId="77777777" w:rsidR="00CE6209" w:rsidRPr="00431AD6" w:rsidRDefault="00CE6209" w:rsidP="00CE6209">
      <w:pPr>
        <w:spacing w:after="120"/>
        <w:ind w:left="567"/>
        <w:rPr>
          <w:rFonts w:ascii="Garamond" w:hAnsi="Garamond"/>
          <w:sz w:val="22"/>
          <w:szCs w:val="22"/>
          <w:lang w:val="en-US"/>
        </w:rPr>
      </w:pPr>
      <w:r w:rsidRPr="00431AD6">
        <w:rPr>
          <w:rFonts w:ascii="Garamond" w:hAnsi="Garamond"/>
          <w:sz w:val="22"/>
          <w:szCs w:val="22"/>
          <w:lang w:val="en-US"/>
        </w:rPr>
        <w:t xml:space="preserve">                        &lt;/podis:endDevices&gt;</w:t>
      </w:r>
    </w:p>
    <w:p w14:paraId="7E4DE961" w14:textId="77777777" w:rsidR="00CE6209" w:rsidRPr="00431AD6" w:rsidRDefault="00CE6209" w:rsidP="00CE6209">
      <w:pPr>
        <w:spacing w:after="120"/>
        <w:ind w:left="567"/>
        <w:rPr>
          <w:rFonts w:ascii="Garamond" w:hAnsi="Garamond"/>
          <w:sz w:val="22"/>
          <w:szCs w:val="22"/>
          <w:lang w:val="en-US"/>
        </w:rPr>
      </w:pPr>
      <w:r w:rsidRPr="00431AD6">
        <w:rPr>
          <w:rFonts w:ascii="Garamond" w:hAnsi="Garamond"/>
          <w:sz w:val="22"/>
          <w:szCs w:val="22"/>
          <w:lang w:val="en-US"/>
        </w:rPr>
        <w:t xml:space="preserve">                        &lt;podis:equipments&gt;</w:t>
      </w:r>
    </w:p>
    <w:p w14:paraId="0DFF1724" w14:textId="77777777" w:rsidR="00CE6209" w:rsidRPr="00431AD6" w:rsidRDefault="00CE6209" w:rsidP="00CE6209">
      <w:pPr>
        <w:spacing w:after="120"/>
        <w:ind w:left="567"/>
        <w:rPr>
          <w:rFonts w:ascii="Garamond" w:hAnsi="Garamond"/>
          <w:sz w:val="22"/>
          <w:szCs w:val="22"/>
          <w:lang w:val="en-US"/>
        </w:rPr>
      </w:pPr>
      <w:r w:rsidRPr="00431AD6">
        <w:rPr>
          <w:rFonts w:ascii="Garamond" w:hAnsi="Garamond"/>
          <w:sz w:val="22"/>
          <w:szCs w:val="22"/>
          <w:lang w:val="en-US"/>
        </w:rPr>
        <w:t xml:space="preserve">                            &lt;podis:currentTransformer&gt;</w:t>
      </w:r>
    </w:p>
    <w:p w14:paraId="0E277EF2" w14:textId="77777777" w:rsidR="00CE6209" w:rsidRPr="00431AD6" w:rsidRDefault="00CE6209" w:rsidP="00CE6209">
      <w:pPr>
        <w:spacing w:after="120"/>
        <w:ind w:left="567"/>
        <w:rPr>
          <w:rFonts w:ascii="Garamond" w:hAnsi="Garamond"/>
          <w:sz w:val="22"/>
          <w:szCs w:val="22"/>
          <w:lang w:val="en-US"/>
        </w:rPr>
      </w:pPr>
      <w:r w:rsidRPr="00431AD6">
        <w:rPr>
          <w:rFonts w:ascii="Garamond" w:hAnsi="Garamond"/>
          <w:sz w:val="22"/>
          <w:szCs w:val="22"/>
          <w:lang w:val="en-US"/>
        </w:rPr>
        <w:t xml:space="preserve">                                &lt;podis:serialNumber&gt;21-38518&lt;/podis:serialNumber&gt;</w:t>
      </w:r>
    </w:p>
    <w:p w14:paraId="1C3DCC9A" w14:textId="77777777" w:rsidR="00CE6209" w:rsidRPr="00431AD6" w:rsidRDefault="00CE6209" w:rsidP="00CE6209">
      <w:pPr>
        <w:spacing w:after="120"/>
        <w:ind w:left="567"/>
        <w:rPr>
          <w:rFonts w:ascii="Garamond" w:hAnsi="Garamond"/>
          <w:sz w:val="22"/>
          <w:szCs w:val="22"/>
          <w:lang w:val="en-US"/>
        </w:rPr>
      </w:pPr>
      <w:r w:rsidRPr="00431AD6">
        <w:rPr>
          <w:rFonts w:ascii="Garamond" w:hAnsi="Garamond"/>
          <w:sz w:val="22"/>
          <w:szCs w:val="22"/>
          <w:lang w:val="en-US"/>
        </w:rPr>
        <w:t xml:space="preserve">                                &lt;podis:customAttributes&gt;</w:t>
      </w:r>
    </w:p>
    <w:p w14:paraId="09DEFCC0" w14:textId="77777777" w:rsidR="00CE6209" w:rsidRPr="00431AD6" w:rsidRDefault="00CE6209" w:rsidP="00CE6209">
      <w:pPr>
        <w:spacing w:after="120"/>
        <w:ind w:left="567"/>
        <w:rPr>
          <w:rFonts w:ascii="Garamond" w:hAnsi="Garamond"/>
          <w:sz w:val="22"/>
          <w:szCs w:val="22"/>
          <w:lang w:val="en-US"/>
        </w:rPr>
      </w:pPr>
      <w:r w:rsidRPr="00431AD6">
        <w:rPr>
          <w:rFonts w:ascii="Garamond" w:hAnsi="Garamond"/>
          <w:sz w:val="22"/>
          <w:szCs w:val="22"/>
          <w:lang w:val="en-US"/>
        </w:rPr>
        <w:t xml:space="preserve">                                    &lt;podis:name&gt;assetOwnerKind&lt;/podis:name&gt;</w:t>
      </w:r>
    </w:p>
    <w:p w14:paraId="4A930C32" w14:textId="77777777" w:rsidR="00CE6209" w:rsidRPr="00431AD6" w:rsidRDefault="00CE6209" w:rsidP="00CE6209">
      <w:pPr>
        <w:spacing w:after="120"/>
        <w:ind w:left="567"/>
        <w:rPr>
          <w:rFonts w:ascii="Garamond" w:hAnsi="Garamond"/>
          <w:sz w:val="22"/>
          <w:szCs w:val="22"/>
          <w:lang w:val="en-US"/>
        </w:rPr>
      </w:pPr>
      <w:r w:rsidRPr="00431AD6">
        <w:rPr>
          <w:rFonts w:ascii="Garamond" w:hAnsi="Garamond"/>
          <w:sz w:val="22"/>
          <w:szCs w:val="22"/>
          <w:lang w:val="en-US"/>
        </w:rPr>
        <w:t xml:space="preserve">                                    &lt;podis:value&gt;other&lt;/podis:value&gt;</w:t>
      </w:r>
    </w:p>
    <w:p w14:paraId="0647A7B8" w14:textId="77777777" w:rsidR="00CE6209" w:rsidRPr="00431AD6" w:rsidRDefault="00CE6209" w:rsidP="00CE6209">
      <w:pPr>
        <w:spacing w:after="120"/>
        <w:ind w:left="567"/>
        <w:rPr>
          <w:rFonts w:ascii="Garamond" w:hAnsi="Garamond"/>
          <w:sz w:val="22"/>
          <w:szCs w:val="22"/>
          <w:lang w:val="en-US"/>
        </w:rPr>
      </w:pPr>
      <w:r w:rsidRPr="00431AD6">
        <w:rPr>
          <w:rFonts w:ascii="Garamond" w:hAnsi="Garamond"/>
          <w:sz w:val="22"/>
          <w:szCs w:val="22"/>
          <w:lang w:val="en-US"/>
        </w:rPr>
        <w:t xml:space="preserve">                                &lt;/podis:customAttributes&gt;</w:t>
      </w:r>
    </w:p>
    <w:p w14:paraId="05F9F140" w14:textId="77777777" w:rsidR="00CE6209" w:rsidRPr="00431AD6" w:rsidRDefault="00CE6209" w:rsidP="00CE6209">
      <w:pPr>
        <w:spacing w:after="120"/>
        <w:ind w:left="567"/>
        <w:rPr>
          <w:rFonts w:ascii="Garamond" w:hAnsi="Garamond"/>
          <w:sz w:val="22"/>
          <w:szCs w:val="22"/>
          <w:lang w:val="en-US"/>
        </w:rPr>
      </w:pPr>
      <w:r w:rsidRPr="00431AD6">
        <w:rPr>
          <w:rFonts w:ascii="Garamond" w:hAnsi="Garamond"/>
          <w:sz w:val="22"/>
          <w:szCs w:val="22"/>
          <w:lang w:val="en-US"/>
        </w:rPr>
        <w:t xml:space="preserve">                                &lt;podis:lifeCycleDate&gt;</w:t>
      </w:r>
    </w:p>
    <w:p w14:paraId="60A8C897" w14:textId="77777777" w:rsidR="00CE6209" w:rsidRPr="00431AD6" w:rsidRDefault="00CE6209" w:rsidP="00CE6209">
      <w:pPr>
        <w:spacing w:after="120"/>
        <w:ind w:left="567"/>
        <w:rPr>
          <w:rFonts w:ascii="Garamond" w:hAnsi="Garamond"/>
          <w:sz w:val="22"/>
          <w:szCs w:val="22"/>
          <w:lang w:val="en-US"/>
        </w:rPr>
      </w:pPr>
      <w:r w:rsidRPr="00431AD6">
        <w:rPr>
          <w:rFonts w:ascii="Garamond" w:hAnsi="Garamond"/>
          <w:sz w:val="22"/>
          <w:szCs w:val="22"/>
          <w:lang w:val="en-US"/>
        </w:rPr>
        <w:t xml:space="preserve">                                    &lt;podis:nextDateValid&gt;2026-02-14&lt;/podis:nextDateValid&gt;</w:t>
      </w:r>
    </w:p>
    <w:p w14:paraId="4624265E" w14:textId="77777777" w:rsidR="00CE6209" w:rsidRPr="00431AD6" w:rsidRDefault="00CE6209" w:rsidP="00CE6209">
      <w:pPr>
        <w:spacing w:after="120"/>
        <w:ind w:left="567"/>
        <w:rPr>
          <w:rFonts w:ascii="Garamond" w:hAnsi="Garamond"/>
          <w:sz w:val="22"/>
          <w:szCs w:val="22"/>
          <w:lang w:val="en-US"/>
        </w:rPr>
      </w:pPr>
      <w:r w:rsidRPr="00431AD6">
        <w:rPr>
          <w:rFonts w:ascii="Garamond" w:hAnsi="Garamond"/>
          <w:sz w:val="22"/>
          <w:szCs w:val="22"/>
          <w:lang w:val="en-US"/>
        </w:rPr>
        <w:lastRenderedPageBreak/>
        <w:t xml:space="preserve">                                &lt;/podis:lifeCycleDate&gt;</w:t>
      </w:r>
    </w:p>
    <w:p w14:paraId="73E0B1FF" w14:textId="77777777" w:rsidR="00CE6209" w:rsidRPr="00431AD6" w:rsidRDefault="00CE6209" w:rsidP="00CE6209">
      <w:pPr>
        <w:spacing w:after="120"/>
        <w:ind w:left="567"/>
        <w:rPr>
          <w:rFonts w:ascii="Garamond" w:hAnsi="Garamond"/>
          <w:sz w:val="22"/>
          <w:szCs w:val="22"/>
          <w:lang w:val="en-US"/>
        </w:rPr>
      </w:pPr>
      <w:r w:rsidRPr="00431AD6">
        <w:rPr>
          <w:rFonts w:ascii="Garamond" w:hAnsi="Garamond"/>
          <w:sz w:val="22"/>
          <w:szCs w:val="22"/>
          <w:lang w:val="en-US"/>
        </w:rPr>
        <w:t xml:space="preserve">                                &lt;podis:currentTransformerInfo&gt;</w:t>
      </w:r>
    </w:p>
    <w:p w14:paraId="0E197947" w14:textId="77777777" w:rsidR="00CE6209" w:rsidRPr="00431AD6" w:rsidRDefault="00CE6209" w:rsidP="00CE6209">
      <w:pPr>
        <w:spacing w:after="120"/>
        <w:ind w:left="567"/>
        <w:rPr>
          <w:rFonts w:ascii="Garamond" w:hAnsi="Garamond"/>
          <w:sz w:val="22"/>
          <w:szCs w:val="22"/>
          <w:lang w:val="en-US"/>
        </w:rPr>
      </w:pPr>
      <w:r w:rsidRPr="00431AD6">
        <w:rPr>
          <w:rFonts w:ascii="Garamond" w:hAnsi="Garamond"/>
          <w:sz w:val="22"/>
          <w:szCs w:val="22"/>
          <w:lang w:val="en-US"/>
        </w:rPr>
        <w:t xml:space="preserve">                                    &lt;podis:measuring-tool-code&gt;11117B5B54F30471E0530A01490A6E4F&lt;/podis:measuring-tool-code&gt;</w:t>
      </w:r>
    </w:p>
    <w:p w14:paraId="024E532B" w14:textId="77777777" w:rsidR="00CE6209" w:rsidRPr="00431AD6" w:rsidRDefault="00CE6209" w:rsidP="00CE6209">
      <w:pPr>
        <w:spacing w:after="120"/>
        <w:ind w:left="567"/>
        <w:rPr>
          <w:rFonts w:ascii="Garamond" w:hAnsi="Garamond"/>
          <w:sz w:val="22"/>
          <w:szCs w:val="22"/>
          <w:lang w:val="en-US"/>
        </w:rPr>
      </w:pPr>
      <w:r w:rsidRPr="00431AD6">
        <w:rPr>
          <w:rFonts w:ascii="Garamond" w:hAnsi="Garamond"/>
          <w:sz w:val="22"/>
          <w:szCs w:val="22"/>
          <w:lang w:val="en-US"/>
        </w:rPr>
        <w:t xml:space="preserve">                                    &lt;podis:modelNumber&gt;</w:t>
      </w:r>
      <w:r w:rsidRPr="00431AD6">
        <w:rPr>
          <w:rFonts w:ascii="Garamond" w:hAnsi="Garamond"/>
          <w:sz w:val="22"/>
          <w:szCs w:val="22"/>
        </w:rPr>
        <w:t>ТЛО</w:t>
      </w:r>
      <w:r w:rsidRPr="00431AD6">
        <w:rPr>
          <w:rFonts w:ascii="Garamond" w:hAnsi="Garamond"/>
          <w:sz w:val="22"/>
          <w:szCs w:val="22"/>
          <w:lang w:val="en-US"/>
        </w:rPr>
        <w:t>-10&lt;/podis:modelNumber&gt;</w:t>
      </w:r>
    </w:p>
    <w:p w14:paraId="11D938D8" w14:textId="77777777" w:rsidR="00CE6209" w:rsidRPr="00431AD6" w:rsidRDefault="00CE6209" w:rsidP="00CE6209">
      <w:pPr>
        <w:spacing w:after="120"/>
        <w:ind w:left="567"/>
        <w:rPr>
          <w:rFonts w:ascii="Garamond" w:hAnsi="Garamond"/>
          <w:sz w:val="22"/>
          <w:szCs w:val="22"/>
          <w:lang w:val="en-US"/>
        </w:rPr>
      </w:pPr>
      <w:r w:rsidRPr="00431AD6">
        <w:rPr>
          <w:rFonts w:ascii="Garamond" w:hAnsi="Garamond"/>
          <w:sz w:val="22"/>
          <w:szCs w:val="22"/>
          <w:lang w:val="en-US"/>
        </w:rPr>
        <w:t xml:space="preserve">                                    &lt;podis:ratedCurrent&gt;800&lt;/podis:ratedCurrent&gt;</w:t>
      </w:r>
    </w:p>
    <w:p w14:paraId="55666DFE" w14:textId="77777777" w:rsidR="00CE6209" w:rsidRPr="00431AD6" w:rsidRDefault="00CE6209" w:rsidP="00CE6209">
      <w:pPr>
        <w:spacing w:after="120"/>
        <w:ind w:left="567"/>
        <w:rPr>
          <w:rFonts w:ascii="Garamond" w:hAnsi="Garamond"/>
          <w:sz w:val="22"/>
          <w:szCs w:val="22"/>
          <w:lang w:val="en-US"/>
        </w:rPr>
      </w:pPr>
      <w:r w:rsidRPr="00431AD6">
        <w:rPr>
          <w:rFonts w:ascii="Garamond" w:hAnsi="Garamond"/>
          <w:sz w:val="22"/>
          <w:szCs w:val="22"/>
          <w:lang w:val="en-US"/>
        </w:rPr>
        <w:t xml:space="preserve">                                    &lt;podis:secondaryFlsRating&gt;30&lt;/podis:secondaryFlsRating&gt;</w:t>
      </w:r>
    </w:p>
    <w:p w14:paraId="55968A9B" w14:textId="77777777" w:rsidR="00CE6209" w:rsidRPr="00431AD6" w:rsidRDefault="00CE6209" w:rsidP="00CE6209">
      <w:pPr>
        <w:spacing w:after="120"/>
        <w:ind w:left="567"/>
        <w:rPr>
          <w:rFonts w:ascii="Garamond" w:hAnsi="Garamond"/>
          <w:sz w:val="22"/>
          <w:szCs w:val="22"/>
          <w:lang w:val="en-US"/>
        </w:rPr>
      </w:pPr>
      <w:r w:rsidRPr="00431AD6">
        <w:rPr>
          <w:rFonts w:ascii="Garamond" w:hAnsi="Garamond"/>
          <w:sz w:val="22"/>
          <w:szCs w:val="22"/>
          <w:lang w:val="en-US"/>
        </w:rPr>
        <w:t xml:space="preserve">                                    &lt;podis:ratedSecondaryCurrent&gt;5&lt;/podis:ratedSecondaryCurrent&gt;</w:t>
      </w:r>
    </w:p>
    <w:p w14:paraId="0B503447" w14:textId="77777777" w:rsidR="00CE6209" w:rsidRPr="00431AD6" w:rsidRDefault="00CE6209" w:rsidP="00CE6209">
      <w:pPr>
        <w:spacing w:after="120"/>
        <w:ind w:left="567"/>
        <w:rPr>
          <w:rFonts w:ascii="Garamond" w:hAnsi="Garamond"/>
          <w:sz w:val="22"/>
          <w:szCs w:val="22"/>
          <w:lang w:val="en-US"/>
        </w:rPr>
      </w:pPr>
      <w:r w:rsidRPr="00431AD6">
        <w:rPr>
          <w:rFonts w:ascii="Garamond" w:hAnsi="Garamond"/>
          <w:sz w:val="22"/>
          <w:szCs w:val="22"/>
          <w:lang w:val="en-US"/>
        </w:rPr>
        <w:t xml:space="preserve">                                    &lt;podis:accuracyClass&gt;0.5S&lt;/podis:accuracyClass&gt;</w:t>
      </w:r>
    </w:p>
    <w:p w14:paraId="1EF244B6" w14:textId="77777777" w:rsidR="00CE6209" w:rsidRPr="00E750D0" w:rsidRDefault="00CE6209" w:rsidP="00CE6209">
      <w:pPr>
        <w:spacing w:after="120"/>
        <w:ind w:left="567"/>
        <w:rPr>
          <w:rFonts w:ascii="Garamond" w:hAnsi="Garamond"/>
          <w:sz w:val="22"/>
          <w:szCs w:val="22"/>
          <w:lang w:val="es-ES"/>
        </w:rPr>
      </w:pPr>
      <w:r w:rsidRPr="00431AD6">
        <w:rPr>
          <w:rFonts w:ascii="Garamond" w:hAnsi="Garamond"/>
          <w:sz w:val="22"/>
          <w:szCs w:val="22"/>
          <w:lang w:val="en-US"/>
        </w:rPr>
        <w:t xml:space="preserve">                                    </w:t>
      </w:r>
      <w:r w:rsidRPr="00E750D0">
        <w:rPr>
          <w:rFonts w:ascii="Garamond" w:hAnsi="Garamond"/>
          <w:sz w:val="22"/>
          <w:szCs w:val="22"/>
          <w:lang w:val="es-ES"/>
        </w:rPr>
        <w:t>&lt;podis:regNumber&gt;25433-11&lt;/podis:regNumber&gt;</w:t>
      </w:r>
    </w:p>
    <w:p w14:paraId="4F42C771" w14:textId="77777777" w:rsidR="00CE6209" w:rsidRPr="00E750D0" w:rsidRDefault="00CE6209" w:rsidP="00CE6209">
      <w:pPr>
        <w:spacing w:after="120"/>
        <w:ind w:left="567"/>
        <w:rPr>
          <w:rFonts w:ascii="Garamond" w:hAnsi="Garamond"/>
          <w:sz w:val="22"/>
          <w:szCs w:val="22"/>
          <w:lang w:val="es-ES"/>
        </w:rPr>
      </w:pPr>
      <w:r w:rsidRPr="00E750D0">
        <w:rPr>
          <w:rFonts w:ascii="Garamond" w:hAnsi="Garamond"/>
          <w:sz w:val="22"/>
          <w:szCs w:val="22"/>
          <w:lang w:val="es-ES"/>
        </w:rPr>
        <w:t xml:space="preserve">                                &lt;/podis:currentTransformerInfo&gt;</w:t>
      </w:r>
    </w:p>
    <w:p w14:paraId="4FEA2546" w14:textId="77777777" w:rsidR="00CE6209" w:rsidRPr="00E750D0" w:rsidRDefault="00CE6209" w:rsidP="00CE6209">
      <w:pPr>
        <w:spacing w:after="120"/>
        <w:ind w:left="567"/>
        <w:rPr>
          <w:rFonts w:ascii="Garamond" w:hAnsi="Garamond"/>
          <w:sz w:val="22"/>
          <w:szCs w:val="22"/>
          <w:lang w:val="es-ES"/>
        </w:rPr>
      </w:pPr>
      <w:r w:rsidRPr="00E750D0">
        <w:rPr>
          <w:rFonts w:ascii="Garamond" w:hAnsi="Garamond"/>
          <w:sz w:val="22"/>
          <w:szCs w:val="22"/>
          <w:lang w:val="es-ES"/>
        </w:rPr>
        <w:t xml:space="preserve">                            &lt;/podis:currentTransformer&gt;</w:t>
      </w:r>
    </w:p>
    <w:p w14:paraId="64A4C57F" w14:textId="77777777" w:rsidR="00CE6209" w:rsidRPr="00E750D0" w:rsidRDefault="00CE6209" w:rsidP="00CE6209">
      <w:pPr>
        <w:spacing w:after="120"/>
        <w:ind w:left="567"/>
        <w:rPr>
          <w:rFonts w:ascii="Garamond" w:hAnsi="Garamond"/>
          <w:sz w:val="22"/>
          <w:szCs w:val="22"/>
          <w:lang w:val="es-ES"/>
        </w:rPr>
      </w:pPr>
      <w:r w:rsidRPr="00E750D0">
        <w:rPr>
          <w:rFonts w:ascii="Garamond" w:hAnsi="Garamond"/>
          <w:sz w:val="22"/>
          <w:szCs w:val="22"/>
          <w:lang w:val="es-ES"/>
        </w:rPr>
        <w:t xml:space="preserve">                            &lt;podis:currentTransformer&gt;</w:t>
      </w:r>
    </w:p>
    <w:p w14:paraId="20397587" w14:textId="77777777" w:rsidR="00CE6209" w:rsidRPr="00431AD6" w:rsidRDefault="00CE6209" w:rsidP="00CE6209">
      <w:pPr>
        <w:spacing w:after="120"/>
        <w:ind w:left="567"/>
        <w:rPr>
          <w:rFonts w:ascii="Garamond" w:hAnsi="Garamond"/>
          <w:sz w:val="22"/>
          <w:szCs w:val="22"/>
          <w:lang w:val="en-US"/>
        </w:rPr>
      </w:pPr>
      <w:r w:rsidRPr="00E750D0">
        <w:rPr>
          <w:rFonts w:ascii="Garamond" w:hAnsi="Garamond"/>
          <w:sz w:val="22"/>
          <w:szCs w:val="22"/>
          <w:lang w:val="es-ES"/>
        </w:rPr>
        <w:t xml:space="preserve">                                </w:t>
      </w:r>
      <w:r w:rsidRPr="00431AD6">
        <w:rPr>
          <w:rFonts w:ascii="Garamond" w:hAnsi="Garamond"/>
          <w:sz w:val="22"/>
          <w:szCs w:val="22"/>
          <w:lang w:val="en-US"/>
        </w:rPr>
        <w:t>&lt;podis:serialNumber&gt;21-38519&lt;/podis:serialNumber&gt;</w:t>
      </w:r>
    </w:p>
    <w:p w14:paraId="575E6E18" w14:textId="77777777" w:rsidR="00CE6209" w:rsidRPr="00431AD6" w:rsidRDefault="00CE6209" w:rsidP="00CE6209">
      <w:pPr>
        <w:spacing w:after="120"/>
        <w:ind w:left="567"/>
        <w:rPr>
          <w:rFonts w:ascii="Garamond" w:hAnsi="Garamond"/>
          <w:sz w:val="22"/>
          <w:szCs w:val="22"/>
          <w:lang w:val="en-US"/>
        </w:rPr>
      </w:pPr>
      <w:r w:rsidRPr="00431AD6">
        <w:rPr>
          <w:rFonts w:ascii="Garamond" w:hAnsi="Garamond"/>
          <w:sz w:val="22"/>
          <w:szCs w:val="22"/>
          <w:lang w:val="en-US"/>
        </w:rPr>
        <w:t xml:space="preserve">                                &lt;podis:customAttributes&gt;</w:t>
      </w:r>
    </w:p>
    <w:p w14:paraId="5CB27572" w14:textId="77777777" w:rsidR="00CE6209" w:rsidRPr="00431AD6" w:rsidRDefault="00CE6209" w:rsidP="00CE6209">
      <w:pPr>
        <w:spacing w:after="120"/>
        <w:ind w:left="567"/>
        <w:rPr>
          <w:rFonts w:ascii="Garamond" w:hAnsi="Garamond"/>
          <w:sz w:val="22"/>
          <w:szCs w:val="22"/>
          <w:lang w:val="en-US"/>
        </w:rPr>
      </w:pPr>
      <w:r w:rsidRPr="00431AD6">
        <w:rPr>
          <w:rFonts w:ascii="Garamond" w:hAnsi="Garamond"/>
          <w:sz w:val="22"/>
          <w:szCs w:val="22"/>
          <w:lang w:val="en-US"/>
        </w:rPr>
        <w:t xml:space="preserve">                                    &lt;podis:name&gt;assetOwnerKind&lt;/podis:name&gt;</w:t>
      </w:r>
    </w:p>
    <w:p w14:paraId="45507161" w14:textId="77777777" w:rsidR="00CE6209" w:rsidRPr="00431AD6" w:rsidRDefault="00CE6209" w:rsidP="00CE6209">
      <w:pPr>
        <w:spacing w:after="120"/>
        <w:ind w:left="567"/>
        <w:rPr>
          <w:rFonts w:ascii="Garamond" w:hAnsi="Garamond"/>
          <w:sz w:val="22"/>
          <w:szCs w:val="22"/>
          <w:lang w:val="en-US"/>
        </w:rPr>
      </w:pPr>
      <w:r w:rsidRPr="00431AD6">
        <w:rPr>
          <w:rFonts w:ascii="Garamond" w:hAnsi="Garamond"/>
          <w:sz w:val="22"/>
          <w:szCs w:val="22"/>
          <w:lang w:val="en-US"/>
        </w:rPr>
        <w:t xml:space="preserve">                                    &lt;podis:value&gt;other&lt;/podis:value&gt;</w:t>
      </w:r>
    </w:p>
    <w:p w14:paraId="3A1A5D59" w14:textId="77777777" w:rsidR="00CE6209" w:rsidRPr="00431AD6" w:rsidRDefault="00CE6209" w:rsidP="00CE6209">
      <w:pPr>
        <w:spacing w:after="120"/>
        <w:ind w:left="567"/>
        <w:rPr>
          <w:rFonts w:ascii="Garamond" w:hAnsi="Garamond"/>
          <w:sz w:val="22"/>
          <w:szCs w:val="22"/>
          <w:lang w:val="en-US"/>
        </w:rPr>
      </w:pPr>
      <w:r w:rsidRPr="00431AD6">
        <w:rPr>
          <w:rFonts w:ascii="Garamond" w:hAnsi="Garamond"/>
          <w:sz w:val="22"/>
          <w:szCs w:val="22"/>
          <w:lang w:val="en-US"/>
        </w:rPr>
        <w:t xml:space="preserve">                                &lt;/podis:customAttributes&gt;</w:t>
      </w:r>
    </w:p>
    <w:p w14:paraId="207BE145" w14:textId="77777777" w:rsidR="00CE6209" w:rsidRPr="00431AD6" w:rsidRDefault="00CE6209" w:rsidP="00CE6209">
      <w:pPr>
        <w:spacing w:after="120"/>
        <w:ind w:left="567"/>
        <w:rPr>
          <w:rFonts w:ascii="Garamond" w:hAnsi="Garamond"/>
          <w:sz w:val="22"/>
          <w:szCs w:val="22"/>
          <w:lang w:val="en-US"/>
        </w:rPr>
      </w:pPr>
      <w:r w:rsidRPr="00431AD6">
        <w:rPr>
          <w:rFonts w:ascii="Garamond" w:hAnsi="Garamond"/>
          <w:sz w:val="22"/>
          <w:szCs w:val="22"/>
          <w:lang w:val="en-US"/>
        </w:rPr>
        <w:t xml:space="preserve">                                &lt;podis:lifeCycleDate&gt;</w:t>
      </w:r>
    </w:p>
    <w:p w14:paraId="4B7DE7E9" w14:textId="77777777" w:rsidR="00CE6209" w:rsidRPr="00431AD6" w:rsidRDefault="00CE6209" w:rsidP="00CE6209">
      <w:pPr>
        <w:spacing w:after="120"/>
        <w:ind w:left="567"/>
        <w:rPr>
          <w:rFonts w:ascii="Garamond" w:hAnsi="Garamond"/>
          <w:sz w:val="22"/>
          <w:szCs w:val="22"/>
          <w:lang w:val="en-US"/>
        </w:rPr>
      </w:pPr>
      <w:r w:rsidRPr="00431AD6">
        <w:rPr>
          <w:rFonts w:ascii="Garamond" w:hAnsi="Garamond"/>
          <w:sz w:val="22"/>
          <w:szCs w:val="22"/>
          <w:lang w:val="en-US"/>
        </w:rPr>
        <w:t xml:space="preserve">                                    &lt;podis:nextDateValid&gt;2026-12-08&lt;/podis:nextDateValid&gt;</w:t>
      </w:r>
    </w:p>
    <w:p w14:paraId="3836B94D" w14:textId="77777777" w:rsidR="00CE6209" w:rsidRPr="00431AD6" w:rsidRDefault="00CE6209" w:rsidP="00CE6209">
      <w:pPr>
        <w:spacing w:after="120"/>
        <w:ind w:left="567"/>
        <w:rPr>
          <w:rFonts w:ascii="Garamond" w:hAnsi="Garamond"/>
          <w:sz w:val="22"/>
          <w:szCs w:val="22"/>
          <w:lang w:val="en-US"/>
        </w:rPr>
      </w:pPr>
      <w:r w:rsidRPr="00431AD6">
        <w:rPr>
          <w:rFonts w:ascii="Garamond" w:hAnsi="Garamond"/>
          <w:sz w:val="22"/>
          <w:szCs w:val="22"/>
          <w:lang w:val="en-US"/>
        </w:rPr>
        <w:t xml:space="preserve">                                &lt;/podis:lifeCycleDate&gt;</w:t>
      </w:r>
    </w:p>
    <w:p w14:paraId="266F88C7" w14:textId="77777777" w:rsidR="00CE6209" w:rsidRPr="00431AD6" w:rsidRDefault="00CE6209" w:rsidP="00CE6209">
      <w:pPr>
        <w:spacing w:after="120"/>
        <w:ind w:left="567"/>
        <w:rPr>
          <w:rFonts w:ascii="Garamond" w:hAnsi="Garamond"/>
          <w:sz w:val="22"/>
          <w:szCs w:val="22"/>
          <w:lang w:val="en-US"/>
        </w:rPr>
      </w:pPr>
      <w:r w:rsidRPr="00431AD6">
        <w:rPr>
          <w:rFonts w:ascii="Garamond" w:hAnsi="Garamond"/>
          <w:sz w:val="22"/>
          <w:szCs w:val="22"/>
          <w:lang w:val="en-US"/>
        </w:rPr>
        <w:t xml:space="preserve">                                &lt;podis:currentTransformerInfo&gt;</w:t>
      </w:r>
    </w:p>
    <w:p w14:paraId="1FDF10EA" w14:textId="77777777" w:rsidR="00CE6209" w:rsidRPr="00431AD6" w:rsidRDefault="00CE6209" w:rsidP="00CE6209">
      <w:pPr>
        <w:spacing w:after="120"/>
        <w:ind w:left="567"/>
        <w:rPr>
          <w:rFonts w:ascii="Garamond" w:hAnsi="Garamond"/>
          <w:sz w:val="22"/>
          <w:szCs w:val="22"/>
          <w:lang w:val="en-US"/>
        </w:rPr>
      </w:pPr>
      <w:r w:rsidRPr="00431AD6">
        <w:rPr>
          <w:rFonts w:ascii="Garamond" w:hAnsi="Garamond"/>
          <w:sz w:val="22"/>
          <w:szCs w:val="22"/>
          <w:lang w:val="en-US"/>
        </w:rPr>
        <w:t xml:space="preserve">                                    &lt;podis:measuring-tool-code&gt;11117B5B54F30471E0530A01490A6E4F&lt;/podis:measuring-tool-code&gt;</w:t>
      </w:r>
    </w:p>
    <w:p w14:paraId="4B989396" w14:textId="77777777" w:rsidR="00CE6209" w:rsidRPr="00431AD6" w:rsidRDefault="00CE6209" w:rsidP="00CE6209">
      <w:pPr>
        <w:spacing w:after="120"/>
        <w:ind w:left="567"/>
        <w:rPr>
          <w:rFonts w:ascii="Garamond" w:hAnsi="Garamond"/>
          <w:sz w:val="22"/>
          <w:szCs w:val="22"/>
          <w:lang w:val="en-US"/>
        </w:rPr>
      </w:pPr>
      <w:r w:rsidRPr="00431AD6">
        <w:rPr>
          <w:rFonts w:ascii="Garamond" w:hAnsi="Garamond"/>
          <w:sz w:val="22"/>
          <w:szCs w:val="22"/>
          <w:lang w:val="en-US"/>
        </w:rPr>
        <w:t xml:space="preserve">                                    &lt;podis:modelNumber&gt;</w:t>
      </w:r>
      <w:r w:rsidRPr="00431AD6">
        <w:rPr>
          <w:rFonts w:ascii="Garamond" w:hAnsi="Garamond"/>
          <w:sz w:val="22"/>
          <w:szCs w:val="22"/>
        </w:rPr>
        <w:t>ТЛО</w:t>
      </w:r>
      <w:r w:rsidRPr="00431AD6">
        <w:rPr>
          <w:rFonts w:ascii="Garamond" w:hAnsi="Garamond"/>
          <w:sz w:val="22"/>
          <w:szCs w:val="22"/>
          <w:lang w:val="en-US"/>
        </w:rPr>
        <w:t>-10&lt;/podis:modelNumber&gt;</w:t>
      </w:r>
    </w:p>
    <w:p w14:paraId="3762AC45" w14:textId="77777777" w:rsidR="00CE6209" w:rsidRPr="00431AD6" w:rsidRDefault="00CE6209" w:rsidP="00CE6209">
      <w:pPr>
        <w:spacing w:after="120"/>
        <w:ind w:left="567"/>
        <w:rPr>
          <w:rFonts w:ascii="Garamond" w:hAnsi="Garamond"/>
          <w:sz w:val="22"/>
          <w:szCs w:val="22"/>
          <w:lang w:val="en-US"/>
        </w:rPr>
      </w:pPr>
      <w:r w:rsidRPr="00431AD6">
        <w:rPr>
          <w:rFonts w:ascii="Garamond" w:hAnsi="Garamond"/>
          <w:sz w:val="22"/>
          <w:szCs w:val="22"/>
          <w:lang w:val="en-US"/>
        </w:rPr>
        <w:t xml:space="preserve">                                    &lt;podis:ratedCurrent&gt;800&lt;/podis:ratedCurrent&gt;</w:t>
      </w:r>
    </w:p>
    <w:p w14:paraId="5F77B78B" w14:textId="77777777" w:rsidR="00CE6209" w:rsidRPr="00431AD6" w:rsidRDefault="00CE6209" w:rsidP="00CE6209">
      <w:pPr>
        <w:spacing w:after="120"/>
        <w:ind w:left="567"/>
        <w:rPr>
          <w:rFonts w:ascii="Garamond" w:hAnsi="Garamond"/>
          <w:sz w:val="22"/>
          <w:szCs w:val="22"/>
          <w:lang w:val="en-US"/>
        </w:rPr>
      </w:pPr>
      <w:r w:rsidRPr="00431AD6">
        <w:rPr>
          <w:rFonts w:ascii="Garamond" w:hAnsi="Garamond"/>
          <w:sz w:val="22"/>
          <w:szCs w:val="22"/>
          <w:lang w:val="en-US"/>
        </w:rPr>
        <w:t xml:space="preserve">                                    &lt;podis:secondaryFlsRating&gt;30&lt;/podis:secondaryFlsRating&gt;</w:t>
      </w:r>
    </w:p>
    <w:p w14:paraId="0EC93F98" w14:textId="77777777" w:rsidR="00CE6209" w:rsidRPr="00431AD6" w:rsidRDefault="00CE6209" w:rsidP="00CE6209">
      <w:pPr>
        <w:spacing w:after="120"/>
        <w:ind w:left="567"/>
        <w:rPr>
          <w:rFonts w:ascii="Garamond" w:hAnsi="Garamond"/>
          <w:sz w:val="22"/>
          <w:szCs w:val="22"/>
          <w:lang w:val="en-US"/>
        </w:rPr>
      </w:pPr>
      <w:r w:rsidRPr="00431AD6">
        <w:rPr>
          <w:rFonts w:ascii="Garamond" w:hAnsi="Garamond"/>
          <w:sz w:val="22"/>
          <w:szCs w:val="22"/>
          <w:lang w:val="en-US"/>
        </w:rPr>
        <w:t xml:space="preserve">                                    &lt;podis:ratedSecondaryCurrent&gt;5&lt;/podis:ratedSecondaryCurrent&gt;</w:t>
      </w:r>
    </w:p>
    <w:p w14:paraId="59995381" w14:textId="77777777" w:rsidR="00CE6209" w:rsidRPr="00431AD6" w:rsidRDefault="00CE6209" w:rsidP="00CE6209">
      <w:pPr>
        <w:spacing w:after="120"/>
        <w:ind w:left="567"/>
        <w:rPr>
          <w:rFonts w:ascii="Garamond" w:hAnsi="Garamond"/>
          <w:sz w:val="22"/>
          <w:szCs w:val="22"/>
          <w:lang w:val="en-US"/>
        </w:rPr>
      </w:pPr>
      <w:r w:rsidRPr="00431AD6">
        <w:rPr>
          <w:rFonts w:ascii="Garamond" w:hAnsi="Garamond"/>
          <w:sz w:val="22"/>
          <w:szCs w:val="22"/>
          <w:lang w:val="en-US"/>
        </w:rPr>
        <w:t xml:space="preserve">                                    &lt;podis:accuracyClass&gt;0.5S&lt;/podis:accuracyClass&gt;</w:t>
      </w:r>
    </w:p>
    <w:p w14:paraId="6A2558EC" w14:textId="77777777" w:rsidR="00CE6209" w:rsidRPr="00E750D0" w:rsidRDefault="00CE6209" w:rsidP="00CE6209">
      <w:pPr>
        <w:spacing w:after="120"/>
        <w:ind w:left="567"/>
        <w:rPr>
          <w:rFonts w:ascii="Garamond" w:hAnsi="Garamond"/>
          <w:sz w:val="22"/>
          <w:szCs w:val="22"/>
          <w:lang w:val="es-ES"/>
        </w:rPr>
      </w:pPr>
      <w:r w:rsidRPr="00431AD6">
        <w:rPr>
          <w:rFonts w:ascii="Garamond" w:hAnsi="Garamond"/>
          <w:sz w:val="22"/>
          <w:szCs w:val="22"/>
          <w:lang w:val="en-US"/>
        </w:rPr>
        <w:t xml:space="preserve">                                    </w:t>
      </w:r>
      <w:r w:rsidRPr="00E750D0">
        <w:rPr>
          <w:rFonts w:ascii="Garamond" w:hAnsi="Garamond"/>
          <w:sz w:val="22"/>
          <w:szCs w:val="22"/>
          <w:lang w:val="es-ES"/>
        </w:rPr>
        <w:t>&lt;podis:regNumber&gt;25433-11&lt;/podis:regNumber&gt;</w:t>
      </w:r>
    </w:p>
    <w:p w14:paraId="35D14681" w14:textId="77777777" w:rsidR="00CE6209" w:rsidRPr="00E750D0" w:rsidRDefault="00CE6209" w:rsidP="00CE6209">
      <w:pPr>
        <w:spacing w:after="120"/>
        <w:ind w:left="567"/>
        <w:rPr>
          <w:rFonts w:ascii="Garamond" w:hAnsi="Garamond"/>
          <w:sz w:val="22"/>
          <w:szCs w:val="22"/>
          <w:lang w:val="es-ES"/>
        </w:rPr>
      </w:pPr>
      <w:r w:rsidRPr="00E750D0">
        <w:rPr>
          <w:rFonts w:ascii="Garamond" w:hAnsi="Garamond"/>
          <w:sz w:val="22"/>
          <w:szCs w:val="22"/>
          <w:lang w:val="es-ES"/>
        </w:rPr>
        <w:t xml:space="preserve">                                &lt;/podis:currentTransformerInfo&gt;</w:t>
      </w:r>
    </w:p>
    <w:p w14:paraId="388A8480" w14:textId="77777777" w:rsidR="00CE6209" w:rsidRPr="00E750D0" w:rsidRDefault="00CE6209" w:rsidP="00CE6209">
      <w:pPr>
        <w:spacing w:after="120"/>
        <w:ind w:left="567"/>
        <w:rPr>
          <w:rFonts w:ascii="Garamond" w:hAnsi="Garamond"/>
          <w:sz w:val="22"/>
          <w:szCs w:val="22"/>
          <w:lang w:val="es-ES"/>
        </w:rPr>
      </w:pPr>
      <w:r w:rsidRPr="00E750D0">
        <w:rPr>
          <w:rFonts w:ascii="Garamond" w:hAnsi="Garamond"/>
          <w:sz w:val="22"/>
          <w:szCs w:val="22"/>
          <w:lang w:val="es-ES"/>
        </w:rPr>
        <w:t xml:space="preserve">                            &lt;/podis:currentTransformer&gt;</w:t>
      </w:r>
    </w:p>
    <w:p w14:paraId="350A00D6" w14:textId="77777777" w:rsidR="00CE6209" w:rsidRPr="00E750D0" w:rsidRDefault="00CE6209" w:rsidP="00CE6209">
      <w:pPr>
        <w:spacing w:after="120"/>
        <w:ind w:left="567"/>
        <w:rPr>
          <w:rFonts w:ascii="Garamond" w:hAnsi="Garamond"/>
          <w:sz w:val="22"/>
          <w:szCs w:val="22"/>
          <w:lang w:val="es-ES"/>
        </w:rPr>
      </w:pPr>
      <w:r w:rsidRPr="00E750D0">
        <w:rPr>
          <w:rFonts w:ascii="Garamond" w:hAnsi="Garamond"/>
          <w:sz w:val="22"/>
          <w:szCs w:val="22"/>
          <w:lang w:val="es-ES"/>
        </w:rPr>
        <w:t xml:space="preserve">                            &lt;podis:potentialTransformer&gt;</w:t>
      </w:r>
    </w:p>
    <w:p w14:paraId="5BCEDF84" w14:textId="77777777" w:rsidR="00CE6209" w:rsidRPr="00431AD6" w:rsidRDefault="00CE6209" w:rsidP="00CE6209">
      <w:pPr>
        <w:spacing w:after="120"/>
        <w:ind w:left="567"/>
        <w:rPr>
          <w:rFonts w:ascii="Garamond" w:hAnsi="Garamond"/>
          <w:sz w:val="22"/>
          <w:szCs w:val="22"/>
          <w:lang w:val="en-US"/>
        </w:rPr>
      </w:pPr>
      <w:r w:rsidRPr="00E750D0">
        <w:rPr>
          <w:rFonts w:ascii="Garamond" w:hAnsi="Garamond"/>
          <w:sz w:val="22"/>
          <w:szCs w:val="22"/>
          <w:lang w:val="es-ES"/>
        </w:rPr>
        <w:t xml:space="preserve">                                </w:t>
      </w:r>
      <w:r w:rsidRPr="00431AD6">
        <w:rPr>
          <w:rFonts w:ascii="Garamond" w:hAnsi="Garamond"/>
          <w:sz w:val="22"/>
          <w:szCs w:val="22"/>
          <w:lang w:val="en-US"/>
        </w:rPr>
        <w:t>&lt;podis:serialNumber&gt;2102&lt;/podis:serialNumber&gt;</w:t>
      </w:r>
    </w:p>
    <w:p w14:paraId="2A61B9A0" w14:textId="77777777" w:rsidR="00CE6209" w:rsidRPr="00431AD6" w:rsidRDefault="00CE6209" w:rsidP="00CE6209">
      <w:pPr>
        <w:spacing w:after="120"/>
        <w:ind w:left="567"/>
        <w:rPr>
          <w:rFonts w:ascii="Garamond" w:hAnsi="Garamond"/>
          <w:sz w:val="22"/>
          <w:szCs w:val="22"/>
          <w:lang w:val="en-US"/>
        </w:rPr>
      </w:pPr>
      <w:r w:rsidRPr="00431AD6">
        <w:rPr>
          <w:rFonts w:ascii="Garamond" w:hAnsi="Garamond"/>
          <w:sz w:val="22"/>
          <w:szCs w:val="22"/>
          <w:lang w:val="en-US"/>
        </w:rPr>
        <w:t xml:space="preserve">                                &lt;podis:customAttributes&gt;</w:t>
      </w:r>
    </w:p>
    <w:p w14:paraId="021AED78" w14:textId="77777777" w:rsidR="00CE6209" w:rsidRPr="00431AD6" w:rsidRDefault="00CE6209" w:rsidP="00CE6209">
      <w:pPr>
        <w:spacing w:after="120"/>
        <w:ind w:left="567"/>
        <w:rPr>
          <w:rFonts w:ascii="Garamond" w:hAnsi="Garamond"/>
          <w:sz w:val="22"/>
          <w:szCs w:val="22"/>
          <w:lang w:val="en-US"/>
        </w:rPr>
      </w:pPr>
      <w:r w:rsidRPr="00431AD6">
        <w:rPr>
          <w:rFonts w:ascii="Garamond" w:hAnsi="Garamond"/>
          <w:sz w:val="22"/>
          <w:szCs w:val="22"/>
          <w:lang w:val="en-US"/>
        </w:rPr>
        <w:t xml:space="preserve">                                    &lt;podis:name&gt;assetOwnerKind&lt;/podis:name&gt;</w:t>
      </w:r>
    </w:p>
    <w:p w14:paraId="5E14CCDD" w14:textId="77777777" w:rsidR="00CE6209" w:rsidRPr="00431AD6" w:rsidRDefault="00CE6209" w:rsidP="00CE6209">
      <w:pPr>
        <w:spacing w:after="120"/>
        <w:ind w:left="567"/>
        <w:rPr>
          <w:rFonts w:ascii="Garamond" w:hAnsi="Garamond"/>
          <w:sz w:val="22"/>
          <w:szCs w:val="22"/>
          <w:lang w:val="en-US"/>
        </w:rPr>
      </w:pPr>
      <w:r w:rsidRPr="00431AD6">
        <w:rPr>
          <w:rFonts w:ascii="Garamond" w:hAnsi="Garamond"/>
          <w:sz w:val="22"/>
          <w:szCs w:val="22"/>
          <w:lang w:val="en-US"/>
        </w:rPr>
        <w:t xml:space="preserve">                                    &lt;podis:value&gt;other&lt;/podis:value&gt;</w:t>
      </w:r>
    </w:p>
    <w:p w14:paraId="5F0423EF" w14:textId="77777777" w:rsidR="00CE6209" w:rsidRPr="00431AD6" w:rsidRDefault="00CE6209" w:rsidP="00CE6209">
      <w:pPr>
        <w:spacing w:after="120"/>
        <w:ind w:left="567"/>
        <w:rPr>
          <w:rFonts w:ascii="Garamond" w:hAnsi="Garamond"/>
          <w:sz w:val="22"/>
          <w:szCs w:val="22"/>
          <w:lang w:val="en-US"/>
        </w:rPr>
      </w:pPr>
      <w:r w:rsidRPr="00431AD6">
        <w:rPr>
          <w:rFonts w:ascii="Garamond" w:hAnsi="Garamond"/>
          <w:sz w:val="22"/>
          <w:szCs w:val="22"/>
          <w:lang w:val="en-US"/>
        </w:rPr>
        <w:t xml:space="preserve">                                &lt;/podis:customAttributes&gt;</w:t>
      </w:r>
    </w:p>
    <w:p w14:paraId="3CE37D03" w14:textId="77777777" w:rsidR="00CE6209" w:rsidRPr="00431AD6" w:rsidRDefault="00CE6209" w:rsidP="00CE6209">
      <w:pPr>
        <w:spacing w:after="120"/>
        <w:ind w:left="567"/>
        <w:rPr>
          <w:rFonts w:ascii="Garamond" w:hAnsi="Garamond"/>
          <w:sz w:val="22"/>
          <w:szCs w:val="22"/>
          <w:lang w:val="en-US"/>
        </w:rPr>
      </w:pPr>
      <w:r w:rsidRPr="00431AD6">
        <w:rPr>
          <w:rFonts w:ascii="Garamond" w:hAnsi="Garamond"/>
          <w:sz w:val="22"/>
          <w:szCs w:val="22"/>
          <w:lang w:val="en-US"/>
        </w:rPr>
        <w:t xml:space="preserve">                                &lt;podis:lifeCycleDate&gt;</w:t>
      </w:r>
    </w:p>
    <w:p w14:paraId="7E3FB939" w14:textId="77777777" w:rsidR="00CE6209" w:rsidRPr="00431AD6" w:rsidRDefault="00CE6209" w:rsidP="00CE6209">
      <w:pPr>
        <w:spacing w:after="120"/>
        <w:ind w:left="567"/>
        <w:rPr>
          <w:rFonts w:ascii="Garamond" w:hAnsi="Garamond"/>
          <w:sz w:val="22"/>
          <w:szCs w:val="22"/>
          <w:lang w:val="en-US"/>
        </w:rPr>
      </w:pPr>
      <w:r w:rsidRPr="00431AD6">
        <w:rPr>
          <w:rFonts w:ascii="Garamond" w:hAnsi="Garamond"/>
          <w:sz w:val="22"/>
          <w:szCs w:val="22"/>
          <w:lang w:val="en-US"/>
        </w:rPr>
        <w:t xml:space="preserve">                                    &lt;podis:nextDateValid&gt;2025-06-09&lt;/podis:nextDateValid&gt;</w:t>
      </w:r>
    </w:p>
    <w:p w14:paraId="6DB1B771" w14:textId="77777777" w:rsidR="00CE6209" w:rsidRPr="00431AD6" w:rsidRDefault="00CE6209" w:rsidP="00CE6209">
      <w:pPr>
        <w:spacing w:after="120"/>
        <w:ind w:left="567"/>
        <w:rPr>
          <w:rFonts w:ascii="Garamond" w:hAnsi="Garamond"/>
          <w:sz w:val="22"/>
          <w:szCs w:val="22"/>
          <w:lang w:val="en-US"/>
        </w:rPr>
      </w:pPr>
      <w:r w:rsidRPr="00431AD6">
        <w:rPr>
          <w:rFonts w:ascii="Garamond" w:hAnsi="Garamond"/>
          <w:sz w:val="22"/>
          <w:szCs w:val="22"/>
          <w:lang w:val="en-US"/>
        </w:rPr>
        <w:lastRenderedPageBreak/>
        <w:t xml:space="preserve">                                &lt;/podis:lifeCycleDate&gt;</w:t>
      </w:r>
    </w:p>
    <w:p w14:paraId="55D74E14" w14:textId="77777777" w:rsidR="00CE6209" w:rsidRPr="00431AD6" w:rsidRDefault="00CE6209" w:rsidP="00CE6209">
      <w:pPr>
        <w:spacing w:after="120"/>
        <w:ind w:left="567"/>
        <w:rPr>
          <w:rFonts w:ascii="Garamond" w:hAnsi="Garamond"/>
          <w:sz w:val="22"/>
          <w:szCs w:val="22"/>
          <w:lang w:val="en-US"/>
        </w:rPr>
      </w:pPr>
      <w:r w:rsidRPr="00431AD6">
        <w:rPr>
          <w:rFonts w:ascii="Garamond" w:hAnsi="Garamond"/>
          <w:sz w:val="22"/>
          <w:szCs w:val="22"/>
          <w:lang w:val="en-US"/>
        </w:rPr>
        <w:t xml:space="preserve">                                &lt;podis:potentialTransformerInfo&gt;</w:t>
      </w:r>
    </w:p>
    <w:p w14:paraId="3FDB41FD" w14:textId="77777777" w:rsidR="00CE6209" w:rsidRPr="00431AD6" w:rsidRDefault="00CE6209" w:rsidP="00CE6209">
      <w:pPr>
        <w:spacing w:after="120"/>
        <w:ind w:left="567"/>
        <w:rPr>
          <w:rFonts w:ascii="Garamond" w:hAnsi="Garamond"/>
          <w:sz w:val="22"/>
          <w:szCs w:val="22"/>
          <w:lang w:val="en-US"/>
        </w:rPr>
      </w:pPr>
      <w:r w:rsidRPr="00431AD6">
        <w:rPr>
          <w:rFonts w:ascii="Garamond" w:hAnsi="Garamond"/>
          <w:sz w:val="22"/>
          <w:szCs w:val="22"/>
          <w:lang w:val="en-US"/>
        </w:rPr>
        <w:t xml:space="preserve">                                    &lt;podis:measuring-tool-code&gt;AA117B5B54F30471E0530A01490A6E4F&lt;/podis:measuring-tool-code&gt;</w:t>
      </w:r>
    </w:p>
    <w:p w14:paraId="597F4FE4" w14:textId="77777777" w:rsidR="00CE6209" w:rsidRPr="00431AD6" w:rsidRDefault="00CE6209" w:rsidP="00CE6209">
      <w:pPr>
        <w:spacing w:after="120"/>
        <w:ind w:left="567"/>
        <w:rPr>
          <w:rFonts w:ascii="Garamond" w:hAnsi="Garamond"/>
          <w:sz w:val="22"/>
          <w:szCs w:val="22"/>
          <w:lang w:val="en-US"/>
        </w:rPr>
      </w:pPr>
      <w:r w:rsidRPr="00431AD6">
        <w:rPr>
          <w:rFonts w:ascii="Garamond" w:hAnsi="Garamond"/>
          <w:sz w:val="22"/>
          <w:szCs w:val="22"/>
          <w:lang w:val="en-US"/>
        </w:rPr>
        <w:t xml:space="preserve">                                    &lt;podis:modelNumber&gt;</w:t>
      </w:r>
      <w:r w:rsidRPr="00431AD6">
        <w:rPr>
          <w:rFonts w:ascii="Garamond" w:hAnsi="Garamond"/>
          <w:sz w:val="22"/>
          <w:szCs w:val="22"/>
        </w:rPr>
        <w:t>ЗНОЛП</w:t>
      </w:r>
      <w:r w:rsidRPr="00431AD6">
        <w:rPr>
          <w:rFonts w:ascii="Garamond" w:hAnsi="Garamond"/>
          <w:sz w:val="22"/>
          <w:szCs w:val="22"/>
          <w:lang w:val="en-US"/>
        </w:rPr>
        <w:t>&lt;/podis:modelNumber&gt;</w:t>
      </w:r>
    </w:p>
    <w:p w14:paraId="0428B486" w14:textId="77777777" w:rsidR="00CE6209" w:rsidRPr="00431AD6" w:rsidRDefault="00CE6209" w:rsidP="00CE6209">
      <w:pPr>
        <w:spacing w:after="120"/>
        <w:ind w:left="567"/>
        <w:rPr>
          <w:rFonts w:ascii="Garamond" w:hAnsi="Garamond"/>
          <w:sz w:val="22"/>
          <w:szCs w:val="22"/>
          <w:lang w:val="en-US"/>
        </w:rPr>
      </w:pPr>
      <w:r w:rsidRPr="00431AD6">
        <w:rPr>
          <w:rFonts w:ascii="Garamond" w:hAnsi="Garamond"/>
          <w:sz w:val="22"/>
          <w:szCs w:val="22"/>
          <w:lang w:val="en-US"/>
        </w:rPr>
        <w:t xml:space="preserve">                                    &lt;podis:customAttributes&gt;</w:t>
      </w:r>
    </w:p>
    <w:p w14:paraId="28A2323A" w14:textId="77777777" w:rsidR="00CE6209" w:rsidRPr="00431AD6" w:rsidRDefault="00CE6209" w:rsidP="00CE6209">
      <w:pPr>
        <w:spacing w:after="120"/>
        <w:ind w:left="567"/>
        <w:rPr>
          <w:rFonts w:ascii="Garamond" w:hAnsi="Garamond"/>
          <w:sz w:val="22"/>
          <w:szCs w:val="22"/>
          <w:lang w:val="en-US"/>
        </w:rPr>
      </w:pPr>
      <w:r w:rsidRPr="00431AD6">
        <w:rPr>
          <w:rFonts w:ascii="Garamond" w:hAnsi="Garamond"/>
          <w:sz w:val="22"/>
          <w:szCs w:val="22"/>
          <w:lang w:val="en-US"/>
        </w:rPr>
        <w:t xml:space="preserve">                                        &lt;podis:name&gt;RatedLoad&lt;/podis:name&gt;</w:t>
      </w:r>
    </w:p>
    <w:p w14:paraId="716DA1BA" w14:textId="77777777" w:rsidR="00CE6209" w:rsidRPr="00431AD6" w:rsidRDefault="00CE6209" w:rsidP="00CE6209">
      <w:pPr>
        <w:spacing w:after="120"/>
        <w:ind w:left="567"/>
        <w:rPr>
          <w:rFonts w:ascii="Garamond" w:hAnsi="Garamond"/>
          <w:sz w:val="22"/>
          <w:szCs w:val="22"/>
          <w:lang w:val="en-US"/>
        </w:rPr>
      </w:pPr>
      <w:r w:rsidRPr="00431AD6">
        <w:rPr>
          <w:rFonts w:ascii="Garamond" w:hAnsi="Garamond"/>
          <w:sz w:val="22"/>
          <w:szCs w:val="22"/>
          <w:lang w:val="en-US"/>
        </w:rPr>
        <w:t xml:space="preserve">                                        &lt;podis:value&gt;50&lt;/podis:value&gt;</w:t>
      </w:r>
    </w:p>
    <w:p w14:paraId="15E2416D" w14:textId="77777777" w:rsidR="00CE6209" w:rsidRPr="00431AD6" w:rsidRDefault="00CE6209" w:rsidP="00CE6209">
      <w:pPr>
        <w:spacing w:after="120"/>
        <w:ind w:left="567"/>
        <w:rPr>
          <w:rFonts w:ascii="Garamond" w:hAnsi="Garamond"/>
          <w:sz w:val="22"/>
          <w:szCs w:val="22"/>
          <w:lang w:val="en-US"/>
        </w:rPr>
      </w:pPr>
      <w:r w:rsidRPr="00431AD6">
        <w:rPr>
          <w:rFonts w:ascii="Garamond" w:hAnsi="Garamond"/>
          <w:sz w:val="22"/>
          <w:szCs w:val="22"/>
          <w:lang w:val="en-US"/>
        </w:rPr>
        <w:t xml:space="preserve">                                    &lt;/podis:customAttributes&gt;</w:t>
      </w:r>
    </w:p>
    <w:p w14:paraId="23F4B8F5" w14:textId="77777777" w:rsidR="00CE6209" w:rsidRPr="00E750D0" w:rsidRDefault="00CE6209" w:rsidP="00CE6209">
      <w:pPr>
        <w:spacing w:after="120"/>
        <w:ind w:left="567"/>
        <w:rPr>
          <w:rFonts w:ascii="Garamond" w:hAnsi="Garamond"/>
          <w:sz w:val="22"/>
          <w:szCs w:val="22"/>
          <w:lang w:val="es-ES"/>
        </w:rPr>
      </w:pPr>
      <w:r w:rsidRPr="00431AD6">
        <w:rPr>
          <w:rFonts w:ascii="Garamond" w:hAnsi="Garamond"/>
          <w:sz w:val="22"/>
          <w:szCs w:val="22"/>
          <w:lang w:val="en-US"/>
        </w:rPr>
        <w:tab/>
      </w:r>
      <w:r w:rsidRPr="00431AD6">
        <w:rPr>
          <w:rFonts w:ascii="Garamond" w:hAnsi="Garamond"/>
          <w:sz w:val="22"/>
          <w:szCs w:val="22"/>
          <w:lang w:val="en-US"/>
        </w:rPr>
        <w:tab/>
      </w:r>
      <w:r w:rsidRPr="00431AD6">
        <w:rPr>
          <w:rFonts w:ascii="Garamond" w:hAnsi="Garamond"/>
          <w:sz w:val="22"/>
          <w:szCs w:val="22"/>
          <w:lang w:val="en-US"/>
        </w:rPr>
        <w:tab/>
      </w:r>
      <w:r w:rsidRPr="00E750D0">
        <w:rPr>
          <w:rFonts w:ascii="Garamond" w:hAnsi="Garamond"/>
          <w:sz w:val="22"/>
          <w:szCs w:val="22"/>
          <w:lang w:val="es-ES"/>
        </w:rPr>
        <w:t>&lt;podis:nominalRatio&gt;</w:t>
      </w:r>
    </w:p>
    <w:p w14:paraId="7E6857FB" w14:textId="77777777" w:rsidR="00CE6209" w:rsidRPr="00E750D0" w:rsidRDefault="00CE6209" w:rsidP="00CE6209">
      <w:pPr>
        <w:spacing w:after="120"/>
        <w:ind w:left="567"/>
        <w:rPr>
          <w:rFonts w:ascii="Garamond" w:hAnsi="Garamond"/>
          <w:sz w:val="22"/>
          <w:szCs w:val="22"/>
          <w:lang w:val="es-ES"/>
        </w:rPr>
      </w:pPr>
      <w:r w:rsidRPr="00E750D0">
        <w:rPr>
          <w:rFonts w:ascii="Garamond" w:hAnsi="Garamond"/>
          <w:sz w:val="22"/>
          <w:szCs w:val="22"/>
          <w:lang w:val="es-ES"/>
        </w:rPr>
        <w:t xml:space="preserve">                                        &lt;podis:denominator&gt;100&lt;/podis:denominator&gt;</w:t>
      </w:r>
    </w:p>
    <w:p w14:paraId="0404353E" w14:textId="77777777" w:rsidR="00CE6209" w:rsidRPr="00E750D0" w:rsidRDefault="00CE6209" w:rsidP="00CE6209">
      <w:pPr>
        <w:spacing w:after="120"/>
        <w:ind w:left="567"/>
        <w:rPr>
          <w:rFonts w:ascii="Garamond" w:hAnsi="Garamond"/>
          <w:sz w:val="22"/>
          <w:szCs w:val="22"/>
          <w:lang w:val="es-ES"/>
        </w:rPr>
      </w:pPr>
      <w:r w:rsidRPr="00E750D0">
        <w:rPr>
          <w:rFonts w:ascii="Garamond" w:hAnsi="Garamond"/>
          <w:sz w:val="22"/>
          <w:szCs w:val="22"/>
          <w:lang w:val="es-ES"/>
        </w:rPr>
        <w:t xml:space="preserve">                                        &lt;podis:numerator&gt;6000&lt;/podis:numerator&gt;</w:t>
      </w:r>
    </w:p>
    <w:p w14:paraId="307B4525" w14:textId="77777777" w:rsidR="00CE6209" w:rsidRPr="00E750D0" w:rsidRDefault="00CE6209" w:rsidP="00CE6209">
      <w:pPr>
        <w:spacing w:after="120"/>
        <w:ind w:left="567"/>
        <w:rPr>
          <w:rFonts w:ascii="Garamond" w:hAnsi="Garamond"/>
          <w:sz w:val="22"/>
          <w:szCs w:val="22"/>
          <w:lang w:val="es-ES"/>
        </w:rPr>
      </w:pPr>
      <w:r w:rsidRPr="00E750D0">
        <w:rPr>
          <w:rFonts w:ascii="Garamond" w:hAnsi="Garamond"/>
          <w:sz w:val="22"/>
          <w:szCs w:val="22"/>
          <w:lang w:val="es-ES"/>
        </w:rPr>
        <w:t xml:space="preserve">                                    &lt;/podis:nominalRatio&gt;</w:t>
      </w:r>
    </w:p>
    <w:p w14:paraId="04186A12" w14:textId="77777777" w:rsidR="00CE6209" w:rsidRPr="00431AD6" w:rsidRDefault="00CE6209" w:rsidP="00CE6209">
      <w:pPr>
        <w:spacing w:after="120"/>
        <w:ind w:left="567"/>
        <w:rPr>
          <w:rFonts w:ascii="Garamond" w:hAnsi="Garamond"/>
          <w:sz w:val="22"/>
          <w:szCs w:val="22"/>
          <w:lang w:val="en-US"/>
        </w:rPr>
      </w:pPr>
      <w:r w:rsidRPr="00E750D0">
        <w:rPr>
          <w:rFonts w:ascii="Garamond" w:hAnsi="Garamond"/>
          <w:sz w:val="22"/>
          <w:szCs w:val="22"/>
          <w:lang w:val="es-ES"/>
        </w:rPr>
        <w:t xml:space="preserve">                                    </w:t>
      </w:r>
      <w:r w:rsidRPr="00431AD6">
        <w:rPr>
          <w:rFonts w:ascii="Garamond" w:hAnsi="Garamond"/>
          <w:sz w:val="22"/>
          <w:szCs w:val="22"/>
          <w:lang w:val="en-US"/>
        </w:rPr>
        <w:t>&lt;podis:accuracyClass&gt;0.5&lt;/podis:accuracyClass&gt;</w:t>
      </w:r>
    </w:p>
    <w:p w14:paraId="37A9EEE9" w14:textId="77777777" w:rsidR="00CE6209" w:rsidRPr="00431AD6" w:rsidRDefault="00CE6209" w:rsidP="00CE6209">
      <w:pPr>
        <w:spacing w:after="120"/>
        <w:ind w:left="567"/>
        <w:rPr>
          <w:rFonts w:ascii="Garamond" w:hAnsi="Garamond"/>
          <w:sz w:val="22"/>
          <w:szCs w:val="22"/>
          <w:lang w:val="en-US"/>
        </w:rPr>
      </w:pPr>
      <w:r w:rsidRPr="00431AD6">
        <w:rPr>
          <w:rFonts w:ascii="Garamond" w:hAnsi="Garamond"/>
          <w:sz w:val="22"/>
          <w:szCs w:val="22"/>
          <w:lang w:val="en-US"/>
        </w:rPr>
        <w:t xml:space="preserve">                                    &lt;podis:regNumber&gt;23544-07&lt;/podis:regNumber&gt;</w:t>
      </w:r>
    </w:p>
    <w:p w14:paraId="0D3F273B" w14:textId="77777777" w:rsidR="00CE6209" w:rsidRPr="00E750D0" w:rsidRDefault="00CE6209" w:rsidP="00CE6209">
      <w:pPr>
        <w:spacing w:after="120"/>
        <w:ind w:left="567"/>
        <w:rPr>
          <w:rFonts w:ascii="Garamond" w:hAnsi="Garamond"/>
          <w:sz w:val="22"/>
          <w:szCs w:val="22"/>
          <w:lang w:val="es-ES"/>
        </w:rPr>
      </w:pPr>
      <w:r w:rsidRPr="00431AD6">
        <w:rPr>
          <w:rFonts w:ascii="Garamond" w:hAnsi="Garamond"/>
          <w:sz w:val="22"/>
          <w:szCs w:val="22"/>
          <w:lang w:val="en-US"/>
        </w:rPr>
        <w:t xml:space="preserve">                                </w:t>
      </w:r>
      <w:r w:rsidRPr="00E750D0">
        <w:rPr>
          <w:rFonts w:ascii="Garamond" w:hAnsi="Garamond"/>
          <w:sz w:val="22"/>
          <w:szCs w:val="22"/>
          <w:lang w:val="es-ES"/>
        </w:rPr>
        <w:t>&lt;/podis:potentialTransformerInfo&gt;</w:t>
      </w:r>
    </w:p>
    <w:p w14:paraId="4AD0B9F5" w14:textId="77777777" w:rsidR="00CE6209" w:rsidRPr="00E750D0" w:rsidRDefault="00CE6209" w:rsidP="00CE6209">
      <w:pPr>
        <w:spacing w:after="120"/>
        <w:ind w:left="567"/>
        <w:rPr>
          <w:rFonts w:ascii="Garamond" w:hAnsi="Garamond"/>
          <w:sz w:val="22"/>
          <w:szCs w:val="22"/>
          <w:lang w:val="es-ES"/>
        </w:rPr>
      </w:pPr>
      <w:r w:rsidRPr="00E750D0">
        <w:rPr>
          <w:rFonts w:ascii="Garamond" w:hAnsi="Garamond"/>
          <w:sz w:val="22"/>
          <w:szCs w:val="22"/>
          <w:lang w:val="es-ES"/>
        </w:rPr>
        <w:t xml:space="preserve">                            &lt;/podis:potentialTransformer&gt;                   </w:t>
      </w:r>
    </w:p>
    <w:p w14:paraId="447AB655" w14:textId="77777777" w:rsidR="00CE6209" w:rsidRPr="00E750D0" w:rsidRDefault="00CE6209" w:rsidP="00CE6209">
      <w:pPr>
        <w:spacing w:after="120"/>
        <w:ind w:left="567"/>
        <w:rPr>
          <w:rFonts w:ascii="Garamond" w:hAnsi="Garamond"/>
          <w:sz w:val="22"/>
          <w:szCs w:val="22"/>
          <w:lang w:val="es-ES"/>
        </w:rPr>
      </w:pPr>
      <w:r w:rsidRPr="00E750D0">
        <w:rPr>
          <w:rFonts w:ascii="Garamond" w:hAnsi="Garamond"/>
          <w:sz w:val="22"/>
          <w:szCs w:val="22"/>
          <w:lang w:val="es-ES"/>
        </w:rPr>
        <w:t xml:space="preserve">                        &lt;/podis:equipments&gt;</w:t>
      </w:r>
    </w:p>
    <w:p w14:paraId="32B1BBEA" w14:textId="77777777" w:rsidR="00CE6209" w:rsidRPr="00431AD6" w:rsidRDefault="00CE6209" w:rsidP="00CE6209">
      <w:pPr>
        <w:spacing w:after="120"/>
        <w:ind w:left="567"/>
        <w:rPr>
          <w:rFonts w:ascii="Garamond" w:hAnsi="Garamond"/>
          <w:sz w:val="22"/>
          <w:szCs w:val="22"/>
          <w:lang w:val="en-US"/>
        </w:rPr>
      </w:pPr>
      <w:r w:rsidRPr="00E750D0">
        <w:rPr>
          <w:rFonts w:ascii="Garamond" w:hAnsi="Garamond"/>
          <w:sz w:val="22"/>
          <w:szCs w:val="22"/>
          <w:lang w:val="es-ES"/>
        </w:rPr>
        <w:t xml:space="preserve">                    </w:t>
      </w:r>
      <w:r w:rsidRPr="00431AD6">
        <w:rPr>
          <w:rFonts w:ascii="Garamond" w:hAnsi="Garamond"/>
          <w:sz w:val="22"/>
          <w:szCs w:val="22"/>
          <w:lang w:val="en-US"/>
        </w:rPr>
        <w:t>&lt;/podis:accountPointRole&gt;</w:t>
      </w:r>
    </w:p>
    <w:p w14:paraId="6782BC19" w14:textId="77777777" w:rsidR="00CE6209" w:rsidRPr="00431AD6" w:rsidRDefault="00CE6209" w:rsidP="00CE6209">
      <w:pPr>
        <w:spacing w:after="120"/>
        <w:ind w:left="567"/>
        <w:rPr>
          <w:rFonts w:ascii="Garamond" w:hAnsi="Garamond"/>
          <w:sz w:val="22"/>
          <w:szCs w:val="22"/>
          <w:lang w:val="en-US"/>
        </w:rPr>
      </w:pPr>
      <w:r w:rsidRPr="00431AD6">
        <w:rPr>
          <w:rFonts w:ascii="Garamond" w:hAnsi="Garamond"/>
          <w:sz w:val="22"/>
          <w:szCs w:val="22"/>
          <w:lang w:val="en-US"/>
        </w:rPr>
        <w:t xml:space="preserve">                &lt;/podis:usagePoint&gt;</w:t>
      </w:r>
    </w:p>
    <w:p w14:paraId="1D76FED9" w14:textId="77777777" w:rsidR="00CE6209" w:rsidRPr="00431AD6" w:rsidRDefault="00CE6209" w:rsidP="00CE6209">
      <w:pPr>
        <w:spacing w:after="120"/>
        <w:ind w:left="567"/>
        <w:rPr>
          <w:rFonts w:ascii="Garamond" w:hAnsi="Garamond"/>
          <w:sz w:val="22"/>
          <w:szCs w:val="22"/>
          <w:lang w:val="en-US"/>
        </w:rPr>
      </w:pPr>
      <w:r w:rsidRPr="00431AD6">
        <w:rPr>
          <w:rFonts w:ascii="Garamond" w:hAnsi="Garamond"/>
          <w:sz w:val="22"/>
          <w:szCs w:val="22"/>
          <w:lang w:val="en-US"/>
        </w:rPr>
        <w:t xml:space="preserve">                &lt;podis:usagePoint&gt;</w:t>
      </w:r>
    </w:p>
    <w:p w14:paraId="791B96A8" w14:textId="77777777" w:rsidR="00CE6209" w:rsidRPr="00E750D0" w:rsidRDefault="00CE6209" w:rsidP="00CE6209">
      <w:pPr>
        <w:spacing w:after="120"/>
        <w:ind w:left="567"/>
        <w:rPr>
          <w:rFonts w:ascii="Garamond" w:hAnsi="Garamond"/>
          <w:sz w:val="22"/>
          <w:szCs w:val="22"/>
          <w:lang w:val="es-ES"/>
        </w:rPr>
      </w:pPr>
      <w:r w:rsidRPr="00431AD6">
        <w:rPr>
          <w:rFonts w:ascii="Garamond" w:hAnsi="Garamond"/>
          <w:sz w:val="22"/>
          <w:szCs w:val="22"/>
          <w:lang w:val="en-US"/>
        </w:rPr>
        <w:tab/>
        <w:t xml:space="preserve">        </w:t>
      </w:r>
      <w:r w:rsidRPr="00E750D0">
        <w:rPr>
          <w:rFonts w:ascii="Garamond" w:hAnsi="Garamond"/>
          <w:sz w:val="22"/>
          <w:szCs w:val="22"/>
          <w:lang w:val="es-ES"/>
        </w:rPr>
        <w:t>&lt;podis:guid&gt;222e4567-e89b-12d3-a456-426655440000&lt;/podis:guid&gt;</w:t>
      </w:r>
    </w:p>
    <w:p w14:paraId="326FA457" w14:textId="77777777" w:rsidR="00CE6209" w:rsidRPr="00431AD6" w:rsidRDefault="00CE6209" w:rsidP="00CE6209">
      <w:pPr>
        <w:spacing w:after="120"/>
        <w:ind w:left="567"/>
        <w:rPr>
          <w:rFonts w:ascii="Garamond" w:hAnsi="Garamond"/>
          <w:sz w:val="22"/>
          <w:szCs w:val="22"/>
          <w:lang w:val="en-US"/>
        </w:rPr>
      </w:pPr>
      <w:r w:rsidRPr="00E750D0">
        <w:rPr>
          <w:rFonts w:ascii="Garamond" w:hAnsi="Garamond"/>
          <w:sz w:val="22"/>
          <w:szCs w:val="22"/>
          <w:lang w:val="es-ES"/>
        </w:rPr>
        <w:t xml:space="preserve">                    </w:t>
      </w:r>
      <w:r w:rsidRPr="00431AD6">
        <w:rPr>
          <w:rFonts w:ascii="Garamond" w:hAnsi="Garamond"/>
          <w:sz w:val="22"/>
          <w:szCs w:val="22"/>
          <w:lang w:val="en-US"/>
        </w:rPr>
        <w:t>&lt;podis:name&gt;</w:t>
      </w:r>
      <w:r w:rsidRPr="00431AD6">
        <w:rPr>
          <w:rFonts w:ascii="Garamond" w:hAnsi="Garamond"/>
          <w:sz w:val="22"/>
          <w:szCs w:val="22"/>
        </w:rPr>
        <w:t>КРУ</w:t>
      </w:r>
      <w:r w:rsidRPr="00431AD6">
        <w:rPr>
          <w:rFonts w:ascii="Garamond" w:hAnsi="Garamond"/>
          <w:sz w:val="22"/>
          <w:szCs w:val="22"/>
          <w:lang w:val="en-US"/>
        </w:rPr>
        <w:t xml:space="preserve">-4, </w:t>
      </w:r>
      <w:r w:rsidRPr="00431AD6">
        <w:rPr>
          <w:rFonts w:ascii="Garamond" w:hAnsi="Garamond"/>
          <w:sz w:val="22"/>
          <w:szCs w:val="22"/>
        </w:rPr>
        <w:t>яч</w:t>
      </w:r>
      <w:r w:rsidRPr="00431AD6">
        <w:rPr>
          <w:rFonts w:ascii="Garamond" w:hAnsi="Garamond"/>
          <w:sz w:val="22"/>
          <w:szCs w:val="22"/>
          <w:lang w:val="en-US"/>
        </w:rPr>
        <w:t>. 7&lt;/podis:name&gt;</w:t>
      </w:r>
    </w:p>
    <w:p w14:paraId="00007A72" w14:textId="77777777" w:rsidR="00CE6209" w:rsidRPr="00E750D0" w:rsidRDefault="00CE6209" w:rsidP="00CE6209">
      <w:pPr>
        <w:spacing w:after="120"/>
        <w:ind w:left="567"/>
        <w:rPr>
          <w:rFonts w:ascii="Garamond" w:hAnsi="Garamond"/>
          <w:sz w:val="22"/>
          <w:szCs w:val="22"/>
          <w:lang w:val="es-ES"/>
        </w:rPr>
      </w:pPr>
      <w:r w:rsidRPr="00431AD6">
        <w:rPr>
          <w:rFonts w:ascii="Garamond" w:hAnsi="Garamond"/>
          <w:sz w:val="22"/>
          <w:szCs w:val="22"/>
          <w:lang w:val="en-US"/>
        </w:rPr>
        <w:t xml:space="preserve">                    </w:t>
      </w:r>
      <w:r w:rsidRPr="00E750D0">
        <w:rPr>
          <w:rFonts w:ascii="Garamond" w:hAnsi="Garamond"/>
          <w:sz w:val="22"/>
          <w:szCs w:val="22"/>
          <w:lang w:val="es-ES"/>
        </w:rPr>
        <w:t>&lt;podis:accountPointRole&gt;</w:t>
      </w:r>
    </w:p>
    <w:p w14:paraId="2D661CEA" w14:textId="77777777" w:rsidR="00CE6209" w:rsidRPr="00E750D0" w:rsidRDefault="00CE6209" w:rsidP="00CE6209">
      <w:pPr>
        <w:spacing w:after="120"/>
        <w:ind w:left="567"/>
        <w:rPr>
          <w:rFonts w:ascii="Garamond" w:hAnsi="Garamond"/>
          <w:sz w:val="22"/>
          <w:szCs w:val="22"/>
          <w:lang w:val="es-ES"/>
        </w:rPr>
      </w:pPr>
      <w:r w:rsidRPr="00E750D0">
        <w:rPr>
          <w:rFonts w:ascii="Garamond" w:hAnsi="Garamond"/>
          <w:sz w:val="22"/>
          <w:szCs w:val="22"/>
          <w:lang w:val="es-ES"/>
        </w:rPr>
        <w:t xml:space="preserve">                        &lt;podis:endDevices&gt;</w:t>
      </w:r>
    </w:p>
    <w:p w14:paraId="41700B03" w14:textId="77777777" w:rsidR="00CE6209" w:rsidRPr="00E750D0" w:rsidRDefault="00CE6209" w:rsidP="00CE6209">
      <w:pPr>
        <w:spacing w:after="120"/>
        <w:ind w:left="567"/>
        <w:rPr>
          <w:rFonts w:ascii="Garamond" w:hAnsi="Garamond"/>
          <w:sz w:val="22"/>
          <w:szCs w:val="22"/>
          <w:lang w:val="es-ES"/>
        </w:rPr>
      </w:pPr>
      <w:r w:rsidRPr="00E750D0">
        <w:rPr>
          <w:rFonts w:ascii="Garamond" w:hAnsi="Garamond"/>
          <w:sz w:val="22"/>
          <w:szCs w:val="22"/>
          <w:lang w:val="es-ES"/>
        </w:rPr>
        <w:t xml:space="preserve">                            &lt;podis:meter&gt;</w:t>
      </w:r>
    </w:p>
    <w:p w14:paraId="026336BA" w14:textId="77777777" w:rsidR="00CE6209" w:rsidRPr="00E750D0" w:rsidRDefault="00CE6209" w:rsidP="00CE6209">
      <w:pPr>
        <w:spacing w:after="120"/>
        <w:ind w:left="567"/>
        <w:rPr>
          <w:rFonts w:ascii="Garamond" w:hAnsi="Garamond"/>
          <w:sz w:val="22"/>
          <w:szCs w:val="22"/>
          <w:lang w:val="es-ES"/>
        </w:rPr>
      </w:pPr>
      <w:r w:rsidRPr="00E750D0">
        <w:rPr>
          <w:rFonts w:ascii="Garamond" w:hAnsi="Garamond"/>
          <w:sz w:val="22"/>
          <w:szCs w:val="22"/>
          <w:lang w:val="es-ES"/>
        </w:rPr>
        <w:tab/>
      </w:r>
      <w:r w:rsidRPr="00E750D0">
        <w:rPr>
          <w:rFonts w:ascii="Garamond" w:hAnsi="Garamond"/>
          <w:sz w:val="22"/>
          <w:szCs w:val="22"/>
          <w:lang w:val="es-ES"/>
        </w:rPr>
        <w:tab/>
        <w:t xml:space="preserve">        &lt;podis:guid&gt;678e4567-e89b-12d3-a456-426655440222&lt;/podis:guid&gt;</w:t>
      </w:r>
    </w:p>
    <w:p w14:paraId="33373FBC" w14:textId="77777777" w:rsidR="00CE6209" w:rsidRPr="00431AD6" w:rsidRDefault="00CE6209" w:rsidP="00CE6209">
      <w:pPr>
        <w:spacing w:after="120"/>
        <w:ind w:left="567"/>
        <w:rPr>
          <w:rFonts w:ascii="Garamond" w:hAnsi="Garamond"/>
          <w:sz w:val="22"/>
          <w:szCs w:val="22"/>
          <w:lang w:val="en-US"/>
        </w:rPr>
      </w:pPr>
      <w:r w:rsidRPr="00E750D0">
        <w:rPr>
          <w:rFonts w:ascii="Garamond" w:hAnsi="Garamond"/>
          <w:sz w:val="22"/>
          <w:szCs w:val="22"/>
          <w:lang w:val="es-ES"/>
        </w:rPr>
        <w:t xml:space="preserve">                                </w:t>
      </w:r>
      <w:r w:rsidRPr="00431AD6">
        <w:rPr>
          <w:rFonts w:ascii="Garamond" w:hAnsi="Garamond"/>
          <w:sz w:val="22"/>
          <w:szCs w:val="22"/>
          <w:lang w:val="en-US"/>
        </w:rPr>
        <w:t>&lt;podis:lifeCycleDate&gt;</w:t>
      </w:r>
    </w:p>
    <w:p w14:paraId="6994D1AF" w14:textId="77777777" w:rsidR="00CE6209" w:rsidRPr="00431AD6" w:rsidRDefault="00CE6209" w:rsidP="00CE6209">
      <w:pPr>
        <w:spacing w:after="120"/>
        <w:ind w:left="567"/>
        <w:rPr>
          <w:rFonts w:ascii="Garamond" w:hAnsi="Garamond"/>
          <w:sz w:val="22"/>
          <w:szCs w:val="22"/>
          <w:lang w:val="en-US"/>
        </w:rPr>
      </w:pPr>
      <w:r w:rsidRPr="00431AD6">
        <w:rPr>
          <w:rFonts w:ascii="Garamond" w:hAnsi="Garamond"/>
          <w:sz w:val="22"/>
          <w:szCs w:val="22"/>
          <w:lang w:val="en-US"/>
        </w:rPr>
        <w:t xml:space="preserve">                                    &lt;podis:nextDateValid&gt;2028-09-20&lt;/podis:nextDateValid&gt;</w:t>
      </w:r>
    </w:p>
    <w:p w14:paraId="0D3D14DF" w14:textId="77777777" w:rsidR="00CE6209" w:rsidRPr="00431AD6" w:rsidRDefault="00CE6209" w:rsidP="00CE6209">
      <w:pPr>
        <w:spacing w:after="120"/>
        <w:ind w:left="567"/>
        <w:rPr>
          <w:rFonts w:ascii="Garamond" w:hAnsi="Garamond"/>
          <w:sz w:val="22"/>
          <w:szCs w:val="22"/>
          <w:lang w:val="en-US"/>
        </w:rPr>
      </w:pPr>
      <w:r w:rsidRPr="00431AD6">
        <w:rPr>
          <w:rFonts w:ascii="Garamond" w:hAnsi="Garamond"/>
          <w:sz w:val="22"/>
          <w:szCs w:val="22"/>
          <w:lang w:val="en-US"/>
        </w:rPr>
        <w:t xml:space="preserve">                                &lt;/podis:lifeCycleDate&gt;</w:t>
      </w:r>
    </w:p>
    <w:p w14:paraId="7B5670DF" w14:textId="77777777" w:rsidR="00CE6209" w:rsidRPr="00431AD6" w:rsidRDefault="00CE6209" w:rsidP="00CE6209">
      <w:pPr>
        <w:spacing w:after="120"/>
        <w:ind w:left="567"/>
        <w:rPr>
          <w:rFonts w:ascii="Garamond" w:hAnsi="Garamond"/>
          <w:sz w:val="22"/>
          <w:szCs w:val="22"/>
          <w:lang w:val="en-US"/>
        </w:rPr>
      </w:pPr>
      <w:r w:rsidRPr="00431AD6">
        <w:rPr>
          <w:rFonts w:ascii="Garamond" w:hAnsi="Garamond"/>
          <w:sz w:val="22"/>
          <w:szCs w:val="22"/>
          <w:lang w:val="en-US"/>
        </w:rPr>
        <w:t xml:space="preserve">                                &lt;podis:serialNumber&gt;01218386&lt;/podis:serialNumber&gt;</w:t>
      </w:r>
    </w:p>
    <w:p w14:paraId="3E350E40" w14:textId="77777777" w:rsidR="00CE6209" w:rsidRPr="00431AD6" w:rsidRDefault="00CE6209" w:rsidP="00CE6209">
      <w:pPr>
        <w:spacing w:after="120"/>
        <w:ind w:left="567"/>
        <w:rPr>
          <w:rFonts w:ascii="Garamond" w:hAnsi="Garamond"/>
          <w:sz w:val="22"/>
          <w:szCs w:val="22"/>
          <w:lang w:val="en-US"/>
        </w:rPr>
      </w:pPr>
      <w:r w:rsidRPr="00431AD6">
        <w:rPr>
          <w:rFonts w:ascii="Garamond" w:hAnsi="Garamond"/>
          <w:sz w:val="22"/>
          <w:szCs w:val="22"/>
          <w:lang w:val="en-US"/>
        </w:rPr>
        <w:tab/>
      </w:r>
      <w:r w:rsidRPr="00431AD6">
        <w:rPr>
          <w:rFonts w:ascii="Garamond" w:hAnsi="Garamond"/>
          <w:sz w:val="22"/>
          <w:szCs w:val="22"/>
          <w:lang w:val="en-US"/>
        </w:rPr>
        <w:tab/>
        <w:t xml:space="preserve">        &lt;podis:n-active-channels&gt;1&lt;/podis:n-active-channels&gt;</w:t>
      </w:r>
    </w:p>
    <w:p w14:paraId="1470952E" w14:textId="77777777" w:rsidR="00CE6209" w:rsidRPr="00431AD6" w:rsidRDefault="00CE6209" w:rsidP="00CE6209">
      <w:pPr>
        <w:spacing w:after="120"/>
        <w:ind w:left="567"/>
        <w:rPr>
          <w:rFonts w:ascii="Garamond" w:hAnsi="Garamond"/>
          <w:sz w:val="22"/>
          <w:szCs w:val="22"/>
          <w:lang w:val="en-US"/>
        </w:rPr>
      </w:pPr>
      <w:r w:rsidRPr="00431AD6">
        <w:rPr>
          <w:rFonts w:ascii="Garamond" w:hAnsi="Garamond"/>
          <w:sz w:val="22"/>
          <w:szCs w:val="22"/>
          <w:lang w:val="en-US"/>
        </w:rPr>
        <w:tab/>
      </w:r>
      <w:r w:rsidRPr="00431AD6">
        <w:rPr>
          <w:rFonts w:ascii="Garamond" w:hAnsi="Garamond"/>
          <w:sz w:val="22"/>
          <w:szCs w:val="22"/>
          <w:lang w:val="en-US"/>
        </w:rPr>
        <w:tab/>
        <w:t xml:space="preserve">        &lt;podis:n-reactive-channels&gt;1&lt;/podis:n-reactive-channels&gt;</w:t>
      </w:r>
    </w:p>
    <w:p w14:paraId="3E17B6B7" w14:textId="77777777" w:rsidR="00CE6209" w:rsidRPr="00431AD6" w:rsidRDefault="00CE6209" w:rsidP="00CE6209">
      <w:pPr>
        <w:spacing w:after="120"/>
        <w:ind w:left="567"/>
        <w:rPr>
          <w:rFonts w:ascii="Garamond" w:hAnsi="Garamond"/>
          <w:sz w:val="22"/>
          <w:szCs w:val="22"/>
          <w:lang w:val="en-US"/>
        </w:rPr>
      </w:pPr>
      <w:r w:rsidRPr="00431AD6">
        <w:rPr>
          <w:rFonts w:ascii="Garamond" w:hAnsi="Garamond"/>
          <w:sz w:val="22"/>
          <w:szCs w:val="22"/>
          <w:lang w:val="en-US"/>
        </w:rPr>
        <w:t xml:space="preserve">                                &lt;podis:meterInfoLink&gt;</w:t>
      </w:r>
    </w:p>
    <w:p w14:paraId="2EC95C61" w14:textId="77777777" w:rsidR="00CE6209" w:rsidRPr="00431AD6" w:rsidRDefault="00CE6209" w:rsidP="00CE6209">
      <w:pPr>
        <w:spacing w:after="120"/>
        <w:ind w:left="567"/>
        <w:rPr>
          <w:rFonts w:ascii="Garamond" w:hAnsi="Garamond"/>
          <w:sz w:val="22"/>
          <w:szCs w:val="22"/>
          <w:lang w:val="en-US"/>
        </w:rPr>
      </w:pPr>
      <w:r w:rsidRPr="00431AD6">
        <w:rPr>
          <w:rFonts w:ascii="Garamond" w:hAnsi="Garamond"/>
          <w:sz w:val="22"/>
          <w:szCs w:val="22"/>
          <w:lang w:val="en-US"/>
        </w:rPr>
        <w:t xml:space="preserve">                                    &lt;podis:measuring-tool-code&gt;559A7B5B54F30471E0530A01490A6E4F&lt;/podis:measuring-tool-code&gt;</w:t>
      </w:r>
    </w:p>
    <w:p w14:paraId="7DE9BD2A" w14:textId="77777777" w:rsidR="00CE6209" w:rsidRPr="00431AD6" w:rsidRDefault="00CE6209" w:rsidP="00CE6209">
      <w:pPr>
        <w:spacing w:after="120"/>
        <w:ind w:left="567"/>
        <w:rPr>
          <w:rFonts w:ascii="Garamond" w:hAnsi="Garamond"/>
          <w:sz w:val="22"/>
          <w:szCs w:val="22"/>
          <w:lang w:val="en-US"/>
        </w:rPr>
      </w:pPr>
      <w:r w:rsidRPr="00431AD6">
        <w:rPr>
          <w:rFonts w:ascii="Garamond" w:hAnsi="Garamond"/>
          <w:sz w:val="22"/>
          <w:szCs w:val="22"/>
          <w:lang w:val="en-US"/>
        </w:rPr>
        <w:t xml:space="preserve">                                    &lt;podis:modelNumber&gt;A1805RAL-P4GE-DW-4&lt;/podis:modelNumber&gt;</w:t>
      </w:r>
    </w:p>
    <w:p w14:paraId="0B0B02DA" w14:textId="77777777" w:rsidR="00CE6209" w:rsidRPr="00431AD6" w:rsidRDefault="00CE6209" w:rsidP="00CE6209">
      <w:pPr>
        <w:spacing w:after="120"/>
        <w:ind w:left="567"/>
        <w:rPr>
          <w:rFonts w:ascii="Garamond" w:hAnsi="Garamond"/>
          <w:sz w:val="22"/>
          <w:szCs w:val="22"/>
          <w:lang w:val="en-US"/>
        </w:rPr>
      </w:pPr>
      <w:r w:rsidRPr="00431AD6">
        <w:rPr>
          <w:rFonts w:ascii="Garamond" w:hAnsi="Garamond"/>
          <w:sz w:val="22"/>
          <w:szCs w:val="22"/>
          <w:lang w:val="en-US"/>
        </w:rPr>
        <w:t xml:space="preserve">                                    &lt;podis:accuracyClass&gt;0.5S&lt;/podis:accuracyClass&gt;</w:t>
      </w:r>
    </w:p>
    <w:p w14:paraId="40790BC9" w14:textId="77777777" w:rsidR="00CE6209" w:rsidRPr="00431AD6" w:rsidRDefault="00CE6209" w:rsidP="00CE6209">
      <w:pPr>
        <w:spacing w:after="120"/>
        <w:ind w:left="567"/>
        <w:rPr>
          <w:rFonts w:ascii="Garamond" w:hAnsi="Garamond"/>
          <w:sz w:val="22"/>
          <w:szCs w:val="22"/>
          <w:lang w:val="en-US"/>
        </w:rPr>
      </w:pPr>
      <w:r w:rsidRPr="00431AD6">
        <w:rPr>
          <w:rFonts w:ascii="Garamond" w:hAnsi="Garamond"/>
          <w:sz w:val="22"/>
          <w:szCs w:val="22"/>
          <w:lang w:val="en-US"/>
        </w:rPr>
        <w:t xml:space="preserve">                                    &lt;podis:accuracyClassR&gt;1.0&lt;/podis:accuracyClassR&gt;</w:t>
      </w:r>
    </w:p>
    <w:p w14:paraId="7EC5E666" w14:textId="77777777" w:rsidR="00CE6209" w:rsidRPr="00431AD6" w:rsidRDefault="00CE6209" w:rsidP="00CE6209">
      <w:pPr>
        <w:spacing w:after="120"/>
        <w:ind w:left="567"/>
        <w:rPr>
          <w:rFonts w:ascii="Garamond" w:hAnsi="Garamond"/>
          <w:sz w:val="22"/>
          <w:szCs w:val="22"/>
          <w:lang w:val="en-US"/>
        </w:rPr>
      </w:pPr>
      <w:r w:rsidRPr="00431AD6">
        <w:rPr>
          <w:rFonts w:ascii="Garamond" w:hAnsi="Garamond"/>
          <w:sz w:val="22"/>
          <w:szCs w:val="22"/>
          <w:lang w:val="en-US"/>
        </w:rPr>
        <w:t xml:space="preserve">                                    &lt;podis:regNumber&gt;31857-06&lt;/podis:regNumber&gt;</w:t>
      </w:r>
    </w:p>
    <w:p w14:paraId="0924C2BB" w14:textId="77777777" w:rsidR="00CE6209" w:rsidRPr="00431AD6" w:rsidRDefault="00CE6209" w:rsidP="00CE6209">
      <w:pPr>
        <w:spacing w:after="120"/>
        <w:ind w:left="567"/>
        <w:rPr>
          <w:rFonts w:ascii="Garamond" w:hAnsi="Garamond"/>
          <w:sz w:val="22"/>
          <w:szCs w:val="22"/>
          <w:lang w:val="en-US"/>
        </w:rPr>
      </w:pPr>
      <w:r w:rsidRPr="00431AD6">
        <w:rPr>
          <w:rFonts w:ascii="Garamond" w:hAnsi="Garamond"/>
          <w:sz w:val="22"/>
          <w:szCs w:val="22"/>
          <w:lang w:val="en-US"/>
        </w:rPr>
        <w:lastRenderedPageBreak/>
        <w:t xml:space="preserve">                                &lt;/podis:meterInfoLink&gt;</w:t>
      </w:r>
    </w:p>
    <w:p w14:paraId="624F3428" w14:textId="77777777" w:rsidR="00CE6209" w:rsidRPr="00431AD6" w:rsidRDefault="00CE6209" w:rsidP="00CE6209">
      <w:pPr>
        <w:spacing w:after="120"/>
        <w:ind w:left="567"/>
        <w:rPr>
          <w:rFonts w:ascii="Garamond" w:hAnsi="Garamond"/>
          <w:sz w:val="22"/>
          <w:szCs w:val="22"/>
          <w:lang w:val="en-US"/>
        </w:rPr>
      </w:pPr>
      <w:r w:rsidRPr="00431AD6">
        <w:rPr>
          <w:rFonts w:ascii="Garamond" w:hAnsi="Garamond"/>
          <w:sz w:val="22"/>
          <w:szCs w:val="22"/>
          <w:lang w:val="en-US"/>
        </w:rPr>
        <w:t xml:space="preserve">                            &lt;/podis:meter&gt;</w:t>
      </w:r>
    </w:p>
    <w:p w14:paraId="1390D387" w14:textId="77777777" w:rsidR="00CE6209" w:rsidRPr="00431AD6" w:rsidRDefault="00CE6209" w:rsidP="00CE6209">
      <w:pPr>
        <w:spacing w:after="120"/>
        <w:ind w:left="567"/>
        <w:rPr>
          <w:rFonts w:ascii="Garamond" w:hAnsi="Garamond"/>
          <w:sz w:val="22"/>
          <w:szCs w:val="22"/>
          <w:lang w:val="en-US"/>
        </w:rPr>
      </w:pPr>
      <w:r w:rsidRPr="00431AD6">
        <w:rPr>
          <w:rFonts w:ascii="Garamond" w:hAnsi="Garamond"/>
          <w:sz w:val="22"/>
          <w:szCs w:val="22"/>
          <w:lang w:val="en-US"/>
        </w:rPr>
        <w:t xml:space="preserve">                            &lt;podis:rtu&gt;</w:t>
      </w:r>
    </w:p>
    <w:p w14:paraId="360F9239" w14:textId="77777777" w:rsidR="00CE6209" w:rsidRPr="00431AD6" w:rsidRDefault="00CE6209" w:rsidP="00CE6209">
      <w:pPr>
        <w:spacing w:after="120"/>
        <w:ind w:left="567"/>
        <w:rPr>
          <w:rFonts w:ascii="Garamond" w:hAnsi="Garamond"/>
          <w:sz w:val="22"/>
          <w:szCs w:val="22"/>
          <w:lang w:val="en-US"/>
        </w:rPr>
      </w:pPr>
      <w:r w:rsidRPr="00431AD6">
        <w:rPr>
          <w:rFonts w:ascii="Garamond" w:hAnsi="Garamond"/>
          <w:sz w:val="22"/>
          <w:szCs w:val="22"/>
          <w:lang w:val="en-US"/>
        </w:rPr>
        <w:t xml:space="preserve">                                &lt;podis:lifeCycleDate&gt;</w:t>
      </w:r>
    </w:p>
    <w:p w14:paraId="0E6966AF" w14:textId="77777777" w:rsidR="00CE6209" w:rsidRPr="00431AD6" w:rsidRDefault="00CE6209" w:rsidP="00CE6209">
      <w:pPr>
        <w:spacing w:after="120"/>
        <w:ind w:left="567"/>
        <w:rPr>
          <w:rFonts w:ascii="Garamond" w:hAnsi="Garamond"/>
          <w:sz w:val="22"/>
          <w:szCs w:val="22"/>
          <w:lang w:val="en-US"/>
        </w:rPr>
      </w:pPr>
      <w:r w:rsidRPr="00431AD6">
        <w:rPr>
          <w:rFonts w:ascii="Garamond" w:hAnsi="Garamond"/>
          <w:sz w:val="22"/>
          <w:szCs w:val="22"/>
          <w:lang w:val="en-US"/>
        </w:rPr>
        <w:t xml:space="preserve">                                    &lt;podis:nextDateValid&gt;2024-07-06&lt;/podis:nextDateValid&gt;</w:t>
      </w:r>
    </w:p>
    <w:p w14:paraId="7C94F01B" w14:textId="77777777" w:rsidR="00CE6209" w:rsidRPr="00431AD6" w:rsidRDefault="00CE6209" w:rsidP="00CE6209">
      <w:pPr>
        <w:spacing w:after="120"/>
        <w:ind w:left="567"/>
        <w:rPr>
          <w:rFonts w:ascii="Garamond" w:hAnsi="Garamond"/>
          <w:sz w:val="22"/>
          <w:szCs w:val="22"/>
          <w:lang w:val="en-US"/>
        </w:rPr>
      </w:pPr>
      <w:r w:rsidRPr="00431AD6">
        <w:rPr>
          <w:rFonts w:ascii="Garamond" w:hAnsi="Garamond"/>
          <w:sz w:val="22"/>
          <w:szCs w:val="22"/>
          <w:lang w:val="en-US"/>
        </w:rPr>
        <w:t xml:space="preserve">                                &lt;/podis:lifeCycleDate&gt;</w:t>
      </w:r>
    </w:p>
    <w:p w14:paraId="78CC4646" w14:textId="77777777" w:rsidR="00CE6209" w:rsidRPr="00431AD6" w:rsidRDefault="00CE6209" w:rsidP="00CE6209">
      <w:pPr>
        <w:spacing w:after="120"/>
        <w:ind w:left="567"/>
        <w:rPr>
          <w:rFonts w:ascii="Garamond" w:hAnsi="Garamond"/>
          <w:sz w:val="22"/>
          <w:szCs w:val="22"/>
          <w:lang w:val="en-US"/>
        </w:rPr>
      </w:pPr>
      <w:r w:rsidRPr="00431AD6">
        <w:rPr>
          <w:rFonts w:ascii="Garamond" w:hAnsi="Garamond"/>
          <w:sz w:val="22"/>
          <w:szCs w:val="22"/>
          <w:lang w:val="en-US"/>
        </w:rPr>
        <w:t xml:space="preserve">                                &lt;podis:serialNumber&gt;000888&lt;/podis:serialNumber&gt;</w:t>
      </w:r>
    </w:p>
    <w:p w14:paraId="4FB0DF0B" w14:textId="77777777" w:rsidR="00CE6209" w:rsidRPr="00431AD6" w:rsidRDefault="00CE6209" w:rsidP="00CE6209">
      <w:pPr>
        <w:spacing w:after="120"/>
        <w:ind w:left="567"/>
        <w:rPr>
          <w:rFonts w:ascii="Garamond" w:hAnsi="Garamond"/>
          <w:sz w:val="22"/>
          <w:szCs w:val="22"/>
          <w:lang w:val="en-US"/>
        </w:rPr>
      </w:pPr>
      <w:r w:rsidRPr="00431AD6">
        <w:rPr>
          <w:rFonts w:ascii="Garamond" w:hAnsi="Garamond"/>
          <w:sz w:val="22"/>
          <w:szCs w:val="22"/>
          <w:lang w:val="en-US"/>
        </w:rPr>
        <w:t xml:space="preserve">                                &lt;podis:rtuInfoLink&gt;</w:t>
      </w:r>
    </w:p>
    <w:p w14:paraId="4F698D53" w14:textId="77777777" w:rsidR="00CE6209" w:rsidRPr="00431AD6" w:rsidRDefault="00CE6209" w:rsidP="00CE6209">
      <w:pPr>
        <w:spacing w:after="120"/>
        <w:ind w:left="567"/>
        <w:rPr>
          <w:rFonts w:ascii="Garamond" w:hAnsi="Garamond"/>
          <w:sz w:val="22"/>
          <w:szCs w:val="22"/>
          <w:lang w:val="en-US"/>
        </w:rPr>
      </w:pPr>
      <w:r w:rsidRPr="00431AD6">
        <w:rPr>
          <w:rFonts w:ascii="Garamond" w:hAnsi="Garamond"/>
          <w:sz w:val="22"/>
          <w:szCs w:val="22"/>
          <w:lang w:val="en-US"/>
        </w:rPr>
        <w:t xml:space="preserve">                                    &lt;podis:measuring-tool-code&gt;119A7B5B54F30471E0530A01490A6E4F&lt;/podis:measuring-tool-code&gt;</w:t>
      </w:r>
    </w:p>
    <w:p w14:paraId="1F5F8B50" w14:textId="77777777" w:rsidR="00CE6209" w:rsidRPr="00431AD6" w:rsidRDefault="00CE6209" w:rsidP="00CE6209">
      <w:pPr>
        <w:spacing w:after="120"/>
        <w:ind w:left="567"/>
        <w:rPr>
          <w:rFonts w:ascii="Garamond" w:hAnsi="Garamond"/>
          <w:sz w:val="22"/>
          <w:szCs w:val="22"/>
          <w:lang w:val="en-US"/>
        </w:rPr>
      </w:pPr>
      <w:r w:rsidRPr="00431AD6">
        <w:rPr>
          <w:rFonts w:ascii="Garamond" w:hAnsi="Garamond"/>
          <w:sz w:val="22"/>
          <w:szCs w:val="22"/>
          <w:lang w:val="en-US"/>
        </w:rPr>
        <w:t xml:space="preserve">                                    &lt;podis:modelNumber&gt;RTU-325H&lt;/podis:modelNumber&gt;</w:t>
      </w:r>
    </w:p>
    <w:p w14:paraId="2F702D97" w14:textId="77777777" w:rsidR="00CE6209" w:rsidRPr="00431AD6" w:rsidRDefault="00CE6209" w:rsidP="00CE6209">
      <w:pPr>
        <w:spacing w:after="120"/>
        <w:ind w:left="567"/>
        <w:rPr>
          <w:rFonts w:ascii="Garamond" w:hAnsi="Garamond"/>
          <w:sz w:val="22"/>
          <w:szCs w:val="22"/>
          <w:lang w:val="en-US"/>
        </w:rPr>
      </w:pPr>
      <w:r w:rsidRPr="00431AD6">
        <w:rPr>
          <w:rFonts w:ascii="Garamond" w:hAnsi="Garamond"/>
          <w:sz w:val="22"/>
          <w:szCs w:val="22"/>
          <w:lang w:val="en-US"/>
        </w:rPr>
        <w:t xml:space="preserve">                                    &lt;podis:regNumber&gt;44626-10&lt;/podis:regNumber&gt;</w:t>
      </w:r>
    </w:p>
    <w:p w14:paraId="7D91D62A" w14:textId="77777777" w:rsidR="00CE6209" w:rsidRPr="00431AD6" w:rsidRDefault="00CE6209" w:rsidP="00CE6209">
      <w:pPr>
        <w:spacing w:after="120"/>
        <w:ind w:left="567"/>
        <w:rPr>
          <w:rFonts w:ascii="Garamond" w:hAnsi="Garamond"/>
          <w:sz w:val="22"/>
          <w:szCs w:val="22"/>
          <w:lang w:val="en-US"/>
        </w:rPr>
      </w:pPr>
      <w:r w:rsidRPr="00431AD6">
        <w:rPr>
          <w:rFonts w:ascii="Garamond" w:hAnsi="Garamond"/>
          <w:sz w:val="22"/>
          <w:szCs w:val="22"/>
          <w:lang w:val="en-US"/>
        </w:rPr>
        <w:t xml:space="preserve">                                &lt;/podis:rtuInfoLink&gt;</w:t>
      </w:r>
    </w:p>
    <w:p w14:paraId="5ED20111" w14:textId="77777777" w:rsidR="00CE6209" w:rsidRPr="00431AD6" w:rsidRDefault="00CE6209" w:rsidP="00CE6209">
      <w:pPr>
        <w:spacing w:after="120"/>
        <w:ind w:left="567"/>
        <w:rPr>
          <w:rFonts w:ascii="Garamond" w:hAnsi="Garamond"/>
          <w:sz w:val="22"/>
          <w:szCs w:val="22"/>
          <w:lang w:val="en-US"/>
        </w:rPr>
      </w:pPr>
      <w:r w:rsidRPr="00431AD6">
        <w:rPr>
          <w:rFonts w:ascii="Garamond" w:hAnsi="Garamond"/>
          <w:sz w:val="22"/>
          <w:szCs w:val="22"/>
          <w:lang w:val="en-US"/>
        </w:rPr>
        <w:t xml:space="preserve">                            &lt;/podis:rtu&gt;</w:t>
      </w:r>
    </w:p>
    <w:p w14:paraId="397FD419" w14:textId="77777777" w:rsidR="00CE6209" w:rsidRPr="00431AD6" w:rsidRDefault="00CE6209" w:rsidP="00CE6209">
      <w:pPr>
        <w:spacing w:after="120"/>
        <w:ind w:left="567"/>
        <w:rPr>
          <w:rFonts w:ascii="Garamond" w:hAnsi="Garamond"/>
          <w:sz w:val="22"/>
          <w:szCs w:val="22"/>
          <w:lang w:val="en-US"/>
        </w:rPr>
      </w:pPr>
      <w:r w:rsidRPr="00431AD6">
        <w:rPr>
          <w:rFonts w:ascii="Garamond" w:hAnsi="Garamond"/>
          <w:sz w:val="22"/>
          <w:szCs w:val="22"/>
          <w:lang w:val="en-US"/>
        </w:rPr>
        <w:t xml:space="preserve">                        &lt;/podis:endDevices&gt;</w:t>
      </w:r>
    </w:p>
    <w:p w14:paraId="77F8A4A3" w14:textId="77777777" w:rsidR="00CE6209" w:rsidRPr="00431AD6" w:rsidRDefault="00CE6209" w:rsidP="00CE6209">
      <w:pPr>
        <w:spacing w:after="120"/>
        <w:ind w:left="567"/>
        <w:rPr>
          <w:rFonts w:ascii="Garamond" w:hAnsi="Garamond"/>
          <w:sz w:val="22"/>
          <w:szCs w:val="22"/>
          <w:lang w:val="en-US"/>
        </w:rPr>
      </w:pPr>
      <w:r w:rsidRPr="00431AD6">
        <w:rPr>
          <w:rFonts w:ascii="Garamond" w:hAnsi="Garamond"/>
          <w:sz w:val="22"/>
          <w:szCs w:val="22"/>
          <w:lang w:val="en-US"/>
        </w:rPr>
        <w:t xml:space="preserve">                        &lt;podis:equipments&gt;</w:t>
      </w:r>
    </w:p>
    <w:p w14:paraId="18D0EE17" w14:textId="77777777" w:rsidR="00CE6209" w:rsidRPr="00431AD6" w:rsidRDefault="00CE6209" w:rsidP="00CE6209">
      <w:pPr>
        <w:spacing w:after="120"/>
        <w:ind w:left="567"/>
        <w:rPr>
          <w:rFonts w:ascii="Garamond" w:hAnsi="Garamond"/>
          <w:sz w:val="22"/>
          <w:szCs w:val="22"/>
          <w:lang w:val="en-US"/>
        </w:rPr>
      </w:pPr>
      <w:r w:rsidRPr="00431AD6">
        <w:rPr>
          <w:rFonts w:ascii="Garamond" w:hAnsi="Garamond"/>
          <w:sz w:val="22"/>
          <w:szCs w:val="22"/>
          <w:lang w:val="en-US"/>
        </w:rPr>
        <w:t xml:space="preserve">                            &lt;podis:currentTransformer&gt;</w:t>
      </w:r>
    </w:p>
    <w:p w14:paraId="224A98FC" w14:textId="77777777" w:rsidR="00CE6209" w:rsidRPr="00431AD6" w:rsidRDefault="00CE6209" w:rsidP="00CE6209">
      <w:pPr>
        <w:spacing w:after="120"/>
        <w:ind w:left="567"/>
        <w:rPr>
          <w:rFonts w:ascii="Garamond" w:hAnsi="Garamond"/>
          <w:sz w:val="22"/>
          <w:szCs w:val="22"/>
          <w:lang w:val="en-US"/>
        </w:rPr>
      </w:pPr>
      <w:r w:rsidRPr="00431AD6">
        <w:rPr>
          <w:rFonts w:ascii="Garamond" w:hAnsi="Garamond"/>
          <w:sz w:val="22"/>
          <w:szCs w:val="22"/>
          <w:lang w:val="en-US"/>
        </w:rPr>
        <w:t xml:space="preserve">                                &lt;podis:serialNumber&gt;21-40724&lt;/podis:serialNumber&gt;</w:t>
      </w:r>
    </w:p>
    <w:p w14:paraId="22DBD0F8" w14:textId="77777777" w:rsidR="00CE6209" w:rsidRPr="00431AD6" w:rsidRDefault="00CE6209" w:rsidP="00CE6209">
      <w:pPr>
        <w:spacing w:after="120"/>
        <w:ind w:left="567"/>
        <w:rPr>
          <w:rFonts w:ascii="Garamond" w:hAnsi="Garamond"/>
          <w:sz w:val="22"/>
          <w:szCs w:val="22"/>
          <w:lang w:val="en-US"/>
        </w:rPr>
      </w:pPr>
      <w:r w:rsidRPr="00431AD6">
        <w:rPr>
          <w:rFonts w:ascii="Garamond" w:hAnsi="Garamond"/>
          <w:sz w:val="22"/>
          <w:szCs w:val="22"/>
          <w:lang w:val="en-US"/>
        </w:rPr>
        <w:t xml:space="preserve">                                &lt;podis:customAttributes&gt;</w:t>
      </w:r>
    </w:p>
    <w:p w14:paraId="65EC7044" w14:textId="77777777" w:rsidR="00CE6209" w:rsidRPr="00431AD6" w:rsidRDefault="00CE6209" w:rsidP="00CE6209">
      <w:pPr>
        <w:spacing w:after="120"/>
        <w:ind w:left="567"/>
        <w:rPr>
          <w:rFonts w:ascii="Garamond" w:hAnsi="Garamond"/>
          <w:sz w:val="22"/>
          <w:szCs w:val="22"/>
          <w:lang w:val="en-US"/>
        </w:rPr>
      </w:pPr>
      <w:r w:rsidRPr="00431AD6">
        <w:rPr>
          <w:rFonts w:ascii="Garamond" w:hAnsi="Garamond"/>
          <w:sz w:val="22"/>
          <w:szCs w:val="22"/>
          <w:lang w:val="en-US"/>
        </w:rPr>
        <w:t xml:space="preserve">                                    &lt;podis:name&gt;assetOwnerKind&lt;/podis:name&gt;</w:t>
      </w:r>
    </w:p>
    <w:p w14:paraId="3A9BC70E" w14:textId="77777777" w:rsidR="00CE6209" w:rsidRPr="00431AD6" w:rsidRDefault="00CE6209" w:rsidP="00CE6209">
      <w:pPr>
        <w:spacing w:after="120"/>
        <w:ind w:left="567"/>
        <w:rPr>
          <w:rFonts w:ascii="Garamond" w:hAnsi="Garamond"/>
          <w:sz w:val="22"/>
          <w:szCs w:val="22"/>
          <w:lang w:val="en-US"/>
        </w:rPr>
      </w:pPr>
      <w:r w:rsidRPr="00431AD6">
        <w:rPr>
          <w:rFonts w:ascii="Garamond" w:hAnsi="Garamond"/>
          <w:sz w:val="22"/>
          <w:szCs w:val="22"/>
          <w:lang w:val="en-US"/>
        </w:rPr>
        <w:t xml:space="preserve">                                    &lt;podis:value&gt;tso_or_gp&lt;/podis:value&gt;</w:t>
      </w:r>
    </w:p>
    <w:p w14:paraId="05304293" w14:textId="77777777" w:rsidR="00CE6209" w:rsidRPr="00431AD6" w:rsidRDefault="00CE6209" w:rsidP="00CE6209">
      <w:pPr>
        <w:spacing w:after="120"/>
        <w:ind w:left="567"/>
        <w:rPr>
          <w:rFonts w:ascii="Garamond" w:hAnsi="Garamond"/>
          <w:sz w:val="22"/>
          <w:szCs w:val="22"/>
          <w:lang w:val="en-US"/>
        </w:rPr>
      </w:pPr>
      <w:r w:rsidRPr="00431AD6">
        <w:rPr>
          <w:rFonts w:ascii="Garamond" w:hAnsi="Garamond"/>
          <w:sz w:val="22"/>
          <w:szCs w:val="22"/>
          <w:lang w:val="en-US"/>
        </w:rPr>
        <w:t xml:space="preserve">                                &lt;/podis:customAttributes&gt;</w:t>
      </w:r>
    </w:p>
    <w:p w14:paraId="2776B6C1" w14:textId="77777777" w:rsidR="00CE6209" w:rsidRPr="00431AD6" w:rsidRDefault="00CE6209" w:rsidP="00CE6209">
      <w:pPr>
        <w:spacing w:after="120"/>
        <w:ind w:left="567"/>
        <w:rPr>
          <w:rFonts w:ascii="Garamond" w:hAnsi="Garamond"/>
          <w:sz w:val="22"/>
          <w:szCs w:val="22"/>
          <w:lang w:val="en-US"/>
        </w:rPr>
      </w:pPr>
      <w:r w:rsidRPr="00431AD6">
        <w:rPr>
          <w:rFonts w:ascii="Garamond" w:hAnsi="Garamond"/>
          <w:sz w:val="22"/>
          <w:szCs w:val="22"/>
          <w:lang w:val="en-US"/>
        </w:rPr>
        <w:t xml:space="preserve">                                &lt;podis:lifeCycleDate&gt;</w:t>
      </w:r>
    </w:p>
    <w:p w14:paraId="104DCA2E" w14:textId="77777777" w:rsidR="00CE6209" w:rsidRPr="00431AD6" w:rsidRDefault="00CE6209" w:rsidP="00CE6209">
      <w:pPr>
        <w:spacing w:after="120"/>
        <w:ind w:left="567"/>
        <w:rPr>
          <w:rFonts w:ascii="Garamond" w:hAnsi="Garamond"/>
          <w:sz w:val="22"/>
          <w:szCs w:val="22"/>
          <w:lang w:val="en-US"/>
        </w:rPr>
      </w:pPr>
      <w:r w:rsidRPr="00431AD6">
        <w:rPr>
          <w:rFonts w:ascii="Garamond" w:hAnsi="Garamond"/>
          <w:sz w:val="22"/>
          <w:szCs w:val="22"/>
          <w:lang w:val="en-US"/>
        </w:rPr>
        <w:t xml:space="preserve">                                    &lt;podis:nextDateValid&gt;2026-12-03&lt;/podis:nextDateValid&gt;</w:t>
      </w:r>
    </w:p>
    <w:p w14:paraId="135205CE" w14:textId="77777777" w:rsidR="00CE6209" w:rsidRPr="00431AD6" w:rsidRDefault="00CE6209" w:rsidP="00CE6209">
      <w:pPr>
        <w:spacing w:after="120"/>
        <w:ind w:left="567"/>
        <w:rPr>
          <w:rFonts w:ascii="Garamond" w:hAnsi="Garamond"/>
          <w:sz w:val="22"/>
          <w:szCs w:val="22"/>
          <w:lang w:val="en-US"/>
        </w:rPr>
      </w:pPr>
      <w:r w:rsidRPr="00431AD6">
        <w:rPr>
          <w:rFonts w:ascii="Garamond" w:hAnsi="Garamond"/>
          <w:sz w:val="22"/>
          <w:szCs w:val="22"/>
          <w:lang w:val="en-US"/>
        </w:rPr>
        <w:t xml:space="preserve">                                &lt;/podis:lifeCycleDate&gt;</w:t>
      </w:r>
    </w:p>
    <w:p w14:paraId="4CB56110" w14:textId="77777777" w:rsidR="00CE6209" w:rsidRPr="00431AD6" w:rsidRDefault="00CE6209" w:rsidP="00CE6209">
      <w:pPr>
        <w:spacing w:after="120"/>
        <w:ind w:left="567"/>
        <w:rPr>
          <w:rFonts w:ascii="Garamond" w:hAnsi="Garamond"/>
          <w:sz w:val="22"/>
          <w:szCs w:val="22"/>
          <w:lang w:val="en-US"/>
        </w:rPr>
      </w:pPr>
      <w:r w:rsidRPr="00431AD6">
        <w:rPr>
          <w:rFonts w:ascii="Garamond" w:hAnsi="Garamond"/>
          <w:sz w:val="22"/>
          <w:szCs w:val="22"/>
          <w:lang w:val="en-US"/>
        </w:rPr>
        <w:t xml:space="preserve">                                &lt;podis:currentTransformerInfo&gt;</w:t>
      </w:r>
    </w:p>
    <w:p w14:paraId="6559899D" w14:textId="77777777" w:rsidR="00CE6209" w:rsidRPr="00431AD6" w:rsidRDefault="00CE6209" w:rsidP="00CE6209">
      <w:pPr>
        <w:spacing w:after="120"/>
        <w:ind w:left="567"/>
        <w:rPr>
          <w:rFonts w:ascii="Garamond" w:hAnsi="Garamond"/>
          <w:sz w:val="22"/>
          <w:szCs w:val="22"/>
          <w:lang w:val="en-US"/>
        </w:rPr>
      </w:pPr>
      <w:r w:rsidRPr="00431AD6">
        <w:rPr>
          <w:rFonts w:ascii="Garamond" w:hAnsi="Garamond"/>
          <w:sz w:val="22"/>
          <w:szCs w:val="22"/>
          <w:lang w:val="en-US"/>
        </w:rPr>
        <w:t xml:space="preserve">                                    &lt;podis:measuring-tool-code&gt;11117B5B54F30471E0530A01490A6E4F&lt;/podis:measuring-tool-code&gt;</w:t>
      </w:r>
    </w:p>
    <w:p w14:paraId="37012DF8" w14:textId="77777777" w:rsidR="00CE6209" w:rsidRPr="00431AD6" w:rsidRDefault="00CE6209" w:rsidP="00CE6209">
      <w:pPr>
        <w:spacing w:after="120"/>
        <w:ind w:left="567"/>
        <w:rPr>
          <w:rFonts w:ascii="Garamond" w:hAnsi="Garamond"/>
          <w:sz w:val="22"/>
          <w:szCs w:val="22"/>
          <w:lang w:val="en-US"/>
        </w:rPr>
      </w:pPr>
      <w:r w:rsidRPr="00431AD6">
        <w:rPr>
          <w:rFonts w:ascii="Garamond" w:hAnsi="Garamond"/>
          <w:sz w:val="22"/>
          <w:szCs w:val="22"/>
          <w:lang w:val="en-US"/>
        </w:rPr>
        <w:t xml:space="preserve">                                    &lt;podis:modelNumber&gt;</w:t>
      </w:r>
      <w:r w:rsidRPr="00431AD6">
        <w:rPr>
          <w:rFonts w:ascii="Garamond" w:hAnsi="Garamond"/>
          <w:sz w:val="22"/>
          <w:szCs w:val="22"/>
        </w:rPr>
        <w:t>ТЛО</w:t>
      </w:r>
      <w:r w:rsidRPr="00431AD6">
        <w:rPr>
          <w:rFonts w:ascii="Garamond" w:hAnsi="Garamond"/>
          <w:sz w:val="22"/>
          <w:szCs w:val="22"/>
          <w:lang w:val="en-US"/>
        </w:rPr>
        <w:t>-10&lt;/podis:modelNumber&gt;</w:t>
      </w:r>
    </w:p>
    <w:p w14:paraId="434D4614" w14:textId="77777777" w:rsidR="00CE6209" w:rsidRPr="00431AD6" w:rsidRDefault="00CE6209" w:rsidP="00CE6209">
      <w:pPr>
        <w:spacing w:after="120"/>
        <w:ind w:left="567"/>
        <w:rPr>
          <w:rFonts w:ascii="Garamond" w:hAnsi="Garamond"/>
          <w:sz w:val="22"/>
          <w:szCs w:val="22"/>
          <w:lang w:val="en-US"/>
        </w:rPr>
      </w:pPr>
      <w:r w:rsidRPr="00431AD6">
        <w:rPr>
          <w:rFonts w:ascii="Garamond" w:hAnsi="Garamond"/>
          <w:sz w:val="22"/>
          <w:szCs w:val="22"/>
          <w:lang w:val="en-US"/>
        </w:rPr>
        <w:t xml:space="preserve">                                    &lt;podis:ratedCurrent&gt;800&lt;/podis:ratedCurrent&gt;</w:t>
      </w:r>
    </w:p>
    <w:p w14:paraId="068655F2" w14:textId="77777777" w:rsidR="00CE6209" w:rsidRPr="00431AD6" w:rsidRDefault="00CE6209" w:rsidP="00CE6209">
      <w:pPr>
        <w:spacing w:after="120"/>
        <w:ind w:left="567"/>
        <w:rPr>
          <w:rFonts w:ascii="Garamond" w:hAnsi="Garamond"/>
          <w:sz w:val="22"/>
          <w:szCs w:val="22"/>
          <w:lang w:val="en-US"/>
        </w:rPr>
      </w:pPr>
      <w:r w:rsidRPr="00431AD6">
        <w:rPr>
          <w:rFonts w:ascii="Garamond" w:hAnsi="Garamond"/>
          <w:sz w:val="22"/>
          <w:szCs w:val="22"/>
          <w:lang w:val="en-US"/>
        </w:rPr>
        <w:t xml:space="preserve">                                    &lt;podis:secondaryFlsRating&gt;30&lt;/podis:secondaryFlsRating&gt;</w:t>
      </w:r>
    </w:p>
    <w:p w14:paraId="6A9BCEDF" w14:textId="77777777" w:rsidR="00CE6209" w:rsidRPr="00431AD6" w:rsidRDefault="00CE6209" w:rsidP="00CE6209">
      <w:pPr>
        <w:spacing w:after="120"/>
        <w:ind w:left="567"/>
        <w:rPr>
          <w:rFonts w:ascii="Garamond" w:hAnsi="Garamond"/>
          <w:sz w:val="22"/>
          <w:szCs w:val="22"/>
          <w:lang w:val="en-US"/>
        </w:rPr>
      </w:pPr>
      <w:r w:rsidRPr="00431AD6">
        <w:rPr>
          <w:rFonts w:ascii="Garamond" w:hAnsi="Garamond"/>
          <w:sz w:val="22"/>
          <w:szCs w:val="22"/>
          <w:lang w:val="en-US"/>
        </w:rPr>
        <w:t xml:space="preserve">                                    &lt;podis:ratedSecondaryCurrent&gt;5&lt;/podis:ratedSecondaryCurrent&gt;</w:t>
      </w:r>
    </w:p>
    <w:p w14:paraId="765C366C" w14:textId="77777777" w:rsidR="00CE6209" w:rsidRPr="00431AD6" w:rsidRDefault="00CE6209" w:rsidP="00CE6209">
      <w:pPr>
        <w:spacing w:after="120"/>
        <w:ind w:left="567"/>
        <w:rPr>
          <w:rFonts w:ascii="Garamond" w:hAnsi="Garamond"/>
          <w:sz w:val="22"/>
          <w:szCs w:val="22"/>
          <w:lang w:val="en-US"/>
        </w:rPr>
      </w:pPr>
      <w:r w:rsidRPr="00431AD6">
        <w:rPr>
          <w:rFonts w:ascii="Garamond" w:hAnsi="Garamond"/>
          <w:sz w:val="22"/>
          <w:szCs w:val="22"/>
          <w:lang w:val="en-US"/>
        </w:rPr>
        <w:t xml:space="preserve">                                    &lt;podis:accuracyClass&gt;0.5S&lt;/podis:accuracyClass&gt;</w:t>
      </w:r>
    </w:p>
    <w:p w14:paraId="4AA0BF46" w14:textId="77777777" w:rsidR="00CE6209" w:rsidRPr="00E750D0" w:rsidRDefault="00CE6209" w:rsidP="00CE6209">
      <w:pPr>
        <w:spacing w:after="120"/>
        <w:ind w:left="567"/>
        <w:rPr>
          <w:rFonts w:ascii="Garamond" w:hAnsi="Garamond"/>
          <w:sz w:val="22"/>
          <w:szCs w:val="22"/>
          <w:lang w:val="es-ES"/>
        </w:rPr>
      </w:pPr>
      <w:r w:rsidRPr="00431AD6">
        <w:rPr>
          <w:rFonts w:ascii="Garamond" w:hAnsi="Garamond"/>
          <w:sz w:val="22"/>
          <w:szCs w:val="22"/>
          <w:lang w:val="en-US"/>
        </w:rPr>
        <w:t xml:space="preserve">                                    </w:t>
      </w:r>
      <w:r w:rsidRPr="00E750D0">
        <w:rPr>
          <w:rFonts w:ascii="Garamond" w:hAnsi="Garamond"/>
          <w:sz w:val="22"/>
          <w:szCs w:val="22"/>
          <w:lang w:val="es-ES"/>
        </w:rPr>
        <w:t>&lt;podis:regNumber&gt;25433-11&lt;/podis:regNumber&gt;</w:t>
      </w:r>
    </w:p>
    <w:p w14:paraId="13D6CBF4" w14:textId="77777777" w:rsidR="00CE6209" w:rsidRPr="00E750D0" w:rsidRDefault="00CE6209" w:rsidP="00CE6209">
      <w:pPr>
        <w:spacing w:after="120"/>
        <w:ind w:left="567"/>
        <w:rPr>
          <w:rFonts w:ascii="Garamond" w:hAnsi="Garamond"/>
          <w:sz w:val="22"/>
          <w:szCs w:val="22"/>
          <w:lang w:val="es-ES"/>
        </w:rPr>
      </w:pPr>
      <w:r w:rsidRPr="00E750D0">
        <w:rPr>
          <w:rFonts w:ascii="Garamond" w:hAnsi="Garamond"/>
          <w:sz w:val="22"/>
          <w:szCs w:val="22"/>
          <w:lang w:val="es-ES"/>
        </w:rPr>
        <w:t xml:space="preserve">                                &lt;/podis:currentTransformerInfo&gt;</w:t>
      </w:r>
    </w:p>
    <w:p w14:paraId="325B1C38" w14:textId="77777777" w:rsidR="00CE6209" w:rsidRPr="00E750D0" w:rsidRDefault="00CE6209" w:rsidP="00CE6209">
      <w:pPr>
        <w:spacing w:after="120"/>
        <w:ind w:left="567"/>
        <w:rPr>
          <w:rFonts w:ascii="Garamond" w:hAnsi="Garamond"/>
          <w:sz w:val="22"/>
          <w:szCs w:val="22"/>
          <w:lang w:val="es-ES"/>
        </w:rPr>
      </w:pPr>
      <w:r w:rsidRPr="00E750D0">
        <w:rPr>
          <w:rFonts w:ascii="Garamond" w:hAnsi="Garamond"/>
          <w:sz w:val="22"/>
          <w:szCs w:val="22"/>
          <w:lang w:val="es-ES"/>
        </w:rPr>
        <w:t xml:space="preserve">                            &lt;/podis:currentTransformer&gt;</w:t>
      </w:r>
    </w:p>
    <w:p w14:paraId="6C565C3E" w14:textId="77777777" w:rsidR="00CE6209" w:rsidRPr="00E750D0" w:rsidRDefault="00CE6209" w:rsidP="00CE6209">
      <w:pPr>
        <w:spacing w:after="120"/>
        <w:ind w:left="567"/>
        <w:rPr>
          <w:rFonts w:ascii="Garamond" w:hAnsi="Garamond"/>
          <w:sz w:val="22"/>
          <w:szCs w:val="22"/>
          <w:lang w:val="es-ES"/>
        </w:rPr>
      </w:pPr>
      <w:r w:rsidRPr="00E750D0">
        <w:rPr>
          <w:rFonts w:ascii="Garamond" w:hAnsi="Garamond"/>
          <w:sz w:val="22"/>
          <w:szCs w:val="22"/>
          <w:lang w:val="es-ES"/>
        </w:rPr>
        <w:t xml:space="preserve">                            &lt;podis:currentTransformer&gt;</w:t>
      </w:r>
    </w:p>
    <w:p w14:paraId="481DB6CD" w14:textId="77777777" w:rsidR="00CE6209" w:rsidRPr="00431AD6" w:rsidRDefault="00CE6209" w:rsidP="00CE6209">
      <w:pPr>
        <w:spacing w:after="120"/>
        <w:ind w:left="567"/>
        <w:rPr>
          <w:rFonts w:ascii="Garamond" w:hAnsi="Garamond"/>
          <w:sz w:val="22"/>
          <w:szCs w:val="22"/>
          <w:lang w:val="en-US"/>
        </w:rPr>
      </w:pPr>
      <w:r w:rsidRPr="00E750D0">
        <w:rPr>
          <w:rFonts w:ascii="Garamond" w:hAnsi="Garamond"/>
          <w:sz w:val="22"/>
          <w:szCs w:val="22"/>
          <w:lang w:val="es-ES"/>
        </w:rPr>
        <w:t xml:space="preserve">                                </w:t>
      </w:r>
      <w:r w:rsidRPr="00431AD6">
        <w:rPr>
          <w:rFonts w:ascii="Garamond" w:hAnsi="Garamond"/>
          <w:sz w:val="22"/>
          <w:szCs w:val="22"/>
          <w:lang w:val="en-US"/>
        </w:rPr>
        <w:t>&lt;podis:serialNumber&gt;21-40737&lt;/podis:serialNumber&gt;</w:t>
      </w:r>
    </w:p>
    <w:p w14:paraId="36FAAF1D" w14:textId="77777777" w:rsidR="00CE6209" w:rsidRPr="00431AD6" w:rsidRDefault="00CE6209" w:rsidP="00CE6209">
      <w:pPr>
        <w:spacing w:after="120"/>
        <w:ind w:left="567"/>
        <w:rPr>
          <w:rFonts w:ascii="Garamond" w:hAnsi="Garamond"/>
          <w:sz w:val="22"/>
          <w:szCs w:val="22"/>
          <w:lang w:val="en-US"/>
        </w:rPr>
      </w:pPr>
      <w:r w:rsidRPr="00431AD6">
        <w:rPr>
          <w:rFonts w:ascii="Garamond" w:hAnsi="Garamond"/>
          <w:sz w:val="22"/>
          <w:szCs w:val="22"/>
          <w:lang w:val="en-US"/>
        </w:rPr>
        <w:t xml:space="preserve">                                &lt;podis:customAttributes&gt;</w:t>
      </w:r>
    </w:p>
    <w:p w14:paraId="4A1CC0CE" w14:textId="77777777" w:rsidR="00CE6209" w:rsidRPr="00431AD6" w:rsidRDefault="00CE6209" w:rsidP="00CE6209">
      <w:pPr>
        <w:spacing w:after="120"/>
        <w:ind w:left="567"/>
        <w:rPr>
          <w:rFonts w:ascii="Garamond" w:hAnsi="Garamond"/>
          <w:sz w:val="22"/>
          <w:szCs w:val="22"/>
          <w:lang w:val="en-US"/>
        </w:rPr>
      </w:pPr>
      <w:r w:rsidRPr="00431AD6">
        <w:rPr>
          <w:rFonts w:ascii="Garamond" w:hAnsi="Garamond"/>
          <w:sz w:val="22"/>
          <w:szCs w:val="22"/>
          <w:lang w:val="en-US"/>
        </w:rPr>
        <w:t xml:space="preserve">                                    &lt;podis:name&gt;assetOwnerKind&lt;/podis:name&gt;</w:t>
      </w:r>
    </w:p>
    <w:p w14:paraId="4C1D6D6F" w14:textId="77777777" w:rsidR="00CE6209" w:rsidRPr="00431AD6" w:rsidRDefault="00CE6209" w:rsidP="00CE6209">
      <w:pPr>
        <w:spacing w:after="120"/>
        <w:ind w:left="567"/>
        <w:rPr>
          <w:rFonts w:ascii="Garamond" w:hAnsi="Garamond"/>
          <w:sz w:val="22"/>
          <w:szCs w:val="22"/>
          <w:lang w:val="en-US"/>
        </w:rPr>
      </w:pPr>
      <w:r w:rsidRPr="00431AD6">
        <w:rPr>
          <w:rFonts w:ascii="Garamond" w:hAnsi="Garamond"/>
          <w:sz w:val="22"/>
          <w:szCs w:val="22"/>
          <w:lang w:val="en-US"/>
        </w:rPr>
        <w:lastRenderedPageBreak/>
        <w:t xml:space="preserve">                                    &lt;podis:value&gt;tso_or_gp&lt;/podis:value&gt;</w:t>
      </w:r>
    </w:p>
    <w:p w14:paraId="1FFC29EC" w14:textId="77777777" w:rsidR="00CE6209" w:rsidRPr="00431AD6" w:rsidRDefault="00CE6209" w:rsidP="00CE6209">
      <w:pPr>
        <w:spacing w:after="120"/>
        <w:ind w:left="567"/>
        <w:rPr>
          <w:rFonts w:ascii="Garamond" w:hAnsi="Garamond"/>
          <w:sz w:val="22"/>
          <w:szCs w:val="22"/>
          <w:lang w:val="en-US"/>
        </w:rPr>
      </w:pPr>
      <w:r w:rsidRPr="00431AD6">
        <w:rPr>
          <w:rFonts w:ascii="Garamond" w:hAnsi="Garamond"/>
          <w:sz w:val="22"/>
          <w:szCs w:val="22"/>
          <w:lang w:val="en-US"/>
        </w:rPr>
        <w:t xml:space="preserve">                                &lt;/podis:customAttributes&gt;</w:t>
      </w:r>
    </w:p>
    <w:p w14:paraId="27E0FA1C" w14:textId="77777777" w:rsidR="00CE6209" w:rsidRPr="00431AD6" w:rsidRDefault="00CE6209" w:rsidP="00CE6209">
      <w:pPr>
        <w:spacing w:after="120"/>
        <w:ind w:left="567"/>
        <w:rPr>
          <w:rFonts w:ascii="Garamond" w:hAnsi="Garamond"/>
          <w:sz w:val="22"/>
          <w:szCs w:val="22"/>
          <w:lang w:val="en-US"/>
        </w:rPr>
      </w:pPr>
      <w:r w:rsidRPr="00431AD6">
        <w:rPr>
          <w:rFonts w:ascii="Garamond" w:hAnsi="Garamond"/>
          <w:sz w:val="22"/>
          <w:szCs w:val="22"/>
          <w:lang w:val="en-US"/>
        </w:rPr>
        <w:t xml:space="preserve">                                &lt;podis:lifeCycleDate&gt;</w:t>
      </w:r>
    </w:p>
    <w:p w14:paraId="7CE7C090" w14:textId="77777777" w:rsidR="00CE6209" w:rsidRPr="00431AD6" w:rsidRDefault="00CE6209" w:rsidP="00CE6209">
      <w:pPr>
        <w:spacing w:after="120"/>
        <w:ind w:left="567"/>
        <w:rPr>
          <w:rFonts w:ascii="Garamond" w:hAnsi="Garamond"/>
          <w:sz w:val="22"/>
          <w:szCs w:val="22"/>
          <w:lang w:val="en-US"/>
        </w:rPr>
      </w:pPr>
      <w:r w:rsidRPr="00431AD6">
        <w:rPr>
          <w:rFonts w:ascii="Garamond" w:hAnsi="Garamond"/>
          <w:sz w:val="22"/>
          <w:szCs w:val="22"/>
          <w:lang w:val="en-US"/>
        </w:rPr>
        <w:t xml:space="preserve">                                    &lt;podis:nextDateValid&gt;2026-01-16&lt;/podis:nextDateValid&gt;</w:t>
      </w:r>
    </w:p>
    <w:p w14:paraId="61D33D96" w14:textId="77777777" w:rsidR="00CE6209" w:rsidRPr="00431AD6" w:rsidRDefault="00CE6209" w:rsidP="00CE6209">
      <w:pPr>
        <w:spacing w:after="120"/>
        <w:ind w:left="567"/>
        <w:rPr>
          <w:rFonts w:ascii="Garamond" w:hAnsi="Garamond"/>
          <w:sz w:val="22"/>
          <w:szCs w:val="22"/>
          <w:lang w:val="en-US"/>
        </w:rPr>
      </w:pPr>
      <w:r w:rsidRPr="00431AD6">
        <w:rPr>
          <w:rFonts w:ascii="Garamond" w:hAnsi="Garamond"/>
          <w:sz w:val="22"/>
          <w:szCs w:val="22"/>
          <w:lang w:val="en-US"/>
        </w:rPr>
        <w:t xml:space="preserve">                                &lt;/podis:lifeCycleDate&gt;</w:t>
      </w:r>
    </w:p>
    <w:p w14:paraId="7FEE8545" w14:textId="77777777" w:rsidR="00CE6209" w:rsidRPr="00431AD6" w:rsidRDefault="00CE6209" w:rsidP="00CE6209">
      <w:pPr>
        <w:spacing w:after="120"/>
        <w:ind w:left="567"/>
        <w:rPr>
          <w:rFonts w:ascii="Garamond" w:hAnsi="Garamond"/>
          <w:sz w:val="22"/>
          <w:szCs w:val="22"/>
          <w:lang w:val="en-US"/>
        </w:rPr>
      </w:pPr>
      <w:r w:rsidRPr="00431AD6">
        <w:rPr>
          <w:rFonts w:ascii="Garamond" w:hAnsi="Garamond"/>
          <w:sz w:val="22"/>
          <w:szCs w:val="22"/>
          <w:lang w:val="en-US"/>
        </w:rPr>
        <w:t xml:space="preserve">                                &lt;podis:currentTransformerInfo&gt;</w:t>
      </w:r>
    </w:p>
    <w:p w14:paraId="7C7BA9D7" w14:textId="77777777" w:rsidR="00CE6209" w:rsidRPr="00431AD6" w:rsidRDefault="00CE6209" w:rsidP="00CE6209">
      <w:pPr>
        <w:spacing w:after="120"/>
        <w:ind w:left="567"/>
        <w:rPr>
          <w:rFonts w:ascii="Garamond" w:hAnsi="Garamond"/>
          <w:sz w:val="22"/>
          <w:szCs w:val="22"/>
          <w:lang w:val="en-US"/>
        </w:rPr>
      </w:pPr>
      <w:r w:rsidRPr="00431AD6">
        <w:rPr>
          <w:rFonts w:ascii="Garamond" w:hAnsi="Garamond"/>
          <w:sz w:val="22"/>
          <w:szCs w:val="22"/>
          <w:lang w:val="en-US"/>
        </w:rPr>
        <w:t xml:space="preserve">                                    &lt;podis:measuring-tool-code&gt;11117B5B54F30471E0530A01490A6E4F&lt;/podis:measuring-tool-code&gt;</w:t>
      </w:r>
    </w:p>
    <w:p w14:paraId="2F2F8E06" w14:textId="77777777" w:rsidR="00CE6209" w:rsidRPr="00431AD6" w:rsidRDefault="00CE6209" w:rsidP="00CE6209">
      <w:pPr>
        <w:spacing w:after="120"/>
        <w:ind w:left="567"/>
        <w:rPr>
          <w:rFonts w:ascii="Garamond" w:hAnsi="Garamond"/>
          <w:sz w:val="22"/>
          <w:szCs w:val="22"/>
          <w:lang w:val="en-US"/>
        </w:rPr>
      </w:pPr>
      <w:r w:rsidRPr="00431AD6">
        <w:rPr>
          <w:rFonts w:ascii="Garamond" w:hAnsi="Garamond"/>
          <w:sz w:val="22"/>
          <w:szCs w:val="22"/>
          <w:lang w:val="en-US"/>
        </w:rPr>
        <w:t xml:space="preserve">                                    &lt;podis:modelNumber&gt;</w:t>
      </w:r>
      <w:r w:rsidRPr="00431AD6">
        <w:rPr>
          <w:rFonts w:ascii="Garamond" w:hAnsi="Garamond"/>
          <w:sz w:val="22"/>
          <w:szCs w:val="22"/>
        </w:rPr>
        <w:t>ТЛО</w:t>
      </w:r>
      <w:r w:rsidRPr="00431AD6">
        <w:rPr>
          <w:rFonts w:ascii="Garamond" w:hAnsi="Garamond"/>
          <w:sz w:val="22"/>
          <w:szCs w:val="22"/>
          <w:lang w:val="en-US"/>
        </w:rPr>
        <w:t>-10&lt;/podis:modelNumber&gt;</w:t>
      </w:r>
    </w:p>
    <w:p w14:paraId="4E684BD4" w14:textId="77777777" w:rsidR="00CE6209" w:rsidRPr="00431AD6" w:rsidRDefault="00CE6209" w:rsidP="00CE6209">
      <w:pPr>
        <w:spacing w:after="120"/>
        <w:ind w:left="567"/>
        <w:rPr>
          <w:rFonts w:ascii="Garamond" w:hAnsi="Garamond"/>
          <w:sz w:val="22"/>
          <w:szCs w:val="22"/>
          <w:lang w:val="en-US"/>
        </w:rPr>
      </w:pPr>
      <w:r w:rsidRPr="00431AD6">
        <w:rPr>
          <w:rFonts w:ascii="Garamond" w:hAnsi="Garamond"/>
          <w:sz w:val="22"/>
          <w:szCs w:val="22"/>
          <w:lang w:val="en-US"/>
        </w:rPr>
        <w:t xml:space="preserve">                                    &lt;podis:ratedCurrent&gt;800&lt;/podis:ratedCurrent&gt;</w:t>
      </w:r>
    </w:p>
    <w:p w14:paraId="1231E114" w14:textId="77777777" w:rsidR="00CE6209" w:rsidRPr="00431AD6" w:rsidRDefault="00CE6209" w:rsidP="00CE6209">
      <w:pPr>
        <w:spacing w:after="120"/>
        <w:ind w:left="567"/>
        <w:rPr>
          <w:rFonts w:ascii="Garamond" w:hAnsi="Garamond"/>
          <w:sz w:val="22"/>
          <w:szCs w:val="22"/>
          <w:lang w:val="en-US"/>
        </w:rPr>
      </w:pPr>
      <w:r w:rsidRPr="00431AD6">
        <w:rPr>
          <w:rFonts w:ascii="Garamond" w:hAnsi="Garamond"/>
          <w:sz w:val="22"/>
          <w:szCs w:val="22"/>
          <w:lang w:val="en-US"/>
        </w:rPr>
        <w:t xml:space="preserve">                                    &lt;podis:secondaryFlsRating&gt;30&lt;/podis:secondaryFlsRating&gt;</w:t>
      </w:r>
    </w:p>
    <w:p w14:paraId="1E9486AC" w14:textId="77777777" w:rsidR="00CE6209" w:rsidRPr="00431AD6" w:rsidRDefault="00CE6209" w:rsidP="00CE6209">
      <w:pPr>
        <w:spacing w:after="120"/>
        <w:ind w:left="567"/>
        <w:rPr>
          <w:rFonts w:ascii="Garamond" w:hAnsi="Garamond"/>
          <w:sz w:val="22"/>
          <w:szCs w:val="22"/>
          <w:lang w:val="en-US"/>
        </w:rPr>
      </w:pPr>
      <w:r w:rsidRPr="00431AD6">
        <w:rPr>
          <w:rFonts w:ascii="Garamond" w:hAnsi="Garamond"/>
          <w:sz w:val="22"/>
          <w:szCs w:val="22"/>
          <w:lang w:val="en-US"/>
        </w:rPr>
        <w:t xml:space="preserve">                                    &lt;podis:ratedSecondaryCurrent&gt;5&lt;/podis:ratedSecondaryCurrent&gt;</w:t>
      </w:r>
    </w:p>
    <w:p w14:paraId="42FF361F" w14:textId="77777777" w:rsidR="00CE6209" w:rsidRPr="00431AD6" w:rsidRDefault="00CE6209" w:rsidP="00CE6209">
      <w:pPr>
        <w:spacing w:after="120"/>
        <w:ind w:left="567"/>
        <w:rPr>
          <w:rFonts w:ascii="Garamond" w:hAnsi="Garamond"/>
          <w:sz w:val="22"/>
          <w:szCs w:val="22"/>
          <w:lang w:val="en-US"/>
        </w:rPr>
      </w:pPr>
      <w:r w:rsidRPr="00431AD6">
        <w:rPr>
          <w:rFonts w:ascii="Garamond" w:hAnsi="Garamond"/>
          <w:sz w:val="22"/>
          <w:szCs w:val="22"/>
          <w:lang w:val="en-US"/>
        </w:rPr>
        <w:t xml:space="preserve">                                    &lt;podis:accuracyClass&gt;0.5S&lt;/podis:accuracyClass&gt;</w:t>
      </w:r>
    </w:p>
    <w:p w14:paraId="53CC2198" w14:textId="77777777" w:rsidR="00CE6209" w:rsidRPr="00E750D0" w:rsidRDefault="00CE6209" w:rsidP="00CE6209">
      <w:pPr>
        <w:spacing w:after="120"/>
        <w:ind w:left="567"/>
        <w:rPr>
          <w:rFonts w:ascii="Garamond" w:hAnsi="Garamond"/>
          <w:sz w:val="22"/>
          <w:szCs w:val="22"/>
          <w:lang w:val="es-ES"/>
        </w:rPr>
      </w:pPr>
      <w:r w:rsidRPr="00431AD6">
        <w:rPr>
          <w:rFonts w:ascii="Garamond" w:hAnsi="Garamond"/>
          <w:sz w:val="22"/>
          <w:szCs w:val="22"/>
          <w:lang w:val="en-US"/>
        </w:rPr>
        <w:t xml:space="preserve">                                    </w:t>
      </w:r>
      <w:r w:rsidRPr="00E750D0">
        <w:rPr>
          <w:rFonts w:ascii="Garamond" w:hAnsi="Garamond"/>
          <w:sz w:val="22"/>
          <w:szCs w:val="22"/>
          <w:lang w:val="es-ES"/>
        </w:rPr>
        <w:t>&lt;podis:regNumber&gt;25433-11&lt;/podis:regNumber&gt;</w:t>
      </w:r>
    </w:p>
    <w:p w14:paraId="5931B85B" w14:textId="77777777" w:rsidR="00CE6209" w:rsidRPr="00E750D0" w:rsidRDefault="00CE6209" w:rsidP="00CE6209">
      <w:pPr>
        <w:spacing w:after="120"/>
        <w:ind w:left="567"/>
        <w:rPr>
          <w:rFonts w:ascii="Garamond" w:hAnsi="Garamond"/>
          <w:sz w:val="22"/>
          <w:szCs w:val="22"/>
          <w:lang w:val="es-ES"/>
        </w:rPr>
      </w:pPr>
      <w:r w:rsidRPr="00E750D0">
        <w:rPr>
          <w:rFonts w:ascii="Garamond" w:hAnsi="Garamond"/>
          <w:sz w:val="22"/>
          <w:szCs w:val="22"/>
          <w:lang w:val="es-ES"/>
        </w:rPr>
        <w:t xml:space="preserve">                                &lt;/podis:currentTransformerInfo&gt;</w:t>
      </w:r>
    </w:p>
    <w:p w14:paraId="637A69BA" w14:textId="77777777" w:rsidR="00CE6209" w:rsidRPr="00E750D0" w:rsidRDefault="00CE6209" w:rsidP="00CE6209">
      <w:pPr>
        <w:spacing w:after="120"/>
        <w:ind w:left="567"/>
        <w:rPr>
          <w:rFonts w:ascii="Garamond" w:hAnsi="Garamond"/>
          <w:sz w:val="22"/>
          <w:szCs w:val="22"/>
          <w:lang w:val="es-ES"/>
        </w:rPr>
      </w:pPr>
      <w:r w:rsidRPr="00E750D0">
        <w:rPr>
          <w:rFonts w:ascii="Garamond" w:hAnsi="Garamond"/>
          <w:sz w:val="22"/>
          <w:szCs w:val="22"/>
          <w:lang w:val="es-ES"/>
        </w:rPr>
        <w:t xml:space="preserve">                            &lt;/podis:currentTransformer&gt;</w:t>
      </w:r>
    </w:p>
    <w:p w14:paraId="6A36E946" w14:textId="77777777" w:rsidR="00CE6209" w:rsidRPr="00E750D0" w:rsidRDefault="00CE6209" w:rsidP="00CE6209">
      <w:pPr>
        <w:spacing w:after="120"/>
        <w:ind w:left="567"/>
        <w:rPr>
          <w:rFonts w:ascii="Garamond" w:hAnsi="Garamond"/>
          <w:sz w:val="22"/>
          <w:szCs w:val="22"/>
          <w:lang w:val="es-ES"/>
        </w:rPr>
      </w:pPr>
      <w:r w:rsidRPr="00E750D0">
        <w:rPr>
          <w:rFonts w:ascii="Garamond" w:hAnsi="Garamond"/>
          <w:sz w:val="22"/>
          <w:szCs w:val="22"/>
          <w:lang w:val="es-ES"/>
        </w:rPr>
        <w:t xml:space="preserve">                            &lt;podis:currentTransformer&gt;</w:t>
      </w:r>
    </w:p>
    <w:p w14:paraId="57A00110" w14:textId="77777777" w:rsidR="00CE6209" w:rsidRPr="00431AD6" w:rsidRDefault="00CE6209" w:rsidP="00CE6209">
      <w:pPr>
        <w:spacing w:after="120"/>
        <w:ind w:left="567"/>
        <w:rPr>
          <w:rFonts w:ascii="Garamond" w:hAnsi="Garamond"/>
          <w:sz w:val="22"/>
          <w:szCs w:val="22"/>
          <w:lang w:val="en-US"/>
        </w:rPr>
      </w:pPr>
      <w:r w:rsidRPr="00E750D0">
        <w:rPr>
          <w:rFonts w:ascii="Garamond" w:hAnsi="Garamond"/>
          <w:sz w:val="22"/>
          <w:szCs w:val="22"/>
          <w:lang w:val="es-ES"/>
        </w:rPr>
        <w:t xml:space="preserve">                                </w:t>
      </w:r>
      <w:r w:rsidRPr="00431AD6">
        <w:rPr>
          <w:rFonts w:ascii="Garamond" w:hAnsi="Garamond"/>
          <w:sz w:val="22"/>
          <w:szCs w:val="22"/>
          <w:lang w:val="en-US"/>
        </w:rPr>
        <w:t>&lt;podis:serialNumber&gt;21-40723&lt;/podis:serialNumber&gt;</w:t>
      </w:r>
    </w:p>
    <w:p w14:paraId="3055AC76" w14:textId="77777777" w:rsidR="00CE6209" w:rsidRPr="00431AD6" w:rsidRDefault="00CE6209" w:rsidP="00CE6209">
      <w:pPr>
        <w:spacing w:after="120"/>
        <w:ind w:left="567"/>
        <w:rPr>
          <w:rFonts w:ascii="Garamond" w:hAnsi="Garamond"/>
          <w:sz w:val="22"/>
          <w:szCs w:val="22"/>
          <w:lang w:val="en-US"/>
        </w:rPr>
      </w:pPr>
      <w:r w:rsidRPr="00431AD6">
        <w:rPr>
          <w:rFonts w:ascii="Garamond" w:hAnsi="Garamond"/>
          <w:sz w:val="22"/>
          <w:szCs w:val="22"/>
          <w:lang w:val="en-US"/>
        </w:rPr>
        <w:t xml:space="preserve">                                &lt;podis:customAttributes&gt;</w:t>
      </w:r>
    </w:p>
    <w:p w14:paraId="61C6090D" w14:textId="77777777" w:rsidR="00CE6209" w:rsidRPr="00431AD6" w:rsidRDefault="00CE6209" w:rsidP="00CE6209">
      <w:pPr>
        <w:spacing w:after="120"/>
        <w:ind w:left="567"/>
        <w:rPr>
          <w:rFonts w:ascii="Garamond" w:hAnsi="Garamond"/>
          <w:sz w:val="22"/>
          <w:szCs w:val="22"/>
          <w:lang w:val="en-US"/>
        </w:rPr>
      </w:pPr>
      <w:r w:rsidRPr="00431AD6">
        <w:rPr>
          <w:rFonts w:ascii="Garamond" w:hAnsi="Garamond"/>
          <w:sz w:val="22"/>
          <w:szCs w:val="22"/>
          <w:lang w:val="en-US"/>
        </w:rPr>
        <w:t xml:space="preserve">                                    &lt;podis:name&gt;assetOwnerKind&lt;/podis:name&gt;</w:t>
      </w:r>
    </w:p>
    <w:p w14:paraId="05561DEE" w14:textId="77777777" w:rsidR="00CE6209" w:rsidRPr="00431AD6" w:rsidRDefault="00CE6209" w:rsidP="00CE6209">
      <w:pPr>
        <w:spacing w:after="120"/>
        <w:ind w:left="567"/>
        <w:rPr>
          <w:rFonts w:ascii="Garamond" w:hAnsi="Garamond"/>
          <w:sz w:val="22"/>
          <w:szCs w:val="22"/>
          <w:lang w:val="en-US"/>
        </w:rPr>
      </w:pPr>
      <w:r w:rsidRPr="00431AD6">
        <w:rPr>
          <w:rFonts w:ascii="Garamond" w:hAnsi="Garamond"/>
          <w:sz w:val="22"/>
          <w:szCs w:val="22"/>
          <w:lang w:val="en-US"/>
        </w:rPr>
        <w:t xml:space="preserve">                                    &lt;podis:value&gt;tso_or_gp&lt;/podis:value&gt;</w:t>
      </w:r>
    </w:p>
    <w:p w14:paraId="53C6DDA5" w14:textId="77777777" w:rsidR="00CE6209" w:rsidRPr="00431AD6" w:rsidRDefault="00CE6209" w:rsidP="00CE6209">
      <w:pPr>
        <w:spacing w:after="120"/>
        <w:ind w:left="567"/>
        <w:rPr>
          <w:rFonts w:ascii="Garamond" w:hAnsi="Garamond"/>
          <w:sz w:val="22"/>
          <w:szCs w:val="22"/>
          <w:lang w:val="en-US"/>
        </w:rPr>
      </w:pPr>
      <w:r w:rsidRPr="00431AD6">
        <w:rPr>
          <w:rFonts w:ascii="Garamond" w:hAnsi="Garamond"/>
          <w:sz w:val="22"/>
          <w:szCs w:val="22"/>
          <w:lang w:val="en-US"/>
        </w:rPr>
        <w:t xml:space="preserve">                                &lt;/podis:customAttributes&gt;</w:t>
      </w:r>
    </w:p>
    <w:p w14:paraId="0F31E6E6" w14:textId="77777777" w:rsidR="00CE6209" w:rsidRPr="00431AD6" w:rsidRDefault="00CE6209" w:rsidP="00CE6209">
      <w:pPr>
        <w:spacing w:after="120"/>
        <w:ind w:left="567"/>
        <w:rPr>
          <w:rFonts w:ascii="Garamond" w:hAnsi="Garamond"/>
          <w:sz w:val="22"/>
          <w:szCs w:val="22"/>
          <w:lang w:val="en-US"/>
        </w:rPr>
      </w:pPr>
      <w:r w:rsidRPr="00431AD6">
        <w:rPr>
          <w:rFonts w:ascii="Garamond" w:hAnsi="Garamond"/>
          <w:sz w:val="22"/>
          <w:szCs w:val="22"/>
          <w:lang w:val="en-US"/>
        </w:rPr>
        <w:t xml:space="preserve">                                &lt;podis:lifeCycleDate&gt;</w:t>
      </w:r>
    </w:p>
    <w:p w14:paraId="0873C4DF" w14:textId="77777777" w:rsidR="00CE6209" w:rsidRPr="00431AD6" w:rsidRDefault="00CE6209" w:rsidP="00CE6209">
      <w:pPr>
        <w:spacing w:after="120"/>
        <w:ind w:left="567"/>
        <w:rPr>
          <w:rFonts w:ascii="Garamond" w:hAnsi="Garamond"/>
          <w:sz w:val="22"/>
          <w:szCs w:val="22"/>
          <w:lang w:val="en-US"/>
        </w:rPr>
      </w:pPr>
      <w:r w:rsidRPr="00431AD6">
        <w:rPr>
          <w:rFonts w:ascii="Garamond" w:hAnsi="Garamond"/>
          <w:sz w:val="22"/>
          <w:szCs w:val="22"/>
          <w:lang w:val="en-US"/>
        </w:rPr>
        <w:t xml:space="preserve">                                    &lt;podis:nextDateValid&gt;2025-10-16&lt;/podis:nextDateValid&gt;</w:t>
      </w:r>
    </w:p>
    <w:p w14:paraId="5C546525" w14:textId="77777777" w:rsidR="00CE6209" w:rsidRPr="00431AD6" w:rsidRDefault="00CE6209" w:rsidP="00CE6209">
      <w:pPr>
        <w:spacing w:after="120"/>
        <w:ind w:left="567"/>
        <w:rPr>
          <w:rFonts w:ascii="Garamond" w:hAnsi="Garamond"/>
          <w:sz w:val="22"/>
          <w:szCs w:val="22"/>
          <w:lang w:val="en-US"/>
        </w:rPr>
      </w:pPr>
      <w:r w:rsidRPr="00431AD6">
        <w:rPr>
          <w:rFonts w:ascii="Garamond" w:hAnsi="Garamond"/>
          <w:sz w:val="22"/>
          <w:szCs w:val="22"/>
          <w:lang w:val="en-US"/>
        </w:rPr>
        <w:t xml:space="preserve">                                &lt;/podis:lifeCycleDate&gt;</w:t>
      </w:r>
    </w:p>
    <w:p w14:paraId="2CB916E2" w14:textId="77777777" w:rsidR="00CE6209" w:rsidRPr="00431AD6" w:rsidRDefault="00CE6209" w:rsidP="00CE6209">
      <w:pPr>
        <w:spacing w:after="120"/>
        <w:ind w:left="567"/>
        <w:rPr>
          <w:rFonts w:ascii="Garamond" w:hAnsi="Garamond"/>
          <w:sz w:val="22"/>
          <w:szCs w:val="22"/>
          <w:lang w:val="en-US"/>
        </w:rPr>
      </w:pPr>
      <w:r w:rsidRPr="00431AD6">
        <w:rPr>
          <w:rFonts w:ascii="Garamond" w:hAnsi="Garamond"/>
          <w:sz w:val="22"/>
          <w:szCs w:val="22"/>
          <w:lang w:val="en-US"/>
        </w:rPr>
        <w:t xml:space="preserve">                                &lt;podis:currentTransformerInfo&gt;</w:t>
      </w:r>
    </w:p>
    <w:p w14:paraId="53AF98CB" w14:textId="77777777" w:rsidR="00CE6209" w:rsidRPr="00431AD6" w:rsidRDefault="00CE6209" w:rsidP="00CE6209">
      <w:pPr>
        <w:spacing w:after="120"/>
        <w:ind w:left="567"/>
        <w:rPr>
          <w:rFonts w:ascii="Garamond" w:hAnsi="Garamond"/>
          <w:sz w:val="22"/>
          <w:szCs w:val="22"/>
          <w:lang w:val="en-US"/>
        </w:rPr>
      </w:pPr>
      <w:r w:rsidRPr="00431AD6">
        <w:rPr>
          <w:rFonts w:ascii="Garamond" w:hAnsi="Garamond"/>
          <w:sz w:val="22"/>
          <w:szCs w:val="22"/>
          <w:lang w:val="en-US"/>
        </w:rPr>
        <w:t xml:space="preserve">                                    &lt;podis:measuring-tool-code&gt;11117B5B54F30471E0530A01490A6E4F&lt;/podis:measuring-tool-code&gt;</w:t>
      </w:r>
    </w:p>
    <w:p w14:paraId="12858289" w14:textId="77777777" w:rsidR="00CE6209" w:rsidRPr="00431AD6" w:rsidRDefault="00CE6209" w:rsidP="00CE6209">
      <w:pPr>
        <w:spacing w:after="120"/>
        <w:ind w:left="567"/>
        <w:rPr>
          <w:rFonts w:ascii="Garamond" w:hAnsi="Garamond"/>
          <w:sz w:val="22"/>
          <w:szCs w:val="22"/>
          <w:lang w:val="en-US"/>
        </w:rPr>
      </w:pPr>
      <w:r w:rsidRPr="00431AD6">
        <w:rPr>
          <w:rFonts w:ascii="Garamond" w:hAnsi="Garamond"/>
          <w:sz w:val="22"/>
          <w:szCs w:val="22"/>
          <w:lang w:val="en-US"/>
        </w:rPr>
        <w:t xml:space="preserve">                                    &lt;podis:modelNumber&gt;</w:t>
      </w:r>
      <w:r w:rsidRPr="00431AD6">
        <w:rPr>
          <w:rFonts w:ascii="Garamond" w:hAnsi="Garamond"/>
          <w:sz w:val="22"/>
          <w:szCs w:val="22"/>
        </w:rPr>
        <w:t>ТЛО</w:t>
      </w:r>
      <w:r w:rsidRPr="00431AD6">
        <w:rPr>
          <w:rFonts w:ascii="Garamond" w:hAnsi="Garamond"/>
          <w:sz w:val="22"/>
          <w:szCs w:val="22"/>
          <w:lang w:val="en-US"/>
        </w:rPr>
        <w:t>-10&lt;/podis:modelNumber&gt;</w:t>
      </w:r>
    </w:p>
    <w:p w14:paraId="26ED6CA1" w14:textId="77777777" w:rsidR="00CE6209" w:rsidRPr="00431AD6" w:rsidRDefault="00CE6209" w:rsidP="00CE6209">
      <w:pPr>
        <w:spacing w:after="120"/>
        <w:ind w:left="567"/>
        <w:rPr>
          <w:rFonts w:ascii="Garamond" w:hAnsi="Garamond"/>
          <w:sz w:val="22"/>
          <w:szCs w:val="22"/>
          <w:lang w:val="en-US"/>
        </w:rPr>
      </w:pPr>
      <w:r w:rsidRPr="00431AD6">
        <w:rPr>
          <w:rFonts w:ascii="Garamond" w:hAnsi="Garamond"/>
          <w:sz w:val="22"/>
          <w:szCs w:val="22"/>
          <w:lang w:val="en-US"/>
        </w:rPr>
        <w:t xml:space="preserve">                                    &lt;podis:ratedCurrent&gt;800&lt;/podis:ratedCurrent&gt;</w:t>
      </w:r>
    </w:p>
    <w:p w14:paraId="7D6D326D" w14:textId="77777777" w:rsidR="00CE6209" w:rsidRPr="00431AD6" w:rsidRDefault="00CE6209" w:rsidP="00CE6209">
      <w:pPr>
        <w:spacing w:after="120"/>
        <w:ind w:left="567"/>
        <w:rPr>
          <w:rFonts w:ascii="Garamond" w:hAnsi="Garamond"/>
          <w:sz w:val="22"/>
          <w:szCs w:val="22"/>
          <w:lang w:val="en-US"/>
        </w:rPr>
      </w:pPr>
      <w:r w:rsidRPr="00431AD6">
        <w:rPr>
          <w:rFonts w:ascii="Garamond" w:hAnsi="Garamond"/>
          <w:sz w:val="22"/>
          <w:szCs w:val="22"/>
          <w:lang w:val="en-US"/>
        </w:rPr>
        <w:t xml:space="preserve">                                    &lt;podis:secondaryFlsRating&gt;30&lt;/podis:secondaryFlsRating&gt;</w:t>
      </w:r>
    </w:p>
    <w:p w14:paraId="61348CE9" w14:textId="77777777" w:rsidR="00CE6209" w:rsidRPr="00431AD6" w:rsidRDefault="00CE6209" w:rsidP="00CE6209">
      <w:pPr>
        <w:spacing w:after="120"/>
        <w:ind w:left="567"/>
        <w:rPr>
          <w:rFonts w:ascii="Garamond" w:hAnsi="Garamond"/>
          <w:sz w:val="22"/>
          <w:szCs w:val="22"/>
          <w:lang w:val="en-US"/>
        </w:rPr>
      </w:pPr>
      <w:r w:rsidRPr="00431AD6">
        <w:rPr>
          <w:rFonts w:ascii="Garamond" w:hAnsi="Garamond"/>
          <w:sz w:val="22"/>
          <w:szCs w:val="22"/>
          <w:lang w:val="en-US"/>
        </w:rPr>
        <w:t xml:space="preserve">                                    &lt;podis:ratedSecondaryCurrent&gt;5&lt;/podis:ratedSecondaryCurrent&gt;</w:t>
      </w:r>
    </w:p>
    <w:p w14:paraId="380EB6AA" w14:textId="77777777" w:rsidR="00CE6209" w:rsidRPr="00431AD6" w:rsidRDefault="00CE6209" w:rsidP="00CE6209">
      <w:pPr>
        <w:spacing w:after="120"/>
        <w:ind w:left="567"/>
        <w:rPr>
          <w:rFonts w:ascii="Garamond" w:hAnsi="Garamond"/>
          <w:sz w:val="22"/>
          <w:szCs w:val="22"/>
          <w:lang w:val="en-US"/>
        </w:rPr>
      </w:pPr>
      <w:r w:rsidRPr="00431AD6">
        <w:rPr>
          <w:rFonts w:ascii="Garamond" w:hAnsi="Garamond"/>
          <w:sz w:val="22"/>
          <w:szCs w:val="22"/>
          <w:lang w:val="en-US"/>
        </w:rPr>
        <w:t xml:space="preserve">                                    &lt;podis:accuracyClass&gt;0.5S&lt;/podis:accuracyClass&gt;</w:t>
      </w:r>
    </w:p>
    <w:p w14:paraId="27826071" w14:textId="77777777" w:rsidR="00CE6209" w:rsidRPr="00E750D0" w:rsidRDefault="00CE6209" w:rsidP="00CE6209">
      <w:pPr>
        <w:spacing w:after="120"/>
        <w:ind w:left="567"/>
        <w:rPr>
          <w:rFonts w:ascii="Garamond" w:hAnsi="Garamond"/>
          <w:sz w:val="22"/>
          <w:szCs w:val="22"/>
          <w:lang w:val="es-ES"/>
        </w:rPr>
      </w:pPr>
      <w:r w:rsidRPr="00431AD6">
        <w:rPr>
          <w:rFonts w:ascii="Garamond" w:hAnsi="Garamond"/>
          <w:sz w:val="22"/>
          <w:szCs w:val="22"/>
          <w:lang w:val="en-US"/>
        </w:rPr>
        <w:t xml:space="preserve">                                    </w:t>
      </w:r>
      <w:r w:rsidRPr="00E750D0">
        <w:rPr>
          <w:rFonts w:ascii="Garamond" w:hAnsi="Garamond"/>
          <w:sz w:val="22"/>
          <w:szCs w:val="22"/>
          <w:lang w:val="es-ES"/>
        </w:rPr>
        <w:t>&lt;podis:regNumber&gt;25433-11&lt;/podis:regNumber&gt;</w:t>
      </w:r>
    </w:p>
    <w:p w14:paraId="4FBA89DE" w14:textId="77777777" w:rsidR="00CE6209" w:rsidRPr="00E750D0" w:rsidRDefault="00CE6209" w:rsidP="00CE6209">
      <w:pPr>
        <w:spacing w:after="120"/>
        <w:ind w:left="567"/>
        <w:rPr>
          <w:rFonts w:ascii="Garamond" w:hAnsi="Garamond"/>
          <w:sz w:val="22"/>
          <w:szCs w:val="22"/>
          <w:lang w:val="es-ES"/>
        </w:rPr>
      </w:pPr>
      <w:r w:rsidRPr="00E750D0">
        <w:rPr>
          <w:rFonts w:ascii="Garamond" w:hAnsi="Garamond"/>
          <w:sz w:val="22"/>
          <w:szCs w:val="22"/>
          <w:lang w:val="es-ES"/>
        </w:rPr>
        <w:t xml:space="preserve">                                &lt;/podis:currentTransformerInfo&gt;</w:t>
      </w:r>
    </w:p>
    <w:p w14:paraId="4247FA0B" w14:textId="77777777" w:rsidR="00CE6209" w:rsidRPr="00E750D0" w:rsidRDefault="00CE6209" w:rsidP="00CE6209">
      <w:pPr>
        <w:spacing w:after="120"/>
        <w:ind w:left="567"/>
        <w:rPr>
          <w:rFonts w:ascii="Garamond" w:hAnsi="Garamond"/>
          <w:sz w:val="22"/>
          <w:szCs w:val="22"/>
          <w:lang w:val="es-ES"/>
        </w:rPr>
      </w:pPr>
      <w:r w:rsidRPr="00E750D0">
        <w:rPr>
          <w:rFonts w:ascii="Garamond" w:hAnsi="Garamond"/>
          <w:sz w:val="22"/>
          <w:szCs w:val="22"/>
          <w:lang w:val="es-ES"/>
        </w:rPr>
        <w:t xml:space="preserve">                            &lt;/podis:currentTransformer&gt;                            </w:t>
      </w:r>
    </w:p>
    <w:p w14:paraId="5E503D27" w14:textId="77777777" w:rsidR="00CE6209" w:rsidRPr="00E750D0" w:rsidRDefault="00CE6209" w:rsidP="00CE6209">
      <w:pPr>
        <w:spacing w:after="120"/>
        <w:ind w:left="567"/>
        <w:rPr>
          <w:rFonts w:ascii="Garamond" w:hAnsi="Garamond"/>
          <w:sz w:val="22"/>
          <w:szCs w:val="22"/>
          <w:lang w:val="es-ES"/>
        </w:rPr>
      </w:pPr>
      <w:r w:rsidRPr="00E750D0">
        <w:rPr>
          <w:rFonts w:ascii="Garamond" w:hAnsi="Garamond"/>
          <w:sz w:val="22"/>
          <w:szCs w:val="22"/>
          <w:lang w:val="es-ES"/>
        </w:rPr>
        <w:t xml:space="preserve">                            &lt;podis:potentialTransformer&gt;</w:t>
      </w:r>
    </w:p>
    <w:p w14:paraId="4746F41C" w14:textId="77777777" w:rsidR="00CE6209" w:rsidRPr="00431AD6" w:rsidRDefault="00CE6209" w:rsidP="00CE6209">
      <w:pPr>
        <w:spacing w:after="120"/>
        <w:ind w:left="567"/>
        <w:rPr>
          <w:rFonts w:ascii="Garamond" w:hAnsi="Garamond"/>
          <w:sz w:val="22"/>
          <w:szCs w:val="22"/>
          <w:lang w:val="en-US"/>
        </w:rPr>
      </w:pPr>
      <w:r w:rsidRPr="00E750D0">
        <w:rPr>
          <w:rFonts w:ascii="Garamond" w:hAnsi="Garamond"/>
          <w:sz w:val="22"/>
          <w:szCs w:val="22"/>
          <w:lang w:val="es-ES"/>
        </w:rPr>
        <w:t xml:space="preserve">                                </w:t>
      </w:r>
      <w:r w:rsidRPr="00431AD6">
        <w:rPr>
          <w:rFonts w:ascii="Garamond" w:hAnsi="Garamond"/>
          <w:sz w:val="22"/>
          <w:szCs w:val="22"/>
          <w:lang w:val="en-US"/>
        </w:rPr>
        <w:t>&lt;podis:serialNumber&gt;2095&lt;/podis:serialNumber&gt;</w:t>
      </w:r>
    </w:p>
    <w:p w14:paraId="080FA214" w14:textId="77777777" w:rsidR="00CE6209" w:rsidRPr="00431AD6" w:rsidRDefault="00CE6209" w:rsidP="00CE6209">
      <w:pPr>
        <w:spacing w:after="120"/>
        <w:ind w:left="567"/>
        <w:rPr>
          <w:rFonts w:ascii="Garamond" w:hAnsi="Garamond"/>
          <w:sz w:val="22"/>
          <w:szCs w:val="22"/>
          <w:lang w:val="en-US"/>
        </w:rPr>
      </w:pPr>
      <w:r w:rsidRPr="00431AD6">
        <w:rPr>
          <w:rFonts w:ascii="Garamond" w:hAnsi="Garamond"/>
          <w:sz w:val="22"/>
          <w:szCs w:val="22"/>
          <w:lang w:val="en-US"/>
        </w:rPr>
        <w:t xml:space="preserve">                                &lt;podis:customAttributes&gt;</w:t>
      </w:r>
    </w:p>
    <w:p w14:paraId="5AC98CD1" w14:textId="77777777" w:rsidR="00CE6209" w:rsidRPr="00431AD6" w:rsidRDefault="00CE6209" w:rsidP="00CE6209">
      <w:pPr>
        <w:spacing w:after="120"/>
        <w:ind w:left="567"/>
        <w:rPr>
          <w:rFonts w:ascii="Garamond" w:hAnsi="Garamond"/>
          <w:sz w:val="22"/>
          <w:szCs w:val="22"/>
          <w:lang w:val="en-US"/>
        </w:rPr>
      </w:pPr>
      <w:r w:rsidRPr="00431AD6">
        <w:rPr>
          <w:rFonts w:ascii="Garamond" w:hAnsi="Garamond"/>
          <w:sz w:val="22"/>
          <w:szCs w:val="22"/>
          <w:lang w:val="en-US"/>
        </w:rPr>
        <w:t xml:space="preserve">                                    &lt;podis:name&gt;assetOwnerKind&lt;/podis:name&gt;</w:t>
      </w:r>
    </w:p>
    <w:p w14:paraId="012C0692" w14:textId="77777777" w:rsidR="00CE6209" w:rsidRPr="00431AD6" w:rsidRDefault="00CE6209" w:rsidP="00CE6209">
      <w:pPr>
        <w:spacing w:after="120"/>
        <w:ind w:left="567"/>
        <w:rPr>
          <w:rFonts w:ascii="Garamond" w:hAnsi="Garamond"/>
          <w:sz w:val="22"/>
          <w:szCs w:val="22"/>
          <w:lang w:val="en-US"/>
        </w:rPr>
      </w:pPr>
      <w:r w:rsidRPr="00431AD6">
        <w:rPr>
          <w:rFonts w:ascii="Garamond" w:hAnsi="Garamond"/>
          <w:sz w:val="22"/>
          <w:szCs w:val="22"/>
          <w:lang w:val="en-US"/>
        </w:rPr>
        <w:lastRenderedPageBreak/>
        <w:t xml:space="preserve">                                    &lt;podis:value&gt;tso_or_gp&lt;/podis:value&gt;</w:t>
      </w:r>
    </w:p>
    <w:p w14:paraId="1104BDF3" w14:textId="77777777" w:rsidR="00CE6209" w:rsidRPr="00431AD6" w:rsidRDefault="00CE6209" w:rsidP="00CE6209">
      <w:pPr>
        <w:spacing w:after="120"/>
        <w:ind w:left="567"/>
        <w:rPr>
          <w:rFonts w:ascii="Garamond" w:hAnsi="Garamond"/>
          <w:sz w:val="22"/>
          <w:szCs w:val="22"/>
          <w:lang w:val="en-US"/>
        </w:rPr>
      </w:pPr>
      <w:r w:rsidRPr="00431AD6">
        <w:rPr>
          <w:rFonts w:ascii="Garamond" w:hAnsi="Garamond"/>
          <w:sz w:val="22"/>
          <w:szCs w:val="22"/>
          <w:lang w:val="en-US"/>
        </w:rPr>
        <w:t xml:space="preserve">                                &lt;/podis:customAttributes&gt;</w:t>
      </w:r>
    </w:p>
    <w:p w14:paraId="7DF7BB83" w14:textId="77777777" w:rsidR="00CE6209" w:rsidRPr="00431AD6" w:rsidRDefault="00CE6209" w:rsidP="00CE6209">
      <w:pPr>
        <w:spacing w:after="120"/>
        <w:ind w:left="567"/>
        <w:rPr>
          <w:rFonts w:ascii="Garamond" w:hAnsi="Garamond"/>
          <w:sz w:val="22"/>
          <w:szCs w:val="22"/>
          <w:lang w:val="en-US"/>
        </w:rPr>
      </w:pPr>
      <w:r w:rsidRPr="00431AD6">
        <w:rPr>
          <w:rFonts w:ascii="Garamond" w:hAnsi="Garamond"/>
          <w:sz w:val="22"/>
          <w:szCs w:val="22"/>
          <w:lang w:val="en-US"/>
        </w:rPr>
        <w:t xml:space="preserve">                                &lt;podis:lifeCycleDate&gt;</w:t>
      </w:r>
    </w:p>
    <w:p w14:paraId="23E18AB0" w14:textId="77777777" w:rsidR="00CE6209" w:rsidRPr="00431AD6" w:rsidRDefault="00CE6209" w:rsidP="00CE6209">
      <w:pPr>
        <w:spacing w:after="120"/>
        <w:ind w:left="567"/>
        <w:rPr>
          <w:rFonts w:ascii="Garamond" w:hAnsi="Garamond"/>
          <w:sz w:val="22"/>
          <w:szCs w:val="22"/>
          <w:lang w:val="en-US"/>
        </w:rPr>
      </w:pPr>
      <w:r w:rsidRPr="00431AD6">
        <w:rPr>
          <w:rFonts w:ascii="Garamond" w:hAnsi="Garamond"/>
          <w:sz w:val="22"/>
          <w:szCs w:val="22"/>
          <w:lang w:val="en-US"/>
        </w:rPr>
        <w:t xml:space="preserve">                                    &lt;podis:nextDateValid&gt;2026-03-05&lt;/podis:nextDateValid&gt;</w:t>
      </w:r>
    </w:p>
    <w:p w14:paraId="1E9247FF" w14:textId="77777777" w:rsidR="00CE6209" w:rsidRPr="00431AD6" w:rsidRDefault="00CE6209" w:rsidP="00CE6209">
      <w:pPr>
        <w:spacing w:after="120"/>
        <w:ind w:left="567"/>
        <w:rPr>
          <w:rFonts w:ascii="Garamond" w:hAnsi="Garamond"/>
          <w:sz w:val="22"/>
          <w:szCs w:val="22"/>
          <w:lang w:val="en-US"/>
        </w:rPr>
      </w:pPr>
      <w:r w:rsidRPr="00431AD6">
        <w:rPr>
          <w:rFonts w:ascii="Garamond" w:hAnsi="Garamond"/>
          <w:sz w:val="22"/>
          <w:szCs w:val="22"/>
          <w:lang w:val="en-US"/>
        </w:rPr>
        <w:t xml:space="preserve">                                &lt;/podis:lifeCycleDate&gt;</w:t>
      </w:r>
    </w:p>
    <w:p w14:paraId="6CE0D51B" w14:textId="77777777" w:rsidR="00CE6209" w:rsidRPr="00431AD6" w:rsidRDefault="00CE6209" w:rsidP="00CE6209">
      <w:pPr>
        <w:spacing w:after="120"/>
        <w:ind w:left="567"/>
        <w:rPr>
          <w:rFonts w:ascii="Garamond" w:hAnsi="Garamond"/>
          <w:sz w:val="22"/>
          <w:szCs w:val="22"/>
          <w:lang w:val="en-US"/>
        </w:rPr>
      </w:pPr>
      <w:r w:rsidRPr="00431AD6">
        <w:rPr>
          <w:rFonts w:ascii="Garamond" w:hAnsi="Garamond"/>
          <w:sz w:val="22"/>
          <w:szCs w:val="22"/>
          <w:lang w:val="en-US"/>
        </w:rPr>
        <w:t xml:space="preserve">                                &lt;podis:potentialTransformerInfo&gt;</w:t>
      </w:r>
    </w:p>
    <w:p w14:paraId="085C53FD" w14:textId="77777777" w:rsidR="00CE6209" w:rsidRPr="00431AD6" w:rsidRDefault="00CE6209" w:rsidP="00CE6209">
      <w:pPr>
        <w:spacing w:after="120"/>
        <w:ind w:left="567"/>
        <w:rPr>
          <w:rFonts w:ascii="Garamond" w:hAnsi="Garamond"/>
          <w:sz w:val="22"/>
          <w:szCs w:val="22"/>
          <w:lang w:val="en-US"/>
        </w:rPr>
      </w:pPr>
      <w:r w:rsidRPr="00431AD6">
        <w:rPr>
          <w:rFonts w:ascii="Garamond" w:hAnsi="Garamond"/>
          <w:sz w:val="22"/>
          <w:szCs w:val="22"/>
          <w:lang w:val="en-US"/>
        </w:rPr>
        <w:t xml:space="preserve">                                    &lt;podis:measuring-tool-code&gt;AA117B5B54F30471E0530A01490A6E4F&lt;/podis:measuring-tool-code&gt;</w:t>
      </w:r>
    </w:p>
    <w:p w14:paraId="590EC908" w14:textId="77777777" w:rsidR="00CE6209" w:rsidRPr="00431AD6" w:rsidRDefault="00CE6209" w:rsidP="00CE6209">
      <w:pPr>
        <w:spacing w:after="120"/>
        <w:ind w:left="567"/>
        <w:rPr>
          <w:rFonts w:ascii="Garamond" w:hAnsi="Garamond"/>
          <w:sz w:val="22"/>
          <w:szCs w:val="22"/>
          <w:lang w:val="en-US"/>
        </w:rPr>
      </w:pPr>
      <w:r w:rsidRPr="00431AD6">
        <w:rPr>
          <w:rFonts w:ascii="Garamond" w:hAnsi="Garamond"/>
          <w:sz w:val="22"/>
          <w:szCs w:val="22"/>
          <w:lang w:val="en-US"/>
        </w:rPr>
        <w:t xml:space="preserve">                                    &lt;podis:modelNumber&gt;</w:t>
      </w:r>
      <w:r w:rsidRPr="00431AD6">
        <w:rPr>
          <w:rFonts w:ascii="Garamond" w:hAnsi="Garamond"/>
          <w:sz w:val="22"/>
          <w:szCs w:val="22"/>
        </w:rPr>
        <w:t>ЗНОЛП</w:t>
      </w:r>
      <w:r w:rsidRPr="00431AD6">
        <w:rPr>
          <w:rFonts w:ascii="Garamond" w:hAnsi="Garamond"/>
          <w:sz w:val="22"/>
          <w:szCs w:val="22"/>
          <w:lang w:val="en-US"/>
        </w:rPr>
        <w:t>&lt;/podis:modelNumber&gt;</w:t>
      </w:r>
    </w:p>
    <w:p w14:paraId="2743139F" w14:textId="77777777" w:rsidR="00CE6209" w:rsidRPr="00431AD6" w:rsidRDefault="00CE6209" w:rsidP="00CE6209">
      <w:pPr>
        <w:spacing w:after="120"/>
        <w:ind w:left="567"/>
        <w:rPr>
          <w:rFonts w:ascii="Garamond" w:hAnsi="Garamond"/>
          <w:sz w:val="22"/>
          <w:szCs w:val="22"/>
          <w:lang w:val="en-US"/>
        </w:rPr>
      </w:pPr>
      <w:r w:rsidRPr="00431AD6">
        <w:rPr>
          <w:rFonts w:ascii="Garamond" w:hAnsi="Garamond"/>
          <w:sz w:val="22"/>
          <w:szCs w:val="22"/>
          <w:lang w:val="en-US"/>
        </w:rPr>
        <w:t xml:space="preserve">                                    &lt;podis:customAttributes&gt;</w:t>
      </w:r>
    </w:p>
    <w:p w14:paraId="53547AD3" w14:textId="77777777" w:rsidR="00CE6209" w:rsidRPr="00431AD6" w:rsidRDefault="00CE6209" w:rsidP="00CE6209">
      <w:pPr>
        <w:spacing w:after="120"/>
        <w:ind w:left="567"/>
        <w:rPr>
          <w:rFonts w:ascii="Garamond" w:hAnsi="Garamond"/>
          <w:sz w:val="22"/>
          <w:szCs w:val="22"/>
          <w:lang w:val="en-US"/>
        </w:rPr>
      </w:pPr>
      <w:r w:rsidRPr="00431AD6">
        <w:rPr>
          <w:rFonts w:ascii="Garamond" w:hAnsi="Garamond"/>
          <w:sz w:val="22"/>
          <w:szCs w:val="22"/>
          <w:lang w:val="en-US"/>
        </w:rPr>
        <w:t xml:space="preserve">                                        &lt;podis:name&gt;RatedLoad&lt;/podis:name&gt;</w:t>
      </w:r>
    </w:p>
    <w:p w14:paraId="6AF8D61A" w14:textId="77777777" w:rsidR="00CE6209" w:rsidRPr="00431AD6" w:rsidRDefault="00CE6209" w:rsidP="00CE6209">
      <w:pPr>
        <w:spacing w:after="120"/>
        <w:ind w:left="567"/>
        <w:rPr>
          <w:rFonts w:ascii="Garamond" w:hAnsi="Garamond"/>
          <w:sz w:val="22"/>
          <w:szCs w:val="22"/>
          <w:lang w:val="en-US"/>
        </w:rPr>
      </w:pPr>
      <w:r w:rsidRPr="00431AD6">
        <w:rPr>
          <w:rFonts w:ascii="Garamond" w:hAnsi="Garamond"/>
          <w:sz w:val="22"/>
          <w:szCs w:val="22"/>
          <w:lang w:val="en-US"/>
        </w:rPr>
        <w:t xml:space="preserve">                                        &lt;podis:value&gt;50&lt;/podis:value&gt;</w:t>
      </w:r>
    </w:p>
    <w:p w14:paraId="673AA166" w14:textId="77777777" w:rsidR="00CE6209" w:rsidRPr="00431AD6" w:rsidRDefault="00CE6209" w:rsidP="00CE6209">
      <w:pPr>
        <w:spacing w:after="120"/>
        <w:ind w:left="567"/>
        <w:rPr>
          <w:rFonts w:ascii="Garamond" w:hAnsi="Garamond"/>
          <w:sz w:val="22"/>
          <w:szCs w:val="22"/>
          <w:lang w:val="en-US"/>
        </w:rPr>
      </w:pPr>
      <w:r w:rsidRPr="00431AD6">
        <w:rPr>
          <w:rFonts w:ascii="Garamond" w:hAnsi="Garamond"/>
          <w:sz w:val="22"/>
          <w:szCs w:val="22"/>
          <w:lang w:val="en-US"/>
        </w:rPr>
        <w:t xml:space="preserve">                                    &lt;/podis:customAttributes&gt;</w:t>
      </w:r>
    </w:p>
    <w:p w14:paraId="4F4EACEE" w14:textId="77777777" w:rsidR="00CE6209" w:rsidRPr="00E750D0" w:rsidRDefault="00CE6209" w:rsidP="00CE6209">
      <w:pPr>
        <w:spacing w:after="120"/>
        <w:ind w:left="567"/>
        <w:rPr>
          <w:rFonts w:ascii="Garamond" w:hAnsi="Garamond"/>
          <w:sz w:val="22"/>
          <w:szCs w:val="22"/>
          <w:lang w:val="es-ES"/>
        </w:rPr>
      </w:pPr>
      <w:r w:rsidRPr="00431AD6">
        <w:rPr>
          <w:rFonts w:ascii="Garamond" w:hAnsi="Garamond"/>
          <w:sz w:val="22"/>
          <w:szCs w:val="22"/>
          <w:lang w:val="en-US"/>
        </w:rPr>
        <w:t xml:space="preserve">                                    </w:t>
      </w:r>
      <w:r w:rsidRPr="00E750D0">
        <w:rPr>
          <w:rFonts w:ascii="Garamond" w:hAnsi="Garamond"/>
          <w:sz w:val="22"/>
          <w:szCs w:val="22"/>
          <w:lang w:val="es-ES"/>
        </w:rPr>
        <w:t>&lt;podis:nominalRatio&gt;</w:t>
      </w:r>
    </w:p>
    <w:p w14:paraId="184D0F5D" w14:textId="77777777" w:rsidR="00CE6209" w:rsidRPr="00E750D0" w:rsidRDefault="00CE6209" w:rsidP="00CE6209">
      <w:pPr>
        <w:spacing w:after="120"/>
        <w:ind w:left="567"/>
        <w:rPr>
          <w:rFonts w:ascii="Garamond" w:hAnsi="Garamond"/>
          <w:sz w:val="22"/>
          <w:szCs w:val="22"/>
          <w:lang w:val="es-ES"/>
        </w:rPr>
      </w:pPr>
      <w:r w:rsidRPr="00E750D0">
        <w:rPr>
          <w:rFonts w:ascii="Garamond" w:hAnsi="Garamond"/>
          <w:sz w:val="22"/>
          <w:szCs w:val="22"/>
          <w:lang w:val="es-ES"/>
        </w:rPr>
        <w:t xml:space="preserve">                                        &lt;podis:denominator&gt;100&lt;/podis:denominator&gt;</w:t>
      </w:r>
    </w:p>
    <w:p w14:paraId="5F5321A6" w14:textId="77777777" w:rsidR="00CE6209" w:rsidRPr="00E750D0" w:rsidRDefault="00CE6209" w:rsidP="00CE6209">
      <w:pPr>
        <w:spacing w:after="120"/>
        <w:ind w:left="567"/>
        <w:rPr>
          <w:rFonts w:ascii="Garamond" w:hAnsi="Garamond"/>
          <w:sz w:val="22"/>
          <w:szCs w:val="22"/>
          <w:lang w:val="es-ES"/>
        </w:rPr>
      </w:pPr>
      <w:r w:rsidRPr="00E750D0">
        <w:rPr>
          <w:rFonts w:ascii="Garamond" w:hAnsi="Garamond"/>
          <w:sz w:val="22"/>
          <w:szCs w:val="22"/>
          <w:lang w:val="es-ES"/>
        </w:rPr>
        <w:t xml:space="preserve">                                        &lt;podis:numerator&gt;6000&lt;/podis:numerator&gt;</w:t>
      </w:r>
    </w:p>
    <w:p w14:paraId="133EC65B" w14:textId="77777777" w:rsidR="00CE6209" w:rsidRPr="00E750D0" w:rsidRDefault="00CE6209" w:rsidP="00CE6209">
      <w:pPr>
        <w:spacing w:after="120"/>
        <w:ind w:left="567"/>
        <w:rPr>
          <w:rFonts w:ascii="Garamond" w:hAnsi="Garamond"/>
          <w:sz w:val="22"/>
          <w:szCs w:val="22"/>
          <w:lang w:val="es-ES"/>
        </w:rPr>
      </w:pPr>
      <w:r w:rsidRPr="00E750D0">
        <w:rPr>
          <w:rFonts w:ascii="Garamond" w:hAnsi="Garamond"/>
          <w:sz w:val="22"/>
          <w:szCs w:val="22"/>
          <w:lang w:val="es-ES"/>
        </w:rPr>
        <w:t xml:space="preserve">                                    &lt;/podis:nominalRatio&gt;</w:t>
      </w:r>
    </w:p>
    <w:p w14:paraId="6A4C5DDC" w14:textId="77777777" w:rsidR="00CE6209" w:rsidRPr="00431AD6" w:rsidRDefault="00CE6209" w:rsidP="00CE6209">
      <w:pPr>
        <w:spacing w:after="120"/>
        <w:ind w:left="567"/>
        <w:rPr>
          <w:rFonts w:ascii="Garamond" w:hAnsi="Garamond"/>
          <w:sz w:val="22"/>
          <w:szCs w:val="22"/>
          <w:lang w:val="en-US"/>
        </w:rPr>
      </w:pPr>
      <w:r w:rsidRPr="00E750D0">
        <w:rPr>
          <w:rFonts w:ascii="Garamond" w:hAnsi="Garamond"/>
          <w:sz w:val="22"/>
          <w:szCs w:val="22"/>
          <w:lang w:val="es-ES"/>
        </w:rPr>
        <w:t xml:space="preserve">                                    </w:t>
      </w:r>
      <w:r w:rsidRPr="00431AD6">
        <w:rPr>
          <w:rFonts w:ascii="Garamond" w:hAnsi="Garamond"/>
          <w:sz w:val="22"/>
          <w:szCs w:val="22"/>
          <w:lang w:val="en-US"/>
        </w:rPr>
        <w:t>&lt;podis:accuracyClass&gt;0.5&lt;/podis:accuracyClass&gt;</w:t>
      </w:r>
    </w:p>
    <w:p w14:paraId="0EB9A1BC" w14:textId="77777777" w:rsidR="00CE6209" w:rsidRPr="00431AD6" w:rsidRDefault="00CE6209" w:rsidP="00CE6209">
      <w:pPr>
        <w:spacing w:after="120"/>
        <w:ind w:left="567"/>
        <w:rPr>
          <w:rFonts w:ascii="Garamond" w:hAnsi="Garamond"/>
          <w:sz w:val="22"/>
          <w:szCs w:val="22"/>
          <w:lang w:val="en-US"/>
        </w:rPr>
      </w:pPr>
      <w:r w:rsidRPr="00431AD6">
        <w:rPr>
          <w:rFonts w:ascii="Garamond" w:hAnsi="Garamond"/>
          <w:sz w:val="22"/>
          <w:szCs w:val="22"/>
          <w:lang w:val="en-US"/>
        </w:rPr>
        <w:t xml:space="preserve">                                    &lt;podis:regNumber&gt;23544-07&lt;/podis:regNumber&gt;</w:t>
      </w:r>
    </w:p>
    <w:p w14:paraId="027E507D" w14:textId="77777777" w:rsidR="00CE6209" w:rsidRPr="00E750D0" w:rsidRDefault="00CE6209" w:rsidP="00CE6209">
      <w:pPr>
        <w:spacing w:after="120"/>
        <w:ind w:left="567"/>
        <w:rPr>
          <w:rFonts w:ascii="Garamond" w:hAnsi="Garamond"/>
          <w:sz w:val="22"/>
          <w:szCs w:val="22"/>
          <w:lang w:val="es-ES"/>
        </w:rPr>
      </w:pPr>
      <w:r w:rsidRPr="00431AD6">
        <w:rPr>
          <w:rFonts w:ascii="Garamond" w:hAnsi="Garamond"/>
          <w:sz w:val="22"/>
          <w:szCs w:val="22"/>
          <w:lang w:val="en-US"/>
        </w:rPr>
        <w:t xml:space="preserve">                                </w:t>
      </w:r>
      <w:r w:rsidRPr="00E750D0">
        <w:rPr>
          <w:rFonts w:ascii="Garamond" w:hAnsi="Garamond"/>
          <w:sz w:val="22"/>
          <w:szCs w:val="22"/>
          <w:lang w:val="es-ES"/>
        </w:rPr>
        <w:t>&lt;/podis:potentialTransformerInfo&gt;</w:t>
      </w:r>
    </w:p>
    <w:p w14:paraId="42E27ED0" w14:textId="77777777" w:rsidR="00CE6209" w:rsidRPr="00E750D0" w:rsidRDefault="00CE6209" w:rsidP="00CE6209">
      <w:pPr>
        <w:spacing w:after="120"/>
        <w:ind w:left="567"/>
        <w:rPr>
          <w:rFonts w:ascii="Garamond" w:hAnsi="Garamond"/>
          <w:sz w:val="22"/>
          <w:szCs w:val="22"/>
          <w:lang w:val="es-ES"/>
        </w:rPr>
      </w:pPr>
      <w:r w:rsidRPr="00E750D0">
        <w:rPr>
          <w:rFonts w:ascii="Garamond" w:hAnsi="Garamond"/>
          <w:sz w:val="22"/>
          <w:szCs w:val="22"/>
          <w:lang w:val="es-ES"/>
        </w:rPr>
        <w:t xml:space="preserve">                            &lt;/podis:potentialTransformer&gt;</w:t>
      </w:r>
    </w:p>
    <w:p w14:paraId="0627BC46" w14:textId="77777777" w:rsidR="00CE6209" w:rsidRPr="00E750D0" w:rsidRDefault="00CE6209" w:rsidP="00CE6209">
      <w:pPr>
        <w:spacing w:after="120"/>
        <w:ind w:left="567"/>
        <w:rPr>
          <w:rFonts w:ascii="Garamond" w:hAnsi="Garamond"/>
          <w:sz w:val="22"/>
          <w:szCs w:val="22"/>
          <w:lang w:val="es-ES"/>
        </w:rPr>
      </w:pPr>
      <w:r w:rsidRPr="00E750D0">
        <w:rPr>
          <w:rFonts w:ascii="Garamond" w:hAnsi="Garamond"/>
          <w:sz w:val="22"/>
          <w:szCs w:val="22"/>
          <w:lang w:val="es-ES"/>
        </w:rPr>
        <w:t xml:space="preserve">                            &lt;podis:potentialTransformer&gt;</w:t>
      </w:r>
    </w:p>
    <w:p w14:paraId="3D6E7138" w14:textId="77777777" w:rsidR="00CE6209" w:rsidRPr="00431AD6" w:rsidRDefault="00CE6209" w:rsidP="00CE6209">
      <w:pPr>
        <w:spacing w:after="120"/>
        <w:ind w:left="567"/>
        <w:rPr>
          <w:rFonts w:ascii="Garamond" w:hAnsi="Garamond"/>
          <w:sz w:val="22"/>
          <w:szCs w:val="22"/>
          <w:lang w:val="en-US"/>
        </w:rPr>
      </w:pPr>
      <w:r w:rsidRPr="00E750D0">
        <w:rPr>
          <w:rFonts w:ascii="Garamond" w:hAnsi="Garamond"/>
          <w:sz w:val="22"/>
          <w:szCs w:val="22"/>
          <w:lang w:val="es-ES"/>
        </w:rPr>
        <w:t xml:space="preserve">                                </w:t>
      </w:r>
      <w:r w:rsidRPr="00431AD6">
        <w:rPr>
          <w:rFonts w:ascii="Garamond" w:hAnsi="Garamond"/>
          <w:sz w:val="22"/>
          <w:szCs w:val="22"/>
          <w:lang w:val="en-US"/>
        </w:rPr>
        <w:t>&lt;podis:serialNumber&gt;2120&lt;/podis:serialNumber&gt;</w:t>
      </w:r>
    </w:p>
    <w:p w14:paraId="50FA3621" w14:textId="77777777" w:rsidR="00CE6209" w:rsidRPr="00431AD6" w:rsidRDefault="00CE6209" w:rsidP="00CE6209">
      <w:pPr>
        <w:spacing w:after="120"/>
        <w:ind w:left="567"/>
        <w:rPr>
          <w:rFonts w:ascii="Garamond" w:hAnsi="Garamond"/>
          <w:sz w:val="22"/>
          <w:szCs w:val="22"/>
          <w:lang w:val="en-US"/>
        </w:rPr>
      </w:pPr>
      <w:r w:rsidRPr="00431AD6">
        <w:rPr>
          <w:rFonts w:ascii="Garamond" w:hAnsi="Garamond"/>
          <w:sz w:val="22"/>
          <w:szCs w:val="22"/>
          <w:lang w:val="en-US"/>
        </w:rPr>
        <w:t xml:space="preserve">                                &lt;podis:customAttributes&gt;</w:t>
      </w:r>
    </w:p>
    <w:p w14:paraId="29FB6017" w14:textId="77777777" w:rsidR="00CE6209" w:rsidRPr="00431AD6" w:rsidRDefault="00CE6209" w:rsidP="00CE6209">
      <w:pPr>
        <w:spacing w:after="120"/>
        <w:ind w:left="567"/>
        <w:rPr>
          <w:rFonts w:ascii="Garamond" w:hAnsi="Garamond"/>
          <w:sz w:val="22"/>
          <w:szCs w:val="22"/>
          <w:lang w:val="en-US"/>
        </w:rPr>
      </w:pPr>
      <w:r w:rsidRPr="00431AD6">
        <w:rPr>
          <w:rFonts w:ascii="Garamond" w:hAnsi="Garamond"/>
          <w:sz w:val="22"/>
          <w:szCs w:val="22"/>
          <w:lang w:val="en-US"/>
        </w:rPr>
        <w:t xml:space="preserve">                                    &lt;podis:name&gt;assetOwnerKind&lt;/podis:name&gt;</w:t>
      </w:r>
    </w:p>
    <w:p w14:paraId="2BA20C80" w14:textId="77777777" w:rsidR="00CE6209" w:rsidRPr="00431AD6" w:rsidRDefault="00CE6209" w:rsidP="00CE6209">
      <w:pPr>
        <w:spacing w:after="120"/>
        <w:ind w:left="567"/>
        <w:rPr>
          <w:rFonts w:ascii="Garamond" w:hAnsi="Garamond"/>
          <w:sz w:val="22"/>
          <w:szCs w:val="22"/>
          <w:lang w:val="en-US"/>
        </w:rPr>
      </w:pPr>
      <w:r w:rsidRPr="00431AD6">
        <w:rPr>
          <w:rFonts w:ascii="Garamond" w:hAnsi="Garamond"/>
          <w:sz w:val="22"/>
          <w:szCs w:val="22"/>
          <w:lang w:val="en-US"/>
        </w:rPr>
        <w:t xml:space="preserve">                                    &lt;podis:value&gt;tso_or_gp&lt;/podis:value&gt;</w:t>
      </w:r>
    </w:p>
    <w:p w14:paraId="02C6628B" w14:textId="77777777" w:rsidR="00CE6209" w:rsidRPr="00431AD6" w:rsidRDefault="00CE6209" w:rsidP="00CE6209">
      <w:pPr>
        <w:spacing w:after="120"/>
        <w:ind w:left="567"/>
        <w:rPr>
          <w:rFonts w:ascii="Garamond" w:hAnsi="Garamond"/>
          <w:sz w:val="22"/>
          <w:szCs w:val="22"/>
          <w:lang w:val="en-US"/>
        </w:rPr>
      </w:pPr>
      <w:r w:rsidRPr="00431AD6">
        <w:rPr>
          <w:rFonts w:ascii="Garamond" w:hAnsi="Garamond"/>
          <w:sz w:val="22"/>
          <w:szCs w:val="22"/>
          <w:lang w:val="en-US"/>
        </w:rPr>
        <w:t xml:space="preserve">                                &lt;/podis:customAttributes&gt;</w:t>
      </w:r>
    </w:p>
    <w:p w14:paraId="0FBF3262" w14:textId="77777777" w:rsidR="00CE6209" w:rsidRPr="00431AD6" w:rsidRDefault="00CE6209" w:rsidP="00CE6209">
      <w:pPr>
        <w:spacing w:after="120"/>
        <w:ind w:left="567"/>
        <w:rPr>
          <w:rFonts w:ascii="Garamond" w:hAnsi="Garamond"/>
          <w:sz w:val="22"/>
          <w:szCs w:val="22"/>
          <w:lang w:val="en-US"/>
        </w:rPr>
      </w:pPr>
      <w:r w:rsidRPr="00431AD6">
        <w:rPr>
          <w:rFonts w:ascii="Garamond" w:hAnsi="Garamond"/>
          <w:sz w:val="22"/>
          <w:szCs w:val="22"/>
          <w:lang w:val="en-US"/>
        </w:rPr>
        <w:t xml:space="preserve">                                &lt;podis:lifeCycleDate&gt;</w:t>
      </w:r>
    </w:p>
    <w:p w14:paraId="34FCA2CF" w14:textId="77777777" w:rsidR="00CE6209" w:rsidRPr="00431AD6" w:rsidRDefault="00CE6209" w:rsidP="00CE6209">
      <w:pPr>
        <w:spacing w:after="120"/>
        <w:ind w:left="567"/>
        <w:rPr>
          <w:rFonts w:ascii="Garamond" w:hAnsi="Garamond"/>
          <w:sz w:val="22"/>
          <w:szCs w:val="22"/>
          <w:lang w:val="en-US"/>
        </w:rPr>
      </w:pPr>
      <w:r w:rsidRPr="00431AD6">
        <w:rPr>
          <w:rFonts w:ascii="Garamond" w:hAnsi="Garamond"/>
          <w:sz w:val="22"/>
          <w:szCs w:val="22"/>
          <w:lang w:val="en-US"/>
        </w:rPr>
        <w:t xml:space="preserve">                                    &lt;podis:nextDateValid&gt;2026-08-25&lt;/podis:nextDateValid&gt;</w:t>
      </w:r>
    </w:p>
    <w:p w14:paraId="5AFEBB6F" w14:textId="77777777" w:rsidR="00CE6209" w:rsidRPr="00431AD6" w:rsidRDefault="00CE6209" w:rsidP="00CE6209">
      <w:pPr>
        <w:spacing w:after="120"/>
        <w:ind w:left="567"/>
        <w:rPr>
          <w:rFonts w:ascii="Garamond" w:hAnsi="Garamond"/>
          <w:sz w:val="22"/>
          <w:szCs w:val="22"/>
          <w:lang w:val="en-US"/>
        </w:rPr>
      </w:pPr>
      <w:r w:rsidRPr="00431AD6">
        <w:rPr>
          <w:rFonts w:ascii="Garamond" w:hAnsi="Garamond"/>
          <w:sz w:val="22"/>
          <w:szCs w:val="22"/>
          <w:lang w:val="en-US"/>
        </w:rPr>
        <w:t xml:space="preserve">                                &lt;/podis:lifeCycleDate&gt;</w:t>
      </w:r>
    </w:p>
    <w:p w14:paraId="7969822A" w14:textId="77777777" w:rsidR="00CE6209" w:rsidRPr="00431AD6" w:rsidRDefault="00CE6209" w:rsidP="00CE6209">
      <w:pPr>
        <w:spacing w:after="120"/>
        <w:ind w:left="567"/>
        <w:rPr>
          <w:rFonts w:ascii="Garamond" w:hAnsi="Garamond"/>
          <w:sz w:val="22"/>
          <w:szCs w:val="22"/>
          <w:lang w:val="en-US"/>
        </w:rPr>
      </w:pPr>
      <w:r w:rsidRPr="00431AD6">
        <w:rPr>
          <w:rFonts w:ascii="Garamond" w:hAnsi="Garamond"/>
          <w:sz w:val="22"/>
          <w:szCs w:val="22"/>
          <w:lang w:val="en-US"/>
        </w:rPr>
        <w:t xml:space="preserve">                                &lt;podis:potentialTransformerInfo&gt;</w:t>
      </w:r>
    </w:p>
    <w:p w14:paraId="5FB3743A" w14:textId="77777777" w:rsidR="00CE6209" w:rsidRPr="00431AD6" w:rsidRDefault="00CE6209" w:rsidP="00CE6209">
      <w:pPr>
        <w:spacing w:after="120"/>
        <w:ind w:left="567"/>
        <w:rPr>
          <w:rFonts w:ascii="Garamond" w:hAnsi="Garamond"/>
          <w:sz w:val="22"/>
          <w:szCs w:val="22"/>
          <w:lang w:val="en-US"/>
        </w:rPr>
      </w:pPr>
      <w:r w:rsidRPr="00431AD6">
        <w:rPr>
          <w:rFonts w:ascii="Garamond" w:hAnsi="Garamond"/>
          <w:sz w:val="22"/>
          <w:szCs w:val="22"/>
          <w:lang w:val="en-US"/>
        </w:rPr>
        <w:t xml:space="preserve">                                    &lt;podis:measuring-tool-code&gt;AA117B5B54F30471E0530A01490A6E4F&lt;/podis:measuring-tool-code&gt;</w:t>
      </w:r>
    </w:p>
    <w:p w14:paraId="027EAF5D" w14:textId="77777777" w:rsidR="00CE6209" w:rsidRPr="00431AD6" w:rsidRDefault="00CE6209" w:rsidP="00CE6209">
      <w:pPr>
        <w:spacing w:after="120"/>
        <w:ind w:left="567"/>
        <w:rPr>
          <w:rFonts w:ascii="Garamond" w:hAnsi="Garamond"/>
          <w:sz w:val="22"/>
          <w:szCs w:val="22"/>
          <w:lang w:val="en-US"/>
        </w:rPr>
      </w:pPr>
      <w:r w:rsidRPr="00431AD6">
        <w:rPr>
          <w:rFonts w:ascii="Garamond" w:hAnsi="Garamond"/>
          <w:sz w:val="22"/>
          <w:szCs w:val="22"/>
          <w:lang w:val="en-US"/>
        </w:rPr>
        <w:t xml:space="preserve">                                    &lt;podis:modelNumber&gt;</w:t>
      </w:r>
      <w:r w:rsidRPr="00431AD6">
        <w:rPr>
          <w:rFonts w:ascii="Garamond" w:hAnsi="Garamond"/>
          <w:sz w:val="22"/>
          <w:szCs w:val="22"/>
        </w:rPr>
        <w:t>ЗНОЛП</w:t>
      </w:r>
      <w:r w:rsidRPr="00431AD6">
        <w:rPr>
          <w:rFonts w:ascii="Garamond" w:hAnsi="Garamond"/>
          <w:sz w:val="22"/>
          <w:szCs w:val="22"/>
          <w:lang w:val="en-US"/>
        </w:rPr>
        <w:t>&lt;/podis:modelNumber&gt;</w:t>
      </w:r>
    </w:p>
    <w:p w14:paraId="511A318A" w14:textId="77777777" w:rsidR="00CE6209" w:rsidRPr="00431AD6" w:rsidRDefault="00CE6209" w:rsidP="00CE6209">
      <w:pPr>
        <w:spacing w:after="120"/>
        <w:ind w:left="567"/>
        <w:rPr>
          <w:rFonts w:ascii="Garamond" w:hAnsi="Garamond"/>
          <w:sz w:val="22"/>
          <w:szCs w:val="22"/>
          <w:lang w:val="en-US"/>
        </w:rPr>
      </w:pPr>
      <w:r w:rsidRPr="00431AD6">
        <w:rPr>
          <w:rFonts w:ascii="Garamond" w:hAnsi="Garamond"/>
          <w:sz w:val="22"/>
          <w:szCs w:val="22"/>
          <w:lang w:val="en-US"/>
        </w:rPr>
        <w:t xml:space="preserve">                                    &lt;podis:customAttributes&gt;</w:t>
      </w:r>
    </w:p>
    <w:p w14:paraId="74EB6229" w14:textId="77777777" w:rsidR="00CE6209" w:rsidRPr="00431AD6" w:rsidRDefault="00CE6209" w:rsidP="00CE6209">
      <w:pPr>
        <w:spacing w:after="120"/>
        <w:ind w:left="567"/>
        <w:rPr>
          <w:rFonts w:ascii="Garamond" w:hAnsi="Garamond"/>
          <w:sz w:val="22"/>
          <w:szCs w:val="22"/>
          <w:lang w:val="en-US"/>
        </w:rPr>
      </w:pPr>
      <w:r w:rsidRPr="00431AD6">
        <w:rPr>
          <w:rFonts w:ascii="Garamond" w:hAnsi="Garamond"/>
          <w:sz w:val="22"/>
          <w:szCs w:val="22"/>
          <w:lang w:val="en-US"/>
        </w:rPr>
        <w:t xml:space="preserve">                                        &lt;podis:name&gt;RatedLoad&lt;/podis:name&gt;</w:t>
      </w:r>
    </w:p>
    <w:p w14:paraId="0521A660" w14:textId="77777777" w:rsidR="00CE6209" w:rsidRPr="00431AD6" w:rsidRDefault="00CE6209" w:rsidP="00CE6209">
      <w:pPr>
        <w:spacing w:after="120"/>
        <w:ind w:left="567"/>
        <w:rPr>
          <w:rFonts w:ascii="Garamond" w:hAnsi="Garamond"/>
          <w:sz w:val="22"/>
          <w:szCs w:val="22"/>
          <w:lang w:val="en-US"/>
        </w:rPr>
      </w:pPr>
      <w:r w:rsidRPr="00431AD6">
        <w:rPr>
          <w:rFonts w:ascii="Garamond" w:hAnsi="Garamond"/>
          <w:sz w:val="22"/>
          <w:szCs w:val="22"/>
          <w:lang w:val="en-US"/>
        </w:rPr>
        <w:t xml:space="preserve">                                        &lt;podis:value&gt;50&lt;/podis:value&gt;</w:t>
      </w:r>
    </w:p>
    <w:p w14:paraId="76F85E81" w14:textId="77777777" w:rsidR="00CE6209" w:rsidRPr="00431AD6" w:rsidRDefault="00CE6209" w:rsidP="00CE6209">
      <w:pPr>
        <w:spacing w:after="120"/>
        <w:ind w:left="567"/>
        <w:rPr>
          <w:rFonts w:ascii="Garamond" w:hAnsi="Garamond"/>
          <w:sz w:val="22"/>
          <w:szCs w:val="22"/>
          <w:lang w:val="en-US"/>
        </w:rPr>
      </w:pPr>
      <w:r w:rsidRPr="00431AD6">
        <w:rPr>
          <w:rFonts w:ascii="Garamond" w:hAnsi="Garamond"/>
          <w:sz w:val="22"/>
          <w:szCs w:val="22"/>
          <w:lang w:val="en-US"/>
        </w:rPr>
        <w:t xml:space="preserve">                                    &lt;/podis:customAttributes&gt;</w:t>
      </w:r>
    </w:p>
    <w:p w14:paraId="314E6C75" w14:textId="77777777" w:rsidR="00CE6209" w:rsidRPr="00E750D0" w:rsidRDefault="00CE6209" w:rsidP="00CE6209">
      <w:pPr>
        <w:spacing w:after="120"/>
        <w:ind w:left="567"/>
        <w:rPr>
          <w:rFonts w:ascii="Garamond" w:hAnsi="Garamond"/>
          <w:sz w:val="22"/>
          <w:szCs w:val="22"/>
          <w:lang w:val="es-ES"/>
        </w:rPr>
      </w:pPr>
      <w:r w:rsidRPr="00431AD6">
        <w:rPr>
          <w:rFonts w:ascii="Garamond" w:hAnsi="Garamond"/>
          <w:sz w:val="22"/>
          <w:szCs w:val="22"/>
          <w:lang w:val="en-US"/>
        </w:rPr>
        <w:t xml:space="preserve">                                    </w:t>
      </w:r>
      <w:r w:rsidRPr="00E750D0">
        <w:rPr>
          <w:rFonts w:ascii="Garamond" w:hAnsi="Garamond"/>
          <w:sz w:val="22"/>
          <w:szCs w:val="22"/>
          <w:lang w:val="es-ES"/>
        </w:rPr>
        <w:t>&lt;podis:nominalRatio&gt;</w:t>
      </w:r>
    </w:p>
    <w:p w14:paraId="28A38611" w14:textId="77777777" w:rsidR="00CE6209" w:rsidRPr="00E750D0" w:rsidRDefault="00CE6209" w:rsidP="00CE6209">
      <w:pPr>
        <w:spacing w:after="120"/>
        <w:ind w:left="567"/>
        <w:rPr>
          <w:rFonts w:ascii="Garamond" w:hAnsi="Garamond"/>
          <w:sz w:val="22"/>
          <w:szCs w:val="22"/>
          <w:lang w:val="es-ES"/>
        </w:rPr>
      </w:pPr>
      <w:r w:rsidRPr="00E750D0">
        <w:rPr>
          <w:rFonts w:ascii="Garamond" w:hAnsi="Garamond"/>
          <w:sz w:val="22"/>
          <w:szCs w:val="22"/>
          <w:lang w:val="es-ES"/>
        </w:rPr>
        <w:t xml:space="preserve">                                        &lt;podis:denominator&gt;100&lt;/podis:denominator&gt;</w:t>
      </w:r>
    </w:p>
    <w:p w14:paraId="245B118B" w14:textId="77777777" w:rsidR="00CE6209" w:rsidRPr="00E750D0" w:rsidRDefault="00CE6209" w:rsidP="00CE6209">
      <w:pPr>
        <w:spacing w:after="120"/>
        <w:ind w:left="567"/>
        <w:rPr>
          <w:rFonts w:ascii="Garamond" w:hAnsi="Garamond"/>
          <w:sz w:val="22"/>
          <w:szCs w:val="22"/>
          <w:lang w:val="es-ES"/>
        </w:rPr>
      </w:pPr>
      <w:r w:rsidRPr="00E750D0">
        <w:rPr>
          <w:rFonts w:ascii="Garamond" w:hAnsi="Garamond"/>
          <w:sz w:val="22"/>
          <w:szCs w:val="22"/>
          <w:lang w:val="es-ES"/>
        </w:rPr>
        <w:lastRenderedPageBreak/>
        <w:t xml:space="preserve">                                        &lt;podis:numerator&gt;6000&lt;/podis:numerator&gt;</w:t>
      </w:r>
    </w:p>
    <w:p w14:paraId="54BCD364" w14:textId="77777777" w:rsidR="00CE6209" w:rsidRPr="00E750D0" w:rsidRDefault="00CE6209" w:rsidP="00CE6209">
      <w:pPr>
        <w:spacing w:after="120"/>
        <w:ind w:left="567"/>
        <w:rPr>
          <w:rFonts w:ascii="Garamond" w:hAnsi="Garamond"/>
          <w:sz w:val="22"/>
          <w:szCs w:val="22"/>
          <w:lang w:val="es-ES"/>
        </w:rPr>
      </w:pPr>
      <w:r w:rsidRPr="00E750D0">
        <w:rPr>
          <w:rFonts w:ascii="Garamond" w:hAnsi="Garamond"/>
          <w:sz w:val="22"/>
          <w:szCs w:val="22"/>
          <w:lang w:val="es-ES"/>
        </w:rPr>
        <w:t xml:space="preserve">                                    &lt;/podis:nominalRatio&gt;</w:t>
      </w:r>
    </w:p>
    <w:p w14:paraId="6B06919F" w14:textId="77777777" w:rsidR="00CE6209" w:rsidRPr="00431AD6" w:rsidRDefault="00CE6209" w:rsidP="00CE6209">
      <w:pPr>
        <w:spacing w:after="120"/>
        <w:ind w:left="567"/>
        <w:rPr>
          <w:rFonts w:ascii="Garamond" w:hAnsi="Garamond"/>
          <w:sz w:val="22"/>
          <w:szCs w:val="22"/>
          <w:lang w:val="en-US"/>
        </w:rPr>
      </w:pPr>
      <w:r w:rsidRPr="00E750D0">
        <w:rPr>
          <w:rFonts w:ascii="Garamond" w:hAnsi="Garamond"/>
          <w:sz w:val="22"/>
          <w:szCs w:val="22"/>
          <w:lang w:val="es-ES"/>
        </w:rPr>
        <w:t xml:space="preserve">                                    </w:t>
      </w:r>
      <w:r w:rsidRPr="00431AD6">
        <w:rPr>
          <w:rFonts w:ascii="Garamond" w:hAnsi="Garamond"/>
          <w:sz w:val="22"/>
          <w:szCs w:val="22"/>
          <w:lang w:val="en-US"/>
        </w:rPr>
        <w:t>&lt;podis:accuracyClass&gt;0.5&lt;/podis:accuracyClass&gt;</w:t>
      </w:r>
    </w:p>
    <w:p w14:paraId="760D68FC" w14:textId="77777777" w:rsidR="00CE6209" w:rsidRPr="00431AD6" w:rsidRDefault="00CE6209" w:rsidP="00CE6209">
      <w:pPr>
        <w:spacing w:after="120"/>
        <w:ind w:left="567"/>
        <w:rPr>
          <w:rFonts w:ascii="Garamond" w:hAnsi="Garamond"/>
          <w:sz w:val="22"/>
          <w:szCs w:val="22"/>
          <w:lang w:val="en-US"/>
        </w:rPr>
      </w:pPr>
      <w:r w:rsidRPr="00431AD6">
        <w:rPr>
          <w:rFonts w:ascii="Garamond" w:hAnsi="Garamond"/>
          <w:sz w:val="22"/>
          <w:szCs w:val="22"/>
          <w:lang w:val="en-US"/>
        </w:rPr>
        <w:t xml:space="preserve">                                    &lt;podis:regNumber&gt;23544-07&lt;/podis:regNumber&gt;</w:t>
      </w:r>
    </w:p>
    <w:p w14:paraId="7B817EDC" w14:textId="77777777" w:rsidR="00CE6209" w:rsidRPr="00E750D0" w:rsidRDefault="00CE6209" w:rsidP="00CE6209">
      <w:pPr>
        <w:spacing w:after="120"/>
        <w:ind w:left="567"/>
        <w:rPr>
          <w:rFonts w:ascii="Garamond" w:hAnsi="Garamond"/>
          <w:sz w:val="22"/>
          <w:szCs w:val="22"/>
          <w:lang w:val="es-ES"/>
        </w:rPr>
      </w:pPr>
      <w:r w:rsidRPr="00431AD6">
        <w:rPr>
          <w:rFonts w:ascii="Garamond" w:hAnsi="Garamond"/>
          <w:sz w:val="22"/>
          <w:szCs w:val="22"/>
          <w:lang w:val="en-US"/>
        </w:rPr>
        <w:t xml:space="preserve">                                </w:t>
      </w:r>
      <w:r w:rsidRPr="00E750D0">
        <w:rPr>
          <w:rFonts w:ascii="Garamond" w:hAnsi="Garamond"/>
          <w:sz w:val="22"/>
          <w:szCs w:val="22"/>
          <w:lang w:val="es-ES"/>
        </w:rPr>
        <w:t>&lt;/podis:potentialTransformerInfo&gt;</w:t>
      </w:r>
    </w:p>
    <w:p w14:paraId="31ECACBE" w14:textId="77777777" w:rsidR="00CE6209" w:rsidRPr="00E750D0" w:rsidRDefault="00CE6209" w:rsidP="00CE6209">
      <w:pPr>
        <w:spacing w:after="120"/>
        <w:ind w:left="567"/>
        <w:rPr>
          <w:rFonts w:ascii="Garamond" w:hAnsi="Garamond"/>
          <w:sz w:val="22"/>
          <w:szCs w:val="22"/>
          <w:lang w:val="es-ES"/>
        </w:rPr>
      </w:pPr>
      <w:r w:rsidRPr="00E750D0">
        <w:rPr>
          <w:rFonts w:ascii="Garamond" w:hAnsi="Garamond"/>
          <w:sz w:val="22"/>
          <w:szCs w:val="22"/>
          <w:lang w:val="es-ES"/>
        </w:rPr>
        <w:t xml:space="preserve">                            &lt;/podis:potentialTransformer&gt;</w:t>
      </w:r>
    </w:p>
    <w:p w14:paraId="5FABC160" w14:textId="77777777" w:rsidR="00CE6209" w:rsidRPr="00E750D0" w:rsidRDefault="00CE6209" w:rsidP="00CE6209">
      <w:pPr>
        <w:spacing w:after="120"/>
        <w:ind w:left="567"/>
        <w:rPr>
          <w:rFonts w:ascii="Garamond" w:hAnsi="Garamond"/>
          <w:sz w:val="22"/>
          <w:szCs w:val="22"/>
          <w:lang w:val="es-ES"/>
        </w:rPr>
      </w:pPr>
      <w:r w:rsidRPr="00E750D0">
        <w:rPr>
          <w:rFonts w:ascii="Garamond" w:hAnsi="Garamond"/>
          <w:sz w:val="22"/>
          <w:szCs w:val="22"/>
          <w:lang w:val="es-ES"/>
        </w:rPr>
        <w:t xml:space="preserve">                            &lt;podis:potentialTransformer&gt;</w:t>
      </w:r>
    </w:p>
    <w:p w14:paraId="5B265D3C" w14:textId="77777777" w:rsidR="00CE6209" w:rsidRPr="00431AD6" w:rsidRDefault="00CE6209" w:rsidP="00CE6209">
      <w:pPr>
        <w:spacing w:after="120"/>
        <w:ind w:left="567"/>
        <w:rPr>
          <w:rFonts w:ascii="Garamond" w:hAnsi="Garamond"/>
          <w:sz w:val="22"/>
          <w:szCs w:val="22"/>
          <w:lang w:val="en-US"/>
        </w:rPr>
      </w:pPr>
      <w:r w:rsidRPr="00E750D0">
        <w:rPr>
          <w:rFonts w:ascii="Garamond" w:hAnsi="Garamond"/>
          <w:sz w:val="22"/>
          <w:szCs w:val="22"/>
          <w:lang w:val="es-ES"/>
        </w:rPr>
        <w:t xml:space="preserve">                                </w:t>
      </w:r>
      <w:r w:rsidRPr="00431AD6">
        <w:rPr>
          <w:rFonts w:ascii="Garamond" w:hAnsi="Garamond"/>
          <w:sz w:val="22"/>
          <w:szCs w:val="22"/>
          <w:lang w:val="en-US"/>
        </w:rPr>
        <w:t>&lt;podis:serialNumber&gt;2096&lt;/podis:serialNumber&gt;</w:t>
      </w:r>
    </w:p>
    <w:p w14:paraId="69D3AD12" w14:textId="77777777" w:rsidR="00CE6209" w:rsidRPr="00431AD6" w:rsidRDefault="00CE6209" w:rsidP="00CE6209">
      <w:pPr>
        <w:spacing w:after="120"/>
        <w:ind w:left="567"/>
        <w:rPr>
          <w:rFonts w:ascii="Garamond" w:hAnsi="Garamond"/>
          <w:sz w:val="22"/>
          <w:szCs w:val="22"/>
          <w:lang w:val="en-US"/>
        </w:rPr>
      </w:pPr>
      <w:r w:rsidRPr="00431AD6">
        <w:rPr>
          <w:rFonts w:ascii="Garamond" w:hAnsi="Garamond"/>
          <w:sz w:val="22"/>
          <w:szCs w:val="22"/>
          <w:lang w:val="en-US"/>
        </w:rPr>
        <w:t xml:space="preserve">                                &lt;podis:customAttributes&gt;</w:t>
      </w:r>
    </w:p>
    <w:p w14:paraId="78A3896A" w14:textId="77777777" w:rsidR="00CE6209" w:rsidRPr="00431AD6" w:rsidRDefault="00CE6209" w:rsidP="00CE6209">
      <w:pPr>
        <w:spacing w:after="120"/>
        <w:ind w:left="567"/>
        <w:rPr>
          <w:rFonts w:ascii="Garamond" w:hAnsi="Garamond"/>
          <w:sz w:val="22"/>
          <w:szCs w:val="22"/>
          <w:lang w:val="en-US"/>
        </w:rPr>
      </w:pPr>
      <w:r w:rsidRPr="00431AD6">
        <w:rPr>
          <w:rFonts w:ascii="Garamond" w:hAnsi="Garamond"/>
          <w:sz w:val="22"/>
          <w:szCs w:val="22"/>
          <w:lang w:val="en-US"/>
        </w:rPr>
        <w:t xml:space="preserve">                                    &lt;podis:name&gt;assetOwnerKind&lt;/podis:name&gt;</w:t>
      </w:r>
    </w:p>
    <w:p w14:paraId="34DBADB5" w14:textId="77777777" w:rsidR="00CE6209" w:rsidRPr="00431AD6" w:rsidRDefault="00CE6209" w:rsidP="00CE6209">
      <w:pPr>
        <w:spacing w:after="120"/>
        <w:ind w:left="567"/>
        <w:rPr>
          <w:rFonts w:ascii="Garamond" w:hAnsi="Garamond"/>
          <w:sz w:val="22"/>
          <w:szCs w:val="22"/>
          <w:lang w:val="en-US"/>
        </w:rPr>
      </w:pPr>
      <w:r w:rsidRPr="00431AD6">
        <w:rPr>
          <w:rFonts w:ascii="Garamond" w:hAnsi="Garamond"/>
          <w:sz w:val="22"/>
          <w:szCs w:val="22"/>
          <w:lang w:val="en-US"/>
        </w:rPr>
        <w:t xml:space="preserve">                                    &lt;podis:value&gt;tso_or_gp&lt;/podis:value&gt;</w:t>
      </w:r>
    </w:p>
    <w:p w14:paraId="6AA3B884" w14:textId="77777777" w:rsidR="00CE6209" w:rsidRPr="00431AD6" w:rsidRDefault="00CE6209" w:rsidP="00CE6209">
      <w:pPr>
        <w:spacing w:after="120"/>
        <w:ind w:left="567"/>
        <w:rPr>
          <w:rFonts w:ascii="Garamond" w:hAnsi="Garamond"/>
          <w:sz w:val="22"/>
          <w:szCs w:val="22"/>
          <w:lang w:val="en-US"/>
        </w:rPr>
      </w:pPr>
      <w:r w:rsidRPr="00431AD6">
        <w:rPr>
          <w:rFonts w:ascii="Garamond" w:hAnsi="Garamond"/>
          <w:sz w:val="22"/>
          <w:szCs w:val="22"/>
          <w:lang w:val="en-US"/>
        </w:rPr>
        <w:t xml:space="preserve">                                &lt;/podis:customAttributes&gt;</w:t>
      </w:r>
    </w:p>
    <w:p w14:paraId="25EA8FE6" w14:textId="77777777" w:rsidR="00CE6209" w:rsidRPr="00431AD6" w:rsidRDefault="00CE6209" w:rsidP="00CE6209">
      <w:pPr>
        <w:spacing w:after="120"/>
        <w:ind w:left="567"/>
        <w:rPr>
          <w:rFonts w:ascii="Garamond" w:hAnsi="Garamond"/>
          <w:sz w:val="22"/>
          <w:szCs w:val="22"/>
          <w:lang w:val="en-US"/>
        </w:rPr>
      </w:pPr>
      <w:r w:rsidRPr="00431AD6">
        <w:rPr>
          <w:rFonts w:ascii="Garamond" w:hAnsi="Garamond"/>
          <w:sz w:val="22"/>
          <w:szCs w:val="22"/>
          <w:lang w:val="en-US"/>
        </w:rPr>
        <w:t xml:space="preserve">                                &lt;podis:lifeCycleDate&gt;</w:t>
      </w:r>
    </w:p>
    <w:p w14:paraId="329F2C45" w14:textId="77777777" w:rsidR="00CE6209" w:rsidRPr="00431AD6" w:rsidRDefault="00CE6209" w:rsidP="00CE6209">
      <w:pPr>
        <w:spacing w:after="120"/>
        <w:ind w:left="567"/>
        <w:rPr>
          <w:rFonts w:ascii="Garamond" w:hAnsi="Garamond"/>
          <w:sz w:val="22"/>
          <w:szCs w:val="22"/>
          <w:lang w:val="en-US"/>
        </w:rPr>
      </w:pPr>
      <w:r w:rsidRPr="00431AD6">
        <w:rPr>
          <w:rFonts w:ascii="Garamond" w:hAnsi="Garamond"/>
          <w:sz w:val="22"/>
          <w:szCs w:val="22"/>
          <w:lang w:val="en-US"/>
        </w:rPr>
        <w:t xml:space="preserve">                                    &lt;podis:nextDateValid&gt;2026-02-17&lt;/podis:nextDateValid&gt;</w:t>
      </w:r>
    </w:p>
    <w:p w14:paraId="1F721202" w14:textId="77777777" w:rsidR="00CE6209" w:rsidRPr="00431AD6" w:rsidRDefault="00CE6209" w:rsidP="00CE6209">
      <w:pPr>
        <w:spacing w:after="120"/>
        <w:ind w:left="567"/>
        <w:rPr>
          <w:rFonts w:ascii="Garamond" w:hAnsi="Garamond"/>
          <w:sz w:val="22"/>
          <w:szCs w:val="22"/>
          <w:lang w:val="en-US"/>
        </w:rPr>
      </w:pPr>
      <w:r w:rsidRPr="00431AD6">
        <w:rPr>
          <w:rFonts w:ascii="Garamond" w:hAnsi="Garamond"/>
          <w:sz w:val="22"/>
          <w:szCs w:val="22"/>
          <w:lang w:val="en-US"/>
        </w:rPr>
        <w:t xml:space="preserve">                                &lt;/podis:lifeCycleDate&gt;</w:t>
      </w:r>
    </w:p>
    <w:p w14:paraId="7629A061" w14:textId="77777777" w:rsidR="00CE6209" w:rsidRPr="00431AD6" w:rsidRDefault="00CE6209" w:rsidP="00CE6209">
      <w:pPr>
        <w:spacing w:after="120"/>
        <w:ind w:left="567"/>
        <w:rPr>
          <w:rFonts w:ascii="Garamond" w:hAnsi="Garamond"/>
          <w:sz w:val="22"/>
          <w:szCs w:val="22"/>
          <w:lang w:val="en-US"/>
        </w:rPr>
      </w:pPr>
      <w:r w:rsidRPr="00431AD6">
        <w:rPr>
          <w:rFonts w:ascii="Garamond" w:hAnsi="Garamond"/>
          <w:sz w:val="22"/>
          <w:szCs w:val="22"/>
          <w:lang w:val="en-US"/>
        </w:rPr>
        <w:t xml:space="preserve">                                &lt;podis:potentialTransformerInfo&gt;</w:t>
      </w:r>
    </w:p>
    <w:p w14:paraId="35FA9848" w14:textId="77777777" w:rsidR="00CE6209" w:rsidRPr="00431AD6" w:rsidRDefault="00CE6209" w:rsidP="00CE6209">
      <w:pPr>
        <w:spacing w:after="120"/>
        <w:ind w:left="567"/>
        <w:rPr>
          <w:rFonts w:ascii="Garamond" w:hAnsi="Garamond"/>
          <w:sz w:val="22"/>
          <w:szCs w:val="22"/>
          <w:lang w:val="en-US"/>
        </w:rPr>
      </w:pPr>
      <w:r w:rsidRPr="00431AD6">
        <w:rPr>
          <w:rFonts w:ascii="Garamond" w:hAnsi="Garamond"/>
          <w:sz w:val="22"/>
          <w:szCs w:val="22"/>
          <w:lang w:val="en-US"/>
        </w:rPr>
        <w:t xml:space="preserve">                                    &lt;podis:measuring-tool-code&gt;AA117B5B54F30471E0530A01490A6E4F&lt;/podis:measuring-tool-code&gt;</w:t>
      </w:r>
    </w:p>
    <w:p w14:paraId="69B0E37C" w14:textId="77777777" w:rsidR="00CE6209" w:rsidRPr="00431AD6" w:rsidRDefault="00CE6209" w:rsidP="00CE6209">
      <w:pPr>
        <w:spacing w:after="120"/>
        <w:ind w:left="567"/>
        <w:rPr>
          <w:rFonts w:ascii="Garamond" w:hAnsi="Garamond"/>
          <w:sz w:val="22"/>
          <w:szCs w:val="22"/>
          <w:lang w:val="en-US"/>
        </w:rPr>
      </w:pPr>
      <w:r w:rsidRPr="00431AD6">
        <w:rPr>
          <w:rFonts w:ascii="Garamond" w:hAnsi="Garamond"/>
          <w:sz w:val="22"/>
          <w:szCs w:val="22"/>
          <w:lang w:val="en-US"/>
        </w:rPr>
        <w:t xml:space="preserve">                                    &lt;podis:modelNumber&gt;</w:t>
      </w:r>
      <w:r w:rsidRPr="00431AD6">
        <w:rPr>
          <w:rFonts w:ascii="Garamond" w:hAnsi="Garamond"/>
          <w:sz w:val="22"/>
          <w:szCs w:val="22"/>
        </w:rPr>
        <w:t>ЗНОЛП</w:t>
      </w:r>
      <w:r w:rsidRPr="00431AD6">
        <w:rPr>
          <w:rFonts w:ascii="Garamond" w:hAnsi="Garamond"/>
          <w:sz w:val="22"/>
          <w:szCs w:val="22"/>
          <w:lang w:val="en-US"/>
        </w:rPr>
        <w:t>&lt;/podis:modelNumber&gt;</w:t>
      </w:r>
    </w:p>
    <w:p w14:paraId="42140A60" w14:textId="77777777" w:rsidR="00CE6209" w:rsidRPr="00431AD6" w:rsidRDefault="00CE6209" w:rsidP="00CE6209">
      <w:pPr>
        <w:spacing w:after="120"/>
        <w:ind w:left="567"/>
        <w:rPr>
          <w:rFonts w:ascii="Garamond" w:hAnsi="Garamond"/>
          <w:sz w:val="22"/>
          <w:szCs w:val="22"/>
          <w:lang w:val="en-US"/>
        </w:rPr>
      </w:pPr>
      <w:r w:rsidRPr="00431AD6">
        <w:rPr>
          <w:rFonts w:ascii="Garamond" w:hAnsi="Garamond"/>
          <w:sz w:val="22"/>
          <w:szCs w:val="22"/>
          <w:lang w:val="en-US"/>
        </w:rPr>
        <w:t xml:space="preserve">                                    &lt;podis:customAttributes&gt;</w:t>
      </w:r>
    </w:p>
    <w:p w14:paraId="15DEE828" w14:textId="77777777" w:rsidR="00CE6209" w:rsidRPr="00431AD6" w:rsidRDefault="00CE6209" w:rsidP="00CE6209">
      <w:pPr>
        <w:spacing w:after="120"/>
        <w:ind w:left="567"/>
        <w:rPr>
          <w:rFonts w:ascii="Garamond" w:hAnsi="Garamond"/>
          <w:sz w:val="22"/>
          <w:szCs w:val="22"/>
          <w:lang w:val="en-US"/>
        </w:rPr>
      </w:pPr>
      <w:r w:rsidRPr="00431AD6">
        <w:rPr>
          <w:rFonts w:ascii="Garamond" w:hAnsi="Garamond"/>
          <w:sz w:val="22"/>
          <w:szCs w:val="22"/>
          <w:lang w:val="en-US"/>
        </w:rPr>
        <w:t xml:space="preserve">                                        &lt;podis:name&gt;RatedLoad&lt;/podis:name&gt;</w:t>
      </w:r>
    </w:p>
    <w:p w14:paraId="237D13DC" w14:textId="77777777" w:rsidR="00CE6209" w:rsidRPr="00431AD6" w:rsidRDefault="00CE6209" w:rsidP="00CE6209">
      <w:pPr>
        <w:spacing w:after="120"/>
        <w:ind w:left="567"/>
        <w:rPr>
          <w:rFonts w:ascii="Garamond" w:hAnsi="Garamond"/>
          <w:sz w:val="22"/>
          <w:szCs w:val="22"/>
          <w:lang w:val="en-US"/>
        </w:rPr>
      </w:pPr>
      <w:r w:rsidRPr="00431AD6">
        <w:rPr>
          <w:rFonts w:ascii="Garamond" w:hAnsi="Garamond"/>
          <w:sz w:val="22"/>
          <w:szCs w:val="22"/>
          <w:lang w:val="en-US"/>
        </w:rPr>
        <w:t xml:space="preserve">                                        &lt;podis:value&gt;50&lt;/podis:value&gt;</w:t>
      </w:r>
    </w:p>
    <w:p w14:paraId="106FA3C9" w14:textId="77777777" w:rsidR="00CE6209" w:rsidRPr="00431AD6" w:rsidRDefault="00CE6209" w:rsidP="00CE6209">
      <w:pPr>
        <w:spacing w:after="120"/>
        <w:ind w:left="567"/>
        <w:rPr>
          <w:rFonts w:ascii="Garamond" w:hAnsi="Garamond"/>
          <w:sz w:val="22"/>
          <w:szCs w:val="22"/>
          <w:lang w:val="en-US"/>
        </w:rPr>
      </w:pPr>
      <w:r w:rsidRPr="00431AD6">
        <w:rPr>
          <w:rFonts w:ascii="Garamond" w:hAnsi="Garamond"/>
          <w:sz w:val="22"/>
          <w:szCs w:val="22"/>
          <w:lang w:val="en-US"/>
        </w:rPr>
        <w:t xml:space="preserve">                                    &lt;/podis:customAttributes&gt;</w:t>
      </w:r>
    </w:p>
    <w:p w14:paraId="25EB06BA" w14:textId="77777777" w:rsidR="00CE6209" w:rsidRPr="00E750D0" w:rsidRDefault="00CE6209" w:rsidP="00CE6209">
      <w:pPr>
        <w:spacing w:after="120"/>
        <w:ind w:left="567"/>
        <w:rPr>
          <w:rFonts w:ascii="Garamond" w:hAnsi="Garamond"/>
          <w:sz w:val="22"/>
          <w:szCs w:val="22"/>
          <w:lang w:val="es-ES"/>
        </w:rPr>
      </w:pPr>
      <w:r w:rsidRPr="00431AD6">
        <w:rPr>
          <w:rFonts w:ascii="Garamond" w:hAnsi="Garamond"/>
          <w:sz w:val="22"/>
          <w:szCs w:val="22"/>
          <w:lang w:val="en-US"/>
        </w:rPr>
        <w:t xml:space="preserve">                                    </w:t>
      </w:r>
      <w:r w:rsidRPr="00E750D0">
        <w:rPr>
          <w:rFonts w:ascii="Garamond" w:hAnsi="Garamond"/>
          <w:sz w:val="22"/>
          <w:szCs w:val="22"/>
          <w:lang w:val="es-ES"/>
        </w:rPr>
        <w:t>&lt;podis:nominalRatio&gt;</w:t>
      </w:r>
    </w:p>
    <w:p w14:paraId="446DC398" w14:textId="77777777" w:rsidR="00CE6209" w:rsidRPr="00E750D0" w:rsidRDefault="00CE6209" w:rsidP="00CE6209">
      <w:pPr>
        <w:spacing w:after="120"/>
        <w:ind w:left="567"/>
        <w:rPr>
          <w:rFonts w:ascii="Garamond" w:hAnsi="Garamond"/>
          <w:sz w:val="22"/>
          <w:szCs w:val="22"/>
          <w:lang w:val="es-ES"/>
        </w:rPr>
      </w:pPr>
      <w:r w:rsidRPr="00E750D0">
        <w:rPr>
          <w:rFonts w:ascii="Garamond" w:hAnsi="Garamond"/>
          <w:sz w:val="22"/>
          <w:szCs w:val="22"/>
          <w:lang w:val="es-ES"/>
        </w:rPr>
        <w:t xml:space="preserve">                                        &lt;podis:denominator&gt;100&lt;/podis:denominator&gt;</w:t>
      </w:r>
    </w:p>
    <w:p w14:paraId="41F576A2" w14:textId="77777777" w:rsidR="00CE6209" w:rsidRPr="00E750D0" w:rsidRDefault="00CE6209" w:rsidP="00CE6209">
      <w:pPr>
        <w:spacing w:after="120"/>
        <w:ind w:left="567"/>
        <w:rPr>
          <w:rFonts w:ascii="Garamond" w:hAnsi="Garamond"/>
          <w:sz w:val="22"/>
          <w:szCs w:val="22"/>
          <w:lang w:val="es-ES"/>
        </w:rPr>
      </w:pPr>
      <w:r w:rsidRPr="00E750D0">
        <w:rPr>
          <w:rFonts w:ascii="Garamond" w:hAnsi="Garamond"/>
          <w:sz w:val="22"/>
          <w:szCs w:val="22"/>
          <w:lang w:val="es-ES"/>
        </w:rPr>
        <w:t xml:space="preserve">                                        &lt;podis:numerator&gt;6000&lt;/podis:numerator&gt;</w:t>
      </w:r>
    </w:p>
    <w:p w14:paraId="00D50B95" w14:textId="77777777" w:rsidR="00CE6209" w:rsidRPr="00E750D0" w:rsidRDefault="00CE6209" w:rsidP="00CE6209">
      <w:pPr>
        <w:spacing w:after="120"/>
        <w:ind w:left="567"/>
        <w:rPr>
          <w:rFonts w:ascii="Garamond" w:hAnsi="Garamond"/>
          <w:sz w:val="22"/>
          <w:szCs w:val="22"/>
          <w:lang w:val="es-ES"/>
        </w:rPr>
      </w:pPr>
      <w:r w:rsidRPr="00E750D0">
        <w:rPr>
          <w:rFonts w:ascii="Garamond" w:hAnsi="Garamond"/>
          <w:sz w:val="22"/>
          <w:szCs w:val="22"/>
          <w:lang w:val="es-ES"/>
        </w:rPr>
        <w:t xml:space="preserve">                                    &lt;/podis:nominalRatio&gt;</w:t>
      </w:r>
    </w:p>
    <w:p w14:paraId="082A07BB" w14:textId="77777777" w:rsidR="00CE6209" w:rsidRPr="00431AD6" w:rsidRDefault="00CE6209" w:rsidP="00CE6209">
      <w:pPr>
        <w:spacing w:after="120"/>
        <w:ind w:left="567"/>
        <w:rPr>
          <w:rFonts w:ascii="Garamond" w:hAnsi="Garamond"/>
          <w:sz w:val="22"/>
          <w:szCs w:val="22"/>
          <w:lang w:val="en-US"/>
        </w:rPr>
      </w:pPr>
      <w:r w:rsidRPr="00E750D0">
        <w:rPr>
          <w:rFonts w:ascii="Garamond" w:hAnsi="Garamond"/>
          <w:sz w:val="22"/>
          <w:szCs w:val="22"/>
          <w:lang w:val="es-ES"/>
        </w:rPr>
        <w:t xml:space="preserve">                                    </w:t>
      </w:r>
      <w:r w:rsidRPr="00431AD6">
        <w:rPr>
          <w:rFonts w:ascii="Garamond" w:hAnsi="Garamond"/>
          <w:sz w:val="22"/>
          <w:szCs w:val="22"/>
          <w:lang w:val="en-US"/>
        </w:rPr>
        <w:t>&lt;podis:accuracyClass&gt;0.5&lt;/podis:accuracyClass&gt;</w:t>
      </w:r>
    </w:p>
    <w:p w14:paraId="4F77580B" w14:textId="77777777" w:rsidR="00CE6209" w:rsidRPr="00431AD6" w:rsidRDefault="00CE6209" w:rsidP="00CE6209">
      <w:pPr>
        <w:spacing w:after="120"/>
        <w:ind w:left="567"/>
        <w:rPr>
          <w:rFonts w:ascii="Garamond" w:hAnsi="Garamond"/>
          <w:sz w:val="22"/>
          <w:szCs w:val="22"/>
          <w:lang w:val="en-US"/>
        </w:rPr>
      </w:pPr>
      <w:r w:rsidRPr="00431AD6">
        <w:rPr>
          <w:rFonts w:ascii="Garamond" w:hAnsi="Garamond"/>
          <w:sz w:val="22"/>
          <w:szCs w:val="22"/>
          <w:lang w:val="en-US"/>
        </w:rPr>
        <w:t xml:space="preserve">                                    &lt;podis:regNumber&gt;23544-07&lt;/podis:regNumber&gt;</w:t>
      </w:r>
    </w:p>
    <w:p w14:paraId="30796B70" w14:textId="77777777" w:rsidR="00CE6209" w:rsidRPr="00E750D0" w:rsidRDefault="00CE6209" w:rsidP="00CE6209">
      <w:pPr>
        <w:spacing w:after="120"/>
        <w:ind w:left="567"/>
        <w:rPr>
          <w:rFonts w:ascii="Garamond" w:hAnsi="Garamond"/>
          <w:sz w:val="22"/>
          <w:szCs w:val="22"/>
          <w:lang w:val="es-ES"/>
        </w:rPr>
      </w:pPr>
      <w:r w:rsidRPr="00431AD6">
        <w:rPr>
          <w:rFonts w:ascii="Garamond" w:hAnsi="Garamond"/>
          <w:sz w:val="22"/>
          <w:szCs w:val="22"/>
          <w:lang w:val="en-US"/>
        </w:rPr>
        <w:t xml:space="preserve">                                </w:t>
      </w:r>
      <w:r w:rsidRPr="00E750D0">
        <w:rPr>
          <w:rFonts w:ascii="Garamond" w:hAnsi="Garamond"/>
          <w:sz w:val="22"/>
          <w:szCs w:val="22"/>
          <w:lang w:val="es-ES"/>
        </w:rPr>
        <w:t>&lt;/podis:potentialTransformerInfo&gt;</w:t>
      </w:r>
    </w:p>
    <w:p w14:paraId="3D1B63C8" w14:textId="77777777" w:rsidR="00CE6209" w:rsidRPr="00E750D0" w:rsidRDefault="00CE6209" w:rsidP="00CE6209">
      <w:pPr>
        <w:spacing w:after="120"/>
        <w:ind w:left="567"/>
        <w:rPr>
          <w:rFonts w:ascii="Garamond" w:hAnsi="Garamond"/>
          <w:sz w:val="22"/>
          <w:szCs w:val="22"/>
          <w:lang w:val="es-ES"/>
        </w:rPr>
      </w:pPr>
      <w:r w:rsidRPr="00E750D0">
        <w:rPr>
          <w:rFonts w:ascii="Garamond" w:hAnsi="Garamond"/>
          <w:sz w:val="22"/>
          <w:szCs w:val="22"/>
          <w:lang w:val="es-ES"/>
        </w:rPr>
        <w:t xml:space="preserve">                            &lt;/podis:potentialTransformer&gt;</w:t>
      </w:r>
    </w:p>
    <w:p w14:paraId="5ECFBD0E" w14:textId="77777777" w:rsidR="00CE6209" w:rsidRPr="00E750D0" w:rsidRDefault="00CE6209" w:rsidP="00CE6209">
      <w:pPr>
        <w:spacing w:after="120"/>
        <w:ind w:left="567"/>
        <w:rPr>
          <w:rFonts w:ascii="Garamond" w:hAnsi="Garamond"/>
          <w:sz w:val="22"/>
          <w:szCs w:val="22"/>
          <w:lang w:val="es-ES"/>
        </w:rPr>
      </w:pPr>
      <w:r w:rsidRPr="00E750D0">
        <w:rPr>
          <w:rFonts w:ascii="Garamond" w:hAnsi="Garamond"/>
          <w:sz w:val="22"/>
          <w:szCs w:val="22"/>
          <w:lang w:val="es-ES"/>
        </w:rPr>
        <w:t xml:space="preserve">                        &lt;/podis:equipments&gt;</w:t>
      </w:r>
    </w:p>
    <w:p w14:paraId="6294B446" w14:textId="77777777" w:rsidR="00CE6209" w:rsidRPr="00431AD6" w:rsidRDefault="00CE6209" w:rsidP="00CE6209">
      <w:pPr>
        <w:spacing w:after="120"/>
        <w:ind w:left="567"/>
        <w:rPr>
          <w:rFonts w:ascii="Garamond" w:hAnsi="Garamond"/>
          <w:sz w:val="22"/>
          <w:szCs w:val="22"/>
          <w:lang w:val="en-US"/>
        </w:rPr>
      </w:pPr>
      <w:r w:rsidRPr="00E750D0">
        <w:rPr>
          <w:rFonts w:ascii="Garamond" w:hAnsi="Garamond"/>
          <w:sz w:val="22"/>
          <w:szCs w:val="22"/>
          <w:lang w:val="es-ES"/>
        </w:rPr>
        <w:t xml:space="preserve">                    </w:t>
      </w:r>
      <w:r w:rsidRPr="00431AD6">
        <w:rPr>
          <w:rFonts w:ascii="Garamond" w:hAnsi="Garamond"/>
          <w:sz w:val="22"/>
          <w:szCs w:val="22"/>
          <w:lang w:val="en-US"/>
        </w:rPr>
        <w:t>&lt;/podis:accountPointRole&gt;</w:t>
      </w:r>
    </w:p>
    <w:p w14:paraId="7DD4DABC" w14:textId="77777777" w:rsidR="00CE6209" w:rsidRPr="00431AD6" w:rsidRDefault="00CE6209" w:rsidP="00CE6209">
      <w:pPr>
        <w:spacing w:after="120"/>
        <w:ind w:left="567"/>
        <w:rPr>
          <w:rFonts w:ascii="Garamond" w:hAnsi="Garamond"/>
          <w:sz w:val="22"/>
          <w:szCs w:val="22"/>
          <w:lang w:val="en-US"/>
        </w:rPr>
      </w:pPr>
      <w:r w:rsidRPr="00431AD6">
        <w:rPr>
          <w:rFonts w:ascii="Garamond" w:hAnsi="Garamond"/>
          <w:sz w:val="22"/>
          <w:szCs w:val="22"/>
          <w:lang w:val="en-US"/>
        </w:rPr>
        <w:t xml:space="preserve">                &lt;/podis:usagePoint&gt;</w:t>
      </w:r>
    </w:p>
    <w:p w14:paraId="69D8616B" w14:textId="77777777" w:rsidR="00CE6209" w:rsidRPr="00431AD6" w:rsidRDefault="00CE6209" w:rsidP="00CE6209">
      <w:pPr>
        <w:spacing w:after="120"/>
        <w:ind w:left="567"/>
        <w:rPr>
          <w:rFonts w:ascii="Garamond" w:hAnsi="Garamond"/>
          <w:sz w:val="22"/>
          <w:szCs w:val="22"/>
          <w:lang w:val="en-US"/>
        </w:rPr>
      </w:pPr>
      <w:r w:rsidRPr="00431AD6">
        <w:rPr>
          <w:rFonts w:ascii="Garamond" w:hAnsi="Garamond"/>
          <w:sz w:val="22"/>
          <w:szCs w:val="22"/>
          <w:lang w:val="en-US"/>
        </w:rPr>
        <w:t xml:space="preserve">                &lt;podis:usagePoint&gt;</w:t>
      </w:r>
    </w:p>
    <w:p w14:paraId="2D1E4148" w14:textId="77777777" w:rsidR="00CE6209" w:rsidRPr="00E750D0" w:rsidRDefault="00CE6209" w:rsidP="00CE6209">
      <w:pPr>
        <w:spacing w:after="120"/>
        <w:ind w:left="567"/>
        <w:rPr>
          <w:rFonts w:ascii="Garamond" w:hAnsi="Garamond"/>
          <w:sz w:val="22"/>
          <w:szCs w:val="22"/>
          <w:lang w:val="es-ES"/>
        </w:rPr>
      </w:pPr>
      <w:r w:rsidRPr="00431AD6">
        <w:rPr>
          <w:rFonts w:ascii="Garamond" w:hAnsi="Garamond"/>
          <w:sz w:val="22"/>
          <w:szCs w:val="22"/>
          <w:lang w:val="en-US"/>
        </w:rPr>
        <w:tab/>
        <w:t xml:space="preserve">        </w:t>
      </w:r>
      <w:r w:rsidRPr="00E750D0">
        <w:rPr>
          <w:rFonts w:ascii="Garamond" w:hAnsi="Garamond"/>
          <w:sz w:val="22"/>
          <w:szCs w:val="22"/>
          <w:lang w:val="es-ES"/>
        </w:rPr>
        <w:t>&lt;podis:guid&gt;333e7467-e89b-12d3-a456-426655440000&lt;/podis:guid&gt;</w:t>
      </w:r>
    </w:p>
    <w:p w14:paraId="7CBB20D9" w14:textId="77777777" w:rsidR="00CE6209" w:rsidRPr="00431AD6" w:rsidRDefault="00CE6209" w:rsidP="00CE6209">
      <w:pPr>
        <w:spacing w:after="120"/>
        <w:ind w:left="567"/>
        <w:rPr>
          <w:rFonts w:ascii="Garamond" w:hAnsi="Garamond"/>
          <w:sz w:val="22"/>
          <w:szCs w:val="22"/>
          <w:lang w:val="en-US"/>
        </w:rPr>
      </w:pPr>
      <w:r w:rsidRPr="00E750D0">
        <w:rPr>
          <w:rFonts w:ascii="Garamond" w:hAnsi="Garamond"/>
          <w:sz w:val="22"/>
          <w:szCs w:val="22"/>
          <w:lang w:val="es-ES"/>
        </w:rPr>
        <w:t xml:space="preserve">                    </w:t>
      </w:r>
      <w:r w:rsidRPr="00431AD6">
        <w:rPr>
          <w:rFonts w:ascii="Garamond" w:hAnsi="Garamond"/>
          <w:sz w:val="22"/>
          <w:szCs w:val="22"/>
          <w:lang w:val="en-US"/>
        </w:rPr>
        <w:t>&lt;podis:name&gt;</w:t>
      </w:r>
      <w:r w:rsidRPr="00431AD6">
        <w:rPr>
          <w:rFonts w:ascii="Garamond" w:hAnsi="Garamond"/>
          <w:sz w:val="22"/>
          <w:szCs w:val="22"/>
        </w:rPr>
        <w:t>КРУ</w:t>
      </w:r>
      <w:r w:rsidRPr="00431AD6">
        <w:rPr>
          <w:rFonts w:ascii="Garamond" w:hAnsi="Garamond"/>
          <w:sz w:val="22"/>
          <w:szCs w:val="22"/>
          <w:lang w:val="en-US"/>
        </w:rPr>
        <w:t xml:space="preserve">-5, </w:t>
      </w:r>
      <w:r w:rsidRPr="00431AD6">
        <w:rPr>
          <w:rFonts w:ascii="Garamond" w:hAnsi="Garamond"/>
          <w:sz w:val="22"/>
          <w:szCs w:val="22"/>
        </w:rPr>
        <w:t>яч</w:t>
      </w:r>
      <w:r w:rsidRPr="00431AD6">
        <w:rPr>
          <w:rFonts w:ascii="Garamond" w:hAnsi="Garamond"/>
          <w:sz w:val="22"/>
          <w:szCs w:val="22"/>
          <w:lang w:val="en-US"/>
        </w:rPr>
        <w:t>.1&lt;/podis:name&gt;</w:t>
      </w:r>
    </w:p>
    <w:p w14:paraId="31E81FCA" w14:textId="77777777" w:rsidR="00CE6209" w:rsidRPr="00E750D0" w:rsidRDefault="00CE6209" w:rsidP="00CE6209">
      <w:pPr>
        <w:spacing w:after="120"/>
        <w:ind w:left="567"/>
        <w:rPr>
          <w:rFonts w:ascii="Garamond" w:hAnsi="Garamond"/>
          <w:sz w:val="22"/>
          <w:szCs w:val="22"/>
          <w:lang w:val="es-ES"/>
        </w:rPr>
      </w:pPr>
      <w:r w:rsidRPr="00431AD6">
        <w:rPr>
          <w:rFonts w:ascii="Garamond" w:hAnsi="Garamond"/>
          <w:sz w:val="22"/>
          <w:szCs w:val="22"/>
          <w:lang w:val="en-US"/>
        </w:rPr>
        <w:t xml:space="preserve">                    </w:t>
      </w:r>
      <w:r w:rsidRPr="00E750D0">
        <w:rPr>
          <w:rFonts w:ascii="Garamond" w:hAnsi="Garamond"/>
          <w:sz w:val="22"/>
          <w:szCs w:val="22"/>
          <w:lang w:val="es-ES"/>
        </w:rPr>
        <w:t>&lt;podis:accountPointRole&gt;</w:t>
      </w:r>
    </w:p>
    <w:p w14:paraId="31186512" w14:textId="77777777" w:rsidR="00CE6209" w:rsidRPr="00E750D0" w:rsidRDefault="00CE6209" w:rsidP="00CE6209">
      <w:pPr>
        <w:spacing w:after="120"/>
        <w:ind w:left="567"/>
        <w:rPr>
          <w:rFonts w:ascii="Garamond" w:hAnsi="Garamond"/>
          <w:sz w:val="22"/>
          <w:szCs w:val="22"/>
          <w:lang w:val="es-ES"/>
        </w:rPr>
      </w:pPr>
      <w:r w:rsidRPr="00E750D0">
        <w:rPr>
          <w:rFonts w:ascii="Garamond" w:hAnsi="Garamond"/>
          <w:sz w:val="22"/>
          <w:szCs w:val="22"/>
          <w:lang w:val="es-ES"/>
        </w:rPr>
        <w:t xml:space="preserve">                        &lt;podis:endDevices&gt;</w:t>
      </w:r>
    </w:p>
    <w:p w14:paraId="0FEA3178" w14:textId="77777777" w:rsidR="00CE6209" w:rsidRPr="00E750D0" w:rsidRDefault="00CE6209" w:rsidP="00CE6209">
      <w:pPr>
        <w:spacing w:after="120"/>
        <w:ind w:left="567"/>
        <w:rPr>
          <w:rFonts w:ascii="Garamond" w:hAnsi="Garamond"/>
          <w:sz w:val="22"/>
          <w:szCs w:val="22"/>
          <w:lang w:val="es-ES"/>
        </w:rPr>
      </w:pPr>
      <w:r w:rsidRPr="00E750D0">
        <w:rPr>
          <w:rFonts w:ascii="Garamond" w:hAnsi="Garamond"/>
          <w:sz w:val="22"/>
          <w:szCs w:val="22"/>
          <w:lang w:val="es-ES"/>
        </w:rPr>
        <w:t xml:space="preserve">                            &lt;podis:meter&gt;</w:t>
      </w:r>
    </w:p>
    <w:p w14:paraId="2678787A" w14:textId="77777777" w:rsidR="00CE6209" w:rsidRPr="00E750D0" w:rsidRDefault="00CE6209" w:rsidP="00CE6209">
      <w:pPr>
        <w:spacing w:after="120"/>
        <w:ind w:left="567"/>
        <w:rPr>
          <w:rFonts w:ascii="Garamond" w:hAnsi="Garamond"/>
          <w:sz w:val="22"/>
          <w:szCs w:val="22"/>
          <w:lang w:val="es-ES"/>
        </w:rPr>
      </w:pPr>
      <w:r w:rsidRPr="00E750D0">
        <w:rPr>
          <w:rFonts w:ascii="Garamond" w:hAnsi="Garamond"/>
          <w:sz w:val="22"/>
          <w:szCs w:val="22"/>
          <w:lang w:val="es-ES"/>
        </w:rPr>
        <w:lastRenderedPageBreak/>
        <w:tab/>
      </w:r>
      <w:r w:rsidRPr="00E750D0">
        <w:rPr>
          <w:rFonts w:ascii="Garamond" w:hAnsi="Garamond"/>
          <w:sz w:val="22"/>
          <w:szCs w:val="22"/>
          <w:lang w:val="es-ES"/>
        </w:rPr>
        <w:tab/>
        <w:t xml:space="preserve">        &lt;podis:guid&gt;123e4567-e89b-12d3-a456-426655440215&lt;/podis:guid&gt;</w:t>
      </w:r>
    </w:p>
    <w:p w14:paraId="76B2966A" w14:textId="77777777" w:rsidR="00CE6209" w:rsidRPr="00431AD6" w:rsidRDefault="00CE6209" w:rsidP="00CE6209">
      <w:pPr>
        <w:spacing w:after="120"/>
        <w:ind w:left="567"/>
        <w:rPr>
          <w:rFonts w:ascii="Garamond" w:hAnsi="Garamond"/>
          <w:sz w:val="22"/>
          <w:szCs w:val="22"/>
          <w:lang w:val="en-US"/>
        </w:rPr>
      </w:pPr>
      <w:r w:rsidRPr="00E750D0">
        <w:rPr>
          <w:rFonts w:ascii="Garamond" w:hAnsi="Garamond"/>
          <w:sz w:val="22"/>
          <w:szCs w:val="22"/>
          <w:lang w:val="es-ES"/>
        </w:rPr>
        <w:t xml:space="preserve">                                </w:t>
      </w:r>
      <w:r w:rsidRPr="00431AD6">
        <w:rPr>
          <w:rFonts w:ascii="Garamond" w:hAnsi="Garamond"/>
          <w:sz w:val="22"/>
          <w:szCs w:val="22"/>
          <w:lang w:val="en-US"/>
        </w:rPr>
        <w:t>&lt;podis:lifeCycleDate&gt;</w:t>
      </w:r>
    </w:p>
    <w:p w14:paraId="3C416641" w14:textId="77777777" w:rsidR="00CE6209" w:rsidRPr="00431AD6" w:rsidRDefault="00CE6209" w:rsidP="00CE6209">
      <w:pPr>
        <w:spacing w:after="120"/>
        <w:ind w:left="567"/>
        <w:rPr>
          <w:rFonts w:ascii="Garamond" w:hAnsi="Garamond"/>
          <w:sz w:val="22"/>
          <w:szCs w:val="22"/>
          <w:lang w:val="en-US"/>
        </w:rPr>
      </w:pPr>
      <w:r w:rsidRPr="00431AD6">
        <w:rPr>
          <w:rFonts w:ascii="Garamond" w:hAnsi="Garamond"/>
          <w:sz w:val="22"/>
          <w:szCs w:val="22"/>
          <w:lang w:val="en-US"/>
        </w:rPr>
        <w:t xml:space="preserve">                                    &lt;podis:nextDateValid&gt;2025-07-26&lt;/podis:nextDateValid&gt;</w:t>
      </w:r>
    </w:p>
    <w:p w14:paraId="33FCAE4B" w14:textId="77777777" w:rsidR="00CE6209" w:rsidRPr="00431AD6" w:rsidRDefault="00CE6209" w:rsidP="00CE6209">
      <w:pPr>
        <w:spacing w:after="120"/>
        <w:ind w:left="567"/>
        <w:rPr>
          <w:rFonts w:ascii="Garamond" w:hAnsi="Garamond"/>
          <w:sz w:val="22"/>
          <w:szCs w:val="22"/>
          <w:lang w:val="en-US"/>
        </w:rPr>
      </w:pPr>
      <w:r w:rsidRPr="00431AD6">
        <w:rPr>
          <w:rFonts w:ascii="Garamond" w:hAnsi="Garamond"/>
          <w:sz w:val="22"/>
          <w:szCs w:val="22"/>
          <w:lang w:val="en-US"/>
        </w:rPr>
        <w:t xml:space="preserve">                                &lt;/podis:lifeCycleDate&gt;</w:t>
      </w:r>
    </w:p>
    <w:p w14:paraId="7FB7558C" w14:textId="77777777" w:rsidR="00CE6209" w:rsidRPr="00431AD6" w:rsidRDefault="00CE6209" w:rsidP="00CE6209">
      <w:pPr>
        <w:spacing w:after="120"/>
        <w:ind w:left="567"/>
        <w:rPr>
          <w:rFonts w:ascii="Garamond" w:hAnsi="Garamond"/>
          <w:sz w:val="22"/>
          <w:szCs w:val="22"/>
          <w:lang w:val="en-US"/>
        </w:rPr>
      </w:pPr>
      <w:r w:rsidRPr="00431AD6">
        <w:rPr>
          <w:rFonts w:ascii="Garamond" w:hAnsi="Garamond"/>
          <w:sz w:val="22"/>
          <w:szCs w:val="22"/>
          <w:lang w:val="en-US"/>
        </w:rPr>
        <w:t xml:space="preserve">                                &lt;podis:serialNumber&gt;01345003&lt;/podis:serialNumber&gt;</w:t>
      </w:r>
    </w:p>
    <w:p w14:paraId="3759E80D" w14:textId="77777777" w:rsidR="00CE6209" w:rsidRPr="00431AD6" w:rsidRDefault="00CE6209" w:rsidP="00CE6209">
      <w:pPr>
        <w:spacing w:after="120"/>
        <w:ind w:left="567"/>
        <w:rPr>
          <w:rFonts w:ascii="Garamond" w:hAnsi="Garamond"/>
          <w:sz w:val="22"/>
          <w:szCs w:val="22"/>
          <w:lang w:val="en-US"/>
        </w:rPr>
      </w:pPr>
      <w:r w:rsidRPr="00431AD6">
        <w:rPr>
          <w:rFonts w:ascii="Garamond" w:hAnsi="Garamond"/>
          <w:sz w:val="22"/>
          <w:szCs w:val="22"/>
          <w:lang w:val="en-US"/>
        </w:rPr>
        <w:tab/>
      </w:r>
      <w:r w:rsidRPr="00431AD6">
        <w:rPr>
          <w:rFonts w:ascii="Garamond" w:hAnsi="Garamond"/>
          <w:sz w:val="22"/>
          <w:szCs w:val="22"/>
          <w:lang w:val="en-US"/>
        </w:rPr>
        <w:tab/>
        <w:t xml:space="preserve">        &lt;podis:n-active-channels&gt;2&lt;/podis:n-active-channels&gt;</w:t>
      </w:r>
    </w:p>
    <w:p w14:paraId="0F280EDF" w14:textId="77777777" w:rsidR="00CE6209" w:rsidRPr="00431AD6" w:rsidRDefault="00CE6209" w:rsidP="00CE6209">
      <w:pPr>
        <w:spacing w:after="120"/>
        <w:ind w:left="567"/>
        <w:rPr>
          <w:rFonts w:ascii="Garamond" w:hAnsi="Garamond"/>
          <w:sz w:val="22"/>
          <w:szCs w:val="22"/>
          <w:lang w:val="en-US"/>
        </w:rPr>
      </w:pPr>
      <w:r w:rsidRPr="00431AD6">
        <w:rPr>
          <w:rFonts w:ascii="Garamond" w:hAnsi="Garamond"/>
          <w:sz w:val="22"/>
          <w:szCs w:val="22"/>
          <w:lang w:val="en-US"/>
        </w:rPr>
        <w:tab/>
      </w:r>
      <w:r w:rsidRPr="00431AD6">
        <w:rPr>
          <w:rFonts w:ascii="Garamond" w:hAnsi="Garamond"/>
          <w:sz w:val="22"/>
          <w:szCs w:val="22"/>
          <w:lang w:val="en-US"/>
        </w:rPr>
        <w:tab/>
        <w:t xml:space="preserve">        &lt;podis:n-reactive-channels&gt;0&lt;/podis:n-reactive-channels&gt;</w:t>
      </w:r>
    </w:p>
    <w:p w14:paraId="0ECF33D1" w14:textId="77777777" w:rsidR="00CE6209" w:rsidRPr="00431AD6" w:rsidRDefault="00CE6209" w:rsidP="00CE6209">
      <w:pPr>
        <w:spacing w:after="120"/>
        <w:ind w:left="567"/>
        <w:rPr>
          <w:rFonts w:ascii="Garamond" w:hAnsi="Garamond"/>
          <w:sz w:val="22"/>
          <w:szCs w:val="22"/>
          <w:lang w:val="en-US"/>
        </w:rPr>
      </w:pPr>
      <w:r w:rsidRPr="00431AD6">
        <w:rPr>
          <w:rFonts w:ascii="Garamond" w:hAnsi="Garamond"/>
          <w:sz w:val="22"/>
          <w:szCs w:val="22"/>
          <w:lang w:val="en-US"/>
        </w:rPr>
        <w:t xml:space="preserve">                                &lt;podis:meterInfoLink&gt;</w:t>
      </w:r>
    </w:p>
    <w:p w14:paraId="3E03923F" w14:textId="77777777" w:rsidR="00CE6209" w:rsidRPr="00431AD6" w:rsidRDefault="00CE6209" w:rsidP="00CE6209">
      <w:pPr>
        <w:spacing w:after="120"/>
        <w:ind w:left="567"/>
        <w:rPr>
          <w:rFonts w:ascii="Garamond" w:hAnsi="Garamond"/>
          <w:sz w:val="22"/>
          <w:szCs w:val="22"/>
          <w:lang w:val="en-US"/>
        </w:rPr>
      </w:pPr>
      <w:r w:rsidRPr="00431AD6">
        <w:rPr>
          <w:rFonts w:ascii="Garamond" w:hAnsi="Garamond"/>
          <w:sz w:val="22"/>
          <w:szCs w:val="22"/>
          <w:lang w:val="en-US"/>
        </w:rPr>
        <w:t xml:space="preserve">                                    &lt;podis:measuring-tool-code&gt;559A7B5B54F30471E0530A01490A6E4F&lt;/podis:measuring-tool-code&gt;</w:t>
      </w:r>
    </w:p>
    <w:p w14:paraId="2A0E5301" w14:textId="77777777" w:rsidR="00CE6209" w:rsidRPr="00431AD6" w:rsidRDefault="00CE6209" w:rsidP="00CE6209">
      <w:pPr>
        <w:spacing w:after="120"/>
        <w:ind w:left="567"/>
        <w:rPr>
          <w:rFonts w:ascii="Garamond" w:hAnsi="Garamond"/>
          <w:sz w:val="22"/>
          <w:szCs w:val="22"/>
          <w:lang w:val="en-US"/>
        </w:rPr>
      </w:pPr>
      <w:r w:rsidRPr="00431AD6">
        <w:rPr>
          <w:rFonts w:ascii="Garamond" w:hAnsi="Garamond"/>
          <w:sz w:val="22"/>
          <w:szCs w:val="22"/>
          <w:lang w:val="en-US"/>
        </w:rPr>
        <w:t xml:space="preserve">                                    &lt;podis:modelNumber&gt;A1805RAL-P4GE-DW-4&lt;/podis:modelNumber&gt;</w:t>
      </w:r>
    </w:p>
    <w:p w14:paraId="02931839" w14:textId="77777777" w:rsidR="00CE6209" w:rsidRPr="00431AD6" w:rsidRDefault="00CE6209" w:rsidP="00CE6209">
      <w:pPr>
        <w:spacing w:after="120"/>
        <w:ind w:left="567"/>
        <w:rPr>
          <w:rFonts w:ascii="Garamond" w:hAnsi="Garamond"/>
          <w:sz w:val="22"/>
          <w:szCs w:val="22"/>
          <w:lang w:val="en-US"/>
        </w:rPr>
      </w:pPr>
      <w:r w:rsidRPr="00431AD6">
        <w:rPr>
          <w:rFonts w:ascii="Garamond" w:hAnsi="Garamond"/>
          <w:sz w:val="22"/>
          <w:szCs w:val="22"/>
          <w:lang w:val="en-US"/>
        </w:rPr>
        <w:t xml:space="preserve">                                    &lt;podis:accuracyClass&gt;0.5S&lt;/podis:accuracyClass&gt;</w:t>
      </w:r>
    </w:p>
    <w:p w14:paraId="6014E16D" w14:textId="77777777" w:rsidR="00CE6209" w:rsidRPr="00E750D0" w:rsidRDefault="00CE6209" w:rsidP="00CE6209">
      <w:pPr>
        <w:spacing w:after="120"/>
        <w:ind w:left="567"/>
        <w:rPr>
          <w:rFonts w:ascii="Garamond" w:hAnsi="Garamond"/>
          <w:sz w:val="22"/>
          <w:szCs w:val="22"/>
          <w:lang w:val="es-ES"/>
        </w:rPr>
      </w:pPr>
      <w:r w:rsidRPr="00431AD6">
        <w:rPr>
          <w:rFonts w:ascii="Garamond" w:hAnsi="Garamond"/>
          <w:sz w:val="22"/>
          <w:szCs w:val="22"/>
          <w:lang w:val="en-US"/>
        </w:rPr>
        <w:t xml:space="preserve">                                    </w:t>
      </w:r>
      <w:r w:rsidRPr="00E750D0">
        <w:rPr>
          <w:rFonts w:ascii="Garamond" w:hAnsi="Garamond"/>
          <w:sz w:val="22"/>
          <w:szCs w:val="22"/>
          <w:lang w:val="es-ES"/>
        </w:rPr>
        <w:t>&lt;podis:regNumber&gt;31857-06&lt;/podis:regNumber&gt;</w:t>
      </w:r>
    </w:p>
    <w:p w14:paraId="1C18FE93" w14:textId="77777777" w:rsidR="00CE6209" w:rsidRPr="00E750D0" w:rsidRDefault="00CE6209" w:rsidP="00CE6209">
      <w:pPr>
        <w:spacing w:after="120"/>
        <w:ind w:left="567"/>
        <w:rPr>
          <w:rFonts w:ascii="Garamond" w:hAnsi="Garamond"/>
          <w:sz w:val="22"/>
          <w:szCs w:val="22"/>
          <w:lang w:val="es-ES"/>
        </w:rPr>
      </w:pPr>
      <w:r w:rsidRPr="00E750D0">
        <w:rPr>
          <w:rFonts w:ascii="Garamond" w:hAnsi="Garamond"/>
          <w:sz w:val="22"/>
          <w:szCs w:val="22"/>
          <w:lang w:val="es-ES"/>
        </w:rPr>
        <w:t xml:space="preserve">                                &lt;/podis:meterInfoLink&gt;</w:t>
      </w:r>
    </w:p>
    <w:p w14:paraId="05EB0E12" w14:textId="77777777" w:rsidR="00CE6209" w:rsidRPr="00E750D0" w:rsidRDefault="00CE6209" w:rsidP="00CE6209">
      <w:pPr>
        <w:spacing w:after="120"/>
        <w:ind w:left="567"/>
        <w:rPr>
          <w:rFonts w:ascii="Garamond" w:hAnsi="Garamond"/>
          <w:sz w:val="22"/>
          <w:szCs w:val="22"/>
          <w:lang w:val="es-ES"/>
        </w:rPr>
      </w:pPr>
      <w:r w:rsidRPr="00E750D0">
        <w:rPr>
          <w:rFonts w:ascii="Garamond" w:hAnsi="Garamond"/>
          <w:sz w:val="22"/>
          <w:szCs w:val="22"/>
          <w:lang w:val="es-ES"/>
        </w:rPr>
        <w:t xml:space="preserve">                            &lt;/podis:meter&gt;</w:t>
      </w:r>
    </w:p>
    <w:p w14:paraId="258772A7" w14:textId="77777777" w:rsidR="00CE6209" w:rsidRPr="00E750D0" w:rsidRDefault="00CE6209" w:rsidP="00CE6209">
      <w:pPr>
        <w:spacing w:after="120"/>
        <w:ind w:left="567"/>
        <w:rPr>
          <w:rFonts w:ascii="Garamond" w:hAnsi="Garamond"/>
          <w:sz w:val="22"/>
          <w:szCs w:val="22"/>
          <w:lang w:val="es-ES"/>
        </w:rPr>
      </w:pPr>
      <w:r w:rsidRPr="00E750D0">
        <w:rPr>
          <w:rFonts w:ascii="Garamond" w:hAnsi="Garamond"/>
          <w:sz w:val="22"/>
          <w:szCs w:val="22"/>
          <w:lang w:val="es-ES"/>
        </w:rPr>
        <w:t xml:space="preserve">                            &lt;podis:rtu&gt;</w:t>
      </w:r>
    </w:p>
    <w:p w14:paraId="5846274A" w14:textId="77777777" w:rsidR="00CE6209" w:rsidRPr="00431AD6" w:rsidRDefault="00CE6209" w:rsidP="00CE6209">
      <w:pPr>
        <w:spacing w:after="120"/>
        <w:ind w:left="567"/>
        <w:rPr>
          <w:rFonts w:ascii="Garamond" w:hAnsi="Garamond"/>
          <w:sz w:val="22"/>
          <w:szCs w:val="22"/>
          <w:lang w:val="en-US"/>
        </w:rPr>
      </w:pPr>
      <w:r w:rsidRPr="00E750D0">
        <w:rPr>
          <w:rFonts w:ascii="Garamond" w:hAnsi="Garamond"/>
          <w:sz w:val="22"/>
          <w:szCs w:val="22"/>
          <w:lang w:val="es-ES"/>
        </w:rPr>
        <w:t xml:space="preserve">                                </w:t>
      </w:r>
      <w:r w:rsidRPr="00431AD6">
        <w:rPr>
          <w:rFonts w:ascii="Garamond" w:hAnsi="Garamond"/>
          <w:sz w:val="22"/>
          <w:szCs w:val="22"/>
          <w:lang w:val="en-US"/>
        </w:rPr>
        <w:t>&lt;podis:lifeCycleDate&gt;</w:t>
      </w:r>
    </w:p>
    <w:p w14:paraId="165E2BAF" w14:textId="77777777" w:rsidR="00CE6209" w:rsidRPr="00431AD6" w:rsidRDefault="00CE6209" w:rsidP="00CE6209">
      <w:pPr>
        <w:spacing w:after="120"/>
        <w:ind w:left="567"/>
        <w:rPr>
          <w:rFonts w:ascii="Garamond" w:hAnsi="Garamond"/>
          <w:sz w:val="22"/>
          <w:szCs w:val="22"/>
          <w:lang w:val="en-US"/>
        </w:rPr>
      </w:pPr>
      <w:r w:rsidRPr="00431AD6">
        <w:rPr>
          <w:rFonts w:ascii="Garamond" w:hAnsi="Garamond"/>
          <w:sz w:val="22"/>
          <w:szCs w:val="22"/>
          <w:lang w:val="en-US"/>
        </w:rPr>
        <w:t xml:space="preserve">                                    &lt;podis:nextDateValid&gt;2024-07-29&lt;/podis:nextDateValid&gt;</w:t>
      </w:r>
    </w:p>
    <w:p w14:paraId="35BE9E55" w14:textId="77777777" w:rsidR="00CE6209" w:rsidRPr="00431AD6" w:rsidRDefault="00CE6209" w:rsidP="00CE6209">
      <w:pPr>
        <w:spacing w:after="120"/>
        <w:ind w:left="567"/>
        <w:rPr>
          <w:rFonts w:ascii="Garamond" w:hAnsi="Garamond"/>
          <w:sz w:val="22"/>
          <w:szCs w:val="22"/>
          <w:lang w:val="en-US"/>
        </w:rPr>
      </w:pPr>
      <w:r w:rsidRPr="00431AD6">
        <w:rPr>
          <w:rFonts w:ascii="Garamond" w:hAnsi="Garamond"/>
          <w:sz w:val="22"/>
          <w:szCs w:val="22"/>
          <w:lang w:val="en-US"/>
        </w:rPr>
        <w:t xml:space="preserve">                                &lt;/podis:lifeCycleDate&gt;</w:t>
      </w:r>
    </w:p>
    <w:p w14:paraId="6CCD00D6" w14:textId="77777777" w:rsidR="00CE6209" w:rsidRPr="00431AD6" w:rsidRDefault="00CE6209" w:rsidP="00CE6209">
      <w:pPr>
        <w:spacing w:after="120"/>
        <w:ind w:left="567"/>
        <w:rPr>
          <w:rFonts w:ascii="Garamond" w:hAnsi="Garamond"/>
          <w:sz w:val="22"/>
          <w:szCs w:val="22"/>
          <w:lang w:val="en-US"/>
        </w:rPr>
      </w:pPr>
      <w:r w:rsidRPr="00431AD6">
        <w:rPr>
          <w:rFonts w:ascii="Garamond" w:hAnsi="Garamond"/>
          <w:sz w:val="22"/>
          <w:szCs w:val="22"/>
          <w:lang w:val="en-US"/>
        </w:rPr>
        <w:t xml:space="preserve">                                &lt;podis:serialNumber&gt;05436876&lt;/podis:serialNumber&gt;</w:t>
      </w:r>
    </w:p>
    <w:p w14:paraId="0FA60968" w14:textId="77777777" w:rsidR="00CE6209" w:rsidRPr="00431AD6" w:rsidRDefault="00CE6209" w:rsidP="00CE6209">
      <w:pPr>
        <w:spacing w:after="120"/>
        <w:ind w:left="567"/>
        <w:rPr>
          <w:rFonts w:ascii="Garamond" w:hAnsi="Garamond"/>
          <w:sz w:val="22"/>
          <w:szCs w:val="22"/>
          <w:lang w:val="en-US"/>
        </w:rPr>
      </w:pPr>
      <w:r w:rsidRPr="00431AD6">
        <w:rPr>
          <w:rFonts w:ascii="Garamond" w:hAnsi="Garamond"/>
          <w:sz w:val="22"/>
          <w:szCs w:val="22"/>
          <w:lang w:val="en-US"/>
        </w:rPr>
        <w:t xml:space="preserve">                                &lt;podis:rtuInfoLink&gt;</w:t>
      </w:r>
    </w:p>
    <w:p w14:paraId="6FC39167" w14:textId="77777777" w:rsidR="00CE6209" w:rsidRPr="00431AD6" w:rsidRDefault="00CE6209" w:rsidP="00CE6209">
      <w:pPr>
        <w:spacing w:after="120"/>
        <w:ind w:left="567"/>
        <w:rPr>
          <w:rFonts w:ascii="Garamond" w:hAnsi="Garamond"/>
          <w:sz w:val="22"/>
          <w:szCs w:val="22"/>
          <w:lang w:val="en-US"/>
        </w:rPr>
      </w:pPr>
      <w:r w:rsidRPr="00431AD6">
        <w:rPr>
          <w:rFonts w:ascii="Garamond" w:hAnsi="Garamond"/>
          <w:sz w:val="22"/>
          <w:szCs w:val="22"/>
          <w:lang w:val="en-US"/>
        </w:rPr>
        <w:t xml:space="preserve">                                    &lt;podis:measuring-tool-code&gt;538A7B5B54F30471E0530A01490A6E4F&lt;/podis:measuring-tool-code&gt;</w:t>
      </w:r>
    </w:p>
    <w:p w14:paraId="3CAE0638" w14:textId="77777777" w:rsidR="00CE6209" w:rsidRPr="00431AD6" w:rsidRDefault="00CE6209" w:rsidP="00CE6209">
      <w:pPr>
        <w:spacing w:after="120"/>
        <w:ind w:left="567"/>
        <w:rPr>
          <w:rFonts w:ascii="Garamond" w:hAnsi="Garamond"/>
          <w:sz w:val="22"/>
          <w:szCs w:val="22"/>
          <w:lang w:val="en-US"/>
        </w:rPr>
      </w:pPr>
      <w:r w:rsidRPr="00431AD6">
        <w:rPr>
          <w:rFonts w:ascii="Garamond" w:hAnsi="Garamond"/>
          <w:sz w:val="22"/>
          <w:szCs w:val="22"/>
          <w:lang w:val="en-US"/>
        </w:rPr>
        <w:t xml:space="preserve">                                    &lt;podis:modelNumber&gt;ARIS MT200&lt;/podis:modelNumber&gt;</w:t>
      </w:r>
    </w:p>
    <w:p w14:paraId="7B315819" w14:textId="77777777" w:rsidR="00CE6209" w:rsidRPr="00E750D0" w:rsidRDefault="00CE6209" w:rsidP="00CE6209">
      <w:pPr>
        <w:spacing w:after="120"/>
        <w:ind w:left="567"/>
        <w:rPr>
          <w:rFonts w:ascii="Garamond" w:hAnsi="Garamond"/>
          <w:sz w:val="22"/>
          <w:szCs w:val="22"/>
          <w:lang w:val="es-ES"/>
        </w:rPr>
      </w:pPr>
      <w:r w:rsidRPr="00431AD6">
        <w:rPr>
          <w:rFonts w:ascii="Garamond" w:hAnsi="Garamond"/>
          <w:sz w:val="22"/>
          <w:szCs w:val="22"/>
          <w:lang w:val="en-US"/>
        </w:rPr>
        <w:t xml:space="preserve">                                    </w:t>
      </w:r>
      <w:r w:rsidRPr="00E750D0">
        <w:rPr>
          <w:rFonts w:ascii="Garamond" w:hAnsi="Garamond"/>
          <w:sz w:val="22"/>
          <w:szCs w:val="22"/>
          <w:lang w:val="es-ES"/>
        </w:rPr>
        <w:t>&lt;podis:regNumber&gt;53992-13&lt;/podis:regNumber&gt;</w:t>
      </w:r>
    </w:p>
    <w:p w14:paraId="2F0DBB68" w14:textId="77777777" w:rsidR="00CE6209" w:rsidRPr="00E750D0" w:rsidRDefault="00CE6209" w:rsidP="00CE6209">
      <w:pPr>
        <w:spacing w:after="120"/>
        <w:ind w:left="567"/>
        <w:rPr>
          <w:rFonts w:ascii="Garamond" w:hAnsi="Garamond"/>
          <w:sz w:val="22"/>
          <w:szCs w:val="22"/>
          <w:lang w:val="es-ES"/>
        </w:rPr>
      </w:pPr>
      <w:r w:rsidRPr="00E750D0">
        <w:rPr>
          <w:rFonts w:ascii="Garamond" w:hAnsi="Garamond"/>
          <w:sz w:val="22"/>
          <w:szCs w:val="22"/>
          <w:lang w:val="es-ES"/>
        </w:rPr>
        <w:t xml:space="preserve">                                &lt;/podis:rtuInfoLink&gt;</w:t>
      </w:r>
    </w:p>
    <w:p w14:paraId="3CDB563B" w14:textId="77777777" w:rsidR="00CE6209" w:rsidRPr="00E750D0" w:rsidRDefault="00CE6209" w:rsidP="00CE6209">
      <w:pPr>
        <w:spacing w:after="120"/>
        <w:ind w:left="567"/>
        <w:rPr>
          <w:rFonts w:ascii="Garamond" w:hAnsi="Garamond"/>
          <w:sz w:val="22"/>
          <w:szCs w:val="22"/>
          <w:lang w:val="es-ES"/>
        </w:rPr>
      </w:pPr>
      <w:r w:rsidRPr="00E750D0">
        <w:rPr>
          <w:rFonts w:ascii="Garamond" w:hAnsi="Garamond"/>
          <w:sz w:val="22"/>
          <w:szCs w:val="22"/>
          <w:lang w:val="es-ES"/>
        </w:rPr>
        <w:t xml:space="preserve">                            &lt;/podis:rtu&gt;</w:t>
      </w:r>
    </w:p>
    <w:p w14:paraId="4587D9EB" w14:textId="77777777" w:rsidR="00CE6209" w:rsidRPr="00E750D0" w:rsidRDefault="00CE6209" w:rsidP="00CE6209">
      <w:pPr>
        <w:spacing w:after="120"/>
        <w:ind w:left="567"/>
        <w:rPr>
          <w:rFonts w:ascii="Garamond" w:hAnsi="Garamond"/>
          <w:sz w:val="22"/>
          <w:szCs w:val="22"/>
          <w:lang w:val="es-ES"/>
        </w:rPr>
      </w:pPr>
      <w:r w:rsidRPr="00E750D0">
        <w:rPr>
          <w:rFonts w:ascii="Garamond" w:hAnsi="Garamond"/>
          <w:sz w:val="22"/>
          <w:szCs w:val="22"/>
          <w:lang w:val="es-ES"/>
        </w:rPr>
        <w:t xml:space="preserve">                        &lt;/podis:endDevices&gt;</w:t>
      </w:r>
    </w:p>
    <w:p w14:paraId="07BFE6F7" w14:textId="77777777" w:rsidR="00CE6209" w:rsidRPr="00431AD6" w:rsidRDefault="00CE6209" w:rsidP="00CE6209">
      <w:pPr>
        <w:spacing w:after="120"/>
        <w:ind w:left="567"/>
        <w:rPr>
          <w:rFonts w:ascii="Garamond" w:hAnsi="Garamond"/>
          <w:sz w:val="22"/>
          <w:szCs w:val="22"/>
          <w:lang w:val="en-US"/>
        </w:rPr>
      </w:pPr>
      <w:r w:rsidRPr="00E750D0">
        <w:rPr>
          <w:rFonts w:ascii="Garamond" w:hAnsi="Garamond"/>
          <w:sz w:val="22"/>
          <w:szCs w:val="22"/>
          <w:lang w:val="es-ES"/>
        </w:rPr>
        <w:t xml:space="preserve">                        </w:t>
      </w:r>
      <w:r w:rsidRPr="00431AD6">
        <w:rPr>
          <w:rFonts w:ascii="Garamond" w:hAnsi="Garamond"/>
          <w:sz w:val="22"/>
          <w:szCs w:val="22"/>
          <w:lang w:val="en-US"/>
        </w:rPr>
        <w:t>&lt;podis:equipments&gt;</w:t>
      </w:r>
    </w:p>
    <w:p w14:paraId="680C35FE" w14:textId="77777777" w:rsidR="00CE6209" w:rsidRPr="00431AD6" w:rsidRDefault="00CE6209" w:rsidP="00CE6209">
      <w:pPr>
        <w:spacing w:after="120"/>
        <w:ind w:left="567"/>
        <w:rPr>
          <w:rFonts w:ascii="Garamond" w:hAnsi="Garamond"/>
          <w:sz w:val="22"/>
          <w:szCs w:val="22"/>
          <w:lang w:val="en-US"/>
        </w:rPr>
      </w:pPr>
      <w:r w:rsidRPr="00431AD6">
        <w:rPr>
          <w:rFonts w:ascii="Garamond" w:hAnsi="Garamond"/>
          <w:sz w:val="22"/>
          <w:szCs w:val="22"/>
          <w:lang w:val="en-US"/>
        </w:rPr>
        <w:t xml:space="preserve">                            &lt;podis:currentTransformer&gt;</w:t>
      </w:r>
    </w:p>
    <w:p w14:paraId="37804E2E" w14:textId="77777777" w:rsidR="00CE6209" w:rsidRPr="00431AD6" w:rsidRDefault="00CE6209" w:rsidP="00CE6209">
      <w:pPr>
        <w:spacing w:after="120"/>
        <w:ind w:left="567"/>
        <w:rPr>
          <w:rFonts w:ascii="Garamond" w:hAnsi="Garamond"/>
          <w:sz w:val="22"/>
          <w:szCs w:val="22"/>
          <w:lang w:val="en-US"/>
        </w:rPr>
      </w:pPr>
      <w:r w:rsidRPr="00431AD6">
        <w:rPr>
          <w:rFonts w:ascii="Garamond" w:hAnsi="Garamond"/>
          <w:sz w:val="22"/>
          <w:szCs w:val="22"/>
          <w:lang w:val="en-US"/>
        </w:rPr>
        <w:t xml:space="preserve">                                &lt;podis:serialNumber&gt;8000127&lt;/podis:serialNumber&gt;</w:t>
      </w:r>
    </w:p>
    <w:p w14:paraId="50440CAF" w14:textId="77777777" w:rsidR="00CE6209" w:rsidRPr="00431AD6" w:rsidRDefault="00CE6209" w:rsidP="00CE6209">
      <w:pPr>
        <w:spacing w:after="120"/>
        <w:ind w:left="567"/>
        <w:rPr>
          <w:rFonts w:ascii="Garamond" w:hAnsi="Garamond"/>
          <w:sz w:val="22"/>
          <w:szCs w:val="22"/>
          <w:lang w:val="en-US"/>
        </w:rPr>
      </w:pPr>
      <w:r w:rsidRPr="00431AD6">
        <w:rPr>
          <w:rFonts w:ascii="Garamond" w:hAnsi="Garamond"/>
          <w:sz w:val="22"/>
          <w:szCs w:val="22"/>
          <w:lang w:val="en-US"/>
        </w:rPr>
        <w:t xml:space="preserve">                                &lt;podis:customAttributes&gt;</w:t>
      </w:r>
    </w:p>
    <w:p w14:paraId="5DA76479" w14:textId="77777777" w:rsidR="00CE6209" w:rsidRPr="00431AD6" w:rsidRDefault="00CE6209" w:rsidP="00CE6209">
      <w:pPr>
        <w:spacing w:after="120"/>
        <w:ind w:left="567"/>
        <w:rPr>
          <w:rFonts w:ascii="Garamond" w:hAnsi="Garamond"/>
          <w:sz w:val="22"/>
          <w:szCs w:val="22"/>
          <w:lang w:val="en-US"/>
        </w:rPr>
      </w:pPr>
      <w:r w:rsidRPr="00431AD6">
        <w:rPr>
          <w:rFonts w:ascii="Garamond" w:hAnsi="Garamond"/>
          <w:sz w:val="22"/>
          <w:szCs w:val="22"/>
          <w:lang w:val="en-US"/>
        </w:rPr>
        <w:t xml:space="preserve">                                    &lt;podis:name&gt;assetOwnerKind&lt;/podis:name&gt;</w:t>
      </w:r>
    </w:p>
    <w:p w14:paraId="79C65A0F" w14:textId="77777777" w:rsidR="00CE6209" w:rsidRPr="00431AD6" w:rsidRDefault="00CE6209" w:rsidP="00CE6209">
      <w:pPr>
        <w:spacing w:after="120"/>
        <w:ind w:left="567"/>
        <w:rPr>
          <w:rFonts w:ascii="Garamond" w:hAnsi="Garamond"/>
          <w:sz w:val="22"/>
          <w:szCs w:val="22"/>
          <w:lang w:val="en-US"/>
        </w:rPr>
      </w:pPr>
      <w:r w:rsidRPr="00431AD6">
        <w:rPr>
          <w:rFonts w:ascii="Garamond" w:hAnsi="Garamond"/>
          <w:sz w:val="22"/>
          <w:szCs w:val="22"/>
          <w:lang w:val="en-US"/>
        </w:rPr>
        <w:t xml:space="preserve">                                    &lt;podis:value&gt;tso_or_gp&lt;/podis:value&gt;</w:t>
      </w:r>
    </w:p>
    <w:p w14:paraId="4979E510" w14:textId="77777777" w:rsidR="00CE6209" w:rsidRPr="00431AD6" w:rsidRDefault="00CE6209" w:rsidP="00CE6209">
      <w:pPr>
        <w:spacing w:after="120"/>
        <w:ind w:left="567"/>
        <w:rPr>
          <w:rFonts w:ascii="Garamond" w:hAnsi="Garamond"/>
          <w:sz w:val="22"/>
          <w:szCs w:val="22"/>
          <w:lang w:val="en-US"/>
        </w:rPr>
      </w:pPr>
      <w:r w:rsidRPr="00431AD6">
        <w:rPr>
          <w:rFonts w:ascii="Garamond" w:hAnsi="Garamond"/>
          <w:sz w:val="22"/>
          <w:szCs w:val="22"/>
          <w:lang w:val="en-US"/>
        </w:rPr>
        <w:t xml:space="preserve">                                &lt;/podis:customAttributes&gt;</w:t>
      </w:r>
    </w:p>
    <w:p w14:paraId="64557B24" w14:textId="77777777" w:rsidR="00CE6209" w:rsidRPr="00431AD6" w:rsidRDefault="00CE6209" w:rsidP="00CE6209">
      <w:pPr>
        <w:spacing w:after="120"/>
        <w:ind w:left="567"/>
        <w:rPr>
          <w:rFonts w:ascii="Garamond" w:hAnsi="Garamond"/>
          <w:sz w:val="22"/>
          <w:szCs w:val="22"/>
          <w:lang w:val="en-US"/>
        </w:rPr>
      </w:pPr>
      <w:r w:rsidRPr="00431AD6">
        <w:rPr>
          <w:rFonts w:ascii="Garamond" w:hAnsi="Garamond"/>
          <w:sz w:val="22"/>
          <w:szCs w:val="22"/>
          <w:lang w:val="en-US"/>
        </w:rPr>
        <w:t xml:space="preserve">                                &lt;podis:lifeCycleDate&gt;</w:t>
      </w:r>
    </w:p>
    <w:p w14:paraId="3E61F63C" w14:textId="77777777" w:rsidR="00CE6209" w:rsidRPr="00431AD6" w:rsidRDefault="00CE6209" w:rsidP="00CE6209">
      <w:pPr>
        <w:spacing w:after="120"/>
        <w:ind w:left="567"/>
        <w:rPr>
          <w:rFonts w:ascii="Garamond" w:hAnsi="Garamond"/>
          <w:sz w:val="22"/>
          <w:szCs w:val="22"/>
          <w:lang w:val="en-US"/>
        </w:rPr>
      </w:pPr>
      <w:r w:rsidRPr="00431AD6">
        <w:rPr>
          <w:rFonts w:ascii="Garamond" w:hAnsi="Garamond"/>
          <w:sz w:val="22"/>
          <w:szCs w:val="22"/>
          <w:lang w:val="en-US"/>
        </w:rPr>
        <w:t xml:space="preserve">                                    &lt;podis:nextDateValid&gt;2026-02-20&lt;/podis:nextDateValid&gt;</w:t>
      </w:r>
    </w:p>
    <w:p w14:paraId="4F3033B0" w14:textId="77777777" w:rsidR="00CE6209" w:rsidRPr="00431AD6" w:rsidRDefault="00CE6209" w:rsidP="00CE6209">
      <w:pPr>
        <w:spacing w:after="120"/>
        <w:ind w:left="567"/>
        <w:rPr>
          <w:rFonts w:ascii="Garamond" w:hAnsi="Garamond"/>
          <w:sz w:val="22"/>
          <w:szCs w:val="22"/>
          <w:lang w:val="en-US"/>
        </w:rPr>
      </w:pPr>
      <w:r w:rsidRPr="00431AD6">
        <w:rPr>
          <w:rFonts w:ascii="Garamond" w:hAnsi="Garamond"/>
          <w:sz w:val="22"/>
          <w:szCs w:val="22"/>
          <w:lang w:val="en-US"/>
        </w:rPr>
        <w:t xml:space="preserve">                                &lt;/podis:lifeCycleDate&gt;</w:t>
      </w:r>
    </w:p>
    <w:p w14:paraId="073BC341" w14:textId="77777777" w:rsidR="00CE6209" w:rsidRPr="00431AD6" w:rsidRDefault="00CE6209" w:rsidP="00CE6209">
      <w:pPr>
        <w:spacing w:after="120"/>
        <w:ind w:left="567"/>
        <w:rPr>
          <w:rFonts w:ascii="Garamond" w:hAnsi="Garamond"/>
          <w:sz w:val="22"/>
          <w:szCs w:val="22"/>
          <w:lang w:val="en-US"/>
        </w:rPr>
      </w:pPr>
      <w:r w:rsidRPr="00431AD6">
        <w:rPr>
          <w:rFonts w:ascii="Garamond" w:hAnsi="Garamond"/>
          <w:sz w:val="22"/>
          <w:szCs w:val="22"/>
          <w:lang w:val="en-US"/>
        </w:rPr>
        <w:t xml:space="preserve">                                &lt;podis:currentTransformerInfo&gt;</w:t>
      </w:r>
    </w:p>
    <w:p w14:paraId="1ABE3FB3" w14:textId="77777777" w:rsidR="00CE6209" w:rsidRPr="00431AD6" w:rsidRDefault="00CE6209" w:rsidP="00CE6209">
      <w:pPr>
        <w:spacing w:after="120"/>
        <w:ind w:left="567"/>
        <w:rPr>
          <w:rFonts w:ascii="Garamond" w:hAnsi="Garamond"/>
          <w:sz w:val="22"/>
          <w:szCs w:val="22"/>
          <w:lang w:val="en-US"/>
        </w:rPr>
      </w:pPr>
      <w:r w:rsidRPr="00431AD6">
        <w:rPr>
          <w:rFonts w:ascii="Garamond" w:hAnsi="Garamond"/>
          <w:sz w:val="22"/>
          <w:szCs w:val="22"/>
          <w:lang w:val="en-US"/>
        </w:rPr>
        <w:t xml:space="preserve">                                    &lt;podis:measuring-tool-code&gt;339A7B5B54F30471E0530A01490A6E4F&lt;/podis:measuring-tool-code&gt;</w:t>
      </w:r>
    </w:p>
    <w:p w14:paraId="0F9E7A84" w14:textId="77777777" w:rsidR="00CE6209" w:rsidRPr="00431AD6" w:rsidRDefault="00CE6209" w:rsidP="00CE6209">
      <w:pPr>
        <w:spacing w:after="120"/>
        <w:ind w:left="567"/>
        <w:rPr>
          <w:rFonts w:ascii="Garamond" w:hAnsi="Garamond"/>
          <w:sz w:val="22"/>
          <w:szCs w:val="22"/>
          <w:lang w:val="en-US"/>
        </w:rPr>
      </w:pPr>
      <w:r w:rsidRPr="00431AD6">
        <w:rPr>
          <w:rFonts w:ascii="Garamond" w:hAnsi="Garamond"/>
          <w:sz w:val="22"/>
          <w:szCs w:val="22"/>
          <w:lang w:val="en-US"/>
        </w:rPr>
        <w:lastRenderedPageBreak/>
        <w:t xml:space="preserve">                                    &lt;podis:modelNumber&gt;</w:t>
      </w:r>
      <w:r w:rsidRPr="00431AD6">
        <w:rPr>
          <w:rFonts w:ascii="Garamond" w:hAnsi="Garamond"/>
          <w:sz w:val="22"/>
          <w:szCs w:val="22"/>
        </w:rPr>
        <w:t>ТЛШ</w:t>
      </w:r>
      <w:r w:rsidRPr="00431AD6">
        <w:rPr>
          <w:rFonts w:ascii="Garamond" w:hAnsi="Garamond"/>
          <w:sz w:val="22"/>
          <w:szCs w:val="22"/>
          <w:lang w:val="en-US"/>
        </w:rPr>
        <w:t>&lt;/podis:modelNumber&gt;</w:t>
      </w:r>
    </w:p>
    <w:p w14:paraId="4DCECE2D" w14:textId="77777777" w:rsidR="00CE6209" w:rsidRPr="00431AD6" w:rsidRDefault="00CE6209" w:rsidP="00CE6209">
      <w:pPr>
        <w:spacing w:after="120"/>
        <w:ind w:left="567"/>
        <w:rPr>
          <w:rFonts w:ascii="Garamond" w:hAnsi="Garamond"/>
          <w:sz w:val="22"/>
          <w:szCs w:val="22"/>
          <w:lang w:val="en-US"/>
        </w:rPr>
      </w:pPr>
      <w:r w:rsidRPr="00431AD6">
        <w:rPr>
          <w:rFonts w:ascii="Garamond" w:hAnsi="Garamond"/>
          <w:sz w:val="22"/>
          <w:szCs w:val="22"/>
          <w:lang w:val="en-US"/>
        </w:rPr>
        <w:t xml:space="preserve">                                    &lt;podis:ratedCurrent&gt;5000&lt;/podis:ratedCurrent&gt;</w:t>
      </w:r>
    </w:p>
    <w:p w14:paraId="11C88558" w14:textId="77777777" w:rsidR="00CE6209" w:rsidRPr="00431AD6" w:rsidRDefault="00CE6209" w:rsidP="00CE6209">
      <w:pPr>
        <w:spacing w:after="120"/>
        <w:ind w:left="567"/>
        <w:rPr>
          <w:rFonts w:ascii="Garamond" w:hAnsi="Garamond"/>
          <w:sz w:val="22"/>
          <w:szCs w:val="22"/>
          <w:lang w:val="en-US"/>
        </w:rPr>
      </w:pPr>
      <w:r w:rsidRPr="00431AD6">
        <w:rPr>
          <w:rFonts w:ascii="Garamond" w:hAnsi="Garamond"/>
          <w:sz w:val="22"/>
          <w:szCs w:val="22"/>
          <w:lang w:val="en-US"/>
        </w:rPr>
        <w:t xml:space="preserve">                                    &lt;podis:secondaryFlsRating&gt;10&lt;/podis:secondaryFlsRating&gt;</w:t>
      </w:r>
    </w:p>
    <w:p w14:paraId="54B03126" w14:textId="77777777" w:rsidR="00CE6209" w:rsidRPr="00431AD6" w:rsidRDefault="00CE6209" w:rsidP="00CE6209">
      <w:pPr>
        <w:spacing w:after="120"/>
        <w:ind w:left="567"/>
        <w:rPr>
          <w:rFonts w:ascii="Garamond" w:hAnsi="Garamond"/>
          <w:sz w:val="22"/>
          <w:szCs w:val="22"/>
          <w:lang w:val="en-US"/>
        </w:rPr>
      </w:pPr>
      <w:r w:rsidRPr="00431AD6">
        <w:rPr>
          <w:rFonts w:ascii="Garamond" w:hAnsi="Garamond"/>
          <w:sz w:val="22"/>
          <w:szCs w:val="22"/>
          <w:lang w:val="en-US"/>
        </w:rPr>
        <w:t xml:space="preserve">                                    &lt;podis:ratedSecondaryCurrent&gt;5&lt;/podis:ratedSecondaryCurrent&gt;</w:t>
      </w:r>
    </w:p>
    <w:p w14:paraId="065A50C8" w14:textId="77777777" w:rsidR="00CE6209" w:rsidRPr="00431AD6" w:rsidRDefault="00CE6209" w:rsidP="00CE6209">
      <w:pPr>
        <w:spacing w:after="120"/>
        <w:ind w:left="567"/>
        <w:rPr>
          <w:rFonts w:ascii="Garamond" w:hAnsi="Garamond"/>
          <w:sz w:val="22"/>
          <w:szCs w:val="22"/>
          <w:lang w:val="en-US"/>
        </w:rPr>
      </w:pPr>
      <w:r w:rsidRPr="00431AD6">
        <w:rPr>
          <w:rFonts w:ascii="Garamond" w:hAnsi="Garamond"/>
          <w:sz w:val="22"/>
          <w:szCs w:val="22"/>
          <w:lang w:val="en-US"/>
        </w:rPr>
        <w:t xml:space="preserve">                                    &lt;podis:accuracyClass&gt;0.5S&lt;/podis:accuracyClass&gt;</w:t>
      </w:r>
    </w:p>
    <w:p w14:paraId="51D9B131" w14:textId="77777777" w:rsidR="00CE6209" w:rsidRPr="00E750D0" w:rsidRDefault="00CE6209" w:rsidP="00CE6209">
      <w:pPr>
        <w:spacing w:after="120"/>
        <w:ind w:left="567"/>
        <w:rPr>
          <w:rFonts w:ascii="Garamond" w:hAnsi="Garamond"/>
          <w:sz w:val="22"/>
          <w:szCs w:val="22"/>
          <w:lang w:val="es-ES"/>
        </w:rPr>
      </w:pPr>
      <w:r w:rsidRPr="00431AD6">
        <w:rPr>
          <w:rFonts w:ascii="Garamond" w:hAnsi="Garamond"/>
          <w:sz w:val="22"/>
          <w:szCs w:val="22"/>
          <w:lang w:val="en-US"/>
        </w:rPr>
        <w:t xml:space="preserve">                                    </w:t>
      </w:r>
      <w:r w:rsidRPr="00E750D0">
        <w:rPr>
          <w:rFonts w:ascii="Garamond" w:hAnsi="Garamond"/>
          <w:sz w:val="22"/>
          <w:szCs w:val="22"/>
          <w:lang w:val="es-ES"/>
        </w:rPr>
        <w:t>&lt;podis:regNumber&gt;64182-16&lt;/podis:regNumber&gt;</w:t>
      </w:r>
    </w:p>
    <w:p w14:paraId="276F88E8" w14:textId="77777777" w:rsidR="00CE6209" w:rsidRPr="00E750D0" w:rsidRDefault="00CE6209" w:rsidP="00CE6209">
      <w:pPr>
        <w:spacing w:after="120"/>
        <w:ind w:left="567"/>
        <w:rPr>
          <w:rFonts w:ascii="Garamond" w:hAnsi="Garamond"/>
          <w:sz w:val="22"/>
          <w:szCs w:val="22"/>
          <w:lang w:val="es-ES"/>
        </w:rPr>
      </w:pPr>
      <w:r w:rsidRPr="00E750D0">
        <w:rPr>
          <w:rFonts w:ascii="Garamond" w:hAnsi="Garamond"/>
          <w:sz w:val="22"/>
          <w:szCs w:val="22"/>
          <w:lang w:val="es-ES"/>
        </w:rPr>
        <w:t xml:space="preserve">                                &lt;/podis:currentTransformerInfo&gt;</w:t>
      </w:r>
    </w:p>
    <w:p w14:paraId="7CE3F987" w14:textId="77777777" w:rsidR="00CE6209" w:rsidRPr="00E750D0" w:rsidRDefault="00CE6209" w:rsidP="00CE6209">
      <w:pPr>
        <w:spacing w:after="120"/>
        <w:ind w:left="567"/>
        <w:rPr>
          <w:rFonts w:ascii="Garamond" w:hAnsi="Garamond"/>
          <w:sz w:val="22"/>
          <w:szCs w:val="22"/>
          <w:lang w:val="es-ES"/>
        </w:rPr>
      </w:pPr>
      <w:r w:rsidRPr="00E750D0">
        <w:rPr>
          <w:rFonts w:ascii="Garamond" w:hAnsi="Garamond"/>
          <w:sz w:val="22"/>
          <w:szCs w:val="22"/>
          <w:lang w:val="es-ES"/>
        </w:rPr>
        <w:t xml:space="preserve">                            &lt;/podis:currentTransformer&gt;</w:t>
      </w:r>
    </w:p>
    <w:p w14:paraId="50E8BAA9" w14:textId="77777777" w:rsidR="00CE6209" w:rsidRPr="00E750D0" w:rsidRDefault="00CE6209" w:rsidP="00CE6209">
      <w:pPr>
        <w:spacing w:after="120"/>
        <w:ind w:left="567"/>
        <w:rPr>
          <w:rFonts w:ascii="Garamond" w:hAnsi="Garamond"/>
          <w:sz w:val="22"/>
          <w:szCs w:val="22"/>
          <w:lang w:val="es-ES"/>
        </w:rPr>
      </w:pPr>
      <w:r w:rsidRPr="00E750D0">
        <w:rPr>
          <w:rFonts w:ascii="Garamond" w:hAnsi="Garamond"/>
          <w:sz w:val="22"/>
          <w:szCs w:val="22"/>
          <w:lang w:val="es-ES"/>
        </w:rPr>
        <w:t xml:space="preserve">                            &lt;podis:currentTransformer&gt;</w:t>
      </w:r>
    </w:p>
    <w:p w14:paraId="0B4DC0BC" w14:textId="77777777" w:rsidR="00CE6209" w:rsidRPr="00431AD6" w:rsidRDefault="00CE6209" w:rsidP="00CE6209">
      <w:pPr>
        <w:spacing w:after="120"/>
        <w:ind w:left="567"/>
        <w:rPr>
          <w:rFonts w:ascii="Garamond" w:hAnsi="Garamond"/>
          <w:sz w:val="22"/>
          <w:szCs w:val="22"/>
          <w:lang w:val="en-US"/>
        </w:rPr>
      </w:pPr>
      <w:r w:rsidRPr="00E750D0">
        <w:rPr>
          <w:rFonts w:ascii="Garamond" w:hAnsi="Garamond"/>
          <w:sz w:val="22"/>
          <w:szCs w:val="22"/>
          <w:lang w:val="es-ES"/>
        </w:rPr>
        <w:t xml:space="preserve">                                </w:t>
      </w:r>
      <w:r w:rsidRPr="00431AD6">
        <w:rPr>
          <w:rFonts w:ascii="Garamond" w:hAnsi="Garamond"/>
          <w:sz w:val="22"/>
          <w:szCs w:val="22"/>
          <w:lang w:val="en-US"/>
        </w:rPr>
        <w:t>&lt;podis:serialNumber&gt;8000132&lt;/podis:serialNumber&gt;</w:t>
      </w:r>
    </w:p>
    <w:p w14:paraId="40E7AFE2" w14:textId="77777777" w:rsidR="00CE6209" w:rsidRPr="00431AD6" w:rsidRDefault="00CE6209" w:rsidP="00CE6209">
      <w:pPr>
        <w:spacing w:after="120"/>
        <w:ind w:left="567"/>
        <w:rPr>
          <w:rFonts w:ascii="Garamond" w:hAnsi="Garamond"/>
          <w:sz w:val="22"/>
          <w:szCs w:val="22"/>
          <w:lang w:val="en-US"/>
        </w:rPr>
      </w:pPr>
      <w:r w:rsidRPr="00431AD6">
        <w:rPr>
          <w:rFonts w:ascii="Garamond" w:hAnsi="Garamond"/>
          <w:sz w:val="22"/>
          <w:szCs w:val="22"/>
          <w:lang w:val="en-US"/>
        </w:rPr>
        <w:t xml:space="preserve">                                &lt;podis:customAttributes&gt;</w:t>
      </w:r>
    </w:p>
    <w:p w14:paraId="135344CD" w14:textId="77777777" w:rsidR="00CE6209" w:rsidRPr="00431AD6" w:rsidRDefault="00CE6209" w:rsidP="00CE6209">
      <w:pPr>
        <w:spacing w:after="120"/>
        <w:ind w:left="567"/>
        <w:rPr>
          <w:rFonts w:ascii="Garamond" w:hAnsi="Garamond"/>
          <w:sz w:val="22"/>
          <w:szCs w:val="22"/>
          <w:lang w:val="en-US"/>
        </w:rPr>
      </w:pPr>
      <w:r w:rsidRPr="00431AD6">
        <w:rPr>
          <w:rFonts w:ascii="Garamond" w:hAnsi="Garamond"/>
          <w:sz w:val="22"/>
          <w:szCs w:val="22"/>
          <w:lang w:val="en-US"/>
        </w:rPr>
        <w:t xml:space="preserve">                                    &lt;podis:name&gt;assetOwnerKind&lt;/podis:name&gt;</w:t>
      </w:r>
    </w:p>
    <w:p w14:paraId="7C831BD3" w14:textId="77777777" w:rsidR="00CE6209" w:rsidRPr="00431AD6" w:rsidRDefault="00CE6209" w:rsidP="00CE6209">
      <w:pPr>
        <w:spacing w:after="120"/>
        <w:ind w:left="567"/>
        <w:rPr>
          <w:rFonts w:ascii="Garamond" w:hAnsi="Garamond"/>
          <w:sz w:val="22"/>
          <w:szCs w:val="22"/>
          <w:lang w:val="en-US"/>
        </w:rPr>
      </w:pPr>
      <w:r w:rsidRPr="00431AD6">
        <w:rPr>
          <w:rFonts w:ascii="Garamond" w:hAnsi="Garamond"/>
          <w:sz w:val="22"/>
          <w:szCs w:val="22"/>
          <w:lang w:val="en-US"/>
        </w:rPr>
        <w:t xml:space="preserve">                                    &lt;podis:value&gt;tso_or_gp&lt;/podis:value&gt;</w:t>
      </w:r>
    </w:p>
    <w:p w14:paraId="4CCF6610" w14:textId="77777777" w:rsidR="00CE6209" w:rsidRPr="00431AD6" w:rsidRDefault="00CE6209" w:rsidP="00CE6209">
      <w:pPr>
        <w:spacing w:after="120"/>
        <w:ind w:left="567"/>
        <w:rPr>
          <w:rFonts w:ascii="Garamond" w:hAnsi="Garamond"/>
          <w:sz w:val="22"/>
          <w:szCs w:val="22"/>
          <w:lang w:val="en-US"/>
        </w:rPr>
      </w:pPr>
      <w:r w:rsidRPr="00431AD6">
        <w:rPr>
          <w:rFonts w:ascii="Garamond" w:hAnsi="Garamond"/>
          <w:sz w:val="22"/>
          <w:szCs w:val="22"/>
          <w:lang w:val="en-US"/>
        </w:rPr>
        <w:t xml:space="preserve">                                &lt;/podis:customAttributes&gt;</w:t>
      </w:r>
    </w:p>
    <w:p w14:paraId="4B8B49C1" w14:textId="77777777" w:rsidR="00CE6209" w:rsidRPr="00431AD6" w:rsidRDefault="00CE6209" w:rsidP="00CE6209">
      <w:pPr>
        <w:spacing w:after="120"/>
        <w:ind w:left="567"/>
        <w:rPr>
          <w:rFonts w:ascii="Garamond" w:hAnsi="Garamond"/>
          <w:sz w:val="22"/>
          <w:szCs w:val="22"/>
          <w:lang w:val="en-US"/>
        </w:rPr>
      </w:pPr>
      <w:r w:rsidRPr="00431AD6">
        <w:rPr>
          <w:rFonts w:ascii="Garamond" w:hAnsi="Garamond"/>
          <w:sz w:val="22"/>
          <w:szCs w:val="22"/>
          <w:lang w:val="en-US"/>
        </w:rPr>
        <w:t xml:space="preserve">                                &lt;podis:lifeCycleDate&gt;</w:t>
      </w:r>
    </w:p>
    <w:p w14:paraId="39995811" w14:textId="77777777" w:rsidR="00CE6209" w:rsidRPr="00431AD6" w:rsidRDefault="00CE6209" w:rsidP="00CE6209">
      <w:pPr>
        <w:spacing w:after="120"/>
        <w:ind w:left="567"/>
        <w:rPr>
          <w:rFonts w:ascii="Garamond" w:hAnsi="Garamond"/>
          <w:sz w:val="22"/>
          <w:szCs w:val="22"/>
          <w:lang w:val="en-US"/>
        </w:rPr>
      </w:pPr>
      <w:r w:rsidRPr="00431AD6">
        <w:rPr>
          <w:rFonts w:ascii="Garamond" w:hAnsi="Garamond"/>
          <w:sz w:val="22"/>
          <w:szCs w:val="22"/>
          <w:lang w:val="en-US"/>
        </w:rPr>
        <w:t xml:space="preserve">                                    &lt;podis:nextDateValid&gt;2026-02-20&lt;/podis:nextDateValid&gt;</w:t>
      </w:r>
    </w:p>
    <w:p w14:paraId="4AD44DAE" w14:textId="77777777" w:rsidR="00CE6209" w:rsidRPr="00431AD6" w:rsidRDefault="00CE6209" w:rsidP="00CE6209">
      <w:pPr>
        <w:spacing w:after="120"/>
        <w:ind w:left="567"/>
        <w:rPr>
          <w:rFonts w:ascii="Garamond" w:hAnsi="Garamond"/>
          <w:sz w:val="22"/>
          <w:szCs w:val="22"/>
          <w:lang w:val="en-US"/>
        </w:rPr>
      </w:pPr>
      <w:r w:rsidRPr="00431AD6">
        <w:rPr>
          <w:rFonts w:ascii="Garamond" w:hAnsi="Garamond"/>
          <w:sz w:val="22"/>
          <w:szCs w:val="22"/>
          <w:lang w:val="en-US"/>
        </w:rPr>
        <w:t xml:space="preserve">                                &lt;/podis:lifeCycleDate&gt;</w:t>
      </w:r>
    </w:p>
    <w:p w14:paraId="4DB4ED51" w14:textId="77777777" w:rsidR="00CE6209" w:rsidRPr="00431AD6" w:rsidRDefault="00CE6209" w:rsidP="00CE6209">
      <w:pPr>
        <w:spacing w:after="120"/>
        <w:ind w:left="567"/>
        <w:rPr>
          <w:rFonts w:ascii="Garamond" w:hAnsi="Garamond"/>
          <w:sz w:val="22"/>
          <w:szCs w:val="22"/>
          <w:lang w:val="en-US"/>
        </w:rPr>
      </w:pPr>
      <w:r w:rsidRPr="00431AD6">
        <w:rPr>
          <w:rFonts w:ascii="Garamond" w:hAnsi="Garamond"/>
          <w:sz w:val="22"/>
          <w:szCs w:val="22"/>
          <w:lang w:val="en-US"/>
        </w:rPr>
        <w:t xml:space="preserve">                                &lt;podis:currentTransformerInfo&gt;</w:t>
      </w:r>
    </w:p>
    <w:p w14:paraId="310125DA" w14:textId="77777777" w:rsidR="00CE6209" w:rsidRPr="00431AD6" w:rsidRDefault="00CE6209" w:rsidP="00CE6209">
      <w:pPr>
        <w:spacing w:after="120"/>
        <w:ind w:left="567"/>
        <w:rPr>
          <w:rFonts w:ascii="Garamond" w:hAnsi="Garamond"/>
          <w:sz w:val="22"/>
          <w:szCs w:val="22"/>
          <w:lang w:val="en-US"/>
        </w:rPr>
      </w:pPr>
      <w:r w:rsidRPr="00431AD6">
        <w:rPr>
          <w:rFonts w:ascii="Garamond" w:hAnsi="Garamond"/>
          <w:sz w:val="22"/>
          <w:szCs w:val="22"/>
          <w:lang w:val="en-US"/>
        </w:rPr>
        <w:t xml:space="preserve">                                    &lt;podis:measuring-tool-code&gt;339A7B5B54F30471E0530A01490A6E4F&lt;/podis:measuring-tool-code&gt;</w:t>
      </w:r>
    </w:p>
    <w:p w14:paraId="1415E57A" w14:textId="77777777" w:rsidR="00CE6209" w:rsidRPr="00431AD6" w:rsidRDefault="00CE6209" w:rsidP="00CE6209">
      <w:pPr>
        <w:spacing w:after="120"/>
        <w:ind w:left="567"/>
        <w:rPr>
          <w:rFonts w:ascii="Garamond" w:hAnsi="Garamond"/>
          <w:sz w:val="22"/>
          <w:szCs w:val="22"/>
          <w:lang w:val="en-US"/>
        </w:rPr>
      </w:pPr>
      <w:r w:rsidRPr="00431AD6">
        <w:rPr>
          <w:rFonts w:ascii="Garamond" w:hAnsi="Garamond"/>
          <w:sz w:val="22"/>
          <w:szCs w:val="22"/>
          <w:lang w:val="en-US"/>
        </w:rPr>
        <w:t xml:space="preserve">                                    &lt;podis:modelNumber&gt;</w:t>
      </w:r>
      <w:r w:rsidRPr="00431AD6">
        <w:rPr>
          <w:rFonts w:ascii="Garamond" w:hAnsi="Garamond"/>
          <w:sz w:val="22"/>
          <w:szCs w:val="22"/>
        </w:rPr>
        <w:t>ТЛШ</w:t>
      </w:r>
      <w:r w:rsidRPr="00431AD6">
        <w:rPr>
          <w:rFonts w:ascii="Garamond" w:hAnsi="Garamond"/>
          <w:sz w:val="22"/>
          <w:szCs w:val="22"/>
          <w:lang w:val="en-US"/>
        </w:rPr>
        <w:t>&lt;/podis:modelNumber&gt;</w:t>
      </w:r>
    </w:p>
    <w:p w14:paraId="27114586" w14:textId="77777777" w:rsidR="00CE6209" w:rsidRPr="00431AD6" w:rsidRDefault="00CE6209" w:rsidP="00CE6209">
      <w:pPr>
        <w:spacing w:after="120"/>
        <w:ind w:left="567"/>
        <w:rPr>
          <w:rFonts w:ascii="Garamond" w:hAnsi="Garamond"/>
          <w:sz w:val="22"/>
          <w:szCs w:val="22"/>
          <w:lang w:val="en-US"/>
        </w:rPr>
      </w:pPr>
      <w:r w:rsidRPr="00431AD6">
        <w:rPr>
          <w:rFonts w:ascii="Garamond" w:hAnsi="Garamond"/>
          <w:sz w:val="22"/>
          <w:szCs w:val="22"/>
          <w:lang w:val="en-US"/>
        </w:rPr>
        <w:t xml:space="preserve">                                    &lt;podis:ratedCurrent&gt;5000&lt;/podis:ratedCurrent&gt;</w:t>
      </w:r>
    </w:p>
    <w:p w14:paraId="5CA4F51A" w14:textId="77777777" w:rsidR="00CE6209" w:rsidRPr="00431AD6" w:rsidRDefault="00CE6209" w:rsidP="00CE6209">
      <w:pPr>
        <w:spacing w:after="120"/>
        <w:ind w:left="567"/>
        <w:rPr>
          <w:rFonts w:ascii="Garamond" w:hAnsi="Garamond"/>
          <w:sz w:val="22"/>
          <w:szCs w:val="22"/>
          <w:lang w:val="en-US"/>
        </w:rPr>
      </w:pPr>
      <w:r w:rsidRPr="00431AD6">
        <w:rPr>
          <w:rFonts w:ascii="Garamond" w:hAnsi="Garamond"/>
          <w:sz w:val="22"/>
          <w:szCs w:val="22"/>
          <w:lang w:val="en-US"/>
        </w:rPr>
        <w:t xml:space="preserve">                                    &lt;podis:secondaryFlsRating&gt;10&lt;/podis:secondaryFlsRating&gt;</w:t>
      </w:r>
    </w:p>
    <w:p w14:paraId="3F5BD4F7" w14:textId="77777777" w:rsidR="00CE6209" w:rsidRPr="00431AD6" w:rsidRDefault="00CE6209" w:rsidP="00CE6209">
      <w:pPr>
        <w:spacing w:after="120"/>
        <w:ind w:left="567"/>
        <w:rPr>
          <w:rFonts w:ascii="Garamond" w:hAnsi="Garamond"/>
          <w:sz w:val="22"/>
          <w:szCs w:val="22"/>
          <w:lang w:val="en-US"/>
        </w:rPr>
      </w:pPr>
      <w:r w:rsidRPr="00431AD6">
        <w:rPr>
          <w:rFonts w:ascii="Garamond" w:hAnsi="Garamond"/>
          <w:sz w:val="22"/>
          <w:szCs w:val="22"/>
          <w:lang w:val="en-US"/>
        </w:rPr>
        <w:t xml:space="preserve">                                    &lt;podis:ratedSecondaryCurrent&gt;5&lt;/podis:ratedSecondaryCurrent&gt;</w:t>
      </w:r>
    </w:p>
    <w:p w14:paraId="4105DE7F" w14:textId="77777777" w:rsidR="00CE6209" w:rsidRPr="00431AD6" w:rsidRDefault="00CE6209" w:rsidP="00CE6209">
      <w:pPr>
        <w:spacing w:after="120"/>
        <w:ind w:left="567"/>
        <w:rPr>
          <w:rFonts w:ascii="Garamond" w:hAnsi="Garamond"/>
          <w:sz w:val="22"/>
          <w:szCs w:val="22"/>
          <w:lang w:val="en-US"/>
        </w:rPr>
      </w:pPr>
      <w:r w:rsidRPr="00431AD6">
        <w:rPr>
          <w:rFonts w:ascii="Garamond" w:hAnsi="Garamond"/>
          <w:sz w:val="22"/>
          <w:szCs w:val="22"/>
          <w:lang w:val="en-US"/>
        </w:rPr>
        <w:t xml:space="preserve">                                    &lt;podis:accuracyClass&gt;0.5S&lt;/podis:accuracyClass&gt;</w:t>
      </w:r>
    </w:p>
    <w:p w14:paraId="19359504" w14:textId="77777777" w:rsidR="00CE6209" w:rsidRPr="00E750D0" w:rsidRDefault="00CE6209" w:rsidP="00CE6209">
      <w:pPr>
        <w:spacing w:after="120"/>
        <w:ind w:left="567"/>
        <w:rPr>
          <w:rFonts w:ascii="Garamond" w:hAnsi="Garamond"/>
          <w:sz w:val="22"/>
          <w:szCs w:val="22"/>
          <w:lang w:val="es-ES"/>
        </w:rPr>
      </w:pPr>
      <w:r w:rsidRPr="00431AD6">
        <w:rPr>
          <w:rFonts w:ascii="Garamond" w:hAnsi="Garamond"/>
          <w:sz w:val="22"/>
          <w:szCs w:val="22"/>
          <w:lang w:val="en-US"/>
        </w:rPr>
        <w:t xml:space="preserve">                                    </w:t>
      </w:r>
      <w:r w:rsidRPr="00E750D0">
        <w:rPr>
          <w:rFonts w:ascii="Garamond" w:hAnsi="Garamond"/>
          <w:sz w:val="22"/>
          <w:szCs w:val="22"/>
          <w:lang w:val="es-ES"/>
        </w:rPr>
        <w:t>&lt;podis:regNumber&gt;64182-16&lt;/podis:regNumber&gt;</w:t>
      </w:r>
    </w:p>
    <w:p w14:paraId="37A27CFE" w14:textId="77777777" w:rsidR="00CE6209" w:rsidRPr="00E750D0" w:rsidRDefault="00CE6209" w:rsidP="00CE6209">
      <w:pPr>
        <w:spacing w:after="120"/>
        <w:ind w:left="567"/>
        <w:rPr>
          <w:rFonts w:ascii="Garamond" w:hAnsi="Garamond"/>
          <w:sz w:val="22"/>
          <w:szCs w:val="22"/>
          <w:lang w:val="es-ES"/>
        </w:rPr>
      </w:pPr>
      <w:r w:rsidRPr="00E750D0">
        <w:rPr>
          <w:rFonts w:ascii="Garamond" w:hAnsi="Garamond"/>
          <w:sz w:val="22"/>
          <w:szCs w:val="22"/>
          <w:lang w:val="es-ES"/>
        </w:rPr>
        <w:t xml:space="preserve">                                &lt;/podis:currentTransformerInfo&gt;</w:t>
      </w:r>
    </w:p>
    <w:p w14:paraId="6FA1DB23" w14:textId="77777777" w:rsidR="00CE6209" w:rsidRPr="00E750D0" w:rsidRDefault="00CE6209" w:rsidP="00CE6209">
      <w:pPr>
        <w:spacing w:after="120"/>
        <w:ind w:left="567"/>
        <w:rPr>
          <w:rFonts w:ascii="Garamond" w:hAnsi="Garamond"/>
          <w:sz w:val="22"/>
          <w:szCs w:val="22"/>
          <w:lang w:val="es-ES"/>
        </w:rPr>
      </w:pPr>
      <w:r w:rsidRPr="00E750D0">
        <w:rPr>
          <w:rFonts w:ascii="Garamond" w:hAnsi="Garamond"/>
          <w:sz w:val="22"/>
          <w:szCs w:val="22"/>
          <w:lang w:val="es-ES"/>
        </w:rPr>
        <w:t xml:space="preserve">                            &lt;/podis:currentTransformer&gt;</w:t>
      </w:r>
    </w:p>
    <w:p w14:paraId="2F60B6C4" w14:textId="77777777" w:rsidR="00CE6209" w:rsidRPr="00E750D0" w:rsidRDefault="00CE6209" w:rsidP="00CE6209">
      <w:pPr>
        <w:spacing w:after="120"/>
        <w:ind w:left="567"/>
        <w:rPr>
          <w:rFonts w:ascii="Garamond" w:hAnsi="Garamond"/>
          <w:sz w:val="22"/>
          <w:szCs w:val="22"/>
          <w:lang w:val="es-ES"/>
        </w:rPr>
      </w:pPr>
      <w:r w:rsidRPr="00E750D0">
        <w:rPr>
          <w:rFonts w:ascii="Garamond" w:hAnsi="Garamond"/>
          <w:sz w:val="22"/>
          <w:szCs w:val="22"/>
          <w:lang w:val="es-ES"/>
        </w:rPr>
        <w:t xml:space="preserve">                            &lt;podis:currentTransformer&gt;</w:t>
      </w:r>
    </w:p>
    <w:p w14:paraId="2C504A28" w14:textId="77777777" w:rsidR="00CE6209" w:rsidRPr="00431AD6" w:rsidRDefault="00CE6209" w:rsidP="00CE6209">
      <w:pPr>
        <w:spacing w:after="120"/>
        <w:ind w:left="567"/>
        <w:rPr>
          <w:rFonts w:ascii="Garamond" w:hAnsi="Garamond"/>
          <w:sz w:val="22"/>
          <w:szCs w:val="22"/>
          <w:lang w:val="en-US"/>
        </w:rPr>
      </w:pPr>
      <w:r w:rsidRPr="00E750D0">
        <w:rPr>
          <w:rFonts w:ascii="Garamond" w:hAnsi="Garamond"/>
          <w:sz w:val="22"/>
          <w:szCs w:val="22"/>
          <w:lang w:val="es-ES"/>
        </w:rPr>
        <w:t xml:space="preserve">                                </w:t>
      </w:r>
      <w:r w:rsidRPr="00431AD6">
        <w:rPr>
          <w:rFonts w:ascii="Garamond" w:hAnsi="Garamond"/>
          <w:sz w:val="22"/>
          <w:szCs w:val="22"/>
          <w:lang w:val="en-US"/>
        </w:rPr>
        <w:t>&lt;podis:serialNumber&gt;8000133&lt;/podis:serialNumber&gt;</w:t>
      </w:r>
    </w:p>
    <w:p w14:paraId="1F39A8EA" w14:textId="77777777" w:rsidR="00CE6209" w:rsidRPr="00431AD6" w:rsidRDefault="00CE6209" w:rsidP="00CE6209">
      <w:pPr>
        <w:spacing w:after="120"/>
        <w:ind w:left="567"/>
        <w:rPr>
          <w:rFonts w:ascii="Garamond" w:hAnsi="Garamond"/>
          <w:sz w:val="22"/>
          <w:szCs w:val="22"/>
          <w:lang w:val="en-US"/>
        </w:rPr>
      </w:pPr>
      <w:r w:rsidRPr="00431AD6">
        <w:rPr>
          <w:rFonts w:ascii="Garamond" w:hAnsi="Garamond"/>
          <w:sz w:val="22"/>
          <w:szCs w:val="22"/>
          <w:lang w:val="en-US"/>
        </w:rPr>
        <w:t xml:space="preserve">                                &lt;podis:customAttributes&gt;</w:t>
      </w:r>
    </w:p>
    <w:p w14:paraId="0211DE52" w14:textId="77777777" w:rsidR="00CE6209" w:rsidRPr="00431AD6" w:rsidRDefault="00CE6209" w:rsidP="00CE6209">
      <w:pPr>
        <w:spacing w:after="120"/>
        <w:ind w:left="567"/>
        <w:rPr>
          <w:rFonts w:ascii="Garamond" w:hAnsi="Garamond"/>
          <w:sz w:val="22"/>
          <w:szCs w:val="22"/>
          <w:lang w:val="en-US"/>
        </w:rPr>
      </w:pPr>
      <w:r w:rsidRPr="00431AD6">
        <w:rPr>
          <w:rFonts w:ascii="Garamond" w:hAnsi="Garamond"/>
          <w:sz w:val="22"/>
          <w:szCs w:val="22"/>
          <w:lang w:val="en-US"/>
        </w:rPr>
        <w:t xml:space="preserve">                                    &lt;podis:name&gt;assetOwnerKind&lt;/podis:name&gt;</w:t>
      </w:r>
    </w:p>
    <w:p w14:paraId="028AA3F1" w14:textId="77777777" w:rsidR="00CE6209" w:rsidRPr="00431AD6" w:rsidRDefault="00CE6209" w:rsidP="00CE6209">
      <w:pPr>
        <w:spacing w:after="120"/>
        <w:ind w:left="567"/>
        <w:rPr>
          <w:rFonts w:ascii="Garamond" w:hAnsi="Garamond"/>
          <w:sz w:val="22"/>
          <w:szCs w:val="22"/>
          <w:lang w:val="en-US"/>
        </w:rPr>
      </w:pPr>
      <w:r w:rsidRPr="00431AD6">
        <w:rPr>
          <w:rFonts w:ascii="Garamond" w:hAnsi="Garamond"/>
          <w:sz w:val="22"/>
          <w:szCs w:val="22"/>
          <w:lang w:val="en-US"/>
        </w:rPr>
        <w:t xml:space="preserve">                                    &lt;podis:value&gt;tso_or_gp&lt;/podis:value&gt;</w:t>
      </w:r>
    </w:p>
    <w:p w14:paraId="1BC01837" w14:textId="77777777" w:rsidR="00CE6209" w:rsidRPr="00431AD6" w:rsidRDefault="00CE6209" w:rsidP="00CE6209">
      <w:pPr>
        <w:spacing w:after="120"/>
        <w:ind w:left="567"/>
        <w:rPr>
          <w:rFonts w:ascii="Garamond" w:hAnsi="Garamond"/>
          <w:sz w:val="22"/>
          <w:szCs w:val="22"/>
          <w:lang w:val="en-US"/>
        </w:rPr>
      </w:pPr>
      <w:r w:rsidRPr="00431AD6">
        <w:rPr>
          <w:rFonts w:ascii="Garamond" w:hAnsi="Garamond"/>
          <w:sz w:val="22"/>
          <w:szCs w:val="22"/>
          <w:lang w:val="en-US"/>
        </w:rPr>
        <w:t xml:space="preserve">                                &lt;/podis:customAttributes&gt;</w:t>
      </w:r>
    </w:p>
    <w:p w14:paraId="336DC148" w14:textId="77777777" w:rsidR="00CE6209" w:rsidRPr="00431AD6" w:rsidRDefault="00CE6209" w:rsidP="00CE6209">
      <w:pPr>
        <w:spacing w:after="120"/>
        <w:ind w:left="567"/>
        <w:rPr>
          <w:rFonts w:ascii="Garamond" w:hAnsi="Garamond"/>
          <w:sz w:val="22"/>
          <w:szCs w:val="22"/>
          <w:lang w:val="en-US"/>
        </w:rPr>
      </w:pPr>
      <w:r w:rsidRPr="00431AD6">
        <w:rPr>
          <w:rFonts w:ascii="Garamond" w:hAnsi="Garamond"/>
          <w:sz w:val="22"/>
          <w:szCs w:val="22"/>
          <w:lang w:val="en-US"/>
        </w:rPr>
        <w:t xml:space="preserve">                                &lt;podis:lifeCycleDate&gt;</w:t>
      </w:r>
    </w:p>
    <w:p w14:paraId="149CA80C" w14:textId="77777777" w:rsidR="00CE6209" w:rsidRPr="00431AD6" w:rsidRDefault="00CE6209" w:rsidP="00CE6209">
      <w:pPr>
        <w:spacing w:after="120"/>
        <w:ind w:left="567"/>
        <w:rPr>
          <w:rFonts w:ascii="Garamond" w:hAnsi="Garamond"/>
          <w:sz w:val="22"/>
          <w:szCs w:val="22"/>
          <w:lang w:val="en-US"/>
        </w:rPr>
      </w:pPr>
      <w:r w:rsidRPr="00431AD6">
        <w:rPr>
          <w:rFonts w:ascii="Garamond" w:hAnsi="Garamond"/>
          <w:sz w:val="22"/>
          <w:szCs w:val="22"/>
          <w:lang w:val="en-US"/>
        </w:rPr>
        <w:t xml:space="preserve">                                    &lt;podis:nextDateValid&gt;2026-02-20&lt;/podis:nextDateValid&gt;</w:t>
      </w:r>
    </w:p>
    <w:p w14:paraId="58E7935F" w14:textId="77777777" w:rsidR="00CE6209" w:rsidRPr="00431AD6" w:rsidRDefault="00CE6209" w:rsidP="00CE6209">
      <w:pPr>
        <w:spacing w:after="120"/>
        <w:ind w:left="567"/>
        <w:rPr>
          <w:rFonts w:ascii="Garamond" w:hAnsi="Garamond"/>
          <w:sz w:val="22"/>
          <w:szCs w:val="22"/>
          <w:lang w:val="en-US"/>
        </w:rPr>
      </w:pPr>
      <w:r w:rsidRPr="00431AD6">
        <w:rPr>
          <w:rFonts w:ascii="Garamond" w:hAnsi="Garamond"/>
          <w:sz w:val="22"/>
          <w:szCs w:val="22"/>
          <w:lang w:val="en-US"/>
        </w:rPr>
        <w:t xml:space="preserve">                                &lt;/podis:lifeCycleDate&gt;</w:t>
      </w:r>
    </w:p>
    <w:p w14:paraId="470D9A7F" w14:textId="77777777" w:rsidR="00CE6209" w:rsidRPr="00431AD6" w:rsidRDefault="00CE6209" w:rsidP="00CE6209">
      <w:pPr>
        <w:spacing w:after="120"/>
        <w:ind w:left="567"/>
        <w:rPr>
          <w:rFonts w:ascii="Garamond" w:hAnsi="Garamond"/>
          <w:sz w:val="22"/>
          <w:szCs w:val="22"/>
          <w:lang w:val="en-US"/>
        </w:rPr>
      </w:pPr>
      <w:r w:rsidRPr="00431AD6">
        <w:rPr>
          <w:rFonts w:ascii="Garamond" w:hAnsi="Garamond"/>
          <w:sz w:val="22"/>
          <w:szCs w:val="22"/>
          <w:lang w:val="en-US"/>
        </w:rPr>
        <w:t xml:space="preserve">                                &lt;podis:currentTransformerInfo&gt;</w:t>
      </w:r>
    </w:p>
    <w:p w14:paraId="6FECE50F" w14:textId="77777777" w:rsidR="00CE6209" w:rsidRPr="00431AD6" w:rsidRDefault="00CE6209" w:rsidP="00CE6209">
      <w:pPr>
        <w:spacing w:after="120"/>
        <w:ind w:left="567"/>
        <w:rPr>
          <w:rFonts w:ascii="Garamond" w:hAnsi="Garamond"/>
          <w:sz w:val="22"/>
          <w:szCs w:val="22"/>
          <w:lang w:val="en-US"/>
        </w:rPr>
      </w:pPr>
      <w:r w:rsidRPr="00431AD6">
        <w:rPr>
          <w:rFonts w:ascii="Garamond" w:hAnsi="Garamond"/>
          <w:sz w:val="22"/>
          <w:szCs w:val="22"/>
          <w:lang w:val="en-US"/>
        </w:rPr>
        <w:t xml:space="preserve">                                    &lt;podis:measuring-tool-code&gt;339A7B5B54F30471E0530A01490A6E4F&lt;/podis:measuring-tool-code&gt;</w:t>
      </w:r>
    </w:p>
    <w:p w14:paraId="6E1C5201" w14:textId="77777777" w:rsidR="00CE6209" w:rsidRPr="00431AD6" w:rsidRDefault="00CE6209" w:rsidP="00CE6209">
      <w:pPr>
        <w:spacing w:after="120"/>
        <w:ind w:left="567"/>
        <w:rPr>
          <w:rFonts w:ascii="Garamond" w:hAnsi="Garamond"/>
          <w:sz w:val="22"/>
          <w:szCs w:val="22"/>
          <w:lang w:val="en-US"/>
        </w:rPr>
      </w:pPr>
      <w:r w:rsidRPr="00431AD6">
        <w:rPr>
          <w:rFonts w:ascii="Garamond" w:hAnsi="Garamond"/>
          <w:sz w:val="22"/>
          <w:szCs w:val="22"/>
          <w:lang w:val="en-US"/>
        </w:rPr>
        <w:lastRenderedPageBreak/>
        <w:t xml:space="preserve">                                    &lt;podis:modelNumber&gt;</w:t>
      </w:r>
      <w:r w:rsidRPr="00431AD6">
        <w:rPr>
          <w:rFonts w:ascii="Garamond" w:hAnsi="Garamond"/>
          <w:sz w:val="22"/>
          <w:szCs w:val="22"/>
        </w:rPr>
        <w:t>ТЛШ</w:t>
      </w:r>
      <w:r w:rsidRPr="00431AD6">
        <w:rPr>
          <w:rFonts w:ascii="Garamond" w:hAnsi="Garamond"/>
          <w:sz w:val="22"/>
          <w:szCs w:val="22"/>
          <w:lang w:val="en-US"/>
        </w:rPr>
        <w:t>&lt;/podis:modelNumber&gt;</w:t>
      </w:r>
    </w:p>
    <w:p w14:paraId="4F82DD62" w14:textId="77777777" w:rsidR="00CE6209" w:rsidRPr="00431AD6" w:rsidRDefault="00CE6209" w:rsidP="00CE6209">
      <w:pPr>
        <w:spacing w:after="120"/>
        <w:ind w:left="567"/>
        <w:rPr>
          <w:rFonts w:ascii="Garamond" w:hAnsi="Garamond"/>
          <w:sz w:val="22"/>
          <w:szCs w:val="22"/>
          <w:lang w:val="en-US"/>
        </w:rPr>
      </w:pPr>
      <w:r w:rsidRPr="00431AD6">
        <w:rPr>
          <w:rFonts w:ascii="Garamond" w:hAnsi="Garamond"/>
          <w:sz w:val="22"/>
          <w:szCs w:val="22"/>
          <w:lang w:val="en-US"/>
        </w:rPr>
        <w:t xml:space="preserve">                                    &lt;podis:ratedCurrent&gt;5000&lt;/podis:ratedCurrent&gt;</w:t>
      </w:r>
    </w:p>
    <w:p w14:paraId="6A73DD87" w14:textId="77777777" w:rsidR="00CE6209" w:rsidRPr="00431AD6" w:rsidRDefault="00CE6209" w:rsidP="00CE6209">
      <w:pPr>
        <w:spacing w:after="120"/>
        <w:ind w:left="567"/>
        <w:rPr>
          <w:rFonts w:ascii="Garamond" w:hAnsi="Garamond"/>
          <w:sz w:val="22"/>
          <w:szCs w:val="22"/>
          <w:lang w:val="en-US"/>
        </w:rPr>
      </w:pPr>
      <w:r w:rsidRPr="00431AD6">
        <w:rPr>
          <w:rFonts w:ascii="Garamond" w:hAnsi="Garamond"/>
          <w:sz w:val="22"/>
          <w:szCs w:val="22"/>
          <w:lang w:val="en-US"/>
        </w:rPr>
        <w:t xml:space="preserve">                                    &lt;podis:secondaryFlsRating&gt;10&lt;/podis:secondaryFlsRating&gt;</w:t>
      </w:r>
    </w:p>
    <w:p w14:paraId="7A067794" w14:textId="77777777" w:rsidR="00CE6209" w:rsidRPr="00431AD6" w:rsidRDefault="00CE6209" w:rsidP="00CE6209">
      <w:pPr>
        <w:spacing w:after="120"/>
        <w:ind w:left="567"/>
        <w:rPr>
          <w:rFonts w:ascii="Garamond" w:hAnsi="Garamond"/>
          <w:sz w:val="22"/>
          <w:szCs w:val="22"/>
          <w:lang w:val="en-US"/>
        </w:rPr>
      </w:pPr>
      <w:r w:rsidRPr="00431AD6">
        <w:rPr>
          <w:rFonts w:ascii="Garamond" w:hAnsi="Garamond"/>
          <w:sz w:val="22"/>
          <w:szCs w:val="22"/>
          <w:lang w:val="en-US"/>
        </w:rPr>
        <w:t xml:space="preserve">                                    &lt;podis:ratedSecondaryCurrent&gt;5&lt;/podis:ratedSecondaryCurrent&gt;</w:t>
      </w:r>
    </w:p>
    <w:p w14:paraId="65266C6A" w14:textId="77777777" w:rsidR="00CE6209" w:rsidRPr="00431AD6" w:rsidRDefault="00CE6209" w:rsidP="00CE6209">
      <w:pPr>
        <w:spacing w:after="120"/>
        <w:ind w:left="567"/>
        <w:rPr>
          <w:rFonts w:ascii="Garamond" w:hAnsi="Garamond"/>
          <w:sz w:val="22"/>
          <w:szCs w:val="22"/>
          <w:lang w:val="en-US"/>
        </w:rPr>
      </w:pPr>
      <w:r w:rsidRPr="00431AD6">
        <w:rPr>
          <w:rFonts w:ascii="Garamond" w:hAnsi="Garamond"/>
          <w:sz w:val="22"/>
          <w:szCs w:val="22"/>
          <w:lang w:val="en-US"/>
        </w:rPr>
        <w:t xml:space="preserve">                                    &lt;podis:accuracyClass&gt;0.5S&lt;/podis:accuracyClass&gt;</w:t>
      </w:r>
    </w:p>
    <w:p w14:paraId="0E19FDE5" w14:textId="77777777" w:rsidR="00CE6209" w:rsidRPr="00E750D0" w:rsidRDefault="00CE6209" w:rsidP="00CE6209">
      <w:pPr>
        <w:spacing w:after="120"/>
        <w:ind w:left="567"/>
        <w:rPr>
          <w:rFonts w:ascii="Garamond" w:hAnsi="Garamond"/>
          <w:sz w:val="22"/>
          <w:szCs w:val="22"/>
          <w:lang w:val="es-ES"/>
        </w:rPr>
      </w:pPr>
      <w:r w:rsidRPr="00431AD6">
        <w:rPr>
          <w:rFonts w:ascii="Garamond" w:hAnsi="Garamond"/>
          <w:sz w:val="22"/>
          <w:szCs w:val="22"/>
          <w:lang w:val="en-US"/>
        </w:rPr>
        <w:t xml:space="preserve">                                    </w:t>
      </w:r>
      <w:r w:rsidRPr="00E750D0">
        <w:rPr>
          <w:rFonts w:ascii="Garamond" w:hAnsi="Garamond"/>
          <w:sz w:val="22"/>
          <w:szCs w:val="22"/>
          <w:lang w:val="es-ES"/>
        </w:rPr>
        <w:t>&lt;podis:regNumber&gt;64182-16&lt;/podis:regNumber&gt;</w:t>
      </w:r>
    </w:p>
    <w:p w14:paraId="162DF670" w14:textId="77777777" w:rsidR="00CE6209" w:rsidRPr="00E750D0" w:rsidRDefault="00CE6209" w:rsidP="00CE6209">
      <w:pPr>
        <w:spacing w:after="120"/>
        <w:ind w:left="567"/>
        <w:rPr>
          <w:rFonts w:ascii="Garamond" w:hAnsi="Garamond"/>
          <w:sz w:val="22"/>
          <w:szCs w:val="22"/>
          <w:lang w:val="es-ES"/>
        </w:rPr>
      </w:pPr>
      <w:r w:rsidRPr="00E750D0">
        <w:rPr>
          <w:rFonts w:ascii="Garamond" w:hAnsi="Garamond"/>
          <w:sz w:val="22"/>
          <w:szCs w:val="22"/>
          <w:lang w:val="es-ES"/>
        </w:rPr>
        <w:t xml:space="preserve">                                &lt;/podis:currentTransformerInfo&gt;</w:t>
      </w:r>
    </w:p>
    <w:p w14:paraId="7C53DBA9" w14:textId="77777777" w:rsidR="00CE6209" w:rsidRPr="00E750D0" w:rsidRDefault="00CE6209" w:rsidP="00CE6209">
      <w:pPr>
        <w:spacing w:after="120"/>
        <w:ind w:left="567"/>
        <w:rPr>
          <w:rFonts w:ascii="Garamond" w:hAnsi="Garamond"/>
          <w:sz w:val="22"/>
          <w:szCs w:val="22"/>
          <w:lang w:val="es-ES"/>
        </w:rPr>
      </w:pPr>
      <w:r w:rsidRPr="00E750D0">
        <w:rPr>
          <w:rFonts w:ascii="Garamond" w:hAnsi="Garamond"/>
          <w:sz w:val="22"/>
          <w:szCs w:val="22"/>
          <w:lang w:val="es-ES"/>
        </w:rPr>
        <w:t xml:space="preserve">                            &lt;/podis:currentTransformer&gt;</w:t>
      </w:r>
    </w:p>
    <w:p w14:paraId="381ECC58" w14:textId="77777777" w:rsidR="00CE6209" w:rsidRPr="00E750D0" w:rsidRDefault="00CE6209" w:rsidP="00CE6209">
      <w:pPr>
        <w:spacing w:after="120"/>
        <w:ind w:left="567"/>
        <w:rPr>
          <w:rFonts w:ascii="Garamond" w:hAnsi="Garamond"/>
          <w:sz w:val="22"/>
          <w:szCs w:val="22"/>
          <w:lang w:val="es-ES"/>
        </w:rPr>
      </w:pPr>
      <w:r w:rsidRPr="00E750D0">
        <w:rPr>
          <w:rFonts w:ascii="Garamond" w:hAnsi="Garamond"/>
          <w:sz w:val="22"/>
          <w:szCs w:val="22"/>
          <w:lang w:val="es-ES"/>
        </w:rPr>
        <w:t xml:space="preserve">                            &lt;podis:potentialTransformer&gt;</w:t>
      </w:r>
    </w:p>
    <w:p w14:paraId="10921FD1" w14:textId="77777777" w:rsidR="00CE6209" w:rsidRPr="00431AD6" w:rsidRDefault="00CE6209" w:rsidP="00CE6209">
      <w:pPr>
        <w:spacing w:after="120"/>
        <w:ind w:left="567"/>
        <w:rPr>
          <w:rFonts w:ascii="Garamond" w:hAnsi="Garamond"/>
          <w:sz w:val="22"/>
          <w:szCs w:val="22"/>
          <w:lang w:val="en-US"/>
        </w:rPr>
      </w:pPr>
      <w:r w:rsidRPr="00E750D0">
        <w:rPr>
          <w:rFonts w:ascii="Garamond" w:hAnsi="Garamond"/>
          <w:sz w:val="22"/>
          <w:szCs w:val="22"/>
          <w:lang w:val="es-ES"/>
        </w:rPr>
        <w:t xml:space="preserve">                                </w:t>
      </w:r>
      <w:r w:rsidRPr="00431AD6">
        <w:rPr>
          <w:rFonts w:ascii="Garamond" w:hAnsi="Garamond"/>
          <w:sz w:val="22"/>
          <w:szCs w:val="22"/>
          <w:lang w:val="en-US"/>
        </w:rPr>
        <w:t>&lt;podis:serialNumber&gt;1613&lt;/podis:serialNumber&gt;</w:t>
      </w:r>
    </w:p>
    <w:p w14:paraId="50DB5237" w14:textId="77777777" w:rsidR="00CE6209" w:rsidRPr="00431AD6" w:rsidRDefault="00CE6209" w:rsidP="00CE6209">
      <w:pPr>
        <w:spacing w:after="120"/>
        <w:ind w:left="567"/>
        <w:rPr>
          <w:rFonts w:ascii="Garamond" w:hAnsi="Garamond"/>
          <w:sz w:val="22"/>
          <w:szCs w:val="22"/>
          <w:lang w:val="en-US"/>
        </w:rPr>
      </w:pPr>
      <w:r w:rsidRPr="00431AD6">
        <w:rPr>
          <w:rFonts w:ascii="Garamond" w:hAnsi="Garamond"/>
          <w:sz w:val="22"/>
          <w:szCs w:val="22"/>
          <w:lang w:val="en-US"/>
        </w:rPr>
        <w:t xml:space="preserve">                                &lt;podis:customAttributes&gt;</w:t>
      </w:r>
    </w:p>
    <w:p w14:paraId="08EDF827" w14:textId="77777777" w:rsidR="00CE6209" w:rsidRPr="00431AD6" w:rsidRDefault="00CE6209" w:rsidP="00CE6209">
      <w:pPr>
        <w:spacing w:after="120"/>
        <w:ind w:left="567"/>
        <w:rPr>
          <w:rFonts w:ascii="Garamond" w:hAnsi="Garamond"/>
          <w:sz w:val="22"/>
          <w:szCs w:val="22"/>
          <w:lang w:val="en-US"/>
        </w:rPr>
      </w:pPr>
      <w:r w:rsidRPr="00431AD6">
        <w:rPr>
          <w:rFonts w:ascii="Garamond" w:hAnsi="Garamond"/>
          <w:sz w:val="22"/>
          <w:szCs w:val="22"/>
          <w:lang w:val="en-US"/>
        </w:rPr>
        <w:t xml:space="preserve">                                    &lt;podis:name&gt;assetOwnerKind&lt;/podis:name&gt;</w:t>
      </w:r>
    </w:p>
    <w:p w14:paraId="2C55A06C" w14:textId="77777777" w:rsidR="00CE6209" w:rsidRPr="00431AD6" w:rsidRDefault="00CE6209" w:rsidP="00CE6209">
      <w:pPr>
        <w:spacing w:after="120"/>
        <w:ind w:left="567"/>
        <w:rPr>
          <w:rFonts w:ascii="Garamond" w:hAnsi="Garamond"/>
          <w:sz w:val="22"/>
          <w:szCs w:val="22"/>
          <w:lang w:val="en-US"/>
        </w:rPr>
      </w:pPr>
      <w:r w:rsidRPr="00431AD6">
        <w:rPr>
          <w:rFonts w:ascii="Garamond" w:hAnsi="Garamond"/>
          <w:sz w:val="22"/>
          <w:szCs w:val="22"/>
          <w:lang w:val="en-US"/>
        </w:rPr>
        <w:t xml:space="preserve">                                    &lt;podis:value&gt;tso_or_gp&lt;/podis:value&gt;</w:t>
      </w:r>
    </w:p>
    <w:p w14:paraId="6BF8282C" w14:textId="77777777" w:rsidR="00CE6209" w:rsidRPr="00431AD6" w:rsidRDefault="00CE6209" w:rsidP="00CE6209">
      <w:pPr>
        <w:spacing w:after="120"/>
        <w:ind w:left="567"/>
        <w:rPr>
          <w:rFonts w:ascii="Garamond" w:hAnsi="Garamond"/>
          <w:sz w:val="22"/>
          <w:szCs w:val="22"/>
          <w:lang w:val="en-US"/>
        </w:rPr>
      </w:pPr>
      <w:r w:rsidRPr="00431AD6">
        <w:rPr>
          <w:rFonts w:ascii="Garamond" w:hAnsi="Garamond"/>
          <w:sz w:val="22"/>
          <w:szCs w:val="22"/>
          <w:lang w:val="en-US"/>
        </w:rPr>
        <w:t xml:space="preserve">                                &lt;/podis:customAttributes&gt;</w:t>
      </w:r>
    </w:p>
    <w:p w14:paraId="2A2A1121" w14:textId="77777777" w:rsidR="00CE6209" w:rsidRPr="00431AD6" w:rsidRDefault="00CE6209" w:rsidP="00CE6209">
      <w:pPr>
        <w:spacing w:after="120"/>
        <w:ind w:left="567"/>
        <w:rPr>
          <w:rFonts w:ascii="Garamond" w:hAnsi="Garamond"/>
          <w:sz w:val="22"/>
          <w:szCs w:val="22"/>
          <w:lang w:val="en-US"/>
        </w:rPr>
      </w:pPr>
      <w:r w:rsidRPr="00431AD6">
        <w:rPr>
          <w:rFonts w:ascii="Garamond" w:hAnsi="Garamond"/>
          <w:sz w:val="22"/>
          <w:szCs w:val="22"/>
          <w:lang w:val="en-US"/>
        </w:rPr>
        <w:t xml:space="preserve">                                &lt;podis:lifeCycleDate&gt;</w:t>
      </w:r>
    </w:p>
    <w:p w14:paraId="2ADFDD41" w14:textId="77777777" w:rsidR="00CE6209" w:rsidRPr="00431AD6" w:rsidRDefault="00CE6209" w:rsidP="00CE6209">
      <w:pPr>
        <w:spacing w:after="120"/>
        <w:ind w:left="567"/>
        <w:rPr>
          <w:rFonts w:ascii="Garamond" w:hAnsi="Garamond"/>
          <w:sz w:val="22"/>
          <w:szCs w:val="22"/>
          <w:lang w:val="en-US"/>
        </w:rPr>
      </w:pPr>
      <w:r w:rsidRPr="00431AD6">
        <w:rPr>
          <w:rFonts w:ascii="Garamond" w:hAnsi="Garamond"/>
          <w:sz w:val="22"/>
          <w:szCs w:val="22"/>
          <w:lang w:val="en-US"/>
        </w:rPr>
        <w:t xml:space="preserve">                                    &lt;podis:nextDateValid&gt;2025-04-19&lt;/podis:nextDateValid&gt;</w:t>
      </w:r>
    </w:p>
    <w:p w14:paraId="6937DE47" w14:textId="77777777" w:rsidR="00CE6209" w:rsidRPr="00431AD6" w:rsidRDefault="00CE6209" w:rsidP="00CE6209">
      <w:pPr>
        <w:spacing w:after="120"/>
        <w:ind w:left="567"/>
        <w:rPr>
          <w:rFonts w:ascii="Garamond" w:hAnsi="Garamond"/>
          <w:sz w:val="22"/>
          <w:szCs w:val="22"/>
          <w:lang w:val="en-US"/>
        </w:rPr>
      </w:pPr>
      <w:r w:rsidRPr="00431AD6">
        <w:rPr>
          <w:rFonts w:ascii="Garamond" w:hAnsi="Garamond"/>
          <w:sz w:val="22"/>
          <w:szCs w:val="22"/>
          <w:lang w:val="en-US"/>
        </w:rPr>
        <w:t xml:space="preserve">                                &lt;/podis:lifeCycleDate&gt;</w:t>
      </w:r>
    </w:p>
    <w:p w14:paraId="1F573791" w14:textId="77777777" w:rsidR="00CE6209" w:rsidRPr="00431AD6" w:rsidRDefault="00CE6209" w:rsidP="00CE6209">
      <w:pPr>
        <w:spacing w:after="120"/>
        <w:ind w:left="567"/>
        <w:rPr>
          <w:rFonts w:ascii="Garamond" w:hAnsi="Garamond"/>
          <w:sz w:val="22"/>
          <w:szCs w:val="22"/>
          <w:lang w:val="en-US"/>
        </w:rPr>
      </w:pPr>
      <w:r w:rsidRPr="00431AD6">
        <w:rPr>
          <w:rFonts w:ascii="Garamond" w:hAnsi="Garamond"/>
          <w:sz w:val="22"/>
          <w:szCs w:val="22"/>
          <w:lang w:val="en-US"/>
        </w:rPr>
        <w:t xml:space="preserve">                                &lt;podis:potentialTransformerInfo&gt;</w:t>
      </w:r>
    </w:p>
    <w:p w14:paraId="6FFB6D1F" w14:textId="77777777" w:rsidR="00CE6209" w:rsidRPr="00431AD6" w:rsidRDefault="00CE6209" w:rsidP="00CE6209">
      <w:pPr>
        <w:spacing w:after="120"/>
        <w:ind w:left="567"/>
        <w:rPr>
          <w:rFonts w:ascii="Garamond" w:hAnsi="Garamond"/>
          <w:sz w:val="22"/>
          <w:szCs w:val="22"/>
          <w:lang w:val="en-US"/>
        </w:rPr>
      </w:pPr>
      <w:r w:rsidRPr="00431AD6">
        <w:rPr>
          <w:rFonts w:ascii="Garamond" w:hAnsi="Garamond"/>
          <w:sz w:val="22"/>
          <w:szCs w:val="22"/>
          <w:lang w:val="en-US"/>
        </w:rPr>
        <w:t xml:space="preserve">                                    &lt;podis:measuring-tool-code&gt;449A7B5B54F30471E0530A01490A6E4F&lt;/podis:measuring-tool-code&gt;</w:t>
      </w:r>
    </w:p>
    <w:p w14:paraId="1B9627FD" w14:textId="77777777" w:rsidR="00CE6209" w:rsidRPr="00431AD6" w:rsidRDefault="00CE6209" w:rsidP="00CE6209">
      <w:pPr>
        <w:spacing w:after="120"/>
        <w:ind w:left="567"/>
        <w:rPr>
          <w:rFonts w:ascii="Garamond" w:hAnsi="Garamond"/>
          <w:sz w:val="22"/>
          <w:szCs w:val="22"/>
          <w:lang w:val="en-US"/>
        </w:rPr>
      </w:pPr>
      <w:r w:rsidRPr="00431AD6">
        <w:rPr>
          <w:rFonts w:ascii="Garamond" w:hAnsi="Garamond"/>
          <w:sz w:val="22"/>
          <w:szCs w:val="22"/>
          <w:lang w:val="en-US"/>
        </w:rPr>
        <w:t xml:space="preserve">                                    &lt;podis:modelNumber&gt;</w:t>
      </w:r>
      <w:r w:rsidRPr="00431AD6">
        <w:rPr>
          <w:rFonts w:ascii="Garamond" w:hAnsi="Garamond"/>
          <w:sz w:val="22"/>
          <w:szCs w:val="22"/>
        </w:rPr>
        <w:t>НОЛ</w:t>
      </w:r>
      <w:r w:rsidRPr="00431AD6">
        <w:rPr>
          <w:rFonts w:ascii="Garamond" w:hAnsi="Garamond"/>
          <w:sz w:val="22"/>
          <w:szCs w:val="22"/>
          <w:lang w:val="en-US"/>
        </w:rPr>
        <w:t>&lt;/podis:modelNumber&gt;</w:t>
      </w:r>
    </w:p>
    <w:p w14:paraId="6A88D3C6" w14:textId="77777777" w:rsidR="00CE6209" w:rsidRPr="00431AD6" w:rsidRDefault="00CE6209" w:rsidP="00CE6209">
      <w:pPr>
        <w:spacing w:after="120"/>
        <w:ind w:left="567"/>
        <w:rPr>
          <w:rFonts w:ascii="Garamond" w:hAnsi="Garamond"/>
          <w:sz w:val="22"/>
          <w:szCs w:val="22"/>
          <w:lang w:val="en-US"/>
        </w:rPr>
      </w:pPr>
      <w:r w:rsidRPr="00431AD6">
        <w:rPr>
          <w:rFonts w:ascii="Garamond" w:hAnsi="Garamond"/>
          <w:sz w:val="22"/>
          <w:szCs w:val="22"/>
          <w:lang w:val="en-US"/>
        </w:rPr>
        <w:t xml:space="preserve">                                    &lt;podis:customAttributes&gt;</w:t>
      </w:r>
    </w:p>
    <w:p w14:paraId="1E313BFB" w14:textId="77777777" w:rsidR="00CE6209" w:rsidRPr="00431AD6" w:rsidRDefault="00CE6209" w:rsidP="00CE6209">
      <w:pPr>
        <w:spacing w:after="120"/>
        <w:ind w:left="567"/>
        <w:rPr>
          <w:rFonts w:ascii="Garamond" w:hAnsi="Garamond"/>
          <w:sz w:val="22"/>
          <w:szCs w:val="22"/>
          <w:lang w:val="en-US"/>
        </w:rPr>
      </w:pPr>
      <w:r w:rsidRPr="00431AD6">
        <w:rPr>
          <w:rFonts w:ascii="Garamond" w:hAnsi="Garamond"/>
          <w:sz w:val="22"/>
          <w:szCs w:val="22"/>
          <w:lang w:val="en-US"/>
        </w:rPr>
        <w:t xml:space="preserve">                                        &lt;podis:name&gt;RatedLoad&lt;/podis:name&gt;</w:t>
      </w:r>
    </w:p>
    <w:p w14:paraId="61D6D8FC" w14:textId="77777777" w:rsidR="00CE6209" w:rsidRPr="00431AD6" w:rsidRDefault="00CE6209" w:rsidP="00CE6209">
      <w:pPr>
        <w:spacing w:after="120"/>
        <w:ind w:left="567"/>
        <w:rPr>
          <w:rFonts w:ascii="Garamond" w:hAnsi="Garamond"/>
          <w:sz w:val="22"/>
          <w:szCs w:val="22"/>
          <w:lang w:val="en-US"/>
        </w:rPr>
      </w:pPr>
      <w:r w:rsidRPr="00431AD6">
        <w:rPr>
          <w:rFonts w:ascii="Garamond" w:hAnsi="Garamond"/>
          <w:sz w:val="22"/>
          <w:szCs w:val="22"/>
          <w:lang w:val="en-US"/>
        </w:rPr>
        <w:t xml:space="preserve">                                        &lt;podis:value&gt;75&lt;/podis:value&gt;</w:t>
      </w:r>
    </w:p>
    <w:p w14:paraId="0A4F1C5C" w14:textId="77777777" w:rsidR="00CE6209" w:rsidRPr="00431AD6" w:rsidRDefault="00CE6209" w:rsidP="00CE6209">
      <w:pPr>
        <w:spacing w:after="120"/>
        <w:ind w:left="567"/>
        <w:rPr>
          <w:rFonts w:ascii="Garamond" w:hAnsi="Garamond"/>
          <w:sz w:val="22"/>
          <w:szCs w:val="22"/>
          <w:lang w:val="en-US"/>
        </w:rPr>
      </w:pPr>
      <w:r w:rsidRPr="00431AD6">
        <w:rPr>
          <w:rFonts w:ascii="Garamond" w:hAnsi="Garamond"/>
          <w:sz w:val="22"/>
          <w:szCs w:val="22"/>
          <w:lang w:val="en-US"/>
        </w:rPr>
        <w:t xml:space="preserve">                                    &lt;/podis:customAttributes&gt;</w:t>
      </w:r>
    </w:p>
    <w:p w14:paraId="17FF9C9D" w14:textId="77777777" w:rsidR="00CE6209" w:rsidRPr="00E750D0" w:rsidRDefault="00CE6209" w:rsidP="00CE6209">
      <w:pPr>
        <w:spacing w:after="120"/>
        <w:ind w:left="567"/>
        <w:rPr>
          <w:rFonts w:ascii="Garamond" w:hAnsi="Garamond"/>
          <w:sz w:val="22"/>
          <w:szCs w:val="22"/>
          <w:lang w:val="es-ES"/>
        </w:rPr>
      </w:pPr>
      <w:r w:rsidRPr="00431AD6">
        <w:rPr>
          <w:rFonts w:ascii="Garamond" w:hAnsi="Garamond"/>
          <w:sz w:val="22"/>
          <w:szCs w:val="22"/>
          <w:lang w:val="en-US"/>
        </w:rPr>
        <w:t xml:space="preserve">                                    </w:t>
      </w:r>
      <w:r w:rsidRPr="00E750D0">
        <w:rPr>
          <w:rFonts w:ascii="Garamond" w:hAnsi="Garamond"/>
          <w:sz w:val="22"/>
          <w:szCs w:val="22"/>
          <w:lang w:val="es-ES"/>
        </w:rPr>
        <w:t>&lt;podis:nominalRatio&gt;</w:t>
      </w:r>
    </w:p>
    <w:p w14:paraId="4427E670" w14:textId="77777777" w:rsidR="00CE6209" w:rsidRPr="00E750D0" w:rsidRDefault="00CE6209" w:rsidP="00CE6209">
      <w:pPr>
        <w:spacing w:after="120"/>
        <w:ind w:left="567"/>
        <w:rPr>
          <w:rFonts w:ascii="Garamond" w:hAnsi="Garamond"/>
          <w:sz w:val="22"/>
          <w:szCs w:val="22"/>
          <w:lang w:val="es-ES"/>
        </w:rPr>
      </w:pPr>
      <w:r w:rsidRPr="00E750D0">
        <w:rPr>
          <w:rFonts w:ascii="Garamond" w:hAnsi="Garamond"/>
          <w:sz w:val="22"/>
          <w:szCs w:val="22"/>
          <w:lang w:val="es-ES"/>
        </w:rPr>
        <w:t xml:space="preserve">                                        &lt;podis:denominator&gt;100&lt;/podis:denominator&gt;</w:t>
      </w:r>
    </w:p>
    <w:p w14:paraId="49C02164" w14:textId="77777777" w:rsidR="00CE6209" w:rsidRPr="00E750D0" w:rsidRDefault="00CE6209" w:rsidP="00CE6209">
      <w:pPr>
        <w:spacing w:after="120"/>
        <w:ind w:left="567"/>
        <w:rPr>
          <w:rFonts w:ascii="Garamond" w:hAnsi="Garamond"/>
          <w:sz w:val="22"/>
          <w:szCs w:val="22"/>
          <w:lang w:val="es-ES"/>
        </w:rPr>
      </w:pPr>
      <w:r w:rsidRPr="00E750D0">
        <w:rPr>
          <w:rFonts w:ascii="Garamond" w:hAnsi="Garamond"/>
          <w:sz w:val="22"/>
          <w:szCs w:val="22"/>
          <w:lang w:val="es-ES"/>
        </w:rPr>
        <w:t xml:space="preserve">                                        &lt;podis:numerator&gt;10000&lt;/podis:numerator&gt;</w:t>
      </w:r>
    </w:p>
    <w:p w14:paraId="6ACDD6D6" w14:textId="77777777" w:rsidR="00CE6209" w:rsidRPr="00E750D0" w:rsidRDefault="00CE6209" w:rsidP="00CE6209">
      <w:pPr>
        <w:spacing w:after="120"/>
        <w:ind w:left="567"/>
        <w:rPr>
          <w:rFonts w:ascii="Garamond" w:hAnsi="Garamond"/>
          <w:sz w:val="22"/>
          <w:szCs w:val="22"/>
          <w:lang w:val="es-ES"/>
        </w:rPr>
      </w:pPr>
      <w:r w:rsidRPr="00E750D0">
        <w:rPr>
          <w:rFonts w:ascii="Garamond" w:hAnsi="Garamond"/>
          <w:sz w:val="22"/>
          <w:szCs w:val="22"/>
          <w:lang w:val="es-ES"/>
        </w:rPr>
        <w:t xml:space="preserve">                                    &lt;/podis:nominalRatio&gt;</w:t>
      </w:r>
    </w:p>
    <w:p w14:paraId="75B7C3F4" w14:textId="77777777" w:rsidR="00CE6209" w:rsidRPr="00431AD6" w:rsidRDefault="00CE6209" w:rsidP="00CE6209">
      <w:pPr>
        <w:spacing w:after="120"/>
        <w:ind w:left="567"/>
        <w:rPr>
          <w:rFonts w:ascii="Garamond" w:hAnsi="Garamond"/>
          <w:sz w:val="22"/>
          <w:szCs w:val="22"/>
          <w:lang w:val="en-US"/>
        </w:rPr>
      </w:pPr>
      <w:r w:rsidRPr="00E750D0">
        <w:rPr>
          <w:rFonts w:ascii="Garamond" w:hAnsi="Garamond"/>
          <w:sz w:val="22"/>
          <w:szCs w:val="22"/>
          <w:lang w:val="es-ES"/>
        </w:rPr>
        <w:t xml:space="preserve">                                    </w:t>
      </w:r>
      <w:r w:rsidRPr="00431AD6">
        <w:rPr>
          <w:rFonts w:ascii="Garamond" w:hAnsi="Garamond"/>
          <w:sz w:val="22"/>
          <w:szCs w:val="22"/>
          <w:lang w:val="en-US"/>
        </w:rPr>
        <w:t>&lt;podis:accuracyClass&gt;0.5&lt;/podis:accuracyClass&gt;</w:t>
      </w:r>
    </w:p>
    <w:p w14:paraId="25E55D5B" w14:textId="77777777" w:rsidR="00CE6209" w:rsidRPr="00431AD6" w:rsidRDefault="00CE6209" w:rsidP="00CE6209">
      <w:pPr>
        <w:spacing w:after="120"/>
        <w:ind w:left="567"/>
        <w:rPr>
          <w:rFonts w:ascii="Garamond" w:hAnsi="Garamond"/>
          <w:sz w:val="22"/>
          <w:szCs w:val="22"/>
          <w:lang w:val="en-US"/>
        </w:rPr>
      </w:pPr>
      <w:r w:rsidRPr="00431AD6">
        <w:rPr>
          <w:rFonts w:ascii="Garamond" w:hAnsi="Garamond"/>
          <w:sz w:val="22"/>
          <w:szCs w:val="22"/>
          <w:lang w:val="en-US"/>
        </w:rPr>
        <w:t xml:space="preserve">                                    &lt;podis:regNumber&gt;66629-17&lt;/podis:regNumber&gt;</w:t>
      </w:r>
    </w:p>
    <w:p w14:paraId="6B3B2D52" w14:textId="77777777" w:rsidR="00CE6209" w:rsidRPr="00E750D0" w:rsidRDefault="00CE6209" w:rsidP="00CE6209">
      <w:pPr>
        <w:spacing w:after="120"/>
        <w:ind w:left="567"/>
        <w:rPr>
          <w:rFonts w:ascii="Garamond" w:hAnsi="Garamond"/>
          <w:sz w:val="22"/>
          <w:szCs w:val="22"/>
          <w:lang w:val="es-ES"/>
        </w:rPr>
      </w:pPr>
      <w:r w:rsidRPr="00431AD6">
        <w:rPr>
          <w:rFonts w:ascii="Garamond" w:hAnsi="Garamond"/>
          <w:sz w:val="22"/>
          <w:szCs w:val="22"/>
          <w:lang w:val="en-US"/>
        </w:rPr>
        <w:t xml:space="preserve">                                </w:t>
      </w:r>
      <w:r w:rsidRPr="00E750D0">
        <w:rPr>
          <w:rFonts w:ascii="Garamond" w:hAnsi="Garamond"/>
          <w:sz w:val="22"/>
          <w:szCs w:val="22"/>
          <w:lang w:val="es-ES"/>
        </w:rPr>
        <w:t>&lt;/podis:potentialTransformerInfo&gt;</w:t>
      </w:r>
    </w:p>
    <w:p w14:paraId="584684A5" w14:textId="77777777" w:rsidR="00CE6209" w:rsidRPr="00E750D0" w:rsidRDefault="00CE6209" w:rsidP="00CE6209">
      <w:pPr>
        <w:spacing w:after="120"/>
        <w:ind w:left="567"/>
        <w:rPr>
          <w:rFonts w:ascii="Garamond" w:hAnsi="Garamond"/>
          <w:sz w:val="22"/>
          <w:szCs w:val="22"/>
          <w:lang w:val="es-ES"/>
        </w:rPr>
      </w:pPr>
      <w:r w:rsidRPr="00E750D0">
        <w:rPr>
          <w:rFonts w:ascii="Garamond" w:hAnsi="Garamond"/>
          <w:sz w:val="22"/>
          <w:szCs w:val="22"/>
          <w:lang w:val="es-ES"/>
        </w:rPr>
        <w:t xml:space="preserve">                            &lt;/podis:potentialTransformer&gt;</w:t>
      </w:r>
    </w:p>
    <w:p w14:paraId="245B9079" w14:textId="77777777" w:rsidR="00CE6209" w:rsidRPr="00E750D0" w:rsidRDefault="00CE6209" w:rsidP="00CE6209">
      <w:pPr>
        <w:spacing w:after="120"/>
        <w:ind w:left="567"/>
        <w:rPr>
          <w:rFonts w:ascii="Garamond" w:hAnsi="Garamond"/>
          <w:sz w:val="22"/>
          <w:szCs w:val="22"/>
          <w:lang w:val="es-ES"/>
        </w:rPr>
      </w:pPr>
      <w:r w:rsidRPr="00E750D0">
        <w:rPr>
          <w:rFonts w:ascii="Garamond" w:hAnsi="Garamond"/>
          <w:sz w:val="22"/>
          <w:szCs w:val="22"/>
          <w:lang w:val="es-ES"/>
        </w:rPr>
        <w:t xml:space="preserve">                            &lt;podis:potentialTransformer&gt;</w:t>
      </w:r>
    </w:p>
    <w:p w14:paraId="67C24653" w14:textId="77777777" w:rsidR="00CE6209" w:rsidRPr="00431AD6" w:rsidRDefault="00CE6209" w:rsidP="00CE6209">
      <w:pPr>
        <w:spacing w:after="120"/>
        <w:ind w:left="567"/>
        <w:rPr>
          <w:rFonts w:ascii="Garamond" w:hAnsi="Garamond"/>
          <w:sz w:val="22"/>
          <w:szCs w:val="22"/>
          <w:lang w:val="en-US"/>
        </w:rPr>
      </w:pPr>
      <w:r w:rsidRPr="00E750D0">
        <w:rPr>
          <w:rFonts w:ascii="Garamond" w:hAnsi="Garamond"/>
          <w:sz w:val="22"/>
          <w:szCs w:val="22"/>
          <w:lang w:val="es-ES"/>
        </w:rPr>
        <w:t xml:space="preserve">                                </w:t>
      </w:r>
      <w:r w:rsidRPr="00431AD6">
        <w:rPr>
          <w:rFonts w:ascii="Garamond" w:hAnsi="Garamond"/>
          <w:sz w:val="22"/>
          <w:szCs w:val="22"/>
          <w:lang w:val="en-US"/>
        </w:rPr>
        <w:t>&lt;podis:serialNumber&gt;1614&lt;/podis:serialNumber&gt;</w:t>
      </w:r>
    </w:p>
    <w:p w14:paraId="2310CC39" w14:textId="77777777" w:rsidR="00CE6209" w:rsidRPr="00431AD6" w:rsidRDefault="00CE6209" w:rsidP="00CE6209">
      <w:pPr>
        <w:spacing w:after="120"/>
        <w:ind w:left="567"/>
        <w:rPr>
          <w:rFonts w:ascii="Garamond" w:hAnsi="Garamond"/>
          <w:sz w:val="22"/>
          <w:szCs w:val="22"/>
          <w:lang w:val="en-US"/>
        </w:rPr>
      </w:pPr>
      <w:r w:rsidRPr="00431AD6">
        <w:rPr>
          <w:rFonts w:ascii="Garamond" w:hAnsi="Garamond"/>
          <w:sz w:val="22"/>
          <w:szCs w:val="22"/>
          <w:lang w:val="en-US"/>
        </w:rPr>
        <w:t xml:space="preserve">                                &lt;podis:customAttributes&gt;</w:t>
      </w:r>
    </w:p>
    <w:p w14:paraId="56777A07" w14:textId="77777777" w:rsidR="00CE6209" w:rsidRPr="00431AD6" w:rsidRDefault="00CE6209" w:rsidP="00CE6209">
      <w:pPr>
        <w:spacing w:after="120"/>
        <w:ind w:left="567"/>
        <w:rPr>
          <w:rFonts w:ascii="Garamond" w:hAnsi="Garamond"/>
          <w:sz w:val="22"/>
          <w:szCs w:val="22"/>
          <w:lang w:val="en-US"/>
        </w:rPr>
      </w:pPr>
      <w:r w:rsidRPr="00431AD6">
        <w:rPr>
          <w:rFonts w:ascii="Garamond" w:hAnsi="Garamond"/>
          <w:sz w:val="22"/>
          <w:szCs w:val="22"/>
          <w:lang w:val="en-US"/>
        </w:rPr>
        <w:t xml:space="preserve">                                    &lt;podis:name&gt;assetOwnerKind&lt;/podis:name&gt;</w:t>
      </w:r>
    </w:p>
    <w:p w14:paraId="409137C8" w14:textId="77777777" w:rsidR="00CE6209" w:rsidRPr="00431AD6" w:rsidRDefault="00CE6209" w:rsidP="00CE6209">
      <w:pPr>
        <w:spacing w:after="120"/>
        <w:ind w:left="567"/>
        <w:rPr>
          <w:rFonts w:ascii="Garamond" w:hAnsi="Garamond"/>
          <w:sz w:val="22"/>
          <w:szCs w:val="22"/>
          <w:lang w:val="en-US"/>
        </w:rPr>
      </w:pPr>
      <w:r w:rsidRPr="00431AD6">
        <w:rPr>
          <w:rFonts w:ascii="Garamond" w:hAnsi="Garamond"/>
          <w:sz w:val="22"/>
          <w:szCs w:val="22"/>
          <w:lang w:val="en-US"/>
        </w:rPr>
        <w:t xml:space="preserve">                                    &lt;podis:value&gt;tso_or_gp&lt;/podis:value&gt;</w:t>
      </w:r>
    </w:p>
    <w:p w14:paraId="1E15DA4F" w14:textId="77777777" w:rsidR="00CE6209" w:rsidRPr="00431AD6" w:rsidRDefault="00CE6209" w:rsidP="00CE6209">
      <w:pPr>
        <w:spacing w:after="120"/>
        <w:ind w:left="567"/>
        <w:rPr>
          <w:rFonts w:ascii="Garamond" w:hAnsi="Garamond"/>
          <w:sz w:val="22"/>
          <w:szCs w:val="22"/>
          <w:lang w:val="en-US"/>
        </w:rPr>
      </w:pPr>
      <w:r w:rsidRPr="00431AD6">
        <w:rPr>
          <w:rFonts w:ascii="Garamond" w:hAnsi="Garamond"/>
          <w:sz w:val="22"/>
          <w:szCs w:val="22"/>
          <w:lang w:val="en-US"/>
        </w:rPr>
        <w:t xml:space="preserve">                                &lt;/podis:customAttributes&gt;</w:t>
      </w:r>
    </w:p>
    <w:p w14:paraId="4764DCB2" w14:textId="77777777" w:rsidR="00CE6209" w:rsidRPr="00431AD6" w:rsidRDefault="00CE6209" w:rsidP="00CE6209">
      <w:pPr>
        <w:spacing w:after="120"/>
        <w:ind w:left="567"/>
        <w:rPr>
          <w:rFonts w:ascii="Garamond" w:hAnsi="Garamond"/>
          <w:sz w:val="22"/>
          <w:szCs w:val="22"/>
          <w:lang w:val="en-US"/>
        </w:rPr>
      </w:pPr>
      <w:r w:rsidRPr="00431AD6">
        <w:rPr>
          <w:rFonts w:ascii="Garamond" w:hAnsi="Garamond"/>
          <w:sz w:val="22"/>
          <w:szCs w:val="22"/>
          <w:lang w:val="en-US"/>
        </w:rPr>
        <w:t xml:space="preserve">                                &lt;podis:lifeCycleDate&gt;</w:t>
      </w:r>
    </w:p>
    <w:p w14:paraId="037363E5" w14:textId="77777777" w:rsidR="00CE6209" w:rsidRPr="00431AD6" w:rsidRDefault="00CE6209" w:rsidP="00CE6209">
      <w:pPr>
        <w:spacing w:after="120"/>
        <w:ind w:left="567"/>
        <w:rPr>
          <w:rFonts w:ascii="Garamond" w:hAnsi="Garamond"/>
          <w:sz w:val="22"/>
          <w:szCs w:val="22"/>
          <w:lang w:val="en-US"/>
        </w:rPr>
      </w:pPr>
      <w:r w:rsidRPr="00431AD6">
        <w:rPr>
          <w:rFonts w:ascii="Garamond" w:hAnsi="Garamond"/>
          <w:sz w:val="22"/>
          <w:szCs w:val="22"/>
          <w:lang w:val="en-US"/>
        </w:rPr>
        <w:lastRenderedPageBreak/>
        <w:t xml:space="preserve">                                    &lt;podis:nextDateValid&gt;2025-04-19&lt;/podis:nextDateValid&gt;</w:t>
      </w:r>
    </w:p>
    <w:p w14:paraId="7CCC09C0" w14:textId="77777777" w:rsidR="00CE6209" w:rsidRPr="00431AD6" w:rsidRDefault="00CE6209" w:rsidP="00CE6209">
      <w:pPr>
        <w:spacing w:after="120"/>
        <w:ind w:left="567"/>
        <w:rPr>
          <w:rFonts w:ascii="Garamond" w:hAnsi="Garamond"/>
          <w:sz w:val="22"/>
          <w:szCs w:val="22"/>
          <w:lang w:val="en-US"/>
        </w:rPr>
      </w:pPr>
      <w:r w:rsidRPr="00431AD6">
        <w:rPr>
          <w:rFonts w:ascii="Garamond" w:hAnsi="Garamond"/>
          <w:sz w:val="22"/>
          <w:szCs w:val="22"/>
          <w:lang w:val="en-US"/>
        </w:rPr>
        <w:t xml:space="preserve">                                &lt;/podis:lifeCycleDate&gt;</w:t>
      </w:r>
    </w:p>
    <w:p w14:paraId="3A9F087B" w14:textId="77777777" w:rsidR="00CE6209" w:rsidRPr="00431AD6" w:rsidRDefault="00CE6209" w:rsidP="00CE6209">
      <w:pPr>
        <w:spacing w:after="120"/>
        <w:ind w:left="567"/>
        <w:rPr>
          <w:rFonts w:ascii="Garamond" w:hAnsi="Garamond"/>
          <w:sz w:val="22"/>
          <w:szCs w:val="22"/>
          <w:lang w:val="en-US"/>
        </w:rPr>
      </w:pPr>
      <w:r w:rsidRPr="00431AD6">
        <w:rPr>
          <w:rFonts w:ascii="Garamond" w:hAnsi="Garamond"/>
          <w:sz w:val="22"/>
          <w:szCs w:val="22"/>
          <w:lang w:val="en-US"/>
        </w:rPr>
        <w:t xml:space="preserve">                                &lt;podis:potentialTransformerInfo&gt;</w:t>
      </w:r>
    </w:p>
    <w:p w14:paraId="021528BC" w14:textId="77777777" w:rsidR="00CE6209" w:rsidRPr="00431AD6" w:rsidRDefault="00CE6209" w:rsidP="00CE6209">
      <w:pPr>
        <w:spacing w:after="120"/>
        <w:ind w:left="567"/>
        <w:rPr>
          <w:rFonts w:ascii="Garamond" w:hAnsi="Garamond"/>
          <w:sz w:val="22"/>
          <w:szCs w:val="22"/>
          <w:lang w:val="en-US"/>
        </w:rPr>
      </w:pPr>
      <w:r w:rsidRPr="00431AD6">
        <w:rPr>
          <w:rFonts w:ascii="Garamond" w:hAnsi="Garamond"/>
          <w:sz w:val="22"/>
          <w:szCs w:val="22"/>
          <w:lang w:val="en-US"/>
        </w:rPr>
        <w:t xml:space="preserve">                                    &lt;podis:measuring-tool-code&gt;449A7B5B54F30471E0530A01490A6E4F&lt;/podis:measuring-tool-code&gt;</w:t>
      </w:r>
    </w:p>
    <w:p w14:paraId="00C863CE" w14:textId="77777777" w:rsidR="00CE6209" w:rsidRPr="00431AD6" w:rsidRDefault="00CE6209" w:rsidP="00CE6209">
      <w:pPr>
        <w:spacing w:after="120"/>
        <w:ind w:left="567"/>
        <w:rPr>
          <w:rFonts w:ascii="Garamond" w:hAnsi="Garamond"/>
          <w:sz w:val="22"/>
          <w:szCs w:val="22"/>
          <w:lang w:val="en-US"/>
        </w:rPr>
      </w:pPr>
      <w:r w:rsidRPr="00431AD6">
        <w:rPr>
          <w:rFonts w:ascii="Garamond" w:hAnsi="Garamond"/>
          <w:sz w:val="22"/>
          <w:szCs w:val="22"/>
          <w:lang w:val="en-US"/>
        </w:rPr>
        <w:t xml:space="preserve">                                    &lt;podis:modelNumber&gt;</w:t>
      </w:r>
      <w:r w:rsidRPr="00431AD6">
        <w:rPr>
          <w:rFonts w:ascii="Garamond" w:hAnsi="Garamond"/>
          <w:sz w:val="22"/>
          <w:szCs w:val="22"/>
        </w:rPr>
        <w:t>НОЛ</w:t>
      </w:r>
      <w:r w:rsidRPr="00431AD6">
        <w:rPr>
          <w:rFonts w:ascii="Garamond" w:hAnsi="Garamond"/>
          <w:sz w:val="22"/>
          <w:szCs w:val="22"/>
          <w:lang w:val="en-US"/>
        </w:rPr>
        <w:t>&lt;/podis:modelNumber&gt;</w:t>
      </w:r>
    </w:p>
    <w:p w14:paraId="22A98F76" w14:textId="77777777" w:rsidR="00CE6209" w:rsidRPr="00431AD6" w:rsidRDefault="00CE6209" w:rsidP="00CE6209">
      <w:pPr>
        <w:spacing w:after="120"/>
        <w:ind w:left="567"/>
        <w:rPr>
          <w:rFonts w:ascii="Garamond" w:hAnsi="Garamond"/>
          <w:sz w:val="22"/>
          <w:szCs w:val="22"/>
          <w:lang w:val="en-US"/>
        </w:rPr>
      </w:pPr>
      <w:r w:rsidRPr="00431AD6">
        <w:rPr>
          <w:rFonts w:ascii="Garamond" w:hAnsi="Garamond"/>
          <w:sz w:val="22"/>
          <w:szCs w:val="22"/>
          <w:lang w:val="en-US"/>
        </w:rPr>
        <w:t xml:space="preserve">                                    &lt;podis:customAttributes&gt;</w:t>
      </w:r>
    </w:p>
    <w:p w14:paraId="5DF16020" w14:textId="77777777" w:rsidR="00CE6209" w:rsidRPr="00431AD6" w:rsidRDefault="00CE6209" w:rsidP="00CE6209">
      <w:pPr>
        <w:spacing w:after="120"/>
        <w:ind w:left="567"/>
        <w:rPr>
          <w:rFonts w:ascii="Garamond" w:hAnsi="Garamond"/>
          <w:sz w:val="22"/>
          <w:szCs w:val="22"/>
          <w:lang w:val="en-US"/>
        </w:rPr>
      </w:pPr>
      <w:r w:rsidRPr="00431AD6">
        <w:rPr>
          <w:rFonts w:ascii="Garamond" w:hAnsi="Garamond"/>
          <w:sz w:val="22"/>
          <w:szCs w:val="22"/>
          <w:lang w:val="en-US"/>
        </w:rPr>
        <w:t xml:space="preserve">                                        &lt;podis:name&gt;RatedLoad&lt;/podis:name&gt;</w:t>
      </w:r>
    </w:p>
    <w:p w14:paraId="10019683" w14:textId="77777777" w:rsidR="00CE6209" w:rsidRPr="00431AD6" w:rsidRDefault="00CE6209" w:rsidP="00CE6209">
      <w:pPr>
        <w:spacing w:after="120"/>
        <w:ind w:left="567"/>
        <w:rPr>
          <w:rFonts w:ascii="Garamond" w:hAnsi="Garamond"/>
          <w:sz w:val="22"/>
          <w:szCs w:val="22"/>
          <w:lang w:val="en-US"/>
        </w:rPr>
      </w:pPr>
      <w:r w:rsidRPr="00431AD6">
        <w:rPr>
          <w:rFonts w:ascii="Garamond" w:hAnsi="Garamond"/>
          <w:sz w:val="22"/>
          <w:szCs w:val="22"/>
          <w:lang w:val="en-US"/>
        </w:rPr>
        <w:t xml:space="preserve">                                        &lt;podis:value&gt;75&lt;/podis:value&gt;</w:t>
      </w:r>
    </w:p>
    <w:p w14:paraId="27F7EA85" w14:textId="77777777" w:rsidR="00CE6209" w:rsidRPr="00431AD6" w:rsidRDefault="00CE6209" w:rsidP="00CE6209">
      <w:pPr>
        <w:spacing w:after="120"/>
        <w:ind w:left="567"/>
        <w:rPr>
          <w:rFonts w:ascii="Garamond" w:hAnsi="Garamond"/>
          <w:sz w:val="22"/>
          <w:szCs w:val="22"/>
          <w:lang w:val="en-US"/>
        </w:rPr>
      </w:pPr>
      <w:r w:rsidRPr="00431AD6">
        <w:rPr>
          <w:rFonts w:ascii="Garamond" w:hAnsi="Garamond"/>
          <w:sz w:val="22"/>
          <w:szCs w:val="22"/>
          <w:lang w:val="en-US"/>
        </w:rPr>
        <w:t xml:space="preserve">                                    &lt;/podis:customAttributes&gt;</w:t>
      </w:r>
    </w:p>
    <w:p w14:paraId="6CECBC5E" w14:textId="77777777" w:rsidR="00CE6209" w:rsidRPr="00E750D0" w:rsidRDefault="00CE6209" w:rsidP="00CE6209">
      <w:pPr>
        <w:spacing w:after="120"/>
        <w:ind w:left="567"/>
        <w:rPr>
          <w:rFonts w:ascii="Garamond" w:hAnsi="Garamond"/>
          <w:sz w:val="22"/>
          <w:szCs w:val="22"/>
          <w:lang w:val="es-ES"/>
        </w:rPr>
      </w:pPr>
      <w:r w:rsidRPr="00431AD6">
        <w:rPr>
          <w:rFonts w:ascii="Garamond" w:hAnsi="Garamond"/>
          <w:sz w:val="22"/>
          <w:szCs w:val="22"/>
          <w:lang w:val="en-US"/>
        </w:rPr>
        <w:t xml:space="preserve">                                    </w:t>
      </w:r>
      <w:r w:rsidRPr="00E750D0">
        <w:rPr>
          <w:rFonts w:ascii="Garamond" w:hAnsi="Garamond"/>
          <w:sz w:val="22"/>
          <w:szCs w:val="22"/>
          <w:lang w:val="es-ES"/>
        </w:rPr>
        <w:t>&lt;podis:nominalRatio&gt;</w:t>
      </w:r>
    </w:p>
    <w:p w14:paraId="51034A00" w14:textId="77777777" w:rsidR="00CE6209" w:rsidRPr="00E750D0" w:rsidRDefault="00CE6209" w:rsidP="00CE6209">
      <w:pPr>
        <w:spacing w:after="120"/>
        <w:ind w:left="567"/>
        <w:rPr>
          <w:rFonts w:ascii="Garamond" w:hAnsi="Garamond"/>
          <w:sz w:val="22"/>
          <w:szCs w:val="22"/>
          <w:lang w:val="es-ES"/>
        </w:rPr>
      </w:pPr>
      <w:r w:rsidRPr="00E750D0">
        <w:rPr>
          <w:rFonts w:ascii="Garamond" w:hAnsi="Garamond"/>
          <w:sz w:val="22"/>
          <w:szCs w:val="22"/>
          <w:lang w:val="es-ES"/>
        </w:rPr>
        <w:t xml:space="preserve">                                        &lt;podis:denominator&gt;100&lt;/podis:denominator&gt;</w:t>
      </w:r>
    </w:p>
    <w:p w14:paraId="063AB28D" w14:textId="77777777" w:rsidR="00CE6209" w:rsidRPr="00E750D0" w:rsidRDefault="00CE6209" w:rsidP="00CE6209">
      <w:pPr>
        <w:spacing w:after="120"/>
        <w:ind w:left="567"/>
        <w:rPr>
          <w:rFonts w:ascii="Garamond" w:hAnsi="Garamond"/>
          <w:sz w:val="22"/>
          <w:szCs w:val="22"/>
          <w:lang w:val="es-ES"/>
        </w:rPr>
      </w:pPr>
      <w:r w:rsidRPr="00E750D0">
        <w:rPr>
          <w:rFonts w:ascii="Garamond" w:hAnsi="Garamond"/>
          <w:sz w:val="22"/>
          <w:szCs w:val="22"/>
          <w:lang w:val="es-ES"/>
        </w:rPr>
        <w:t xml:space="preserve">                                        &lt;podis:numerator&gt;10000&lt;/podis:numerator&gt;</w:t>
      </w:r>
    </w:p>
    <w:p w14:paraId="14E088D1" w14:textId="77777777" w:rsidR="00CE6209" w:rsidRPr="00E750D0" w:rsidRDefault="00CE6209" w:rsidP="00CE6209">
      <w:pPr>
        <w:spacing w:after="120"/>
        <w:ind w:left="567"/>
        <w:rPr>
          <w:rFonts w:ascii="Garamond" w:hAnsi="Garamond"/>
          <w:sz w:val="22"/>
          <w:szCs w:val="22"/>
          <w:lang w:val="es-ES"/>
        </w:rPr>
      </w:pPr>
      <w:r w:rsidRPr="00E750D0">
        <w:rPr>
          <w:rFonts w:ascii="Garamond" w:hAnsi="Garamond"/>
          <w:sz w:val="22"/>
          <w:szCs w:val="22"/>
          <w:lang w:val="es-ES"/>
        </w:rPr>
        <w:t xml:space="preserve">                                    &lt;/podis:nominalRatio&gt;</w:t>
      </w:r>
    </w:p>
    <w:p w14:paraId="04ED793E" w14:textId="77777777" w:rsidR="00CE6209" w:rsidRPr="00431AD6" w:rsidRDefault="00CE6209" w:rsidP="00CE6209">
      <w:pPr>
        <w:spacing w:after="120"/>
        <w:ind w:left="567"/>
        <w:rPr>
          <w:rFonts w:ascii="Garamond" w:hAnsi="Garamond"/>
          <w:sz w:val="22"/>
          <w:szCs w:val="22"/>
          <w:lang w:val="en-US"/>
        </w:rPr>
      </w:pPr>
      <w:r w:rsidRPr="00E750D0">
        <w:rPr>
          <w:rFonts w:ascii="Garamond" w:hAnsi="Garamond"/>
          <w:sz w:val="22"/>
          <w:szCs w:val="22"/>
          <w:lang w:val="es-ES"/>
        </w:rPr>
        <w:t xml:space="preserve">                                    </w:t>
      </w:r>
      <w:r w:rsidRPr="00431AD6">
        <w:rPr>
          <w:rFonts w:ascii="Garamond" w:hAnsi="Garamond"/>
          <w:sz w:val="22"/>
          <w:szCs w:val="22"/>
          <w:lang w:val="en-US"/>
        </w:rPr>
        <w:t>&lt;podis:accuracyClass&gt;0.5&lt;/podis:accuracyClass&gt;</w:t>
      </w:r>
    </w:p>
    <w:p w14:paraId="255105A9" w14:textId="77777777" w:rsidR="00CE6209" w:rsidRPr="00431AD6" w:rsidRDefault="00CE6209" w:rsidP="00CE6209">
      <w:pPr>
        <w:spacing w:after="120"/>
        <w:ind w:left="567"/>
        <w:rPr>
          <w:rFonts w:ascii="Garamond" w:hAnsi="Garamond"/>
          <w:sz w:val="22"/>
          <w:szCs w:val="22"/>
          <w:lang w:val="en-US"/>
        </w:rPr>
      </w:pPr>
      <w:r w:rsidRPr="00431AD6">
        <w:rPr>
          <w:rFonts w:ascii="Garamond" w:hAnsi="Garamond"/>
          <w:sz w:val="22"/>
          <w:szCs w:val="22"/>
          <w:lang w:val="en-US"/>
        </w:rPr>
        <w:t xml:space="preserve">                                    &lt;podis:regNumber&gt;66629-17&lt;/podis:regNumber&gt;</w:t>
      </w:r>
    </w:p>
    <w:p w14:paraId="3052D879" w14:textId="77777777" w:rsidR="00CE6209" w:rsidRPr="00E750D0" w:rsidRDefault="00CE6209" w:rsidP="00CE6209">
      <w:pPr>
        <w:spacing w:after="120"/>
        <w:ind w:left="567"/>
        <w:rPr>
          <w:rFonts w:ascii="Garamond" w:hAnsi="Garamond"/>
          <w:sz w:val="22"/>
          <w:szCs w:val="22"/>
          <w:lang w:val="es-ES"/>
        </w:rPr>
      </w:pPr>
      <w:r w:rsidRPr="00431AD6">
        <w:rPr>
          <w:rFonts w:ascii="Garamond" w:hAnsi="Garamond"/>
          <w:sz w:val="22"/>
          <w:szCs w:val="22"/>
          <w:lang w:val="en-US"/>
        </w:rPr>
        <w:t xml:space="preserve">                                </w:t>
      </w:r>
      <w:r w:rsidRPr="00E750D0">
        <w:rPr>
          <w:rFonts w:ascii="Garamond" w:hAnsi="Garamond"/>
          <w:sz w:val="22"/>
          <w:szCs w:val="22"/>
          <w:lang w:val="es-ES"/>
        </w:rPr>
        <w:t>&lt;/podis:potentialTransformerInfo&gt;</w:t>
      </w:r>
    </w:p>
    <w:p w14:paraId="754756A5" w14:textId="77777777" w:rsidR="00CE6209" w:rsidRPr="00E750D0" w:rsidRDefault="00CE6209" w:rsidP="00CE6209">
      <w:pPr>
        <w:spacing w:after="120"/>
        <w:ind w:left="567"/>
        <w:rPr>
          <w:rFonts w:ascii="Garamond" w:hAnsi="Garamond"/>
          <w:sz w:val="22"/>
          <w:szCs w:val="22"/>
          <w:lang w:val="es-ES"/>
        </w:rPr>
      </w:pPr>
      <w:r w:rsidRPr="00E750D0">
        <w:rPr>
          <w:rFonts w:ascii="Garamond" w:hAnsi="Garamond"/>
          <w:sz w:val="22"/>
          <w:szCs w:val="22"/>
          <w:lang w:val="es-ES"/>
        </w:rPr>
        <w:t xml:space="preserve">                            &lt;/podis:potentialTransformer&gt;</w:t>
      </w:r>
    </w:p>
    <w:p w14:paraId="4CD3FD17" w14:textId="77777777" w:rsidR="00CE6209" w:rsidRPr="00E750D0" w:rsidRDefault="00CE6209" w:rsidP="00CE6209">
      <w:pPr>
        <w:spacing w:after="120"/>
        <w:ind w:left="567"/>
        <w:rPr>
          <w:rFonts w:ascii="Garamond" w:hAnsi="Garamond"/>
          <w:sz w:val="22"/>
          <w:szCs w:val="22"/>
          <w:lang w:val="es-ES"/>
        </w:rPr>
      </w:pPr>
      <w:r w:rsidRPr="00E750D0">
        <w:rPr>
          <w:rFonts w:ascii="Garamond" w:hAnsi="Garamond"/>
          <w:sz w:val="22"/>
          <w:szCs w:val="22"/>
          <w:lang w:val="es-ES"/>
        </w:rPr>
        <w:t xml:space="preserve">                            &lt;podis:potentialTransformer&gt;</w:t>
      </w:r>
    </w:p>
    <w:p w14:paraId="7BA12CA6" w14:textId="77777777" w:rsidR="00CE6209" w:rsidRPr="00431AD6" w:rsidRDefault="00CE6209" w:rsidP="00CE6209">
      <w:pPr>
        <w:spacing w:after="120"/>
        <w:ind w:left="567"/>
        <w:rPr>
          <w:rFonts w:ascii="Garamond" w:hAnsi="Garamond"/>
          <w:sz w:val="22"/>
          <w:szCs w:val="22"/>
          <w:lang w:val="en-US"/>
        </w:rPr>
      </w:pPr>
      <w:r w:rsidRPr="00E750D0">
        <w:rPr>
          <w:rFonts w:ascii="Garamond" w:hAnsi="Garamond"/>
          <w:sz w:val="22"/>
          <w:szCs w:val="22"/>
          <w:lang w:val="es-ES"/>
        </w:rPr>
        <w:t xml:space="preserve">                                </w:t>
      </w:r>
      <w:r w:rsidRPr="00431AD6">
        <w:rPr>
          <w:rFonts w:ascii="Garamond" w:hAnsi="Garamond"/>
          <w:sz w:val="22"/>
          <w:szCs w:val="22"/>
          <w:lang w:val="en-US"/>
        </w:rPr>
        <w:t>&lt;podis:serialNumber&gt;1670&lt;/podis:serialNumber&gt;</w:t>
      </w:r>
    </w:p>
    <w:p w14:paraId="713ADF94" w14:textId="77777777" w:rsidR="00CE6209" w:rsidRPr="00431AD6" w:rsidRDefault="00CE6209" w:rsidP="00CE6209">
      <w:pPr>
        <w:spacing w:after="120"/>
        <w:ind w:left="567"/>
        <w:rPr>
          <w:rFonts w:ascii="Garamond" w:hAnsi="Garamond"/>
          <w:sz w:val="22"/>
          <w:szCs w:val="22"/>
          <w:lang w:val="en-US"/>
        </w:rPr>
      </w:pPr>
      <w:r w:rsidRPr="00431AD6">
        <w:rPr>
          <w:rFonts w:ascii="Garamond" w:hAnsi="Garamond"/>
          <w:sz w:val="22"/>
          <w:szCs w:val="22"/>
          <w:lang w:val="en-US"/>
        </w:rPr>
        <w:t xml:space="preserve">                                &lt;podis:customAttributes&gt;</w:t>
      </w:r>
    </w:p>
    <w:p w14:paraId="7AA01398" w14:textId="77777777" w:rsidR="00CE6209" w:rsidRPr="00431AD6" w:rsidRDefault="00CE6209" w:rsidP="00CE6209">
      <w:pPr>
        <w:spacing w:after="120"/>
        <w:ind w:left="567"/>
        <w:rPr>
          <w:rFonts w:ascii="Garamond" w:hAnsi="Garamond"/>
          <w:sz w:val="22"/>
          <w:szCs w:val="22"/>
          <w:lang w:val="en-US"/>
        </w:rPr>
      </w:pPr>
      <w:r w:rsidRPr="00431AD6">
        <w:rPr>
          <w:rFonts w:ascii="Garamond" w:hAnsi="Garamond"/>
          <w:sz w:val="22"/>
          <w:szCs w:val="22"/>
          <w:lang w:val="en-US"/>
        </w:rPr>
        <w:t xml:space="preserve">                                    &lt;podis:name&gt;assetOwnerKind&lt;/podis:name&gt;</w:t>
      </w:r>
    </w:p>
    <w:p w14:paraId="6A1C9E89" w14:textId="77777777" w:rsidR="00CE6209" w:rsidRPr="00431AD6" w:rsidRDefault="00CE6209" w:rsidP="00CE6209">
      <w:pPr>
        <w:spacing w:after="120"/>
        <w:ind w:left="567"/>
        <w:rPr>
          <w:rFonts w:ascii="Garamond" w:hAnsi="Garamond"/>
          <w:sz w:val="22"/>
          <w:szCs w:val="22"/>
          <w:lang w:val="en-US"/>
        </w:rPr>
      </w:pPr>
      <w:r w:rsidRPr="00431AD6">
        <w:rPr>
          <w:rFonts w:ascii="Garamond" w:hAnsi="Garamond"/>
          <w:sz w:val="22"/>
          <w:szCs w:val="22"/>
          <w:lang w:val="en-US"/>
        </w:rPr>
        <w:t xml:space="preserve">                                    &lt;podis:value&gt;tso_or_gp&lt;/podis:value&gt;</w:t>
      </w:r>
    </w:p>
    <w:p w14:paraId="66FAD265" w14:textId="77777777" w:rsidR="00CE6209" w:rsidRPr="00431AD6" w:rsidRDefault="00CE6209" w:rsidP="00CE6209">
      <w:pPr>
        <w:spacing w:after="120"/>
        <w:ind w:left="567"/>
        <w:rPr>
          <w:rFonts w:ascii="Garamond" w:hAnsi="Garamond"/>
          <w:sz w:val="22"/>
          <w:szCs w:val="22"/>
          <w:lang w:val="en-US"/>
        </w:rPr>
      </w:pPr>
      <w:r w:rsidRPr="00431AD6">
        <w:rPr>
          <w:rFonts w:ascii="Garamond" w:hAnsi="Garamond"/>
          <w:sz w:val="22"/>
          <w:szCs w:val="22"/>
          <w:lang w:val="en-US"/>
        </w:rPr>
        <w:t xml:space="preserve">                                &lt;/podis:customAttributes&gt;</w:t>
      </w:r>
    </w:p>
    <w:p w14:paraId="3F666AB9" w14:textId="77777777" w:rsidR="00CE6209" w:rsidRPr="00431AD6" w:rsidRDefault="00CE6209" w:rsidP="00CE6209">
      <w:pPr>
        <w:spacing w:after="120"/>
        <w:ind w:left="567"/>
        <w:rPr>
          <w:rFonts w:ascii="Garamond" w:hAnsi="Garamond"/>
          <w:sz w:val="22"/>
          <w:szCs w:val="22"/>
          <w:lang w:val="en-US"/>
        </w:rPr>
      </w:pPr>
      <w:r w:rsidRPr="00431AD6">
        <w:rPr>
          <w:rFonts w:ascii="Garamond" w:hAnsi="Garamond"/>
          <w:sz w:val="22"/>
          <w:szCs w:val="22"/>
          <w:lang w:val="en-US"/>
        </w:rPr>
        <w:t xml:space="preserve">                                &lt;podis:lifeCycleDate&gt;</w:t>
      </w:r>
    </w:p>
    <w:p w14:paraId="5719029D" w14:textId="77777777" w:rsidR="00CE6209" w:rsidRPr="00431AD6" w:rsidRDefault="00CE6209" w:rsidP="00CE6209">
      <w:pPr>
        <w:spacing w:after="120"/>
        <w:ind w:left="567"/>
        <w:rPr>
          <w:rFonts w:ascii="Garamond" w:hAnsi="Garamond"/>
          <w:sz w:val="22"/>
          <w:szCs w:val="22"/>
          <w:lang w:val="en-US"/>
        </w:rPr>
      </w:pPr>
      <w:r w:rsidRPr="00431AD6">
        <w:rPr>
          <w:rFonts w:ascii="Garamond" w:hAnsi="Garamond"/>
          <w:sz w:val="22"/>
          <w:szCs w:val="22"/>
          <w:lang w:val="en-US"/>
        </w:rPr>
        <w:t xml:space="preserve">                                    &lt;podis:nextDateValid&gt;2025-04-19&lt;/podis:nextDateValid&gt;</w:t>
      </w:r>
    </w:p>
    <w:p w14:paraId="75861ED8" w14:textId="77777777" w:rsidR="00CE6209" w:rsidRPr="00431AD6" w:rsidRDefault="00CE6209" w:rsidP="00CE6209">
      <w:pPr>
        <w:spacing w:after="120"/>
        <w:ind w:left="567"/>
        <w:rPr>
          <w:rFonts w:ascii="Garamond" w:hAnsi="Garamond"/>
          <w:sz w:val="22"/>
          <w:szCs w:val="22"/>
          <w:lang w:val="en-US"/>
        </w:rPr>
      </w:pPr>
      <w:r w:rsidRPr="00431AD6">
        <w:rPr>
          <w:rFonts w:ascii="Garamond" w:hAnsi="Garamond"/>
          <w:sz w:val="22"/>
          <w:szCs w:val="22"/>
          <w:lang w:val="en-US"/>
        </w:rPr>
        <w:t xml:space="preserve">                                &lt;/podis:lifeCycleDate&gt;</w:t>
      </w:r>
    </w:p>
    <w:p w14:paraId="355A2E32" w14:textId="77777777" w:rsidR="00CE6209" w:rsidRPr="00431AD6" w:rsidRDefault="00CE6209" w:rsidP="00CE6209">
      <w:pPr>
        <w:spacing w:after="120"/>
        <w:ind w:left="567"/>
        <w:rPr>
          <w:rFonts w:ascii="Garamond" w:hAnsi="Garamond"/>
          <w:sz w:val="22"/>
          <w:szCs w:val="22"/>
          <w:lang w:val="en-US"/>
        </w:rPr>
      </w:pPr>
      <w:r w:rsidRPr="00431AD6">
        <w:rPr>
          <w:rFonts w:ascii="Garamond" w:hAnsi="Garamond"/>
          <w:sz w:val="22"/>
          <w:szCs w:val="22"/>
          <w:lang w:val="en-US"/>
        </w:rPr>
        <w:t xml:space="preserve">                                &lt;podis:potentialTransformerInfo&gt;</w:t>
      </w:r>
    </w:p>
    <w:p w14:paraId="5FAAF307" w14:textId="77777777" w:rsidR="00CE6209" w:rsidRPr="00431AD6" w:rsidRDefault="00CE6209" w:rsidP="00CE6209">
      <w:pPr>
        <w:spacing w:after="120"/>
        <w:ind w:left="567"/>
        <w:rPr>
          <w:rFonts w:ascii="Garamond" w:hAnsi="Garamond"/>
          <w:sz w:val="22"/>
          <w:szCs w:val="22"/>
          <w:lang w:val="en-US"/>
        </w:rPr>
      </w:pPr>
      <w:r w:rsidRPr="00431AD6">
        <w:rPr>
          <w:rFonts w:ascii="Garamond" w:hAnsi="Garamond"/>
          <w:sz w:val="22"/>
          <w:szCs w:val="22"/>
          <w:lang w:val="en-US"/>
        </w:rPr>
        <w:t xml:space="preserve">                                    &lt;podis:measuring-tool-code&gt;449A7B5B54F30471E0530A01490A6E4F&lt;/podis:measuring-tool-code&gt;</w:t>
      </w:r>
    </w:p>
    <w:p w14:paraId="3C3A3C98" w14:textId="77777777" w:rsidR="00CE6209" w:rsidRPr="00431AD6" w:rsidRDefault="00CE6209" w:rsidP="00CE6209">
      <w:pPr>
        <w:spacing w:after="120"/>
        <w:ind w:left="567"/>
        <w:rPr>
          <w:rFonts w:ascii="Garamond" w:hAnsi="Garamond"/>
          <w:sz w:val="22"/>
          <w:szCs w:val="22"/>
          <w:lang w:val="en-US"/>
        </w:rPr>
      </w:pPr>
      <w:r w:rsidRPr="00431AD6">
        <w:rPr>
          <w:rFonts w:ascii="Garamond" w:hAnsi="Garamond"/>
          <w:sz w:val="22"/>
          <w:szCs w:val="22"/>
          <w:lang w:val="en-US"/>
        </w:rPr>
        <w:t xml:space="preserve">                                    &lt;podis:modelNumber&gt;</w:t>
      </w:r>
      <w:r w:rsidRPr="00431AD6">
        <w:rPr>
          <w:rFonts w:ascii="Garamond" w:hAnsi="Garamond"/>
          <w:sz w:val="22"/>
          <w:szCs w:val="22"/>
        </w:rPr>
        <w:t>НОЛ</w:t>
      </w:r>
      <w:r w:rsidRPr="00431AD6">
        <w:rPr>
          <w:rFonts w:ascii="Garamond" w:hAnsi="Garamond"/>
          <w:sz w:val="22"/>
          <w:szCs w:val="22"/>
          <w:lang w:val="en-US"/>
        </w:rPr>
        <w:t>&lt;/podis:modelNumber&gt;</w:t>
      </w:r>
    </w:p>
    <w:p w14:paraId="21336006" w14:textId="77777777" w:rsidR="00CE6209" w:rsidRPr="00431AD6" w:rsidRDefault="00CE6209" w:rsidP="00CE6209">
      <w:pPr>
        <w:spacing w:after="120"/>
        <w:ind w:left="567"/>
        <w:rPr>
          <w:rFonts w:ascii="Garamond" w:hAnsi="Garamond"/>
          <w:sz w:val="22"/>
          <w:szCs w:val="22"/>
          <w:lang w:val="en-US"/>
        </w:rPr>
      </w:pPr>
      <w:r w:rsidRPr="00431AD6">
        <w:rPr>
          <w:rFonts w:ascii="Garamond" w:hAnsi="Garamond"/>
          <w:sz w:val="22"/>
          <w:szCs w:val="22"/>
          <w:lang w:val="en-US"/>
        </w:rPr>
        <w:t xml:space="preserve">                                    &lt;podis:customAttributes&gt;</w:t>
      </w:r>
    </w:p>
    <w:p w14:paraId="4AF780A0" w14:textId="77777777" w:rsidR="00CE6209" w:rsidRPr="00431AD6" w:rsidRDefault="00CE6209" w:rsidP="00CE6209">
      <w:pPr>
        <w:spacing w:after="120"/>
        <w:ind w:left="567"/>
        <w:rPr>
          <w:rFonts w:ascii="Garamond" w:hAnsi="Garamond"/>
          <w:sz w:val="22"/>
          <w:szCs w:val="22"/>
          <w:lang w:val="en-US"/>
        </w:rPr>
      </w:pPr>
      <w:r w:rsidRPr="00431AD6">
        <w:rPr>
          <w:rFonts w:ascii="Garamond" w:hAnsi="Garamond"/>
          <w:sz w:val="22"/>
          <w:szCs w:val="22"/>
          <w:lang w:val="en-US"/>
        </w:rPr>
        <w:t xml:space="preserve">                                        &lt;podis:name&gt;RatedLoad&lt;/podis:name&gt;</w:t>
      </w:r>
    </w:p>
    <w:p w14:paraId="140E47AE" w14:textId="77777777" w:rsidR="00CE6209" w:rsidRPr="00431AD6" w:rsidRDefault="00CE6209" w:rsidP="00CE6209">
      <w:pPr>
        <w:spacing w:after="120"/>
        <w:ind w:left="567"/>
        <w:rPr>
          <w:rFonts w:ascii="Garamond" w:hAnsi="Garamond"/>
          <w:sz w:val="22"/>
          <w:szCs w:val="22"/>
          <w:lang w:val="en-US"/>
        </w:rPr>
      </w:pPr>
      <w:r w:rsidRPr="00431AD6">
        <w:rPr>
          <w:rFonts w:ascii="Garamond" w:hAnsi="Garamond"/>
          <w:sz w:val="22"/>
          <w:szCs w:val="22"/>
          <w:lang w:val="en-US"/>
        </w:rPr>
        <w:t xml:space="preserve">                                        &lt;podis:value&gt;75&lt;/podis:value&gt;</w:t>
      </w:r>
    </w:p>
    <w:p w14:paraId="02E0919E" w14:textId="77777777" w:rsidR="00CE6209" w:rsidRPr="00431AD6" w:rsidRDefault="00CE6209" w:rsidP="00CE6209">
      <w:pPr>
        <w:spacing w:after="120"/>
        <w:ind w:left="567"/>
        <w:rPr>
          <w:rFonts w:ascii="Garamond" w:hAnsi="Garamond"/>
          <w:sz w:val="22"/>
          <w:szCs w:val="22"/>
          <w:lang w:val="en-US"/>
        </w:rPr>
      </w:pPr>
      <w:r w:rsidRPr="00431AD6">
        <w:rPr>
          <w:rFonts w:ascii="Garamond" w:hAnsi="Garamond"/>
          <w:sz w:val="22"/>
          <w:szCs w:val="22"/>
          <w:lang w:val="en-US"/>
        </w:rPr>
        <w:t xml:space="preserve">                                    &lt;/podis:customAttributes&gt;</w:t>
      </w:r>
    </w:p>
    <w:p w14:paraId="7C3EFEBC" w14:textId="77777777" w:rsidR="00CE6209" w:rsidRPr="00E750D0" w:rsidRDefault="00CE6209" w:rsidP="00CE6209">
      <w:pPr>
        <w:spacing w:after="120"/>
        <w:ind w:left="567"/>
        <w:rPr>
          <w:rFonts w:ascii="Garamond" w:hAnsi="Garamond"/>
          <w:sz w:val="22"/>
          <w:szCs w:val="22"/>
          <w:lang w:val="es-ES"/>
        </w:rPr>
      </w:pPr>
      <w:r w:rsidRPr="00431AD6">
        <w:rPr>
          <w:rFonts w:ascii="Garamond" w:hAnsi="Garamond"/>
          <w:sz w:val="22"/>
          <w:szCs w:val="22"/>
          <w:lang w:val="en-US"/>
        </w:rPr>
        <w:t xml:space="preserve">                                    </w:t>
      </w:r>
      <w:r w:rsidRPr="00E750D0">
        <w:rPr>
          <w:rFonts w:ascii="Garamond" w:hAnsi="Garamond"/>
          <w:sz w:val="22"/>
          <w:szCs w:val="22"/>
          <w:lang w:val="es-ES"/>
        </w:rPr>
        <w:t>&lt;podis:nominalRatio&gt;</w:t>
      </w:r>
    </w:p>
    <w:p w14:paraId="17BF762D" w14:textId="77777777" w:rsidR="00CE6209" w:rsidRPr="00E750D0" w:rsidRDefault="00CE6209" w:rsidP="00CE6209">
      <w:pPr>
        <w:spacing w:after="120"/>
        <w:ind w:left="567"/>
        <w:rPr>
          <w:rFonts w:ascii="Garamond" w:hAnsi="Garamond"/>
          <w:sz w:val="22"/>
          <w:szCs w:val="22"/>
          <w:lang w:val="es-ES"/>
        </w:rPr>
      </w:pPr>
      <w:r w:rsidRPr="00E750D0">
        <w:rPr>
          <w:rFonts w:ascii="Garamond" w:hAnsi="Garamond"/>
          <w:sz w:val="22"/>
          <w:szCs w:val="22"/>
          <w:lang w:val="es-ES"/>
        </w:rPr>
        <w:t xml:space="preserve">                                        &lt;podis:denominator&gt;100&lt;/podis:denominator&gt;</w:t>
      </w:r>
    </w:p>
    <w:p w14:paraId="27255AEA" w14:textId="77777777" w:rsidR="00CE6209" w:rsidRPr="00E750D0" w:rsidRDefault="00CE6209" w:rsidP="00CE6209">
      <w:pPr>
        <w:spacing w:after="120"/>
        <w:ind w:left="567"/>
        <w:rPr>
          <w:rFonts w:ascii="Garamond" w:hAnsi="Garamond"/>
          <w:sz w:val="22"/>
          <w:szCs w:val="22"/>
          <w:lang w:val="es-ES"/>
        </w:rPr>
      </w:pPr>
      <w:r w:rsidRPr="00E750D0">
        <w:rPr>
          <w:rFonts w:ascii="Garamond" w:hAnsi="Garamond"/>
          <w:sz w:val="22"/>
          <w:szCs w:val="22"/>
          <w:lang w:val="es-ES"/>
        </w:rPr>
        <w:t xml:space="preserve">                                        &lt;podis:numerator&gt;10000&lt;/podis:numerator&gt;</w:t>
      </w:r>
    </w:p>
    <w:p w14:paraId="5F1D902F" w14:textId="77777777" w:rsidR="00CE6209" w:rsidRPr="00E750D0" w:rsidRDefault="00CE6209" w:rsidP="00CE6209">
      <w:pPr>
        <w:spacing w:after="120"/>
        <w:ind w:left="567"/>
        <w:rPr>
          <w:rFonts w:ascii="Garamond" w:hAnsi="Garamond"/>
          <w:sz w:val="22"/>
          <w:szCs w:val="22"/>
          <w:lang w:val="es-ES"/>
        </w:rPr>
      </w:pPr>
      <w:r w:rsidRPr="00E750D0">
        <w:rPr>
          <w:rFonts w:ascii="Garamond" w:hAnsi="Garamond"/>
          <w:sz w:val="22"/>
          <w:szCs w:val="22"/>
          <w:lang w:val="es-ES"/>
        </w:rPr>
        <w:t xml:space="preserve">                                    &lt;/podis:nominalRatio&gt;</w:t>
      </w:r>
    </w:p>
    <w:p w14:paraId="0C31385D" w14:textId="77777777" w:rsidR="00CE6209" w:rsidRPr="00431AD6" w:rsidRDefault="00CE6209" w:rsidP="00CE6209">
      <w:pPr>
        <w:spacing w:after="120"/>
        <w:ind w:left="567"/>
        <w:rPr>
          <w:rFonts w:ascii="Garamond" w:hAnsi="Garamond"/>
          <w:sz w:val="22"/>
          <w:szCs w:val="22"/>
          <w:lang w:val="en-US"/>
        </w:rPr>
      </w:pPr>
      <w:r w:rsidRPr="00E750D0">
        <w:rPr>
          <w:rFonts w:ascii="Garamond" w:hAnsi="Garamond"/>
          <w:sz w:val="22"/>
          <w:szCs w:val="22"/>
          <w:lang w:val="es-ES"/>
        </w:rPr>
        <w:t xml:space="preserve">                                    </w:t>
      </w:r>
      <w:r w:rsidRPr="00431AD6">
        <w:rPr>
          <w:rFonts w:ascii="Garamond" w:hAnsi="Garamond"/>
          <w:sz w:val="22"/>
          <w:szCs w:val="22"/>
          <w:lang w:val="en-US"/>
        </w:rPr>
        <w:t>&lt;podis:accuracyClass&gt;0.5&lt;/podis:accuracyClass&gt;</w:t>
      </w:r>
    </w:p>
    <w:p w14:paraId="574C00BB" w14:textId="77777777" w:rsidR="00CE6209" w:rsidRPr="00431AD6" w:rsidRDefault="00CE6209" w:rsidP="00CE6209">
      <w:pPr>
        <w:spacing w:after="120"/>
        <w:ind w:left="567"/>
        <w:rPr>
          <w:rFonts w:ascii="Garamond" w:hAnsi="Garamond"/>
          <w:sz w:val="22"/>
          <w:szCs w:val="22"/>
          <w:lang w:val="en-US"/>
        </w:rPr>
      </w:pPr>
      <w:r w:rsidRPr="00431AD6">
        <w:rPr>
          <w:rFonts w:ascii="Garamond" w:hAnsi="Garamond"/>
          <w:sz w:val="22"/>
          <w:szCs w:val="22"/>
          <w:lang w:val="en-US"/>
        </w:rPr>
        <w:lastRenderedPageBreak/>
        <w:t xml:space="preserve">                                    &lt;podis:regNumber&gt;66629-17&lt;/podis:regNumber&gt;</w:t>
      </w:r>
    </w:p>
    <w:p w14:paraId="19C4E193" w14:textId="77777777" w:rsidR="00CE6209" w:rsidRPr="00E750D0" w:rsidRDefault="00CE6209" w:rsidP="00CE6209">
      <w:pPr>
        <w:spacing w:after="120"/>
        <w:ind w:left="567"/>
        <w:rPr>
          <w:rFonts w:ascii="Garamond" w:hAnsi="Garamond"/>
          <w:sz w:val="22"/>
          <w:szCs w:val="22"/>
          <w:lang w:val="es-ES"/>
        </w:rPr>
      </w:pPr>
      <w:r w:rsidRPr="00431AD6">
        <w:rPr>
          <w:rFonts w:ascii="Garamond" w:hAnsi="Garamond"/>
          <w:sz w:val="22"/>
          <w:szCs w:val="22"/>
          <w:lang w:val="en-US"/>
        </w:rPr>
        <w:t xml:space="preserve">                                </w:t>
      </w:r>
      <w:r w:rsidRPr="00E750D0">
        <w:rPr>
          <w:rFonts w:ascii="Garamond" w:hAnsi="Garamond"/>
          <w:sz w:val="22"/>
          <w:szCs w:val="22"/>
          <w:lang w:val="es-ES"/>
        </w:rPr>
        <w:t>&lt;/podis:potentialTransformerInfo&gt;</w:t>
      </w:r>
    </w:p>
    <w:p w14:paraId="310E7D80" w14:textId="77777777" w:rsidR="00CE6209" w:rsidRPr="00E750D0" w:rsidRDefault="00CE6209" w:rsidP="00CE6209">
      <w:pPr>
        <w:spacing w:after="120"/>
        <w:ind w:left="567"/>
        <w:rPr>
          <w:rFonts w:ascii="Garamond" w:hAnsi="Garamond"/>
          <w:sz w:val="22"/>
          <w:szCs w:val="22"/>
          <w:lang w:val="es-ES"/>
        </w:rPr>
      </w:pPr>
      <w:r w:rsidRPr="00E750D0">
        <w:rPr>
          <w:rFonts w:ascii="Garamond" w:hAnsi="Garamond"/>
          <w:sz w:val="22"/>
          <w:szCs w:val="22"/>
          <w:lang w:val="es-ES"/>
        </w:rPr>
        <w:t xml:space="preserve">                            &lt;/podis:potentialTransformer&gt;</w:t>
      </w:r>
    </w:p>
    <w:p w14:paraId="13F15AB7" w14:textId="77777777" w:rsidR="00CE6209" w:rsidRPr="00E750D0" w:rsidRDefault="00CE6209" w:rsidP="00CE6209">
      <w:pPr>
        <w:spacing w:after="120"/>
        <w:ind w:left="567"/>
        <w:rPr>
          <w:rFonts w:ascii="Garamond" w:hAnsi="Garamond"/>
          <w:sz w:val="22"/>
          <w:szCs w:val="22"/>
          <w:lang w:val="es-ES"/>
        </w:rPr>
      </w:pPr>
      <w:r w:rsidRPr="00E750D0">
        <w:rPr>
          <w:rFonts w:ascii="Garamond" w:hAnsi="Garamond"/>
          <w:sz w:val="22"/>
          <w:szCs w:val="22"/>
          <w:lang w:val="es-ES"/>
        </w:rPr>
        <w:t xml:space="preserve">                        &lt;/podis:equipments&gt;</w:t>
      </w:r>
    </w:p>
    <w:p w14:paraId="2D31CF56" w14:textId="77777777" w:rsidR="00CE6209" w:rsidRPr="00431AD6" w:rsidRDefault="00CE6209" w:rsidP="00CE6209">
      <w:pPr>
        <w:spacing w:after="120"/>
        <w:ind w:left="567"/>
        <w:rPr>
          <w:rFonts w:ascii="Garamond" w:hAnsi="Garamond"/>
          <w:sz w:val="22"/>
          <w:szCs w:val="22"/>
          <w:lang w:val="en-US"/>
        </w:rPr>
      </w:pPr>
      <w:r w:rsidRPr="00E750D0">
        <w:rPr>
          <w:rFonts w:ascii="Garamond" w:hAnsi="Garamond"/>
          <w:sz w:val="22"/>
          <w:szCs w:val="22"/>
          <w:lang w:val="es-ES"/>
        </w:rPr>
        <w:t xml:space="preserve">                    </w:t>
      </w:r>
      <w:r w:rsidRPr="00431AD6">
        <w:rPr>
          <w:rFonts w:ascii="Garamond" w:hAnsi="Garamond"/>
          <w:sz w:val="22"/>
          <w:szCs w:val="22"/>
          <w:lang w:val="en-US"/>
        </w:rPr>
        <w:t>&lt;/podis:accountPointRole&gt;</w:t>
      </w:r>
    </w:p>
    <w:p w14:paraId="6AEBDA33" w14:textId="77777777" w:rsidR="00CE6209" w:rsidRPr="00431AD6" w:rsidRDefault="00CE6209" w:rsidP="00CE6209">
      <w:pPr>
        <w:spacing w:after="120"/>
        <w:ind w:left="567"/>
        <w:rPr>
          <w:rFonts w:ascii="Garamond" w:hAnsi="Garamond"/>
          <w:sz w:val="22"/>
          <w:szCs w:val="22"/>
          <w:lang w:val="en-US"/>
        </w:rPr>
      </w:pPr>
      <w:r w:rsidRPr="00431AD6">
        <w:rPr>
          <w:rFonts w:ascii="Garamond" w:hAnsi="Garamond"/>
          <w:sz w:val="22"/>
          <w:szCs w:val="22"/>
          <w:lang w:val="en-US"/>
        </w:rPr>
        <w:t xml:space="preserve">                &lt;/podis:usagePoint&gt;</w:t>
      </w:r>
    </w:p>
    <w:p w14:paraId="751ECD10" w14:textId="77777777" w:rsidR="00CE6209" w:rsidRPr="00431AD6" w:rsidRDefault="00CE6209" w:rsidP="00CE6209">
      <w:pPr>
        <w:spacing w:after="120"/>
        <w:ind w:left="567"/>
        <w:rPr>
          <w:rFonts w:ascii="Garamond" w:hAnsi="Garamond"/>
          <w:sz w:val="22"/>
          <w:szCs w:val="22"/>
          <w:lang w:val="en-US"/>
        </w:rPr>
      </w:pPr>
      <w:r w:rsidRPr="00431AD6">
        <w:rPr>
          <w:rFonts w:ascii="Garamond" w:hAnsi="Garamond"/>
          <w:sz w:val="22"/>
          <w:szCs w:val="22"/>
          <w:lang w:val="en-US"/>
        </w:rPr>
        <w:t xml:space="preserve">            &lt;/podis:usagePoints&gt;</w:t>
      </w:r>
    </w:p>
    <w:p w14:paraId="39ADC670" w14:textId="77777777" w:rsidR="00CE6209" w:rsidRPr="00E750D0" w:rsidRDefault="00CE6209" w:rsidP="00CE6209">
      <w:pPr>
        <w:spacing w:after="120"/>
        <w:ind w:left="567"/>
        <w:rPr>
          <w:rFonts w:ascii="Garamond" w:hAnsi="Garamond"/>
          <w:sz w:val="22"/>
          <w:szCs w:val="22"/>
          <w:lang w:val="es-ES"/>
        </w:rPr>
      </w:pPr>
      <w:r w:rsidRPr="00431AD6">
        <w:rPr>
          <w:rFonts w:ascii="Garamond" w:hAnsi="Garamond"/>
          <w:sz w:val="22"/>
          <w:szCs w:val="22"/>
          <w:lang w:val="en-US"/>
        </w:rPr>
        <w:t xml:space="preserve">        </w:t>
      </w:r>
      <w:r w:rsidRPr="00E750D0">
        <w:rPr>
          <w:rFonts w:ascii="Garamond" w:hAnsi="Garamond"/>
          <w:sz w:val="22"/>
          <w:szCs w:val="22"/>
          <w:lang w:val="es-ES"/>
        </w:rPr>
        <w:t>&lt;/podis:EEMSConfig&gt;</w:t>
      </w:r>
    </w:p>
    <w:p w14:paraId="5AA2989E" w14:textId="77777777" w:rsidR="00CE6209" w:rsidRPr="00E750D0" w:rsidRDefault="00CE6209" w:rsidP="00CE6209">
      <w:pPr>
        <w:spacing w:after="120"/>
        <w:ind w:left="567"/>
        <w:rPr>
          <w:rFonts w:ascii="Garamond" w:hAnsi="Garamond"/>
          <w:sz w:val="22"/>
          <w:szCs w:val="22"/>
          <w:lang w:val="es-ES"/>
        </w:rPr>
      </w:pPr>
      <w:r w:rsidRPr="00E750D0">
        <w:rPr>
          <w:rFonts w:ascii="Garamond" w:hAnsi="Garamond"/>
          <w:sz w:val="22"/>
          <w:szCs w:val="22"/>
          <w:lang w:val="es-ES"/>
        </w:rPr>
        <w:t xml:space="preserve">    &lt;/podis:Payload&gt;</w:t>
      </w:r>
    </w:p>
    <w:p w14:paraId="2AC5CEC0" w14:textId="77777777" w:rsidR="00CE6209" w:rsidRPr="00E750D0" w:rsidRDefault="00CE6209" w:rsidP="00CE6209">
      <w:pPr>
        <w:spacing w:after="120"/>
        <w:ind w:left="567"/>
        <w:rPr>
          <w:rFonts w:ascii="Garamond" w:hAnsi="Garamond"/>
          <w:sz w:val="22"/>
          <w:szCs w:val="22"/>
          <w:lang w:val="es-ES"/>
        </w:rPr>
      </w:pPr>
      <w:r w:rsidRPr="00E750D0">
        <w:rPr>
          <w:rFonts w:ascii="Garamond" w:hAnsi="Garamond"/>
          <w:sz w:val="22"/>
          <w:szCs w:val="22"/>
          <w:lang w:val="es-ES"/>
        </w:rPr>
        <w:t>&lt;/podis:Request&gt;</w:t>
      </w:r>
    </w:p>
    <w:p w14:paraId="01995E11" w14:textId="77777777" w:rsidR="00CE6209" w:rsidRPr="00E750D0" w:rsidRDefault="00CE6209" w:rsidP="00C817A3">
      <w:pPr>
        <w:widowControl w:val="0"/>
        <w:jc w:val="both"/>
        <w:rPr>
          <w:rFonts w:ascii="Garamond" w:hAnsi="Garamond"/>
          <w:b/>
          <w:sz w:val="26"/>
          <w:szCs w:val="26"/>
          <w:lang w:val="es-ES"/>
        </w:rPr>
        <w:sectPr w:rsidR="00CE6209" w:rsidRPr="00E750D0" w:rsidSect="00CE6209">
          <w:pgSz w:w="11906" w:h="16838"/>
          <w:pgMar w:top="964" w:right="851" w:bottom="964" w:left="1276" w:header="709" w:footer="709" w:gutter="0"/>
          <w:cols w:space="708"/>
          <w:docGrid w:linePitch="360"/>
        </w:sectPr>
      </w:pPr>
    </w:p>
    <w:p w14:paraId="73BA5C22" w14:textId="77777777" w:rsidR="00F11A8B" w:rsidRPr="000648FB" w:rsidRDefault="00F11A8B" w:rsidP="006F6DAC">
      <w:pPr>
        <w:pStyle w:val="10"/>
        <w:keepNext w:val="0"/>
        <w:spacing w:line="240" w:lineRule="auto"/>
        <w:ind w:left="-142"/>
        <w:jc w:val="left"/>
        <w:rPr>
          <w:rFonts w:ascii="Garamond" w:eastAsia="Courier New" w:hAnsi="Garamond"/>
          <w:sz w:val="26"/>
          <w:szCs w:val="26"/>
        </w:rPr>
      </w:pPr>
      <w:r w:rsidRPr="000648FB">
        <w:rPr>
          <w:rFonts w:ascii="Garamond" w:eastAsia="Courier New" w:hAnsi="Garamond"/>
          <w:sz w:val="26"/>
          <w:szCs w:val="26"/>
        </w:rPr>
        <w:lastRenderedPageBreak/>
        <w:t>Предложения по изменениям и дополнениям в ФОРМАТ И РЕГЛАМЕНТ ПРЕДОСТАВЛЕНИЯ РЕЗУЛЬТАТОВ ИЗМЕРЕНИЙ, СОСТОЯНИЙ ОБЪЕКТОВ ИЗМЕРЕНИЙ В АО «АТС», АО «СО ЕЭС» И СМЕЖНЫМ СУБЪЕКТАМ (Приложение № 11.1.1 к Положению о порядке получения статуса субъекта оптового рынка и ведения реестра субъектов оптового рынка)</w:t>
      </w:r>
    </w:p>
    <w:p w14:paraId="4F6D79C4" w14:textId="77777777" w:rsidR="00F11A8B" w:rsidRPr="00E13463" w:rsidRDefault="00F11A8B" w:rsidP="00F11A8B">
      <w:pPr>
        <w:widowControl w:val="0"/>
        <w:jc w:val="both"/>
        <w:rPr>
          <w:rFonts w:ascii="Garamond" w:hAnsi="Garamond"/>
          <w:b/>
          <w:sz w:val="22"/>
          <w:szCs w:val="22"/>
        </w:rPr>
      </w:pPr>
    </w:p>
    <w:tbl>
      <w:tblPr>
        <w:tblW w:w="14979"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60"/>
        <w:gridCol w:w="6804"/>
        <w:gridCol w:w="7115"/>
      </w:tblGrid>
      <w:tr w:rsidR="00F11A8B" w:rsidRPr="006F6DAC" w14:paraId="093CC673" w14:textId="77777777" w:rsidTr="006F6DAC">
        <w:tc>
          <w:tcPr>
            <w:tcW w:w="1060" w:type="dxa"/>
          </w:tcPr>
          <w:p w14:paraId="35E52B7F" w14:textId="77777777" w:rsidR="00F11A8B" w:rsidRPr="006F6DAC" w:rsidRDefault="00F11A8B" w:rsidP="00F11A8B">
            <w:pPr>
              <w:widowControl w:val="0"/>
              <w:spacing w:line="259" w:lineRule="auto"/>
              <w:jc w:val="center"/>
              <w:rPr>
                <w:rFonts w:ascii="Garamond" w:hAnsi="Garamond"/>
                <w:b/>
                <w:sz w:val="22"/>
                <w:szCs w:val="22"/>
                <w:lang w:eastAsia="en-US"/>
              </w:rPr>
            </w:pPr>
            <w:r w:rsidRPr="006F6DAC">
              <w:rPr>
                <w:rFonts w:ascii="Garamond" w:hAnsi="Garamond"/>
                <w:b/>
                <w:sz w:val="22"/>
                <w:szCs w:val="22"/>
                <w:lang w:eastAsia="en-US"/>
              </w:rPr>
              <w:t>№</w:t>
            </w:r>
          </w:p>
          <w:p w14:paraId="33C27211" w14:textId="77777777" w:rsidR="00F11A8B" w:rsidRPr="006F6DAC" w:rsidRDefault="00F11A8B" w:rsidP="00F11A8B">
            <w:pPr>
              <w:widowControl w:val="0"/>
              <w:spacing w:line="259" w:lineRule="auto"/>
              <w:jc w:val="center"/>
              <w:rPr>
                <w:rFonts w:ascii="Garamond" w:hAnsi="Garamond"/>
                <w:b/>
                <w:sz w:val="22"/>
                <w:szCs w:val="22"/>
                <w:lang w:eastAsia="en-US"/>
              </w:rPr>
            </w:pPr>
            <w:r w:rsidRPr="006F6DAC">
              <w:rPr>
                <w:rFonts w:ascii="Garamond" w:hAnsi="Garamond"/>
                <w:b/>
                <w:sz w:val="22"/>
                <w:szCs w:val="22"/>
                <w:lang w:eastAsia="en-US"/>
              </w:rPr>
              <w:t>пункта</w:t>
            </w:r>
          </w:p>
        </w:tc>
        <w:tc>
          <w:tcPr>
            <w:tcW w:w="6804" w:type="dxa"/>
          </w:tcPr>
          <w:p w14:paraId="19B5F079" w14:textId="77777777" w:rsidR="006F6DAC" w:rsidRPr="006F6DAC" w:rsidRDefault="00F11A8B" w:rsidP="00F11A8B">
            <w:pPr>
              <w:widowControl w:val="0"/>
              <w:spacing w:line="259" w:lineRule="auto"/>
              <w:jc w:val="center"/>
              <w:rPr>
                <w:rFonts w:ascii="Garamond" w:hAnsi="Garamond"/>
                <w:b/>
                <w:sz w:val="22"/>
                <w:szCs w:val="22"/>
                <w:lang w:eastAsia="en-US"/>
              </w:rPr>
            </w:pPr>
            <w:r w:rsidRPr="006F6DAC">
              <w:rPr>
                <w:rFonts w:ascii="Garamond" w:hAnsi="Garamond"/>
                <w:b/>
                <w:sz w:val="22"/>
                <w:szCs w:val="22"/>
                <w:lang w:eastAsia="en-US"/>
              </w:rPr>
              <w:t xml:space="preserve">Редакция, действующая на момент </w:t>
            </w:r>
          </w:p>
          <w:p w14:paraId="459EC23A" w14:textId="0499C20C" w:rsidR="00F11A8B" w:rsidRPr="006F6DAC" w:rsidRDefault="00F11A8B" w:rsidP="00F11A8B">
            <w:pPr>
              <w:widowControl w:val="0"/>
              <w:spacing w:line="259" w:lineRule="auto"/>
              <w:jc w:val="center"/>
              <w:rPr>
                <w:rFonts w:ascii="Garamond" w:hAnsi="Garamond"/>
                <w:sz w:val="22"/>
                <w:szCs w:val="22"/>
                <w:lang w:eastAsia="en-US"/>
              </w:rPr>
            </w:pPr>
            <w:r w:rsidRPr="006F6DAC">
              <w:rPr>
                <w:rFonts w:ascii="Garamond" w:hAnsi="Garamond"/>
                <w:b/>
                <w:sz w:val="22"/>
                <w:szCs w:val="22"/>
                <w:lang w:eastAsia="en-US"/>
              </w:rPr>
              <w:t>вступления в силу изменений</w:t>
            </w:r>
          </w:p>
        </w:tc>
        <w:tc>
          <w:tcPr>
            <w:tcW w:w="7115" w:type="dxa"/>
          </w:tcPr>
          <w:p w14:paraId="768E12EB" w14:textId="77777777" w:rsidR="00F11A8B" w:rsidRPr="006F6DAC" w:rsidRDefault="00F11A8B" w:rsidP="00F11A8B">
            <w:pPr>
              <w:widowControl w:val="0"/>
              <w:spacing w:line="259" w:lineRule="auto"/>
              <w:jc w:val="center"/>
              <w:rPr>
                <w:rFonts w:ascii="Garamond" w:hAnsi="Garamond"/>
                <w:b/>
                <w:sz w:val="22"/>
                <w:szCs w:val="22"/>
                <w:lang w:eastAsia="en-US"/>
              </w:rPr>
            </w:pPr>
            <w:r w:rsidRPr="006F6DAC">
              <w:rPr>
                <w:rFonts w:ascii="Garamond" w:hAnsi="Garamond"/>
                <w:b/>
                <w:sz w:val="22"/>
                <w:szCs w:val="22"/>
                <w:lang w:eastAsia="en-US"/>
              </w:rPr>
              <w:t>Предлагаемая редакция</w:t>
            </w:r>
          </w:p>
          <w:p w14:paraId="4378B822" w14:textId="77777777" w:rsidR="00F11A8B" w:rsidRPr="006F6DAC" w:rsidRDefault="00F11A8B" w:rsidP="00F11A8B">
            <w:pPr>
              <w:spacing w:line="259" w:lineRule="auto"/>
              <w:ind w:right="-55"/>
              <w:jc w:val="center"/>
              <w:rPr>
                <w:rFonts w:ascii="Garamond" w:hAnsi="Garamond"/>
                <w:sz w:val="22"/>
                <w:szCs w:val="22"/>
                <w:lang w:eastAsia="en-US"/>
              </w:rPr>
            </w:pPr>
            <w:r w:rsidRPr="006F6DAC">
              <w:rPr>
                <w:rFonts w:ascii="Garamond" w:hAnsi="Garamond"/>
                <w:sz w:val="22"/>
                <w:szCs w:val="22"/>
                <w:lang w:eastAsia="en-US"/>
              </w:rPr>
              <w:t>(изменения выделены цветом)</w:t>
            </w:r>
          </w:p>
        </w:tc>
      </w:tr>
      <w:tr w:rsidR="00F11A8B" w:rsidRPr="006F6DAC" w14:paraId="4B87E71F" w14:textId="77777777" w:rsidTr="006F6DAC">
        <w:tc>
          <w:tcPr>
            <w:tcW w:w="1060" w:type="dxa"/>
          </w:tcPr>
          <w:p w14:paraId="7B95D1F0" w14:textId="77777777" w:rsidR="00F11A8B" w:rsidRPr="006F6DAC" w:rsidRDefault="00F11A8B" w:rsidP="00F11A8B">
            <w:pPr>
              <w:widowControl w:val="0"/>
              <w:spacing w:line="259" w:lineRule="auto"/>
              <w:jc w:val="center"/>
              <w:rPr>
                <w:rFonts w:ascii="Garamond" w:hAnsi="Garamond"/>
                <w:b/>
                <w:sz w:val="22"/>
                <w:szCs w:val="22"/>
                <w:lang w:eastAsia="en-US"/>
              </w:rPr>
            </w:pPr>
            <w:r w:rsidRPr="006F6DAC">
              <w:rPr>
                <w:rFonts w:ascii="Garamond" w:hAnsi="Garamond"/>
                <w:b/>
                <w:sz w:val="22"/>
                <w:szCs w:val="22"/>
                <w:lang w:eastAsia="en-US"/>
              </w:rPr>
              <w:t>Регламент</w:t>
            </w:r>
          </w:p>
        </w:tc>
        <w:tc>
          <w:tcPr>
            <w:tcW w:w="6804" w:type="dxa"/>
          </w:tcPr>
          <w:p w14:paraId="3DA3CBD0" w14:textId="77777777" w:rsidR="00F11A8B" w:rsidRPr="006F6DAC" w:rsidRDefault="00F11A8B" w:rsidP="00F11A8B">
            <w:pPr>
              <w:widowControl w:val="0"/>
              <w:spacing w:line="259" w:lineRule="auto"/>
              <w:jc w:val="center"/>
              <w:rPr>
                <w:rFonts w:ascii="Garamond" w:hAnsi="Garamond"/>
                <w:sz w:val="22"/>
                <w:szCs w:val="22"/>
                <w:lang w:eastAsia="en-US"/>
              </w:rPr>
            </w:pPr>
            <w:r w:rsidRPr="006F6DAC">
              <w:rPr>
                <w:rFonts w:ascii="Garamond" w:hAnsi="Garamond"/>
                <w:sz w:val="22"/>
                <w:szCs w:val="22"/>
                <w:highlight w:val="yellow"/>
              </w:rPr>
              <w:t>ФОРМАТ И</w:t>
            </w:r>
            <w:r w:rsidRPr="006F6DAC">
              <w:rPr>
                <w:rFonts w:ascii="Garamond" w:hAnsi="Garamond"/>
                <w:sz w:val="22"/>
                <w:szCs w:val="22"/>
              </w:rPr>
              <w:t xml:space="preserve"> РЕГЛАМЕНТ ПРЕДОСТАВЛЕНИЯ РЕЗУЛЬТАТОВ ИЗМЕРЕНИЙ</w:t>
            </w:r>
            <w:r w:rsidRPr="006F6DAC">
              <w:rPr>
                <w:rFonts w:ascii="Garamond" w:hAnsi="Garamond"/>
                <w:sz w:val="22"/>
                <w:szCs w:val="22"/>
                <w:highlight w:val="yellow"/>
              </w:rPr>
              <w:t>,</w:t>
            </w:r>
            <w:r w:rsidRPr="006F6DAC">
              <w:rPr>
                <w:rFonts w:ascii="Garamond" w:hAnsi="Garamond"/>
                <w:sz w:val="22"/>
                <w:szCs w:val="22"/>
              </w:rPr>
              <w:t xml:space="preserve"> СОСТОЯНИЙ ОБЪЕКТОВ ИЗМЕРЕНИЙ </w:t>
            </w:r>
            <w:r w:rsidRPr="006F6DAC">
              <w:rPr>
                <w:rFonts w:ascii="Garamond" w:hAnsi="Garamond"/>
                <w:sz w:val="22"/>
                <w:szCs w:val="22"/>
                <w:highlight w:val="yellow"/>
              </w:rPr>
              <w:t>В АО «АТС», АО «СО ЕЭС» И СМЕЖНЫМ СУБЪЕКТАМ</w:t>
            </w:r>
          </w:p>
        </w:tc>
        <w:tc>
          <w:tcPr>
            <w:tcW w:w="7115" w:type="dxa"/>
          </w:tcPr>
          <w:p w14:paraId="4FCECC7E" w14:textId="77777777" w:rsidR="00F11A8B" w:rsidRPr="006F6DAC" w:rsidRDefault="00F11A8B" w:rsidP="00F92801">
            <w:pPr>
              <w:widowControl w:val="0"/>
              <w:spacing w:line="259" w:lineRule="auto"/>
              <w:jc w:val="center"/>
              <w:rPr>
                <w:rFonts w:ascii="Garamond" w:hAnsi="Garamond"/>
                <w:sz w:val="22"/>
                <w:szCs w:val="22"/>
                <w:lang w:eastAsia="en-US"/>
              </w:rPr>
            </w:pPr>
            <w:r w:rsidRPr="006F6DAC">
              <w:rPr>
                <w:rFonts w:ascii="Garamond" w:hAnsi="Garamond"/>
                <w:sz w:val="22"/>
                <w:szCs w:val="22"/>
              </w:rPr>
              <w:t>РЕГЛАМЕНТ ПРЕДОСТАВЛЕНИЯ РЕЗУЛЬТАТОВ ИЗМЕРЕНИЙ</w:t>
            </w:r>
            <w:r w:rsidR="00F92801" w:rsidRPr="006F6DAC">
              <w:rPr>
                <w:rFonts w:ascii="Garamond" w:hAnsi="Garamond"/>
                <w:sz w:val="22"/>
                <w:szCs w:val="22"/>
              </w:rPr>
              <w:t xml:space="preserve"> </w:t>
            </w:r>
            <w:r w:rsidR="00F92801" w:rsidRPr="006F6DAC">
              <w:rPr>
                <w:rFonts w:ascii="Garamond" w:hAnsi="Garamond"/>
                <w:sz w:val="22"/>
                <w:szCs w:val="22"/>
                <w:highlight w:val="yellow"/>
              </w:rPr>
              <w:t>И</w:t>
            </w:r>
            <w:r w:rsidRPr="006F6DAC">
              <w:rPr>
                <w:rFonts w:ascii="Garamond" w:hAnsi="Garamond"/>
                <w:sz w:val="22"/>
                <w:szCs w:val="22"/>
              </w:rPr>
              <w:t xml:space="preserve"> СОСТОЯНИЙ ОБЪЕКТОВ ИЗМЕРЕНИЙ</w:t>
            </w:r>
          </w:p>
        </w:tc>
      </w:tr>
      <w:tr w:rsidR="00F11A8B" w:rsidRPr="006F6DAC" w14:paraId="4829A641" w14:textId="77777777" w:rsidTr="006F6DAC">
        <w:tc>
          <w:tcPr>
            <w:tcW w:w="1060" w:type="dxa"/>
          </w:tcPr>
          <w:p w14:paraId="37BA78F0" w14:textId="77777777" w:rsidR="00F11A8B" w:rsidRPr="006F6DAC" w:rsidRDefault="00F11A8B" w:rsidP="00F11A8B">
            <w:pPr>
              <w:widowControl w:val="0"/>
              <w:spacing w:line="259" w:lineRule="auto"/>
              <w:jc w:val="center"/>
              <w:rPr>
                <w:rFonts w:ascii="Garamond" w:hAnsi="Garamond"/>
                <w:b/>
                <w:sz w:val="22"/>
                <w:szCs w:val="22"/>
                <w:lang w:eastAsia="en-US"/>
              </w:rPr>
            </w:pPr>
            <w:r w:rsidRPr="006F6DAC">
              <w:rPr>
                <w:rFonts w:ascii="Garamond" w:hAnsi="Garamond"/>
                <w:b/>
                <w:sz w:val="22"/>
                <w:szCs w:val="22"/>
                <w:lang w:eastAsia="en-US"/>
              </w:rPr>
              <w:t>1.1</w:t>
            </w:r>
          </w:p>
        </w:tc>
        <w:tc>
          <w:tcPr>
            <w:tcW w:w="6804" w:type="dxa"/>
          </w:tcPr>
          <w:p w14:paraId="07BE5F84" w14:textId="77777777" w:rsidR="00F11A8B" w:rsidRPr="006F6DAC" w:rsidRDefault="00F11A8B" w:rsidP="006F6DAC">
            <w:pPr>
              <w:widowControl w:val="0"/>
              <w:spacing w:line="259" w:lineRule="auto"/>
              <w:ind w:firstLine="598"/>
              <w:jc w:val="both"/>
              <w:rPr>
                <w:rFonts w:ascii="Garamond" w:hAnsi="Garamond"/>
                <w:b/>
                <w:sz w:val="22"/>
                <w:szCs w:val="22"/>
                <w:lang w:eastAsia="en-US"/>
              </w:rPr>
            </w:pPr>
            <w:r w:rsidRPr="006F6DAC">
              <w:rPr>
                <w:rFonts w:ascii="Garamond" w:hAnsi="Garamond"/>
                <w:sz w:val="22"/>
                <w:szCs w:val="22"/>
              </w:rPr>
              <w:t xml:space="preserve">Настоящее приложение устанавливает формат и регламент предоставления результатов измерений по точкам измерений </w:t>
            </w:r>
            <w:r w:rsidRPr="006F6DAC">
              <w:rPr>
                <w:rFonts w:ascii="Garamond" w:hAnsi="Garamond" w:cs="Courier New"/>
                <w:sz w:val="22"/>
                <w:szCs w:val="22"/>
                <w:highlight w:val="yellow"/>
              </w:rPr>
              <w:t xml:space="preserve">(в том числе по точкам измерений, отнесенным к внутренней генерации в ГТП с регулируемой нагрузкой, </w:t>
            </w:r>
            <w:r w:rsidRPr="006F6DAC">
              <w:rPr>
                <w:rFonts w:ascii="Garamond" w:hAnsi="Garamond"/>
                <w:sz w:val="22"/>
                <w:szCs w:val="22"/>
                <w:highlight w:val="yellow"/>
              </w:rPr>
              <w:t>имеющей объект управления типа ГЭС, ГАЭС или АЭС)</w:t>
            </w:r>
            <w:r w:rsidRPr="006F6DAC">
              <w:rPr>
                <w:rFonts w:ascii="Garamond" w:hAnsi="Garamond"/>
                <w:sz w:val="22"/>
                <w:szCs w:val="22"/>
              </w:rPr>
              <w:t xml:space="preserve">, точкам </w:t>
            </w:r>
            <w:r w:rsidRPr="006F6DAC">
              <w:rPr>
                <w:rFonts w:ascii="Garamond" w:hAnsi="Garamond"/>
                <w:sz w:val="22"/>
                <w:szCs w:val="22"/>
                <w:highlight w:val="yellow"/>
              </w:rPr>
              <w:t>поставки, группам точек поставки генерации, группам точек поставки потребления и сальдо перетоков участника оптового рынка</w:t>
            </w:r>
            <w:r w:rsidRPr="006F6DAC">
              <w:rPr>
                <w:rFonts w:ascii="Garamond" w:hAnsi="Garamond"/>
                <w:sz w:val="22"/>
                <w:szCs w:val="22"/>
              </w:rPr>
              <w:t xml:space="preserve"> (далее – результаты измерений), </w:t>
            </w:r>
            <w:r w:rsidRPr="006F6DAC">
              <w:rPr>
                <w:rFonts w:ascii="Garamond" w:hAnsi="Garamond"/>
                <w:sz w:val="22"/>
                <w:szCs w:val="22"/>
                <w:lang w:val="en-US"/>
              </w:rPr>
              <w:t>a</w:t>
            </w:r>
            <w:r w:rsidRPr="006F6DAC">
              <w:rPr>
                <w:rFonts w:ascii="Garamond" w:hAnsi="Garamond"/>
                <w:sz w:val="22"/>
                <w:szCs w:val="22"/>
              </w:rPr>
              <w:t xml:space="preserve"> также данных о состоянии объектов измерений, сформированных в </w:t>
            </w:r>
            <w:r w:rsidRPr="006F6DAC">
              <w:rPr>
                <w:rFonts w:ascii="Garamond" w:hAnsi="Garamond"/>
                <w:sz w:val="22"/>
                <w:szCs w:val="22"/>
                <w:highlight w:val="yellow"/>
              </w:rPr>
              <w:t>автоматизированной информационно-измерительной системе (далее по тексту – АИИС)</w:t>
            </w:r>
            <w:r w:rsidRPr="006F6DAC">
              <w:rPr>
                <w:rFonts w:ascii="Garamond" w:hAnsi="Garamond"/>
                <w:sz w:val="22"/>
                <w:szCs w:val="22"/>
              </w:rPr>
              <w:t xml:space="preserve"> субъекта оптового рынка электроэнергии и мощности (далее по тексту – ОРЭМ) в КО, СО и </w:t>
            </w:r>
            <w:r w:rsidRPr="006F6DAC">
              <w:rPr>
                <w:rFonts w:ascii="Garamond" w:hAnsi="Garamond"/>
                <w:sz w:val="22"/>
                <w:szCs w:val="22"/>
                <w:highlight w:val="yellow"/>
              </w:rPr>
              <w:t>смежным</w:t>
            </w:r>
            <w:r w:rsidRPr="006F6DAC">
              <w:rPr>
                <w:rFonts w:ascii="Garamond" w:hAnsi="Garamond"/>
                <w:sz w:val="22"/>
                <w:szCs w:val="22"/>
              </w:rPr>
              <w:t xml:space="preserve"> субъектам ОРЭМ (далее – потребители информации).</w:t>
            </w:r>
          </w:p>
        </w:tc>
        <w:tc>
          <w:tcPr>
            <w:tcW w:w="7115" w:type="dxa"/>
          </w:tcPr>
          <w:p w14:paraId="2D62F3A4" w14:textId="664D3D8E" w:rsidR="00F11A8B" w:rsidRPr="006F6DAC" w:rsidRDefault="00F11A8B" w:rsidP="006F6DAC">
            <w:pPr>
              <w:widowControl w:val="0"/>
              <w:spacing w:line="259" w:lineRule="auto"/>
              <w:ind w:firstLine="598"/>
              <w:jc w:val="both"/>
              <w:rPr>
                <w:rFonts w:ascii="Garamond" w:hAnsi="Garamond"/>
                <w:b/>
                <w:sz w:val="22"/>
                <w:szCs w:val="22"/>
                <w:lang w:eastAsia="en-US"/>
              </w:rPr>
            </w:pPr>
            <w:r w:rsidRPr="006F6DAC">
              <w:rPr>
                <w:rFonts w:ascii="Garamond" w:hAnsi="Garamond"/>
                <w:sz w:val="22"/>
                <w:szCs w:val="22"/>
              </w:rPr>
              <w:t xml:space="preserve">Настоящее приложение устанавливает формат и регламент предоставления результатов измерений по точкам измерений, точкам </w:t>
            </w:r>
            <w:r w:rsidRPr="006F6DAC">
              <w:rPr>
                <w:rFonts w:ascii="Garamond" w:hAnsi="Garamond"/>
                <w:sz w:val="22"/>
                <w:szCs w:val="22"/>
                <w:highlight w:val="yellow"/>
              </w:rPr>
              <w:t xml:space="preserve">присоединения объектов регулирования потребления электрической энергии (далее – объекты регулирования) и объектам регулирования </w:t>
            </w:r>
            <w:r w:rsidRPr="006F6DAC">
              <w:rPr>
                <w:rFonts w:ascii="Garamond" w:hAnsi="Garamond"/>
                <w:sz w:val="22"/>
                <w:szCs w:val="22"/>
              </w:rPr>
              <w:t xml:space="preserve">(далее – результаты измерений), </w:t>
            </w:r>
            <w:r w:rsidRPr="006F6DAC">
              <w:rPr>
                <w:rFonts w:ascii="Garamond" w:hAnsi="Garamond"/>
                <w:sz w:val="22"/>
                <w:szCs w:val="22"/>
                <w:lang w:val="en-US"/>
              </w:rPr>
              <w:t>a</w:t>
            </w:r>
            <w:r w:rsidRPr="006F6DAC">
              <w:rPr>
                <w:rFonts w:ascii="Garamond" w:hAnsi="Garamond"/>
                <w:sz w:val="22"/>
                <w:szCs w:val="22"/>
              </w:rPr>
              <w:t xml:space="preserve"> также данных о состоянии объектов измерений, сформированных в </w:t>
            </w:r>
            <w:r w:rsidRPr="006F6DAC">
              <w:rPr>
                <w:rFonts w:ascii="Garamond" w:hAnsi="Garamond"/>
                <w:sz w:val="22"/>
                <w:szCs w:val="22"/>
                <w:highlight w:val="yellow"/>
              </w:rPr>
              <w:t>системах учета электроэнергии в соответствии с Приложением № 11.1 к</w:t>
            </w:r>
            <w:r w:rsidRPr="006F6DAC">
              <w:rPr>
                <w:rFonts w:ascii="Garamond" w:hAnsi="Garamond"/>
                <w:i/>
                <w:sz w:val="22"/>
                <w:szCs w:val="22"/>
                <w:highlight w:val="yellow"/>
              </w:rPr>
              <w:t xml:space="preserve"> Положению о порядке получения статуса субъекта оптового рынка и ведения реестра субъектов оптового рынка</w:t>
            </w:r>
            <w:r w:rsidRPr="006F6DAC">
              <w:rPr>
                <w:rFonts w:ascii="Garamond" w:hAnsi="Garamond"/>
                <w:sz w:val="22"/>
                <w:szCs w:val="22"/>
                <w:highlight w:val="yellow"/>
              </w:rPr>
              <w:t xml:space="preserve"> (Приложение № 1.1 к </w:t>
            </w:r>
            <w:r w:rsidRPr="006F6DAC">
              <w:rPr>
                <w:rFonts w:ascii="Garamond" w:hAnsi="Garamond"/>
                <w:i/>
                <w:sz w:val="22"/>
                <w:szCs w:val="22"/>
                <w:highlight w:val="yellow"/>
              </w:rPr>
              <w:t>Договору о присоединении к торговой системе оптового рынка</w:t>
            </w:r>
            <w:r w:rsidRPr="006F6DAC">
              <w:rPr>
                <w:rFonts w:ascii="Garamond" w:hAnsi="Garamond"/>
                <w:sz w:val="22"/>
                <w:szCs w:val="22"/>
                <w:highlight w:val="yellow"/>
              </w:rPr>
              <w:t>)</w:t>
            </w:r>
            <w:r w:rsidRPr="006F6DAC">
              <w:rPr>
                <w:rFonts w:ascii="Garamond" w:hAnsi="Garamond"/>
                <w:sz w:val="22"/>
                <w:szCs w:val="22"/>
              </w:rPr>
              <w:t xml:space="preserve"> субъекта оптового рынка электроэнергии и мощности (далее по тексту – ОРЭМ)</w:t>
            </w:r>
            <w:r w:rsidRPr="00C80B78">
              <w:rPr>
                <w:rFonts w:ascii="Garamond" w:hAnsi="Garamond"/>
                <w:sz w:val="22"/>
                <w:szCs w:val="22"/>
                <w:highlight w:val="yellow"/>
              </w:rPr>
              <w:t>,</w:t>
            </w:r>
            <w:r w:rsidRPr="006F6DAC">
              <w:rPr>
                <w:rFonts w:ascii="Garamond" w:hAnsi="Garamond"/>
                <w:sz w:val="22"/>
                <w:szCs w:val="22"/>
              </w:rPr>
              <w:t xml:space="preserve"> в КО, СО и субъектам ОРЭМ (далее – потребители информации).</w:t>
            </w:r>
          </w:p>
        </w:tc>
      </w:tr>
      <w:tr w:rsidR="00F11A8B" w:rsidRPr="006F6DAC" w14:paraId="07E0C8F6" w14:textId="77777777" w:rsidTr="006F6DAC">
        <w:tc>
          <w:tcPr>
            <w:tcW w:w="1060" w:type="dxa"/>
          </w:tcPr>
          <w:p w14:paraId="00DBF6FD" w14:textId="77777777" w:rsidR="00F11A8B" w:rsidRPr="006F6DAC" w:rsidRDefault="00F11A8B" w:rsidP="00F11A8B">
            <w:pPr>
              <w:widowControl w:val="0"/>
              <w:spacing w:line="259" w:lineRule="auto"/>
              <w:jc w:val="center"/>
              <w:rPr>
                <w:rFonts w:ascii="Garamond" w:hAnsi="Garamond"/>
                <w:b/>
                <w:sz w:val="22"/>
                <w:szCs w:val="22"/>
                <w:lang w:eastAsia="en-US"/>
              </w:rPr>
            </w:pPr>
            <w:r w:rsidRPr="006F6DAC">
              <w:rPr>
                <w:rFonts w:ascii="Garamond" w:hAnsi="Garamond"/>
                <w:b/>
                <w:sz w:val="22"/>
                <w:szCs w:val="22"/>
                <w:lang w:eastAsia="en-US"/>
              </w:rPr>
              <w:t>1.2</w:t>
            </w:r>
          </w:p>
        </w:tc>
        <w:tc>
          <w:tcPr>
            <w:tcW w:w="6804" w:type="dxa"/>
          </w:tcPr>
          <w:p w14:paraId="119F068E" w14:textId="77777777" w:rsidR="00F11A8B" w:rsidRPr="006F6DAC" w:rsidRDefault="00F11A8B" w:rsidP="00F11A8B">
            <w:pPr>
              <w:pStyle w:val="a6"/>
              <w:tabs>
                <w:tab w:val="num" w:pos="0"/>
                <w:tab w:val="left" w:pos="1080"/>
              </w:tabs>
              <w:spacing w:before="120" w:after="120"/>
              <w:ind w:firstLine="540"/>
              <w:jc w:val="both"/>
              <w:rPr>
                <w:rFonts w:ascii="Garamond" w:hAnsi="Garamond"/>
                <w:b/>
                <w:bCs w:val="0"/>
                <w:sz w:val="22"/>
                <w:szCs w:val="22"/>
                <w:highlight w:val="yellow"/>
              </w:rPr>
            </w:pPr>
            <w:r w:rsidRPr="006F6DAC">
              <w:rPr>
                <w:rFonts w:ascii="Garamond" w:hAnsi="Garamond"/>
                <w:bCs w:val="0"/>
                <w:sz w:val="22"/>
                <w:szCs w:val="22"/>
              </w:rPr>
              <w:t>Положения настоящего приложения распространяются:</w:t>
            </w:r>
          </w:p>
          <w:p w14:paraId="1CCB235F" w14:textId="77777777" w:rsidR="00F11A8B" w:rsidRPr="006F6DAC" w:rsidRDefault="00F11A8B" w:rsidP="00F11A8B">
            <w:pPr>
              <w:pStyle w:val="a6"/>
              <w:numPr>
                <w:ilvl w:val="0"/>
                <w:numId w:val="229"/>
              </w:numPr>
              <w:tabs>
                <w:tab w:val="clear" w:pos="1800"/>
                <w:tab w:val="num" w:pos="0"/>
                <w:tab w:val="left" w:pos="1080"/>
              </w:tabs>
              <w:suppressAutoHyphens w:val="0"/>
              <w:spacing w:before="120" w:after="120"/>
              <w:ind w:left="0" w:firstLine="540"/>
              <w:jc w:val="both"/>
              <w:rPr>
                <w:rFonts w:ascii="Garamond" w:hAnsi="Garamond"/>
                <w:b/>
                <w:bCs w:val="0"/>
                <w:sz w:val="22"/>
                <w:szCs w:val="22"/>
                <w:highlight w:val="yellow"/>
              </w:rPr>
            </w:pPr>
            <w:r w:rsidRPr="006F6DAC">
              <w:rPr>
                <w:rFonts w:ascii="Garamond" w:hAnsi="Garamond"/>
                <w:bCs w:val="0"/>
                <w:sz w:val="22"/>
                <w:szCs w:val="22"/>
                <w:highlight w:val="yellow"/>
              </w:rPr>
              <w:t xml:space="preserve">на участников ОРЭМ; </w:t>
            </w:r>
          </w:p>
          <w:p w14:paraId="3818B1D1" w14:textId="77777777" w:rsidR="00F11A8B" w:rsidRPr="006F6DAC" w:rsidRDefault="00F11A8B" w:rsidP="00F11A8B">
            <w:pPr>
              <w:pStyle w:val="a6"/>
              <w:numPr>
                <w:ilvl w:val="0"/>
                <w:numId w:val="229"/>
              </w:numPr>
              <w:tabs>
                <w:tab w:val="clear" w:pos="1800"/>
                <w:tab w:val="num" w:pos="0"/>
                <w:tab w:val="left" w:pos="1080"/>
                <w:tab w:val="num" w:pos="1134"/>
              </w:tabs>
              <w:suppressAutoHyphens w:val="0"/>
              <w:spacing w:before="120" w:after="120"/>
              <w:ind w:left="0" w:firstLine="540"/>
              <w:jc w:val="both"/>
              <w:rPr>
                <w:rFonts w:ascii="Garamond" w:hAnsi="Garamond"/>
                <w:b/>
                <w:bCs w:val="0"/>
                <w:sz w:val="22"/>
                <w:szCs w:val="22"/>
                <w:highlight w:val="yellow"/>
              </w:rPr>
            </w:pPr>
            <w:r w:rsidRPr="006F6DAC">
              <w:rPr>
                <w:rFonts w:ascii="Garamond" w:hAnsi="Garamond"/>
                <w:bCs w:val="0"/>
                <w:sz w:val="22"/>
                <w:szCs w:val="22"/>
                <w:highlight w:val="yellow"/>
              </w:rPr>
              <w:t>КО;</w:t>
            </w:r>
          </w:p>
          <w:p w14:paraId="266A66E5" w14:textId="77777777" w:rsidR="00F11A8B" w:rsidRPr="006F6DAC" w:rsidRDefault="00F11A8B" w:rsidP="00F11A8B">
            <w:pPr>
              <w:pStyle w:val="a6"/>
              <w:numPr>
                <w:ilvl w:val="0"/>
                <w:numId w:val="229"/>
              </w:numPr>
              <w:tabs>
                <w:tab w:val="clear" w:pos="1800"/>
                <w:tab w:val="num" w:pos="0"/>
                <w:tab w:val="left" w:pos="1080"/>
                <w:tab w:val="num" w:pos="1134"/>
              </w:tabs>
              <w:suppressAutoHyphens w:val="0"/>
              <w:spacing w:before="120" w:after="120"/>
              <w:ind w:left="0" w:firstLine="540"/>
              <w:jc w:val="both"/>
              <w:rPr>
                <w:rFonts w:ascii="Garamond" w:hAnsi="Garamond"/>
                <w:b/>
                <w:bCs w:val="0"/>
                <w:sz w:val="22"/>
                <w:szCs w:val="22"/>
                <w:highlight w:val="yellow"/>
              </w:rPr>
            </w:pPr>
            <w:r w:rsidRPr="006F6DAC">
              <w:rPr>
                <w:rFonts w:ascii="Garamond" w:hAnsi="Garamond"/>
                <w:bCs w:val="0"/>
                <w:sz w:val="22"/>
                <w:szCs w:val="22"/>
                <w:highlight w:val="yellow"/>
              </w:rPr>
              <w:t>СО;</w:t>
            </w:r>
          </w:p>
          <w:p w14:paraId="5AFA37C1" w14:textId="77777777" w:rsidR="00F11A8B" w:rsidRPr="006F6DAC" w:rsidRDefault="00F11A8B" w:rsidP="00F11A8B">
            <w:pPr>
              <w:pStyle w:val="a6"/>
              <w:numPr>
                <w:ilvl w:val="0"/>
                <w:numId w:val="229"/>
              </w:numPr>
              <w:tabs>
                <w:tab w:val="clear" w:pos="1800"/>
                <w:tab w:val="num" w:pos="0"/>
                <w:tab w:val="left" w:pos="1080"/>
                <w:tab w:val="num" w:pos="1134"/>
              </w:tabs>
              <w:suppressAutoHyphens w:val="0"/>
              <w:spacing w:before="120" w:after="120"/>
              <w:ind w:left="0" w:firstLine="540"/>
              <w:jc w:val="both"/>
              <w:rPr>
                <w:rFonts w:ascii="Garamond" w:hAnsi="Garamond"/>
                <w:b/>
                <w:bCs w:val="0"/>
                <w:sz w:val="22"/>
                <w:szCs w:val="22"/>
                <w:highlight w:val="yellow"/>
              </w:rPr>
            </w:pPr>
            <w:r w:rsidRPr="006F6DAC">
              <w:rPr>
                <w:rFonts w:ascii="Garamond" w:hAnsi="Garamond"/>
                <w:bCs w:val="0"/>
                <w:sz w:val="22"/>
                <w:szCs w:val="22"/>
                <w:highlight w:val="yellow"/>
              </w:rPr>
              <w:t>ФСК.</w:t>
            </w:r>
          </w:p>
        </w:tc>
        <w:tc>
          <w:tcPr>
            <w:tcW w:w="7115" w:type="dxa"/>
          </w:tcPr>
          <w:p w14:paraId="4C39DBC7" w14:textId="77777777" w:rsidR="00F11A8B" w:rsidRPr="006F6DAC" w:rsidRDefault="00F11A8B" w:rsidP="00F11A8B">
            <w:pPr>
              <w:pStyle w:val="a6"/>
              <w:tabs>
                <w:tab w:val="num" w:pos="0"/>
                <w:tab w:val="left" w:pos="1080"/>
              </w:tabs>
              <w:spacing w:before="120" w:after="120"/>
              <w:ind w:firstLine="540"/>
              <w:jc w:val="both"/>
              <w:rPr>
                <w:rFonts w:ascii="Garamond" w:hAnsi="Garamond"/>
                <w:bCs w:val="0"/>
                <w:sz w:val="22"/>
                <w:szCs w:val="22"/>
                <w:highlight w:val="yellow"/>
              </w:rPr>
            </w:pPr>
            <w:r w:rsidRPr="006F6DAC">
              <w:rPr>
                <w:rFonts w:ascii="Garamond" w:hAnsi="Garamond"/>
                <w:bCs w:val="0"/>
                <w:sz w:val="22"/>
                <w:szCs w:val="22"/>
              </w:rPr>
              <w:t xml:space="preserve">Положения настоящего приложения распространяются </w:t>
            </w:r>
            <w:r w:rsidRPr="006F6DAC">
              <w:rPr>
                <w:rFonts w:ascii="Garamond" w:hAnsi="Garamond"/>
                <w:bCs w:val="0"/>
                <w:sz w:val="22"/>
                <w:szCs w:val="22"/>
                <w:highlight w:val="yellow"/>
              </w:rPr>
              <w:t>на участников ОРЭМ (в том числе владельцев ГТП), агрегаторов управления изменением режима потребления электроэнергии (далее – агрегаторы), КО, СО, ФСК (далее – субъекты ОРЭМ).</w:t>
            </w:r>
          </w:p>
          <w:p w14:paraId="62B13403" w14:textId="79263CE1" w:rsidR="00F11A8B" w:rsidRPr="006F6DAC" w:rsidRDefault="00F11A8B" w:rsidP="00F11A8B">
            <w:pPr>
              <w:pStyle w:val="a6"/>
              <w:tabs>
                <w:tab w:val="num" w:pos="0"/>
                <w:tab w:val="left" w:pos="1080"/>
              </w:tabs>
              <w:spacing w:before="120" w:after="120"/>
              <w:ind w:firstLine="540"/>
              <w:jc w:val="both"/>
              <w:rPr>
                <w:rFonts w:ascii="Garamond" w:hAnsi="Garamond" w:cstheme="minorHAnsi"/>
                <w:sz w:val="22"/>
                <w:szCs w:val="22"/>
                <w:highlight w:val="yellow"/>
              </w:rPr>
            </w:pPr>
            <w:r w:rsidRPr="006F6DAC">
              <w:rPr>
                <w:rFonts w:ascii="Garamond" w:hAnsi="Garamond" w:cstheme="minorHAnsi"/>
                <w:sz w:val="22"/>
                <w:szCs w:val="22"/>
                <w:highlight w:val="yellow"/>
              </w:rPr>
              <w:t xml:space="preserve">Для целей настоящего </w:t>
            </w:r>
            <w:r w:rsidR="006F6DAC">
              <w:rPr>
                <w:rFonts w:ascii="Garamond" w:hAnsi="Garamond" w:cstheme="minorHAnsi"/>
                <w:sz w:val="22"/>
                <w:szCs w:val="22"/>
                <w:highlight w:val="yellow"/>
              </w:rPr>
              <w:t>п</w:t>
            </w:r>
            <w:r w:rsidRPr="006F6DAC">
              <w:rPr>
                <w:rFonts w:ascii="Garamond" w:hAnsi="Garamond" w:cstheme="minorHAnsi"/>
                <w:sz w:val="22"/>
                <w:szCs w:val="22"/>
                <w:highlight w:val="yellow"/>
              </w:rPr>
              <w:t xml:space="preserve">риложения под </w:t>
            </w:r>
            <w:r w:rsidR="00157C57">
              <w:rPr>
                <w:rFonts w:ascii="Garamond" w:hAnsi="Garamond" w:cstheme="minorHAnsi"/>
                <w:sz w:val="22"/>
                <w:szCs w:val="22"/>
                <w:highlight w:val="yellow"/>
              </w:rPr>
              <w:t>«</w:t>
            </w:r>
            <w:r w:rsidRPr="006F6DAC">
              <w:rPr>
                <w:rFonts w:ascii="Garamond" w:hAnsi="Garamond" w:cstheme="minorHAnsi"/>
                <w:sz w:val="22"/>
                <w:szCs w:val="22"/>
                <w:highlight w:val="yellow"/>
              </w:rPr>
              <w:t>владельцем ГТП</w:t>
            </w:r>
            <w:r w:rsidR="00157C57">
              <w:rPr>
                <w:rFonts w:ascii="Garamond" w:hAnsi="Garamond" w:cstheme="minorHAnsi"/>
                <w:sz w:val="22"/>
                <w:szCs w:val="22"/>
                <w:highlight w:val="yellow"/>
              </w:rPr>
              <w:t>»</w:t>
            </w:r>
            <w:r w:rsidRPr="006F6DAC">
              <w:rPr>
                <w:rFonts w:ascii="Garamond" w:hAnsi="Garamond" w:cstheme="minorHAnsi"/>
                <w:sz w:val="22"/>
                <w:szCs w:val="22"/>
                <w:highlight w:val="yellow"/>
              </w:rPr>
              <w:t xml:space="preserve"> понимается субъект оптового рынка, в группе точек поставки которого закреплено на ОРЭМ входящее в состав объекта регулирования энергопринимающее оборудование и (при наличии) связанные с ним объект (объекты) по производству электрической энергии и (или) система (системы) накопления электрической энергии.</w:t>
            </w:r>
          </w:p>
          <w:p w14:paraId="4325454F" w14:textId="0075D40A" w:rsidR="00F11A8B" w:rsidRPr="006F6DAC" w:rsidRDefault="00F11A8B" w:rsidP="006F6DAC">
            <w:pPr>
              <w:pStyle w:val="a6"/>
              <w:tabs>
                <w:tab w:val="num" w:pos="0"/>
                <w:tab w:val="left" w:pos="1080"/>
              </w:tabs>
              <w:spacing w:before="120" w:after="120"/>
              <w:ind w:firstLine="540"/>
              <w:jc w:val="both"/>
              <w:rPr>
                <w:rFonts w:ascii="Garamond" w:hAnsi="Garamond"/>
                <w:b/>
                <w:bCs w:val="0"/>
                <w:sz w:val="22"/>
                <w:szCs w:val="22"/>
                <w:highlight w:val="yellow"/>
              </w:rPr>
            </w:pPr>
            <w:r w:rsidRPr="006F6DAC">
              <w:rPr>
                <w:rFonts w:ascii="Garamond" w:hAnsi="Garamond" w:cstheme="minorHAnsi"/>
                <w:sz w:val="22"/>
                <w:szCs w:val="22"/>
                <w:highlight w:val="yellow"/>
              </w:rPr>
              <w:t xml:space="preserve">Для целей настоящего </w:t>
            </w:r>
            <w:r w:rsidR="006F6DAC">
              <w:rPr>
                <w:rFonts w:ascii="Garamond" w:hAnsi="Garamond" w:cstheme="minorHAnsi"/>
                <w:sz w:val="22"/>
                <w:szCs w:val="22"/>
                <w:highlight w:val="yellow"/>
              </w:rPr>
              <w:t>п</w:t>
            </w:r>
            <w:r w:rsidRPr="006F6DAC">
              <w:rPr>
                <w:rFonts w:ascii="Garamond" w:hAnsi="Garamond" w:cstheme="minorHAnsi"/>
                <w:sz w:val="22"/>
                <w:szCs w:val="22"/>
                <w:highlight w:val="yellow"/>
              </w:rPr>
              <w:t xml:space="preserve">риложения под </w:t>
            </w:r>
            <w:r w:rsidR="00157C57">
              <w:rPr>
                <w:rFonts w:ascii="Garamond" w:hAnsi="Garamond" w:cstheme="minorHAnsi"/>
                <w:sz w:val="22"/>
                <w:szCs w:val="22"/>
                <w:highlight w:val="yellow"/>
              </w:rPr>
              <w:t>«</w:t>
            </w:r>
            <w:r w:rsidRPr="006F6DAC">
              <w:rPr>
                <w:rFonts w:ascii="Garamond" w:hAnsi="Garamond" w:cstheme="minorHAnsi"/>
                <w:sz w:val="22"/>
                <w:szCs w:val="22"/>
                <w:highlight w:val="yellow"/>
              </w:rPr>
              <w:t>агрегатором</w:t>
            </w:r>
            <w:r w:rsidR="00157C57">
              <w:rPr>
                <w:rFonts w:ascii="Garamond" w:hAnsi="Garamond" w:cstheme="minorHAnsi"/>
                <w:sz w:val="22"/>
                <w:szCs w:val="22"/>
                <w:highlight w:val="yellow"/>
              </w:rPr>
              <w:t>»</w:t>
            </w:r>
            <w:r w:rsidRPr="006F6DAC">
              <w:rPr>
                <w:rFonts w:ascii="Garamond" w:hAnsi="Garamond" w:cstheme="minorHAnsi"/>
                <w:sz w:val="22"/>
                <w:szCs w:val="22"/>
                <w:highlight w:val="yellow"/>
              </w:rPr>
              <w:t xml:space="preserve"> понимается также участник оптового рынка</w:t>
            </w:r>
            <w:r w:rsidR="006F6DAC">
              <w:rPr>
                <w:rFonts w:ascii="Garamond" w:hAnsi="Garamond" w:cstheme="minorHAnsi"/>
                <w:sz w:val="22"/>
                <w:szCs w:val="22"/>
                <w:highlight w:val="yellow"/>
              </w:rPr>
              <w:t xml:space="preserve"> – </w:t>
            </w:r>
            <w:r w:rsidRPr="006F6DAC">
              <w:rPr>
                <w:rFonts w:ascii="Garamond" w:hAnsi="Garamond" w:cstheme="minorHAnsi"/>
                <w:sz w:val="22"/>
                <w:szCs w:val="22"/>
                <w:highlight w:val="yellow"/>
              </w:rPr>
              <w:t xml:space="preserve">крупный потребитель, участвующий в оказании услуг по управлению изменением режима потребления с </w:t>
            </w:r>
            <w:r w:rsidRPr="006F6DAC">
              <w:rPr>
                <w:rFonts w:ascii="Garamond" w:hAnsi="Garamond" w:cstheme="minorHAnsi"/>
                <w:sz w:val="22"/>
                <w:szCs w:val="22"/>
                <w:highlight w:val="yellow"/>
              </w:rPr>
              <w:lastRenderedPageBreak/>
              <w:t>использованием объекта регулирования, точки присоединения которого совпадают с точками поставки в ГТП потребления указанного участника оптового рынка.</w:t>
            </w:r>
          </w:p>
        </w:tc>
      </w:tr>
      <w:tr w:rsidR="00F11A8B" w:rsidRPr="006F6DAC" w14:paraId="4F0003B3" w14:textId="77777777" w:rsidTr="006F6DAC">
        <w:tc>
          <w:tcPr>
            <w:tcW w:w="1060" w:type="dxa"/>
          </w:tcPr>
          <w:p w14:paraId="558A3000" w14:textId="77777777" w:rsidR="00F11A8B" w:rsidRPr="006F6DAC" w:rsidRDefault="00F11A8B" w:rsidP="00F11A8B">
            <w:pPr>
              <w:widowControl w:val="0"/>
              <w:spacing w:line="259" w:lineRule="auto"/>
              <w:jc w:val="center"/>
              <w:rPr>
                <w:rFonts w:ascii="Garamond" w:hAnsi="Garamond"/>
                <w:b/>
                <w:sz w:val="22"/>
                <w:szCs w:val="22"/>
                <w:lang w:eastAsia="en-US"/>
              </w:rPr>
            </w:pPr>
            <w:r w:rsidRPr="006F6DAC">
              <w:rPr>
                <w:rFonts w:ascii="Garamond" w:hAnsi="Garamond"/>
                <w:b/>
                <w:sz w:val="22"/>
                <w:szCs w:val="22"/>
                <w:lang w:eastAsia="en-US"/>
              </w:rPr>
              <w:lastRenderedPageBreak/>
              <w:t>2.1</w:t>
            </w:r>
          </w:p>
        </w:tc>
        <w:tc>
          <w:tcPr>
            <w:tcW w:w="6804" w:type="dxa"/>
          </w:tcPr>
          <w:p w14:paraId="31605767" w14:textId="77777777" w:rsidR="00F11A8B" w:rsidRPr="006F6DAC" w:rsidRDefault="00F11A8B" w:rsidP="00C80B78">
            <w:pPr>
              <w:pStyle w:val="a6"/>
              <w:tabs>
                <w:tab w:val="left" w:pos="1080"/>
                <w:tab w:val="num" w:pos="1440"/>
              </w:tabs>
              <w:suppressAutoHyphens w:val="0"/>
              <w:spacing w:before="120" w:after="120"/>
              <w:ind w:firstLine="460"/>
              <w:jc w:val="both"/>
              <w:rPr>
                <w:rFonts w:ascii="Garamond" w:hAnsi="Garamond"/>
                <w:b/>
                <w:bCs w:val="0"/>
                <w:sz w:val="22"/>
                <w:szCs w:val="22"/>
              </w:rPr>
            </w:pPr>
            <w:r w:rsidRPr="006F6DAC">
              <w:rPr>
                <w:rFonts w:ascii="Garamond" w:hAnsi="Garamond"/>
                <w:sz w:val="22"/>
                <w:szCs w:val="22"/>
              </w:rPr>
              <w:t>Под значениями учетного показателя понимаются идентифицированные данные, полученные в результате расчета с использованием алгоритма расчета учетного показателя, указанного в ПСИ в отношении:</w:t>
            </w:r>
          </w:p>
          <w:p w14:paraId="5805D75E" w14:textId="77777777" w:rsidR="00F11A8B" w:rsidRPr="006F6DAC" w:rsidRDefault="00F11A8B" w:rsidP="00F11A8B">
            <w:pPr>
              <w:pStyle w:val="a6"/>
              <w:tabs>
                <w:tab w:val="left" w:pos="1080"/>
              </w:tabs>
              <w:spacing w:before="120"/>
              <w:ind w:firstLine="567"/>
              <w:jc w:val="both"/>
              <w:rPr>
                <w:rFonts w:ascii="Garamond" w:hAnsi="Garamond"/>
                <w:b/>
                <w:bCs w:val="0"/>
                <w:sz w:val="22"/>
                <w:szCs w:val="22"/>
              </w:rPr>
            </w:pPr>
            <w:r w:rsidRPr="006F6DAC">
              <w:rPr>
                <w:rFonts w:ascii="Garamond" w:hAnsi="Garamond"/>
                <w:sz w:val="22"/>
                <w:szCs w:val="22"/>
              </w:rPr>
              <w:t>– точки (точек) поставки;</w:t>
            </w:r>
          </w:p>
          <w:p w14:paraId="73241FE4" w14:textId="77777777" w:rsidR="00F11A8B" w:rsidRPr="006F6DAC" w:rsidRDefault="00F11A8B" w:rsidP="00F11A8B">
            <w:pPr>
              <w:pStyle w:val="a6"/>
              <w:tabs>
                <w:tab w:val="left" w:pos="1080"/>
              </w:tabs>
              <w:spacing w:before="120"/>
              <w:ind w:firstLine="567"/>
              <w:jc w:val="both"/>
              <w:rPr>
                <w:rFonts w:ascii="Garamond" w:hAnsi="Garamond"/>
                <w:b/>
                <w:bCs w:val="0"/>
                <w:sz w:val="22"/>
                <w:szCs w:val="22"/>
              </w:rPr>
            </w:pPr>
            <w:r w:rsidRPr="006F6DAC">
              <w:rPr>
                <w:rFonts w:ascii="Garamond" w:hAnsi="Garamond"/>
                <w:sz w:val="22"/>
                <w:szCs w:val="22"/>
              </w:rPr>
              <w:t>– сечений коммерческого учета;</w:t>
            </w:r>
          </w:p>
          <w:p w14:paraId="4BE85980" w14:textId="77777777" w:rsidR="00F11A8B" w:rsidRPr="006F6DAC" w:rsidRDefault="00F11A8B" w:rsidP="00F11A8B">
            <w:pPr>
              <w:pStyle w:val="a6"/>
              <w:tabs>
                <w:tab w:val="left" w:pos="1080"/>
              </w:tabs>
              <w:spacing w:before="120"/>
              <w:ind w:firstLine="567"/>
              <w:jc w:val="both"/>
              <w:rPr>
                <w:rFonts w:ascii="Garamond" w:hAnsi="Garamond"/>
                <w:b/>
                <w:bCs w:val="0"/>
                <w:sz w:val="22"/>
                <w:szCs w:val="22"/>
              </w:rPr>
            </w:pPr>
            <w:r w:rsidRPr="006F6DAC">
              <w:rPr>
                <w:rFonts w:ascii="Garamond" w:hAnsi="Garamond"/>
                <w:sz w:val="22"/>
                <w:szCs w:val="22"/>
              </w:rPr>
              <w:t>– групп точек поставки генерации.</w:t>
            </w:r>
          </w:p>
          <w:p w14:paraId="2BBE5E17" w14:textId="77777777" w:rsidR="00F11A8B" w:rsidRPr="006F6DAC" w:rsidRDefault="00F11A8B" w:rsidP="00F11A8B">
            <w:pPr>
              <w:pStyle w:val="a6"/>
              <w:tabs>
                <w:tab w:val="left" w:pos="1080"/>
              </w:tabs>
              <w:spacing w:before="120"/>
              <w:ind w:firstLine="567"/>
              <w:jc w:val="both"/>
              <w:rPr>
                <w:rFonts w:ascii="Garamond" w:hAnsi="Garamond"/>
                <w:b/>
                <w:sz w:val="22"/>
                <w:szCs w:val="22"/>
              </w:rPr>
            </w:pPr>
            <w:r w:rsidRPr="006F6DAC">
              <w:rPr>
                <w:rFonts w:ascii="Garamond" w:hAnsi="Garamond"/>
                <w:sz w:val="22"/>
                <w:szCs w:val="22"/>
              </w:rPr>
              <w:t>Под результатами измерений понимаются идентифицированные данные, полученные в результате измерений средствами измерений, предусмотренными Правилами оптового рынка электрической энергии и мощности (утв. постановлением Правительства РФ от 27.12.2010 № 1172), в отношении точек измерений.</w:t>
            </w:r>
          </w:p>
          <w:p w14:paraId="412C62FC" w14:textId="77777777" w:rsidR="00F11A8B" w:rsidRPr="006F6DAC" w:rsidRDefault="00F11A8B" w:rsidP="00F11A8B">
            <w:pPr>
              <w:pStyle w:val="a6"/>
              <w:tabs>
                <w:tab w:val="left" w:pos="1080"/>
              </w:tabs>
              <w:spacing w:before="120"/>
              <w:ind w:firstLine="567"/>
              <w:jc w:val="both"/>
              <w:rPr>
                <w:rFonts w:ascii="Garamond" w:hAnsi="Garamond"/>
                <w:b/>
                <w:bCs w:val="0"/>
                <w:color w:val="000000"/>
                <w:sz w:val="22"/>
                <w:szCs w:val="22"/>
              </w:rPr>
            </w:pPr>
            <w:r w:rsidRPr="006F6DAC">
              <w:rPr>
                <w:rFonts w:ascii="Garamond" w:hAnsi="Garamond"/>
                <w:sz w:val="22"/>
                <w:szCs w:val="22"/>
              </w:rPr>
              <w:t xml:space="preserve">В случае использования точек поставки, отвечающих требованиям приложения 8 к </w:t>
            </w:r>
            <w:r w:rsidRPr="006F6DAC">
              <w:rPr>
                <w:rFonts w:ascii="Garamond" w:hAnsi="Garamond"/>
                <w:i/>
                <w:color w:val="000000"/>
                <w:sz w:val="22"/>
                <w:szCs w:val="22"/>
              </w:rPr>
              <w:t>Положению о порядке получения статуса субъекта оптового рынка и ведения реестра субъектов оптового рынка</w:t>
            </w:r>
            <w:r w:rsidRPr="006F6DAC">
              <w:rPr>
                <w:rFonts w:ascii="Garamond" w:hAnsi="Garamond"/>
                <w:sz w:val="22"/>
                <w:szCs w:val="22"/>
              </w:rPr>
              <w:t xml:space="preserve"> (далее – «малые» точки поставки), и соответствующих им точек измерений (далее – «малые» точки измерений) </w:t>
            </w:r>
            <w:r w:rsidRPr="006F6DAC">
              <w:rPr>
                <w:rFonts w:ascii="Garamond" w:hAnsi="Garamond"/>
                <w:color w:val="000000"/>
                <w:sz w:val="22"/>
                <w:szCs w:val="22"/>
              </w:rPr>
              <w:t xml:space="preserve">передача </w:t>
            </w:r>
            <w:r w:rsidRPr="006F6DAC">
              <w:rPr>
                <w:rFonts w:ascii="Garamond" w:hAnsi="Garamond"/>
                <w:sz w:val="22"/>
                <w:szCs w:val="22"/>
              </w:rPr>
              <w:t>идентифицированных данных</w:t>
            </w:r>
            <w:r w:rsidRPr="006F6DAC">
              <w:rPr>
                <w:rFonts w:ascii="Garamond" w:hAnsi="Garamond"/>
                <w:color w:val="000000"/>
                <w:sz w:val="22"/>
                <w:szCs w:val="22"/>
              </w:rPr>
              <w:t xml:space="preserve"> осуществляется в документе 80040</w:t>
            </w:r>
            <w:r w:rsidRPr="006F6DAC">
              <w:rPr>
                <w:rFonts w:ascii="Garamond" w:hAnsi="Garamond"/>
                <w:color w:val="000000"/>
                <w:sz w:val="22"/>
                <w:szCs w:val="22"/>
                <w:highlight w:val="yellow"/>
              </w:rPr>
              <w:t>:</w:t>
            </w:r>
          </w:p>
          <w:p w14:paraId="5EDE3416" w14:textId="77777777" w:rsidR="00F11A8B" w:rsidRPr="006F6DAC" w:rsidRDefault="00F11A8B" w:rsidP="00F11A8B">
            <w:pPr>
              <w:pStyle w:val="a6"/>
              <w:tabs>
                <w:tab w:val="left" w:pos="1080"/>
              </w:tabs>
              <w:spacing w:before="120"/>
              <w:ind w:firstLine="567"/>
              <w:jc w:val="both"/>
              <w:rPr>
                <w:rFonts w:ascii="Garamond" w:hAnsi="Garamond"/>
                <w:b/>
                <w:color w:val="000000"/>
                <w:sz w:val="22"/>
                <w:szCs w:val="22"/>
              </w:rPr>
            </w:pPr>
            <w:r w:rsidRPr="006F6DAC">
              <w:rPr>
                <w:rFonts w:ascii="Garamond" w:hAnsi="Garamond"/>
                <w:color w:val="000000"/>
                <w:sz w:val="22"/>
                <w:szCs w:val="22"/>
                <w:highlight w:val="yellow"/>
              </w:rPr>
              <w:t>–</w:t>
            </w:r>
            <w:r w:rsidRPr="006F6DAC">
              <w:rPr>
                <w:rFonts w:ascii="Garamond" w:hAnsi="Garamond"/>
                <w:color w:val="000000"/>
                <w:sz w:val="22"/>
                <w:szCs w:val="22"/>
              </w:rPr>
              <w:t xml:space="preserve"> по закодированным «малым» точкам измерений</w:t>
            </w:r>
            <w:r w:rsidRPr="006F6DAC">
              <w:rPr>
                <w:rFonts w:ascii="Garamond" w:hAnsi="Garamond"/>
                <w:color w:val="000000"/>
                <w:sz w:val="22"/>
                <w:szCs w:val="22"/>
                <w:highlight w:val="yellow"/>
              </w:rPr>
              <w:t>;</w:t>
            </w:r>
          </w:p>
          <w:p w14:paraId="0D812855" w14:textId="77777777" w:rsidR="00F11A8B" w:rsidRPr="006F6DAC" w:rsidRDefault="00F11A8B" w:rsidP="00F11A8B">
            <w:pPr>
              <w:pStyle w:val="a6"/>
              <w:tabs>
                <w:tab w:val="left" w:pos="1080"/>
              </w:tabs>
              <w:spacing w:before="120"/>
              <w:ind w:firstLine="567"/>
              <w:jc w:val="both"/>
              <w:rPr>
                <w:rFonts w:ascii="Garamond" w:hAnsi="Garamond"/>
                <w:sz w:val="22"/>
                <w:szCs w:val="22"/>
              </w:rPr>
            </w:pPr>
            <w:r w:rsidRPr="006F6DAC">
              <w:rPr>
                <w:rFonts w:ascii="Garamond" w:hAnsi="Garamond"/>
                <w:color w:val="000000"/>
                <w:sz w:val="22"/>
                <w:szCs w:val="22"/>
                <w:highlight w:val="yellow"/>
              </w:rPr>
              <w:t xml:space="preserve">– </w:t>
            </w:r>
            <w:r w:rsidRPr="006F6DAC">
              <w:rPr>
                <w:rFonts w:ascii="Garamond" w:hAnsi="Garamond"/>
                <w:sz w:val="22"/>
                <w:szCs w:val="22"/>
                <w:highlight w:val="yellow"/>
              </w:rPr>
              <w:t xml:space="preserve">по совокупности «малых» точек измерений </w:t>
            </w:r>
            <w:r w:rsidRPr="006F6DAC">
              <w:rPr>
                <w:rFonts w:ascii="Garamond" w:hAnsi="Garamond"/>
                <w:color w:val="000000"/>
                <w:sz w:val="22"/>
                <w:szCs w:val="22"/>
                <w:highlight w:val="yellow"/>
              </w:rPr>
              <w:t xml:space="preserve">в виде единого (совокупного) результата измерений в случае присвоения </w:t>
            </w:r>
            <w:r w:rsidRPr="006F6DAC">
              <w:rPr>
                <w:rFonts w:ascii="Garamond" w:hAnsi="Garamond"/>
                <w:sz w:val="22"/>
                <w:szCs w:val="22"/>
                <w:highlight w:val="yellow"/>
              </w:rPr>
              <w:t>КО совокупных кодов</w:t>
            </w:r>
            <w:r w:rsidRPr="006F6DAC">
              <w:rPr>
                <w:rFonts w:ascii="Garamond" w:hAnsi="Garamond"/>
                <w:color w:val="000000"/>
                <w:sz w:val="22"/>
                <w:szCs w:val="22"/>
                <w:highlight w:val="yellow"/>
              </w:rPr>
              <w:t xml:space="preserve"> </w:t>
            </w:r>
            <w:r w:rsidRPr="006F6DAC">
              <w:rPr>
                <w:rFonts w:ascii="Garamond" w:hAnsi="Garamond"/>
                <w:sz w:val="22"/>
                <w:szCs w:val="22"/>
                <w:highlight w:val="yellow"/>
              </w:rPr>
              <w:t>«малых» точек измерений и точек поставки.</w:t>
            </w:r>
          </w:p>
        </w:tc>
        <w:tc>
          <w:tcPr>
            <w:tcW w:w="7115" w:type="dxa"/>
          </w:tcPr>
          <w:p w14:paraId="2EF4ED6B" w14:textId="77777777" w:rsidR="00F11A8B" w:rsidRPr="006F6DAC" w:rsidRDefault="00F11A8B" w:rsidP="00C80B78">
            <w:pPr>
              <w:pStyle w:val="a6"/>
              <w:tabs>
                <w:tab w:val="left" w:pos="1080"/>
                <w:tab w:val="num" w:pos="1440"/>
              </w:tabs>
              <w:suppressAutoHyphens w:val="0"/>
              <w:spacing w:before="120" w:after="120"/>
              <w:ind w:firstLine="460"/>
              <w:jc w:val="both"/>
              <w:rPr>
                <w:rFonts w:ascii="Garamond" w:hAnsi="Garamond"/>
                <w:b/>
                <w:bCs w:val="0"/>
                <w:sz w:val="22"/>
                <w:szCs w:val="22"/>
              </w:rPr>
            </w:pPr>
            <w:r w:rsidRPr="006F6DAC">
              <w:rPr>
                <w:rFonts w:ascii="Garamond" w:hAnsi="Garamond"/>
                <w:sz w:val="22"/>
                <w:szCs w:val="22"/>
              </w:rPr>
              <w:t xml:space="preserve">Под значениями учетного показателя понимаются идентифицированные данные </w:t>
            </w:r>
            <w:r w:rsidRPr="006F6DAC">
              <w:rPr>
                <w:rFonts w:ascii="Garamond" w:hAnsi="Garamond"/>
                <w:sz w:val="22"/>
                <w:szCs w:val="22"/>
                <w:highlight w:val="yellow"/>
              </w:rPr>
              <w:t>об объемах электроэнергии</w:t>
            </w:r>
            <w:r w:rsidRPr="006F6DAC">
              <w:rPr>
                <w:rFonts w:ascii="Garamond" w:hAnsi="Garamond"/>
                <w:sz w:val="22"/>
                <w:szCs w:val="22"/>
              </w:rPr>
              <w:t>, полученные в результате расчета с использованием алгоритма расчета учетного показателя, указанного в ПСИ</w:t>
            </w:r>
            <w:r w:rsidRPr="006F6DAC">
              <w:rPr>
                <w:rFonts w:ascii="Garamond" w:hAnsi="Garamond"/>
                <w:sz w:val="22"/>
                <w:szCs w:val="22"/>
                <w:highlight w:val="yellow"/>
              </w:rPr>
              <w:t>,</w:t>
            </w:r>
            <w:r w:rsidRPr="006F6DAC">
              <w:rPr>
                <w:rFonts w:ascii="Garamond" w:hAnsi="Garamond"/>
                <w:sz w:val="22"/>
                <w:szCs w:val="22"/>
              </w:rPr>
              <w:t xml:space="preserve"> в отношении:</w:t>
            </w:r>
          </w:p>
          <w:p w14:paraId="0544DF9E" w14:textId="77777777" w:rsidR="00F11A8B" w:rsidRPr="006F6DAC" w:rsidRDefault="00F11A8B" w:rsidP="00F11A8B">
            <w:pPr>
              <w:pStyle w:val="a6"/>
              <w:tabs>
                <w:tab w:val="left" w:pos="1080"/>
              </w:tabs>
              <w:spacing w:before="120"/>
              <w:ind w:firstLine="567"/>
              <w:jc w:val="both"/>
              <w:rPr>
                <w:rFonts w:ascii="Garamond" w:hAnsi="Garamond"/>
                <w:sz w:val="22"/>
                <w:szCs w:val="22"/>
              </w:rPr>
            </w:pPr>
            <w:r w:rsidRPr="006F6DAC">
              <w:rPr>
                <w:rFonts w:ascii="Garamond" w:hAnsi="Garamond"/>
                <w:sz w:val="22"/>
                <w:szCs w:val="22"/>
              </w:rPr>
              <w:t xml:space="preserve">– точки (точек) поставки </w:t>
            </w:r>
            <w:r w:rsidRPr="006F6DAC">
              <w:rPr>
                <w:rFonts w:ascii="Garamond" w:hAnsi="Garamond"/>
                <w:sz w:val="22"/>
                <w:szCs w:val="22"/>
                <w:highlight w:val="yellow"/>
              </w:rPr>
              <w:t>в сечении коммерческого учета или ГТП генерации</w:t>
            </w:r>
            <w:r w:rsidRPr="006F6DAC">
              <w:rPr>
                <w:rFonts w:ascii="Garamond" w:hAnsi="Garamond"/>
                <w:sz w:val="22"/>
                <w:szCs w:val="22"/>
              </w:rPr>
              <w:t>;</w:t>
            </w:r>
          </w:p>
          <w:p w14:paraId="3E435749" w14:textId="77777777" w:rsidR="00F11A8B" w:rsidRPr="006F6DAC" w:rsidRDefault="00F11A8B" w:rsidP="00F11A8B">
            <w:pPr>
              <w:pStyle w:val="a6"/>
              <w:tabs>
                <w:tab w:val="left" w:pos="1080"/>
              </w:tabs>
              <w:spacing w:before="120"/>
              <w:ind w:firstLine="567"/>
              <w:jc w:val="both"/>
              <w:rPr>
                <w:rFonts w:ascii="Garamond" w:hAnsi="Garamond"/>
                <w:b/>
                <w:bCs w:val="0"/>
                <w:sz w:val="22"/>
                <w:szCs w:val="22"/>
              </w:rPr>
            </w:pPr>
            <w:r w:rsidRPr="006F6DAC">
              <w:rPr>
                <w:rFonts w:ascii="Garamond" w:hAnsi="Garamond"/>
                <w:sz w:val="22"/>
                <w:szCs w:val="22"/>
              </w:rPr>
              <w:t>– сечений коммерческого учета;</w:t>
            </w:r>
          </w:p>
          <w:p w14:paraId="38786FC6" w14:textId="77777777" w:rsidR="00F11A8B" w:rsidRPr="006F6DAC" w:rsidRDefault="00F11A8B" w:rsidP="00F11A8B">
            <w:pPr>
              <w:pStyle w:val="a6"/>
              <w:tabs>
                <w:tab w:val="left" w:pos="1080"/>
              </w:tabs>
              <w:spacing w:before="120"/>
              <w:ind w:firstLine="567"/>
              <w:jc w:val="both"/>
              <w:rPr>
                <w:rFonts w:ascii="Garamond" w:hAnsi="Garamond"/>
                <w:b/>
                <w:sz w:val="22"/>
                <w:szCs w:val="22"/>
              </w:rPr>
            </w:pPr>
            <w:r w:rsidRPr="006F6DAC">
              <w:rPr>
                <w:rFonts w:ascii="Garamond" w:hAnsi="Garamond"/>
                <w:sz w:val="22"/>
                <w:szCs w:val="22"/>
              </w:rPr>
              <w:t xml:space="preserve">– групп точек поставки генерации </w:t>
            </w:r>
            <w:r w:rsidRPr="006F6DAC">
              <w:rPr>
                <w:rFonts w:ascii="Garamond" w:hAnsi="Garamond"/>
                <w:sz w:val="22"/>
                <w:szCs w:val="22"/>
                <w:highlight w:val="yellow"/>
              </w:rPr>
              <w:t>(далее – ГТП генерации)</w:t>
            </w:r>
            <w:r w:rsidRPr="006F6DAC">
              <w:rPr>
                <w:rFonts w:ascii="Garamond" w:hAnsi="Garamond"/>
                <w:sz w:val="22"/>
                <w:szCs w:val="22"/>
              </w:rPr>
              <w:t>;</w:t>
            </w:r>
          </w:p>
          <w:p w14:paraId="7F64DA1D" w14:textId="77777777" w:rsidR="00F11A8B" w:rsidRPr="006F6DAC" w:rsidRDefault="00F11A8B" w:rsidP="00F11A8B">
            <w:pPr>
              <w:pStyle w:val="a6"/>
              <w:tabs>
                <w:tab w:val="left" w:pos="1080"/>
              </w:tabs>
              <w:spacing w:before="120"/>
              <w:ind w:firstLine="567"/>
              <w:jc w:val="both"/>
              <w:rPr>
                <w:rFonts w:ascii="Garamond" w:hAnsi="Garamond"/>
                <w:b/>
                <w:sz w:val="22"/>
                <w:szCs w:val="22"/>
                <w:highlight w:val="yellow"/>
              </w:rPr>
            </w:pPr>
            <w:r w:rsidRPr="006F6DAC">
              <w:rPr>
                <w:rFonts w:ascii="Garamond" w:hAnsi="Garamond"/>
                <w:sz w:val="22"/>
                <w:szCs w:val="22"/>
                <w:highlight w:val="yellow"/>
              </w:rPr>
              <w:t>– точки (точек) присоединения объектов регулирования (далее – точки присоединения);</w:t>
            </w:r>
          </w:p>
          <w:p w14:paraId="5B108CE9" w14:textId="77777777" w:rsidR="00F11A8B" w:rsidRPr="006F6DAC" w:rsidRDefault="00F11A8B" w:rsidP="00F11A8B">
            <w:pPr>
              <w:pStyle w:val="a6"/>
              <w:tabs>
                <w:tab w:val="left" w:pos="1080"/>
              </w:tabs>
              <w:spacing w:before="120"/>
              <w:ind w:firstLine="567"/>
              <w:jc w:val="both"/>
              <w:rPr>
                <w:rFonts w:ascii="Garamond" w:hAnsi="Garamond"/>
                <w:b/>
                <w:bCs w:val="0"/>
                <w:sz w:val="22"/>
                <w:szCs w:val="22"/>
              </w:rPr>
            </w:pPr>
            <w:r w:rsidRPr="006F6DAC">
              <w:rPr>
                <w:rFonts w:ascii="Garamond" w:hAnsi="Garamond"/>
                <w:sz w:val="22"/>
                <w:szCs w:val="22"/>
                <w:highlight w:val="yellow"/>
              </w:rPr>
              <w:t>– объектов регулирования.</w:t>
            </w:r>
          </w:p>
          <w:p w14:paraId="24FAA295" w14:textId="77777777" w:rsidR="00F11A8B" w:rsidRPr="006F6DAC" w:rsidRDefault="00F11A8B" w:rsidP="00F11A8B">
            <w:pPr>
              <w:pStyle w:val="a6"/>
              <w:tabs>
                <w:tab w:val="left" w:pos="1080"/>
              </w:tabs>
              <w:spacing w:before="120"/>
              <w:ind w:firstLine="567"/>
              <w:jc w:val="both"/>
              <w:rPr>
                <w:rFonts w:ascii="Garamond" w:hAnsi="Garamond"/>
                <w:b/>
                <w:sz w:val="22"/>
                <w:szCs w:val="22"/>
              </w:rPr>
            </w:pPr>
            <w:r w:rsidRPr="006F6DAC">
              <w:rPr>
                <w:rFonts w:ascii="Garamond" w:hAnsi="Garamond"/>
                <w:sz w:val="22"/>
                <w:szCs w:val="22"/>
              </w:rPr>
              <w:t>Под результатами измерений понимаются идентифицированные данные, полученные в результате измерений средствами измерений, предусмотренными Правилами оптового рынка электрической энергии и мощности (утв. постановлением Правительства РФ от 27.12.2010 № 1172), в отношении точек измерений.</w:t>
            </w:r>
          </w:p>
          <w:p w14:paraId="1F4FAF2D" w14:textId="3711A534" w:rsidR="00F11A8B" w:rsidRPr="00C80B78" w:rsidRDefault="00F11A8B" w:rsidP="00C80B78">
            <w:pPr>
              <w:pStyle w:val="a6"/>
              <w:tabs>
                <w:tab w:val="left" w:pos="1080"/>
              </w:tabs>
              <w:spacing w:before="120"/>
              <w:ind w:firstLine="567"/>
              <w:jc w:val="both"/>
              <w:rPr>
                <w:rFonts w:ascii="Garamond" w:hAnsi="Garamond"/>
                <w:b/>
                <w:bCs w:val="0"/>
                <w:color w:val="000000"/>
                <w:sz w:val="22"/>
                <w:szCs w:val="22"/>
              </w:rPr>
            </w:pPr>
            <w:r w:rsidRPr="006F6DAC">
              <w:rPr>
                <w:rFonts w:ascii="Garamond" w:hAnsi="Garamond"/>
                <w:sz w:val="22"/>
                <w:szCs w:val="22"/>
              </w:rPr>
              <w:t xml:space="preserve">В случае использования точек поставки, отвечающих требованиям приложения 8 к </w:t>
            </w:r>
            <w:r w:rsidRPr="006F6DAC">
              <w:rPr>
                <w:rFonts w:ascii="Garamond" w:hAnsi="Garamond"/>
                <w:i/>
                <w:color w:val="000000"/>
                <w:sz w:val="22"/>
                <w:szCs w:val="22"/>
              </w:rPr>
              <w:t>Положению о порядке получения статуса субъекта оптового рынка и ведения реестра субъектов оптового рынка</w:t>
            </w:r>
            <w:r w:rsidRPr="006F6DAC">
              <w:rPr>
                <w:rFonts w:ascii="Garamond" w:hAnsi="Garamond"/>
                <w:sz w:val="22"/>
                <w:szCs w:val="22"/>
              </w:rPr>
              <w:t xml:space="preserve"> </w:t>
            </w:r>
            <w:r w:rsidR="007B726D" w:rsidRPr="006F6DAC">
              <w:rPr>
                <w:rFonts w:ascii="Garamond" w:hAnsi="Garamond"/>
                <w:sz w:val="22"/>
                <w:szCs w:val="22"/>
                <w:highlight w:val="yellow"/>
              </w:rPr>
              <w:t xml:space="preserve">(Приложение № 1.1 к </w:t>
            </w:r>
            <w:r w:rsidR="007B726D" w:rsidRPr="006F6DAC">
              <w:rPr>
                <w:rFonts w:ascii="Garamond" w:hAnsi="Garamond"/>
                <w:i/>
                <w:sz w:val="22"/>
                <w:szCs w:val="22"/>
                <w:highlight w:val="yellow"/>
              </w:rPr>
              <w:t>Договору о присоединении к торговой системе оптового рынка</w:t>
            </w:r>
            <w:r w:rsidR="007B726D" w:rsidRPr="006F6DAC">
              <w:rPr>
                <w:rFonts w:ascii="Garamond" w:hAnsi="Garamond"/>
                <w:sz w:val="22"/>
                <w:szCs w:val="22"/>
                <w:highlight w:val="yellow"/>
              </w:rPr>
              <w:t>)</w:t>
            </w:r>
            <w:r w:rsidR="007B726D" w:rsidRPr="006F6DAC">
              <w:rPr>
                <w:rFonts w:ascii="Garamond" w:hAnsi="Garamond"/>
                <w:sz w:val="22"/>
                <w:szCs w:val="22"/>
              </w:rPr>
              <w:t xml:space="preserve"> </w:t>
            </w:r>
            <w:r w:rsidRPr="006F6DAC">
              <w:rPr>
                <w:rFonts w:ascii="Garamond" w:hAnsi="Garamond"/>
                <w:sz w:val="22"/>
                <w:szCs w:val="22"/>
              </w:rPr>
              <w:t xml:space="preserve">(далее – «малые» точки поставки), и соответствующих им точек измерений (далее – «малые» точки измерений) </w:t>
            </w:r>
            <w:r w:rsidRPr="006F6DAC">
              <w:rPr>
                <w:rFonts w:ascii="Garamond" w:hAnsi="Garamond"/>
                <w:color w:val="000000"/>
                <w:sz w:val="22"/>
                <w:szCs w:val="22"/>
              </w:rPr>
              <w:t xml:space="preserve">передача </w:t>
            </w:r>
            <w:r w:rsidRPr="006F6DAC">
              <w:rPr>
                <w:rFonts w:ascii="Garamond" w:hAnsi="Garamond"/>
                <w:sz w:val="22"/>
                <w:szCs w:val="22"/>
              </w:rPr>
              <w:t>идентифицированных данных</w:t>
            </w:r>
            <w:r w:rsidRPr="006F6DAC">
              <w:rPr>
                <w:rFonts w:ascii="Garamond" w:hAnsi="Garamond"/>
                <w:color w:val="000000"/>
                <w:sz w:val="22"/>
                <w:szCs w:val="22"/>
              </w:rPr>
              <w:t xml:space="preserve"> осуществляется в документе 80040 по закодированным «малым» точкам измерений.</w:t>
            </w:r>
          </w:p>
        </w:tc>
      </w:tr>
      <w:tr w:rsidR="00F11A8B" w:rsidRPr="006F6DAC" w14:paraId="09BC856E" w14:textId="77777777" w:rsidTr="006F6DAC">
        <w:tc>
          <w:tcPr>
            <w:tcW w:w="1060" w:type="dxa"/>
          </w:tcPr>
          <w:p w14:paraId="4E9AC643" w14:textId="77777777" w:rsidR="00F11A8B" w:rsidRPr="006F6DAC" w:rsidRDefault="00F11A8B" w:rsidP="00F11A8B">
            <w:pPr>
              <w:widowControl w:val="0"/>
              <w:spacing w:line="259" w:lineRule="auto"/>
              <w:jc w:val="center"/>
              <w:rPr>
                <w:rFonts w:ascii="Garamond" w:hAnsi="Garamond"/>
                <w:b/>
                <w:sz w:val="22"/>
                <w:szCs w:val="22"/>
                <w:lang w:eastAsia="en-US"/>
              </w:rPr>
            </w:pPr>
            <w:r w:rsidRPr="006F6DAC">
              <w:rPr>
                <w:rFonts w:ascii="Garamond" w:hAnsi="Garamond"/>
                <w:b/>
                <w:sz w:val="22"/>
                <w:szCs w:val="22"/>
                <w:lang w:eastAsia="en-US"/>
              </w:rPr>
              <w:t>2.2</w:t>
            </w:r>
          </w:p>
        </w:tc>
        <w:tc>
          <w:tcPr>
            <w:tcW w:w="6804" w:type="dxa"/>
          </w:tcPr>
          <w:p w14:paraId="22B4E92F" w14:textId="77777777" w:rsidR="00F11A8B" w:rsidRPr="006F6DAC" w:rsidRDefault="00F11A8B" w:rsidP="006F6DAC">
            <w:pPr>
              <w:widowControl w:val="0"/>
              <w:spacing w:line="259" w:lineRule="auto"/>
              <w:ind w:firstLine="598"/>
              <w:jc w:val="both"/>
              <w:rPr>
                <w:rFonts w:ascii="Garamond" w:hAnsi="Garamond"/>
                <w:sz w:val="22"/>
                <w:szCs w:val="22"/>
              </w:rPr>
            </w:pPr>
            <w:r w:rsidRPr="006F6DAC">
              <w:rPr>
                <w:rFonts w:ascii="Garamond" w:hAnsi="Garamond"/>
                <w:color w:val="000000"/>
                <w:sz w:val="22"/>
                <w:szCs w:val="22"/>
              </w:rPr>
              <w:t>Типовым суточным графиком нагрузки в отношении измерительного канала точки измерени</w:t>
            </w:r>
            <w:r w:rsidRPr="006F6DAC">
              <w:rPr>
                <w:rFonts w:ascii="Garamond" w:hAnsi="Garamond"/>
                <w:color w:val="000000"/>
                <w:sz w:val="22"/>
                <w:szCs w:val="22"/>
                <w:highlight w:val="yellow"/>
              </w:rPr>
              <w:t>я</w:t>
            </w:r>
            <w:r w:rsidRPr="006F6DAC">
              <w:rPr>
                <w:rFonts w:ascii="Garamond" w:hAnsi="Garamond" w:cs="Courier New"/>
                <w:sz w:val="22"/>
                <w:szCs w:val="22"/>
                <w:highlight w:val="yellow"/>
              </w:rPr>
              <w:t>/совокупности «малых» точек измерения</w:t>
            </w:r>
            <w:r w:rsidRPr="006F6DAC">
              <w:rPr>
                <w:rFonts w:ascii="Garamond" w:hAnsi="Garamond"/>
                <w:color w:val="000000"/>
                <w:sz w:val="22"/>
                <w:szCs w:val="22"/>
              </w:rPr>
              <w:t xml:space="preserve"> является распределение суммарной суточной нагрузки измерительного канала точки измерени</w:t>
            </w:r>
            <w:r w:rsidRPr="006F6DAC">
              <w:rPr>
                <w:rFonts w:ascii="Garamond" w:hAnsi="Garamond"/>
                <w:color w:val="000000"/>
                <w:sz w:val="22"/>
                <w:szCs w:val="22"/>
                <w:highlight w:val="yellow"/>
              </w:rPr>
              <w:t>я</w:t>
            </w:r>
            <w:r w:rsidRPr="006F6DAC">
              <w:rPr>
                <w:rFonts w:ascii="Garamond" w:hAnsi="Garamond" w:cs="Courier New"/>
                <w:sz w:val="22"/>
                <w:szCs w:val="22"/>
                <w:highlight w:val="yellow"/>
              </w:rPr>
              <w:t>/совокупности «малых» точек измерения</w:t>
            </w:r>
            <w:r w:rsidRPr="006F6DAC">
              <w:rPr>
                <w:rFonts w:ascii="Garamond" w:hAnsi="Garamond"/>
                <w:color w:val="000000"/>
                <w:sz w:val="22"/>
                <w:szCs w:val="22"/>
              </w:rPr>
              <w:t xml:space="preserve"> по часовым или получасовым временным интервалам в пределах суток. Типовой суточный график нагрузки передается для измерительных каналов точек измерени</w:t>
            </w:r>
            <w:r w:rsidRPr="006F6DAC">
              <w:rPr>
                <w:rFonts w:ascii="Garamond" w:hAnsi="Garamond"/>
                <w:color w:val="000000"/>
                <w:sz w:val="22"/>
                <w:szCs w:val="22"/>
                <w:highlight w:val="yellow"/>
              </w:rPr>
              <w:t>я</w:t>
            </w:r>
            <w:r w:rsidRPr="006F6DAC">
              <w:rPr>
                <w:rFonts w:ascii="Garamond" w:hAnsi="Garamond" w:cs="Courier New"/>
                <w:sz w:val="22"/>
                <w:szCs w:val="22"/>
                <w:highlight w:val="yellow"/>
              </w:rPr>
              <w:t xml:space="preserve">/совокупности «малых» точек </w:t>
            </w:r>
            <w:r w:rsidRPr="006F6DAC">
              <w:rPr>
                <w:rFonts w:ascii="Garamond" w:hAnsi="Garamond" w:cs="Courier New"/>
                <w:sz w:val="22"/>
                <w:szCs w:val="22"/>
                <w:highlight w:val="yellow"/>
              </w:rPr>
              <w:lastRenderedPageBreak/>
              <w:t>измерения</w:t>
            </w:r>
            <w:r w:rsidRPr="006F6DAC">
              <w:rPr>
                <w:rFonts w:ascii="Garamond" w:hAnsi="Garamond"/>
                <w:color w:val="000000"/>
                <w:sz w:val="22"/>
                <w:szCs w:val="22"/>
              </w:rPr>
              <w:t>, оснащенных интегральным учетом, в виде результатов измерений за выбранный типовой рабочий и выходной день. При разбиении интегрального месячного значения для точки измерени</w:t>
            </w:r>
            <w:r w:rsidRPr="006F6DAC">
              <w:rPr>
                <w:rFonts w:ascii="Garamond" w:hAnsi="Garamond"/>
                <w:color w:val="000000"/>
                <w:sz w:val="22"/>
                <w:szCs w:val="22"/>
                <w:highlight w:val="yellow"/>
              </w:rPr>
              <w:t>я</w:t>
            </w:r>
            <w:r w:rsidRPr="006F6DAC">
              <w:rPr>
                <w:rFonts w:ascii="Garamond" w:hAnsi="Garamond" w:cs="Courier New"/>
                <w:sz w:val="22"/>
                <w:szCs w:val="22"/>
                <w:highlight w:val="yellow"/>
              </w:rPr>
              <w:t>/совокупности «малых» точек</w:t>
            </w:r>
            <w:r w:rsidRPr="006F6DAC">
              <w:rPr>
                <w:rFonts w:ascii="Garamond" w:hAnsi="Garamond" w:cs="Courier New"/>
                <w:sz w:val="22"/>
                <w:szCs w:val="22"/>
              </w:rPr>
              <w:t xml:space="preserve"> </w:t>
            </w:r>
            <w:r w:rsidRPr="006F6DAC">
              <w:rPr>
                <w:rFonts w:ascii="Garamond" w:hAnsi="Garamond" w:cs="Courier New"/>
                <w:sz w:val="22"/>
                <w:szCs w:val="22"/>
                <w:highlight w:val="yellow"/>
              </w:rPr>
              <w:t>измерения</w:t>
            </w:r>
            <w:r w:rsidRPr="006F6DAC">
              <w:rPr>
                <w:rFonts w:ascii="Garamond" w:hAnsi="Garamond"/>
                <w:color w:val="000000"/>
                <w:sz w:val="22"/>
                <w:szCs w:val="22"/>
              </w:rPr>
              <w:t xml:space="preserve"> по часам суток с использованием типового суточного графика нагрузки следует иметь ввиду, что разбиение производится одинаково по всем суткам месяца, с учетом рабочих и выходных дней, т.е. для одного часа разных рабочих (или выходных) суток значения должны совпадать с точностью до 1 кВт</w:t>
            </w:r>
            <w:r w:rsidRPr="006F6DAC">
              <w:rPr>
                <w:rFonts w:ascii="Garamond" w:hAnsi="Garamond"/>
                <w:color w:val="000000"/>
                <w:sz w:val="22"/>
                <w:szCs w:val="22"/>
              </w:rPr>
              <w:sym w:font="Symbol" w:char="F0D7"/>
            </w:r>
            <w:r w:rsidRPr="006F6DAC">
              <w:rPr>
                <w:rFonts w:ascii="Garamond" w:hAnsi="Garamond"/>
                <w:color w:val="000000"/>
                <w:sz w:val="22"/>
                <w:szCs w:val="22"/>
              </w:rPr>
              <w:t>ч – величины погрешности округления. Алгоритм округления приведен в п. 2.13 настоящего приложения.</w:t>
            </w:r>
          </w:p>
        </w:tc>
        <w:tc>
          <w:tcPr>
            <w:tcW w:w="7115" w:type="dxa"/>
          </w:tcPr>
          <w:p w14:paraId="116278AF" w14:textId="77777777" w:rsidR="00F11A8B" w:rsidRPr="006F6DAC" w:rsidRDefault="00F11A8B" w:rsidP="006F6DAC">
            <w:pPr>
              <w:widowControl w:val="0"/>
              <w:spacing w:line="259" w:lineRule="auto"/>
              <w:ind w:firstLine="598"/>
              <w:jc w:val="both"/>
              <w:rPr>
                <w:rFonts w:ascii="Garamond" w:hAnsi="Garamond"/>
                <w:sz w:val="22"/>
                <w:szCs w:val="22"/>
              </w:rPr>
            </w:pPr>
            <w:r w:rsidRPr="006F6DAC">
              <w:rPr>
                <w:rFonts w:ascii="Garamond" w:hAnsi="Garamond"/>
                <w:color w:val="000000"/>
                <w:sz w:val="22"/>
                <w:szCs w:val="22"/>
              </w:rPr>
              <w:lastRenderedPageBreak/>
              <w:t>Типовым суточным графиком нагрузки в отношении измерительного канала точки измерени</w:t>
            </w:r>
            <w:r w:rsidRPr="006F6DAC">
              <w:rPr>
                <w:rFonts w:ascii="Garamond" w:hAnsi="Garamond"/>
                <w:color w:val="000000"/>
                <w:sz w:val="22"/>
                <w:szCs w:val="22"/>
                <w:highlight w:val="yellow"/>
              </w:rPr>
              <w:t>й</w:t>
            </w:r>
            <w:r w:rsidRPr="006F6DAC">
              <w:rPr>
                <w:rFonts w:ascii="Garamond" w:hAnsi="Garamond"/>
                <w:color w:val="000000"/>
                <w:sz w:val="22"/>
                <w:szCs w:val="22"/>
              </w:rPr>
              <w:t xml:space="preserve"> является распределение суммарной суточной нагрузки измерительного канала точки измерени</w:t>
            </w:r>
            <w:r w:rsidRPr="006F6DAC">
              <w:rPr>
                <w:rFonts w:ascii="Garamond" w:hAnsi="Garamond"/>
                <w:color w:val="000000"/>
                <w:sz w:val="22"/>
                <w:szCs w:val="22"/>
                <w:highlight w:val="yellow"/>
              </w:rPr>
              <w:t>й</w:t>
            </w:r>
            <w:r w:rsidRPr="006F6DAC">
              <w:rPr>
                <w:rFonts w:ascii="Garamond" w:hAnsi="Garamond"/>
                <w:color w:val="000000"/>
                <w:sz w:val="22"/>
                <w:szCs w:val="22"/>
              </w:rPr>
              <w:t xml:space="preserve"> по часовым или получасовым временным интервалам в пределах суток. Типовой суточный график нагрузки передается </w:t>
            </w:r>
            <w:r w:rsidRPr="006F6DAC">
              <w:rPr>
                <w:rFonts w:ascii="Garamond" w:hAnsi="Garamond"/>
                <w:color w:val="000000"/>
                <w:sz w:val="22"/>
                <w:szCs w:val="22"/>
                <w:highlight w:val="yellow"/>
              </w:rPr>
              <w:t>смежному субъекту оптового рынка</w:t>
            </w:r>
            <w:r w:rsidRPr="006F6DAC">
              <w:rPr>
                <w:rFonts w:ascii="Garamond" w:hAnsi="Garamond"/>
                <w:color w:val="000000"/>
                <w:sz w:val="22"/>
                <w:szCs w:val="22"/>
              </w:rPr>
              <w:t xml:space="preserve"> для измерительных каналов точек измерени</w:t>
            </w:r>
            <w:r w:rsidRPr="006F6DAC">
              <w:rPr>
                <w:rFonts w:ascii="Garamond" w:hAnsi="Garamond"/>
                <w:color w:val="000000"/>
                <w:sz w:val="22"/>
                <w:szCs w:val="22"/>
                <w:highlight w:val="yellow"/>
              </w:rPr>
              <w:t>й</w:t>
            </w:r>
            <w:r w:rsidRPr="006F6DAC">
              <w:rPr>
                <w:rFonts w:ascii="Garamond" w:hAnsi="Garamond"/>
                <w:color w:val="000000"/>
                <w:sz w:val="22"/>
                <w:szCs w:val="22"/>
              </w:rPr>
              <w:t xml:space="preserve">, оснащенных интегральным учетом, в виде результатов измерений за выбранный типовой рабочий и </w:t>
            </w:r>
            <w:r w:rsidRPr="006F6DAC">
              <w:rPr>
                <w:rFonts w:ascii="Garamond" w:hAnsi="Garamond"/>
                <w:color w:val="000000"/>
                <w:sz w:val="22"/>
                <w:szCs w:val="22"/>
              </w:rPr>
              <w:lastRenderedPageBreak/>
              <w:t>выходной день. При разбиении интегрального месячного значения для точки измерени</w:t>
            </w:r>
            <w:r w:rsidRPr="006F6DAC">
              <w:rPr>
                <w:rFonts w:ascii="Garamond" w:hAnsi="Garamond"/>
                <w:color w:val="000000"/>
                <w:sz w:val="22"/>
                <w:szCs w:val="22"/>
                <w:highlight w:val="yellow"/>
              </w:rPr>
              <w:t>й</w:t>
            </w:r>
            <w:r w:rsidRPr="006F6DAC">
              <w:rPr>
                <w:rFonts w:ascii="Garamond" w:hAnsi="Garamond"/>
                <w:color w:val="000000"/>
                <w:sz w:val="22"/>
                <w:szCs w:val="22"/>
              </w:rPr>
              <w:t xml:space="preserve"> по часам суток с использованием типового суточного графика нагрузки следует иметь ввиду, что разбиение производится одинаково по всем суткам месяца, с учетом рабочих и выходных дней, т.е. для одного часа разных рабочих (или выходных) суток значения должны совпадать с точностью до 1 кВт</w:t>
            </w:r>
            <w:r w:rsidRPr="006F6DAC">
              <w:rPr>
                <w:rFonts w:ascii="Garamond" w:hAnsi="Garamond"/>
                <w:color w:val="000000"/>
                <w:sz w:val="22"/>
                <w:szCs w:val="22"/>
              </w:rPr>
              <w:sym w:font="Symbol" w:char="F0D7"/>
            </w:r>
            <w:r w:rsidRPr="006F6DAC">
              <w:rPr>
                <w:rFonts w:ascii="Garamond" w:hAnsi="Garamond"/>
                <w:color w:val="000000"/>
                <w:sz w:val="22"/>
                <w:szCs w:val="22"/>
              </w:rPr>
              <w:t>ч – величины погрешности округления. Алгоритм округления приведен в п. 2.13 настоящего приложения.</w:t>
            </w:r>
          </w:p>
        </w:tc>
      </w:tr>
      <w:tr w:rsidR="00F11A8B" w:rsidRPr="006F6DAC" w14:paraId="6E095E27" w14:textId="77777777" w:rsidTr="006F6DAC">
        <w:tc>
          <w:tcPr>
            <w:tcW w:w="1060" w:type="dxa"/>
          </w:tcPr>
          <w:p w14:paraId="205774C0" w14:textId="77777777" w:rsidR="00F11A8B" w:rsidRPr="006F6DAC" w:rsidRDefault="00F11A8B" w:rsidP="00F11A8B">
            <w:pPr>
              <w:widowControl w:val="0"/>
              <w:spacing w:line="259" w:lineRule="auto"/>
              <w:jc w:val="center"/>
              <w:rPr>
                <w:rFonts w:ascii="Garamond" w:hAnsi="Garamond"/>
                <w:b/>
                <w:sz w:val="22"/>
                <w:szCs w:val="22"/>
                <w:lang w:eastAsia="en-US"/>
              </w:rPr>
            </w:pPr>
            <w:r w:rsidRPr="006F6DAC">
              <w:rPr>
                <w:rFonts w:ascii="Garamond" w:hAnsi="Garamond"/>
                <w:b/>
                <w:sz w:val="22"/>
                <w:szCs w:val="22"/>
                <w:lang w:eastAsia="en-US"/>
              </w:rPr>
              <w:lastRenderedPageBreak/>
              <w:t>2.3</w:t>
            </w:r>
          </w:p>
        </w:tc>
        <w:tc>
          <w:tcPr>
            <w:tcW w:w="6804" w:type="dxa"/>
          </w:tcPr>
          <w:p w14:paraId="5626AE88" w14:textId="77777777" w:rsidR="00F11A8B" w:rsidRPr="006F6DAC" w:rsidRDefault="00F11A8B" w:rsidP="006F6DAC">
            <w:pPr>
              <w:widowControl w:val="0"/>
              <w:spacing w:line="259" w:lineRule="auto"/>
              <w:ind w:firstLine="598"/>
              <w:jc w:val="both"/>
              <w:rPr>
                <w:rFonts w:ascii="Garamond" w:hAnsi="Garamond"/>
                <w:sz w:val="22"/>
                <w:szCs w:val="22"/>
              </w:rPr>
            </w:pPr>
            <w:r w:rsidRPr="006F6DAC">
              <w:rPr>
                <w:rFonts w:ascii="Garamond" w:hAnsi="Garamond"/>
                <w:sz w:val="22"/>
                <w:szCs w:val="22"/>
              </w:rPr>
              <w:t xml:space="preserve">Под данными о состоянии объекта измерений понимаются данные о вариантах схем электроснабжения (схем измерений), необходимые для реализации алгоритмов расчета учетных показателей, приведенных в </w:t>
            </w:r>
            <w:r w:rsidRPr="006F6DAC">
              <w:rPr>
                <w:rFonts w:ascii="Garamond" w:hAnsi="Garamond"/>
                <w:sz w:val="22"/>
                <w:szCs w:val="22"/>
                <w:highlight w:val="yellow"/>
              </w:rPr>
              <w:t>Перечне средств измерений</w:t>
            </w:r>
            <w:r w:rsidRPr="006F6DAC">
              <w:rPr>
                <w:rFonts w:ascii="Garamond" w:hAnsi="Garamond"/>
                <w:sz w:val="22"/>
                <w:szCs w:val="22"/>
              </w:rPr>
              <w:t xml:space="preserve"> в макетах 60000 (60090) с целью использования данных от </w:t>
            </w:r>
            <w:r w:rsidRPr="006F6DAC">
              <w:rPr>
                <w:rFonts w:ascii="Garamond" w:hAnsi="Garamond"/>
                <w:sz w:val="22"/>
                <w:szCs w:val="22"/>
                <w:highlight w:val="yellow"/>
              </w:rPr>
              <w:t>АИИС КУЭ</w:t>
            </w:r>
            <w:r w:rsidRPr="006F6DAC">
              <w:rPr>
                <w:rFonts w:ascii="Garamond" w:hAnsi="Garamond"/>
                <w:sz w:val="22"/>
                <w:szCs w:val="22"/>
              </w:rPr>
              <w:t xml:space="preserve"> в финансовых расчетах.</w:t>
            </w:r>
          </w:p>
        </w:tc>
        <w:tc>
          <w:tcPr>
            <w:tcW w:w="7115" w:type="dxa"/>
          </w:tcPr>
          <w:p w14:paraId="25028DDF" w14:textId="77777777" w:rsidR="00F11A8B" w:rsidRPr="006F6DAC" w:rsidRDefault="00F11A8B" w:rsidP="006F6DAC">
            <w:pPr>
              <w:widowControl w:val="0"/>
              <w:spacing w:line="259" w:lineRule="auto"/>
              <w:ind w:firstLine="598"/>
              <w:jc w:val="both"/>
              <w:rPr>
                <w:rFonts w:ascii="Garamond" w:hAnsi="Garamond"/>
                <w:sz w:val="22"/>
                <w:szCs w:val="22"/>
              </w:rPr>
            </w:pPr>
            <w:r w:rsidRPr="006F6DAC">
              <w:rPr>
                <w:rFonts w:ascii="Garamond" w:hAnsi="Garamond"/>
                <w:sz w:val="22"/>
                <w:szCs w:val="22"/>
              </w:rPr>
              <w:t xml:space="preserve">Под данными о состоянии объекта измерений понимаются данные о вариантах схем электроснабжения (схем измерений), необходимые для реализации алгоритмов расчета учетных показателей, приведенных в </w:t>
            </w:r>
            <w:r w:rsidRPr="006F6DAC">
              <w:rPr>
                <w:rFonts w:ascii="Garamond" w:hAnsi="Garamond"/>
                <w:sz w:val="22"/>
                <w:szCs w:val="22"/>
                <w:highlight w:val="yellow"/>
              </w:rPr>
              <w:t>ПСИ</w:t>
            </w:r>
            <w:r w:rsidRPr="006F6DAC">
              <w:rPr>
                <w:rFonts w:ascii="Garamond" w:hAnsi="Garamond"/>
                <w:sz w:val="22"/>
                <w:szCs w:val="22"/>
              </w:rPr>
              <w:t xml:space="preserve"> в макетах 60000 (60090) с целью использования данных от </w:t>
            </w:r>
            <w:r w:rsidRPr="006F6DAC">
              <w:rPr>
                <w:rFonts w:ascii="Garamond" w:hAnsi="Garamond"/>
                <w:sz w:val="22"/>
                <w:szCs w:val="22"/>
                <w:highlight w:val="yellow"/>
              </w:rPr>
              <w:t>систем учета электроэнергии</w:t>
            </w:r>
            <w:r w:rsidRPr="006F6DAC">
              <w:rPr>
                <w:rFonts w:ascii="Garamond" w:hAnsi="Garamond"/>
                <w:sz w:val="22"/>
                <w:szCs w:val="22"/>
              </w:rPr>
              <w:t xml:space="preserve"> в финансовых расчетах.</w:t>
            </w:r>
          </w:p>
        </w:tc>
      </w:tr>
      <w:tr w:rsidR="00F11A8B" w:rsidRPr="006F6DAC" w14:paraId="5A7C3059" w14:textId="77777777" w:rsidTr="006F6DAC">
        <w:tc>
          <w:tcPr>
            <w:tcW w:w="1060" w:type="dxa"/>
          </w:tcPr>
          <w:p w14:paraId="786DFC92" w14:textId="77777777" w:rsidR="00F11A8B" w:rsidRPr="006F6DAC" w:rsidRDefault="00F11A8B" w:rsidP="00F11A8B">
            <w:pPr>
              <w:widowControl w:val="0"/>
              <w:spacing w:line="259" w:lineRule="auto"/>
              <w:jc w:val="center"/>
              <w:rPr>
                <w:rFonts w:ascii="Garamond" w:hAnsi="Garamond"/>
                <w:b/>
                <w:sz w:val="22"/>
                <w:szCs w:val="22"/>
                <w:lang w:eastAsia="en-US"/>
              </w:rPr>
            </w:pPr>
            <w:r w:rsidRPr="006F6DAC">
              <w:rPr>
                <w:rFonts w:ascii="Garamond" w:hAnsi="Garamond"/>
                <w:b/>
                <w:sz w:val="22"/>
                <w:szCs w:val="22"/>
                <w:lang w:eastAsia="en-US"/>
              </w:rPr>
              <w:t>2.4</w:t>
            </w:r>
          </w:p>
        </w:tc>
        <w:tc>
          <w:tcPr>
            <w:tcW w:w="6804" w:type="dxa"/>
          </w:tcPr>
          <w:p w14:paraId="2E7F575D" w14:textId="77777777" w:rsidR="00F11A8B" w:rsidRPr="006F6DAC" w:rsidRDefault="00F11A8B" w:rsidP="006F6DAC">
            <w:pPr>
              <w:widowControl w:val="0"/>
              <w:spacing w:line="259" w:lineRule="auto"/>
              <w:ind w:firstLine="598"/>
              <w:jc w:val="both"/>
              <w:rPr>
                <w:rFonts w:ascii="Garamond" w:hAnsi="Garamond"/>
                <w:sz w:val="22"/>
                <w:szCs w:val="22"/>
              </w:rPr>
            </w:pPr>
            <w:r w:rsidRPr="006F6DAC">
              <w:rPr>
                <w:rFonts w:ascii="Garamond" w:hAnsi="Garamond"/>
                <w:sz w:val="22"/>
                <w:szCs w:val="22"/>
              </w:rPr>
              <w:t xml:space="preserve">Передача результатов измерений является обязательной для расчета учетных показателей, приведенных в </w:t>
            </w:r>
            <w:r w:rsidRPr="006F6DAC">
              <w:rPr>
                <w:rFonts w:ascii="Garamond" w:hAnsi="Garamond"/>
                <w:sz w:val="22"/>
                <w:szCs w:val="22"/>
                <w:highlight w:val="yellow"/>
              </w:rPr>
              <w:t>Перечне средств измерений</w:t>
            </w:r>
            <w:r w:rsidRPr="006F6DAC">
              <w:rPr>
                <w:rFonts w:ascii="Garamond" w:hAnsi="Garamond"/>
                <w:sz w:val="22"/>
                <w:szCs w:val="22"/>
              </w:rPr>
              <w:t xml:space="preserve"> в макете 60000 (60090) с целью использования данных от </w:t>
            </w:r>
            <w:r w:rsidRPr="006F6DAC">
              <w:rPr>
                <w:rFonts w:ascii="Garamond" w:hAnsi="Garamond"/>
                <w:sz w:val="22"/>
                <w:szCs w:val="22"/>
                <w:highlight w:val="yellow"/>
              </w:rPr>
              <w:t>АИИС КУЭ</w:t>
            </w:r>
            <w:r w:rsidRPr="006F6DAC">
              <w:rPr>
                <w:rFonts w:ascii="Garamond" w:hAnsi="Garamond"/>
                <w:sz w:val="22"/>
                <w:szCs w:val="22"/>
              </w:rPr>
              <w:t xml:space="preserve"> в финансовых расчетах.</w:t>
            </w:r>
          </w:p>
        </w:tc>
        <w:tc>
          <w:tcPr>
            <w:tcW w:w="7115" w:type="dxa"/>
          </w:tcPr>
          <w:p w14:paraId="66475B08" w14:textId="77777777" w:rsidR="00F11A8B" w:rsidRPr="006F6DAC" w:rsidRDefault="00F11A8B" w:rsidP="006F6DAC">
            <w:pPr>
              <w:widowControl w:val="0"/>
              <w:spacing w:line="259" w:lineRule="auto"/>
              <w:ind w:firstLine="598"/>
              <w:jc w:val="both"/>
              <w:rPr>
                <w:rFonts w:ascii="Garamond" w:hAnsi="Garamond"/>
                <w:sz w:val="22"/>
                <w:szCs w:val="22"/>
              </w:rPr>
            </w:pPr>
            <w:r w:rsidRPr="006F6DAC">
              <w:rPr>
                <w:rFonts w:ascii="Garamond" w:hAnsi="Garamond"/>
                <w:sz w:val="22"/>
                <w:szCs w:val="22"/>
              </w:rPr>
              <w:t xml:space="preserve">Передача результатов измерений является обязательной для расчета учетных показателей </w:t>
            </w:r>
            <w:r w:rsidRPr="006F6DAC">
              <w:rPr>
                <w:rFonts w:ascii="Garamond" w:hAnsi="Garamond"/>
                <w:sz w:val="22"/>
                <w:szCs w:val="22"/>
                <w:highlight w:val="yellow"/>
              </w:rPr>
              <w:t>на основании алгоритмов расчета учетных показателей</w:t>
            </w:r>
            <w:r w:rsidRPr="006F6DAC">
              <w:rPr>
                <w:rFonts w:ascii="Garamond" w:hAnsi="Garamond"/>
                <w:sz w:val="22"/>
                <w:szCs w:val="22"/>
              </w:rPr>
              <w:t xml:space="preserve">, приведенных в </w:t>
            </w:r>
            <w:r w:rsidRPr="006F6DAC">
              <w:rPr>
                <w:rFonts w:ascii="Garamond" w:hAnsi="Garamond"/>
                <w:sz w:val="22"/>
                <w:szCs w:val="22"/>
                <w:highlight w:val="yellow"/>
              </w:rPr>
              <w:t>ПСИ</w:t>
            </w:r>
            <w:r w:rsidRPr="006F6DAC">
              <w:rPr>
                <w:rFonts w:ascii="Garamond" w:hAnsi="Garamond"/>
                <w:sz w:val="22"/>
                <w:szCs w:val="22"/>
              </w:rPr>
              <w:t xml:space="preserve"> в макете 60000 (60090)</w:t>
            </w:r>
            <w:r w:rsidRPr="006F6DAC">
              <w:rPr>
                <w:rFonts w:ascii="Garamond" w:hAnsi="Garamond"/>
                <w:sz w:val="22"/>
                <w:szCs w:val="22"/>
                <w:highlight w:val="yellow"/>
              </w:rPr>
              <w:t>,</w:t>
            </w:r>
            <w:r w:rsidRPr="006F6DAC">
              <w:rPr>
                <w:rFonts w:ascii="Garamond" w:hAnsi="Garamond"/>
                <w:sz w:val="22"/>
                <w:szCs w:val="22"/>
              </w:rPr>
              <w:t xml:space="preserve"> с целью использования данных от </w:t>
            </w:r>
            <w:r w:rsidRPr="006F6DAC">
              <w:rPr>
                <w:rFonts w:ascii="Garamond" w:hAnsi="Garamond"/>
                <w:sz w:val="22"/>
                <w:szCs w:val="22"/>
                <w:highlight w:val="yellow"/>
              </w:rPr>
              <w:t>систем учета электроэнергии</w:t>
            </w:r>
            <w:r w:rsidRPr="006F6DAC" w:rsidDel="003E4412">
              <w:rPr>
                <w:rFonts w:ascii="Garamond" w:hAnsi="Garamond"/>
                <w:sz w:val="22"/>
                <w:szCs w:val="22"/>
              </w:rPr>
              <w:t xml:space="preserve"> </w:t>
            </w:r>
            <w:r w:rsidRPr="006F6DAC">
              <w:rPr>
                <w:rFonts w:ascii="Garamond" w:hAnsi="Garamond"/>
                <w:sz w:val="22"/>
                <w:szCs w:val="22"/>
              </w:rPr>
              <w:t>в финансовых расчетах</w:t>
            </w:r>
            <w:r w:rsidRPr="006F6DAC">
              <w:rPr>
                <w:rFonts w:ascii="Garamond" w:hAnsi="Garamond"/>
                <w:color w:val="000000"/>
                <w:sz w:val="22"/>
                <w:szCs w:val="22"/>
              </w:rPr>
              <w:t>.</w:t>
            </w:r>
          </w:p>
        </w:tc>
      </w:tr>
      <w:tr w:rsidR="00F11A8B" w:rsidRPr="006F6DAC" w14:paraId="4CF8291B" w14:textId="77777777" w:rsidTr="006F6DAC">
        <w:tc>
          <w:tcPr>
            <w:tcW w:w="1060" w:type="dxa"/>
          </w:tcPr>
          <w:p w14:paraId="6957BC7E" w14:textId="77777777" w:rsidR="00F11A8B" w:rsidRPr="006F6DAC" w:rsidRDefault="00F11A8B" w:rsidP="00F11A8B">
            <w:pPr>
              <w:widowControl w:val="0"/>
              <w:spacing w:line="259" w:lineRule="auto"/>
              <w:jc w:val="center"/>
              <w:rPr>
                <w:rFonts w:ascii="Garamond" w:hAnsi="Garamond"/>
                <w:b/>
                <w:sz w:val="22"/>
                <w:szCs w:val="22"/>
                <w:lang w:eastAsia="en-US"/>
              </w:rPr>
            </w:pPr>
            <w:r w:rsidRPr="006F6DAC">
              <w:rPr>
                <w:rFonts w:ascii="Garamond" w:hAnsi="Garamond"/>
                <w:b/>
                <w:sz w:val="22"/>
                <w:szCs w:val="22"/>
                <w:lang w:eastAsia="en-US"/>
              </w:rPr>
              <w:t>2.5</w:t>
            </w:r>
          </w:p>
        </w:tc>
        <w:tc>
          <w:tcPr>
            <w:tcW w:w="6804" w:type="dxa"/>
          </w:tcPr>
          <w:p w14:paraId="65E718C5" w14:textId="77777777" w:rsidR="00F11A8B" w:rsidRPr="006F6DAC" w:rsidRDefault="00F11A8B" w:rsidP="006F6DAC">
            <w:pPr>
              <w:widowControl w:val="0"/>
              <w:spacing w:line="259" w:lineRule="auto"/>
              <w:ind w:firstLine="598"/>
              <w:jc w:val="both"/>
              <w:rPr>
                <w:rFonts w:ascii="Garamond" w:hAnsi="Garamond"/>
                <w:sz w:val="22"/>
                <w:szCs w:val="22"/>
              </w:rPr>
            </w:pPr>
            <w:r w:rsidRPr="006F6DAC">
              <w:rPr>
                <w:rFonts w:ascii="Garamond" w:hAnsi="Garamond"/>
                <w:color w:val="000000"/>
                <w:sz w:val="22"/>
                <w:szCs w:val="22"/>
              </w:rPr>
              <w:t xml:space="preserve">При предоставлении результатов измерений и данных о состоянии объектов измерений идентификация точек измерений, точек </w:t>
            </w:r>
            <w:r w:rsidRPr="006F6DAC">
              <w:rPr>
                <w:rFonts w:ascii="Garamond" w:hAnsi="Garamond"/>
                <w:color w:val="000000"/>
                <w:sz w:val="22"/>
                <w:szCs w:val="22"/>
                <w:highlight w:val="yellow"/>
              </w:rPr>
              <w:t>поставки, групп точек поставки генерации, сальдо перетоков</w:t>
            </w:r>
            <w:r w:rsidRPr="006F6DAC">
              <w:rPr>
                <w:rFonts w:ascii="Garamond" w:hAnsi="Garamond"/>
                <w:color w:val="000000"/>
                <w:sz w:val="22"/>
                <w:szCs w:val="22"/>
              </w:rPr>
              <w:t>, объектов измерений производится с использованием присвоенных КО кодов.</w:t>
            </w:r>
          </w:p>
        </w:tc>
        <w:tc>
          <w:tcPr>
            <w:tcW w:w="7115" w:type="dxa"/>
          </w:tcPr>
          <w:p w14:paraId="6DAE2617" w14:textId="36FAF299" w:rsidR="00F11A8B" w:rsidRPr="006F6DAC" w:rsidRDefault="00F11A8B" w:rsidP="006F6DAC">
            <w:pPr>
              <w:widowControl w:val="0"/>
              <w:spacing w:line="259" w:lineRule="auto"/>
              <w:ind w:firstLine="598"/>
              <w:jc w:val="both"/>
              <w:rPr>
                <w:rFonts w:ascii="Garamond" w:hAnsi="Garamond"/>
                <w:sz w:val="22"/>
                <w:szCs w:val="22"/>
              </w:rPr>
            </w:pPr>
            <w:r w:rsidRPr="006F6DAC">
              <w:rPr>
                <w:rFonts w:ascii="Garamond" w:hAnsi="Garamond"/>
                <w:color w:val="000000"/>
                <w:sz w:val="22"/>
                <w:szCs w:val="22"/>
              </w:rPr>
              <w:t xml:space="preserve">При предоставлении результатов измерений и данных о состоянии объектов измерений идентификация точек измерений, точек </w:t>
            </w:r>
            <w:r w:rsidRPr="006F6DAC">
              <w:rPr>
                <w:rFonts w:ascii="Garamond" w:hAnsi="Garamond"/>
                <w:color w:val="000000"/>
                <w:sz w:val="22"/>
                <w:szCs w:val="22"/>
                <w:highlight w:val="yellow"/>
              </w:rPr>
              <w:t>присоединения объектов регулирования</w:t>
            </w:r>
            <w:r w:rsidRPr="006F6DAC">
              <w:rPr>
                <w:rFonts w:ascii="Garamond" w:hAnsi="Garamond"/>
                <w:color w:val="000000"/>
                <w:sz w:val="22"/>
                <w:szCs w:val="22"/>
              </w:rPr>
              <w:t xml:space="preserve">, </w:t>
            </w:r>
            <w:r w:rsidRPr="006F6DAC">
              <w:rPr>
                <w:rFonts w:ascii="Garamond" w:hAnsi="Garamond"/>
                <w:color w:val="000000"/>
                <w:sz w:val="22"/>
                <w:szCs w:val="22"/>
                <w:highlight w:val="yellow"/>
              </w:rPr>
              <w:t>объектов регулирования</w:t>
            </w:r>
            <w:r w:rsidRPr="006F6DAC">
              <w:rPr>
                <w:rFonts w:ascii="Garamond" w:hAnsi="Garamond"/>
                <w:color w:val="000000"/>
                <w:sz w:val="22"/>
                <w:szCs w:val="22"/>
              </w:rPr>
              <w:t xml:space="preserve">, объектов измерений производится с использованием присвоенных </w:t>
            </w:r>
            <w:r w:rsidRPr="006F6DAC">
              <w:rPr>
                <w:rFonts w:ascii="Garamond" w:hAnsi="Garamond"/>
                <w:color w:val="000000"/>
                <w:sz w:val="22"/>
                <w:szCs w:val="22"/>
                <w:highlight w:val="yellow"/>
              </w:rPr>
              <w:t xml:space="preserve">в соответствии с </w:t>
            </w:r>
            <w:r w:rsidRPr="006F6DAC">
              <w:rPr>
                <w:rFonts w:ascii="Garamond" w:hAnsi="Garamond"/>
                <w:i/>
                <w:color w:val="000000"/>
                <w:sz w:val="22"/>
                <w:szCs w:val="22"/>
                <w:highlight w:val="yellow"/>
              </w:rPr>
              <w:t>Положением о порядке получения статуса субъекта оптового рынка и ведения реестра субъектов оптового рынка</w:t>
            </w:r>
            <w:r w:rsidR="007B726D">
              <w:rPr>
                <w:rFonts w:ascii="Garamond" w:hAnsi="Garamond"/>
                <w:i/>
                <w:color w:val="000000"/>
                <w:sz w:val="22"/>
                <w:szCs w:val="22"/>
              </w:rPr>
              <w:t xml:space="preserve"> </w:t>
            </w:r>
            <w:r w:rsidR="007B726D" w:rsidRPr="006F6DAC">
              <w:rPr>
                <w:rFonts w:ascii="Garamond" w:hAnsi="Garamond"/>
                <w:sz w:val="22"/>
                <w:szCs w:val="22"/>
                <w:highlight w:val="yellow"/>
              </w:rPr>
              <w:t xml:space="preserve">(Приложение № 1.1 к </w:t>
            </w:r>
            <w:r w:rsidR="007B726D" w:rsidRPr="006F6DAC">
              <w:rPr>
                <w:rFonts w:ascii="Garamond" w:hAnsi="Garamond"/>
                <w:i/>
                <w:sz w:val="22"/>
                <w:szCs w:val="22"/>
                <w:highlight w:val="yellow"/>
              </w:rPr>
              <w:t>Договору о присоединении к торговой системе оптового рынка</w:t>
            </w:r>
            <w:r w:rsidR="007B726D" w:rsidRPr="006F6DAC">
              <w:rPr>
                <w:rFonts w:ascii="Garamond" w:hAnsi="Garamond"/>
                <w:sz w:val="22"/>
                <w:szCs w:val="22"/>
                <w:highlight w:val="yellow"/>
              </w:rPr>
              <w:t>)</w:t>
            </w:r>
            <w:r w:rsidRPr="006F6DAC">
              <w:rPr>
                <w:rFonts w:ascii="Garamond" w:hAnsi="Garamond"/>
                <w:color w:val="000000"/>
                <w:sz w:val="22"/>
                <w:szCs w:val="22"/>
              </w:rPr>
              <w:t xml:space="preserve"> КО кодов.</w:t>
            </w:r>
          </w:p>
        </w:tc>
      </w:tr>
      <w:tr w:rsidR="00F11A8B" w:rsidRPr="006F6DAC" w14:paraId="24B8AD84" w14:textId="77777777" w:rsidTr="006F6DAC">
        <w:tc>
          <w:tcPr>
            <w:tcW w:w="1060" w:type="dxa"/>
          </w:tcPr>
          <w:p w14:paraId="674DC83F" w14:textId="77777777" w:rsidR="00F11A8B" w:rsidRPr="006F6DAC" w:rsidRDefault="00F11A8B" w:rsidP="00F11A8B">
            <w:pPr>
              <w:widowControl w:val="0"/>
              <w:spacing w:line="259" w:lineRule="auto"/>
              <w:jc w:val="center"/>
              <w:rPr>
                <w:rFonts w:ascii="Garamond" w:hAnsi="Garamond"/>
                <w:b/>
                <w:sz w:val="22"/>
                <w:szCs w:val="22"/>
                <w:lang w:eastAsia="en-US"/>
              </w:rPr>
            </w:pPr>
            <w:r w:rsidRPr="006F6DAC">
              <w:rPr>
                <w:rFonts w:ascii="Garamond" w:hAnsi="Garamond"/>
                <w:b/>
                <w:sz w:val="22"/>
                <w:szCs w:val="22"/>
                <w:lang w:eastAsia="en-US"/>
              </w:rPr>
              <w:t>2.6</w:t>
            </w:r>
          </w:p>
        </w:tc>
        <w:tc>
          <w:tcPr>
            <w:tcW w:w="6804" w:type="dxa"/>
          </w:tcPr>
          <w:p w14:paraId="2E08181E" w14:textId="77777777" w:rsidR="00F11A8B" w:rsidRPr="006F6DAC" w:rsidRDefault="00F11A8B" w:rsidP="006F6DAC">
            <w:pPr>
              <w:pStyle w:val="a6"/>
              <w:tabs>
                <w:tab w:val="left" w:pos="1080"/>
                <w:tab w:val="num" w:pos="1440"/>
              </w:tabs>
              <w:suppressAutoHyphens w:val="0"/>
              <w:spacing w:before="120" w:after="120"/>
              <w:ind w:firstLine="598"/>
              <w:jc w:val="both"/>
              <w:rPr>
                <w:rFonts w:ascii="Garamond" w:hAnsi="Garamond"/>
                <w:b/>
                <w:bCs w:val="0"/>
                <w:sz w:val="22"/>
                <w:szCs w:val="22"/>
              </w:rPr>
            </w:pPr>
            <w:r w:rsidRPr="006F6DAC">
              <w:rPr>
                <w:rFonts w:ascii="Garamond" w:hAnsi="Garamond"/>
                <w:bCs w:val="0"/>
                <w:sz w:val="22"/>
                <w:szCs w:val="22"/>
              </w:rPr>
              <w:t xml:space="preserve">Перечень кодов точек измерений, точек поставки, кодов </w:t>
            </w:r>
            <w:r w:rsidRPr="006F6DAC">
              <w:rPr>
                <w:rFonts w:ascii="Garamond" w:hAnsi="Garamond"/>
                <w:bCs w:val="0"/>
                <w:sz w:val="22"/>
                <w:szCs w:val="22"/>
                <w:highlight w:val="yellow"/>
              </w:rPr>
              <w:t>АИИС</w:t>
            </w:r>
            <w:r w:rsidRPr="006F6DAC">
              <w:rPr>
                <w:rFonts w:ascii="Garamond" w:hAnsi="Garamond"/>
                <w:bCs w:val="0"/>
                <w:sz w:val="22"/>
                <w:szCs w:val="22"/>
              </w:rPr>
              <w:t xml:space="preserve">, </w:t>
            </w:r>
            <w:r w:rsidRPr="006F6DAC">
              <w:rPr>
                <w:rFonts w:ascii="Garamond" w:hAnsi="Garamond"/>
                <w:sz w:val="22"/>
                <w:szCs w:val="22"/>
              </w:rPr>
              <w:t xml:space="preserve">кодов </w:t>
            </w:r>
            <w:r w:rsidRPr="006F6DAC">
              <w:rPr>
                <w:rFonts w:ascii="Garamond" w:hAnsi="Garamond"/>
                <w:bCs w:val="0"/>
                <w:sz w:val="22"/>
                <w:szCs w:val="22"/>
              </w:rPr>
              <w:t>групп</w:t>
            </w:r>
            <w:r w:rsidRPr="006F6DAC">
              <w:rPr>
                <w:rFonts w:ascii="Garamond" w:hAnsi="Garamond"/>
                <w:bCs w:val="0"/>
                <w:sz w:val="22"/>
                <w:szCs w:val="22"/>
                <w:highlight w:val="yellow"/>
              </w:rPr>
              <w:t>ы</w:t>
            </w:r>
            <w:r w:rsidRPr="006F6DAC">
              <w:rPr>
                <w:rFonts w:ascii="Garamond" w:hAnsi="Garamond"/>
                <w:color w:val="000000"/>
                <w:sz w:val="22"/>
                <w:szCs w:val="22"/>
              </w:rPr>
              <w:t xml:space="preserve"> передаваемой информации</w:t>
            </w:r>
            <w:r w:rsidRPr="006F6DAC">
              <w:rPr>
                <w:rFonts w:ascii="Garamond" w:hAnsi="Garamond"/>
                <w:bCs w:val="0"/>
                <w:sz w:val="22"/>
                <w:szCs w:val="22"/>
              </w:rPr>
              <w:t xml:space="preserve"> </w:t>
            </w:r>
            <w:r w:rsidRPr="006F6DAC">
              <w:rPr>
                <w:rFonts w:ascii="Garamond" w:hAnsi="Garamond"/>
                <w:bCs w:val="0"/>
                <w:sz w:val="22"/>
                <w:szCs w:val="22"/>
                <w:highlight w:val="yellow"/>
              </w:rPr>
              <w:t>и адреса электронной почты для передачи результатов измерений по точкам измерений</w:t>
            </w:r>
            <w:r w:rsidRPr="006F6DAC">
              <w:rPr>
                <w:rFonts w:ascii="Garamond" w:hAnsi="Garamond"/>
                <w:bCs w:val="0"/>
                <w:sz w:val="22"/>
                <w:szCs w:val="22"/>
              </w:rPr>
              <w:t xml:space="preserve"> КО </w:t>
            </w:r>
            <w:r w:rsidRPr="006F6DAC">
              <w:rPr>
                <w:rFonts w:ascii="Garamond" w:hAnsi="Garamond"/>
                <w:bCs w:val="0"/>
                <w:sz w:val="22"/>
                <w:szCs w:val="22"/>
                <w:highlight w:val="yellow"/>
              </w:rPr>
              <w:t>направляет</w:t>
            </w:r>
            <w:r w:rsidRPr="006F6DAC">
              <w:rPr>
                <w:rFonts w:ascii="Garamond" w:hAnsi="Garamond"/>
                <w:bCs w:val="0"/>
                <w:sz w:val="22"/>
                <w:szCs w:val="22"/>
              </w:rPr>
              <w:t xml:space="preserve"> </w:t>
            </w:r>
            <w:r w:rsidRPr="006F6DAC">
              <w:rPr>
                <w:rFonts w:ascii="Garamond" w:hAnsi="Garamond"/>
                <w:bCs w:val="0"/>
                <w:sz w:val="22"/>
                <w:szCs w:val="22"/>
                <w:highlight w:val="yellow"/>
              </w:rPr>
              <w:t>участнику (субъекту) оптового рынка электроэнергии (Заявителю)</w:t>
            </w:r>
            <w:r w:rsidRPr="006F6DAC">
              <w:rPr>
                <w:rFonts w:ascii="Garamond" w:hAnsi="Garamond"/>
                <w:bCs w:val="0"/>
                <w:sz w:val="22"/>
                <w:szCs w:val="22"/>
              </w:rPr>
              <w:t xml:space="preserve"> по окончании процедуры кодирования </w:t>
            </w:r>
            <w:r w:rsidRPr="006F6DAC">
              <w:rPr>
                <w:rFonts w:ascii="Garamond" w:hAnsi="Garamond"/>
                <w:bCs w:val="0"/>
                <w:sz w:val="22"/>
                <w:szCs w:val="22"/>
                <w:highlight w:val="yellow"/>
              </w:rPr>
              <w:t>на основании ПСИ, предоставленного в КО</w:t>
            </w:r>
            <w:r w:rsidRPr="006F6DAC">
              <w:rPr>
                <w:rFonts w:ascii="Garamond" w:hAnsi="Garamond"/>
                <w:bCs w:val="0"/>
                <w:sz w:val="22"/>
                <w:szCs w:val="22"/>
              </w:rPr>
              <w:t xml:space="preserve">. Коды объектов измерений присваиваются КО </w:t>
            </w:r>
            <w:r w:rsidRPr="006F6DAC">
              <w:rPr>
                <w:rFonts w:ascii="Garamond" w:hAnsi="Garamond"/>
                <w:bCs w:val="0"/>
                <w:sz w:val="22"/>
                <w:szCs w:val="22"/>
                <w:highlight w:val="yellow"/>
              </w:rPr>
              <w:t>по запросу и</w:t>
            </w:r>
            <w:r w:rsidRPr="006F6DAC">
              <w:rPr>
                <w:rFonts w:ascii="Garamond" w:hAnsi="Garamond"/>
                <w:bCs w:val="0"/>
                <w:sz w:val="22"/>
                <w:szCs w:val="22"/>
              </w:rPr>
              <w:t xml:space="preserve"> на основании вариантов схем электроснабжения, за исключением случаев использования данных о работе через обходной </w:t>
            </w:r>
            <w:r w:rsidRPr="006F6DAC">
              <w:rPr>
                <w:rFonts w:ascii="Garamond" w:hAnsi="Garamond"/>
                <w:bCs w:val="0"/>
                <w:sz w:val="22"/>
                <w:szCs w:val="22"/>
              </w:rPr>
              <w:lastRenderedPageBreak/>
              <w:t xml:space="preserve">выключатель (поскольку данные о работе через обходной выключатель передаются при передаче результатов измерений). </w:t>
            </w:r>
          </w:p>
          <w:p w14:paraId="0791FAB6" w14:textId="77777777" w:rsidR="00F11A8B" w:rsidRPr="006F6DAC" w:rsidRDefault="00F11A8B" w:rsidP="006F6DAC">
            <w:pPr>
              <w:widowControl w:val="0"/>
              <w:spacing w:line="259" w:lineRule="auto"/>
              <w:ind w:firstLine="598"/>
              <w:jc w:val="both"/>
              <w:rPr>
                <w:rFonts w:ascii="Garamond" w:hAnsi="Garamond"/>
                <w:color w:val="000000"/>
                <w:sz w:val="22"/>
                <w:szCs w:val="22"/>
              </w:rPr>
            </w:pPr>
            <w:r w:rsidRPr="006F6DAC">
              <w:rPr>
                <w:rFonts w:ascii="Garamond" w:hAnsi="Garamond"/>
                <w:sz w:val="22"/>
                <w:szCs w:val="22"/>
                <w:highlight w:val="yellow"/>
              </w:rPr>
              <w:t xml:space="preserve">По запросу участника оптового рынка или ФСК КО предоставляет коды в формате </w:t>
            </w:r>
            <w:r w:rsidRPr="006F6DAC">
              <w:rPr>
                <w:rFonts w:ascii="Garamond" w:hAnsi="Garamond"/>
                <w:sz w:val="22"/>
                <w:szCs w:val="22"/>
                <w:highlight w:val="yellow"/>
                <w:lang w:val="en-US"/>
              </w:rPr>
              <w:t>XML</w:t>
            </w:r>
            <w:r w:rsidRPr="006F6DAC">
              <w:rPr>
                <w:rFonts w:ascii="Garamond" w:hAnsi="Garamond"/>
                <w:sz w:val="22"/>
                <w:szCs w:val="22"/>
                <w:highlight w:val="yellow"/>
              </w:rPr>
              <w:t xml:space="preserve"> в виде макета 80000.</w:t>
            </w:r>
            <w:r w:rsidRPr="006F6DAC">
              <w:rPr>
                <w:rFonts w:ascii="Garamond" w:hAnsi="Garamond"/>
                <w:sz w:val="22"/>
                <w:szCs w:val="22"/>
              </w:rPr>
              <w:t xml:space="preserve"> Структура макета 80000 описана в приложении </w:t>
            </w:r>
            <w:r w:rsidRPr="006F6DAC">
              <w:rPr>
                <w:rFonts w:ascii="Garamond" w:hAnsi="Garamond"/>
                <w:sz w:val="22"/>
                <w:szCs w:val="22"/>
                <w:highlight w:val="yellow"/>
              </w:rPr>
              <w:t>8</w:t>
            </w:r>
            <w:r w:rsidRPr="006F6DAC">
              <w:rPr>
                <w:rFonts w:ascii="Garamond" w:hAnsi="Garamond"/>
                <w:sz w:val="22"/>
                <w:szCs w:val="22"/>
              </w:rPr>
              <w:t xml:space="preserve"> к настоящему документу. </w:t>
            </w:r>
            <w:r w:rsidRPr="006F6DAC">
              <w:rPr>
                <w:rFonts w:ascii="Garamond" w:hAnsi="Garamond"/>
                <w:sz w:val="22"/>
                <w:szCs w:val="22"/>
                <w:highlight w:val="yellow"/>
              </w:rPr>
              <w:t>Дополнительно соответствующая информация дублируется в адрес Системного оператора. Запрос на получение макета 80000 оформляется в виде электронного документа «Запрос на получение кодов по точкам измерений, точкам поставки, ГТП генерации и сечения коммерческого учета» (макет 70000). Формат и регламент передачи в КО макета 70000 описан в приложении 9 к настоящему документу.</w:t>
            </w:r>
          </w:p>
        </w:tc>
        <w:tc>
          <w:tcPr>
            <w:tcW w:w="7115" w:type="dxa"/>
          </w:tcPr>
          <w:p w14:paraId="064BDA5C" w14:textId="4032343A" w:rsidR="00F11A8B" w:rsidRPr="006F6DAC" w:rsidRDefault="00F11A8B" w:rsidP="006F6DAC">
            <w:pPr>
              <w:pStyle w:val="a6"/>
              <w:tabs>
                <w:tab w:val="left" w:pos="1080"/>
                <w:tab w:val="num" w:pos="1440"/>
              </w:tabs>
              <w:suppressAutoHyphens w:val="0"/>
              <w:spacing w:before="120" w:after="120"/>
              <w:ind w:firstLine="598"/>
              <w:jc w:val="both"/>
              <w:rPr>
                <w:rFonts w:ascii="Garamond" w:hAnsi="Garamond"/>
                <w:bCs w:val="0"/>
                <w:color w:val="000000"/>
                <w:sz w:val="22"/>
                <w:szCs w:val="22"/>
              </w:rPr>
            </w:pPr>
            <w:r w:rsidRPr="006F6DAC">
              <w:rPr>
                <w:rFonts w:ascii="Garamond" w:hAnsi="Garamond"/>
                <w:bCs w:val="0"/>
                <w:color w:val="000000"/>
                <w:sz w:val="22"/>
                <w:szCs w:val="22"/>
                <w:highlight w:val="yellow"/>
              </w:rPr>
              <w:lastRenderedPageBreak/>
              <w:t xml:space="preserve">КО </w:t>
            </w:r>
            <w:r w:rsidRPr="006F6DAC">
              <w:rPr>
                <w:rFonts w:ascii="Garamond" w:hAnsi="Garamond"/>
                <w:bCs w:val="0"/>
                <w:sz w:val="22"/>
                <w:szCs w:val="22"/>
                <w:highlight w:val="yellow"/>
              </w:rPr>
              <w:t xml:space="preserve">на основании ПСИ, предоставленного участником оптового рынка или ФСК (заявителем), размещает в формате XML в виде макета 80000 в веб-интерфейсе «Данные АИИС» </w:t>
            </w:r>
            <w:r w:rsidRPr="006F6DAC">
              <w:rPr>
                <w:rFonts w:ascii="Garamond" w:hAnsi="Garamond"/>
                <w:bCs w:val="0"/>
                <w:sz w:val="22"/>
                <w:szCs w:val="22"/>
              </w:rPr>
              <w:t>перечень кодов точек измерений, точек поставки, кодов</w:t>
            </w:r>
            <w:r w:rsidR="009B5F03" w:rsidRPr="006F6DAC">
              <w:rPr>
                <w:rFonts w:ascii="Garamond" w:hAnsi="Garamond"/>
                <w:bCs w:val="0"/>
                <w:sz w:val="22"/>
                <w:szCs w:val="22"/>
              </w:rPr>
              <w:t xml:space="preserve"> </w:t>
            </w:r>
            <w:r w:rsidRPr="006F6DAC">
              <w:rPr>
                <w:rFonts w:ascii="Garamond" w:hAnsi="Garamond"/>
                <w:bCs w:val="0"/>
                <w:sz w:val="22"/>
                <w:szCs w:val="22"/>
                <w:highlight w:val="yellow"/>
              </w:rPr>
              <w:t xml:space="preserve">автоматизированных информационно-измерительных систем (далее – АИИС), </w:t>
            </w:r>
            <w:r w:rsidRPr="006F6DAC">
              <w:rPr>
                <w:rFonts w:ascii="Garamond" w:hAnsi="Garamond"/>
                <w:sz w:val="22"/>
                <w:szCs w:val="22"/>
              </w:rPr>
              <w:t xml:space="preserve">кодов </w:t>
            </w:r>
            <w:r w:rsidRPr="006F6DAC">
              <w:rPr>
                <w:rFonts w:ascii="Garamond" w:hAnsi="Garamond"/>
                <w:bCs w:val="0"/>
                <w:sz w:val="22"/>
                <w:szCs w:val="22"/>
              </w:rPr>
              <w:t>групп</w:t>
            </w:r>
            <w:r w:rsidRPr="006F6DAC">
              <w:rPr>
                <w:rFonts w:ascii="Garamond" w:hAnsi="Garamond"/>
                <w:color w:val="000000"/>
                <w:sz w:val="22"/>
                <w:szCs w:val="22"/>
              </w:rPr>
              <w:t xml:space="preserve"> передаваемой информации </w:t>
            </w:r>
            <w:r w:rsidRPr="006F6DAC">
              <w:rPr>
                <w:rFonts w:ascii="Garamond" w:hAnsi="Garamond"/>
                <w:color w:val="000000"/>
                <w:sz w:val="22"/>
                <w:szCs w:val="22"/>
                <w:highlight w:val="yellow"/>
              </w:rPr>
              <w:t xml:space="preserve">для вышеуказанного участника оптового рынка или ФСК (заявителя), направившего ПСИ, а также смежного участника оптового рынка (ФСК) (при наличии) по окончании процедуры кодирования, предусмотренной </w:t>
            </w:r>
            <w:r w:rsidRPr="006F6DAC">
              <w:rPr>
                <w:rFonts w:ascii="Garamond" w:hAnsi="Garamond"/>
                <w:i/>
                <w:color w:val="000000"/>
                <w:sz w:val="22"/>
                <w:szCs w:val="22"/>
                <w:highlight w:val="yellow"/>
              </w:rPr>
              <w:lastRenderedPageBreak/>
              <w:t>Положением о порядке получения статуса субъекта оптового рынка и ведения реестра субъектов оптового рынка</w:t>
            </w:r>
            <w:r w:rsidR="007B726D">
              <w:rPr>
                <w:rFonts w:ascii="Garamond" w:hAnsi="Garamond"/>
                <w:i/>
                <w:color w:val="000000"/>
                <w:sz w:val="22"/>
                <w:szCs w:val="22"/>
              </w:rPr>
              <w:t xml:space="preserve"> </w:t>
            </w:r>
            <w:r w:rsidR="007B726D" w:rsidRPr="006F6DAC">
              <w:rPr>
                <w:rFonts w:ascii="Garamond" w:hAnsi="Garamond"/>
                <w:sz w:val="22"/>
                <w:szCs w:val="22"/>
                <w:highlight w:val="yellow"/>
              </w:rPr>
              <w:t xml:space="preserve">(Приложение № 1.1 к </w:t>
            </w:r>
            <w:r w:rsidR="007B726D" w:rsidRPr="006F6DAC">
              <w:rPr>
                <w:rFonts w:ascii="Garamond" w:hAnsi="Garamond"/>
                <w:i/>
                <w:sz w:val="22"/>
                <w:szCs w:val="22"/>
                <w:highlight w:val="yellow"/>
              </w:rPr>
              <w:t>Договору о присоединении к торговой системе оптового рынка</w:t>
            </w:r>
            <w:r w:rsidR="007B726D" w:rsidRPr="006F6DAC">
              <w:rPr>
                <w:rFonts w:ascii="Garamond" w:hAnsi="Garamond"/>
                <w:sz w:val="22"/>
                <w:szCs w:val="22"/>
                <w:highlight w:val="yellow"/>
              </w:rPr>
              <w:t>)</w:t>
            </w:r>
            <w:r w:rsidRPr="006F6DAC">
              <w:rPr>
                <w:rFonts w:ascii="Garamond" w:hAnsi="Garamond"/>
                <w:color w:val="000000"/>
                <w:sz w:val="22"/>
                <w:szCs w:val="22"/>
              </w:rPr>
              <w:t>.</w:t>
            </w:r>
          </w:p>
          <w:p w14:paraId="27049E6A" w14:textId="1E63538C" w:rsidR="00F11A8B" w:rsidRPr="006F6DAC" w:rsidRDefault="00F11A8B" w:rsidP="006F6DAC">
            <w:pPr>
              <w:pStyle w:val="a6"/>
              <w:tabs>
                <w:tab w:val="left" w:pos="1080"/>
                <w:tab w:val="num" w:pos="1440"/>
              </w:tabs>
              <w:suppressAutoHyphens w:val="0"/>
              <w:spacing w:before="120" w:after="120"/>
              <w:ind w:firstLine="598"/>
              <w:jc w:val="both"/>
              <w:rPr>
                <w:rFonts w:ascii="Garamond" w:hAnsi="Garamond"/>
                <w:bCs w:val="0"/>
                <w:color w:val="000000"/>
                <w:sz w:val="22"/>
                <w:szCs w:val="22"/>
              </w:rPr>
            </w:pPr>
            <w:r w:rsidRPr="006F6DAC">
              <w:rPr>
                <w:rFonts w:ascii="Garamond" w:hAnsi="Garamond"/>
                <w:bCs w:val="0"/>
                <w:color w:val="000000"/>
                <w:sz w:val="22"/>
                <w:szCs w:val="22"/>
                <w:highlight w:val="yellow"/>
              </w:rPr>
              <w:t xml:space="preserve">КО </w:t>
            </w:r>
            <w:r w:rsidRPr="006F6DAC">
              <w:rPr>
                <w:rFonts w:ascii="Garamond" w:hAnsi="Garamond"/>
                <w:bCs w:val="0"/>
                <w:sz w:val="22"/>
                <w:szCs w:val="22"/>
                <w:highlight w:val="yellow"/>
              </w:rPr>
              <w:t xml:space="preserve">на основании ПСИ, предоставленного агрегатором (заявителем), размещает в формате XML в виде макета 80000 в веб-интерфейсе «Данные АИИС» перечень кодов точек измерений, точек присоединения, кодов групп передаваемой информации для объектов регулирования, кодов списков объектов регулирования (далее – </w:t>
            </w:r>
            <w:r w:rsidR="007B726D">
              <w:rPr>
                <w:rFonts w:ascii="Garamond" w:hAnsi="Garamond"/>
                <w:bCs w:val="0"/>
                <w:sz w:val="22"/>
                <w:szCs w:val="22"/>
                <w:highlight w:val="yellow"/>
              </w:rPr>
              <w:t>с</w:t>
            </w:r>
            <w:r w:rsidRPr="006F6DAC">
              <w:rPr>
                <w:rFonts w:ascii="Garamond" w:hAnsi="Garamond"/>
                <w:bCs w:val="0"/>
                <w:sz w:val="22"/>
                <w:szCs w:val="22"/>
                <w:highlight w:val="yellow"/>
              </w:rPr>
              <w:t xml:space="preserve">писок ОР) </w:t>
            </w:r>
            <w:r w:rsidRPr="006F6DAC">
              <w:rPr>
                <w:rFonts w:ascii="Garamond" w:hAnsi="Garamond"/>
                <w:color w:val="000000"/>
                <w:sz w:val="22"/>
                <w:szCs w:val="22"/>
                <w:highlight w:val="yellow"/>
              </w:rPr>
              <w:t xml:space="preserve">для вышеуказанного агрегатора (заявителя), направившего ПСИ, а также владельца ГТП (кроме случаев, когда агрегатор является владельцем ГТП) с 1-го числа месяца, следующего за месяцем регистрации объекта регулирования в порядке, предусмотренном </w:t>
            </w:r>
            <w:r w:rsidRPr="006F6DAC">
              <w:rPr>
                <w:rFonts w:ascii="Garamond" w:hAnsi="Garamond"/>
                <w:i/>
                <w:color w:val="000000"/>
                <w:sz w:val="22"/>
                <w:szCs w:val="22"/>
                <w:highlight w:val="yellow"/>
              </w:rPr>
              <w:t>Положением о порядке получения статуса субъекта оптового рынка и ведения реестра субъектов оптового рынка</w:t>
            </w:r>
            <w:r w:rsidR="007B726D">
              <w:rPr>
                <w:rFonts w:ascii="Garamond" w:hAnsi="Garamond"/>
                <w:i/>
                <w:color w:val="000000"/>
                <w:sz w:val="22"/>
                <w:szCs w:val="22"/>
              </w:rPr>
              <w:t xml:space="preserve"> </w:t>
            </w:r>
            <w:r w:rsidR="007B726D" w:rsidRPr="006F6DAC">
              <w:rPr>
                <w:rFonts w:ascii="Garamond" w:hAnsi="Garamond"/>
                <w:sz w:val="22"/>
                <w:szCs w:val="22"/>
                <w:highlight w:val="yellow"/>
              </w:rPr>
              <w:t xml:space="preserve">(Приложение № 1.1 к </w:t>
            </w:r>
            <w:r w:rsidR="007B726D" w:rsidRPr="006F6DAC">
              <w:rPr>
                <w:rFonts w:ascii="Garamond" w:hAnsi="Garamond"/>
                <w:i/>
                <w:sz w:val="22"/>
                <w:szCs w:val="22"/>
                <w:highlight w:val="yellow"/>
              </w:rPr>
              <w:t>Договору о присоединении к торговой системе оптового рынка</w:t>
            </w:r>
            <w:r w:rsidR="007B726D" w:rsidRPr="006F6DAC">
              <w:rPr>
                <w:rFonts w:ascii="Garamond" w:hAnsi="Garamond"/>
                <w:sz w:val="22"/>
                <w:szCs w:val="22"/>
                <w:highlight w:val="yellow"/>
              </w:rPr>
              <w:t>)</w:t>
            </w:r>
            <w:r w:rsidRPr="006F6DAC">
              <w:rPr>
                <w:rFonts w:ascii="Garamond" w:hAnsi="Garamond"/>
                <w:color w:val="000000"/>
                <w:sz w:val="22"/>
                <w:szCs w:val="22"/>
              </w:rPr>
              <w:t>.</w:t>
            </w:r>
          </w:p>
          <w:p w14:paraId="773E1BAD" w14:textId="77777777" w:rsidR="00F11A8B" w:rsidRPr="006F6DAC" w:rsidRDefault="00F11A8B" w:rsidP="006F6DAC">
            <w:pPr>
              <w:pStyle w:val="a6"/>
              <w:tabs>
                <w:tab w:val="left" w:pos="1080"/>
              </w:tabs>
              <w:suppressAutoHyphens w:val="0"/>
              <w:spacing w:before="120" w:after="120"/>
              <w:ind w:firstLine="598"/>
              <w:jc w:val="both"/>
              <w:rPr>
                <w:rFonts w:ascii="Garamond" w:hAnsi="Garamond"/>
                <w:b/>
                <w:bCs w:val="0"/>
                <w:sz w:val="22"/>
                <w:szCs w:val="22"/>
              </w:rPr>
            </w:pPr>
            <w:r w:rsidRPr="006F6DAC">
              <w:rPr>
                <w:rFonts w:ascii="Garamond" w:hAnsi="Garamond"/>
                <w:bCs w:val="0"/>
                <w:sz w:val="22"/>
                <w:szCs w:val="22"/>
              </w:rPr>
              <w:t xml:space="preserve">Коды объектов измерений присваиваются КО на основании вариантов схем электроснабжения, </w:t>
            </w:r>
            <w:r w:rsidRPr="006F6DAC">
              <w:rPr>
                <w:rFonts w:ascii="Garamond" w:hAnsi="Garamond"/>
                <w:bCs w:val="0"/>
                <w:sz w:val="22"/>
                <w:szCs w:val="22"/>
                <w:highlight w:val="yellow"/>
              </w:rPr>
              <w:t>указанных субъектом ОРЭМ в ПСИ (макет 60000)</w:t>
            </w:r>
            <w:r w:rsidRPr="006F6DAC">
              <w:rPr>
                <w:rFonts w:ascii="Garamond" w:hAnsi="Garamond"/>
                <w:bCs w:val="0"/>
                <w:sz w:val="22"/>
                <w:szCs w:val="22"/>
              </w:rPr>
              <w:t xml:space="preserve">, за исключением случаев использования данных о работе через обходной выключатель (поскольку данные о работе через обходной выключатель передаются при передаче результатов измерений). </w:t>
            </w:r>
            <w:r w:rsidRPr="006F6DAC">
              <w:rPr>
                <w:rFonts w:ascii="Garamond" w:hAnsi="Garamond"/>
                <w:sz w:val="22"/>
                <w:szCs w:val="22"/>
              </w:rPr>
              <w:t xml:space="preserve">Структура макета 80000 описана в приложении </w:t>
            </w:r>
            <w:r w:rsidRPr="006F6DAC">
              <w:rPr>
                <w:rFonts w:ascii="Garamond" w:hAnsi="Garamond"/>
                <w:sz w:val="22"/>
                <w:szCs w:val="22"/>
                <w:highlight w:val="yellow"/>
              </w:rPr>
              <w:t>6</w:t>
            </w:r>
            <w:r w:rsidRPr="006F6DAC">
              <w:rPr>
                <w:rFonts w:ascii="Garamond" w:hAnsi="Garamond"/>
                <w:sz w:val="22"/>
                <w:szCs w:val="22"/>
              </w:rPr>
              <w:t xml:space="preserve"> к настоящему документу.</w:t>
            </w:r>
          </w:p>
        </w:tc>
      </w:tr>
      <w:tr w:rsidR="00F11A8B" w:rsidRPr="006F6DAC" w14:paraId="0CD3C66E" w14:textId="77777777" w:rsidTr="006F6DAC">
        <w:tc>
          <w:tcPr>
            <w:tcW w:w="1060" w:type="dxa"/>
          </w:tcPr>
          <w:p w14:paraId="5BE5698F" w14:textId="77777777" w:rsidR="00F11A8B" w:rsidRPr="006F6DAC" w:rsidRDefault="00F11A8B" w:rsidP="00F11A8B">
            <w:pPr>
              <w:widowControl w:val="0"/>
              <w:spacing w:line="259" w:lineRule="auto"/>
              <w:jc w:val="center"/>
              <w:rPr>
                <w:rFonts w:ascii="Garamond" w:hAnsi="Garamond"/>
                <w:b/>
                <w:sz w:val="22"/>
                <w:szCs w:val="22"/>
                <w:lang w:eastAsia="en-US"/>
              </w:rPr>
            </w:pPr>
            <w:r w:rsidRPr="006F6DAC">
              <w:rPr>
                <w:rFonts w:ascii="Garamond" w:hAnsi="Garamond"/>
                <w:b/>
                <w:sz w:val="22"/>
                <w:szCs w:val="22"/>
                <w:lang w:eastAsia="en-US"/>
              </w:rPr>
              <w:lastRenderedPageBreak/>
              <w:t>2.8</w:t>
            </w:r>
          </w:p>
        </w:tc>
        <w:tc>
          <w:tcPr>
            <w:tcW w:w="6804" w:type="dxa"/>
          </w:tcPr>
          <w:p w14:paraId="0B0F6D2B" w14:textId="77777777" w:rsidR="00F11A8B" w:rsidRPr="006F6DAC" w:rsidRDefault="00F11A8B" w:rsidP="006F6DAC">
            <w:pPr>
              <w:pStyle w:val="a6"/>
              <w:tabs>
                <w:tab w:val="left" w:pos="1080"/>
                <w:tab w:val="num" w:pos="1440"/>
              </w:tabs>
              <w:suppressAutoHyphens w:val="0"/>
              <w:spacing w:before="120" w:after="120"/>
              <w:ind w:firstLine="598"/>
              <w:jc w:val="both"/>
              <w:rPr>
                <w:rFonts w:ascii="Garamond" w:hAnsi="Garamond"/>
                <w:b/>
                <w:bCs w:val="0"/>
                <w:color w:val="000000"/>
                <w:sz w:val="22"/>
                <w:szCs w:val="22"/>
              </w:rPr>
            </w:pPr>
            <w:r w:rsidRPr="006F6DAC">
              <w:rPr>
                <w:rFonts w:ascii="Garamond" w:hAnsi="Garamond"/>
                <w:bCs w:val="0"/>
                <w:color w:val="000000"/>
                <w:sz w:val="22"/>
                <w:szCs w:val="22"/>
              </w:rPr>
              <w:t xml:space="preserve">При передаче результатов измерений и данных о состоянии </w:t>
            </w:r>
            <w:r w:rsidRPr="006F6DAC">
              <w:rPr>
                <w:rFonts w:ascii="Garamond" w:hAnsi="Garamond"/>
                <w:bCs w:val="0"/>
                <w:color w:val="000000"/>
                <w:sz w:val="22"/>
                <w:szCs w:val="22"/>
                <w:highlight w:val="yellow"/>
              </w:rPr>
              <w:t>средств и</w:t>
            </w:r>
            <w:r w:rsidRPr="006F6DAC">
              <w:rPr>
                <w:rFonts w:ascii="Garamond" w:hAnsi="Garamond"/>
                <w:bCs w:val="0"/>
                <w:color w:val="000000"/>
                <w:sz w:val="22"/>
                <w:szCs w:val="22"/>
              </w:rPr>
              <w:t xml:space="preserve"> объектов измерений используются следующие типы документов: </w:t>
            </w:r>
          </w:p>
          <w:p w14:paraId="69DBB268" w14:textId="77777777" w:rsidR="00F11A8B" w:rsidRPr="006F6DAC" w:rsidRDefault="00F11A8B" w:rsidP="00F11A8B">
            <w:pPr>
              <w:pStyle w:val="a6"/>
              <w:tabs>
                <w:tab w:val="num" w:pos="0"/>
                <w:tab w:val="left" w:pos="1080"/>
              </w:tabs>
              <w:spacing w:before="120" w:after="120"/>
              <w:ind w:firstLine="540"/>
              <w:jc w:val="both"/>
              <w:rPr>
                <w:rFonts w:ascii="Garamond" w:hAnsi="Garamond"/>
                <w:b/>
                <w:bCs w:val="0"/>
                <w:color w:val="000000"/>
                <w:sz w:val="22"/>
                <w:szCs w:val="22"/>
              </w:rPr>
            </w:pPr>
            <w:r w:rsidRPr="006F6DAC">
              <w:rPr>
                <w:rFonts w:ascii="Garamond" w:hAnsi="Garamond"/>
                <w:bCs w:val="0"/>
                <w:color w:val="000000"/>
                <w:sz w:val="22"/>
                <w:szCs w:val="22"/>
                <w:highlight w:val="yellow"/>
              </w:rPr>
              <w:t>•</w:t>
            </w:r>
            <w:r w:rsidRPr="006F6DAC">
              <w:rPr>
                <w:rFonts w:ascii="Garamond" w:hAnsi="Garamond"/>
                <w:bCs w:val="0"/>
                <w:color w:val="000000"/>
                <w:sz w:val="22"/>
                <w:szCs w:val="22"/>
              </w:rPr>
              <w:tab/>
              <w:t xml:space="preserve">тип документа 80020 используется для передачи результатов измерений и данных о состоянии объектов измерений; </w:t>
            </w:r>
          </w:p>
          <w:p w14:paraId="2C582AEE" w14:textId="77777777" w:rsidR="00F11A8B" w:rsidRPr="006F6DAC" w:rsidRDefault="00F11A8B" w:rsidP="00F11A8B">
            <w:pPr>
              <w:tabs>
                <w:tab w:val="num" w:pos="0"/>
                <w:tab w:val="left" w:pos="1080"/>
              </w:tabs>
              <w:spacing w:before="120" w:after="120"/>
              <w:ind w:firstLine="540"/>
              <w:jc w:val="both"/>
              <w:rPr>
                <w:rFonts w:ascii="Garamond" w:hAnsi="Garamond"/>
                <w:bCs/>
                <w:color w:val="000000"/>
                <w:sz w:val="22"/>
                <w:szCs w:val="22"/>
              </w:rPr>
            </w:pPr>
            <w:r w:rsidRPr="006F6DAC">
              <w:rPr>
                <w:rFonts w:ascii="Garamond" w:hAnsi="Garamond"/>
                <w:b/>
                <w:bCs/>
                <w:color w:val="000000"/>
                <w:sz w:val="22"/>
                <w:szCs w:val="22"/>
              </w:rPr>
              <w:t>•</w:t>
            </w:r>
            <w:r w:rsidRPr="006F6DAC">
              <w:rPr>
                <w:rFonts w:ascii="Garamond" w:hAnsi="Garamond"/>
                <w:b/>
                <w:bCs/>
                <w:color w:val="000000"/>
                <w:sz w:val="22"/>
                <w:szCs w:val="22"/>
              </w:rPr>
              <w:tab/>
            </w:r>
            <w:r w:rsidRPr="006F6DAC">
              <w:rPr>
                <w:rFonts w:ascii="Garamond" w:hAnsi="Garamond"/>
                <w:bCs/>
                <w:color w:val="000000"/>
                <w:sz w:val="22"/>
                <w:szCs w:val="22"/>
              </w:rPr>
              <w:t xml:space="preserve">тип документа 80040 используется для передачи результатов измерений и данных о состоянии объектов измерений по «малым» точкам измерений </w:t>
            </w:r>
            <w:r w:rsidRPr="006F6DAC">
              <w:rPr>
                <w:rFonts w:ascii="Garamond" w:hAnsi="Garamond"/>
                <w:bCs/>
                <w:color w:val="000000"/>
                <w:sz w:val="22"/>
                <w:szCs w:val="22"/>
                <w:highlight w:val="yellow"/>
              </w:rPr>
              <w:t>(совокупностям «малых» точек измерений)</w:t>
            </w:r>
            <w:r w:rsidRPr="006F6DAC">
              <w:rPr>
                <w:rFonts w:ascii="Garamond" w:hAnsi="Garamond"/>
                <w:bCs/>
                <w:color w:val="000000"/>
                <w:sz w:val="22"/>
                <w:szCs w:val="22"/>
              </w:rPr>
              <w:t xml:space="preserve">; </w:t>
            </w:r>
          </w:p>
          <w:p w14:paraId="4D73BC8F" w14:textId="77777777" w:rsidR="00F11A8B" w:rsidRPr="006F6DAC" w:rsidRDefault="00F11A8B" w:rsidP="00F11A8B">
            <w:pPr>
              <w:tabs>
                <w:tab w:val="left" w:pos="1080"/>
              </w:tabs>
              <w:spacing w:before="120" w:after="120"/>
              <w:ind w:firstLine="540"/>
              <w:jc w:val="both"/>
              <w:rPr>
                <w:rFonts w:ascii="Garamond" w:hAnsi="Garamond"/>
                <w:color w:val="000000"/>
                <w:sz w:val="22"/>
                <w:szCs w:val="22"/>
              </w:rPr>
            </w:pPr>
            <w:r w:rsidRPr="006F6DAC">
              <w:rPr>
                <w:rFonts w:ascii="Garamond" w:hAnsi="Garamond"/>
                <w:b/>
                <w:bCs/>
                <w:color w:val="000000"/>
                <w:sz w:val="22"/>
                <w:szCs w:val="22"/>
              </w:rPr>
              <w:t>•</w:t>
            </w:r>
            <w:r w:rsidRPr="006F6DAC">
              <w:rPr>
                <w:rFonts w:ascii="Garamond" w:hAnsi="Garamond"/>
                <w:b/>
                <w:bCs/>
                <w:color w:val="000000"/>
                <w:sz w:val="22"/>
                <w:szCs w:val="22"/>
              </w:rPr>
              <w:tab/>
            </w:r>
            <w:r w:rsidRPr="006F6DAC">
              <w:rPr>
                <w:rFonts w:ascii="Garamond" w:hAnsi="Garamond"/>
                <w:color w:val="000000"/>
                <w:sz w:val="22"/>
                <w:szCs w:val="22"/>
              </w:rPr>
              <w:t xml:space="preserve">тип документа 80050 используется для </w:t>
            </w:r>
            <w:r w:rsidRPr="006F6DAC">
              <w:rPr>
                <w:rFonts w:ascii="Garamond" w:hAnsi="Garamond"/>
                <w:sz w:val="22"/>
                <w:szCs w:val="22"/>
              </w:rPr>
              <w:t xml:space="preserve">обмена между смежными субъектами типовыми суточными графиками </w:t>
            </w:r>
            <w:r w:rsidRPr="006F6DAC">
              <w:rPr>
                <w:rFonts w:ascii="Garamond" w:hAnsi="Garamond"/>
                <w:color w:val="000000"/>
                <w:sz w:val="22"/>
                <w:szCs w:val="22"/>
              </w:rPr>
              <w:t>нагрузки по измерительным каналам точек измерений</w:t>
            </w:r>
            <w:r w:rsidRPr="006F6DAC">
              <w:rPr>
                <w:rFonts w:ascii="Garamond" w:hAnsi="Garamond"/>
                <w:color w:val="000000"/>
                <w:sz w:val="22"/>
                <w:szCs w:val="22"/>
                <w:highlight w:val="yellow"/>
              </w:rPr>
              <w:t>/</w:t>
            </w:r>
            <w:r w:rsidRPr="006F6DAC">
              <w:rPr>
                <w:rFonts w:ascii="Garamond" w:hAnsi="Garamond"/>
                <w:bCs/>
                <w:sz w:val="22"/>
                <w:szCs w:val="22"/>
                <w:highlight w:val="yellow"/>
              </w:rPr>
              <w:t>совокупностям «малых» точек измерений</w:t>
            </w:r>
            <w:r w:rsidRPr="006F6DAC">
              <w:rPr>
                <w:rFonts w:ascii="Garamond" w:hAnsi="Garamond"/>
                <w:color w:val="000000"/>
                <w:sz w:val="22"/>
                <w:szCs w:val="22"/>
              </w:rPr>
              <w:t>, оснащенны</w:t>
            </w:r>
            <w:r w:rsidRPr="006F6DAC">
              <w:rPr>
                <w:rFonts w:ascii="Garamond" w:hAnsi="Garamond"/>
                <w:color w:val="000000"/>
                <w:sz w:val="22"/>
                <w:szCs w:val="22"/>
                <w:highlight w:val="yellow"/>
              </w:rPr>
              <w:t>х</w:t>
            </w:r>
            <w:r w:rsidRPr="006F6DAC">
              <w:rPr>
                <w:rFonts w:ascii="Garamond" w:hAnsi="Garamond"/>
                <w:color w:val="000000"/>
                <w:sz w:val="22"/>
                <w:szCs w:val="22"/>
              </w:rPr>
              <w:t xml:space="preserve"> интегральным учетом, результаты измерений по которым передаются в документе 80040. </w:t>
            </w:r>
          </w:p>
          <w:p w14:paraId="6C159A74" w14:textId="77777777" w:rsidR="00F11A8B" w:rsidRPr="006F6DAC" w:rsidRDefault="00F11A8B" w:rsidP="006F6DAC">
            <w:pPr>
              <w:pStyle w:val="a6"/>
              <w:tabs>
                <w:tab w:val="left" w:pos="1080"/>
                <w:tab w:val="num" w:pos="1440"/>
              </w:tabs>
              <w:suppressAutoHyphens w:val="0"/>
              <w:spacing w:before="120" w:after="120"/>
              <w:ind w:firstLine="598"/>
              <w:jc w:val="both"/>
              <w:rPr>
                <w:rFonts w:ascii="Garamond" w:hAnsi="Garamond"/>
                <w:bCs w:val="0"/>
                <w:sz w:val="22"/>
                <w:szCs w:val="22"/>
              </w:rPr>
            </w:pPr>
            <w:r w:rsidRPr="006F6DAC">
              <w:rPr>
                <w:rFonts w:ascii="Garamond" w:hAnsi="Garamond"/>
                <w:bCs w:val="0"/>
                <w:color w:val="000000"/>
                <w:sz w:val="22"/>
                <w:szCs w:val="22"/>
                <w:highlight w:val="yellow"/>
              </w:rPr>
              <w:lastRenderedPageBreak/>
              <w:t>Описание модели документов 80020 и 80040 приводится в приложении 1, описание модели 80050 в приложении 5. Примеры документов 80020 и 80040 приводятся в приложении 2, а пример документа 80050 – в приложении 6.</w:t>
            </w:r>
            <w:r w:rsidRPr="006F6DAC">
              <w:rPr>
                <w:rFonts w:ascii="Garamond" w:hAnsi="Garamond"/>
                <w:bCs w:val="0"/>
                <w:color w:val="000000"/>
                <w:sz w:val="22"/>
                <w:szCs w:val="22"/>
              </w:rPr>
              <w:t xml:space="preserve"> При декларации кодировки являющейся частью декларации XML требуется использование названий и псевдонимов русскоязычных наборов символов зарегистрированных в Internet Assigned Numbers Authority</w:t>
            </w:r>
          </w:p>
        </w:tc>
        <w:tc>
          <w:tcPr>
            <w:tcW w:w="7115" w:type="dxa"/>
          </w:tcPr>
          <w:p w14:paraId="13D3528C" w14:textId="77777777" w:rsidR="00F11A8B" w:rsidRPr="006F6DAC" w:rsidRDefault="00F11A8B" w:rsidP="006F6DAC">
            <w:pPr>
              <w:pStyle w:val="a6"/>
              <w:tabs>
                <w:tab w:val="left" w:pos="1080"/>
                <w:tab w:val="num" w:pos="1440"/>
              </w:tabs>
              <w:suppressAutoHyphens w:val="0"/>
              <w:spacing w:before="120" w:after="120"/>
              <w:ind w:firstLine="598"/>
              <w:jc w:val="both"/>
              <w:rPr>
                <w:rFonts w:ascii="Garamond" w:hAnsi="Garamond"/>
                <w:b/>
                <w:bCs w:val="0"/>
                <w:color w:val="000000"/>
                <w:sz w:val="22"/>
                <w:szCs w:val="22"/>
              </w:rPr>
            </w:pPr>
            <w:r w:rsidRPr="006F6DAC">
              <w:rPr>
                <w:rFonts w:ascii="Garamond" w:hAnsi="Garamond"/>
                <w:bCs w:val="0"/>
                <w:color w:val="000000"/>
                <w:sz w:val="22"/>
                <w:szCs w:val="22"/>
              </w:rPr>
              <w:lastRenderedPageBreak/>
              <w:t xml:space="preserve">При передаче результатов измерений и данных о состоянии объектов измерений используются следующие типы документов: </w:t>
            </w:r>
          </w:p>
          <w:p w14:paraId="2D1288D2" w14:textId="77777777" w:rsidR="00F11A8B" w:rsidRPr="006F6DAC" w:rsidRDefault="00F11A8B" w:rsidP="00F11A8B">
            <w:pPr>
              <w:pStyle w:val="ac"/>
              <w:numPr>
                <w:ilvl w:val="0"/>
                <w:numId w:val="231"/>
              </w:numPr>
              <w:tabs>
                <w:tab w:val="num" w:pos="0"/>
                <w:tab w:val="left" w:pos="1080"/>
              </w:tabs>
              <w:spacing w:before="120" w:after="120"/>
              <w:jc w:val="both"/>
              <w:rPr>
                <w:rFonts w:ascii="Garamond" w:hAnsi="Garamond"/>
                <w:color w:val="000000"/>
                <w:sz w:val="22"/>
                <w:szCs w:val="22"/>
                <w:highlight w:val="yellow"/>
              </w:rPr>
            </w:pPr>
            <w:r w:rsidRPr="006F6DAC">
              <w:rPr>
                <w:rFonts w:ascii="Garamond" w:hAnsi="Garamond"/>
                <w:color w:val="000000"/>
                <w:sz w:val="22"/>
                <w:szCs w:val="22"/>
                <w:highlight w:val="yellow"/>
              </w:rPr>
              <w:t>тип документа 20020 используется для передачи результатов измерений и данных о состоянии объектов измерений по объектам регулирования;</w:t>
            </w:r>
          </w:p>
          <w:p w14:paraId="3B17B077" w14:textId="77777777" w:rsidR="00F11A8B" w:rsidRPr="006F6DAC" w:rsidRDefault="00F11A8B" w:rsidP="00F11A8B">
            <w:pPr>
              <w:pStyle w:val="ac"/>
              <w:numPr>
                <w:ilvl w:val="0"/>
                <w:numId w:val="231"/>
              </w:numPr>
              <w:tabs>
                <w:tab w:val="num" w:pos="0"/>
                <w:tab w:val="left" w:pos="1080"/>
              </w:tabs>
              <w:spacing w:before="120" w:after="120"/>
              <w:jc w:val="both"/>
              <w:rPr>
                <w:rFonts w:ascii="Garamond" w:hAnsi="Garamond"/>
                <w:b/>
                <w:bCs/>
                <w:color w:val="000000"/>
                <w:sz w:val="22"/>
                <w:szCs w:val="22"/>
              </w:rPr>
            </w:pPr>
            <w:r w:rsidRPr="006F6DAC">
              <w:rPr>
                <w:rFonts w:ascii="Garamond" w:hAnsi="Garamond"/>
                <w:color w:val="000000"/>
                <w:sz w:val="22"/>
                <w:szCs w:val="22"/>
              </w:rPr>
              <w:t xml:space="preserve">тип документа 80020 используется для передачи результатов измерений и данных о состоянии объектов измерений </w:t>
            </w:r>
            <w:r w:rsidRPr="006F6DAC">
              <w:rPr>
                <w:rFonts w:ascii="Garamond" w:hAnsi="Garamond"/>
                <w:color w:val="000000"/>
                <w:sz w:val="22"/>
                <w:szCs w:val="22"/>
                <w:highlight w:val="yellow"/>
              </w:rPr>
              <w:t>по сечениям коммерческого учета и ГТП генерации</w:t>
            </w:r>
            <w:r w:rsidRPr="006F6DAC">
              <w:rPr>
                <w:rFonts w:ascii="Garamond" w:hAnsi="Garamond"/>
                <w:color w:val="000000"/>
                <w:sz w:val="22"/>
                <w:szCs w:val="22"/>
              </w:rPr>
              <w:t xml:space="preserve">; </w:t>
            </w:r>
          </w:p>
          <w:p w14:paraId="16D98659" w14:textId="77777777" w:rsidR="00F11A8B" w:rsidRPr="006F6DAC" w:rsidRDefault="00F11A8B" w:rsidP="00F11A8B">
            <w:pPr>
              <w:pStyle w:val="ac"/>
              <w:numPr>
                <w:ilvl w:val="0"/>
                <w:numId w:val="231"/>
              </w:numPr>
              <w:tabs>
                <w:tab w:val="num" w:pos="0"/>
                <w:tab w:val="left" w:pos="1080"/>
              </w:tabs>
              <w:spacing w:before="120" w:after="120"/>
              <w:jc w:val="both"/>
              <w:rPr>
                <w:rFonts w:ascii="Garamond" w:hAnsi="Garamond"/>
                <w:bCs/>
                <w:color w:val="000000"/>
                <w:sz w:val="22"/>
                <w:szCs w:val="22"/>
              </w:rPr>
            </w:pPr>
            <w:r w:rsidRPr="006F6DAC">
              <w:rPr>
                <w:rFonts w:ascii="Garamond" w:hAnsi="Garamond"/>
                <w:bCs/>
                <w:color w:val="000000"/>
                <w:sz w:val="22"/>
                <w:szCs w:val="22"/>
              </w:rPr>
              <w:t>тип документа 80040 используется для передачи результатов измерений и данных о состоянии объектов измерений по «малым» точкам измерений по</w:t>
            </w:r>
            <w:r w:rsidRPr="006F6DAC">
              <w:rPr>
                <w:rFonts w:ascii="Garamond" w:hAnsi="Garamond"/>
                <w:bCs/>
                <w:color w:val="000000"/>
                <w:sz w:val="22"/>
                <w:szCs w:val="22"/>
                <w:highlight w:val="yellow"/>
              </w:rPr>
              <w:t xml:space="preserve"> сечениям коммерческого учета</w:t>
            </w:r>
            <w:r w:rsidRPr="006F6DAC">
              <w:rPr>
                <w:rFonts w:ascii="Garamond" w:hAnsi="Garamond"/>
                <w:bCs/>
                <w:color w:val="000000"/>
                <w:sz w:val="22"/>
                <w:szCs w:val="22"/>
              </w:rPr>
              <w:t xml:space="preserve">; </w:t>
            </w:r>
          </w:p>
          <w:p w14:paraId="3203B1E4" w14:textId="77777777" w:rsidR="00F11A8B" w:rsidRPr="006F6DAC" w:rsidRDefault="00F11A8B" w:rsidP="00F11A8B">
            <w:pPr>
              <w:pStyle w:val="ac"/>
              <w:numPr>
                <w:ilvl w:val="0"/>
                <w:numId w:val="231"/>
              </w:numPr>
              <w:tabs>
                <w:tab w:val="left" w:pos="1080"/>
              </w:tabs>
              <w:spacing w:before="120" w:after="120"/>
              <w:jc w:val="both"/>
              <w:rPr>
                <w:rFonts w:ascii="Garamond" w:hAnsi="Garamond"/>
                <w:color w:val="000000"/>
                <w:sz w:val="22"/>
                <w:szCs w:val="22"/>
              </w:rPr>
            </w:pPr>
            <w:r w:rsidRPr="006F6DAC">
              <w:rPr>
                <w:rFonts w:ascii="Garamond" w:hAnsi="Garamond"/>
                <w:color w:val="000000"/>
                <w:sz w:val="22"/>
                <w:szCs w:val="22"/>
              </w:rPr>
              <w:t xml:space="preserve">тип документа 80050 используется для </w:t>
            </w:r>
            <w:r w:rsidRPr="006F6DAC">
              <w:rPr>
                <w:rFonts w:ascii="Garamond" w:hAnsi="Garamond"/>
                <w:sz w:val="22"/>
                <w:szCs w:val="22"/>
              </w:rPr>
              <w:t xml:space="preserve">обмена между смежными субъектами </w:t>
            </w:r>
            <w:r w:rsidRPr="006F6DAC">
              <w:rPr>
                <w:rFonts w:ascii="Garamond" w:hAnsi="Garamond"/>
                <w:sz w:val="22"/>
                <w:szCs w:val="22"/>
                <w:highlight w:val="yellow"/>
              </w:rPr>
              <w:t>ОРЭМ</w:t>
            </w:r>
            <w:r w:rsidRPr="006F6DAC">
              <w:rPr>
                <w:rFonts w:ascii="Garamond" w:hAnsi="Garamond"/>
                <w:sz w:val="22"/>
                <w:szCs w:val="22"/>
              </w:rPr>
              <w:t xml:space="preserve"> типовыми суточными графиками </w:t>
            </w:r>
            <w:r w:rsidRPr="006F6DAC">
              <w:rPr>
                <w:rFonts w:ascii="Garamond" w:hAnsi="Garamond"/>
                <w:color w:val="000000"/>
                <w:sz w:val="22"/>
                <w:szCs w:val="22"/>
              </w:rPr>
              <w:t>нагрузки по измерительным каналам точек измерений</w:t>
            </w:r>
            <w:r w:rsidRPr="006F6DAC">
              <w:rPr>
                <w:rFonts w:ascii="Garamond" w:hAnsi="Garamond"/>
                <w:sz w:val="22"/>
                <w:szCs w:val="22"/>
              </w:rPr>
              <w:t xml:space="preserve"> </w:t>
            </w:r>
            <w:r w:rsidRPr="006F6DAC">
              <w:rPr>
                <w:rFonts w:ascii="Garamond" w:hAnsi="Garamond"/>
                <w:sz w:val="22"/>
                <w:szCs w:val="22"/>
                <w:highlight w:val="yellow"/>
              </w:rPr>
              <w:t>по</w:t>
            </w:r>
            <w:r w:rsidRPr="006F6DAC">
              <w:rPr>
                <w:rFonts w:ascii="Garamond" w:hAnsi="Garamond"/>
                <w:bCs/>
                <w:sz w:val="22"/>
                <w:szCs w:val="22"/>
                <w:highlight w:val="yellow"/>
              </w:rPr>
              <w:t xml:space="preserve"> сечениям </w:t>
            </w:r>
            <w:r w:rsidRPr="006F6DAC">
              <w:rPr>
                <w:rFonts w:ascii="Garamond" w:hAnsi="Garamond"/>
                <w:bCs/>
                <w:sz w:val="22"/>
                <w:szCs w:val="22"/>
                <w:highlight w:val="yellow"/>
              </w:rPr>
              <w:lastRenderedPageBreak/>
              <w:t>коммерческого учета</w:t>
            </w:r>
            <w:r w:rsidRPr="006F6DAC">
              <w:rPr>
                <w:rFonts w:ascii="Garamond" w:hAnsi="Garamond"/>
                <w:color w:val="000000"/>
                <w:sz w:val="22"/>
                <w:szCs w:val="22"/>
              </w:rPr>
              <w:t>, оснащенны</w:t>
            </w:r>
            <w:r w:rsidRPr="006F6DAC">
              <w:rPr>
                <w:rFonts w:ascii="Garamond" w:hAnsi="Garamond"/>
                <w:color w:val="000000"/>
                <w:sz w:val="22"/>
                <w:szCs w:val="22"/>
                <w:highlight w:val="yellow"/>
              </w:rPr>
              <w:t>м</w:t>
            </w:r>
            <w:r w:rsidRPr="006F6DAC">
              <w:rPr>
                <w:rFonts w:ascii="Garamond" w:hAnsi="Garamond"/>
                <w:color w:val="000000"/>
                <w:sz w:val="22"/>
                <w:szCs w:val="22"/>
              </w:rPr>
              <w:t xml:space="preserve"> интегральным учетом, результаты измерений по которым передаются в документе 80040. </w:t>
            </w:r>
          </w:p>
          <w:p w14:paraId="52CC3C16" w14:textId="77777777" w:rsidR="00F11A8B" w:rsidRPr="006F6DAC" w:rsidRDefault="00F11A8B" w:rsidP="00F11A8B">
            <w:pPr>
              <w:pStyle w:val="a6"/>
              <w:tabs>
                <w:tab w:val="left" w:pos="1440"/>
              </w:tabs>
              <w:spacing w:before="120" w:after="120"/>
              <w:ind w:firstLine="540"/>
              <w:jc w:val="both"/>
              <w:rPr>
                <w:rFonts w:ascii="Garamond" w:hAnsi="Garamond"/>
                <w:b/>
                <w:bCs w:val="0"/>
                <w:color w:val="000000"/>
                <w:sz w:val="22"/>
                <w:szCs w:val="22"/>
                <w:highlight w:val="yellow"/>
              </w:rPr>
            </w:pPr>
            <w:r w:rsidRPr="006F6DAC">
              <w:rPr>
                <w:rFonts w:ascii="Garamond" w:hAnsi="Garamond"/>
                <w:bCs w:val="0"/>
                <w:color w:val="000000"/>
                <w:sz w:val="22"/>
                <w:szCs w:val="22"/>
                <w:highlight w:val="yellow"/>
              </w:rPr>
              <w:t>Примеры и описание документов приводятся:</w:t>
            </w:r>
          </w:p>
          <w:p w14:paraId="002A040B" w14:textId="77777777" w:rsidR="00F11A8B" w:rsidRPr="006F6DAC" w:rsidRDefault="00F11A8B" w:rsidP="00F11A8B">
            <w:pPr>
              <w:pStyle w:val="a6"/>
              <w:numPr>
                <w:ilvl w:val="0"/>
                <w:numId w:val="230"/>
              </w:numPr>
              <w:tabs>
                <w:tab w:val="left" w:pos="1440"/>
              </w:tabs>
              <w:suppressAutoHyphens w:val="0"/>
              <w:spacing w:before="120" w:after="120"/>
              <w:jc w:val="both"/>
              <w:rPr>
                <w:rFonts w:ascii="Garamond" w:hAnsi="Garamond"/>
                <w:b/>
                <w:bCs w:val="0"/>
                <w:color w:val="000000"/>
                <w:sz w:val="22"/>
                <w:szCs w:val="22"/>
                <w:highlight w:val="yellow"/>
              </w:rPr>
            </w:pPr>
            <w:r w:rsidRPr="006F6DAC">
              <w:rPr>
                <w:rFonts w:ascii="Garamond" w:hAnsi="Garamond"/>
                <w:bCs w:val="0"/>
                <w:color w:val="000000"/>
                <w:sz w:val="22"/>
                <w:szCs w:val="22"/>
                <w:highlight w:val="yellow"/>
              </w:rPr>
              <w:t xml:space="preserve">в приложении </w:t>
            </w:r>
            <w:r w:rsidRPr="006F6DAC">
              <w:rPr>
                <w:rFonts w:ascii="Garamond" w:hAnsi="Garamond"/>
                <w:bCs w:val="0"/>
                <w:color w:val="000000"/>
                <w:sz w:val="22"/>
                <w:szCs w:val="22"/>
                <w:highlight w:val="yellow"/>
                <w:lang w:val="en-US"/>
              </w:rPr>
              <w:t>1</w:t>
            </w:r>
            <w:r w:rsidRPr="006F6DAC">
              <w:rPr>
                <w:rFonts w:ascii="Garamond" w:hAnsi="Garamond"/>
                <w:bCs w:val="0"/>
                <w:color w:val="000000"/>
                <w:sz w:val="22"/>
                <w:szCs w:val="22"/>
                <w:highlight w:val="yellow"/>
              </w:rPr>
              <w:t xml:space="preserve"> для документа 20020;</w:t>
            </w:r>
          </w:p>
          <w:p w14:paraId="66E9CA9F" w14:textId="77777777" w:rsidR="00F11A8B" w:rsidRPr="006F6DAC" w:rsidRDefault="00F11A8B" w:rsidP="00F11A8B">
            <w:pPr>
              <w:pStyle w:val="a6"/>
              <w:numPr>
                <w:ilvl w:val="0"/>
                <w:numId w:val="230"/>
              </w:numPr>
              <w:tabs>
                <w:tab w:val="left" w:pos="1440"/>
              </w:tabs>
              <w:suppressAutoHyphens w:val="0"/>
              <w:spacing w:before="120" w:after="120"/>
              <w:jc w:val="both"/>
              <w:rPr>
                <w:rFonts w:ascii="Garamond" w:hAnsi="Garamond"/>
                <w:b/>
                <w:bCs w:val="0"/>
                <w:color w:val="000000"/>
                <w:sz w:val="22"/>
                <w:szCs w:val="22"/>
                <w:highlight w:val="yellow"/>
              </w:rPr>
            </w:pPr>
            <w:r w:rsidRPr="006F6DAC">
              <w:rPr>
                <w:rFonts w:ascii="Garamond" w:hAnsi="Garamond"/>
                <w:bCs w:val="0"/>
                <w:color w:val="000000"/>
                <w:sz w:val="22"/>
                <w:szCs w:val="22"/>
                <w:highlight w:val="yellow"/>
              </w:rPr>
              <w:t>в приложении 2 для документов 80020 и 80040;</w:t>
            </w:r>
          </w:p>
          <w:p w14:paraId="320F318C" w14:textId="77777777" w:rsidR="00F11A8B" w:rsidRPr="006F6DAC" w:rsidRDefault="00F11A8B" w:rsidP="00F11A8B">
            <w:pPr>
              <w:pStyle w:val="a6"/>
              <w:numPr>
                <w:ilvl w:val="0"/>
                <w:numId w:val="230"/>
              </w:numPr>
              <w:tabs>
                <w:tab w:val="left" w:pos="1440"/>
              </w:tabs>
              <w:suppressAutoHyphens w:val="0"/>
              <w:spacing w:before="120" w:after="120"/>
              <w:jc w:val="both"/>
              <w:rPr>
                <w:rFonts w:ascii="Garamond" w:hAnsi="Garamond"/>
                <w:b/>
                <w:bCs w:val="0"/>
                <w:color w:val="000000"/>
                <w:sz w:val="22"/>
                <w:szCs w:val="22"/>
                <w:highlight w:val="yellow"/>
              </w:rPr>
            </w:pPr>
            <w:r w:rsidRPr="006F6DAC">
              <w:rPr>
                <w:rFonts w:ascii="Garamond" w:hAnsi="Garamond"/>
                <w:bCs w:val="0"/>
                <w:color w:val="000000"/>
                <w:sz w:val="22"/>
                <w:szCs w:val="22"/>
                <w:highlight w:val="yellow"/>
              </w:rPr>
              <w:t>в приложении 4 для документа 80050.</w:t>
            </w:r>
          </w:p>
          <w:p w14:paraId="0BEC8C6C" w14:textId="77777777" w:rsidR="00F11A8B" w:rsidRPr="006F6DAC" w:rsidRDefault="00F11A8B" w:rsidP="006F6DAC">
            <w:pPr>
              <w:pStyle w:val="a6"/>
              <w:tabs>
                <w:tab w:val="left" w:pos="1080"/>
                <w:tab w:val="num" w:pos="1440"/>
              </w:tabs>
              <w:suppressAutoHyphens w:val="0"/>
              <w:spacing w:before="120" w:after="120"/>
              <w:ind w:firstLine="598"/>
              <w:jc w:val="both"/>
              <w:rPr>
                <w:rFonts w:ascii="Garamond" w:hAnsi="Garamond"/>
                <w:bCs w:val="0"/>
                <w:color w:val="000000"/>
                <w:sz w:val="22"/>
                <w:szCs w:val="22"/>
              </w:rPr>
            </w:pPr>
            <w:r w:rsidRPr="006F6DAC">
              <w:rPr>
                <w:rFonts w:ascii="Garamond" w:hAnsi="Garamond"/>
                <w:bCs w:val="0"/>
                <w:color w:val="000000"/>
                <w:sz w:val="22"/>
                <w:szCs w:val="22"/>
              </w:rPr>
              <w:t>При декларации кодировки являющейся частью декларации XML требуется использование названий и псевдонимов русскоязычных наборов символов, зарегистрированных в Internet Assigned Numbers Authority</w:t>
            </w:r>
          </w:p>
        </w:tc>
      </w:tr>
      <w:tr w:rsidR="00F11A8B" w:rsidRPr="006F6DAC" w14:paraId="0A591427" w14:textId="77777777" w:rsidTr="006F6DAC">
        <w:tc>
          <w:tcPr>
            <w:tcW w:w="1060" w:type="dxa"/>
          </w:tcPr>
          <w:p w14:paraId="33703078" w14:textId="77777777" w:rsidR="00F11A8B" w:rsidRPr="006F6DAC" w:rsidRDefault="00F11A8B" w:rsidP="00F11A8B">
            <w:pPr>
              <w:widowControl w:val="0"/>
              <w:spacing w:line="259" w:lineRule="auto"/>
              <w:jc w:val="center"/>
              <w:rPr>
                <w:rFonts w:ascii="Garamond" w:hAnsi="Garamond"/>
                <w:b/>
                <w:sz w:val="22"/>
                <w:szCs w:val="22"/>
                <w:lang w:eastAsia="en-US"/>
              </w:rPr>
            </w:pPr>
            <w:r w:rsidRPr="006F6DAC">
              <w:rPr>
                <w:rFonts w:ascii="Garamond" w:hAnsi="Garamond"/>
                <w:b/>
                <w:sz w:val="22"/>
                <w:szCs w:val="22"/>
                <w:lang w:eastAsia="en-US"/>
              </w:rPr>
              <w:lastRenderedPageBreak/>
              <w:t>2.9</w:t>
            </w:r>
          </w:p>
        </w:tc>
        <w:tc>
          <w:tcPr>
            <w:tcW w:w="6804" w:type="dxa"/>
          </w:tcPr>
          <w:p w14:paraId="72004282" w14:textId="77777777" w:rsidR="00F11A8B" w:rsidRPr="006F6DAC" w:rsidRDefault="00F11A8B" w:rsidP="00F11A8B">
            <w:pPr>
              <w:pStyle w:val="a6"/>
              <w:tabs>
                <w:tab w:val="left" w:pos="1080"/>
              </w:tabs>
              <w:suppressAutoHyphens w:val="0"/>
              <w:spacing w:before="120" w:after="120"/>
              <w:jc w:val="both"/>
              <w:rPr>
                <w:rFonts w:ascii="Garamond" w:hAnsi="Garamond"/>
                <w:b/>
                <w:bCs w:val="0"/>
                <w:color w:val="000000"/>
                <w:sz w:val="22"/>
                <w:szCs w:val="22"/>
              </w:rPr>
            </w:pPr>
            <w:r w:rsidRPr="006F6DAC">
              <w:rPr>
                <w:rFonts w:ascii="Garamond" w:hAnsi="Garamond"/>
                <w:color w:val="000000"/>
                <w:sz w:val="22"/>
                <w:szCs w:val="22"/>
              </w:rPr>
              <w:t>Устанавливаются следующие временные интервалы при передаче данных с использованием электронных документов:</w:t>
            </w:r>
          </w:p>
          <w:p w14:paraId="0F046A0B" w14:textId="77777777" w:rsidR="00F11A8B" w:rsidRPr="006F6DAC" w:rsidRDefault="00F11A8B" w:rsidP="00F11A8B">
            <w:pPr>
              <w:tabs>
                <w:tab w:val="left" w:pos="900"/>
                <w:tab w:val="left" w:pos="1440"/>
              </w:tabs>
              <w:spacing w:before="120" w:after="120"/>
              <w:ind w:firstLine="540"/>
              <w:jc w:val="both"/>
              <w:rPr>
                <w:rFonts w:ascii="Garamond" w:hAnsi="Garamond"/>
                <w:bCs/>
                <w:color w:val="000000"/>
                <w:sz w:val="22"/>
                <w:szCs w:val="22"/>
              </w:rPr>
            </w:pPr>
            <w:r w:rsidRPr="006F6DAC">
              <w:rPr>
                <w:rFonts w:ascii="Garamond" w:hAnsi="Garamond"/>
                <w:bCs/>
                <w:color w:val="000000"/>
                <w:sz w:val="22"/>
                <w:szCs w:val="22"/>
              </w:rPr>
              <w:t>•</w:t>
            </w:r>
            <w:r w:rsidRPr="006F6DAC">
              <w:rPr>
                <w:rFonts w:ascii="Garamond" w:hAnsi="Garamond"/>
                <w:bCs/>
                <w:color w:val="000000"/>
                <w:sz w:val="22"/>
                <w:szCs w:val="22"/>
              </w:rPr>
              <w:tab/>
              <w:t>80020 – для измерительных каналов точек измерений – 30 минут</w:t>
            </w:r>
            <w:r w:rsidRPr="006F6DAC">
              <w:rPr>
                <w:rFonts w:ascii="Garamond" w:hAnsi="Garamond"/>
                <w:bCs/>
                <w:color w:val="000000"/>
                <w:sz w:val="22"/>
                <w:szCs w:val="22"/>
                <w:highlight w:val="yellow"/>
              </w:rPr>
              <w:t>, для измерительных каналов точек поставки – 1 час, для значений сальдо перетоков – 1 час</w:t>
            </w:r>
            <w:r w:rsidRPr="006F6DAC">
              <w:rPr>
                <w:rFonts w:ascii="Garamond" w:hAnsi="Garamond"/>
                <w:bCs/>
                <w:color w:val="000000"/>
                <w:sz w:val="22"/>
                <w:szCs w:val="22"/>
              </w:rPr>
              <w:t>;</w:t>
            </w:r>
          </w:p>
          <w:p w14:paraId="3764E25E" w14:textId="77777777" w:rsidR="00F11A8B" w:rsidRPr="006F6DAC" w:rsidRDefault="00F11A8B" w:rsidP="00F11A8B">
            <w:pPr>
              <w:tabs>
                <w:tab w:val="left" w:pos="900"/>
                <w:tab w:val="left" w:pos="1440"/>
              </w:tabs>
              <w:spacing w:before="120" w:after="120"/>
              <w:ind w:firstLine="540"/>
              <w:jc w:val="both"/>
              <w:rPr>
                <w:rFonts w:ascii="Garamond" w:hAnsi="Garamond"/>
                <w:bCs/>
                <w:color w:val="000000"/>
                <w:sz w:val="22"/>
                <w:szCs w:val="22"/>
              </w:rPr>
            </w:pPr>
            <w:r w:rsidRPr="006F6DAC">
              <w:rPr>
                <w:rFonts w:ascii="Garamond" w:hAnsi="Garamond"/>
                <w:bCs/>
                <w:color w:val="000000"/>
                <w:sz w:val="22"/>
                <w:szCs w:val="22"/>
              </w:rPr>
              <w:t>•</w:t>
            </w:r>
            <w:r w:rsidRPr="006F6DAC">
              <w:rPr>
                <w:rFonts w:ascii="Garamond" w:hAnsi="Garamond"/>
                <w:bCs/>
                <w:color w:val="000000"/>
                <w:sz w:val="22"/>
                <w:szCs w:val="22"/>
              </w:rPr>
              <w:tab/>
              <w:t>80040 – для измерительных каналов точек измерений</w:t>
            </w:r>
            <w:r w:rsidRPr="006F6DAC">
              <w:rPr>
                <w:rFonts w:ascii="Garamond" w:hAnsi="Garamond"/>
                <w:color w:val="000000"/>
                <w:sz w:val="22"/>
                <w:szCs w:val="22"/>
                <w:highlight w:val="yellow"/>
              </w:rPr>
              <w:t>/</w:t>
            </w:r>
            <w:r w:rsidRPr="006F6DAC">
              <w:rPr>
                <w:rFonts w:ascii="Garamond" w:hAnsi="Garamond"/>
                <w:bCs/>
                <w:sz w:val="22"/>
                <w:szCs w:val="22"/>
                <w:highlight w:val="yellow"/>
              </w:rPr>
              <w:t>совокупностям «малых» точек измерений</w:t>
            </w:r>
            <w:r w:rsidRPr="006F6DAC">
              <w:rPr>
                <w:rFonts w:ascii="Garamond" w:hAnsi="Garamond"/>
                <w:bCs/>
                <w:color w:val="000000"/>
                <w:sz w:val="22"/>
                <w:szCs w:val="22"/>
              </w:rPr>
              <w:t>, оснащенных интервальным учетом – 30 минут, оснащенных интегральным учетом – 30 минут или 1 час (должны соответствовать типовому графику нагрузки</w:t>
            </w:r>
            <w:r w:rsidRPr="006F6DAC">
              <w:rPr>
                <w:rFonts w:ascii="Garamond" w:hAnsi="Garamond"/>
                <w:bCs/>
                <w:color w:val="000000"/>
                <w:sz w:val="22"/>
                <w:szCs w:val="22"/>
                <w:highlight w:val="yellow"/>
              </w:rPr>
              <w:t>), для измерительных каналов точек поставки – 1 час, для значений сальдо перетоков – 1 час</w:t>
            </w:r>
            <w:r w:rsidRPr="006F6DAC">
              <w:rPr>
                <w:rFonts w:ascii="Garamond" w:hAnsi="Garamond"/>
                <w:bCs/>
                <w:color w:val="000000"/>
                <w:sz w:val="22"/>
                <w:szCs w:val="22"/>
              </w:rPr>
              <w:t xml:space="preserve">; </w:t>
            </w:r>
          </w:p>
          <w:p w14:paraId="344CF6BB" w14:textId="77777777" w:rsidR="00F11A8B" w:rsidRPr="006F6DAC" w:rsidRDefault="00F11A8B" w:rsidP="00F11A8B">
            <w:pPr>
              <w:pStyle w:val="a6"/>
              <w:tabs>
                <w:tab w:val="left" w:pos="1080"/>
                <w:tab w:val="num" w:pos="1440"/>
              </w:tabs>
              <w:suppressAutoHyphens w:val="0"/>
              <w:spacing w:before="120" w:after="120"/>
              <w:jc w:val="both"/>
              <w:rPr>
                <w:rFonts w:ascii="Garamond" w:hAnsi="Garamond"/>
                <w:bCs w:val="0"/>
                <w:color w:val="000000"/>
                <w:sz w:val="22"/>
                <w:szCs w:val="22"/>
              </w:rPr>
            </w:pPr>
            <w:r w:rsidRPr="006F6DAC">
              <w:rPr>
                <w:rFonts w:ascii="Garamond" w:hAnsi="Garamond"/>
                <w:bCs w:val="0"/>
                <w:color w:val="000000"/>
                <w:sz w:val="22"/>
                <w:szCs w:val="22"/>
              </w:rPr>
              <w:t>•</w:t>
            </w:r>
            <w:r w:rsidRPr="006F6DAC">
              <w:rPr>
                <w:rFonts w:ascii="Garamond" w:hAnsi="Garamond"/>
                <w:bCs w:val="0"/>
                <w:color w:val="000000"/>
                <w:sz w:val="22"/>
                <w:szCs w:val="22"/>
              </w:rPr>
              <w:tab/>
              <w:t>80050 – для измерительных каналов точек измерений</w:t>
            </w:r>
            <w:r w:rsidRPr="006F6DAC">
              <w:rPr>
                <w:rFonts w:ascii="Garamond" w:hAnsi="Garamond"/>
                <w:color w:val="000000"/>
                <w:sz w:val="22"/>
                <w:szCs w:val="22"/>
                <w:highlight w:val="yellow"/>
              </w:rPr>
              <w:t>/</w:t>
            </w:r>
            <w:r w:rsidRPr="006F6DAC">
              <w:rPr>
                <w:rFonts w:ascii="Garamond" w:hAnsi="Garamond"/>
                <w:bCs w:val="0"/>
                <w:sz w:val="22"/>
                <w:szCs w:val="22"/>
                <w:highlight w:val="yellow"/>
              </w:rPr>
              <w:t>совокупностям «малых» точек измерений</w:t>
            </w:r>
            <w:r w:rsidRPr="006F6DAC">
              <w:rPr>
                <w:rFonts w:ascii="Garamond" w:hAnsi="Garamond"/>
                <w:bCs w:val="0"/>
                <w:color w:val="000000"/>
                <w:sz w:val="22"/>
                <w:szCs w:val="22"/>
              </w:rPr>
              <w:t>, оснащенных интегральным учетом – 30 минут.</w:t>
            </w:r>
          </w:p>
        </w:tc>
        <w:tc>
          <w:tcPr>
            <w:tcW w:w="7115" w:type="dxa"/>
          </w:tcPr>
          <w:p w14:paraId="07A241D3" w14:textId="77777777" w:rsidR="00F11A8B" w:rsidRPr="006F6DAC" w:rsidRDefault="00F11A8B" w:rsidP="00F11A8B">
            <w:pPr>
              <w:pStyle w:val="a6"/>
              <w:tabs>
                <w:tab w:val="left" w:pos="1080"/>
              </w:tabs>
              <w:suppressAutoHyphens w:val="0"/>
              <w:spacing w:before="120" w:after="120"/>
              <w:jc w:val="both"/>
              <w:rPr>
                <w:rFonts w:ascii="Garamond" w:hAnsi="Garamond"/>
                <w:b/>
                <w:bCs w:val="0"/>
                <w:color w:val="000000"/>
                <w:sz w:val="22"/>
                <w:szCs w:val="22"/>
              </w:rPr>
            </w:pPr>
            <w:r w:rsidRPr="006F6DAC">
              <w:rPr>
                <w:rFonts w:ascii="Garamond" w:hAnsi="Garamond"/>
                <w:color w:val="000000"/>
                <w:sz w:val="22"/>
                <w:szCs w:val="22"/>
              </w:rPr>
              <w:t>Устанавливаются следующие временные интервалы при передаче данных с использованием электронных документов:</w:t>
            </w:r>
          </w:p>
          <w:p w14:paraId="76C3DF9D" w14:textId="77777777" w:rsidR="00F11A8B" w:rsidRPr="006F6DAC" w:rsidRDefault="00F11A8B" w:rsidP="00F11A8B">
            <w:pPr>
              <w:pStyle w:val="ac"/>
              <w:numPr>
                <w:ilvl w:val="0"/>
                <w:numId w:val="232"/>
              </w:numPr>
              <w:tabs>
                <w:tab w:val="left" w:pos="900"/>
                <w:tab w:val="left" w:pos="1440"/>
              </w:tabs>
              <w:spacing w:before="120" w:after="120"/>
              <w:jc w:val="both"/>
              <w:rPr>
                <w:rFonts w:ascii="Garamond" w:hAnsi="Garamond"/>
                <w:bCs/>
                <w:color w:val="000000"/>
                <w:sz w:val="22"/>
                <w:szCs w:val="22"/>
                <w:highlight w:val="yellow"/>
              </w:rPr>
            </w:pPr>
            <w:r w:rsidRPr="006F6DAC">
              <w:rPr>
                <w:rFonts w:ascii="Garamond" w:hAnsi="Garamond"/>
                <w:bCs/>
                <w:color w:val="000000"/>
                <w:sz w:val="22"/>
                <w:szCs w:val="22"/>
                <w:highlight w:val="yellow"/>
              </w:rPr>
              <w:t>20020 – для измерительных каналов точек измерений – 30 минут, для измерительных каналов точек присоединения – 1 час, для сальдированных значений по объекту регулирования – 1 час;</w:t>
            </w:r>
          </w:p>
          <w:p w14:paraId="5366916E" w14:textId="77777777" w:rsidR="00F11A8B" w:rsidRPr="006F6DAC" w:rsidRDefault="00F11A8B" w:rsidP="00F11A8B">
            <w:pPr>
              <w:pStyle w:val="ac"/>
              <w:numPr>
                <w:ilvl w:val="0"/>
                <w:numId w:val="232"/>
              </w:numPr>
              <w:tabs>
                <w:tab w:val="left" w:pos="900"/>
                <w:tab w:val="left" w:pos="1440"/>
              </w:tabs>
              <w:spacing w:before="120" w:after="120"/>
              <w:jc w:val="both"/>
              <w:rPr>
                <w:rFonts w:ascii="Garamond" w:hAnsi="Garamond"/>
                <w:bCs/>
                <w:color w:val="000000"/>
                <w:sz w:val="22"/>
                <w:szCs w:val="22"/>
              </w:rPr>
            </w:pPr>
            <w:r w:rsidRPr="006F6DAC">
              <w:rPr>
                <w:rFonts w:ascii="Garamond" w:hAnsi="Garamond"/>
                <w:bCs/>
                <w:color w:val="000000"/>
                <w:sz w:val="22"/>
                <w:szCs w:val="22"/>
              </w:rPr>
              <w:t>80020 – для измерительных каналов точек измерений – 30 минут;</w:t>
            </w:r>
          </w:p>
          <w:p w14:paraId="20E60B7E" w14:textId="77777777" w:rsidR="00F11A8B" w:rsidRPr="006F6DAC" w:rsidRDefault="00F11A8B" w:rsidP="00F11A8B">
            <w:pPr>
              <w:pStyle w:val="ac"/>
              <w:numPr>
                <w:ilvl w:val="0"/>
                <w:numId w:val="232"/>
              </w:numPr>
              <w:tabs>
                <w:tab w:val="left" w:pos="900"/>
                <w:tab w:val="left" w:pos="1440"/>
              </w:tabs>
              <w:spacing w:before="120" w:after="120"/>
              <w:jc w:val="both"/>
              <w:rPr>
                <w:rFonts w:ascii="Garamond" w:hAnsi="Garamond"/>
                <w:bCs/>
                <w:color w:val="000000"/>
                <w:sz w:val="22"/>
                <w:szCs w:val="22"/>
              </w:rPr>
            </w:pPr>
            <w:r w:rsidRPr="006F6DAC">
              <w:rPr>
                <w:rFonts w:ascii="Garamond" w:hAnsi="Garamond"/>
                <w:bCs/>
                <w:color w:val="000000"/>
                <w:sz w:val="22"/>
                <w:szCs w:val="22"/>
              </w:rPr>
              <w:t xml:space="preserve">80040 – для измерительных каналов точек измерений, оснащенных интервальным учетом – 30 минут, оснащенных интегральным учетом – 30 минут или 1 час (должны соответствовать типовому графику нагрузки); </w:t>
            </w:r>
          </w:p>
          <w:p w14:paraId="3453B525" w14:textId="77777777" w:rsidR="00F11A8B" w:rsidRPr="006F6DAC" w:rsidRDefault="00F11A8B" w:rsidP="00F11A8B">
            <w:pPr>
              <w:pStyle w:val="ac"/>
              <w:numPr>
                <w:ilvl w:val="0"/>
                <w:numId w:val="232"/>
              </w:numPr>
              <w:tabs>
                <w:tab w:val="left" w:pos="900"/>
                <w:tab w:val="left" w:pos="1440"/>
              </w:tabs>
              <w:spacing w:before="120" w:after="120"/>
              <w:jc w:val="both"/>
              <w:rPr>
                <w:rFonts w:ascii="Garamond" w:hAnsi="Garamond"/>
                <w:bCs/>
                <w:color w:val="000000"/>
                <w:sz w:val="22"/>
                <w:szCs w:val="22"/>
              </w:rPr>
            </w:pPr>
            <w:r w:rsidRPr="006F6DAC">
              <w:rPr>
                <w:rFonts w:ascii="Garamond" w:hAnsi="Garamond"/>
                <w:color w:val="000000"/>
                <w:sz w:val="22"/>
                <w:szCs w:val="22"/>
              </w:rPr>
              <w:t xml:space="preserve">80050 – для измерительных каналов точек измерений, оснащенных интегральным учетом – 30 минут </w:t>
            </w:r>
            <w:r w:rsidRPr="006F6DAC">
              <w:rPr>
                <w:rFonts w:ascii="Garamond" w:hAnsi="Garamond"/>
                <w:color w:val="000000"/>
                <w:sz w:val="22"/>
                <w:szCs w:val="22"/>
                <w:highlight w:val="yellow"/>
              </w:rPr>
              <w:t>или 1 час</w:t>
            </w:r>
            <w:r w:rsidRPr="006F6DAC">
              <w:rPr>
                <w:rFonts w:ascii="Garamond" w:hAnsi="Garamond"/>
                <w:color w:val="000000"/>
                <w:sz w:val="22"/>
                <w:szCs w:val="22"/>
              </w:rPr>
              <w:t>.</w:t>
            </w:r>
          </w:p>
        </w:tc>
      </w:tr>
      <w:tr w:rsidR="00F11A8B" w:rsidRPr="006F6DAC" w14:paraId="1054E6D3" w14:textId="77777777" w:rsidTr="006F6DAC">
        <w:tc>
          <w:tcPr>
            <w:tcW w:w="1060" w:type="dxa"/>
          </w:tcPr>
          <w:p w14:paraId="1666C921" w14:textId="77777777" w:rsidR="00F11A8B" w:rsidRPr="006F6DAC" w:rsidRDefault="00F11A8B" w:rsidP="00F11A8B">
            <w:pPr>
              <w:widowControl w:val="0"/>
              <w:spacing w:line="259" w:lineRule="auto"/>
              <w:jc w:val="center"/>
              <w:rPr>
                <w:rFonts w:ascii="Garamond" w:hAnsi="Garamond"/>
                <w:b/>
                <w:sz w:val="22"/>
                <w:szCs w:val="22"/>
                <w:lang w:eastAsia="en-US"/>
              </w:rPr>
            </w:pPr>
            <w:r w:rsidRPr="006F6DAC">
              <w:rPr>
                <w:rFonts w:ascii="Garamond" w:hAnsi="Garamond"/>
                <w:b/>
                <w:sz w:val="22"/>
                <w:szCs w:val="22"/>
                <w:lang w:eastAsia="en-US"/>
              </w:rPr>
              <w:t>2.10</w:t>
            </w:r>
          </w:p>
        </w:tc>
        <w:tc>
          <w:tcPr>
            <w:tcW w:w="6804" w:type="dxa"/>
          </w:tcPr>
          <w:p w14:paraId="003EA9DE" w14:textId="77777777" w:rsidR="00F11A8B" w:rsidRPr="006F6DAC" w:rsidRDefault="00F11A8B" w:rsidP="00F11A8B">
            <w:pPr>
              <w:pStyle w:val="a6"/>
              <w:tabs>
                <w:tab w:val="left" w:pos="1080"/>
              </w:tabs>
              <w:suppressAutoHyphens w:val="0"/>
              <w:spacing w:before="120" w:after="120"/>
              <w:jc w:val="both"/>
              <w:rPr>
                <w:rFonts w:ascii="Garamond" w:hAnsi="Garamond"/>
                <w:bCs w:val="0"/>
                <w:sz w:val="22"/>
                <w:szCs w:val="22"/>
              </w:rPr>
            </w:pPr>
            <w:r w:rsidRPr="006F6DAC">
              <w:rPr>
                <w:rFonts w:ascii="Garamond" w:hAnsi="Garamond"/>
                <w:bCs w:val="0"/>
                <w:sz w:val="22"/>
                <w:szCs w:val="22"/>
              </w:rPr>
              <w:t xml:space="preserve">Передача электронных документов осуществляется с использованием </w:t>
            </w:r>
            <w:r w:rsidRPr="006F6DAC">
              <w:rPr>
                <w:rFonts w:ascii="Garamond" w:hAnsi="Garamond"/>
                <w:sz w:val="22"/>
                <w:szCs w:val="22"/>
              </w:rPr>
              <w:t>электронной подписи</w:t>
            </w:r>
            <w:r w:rsidRPr="006F6DAC">
              <w:rPr>
                <w:rFonts w:ascii="Garamond" w:hAnsi="Garamond"/>
                <w:bCs w:val="0"/>
                <w:sz w:val="22"/>
                <w:szCs w:val="22"/>
              </w:rPr>
              <w:t xml:space="preserve">. </w:t>
            </w:r>
            <w:r w:rsidRPr="006F6DAC">
              <w:rPr>
                <w:rFonts w:ascii="Garamond" w:hAnsi="Garamond"/>
                <w:sz w:val="22"/>
                <w:szCs w:val="22"/>
              </w:rPr>
              <w:t>Субъект ОРЭМ должен передавать данные коммерческого учета КО с использованием электронной подписи (далее </w:t>
            </w:r>
            <w:r w:rsidRPr="006F6DAC">
              <w:rPr>
                <w:rFonts w:ascii="Garamond" w:hAnsi="Garamond"/>
                <w:bCs w:val="0"/>
                <w:sz w:val="22"/>
                <w:szCs w:val="22"/>
              </w:rPr>
              <w:t>―</w:t>
            </w:r>
            <w:r w:rsidRPr="006F6DAC">
              <w:rPr>
                <w:rFonts w:ascii="Garamond" w:hAnsi="Garamond"/>
                <w:sz w:val="22"/>
                <w:szCs w:val="22"/>
              </w:rPr>
              <w:t xml:space="preserve"> ЭП), полученной в соответствии с Соглашением о применении электронной подписи в торговой системе оптового рынка. </w:t>
            </w:r>
            <w:r w:rsidRPr="006F6DAC">
              <w:rPr>
                <w:rFonts w:ascii="Garamond" w:hAnsi="Garamond"/>
                <w:color w:val="000000"/>
                <w:sz w:val="22"/>
                <w:szCs w:val="22"/>
                <w:highlight w:val="yellow"/>
              </w:rPr>
              <w:t xml:space="preserve">Если Заявитель не подписал </w:t>
            </w:r>
            <w:r w:rsidRPr="006F6DAC">
              <w:rPr>
                <w:rFonts w:ascii="Garamond" w:hAnsi="Garamond"/>
                <w:sz w:val="22"/>
                <w:szCs w:val="22"/>
                <w:highlight w:val="yellow"/>
              </w:rPr>
              <w:t xml:space="preserve">Соглашение о применении электронной подписи в торговой системе оптового рынка, то допускается для </w:t>
            </w:r>
            <w:r w:rsidRPr="006F6DAC">
              <w:rPr>
                <w:rFonts w:ascii="Garamond" w:hAnsi="Garamond"/>
                <w:color w:val="000000"/>
                <w:sz w:val="22"/>
                <w:szCs w:val="22"/>
                <w:highlight w:val="yellow"/>
              </w:rPr>
              <w:t xml:space="preserve">передачи результатов измерений, состояний объектов измерений в </w:t>
            </w:r>
            <w:r w:rsidRPr="006F6DAC">
              <w:rPr>
                <w:rFonts w:ascii="Garamond" w:hAnsi="Garamond"/>
                <w:sz w:val="22"/>
                <w:szCs w:val="22"/>
                <w:highlight w:val="yellow"/>
              </w:rPr>
              <w:t xml:space="preserve">ПАК </w:t>
            </w:r>
            <w:r w:rsidRPr="006F6DAC">
              <w:rPr>
                <w:rFonts w:ascii="Garamond" w:hAnsi="Garamond"/>
                <w:sz w:val="22"/>
                <w:szCs w:val="22"/>
                <w:highlight w:val="yellow"/>
              </w:rPr>
              <w:lastRenderedPageBreak/>
              <w:t>КО временно передавать данные с использованием тестовой</w:t>
            </w:r>
            <w:r w:rsidRPr="006F6DAC">
              <w:rPr>
                <w:rStyle w:val="affc"/>
                <w:rFonts w:ascii="Garamond" w:hAnsi="Garamond"/>
                <w:sz w:val="22"/>
                <w:szCs w:val="22"/>
                <w:highlight w:val="yellow"/>
              </w:rPr>
              <w:footnoteReference w:customMarkFollows="1" w:id="2"/>
              <w:sym w:font="Symbol" w:char="F02A"/>
            </w:r>
            <w:r w:rsidRPr="006F6DAC">
              <w:rPr>
                <w:rFonts w:ascii="Garamond" w:hAnsi="Garamond"/>
                <w:sz w:val="22"/>
                <w:szCs w:val="22"/>
                <w:highlight w:val="yellow"/>
              </w:rPr>
              <w:t xml:space="preserve"> ЭП (далее </w:t>
            </w:r>
            <w:r w:rsidRPr="006F6DAC">
              <w:rPr>
                <w:rFonts w:ascii="Garamond" w:hAnsi="Garamond"/>
                <w:bCs w:val="0"/>
                <w:sz w:val="22"/>
                <w:szCs w:val="22"/>
                <w:highlight w:val="yellow"/>
              </w:rPr>
              <w:t xml:space="preserve">― </w:t>
            </w:r>
            <w:r w:rsidRPr="006F6DAC">
              <w:rPr>
                <w:rFonts w:ascii="Garamond" w:hAnsi="Garamond"/>
                <w:sz w:val="22"/>
                <w:szCs w:val="22"/>
                <w:highlight w:val="yellow"/>
              </w:rPr>
              <w:t>тестовая ЭП).</w:t>
            </w:r>
            <w:r w:rsidRPr="006F6DAC">
              <w:rPr>
                <w:rFonts w:ascii="Garamond" w:hAnsi="Garamond"/>
                <w:sz w:val="22"/>
                <w:szCs w:val="22"/>
              </w:rPr>
              <w:t xml:space="preserve"> </w:t>
            </w:r>
            <w:r w:rsidRPr="006F6DAC">
              <w:rPr>
                <w:rFonts w:ascii="Garamond" w:hAnsi="Garamond"/>
                <w:bCs w:val="0"/>
                <w:sz w:val="22"/>
                <w:szCs w:val="22"/>
              </w:rPr>
              <w:t>При передаче данных СО допускается передача электронных документов без использования ЭП.</w:t>
            </w:r>
          </w:p>
          <w:p w14:paraId="464614C3" w14:textId="08BC4E6A" w:rsidR="00F11A8B" w:rsidRPr="006F6DAC" w:rsidRDefault="00F11A8B" w:rsidP="00F11A8B">
            <w:pPr>
              <w:pStyle w:val="a6"/>
              <w:tabs>
                <w:tab w:val="left" w:pos="1080"/>
              </w:tabs>
              <w:suppressAutoHyphens w:val="0"/>
              <w:spacing w:before="120" w:after="120"/>
              <w:jc w:val="both"/>
              <w:rPr>
                <w:rFonts w:ascii="Garamond" w:hAnsi="Garamond"/>
                <w:color w:val="000000"/>
                <w:sz w:val="22"/>
                <w:szCs w:val="22"/>
              </w:rPr>
            </w:pPr>
            <w:r w:rsidRPr="006F6DAC">
              <w:rPr>
                <w:rStyle w:val="affc"/>
                <w:rFonts w:ascii="Garamond" w:hAnsi="Garamond"/>
                <w:sz w:val="22"/>
                <w:szCs w:val="22"/>
                <w:highlight w:val="yellow"/>
              </w:rPr>
              <w:sym w:font="Symbol" w:char="F02A"/>
            </w:r>
            <w:r w:rsidRPr="006F6DAC">
              <w:rPr>
                <w:rFonts w:ascii="Garamond" w:hAnsi="Garamond"/>
                <w:sz w:val="22"/>
                <w:szCs w:val="22"/>
                <w:highlight w:val="yellow"/>
              </w:rPr>
              <w:t xml:space="preserve"> Тестовая ЭП используется для отладки и тестирования функции передачи данных</w:t>
            </w:r>
            <w:r w:rsidR="009B5F03" w:rsidRPr="006F6DAC">
              <w:rPr>
                <w:rFonts w:ascii="Garamond" w:hAnsi="Garamond"/>
                <w:sz w:val="22"/>
                <w:szCs w:val="22"/>
                <w:highlight w:val="yellow"/>
              </w:rPr>
              <w:t xml:space="preserve"> </w:t>
            </w:r>
            <w:r w:rsidRPr="006F6DAC">
              <w:rPr>
                <w:rFonts w:ascii="Garamond" w:hAnsi="Garamond"/>
                <w:sz w:val="22"/>
                <w:szCs w:val="22"/>
                <w:highlight w:val="yellow"/>
              </w:rPr>
              <w:t>коммерческого учета для организаций, не являющихся участниками электронного документооборота и не подписавших Соглашение о применении электронной подписи в торговой системе оптового рынка.</w:t>
            </w:r>
          </w:p>
        </w:tc>
        <w:tc>
          <w:tcPr>
            <w:tcW w:w="7115" w:type="dxa"/>
          </w:tcPr>
          <w:p w14:paraId="099766F1" w14:textId="77777777" w:rsidR="00F11A8B" w:rsidRPr="006F6DAC" w:rsidRDefault="00F11A8B" w:rsidP="006F6DAC">
            <w:pPr>
              <w:pStyle w:val="a6"/>
              <w:tabs>
                <w:tab w:val="left" w:pos="1080"/>
              </w:tabs>
              <w:suppressAutoHyphens w:val="0"/>
              <w:spacing w:before="120" w:after="120"/>
              <w:ind w:firstLine="598"/>
              <w:jc w:val="both"/>
              <w:rPr>
                <w:rFonts w:ascii="Garamond" w:hAnsi="Garamond"/>
                <w:color w:val="000000"/>
                <w:sz w:val="22"/>
                <w:szCs w:val="22"/>
              </w:rPr>
            </w:pPr>
            <w:r w:rsidRPr="006F6DAC">
              <w:rPr>
                <w:rFonts w:ascii="Garamond" w:hAnsi="Garamond"/>
                <w:bCs w:val="0"/>
                <w:sz w:val="22"/>
                <w:szCs w:val="22"/>
              </w:rPr>
              <w:lastRenderedPageBreak/>
              <w:t xml:space="preserve">Передача электронных документов осуществляется с использованием </w:t>
            </w:r>
            <w:r w:rsidRPr="006F6DAC">
              <w:rPr>
                <w:rFonts w:ascii="Garamond" w:hAnsi="Garamond"/>
                <w:sz w:val="22"/>
                <w:szCs w:val="22"/>
              </w:rPr>
              <w:t>электронной подписи</w:t>
            </w:r>
            <w:r w:rsidRPr="006F6DAC">
              <w:rPr>
                <w:rFonts w:ascii="Garamond" w:hAnsi="Garamond"/>
                <w:bCs w:val="0"/>
                <w:sz w:val="22"/>
                <w:szCs w:val="22"/>
              </w:rPr>
              <w:t xml:space="preserve">. </w:t>
            </w:r>
            <w:r w:rsidRPr="006F6DAC">
              <w:rPr>
                <w:rFonts w:ascii="Garamond" w:hAnsi="Garamond"/>
                <w:sz w:val="22"/>
                <w:szCs w:val="22"/>
              </w:rPr>
              <w:t xml:space="preserve">Субъект ОРЭМ должен передавать данные коммерческого учета </w:t>
            </w:r>
            <w:r w:rsidRPr="006F6DAC">
              <w:rPr>
                <w:rFonts w:ascii="Garamond" w:hAnsi="Garamond"/>
                <w:sz w:val="22"/>
                <w:szCs w:val="22"/>
                <w:highlight w:val="yellow"/>
              </w:rPr>
              <w:t>(результаты измерений, данные о состоянии объектов измерений)</w:t>
            </w:r>
            <w:r w:rsidRPr="006F6DAC">
              <w:rPr>
                <w:rFonts w:ascii="Garamond" w:hAnsi="Garamond"/>
                <w:sz w:val="22"/>
                <w:szCs w:val="22"/>
              </w:rPr>
              <w:t xml:space="preserve"> КО с использованием электронной подписи (далее </w:t>
            </w:r>
            <w:r w:rsidRPr="006F6DAC">
              <w:rPr>
                <w:rFonts w:ascii="Garamond" w:hAnsi="Garamond"/>
                <w:bCs w:val="0"/>
                <w:sz w:val="22"/>
                <w:szCs w:val="22"/>
              </w:rPr>
              <w:t>―</w:t>
            </w:r>
            <w:r w:rsidRPr="006F6DAC">
              <w:rPr>
                <w:rFonts w:ascii="Garamond" w:hAnsi="Garamond"/>
                <w:sz w:val="22"/>
                <w:szCs w:val="22"/>
              </w:rPr>
              <w:t xml:space="preserve"> ЭП), полученной в соответствии с Соглашением о применении электронной подписи в торговой системе оптового рынка. </w:t>
            </w:r>
            <w:r w:rsidRPr="006F6DAC">
              <w:rPr>
                <w:rFonts w:ascii="Garamond" w:hAnsi="Garamond"/>
                <w:bCs w:val="0"/>
                <w:sz w:val="22"/>
                <w:szCs w:val="22"/>
              </w:rPr>
              <w:t>При передаче данных СО допускается передача электронных документов без использования ЭП.</w:t>
            </w:r>
          </w:p>
        </w:tc>
      </w:tr>
      <w:tr w:rsidR="00F11A8B" w:rsidRPr="006F6DAC" w14:paraId="2C666FDD" w14:textId="77777777" w:rsidTr="006F6DAC">
        <w:tc>
          <w:tcPr>
            <w:tcW w:w="1060" w:type="dxa"/>
          </w:tcPr>
          <w:p w14:paraId="2427D3C4" w14:textId="77777777" w:rsidR="00F11A8B" w:rsidRPr="006F6DAC" w:rsidRDefault="00F11A8B" w:rsidP="00F11A8B">
            <w:pPr>
              <w:widowControl w:val="0"/>
              <w:spacing w:line="259" w:lineRule="auto"/>
              <w:jc w:val="center"/>
              <w:rPr>
                <w:rFonts w:ascii="Garamond" w:hAnsi="Garamond"/>
                <w:b/>
                <w:sz w:val="22"/>
                <w:szCs w:val="22"/>
                <w:lang w:eastAsia="en-US"/>
              </w:rPr>
            </w:pPr>
            <w:r w:rsidRPr="006F6DAC">
              <w:rPr>
                <w:rFonts w:ascii="Garamond" w:hAnsi="Garamond"/>
                <w:b/>
                <w:sz w:val="22"/>
                <w:szCs w:val="22"/>
                <w:lang w:eastAsia="en-US"/>
              </w:rPr>
              <w:t>2.11</w:t>
            </w:r>
          </w:p>
        </w:tc>
        <w:tc>
          <w:tcPr>
            <w:tcW w:w="6804" w:type="dxa"/>
          </w:tcPr>
          <w:p w14:paraId="26F3D900" w14:textId="77777777" w:rsidR="00F11A8B" w:rsidRPr="006F6DAC" w:rsidRDefault="00F11A8B" w:rsidP="006F6DAC">
            <w:pPr>
              <w:pStyle w:val="a6"/>
              <w:tabs>
                <w:tab w:val="left" w:pos="1080"/>
              </w:tabs>
              <w:suppressAutoHyphens w:val="0"/>
              <w:spacing w:before="120" w:after="120"/>
              <w:ind w:firstLine="598"/>
              <w:jc w:val="both"/>
              <w:rPr>
                <w:rFonts w:ascii="Garamond" w:hAnsi="Garamond"/>
                <w:bCs w:val="0"/>
                <w:sz w:val="22"/>
                <w:szCs w:val="22"/>
              </w:rPr>
            </w:pPr>
            <w:r w:rsidRPr="006F6DAC">
              <w:rPr>
                <w:rFonts w:ascii="Garamond" w:hAnsi="Garamond"/>
                <w:bCs w:val="0"/>
                <w:sz w:val="22"/>
                <w:szCs w:val="22"/>
              </w:rPr>
              <w:t>Результаты измерений по точ</w:t>
            </w:r>
            <w:r w:rsidRPr="006F6DAC">
              <w:rPr>
                <w:rFonts w:ascii="Garamond" w:hAnsi="Garamond"/>
                <w:bCs w:val="0"/>
                <w:sz w:val="22"/>
                <w:szCs w:val="22"/>
                <w:highlight w:val="yellow"/>
              </w:rPr>
              <w:t>кам</w:t>
            </w:r>
            <w:r w:rsidRPr="006F6DAC">
              <w:rPr>
                <w:rFonts w:ascii="Garamond" w:hAnsi="Garamond"/>
                <w:bCs w:val="0"/>
                <w:sz w:val="22"/>
                <w:szCs w:val="22"/>
              </w:rPr>
              <w:t xml:space="preserve"> измерени</w:t>
            </w:r>
            <w:r w:rsidRPr="006F6DAC">
              <w:rPr>
                <w:rFonts w:ascii="Garamond" w:hAnsi="Garamond"/>
                <w:bCs w:val="0"/>
                <w:sz w:val="22"/>
                <w:szCs w:val="22"/>
                <w:highlight w:val="yellow"/>
              </w:rPr>
              <w:t>я</w:t>
            </w:r>
            <w:r w:rsidRPr="006F6DAC">
              <w:rPr>
                <w:rFonts w:ascii="Garamond" w:hAnsi="Garamond"/>
                <w:bCs w:val="0"/>
                <w:sz w:val="22"/>
                <w:szCs w:val="22"/>
              </w:rPr>
              <w:t xml:space="preserve">, </w:t>
            </w:r>
            <w:r w:rsidRPr="006F6DAC">
              <w:rPr>
                <w:rFonts w:ascii="Garamond" w:hAnsi="Garamond"/>
                <w:bCs w:val="0"/>
                <w:sz w:val="22"/>
                <w:szCs w:val="22"/>
                <w:highlight w:val="yellow"/>
              </w:rPr>
              <w:t>точкам поставки и группам точек поставки генерации отпущенной электрической энергии</w:t>
            </w:r>
            <w:r w:rsidRPr="006F6DAC">
              <w:rPr>
                <w:rFonts w:ascii="Garamond" w:hAnsi="Garamond"/>
                <w:bCs w:val="0"/>
                <w:sz w:val="22"/>
                <w:szCs w:val="22"/>
              </w:rPr>
              <w:t xml:space="preserve"> всегда положительны.</w:t>
            </w:r>
          </w:p>
        </w:tc>
        <w:tc>
          <w:tcPr>
            <w:tcW w:w="7115" w:type="dxa"/>
          </w:tcPr>
          <w:p w14:paraId="73D8A3D2" w14:textId="77777777" w:rsidR="00F11A8B" w:rsidRPr="006F6DAC" w:rsidRDefault="00F11A8B" w:rsidP="006F6DAC">
            <w:pPr>
              <w:pStyle w:val="a6"/>
              <w:tabs>
                <w:tab w:val="left" w:pos="1080"/>
              </w:tabs>
              <w:suppressAutoHyphens w:val="0"/>
              <w:spacing w:before="120" w:after="120"/>
              <w:ind w:firstLine="598"/>
              <w:jc w:val="both"/>
              <w:rPr>
                <w:rFonts w:ascii="Garamond" w:hAnsi="Garamond"/>
                <w:bCs w:val="0"/>
                <w:sz w:val="22"/>
                <w:szCs w:val="22"/>
              </w:rPr>
            </w:pPr>
            <w:r w:rsidRPr="006F6DAC">
              <w:rPr>
                <w:rFonts w:ascii="Garamond" w:hAnsi="Garamond"/>
                <w:bCs w:val="0"/>
                <w:sz w:val="22"/>
                <w:szCs w:val="22"/>
              </w:rPr>
              <w:t xml:space="preserve">Результаты измерений по </w:t>
            </w:r>
            <w:r w:rsidRPr="006F6DAC">
              <w:rPr>
                <w:rFonts w:ascii="Garamond" w:hAnsi="Garamond"/>
                <w:bCs w:val="0"/>
                <w:sz w:val="22"/>
                <w:szCs w:val="22"/>
                <w:highlight w:val="yellow"/>
              </w:rPr>
              <w:t>измерительным каналам</w:t>
            </w:r>
            <w:r w:rsidRPr="006F6DAC">
              <w:rPr>
                <w:rFonts w:ascii="Garamond" w:hAnsi="Garamond"/>
                <w:bCs w:val="0"/>
                <w:sz w:val="22"/>
                <w:szCs w:val="22"/>
              </w:rPr>
              <w:t xml:space="preserve"> точ</w:t>
            </w:r>
            <w:r w:rsidRPr="006F6DAC">
              <w:rPr>
                <w:rFonts w:ascii="Garamond" w:hAnsi="Garamond"/>
                <w:bCs w:val="0"/>
                <w:sz w:val="22"/>
                <w:szCs w:val="22"/>
                <w:highlight w:val="yellow"/>
              </w:rPr>
              <w:t>ек</w:t>
            </w:r>
            <w:r w:rsidRPr="006F6DAC">
              <w:rPr>
                <w:rFonts w:ascii="Garamond" w:hAnsi="Garamond"/>
                <w:bCs w:val="0"/>
                <w:sz w:val="22"/>
                <w:szCs w:val="22"/>
              </w:rPr>
              <w:t xml:space="preserve"> измерени</w:t>
            </w:r>
            <w:r w:rsidRPr="006F6DAC">
              <w:rPr>
                <w:rFonts w:ascii="Garamond" w:hAnsi="Garamond"/>
                <w:bCs w:val="0"/>
                <w:sz w:val="22"/>
                <w:szCs w:val="22"/>
                <w:highlight w:val="yellow"/>
              </w:rPr>
              <w:t>й</w:t>
            </w:r>
            <w:r w:rsidRPr="006F6DAC">
              <w:rPr>
                <w:rFonts w:ascii="Garamond" w:hAnsi="Garamond"/>
                <w:bCs w:val="0"/>
                <w:sz w:val="22"/>
                <w:szCs w:val="22"/>
              </w:rPr>
              <w:t xml:space="preserve">, </w:t>
            </w:r>
            <w:r w:rsidRPr="006F6DAC">
              <w:rPr>
                <w:rFonts w:ascii="Garamond" w:hAnsi="Garamond"/>
                <w:bCs w:val="0"/>
                <w:sz w:val="22"/>
                <w:szCs w:val="22"/>
                <w:highlight w:val="yellow"/>
              </w:rPr>
              <w:t>передаваемые в макетах 80020, 80040 и 20020,</w:t>
            </w:r>
            <w:r w:rsidRPr="006F6DAC">
              <w:rPr>
                <w:rFonts w:ascii="Garamond" w:hAnsi="Garamond"/>
                <w:bCs w:val="0"/>
                <w:sz w:val="22"/>
                <w:szCs w:val="22"/>
              </w:rPr>
              <w:t xml:space="preserve"> всегда </w:t>
            </w:r>
            <w:r w:rsidRPr="006F6DAC">
              <w:rPr>
                <w:rFonts w:ascii="Garamond" w:hAnsi="Garamond"/>
                <w:bCs w:val="0"/>
                <w:sz w:val="22"/>
                <w:szCs w:val="22"/>
                <w:highlight w:val="yellow"/>
              </w:rPr>
              <w:t>целочисленные и</w:t>
            </w:r>
            <w:r w:rsidRPr="006F6DAC">
              <w:rPr>
                <w:rFonts w:ascii="Garamond" w:hAnsi="Garamond"/>
                <w:bCs w:val="0"/>
                <w:sz w:val="22"/>
                <w:szCs w:val="22"/>
              </w:rPr>
              <w:t xml:space="preserve"> положительны</w:t>
            </w:r>
            <w:r w:rsidRPr="006F6DAC">
              <w:rPr>
                <w:rFonts w:ascii="Garamond" w:hAnsi="Garamond"/>
                <w:bCs w:val="0"/>
                <w:sz w:val="22"/>
                <w:szCs w:val="22"/>
                <w:highlight w:val="yellow"/>
              </w:rPr>
              <w:t>е</w:t>
            </w:r>
            <w:r w:rsidRPr="006F6DAC">
              <w:rPr>
                <w:rFonts w:ascii="Garamond" w:hAnsi="Garamond"/>
                <w:bCs w:val="0"/>
                <w:sz w:val="22"/>
                <w:szCs w:val="22"/>
              </w:rPr>
              <w:t xml:space="preserve">. </w:t>
            </w:r>
            <w:r w:rsidRPr="006F6DAC">
              <w:rPr>
                <w:rFonts w:ascii="Garamond" w:hAnsi="Garamond"/>
                <w:bCs w:val="0"/>
                <w:sz w:val="22"/>
                <w:szCs w:val="22"/>
                <w:highlight w:val="yellow"/>
              </w:rPr>
              <w:t>Результаты измерений по измерительным каналам точек присоединения, передаваемые в макетах 20020, всегда целочисленные и положительные.</w:t>
            </w:r>
            <w:r w:rsidRPr="006F6DAC">
              <w:rPr>
                <w:rFonts w:ascii="Garamond" w:hAnsi="Garamond"/>
                <w:bCs w:val="0"/>
                <w:sz w:val="22"/>
                <w:szCs w:val="22"/>
              </w:rPr>
              <w:t xml:space="preserve"> </w:t>
            </w:r>
          </w:p>
          <w:p w14:paraId="5911B2C9" w14:textId="77777777" w:rsidR="00F11A8B" w:rsidRPr="006F6DAC" w:rsidRDefault="00F11A8B" w:rsidP="006F6DAC">
            <w:pPr>
              <w:pStyle w:val="a6"/>
              <w:tabs>
                <w:tab w:val="left" w:pos="1080"/>
              </w:tabs>
              <w:suppressAutoHyphens w:val="0"/>
              <w:spacing w:before="120" w:after="120"/>
              <w:ind w:firstLine="598"/>
              <w:jc w:val="both"/>
              <w:rPr>
                <w:rFonts w:ascii="Garamond" w:hAnsi="Garamond"/>
                <w:bCs w:val="0"/>
                <w:sz w:val="22"/>
                <w:szCs w:val="22"/>
                <w:highlight w:val="yellow"/>
              </w:rPr>
            </w:pPr>
            <w:r w:rsidRPr="006F6DAC">
              <w:rPr>
                <w:rFonts w:ascii="Garamond" w:hAnsi="Garamond"/>
                <w:bCs w:val="0"/>
                <w:sz w:val="22"/>
                <w:szCs w:val="22"/>
                <w:highlight w:val="yellow"/>
              </w:rPr>
              <w:t>Значения учетного показателя по точкам присоединения и объекту регулирования в макете 20020 не должны отличаться от аналогичных значений учетного показателя, рассчитанных на основании алгоритма расчета учетного показателя, указанного в ПСИ, с использованием принятых КО в макете 20020 результатов измерений по измерительным каналам точек измерений более, чем на максимально допустимую величину расхождений. В случае превышения вышеуказанной допустимой величины расхождений макет 20020 не принимается.</w:t>
            </w:r>
          </w:p>
          <w:p w14:paraId="1704C0D5" w14:textId="77777777" w:rsidR="00F11A8B" w:rsidRPr="006F6DAC" w:rsidRDefault="00F11A8B" w:rsidP="006F6DAC">
            <w:pPr>
              <w:pStyle w:val="a6"/>
              <w:tabs>
                <w:tab w:val="left" w:pos="1080"/>
              </w:tabs>
              <w:suppressAutoHyphens w:val="0"/>
              <w:spacing w:before="120" w:after="120"/>
              <w:ind w:firstLine="598"/>
              <w:jc w:val="both"/>
              <w:rPr>
                <w:rFonts w:ascii="Garamond" w:hAnsi="Garamond"/>
                <w:bCs w:val="0"/>
                <w:sz w:val="22"/>
                <w:szCs w:val="22"/>
              </w:rPr>
            </w:pPr>
            <w:r w:rsidRPr="006F6DAC">
              <w:rPr>
                <w:rFonts w:ascii="Garamond" w:hAnsi="Garamond"/>
                <w:bCs w:val="0"/>
                <w:sz w:val="22"/>
                <w:szCs w:val="22"/>
                <w:highlight w:val="yellow"/>
              </w:rPr>
              <w:t xml:space="preserve">Максимально допустимая величина расхождения в точках присоединения или в объекте регулирования рассчитывается по формуле: ∆ = ±2 кВт∙ч × </w:t>
            </w:r>
            <w:r w:rsidRPr="007B726D">
              <w:rPr>
                <w:rFonts w:ascii="Garamond" w:hAnsi="Garamond"/>
                <w:bCs w:val="0"/>
                <w:i/>
                <w:sz w:val="22"/>
                <w:szCs w:val="22"/>
                <w:highlight w:val="yellow"/>
              </w:rPr>
              <w:t>N</w:t>
            </w:r>
            <w:r w:rsidRPr="006F6DAC">
              <w:rPr>
                <w:rFonts w:ascii="Garamond" w:hAnsi="Garamond"/>
                <w:bCs w:val="0"/>
                <w:sz w:val="22"/>
                <w:szCs w:val="22"/>
                <w:highlight w:val="yellow"/>
              </w:rPr>
              <w:t xml:space="preserve">, где </w:t>
            </w:r>
            <w:r w:rsidRPr="007B726D">
              <w:rPr>
                <w:rFonts w:ascii="Garamond" w:hAnsi="Garamond"/>
                <w:bCs w:val="0"/>
                <w:i/>
                <w:sz w:val="22"/>
                <w:szCs w:val="22"/>
                <w:highlight w:val="yellow"/>
              </w:rPr>
              <w:t>N</w:t>
            </w:r>
            <w:r w:rsidRPr="006F6DAC">
              <w:rPr>
                <w:rFonts w:ascii="Garamond" w:hAnsi="Garamond"/>
                <w:bCs w:val="0"/>
                <w:sz w:val="22"/>
                <w:szCs w:val="22"/>
                <w:highlight w:val="yellow"/>
              </w:rPr>
              <w:t xml:space="preserve"> – число точек измерений активной энергии, используемых для расчета итоговой величины электроэнергии в каналах точки присоединений или в объекте регулирования соответственно.</w:t>
            </w:r>
          </w:p>
        </w:tc>
      </w:tr>
      <w:tr w:rsidR="00F11A8B" w:rsidRPr="006F6DAC" w14:paraId="2501DFEB" w14:textId="77777777" w:rsidTr="006F6DAC">
        <w:tc>
          <w:tcPr>
            <w:tcW w:w="1060" w:type="dxa"/>
          </w:tcPr>
          <w:p w14:paraId="70DE4BDF" w14:textId="77777777" w:rsidR="00F11A8B" w:rsidRPr="006F6DAC" w:rsidRDefault="00F11A8B" w:rsidP="00F11A8B">
            <w:pPr>
              <w:widowControl w:val="0"/>
              <w:spacing w:line="259" w:lineRule="auto"/>
              <w:jc w:val="center"/>
              <w:rPr>
                <w:rFonts w:ascii="Garamond" w:hAnsi="Garamond"/>
                <w:b/>
                <w:sz w:val="22"/>
                <w:szCs w:val="22"/>
                <w:lang w:eastAsia="en-US"/>
              </w:rPr>
            </w:pPr>
          </w:p>
          <w:p w14:paraId="1B119B02" w14:textId="77777777" w:rsidR="00F11A8B" w:rsidRPr="006F6DAC" w:rsidRDefault="00F11A8B" w:rsidP="00F11A8B">
            <w:pPr>
              <w:widowControl w:val="0"/>
              <w:spacing w:line="259" w:lineRule="auto"/>
              <w:jc w:val="center"/>
              <w:rPr>
                <w:rFonts w:ascii="Garamond" w:hAnsi="Garamond"/>
                <w:b/>
                <w:sz w:val="22"/>
                <w:szCs w:val="22"/>
                <w:lang w:eastAsia="en-US"/>
              </w:rPr>
            </w:pPr>
            <w:r w:rsidRPr="006F6DAC">
              <w:rPr>
                <w:rFonts w:ascii="Garamond" w:hAnsi="Garamond"/>
                <w:b/>
                <w:sz w:val="22"/>
                <w:szCs w:val="22"/>
                <w:lang w:eastAsia="en-US"/>
              </w:rPr>
              <w:t>2.12</w:t>
            </w:r>
          </w:p>
          <w:p w14:paraId="0D744BE9" w14:textId="77777777" w:rsidR="00F11A8B" w:rsidRPr="006F6DAC" w:rsidRDefault="00F11A8B" w:rsidP="00F11A8B">
            <w:pPr>
              <w:widowControl w:val="0"/>
              <w:spacing w:line="259" w:lineRule="auto"/>
              <w:jc w:val="center"/>
              <w:rPr>
                <w:rFonts w:ascii="Garamond" w:hAnsi="Garamond"/>
                <w:b/>
                <w:sz w:val="22"/>
                <w:szCs w:val="22"/>
                <w:lang w:eastAsia="en-US"/>
              </w:rPr>
            </w:pPr>
          </w:p>
          <w:p w14:paraId="4190D541" w14:textId="77777777" w:rsidR="00F11A8B" w:rsidRPr="006F6DAC" w:rsidRDefault="00F11A8B" w:rsidP="00F11A8B">
            <w:pPr>
              <w:widowControl w:val="0"/>
              <w:spacing w:line="259" w:lineRule="auto"/>
              <w:jc w:val="center"/>
              <w:rPr>
                <w:rFonts w:ascii="Garamond" w:hAnsi="Garamond"/>
                <w:b/>
                <w:sz w:val="22"/>
                <w:szCs w:val="22"/>
                <w:lang w:eastAsia="en-US"/>
              </w:rPr>
            </w:pPr>
          </w:p>
        </w:tc>
        <w:tc>
          <w:tcPr>
            <w:tcW w:w="6804" w:type="dxa"/>
          </w:tcPr>
          <w:p w14:paraId="6C51ED83" w14:textId="77777777" w:rsidR="00F11A8B" w:rsidRPr="006F6DAC" w:rsidRDefault="00F11A8B" w:rsidP="006F6DAC">
            <w:pPr>
              <w:pStyle w:val="a6"/>
              <w:tabs>
                <w:tab w:val="left" w:pos="1080"/>
              </w:tabs>
              <w:suppressAutoHyphens w:val="0"/>
              <w:spacing w:before="120" w:after="120"/>
              <w:ind w:firstLine="598"/>
              <w:jc w:val="both"/>
              <w:rPr>
                <w:rFonts w:ascii="Garamond" w:hAnsi="Garamond"/>
                <w:bCs w:val="0"/>
                <w:sz w:val="22"/>
                <w:szCs w:val="22"/>
              </w:rPr>
            </w:pPr>
            <w:r w:rsidRPr="006F6DAC">
              <w:rPr>
                <w:rFonts w:ascii="Garamond" w:hAnsi="Garamond"/>
                <w:bCs w:val="0"/>
                <w:sz w:val="22"/>
                <w:szCs w:val="22"/>
              </w:rPr>
              <w:t xml:space="preserve">При передаче результатов измерений по </w:t>
            </w:r>
            <w:r w:rsidRPr="006F6DAC">
              <w:rPr>
                <w:rFonts w:ascii="Garamond" w:hAnsi="Garamond"/>
                <w:bCs w:val="0"/>
                <w:sz w:val="22"/>
                <w:szCs w:val="22"/>
                <w:highlight w:val="yellow"/>
              </w:rPr>
              <w:t>сальдо перетоков</w:t>
            </w:r>
            <w:r w:rsidRPr="006F6DAC">
              <w:rPr>
                <w:rFonts w:ascii="Garamond" w:hAnsi="Garamond"/>
                <w:bCs w:val="0"/>
                <w:sz w:val="22"/>
                <w:szCs w:val="22"/>
              </w:rPr>
              <w:t xml:space="preserve"> передаются сальдированные значения. В </w:t>
            </w:r>
            <w:r w:rsidRPr="006F6DAC">
              <w:rPr>
                <w:rFonts w:ascii="Garamond" w:hAnsi="Garamond"/>
                <w:bCs w:val="0"/>
                <w:sz w:val="22"/>
                <w:szCs w:val="22"/>
                <w:highlight w:val="yellow"/>
              </w:rPr>
              <w:t>последнем</w:t>
            </w:r>
            <w:r w:rsidRPr="006F6DAC">
              <w:rPr>
                <w:rFonts w:ascii="Garamond" w:hAnsi="Garamond"/>
                <w:bCs w:val="0"/>
                <w:sz w:val="22"/>
                <w:szCs w:val="22"/>
              </w:rPr>
              <w:t xml:space="preserve"> случае результаты измерений будут </w:t>
            </w:r>
            <w:r w:rsidRPr="006F6DAC">
              <w:rPr>
                <w:rFonts w:ascii="Garamond" w:hAnsi="Garamond"/>
                <w:bCs w:val="0"/>
                <w:sz w:val="22"/>
                <w:szCs w:val="22"/>
                <w:highlight w:val="yellow"/>
              </w:rPr>
              <w:t>положительными</w:t>
            </w:r>
            <w:r w:rsidRPr="006F6DAC">
              <w:rPr>
                <w:rFonts w:ascii="Garamond" w:hAnsi="Garamond"/>
                <w:bCs w:val="0"/>
                <w:sz w:val="22"/>
                <w:szCs w:val="22"/>
              </w:rPr>
              <w:t xml:space="preserve">, если отдача электроэнергии превышает прием и </w:t>
            </w:r>
            <w:r w:rsidRPr="006F6DAC">
              <w:rPr>
                <w:rFonts w:ascii="Garamond" w:hAnsi="Garamond"/>
                <w:bCs w:val="0"/>
                <w:sz w:val="22"/>
                <w:szCs w:val="22"/>
                <w:highlight w:val="yellow"/>
              </w:rPr>
              <w:t>отрицательными</w:t>
            </w:r>
            <w:r w:rsidRPr="006F6DAC">
              <w:rPr>
                <w:rFonts w:ascii="Garamond" w:hAnsi="Garamond"/>
                <w:bCs w:val="0"/>
                <w:sz w:val="22"/>
                <w:szCs w:val="22"/>
              </w:rPr>
              <w:t xml:space="preserve"> если наоборот.</w:t>
            </w:r>
          </w:p>
        </w:tc>
        <w:tc>
          <w:tcPr>
            <w:tcW w:w="7115" w:type="dxa"/>
          </w:tcPr>
          <w:p w14:paraId="1E119EB2" w14:textId="0B70FCF2" w:rsidR="00F11A8B" w:rsidRPr="006F6DAC" w:rsidRDefault="00F11A8B" w:rsidP="006F6DAC">
            <w:pPr>
              <w:pStyle w:val="a6"/>
              <w:tabs>
                <w:tab w:val="left" w:pos="1080"/>
              </w:tabs>
              <w:suppressAutoHyphens w:val="0"/>
              <w:spacing w:before="120" w:after="120"/>
              <w:ind w:firstLine="598"/>
              <w:jc w:val="both"/>
              <w:rPr>
                <w:rFonts w:ascii="Garamond" w:hAnsi="Garamond"/>
                <w:bCs w:val="0"/>
                <w:sz w:val="22"/>
                <w:szCs w:val="22"/>
              </w:rPr>
            </w:pPr>
            <w:r w:rsidRPr="006F6DAC">
              <w:rPr>
                <w:rFonts w:ascii="Garamond" w:hAnsi="Garamond"/>
                <w:bCs w:val="0"/>
                <w:sz w:val="22"/>
                <w:szCs w:val="22"/>
              </w:rPr>
              <w:t xml:space="preserve">При передаче результатов измерений </w:t>
            </w:r>
            <w:r w:rsidRPr="006F6DAC">
              <w:rPr>
                <w:rFonts w:ascii="Garamond" w:hAnsi="Garamond"/>
                <w:bCs w:val="0"/>
                <w:sz w:val="22"/>
                <w:szCs w:val="22"/>
                <w:highlight w:val="yellow"/>
              </w:rPr>
              <w:t>в целом</w:t>
            </w:r>
            <w:r w:rsidRPr="006F6DAC">
              <w:rPr>
                <w:rFonts w:ascii="Garamond" w:hAnsi="Garamond"/>
                <w:bCs w:val="0"/>
                <w:sz w:val="22"/>
                <w:szCs w:val="22"/>
              </w:rPr>
              <w:t xml:space="preserve"> по </w:t>
            </w:r>
            <w:r w:rsidRPr="006F6DAC">
              <w:rPr>
                <w:rFonts w:ascii="Garamond" w:hAnsi="Garamond"/>
                <w:bCs w:val="0"/>
                <w:sz w:val="22"/>
                <w:szCs w:val="22"/>
                <w:highlight w:val="yellow"/>
              </w:rPr>
              <w:t>объектам регулирования</w:t>
            </w:r>
            <w:r w:rsidRPr="006F6DAC">
              <w:rPr>
                <w:rFonts w:ascii="Garamond" w:hAnsi="Garamond"/>
                <w:bCs w:val="0"/>
                <w:sz w:val="22"/>
                <w:szCs w:val="22"/>
              </w:rPr>
              <w:t xml:space="preserve"> передаются сальдированные значения. В </w:t>
            </w:r>
            <w:r w:rsidRPr="006F6DAC">
              <w:rPr>
                <w:rFonts w:ascii="Garamond" w:hAnsi="Garamond"/>
                <w:bCs w:val="0"/>
                <w:sz w:val="22"/>
                <w:szCs w:val="22"/>
                <w:highlight w:val="yellow"/>
              </w:rPr>
              <w:t>данном</w:t>
            </w:r>
            <w:r w:rsidRPr="006F6DAC">
              <w:rPr>
                <w:rFonts w:ascii="Garamond" w:hAnsi="Garamond"/>
                <w:bCs w:val="0"/>
                <w:sz w:val="22"/>
                <w:szCs w:val="22"/>
              </w:rPr>
              <w:t xml:space="preserve"> случае результаты измерений будут </w:t>
            </w:r>
            <w:r w:rsidRPr="006F6DAC">
              <w:rPr>
                <w:rFonts w:ascii="Garamond" w:hAnsi="Garamond"/>
                <w:bCs w:val="0"/>
                <w:sz w:val="22"/>
                <w:szCs w:val="22"/>
                <w:highlight w:val="yellow"/>
              </w:rPr>
              <w:t>отрицательными</w:t>
            </w:r>
            <w:r w:rsidRPr="006F6DAC">
              <w:rPr>
                <w:rFonts w:ascii="Garamond" w:hAnsi="Garamond"/>
                <w:bCs w:val="0"/>
                <w:sz w:val="22"/>
                <w:szCs w:val="22"/>
              </w:rPr>
              <w:t>, если отдача электроэнергии превышает прием</w:t>
            </w:r>
            <w:r w:rsidR="00F70B13" w:rsidRPr="00F70B13">
              <w:rPr>
                <w:rFonts w:ascii="Garamond" w:hAnsi="Garamond"/>
                <w:bCs w:val="0"/>
                <w:sz w:val="22"/>
                <w:szCs w:val="22"/>
                <w:highlight w:val="yellow"/>
              </w:rPr>
              <w:t>,</w:t>
            </w:r>
            <w:r w:rsidRPr="006F6DAC">
              <w:rPr>
                <w:rFonts w:ascii="Garamond" w:hAnsi="Garamond"/>
                <w:bCs w:val="0"/>
                <w:sz w:val="22"/>
                <w:szCs w:val="22"/>
              </w:rPr>
              <w:t xml:space="preserve"> и </w:t>
            </w:r>
            <w:r w:rsidRPr="006F6DAC">
              <w:rPr>
                <w:rFonts w:ascii="Garamond" w:hAnsi="Garamond"/>
                <w:bCs w:val="0"/>
                <w:sz w:val="22"/>
                <w:szCs w:val="22"/>
                <w:highlight w:val="yellow"/>
              </w:rPr>
              <w:t>положительными</w:t>
            </w:r>
            <w:r w:rsidR="00F70B13" w:rsidRPr="00F70B13">
              <w:rPr>
                <w:rFonts w:ascii="Garamond" w:hAnsi="Garamond"/>
                <w:bCs w:val="0"/>
                <w:sz w:val="22"/>
                <w:szCs w:val="22"/>
                <w:highlight w:val="yellow"/>
              </w:rPr>
              <w:t>,</w:t>
            </w:r>
            <w:r w:rsidRPr="006F6DAC">
              <w:rPr>
                <w:rFonts w:ascii="Garamond" w:hAnsi="Garamond"/>
                <w:bCs w:val="0"/>
                <w:sz w:val="22"/>
                <w:szCs w:val="22"/>
              </w:rPr>
              <w:t xml:space="preserve"> если наоборот.</w:t>
            </w:r>
          </w:p>
        </w:tc>
      </w:tr>
      <w:tr w:rsidR="00F11A8B" w:rsidRPr="006F6DAC" w14:paraId="2C20F506" w14:textId="77777777" w:rsidTr="006F6DAC">
        <w:tc>
          <w:tcPr>
            <w:tcW w:w="1060" w:type="dxa"/>
          </w:tcPr>
          <w:p w14:paraId="53F7F843" w14:textId="77777777" w:rsidR="00F11A8B" w:rsidRPr="006F6DAC" w:rsidRDefault="00F11A8B" w:rsidP="00F11A8B">
            <w:pPr>
              <w:widowControl w:val="0"/>
              <w:spacing w:line="259" w:lineRule="auto"/>
              <w:jc w:val="center"/>
              <w:rPr>
                <w:rFonts w:ascii="Garamond" w:hAnsi="Garamond"/>
                <w:b/>
                <w:sz w:val="22"/>
                <w:szCs w:val="22"/>
                <w:lang w:eastAsia="en-US"/>
              </w:rPr>
            </w:pPr>
            <w:r w:rsidRPr="006F6DAC">
              <w:rPr>
                <w:rFonts w:ascii="Garamond" w:hAnsi="Garamond"/>
                <w:b/>
                <w:sz w:val="22"/>
                <w:szCs w:val="22"/>
                <w:lang w:eastAsia="en-US"/>
              </w:rPr>
              <w:t>2.13</w:t>
            </w:r>
          </w:p>
        </w:tc>
        <w:tc>
          <w:tcPr>
            <w:tcW w:w="6804" w:type="dxa"/>
          </w:tcPr>
          <w:p w14:paraId="6AFBFD86" w14:textId="77777777" w:rsidR="00F11A8B" w:rsidRPr="006F6DAC" w:rsidRDefault="00F11A8B" w:rsidP="006F6DAC">
            <w:pPr>
              <w:pStyle w:val="a6"/>
              <w:tabs>
                <w:tab w:val="left" w:pos="1080"/>
              </w:tabs>
              <w:suppressAutoHyphens w:val="0"/>
              <w:spacing w:before="120" w:after="120"/>
              <w:ind w:firstLine="598"/>
              <w:jc w:val="both"/>
              <w:rPr>
                <w:rFonts w:ascii="Garamond" w:hAnsi="Garamond"/>
                <w:bCs w:val="0"/>
                <w:sz w:val="22"/>
                <w:szCs w:val="22"/>
              </w:rPr>
            </w:pPr>
            <w:r w:rsidRPr="006F6DAC">
              <w:rPr>
                <w:rFonts w:ascii="Garamond" w:hAnsi="Garamond"/>
                <w:bCs w:val="0"/>
                <w:sz w:val="22"/>
                <w:szCs w:val="22"/>
              </w:rPr>
              <w:t>Результаты измерений передаются в целых кВт</w:t>
            </w:r>
            <w:r w:rsidRPr="006F6DAC">
              <w:rPr>
                <w:rFonts w:ascii="Garamond" w:hAnsi="Garamond"/>
                <w:bCs w:val="0"/>
                <w:sz w:val="22"/>
                <w:szCs w:val="22"/>
              </w:rPr>
              <w:sym w:font="Symbol" w:char="F0D7"/>
            </w:r>
            <w:r w:rsidRPr="006F6DAC">
              <w:rPr>
                <w:rFonts w:ascii="Garamond" w:hAnsi="Garamond"/>
                <w:bCs w:val="0"/>
                <w:sz w:val="22"/>
                <w:szCs w:val="22"/>
              </w:rPr>
              <w:t>ч (кВар</w:t>
            </w:r>
            <w:r w:rsidRPr="006F6DAC">
              <w:rPr>
                <w:rFonts w:ascii="Garamond" w:hAnsi="Garamond"/>
                <w:bCs w:val="0"/>
                <w:sz w:val="22"/>
                <w:szCs w:val="22"/>
              </w:rPr>
              <w:sym w:font="Symbol" w:char="F0D7"/>
            </w:r>
            <w:r w:rsidRPr="006F6DAC">
              <w:rPr>
                <w:rFonts w:ascii="Garamond" w:hAnsi="Garamond"/>
                <w:bCs w:val="0"/>
                <w:sz w:val="22"/>
                <w:szCs w:val="22"/>
              </w:rPr>
              <w:t xml:space="preserve">ч). При этом </w:t>
            </w:r>
            <w:r w:rsidRPr="006F6DAC">
              <w:rPr>
                <w:rFonts w:ascii="Garamond" w:hAnsi="Garamond"/>
                <w:sz w:val="22"/>
                <w:szCs w:val="22"/>
              </w:rPr>
              <w:t>необходимо</w:t>
            </w:r>
            <w:r w:rsidRPr="006F6DAC">
              <w:rPr>
                <w:rFonts w:ascii="Garamond" w:hAnsi="Garamond"/>
                <w:bCs w:val="0"/>
                <w:sz w:val="22"/>
                <w:szCs w:val="22"/>
              </w:rPr>
              <w:t xml:space="preserve"> использовать следующие правила округления – </w:t>
            </w:r>
            <w:r w:rsidRPr="006F6DAC">
              <w:rPr>
                <w:rFonts w:ascii="Garamond" w:hAnsi="Garamond"/>
                <w:bCs w:val="0"/>
                <w:sz w:val="22"/>
                <w:szCs w:val="22"/>
              </w:rPr>
              <w:lastRenderedPageBreak/>
              <w:t>дробный результат измерений на интервале измерений округляется до целых кВт</w:t>
            </w:r>
            <w:r w:rsidRPr="006F6DAC">
              <w:rPr>
                <w:rFonts w:ascii="Garamond" w:hAnsi="Garamond"/>
                <w:bCs w:val="0"/>
                <w:sz w:val="22"/>
                <w:szCs w:val="22"/>
              </w:rPr>
              <w:sym w:font="Symbol" w:char="F0D7"/>
            </w:r>
            <w:r w:rsidRPr="006F6DAC">
              <w:rPr>
                <w:rFonts w:ascii="Garamond" w:hAnsi="Garamond"/>
                <w:bCs w:val="0"/>
                <w:sz w:val="22"/>
                <w:szCs w:val="22"/>
              </w:rPr>
              <w:t>ч (кВар</w:t>
            </w:r>
            <w:r w:rsidRPr="006F6DAC">
              <w:rPr>
                <w:rFonts w:ascii="Garamond" w:hAnsi="Garamond"/>
                <w:bCs w:val="0"/>
                <w:sz w:val="22"/>
                <w:szCs w:val="22"/>
              </w:rPr>
              <w:sym w:font="Symbol" w:char="F0D7"/>
            </w:r>
            <w:r w:rsidRPr="006F6DAC">
              <w:rPr>
                <w:rFonts w:ascii="Garamond" w:hAnsi="Garamond"/>
                <w:bCs w:val="0"/>
                <w:sz w:val="22"/>
                <w:szCs w:val="22"/>
              </w:rPr>
              <w:t>ч) по алгебраическим правилам округления. Если десятичная часть больше или равна 5, то результат округляется в большую сторону, если меньше – то в меньшую. При этом разница между не округленным значением и округленным прибавляется к результату измерений на следующем интервале с сохранением знака. Если применяется алгоритм приведения точ</w:t>
            </w:r>
            <w:r w:rsidRPr="006F6DAC">
              <w:rPr>
                <w:rFonts w:ascii="Garamond" w:hAnsi="Garamond"/>
                <w:bCs w:val="0"/>
                <w:sz w:val="22"/>
                <w:szCs w:val="22"/>
                <w:highlight w:val="yellow"/>
              </w:rPr>
              <w:t>ек</w:t>
            </w:r>
            <w:r w:rsidRPr="006F6DAC">
              <w:rPr>
                <w:rFonts w:ascii="Garamond" w:hAnsi="Garamond"/>
                <w:bCs w:val="0"/>
                <w:sz w:val="22"/>
                <w:szCs w:val="22"/>
              </w:rPr>
              <w:t xml:space="preserve"> измерений к точка</w:t>
            </w:r>
            <w:r w:rsidRPr="006F6DAC">
              <w:rPr>
                <w:rFonts w:ascii="Garamond" w:hAnsi="Garamond"/>
                <w:bCs w:val="0"/>
                <w:sz w:val="22"/>
                <w:szCs w:val="22"/>
                <w:highlight w:val="yellow"/>
              </w:rPr>
              <w:t>м</w:t>
            </w:r>
            <w:r w:rsidRPr="006F6DAC">
              <w:rPr>
                <w:rFonts w:ascii="Garamond" w:hAnsi="Garamond"/>
                <w:bCs w:val="0"/>
                <w:sz w:val="22"/>
                <w:szCs w:val="22"/>
              </w:rPr>
              <w:t xml:space="preserve"> </w:t>
            </w:r>
            <w:r w:rsidRPr="006F6DAC">
              <w:rPr>
                <w:rFonts w:ascii="Garamond" w:hAnsi="Garamond"/>
                <w:bCs w:val="0"/>
                <w:sz w:val="22"/>
                <w:szCs w:val="22"/>
                <w:highlight w:val="yellow"/>
              </w:rPr>
              <w:t>поставки</w:t>
            </w:r>
            <w:r w:rsidRPr="006F6DAC">
              <w:rPr>
                <w:rFonts w:ascii="Garamond" w:hAnsi="Garamond"/>
                <w:bCs w:val="0"/>
                <w:sz w:val="22"/>
                <w:szCs w:val="22"/>
              </w:rPr>
              <w:t xml:space="preserve">, то округление </w:t>
            </w:r>
            <w:r w:rsidRPr="006F6DAC">
              <w:rPr>
                <w:rFonts w:ascii="Garamond" w:hAnsi="Garamond"/>
                <w:sz w:val="22"/>
                <w:szCs w:val="22"/>
              </w:rPr>
              <w:t>необходимо</w:t>
            </w:r>
            <w:r w:rsidRPr="006F6DAC">
              <w:rPr>
                <w:rFonts w:ascii="Garamond" w:hAnsi="Garamond"/>
                <w:bCs w:val="0"/>
                <w:sz w:val="22"/>
                <w:szCs w:val="22"/>
              </w:rPr>
              <w:t xml:space="preserve"> производить после применения этого алгоритма. Пример проведения округления приведен в приложении </w:t>
            </w:r>
            <w:r w:rsidRPr="006F6DAC">
              <w:rPr>
                <w:rFonts w:ascii="Garamond" w:hAnsi="Garamond"/>
                <w:sz w:val="22"/>
                <w:szCs w:val="22"/>
                <w:highlight w:val="yellow"/>
              </w:rPr>
              <w:t>7</w:t>
            </w:r>
            <w:r w:rsidRPr="006F6DAC">
              <w:rPr>
                <w:rFonts w:ascii="Garamond" w:hAnsi="Garamond"/>
                <w:sz w:val="22"/>
                <w:szCs w:val="22"/>
              </w:rPr>
              <w:t xml:space="preserve"> к настоящему документу</w:t>
            </w:r>
            <w:r w:rsidRPr="006F6DAC">
              <w:rPr>
                <w:rFonts w:ascii="Garamond" w:hAnsi="Garamond"/>
                <w:bCs w:val="0"/>
                <w:sz w:val="22"/>
                <w:szCs w:val="22"/>
              </w:rPr>
              <w:t>.</w:t>
            </w:r>
          </w:p>
        </w:tc>
        <w:tc>
          <w:tcPr>
            <w:tcW w:w="7115" w:type="dxa"/>
          </w:tcPr>
          <w:p w14:paraId="603A000E" w14:textId="77777777" w:rsidR="00F11A8B" w:rsidRPr="006F6DAC" w:rsidRDefault="00F11A8B" w:rsidP="006F6DAC">
            <w:pPr>
              <w:pStyle w:val="a6"/>
              <w:tabs>
                <w:tab w:val="left" w:pos="1080"/>
              </w:tabs>
              <w:suppressAutoHyphens w:val="0"/>
              <w:spacing w:before="120" w:after="120"/>
              <w:ind w:firstLine="598"/>
              <w:jc w:val="both"/>
              <w:rPr>
                <w:rFonts w:ascii="Garamond" w:hAnsi="Garamond"/>
                <w:bCs w:val="0"/>
                <w:sz w:val="22"/>
                <w:szCs w:val="22"/>
              </w:rPr>
            </w:pPr>
            <w:r w:rsidRPr="006F6DAC">
              <w:rPr>
                <w:rFonts w:ascii="Garamond" w:hAnsi="Garamond"/>
                <w:bCs w:val="0"/>
                <w:sz w:val="22"/>
                <w:szCs w:val="22"/>
              </w:rPr>
              <w:lastRenderedPageBreak/>
              <w:t>Результаты измерений передаются в целых кВт</w:t>
            </w:r>
            <w:r w:rsidRPr="006F6DAC">
              <w:rPr>
                <w:rFonts w:ascii="Garamond" w:hAnsi="Garamond"/>
                <w:bCs w:val="0"/>
                <w:sz w:val="22"/>
                <w:szCs w:val="22"/>
              </w:rPr>
              <w:sym w:font="Symbol" w:char="F0D7"/>
            </w:r>
            <w:r w:rsidRPr="006F6DAC">
              <w:rPr>
                <w:rFonts w:ascii="Garamond" w:hAnsi="Garamond"/>
                <w:bCs w:val="0"/>
                <w:sz w:val="22"/>
                <w:szCs w:val="22"/>
              </w:rPr>
              <w:t>ч (кВар</w:t>
            </w:r>
            <w:r w:rsidRPr="006F6DAC">
              <w:rPr>
                <w:rFonts w:ascii="Garamond" w:hAnsi="Garamond"/>
                <w:bCs w:val="0"/>
                <w:sz w:val="22"/>
                <w:szCs w:val="22"/>
              </w:rPr>
              <w:sym w:font="Symbol" w:char="F0D7"/>
            </w:r>
            <w:r w:rsidRPr="006F6DAC">
              <w:rPr>
                <w:rFonts w:ascii="Garamond" w:hAnsi="Garamond"/>
                <w:bCs w:val="0"/>
                <w:sz w:val="22"/>
                <w:szCs w:val="22"/>
              </w:rPr>
              <w:t xml:space="preserve">ч). При этом </w:t>
            </w:r>
            <w:r w:rsidRPr="006F6DAC">
              <w:rPr>
                <w:rFonts w:ascii="Garamond" w:hAnsi="Garamond"/>
                <w:sz w:val="22"/>
                <w:szCs w:val="22"/>
              </w:rPr>
              <w:t>необходимо</w:t>
            </w:r>
            <w:r w:rsidRPr="006F6DAC">
              <w:rPr>
                <w:rFonts w:ascii="Garamond" w:hAnsi="Garamond"/>
                <w:bCs w:val="0"/>
                <w:sz w:val="22"/>
                <w:szCs w:val="22"/>
              </w:rPr>
              <w:t xml:space="preserve"> использовать следующие правила округления – дробный </w:t>
            </w:r>
            <w:r w:rsidRPr="006F6DAC">
              <w:rPr>
                <w:rFonts w:ascii="Garamond" w:hAnsi="Garamond"/>
                <w:bCs w:val="0"/>
                <w:sz w:val="22"/>
                <w:szCs w:val="22"/>
              </w:rPr>
              <w:lastRenderedPageBreak/>
              <w:t>результат измерений на интервале измерений округляется до целых кВт</w:t>
            </w:r>
            <w:r w:rsidRPr="006F6DAC">
              <w:rPr>
                <w:rFonts w:ascii="Garamond" w:hAnsi="Garamond"/>
                <w:bCs w:val="0"/>
                <w:sz w:val="22"/>
                <w:szCs w:val="22"/>
              </w:rPr>
              <w:sym w:font="Symbol" w:char="F0D7"/>
            </w:r>
            <w:r w:rsidRPr="006F6DAC">
              <w:rPr>
                <w:rFonts w:ascii="Garamond" w:hAnsi="Garamond"/>
                <w:bCs w:val="0"/>
                <w:sz w:val="22"/>
                <w:szCs w:val="22"/>
              </w:rPr>
              <w:t>ч (кВар</w:t>
            </w:r>
            <w:r w:rsidRPr="006F6DAC">
              <w:rPr>
                <w:rFonts w:ascii="Garamond" w:hAnsi="Garamond"/>
                <w:bCs w:val="0"/>
                <w:sz w:val="22"/>
                <w:szCs w:val="22"/>
              </w:rPr>
              <w:sym w:font="Symbol" w:char="F0D7"/>
            </w:r>
            <w:r w:rsidRPr="006F6DAC">
              <w:rPr>
                <w:rFonts w:ascii="Garamond" w:hAnsi="Garamond"/>
                <w:bCs w:val="0"/>
                <w:sz w:val="22"/>
                <w:szCs w:val="22"/>
              </w:rPr>
              <w:t xml:space="preserve">ч) по алгебраическим правилам округления. Если десятичная часть больше или равна 5, то результат округляется в большую сторону, если меньше – то в меньшую. При этом разница между не округленным значением и округленным прибавляется к результату измерений на следующем интервале с сохранением знака. Если применяется алгоритм приведения </w:t>
            </w:r>
            <w:r w:rsidRPr="006F6DAC">
              <w:rPr>
                <w:rFonts w:ascii="Garamond" w:hAnsi="Garamond"/>
                <w:bCs w:val="0"/>
                <w:sz w:val="22"/>
                <w:szCs w:val="22"/>
                <w:highlight w:val="yellow"/>
              </w:rPr>
              <w:t>результатов измерений в</w:t>
            </w:r>
            <w:r w:rsidRPr="006F6DAC">
              <w:rPr>
                <w:rFonts w:ascii="Garamond" w:hAnsi="Garamond"/>
                <w:bCs w:val="0"/>
                <w:sz w:val="22"/>
                <w:szCs w:val="22"/>
              </w:rPr>
              <w:t xml:space="preserve"> точ</w:t>
            </w:r>
            <w:r w:rsidRPr="006F6DAC">
              <w:rPr>
                <w:rFonts w:ascii="Garamond" w:hAnsi="Garamond"/>
                <w:bCs w:val="0"/>
                <w:sz w:val="22"/>
                <w:szCs w:val="22"/>
                <w:highlight w:val="yellow"/>
              </w:rPr>
              <w:t>ках</w:t>
            </w:r>
            <w:r w:rsidRPr="006F6DAC">
              <w:rPr>
                <w:rFonts w:ascii="Garamond" w:hAnsi="Garamond"/>
                <w:bCs w:val="0"/>
                <w:sz w:val="22"/>
                <w:szCs w:val="22"/>
              </w:rPr>
              <w:t xml:space="preserve"> измерений к </w:t>
            </w:r>
            <w:r w:rsidRPr="006F6DAC">
              <w:rPr>
                <w:rFonts w:ascii="Garamond" w:hAnsi="Garamond"/>
                <w:bCs w:val="0"/>
                <w:sz w:val="22"/>
                <w:szCs w:val="22"/>
                <w:highlight w:val="yellow"/>
              </w:rPr>
              <w:t>значениям в</w:t>
            </w:r>
            <w:r w:rsidRPr="006F6DAC">
              <w:rPr>
                <w:rFonts w:ascii="Garamond" w:hAnsi="Garamond"/>
                <w:bCs w:val="0"/>
                <w:sz w:val="22"/>
                <w:szCs w:val="22"/>
              </w:rPr>
              <w:t xml:space="preserve"> точка</w:t>
            </w:r>
            <w:r w:rsidRPr="006F6DAC">
              <w:rPr>
                <w:rFonts w:ascii="Garamond" w:hAnsi="Garamond"/>
                <w:bCs w:val="0"/>
                <w:sz w:val="22"/>
                <w:szCs w:val="22"/>
                <w:highlight w:val="yellow"/>
              </w:rPr>
              <w:t>х</w:t>
            </w:r>
            <w:r w:rsidRPr="006F6DAC">
              <w:rPr>
                <w:rFonts w:ascii="Garamond" w:hAnsi="Garamond"/>
                <w:bCs w:val="0"/>
                <w:sz w:val="22"/>
                <w:szCs w:val="22"/>
              </w:rPr>
              <w:t xml:space="preserve"> </w:t>
            </w:r>
            <w:r w:rsidRPr="006F6DAC">
              <w:rPr>
                <w:rFonts w:ascii="Garamond" w:hAnsi="Garamond"/>
                <w:bCs w:val="0"/>
                <w:sz w:val="22"/>
                <w:szCs w:val="22"/>
                <w:highlight w:val="yellow"/>
              </w:rPr>
              <w:t>присоединения</w:t>
            </w:r>
            <w:r w:rsidRPr="006F6DAC">
              <w:rPr>
                <w:rFonts w:ascii="Garamond" w:hAnsi="Garamond"/>
                <w:bCs w:val="0"/>
                <w:sz w:val="22"/>
                <w:szCs w:val="22"/>
              </w:rPr>
              <w:t xml:space="preserve">, то округление </w:t>
            </w:r>
            <w:r w:rsidRPr="006F6DAC">
              <w:rPr>
                <w:rFonts w:ascii="Garamond" w:hAnsi="Garamond"/>
                <w:sz w:val="22"/>
                <w:szCs w:val="22"/>
              </w:rPr>
              <w:t>необходимо</w:t>
            </w:r>
            <w:r w:rsidRPr="006F6DAC">
              <w:rPr>
                <w:rFonts w:ascii="Garamond" w:hAnsi="Garamond"/>
                <w:bCs w:val="0"/>
                <w:sz w:val="22"/>
                <w:szCs w:val="22"/>
              </w:rPr>
              <w:t xml:space="preserve"> производить после применения этого алгоритма. Пример проведения округления приведен в приложении </w:t>
            </w:r>
            <w:r w:rsidRPr="006F6DAC">
              <w:rPr>
                <w:rFonts w:ascii="Garamond" w:hAnsi="Garamond"/>
                <w:sz w:val="22"/>
                <w:szCs w:val="22"/>
                <w:highlight w:val="yellow"/>
              </w:rPr>
              <w:t>5</w:t>
            </w:r>
            <w:r w:rsidRPr="006F6DAC">
              <w:rPr>
                <w:rFonts w:ascii="Garamond" w:hAnsi="Garamond"/>
                <w:sz w:val="22"/>
                <w:szCs w:val="22"/>
              </w:rPr>
              <w:t xml:space="preserve"> к настоящему документу</w:t>
            </w:r>
            <w:r w:rsidRPr="006F6DAC">
              <w:rPr>
                <w:rFonts w:ascii="Garamond" w:hAnsi="Garamond"/>
                <w:bCs w:val="0"/>
                <w:sz w:val="22"/>
                <w:szCs w:val="22"/>
              </w:rPr>
              <w:t>.</w:t>
            </w:r>
          </w:p>
        </w:tc>
      </w:tr>
      <w:tr w:rsidR="00F11A8B" w:rsidRPr="006F6DAC" w14:paraId="2EAF8B85" w14:textId="77777777" w:rsidTr="006F6DAC">
        <w:tc>
          <w:tcPr>
            <w:tcW w:w="1060" w:type="dxa"/>
          </w:tcPr>
          <w:p w14:paraId="0764BC27" w14:textId="77777777" w:rsidR="00F11A8B" w:rsidRPr="006F6DAC" w:rsidRDefault="00F11A8B" w:rsidP="00F11A8B">
            <w:pPr>
              <w:widowControl w:val="0"/>
              <w:spacing w:line="259" w:lineRule="auto"/>
              <w:jc w:val="center"/>
              <w:rPr>
                <w:rFonts w:ascii="Garamond" w:hAnsi="Garamond"/>
                <w:b/>
                <w:sz w:val="22"/>
                <w:szCs w:val="22"/>
                <w:lang w:eastAsia="en-US"/>
              </w:rPr>
            </w:pPr>
            <w:r w:rsidRPr="006F6DAC">
              <w:rPr>
                <w:rFonts w:ascii="Garamond" w:hAnsi="Garamond"/>
                <w:b/>
                <w:sz w:val="22"/>
                <w:szCs w:val="22"/>
                <w:lang w:eastAsia="en-US"/>
              </w:rPr>
              <w:lastRenderedPageBreak/>
              <w:t>2.18</w:t>
            </w:r>
          </w:p>
        </w:tc>
        <w:tc>
          <w:tcPr>
            <w:tcW w:w="6804" w:type="dxa"/>
          </w:tcPr>
          <w:p w14:paraId="3E92D6E5" w14:textId="77777777" w:rsidR="00F11A8B" w:rsidRPr="006F6DAC" w:rsidRDefault="00F11A8B" w:rsidP="006F6DAC">
            <w:pPr>
              <w:pStyle w:val="a6"/>
              <w:tabs>
                <w:tab w:val="left" w:pos="1080"/>
              </w:tabs>
              <w:suppressAutoHyphens w:val="0"/>
              <w:spacing w:before="120" w:after="120"/>
              <w:ind w:firstLine="598"/>
              <w:jc w:val="both"/>
              <w:rPr>
                <w:rFonts w:ascii="Garamond" w:hAnsi="Garamond"/>
                <w:bCs w:val="0"/>
                <w:sz w:val="22"/>
                <w:szCs w:val="22"/>
              </w:rPr>
            </w:pPr>
            <w:r w:rsidRPr="006F6DAC">
              <w:rPr>
                <w:rFonts w:ascii="Garamond" w:hAnsi="Garamond"/>
                <w:sz w:val="22"/>
                <w:szCs w:val="22"/>
              </w:rPr>
              <w:t>В случае возникновения у субъекта оптового рынка обстоятельств, не позволяющих признать в определенном временном интервале полученные результаты измерений достоверными, субъект оптового рынка при формировании электронн</w:t>
            </w:r>
            <w:r w:rsidRPr="006F6DAC">
              <w:rPr>
                <w:rFonts w:ascii="Garamond" w:hAnsi="Garamond"/>
                <w:sz w:val="22"/>
                <w:szCs w:val="22"/>
                <w:highlight w:val="yellow"/>
              </w:rPr>
              <w:t>ого</w:t>
            </w:r>
            <w:r w:rsidRPr="006F6DAC">
              <w:rPr>
                <w:rFonts w:ascii="Garamond" w:hAnsi="Garamond"/>
                <w:sz w:val="22"/>
                <w:szCs w:val="22"/>
              </w:rPr>
              <w:t xml:space="preserve"> документ</w:t>
            </w:r>
            <w:r w:rsidRPr="006F6DAC">
              <w:rPr>
                <w:rFonts w:ascii="Garamond" w:hAnsi="Garamond"/>
                <w:sz w:val="22"/>
                <w:szCs w:val="22"/>
                <w:highlight w:val="yellow"/>
              </w:rPr>
              <w:t>а</w:t>
            </w:r>
            <w:r w:rsidRPr="006F6DAC">
              <w:rPr>
                <w:rFonts w:ascii="Garamond" w:hAnsi="Garamond"/>
                <w:sz w:val="22"/>
                <w:szCs w:val="22"/>
              </w:rPr>
              <w:t xml:space="preserve"> </w:t>
            </w:r>
            <w:r w:rsidRPr="006F6DAC">
              <w:rPr>
                <w:rFonts w:ascii="Garamond" w:hAnsi="Garamond"/>
                <w:sz w:val="22"/>
                <w:szCs w:val="22"/>
                <w:highlight w:val="yellow"/>
              </w:rPr>
              <w:t>(макеты 80020 и 80040)</w:t>
            </w:r>
            <w:r w:rsidRPr="006F6DAC">
              <w:rPr>
                <w:rFonts w:ascii="Garamond" w:hAnsi="Garamond"/>
                <w:sz w:val="22"/>
                <w:szCs w:val="22"/>
              </w:rPr>
              <w:t xml:space="preserve"> для указанного временного интервала определяет некоммерческий статус результатов измерений (атрибут status элемента &lt;value&gt; в макетах 80020, 80040 равен «1»).</w:t>
            </w:r>
          </w:p>
        </w:tc>
        <w:tc>
          <w:tcPr>
            <w:tcW w:w="7115" w:type="dxa"/>
          </w:tcPr>
          <w:p w14:paraId="224AE7E9" w14:textId="77777777" w:rsidR="00F11A8B" w:rsidRPr="006F6DAC" w:rsidRDefault="00F11A8B" w:rsidP="006F6DAC">
            <w:pPr>
              <w:pStyle w:val="a6"/>
              <w:tabs>
                <w:tab w:val="left" w:pos="1080"/>
              </w:tabs>
              <w:suppressAutoHyphens w:val="0"/>
              <w:spacing w:before="120" w:after="120"/>
              <w:ind w:firstLine="598"/>
              <w:jc w:val="both"/>
              <w:rPr>
                <w:rFonts w:ascii="Garamond" w:hAnsi="Garamond"/>
                <w:bCs w:val="0"/>
                <w:sz w:val="22"/>
                <w:szCs w:val="22"/>
              </w:rPr>
            </w:pPr>
            <w:r w:rsidRPr="006F6DAC">
              <w:rPr>
                <w:rFonts w:ascii="Garamond" w:hAnsi="Garamond"/>
                <w:sz w:val="22"/>
                <w:szCs w:val="22"/>
              </w:rPr>
              <w:t>В случае возникновения у субъекта оптового рынка обстоятельств, не позволяющих признать в определенном временном интервале полученные результаты измерений достоверными, субъект оптового рынка при формировании электронн</w:t>
            </w:r>
            <w:r w:rsidRPr="006F6DAC">
              <w:rPr>
                <w:rFonts w:ascii="Garamond" w:hAnsi="Garamond"/>
                <w:sz w:val="22"/>
                <w:szCs w:val="22"/>
                <w:highlight w:val="yellow"/>
              </w:rPr>
              <w:t>ых</w:t>
            </w:r>
            <w:r w:rsidRPr="006F6DAC">
              <w:rPr>
                <w:rFonts w:ascii="Garamond" w:hAnsi="Garamond"/>
                <w:sz w:val="22"/>
                <w:szCs w:val="22"/>
              </w:rPr>
              <w:t xml:space="preserve"> документ</w:t>
            </w:r>
            <w:r w:rsidRPr="006F6DAC">
              <w:rPr>
                <w:rFonts w:ascii="Garamond" w:hAnsi="Garamond"/>
                <w:sz w:val="22"/>
                <w:szCs w:val="22"/>
                <w:highlight w:val="yellow"/>
              </w:rPr>
              <w:t>ов</w:t>
            </w:r>
            <w:r w:rsidRPr="006F6DAC">
              <w:rPr>
                <w:rFonts w:ascii="Garamond" w:hAnsi="Garamond"/>
                <w:sz w:val="22"/>
                <w:szCs w:val="22"/>
              </w:rPr>
              <w:t xml:space="preserve"> </w:t>
            </w:r>
            <w:r w:rsidRPr="006F6DAC">
              <w:rPr>
                <w:rFonts w:ascii="Garamond" w:hAnsi="Garamond"/>
                <w:sz w:val="22"/>
                <w:szCs w:val="22"/>
                <w:highlight w:val="yellow"/>
              </w:rPr>
              <w:t>80020, 80040, 20020</w:t>
            </w:r>
            <w:r w:rsidRPr="006F6DAC">
              <w:rPr>
                <w:rFonts w:ascii="Garamond" w:hAnsi="Garamond"/>
                <w:sz w:val="22"/>
                <w:szCs w:val="22"/>
              </w:rPr>
              <w:t xml:space="preserve"> для указанного временного интервала определяет некоммерческий статус результатов измерений (атрибут status элемента &lt;value&gt; в макетах 80020, 80040, </w:t>
            </w:r>
            <w:r w:rsidRPr="006F6DAC">
              <w:rPr>
                <w:rFonts w:ascii="Garamond" w:hAnsi="Garamond"/>
                <w:sz w:val="22"/>
                <w:szCs w:val="22"/>
                <w:highlight w:val="yellow"/>
              </w:rPr>
              <w:t>20020</w:t>
            </w:r>
            <w:r w:rsidRPr="006F6DAC">
              <w:rPr>
                <w:rFonts w:ascii="Garamond" w:hAnsi="Garamond"/>
                <w:sz w:val="22"/>
                <w:szCs w:val="22"/>
              </w:rPr>
              <w:t xml:space="preserve"> равен «1»).</w:t>
            </w:r>
          </w:p>
        </w:tc>
      </w:tr>
      <w:tr w:rsidR="00F11A8B" w:rsidRPr="006F6DAC" w14:paraId="4CD8FE80" w14:textId="77777777" w:rsidTr="006F6DAC">
        <w:tc>
          <w:tcPr>
            <w:tcW w:w="1060" w:type="dxa"/>
          </w:tcPr>
          <w:p w14:paraId="1F8837CC" w14:textId="77777777" w:rsidR="00F11A8B" w:rsidRPr="006F6DAC" w:rsidRDefault="00F11A8B" w:rsidP="00F11A8B">
            <w:pPr>
              <w:widowControl w:val="0"/>
              <w:spacing w:line="259" w:lineRule="auto"/>
              <w:jc w:val="center"/>
              <w:rPr>
                <w:rFonts w:ascii="Garamond" w:hAnsi="Garamond"/>
                <w:b/>
                <w:sz w:val="22"/>
                <w:szCs w:val="22"/>
                <w:lang w:eastAsia="en-US"/>
              </w:rPr>
            </w:pPr>
            <w:r w:rsidRPr="006F6DAC">
              <w:rPr>
                <w:rFonts w:ascii="Garamond" w:hAnsi="Garamond"/>
                <w:b/>
                <w:sz w:val="22"/>
                <w:szCs w:val="22"/>
                <w:lang w:eastAsia="en-US"/>
              </w:rPr>
              <w:t>3.1</w:t>
            </w:r>
          </w:p>
        </w:tc>
        <w:tc>
          <w:tcPr>
            <w:tcW w:w="6804" w:type="dxa"/>
          </w:tcPr>
          <w:p w14:paraId="47D155B7" w14:textId="77777777" w:rsidR="00F11A8B" w:rsidRPr="006F6DAC" w:rsidRDefault="00F11A8B" w:rsidP="006F6DAC">
            <w:pPr>
              <w:pStyle w:val="a6"/>
              <w:tabs>
                <w:tab w:val="left" w:pos="1080"/>
              </w:tabs>
              <w:suppressAutoHyphens w:val="0"/>
              <w:spacing w:before="120" w:after="120"/>
              <w:ind w:firstLine="598"/>
              <w:jc w:val="both"/>
              <w:rPr>
                <w:rFonts w:ascii="Garamond" w:hAnsi="Garamond"/>
                <w:bCs w:val="0"/>
                <w:sz w:val="22"/>
                <w:szCs w:val="22"/>
              </w:rPr>
            </w:pPr>
            <w:r w:rsidRPr="006F6DAC">
              <w:rPr>
                <w:rFonts w:ascii="Garamond" w:hAnsi="Garamond" w:cs="Arial"/>
                <w:sz w:val="22"/>
                <w:szCs w:val="22"/>
              </w:rPr>
              <w:t>Передача документов с результатами измерений и данными о состоянии объектов измерений (формат электронного документа 80020) производится по электронной почте потребителям информации</w:t>
            </w:r>
            <w:r w:rsidRPr="006F6DAC">
              <w:rPr>
                <w:rFonts w:ascii="Garamond" w:hAnsi="Garamond"/>
                <w:bCs w:val="0"/>
                <w:sz w:val="22"/>
                <w:szCs w:val="22"/>
              </w:rPr>
              <w:t xml:space="preserve"> до 12 часов по времени ценовой зоны, рабочего дня, следующего за операционными сутками. </w:t>
            </w:r>
            <w:r w:rsidRPr="006F6DAC">
              <w:rPr>
                <w:rFonts w:ascii="Garamond" w:hAnsi="Garamond" w:cs="Arial"/>
                <w:sz w:val="22"/>
                <w:szCs w:val="22"/>
              </w:rPr>
              <w:t xml:space="preserve">В случае возникновения технических проблем передача данных </w:t>
            </w:r>
            <w:r w:rsidRPr="006F6DAC">
              <w:rPr>
                <w:rFonts w:ascii="Garamond" w:hAnsi="Garamond"/>
                <w:sz w:val="22"/>
                <w:szCs w:val="22"/>
                <w:lang w:eastAsia="en-US"/>
              </w:rPr>
              <w:t>может быть произведена</w:t>
            </w:r>
            <w:r w:rsidRPr="006F6DAC">
              <w:rPr>
                <w:rFonts w:ascii="Garamond" w:hAnsi="Garamond" w:cs="Arial"/>
                <w:sz w:val="22"/>
                <w:szCs w:val="22"/>
              </w:rPr>
              <w:t xml:space="preserve"> с задержкой на срок не более 3 рабочих дней, но при этом данные должны быть направлены не позднее 12 часов дня (по московскому времени) 4-го числа месяца, следующего за отчетным. </w:t>
            </w:r>
            <w:r w:rsidRPr="006F6DAC">
              <w:rPr>
                <w:rFonts w:ascii="Garamond" w:hAnsi="Garamond"/>
                <w:bCs w:val="0"/>
                <w:sz w:val="22"/>
                <w:szCs w:val="22"/>
                <w:highlight w:val="yellow"/>
              </w:rPr>
              <w:t>В случае непредставления результатов измерений хотя бы по одному ИИК за этот период фиксируется отказ АИИС участника ОРЭМ.</w:t>
            </w:r>
          </w:p>
          <w:p w14:paraId="44D227B2" w14:textId="77777777" w:rsidR="00F11A8B" w:rsidRPr="006F6DAC" w:rsidRDefault="00F11A8B" w:rsidP="006F6DAC">
            <w:pPr>
              <w:pStyle w:val="a6"/>
              <w:tabs>
                <w:tab w:val="left" w:pos="1080"/>
              </w:tabs>
              <w:suppressAutoHyphens w:val="0"/>
              <w:spacing w:before="120" w:after="120"/>
              <w:ind w:firstLine="598"/>
              <w:jc w:val="both"/>
              <w:rPr>
                <w:rFonts w:ascii="Garamond" w:hAnsi="Garamond"/>
                <w:sz w:val="22"/>
                <w:szCs w:val="22"/>
              </w:rPr>
            </w:pPr>
            <w:r w:rsidRPr="006F6DAC">
              <w:rPr>
                <w:rFonts w:ascii="Garamond" w:hAnsi="Garamond"/>
                <w:sz w:val="22"/>
                <w:szCs w:val="22"/>
                <w:highlight w:val="yellow"/>
              </w:rPr>
              <w:t>Участники</w:t>
            </w:r>
            <w:r w:rsidRPr="006F6DAC">
              <w:rPr>
                <w:rFonts w:ascii="Garamond" w:hAnsi="Garamond"/>
                <w:sz w:val="22"/>
                <w:szCs w:val="22"/>
              </w:rPr>
              <w:t xml:space="preserve"> оптового рынка </w:t>
            </w:r>
            <w:r w:rsidRPr="006F6DAC">
              <w:rPr>
                <w:rFonts w:ascii="Garamond" w:hAnsi="Garamond"/>
                <w:sz w:val="22"/>
                <w:szCs w:val="22"/>
                <w:highlight w:val="yellow"/>
              </w:rPr>
              <w:t xml:space="preserve">(ФСК), имеющие действующий Акт о соответствии системы коммерческого учета техническим требованиям оптового рынка электрической энергии и мощности (далее – Акт о соответствии) в отношении сечений (ГТП) (за исключением </w:t>
            </w:r>
            <w:r w:rsidRPr="006F6DAC">
              <w:rPr>
                <w:rFonts w:ascii="Garamond" w:hAnsi="Garamond"/>
                <w:sz w:val="22"/>
                <w:szCs w:val="22"/>
                <w:highlight w:val="yellow"/>
                <w:lang w:eastAsia="en-US"/>
              </w:rPr>
              <w:t xml:space="preserve">участников оптового рынка, получивших акты о соответствии АИИС КУЭ в качестве смежных субъектов оптового рынка, в том числе в соответствии с п. 2.8 Приложения № 11.3 к </w:t>
            </w:r>
            <w:r w:rsidRPr="006F6DAC">
              <w:rPr>
                <w:rFonts w:ascii="Garamond" w:hAnsi="Garamond"/>
                <w:i/>
                <w:sz w:val="22"/>
                <w:szCs w:val="22"/>
                <w:highlight w:val="yellow"/>
              </w:rPr>
              <w:t>Положению о порядке получения статуса субъекта оптового рынка и ведения реестра субъектов оптового рынка</w:t>
            </w:r>
            <w:r w:rsidRPr="006F6DAC">
              <w:rPr>
                <w:rFonts w:ascii="Garamond" w:hAnsi="Garamond"/>
                <w:sz w:val="22"/>
                <w:szCs w:val="22"/>
                <w:highlight w:val="yellow"/>
              </w:rPr>
              <w:t xml:space="preserve"> (Приложение № 1.1 </w:t>
            </w:r>
            <w:r w:rsidRPr="006F6DAC">
              <w:rPr>
                <w:rFonts w:ascii="Garamond" w:hAnsi="Garamond"/>
                <w:sz w:val="22"/>
                <w:szCs w:val="22"/>
                <w:highlight w:val="yellow"/>
              </w:rPr>
              <w:lastRenderedPageBreak/>
              <w:t>к</w:t>
            </w:r>
            <w:r w:rsidRPr="006F6DAC">
              <w:rPr>
                <w:rFonts w:ascii="Garamond" w:hAnsi="Garamond"/>
                <w:i/>
                <w:sz w:val="22"/>
                <w:szCs w:val="22"/>
                <w:highlight w:val="yellow"/>
              </w:rPr>
              <w:t xml:space="preserve"> Договору о присоединении к торговой системе оптового рынка</w:t>
            </w:r>
            <w:r w:rsidRPr="006F6DAC">
              <w:rPr>
                <w:rFonts w:ascii="Garamond" w:hAnsi="Garamond"/>
                <w:sz w:val="22"/>
                <w:szCs w:val="22"/>
                <w:highlight w:val="yellow"/>
                <w:lang w:eastAsia="en-US"/>
              </w:rPr>
              <w:t>))</w:t>
            </w:r>
            <w:r w:rsidRPr="006F6DAC">
              <w:rPr>
                <w:rFonts w:ascii="Garamond" w:hAnsi="Garamond"/>
                <w:sz w:val="22"/>
                <w:szCs w:val="22"/>
                <w:lang w:eastAsia="en-US"/>
              </w:rPr>
              <w:t xml:space="preserve">, </w:t>
            </w:r>
            <w:r w:rsidRPr="006F6DAC">
              <w:rPr>
                <w:rFonts w:ascii="Garamond" w:hAnsi="Garamond"/>
                <w:sz w:val="22"/>
                <w:szCs w:val="22"/>
              </w:rPr>
              <w:t>обязаны ежедневно осуществлять передачу результатов измерений (формат электронных документов 80020) в вышеуказанном порядке.</w:t>
            </w:r>
          </w:p>
          <w:p w14:paraId="4D49A5D0" w14:textId="77777777" w:rsidR="00F11A8B" w:rsidRPr="006F6DAC" w:rsidRDefault="00F11A8B" w:rsidP="006F6DAC">
            <w:pPr>
              <w:pStyle w:val="a6"/>
              <w:tabs>
                <w:tab w:val="left" w:pos="1440"/>
              </w:tabs>
              <w:spacing w:before="120" w:after="120"/>
              <w:ind w:firstLine="598"/>
              <w:jc w:val="both"/>
              <w:rPr>
                <w:rFonts w:ascii="Garamond" w:hAnsi="Garamond"/>
                <w:b/>
                <w:sz w:val="22"/>
                <w:szCs w:val="22"/>
              </w:rPr>
            </w:pPr>
            <w:r w:rsidRPr="006F6DAC">
              <w:rPr>
                <w:rFonts w:ascii="Garamond" w:hAnsi="Garamond"/>
                <w:sz w:val="22"/>
                <w:szCs w:val="22"/>
                <w:highlight w:val="yellow"/>
              </w:rPr>
              <w:t>Отсутствие передачи результатов измерений (формат электронных документов 80020) в вышеуказанном порядке в течение 6 (шести) календарных месяцев влечет прекращение действия Акта о соответствии АИИС КУЭ по соответствующему сечению коммерческого учета (соответствующей ГТП генерации) с 1-го числа 7 (седьмого) календарного месяца.</w:t>
            </w:r>
          </w:p>
          <w:p w14:paraId="1D6B07B6" w14:textId="77777777" w:rsidR="00F11A8B" w:rsidRPr="006F6DAC" w:rsidRDefault="00F11A8B" w:rsidP="006F6DAC">
            <w:pPr>
              <w:pStyle w:val="a6"/>
              <w:tabs>
                <w:tab w:val="left" w:pos="1080"/>
              </w:tabs>
              <w:suppressAutoHyphens w:val="0"/>
              <w:spacing w:before="120" w:after="120"/>
              <w:ind w:firstLine="598"/>
              <w:jc w:val="both"/>
              <w:rPr>
                <w:rFonts w:ascii="Garamond" w:hAnsi="Garamond"/>
                <w:sz w:val="22"/>
                <w:szCs w:val="22"/>
              </w:rPr>
            </w:pPr>
            <w:r w:rsidRPr="006F6DAC">
              <w:rPr>
                <w:rFonts w:ascii="Garamond" w:hAnsi="Garamond"/>
                <w:sz w:val="22"/>
                <w:szCs w:val="22"/>
                <w:highlight w:val="yellow"/>
              </w:rPr>
              <w:t>КО не несет ответственности за непредставление участником оптового рынка (ФСК) результатов измерений.</w:t>
            </w:r>
          </w:p>
          <w:p w14:paraId="2E13A138" w14:textId="77777777" w:rsidR="00F11A8B" w:rsidRPr="006F6DAC" w:rsidRDefault="00F11A8B" w:rsidP="006F6DAC">
            <w:pPr>
              <w:pStyle w:val="a6"/>
              <w:tabs>
                <w:tab w:val="left" w:pos="1080"/>
              </w:tabs>
              <w:suppressAutoHyphens w:val="0"/>
              <w:spacing w:before="120" w:after="120"/>
              <w:ind w:firstLine="598"/>
              <w:jc w:val="both"/>
              <w:rPr>
                <w:rFonts w:ascii="Garamond" w:hAnsi="Garamond"/>
                <w:sz w:val="22"/>
                <w:szCs w:val="22"/>
              </w:rPr>
            </w:pPr>
            <w:r w:rsidRPr="006F6DAC">
              <w:rPr>
                <w:rFonts w:ascii="Garamond" w:hAnsi="Garamond"/>
                <w:sz w:val="22"/>
                <w:szCs w:val="22"/>
              </w:rPr>
              <w:t xml:space="preserve">Для организаций, которые приобрели энергопринимающие устройства (генерирующее оборудование) и (или) право покупки электрической энергии и мощности в отношении энергопринимающих устройств (право продажи производимой на генерирующем оборудовании электрической энергии и мощности, в отношении которых были зарегистрированы группы точек поставки на оптовом рынке за иными организациями (далее для целей настоящего пункта – Правопредшественниками)), </w:t>
            </w:r>
            <w:r w:rsidRPr="006F6DAC">
              <w:rPr>
                <w:rFonts w:ascii="Garamond" w:hAnsi="Garamond" w:cs="Garamond"/>
                <w:sz w:val="22"/>
                <w:szCs w:val="22"/>
              </w:rPr>
              <w:t>в порядке, предусмотренном</w:t>
            </w:r>
            <w:r w:rsidRPr="006F6DAC">
              <w:rPr>
                <w:rFonts w:ascii="Garamond" w:hAnsi="Garamond"/>
                <w:sz w:val="22"/>
                <w:szCs w:val="22"/>
              </w:rPr>
              <w:t xml:space="preserve"> </w:t>
            </w:r>
            <w:r w:rsidRPr="006F6DAC">
              <w:rPr>
                <w:rFonts w:ascii="Garamond" w:hAnsi="Garamond" w:cs="Garamond"/>
                <w:sz w:val="22"/>
                <w:szCs w:val="22"/>
              </w:rPr>
              <w:t>пп. 2, 5.1–5.4</w:t>
            </w:r>
            <w:r w:rsidRPr="006F6DAC">
              <w:rPr>
                <w:rFonts w:ascii="Garamond" w:hAnsi="Garamond"/>
                <w:sz w:val="22"/>
                <w:szCs w:val="22"/>
              </w:rPr>
              <w:t xml:space="preserve"> приложения 2 к </w:t>
            </w:r>
            <w:r w:rsidRPr="006F6DAC">
              <w:rPr>
                <w:rFonts w:ascii="Garamond" w:hAnsi="Garamond"/>
                <w:i/>
                <w:sz w:val="22"/>
                <w:szCs w:val="22"/>
              </w:rPr>
              <w:t>Положению о порядке получения статуса субъекта оптового рынка и ведения реестра субъектов оптового рынка</w:t>
            </w:r>
            <w:r w:rsidRPr="006F6DAC">
              <w:rPr>
                <w:rFonts w:ascii="Garamond" w:hAnsi="Garamond"/>
                <w:sz w:val="22"/>
                <w:szCs w:val="22"/>
              </w:rPr>
              <w:t xml:space="preserve"> (Приложение № 1.1 к</w:t>
            </w:r>
            <w:r w:rsidRPr="006F6DAC">
              <w:rPr>
                <w:rFonts w:ascii="Garamond" w:hAnsi="Garamond"/>
                <w:i/>
                <w:sz w:val="22"/>
                <w:szCs w:val="22"/>
              </w:rPr>
              <w:t xml:space="preserve"> Договору о присоединении к торговой системе оптового рынка</w:t>
            </w:r>
            <w:r w:rsidRPr="006F6DAC">
              <w:rPr>
                <w:rFonts w:ascii="Garamond" w:hAnsi="Garamond"/>
                <w:sz w:val="22"/>
                <w:szCs w:val="22"/>
              </w:rPr>
              <w:t xml:space="preserve">) (далее для целей настоящего пункта – Правопреемников), КО при наличии ранее выданных Правопредшественнику кодов точек поставки и точек измерений обеспечивает подготовку ПАК КО (далее – программно-аппаратный комплекс КО) для приема результатов измерений от </w:t>
            </w:r>
            <w:r w:rsidRPr="006F6DAC">
              <w:rPr>
                <w:rFonts w:ascii="Garamond" w:hAnsi="Garamond"/>
                <w:sz w:val="22"/>
                <w:szCs w:val="22"/>
                <w:highlight w:val="yellow"/>
              </w:rPr>
              <w:t>АИИС</w:t>
            </w:r>
            <w:r w:rsidRPr="006F6DAC">
              <w:rPr>
                <w:rFonts w:ascii="Garamond" w:hAnsi="Garamond"/>
                <w:sz w:val="22"/>
                <w:szCs w:val="22"/>
              </w:rPr>
              <w:t xml:space="preserve"> Правопреемника. При этом код </w:t>
            </w:r>
            <w:r w:rsidRPr="006F6DAC">
              <w:rPr>
                <w:rFonts w:ascii="Garamond" w:hAnsi="Garamond"/>
                <w:sz w:val="22"/>
                <w:szCs w:val="22"/>
                <w:highlight w:val="yellow"/>
              </w:rPr>
              <w:t>АИИС</w:t>
            </w:r>
            <w:r w:rsidRPr="006F6DAC">
              <w:rPr>
                <w:rFonts w:ascii="Garamond" w:hAnsi="Garamond"/>
                <w:sz w:val="22"/>
                <w:szCs w:val="22"/>
              </w:rPr>
              <w:t xml:space="preserve"> Правопредшественника остается неизменным.</w:t>
            </w:r>
          </w:p>
          <w:p w14:paraId="421C9B7D" w14:textId="77777777" w:rsidR="00F11A8B" w:rsidRPr="006F6DAC" w:rsidRDefault="00F11A8B" w:rsidP="006F6DAC">
            <w:pPr>
              <w:pStyle w:val="a6"/>
              <w:tabs>
                <w:tab w:val="left" w:pos="1080"/>
              </w:tabs>
              <w:suppressAutoHyphens w:val="0"/>
              <w:spacing w:before="120" w:after="120"/>
              <w:ind w:firstLine="598"/>
              <w:jc w:val="both"/>
              <w:rPr>
                <w:rFonts w:ascii="Garamond" w:hAnsi="Garamond"/>
                <w:sz w:val="22"/>
                <w:szCs w:val="22"/>
              </w:rPr>
            </w:pPr>
            <w:r w:rsidRPr="006F6DAC">
              <w:rPr>
                <w:rFonts w:ascii="Garamond" w:hAnsi="Garamond"/>
                <w:sz w:val="22"/>
                <w:szCs w:val="22"/>
                <w:highlight w:val="yellow"/>
              </w:rPr>
              <w:t xml:space="preserve">Участники оптового рынка (ФСК), </w:t>
            </w:r>
            <w:r w:rsidRPr="006F6DAC">
              <w:rPr>
                <w:rFonts w:ascii="Garamond" w:hAnsi="Garamond"/>
                <w:sz w:val="22"/>
                <w:szCs w:val="22"/>
                <w:highlight w:val="yellow"/>
                <w:lang w:eastAsia="en-US"/>
              </w:rPr>
              <w:t xml:space="preserve">получившие коды точек поставки и точек измерений в соответствии с п. </w:t>
            </w:r>
            <w:r w:rsidRPr="006F6DAC">
              <w:rPr>
                <w:rFonts w:ascii="Garamond" w:hAnsi="Garamond"/>
                <w:sz w:val="22"/>
                <w:szCs w:val="22"/>
                <w:highlight w:val="yellow"/>
              </w:rPr>
              <w:t xml:space="preserve">2.6.2.5 </w:t>
            </w:r>
            <w:r w:rsidRPr="006F6DAC">
              <w:rPr>
                <w:rFonts w:ascii="Garamond" w:hAnsi="Garamond"/>
                <w:i/>
                <w:sz w:val="22"/>
                <w:szCs w:val="22"/>
                <w:highlight w:val="yellow"/>
              </w:rPr>
              <w:t>Положения о порядке получения статуса субъекта оптового рынка и ведения реестра субъектов оптового рынка</w:t>
            </w:r>
            <w:r w:rsidRPr="006F6DAC">
              <w:rPr>
                <w:rFonts w:ascii="Garamond" w:hAnsi="Garamond"/>
                <w:sz w:val="22"/>
                <w:szCs w:val="22"/>
                <w:highlight w:val="yellow"/>
              </w:rPr>
              <w:t xml:space="preserve"> (Приложение № 1.1 к</w:t>
            </w:r>
            <w:r w:rsidRPr="006F6DAC">
              <w:rPr>
                <w:rFonts w:ascii="Garamond" w:hAnsi="Garamond"/>
                <w:i/>
                <w:sz w:val="22"/>
                <w:szCs w:val="22"/>
                <w:highlight w:val="yellow"/>
              </w:rPr>
              <w:t xml:space="preserve"> Договору о присоединении к торговой системе оптового рынка</w:t>
            </w:r>
            <w:r w:rsidRPr="006F6DAC">
              <w:rPr>
                <w:rFonts w:ascii="Garamond" w:hAnsi="Garamond"/>
                <w:sz w:val="22"/>
                <w:szCs w:val="22"/>
                <w:highlight w:val="yellow"/>
              </w:rPr>
              <w:t>)</w:t>
            </w:r>
            <w:r w:rsidRPr="006F6DAC">
              <w:rPr>
                <w:rFonts w:ascii="Garamond" w:hAnsi="Garamond"/>
                <w:sz w:val="22"/>
                <w:szCs w:val="22"/>
                <w:highlight w:val="yellow"/>
                <w:lang w:eastAsia="en-US"/>
              </w:rPr>
              <w:t xml:space="preserve">, а также в соответствии с п. 2.5 приложения 2 к </w:t>
            </w:r>
            <w:r w:rsidRPr="006F6DAC">
              <w:rPr>
                <w:rFonts w:ascii="Garamond" w:hAnsi="Garamond"/>
                <w:i/>
                <w:sz w:val="22"/>
                <w:szCs w:val="22"/>
                <w:highlight w:val="yellow"/>
              </w:rPr>
              <w:t>Положению о порядке получения статуса субъекта оптового рынка и ведения реестра субъектов оптового рынка</w:t>
            </w:r>
            <w:r w:rsidRPr="006F6DAC">
              <w:rPr>
                <w:rFonts w:ascii="Garamond" w:hAnsi="Garamond"/>
                <w:sz w:val="22"/>
                <w:szCs w:val="22"/>
                <w:highlight w:val="yellow"/>
              </w:rPr>
              <w:t xml:space="preserve"> (Приложение № 1.1 к</w:t>
            </w:r>
            <w:r w:rsidRPr="006F6DAC">
              <w:rPr>
                <w:rFonts w:ascii="Garamond" w:hAnsi="Garamond"/>
                <w:i/>
                <w:sz w:val="22"/>
                <w:szCs w:val="22"/>
                <w:highlight w:val="yellow"/>
              </w:rPr>
              <w:t xml:space="preserve"> Договору о присоединении к торговой системе оптового рынка</w:t>
            </w:r>
            <w:r w:rsidRPr="006F6DAC">
              <w:rPr>
                <w:rFonts w:ascii="Garamond" w:hAnsi="Garamond"/>
                <w:sz w:val="22"/>
                <w:szCs w:val="22"/>
                <w:highlight w:val="yellow"/>
              </w:rPr>
              <w:t>)</w:t>
            </w:r>
            <w:r w:rsidRPr="006F6DAC">
              <w:rPr>
                <w:rFonts w:ascii="Garamond" w:hAnsi="Garamond"/>
                <w:sz w:val="22"/>
                <w:szCs w:val="22"/>
                <w:highlight w:val="yellow"/>
                <w:lang w:eastAsia="en-US"/>
              </w:rPr>
              <w:t xml:space="preserve">, обязаны осуществлять </w:t>
            </w:r>
            <w:r w:rsidRPr="006F6DAC">
              <w:rPr>
                <w:rFonts w:ascii="Garamond" w:hAnsi="Garamond"/>
                <w:sz w:val="22"/>
                <w:szCs w:val="22"/>
                <w:highlight w:val="yellow"/>
              </w:rPr>
              <w:t xml:space="preserve">передачу в КО данных </w:t>
            </w:r>
            <w:r w:rsidRPr="006F6DAC">
              <w:rPr>
                <w:rFonts w:ascii="Garamond" w:hAnsi="Garamond"/>
                <w:sz w:val="22"/>
                <w:szCs w:val="22"/>
                <w:highlight w:val="yellow"/>
              </w:rPr>
              <w:lastRenderedPageBreak/>
              <w:t>коммерческого учета электрической энергии по указанному (-ым) сечению (-ям) (ГТП) в порядке и сроки, установленные настоящим приложением для участников оптового рынка (ФСК), имеющих Акт о соответствии, в отношении передачи результатов измерений.</w:t>
            </w:r>
          </w:p>
        </w:tc>
        <w:tc>
          <w:tcPr>
            <w:tcW w:w="7115" w:type="dxa"/>
          </w:tcPr>
          <w:p w14:paraId="5E85E273" w14:textId="77777777" w:rsidR="00F11A8B" w:rsidRPr="006F6DAC" w:rsidRDefault="00F11A8B" w:rsidP="006F6DAC">
            <w:pPr>
              <w:pStyle w:val="a6"/>
              <w:tabs>
                <w:tab w:val="left" w:pos="1080"/>
              </w:tabs>
              <w:suppressAutoHyphens w:val="0"/>
              <w:spacing w:before="120" w:after="120"/>
              <w:ind w:firstLine="598"/>
              <w:jc w:val="both"/>
              <w:rPr>
                <w:rFonts w:ascii="Garamond" w:hAnsi="Garamond" w:cs="Arial"/>
                <w:sz w:val="22"/>
                <w:szCs w:val="22"/>
              </w:rPr>
            </w:pPr>
            <w:r w:rsidRPr="006F6DAC">
              <w:rPr>
                <w:rFonts w:ascii="Garamond" w:hAnsi="Garamond" w:cs="Arial"/>
                <w:sz w:val="22"/>
                <w:szCs w:val="22"/>
              </w:rPr>
              <w:lastRenderedPageBreak/>
              <w:t>Передача документов с результатами измерений и данными о состоянии объектов измерений (формат электронного документа 80020) производится по электронной почте потребителям информации</w:t>
            </w:r>
            <w:r w:rsidRPr="006F6DAC">
              <w:rPr>
                <w:rFonts w:ascii="Garamond" w:hAnsi="Garamond"/>
                <w:bCs w:val="0"/>
                <w:sz w:val="22"/>
                <w:szCs w:val="22"/>
              </w:rPr>
              <w:t xml:space="preserve"> до 12 часов по времени ценовой зоны, рабочего дня, следующего за операционными сутками. </w:t>
            </w:r>
            <w:r w:rsidRPr="006F6DAC">
              <w:rPr>
                <w:rFonts w:ascii="Garamond" w:hAnsi="Garamond" w:cs="Arial"/>
                <w:sz w:val="22"/>
                <w:szCs w:val="22"/>
              </w:rPr>
              <w:t xml:space="preserve">В случае возникновения технических проблем передача данных </w:t>
            </w:r>
            <w:r w:rsidRPr="006F6DAC">
              <w:rPr>
                <w:rFonts w:ascii="Garamond" w:hAnsi="Garamond"/>
                <w:sz w:val="22"/>
                <w:szCs w:val="22"/>
                <w:lang w:eastAsia="en-US"/>
              </w:rPr>
              <w:t>может быть произведена</w:t>
            </w:r>
            <w:r w:rsidRPr="006F6DAC">
              <w:rPr>
                <w:rFonts w:ascii="Garamond" w:hAnsi="Garamond" w:cs="Arial"/>
                <w:sz w:val="22"/>
                <w:szCs w:val="22"/>
              </w:rPr>
              <w:t xml:space="preserve"> с задержкой на срок не более 3 рабочих дней, но при этом данные должны быть направлены не позднее 12 часов дня (по московскому времени) 4-го числа месяца, следующего за отчетным. </w:t>
            </w:r>
          </w:p>
          <w:p w14:paraId="514D4006" w14:textId="1AA2548B" w:rsidR="00F11A8B" w:rsidRPr="006F6DAC" w:rsidRDefault="00F11A8B" w:rsidP="006F6DAC">
            <w:pPr>
              <w:pStyle w:val="a6"/>
              <w:tabs>
                <w:tab w:val="left" w:pos="1080"/>
              </w:tabs>
              <w:suppressAutoHyphens w:val="0"/>
              <w:spacing w:before="120" w:after="120"/>
              <w:ind w:firstLine="598"/>
              <w:jc w:val="both"/>
              <w:rPr>
                <w:rFonts w:ascii="Garamond" w:hAnsi="Garamond"/>
                <w:bCs w:val="0"/>
                <w:sz w:val="22"/>
                <w:szCs w:val="22"/>
              </w:rPr>
            </w:pPr>
            <w:r w:rsidRPr="006F6DAC">
              <w:rPr>
                <w:rFonts w:ascii="Garamond" w:hAnsi="Garamond"/>
                <w:bCs w:val="0"/>
                <w:sz w:val="22"/>
                <w:szCs w:val="22"/>
                <w:highlight w:val="yellow"/>
              </w:rPr>
              <w:t>При отсутствии подтверждения в течение 120 минут после отправки сообщения субъект ОРЭМ должен повторить передачу данных в КО. Если при повторной передаче данных не получено подтверждение, то уполномоченное лицо субъекта ОРЭМ, ответственное за передачу данных, должно связаться с представителем КО, ответственным за прием информации</w:t>
            </w:r>
            <w:r w:rsidR="00F70B13">
              <w:rPr>
                <w:rFonts w:ascii="Garamond" w:hAnsi="Garamond"/>
                <w:bCs w:val="0"/>
                <w:sz w:val="22"/>
                <w:szCs w:val="22"/>
                <w:highlight w:val="yellow"/>
              </w:rPr>
              <w:t>,</w:t>
            </w:r>
            <w:r w:rsidRPr="006F6DAC">
              <w:rPr>
                <w:rFonts w:ascii="Garamond" w:hAnsi="Garamond"/>
                <w:bCs w:val="0"/>
                <w:sz w:val="22"/>
                <w:szCs w:val="22"/>
                <w:highlight w:val="yellow"/>
              </w:rPr>
              <w:t xml:space="preserve"> с целью локализации и устранения проблемы.</w:t>
            </w:r>
          </w:p>
          <w:p w14:paraId="1B9E15C0" w14:textId="784CF983" w:rsidR="00F11A8B" w:rsidRPr="006F6DAC" w:rsidRDefault="00F11A8B" w:rsidP="006F6DAC">
            <w:pPr>
              <w:pStyle w:val="a6"/>
              <w:tabs>
                <w:tab w:val="left" w:pos="1080"/>
              </w:tabs>
              <w:suppressAutoHyphens w:val="0"/>
              <w:spacing w:before="120" w:after="120"/>
              <w:ind w:firstLine="598"/>
              <w:jc w:val="both"/>
              <w:rPr>
                <w:rFonts w:ascii="Garamond" w:hAnsi="Garamond"/>
                <w:sz w:val="22"/>
                <w:szCs w:val="22"/>
              </w:rPr>
            </w:pPr>
            <w:r w:rsidRPr="006F6DAC">
              <w:rPr>
                <w:rFonts w:ascii="Garamond" w:hAnsi="Garamond"/>
                <w:sz w:val="22"/>
                <w:szCs w:val="22"/>
                <w:highlight w:val="yellow"/>
              </w:rPr>
              <w:t>Субъекты</w:t>
            </w:r>
            <w:r w:rsidRPr="006F6DAC">
              <w:rPr>
                <w:rFonts w:ascii="Garamond" w:hAnsi="Garamond"/>
                <w:sz w:val="22"/>
                <w:szCs w:val="22"/>
              </w:rPr>
              <w:t xml:space="preserve"> оптового рынка</w:t>
            </w:r>
            <w:r w:rsidRPr="006F6DAC">
              <w:rPr>
                <w:rFonts w:ascii="Garamond" w:hAnsi="Garamond"/>
                <w:sz w:val="22"/>
                <w:szCs w:val="22"/>
                <w:highlight w:val="yellow"/>
              </w:rPr>
              <w:t xml:space="preserve"> в отношении сечений коммерческого учета (ГТП генерации)</w:t>
            </w:r>
            <w:r w:rsidRPr="006F6DAC">
              <w:rPr>
                <w:rFonts w:ascii="Garamond" w:hAnsi="Garamond"/>
                <w:sz w:val="22"/>
                <w:szCs w:val="22"/>
                <w:highlight w:val="yellow"/>
                <w:lang w:eastAsia="en-US"/>
              </w:rPr>
              <w:t xml:space="preserve"> </w:t>
            </w:r>
            <w:r w:rsidRPr="006F6DAC">
              <w:rPr>
                <w:rFonts w:ascii="Garamond" w:hAnsi="Garamond"/>
                <w:sz w:val="22"/>
                <w:szCs w:val="22"/>
                <w:highlight w:val="yellow"/>
              </w:rPr>
              <w:t xml:space="preserve">обязаны ежедневно осуществлять передачу результатов измерений (формат электронных документов 80020) в вышеуказанном </w:t>
            </w:r>
            <w:r w:rsidRPr="006F6DAC">
              <w:rPr>
                <w:rFonts w:ascii="Garamond" w:hAnsi="Garamond"/>
                <w:sz w:val="22"/>
                <w:szCs w:val="22"/>
                <w:highlight w:val="yellow"/>
              </w:rPr>
              <w:lastRenderedPageBreak/>
              <w:t xml:space="preserve">порядке после получения кодов в порядке, предусмотренном </w:t>
            </w:r>
            <w:r w:rsidRPr="006F6DAC">
              <w:rPr>
                <w:rFonts w:ascii="Garamond" w:hAnsi="Garamond"/>
                <w:i/>
                <w:color w:val="000000"/>
                <w:sz w:val="22"/>
                <w:szCs w:val="22"/>
                <w:highlight w:val="yellow"/>
              </w:rPr>
              <w:t>Положением о порядке получения статуса субъекта оптового рынка и ведения реестра субъектов оптового рынка</w:t>
            </w:r>
            <w:r w:rsidR="007B726D">
              <w:rPr>
                <w:rFonts w:ascii="Garamond" w:hAnsi="Garamond"/>
                <w:i/>
                <w:color w:val="000000"/>
                <w:sz w:val="22"/>
                <w:szCs w:val="22"/>
              </w:rPr>
              <w:t xml:space="preserve"> </w:t>
            </w:r>
            <w:r w:rsidR="007B726D" w:rsidRPr="006F6DAC">
              <w:rPr>
                <w:rFonts w:ascii="Garamond" w:hAnsi="Garamond"/>
                <w:sz w:val="22"/>
                <w:szCs w:val="22"/>
                <w:highlight w:val="yellow"/>
              </w:rPr>
              <w:t xml:space="preserve">(Приложение № 1.1 к </w:t>
            </w:r>
            <w:r w:rsidR="007B726D" w:rsidRPr="006F6DAC">
              <w:rPr>
                <w:rFonts w:ascii="Garamond" w:hAnsi="Garamond"/>
                <w:i/>
                <w:sz w:val="22"/>
                <w:szCs w:val="22"/>
                <w:highlight w:val="yellow"/>
              </w:rPr>
              <w:t>Договору о присоединении к торговой системе оптового рынка</w:t>
            </w:r>
            <w:r w:rsidR="007B726D" w:rsidRPr="006F6DAC">
              <w:rPr>
                <w:rFonts w:ascii="Garamond" w:hAnsi="Garamond"/>
                <w:sz w:val="22"/>
                <w:szCs w:val="22"/>
                <w:highlight w:val="yellow"/>
              </w:rPr>
              <w:t>)</w:t>
            </w:r>
            <w:r w:rsidRPr="006F6DAC">
              <w:rPr>
                <w:rFonts w:ascii="Garamond" w:hAnsi="Garamond"/>
                <w:sz w:val="22"/>
                <w:szCs w:val="22"/>
              </w:rPr>
              <w:t>.</w:t>
            </w:r>
          </w:p>
          <w:p w14:paraId="1AB52BFD" w14:textId="77777777" w:rsidR="00F11A8B" w:rsidRPr="006F6DAC" w:rsidRDefault="00F11A8B" w:rsidP="006F6DAC">
            <w:pPr>
              <w:pStyle w:val="a6"/>
              <w:tabs>
                <w:tab w:val="left" w:pos="1080"/>
              </w:tabs>
              <w:suppressAutoHyphens w:val="0"/>
              <w:spacing w:before="120" w:after="120"/>
              <w:ind w:firstLine="598"/>
              <w:jc w:val="both"/>
              <w:rPr>
                <w:rFonts w:ascii="Garamond" w:hAnsi="Garamond"/>
                <w:sz w:val="22"/>
                <w:szCs w:val="22"/>
              </w:rPr>
            </w:pPr>
            <w:r w:rsidRPr="006F6DAC">
              <w:rPr>
                <w:rFonts w:ascii="Garamond" w:hAnsi="Garamond"/>
                <w:sz w:val="22"/>
                <w:szCs w:val="22"/>
              </w:rPr>
              <w:t xml:space="preserve">Для организаций, которые приобрели энергопринимающие устройства (генерирующее оборудование) и (или) право покупки электрической энергии и мощности в отношении энергопринимающих устройств (право продажи производимой на генерирующем оборудовании электрической энергии и мощности, в отношении которых были зарегистрированы группы точек поставки на оптовом рынке за иными организациями (далее для целей настоящего пункта – Правопредшественниками)), </w:t>
            </w:r>
            <w:r w:rsidRPr="006F6DAC">
              <w:rPr>
                <w:rFonts w:ascii="Garamond" w:hAnsi="Garamond" w:cs="Garamond"/>
                <w:sz w:val="22"/>
                <w:szCs w:val="22"/>
              </w:rPr>
              <w:t>в порядке, предусмотренном</w:t>
            </w:r>
            <w:r w:rsidRPr="006F6DAC">
              <w:rPr>
                <w:rFonts w:ascii="Garamond" w:hAnsi="Garamond"/>
                <w:sz w:val="22"/>
                <w:szCs w:val="22"/>
              </w:rPr>
              <w:t xml:space="preserve"> </w:t>
            </w:r>
            <w:r w:rsidRPr="006F6DAC">
              <w:rPr>
                <w:rFonts w:ascii="Garamond" w:hAnsi="Garamond" w:cs="Garamond"/>
                <w:sz w:val="22"/>
                <w:szCs w:val="22"/>
              </w:rPr>
              <w:t>пп. 2, 5.1–5.4</w:t>
            </w:r>
            <w:r w:rsidRPr="006F6DAC">
              <w:rPr>
                <w:rFonts w:ascii="Garamond" w:hAnsi="Garamond"/>
                <w:sz w:val="22"/>
                <w:szCs w:val="22"/>
              </w:rPr>
              <w:t xml:space="preserve"> приложения 2 к </w:t>
            </w:r>
            <w:r w:rsidRPr="006F6DAC">
              <w:rPr>
                <w:rFonts w:ascii="Garamond" w:hAnsi="Garamond"/>
                <w:i/>
                <w:sz w:val="22"/>
                <w:szCs w:val="22"/>
              </w:rPr>
              <w:t>Положению о порядке получения статуса субъекта оптового рынка и ведения реестра субъектов оптового рынка</w:t>
            </w:r>
            <w:r w:rsidRPr="006F6DAC">
              <w:rPr>
                <w:rFonts w:ascii="Garamond" w:hAnsi="Garamond"/>
                <w:sz w:val="22"/>
                <w:szCs w:val="22"/>
              </w:rPr>
              <w:t xml:space="preserve"> (Приложение № 1.1 к</w:t>
            </w:r>
            <w:r w:rsidRPr="006F6DAC">
              <w:rPr>
                <w:rFonts w:ascii="Garamond" w:hAnsi="Garamond"/>
                <w:i/>
                <w:sz w:val="22"/>
                <w:szCs w:val="22"/>
              </w:rPr>
              <w:t xml:space="preserve"> Договору о присоединении к торговой системе оптового рынка</w:t>
            </w:r>
            <w:r w:rsidRPr="006F6DAC">
              <w:rPr>
                <w:rFonts w:ascii="Garamond" w:hAnsi="Garamond"/>
                <w:sz w:val="22"/>
                <w:szCs w:val="22"/>
              </w:rPr>
              <w:t xml:space="preserve">) (далее для целей настоящего пункта – Правопреемников), КО при наличии ранее выданных Правопредшественнику кодов точек поставки и точек измерений обеспечивает подготовку ПАК КО (далее – программно-аппаратный комплекс КО) для приема результатов измерений от </w:t>
            </w:r>
            <w:r w:rsidRPr="006F6DAC">
              <w:rPr>
                <w:rFonts w:ascii="Garamond" w:hAnsi="Garamond"/>
                <w:sz w:val="22"/>
                <w:szCs w:val="22"/>
                <w:highlight w:val="yellow"/>
              </w:rPr>
              <w:t>системы учета электроэнергии</w:t>
            </w:r>
            <w:r w:rsidRPr="006F6DAC">
              <w:rPr>
                <w:rFonts w:ascii="Garamond" w:hAnsi="Garamond"/>
                <w:sz w:val="22"/>
                <w:szCs w:val="22"/>
              </w:rPr>
              <w:t xml:space="preserve"> Правопреемника. При этом код </w:t>
            </w:r>
            <w:r w:rsidRPr="006F6DAC">
              <w:rPr>
                <w:rFonts w:ascii="Garamond" w:hAnsi="Garamond"/>
                <w:sz w:val="22"/>
                <w:szCs w:val="22"/>
                <w:highlight w:val="yellow"/>
              </w:rPr>
              <w:t>системы учета электроэнергии</w:t>
            </w:r>
            <w:r w:rsidRPr="006F6DAC">
              <w:rPr>
                <w:rFonts w:ascii="Garamond" w:hAnsi="Garamond"/>
                <w:sz w:val="22"/>
                <w:szCs w:val="22"/>
              </w:rPr>
              <w:t xml:space="preserve"> Правопредшественника остается неизменным.</w:t>
            </w:r>
          </w:p>
          <w:p w14:paraId="33653618" w14:textId="77777777" w:rsidR="00F11A8B" w:rsidRPr="006F6DAC" w:rsidRDefault="00F11A8B" w:rsidP="006F6DAC">
            <w:pPr>
              <w:pStyle w:val="a6"/>
              <w:tabs>
                <w:tab w:val="left" w:pos="1080"/>
              </w:tabs>
              <w:suppressAutoHyphens w:val="0"/>
              <w:spacing w:before="120" w:after="120"/>
              <w:ind w:firstLine="598"/>
              <w:jc w:val="both"/>
              <w:rPr>
                <w:rFonts w:ascii="Garamond" w:hAnsi="Garamond"/>
                <w:sz w:val="22"/>
                <w:szCs w:val="22"/>
              </w:rPr>
            </w:pPr>
          </w:p>
        </w:tc>
      </w:tr>
      <w:tr w:rsidR="00F11A8B" w:rsidRPr="006F6DAC" w14:paraId="526650F0" w14:textId="77777777" w:rsidTr="006F6DAC">
        <w:tc>
          <w:tcPr>
            <w:tcW w:w="1060" w:type="dxa"/>
          </w:tcPr>
          <w:p w14:paraId="3BA84ECA" w14:textId="77777777" w:rsidR="00F11A8B" w:rsidRPr="006F6DAC" w:rsidRDefault="00F11A8B" w:rsidP="00F11A8B">
            <w:pPr>
              <w:widowControl w:val="0"/>
              <w:spacing w:line="259" w:lineRule="auto"/>
              <w:jc w:val="center"/>
              <w:rPr>
                <w:rFonts w:ascii="Garamond" w:hAnsi="Garamond"/>
                <w:b/>
                <w:sz w:val="22"/>
                <w:szCs w:val="22"/>
                <w:lang w:eastAsia="en-US"/>
              </w:rPr>
            </w:pPr>
            <w:r w:rsidRPr="006F6DAC">
              <w:rPr>
                <w:rFonts w:ascii="Garamond" w:hAnsi="Garamond"/>
                <w:b/>
                <w:sz w:val="22"/>
                <w:szCs w:val="22"/>
                <w:lang w:eastAsia="en-US"/>
              </w:rPr>
              <w:lastRenderedPageBreak/>
              <w:t>3.2</w:t>
            </w:r>
          </w:p>
        </w:tc>
        <w:tc>
          <w:tcPr>
            <w:tcW w:w="6804" w:type="dxa"/>
          </w:tcPr>
          <w:p w14:paraId="42E37080" w14:textId="77777777" w:rsidR="00F11A8B" w:rsidRPr="006F6DAC" w:rsidRDefault="00F11A8B" w:rsidP="006F6DAC">
            <w:pPr>
              <w:pStyle w:val="a6"/>
              <w:tabs>
                <w:tab w:val="left" w:pos="1080"/>
              </w:tabs>
              <w:suppressAutoHyphens w:val="0"/>
              <w:spacing w:before="120" w:after="120"/>
              <w:ind w:firstLine="598"/>
              <w:jc w:val="both"/>
              <w:rPr>
                <w:rFonts w:ascii="Garamond" w:hAnsi="Garamond" w:cs="Arial"/>
                <w:sz w:val="22"/>
                <w:szCs w:val="22"/>
              </w:rPr>
            </w:pPr>
            <w:r w:rsidRPr="006F6DAC">
              <w:rPr>
                <w:rFonts w:ascii="Garamond" w:hAnsi="Garamond" w:cs="Arial"/>
                <w:sz w:val="22"/>
                <w:szCs w:val="22"/>
              </w:rPr>
              <w:t xml:space="preserve">Передача документов с данными о результатах измерений и состоянии объектов измерений в отношении «малых» точек измерений </w:t>
            </w:r>
            <w:r w:rsidRPr="006F6DAC">
              <w:rPr>
                <w:rFonts w:ascii="Garamond" w:hAnsi="Garamond" w:cs="Arial"/>
                <w:sz w:val="22"/>
                <w:szCs w:val="22"/>
                <w:highlight w:val="yellow"/>
              </w:rPr>
              <w:t>(совокупности «малых» точек измерений)</w:t>
            </w:r>
            <w:r w:rsidRPr="006F6DAC">
              <w:rPr>
                <w:rFonts w:ascii="Garamond" w:hAnsi="Garamond" w:cs="Arial"/>
                <w:sz w:val="22"/>
                <w:szCs w:val="22"/>
              </w:rPr>
              <w:t xml:space="preserve"> производится по электронной почте потребителям информации в любое время после окончания суток, за которые формируется документ, но не позднее 12 часов дня (по московскому времени) 5-го числа месяца, следующего за отчетным.</w:t>
            </w:r>
          </w:p>
        </w:tc>
        <w:tc>
          <w:tcPr>
            <w:tcW w:w="7115" w:type="dxa"/>
          </w:tcPr>
          <w:p w14:paraId="2A5FC587" w14:textId="77777777" w:rsidR="00F11A8B" w:rsidRPr="006F6DAC" w:rsidRDefault="00F11A8B" w:rsidP="006F6DAC">
            <w:pPr>
              <w:pStyle w:val="a6"/>
              <w:tabs>
                <w:tab w:val="left" w:pos="1080"/>
              </w:tabs>
              <w:suppressAutoHyphens w:val="0"/>
              <w:spacing w:before="120" w:after="120"/>
              <w:ind w:firstLine="598"/>
              <w:jc w:val="both"/>
              <w:rPr>
                <w:rFonts w:ascii="Garamond" w:hAnsi="Garamond" w:cs="Arial"/>
                <w:b/>
                <w:sz w:val="22"/>
                <w:szCs w:val="22"/>
              </w:rPr>
            </w:pPr>
            <w:r w:rsidRPr="006F6DAC">
              <w:rPr>
                <w:rFonts w:ascii="Garamond" w:hAnsi="Garamond" w:cs="Arial"/>
                <w:sz w:val="22"/>
                <w:szCs w:val="22"/>
              </w:rPr>
              <w:t xml:space="preserve">Передача документов с данными о результатах измерений и состоянии объектов измерений в отношении «малых» точек измерений </w:t>
            </w:r>
            <w:r w:rsidRPr="006F6DAC">
              <w:rPr>
                <w:rFonts w:ascii="Garamond" w:hAnsi="Garamond" w:cs="Arial"/>
                <w:sz w:val="22"/>
                <w:szCs w:val="22"/>
                <w:highlight w:val="yellow"/>
              </w:rPr>
              <w:t>(формат электронного документа 80040)</w:t>
            </w:r>
            <w:r w:rsidRPr="006F6DAC">
              <w:rPr>
                <w:rFonts w:ascii="Garamond" w:hAnsi="Garamond" w:cs="Arial"/>
                <w:sz w:val="22"/>
                <w:szCs w:val="22"/>
              </w:rPr>
              <w:t xml:space="preserve"> производится по электронной почте потребителям информации в любое время после окончания суток, за которые формируется документ, но не позднее 12 часов дня (по московскому времени) 5-го числа месяца, следующего за отчетным.</w:t>
            </w:r>
          </w:p>
          <w:p w14:paraId="37299C84" w14:textId="54CBC6BE" w:rsidR="00F11A8B" w:rsidRPr="006F6DAC" w:rsidRDefault="00F11A8B" w:rsidP="00F70B13">
            <w:pPr>
              <w:pStyle w:val="a6"/>
              <w:tabs>
                <w:tab w:val="left" w:pos="1080"/>
              </w:tabs>
              <w:suppressAutoHyphens w:val="0"/>
              <w:spacing w:before="120" w:after="120"/>
              <w:ind w:firstLine="598"/>
              <w:jc w:val="both"/>
              <w:rPr>
                <w:rFonts w:ascii="Garamond" w:hAnsi="Garamond" w:cs="Arial"/>
                <w:sz w:val="22"/>
                <w:szCs w:val="22"/>
              </w:rPr>
            </w:pPr>
            <w:r w:rsidRPr="006F6DAC">
              <w:rPr>
                <w:rFonts w:ascii="Garamond" w:hAnsi="Garamond"/>
                <w:bCs w:val="0"/>
                <w:sz w:val="22"/>
                <w:szCs w:val="22"/>
                <w:highlight w:val="yellow"/>
              </w:rPr>
              <w:t>При отсутствии подтверждения в течение 120 минут после отправки сообщения субъект ОРЭМ должен повторить передачу данных в КО. Если при повторной передаче данных не получено подтверждение, то уполномоченное лицо субъекта ОРЭМ, ответственное за передачу данных, должно связаться с представителем КО, ответственным за прием информации</w:t>
            </w:r>
            <w:r w:rsidR="00F70B13">
              <w:rPr>
                <w:rFonts w:ascii="Garamond" w:hAnsi="Garamond"/>
                <w:bCs w:val="0"/>
                <w:sz w:val="22"/>
                <w:szCs w:val="22"/>
                <w:highlight w:val="yellow"/>
              </w:rPr>
              <w:t>,</w:t>
            </w:r>
            <w:r w:rsidRPr="006F6DAC">
              <w:rPr>
                <w:rFonts w:ascii="Garamond" w:hAnsi="Garamond"/>
                <w:bCs w:val="0"/>
                <w:sz w:val="22"/>
                <w:szCs w:val="22"/>
                <w:highlight w:val="yellow"/>
              </w:rPr>
              <w:t xml:space="preserve"> с целью локализации и устранения проблемы.</w:t>
            </w:r>
          </w:p>
        </w:tc>
      </w:tr>
      <w:tr w:rsidR="00F11A8B" w:rsidRPr="006F6DAC" w14:paraId="36E4178F" w14:textId="77777777" w:rsidTr="006F6DAC">
        <w:tc>
          <w:tcPr>
            <w:tcW w:w="1060" w:type="dxa"/>
          </w:tcPr>
          <w:p w14:paraId="3A3BF0FD" w14:textId="77777777" w:rsidR="00F11A8B" w:rsidRPr="006F6DAC" w:rsidRDefault="00F11A8B" w:rsidP="00F11A8B">
            <w:pPr>
              <w:widowControl w:val="0"/>
              <w:spacing w:line="259" w:lineRule="auto"/>
              <w:jc w:val="center"/>
              <w:rPr>
                <w:rFonts w:ascii="Garamond" w:hAnsi="Garamond"/>
                <w:b/>
                <w:sz w:val="22"/>
                <w:szCs w:val="22"/>
                <w:lang w:eastAsia="en-US"/>
              </w:rPr>
            </w:pPr>
            <w:r w:rsidRPr="006F6DAC">
              <w:rPr>
                <w:rFonts w:ascii="Garamond" w:hAnsi="Garamond"/>
                <w:b/>
                <w:sz w:val="22"/>
                <w:szCs w:val="22"/>
                <w:lang w:eastAsia="en-US"/>
              </w:rPr>
              <w:t>3.3</w:t>
            </w:r>
          </w:p>
        </w:tc>
        <w:tc>
          <w:tcPr>
            <w:tcW w:w="6804" w:type="dxa"/>
          </w:tcPr>
          <w:p w14:paraId="2898DFAC" w14:textId="77777777" w:rsidR="00F11A8B" w:rsidRPr="00BC4FC4" w:rsidRDefault="00F11A8B" w:rsidP="00F11A8B">
            <w:pPr>
              <w:widowControl w:val="0"/>
              <w:spacing w:line="259" w:lineRule="auto"/>
              <w:jc w:val="both"/>
              <w:rPr>
                <w:rFonts w:ascii="Garamond" w:hAnsi="Garamond"/>
                <w:b/>
                <w:sz w:val="22"/>
                <w:szCs w:val="22"/>
              </w:rPr>
            </w:pPr>
            <w:r w:rsidRPr="00BC4FC4">
              <w:rPr>
                <w:rFonts w:ascii="Garamond" w:hAnsi="Garamond"/>
                <w:b/>
                <w:sz w:val="22"/>
                <w:szCs w:val="22"/>
                <w:lang w:eastAsia="en-US"/>
              </w:rPr>
              <w:t>Добавить пункт с изменением нумерации</w:t>
            </w:r>
          </w:p>
        </w:tc>
        <w:tc>
          <w:tcPr>
            <w:tcW w:w="7115" w:type="dxa"/>
          </w:tcPr>
          <w:p w14:paraId="0BC98116" w14:textId="77777777" w:rsidR="00F11A8B" w:rsidRPr="006F6DAC" w:rsidRDefault="00F11A8B" w:rsidP="006F6DAC">
            <w:pPr>
              <w:pStyle w:val="a6"/>
              <w:tabs>
                <w:tab w:val="left" w:pos="1080"/>
              </w:tabs>
              <w:suppressAutoHyphens w:val="0"/>
              <w:spacing w:before="120" w:after="120"/>
              <w:ind w:firstLine="598"/>
              <w:jc w:val="both"/>
              <w:rPr>
                <w:rFonts w:ascii="Garamond" w:hAnsi="Garamond" w:cs="Arial"/>
                <w:b/>
                <w:sz w:val="22"/>
                <w:szCs w:val="22"/>
                <w:highlight w:val="yellow"/>
              </w:rPr>
            </w:pPr>
            <w:r w:rsidRPr="006F6DAC">
              <w:rPr>
                <w:rFonts w:ascii="Garamond" w:hAnsi="Garamond" w:cs="Arial"/>
                <w:sz w:val="22"/>
                <w:szCs w:val="22"/>
                <w:highlight w:val="yellow"/>
              </w:rPr>
              <w:t>Передача документов с данными о результатах измерений и состоянии объектов измерений в отношении объектов регулирования (формат электронного документа 20020) производится в КО и владельцам ГТП по электронной почте до 12 часов дня (по московскому времени) второго рабочего дня, следующего за операционными сутками. При этом данные должны быть направлены не позднее 12 часов дня (по московскому времени) 4-го числа месяца, следующего за отчетным. Описание формата электронного документа 20020 приведено в приложении 1.</w:t>
            </w:r>
          </w:p>
          <w:p w14:paraId="4C69D3ED" w14:textId="266C4526" w:rsidR="00F11A8B" w:rsidRPr="006F6DAC" w:rsidRDefault="00F11A8B" w:rsidP="006F6DAC">
            <w:pPr>
              <w:widowControl w:val="0"/>
              <w:spacing w:line="259" w:lineRule="auto"/>
              <w:ind w:firstLine="598"/>
              <w:jc w:val="both"/>
              <w:rPr>
                <w:rFonts w:ascii="Garamond" w:hAnsi="Garamond"/>
                <w:sz w:val="22"/>
                <w:szCs w:val="22"/>
              </w:rPr>
            </w:pPr>
            <w:r w:rsidRPr="006F6DAC">
              <w:rPr>
                <w:rFonts w:ascii="Garamond" w:hAnsi="Garamond"/>
                <w:sz w:val="22"/>
                <w:szCs w:val="22"/>
                <w:highlight w:val="yellow"/>
              </w:rPr>
              <w:t>При отсутствии подтверждения в течение 120 минут после отправки сообщения агрегатор должен повторить передачу данных в КО. Если при повторной передаче данных не получено подтверждение, то уполномоченное лицо агрегатора, ответственное за передачу данных, должно связаться с представителем КО, ответственным за прием информации</w:t>
            </w:r>
            <w:r w:rsidR="00F70B13">
              <w:rPr>
                <w:rFonts w:ascii="Garamond" w:hAnsi="Garamond"/>
                <w:sz w:val="22"/>
                <w:szCs w:val="22"/>
                <w:highlight w:val="yellow"/>
              </w:rPr>
              <w:t>,</w:t>
            </w:r>
            <w:r w:rsidRPr="006F6DAC">
              <w:rPr>
                <w:rFonts w:ascii="Garamond" w:hAnsi="Garamond"/>
                <w:sz w:val="22"/>
                <w:szCs w:val="22"/>
                <w:highlight w:val="yellow"/>
              </w:rPr>
              <w:t xml:space="preserve"> с целью локализации и устранения проблемы.</w:t>
            </w:r>
          </w:p>
          <w:p w14:paraId="12F40803" w14:textId="3B75AEF7" w:rsidR="00F11A8B" w:rsidRPr="006F6DAC" w:rsidRDefault="00F11A8B" w:rsidP="009030B6">
            <w:pPr>
              <w:widowControl w:val="0"/>
              <w:spacing w:line="259" w:lineRule="auto"/>
              <w:ind w:firstLine="598"/>
              <w:jc w:val="both"/>
              <w:rPr>
                <w:rFonts w:ascii="Garamond" w:hAnsi="Garamond"/>
                <w:sz w:val="22"/>
                <w:szCs w:val="22"/>
              </w:rPr>
            </w:pPr>
            <w:r w:rsidRPr="006F6DAC">
              <w:rPr>
                <w:rFonts w:ascii="Garamond" w:hAnsi="Garamond" w:cs="Arial"/>
                <w:sz w:val="22"/>
                <w:szCs w:val="22"/>
                <w:highlight w:val="yellow"/>
              </w:rPr>
              <w:t xml:space="preserve">Документы с данными о результатах измерений и состоянии объектов измерений в отношении объектов регулирования (формат электронного документа 20020), полученные КО от агрегатора без ошибок автоматизированной проверки соответствия формату вышеуказанного </w:t>
            </w:r>
            <w:r w:rsidRPr="006F6DAC">
              <w:rPr>
                <w:rFonts w:ascii="Garamond" w:hAnsi="Garamond" w:cs="Arial"/>
                <w:sz w:val="22"/>
                <w:szCs w:val="22"/>
                <w:highlight w:val="yellow"/>
              </w:rPr>
              <w:lastRenderedPageBreak/>
              <w:t xml:space="preserve">электронного документа и п. 2.11 настоящего </w:t>
            </w:r>
            <w:r w:rsidR="00BC4FC4">
              <w:rPr>
                <w:rFonts w:ascii="Garamond" w:hAnsi="Garamond" w:cs="Arial"/>
                <w:sz w:val="22"/>
                <w:szCs w:val="22"/>
                <w:highlight w:val="yellow"/>
              </w:rPr>
              <w:t>п</w:t>
            </w:r>
            <w:r w:rsidRPr="006F6DAC">
              <w:rPr>
                <w:rFonts w:ascii="Garamond" w:hAnsi="Garamond" w:cs="Arial"/>
                <w:sz w:val="22"/>
                <w:szCs w:val="22"/>
                <w:highlight w:val="yellow"/>
              </w:rPr>
              <w:t xml:space="preserve">риложения, передаются от КО в СО в порядке, определенном </w:t>
            </w:r>
            <w:r w:rsidR="009030B6">
              <w:rPr>
                <w:rFonts w:ascii="Garamond" w:hAnsi="Garamond" w:cs="Arial"/>
                <w:sz w:val="22"/>
                <w:szCs w:val="22"/>
                <w:highlight w:val="yellow"/>
              </w:rPr>
              <w:t>с</w:t>
            </w:r>
            <w:r w:rsidRPr="006F6DAC">
              <w:rPr>
                <w:rFonts w:ascii="Garamond" w:hAnsi="Garamond" w:cs="Arial"/>
                <w:sz w:val="22"/>
                <w:szCs w:val="22"/>
                <w:highlight w:val="yellow"/>
              </w:rPr>
              <w:t xml:space="preserve">оглашением об информационном обмене между КО и СО, до 9 часов дня (по московскому времени) третьего рабочего дня, следующего за операционными сутками (но не позднее 9 часов дня (по московскому времени) 5-го числа месяца, следующего за отчетным), без использования ЭП. При этом в случае, если вышеуказанные документы с данными о результатах измерений и состоянии объектов измерений (электронный документ 20020) в отношении одного и того же объекта регулирования передаются одним и тем же агрегатором с использованием различных </w:t>
            </w:r>
            <w:r w:rsidRPr="006F6DAC">
              <w:rPr>
                <w:rFonts w:ascii="Garamond" w:hAnsi="Garamond"/>
                <w:sz w:val="22"/>
                <w:szCs w:val="22"/>
                <w:highlight w:val="yellow"/>
              </w:rPr>
              <w:t>Групп (областей) передаваемой информации (параметр &lt;area&gt;), в СО подлежит передаче электронный документ только по Группе (области) передаваемой информации (параметр &lt;area&gt;), соответствующей составу точек присоединения и точек измерений по зарегистрированному объекту регулирования</w:t>
            </w:r>
            <w:r w:rsidR="009030B6">
              <w:rPr>
                <w:rFonts w:ascii="Garamond" w:hAnsi="Garamond"/>
                <w:sz w:val="22"/>
                <w:szCs w:val="22"/>
                <w:highlight w:val="yellow"/>
              </w:rPr>
              <w:t>,</w:t>
            </w:r>
            <w:r w:rsidRPr="006F6DAC">
              <w:rPr>
                <w:rFonts w:ascii="Garamond" w:hAnsi="Garamond"/>
                <w:sz w:val="22"/>
                <w:szCs w:val="22"/>
                <w:highlight w:val="yellow"/>
              </w:rPr>
              <w:t xml:space="preserve"> с месяца, следующего за месяцем регистрации объекта регулирования в порядке, предусмотренном </w:t>
            </w:r>
            <w:r w:rsidRPr="006F6DAC">
              <w:rPr>
                <w:rFonts w:ascii="Garamond" w:hAnsi="Garamond"/>
                <w:i/>
                <w:sz w:val="22"/>
                <w:szCs w:val="22"/>
                <w:highlight w:val="yellow"/>
              </w:rPr>
              <w:t>Положением о порядке получения статуса субъекта оптового рынка и ведения реестра субъектов оптового рынка</w:t>
            </w:r>
            <w:r w:rsidR="007B726D">
              <w:rPr>
                <w:rFonts w:ascii="Garamond" w:hAnsi="Garamond"/>
                <w:i/>
                <w:sz w:val="22"/>
                <w:szCs w:val="22"/>
                <w:highlight w:val="yellow"/>
              </w:rPr>
              <w:t xml:space="preserve"> </w:t>
            </w:r>
            <w:r w:rsidR="007B726D" w:rsidRPr="006F6DAC">
              <w:rPr>
                <w:rFonts w:ascii="Garamond" w:hAnsi="Garamond"/>
                <w:sz w:val="22"/>
                <w:szCs w:val="22"/>
                <w:highlight w:val="yellow"/>
              </w:rPr>
              <w:t xml:space="preserve">(Приложение № 1.1 к </w:t>
            </w:r>
            <w:r w:rsidR="007B726D" w:rsidRPr="006F6DAC">
              <w:rPr>
                <w:rFonts w:ascii="Garamond" w:hAnsi="Garamond"/>
                <w:i/>
                <w:sz w:val="22"/>
                <w:szCs w:val="22"/>
                <w:highlight w:val="yellow"/>
              </w:rPr>
              <w:t>Договору о присоединении к торговой системе оптового рынка</w:t>
            </w:r>
            <w:r w:rsidR="007B726D" w:rsidRPr="006F6DAC">
              <w:rPr>
                <w:rFonts w:ascii="Garamond" w:hAnsi="Garamond"/>
                <w:sz w:val="22"/>
                <w:szCs w:val="22"/>
                <w:highlight w:val="yellow"/>
              </w:rPr>
              <w:t>)</w:t>
            </w:r>
            <w:r w:rsidRPr="006F6DAC">
              <w:rPr>
                <w:rFonts w:ascii="Garamond" w:hAnsi="Garamond"/>
                <w:sz w:val="22"/>
                <w:szCs w:val="22"/>
                <w:highlight w:val="yellow"/>
              </w:rPr>
              <w:t xml:space="preserve"> (в противном случае в СО передаются все полученные от агрегатора электронные документы при условии выполнения требования настоящего пункта).</w:t>
            </w:r>
          </w:p>
        </w:tc>
      </w:tr>
      <w:tr w:rsidR="00F11A8B" w:rsidRPr="006F6DAC" w14:paraId="50AD4A17" w14:textId="77777777" w:rsidTr="006F6DAC">
        <w:tc>
          <w:tcPr>
            <w:tcW w:w="1060" w:type="dxa"/>
          </w:tcPr>
          <w:p w14:paraId="676892D4" w14:textId="77777777" w:rsidR="00F11A8B" w:rsidRPr="006F6DAC" w:rsidRDefault="00F11A8B" w:rsidP="00F11A8B">
            <w:pPr>
              <w:widowControl w:val="0"/>
              <w:spacing w:line="259" w:lineRule="auto"/>
              <w:jc w:val="center"/>
              <w:rPr>
                <w:rFonts w:ascii="Garamond" w:hAnsi="Garamond"/>
                <w:b/>
                <w:sz w:val="22"/>
                <w:szCs w:val="22"/>
                <w:lang w:eastAsia="en-US"/>
              </w:rPr>
            </w:pPr>
            <w:r w:rsidRPr="006F6DAC">
              <w:rPr>
                <w:rFonts w:ascii="Garamond" w:hAnsi="Garamond"/>
                <w:b/>
                <w:sz w:val="22"/>
                <w:szCs w:val="22"/>
                <w:lang w:eastAsia="en-US"/>
              </w:rPr>
              <w:lastRenderedPageBreak/>
              <w:t>3.4</w:t>
            </w:r>
          </w:p>
        </w:tc>
        <w:tc>
          <w:tcPr>
            <w:tcW w:w="6804" w:type="dxa"/>
          </w:tcPr>
          <w:p w14:paraId="31D5AC9A" w14:textId="77777777" w:rsidR="00F11A8B" w:rsidRPr="006F6DAC" w:rsidRDefault="00F11A8B" w:rsidP="006F6DAC">
            <w:pPr>
              <w:widowControl w:val="0"/>
              <w:spacing w:line="259" w:lineRule="auto"/>
              <w:ind w:firstLine="598"/>
              <w:jc w:val="both"/>
              <w:rPr>
                <w:rFonts w:ascii="Garamond" w:hAnsi="Garamond"/>
                <w:sz w:val="22"/>
                <w:szCs w:val="22"/>
              </w:rPr>
            </w:pPr>
            <w:r w:rsidRPr="006F6DAC">
              <w:rPr>
                <w:rFonts w:ascii="Garamond" w:hAnsi="Garamond"/>
                <w:sz w:val="22"/>
                <w:szCs w:val="22"/>
                <w:highlight w:val="yellow"/>
              </w:rPr>
              <w:t>3.3</w:t>
            </w:r>
            <w:r w:rsidRPr="006F6DAC">
              <w:rPr>
                <w:rFonts w:ascii="Garamond" w:hAnsi="Garamond"/>
                <w:sz w:val="22"/>
                <w:szCs w:val="22"/>
              </w:rPr>
              <w:t xml:space="preserve"> Полученный в КО документ с результатами измерений, обрабатывается в ПАК КО. ПАК КО проводит анализ его содержимого на предмет наличия ошибок и некорректных данных и формирует документ, содержащий информацию о статусе приема результатов измерений, данных о состоянии объектов измерений, а также список ошибок и предупреждений, обнаруженных при анализе полученного документа. </w:t>
            </w:r>
            <w:r w:rsidRPr="006F6DAC">
              <w:rPr>
                <w:rFonts w:ascii="Garamond" w:hAnsi="Garamond"/>
                <w:sz w:val="22"/>
                <w:szCs w:val="22"/>
                <w:highlight w:val="yellow"/>
              </w:rPr>
              <w:t>Сформированный таким образом документ,</w:t>
            </w:r>
            <w:r w:rsidRPr="006F6DAC">
              <w:rPr>
                <w:rFonts w:ascii="Garamond" w:hAnsi="Garamond"/>
                <w:sz w:val="22"/>
                <w:szCs w:val="22"/>
              </w:rPr>
              <w:t xml:space="preserve"> в XML-формате</w:t>
            </w:r>
            <w:r w:rsidRPr="006F6DAC">
              <w:rPr>
                <w:rFonts w:ascii="Garamond" w:hAnsi="Garamond"/>
                <w:sz w:val="22"/>
                <w:szCs w:val="22"/>
                <w:highlight w:val="yellow"/>
              </w:rPr>
              <w:t>,</w:t>
            </w:r>
            <w:r w:rsidRPr="006F6DAC">
              <w:rPr>
                <w:rFonts w:ascii="Garamond" w:hAnsi="Garamond"/>
                <w:sz w:val="22"/>
                <w:szCs w:val="22"/>
              </w:rPr>
              <w:t xml:space="preserve"> отправляется по электронной почте </w:t>
            </w:r>
            <w:r w:rsidRPr="006F6DAC">
              <w:rPr>
                <w:rFonts w:ascii="Garamond" w:hAnsi="Garamond"/>
                <w:sz w:val="22"/>
                <w:szCs w:val="22"/>
                <w:highlight w:val="yellow"/>
              </w:rPr>
              <w:t>в качестве ответа</w:t>
            </w:r>
            <w:r w:rsidRPr="006F6DAC">
              <w:rPr>
                <w:rFonts w:ascii="Garamond" w:hAnsi="Garamond"/>
                <w:sz w:val="22"/>
                <w:szCs w:val="22"/>
              </w:rPr>
              <w:t xml:space="preserve"> субъекту </w:t>
            </w:r>
            <w:r w:rsidRPr="006F6DAC">
              <w:rPr>
                <w:rFonts w:ascii="Garamond" w:hAnsi="Garamond"/>
                <w:sz w:val="22"/>
                <w:szCs w:val="22"/>
                <w:highlight w:val="yellow"/>
              </w:rPr>
              <w:t>торгов на</w:t>
            </w:r>
            <w:r w:rsidRPr="006F6DAC">
              <w:rPr>
                <w:rFonts w:ascii="Garamond" w:hAnsi="Garamond"/>
                <w:sz w:val="22"/>
                <w:szCs w:val="22"/>
              </w:rPr>
              <w:t xml:space="preserve"> ОРЭМ (</w:t>
            </w:r>
            <w:r w:rsidRPr="006F6DAC">
              <w:rPr>
                <w:rFonts w:ascii="Garamond" w:hAnsi="Garamond"/>
                <w:sz w:val="22"/>
                <w:szCs w:val="22"/>
                <w:highlight w:val="yellow"/>
              </w:rPr>
              <w:t>описание формата ответного документа приведено в приложении 3,</w:t>
            </w:r>
            <w:r w:rsidRPr="006F6DAC">
              <w:rPr>
                <w:rFonts w:ascii="Garamond" w:hAnsi="Garamond"/>
                <w:sz w:val="22"/>
                <w:szCs w:val="22"/>
              </w:rPr>
              <w:t xml:space="preserve"> пример электронного документа приведен в приложении </w:t>
            </w:r>
            <w:r w:rsidRPr="006F6DAC">
              <w:rPr>
                <w:rFonts w:ascii="Garamond" w:hAnsi="Garamond"/>
                <w:sz w:val="22"/>
                <w:szCs w:val="22"/>
                <w:highlight w:val="yellow"/>
              </w:rPr>
              <w:t>4</w:t>
            </w:r>
            <w:r w:rsidRPr="006F6DAC">
              <w:rPr>
                <w:rFonts w:ascii="Garamond" w:hAnsi="Garamond"/>
                <w:sz w:val="22"/>
                <w:szCs w:val="22"/>
              </w:rPr>
              <w:t xml:space="preserve">). Время передачи данных в КО </w:t>
            </w:r>
            <w:r w:rsidRPr="006F6DAC">
              <w:rPr>
                <w:rFonts w:ascii="Garamond" w:hAnsi="Garamond"/>
                <w:sz w:val="22"/>
                <w:szCs w:val="22"/>
                <w:highlight w:val="yellow"/>
              </w:rPr>
              <w:t>устанавливается</w:t>
            </w:r>
            <w:r w:rsidRPr="006F6DAC">
              <w:rPr>
                <w:rFonts w:ascii="Garamond" w:hAnsi="Garamond"/>
                <w:sz w:val="22"/>
                <w:szCs w:val="22"/>
              </w:rPr>
              <w:t xml:space="preserve"> по факту получения КО почтового сообщения с электронным документом и указывается в ответно</w:t>
            </w:r>
            <w:r w:rsidRPr="006F6DAC">
              <w:rPr>
                <w:rFonts w:ascii="Garamond" w:hAnsi="Garamond"/>
                <w:sz w:val="22"/>
                <w:szCs w:val="22"/>
                <w:highlight w:val="yellow"/>
              </w:rPr>
              <w:t>м</w:t>
            </w:r>
            <w:r w:rsidRPr="006F6DAC">
              <w:rPr>
                <w:rFonts w:ascii="Garamond" w:hAnsi="Garamond"/>
                <w:sz w:val="22"/>
                <w:szCs w:val="22"/>
              </w:rPr>
              <w:t xml:space="preserve"> </w:t>
            </w:r>
            <w:r w:rsidRPr="006F6DAC">
              <w:rPr>
                <w:rFonts w:ascii="Garamond" w:hAnsi="Garamond"/>
                <w:sz w:val="22"/>
                <w:szCs w:val="22"/>
                <w:highlight w:val="yellow"/>
              </w:rPr>
              <w:t>документе</w:t>
            </w:r>
            <w:r w:rsidRPr="006F6DAC">
              <w:rPr>
                <w:rFonts w:ascii="Garamond" w:hAnsi="Garamond"/>
                <w:sz w:val="22"/>
                <w:szCs w:val="22"/>
              </w:rPr>
              <w:t xml:space="preserve">. Если </w:t>
            </w:r>
            <w:r w:rsidRPr="006F6DAC">
              <w:rPr>
                <w:rFonts w:ascii="Garamond" w:hAnsi="Garamond"/>
                <w:sz w:val="22"/>
                <w:szCs w:val="22"/>
                <w:highlight w:val="yellow"/>
              </w:rPr>
              <w:t>присланный документ</w:t>
            </w:r>
            <w:r w:rsidRPr="006F6DAC">
              <w:rPr>
                <w:rFonts w:ascii="Garamond" w:hAnsi="Garamond"/>
                <w:sz w:val="22"/>
                <w:szCs w:val="22"/>
              </w:rPr>
              <w:t xml:space="preserve"> содержит информацию о том, что </w:t>
            </w:r>
            <w:r w:rsidRPr="006F6DAC">
              <w:rPr>
                <w:rFonts w:ascii="Garamond" w:hAnsi="Garamond"/>
                <w:sz w:val="22"/>
                <w:szCs w:val="22"/>
                <w:highlight w:val="yellow"/>
              </w:rPr>
              <w:t xml:space="preserve">данные </w:t>
            </w:r>
            <w:r w:rsidRPr="006F6DAC">
              <w:rPr>
                <w:rFonts w:ascii="Garamond" w:hAnsi="Garamond"/>
                <w:sz w:val="22"/>
                <w:szCs w:val="22"/>
              </w:rPr>
              <w:t>результат</w:t>
            </w:r>
            <w:r w:rsidRPr="006F6DAC">
              <w:rPr>
                <w:rFonts w:ascii="Garamond" w:hAnsi="Garamond"/>
                <w:sz w:val="22"/>
                <w:szCs w:val="22"/>
                <w:highlight w:val="yellow"/>
              </w:rPr>
              <w:t>ов</w:t>
            </w:r>
            <w:r w:rsidRPr="006F6DAC">
              <w:rPr>
                <w:rFonts w:ascii="Garamond" w:hAnsi="Garamond"/>
                <w:sz w:val="22"/>
                <w:szCs w:val="22"/>
              </w:rPr>
              <w:t xml:space="preserve"> измерений не приняты КО, то </w:t>
            </w:r>
            <w:r w:rsidRPr="006F6DAC">
              <w:rPr>
                <w:rFonts w:ascii="Garamond" w:hAnsi="Garamond"/>
                <w:sz w:val="22"/>
                <w:szCs w:val="22"/>
                <w:highlight w:val="yellow"/>
              </w:rPr>
              <w:t>участник оптового рынка электроэнергии или ФСК</w:t>
            </w:r>
            <w:r w:rsidRPr="006F6DAC">
              <w:rPr>
                <w:rFonts w:ascii="Garamond" w:hAnsi="Garamond"/>
                <w:sz w:val="22"/>
                <w:szCs w:val="22"/>
              </w:rPr>
              <w:t xml:space="preserve"> должен исправить </w:t>
            </w:r>
            <w:r w:rsidRPr="006F6DAC">
              <w:rPr>
                <w:rFonts w:ascii="Garamond" w:hAnsi="Garamond"/>
                <w:sz w:val="22"/>
                <w:szCs w:val="22"/>
              </w:rPr>
              <w:lastRenderedPageBreak/>
              <w:t>ошибки и повторить передачу данных в КО.</w:t>
            </w:r>
          </w:p>
          <w:p w14:paraId="6D4B64C3" w14:textId="77777777" w:rsidR="00F11A8B" w:rsidRPr="006F6DAC" w:rsidRDefault="00F11A8B" w:rsidP="006F6DAC">
            <w:pPr>
              <w:widowControl w:val="0"/>
              <w:spacing w:line="259" w:lineRule="auto"/>
              <w:ind w:firstLine="598"/>
              <w:jc w:val="both"/>
              <w:rPr>
                <w:rFonts w:ascii="Garamond" w:hAnsi="Garamond"/>
                <w:sz w:val="22"/>
                <w:szCs w:val="22"/>
                <w:lang w:eastAsia="en-US"/>
              </w:rPr>
            </w:pPr>
            <w:r w:rsidRPr="006F6DAC">
              <w:rPr>
                <w:rFonts w:ascii="Garamond" w:hAnsi="Garamond"/>
                <w:sz w:val="22"/>
                <w:szCs w:val="22"/>
                <w:highlight w:val="yellow"/>
                <w:lang w:eastAsia="en-US"/>
              </w:rPr>
              <w:t>3.4.</w:t>
            </w:r>
            <w:r w:rsidRPr="006F6DAC">
              <w:rPr>
                <w:rFonts w:ascii="Garamond" w:hAnsi="Garamond"/>
                <w:sz w:val="22"/>
                <w:szCs w:val="22"/>
                <w:highlight w:val="yellow"/>
                <w:lang w:eastAsia="en-US"/>
              </w:rPr>
              <w:tab/>
              <w:t>При отсутствии подтверждения в течение 120 минут после отправки сообщения, участник (субъект) ОРЭМ должен повторить передачу данных в КО. Если при повторной передаче данных не получено подтверждение, то уполномоченное лицо участника ОРЭМ, ответственное за передачу данных, должно связаться с представителем КО, ответственным за прием информации с целью локализации и устранения проблемы.</w:t>
            </w:r>
          </w:p>
        </w:tc>
        <w:tc>
          <w:tcPr>
            <w:tcW w:w="7115" w:type="dxa"/>
          </w:tcPr>
          <w:p w14:paraId="00657E5C" w14:textId="7D40ACE3" w:rsidR="00F11A8B" w:rsidRPr="006F6DAC" w:rsidRDefault="00F11A8B" w:rsidP="00621F82">
            <w:pPr>
              <w:pStyle w:val="a6"/>
              <w:tabs>
                <w:tab w:val="left" w:pos="1080"/>
              </w:tabs>
              <w:suppressAutoHyphens w:val="0"/>
              <w:spacing w:before="120" w:after="120"/>
              <w:ind w:firstLine="598"/>
              <w:jc w:val="both"/>
              <w:rPr>
                <w:rFonts w:ascii="Garamond" w:hAnsi="Garamond" w:cs="Arial"/>
                <w:sz w:val="22"/>
                <w:szCs w:val="22"/>
              </w:rPr>
            </w:pPr>
            <w:r w:rsidRPr="006F6DAC">
              <w:rPr>
                <w:rFonts w:ascii="Garamond" w:hAnsi="Garamond"/>
                <w:sz w:val="22"/>
                <w:szCs w:val="22"/>
                <w:highlight w:val="yellow"/>
              </w:rPr>
              <w:lastRenderedPageBreak/>
              <w:t>3.4</w:t>
            </w:r>
            <w:r w:rsidR="00BC4FC4">
              <w:rPr>
                <w:rFonts w:ascii="Garamond" w:hAnsi="Garamond"/>
                <w:sz w:val="22"/>
                <w:szCs w:val="22"/>
              </w:rPr>
              <w:t>.</w:t>
            </w:r>
            <w:r w:rsidRPr="006F6DAC">
              <w:rPr>
                <w:rFonts w:ascii="Garamond" w:hAnsi="Garamond"/>
                <w:sz w:val="22"/>
                <w:szCs w:val="22"/>
              </w:rPr>
              <w:t xml:space="preserve"> </w:t>
            </w:r>
            <w:r w:rsidRPr="006F6DAC">
              <w:rPr>
                <w:rFonts w:ascii="Garamond" w:hAnsi="Garamond"/>
                <w:bCs w:val="0"/>
                <w:sz w:val="22"/>
                <w:szCs w:val="22"/>
              </w:rPr>
              <w:t xml:space="preserve">Полученный в КО документ с результатами измерений </w:t>
            </w:r>
            <w:r w:rsidRPr="006F6DAC">
              <w:rPr>
                <w:rFonts w:ascii="Garamond" w:hAnsi="Garamond"/>
                <w:bCs w:val="0"/>
                <w:sz w:val="22"/>
                <w:szCs w:val="22"/>
                <w:highlight w:val="yellow"/>
              </w:rPr>
              <w:t>и данными о состоянии объектов измерений</w:t>
            </w:r>
            <w:r w:rsidRPr="006F6DAC">
              <w:rPr>
                <w:rFonts w:ascii="Garamond" w:hAnsi="Garamond"/>
                <w:bCs w:val="0"/>
                <w:sz w:val="22"/>
                <w:szCs w:val="22"/>
              </w:rPr>
              <w:t xml:space="preserve"> обрабатывается в </w:t>
            </w:r>
            <w:r w:rsidRPr="006F6DAC">
              <w:rPr>
                <w:rFonts w:ascii="Garamond" w:hAnsi="Garamond"/>
                <w:sz w:val="22"/>
                <w:szCs w:val="22"/>
              </w:rPr>
              <w:t xml:space="preserve">ПАК КО. ПАК КО </w:t>
            </w:r>
            <w:r w:rsidRPr="006F6DAC">
              <w:rPr>
                <w:rFonts w:ascii="Garamond" w:hAnsi="Garamond"/>
                <w:bCs w:val="0"/>
                <w:sz w:val="22"/>
                <w:szCs w:val="22"/>
              </w:rPr>
              <w:t xml:space="preserve">проводит анализ его содержимого на предмет наличия ошибок и некорректных данных и формирует документ, содержащий информацию о статусе приема результатов измерений, данных о состоянии объектов измерений, а также список ошибок и предупреждений, обнаруженных при анализе полученного документа </w:t>
            </w:r>
            <w:r w:rsidRPr="006F6DAC">
              <w:rPr>
                <w:rFonts w:ascii="Garamond" w:hAnsi="Garamond"/>
                <w:bCs w:val="0"/>
                <w:sz w:val="22"/>
                <w:szCs w:val="22"/>
                <w:highlight w:val="yellow"/>
              </w:rPr>
              <w:t>(далее – ответная квитанция)</w:t>
            </w:r>
            <w:r w:rsidRPr="006F6DAC">
              <w:rPr>
                <w:rFonts w:ascii="Garamond" w:hAnsi="Garamond"/>
                <w:bCs w:val="0"/>
                <w:sz w:val="22"/>
                <w:szCs w:val="22"/>
              </w:rPr>
              <w:t xml:space="preserve">. </w:t>
            </w:r>
            <w:r w:rsidRPr="006F6DAC">
              <w:rPr>
                <w:rFonts w:ascii="Garamond" w:hAnsi="Garamond"/>
                <w:bCs w:val="0"/>
                <w:sz w:val="22"/>
                <w:szCs w:val="22"/>
                <w:highlight w:val="yellow"/>
              </w:rPr>
              <w:t>Ответная квитанция</w:t>
            </w:r>
            <w:r w:rsidRPr="006F6DAC">
              <w:rPr>
                <w:rFonts w:ascii="Garamond" w:hAnsi="Garamond"/>
                <w:bCs w:val="0"/>
                <w:sz w:val="22"/>
                <w:szCs w:val="22"/>
              </w:rPr>
              <w:t xml:space="preserve"> в </w:t>
            </w:r>
            <w:r w:rsidR="00621F82" w:rsidRPr="006F6DAC">
              <w:rPr>
                <w:rFonts w:ascii="Garamond" w:hAnsi="Garamond"/>
                <w:bCs w:val="0"/>
                <w:sz w:val="22"/>
                <w:szCs w:val="22"/>
              </w:rPr>
              <w:t>xml</w:t>
            </w:r>
            <w:r w:rsidRPr="006F6DAC">
              <w:rPr>
                <w:rFonts w:ascii="Garamond" w:hAnsi="Garamond"/>
                <w:bCs w:val="0"/>
                <w:sz w:val="22"/>
                <w:szCs w:val="22"/>
              </w:rPr>
              <w:t xml:space="preserve">-формате отправляется по электронной почте субъекту ОРЭМ (пример электронного документа приведен в приложении </w:t>
            </w:r>
            <w:r w:rsidRPr="006F6DAC">
              <w:rPr>
                <w:rFonts w:ascii="Garamond" w:hAnsi="Garamond"/>
                <w:bCs w:val="0"/>
                <w:sz w:val="22"/>
                <w:szCs w:val="22"/>
                <w:highlight w:val="yellow"/>
              </w:rPr>
              <w:t>3</w:t>
            </w:r>
            <w:r w:rsidRPr="006F6DAC">
              <w:rPr>
                <w:rFonts w:ascii="Garamond" w:hAnsi="Garamond"/>
                <w:bCs w:val="0"/>
                <w:sz w:val="22"/>
                <w:szCs w:val="22"/>
              </w:rPr>
              <w:t xml:space="preserve">). Время передачи данных в КО </w:t>
            </w:r>
            <w:r w:rsidRPr="006F6DAC">
              <w:rPr>
                <w:rFonts w:ascii="Garamond" w:hAnsi="Garamond"/>
                <w:bCs w:val="0"/>
                <w:sz w:val="22"/>
                <w:szCs w:val="22"/>
                <w:highlight w:val="yellow"/>
              </w:rPr>
              <w:t>в макетах 80020, 80040, 20020 определяется</w:t>
            </w:r>
            <w:r w:rsidRPr="006F6DAC">
              <w:rPr>
                <w:rFonts w:ascii="Garamond" w:hAnsi="Garamond"/>
                <w:bCs w:val="0"/>
                <w:sz w:val="22"/>
                <w:szCs w:val="22"/>
              </w:rPr>
              <w:t xml:space="preserve"> по факту получения КО почтового сообщения с </w:t>
            </w:r>
            <w:r w:rsidRPr="006F6DAC">
              <w:rPr>
                <w:rFonts w:ascii="Garamond" w:hAnsi="Garamond"/>
                <w:bCs w:val="0"/>
                <w:sz w:val="22"/>
                <w:szCs w:val="22"/>
                <w:highlight w:val="yellow"/>
              </w:rPr>
              <w:t>вышеуказанным</w:t>
            </w:r>
            <w:r w:rsidRPr="006F6DAC">
              <w:rPr>
                <w:rFonts w:ascii="Garamond" w:hAnsi="Garamond"/>
                <w:bCs w:val="0"/>
                <w:sz w:val="22"/>
                <w:szCs w:val="22"/>
              </w:rPr>
              <w:t xml:space="preserve"> электронным документом и указывается в ответно</w:t>
            </w:r>
            <w:r w:rsidRPr="006F6DAC">
              <w:rPr>
                <w:rFonts w:ascii="Garamond" w:hAnsi="Garamond"/>
                <w:bCs w:val="0"/>
                <w:sz w:val="22"/>
                <w:szCs w:val="22"/>
                <w:highlight w:val="yellow"/>
              </w:rPr>
              <w:t>й</w:t>
            </w:r>
            <w:r w:rsidRPr="006F6DAC">
              <w:rPr>
                <w:rFonts w:ascii="Garamond" w:hAnsi="Garamond"/>
                <w:bCs w:val="0"/>
                <w:sz w:val="22"/>
                <w:szCs w:val="22"/>
              </w:rPr>
              <w:t xml:space="preserve"> </w:t>
            </w:r>
            <w:r w:rsidRPr="006F6DAC">
              <w:rPr>
                <w:rFonts w:ascii="Garamond" w:hAnsi="Garamond"/>
                <w:bCs w:val="0"/>
                <w:sz w:val="22"/>
                <w:szCs w:val="22"/>
                <w:highlight w:val="yellow"/>
              </w:rPr>
              <w:t>квитанции</w:t>
            </w:r>
            <w:r w:rsidRPr="006F6DAC">
              <w:rPr>
                <w:rFonts w:ascii="Garamond" w:hAnsi="Garamond"/>
                <w:bCs w:val="0"/>
                <w:sz w:val="22"/>
                <w:szCs w:val="22"/>
              </w:rPr>
              <w:t xml:space="preserve">. Если </w:t>
            </w:r>
            <w:r w:rsidRPr="006F6DAC">
              <w:rPr>
                <w:rFonts w:ascii="Garamond" w:hAnsi="Garamond"/>
                <w:bCs w:val="0"/>
                <w:sz w:val="22"/>
                <w:szCs w:val="22"/>
                <w:highlight w:val="yellow"/>
              </w:rPr>
              <w:t>ответная квитанция</w:t>
            </w:r>
            <w:r w:rsidRPr="006F6DAC">
              <w:rPr>
                <w:rFonts w:ascii="Garamond" w:hAnsi="Garamond"/>
                <w:bCs w:val="0"/>
                <w:sz w:val="22"/>
                <w:szCs w:val="22"/>
              </w:rPr>
              <w:t xml:space="preserve"> содержит информацию о том, что результат</w:t>
            </w:r>
            <w:r w:rsidRPr="006F6DAC">
              <w:rPr>
                <w:rFonts w:ascii="Garamond" w:hAnsi="Garamond"/>
                <w:bCs w:val="0"/>
                <w:sz w:val="22"/>
                <w:szCs w:val="22"/>
                <w:highlight w:val="yellow"/>
              </w:rPr>
              <w:t>ы</w:t>
            </w:r>
            <w:r w:rsidRPr="006F6DAC">
              <w:rPr>
                <w:rFonts w:ascii="Garamond" w:hAnsi="Garamond"/>
                <w:bCs w:val="0"/>
                <w:sz w:val="22"/>
                <w:szCs w:val="22"/>
              </w:rPr>
              <w:t xml:space="preserve"> измерений </w:t>
            </w:r>
            <w:r w:rsidRPr="006F6DAC">
              <w:rPr>
                <w:rFonts w:ascii="Garamond" w:hAnsi="Garamond"/>
                <w:bCs w:val="0"/>
                <w:sz w:val="22"/>
                <w:szCs w:val="22"/>
                <w:highlight w:val="yellow"/>
              </w:rPr>
              <w:t>и данные о состоянии объектов измерений в макетах 80020, 80040, 20020</w:t>
            </w:r>
            <w:r w:rsidRPr="006F6DAC">
              <w:rPr>
                <w:rFonts w:ascii="Garamond" w:hAnsi="Garamond"/>
                <w:bCs w:val="0"/>
                <w:sz w:val="22"/>
                <w:szCs w:val="22"/>
              </w:rPr>
              <w:t xml:space="preserve"> не приняты КО, то </w:t>
            </w:r>
            <w:r w:rsidRPr="006F6DAC">
              <w:rPr>
                <w:rFonts w:ascii="Garamond" w:hAnsi="Garamond"/>
                <w:bCs w:val="0"/>
                <w:sz w:val="22"/>
                <w:szCs w:val="22"/>
                <w:highlight w:val="yellow"/>
              </w:rPr>
              <w:t>субъект ОРЭМ</w:t>
            </w:r>
            <w:r w:rsidRPr="006F6DAC">
              <w:rPr>
                <w:rFonts w:ascii="Garamond" w:hAnsi="Garamond"/>
                <w:bCs w:val="0"/>
                <w:sz w:val="22"/>
                <w:szCs w:val="22"/>
              </w:rPr>
              <w:t xml:space="preserve"> должен исправить ошибки и повторить передачу </w:t>
            </w:r>
            <w:r w:rsidRPr="006F6DAC">
              <w:rPr>
                <w:rFonts w:ascii="Garamond" w:hAnsi="Garamond"/>
                <w:bCs w:val="0"/>
                <w:sz w:val="22"/>
                <w:szCs w:val="22"/>
                <w:highlight w:val="yellow"/>
              </w:rPr>
              <w:t>вышеуказанных</w:t>
            </w:r>
            <w:r w:rsidRPr="006F6DAC">
              <w:rPr>
                <w:rFonts w:ascii="Garamond" w:hAnsi="Garamond"/>
                <w:bCs w:val="0"/>
                <w:sz w:val="22"/>
                <w:szCs w:val="22"/>
              </w:rPr>
              <w:t xml:space="preserve"> данных в КО.</w:t>
            </w:r>
          </w:p>
        </w:tc>
      </w:tr>
      <w:tr w:rsidR="00F11A8B" w:rsidRPr="006F6DAC" w14:paraId="7D03E640" w14:textId="77777777" w:rsidTr="006F6DAC">
        <w:tc>
          <w:tcPr>
            <w:tcW w:w="1060" w:type="dxa"/>
          </w:tcPr>
          <w:p w14:paraId="230036D1" w14:textId="77777777" w:rsidR="00F11A8B" w:rsidRPr="006F6DAC" w:rsidRDefault="00F11A8B" w:rsidP="00F11A8B">
            <w:pPr>
              <w:widowControl w:val="0"/>
              <w:spacing w:line="259" w:lineRule="auto"/>
              <w:jc w:val="center"/>
              <w:rPr>
                <w:rFonts w:ascii="Garamond" w:hAnsi="Garamond"/>
                <w:b/>
                <w:sz w:val="22"/>
                <w:szCs w:val="22"/>
                <w:lang w:eastAsia="en-US"/>
              </w:rPr>
            </w:pPr>
            <w:r w:rsidRPr="006F6DAC">
              <w:rPr>
                <w:rFonts w:ascii="Garamond" w:hAnsi="Garamond"/>
                <w:b/>
                <w:sz w:val="22"/>
                <w:szCs w:val="22"/>
                <w:lang w:eastAsia="en-US"/>
              </w:rPr>
              <w:t>3.5</w:t>
            </w:r>
          </w:p>
        </w:tc>
        <w:tc>
          <w:tcPr>
            <w:tcW w:w="6804" w:type="dxa"/>
          </w:tcPr>
          <w:p w14:paraId="5A43A559" w14:textId="77777777" w:rsidR="00F11A8B" w:rsidRPr="006F6DAC" w:rsidRDefault="00F11A8B" w:rsidP="006F6DAC">
            <w:pPr>
              <w:pStyle w:val="a6"/>
              <w:tabs>
                <w:tab w:val="left" w:pos="1080"/>
              </w:tabs>
              <w:suppressAutoHyphens w:val="0"/>
              <w:spacing w:before="120" w:after="120"/>
              <w:ind w:firstLine="598"/>
              <w:jc w:val="both"/>
              <w:rPr>
                <w:rFonts w:ascii="Garamond" w:hAnsi="Garamond"/>
                <w:sz w:val="22"/>
                <w:szCs w:val="22"/>
                <w:highlight w:val="yellow"/>
              </w:rPr>
            </w:pPr>
            <w:r w:rsidRPr="006F6DAC">
              <w:rPr>
                <w:rFonts w:ascii="Garamond" w:hAnsi="Garamond"/>
                <w:bCs w:val="0"/>
                <w:sz w:val="22"/>
                <w:szCs w:val="22"/>
              </w:rPr>
              <w:t>Информационное взаимодействие с СО и смежным субъектами ОРЭМ осуществляется аналогично пунктам 3.1, 3.2, если иное не установлено в рамках информационного обмена между СО и смежным субъектами ОРЭМ.</w:t>
            </w:r>
          </w:p>
        </w:tc>
        <w:tc>
          <w:tcPr>
            <w:tcW w:w="7115" w:type="dxa"/>
          </w:tcPr>
          <w:p w14:paraId="702B34BA" w14:textId="77777777" w:rsidR="00F11A8B" w:rsidRPr="006F6DAC" w:rsidRDefault="00F11A8B" w:rsidP="006F6DAC">
            <w:pPr>
              <w:pStyle w:val="a6"/>
              <w:tabs>
                <w:tab w:val="left" w:pos="1080"/>
              </w:tabs>
              <w:suppressAutoHyphens w:val="0"/>
              <w:spacing w:before="120" w:after="120"/>
              <w:ind w:firstLine="598"/>
              <w:jc w:val="both"/>
              <w:rPr>
                <w:rFonts w:ascii="Garamond" w:hAnsi="Garamond"/>
                <w:bCs w:val="0"/>
                <w:sz w:val="22"/>
                <w:szCs w:val="22"/>
              </w:rPr>
            </w:pPr>
            <w:r w:rsidRPr="006F6DAC">
              <w:rPr>
                <w:rFonts w:ascii="Garamond" w:hAnsi="Garamond"/>
                <w:bCs w:val="0"/>
                <w:sz w:val="22"/>
                <w:szCs w:val="22"/>
              </w:rPr>
              <w:t>Информационное взаимодействие с СО и смежным</w:t>
            </w:r>
            <w:r w:rsidRPr="006F6DAC">
              <w:rPr>
                <w:rFonts w:ascii="Garamond" w:hAnsi="Garamond"/>
                <w:bCs w:val="0"/>
                <w:sz w:val="22"/>
                <w:szCs w:val="22"/>
                <w:highlight w:val="yellow"/>
              </w:rPr>
              <w:t>и</w:t>
            </w:r>
            <w:r w:rsidRPr="006F6DAC">
              <w:rPr>
                <w:rFonts w:ascii="Garamond" w:hAnsi="Garamond"/>
                <w:bCs w:val="0"/>
                <w:sz w:val="22"/>
                <w:szCs w:val="22"/>
              </w:rPr>
              <w:t xml:space="preserve"> субъектами ОРЭМ, </w:t>
            </w:r>
            <w:r w:rsidRPr="006F6DAC">
              <w:rPr>
                <w:rFonts w:ascii="Garamond" w:hAnsi="Garamond"/>
                <w:bCs w:val="0"/>
                <w:sz w:val="22"/>
                <w:szCs w:val="22"/>
                <w:highlight w:val="yellow"/>
              </w:rPr>
              <w:t>связанное с передачей документов 80020 и 80040,</w:t>
            </w:r>
            <w:r w:rsidRPr="006F6DAC">
              <w:rPr>
                <w:rFonts w:ascii="Garamond" w:hAnsi="Garamond"/>
                <w:bCs w:val="0"/>
                <w:sz w:val="22"/>
                <w:szCs w:val="22"/>
              </w:rPr>
              <w:t xml:space="preserve"> осуществляется аналогично пунктам 3.1, 3.2, если иное не установлено в рамках информационного обмена между СО и смежным субъектами ОРЭМ.</w:t>
            </w:r>
          </w:p>
          <w:p w14:paraId="4492A4E7" w14:textId="77777777" w:rsidR="00F11A8B" w:rsidRPr="006F6DAC" w:rsidRDefault="00F11A8B" w:rsidP="006F6DAC">
            <w:pPr>
              <w:pStyle w:val="a6"/>
              <w:tabs>
                <w:tab w:val="left" w:pos="1080"/>
              </w:tabs>
              <w:suppressAutoHyphens w:val="0"/>
              <w:spacing w:before="120" w:after="120"/>
              <w:ind w:firstLine="598"/>
              <w:jc w:val="both"/>
              <w:rPr>
                <w:rFonts w:ascii="Garamond" w:hAnsi="Garamond"/>
                <w:bCs w:val="0"/>
                <w:sz w:val="22"/>
                <w:szCs w:val="22"/>
              </w:rPr>
            </w:pPr>
            <w:r w:rsidRPr="006F6DAC">
              <w:rPr>
                <w:rFonts w:ascii="Garamond" w:hAnsi="Garamond"/>
                <w:bCs w:val="0"/>
                <w:sz w:val="22"/>
                <w:szCs w:val="22"/>
                <w:highlight w:val="yellow"/>
              </w:rPr>
              <w:t>Информационное взаимодействие агрегатора и владельца ГТП, связанное с передачей документов 20020, осуществляется аналогично пункту 3.3, если иное не установлено в рамках информационного обмена между агрегатором и владельцем ГТП</w:t>
            </w:r>
            <w:r w:rsidRPr="006F6DAC">
              <w:rPr>
                <w:rFonts w:ascii="Garamond" w:hAnsi="Garamond"/>
                <w:bCs w:val="0"/>
                <w:sz w:val="22"/>
                <w:szCs w:val="22"/>
              </w:rPr>
              <w:t>.</w:t>
            </w:r>
          </w:p>
          <w:p w14:paraId="48CD09F5" w14:textId="5C18C764" w:rsidR="00F11A8B" w:rsidRPr="006F6DAC" w:rsidRDefault="00F11A8B" w:rsidP="00556626">
            <w:pPr>
              <w:pStyle w:val="a6"/>
              <w:tabs>
                <w:tab w:val="left" w:pos="1080"/>
              </w:tabs>
              <w:suppressAutoHyphens w:val="0"/>
              <w:spacing w:before="120" w:after="120"/>
              <w:ind w:firstLine="598"/>
              <w:jc w:val="both"/>
              <w:rPr>
                <w:rFonts w:ascii="Garamond" w:hAnsi="Garamond"/>
                <w:bCs w:val="0"/>
                <w:sz w:val="22"/>
                <w:szCs w:val="22"/>
              </w:rPr>
            </w:pPr>
            <w:r w:rsidRPr="006F6DAC">
              <w:rPr>
                <w:rFonts w:ascii="Garamond" w:hAnsi="Garamond"/>
                <w:bCs w:val="0"/>
                <w:sz w:val="22"/>
                <w:szCs w:val="22"/>
                <w:highlight w:val="yellow"/>
              </w:rPr>
              <w:t xml:space="preserve">Информационное взаимодействие КО и СО, связанное с передачей документов 20020, осуществляется в рамках </w:t>
            </w:r>
            <w:r w:rsidR="00556626">
              <w:rPr>
                <w:rFonts w:ascii="Garamond" w:hAnsi="Garamond"/>
                <w:bCs w:val="0"/>
                <w:sz w:val="22"/>
                <w:szCs w:val="22"/>
                <w:highlight w:val="yellow"/>
              </w:rPr>
              <w:t>с</w:t>
            </w:r>
            <w:r w:rsidRPr="006F6DAC">
              <w:rPr>
                <w:rFonts w:ascii="Garamond" w:hAnsi="Garamond"/>
                <w:bCs w:val="0"/>
                <w:sz w:val="22"/>
                <w:szCs w:val="22"/>
                <w:highlight w:val="yellow"/>
              </w:rPr>
              <w:t>оглашения об информационном обмене между КО и СО</w:t>
            </w:r>
            <w:r w:rsidRPr="006F6DAC">
              <w:rPr>
                <w:rFonts w:ascii="Garamond" w:hAnsi="Garamond"/>
                <w:bCs w:val="0"/>
                <w:sz w:val="22"/>
                <w:szCs w:val="22"/>
              </w:rPr>
              <w:t>.</w:t>
            </w:r>
          </w:p>
        </w:tc>
      </w:tr>
      <w:tr w:rsidR="00F11A8B" w:rsidRPr="006F6DAC" w14:paraId="3B53FB15" w14:textId="77777777" w:rsidTr="006F6DAC">
        <w:tc>
          <w:tcPr>
            <w:tcW w:w="1060" w:type="dxa"/>
          </w:tcPr>
          <w:p w14:paraId="19A514D2" w14:textId="77777777" w:rsidR="00F11A8B" w:rsidRPr="006F6DAC" w:rsidRDefault="00F11A8B" w:rsidP="00F11A8B">
            <w:pPr>
              <w:widowControl w:val="0"/>
              <w:spacing w:line="259" w:lineRule="auto"/>
              <w:jc w:val="center"/>
              <w:rPr>
                <w:rFonts w:ascii="Garamond" w:hAnsi="Garamond"/>
                <w:b/>
                <w:sz w:val="22"/>
                <w:szCs w:val="22"/>
                <w:lang w:eastAsia="en-US"/>
              </w:rPr>
            </w:pPr>
            <w:r w:rsidRPr="006F6DAC">
              <w:rPr>
                <w:rFonts w:ascii="Garamond" w:hAnsi="Garamond"/>
                <w:b/>
                <w:sz w:val="22"/>
                <w:szCs w:val="22"/>
                <w:lang w:eastAsia="en-US"/>
              </w:rPr>
              <w:t>3.7</w:t>
            </w:r>
          </w:p>
        </w:tc>
        <w:tc>
          <w:tcPr>
            <w:tcW w:w="6804" w:type="dxa"/>
          </w:tcPr>
          <w:p w14:paraId="6D1C8198" w14:textId="77777777" w:rsidR="00F11A8B" w:rsidRPr="006F6DAC" w:rsidRDefault="00F11A8B" w:rsidP="006F6DAC">
            <w:pPr>
              <w:pStyle w:val="a6"/>
              <w:tabs>
                <w:tab w:val="left" w:pos="1080"/>
              </w:tabs>
              <w:suppressAutoHyphens w:val="0"/>
              <w:spacing w:before="120" w:after="120"/>
              <w:ind w:firstLine="598"/>
              <w:jc w:val="both"/>
              <w:rPr>
                <w:rFonts w:ascii="Garamond" w:hAnsi="Garamond"/>
                <w:b/>
                <w:bCs w:val="0"/>
                <w:sz w:val="22"/>
                <w:szCs w:val="22"/>
              </w:rPr>
            </w:pPr>
            <w:r w:rsidRPr="006F6DAC">
              <w:rPr>
                <w:rFonts w:ascii="Garamond" w:hAnsi="Garamond"/>
                <w:bCs w:val="0"/>
                <w:sz w:val="22"/>
                <w:szCs w:val="22"/>
              </w:rPr>
              <w:t xml:space="preserve">При наличии в </w:t>
            </w:r>
            <w:r w:rsidRPr="006F6DAC">
              <w:rPr>
                <w:rFonts w:ascii="Garamond" w:hAnsi="Garamond"/>
                <w:sz w:val="22"/>
                <w:szCs w:val="22"/>
              </w:rPr>
              <w:t>ПАК КО</w:t>
            </w:r>
            <w:r w:rsidRPr="006F6DAC">
              <w:rPr>
                <w:rFonts w:ascii="Garamond" w:hAnsi="Garamond"/>
                <w:bCs w:val="0"/>
                <w:sz w:val="22"/>
                <w:szCs w:val="22"/>
              </w:rPr>
              <w:t xml:space="preserve"> принятого документа за отчетные сутки и при получении электронного документа с большим номером за те же отчетные сутки и не имеющего ошибок формата, вся информация, переданная предыдущ</w:t>
            </w:r>
            <w:r w:rsidRPr="006F6DAC">
              <w:rPr>
                <w:rFonts w:ascii="Garamond" w:hAnsi="Garamond"/>
                <w:bCs w:val="0"/>
                <w:sz w:val="22"/>
                <w:szCs w:val="22"/>
                <w:highlight w:val="yellow"/>
              </w:rPr>
              <w:t>им</w:t>
            </w:r>
            <w:r w:rsidRPr="006F6DAC">
              <w:rPr>
                <w:rFonts w:ascii="Garamond" w:hAnsi="Garamond"/>
                <w:bCs w:val="0"/>
                <w:sz w:val="22"/>
                <w:szCs w:val="22"/>
              </w:rPr>
              <w:t xml:space="preserve"> документ</w:t>
            </w:r>
            <w:r w:rsidRPr="006F6DAC">
              <w:rPr>
                <w:rFonts w:ascii="Garamond" w:hAnsi="Garamond"/>
                <w:bCs w:val="0"/>
                <w:sz w:val="22"/>
                <w:szCs w:val="22"/>
                <w:highlight w:val="yellow"/>
              </w:rPr>
              <w:t>ом</w:t>
            </w:r>
            <w:r w:rsidRPr="006F6DAC">
              <w:rPr>
                <w:rFonts w:ascii="Garamond" w:hAnsi="Garamond"/>
                <w:bCs w:val="0"/>
                <w:sz w:val="22"/>
                <w:szCs w:val="22"/>
              </w:rPr>
              <w:t xml:space="preserve"> удаляется и заносится из документа, имеющего бол</w:t>
            </w:r>
            <w:r w:rsidRPr="006F6DAC">
              <w:rPr>
                <w:rFonts w:ascii="Garamond" w:hAnsi="Garamond"/>
                <w:bCs w:val="0"/>
                <w:sz w:val="22"/>
                <w:szCs w:val="22"/>
                <w:highlight w:val="yellow"/>
              </w:rPr>
              <w:t>ее</w:t>
            </w:r>
            <w:r w:rsidRPr="006F6DAC">
              <w:rPr>
                <w:rFonts w:ascii="Garamond" w:hAnsi="Garamond"/>
                <w:bCs w:val="0"/>
                <w:sz w:val="22"/>
                <w:szCs w:val="22"/>
              </w:rPr>
              <w:t xml:space="preserve"> </w:t>
            </w:r>
            <w:r w:rsidRPr="006F6DAC">
              <w:rPr>
                <w:rFonts w:ascii="Garamond" w:hAnsi="Garamond"/>
                <w:bCs w:val="0"/>
                <w:sz w:val="22"/>
                <w:szCs w:val="22"/>
                <w:highlight w:val="yellow"/>
              </w:rPr>
              <w:t xml:space="preserve">старший </w:t>
            </w:r>
            <w:r w:rsidRPr="006F6DAC">
              <w:rPr>
                <w:rFonts w:ascii="Garamond" w:hAnsi="Garamond"/>
                <w:bCs w:val="0"/>
                <w:sz w:val="22"/>
                <w:szCs w:val="22"/>
              </w:rPr>
              <w:t>номер</w:t>
            </w:r>
            <w:r w:rsidRPr="006F6DAC">
              <w:rPr>
                <w:rFonts w:ascii="Garamond" w:hAnsi="Garamond"/>
                <w:bCs w:val="0"/>
                <w:sz w:val="22"/>
                <w:szCs w:val="22"/>
                <w:highlight w:val="yellow"/>
              </w:rPr>
              <w:t>. Замещение не происходит только в том случае</w:t>
            </w:r>
            <w:r w:rsidRPr="006F6DAC">
              <w:rPr>
                <w:rFonts w:ascii="Garamond" w:hAnsi="Garamond"/>
                <w:bCs w:val="0"/>
                <w:sz w:val="22"/>
                <w:szCs w:val="22"/>
              </w:rPr>
              <w:t>, когда более поздний документ имеет ошибки формата.</w:t>
            </w:r>
          </w:p>
          <w:p w14:paraId="79A4A518" w14:textId="77777777" w:rsidR="00F11A8B" w:rsidRPr="006F6DAC" w:rsidRDefault="00F11A8B" w:rsidP="006F6DAC">
            <w:pPr>
              <w:pStyle w:val="a6"/>
              <w:tabs>
                <w:tab w:val="left" w:pos="1080"/>
              </w:tabs>
              <w:suppressAutoHyphens w:val="0"/>
              <w:spacing w:before="120" w:after="120"/>
              <w:ind w:firstLine="598"/>
              <w:jc w:val="both"/>
              <w:rPr>
                <w:rFonts w:ascii="Garamond" w:hAnsi="Garamond"/>
                <w:b/>
                <w:sz w:val="22"/>
                <w:szCs w:val="22"/>
              </w:rPr>
            </w:pPr>
            <w:r w:rsidRPr="006F6DAC">
              <w:rPr>
                <w:rFonts w:ascii="Garamond" w:hAnsi="Garamond"/>
                <w:sz w:val="22"/>
                <w:szCs w:val="22"/>
              </w:rPr>
              <w:t xml:space="preserve">Если субъектом оптового рынка в отношении одной и той же точки измерений (измерительных каналов, указанных в атрибуте code элемента &lt;measuringchannel&gt;) результаты измерений передаются в разных группах (областях) передаваемой информации (параметр &lt;area&gt;), то в ПАК КО по данной точке измерений (измерительных каналов, указанных в атрибуте code элемента &lt;measuringchannel&gt;) будут приняты результаты измерений из наиболее позднего принятого документа, не имеющего ошибок </w:t>
            </w:r>
            <w:r w:rsidRPr="006F6DAC">
              <w:rPr>
                <w:rFonts w:ascii="Garamond" w:hAnsi="Garamond"/>
                <w:sz w:val="22"/>
                <w:szCs w:val="22"/>
                <w:highlight w:val="yellow"/>
              </w:rPr>
              <w:t>формата</w:t>
            </w:r>
            <w:r w:rsidRPr="006F6DAC">
              <w:rPr>
                <w:rFonts w:ascii="Garamond" w:hAnsi="Garamond"/>
                <w:sz w:val="22"/>
                <w:szCs w:val="22"/>
              </w:rPr>
              <w:t>.</w:t>
            </w:r>
          </w:p>
          <w:p w14:paraId="3C5E73BE" w14:textId="77777777" w:rsidR="00F11A8B" w:rsidRPr="006F6DAC" w:rsidRDefault="00F11A8B" w:rsidP="006F6DAC">
            <w:pPr>
              <w:pStyle w:val="a6"/>
              <w:tabs>
                <w:tab w:val="left" w:pos="1080"/>
              </w:tabs>
              <w:suppressAutoHyphens w:val="0"/>
              <w:spacing w:before="120" w:after="120"/>
              <w:ind w:firstLine="598"/>
              <w:jc w:val="both"/>
              <w:rPr>
                <w:rFonts w:ascii="Garamond" w:hAnsi="Garamond"/>
                <w:bCs w:val="0"/>
                <w:sz w:val="22"/>
                <w:szCs w:val="22"/>
              </w:rPr>
            </w:pPr>
            <w:r w:rsidRPr="006F6DAC">
              <w:rPr>
                <w:rFonts w:ascii="Garamond" w:hAnsi="Garamond"/>
                <w:sz w:val="22"/>
                <w:szCs w:val="22"/>
                <w:highlight w:val="yellow"/>
              </w:rPr>
              <w:lastRenderedPageBreak/>
              <w:t>Аналогичным образом в ПАК КО обрабатываются данные по точкам поставки.</w:t>
            </w:r>
          </w:p>
        </w:tc>
        <w:tc>
          <w:tcPr>
            <w:tcW w:w="7115" w:type="dxa"/>
          </w:tcPr>
          <w:p w14:paraId="0E8B1AC4" w14:textId="654C7911" w:rsidR="00F11A8B" w:rsidRPr="006F6DAC" w:rsidRDefault="00F11A8B" w:rsidP="006F6DAC">
            <w:pPr>
              <w:pStyle w:val="a6"/>
              <w:tabs>
                <w:tab w:val="left" w:pos="1080"/>
              </w:tabs>
              <w:suppressAutoHyphens w:val="0"/>
              <w:spacing w:before="120" w:after="120"/>
              <w:ind w:firstLine="598"/>
              <w:jc w:val="both"/>
              <w:rPr>
                <w:rFonts w:ascii="Garamond" w:hAnsi="Garamond"/>
                <w:b/>
                <w:bCs w:val="0"/>
                <w:sz w:val="22"/>
                <w:szCs w:val="22"/>
              </w:rPr>
            </w:pPr>
            <w:r w:rsidRPr="006F6DAC">
              <w:rPr>
                <w:rFonts w:ascii="Garamond" w:hAnsi="Garamond"/>
                <w:bCs w:val="0"/>
                <w:sz w:val="22"/>
                <w:szCs w:val="22"/>
              </w:rPr>
              <w:lastRenderedPageBreak/>
              <w:t xml:space="preserve">При наличии в </w:t>
            </w:r>
            <w:r w:rsidRPr="006F6DAC">
              <w:rPr>
                <w:rFonts w:ascii="Garamond" w:hAnsi="Garamond"/>
                <w:sz w:val="22"/>
                <w:szCs w:val="22"/>
              </w:rPr>
              <w:t>ПАК КО</w:t>
            </w:r>
            <w:r w:rsidRPr="006F6DAC">
              <w:rPr>
                <w:rFonts w:ascii="Garamond" w:hAnsi="Garamond"/>
                <w:bCs w:val="0"/>
                <w:sz w:val="22"/>
                <w:szCs w:val="22"/>
              </w:rPr>
              <w:t xml:space="preserve"> принятого документа </w:t>
            </w:r>
            <w:r w:rsidRPr="006F6DAC">
              <w:rPr>
                <w:rFonts w:ascii="Garamond" w:hAnsi="Garamond"/>
                <w:bCs w:val="0"/>
                <w:sz w:val="22"/>
                <w:szCs w:val="22"/>
                <w:highlight w:val="yellow"/>
              </w:rPr>
              <w:t>(макета 80020, 80040, 20020)</w:t>
            </w:r>
            <w:r w:rsidRPr="006F6DAC">
              <w:rPr>
                <w:rFonts w:ascii="Garamond" w:hAnsi="Garamond"/>
                <w:bCs w:val="0"/>
                <w:sz w:val="22"/>
                <w:szCs w:val="22"/>
              </w:rPr>
              <w:t xml:space="preserve"> за отчетные сутки и при получении электронного документа с большим номером за те же отчетные сутки и не имеющего ошибок </w:t>
            </w:r>
            <w:r w:rsidRPr="006F6DAC">
              <w:rPr>
                <w:rFonts w:ascii="Garamond" w:hAnsi="Garamond"/>
                <w:bCs w:val="0"/>
                <w:sz w:val="22"/>
                <w:szCs w:val="22"/>
                <w:highlight w:val="yellow"/>
              </w:rPr>
              <w:t>проверки</w:t>
            </w:r>
            <w:r w:rsidR="00556626">
              <w:rPr>
                <w:rFonts w:ascii="Garamond" w:hAnsi="Garamond"/>
                <w:bCs w:val="0"/>
                <w:sz w:val="22"/>
                <w:szCs w:val="22"/>
              </w:rPr>
              <w:t xml:space="preserve"> формата</w:t>
            </w:r>
            <w:r w:rsidRPr="006F6DAC">
              <w:rPr>
                <w:rFonts w:ascii="Garamond" w:hAnsi="Garamond"/>
                <w:bCs w:val="0"/>
                <w:sz w:val="22"/>
                <w:szCs w:val="22"/>
              </w:rPr>
              <w:t xml:space="preserve"> вся информация, переданная </w:t>
            </w:r>
            <w:r w:rsidRPr="006F6DAC">
              <w:rPr>
                <w:rFonts w:ascii="Garamond" w:hAnsi="Garamond"/>
                <w:bCs w:val="0"/>
                <w:sz w:val="22"/>
                <w:szCs w:val="22"/>
                <w:highlight w:val="yellow"/>
              </w:rPr>
              <w:t>в</w:t>
            </w:r>
            <w:r w:rsidRPr="006F6DAC">
              <w:rPr>
                <w:rFonts w:ascii="Garamond" w:hAnsi="Garamond"/>
                <w:bCs w:val="0"/>
                <w:sz w:val="22"/>
                <w:szCs w:val="22"/>
              </w:rPr>
              <w:t xml:space="preserve"> предыдущем документ</w:t>
            </w:r>
            <w:r w:rsidRPr="006F6DAC">
              <w:rPr>
                <w:rFonts w:ascii="Garamond" w:hAnsi="Garamond"/>
                <w:bCs w:val="0"/>
                <w:sz w:val="22"/>
                <w:szCs w:val="22"/>
                <w:highlight w:val="yellow"/>
              </w:rPr>
              <w:t>е,</w:t>
            </w:r>
            <w:r w:rsidRPr="006F6DAC">
              <w:rPr>
                <w:rFonts w:ascii="Garamond" w:hAnsi="Garamond"/>
                <w:bCs w:val="0"/>
                <w:sz w:val="22"/>
                <w:szCs w:val="22"/>
              </w:rPr>
              <w:t xml:space="preserve"> удаляется и </w:t>
            </w:r>
            <w:r w:rsidRPr="006F6DAC">
              <w:rPr>
                <w:rFonts w:ascii="Garamond" w:hAnsi="Garamond"/>
                <w:bCs w:val="0"/>
                <w:sz w:val="22"/>
                <w:szCs w:val="22"/>
                <w:highlight w:val="yellow"/>
              </w:rPr>
              <w:t>вместо нее используется информация</w:t>
            </w:r>
            <w:r w:rsidRPr="006F6DAC">
              <w:rPr>
                <w:rFonts w:ascii="Garamond" w:hAnsi="Garamond"/>
                <w:bCs w:val="0"/>
                <w:sz w:val="22"/>
                <w:szCs w:val="22"/>
              </w:rPr>
              <w:t xml:space="preserve"> из документа, имеющего бол</w:t>
            </w:r>
            <w:r w:rsidRPr="006F6DAC">
              <w:rPr>
                <w:rFonts w:ascii="Garamond" w:hAnsi="Garamond"/>
                <w:bCs w:val="0"/>
                <w:sz w:val="22"/>
                <w:szCs w:val="22"/>
                <w:highlight w:val="yellow"/>
              </w:rPr>
              <w:t>ьший</w:t>
            </w:r>
            <w:r w:rsidRPr="006F6DAC">
              <w:rPr>
                <w:rFonts w:ascii="Garamond" w:hAnsi="Garamond"/>
                <w:bCs w:val="0"/>
                <w:sz w:val="22"/>
                <w:szCs w:val="22"/>
              </w:rPr>
              <w:t xml:space="preserve"> </w:t>
            </w:r>
            <w:r w:rsidRPr="006F6DAC">
              <w:rPr>
                <w:rFonts w:ascii="Garamond" w:hAnsi="Garamond"/>
                <w:bCs w:val="0"/>
                <w:sz w:val="22"/>
                <w:szCs w:val="22"/>
                <w:highlight w:val="yellow"/>
              </w:rPr>
              <w:t xml:space="preserve">порядковый </w:t>
            </w:r>
            <w:r w:rsidRPr="006F6DAC">
              <w:rPr>
                <w:rFonts w:ascii="Garamond" w:hAnsi="Garamond"/>
                <w:bCs w:val="0"/>
                <w:sz w:val="22"/>
                <w:szCs w:val="22"/>
              </w:rPr>
              <w:t xml:space="preserve">номер </w:t>
            </w:r>
            <w:r w:rsidRPr="006F6DAC">
              <w:rPr>
                <w:rFonts w:ascii="Garamond" w:hAnsi="Garamond"/>
                <w:bCs w:val="0"/>
                <w:sz w:val="22"/>
                <w:szCs w:val="22"/>
                <w:highlight w:val="yellow"/>
              </w:rPr>
              <w:t>(кроме случаев</w:t>
            </w:r>
            <w:r w:rsidRPr="006F6DAC">
              <w:rPr>
                <w:rFonts w:ascii="Garamond" w:hAnsi="Garamond"/>
                <w:bCs w:val="0"/>
                <w:sz w:val="22"/>
                <w:szCs w:val="22"/>
              </w:rPr>
              <w:t xml:space="preserve">, когда более поздний документ имеет ошибки </w:t>
            </w:r>
            <w:r w:rsidRPr="006F6DAC">
              <w:rPr>
                <w:rFonts w:ascii="Garamond" w:hAnsi="Garamond"/>
                <w:bCs w:val="0"/>
                <w:sz w:val="22"/>
                <w:szCs w:val="22"/>
                <w:highlight w:val="yellow"/>
              </w:rPr>
              <w:t xml:space="preserve">проверки корректности </w:t>
            </w:r>
            <w:r w:rsidRPr="006F6DAC">
              <w:rPr>
                <w:rFonts w:ascii="Garamond" w:hAnsi="Garamond"/>
                <w:bCs w:val="0"/>
                <w:sz w:val="22"/>
                <w:szCs w:val="22"/>
              </w:rPr>
              <w:t>формата</w:t>
            </w:r>
            <w:r w:rsidRPr="006F6DAC">
              <w:rPr>
                <w:rFonts w:ascii="Garamond" w:hAnsi="Garamond"/>
                <w:bCs w:val="0"/>
                <w:sz w:val="22"/>
                <w:szCs w:val="22"/>
                <w:highlight w:val="yellow"/>
              </w:rPr>
              <w:t>)</w:t>
            </w:r>
            <w:r w:rsidRPr="006F6DAC">
              <w:rPr>
                <w:rFonts w:ascii="Garamond" w:hAnsi="Garamond"/>
                <w:bCs w:val="0"/>
                <w:sz w:val="22"/>
                <w:szCs w:val="22"/>
              </w:rPr>
              <w:t>.</w:t>
            </w:r>
          </w:p>
          <w:p w14:paraId="098E8369" w14:textId="77777777" w:rsidR="00F11A8B" w:rsidRPr="006F6DAC" w:rsidRDefault="00F11A8B" w:rsidP="006F6DAC">
            <w:pPr>
              <w:pStyle w:val="a6"/>
              <w:tabs>
                <w:tab w:val="left" w:pos="1080"/>
              </w:tabs>
              <w:suppressAutoHyphens w:val="0"/>
              <w:spacing w:before="120" w:after="120"/>
              <w:ind w:firstLine="598"/>
              <w:jc w:val="both"/>
              <w:rPr>
                <w:rFonts w:ascii="Garamond" w:hAnsi="Garamond"/>
                <w:b/>
                <w:sz w:val="22"/>
                <w:szCs w:val="22"/>
              </w:rPr>
            </w:pPr>
            <w:r w:rsidRPr="006F6DAC">
              <w:rPr>
                <w:rFonts w:ascii="Garamond" w:hAnsi="Garamond"/>
                <w:sz w:val="22"/>
                <w:szCs w:val="22"/>
              </w:rPr>
              <w:t xml:space="preserve">Если субъектом оптового рынка в отношении одной и той же точки измерений (измерительных каналов, указанных в атрибуте code элемента &lt;measuringchannel&gt;) результаты измерений передаются в разных группах (областях) передаваемой информации (параметр &lt;area&gt;), то в ПАК КО по данной точке измерений (измерительных каналов, указанных в атрибуте code элемента &lt;measuringchannel&gt;) будут приняты результаты измерений из наиболее позднего принятого документа, не имеющего ошибок </w:t>
            </w:r>
            <w:r w:rsidRPr="006F6DAC">
              <w:rPr>
                <w:rFonts w:ascii="Garamond" w:hAnsi="Garamond"/>
                <w:sz w:val="22"/>
                <w:szCs w:val="22"/>
                <w:highlight w:val="yellow"/>
              </w:rPr>
              <w:t>проверки корректности формата</w:t>
            </w:r>
            <w:r w:rsidRPr="006F6DAC">
              <w:rPr>
                <w:rFonts w:ascii="Garamond" w:hAnsi="Garamond"/>
                <w:sz w:val="22"/>
                <w:szCs w:val="22"/>
              </w:rPr>
              <w:t>.</w:t>
            </w:r>
          </w:p>
        </w:tc>
      </w:tr>
      <w:tr w:rsidR="00F11A8B" w:rsidRPr="006F6DAC" w14:paraId="190F1BC8" w14:textId="77777777" w:rsidTr="006F6DAC">
        <w:tc>
          <w:tcPr>
            <w:tcW w:w="1060" w:type="dxa"/>
          </w:tcPr>
          <w:p w14:paraId="1FD4275A" w14:textId="77777777" w:rsidR="00F11A8B" w:rsidRPr="006F6DAC" w:rsidRDefault="00F11A8B" w:rsidP="00F11A8B">
            <w:pPr>
              <w:widowControl w:val="0"/>
              <w:spacing w:line="259" w:lineRule="auto"/>
              <w:jc w:val="center"/>
              <w:rPr>
                <w:rFonts w:ascii="Garamond" w:hAnsi="Garamond"/>
                <w:b/>
                <w:sz w:val="22"/>
                <w:szCs w:val="22"/>
                <w:lang w:eastAsia="en-US"/>
              </w:rPr>
            </w:pPr>
            <w:r w:rsidRPr="006F6DAC">
              <w:rPr>
                <w:rFonts w:ascii="Garamond" w:hAnsi="Garamond"/>
                <w:b/>
                <w:sz w:val="22"/>
                <w:szCs w:val="22"/>
                <w:lang w:eastAsia="en-US"/>
              </w:rPr>
              <w:t>3.8</w:t>
            </w:r>
          </w:p>
        </w:tc>
        <w:tc>
          <w:tcPr>
            <w:tcW w:w="6804" w:type="dxa"/>
          </w:tcPr>
          <w:p w14:paraId="28F66F8E" w14:textId="77777777" w:rsidR="00F11A8B" w:rsidRPr="006F6DAC" w:rsidRDefault="00F11A8B" w:rsidP="006F6DAC">
            <w:pPr>
              <w:pStyle w:val="a6"/>
              <w:tabs>
                <w:tab w:val="left" w:pos="1080"/>
              </w:tabs>
              <w:suppressAutoHyphens w:val="0"/>
              <w:spacing w:before="120" w:after="120"/>
              <w:ind w:firstLine="598"/>
              <w:jc w:val="both"/>
              <w:rPr>
                <w:rFonts w:ascii="Garamond" w:hAnsi="Garamond"/>
                <w:b/>
                <w:bCs w:val="0"/>
                <w:sz w:val="22"/>
                <w:szCs w:val="22"/>
              </w:rPr>
            </w:pPr>
            <w:r w:rsidRPr="006F6DAC">
              <w:rPr>
                <w:rFonts w:ascii="Garamond" w:hAnsi="Garamond"/>
                <w:sz w:val="22"/>
                <w:szCs w:val="22"/>
              </w:rPr>
              <w:t>Для каждого планируемого состава точек поставки и точек измерений по ГТП генерации формируется отдельная Группа (область) передаваемой информации (параметр &lt;area&gt;) для передачи результатов измерений в макете 80020.</w:t>
            </w:r>
          </w:p>
          <w:p w14:paraId="1122557C" w14:textId="77777777" w:rsidR="00F11A8B" w:rsidRPr="006F6DAC" w:rsidRDefault="00F11A8B" w:rsidP="006F6DAC">
            <w:pPr>
              <w:tabs>
                <w:tab w:val="left" w:pos="0"/>
              </w:tabs>
              <w:spacing w:before="120" w:after="120"/>
              <w:ind w:firstLine="598"/>
              <w:jc w:val="both"/>
              <w:rPr>
                <w:rFonts w:ascii="Garamond" w:hAnsi="Garamond"/>
                <w:sz w:val="22"/>
                <w:szCs w:val="22"/>
              </w:rPr>
            </w:pPr>
            <w:r w:rsidRPr="006F6DAC">
              <w:rPr>
                <w:rFonts w:ascii="Garamond" w:hAnsi="Garamond"/>
                <w:sz w:val="22"/>
                <w:szCs w:val="22"/>
              </w:rPr>
              <w:t>Участник может закрыть Группу (область) передаваемой информации (параметр &lt;area&gt;), направив в КО официальное письмо с запросом о закрытии Группы с обязательным указанием ее кода.</w:t>
            </w:r>
          </w:p>
          <w:p w14:paraId="6D3620AE" w14:textId="77777777" w:rsidR="00F11A8B" w:rsidRPr="006F6DAC" w:rsidRDefault="00F11A8B" w:rsidP="006F6DAC">
            <w:pPr>
              <w:pStyle w:val="a6"/>
              <w:tabs>
                <w:tab w:val="left" w:pos="1080"/>
              </w:tabs>
              <w:spacing w:before="120" w:after="120"/>
              <w:ind w:firstLine="598"/>
              <w:jc w:val="both"/>
              <w:rPr>
                <w:rFonts w:ascii="Garamond" w:hAnsi="Garamond"/>
                <w:b/>
                <w:bCs w:val="0"/>
                <w:sz w:val="22"/>
                <w:szCs w:val="22"/>
              </w:rPr>
            </w:pPr>
            <w:r w:rsidRPr="006F6DAC">
              <w:rPr>
                <w:rFonts w:ascii="Garamond" w:hAnsi="Garamond"/>
                <w:sz w:val="22"/>
                <w:szCs w:val="22"/>
              </w:rPr>
              <w:t>В ГТП генерации на оптовом рынке по действующему составу точек поставки и точек измерений КО кодирует одну Группу (область) передаваемой информации (параметр &lt;area&gt;) для передачи результатов измерений в макете 80020. В случае внесения изменений в ГТП генерации Группа (область) передаваемой информации (параметр &lt;area&gt;) для передачи результатов измерений в макете 80020 по ранее действовавшему составу точек поставки и точек измерений закрывается с 6-го числа месяца, в котором у соответствующего субъекта оптового рынка возникло право участия в торговле электрической энергией и (или) мощностью с использованием измененной ГТП генерации.</w:t>
            </w:r>
          </w:p>
          <w:p w14:paraId="50909A9C" w14:textId="77777777" w:rsidR="00F11A8B" w:rsidRPr="006F6DAC" w:rsidRDefault="00F11A8B" w:rsidP="006F6DAC">
            <w:pPr>
              <w:tabs>
                <w:tab w:val="left" w:pos="0"/>
              </w:tabs>
              <w:spacing w:before="120" w:after="120"/>
              <w:ind w:firstLine="598"/>
              <w:jc w:val="both"/>
              <w:rPr>
                <w:rFonts w:ascii="Garamond" w:hAnsi="Garamond"/>
                <w:sz w:val="22"/>
                <w:szCs w:val="22"/>
              </w:rPr>
            </w:pPr>
            <w:r w:rsidRPr="006F6DAC">
              <w:rPr>
                <w:rFonts w:ascii="Garamond" w:hAnsi="Garamond"/>
                <w:sz w:val="22"/>
                <w:szCs w:val="22"/>
              </w:rPr>
              <w:t xml:space="preserve">Закрытие КО Группы (области) передаваемой информации по ГТП генерации </w:t>
            </w:r>
            <w:r w:rsidRPr="006F6DAC">
              <w:rPr>
                <w:rFonts w:ascii="Garamond" w:hAnsi="Garamond"/>
                <w:color w:val="000000"/>
                <w:sz w:val="22"/>
                <w:szCs w:val="22"/>
                <w:lang w:eastAsia="en-US"/>
              </w:rPr>
              <w:t xml:space="preserve">(в том числе по действующему составу) </w:t>
            </w:r>
            <w:r w:rsidRPr="006F6DAC">
              <w:rPr>
                <w:rFonts w:ascii="Garamond" w:hAnsi="Garamond"/>
                <w:sz w:val="22"/>
                <w:szCs w:val="22"/>
              </w:rPr>
              <w:t>для приема данных в ПАК КО осуществляется:</w:t>
            </w:r>
          </w:p>
          <w:p w14:paraId="568845FC" w14:textId="77777777" w:rsidR="00F11A8B" w:rsidRPr="006F6DAC" w:rsidRDefault="00F11A8B" w:rsidP="00F11A8B">
            <w:pPr>
              <w:tabs>
                <w:tab w:val="left" w:pos="0"/>
              </w:tabs>
              <w:spacing w:before="120" w:after="120"/>
              <w:ind w:firstLine="567"/>
              <w:jc w:val="both"/>
              <w:rPr>
                <w:rFonts w:ascii="Garamond" w:hAnsi="Garamond"/>
                <w:sz w:val="22"/>
                <w:szCs w:val="22"/>
              </w:rPr>
            </w:pPr>
            <w:r w:rsidRPr="006F6DAC">
              <w:rPr>
                <w:rFonts w:ascii="Garamond" w:hAnsi="Garamond"/>
                <w:sz w:val="22"/>
                <w:szCs w:val="22"/>
              </w:rPr>
              <w:t>– в случае если субъект лишается статуса субъекта оптового рынка и (или) права участия с использованием ГТП генерации за исключением случаев, в которых решение о лишении заявителя статуса субъекта оптового рынка и (или) права участия с использованием ГТП принято в связи с приобретением Правопреемником права торговли электрической энергией (мощностью) на оптовом рынке в отношении соответствующей ГТП генерации, закрепленной на оптовом рынке за заявителем, в порядке, предусмотренном Положением о реестре;</w:t>
            </w:r>
          </w:p>
          <w:p w14:paraId="44F1C34A" w14:textId="77777777" w:rsidR="00F11A8B" w:rsidRPr="006F6DAC" w:rsidRDefault="00F11A8B" w:rsidP="00F11A8B">
            <w:pPr>
              <w:tabs>
                <w:tab w:val="left" w:pos="0"/>
              </w:tabs>
              <w:spacing w:before="120" w:after="120"/>
              <w:ind w:firstLine="567"/>
              <w:jc w:val="both"/>
              <w:rPr>
                <w:rFonts w:ascii="Garamond" w:hAnsi="Garamond"/>
                <w:sz w:val="22"/>
                <w:szCs w:val="22"/>
              </w:rPr>
            </w:pPr>
            <w:r w:rsidRPr="006F6DAC">
              <w:rPr>
                <w:rFonts w:ascii="Garamond" w:hAnsi="Garamond"/>
                <w:sz w:val="22"/>
                <w:szCs w:val="22"/>
              </w:rPr>
              <w:t xml:space="preserve">– с даты отмены ранее принятого решения о предоставлении субъекту оптового рынка права участия в торговле электрической энергией и (или) мощностью на оптовом рынке с использованием соответствующей ГТП генерации либо решения о регистрации </w:t>
            </w:r>
            <w:r w:rsidRPr="006F6DAC">
              <w:rPr>
                <w:rFonts w:ascii="Garamond" w:hAnsi="Garamond"/>
                <w:sz w:val="22"/>
                <w:szCs w:val="22"/>
              </w:rPr>
              <w:lastRenderedPageBreak/>
              <w:t>соответствующей ГТП генерации в порядке, предусмотренном Положением о реестре;</w:t>
            </w:r>
          </w:p>
          <w:p w14:paraId="09DDD98F" w14:textId="77777777" w:rsidR="00F11A8B" w:rsidRPr="006F6DAC" w:rsidRDefault="00F11A8B" w:rsidP="00F11A8B">
            <w:pPr>
              <w:tabs>
                <w:tab w:val="left" w:pos="0"/>
              </w:tabs>
              <w:spacing w:before="120" w:after="120"/>
              <w:ind w:firstLine="567"/>
              <w:jc w:val="both"/>
              <w:rPr>
                <w:rFonts w:ascii="Garamond" w:hAnsi="Garamond"/>
                <w:sz w:val="22"/>
                <w:szCs w:val="22"/>
              </w:rPr>
            </w:pPr>
            <w:r w:rsidRPr="006F6DAC">
              <w:rPr>
                <w:rFonts w:ascii="Garamond" w:hAnsi="Garamond"/>
                <w:sz w:val="22"/>
                <w:szCs w:val="22"/>
              </w:rPr>
              <w:t xml:space="preserve">– </w:t>
            </w:r>
            <w:r w:rsidRPr="006F6DAC">
              <w:rPr>
                <w:rFonts w:ascii="Garamond" w:hAnsi="Garamond"/>
                <w:color w:val="000000"/>
                <w:sz w:val="22"/>
                <w:szCs w:val="22"/>
                <w:lang w:eastAsia="en-US"/>
              </w:rPr>
              <w:t xml:space="preserve">в случае прекращения процедуры согласования ГТП генерации и регистрации ПСИ либо внесения изменений в регистрационную информацию в отношении ГТП генерации только в отношении </w:t>
            </w:r>
            <w:r w:rsidRPr="006F6DAC">
              <w:rPr>
                <w:rFonts w:ascii="Garamond" w:hAnsi="Garamond"/>
                <w:sz w:val="22"/>
                <w:szCs w:val="22"/>
              </w:rPr>
              <w:t>групп (областей) передаваемой информации, сформированных на основании комплекта документов, рассмотрение которого прекращено, –</w:t>
            </w:r>
            <w:r w:rsidRPr="006F6DAC">
              <w:rPr>
                <w:rFonts w:ascii="Garamond" w:hAnsi="Garamond"/>
                <w:color w:val="000000"/>
                <w:sz w:val="22"/>
                <w:szCs w:val="22"/>
                <w:lang w:eastAsia="en-US"/>
              </w:rPr>
              <w:t xml:space="preserve"> с даты прекращения указанных процедур</w:t>
            </w:r>
            <w:r w:rsidRPr="006F6DAC">
              <w:rPr>
                <w:rFonts w:ascii="Garamond" w:hAnsi="Garamond"/>
                <w:sz w:val="22"/>
                <w:szCs w:val="22"/>
              </w:rPr>
              <w:t>.</w:t>
            </w:r>
          </w:p>
          <w:p w14:paraId="1EEFF71A" w14:textId="77777777" w:rsidR="00F11A8B" w:rsidRPr="006F6DAC" w:rsidRDefault="00F11A8B" w:rsidP="00F11A8B">
            <w:pPr>
              <w:tabs>
                <w:tab w:val="left" w:pos="0"/>
              </w:tabs>
              <w:spacing w:before="120" w:after="120"/>
              <w:jc w:val="both"/>
              <w:rPr>
                <w:rFonts w:ascii="Garamond" w:hAnsi="Garamond"/>
                <w:sz w:val="22"/>
                <w:szCs w:val="22"/>
              </w:rPr>
            </w:pPr>
            <w:r w:rsidRPr="006F6DAC">
              <w:rPr>
                <w:rFonts w:ascii="Garamond" w:hAnsi="Garamond"/>
                <w:sz w:val="22"/>
                <w:szCs w:val="22"/>
              </w:rPr>
              <w:t>Автоматическое закрытие Группы (области) передаваемой информации для приема данных в ПАК КО по соответствующей ГТП генерации, сформированной на планируемый состав точек поставки и (или) точек измерений, осуществляется с 1-го числа следующего календарного месяца:</w:t>
            </w:r>
          </w:p>
          <w:p w14:paraId="76E7641A" w14:textId="77777777" w:rsidR="00F11A8B" w:rsidRPr="006F6DAC" w:rsidRDefault="00F11A8B" w:rsidP="00F11A8B">
            <w:pPr>
              <w:tabs>
                <w:tab w:val="left" w:pos="1440"/>
              </w:tabs>
              <w:spacing w:before="120" w:after="120"/>
              <w:ind w:firstLine="567"/>
              <w:jc w:val="both"/>
              <w:rPr>
                <w:rFonts w:ascii="Garamond" w:hAnsi="Garamond"/>
                <w:sz w:val="22"/>
                <w:szCs w:val="22"/>
              </w:rPr>
            </w:pPr>
            <w:r w:rsidRPr="006F6DAC">
              <w:rPr>
                <w:rFonts w:ascii="Garamond" w:hAnsi="Garamond"/>
                <w:sz w:val="22"/>
                <w:szCs w:val="22"/>
              </w:rPr>
              <w:t xml:space="preserve"> – </w:t>
            </w:r>
            <w:r w:rsidRPr="006F6DAC">
              <w:rPr>
                <w:rFonts w:ascii="Garamond" w:hAnsi="Garamond"/>
                <w:color w:val="000000"/>
                <w:sz w:val="22"/>
                <w:szCs w:val="22"/>
                <w:lang w:eastAsia="en-US"/>
              </w:rPr>
              <w:t xml:space="preserve">при отсутствии в течение полных 24 (двадцати четырех) календарных месяцев с даты публикации КО </w:t>
            </w:r>
            <w:r w:rsidRPr="006F6DAC">
              <w:rPr>
                <w:rFonts w:ascii="Garamond" w:hAnsi="Garamond"/>
                <w:sz w:val="22"/>
                <w:szCs w:val="22"/>
              </w:rPr>
              <w:t>&lt;area&gt;</w:t>
            </w:r>
            <w:r w:rsidRPr="006F6DAC">
              <w:rPr>
                <w:rFonts w:ascii="Garamond" w:hAnsi="Garamond"/>
                <w:color w:val="000000"/>
                <w:sz w:val="22"/>
                <w:szCs w:val="22"/>
                <w:lang w:eastAsia="en-US"/>
              </w:rPr>
              <w:t xml:space="preserve"> (на своем официальном сайте, в веб-интерфейсе «Данные АИИС», зарегистрированного и вступившего в действие ПСИ в макетах 60000 (60090)), за исключением случаев, когда заявитель, в отношении которого сформирована </w:t>
            </w:r>
            <w:r w:rsidRPr="006F6DAC">
              <w:rPr>
                <w:rFonts w:ascii="Garamond" w:hAnsi="Garamond"/>
                <w:sz w:val="22"/>
                <w:szCs w:val="22"/>
              </w:rPr>
              <w:t>&lt;area&gt;</w:t>
            </w:r>
            <w:r w:rsidRPr="006F6DAC">
              <w:rPr>
                <w:rFonts w:ascii="Garamond" w:hAnsi="Garamond"/>
                <w:color w:val="000000"/>
                <w:sz w:val="22"/>
                <w:szCs w:val="22"/>
                <w:lang w:eastAsia="en-US"/>
              </w:rPr>
              <w:t xml:space="preserve">, до истечения вышеуказанного срока направил в КО официальное письмо о необходимости продления на 24 (двадцать четыре) месяца срока использования данной </w:t>
            </w:r>
            <w:r w:rsidRPr="006F6DAC">
              <w:rPr>
                <w:rFonts w:ascii="Garamond" w:hAnsi="Garamond"/>
                <w:sz w:val="22"/>
                <w:szCs w:val="22"/>
              </w:rPr>
              <w:t>&lt;area&gt;</w:t>
            </w:r>
            <w:r w:rsidRPr="006F6DAC">
              <w:rPr>
                <w:rFonts w:ascii="Garamond" w:hAnsi="Garamond"/>
                <w:color w:val="000000"/>
                <w:sz w:val="22"/>
                <w:szCs w:val="22"/>
                <w:lang w:eastAsia="en-US"/>
              </w:rPr>
              <w:t xml:space="preserve"> с обязательным указанием ее кода;</w:t>
            </w:r>
          </w:p>
          <w:p w14:paraId="25F83A79" w14:textId="77777777" w:rsidR="00F11A8B" w:rsidRPr="006F6DAC" w:rsidRDefault="00F11A8B" w:rsidP="00F11A8B">
            <w:pPr>
              <w:widowControl w:val="0"/>
              <w:tabs>
                <w:tab w:val="left" w:pos="1440"/>
              </w:tabs>
              <w:spacing w:before="120" w:after="120"/>
              <w:ind w:firstLine="567"/>
              <w:jc w:val="both"/>
              <w:rPr>
                <w:rFonts w:ascii="Garamond" w:hAnsi="Garamond"/>
                <w:sz w:val="22"/>
                <w:szCs w:val="22"/>
              </w:rPr>
            </w:pPr>
            <w:r w:rsidRPr="006F6DAC">
              <w:rPr>
                <w:rFonts w:ascii="Garamond" w:hAnsi="Garamond"/>
                <w:sz w:val="22"/>
                <w:szCs w:val="22"/>
              </w:rPr>
              <w:t xml:space="preserve">– при отсутствии в течение полных 6 (шести) календарных месяцев принятых в ПАК КО документов с результатами измерений по точкам измерений, входящим в сформированную &lt;area&gt;, </w:t>
            </w:r>
            <w:r w:rsidRPr="006F6DAC">
              <w:rPr>
                <w:rFonts w:ascii="Garamond" w:hAnsi="Garamond"/>
                <w:color w:val="000000"/>
                <w:sz w:val="22"/>
                <w:szCs w:val="22"/>
                <w:lang w:eastAsia="en-US"/>
              </w:rPr>
              <w:t xml:space="preserve">кроме случаев, когда заявитель, в отношении которого сформирована </w:t>
            </w:r>
            <w:r w:rsidRPr="006F6DAC">
              <w:rPr>
                <w:rFonts w:ascii="Garamond" w:hAnsi="Garamond"/>
                <w:sz w:val="22"/>
                <w:szCs w:val="22"/>
              </w:rPr>
              <w:t>&lt;area&gt;</w:t>
            </w:r>
            <w:r w:rsidRPr="006F6DAC">
              <w:rPr>
                <w:rFonts w:ascii="Garamond" w:hAnsi="Garamond"/>
                <w:color w:val="000000"/>
                <w:sz w:val="22"/>
                <w:szCs w:val="22"/>
                <w:lang w:eastAsia="en-US"/>
              </w:rPr>
              <w:t xml:space="preserve">, до истечения вышеуказанного срока направил в КО официальное письмо о необходимости продления на 6 (шесть) месяцев срока использования данной </w:t>
            </w:r>
            <w:r w:rsidRPr="006F6DAC">
              <w:rPr>
                <w:rFonts w:ascii="Garamond" w:hAnsi="Garamond"/>
                <w:sz w:val="22"/>
                <w:szCs w:val="22"/>
              </w:rPr>
              <w:t>&lt;area&gt;</w:t>
            </w:r>
            <w:r w:rsidRPr="006F6DAC">
              <w:rPr>
                <w:rFonts w:ascii="Garamond" w:hAnsi="Garamond"/>
                <w:color w:val="000000"/>
                <w:sz w:val="22"/>
                <w:szCs w:val="22"/>
                <w:lang w:eastAsia="en-US"/>
              </w:rPr>
              <w:t xml:space="preserve"> с обязательным указанием ее кода</w:t>
            </w:r>
            <w:r w:rsidRPr="006F6DAC">
              <w:rPr>
                <w:rFonts w:ascii="Garamond" w:hAnsi="Garamond"/>
                <w:sz w:val="22"/>
                <w:szCs w:val="22"/>
              </w:rPr>
              <w:t xml:space="preserve">. </w:t>
            </w:r>
          </w:p>
          <w:p w14:paraId="3EE805B4" w14:textId="77777777" w:rsidR="00F11A8B" w:rsidRPr="006F6DAC" w:rsidRDefault="00F11A8B" w:rsidP="006F6DAC">
            <w:pPr>
              <w:pStyle w:val="a6"/>
              <w:tabs>
                <w:tab w:val="left" w:pos="1080"/>
              </w:tabs>
              <w:suppressAutoHyphens w:val="0"/>
              <w:spacing w:before="120" w:after="120"/>
              <w:ind w:firstLine="598"/>
              <w:jc w:val="both"/>
              <w:rPr>
                <w:rFonts w:ascii="Garamond" w:hAnsi="Garamond"/>
                <w:bCs w:val="0"/>
                <w:sz w:val="22"/>
                <w:szCs w:val="22"/>
              </w:rPr>
            </w:pPr>
            <w:r w:rsidRPr="006F6DAC">
              <w:rPr>
                <w:rFonts w:ascii="Garamond" w:hAnsi="Garamond"/>
                <w:sz w:val="22"/>
                <w:szCs w:val="22"/>
                <w:highlight w:val="yellow"/>
              </w:rPr>
              <w:t>При этом, если АИИС содержит одну единственную Группу (область) передаваемой информации, в отношении которой было принято решение о закрытии, то данная АИИС также подлежит закрытию от приема данных в ПАК КО.</w:t>
            </w:r>
          </w:p>
        </w:tc>
        <w:tc>
          <w:tcPr>
            <w:tcW w:w="7115" w:type="dxa"/>
          </w:tcPr>
          <w:p w14:paraId="662FAABF" w14:textId="77777777" w:rsidR="00F11A8B" w:rsidRPr="006F6DAC" w:rsidRDefault="00F11A8B" w:rsidP="006F6DAC">
            <w:pPr>
              <w:pStyle w:val="a6"/>
              <w:tabs>
                <w:tab w:val="left" w:pos="1080"/>
              </w:tabs>
              <w:suppressAutoHyphens w:val="0"/>
              <w:spacing w:before="120" w:after="120"/>
              <w:ind w:firstLine="598"/>
              <w:jc w:val="both"/>
              <w:rPr>
                <w:rFonts w:ascii="Garamond" w:hAnsi="Garamond"/>
                <w:b/>
                <w:bCs w:val="0"/>
                <w:sz w:val="22"/>
                <w:szCs w:val="22"/>
              </w:rPr>
            </w:pPr>
            <w:r w:rsidRPr="006F6DAC">
              <w:rPr>
                <w:rFonts w:ascii="Garamond" w:hAnsi="Garamond"/>
                <w:sz w:val="22"/>
                <w:szCs w:val="22"/>
              </w:rPr>
              <w:lastRenderedPageBreak/>
              <w:t>Для каждого планируемого состава точек поставки и точек измерений по ГТП генерации формируется отдельная Группа (область) передаваемой информации (параметр &lt;area&gt;) для передачи результатов измерений в макете 80020.</w:t>
            </w:r>
          </w:p>
          <w:p w14:paraId="4DB651DB" w14:textId="77777777" w:rsidR="00F11A8B" w:rsidRPr="006F6DAC" w:rsidRDefault="00F11A8B" w:rsidP="006F6DAC">
            <w:pPr>
              <w:tabs>
                <w:tab w:val="left" w:pos="0"/>
              </w:tabs>
              <w:spacing w:before="120" w:after="120"/>
              <w:ind w:firstLine="598"/>
              <w:jc w:val="both"/>
              <w:rPr>
                <w:rFonts w:ascii="Garamond" w:hAnsi="Garamond"/>
                <w:sz w:val="22"/>
                <w:szCs w:val="22"/>
              </w:rPr>
            </w:pPr>
            <w:r w:rsidRPr="006F6DAC">
              <w:rPr>
                <w:rFonts w:ascii="Garamond" w:hAnsi="Garamond"/>
                <w:sz w:val="22"/>
                <w:szCs w:val="22"/>
              </w:rPr>
              <w:t xml:space="preserve">Участник </w:t>
            </w:r>
            <w:r w:rsidRPr="006F6DAC">
              <w:rPr>
                <w:rFonts w:ascii="Garamond" w:hAnsi="Garamond"/>
                <w:sz w:val="22"/>
                <w:szCs w:val="22"/>
                <w:highlight w:val="yellow"/>
              </w:rPr>
              <w:t>оптового рынка</w:t>
            </w:r>
            <w:r w:rsidRPr="006F6DAC">
              <w:rPr>
                <w:rFonts w:ascii="Garamond" w:hAnsi="Garamond"/>
                <w:sz w:val="22"/>
                <w:szCs w:val="22"/>
              </w:rPr>
              <w:t xml:space="preserve"> может закрыть Группу (область) передаваемой информации (параметр &lt;area&gt;) </w:t>
            </w:r>
            <w:r w:rsidRPr="006F6DAC">
              <w:rPr>
                <w:rFonts w:ascii="Garamond" w:hAnsi="Garamond"/>
                <w:sz w:val="22"/>
                <w:szCs w:val="22"/>
                <w:highlight w:val="yellow"/>
              </w:rPr>
              <w:t>по ГТП генерации</w:t>
            </w:r>
            <w:r w:rsidRPr="006F6DAC">
              <w:rPr>
                <w:rFonts w:ascii="Garamond" w:hAnsi="Garamond"/>
                <w:sz w:val="22"/>
                <w:szCs w:val="22"/>
              </w:rPr>
              <w:t>, направив в КО официальное письмо с запросом о закрытии Группы с обязательным указанием ее кода.</w:t>
            </w:r>
          </w:p>
          <w:p w14:paraId="666F0AAF" w14:textId="77777777" w:rsidR="00F11A8B" w:rsidRPr="006F6DAC" w:rsidRDefault="00F11A8B" w:rsidP="006F6DAC">
            <w:pPr>
              <w:pStyle w:val="a6"/>
              <w:tabs>
                <w:tab w:val="left" w:pos="1080"/>
              </w:tabs>
              <w:spacing w:before="120" w:after="120"/>
              <w:ind w:firstLine="598"/>
              <w:jc w:val="both"/>
              <w:rPr>
                <w:rFonts w:ascii="Garamond" w:hAnsi="Garamond"/>
                <w:b/>
                <w:bCs w:val="0"/>
                <w:sz w:val="22"/>
                <w:szCs w:val="22"/>
              </w:rPr>
            </w:pPr>
            <w:r w:rsidRPr="006F6DAC">
              <w:rPr>
                <w:rFonts w:ascii="Garamond" w:hAnsi="Garamond"/>
                <w:sz w:val="22"/>
                <w:szCs w:val="22"/>
              </w:rPr>
              <w:t>В ГТП генерации на оптовом рынке по действующему составу точек поставки и точек измерений КО кодирует одну Группу (область) передаваемой информации (параметр &lt;area&gt;) для передачи результатов измерений в макете 80020. В случае внесения изменений в ГТП генерации Группа (область) передаваемой информации (параметр &lt;area&gt;) для передачи результатов измерений в макете 80020 по ранее действовавшему составу точек поставки и точек измерений закрывается с 6-го числа месяца, в котором у соответствующего субъекта оптового рынка возникло право участия в торговле электрической энергией и (или) мощностью с использованием измененной ГТП генерации.</w:t>
            </w:r>
          </w:p>
          <w:p w14:paraId="4CF9CA65" w14:textId="77777777" w:rsidR="00F11A8B" w:rsidRPr="006F6DAC" w:rsidRDefault="00F11A8B" w:rsidP="006F6DAC">
            <w:pPr>
              <w:tabs>
                <w:tab w:val="left" w:pos="0"/>
              </w:tabs>
              <w:spacing w:before="120" w:after="120"/>
              <w:ind w:firstLine="598"/>
              <w:jc w:val="both"/>
              <w:rPr>
                <w:rFonts w:ascii="Garamond" w:hAnsi="Garamond"/>
                <w:sz w:val="22"/>
                <w:szCs w:val="22"/>
              </w:rPr>
            </w:pPr>
            <w:r w:rsidRPr="006F6DAC">
              <w:rPr>
                <w:rFonts w:ascii="Garamond" w:hAnsi="Garamond"/>
                <w:sz w:val="22"/>
                <w:szCs w:val="22"/>
              </w:rPr>
              <w:t xml:space="preserve">Закрытие КО Группы (области) передаваемой информации по ГТП генерации </w:t>
            </w:r>
            <w:r w:rsidRPr="006F6DAC">
              <w:rPr>
                <w:rFonts w:ascii="Garamond" w:hAnsi="Garamond"/>
                <w:color w:val="000000"/>
                <w:sz w:val="22"/>
                <w:szCs w:val="22"/>
                <w:lang w:eastAsia="en-US"/>
              </w:rPr>
              <w:t xml:space="preserve">(в том числе по действующему составу) </w:t>
            </w:r>
            <w:r w:rsidRPr="006F6DAC">
              <w:rPr>
                <w:rFonts w:ascii="Garamond" w:hAnsi="Garamond"/>
                <w:sz w:val="22"/>
                <w:szCs w:val="22"/>
              </w:rPr>
              <w:t>для приема данных в ПАК КО осуществляется:</w:t>
            </w:r>
          </w:p>
          <w:p w14:paraId="25D650F8" w14:textId="77777777" w:rsidR="00F11A8B" w:rsidRPr="006F6DAC" w:rsidRDefault="00F11A8B" w:rsidP="00F11A8B">
            <w:pPr>
              <w:tabs>
                <w:tab w:val="left" w:pos="0"/>
              </w:tabs>
              <w:spacing w:before="120" w:after="120"/>
              <w:ind w:firstLine="567"/>
              <w:jc w:val="both"/>
              <w:rPr>
                <w:rFonts w:ascii="Garamond" w:hAnsi="Garamond"/>
                <w:sz w:val="22"/>
                <w:szCs w:val="22"/>
              </w:rPr>
            </w:pPr>
            <w:r w:rsidRPr="006F6DAC">
              <w:rPr>
                <w:rFonts w:ascii="Garamond" w:hAnsi="Garamond"/>
                <w:sz w:val="22"/>
                <w:szCs w:val="22"/>
              </w:rPr>
              <w:t xml:space="preserve">– в случае если субъект </w:t>
            </w:r>
            <w:r w:rsidRPr="006F6DAC">
              <w:rPr>
                <w:rFonts w:ascii="Garamond" w:hAnsi="Garamond"/>
                <w:sz w:val="22"/>
                <w:szCs w:val="22"/>
                <w:highlight w:val="yellow"/>
              </w:rPr>
              <w:t>ОРЭМ</w:t>
            </w:r>
            <w:r w:rsidRPr="006F6DAC">
              <w:rPr>
                <w:rFonts w:ascii="Garamond" w:hAnsi="Garamond"/>
                <w:sz w:val="22"/>
                <w:szCs w:val="22"/>
              </w:rPr>
              <w:t xml:space="preserve"> лишается статуса субъекта оптового рынка и (или) права участия с использованием ГТП генерации за исключением случаев, в которых решение о лишении заявителя статуса субъекта оптового рынка и (или) права участия с использованием ГТП принято в связи с приобретением Правопреемником права торговли электрической энергией (мощностью) на оптовом рынке в отношении соответствующей ГТП генерации, закрепленной на оптовом рынке за заявителем, в порядке, предусмотренном Положением о реестре;</w:t>
            </w:r>
          </w:p>
          <w:p w14:paraId="29ED107D" w14:textId="77777777" w:rsidR="00F11A8B" w:rsidRPr="006F6DAC" w:rsidRDefault="00F11A8B" w:rsidP="00F11A8B">
            <w:pPr>
              <w:tabs>
                <w:tab w:val="left" w:pos="0"/>
              </w:tabs>
              <w:spacing w:before="120" w:after="120"/>
              <w:ind w:firstLine="567"/>
              <w:jc w:val="both"/>
              <w:rPr>
                <w:rFonts w:ascii="Garamond" w:hAnsi="Garamond"/>
                <w:sz w:val="22"/>
                <w:szCs w:val="22"/>
              </w:rPr>
            </w:pPr>
            <w:r w:rsidRPr="006F6DAC">
              <w:rPr>
                <w:rFonts w:ascii="Garamond" w:hAnsi="Garamond"/>
                <w:sz w:val="22"/>
                <w:szCs w:val="22"/>
              </w:rPr>
              <w:t xml:space="preserve">– с даты отмены ранее принятого решения о предоставлении субъекту оптового рынка права участия в торговле электрической энергией и (или) мощностью на оптовом рынке с использованием соответствующей ГТП </w:t>
            </w:r>
            <w:r w:rsidRPr="006F6DAC">
              <w:rPr>
                <w:rFonts w:ascii="Garamond" w:hAnsi="Garamond"/>
                <w:sz w:val="22"/>
                <w:szCs w:val="22"/>
              </w:rPr>
              <w:lastRenderedPageBreak/>
              <w:t>генерации либо решения о регистрации соответствующей ГТП генерации в порядке, предусмотренном Положением о реестре;</w:t>
            </w:r>
          </w:p>
          <w:p w14:paraId="069E4F73" w14:textId="77777777" w:rsidR="00F11A8B" w:rsidRPr="006F6DAC" w:rsidRDefault="00F11A8B" w:rsidP="00F11A8B">
            <w:pPr>
              <w:tabs>
                <w:tab w:val="left" w:pos="0"/>
              </w:tabs>
              <w:spacing w:before="120" w:after="120"/>
              <w:ind w:firstLine="567"/>
              <w:jc w:val="both"/>
              <w:rPr>
                <w:rFonts w:ascii="Garamond" w:hAnsi="Garamond"/>
                <w:sz w:val="22"/>
                <w:szCs w:val="22"/>
              </w:rPr>
            </w:pPr>
            <w:r w:rsidRPr="006F6DAC">
              <w:rPr>
                <w:rFonts w:ascii="Garamond" w:hAnsi="Garamond"/>
                <w:sz w:val="22"/>
                <w:szCs w:val="22"/>
              </w:rPr>
              <w:t xml:space="preserve">– </w:t>
            </w:r>
            <w:r w:rsidRPr="006F6DAC">
              <w:rPr>
                <w:rFonts w:ascii="Garamond" w:hAnsi="Garamond"/>
                <w:color w:val="000000"/>
                <w:sz w:val="22"/>
                <w:szCs w:val="22"/>
                <w:lang w:eastAsia="en-US"/>
              </w:rPr>
              <w:t xml:space="preserve">в случае прекращения процедуры согласования ГТП генерации и регистрации ПСИ либо внесения изменений в регистрационную информацию в отношении ГТП генерации только в отношении </w:t>
            </w:r>
            <w:r w:rsidRPr="006F6DAC">
              <w:rPr>
                <w:rFonts w:ascii="Garamond" w:hAnsi="Garamond"/>
                <w:sz w:val="22"/>
                <w:szCs w:val="22"/>
              </w:rPr>
              <w:t>групп (областей) передаваемой информации, сформированных на основании комплекта документов, рассмотрение которого прекращено, –</w:t>
            </w:r>
            <w:r w:rsidRPr="006F6DAC">
              <w:rPr>
                <w:rFonts w:ascii="Garamond" w:hAnsi="Garamond"/>
                <w:color w:val="000000"/>
                <w:sz w:val="22"/>
                <w:szCs w:val="22"/>
                <w:lang w:eastAsia="en-US"/>
              </w:rPr>
              <w:t xml:space="preserve"> с даты прекращения указанных процедур</w:t>
            </w:r>
            <w:r w:rsidRPr="006F6DAC">
              <w:rPr>
                <w:rFonts w:ascii="Garamond" w:hAnsi="Garamond"/>
                <w:sz w:val="22"/>
                <w:szCs w:val="22"/>
              </w:rPr>
              <w:t>.</w:t>
            </w:r>
          </w:p>
          <w:p w14:paraId="025A9F8F" w14:textId="77777777" w:rsidR="00F11A8B" w:rsidRPr="006F6DAC" w:rsidRDefault="00F11A8B" w:rsidP="00F11A8B">
            <w:pPr>
              <w:tabs>
                <w:tab w:val="left" w:pos="0"/>
              </w:tabs>
              <w:spacing w:before="120" w:after="120"/>
              <w:jc w:val="both"/>
              <w:rPr>
                <w:rFonts w:ascii="Garamond" w:hAnsi="Garamond"/>
                <w:sz w:val="22"/>
                <w:szCs w:val="22"/>
              </w:rPr>
            </w:pPr>
            <w:r w:rsidRPr="006F6DAC">
              <w:rPr>
                <w:rFonts w:ascii="Garamond" w:hAnsi="Garamond"/>
                <w:sz w:val="22"/>
                <w:szCs w:val="22"/>
              </w:rPr>
              <w:t>Автоматическое закрытие Группы (области) передаваемой информации для приема данных в ПАК КО по соответствующей ГТП генерации, сформированной на планируемый состав точек поставки и (или) точек измерений, осуществляется с 1-го числа следующего календарного месяца:</w:t>
            </w:r>
          </w:p>
          <w:p w14:paraId="69A7EDF0" w14:textId="77777777" w:rsidR="00F11A8B" w:rsidRPr="006F6DAC" w:rsidRDefault="00F11A8B" w:rsidP="00F11A8B">
            <w:pPr>
              <w:tabs>
                <w:tab w:val="left" w:pos="1440"/>
              </w:tabs>
              <w:spacing w:before="120" w:after="120"/>
              <w:ind w:firstLine="567"/>
              <w:jc w:val="both"/>
              <w:rPr>
                <w:rFonts w:ascii="Garamond" w:hAnsi="Garamond"/>
                <w:sz w:val="22"/>
                <w:szCs w:val="22"/>
              </w:rPr>
            </w:pPr>
            <w:r w:rsidRPr="006F6DAC">
              <w:rPr>
                <w:rFonts w:ascii="Garamond" w:hAnsi="Garamond"/>
                <w:sz w:val="22"/>
                <w:szCs w:val="22"/>
              </w:rPr>
              <w:t xml:space="preserve"> – </w:t>
            </w:r>
            <w:r w:rsidRPr="006F6DAC">
              <w:rPr>
                <w:rFonts w:ascii="Garamond" w:hAnsi="Garamond"/>
                <w:color w:val="000000"/>
                <w:sz w:val="22"/>
                <w:szCs w:val="22"/>
                <w:lang w:eastAsia="en-US"/>
              </w:rPr>
              <w:t xml:space="preserve">при отсутствии в течение полных 24 (двадцати четырех) календарных месяцев с даты публикации КО </w:t>
            </w:r>
            <w:r w:rsidRPr="006F6DAC">
              <w:rPr>
                <w:rFonts w:ascii="Garamond" w:hAnsi="Garamond"/>
                <w:sz w:val="22"/>
                <w:szCs w:val="22"/>
              </w:rPr>
              <w:t>&lt;area&gt;</w:t>
            </w:r>
            <w:r w:rsidRPr="006F6DAC">
              <w:rPr>
                <w:rFonts w:ascii="Garamond" w:hAnsi="Garamond"/>
                <w:color w:val="000000"/>
                <w:sz w:val="22"/>
                <w:szCs w:val="22"/>
                <w:lang w:eastAsia="en-US"/>
              </w:rPr>
              <w:t xml:space="preserve"> (на своем официальном сайте, в веб-интерфейсе «Данные АИИС», зарегистрированного и вступившего в действие ПСИ в макетах 60000 (60090)), за исключением случаев, когда заявитель, в отношении которого сформирована </w:t>
            </w:r>
            <w:r w:rsidRPr="006F6DAC">
              <w:rPr>
                <w:rFonts w:ascii="Garamond" w:hAnsi="Garamond"/>
                <w:sz w:val="22"/>
                <w:szCs w:val="22"/>
              </w:rPr>
              <w:t>&lt;area&gt;</w:t>
            </w:r>
            <w:r w:rsidRPr="006F6DAC">
              <w:rPr>
                <w:rFonts w:ascii="Garamond" w:hAnsi="Garamond"/>
                <w:color w:val="000000"/>
                <w:sz w:val="22"/>
                <w:szCs w:val="22"/>
                <w:lang w:eastAsia="en-US"/>
              </w:rPr>
              <w:t xml:space="preserve">, до истечения вышеуказанного срока направил в КО официальное письмо о необходимости продления на 24 (двадцать четыре) месяца срока использования данной </w:t>
            </w:r>
            <w:r w:rsidRPr="006F6DAC">
              <w:rPr>
                <w:rFonts w:ascii="Garamond" w:hAnsi="Garamond"/>
                <w:sz w:val="22"/>
                <w:szCs w:val="22"/>
              </w:rPr>
              <w:t>&lt;area&gt;</w:t>
            </w:r>
            <w:r w:rsidRPr="006F6DAC">
              <w:rPr>
                <w:rFonts w:ascii="Garamond" w:hAnsi="Garamond"/>
                <w:color w:val="000000"/>
                <w:sz w:val="22"/>
                <w:szCs w:val="22"/>
                <w:lang w:eastAsia="en-US"/>
              </w:rPr>
              <w:t xml:space="preserve"> с обязательным указанием ее кода;</w:t>
            </w:r>
          </w:p>
          <w:p w14:paraId="6A600AD8" w14:textId="77777777" w:rsidR="00F11A8B" w:rsidRPr="006F6DAC" w:rsidRDefault="00F11A8B" w:rsidP="00F11A8B">
            <w:pPr>
              <w:widowControl w:val="0"/>
              <w:tabs>
                <w:tab w:val="left" w:pos="1440"/>
              </w:tabs>
              <w:spacing w:before="120" w:after="120"/>
              <w:ind w:firstLine="567"/>
              <w:jc w:val="both"/>
              <w:rPr>
                <w:rFonts w:ascii="Garamond" w:hAnsi="Garamond"/>
                <w:sz w:val="22"/>
                <w:szCs w:val="22"/>
              </w:rPr>
            </w:pPr>
            <w:r w:rsidRPr="006F6DAC">
              <w:rPr>
                <w:rFonts w:ascii="Garamond" w:hAnsi="Garamond"/>
                <w:sz w:val="22"/>
                <w:szCs w:val="22"/>
              </w:rPr>
              <w:t xml:space="preserve">– при отсутствии в течение полных 6 (шести) календарных месяцев принятых в ПАК КО документов с результатами измерений по точкам измерений, входящим в сформированную &lt;area&gt;, </w:t>
            </w:r>
            <w:r w:rsidRPr="006F6DAC">
              <w:rPr>
                <w:rFonts w:ascii="Garamond" w:hAnsi="Garamond"/>
                <w:color w:val="000000"/>
                <w:sz w:val="22"/>
                <w:szCs w:val="22"/>
                <w:lang w:eastAsia="en-US"/>
              </w:rPr>
              <w:t xml:space="preserve">кроме случаев, когда заявитель, в отношении которого сформирована </w:t>
            </w:r>
            <w:r w:rsidRPr="006F6DAC">
              <w:rPr>
                <w:rFonts w:ascii="Garamond" w:hAnsi="Garamond"/>
                <w:sz w:val="22"/>
                <w:szCs w:val="22"/>
              </w:rPr>
              <w:t>&lt;area&gt;</w:t>
            </w:r>
            <w:r w:rsidRPr="006F6DAC">
              <w:rPr>
                <w:rFonts w:ascii="Garamond" w:hAnsi="Garamond"/>
                <w:color w:val="000000"/>
                <w:sz w:val="22"/>
                <w:szCs w:val="22"/>
                <w:lang w:eastAsia="en-US"/>
              </w:rPr>
              <w:t xml:space="preserve">, до истечения вышеуказанного срока направил в КО официальное письмо о необходимости продления на 6 (шесть) месяцев срока использования данной </w:t>
            </w:r>
            <w:r w:rsidRPr="006F6DAC">
              <w:rPr>
                <w:rFonts w:ascii="Garamond" w:hAnsi="Garamond"/>
                <w:sz w:val="22"/>
                <w:szCs w:val="22"/>
              </w:rPr>
              <w:t>&lt;area&gt;</w:t>
            </w:r>
            <w:r w:rsidRPr="006F6DAC">
              <w:rPr>
                <w:rFonts w:ascii="Garamond" w:hAnsi="Garamond"/>
                <w:color w:val="000000"/>
                <w:sz w:val="22"/>
                <w:szCs w:val="22"/>
                <w:lang w:eastAsia="en-US"/>
              </w:rPr>
              <w:t xml:space="preserve"> с обязательным указанием ее кода</w:t>
            </w:r>
            <w:r w:rsidRPr="006F6DAC">
              <w:rPr>
                <w:rFonts w:ascii="Garamond" w:hAnsi="Garamond"/>
                <w:sz w:val="22"/>
                <w:szCs w:val="22"/>
              </w:rPr>
              <w:t xml:space="preserve">. </w:t>
            </w:r>
          </w:p>
          <w:p w14:paraId="018CFE94" w14:textId="77777777" w:rsidR="00F11A8B" w:rsidRPr="006F6DAC" w:rsidRDefault="00F11A8B" w:rsidP="00F11A8B">
            <w:pPr>
              <w:pStyle w:val="a6"/>
              <w:tabs>
                <w:tab w:val="left" w:pos="1080"/>
              </w:tabs>
              <w:suppressAutoHyphens w:val="0"/>
              <w:spacing w:before="120" w:after="120"/>
              <w:jc w:val="both"/>
              <w:rPr>
                <w:rFonts w:ascii="Garamond" w:hAnsi="Garamond"/>
                <w:bCs w:val="0"/>
                <w:sz w:val="22"/>
                <w:szCs w:val="22"/>
              </w:rPr>
            </w:pPr>
          </w:p>
        </w:tc>
      </w:tr>
      <w:tr w:rsidR="00F11A8B" w:rsidRPr="006F6DAC" w14:paraId="09F95E2B" w14:textId="77777777" w:rsidTr="006F6DAC">
        <w:tc>
          <w:tcPr>
            <w:tcW w:w="1060" w:type="dxa"/>
          </w:tcPr>
          <w:p w14:paraId="73A97AFB" w14:textId="77777777" w:rsidR="00F11A8B" w:rsidRPr="006F6DAC" w:rsidRDefault="00F11A8B" w:rsidP="00F11A8B">
            <w:pPr>
              <w:widowControl w:val="0"/>
              <w:spacing w:line="259" w:lineRule="auto"/>
              <w:jc w:val="center"/>
              <w:rPr>
                <w:rFonts w:ascii="Garamond" w:hAnsi="Garamond"/>
                <w:b/>
                <w:sz w:val="22"/>
                <w:szCs w:val="22"/>
                <w:lang w:eastAsia="en-US"/>
              </w:rPr>
            </w:pPr>
            <w:r w:rsidRPr="006F6DAC">
              <w:rPr>
                <w:rFonts w:ascii="Garamond" w:hAnsi="Garamond"/>
                <w:b/>
                <w:sz w:val="22"/>
                <w:szCs w:val="22"/>
                <w:lang w:eastAsia="en-US"/>
              </w:rPr>
              <w:lastRenderedPageBreak/>
              <w:t>3.9</w:t>
            </w:r>
          </w:p>
        </w:tc>
        <w:tc>
          <w:tcPr>
            <w:tcW w:w="6804" w:type="dxa"/>
          </w:tcPr>
          <w:p w14:paraId="47DFE4C9" w14:textId="77777777" w:rsidR="00F11A8B" w:rsidRPr="006F6DAC" w:rsidRDefault="00F11A8B" w:rsidP="006F6DAC">
            <w:pPr>
              <w:pStyle w:val="a6"/>
              <w:tabs>
                <w:tab w:val="left" w:pos="1080"/>
              </w:tabs>
              <w:suppressAutoHyphens w:val="0"/>
              <w:spacing w:before="120" w:after="120"/>
              <w:ind w:firstLine="598"/>
              <w:jc w:val="both"/>
              <w:rPr>
                <w:rFonts w:ascii="Garamond" w:hAnsi="Garamond"/>
                <w:b/>
                <w:sz w:val="22"/>
                <w:szCs w:val="22"/>
              </w:rPr>
            </w:pPr>
            <w:r w:rsidRPr="006F6DAC">
              <w:rPr>
                <w:rFonts w:ascii="Garamond" w:hAnsi="Garamond"/>
                <w:sz w:val="22"/>
                <w:szCs w:val="22"/>
              </w:rPr>
              <w:t xml:space="preserve">Для каждого планируемого состава точек поставки и точек измерений в сечении коммерческого учета, заявленного в составе ГТП </w:t>
            </w:r>
            <w:r w:rsidRPr="006F6DAC">
              <w:rPr>
                <w:rFonts w:ascii="Garamond" w:hAnsi="Garamond"/>
                <w:sz w:val="22"/>
                <w:szCs w:val="22"/>
              </w:rPr>
              <w:lastRenderedPageBreak/>
              <w:t>потребления (сечения коммерческого учета ФСК), формируется отдельная Группа (область) передаваемой информации (параметр &lt;area&gt;) для передачи результатов измерений в макете 80020, а при наличии «малых» точек – Группа (область) передаваемой информации (параметр &lt;area&gt;) для передачи результатов измерений в макете 80040.</w:t>
            </w:r>
          </w:p>
          <w:p w14:paraId="7358BCF9" w14:textId="77777777" w:rsidR="00F11A8B" w:rsidRPr="006F6DAC" w:rsidRDefault="00F11A8B" w:rsidP="006F6DAC">
            <w:pPr>
              <w:tabs>
                <w:tab w:val="left" w:pos="0"/>
              </w:tabs>
              <w:spacing w:before="120" w:after="120"/>
              <w:ind w:firstLine="598"/>
              <w:jc w:val="both"/>
              <w:rPr>
                <w:rFonts w:ascii="Garamond" w:hAnsi="Garamond"/>
                <w:sz w:val="22"/>
                <w:szCs w:val="22"/>
              </w:rPr>
            </w:pPr>
            <w:r w:rsidRPr="006F6DAC">
              <w:rPr>
                <w:rFonts w:ascii="Garamond" w:hAnsi="Garamond"/>
                <w:sz w:val="22"/>
                <w:szCs w:val="22"/>
              </w:rPr>
              <w:t>Участник может закрыть Группу (область) передаваемой информации (параметр &lt;area&gt;), направив в КО официальное письмо с запросом о закрытии Группы с обязательным указанием ее кода.</w:t>
            </w:r>
          </w:p>
          <w:p w14:paraId="2E568103" w14:textId="77777777" w:rsidR="00F11A8B" w:rsidRPr="006F6DAC" w:rsidRDefault="00F11A8B" w:rsidP="006F6DAC">
            <w:pPr>
              <w:pStyle w:val="a6"/>
              <w:tabs>
                <w:tab w:val="left" w:pos="1080"/>
              </w:tabs>
              <w:spacing w:before="120" w:after="120"/>
              <w:ind w:firstLine="598"/>
              <w:jc w:val="both"/>
              <w:rPr>
                <w:rFonts w:ascii="Garamond" w:hAnsi="Garamond"/>
                <w:b/>
                <w:sz w:val="22"/>
                <w:szCs w:val="22"/>
              </w:rPr>
            </w:pPr>
            <w:r w:rsidRPr="006F6DAC">
              <w:rPr>
                <w:rFonts w:ascii="Garamond" w:hAnsi="Garamond"/>
                <w:sz w:val="22"/>
                <w:szCs w:val="22"/>
              </w:rPr>
              <w:t>В сечении коммерческого учета на оптовом рынке по действующему составу точек поставки и точек измерений КО кодирует одну Группу (область) передаваемой информации (параметр &lt;area&gt;) для передачи результатов измерений в макете 80020, а также при наличии «малых» точек – дополнительную Группу (область) передаваемой информации (параметр &lt;area&gt;) для передачи результатов измерений в макете 80040. В случае внесения изменений в ГТП потребления (сечение коммерческого учета ФСК) Группа (область) передаваемой информации (параметр &lt;area&gt;) для передачи результатов измерений в макете 80020 (80040) по ранее действовавшему составу точек поставки и точек измерений закрывается с 6-го числа месяца, в котором у соответствующего субъекта оптового рынка возникло право участия в торговле электрической энергией и (или) мощностью с использованием измененной ГТП потребления либо с даты введения в действие ПСИ в сечении коммерческого учета ФСК.</w:t>
            </w:r>
          </w:p>
          <w:p w14:paraId="47A020F0" w14:textId="77777777" w:rsidR="00F11A8B" w:rsidRPr="006F6DAC" w:rsidRDefault="00F11A8B" w:rsidP="006F6DAC">
            <w:pPr>
              <w:tabs>
                <w:tab w:val="left" w:pos="0"/>
              </w:tabs>
              <w:spacing w:before="120" w:after="120"/>
              <w:ind w:firstLine="598"/>
              <w:jc w:val="both"/>
              <w:rPr>
                <w:rFonts w:ascii="Garamond" w:hAnsi="Garamond"/>
                <w:sz w:val="22"/>
                <w:szCs w:val="22"/>
              </w:rPr>
            </w:pPr>
            <w:r w:rsidRPr="006F6DAC">
              <w:rPr>
                <w:rFonts w:ascii="Garamond" w:hAnsi="Garamond"/>
                <w:sz w:val="22"/>
                <w:szCs w:val="22"/>
              </w:rPr>
              <w:t xml:space="preserve">Закрытие КО Группы (области) передаваемой информации по сечению коммерческого учета </w:t>
            </w:r>
            <w:r w:rsidRPr="006F6DAC">
              <w:rPr>
                <w:rFonts w:ascii="Garamond" w:hAnsi="Garamond"/>
                <w:color w:val="000000"/>
                <w:sz w:val="22"/>
                <w:szCs w:val="22"/>
                <w:lang w:eastAsia="en-US"/>
              </w:rPr>
              <w:t>(в том числе по действующему составу)</w:t>
            </w:r>
            <w:r w:rsidRPr="006F6DAC">
              <w:rPr>
                <w:rFonts w:ascii="Garamond" w:hAnsi="Garamond"/>
                <w:sz w:val="22"/>
                <w:szCs w:val="22"/>
              </w:rPr>
              <w:t>, входящему в состав ГТП потребления для приема данных в ПАК КО, осуществляется:</w:t>
            </w:r>
          </w:p>
          <w:p w14:paraId="651C70A6" w14:textId="77777777" w:rsidR="00F11A8B" w:rsidRPr="006F6DAC" w:rsidRDefault="00F11A8B" w:rsidP="00F11A8B">
            <w:pPr>
              <w:tabs>
                <w:tab w:val="left" w:pos="0"/>
              </w:tabs>
              <w:spacing w:before="120" w:after="120"/>
              <w:ind w:firstLine="567"/>
              <w:jc w:val="both"/>
              <w:rPr>
                <w:rFonts w:ascii="Garamond" w:hAnsi="Garamond"/>
                <w:sz w:val="22"/>
                <w:szCs w:val="22"/>
              </w:rPr>
            </w:pPr>
            <w:r w:rsidRPr="006F6DAC">
              <w:rPr>
                <w:rFonts w:ascii="Garamond" w:hAnsi="Garamond"/>
                <w:sz w:val="22"/>
                <w:szCs w:val="22"/>
              </w:rPr>
              <w:t>– в случае если субъект лишается статуса субъекта оптового рынка и (или) права участия с использованием ГТП потребления за исключением случаев, в которых решение о лишении заявителя статуса субъекта оптового рынка и (или) права участия с использованием ГТП потребления принято в связи с приобретением Правопреемником права торговли электрической энергией (мощностью) на оптовом рынке в отношении соответствующей ГТП потребления, закрепленной на оптовом рынке за заявителем, в порядке, предусмотренном Положением о реестре;</w:t>
            </w:r>
          </w:p>
          <w:p w14:paraId="0F1A8BDD" w14:textId="77777777" w:rsidR="00F11A8B" w:rsidRPr="006F6DAC" w:rsidRDefault="00F11A8B" w:rsidP="00F11A8B">
            <w:pPr>
              <w:tabs>
                <w:tab w:val="left" w:pos="0"/>
              </w:tabs>
              <w:spacing w:before="120" w:after="120"/>
              <w:ind w:firstLine="567"/>
              <w:jc w:val="both"/>
              <w:rPr>
                <w:rFonts w:ascii="Garamond" w:hAnsi="Garamond"/>
                <w:sz w:val="22"/>
                <w:szCs w:val="22"/>
              </w:rPr>
            </w:pPr>
            <w:r w:rsidRPr="006F6DAC">
              <w:rPr>
                <w:rFonts w:ascii="Garamond" w:hAnsi="Garamond"/>
                <w:sz w:val="22"/>
                <w:szCs w:val="22"/>
              </w:rPr>
              <w:lastRenderedPageBreak/>
              <w:t>– с даты отмены ранее принятого решения о предоставлении субъекту оптового рынка права участия в торговле электрической энергией и (или) мощностью на оптовом рынке с использованием соответствующей ГТП потребления либо решения о регистрации соответствующей ГТП потребления в порядке, предусмотренном Положением о реестре;</w:t>
            </w:r>
          </w:p>
          <w:p w14:paraId="087464EC" w14:textId="77777777" w:rsidR="00F11A8B" w:rsidRPr="006F6DAC" w:rsidRDefault="00F11A8B" w:rsidP="00F11A8B">
            <w:pPr>
              <w:tabs>
                <w:tab w:val="left" w:pos="0"/>
              </w:tabs>
              <w:spacing w:before="120" w:after="120"/>
              <w:ind w:firstLine="567"/>
              <w:jc w:val="both"/>
              <w:rPr>
                <w:rFonts w:ascii="Garamond" w:hAnsi="Garamond"/>
                <w:sz w:val="22"/>
                <w:szCs w:val="22"/>
              </w:rPr>
            </w:pPr>
            <w:r w:rsidRPr="006F6DAC">
              <w:rPr>
                <w:rFonts w:ascii="Garamond" w:hAnsi="Garamond"/>
                <w:sz w:val="22"/>
                <w:szCs w:val="22"/>
              </w:rPr>
              <w:t xml:space="preserve">– </w:t>
            </w:r>
            <w:r w:rsidRPr="006F6DAC">
              <w:rPr>
                <w:rFonts w:ascii="Garamond" w:hAnsi="Garamond"/>
                <w:color w:val="000000"/>
                <w:sz w:val="22"/>
                <w:szCs w:val="22"/>
                <w:lang w:eastAsia="en-US"/>
              </w:rPr>
              <w:t xml:space="preserve">в случае прекращения процедуры согласования ГТП потребления и регистрации ПСИ (изменения сечения </w:t>
            </w:r>
            <w:r w:rsidRPr="006F6DAC">
              <w:rPr>
                <w:rFonts w:ascii="Garamond" w:hAnsi="Garamond"/>
                <w:sz w:val="22"/>
                <w:szCs w:val="22"/>
              </w:rPr>
              <w:t xml:space="preserve">коммерческого учета </w:t>
            </w:r>
            <w:r w:rsidRPr="006F6DAC">
              <w:rPr>
                <w:rFonts w:ascii="Garamond" w:hAnsi="Garamond"/>
                <w:color w:val="000000"/>
                <w:sz w:val="22"/>
                <w:szCs w:val="22"/>
                <w:lang w:eastAsia="en-US"/>
              </w:rPr>
              <w:t>ФСК) либо внесения изменений в регистрационную информацию в отношении ГТП потребления (сечения</w:t>
            </w:r>
            <w:r w:rsidRPr="006F6DAC">
              <w:rPr>
                <w:rFonts w:ascii="Garamond" w:hAnsi="Garamond"/>
                <w:sz w:val="22"/>
                <w:szCs w:val="22"/>
              </w:rPr>
              <w:t xml:space="preserve"> коммерческого учета</w:t>
            </w:r>
            <w:r w:rsidRPr="006F6DAC">
              <w:rPr>
                <w:rFonts w:ascii="Garamond" w:hAnsi="Garamond"/>
                <w:color w:val="000000"/>
                <w:sz w:val="22"/>
                <w:szCs w:val="22"/>
                <w:lang w:eastAsia="en-US"/>
              </w:rPr>
              <w:t xml:space="preserve"> ФСК) только в отношении </w:t>
            </w:r>
            <w:r w:rsidRPr="006F6DAC">
              <w:rPr>
                <w:rFonts w:ascii="Garamond" w:hAnsi="Garamond"/>
                <w:sz w:val="22"/>
                <w:szCs w:val="22"/>
              </w:rPr>
              <w:t>групп (областей) передаваемой информации, сформированных на основании комплекта документов, рассмотрение которого прекращено,</w:t>
            </w:r>
            <w:r w:rsidRPr="006F6DAC">
              <w:rPr>
                <w:rFonts w:ascii="Garamond" w:hAnsi="Garamond"/>
                <w:color w:val="000000"/>
                <w:sz w:val="22"/>
                <w:szCs w:val="22"/>
                <w:lang w:eastAsia="en-US"/>
              </w:rPr>
              <w:t xml:space="preserve"> – с даты прекращения указанных процедур</w:t>
            </w:r>
            <w:r w:rsidRPr="006F6DAC">
              <w:rPr>
                <w:rFonts w:ascii="Garamond" w:hAnsi="Garamond"/>
                <w:sz w:val="22"/>
                <w:szCs w:val="22"/>
              </w:rPr>
              <w:t>.</w:t>
            </w:r>
          </w:p>
          <w:p w14:paraId="745057B8" w14:textId="77777777" w:rsidR="00F11A8B" w:rsidRPr="006F6DAC" w:rsidRDefault="00F11A8B" w:rsidP="006F6DAC">
            <w:pPr>
              <w:tabs>
                <w:tab w:val="left" w:pos="0"/>
              </w:tabs>
              <w:spacing w:before="120" w:after="120"/>
              <w:ind w:firstLine="598"/>
              <w:jc w:val="both"/>
              <w:rPr>
                <w:rFonts w:ascii="Garamond" w:hAnsi="Garamond"/>
                <w:sz w:val="22"/>
                <w:szCs w:val="22"/>
              </w:rPr>
            </w:pPr>
            <w:r w:rsidRPr="006F6DAC">
              <w:rPr>
                <w:rFonts w:ascii="Garamond" w:hAnsi="Garamond"/>
                <w:sz w:val="22"/>
                <w:szCs w:val="22"/>
              </w:rPr>
              <w:t>Автоматическое закрытие Группы (области) передаваемой информации для приема данных в ПАК КО по планируемому составу точек поставки и (или) точек измерений по соответствующему сечению коммерческого учета осуществляется с 1-го числа следующего календарного месяца:</w:t>
            </w:r>
          </w:p>
          <w:p w14:paraId="49423191" w14:textId="77777777" w:rsidR="00F11A8B" w:rsidRPr="006F6DAC" w:rsidRDefault="00F11A8B" w:rsidP="00F11A8B">
            <w:pPr>
              <w:tabs>
                <w:tab w:val="left" w:pos="1440"/>
              </w:tabs>
              <w:spacing w:before="120" w:after="120"/>
              <w:ind w:firstLine="567"/>
              <w:jc w:val="both"/>
              <w:rPr>
                <w:rFonts w:ascii="Garamond" w:hAnsi="Garamond"/>
                <w:sz w:val="22"/>
                <w:szCs w:val="22"/>
              </w:rPr>
            </w:pPr>
            <w:r w:rsidRPr="006F6DAC">
              <w:rPr>
                <w:rFonts w:ascii="Garamond" w:hAnsi="Garamond"/>
                <w:sz w:val="22"/>
                <w:szCs w:val="22"/>
              </w:rPr>
              <w:t xml:space="preserve">– </w:t>
            </w:r>
            <w:r w:rsidRPr="006F6DAC">
              <w:rPr>
                <w:rFonts w:ascii="Garamond" w:hAnsi="Garamond"/>
                <w:color w:val="000000"/>
                <w:sz w:val="22"/>
                <w:szCs w:val="22"/>
                <w:lang w:eastAsia="en-US"/>
              </w:rPr>
              <w:t xml:space="preserve">при отсутствии в течение полных 24 (двадцати четырех) календарных месяцев с даты публикации КО </w:t>
            </w:r>
            <w:r w:rsidRPr="006F6DAC">
              <w:rPr>
                <w:rFonts w:ascii="Garamond" w:hAnsi="Garamond"/>
                <w:sz w:val="22"/>
                <w:szCs w:val="22"/>
              </w:rPr>
              <w:t>&lt;area&gt;</w:t>
            </w:r>
            <w:r w:rsidRPr="006F6DAC">
              <w:rPr>
                <w:rFonts w:ascii="Garamond" w:hAnsi="Garamond"/>
                <w:color w:val="000000"/>
                <w:sz w:val="22"/>
                <w:szCs w:val="22"/>
                <w:lang w:eastAsia="en-US"/>
              </w:rPr>
              <w:t xml:space="preserve"> на своем официальном сайте, в веб-интерфейсе «Данные АИИС», зарегистрированного и вступившего в действие ПСИ в макетах 60000 (60090), за исключением случаев, когда субъект оптового рынка, в отношении которого сформирована </w:t>
            </w:r>
            <w:r w:rsidRPr="006F6DAC">
              <w:rPr>
                <w:rFonts w:ascii="Garamond" w:hAnsi="Garamond"/>
                <w:sz w:val="22"/>
                <w:szCs w:val="22"/>
              </w:rPr>
              <w:t>&lt;area&gt;</w:t>
            </w:r>
            <w:r w:rsidRPr="006F6DAC">
              <w:rPr>
                <w:rFonts w:ascii="Garamond" w:hAnsi="Garamond"/>
                <w:color w:val="000000"/>
                <w:sz w:val="22"/>
                <w:szCs w:val="22"/>
                <w:lang w:eastAsia="en-US"/>
              </w:rPr>
              <w:t xml:space="preserve">, до истечения вышеуказанного срока направил в КО официальное письмо о необходимости продления на 24 (двадцать четыре) месяца срока использования данной </w:t>
            </w:r>
            <w:r w:rsidRPr="006F6DAC">
              <w:rPr>
                <w:rFonts w:ascii="Garamond" w:hAnsi="Garamond"/>
                <w:sz w:val="22"/>
                <w:szCs w:val="22"/>
              </w:rPr>
              <w:t>&lt;area&gt;</w:t>
            </w:r>
            <w:r w:rsidRPr="006F6DAC">
              <w:rPr>
                <w:rFonts w:ascii="Garamond" w:hAnsi="Garamond"/>
                <w:color w:val="000000"/>
                <w:sz w:val="22"/>
                <w:szCs w:val="22"/>
                <w:lang w:eastAsia="en-US"/>
              </w:rPr>
              <w:t>) с обязательным указанием ее кода;</w:t>
            </w:r>
          </w:p>
          <w:p w14:paraId="0B746E1B" w14:textId="77777777" w:rsidR="00F11A8B" w:rsidRPr="006F6DAC" w:rsidRDefault="00F11A8B" w:rsidP="00F11A8B">
            <w:pPr>
              <w:tabs>
                <w:tab w:val="left" w:pos="0"/>
              </w:tabs>
              <w:spacing w:before="120" w:after="120"/>
              <w:ind w:firstLine="567"/>
              <w:jc w:val="both"/>
              <w:rPr>
                <w:rFonts w:ascii="Garamond" w:hAnsi="Garamond"/>
                <w:sz w:val="22"/>
                <w:szCs w:val="22"/>
              </w:rPr>
            </w:pPr>
            <w:r w:rsidRPr="006F6DAC">
              <w:rPr>
                <w:rFonts w:ascii="Garamond" w:hAnsi="Garamond"/>
                <w:sz w:val="22"/>
                <w:szCs w:val="22"/>
              </w:rPr>
              <w:t>– при отсутствии в течение полных 6 (шести) календарных месяцев принятых в ПАК КО документов с результатами измерений по точкам измерений, входящим в сформированную &lt;area&gt;</w:t>
            </w:r>
            <w:r w:rsidRPr="006F6DAC">
              <w:rPr>
                <w:rFonts w:ascii="Garamond" w:hAnsi="Garamond"/>
                <w:color w:val="000000"/>
                <w:sz w:val="22"/>
                <w:szCs w:val="22"/>
                <w:lang w:eastAsia="en-US"/>
              </w:rPr>
              <w:t>,</w:t>
            </w:r>
            <w:r w:rsidRPr="006F6DAC">
              <w:rPr>
                <w:rFonts w:ascii="Garamond" w:hAnsi="Garamond"/>
                <w:sz w:val="22"/>
                <w:szCs w:val="22"/>
              </w:rPr>
              <w:t xml:space="preserve"> </w:t>
            </w:r>
            <w:r w:rsidRPr="006F6DAC">
              <w:rPr>
                <w:rFonts w:ascii="Garamond" w:hAnsi="Garamond"/>
                <w:color w:val="000000"/>
                <w:sz w:val="22"/>
                <w:szCs w:val="22"/>
                <w:lang w:eastAsia="en-US"/>
              </w:rPr>
              <w:t xml:space="preserve">за исключением случаев, когда субъект оптового рынка, в отношении которого сформирована </w:t>
            </w:r>
            <w:r w:rsidRPr="006F6DAC">
              <w:rPr>
                <w:rFonts w:ascii="Garamond" w:hAnsi="Garamond"/>
                <w:sz w:val="22"/>
                <w:szCs w:val="22"/>
              </w:rPr>
              <w:t>&lt;area&gt;</w:t>
            </w:r>
            <w:r w:rsidRPr="006F6DAC">
              <w:rPr>
                <w:rFonts w:ascii="Garamond" w:hAnsi="Garamond"/>
                <w:color w:val="000000"/>
                <w:sz w:val="22"/>
                <w:szCs w:val="22"/>
                <w:lang w:eastAsia="en-US"/>
              </w:rPr>
              <w:t xml:space="preserve">, до истечения вышеуказанного срока направил в КО официальное письмо о необходимости продления на 6 (шесть) месяцев срока использования данной </w:t>
            </w:r>
            <w:r w:rsidRPr="006F6DAC">
              <w:rPr>
                <w:rFonts w:ascii="Garamond" w:hAnsi="Garamond"/>
                <w:sz w:val="22"/>
                <w:szCs w:val="22"/>
              </w:rPr>
              <w:t xml:space="preserve">&lt;area&gt; </w:t>
            </w:r>
            <w:r w:rsidRPr="006F6DAC">
              <w:rPr>
                <w:rFonts w:ascii="Garamond" w:hAnsi="Garamond"/>
                <w:color w:val="000000"/>
                <w:sz w:val="22"/>
                <w:szCs w:val="22"/>
                <w:lang w:eastAsia="en-US"/>
              </w:rPr>
              <w:t>с обязательным указанием ее кода.</w:t>
            </w:r>
          </w:p>
          <w:p w14:paraId="0CB0C0E7" w14:textId="77777777" w:rsidR="00F11A8B" w:rsidRPr="006F6DAC" w:rsidRDefault="00F11A8B" w:rsidP="006F6DAC">
            <w:pPr>
              <w:pStyle w:val="a6"/>
              <w:tabs>
                <w:tab w:val="left" w:pos="1080"/>
              </w:tabs>
              <w:suppressAutoHyphens w:val="0"/>
              <w:spacing w:before="120" w:after="120"/>
              <w:ind w:firstLine="598"/>
              <w:jc w:val="both"/>
              <w:rPr>
                <w:rFonts w:ascii="Garamond" w:hAnsi="Garamond"/>
                <w:sz w:val="22"/>
                <w:szCs w:val="22"/>
              </w:rPr>
            </w:pPr>
            <w:r w:rsidRPr="006F6DAC">
              <w:rPr>
                <w:rFonts w:ascii="Garamond" w:hAnsi="Garamond"/>
                <w:sz w:val="22"/>
                <w:szCs w:val="22"/>
                <w:highlight w:val="yellow"/>
              </w:rPr>
              <w:lastRenderedPageBreak/>
              <w:t>При этом, если АИИС содержит одну единственную Группу (область) передаваемой информации, в отношении которой было принято решение о закрытии, то данная АИИС также подлежит закрытию от приема данных в ПАК КО.</w:t>
            </w:r>
          </w:p>
        </w:tc>
        <w:tc>
          <w:tcPr>
            <w:tcW w:w="7115" w:type="dxa"/>
          </w:tcPr>
          <w:p w14:paraId="73E50F25" w14:textId="77777777" w:rsidR="00F11A8B" w:rsidRPr="006F6DAC" w:rsidRDefault="00F11A8B" w:rsidP="006F6DAC">
            <w:pPr>
              <w:pStyle w:val="a6"/>
              <w:tabs>
                <w:tab w:val="left" w:pos="1080"/>
              </w:tabs>
              <w:suppressAutoHyphens w:val="0"/>
              <w:spacing w:before="120" w:after="120"/>
              <w:ind w:firstLine="598"/>
              <w:jc w:val="both"/>
              <w:rPr>
                <w:rFonts w:ascii="Garamond" w:hAnsi="Garamond"/>
                <w:b/>
                <w:sz w:val="22"/>
                <w:szCs w:val="22"/>
              </w:rPr>
            </w:pPr>
            <w:r w:rsidRPr="006F6DAC">
              <w:rPr>
                <w:rFonts w:ascii="Garamond" w:hAnsi="Garamond"/>
                <w:sz w:val="22"/>
                <w:szCs w:val="22"/>
              </w:rPr>
              <w:lastRenderedPageBreak/>
              <w:t xml:space="preserve">Для каждого планируемого состава точек поставки и точек измерений в сечении коммерческого учета, заявленного в составе ГТП потребления </w:t>
            </w:r>
            <w:r w:rsidRPr="006F6DAC">
              <w:rPr>
                <w:rFonts w:ascii="Garamond" w:hAnsi="Garamond"/>
                <w:sz w:val="22"/>
                <w:szCs w:val="22"/>
              </w:rPr>
              <w:lastRenderedPageBreak/>
              <w:t xml:space="preserve">(сечения коммерческого учета ФСК), формируется отдельная Группа (область) передаваемой информации (параметр &lt;area&gt;) для передачи результатов измерений в макете 80020, а при наличии «малых» точек </w:t>
            </w:r>
            <w:r w:rsidRPr="006F6DAC">
              <w:rPr>
                <w:rFonts w:ascii="Garamond" w:hAnsi="Garamond"/>
                <w:sz w:val="22"/>
                <w:szCs w:val="22"/>
                <w:highlight w:val="yellow"/>
              </w:rPr>
              <w:t>измерений</w:t>
            </w:r>
            <w:r w:rsidRPr="006F6DAC">
              <w:rPr>
                <w:rFonts w:ascii="Garamond" w:hAnsi="Garamond"/>
                <w:sz w:val="22"/>
                <w:szCs w:val="22"/>
              </w:rPr>
              <w:t xml:space="preserve"> – </w:t>
            </w:r>
            <w:r w:rsidRPr="006F6DAC">
              <w:rPr>
                <w:rFonts w:ascii="Garamond" w:hAnsi="Garamond"/>
                <w:sz w:val="22"/>
                <w:szCs w:val="22"/>
                <w:highlight w:val="yellow"/>
              </w:rPr>
              <w:t>отдельная</w:t>
            </w:r>
            <w:r w:rsidRPr="006F6DAC">
              <w:rPr>
                <w:rFonts w:ascii="Garamond" w:hAnsi="Garamond"/>
                <w:sz w:val="22"/>
                <w:szCs w:val="22"/>
              </w:rPr>
              <w:t xml:space="preserve"> Группа (область) передаваемой информации (параметр &lt;area&gt;) для передачи результатов измерений в макете 80040.</w:t>
            </w:r>
          </w:p>
          <w:p w14:paraId="3582E53E" w14:textId="77777777" w:rsidR="00F11A8B" w:rsidRPr="006F6DAC" w:rsidRDefault="00F11A8B" w:rsidP="006F6DAC">
            <w:pPr>
              <w:tabs>
                <w:tab w:val="left" w:pos="0"/>
              </w:tabs>
              <w:spacing w:before="120" w:after="120"/>
              <w:ind w:firstLine="598"/>
              <w:jc w:val="both"/>
              <w:rPr>
                <w:rFonts w:ascii="Garamond" w:hAnsi="Garamond"/>
                <w:sz w:val="22"/>
                <w:szCs w:val="22"/>
              </w:rPr>
            </w:pPr>
            <w:r w:rsidRPr="006F6DAC">
              <w:rPr>
                <w:rFonts w:ascii="Garamond" w:hAnsi="Garamond"/>
                <w:sz w:val="22"/>
                <w:szCs w:val="22"/>
              </w:rPr>
              <w:t xml:space="preserve">Участник </w:t>
            </w:r>
            <w:r w:rsidRPr="006F6DAC">
              <w:rPr>
                <w:rFonts w:ascii="Garamond" w:hAnsi="Garamond"/>
                <w:sz w:val="22"/>
                <w:szCs w:val="22"/>
                <w:highlight w:val="yellow"/>
              </w:rPr>
              <w:t>оптового рынка</w:t>
            </w:r>
            <w:r w:rsidRPr="006F6DAC">
              <w:rPr>
                <w:rFonts w:ascii="Garamond" w:hAnsi="Garamond"/>
                <w:sz w:val="22"/>
                <w:szCs w:val="22"/>
              </w:rPr>
              <w:t xml:space="preserve"> </w:t>
            </w:r>
            <w:r w:rsidRPr="006F6DAC">
              <w:rPr>
                <w:rFonts w:ascii="Garamond" w:hAnsi="Garamond"/>
                <w:sz w:val="22"/>
                <w:szCs w:val="22"/>
                <w:highlight w:val="yellow"/>
              </w:rPr>
              <w:t>(ФСК)</w:t>
            </w:r>
            <w:r w:rsidRPr="006F6DAC">
              <w:rPr>
                <w:rFonts w:ascii="Garamond" w:hAnsi="Garamond"/>
                <w:sz w:val="22"/>
                <w:szCs w:val="22"/>
              </w:rPr>
              <w:t xml:space="preserve"> может закрыть Группу (область) передаваемой информации (параметр &lt;area&gt;) </w:t>
            </w:r>
            <w:r w:rsidRPr="006F6DAC">
              <w:rPr>
                <w:rFonts w:ascii="Garamond" w:hAnsi="Garamond"/>
                <w:sz w:val="22"/>
                <w:szCs w:val="22"/>
                <w:highlight w:val="yellow"/>
              </w:rPr>
              <w:t>по сечению коммерческого учета</w:t>
            </w:r>
            <w:r w:rsidRPr="006F6DAC">
              <w:rPr>
                <w:rFonts w:ascii="Garamond" w:hAnsi="Garamond"/>
                <w:sz w:val="22"/>
                <w:szCs w:val="22"/>
              </w:rPr>
              <w:t>, направив в КО официальное письмо с запросом о закрытии Группы с обязательным указанием ее кода.</w:t>
            </w:r>
          </w:p>
          <w:p w14:paraId="79A15D74" w14:textId="77777777" w:rsidR="00F11A8B" w:rsidRPr="006F6DAC" w:rsidRDefault="00F11A8B" w:rsidP="006F6DAC">
            <w:pPr>
              <w:pStyle w:val="a6"/>
              <w:tabs>
                <w:tab w:val="left" w:pos="1080"/>
              </w:tabs>
              <w:spacing w:before="120" w:after="120"/>
              <w:ind w:firstLine="598"/>
              <w:jc w:val="both"/>
              <w:rPr>
                <w:rFonts w:ascii="Garamond" w:hAnsi="Garamond"/>
                <w:b/>
                <w:sz w:val="22"/>
                <w:szCs w:val="22"/>
              </w:rPr>
            </w:pPr>
            <w:r w:rsidRPr="006F6DAC">
              <w:rPr>
                <w:rFonts w:ascii="Garamond" w:hAnsi="Garamond"/>
                <w:sz w:val="22"/>
                <w:szCs w:val="22"/>
              </w:rPr>
              <w:t>В сечении коммерческого учета на оптовом рынке по действующему составу точек поставки и точек измерений КО кодирует одну Группу (область) передаваемой информации (параметр &lt;area&gt;) для передачи результатов измерений в макете 80020, а также при наличии «малых» точек – дополнительную Группу (область) передаваемой информации (параметр &lt;area&gt;) для передачи результатов измерений в макете 80040. В случае внесения изменений в ГТП потребления (сечение коммерческого учета ФСК) Группа (область) передаваемой информации (параметр &lt;area&gt;) для передачи результатов измерений в макете 80020 (80040) по ранее действовавшему составу точек поставки и точек измерений закрывается с 6-го числа месяца, в котором у соответствующего субъекта оптового рынка возникло право участия в торговле электрической энергией и (или) мощностью с использованием измененной ГТП потребления либо с даты введения в действие ПСИ в сечении коммерческого учета ФСК.</w:t>
            </w:r>
          </w:p>
          <w:p w14:paraId="3E8B147D" w14:textId="77777777" w:rsidR="00F11A8B" w:rsidRPr="006F6DAC" w:rsidRDefault="00F11A8B" w:rsidP="006F6DAC">
            <w:pPr>
              <w:tabs>
                <w:tab w:val="left" w:pos="0"/>
              </w:tabs>
              <w:spacing w:before="120" w:after="120"/>
              <w:ind w:firstLine="598"/>
              <w:jc w:val="both"/>
              <w:rPr>
                <w:rFonts w:ascii="Garamond" w:hAnsi="Garamond"/>
                <w:sz w:val="22"/>
                <w:szCs w:val="22"/>
              </w:rPr>
            </w:pPr>
            <w:r w:rsidRPr="006F6DAC">
              <w:rPr>
                <w:rFonts w:ascii="Garamond" w:hAnsi="Garamond"/>
                <w:sz w:val="22"/>
                <w:szCs w:val="22"/>
              </w:rPr>
              <w:t xml:space="preserve">Закрытие КО Группы (области) передаваемой информации по сечению коммерческого учета </w:t>
            </w:r>
            <w:r w:rsidRPr="006F6DAC">
              <w:rPr>
                <w:rFonts w:ascii="Garamond" w:hAnsi="Garamond"/>
                <w:color w:val="000000"/>
                <w:sz w:val="22"/>
                <w:szCs w:val="22"/>
                <w:lang w:eastAsia="en-US"/>
              </w:rPr>
              <w:t>(в том числе по действующему составу)</w:t>
            </w:r>
            <w:r w:rsidRPr="006F6DAC">
              <w:rPr>
                <w:rFonts w:ascii="Garamond" w:hAnsi="Garamond"/>
                <w:sz w:val="22"/>
                <w:szCs w:val="22"/>
              </w:rPr>
              <w:t>, входящему в состав ГТП потребления для приема данных в ПАК КО, осуществляется:</w:t>
            </w:r>
          </w:p>
          <w:p w14:paraId="789DE83B" w14:textId="77777777" w:rsidR="00F11A8B" w:rsidRPr="006F6DAC" w:rsidRDefault="00F11A8B" w:rsidP="00F11A8B">
            <w:pPr>
              <w:tabs>
                <w:tab w:val="left" w:pos="0"/>
              </w:tabs>
              <w:spacing w:before="120" w:after="120"/>
              <w:ind w:firstLine="567"/>
              <w:jc w:val="both"/>
              <w:rPr>
                <w:rFonts w:ascii="Garamond" w:hAnsi="Garamond"/>
                <w:sz w:val="22"/>
                <w:szCs w:val="22"/>
              </w:rPr>
            </w:pPr>
            <w:r w:rsidRPr="006F6DAC">
              <w:rPr>
                <w:rFonts w:ascii="Garamond" w:hAnsi="Garamond"/>
                <w:sz w:val="22"/>
                <w:szCs w:val="22"/>
              </w:rPr>
              <w:t xml:space="preserve">– в случае если субъект </w:t>
            </w:r>
            <w:r w:rsidRPr="006F6DAC">
              <w:rPr>
                <w:rFonts w:ascii="Garamond" w:hAnsi="Garamond"/>
                <w:sz w:val="22"/>
                <w:szCs w:val="22"/>
                <w:highlight w:val="yellow"/>
              </w:rPr>
              <w:t>ОРЭМ</w:t>
            </w:r>
            <w:r w:rsidRPr="006F6DAC">
              <w:rPr>
                <w:rFonts w:ascii="Garamond" w:hAnsi="Garamond"/>
                <w:sz w:val="22"/>
                <w:szCs w:val="22"/>
              </w:rPr>
              <w:t xml:space="preserve"> лишается статуса субъекта оптового рынка и (или) права участия с использованием ГТП потребления за исключением случаев, в которых решение о лишении заявителя статуса субъекта оптового рынка и (или) права участия с использованием ГТП потребления принято в связи с приобретением Правопреемником права торговли электрической энергией (мощностью) на оптовом рынке в отношении соответствующей ГТП потребления, закрепленной на оптовом рынке за заявителем, в порядке, предусмотренном Положением о реестре;</w:t>
            </w:r>
          </w:p>
          <w:p w14:paraId="5CE3240E" w14:textId="77777777" w:rsidR="00F11A8B" w:rsidRPr="006F6DAC" w:rsidRDefault="00F11A8B" w:rsidP="00F11A8B">
            <w:pPr>
              <w:tabs>
                <w:tab w:val="left" w:pos="0"/>
              </w:tabs>
              <w:spacing w:before="120" w:after="120"/>
              <w:ind w:firstLine="567"/>
              <w:jc w:val="both"/>
              <w:rPr>
                <w:rFonts w:ascii="Garamond" w:hAnsi="Garamond"/>
                <w:sz w:val="22"/>
                <w:szCs w:val="22"/>
              </w:rPr>
            </w:pPr>
            <w:r w:rsidRPr="006F6DAC">
              <w:rPr>
                <w:rFonts w:ascii="Garamond" w:hAnsi="Garamond"/>
                <w:sz w:val="22"/>
                <w:szCs w:val="22"/>
              </w:rPr>
              <w:lastRenderedPageBreak/>
              <w:t>– с даты отмены ранее принятого решения о предоставлении субъекту оптового рынка права участия в торговле электрической энергией и (или) мощностью на оптовом рынке с использованием соответствующей ГТП потребления либо решения о регистрации соответствующей ГТП потребления в порядке, предусмотренном Положением о реестре;</w:t>
            </w:r>
          </w:p>
          <w:p w14:paraId="10EB1A69" w14:textId="77777777" w:rsidR="00F11A8B" w:rsidRPr="006F6DAC" w:rsidRDefault="00F11A8B" w:rsidP="00F11A8B">
            <w:pPr>
              <w:tabs>
                <w:tab w:val="left" w:pos="0"/>
              </w:tabs>
              <w:spacing w:before="120" w:after="120"/>
              <w:ind w:firstLine="567"/>
              <w:jc w:val="both"/>
              <w:rPr>
                <w:rFonts w:ascii="Garamond" w:hAnsi="Garamond"/>
                <w:sz w:val="22"/>
                <w:szCs w:val="22"/>
              </w:rPr>
            </w:pPr>
            <w:r w:rsidRPr="006F6DAC">
              <w:rPr>
                <w:rFonts w:ascii="Garamond" w:hAnsi="Garamond"/>
                <w:sz w:val="22"/>
                <w:szCs w:val="22"/>
              </w:rPr>
              <w:t xml:space="preserve">– </w:t>
            </w:r>
            <w:r w:rsidRPr="006F6DAC">
              <w:rPr>
                <w:rFonts w:ascii="Garamond" w:hAnsi="Garamond"/>
                <w:color w:val="000000"/>
                <w:sz w:val="22"/>
                <w:szCs w:val="22"/>
                <w:lang w:eastAsia="en-US"/>
              </w:rPr>
              <w:t xml:space="preserve">в случае прекращения процедуры согласования ГТП потребления и регистрации ПСИ (изменения сечения </w:t>
            </w:r>
            <w:r w:rsidRPr="006F6DAC">
              <w:rPr>
                <w:rFonts w:ascii="Garamond" w:hAnsi="Garamond"/>
                <w:sz w:val="22"/>
                <w:szCs w:val="22"/>
              </w:rPr>
              <w:t xml:space="preserve">коммерческого учета </w:t>
            </w:r>
            <w:r w:rsidRPr="006F6DAC">
              <w:rPr>
                <w:rFonts w:ascii="Garamond" w:hAnsi="Garamond"/>
                <w:color w:val="000000"/>
                <w:sz w:val="22"/>
                <w:szCs w:val="22"/>
                <w:lang w:eastAsia="en-US"/>
              </w:rPr>
              <w:t>ФСК) либо внесения изменений в регистрационную информацию в отношении ГТП потребления (сечения</w:t>
            </w:r>
            <w:r w:rsidRPr="006F6DAC">
              <w:rPr>
                <w:rFonts w:ascii="Garamond" w:hAnsi="Garamond"/>
                <w:sz w:val="22"/>
                <w:szCs w:val="22"/>
              </w:rPr>
              <w:t xml:space="preserve"> коммерческого учета</w:t>
            </w:r>
            <w:r w:rsidRPr="006F6DAC">
              <w:rPr>
                <w:rFonts w:ascii="Garamond" w:hAnsi="Garamond"/>
                <w:color w:val="000000"/>
                <w:sz w:val="22"/>
                <w:szCs w:val="22"/>
                <w:lang w:eastAsia="en-US"/>
              </w:rPr>
              <w:t xml:space="preserve"> ФСК) только в отношении </w:t>
            </w:r>
            <w:r w:rsidRPr="006F6DAC">
              <w:rPr>
                <w:rFonts w:ascii="Garamond" w:hAnsi="Garamond"/>
                <w:sz w:val="22"/>
                <w:szCs w:val="22"/>
              </w:rPr>
              <w:t>групп (областей) передаваемой информации, сформированных на основании комплекта документов, рассмотрение которого прекращено,</w:t>
            </w:r>
            <w:r w:rsidRPr="006F6DAC">
              <w:rPr>
                <w:rFonts w:ascii="Garamond" w:hAnsi="Garamond"/>
                <w:color w:val="000000"/>
                <w:sz w:val="22"/>
                <w:szCs w:val="22"/>
                <w:lang w:eastAsia="en-US"/>
              </w:rPr>
              <w:t xml:space="preserve"> – с даты прекращения указанных процедур</w:t>
            </w:r>
            <w:r w:rsidRPr="006F6DAC">
              <w:rPr>
                <w:rFonts w:ascii="Garamond" w:hAnsi="Garamond"/>
                <w:sz w:val="22"/>
                <w:szCs w:val="22"/>
              </w:rPr>
              <w:t>.</w:t>
            </w:r>
          </w:p>
          <w:p w14:paraId="2660E226" w14:textId="77777777" w:rsidR="00F11A8B" w:rsidRPr="006F6DAC" w:rsidRDefault="00F11A8B" w:rsidP="006F6DAC">
            <w:pPr>
              <w:tabs>
                <w:tab w:val="left" w:pos="0"/>
              </w:tabs>
              <w:spacing w:before="120" w:after="120"/>
              <w:ind w:firstLine="598"/>
              <w:jc w:val="both"/>
              <w:rPr>
                <w:rFonts w:ascii="Garamond" w:hAnsi="Garamond"/>
                <w:sz w:val="22"/>
                <w:szCs w:val="22"/>
              </w:rPr>
            </w:pPr>
            <w:r w:rsidRPr="006F6DAC">
              <w:rPr>
                <w:rFonts w:ascii="Garamond" w:hAnsi="Garamond"/>
                <w:sz w:val="22"/>
                <w:szCs w:val="22"/>
              </w:rPr>
              <w:t>Автоматическое закрытие Группы (области) передаваемой информации для приема данных в ПАК КО по планируемому составу точек поставки и (или) точек измерений по соответствующему сечению коммерческого учета осуществляется с 1-го числа следующего календарного месяца:</w:t>
            </w:r>
          </w:p>
          <w:p w14:paraId="6DD08187" w14:textId="77777777" w:rsidR="00F11A8B" w:rsidRPr="006F6DAC" w:rsidRDefault="00F11A8B" w:rsidP="00F11A8B">
            <w:pPr>
              <w:tabs>
                <w:tab w:val="left" w:pos="1440"/>
              </w:tabs>
              <w:spacing w:before="120" w:after="120"/>
              <w:ind w:firstLine="567"/>
              <w:jc w:val="both"/>
              <w:rPr>
                <w:rFonts w:ascii="Garamond" w:hAnsi="Garamond"/>
                <w:sz w:val="22"/>
                <w:szCs w:val="22"/>
              </w:rPr>
            </w:pPr>
            <w:r w:rsidRPr="006F6DAC">
              <w:rPr>
                <w:rFonts w:ascii="Garamond" w:hAnsi="Garamond"/>
                <w:sz w:val="22"/>
                <w:szCs w:val="22"/>
              </w:rPr>
              <w:t xml:space="preserve">– </w:t>
            </w:r>
            <w:r w:rsidRPr="006F6DAC">
              <w:rPr>
                <w:rFonts w:ascii="Garamond" w:hAnsi="Garamond"/>
                <w:color w:val="000000"/>
                <w:sz w:val="22"/>
                <w:szCs w:val="22"/>
                <w:lang w:eastAsia="en-US"/>
              </w:rPr>
              <w:t xml:space="preserve">при отсутствии в течение полных 24 (двадцати четырех) календарных месяцев с даты публикации КО </w:t>
            </w:r>
            <w:r w:rsidRPr="006F6DAC">
              <w:rPr>
                <w:rFonts w:ascii="Garamond" w:hAnsi="Garamond"/>
                <w:sz w:val="22"/>
                <w:szCs w:val="22"/>
              </w:rPr>
              <w:t>&lt;area&gt;</w:t>
            </w:r>
            <w:r w:rsidRPr="006F6DAC">
              <w:rPr>
                <w:rFonts w:ascii="Garamond" w:hAnsi="Garamond"/>
                <w:color w:val="000000"/>
                <w:sz w:val="22"/>
                <w:szCs w:val="22"/>
                <w:lang w:eastAsia="en-US"/>
              </w:rPr>
              <w:t xml:space="preserve"> на своем официальном сайте, в веб-интерфейсе «Данные АИИС», зарегистрированного и вступившего в действие ПСИ в макетах 60000 (60090), за исключением случаев, когда субъект оптового рынка, в отношении которого сформирована </w:t>
            </w:r>
            <w:r w:rsidRPr="006F6DAC">
              <w:rPr>
                <w:rFonts w:ascii="Garamond" w:hAnsi="Garamond"/>
                <w:sz w:val="22"/>
                <w:szCs w:val="22"/>
              </w:rPr>
              <w:t>&lt;area&gt;</w:t>
            </w:r>
            <w:r w:rsidRPr="006F6DAC">
              <w:rPr>
                <w:rFonts w:ascii="Garamond" w:hAnsi="Garamond"/>
                <w:color w:val="000000"/>
                <w:sz w:val="22"/>
                <w:szCs w:val="22"/>
                <w:lang w:eastAsia="en-US"/>
              </w:rPr>
              <w:t xml:space="preserve">, до истечения вышеуказанного срока направил в КО официальное письмо о необходимости продления на 24 (двадцать четыре) месяца срока использования данной </w:t>
            </w:r>
            <w:r w:rsidRPr="006F6DAC">
              <w:rPr>
                <w:rFonts w:ascii="Garamond" w:hAnsi="Garamond"/>
                <w:sz w:val="22"/>
                <w:szCs w:val="22"/>
              </w:rPr>
              <w:t>&lt;area&gt;</w:t>
            </w:r>
            <w:r w:rsidRPr="006F6DAC">
              <w:rPr>
                <w:rFonts w:ascii="Garamond" w:hAnsi="Garamond"/>
                <w:color w:val="000000"/>
                <w:sz w:val="22"/>
                <w:szCs w:val="22"/>
                <w:lang w:eastAsia="en-US"/>
              </w:rPr>
              <w:t>) с обязательным указанием ее кода;</w:t>
            </w:r>
          </w:p>
          <w:p w14:paraId="7305FAF2" w14:textId="77777777" w:rsidR="00F11A8B" w:rsidRPr="006F6DAC" w:rsidRDefault="00F11A8B" w:rsidP="00F11A8B">
            <w:pPr>
              <w:tabs>
                <w:tab w:val="left" w:pos="0"/>
              </w:tabs>
              <w:spacing w:before="120" w:after="120"/>
              <w:ind w:firstLine="567"/>
              <w:jc w:val="both"/>
              <w:rPr>
                <w:rFonts w:ascii="Garamond" w:hAnsi="Garamond"/>
                <w:sz w:val="22"/>
                <w:szCs w:val="22"/>
              </w:rPr>
            </w:pPr>
            <w:r w:rsidRPr="006F6DAC">
              <w:rPr>
                <w:rFonts w:ascii="Garamond" w:hAnsi="Garamond"/>
                <w:sz w:val="22"/>
                <w:szCs w:val="22"/>
              </w:rPr>
              <w:t>– при отсутствии в течение полных 6 (шести) календарных месяцев принятых в ПАК КО документов с результатами измерений по точкам измерений, входящим в сформированную &lt;area&gt;</w:t>
            </w:r>
            <w:r w:rsidRPr="006F6DAC">
              <w:rPr>
                <w:rFonts w:ascii="Garamond" w:hAnsi="Garamond"/>
                <w:color w:val="000000"/>
                <w:sz w:val="22"/>
                <w:szCs w:val="22"/>
                <w:lang w:eastAsia="en-US"/>
              </w:rPr>
              <w:t>,</w:t>
            </w:r>
            <w:r w:rsidRPr="006F6DAC">
              <w:rPr>
                <w:rFonts w:ascii="Garamond" w:hAnsi="Garamond"/>
                <w:sz w:val="22"/>
                <w:szCs w:val="22"/>
              </w:rPr>
              <w:t xml:space="preserve"> </w:t>
            </w:r>
            <w:r w:rsidRPr="006F6DAC">
              <w:rPr>
                <w:rFonts w:ascii="Garamond" w:hAnsi="Garamond"/>
                <w:color w:val="000000"/>
                <w:sz w:val="22"/>
                <w:szCs w:val="22"/>
                <w:lang w:eastAsia="en-US"/>
              </w:rPr>
              <w:t xml:space="preserve">за исключением случаев, когда субъект оптового рынка, в отношении которого сформирована </w:t>
            </w:r>
            <w:r w:rsidRPr="006F6DAC">
              <w:rPr>
                <w:rFonts w:ascii="Garamond" w:hAnsi="Garamond"/>
                <w:sz w:val="22"/>
                <w:szCs w:val="22"/>
              </w:rPr>
              <w:t>&lt;area&gt;</w:t>
            </w:r>
            <w:r w:rsidRPr="006F6DAC">
              <w:rPr>
                <w:rFonts w:ascii="Garamond" w:hAnsi="Garamond"/>
                <w:color w:val="000000"/>
                <w:sz w:val="22"/>
                <w:szCs w:val="22"/>
                <w:lang w:eastAsia="en-US"/>
              </w:rPr>
              <w:t xml:space="preserve">, до истечения вышеуказанного срока направил в КО официальное письмо о необходимости продления на 6 (шесть) месяцев срока использования данной </w:t>
            </w:r>
            <w:r w:rsidRPr="006F6DAC">
              <w:rPr>
                <w:rFonts w:ascii="Garamond" w:hAnsi="Garamond"/>
                <w:sz w:val="22"/>
                <w:szCs w:val="22"/>
              </w:rPr>
              <w:t xml:space="preserve">&lt;area&gt; </w:t>
            </w:r>
            <w:r w:rsidRPr="006F6DAC">
              <w:rPr>
                <w:rFonts w:ascii="Garamond" w:hAnsi="Garamond"/>
                <w:color w:val="000000"/>
                <w:sz w:val="22"/>
                <w:szCs w:val="22"/>
                <w:lang w:eastAsia="en-US"/>
              </w:rPr>
              <w:t>с обязательным указанием ее кода.</w:t>
            </w:r>
          </w:p>
          <w:p w14:paraId="47790D20" w14:textId="77777777" w:rsidR="00F11A8B" w:rsidRPr="006F6DAC" w:rsidRDefault="00F11A8B" w:rsidP="00F11A8B">
            <w:pPr>
              <w:pStyle w:val="a6"/>
              <w:tabs>
                <w:tab w:val="left" w:pos="1080"/>
              </w:tabs>
              <w:suppressAutoHyphens w:val="0"/>
              <w:spacing w:before="120" w:after="120"/>
              <w:jc w:val="both"/>
              <w:rPr>
                <w:rFonts w:ascii="Garamond" w:hAnsi="Garamond"/>
                <w:sz w:val="22"/>
                <w:szCs w:val="22"/>
              </w:rPr>
            </w:pPr>
          </w:p>
        </w:tc>
      </w:tr>
      <w:tr w:rsidR="00F11A8B" w:rsidRPr="006F6DAC" w14:paraId="3D6DF140" w14:textId="77777777" w:rsidTr="006F6DAC">
        <w:tc>
          <w:tcPr>
            <w:tcW w:w="1060" w:type="dxa"/>
          </w:tcPr>
          <w:p w14:paraId="3E9E4D6C" w14:textId="77777777" w:rsidR="00F11A8B" w:rsidRPr="006F6DAC" w:rsidRDefault="00F11A8B" w:rsidP="00F11A8B">
            <w:pPr>
              <w:widowControl w:val="0"/>
              <w:spacing w:line="259" w:lineRule="auto"/>
              <w:jc w:val="center"/>
              <w:rPr>
                <w:rFonts w:ascii="Garamond" w:hAnsi="Garamond"/>
                <w:b/>
                <w:sz w:val="22"/>
                <w:szCs w:val="22"/>
                <w:lang w:eastAsia="en-US"/>
              </w:rPr>
            </w:pPr>
            <w:r w:rsidRPr="006F6DAC">
              <w:rPr>
                <w:rFonts w:ascii="Garamond" w:hAnsi="Garamond"/>
                <w:b/>
                <w:sz w:val="22"/>
                <w:szCs w:val="22"/>
                <w:lang w:eastAsia="en-US"/>
              </w:rPr>
              <w:lastRenderedPageBreak/>
              <w:t>3.10</w:t>
            </w:r>
          </w:p>
        </w:tc>
        <w:tc>
          <w:tcPr>
            <w:tcW w:w="6804" w:type="dxa"/>
          </w:tcPr>
          <w:p w14:paraId="5A0CEBBE" w14:textId="77777777" w:rsidR="00F11A8B" w:rsidRPr="006F6DAC" w:rsidRDefault="00F11A8B" w:rsidP="00F11A8B">
            <w:pPr>
              <w:pStyle w:val="a6"/>
              <w:tabs>
                <w:tab w:val="left" w:pos="1080"/>
              </w:tabs>
              <w:suppressAutoHyphens w:val="0"/>
              <w:spacing w:before="120" w:after="120"/>
              <w:jc w:val="both"/>
              <w:rPr>
                <w:rFonts w:ascii="Garamond" w:hAnsi="Garamond"/>
                <w:b/>
                <w:sz w:val="22"/>
                <w:szCs w:val="22"/>
              </w:rPr>
            </w:pPr>
            <w:r w:rsidRPr="006F6DAC">
              <w:rPr>
                <w:rFonts w:ascii="Garamond" w:hAnsi="Garamond"/>
                <w:b/>
                <w:sz w:val="22"/>
                <w:szCs w:val="22"/>
                <w:lang w:eastAsia="en-US"/>
              </w:rPr>
              <w:t>Добавить пункт</w:t>
            </w:r>
          </w:p>
        </w:tc>
        <w:tc>
          <w:tcPr>
            <w:tcW w:w="7115" w:type="dxa"/>
          </w:tcPr>
          <w:p w14:paraId="3CBCCB1D" w14:textId="77777777" w:rsidR="00F11A8B" w:rsidRPr="006F6DAC" w:rsidRDefault="00F11A8B" w:rsidP="006F6DAC">
            <w:pPr>
              <w:pStyle w:val="a6"/>
              <w:tabs>
                <w:tab w:val="left" w:pos="1080"/>
              </w:tabs>
              <w:suppressAutoHyphens w:val="0"/>
              <w:spacing w:before="120" w:after="120"/>
              <w:ind w:firstLine="598"/>
              <w:jc w:val="both"/>
              <w:rPr>
                <w:rFonts w:ascii="Garamond" w:hAnsi="Garamond"/>
                <w:bCs w:val="0"/>
                <w:sz w:val="22"/>
                <w:szCs w:val="22"/>
                <w:highlight w:val="yellow"/>
              </w:rPr>
            </w:pPr>
            <w:r w:rsidRPr="006F6DAC">
              <w:rPr>
                <w:rFonts w:ascii="Garamond" w:hAnsi="Garamond"/>
                <w:sz w:val="22"/>
                <w:szCs w:val="22"/>
                <w:highlight w:val="yellow"/>
              </w:rPr>
              <w:t>Для каждого планируемого состава точек присоединения и точек измерений по объекту регулирования формируется отдельная Группа (область) передаваемой информации (параметр &lt;area&gt;) для передачи результатов измерений в макете 20020.</w:t>
            </w:r>
          </w:p>
          <w:p w14:paraId="31C8F160" w14:textId="77777777" w:rsidR="00F11A8B" w:rsidRPr="006F6DAC" w:rsidRDefault="00F11A8B" w:rsidP="006F6DAC">
            <w:pPr>
              <w:pStyle w:val="a6"/>
              <w:tabs>
                <w:tab w:val="left" w:pos="1080"/>
              </w:tabs>
              <w:suppressAutoHyphens w:val="0"/>
              <w:spacing w:before="120" w:after="120"/>
              <w:ind w:firstLine="598"/>
              <w:jc w:val="both"/>
              <w:rPr>
                <w:rFonts w:ascii="Garamond" w:hAnsi="Garamond"/>
                <w:sz w:val="22"/>
                <w:szCs w:val="22"/>
              </w:rPr>
            </w:pPr>
            <w:r w:rsidRPr="006F6DAC">
              <w:rPr>
                <w:rFonts w:ascii="Garamond" w:hAnsi="Garamond"/>
                <w:sz w:val="22"/>
                <w:szCs w:val="22"/>
                <w:highlight w:val="yellow"/>
              </w:rPr>
              <w:t>Агрегатор может закрыть Группу (область) передаваемой информации (параметр &lt;area&gt;), направив в КО официальное письмо с запросом о закрытии Группы с обязательным указанием ее кода.</w:t>
            </w:r>
          </w:p>
          <w:p w14:paraId="04E0C18D" w14:textId="767B54BD" w:rsidR="00F11A8B" w:rsidRPr="006F6DAC" w:rsidRDefault="00F11A8B" w:rsidP="00556626">
            <w:pPr>
              <w:pStyle w:val="a6"/>
              <w:tabs>
                <w:tab w:val="left" w:pos="1080"/>
              </w:tabs>
              <w:suppressAutoHyphens w:val="0"/>
              <w:spacing w:before="120" w:after="120"/>
              <w:ind w:firstLine="598"/>
              <w:jc w:val="both"/>
              <w:rPr>
                <w:rFonts w:ascii="Garamond" w:hAnsi="Garamond"/>
                <w:sz w:val="22"/>
                <w:szCs w:val="22"/>
              </w:rPr>
            </w:pPr>
            <w:r w:rsidRPr="006F6DAC">
              <w:rPr>
                <w:rFonts w:ascii="Garamond" w:hAnsi="Garamond"/>
                <w:sz w:val="22"/>
                <w:szCs w:val="22"/>
                <w:highlight w:val="yellow"/>
              </w:rPr>
              <w:t>Автоматическое закрытие Группы (области) передаваемой информации (</w:t>
            </w:r>
            <w:r w:rsidRPr="006F6DAC">
              <w:rPr>
                <w:rFonts w:ascii="Garamond" w:hAnsi="Garamond"/>
                <w:sz w:val="22"/>
                <w:szCs w:val="22"/>
                <w:highlight w:val="yellow"/>
                <w:lang w:val="en-US"/>
              </w:rPr>
              <w:t>area</w:t>
            </w:r>
            <w:r w:rsidRPr="006F6DAC">
              <w:rPr>
                <w:rFonts w:ascii="Garamond" w:hAnsi="Garamond"/>
                <w:sz w:val="22"/>
                <w:szCs w:val="22"/>
                <w:highlight w:val="yellow"/>
              </w:rPr>
              <w:t>) для приема данных в ПАК КО по планируемому составу точек присоединения и точек измерений по соответствующему объекту регулирования осуществляется с 1-го числа следующего календарного месяца при отсутствии в течение полных 6 (шести) календарных месяцев принятых в ПАК КО документов с результатами измерений и данными о состоянии объектов измерений, входящи</w:t>
            </w:r>
            <w:r w:rsidR="00556626">
              <w:rPr>
                <w:rFonts w:ascii="Garamond" w:hAnsi="Garamond"/>
                <w:sz w:val="22"/>
                <w:szCs w:val="22"/>
                <w:highlight w:val="yellow"/>
              </w:rPr>
              <w:t>х</w:t>
            </w:r>
            <w:r w:rsidRPr="006F6DAC">
              <w:rPr>
                <w:rFonts w:ascii="Garamond" w:hAnsi="Garamond"/>
                <w:sz w:val="22"/>
                <w:szCs w:val="22"/>
                <w:highlight w:val="yellow"/>
              </w:rPr>
              <w:t xml:space="preserve"> в сформированную Группу (области) передаваемой информации (</w:t>
            </w:r>
            <w:r w:rsidRPr="006F6DAC">
              <w:rPr>
                <w:rFonts w:ascii="Garamond" w:hAnsi="Garamond"/>
                <w:sz w:val="22"/>
                <w:szCs w:val="22"/>
                <w:highlight w:val="yellow"/>
                <w:lang w:val="en-US"/>
              </w:rPr>
              <w:t>area</w:t>
            </w:r>
            <w:r w:rsidRPr="006F6DAC">
              <w:rPr>
                <w:rFonts w:ascii="Garamond" w:hAnsi="Garamond"/>
                <w:sz w:val="22"/>
                <w:szCs w:val="22"/>
                <w:highlight w:val="yellow"/>
              </w:rPr>
              <w:t>).</w:t>
            </w:r>
          </w:p>
        </w:tc>
      </w:tr>
      <w:tr w:rsidR="00F11A8B" w:rsidRPr="006F6DAC" w14:paraId="33709AC6" w14:textId="77777777" w:rsidTr="006F6DAC">
        <w:tc>
          <w:tcPr>
            <w:tcW w:w="1060" w:type="dxa"/>
          </w:tcPr>
          <w:p w14:paraId="3DCCF27A" w14:textId="77777777" w:rsidR="00F11A8B" w:rsidRPr="006F6DAC" w:rsidRDefault="00F11A8B" w:rsidP="00F11A8B">
            <w:pPr>
              <w:widowControl w:val="0"/>
              <w:spacing w:line="259" w:lineRule="auto"/>
              <w:jc w:val="center"/>
              <w:rPr>
                <w:rFonts w:ascii="Garamond" w:hAnsi="Garamond"/>
                <w:b/>
                <w:sz w:val="22"/>
                <w:szCs w:val="22"/>
                <w:lang w:eastAsia="en-US"/>
              </w:rPr>
            </w:pPr>
            <w:r w:rsidRPr="006F6DAC">
              <w:rPr>
                <w:rFonts w:ascii="Garamond" w:hAnsi="Garamond"/>
                <w:b/>
                <w:sz w:val="22"/>
                <w:szCs w:val="22"/>
                <w:lang w:eastAsia="en-US"/>
              </w:rPr>
              <w:t>4</w:t>
            </w:r>
          </w:p>
        </w:tc>
        <w:tc>
          <w:tcPr>
            <w:tcW w:w="6804" w:type="dxa"/>
          </w:tcPr>
          <w:p w14:paraId="7A7EFE12" w14:textId="77777777" w:rsidR="00F11A8B" w:rsidRPr="006F6DAC" w:rsidRDefault="00F11A8B" w:rsidP="006F6DAC">
            <w:pPr>
              <w:pStyle w:val="a6"/>
              <w:tabs>
                <w:tab w:val="left" w:pos="1080"/>
              </w:tabs>
              <w:suppressAutoHyphens w:val="0"/>
              <w:spacing w:before="120" w:after="120"/>
              <w:ind w:firstLine="598"/>
              <w:jc w:val="both"/>
              <w:rPr>
                <w:rFonts w:ascii="Garamond" w:hAnsi="Garamond"/>
                <w:sz w:val="22"/>
                <w:szCs w:val="22"/>
                <w:lang w:eastAsia="en-US"/>
              </w:rPr>
            </w:pPr>
            <w:r w:rsidRPr="006F6DAC">
              <w:rPr>
                <w:rFonts w:ascii="Garamond" w:hAnsi="Garamond"/>
                <w:b/>
                <w:sz w:val="22"/>
                <w:szCs w:val="22"/>
              </w:rPr>
              <w:t xml:space="preserve">Описание формата передачи </w:t>
            </w:r>
            <w:r w:rsidRPr="006F6DAC">
              <w:rPr>
                <w:rFonts w:ascii="Garamond" w:hAnsi="Garamond"/>
                <w:b/>
                <w:sz w:val="22"/>
                <w:szCs w:val="22"/>
                <w:highlight w:val="yellow"/>
              </w:rPr>
              <w:t>данных о состоянии объектов измерений, результатов измерений по точкам измерений, точкам поставки, группам точек поставки и сальдо перетоков</w:t>
            </w:r>
            <w:r w:rsidRPr="006F6DAC">
              <w:rPr>
                <w:rFonts w:ascii="Garamond" w:hAnsi="Garamond"/>
                <w:b/>
                <w:sz w:val="22"/>
                <w:szCs w:val="22"/>
              </w:rPr>
              <w:t xml:space="preserve"> (Документ 80020 </w:t>
            </w:r>
            <w:r w:rsidRPr="006F6DAC">
              <w:rPr>
                <w:rFonts w:ascii="Garamond" w:hAnsi="Garamond"/>
                <w:b/>
                <w:color w:val="000000"/>
                <w:sz w:val="22"/>
                <w:szCs w:val="22"/>
              </w:rPr>
              <w:t>и 80040</w:t>
            </w:r>
            <w:r w:rsidRPr="006F6DAC">
              <w:rPr>
                <w:rFonts w:ascii="Garamond" w:hAnsi="Garamond"/>
                <w:b/>
                <w:sz w:val="22"/>
                <w:szCs w:val="22"/>
              </w:rPr>
              <w:t>)</w:t>
            </w:r>
          </w:p>
        </w:tc>
        <w:tc>
          <w:tcPr>
            <w:tcW w:w="7115" w:type="dxa"/>
          </w:tcPr>
          <w:p w14:paraId="74E5EAE0" w14:textId="77777777" w:rsidR="00F11A8B" w:rsidRPr="006F6DAC" w:rsidRDefault="00F11A8B" w:rsidP="006F6DAC">
            <w:pPr>
              <w:pStyle w:val="a6"/>
              <w:tabs>
                <w:tab w:val="left" w:pos="1080"/>
              </w:tabs>
              <w:suppressAutoHyphens w:val="0"/>
              <w:spacing w:before="120" w:after="120"/>
              <w:ind w:firstLine="598"/>
              <w:jc w:val="both"/>
              <w:rPr>
                <w:rFonts w:ascii="Garamond" w:hAnsi="Garamond"/>
                <w:sz w:val="22"/>
                <w:szCs w:val="22"/>
                <w:highlight w:val="yellow"/>
              </w:rPr>
            </w:pPr>
            <w:r w:rsidRPr="006F6DAC">
              <w:rPr>
                <w:rFonts w:ascii="Garamond" w:hAnsi="Garamond"/>
                <w:b/>
                <w:sz w:val="22"/>
                <w:szCs w:val="22"/>
              </w:rPr>
              <w:t xml:space="preserve">Описание формата передачи </w:t>
            </w:r>
            <w:r w:rsidRPr="006F6DAC">
              <w:rPr>
                <w:rFonts w:ascii="Garamond" w:hAnsi="Garamond"/>
                <w:b/>
                <w:sz w:val="22"/>
                <w:szCs w:val="22"/>
                <w:highlight w:val="yellow"/>
              </w:rPr>
              <w:t>результатов измерений по точкам измерений и данных о состоянии объектов измерений</w:t>
            </w:r>
            <w:r w:rsidRPr="006F6DAC">
              <w:rPr>
                <w:rFonts w:ascii="Garamond" w:hAnsi="Garamond"/>
                <w:b/>
                <w:sz w:val="22"/>
                <w:szCs w:val="22"/>
              </w:rPr>
              <w:t xml:space="preserve"> (Документ 80020 </w:t>
            </w:r>
            <w:r w:rsidRPr="006F6DAC">
              <w:rPr>
                <w:rFonts w:ascii="Garamond" w:hAnsi="Garamond"/>
                <w:b/>
                <w:color w:val="000000"/>
                <w:sz w:val="22"/>
                <w:szCs w:val="22"/>
              </w:rPr>
              <w:t>и 80040</w:t>
            </w:r>
            <w:r w:rsidRPr="006F6DAC">
              <w:rPr>
                <w:rFonts w:ascii="Garamond" w:hAnsi="Garamond"/>
                <w:b/>
                <w:sz w:val="22"/>
                <w:szCs w:val="22"/>
              </w:rPr>
              <w:t>)</w:t>
            </w:r>
          </w:p>
        </w:tc>
      </w:tr>
      <w:tr w:rsidR="00F11A8B" w:rsidRPr="006F6DAC" w14:paraId="79CA6CBE" w14:textId="77777777" w:rsidTr="006F6DAC">
        <w:tc>
          <w:tcPr>
            <w:tcW w:w="1060" w:type="dxa"/>
          </w:tcPr>
          <w:p w14:paraId="01EE5A1A" w14:textId="77777777" w:rsidR="00F11A8B" w:rsidRPr="006F6DAC" w:rsidRDefault="00F11A8B" w:rsidP="00F11A8B">
            <w:pPr>
              <w:widowControl w:val="0"/>
              <w:spacing w:line="259" w:lineRule="auto"/>
              <w:jc w:val="center"/>
              <w:rPr>
                <w:rFonts w:ascii="Garamond" w:hAnsi="Garamond"/>
                <w:b/>
                <w:sz w:val="22"/>
                <w:szCs w:val="22"/>
                <w:lang w:eastAsia="en-US"/>
              </w:rPr>
            </w:pPr>
            <w:r w:rsidRPr="006F6DAC">
              <w:rPr>
                <w:rFonts w:ascii="Garamond" w:hAnsi="Garamond"/>
                <w:b/>
                <w:sz w:val="22"/>
                <w:szCs w:val="22"/>
                <w:lang w:eastAsia="en-US"/>
              </w:rPr>
              <w:t>4.1</w:t>
            </w:r>
          </w:p>
        </w:tc>
        <w:tc>
          <w:tcPr>
            <w:tcW w:w="6804" w:type="dxa"/>
          </w:tcPr>
          <w:p w14:paraId="30034574" w14:textId="77777777" w:rsidR="00F11A8B" w:rsidRPr="006F6DAC" w:rsidRDefault="00F11A8B" w:rsidP="00F11A8B">
            <w:pPr>
              <w:pStyle w:val="a6"/>
              <w:tabs>
                <w:tab w:val="left" w:pos="1080"/>
              </w:tabs>
              <w:suppressAutoHyphens w:val="0"/>
              <w:spacing w:before="120" w:after="120"/>
              <w:jc w:val="both"/>
              <w:rPr>
                <w:rFonts w:ascii="Garamond" w:hAnsi="Garamond"/>
                <w:b/>
                <w:bCs w:val="0"/>
                <w:sz w:val="22"/>
                <w:szCs w:val="22"/>
              </w:rPr>
            </w:pPr>
            <w:r w:rsidRPr="006F6DAC">
              <w:rPr>
                <w:rFonts w:ascii="Garamond" w:hAnsi="Garamond"/>
                <w:bCs w:val="0"/>
                <w:sz w:val="22"/>
                <w:szCs w:val="22"/>
              </w:rPr>
              <w:t xml:space="preserve">Описание формата </w:t>
            </w:r>
            <w:r w:rsidRPr="006F6DAC">
              <w:rPr>
                <w:rFonts w:ascii="Garamond" w:hAnsi="Garamond"/>
                <w:bCs w:val="0"/>
                <w:sz w:val="22"/>
                <w:szCs w:val="22"/>
                <w:highlight w:val="yellow"/>
              </w:rPr>
              <w:t>входного</w:t>
            </w:r>
            <w:r w:rsidRPr="006F6DAC">
              <w:rPr>
                <w:rFonts w:ascii="Garamond" w:hAnsi="Garamond"/>
                <w:bCs w:val="0"/>
                <w:sz w:val="22"/>
                <w:szCs w:val="22"/>
              </w:rPr>
              <w:t xml:space="preserve"> сообщения</w:t>
            </w:r>
            <w:r w:rsidRPr="00556626">
              <w:rPr>
                <w:rFonts w:ascii="Garamond" w:hAnsi="Garamond"/>
                <w:bCs w:val="0"/>
                <w:sz w:val="22"/>
                <w:szCs w:val="22"/>
                <w:highlight w:val="yellow"/>
              </w:rPr>
              <w:t>.</w:t>
            </w:r>
          </w:p>
          <w:p w14:paraId="088C3ADA" w14:textId="77777777" w:rsidR="00F11A8B" w:rsidRPr="006F6DAC" w:rsidRDefault="00F11A8B" w:rsidP="00F11A8B">
            <w:pPr>
              <w:tabs>
                <w:tab w:val="left" w:pos="1080"/>
              </w:tabs>
              <w:spacing w:before="120" w:after="120"/>
              <w:jc w:val="both"/>
              <w:rPr>
                <w:rFonts w:ascii="Garamond" w:hAnsi="Garamond"/>
                <w:sz w:val="22"/>
                <w:szCs w:val="22"/>
              </w:rPr>
            </w:pPr>
            <w:r w:rsidRPr="006F6DAC">
              <w:rPr>
                <w:rFonts w:ascii="Garamond" w:hAnsi="Garamond"/>
                <w:sz w:val="22"/>
                <w:szCs w:val="22"/>
              </w:rPr>
              <w:t xml:space="preserve">В поле «Тема письма» (Subject) почтового сообщения должна содержаться информация в следующем формате: &lt;ИНН_&lt;Номер сообщения&gt;, где </w:t>
            </w:r>
          </w:p>
          <w:p w14:paraId="06BA8129" w14:textId="77777777" w:rsidR="00F11A8B" w:rsidRPr="006F6DAC" w:rsidRDefault="00F11A8B" w:rsidP="00F11A8B">
            <w:pPr>
              <w:pStyle w:val="a8"/>
              <w:numPr>
                <w:ilvl w:val="0"/>
                <w:numId w:val="233"/>
              </w:numPr>
              <w:tabs>
                <w:tab w:val="clear" w:pos="8100"/>
                <w:tab w:val="left" w:pos="885"/>
                <w:tab w:val="left" w:pos="1560"/>
              </w:tabs>
              <w:suppressAutoHyphens w:val="0"/>
              <w:spacing w:before="120" w:after="120"/>
              <w:rPr>
                <w:rFonts w:ascii="Garamond" w:hAnsi="Garamond"/>
                <w:spacing w:val="1"/>
                <w:sz w:val="22"/>
                <w:szCs w:val="22"/>
              </w:rPr>
            </w:pPr>
            <w:r w:rsidRPr="006F6DAC">
              <w:rPr>
                <w:rFonts w:ascii="Garamond" w:hAnsi="Garamond"/>
                <w:spacing w:val="1"/>
                <w:sz w:val="22"/>
                <w:szCs w:val="22"/>
              </w:rPr>
              <w:t>ИНН ― ИНН организации, предоставляющей информацию. Длина поля &lt;ИНН&gt; – 10 символов;</w:t>
            </w:r>
          </w:p>
          <w:p w14:paraId="3BF9ABB5" w14:textId="77777777" w:rsidR="00F11A8B" w:rsidRPr="006F6DAC" w:rsidRDefault="00F11A8B" w:rsidP="00F11A8B">
            <w:pPr>
              <w:pStyle w:val="a8"/>
              <w:numPr>
                <w:ilvl w:val="0"/>
                <w:numId w:val="233"/>
              </w:numPr>
              <w:tabs>
                <w:tab w:val="clear" w:pos="8100"/>
                <w:tab w:val="left" w:pos="885"/>
                <w:tab w:val="left" w:pos="1560"/>
              </w:tabs>
              <w:suppressAutoHyphens w:val="0"/>
              <w:spacing w:before="120" w:after="120"/>
              <w:rPr>
                <w:rFonts w:ascii="Garamond" w:hAnsi="Garamond"/>
                <w:sz w:val="22"/>
                <w:szCs w:val="22"/>
              </w:rPr>
            </w:pPr>
            <w:r w:rsidRPr="006F6DAC">
              <w:rPr>
                <w:rFonts w:ascii="Garamond" w:hAnsi="Garamond"/>
                <w:spacing w:val="1"/>
                <w:sz w:val="22"/>
                <w:szCs w:val="22"/>
              </w:rPr>
              <w:t xml:space="preserve">номер сообщения ― порядковый номер (идентификатор) сообщения, используется для идентификации сообщений при ответах ПАК КО, локализации и устранения проблем передачи информации и т.п. Номера сообщений </w:t>
            </w:r>
            <w:r w:rsidRPr="006F6DAC">
              <w:rPr>
                <w:rFonts w:ascii="Garamond" w:hAnsi="Garamond"/>
                <w:spacing w:val="1"/>
                <w:sz w:val="22"/>
                <w:szCs w:val="22"/>
              </w:rPr>
              <w:lastRenderedPageBreak/>
              <w:t>присваиваются</w:t>
            </w:r>
            <w:r w:rsidRPr="006F6DAC">
              <w:rPr>
                <w:rFonts w:ascii="Garamond" w:hAnsi="Garamond"/>
                <w:sz w:val="22"/>
                <w:szCs w:val="22"/>
              </w:rPr>
              <w:t xml:space="preserve"> отправителем, начинаются с 1 и увеличиваются на 1 с каждым новым сообщением для данных суток.</w:t>
            </w:r>
          </w:p>
          <w:p w14:paraId="743CFFDD" w14:textId="77777777" w:rsidR="00F11A8B" w:rsidRPr="006F6DAC" w:rsidRDefault="00F11A8B" w:rsidP="00F11A8B">
            <w:pPr>
              <w:tabs>
                <w:tab w:val="left" w:pos="1080"/>
              </w:tabs>
              <w:spacing w:before="120" w:after="120"/>
              <w:jc w:val="both"/>
              <w:rPr>
                <w:rFonts w:ascii="Garamond" w:hAnsi="Garamond"/>
                <w:sz w:val="22"/>
                <w:szCs w:val="22"/>
              </w:rPr>
            </w:pPr>
            <w:r w:rsidRPr="006F6DAC">
              <w:rPr>
                <w:rFonts w:ascii="Garamond" w:hAnsi="Garamond"/>
                <w:sz w:val="22"/>
                <w:szCs w:val="22"/>
              </w:rPr>
              <w:t>В почтовое сообщение должен быть вложен файл, содержащий электронный документ.</w:t>
            </w:r>
          </w:p>
          <w:p w14:paraId="6330BB91" w14:textId="77777777" w:rsidR="00F11A8B" w:rsidRPr="006F6DAC" w:rsidRDefault="00F11A8B" w:rsidP="00F11A8B">
            <w:pPr>
              <w:tabs>
                <w:tab w:val="left" w:pos="1080"/>
              </w:tabs>
              <w:spacing w:before="120" w:after="120"/>
              <w:jc w:val="both"/>
              <w:rPr>
                <w:rFonts w:ascii="Garamond" w:hAnsi="Garamond"/>
                <w:sz w:val="22"/>
                <w:szCs w:val="22"/>
              </w:rPr>
            </w:pPr>
            <w:r w:rsidRPr="006F6DAC">
              <w:rPr>
                <w:rFonts w:ascii="Garamond" w:hAnsi="Garamond"/>
                <w:sz w:val="22"/>
                <w:szCs w:val="22"/>
              </w:rPr>
              <w:t>Имя файла, содержащего электронный документ, должно составляться в формате: «&lt;тип документа&gt;_&lt;ИНН&gt;_&lt;дата&gt;_&lt;номер документа&gt;_&lt;</w:t>
            </w:r>
            <w:r w:rsidRPr="006F6DAC">
              <w:rPr>
                <w:rFonts w:ascii="Garamond" w:hAnsi="Garamond"/>
                <w:sz w:val="22"/>
                <w:szCs w:val="22"/>
                <w:highlight w:val="yellow"/>
              </w:rPr>
              <w:t>номер</w:t>
            </w:r>
            <w:r w:rsidRPr="006F6DAC">
              <w:rPr>
                <w:rFonts w:ascii="Garamond" w:hAnsi="Garamond"/>
                <w:sz w:val="22"/>
                <w:szCs w:val="22"/>
              </w:rPr>
              <w:t xml:space="preserve"> АИИС&gt;», где</w:t>
            </w:r>
          </w:p>
          <w:p w14:paraId="5F98944C" w14:textId="77777777" w:rsidR="00F11A8B" w:rsidRPr="006F6DAC" w:rsidRDefault="00F11A8B" w:rsidP="00F11A8B">
            <w:pPr>
              <w:pStyle w:val="a8"/>
              <w:numPr>
                <w:ilvl w:val="0"/>
                <w:numId w:val="233"/>
              </w:numPr>
              <w:tabs>
                <w:tab w:val="clear" w:pos="8100"/>
                <w:tab w:val="left" w:pos="885"/>
                <w:tab w:val="left" w:pos="1560"/>
              </w:tabs>
              <w:suppressAutoHyphens w:val="0"/>
              <w:spacing w:before="120" w:after="120"/>
              <w:rPr>
                <w:rFonts w:ascii="Garamond" w:hAnsi="Garamond"/>
                <w:spacing w:val="1"/>
                <w:sz w:val="22"/>
                <w:szCs w:val="22"/>
              </w:rPr>
            </w:pPr>
            <w:r w:rsidRPr="006F6DAC">
              <w:rPr>
                <w:rFonts w:ascii="Garamond" w:hAnsi="Garamond"/>
                <w:spacing w:val="1"/>
                <w:sz w:val="22"/>
                <w:szCs w:val="22"/>
              </w:rPr>
              <w:t>тип документа – номер, присвоенный КО данному типу документа;</w:t>
            </w:r>
          </w:p>
          <w:p w14:paraId="7B7E13A7" w14:textId="77777777" w:rsidR="00F11A8B" w:rsidRPr="006F6DAC" w:rsidRDefault="00F11A8B" w:rsidP="00F11A8B">
            <w:pPr>
              <w:pStyle w:val="a8"/>
              <w:numPr>
                <w:ilvl w:val="0"/>
                <w:numId w:val="233"/>
              </w:numPr>
              <w:tabs>
                <w:tab w:val="clear" w:pos="8100"/>
                <w:tab w:val="left" w:pos="885"/>
                <w:tab w:val="left" w:pos="1440"/>
                <w:tab w:val="left" w:pos="1560"/>
              </w:tabs>
              <w:suppressAutoHyphens w:val="0"/>
              <w:spacing w:before="120" w:after="120"/>
              <w:rPr>
                <w:rFonts w:ascii="Garamond" w:hAnsi="Garamond"/>
                <w:spacing w:val="1"/>
                <w:sz w:val="22"/>
                <w:szCs w:val="22"/>
              </w:rPr>
            </w:pPr>
            <w:r w:rsidRPr="006F6DAC">
              <w:rPr>
                <w:rFonts w:ascii="Garamond" w:hAnsi="Garamond"/>
                <w:spacing w:val="1"/>
                <w:sz w:val="22"/>
                <w:szCs w:val="22"/>
              </w:rPr>
              <w:t>ИНН – ИНН организации, предоставляющей информацию. Длина поля &lt;ИНН&gt; – 10 символов;</w:t>
            </w:r>
          </w:p>
          <w:p w14:paraId="2EC4EB06" w14:textId="77777777" w:rsidR="00F11A8B" w:rsidRPr="006F6DAC" w:rsidRDefault="00F11A8B" w:rsidP="00F11A8B">
            <w:pPr>
              <w:pStyle w:val="a8"/>
              <w:numPr>
                <w:ilvl w:val="0"/>
                <w:numId w:val="233"/>
              </w:numPr>
              <w:tabs>
                <w:tab w:val="clear" w:pos="8100"/>
                <w:tab w:val="left" w:pos="885"/>
                <w:tab w:val="left" w:pos="1440"/>
                <w:tab w:val="left" w:pos="1560"/>
              </w:tabs>
              <w:suppressAutoHyphens w:val="0"/>
              <w:spacing w:before="120" w:after="120"/>
              <w:rPr>
                <w:rFonts w:ascii="Garamond" w:hAnsi="Garamond"/>
                <w:spacing w:val="1"/>
                <w:sz w:val="22"/>
                <w:szCs w:val="22"/>
              </w:rPr>
            </w:pPr>
            <w:r w:rsidRPr="006F6DAC">
              <w:rPr>
                <w:rFonts w:ascii="Garamond" w:hAnsi="Garamond"/>
                <w:spacing w:val="1"/>
                <w:sz w:val="22"/>
                <w:szCs w:val="22"/>
              </w:rPr>
              <w:t>дата – операционный период, за который предоставляется информация, в формате «ГГГГММДД», где «ГГГГ» – год, «ММ» – порядковый номер месяца, «ДД» – день. Длина поля &lt;дата&gt; – 8 знаков;</w:t>
            </w:r>
          </w:p>
          <w:p w14:paraId="53791AAC" w14:textId="77777777" w:rsidR="00F11A8B" w:rsidRPr="006F6DAC" w:rsidRDefault="00F11A8B" w:rsidP="00F11A8B">
            <w:pPr>
              <w:pStyle w:val="a8"/>
              <w:numPr>
                <w:ilvl w:val="0"/>
                <w:numId w:val="233"/>
              </w:numPr>
              <w:tabs>
                <w:tab w:val="clear" w:pos="8100"/>
                <w:tab w:val="left" w:pos="885"/>
                <w:tab w:val="left" w:pos="1440"/>
                <w:tab w:val="left" w:pos="1560"/>
              </w:tabs>
              <w:suppressAutoHyphens w:val="0"/>
              <w:spacing w:before="120" w:after="120"/>
              <w:rPr>
                <w:rFonts w:ascii="Garamond" w:hAnsi="Garamond"/>
                <w:spacing w:val="1"/>
                <w:sz w:val="22"/>
                <w:szCs w:val="22"/>
              </w:rPr>
            </w:pPr>
            <w:r w:rsidRPr="006F6DAC">
              <w:rPr>
                <w:rFonts w:ascii="Garamond" w:hAnsi="Garamond"/>
                <w:spacing w:val="1"/>
                <w:sz w:val="22"/>
                <w:szCs w:val="22"/>
              </w:rPr>
              <w:t xml:space="preserve">номер документа – порядковый номер (идентификатор) документа. Номер должен содержать не более 7 цифр. Номера документов присваиваются отправителем, начинаются с 1 и увеличиваются на 1 с каждым новым документом для данного типа документов, сформированных для одних и тех же суток; </w:t>
            </w:r>
          </w:p>
          <w:p w14:paraId="68011BFD" w14:textId="77777777" w:rsidR="00F11A8B" w:rsidRPr="006F6DAC" w:rsidRDefault="00F11A8B" w:rsidP="00F11A8B">
            <w:pPr>
              <w:pStyle w:val="a8"/>
              <w:numPr>
                <w:ilvl w:val="0"/>
                <w:numId w:val="233"/>
              </w:numPr>
              <w:tabs>
                <w:tab w:val="clear" w:pos="8100"/>
                <w:tab w:val="left" w:pos="885"/>
                <w:tab w:val="left" w:pos="1440"/>
                <w:tab w:val="left" w:pos="1560"/>
              </w:tabs>
              <w:suppressAutoHyphens w:val="0"/>
              <w:spacing w:before="120" w:after="120"/>
              <w:rPr>
                <w:rFonts w:ascii="Garamond" w:hAnsi="Garamond"/>
                <w:spacing w:val="1"/>
                <w:sz w:val="22"/>
                <w:szCs w:val="22"/>
              </w:rPr>
            </w:pPr>
            <w:r w:rsidRPr="006F6DAC">
              <w:rPr>
                <w:rFonts w:ascii="Garamond" w:hAnsi="Garamond"/>
                <w:spacing w:val="1"/>
                <w:sz w:val="22"/>
                <w:szCs w:val="22"/>
                <w:highlight w:val="yellow"/>
              </w:rPr>
              <w:t>номер</w:t>
            </w:r>
            <w:r w:rsidRPr="006F6DAC">
              <w:rPr>
                <w:rFonts w:ascii="Garamond" w:hAnsi="Garamond"/>
                <w:spacing w:val="1"/>
                <w:sz w:val="22"/>
                <w:szCs w:val="22"/>
              </w:rPr>
              <w:t xml:space="preserve"> АИИС – обязательный параметр, код, присваиваемый КО АИИС организации. Используется для организации независимой передачи электронных документов от разных АИИС одной организации. Каждая область передаваемой информации (параметр &lt;area&gt;) должна соответствовать </w:t>
            </w:r>
            <w:r w:rsidRPr="006F6DAC">
              <w:rPr>
                <w:rFonts w:ascii="Garamond" w:hAnsi="Garamond"/>
                <w:spacing w:val="1"/>
                <w:sz w:val="22"/>
                <w:szCs w:val="22"/>
                <w:highlight w:val="yellow"/>
              </w:rPr>
              <w:t>номеру</w:t>
            </w:r>
            <w:r w:rsidRPr="006F6DAC">
              <w:rPr>
                <w:rFonts w:ascii="Garamond" w:hAnsi="Garamond"/>
                <w:spacing w:val="1"/>
                <w:sz w:val="22"/>
                <w:szCs w:val="22"/>
              </w:rPr>
              <w:t xml:space="preserve"> своей АИИС, указанн</w:t>
            </w:r>
            <w:r w:rsidRPr="006F6DAC">
              <w:rPr>
                <w:rFonts w:ascii="Garamond" w:hAnsi="Garamond"/>
                <w:spacing w:val="1"/>
                <w:sz w:val="22"/>
                <w:szCs w:val="22"/>
                <w:highlight w:val="yellow"/>
              </w:rPr>
              <w:t>ому</w:t>
            </w:r>
            <w:r w:rsidRPr="006F6DAC">
              <w:rPr>
                <w:rFonts w:ascii="Garamond" w:hAnsi="Garamond"/>
                <w:spacing w:val="1"/>
                <w:sz w:val="22"/>
                <w:szCs w:val="22"/>
              </w:rPr>
              <w:t xml:space="preserve"> в имени файла.</w:t>
            </w:r>
          </w:p>
        </w:tc>
        <w:tc>
          <w:tcPr>
            <w:tcW w:w="7115" w:type="dxa"/>
          </w:tcPr>
          <w:p w14:paraId="0D9B9B25" w14:textId="69FC8882" w:rsidR="00F11A8B" w:rsidRPr="006F6DAC" w:rsidRDefault="00F11A8B" w:rsidP="00F11A8B">
            <w:pPr>
              <w:pStyle w:val="a6"/>
              <w:tabs>
                <w:tab w:val="left" w:pos="1080"/>
              </w:tabs>
              <w:suppressAutoHyphens w:val="0"/>
              <w:spacing w:before="120" w:after="120"/>
              <w:jc w:val="both"/>
              <w:rPr>
                <w:rFonts w:ascii="Garamond" w:hAnsi="Garamond"/>
                <w:bCs w:val="0"/>
                <w:sz w:val="22"/>
                <w:szCs w:val="22"/>
              </w:rPr>
            </w:pPr>
            <w:r w:rsidRPr="006F6DAC">
              <w:rPr>
                <w:rFonts w:ascii="Garamond" w:hAnsi="Garamond"/>
                <w:bCs w:val="0"/>
                <w:sz w:val="22"/>
                <w:szCs w:val="22"/>
              </w:rPr>
              <w:lastRenderedPageBreak/>
              <w:t>Описание формата сообщения</w:t>
            </w:r>
          </w:p>
          <w:p w14:paraId="259B92F0" w14:textId="77777777" w:rsidR="00F11A8B" w:rsidRPr="006F6DAC" w:rsidRDefault="00F11A8B" w:rsidP="00F11A8B">
            <w:pPr>
              <w:tabs>
                <w:tab w:val="left" w:pos="1080"/>
              </w:tabs>
              <w:spacing w:before="120" w:after="120"/>
              <w:jc w:val="both"/>
              <w:rPr>
                <w:rFonts w:ascii="Garamond" w:hAnsi="Garamond"/>
                <w:sz w:val="22"/>
                <w:szCs w:val="22"/>
              </w:rPr>
            </w:pPr>
            <w:r w:rsidRPr="006F6DAC">
              <w:rPr>
                <w:rFonts w:ascii="Garamond" w:hAnsi="Garamond"/>
                <w:sz w:val="22"/>
                <w:szCs w:val="22"/>
              </w:rPr>
              <w:t xml:space="preserve">В поле «Тема письма» (Subject) почтового сообщения должна содержаться информация в следующем формате: &lt;ИНН_&lt;Номер сообщения&gt;, где </w:t>
            </w:r>
          </w:p>
          <w:p w14:paraId="5C60D960" w14:textId="77777777" w:rsidR="00F11A8B" w:rsidRPr="006F6DAC" w:rsidRDefault="00F11A8B" w:rsidP="00F11A8B">
            <w:pPr>
              <w:pStyle w:val="a8"/>
              <w:numPr>
                <w:ilvl w:val="0"/>
                <w:numId w:val="233"/>
              </w:numPr>
              <w:tabs>
                <w:tab w:val="clear" w:pos="8100"/>
                <w:tab w:val="left" w:pos="885"/>
                <w:tab w:val="left" w:pos="1560"/>
              </w:tabs>
              <w:suppressAutoHyphens w:val="0"/>
              <w:spacing w:before="120" w:after="120"/>
              <w:rPr>
                <w:rFonts w:ascii="Garamond" w:hAnsi="Garamond"/>
                <w:spacing w:val="1"/>
                <w:sz w:val="22"/>
                <w:szCs w:val="22"/>
              </w:rPr>
            </w:pPr>
            <w:r w:rsidRPr="006F6DAC">
              <w:rPr>
                <w:rFonts w:ascii="Garamond" w:hAnsi="Garamond"/>
                <w:spacing w:val="1"/>
                <w:sz w:val="22"/>
                <w:szCs w:val="22"/>
              </w:rPr>
              <w:t>ИНН ― ИНН организации, предоставляющей информацию. Длина поля &lt;ИНН&gt; – 10 символов;</w:t>
            </w:r>
          </w:p>
          <w:p w14:paraId="0A803010" w14:textId="77777777" w:rsidR="00F11A8B" w:rsidRPr="006F6DAC" w:rsidRDefault="00F11A8B" w:rsidP="00F11A8B">
            <w:pPr>
              <w:pStyle w:val="a8"/>
              <w:numPr>
                <w:ilvl w:val="0"/>
                <w:numId w:val="233"/>
              </w:numPr>
              <w:tabs>
                <w:tab w:val="clear" w:pos="8100"/>
                <w:tab w:val="left" w:pos="885"/>
                <w:tab w:val="left" w:pos="1560"/>
              </w:tabs>
              <w:suppressAutoHyphens w:val="0"/>
              <w:spacing w:before="120" w:after="120"/>
              <w:rPr>
                <w:rFonts w:ascii="Garamond" w:hAnsi="Garamond"/>
                <w:sz w:val="22"/>
                <w:szCs w:val="22"/>
              </w:rPr>
            </w:pPr>
            <w:r w:rsidRPr="006F6DAC">
              <w:rPr>
                <w:rFonts w:ascii="Garamond" w:hAnsi="Garamond"/>
                <w:spacing w:val="1"/>
                <w:sz w:val="22"/>
                <w:szCs w:val="22"/>
              </w:rPr>
              <w:t>номер сообщения ― порядковый номер (идентификатор) сообщения, используется для идентификации сообщений при ответах ПАК КО, локализации и устранения проблем передачи информации и т.п. Номера сообщений присваиваются</w:t>
            </w:r>
            <w:r w:rsidRPr="006F6DAC">
              <w:rPr>
                <w:rFonts w:ascii="Garamond" w:hAnsi="Garamond"/>
                <w:sz w:val="22"/>
                <w:szCs w:val="22"/>
              </w:rPr>
              <w:t xml:space="preserve"> </w:t>
            </w:r>
            <w:r w:rsidRPr="006F6DAC">
              <w:rPr>
                <w:rFonts w:ascii="Garamond" w:hAnsi="Garamond"/>
                <w:sz w:val="22"/>
                <w:szCs w:val="22"/>
              </w:rPr>
              <w:lastRenderedPageBreak/>
              <w:t>отправителем, начинаются с 1 и увеличиваются на 1 с каждым новым сообщением для данных суток.</w:t>
            </w:r>
          </w:p>
          <w:p w14:paraId="72C096C6" w14:textId="77777777" w:rsidR="00F11A8B" w:rsidRPr="006F6DAC" w:rsidRDefault="00F11A8B" w:rsidP="00F11A8B">
            <w:pPr>
              <w:tabs>
                <w:tab w:val="left" w:pos="1080"/>
              </w:tabs>
              <w:spacing w:before="120" w:after="120"/>
              <w:jc w:val="both"/>
              <w:rPr>
                <w:rFonts w:ascii="Garamond" w:hAnsi="Garamond"/>
                <w:sz w:val="22"/>
                <w:szCs w:val="22"/>
              </w:rPr>
            </w:pPr>
            <w:r w:rsidRPr="006F6DAC">
              <w:rPr>
                <w:rFonts w:ascii="Garamond" w:hAnsi="Garamond"/>
                <w:sz w:val="22"/>
                <w:szCs w:val="22"/>
              </w:rPr>
              <w:t>В почтовое сообщение должен быть вложен файл, содержащий электронный документ.</w:t>
            </w:r>
          </w:p>
          <w:p w14:paraId="61651646" w14:textId="77777777" w:rsidR="00F11A8B" w:rsidRPr="006F6DAC" w:rsidRDefault="00F11A8B" w:rsidP="00F11A8B">
            <w:pPr>
              <w:tabs>
                <w:tab w:val="left" w:pos="1080"/>
              </w:tabs>
              <w:spacing w:before="120" w:after="120"/>
              <w:jc w:val="both"/>
              <w:rPr>
                <w:rFonts w:ascii="Garamond" w:hAnsi="Garamond"/>
                <w:sz w:val="22"/>
                <w:szCs w:val="22"/>
              </w:rPr>
            </w:pPr>
            <w:r w:rsidRPr="006F6DAC">
              <w:rPr>
                <w:rFonts w:ascii="Garamond" w:hAnsi="Garamond"/>
                <w:sz w:val="22"/>
                <w:szCs w:val="22"/>
              </w:rPr>
              <w:t>Имя файла, содержащего электронный документ, должно составляться в формате: «&lt;тип документа&gt;_&lt;ИНН&gt;_&lt;дата&gt;_&lt;номер документа&gt;_&lt;</w:t>
            </w:r>
            <w:r w:rsidRPr="006F6DAC">
              <w:rPr>
                <w:rFonts w:ascii="Garamond" w:hAnsi="Garamond"/>
                <w:sz w:val="22"/>
                <w:szCs w:val="22"/>
                <w:highlight w:val="yellow"/>
              </w:rPr>
              <w:t xml:space="preserve">код </w:t>
            </w:r>
            <w:r w:rsidRPr="006F6DAC">
              <w:rPr>
                <w:rFonts w:ascii="Garamond" w:hAnsi="Garamond"/>
                <w:sz w:val="22"/>
                <w:szCs w:val="22"/>
              </w:rPr>
              <w:t>АИИС&gt;», где</w:t>
            </w:r>
          </w:p>
          <w:p w14:paraId="7E146E71" w14:textId="77777777" w:rsidR="00F11A8B" w:rsidRPr="006F6DAC" w:rsidRDefault="00F11A8B" w:rsidP="00F11A8B">
            <w:pPr>
              <w:pStyle w:val="a8"/>
              <w:numPr>
                <w:ilvl w:val="0"/>
                <w:numId w:val="233"/>
              </w:numPr>
              <w:tabs>
                <w:tab w:val="clear" w:pos="8100"/>
                <w:tab w:val="left" w:pos="885"/>
                <w:tab w:val="left" w:pos="1560"/>
              </w:tabs>
              <w:suppressAutoHyphens w:val="0"/>
              <w:spacing w:before="120" w:after="120"/>
              <w:rPr>
                <w:rFonts w:ascii="Garamond" w:hAnsi="Garamond"/>
                <w:spacing w:val="1"/>
                <w:sz w:val="22"/>
                <w:szCs w:val="22"/>
              </w:rPr>
            </w:pPr>
            <w:r w:rsidRPr="006F6DAC">
              <w:rPr>
                <w:rFonts w:ascii="Garamond" w:hAnsi="Garamond"/>
                <w:spacing w:val="1"/>
                <w:sz w:val="22"/>
                <w:szCs w:val="22"/>
              </w:rPr>
              <w:t>тип документа – номер, присвоенный КО данному типу документа;</w:t>
            </w:r>
          </w:p>
          <w:p w14:paraId="70DDDE48" w14:textId="77777777" w:rsidR="00F11A8B" w:rsidRPr="006F6DAC" w:rsidRDefault="00F11A8B" w:rsidP="00F11A8B">
            <w:pPr>
              <w:pStyle w:val="a8"/>
              <w:numPr>
                <w:ilvl w:val="0"/>
                <w:numId w:val="233"/>
              </w:numPr>
              <w:tabs>
                <w:tab w:val="clear" w:pos="8100"/>
                <w:tab w:val="left" w:pos="885"/>
                <w:tab w:val="left" w:pos="1440"/>
                <w:tab w:val="left" w:pos="1560"/>
              </w:tabs>
              <w:suppressAutoHyphens w:val="0"/>
              <w:spacing w:before="120" w:after="120"/>
              <w:rPr>
                <w:rFonts w:ascii="Garamond" w:hAnsi="Garamond"/>
                <w:spacing w:val="1"/>
                <w:sz w:val="22"/>
                <w:szCs w:val="22"/>
              </w:rPr>
            </w:pPr>
            <w:r w:rsidRPr="006F6DAC">
              <w:rPr>
                <w:rFonts w:ascii="Garamond" w:hAnsi="Garamond"/>
                <w:spacing w:val="1"/>
                <w:sz w:val="22"/>
                <w:szCs w:val="22"/>
              </w:rPr>
              <w:t>ИНН – ИНН организации, предоставляющей информацию. Длина поля &lt;ИНН&gt; – 10 символов;</w:t>
            </w:r>
          </w:p>
          <w:p w14:paraId="0AA56C77" w14:textId="77777777" w:rsidR="00F11A8B" w:rsidRPr="006F6DAC" w:rsidRDefault="00F11A8B" w:rsidP="00F11A8B">
            <w:pPr>
              <w:pStyle w:val="a8"/>
              <w:numPr>
                <w:ilvl w:val="0"/>
                <w:numId w:val="233"/>
              </w:numPr>
              <w:tabs>
                <w:tab w:val="clear" w:pos="8100"/>
                <w:tab w:val="left" w:pos="885"/>
                <w:tab w:val="left" w:pos="1440"/>
                <w:tab w:val="left" w:pos="1560"/>
              </w:tabs>
              <w:suppressAutoHyphens w:val="0"/>
              <w:spacing w:before="120" w:after="120"/>
              <w:rPr>
                <w:rFonts w:ascii="Garamond" w:hAnsi="Garamond"/>
                <w:spacing w:val="1"/>
                <w:sz w:val="22"/>
                <w:szCs w:val="22"/>
              </w:rPr>
            </w:pPr>
            <w:r w:rsidRPr="006F6DAC">
              <w:rPr>
                <w:rFonts w:ascii="Garamond" w:hAnsi="Garamond"/>
                <w:spacing w:val="1"/>
                <w:sz w:val="22"/>
                <w:szCs w:val="22"/>
              </w:rPr>
              <w:t>дата – операционный период, за который предоставляется информация, в формате «ГГГГММДД», где «ГГГГ» – год, «ММ» – порядковый номер месяца, «ДД» – день. Длина поля &lt;дата&gt; – 8 знаков;</w:t>
            </w:r>
          </w:p>
          <w:p w14:paraId="073ED1E6" w14:textId="77777777" w:rsidR="00F11A8B" w:rsidRPr="006F6DAC" w:rsidRDefault="00F11A8B" w:rsidP="00F11A8B">
            <w:pPr>
              <w:pStyle w:val="a8"/>
              <w:numPr>
                <w:ilvl w:val="0"/>
                <w:numId w:val="233"/>
              </w:numPr>
              <w:tabs>
                <w:tab w:val="clear" w:pos="8100"/>
                <w:tab w:val="left" w:pos="885"/>
                <w:tab w:val="left" w:pos="1440"/>
                <w:tab w:val="left" w:pos="1560"/>
              </w:tabs>
              <w:suppressAutoHyphens w:val="0"/>
              <w:spacing w:before="120" w:after="120"/>
              <w:rPr>
                <w:rFonts w:ascii="Garamond" w:hAnsi="Garamond"/>
                <w:spacing w:val="1"/>
                <w:sz w:val="22"/>
                <w:szCs w:val="22"/>
              </w:rPr>
            </w:pPr>
            <w:r w:rsidRPr="006F6DAC">
              <w:rPr>
                <w:rFonts w:ascii="Garamond" w:hAnsi="Garamond"/>
                <w:spacing w:val="1"/>
                <w:sz w:val="22"/>
                <w:szCs w:val="22"/>
              </w:rPr>
              <w:t xml:space="preserve">номер документа – порядковый номер (идентификатор) документа. Номер должен содержать не более 7 цифр. Номера документов присваиваются отправителем, начинаются с 1 и увеличиваются на 1 с каждым новым документом для данного типа документов, сформированных для одних и тех же суток; </w:t>
            </w:r>
          </w:p>
          <w:p w14:paraId="10070EAB" w14:textId="77777777" w:rsidR="00F11A8B" w:rsidRPr="006F6DAC" w:rsidRDefault="00F11A8B" w:rsidP="00F11A8B">
            <w:pPr>
              <w:pStyle w:val="a8"/>
              <w:numPr>
                <w:ilvl w:val="0"/>
                <w:numId w:val="233"/>
              </w:numPr>
              <w:tabs>
                <w:tab w:val="clear" w:pos="8100"/>
                <w:tab w:val="left" w:pos="885"/>
                <w:tab w:val="left" w:pos="1440"/>
                <w:tab w:val="left" w:pos="1560"/>
              </w:tabs>
              <w:suppressAutoHyphens w:val="0"/>
              <w:spacing w:before="120" w:after="120"/>
              <w:rPr>
                <w:rFonts w:ascii="Garamond" w:hAnsi="Garamond"/>
                <w:bCs/>
                <w:sz w:val="22"/>
                <w:szCs w:val="22"/>
              </w:rPr>
            </w:pPr>
            <w:r w:rsidRPr="006F6DAC">
              <w:rPr>
                <w:rFonts w:ascii="Garamond" w:hAnsi="Garamond"/>
                <w:spacing w:val="1"/>
                <w:sz w:val="22"/>
                <w:szCs w:val="22"/>
                <w:highlight w:val="yellow"/>
              </w:rPr>
              <w:t xml:space="preserve">код </w:t>
            </w:r>
            <w:r w:rsidRPr="006F6DAC">
              <w:rPr>
                <w:rFonts w:ascii="Garamond" w:hAnsi="Garamond"/>
                <w:spacing w:val="1"/>
                <w:sz w:val="22"/>
                <w:szCs w:val="22"/>
              </w:rPr>
              <w:t>АИИС – обязательный параметр, код, присваиваемый КО АИИС организации. Используется для организации независимой передачи электронных документов от разных АИИС одной организации. Каждая область передаваемой информации (параметр &lt;area&gt;) должна соответствовать своей АИИС, указанн</w:t>
            </w:r>
            <w:r w:rsidRPr="006F6DAC">
              <w:rPr>
                <w:rFonts w:ascii="Garamond" w:hAnsi="Garamond"/>
                <w:spacing w:val="1"/>
                <w:sz w:val="22"/>
                <w:szCs w:val="22"/>
                <w:highlight w:val="yellow"/>
              </w:rPr>
              <w:t>ой</w:t>
            </w:r>
            <w:r w:rsidRPr="006F6DAC">
              <w:rPr>
                <w:rFonts w:ascii="Garamond" w:hAnsi="Garamond"/>
                <w:spacing w:val="1"/>
                <w:sz w:val="22"/>
                <w:szCs w:val="22"/>
              </w:rPr>
              <w:t xml:space="preserve"> в имени файла.</w:t>
            </w:r>
          </w:p>
        </w:tc>
      </w:tr>
      <w:tr w:rsidR="00F11A8B" w:rsidRPr="006F6DAC" w14:paraId="07AA7015" w14:textId="77777777" w:rsidTr="006F6DAC">
        <w:tc>
          <w:tcPr>
            <w:tcW w:w="1060" w:type="dxa"/>
          </w:tcPr>
          <w:p w14:paraId="65BA9ED2" w14:textId="77777777" w:rsidR="00F11A8B" w:rsidRPr="006F6DAC" w:rsidRDefault="00F11A8B" w:rsidP="00F11A8B">
            <w:pPr>
              <w:widowControl w:val="0"/>
              <w:spacing w:line="259" w:lineRule="auto"/>
              <w:jc w:val="center"/>
              <w:rPr>
                <w:rFonts w:ascii="Garamond" w:hAnsi="Garamond"/>
                <w:b/>
                <w:sz w:val="22"/>
                <w:szCs w:val="22"/>
                <w:lang w:eastAsia="en-US"/>
              </w:rPr>
            </w:pPr>
            <w:r w:rsidRPr="006F6DAC">
              <w:rPr>
                <w:rFonts w:ascii="Garamond" w:hAnsi="Garamond"/>
                <w:b/>
                <w:sz w:val="22"/>
                <w:szCs w:val="22"/>
                <w:lang w:eastAsia="en-US"/>
              </w:rPr>
              <w:lastRenderedPageBreak/>
              <w:t>4.2</w:t>
            </w:r>
          </w:p>
        </w:tc>
        <w:tc>
          <w:tcPr>
            <w:tcW w:w="6804" w:type="dxa"/>
          </w:tcPr>
          <w:p w14:paraId="436BCA69" w14:textId="77777777" w:rsidR="00F11A8B" w:rsidRPr="006F6DAC" w:rsidRDefault="00F11A8B" w:rsidP="00F11A8B">
            <w:pPr>
              <w:pStyle w:val="a6"/>
              <w:tabs>
                <w:tab w:val="left" w:pos="1260"/>
              </w:tabs>
              <w:suppressAutoHyphens w:val="0"/>
              <w:spacing w:before="120" w:after="120"/>
              <w:jc w:val="both"/>
              <w:rPr>
                <w:rFonts w:ascii="Garamond" w:hAnsi="Garamond"/>
                <w:b/>
                <w:bCs w:val="0"/>
                <w:sz w:val="22"/>
                <w:szCs w:val="22"/>
              </w:rPr>
            </w:pPr>
            <w:r w:rsidRPr="006F6DAC">
              <w:rPr>
                <w:rFonts w:ascii="Garamond" w:hAnsi="Garamond"/>
                <w:bCs w:val="0"/>
                <w:sz w:val="22"/>
                <w:szCs w:val="22"/>
              </w:rPr>
              <w:t xml:space="preserve">Описание структуры </w:t>
            </w:r>
            <w:r w:rsidRPr="006F6DAC">
              <w:rPr>
                <w:rFonts w:ascii="Garamond" w:hAnsi="Garamond"/>
                <w:bCs w:val="0"/>
                <w:sz w:val="22"/>
                <w:szCs w:val="22"/>
                <w:highlight w:val="yellow"/>
              </w:rPr>
              <w:t>входного</w:t>
            </w:r>
            <w:r w:rsidRPr="006F6DAC">
              <w:rPr>
                <w:rFonts w:ascii="Garamond" w:hAnsi="Garamond"/>
                <w:bCs w:val="0"/>
                <w:sz w:val="22"/>
                <w:szCs w:val="22"/>
              </w:rPr>
              <w:t xml:space="preserve"> документа (тип 80020).</w:t>
            </w:r>
          </w:p>
          <w:p w14:paraId="1940FC1B" w14:textId="77777777" w:rsidR="00F11A8B" w:rsidRPr="006F6DAC" w:rsidRDefault="00F11A8B" w:rsidP="00F11A8B">
            <w:pPr>
              <w:tabs>
                <w:tab w:val="left" w:pos="1080"/>
              </w:tabs>
              <w:spacing w:before="120" w:after="120"/>
              <w:jc w:val="both"/>
              <w:rPr>
                <w:rFonts w:ascii="Garamond" w:hAnsi="Garamond"/>
                <w:sz w:val="22"/>
                <w:szCs w:val="22"/>
              </w:rPr>
            </w:pPr>
            <w:r w:rsidRPr="006F6DAC">
              <w:rPr>
                <w:rFonts w:ascii="Garamond" w:hAnsi="Garamond"/>
                <w:sz w:val="22"/>
                <w:szCs w:val="22"/>
              </w:rPr>
              <w:t>Формат документа используется для направления в КО результатов измерений и данных о состоянии объектов измерений.</w:t>
            </w:r>
          </w:p>
          <w:p w14:paraId="6D14691A" w14:textId="77777777" w:rsidR="00F11A8B" w:rsidRPr="006F6DAC" w:rsidRDefault="00F11A8B" w:rsidP="00F11A8B">
            <w:pPr>
              <w:tabs>
                <w:tab w:val="left" w:pos="1080"/>
              </w:tabs>
              <w:spacing w:before="120" w:after="120"/>
              <w:jc w:val="both"/>
              <w:rPr>
                <w:rFonts w:ascii="Garamond" w:hAnsi="Garamond"/>
                <w:sz w:val="22"/>
                <w:szCs w:val="22"/>
              </w:rPr>
            </w:pPr>
            <w:r w:rsidRPr="006F6DAC">
              <w:rPr>
                <w:rFonts w:ascii="Garamond" w:hAnsi="Garamond"/>
                <w:sz w:val="22"/>
                <w:szCs w:val="22"/>
              </w:rPr>
              <w:lastRenderedPageBreak/>
              <w:t>При передаче электронного документа используется расширяемый язык разметки (XML) в соответствии со спецификацией Extensible Markup Language (XML) 1.0.</w:t>
            </w:r>
          </w:p>
          <w:p w14:paraId="43110DB8" w14:textId="77777777" w:rsidR="00F11A8B" w:rsidRPr="006F6DAC" w:rsidRDefault="00F11A8B" w:rsidP="00F11A8B">
            <w:pPr>
              <w:tabs>
                <w:tab w:val="left" w:pos="1080"/>
              </w:tabs>
              <w:spacing w:before="120" w:after="120"/>
              <w:jc w:val="both"/>
              <w:rPr>
                <w:rFonts w:ascii="Garamond" w:hAnsi="Garamond"/>
                <w:sz w:val="22"/>
                <w:szCs w:val="22"/>
              </w:rPr>
            </w:pPr>
            <w:r w:rsidRPr="006F6DAC">
              <w:rPr>
                <w:rFonts w:ascii="Garamond" w:hAnsi="Garamond"/>
                <w:sz w:val="22"/>
                <w:szCs w:val="22"/>
              </w:rPr>
              <w:t>При декларации кодировки, являющейся частью декларации XML, используются названия и псевдонимы русскоязычных наборов символов, зарегистрированных в Internet Assigned Numbers Authority. Для данного электронного документа используется кодировка «windows-1251».</w:t>
            </w:r>
          </w:p>
          <w:p w14:paraId="00482EAE" w14:textId="77777777" w:rsidR="00F11A8B" w:rsidRPr="006F6DAC" w:rsidRDefault="00F11A8B" w:rsidP="00F11A8B">
            <w:pPr>
              <w:widowControl w:val="0"/>
              <w:spacing w:line="259" w:lineRule="auto"/>
              <w:jc w:val="both"/>
              <w:rPr>
                <w:rFonts w:ascii="Garamond" w:hAnsi="Garamond"/>
                <w:sz w:val="22"/>
                <w:szCs w:val="22"/>
                <w:highlight w:val="yellow"/>
              </w:rPr>
            </w:pPr>
            <w:r w:rsidRPr="006F6DAC">
              <w:rPr>
                <w:rFonts w:ascii="Garamond" w:hAnsi="Garamond"/>
                <w:sz w:val="22"/>
                <w:szCs w:val="22"/>
              </w:rPr>
              <w:t>Атрибуты, которые согласно настоящему документу являются необязательными, могут отсутствовать либо быть незаполненными</w:t>
            </w:r>
          </w:p>
        </w:tc>
        <w:tc>
          <w:tcPr>
            <w:tcW w:w="7115" w:type="dxa"/>
          </w:tcPr>
          <w:p w14:paraId="6C336CB9" w14:textId="2062C799" w:rsidR="00F11A8B" w:rsidRPr="006F6DAC" w:rsidRDefault="00F11A8B" w:rsidP="00F11A8B">
            <w:pPr>
              <w:pStyle w:val="a6"/>
              <w:tabs>
                <w:tab w:val="left" w:pos="1260"/>
              </w:tabs>
              <w:suppressAutoHyphens w:val="0"/>
              <w:spacing w:before="120" w:after="120"/>
              <w:jc w:val="both"/>
              <w:rPr>
                <w:rFonts w:ascii="Garamond" w:hAnsi="Garamond"/>
                <w:bCs w:val="0"/>
                <w:sz w:val="22"/>
                <w:szCs w:val="22"/>
              </w:rPr>
            </w:pPr>
            <w:r w:rsidRPr="006F6DAC">
              <w:rPr>
                <w:rFonts w:ascii="Garamond" w:hAnsi="Garamond"/>
                <w:bCs w:val="0"/>
                <w:sz w:val="22"/>
                <w:szCs w:val="22"/>
              </w:rPr>
              <w:lastRenderedPageBreak/>
              <w:t>Описание структуры документа (тип 80020)</w:t>
            </w:r>
          </w:p>
          <w:p w14:paraId="0BDEF929" w14:textId="77777777" w:rsidR="00F11A8B" w:rsidRPr="006F6DAC" w:rsidRDefault="00F11A8B" w:rsidP="00F11A8B">
            <w:pPr>
              <w:tabs>
                <w:tab w:val="left" w:pos="1080"/>
              </w:tabs>
              <w:spacing w:before="120" w:after="120"/>
              <w:jc w:val="both"/>
              <w:rPr>
                <w:rFonts w:ascii="Garamond" w:hAnsi="Garamond"/>
                <w:sz w:val="22"/>
                <w:szCs w:val="22"/>
              </w:rPr>
            </w:pPr>
            <w:r w:rsidRPr="006F6DAC">
              <w:rPr>
                <w:rFonts w:ascii="Garamond" w:hAnsi="Garamond"/>
                <w:sz w:val="22"/>
                <w:szCs w:val="22"/>
              </w:rPr>
              <w:t>Формат документа используется для направления в КО результатов измерений и данных о состоянии объектов измерений.</w:t>
            </w:r>
          </w:p>
          <w:p w14:paraId="040956D1" w14:textId="77777777" w:rsidR="00F11A8B" w:rsidRPr="006F6DAC" w:rsidRDefault="00F11A8B" w:rsidP="00F11A8B">
            <w:pPr>
              <w:tabs>
                <w:tab w:val="left" w:pos="1080"/>
              </w:tabs>
              <w:spacing w:before="120" w:after="120"/>
              <w:jc w:val="both"/>
              <w:rPr>
                <w:rFonts w:ascii="Garamond" w:hAnsi="Garamond"/>
                <w:sz w:val="22"/>
                <w:szCs w:val="22"/>
              </w:rPr>
            </w:pPr>
            <w:r w:rsidRPr="006F6DAC">
              <w:rPr>
                <w:rFonts w:ascii="Garamond" w:hAnsi="Garamond"/>
                <w:sz w:val="22"/>
                <w:szCs w:val="22"/>
              </w:rPr>
              <w:lastRenderedPageBreak/>
              <w:t>При передаче электронного документа используется расширяемый язык разметки (XML) в соответствии со спецификацией Extensible Markup Language (XML) 1.0.</w:t>
            </w:r>
          </w:p>
          <w:p w14:paraId="755436E3" w14:textId="77777777" w:rsidR="00F11A8B" w:rsidRPr="006F6DAC" w:rsidRDefault="00F11A8B" w:rsidP="00F11A8B">
            <w:pPr>
              <w:tabs>
                <w:tab w:val="left" w:pos="1080"/>
              </w:tabs>
              <w:spacing w:before="120" w:after="120"/>
              <w:jc w:val="both"/>
              <w:rPr>
                <w:rFonts w:ascii="Garamond" w:hAnsi="Garamond"/>
                <w:sz w:val="22"/>
                <w:szCs w:val="22"/>
              </w:rPr>
            </w:pPr>
            <w:r w:rsidRPr="006F6DAC">
              <w:rPr>
                <w:rFonts w:ascii="Garamond" w:hAnsi="Garamond"/>
                <w:sz w:val="22"/>
                <w:szCs w:val="22"/>
              </w:rPr>
              <w:t>При декларации кодировки, являющейся частью декларации XML, используются названия и псевдонимы русскоязычных наборов символов, зарегистрированных в Internet Assigned Numbers Authority. Для данного электронного документа используется кодировка «windows-1251».</w:t>
            </w:r>
          </w:p>
          <w:p w14:paraId="3ACA8DB0" w14:textId="77777777" w:rsidR="00F11A8B" w:rsidRPr="006F6DAC" w:rsidRDefault="00F11A8B" w:rsidP="00F11A8B">
            <w:pPr>
              <w:pStyle w:val="a6"/>
              <w:tabs>
                <w:tab w:val="left" w:pos="1080"/>
              </w:tabs>
              <w:suppressAutoHyphens w:val="0"/>
              <w:spacing w:before="120" w:after="120"/>
              <w:jc w:val="both"/>
              <w:rPr>
                <w:rFonts w:ascii="Garamond" w:hAnsi="Garamond"/>
                <w:bCs w:val="0"/>
                <w:sz w:val="22"/>
                <w:szCs w:val="22"/>
              </w:rPr>
            </w:pPr>
            <w:r w:rsidRPr="006F6DAC">
              <w:rPr>
                <w:rFonts w:ascii="Garamond" w:hAnsi="Garamond"/>
                <w:sz w:val="22"/>
                <w:szCs w:val="22"/>
              </w:rPr>
              <w:t>Атрибуты, которые согласно настоящему документу являются необязательными, могут отсутствовать либо быть незаполненными.</w:t>
            </w:r>
          </w:p>
        </w:tc>
      </w:tr>
      <w:tr w:rsidR="00F11A8B" w:rsidRPr="006F6DAC" w14:paraId="59D7294D" w14:textId="77777777" w:rsidTr="006F6DAC">
        <w:tc>
          <w:tcPr>
            <w:tcW w:w="1060" w:type="dxa"/>
          </w:tcPr>
          <w:p w14:paraId="309A929F" w14:textId="77777777" w:rsidR="00F11A8B" w:rsidRPr="006F6DAC" w:rsidRDefault="00F11A8B" w:rsidP="00F11A8B">
            <w:pPr>
              <w:widowControl w:val="0"/>
              <w:spacing w:line="259" w:lineRule="auto"/>
              <w:jc w:val="center"/>
              <w:rPr>
                <w:rFonts w:ascii="Garamond" w:hAnsi="Garamond"/>
                <w:b/>
                <w:sz w:val="22"/>
                <w:szCs w:val="22"/>
                <w:lang w:eastAsia="en-US"/>
              </w:rPr>
            </w:pPr>
            <w:r w:rsidRPr="006F6DAC">
              <w:rPr>
                <w:rFonts w:ascii="Garamond" w:hAnsi="Garamond"/>
                <w:b/>
                <w:sz w:val="22"/>
                <w:szCs w:val="22"/>
                <w:lang w:eastAsia="en-US"/>
              </w:rPr>
              <w:lastRenderedPageBreak/>
              <w:t>4.2.1.3</w:t>
            </w:r>
          </w:p>
        </w:tc>
        <w:tc>
          <w:tcPr>
            <w:tcW w:w="6804" w:type="dxa"/>
          </w:tcPr>
          <w:p w14:paraId="34F7B20F" w14:textId="77777777" w:rsidR="00F11A8B" w:rsidRPr="006F6DAC" w:rsidRDefault="00F11A8B" w:rsidP="00F11A8B">
            <w:pPr>
              <w:tabs>
                <w:tab w:val="left" w:pos="1080"/>
              </w:tabs>
              <w:spacing w:before="120" w:after="120"/>
              <w:jc w:val="both"/>
              <w:rPr>
                <w:rFonts w:ascii="Garamond" w:hAnsi="Garamond"/>
                <w:sz w:val="22"/>
                <w:szCs w:val="22"/>
              </w:rPr>
            </w:pPr>
            <w:r w:rsidRPr="006F6DAC">
              <w:rPr>
                <w:rFonts w:ascii="Garamond" w:hAnsi="Garamond"/>
                <w:sz w:val="22"/>
                <w:szCs w:val="22"/>
              </w:rPr>
              <w:t>&lt;</w:t>
            </w:r>
            <w:r w:rsidRPr="006F6DAC">
              <w:rPr>
                <w:rFonts w:ascii="Garamond" w:hAnsi="Garamond"/>
                <w:sz w:val="22"/>
                <w:szCs w:val="22"/>
                <w:lang w:val="en-US"/>
              </w:rPr>
              <w:t>area</w:t>
            </w:r>
            <w:r w:rsidRPr="006F6DAC">
              <w:rPr>
                <w:rFonts w:ascii="Garamond" w:hAnsi="Garamond"/>
                <w:sz w:val="22"/>
                <w:szCs w:val="22"/>
              </w:rPr>
              <w:t>&gt;</w:t>
            </w:r>
          </w:p>
          <w:p w14:paraId="1D76AA31" w14:textId="77777777" w:rsidR="00F11A8B" w:rsidRPr="006F6DAC" w:rsidRDefault="00F11A8B" w:rsidP="00F11A8B">
            <w:pPr>
              <w:tabs>
                <w:tab w:val="left" w:pos="1080"/>
              </w:tabs>
              <w:spacing w:before="120" w:after="120"/>
              <w:jc w:val="both"/>
              <w:rPr>
                <w:rFonts w:ascii="Garamond" w:hAnsi="Garamond" w:cs="Arial"/>
                <w:sz w:val="22"/>
                <w:szCs w:val="22"/>
              </w:rPr>
            </w:pPr>
            <w:r w:rsidRPr="006F6DAC">
              <w:rPr>
                <w:rFonts w:ascii="Garamond" w:hAnsi="Garamond"/>
                <w:sz w:val="22"/>
                <w:szCs w:val="22"/>
              </w:rPr>
              <w:t xml:space="preserve">Элемент &lt;area&gt; содержит информацию о результатах измерений субъекта ОРЭМ. </w:t>
            </w:r>
            <w:r w:rsidRPr="006F6DAC">
              <w:rPr>
                <w:rFonts w:ascii="Garamond" w:hAnsi="Garamond" w:cs="Arial"/>
                <w:sz w:val="22"/>
                <w:szCs w:val="22"/>
              </w:rPr>
              <w:t>Атрибутом элемента &lt;area&gt; является timezone, указывающий, к какой временной зоне относится данная &lt;area&gt;.</w:t>
            </w:r>
            <w:r w:rsidRPr="006F6DAC">
              <w:rPr>
                <w:rFonts w:ascii="Garamond" w:hAnsi="Garamond"/>
                <w:sz w:val="22"/>
                <w:szCs w:val="22"/>
              </w:rPr>
              <w:t xml:space="preserve"> </w:t>
            </w:r>
            <w:r w:rsidRPr="006F6DAC">
              <w:rPr>
                <w:rFonts w:ascii="Garamond" w:hAnsi="Garamond" w:cs="Arial"/>
                <w:sz w:val="22"/>
                <w:szCs w:val="22"/>
              </w:rPr>
              <w:t>Атрибут timezone может принимать следующие значения:</w:t>
            </w:r>
          </w:p>
          <w:p w14:paraId="6C6BCAE0" w14:textId="77777777" w:rsidR="00F11A8B" w:rsidRPr="006F6DAC" w:rsidRDefault="00F11A8B" w:rsidP="00F11A8B">
            <w:pPr>
              <w:numPr>
                <w:ilvl w:val="0"/>
                <w:numId w:val="234"/>
              </w:numPr>
              <w:tabs>
                <w:tab w:val="left" w:pos="885"/>
              </w:tabs>
              <w:suppressAutoHyphens w:val="0"/>
              <w:spacing w:before="120" w:after="120"/>
              <w:jc w:val="both"/>
              <w:rPr>
                <w:rFonts w:ascii="Garamond" w:hAnsi="Garamond" w:cs="Arial"/>
                <w:sz w:val="22"/>
                <w:szCs w:val="22"/>
              </w:rPr>
            </w:pPr>
            <w:r w:rsidRPr="006F6DAC">
              <w:rPr>
                <w:rFonts w:ascii="Garamond" w:hAnsi="Garamond" w:cs="Arial"/>
                <w:sz w:val="22"/>
                <w:szCs w:val="22"/>
              </w:rPr>
              <w:t xml:space="preserve">«1» – для первой и второй ценовых зон, для первой и третьей неценовых зон; </w:t>
            </w:r>
          </w:p>
          <w:p w14:paraId="7E52F29A" w14:textId="77777777" w:rsidR="00F11A8B" w:rsidRPr="006F6DAC" w:rsidRDefault="00F11A8B" w:rsidP="00F11A8B">
            <w:pPr>
              <w:numPr>
                <w:ilvl w:val="0"/>
                <w:numId w:val="234"/>
              </w:numPr>
              <w:tabs>
                <w:tab w:val="left" w:pos="885"/>
              </w:tabs>
              <w:suppressAutoHyphens w:val="0"/>
              <w:spacing w:before="120" w:after="120"/>
              <w:jc w:val="both"/>
              <w:rPr>
                <w:rFonts w:ascii="Garamond" w:hAnsi="Garamond"/>
                <w:sz w:val="22"/>
                <w:szCs w:val="22"/>
              </w:rPr>
            </w:pPr>
            <w:r w:rsidRPr="006F6DAC">
              <w:rPr>
                <w:rFonts w:ascii="Garamond" w:hAnsi="Garamond" w:cs="Arial"/>
                <w:sz w:val="22"/>
                <w:szCs w:val="22"/>
              </w:rPr>
              <w:t>«3» – для второй неценовой зоны.</w:t>
            </w:r>
          </w:p>
          <w:p w14:paraId="4F31E845" w14:textId="77777777" w:rsidR="00F11A8B" w:rsidRPr="006F6DAC" w:rsidRDefault="00F11A8B" w:rsidP="00F11A8B">
            <w:pPr>
              <w:tabs>
                <w:tab w:val="left" w:pos="1080"/>
              </w:tabs>
              <w:spacing w:before="120" w:after="120"/>
              <w:jc w:val="both"/>
              <w:rPr>
                <w:rFonts w:ascii="Garamond" w:hAnsi="Garamond" w:cs="Arial"/>
                <w:sz w:val="22"/>
                <w:szCs w:val="22"/>
              </w:rPr>
            </w:pPr>
            <w:r w:rsidRPr="006F6DAC">
              <w:rPr>
                <w:rFonts w:ascii="Garamond" w:hAnsi="Garamond"/>
                <w:sz w:val="22"/>
                <w:szCs w:val="22"/>
              </w:rPr>
              <w:t>Потомками</w:t>
            </w:r>
            <w:r w:rsidRPr="006F6DAC">
              <w:rPr>
                <w:rFonts w:ascii="Garamond" w:hAnsi="Garamond"/>
                <w:sz w:val="22"/>
                <w:szCs w:val="22"/>
                <w:lang w:val="en-US"/>
              </w:rPr>
              <w:t xml:space="preserve"> </w:t>
            </w:r>
            <w:r w:rsidRPr="006F6DAC">
              <w:rPr>
                <w:rFonts w:ascii="Garamond" w:hAnsi="Garamond"/>
                <w:sz w:val="22"/>
                <w:szCs w:val="22"/>
              </w:rPr>
              <w:t>элемента</w:t>
            </w:r>
            <w:r w:rsidRPr="006F6DAC">
              <w:rPr>
                <w:rFonts w:ascii="Garamond" w:hAnsi="Garamond"/>
                <w:sz w:val="22"/>
                <w:szCs w:val="22"/>
                <w:lang w:val="en-US"/>
              </w:rPr>
              <w:t xml:space="preserve"> &lt;area&gt; </w:t>
            </w:r>
            <w:r w:rsidRPr="006F6DAC">
              <w:rPr>
                <w:rFonts w:ascii="Garamond" w:hAnsi="Garamond"/>
                <w:sz w:val="22"/>
                <w:szCs w:val="22"/>
              </w:rPr>
              <w:t>могут</w:t>
            </w:r>
            <w:r w:rsidRPr="006F6DAC">
              <w:rPr>
                <w:rFonts w:ascii="Garamond" w:hAnsi="Garamond"/>
                <w:sz w:val="22"/>
                <w:szCs w:val="22"/>
                <w:lang w:val="en-US"/>
              </w:rPr>
              <w:t xml:space="preserve"> </w:t>
            </w:r>
            <w:r w:rsidRPr="006F6DAC">
              <w:rPr>
                <w:rFonts w:ascii="Garamond" w:hAnsi="Garamond"/>
                <w:sz w:val="22"/>
                <w:szCs w:val="22"/>
              </w:rPr>
              <w:t>являться</w:t>
            </w:r>
            <w:r w:rsidRPr="006F6DAC">
              <w:rPr>
                <w:rFonts w:ascii="Garamond" w:hAnsi="Garamond"/>
                <w:sz w:val="22"/>
                <w:szCs w:val="22"/>
                <w:lang w:val="en-US"/>
              </w:rPr>
              <w:t xml:space="preserve"> </w:t>
            </w:r>
            <w:r w:rsidRPr="006F6DAC">
              <w:rPr>
                <w:rFonts w:ascii="Garamond" w:hAnsi="Garamond"/>
                <w:sz w:val="22"/>
                <w:szCs w:val="22"/>
              </w:rPr>
              <w:t>элементы</w:t>
            </w:r>
            <w:r w:rsidRPr="006F6DAC">
              <w:rPr>
                <w:rFonts w:ascii="Garamond" w:hAnsi="Garamond"/>
                <w:sz w:val="22"/>
                <w:szCs w:val="22"/>
                <w:lang w:val="en-US"/>
              </w:rPr>
              <w:t xml:space="preserve"> &lt;inn&gt;, &lt;name&gt;, &lt;measuringobject&gt;, &lt;measuringpoint&gt;</w:t>
            </w:r>
            <w:r w:rsidRPr="006F6DAC">
              <w:rPr>
                <w:rFonts w:ascii="Garamond" w:hAnsi="Garamond"/>
                <w:sz w:val="22"/>
                <w:szCs w:val="22"/>
                <w:highlight w:val="yellow"/>
                <w:lang w:val="en-US"/>
              </w:rPr>
              <w:t xml:space="preserve">, &lt;deliverypoint&gt;, &lt;deliverygroup&gt;, </w:t>
            </w:r>
            <w:r w:rsidRPr="006F6DAC">
              <w:rPr>
                <w:rFonts w:ascii="Garamond" w:hAnsi="Garamond" w:cs="Arial"/>
                <w:sz w:val="22"/>
                <w:szCs w:val="22"/>
                <w:highlight w:val="yellow"/>
                <w:lang w:val="en-US"/>
              </w:rPr>
              <w:t>&lt;peretok&gt;</w:t>
            </w:r>
            <w:r w:rsidRPr="006F6DAC">
              <w:rPr>
                <w:rFonts w:ascii="Garamond" w:hAnsi="Garamond" w:cs="Arial"/>
                <w:sz w:val="22"/>
                <w:szCs w:val="22"/>
                <w:lang w:val="en-US"/>
              </w:rPr>
              <w:t xml:space="preserve">. </w:t>
            </w:r>
            <w:r w:rsidRPr="006F6DAC">
              <w:rPr>
                <w:rFonts w:ascii="Garamond" w:hAnsi="Garamond" w:cs="Arial"/>
                <w:sz w:val="22"/>
                <w:szCs w:val="22"/>
              </w:rPr>
              <w:t xml:space="preserve">Список </w:t>
            </w:r>
            <w:r w:rsidRPr="006F6DAC">
              <w:rPr>
                <w:rFonts w:ascii="Garamond" w:hAnsi="Garamond" w:cs="Arial"/>
                <w:sz w:val="22"/>
                <w:szCs w:val="22"/>
                <w:highlight w:val="yellow"/>
              </w:rPr>
              <w:t xml:space="preserve">точек измерений, точек поставки, объектов измерений, групп точек поставки, </w:t>
            </w:r>
            <w:r w:rsidRPr="006F6DAC">
              <w:rPr>
                <w:rFonts w:ascii="Garamond" w:hAnsi="Garamond"/>
                <w:sz w:val="22"/>
                <w:szCs w:val="22"/>
                <w:highlight w:val="yellow"/>
              </w:rPr>
              <w:t>совокупностей «малых» точек измерений</w:t>
            </w:r>
            <w:r w:rsidRPr="006F6DAC">
              <w:rPr>
                <w:rFonts w:ascii="Garamond" w:hAnsi="Garamond" w:cs="Arial"/>
                <w:sz w:val="22"/>
                <w:szCs w:val="22"/>
                <w:highlight w:val="yellow"/>
              </w:rPr>
              <w:t>,</w:t>
            </w:r>
            <w:r w:rsidRPr="006F6DAC">
              <w:rPr>
                <w:rFonts w:ascii="Garamond" w:hAnsi="Garamond"/>
                <w:sz w:val="22"/>
                <w:szCs w:val="22"/>
                <w:highlight w:val="yellow"/>
              </w:rPr>
              <w:t xml:space="preserve"> совокупностей «малых» точек поставки</w:t>
            </w:r>
            <w:r w:rsidRPr="006F6DAC">
              <w:rPr>
                <w:rFonts w:ascii="Garamond" w:hAnsi="Garamond" w:cs="Arial"/>
                <w:sz w:val="22"/>
                <w:szCs w:val="22"/>
                <w:highlight w:val="yellow"/>
              </w:rPr>
              <w:t>, перетоков и измерительных каналов</w:t>
            </w:r>
            <w:r w:rsidRPr="006F6DAC">
              <w:rPr>
                <w:rFonts w:ascii="Garamond" w:hAnsi="Garamond" w:cs="Arial"/>
                <w:sz w:val="22"/>
                <w:szCs w:val="22"/>
              </w:rPr>
              <w:t>, входящих в состав данной &lt;</w:t>
            </w:r>
            <w:r w:rsidRPr="006F6DAC">
              <w:rPr>
                <w:rFonts w:ascii="Garamond" w:hAnsi="Garamond" w:cs="Arial"/>
                <w:sz w:val="22"/>
                <w:szCs w:val="22"/>
                <w:lang w:val="en-US"/>
              </w:rPr>
              <w:t>area</w:t>
            </w:r>
            <w:r w:rsidRPr="006F6DAC">
              <w:rPr>
                <w:rFonts w:ascii="Garamond" w:hAnsi="Garamond" w:cs="Arial"/>
                <w:sz w:val="22"/>
                <w:szCs w:val="22"/>
              </w:rPr>
              <w:t xml:space="preserve">&gt;, определяет КО. </w:t>
            </w:r>
          </w:p>
          <w:p w14:paraId="48A86F50" w14:textId="77777777" w:rsidR="00F11A8B" w:rsidRPr="006F6DAC" w:rsidRDefault="00F11A8B" w:rsidP="00F11A8B">
            <w:pPr>
              <w:pStyle w:val="a6"/>
              <w:tabs>
                <w:tab w:val="left" w:pos="1260"/>
              </w:tabs>
              <w:suppressAutoHyphens w:val="0"/>
              <w:spacing w:before="120" w:after="120"/>
              <w:jc w:val="both"/>
              <w:rPr>
                <w:rFonts w:ascii="Garamond" w:hAnsi="Garamond"/>
                <w:bCs w:val="0"/>
                <w:sz w:val="22"/>
                <w:szCs w:val="22"/>
              </w:rPr>
            </w:pPr>
            <w:r w:rsidRPr="006F6DAC">
              <w:rPr>
                <w:rFonts w:ascii="Garamond" w:hAnsi="Garamond"/>
                <w:sz w:val="22"/>
                <w:szCs w:val="22"/>
              </w:rPr>
              <w:t>В документе допускается наличие только одного элемента &lt;area&gt;.</w:t>
            </w:r>
          </w:p>
        </w:tc>
        <w:tc>
          <w:tcPr>
            <w:tcW w:w="7115" w:type="dxa"/>
          </w:tcPr>
          <w:p w14:paraId="00C33E83" w14:textId="77777777" w:rsidR="00F11A8B" w:rsidRPr="006F6DAC" w:rsidRDefault="00F11A8B" w:rsidP="00F11A8B">
            <w:pPr>
              <w:tabs>
                <w:tab w:val="left" w:pos="1080"/>
              </w:tabs>
              <w:spacing w:before="120" w:after="120"/>
              <w:jc w:val="both"/>
              <w:rPr>
                <w:rFonts w:ascii="Garamond" w:hAnsi="Garamond"/>
                <w:sz w:val="22"/>
                <w:szCs w:val="22"/>
              </w:rPr>
            </w:pPr>
            <w:r w:rsidRPr="006F6DAC">
              <w:rPr>
                <w:rFonts w:ascii="Garamond" w:hAnsi="Garamond"/>
                <w:sz w:val="22"/>
                <w:szCs w:val="22"/>
              </w:rPr>
              <w:t>&lt;</w:t>
            </w:r>
            <w:r w:rsidRPr="006F6DAC">
              <w:rPr>
                <w:rFonts w:ascii="Garamond" w:hAnsi="Garamond"/>
                <w:sz w:val="22"/>
                <w:szCs w:val="22"/>
                <w:lang w:val="en-US"/>
              </w:rPr>
              <w:t>area</w:t>
            </w:r>
            <w:r w:rsidRPr="006F6DAC">
              <w:rPr>
                <w:rFonts w:ascii="Garamond" w:hAnsi="Garamond"/>
                <w:sz w:val="22"/>
                <w:szCs w:val="22"/>
              </w:rPr>
              <w:t>&gt;</w:t>
            </w:r>
          </w:p>
          <w:p w14:paraId="5D41D106" w14:textId="77777777" w:rsidR="00F11A8B" w:rsidRPr="006F6DAC" w:rsidRDefault="00F11A8B" w:rsidP="00F11A8B">
            <w:pPr>
              <w:tabs>
                <w:tab w:val="left" w:pos="1080"/>
              </w:tabs>
              <w:spacing w:before="120" w:after="120"/>
              <w:jc w:val="both"/>
              <w:rPr>
                <w:rFonts w:ascii="Garamond" w:hAnsi="Garamond" w:cs="Arial"/>
                <w:sz w:val="22"/>
                <w:szCs w:val="22"/>
              </w:rPr>
            </w:pPr>
            <w:r w:rsidRPr="006F6DAC">
              <w:rPr>
                <w:rFonts w:ascii="Garamond" w:hAnsi="Garamond"/>
                <w:sz w:val="22"/>
                <w:szCs w:val="22"/>
              </w:rPr>
              <w:t xml:space="preserve">Элемент &lt;area&gt; содержит информацию о результатах измерений субъекта ОРЭМ. </w:t>
            </w:r>
            <w:r w:rsidRPr="006F6DAC">
              <w:rPr>
                <w:rFonts w:ascii="Garamond" w:hAnsi="Garamond" w:cs="Arial"/>
                <w:sz w:val="22"/>
                <w:szCs w:val="22"/>
              </w:rPr>
              <w:t>Атрибутом элемента &lt;area&gt; является timezone, указывающий, к какой временной зоне относится данная &lt;area&gt;.</w:t>
            </w:r>
            <w:r w:rsidRPr="006F6DAC">
              <w:rPr>
                <w:rFonts w:ascii="Garamond" w:hAnsi="Garamond"/>
                <w:sz w:val="22"/>
                <w:szCs w:val="22"/>
              </w:rPr>
              <w:t xml:space="preserve"> </w:t>
            </w:r>
            <w:r w:rsidRPr="006F6DAC">
              <w:rPr>
                <w:rFonts w:ascii="Garamond" w:hAnsi="Garamond" w:cs="Arial"/>
                <w:sz w:val="22"/>
                <w:szCs w:val="22"/>
              </w:rPr>
              <w:t>Атрибут timezone может принимать следующие значения:</w:t>
            </w:r>
          </w:p>
          <w:p w14:paraId="40FCBE2E" w14:textId="77777777" w:rsidR="00F11A8B" w:rsidRPr="006F6DAC" w:rsidRDefault="00F11A8B" w:rsidP="00F11A8B">
            <w:pPr>
              <w:numPr>
                <w:ilvl w:val="0"/>
                <w:numId w:val="234"/>
              </w:numPr>
              <w:tabs>
                <w:tab w:val="left" w:pos="885"/>
              </w:tabs>
              <w:suppressAutoHyphens w:val="0"/>
              <w:spacing w:before="120" w:after="120"/>
              <w:jc w:val="both"/>
              <w:rPr>
                <w:rFonts w:ascii="Garamond" w:hAnsi="Garamond" w:cs="Arial"/>
                <w:sz w:val="22"/>
                <w:szCs w:val="22"/>
              </w:rPr>
            </w:pPr>
            <w:r w:rsidRPr="006F6DAC">
              <w:rPr>
                <w:rFonts w:ascii="Garamond" w:hAnsi="Garamond" w:cs="Arial"/>
                <w:sz w:val="22"/>
                <w:szCs w:val="22"/>
              </w:rPr>
              <w:t xml:space="preserve">«1» – для первой и второй ценовых зон, для первой и третьей неценовых зон; </w:t>
            </w:r>
          </w:p>
          <w:p w14:paraId="3B18B856" w14:textId="77777777" w:rsidR="00F11A8B" w:rsidRPr="006F6DAC" w:rsidRDefault="00F11A8B" w:rsidP="00F11A8B">
            <w:pPr>
              <w:numPr>
                <w:ilvl w:val="0"/>
                <w:numId w:val="234"/>
              </w:numPr>
              <w:tabs>
                <w:tab w:val="left" w:pos="885"/>
              </w:tabs>
              <w:suppressAutoHyphens w:val="0"/>
              <w:spacing w:before="120" w:after="120"/>
              <w:jc w:val="both"/>
              <w:rPr>
                <w:rFonts w:ascii="Garamond" w:hAnsi="Garamond"/>
                <w:sz w:val="22"/>
                <w:szCs w:val="22"/>
              </w:rPr>
            </w:pPr>
            <w:r w:rsidRPr="006F6DAC">
              <w:rPr>
                <w:rFonts w:ascii="Garamond" w:hAnsi="Garamond" w:cs="Arial"/>
                <w:sz w:val="22"/>
                <w:szCs w:val="22"/>
              </w:rPr>
              <w:t>«3» – для второй неценовой зоны.</w:t>
            </w:r>
          </w:p>
          <w:p w14:paraId="3E649BFA" w14:textId="77777777" w:rsidR="00F11A8B" w:rsidRPr="006F6DAC" w:rsidRDefault="00F11A8B" w:rsidP="00F11A8B">
            <w:pPr>
              <w:pStyle w:val="a6"/>
              <w:tabs>
                <w:tab w:val="left" w:pos="1260"/>
              </w:tabs>
              <w:suppressAutoHyphens w:val="0"/>
              <w:spacing w:before="120" w:after="120"/>
              <w:jc w:val="both"/>
              <w:rPr>
                <w:rFonts w:ascii="Garamond" w:hAnsi="Garamond" w:cs="Arial"/>
                <w:sz w:val="22"/>
                <w:szCs w:val="22"/>
              </w:rPr>
            </w:pPr>
            <w:r w:rsidRPr="006F6DAC">
              <w:rPr>
                <w:rFonts w:ascii="Garamond" w:hAnsi="Garamond"/>
                <w:sz w:val="22"/>
                <w:szCs w:val="22"/>
              </w:rPr>
              <w:t>Потомками элемента &lt;</w:t>
            </w:r>
            <w:r w:rsidRPr="006F6DAC">
              <w:rPr>
                <w:rFonts w:ascii="Garamond" w:hAnsi="Garamond"/>
                <w:sz w:val="22"/>
                <w:szCs w:val="22"/>
                <w:lang w:val="en-US"/>
              </w:rPr>
              <w:t>area</w:t>
            </w:r>
            <w:r w:rsidRPr="006F6DAC">
              <w:rPr>
                <w:rFonts w:ascii="Garamond" w:hAnsi="Garamond"/>
                <w:sz w:val="22"/>
                <w:szCs w:val="22"/>
              </w:rPr>
              <w:t>&gt; могут являться элементы &lt;</w:t>
            </w:r>
            <w:r w:rsidRPr="006F6DAC">
              <w:rPr>
                <w:rFonts w:ascii="Garamond" w:hAnsi="Garamond"/>
                <w:sz w:val="22"/>
                <w:szCs w:val="22"/>
                <w:lang w:val="en-US"/>
              </w:rPr>
              <w:t>inn</w:t>
            </w:r>
            <w:r w:rsidRPr="006F6DAC">
              <w:rPr>
                <w:rFonts w:ascii="Garamond" w:hAnsi="Garamond"/>
                <w:sz w:val="22"/>
                <w:szCs w:val="22"/>
              </w:rPr>
              <w:t>&gt;, &lt;</w:t>
            </w:r>
            <w:r w:rsidRPr="006F6DAC">
              <w:rPr>
                <w:rFonts w:ascii="Garamond" w:hAnsi="Garamond"/>
                <w:sz w:val="22"/>
                <w:szCs w:val="22"/>
                <w:lang w:val="en-US"/>
              </w:rPr>
              <w:t>name</w:t>
            </w:r>
            <w:r w:rsidRPr="006F6DAC">
              <w:rPr>
                <w:rFonts w:ascii="Garamond" w:hAnsi="Garamond"/>
                <w:sz w:val="22"/>
                <w:szCs w:val="22"/>
              </w:rPr>
              <w:t>&gt;, &lt;</w:t>
            </w:r>
            <w:r w:rsidRPr="006F6DAC">
              <w:rPr>
                <w:rFonts w:ascii="Garamond" w:hAnsi="Garamond"/>
                <w:sz w:val="22"/>
                <w:szCs w:val="22"/>
                <w:lang w:val="en-US"/>
              </w:rPr>
              <w:t>measuringobject</w:t>
            </w:r>
            <w:r w:rsidRPr="006F6DAC">
              <w:rPr>
                <w:rFonts w:ascii="Garamond" w:hAnsi="Garamond"/>
                <w:sz w:val="22"/>
                <w:szCs w:val="22"/>
              </w:rPr>
              <w:t>&gt;, &lt;</w:t>
            </w:r>
            <w:r w:rsidRPr="006F6DAC">
              <w:rPr>
                <w:rFonts w:ascii="Garamond" w:hAnsi="Garamond"/>
                <w:sz w:val="22"/>
                <w:szCs w:val="22"/>
                <w:lang w:val="en-US"/>
              </w:rPr>
              <w:t>measuringpoint</w:t>
            </w:r>
            <w:r w:rsidRPr="006F6DAC">
              <w:rPr>
                <w:rFonts w:ascii="Garamond" w:hAnsi="Garamond"/>
                <w:sz w:val="22"/>
                <w:szCs w:val="22"/>
              </w:rPr>
              <w:t>&gt;</w:t>
            </w:r>
            <w:r w:rsidRPr="006F6DAC">
              <w:rPr>
                <w:rFonts w:ascii="Garamond" w:hAnsi="Garamond" w:cs="Arial"/>
                <w:sz w:val="22"/>
                <w:szCs w:val="22"/>
              </w:rPr>
              <w:t xml:space="preserve">. Список </w:t>
            </w:r>
            <w:r w:rsidRPr="006F6DAC">
              <w:rPr>
                <w:rFonts w:ascii="Garamond" w:hAnsi="Garamond" w:cs="Arial"/>
                <w:sz w:val="22"/>
                <w:szCs w:val="22"/>
                <w:highlight w:val="yellow"/>
              </w:rPr>
              <w:t>измерительных каналов, точек измерений и объектов измерений</w:t>
            </w:r>
            <w:r w:rsidRPr="006F6DAC">
              <w:rPr>
                <w:rFonts w:ascii="Garamond" w:hAnsi="Garamond" w:cs="Arial"/>
                <w:sz w:val="22"/>
                <w:szCs w:val="22"/>
              </w:rPr>
              <w:t>, входящих в состав данной &lt;</w:t>
            </w:r>
            <w:r w:rsidRPr="006F6DAC">
              <w:rPr>
                <w:rFonts w:ascii="Garamond" w:hAnsi="Garamond" w:cs="Arial"/>
                <w:sz w:val="22"/>
                <w:szCs w:val="22"/>
                <w:lang w:val="en-US"/>
              </w:rPr>
              <w:t>area</w:t>
            </w:r>
            <w:r w:rsidRPr="006F6DAC">
              <w:rPr>
                <w:rFonts w:ascii="Garamond" w:hAnsi="Garamond" w:cs="Arial"/>
                <w:sz w:val="22"/>
                <w:szCs w:val="22"/>
              </w:rPr>
              <w:t>&gt;, определяет КО.</w:t>
            </w:r>
          </w:p>
          <w:p w14:paraId="34C08C67" w14:textId="77777777" w:rsidR="00F11A8B" w:rsidRPr="006F6DAC" w:rsidRDefault="00F11A8B" w:rsidP="00F11A8B">
            <w:pPr>
              <w:pStyle w:val="a6"/>
              <w:tabs>
                <w:tab w:val="left" w:pos="1260"/>
              </w:tabs>
              <w:suppressAutoHyphens w:val="0"/>
              <w:spacing w:before="120" w:after="120"/>
              <w:jc w:val="both"/>
              <w:rPr>
                <w:rFonts w:ascii="Garamond" w:hAnsi="Garamond"/>
                <w:bCs w:val="0"/>
                <w:sz w:val="22"/>
                <w:szCs w:val="22"/>
              </w:rPr>
            </w:pPr>
            <w:r w:rsidRPr="006F6DAC">
              <w:rPr>
                <w:rFonts w:ascii="Garamond" w:hAnsi="Garamond"/>
                <w:sz w:val="22"/>
                <w:szCs w:val="22"/>
              </w:rPr>
              <w:t>В документе допускается наличие только одного элемента &lt;area&gt;.</w:t>
            </w:r>
          </w:p>
        </w:tc>
      </w:tr>
      <w:tr w:rsidR="00F11A8B" w:rsidRPr="006F6DAC" w14:paraId="5FB1EB2E" w14:textId="77777777" w:rsidTr="006F6DAC">
        <w:tc>
          <w:tcPr>
            <w:tcW w:w="1060" w:type="dxa"/>
          </w:tcPr>
          <w:p w14:paraId="2E585FAB" w14:textId="77777777" w:rsidR="00F11A8B" w:rsidRPr="006F6DAC" w:rsidRDefault="00F11A8B" w:rsidP="00F11A8B">
            <w:pPr>
              <w:widowControl w:val="0"/>
              <w:spacing w:line="259" w:lineRule="auto"/>
              <w:jc w:val="center"/>
              <w:rPr>
                <w:rFonts w:ascii="Garamond" w:hAnsi="Garamond"/>
                <w:b/>
                <w:sz w:val="22"/>
                <w:szCs w:val="22"/>
                <w:lang w:eastAsia="en-US"/>
              </w:rPr>
            </w:pPr>
            <w:r w:rsidRPr="006F6DAC">
              <w:rPr>
                <w:rFonts w:ascii="Garamond" w:hAnsi="Garamond"/>
                <w:b/>
                <w:sz w:val="22"/>
                <w:szCs w:val="22"/>
                <w:lang w:eastAsia="en-US"/>
              </w:rPr>
              <w:t>4.2.1.3.4</w:t>
            </w:r>
          </w:p>
        </w:tc>
        <w:tc>
          <w:tcPr>
            <w:tcW w:w="6804" w:type="dxa"/>
          </w:tcPr>
          <w:p w14:paraId="0F5ADDCB" w14:textId="77777777" w:rsidR="00F11A8B" w:rsidRPr="006F6DAC" w:rsidRDefault="00F11A8B" w:rsidP="00F11A8B">
            <w:pPr>
              <w:tabs>
                <w:tab w:val="left" w:pos="1080"/>
              </w:tabs>
              <w:spacing w:before="120" w:after="120"/>
              <w:jc w:val="both"/>
              <w:rPr>
                <w:rFonts w:ascii="Garamond" w:hAnsi="Garamond"/>
                <w:sz w:val="22"/>
                <w:szCs w:val="22"/>
              </w:rPr>
            </w:pPr>
            <w:r w:rsidRPr="006F6DAC">
              <w:rPr>
                <w:rFonts w:ascii="Garamond" w:hAnsi="Garamond"/>
                <w:sz w:val="22"/>
                <w:szCs w:val="22"/>
              </w:rPr>
              <w:t>&lt;</w:t>
            </w:r>
            <w:r w:rsidRPr="006F6DAC">
              <w:rPr>
                <w:rFonts w:ascii="Garamond" w:hAnsi="Garamond"/>
                <w:sz w:val="22"/>
                <w:szCs w:val="22"/>
                <w:lang w:val="en-US"/>
              </w:rPr>
              <w:t>measuringpoint</w:t>
            </w:r>
            <w:r w:rsidRPr="006F6DAC">
              <w:rPr>
                <w:rFonts w:ascii="Garamond" w:hAnsi="Garamond"/>
                <w:sz w:val="22"/>
                <w:szCs w:val="22"/>
              </w:rPr>
              <w:t>&gt;</w:t>
            </w:r>
          </w:p>
          <w:p w14:paraId="2BFB70D7" w14:textId="77777777" w:rsidR="00F11A8B" w:rsidRPr="006F6DAC" w:rsidRDefault="00F11A8B" w:rsidP="00F11A8B">
            <w:pPr>
              <w:tabs>
                <w:tab w:val="left" w:pos="1080"/>
              </w:tabs>
              <w:spacing w:before="120" w:after="120"/>
              <w:jc w:val="both"/>
              <w:rPr>
                <w:rFonts w:ascii="Garamond" w:hAnsi="Garamond"/>
                <w:sz w:val="22"/>
                <w:szCs w:val="22"/>
              </w:rPr>
            </w:pPr>
            <w:r w:rsidRPr="006F6DAC">
              <w:rPr>
                <w:rFonts w:ascii="Garamond" w:hAnsi="Garamond"/>
                <w:sz w:val="22"/>
                <w:szCs w:val="22"/>
              </w:rPr>
              <w:t>Элемент &lt;</w:t>
            </w:r>
            <w:r w:rsidRPr="006F6DAC">
              <w:rPr>
                <w:rFonts w:ascii="Garamond" w:hAnsi="Garamond"/>
                <w:sz w:val="22"/>
                <w:szCs w:val="22"/>
                <w:lang w:val="en-US"/>
              </w:rPr>
              <w:t>m</w:t>
            </w:r>
            <w:r w:rsidRPr="006F6DAC">
              <w:rPr>
                <w:rFonts w:ascii="Garamond" w:hAnsi="Garamond"/>
                <w:sz w:val="22"/>
                <w:szCs w:val="22"/>
              </w:rPr>
              <w:t>easuring</w:t>
            </w:r>
            <w:r w:rsidRPr="006F6DAC">
              <w:rPr>
                <w:rFonts w:ascii="Garamond" w:hAnsi="Garamond"/>
                <w:sz w:val="22"/>
                <w:szCs w:val="22"/>
                <w:lang w:val="en-US"/>
              </w:rPr>
              <w:t>p</w:t>
            </w:r>
            <w:r w:rsidRPr="006F6DAC">
              <w:rPr>
                <w:rFonts w:ascii="Garamond" w:hAnsi="Garamond"/>
                <w:sz w:val="22"/>
                <w:szCs w:val="22"/>
              </w:rPr>
              <w:t xml:space="preserve">oint&gt; содержит сведения о точке измерений </w:t>
            </w:r>
            <w:r w:rsidRPr="006F6DAC">
              <w:rPr>
                <w:rFonts w:ascii="Garamond" w:hAnsi="Garamond"/>
                <w:sz w:val="22"/>
                <w:szCs w:val="22"/>
                <w:highlight w:val="yellow"/>
              </w:rPr>
              <w:t>/ совокупности «малых» точек измерений</w:t>
            </w:r>
            <w:r w:rsidRPr="006F6DAC">
              <w:rPr>
                <w:rFonts w:ascii="Garamond" w:hAnsi="Garamond"/>
                <w:sz w:val="22"/>
                <w:szCs w:val="22"/>
              </w:rPr>
              <w:t xml:space="preserve"> и результатах измерений по ней. Атрибуты элемента &lt;</w:t>
            </w:r>
            <w:r w:rsidRPr="006F6DAC">
              <w:rPr>
                <w:rFonts w:ascii="Garamond" w:hAnsi="Garamond"/>
                <w:sz w:val="22"/>
                <w:szCs w:val="22"/>
                <w:lang w:val="en-US"/>
              </w:rPr>
              <w:t>m</w:t>
            </w:r>
            <w:r w:rsidRPr="006F6DAC">
              <w:rPr>
                <w:rFonts w:ascii="Garamond" w:hAnsi="Garamond"/>
                <w:sz w:val="22"/>
                <w:szCs w:val="22"/>
              </w:rPr>
              <w:t>easuring</w:t>
            </w:r>
            <w:r w:rsidRPr="006F6DAC">
              <w:rPr>
                <w:rFonts w:ascii="Garamond" w:hAnsi="Garamond"/>
                <w:sz w:val="22"/>
                <w:szCs w:val="22"/>
                <w:lang w:val="en-US"/>
              </w:rPr>
              <w:t>p</w:t>
            </w:r>
            <w:r w:rsidRPr="006F6DAC">
              <w:rPr>
                <w:rFonts w:ascii="Garamond" w:hAnsi="Garamond"/>
                <w:sz w:val="22"/>
                <w:szCs w:val="22"/>
              </w:rPr>
              <w:t xml:space="preserve">oint&gt;: </w:t>
            </w:r>
          </w:p>
          <w:p w14:paraId="6824B581" w14:textId="77777777" w:rsidR="00F11A8B" w:rsidRPr="006F6DAC" w:rsidRDefault="00F11A8B" w:rsidP="00F11A8B">
            <w:pPr>
              <w:numPr>
                <w:ilvl w:val="0"/>
                <w:numId w:val="234"/>
              </w:numPr>
              <w:tabs>
                <w:tab w:val="left" w:pos="885"/>
              </w:tabs>
              <w:suppressAutoHyphens w:val="0"/>
              <w:spacing w:before="120" w:after="120"/>
              <w:jc w:val="both"/>
              <w:rPr>
                <w:rFonts w:ascii="Garamond" w:hAnsi="Garamond"/>
                <w:sz w:val="22"/>
                <w:szCs w:val="22"/>
              </w:rPr>
            </w:pPr>
            <w:r w:rsidRPr="006F6DAC">
              <w:rPr>
                <w:rFonts w:ascii="Garamond" w:hAnsi="Garamond"/>
                <w:sz w:val="22"/>
                <w:szCs w:val="22"/>
                <w:lang w:val="en-US"/>
              </w:rPr>
              <w:t>code</w:t>
            </w:r>
            <w:r w:rsidRPr="006F6DAC">
              <w:rPr>
                <w:rFonts w:ascii="Garamond" w:hAnsi="Garamond"/>
                <w:sz w:val="22"/>
                <w:szCs w:val="22"/>
              </w:rPr>
              <w:t xml:space="preserve"> – </w:t>
            </w:r>
            <w:r w:rsidRPr="006F6DAC">
              <w:rPr>
                <w:rFonts w:ascii="Garamond" w:hAnsi="Garamond"/>
                <w:spacing w:val="1"/>
                <w:sz w:val="22"/>
                <w:szCs w:val="22"/>
              </w:rPr>
              <w:t xml:space="preserve">содержит уникальный код, присвоенный КО данной точке измерений </w:t>
            </w:r>
            <w:r w:rsidRPr="006F6DAC">
              <w:rPr>
                <w:rFonts w:ascii="Garamond" w:hAnsi="Garamond"/>
                <w:bCs/>
                <w:sz w:val="22"/>
                <w:szCs w:val="22"/>
                <w:highlight w:val="yellow"/>
              </w:rPr>
              <w:t>/ совокупности «малых» точек измерений</w:t>
            </w:r>
            <w:r w:rsidRPr="006F6DAC">
              <w:rPr>
                <w:rFonts w:ascii="Garamond" w:hAnsi="Garamond"/>
                <w:bCs/>
                <w:sz w:val="22"/>
                <w:szCs w:val="22"/>
              </w:rPr>
              <w:t>;</w:t>
            </w:r>
          </w:p>
          <w:p w14:paraId="6354080D" w14:textId="77777777" w:rsidR="00F11A8B" w:rsidRPr="006F6DAC" w:rsidRDefault="00F11A8B" w:rsidP="00F11A8B">
            <w:pPr>
              <w:numPr>
                <w:ilvl w:val="0"/>
                <w:numId w:val="234"/>
              </w:numPr>
              <w:tabs>
                <w:tab w:val="left" w:pos="885"/>
              </w:tabs>
              <w:suppressAutoHyphens w:val="0"/>
              <w:spacing w:before="120" w:after="120"/>
              <w:jc w:val="both"/>
              <w:rPr>
                <w:rFonts w:ascii="Garamond" w:hAnsi="Garamond"/>
                <w:sz w:val="22"/>
                <w:szCs w:val="22"/>
              </w:rPr>
            </w:pPr>
            <w:r w:rsidRPr="006F6DAC">
              <w:rPr>
                <w:rFonts w:ascii="Garamond" w:hAnsi="Garamond"/>
                <w:sz w:val="22"/>
                <w:szCs w:val="22"/>
                <w:lang w:val="en-US"/>
              </w:rPr>
              <w:lastRenderedPageBreak/>
              <w:t>name</w:t>
            </w:r>
            <w:r w:rsidRPr="006F6DAC">
              <w:rPr>
                <w:rFonts w:ascii="Garamond" w:hAnsi="Garamond"/>
                <w:sz w:val="22"/>
                <w:szCs w:val="22"/>
              </w:rPr>
              <w:t xml:space="preserve"> – содержит наименование данной точки измерений </w:t>
            </w:r>
            <w:r w:rsidRPr="006F6DAC">
              <w:rPr>
                <w:rFonts w:ascii="Garamond" w:hAnsi="Garamond"/>
                <w:sz w:val="22"/>
                <w:szCs w:val="22"/>
                <w:highlight w:val="yellow"/>
              </w:rPr>
              <w:t>/</w:t>
            </w:r>
            <w:r w:rsidRPr="006F6DAC">
              <w:rPr>
                <w:rFonts w:ascii="Garamond" w:hAnsi="Garamond"/>
                <w:sz w:val="22"/>
                <w:szCs w:val="22"/>
              </w:rPr>
              <w:t xml:space="preserve"> </w:t>
            </w:r>
            <w:r w:rsidRPr="006F6DAC">
              <w:rPr>
                <w:rFonts w:ascii="Garamond" w:hAnsi="Garamond"/>
                <w:sz w:val="22"/>
                <w:szCs w:val="22"/>
                <w:highlight w:val="yellow"/>
              </w:rPr>
              <w:t>совокупности «малых» точек измерений</w:t>
            </w:r>
            <w:r w:rsidRPr="006F6DAC">
              <w:rPr>
                <w:rFonts w:ascii="Garamond" w:hAnsi="Garamond"/>
                <w:sz w:val="22"/>
                <w:szCs w:val="22"/>
              </w:rPr>
              <w:t>. Длина наименования до 250 символов.</w:t>
            </w:r>
          </w:p>
          <w:p w14:paraId="29C5D409" w14:textId="77777777" w:rsidR="00F11A8B" w:rsidRPr="006F6DAC" w:rsidRDefault="00F11A8B" w:rsidP="00F11A8B">
            <w:pPr>
              <w:tabs>
                <w:tab w:val="left" w:pos="1080"/>
              </w:tabs>
              <w:spacing w:before="120" w:after="120"/>
              <w:jc w:val="both"/>
              <w:rPr>
                <w:rFonts w:ascii="Garamond" w:hAnsi="Garamond"/>
                <w:sz w:val="22"/>
                <w:szCs w:val="22"/>
              </w:rPr>
            </w:pPr>
            <w:r w:rsidRPr="006F6DAC">
              <w:rPr>
                <w:rFonts w:ascii="Garamond" w:hAnsi="Garamond"/>
                <w:sz w:val="22"/>
                <w:szCs w:val="22"/>
              </w:rPr>
              <w:t>Потомками элемента &lt;</w:t>
            </w:r>
            <w:r w:rsidRPr="006F6DAC">
              <w:rPr>
                <w:rFonts w:ascii="Garamond" w:hAnsi="Garamond"/>
                <w:sz w:val="22"/>
                <w:szCs w:val="22"/>
                <w:lang w:val="en-US"/>
              </w:rPr>
              <w:t>m</w:t>
            </w:r>
            <w:r w:rsidRPr="006F6DAC">
              <w:rPr>
                <w:rFonts w:ascii="Garamond" w:hAnsi="Garamond"/>
                <w:sz w:val="22"/>
                <w:szCs w:val="22"/>
              </w:rPr>
              <w:t>easuring</w:t>
            </w:r>
            <w:r w:rsidRPr="006F6DAC">
              <w:rPr>
                <w:rFonts w:ascii="Garamond" w:hAnsi="Garamond"/>
                <w:sz w:val="22"/>
                <w:szCs w:val="22"/>
                <w:lang w:val="en-US"/>
              </w:rPr>
              <w:t>p</w:t>
            </w:r>
            <w:r w:rsidRPr="006F6DAC">
              <w:rPr>
                <w:rFonts w:ascii="Garamond" w:hAnsi="Garamond"/>
                <w:sz w:val="22"/>
                <w:szCs w:val="22"/>
              </w:rPr>
              <w:t>oint&gt; являются элементы &lt;</w:t>
            </w:r>
            <w:r w:rsidRPr="006F6DAC">
              <w:rPr>
                <w:rFonts w:ascii="Garamond" w:hAnsi="Garamond"/>
                <w:sz w:val="22"/>
                <w:szCs w:val="22"/>
                <w:lang w:val="en-US"/>
              </w:rPr>
              <w:t>m</w:t>
            </w:r>
            <w:r w:rsidRPr="006F6DAC">
              <w:rPr>
                <w:rFonts w:ascii="Garamond" w:hAnsi="Garamond"/>
                <w:sz w:val="22"/>
                <w:szCs w:val="22"/>
              </w:rPr>
              <w:t>easuring</w:t>
            </w:r>
            <w:r w:rsidRPr="006F6DAC">
              <w:rPr>
                <w:rFonts w:ascii="Garamond" w:hAnsi="Garamond"/>
                <w:sz w:val="22"/>
                <w:szCs w:val="22"/>
                <w:lang w:val="en-US"/>
              </w:rPr>
              <w:t>c</w:t>
            </w:r>
            <w:r w:rsidRPr="006F6DAC">
              <w:rPr>
                <w:rFonts w:ascii="Garamond" w:hAnsi="Garamond"/>
                <w:sz w:val="22"/>
                <w:szCs w:val="22"/>
              </w:rPr>
              <w:t>hannel&gt;.</w:t>
            </w:r>
          </w:p>
        </w:tc>
        <w:tc>
          <w:tcPr>
            <w:tcW w:w="7115" w:type="dxa"/>
          </w:tcPr>
          <w:p w14:paraId="256413AB" w14:textId="77777777" w:rsidR="00F11A8B" w:rsidRPr="006F6DAC" w:rsidRDefault="00F11A8B" w:rsidP="00F11A8B">
            <w:pPr>
              <w:tabs>
                <w:tab w:val="left" w:pos="1080"/>
              </w:tabs>
              <w:spacing w:before="120" w:after="120"/>
              <w:jc w:val="both"/>
              <w:rPr>
                <w:rFonts w:ascii="Garamond" w:hAnsi="Garamond"/>
                <w:sz w:val="22"/>
                <w:szCs w:val="22"/>
              </w:rPr>
            </w:pPr>
            <w:r w:rsidRPr="006F6DAC">
              <w:rPr>
                <w:rFonts w:ascii="Garamond" w:hAnsi="Garamond"/>
                <w:sz w:val="22"/>
                <w:szCs w:val="22"/>
              </w:rPr>
              <w:lastRenderedPageBreak/>
              <w:t>&lt;</w:t>
            </w:r>
            <w:r w:rsidRPr="006F6DAC">
              <w:rPr>
                <w:rFonts w:ascii="Garamond" w:hAnsi="Garamond"/>
                <w:sz w:val="22"/>
                <w:szCs w:val="22"/>
                <w:lang w:val="en-US"/>
              </w:rPr>
              <w:t>measuringpoint</w:t>
            </w:r>
            <w:r w:rsidRPr="006F6DAC">
              <w:rPr>
                <w:rFonts w:ascii="Garamond" w:hAnsi="Garamond"/>
                <w:sz w:val="22"/>
                <w:szCs w:val="22"/>
              </w:rPr>
              <w:t>&gt;</w:t>
            </w:r>
          </w:p>
          <w:p w14:paraId="0B535C05" w14:textId="77777777" w:rsidR="00F11A8B" w:rsidRPr="006F6DAC" w:rsidRDefault="00F11A8B" w:rsidP="00F11A8B">
            <w:pPr>
              <w:tabs>
                <w:tab w:val="left" w:pos="1080"/>
              </w:tabs>
              <w:spacing w:before="120" w:after="120"/>
              <w:jc w:val="both"/>
              <w:rPr>
                <w:rFonts w:ascii="Garamond" w:hAnsi="Garamond"/>
                <w:sz w:val="22"/>
                <w:szCs w:val="22"/>
              </w:rPr>
            </w:pPr>
            <w:r w:rsidRPr="006F6DAC">
              <w:rPr>
                <w:rFonts w:ascii="Garamond" w:hAnsi="Garamond"/>
                <w:sz w:val="22"/>
                <w:szCs w:val="22"/>
              </w:rPr>
              <w:t>Элемент &lt;</w:t>
            </w:r>
            <w:r w:rsidRPr="006F6DAC">
              <w:rPr>
                <w:rFonts w:ascii="Garamond" w:hAnsi="Garamond"/>
                <w:sz w:val="22"/>
                <w:szCs w:val="22"/>
                <w:lang w:val="en-US"/>
              </w:rPr>
              <w:t>m</w:t>
            </w:r>
            <w:r w:rsidRPr="006F6DAC">
              <w:rPr>
                <w:rFonts w:ascii="Garamond" w:hAnsi="Garamond"/>
                <w:sz w:val="22"/>
                <w:szCs w:val="22"/>
              </w:rPr>
              <w:t>easuring</w:t>
            </w:r>
            <w:r w:rsidRPr="006F6DAC">
              <w:rPr>
                <w:rFonts w:ascii="Garamond" w:hAnsi="Garamond"/>
                <w:sz w:val="22"/>
                <w:szCs w:val="22"/>
                <w:lang w:val="en-US"/>
              </w:rPr>
              <w:t>p</w:t>
            </w:r>
            <w:r w:rsidRPr="006F6DAC">
              <w:rPr>
                <w:rFonts w:ascii="Garamond" w:hAnsi="Garamond"/>
                <w:sz w:val="22"/>
                <w:szCs w:val="22"/>
              </w:rPr>
              <w:t>oint&gt; содержит сведения о точке измерений и результатах измерений по ней. Атрибуты элемента &lt;</w:t>
            </w:r>
            <w:r w:rsidRPr="006F6DAC">
              <w:rPr>
                <w:rFonts w:ascii="Garamond" w:hAnsi="Garamond"/>
                <w:sz w:val="22"/>
                <w:szCs w:val="22"/>
                <w:lang w:val="en-US"/>
              </w:rPr>
              <w:t>m</w:t>
            </w:r>
            <w:r w:rsidRPr="006F6DAC">
              <w:rPr>
                <w:rFonts w:ascii="Garamond" w:hAnsi="Garamond"/>
                <w:sz w:val="22"/>
                <w:szCs w:val="22"/>
              </w:rPr>
              <w:t>easuring</w:t>
            </w:r>
            <w:r w:rsidRPr="006F6DAC">
              <w:rPr>
                <w:rFonts w:ascii="Garamond" w:hAnsi="Garamond"/>
                <w:sz w:val="22"/>
                <w:szCs w:val="22"/>
                <w:lang w:val="en-US"/>
              </w:rPr>
              <w:t>p</w:t>
            </w:r>
            <w:r w:rsidRPr="006F6DAC">
              <w:rPr>
                <w:rFonts w:ascii="Garamond" w:hAnsi="Garamond"/>
                <w:sz w:val="22"/>
                <w:szCs w:val="22"/>
              </w:rPr>
              <w:t xml:space="preserve">oint&gt;: </w:t>
            </w:r>
          </w:p>
          <w:p w14:paraId="17FDD794" w14:textId="77777777" w:rsidR="00F11A8B" w:rsidRPr="006F6DAC" w:rsidRDefault="00F11A8B" w:rsidP="00F11A8B">
            <w:pPr>
              <w:numPr>
                <w:ilvl w:val="0"/>
                <w:numId w:val="234"/>
              </w:numPr>
              <w:tabs>
                <w:tab w:val="left" w:pos="885"/>
              </w:tabs>
              <w:suppressAutoHyphens w:val="0"/>
              <w:spacing w:before="120" w:after="120"/>
              <w:jc w:val="both"/>
              <w:rPr>
                <w:rFonts w:ascii="Garamond" w:hAnsi="Garamond"/>
                <w:sz w:val="22"/>
                <w:szCs w:val="22"/>
              </w:rPr>
            </w:pPr>
            <w:r w:rsidRPr="006F6DAC">
              <w:rPr>
                <w:rFonts w:ascii="Garamond" w:hAnsi="Garamond"/>
                <w:sz w:val="22"/>
                <w:szCs w:val="22"/>
                <w:lang w:val="en-US"/>
              </w:rPr>
              <w:t>code</w:t>
            </w:r>
            <w:r w:rsidRPr="006F6DAC">
              <w:rPr>
                <w:rFonts w:ascii="Garamond" w:hAnsi="Garamond"/>
                <w:sz w:val="22"/>
                <w:szCs w:val="22"/>
              </w:rPr>
              <w:t xml:space="preserve"> – </w:t>
            </w:r>
            <w:r w:rsidRPr="006F6DAC">
              <w:rPr>
                <w:rFonts w:ascii="Garamond" w:hAnsi="Garamond"/>
                <w:spacing w:val="1"/>
                <w:sz w:val="22"/>
                <w:szCs w:val="22"/>
              </w:rPr>
              <w:t>содержит уникальный код, присвоенный КО данной точке измерений</w:t>
            </w:r>
            <w:r w:rsidRPr="006F6DAC">
              <w:rPr>
                <w:rFonts w:ascii="Garamond" w:hAnsi="Garamond"/>
                <w:bCs/>
                <w:sz w:val="22"/>
                <w:szCs w:val="22"/>
              </w:rPr>
              <w:t>;</w:t>
            </w:r>
          </w:p>
          <w:p w14:paraId="0043FF3E" w14:textId="77777777" w:rsidR="00F11A8B" w:rsidRPr="006F6DAC" w:rsidRDefault="00F11A8B" w:rsidP="00F11A8B">
            <w:pPr>
              <w:numPr>
                <w:ilvl w:val="0"/>
                <w:numId w:val="234"/>
              </w:numPr>
              <w:tabs>
                <w:tab w:val="left" w:pos="885"/>
              </w:tabs>
              <w:suppressAutoHyphens w:val="0"/>
              <w:spacing w:before="120" w:after="120"/>
              <w:jc w:val="both"/>
              <w:rPr>
                <w:rFonts w:ascii="Garamond" w:hAnsi="Garamond"/>
                <w:sz w:val="22"/>
                <w:szCs w:val="22"/>
              </w:rPr>
            </w:pPr>
            <w:r w:rsidRPr="006F6DAC">
              <w:rPr>
                <w:rFonts w:ascii="Garamond" w:hAnsi="Garamond"/>
                <w:sz w:val="22"/>
                <w:szCs w:val="22"/>
                <w:lang w:val="en-US"/>
              </w:rPr>
              <w:lastRenderedPageBreak/>
              <w:t>name</w:t>
            </w:r>
            <w:r w:rsidRPr="006F6DAC">
              <w:rPr>
                <w:rFonts w:ascii="Garamond" w:hAnsi="Garamond"/>
                <w:sz w:val="22"/>
                <w:szCs w:val="22"/>
              </w:rPr>
              <w:t xml:space="preserve"> – содержит наименование данной точки измерений. Длина наименования до 250 символов.</w:t>
            </w:r>
          </w:p>
          <w:p w14:paraId="4BA3A306" w14:textId="77777777" w:rsidR="00F11A8B" w:rsidRPr="006F6DAC" w:rsidRDefault="00F11A8B" w:rsidP="00F11A8B">
            <w:pPr>
              <w:tabs>
                <w:tab w:val="left" w:pos="1080"/>
              </w:tabs>
              <w:spacing w:before="120" w:after="120"/>
              <w:jc w:val="both"/>
              <w:rPr>
                <w:rFonts w:ascii="Garamond" w:hAnsi="Garamond"/>
                <w:sz w:val="22"/>
                <w:szCs w:val="22"/>
              </w:rPr>
            </w:pPr>
            <w:r w:rsidRPr="006F6DAC">
              <w:rPr>
                <w:rFonts w:ascii="Garamond" w:hAnsi="Garamond"/>
                <w:sz w:val="22"/>
                <w:szCs w:val="22"/>
              </w:rPr>
              <w:t>Потомками элемента &lt;</w:t>
            </w:r>
            <w:r w:rsidRPr="006F6DAC">
              <w:rPr>
                <w:rFonts w:ascii="Garamond" w:hAnsi="Garamond"/>
                <w:sz w:val="22"/>
                <w:szCs w:val="22"/>
                <w:lang w:val="en-US"/>
              </w:rPr>
              <w:t>m</w:t>
            </w:r>
            <w:r w:rsidRPr="006F6DAC">
              <w:rPr>
                <w:rFonts w:ascii="Garamond" w:hAnsi="Garamond"/>
                <w:sz w:val="22"/>
                <w:szCs w:val="22"/>
              </w:rPr>
              <w:t>easuring</w:t>
            </w:r>
            <w:r w:rsidRPr="006F6DAC">
              <w:rPr>
                <w:rFonts w:ascii="Garamond" w:hAnsi="Garamond"/>
                <w:sz w:val="22"/>
                <w:szCs w:val="22"/>
                <w:lang w:val="en-US"/>
              </w:rPr>
              <w:t>p</w:t>
            </w:r>
            <w:r w:rsidRPr="006F6DAC">
              <w:rPr>
                <w:rFonts w:ascii="Garamond" w:hAnsi="Garamond"/>
                <w:sz w:val="22"/>
                <w:szCs w:val="22"/>
              </w:rPr>
              <w:t>oint&gt; являются элементы &lt;</w:t>
            </w:r>
            <w:r w:rsidRPr="006F6DAC">
              <w:rPr>
                <w:rFonts w:ascii="Garamond" w:hAnsi="Garamond"/>
                <w:sz w:val="22"/>
                <w:szCs w:val="22"/>
                <w:lang w:val="en-US"/>
              </w:rPr>
              <w:t>m</w:t>
            </w:r>
            <w:r w:rsidRPr="006F6DAC">
              <w:rPr>
                <w:rFonts w:ascii="Garamond" w:hAnsi="Garamond"/>
                <w:sz w:val="22"/>
                <w:szCs w:val="22"/>
              </w:rPr>
              <w:t>easuring</w:t>
            </w:r>
            <w:r w:rsidRPr="006F6DAC">
              <w:rPr>
                <w:rFonts w:ascii="Garamond" w:hAnsi="Garamond"/>
                <w:sz w:val="22"/>
                <w:szCs w:val="22"/>
                <w:lang w:val="en-US"/>
              </w:rPr>
              <w:t>c</w:t>
            </w:r>
            <w:r w:rsidRPr="006F6DAC">
              <w:rPr>
                <w:rFonts w:ascii="Garamond" w:hAnsi="Garamond"/>
                <w:sz w:val="22"/>
                <w:szCs w:val="22"/>
              </w:rPr>
              <w:t>hannel&gt;.</w:t>
            </w:r>
          </w:p>
        </w:tc>
      </w:tr>
      <w:tr w:rsidR="00F11A8B" w:rsidRPr="006F6DAC" w14:paraId="53F94812" w14:textId="77777777" w:rsidTr="006F6DAC">
        <w:tc>
          <w:tcPr>
            <w:tcW w:w="1060" w:type="dxa"/>
          </w:tcPr>
          <w:p w14:paraId="47982F4F" w14:textId="77777777" w:rsidR="00F11A8B" w:rsidRPr="006F6DAC" w:rsidRDefault="00F11A8B" w:rsidP="00F11A8B">
            <w:pPr>
              <w:widowControl w:val="0"/>
              <w:spacing w:line="259" w:lineRule="auto"/>
              <w:jc w:val="center"/>
              <w:rPr>
                <w:rFonts w:ascii="Garamond" w:hAnsi="Garamond"/>
                <w:b/>
                <w:sz w:val="22"/>
                <w:szCs w:val="22"/>
                <w:lang w:eastAsia="en-US"/>
              </w:rPr>
            </w:pPr>
            <w:r w:rsidRPr="006F6DAC">
              <w:rPr>
                <w:rFonts w:ascii="Garamond" w:hAnsi="Garamond"/>
                <w:b/>
                <w:sz w:val="22"/>
                <w:szCs w:val="22"/>
                <w:lang w:eastAsia="en-US"/>
              </w:rPr>
              <w:lastRenderedPageBreak/>
              <w:t>4.2.1.3.4.1</w:t>
            </w:r>
          </w:p>
        </w:tc>
        <w:tc>
          <w:tcPr>
            <w:tcW w:w="6804" w:type="dxa"/>
          </w:tcPr>
          <w:p w14:paraId="345BBD3F" w14:textId="77777777" w:rsidR="00F11A8B" w:rsidRPr="006F6DAC" w:rsidRDefault="00F11A8B" w:rsidP="00F11A8B">
            <w:pPr>
              <w:tabs>
                <w:tab w:val="left" w:pos="1080"/>
              </w:tabs>
              <w:spacing w:before="120" w:after="120"/>
              <w:jc w:val="both"/>
              <w:rPr>
                <w:rFonts w:ascii="Garamond" w:hAnsi="Garamond"/>
                <w:sz w:val="22"/>
                <w:szCs w:val="22"/>
              </w:rPr>
            </w:pPr>
            <w:r w:rsidRPr="006F6DAC">
              <w:rPr>
                <w:rFonts w:ascii="Garamond" w:hAnsi="Garamond"/>
                <w:sz w:val="22"/>
                <w:szCs w:val="22"/>
              </w:rPr>
              <w:t>&lt;</w:t>
            </w:r>
            <w:r w:rsidRPr="006F6DAC">
              <w:rPr>
                <w:rFonts w:ascii="Garamond" w:hAnsi="Garamond"/>
                <w:sz w:val="22"/>
                <w:szCs w:val="22"/>
                <w:lang w:val="en-US"/>
              </w:rPr>
              <w:t>m</w:t>
            </w:r>
            <w:r w:rsidRPr="006F6DAC">
              <w:rPr>
                <w:rFonts w:ascii="Garamond" w:hAnsi="Garamond"/>
                <w:sz w:val="22"/>
                <w:szCs w:val="22"/>
              </w:rPr>
              <w:t>easuring</w:t>
            </w:r>
            <w:r w:rsidRPr="006F6DAC">
              <w:rPr>
                <w:rFonts w:ascii="Garamond" w:hAnsi="Garamond"/>
                <w:sz w:val="22"/>
                <w:szCs w:val="22"/>
                <w:lang w:val="en-US"/>
              </w:rPr>
              <w:t>c</w:t>
            </w:r>
            <w:r w:rsidRPr="006F6DAC">
              <w:rPr>
                <w:rFonts w:ascii="Garamond" w:hAnsi="Garamond"/>
                <w:sz w:val="22"/>
                <w:szCs w:val="22"/>
              </w:rPr>
              <w:t>hannel&gt;</w:t>
            </w:r>
          </w:p>
          <w:p w14:paraId="3E77E1AB" w14:textId="77777777" w:rsidR="00F11A8B" w:rsidRPr="006F6DAC" w:rsidRDefault="00F11A8B" w:rsidP="00F11A8B">
            <w:pPr>
              <w:tabs>
                <w:tab w:val="left" w:pos="1080"/>
              </w:tabs>
              <w:spacing w:before="120" w:after="120"/>
              <w:jc w:val="both"/>
              <w:rPr>
                <w:rFonts w:ascii="Garamond" w:hAnsi="Garamond"/>
                <w:sz w:val="22"/>
                <w:szCs w:val="22"/>
              </w:rPr>
            </w:pPr>
            <w:r w:rsidRPr="006F6DAC">
              <w:rPr>
                <w:rFonts w:ascii="Garamond" w:hAnsi="Garamond"/>
                <w:sz w:val="22"/>
                <w:szCs w:val="22"/>
              </w:rPr>
              <w:t>Элемент &lt;</w:t>
            </w:r>
            <w:r w:rsidRPr="006F6DAC">
              <w:rPr>
                <w:rFonts w:ascii="Garamond" w:hAnsi="Garamond"/>
                <w:sz w:val="22"/>
                <w:szCs w:val="22"/>
                <w:lang w:val="en-US"/>
              </w:rPr>
              <w:t>m</w:t>
            </w:r>
            <w:r w:rsidRPr="006F6DAC">
              <w:rPr>
                <w:rFonts w:ascii="Garamond" w:hAnsi="Garamond"/>
                <w:sz w:val="22"/>
                <w:szCs w:val="22"/>
              </w:rPr>
              <w:t>easuring</w:t>
            </w:r>
            <w:r w:rsidRPr="006F6DAC">
              <w:rPr>
                <w:rFonts w:ascii="Garamond" w:hAnsi="Garamond"/>
                <w:sz w:val="22"/>
                <w:szCs w:val="22"/>
                <w:lang w:val="en-US"/>
              </w:rPr>
              <w:t>c</w:t>
            </w:r>
            <w:r w:rsidRPr="006F6DAC">
              <w:rPr>
                <w:rFonts w:ascii="Garamond" w:hAnsi="Garamond"/>
                <w:sz w:val="22"/>
                <w:szCs w:val="22"/>
              </w:rPr>
              <w:t>hannel&gt; содержит информацию о результатах измерений по точкам измерений</w:t>
            </w:r>
            <w:r w:rsidRPr="006F6DAC">
              <w:rPr>
                <w:rFonts w:ascii="Garamond" w:hAnsi="Garamond"/>
                <w:sz w:val="22"/>
                <w:szCs w:val="22"/>
                <w:highlight w:val="yellow"/>
              </w:rPr>
              <w:t>, по совокупности «малых» точек измерений</w:t>
            </w:r>
            <w:r w:rsidRPr="006F6DAC">
              <w:rPr>
                <w:rFonts w:ascii="Garamond" w:hAnsi="Garamond"/>
                <w:sz w:val="22"/>
                <w:szCs w:val="22"/>
              </w:rPr>
              <w:t>. Атрибуты элемента &lt;</w:t>
            </w:r>
            <w:r w:rsidRPr="006F6DAC">
              <w:rPr>
                <w:rFonts w:ascii="Garamond" w:hAnsi="Garamond"/>
                <w:sz w:val="22"/>
                <w:szCs w:val="22"/>
                <w:lang w:val="en-US"/>
              </w:rPr>
              <w:t>m</w:t>
            </w:r>
            <w:r w:rsidRPr="006F6DAC">
              <w:rPr>
                <w:rFonts w:ascii="Garamond" w:hAnsi="Garamond"/>
                <w:sz w:val="22"/>
                <w:szCs w:val="22"/>
              </w:rPr>
              <w:t>easuring</w:t>
            </w:r>
            <w:r w:rsidRPr="006F6DAC">
              <w:rPr>
                <w:rFonts w:ascii="Garamond" w:hAnsi="Garamond"/>
                <w:sz w:val="22"/>
                <w:szCs w:val="22"/>
                <w:lang w:val="en-US"/>
              </w:rPr>
              <w:t>c</w:t>
            </w:r>
            <w:r w:rsidRPr="006F6DAC">
              <w:rPr>
                <w:rFonts w:ascii="Garamond" w:hAnsi="Garamond"/>
                <w:sz w:val="22"/>
                <w:szCs w:val="22"/>
              </w:rPr>
              <w:t>hannel&gt;:</w:t>
            </w:r>
          </w:p>
          <w:p w14:paraId="1819376A" w14:textId="77777777" w:rsidR="00F11A8B" w:rsidRPr="006F6DAC" w:rsidRDefault="00F11A8B" w:rsidP="00F11A8B">
            <w:pPr>
              <w:numPr>
                <w:ilvl w:val="0"/>
                <w:numId w:val="234"/>
              </w:numPr>
              <w:tabs>
                <w:tab w:val="left" w:pos="885"/>
              </w:tabs>
              <w:suppressAutoHyphens w:val="0"/>
              <w:spacing w:before="120" w:after="120"/>
              <w:jc w:val="both"/>
              <w:rPr>
                <w:rFonts w:ascii="Garamond" w:hAnsi="Garamond"/>
                <w:sz w:val="22"/>
                <w:szCs w:val="22"/>
              </w:rPr>
            </w:pPr>
            <w:r w:rsidRPr="006F6DAC">
              <w:rPr>
                <w:rFonts w:ascii="Garamond" w:hAnsi="Garamond"/>
                <w:sz w:val="22"/>
                <w:szCs w:val="22"/>
                <w:lang w:val="en-US"/>
              </w:rPr>
              <w:t>code</w:t>
            </w:r>
            <w:r w:rsidRPr="006F6DAC">
              <w:rPr>
                <w:rFonts w:ascii="Garamond" w:hAnsi="Garamond"/>
                <w:sz w:val="22"/>
                <w:szCs w:val="22"/>
              </w:rPr>
              <w:t xml:space="preserve"> – содержит код измерительного канала, присвоенный КО данному измерительному каналу. В коде измерительного канала содержится информация о направлении передачи электроэнергии и типе измерительного канала;</w:t>
            </w:r>
          </w:p>
          <w:p w14:paraId="1A6F8C44" w14:textId="77777777" w:rsidR="00F11A8B" w:rsidRPr="006F6DAC" w:rsidRDefault="00F11A8B" w:rsidP="00F11A8B">
            <w:pPr>
              <w:numPr>
                <w:ilvl w:val="0"/>
                <w:numId w:val="234"/>
              </w:numPr>
              <w:tabs>
                <w:tab w:val="left" w:pos="885"/>
              </w:tabs>
              <w:suppressAutoHyphens w:val="0"/>
              <w:spacing w:before="120" w:after="120"/>
              <w:jc w:val="both"/>
              <w:rPr>
                <w:rFonts w:ascii="Garamond" w:hAnsi="Garamond"/>
                <w:sz w:val="22"/>
                <w:szCs w:val="22"/>
              </w:rPr>
            </w:pPr>
            <w:r w:rsidRPr="006F6DAC">
              <w:rPr>
                <w:rFonts w:ascii="Garamond" w:hAnsi="Garamond"/>
                <w:sz w:val="22"/>
                <w:szCs w:val="22"/>
                <w:lang w:val="en-US"/>
              </w:rPr>
              <w:t>desc</w:t>
            </w:r>
            <w:r w:rsidRPr="006F6DAC">
              <w:rPr>
                <w:rFonts w:ascii="Garamond" w:hAnsi="Garamond"/>
                <w:sz w:val="22"/>
                <w:szCs w:val="22"/>
              </w:rPr>
              <w:t xml:space="preserve"> – содержит описание измерительного канала. </w:t>
            </w:r>
          </w:p>
          <w:p w14:paraId="4464CD5E" w14:textId="77777777" w:rsidR="00F11A8B" w:rsidRPr="006F6DAC" w:rsidRDefault="00F11A8B" w:rsidP="00F11A8B">
            <w:pPr>
              <w:widowControl w:val="0"/>
              <w:spacing w:line="259" w:lineRule="auto"/>
              <w:jc w:val="both"/>
              <w:rPr>
                <w:rFonts w:ascii="Garamond" w:hAnsi="Garamond"/>
                <w:sz w:val="22"/>
                <w:szCs w:val="22"/>
                <w:highlight w:val="yellow"/>
              </w:rPr>
            </w:pPr>
            <w:r w:rsidRPr="006F6DAC">
              <w:rPr>
                <w:rFonts w:ascii="Garamond" w:hAnsi="Garamond"/>
                <w:sz w:val="22"/>
                <w:szCs w:val="22"/>
              </w:rPr>
              <w:t>Потомками элемента &lt;</w:t>
            </w:r>
            <w:r w:rsidRPr="006F6DAC">
              <w:rPr>
                <w:rFonts w:ascii="Garamond" w:hAnsi="Garamond"/>
                <w:sz w:val="22"/>
                <w:szCs w:val="22"/>
                <w:lang w:val="en-US"/>
              </w:rPr>
              <w:t>m</w:t>
            </w:r>
            <w:r w:rsidRPr="006F6DAC">
              <w:rPr>
                <w:rFonts w:ascii="Garamond" w:hAnsi="Garamond"/>
                <w:sz w:val="22"/>
                <w:szCs w:val="22"/>
              </w:rPr>
              <w:t>easuring</w:t>
            </w:r>
            <w:r w:rsidRPr="006F6DAC">
              <w:rPr>
                <w:rFonts w:ascii="Garamond" w:hAnsi="Garamond"/>
                <w:sz w:val="22"/>
                <w:szCs w:val="22"/>
                <w:lang w:val="en-US"/>
              </w:rPr>
              <w:t>c</w:t>
            </w:r>
            <w:r w:rsidRPr="006F6DAC">
              <w:rPr>
                <w:rFonts w:ascii="Garamond" w:hAnsi="Garamond"/>
                <w:sz w:val="22"/>
                <w:szCs w:val="22"/>
              </w:rPr>
              <w:t>hannel&gt; являются элементы &lt;period&gt;.</w:t>
            </w:r>
          </w:p>
        </w:tc>
        <w:tc>
          <w:tcPr>
            <w:tcW w:w="7115" w:type="dxa"/>
          </w:tcPr>
          <w:p w14:paraId="6A275F9F" w14:textId="77777777" w:rsidR="00F11A8B" w:rsidRPr="006F6DAC" w:rsidRDefault="00F11A8B" w:rsidP="00F11A8B">
            <w:pPr>
              <w:tabs>
                <w:tab w:val="left" w:pos="1080"/>
              </w:tabs>
              <w:spacing w:before="120" w:after="120"/>
              <w:jc w:val="both"/>
              <w:rPr>
                <w:rFonts w:ascii="Garamond" w:hAnsi="Garamond"/>
                <w:sz w:val="22"/>
                <w:szCs w:val="22"/>
              </w:rPr>
            </w:pPr>
            <w:r w:rsidRPr="006F6DAC">
              <w:rPr>
                <w:rFonts w:ascii="Garamond" w:hAnsi="Garamond"/>
                <w:sz w:val="22"/>
                <w:szCs w:val="22"/>
              </w:rPr>
              <w:t>&lt;</w:t>
            </w:r>
            <w:r w:rsidRPr="006F6DAC">
              <w:rPr>
                <w:rFonts w:ascii="Garamond" w:hAnsi="Garamond"/>
                <w:sz w:val="22"/>
                <w:szCs w:val="22"/>
                <w:lang w:val="en-US"/>
              </w:rPr>
              <w:t>m</w:t>
            </w:r>
            <w:r w:rsidRPr="006F6DAC">
              <w:rPr>
                <w:rFonts w:ascii="Garamond" w:hAnsi="Garamond"/>
                <w:sz w:val="22"/>
                <w:szCs w:val="22"/>
              </w:rPr>
              <w:t>easuring</w:t>
            </w:r>
            <w:r w:rsidRPr="006F6DAC">
              <w:rPr>
                <w:rFonts w:ascii="Garamond" w:hAnsi="Garamond"/>
                <w:sz w:val="22"/>
                <w:szCs w:val="22"/>
                <w:lang w:val="en-US"/>
              </w:rPr>
              <w:t>c</w:t>
            </w:r>
            <w:r w:rsidRPr="006F6DAC">
              <w:rPr>
                <w:rFonts w:ascii="Garamond" w:hAnsi="Garamond"/>
                <w:sz w:val="22"/>
                <w:szCs w:val="22"/>
              </w:rPr>
              <w:t>hannel&gt;</w:t>
            </w:r>
          </w:p>
          <w:p w14:paraId="038C33C0" w14:textId="77777777" w:rsidR="00F11A8B" w:rsidRPr="006F6DAC" w:rsidRDefault="00F11A8B" w:rsidP="00F11A8B">
            <w:pPr>
              <w:tabs>
                <w:tab w:val="left" w:pos="1080"/>
              </w:tabs>
              <w:spacing w:before="120" w:after="120"/>
              <w:jc w:val="both"/>
              <w:rPr>
                <w:rFonts w:ascii="Garamond" w:hAnsi="Garamond"/>
                <w:sz w:val="22"/>
                <w:szCs w:val="22"/>
              </w:rPr>
            </w:pPr>
            <w:r w:rsidRPr="006F6DAC">
              <w:rPr>
                <w:rFonts w:ascii="Garamond" w:hAnsi="Garamond"/>
                <w:sz w:val="22"/>
                <w:szCs w:val="22"/>
              </w:rPr>
              <w:t>Элемент &lt;</w:t>
            </w:r>
            <w:r w:rsidRPr="006F6DAC">
              <w:rPr>
                <w:rFonts w:ascii="Garamond" w:hAnsi="Garamond"/>
                <w:sz w:val="22"/>
                <w:szCs w:val="22"/>
                <w:lang w:val="en-US"/>
              </w:rPr>
              <w:t>m</w:t>
            </w:r>
            <w:r w:rsidRPr="006F6DAC">
              <w:rPr>
                <w:rFonts w:ascii="Garamond" w:hAnsi="Garamond"/>
                <w:sz w:val="22"/>
                <w:szCs w:val="22"/>
              </w:rPr>
              <w:t>easuring</w:t>
            </w:r>
            <w:r w:rsidRPr="006F6DAC">
              <w:rPr>
                <w:rFonts w:ascii="Garamond" w:hAnsi="Garamond"/>
                <w:sz w:val="22"/>
                <w:szCs w:val="22"/>
                <w:lang w:val="en-US"/>
              </w:rPr>
              <w:t>c</w:t>
            </w:r>
            <w:r w:rsidRPr="006F6DAC">
              <w:rPr>
                <w:rFonts w:ascii="Garamond" w:hAnsi="Garamond"/>
                <w:sz w:val="22"/>
                <w:szCs w:val="22"/>
              </w:rPr>
              <w:t>hannel&gt; содержит информацию о результатах измерений по точкам измерений. Атрибуты элемента &lt;</w:t>
            </w:r>
            <w:r w:rsidRPr="006F6DAC">
              <w:rPr>
                <w:rFonts w:ascii="Garamond" w:hAnsi="Garamond"/>
                <w:sz w:val="22"/>
                <w:szCs w:val="22"/>
                <w:lang w:val="en-US"/>
              </w:rPr>
              <w:t>m</w:t>
            </w:r>
            <w:r w:rsidRPr="006F6DAC">
              <w:rPr>
                <w:rFonts w:ascii="Garamond" w:hAnsi="Garamond"/>
                <w:sz w:val="22"/>
                <w:szCs w:val="22"/>
              </w:rPr>
              <w:t>easuring</w:t>
            </w:r>
            <w:r w:rsidRPr="006F6DAC">
              <w:rPr>
                <w:rFonts w:ascii="Garamond" w:hAnsi="Garamond"/>
                <w:sz w:val="22"/>
                <w:szCs w:val="22"/>
                <w:lang w:val="en-US"/>
              </w:rPr>
              <w:t>c</w:t>
            </w:r>
            <w:r w:rsidRPr="006F6DAC">
              <w:rPr>
                <w:rFonts w:ascii="Garamond" w:hAnsi="Garamond"/>
                <w:sz w:val="22"/>
                <w:szCs w:val="22"/>
              </w:rPr>
              <w:t>hannel&gt;:</w:t>
            </w:r>
          </w:p>
          <w:p w14:paraId="34AA1030" w14:textId="77777777" w:rsidR="00F11A8B" w:rsidRPr="006F6DAC" w:rsidRDefault="00F11A8B" w:rsidP="00F11A8B">
            <w:pPr>
              <w:numPr>
                <w:ilvl w:val="0"/>
                <w:numId w:val="234"/>
              </w:numPr>
              <w:tabs>
                <w:tab w:val="left" w:pos="885"/>
              </w:tabs>
              <w:suppressAutoHyphens w:val="0"/>
              <w:spacing w:before="120" w:after="120"/>
              <w:jc w:val="both"/>
              <w:rPr>
                <w:rFonts w:ascii="Garamond" w:hAnsi="Garamond"/>
                <w:sz w:val="22"/>
                <w:szCs w:val="22"/>
              </w:rPr>
            </w:pPr>
            <w:r w:rsidRPr="006F6DAC">
              <w:rPr>
                <w:rFonts w:ascii="Garamond" w:hAnsi="Garamond"/>
                <w:sz w:val="22"/>
                <w:szCs w:val="22"/>
                <w:lang w:val="en-US"/>
              </w:rPr>
              <w:t>code</w:t>
            </w:r>
            <w:r w:rsidRPr="006F6DAC">
              <w:rPr>
                <w:rFonts w:ascii="Garamond" w:hAnsi="Garamond"/>
                <w:sz w:val="22"/>
                <w:szCs w:val="22"/>
              </w:rPr>
              <w:t xml:space="preserve"> – содержит код измерительного канала, присвоенный КО данному измерительному каналу. В коде измерительного канала содержится информация о направлении передачи электроэнергии и типе измерительного канала;</w:t>
            </w:r>
          </w:p>
          <w:p w14:paraId="7B3BC731" w14:textId="77777777" w:rsidR="00F11A8B" w:rsidRPr="006F6DAC" w:rsidRDefault="00F11A8B" w:rsidP="00F11A8B">
            <w:pPr>
              <w:numPr>
                <w:ilvl w:val="0"/>
                <w:numId w:val="234"/>
              </w:numPr>
              <w:tabs>
                <w:tab w:val="left" w:pos="885"/>
              </w:tabs>
              <w:suppressAutoHyphens w:val="0"/>
              <w:spacing w:before="120" w:after="120"/>
              <w:jc w:val="both"/>
              <w:rPr>
                <w:rFonts w:ascii="Garamond" w:hAnsi="Garamond"/>
                <w:sz w:val="22"/>
                <w:szCs w:val="22"/>
              </w:rPr>
            </w:pPr>
            <w:r w:rsidRPr="006F6DAC">
              <w:rPr>
                <w:rFonts w:ascii="Garamond" w:hAnsi="Garamond"/>
                <w:sz w:val="22"/>
                <w:szCs w:val="22"/>
                <w:lang w:val="en-US"/>
              </w:rPr>
              <w:t>desc</w:t>
            </w:r>
            <w:r w:rsidRPr="006F6DAC">
              <w:rPr>
                <w:rFonts w:ascii="Garamond" w:hAnsi="Garamond"/>
                <w:sz w:val="22"/>
                <w:szCs w:val="22"/>
              </w:rPr>
              <w:t xml:space="preserve"> – содержит описание измерительного канала. </w:t>
            </w:r>
          </w:p>
          <w:p w14:paraId="3F55A720" w14:textId="77777777" w:rsidR="00F11A8B" w:rsidRPr="006F6DAC" w:rsidRDefault="00F11A8B" w:rsidP="00F11A8B">
            <w:pPr>
              <w:pStyle w:val="a6"/>
              <w:tabs>
                <w:tab w:val="left" w:pos="1080"/>
              </w:tabs>
              <w:suppressAutoHyphens w:val="0"/>
              <w:spacing w:before="120" w:after="120"/>
              <w:jc w:val="both"/>
              <w:rPr>
                <w:rFonts w:ascii="Garamond" w:hAnsi="Garamond"/>
                <w:bCs w:val="0"/>
                <w:sz w:val="22"/>
                <w:szCs w:val="22"/>
              </w:rPr>
            </w:pPr>
            <w:r w:rsidRPr="006F6DAC">
              <w:rPr>
                <w:rFonts w:ascii="Garamond" w:hAnsi="Garamond"/>
                <w:sz w:val="22"/>
                <w:szCs w:val="22"/>
              </w:rPr>
              <w:t>Потомками элемента &lt;</w:t>
            </w:r>
            <w:r w:rsidRPr="006F6DAC">
              <w:rPr>
                <w:rFonts w:ascii="Garamond" w:hAnsi="Garamond"/>
                <w:sz w:val="22"/>
                <w:szCs w:val="22"/>
                <w:lang w:val="en-US"/>
              </w:rPr>
              <w:t>m</w:t>
            </w:r>
            <w:r w:rsidRPr="006F6DAC">
              <w:rPr>
                <w:rFonts w:ascii="Garamond" w:hAnsi="Garamond"/>
                <w:sz w:val="22"/>
                <w:szCs w:val="22"/>
              </w:rPr>
              <w:t>easuring</w:t>
            </w:r>
            <w:r w:rsidRPr="006F6DAC">
              <w:rPr>
                <w:rFonts w:ascii="Garamond" w:hAnsi="Garamond"/>
                <w:sz w:val="22"/>
                <w:szCs w:val="22"/>
                <w:lang w:val="en-US"/>
              </w:rPr>
              <w:t>c</w:t>
            </w:r>
            <w:r w:rsidRPr="006F6DAC">
              <w:rPr>
                <w:rFonts w:ascii="Garamond" w:hAnsi="Garamond"/>
                <w:sz w:val="22"/>
                <w:szCs w:val="22"/>
              </w:rPr>
              <w:t>hannel&gt; являются элементы &lt;period&gt;.</w:t>
            </w:r>
          </w:p>
        </w:tc>
      </w:tr>
      <w:tr w:rsidR="00F11A8B" w:rsidRPr="006F6DAC" w14:paraId="53781DC7" w14:textId="77777777" w:rsidTr="006F6DAC">
        <w:tc>
          <w:tcPr>
            <w:tcW w:w="1060" w:type="dxa"/>
          </w:tcPr>
          <w:p w14:paraId="1D4EC564" w14:textId="77777777" w:rsidR="00F11A8B" w:rsidRPr="006F6DAC" w:rsidRDefault="00F11A8B" w:rsidP="00F11A8B">
            <w:pPr>
              <w:widowControl w:val="0"/>
              <w:spacing w:line="259" w:lineRule="auto"/>
              <w:jc w:val="center"/>
              <w:rPr>
                <w:rFonts w:ascii="Garamond" w:hAnsi="Garamond"/>
                <w:b/>
                <w:sz w:val="22"/>
                <w:szCs w:val="22"/>
                <w:lang w:eastAsia="en-US"/>
              </w:rPr>
            </w:pPr>
            <w:r w:rsidRPr="006F6DAC">
              <w:rPr>
                <w:rFonts w:ascii="Garamond" w:hAnsi="Garamond"/>
                <w:b/>
                <w:sz w:val="22"/>
                <w:szCs w:val="22"/>
                <w:lang w:eastAsia="en-US"/>
              </w:rPr>
              <w:t>4.2.1.3.5</w:t>
            </w:r>
          </w:p>
        </w:tc>
        <w:tc>
          <w:tcPr>
            <w:tcW w:w="6804" w:type="dxa"/>
          </w:tcPr>
          <w:p w14:paraId="71F7418D" w14:textId="77777777" w:rsidR="00F11A8B" w:rsidRPr="006F6DAC" w:rsidRDefault="00F11A8B" w:rsidP="00F11A8B">
            <w:pPr>
              <w:tabs>
                <w:tab w:val="left" w:pos="1080"/>
              </w:tabs>
              <w:spacing w:before="120" w:after="120"/>
              <w:jc w:val="both"/>
              <w:rPr>
                <w:rFonts w:ascii="Garamond" w:hAnsi="Garamond"/>
                <w:sz w:val="22"/>
                <w:szCs w:val="22"/>
                <w:highlight w:val="yellow"/>
              </w:rPr>
            </w:pPr>
            <w:r w:rsidRPr="006F6DAC">
              <w:rPr>
                <w:rFonts w:ascii="Garamond" w:hAnsi="Garamond"/>
                <w:sz w:val="22"/>
                <w:szCs w:val="22"/>
                <w:highlight w:val="yellow"/>
              </w:rPr>
              <w:t>&lt;</w:t>
            </w:r>
            <w:r w:rsidRPr="006F6DAC">
              <w:rPr>
                <w:rFonts w:ascii="Garamond" w:hAnsi="Garamond"/>
                <w:sz w:val="22"/>
                <w:szCs w:val="22"/>
                <w:highlight w:val="yellow"/>
                <w:lang w:val="en-US"/>
              </w:rPr>
              <w:t>deliverypoint</w:t>
            </w:r>
            <w:r w:rsidRPr="006F6DAC">
              <w:rPr>
                <w:rFonts w:ascii="Garamond" w:hAnsi="Garamond"/>
                <w:sz w:val="22"/>
                <w:szCs w:val="22"/>
                <w:highlight w:val="yellow"/>
              </w:rPr>
              <w:t>&gt;</w:t>
            </w:r>
          </w:p>
          <w:p w14:paraId="359AAF37" w14:textId="77777777" w:rsidR="00F11A8B" w:rsidRPr="006F6DAC" w:rsidRDefault="00F11A8B" w:rsidP="00F11A8B">
            <w:pPr>
              <w:tabs>
                <w:tab w:val="left" w:pos="1080"/>
              </w:tabs>
              <w:spacing w:before="120" w:after="120"/>
              <w:ind w:firstLine="539"/>
              <w:jc w:val="both"/>
              <w:rPr>
                <w:rFonts w:ascii="Garamond" w:hAnsi="Garamond"/>
                <w:sz w:val="22"/>
                <w:szCs w:val="22"/>
                <w:highlight w:val="yellow"/>
              </w:rPr>
            </w:pPr>
            <w:r w:rsidRPr="006F6DAC">
              <w:rPr>
                <w:rFonts w:ascii="Garamond" w:hAnsi="Garamond"/>
                <w:sz w:val="22"/>
                <w:szCs w:val="22"/>
                <w:highlight w:val="yellow"/>
              </w:rPr>
              <w:t>Элемент &lt;</w:t>
            </w:r>
            <w:r w:rsidRPr="006F6DAC">
              <w:rPr>
                <w:rFonts w:ascii="Garamond" w:hAnsi="Garamond"/>
                <w:sz w:val="22"/>
                <w:szCs w:val="22"/>
                <w:highlight w:val="yellow"/>
                <w:lang w:val="en-US"/>
              </w:rPr>
              <w:t>deliverypoint</w:t>
            </w:r>
            <w:r w:rsidRPr="006F6DAC">
              <w:rPr>
                <w:rFonts w:ascii="Garamond" w:hAnsi="Garamond"/>
                <w:sz w:val="22"/>
                <w:szCs w:val="22"/>
                <w:highlight w:val="yellow"/>
              </w:rPr>
              <w:t>&gt; содержит сведения о точке поставки / совокупности «малых» точек поставки и результатах измерений в ней. Атрибуты элемента &lt;</w:t>
            </w:r>
            <w:r w:rsidRPr="006F6DAC">
              <w:rPr>
                <w:rFonts w:ascii="Garamond" w:hAnsi="Garamond"/>
                <w:sz w:val="22"/>
                <w:szCs w:val="22"/>
                <w:highlight w:val="yellow"/>
                <w:lang w:val="en-US"/>
              </w:rPr>
              <w:t>deliverypoint</w:t>
            </w:r>
            <w:r w:rsidRPr="006F6DAC">
              <w:rPr>
                <w:rFonts w:ascii="Garamond" w:hAnsi="Garamond"/>
                <w:sz w:val="22"/>
                <w:szCs w:val="22"/>
                <w:highlight w:val="yellow"/>
              </w:rPr>
              <w:t xml:space="preserve">&gt;: </w:t>
            </w:r>
          </w:p>
          <w:p w14:paraId="0A40A787" w14:textId="77777777" w:rsidR="00F11A8B" w:rsidRPr="006F6DAC" w:rsidRDefault="00F11A8B" w:rsidP="00F11A8B">
            <w:pPr>
              <w:numPr>
                <w:ilvl w:val="0"/>
                <w:numId w:val="234"/>
              </w:numPr>
              <w:tabs>
                <w:tab w:val="left" w:pos="885"/>
              </w:tabs>
              <w:suppressAutoHyphens w:val="0"/>
              <w:spacing w:before="120" w:after="120"/>
              <w:jc w:val="both"/>
              <w:rPr>
                <w:rFonts w:ascii="Garamond" w:hAnsi="Garamond"/>
                <w:sz w:val="22"/>
                <w:szCs w:val="22"/>
                <w:highlight w:val="yellow"/>
              </w:rPr>
            </w:pPr>
            <w:r w:rsidRPr="006F6DAC">
              <w:rPr>
                <w:rFonts w:ascii="Garamond" w:hAnsi="Garamond"/>
                <w:sz w:val="22"/>
                <w:szCs w:val="22"/>
                <w:highlight w:val="yellow"/>
                <w:lang w:val="en-US"/>
              </w:rPr>
              <w:t>code</w:t>
            </w:r>
            <w:r w:rsidRPr="006F6DAC">
              <w:rPr>
                <w:rFonts w:ascii="Garamond" w:hAnsi="Garamond"/>
                <w:sz w:val="22"/>
                <w:szCs w:val="22"/>
                <w:highlight w:val="yellow"/>
              </w:rPr>
              <w:t xml:space="preserve"> – </w:t>
            </w:r>
            <w:r w:rsidRPr="006F6DAC">
              <w:rPr>
                <w:rFonts w:ascii="Garamond" w:hAnsi="Garamond"/>
                <w:spacing w:val="1"/>
                <w:sz w:val="22"/>
                <w:szCs w:val="22"/>
                <w:highlight w:val="yellow"/>
              </w:rPr>
              <w:t xml:space="preserve">содержит уникальный код, присвоенный КО точке поставки </w:t>
            </w:r>
            <w:r w:rsidRPr="006F6DAC">
              <w:rPr>
                <w:rFonts w:ascii="Garamond" w:hAnsi="Garamond"/>
                <w:bCs/>
                <w:sz w:val="22"/>
                <w:szCs w:val="22"/>
                <w:highlight w:val="yellow"/>
              </w:rPr>
              <w:t>/ совокупности «малых» точек поставки;</w:t>
            </w:r>
          </w:p>
          <w:p w14:paraId="6D6791A6" w14:textId="77777777" w:rsidR="00F11A8B" w:rsidRPr="006F6DAC" w:rsidRDefault="00F11A8B" w:rsidP="00F11A8B">
            <w:pPr>
              <w:numPr>
                <w:ilvl w:val="0"/>
                <w:numId w:val="234"/>
              </w:numPr>
              <w:tabs>
                <w:tab w:val="left" w:pos="885"/>
              </w:tabs>
              <w:suppressAutoHyphens w:val="0"/>
              <w:spacing w:before="120" w:after="120"/>
              <w:jc w:val="both"/>
              <w:rPr>
                <w:rFonts w:ascii="Garamond" w:hAnsi="Garamond"/>
                <w:sz w:val="22"/>
                <w:szCs w:val="22"/>
              </w:rPr>
            </w:pPr>
            <w:r w:rsidRPr="006F6DAC">
              <w:rPr>
                <w:rFonts w:ascii="Garamond" w:hAnsi="Garamond"/>
                <w:sz w:val="22"/>
                <w:szCs w:val="22"/>
                <w:highlight w:val="yellow"/>
                <w:lang w:val="en-US"/>
              </w:rPr>
              <w:t>name</w:t>
            </w:r>
            <w:r w:rsidRPr="006F6DAC">
              <w:rPr>
                <w:rFonts w:ascii="Garamond" w:hAnsi="Garamond"/>
                <w:sz w:val="22"/>
                <w:szCs w:val="22"/>
                <w:highlight w:val="yellow"/>
              </w:rPr>
              <w:t xml:space="preserve"> – содержит </w:t>
            </w:r>
            <w:r w:rsidRPr="006F6DAC">
              <w:rPr>
                <w:rFonts w:ascii="Garamond" w:hAnsi="Garamond"/>
                <w:spacing w:val="1"/>
                <w:sz w:val="22"/>
                <w:szCs w:val="22"/>
                <w:highlight w:val="yellow"/>
              </w:rPr>
              <w:t xml:space="preserve">наименование данной точки поставки </w:t>
            </w:r>
            <w:r w:rsidRPr="006F6DAC">
              <w:rPr>
                <w:rFonts w:ascii="Garamond" w:hAnsi="Garamond"/>
                <w:bCs/>
                <w:sz w:val="22"/>
                <w:szCs w:val="22"/>
                <w:highlight w:val="yellow"/>
              </w:rPr>
              <w:t>/ совокупности «малых» точек поставки</w:t>
            </w:r>
            <w:r w:rsidRPr="006F6DAC">
              <w:rPr>
                <w:rFonts w:ascii="Garamond" w:hAnsi="Garamond"/>
                <w:spacing w:val="1"/>
                <w:sz w:val="22"/>
                <w:szCs w:val="22"/>
                <w:highlight w:val="yellow"/>
              </w:rPr>
              <w:t>. Длина наименования до 250 символов.</w:t>
            </w:r>
          </w:p>
          <w:p w14:paraId="394B8291" w14:textId="77777777" w:rsidR="00F11A8B" w:rsidRPr="006F6DAC" w:rsidRDefault="00F11A8B" w:rsidP="00F11A8B">
            <w:pPr>
              <w:tabs>
                <w:tab w:val="left" w:pos="885"/>
              </w:tabs>
              <w:suppressAutoHyphens w:val="0"/>
              <w:spacing w:before="120" w:after="120"/>
              <w:jc w:val="both"/>
              <w:rPr>
                <w:rFonts w:ascii="Garamond" w:hAnsi="Garamond"/>
                <w:sz w:val="22"/>
                <w:szCs w:val="22"/>
              </w:rPr>
            </w:pPr>
            <w:r w:rsidRPr="006F6DAC">
              <w:rPr>
                <w:rFonts w:ascii="Garamond" w:hAnsi="Garamond"/>
                <w:sz w:val="22"/>
                <w:szCs w:val="22"/>
                <w:highlight w:val="yellow"/>
              </w:rPr>
              <w:t>Потомками элемента &lt;</w:t>
            </w:r>
            <w:r w:rsidRPr="006F6DAC">
              <w:rPr>
                <w:rFonts w:ascii="Garamond" w:hAnsi="Garamond"/>
                <w:sz w:val="22"/>
                <w:szCs w:val="22"/>
                <w:highlight w:val="yellow"/>
                <w:lang w:val="en-US"/>
              </w:rPr>
              <w:t>deliverypoint</w:t>
            </w:r>
            <w:r w:rsidRPr="006F6DAC">
              <w:rPr>
                <w:rFonts w:ascii="Garamond" w:hAnsi="Garamond"/>
                <w:sz w:val="22"/>
                <w:szCs w:val="22"/>
                <w:highlight w:val="yellow"/>
              </w:rPr>
              <w:t>&gt; являются элементы &lt;</w:t>
            </w:r>
            <w:r w:rsidRPr="006F6DAC">
              <w:rPr>
                <w:rFonts w:ascii="Garamond" w:hAnsi="Garamond"/>
                <w:sz w:val="22"/>
                <w:szCs w:val="22"/>
                <w:highlight w:val="yellow"/>
                <w:lang w:val="en-US"/>
              </w:rPr>
              <w:t>m</w:t>
            </w:r>
            <w:r w:rsidRPr="006F6DAC">
              <w:rPr>
                <w:rFonts w:ascii="Garamond" w:hAnsi="Garamond"/>
                <w:sz w:val="22"/>
                <w:szCs w:val="22"/>
                <w:highlight w:val="yellow"/>
              </w:rPr>
              <w:t>easuring</w:t>
            </w:r>
            <w:r w:rsidRPr="006F6DAC">
              <w:rPr>
                <w:rFonts w:ascii="Garamond" w:hAnsi="Garamond"/>
                <w:sz w:val="22"/>
                <w:szCs w:val="22"/>
                <w:highlight w:val="yellow"/>
                <w:lang w:val="en-US"/>
              </w:rPr>
              <w:t>c</w:t>
            </w:r>
            <w:r w:rsidRPr="006F6DAC">
              <w:rPr>
                <w:rFonts w:ascii="Garamond" w:hAnsi="Garamond"/>
                <w:sz w:val="22"/>
                <w:szCs w:val="22"/>
                <w:highlight w:val="yellow"/>
              </w:rPr>
              <w:t>hannel&gt;.</w:t>
            </w:r>
          </w:p>
        </w:tc>
        <w:tc>
          <w:tcPr>
            <w:tcW w:w="7115" w:type="dxa"/>
          </w:tcPr>
          <w:p w14:paraId="20DCD8DB" w14:textId="77777777" w:rsidR="00F11A8B" w:rsidRPr="006F6DAC" w:rsidRDefault="00F11A8B" w:rsidP="00F11A8B">
            <w:pPr>
              <w:tabs>
                <w:tab w:val="left" w:pos="1080"/>
              </w:tabs>
              <w:spacing w:before="120" w:after="120"/>
              <w:jc w:val="both"/>
              <w:rPr>
                <w:rFonts w:ascii="Garamond" w:hAnsi="Garamond"/>
                <w:b/>
                <w:sz w:val="22"/>
                <w:szCs w:val="22"/>
              </w:rPr>
            </w:pPr>
            <w:r w:rsidRPr="006F6DAC">
              <w:rPr>
                <w:rFonts w:ascii="Garamond" w:hAnsi="Garamond"/>
                <w:b/>
                <w:sz w:val="22"/>
                <w:szCs w:val="22"/>
                <w:lang w:eastAsia="en-US"/>
              </w:rPr>
              <w:t>Исключить пункт</w:t>
            </w:r>
          </w:p>
        </w:tc>
      </w:tr>
      <w:tr w:rsidR="00F11A8B" w:rsidRPr="006F6DAC" w14:paraId="0B4945D4" w14:textId="77777777" w:rsidTr="006F6DAC">
        <w:tc>
          <w:tcPr>
            <w:tcW w:w="1060" w:type="dxa"/>
          </w:tcPr>
          <w:p w14:paraId="421B3B6D" w14:textId="77777777" w:rsidR="00F11A8B" w:rsidRPr="006F6DAC" w:rsidRDefault="00F11A8B" w:rsidP="00F11A8B">
            <w:pPr>
              <w:widowControl w:val="0"/>
              <w:spacing w:line="259" w:lineRule="auto"/>
              <w:jc w:val="center"/>
              <w:rPr>
                <w:rFonts w:ascii="Garamond" w:hAnsi="Garamond"/>
                <w:b/>
                <w:sz w:val="22"/>
                <w:szCs w:val="22"/>
                <w:lang w:eastAsia="en-US"/>
              </w:rPr>
            </w:pPr>
            <w:r w:rsidRPr="006F6DAC">
              <w:rPr>
                <w:rFonts w:ascii="Garamond" w:hAnsi="Garamond"/>
                <w:b/>
                <w:sz w:val="22"/>
                <w:szCs w:val="22"/>
                <w:lang w:eastAsia="en-US"/>
              </w:rPr>
              <w:t>4.2.1.3.5.1</w:t>
            </w:r>
          </w:p>
        </w:tc>
        <w:tc>
          <w:tcPr>
            <w:tcW w:w="6804" w:type="dxa"/>
          </w:tcPr>
          <w:p w14:paraId="29C3A029" w14:textId="77777777" w:rsidR="00F11A8B" w:rsidRPr="006F6DAC" w:rsidRDefault="00F11A8B" w:rsidP="00F11A8B">
            <w:pPr>
              <w:tabs>
                <w:tab w:val="left" w:pos="1080"/>
              </w:tabs>
              <w:spacing w:before="120" w:after="120"/>
              <w:jc w:val="both"/>
              <w:rPr>
                <w:rFonts w:ascii="Garamond" w:hAnsi="Garamond"/>
                <w:sz w:val="22"/>
                <w:szCs w:val="22"/>
                <w:highlight w:val="yellow"/>
              </w:rPr>
            </w:pPr>
            <w:r w:rsidRPr="006F6DAC">
              <w:rPr>
                <w:rFonts w:ascii="Garamond" w:hAnsi="Garamond"/>
                <w:sz w:val="22"/>
                <w:szCs w:val="22"/>
                <w:highlight w:val="yellow"/>
              </w:rPr>
              <w:t>&lt;</w:t>
            </w:r>
            <w:r w:rsidRPr="006F6DAC">
              <w:rPr>
                <w:rFonts w:ascii="Garamond" w:hAnsi="Garamond"/>
                <w:sz w:val="22"/>
                <w:szCs w:val="22"/>
                <w:highlight w:val="yellow"/>
                <w:lang w:val="en-US"/>
              </w:rPr>
              <w:t>m</w:t>
            </w:r>
            <w:r w:rsidRPr="006F6DAC">
              <w:rPr>
                <w:rFonts w:ascii="Garamond" w:hAnsi="Garamond"/>
                <w:sz w:val="22"/>
                <w:szCs w:val="22"/>
                <w:highlight w:val="yellow"/>
              </w:rPr>
              <w:t>easuring</w:t>
            </w:r>
            <w:r w:rsidRPr="006F6DAC">
              <w:rPr>
                <w:rFonts w:ascii="Garamond" w:hAnsi="Garamond"/>
                <w:sz w:val="22"/>
                <w:szCs w:val="22"/>
                <w:highlight w:val="yellow"/>
                <w:lang w:val="en-US"/>
              </w:rPr>
              <w:t>c</w:t>
            </w:r>
            <w:r w:rsidRPr="006F6DAC">
              <w:rPr>
                <w:rFonts w:ascii="Garamond" w:hAnsi="Garamond"/>
                <w:sz w:val="22"/>
                <w:szCs w:val="22"/>
                <w:highlight w:val="yellow"/>
              </w:rPr>
              <w:t>hannel&gt;</w:t>
            </w:r>
          </w:p>
          <w:p w14:paraId="50E41D62" w14:textId="77777777" w:rsidR="00F11A8B" w:rsidRPr="006F6DAC" w:rsidRDefault="00F11A8B" w:rsidP="00F11A8B">
            <w:pPr>
              <w:tabs>
                <w:tab w:val="left" w:pos="1080"/>
              </w:tabs>
              <w:spacing w:before="120" w:after="120"/>
              <w:jc w:val="both"/>
              <w:rPr>
                <w:rFonts w:ascii="Garamond" w:hAnsi="Garamond"/>
                <w:sz w:val="22"/>
                <w:szCs w:val="22"/>
                <w:highlight w:val="yellow"/>
              </w:rPr>
            </w:pPr>
            <w:r w:rsidRPr="006F6DAC">
              <w:rPr>
                <w:rFonts w:ascii="Garamond" w:hAnsi="Garamond"/>
                <w:sz w:val="22"/>
                <w:szCs w:val="22"/>
                <w:highlight w:val="yellow"/>
              </w:rPr>
              <w:t>Элемент &lt;</w:t>
            </w:r>
            <w:r w:rsidRPr="006F6DAC">
              <w:rPr>
                <w:rFonts w:ascii="Garamond" w:hAnsi="Garamond"/>
                <w:sz w:val="22"/>
                <w:szCs w:val="22"/>
                <w:highlight w:val="yellow"/>
                <w:lang w:val="en-US"/>
              </w:rPr>
              <w:t>m</w:t>
            </w:r>
            <w:r w:rsidRPr="006F6DAC">
              <w:rPr>
                <w:rFonts w:ascii="Garamond" w:hAnsi="Garamond"/>
                <w:sz w:val="22"/>
                <w:szCs w:val="22"/>
                <w:highlight w:val="yellow"/>
              </w:rPr>
              <w:t>easuring</w:t>
            </w:r>
            <w:r w:rsidRPr="006F6DAC">
              <w:rPr>
                <w:rFonts w:ascii="Garamond" w:hAnsi="Garamond"/>
                <w:sz w:val="22"/>
                <w:szCs w:val="22"/>
                <w:highlight w:val="yellow"/>
                <w:lang w:val="en-US"/>
              </w:rPr>
              <w:t>c</w:t>
            </w:r>
            <w:r w:rsidRPr="006F6DAC">
              <w:rPr>
                <w:rFonts w:ascii="Garamond" w:hAnsi="Garamond"/>
                <w:sz w:val="22"/>
                <w:szCs w:val="22"/>
                <w:highlight w:val="yellow"/>
              </w:rPr>
              <w:t>hannel&gt; содержит информацию о результатах измерений по точкам поставки, по совокупности «малых» точек поставки. Атрибуты элемента &lt;</w:t>
            </w:r>
            <w:r w:rsidRPr="006F6DAC">
              <w:rPr>
                <w:rFonts w:ascii="Garamond" w:hAnsi="Garamond"/>
                <w:sz w:val="22"/>
                <w:szCs w:val="22"/>
                <w:highlight w:val="yellow"/>
                <w:lang w:val="en-US"/>
              </w:rPr>
              <w:t>m</w:t>
            </w:r>
            <w:r w:rsidRPr="006F6DAC">
              <w:rPr>
                <w:rFonts w:ascii="Garamond" w:hAnsi="Garamond"/>
                <w:sz w:val="22"/>
                <w:szCs w:val="22"/>
                <w:highlight w:val="yellow"/>
              </w:rPr>
              <w:t>easuring</w:t>
            </w:r>
            <w:r w:rsidRPr="006F6DAC">
              <w:rPr>
                <w:rFonts w:ascii="Garamond" w:hAnsi="Garamond"/>
                <w:sz w:val="22"/>
                <w:szCs w:val="22"/>
                <w:highlight w:val="yellow"/>
                <w:lang w:val="en-US"/>
              </w:rPr>
              <w:t>c</w:t>
            </w:r>
            <w:r w:rsidRPr="006F6DAC">
              <w:rPr>
                <w:rFonts w:ascii="Garamond" w:hAnsi="Garamond"/>
                <w:sz w:val="22"/>
                <w:szCs w:val="22"/>
                <w:highlight w:val="yellow"/>
              </w:rPr>
              <w:t>hannel&gt;:</w:t>
            </w:r>
          </w:p>
          <w:p w14:paraId="5A48264C" w14:textId="77777777" w:rsidR="00F11A8B" w:rsidRPr="006F6DAC" w:rsidRDefault="00F11A8B" w:rsidP="00F11A8B">
            <w:pPr>
              <w:numPr>
                <w:ilvl w:val="0"/>
                <w:numId w:val="234"/>
              </w:numPr>
              <w:tabs>
                <w:tab w:val="left" w:pos="885"/>
              </w:tabs>
              <w:suppressAutoHyphens w:val="0"/>
              <w:spacing w:before="120" w:after="120"/>
              <w:jc w:val="both"/>
              <w:rPr>
                <w:rFonts w:ascii="Garamond" w:hAnsi="Garamond"/>
                <w:sz w:val="22"/>
                <w:szCs w:val="22"/>
                <w:highlight w:val="yellow"/>
              </w:rPr>
            </w:pPr>
            <w:r w:rsidRPr="006F6DAC">
              <w:rPr>
                <w:rFonts w:ascii="Garamond" w:hAnsi="Garamond"/>
                <w:sz w:val="22"/>
                <w:szCs w:val="22"/>
                <w:highlight w:val="yellow"/>
                <w:lang w:val="en-US"/>
              </w:rPr>
              <w:lastRenderedPageBreak/>
              <w:t>code</w:t>
            </w:r>
            <w:r w:rsidRPr="006F6DAC">
              <w:rPr>
                <w:rFonts w:ascii="Garamond" w:hAnsi="Garamond"/>
                <w:sz w:val="22"/>
                <w:szCs w:val="22"/>
                <w:highlight w:val="yellow"/>
              </w:rPr>
              <w:t xml:space="preserve"> – содержит код измерительного канала, присвоенный КО данному измерительному каналу. В коде измерительного канала содержится информация о направлении передачи электроэнергии и типе измерительного канала;</w:t>
            </w:r>
          </w:p>
          <w:p w14:paraId="1CF20874" w14:textId="77777777" w:rsidR="00F11A8B" w:rsidRPr="006F6DAC" w:rsidRDefault="00F11A8B" w:rsidP="00F11A8B">
            <w:pPr>
              <w:numPr>
                <w:ilvl w:val="0"/>
                <w:numId w:val="234"/>
              </w:numPr>
              <w:tabs>
                <w:tab w:val="left" w:pos="885"/>
              </w:tabs>
              <w:suppressAutoHyphens w:val="0"/>
              <w:spacing w:before="120" w:after="120"/>
              <w:jc w:val="both"/>
              <w:rPr>
                <w:rFonts w:ascii="Garamond" w:hAnsi="Garamond"/>
                <w:sz w:val="22"/>
                <w:szCs w:val="22"/>
                <w:highlight w:val="yellow"/>
              </w:rPr>
            </w:pPr>
            <w:r w:rsidRPr="006F6DAC">
              <w:rPr>
                <w:rFonts w:ascii="Garamond" w:hAnsi="Garamond"/>
                <w:sz w:val="22"/>
                <w:szCs w:val="22"/>
                <w:highlight w:val="yellow"/>
                <w:lang w:val="en-US"/>
              </w:rPr>
              <w:t>algorithmversion</w:t>
            </w:r>
            <w:r w:rsidRPr="006F6DAC">
              <w:rPr>
                <w:rFonts w:ascii="Garamond" w:hAnsi="Garamond"/>
                <w:sz w:val="22"/>
                <w:szCs w:val="22"/>
                <w:highlight w:val="yellow"/>
              </w:rPr>
              <w:t xml:space="preserve"> (только для элемента &lt;</w:t>
            </w:r>
            <w:r w:rsidRPr="006F6DAC">
              <w:rPr>
                <w:rFonts w:ascii="Garamond" w:hAnsi="Garamond"/>
                <w:sz w:val="22"/>
                <w:szCs w:val="22"/>
                <w:highlight w:val="yellow"/>
                <w:lang w:val="en-US"/>
              </w:rPr>
              <w:t>deliverypoint</w:t>
            </w:r>
            <w:r w:rsidRPr="006F6DAC">
              <w:rPr>
                <w:rFonts w:ascii="Garamond" w:hAnsi="Garamond"/>
                <w:sz w:val="22"/>
                <w:szCs w:val="22"/>
                <w:highlight w:val="yellow"/>
              </w:rPr>
              <w:t xml:space="preserve">&gt;) – содержит номер версии алгоритма расчета параметра точки поставки и является обязательным при одновременной передаче данных по точкам поставки и сальдо перетоков по сечению в целом (по ГТП генерации) по действующему и по новому актам либо при передаче данных только по акту, имеющему номер версии больше 1. Отсутствие атрибута </w:t>
            </w:r>
            <w:r w:rsidRPr="006F6DAC">
              <w:rPr>
                <w:rFonts w:ascii="Garamond" w:hAnsi="Garamond"/>
                <w:sz w:val="22"/>
                <w:szCs w:val="22"/>
                <w:highlight w:val="yellow"/>
                <w:lang w:val="en-US"/>
              </w:rPr>
              <w:t>algorithmversion</w:t>
            </w:r>
            <w:r w:rsidRPr="006F6DAC">
              <w:rPr>
                <w:rFonts w:ascii="Garamond" w:hAnsi="Garamond"/>
                <w:sz w:val="22"/>
                <w:szCs w:val="22"/>
                <w:highlight w:val="yellow"/>
              </w:rPr>
              <w:t xml:space="preserve"> эквивалентно записи </w:t>
            </w:r>
            <w:r w:rsidRPr="006F6DAC">
              <w:rPr>
                <w:rFonts w:ascii="Garamond" w:hAnsi="Garamond"/>
                <w:sz w:val="22"/>
                <w:szCs w:val="22"/>
                <w:highlight w:val="yellow"/>
                <w:lang w:val="en-US"/>
              </w:rPr>
              <w:t>algorithmversion</w:t>
            </w:r>
            <w:r w:rsidRPr="006F6DAC">
              <w:rPr>
                <w:rFonts w:ascii="Garamond" w:hAnsi="Garamond"/>
                <w:sz w:val="22"/>
                <w:szCs w:val="22"/>
                <w:highlight w:val="yellow"/>
              </w:rPr>
              <w:t>=«1»;</w:t>
            </w:r>
          </w:p>
          <w:p w14:paraId="0C3B11A0" w14:textId="77777777" w:rsidR="00F11A8B" w:rsidRPr="006F6DAC" w:rsidRDefault="00F11A8B" w:rsidP="00F11A8B">
            <w:pPr>
              <w:numPr>
                <w:ilvl w:val="0"/>
                <w:numId w:val="234"/>
              </w:numPr>
              <w:tabs>
                <w:tab w:val="left" w:pos="885"/>
              </w:tabs>
              <w:suppressAutoHyphens w:val="0"/>
              <w:spacing w:before="120" w:after="120"/>
              <w:jc w:val="both"/>
              <w:rPr>
                <w:rFonts w:ascii="Garamond" w:hAnsi="Garamond"/>
                <w:sz w:val="22"/>
                <w:szCs w:val="22"/>
                <w:highlight w:val="yellow"/>
              </w:rPr>
            </w:pPr>
            <w:r w:rsidRPr="006F6DAC">
              <w:rPr>
                <w:rFonts w:ascii="Garamond" w:hAnsi="Garamond"/>
                <w:sz w:val="22"/>
                <w:szCs w:val="22"/>
                <w:highlight w:val="yellow"/>
                <w:lang w:val="en-US"/>
              </w:rPr>
              <w:t>desc</w:t>
            </w:r>
            <w:r w:rsidRPr="006F6DAC">
              <w:rPr>
                <w:rFonts w:ascii="Garamond" w:hAnsi="Garamond"/>
                <w:sz w:val="22"/>
                <w:szCs w:val="22"/>
                <w:highlight w:val="yellow"/>
              </w:rPr>
              <w:t xml:space="preserve"> – содержит описание измерительного канала. </w:t>
            </w:r>
          </w:p>
          <w:p w14:paraId="511FE58A" w14:textId="77777777" w:rsidR="00F11A8B" w:rsidRPr="006F6DAC" w:rsidRDefault="00F11A8B" w:rsidP="00F11A8B">
            <w:pPr>
              <w:tabs>
                <w:tab w:val="left" w:pos="1080"/>
              </w:tabs>
              <w:spacing w:before="120" w:after="120"/>
              <w:jc w:val="both"/>
              <w:rPr>
                <w:rFonts w:ascii="Garamond" w:hAnsi="Garamond"/>
                <w:sz w:val="22"/>
                <w:szCs w:val="22"/>
                <w:highlight w:val="yellow"/>
              </w:rPr>
            </w:pPr>
            <w:r w:rsidRPr="006F6DAC">
              <w:rPr>
                <w:rFonts w:ascii="Garamond" w:hAnsi="Garamond"/>
                <w:sz w:val="22"/>
                <w:szCs w:val="22"/>
                <w:highlight w:val="yellow"/>
              </w:rPr>
              <w:t>Потомками элемента &lt;</w:t>
            </w:r>
            <w:r w:rsidRPr="006F6DAC">
              <w:rPr>
                <w:rFonts w:ascii="Garamond" w:hAnsi="Garamond"/>
                <w:sz w:val="22"/>
                <w:szCs w:val="22"/>
                <w:highlight w:val="yellow"/>
                <w:lang w:val="en-US"/>
              </w:rPr>
              <w:t>m</w:t>
            </w:r>
            <w:r w:rsidRPr="006F6DAC">
              <w:rPr>
                <w:rFonts w:ascii="Garamond" w:hAnsi="Garamond"/>
                <w:sz w:val="22"/>
                <w:szCs w:val="22"/>
                <w:highlight w:val="yellow"/>
              </w:rPr>
              <w:t>easuring</w:t>
            </w:r>
            <w:r w:rsidRPr="006F6DAC">
              <w:rPr>
                <w:rFonts w:ascii="Garamond" w:hAnsi="Garamond"/>
                <w:sz w:val="22"/>
                <w:szCs w:val="22"/>
                <w:highlight w:val="yellow"/>
                <w:lang w:val="en-US"/>
              </w:rPr>
              <w:t>c</w:t>
            </w:r>
            <w:r w:rsidRPr="006F6DAC">
              <w:rPr>
                <w:rFonts w:ascii="Garamond" w:hAnsi="Garamond"/>
                <w:sz w:val="22"/>
                <w:szCs w:val="22"/>
                <w:highlight w:val="yellow"/>
              </w:rPr>
              <w:t>hannel&gt; являются элементы &lt;period&gt;.</w:t>
            </w:r>
          </w:p>
        </w:tc>
        <w:tc>
          <w:tcPr>
            <w:tcW w:w="7115" w:type="dxa"/>
          </w:tcPr>
          <w:p w14:paraId="4FB5C4BC" w14:textId="77777777" w:rsidR="00F11A8B" w:rsidRPr="006F6DAC" w:rsidRDefault="00F11A8B" w:rsidP="00F11A8B">
            <w:pPr>
              <w:tabs>
                <w:tab w:val="left" w:pos="1080"/>
              </w:tabs>
              <w:spacing w:before="120" w:after="120"/>
              <w:jc w:val="both"/>
              <w:rPr>
                <w:rFonts w:ascii="Garamond" w:hAnsi="Garamond"/>
                <w:b/>
                <w:sz w:val="22"/>
                <w:szCs w:val="22"/>
                <w:lang w:eastAsia="en-US"/>
              </w:rPr>
            </w:pPr>
            <w:r w:rsidRPr="006F6DAC">
              <w:rPr>
                <w:rFonts w:ascii="Garamond" w:hAnsi="Garamond"/>
                <w:b/>
                <w:sz w:val="22"/>
                <w:szCs w:val="22"/>
                <w:lang w:eastAsia="en-US"/>
              </w:rPr>
              <w:lastRenderedPageBreak/>
              <w:t>Исключить пункт</w:t>
            </w:r>
          </w:p>
        </w:tc>
      </w:tr>
      <w:tr w:rsidR="00F11A8B" w:rsidRPr="006F6DAC" w14:paraId="02E5B6CC" w14:textId="77777777" w:rsidTr="006F6DAC">
        <w:tc>
          <w:tcPr>
            <w:tcW w:w="1060" w:type="dxa"/>
          </w:tcPr>
          <w:p w14:paraId="15088E37" w14:textId="77777777" w:rsidR="00F11A8B" w:rsidRPr="006F6DAC" w:rsidRDefault="00F11A8B" w:rsidP="00F11A8B">
            <w:pPr>
              <w:widowControl w:val="0"/>
              <w:spacing w:line="259" w:lineRule="auto"/>
              <w:jc w:val="center"/>
              <w:rPr>
                <w:rFonts w:ascii="Garamond" w:hAnsi="Garamond"/>
                <w:b/>
                <w:sz w:val="22"/>
                <w:szCs w:val="22"/>
                <w:lang w:eastAsia="en-US"/>
              </w:rPr>
            </w:pPr>
            <w:r w:rsidRPr="006F6DAC">
              <w:rPr>
                <w:rFonts w:ascii="Garamond" w:hAnsi="Garamond"/>
                <w:b/>
                <w:sz w:val="22"/>
                <w:szCs w:val="22"/>
                <w:lang w:eastAsia="en-US"/>
              </w:rPr>
              <w:t>4.2.1.3.5.1.1</w:t>
            </w:r>
          </w:p>
        </w:tc>
        <w:tc>
          <w:tcPr>
            <w:tcW w:w="6804" w:type="dxa"/>
          </w:tcPr>
          <w:p w14:paraId="0444904D" w14:textId="77777777" w:rsidR="00F11A8B" w:rsidRPr="006F6DAC" w:rsidRDefault="00F11A8B" w:rsidP="00F11A8B">
            <w:pPr>
              <w:tabs>
                <w:tab w:val="left" w:pos="1080"/>
              </w:tabs>
              <w:spacing w:before="120" w:after="120"/>
              <w:jc w:val="both"/>
              <w:rPr>
                <w:rFonts w:ascii="Garamond" w:hAnsi="Garamond"/>
                <w:sz w:val="22"/>
                <w:szCs w:val="22"/>
                <w:highlight w:val="yellow"/>
              </w:rPr>
            </w:pPr>
            <w:r w:rsidRPr="006F6DAC">
              <w:rPr>
                <w:rFonts w:ascii="Garamond" w:hAnsi="Garamond"/>
                <w:sz w:val="22"/>
                <w:szCs w:val="22"/>
                <w:highlight w:val="yellow"/>
              </w:rPr>
              <w:t>&lt;period&gt;</w:t>
            </w:r>
          </w:p>
          <w:p w14:paraId="556095EA" w14:textId="77777777" w:rsidR="00F11A8B" w:rsidRPr="006F6DAC" w:rsidRDefault="00F11A8B" w:rsidP="00F11A8B">
            <w:pPr>
              <w:tabs>
                <w:tab w:val="left" w:pos="1080"/>
              </w:tabs>
              <w:spacing w:before="120" w:after="120"/>
              <w:jc w:val="both"/>
              <w:rPr>
                <w:rFonts w:ascii="Garamond" w:hAnsi="Garamond"/>
                <w:sz w:val="22"/>
                <w:szCs w:val="22"/>
                <w:highlight w:val="yellow"/>
              </w:rPr>
            </w:pPr>
            <w:r w:rsidRPr="006F6DAC">
              <w:rPr>
                <w:rFonts w:ascii="Garamond" w:hAnsi="Garamond"/>
                <w:sz w:val="22"/>
                <w:szCs w:val="22"/>
                <w:highlight w:val="yellow"/>
              </w:rPr>
              <w:t>Элемент &lt;period&gt; содержит временной диапазон измерения и значения измерительных каналов точки поставки.</w:t>
            </w:r>
          </w:p>
          <w:p w14:paraId="756417D5" w14:textId="77777777" w:rsidR="00F11A8B" w:rsidRPr="006F6DAC" w:rsidRDefault="00F11A8B" w:rsidP="00F11A8B">
            <w:pPr>
              <w:tabs>
                <w:tab w:val="left" w:pos="1080"/>
              </w:tabs>
              <w:spacing w:before="120" w:after="120"/>
              <w:jc w:val="both"/>
              <w:rPr>
                <w:rFonts w:ascii="Garamond" w:hAnsi="Garamond"/>
                <w:sz w:val="22"/>
                <w:szCs w:val="22"/>
                <w:highlight w:val="yellow"/>
              </w:rPr>
            </w:pPr>
            <w:r w:rsidRPr="006F6DAC">
              <w:rPr>
                <w:rFonts w:ascii="Garamond" w:hAnsi="Garamond"/>
                <w:sz w:val="22"/>
                <w:szCs w:val="22"/>
                <w:highlight w:val="yellow"/>
              </w:rPr>
              <w:t>Атрибуты элемента &lt;period&gt;:</w:t>
            </w:r>
          </w:p>
          <w:p w14:paraId="1BF340D0" w14:textId="77777777" w:rsidR="00F11A8B" w:rsidRPr="006F6DAC" w:rsidRDefault="00F11A8B" w:rsidP="00F11A8B">
            <w:pPr>
              <w:numPr>
                <w:ilvl w:val="0"/>
                <w:numId w:val="234"/>
              </w:numPr>
              <w:tabs>
                <w:tab w:val="left" w:pos="885"/>
              </w:tabs>
              <w:suppressAutoHyphens w:val="0"/>
              <w:spacing w:before="120" w:after="120"/>
              <w:jc w:val="both"/>
              <w:rPr>
                <w:rFonts w:ascii="Garamond" w:hAnsi="Garamond"/>
                <w:sz w:val="22"/>
                <w:szCs w:val="22"/>
                <w:highlight w:val="yellow"/>
              </w:rPr>
            </w:pPr>
            <w:r w:rsidRPr="006F6DAC">
              <w:rPr>
                <w:rFonts w:ascii="Garamond" w:hAnsi="Garamond"/>
                <w:sz w:val="22"/>
                <w:szCs w:val="22"/>
                <w:highlight w:val="yellow"/>
                <w:lang w:val="en-US"/>
              </w:rPr>
              <w:t>start</w:t>
            </w:r>
            <w:r w:rsidRPr="006F6DAC">
              <w:rPr>
                <w:rFonts w:ascii="Garamond" w:hAnsi="Garamond"/>
                <w:sz w:val="22"/>
                <w:szCs w:val="22"/>
                <w:highlight w:val="yellow"/>
              </w:rPr>
              <w:t xml:space="preserve"> – является обязательным и содержит дату и время начала измерения в формате «ччмм», где «чч» – часы в 24-часовом формате, «мм» – минуты;</w:t>
            </w:r>
          </w:p>
          <w:p w14:paraId="5E0A3DE8" w14:textId="77777777" w:rsidR="00F11A8B" w:rsidRPr="006F6DAC" w:rsidRDefault="00F11A8B" w:rsidP="00F11A8B">
            <w:pPr>
              <w:numPr>
                <w:ilvl w:val="0"/>
                <w:numId w:val="234"/>
              </w:numPr>
              <w:tabs>
                <w:tab w:val="left" w:pos="885"/>
              </w:tabs>
              <w:suppressAutoHyphens w:val="0"/>
              <w:spacing w:before="120" w:after="120"/>
              <w:jc w:val="both"/>
              <w:rPr>
                <w:rFonts w:ascii="Garamond" w:hAnsi="Garamond"/>
                <w:sz w:val="22"/>
                <w:szCs w:val="22"/>
                <w:highlight w:val="yellow"/>
              </w:rPr>
            </w:pPr>
            <w:r w:rsidRPr="006F6DAC">
              <w:rPr>
                <w:rFonts w:ascii="Garamond" w:hAnsi="Garamond"/>
                <w:sz w:val="22"/>
                <w:szCs w:val="22"/>
                <w:highlight w:val="yellow"/>
                <w:lang w:val="en-US"/>
              </w:rPr>
              <w:t>end</w:t>
            </w:r>
            <w:r w:rsidRPr="006F6DAC">
              <w:rPr>
                <w:rFonts w:ascii="Garamond" w:hAnsi="Garamond"/>
                <w:sz w:val="22"/>
                <w:szCs w:val="22"/>
                <w:highlight w:val="yellow"/>
              </w:rPr>
              <w:t xml:space="preserve"> – является обязательным и содержит дату и время конца измерения в формате «ччмм», где «чч» – часы в 24-часовом формате, «мм» – минуты.</w:t>
            </w:r>
          </w:p>
          <w:p w14:paraId="49F5DF06" w14:textId="77777777" w:rsidR="00F11A8B" w:rsidRPr="006F6DAC" w:rsidRDefault="00F11A8B" w:rsidP="00F11A8B">
            <w:pPr>
              <w:tabs>
                <w:tab w:val="left" w:pos="1080"/>
              </w:tabs>
              <w:spacing w:before="120" w:after="120"/>
              <w:jc w:val="both"/>
              <w:rPr>
                <w:rFonts w:ascii="Garamond" w:hAnsi="Garamond"/>
                <w:sz w:val="22"/>
                <w:szCs w:val="22"/>
                <w:highlight w:val="yellow"/>
              </w:rPr>
            </w:pPr>
            <w:r w:rsidRPr="006F6DAC">
              <w:rPr>
                <w:rFonts w:ascii="Garamond" w:hAnsi="Garamond"/>
                <w:sz w:val="22"/>
                <w:szCs w:val="22"/>
                <w:highlight w:val="yellow"/>
              </w:rPr>
              <w:t xml:space="preserve">Последний интервал в операционных сутках записывается в виде </w:t>
            </w:r>
            <w:r w:rsidRPr="006F6DAC">
              <w:rPr>
                <w:rFonts w:ascii="Garamond" w:hAnsi="Garamond"/>
                <w:sz w:val="22"/>
                <w:szCs w:val="22"/>
                <w:highlight w:val="yellow"/>
                <w:lang w:val="en-US" w:eastAsia="zh-CN"/>
              </w:rPr>
              <w:t>start</w:t>
            </w:r>
            <w:r w:rsidRPr="006F6DAC">
              <w:rPr>
                <w:rFonts w:ascii="Garamond" w:hAnsi="Garamond"/>
                <w:sz w:val="22"/>
                <w:szCs w:val="22"/>
                <w:highlight w:val="yellow"/>
                <w:lang w:eastAsia="zh-CN"/>
              </w:rPr>
              <w:t xml:space="preserve">=«время начала периода», </w:t>
            </w:r>
            <w:r w:rsidRPr="006F6DAC">
              <w:rPr>
                <w:rFonts w:ascii="Garamond" w:hAnsi="Garamond"/>
                <w:sz w:val="22"/>
                <w:szCs w:val="22"/>
                <w:highlight w:val="yellow"/>
                <w:lang w:val="en-US" w:eastAsia="zh-CN"/>
              </w:rPr>
              <w:t>end</w:t>
            </w:r>
            <w:r w:rsidRPr="006F6DAC">
              <w:rPr>
                <w:rFonts w:ascii="Garamond" w:hAnsi="Garamond"/>
                <w:sz w:val="22"/>
                <w:szCs w:val="22"/>
                <w:highlight w:val="yellow"/>
                <w:lang w:eastAsia="zh-CN"/>
              </w:rPr>
              <w:t>=«0000».</w:t>
            </w:r>
          </w:p>
          <w:p w14:paraId="7879B8AD" w14:textId="77777777" w:rsidR="00F11A8B" w:rsidRPr="006F6DAC" w:rsidRDefault="00F11A8B" w:rsidP="00F11A8B">
            <w:pPr>
              <w:tabs>
                <w:tab w:val="left" w:pos="1080"/>
              </w:tabs>
              <w:spacing w:before="120" w:after="120"/>
              <w:jc w:val="both"/>
              <w:rPr>
                <w:rFonts w:ascii="Garamond" w:hAnsi="Garamond"/>
                <w:sz w:val="22"/>
                <w:szCs w:val="22"/>
                <w:highlight w:val="yellow"/>
              </w:rPr>
            </w:pPr>
            <w:r w:rsidRPr="006F6DAC">
              <w:rPr>
                <w:rFonts w:ascii="Garamond" w:hAnsi="Garamond"/>
                <w:sz w:val="22"/>
                <w:szCs w:val="22"/>
                <w:highlight w:val="yellow"/>
              </w:rPr>
              <w:t>В зависимости от интервала измерений в элементах &lt;</w:t>
            </w:r>
            <w:r w:rsidRPr="006F6DAC">
              <w:rPr>
                <w:rFonts w:ascii="Garamond" w:hAnsi="Garamond"/>
                <w:sz w:val="22"/>
                <w:szCs w:val="22"/>
                <w:highlight w:val="yellow"/>
                <w:lang w:val="en-US"/>
              </w:rPr>
              <w:t>m</w:t>
            </w:r>
            <w:r w:rsidRPr="006F6DAC">
              <w:rPr>
                <w:rFonts w:ascii="Garamond" w:hAnsi="Garamond"/>
                <w:sz w:val="22"/>
                <w:szCs w:val="22"/>
                <w:highlight w:val="yellow"/>
              </w:rPr>
              <w:t>easuring</w:t>
            </w:r>
            <w:r w:rsidRPr="006F6DAC">
              <w:rPr>
                <w:rFonts w:ascii="Garamond" w:hAnsi="Garamond"/>
                <w:sz w:val="22"/>
                <w:szCs w:val="22"/>
                <w:highlight w:val="yellow"/>
                <w:lang w:val="en-US"/>
              </w:rPr>
              <w:t>c</w:t>
            </w:r>
            <w:r w:rsidRPr="006F6DAC">
              <w:rPr>
                <w:rFonts w:ascii="Garamond" w:hAnsi="Garamond"/>
                <w:sz w:val="22"/>
                <w:szCs w:val="22"/>
                <w:highlight w:val="yellow"/>
              </w:rPr>
              <w:t xml:space="preserve">hannel&gt; должно присутствовать определенное количество элементов &lt;period&gt;. То есть для точек поставки должно быть 24 элемента &lt;period&gt;. Несовпадение числа элементов &lt;period&gt; считается ошибкой формата и является основанием в отказе приема группы </w:t>
            </w:r>
            <w:r w:rsidRPr="006F6DAC">
              <w:rPr>
                <w:rFonts w:ascii="Garamond" w:hAnsi="Garamond"/>
                <w:sz w:val="22"/>
                <w:szCs w:val="22"/>
                <w:highlight w:val="yellow"/>
                <w:lang w:eastAsia="zh-CN"/>
              </w:rPr>
              <w:t>&lt;</w:t>
            </w:r>
            <w:r w:rsidRPr="006F6DAC">
              <w:rPr>
                <w:rFonts w:ascii="Garamond" w:hAnsi="Garamond"/>
                <w:sz w:val="22"/>
                <w:szCs w:val="22"/>
                <w:highlight w:val="yellow"/>
                <w:lang w:val="en-US" w:eastAsia="zh-CN"/>
              </w:rPr>
              <w:t>area</w:t>
            </w:r>
            <w:r w:rsidRPr="006F6DAC">
              <w:rPr>
                <w:rFonts w:ascii="Garamond" w:hAnsi="Garamond"/>
                <w:sz w:val="22"/>
                <w:szCs w:val="22"/>
                <w:highlight w:val="yellow"/>
                <w:lang w:eastAsia="zh-CN"/>
              </w:rPr>
              <w:t xml:space="preserve">&gt; </w:t>
            </w:r>
            <w:r w:rsidRPr="006F6DAC">
              <w:rPr>
                <w:rFonts w:ascii="Garamond" w:hAnsi="Garamond"/>
                <w:sz w:val="22"/>
                <w:szCs w:val="22"/>
                <w:highlight w:val="yellow"/>
              </w:rPr>
              <w:t>целиком.</w:t>
            </w:r>
          </w:p>
          <w:p w14:paraId="70AEBA55" w14:textId="77777777" w:rsidR="00F11A8B" w:rsidRPr="006F6DAC" w:rsidRDefault="00F11A8B" w:rsidP="00F11A8B">
            <w:pPr>
              <w:tabs>
                <w:tab w:val="left" w:pos="1080"/>
              </w:tabs>
              <w:spacing w:before="120" w:after="120"/>
              <w:jc w:val="both"/>
              <w:rPr>
                <w:rFonts w:ascii="Garamond" w:hAnsi="Garamond"/>
                <w:sz w:val="22"/>
                <w:szCs w:val="22"/>
                <w:highlight w:val="yellow"/>
              </w:rPr>
            </w:pPr>
            <w:r w:rsidRPr="006F6DAC">
              <w:rPr>
                <w:rFonts w:ascii="Garamond" w:hAnsi="Garamond"/>
                <w:sz w:val="22"/>
                <w:szCs w:val="22"/>
                <w:highlight w:val="yellow"/>
              </w:rPr>
              <w:t>Потомками элемента &lt;period&gt; являются элементы &lt;value&gt;.</w:t>
            </w:r>
          </w:p>
        </w:tc>
        <w:tc>
          <w:tcPr>
            <w:tcW w:w="7115" w:type="dxa"/>
          </w:tcPr>
          <w:p w14:paraId="7A2F47E3" w14:textId="77777777" w:rsidR="00F11A8B" w:rsidRPr="006F6DAC" w:rsidRDefault="00F11A8B" w:rsidP="00F11A8B">
            <w:pPr>
              <w:tabs>
                <w:tab w:val="left" w:pos="1080"/>
              </w:tabs>
              <w:spacing w:before="120" w:after="120"/>
              <w:jc w:val="both"/>
              <w:rPr>
                <w:rFonts w:ascii="Garamond" w:hAnsi="Garamond"/>
                <w:b/>
                <w:sz w:val="22"/>
                <w:szCs w:val="22"/>
                <w:lang w:eastAsia="en-US"/>
              </w:rPr>
            </w:pPr>
            <w:r w:rsidRPr="006F6DAC">
              <w:rPr>
                <w:rFonts w:ascii="Garamond" w:hAnsi="Garamond"/>
                <w:b/>
                <w:sz w:val="22"/>
                <w:szCs w:val="22"/>
                <w:lang w:eastAsia="en-US"/>
              </w:rPr>
              <w:t>Исключить пункт</w:t>
            </w:r>
          </w:p>
        </w:tc>
      </w:tr>
      <w:tr w:rsidR="00F11A8B" w:rsidRPr="006F6DAC" w14:paraId="424BD92D" w14:textId="77777777" w:rsidTr="006F6DAC">
        <w:tc>
          <w:tcPr>
            <w:tcW w:w="1060" w:type="dxa"/>
          </w:tcPr>
          <w:p w14:paraId="41A24FCE" w14:textId="77777777" w:rsidR="00F11A8B" w:rsidRPr="006F6DAC" w:rsidRDefault="00F11A8B" w:rsidP="00F11A8B">
            <w:pPr>
              <w:widowControl w:val="0"/>
              <w:spacing w:line="259" w:lineRule="auto"/>
              <w:jc w:val="center"/>
              <w:rPr>
                <w:rFonts w:ascii="Garamond" w:hAnsi="Garamond"/>
                <w:b/>
                <w:sz w:val="22"/>
                <w:szCs w:val="22"/>
                <w:lang w:eastAsia="en-US"/>
              </w:rPr>
            </w:pPr>
            <w:r w:rsidRPr="006F6DAC">
              <w:rPr>
                <w:rFonts w:ascii="Garamond" w:hAnsi="Garamond"/>
                <w:b/>
                <w:sz w:val="22"/>
                <w:szCs w:val="22"/>
                <w:lang w:eastAsia="en-US"/>
              </w:rPr>
              <w:lastRenderedPageBreak/>
              <w:t>4.2.1.3.5.1.1.1</w:t>
            </w:r>
          </w:p>
        </w:tc>
        <w:tc>
          <w:tcPr>
            <w:tcW w:w="6804" w:type="dxa"/>
          </w:tcPr>
          <w:p w14:paraId="0ADC6550" w14:textId="77777777" w:rsidR="00F11A8B" w:rsidRPr="006F6DAC" w:rsidRDefault="00F11A8B" w:rsidP="00F11A8B">
            <w:pPr>
              <w:tabs>
                <w:tab w:val="left" w:pos="1080"/>
              </w:tabs>
              <w:spacing w:before="120" w:after="120"/>
              <w:jc w:val="both"/>
              <w:rPr>
                <w:rFonts w:ascii="Garamond" w:hAnsi="Garamond"/>
                <w:sz w:val="22"/>
                <w:szCs w:val="22"/>
                <w:highlight w:val="yellow"/>
              </w:rPr>
            </w:pPr>
            <w:r w:rsidRPr="006F6DAC">
              <w:rPr>
                <w:rFonts w:ascii="Garamond" w:hAnsi="Garamond"/>
                <w:sz w:val="22"/>
                <w:szCs w:val="22"/>
                <w:highlight w:val="yellow"/>
              </w:rPr>
              <w:t>&lt;</w:t>
            </w:r>
            <w:r w:rsidRPr="006F6DAC">
              <w:rPr>
                <w:rFonts w:ascii="Garamond" w:hAnsi="Garamond"/>
                <w:sz w:val="22"/>
                <w:szCs w:val="22"/>
                <w:highlight w:val="yellow"/>
                <w:lang w:val="en-US"/>
              </w:rPr>
              <w:t>value</w:t>
            </w:r>
            <w:r w:rsidRPr="006F6DAC">
              <w:rPr>
                <w:rFonts w:ascii="Garamond" w:hAnsi="Garamond"/>
                <w:sz w:val="22"/>
                <w:szCs w:val="22"/>
                <w:highlight w:val="yellow"/>
              </w:rPr>
              <w:t>&gt;</w:t>
            </w:r>
          </w:p>
          <w:p w14:paraId="44275F84" w14:textId="77777777" w:rsidR="00F11A8B" w:rsidRPr="006F6DAC" w:rsidRDefault="00F11A8B" w:rsidP="00F11A8B">
            <w:pPr>
              <w:tabs>
                <w:tab w:val="left" w:pos="1080"/>
              </w:tabs>
              <w:spacing w:before="120" w:after="120"/>
              <w:jc w:val="both"/>
              <w:rPr>
                <w:rFonts w:ascii="Garamond" w:hAnsi="Garamond"/>
                <w:sz w:val="22"/>
                <w:szCs w:val="22"/>
              </w:rPr>
            </w:pPr>
            <w:r w:rsidRPr="006F6DAC">
              <w:rPr>
                <w:rFonts w:ascii="Garamond" w:hAnsi="Garamond"/>
                <w:sz w:val="22"/>
                <w:szCs w:val="22"/>
                <w:highlight w:val="yellow"/>
              </w:rPr>
              <w:t>Содержимым элемента &lt;value&gt; является значение результата измерения. Атрибутом элемента &lt;</w:t>
            </w:r>
            <w:r w:rsidRPr="006F6DAC">
              <w:rPr>
                <w:rFonts w:ascii="Garamond" w:hAnsi="Garamond"/>
                <w:sz w:val="22"/>
                <w:szCs w:val="22"/>
                <w:highlight w:val="yellow"/>
                <w:lang w:val="en-US"/>
              </w:rPr>
              <w:t>value</w:t>
            </w:r>
            <w:r w:rsidRPr="006F6DAC">
              <w:rPr>
                <w:rFonts w:ascii="Garamond" w:hAnsi="Garamond"/>
                <w:sz w:val="22"/>
                <w:szCs w:val="22"/>
                <w:highlight w:val="yellow"/>
              </w:rPr>
              <w:t xml:space="preserve">&gt; является </w:t>
            </w:r>
            <w:r w:rsidRPr="006F6DAC">
              <w:rPr>
                <w:rFonts w:ascii="Garamond" w:hAnsi="Garamond"/>
                <w:sz w:val="22"/>
                <w:szCs w:val="22"/>
                <w:highlight w:val="yellow"/>
                <w:lang w:val="en-US"/>
              </w:rPr>
              <w:t>status</w:t>
            </w:r>
            <w:r w:rsidRPr="006F6DAC">
              <w:rPr>
                <w:rFonts w:ascii="Garamond" w:hAnsi="Garamond"/>
                <w:sz w:val="22"/>
                <w:szCs w:val="22"/>
                <w:highlight w:val="yellow"/>
              </w:rPr>
              <w:t xml:space="preserve"> – показывает статус передаваемой информации. Статус «0» означает, что передаваемая информация имеет статус коммерческой. В этом случае атрибут </w:t>
            </w:r>
            <w:r w:rsidRPr="006F6DAC">
              <w:rPr>
                <w:rFonts w:ascii="Garamond" w:hAnsi="Garamond"/>
                <w:sz w:val="22"/>
                <w:szCs w:val="22"/>
                <w:highlight w:val="yellow"/>
                <w:lang w:val="en-US"/>
              </w:rPr>
              <w:t>status</w:t>
            </w:r>
            <w:r w:rsidRPr="006F6DAC">
              <w:rPr>
                <w:rFonts w:ascii="Garamond" w:hAnsi="Garamond"/>
                <w:sz w:val="22"/>
                <w:szCs w:val="22"/>
                <w:highlight w:val="yellow"/>
              </w:rPr>
              <w:t xml:space="preserve"> может отсутствовать. Значение </w:t>
            </w:r>
            <w:r w:rsidRPr="006F6DAC">
              <w:rPr>
                <w:rFonts w:ascii="Garamond" w:hAnsi="Garamond"/>
                <w:sz w:val="22"/>
                <w:szCs w:val="22"/>
                <w:highlight w:val="yellow"/>
                <w:lang w:val="en-US"/>
              </w:rPr>
              <w:t>status</w:t>
            </w:r>
            <w:r w:rsidRPr="006F6DAC">
              <w:rPr>
                <w:rFonts w:ascii="Garamond" w:hAnsi="Garamond"/>
                <w:sz w:val="22"/>
                <w:szCs w:val="22"/>
                <w:highlight w:val="yellow"/>
              </w:rPr>
              <w:t xml:space="preserve"> «1» означает, что данную информацию нельзя использовать в коммерческих расчетах.</w:t>
            </w:r>
          </w:p>
        </w:tc>
        <w:tc>
          <w:tcPr>
            <w:tcW w:w="7115" w:type="dxa"/>
          </w:tcPr>
          <w:p w14:paraId="3588204C" w14:textId="77777777" w:rsidR="00F11A8B" w:rsidRPr="006F6DAC" w:rsidRDefault="00F11A8B" w:rsidP="00F11A8B">
            <w:pPr>
              <w:tabs>
                <w:tab w:val="left" w:pos="1080"/>
              </w:tabs>
              <w:spacing w:before="120" w:after="120"/>
              <w:jc w:val="both"/>
              <w:rPr>
                <w:rFonts w:ascii="Garamond" w:hAnsi="Garamond"/>
                <w:b/>
                <w:sz w:val="22"/>
                <w:szCs w:val="22"/>
                <w:lang w:eastAsia="en-US"/>
              </w:rPr>
            </w:pPr>
            <w:r w:rsidRPr="006F6DAC">
              <w:rPr>
                <w:rFonts w:ascii="Garamond" w:hAnsi="Garamond"/>
                <w:b/>
                <w:sz w:val="22"/>
                <w:szCs w:val="22"/>
                <w:lang w:eastAsia="en-US"/>
              </w:rPr>
              <w:t>Исключить пункт</w:t>
            </w:r>
          </w:p>
        </w:tc>
      </w:tr>
      <w:tr w:rsidR="00F11A8B" w:rsidRPr="006F6DAC" w14:paraId="553286EE" w14:textId="77777777" w:rsidTr="006F6DAC">
        <w:tc>
          <w:tcPr>
            <w:tcW w:w="1060" w:type="dxa"/>
          </w:tcPr>
          <w:p w14:paraId="72D77DD1" w14:textId="77777777" w:rsidR="00F11A8B" w:rsidRPr="006F6DAC" w:rsidRDefault="00F11A8B" w:rsidP="00F11A8B">
            <w:pPr>
              <w:widowControl w:val="0"/>
              <w:spacing w:line="259" w:lineRule="auto"/>
              <w:jc w:val="center"/>
              <w:rPr>
                <w:rFonts w:ascii="Garamond" w:hAnsi="Garamond"/>
                <w:b/>
                <w:sz w:val="22"/>
                <w:szCs w:val="22"/>
                <w:lang w:eastAsia="en-US"/>
              </w:rPr>
            </w:pPr>
            <w:r w:rsidRPr="006F6DAC">
              <w:rPr>
                <w:rFonts w:ascii="Garamond" w:hAnsi="Garamond"/>
                <w:b/>
                <w:sz w:val="22"/>
                <w:szCs w:val="22"/>
                <w:lang w:eastAsia="en-US"/>
              </w:rPr>
              <w:t>4.2.1.3.6</w:t>
            </w:r>
          </w:p>
        </w:tc>
        <w:tc>
          <w:tcPr>
            <w:tcW w:w="6804" w:type="dxa"/>
          </w:tcPr>
          <w:p w14:paraId="5002BF66" w14:textId="77777777" w:rsidR="00F11A8B" w:rsidRPr="006F6DAC" w:rsidRDefault="00F11A8B" w:rsidP="00F11A8B">
            <w:pPr>
              <w:tabs>
                <w:tab w:val="left" w:pos="1080"/>
              </w:tabs>
              <w:spacing w:before="120" w:after="120"/>
              <w:jc w:val="both"/>
              <w:rPr>
                <w:rFonts w:ascii="Garamond" w:hAnsi="Garamond"/>
                <w:sz w:val="22"/>
                <w:szCs w:val="22"/>
                <w:highlight w:val="yellow"/>
              </w:rPr>
            </w:pPr>
            <w:r w:rsidRPr="006F6DAC">
              <w:rPr>
                <w:rFonts w:ascii="Garamond" w:hAnsi="Garamond"/>
                <w:sz w:val="22"/>
                <w:szCs w:val="22"/>
                <w:highlight w:val="yellow"/>
              </w:rPr>
              <w:t>&lt;</w:t>
            </w:r>
            <w:r w:rsidRPr="006F6DAC">
              <w:rPr>
                <w:rFonts w:ascii="Garamond" w:hAnsi="Garamond"/>
                <w:sz w:val="22"/>
                <w:szCs w:val="22"/>
                <w:highlight w:val="yellow"/>
                <w:lang w:val="en-US"/>
              </w:rPr>
              <w:t>deliverygroup</w:t>
            </w:r>
            <w:r w:rsidRPr="006F6DAC">
              <w:rPr>
                <w:rFonts w:ascii="Garamond" w:hAnsi="Garamond"/>
                <w:sz w:val="22"/>
                <w:szCs w:val="22"/>
                <w:highlight w:val="yellow"/>
              </w:rPr>
              <w:t>&gt;</w:t>
            </w:r>
          </w:p>
          <w:p w14:paraId="14758B4B" w14:textId="77777777" w:rsidR="00F11A8B" w:rsidRPr="006F6DAC" w:rsidRDefault="00F11A8B" w:rsidP="00F11A8B">
            <w:pPr>
              <w:tabs>
                <w:tab w:val="left" w:pos="1080"/>
              </w:tabs>
              <w:spacing w:before="120" w:after="120"/>
              <w:jc w:val="both"/>
              <w:rPr>
                <w:rFonts w:ascii="Garamond" w:hAnsi="Garamond"/>
                <w:sz w:val="22"/>
                <w:szCs w:val="22"/>
                <w:highlight w:val="yellow"/>
              </w:rPr>
            </w:pPr>
            <w:r w:rsidRPr="006F6DAC">
              <w:rPr>
                <w:rFonts w:ascii="Garamond" w:hAnsi="Garamond"/>
                <w:sz w:val="22"/>
                <w:szCs w:val="22"/>
                <w:highlight w:val="yellow"/>
              </w:rPr>
              <w:t>Элемент &lt;</w:t>
            </w:r>
            <w:r w:rsidRPr="006F6DAC">
              <w:rPr>
                <w:rFonts w:ascii="Garamond" w:hAnsi="Garamond"/>
                <w:sz w:val="22"/>
                <w:szCs w:val="22"/>
                <w:highlight w:val="yellow"/>
                <w:lang w:val="en-US"/>
              </w:rPr>
              <w:t>deliverygroup</w:t>
            </w:r>
            <w:r w:rsidRPr="006F6DAC">
              <w:rPr>
                <w:rFonts w:ascii="Garamond" w:hAnsi="Garamond"/>
                <w:sz w:val="22"/>
                <w:szCs w:val="22"/>
                <w:highlight w:val="yellow"/>
              </w:rPr>
              <w:t>&gt; содержит сведения о группе точек поставки и результатах измерений в ней. Атрибуты элемента &lt;deliverygroup&gt;:</w:t>
            </w:r>
          </w:p>
          <w:p w14:paraId="7C6D6A8C" w14:textId="77777777" w:rsidR="00F11A8B" w:rsidRPr="006F6DAC" w:rsidRDefault="00F11A8B" w:rsidP="00F11A8B">
            <w:pPr>
              <w:numPr>
                <w:ilvl w:val="0"/>
                <w:numId w:val="234"/>
              </w:numPr>
              <w:tabs>
                <w:tab w:val="left" w:pos="885"/>
              </w:tabs>
              <w:suppressAutoHyphens w:val="0"/>
              <w:spacing w:before="120" w:after="120"/>
              <w:jc w:val="both"/>
              <w:rPr>
                <w:rFonts w:ascii="Garamond" w:hAnsi="Garamond"/>
                <w:sz w:val="22"/>
                <w:szCs w:val="22"/>
                <w:highlight w:val="yellow"/>
              </w:rPr>
            </w:pPr>
            <w:r w:rsidRPr="006F6DAC">
              <w:rPr>
                <w:rFonts w:ascii="Garamond" w:hAnsi="Garamond"/>
                <w:sz w:val="22"/>
                <w:szCs w:val="22"/>
                <w:highlight w:val="yellow"/>
                <w:lang w:val="en-US"/>
              </w:rPr>
              <w:t>code</w:t>
            </w:r>
            <w:r w:rsidRPr="006F6DAC">
              <w:rPr>
                <w:rFonts w:ascii="Garamond" w:hAnsi="Garamond"/>
                <w:sz w:val="22"/>
                <w:szCs w:val="22"/>
                <w:highlight w:val="yellow"/>
              </w:rPr>
              <w:t xml:space="preserve"> – содержит уникальный код, присвоенный КО группе точек поставки;</w:t>
            </w:r>
          </w:p>
          <w:p w14:paraId="0C9D86CE" w14:textId="77777777" w:rsidR="00F11A8B" w:rsidRPr="006F6DAC" w:rsidRDefault="00F11A8B" w:rsidP="00F11A8B">
            <w:pPr>
              <w:numPr>
                <w:ilvl w:val="0"/>
                <w:numId w:val="234"/>
              </w:numPr>
              <w:tabs>
                <w:tab w:val="left" w:pos="885"/>
              </w:tabs>
              <w:suppressAutoHyphens w:val="0"/>
              <w:spacing w:before="120" w:after="120"/>
              <w:jc w:val="both"/>
              <w:rPr>
                <w:rFonts w:ascii="Garamond" w:hAnsi="Garamond"/>
                <w:sz w:val="22"/>
                <w:szCs w:val="22"/>
                <w:highlight w:val="yellow"/>
              </w:rPr>
            </w:pPr>
            <w:r w:rsidRPr="006F6DAC">
              <w:rPr>
                <w:rFonts w:ascii="Garamond" w:hAnsi="Garamond"/>
                <w:sz w:val="22"/>
                <w:szCs w:val="22"/>
                <w:highlight w:val="yellow"/>
                <w:lang w:val="en-US"/>
              </w:rPr>
              <w:t>algorithmversion</w:t>
            </w:r>
            <w:r w:rsidRPr="006F6DAC">
              <w:rPr>
                <w:rFonts w:ascii="Garamond" w:hAnsi="Garamond"/>
                <w:sz w:val="22"/>
                <w:szCs w:val="22"/>
                <w:highlight w:val="yellow"/>
              </w:rPr>
              <w:t xml:space="preserve"> – содержит номер версии алгоритма расчета произведенной электроэнергии в ГТП генерации и является обязательным при передаче данных по точкам поставки и по ГТП генерации в целом. Отсутствие атрибута </w:t>
            </w:r>
            <w:r w:rsidRPr="006F6DAC">
              <w:rPr>
                <w:rFonts w:ascii="Garamond" w:hAnsi="Garamond"/>
                <w:sz w:val="22"/>
                <w:szCs w:val="22"/>
                <w:highlight w:val="yellow"/>
                <w:lang w:val="en-US"/>
              </w:rPr>
              <w:t>algorithmversion</w:t>
            </w:r>
            <w:r w:rsidRPr="006F6DAC">
              <w:rPr>
                <w:rFonts w:ascii="Garamond" w:hAnsi="Garamond"/>
                <w:sz w:val="22"/>
                <w:szCs w:val="22"/>
                <w:highlight w:val="yellow"/>
              </w:rPr>
              <w:t xml:space="preserve"> эквивалентно записи </w:t>
            </w:r>
            <w:r w:rsidRPr="006F6DAC">
              <w:rPr>
                <w:rFonts w:ascii="Garamond" w:hAnsi="Garamond"/>
                <w:sz w:val="22"/>
                <w:szCs w:val="22"/>
                <w:highlight w:val="yellow"/>
                <w:lang w:val="en-US"/>
              </w:rPr>
              <w:t>algorithmversion</w:t>
            </w:r>
            <w:r w:rsidRPr="006F6DAC">
              <w:rPr>
                <w:rFonts w:ascii="Garamond" w:hAnsi="Garamond"/>
                <w:sz w:val="22"/>
                <w:szCs w:val="22"/>
                <w:highlight w:val="yellow"/>
              </w:rPr>
              <w:t>=«1»;</w:t>
            </w:r>
          </w:p>
          <w:p w14:paraId="12494FC0" w14:textId="77777777" w:rsidR="00F11A8B" w:rsidRPr="006F6DAC" w:rsidRDefault="00F11A8B" w:rsidP="00F11A8B">
            <w:pPr>
              <w:numPr>
                <w:ilvl w:val="0"/>
                <w:numId w:val="234"/>
              </w:numPr>
              <w:tabs>
                <w:tab w:val="left" w:pos="885"/>
              </w:tabs>
              <w:suppressAutoHyphens w:val="0"/>
              <w:spacing w:before="120" w:after="120"/>
              <w:jc w:val="both"/>
              <w:rPr>
                <w:rFonts w:ascii="Garamond" w:hAnsi="Garamond"/>
                <w:sz w:val="22"/>
                <w:szCs w:val="22"/>
                <w:highlight w:val="yellow"/>
                <w:lang w:val="en-US"/>
              </w:rPr>
            </w:pPr>
            <w:r w:rsidRPr="006F6DAC">
              <w:rPr>
                <w:rFonts w:ascii="Garamond" w:hAnsi="Garamond"/>
                <w:sz w:val="22"/>
                <w:szCs w:val="22"/>
                <w:highlight w:val="yellow"/>
                <w:lang w:val="en-US"/>
              </w:rPr>
              <w:t>name</w:t>
            </w:r>
            <w:r w:rsidRPr="006F6DAC">
              <w:rPr>
                <w:rFonts w:ascii="Garamond" w:hAnsi="Garamond"/>
                <w:sz w:val="22"/>
                <w:szCs w:val="22"/>
                <w:highlight w:val="yellow"/>
              </w:rPr>
              <w:t xml:space="preserve"> – содержит наименование данной группы точек поставки. </w:t>
            </w:r>
            <w:r w:rsidRPr="006F6DAC">
              <w:rPr>
                <w:rFonts w:ascii="Garamond" w:hAnsi="Garamond"/>
                <w:sz w:val="22"/>
                <w:szCs w:val="22"/>
                <w:highlight w:val="yellow"/>
                <w:lang w:val="en-US"/>
              </w:rPr>
              <w:t>Длина наименования до 250 символов.</w:t>
            </w:r>
          </w:p>
          <w:p w14:paraId="21853418" w14:textId="77777777" w:rsidR="00F11A8B" w:rsidRPr="006F6DAC" w:rsidRDefault="00F11A8B" w:rsidP="00F11A8B">
            <w:pPr>
              <w:tabs>
                <w:tab w:val="left" w:pos="1080"/>
              </w:tabs>
              <w:spacing w:before="120" w:after="120"/>
              <w:jc w:val="both"/>
              <w:rPr>
                <w:rFonts w:ascii="Garamond" w:hAnsi="Garamond"/>
                <w:sz w:val="22"/>
                <w:szCs w:val="22"/>
                <w:highlight w:val="yellow"/>
              </w:rPr>
            </w:pPr>
            <w:r w:rsidRPr="006F6DAC">
              <w:rPr>
                <w:rFonts w:ascii="Garamond" w:hAnsi="Garamond"/>
                <w:sz w:val="22"/>
                <w:szCs w:val="22"/>
                <w:highlight w:val="yellow"/>
              </w:rPr>
              <w:t>Потомками элемента &lt;</w:t>
            </w:r>
            <w:r w:rsidRPr="006F6DAC">
              <w:rPr>
                <w:rFonts w:ascii="Garamond" w:hAnsi="Garamond"/>
                <w:sz w:val="22"/>
                <w:szCs w:val="22"/>
                <w:highlight w:val="yellow"/>
                <w:lang w:val="en-US"/>
              </w:rPr>
              <w:t>deliverygroup</w:t>
            </w:r>
            <w:r w:rsidRPr="006F6DAC">
              <w:rPr>
                <w:rFonts w:ascii="Garamond" w:hAnsi="Garamond"/>
                <w:sz w:val="22"/>
                <w:szCs w:val="22"/>
                <w:highlight w:val="yellow"/>
              </w:rPr>
              <w:t xml:space="preserve">&gt; являются элементы </w:t>
            </w:r>
            <w:r w:rsidRPr="006F6DAC">
              <w:rPr>
                <w:rFonts w:ascii="Garamond" w:hAnsi="Garamond" w:cs="Arial"/>
                <w:sz w:val="22"/>
                <w:szCs w:val="22"/>
                <w:highlight w:val="yellow"/>
              </w:rPr>
              <w:t xml:space="preserve">&lt;period&gt;. Элемент &lt;period&gt; аналогичен элементу &lt;period&gt; элемента </w:t>
            </w:r>
            <w:r w:rsidRPr="006F6DAC">
              <w:rPr>
                <w:rFonts w:ascii="Garamond" w:hAnsi="Garamond"/>
                <w:sz w:val="22"/>
                <w:szCs w:val="22"/>
                <w:highlight w:val="yellow"/>
              </w:rPr>
              <w:t>&lt;</w:t>
            </w:r>
            <w:r w:rsidRPr="006F6DAC">
              <w:rPr>
                <w:rFonts w:ascii="Garamond" w:hAnsi="Garamond"/>
                <w:sz w:val="22"/>
                <w:szCs w:val="22"/>
                <w:highlight w:val="yellow"/>
                <w:lang w:val="en-US"/>
              </w:rPr>
              <w:t>deliverypoint</w:t>
            </w:r>
            <w:r w:rsidRPr="006F6DAC">
              <w:rPr>
                <w:rFonts w:ascii="Garamond" w:hAnsi="Garamond"/>
                <w:sz w:val="22"/>
                <w:szCs w:val="22"/>
                <w:highlight w:val="yellow"/>
              </w:rPr>
              <w:t>&gt;.</w:t>
            </w:r>
          </w:p>
        </w:tc>
        <w:tc>
          <w:tcPr>
            <w:tcW w:w="7115" w:type="dxa"/>
          </w:tcPr>
          <w:p w14:paraId="0E2C512B" w14:textId="77777777" w:rsidR="00F11A8B" w:rsidRPr="006F6DAC" w:rsidRDefault="00F11A8B" w:rsidP="00F11A8B">
            <w:pPr>
              <w:tabs>
                <w:tab w:val="left" w:pos="1080"/>
              </w:tabs>
              <w:spacing w:before="120" w:after="120"/>
              <w:jc w:val="both"/>
              <w:rPr>
                <w:rFonts w:ascii="Garamond" w:hAnsi="Garamond"/>
                <w:b/>
                <w:sz w:val="22"/>
                <w:szCs w:val="22"/>
                <w:lang w:eastAsia="en-US"/>
              </w:rPr>
            </w:pPr>
            <w:r w:rsidRPr="006F6DAC">
              <w:rPr>
                <w:rFonts w:ascii="Garamond" w:hAnsi="Garamond"/>
                <w:b/>
                <w:sz w:val="22"/>
                <w:szCs w:val="22"/>
                <w:lang w:eastAsia="en-US"/>
              </w:rPr>
              <w:t>Исключить пункт</w:t>
            </w:r>
          </w:p>
        </w:tc>
      </w:tr>
      <w:tr w:rsidR="00F11A8B" w:rsidRPr="006F6DAC" w14:paraId="1C04242E" w14:textId="77777777" w:rsidTr="006F6DAC">
        <w:tc>
          <w:tcPr>
            <w:tcW w:w="1060" w:type="dxa"/>
          </w:tcPr>
          <w:p w14:paraId="0E6F4E07" w14:textId="77777777" w:rsidR="00F11A8B" w:rsidRPr="006F6DAC" w:rsidRDefault="00F11A8B" w:rsidP="00F11A8B">
            <w:pPr>
              <w:widowControl w:val="0"/>
              <w:spacing w:line="259" w:lineRule="auto"/>
              <w:jc w:val="center"/>
              <w:rPr>
                <w:rFonts w:ascii="Garamond" w:hAnsi="Garamond"/>
                <w:b/>
                <w:sz w:val="22"/>
                <w:szCs w:val="22"/>
                <w:lang w:eastAsia="en-US"/>
              </w:rPr>
            </w:pPr>
            <w:r w:rsidRPr="006F6DAC">
              <w:rPr>
                <w:rFonts w:ascii="Garamond" w:hAnsi="Garamond"/>
                <w:b/>
                <w:sz w:val="22"/>
                <w:szCs w:val="22"/>
                <w:lang w:eastAsia="en-US"/>
              </w:rPr>
              <w:t>4.2.1.3.7</w:t>
            </w:r>
          </w:p>
        </w:tc>
        <w:tc>
          <w:tcPr>
            <w:tcW w:w="6804" w:type="dxa"/>
          </w:tcPr>
          <w:p w14:paraId="5F1115CB" w14:textId="77777777" w:rsidR="00F11A8B" w:rsidRPr="006F6DAC" w:rsidRDefault="00F11A8B" w:rsidP="00F11A8B">
            <w:pPr>
              <w:tabs>
                <w:tab w:val="left" w:pos="1080"/>
              </w:tabs>
              <w:spacing w:before="120" w:after="120"/>
              <w:jc w:val="both"/>
              <w:rPr>
                <w:rFonts w:ascii="Garamond" w:hAnsi="Garamond" w:cs="Arial"/>
                <w:sz w:val="22"/>
                <w:szCs w:val="22"/>
                <w:highlight w:val="yellow"/>
              </w:rPr>
            </w:pPr>
            <w:r w:rsidRPr="006F6DAC">
              <w:rPr>
                <w:rFonts w:ascii="Garamond" w:hAnsi="Garamond" w:cs="Arial"/>
                <w:sz w:val="22"/>
                <w:szCs w:val="22"/>
                <w:highlight w:val="yellow"/>
              </w:rPr>
              <w:t>&lt;</w:t>
            </w:r>
            <w:r w:rsidRPr="006F6DAC">
              <w:rPr>
                <w:rFonts w:ascii="Garamond" w:hAnsi="Garamond" w:cs="Arial"/>
                <w:sz w:val="22"/>
                <w:szCs w:val="22"/>
                <w:highlight w:val="yellow"/>
                <w:lang w:val="en-US"/>
              </w:rPr>
              <w:t>peretok</w:t>
            </w:r>
            <w:r w:rsidRPr="006F6DAC">
              <w:rPr>
                <w:rFonts w:ascii="Garamond" w:hAnsi="Garamond" w:cs="Arial"/>
                <w:sz w:val="22"/>
                <w:szCs w:val="22"/>
                <w:highlight w:val="yellow"/>
              </w:rPr>
              <w:t>&gt;</w:t>
            </w:r>
          </w:p>
          <w:p w14:paraId="2D7DEFE1" w14:textId="77777777" w:rsidR="00F11A8B" w:rsidRPr="006F6DAC" w:rsidRDefault="00F11A8B" w:rsidP="00F11A8B">
            <w:pPr>
              <w:tabs>
                <w:tab w:val="left" w:pos="1080"/>
              </w:tabs>
              <w:spacing w:before="120" w:after="120"/>
              <w:jc w:val="both"/>
              <w:rPr>
                <w:rFonts w:ascii="Garamond" w:hAnsi="Garamond"/>
                <w:bCs/>
                <w:sz w:val="22"/>
                <w:szCs w:val="22"/>
                <w:highlight w:val="yellow"/>
              </w:rPr>
            </w:pPr>
            <w:r w:rsidRPr="006F6DAC">
              <w:rPr>
                <w:rFonts w:ascii="Garamond" w:hAnsi="Garamond"/>
                <w:bCs/>
                <w:sz w:val="22"/>
                <w:szCs w:val="22"/>
                <w:highlight w:val="yellow"/>
              </w:rPr>
              <w:t xml:space="preserve">Элемент &lt;peretok&gt; содержит сведения о </w:t>
            </w:r>
            <w:r w:rsidRPr="006F6DAC">
              <w:rPr>
                <w:rFonts w:ascii="Garamond" w:hAnsi="Garamond"/>
                <w:spacing w:val="1"/>
                <w:sz w:val="22"/>
                <w:szCs w:val="22"/>
                <w:highlight w:val="yellow"/>
              </w:rPr>
              <w:t>сальдо перетоков</w:t>
            </w:r>
            <w:r w:rsidRPr="006F6DAC">
              <w:rPr>
                <w:rFonts w:ascii="Garamond" w:hAnsi="Garamond"/>
                <w:bCs/>
                <w:sz w:val="22"/>
                <w:szCs w:val="22"/>
                <w:highlight w:val="yellow"/>
              </w:rPr>
              <w:t xml:space="preserve"> между двумя группами точек поставки и результатах измерений по нему. Атрибуты элемента &lt;peretok&gt;:</w:t>
            </w:r>
          </w:p>
          <w:p w14:paraId="53684A20" w14:textId="77777777" w:rsidR="00F11A8B" w:rsidRPr="006F6DAC" w:rsidRDefault="00F11A8B" w:rsidP="00F11A8B">
            <w:pPr>
              <w:numPr>
                <w:ilvl w:val="0"/>
                <w:numId w:val="234"/>
              </w:numPr>
              <w:tabs>
                <w:tab w:val="left" w:pos="885"/>
              </w:tabs>
              <w:suppressAutoHyphens w:val="0"/>
              <w:spacing w:before="120" w:after="120"/>
              <w:jc w:val="both"/>
              <w:rPr>
                <w:rFonts w:ascii="Garamond" w:hAnsi="Garamond"/>
                <w:sz w:val="22"/>
                <w:szCs w:val="22"/>
                <w:highlight w:val="yellow"/>
              </w:rPr>
            </w:pPr>
            <w:r w:rsidRPr="006F6DAC">
              <w:rPr>
                <w:rFonts w:ascii="Garamond" w:hAnsi="Garamond"/>
                <w:sz w:val="22"/>
                <w:szCs w:val="22"/>
                <w:highlight w:val="yellow"/>
                <w:lang w:val="en-US"/>
              </w:rPr>
              <w:t>code</w:t>
            </w:r>
            <w:r w:rsidRPr="006F6DAC">
              <w:rPr>
                <w:rFonts w:ascii="Garamond" w:hAnsi="Garamond"/>
                <w:sz w:val="22"/>
                <w:szCs w:val="22"/>
                <w:highlight w:val="yellow"/>
              </w:rPr>
              <w:t>-</w:t>
            </w:r>
            <w:r w:rsidRPr="006F6DAC">
              <w:rPr>
                <w:rFonts w:ascii="Garamond" w:hAnsi="Garamond"/>
                <w:sz w:val="22"/>
                <w:szCs w:val="22"/>
                <w:highlight w:val="yellow"/>
                <w:lang w:val="en-US"/>
              </w:rPr>
              <w:t>from</w:t>
            </w:r>
            <w:r w:rsidRPr="006F6DAC">
              <w:rPr>
                <w:rFonts w:ascii="Garamond" w:hAnsi="Garamond"/>
                <w:sz w:val="22"/>
                <w:szCs w:val="22"/>
                <w:highlight w:val="yellow"/>
              </w:rPr>
              <w:t xml:space="preserve"> – содержит код ГТП, присвоенный КО группе точек поставки;</w:t>
            </w:r>
          </w:p>
          <w:p w14:paraId="62F0A116" w14:textId="77777777" w:rsidR="00F11A8B" w:rsidRPr="006F6DAC" w:rsidRDefault="00F11A8B" w:rsidP="00F11A8B">
            <w:pPr>
              <w:numPr>
                <w:ilvl w:val="0"/>
                <w:numId w:val="234"/>
              </w:numPr>
              <w:tabs>
                <w:tab w:val="left" w:pos="885"/>
              </w:tabs>
              <w:suppressAutoHyphens w:val="0"/>
              <w:spacing w:before="120" w:after="120"/>
              <w:jc w:val="both"/>
              <w:rPr>
                <w:rFonts w:ascii="Garamond" w:hAnsi="Garamond"/>
                <w:sz w:val="22"/>
                <w:szCs w:val="22"/>
                <w:highlight w:val="yellow"/>
              </w:rPr>
            </w:pPr>
            <w:r w:rsidRPr="006F6DAC">
              <w:rPr>
                <w:rFonts w:ascii="Garamond" w:hAnsi="Garamond"/>
                <w:sz w:val="22"/>
                <w:szCs w:val="22"/>
                <w:highlight w:val="yellow"/>
              </w:rPr>
              <w:t>с</w:t>
            </w:r>
            <w:r w:rsidRPr="006F6DAC">
              <w:rPr>
                <w:rFonts w:ascii="Garamond" w:hAnsi="Garamond"/>
                <w:sz w:val="22"/>
                <w:szCs w:val="22"/>
                <w:highlight w:val="yellow"/>
                <w:lang w:val="en-US"/>
              </w:rPr>
              <w:t>ode</w:t>
            </w:r>
            <w:r w:rsidRPr="006F6DAC">
              <w:rPr>
                <w:rFonts w:ascii="Garamond" w:hAnsi="Garamond"/>
                <w:sz w:val="22"/>
                <w:szCs w:val="22"/>
                <w:highlight w:val="yellow"/>
              </w:rPr>
              <w:t>-</w:t>
            </w:r>
            <w:r w:rsidRPr="006F6DAC">
              <w:rPr>
                <w:rFonts w:ascii="Garamond" w:hAnsi="Garamond"/>
                <w:sz w:val="22"/>
                <w:szCs w:val="22"/>
                <w:highlight w:val="yellow"/>
                <w:lang w:val="en-US"/>
              </w:rPr>
              <w:t>to</w:t>
            </w:r>
            <w:r w:rsidRPr="006F6DAC">
              <w:rPr>
                <w:rFonts w:ascii="Garamond" w:hAnsi="Garamond"/>
                <w:sz w:val="22"/>
                <w:szCs w:val="22"/>
                <w:highlight w:val="yellow"/>
              </w:rPr>
              <w:t xml:space="preserve"> – содержит код ГТП, присвоенный КО группе точек поставки;</w:t>
            </w:r>
          </w:p>
          <w:p w14:paraId="4460C5AC" w14:textId="77777777" w:rsidR="00F11A8B" w:rsidRPr="006F6DAC" w:rsidRDefault="00F11A8B" w:rsidP="00F11A8B">
            <w:pPr>
              <w:numPr>
                <w:ilvl w:val="0"/>
                <w:numId w:val="234"/>
              </w:numPr>
              <w:tabs>
                <w:tab w:val="left" w:pos="885"/>
              </w:tabs>
              <w:suppressAutoHyphens w:val="0"/>
              <w:spacing w:before="120" w:after="120"/>
              <w:jc w:val="both"/>
              <w:rPr>
                <w:rFonts w:ascii="Garamond" w:hAnsi="Garamond"/>
                <w:sz w:val="22"/>
                <w:szCs w:val="22"/>
                <w:highlight w:val="yellow"/>
              </w:rPr>
            </w:pPr>
            <w:r w:rsidRPr="006F6DAC">
              <w:rPr>
                <w:rFonts w:ascii="Garamond" w:hAnsi="Garamond"/>
                <w:sz w:val="22"/>
                <w:szCs w:val="22"/>
                <w:highlight w:val="yellow"/>
                <w:lang w:val="en-US"/>
              </w:rPr>
              <w:lastRenderedPageBreak/>
              <w:t>algorithmversion</w:t>
            </w:r>
            <w:r w:rsidRPr="006F6DAC">
              <w:rPr>
                <w:rFonts w:ascii="Garamond" w:hAnsi="Garamond"/>
                <w:sz w:val="22"/>
                <w:szCs w:val="22"/>
                <w:highlight w:val="yellow"/>
              </w:rPr>
              <w:t xml:space="preserve"> – содержит номер версии алгоритма расчета сальдо перетоков и является обязательным при передаче данных по точкам поставки и сальдо перетоков по сечению в целом. Отсутствие атрибута </w:t>
            </w:r>
            <w:r w:rsidRPr="006F6DAC">
              <w:rPr>
                <w:rFonts w:ascii="Garamond" w:hAnsi="Garamond"/>
                <w:sz w:val="22"/>
                <w:szCs w:val="22"/>
                <w:highlight w:val="yellow"/>
                <w:lang w:val="en-US"/>
              </w:rPr>
              <w:t>algorithmversion</w:t>
            </w:r>
            <w:r w:rsidRPr="006F6DAC">
              <w:rPr>
                <w:rFonts w:ascii="Garamond" w:hAnsi="Garamond"/>
                <w:sz w:val="22"/>
                <w:szCs w:val="22"/>
                <w:highlight w:val="yellow"/>
              </w:rPr>
              <w:t xml:space="preserve"> эквивалентно записи </w:t>
            </w:r>
            <w:r w:rsidRPr="006F6DAC">
              <w:rPr>
                <w:rFonts w:ascii="Garamond" w:hAnsi="Garamond"/>
                <w:sz w:val="22"/>
                <w:szCs w:val="22"/>
                <w:highlight w:val="yellow"/>
                <w:lang w:val="en-US"/>
              </w:rPr>
              <w:t>algorithmversion</w:t>
            </w:r>
            <w:r w:rsidRPr="006F6DAC">
              <w:rPr>
                <w:rFonts w:ascii="Garamond" w:hAnsi="Garamond"/>
                <w:sz w:val="22"/>
                <w:szCs w:val="22"/>
                <w:highlight w:val="yellow"/>
              </w:rPr>
              <w:t>=«1»;</w:t>
            </w:r>
          </w:p>
          <w:p w14:paraId="4F8C3AEA" w14:textId="77777777" w:rsidR="00F11A8B" w:rsidRPr="006F6DAC" w:rsidRDefault="00F11A8B" w:rsidP="00F11A8B">
            <w:pPr>
              <w:numPr>
                <w:ilvl w:val="0"/>
                <w:numId w:val="234"/>
              </w:numPr>
              <w:tabs>
                <w:tab w:val="left" w:pos="885"/>
              </w:tabs>
              <w:suppressAutoHyphens w:val="0"/>
              <w:spacing w:before="120" w:after="120"/>
              <w:jc w:val="both"/>
              <w:rPr>
                <w:rFonts w:ascii="Garamond" w:hAnsi="Garamond"/>
                <w:bCs/>
                <w:sz w:val="22"/>
                <w:szCs w:val="22"/>
                <w:highlight w:val="yellow"/>
              </w:rPr>
            </w:pPr>
            <w:r w:rsidRPr="006F6DAC">
              <w:rPr>
                <w:rFonts w:ascii="Garamond" w:hAnsi="Garamond"/>
                <w:sz w:val="22"/>
                <w:szCs w:val="22"/>
                <w:highlight w:val="yellow"/>
                <w:lang w:val="en-US"/>
              </w:rPr>
              <w:t>name</w:t>
            </w:r>
            <w:r w:rsidRPr="006F6DAC">
              <w:rPr>
                <w:rFonts w:ascii="Garamond" w:hAnsi="Garamond"/>
                <w:sz w:val="22"/>
                <w:szCs w:val="22"/>
                <w:highlight w:val="yellow"/>
              </w:rPr>
              <w:t xml:space="preserve"> – содержит наименование данной группы точек поставки. Длина</w:t>
            </w:r>
            <w:r w:rsidRPr="006F6DAC">
              <w:rPr>
                <w:rFonts w:ascii="Garamond" w:hAnsi="Garamond"/>
                <w:spacing w:val="1"/>
                <w:sz w:val="22"/>
                <w:szCs w:val="22"/>
                <w:highlight w:val="yellow"/>
              </w:rPr>
              <w:t xml:space="preserve"> наименования до 250 символов.</w:t>
            </w:r>
          </w:p>
          <w:p w14:paraId="51BCFE45" w14:textId="77777777" w:rsidR="00F11A8B" w:rsidRPr="006F6DAC" w:rsidRDefault="00F11A8B" w:rsidP="00F11A8B">
            <w:pPr>
              <w:tabs>
                <w:tab w:val="left" w:pos="1080"/>
              </w:tabs>
              <w:spacing w:before="120" w:after="120"/>
              <w:jc w:val="both"/>
              <w:rPr>
                <w:rFonts w:ascii="Garamond" w:hAnsi="Garamond"/>
                <w:sz w:val="22"/>
                <w:szCs w:val="22"/>
                <w:highlight w:val="yellow"/>
              </w:rPr>
            </w:pPr>
            <w:r w:rsidRPr="006F6DAC">
              <w:rPr>
                <w:rFonts w:ascii="Garamond" w:hAnsi="Garamond"/>
                <w:sz w:val="22"/>
                <w:szCs w:val="22"/>
                <w:highlight w:val="yellow"/>
              </w:rPr>
              <w:t>Потомками элемента &lt;peretok&gt; являются элементы &lt;period&gt;. Элемент &lt;period&gt; аналогичен элементу &lt;period&gt; элемента &lt;deliverypoint&gt;.</w:t>
            </w:r>
          </w:p>
        </w:tc>
        <w:tc>
          <w:tcPr>
            <w:tcW w:w="7115" w:type="dxa"/>
          </w:tcPr>
          <w:p w14:paraId="5A73800C" w14:textId="77777777" w:rsidR="00F11A8B" w:rsidRPr="006F6DAC" w:rsidRDefault="00F11A8B" w:rsidP="00F11A8B">
            <w:pPr>
              <w:tabs>
                <w:tab w:val="left" w:pos="1080"/>
              </w:tabs>
              <w:spacing w:before="120" w:after="120"/>
              <w:jc w:val="both"/>
              <w:rPr>
                <w:rFonts w:ascii="Garamond" w:hAnsi="Garamond"/>
                <w:b/>
                <w:sz w:val="22"/>
                <w:szCs w:val="22"/>
                <w:lang w:eastAsia="en-US"/>
              </w:rPr>
            </w:pPr>
            <w:r w:rsidRPr="006F6DAC">
              <w:rPr>
                <w:rFonts w:ascii="Garamond" w:hAnsi="Garamond"/>
                <w:b/>
                <w:sz w:val="22"/>
                <w:szCs w:val="22"/>
                <w:lang w:eastAsia="en-US"/>
              </w:rPr>
              <w:lastRenderedPageBreak/>
              <w:t>Исключить пункт</w:t>
            </w:r>
          </w:p>
        </w:tc>
      </w:tr>
      <w:tr w:rsidR="00F11A8B" w:rsidRPr="006F6DAC" w14:paraId="1FFF4C60" w14:textId="77777777" w:rsidTr="006F6DAC">
        <w:tc>
          <w:tcPr>
            <w:tcW w:w="1060" w:type="dxa"/>
          </w:tcPr>
          <w:p w14:paraId="65ECA7B0" w14:textId="77777777" w:rsidR="00F11A8B" w:rsidRPr="006F6DAC" w:rsidRDefault="00F11A8B" w:rsidP="00F11A8B">
            <w:pPr>
              <w:widowControl w:val="0"/>
              <w:spacing w:line="259" w:lineRule="auto"/>
              <w:jc w:val="center"/>
              <w:rPr>
                <w:rFonts w:ascii="Garamond" w:hAnsi="Garamond"/>
                <w:b/>
                <w:sz w:val="22"/>
                <w:szCs w:val="22"/>
                <w:lang w:eastAsia="en-US"/>
              </w:rPr>
            </w:pPr>
            <w:r w:rsidRPr="006F6DAC">
              <w:rPr>
                <w:rFonts w:ascii="Garamond" w:hAnsi="Garamond"/>
                <w:b/>
                <w:sz w:val="22"/>
                <w:szCs w:val="22"/>
                <w:lang w:eastAsia="en-US"/>
              </w:rPr>
              <w:t>4.4</w:t>
            </w:r>
          </w:p>
        </w:tc>
        <w:tc>
          <w:tcPr>
            <w:tcW w:w="6804" w:type="dxa"/>
          </w:tcPr>
          <w:p w14:paraId="42EA06DE" w14:textId="77777777" w:rsidR="00F11A8B" w:rsidRPr="006F6DAC" w:rsidRDefault="00F11A8B" w:rsidP="00F11A8B">
            <w:pPr>
              <w:tabs>
                <w:tab w:val="left" w:pos="1080"/>
              </w:tabs>
              <w:spacing w:before="120" w:after="120"/>
              <w:jc w:val="both"/>
              <w:rPr>
                <w:rFonts w:ascii="Garamond" w:hAnsi="Garamond" w:cs="Arial"/>
                <w:sz w:val="22"/>
                <w:szCs w:val="22"/>
                <w:highlight w:val="yellow"/>
              </w:rPr>
            </w:pPr>
            <w:r w:rsidRPr="006F6DAC">
              <w:rPr>
                <w:rFonts w:ascii="Garamond" w:hAnsi="Garamond"/>
                <w:sz w:val="22"/>
                <w:szCs w:val="22"/>
              </w:rPr>
              <w:t xml:space="preserve">Описание структуры </w:t>
            </w:r>
            <w:r w:rsidRPr="006F6DAC">
              <w:rPr>
                <w:rFonts w:ascii="Garamond" w:hAnsi="Garamond"/>
                <w:sz w:val="22"/>
                <w:szCs w:val="22"/>
                <w:highlight w:val="yellow"/>
              </w:rPr>
              <w:t>входного</w:t>
            </w:r>
            <w:r w:rsidRPr="006F6DAC">
              <w:rPr>
                <w:rFonts w:ascii="Garamond" w:hAnsi="Garamond"/>
                <w:sz w:val="22"/>
                <w:szCs w:val="22"/>
              </w:rPr>
              <w:t xml:space="preserve"> документа (тип 80040)</w:t>
            </w:r>
            <w:r w:rsidRPr="00556626">
              <w:rPr>
                <w:rFonts w:ascii="Garamond" w:hAnsi="Garamond"/>
                <w:sz w:val="22"/>
                <w:szCs w:val="22"/>
                <w:highlight w:val="yellow"/>
              </w:rPr>
              <w:t>.</w:t>
            </w:r>
          </w:p>
        </w:tc>
        <w:tc>
          <w:tcPr>
            <w:tcW w:w="7115" w:type="dxa"/>
          </w:tcPr>
          <w:p w14:paraId="27165D20" w14:textId="34D3B8B5" w:rsidR="00F11A8B" w:rsidRPr="006F6DAC" w:rsidRDefault="00F11A8B" w:rsidP="00556626">
            <w:pPr>
              <w:tabs>
                <w:tab w:val="left" w:pos="1080"/>
              </w:tabs>
              <w:spacing w:before="120" w:after="120"/>
              <w:jc w:val="both"/>
              <w:rPr>
                <w:rFonts w:ascii="Garamond" w:hAnsi="Garamond"/>
                <w:sz w:val="22"/>
                <w:szCs w:val="22"/>
                <w:lang w:eastAsia="en-US"/>
              </w:rPr>
            </w:pPr>
            <w:r w:rsidRPr="006F6DAC">
              <w:rPr>
                <w:rFonts w:ascii="Garamond" w:hAnsi="Garamond"/>
                <w:bCs/>
                <w:sz w:val="22"/>
                <w:szCs w:val="22"/>
              </w:rPr>
              <w:t>Описание структуры документа (тип 80040)</w:t>
            </w:r>
          </w:p>
        </w:tc>
      </w:tr>
      <w:tr w:rsidR="00F11A8B" w:rsidRPr="006F6DAC" w14:paraId="3015B2BE" w14:textId="77777777" w:rsidTr="006F6DAC">
        <w:tc>
          <w:tcPr>
            <w:tcW w:w="1060" w:type="dxa"/>
          </w:tcPr>
          <w:p w14:paraId="2021B7BF" w14:textId="77777777" w:rsidR="00F11A8B" w:rsidRPr="006F6DAC" w:rsidRDefault="00F11A8B" w:rsidP="00F11A8B">
            <w:pPr>
              <w:widowControl w:val="0"/>
              <w:spacing w:line="259" w:lineRule="auto"/>
              <w:jc w:val="center"/>
              <w:rPr>
                <w:rFonts w:ascii="Garamond" w:hAnsi="Garamond"/>
                <w:b/>
                <w:sz w:val="22"/>
                <w:szCs w:val="22"/>
                <w:lang w:eastAsia="en-US"/>
              </w:rPr>
            </w:pPr>
            <w:r w:rsidRPr="006F6DAC">
              <w:rPr>
                <w:rFonts w:ascii="Garamond" w:hAnsi="Garamond"/>
                <w:b/>
                <w:sz w:val="22"/>
                <w:szCs w:val="22"/>
                <w:lang w:eastAsia="en-US"/>
              </w:rPr>
              <w:t>4.6</w:t>
            </w:r>
          </w:p>
        </w:tc>
        <w:tc>
          <w:tcPr>
            <w:tcW w:w="6804" w:type="dxa"/>
          </w:tcPr>
          <w:p w14:paraId="4892EF0E" w14:textId="77777777" w:rsidR="00F11A8B" w:rsidRPr="006F6DAC" w:rsidRDefault="00F11A8B" w:rsidP="00F11A8B">
            <w:pPr>
              <w:tabs>
                <w:tab w:val="left" w:pos="1080"/>
              </w:tabs>
              <w:spacing w:before="120" w:after="120"/>
              <w:jc w:val="both"/>
              <w:rPr>
                <w:rFonts w:ascii="Garamond" w:hAnsi="Garamond"/>
                <w:b/>
                <w:sz w:val="22"/>
                <w:szCs w:val="22"/>
              </w:rPr>
            </w:pPr>
            <w:r w:rsidRPr="006F6DAC">
              <w:rPr>
                <w:rFonts w:ascii="Garamond" w:hAnsi="Garamond"/>
                <w:b/>
                <w:sz w:val="22"/>
                <w:szCs w:val="22"/>
                <w:lang w:eastAsia="en-US"/>
              </w:rPr>
              <w:t>Добавить пункт</w:t>
            </w:r>
          </w:p>
        </w:tc>
        <w:tc>
          <w:tcPr>
            <w:tcW w:w="7115" w:type="dxa"/>
          </w:tcPr>
          <w:p w14:paraId="47E9CFAA" w14:textId="77777777" w:rsidR="00F11A8B" w:rsidRPr="006F6DAC" w:rsidRDefault="00F11A8B" w:rsidP="00F11A8B">
            <w:pPr>
              <w:pStyle w:val="a6"/>
              <w:tabs>
                <w:tab w:val="left" w:pos="1080"/>
              </w:tabs>
              <w:spacing w:before="120" w:after="120"/>
              <w:jc w:val="left"/>
              <w:rPr>
                <w:rFonts w:ascii="Garamond" w:hAnsi="Garamond"/>
                <w:bCs w:val="0"/>
                <w:color w:val="000000"/>
                <w:sz w:val="22"/>
                <w:szCs w:val="22"/>
                <w:highlight w:val="yellow"/>
              </w:rPr>
            </w:pPr>
            <w:r w:rsidRPr="006F6DAC">
              <w:rPr>
                <w:rFonts w:ascii="Garamond" w:hAnsi="Garamond"/>
                <w:bCs w:val="0"/>
                <w:color w:val="000000"/>
                <w:sz w:val="22"/>
                <w:szCs w:val="22"/>
                <w:highlight w:val="yellow"/>
              </w:rPr>
              <w:t xml:space="preserve">Описание структуры ответного сообщения (тип 20021) </w:t>
            </w:r>
          </w:p>
          <w:p w14:paraId="6FD095F4" w14:textId="77777777" w:rsidR="00F11A8B" w:rsidRPr="006F6DAC" w:rsidRDefault="00F11A8B" w:rsidP="00F11A8B">
            <w:pPr>
              <w:pStyle w:val="a6"/>
              <w:tabs>
                <w:tab w:val="left" w:pos="1440"/>
              </w:tabs>
              <w:spacing w:before="120" w:after="120"/>
              <w:jc w:val="both"/>
              <w:rPr>
                <w:rFonts w:ascii="Garamond" w:hAnsi="Garamond"/>
                <w:bCs w:val="0"/>
                <w:color w:val="000000"/>
                <w:sz w:val="22"/>
                <w:szCs w:val="22"/>
              </w:rPr>
            </w:pPr>
            <w:r w:rsidRPr="006F6DAC">
              <w:rPr>
                <w:rFonts w:ascii="Garamond" w:hAnsi="Garamond"/>
                <w:bCs w:val="0"/>
                <w:color w:val="000000"/>
                <w:sz w:val="22"/>
                <w:szCs w:val="22"/>
                <w:highlight w:val="yellow"/>
              </w:rPr>
              <w:t>Структура электронного документа типа 20021 идентична структуре электронного документа в формате 80021, исключение составляет значение атрибута class элемента &lt;message&gt;, содерж</w:t>
            </w:r>
            <w:r w:rsidRPr="006F6DAC">
              <w:rPr>
                <w:rFonts w:ascii="Garamond" w:hAnsi="Garamond"/>
                <w:color w:val="000000"/>
                <w:sz w:val="22"/>
                <w:szCs w:val="22"/>
                <w:highlight w:val="yellow"/>
              </w:rPr>
              <w:t>ащ</w:t>
            </w:r>
            <w:r w:rsidRPr="006F6DAC">
              <w:rPr>
                <w:rFonts w:ascii="Garamond" w:hAnsi="Garamond"/>
                <w:bCs w:val="0"/>
                <w:color w:val="000000"/>
                <w:sz w:val="22"/>
                <w:szCs w:val="22"/>
                <w:highlight w:val="yellow"/>
              </w:rPr>
              <w:t>его данные о типе электронного документа, которое должно быть равно 20021.</w:t>
            </w:r>
          </w:p>
        </w:tc>
      </w:tr>
      <w:tr w:rsidR="00F11A8B" w:rsidRPr="006F6DAC" w14:paraId="099D0DB5" w14:textId="77777777" w:rsidTr="006F6DAC">
        <w:tc>
          <w:tcPr>
            <w:tcW w:w="1060" w:type="dxa"/>
          </w:tcPr>
          <w:p w14:paraId="4B76FBAA" w14:textId="77777777" w:rsidR="00F11A8B" w:rsidRPr="006F6DAC" w:rsidRDefault="00F11A8B" w:rsidP="00F11A8B">
            <w:pPr>
              <w:widowControl w:val="0"/>
              <w:spacing w:line="259" w:lineRule="auto"/>
              <w:jc w:val="center"/>
              <w:rPr>
                <w:rFonts w:ascii="Garamond" w:hAnsi="Garamond"/>
                <w:b/>
                <w:sz w:val="22"/>
                <w:szCs w:val="22"/>
                <w:lang w:eastAsia="en-US"/>
              </w:rPr>
            </w:pPr>
            <w:r w:rsidRPr="006F6DAC">
              <w:rPr>
                <w:rFonts w:ascii="Garamond" w:hAnsi="Garamond"/>
                <w:b/>
                <w:sz w:val="22"/>
                <w:szCs w:val="22"/>
                <w:lang w:eastAsia="en-US"/>
              </w:rPr>
              <w:t>5.1.3</w:t>
            </w:r>
          </w:p>
        </w:tc>
        <w:tc>
          <w:tcPr>
            <w:tcW w:w="6804" w:type="dxa"/>
          </w:tcPr>
          <w:p w14:paraId="2EA17E07" w14:textId="212CDC33" w:rsidR="00F11A8B" w:rsidRPr="006F6DAC" w:rsidRDefault="00F11A8B" w:rsidP="00F11A8B">
            <w:pPr>
              <w:pStyle w:val="a6"/>
              <w:tabs>
                <w:tab w:val="left" w:pos="1080"/>
              </w:tabs>
              <w:suppressAutoHyphens w:val="0"/>
              <w:spacing w:before="120" w:after="120"/>
              <w:jc w:val="left"/>
              <w:rPr>
                <w:rFonts w:ascii="Garamond" w:hAnsi="Garamond"/>
                <w:bCs w:val="0"/>
                <w:color w:val="000000"/>
                <w:sz w:val="22"/>
                <w:szCs w:val="22"/>
              </w:rPr>
            </w:pPr>
            <w:r w:rsidRPr="006F6DAC">
              <w:rPr>
                <w:rFonts w:ascii="Garamond" w:hAnsi="Garamond"/>
                <w:bCs w:val="0"/>
                <w:color w:val="000000"/>
                <w:sz w:val="22"/>
                <w:szCs w:val="22"/>
              </w:rPr>
              <w:t>Имя файла, содержащего электронный документ, должно составляться в формате</w:t>
            </w:r>
            <w:r w:rsidR="007B726D">
              <w:rPr>
                <w:rFonts w:ascii="Garamond" w:hAnsi="Garamond"/>
                <w:bCs w:val="0"/>
                <w:color w:val="000000"/>
                <w:sz w:val="22"/>
                <w:szCs w:val="22"/>
              </w:rPr>
              <w:t xml:space="preserve"> </w:t>
            </w:r>
            <w:r w:rsidRPr="007B726D">
              <w:rPr>
                <w:rFonts w:ascii="Garamond" w:hAnsi="Garamond"/>
                <w:bCs w:val="0"/>
                <w:color w:val="000000"/>
                <w:sz w:val="22"/>
                <w:szCs w:val="22"/>
                <w:highlight w:val="yellow"/>
              </w:rPr>
              <w:t>“</w:t>
            </w:r>
            <w:r w:rsidRPr="006F6DAC">
              <w:rPr>
                <w:rFonts w:ascii="Garamond" w:hAnsi="Garamond"/>
                <w:bCs w:val="0"/>
                <w:color w:val="000000"/>
                <w:sz w:val="22"/>
                <w:szCs w:val="22"/>
              </w:rPr>
              <w:t>&lt;тип документа&gt;_&lt;ИНН&gt;_&lt;дата&gt;_&lt;номер документа&gt;_&lt;</w:t>
            </w:r>
            <w:r w:rsidRPr="006F6DAC">
              <w:rPr>
                <w:rFonts w:ascii="Garamond" w:hAnsi="Garamond"/>
                <w:bCs w:val="0"/>
                <w:color w:val="000000"/>
                <w:sz w:val="22"/>
                <w:szCs w:val="22"/>
                <w:highlight w:val="yellow"/>
              </w:rPr>
              <w:t>номер</w:t>
            </w:r>
            <w:r w:rsidRPr="006F6DAC">
              <w:rPr>
                <w:rFonts w:ascii="Garamond" w:hAnsi="Garamond"/>
                <w:bCs w:val="0"/>
                <w:color w:val="000000"/>
                <w:sz w:val="22"/>
                <w:szCs w:val="22"/>
              </w:rPr>
              <w:t xml:space="preserve"> АИИС&gt;</w:t>
            </w:r>
            <w:r w:rsidRPr="007B726D">
              <w:rPr>
                <w:rFonts w:ascii="Garamond" w:hAnsi="Garamond"/>
                <w:bCs w:val="0"/>
                <w:color w:val="000000"/>
                <w:sz w:val="22"/>
                <w:szCs w:val="22"/>
                <w:highlight w:val="yellow"/>
              </w:rPr>
              <w:t>”</w:t>
            </w:r>
            <w:r w:rsidRPr="006F6DAC">
              <w:rPr>
                <w:rFonts w:ascii="Garamond" w:hAnsi="Garamond"/>
                <w:bCs w:val="0"/>
                <w:color w:val="000000"/>
                <w:sz w:val="22"/>
                <w:szCs w:val="22"/>
              </w:rPr>
              <w:t>, где</w:t>
            </w:r>
          </w:p>
          <w:p w14:paraId="046CA126" w14:textId="77777777" w:rsidR="00F11A8B" w:rsidRPr="006F6DAC" w:rsidRDefault="00F11A8B" w:rsidP="00F11A8B">
            <w:pPr>
              <w:pStyle w:val="a8"/>
              <w:tabs>
                <w:tab w:val="clear" w:pos="8100"/>
                <w:tab w:val="num" w:pos="900"/>
                <w:tab w:val="left" w:pos="1440"/>
                <w:tab w:val="left" w:pos="1560"/>
              </w:tabs>
              <w:spacing w:before="120" w:after="120"/>
              <w:ind w:firstLine="540"/>
              <w:rPr>
                <w:rFonts w:ascii="Garamond" w:hAnsi="Garamond"/>
                <w:color w:val="000000"/>
                <w:spacing w:val="1"/>
                <w:sz w:val="22"/>
                <w:szCs w:val="22"/>
              </w:rPr>
            </w:pPr>
            <w:r w:rsidRPr="006F6DAC">
              <w:rPr>
                <w:rFonts w:ascii="Garamond" w:hAnsi="Garamond"/>
                <w:color w:val="000000"/>
                <w:spacing w:val="1"/>
                <w:sz w:val="22"/>
                <w:szCs w:val="22"/>
              </w:rPr>
              <w:t>– тип документа – номер, присвоенный КО данному типу документа;</w:t>
            </w:r>
          </w:p>
          <w:p w14:paraId="566ED0AC" w14:textId="77777777" w:rsidR="00F11A8B" w:rsidRPr="006F6DAC" w:rsidRDefault="00F11A8B" w:rsidP="00F11A8B">
            <w:pPr>
              <w:pStyle w:val="a8"/>
              <w:tabs>
                <w:tab w:val="clear" w:pos="8100"/>
                <w:tab w:val="num" w:pos="900"/>
                <w:tab w:val="left" w:pos="1440"/>
                <w:tab w:val="left" w:pos="1560"/>
              </w:tabs>
              <w:spacing w:before="120" w:after="120"/>
              <w:ind w:firstLine="540"/>
              <w:rPr>
                <w:rFonts w:ascii="Garamond" w:hAnsi="Garamond"/>
                <w:color w:val="000000"/>
                <w:spacing w:val="1"/>
                <w:sz w:val="22"/>
                <w:szCs w:val="22"/>
              </w:rPr>
            </w:pPr>
            <w:r w:rsidRPr="006F6DAC">
              <w:rPr>
                <w:rFonts w:ascii="Garamond" w:hAnsi="Garamond"/>
                <w:color w:val="000000"/>
                <w:spacing w:val="1"/>
                <w:sz w:val="22"/>
                <w:szCs w:val="22"/>
              </w:rPr>
              <w:t>– ИНН – ИНН организации, предоставляющей информацию, длина inn – 10 символов;</w:t>
            </w:r>
          </w:p>
          <w:p w14:paraId="74483438" w14:textId="77777777" w:rsidR="00F11A8B" w:rsidRPr="006F6DAC" w:rsidRDefault="00F11A8B" w:rsidP="00F11A8B">
            <w:pPr>
              <w:pStyle w:val="a8"/>
              <w:tabs>
                <w:tab w:val="clear" w:pos="8100"/>
                <w:tab w:val="num" w:pos="900"/>
                <w:tab w:val="left" w:pos="1440"/>
                <w:tab w:val="left" w:pos="1560"/>
              </w:tabs>
              <w:spacing w:before="120" w:after="120"/>
              <w:ind w:firstLine="540"/>
              <w:rPr>
                <w:rFonts w:ascii="Garamond" w:hAnsi="Garamond"/>
                <w:color w:val="000000"/>
                <w:spacing w:val="1"/>
                <w:sz w:val="22"/>
                <w:szCs w:val="22"/>
              </w:rPr>
            </w:pPr>
            <w:r w:rsidRPr="006F6DAC">
              <w:rPr>
                <w:rFonts w:ascii="Garamond" w:hAnsi="Garamond"/>
                <w:color w:val="000000"/>
                <w:spacing w:val="1"/>
                <w:sz w:val="22"/>
                <w:szCs w:val="22"/>
              </w:rPr>
              <w:t xml:space="preserve">– </w:t>
            </w:r>
            <w:r w:rsidRPr="006F6DAC">
              <w:rPr>
                <w:rFonts w:ascii="Garamond" w:hAnsi="Garamond"/>
                <w:bCs/>
                <w:color w:val="000000"/>
                <w:sz w:val="22"/>
                <w:szCs w:val="22"/>
              </w:rPr>
              <w:t>дата</w:t>
            </w:r>
            <w:r w:rsidRPr="006F6DAC">
              <w:rPr>
                <w:rFonts w:ascii="Garamond" w:hAnsi="Garamond"/>
                <w:color w:val="000000"/>
                <w:spacing w:val="1"/>
                <w:sz w:val="22"/>
                <w:szCs w:val="22"/>
              </w:rPr>
              <w:t xml:space="preserve"> – операционный период, за который предоставляется информация, в формате «ГГГГММ», где ГГГГ – год, ММ – порядковый номер месяца. Длина поля &lt;дата&gt; – 6 знаков; </w:t>
            </w:r>
          </w:p>
          <w:p w14:paraId="11082B1A" w14:textId="77777777" w:rsidR="00F11A8B" w:rsidRPr="006F6DAC" w:rsidRDefault="00F11A8B" w:rsidP="00F11A8B">
            <w:pPr>
              <w:pStyle w:val="a8"/>
              <w:tabs>
                <w:tab w:val="clear" w:pos="8100"/>
                <w:tab w:val="num" w:pos="900"/>
                <w:tab w:val="left" w:pos="1440"/>
                <w:tab w:val="left" w:pos="1560"/>
              </w:tabs>
              <w:spacing w:before="120" w:after="120"/>
              <w:ind w:firstLine="540"/>
              <w:rPr>
                <w:rFonts w:ascii="Garamond" w:hAnsi="Garamond"/>
                <w:color w:val="000000"/>
                <w:spacing w:val="1"/>
                <w:sz w:val="22"/>
                <w:szCs w:val="22"/>
              </w:rPr>
            </w:pPr>
            <w:r w:rsidRPr="006F6DAC">
              <w:rPr>
                <w:rFonts w:ascii="Garamond" w:hAnsi="Garamond"/>
                <w:color w:val="000000"/>
                <w:spacing w:val="1"/>
                <w:sz w:val="22"/>
                <w:szCs w:val="22"/>
              </w:rPr>
              <w:t xml:space="preserve">– номер документа – порядковый номер (идентификатор) документа. Номер должен содержать не более 7 цифр. Каждый вновь присылаемый файл, сформированный на определенный месяц, должен иметь номер документа, больший предыдущего, присланного на этот же месяц. При передаче файла на новый месяц нумерация документов может быть продолжена либо может начинаться заново; </w:t>
            </w:r>
          </w:p>
          <w:p w14:paraId="016A4783" w14:textId="77777777" w:rsidR="00F11A8B" w:rsidRPr="006F6DAC" w:rsidRDefault="00F11A8B" w:rsidP="00F11A8B">
            <w:pPr>
              <w:pStyle w:val="a8"/>
              <w:tabs>
                <w:tab w:val="clear" w:pos="8100"/>
                <w:tab w:val="num" w:pos="900"/>
                <w:tab w:val="left" w:pos="1440"/>
                <w:tab w:val="left" w:pos="1560"/>
              </w:tabs>
              <w:spacing w:before="120" w:after="120"/>
              <w:ind w:firstLine="540"/>
              <w:rPr>
                <w:rFonts w:ascii="Garamond" w:hAnsi="Garamond"/>
                <w:color w:val="000000"/>
                <w:spacing w:val="1"/>
                <w:sz w:val="22"/>
                <w:szCs w:val="22"/>
              </w:rPr>
            </w:pPr>
            <w:r w:rsidRPr="006F6DAC">
              <w:rPr>
                <w:rFonts w:ascii="Garamond" w:hAnsi="Garamond"/>
                <w:color w:val="000000"/>
                <w:spacing w:val="1"/>
                <w:sz w:val="22"/>
                <w:szCs w:val="22"/>
              </w:rPr>
              <w:lastRenderedPageBreak/>
              <w:t>– &lt;</w:t>
            </w:r>
            <w:r w:rsidRPr="006F6DAC">
              <w:rPr>
                <w:rFonts w:ascii="Garamond" w:hAnsi="Garamond"/>
                <w:color w:val="000000"/>
                <w:spacing w:val="1"/>
                <w:sz w:val="22"/>
                <w:szCs w:val="22"/>
                <w:highlight w:val="yellow"/>
              </w:rPr>
              <w:t>номер</w:t>
            </w:r>
            <w:r w:rsidRPr="006F6DAC">
              <w:rPr>
                <w:rFonts w:ascii="Garamond" w:hAnsi="Garamond"/>
                <w:color w:val="000000"/>
                <w:spacing w:val="1"/>
                <w:sz w:val="22"/>
                <w:szCs w:val="22"/>
              </w:rPr>
              <w:t xml:space="preserve"> АИИС&gt; – обязательный параметр, код, присваиваемый КО АИИС организации. Каждая область передаваемой информации (параметр &lt;area&gt;) должна соответствовать своей АИИС, указанной в имени файла. </w:t>
            </w:r>
          </w:p>
          <w:p w14:paraId="65460F81" w14:textId="77777777" w:rsidR="00F11A8B" w:rsidRPr="006F6DAC" w:rsidRDefault="00F11A8B" w:rsidP="00F11A8B">
            <w:pPr>
              <w:pStyle w:val="a6"/>
              <w:numPr>
                <w:ilvl w:val="0"/>
                <w:numId w:val="235"/>
              </w:numPr>
              <w:tabs>
                <w:tab w:val="left" w:pos="1080"/>
              </w:tabs>
              <w:suppressAutoHyphens w:val="0"/>
              <w:spacing w:before="120" w:after="120"/>
              <w:jc w:val="both"/>
              <w:rPr>
                <w:rFonts w:ascii="Garamond" w:hAnsi="Garamond"/>
                <w:sz w:val="22"/>
                <w:szCs w:val="22"/>
                <w:lang w:eastAsia="en-US"/>
              </w:rPr>
            </w:pPr>
            <w:r w:rsidRPr="006F6DAC">
              <w:rPr>
                <w:rFonts w:ascii="Garamond" w:hAnsi="Garamond"/>
                <w:bCs w:val="0"/>
                <w:color w:val="000000"/>
                <w:sz w:val="22"/>
                <w:szCs w:val="22"/>
              </w:rPr>
              <w:t>Расширение файла – xml.</w:t>
            </w:r>
          </w:p>
        </w:tc>
        <w:tc>
          <w:tcPr>
            <w:tcW w:w="7115" w:type="dxa"/>
          </w:tcPr>
          <w:p w14:paraId="4BCDBA6E" w14:textId="751D2056" w:rsidR="00F11A8B" w:rsidRPr="006F6DAC" w:rsidRDefault="00F11A8B" w:rsidP="00F11A8B">
            <w:pPr>
              <w:pStyle w:val="a6"/>
              <w:tabs>
                <w:tab w:val="left" w:pos="1080"/>
              </w:tabs>
              <w:suppressAutoHyphens w:val="0"/>
              <w:spacing w:before="120" w:after="120"/>
              <w:jc w:val="both"/>
              <w:rPr>
                <w:rFonts w:ascii="Garamond" w:hAnsi="Garamond"/>
                <w:bCs w:val="0"/>
                <w:color w:val="000000"/>
                <w:sz w:val="22"/>
                <w:szCs w:val="22"/>
              </w:rPr>
            </w:pPr>
            <w:r w:rsidRPr="006F6DAC">
              <w:rPr>
                <w:rFonts w:ascii="Garamond" w:hAnsi="Garamond"/>
                <w:bCs w:val="0"/>
                <w:color w:val="000000"/>
                <w:sz w:val="22"/>
                <w:szCs w:val="22"/>
              </w:rPr>
              <w:lastRenderedPageBreak/>
              <w:t xml:space="preserve">Имя файла, содержащего электронный документ, должно составляться в формате </w:t>
            </w:r>
            <w:r w:rsidR="007B726D" w:rsidRPr="007B726D">
              <w:rPr>
                <w:rFonts w:ascii="Garamond" w:hAnsi="Garamond"/>
                <w:bCs w:val="0"/>
                <w:color w:val="000000"/>
                <w:sz w:val="22"/>
                <w:szCs w:val="22"/>
                <w:highlight w:val="yellow"/>
              </w:rPr>
              <w:t>«</w:t>
            </w:r>
            <w:r w:rsidRPr="006F6DAC">
              <w:rPr>
                <w:rFonts w:ascii="Garamond" w:hAnsi="Garamond"/>
                <w:bCs w:val="0"/>
                <w:color w:val="000000"/>
                <w:sz w:val="22"/>
                <w:szCs w:val="22"/>
              </w:rPr>
              <w:t>&lt;тип документа&gt;_&lt;ИНН&gt;_&lt;дата&gt;_&lt;номер документа&gt;_&lt;</w:t>
            </w:r>
            <w:r w:rsidRPr="006F6DAC">
              <w:rPr>
                <w:rFonts w:ascii="Garamond" w:hAnsi="Garamond"/>
                <w:bCs w:val="0"/>
                <w:color w:val="000000"/>
                <w:sz w:val="22"/>
                <w:szCs w:val="22"/>
                <w:highlight w:val="yellow"/>
              </w:rPr>
              <w:t xml:space="preserve">код </w:t>
            </w:r>
            <w:r w:rsidRPr="006F6DAC">
              <w:rPr>
                <w:rFonts w:ascii="Garamond" w:hAnsi="Garamond"/>
                <w:bCs w:val="0"/>
                <w:color w:val="000000"/>
                <w:sz w:val="22"/>
                <w:szCs w:val="22"/>
              </w:rPr>
              <w:t>АИИС&gt;</w:t>
            </w:r>
            <w:r w:rsidR="007B726D" w:rsidRPr="007B726D">
              <w:rPr>
                <w:rFonts w:ascii="Garamond" w:hAnsi="Garamond"/>
                <w:bCs w:val="0"/>
                <w:color w:val="000000"/>
                <w:sz w:val="22"/>
                <w:szCs w:val="22"/>
                <w:highlight w:val="yellow"/>
              </w:rPr>
              <w:t>»</w:t>
            </w:r>
            <w:r w:rsidRPr="006F6DAC">
              <w:rPr>
                <w:rFonts w:ascii="Garamond" w:hAnsi="Garamond"/>
                <w:bCs w:val="0"/>
                <w:color w:val="000000"/>
                <w:sz w:val="22"/>
                <w:szCs w:val="22"/>
              </w:rPr>
              <w:t>, где</w:t>
            </w:r>
          </w:p>
          <w:p w14:paraId="2E75E8DA" w14:textId="77777777" w:rsidR="00F11A8B" w:rsidRPr="006F6DAC" w:rsidRDefault="00F11A8B" w:rsidP="00F11A8B">
            <w:pPr>
              <w:pStyle w:val="a8"/>
              <w:tabs>
                <w:tab w:val="clear" w:pos="8100"/>
                <w:tab w:val="num" w:pos="900"/>
                <w:tab w:val="left" w:pos="1440"/>
                <w:tab w:val="left" w:pos="1560"/>
              </w:tabs>
              <w:spacing w:before="120" w:after="120"/>
              <w:ind w:firstLine="540"/>
              <w:rPr>
                <w:rFonts w:ascii="Garamond" w:hAnsi="Garamond"/>
                <w:color w:val="000000"/>
                <w:spacing w:val="1"/>
                <w:sz w:val="22"/>
                <w:szCs w:val="22"/>
              </w:rPr>
            </w:pPr>
            <w:r w:rsidRPr="006F6DAC">
              <w:rPr>
                <w:rFonts w:ascii="Garamond" w:hAnsi="Garamond"/>
                <w:color w:val="000000"/>
                <w:spacing w:val="1"/>
                <w:sz w:val="22"/>
                <w:szCs w:val="22"/>
              </w:rPr>
              <w:t>– тип документа – номер, присвоенный КО данному типу документа;</w:t>
            </w:r>
          </w:p>
          <w:p w14:paraId="7C72B355" w14:textId="77777777" w:rsidR="00F11A8B" w:rsidRPr="006F6DAC" w:rsidRDefault="00F11A8B" w:rsidP="00F11A8B">
            <w:pPr>
              <w:pStyle w:val="a8"/>
              <w:tabs>
                <w:tab w:val="clear" w:pos="8100"/>
                <w:tab w:val="num" w:pos="900"/>
                <w:tab w:val="left" w:pos="1440"/>
                <w:tab w:val="left" w:pos="1560"/>
              </w:tabs>
              <w:spacing w:before="120" w:after="120"/>
              <w:ind w:firstLine="540"/>
              <w:rPr>
                <w:rFonts w:ascii="Garamond" w:hAnsi="Garamond"/>
                <w:color w:val="000000"/>
                <w:spacing w:val="1"/>
                <w:sz w:val="22"/>
                <w:szCs w:val="22"/>
              </w:rPr>
            </w:pPr>
            <w:r w:rsidRPr="006F6DAC">
              <w:rPr>
                <w:rFonts w:ascii="Garamond" w:hAnsi="Garamond"/>
                <w:color w:val="000000"/>
                <w:spacing w:val="1"/>
                <w:sz w:val="22"/>
                <w:szCs w:val="22"/>
              </w:rPr>
              <w:t>– ИНН – ИНН организации, предоставляющей информацию, длина inn – 10 символов;</w:t>
            </w:r>
          </w:p>
          <w:p w14:paraId="5756B04D" w14:textId="77777777" w:rsidR="00F11A8B" w:rsidRPr="006F6DAC" w:rsidRDefault="00F11A8B" w:rsidP="00F11A8B">
            <w:pPr>
              <w:pStyle w:val="a8"/>
              <w:tabs>
                <w:tab w:val="clear" w:pos="8100"/>
                <w:tab w:val="num" w:pos="900"/>
                <w:tab w:val="left" w:pos="1440"/>
                <w:tab w:val="left" w:pos="1560"/>
              </w:tabs>
              <w:spacing w:before="120" w:after="120"/>
              <w:ind w:firstLine="540"/>
              <w:rPr>
                <w:rFonts w:ascii="Garamond" w:hAnsi="Garamond"/>
                <w:color w:val="000000"/>
                <w:spacing w:val="1"/>
                <w:sz w:val="22"/>
                <w:szCs w:val="22"/>
              </w:rPr>
            </w:pPr>
            <w:r w:rsidRPr="006F6DAC">
              <w:rPr>
                <w:rFonts w:ascii="Garamond" w:hAnsi="Garamond"/>
                <w:color w:val="000000"/>
                <w:spacing w:val="1"/>
                <w:sz w:val="22"/>
                <w:szCs w:val="22"/>
              </w:rPr>
              <w:t xml:space="preserve">– </w:t>
            </w:r>
            <w:r w:rsidRPr="006F6DAC">
              <w:rPr>
                <w:rFonts w:ascii="Garamond" w:hAnsi="Garamond"/>
                <w:bCs/>
                <w:color w:val="000000"/>
                <w:sz w:val="22"/>
                <w:szCs w:val="22"/>
              </w:rPr>
              <w:t>дата</w:t>
            </w:r>
            <w:r w:rsidRPr="006F6DAC">
              <w:rPr>
                <w:rFonts w:ascii="Garamond" w:hAnsi="Garamond"/>
                <w:color w:val="000000"/>
                <w:spacing w:val="1"/>
                <w:sz w:val="22"/>
                <w:szCs w:val="22"/>
              </w:rPr>
              <w:t xml:space="preserve"> – операционный период, за который предоставляется информация, в формате «ГГГГММ», где ГГГГ – год, ММ – порядковый номер месяца. Длина поля &lt;дата&gt; – 6 знаков; </w:t>
            </w:r>
          </w:p>
          <w:p w14:paraId="33B64D85" w14:textId="77777777" w:rsidR="00F11A8B" w:rsidRPr="006F6DAC" w:rsidRDefault="00F11A8B" w:rsidP="00F11A8B">
            <w:pPr>
              <w:pStyle w:val="a8"/>
              <w:tabs>
                <w:tab w:val="clear" w:pos="8100"/>
                <w:tab w:val="num" w:pos="900"/>
                <w:tab w:val="left" w:pos="1440"/>
                <w:tab w:val="left" w:pos="1560"/>
              </w:tabs>
              <w:spacing w:before="120" w:after="120"/>
              <w:ind w:firstLine="540"/>
              <w:rPr>
                <w:rFonts w:ascii="Garamond" w:hAnsi="Garamond"/>
                <w:color w:val="000000"/>
                <w:spacing w:val="1"/>
                <w:sz w:val="22"/>
                <w:szCs w:val="22"/>
              </w:rPr>
            </w:pPr>
            <w:r w:rsidRPr="006F6DAC">
              <w:rPr>
                <w:rFonts w:ascii="Garamond" w:hAnsi="Garamond"/>
                <w:color w:val="000000"/>
                <w:spacing w:val="1"/>
                <w:sz w:val="22"/>
                <w:szCs w:val="22"/>
              </w:rPr>
              <w:t xml:space="preserve">– номер документа – порядковый номер (идентификатор) документа. Номер должен содержать не более 7 цифр. Каждый вновь присылаемый файл, сформированный на определенный месяц, должен иметь номер документа, больший предыдущего, присланного на этот же месяц. При передаче файла на новый месяц нумерация документов может быть продолжена либо может начинаться заново; </w:t>
            </w:r>
          </w:p>
          <w:p w14:paraId="73C8AF18" w14:textId="77777777" w:rsidR="00F11A8B" w:rsidRPr="006F6DAC" w:rsidRDefault="00F11A8B" w:rsidP="00F11A8B">
            <w:pPr>
              <w:pStyle w:val="a8"/>
              <w:tabs>
                <w:tab w:val="clear" w:pos="8100"/>
                <w:tab w:val="num" w:pos="900"/>
                <w:tab w:val="left" w:pos="1440"/>
                <w:tab w:val="left" w:pos="1560"/>
              </w:tabs>
              <w:spacing w:before="120" w:after="120"/>
              <w:ind w:firstLine="540"/>
              <w:rPr>
                <w:rFonts w:ascii="Garamond" w:hAnsi="Garamond"/>
                <w:color w:val="000000"/>
                <w:spacing w:val="1"/>
                <w:sz w:val="22"/>
                <w:szCs w:val="22"/>
              </w:rPr>
            </w:pPr>
            <w:r w:rsidRPr="006F6DAC">
              <w:rPr>
                <w:rFonts w:ascii="Garamond" w:hAnsi="Garamond"/>
                <w:color w:val="000000"/>
                <w:spacing w:val="1"/>
                <w:sz w:val="22"/>
                <w:szCs w:val="22"/>
              </w:rPr>
              <w:lastRenderedPageBreak/>
              <w:t>– &lt;</w:t>
            </w:r>
            <w:r w:rsidRPr="006F6DAC">
              <w:rPr>
                <w:rFonts w:ascii="Garamond" w:hAnsi="Garamond"/>
                <w:color w:val="000000"/>
                <w:spacing w:val="1"/>
                <w:sz w:val="22"/>
                <w:szCs w:val="22"/>
                <w:highlight w:val="yellow"/>
              </w:rPr>
              <w:t xml:space="preserve">код </w:t>
            </w:r>
            <w:r w:rsidRPr="006F6DAC">
              <w:rPr>
                <w:rFonts w:ascii="Garamond" w:hAnsi="Garamond"/>
                <w:color w:val="000000"/>
                <w:spacing w:val="1"/>
                <w:sz w:val="22"/>
                <w:szCs w:val="22"/>
              </w:rPr>
              <w:t xml:space="preserve">АИИС&gt; – обязательный параметр, код, присваиваемый КО АИИС организации. Каждая область передаваемой информации (параметр &lt;area&gt;) должна соответствовать своей АИИС, указанной в имени файла. </w:t>
            </w:r>
          </w:p>
          <w:p w14:paraId="74F22C5E" w14:textId="77777777" w:rsidR="00F11A8B" w:rsidRPr="006F6DAC" w:rsidRDefault="00F11A8B" w:rsidP="00F11A8B">
            <w:pPr>
              <w:pStyle w:val="a6"/>
              <w:tabs>
                <w:tab w:val="left" w:pos="1080"/>
              </w:tabs>
              <w:spacing w:before="120" w:after="120"/>
              <w:jc w:val="left"/>
              <w:rPr>
                <w:rFonts w:ascii="Garamond" w:hAnsi="Garamond"/>
                <w:bCs w:val="0"/>
                <w:color w:val="000000"/>
                <w:sz w:val="22"/>
                <w:szCs w:val="22"/>
                <w:highlight w:val="yellow"/>
              </w:rPr>
            </w:pPr>
            <w:r w:rsidRPr="006F6DAC">
              <w:rPr>
                <w:rFonts w:ascii="Garamond" w:hAnsi="Garamond"/>
                <w:bCs w:val="0"/>
                <w:color w:val="000000"/>
                <w:sz w:val="22"/>
                <w:szCs w:val="22"/>
              </w:rPr>
              <w:t>Расширение файла – xml.</w:t>
            </w:r>
          </w:p>
        </w:tc>
      </w:tr>
      <w:tr w:rsidR="00F11A8B" w:rsidRPr="006F6DAC" w14:paraId="7C8AA77F" w14:textId="77777777" w:rsidTr="006F6DAC">
        <w:tc>
          <w:tcPr>
            <w:tcW w:w="1060" w:type="dxa"/>
          </w:tcPr>
          <w:p w14:paraId="6923A075" w14:textId="77777777" w:rsidR="00F11A8B" w:rsidRPr="006F6DAC" w:rsidRDefault="00F11A8B" w:rsidP="00F11A8B">
            <w:pPr>
              <w:widowControl w:val="0"/>
              <w:spacing w:line="259" w:lineRule="auto"/>
              <w:jc w:val="center"/>
              <w:rPr>
                <w:rFonts w:ascii="Garamond" w:hAnsi="Garamond"/>
                <w:b/>
                <w:sz w:val="22"/>
                <w:szCs w:val="22"/>
                <w:lang w:eastAsia="en-US"/>
              </w:rPr>
            </w:pPr>
            <w:r w:rsidRPr="006F6DAC">
              <w:rPr>
                <w:rFonts w:ascii="Garamond" w:hAnsi="Garamond"/>
                <w:b/>
                <w:sz w:val="22"/>
                <w:szCs w:val="22"/>
                <w:lang w:eastAsia="en-US"/>
              </w:rPr>
              <w:lastRenderedPageBreak/>
              <w:t>5.2.12</w:t>
            </w:r>
          </w:p>
        </w:tc>
        <w:tc>
          <w:tcPr>
            <w:tcW w:w="6804" w:type="dxa"/>
          </w:tcPr>
          <w:p w14:paraId="16CFA231" w14:textId="77777777" w:rsidR="00F11A8B" w:rsidRPr="006F6DAC" w:rsidRDefault="00F11A8B" w:rsidP="00F11A8B">
            <w:pPr>
              <w:pStyle w:val="a6"/>
              <w:tabs>
                <w:tab w:val="left" w:pos="1080"/>
              </w:tabs>
              <w:suppressAutoHyphens w:val="0"/>
              <w:spacing w:before="120" w:after="120"/>
              <w:jc w:val="left"/>
              <w:rPr>
                <w:rFonts w:ascii="Garamond" w:hAnsi="Garamond"/>
                <w:bCs w:val="0"/>
                <w:color w:val="000000"/>
                <w:sz w:val="22"/>
                <w:szCs w:val="22"/>
              </w:rPr>
            </w:pPr>
            <w:r w:rsidRPr="006F6DAC">
              <w:rPr>
                <w:rFonts w:ascii="Garamond" w:hAnsi="Garamond"/>
                <w:bCs w:val="0"/>
                <w:color w:val="000000"/>
                <w:sz w:val="22"/>
                <w:szCs w:val="22"/>
              </w:rPr>
              <w:t>Элемент &lt;area&gt; содержит информацию о типовом суточном графике нагрузки. Потомками элемента &lt;</w:t>
            </w:r>
            <w:r w:rsidRPr="006F6DAC">
              <w:rPr>
                <w:rFonts w:ascii="Garamond" w:hAnsi="Garamond"/>
                <w:bCs w:val="0"/>
                <w:color w:val="000000"/>
                <w:sz w:val="22"/>
                <w:szCs w:val="22"/>
                <w:lang w:val="en-US"/>
              </w:rPr>
              <w:t>area</w:t>
            </w:r>
            <w:r w:rsidRPr="006F6DAC">
              <w:rPr>
                <w:rFonts w:ascii="Garamond" w:hAnsi="Garamond"/>
                <w:bCs w:val="0"/>
                <w:color w:val="000000"/>
                <w:sz w:val="22"/>
                <w:szCs w:val="22"/>
              </w:rPr>
              <w:t>&gt; могут являться элементы &lt;</w:t>
            </w:r>
            <w:r w:rsidRPr="006F6DAC">
              <w:rPr>
                <w:rFonts w:ascii="Garamond" w:hAnsi="Garamond"/>
                <w:bCs w:val="0"/>
                <w:color w:val="000000"/>
                <w:sz w:val="22"/>
                <w:szCs w:val="22"/>
                <w:lang w:val="en-US"/>
              </w:rPr>
              <w:t>inn</w:t>
            </w:r>
            <w:r w:rsidRPr="006F6DAC">
              <w:rPr>
                <w:rFonts w:ascii="Garamond" w:hAnsi="Garamond"/>
                <w:bCs w:val="0"/>
                <w:color w:val="000000"/>
                <w:sz w:val="22"/>
                <w:szCs w:val="22"/>
              </w:rPr>
              <w:t>&gt;, &lt;</w:t>
            </w:r>
            <w:r w:rsidRPr="006F6DAC">
              <w:rPr>
                <w:rFonts w:ascii="Garamond" w:hAnsi="Garamond"/>
                <w:bCs w:val="0"/>
                <w:color w:val="000000"/>
                <w:sz w:val="22"/>
                <w:szCs w:val="22"/>
                <w:lang w:val="en-US"/>
              </w:rPr>
              <w:t>name</w:t>
            </w:r>
            <w:r w:rsidRPr="006F6DAC">
              <w:rPr>
                <w:rFonts w:ascii="Garamond" w:hAnsi="Garamond"/>
                <w:bCs w:val="0"/>
                <w:color w:val="000000"/>
                <w:sz w:val="22"/>
                <w:szCs w:val="22"/>
              </w:rPr>
              <w:t>&gt;, &lt;</w:t>
            </w:r>
            <w:r w:rsidRPr="006F6DAC">
              <w:rPr>
                <w:rFonts w:ascii="Garamond" w:hAnsi="Garamond"/>
                <w:bCs w:val="0"/>
                <w:color w:val="000000"/>
                <w:sz w:val="22"/>
                <w:szCs w:val="22"/>
                <w:lang w:val="en-US"/>
              </w:rPr>
              <w:t>measuringpoint</w:t>
            </w:r>
            <w:r w:rsidRPr="006F6DAC">
              <w:rPr>
                <w:rFonts w:ascii="Garamond" w:hAnsi="Garamond"/>
                <w:bCs w:val="0"/>
                <w:color w:val="000000"/>
                <w:sz w:val="22"/>
                <w:szCs w:val="22"/>
              </w:rPr>
              <w:t xml:space="preserve">&gt;. </w:t>
            </w:r>
            <w:r w:rsidRPr="006F6DAC">
              <w:rPr>
                <w:rFonts w:ascii="Garamond" w:hAnsi="Garamond"/>
                <w:color w:val="000000"/>
                <w:sz w:val="22"/>
                <w:szCs w:val="22"/>
              </w:rPr>
              <w:t xml:space="preserve">Значением элемента </w:t>
            </w:r>
            <w:r w:rsidRPr="006F6DAC">
              <w:rPr>
                <w:rFonts w:ascii="Garamond" w:hAnsi="Garamond"/>
                <w:bCs w:val="0"/>
                <w:color w:val="000000"/>
                <w:sz w:val="22"/>
                <w:szCs w:val="22"/>
              </w:rPr>
              <w:t>&lt;</w:t>
            </w:r>
            <w:r w:rsidRPr="006F6DAC">
              <w:rPr>
                <w:rFonts w:ascii="Garamond" w:hAnsi="Garamond"/>
                <w:color w:val="000000"/>
                <w:sz w:val="22"/>
                <w:szCs w:val="22"/>
                <w:lang w:val="en-US"/>
              </w:rPr>
              <w:t>inn</w:t>
            </w:r>
            <w:r w:rsidRPr="006F6DAC">
              <w:rPr>
                <w:rFonts w:ascii="Garamond" w:hAnsi="Garamond"/>
                <w:bCs w:val="0"/>
                <w:color w:val="000000"/>
                <w:sz w:val="22"/>
                <w:szCs w:val="22"/>
              </w:rPr>
              <w:t>&gt;</w:t>
            </w:r>
            <w:r w:rsidRPr="006F6DAC">
              <w:rPr>
                <w:rFonts w:ascii="Garamond" w:hAnsi="Garamond"/>
                <w:color w:val="000000"/>
                <w:sz w:val="22"/>
                <w:szCs w:val="22"/>
              </w:rPr>
              <w:t xml:space="preserve"> является 10-значный идентификатор, предоставляемый КО. Для формата 80050 данный идентификатор соответствует идентификатору </w:t>
            </w:r>
            <w:r w:rsidRPr="006F6DAC">
              <w:rPr>
                <w:rFonts w:ascii="Garamond" w:hAnsi="Garamond"/>
                <w:bCs w:val="0"/>
                <w:color w:val="000000"/>
                <w:sz w:val="22"/>
                <w:szCs w:val="22"/>
              </w:rPr>
              <w:t>&lt;</w:t>
            </w:r>
            <w:r w:rsidRPr="006F6DAC">
              <w:rPr>
                <w:rFonts w:ascii="Garamond" w:hAnsi="Garamond"/>
                <w:bCs w:val="0"/>
                <w:color w:val="000000"/>
                <w:sz w:val="22"/>
                <w:szCs w:val="22"/>
                <w:lang w:val="en-US"/>
              </w:rPr>
              <w:t>area</w:t>
            </w:r>
            <w:r w:rsidRPr="006F6DAC">
              <w:rPr>
                <w:rFonts w:ascii="Garamond" w:hAnsi="Garamond"/>
                <w:bCs w:val="0"/>
                <w:color w:val="000000"/>
                <w:sz w:val="22"/>
                <w:szCs w:val="22"/>
              </w:rPr>
              <w:t>&gt; формата 80040, в которой передаются значения измерительных каналов соответствующих точек измерени</w:t>
            </w:r>
            <w:r w:rsidRPr="006F6DAC">
              <w:rPr>
                <w:rFonts w:ascii="Garamond" w:hAnsi="Garamond"/>
                <w:bCs w:val="0"/>
                <w:color w:val="000000"/>
                <w:sz w:val="22"/>
                <w:szCs w:val="22"/>
                <w:highlight w:val="yellow"/>
              </w:rPr>
              <w:t>я</w:t>
            </w:r>
            <w:r w:rsidRPr="006F6DAC">
              <w:rPr>
                <w:rFonts w:ascii="Garamond" w:hAnsi="Garamond"/>
                <w:color w:val="000000"/>
                <w:sz w:val="22"/>
                <w:szCs w:val="22"/>
              </w:rPr>
              <w:t xml:space="preserve">. </w:t>
            </w:r>
            <w:r w:rsidRPr="006F6DAC">
              <w:rPr>
                <w:rFonts w:ascii="Garamond" w:hAnsi="Garamond"/>
                <w:bCs w:val="0"/>
                <w:sz w:val="22"/>
                <w:szCs w:val="22"/>
              </w:rPr>
              <w:t>В документе допускается наличие только одного элемента &lt;area&gt;.</w:t>
            </w:r>
          </w:p>
        </w:tc>
        <w:tc>
          <w:tcPr>
            <w:tcW w:w="7115" w:type="dxa"/>
          </w:tcPr>
          <w:p w14:paraId="368DE4AE" w14:textId="77777777" w:rsidR="00F11A8B" w:rsidRPr="006F6DAC" w:rsidRDefault="00F11A8B" w:rsidP="00F11A8B">
            <w:pPr>
              <w:pStyle w:val="a6"/>
              <w:tabs>
                <w:tab w:val="left" w:pos="1080"/>
              </w:tabs>
              <w:suppressAutoHyphens w:val="0"/>
              <w:spacing w:before="120" w:after="120"/>
              <w:jc w:val="both"/>
              <w:rPr>
                <w:rFonts w:ascii="Garamond" w:hAnsi="Garamond"/>
                <w:bCs w:val="0"/>
                <w:color w:val="000000"/>
                <w:sz w:val="22"/>
                <w:szCs w:val="22"/>
              </w:rPr>
            </w:pPr>
            <w:r w:rsidRPr="006F6DAC">
              <w:rPr>
                <w:rFonts w:ascii="Garamond" w:hAnsi="Garamond"/>
                <w:bCs w:val="0"/>
                <w:color w:val="000000"/>
                <w:sz w:val="22"/>
                <w:szCs w:val="22"/>
              </w:rPr>
              <w:t>Элемент &lt;area&gt; содержит информацию о типовом суточном графике нагрузки. Потомками элемента &lt;</w:t>
            </w:r>
            <w:r w:rsidRPr="006F6DAC">
              <w:rPr>
                <w:rFonts w:ascii="Garamond" w:hAnsi="Garamond"/>
                <w:bCs w:val="0"/>
                <w:color w:val="000000"/>
                <w:sz w:val="22"/>
                <w:szCs w:val="22"/>
                <w:lang w:val="en-US"/>
              </w:rPr>
              <w:t>area</w:t>
            </w:r>
            <w:r w:rsidRPr="006F6DAC">
              <w:rPr>
                <w:rFonts w:ascii="Garamond" w:hAnsi="Garamond"/>
                <w:bCs w:val="0"/>
                <w:color w:val="000000"/>
                <w:sz w:val="22"/>
                <w:szCs w:val="22"/>
              </w:rPr>
              <w:t>&gt; могут являться элементы &lt;</w:t>
            </w:r>
            <w:r w:rsidRPr="006F6DAC">
              <w:rPr>
                <w:rFonts w:ascii="Garamond" w:hAnsi="Garamond"/>
                <w:bCs w:val="0"/>
                <w:color w:val="000000"/>
                <w:sz w:val="22"/>
                <w:szCs w:val="22"/>
                <w:lang w:val="en-US"/>
              </w:rPr>
              <w:t>inn</w:t>
            </w:r>
            <w:r w:rsidRPr="006F6DAC">
              <w:rPr>
                <w:rFonts w:ascii="Garamond" w:hAnsi="Garamond"/>
                <w:bCs w:val="0"/>
                <w:color w:val="000000"/>
                <w:sz w:val="22"/>
                <w:szCs w:val="22"/>
              </w:rPr>
              <w:t>&gt;, &lt;</w:t>
            </w:r>
            <w:r w:rsidRPr="006F6DAC">
              <w:rPr>
                <w:rFonts w:ascii="Garamond" w:hAnsi="Garamond"/>
                <w:bCs w:val="0"/>
                <w:color w:val="000000"/>
                <w:sz w:val="22"/>
                <w:szCs w:val="22"/>
                <w:lang w:val="en-US"/>
              </w:rPr>
              <w:t>name</w:t>
            </w:r>
            <w:r w:rsidRPr="006F6DAC">
              <w:rPr>
                <w:rFonts w:ascii="Garamond" w:hAnsi="Garamond"/>
                <w:bCs w:val="0"/>
                <w:color w:val="000000"/>
                <w:sz w:val="22"/>
                <w:szCs w:val="22"/>
              </w:rPr>
              <w:t>&gt;, &lt;</w:t>
            </w:r>
            <w:r w:rsidRPr="006F6DAC">
              <w:rPr>
                <w:rFonts w:ascii="Garamond" w:hAnsi="Garamond"/>
                <w:bCs w:val="0"/>
                <w:color w:val="000000"/>
                <w:sz w:val="22"/>
                <w:szCs w:val="22"/>
                <w:lang w:val="en-US"/>
              </w:rPr>
              <w:t>measuringpoint</w:t>
            </w:r>
            <w:r w:rsidRPr="006F6DAC">
              <w:rPr>
                <w:rFonts w:ascii="Garamond" w:hAnsi="Garamond"/>
                <w:bCs w:val="0"/>
                <w:color w:val="000000"/>
                <w:sz w:val="22"/>
                <w:szCs w:val="22"/>
              </w:rPr>
              <w:t xml:space="preserve">&gt;. </w:t>
            </w:r>
            <w:r w:rsidRPr="006F6DAC">
              <w:rPr>
                <w:rFonts w:ascii="Garamond" w:hAnsi="Garamond"/>
                <w:color w:val="000000"/>
                <w:sz w:val="22"/>
                <w:szCs w:val="22"/>
              </w:rPr>
              <w:t xml:space="preserve">Значением элемента </w:t>
            </w:r>
            <w:r w:rsidRPr="006F6DAC">
              <w:rPr>
                <w:rFonts w:ascii="Garamond" w:hAnsi="Garamond"/>
                <w:bCs w:val="0"/>
                <w:color w:val="000000"/>
                <w:sz w:val="22"/>
                <w:szCs w:val="22"/>
              </w:rPr>
              <w:t>&lt;</w:t>
            </w:r>
            <w:r w:rsidRPr="006F6DAC">
              <w:rPr>
                <w:rFonts w:ascii="Garamond" w:hAnsi="Garamond"/>
                <w:color w:val="000000"/>
                <w:sz w:val="22"/>
                <w:szCs w:val="22"/>
                <w:lang w:val="en-US"/>
              </w:rPr>
              <w:t>inn</w:t>
            </w:r>
            <w:r w:rsidRPr="006F6DAC">
              <w:rPr>
                <w:rFonts w:ascii="Garamond" w:hAnsi="Garamond"/>
                <w:bCs w:val="0"/>
                <w:color w:val="000000"/>
                <w:sz w:val="22"/>
                <w:szCs w:val="22"/>
              </w:rPr>
              <w:t>&gt;</w:t>
            </w:r>
            <w:r w:rsidRPr="006F6DAC">
              <w:rPr>
                <w:rFonts w:ascii="Garamond" w:hAnsi="Garamond"/>
                <w:color w:val="000000"/>
                <w:sz w:val="22"/>
                <w:szCs w:val="22"/>
              </w:rPr>
              <w:t xml:space="preserve"> является 10-значный идентификатор, предоставляемый КО. Для формата 80050 данный идентификатор соответствует идентификатору </w:t>
            </w:r>
            <w:r w:rsidRPr="006F6DAC">
              <w:rPr>
                <w:rFonts w:ascii="Garamond" w:hAnsi="Garamond"/>
                <w:bCs w:val="0"/>
                <w:color w:val="000000"/>
                <w:sz w:val="22"/>
                <w:szCs w:val="22"/>
              </w:rPr>
              <w:t>&lt;</w:t>
            </w:r>
            <w:r w:rsidRPr="006F6DAC">
              <w:rPr>
                <w:rFonts w:ascii="Garamond" w:hAnsi="Garamond"/>
                <w:bCs w:val="0"/>
                <w:color w:val="000000"/>
                <w:sz w:val="22"/>
                <w:szCs w:val="22"/>
                <w:lang w:val="en-US"/>
              </w:rPr>
              <w:t>area</w:t>
            </w:r>
            <w:r w:rsidRPr="006F6DAC">
              <w:rPr>
                <w:rFonts w:ascii="Garamond" w:hAnsi="Garamond"/>
                <w:bCs w:val="0"/>
                <w:color w:val="000000"/>
                <w:sz w:val="22"/>
                <w:szCs w:val="22"/>
              </w:rPr>
              <w:t>&gt; формата 80040, в которой передаются значения измерительных каналов соответствующих точек измерени</w:t>
            </w:r>
            <w:r w:rsidRPr="006F6DAC">
              <w:rPr>
                <w:rFonts w:ascii="Garamond" w:hAnsi="Garamond"/>
                <w:bCs w:val="0"/>
                <w:color w:val="000000"/>
                <w:sz w:val="22"/>
                <w:szCs w:val="22"/>
                <w:highlight w:val="yellow"/>
              </w:rPr>
              <w:t>й</w:t>
            </w:r>
            <w:r w:rsidRPr="006F6DAC">
              <w:rPr>
                <w:rFonts w:ascii="Garamond" w:hAnsi="Garamond"/>
                <w:color w:val="000000"/>
                <w:sz w:val="22"/>
                <w:szCs w:val="22"/>
              </w:rPr>
              <w:t xml:space="preserve">. </w:t>
            </w:r>
            <w:r w:rsidRPr="006F6DAC">
              <w:rPr>
                <w:rFonts w:ascii="Garamond" w:hAnsi="Garamond"/>
                <w:bCs w:val="0"/>
                <w:sz w:val="22"/>
                <w:szCs w:val="22"/>
              </w:rPr>
              <w:t>В документе допускается наличие только одного элемента &lt;area&gt;.</w:t>
            </w:r>
          </w:p>
        </w:tc>
      </w:tr>
      <w:tr w:rsidR="00F11A8B" w:rsidRPr="006F6DAC" w14:paraId="7A4C6525" w14:textId="77777777" w:rsidTr="006F6DAC">
        <w:tc>
          <w:tcPr>
            <w:tcW w:w="1060" w:type="dxa"/>
          </w:tcPr>
          <w:p w14:paraId="6E48AD7E" w14:textId="77777777" w:rsidR="00F11A8B" w:rsidRPr="006F6DAC" w:rsidRDefault="00F11A8B" w:rsidP="00F11A8B">
            <w:pPr>
              <w:widowControl w:val="0"/>
              <w:spacing w:line="259" w:lineRule="auto"/>
              <w:jc w:val="center"/>
              <w:rPr>
                <w:rFonts w:ascii="Garamond" w:hAnsi="Garamond"/>
                <w:b/>
                <w:sz w:val="22"/>
                <w:szCs w:val="22"/>
                <w:lang w:eastAsia="en-US"/>
              </w:rPr>
            </w:pPr>
            <w:r w:rsidRPr="006F6DAC">
              <w:rPr>
                <w:rFonts w:ascii="Garamond" w:hAnsi="Garamond"/>
                <w:b/>
                <w:sz w:val="22"/>
                <w:szCs w:val="22"/>
                <w:lang w:eastAsia="en-US"/>
              </w:rPr>
              <w:t>5.2.15</w:t>
            </w:r>
          </w:p>
        </w:tc>
        <w:tc>
          <w:tcPr>
            <w:tcW w:w="6804" w:type="dxa"/>
          </w:tcPr>
          <w:p w14:paraId="7534AC70" w14:textId="77777777" w:rsidR="00F11A8B" w:rsidRPr="006F6DAC" w:rsidRDefault="00F11A8B" w:rsidP="00F11A8B">
            <w:pPr>
              <w:pStyle w:val="a6"/>
              <w:tabs>
                <w:tab w:val="left" w:pos="1260"/>
              </w:tabs>
              <w:suppressAutoHyphens w:val="0"/>
              <w:spacing w:before="120" w:after="120"/>
              <w:jc w:val="both"/>
              <w:rPr>
                <w:rFonts w:ascii="Garamond" w:hAnsi="Garamond"/>
                <w:b/>
                <w:bCs w:val="0"/>
                <w:color w:val="000000"/>
                <w:sz w:val="22"/>
                <w:szCs w:val="22"/>
              </w:rPr>
            </w:pPr>
            <w:r w:rsidRPr="006F6DAC">
              <w:rPr>
                <w:rFonts w:ascii="Garamond" w:hAnsi="Garamond"/>
                <w:bCs w:val="0"/>
                <w:color w:val="000000"/>
                <w:sz w:val="22"/>
                <w:szCs w:val="22"/>
              </w:rPr>
              <w:t>Элемент &lt;</w:t>
            </w:r>
            <w:r w:rsidRPr="006F6DAC">
              <w:rPr>
                <w:rFonts w:ascii="Garamond" w:hAnsi="Garamond"/>
                <w:bCs w:val="0"/>
                <w:color w:val="000000"/>
                <w:sz w:val="22"/>
                <w:szCs w:val="22"/>
                <w:lang w:val="en-US"/>
              </w:rPr>
              <w:t>m</w:t>
            </w:r>
            <w:r w:rsidRPr="006F6DAC">
              <w:rPr>
                <w:rFonts w:ascii="Garamond" w:hAnsi="Garamond"/>
                <w:bCs w:val="0"/>
                <w:color w:val="000000"/>
                <w:sz w:val="22"/>
                <w:szCs w:val="22"/>
              </w:rPr>
              <w:t>easuring</w:t>
            </w:r>
            <w:r w:rsidRPr="006F6DAC">
              <w:rPr>
                <w:rFonts w:ascii="Garamond" w:hAnsi="Garamond"/>
                <w:bCs w:val="0"/>
                <w:color w:val="000000"/>
                <w:sz w:val="22"/>
                <w:szCs w:val="22"/>
                <w:lang w:val="en-US"/>
              </w:rPr>
              <w:t>p</w:t>
            </w:r>
            <w:r w:rsidRPr="006F6DAC">
              <w:rPr>
                <w:rFonts w:ascii="Garamond" w:hAnsi="Garamond"/>
                <w:bCs w:val="0"/>
                <w:color w:val="000000"/>
                <w:sz w:val="22"/>
                <w:szCs w:val="22"/>
              </w:rPr>
              <w:t>oint&gt; содержит сведения о точке измерени</w:t>
            </w:r>
            <w:r w:rsidRPr="006F6DAC">
              <w:rPr>
                <w:rFonts w:ascii="Garamond" w:hAnsi="Garamond"/>
                <w:bCs w:val="0"/>
                <w:color w:val="000000"/>
                <w:sz w:val="22"/>
                <w:szCs w:val="22"/>
                <w:highlight w:val="yellow"/>
              </w:rPr>
              <w:t>я/</w:t>
            </w:r>
            <w:r w:rsidRPr="006F6DAC">
              <w:rPr>
                <w:rFonts w:ascii="Garamond" w:hAnsi="Garamond"/>
                <w:bCs w:val="0"/>
                <w:sz w:val="22"/>
                <w:szCs w:val="22"/>
                <w:highlight w:val="yellow"/>
              </w:rPr>
              <w:t>совокупности «малых» точек измерения</w:t>
            </w:r>
            <w:r w:rsidRPr="006F6DAC">
              <w:rPr>
                <w:rFonts w:ascii="Garamond" w:hAnsi="Garamond"/>
                <w:bCs w:val="0"/>
                <w:color w:val="000000"/>
                <w:sz w:val="22"/>
                <w:szCs w:val="22"/>
              </w:rPr>
              <w:t xml:space="preserve"> и типовом суточном графике нагрузки по ней. Атрибутами элемента &lt;</w:t>
            </w:r>
            <w:r w:rsidRPr="006F6DAC">
              <w:rPr>
                <w:rFonts w:ascii="Garamond" w:hAnsi="Garamond"/>
                <w:bCs w:val="0"/>
                <w:color w:val="000000"/>
                <w:sz w:val="22"/>
                <w:szCs w:val="22"/>
                <w:lang w:val="en-US"/>
              </w:rPr>
              <w:t>m</w:t>
            </w:r>
            <w:r w:rsidRPr="006F6DAC">
              <w:rPr>
                <w:rFonts w:ascii="Garamond" w:hAnsi="Garamond"/>
                <w:bCs w:val="0"/>
                <w:color w:val="000000"/>
                <w:sz w:val="22"/>
                <w:szCs w:val="22"/>
              </w:rPr>
              <w:t>easuring</w:t>
            </w:r>
            <w:r w:rsidRPr="006F6DAC">
              <w:rPr>
                <w:rFonts w:ascii="Garamond" w:hAnsi="Garamond"/>
                <w:bCs w:val="0"/>
                <w:color w:val="000000"/>
                <w:sz w:val="22"/>
                <w:szCs w:val="22"/>
                <w:lang w:val="en-US"/>
              </w:rPr>
              <w:t>p</w:t>
            </w:r>
            <w:r w:rsidRPr="006F6DAC">
              <w:rPr>
                <w:rFonts w:ascii="Garamond" w:hAnsi="Garamond"/>
                <w:bCs w:val="0"/>
                <w:color w:val="000000"/>
                <w:sz w:val="22"/>
                <w:szCs w:val="22"/>
              </w:rPr>
              <w:t>oint&gt; являются code, name. Потомками элемента &lt;</w:t>
            </w:r>
            <w:r w:rsidRPr="006F6DAC">
              <w:rPr>
                <w:rFonts w:ascii="Garamond" w:hAnsi="Garamond"/>
                <w:bCs w:val="0"/>
                <w:color w:val="000000"/>
                <w:sz w:val="22"/>
                <w:szCs w:val="22"/>
                <w:lang w:val="en-US"/>
              </w:rPr>
              <w:t>m</w:t>
            </w:r>
            <w:r w:rsidRPr="006F6DAC">
              <w:rPr>
                <w:rFonts w:ascii="Garamond" w:hAnsi="Garamond"/>
                <w:bCs w:val="0"/>
                <w:color w:val="000000"/>
                <w:sz w:val="22"/>
                <w:szCs w:val="22"/>
              </w:rPr>
              <w:t>easuring</w:t>
            </w:r>
            <w:r w:rsidRPr="006F6DAC">
              <w:rPr>
                <w:rFonts w:ascii="Garamond" w:hAnsi="Garamond"/>
                <w:bCs w:val="0"/>
                <w:color w:val="000000"/>
                <w:sz w:val="22"/>
                <w:szCs w:val="22"/>
                <w:lang w:val="en-US"/>
              </w:rPr>
              <w:t>p</w:t>
            </w:r>
            <w:r w:rsidRPr="006F6DAC">
              <w:rPr>
                <w:rFonts w:ascii="Garamond" w:hAnsi="Garamond"/>
                <w:bCs w:val="0"/>
                <w:color w:val="000000"/>
                <w:sz w:val="22"/>
                <w:szCs w:val="22"/>
              </w:rPr>
              <w:t>oint&gt; являются элементы &lt;</w:t>
            </w:r>
            <w:r w:rsidRPr="006F6DAC">
              <w:rPr>
                <w:rFonts w:ascii="Garamond" w:hAnsi="Garamond"/>
                <w:bCs w:val="0"/>
                <w:color w:val="000000"/>
                <w:sz w:val="22"/>
                <w:szCs w:val="22"/>
                <w:lang w:val="en-US"/>
              </w:rPr>
              <w:t>m</w:t>
            </w:r>
            <w:r w:rsidRPr="006F6DAC">
              <w:rPr>
                <w:rFonts w:ascii="Garamond" w:hAnsi="Garamond"/>
                <w:bCs w:val="0"/>
                <w:color w:val="000000"/>
                <w:sz w:val="22"/>
                <w:szCs w:val="22"/>
              </w:rPr>
              <w:t>easuring</w:t>
            </w:r>
            <w:r w:rsidRPr="006F6DAC">
              <w:rPr>
                <w:rFonts w:ascii="Garamond" w:hAnsi="Garamond"/>
                <w:bCs w:val="0"/>
                <w:color w:val="000000"/>
                <w:sz w:val="22"/>
                <w:szCs w:val="22"/>
                <w:lang w:val="en-US"/>
              </w:rPr>
              <w:t>c</w:t>
            </w:r>
            <w:r w:rsidRPr="006F6DAC">
              <w:rPr>
                <w:rFonts w:ascii="Garamond" w:hAnsi="Garamond"/>
                <w:bCs w:val="0"/>
                <w:color w:val="000000"/>
                <w:sz w:val="22"/>
                <w:szCs w:val="22"/>
              </w:rPr>
              <w:t>hannel&gt;.</w:t>
            </w:r>
          </w:p>
          <w:p w14:paraId="00C833A9" w14:textId="77777777" w:rsidR="00F11A8B" w:rsidRPr="006F6DAC" w:rsidRDefault="00F11A8B" w:rsidP="00F11A8B">
            <w:pPr>
              <w:pStyle w:val="a8"/>
              <w:tabs>
                <w:tab w:val="left" w:pos="1260"/>
                <w:tab w:val="num" w:pos="1790"/>
              </w:tabs>
              <w:spacing w:before="120" w:after="120"/>
              <w:ind w:firstLine="540"/>
              <w:rPr>
                <w:rFonts w:ascii="Garamond" w:hAnsi="Garamond"/>
                <w:color w:val="000000"/>
                <w:spacing w:val="1"/>
                <w:sz w:val="22"/>
                <w:szCs w:val="22"/>
              </w:rPr>
            </w:pPr>
            <w:r w:rsidRPr="006F6DAC">
              <w:rPr>
                <w:rFonts w:ascii="Garamond" w:hAnsi="Garamond"/>
                <w:color w:val="000000"/>
                <w:spacing w:val="1"/>
                <w:sz w:val="22"/>
                <w:szCs w:val="22"/>
              </w:rPr>
              <w:t xml:space="preserve">– </w:t>
            </w:r>
            <w:r w:rsidRPr="006F6DAC">
              <w:rPr>
                <w:rFonts w:ascii="Garamond" w:hAnsi="Garamond"/>
                <w:bCs/>
                <w:color w:val="000000"/>
                <w:sz w:val="22"/>
                <w:szCs w:val="22"/>
              </w:rPr>
              <w:t>с</w:t>
            </w:r>
            <w:r w:rsidRPr="006F6DAC">
              <w:rPr>
                <w:rFonts w:ascii="Garamond" w:hAnsi="Garamond"/>
                <w:color w:val="000000"/>
                <w:spacing w:val="1"/>
                <w:sz w:val="22"/>
                <w:szCs w:val="22"/>
              </w:rPr>
              <w:t>одержимым атрибута name элемента &lt;</w:t>
            </w:r>
            <w:r w:rsidRPr="006F6DAC">
              <w:rPr>
                <w:rFonts w:ascii="Garamond" w:hAnsi="Garamond"/>
                <w:color w:val="000000"/>
                <w:spacing w:val="1"/>
                <w:sz w:val="22"/>
                <w:szCs w:val="22"/>
                <w:lang w:val="en-US"/>
              </w:rPr>
              <w:t>m</w:t>
            </w:r>
            <w:r w:rsidRPr="006F6DAC">
              <w:rPr>
                <w:rFonts w:ascii="Garamond" w:hAnsi="Garamond"/>
                <w:color w:val="000000"/>
                <w:spacing w:val="1"/>
                <w:sz w:val="22"/>
                <w:szCs w:val="22"/>
              </w:rPr>
              <w:t>easuring</w:t>
            </w:r>
            <w:r w:rsidRPr="006F6DAC">
              <w:rPr>
                <w:rFonts w:ascii="Garamond" w:hAnsi="Garamond"/>
                <w:color w:val="000000"/>
                <w:spacing w:val="1"/>
                <w:sz w:val="22"/>
                <w:szCs w:val="22"/>
                <w:lang w:val="en-US"/>
              </w:rPr>
              <w:t>p</w:t>
            </w:r>
            <w:r w:rsidRPr="006F6DAC">
              <w:rPr>
                <w:rFonts w:ascii="Garamond" w:hAnsi="Garamond"/>
                <w:color w:val="000000"/>
                <w:spacing w:val="1"/>
                <w:sz w:val="22"/>
                <w:szCs w:val="22"/>
              </w:rPr>
              <w:t>oint&gt; является наименование данной точки измерени</w:t>
            </w:r>
            <w:r w:rsidRPr="006F6DAC">
              <w:rPr>
                <w:rFonts w:ascii="Garamond" w:hAnsi="Garamond"/>
                <w:color w:val="000000"/>
                <w:spacing w:val="1"/>
                <w:sz w:val="22"/>
                <w:szCs w:val="22"/>
                <w:highlight w:val="yellow"/>
              </w:rPr>
              <w:t>я</w:t>
            </w:r>
            <w:r w:rsidRPr="006F6DAC">
              <w:rPr>
                <w:rFonts w:ascii="Garamond" w:hAnsi="Garamond"/>
                <w:bCs/>
                <w:color w:val="000000"/>
                <w:sz w:val="22"/>
                <w:szCs w:val="22"/>
                <w:highlight w:val="yellow"/>
              </w:rPr>
              <w:t>/</w:t>
            </w:r>
            <w:r w:rsidRPr="006F6DAC">
              <w:rPr>
                <w:rFonts w:ascii="Garamond" w:hAnsi="Garamond"/>
                <w:bCs/>
                <w:sz w:val="22"/>
                <w:szCs w:val="22"/>
                <w:highlight w:val="yellow"/>
              </w:rPr>
              <w:t>совокупности «малых» точек измерения</w:t>
            </w:r>
            <w:r w:rsidRPr="006F6DAC">
              <w:rPr>
                <w:rFonts w:ascii="Garamond" w:hAnsi="Garamond"/>
                <w:bCs/>
                <w:color w:val="000000"/>
                <w:sz w:val="22"/>
                <w:szCs w:val="22"/>
                <w:highlight w:val="yellow"/>
              </w:rPr>
              <w:t>/</w:t>
            </w:r>
            <w:r w:rsidRPr="006F6DAC">
              <w:rPr>
                <w:rFonts w:ascii="Garamond" w:hAnsi="Garamond"/>
                <w:bCs/>
                <w:sz w:val="22"/>
                <w:szCs w:val="22"/>
                <w:highlight w:val="yellow"/>
              </w:rPr>
              <w:t>совокупности «малых» точек измерения</w:t>
            </w:r>
            <w:r w:rsidRPr="006F6DAC">
              <w:rPr>
                <w:rFonts w:ascii="Garamond" w:hAnsi="Garamond"/>
                <w:color w:val="000000"/>
                <w:spacing w:val="1"/>
                <w:sz w:val="22"/>
                <w:szCs w:val="22"/>
              </w:rPr>
              <w:t xml:space="preserve">. Длина наименования до 250 символов. </w:t>
            </w:r>
          </w:p>
          <w:p w14:paraId="1B728E53" w14:textId="77777777" w:rsidR="00F11A8B" w:rsidRPr="006F6DAC" w:rsidRDefault="00F11A8B" w:rsidP="00F11A8B">
            <w:pPr>
              <w:pStyle w:val="a6"/>
              <w:tabs>
                <w:tab w:val="left" w:pos="1080"/>
              </w:tabs>
              <w:suppressAutoHyphens w:val="0"/>
              <w:spacing w:before="120" w:after="120"/>
              <w:jc w:val="left"/>
              <w:rPr>
                <w:rFonts w:ascii="Garamond" w:hAnsi="Garamond"/>
                <w:bCs w:val="0"/>
                <w:color w:val="000000"/>
                <w:sz w:val="22"/>
                <w:szCs w:val="22"/>
              </w:rPr>
            </w:pPr>
            <w:r w:rsidRPr="006F6DAC">
              <w:rPr>
                <w:rFonts w:ascii="Garamond" w:hAnsi="Garamond"/>
                <w:color w:val="000000"/>
                <w:spacing w:val="1"/>
                <w:sz w:val="22"/>
                <w:szCs w:val="22"/>
              </w:rPr>
              <w:t>– атрибут code элемента &lt;</w:t>
            </w:r>
            <w:r w:rsidRPr="006F6DAC">
              <w:rPr>
                <w:rFonts w:ascii="Garamond" w:hAnsi="Garamond"/>
                <w:color w:val="000000"/>
                <w:spacing w:val="1"/>
                <w:sz w:val="22"/>
                <w:szCs w:val="22"/>
                <w:lang w:val="en-US"/>
              </w:rPr>
              <w:t>m</w:t>
            </w:r>
            <w:r w:rsidRPr="006F6DAC">
              <w:rPr>
                <w:rFonts w:ascii="Garamond" w:hAnsi="Garamond"/>
                <w:color w:val="000000"/>
                <w:spacing w:val="1"/>
                <w:sz w:val="22"/>
                <w:szCs w:val="22"/>
              </w:rPr>
              <w:t>easuring</w:t>
            </w:r>
            <w:r w:rsidRPr="006F6DAC">
              <w:rPr>
                <w:rFonts w:ascii="Garamond" w:hAnsi="Garamond"/>
                <w:color w:val="000000"/>
                <w:spacing w:val="1"/>
                <w:sz w:val="22"/>
                <w:szCs w:val="22"/>
                <w:lang w:val="en-US"/>
              </w:rPr>
              <w:t>p</w:t>
            </w:r>
            <w:r w:rsidRPr="006F6DAC">
              <w:rPr>
                <w:rFonts w:ascii="Garamond" w:hAnsi="Garamond"/>
                <w:color w:val="000000"/>
                <w:spacing w:val="1"/>
                <w:sz w:val="22"/>
                <w:szCs w:val="22"/>
              </w:rPr>
              <w:t>oint&gt; содержит уникальный код, присвоенный КО данной точке измерени</w:t>
            </w:r>
            <w:r w:rsidRPr="006F6DAC">
              <w:rPr>
                <w:rFonts w:ascii="Garamond" w:hAnsi="Garamond"/>
                <w:color w:val="000000"/>
                <w:spacing w:val="1"/>
                <w:sz w:val="22"/>
                <w:szCs w:val="22"/>
                <w:highlight w:val="yellow"/>
              </w:rPr>
              <w:t>я</w:t>
            </w:r>
            <w:r w:rsidRPr="006F6DAC">
              <w:rPr>
                <w:rFonts w:ascii="Garamond" w:hAnsi="Garamond"/>
                <w:bCs w:val="0"/>
                <w:color w:val="000000"/>
                <w:sz w:val="22"/>
                <w:szCs w:val="22"/>
                <w:highlight w:val="yellow"/>
              </w:rPr>
              <w:t>/</w:t>
            </w:r>
            <w:r w:rsidRPr="006F6DAC">
              <w:rPr>
                <w:rFonts w:ascii="Garamond" w:hAnsi="Garamond"/>
                <w:bCs w:val="0"/>
                <w:sz w:val="22"/>
                <w:szCs w:val="22"/>
                <w:highlight w:val="yellow"/>
              </w:rPr>
              <w:t>совокупности «малых» точек измерения</w:t>
            </w:r>
            <w:r w:rsidRPr="006F6DAC">
              <w:rPr>
                <w:rFonts w:ascii="Garamond" w:hAnsi="Garamond"/>
                <w:color w:val="000000"/>
                <w:spacing w:val="1"/>
                <w:sz w:val="22"/>
                <w:szCs w:val="22"/>
              </w:rPr>
              <w:t>.</w:t>
            </w:r>
          </w:p>
        </w:tc>
        <w:tc>
          <w:tcPr>
            <w:tcW w:w="7115" w:type="dxa"/>
          </w:tcPr>
          <w:p w14:paraId="14CAB4E9" w14:textId="77777777" w:rsidR="00F11A8B" w:rsidRPr="006F6DAC" w:rsidRDefault="00F11A8B" w:rsidP="00F11A8B">
            <w:pPr>
              <w:pStyle w:val="a6"/>
              <w:tabs>
                <w:tab w:val="left" w:pos="1260"/>
              </w:tabs>
              <w:suppressAutoHyphens w:val="0"/>
              <w:spacing w:before="120" w:after="120"/>
              <w:jc w:val="both"/>
              <w:rPr>
                <w:rFonts w:ascii="Garamond" w:hAnsi="Garamond"/>
                <w:bCs w:val="0"/>
                <w:color w:val="000000"/>
                <w:sz w:val="22"/>
                <w:szCs w:val="22"/>
              </w:rPr>
            </w:pPr>
            <w:r w:rsidRPr="006F6DAC">
              <w:rPr>
                <w:rFonts w:ascii="Garamond" w:hAnsi="Garamond"/>
                <w:bCs w:val="0"/>
                <w:color w:val="000000"/>
                <w:sz w:val="22"/>
                <w:szCs w:val="22"/>
              </w:rPr>
              <w:t>Элемент &lt;</w:t>
            </w:r>
            <w:r w:rsidRPr="006F6DAC">
              <w:rPr>
                <w:rFonts w:ascii="Garamond" w:hAnsi="Garamond"/>
                <w:bCs w:val="0"/>
                <w:color w:val="000000"/>
                <w:sz w:val="22"/>
                <w:szCs w:val="22"/>
                <w:lang w:val="en-US"/>
              </w:rPr>
              <w:t>m</w:t>
            </w:r>
            <w:r w:rsidRPr="006F6DAC">
              <w:rPr>
                <w:rFonts w:ascii="Garamond" w:hAnsi="Garamond"/>
                <w:bCs w:val="0"/>
                <w:color w:val="000000"/>
                <w:sz w:val="22"/>
                <w:szCs w:val="22"/>
              </w:rPr>
              <w:t>easuring</w:t>
            </w:r>
            <w:r w:rsidRPr="006F6DAC">
              <w:rPr>
                <w:rFonts w:ascii="Garamond" w:hAnsi="Garamond"/>
                <w:bCs w:val="0"/>
                <w:color w:val="000000"/>
                <w:sz w:val="22"/>
                <w:szCs w:val="22"/>
                <w:lang w:val="en-US"/>
              </w:rPr>
              <w:t>p</w:t>
            </w:r>
            <w:r w:rsidRPr="006F6DAC">
              <w:rPr>
                <w:rFonts w:ascii="Garamond" w:hAnsi="Garamond"/>
                <w:bCs w:val="0"/>
                <w:color w:val="000000"/>
                <w:sz w:val="22"/>
                <w:szCs w:val="22"/>
              </w:rPr>
              <w:t>oint&gt; содержит сведения о точке измерени</w:t>
            </w:r>
            <w:r w:rsidRPr="006F6DAC">
              <w:rPr>
                <w:rFonts w:ascii="Garamond" w:hAnsi="Garamond"/>
                <w:bCs w:val="0"/>
                <w:color w:val="000000"/>
                <w:sz w:val="22"/>
                <w:szCs w:val="22"/>
                <w:highlight w:val="yellow"/>
              </w:rPr>
              <w:t>й</w:t>
            </w:r>
            <w:r w:rsidRPr="006F6DAC">
              <w:rPr>
                <w:rFonts w:ascii="Garamond" w:hAnsi="Garamond"/>
                <w:bCs w:val="0"/>
                <w:color w:val="000000"/>
                <w:sz w:val="22"/>
                <w:szCs w:val="22"/>
              </w:rPr>
              <w:t xml:space="preserve"> и типовом суточном графике нагрузки по ней. Атрибутами элемента &lt;</w:t>
            </w:r>
            <w:r w:rsidRPr="006F6DAC">
              <w:rPr>
                <w:rFonts w:ascii="Garamond" w:hAnsi="Garamond"/>
                <w:bCs w:val="0"/>
                <w:color w:val="000000"/>
                <w:sz w:val="22"/>
                <w:szCs w:val="22"/>
                <w:lang w:val="en-US"/>
              </w:rPr>
              <w:t>m</w:t>
            </w:r>
            <w:r w:rsidRPr="006F6DAC">
              <w:rPr>
                <w:rFonts w:ascii="Garamond" w:hAnsi="Garamond"/>
                <w:bCs w:val="0"/>
                <w:color w:val="000000"/>
                <w:sz w:val="22"/>
                <w:szCs w:val="22"/>
              </w:rPr>
              <w:t>easuring</w:t>
            </w:r>
            <w:r w:rsidRPr="006F6DAC">
              <w:rPr>
                <w:rFonts w:ascii="Garamond" w:hAnsi="Garamond"/>
                <w:bCs w:val="0"/>
                <w:color w:val="000000"/>
                <w:sz w:val="22"/>
                <w:szCs w:val="22"/>
                <w:lang w:val="en-US"/>
              </w:rPr>
              <w:t>p</w:t>
            </w:r>
            <w:r w:rsidRPr="006F6DAC">
              <w:rPr>
                <w:rFonts w:ascii="Garamond" w:hAnsi="Garamond"/>
                <w:bCs w:val="0"/>
                <w:color w:val="000000"/>
                <w:sz w:val="22"/>
                <w:szCs w:val="22"/>
              </w:rPr>
              <w:t>oint&gt; являются code, name. Потомками элемента &lt;</w:t>
            </w:r>
            <w:r w:rsidRPr="006F6DAC">
              <w:rPr>
                <w:rFonts w:ascii="Garamond" w:hAnsi="Garamond"/>
                <w:bCs w:val="0"/>
                <w:color w:val="000000"/>
                <w:sz w:val="22"/>
                <w:szCs w:val="22"/>
                <w:lang w:val="en-US"/>
              </w:rPr>
              <w:t>m</w:t>
            </w:r>
            <w:r w:rsidRPr="006F6DAC">
              <w:rPr>
                <w:rFonts w:ascii="Garamond" w:hAnsi="Garamond"/>
                <w:bCs w:val="0"/>
                <w:color w:val="000000"/>
                <w:sz w:val="22"/>
                <w:szCs w:val="22"/>
              </w:rPr>
              <w:t>easuring</w:t>
            </w:r>
            <w:r w:rsidRPr="006F6DAC">
              <w:rPr>
                <w:rFonts w:ascii="Garamond" w:hAnsi="Garamond"/>
                <w:bCs w:val="0"/>
                <w:color w:val="000000"/>
                <w:sz w:val="22"/>
                <w:szCs w:val="22"/>
                <w:lang w:val="en-US"/>
              </w:rPr>
              <w:t>p</w:t>
            </w:r>
            <w:r w:rsidRPr="006F6DAC">
              <w:rPr>
                <w:rFonts w:ascii="Garamond" w:hAnsi="Garamond"/>
                <w:bCs w:val="0"/>
                <w:color w:val="000000"/>
                <w:sz w:val="22"/>
                <w:szCs w:val="22"/>
              </w:rPr>
              <w:t>oint&gt; являются элементы &lt;</w:t>
            </w:r>
            <w:r w:rsidRPr="006F6DAC">
              <w:rPr>
                <w:rFonts w:ascii="Garamond" w:hAnsi="Garamond"/>
                <w:bCs w:val="0"/>
                <w:color w:val="000000"/>
                <w:sz w:val="22"/>
                <w:szCs w:val="22"/>
                <w:lang w:val="en-US"/>
              </w:rPr>
              <w:t>m</w:t>
            </w:r>
            <w:r w:rsidRPr="006F6DAC">
              <w:rPr>
                <w:rFonts w:ascii="Garamond" w:hAnsi="Garamond"/>
                <w:bCs w:val="0"/>
                <w:color w:val="000000"/>
                <w:sz w:val="22"/>
                <w:szCs w:val="22"/>
              </w:rPr>
              <w:t>easuring</w:t>
            </w:r>
            <w:r w:rsidRPr="006F6DAC">
              <w:rPr>
                <w:rFonts w:ascii="Garamond" w:hAnsi="Garamond"/>
                <w:bCs w:val="0"/>
                <w:color w:val="000000"/>
                <w:sz w:val="22"/>
                <w:szCs w:val="22"/>
                <w:lang w:val="en-US"/>
              </w:rPr>
              <w:t>c</w:t>
            </w:r>
            <w:r w:rsidRPr="006F6DAC">
              <w:rPr>
                <w:rFonts w:ascii="Garamond" w:hAnsi="Garamond"/>
                <w:bCs w:val="0"/>
                <w:color w:val="000000"/>
                <w:sz w:val="22"/>
                <w:szCs w:val="22"/>
              </w:rPr>
              <w:t>hannel&gt;.</w:t>
            </w:r>
          </w:p>
          <w:p w14:paraId="3F8B1ACF" w14:textId="77777777" w:rsidR="00F11A8B" w:rsidRPr="006F6DAC" w:rsidRDefault="00F11A8B" w:rsidP="00F11A8B">
            <w:pPr>
              <w:pStyle w:val="a8"/>
              <w:tabs>
                <w:tab w:val="left" w:pos="1260"/>
                <w:tab w:val="num" w:pos="1790"/>
              </w:tabs>
              <w:spacing w:before="120" w:after="120"/>
              <w:ind w:firstLine="540"/>
              <w:rPr>
                <w:rFonts w:ascii="Garamond" w:hAnsi="Garamond"/>
                <w:color w:val="000000"/>
                <w:spacing w:val="1"/>
                <w:sz w:val="22"/>
                <w:szCs w:val="22"/>
              </w:rPr>
            </w:pPr>
            <w:r w:rsidRPr="006F6DAC">
              <w:rPr>
                <w:rFonts w:ascii="Garamond" w:hAnsi="Garamond"/>
                <w:color w:val="000000"/>
                <w:spacing w:val="1"/>
                <w:sz w:val="22"/>
                <w:szCs w:val="22"/>
              </w:rPr>
              <w:t xml:space="preserve">– </w:t>
            </w:r>
            <w:r w:rsidRPr="006F6DAC">
              <w:rPr>
                <w:rFonts w:ascii="Garamond" w:hAnsi="Garamond"/>
                <w:bCs/>
                <w:color w:val="000000"/>
                <w:sz w:val="22"/>
                <w:szCs w:val="22"/>
              </w:rPr>
              <w:t>с</w:t>
            </w:r>
            <w:r w:rsidRPr="006F6DAC">
              <w:rPr>
                <w:rFonts w:ascii="Garamond" w:hAnsi="Garamond"/>
                <w:color w:val="000000"/>
                <w:spacing w:val="1"/>
                <w:sz w:val="22"/>
                <w:szCs w:val="22"/>
              </w:rPr>
              <w:t>одержимым атрибута name элемента &lt;</w:t>
            </w:r>
            <w:r w:rsidRPr="006F6DAC">
              <w:rPr>
                <w:rFonts w:ascii="Garamond" w:hAnsi="Garamond"/>
                <w:color w:val="000000"/>
                <w:spacing w:val="1"/>
                <w:sz w:val="22"/>
                <w:szCs w:val="22"/>
                <w:lang w:val="en-US"/>
              </w:rPr>
              <w:t>m</w:t>
            </w:r>
            <w:r w:rsidRPr="006F6DAC">
              <w:rPr>
                <w:rFonts w:ascii="Garamond" w:hAnsi="Garamond"/>
                <w:color w:val="000000"/>
                <w:spacing w:val="1"/>
                <w:sz w:val="22"/>
                <w:szCs w:val="22"/>
              </w:rPr>
              <w:t>easuring</w:t>
            </w:r>
            <w:r w:rsidRPr="006F6DAC">
              <w:rPr>
                <w:rFonts w:ascii="Garamond" w:hAnsi="Garamond"/>
                <w:color w:val="000000"/>
                <w:spacing w:val="1"/>
                <w:sz w:val="22"/>
                <w:szCs w:val="22"/>
                <w:lang w:val="en-US"/>
              </w:rPr>
              <w:t>p</w:t>
            </w:r>
            <w:r w:rsidRPr="006F6DAC">
              <w:rPr>
                <w:rFonts w:ascii="Garamond" w:hAnsi="Garamond"/>
                <w:color w:val="000000"/>
                <w:spacing w:val="1"/>
                <w:sz w:val="22"/>
                <w:szCs w:val="22"/>
              </w:rPr>
              <w:t>oint&gt; является наименование данной точки измерени</w:t>
            </w:r>
            <w:r w:rsidRPr="006F6DAC">
              <w:rPr>
                <w:rFonts w:ascii="Garamond" w:hAnsi="Garamond"/>
                <w:color w:val="000000"/>
                <w:spacing w:val="1"/>
                <w:sz w:val="22"/>
                <w:szCs w:val="22"/>
                <w:highlight w:val="yellow"/>
              </w:rPr>
              <w:t>й</w:t>
            </w:r>
            <w:r w:rsidRPr="006F6DAC">
              <w:rPr>
                <w:rFonts w:ascii="Garamond" w:hAnsi="Garamond"/>
                <w:color w:val="000000"/>
                <w:spacing w:val="1"/>
                <w:sz w:val="22"/>
                <w:szCs w:val="22"/>
              </w:rPr>
              <w:t xml:space="preserve">. Длина наименования до 250 символов. </w:t>
            </w:r>
          </w:p>
          <w:p w14:paraId="56905652" w14:textId="77777777" w:rsidR="00F11A8B" w:rsidRPr="006F6DAC" w:rsidRDefault="00F11A8B" w:rsidP="00F11A8B">
            <w:pPr>
              <w:pStyle w:val="a6"/>
              <w:tabs>
                <w:tab w:val="left" w:pos="1080"/>
              </w:tabs>
              <w:suppressAutoHyphens w:val="0"/>
              <w:spacing w:before="120" w:after="120"/>
              <w:jc w:val="both"/>
              <w:rPr>
                <w:rFonts w:ascii="Garamond" w:hAnsi="Garamond"/>
                <w:bCs w:val="0"/>
                <w:color w:val="000000"/>
                <w:sz w:val="22"/>
                <w:szCs w:val="22"/>
              </w:rPr>
            </w:pPr>
            <w:r w:rsidRPr="006F6DAC">
              <w:rPr>
                <w:rFonts w:ascii="Garamond" w:hAnsi="Garamond"/>
                <w:color w:val="000000"/>
                <w:spacing w:val="1"/>
                <w:sz w:val="22"/>
                <w:szCs w:val="22"/>
              </w:rPr>
              <w:t>– атрибут code элемента &lt;</w:t>
            </w:r>
            <w:r w:rsidRPr="006F6DAC">
              <w:rPr>
                <w:rFonts w:ascii="Garamond" w:hAnsi="Garamond"/>
                <w:color w:val="000000"/>
                <w:spacing w:val="1"/>
                <w:sz w:val="22"/>
                <w:szCs w:val="22"/>
                <w:lang w:val="en-US"/>
              </w:rPr>
              <w:t>m</w:t>
            </w:r>
            <w:r w:rsidRPr="006F6DAC">
              <w:rPr>
                <w:rFonts w:ascii="Garamond" w:hAnsi="Garamond"/>
                <w:color w:val="000000"/>
                <w:spacing w:val="1"/>
                <w:sz w:val="22"/>
                <w:szCs w:val="22"/>
              </w:rPr>
              <w:t>easuring</w:t>
            </w:r>
            <w:r w:rsidRPr="006F6DAC">
              <w:rPr>
                <w:rFonts w:ascii="Garamond" w:hAnsi="Garamond"/>
                <w:color w:val="000000"/>
                <w:spacing w:val="1"/>
                <w:sz w:val="22"/>
                <w:szCs w:val="22"/>
                <w:lang w:val="en-US"/>
              </w:rPr>
              <w:t>p</w:t>
            </w:r>
            <w:r w:rsidRPr="006F6DAC">
              <w:rPr>
                <w:rFonts w:ascii="Garamond" w:hAnsi="Garamond"/>
                <w:color w:val="000000"/>
                <w:spacing w:val="1"/>
                <w:sz w:val="22"/>
                <w:szCs w:val="22"/>
              </w:rPr>
              <w:t>oint&gt; содержит уникальный код, присвоенный КО данной точке измерени</w:t>
            </w:r>
            <w:r w:rsidRPr="006F6DAC">
              <w:rPr>
                <w:rFonts w:ascii="Garamond" w:hAnsi="Garamond"/>
                <w:color w:val="000000"/>
                <w:spacing w:val="1"/>
                <w:sz w:val="22"/>
                <w:szCs w:val="22"/>
                <w:highlight w:val="yellow"/>
              </w:rPr>
              <w:t>й</w:t>
            </w:r>
            <w:r w:rsidRPr="006F6DAC">
              <w:rPr>
                <w:rFonts w:ascii="Garamond" w:hAnsi="Garamond"/>
                <w:color w:val="000000"/>
                <w:spacing w:val="1"/>
                <w:sz w:val="22"/>
                <w:szCs w:val="22"/>
              </w:rPr>
              <w:t>.</w:t>
            </w:r>
          </w:p>
        </w:tc>
      </w:tr>
      <w:tr w:rsidR="00F11A8B" w:rsidRPr="006F6DAC" w14:paraId="0B1CC71E" w14:textId="77777777" w:rsidTr="006F6DAC">
        <w:tc>
          <w:tcPr>
            <w:tcW w:w="1060" w:type="dxa"/>
          </w:tcPr>
          <w:p w14:paraId="5FD14915" w14:textId="77777777" w:rsidR="00F11A8B" w:rsidRPr="006F6DAC" w:rsidRDefault="00F11A8B" w:rsidP="00F11A8B">
            <w:pPr>
              <w:widowControl w:val="0"/>
              <w:spacing w:line="259" w:lineRule="auto"/>
              <w:jc w:val="center"/>
              <w:rPr>
                <w:rFonts w:ascii="Garamond" w:hAnsi="Garamond"/>
                <w:b/>
                <w:sz w:val="22"/>
                <w:szCs w:val="22"/>
                <w:lang w:eastAsia="en-US"/>
              </w:rPr>
            </w:pPr>
            <w:r w:rsidRPr="006F6DAC">
              <w:rPr>
                <w:rFonts w:ascii="Garamond" w:hAnsi="Garamond"/>
                <w:b/>
                <w:sz w:val="22"/>
                <w:szCs w:val="22"/>
                <w:lang w:eastAsia="en-US"/>
              </w:rPr>
              <w:t>5.2.16</w:t>
            </w:r>
          </w:p>
        </w:tc>
        <w:tc>
          <w:tcPr>
            <w:tcW w:w="6804" w:type="dxa"/>
          </w:tcPr>
          <w:p w14:paraId="7AED8238" w14:textId="77777777" w:rsidR="00F11A8B" w:rsidRPr="006F6DAC" w:rsidRDefault="00F11A8B" w:rsidP="00F11A8B">
            <w:pPr>
              <w:pStyle w:val="a6"/>
              <w:tabs>
                <w:tab w:val="left" w:pos="1260"/>
              </w:tabs>
              <w:suppressAutoHyphens w:val="0"/>
              <w:spacing w:before="120" w:after="120"/>
              <w:jc w:val="both"/>
              <w:rPr>
                <w:rFonts w:ascii="Garamond" w:hAnsi="Garamond"/>
                <w:b/>
                <w:bCs w:val="0"/>
                <w:color w:val="000000"/>
                <w:sz w:val="22"/>
                <w:szCs w:val="22"/>
              </w:rPr>
            </w:pPr>
            <w:r w:rsidRPr="006F6DAC">
              <w:rPr>
                <w:rFonts w:ascii="Garamond" w:hAnsi="Garamond"/>
                <w:bCs w:val="0"/>
                <w:color w:val="000000"/>
                <w:sz w:val="22"/>
                <w:szCs w:val="22"/>
              </w:rPr>
              <w:t>Элемент &lt;</w:t>
            </w:r>
            <w:r w:rsidRPr="006F6DAC">
              <w:rPr>
                <w:rFonts w:ascii="Garamond" w:hAnsi="Garamond"/>
                <w:bCs w:val="0"/>
                <w:color w:val="000000"/>
                <w:sz w:val="22"/>
                <w:szCs w:val="22"/>
                <w:lang w:val="en-US"/>
              </w:rPr>
              <w:t>m</w:t>
            </w:r>
            <w:r w:rsidRPr="006F6DAC">
              <w:rPr>
                <w:rFonts w:ascii="Garamond" w:hAnsi="Garamond"/>
                <w:bCs w:val="0"/>
                <w:color w:val="000000"/>
                <w:sz w:val="22"/>
                <w:szCs w:val="22"/>
              </w:rPr>
              <w:t>easuring</w:t>
            </w:r>
            <w:r w:rsidRPr="006F6DAC">
              <w:rPr>
                <w:rFonts w:ascii="Garamond" w:hAnsi="Garamond"/>
                <w:bCs w:val="0"/>
                <w:color w:val="000000"/>
                <w:sz w:val="22"/>
                <w:szCs w:val="22"/>
                <w:lang w:val="en-US"/>
              </w:rPr>
              <w:t>c</w:t>
            </w:r>
            <w:r w:rsidRPr="006F6DAC">
              <w:rPr>
                <w:rFonts w:ascii="Garamond" w:hAnsi="Garamond"/>
                <w:bCs w:val="0"/>
                <w:color w:val="000000"/>
                <w:sz w:val="22"/>
                <w:szCs w:val="22"/>
              </w:rPr>
              <w:t>hannel&gt; содержит информацию об измерительном канале точки измерени</w:t>
            </w:r>
            <w:r w:rsidRPr="006F6DAC">
              <w:rPr>
                <w:rFonts w:ascii="Garamond" w:hAnsi="Garamond"/>
                <w:bCs w:val="0"/>
                <w:color w:val="000000"/>
                <w:sz w:val="22"/>
                <w:szCs w:val="22"/>
                <w:highlight w:val="yellow"/>
              </w:rPr>
              <w:t>я/</w:t>
            </w:r>
            <w:r w:rsidRPr="006F6DAC">
              <w:rPr>
                <w:rFonts w:ascii="Garamond" w:hAnsi="Garamond"/>
                <w:bCs w:val="0"/>
                <w:sz w:val="22"/>
                <w:szCs w:val="22"/>
                <w:highlight w:val="yellow"/>
              </w:rPr>
              <w:t>совокупности «малых» точек измерения</w:t>
            </w:r>
            <w:r w:rsidRPr="006F6DAC">
              <w:rPr>
                <w:rFonts w:ascii="Garamond" w:hAnsi="Garamond"/>
                <w:bCs w:val="0"/>
                <w:color w:val="000000"/>
                <w:sz w:val="22"/>
                <w:szCs w:val="22"/>
              </w:rPr>
              <w:t xml:space="preserve"> и типовому суточному графику нагрузки по нему. Потомками элемента &lt;</w:t>
            </w:r>
            <w:r w:rsidRPr="006F6DAC">
              <w:rPr>
                <w:rFonts w:ascii="Garamond" w:hAnsi="Garamond"/>
                <w:bCs w:val="0"/>
                <w:color w:val="000000"/>
                <w:sz w:val="22"/>
                <w:szCs w:val="22"/>
                <w:lang w:val="en-US"/>
              </w:rPr>
              <w:t>m</w:t>
            </w:r>
            <w:r w:rsidRPr="006F6DAC">
              <w:rPr>
                <w:rFonts w:ascii="Garamond" w:hAnsi="Garamond"/>
                <w:bCs w:val="0"/>
                <w:color w:val="000000"/>
                <w:sz w:val="22"/>
                <w:szCs w:val="22"/>
              </w:rPr>
              <w:t>easuring</w:t>
            </w:r>
            <w:r w:rsidRPr="006F6DAC">
              <w:rPr>
                <w:rFonts w:ascii="Garamond" w:hAnsi="Garamond"/>
                <w:bCs w:val="0"/>
                <w:color w:val="000000"/>
                <w:sz w:val="22"/>
                <w:szCs w:val="22"/>
                <w:lang w:val="en-US"/>
              </w:rPr>
              <w:t>c</w:t>
            </w:r>
            <w:r w:rsidRPr="006F6DAC">
              <w:rPr>
                <w:rFonts w:ascii="Garamond" w:hAnsi="Garamond"/>
                <w:bCs w:val="0"/>
                <w:color w:val="000000"/>
                <w:sz w:val="22"/>
                <w:szCs w:val="22"/>
              </w:rPr>
              <w:t xml:space="preserve">hannel&gt; являются элементы &lt;period&gt;. </w:t>
            </w:r>
          </w:p>
          <w:p w14:paraId="04A98526" w14:textId="77777777" w:rsidR="00F11A8B" w:rsidRPr="006F6DAC" w:rsidRDefault="00F11A8B" w:rsidP="00F11A8B">
            <w:pPr>
              <w:pStyle w:val="a8"/>
              <w:tabs>
                <w:tab w:val="left" w:pos="1260"/>
                <w:tab w:val="num" w:pos="1790"/>
              </w:tabs>
              <w:spacing w:before="120" w:after="120"/>
              <w:ind w:firstLine="540"/>
              <w:rPr>
                <w:rFonts w:ascii="Garamond" w:hAnsi="Garamond"/>
                <w:color w:val="000000"/>
                <w:spacing w:val="1"/>
                <w:sz w:val="22"/>
                <w:szCs w:val="22"/>
              </w:rPr>
            </w:pPr>
            <w:r w:rsidRPr="006F6DAC">
              <w:rPr>
                <w:rFonts w:ascii="Garamond" w:hAnsi="Garamond"/>
                <w:color w:val="000000"/>
                <w:sz w:val="22"/>
                <w:szCs w:val="22"/>
              </w:rPr>
              <w:t xml:space="preserve">– </w:t>
            </w:r>
            <w:r w:rsidRPr="006F6DAC">
              <w:rPr>
                <w:rFonts w:ascii="Garamond" w:hAnsi="Garamond"/>
                <w:color w:val="000000"/>
                <w:spacing w:val="1"/>
                <w:sz w:val="22"/>
                <w:szCs w:val="22"/>
              </w:rPr>
              <w:t>а</w:t>
            </w:r>
            <w:r w:rsidRPr="006F6DAC">
              <w:rPr>
                <w:rFonts w:ascii="Garamond" w:hAnsi="Garamond"/>
                <w:color w:val="000000"/>
                <w:sz w:val="22"/>
                <w:szCs w:val="22"/>
              </w:rPr>
              <w:t>трибут code элемента &lt;</w:t>
            </w:r>
            <w:r w:rsidRPr="006F6DAC">
              <w:rPr>
                <w:rFonts w:ascii="Garamond" w:hAnsi="Garamond"/>
                <w:color w:val="000000"/>
                <w:sz w:val="22"/>
                <w:szCs w:val="22"/>
                <w:lang w:val="en-US"/>
              </w:rPr>
              <w:t>m</w:t>
            </w:r>
            <w:r w:rsidRPr="006F6DAC">
              <w:rPr>
                <w:rFonts w:ascii="Garamond" w:hAnsi="Garamond"/>
                <w:color w:val="000000"/>
                <w:sz w:val="22"/>
                <w:szCs w:val="22"/>
              </w:rPr>
              <w:t>easuring</w:t>
            </w:r>
            <w:r w:rsidRPr="006F6DAC">
              <w:rPr>
                <w:rFonts w:ascii="Garamond" w:hAnsi="Garamond"/>
                <w:color w:val="000000"/>
                <w:sz w:val="22"/>
                <w:szCs w:val="22"/>
                <w:lang w:val="en-US"/>
              </w:rPr>
              <w:t>c</w:t>
            </w:r>
            <w:r w:rsidRPr="006F6DAC">
              <w:rPr>
                <w:rFonts w:ascii="Garamond" w:hAnsi="Garamond"/>
                <w:color w:val="000000"/>
                <w:sz w:val="22"/>
                <w:szCs w:val="22"/>
              </w:rPr>
              <w:t>hannel&gt; содержит код измерительного ка</w:t>
            </w:r>
            <w:r w:rsidRPr="006F6DAC">
              <w:rPr>
                <w:rFonts w:ascii="Garamond" w:hAnsi="Garamond"/>
                <w:color w:val="000000"/>
                <w:spacing w:val="1"/>
                <w:sz w:val="22"/>
                <w:szCs w:val="22"/>
              </w:rPr>
              <w:t>нала, присвоенный КО данному измерительному каналу. В коде измерительного канала содержится информация о направлении передачи электроэнергии и типе измерительного канала.</w:t>
            </w:r>
          </w:p>
          <w:p w14:paraId="7665BE5F" w14:textId="77777777" w:rsidR="00F11A8B" w:rsidRPr="006F6DAC" w:rsidRDefault="00F11A8B" w:rsidP="00F11A8B">
            <w:pPr>
              <w:pStyle w:val="a6"/>
              <w:tabs>
                <w:tab w:val="left" w:pos="1080"/>
              </w:tabs>
              <w:suppressAutoHyphens w:val="0"/>
              <w:spacing w:before="120" w:after="120"/>
              <w:jc w:val="left"/>
              <w:rPr>
                <w:rFonts w:ascii="Garamond" w:hAnsi="Garamond"/>
                <w:bCs w:val="0"/>
                <w:color w:val="000000"/>
                <w:sz w:val="22"/>
                <w:szCs w:val="22"/>
              </w:rPr>
            </w:pPr>
            <w:r w:rsidRPr="006F6DAC">
              <w:rPr>
                <w:rFonts w:ascii="Garamond" w:hAnsi="Garamond"/>
                <w:color w:val="000000"/>
                <w:spacing w:val="1"/>
                <w:sz w:val="22"/>
                <w:szCs w:val="22"/>
              </w:rPr>
              <w:lastRenderedPageBreak/>
              <w:t>– атрибут desc содержит описание измерительного канала ИС.</w:t>
            </w:r>
          </w:p>
        </w:tc>
        <w:tc>
          <w:tcPr>
            <w:tcW w:w="7115" w:type="dxa"/>
          </w:tcPr>
          <w:p w14:paraId="38452BDD" w14:textId="77777777" w:rsidR="00F11A8B" w:rsidRPr="006F6DAC" w:rsidRDefault="00F11A8B" w:rsidP="00F11A8B">
            <w:pPr>
              <w:pStyle w:val="a6"/>
              <w:tabs>
                <w:tab w:val="left" w:pos="1260"/>
              </w:tabs>
              <w:suppressAutoHyphens w:val="0"/>
              <w:spacing w:before="120" w:after="120"/>
              <w:jc w:val="both"/>
              <w:rPr>
                <w:rFonts w:ascii="Garamond" w:hAnsi="Garamond"/>
                <w:bCs w:val="0"/>
                <w:color w:val="000000"/>
                <w:sz w:val="22"/>
                <w:szCs w:val="22"/>
              </w:rPr>
            </w:pPr>
            <w:r w:rsidRPr="006F6DAC">
              <w:rPr>
                <w:rFonts w:ascii="Garamond" w:hAnsi="Garamond"/>
                <w:bCs w:val="0"/>
                <w:color w:val="000000"/>
                <w:sz w:val="22"/>
                <w:szCs w:val="22"/>
              </w:rPr>
              <w:lastRenderedPageBreak/>
              <w:t>Элемент &lt;</w:t>
            </w:r>
            <w:r w:rsidRPr="006F6DAC">
              <w:rPr>
                <w:rFonts w:ascii="Garamond" w:hAnsi="Garamond"/>
                <w:bCs w:val="0"/>
                <w:color w:val="000000"/>
                <w:sz w:val="22"/>
                <w:szCs w:val="22"/>
                <w:lang w:val="en-US"/>
              </w:rPr>
              <w:t>m</w:t>
            </w:r>
            <w:r w:rsidRPr="006F6DAC">
              <w:rPr>
                <w:rFonts w:ascii="Garamond" w:hAnsi="Garamond"/>
                <w:bCs w:val="0"/>
                <w:color w:val="000000"/>
                <w:sz w:val="22"/>
                <w:szCs w:val="22"/>
              </w:rPr>
              <w:t>easuring</w:t>
            </w:r>
            <w:r w:rsidRPr="006F6DAC">
              <w:rPr>
                <w:rFonts w:ascii="Garamond" w:hAnsi="Garamond"/>
                <w:bCs w:val="0"/>
                <w:color w:val="000000"/>
                <w:sz w:val="22"/>
                <w:szCs w:val="22"/>
                <w:lang w:val="en-US"/>
              </w:rPr>
              <w:t>c</w:t>
            </w:r>
            <w:r w:rsidRPr="006F6DAC">
              <w:rPr>
                <w:rFonts w:ascii="Garamond" w:hAnsi="Garamond"/>
                <w:bCs w:val="0"/>
                <w:color w:val="000000"/>
                <w:sz w:val="22"/>
                <w:szCs w:val="22"/>
              </w:rPr>
              <w:t>hannel&gt; содержит информацию об измерительном канале точки измерени</w:t>
            </w:r>
            <w:r w:rsidRPr="006F6DAC">
              <w:rPr>
                <w:rFonts w:ascii="Garamond" w:hAnsi="Garamond"/>
                <w:bCs w:val="0"/>
                <w:color w:val="000000"/>
                <w:sz w:val="22"/>
                <w:szCs w:val="22"/>
                <w:highlight w:val="yellow"/>
              </w:rPr>
              <w:t>й</w:t>
            </w:r>
            <w:r w:rsidRPr="006F6DAC">
              <w:rPr>
                <w:rFonts w:ascii="Garamond" w:hAnsi="Garamond"/>
                <w:bCs w:val="0"/>
                <w:color w:val="000000"/>
                <w:sz w:val="22"/>
                <w:szCs w:val="22"/>
              </w:rPr>
              <w:t xml:space="preserve"> и типовому суточному графику нагрузки по нему. Потомками элемента &lt;</w:t>
            </w:r>
            <w:r w:rsidRPr="006F6DAC">
              <w:rPr>
                <w:rFonts w:ascii="Garamond" w:hAnsi="Garamond"/>
                <w:bCs w:val="0"/>
                <w:color w:val="000000"/>
                <w:sz w:val="22"/>
                <w:szCs w:val="22"/>
                <w:lang w:val="en-US"/>
              </w:rPr>
              <w:t>m</w:t>
            </w:r>
            <w:r w:rsidRPr="006F6DAC">
              <w:rPr>
                <w:rFonts w:ascii="Garamond" w:hAnsi="Garamond"/>
                <w:bCs w:val="0"/>
                <w:color w:val="000000"/>
                <w:sz w:val="22"/>
                <w:szCs w:val="22"/>
              </w:rPr>
              <w:t>easuring</w:t>
            </w:r>
            <w:r w:rsidRPr="006F6DAC">
              <w:rPr>
                <w:rFonts w:ascii="Garamond" w:hAnsi="Garamond"/>
                <w:bCs w:val="0"/>
                <w:color w:val="000000"/>
                <w:sz w:val="22"/>
                <w:szCs w:val="22"/>
                <w:lang w:val="en-US"/>
              </w:rPr>
              <w:t>c</w:t>
            </w:r>
            <w:r w:rsidRPr="006F6DAC">
              <w:rPr>
                <w:rFonts w:ascii="Garamond" w:hAnsi="Garamond"/>
                <w:bCs w:val="0"/>
                <w:color w:val="000000"/>
                <w:sz w:val="22"/>
                <w:szCs w:val="22"/>
              </w:rPr>
              <w:t xml:space="preserve">hannel&gt; являются элементы &lt;period&gt;. </w:t>
            </w:r>
          </w:p>
          <w:p w14:paraId="50B07FBF" w14:textId="77777777" w:rsidR="00F11A8B" w:rsidRPr="006F6DAC" w:rsidRDefault="00F11A8B" w:rsidP="00F11A8B">
            <w:pPr>
              <w:pStyle w:val="a8"/>
              <w:tabs>
                <w:tab w:val="left" w:pos="1260"/>
                <w:tab w:val="num" w:pos="1790"/>
              </w:tabs>
              <w:spacing w:before="120" w:after="120"/>
              <w:ind w:firstLine="540"/>
              <w:rPr>
                <w:rFonts w:ascii="Garamond" w:hAnsi="Garamond"/>
                <w:color w:val="000000"/>
                <w:spacing w:val="1"/>
                <w:sz w:val="22"/>
                <w:szCs w:val="22"/>
              </w:rPr>
            </w:pPr>
            <w:r w:rsidRPr="006F6DAC">
              <w:rPr>
                <w:rFonts w:ascii="Garamond" w:hAnsi="Garamond"/>
                <w:color w:val="000000"/>
                <w:sz w:val="22"/>
                <w:szCs w:val="22"/>
              </w:rPr>
              <w:t xml:space="preserve">– </w:t>
            </w:r>
            <w:r w:rsidRPr="006F6DAC">
              <w:rPr>
                <w:rFonts w:ascii="Garamond" w:hAnsi="Garamond"/>
                <w:color w:val="000000"/>
                <w:spacing w:val="1"/>
                <w:sz w:val="22"/>
                <w:szCs w:val="22"/>
              </w:rPr>
              <w:t>а</w:t>
            </w:r>
            <w:r w:rsidRPr="006F6DAC">
              <w:rPr>
                <w:rFonts w:ascii="Garamond" w:hAnsi="Garamond"/>
                <w:color w:val="000000"/>
                <w:sz w:val="22"/>
                <w:szCs w:val="22"/>
              </w:rPr>
              <w:t>трибут code элемента &lt;</w:t>
            </w:r>
            <w:r w:rsidRPr="006F6DAC">
              <w:rPr>
                <w:rFonts w:ascii="Garamond" w:hAnsi="Garamond"/>
                <w:color w:val="000000"/>
                <w:sz w:val="22"/>
                <w:szCs w:val="22"/>
                <w:lang w:val="en-US"/>
              </w:rPr>
              <w:t>m</w:t>
            </w:r>
            <w:r w:rsidRPr="006F6DAC">
              <w:rPr>
                <w:rFonts w:ascii="Garamond" w:hAnsi="Garamond"/>
                <w:color w:val="000000"/>
                <w:sz w:val="22"/>
                <w:szCs w:val="22"/>
              </w:rPr>
              <w:t>easuring</w:t>
            </w:r>
            <w:r w:rsidRPr="006F6DAC">
              <w:rPr>
                <w:rFonts w:ascii="Garamond" w:hAnsi="Garamond"/>
                <w:color w:val="000000"/>
                <w:sz w:val="22"/>
                <w:szCs w:val="22"/>
                <w:lang w:val="en-US"/>
              </w:rPr>
              <w:t>c</w:t>
            </w:r>
            <w:r w:rsidRPr="006F6DAC">
              <w:rPr>
                <w:rFonts w:ascii="Garamond" w:hAnsi="Garamond"/>
                <w:color w:val="000000"/>
                <w:sz w:val="22"/>
                <w:szCs w:val="22"/>
              </w:rPr>
              <w:t>hannel&gt; содержит код измерительного ка</w:t>
            </w:r>
            <w:r w:rsidRPr="006F6DAC">
              <w:rPr>
                <w:rFonts w:ascii="Garamond" w:hAnsi="Garamond"/>
                <w:color w:val="000000"/>
                <w:spacing w:val="1"/>
                <w:sz w:val="22"/>
                <w:szCs w:val="22"/>
              </w:rPr>
              <w:t>нала, присвоенный КО данному измерительному каналу. В коде измерительного канала содержится информация о направлении передачи электроэнергии и типе измерительного канала.</w:t>
            </w:r>
          </w:p>
          <w:p w14:paraId="1E21A0A6" w14:textId="77777777" w:rsidR="00F11A8B" w:rsidRPr="006F6DAC" w:rsidRDefault="00F11A8B" w:rsidP="00F11A8B">
            <w:pPr>
              <w:pStyle w:val="a8"/>
              <w:tabs>
                <w:tab w:val="left" w:pos="1260"/>
                <w:tab w:val="num" w:pos="1790"/>
              </w:tabs>
              <w:spacing w:before="120" w:after="120"/>
              <w:ind w:firstLine="540"/>
              <w:rPr>
                <w:rFonts w:ascii="Garamond" w:hAnsi="Garamond"/>
                <w:bCs/>
                <w:color w:val="000000"/>
                <w:sz w:val="22"/>
                <w:szCs w:val="22"/>
              </w:rPr>
            </w:pPr>
            <w:r w:rsidRPr="006F6DAC">
              <w:rPr>
                <w:rFonts w:ascii="Garamond" w:hAnsi="Garamond"/>
                <w:color w:val="000000"/>
                <w:spacing w:val="1"/>
                <w:sz w:val="22"/>
                <w:szCs w:val="22"/>
              </w:rPr>
              <w:lastRenderedPageBreak/>
              <w:t>– атрибут desc содержит описание измерительного канала ИС.</w:t>
            </w:r>
          </w:p>
        </w:tc>
      </w:tr>
      <w:tr w:rsidR="00F11A8B" w:rsidRPr="006F6DAC" w14:paraId="0A319A55" w14:textId="77777777" w:rsidTr="006F6DAC">
        <w:tc>
          <w:tcPr>
            <w:tcW w:w="1060" w:type="dxa"/>
          </w:tcPr>
          <w:p w14:paraId="6A0F6FF6" w14:textId="77777777" w:rsidR="00F11A8B" w:rsidRPr="006F6DAC" w:rsidRDefault="00F11A8B" w:rsidP="00F11A8B">
            <w:pPr>
              <w:widowControl w:val="0"/>
              <w:spacing w:line="259" w:lineRule="auto"/>
              <w:jc w:val="center"/>
              <w:rPr>
                <w:rFonts w:ascii="Garamond" w:hAnsi="Garamond"/>
                <w:b/>
                <w:sz w:val="22"/>
                <w:szCs w:val="22"/>
                <w:lang w:eastAsia="en-US"/>
              </w:rPr>
            </w:pPr>
            <w:r w:rsidRPr="006F6DAC">
              <w:rPr>
                <w:rFonts w:ascii="Garamond" w:hAnsi="Garamond"/>
                <w:b/>
                <w:sz w:val="22"/>
                <w:szCs w:val="22"/>
                <w:lang w:eastAsia="en-US"/>
              </w:rPr>
              <w:lastRenderedPageBreak/>
              <w:t>5.2.17.2</w:t>
            </w:r>
          </w:p>
        </w:tc>
        <w:tc>
          <w:tcPr>
            <w:tcW w:w="6804" w:type="dxa"/>
          </w:tcPr>
          <w:p w14:paraId="6D4714B2" w14:textId="77777777" w:rsidR="00F11A8B" w:rsidRPr="006F6DAC" w:rsidRDefault="00F11A8B" w:rsidP="00F11A8B">
            <w:pPr>
              <w:pStyle w:val="a6"/>
              <w:tabs>
                <w:tab w:val="left" w:pos="1260"/>
              </w:tabs>
              <w:suppressAutoHyphens w:val="0"/>
              <w:spacing w:before="120" w:after="120"/>
              <w:jc w:val="both"/>
              <w:rPr>
                <w:rFonts w:ascii="Garamond" w:hAnsi="Garamond"/>
                <w:bCs w:val="0"/>
                <w:color w:val="000000"/>
                <w:sz w:val="22"/>
                <w:szCs w:val="22"/>
              </w:rPr>
            </w:pPr>
            <w:r w:rsidRPr="006F6DAC">
              <w:rPr>
                <w:rFonts w:ascii="Garamond" w:hAnsi="Garamond"/>
                <w:bCs w:val="0"/>
                <w:color w:val="000000"/>
                <w:sz w:val="22"/>
                <w:szCs w:val="22"/>
              </w:rPr>
              <w:t>Содержимым элемента &lt;value&gt; является значение объема нагрузки типового суточного графика. Величина элемента &lt;value&gt; представляется как целое положительное число в кВт</w:t>
            </w:r>
            <w:r w:rsidRPr="006F6DAC">
              <w:rPr>
                <w:rFonts w:ascii="Garamond" w:hAnsi="Garamond"/>
                <w:bCs w:val="0"/>
                <w:color w:val="000000"/>
                <w:sz w:val="22"/>
                <w:szCs w:val="22"/>
              </w:rPr>
              <w:sym w:font="Symbol" w:char="F0D7"/>
            </w:r>
            <w:r w:rsidRPr="006F6DAC">
              <w:rPr>
                <w:rFonts w:ascii="Garamond" w:hAnsi="Garamond"/>
                <w:bCs w:val="0"/>
                <w:color w:val="000000"/>
                <w:sz w:val="22"/>
                <w:szCs w:val="22"/>
              </w:rPr>
              <w:t xml:space="preserve">ч. </w:t>
            </w:r>
            <w:r w:rsidRPr="006F6DAC">
              <w:rPr>
                <w:rFonts w:ascii="Garamond" w:hAnsi="Garamond"/>
                <w:spacing w:val="1"/>
                <w:sz w:val="22"/>
                <w:szCs w:val="22"/>
              </w:rPr>
              <w:t>При передаче нулевых значений одновременно для всех часов (получасов) типового суточного графика данные результатов измерений по группе малых присоединений для соответствующего дня (рабочего или выходного) и измерительного канала точки измерени</w:t>
            </w:r>
            <w:r w:rsidRPr="006F6DAC">
              <w:rPr>
                <w:rFonts w:ascii="Garamond" w:hAnsi="Garamond"/>
                <w:spacing w:val="1"/>
                <w:sz w:val="22"/>
                <w:szCs w:val="22"/>
                <w:highlight w:val="yellow"/>
              </w:rPr>
              <w:t>я</w:t>
            </w:r>
            <w:r w:rsidRPr="006F6DAC">
              <w:rPr>
                <w:rFonts w:ascii="Garamond" w:hAnsi="Garamond"/>
                <w:spacing w:val="1"/>
                <w:sz w:val="22"/>
                <w:szCs w:val="22"/>
              </w:rPr>
              <w:t xml:space="preserve"> также должны иметь нулевые значения для всех часов (получасов).</w:t>
            </w:r>
          </w:p>
        </w:tc>
        <w:tc>
          <w:tcPr>
            <w:tcW w:w="7115" w:type="dxa"/>
          </w:tcPr>
          <w:p w14:paraId="5AF1D2D2" w14:textId="77777777" w:rsidR="00F11A8B" w:rsidRPr="006F6DAC" w:rsidRDefault="00F11A8B" w:rsidP="00F11A8B">
            <w:pPr>
              <w:pStyle w:val="a6"/>
              <w:tabs>
                <w:tab w:val="left" w:pos="1260"/>
              </w:tabs>
              <w:suppressAutoHyphens w:val="0"/>
              <w:spacing w:before="120" w:after="120"/>
              <w:jc w:val="both"/>
              <w:rPr>
                <w:rFonts w:ascii="Garamond" w:hAnsi="Garamond"/>
                <w:bCs w:val="0"/>
                <w:color w:val="000000"/>
                <w:sz w:val="22"/>
                <w:szCs w:val="22"/>
              </w:rPr>
            </w:pPr>
            <w:r w:rsidRPr="006F6DAC">
              <w:rPr>
                <w:rFonts w:ascii="Garamond" w:hAnsi="Garamond"/>
                <w:bCs w:val="0"/>
                <w:color w:val="000000"/>
                <w:sz w:val="22"/>
                <w:szCs w:val="22"/>
              </w:rPr>
              <w:t>Содержимым элемента &lt;value&gt; является значение объема нагрузки типового суточного графика. Величина элемента &lt;value&gt; представляется как целое положительное число в кВт</w:t>
            </w:r>
            <w:r w:rsidRPr="006F6DAC">
              <w:rPr>
                <w:rFonts w:ascii="Garamond" w:hAnsi="Garamond"/>
                <w:bCs w:val="0"/>
                <w:color w:val="000000"/>
                <w:sz w:val="22"/>
                <w:szCs w:val="22"/>
              </w:rPr>
              <w:sym w:font="Symbol" w:char="F0D7"/>
            </w:r>
            <w:r w:rsidRPr="006F6DAC">
              <w:rPr>
                <w:rFonts w:ascii="Garamond" w:hAnsi="Garamond"/>
                <w:bCs w:val="0"/>
                <w:color w:val="000000"/>
                <w:sz w:val="22"/>
                <w:szCs w:val="22"/>
              </w:rPr>
              <w:t xml:space="preserve">ч. </w:t>
            </w:r>
            <w:r w:rsidRPr="006F6DAC">
              <w:rPr>
                <w:rFonts w:ascii="Garamond" w:hAnsi="Garamond"/>
                <w:spacing w:val="1"/>
                <w:sz w:val="22"/>
                <w:szCs w:val="22"/>
              </w:rPr>
              <w:t>При передаче нулевых значений одновременно для всех часов (получасов) типового суточного графика данные результатов измерений по группе малых присоединений для соответствующего дня (рабочего или выходного) и измерительного канала точки измерени</w:t>
            </w:r>
            <w:r w:rsidRPr="006F6DAC">
              <w:rPr>
                <w:rFonts w:ascii="Garamond" w:hAnsi="Garamond"/>
                <w:spacing w:val="1"/>
                <w:sz w:val="22"/>
                <w:szCs w:val="22"/>
                <w:highlight w:val="yellow"/>
              </w:rPr>
              <w:t>й</w:t>
            </w:r>
            <w:r w:rsidRPr="006F6DAC">
              <w:rPr>
                <w:rFonts w:ascii="Garamond" w:hAnsi="Garamond"/>
                <w:spacing w:val="1"/>
                <w:sz w:val="22"/>
                <w:szCs w:val="22"/>
              </w:rPr>
              <w:t xml:space="preserve"> также должны иметь нулевые значения для всех часов (получасов).</w:t>
            </w:r>
          </w:p>
        </w:tc>
      </w:tr>
      <w:tr w:rsidR="00F11A8B" w:rsidRPr="006F6DAC" w14:paraId="592D442E" w14:textId="77777777" w:rsidTr="006F6DAC">
        <w:tc>
          <w:tcPr>
            <w:tcW w:w="1060" w:type="dxa"/>
          </w:tcPr>
          <w:p w14:paraId="2BFA72C4" w14:textId="77777777" w:rsidR="00F11A8B" w:rsidRPr="006F6DAC" w:rsidRDefault="00F11A8B" w:rsidP="00F11A8B">
            <w:pPr>
              <w:widowControl w:val="0"/>
              <w:spacing w:line="259" w:lineRule="auto"/>
              <w:jc w:val="center"/>
              <w:rPr>
                <w:rFonts w:ascii="Garamond" w:hAnsi="Garamond"/>
                <w:b/>
                <w:sz w:val="22"/>
                <w:szCs w:val="22"/>
                <w:lang w:eastAsia="en-US"/>
              </w:rPr>
            </w:pPr>
            <w:r w:rsidRPr="006F6DAC">
              <w:rPr>
                <w:rFonts w:ascii="Garamond" w:hAnsi="Garamond"/>
                <w:b/>
                <w:sz w:val="22"/>
                <w:szCs w:val="22"/>
                <w:lang w:eastAsia="en-US"/>
              </w:rPr>
              <w:t>Приложение 1</w:t>
            </w:r>
          </w:p>
        </w:tc>
        <w:tc>
          <w:tcPr>
            <w:tcW w:w="6804" w:type="dxa"/>
          </w:tcPr>
          <w:p w14:paraId="42119269" w14:textId="77777777" w:rsidR="00F11A8B" w:rsidRPr="006F6DAC" w:rsidRDefault="00F11A8B" w:rsidP="00F11A8B">
            <w:pPr>
              <w:pStyle w:val="10"/>
              <w:rPr>
                <w:rFonts w:ascii="Garamond" w:hAnsi="Garamond"/>
                <w:sz w:val="22"/>
                <w:szCs w:val="22"/>
                <w:highlight w:val="yellow"/>
              </w:rPr>
            </w:pPr>
            <w:r w:rsidRPr="006F6DAC">
              <w:rPr>
                <w:rFonts w:ascii="Garamond" w:hAnsi="Garamond"/>
                <w:sz w:val="22"/>
                <w:szCs w:val="22"/>
                <w:highlight w:val="yellow"/>
              </w:rPr>
              <w:t xml:space="preserve">Декларация разметки входного документа 80020 </w:t>
            </w:r>
            <w:r w:rsidRPr="006F6DAC">
              <w:rPr>
                <w:rFonts w:ascii="Garamond" w:hAnsi="Garamond"/>
                <w:color w:val="000000"/>
                <w:sz w:val="22"/>
                <w:szCs w:val="22"/>
                <w:highlight w:val="yellow"/>
              </w:rPr>
              <w:t>и 80040</w:t>
            </w:r>
          </w:p>
          <w:p w14:paraId="372A8B61" w14:textId="77777777" w:rsidR="00F11A8B" w:rsidRPr="006F6DAC" w:rsidRDefault="00F11A8B" w:rsidP="00F11A8B">
            <w:pPr>
              <w:widowControl w:val="0"/>
              <w:adjustRightInd w:val="0"/>
              <w:ind w:firstLine="709"/>
              <w:jc w:val="both"/>
              <w:rPr>
                <w:rFonts w:ascii="Garamond" w:eastAsia="MS Mincho" w:hAnsi="Garamond"/>
                <w:sz w:val="22"/>
                <w:szCs w:val="22"/>
                <w:highlight w:val="yellow"/>
              </w:rPr>
            </w:pPr>
            <w:r w:rsidRPr="006F6DAC">
              <w:rPr>
                <w:rFonts w:ascii="Garamond" w:eastAsia="MS Mincho" w:hAnsi="Garamond"/>
                <w:sz w:val="22"/>
                <w:szCs w:val="22"/>
                <w:highlight w:val="yellow"/>
                <w:lang w:val="en-US"/>
              </w:rPr>
              <w:t> </w:t>
            </w:r>
          </w:p>
          <w:p w14:paraId="7631DBC8" w14:textId="77777777" w:rsidR="00F11A8B" w:rsidRPr="006F6DAC" w:rsidRDefault="00F11A8B" w:rsidP="00F11A8B">
            <w:pPr>
              <w:pStyle w:val="aff8"/>
              <w:rPr>
                <w:rFonts w:ascii="Garamond" w:hAnsi="Garamond"/>
                <w:sz w:val="22"/>
                <w:szCs w:val="22"/>
                <w:highlight w:val="yellow"/>
                <w:lang w:val="en-US"/>
              </w:rPr>
            </w:pPr>
            <w:r w:rsidRPr="006F6DAC">
              <w:rPr>
                <w:rFonts w:ascii="Garamond" w:hAnsi="Garamond"/>
                <w:sz w:val="22"/>
                <w:szCs w:val="22"/>
                <w:highlight w:val="yellow"/>
                <w:lang w:val="en-US"/>
              </w:rPr>
              <w:t>&lt;!ELEMENT message (comment?,datetime,sender,area*)&gt;</w:t>
            </w:r>
          </w:p>
          <w:p w14:paraId="71C975CC" w14:textId="77777777" w:rsidR="00F11A8B" w:rsidRPr="006F6DAC" w:rsidRDefault="00F11A8B" w:rsidP="00F11A8B">
            <w:pPr>
              <w:pStyle w:val="aff8"/>
              <w:rPr>
                <w:rFonts w:ascii="Garamond" w:hAnsi="Garamond"/>
                <w:sz w:val="22"/>
                <w:szCs w:val="22"/>
                <w:highlight w:val="yellow"/>
                <w:lang w:val="en-US"/>
              </w:rPr>
            </w:pPr>
            <w:r w:rsidRPr="006F6DAC">
              <w:rPr>
                <w:rFonts w:ascii="Garamond" w:hAnsi="Garamond"/>
                <w:sz w:val="22"/>
                <w:szCs w:val="22"/>
                <w:highlight w:val="yellow"/>
                <w:lang w:val="en-US"/>
              </w:rPr>
              <w:t xml:space="preserve">  &lt;!ATTLIST message</w:t>
            </w:r>
          </w:p>
          <w:p w14:paraId="58B913E9" w14:textId="77777777" w:rsidR="00F11A8B" w:rsidRPr="006F6DAC" w:rsidRDefault="00F11A8B" w:rsidP="00F11A8B">
            <w:pPr>
              <w:pStyle w:val="aff8"/>
              <w:rPr>
                <w:rFonts w:ascii="Garamond" w:hAnsi="Garamond"/>
                <w:sz w:val="22"/>
                <w:szCs w:val="22"/>
                <w:highlight w:val="yellow"/>
                <w:lang w:val="en-US"/>
              </w:rPr>
            </w:pPr>
            <w:r w:rsidRPr="006F6DAC">
              <w:rPr>
                <w:rFonts w:ascii="Garamond" w:hAnsi="Garamond"/>
                <w:sz w:val="22"/>
                <w:szCs w:val="22"/>
                <w:highlight w:val="yellow"/>
                <w:lang w:val="en-US"/>
              </w:rPr>
              <w:t xml:space="preserve">   </w:t>
            </w:r>
            <w:r w:rsidRPr="006F6DAC">
              <w:rPr>
                <w:rFonts w:ascii="Garamond" w:hAnsi="Garamond"/>
                <w:sz w:val="22"/>
                <w:szCs w:val="22"/>
                <w:highlight w:val="yellow"/>
                <w:lang w:val="en-US"/>
              </w:rPr>
              <w:tab/>
              <w:t xml:space="preserve">class   </w:t>
            </w:r>
            <w:r w:rsidRPr="006F6DAC">
              <w:rPr>
                <w:rFonts w:ascii="Garamond" w:hAnsi="Garamond"/>
                <w:sz w:val="22"/>
                <w:szCs w:val="22"/>
                <w:highlight w:val="yellow"/>
                <w:lang w:val="en-US"/>
              </w:rPr>
              <w:tab/>
              <w:t xml:space="preserve">CDATA #REQUIRED </w:t>
            </w:r>
          </w:p>
          <w:p w14:paraId="4F3DB4C6" w14:textId="77777777" w:rsidR="00F11A8B" w:rsidRPr="006F6DAC" w:rsidRDefault="00F11A8B" w:rsidP="00F11A8B">
            <w:pPr>
              <w:pStyle w:val="aff8"/>
              <w:rPr>
                <w:rFonts w:ascii="Garamond" w:hAnsi="Garamond"/>
                <w:sz w:val="22"/>
                <w:szCs w:val="22"/>
                <w:highlight w:val="yellow"/>
                <w:lang w:val="en-US"/>
              </w:rPr>
            </w:pPr>
            <w:r w:rsidRPr="006F6DAC">
              <w:rPr>
                <w:rFonts w:ascii="Garamond" w:hAnsi="Garamond"/>
                <w:sz w:val="22"/>
                <w:szCs w:val="22"/>
                <w:highlight w:val="yellow"/>
                <w:lang w:val="en-US"/>
              </w:rPr>
              <w:t xml:space="preserve">   </w:t>
            </w:r>
            <w:r w:rsidRPr="006F6DAC">
              <w:rPr>
                <w:rFonts w:ascii="Garamond" w:hAnsi="Garamond"/>
                <w:sz w:val="22"/>
                <w:szCs w:val="22"/>
                <w:highlight w:val="yellow"/>
                <w:lang w:val="en-US"/>
              </w:rPr>
              <w:tab/>
              <w:t xml:space="preserve">version </w:t>
            </w:r>
            <w:r w:rsidRPr="006F6DAC">
              <w:rPr>
                <w:rFonts w:ascii="Garamond" w:hAnsi="Garamond"/>
                <w:sz w:val="22"/>
                <w:szCs w:val="22"/>
                <w:highlight w:val="yellow"/>
                <w:lang w:val="en-US"/>
              </w:rPr>
              <w:tab/>
              <w:t xml:space="preserve">CDATA #REQUIRED </w:t>
            </w:r>
          </w:p>
          <w:p w14:paraId="0D4CF5B0" w14:textId="77777777" w:rsidR="00F11A8B" w:rsidRPr="006F6DAC" w:rsidRDefault="00F11A8B" w:rsidP="00F11A8B">
            <w:pPr>
              <w:pStyle w:val="aff8"/>
              <w:rPr>
                <w:rFonts w:ascii="Garamond" w:hAnsi="Garamond"/>
                <w:sz w:val="22"/>
                <w:szCs w:val="22"/>
                <w:highlight w:val="yellow"/>
                <w:lang w:val="en-US"/>
              </w:rPr>
            </w:pPr>
            <w:r w:rsidRPr="006F6DAC">
              <w:rPr>
                <w:rFonts w:ascii="Garamond" w:hAnsi="Garamond"/>
                <w:sz w:val="22"/>
                <w:szCs w:val="22"/>
                <w:highlight w:val="yellow"/>
                <w:lang w:val="en-US"/>
              </w:rPr>
              <w:t xml:space="preserve">   </w:t>
            </w:r>
            <w:r w:rsidRPr="006F6DAC">
              <w:rPr>
                <w:rFonts w:ascii="Garamond" w:hAnsi="Garamond"/>
                <w:sz w:val="22"/>
                <w:szCs w:val="22"/>
                <w:highlight w:val="yellow"/>
                <w:lang w:val="en-US"/>
              </w:rPr>
              <w:tab/>
              <w:t xml:space="preserve">number </w:t>
            </w:r>
            <w:r w:rsidRPr="006F6DAC">
              <w:rPr>
                <w:rFonts w:ascii="Garamond" w:hAnsi="Garamond"/>
                <w:sz w:val="22"/>
                <w:szCs w:val="22"/>
                <w:highlight w:val="yellow"/>
                <w:lang w:val="en-US"/>
              </w:rPr>
              <w:tab/>
              <w:t xml:space="preserve">CDATA #REQUIRED  </w:t>
            </w:r>
          </w:p>
          <w:p w14:paraId="5C7A07AD" w14:textId="77777777" w:rsidR="00F11A8B" w:rsidRPr="006F6DAC" w:rsidRDefault="00F11A8B" w:rsidP="00F11A8B">
            <w:pPr>
              <w:pStyle w:val="aff8"/>
              <w:rPr>
                <w:rFonts w:ascii="Garamond" w:hAnsi="Garamond"/>
                <w:sz w:val="22"/>
                <w:szCs w:val="22"/>
                <w:highlight w:val="yellow"/>
                <w:lang w:val="en-US"/>
              </w:rPr>
            </w:pPr>
            <w:r w:rsidRPr="006F6DAC">
              <w:rPr>
                <w:rFonts w:ascii="Garamond" w:hAnsi="Garamond"/>
                <w:sz w:val="22"/>
                <w:szCs w:val="22"/>
                <w:highlight w:val="yellow"/>
                <w:lang w:val="en-US"/>
              </w:rPr>
              <w:t xml:space="preserve">   &gt;</w:t>
            </w:r>
          </w:p>
          <w:p w14:paraId="50854E2A" w14:textId="77777777" w:rsidR="00F11A8B" w:rsidRPr="006F6DAC" w:rsidRDefault="00F11A8B" w:rsidP="00F11A8B">
            <w:pPr>
              <w:pStyle w:val="aff8"/>
              <w:rPr>
                <w:rFonts w:ascii="Garamond" w:hAnsi="Garamond"/>
                <w:sz w:val="22"/>
                <w:szCs w:val="22"/>
                <w:highlight w:val="yellow"/>
                <w:lang w:val="en-US"/>
              </w:rPr>
            </w:pPr>
            <w:r w:rsidRPr="006F6DAC">
              <w:rPr>
                <w:rFonts w:ascii="Garamond" w:hAnsi="Garamond"/>
                <w:sz w:val="22"/>
                <w:szCs w:val="22"/>
                <w:highlight w:val="yellow"/>
                <w:lang w:val="en-US"/>
              </w:rPr>
              <w:t>&lt;!ELEMENT datetime (timestamp, daylightsavingtime, day)&gt;</w:t>
            </w:r>
          </w:p>
          <w:p w14:paraId="251484B1" w14:textId="77777777" w:rsidR="00F11A8B" w:rsidRPr="006F6DAC" w:rsidRDefault="00F11A8B" w:rsidP="00F11A8B">
            <w:pPr>
              <w:pStyle w:val="aff8"/>
              <w:rPr>
                <w:rFonts w:ascii="Garamond" w:hAnsi="Garamond"/>
                <w:sz w:val="22"/>
                <w:szCs w:val="22"/>
                <w:highlight w:val="yellow"/>
                <w:lang w:val="en-US"/>
              </w:rPr>
            </w:pPr>
            <w:r w:rsidRPr="006F6DAC">
              <w:rPr>
                <w:rFonts w:ascii="Garamond" w:hAnsi="Garamond"/>
                <w:sz w:val="22"/>
                <w:szCs w:val="22"/>
                <w:highlight w:val="yellow"/>
                <w:lang w:val="en-US"/>
              </w:rPr>
              <w:t>&lt;!ELEMENT timestamp (#PCDATA)&gt;</w:t>
            </w:r>
          </w:p>
          <w:p w14:paraId="1F332F34" w14:textId="77777777" w:rsidR="00F11A8B" w:rsidRPr="006F6DAC" w:rsidRDefault="00F11A8B" w:rsidP="00F11A8B">
            <w:pPr>
              <w:pStyle w:val="aff8"/>
              <w:rPr>
                <w:rFonts w:ascii="Garamond" w:hAnsi="Garamond"/>
                <w:sz w:val="22"/>
                <w:szCs w:val="22"/>
                <w:highlight w:val="yellow"/>
                <w:lang w:val="en-US"/>
              </w:rPr>
            </w:pPr>
            <w:r w:rsidRPr="006F6DAC">
              <w:rPr>
                <w:rFonts w:ascii="Garamond" w:hAnsi="Garamond"/>
                <w:sz w:val="22"/>
                <w:szCs w:val="22"/>
                <w:highlight w:val="yellow"/>
                <w:lang w:val="en-US"/>
              </w:rPr>
              <w:t xml:space="preserve">&lt;!ELEMENT daylightsavingtime (#PCDATA)&gt;  </w:t>
            </w:r>
          </w:p>
          <w:p w14:paraId="09A69A83" w14:textId="77777777" w:rsidR="00F11A8B" w:rsidRPr="006F6DAC" w:rsidRDefault="00F11A8B" w:rsidP="00F11A8B">
            <w:pPr>
              <w:pStyle w:val="aff8"/>
              <w:rPr>
                <w:rFonts w:ascii="Garamond" w:hAnsi="Garamond"/>
                <w:sz w:val="22"/>
                <w:szCs w:val="22"/>
                <w:highlight w:val="yellow"/>
                <w:lang w:val="en-US"/>
              </w:rPr>
            </w:pPr>
            <w:r w:rsidRPr="006F6DAC">
              <w:rPr>
                <w:rFonts w:ascii="Garamond" w:hAnsi="Garamond"/>
                <w:sz w:val="22"/>
                <w:szCs w:val="22"/>
                <w:highlight w:val="yellow"/>
                <w:lang w:val="en-US"/>
              </w:rPr>
              <w:t>&lt;!ELEMENT day (#PCDATA)&gt;</w:t>
            </w:r>
          </w:p>
          <w:p w14:paraId="5782450B" w14:textId="77777777" w:rsidR="00F11A8B" w:rsidRPr="006F6DAC" w:rsidRDefault="00F11A8B" w:rsidP="00F11A8B">
            <w:pPr>
              <w:pStyle w:val="aff8"/>
              <w:rPr>
                <w:rFonts w:ascii="Garamond" w:hAnsi="Garamond"/>
                <w:sz w:val="22"/>
                <w:szCs w:val="22"/>
                <w:highlight w:val="yellow"/>
                <w:lang w:val="en-US"/>
              </w:rPr>
            </w:pPr>
            <w:r w:rsidRPr="006F6DAC">
              <w:rPr>
                <w:rFonts w:ascii="Garamond" w:hAnsi="Garamond"/>
                <w:sz w:val="22"/>
                <w:szCs w:val="22"/>
                <w:highlight w:val="yellow"/>
                <w:lang w:val="en-US"/>
              </w:rPr>
              <w:t xml:space="preserve">  </w:t>
            </w:r>
          </w:p>
          <w:p w14:paraId="3B9F8C57" w14:textId="77777777" w:rsidR="00F11A8B" w:rsidRPr="006F6DAC" w:rsidRDefault="00F11A8B" w:rsidP="00F11A8B">
            <w:pPr>
              <w:pStyle w:val="aff8"/>
              <w:rPr>
                <w:rFonts w:ascii="Garamond" w:hAnsi="Garamond"/>
                <w:sz w:val="22"/>
                <w:szCs w:val="22"/>
                <w:highlight w:val="yellow"/>
                <w:lang w:val="en-US"/>
              </w:rPr>
            </w:pPr>
            <w:r w:rsidRPr="006F6DAC">
              <w:rPr>
                <w:rFonts w:ascii="Garamond" w:hAnsi="Garamond"/>
                <w:sz w:val="22"/>
                <w:szCs w:val="22"/>
                <w:highlight w:val="yellow"/>
                <w:lang w:val="en-US"/>
              </w:rPr>
              <w:t>&lt;!ELEMENT sender (inn,name)&gt;</w:t>
            </w:r>
          </w:p>
          <w:p w14:paraId="72D7BB2C" w14:textId="77777777" w:rsidR="00F11A8B" w:rsidRPr="006F6DAC" w:rsidRDefault="00F11A8B" w:rsidP="00F11A8B">
            <w:pPr>
              <w:pStyle w:val="aff8"/>
              <w:rPr>
                <w:rFonts w:ascii="Garamond" w:hAnsi="Garamond"/>
                <w:sz w:val="22"/>
                <w:szCs w:val="22"/>
                <w:highlight w:val="yellow"/>
                <w:lang w:val="en-US"/>
              </w:rPr>
            </w:pPr>
            <w:r w:rsidRPr="006F6DAC">
              <w:rPr>
                <w:rFonts w:ascii="Garamond" w:hAnsi="Garamond"/>
                <w:sz w:val="22"/>
                <w:szCs w:val="22"/>
                <w:highlight w:val="yellow"/>
                <w:lang w:val="en-US"/>
              </w:rPr>
              <w:t>&lt;!ELEMENT inn (#PCDATA)&gt;</w:t>
            </w:r>
          </w:p>
          <w:p w14:paraId="59347175" w14:textId="77777777" w:rsidR="00F11A8B" w:rsidRPr="006F6DAC" w:rsidRDefault="00F11A8B" w:rsidP="00F11A8B">
            <w:pPr>
              <w:pStyle w:val="aff8"/>
              <w:rPr>
                <w:rFonts w:ascii="Garamond" w:hAnsi="Garamond"/>
                <w:sz w:val="22"/>
                <w:szCs w:val="22"/>
                <w:highlight w:val="yellow"/>
                <w:lang w:val="en-US"/>
              </w:rPr>
            </w:pPr>
            <w:r w:rsidRPr="006F6DAC">
              <w:rPr>
                <w:rFonts w:ascii="Garamond" w:hAnsi="Garamond"/>
                <w:sz w:val="22"/>
                <w:szCs w:val="22"/>
                <w:highlight w:val="yellow"/>
                <w:lang w:val="en-US"/>
              </w:rPr>
              <w:t>&lt;!ELEMENT name (#PCDATA)&gt;</w:t>
            </w:r>
          </w:p>
          <w:p w14:paraId="4BF173B0" w14:textId="77777777" w:rsidR="00F11A8B" w:rsidRPr="006F6DAC" w:rsidRDefault="00F11A8B" w:rsidP="00F11A8B">
            <w:pPr>
              <w:pStyle w:val="aff8"/>
              <w:rPr>
                <w:rFonts w:ascii="Garamond" w:hAnsi="Garamond"/>
                <w:sz w:val="22"/>
                <w:szCs w:val="22"/>
                <w:highlight w:val="yellow"/>
                <w:lang w:val="en-US"/>
              </w:rPr>
            </w:pPr>
          </w:p>
          <w:p w14:paraId="08F00D25" w14:textId="77777777" w:rsidR="00F11A8B" w:rsidRPr="006F6DAC" w:rsidRDefault="00F11A8B" w:rsidP="00F11A8B">
            <w:pPr>
              <w:pStyle w:val="aff8"/>
              <w:rPr>
                <w:rFonts w:ascii="Garamond" w:hAnsi="Garamond"/>
                <w:sz w:val="22"/>
                <w:szCs w:val="22"/>
                <w:highlight w:val="yellow"/>
                <w:lang w:val="en-US"/>
              </w:rPr>
            </w:pPr>
            <w:r w:rsidRPr="006F6DAC">
              <w:rPr>
                <w:rFonts w:ascii="Garamond" w:hAnsi="Garamond"/>
                <w:sz w:val="22"/>
                <w:szCs w:val="22"/>
                <w:highlight w:val="yellow"/>
                <w:lang w:val="en-US"/>
              </w:rPr>
              <w:t>&lt;!ELEMENT comment (#PCDATA)&gt;</w:t>
            </w:r>
          </w:p>
          <w:p w14:paraId="7C34EE9F" w14:textId="77777777" w:rsidR="00F11A8B" w:rsidRPr="006F6DAC" w:rsidRDefault="00F11A8B" w:rsidP="00F11A8B">
            <w:pPr>
              <w:pStyle w:val="aff8"/>
              <w:rPr>
                <w:rFonts w:ascii="Garamond" w:hAnsi="Garamond"/>
                <w:sz w:val="22"/>
                <w:szCs w:val="22"/>
                <w:highlight w:val="yellow"/>
                <w:lang w:val="en-US"/>
              </w:rPr>
            </w:pPr>
            <w:r w:rsidRPr="006F6DAC">
              <w:rPr>
                <w:rFonts w:ascii="Garamond" w:hAnsi="Garamond"/>
                <w:sz w:val="22"/>
                <w:szCs w:val="22"/>
                <w:highlight w:val="yellow"/>
                <w:lang w:val="en-US"/>
              </w:rPr>
              <w:t xml:space="preserve">  </w:t>
            </w:r>
          </w:p>
          <w:p w14:paraId="15B35415" w14:textId="77777777" w:rsidR="00F11A8B" w:rsidRPr="006F6DAC" w:rsidRDefault="00F11A8B" w:rsidP="00F11A8B">
            <w:pPr>
              <w:pStyle w:val="aff8"/>
              <w:rPr>
                <w:rFonts w:ascii="Garamond" w:hAnsi="Garamond"/>
                <w:sz w:val="22"/>
                <w:szCs w:val="22"/>
                <w:highlight w:val="yellow"/>
                <w:lang w:val="en-US"/>
              </w:rPr>
            </w:pPr>
            <w:r w:rsidRPr="006F6DAC">
              <w:rPr>
                <w:rFonts w:ascii="Garamond" w:hAnsi="Garamond"/>
                <w:sz w:val="22"/>
                <w:szCs w:val="22"/>
                <w:highlight w:val="yellow"/>
                <w:lang w:val="en-US"/>
              </w:rPr>
              <w:t>&lt;!ELEMENT area (inn,name, measuringobject+, measuringpoint+, deliverypoint+, deliverygroup+,peretok+ ) &gt;</w:t>
            </w:r>
          </w:p>
          <w:p w14:paraId="1BAD6919" w14:textId="77777777" w:rsidR="00F11A8B" w:rsidRPr="006F6DAC" w:rsidRDefault="00F11A8B" w:rsidP="00F11A8B">
            <w:pPr>
              <w:pStyle w:val="aff8"/>
              <w:rPr>
                <w:rFonts w:ascii="Garamond" w:hAnsi="Garamond"/>
                <w:sz w:val="22"/>
                <w:szCs w:val="22"/>
                <w:highlight w:val="yellow"/>
                <w:lang w:val="en-US"/>
              </w:rPr>
            </w:pPr>
            <w:r w:rsidRPr="006F6DAC">
              <w:rPr>
                <w:rFonts w:ascii="Garamond" w:hAnsi="Garamond"/>
                <w:sz w:val="22"/>
                <w:szCs w:val="22"/>
                <w:highlight w:val="yellow"/>
                <w:lang w:val="en-US"/>
              </w:rPr>
              <w:t>&lt;!ATTLIST area</w:t>
            </w:r>
          </w:p>
          <w:p w14:paraId="66A591C9" w14:textId="77777777" w:rsidR="00F11A8B" w:rsidRPr="006F6DAC" w:rsidRDefault="00F11A8B" w:rsidP="00F11A8B">
            <w:pPr>
              <w:pStyle w:val="aff8"/>
              <w:rPr>
                <w:rFonts w:ascii="Garamond" w:hAnsi="Garamond"/>
                <w:sz w:val="22"/>
                <w:szCs w:val="22"/>
                <w:highlight w:val="yellow"/>
                <w:lang w:val="en-US"/>
              </w:rPr>
            </w:pPr>
            <w:r w:rsidRPr="006F6DAC">
              <w:rPr>
                <w:rFonts w:ascii="Garamond" w:hAnsi="Garamond"/>
                <w:sz w:val="22"/>
                <w:szCs w:val="22"/>
                <w:highlight w:val="yellow"/>
                <w:lang w:val="en-US"/>
              </w:rPr>
              <w:tab/>
              <w:t>timezone</w:t>
            </w:r>
            <w:r w:rsidRPr="006F6DAC">
              <w:rPr>
                <w:rFonts w:ascii="Garamond" w:hAnsi="Garamond"/>
                <w:sz w:val="22"/>
                <w:szCs w:val="22"/>
                <w:highlight w:val="yellow"/>
                <w:lang w:val="en-US"/>
              </w:rPr>
              <w:tab/>
              <w:t>CDATA #IMPLIED</w:t>
            </w:r>
          </w:p>
          <w:p w14:paraId="78D6C493" w14:textId="77777777" w:rsidR="00F11A8B" w:rsidRPr="006F6DAC" w:rsidRDefault="00F11A8B" w:rsidP="00F11A8B">
            <w:pPr>
              <w:pStyle w:val="aff8"/>
              <w:rPr>
                <w:rFonts w:ascii="Garamond" w:hAnsi="Garamond"/>
                <w:sz w:val="22"/>
                <w:szCs w:val="22"/>
                <w:highlight w:val="yellow"/>
                <w:lang w:val="en-US"/>
              </w:rPr>
            </w:pPr>
            <w:r w:rsidRPr="006F6DAC">
              <w:rPr>
                <w:rFonts w:ascii="Garamond" w:hAnsi="Garamond"/>
                <w:sz w:val="22"/>
                <w:szCs w:val="22"/>
                <w:highlight w:val="yellow"/>
                <w:lang w:val="en-US"/>
              </w:rPr>
              <w:t>&gt;</w:t>
            </w:r>
          </w:p>
          <w:p w14:paraId="62404591" w14:textId="77777777" w:rsidR="00F11A8B" w:rsidRPr="006F6DAC" w:rsidRDefault="00F11A8B" w:rsidP="00F11A8B">
            <w:pPr>
              <w:pStyle w:val="aff8"/>
              <w:rPr>
                <w:rFonts w:ascii="Garamond" w:hAnsi="Garamond"/>
                <w:sz w:val="22"/>
                <w:szCs w:val="22"/>
                <w:highlight w:val="yellow"/>
                <w:lang w:val="en-US"/>
              </w:rPr>
            </w:pPr>
            <w:r w:rsidRPr="006F6DAC">
              <w:rPr>
                <w:rFonts w:ascii="Garamond" w:hAnsi="Garamond"/>
                <w:sz w:val="22"/>
                <w:szCs w:val="22"/>
                <w:highlight w:val="yellow"/>
                <w:lang w:val="en-US"/>
              </w:rPr>
              <w:t>&lt;!ELEMENT peretok (period+)&gt;</w:t>
            </w:r>
          </w:p>
          <w:p w14:paraId="56B9C9C7" w14:textId="77777777" w:rsidR="00F11A8B" w:rsidRPr="006F6DAC" w:rsidRDefault="00F11A8B" w:rsidP="00F11A8B">
            <w:pPr>
              <w:pStyle w:val="aff8"/>
              <w:rPr>
                <w:rFonts w:ascii="Garamond" w:hAnsi="Garamond"/>
                <w:sz w:val="22"/>
                <w:szCs w:val="22"/>
                <w:highlight w:val="yellow"/>
                <w:lang w:val="en-US"/>
              </w:rPr>
            </w:pPr>
            <w:r w:rsidRPr="006F6DAC">
              <w:rPr>
                <w:rFonts w:ascii="Garamond" w:hAnsi="Garamond"/>
                <w:sz w:val="22"/>
                <w:szCs w:val="22"/>
                <w:highlight w:val="yellow"/>
                <w:lang w:val="en-US"/>
              </w:rPr>
              <w:t>&lt;!ATTLIST peretok</w:t>
            </w:r>
          </w:p>
          <w:p w14:paraId="307ECC08" w14:textId="77777777" w:rsidR="00F11A8B" w:rsidRPr="006F6DAC" w:rsidRDefault="00F11A8B" w:rsidP="00F11A8B">
            <w:pPr>
              <w:pStyle w:val="aff8"/>
              <w:rPr>
                <w:rFonts w:ascii="Garamond" w:hAnsi="Garamond"/>
                <w:sz w:val="22"/>
                <w:szCs w:val="22"/>
                <w:highlight w:val="yellow"/>
                <w:lang w:val="en-US"/>
              </w:rPr>
            </w:pPr>
            <w:r w:rsidRPr="006F6DAC">
              <w:rPr>
                <w:rFonts w:ascii="Garamond" w:hAnsi="Garamond"/>
                <w:sz w:val="22"/>
                <w:szCs w:val="22"/>
                <w:highlight w:val="yellow"/>
                <w:lang w:val="en-US"/>
              </w:rPr>
              <w:tab/>
              <w:t>code-from</w:t>
            </w:r>
            <w:r w:rsidRPr="006F6DAC">
              <w:rPr>
                <w:rFonts w:ascii="Garamond" w:hAnsi="Garamond"/>
                <w:sz w:val="22"/>
                <w:szCs w:val="22"/>
                <w:highlight w:val="yellow"/>
                <w:lang w:val="en-US"/>
              </w:rPr>
              <w:tab/>
              <w:t>CDATA    #REQUIRED</w:t>
            </w:r>
          </w:p>
          <w:p w14:paraId="0B662899" w14:textId="77777777" w:rsidR="00F11A8B" w:rsidRPr="006F6DAC" w:rsidRDefault="00F11A8B" w:rsidP="00F11A8B">
            <w:pPr>
              <w:pStyle w:val="aff8"/>
              <w:rPr>
                <w:rFonts w:ascii="Garamond" w:hAnsi="Garamond"/>
                <w:sz w:val="22"/>
                <w:szCs w:val="22"/>
                <w:highlight w:val="yellow"/>
                <w:lang w:val="en-US"/>
              </w:rPr>
            </w:pPr>
            <w:r w:rsidRPr="006F6DAC">
              <w:rPr>
                <w:rFonts w:ascii="Garamond" w:hAnsi="Garamond"/>
                <w:sz w:val="22"/>
                <w:szCs w:val="22"/>
                <w:highlight w:val="yellow"/>
                <w:lang w:val="en-US"/>
              </w:rPr>
              <w:lastRenderedPageBreak/>
              <w:tab/>
              <w:t>code-to</w:t>
            </w:r>
            <w:r w:rsidRPr="006F6DAC">
              <w:rPr>
                <w:rFonts w:ascii="Garamond" w:hAnsi="Garamond"/>
                <w:sz w:val="22"/>
                <w:szCs w:val="22"/>
                <w:highlight w:val="yellow"/>
                <w:lang w:val="en-US"/>
              </w:rPr>
              <w:tab/>
              <w:t>CDATA</w:t>
            </w:r>
            <w:r w:rsidRPr="006F6DAC">
              <w:rPr>
                <w:rFonts w:ascii="Garamond" w:hAnsi="Garamond"/>
                <w:sz w:val="22"/>
                <w:szCs w:val="22"/>
                <w:highlight w:val="yellow"/>
                <w:lang w:val="en-US"/>
              </w:rPr>
              <w:tab/>
              <w:t>#REQUIRED</w:t>
            </w:r>
          </w:p>
          <w:p w14:paraId="69303951" w14:textId="77777777" w:rsidR="00F11A8B" w:rsidRPr="006F6DAC" w:rsidRDefault="00F11A8B" w:rsidP="00F11A8B">
            <w:pPr>
              <w:pStyle w:val="aff8"/>
              <w:rPr>
                <w:rFonts w:ascii="Garamond" w:hAnsi="Garamond"/>
                <w:sz w:val="22"/>
                <w:szCs w:val="22"/>
                <w:highlight w:val="yellow"/>
                <w:lang w:val="en-US"/>
              </w:rPr>
            </w:pPr>
            <w:r w:rsidRPr="006F6DAC">
              <w:rPr>
                <w:rFonts w:ascii="Garamond" w:hAnsi="Garamond"/>
                <w:sz w:val="22"/>
                <w:szCs w:val="22"/>
                <w:highlight w:val="yellow"/>
                <w:lang w:val="en-US"/>
              </w:rPr>
              <w:tab/>
              <w:t>name</w:t>
            </w:r>
            <w:r w:rsidRPr="006F6DAC">
              <w:rPr>
                <w:rFonts w:ascii="Garamond" w:hAnsi="Garamond"/>
                <w:sz w:val="22"/>
                <w:szCs w:val="22"/>
                <w:highlight w:val="yellow"/>
                <w:lang w:val="en-US"/>
              </w:rPr>
              <w:tab/>
              <w:t>CDATA</w:t>
            </w:r>
            <w:r w:rsidRPr="006F6DAC">
              <w:rPr>
                <w:rFonts w:ascii="Garamond" w:hAnsi="Garamond"/>
                <w:sz w:val="22"/>
                <w:szCs w:val="22"/>
                <w:highlight w:val="yellow"/>
                <w:lang w:val="en-US"/>
              </w:rPr>
              <w:tab/>
              <w:t>#REQUIRED</w:t>
            </w:r>
          </w:p>
          <w:p w14:paraId="7A13BA0E" w14:textId="77777777" w:rsidR="00F11A8B" w:rsidRPr="006F6DAC" w:rsidRDefault="00F11A8B" w:rsidP="00F11A8B">
            <w:pPr>
              <w:pStyle w:val="aff8"/>
              <w:rPr>
                <w:rFonts w:ascii="Garamond" w:hAnsi="Garamond"/>
                <w:sz w:val="22"/>
                <w:szCs w:val="22"/>
                <w:highlight w:val="yellow"/>
                <w:lang w:val="en-US"/>
              </w:rPr>
            </w:pPr>
            <w:r w:rsidRPr="006F6DAC">
              <w:rPr>
                <w:rFonts w:ascii="Garamond" w:hAnsi="Garamond"/>
                <w:sz w:val="22"/>
                <w:szCs w:val="22"/>
                <w:highlight w:val="yellow"/>
                <w:lang w:val="en-US"/>
              </w:rPr>
              <w:t>&gt;</w:t>
            </w:r>
          </w:p>
          <w:p w14:paraId="61D59EEC" w14:textId="77777777" w:rsidR="00F11A8B" w:rsidRPr="006F6DAC" w:rsidRDefault="00F11A8B" w:rsidP="00F11A8B">
            <w:pPr>
              <w:pStyle w:val="aff8"/>
              <w:rPr>
                <w:rFonts w:ascii="Garamond" w:hAnsi="Garamond"/>
                <w:sz w:val="22"/>
                <w:szCs w:val="22"/>
                <w:highlight w:val="yellow"/>
                <w:lang w:val="en-US"/>
              </w:rPr>
            </w:pPr>
            <w:r w:rsidRPr="006F6DAC">
              <w:rPr>
                <w:rFonts w:ascii="Garamond" w:hAnsi="Garamond"/>
                <w:sz w:val="22"/>
                <w:szCs w:val="22"/>
                <w:highlight w:val="yellow"/>
                <w:lang w:val="en-US"/>
              </w:rPr>
              <w:t>&lt;!ELEMENT measuringobject (period+) &gt;</w:t>
            </w:r>
          </w:p>
          <w:p w14:paraId="5B3EBD0B" w14:textId="77777777" w:rsidR="00F11A8B" w:rsidRPr="006F6DAC" w:rsidRDefault="00F11A8B" w:rsidP="00F11A8B">
            <w:pPr>
              <w:pStyle w:val="aff8"/>
              <w:rPr>
                <w:rFonts w:ascii="Garamond" w:hAnsi="Garamond"/>
                <w:sz w:val="22"/>
                <w:szCs w:val="22"/>
                <w:highlight w:val="yellow"/>
                <w:lang w:val="en-US"/>
              </w:rPr>
            </w:pPr>
            <w:r w:rsidRPr="006F6DAC">
              <w:rPr>
                <w:rFonts w:ascii="Garamond" w:hAnsi="Garamond"/>
                <w:sz w:val="22"/>
                <w:szCs w:val="22"/>
                <w:highlight w:val="yellow"/>
                <w:lang w:val="en-US"/>
              </w:rPr>
              <w:t xml:space="preserve">   &lt;!ATTLIST measuringobject</w:t>
            </w:r>
          </w:p>
          <w:p w14:paraId="10E72BC3" w14:textId="77777777" w:rsidR="00F11A8B" w:rsidRPr="006F6DAC" w:rsidRDefault="00F11A8B" w:rsidP="00F11A8B">
            <w:pPr>
              <w:pStyle w:val="aff8"/>
              <w:rPr>
                <w:rFonts w:ascii="Garamond" w:hAnsi="Garamond"/>
                <w:sz w:val="22"/>
                <w:szCs w:val="22"/>
                <w:highlight w:val="yellow"/>
                <w:lang w:val="en-US"/>
              </w:rPr>
            </w:pPr>
            <w:r w:rsidRPr="006F6DAC">
              <w:rPr>
                <w:rFonts w:ascii="Garamond" w:hAnsi="Garamond"/>
                <w:sz w:val="22"/>
                <w:szCs w:val="22"/>
                <w:highlight w:val="yellow"/>
                <w:lang w:val="en-US"/>
              </w:rPr>
              <w:t xml:space="preserve">   </w:t>
            </w:r>
            <w:r w:rsidRPr="006F6DAC">
              <w:rPr>
                <w:rFonts w:ascii="Garamond" w:hAnsi="Garamond"/>
                <w:sz w:val="22"/>
                <w:szCs w:val="22"/>
                <w:highlight w:val="yellow"/>
                <w:lang w:val="en-US"/>
              </w:rPr>
              <w:tab/>
              <w:t xml:space="preserve">code   </w:t>
            </w:r>
            <w:r w:rsidRPr="006F6DAC">
              <w:rPr>
                <w:rFonts w:ascii="Garamond" w:hAnsi="Garamond"/>
                <w:sz w:val="22"/>
                <w:szCs w:val="22"/>
                <w:highlight w:val="yellow"/>
                <w:lang w:val="en-US"/>
              </w:rPr>
              <w:tab/>
              <w:t xml:space="preserve">CDATA #REQUIRED </w:t>
            </w:r>
          </w:p>
          <w:p w14:paraId="0F868660" w14:textId="77777777" w:rsidR="00F11A8B" w:rsidRPr="006F6DAC" w:rsidRDefault="00F11A8B" w:rsidP="00F11A8B">
            <w:pPr>
              <w:pStyle w:val="aff8"/>
              <w:rPr>
                <w:rFonts w:ascii="Garamond" w:hAnsi="Garamond"/>
                <w:sz w:val="22"/>
                <w:szCs w:val="22"/>
                <w:highlight w:val="yellow"/>
                <w:lang w:val="en-US"/>
              </w:rPr>
            </w:pPr>
            <w:r w:rsidRPr="006F6DAC">
              <w:rPr>
                <w:rFonts w:ascii="Garamond" w:hAnsi="Garamond"/>
                <w:sz w:val="22"/>
                <w:szCs w:val="22"/>
                <w:highlight w:val="yellow"/>
                <w:lang w:val="en-US"/>
              </w:rPr>
              <w:t xml:space="preserve">   </w:t>
            </w:r>
            <w:r w:rsidRPr="006F6DAC">
              <w:rPr>
                <w:rFonts w:ascii="Garamond" w:hAnsi="Garamond"/>
                <w:sz w:val="22"/>
                <w:szCs w:val="22"/>
                <w:highlight w:val="yellow"/>
                <w:lang w:val="en-US"/>
              </w:rPr>
              <w:tab/>
              <w:t xml:space="preserve">name   </w:t>
            </w:r>
            <w:r w:rsidRPr="006F6DAC">
              <w:rPr>
                <w:rFonts w:ascii="Garamond" w:hAnsi="Garamond"/>
                <w:sz w:val="22"/>
                <w:szCs w:val="22"/>
                <w:highlight w:val="yellow"/>
                <w:lang w:val="en-US"/>
              </w:rPr>
              <w:tab/>
              <w:t xml:space="preserve">CDATA #REQUIRED </w:t>
            </w:r>
          </w:p>
          <w:p w14:paraId="36DDBCA2" w14:textId="77777777" w:rsidR="00F11A8B" w:rsidRPr="006F6DAC" w:rsidRDefault="00F11A8B" w:rsidP="00F11A8B">
            <w:pPr>
              <w:pStyle w:val="aff8"/>
              <w:rPr>
                <w:rFonts w:ascii="Garamond" w:hAnsi="Garamond"/>
                <w:sz w:val="22"/>
                <w:szCs w:val="22"/>
                <w:highlight w:val="yellow"/>
                <w:lang w:val="en-US"/>
              </w:rPr>
            </w:pPr>
            <w:r w:rsidRPr="006F6DAC">
              <w:rPr>
                <w:rFonts w:ascii="Garamond" w:hAnsi="Garamond"/>
                <w:sz w:val="22"/>
                <w:szCs w:val="22"/>
                <w:highlight w:val="yellow"/>
                <w:lang w:val="en-US"/>
              </w:rPr>
              <w:t xml:space="preserve">   </w:t>
            </w:r>
            <w:r w:rsidRPr="006F6DAC">
              <w:rPr>
                <w:rFonts w:ascii="Garamond" w:hAnsi="Garamond"/>
                <w:sz w:val="22"/>
                <w:szCs w:val="22"/>
                <w:highlight w:val="yellow"/>
                <w:lang w:val="en-US"/>
              </w:rPr>
              <w:tab/>
              <w:t xml:space="preserve">type   </w:t>
            </w:r>
            <w:r w:rsidRPr="006F6DAC">
              <w:rPr>
                <w:rFonts w:ascii="Garamond" w:hAnsi="Garamond"/>
                <w:sz w:val="22"/>
                <w:szCs w:val="22"/>
                <w:highlight w:val="yellow"/>
                <w:lang w:val="en-US"/>
              </w:rPr>
              <w:tab/>
              <w:t xml:space="preserve">CDATA #REQUIRED </w:t>
            </w:r>
          </w:p>
          <w:p w14:paraId="739A6FAF" w14:textId="77777777" w:rsidR="00F11A8B" w:rsidRPr="006F6DAC" w:rsidRDefault="00F11A8B" w:rsidP="00F11A8B">
            <w:pPr>
              <w:pStyle w:val="aff8"/>
              <w:rPr>
                <w:rFonts w:ascii="Garamond" w:hAnsi="Garamond"/>
                <w:sz w:val="22"/>
                <w:szCs w:val="22"/>
                <w:highlight w:val="yellow"/>
                <w:lang w:val="en-US"/>
              </w:rPr>
            </w:pPr>
            <w:r w:rsidRPr="006F6DAC">
              <w:rPr>
                <w:rFonts w:ascii="Garamond" w:hAnsi="Garamond"/>
                <w:sz w:val="22"/>
                <w:szCs w:val="22"/>
                <w:highlight w:val="yellow"/>
                <w:lang w:val="en-US"/>
              </w:rPr>
              <w:t xml:space="preserve">   &gt;</w:t>
            </w:r>
          </w:p>
          <w:p w14:paraId="06BB8ECE" w14:textId="77777777" w:rsidR="00F11A8B" w:rsidRPr="006F6DAC" w:rsidRDefault="00F11A8B" w:rsidP="00F11A8B">
            <w:pPr>
              <w:pStyle w:val="aff8"/>
              <w:rPr>
                <w:rFonts w:ascii="Garamond" w:hAnsi="Garamond"/>
                <w:sz w:val="22"/>
                <w:szCs w:val="22"/>
                <w:highlight w:val="yellow"/>
                <w:lang w:val="en-US"/>
              </w:rPr>
            </w:pPr>
            <w:r w:rsidRPr="006F6DAC">
              <w:rPr>
                <w:rFonts w:ascii="Garamond" w:hAnsi="Garamond"/>
                <w:sz w:val="22"/>
                <w:szCs w:val="22"/>
                <w:highlight w:val="yellow"/>
                <w:lang w:val="en-US"/>
              </w:rPr>
              <w:t>&lt;!ELEMENT measuringpoint (measuringchannel+) &gt;</w:t>
            </w:r>
          </w:p>
          <w:p w14:paraId="64621C9F" w14:textId="77777777" w:rsidR="00F11A8B" w:rsidRPr="006F6DAC" w:rsidRDefault="00F11A8B" w:rsidP="00F11A8B">
            <w:pPr>
              <w:pStyle w:val="aff8"/>
              <w:rPr>
                <w:rFonts w:ascii="Garamond" w:hAnsi="Garamond"/>
                <w:sz w:val="22"/>
                <w:szCs w:val="22"/>
                <w:highlight w:val="yellow"/>
                <w:lang w:val="en-US"/>
              </w:rPr>
            </w:pPr>
            <w:r w:rsidRPr="006F6DAC">
              <w:rPr>
                <w:rFonts w:ascii="Garamond" w:hAnsi="Garamond"/>
                <w:sz w:val="22"/>
                <w:szCs w:val="22"/>
                <w:highlight w:val="yellow"/>
                <w:lang w:val="en-US"/>
              </w:rPr>
              <w:t xml:space="preserve">   &lt;!ATTLIST measuringpoint</w:t>
            </w:r>
          </w:p>
          <w:p w14:paraId="22F0EAE9" w14:textId="77777777" w:rsidR="00F11A8B" w:rsidRPr="006F6DAC" w:rsidRDefault="00F11A8B" w:rsidP="00F11A8B">
            <w:pPr>
              <w:pStyle w:val="aff8"/>
              <w:rPr>
                <w:rFonts w:ascii="Garamond" w:hAnsi="Garamond"/>
                <w:sz w:val="22"/>
                <w:szCs w:val="22"/>
                <w:highlight w:val="yellow"/>
                <w:lang w:val="en-US"/>
              </w:rPr>
            </w:pPr>
            <w:r w:rsidRPr="006F6DAC">
              <w:rPr>
                <w:rFonts w:ascii="Garamond" w:hAnsi="Garamond"/>
                <w:sz w:val="22"/>
                <w:szCs w:val="22"/>
                <w:highlight w:val="yellow"/>
                <w:lang w:val="en-US"/>
              </w:rPr>
              <w:t xml:space="preserve">   </w:t>
            </w:r>
            <w:r w:rsidRPr="006F6DAC">
              <w:rPr>
                <w:rFonts w:ascii="Garamond" w:hAnsi="Garamond"/>
                <w:sz w:val="22"/>
                <w:szCs w:val="22"/>
                <w:highlight w:val="yellow"/>
                <w:lang w:val="en-US"/>
              </w:rPr>
              <w:tab/>
              <w:t xml:space="preserve">code   </w:t>
            </w:r>
            <w:r w:rsidRPr="006F6DAC">
              <w:rPr>
                <w:rFonts w:ascii="Garamond" w:hAnsi="Garamond"/>
                <w:sz w:val="22"/>
                <w:szCs w:val="22"/>
                <w:highlight w:val="yellow"/>
                <w:lang w:val="en-US"/>
              </w:rPr>
              <w:tab/>
              <w:t xml:space="preserve">CDATA #REQUIRED </w:t>
            </w:r>
          </w:p>
          <w:p w14:paraId="0F70BCBF" w14:textId="77777777" w:rsidR="00F11A8B" w:rsidRPr="006F6DAC" w:rsidRDefault="00F11A8B" w:rsidP="00F11A8B">
            <w:pPr>
              <w:pStyle w:val="aff8"/>
              <w:rPr>
                <w:rFonts w:ascii="Garamond" w:hAnsi="Garamond"/>
                <w:sz w:val="22"/>
                <w:szCs w:val="22"/>
                <w:highlight w:val="yellow"/>
                <w:lang w:val="en-US"/>
              </w:rPr>
            </w:pPr>
            <w:r w:rsidRPr="006F6DAC">
              <w:rPr>
                <w:rFonts w:ascii="Garamond" w:hAnsi="Garamond"/>
                <w:sz w:val="22"/>
                <w:szCs w:val="22"/>
                <w:highlight w:val="yellow"/>
                <w:lang w:val="en-US"/>
              </w:rPr>
              <w:t xml:space="preserve">   </w:t>
            </w:r>
            <w:r w:rsidRPr="006F6DAC">
              <w:rPr>
                <w:rFonts w:ascii="Garamond" w:hAnsi="Garamond"/>
                <w:sz w:val="22"/>
                <w:szCs w:val="22"/>
                <w:highlight w:val="yellow"/>
                <w:lang w:val="en-US"/>
              </w:rPr>
              <w:tab/>
              <w:t xml:space="preserve">name   </w:t>
            </w:r>
            <w:r w:rsidRPr="006F6DAC">
              <w:rPr>
                <w:rFonts w:ascii="Garamond" w:hAnsi="Garamond"/>
                <w:sz w:val="22"/>
                <w:szCs w:val="22"/>
                <w:highlight w:val="yellow"/>
                <w:lang w:val="en-US"/>
              </w:rPr>
              <w:tab/>
              <w:t xml:space="preserve">CDATA #REQUIRED </w:t>
            </w:r>
          </w:p>
          <w:p w14:paraId="7305A587" w14:textId="77777777" w:rsidR="00F11A8B" w:rsidRPr="006F6DAC" w:rsidRDefault="00F11A8B" w:rsidP="00F11A8B">
            <w:pPr>
              <w:pStyle w:val="aff8"/>
              <w:rPr>
                <w:rFonts w:ascii="Garamond" w:hAnsi="Garamond"/>
                <w:sz w:val="22"/>
                <w:szCs w:val="22"/>
                <w:highlight w:val="yellow"/>
                <w:lang w:val="en-US"/>
              </w:rPr>
            </w:pPr>
            <w:r w:rsidRPr="006F6DAC">
              <w:rPr>
                <w:rFonts w:ascii="Garamond" w:hAnsi="Garamond"/>
                <w:sz w:val="22"/>
                <w:szCs w:val="22"/>
                <w:highlight w:val="yellow"/>
                <w:lang w:val="en-US"/>
              </w:rPr>
              <w:t xml:space="preserve">   &gt;</w:t>
            </w:r>
          </w:p>
          <w:p w14:paraId="3AAC2A73" w14:textId="77777777" w:rsidR="00F11A8B" w:rsidRPr="006F6DAC" w:rsidRDefault="00F11A8B" w:rsidP="00F11A8B">
            <w:pPr>
              <w:pStyle w:val="aff8"/>
              <w:rPr>
                <w:rFonts w:ascii="Garamond" w:hAnsi="Garamond"/>
                <w:sz w:val="22"/>
                <w:szCs w:val="22"/>
                <w:highlight w:val="yellow"/>
                <w:lang w:val="en-US"/>
              </w:rPr>
            </w:pPr>
            <w:r w:rsidRPr="006F6DAC">
              <w:rPr>
                <w:rFonts w:ascii="Garamond" w:hAnsi="Garamond"/>
                <w:sz w:val="22"/>
                <w:szCs w:val="22"/>
                <w:highlight w:val="yellow"/>
                <w:lang w:val="en-US"/>
              </w:rPr>
              <w:t>&lt;!ELEMENT deliverypoint (measuringchannel+) &gt;</w:t>
            </w:r>
          </w:p>
          <w:p w14:paraId="79E541BC" w14:textId="77777777" w:rsidR="00F11A8B" w:rsidRPr="006F6DAC" w:rsidRDefault="00F11A8B" w:rsidP="00F11A8B">
            <w:pPr>
              <w:pStyle w:val="aff8"/>
              <w:rPr>
                <w:rFonts w:ascii="Garamond" w:hAnsi="Garamond"/>
                <w:sz w:val="22"/>
                <w:szCs w:val="22"/>
                <w:highlight w:val="yellow"/>
                <w:lang w:val="en-US"/>
              </w:rPr>
            </w:pPr>
            <w:r w:rsidRPr="006F6DAC">
              <w:rPr>
                <w:rFonts w:ascii="Garamond" w:hAnsi="Garamond"/>
                <w:sz w:val="22"/>
                <w:szCs w:val="22"/>
                <w:highlight w:val="yellow"/>
                <w:lang w:val="en-US"/>
              </w:rPr>
              <w:t xml:space="preserve">   &lt;!ATTLIST deliverypoint</w:t>
            </w:r>
          </w:p>
          <w:p w14:paraId="6B17BFD5" w14:textId="77777777" w:rsidR="00F11A8B" w:rsidRPr="006F6DAC" w:rsidRDefault="00F11A8B" w:rsidP="00F11A8B">
            <w:pPr>
              <w:pStyle w:val="aff8"/>
              <w:rPr>
                <w:rFonts w:ascii="Garamond" w:hAnsi="Garamond"/>
                <w:sz w:val="22"/>
                <w:szCs w:val="22"/>
                <w:highlight w:val="yellow"/>
                <w:lang w:val="en-US"/>
              </w:rPr>
            </w:pPr>
            <w:r w:rsidRPr="006F6DAC">
              <w:rPr>
                <w:rFonts w:ascii="Garamond" w:hAnsi="Garamond"/>
                <w:sz w:val="22"/>
                <w:szCs w:val="22"/>
                <w:highlight w:val="yellow"/>
                <w:lang w:val="en-US"/>
              </w:rPr>
              <w:t xml:space="preserve">   </w:t>
            </w:r>
            <w:r w:rsidRPr="006F6DAC">
              <w:rPr>
                <w:rFonts w:ascii="Garamond" w:hAnsi="Garamond"/>
                <w:sz w:val="22"/>
                <w:szCs w:val="22"/>
                <w:highlight w:val="yellow"/>
                <w:lang w:val="en-US"/>
              </w:rPr>
              <w:tab/>
              <w:t xml:space="preserve">code   </w:t>
            </w:r>
            <w:r w:rsidRPr="006F6DAC">
              <w:rPr>
                <w:rFonts w:ascii="Garamond" w:hAnsi="Garamond"/>
                <w:sz w:val="22"/>
                <w:szCs w:val="22"/>
                <w:highlight w:val="yellow"/>
                <w:lang w:val="en-US"/>
              </w:rPr>
              <w:tab/>
              <w:t xml:space="preserve">CDATA #REQUIRED </w:t>
            </w:r>
          </w:p>
          <w:p w14:paraId="09273602" w14:textId="77777777" w:rsidR="00F11A8B" w:rsidRPr="006F6DAC" w:rsidRDefault="00F11A8B" w:rsidP="00F11A8B">
            <w:pPr>
              <w:pStyle w:val="aff8"/>
              <w:rPr>
                <w:rFonts w:ascii="Garamond" w:hAnsi="Garamond"/>
                <w:sz w:val="22"/>
                <w:szCs w:val="22"/>
                <w:highlight w:val="yellow"/>
                <w:lang w:val="en-US"/>
              </w:rPr>
            </w:pPr>
            <w:r w:rsidRPr="006F6DAC">
              <w:rPr>
                <w:rFonts w:ascii="Garamond" w:hAnsi="Garamond"/>
                <w:sz w:val="22"/>
                <w:szCs w:val="22"/>
                <w:highlight w:val="yellow"/>
                <w:lang w:val="en-US"/>
              </w:rPr>
              <w:t xml:space="preserve">   </w:t>
            </w:r>
            <w:r w:rsidRPr="006F6DAC">
              <w:rPr>
                <w:rFonts w:ascii="Garamond" w:hAnsi="Garamond"/>
                <w:sz w:val="22"/>
                <w:szCs w:val="22"/>
                <w:highlight w:val="yellow"/>
                <w:lang w:val="en-US"/>
              </w:rPr>
              <w:tab/>
              <w:t xml:space="preserve">name   </w:t>
            </w:r>
            <w:r w:rsidRPr="006F6DAC">
              <w:rPr>
                <w:rFonts w:ascii="Garamond" w:hAnsi="Garamond"/>
                <w:sz w:val="22"/>
                <w:szCs w:val="22"/>
                <w:highlight w:val="yellow"/>
                <w:lang w:val="en-US"/>
              </w:rPr>
              <w:tab/>
              <w:t>CDATA #REQUIRED</w:t>
            </w:r>
          </w:p>
          <w:p w14:paraId="404FA64B" w14:textId="77777777" w:rsidR="00F11A8B" w:rsidRPr="006F6DAC" w:rsidRDefault="00F11A8B" w:rsidP="00F11A8B">
            <w:pPr>
              <w:pStyle w:val="aff8"/>
              <w:rPr>
                <w:rFonts w:ascii="Garamond" w:hAnsi="Garamond"/>
                <w:sz w:val="22"/>
                <w:szCs w:val="22"/>
                <w:highlight w:val="yellow"/>
                <w:lang w:val="en-US"/>
              </w:rPr>
            </w:pPr>
            <w:r w:rsidRPr="006F6DAC">
              <w:rPr>
                <w:rFonts w:ascii="Garamond" w:hAnsi="Garamond"/>
                <w:sz w:val="22"/>
                <w:szCs w:val="22"/>
                <w:highlight w:val="yellow"/>
                <w:lang w:val="en-US"/>
              </w:rPr>
              <w:t xml:space="preserve">             algorithmversion   CDATA # IMPLIED </w:t>
            </w:r>
          </w:p>
          <w:p w14:paraId="4AAB7498" w14:textId="77777777" w:rsidR="00F11A8B" w:rsidRPr="006F6DAC" w:rsidRDefault="00F11A8B" w:rsidP="00F11A8B">
            <w:pPr>
              <w:pStyle w:val="aff8"/>
              <w:rPr>
                <w:rFonts w:ascii="Garamond" w:hAnsi="Garamond"/>
                <w:sz w:val="22"/>
                <w:szCs w:val="22"/>
                <w:highlight w:val="yellow"/>
                <w:lang w:val="en-US"/>
              </w:rPr>
            </w:pPr>
            <w:r w:rsidRPr="006F6DAC">
              <w:rPr>
                <w:rFonts w:ascii="Garamond" w:hAnsi="Garamond"/>
                <w:sz w:val="22"/>
                <w:szCs w:val="22"/>
                <w:highlight w:val="yellow"/>
                <w:lang w:val="en-US"/>
              </w:rPr>
              <w:t xml:space="preserve">    &gt;</w:t>
            </w:r>
          </w:p>
          <w:p w14:paraId="2EA4D3E5" w14:textId="77777777" w:rsidR="00F11A8B" w:rsidRPr="006F6DAC" w:rsidRDefault="00F11A8B" w:rsidP="00F11A8B">
            <w:pPr>
              <w:pStyle w:val="aff8"/>
              <w:rPr>
                <w:rFonts w:ascii="Garamond" w:hAnsi="Garamond"/>
                <w:sz w:val="22"/>
                <w:szCs w:val="22"/>
                <w:highlight w:val="yellow"/>
                <w:lang w:val="en-US"/>
              </w:rPr>
            </w:pPr>
            <w:r w:rsidRPr="006F6DAC">
              <w:rPr>
                <w:rFonts w:ascii="Garamond" w:hAnsi="Garamond"/>
                <w:sz w:val="22"/>
                <w:szCs w:val="22"/>
                <w:highlight w:val="yellow"/>
                <w:lang w:val="en-US"/>
              </w:rPr>
              <w:t>&lt;!ELEMENT deliverygroup (</w:t>
            </w:r>
            <w:r w:rsidRPr="006F6DAC">
              <w:rPr>
                <w:rFonts w:ascii="Garamond" w:hAnsi="Garamond"/>
                <w:color w:val="000000"/>
                <w:sz w:val="22"/>
                <w:szCs w:val="22"/>
                <w:highlight w:val="yellow"/>
                <w:lang w:val="en-US"/>
              </w:rPr>
              <w:t>period</w:t>
            </w:r>
            <w:r w:rsidRPr="006F6DAC">
              <w:rPr>
                <w:rFonts w:ascii="Garamond" w:hAnsi="Garamond"/>
                <w:sz w:val="22"/>
                <w:szCs w:val="22"/>
                <w:highlight w:val="yellow"/>
                <w:lang w:val="en-US"/>
              </w:rPr>
              <w:t>+) &gt;</w:t>
            </w:r>
          </w:p>
          <w:p w14:paraId="0461C885" w14:textId="77777777" w:rsidR="00F11A8B" w:rsidRPr="006F6DAC" w:rsidRDefault="00F11A8B" w:rsidP="00F11A8B">
            <w:pPr>
              <w:pStyle w:val="aff8"/>
              <w:rPr>
                <w:rFonts w:ascii="Garamond" w:hAnsi="Garamond"/>
                <w:sz w:val="22"/>
                <w:szCs w:val="22"/>
                <w:highlight w:val="yellow"/>
                <w:lang w:val="en-US"/>
              </w:rPr>
            </w:pPr>
            <w:r w:rsidRPr="006F6DAC">
              <w:rPr>
                <w:rFonts w:ascii="Garamond" w:hAnsi="Garamond"/>
                <w:sz w:val="22"/>
                <w:szCs w:val="22"/>
                <w:highlight w:val="yellow"/>
                <w:lang w:val="en-US"/>
              </w:rPr>
              <w:t xml:space="preserve">   &lt;!ATTLIST deliverygroup</w:t>
            </w:r>
          </w:p>
          <w:p w14:paraId="36563F01" w14:textId="77777777" w:rsidR="00F11A8B" w:rsidRPr="006F6DAC" w:rsidRDefault="00F11A8B" w:rsidP="00F11A8B">
            <w:pPr>
              <w:pStyle w:val="aff8"/>
              <w:rPr>
                <w:rFonts w:ascii="Garamond" w:hAnsi="Garamond"/>
                <w:sz w:val="22"/>
                <w:szCs w:val="22"/>
                <w:highlight w:val="yellow"/>
                <w:lang w:val="en-US"/>
              </w:rPr>
            </w:pPr>
            <w:r w:rsidRPr="006F6DAC">
              <w:rPr>
                <w:rFonts w:ascii="Garamond" w:hAnsi="Garamond"/>
                <w:sz w:val="22"/>
                <w:szCs w:val="22"/>
                <w:highlight w:val="yellow"/>
                <w:lang w:val="en-US"/>
              </w:rPr>
              <w:t xml:space="preserve">   </w:t>
            </w:r>
            <w:r w:rsidRPr="006F6DAC">
              <w:rPr>
                <w:rFonts w:ascii="Garamond" w:hAnsi="Garamond"/>
                <w:sz w:val="22"/>
                <w:szCs w:val="22"/>
                <w:highlight w:val="yellow"/>
                <w:lang w:val="en-US"/>
              </w:rPr>
              <w:tab/>
              <w:t xml:space="preserve">code   </w:t>
            </w:r>
            <w:r w:rsidRPr="006F6DAC">
              <w:rPr>
                <w:rFonts w:ascii="Garamond" w:hAnsi="Garamond"/>
                <w:sz w:val="22"/>
                <w:szCs w:val="22"/>
                <w:highlight w:val="yellow"/>
                <w:lang w:val="en-US"/>
              </w:rPr>
              <w:tab/>
              <w:t xml:space="preserve">CDATA #REQUIRED </w:t>
            </w:r>
          </w:p>
          <w:p w14:paraId="25BBD50B" w14:textId="77777777" w:rsidR="00F11A8B" w:rsidRPr="006F6DAC" w:rsidRDefault="00F11A8B" w:rsidP="00F11A8B">
            <w:pPr>
              <w:pStyle w:val="aff8"/>
              <w:rPr>
                <w:rFonts w:ascii="Garamond" w:hAnsi="Garamond"/>
                <w:sz w:val="22"/>
                <w:szCs w:val="22"/>
                <w:highlight w:val="yellow"/>
                <w:lang w:val="en-US"/>
              </w:rPr>
            </w:pPr>
            <w:r w:rsidRPr="006F6DAC">
              <w:rPr>
                <w:rFonts w:ascii="Garamond" w:hAnsi="Garamond"/>
                <w:sz w:val="22"/>
                <w:szCs w:val="22"/>
                <w:highlight w:val="yellow"/>
                <w:lang w:val="en-US"/>
              </w:rPr>
              <w:t xml:space="preserve">   </w:t>
            </w:r>
            <w:r w:rsidRPr="006F6DAC">
              <w:rPr>
                <w:rFonts w:ascii="Garamond" w:hAnsi="Garamond"/>
                <w:sz w:val="22"/>
                <w:szCs w:val="22"/>
                <w:highlight w:val="yellow"/>
                <w:lang w:val="en-US"/>
              </w:rPr>
              <w:tab/>
              <w:t xml:space="preserve">name   </w:t>
            </w:r>
            <w:r w:rsidRPr="006F6DAC">
              <w:rPr>
                <w:rFonts w:ascii="Garamond" w:hAnsi="Garamond"/>
                <w:sz w:val="22"/>
                <w:szCs w:val="22"/>
                <w:highlight w:val="yellow"/>
                <w:lang w:val="en-US"/>
              </w:rPr>
              <w:tab/>
              <w:t xml:space="preserve">CDATA #REQUIRED </w:t>
            </w:r>
          </w:p>
          <w:p w14:paraId="31E8CC02" w14:textId="77777777" w:rsidR="00F11A8B" w:rsidRPr="006F6DAC" w:rsidRDefault="00F11A8B" w:rsidP="00F11A8B">
            <w:pPr>
              <w:pStyle w:val="aff8"/>
              <w:rPr>
                <w:rFonts w:ascii="Garamond" w:hAnsi="Garamond"/>
                <w:sz w:val="22"/>
                <w:szCs w:val="22"/>
                <w:highlight w:val="yellow"/>
                <w:lang w:val="en-US"/>
              </w:rPr>
            </w:pPr>
            <w:r w:rsidRPr="006F6DAC">
              <w:rPr>
                <w:rFonts w:ascii="Garamond" w:hAnsi="Garamond"/>
                <w:sz w:val="22"/>
                <w:szCs w:val="22"/>
                <w:highlight w:val="yellow"/>
                <w:lang w:val="en-US"/>
              </w:rPr>
              <w:t xml:space="preserve">             algorithmversion   CDATA # IMPLIED </w:t>
            </w:r>
          </w:p>
          <w:p w14:paraId="4AE7275E" w14:textId="77777777" w:rsidR="00F11A8B" w:rsidRPr="006F6DAC" w:rsidRDefault="00F11A8B" w:rsidP="00F11A8B">
            <w:pPr>
              <w:pStyle w:val="aff8"/>
              <w:rPr>
                <w:rFonts w:ascii="Garamond" w:hAnsi="Garamond"/>
                <w:sz w:val="22"/>
                <w:szCs w:val="22"/>
                <w:highlight w:val="yellow"/>
                <w:lang w:val="en-US"/>
              </w:rPr>
            </w:pPr>
            <w:r w:rsidRPr="006F6DAC">
              <w:rPr>
                <w:rFonts w:ascii="Garamond" w:hAnsi="Garamond"/>
                <w:sz w:val="22"/>
                <w:szCs w:val="22"/>
                <w:highlight w:val="yellow"/>
                <w:lang w:val="en-US"/>
              </w:rPr>
              <w:t xml:space="preserve">   &gt;</w:t>
            </w:r>
          </w:p>
          <w:p w14:paraId="20DE154C" w14:textId="77777777" w:rsidR="00F11A8B" w:rsidRPr="006F6DAC" w:rsidRDefault="00F11A8B" w:rsidP="00F11A8B">
            <w:pPr>
              <w:pStyle w:val="aff8"/>
              <w:rPr>
                <w:rFonts w:ascii="Garamond" w:hAnsi="Garamond"/>
                <w:sz w:val="22"/>
                <w:szCs w:val="22"/>
                <w:highlight w:val="yellow"/>
                <w:lang w:val="en-US"/>
              </w:rPr>
            </w:pPr>
            <w:r w:rsidRPr="006F6DAC">
              <w:rPr>
                <w:rFonts w:ascii="Garamond" w:hAnsi="Garamond"/>
                <w:sz w:val="22"/>
                <w:szCs w:val="22"/>
                <w:highlight w:val="yellow"/>
                <w:lang w:val="en-US"/>
              </w:rPr>
              <w:t>&lt;!ELEMENT measuringchannel (period+) &gt;</w:t>
            </w:r>
          </w:p>
          <w:p w14:paraId="02E3B76A" w14:textId="77777777" w:rsidR="00F11A8B" w:rsidRPr="006F6DAC" w:rsidRDefault="00F11A8B" w:rsidP="00F11A8B">
            <w:pPr>
              <w:pStyle w:val="aff8"/>
              <w:rPr>
                <w:rFonts w:ascii="Garamond" w:hAnsi="Garamond"/>
                <w:sz w:val="22"/>
                <w:szCs w:val="22"/>
                <w:highlight w:val="yellow"/>
                <w:lang w:val="en-US"/>
              </w:rPr>
            </w:pPr>
            <w:r w:rsidRPr="006F6DAC">
              <w:rPr>
                <w:rFonts w:ascii="Garamond" w:hAnsi="Garamond"/>
                <w:sz w:val="22"/>
                <w:szCs w:val="22"/>
                <w:highlight w:val="yellow"/>
                <w:lang w:val="en-US"/>
              </w:rPr>
              <w:t xml:space="preserve">   &lt;!ATTLIST measuringchannel</w:t>
            </w:r>
          </w:p>
          <w:p w14:paraId="750016D3" w14:textId="77777777" w:rsidR="00F11A8B" w:rsidRPr="006F6DAC" w:rsidRDefault="00F11A8B" w:rsidP="00F11A8B">
            <w:pPr>
              <w:pStyle w:val="aff8"/>
              <w:rPr>
                <w:rFonts w:ascii="Garamond" w:hAnsi="Garamond"/>
                <w:sz w:val="22"/>
                <w:szCs w:val="22"/>
                <w:highlight w:val="yellow"/>
                <w:lang w:val="en-US"/>
              </w:rPr>
            </w:pPr>
            <w:r w:rsidRPr="006F6DAC">
              <w:rPr>
                <w:rFonts w:ascii="Garamond" w:hAnsi="Garamond"/>
                <w:sz w:val="22"/>
                <w:szCs w:val="22"/>
                <w:highlight w:val="yellow"/>
                <w:lang w:val="en-US"/>
              </w:rPr>
              <w:t xml:space="preserve">   </w:t>
            </w:r>
            <w:r w:rsidRPr="006F6DAC">
              <w:rPr>
                <w:rFonts w:ascii="Garamond" w:hAnsi="Garamond"/>
                <w:sz w:val="22"/>
                <w:szCs w:val="22"/>
                <w:highlight w:val="yellow"/>
                <w:lang w:val="en-US"/>
              </w:rPr>
              <w:tab/>
              <w:t xml:space="preserve">code   </w:t>
            </w:r>
            <w:r w:rsidRPr="006F6DAC">
              <w:rPr>
                <w:rFonts w:ascii="Garamond" w:hAnsi="Garamond"/>
                <w:sz w:val="22"/>
                <w:szCs w:val="22"/>
                <w:highlight w:val="yellow"/>
                <w:lang w:val="en-US"/>
              </w:rPr>
              <w:tab/>
              <w:t xml:space="preserve">CDATA #REQUIRED </w:t>
            </w:r>
          </w:p>
          <w:p w14:paraId="1F789B23" w14:textId="77777777" w:rsidR="00F11A8B" w:rsidRPr="006F6DAC" w:rsidRDefault="00F11A8B" w:rsidP="00F11A8B">
            <w:pPr>
              <w:pStyle w:val="aff8"/>
              <w:rPr>
                <w:rFonts w:ascii="Garamond" w:hAnsi="Garamond"/>
                <w:sz w:val="22"/>
                <w:szCs w:val="22"/>
                <w:highlight w:val="yellow"/>
                <w:lang w:val="en-US"/>
              </w:rPr>
            </w:pPr>
            <w:r w:rsidRPr="006F6DAC">
              <w:rPr>
                <w:rFonts w:ascii="Garamond" w:hAnsi="Garamond"/>
                <w:sz w:val="22"/>
                <w:szCs w:val="22"/>
                <w:highlight w:val="yellow"/>
                <w:lang w:val="en-US"/>
              </w:rPr>
              <w:t xml:space="preserve">   </w:t>
            </w:r>
            <w:r w:rsidRPr="006F6DAC">
              <w:rPr>
                <w:rFonts w:ascii="Garamond" w:hAnsi="Garamond"/>
                <w:sz w:val="22"/>
                <w:szCs w:val="22"/>
                <w:highlight w:val="yellow"/>
                <w:lang w:val="en-US"/>
              </w:rPr>
              <w:tab/>
              <w:t xml:space="preserve">desc   </w:t>
            </w:r>
            <w:r w:rsidRPr="006F6DAC">
              <w:rPr>
                <w:rFonts w:ascii="Garamond" w:hAnsi="Garamond"/>
                <w:sz w:val="22"/>
                <w:szCs w:val="22"/>
                <w:highlight w:val="yellow"/>
                <w:lang w:val="en-US"/>
              </w:rPr>
              <w:tab/>
              <w:t xml:space="preserve">CDATA #REQUIRED </w:t>
            </w:r>
          </w:p>
          <w:p w14:paraId="70E44948" w14:textId="77777777" w:rsidR="00F11A8B" w:rsidRPr="006F6DAC" w:rsidRDefault="00F11A8B" w:rsidP="00F11A8B">
            <w:pPr>
              <w:pStyle w:val="aff8"/>
              <w:rPr>
                <w:rFonts w:ascii="Garamond" w:hAnsi="Garamond"/>
                <w:sz w:val="22"/>
                <w:szCs w:val="22"/>
                <w:highlight w:val="yellow"/>
                <w:lang w:val="en-US"/>
              </w:rPr>
            </w:pPr>
            <w:r w:rsidRPr="006F6DAC">
              <w:rPr>
                <w:rFonts w:ascii="Garamond" w:hAnsi="Garamond"/>
                <w:sz w:val="22"/>
                <w:szCs w:val="22"/>
                <w:highlight w:val="yellow"/>
                <w:lang w:val="en-US"/>
              </w:rPr>
              <w:t xml:space="preserve">             algorithmversion   CDATA # IMPLIED</w:t>
            </w:r>
          </w:p>
          <w:p w14:paraId="00DC3882" w14:textId="77777777" w:rsidR="00F11A8B" w:rsidRPr="006F6DAC" w:rsidRDefault="00F11A8B" w:rsidP="00F11A8B">
            <w:pPr>
              <w:pStyle w:val="aff8"/>
              <w:rPr>
                <w:rFonts w:ascii="Garamond" w:hAnsi="Garamond"/>
                <w:sz w:val="22"/>
                <w:szCs w:val="22"/>
                <w:highlight w:val="yellow"/>
                <w:lang w:val="en-US"/>
              </w:rPr>
            </w:pPr>
            <w:r w:rsidRPr="006F6DAC">
              <w:rPr>
                <w:rFonts w:ascii="Garamond" w:hAnsi="Garamond"/>
                <w:sz w:val="22"/>
                <w:szCs w:val="22"/>
                <w:highlight w:val="yellow"/>
                <w:lang w:val="en-US"/>
              </w:rPr>
              <w:t xml:space="preserve">   &gt;</w:t>
            </w:r>
          </w:p>
          <w:p w14:paraId="1B7095B1" w14:textId="77777777" w:rsidR="00F11A8B" w:rsidRPr="006F6DAC" w:rsidRDefault="00F11A8B" w:rsidP="00F11A8B">
            <w:pPr>
              <w:pStyle w:val="aff8"/>
              <w:rPr>
                <w:rFonts w:ascii="Garamond" w:hAnsi="Garamond"/>
                <w:sz w:val="22"/>
                <w:szCs w:val="22"/>
                <w:highlight w:val="yellow"/>
                <w:lang w:val="en-US"/>
              </w:rPr>
            </w:pPr>
            <w:r w:rsidRPr="006F6DAC">
              <w:rPr>
                <w:rFonts w:ascii="Garamond" w:hAnsi="Garamond"/>
                <w:sz w:val="22"/>
                <w:szCs w:val="22"/>
                <w:highlight w:val="yellow"/>
                <w:lang w:val="en-US"/>
              </w:rPr>
              <w:t>&lt;!ELEMENT period (value) &gt;</w:t>
            </w:r>
          </w:p>
          <w:p w14:paraId="492B5F33" w14:textId="77777777" w:rsidR="00F11A8B" w:rsidRPr="006F6DAC" w:rsidRDefault="00F11A8B" w:rsidP="00F11A8B">
            <w:pPr>
              <w:pStyle w:val="aff8"/>
              <w:rPr>
                <w:rFonts w:ascii="Garamond" w:hAnsi="Garamond"/>
                <w:sz w:val="22"/>
                <w:szCs w:val="22"/>
                <w:highlight w:val="yellow"/>
                <w:lang w:val="en-US"/>
              </w:rPr>
            </w:pPr>
            <w:r w:rsidRPr="006F6DAC">
              <w:rPr>
                <w:rFonts w:ascii="Garamond" w:hAnsi="Garamond"/>
                <w:sz w:val="22"/>
                <w:szCs w:val="22"/>
                <w:highlight w:val="yellow"/>
                <w:lang w:val="en-US"/>
              </w:rPr>
              <w:t xml:space="preserve">   &lt;!ATTLIST period </w:t>
            </w:r>
          </w:p>
          <w:p w14:paraId="1FEFF9D7" w14:textId="77777777" w:rsidR="00F11A8B" w:rsidRPr="006F6DAC" w:rsidRDefault="00F11A8B" w:rsidP="00F11A8B">
            <w:pPr>
              <w:pStyle w:val="aff8"/>
              <w:ind w:firstLine="708"/>
              <w:rPr>
                <w:rFonts w:ascii="Garamond" w:hAnsi="Garamond"/>
                <w:sz w:val="22"/>
                <w:szCs w:val="22"/>
                <w:highlight w:val="yellow"/>
                <w:lang w:val="en-US"/>
              </w:rPr>
            </w:pPr>
            <w:r w:rsidRPr="006F6DAC">
              <w:rPr>
                <w:rFonts w:ascii="Garamond" w:hAnsi="Garamond"/>
                <w:sz w:val="22"/>
                <w:szCs w:val="22"/>
                <w:highlight w:val="yellow"/>
                <w:lang w:val="en-US"/>
              </w:rPr>
              <w:t xml:space="preserve">start </w:t>
            </w:r>
            <w:r w:rsidRPr="006F6DAC">
              <w:rPr>
                <w:rFonts w:ascii="Garamond" w:hAnsi="Garamond"/>
                <w:sz w:val="22"/>
                <w:szCs w:val="22"/>
                <w:highlight w:val="yellow"/>
                <w:lang w:val="en-US"/>
              </w:rPr>
              <w:tab/>
              <w:t xml:space="preserve"> CDATA #REQUIRED  </w:t>
            </w:r>
          </w:p>
          <w:p w14:paraId="545061DB" w14:textId="77777777" w:rsidR="00F11A8B" w:rsidRPr="006F6DAC" w:rsidRDefault="00F11A8B" w:rsidP="00F11A8B">
            <w:pPr>
              <w:pStyle w:val="aff8"/>
              <w:rPr>
                <w:rFonts w:ascii="Garamond" w:hAnsi="Garamond"/>
                <w:sz w:val="22"/>
                <w:szCs w:val="22"/>
                <w:highlight w:val="yellow"/>
                <w:lang w:val="en-US"/>
              </w:rPr>
            </w:pPr>
            <w:r w:rsidRPr="006F6DAC">
              <w:rPr>
                <w:rFonts w:ascii="Garamond" w:hAnsi="Garamond"/>
                <w:sz w:val="22"/>
                <w:szCs w:val="22"/>
                <w:highlight w:val="yellow"/>
                <w:lang w:val="en-US"/>
              </w:rPr>
              <w:t xml:space="preserve">   </w:t>
            </w:r>
            <w:r w:rsidRPr="006F6DAC">
              <w:rPr>
                <w:rFonts w:ascii="Garamond" w:hAnsi="Garamond"/>
                <w:sz w:val="22"/>
                <w:szCs w:val="22"/>
                <w:highlight w:val="yellow"/>
                <w:lang w:val="en-US"/>
              </w:rPr>
              <w:tab/>
              <w:t xml:space="preserve">end </w:t>
            </w:r>
            <w:r w:rsidRPr="006F6DAC">
              <w:rPr>
                <w:rFonts w:ascii="Garamond" w:hAnsi="Garamond"/>
                <w:sz w:val="22"/>
                <w:szCs w:val="22"/>
                <w:highlight w:val="yellow"/>
                <w:lang w:val="en-US"/>
              </w:rPr>
              <w:tab/>
              <w:t xml:space="preserve"> CDATA #REQUIRED  </w:t>
            </w:r>
          </w:p>
          <w:p w14:paraId="2AC6E39B" w14:textId="77777777" w:rsidR="00F11A8B" w:rsidRPr="006F6DAC" w:rsidRDefault="00F11A8B" w:rsidP="00F11A8B">
            <w:pPr>
              <w:pStyle w:val="aff8"/>
              <w:rPr>
                <w:rFonts w:ascii="Garamond" w:hAnsi="Garamond"/>
                <w:sz w:val="22"/>
                <w:szCs w:val="22"/>
                <w:highlight w:val="yellow"/>
                <w:lang w:val="en-US"/>
              </w:rPr>
            </w:pPr>
            <w:r w:rsidRPr="006F6DAC">
              <w:rPr>
                <w:rFonts w:ascii="Garamond" w:hAnsi="Garamond"/>
                <w:sz w:val="22"/>
                <w:szCs w:val="22"/>
                <w:highlight w:val="yellow"/>
                <w:lang w:val="en-US"/>
              </w:rPr>
              <w:t xml:space="preserve">   </w:t>
            </w:r>
            <w:r w:rsidRPr="006F6DAC">
              <w:rPr>
                <w:rFonts w:ascii="Garamond" w:hAnsi="Garamond"/>
                <w:sz w:val="22"/>
                <w:szCs w:val="22"/>
                <w:highlight w:val="yellow"/>
                <w:lang w:val="en-US"/>
              </w:rPr>
              <w:tab/>
              <w:t>    &gt;</w:t>
            </w:r>
          </w:p>
          <w:p w14:paraId="2B166B01" w14:textId="77777777" w:rsidR="00F11A8B" w:rsidRPr="006F6DAC" w:rsidRDefault="00F11A8B" w:rsidP="00F11A8B">
            <w:pPr>
              <w:pStyle w:val="aff8"/>
              <w:rPr>
                <w:rFonts w:ascii="Garamond" w:hAnsi="Garamond"/>
                <w:sz w:val="22"/>
                <w:szCs w:val="22"/>
                <w:highlight w:val="yellow"/>
                <w:lang w:val="en-US"/>
              </w:rPr>
            </w:pPr>
            <w:r w:rsidRPr="006F6DAC">
              <w:rPr>
                <w:rFonts w:ascii="Garamond" w:hAnsi="Garamond"/>
                <w:sz w:val="22"/>
                <w:szCs w:val="22"/>
                <w:highlight w:val="yellow"/>
                <w:lang w:val="en-US"/>
              </w:rPr>
              <w:t>&lt;!ELEMENT value (#PCDATA) &gt;</w:t>
            </w:r>
          </w:p>
          <w:p w14:paraId="1613D9F6" w14:textId="77777777" w:rsidR="00F11A8B" w:rsidRPr="006F6DAC" w:rsidRDefault="00F11A8B" w:rsidP="00F11A8B">
            <w:pPr>
              <w:pStyle w:val="aff8"/>
              <w:rPr>
                <w:rFonts w:ascii="Garamond" w:hAnsi="Garamond"/>
                <w:sz w:val="22"/>
                <w:szCs w:val="22"/>
                <w:highlight w:val="yellow"/>
                <w:lang w:val="en-US"/>
              </w:rPr>
            </w:pPr>
            <w:r w:rsidRPr="006F6DAC">
              <w:rPr>
                <w:rFonts w:ascii="Garamond" w:hAnsi="Garamond"/>
                <w:sz w:val="22"/>
                <w:szCs w:val="22"/>
                <w:highlight w:val="yellow"/>
                <w:lang w:val="en-US"/>
              </w:rPr>
              <w:lastRenderedPageBreak/>
              <w:t xml:space="preserve">   &lt;!ATTLIST value </w:t>
            </w:r>
          </w:p>
          <w:p w14:paraId="129D689E" w14:textId="77777777" w:rsidR="00F11A8B" w:rsidRPr="006F6DAC" w:rsidRDefault="00F11A8B" w:rsidP="00F11A8B">
            <w:pPr>
              <w:pStyle w:val="aff8"/>
              <w:rPr>
                <w:rFonts w:ascii="Garamond" w:hAnsi="Garamond"/>
                <w:sz w:val="22"/>
                <w:szCs w:val="22"/>
                <w:highlight w:val="yellow"/>
                <w:lang w:val="en-US"/>
              </w:rPr>
            </w:pPr>
            <w:r w:rsidRPr="006F6DAC">
              <w:rPr>
                <w:rFonts w:ascii="Garamond" w:hAnsi="Garamond"/>
                <w:sz w:val="22"/>
                <w:szCs w:val="22"/>
                <w:highlight w:val="yellow"/>
                <w:lang w:val="en-US"/>
              </w:rPr>
              <w:tab/>
              <w:t>status CDATA #IMPLIED</w:t>
            </w:r>
          </w:p>
          <w:p w14:paraId="3BC33C5B" w14:textId="77777777" w:rsidR="00F11A8B" w:rsidRPr="006F6DAC" w:rsidRDefault="00F11A8B" w:rsidP="00F11A8B">
            <w:pPr>
              <w:pStyle w:val="aff8"/>
              <w:rPr>
                <w:rFonts w:ascii="Garamond" w:hAnsi="Garamond"/>
                <w:sz w:val="22"/>
                <w:szCs w:val="22"/>
                <w:highlight w:val="yellow"/>
                <w:lang w:val="en-US"/>
              </w:rPr>
            </w:pPr>
            <w:r w:rsidRPr="006F6DAC">
              <w:rPr>
                <w:rFonts w:ascii="Garamond" w:hAnsi="Garamond"/>
                <w:sz w:val="22"/>
                <w:szCs w:val="22"/>
                <w:highlight w:val="yellow"/>
                <w:lang w:val="en-US"/>
              </w:rPr>
              <w:tab/>
              <w:t>errofmeasuring CDATA #IMPLIED</w:t>
            </w:r>
          </w:p>
          <w:p w14:paraId="4BEF496C" w14:textId="77777777" w:rsidR="00F11A8B" w:rsidRPr="006F6DAC" w:rsidRDefault="00F11A8B" w:rsidP="00F11A8B">
            <w:pPr>
              <w:pStyle w:val="aff8"/>
              <w:rPr>
                <w:rFonts w:ascii="Garamond" w:hAnsi="Garamond"/>
                <w:sz w:val="22"/>
                <w:szCs w:val="22"/>
                <w:highlight w:val="yellow"/>
                <w:lang w:val="en-US"/>
              </w:rPr>
            </w:pPr>
            <w:r w:rsidRPr="006F6DAC">
              <w:rPr>
                <w:rFonts w:ascii="Garamond" w:hAnsi="Garamond"/>
                <w:sz w:val="22"/>
                <w:szCs w:val="22"/>
                <w:highlight w:val="yellow"/>
                <w:lang w:val="en-US"/>
              </w:rPr>
              <w:tab/>
              <w:t>param1 CDATA #IMPLIED</w:t>
            </w:r>
          </w:p>
          <w:p w14:paraId="35E09052" w14:textId="77777777" w:rsidR="00F11A8B" w:rsidRPr="006F6DAC" w:rsidRDefault="00F11A8B" w:rsidP="00F11A8B">
            <w:pPr>
              <w:pStyle w:val="aff8"/>
              <w:rPr>
                <w:rFonts w:ascii="Garamond" w:hAnsi="Garamond"/>
                <w:sz w:val="22"/>
                <w:szCs w:val="22"/>
                <w:highlight w:val="yellow"/>
                <w:lang w:val="en-US"/>
              </w:rPr>
            </w:pPr>
            <w:r w:rsidRPr="006F6DAC">
              <w:rPr>
                <w:rFonts w:ascii="Garamond" w:hAnsi="Garamond"/>
                <w:sz w:val="22"/>
                <w:szCs w:val="22"/>
                <w:highlight w:val="yellow"/>
                <w:lang w:val="en-US"/>
              </w:rPr>
              <w:tab/>
              <w:t>param2 CDATA #IMPLIED</w:t>
            </w:r>
          </w:p>
          <w:p w14:paraId="030D7CB3" w14:textId="77777777" w:rsidR="00F11A8B" w:rsidRPr="006F6DAC" w:rsidRDefault="00F11A8B" w:rsidP="00F11A8B">
            <w:pPr>
              <w:pStyle w:val="aff8"/>
              <w:rPr>
                <w:rFonts w:ascii="Garamond" w:hAnsi="Garamond"/>
                <w:sz w:val="22"/>
                <w:szCs w:val="22"/>
                <w:highlight w:val="yellow"/>
                <w:lang w:val="en-US"/>
              </w:rPr>
            </w:pPr>
            <w:r w:rsidRPr="006F6DAC">
              <w:rPr>
                <w:rFonts w:ascii="Garamond" w:hAnsi="Garamond"/>
                <w:sz w:val="22"/>
                <w:szCs w:val="22"/>
                <w:highlight w:val="yellow"/>
                <w:lang w:val="en-US"/>
              </w:rPr>
              <w:tab/>
              <w:t>param3 CDATA #IMPLIED</w:t>
            </w:r>
          </w:p>
          <w:p w14:paraId="37758983" w14:textId="77777777" w:rsidR="00F11A8B" w:rsidRPr="006F6DAC" w:rsidRDefault="00F11A8B" w:rsidP="00F11A8B">
            <w:pPr>
              <w:pStyle w:val="aff8"/>
              <w:rPr>
                <w:rFonts w:ascii="Garamond" w:hAnsi="Garamond"/>
                <w:sz w:val="22"/>
                <w:szCs w:val="22"/>
                <w:highlight w:val="yellow"/>
              </w:rPr>
            </w:pPr>
            <w:r w:rsidRPr="006F6DAC">
              <w:rPr>
                <w:rFonts w:ascii="Garamond" w:hAnsi="Garamond"/>
                <w:sz w:val="22"/>
                <w:szCs w:val="22"/>
                <w:highlight w:val="yellow"/>
                <w:lang w:val="en-US"/>
              </w:rPr>
              <w:tab/>
              <w:t>extendedstatus</w:t>
            </w:r>
            <w:r w:rsidRPr="006F6DAC">
              <w:rPr>
                <w:rFonts w:ascii="Garamond" w:hAnsi="Garamond"/>
                <w:sz w:val="22"/>
                <w:szCs w:val="22"/>
                <w:highlight w:val="yellow"/>
              </w:rPr>
              <w:t xml:space="preserve"> </w:t>
            </w:r>
            <w:r w:rsidRPr="006F6DAC">
              <w:rPr>
                <w:rFonts w:ascii="Garamond" w:hAnsi="Garamond"/>
                <w:sz w:val="22"/>
                <w:szCs w:val="22"/>
                <w:highlight w:val="yellow"/>
                <w:lang w:val="en-US"/>
              </w:rPr>
              <w:t>CDATA</w:t>
            </w:r>
            <w:r w:rsidRPr="006F6DAC">
              <w:rPr>
                <w:rFonts w:ascii="Garamond" w:hAnsi="Garamond"/>
                <w:sz w:val="22"/>
                <w:szCs w:val="22"/>
                <w:highlight w:val="yellow"/>
              </w:rPr>
              <w:t xml:space="preserve"> #</w:t>
            </w:r>
            <w:r w:rsidRPr="006F6DAC">
              <w:rPr>
                <w:rFonts w:ascii="Garamond" w:hAnsi="Garamond"/>
                <w:sz w:val="22"/>
                <w:szCs w:val="22"/>
                <w:highlight w:val="yellow"/>
                <w:lang w:val="en-US"/>
              </w:rPr>
              <w:t>IMPLIED</w:t>
            </w:r>
          </w:p>
          <w:p w14:paraId="3329400F" w14:textId="77777777" w:rsidR="00F11A8B" w:rsidRPr="006F6DAC" w:rsidRDefault="00F11A8B" w:rsidP="00F11A8B">
            <w:pPr>
              <w:pStyle w:val="aff8"/>
              <w:rPr>
                <w:rFonts w:ascii="Garamond" w:hAnsi="Garamond"/>
                <w:sz w:val="22"/>
                <w:szCs w:val="22"/>
              </w:rPr>
            </w:pPr>
            <w:r w:rsidRPr="006F6DAC">
              <w:rPr>
                <w:rFonts w:ascii="Garamond" w:hAnsi="Garamond"/>
                <w:sz w:val="22"/>
                <w:szCs w:val="22"/>
                <w:highlight w:val="yellow"/>
              </w:rPr>
              <w:t xml:space="preserve">   &gt;</w:t>
            </w:r>
          </w:p>
        </w:tc>
        <w:tc>
          <w:tcPr>
            <w:tcW w:w="7115" w:type="dxa"/>
          </w:tcPr>
          <w:p w14:paraId="508B4548" w14:textId="77777777" w:rsidR="00F11A8B" w:rsidRPr="006F6DAC" w:rsidRDefault="00F11A8B" w:rsidP="00F11A8B">
            <w:pPr>
              <w:jc w:val="center"/>
              <w:rPr>
                <w:rFonts w:ascii="Garamond" w:hAnsi="Garamond"/>
                <w:b/>
                <w:sz w:val="22"/>
                <w:szCs w:val="22"/>
                <w:highlight w:val="yellow"/>
              </w:rPr>
            </w:pPr>
            <w:r w:rsidRPr="006F6DAC">
              <w:rPr>
                <w:rFonts w:ascii="Garamond" w:hAnsi="Garamond"/>
                <w:b/>
                <w:sz w:val="22"/>
                <w:szCs w:val="22"/>
                <w:highlight w:val="yellow"/>
              </w:rPr>
              <w:lastRenderedPageBreak/>
              <w:t>Описание формата передачи результатов измерений и данных о состоянии объектов измерений по объектам регулирования (документ 20020)</w:t>
            </w:r>
          </w:p>
          <w:p w14:paraId="09EDC017" w14:textId="77777777" w:rsidR="00F11A8B" w:rsidRPr="006F6DAC" w:rsidRDefault="00F11A8B" w:rsidP="00F11A8B">
            <w:pPr>
              <w:jc w:val="center"/>
              <w:rPr>
                <w:rFonts w:ascii="Garamond" w:hAnsi="Garamond"/>
                <w:b/>
                <w:sz w:val="22"/>
                <w:szCs w:val="22"/>
                <w:highlight w:val="yellow"/>
              </w:rPr>
            </w:pPr>
          </w:p>
          <w:p w14:paraId="00EED92C" w14:textId="77777777" w:rsidR="00F11A8B" w:rsidRPr="006F6DAC" w:rsidRDefault="00F11A8B" w:rsidP="00F11A8B">
            <w:pPr>
              <w:jc w:val="both"/>
              <w:rPr>
                <w:rFonts w:ascii="Garamond" w:hAnsi="Garamond"/>
                <w:b/>
                <w:sz w:val="22"/>
                <w:szCs w:val="22"/>
                <w:highlight w:val="yellow"/>
              </w:rPr>
            </w:pPr>
            <w:r w:rsidRPr="006F6DAC">
              <w:rPr>
                <w:rFonts w:ascii="Garamond" w:hAnsi="Garamond"/>
                <w:b/>
                <w:sz w:val="22"/>
                <w:szCs w:val="22"/>
                <w:highlight w:val="yellow"/>
              </w:rPr>
              <w:t>Описание документа</w:t>
            </w:r>
          </w:p>
          <w:p w14:paraId="660E23E8" w14:textId="6B7260A9" w:rsidR="00F11A8B" w:rsidRPr="006F6DAC" w:rsidRDefault="00F11A8B" w:rsidP="00F11A8B">
            <w:pPr>
              <w:spacing w:before="120" w:after="120"/>
              <w:ind w:firstLine="708"/>
              <w:jc w:val="both"/>
              <w:rPr>
                <w:rFonts w:ascii="Garamond" w:eastAsia="Times New Roman" w:hAnsi="Garamond"/>
                <w:sz w:val="22"/>
                <w:szCs w:val="22"/>
                <w:highlight w:val="yellow"/>
                <w:lang w:bidi="en-US"/>
              </w:rPr>
            </w:pPr>
            <w:r w:rsidRPr="006F6DAC">
              <w:rPr>
                <w:rFonts w:ascii="Garamond" w:eastAsia="Times New Roman" w:hAnsi="Garamond"/>
                <w:sz w:val="22"/>
                <w:szCs w:val="22"/>
                <w:highlight w:val="yellow"/>
                <w:lang w:bidi="en-US"/>
              </w:rPr>
              <w:t>Формат документа используется для направления в КО данных КУ по объектам регулирования (далее</w:t>
            </w:r>
            <w:r w:rsidR="009B5F03" w:rsidRPr="006F6DAC">
              <w:rPr>
                <w:rFonts w:ascii="Garamond" w:eastAsia="Times New Roman" w:hAnsi="Garamond"/>
                <w:sz w:val="22"/>
                <w:szCs w:val="22"/>
                <w:highlight w:val="yellow"/>
                <w:lang w:bidi="en-US"/>
              </w:rPr>
              <w:t xml:space="preserve"> – </w:t>
            </w:r>
            <w:r w:rsidRPr="006F6DAC">
              <w:rPr>
                <w:rFonts w:ascii="Garamond" w:eastAsia="Times New Roman" w:hAnsi="Garamond"/>
                <w:sz w:val="22"/>
                <w:szCs w:val="22"/>
                <w:highlight w:val="yellow"/>
                <w:lang w:bidi="en-US"/>
              </w:rPr>
              <w:t>ОР) агрегаторов спроса.</w:t>
            </w:r>
          </w:p>
          <w:p w14:paraId="47845A97" w14:textId="77777777" w:rsidR="00F11A8B" w:rsidRPr="006F6DAC" w:rsidRDefault="00F11A8B" w:rsidP="00F11A8B">
            <w:pPr>
              <w:spacing w:before="120" w:after="120"/>
              <w:ind w:left="360" w:firstLine="348"/>
              <w:jc w:val="both"/>
              <w:rPr>
                <w:rFonts w:ascii="Garamond" w:eastAsia="Times New Roman" w:hAnsi="Garamond"/>
                <w:sz w:val="22"/>
                <w:szCs w:val="22"/>
                <w:highlight w:val="yellow"/>
                <w:lang w:bidi="en-US"/>
              </w:rPr>
            </w:pPr>
            <w:r w:rsidRPr="006F6DAC">
              <w:rPr>
                <w:rFonts w:ascii="Garamond" w:eastAsia="Times New Roman" w:hAnsi="Garamond"/>
                <w:sz w:val="22"/>
                <w:szCs w:val="22"/>
                <w:highlight w:val="yellow"/>
                <w:lang w:bidi="en-US"/>
              </w:rPr>
              <w:t>Имя файла, содержащего электронный документ, должно составляться в формате:</w:t>
            </w:r>
          </w:p>
          <w:p w14:paraId="3B9439F5" w14:textId="51A5B22D" w:rsidR="00F11A8B" w:rsidRPr="006F6DAC" w:rsidRDefault="00F11A8B" w:rsidP="00F11A8B">
            <w:pPr>
              <w:spacing w:before="120" w:after="120"/>
              <w:ind w:firstLine="360"/>
              <w:jc w:val="both"/>
              <w:rPr>
                <w:rFonts w:ascii="Garamond" w:eastAsia="Times New Roman" w:hAnsi="Garamond"/>
                <w:sz w:val="22"/>
                <w:szCs w:val="22"/>
                <w:highlight w:val="yellow"/>
                <w:lang w:bidi="en-US"/>
              </w:rPr>
            </w:pPr>
            <w:r w:rsidRPr="006F6DAC">
              <w:rPr>
                <w:rFonts w:ascii="Garamond" w:eastAsia="Times New Roman" w:hAnsi="Garamond"/>
                <w:sz w:val="22"/>
                <w:szCs w:val="22"/>
                <w:highlight w:val="yellow"/>
                <w:lang w:bidi="en-US"/>
              </w:rPr>
              <w:t>«</w:t>
            </w:r>
            <w:r w:rsidRPr="006F6DAC">
              <w:rPr>
                <w:rFonts w:ascii="Garamond" w:hAnsi="Garamond"/>
                <w:sz w:val="22"/>
                <w:szCs w:val="22"/>
                <w:highlight w:val="yellow"/>
              </w:rPr>
              <w:t>&lt;тип документа&gt;</w:t>
            </w:r>
            <w:r w:rsidR="00A5626D">
              <w:rPr>
                <w:rFonts w:ascii="Garamond" w:hAnsi="Garamond"/>
                <w:sz w:val="22"/>
                <w:szCs w:val="22"/>
                <w:highlight w:val="yellow"/>
              </w:rPr>
              <w:t>_&lt;ИНН&gt;_&lt;дата&gt;_&lt;номер документа&gt;_&lt;</w:t>
            </w:r>
            <w:r w:rsidRPr="006F6DAC">
              <w:rPr>
                <w:rFonts w:ascii="Garamond" w:hAnsi="Garamond"/>
                <w:sz w:val="22"/>
                <w:szCs w:val="22"/>
                <w:highlight w:val="yellow"/>
              </w:rPr>
              <w:t>АТС код перечня ОР&gt;</w:t>
            </w:r>
            <w:r w:rsidRPr="006F6DAC">
              <w:rPr>
                <w:rFonts w:ascii="Garamond" w:eastAsia="Times New Roman" w:hAnsi="Garamond"/>
                <w:sz w:val="22"/>
                <w:szCs w:val="22"/>
                <w:highlight w:val="yellow"/>
                <w:lang w:bidi="en-US"/>
              </w:rPr>
              <w:t>», где:</w:t>
            </w:r>
          </w:p>
          <w:p w14:paraId="40804372" w14:textId="77777777" w:rsidR="00F11A8B" w:rsidRPr="006F6DAC" w:rsidRDefault="00F11A8B" w:rsidP="00F11A8B">
            <w:pPr>
              <w:widowControl w:val="0"/>
              <w:numPr>
                <w:ilvl w:val="0"/>
                <w:numId w:val="240"/>
              </w:numPr>
              <w:suppressAutoHyphens w:val="0"/>
              <w:autoSpaceDE w:val="0"/>
              <w:autoSpaceDN w:val="0"/>
              <w:adjustRightInd w:val="0"/>
              <w:spacing w:before="60" w:after="60"/>
              <w:jc w:val="both"/>
              <w:rPr>
                <w:rFonts w:ascii="Garamond" w:eastAsia="MS Mincho" w:hAnsi="Garamond"/>
                <w:sz w:val="22"/>
                <w:szCs w:val="22"/>
                <w:highlight w:val="yellow"/>
                <w:lang w:bidi="en-US"/>
              </w:rPr>
            </w:pPr>
            <w:r w:rsidRPr="006F6DAC">
              <w:rPr>
                <w:rFonts w:ascii="Garamond" w:eastAsia="MS Mincho" w:hAnsi="Garamond"/>
                <w:sz w:val="22"/>
                <w:szCs w:val="22"/>
                <w:highlight w:val="yellow"/>
                <w:lang w:bidi="en-US"/>
              </w:rPr>
              <w:t>тип документа – номер, присвоенный КО данному типу документа (20020);</w:t>
            </w:r>
          </w:p>
          <w:p w14:paraId="13A84548" w14:textId="77777777" w:rsidR="00F11A8B" w:rsidRPr="006F6DAC" w:rsidRDefault="00F11A8B" w:rsidP="00F11A8B">
            <w:pPr>
              <w:widowControl w:val="0"/>
              <w:numPr>
                <w:ilvl w:val="0"/>
                <w:numId w:val="240"/>
              </w:numPr>
              <w:suppressAutoHyphens w:val="0"/>
              <w:autoSpaceDE w:val="0"/>
              <w:autoSpaceDN w:val="0"/>
              <w:adjustRightInd w:val="0"/>
              <w:spacing w:before="60" w:after="60"/>
              <w:jc w:val="both"/>
              <w:rPr>
                <w:rFonts w:ascii="Garamond" w:eastAsia="MS Mincho" w:hAnsi="Garamond"/>
                <w:sz w:val="22"/>
                <w:szCs w:val="22"/>
                <w:highlight w:val="yellow"/>
                <w:lang w:bidi="en-US"/>
              </w:rPr>
            </w:pPr>
            <w:r w:rsidRPr="006F6DAC">
              <w:rPr>
                <w:rFonts w:ascii="Garamond" w:eastAsia="MS Mincho" w:hAnsi="Garamond"/>
                <w:sz w:val="22"/>
                <w:szCs w:val="22"/>
                <w:highlight w:val="yellow"/>
                <w:lang w:bidi="en-US"/>
              </w:rPr>
              <w:t xml:space="preserve">ИНН – ИНН организации, предоставляющей информацию, длина ИНН – 10 символов; </w:t>
            </w:r>
          </w:p>
          <w:p w14:paraId="39769EF8" w14:textId="77777777" w:rsidR="00F11A8B" w:rsidRPr="006F6DAC" w:rsidRDefault="00F11A8B" w:rsidP="00F11A8B">
            <w:pPr>
              <w:widowControl w:val="0"/>
              <w:numPr>
                <w:ilvl w:val="0"/>
                <w:numId w:val="240"/>
              </w:numPr>
              <w:suppressAutoHyphens w:val="0"/>
              <w:autoSpaceDE w:val="0"/>
              <w:autoSpaceDN w:val="0"/>
              <w:adjustRightInd w:val="0"/>
              <w:spacing w:before="60" w:after="60"/>
              <w:jc w:val="both"/>
              <w:rPr>
                <w:rFonts w:ascii="Garamond" w:eastAsia="MS Mincho" w:hAnsi="Garamond"/>
                <w:sz w:val="22"/>
                <w:szCs w:val="22"/>
                <w:highlight w:val="yellow"/>
                <w:lang w:bidi="en-US"/>
              </w:rPr>
            </w:pPr>
            <w:r w:rsidRPr="006F6DAC">
              <w:rPr>
                <w:rFonts w:ascii="Garamond" w:eastAsia="MS Mincho" w:hAnsi="Garamond"/>
                <w:sz w:val="22"/>
                <w:szCs w:val="22"/>
                <w:highlight w:val="yellow"/>
                <w:lang w:bidi="en-US"/>
              </w:rPr>
              <w:t xml:space="preserve">дата – </w:t>
            </w:r>
            <w:r w:rsidRPr="006F6DAC">
              <w:rPr>
                <w:rFonts w:ascii="Garamond" w:hAnsi="Garamond"/>
                <w:spacing w:val="1"/>
                <w:sz w:val="22"/>
                <w:szCs w:val="22"/>
                <w:highlight w:val="yellow"/>
              </w:rPr>
              <w:t>операционный период, за который предоставляется информация, в формате «ГГГГММДД», где «ГГГГ» – год, «ММ» – порядковый номер месяца, «ДД» – день. Длина поля &lt;дата&gt; – 8 знаков</w:t>
            </w:r>
            <w:r w:rsidRPr="006F6DAC">
              <w:rPr>
                <w:rFonts w:ascii="Garamond" w:eastAsia="MS Mincho" w:hAnsi="Garamond"/>
                <w:sz w:val="22"/>
                <w:szCs w:val="22"/>
                <w:highlight w:val="yellow"/>
                <w:lang w:bidi="en-US"/>
              </w:rPr>
              <w:t>.</w:t>
            </w:r>
            <w:r w:rsidRPr="006F6DAC">
              <w:rPr>
                <w:rFonts w:ascii="Garamond" w:hAnsi="Garamond"/>
                <w:sz w:val="22"/>
                <w:szCs w:val="22"/>
                <w:highlight w:val="yellow"/>
              </w:rPr>
              <w:t xml:space="preserve"> </w:t>
            </w:r>
            <w:r w:rsidRPr="006F6DAC">
              <w:rPr>
                <w:rFonts w:ascii="Garamond" w:eastAsia="MS Mincho" w:hAnsi="Garamond"/>
                <w:sz w:val="22"/>
                <w:szCs w:val="22"/>
                <w:highlight w:val="yellow"/>
                <w:lang w:bidi="en-US"/>
              </w:rPr>
              <w:t>Использование пробелов внутри формата указания времени не допускается;</w:t>
            </w:r>
          </w:p>
          <w:p w14:paraId="16BD5255" w14:textId="216419F5" w:rsidR="00F11A8B" w:rsidRPr="006F6DAC" w:rsidRDefault="00F11A8B" w:rsidP="00F11A8B">
            <w:pPr>
              <w:widowControl w:val="0"/>
              <w:numPr>
                <w:ilvl w:val="0"/>
                <w:numId w:val="240"/>
              </w:numPr>
              <w:suppressAutoHyphens w:val="0"/>
              <w:autoSpaceDE w:val="0"/>
              <w:autoSpaceDN w:val="0"/>
              <w:adjustRightInd w:val="0"/>
              <w:spacing w:before="60" w:after="60"/>
              <w:jc w:val="both"/>
              <w:rPr>
                <w:rFonts w:ascii="Garamond" w:eastAsia="MS Mincho" w:hAnsi="Garamond"/>
                <w:sz w:val="22"/>
                <w:szCs w:val="22"/>
                <w:highlight w:val="yellow"/>
                <w:lang w:bidi="en-US"/>
              </w:rPr>
            </w:pPr>
            <w:r w:rsidRPr="006F6DAC">
              <w:rPr>
                <w:rFonts w:ascii="Garamond" w:eastAsia="MS Mincho" w:hAnsi="Garamond"/>
                <w:sz w:val="22"/>
                <w:szCs w:val="22"/>
                <w:highlight w:val="yellow"/>
                <w:lang w:bidi="en-US"/>
              </w:rPr>
              <w:t>номер документа</w:t>
            </w:r>
            <w:r w:rsidR="009B5F03" w:rsidRPr="006F6DAC">
              <w:rPr>
                <w:rFonts w:ascii="Garamond" w:eastAsia="MS Mincho" w:hAnsi="Garamond"/>
                <w:sz w:val="22"/>
                <w:szCs w:val="22"/>
                <w:highlight w:val="yellow"/>
                <w:lang w:bidi="en-US"/>
              </w:rPr>
              <w:t xml:space="preserve"> – </w:t>
            </w:r>
            <w:r w:rsidRPr="006F6DAC">
              <w:rPr>
                <w:rFonts w:ascii="Garamond" w:hAnsi="Garamond"/>
                <w:spacing w:val="1"/>
                <w:sz w:val="22"/>
                <w:szCs w:val="22"/>
                <w:highlight w:val="yellow"/>
              </w:rPr>
              <w:t>порядковый номер (идентификатор) документа. Номер должен содержать не более 7 цифр. Номера документов присваиваются отправителем, начинаются с 1 и увеличиваются на 1 с каждым новым документом для данного типа документов, сформированных для одних и тех же суток;</w:t>
            </w:r>
          </w:p>
          <w:p w14:paraId="780C503B" w14:textId="77777777" w:rsidR="00F11A8B" w:rsidRPr="006F6DAC" w:rsidRDefault="00F11A8B" w:rsidP="00F11A8B">
            <w:pPr>
              <w:widowControl w:val="0"/>
              <w:numPr>
                <w:ilvl w:val="0"/>
                <w:numId w:val="240"/>
              </w:numPr>
              <w:suppressAutoHyphens w:val="0"/>
              <w:autoSpaceDE w:val="0"/>
              <w:autoSpaceDN w:val="0"/>
              <w:adjustRightInd w:val="0"/>
              <w:spacing w:before="60" w:after="60"/>
              <w:jc w:val="both"/>
              <w:rPr>
                <w:rFonts w:ascii="Garamond" w:eastAsia="MS Mincho" w:hAnsi="Garamond"/>
                <w:sz w:val="22"/>
                <w:szCs w:val="22"/>
                <w:highlight w:val="yellow"/>
                <w:lang w:bidi="en-US"/>
              </w:rPr>
            </w:pPr>
            <w:r w:rsidRPr="006F6DAC">
              <w:rPr>
                <w:rFonts w:ascii="Garamond" w:eastAsia="Times New Roman" w:hAnsi="Garamond"/>
                <w:sz w:val="22"/>
                <w:szCs w:val="22"/>
                <w:highlight w:val="yellow"/>
                <w:lang w:bidi="en-US"/>
              </w:rPr>
              <w:lastRenderedPageBreak/>
              <w:t xml:space="preserve">АТС код </w:t>
            </w:r>
            <w:r w:rsidRPr="006F6DAC">
              <w:rPr>
                <w:rFonts w:ascii="Garamond" w:hAnsi="Garamond"/>
                <w:sz w:val="22"/>
                <w:szCs w:val="22"/>
                <w:highlight w:val="yellow"/>
              </w:rPr>
              <w:t>перечня ОР</w:t>
            </w:r>
            <w:r w:rsidRPr="006F6DAC">
              <w:rPr>
                <w:rFonts w:ascii="Garamond" w:eastAsia="MS Mincho" w:hAnsi="Garamond"/>
                <w:sz w:val="22"/>
                <w:szCs w:val="22"/>
                <w:highlight w:val="yellow"/>
                <w:lang w:bidi="en-US"/>
              </w:rPr>
              <w:t xml:space="preserve"> – </w:t>
            </w:r>
            <w:r w:rsidRPr="006F6DAC">
              <w:rPr>
                <w:rFonts w:ascii="Garamond" w:hAnsi="Garamond"/>
                <w:spacing w:val="1"/>
                <w:sz w:val="22"/>
                <w:szCs w:val="22"/>
                <w:highlight w:val="yellow"/>
              </w:rPr>
              <w:t xml:space="preserve">обязательный параметр, код, присваиваемый КО перечню ОР, </w:t>
            </w:r>
            <w:r w:rsidRPr="006F6DAC">
              <w:rPr>
                <w:rFonts w:ascii="Garamond" w:eastAsia="MS Mincho" w:hAnsi="Garamond"/>
                <w:sz w:val="22"/>
                <w:szCs w:val="22"/>
                <w:highlight w:val="yellow"/>
                <w:lang w:bidi="en-US"/>
              </w:rPr>
              <w:t xml:space="preserve">длина АТС кода </w:t>
            </w:r>
            <w:r w:rsidRPr="006F6DAC">
              <w:rPr>
                <w:rFonts w:ascii="Garamond" w:hAnsi="Garamond"/>
                <w:spacing w:val="1"/>
                <w:sz w:val="22"/>
                <w:szCs w:val="22"/>
                <w:highlight w:val="yellow"/>
              </w:rPr>
              <w:t>перечню ОР</w:t>
            </w:r>
            <w:r w:rsidRPr="006F6DAC">
              <w:rPr>
                <w:rFonts w:ascii="Garamond" w:eastAsia="MS Mincho" w:hAnsi="Garamond"/>
                <w:sz w:val="22"/>
                <w:szCs w:val="22"/>
                <w:highlight w:val="yellow"/>
                <w:lang w:bidi="en-US"/>
              </w:rPr>
              <w:t xml:space="preserve"> – 10 символов.</w:t>
            </w:r>
          </w:p>
          <w:p w14:paraId="0B6EE0F9" w14:textId="77777777" w:rsidR="00F11A8B" w:rsidRPr="006F6DAC" w:rsidRDefault="00F11A8B" w:rsidP="00F11A8B">
            <w:pPr>
              <w:spacing w:before="120" w:after="120"/>
              <w:ind w:left="360"/>
              <w:jc w:val="both"/>
              <w:rPr>
                <w:rFonts w:ascii="Garamond" w:eastAsia="MS Mincho" w:hAnsi="Garamond"/>
                <w:sz w:val="22"/>
                <w:szCs w:val="22"/>
                <w:highlight w:val="yellow"/>
                <w:lang w:bidi="en-US"/>
              </w:rPr>
            </w:pPr>
            <w:r w:rsidRPr="006F6DAC">
              <w:rPr>
                <w:rFonts w:ascii="Garamond" w:eastAsia="MS Mincho" w:hAnsi="Garamond"/>
                <w:sz w:val="22"/>
                <w:szCs w:val="22"/>
                <w:highlight w:val="yellow"/>
                <w:lang w:bidi="en-US"/>
              </w:rPr>
              <w:t>Пример наименования файла: 20020_5405270341_20220419_593_2300008900.</w:t>
            </w:r>
            <w:r w:rsidRPr="006F6DAC">
              <w:rPr>
                <w:rFonts w:ascii="Garamond" w:eastAsia="MS Mincho" w:hAnsi="Garamond"/>
                <w:sz w:val="22"/>
                <w:szCs w:val="22"/>
                <w:highlight w:val="yellow"/>
                <w:lang w:val="en-US" w:bidi="en-US"/>
              </w:rPr>
              <w:t>xml</w:t>
            </w:r>
          </w:p>
          <w:p w14:paraId="37B9558C" w14:textId="77777777" w:rsidR="00F11A8B" w:rsidRPr="006F6DAC" w:rsidRDefault="00F11A8B" w:rsidP="00F11A8B">
            <w:pPr>
              <w:spacing w:before="120" w:after="120"/>
              <w:ind w:left="360"/>
              <w:jc w:val="both"/>
              <w:rPr>
                <w:rFonts w:ascii="Garamond" w:eastAsia="MS Mincho" w:hAnsi="Garamond"/>
                <w:sz w:val="22"/>
                <w:szCs w:val="22"/>
                <w:highlight w:val="yellow"/>
                <w:lang w:bidi="en-US"/>
              </w:rPr>
            </w:pPr>
          </w:p>
          <w:p w14:paraId="5C13B253" w14:textId="77777777" w:rsidR="00F11A8B" w:rsidRPr="006F6DAC" w:rsidRDefault="00F11A8B" w:rsidP="00F11A8B">
            <w:pPr>
              <w:spacing w:before="120" w:after="120"/>
              <w:jc w:val="both"/>
              <w:rPr>
                <w:rFonts w:ascii="Garamond" w:eastAsia="MS Mincho" w:hAnsi="Garamond"/>
                <w:b/>
                <w:sz w:val="22"/>
                <w:szCs w:val="22"/>
                <w:highlight w:val="yellow"/>
                <w:lang w:bidi="en-US"/>
              </w:rPr>
            </w:pPr>
            <w:r w:rsidRPr="006F6DAC">
              <w:rPr>
                <w:rFonts w:ascii="Garamond" w:eastAsia="MS Mincho" w:hAnsi="Garamond"/>
                <w:b/>
                <w:sz w:val="22"/>
                <w:szCs w:val="22"/>
                <w:highlight w:val="yellow"/>
                <w:lang w:bidi="en-US"/>
              </w:rPr>
              <w:t>Описание структуры документа</w:t>
            </w:r>
          </w:p>
          <w:p w14:paraId="7AAD0B84" w14:textId="77777777" w:rsidR="00F11A8B" w:rsidRPr="006F6DAC" w:rsidRDefault="00F11A8B" w:rsidP="00F11A8B">
            <w:pPr>
              <w:spacing w:before="120" w:after="120"/>
              <w:jc w:val="both"/>
              <w:rPr>
                <w:rFonts w:ascii="Garamond" w:eastAsia="Times New Roman" w:hAnsi="Garamond"/>
                <w:sz w:val="22"/>
                <w:szCs w:val="22"/>
                <w:highlight w:val="yellow"/>
                <w:lang w:bidi="en-US"/>
              </w:rPr>
            </w:pPr>
            <w:r w:rsidRPr="006F6DAC">
              <w:rPr>
                <w:rFonts w:ascii="Garamond" w:eastAsia="Times New Roman" w:hAnsi="Garamond"/>
                <w:sz w:val="22"/>
                <w:szCs w:val="22"/>
                <w:highlight w:val="yellow"/>
                <w:lang w:bidi="en-US"/>
              </w:rPr>
              <w:t xml:space="preserve">При передаче электронного документа используется расширяемый язык разметки в соответствии со спецификацией </w:t>
            </w:r>
            <w:r w:rsidRPr="006F6DAC">
              <w:rPr>
                <w:rFonts w:ascii="Garamond" w:eastAsia="Times New Roman" w:hAnsi="Garamond"/>
                <w:sz w:val="22"/>
                <w:szCs w:val="22"/>
                <w:highlight w:val="yellow"/>
                <w:lang w:val="en-US" w:bidi="en-US"/>
              </w:rPr>
              <w:t>Extensible</w:t>
            </w:r>
            <w:r w:rsidRPr="006F6DAC">
              <w:rPr>
                <w:rFonts w:ascii="Garamond" w:eastAsia="Times New Roman" w:hAnsi="Garamond"/>
                <w:sz w:val="22"/>
                <w:szCs w:val="22"/>
                <w:highlight w:val="yellow"/>
                <w:lang w:bidi="en-US"/>
              </w:rPr>
              <w:t xml:space="preserve"> </w:t>
            </w:r>
            <w:r w:rsidRPr="006F6DAC">
              <w:rPr>
                <w:rFonts w:ascii="Garamond" w:eastAsia="Times New Roman" w:hAnsi="Garamond"/>
                <w:sz w:val="22"/>
                <w:szCs w:val="22"/>
                <w:highlight w:val="yellow"/>
                <w:lang w:val="en-US" w:bidi="en-US"/>
              </w:rPr>
              <w:t>Markup</w:t>
            </w:r>
            <w:r w:rsidRPr="006F6DAC">
              <w:rPr>
                <w:rFonts w:ascii="Garamond" w:eastAsia="Times New Roman" w:hAnsi="Garamond"/>
                <w:sz w:val="22"/>
                <w:szCs w:val="22"/>
                <w:highlight w:val="yellow"/>
                <w:lang w:bidi="en-US"/>
              </w:rPr>
              <w:t xml:space="preserve"> </w:t>
            </w:r>
            <w:r w:rsidRPr="006F6DAC">
              <w:rPr>
                <w:rFonts w:ascii="Garamond" w:eastAsia="Times New Roman" w:hAnsi="Garamond"/>
                <w:sz w:val="22"/>
                <w:szCs w:val="22"/>
                <w:highlight w:val="yellow"/>
                <w:lang w:val="en-US" w:bidi="en-US"/>
              </w:rPr>
              <w:t>Language</w:t>
            </w:r>
            <w:r w:rsidRPr="006F6DAC">
              <w:rPr>
                <w:rFonts w:ascii="Garamond" w:eastAsia="Times New Roman" w:hAnsi="Garamond"/>
                <w:sz w:val="22"/>
                <w:szCs w:val="22"/>
                <w:highlight w:val="yellow"/>
                <w:lang w:bidi="en-US"/>
              </w:rPr>
              <w:t xml:space="preserve"> (</w:t>
            </w:r>
            <w:r w:rsidRPr="006F6DAC">
              <w:rPr>
                <w:rFonts w:ascii="Garamond" w:eastAsia="Times New Roman" w:hAnsi="Garamond"/>
                <w:sz w:val="22"/>
                <w:szCs w:val="22"/>
                <w:highlight w:val="yellow"/>
                <w:lang w:val="en-US" w:bidi="en-US"/>
              </w:rPr>
              <w:t>XML</w:t>
            </w:r>
            <w:r w:rsidRPr="006F6DAC">
              <w:rPr>
                <w:rFonts w:ascii="Garamond" w:eastAsia="Times New Roman" w:hAnsi="Garamond"/>
                <w:sz w:val="22"/>
                <w:szCs w:val="22"/>
                <w:highlight w:val="yellow"/>
                <w:lang w:bidi="en-US"/>
              </w:rPr>
              <w:t>) 1.0.</w:t>
            </w:r>
          </w:p>
          <w:p w14:paraId="5B9FC056" w14:textId="77777777" w:rsidR="00F11A8B" w:rsidRPr="006F6DAC" w:rsidRDefault="00F11A8B" w:rsidP="00F11A8B">
            <w:pPr>
              <w:spacing w:before="120" w:after="120"/>
              <w:jc w:val="both"/>
              <w:rPr>
                <w:rFonts w:ascii="Garamond" w:eastAsia="Times New Roman" w:hAnsi="Garamond"/>
                <w:sz w:val="22"/>
                <w:szCs w:val="22"/>
                <w:highlight w:val="yellow"/>
                <w:lang w:bidi="en-US"/>
              </w:rPr>
            </w:pPr>
            <w:r w:rsidRPr="006F6DAC">
              <w:rPr>
                <w:rFonts w:ascii="Garamond" w:eastAsia="Times New Roman" w:hAnsi="Garamond"/>
                <w:sz w:val="22"/>
                <w:szCs w:val="22"/>
                <w:highlight w:val="yellow"/>
                <w:lang w:bidi="en-US"/>
              </w:rPr>
              <w:t>При декларации кодировки, являющейся частью декларации XML, используются названия и псевдонимы русскоязычных наборов символов, зарегистрированных в Internet Assigned Numbers Authority. Для данного электронного документа используется кодировка «windows-1251».</w:t>
            </w:r>
          </w:p>
          <w:p w14:paraId="1AA286F9" w14:textId="77777777" w:rsidR="00F11A8B" w:rsidRPr="006F6DAC" w:rsidRDefault="00F11A8B" w:rsidP="00F11A8B">
            <w:pPr>
              <w:spacing w:before="120" w:after="120"/>
              <w:jc w:val="both"/>
              <w:rPr>
                <w:rFonts w:ascii="Garamond" w:eastAsia="Times New Roman" w:hAnsi="Garamond"/>
                <w:caps/>
                <w:sz w:val="22"/>
                <w:szCs w:val="22"/>
                <w:highlight w:val="yellow"/>
                <w:lang w:bidi="en-US"/>
              </w:rPr>
            </w:pPr>
            <w:r w:rsidRPr="006F6DAC">
              <w:rPr>
                <w:rFonts w:ascii="Garamond" w:eastAsia="Times New Roman" w:hAnsi="Garamond"/>
                <w:sz w:val="22"/>
                <w:szCs w:val="22"/>
                <w:highlight w:val="yellow"/>
                <w:lang w:bidi="en-US"/>
              </w:rPr>
              <w:t>Атрибуты, которые согласно настоящему документу являются необязательными, могут отсутствовать либо быть незаполненными.</w:t>
            </w:r>
          </w:p>
          <w:p w14:paraId="6820CF3A" w14:textId="77777777" w:rsidR="00F11A8B" w:rsidRPr="006F6DAC" w:rsidRDefault="00F11A8B" w:rsidP="00F11A8B">
            <w:pPr>
              <w:tabs>
                <w:tab w:val="left" w:pos="1080"/>
              </w:tabs>
              <w:spacing w:before="120" w:after="120"/>
              <w:ind w:firstLine="539"/>
              <w:jc w:val="both"/>
              <w:rPr>
                <w:rFonts w:ascii="Garamond" w:hAnsi="Garamond"/>
                <w:color w:val="000000"/>
                <w:spacing w:val="1"/>
                <w:sz w:val="22"/>
                <w:szCs w:val="22"/>
                <w:highlight w:val="yellow"/>
              </w:rPr>
            </w:pPr>
            <w:r w:rsidRPr="006F6DAC">
              <w:rPr>
                <w:rFonts w:ascii="Garamond" w:hAnsi="Garamond"/>
                <w:color w:val="000000"/>
                <w:spacing w:val="1"/>
                <w:sz w:val="22"/>
                <w:szCs w:val="22"/>
                <w:highlight w:val="yellow"/>
              </w:rPr>
              <w:t>1. &lt;</w:t>
            </w:r>
            <w:r w:rsidRPr="006F6DAC">
              <w:rPr>
                <w:rFonts w:ascii="Garamond" w:hAnsi="Garamond"/>
                <w:color w:val="000000"/>
                <w:spacing w:val="1"/>
                <w:sz w:val="22"/>
                <w:szCs w:val="22"/>
                <w:highlight w:val="yellow"/>
                <w:lang w:val="en-US"/>
              </w:rPr>
              <w:t>message</w:t>
            </w:r>
            <w:r w:rsidRPr="006F6DAC">
              <w:rPr>
                <w:rFonts w:ascii="Garamond" w:hAnsi="Garamond"/>
                <w:color w:val="000000"/>
                <w:spacing w:val="1"/>
                <w:sz w:val="22"/>
                <w:szCs w:val="22"/>
                <w:highlight w:val="yellow"/>
              </w:rPr>
              <w:t>&gt;</w:t>
            </w:r>
          </w:p>
          <w:p w14:paraId="4DBADCEE" w14:textId="77777777" w:rsidR="00F11A8B" w:rsidRPr="006F6DAC" w:rsidRDefault="00F11A8B" w:rsidP="00F11A8B">
            <w:pPr>
              <w:tabs>
                <w:tab w:val="left" w:pos="1080"/>
              </w:tabs>
              <w:spacing w:before="120" w:after="120"/>
              <w:ind w:firstLine="539"/>
              <w:jc w:val="both"/>
              <w:rPr>
                <w:rFonts w:ascii="Garamond" w:hAnsi="Garamond"/>
                <w:color w:val="000000"/>
                <w:spacing w:val="1"/>
                <w:sz w:val="22"/>
                <w:szCs w:val="22"/>
                <w:highlight w:val="yellow"/>
              </w:rPr>
            </w:pPr>
            <w:r w:rsidRPr="006F6DAC">
              <w:rPr>
                <w:rFonts w:ascii="Garamond" w:hAnsi="Garamond"/>
                <w:sz w:val="22"/>
                <w:szCs w:val="22"/>
                <w:highlight w:val="yellow"/>
              </w:rPr>
              <w:t>Элемент &lt;message&gt; является корневым элементом. Потомками</w:t>
            </w:r>
            <w:r w:rsidRPr="006F6DAC">
              <w:rPr>
                <w:rFonts w:ascii="Garamond" w:hAnsi="Garamond"/>
                <w:sz w:val="22"/>
                <w:szCs w:val="22"/>
                <w:highlight w:val="yellow"/>
                <w:lang w:val="en-US"/>
              </w:rPr>
              <w:t xml:space="preserve"> </w:t>
            </w:r>
            <w:r w:rsidRPr="006F6DAC">
              <w:rPr>
                <w:rFonts w:ascii="Garamond" w:hAnsi="Garamond"/>
                <w:sz w:val="22"/>
                <w:szCs w:val="22"/>
                <w:highlight w:val="yellow"/>
              </w:rPr>
              <w:t>элемента</w:t>
            </w:r>
            <w:r w:rsidRPr="006F6DAC">
              <w:rPr>
                <w:rFonts w:ascii="Garamond" w:hAnsi="Garamond"/>
                <w:sz w:val="22"/>
                <w:szCs w:val="22"/>
                <w:highlight w:val="yellow"/>
                <w:lang w:val="en-US"/>
              </w:rPr>
              <w:t xml:space="preserve"> &lt;message&gt; </w:t>
            </w:r>
            <w:r w:rsidRPr="006F6DAC">
              <w:rPr>
                <w:rFonts w:ascii="Garamond" w:hAnsi="Garamond"/>
                <w:sz w:val="22"/>
                <w:szCs w:val="22"/>
                <w:highlight w:val="yellow"/>
              </w:rPr>
              <w:t>являются</w:t>
            </w:r>
            <w:r w:rsidRPr="006F6DAC">
              <w:rPr>
                <w:rFonts w:ascii="Garamond" w:hAnsi="Garamond"/>
                <w:sz w:val="22"/>
                <w:szCs w:val="22"/>
                <w:highlight w:val="yellow"/>
                <w:lang w:val="en-US"/>
              </w:rPr>
              <w:t xml:space="preserve"> </w:t>
            </w:r>
            <w:r w:rsidRPr="006F6DAC">
              <w:rPr>
                <w:rFonts w:ascii="Garamond" w:hAnsi="Garamond"/>
                <w:sz w:val="22"/>
                <w:szCs w:val="22"/>
                <w:highlight w:val="yellow"/>
              </w:rPr>
              <w:t>элементы</w:t>
            </w:r>
            <w:r w:rsidRPr="006F6DAC">
              <w:rPr>
                <w:rFonts w:ascii="Garamond" w:hAnsi="Garamond"/>
                <w:sz w:val="22"/>
                <w:szCs w:val="22"/>
                <w:highlight w:val="yellow"/>
                <w:lang w:val="en-US"/>
              </w:rPr>
              <w:t xml:space="preserve"> </w:t>
            </w:r>
            <w:r w:rsidRPr="006F6DAC">
              <w:rPr>
                <w:rFonts w:ascii="Garamond" w:hAnsi="Garamond"/>
                <w:sz w:val="22"/>
                <w:szCs w:val="22"/>
                <w:highlight w:val="yellow"/>
                <w:lang w:val="en-US" w:eastAsia="zh-CN"/>
              </w:rPr>
              <w:t xml:space="preserve">&lt;comment&gt;, </w:t>
            </w:r>
            <w:r w:rsidRPr="006F6DAC">
              <w:rPr>
                <w:rFonts w:ascii="Garamond" w:hAnsi="Garamond"/>
                <w:sz w:val="22"/>
                <w:szCs w:val="22"/>
                <w:highlight w:val="yellow"/>
                <w:lang w:val="en-US"/>
              </w:rPr>
              <w:t xml:space="preserve">&lt;datetime&gt;, &lt;sender&gt;, &lt;area&gt;. </w:t>
            </w:r>
            <w:r w:rsidRPr="006F6DAC">
              <w:rPr>
                <w:rFonts w:ascii="Garamond" w:hAnsi="Garamond"/>
                <w:sz w:val="22"/>
                <w:szCs w:val="22"/>
                <w:highlight w:val="yellow"/>
              </w:rPr>
              <w:t>В документе допускается наличие только одного корневого элемента &lt;message&gt;.</w:t>
            </w:r>
            <w:r w:rsidRPr="006F6DAC">
              <w:rPr>
                <w:rFonts w:ascii="Garamond" w:hAnsi="Garamond"/>
                <w:color w:val="000000"/>
                <w:spacing w:val="1"/>
                <w:sz w:val="22"/>
                <w:szCs w:val="22"/>
                <w:highlight w:val="yellow"/>
              </w:rPr>
              <w:t xml:space="preserve"> </w:t>
            </w:r>
          </w:p>
          <w:p w14:paraId="14BA6FC7" w14:textId="77777777" w:rsidR="00F11A8B" w:rsidRPr="006F6DAC" w:rsidRDefault="00F11A8B" w:rsidP="00F11A8B">
            <w:pPr>
              <w:tabs>
                <w:tab w:val="left" w:pos="1080"/>
              </w:tabs>
              <w:spacing w:before="120" w:after="120"/>
              <w:ind w:firstLine="539"/>
              <w:jc w:val="both"/>
              <w:rPr>
                <w:rFonts w:ascii="Garamond" w:hAnsi="Garamond"/>
                <w:color w:val="000000"/>
                <w:spacing w:val="1"/>
                <w:sz w:val="22"/>
                <w:szCs w:val="22"/>
                <w:highlight w:val="yellow"/>
              </w:rPr>
            </w:pPr>
            <w:r w:rsidRPr="006F6DAC">
              <w:rPr>
                <w:rFonts w:ascii="Garamond" w:hAnsi="Garamond"/>
                <w:color w:val="000000"/>
                <w:spacing w:val="1"/>
                <w:sz w:val="22"/>
                <w:szCs w:val="22"/>
                <w:highlight w:val="yellow"/>
              </w:rPr>
              <w:t>Атрибуты элемента &lt;</w:t>
            </w:r>
            <w:r w:rsidRPr="006F6DAC">
              <w:rPr>
                <w:rFonts w:ascii="Garamond" w:hAnsi="Garamond"/>
                <w:color w:val="000000"/>
                <w:spacing w:val="1"/>
                <w:sz w:val="22"/>
                <w:szCs w:val="22"/>
                <w:highlight w:val="yellow"/>
                <w:lang w:val="en-US"/>
              </w:rPr>
              <w:t>message</w:t>
            </w:r>
            <w:r w:rsidRPr="006F6DAC">
              <w:rPr>
                <w:rFonts w:ascii="Garamond" w:hAnsi="Garamond"/>
                <w:color w:val="000000"/>
                <w:spacing w:val="1"/>
                <w:sz w:val="22"/>
                <w:szCs w:val="22"/>
                <w:highlight w:val="yellow"/>
              </w:rPr>
              <w:t>&gt;:</w:t>
            </w:r>
          </w:p>
          <w:p w14:paraId="4F5EEC8D" w14:textId="77777777" w:rsidR="00F11A8B" w:rsidRPr="006F6DAC" w:rsidRDefault="00F11A8B" w:rsidP="00F11A8B">
            <w:pPr>
              <w:pStyle w:val="a8"/>
              <w:numPr>
                <w:ilvl w:val="0"/>
                <w:numId w:val="233"/>
              </w:numPr>
              <w:tabs>
                <w:tab w:val="clear" w:pos="8100"/>
                <w:tab w:val="left" w:pos="885"/>
                <w:tab w:val="left" w:pos="1440"/>
                <w:tab w:val="left" w:pos="1560"/>
              </w:tabs>
              <w:suppressAutoHyphens w:val="0"/>
              <w:spacing w:before="120" w:after="120"/>
              <w:rPr>
                <w:rFonts w:ascii="Garamond" w:hAnsi="Garamond"/>
                <w:spacing w:val="1"/>
                <w:sz w:val="22"/>
                <w:szCs w:val="22"/>
                <w:highlight w:val="yellow"/>
              </w:rPr>
            </w:pPr>
            <w:r w:rsidRPr="006F6DAC">
              <w:rPr>
                <w:rFonts w:ascii="Garamond" w:hAnsi="Garamond"/>
                <w:color w:val="000000"/>
                <w:spacing w:val="1"/>
                <w:sz w:val="22"/>
                <w:szCs w:val="22"/>
                <w:highlight w:val="yellow"/>
              </w:rPr>
              <w:t xml:space="preserve">class – является обязательным и содержит данные о типе </w:t>
            </w:r>
            <w:r w:rsidRPr="006F6DAC">
              <w:rPr>
                <w:rFonts w:ascii="Garamond" w:hAnsi="Garamond"/>
                <w:spacing w:val="1"/>
                <w:sz w:val="22"/>
                <w:szCs w:val="22"/>
                <w:highlight w:val="yellow"/>
              </w:rPr>
              <w:t>электронного документа. Значение атрибута class должно быть равно «</w:t>
            </w:r>
            <w:r w:rsidRPr="006F6DAC">
              <w:rPr>
                <w:rFonts w:ascii="Garamond" w:hAnsi="Garamond"/>
                <w:spacing w:val="1"/>
                <w:sz w:val="22"/>
                <w:szCs w:val="22"/>
                <w:highlight w:val="yellow"/>
                <w:lang w:val="en-US"/>
              </w:rPr>
              <w:t>20020</w:t>
            </w:r>
            <w:r w:rsidRPr="006F6DAC">
              <w:rPr>
                <w:rFonts w:ascii="Garamond" w:hAnsi="Garamond"/>
                <w:spacing w:val="1"/>
                <w:sz w:val="22"/>
                <w:szCs w:val="22"/>
                <w:highlight w:val="yellow"/>
              </w:rPr>
              <w:t>»;</w:t>
            </w:r>
          </w:p>
          <w:p w14:paraId="07A5AD1A" w14:textId="77777777" w:rsidR="00F11A8B" w:rsidRPr="006F6DAC" w:rsidRDefault="00F11A8B" w:rsidP="00F11A8B">
            <w:pPr>
              <w:pStyle w:val="a8"/>
              <w:numPr>
                <w:ilvl w:val="0"/>
                <w:numId w:val="233"/>
              </w:numPr>
              <w:tabs>
                <w:tab w:val="clear" w:pos="8100"/>
                <w:tab w:val="left" w:pos="885"/>
                <w:tab w:val="left" w:pos="1440"/>
                <w:tab w:val="left" w:pos="1560"/>
              </w:tabs>
              <w:suppressAutoHyphens w:val="0"/>
              <w:spacing w:before="120" w:after="120"/>
              <w:rPr>
                <w:rFonts w:ascii="Garamond" w:hAnsi="Garamond"/>
                <w:color w:val="000000"/>
                <w:spacing w:val="1"/>
                <w:sz w:val="22"/>
                <w:szCs w:val="22"/>
                <w:highlight w:val="yellow"/>
              </w:rPr>
            </w:pPr>
            <w:r w:rsidRPr="006F6DAC">
              <w:rPr>
                <w:rFonts w:ascii="Garamond" w:hAnsi="Garamond"/>
                <w:spacing w:val="1"/>
                <w:sz w:val="22"/>
                <w:szCs w:val="22"/>
                <w:highlight w:val="yellow"/>
              </w:rPr>
              <w:t>version – является</w:t>
            </w:r>
            <w:r w:rsidRPr="006F6DAC">
              <w:rPr>
                <w:rFonts w:ascii="Garamond" w:hAnsi="Garamond"/>
                <w:color w:val="000000"/>
                <w:spacing w:val="1"/>
                <w:sz w:val="22"/>
                <w:szCs w:val="22"/>
                <w:highlight w:val="yellow"/>
              </w:rPr>
              <w:t xml:space="preserve"> обязательным и содержит данные о версии формата. Данный документ определяет версию документа 1;</w:t>
            </w:r>
          </w:p>
          <w:p w14:paraId="79EE63AE" w14:textId="77777777" w:rsidR="00F11A8B" w:rsidRPr="006F6DAC" w:rsidRDefault="00F11A8B" w:rsidP="00F11A8B">
            <w:pPr>
              <w:pStyle w:val="a8"/>
              <w:numPr>
                <w:ilvl w:val="0"/>
                <w:numId w:val="233"/>
              </w:numPr>
              <w:tabs>
                <w:tab w:val="clear" w:pos="8100"/>
                <w:tab w:val="left" w:pos="885"/>
                <w:tab w:val="left" w:pos="1440"/>
                <w:tab w:val="left" w:pos="1560"/>
              </w:tabs>
              <w:suppressAutoHyphens w:val="0"/>
              <w:spacing w:before="120" w:after="120"/>
              <w:rPr>
                <w:rFonts w:ascii="Garamond" w:hAnsi="Garamond"/>
                <w:color w:val="000000"/>
                <w:spacing w:val="1"/>
                <w:sz w:val="22"/>
                <w:szCs w:val="22"/>
                <w:highlight w:val="yellow"/>
              </w:rPr>
            </w:pPr>
            <w:r w:rsidRPr="006F6DAC">
              <w:rPr>
                <w:rFonts w:ascii="Garamond" w:hAnsi="Garamond"/>
                <w:sz w:val="22"/>
                <w:szCs w:val="22"/>
                <w:highlight w:val="yellow"/>
              </w:rPr>
              <w:t>number – является обязательным и содержит порядковый номер сообщения (номера сообщений присваиваются отправителем, начинаются с 1 и увеличиваются на 1 с каждым новым сообщением). Совпадает с номером документа в наименовании файла.</w:t>
            </w:r>
          </w:p>
          <w:p w14:paraId="497314FA" w14:textId="77777777" w:rsidR="00F11A8B" w:rsidRPr="006F6DAC" w:rsidRDefault="00F11A8B" w:rsidP="00F11A8B">
            <w:pPr>
              <w:pStyle w:val="a8"/>
              <w:tabs>
                <w:tab w:val="left" w:pos="885"/>
                <w:tab w:val="left" w:pos="1440"/>
                <w:tab w:val="left" w:pos="1560"/>
              </w:tabs>
              <w:spacing w:before="120" w:after="120"/>
              <w:ind w:left="539"/>
              <w:rPr>
                <w:rFonts w:ascii="Garamond" w:hAnsi="Garamond"/>
                <w:sz w:val="22"/>
                <w:szCs w:val="22"/>
                <w:highlight w:val="yellow"/>
              </w:rPr>
            </w:pPr>
            <w:r w:rsidRPr="006F6DAC">
              <w:rPr>
                <w:rFonts w:ascii="Garamond" w:hAnsi="Garamond"/>
                <w:sz w:val="22"/>
                <w:szCs w:val="22"/>
                <w:highlight w:val="yellow"/>
              </w:rPr>
              <w:lastRenderedPageBreak/>
              <w:t xml:space="preserve">1.1. </w:t>
            </w:r>
            <w:r w:rsidRPr="006F6DAC">
              <w:rPr>
                <w:rFonts w:ascii="Garamond" w:hAnsi="Garamond"/>
                <w:sz w:val="22"/>
                <w:szCs w:val="22"/>
                <w:highlight w:val="yellow"/>
                <w:lang w:val="en-US"/>
              </w:rPr>
              <w:t>&lt;datetime&gt;</w:t>
            </w:r>
          </w:p>
          <w:p w14:paraId="5EF8A3F1" w14:textId="77777777" w:rsidR="00F11A8B" w:rsidRPr="006F6DAC" w:rsidRDefault="00F11A8B" w:rsidP="00F11A8B">
            <w:pPr>
              <w:tabs>
                <w:tab w:val="left" w:pos="1080"/>
              </w:tabs>
              <w:spacing w:before="120" w:after="120"/>
              <w:ind w:firstLine="539"/>
              <w:jc w:val="both"/>
              <w:rPr>
                <w:rFonts w:ascii="Garamond" w:hAnsi="Garamond"/>
                <w:sz w:val="22"/>
                <w:szCs w:val="22"/>
                <w:highlight w:val="yellow"/>
              </w:rPr>
            </w:pPr>
            <w:r w:rsidRPr="006F6DAC">
              <w:rPr>
                <w:rFonts w:ascii="Garamond" w:hAnsi="Garamond"/>
                <w:sz w:val="22"/>
                <w:szCs w:val="22"/>
                <w:highlight w:val="yellow"/>
              </w:rPr>
              <w:t>Элемент &lt;datetime&gt; является потомком корневого элемента &lt;message&gt;. В документе допускается наличие только одного элемента &lt;datetime&gt;. Элемент &lt;datetime&gt; содержит информацию о времени создания документа. Потомками элемента &lt;datetime&gt; являются элементы &lt;</w:t>
            </w:r>
            <w:r w:rsidRPr="006F6DAC">
              <w:rPr>
                <w:rFonts w:ascii="Garamond" w:hAnsi="Garamond"/>
                <w:sz w:val="22"/>
                <w:szCs w:val="22"/>
                <w:highlight w:val="yellow"/>
                <w:lang w:val="en-US"/>
              </w:rPr>
              <w:t>t</w:t>
            </w:r>
            <w:r w:rsidRPr="006F6DAC">
              <w:rPr>
                <w:rFonts w:ascii="Garamond" w:hAnsi="Garamond"/>
                <w:sz w:val="22"/>
                <w:szCs w:val="22"/>
                <w:highlight w:val="yellow"/>
              </w:rPr>
              <w:t>ime</w:t>
            </w:r>
            <w:r w:rsidRPr="006F6DAC">
              <w:rPr>
                <w:rFonts w:ascii="Garamond" w:hAnsi="Garamond"/>
                <w:sz w:val="22"/>
                <w:szCs w:val="22"/>
                <w:highlight w:val="yellow"/>
                <w:lang w:val="en-US"/>
              </w:rPr>
              <w:t>s</w:t>
            </w:r>
            <w:r w:rsidRPr="006F6DAC">
              <w:rPr>
                <w:rFonts w:ascii="Garamond" w:hAnsi="Garamond"/>
                <w:sz w:val="22"/>
                <w:szCs w:val="22"/>
                <w:highlight w:val="yellow"/>
              </w:rPr>
              <w:t>tamp&gt;, &lt;</w:t>
            </w:r>
            <w:r w:rsidRPr="006F6DAC">
              <w:rPr>
                <w:rFonts w:ascii="Garamond" w:hAnsi="Garamond"/>
                <w:sz w:val="22"/>
                <w:szCs w:val="22"/>
                <w:highlight w:val="yellow"/>
                <w:lang w:val="en-US"/>
              </w:rPr>
              <w:t>d</w:t>
            </w:r>
            <w:r w:rsidRPr="006F6DAC">
              <w:rPr>
                <w:rFonts w:ascii="Garamond" w:hAnsi="Garamond"/>
                <w:sz w:val="22"/>
                <w:szCs w:val="22"/>
                <w:highlight w:val="yellow"/>
              </w:rPr>
              <w:t>ay&gt;, &lt;</w:t>
            </w:r>
            <w:r w:rsidRPr="006F6DAC">
              <w:rPr>
                <w:rFonts w:ascii="Garamond" w:hAnsi="Garamond"/>
                <w:sz w:val="22"/>
                <w:szCs w:val="22"/>
                <w:highlight w:val="yellow"/>
                <w:lang w:val="en-US"/>
              </w:rPr>
              <w:t>d</w:t>
            </w:r>
            <w:r w:rsidRPr="006F6DAC">
              <w:rPr>
                <w:rFonts w:ascii="Garamond" w:hAnsi="Garamond"/>
                <w:sz w:val="22"/>
                <w:szCs w:val="22"/>
                <w:highlight w:val="yellow"/>
              </w:rPr>
              <w:t>aylight</w:t>
            </w:r>
            <w:r w:rsidRPr="006F6DAC">
              <w:rPr>
                <w:rFonts w:ascii="Garamond" w:hAnsi="Garamond"/>
                <w:sz w:val="22"/>
                <w:szCs w:val="22"/>
                <w:highlight w:val="yellow"/>
                <w:lang w:val="en-US"/>
              </w:rPr>
              <w:t>s</w:t>
            </w:r>
            <w:r w:rsidRPr="006F6DAC">
              <w:rPr>
                <w:rFonts w:ascii="Garamond" w:hAnsi="Garamond"/>
                <w:sz w:val="22"/>
                <w:szCs w:val="22"/>
                <w:highlight w:val="yellow"/>
              </w:rPr>
              <w:t>aving</w:t>
            </w:r>
            <w:r w:rsidRPr="006F6DAC">
              <w:rPr>
                <w:rFonts w:ascii="Garamond" w:hAnsi="Garamond"/>
                <w:sz w:val="22"/>
                <w:szCs w:val="22"/>
                <w:highlight w:val="yellow"/>
                <w:lang w:val="en-US"/>
              </w:rPr>
              <w:t>t</w:t>
            </w:r>
            <w:r w:rsidRPr="006F6DAC">
              <w:rPr>
                <w:rFonts w:ascii="Garamond" w:hAnsi="Garamond"/>
                <w:sz w:val="22"/>
                <w:szCs w:val="22"/>
                <w:highlight w:val="yellow"/>
              </w:rPr>
              <w:t>ime&gt;.</w:t>
            </w:r>
          </w:p>
          <w:p w14:paraId="03B64EB0" w14:textId="77777777" w:rsidR="00F11A8B" w:rsidRPr="006F6DAC" w:rsidRDefault="00F11A8B" w:rsidP="00F11A8B">
            <w:pPr>
              <w:tabs>
                <w:tab w:val="left" w:pos="1080"/>
              </w:tabs>
              <w:spacing w:before="120" w:after="120"/>
              <w:ind w:firstLine="539"/>
              <w:jc w:val="both"/>
              <w:rPr>
                <w:rFonts w:ascii="Garamond" w:hAnsi="Garamond"/>
                <w:sz w:val="22"/>
                <w:szCs w:val="22"/>
                <w:highlight w:val="yellow"/>
              </w:rPr>
            </w:pPr>
            <w:r w:rsidRPr="006F6DAC">
              <w:rPr>
                <w:rFonts w:ascii="Garamond" w:hAnsi="Garamond"/>
                <w:sz w:val="22"/>
                <w:szCs w:val="22"/>
                <w:highlight w:val="yellow"/>
              </w:rPr>
              <w:t>1.1.1. &lt;</w:t>
            </w:r>
            <w:r w:rsidRPr="006F6DAC">
              <w:rPr>
                <w:rFonts w:ascii="Garamond" w:hAnsi="Garamond"/>
                <w:sz w:val="22"/>
                <w:szCs w:val="22"/>
                <w:highlight w:val="yellow"/>
                <w:lang w:val="en-US"/>
              </w:rPr>
              <w:t>timestamp</w:t>
            </w:r>
            <w:r w:rsidRPr="006F6DAC">
              <w:rPr>
                <w:rFonts w:ascii="Garamond" w:hAnsi="Garamond"/>
                <w:sz w:val="22"/>
                <w:szCs w:val="22"/>
                <w:highlight w:val="yellow"/>
              </w:rPr>
              <w:t>&gt;</w:t>
            </w:r>
          </w:p>
          <w:p w14:paraId="03F56C44" w14:textId="77777777" w:rsidR="00F11A8B" w:rsidRPr="006F6DAC" w:rsidRDefault="00F11A8B" w:rsidP="00F11A8B">
            <w:pPr>
              <w:tabs>
                <w:tab w:val="left" w:pos="1080"/>
              </w:tabs>
              <w:spacing w:before="120" w:after="120"/>
              <w:ind w:firstLine="539"/>
              <w:jc w:val="both"/>
              <w:rPr>
                <w:rFonts w:ascii="Garamond" w:hAnsi="Garamond"/>
                <w:sz w:val="22"/>
                <w:szCs w:val="22"/>
                <w:highlight w:val="yellow"/>
              </w:rPr>
            </w:pPr>
            <w:r w:rsidRPr="006F6DAC">
              <w:rPr>
                <w:rFonts w:ascii="Garamond" w:hAnsi="Garamond"/>
                <w:sz w:val="22"/>
                <w:szCs w:val="22"/>
                <w:highlight w:val="yellow"/>
              </w:rPr>
              <w:t>Элемент &lt;</w:t>
            </w:r>
            <w:r w:rsidRPr="006F6DAC">
              <w:rPr>
                <w:rFonts w:ascii="Garamond" w:hAnsi="Garamond"/>
                <w:sz w:val="22"/>
                <w:szCs w:val="22"/>
                <w:highlight w:val="yellow"/>
                <w:lang w:val="en-US"/>
              </w:rPr>
              <w:t>t</w:t>
            </w:r>
            <w:r w:rsidRPr="006F6DAC">
              <w:rPr>
                <w:rFonts w:ascii="Garamond" w:hAnsi="Garamond"/>
                <w:sz w:val="22"/>
                <w:szCs w:val="22"/>
                <w:highlight w:val="yellow"/>
              </w:rPr>
              <w:t>ime</w:t>
            </w:r>
            <w:r w:rsidRPr="006F6DAC">
              <w:rPr>
                <w:rFonts w:ascii="Garamond" w:hAnsi="Garamond"/>
                <w:sz w:val="22"/>
                <w:szCs w:val="22"/>
                <w:highlight w:val="yellow"/>
                <w:lang w:val="en-US"/>
              </w:rPr>
              <w:t>s</w:t>
            </w:r>
            <w:r w:rsidRPr="006F6DAC">
              <w:rPr>
                <w:rFonts w:ascii="Garamond" w:hAnsi="Garamond"/>
                <w:sz w:val="22"/>
                <w:szCs w:val="22"/>
                <w:highlight w:val="yellow"/>
              </w:rPr>
              <w:t>tamp&gt; является потомком элемента &lt;datetime&gt;. Содержимым элемента &lt;</w:t>
            </w:r>
            <w:r w:rsidRPr="006F6DAC">
              <w:rPr>
                <w:rFonts w:ascii="Garamond" w:hAnsi="Garamond"/>
                <w:sz w:val="22"/>
                <w:szCs w:val="22"/>
                <w:highlight w:val="yellow"/>
                <w:lang w:val="en-US"/>
              </w:rPr>
              <w:t>t</w:t>
            </w:r>
            <w:r w:rsidRPr="006F6DAC">
              <w:rPr>
                <w:rFonts w:ascii="Garamond" w:hAnsi="Garamond"/>
                <w:sz w:val="22"/>
                <w:szCs w:val="22"/>
                <w:highlight w:val="yellow"/>
              </w:rPr>
              <w:t>ime</w:t>
            </w:r>
            <w:r w:rsidRPr="006F6DAC">
              <w:rPr>
                <w:rFonts w:ascii="Garamond" w:hAnsi="Garamond"/>
                <w:sz w:val="22"/>
                <w:szCs w:val="22"/>
                <w:highlight w:val="yellow"/>
                <w:lang w:val="en-US"/>
              </w:rPr>
              <w:t>s</w:t>
            </w:r>
            <w:r w:rsidRPr="006F6DAC">
              <w:rPr>
                <w:rFonts w:ascii="Garamond" w:hAnsi="Garamond"/>
                <w:sz w:val="22"/>
                <w:szCs w:val="22"/>
                <w:highlight w:val="yellow"/>
              </w:rPr>
              <w:t>tamp&gt; является дата и время формирования данного документа в формате «ГГГГММДДччммсс», где «ГГГГ» – год, «ММ» – порядковый номер месяца, «ДД» – день, «чч» – час в 24-часовом формате, «мм» – минута, «сс» – секунда.</w:t>
            </w:r>
          </w:p>
          <w:p w14:paraId="79471443" w14:textId="77777777" w:rsidR="00F11A8B" w:rsidRPr="006F6DAC" w:rsidRDefault="00F11A8B" w:rsidP="00F11A8B">
            <w:pPr>
              <w:tabs>
                <w:tab w:val="left" w:pos="1080"/>
              </w:tabs>
              <w:spacing w:before="120" w:after="120"/>
              <w:ind w:firstLine="539"/>
              <w:jc w:val="both"/>
              <w:rPr>
                <w:rFonts w:ascii="Garamond" w:hAnsi="Garamond"/>
                <w:sz w:val="22"/>
                <w:szCs w:val="22"/>
                <w:highlight w:val="yellow"/>
              </w:rPr>
            </w:pPr>
            <w:r w:rsidRPr="006F6DAC">
              <w:rPr>
                <w:rFonts w:ascii="Garamond" w:hAnsi="Garamond"/>
                <w:sz w:val="22"/>
                <w:szCs w:val="22"/>
                <w:highlight w:val="yellow"/>
              </w:rPr>
              <w:t>1.1.2. &lt;</w:t>
            </w:r>
            <w:r w:rsidRPr="006F6DAC">
              <w:rPr>
                <w:rFonts w:ascii="Garamond" w:hAnsi="Garamond"/>
                <w:sz w:val="22"/>
                <w:szCs w:val="22"/>
                <w:highlight w:val="yellow"/>
                <w:lang w:val="en-US"/>
              </w:rPr>
              <w:t>day</w:t>
            </w:r>
            <w:r w:rsidRPr="006F6DAC">
              <w:rPr>
                <w:rFonts w:ascii="Garamond" w:hAnsi="Garamond"/>
                <w:sz w:val="22"/>
                <w:szCs w:val="22"/>
                <w:highlight w:val="yellow"/>
              </w:rPr>
              <w:t>&gt;</w:t>
            </w:r>
          </w:p>
          <w:p w14:paraId="36E14AF2" w14:textId="77777777" w:rsidR="00F11A8B" w:rsidRPr="006F6DAC" w:rsidRDefault="00F11A8B" w:rsidP="00F11A8B">
            <w:pPr>
              <w:tabs>
                <w:tab w:val="left" w:pos="1080"/>
              </w:tabs>
              <w:spacing w:before="120" w:after="120"/>
              <w:ind w:firstLine="539"/>
              <w:jc w:val="both"/>
              <w:rPr>
                <w:rFonts w:ascii="Garamond" w:hAnsi="Garamond"/>
                <w:sz w:val="22"/>
                <w:szCs w:val="22"/>
                <w:highlight w:val="yellow"/>
              </w:rPr>
            </w:pPr>
            <w:r w:rsidRPr="006F6DAC">
              <w:rPr>
                <w:rFonts w:ascii="Garamond" w:hAnsi="Garamond"/>
                <w:sz w:val="22"/>
                <w:szCs w:val="22"/>
                <w:highlight w:val="yellow"/>
              </w:rPr>
              <w:t>Элемент &lt;</w:t>
            </w:r>
            <w:r w:rsidRPr="006F6DAC">
              <w:rPr>
                <w:rFonts w:ascii="Garamond" w:hAnsi="Garamond"/>
                <w:sz w:val="22"/>
                <w:szCs w:val="22"/>
                <w:highlight w:val="yellow"/>
                <w:lang w:val="en-US"/>
              </w:rPr>
              <w:t>d</w:t>
            </w:r>
            <w:r w:rsidRPr="006F6DAC">
              <w:rPr>
                <w:rFonts w:ascii="Garamond" w:hAnsi="Garamond"/>
                <w:sz w:val="22"/>
                <w:szCs w:val="22"/>
                <w:highlight w:val="yellow"/>
              </w:rPr>
              <w:t>ay&gt; является обязательным и содержит дату, определяющую операционный период, за который предоставляется информация, в формате «ГГГГММДД», где «ГГГГ» – год, «ММ» – порядковый номер месяца, «ДД» – день.</w:t>
            </w:r>
          </w:p>
          <w:p w14:paraId="7C050272" w14:textId="77777777" w:rsidR="00F11A8B" w:rsidRPr="006F6DAC" w:rsidRDefault="00F11A8B" w:rsidP="00F11A8B">
            <w:pPr>
              <w:tabs>
                <w:tab w:val="left" w:pos="1080"/>
              </w:tabs>
              <w:spacing w:before="120" w:after="120"/>
              <w:ind w:firstLine="539"/>
              <w:jc w:val="both"/>
              <w:rPr>
                <w:rFonts w:ascii="Garamond" w:hAnsi="Garamond"/>
                <w:sz w:val="22"/>
                <w:szCs w:val="22"/>
                <w:highlight w:val="yellow"/>
              </w:rPr>
            </w:pPr>
            <w:r w:rsidRPr="006F6DAC">
              <w:rPr>
                <w:rFonts w:ascii="Garamond" w:hAnsi="Garamond"/>
                <w:sz w:val="22"/>
                <w:szCs w:val="22"/>
                <w:highlight w:val="yellow"/>
              </w:rPr>
              <w:t>1.1.3. &lt;</w:t>
            </w:r>
            <w:r w:rsidRPr="006F6DAC">
              <w:rPr>
                <w:rFonts w:ascii="Garamond" w:hAnsi="Garamond"/>
                <w:sz w:val="22"/>
                <w:szCs w:val="22"/>
                <w:highlight w:val="yellow"/>
                <w:lang w:val="en-US"/>
              </w:rPr>
              <w:t>d</w:t>
            </w:r>
            <w:r w:rsidRPr="006F6DAC">
              <w:rPr>
                <w:rFonts w:ascii="Garamond" w:hAnsi="Garamond"/>
                <w:sz w:val="22"/>
                <w:szCs w:val="22"/>
                <w:highlight w:val="yellow"/>
              </w:rPr>
              <w:t>aylight</w:t>
            </w:r>
            <w:r w:rsidRPr="006F6DAC">
              <w:rPr>
                <w:rFonts w:ascii="Garamond" w:hAnsi="Garamond"/>
                <w:sz w:val="22"/>
                <w:szCs w:val="22"/>
                <w:highlight w:val="yellow"/>
                <w:lang w:val="en-US"/>
              </w:rPr>
              <w:t>s</w:t>
            </w:r>
            <w:r w:rsidRPr="006F6DAC">
              <w:rPr>
                <w:rFonts w:ascii="Garamond" w:hAnsi="Garamond"/>
                <w:sz w:val="22"/>
                <w:szCs w:val="22"/>
                <w:highlight w:val="yellow"/>
              </w:rPr>
              <w:t>aving</w:t>
            </w:r>
            <w:r w:rsidRPr="006F6DAC">
              <w:rPr>
                <w:rFonts w:ascii="Garamond" w:hAnsi="Garamond"/>
                <w:sz w:val="22"/>
                <w:szCs w:val="22"/>
                <w:highlight w:val="yellow"/>
                <w:lang w:val="en-US"/>
              </w:rPr>
              <w:t>t</w:t>
            </w:r>
            <w:r w:rsidRPr="006F6DAC">
              <w:rPr>
                <w:rFonts w:ascii="Garamond" w:hAnsi="Garamond"/>
                <w:sz w:val="22"/>
                <w:szCs w:val="22"/>
                <w:highlight w:val="yellow"/>
              </w:rPr>
              <w:t>ime&gt;</w:t>
            </w:r>
          </w:p>
          <w:p w14:paraId="673BDC21" w14:textId="77777777" w:rsidR="00F11A8B" w:rsidRPr="006F6DAC" w:rsidRDefault="00F11A8B" w:rsidP="00F11A8B">
            <w:pPr>
              <w:tabs>
                <w:tab w:val="left" w:pos="1080"/>
              </w:tabs>
              <w:spacing w:before="120" w:after="120"/>
              <w:ind w:firstLine="539"/>
              <w:jc w:val="both"/>
              <w:rPr>
                <w:rFonts w:ascii="Garamond" w:hAnsi="Garamond"/>
                <w:sz w:val="22"/>
                <w:szCs w:val="22"/>
                <w:highlight w:val="yellow"/>
              </w:rPr>
            </w:pPr>
            <w:r w:rsidRPr="006F6DAC">
              <w:rPr>
                <w:rFonts w:ascii="Garamond" w:hAnsi="Garamond"/>
                <w:sz w:val="22"/>
                <w:szCs w:val="22"/>
                <w:highlight w:val="yellow"/>
              </w:rPr>
              <w:t>Элемент &lt;</w:t>
            </w:r>
            <w:r w:rsidRPr="006F6DAC">
              <w:rPr>
                <w:rFonts w:ascii="Garamond" w:hAnsi="Garamond"/>
                <w:sz w:val="22"/>
                <w:szCs w:val="22"/>
                <w:highlight w:val="yellow"/>
                <w:lang w:val="en-US"/>
              </w:rPr>
              <w:t>d</w:t>
            </w:r>
            <w:r w:rsidRPr="006F6DAC">
              <w:rPr>
                <w:rFonts w:ascii="Garamond" w:hAnsi="Garamond"/>
                <w:sz w:val="22"/>
                <w:szCs w:val="22"/>
                <w:highlight w:val="yellow"/>
              </w:rPr>
              <w:t>aylight</w:t>
            </w:r>
            <w:r w:rsidRPr="006F6DAC">
              <w:rPr>
                <w:rFonts w:ascii="Garamond" w:hAnsi="Garamond"/>
                <w:sz w:val="22"/>
                <w:szCs w:val="22"/>
                <w:highlight w:val="yellow"/>
                <w:lang w:val="en-US"/>
              </w:rPr>
              <w:t>s</w:t>
            </w:r>
            <w:r w:rsidRPr="006F6DAC">
              <w:rPr>
                <w:rFonts w:ascii="Garamond" w:hAnsi="Garamond"/>
                <w:sz w:val="22"/>
                <w:szCs w:val="22"/>
                <w:highlight w:val="yellow"/>
              </w:rPr>
              <w:t>aving</w:t>
            </w:r>
            <w:r w:rsidRPr="006F6DAC">
              <w:rPr>
                <w:rFonts w:ascii="Garamond" w:hAnsi="Garamond"/>
                <w:sz w:val="22"/>
                <w:szCs w:val="22"/>
                <w:highlight w:val="yellow"/>
                <w:lang w:val="en-US"/>
              </w:rPr>
              <w:t>t</w:t>
            </w:r>
            <w:r w:rsidRPr="006F6DAC">
              <w:rPr>
                <w:rFonts w:ascii="Garamond" w:hAnsi="Garamond"/>
                <w:sz w:val="22"/>
                <w:szCs w:val="22"/>
                <w:highlight w:val="yellow"/>
              </w:rPr>
              <w:t>ime&gt; является обязательным и содержит значение «0». Значение элемента &lt;</w:t>
            </w:r>
            <w:r w:rsidRPr="006F6DAC">
              <w:rPr>
                <w:rFonts w:ascii="Garamond" w:hAnsi="Garamond"/>
                <w:sz w:val="22"/>
                <w:szCs w:val="22"/>
                <w:highlight w:val="yellow"/>
                <w:lang w:val="en-US"/>
              </w:rPr>
              <w:t>d</w:t>
            </w:r>
            <w:r w:rsidRPr="006F6DAC">
              <w:rPr>
                <w:rFonts w:ascii="Garamond" w:hAnsi="Garamond"/>
                <w:sz w:val="22"/>
                <w:szCs w:val="22"/>
                <w:highlight w:val="yellow"/>
              </w:rPr>
              <w:t>aylight</w:t>
            </w:r>
            <w:r w:rsidRPr="006F6DAC">
              <w:rPr>
                <w:rFonts w:ascii="Garamond" w:hAnsi="Garamond"/>
                <w:sz w:val="22"/>
                <w:szCs w:val="22"/>
                <w:highlight w:val="yellow"/>
                <w:lang w:val="en-US"/>
              </w:rPr>
              <w:t>s</w:t>
            </w:r>
            <w:r w:rsidRPr="006F6DAC">
              <w:rPr>
                <w:rFonts w:ascii="Garamond" w:hAnsi="Garamond"/>
                <w:sz w:val="22"/>
                <w:szCs w:val="22"/>
                <w:highlight w:val="yellow"/>
              </w:rPr>
              <w:t>aving</w:t>
            </w:r>
            <w:r w:rsidRPr="006F6DAC">
              <w:rPr>
                <w:rFonts w:ascii="Garamond" w:hAnsi="Garamond"/>
                <w:sz w:val="22"/>
                <w:szCs w:val="22"/>
                <w:highlight w:val="yellow"/>
                <w:lang w:val="en-US"/>
              </w:rPr>
              <w:t>t</w:t>
            </w:r>
            <w:r w:rsidRPr="006F6DAC">
              <w:rPr>
                <w:rFonts w:ascii="Garamond" w:hAnsi="Garamond"/>
                <w:sz w:val="22"/>
                <w:szCs w:val="22"/>
                <w:highlight w:val="yellow"/>
              </w:rPr>
              <w:t>ime&gt; применяется ко всем значениям времени в данном сообщении.</w:t>
            </w:r>
          </w:p>
          <w:p w14:paraId="7E78BC9F" w14:textId="77777777" w:rsidR="00F11A8B" w:rsidRPr="006F6DAC" w:rsidRDefault="00F11A8B" w:rsidP="00F11A8B">
            <w:pPr>
              <w:tabs>
                <w:tab w:val="left" w:pos="1080"/>
              </w:tabs>
              <w:spacing w:before="120" w:after="120"/>
              <w:ind w:firstLine="539"/>
              <w:jc w:val="both"/>
              <w:rPr>
                <w:rFonts w:ascii="Garamond" w:hAnsi="Garamond"/>
                <w:sz w:val="22"/>
                <w:szCs w:val="22"/>
                <w:highlight w:val="yellow"/>
              </w:rPr>
            </w:pPr>
            <w:r w:rsidRPr="006F6DAC">
              <w:rPr>
                <w:rFonts w:ascii="Garamond" w:hAnsi="Garamond"/>
                <w:sz w:val="22"/>
                <w:szCs w:val="22"/>
                <w:highlight w:val="yellow"/>
              </w:rPr>
              <w:t>1.2. &lt;</w:t>
            </w:r>
            <w:r w:rsidRPr="006F6DAC">
              <w:rPr>
                <w:rFonts w:ascii="Garamond" w:hAnsi="Garamond"/>
                <w:sz w:val="22"/>
                <w:szCs w:val="22"/>
                <w:highlight w:val="yellow"/>
                <w:lang w:val="en-US"/>
              </w:rPr>
              <w:t>sender</w:t>
            </w:r>
            <w:r w:rsidRPr="006F6DAC">
              <w:rPr>
                <w:rFonts w:ascii="Garamond" w:hAnsi="Garamond"/>
                <w:sz w:val="22"/>
                <w:szCs w:val="22"/>
                <w:highlight w:val="yellow"/>
              </w:rPr>
              <w:t>&gt;</w:t>
            </w:r>
          </w:p>
          <w:p w14:paraId="78E90968" w14:textId="77777777" w:rsidR="00F11A8B" w:rsidRPr="006F6DAC" w:rsidRDefault="00F11A8B" w:rsidP="00F11A8B">
            <w:pPr>
              <w:tabs>
                <w:tab w:val="left" w:pos="1080"/>
              </w:tabs>
              <w:spacing w:before="120" w:after="120"/>
              <w:ind w:firstLine="539"/>
              <w:jc w:val="both"/>
              <w:rPr>
                <w:rFonts w:ascii="Garamond" w:hAnsi="Garamond"/>
                <w:color w:val="000000"/>
                <w:spacing w:val="1"/>
                <w:sz w:val="22"/>
                <w:szCs w:val="22"/>
                <w:highlight w:val="yellow"/>
              </w:rPr>
            </w:pPr>
            <w:r w:rsidRPr="006F6DAC">
              <w:rPr>
                <w:rFonts w:ascii="Garamond" w:hAnsi="Garamond"/>
                <w:color w:val="000000"/>
                <w:spacing w:val="1"/>
                <w:sz w:val="22"/>
                <w:szCs w:val="22"/>
                <w:highlight w:val="yellow"/>
              </w:rPr>
              <w:t>Элемент &lt;sender&gt; является потомком корневого элемента &lt;message&gt;. В документе допускается наличие только одного элемента &lt;sender&gt;. Элемент &lt;sender&gt; описывает организацию, предоставляющую информацию. Потомками элемента &lt;sender&gt; являются элементы &lt;inn&gt;, &lt;name&gt;.</w:t>
            </w:r>
          </w:p>
          <w:p w14:paraId="1F1ADF7B" w14:textId="77777777" w:rsidR="00F11A8B" w:rsidRPr="006F6DAC" w:rsidRDefault="00F11A8B" w:rsidP="00F11A8B">
            <w:pPr>
              <w:tabs>
                <w:tab w:val="left" w:pos="1080"/>
              </w:tabs>
              <w:spacing w:before="120" w:after="120"/>
              <w:ind w:firstLine="539"/>
              <w:jc w:val="both"/>
              <w:rPr>
                <w:rFonts w:ascii="Garamond" w:hAnsi="Garamond"/>
                <w:color w:val="000000"/>
                <w:spacing w:val="1"/>
                <w:sz w:val="22"/>
                <w:szCs w:val="22"/>
                <w:highlight w:val="yellow"/>
              </w:rPr>
            </w:pPr>
            <w:r w:rsidRPr="006F6DAC">
              <w:rPr>
                <w:rFonts w:ascii="Garamond" w:hAnsi="Garamond"/>
                <w:color w:val="000000"/>
                <w:spacing w:val="1"/>
                <w:sz w:val="22"/>
                <w:szCs w:val="22"/>
                <w:highlight w:val="yellow"/>
              </w:rPr>
              <w:t>1.2.1. &lt;</w:t>
            </w:r>
            <w:r w:rsidRPr="006F6DAC">
              <w:rPr>
                <w:rFonts w:ascii="Garamond" w:hAnsi="Garamond"/>
                <w:color w:val="000000"/>
                <w:spacing w:val="1"/>
                <w:sz w:val="22"/>
                <w:szCs w:val="22"/>
                <w:highlight w:val="yellow"/>
                <w:lang w:val="en-US"/>
              </w:rPr>
              <w:t>inn</w:t>
            </w:r>
            <w:r w:rsidRPr="006F6DAC">
              <w:rPr>
                <w:rFonts w:ascii="Garamond" w:hAnsi="Garamond"/>
                <w:color w:val="000000"/>
                <w:spacing w:val="1"/>
                <w:sz w:val="22"/>
                <w:szCs w:val="22"/>
                <w:highlight w:val="yellow"/>
              </w:rPr>
              <w:t>&gt;</w:t>
            </w:r>
          </w:p>
          <w:p w14:paraId="64FC3F88" w14:textId="77777777" w:rsidR="00F11A8B" w:rsidRPr="006F6DAC" w:rsidRDefault="00F11A8B" w:rsidP="00F11A8B">
            <w:pPr>
              <w:tabs>
                <w:tab w:val="left" w:pos="1080"/>
              </w:tabs>
              <w:spacing w:before="120" w:after="120"/>
              <w:ind w:firstLine="539"/>
              <w:jc w:val="both"/>
              <w:rPr>
                <w:rFonts w:ascii="Garamond" w:hAnsi="Garamond"/>
                <w:color w:val="000000"/>
                <w:spacing w:val="1"/>
                <w:sz w:val="22"/>
                <w:szCs w:val="22"/>
                <w:highlight w:val="yellow"/>
              </w:rPr>
            </w:pPr>
            <w:r w:rsidRPr="006F6DAC">
              <w:rPr>
                <w:rFonts w:ascii="Garamond" w:hAnsi="Garamond"/>
                <w:color w:val="000000"/>
                <w:spacing w:val="1"/>
                <w:sz w:val="22"/>
                <w:szCs w:val="22"/>
                <w:highlight w:val="yellow"/>
              </w:rPr>
              <w:t>Элемент &lt;inn&gt; является обязательным и содержит ИНН организации, предоставляющей информацию.</w:t>
            </w:r>
          </w:p>
          <w:p w14:paraId="3C1E3A0B" w14:textId="77777777" w:rsidR="00F11A8B" w:rsidRPr="006F6DAC" w:rsidRDefault="00F11A8B" w:rsidP="00F11A8B">
            <w:pPr>
              <w:tabs>
                <w:tab w:val="left" w:pos="1080"/>
              </w:tabs>
              <w:spacing w:before="120" w:after="120"/>
              <w:ind w:firstLine="539"/>
              <w:jc w:val="both"/>
              <w:rPr>
                <w:rFonts w:ascii="Garamond" w:hAnsi="Garamond"/>
                <w:color w:val="000000"/>
                <w:spacing w:val="1"/>
                <w:sz w:val="22"/>
                <w:szCs w:val="22"/>
                <w:highlight w:val="yellow"/>
              </w:rPr>
            </w:pPr>
            <w:r w:rsidRPr="006F6DAC">
              <w:rPr>
                <w:rFonts w:ascii="Garamond" w:hAnsi="Garamond"/>
                <w:color w:val="000000"/>
                <w:spacing w:val="1"/>
                <w:sz w:val="22"/>
                <w:szCs w:val="22"/>
                <w:highlight w:val="yellow"/>
              </w:rPr>
              <w:t>1.2.2. &lt;</w:t>
            </w:r>
            <w:r w:rsidRPr="006F6DAC">
              <w:rPr>
                <w:rFonts w:ascii="Garamond" w:hAnsi="Garamond"/>
                <w:color w:val="000000"/>
                <w:spacing w:val="1"/>
                <w:sz w:val="22"/>
                <w:szCs w:val="22"/>
                <w:highlight w:val="yellow"/>
                <w:lang w:val="en-US"/>
              </w:rPr>
              <w:t>name</w:t>
            </w:r>
            <w:r w:rsidRPr="006F6DAC">
              <w:rPr>
                <w:rFonts w:ascii="Garamond" w:hAnsi="Garamond"/>
                <w:color w:val="000000"/>
                <w:spacing w:val="1"/>
                <w:sz w:val="22"/>
                <w:szCs w:val="22"/>
                <w:highlight w:val="yellow"/>
              </w:rPr>
              <w:t>&gt;</w:t>
            </w:r>
          </w:p>
          <w:p w14:paraId="6EA59893" w14:textId="77777777" w:rsidR="00F11A8B" w:rsidRPr="006F6DAC" w:rsidRDefault="00F11A8B" w:rsidP="00F11A8B">
            <w:pPr>
              <w:tabs>
                <w:tab w:val="left" w:pos="1080"/>
              </w:tabs>
              <w:spacing w:before="120" w:after="120"/>
              <w:ind w:firstLine="539"/>
              <w:jc w:val="both"/>
              <w:rPr>
                <w:rFonts w:ascii="Garamond" w:hAnsi="Garamond"/>
                <w:sz w:val="22"/>
                <w:szCs w:val="22"/>
                <w:highlight w:val="yellow"/>
              </w:rPr>
            </w:pPr>
            <w:r w:rsidRPr="006F6DAC">
              <w:rPr>
                <w:rFonts w:ascii="Garamond" w:hAnsi="Garamond"/>
                <w:sz w:val="22"/>
                <w:szCs w:val="22"/>
                <w:highlight w:val="yellow"/>
              </w:rPr>
              <w:lastRenderedPageBreak/>
              <w:t>Элемент &lt;name&gt; элемента &lt;sender&gt; содержит название организации, предоставляющей информацию. Длина названия до 250 символов.</w:t>
            </w:r>
          </w:p>
          <w:p w14:paraId="61DB44C6" w14:textId="77777777" w:rsidR="00F11A8B" w:rsidRPr="006F6DAC" w:rsidRDefault="00F11A8B" w:rsidP="00F11A8B">
            <w:pPr>
              <w:tabs>
                <w:tab w:val="left" w:pos="1080"/>
              </w:tabs>
              <w:spacing w:before="120" w:after="120"/>
              <w:ind w:firstLine="539"/>
              <w:jc w:val="both"/>
              <w:rPr>
                <w:rFonts w:ascii="Garamond" w:hAnsi="Garamond"/>
                <w:sz w:val="22"/>
                <w:szCs w:val="22"/>
                <w:highlight w:val="yellow"/>
              </w:rPr>
            </w:pPr>
            <w:r w:rsidRPr="006F6DAC">
              <w:rPr>
                <w:rFonts w:ascii="Garamond" w:hAnsi="Garamond"/>
                <w:sz w:val="22"/>
                <w:szCs w:val="22"/>
                <w:highlight w:val="yellow"/>
              </w:rPr>
              <w:t>1.3. &lt;</w:t>
            </w:r>
            <w:r w:rsidRPr="006F6DAC">
              <w:rPr>
                <w:rFonts w:ascii="Garamond" w:hAnsi="Garamond"/>
                <w:sz w:val="22"/>
                <w:szCs w:val="22"/>
                <w:highlight w:val="yellow"/>
                <w:lang w:val="en-US"/>
              </w:rPr>
              <w:t>area</w:t>
            </w:r>
            <w:r w:rsidRPr="006F6DAC">
              <w:rPr>
                <w:rFonts w:ascii="Garamond" w:hAnsi="Garamond"/>
                <w:sz w:val="22"/>
                <w:szCs w:val="22"/>
                <w:highlight w:val="yellow"/>
              </w:rPr>
              <w:t>&gt;</w:t>
            </w:r>
          </w:p>
          <w:p w14:paraId="33EA460F" w14:textId="77777777" w:rsidR="00F11A8B" w:rsidRPr="006F6DAC" w:rsidRDefault="00F11A8B" w:rsidP="00F11A8B">
            <w:pPr>
              <w:tabs>
                <w:tab w:val="left" w:pos="1080"/>
              </w:tabs>
              <w:spacing w:before="120" w:after="120"/>
              <w:ind w:firstLine="539"/>
              <w:jc w:val="both"/>
              <w:rPr>
                <w:rFonts w:ascii="Garamond" w:hAnsi="Garamond"/>
                <w:sz w:val="22"/>
                <w:szCs w:val="22"/>
                <w:highlight w:val="yellow"/>
              </w:rPr>
            </w:pPr>
            <w:r w:rsidRPr="006F6DAC">
              <w:rPr>
                <w:rFonts w:ascii="Garamond" w:hAnsi="Garamond"/>
                <w:sz w:val="22"/>
                <w:szCs w:val="22"/>
                <w:highlight w:val="yellow"/>
              </w:rPr>
              <w:t xml:space="preserve">Элемент &lt;area&gt; содержит информацию о результатах измерений субъекта ОРЭМ. Атрибутом элемента &lt;area&gt; является timezone, указывающий, к какой временной зоне относится данная &lt;area&gt;. Атрибут timezone является необязательным и должен принимать значение «1» для всех временных зон. </w:t>
            </w:r>
          </w:p>
          <w:p w14:paraId="3D8E7707" w14:textId="77777777" w:rsidR="00F11A8B" w:rsidRPr="006F6DAC" w:rsidRDefault="00F11A8B" w:rsidP="00F11A8B">
            <w:pPr>
              <w:tabs>
                <w:tab w:val="left" w:pos="1080"/>
              </w:tabs>
              <w:spacing w:before="120" w:after="120"/>
              <w:ind w:firstLine="539"/>
              <w:jc w:val="both"/>
              <w:rPr>
                <w:rFonts w:ascii="Garamond" w:hAnsi="Garamond"/>
                <w:sz w:val="22"/>
                <w:szCs w:val="22"/>
                <w:highlight w:val="yellow"/>
              </w:rPr>
            </w:pPr>
            <w:r w:rsidRPr="006F6DAC">
              <w:rPr>
                <w:rFonts w:ascii="Garamond" w:hAnsi="Garamond"/>
                <w:sz w:val="22"/>
                <w:szCs w:val="22"/>
                <w:highlight w:val="yellow"/>
              </w:rPr>
              <w:t>Потомками</w:t>
            </w:r>
            <w:r w:rsidRPr="006F6DAC">
              <w:rPr>
                <w:rFonts w:ascii="Garamond" w:hAnsi="Garamond"/>
                <w:sz w:val="22"/>
                <w:szCs w:val="22"/>
                <w:highlight w:val="yellow"/>
                <w:lang w:val="en-US"/>
              </w:rPr>
              <w:t xml:space="preserve"> </w:t>
            </w:r>
            <w:r w:rsidRPr="006F6DAC">
              <w:rPr>
                <w:rFonts w:ascii="Garamond" w:hAnsi="Garamond"/>
                <w:sz w:val="22"/>
                <w:szCs w:val="22"/>
                <w:highlight w:val="yellow"/>
              </w:rPr>
              <w:t>элемента</w:t>
            </w:r>
            <w:r w:rsidRPr="006F6DAC">
              <w:rPr>
                <w:rFonts w:ascii="Garamond" w:hAnsi="Garamond"/>
                <w:sz w:val="22"/>
                <w:szCs w:val="22"/>
                <w:highlight w:val="yellow"/>
                <w:lang w:val="en-US"/>
              </w:rPr>
              <w:t xml:space="preserve"> &lt;area&gt; </w:t>
            </w:r>
            <w:r w:rsidRPr="006F6DAC">
              <w:rPr>
                <w:rFonts w:ascii="Garamond" w:hAnsi="Garamond"/>
                <w:sz w:val="22"/>
                <w:szCs w:val="22"/>
                <w:highlight w:val="yellow"/>
              </w:rPr>
              <w:t>могут</w:t>
            </w:r>
            <w:r w:rsidRPr="006F6DAC">
              <w:rPr>
                <w:rFonts w:ascii="Garamond" w:hAnsi="Garamond"/>
                <w:sz w:val="22"/>
                <w:szCs w:val="22"/>
                <w:highlight w:val="yellow"/>
                <w:lang w:val="en-US"/>
              </w:rPr>
              <w:t xml:space="preserve"> </w:t>
            </w:r>
            <w:r w:rsidRPr="006F6DAC">
              <w:rPr>
                <w:rFonts w:ascii="Garamond" w:hAnsi="Garamond"/>
                <w:sz w:val="22"/>
                <w:szCs w:val="22"/>
                <w:highlight w:val="yellow"/>
              </w:rPr>
              <w:t>являться</w:t>
            </w:r>
            <w:r w:rsidRPr="006F6DAC">
              <w:rPr>
                <w:rFonts w:ascii="Garamond" w:hAnsi="Garamond"/>
                <w:sz w:val="22"/>
                <w:szCs w:val="22"/>
                <w:highlight w:val="yellow"/>
                <w:lang w:val="en-US"/>
              </w:rPr>
              <w:t xml:space="preserve"> </w:t>
            </w:r>
            <w:r w:rsidRPr="006F6DAC">
              <w:rPr>
                <w:rFonts w:ascii="Garamond" w:hAnsi="Garamond"/>
                <w:sz w:val="22"/>
                <w:szCs w:val="22"/>
                <w:highlight w:val="yellow"/>
              </w:rPr>
              <w:t>элементы</w:t>
            </w:r>
            <w:r w:rsidRPr="006F6DAC">
              <w:rPr>
                <w:rFonts w:ascii="Garamond" w:hAnsi="Garamond"/>
                <w:sz w:val="22"/>
                <w:szCs w:val="22"/>
                <w:highlight w:val="yellow"/>
                <w:lang w:val="en-US"/>
              </w:rPr>
              <w:t xml:space="preserve"> &lt;inn&gt;, &lt;name&gt;, &lt;measuringpoint&gt;, &lt;deliverypoint&gt;, &lt;measuringobject&gt;, &lt;regulation-object&gt;. </w:t>
            </w:r>
            <w:r w:rsidRPr="006F6DAC">
              <w:rPr>
                <w:rFonts w:ascii="Garamond" w:hAnsi="Garamond"/>
                <w:sz w:val="22"/>
                <w:szCs w:val="22"/>
                <w:highlight w:val="yellow"/>
              </w:rPr>
              <w:t>Список точек измерений, точек поставки, ОР, входящих в состав данной &lt;</w:t>
            </w:r>
            <w:r w:rsidRPr="006F6DAC">
              <w:rPr>
                <w:rFonts w:ascii="Garamond" w:hAnsi="Garamond"/>
                <w:sz w:val="22"/>
                <w:szCs w:val="22"/>
                <w:highlight w:val="yellow"/>
                <w:lang w:val="en-US"/>
              </w:rPr>
              <w:t>area</w:t>
            </w:r>
            <w:r w:rsidRPr="006F6DAC">
              <w:rPr>
                <w:rFonts w:ascii="Garamond" w:hAnsi="Garamond"/>
                <w:sz w:val="22"/>
                <w:szCs w:val="22"/>
                <w:highlight w:val="yellow"/>
              </w:rPr>
              <w:t xml:space="preserve">&gt;, определяет КО. </w:t>
            </w:r>
          </w:p>
          <w:p w14:paraId="1D792F9F" w14:textId="77777777" w:rsidR="00F11A8B" w:rsidRPr="006F6DAC" w:rsidRDefault="00F11A8B" w:rsidP="00F11A8B">
            <w:pPr>
              <w:tabs>
                <w:tab w:val="left" w:pos="1080"/>
              </w:tabs>
              <w:spacing w:before="120" w:after="120"/>
              <w:ind w:firstLine="539"/>
              <w:jc w:val="both"/>
              <w:rPr>
                <w:rFonts w:ascii="Garamond" w:hAnsi="Garamond"/>
                <w:sz w:val="22"/>
                <w:szCs w:val="22"/>
                <w:highlight w:val="yellow"/>
              </w:rPr>
            </w:pPr>
            <w:r w:rsidRPr="006F6DAC">
              <w:rPr>
                <w:rFonts w:ascii="Garamond" w:hAnsi="Garamond"/>
                <w:sz w:val="22"/>
                <w:szCs w:val="22"/>
                <w:highlight w:val="yellow"/>
              </w:rPr>
              <w:t>В документе допускается наличие только одного элемента &lt;area&gt;.</w:t>
            </w:r>
          </w:p>
          <w:p w14:paraId="4D24A5B3" w14:textId="77777777" w:rsidR="00F11A8B" w:rsidRPr="006F6DAC" w:rsidRDefault="00F11A8B" w:rsidP="00F11A8B">
            <w:pPr>
              <w:tabs>
                <w:tab w:val="left" w:pos="1080"/>
              </w:tabs>
              <w:spacing w:before="120" w:after="120"/>
              <w:ind w:firstLine="539"/>
              <w:jc w:val="both"/>
              <w:rPr>
                <w:rFonts w:ascii="Garamond" w:hAnsi="Garamond"/>
                <w:sz w:val="22"/>
                <w:szCs w:val="22"/>
                <w:highlight w:val="yellow"/>
              </w:rPr>
            </w:pPr>
            <w:r w:rsidRPr="006F6DAC">
              <w:rPr>
                <w:rFonts w:ascii="Garamond" w:hAnsi="Garamond"/>
                <w:sz w:val="22"/>
                <w:szCs w:val="22"/>
                <w:highlight w:val="yellow"/>
              </w:rPr>
              <w:t>1.3.1. &lt;</w:t>
            </w:r>
            <w:r w:rsidRPr="006F6DAC">
              <w:rPr>
                <w:rFonts w:ascii="Garamond" w:hAnsi="Garamond"/>
                <w:sz w:val="22"/>
                <w:szCs w:val="22"/>
                <w:highlight w:val="yellow"/>
                <w:lang w:val="en-US"/>
              </w:rPr>
              <w:t>inn</w:t>
            </w:r>
            <w:r w:rsidRPr="006F6DAC">
              <w:rPr>
                <w:rFonts w:ascii="Garamond" w:hAnsi="Garamond"/>
                <w:sz w:val="22"/>
                <w:szCs w:val="22"/>
                <w:highlight w:val="yellow"/>
              </w:rPr>
              <w:t>&gt;</w:t>
            </w:r>
          </w:p>
          <w:p w14:paraId="11F5B40C" w14:textId="77777777" w:rsidR="00F11A8B" w:rsidRPr="006F6DAC" w:rsidRDefault="00F11A8B" w:rsidP="00F11A8B">
            <w:pPr>
              <w:tabs>
                <w:tab w:val="left" w:pos="1080"/>
              </w:tabs>
              <w:spacing w:before="120" w:after="120"/>
              <w:ind w:firstLine="539"/>
              <w:jc w:val="both"/>
              <w:rPr>
                <w:rFonts w:ascii="Garamond" w:hAnsi="Garamond"/>
                <w:sz w:val="22"/>
                <w:szCs w:val="22"/>
                <w:highlight w:val="yellow"/>
              </w:rPr>
            </w:pPr>
            <w:r w:rsidRPr="006F6DAC">
              <w:rPr>
                <w:rFonts w:ascii="Garamond" w:hAnsi="Garamond"/>
                <w:sz w:val="22"/>
                <w:szCs w:val="22"/>
                <w:highlight w:val="yellow"/>
              </w:rPr>
              <w:t>Элемент &lt;inn&gt; является обязательным и содержит идентификатор, присваиваемый КО. Значением элемента &lt;</w:t>
            </w:r>
            <w:r w:rsidRPr="006F6DAC">
              <w:rPr>
                <w:rFonts w:ascii="Garamond" w:hAnsi="Garamond"/>
                <w:sz w:val="22"/>
                <w:szCs w:val="22"/>
                <w:highlight w:val="yellow"/>
                <w:lang w:val="en-US"/>
              </w:rPr>
              <w:t>inn</w:t>
            </w:r>
            <w:r w:rsidRPr="006F6DAC">
              <w:rPr>
                <w:rFonts w:ascii="Garamond" w:hAnsi="Garamond"/>
                <w:sz w:val="22"/>
                <w:szCs w:val="22"/>
                <w:highlight w:val="yellow"/>
              </w:rPr>
              <w:t>&gt; является 10-значный идентификатор, предоставляемый КО.</w:t>
            </w:r>
          </w:p>
          <w:p w14:paraId="1A08F90B" w14:textId="77777777" w:rsidR="00F11A8B" w:rsidRPr="006F6DAC" w:rsidRDefault="00F11A8B" w:rsidP="00F11A8B">
            <w:pPr>
              <w:tabs>
                <w:tab w:val="left" w:pos="1080"/>
              </w:tabs>
              <w:spacing w:before="120" w:after="120"/>
              <w:ind w:firstLine="539"/>
              <w:jc w:val="both"/>
              <w:rPr>
                <w:rFonts w:ascii="Garamond" w:hAnsi="Garamond"/>
                <w:sz w:val="22"/>
                <w:szCs w:val="22"/>
                <w:highlight w:val="yellow"/>
              </w:rPr>
            </w:pPr>
            <w:r w:rsidRPr="006F6DAC">
              <w:rPr>
                <w:rFonts w:ascii="Garamond" w:hAnsi="Garamond"/>
                <w:sz w:val="22"/>
                <w:szCs w:val="22"/>
                <w:highlight w:val="yellow"/>
              </w:rPr>
              <w:t>1.3.2. &lt;</w:t>
            </w:r>
            <w:r w:rsidRPr="006F6DAC">
              <w:rPr>
                <w:rFonts w:ascii="Garamond" w:hAnsi="Garamond"/>
                <w:sz w:val="22"/>
                <w:szCs w:val="22"/>
                <w:highlight w:val="yellow"/>
                <w:lang w:val="en-US"/>
              </w:rPr>
              <w:t>name</w:t>
            </w:r>
            <w:r w:rsidRPr="006F6DAC">
              <w:rPr>
                <w:rFonts w:ascii="Garamond" w:hAnsi="Garamond"/>
                <w:sz w:val="22"/>
                <w:szCs w:val="22"/>
                <w:highlight w:val="yellow"/>
              </w:rPr>
              <w:t>&gt;</w:t>
            </w:r>
          </w:p>
          <w:p w14:paraId="6546D5D0" w14:textId="77777777" w:rsidR="00F11A8B" w:rsidRPr="006F6DAC" w:rsidRDefault="00F11A8B" w:rsidP="00F11A8B">
            <w:pPr>
              <w:tabs>
                <w:tab w:val="left" w:pos="1080"/>
              </w:tabs>
              <w:spacing w:before="120" w:after="120"/>
              <w:ind w:firstLine="539"/>
              <w:jc w:val="both"/>
              <w:rPr>
                <w:rFonts w:ascii="Garamond" w:hAnsi="Garamond"/>
                <w:sz w:val="22"/>
                <w:szCs w:val="22"/>
                <w:highlight w:val="yellow"/>
              </w:rPr>
            </w:pPr>
            <w:r w:rsidRPr="006F6DAC">
              <w:rPr>
                <w:rFonts w:ascii="Garamond" w:hAnsi="Garamond"/>
                <w:sz w:val="22"/>
                <w:szCs w:val="22"/>
                <w:highlight w:val="yellow"/>
              </w:rPr>
              <w:t>Элемент &lt;name&gt; является обязательным и содержит название данной &lt;area&gt;. Длина названия до 250 символов.</w:t>
            </w:r>
          </w:p>
          <w:p w14:paraId="69857CF4" w14:textId="77777777" w:rsidR="00F11A8B" w:rsidRPr="006F6DAC" w:rsidRDefault="00F11A8B" w:rsidP="00F11A8B">
            <w:pPr>
              <w:tabs>
                <w:tab w:val="left" w:pos="1080"/>
              </w:tabs>
              <w:spacing w:before="120" w:after="120"/>
              <w:ind w:firstLine="539"/>
              <w:jc w:val="both"/>
              <w:rPr>
                <w:rFonts w:ascii="Garamond" w:hAnsi="Garamond"/>
                <w:sz w:val="22"/>
                <w:szCs w:val="22"/>
                <w:highlight w:val="yellow"/>
              </w:rPr>
            </w:pPr>
            <w:r w:rsidRPr="006F6DAC">
              <w:rPr>
                <w:rFonts w:ascii="Garamond" w:hAnsi="Garamond"/>
                <w:sz w:val="22"/>
                <w:szCs w:val="22"/>
                <w:highlight w:val="yellow"/>
              </w:rPr>
              <w:t>1.3.3. &lt;</w:t>
            </w:r>
            <w:r w:rsidRPr="006F6DAC">
              <w:rPr>
                <w:rFonts w:ascii="Garamond" w:hAnsi="Garamond"/>
                <w:sz w:val="22"/>
                <w:szCs w:val="22"/>
                <w:highlight w:val="yellow"/>
                <w:lang w:val="en-US"/>
              </w:rPr>
              <w:t>measuringpoint</w:t>
            </w:r>
            <w:r w:rsidRPr="006F6DAC">
              <w:rPr>
                <w:rFonts w:ascii="Garamond" w:hAnsi="Garamond"/>
                <w:sz w:val="22"/>
                <w:szCs w:val="22"/>
                <w:highlight w:val="yellow"/>
              </w:rPr>
              <w:t>&gt;</w:t>
            </w:r>
          </w:p>
          <w:p w14:paraId="4117882A" w14:textId="77777777" w:rsidR="00F11A8B" w:rsidRPr="006F6DAC" w:rsidRDefault="00F11A8B" w:rsidP="00F11A8B">
            <w:pPr>
              <w:tabs>
                <w:tab w:val="left" w:pos="1080"/>
              </w:tabs>
              <w:spacing w:before="120" w:after="120"/>
              <w:ind w:firstLine="539"/>
              <w:jc w:val="both"/>
              <w:rPr>
                <w:rFonts w:ascii="Garamond" w:hAnsi="Garamond"/>
                <w:sz w:val="22"/>
                <w:szCs w:val="22"/>
                <w:highlight w:val="yellow"/>
              </w:rPr>
            </w:pPr>
            <w:r w:rsidRPr="006F6DAC">
              <w:rPr>
                <w:rFonts w:ascii="Garamond" w:hAnsi="Garamond"/>
                <w:sz w:val="22"/>
                <w:szCs w:val="22"/>
                <w:highlight w:val="yellow"/>
              </w:rPr>
              <w:t>Элемент &lt;</w:t>
            </w:r>
            <w:r w:rsidRPr="006F6DAC">
              <w:rPr>
                <w:rFonts w:ascii="Garamond" w:hAnsi="Garamond"/>
                <w:sz w:val="22"/>
                <w:szCs w:val="22"/>
                <w:highlight w:val="yellow"/>
                <w:lang w:val="en-US"/>
              </w:rPr>
              <w:t>m</w:t>
            </w:r>
            <w:r w:rsidRPr="006F6DAC">
              <w:rPr>
                <w:rFonts w:ascii="Garamond" w:hAnsi="Garamond"/>
                <w:sz w:val="22"/>
                <w:szCs w:val="22"/>
                <w:highlight w:val="yellow"/>
              </w:rPr>
              <w:t>easuring</w:t>
            </w:r>
            <w:r w:rsidRPr="006F6DAC">
              <w:rPr>
                <w:rFonts w:ascii="Garamond" w:hAnsi="Garamond"/>
                <w:sz w:val="22"/>
                <w:szCs w:val="22"/>
                <w:highlight w:val="yellow"/>
                <w:lang w:val="en-US"/>
              </w:rPr>
              <w:t>p</w:t>
            </w:r>
            <w:r w:rsidRPr="006F6DAC">
              <w:rPr>
                <w:rFonts w:ascii="Garamond" w:hAnsi="Garamond"/>
                <w:sz w:val="22"/>
                <w:szCs w:val="22"/>
                <w:highlight w:val="yellow"/>
              </w:rPr>
              <w:t>oint&gt; содержит сведения о точке измерений и результатах измерений по ней. Атрибуты элемента &lt;</w:t>
            </w:r>
            <w:r w:rsidRPr="006F6DAC">
              <w:rPr>
                <w:rFonts w:ascii="Garamond" w:hAnsi="Garamond"/>
                <w:sz w:val="22"/>
                <w:szCs w:val="22"/>
                <w:highlight w:val="yellow"/>
                <w:lang w:val="en-US"/>
              </w:rPr>
              <w:t>m</w:t>
            </w:r>
            <w:r w:rsidRPr="006F6DAC">
              <w:rPr>
                <w:rFonts w:ascii="Garamond" w:hAnsi="Garamond"/>
                <w:sz w:val="22"/>
                <w:szCs w:val="22"/>
                <w:highlight w:val="yellow"/>
              </w:rPr>
              <w:t>easuring</w:t>
            </w:r>
            <w:r w:rsidRPr="006F6DAC">
              <w:rPr>
                <w:rFonts w:ascii="Garamond" w:hAnsi="Garamond"/>
                <w:sz w:val="22"/>
                <w:szCs w:val="22"/>
                <w:highlight w:val="yellow"/>
                <w:lang w:val="en-US"/>
              </w:rPr>
              <w:t>p</w:t>
            </w:r>
            <w:r w:rsidRPr="006F6DAC">
              <w:rPr>
                <w:rFonts w:ascii="Garamond" w:hAnsi="Garamond"/>
                <w:sz w:val="22"/>
                <w:szCs w:val="22"/>
                <w:highlight w:val="yellow"/>
              </w:rPr>
              <w:t xml:space="preserve">oint&gt;: </w:t>
            </w:r>
          </w:p>
          <w:p w14:paraId="3ECF7FD6" w14:textId="77777777" w:rsidR="00F11A8B" w:rsidRPr="006F6DAC" w:rsidRDefault="00F11A8B" w:rsidP="00F11A8B">
            <w:pPr>
              <w:numPr>
                <w:ilvl w:val="0"/>
                <w:numId w:val="234"/>
              </w:numPr>
              <w:tabs>
                <w:tab w:val="left" w:pos="885"/>
              </w:tabs>
              <w:suppressAutoHyphens w:val="0"/>
              <w:spacing w:before="120" w:after="120"/>
              <w:jc w:val="both"/>
              <w:rPr>
                <w:rFonts w:ascii="Garamond" w:hAnsi="Garamond"/>
                <w:sz w:val="22"/>
                <w:szCs w:val="22"/>
                <w:highlight w:val="yellow"/>
              </w:rPr>
            </w:pPr>
            <w:r w:rsidRPr="006F6DAC">
              <w:rPr>
                <w:rFonts w:ascii="Garamond" w:hAnsi="Garamond"/>
                <w:sz w:val="22"/>
                <w:szCs w:val="22"/>
                <w:highlight w:val="yellow"/>
                <w:lang w:val="en-US"/>
              </w:rPr>
              <w:t>code</w:t>
            </w:r>
            <w:r w:rsidRPr="006F6DAC">
              <w:rPr>
                <w:rFonts w:ascii="Garamond" w:hAnsi="Garamond"/>
                <w:sz w:val="22"/>
                <w:szCs w:val="22"/>
                <w:highlight w:val="yellow"/>
              </w:rPr>
              <w:t xml:space="preserve"> – </w:t>
            </w:r>
            <w:r w:rsidRPr="006F6DAC">
              <w:rPr>
                <w:rFonts w:ascii="Garamond" w:hAnsi="Garamond"/>
                <w:spacing w:val="1"/>
                <w:sz w:val="22"/>
                <w:szCs w:val="22"/>
                <w:highlight w:val="yellow"/>
              </w:rPr>
              <w:t>содержит уникальный код, присвоенный КО данной точке измерений</w:t>
            </w:r>
            <w:r w:rsidRPr="006F6DAC">
              <w:rPr>
                <w:rFonts w:ascii="Garamond" w:hAnsi="Garamond"/>
                <w:bCs/>
                <w:sz w:val="22"/>
                <w:szCs w:val="22"/>
                <w:highlight w:val="yellow"/>
              </w:rPr>
              <w:t>;</w:t>
            </w:r>
          </w:p>
          <w:p w14:paraId="396800A5" w14:textId="77777777" w:rsidR="00F11A8B" w:rsidRPr="006F6DAC" w:rsidRDefault="00F11A8B" w:rsidP="00F11A8B">
            <w:pPr>
              <w:numPr>
                <w:ilvl w:val="0"/>
                <w:numId w:val="234"/>
              </w:numPr>
              <w:tabs>
                <w:tab w:val="left" w:pos="885"/>
              </w:tabs>
              <w:suppressAutoHyphens w:val="0"/>
              <w:spacing w:before="120" w:after="120"/>
              <w:jc w:val="both"/>
              <w:rPr>
                <w:rFonts w:ascii="Garamond" w:hAnsi="Garamond"/>
                <w:sz w:val="22"/>
                <w:szCs w:val="22"/>
                <w:highlight w:val="yellow"/>
              </w:rPr>
            </w:pPr>
            <w:r w:rsidRPr="006F6DAC">
              <w:rPr>
                <w:rFonts w:ascii="Garamond" w:hAnsi="Garamond"/>
                <w:sz w:val="22"/>
                <w:szCs w:val="22"/>
                <w:highlight w:val="yellow"/>
                <w:lang w:val="en-US"/>
              </w:rPr>
              <w:t>name</w:t>
            </w:r>
            <w:r w:rsidRPr="006F6DAC">
              <w:rPr>
                <w:rFonts w:ascii="Garamond" w:hAnsi="Garamond"/>
                <w:sz w:val="22"/>
                <w:szCs w:val="22"/>
                <w:highlight w:val="yellow"/>
              </w:rPr>
              <w:t xml:space="preserve"> – содержит наименование данной точки измерений. Длина наименования до 250 символов.</w:t>
            </w:r>
          </w:p>
          <w:p w14:paraId="65ED93DA" w14:textId="77777777" w:rsidR="00F11A8B" w:rsidRPr="006F6DAC" w:rsidRDefault="00F11A8B" w:rsidP="00F11A8B">
            <w:pPr>
              <w:tabs>
                <w:tab w:val="left" w:pos="1080"/>
              </w:tabs>
              <w:spacing w:before="120" w:after="120"/>
              <w:ind w:firstLine="539"/>
              <w:jc w:val="both"/>
              <w:rPr>
                <w:rFonts w:ascii="Garamond" w:hAnsi="Garamond"/>
                <w:sz w:val="22"/>
                <w:szCs w:val="22"/>
                <w:highlight w:val="yellow"/>
              </w:rPr>
            </w:pPr>
            <w:r w:rsidRPr="006F6DAC">
              <w:rPr>
                <w:rFonts w:ascii="Garamond" w:hAnsi="Garamond"/>
                <w:sz w:val="22"/>
                <w:szCs w:val="22"/>
                <w:highlight w:val="yellow"/>
              </w:rPr>
              <w:t>Потомками элемента &lt;</w:t>
            </w:r>
            <w:r w:rsidRPr="006F6DAC">
              <w:rPr>
                <w:rFonts w:ascii="Garamond" w:hAnsi="Garamond"/>
                <w:sz w:val="22"/>
                <w:szCs w:val="22"/>
                <w:highlight w:val="yellow"/>
                <w:lang w:val="en-US"/>
              </w:rPr>
              <w:t>m</w:t>
            </w:r>
            <w:r w:rsidRPr="006F6DAC">
              <w:rPr>
                <w:rFonts w:ascii="Garamond" w:hAnsi="Garamond"/>
                <w:sz w:val="22"/>
                <w:szCs w:val="22"/>
                <w:highlight w:val="yellow"/>
              </w:rPr>
              <w:t>easuring</w:t>
            </w:r>
            <w:r w:rsidRPr="006F6DAC">
              <w:rPr>
                <w:rFonts w:ascii="Garamond" w:hAnsi="Garamond"/>
                <w:sz w:val="22"/>
                <w:szCs w:val="22"/>
                <w:highlight w:val="yellow"/>
                <w:lang w:val="en-US"/>
              </w:rPr>
              <w:t>p</w:t>
            </w:r>
            <w:r w:rsidRPr="006F6DAC">
              <w:rPr>
                <w:rFonts w:ascii="Garamond" w:hAnsi="Garamond"/>
                <w:sz w:val="22"/>
                <w:szCs w:val="22"/>
                <w:highlight w:val="yellow"/>
              </w:rPr>
              <w:t>oint&gt; являются элементы &lt;</w:t>
            </w:r>
            <w:r w:rsidRPr="006F6DAC">
              <w:rPr>
                <w:rFonts w:ascii="Garamond" w:hAnsi="Garamond"/>
                <w:sz w:val="22"/>
                <w:szCs w:val="22"/>
                <w:highlight w:val="yellow"/>
                <w:lang w:val="en-US"/>
              </w:rPr>
              <w:t>km</w:t>
            </w:r>
            <w:r w:rsidRPr="006F6DAC">
              <w:rPr>
                <w:rFonts w:ascii="Garamond" w:hAnsi="Garamond"/>
                <w:sz w:val="22"/>
                <w:szCs w:val="22"/>
                <w:highlight w:val="yellow"/>
              </w:rPr>
              <w:t>&gt;, &lt;</w:t>
            </w:r>
            <w:r w:rsidRPr="006F6DAC">
              <w:rPr>
                <w:rFonts w:ascii="Garamond" w:hAnsi="Garamond"/>
                <w:sz w:val="22"/>
                <w:szCs w:val="22"/>
                <w:highlight w:val="yellow"/>
                <w:lang w:val="en-US"/>
              </w:rPr>
              <w:t>m</w:t>
            </w:r>
            <w:r w:rsidRPr="006F6DAC">
              <w:rPr>
                <w:rFonts w:ascii="Garamond" w:hAnsi="Garamond"/>
                <w:sz w:val="22"/>
                <w:szCs w:val="22"/>
                <w:highlight w:val="yellow"/>
              </w:rPr>
              <w:t>easuring</w:t>
            </w:r>
            <w:r w:rsidRPr="006F6DAC">
              <w:rPr>
                <w:rFonts w:ascii="Garamond" w:hAnsi="Garamond"/>
                <w:sz w:val="22"/>
                <w:szCs w:val="22"/>
                <w:highlight w:val="yellow"/>
                <w:lang w:val="en-US"/>
              </w:rPr>
              <w:t>c</w:t>
            </w:r>
            <w:r w:rsidRPr="006F6DAC">
              <w:rPr>
                <w:rFonts w:ascii="Garamond" w:hAnsi="Garamond"/>
                <w:sz w:val="22"/>
                <w:szCs w:val="22"/>
                <w:highlight w:val="yellow"/>
              </w:rPr>
              <w:t>hannel&gt;.</w:t>
            </w:r>
          </w:p>
          <w:p w14:paraId="664E1132" w14:textId="77777777" w:rsidR="00F11A8B" w:rsidRPr="006F6DAC" w:rsidRDefault="00F11A8B" w:rsidP="00F11A8B">
            <w:pPr>
              <w:pStyle w:val="ac"/>
              <w:spacing w:before="120" w:after="120" w:line="276" w:lineRule="auto"/>
              <w:ind w:left="567"/>
              <w:jc w:val="both"/>
              <w:rPr>
                <w:rFonts w:ascii="Garamond" w:hAnsi="Garamond"/>
                <w:sz w:val="22"/>
                <w:szCs w:val="22"/>
                <w:highlight w:val="yellow"/>
              </w:rPr>
            </w:pPr>
            <w:r w:rsidRPr="006F6DAC">
              <w:rPr>
                <w:rFonts w:ascii="Garamond" w:hAnsi="Garamond"/>
                <w:sz w:val="22"/>
                <w:szCs w:val="22"/>
                <w:highlight w:val="yellow"/>
              </w:rPr>
              <w:t>1.3.3.1. &lt;</w:t>
            </w:r>
            <w:r w:rsidRPr="006F6DAC">
              <w:rPr>
                <w:rFonts w:ascii="Garamond" w:hAnsi="Garamond"/>
                <w:sz w:val="22"/>
                <w:szCs w:val="22"/>
                <w:highlight w:val="yellow"/>
                <w:lang w:val="en-US"/>
              </w:rPr>
              <w:t>km</w:t>
            </w:r>
            <w:r w:rsidRPr="006F6DAC">
              <w:rPr>
                <w:rFonts w:ascii="Garamond" w:hAnsi="Garamond"/>
                <w:sz w:val="22"/>
                <w:szCs w:val="22"/>
                <w:highlight w:val="yellow"/>
              </w:rPr>
              <w:t>&gt;</w:t>
            </w:r>
          </w:p>
          <w:p w14:paraId="5BF6A6CB" w14:textId="77777777" w:rsidR="00F11A8B" w:rsidRPr="006F6DAC" w:rsidRDefault="00F11A8B" w:rsidP="00F11A8B">
            <w:pPr>
              <w:pStyle w:val="ac"/>
              <w:tabs>
                <w:tab w:val="left" w:pos="885"/>
              </w:tabs>
              <w:spacing w:before="120" w:after="120" w:line="276" w:lineRule="auto"/>
              <w:ind w:left="0" w:firstLine="567"/>
              <w:jc w:val="both"/>
              <w:rPr>
                <w:rFonts w:ascii="Garamond" w:hAnsi="Garamond"/>
                <w:sz w:val="22"/>
                <w:szCs w:val="22"/>
                <w:highlight w:val="yellow"/>
              </w:rPr>
            </w:pPr>
            <w:r w:rsidRPr="006F6DAC">
              <w:rPr>
                <w:rFonts w:ascii="Garamond" w:hAnsi="Garamond"/>
                <w:sz w:val="22"/>
                <w:szCs w:val="22"/>
                <w:highlight w:val="yellow"/>
              </w:rPr>
              <w:lastRenderedPageBreak/>
              <w:t>Элемент &lt;</w:t>
            </w:r>
            <w:r w:rsidRPr="006F6DAC">
              <w:rPr>
                <w:rFonts w:ascii="Garamond" w:hAnsi="Garamond"/>
                <w:sz w:val="22"/>
                <w:szCs w:val="22"/>
                <w:highlight w:val="yellow"/>
                <w:lang w:val="en-US"/>
              </w:rPr>
              <w:t>km</w:t>
            </w:r>
            <w:r w:rsidRPr="006F6DAC">
              <w:rPr>
                <w:rFonts w:ascii="Garamond" w:hAnsi="Garamond"/>
                <w:sz w:val="22"/>
                <w:szCs w:val="22"/>
                <w:highlight w:val="yellow"/>
              </w:rPr>
              <w:t>&gt; является обязательным и содержит информацию о масштабном коэффициенте (произведение коэффициентов трансформации трансформаторов тока и напряжения). Является целым числом.</w:t>
            </w:r>
          </w:p>
          <w:p w14:paraId="2069AEB6" w14:textId="77777777" w:rsidR="00F11A8B" w:rsidRPr="006F6DAC" w:rsidRDefault="00F11A8B" w:rsidP="00F11A8B">
            <w:pPr>
              <w:tabs>
                <w:tab w:val="left" w:pos="1080"/>
              </w:tabs>
              <w:spacing w:before="120" w:after="120" w:line="276" w:lineRule="auto"/>
              <w:ind w:firstLine="539"/>
              <w:jc w:val="both"/>
              <w:rPr>
                <w:rFonts w:ascii="Garamond" w:hAnsi="Garamond"/>
                <w:sz w:val="22"/>
                <w:szCs w:val="22"/>
                <w:highlight w:val="yellow"/>
                <w:lang w:val="en-US"/>
              </w:rPr>
            </w:pPr>
            <w:r w:rsidRPr="006F6DAC">
              <w:rPr>
                <w:rFonts w:ascii="Garamond" w:hAnsi="Garamond"/>
                <w:sz w:val="22"/>
                <w:szCs w:val="22"/>
                <w:highlight w:val="yellow"/>
                <w:lang w:val="en-US"/>
              </w:rPr>
              <w:t>Атрибуты элемента &lt;km&gt;:</w:t>
            </w:r>
          </w:p>
          <w:p w14:paraId="1160445A" w14:textId="77777777" w:rsidR="00F11A8B" w:rsidRPr="006F6DAC" w:rsidRDefault="00F11A8B" w:rsidP="00F11A8B">
            <w:pPr>
              <w:numPr>
                <w:ilvl w:val="0"/>
                <w:numId w:val="234"/>
              </w:numPr>
              <w:tabs>
                <w:tab w:val="left" w:pos="885"/>
              </w:tabs>
              <w:suppressAutoHyphens w:val="0"/>
              <w:spacing w:before="120" w:after="120" w:line="276" w:lineRule="auto"/>
              <w:jc w:val="both"/>
              <w:rPr>
                <w:rFonts w:ascii="Garamond" w:hAnsi="Garamond"/>
                <w:sz w:val="22"/>
                <w:szCs w:val="22"/>
                <w:highlight w:val="yellow"/>
              </w:rPr>
            </w:pPr>
            <w:r w:rsidRPr="006F6DAC">
              <w:rPr>
                <w:rFonts w:ascii="Garamond" w:hAnsi="Garamond"/>
                <w:sz w:val="22"/>
                <w:szCs w:val="22"/>
                <w:highlight w:val="yellow"/>
                <w:lang w:val="en-US"/>
              </w:rPr>
              <w:t>start</w:t>
            </w:r>
            <w:r w:rsidRPr="006F6DAC">
              <w:rPr>
                <w:rFonts w:ascii="Garamond" w:hAnsi="Garamond"/>
                <w:sz w:val="22"/>
                <w:szCs w:val="22"/>
                <w:highlight w:val="yellow"/>
              </w:rPr>
              <w:t xml:space="preserve"> – является обязательным и содержит дату и время начала измерения в формате «ччмм», где «чч» – часы в 24-часовом формате, «мм» – минуты;</w:t>
            </w:r>
          </w:p>
          <w:p w14:paraId="352AE811" w14:textId="77777777" w:rsidR="00F11A8B" w:rsidRPr="006F6DAC" w:rsidRDefault="00F11A8B" w:rsidP="00F11A8B">
            <w:pPr>
              <w:numPr>
                <w:ilvl w:val="0"/>
                <w:numId w:val="234"/>
              </w:numPr>
              <w:tabs>
                <w:tab w:val="left" w:pos="885"/>
              </w:tabs>
              <w:suppressAutoHyphens w:val="0"/>
              <w:spacing w:before="120" w:after="120" w:line="276" w:lineRule="auto"/>
              <w:jc w:val="both"/>
              <w:rPr>
                <w:rFonts w:ascii="Garamond" w:hAnsi="Garamond"/>
                <w:sz w:val="22"/>
                <w:szCs w:val="22"/>
                <w:highlight w:val="yellow"/>
              </w:rPr>
            </w:pPr>
            <w:r w:rsidRPr="006F6DAC">
              <w:rPr>
                <w:rFonts w:ascii="Garamond" w:hAnsi="Garamond"/>
                <w:sz w:val="22"/>
                <w:szCs w:val="22"/>
                <w:highlight w:val="yellow"/>
                <w:lang w:val="en-US"/>
              </w:rPr>
              <w:t>end</w:t>
            </w:r>
            <w:r w:rsidRPr="006F6DAC">
              <w:rPr>
                <w:rFonts w:ascii="Garamond" w:hAnsi="Garamond"/>
                <w:sz w:val="22"/>
                <w:szCs w:val="22"/>
                <w:highlight w:val="yellow"/>
              </w:rPr>
              <w:t xml:space="preserve"> – является обязательным и содержит дату и время конца измерения в формате «ччмм», где «чч» – часы в 24-часовом формате, «мм» – минуты.</w:t>
            </w:r>
          </w:p>
          <w:p w14:paraId="4A15B6EE" w14:textId="77777777" w:rsidR="00F11A8B" w:rsidRPr="006F6DAC" w:rsidRDefault="00F11A8B" w:rsidP="00F11A8B">
            <w:pPr>
              <w:tabs>
                <w:tab w:val="left" w:pos="1080"/>
              </w:tabs>
              <w:spacing w:before="120" w:after="120" w:line="276" w:lineRule="auto"/>
              <w:ind w:firstLine="539"/>
              <w:jc w:val="both"/>
              <w:rPr>
                <w:rFonts w:ascii="Garamond" w:hAnsi="Garamond"/>
                <w:sz w:val="22"/>
                <w:szCs w:val="22"/>
                <w:highlight w:val="yellow"/>
              </w:rPr>
            </w:pPr>
            <w:r w:rsidRPr="006F6DAC">
              <w:rPr>
                <w:rFonts w:ascii="Garamond" w:hAnsi="Garamond"/>
                <w:sz w:val="22"/>
                <w:szCs w:val="22"/>
                <w:highlight w:val="yellow"/>
              </w:rPr>
              <w:t xml:space="preserve">Последний интервал в операционных сутках записывается в виде </w:t>
            </w:r>
            <w:r w:rsidRPr="006F6DAC">
              <w:rPr>
                <w:rFonts w:ascii="Garamond" w:hAnsi="Garamond"/>
                <w:sz w:val="22"/>
                <w:szCs w:val="22"/>
                <w:highlight w:val="yellow"/>
                <w:lang w:val="en-US"/>
              </w:rPr>
              <w:t>start</w:t>
            </w:r>
            <w:r w:rsidRPr="006F6DAC">
              <w:rPr>
                <w:rFonts w:ascii="Garamond" w:hAnsi="Garamond"/>
                <w:sz w:val="22"/>
                <w:szCs w:val="22"/>
                <w:highlight w:val="yellow"/>
              </w:rPr>
              <w:t xml:space="preserve">=«время начала периода», </w:t>
            </w:r>
            <w:r w:rsidRPr="006F6DAC">
              <w:rPr>
                <w:rFonts w:ascii="Garamond" w:hAnsi="Garamond"/>
                <w:sz w:val="22"/>
                <w:szCs w:val="22"/>
                <w:highlight w:val="yellow"/>
                <w:lang w:val="en-US"/>
              </w:rPr>
              <w:t>end</w:t>
            </w:r>
            <w:r w:rsidRPr="006F6DAC">
              <w:rPr>
                <w:rFonts w:ascii="Garamond" w:hAnsi="Garamond"/>
                <w:sz w:val="22"/>
                <w:szCs w:val="22"/>
                <w:highlight w:val="yellow"/>
              </w:rPr>
              <w:t>=«0000».</w:t>
            </w:r>
          </w:p>
          <w:p w14:paraId="3E17B1BC" w14:textId="061F35DB" w:rsidR="00F11A8B" w:rsidRPr="006F6DAC" w:rsidRDefault="00F11A8B" w:rsidP="00F11A8B">
            <w:pPr>
              <w:tabs>
                <w:tab w:val="left" w:pos="1080"/>
              </w:tabs>
              <w:spacing w:before="120" w:after="120" w:line="276" w:lineRule="auto"/>
              <w:ind w:firstLine="539"/>
              <w:jc w:val="both"/>
              <w:rPr>
                <w:rFonts w:ascii="Garamond" w:hAnsi="Garamond"/>
                <w:sz w:val="22"/>
                <w:szCs w:val="22"/>
                <w:highlight w:val="yellow"/>
              </w:rPr>
            </w:pPr>
            <w:r w:rsidRPr="006F6DAC">
              <w:rPr>
                <w:rFonts w:ascii="Garamond" w:hAnsi="Garamond"/>
                <w:sz w:val="22"/>
                <w:szCs w:val="22"/>
                <w:highlight w:val="yellow"/>
              </w:rPr>
              <w:t>Атрибуты элемента &lt;</w:t>
            </w:r>
            <w:r w:rsidRPr="006F6DAC">
              <w:rPr>
                <w:rFonts w:ascii="Garamond" w:hAnsi="Garamond"/>
                <w:sz w:val="22"/>
                <w:szCs w:val="22"/>
                <w:highlight w:val="yellow"/>
                <w:lang w:val="en-US"/>
              </w:rPr>
              <w:t>km</w:t>
            </w:r>
            <w:r w:rsidRPr="006F6DAC">
              <w:rPr>
                <w:rFonts w:ascii="Garamond" w:hAnsi="Garamond"/>
                <w:sz w:val="22"/>
                <w:szCs w:val="22"/>
                <w:highlight w:val="yellow"/>
              </w:rPr>
              <w:t>&gt; должны покрывать 24</w:t>
            </w:r>
            <w:r w:rsidR="009B5F03" w:rsidRPr="006F6DAC">
              <w:rPr>
                <w:rFonts w:ascii="Garamond" w:hAnsi="Garamond"/>
                <w:sz w:val="22"/>
                <w:szCs w:val="22"/>
                <w:highlight w:val="yellow"/>
              </w:rPr>
              <w:t xml:space="preserve"> </w:t>
            </w:r>
            <w:r w:rsidRPr="006F6DAC">
              <w:rPr>
                <w:rFonts w:ascii="Garamond" w:hAnsi="Garamond"/>
                <w:sz w:val="22"/>
                <w:szCs w:val="22"/>
                <w:highlight w:val="yellow"/>
              </w:rPr>
              <w:t>часа в сутки, отсутствие какого-либо отрезка времени 30 мин. считается ошибкой формата и является основанием в отказе приема группы &lt;</w:t>
            </w:r>
            <w:r w:rsidRPr="006F6DAC">
              <w:rPr>
                <w:rFonts w:ascii="Garamond" w:hAnsi="Garamond"/>
                <w:sz w:val="22"/>
                <w:szCs w:val="22"/>
                <w:highlight w:val="yellow"/>
                <w:lang w:val="en-US"/>
              </w:rPr>
              <w:t>area</w:t>
            </w:r>
            <w:r w:rsidRPr="006F6DAC">
              <w:rPr>
                <w:rFonts w:ascii="Garamond" w:hAnsi="Garamond"/>
                <w:sz w:val="22"/>
                <w:szCs w:val="22"/>
                <w:highlight w:val="yellow"/>
              </w:rPr>
              <w:t>&gt; целиком.</w:t>
            </w:r>
          </w:p>
          <w:p w14:paraId="2E0A5B01" w14:textId="77777777" w:rsidR="00F11A8B" w:rsidRPr="006F6DAC" w:rsidRDefault="00F11A8B" w:rsidP="00F11A8B">
            <w:pPr>
              <w:tabs>
                <w:tab w:val="left" w:pos="1080"/>
              </w:tabs>
              <w:spacing w:before="120" w:after="120"/>
              <w:ind w:firstLine="539"/>
              <w:jc w:val="both"/>
              <w:rPr>
                <w:rFonts w:ascii="Garamond" w:hAnsi="Garamond"/>
                <w:sz w:val="22"/>
                <w:szCs w:val="22"/>
                <w:highlight w:val="yellow"/>
              </w:rPr>
            </w:pPr>
            <w:r w:rsidRPr="006F6DAC">
              <w:rPr>
                <w:rFonts w:ascii="Garamond" w:hAnsi="Garamond"/>
                <w:sz w:val="22"/>
                <w:szCs w:val="22"/>
                <w:highlight w:val="yellow"/>
              </w:rPr>
              <w:t>1.3.3.2. &lt;</w:t>
            </w:r>
            <w:r w:rsidRPr="006F6DAC">
              <w:rPr>
                <w:rFonts w:ascii="Garamond" w:hAnsi="Garamond"/>
                <w:sz w:val="22"/>
                <w:szCs w:val="22"/>
                <w:highlight w:val="yellow"/>
                <w:lang w:val="en-US"/>
              </w:rPr>
              <w:t>m</w:t>
            </w:r>
            <w:r w:rsidRPr="006F6DAC">
              <w:rPr>
                <w:rFonts w:ascii="Garamond" w:hAnsi="Garamond"/>
                <w:sz w:val="22"/>
                <w:szCs w:val="22"/>
                <w:highlight w:val="yellow"/>
              </w:rPr>
              <w:t>easuring</w:t>
            </w:r>
            <w:r w:rsidRPr="006F6DAC">
              <w:rPr>
                <w:rFonts w:ascii="Garamond" w:hAnsi="Garamond"/>
                <w:sz w:val="22"/>
                <w:szCs w:val="22"/>
                <w:highlight w:val="yellow"/>
                <w:lang w:val="en-US"/>
              </w:rPr>
              <w:t>c</w:t>
            </w:r>
            <w:r w:rsidRPr="006F6DAC">
              <w:rPr>
                <w:rFonts w:ascii="Garamond" w:hAnsi="Garamond"/>
                <w:sz w:val="22"/>
                <w:szCs w:val="22"/>
                <w:highlight w:val="yellow"/>
              </w:rPr>
              <w:t>hannel&gt;</w:t>
            </w:r>
          </w:p>
          <w:p w14:paraId="5E5209CE" w14:textId="77777777" w:rsidR="00F11A8B" w:rsidRPr="006F6DAC" w:rsidRDefault="00F11A8B" w:rsidP="00F11A8B">
            <w:pPr>
              <w:tabs>
                <w:tab w:val="left" w:pos="1080"/>
              </w:tabs>
              <w:spacing w:before="120" w:after="120"/>
              <w:ind w:firstLine="539"/>
              <w:jc w:val="both"/>
              <w:rPr>
                <w:rFonts w:ascii="Garamond" w:hAnsi="Garamond"/>
                <w:sz w:val="22"/>
                <w:szCs w:val="22"/>
                <w:highlight w:val="yellow"/>
              </w:rPr>
            </w:pPr>
            <w:r w:rsidRPr="006F6DAC">
              <w:rPr>
                <w:rFonts w:ascii="Garamond" w:hAnsi="Garamond"/>
                <w:sz w:val="22"/>
                <w:szCs w:val="22"/>
                <w:highlight w:val="yellow"/>
              </w:rPr>
              <w:t>Элемент &lt;</w:t>
            </w:r>
            <w:r w:rsidRPr="006F6DAC">
              <w:rPr>
                <w:rFonts w:ascii="Garamond" w:hAnsi="Garamond"/>
                <w:sz w:val="22"/>
                <w:szCs w:val="22"/>
                <w:highlight w:val="yellow"/>
                <w:lang w:val="en-US"/>
              </w:rPr>
              <w:t>m</w:t>
            </w:r>
            <w:r w:rsidRPr="006F6DAC">
              <w:rPr>
                <w:rFonts w:ascii="Garamond" w:hAnsi="Garamond"/>
                <w:sz w:val="22"/>
                <w:szCs w:val="22"/>
                <w:highlight w:val="yellow"/>
              </w:rPr>
              <w:t>easuring</w:t>
            </w:r>
            <w:r w:rsidRPr="006F6DAC">
              <w:rPr>
                <w:rFonts w:ascii="Garamond" w:hAnsi="Garamond"/>
                <w:sz w:val="22"/>
                <w:szCs w:val="22"/>
                <w:highlight w:val="yellow"/>
                <w:lang w:val="en-US"/>
              </w:rPr>
              <w:t>c</w:t>
            </w:r>
            <w:r w:rsidRPr="006F6DAC">
              <w:rPr>
                <w:rFonts w:ascii="Garamond" w:hAnsi="Garamond"/>
                <w:sz w:val="22"/>
                <w:szCs w:val="22"/>
                <w:highlight w:val="yellow"/>
              </w:rPr>
              <w:t>hannel&gt; содержит информацию о результатах измерений по точкам измерений. Атрибуты элемента &lt;</w:t>
            </w:r>
            <w:r w:rsidRPr="006F6DAC">
              <w:rPr>
                <w:rFonts w:ascii="Garamond" w:hAnsi="Garamond"/>
                <w:sz w:val="22"/>
                <w:szCs w:val="22"/>
                <w:highlight w:val="yellow"/>
                <w:lang w:val="en-US"/>
              </w:rPr>
              <w:t>m</w:t>
            </w:r>
            <w:r w:rsidRPr="006F6DAC">
              <w:rPr>
                <w:rFonts w:ascii="Garamond" w:hAnsi="Garamond"/>
                <w:sz w:val="22"/>
                <w:szCs w:val="22"/>
                <w:highlight w:val="yellow"/>
              </w:rPr>
              <w:t>easuring</w:t>
            </w:r>
            <w:r w:rsidRPr="006F6DAC">
              <w:rPr>
                <w:rFonts w:ascii="Garamond" w:hAnsi="Garamond"/>
                <w:sz w:val="22"/>
                <w:szCs w:val="22"/>
                <w:highlight w:val="yellow"/>
                <w:lang w:val="en-US"/>
              </w:rPr>
              <w:t>c</w:t>
            </w:r>
            <w:r w:rsidRPr="006F6DAC">
              <w:rPr>
                <w:rFonts w:ascii="Garamond" w:hAnsi="Garamond"/>
                <w:sz w:val="22"/>
                <w:szCs w:val="22"/>
                <w:highlight w:val="yellow"/>
              </w:rPr>
              <w:t>hannel&gt;:</w:t>
            </w:r>
          </w:p>
          <w:p w14:paraId="0C4F18E1" w14:textId="77777777" w:rsidR="00F11A8B" w:rsidRPr="006F6DAC" w:rsidRDefault="00F11A8B" w:rsidP="00F11A8B">
            <w:pPr>
              <w:numPr>
                <w:ilvl w:val="0"/>
                <w:numId w:val="234"/>
              </w:numPr>
              <w:tabs>
                <w:tab w:val="left" w:pos="885"/>
              </w:tabs>
              <w:suppressAutoHyphens w:val="0"/>
              <w:spacing w:before="120" w:after="120"/>
              <w:jc w:val="both"/>
              <w:rPr>
                <w:rFonts w:ascii="Garamond" w:hAnsi="Garamond"/>
                <w:sz w:val="22"/>
                <w:szCs w:val="22"/>
                <w:highlight w:val="yellow"/>
              </w:rPr>
            </w:pPr>
            <w:r w:rsidRPr="006F6DAC">
              <w:rPr>
                <w:rFonts w:ascii="Garamond" w:hAnsi="Garamond"/>
                <w:sz w:val="22"/>
                <w:szCs w:val="22"/>
                <w:highlight w:val="yellow"/>
                <w:lang w:val="en-US"/>
              </w:rPr>
              <w:t>code</w:t>
            </w:r>
            <w:r w:rsidRPr="006F6DAC">
              <w:rPr>
                <w:rFonts w:ascii="Garamond" w:hAnsi="Garamond"/>
                <w:sz w:val="22"/>
                <w:szCs w:val="22"/>
                <w:highlight w:val="yellow"/>
              </w:rPr>
              <w:t xml:space="preserve"> – содержит код измерительного канала, присвоенный КО данному измерительному каналу. В коде измерительного канала содержится информация о направлении передачи электроэнергии и типе измерительного канала;</w:t>
            </w:r>
          </w:p>
          <w:p w14:paraId="517A1893" w14:textId="77777777" w:rsidR="00F11A8B" w:rsidRPr="006F6DAC" w:rsidRDefault="00F11A8B" w:rsidP="00F11A8B">
            <w:pPr>
              <w:numPr>
                <w:ilvl w:val="0"/>
                <w:numId w:val="234"/>
              </w:numPr>
              <w:tabs>
                <w:tab w:val="left" w:pos="885"/>
              </w:tabs>
              <w:suppressAutoHyphens w:val="0"/>
              <w:spacing w:before="120" w:after="120"/>
              <w:jc w:val="both"/>
              <w:rPr>
                <w:rFonts w:ascii="Garamond" w:hAnsi="Garamond"/>
                <w:sz w:val="22"/>
                <w:szCs w:val="22"/>
                <w:highlight w:val="yellow"/>
              </w:rPr>
            </w:pPr>
            <w:r w:rsidRPr="006F6DAC">
              <w:rPr>
                <w:rFonts w:ascii="Garamond" w:hAnsi="Garamond"/>
                <w:sz w:val="22"/>
                <w:szCs w:val="22"/>
                <w:highlight w:val="yellow"/>
                <w:lang w:val="en-US"/>
              </w:rPr>
              <w:t>desc</w:t>
            </w:r>
            <w:r w:rsidRPr="006F6DAC">
              <w:rPr>
                <w:rFonts w:ascii="Garamond" w:hAnsi="Garamond"/>
                <w:sz w:val="22"/>
                <w:szCs w:val="22"/>
                <w:highlight w:val="yellow"/>
              </w:rPr>
              <w:t xml:space="preserve"> – содержит описание измерительного канала. </w:t>
            </w:r>
          </w:p>
          <w:p w14:paraId="540D9904" w14:textId="77777777" w:rsidR="00F11A8B" w:rsidRPr="006F6DAC" w:rsidRDefault="00F11A8B" w:rsidP="00F11A8B">
            <w:pPr>
              <w:tabs>
                <w:tab w:val="left" w:pos="1080"/>
              </w:tabs>
              <w:spacing w:before="120" w:after="120"/>
              <w:ind w:firstLine="539"/>
              <w:jc w:val="both"/>
              <w:rPr>
                <w:rFonts w:ascii="Garamond" w:hAnsi="Garamond"/>
                <w:sz w:val="22"/>
                <w:szCs w:val="22"/>
                <w:highlight w:val="yellow"/>
              </w:rPr>
            </w:pPr>
            <w:r w:rsidRPr="006F6DAC">
              <w:rPr>
                <w:rFonts w:ascii="Garamond" w:hAnsi="Garamond"/>
                <w:sz w:val="22"/>
                <w:szCs w:val="22"/>
                <w:highlight w:val="yellow"/>
              </w:rPr>
              <w:t>Потомками элемента &lt;</w:t>
            </w:r>
            <w:r w:rsidRPr="006F6DAC">
              <w:rPr>
                <w:rFonts w:ascii="Garamond" w:hAnsi="Garamond"/>
                <w:sz w:val="22"/>
                <w:szCs w:val="22"/>
                <w:highlight w:val="yellow"/>
                <w:lang w:val="en-US"/>
              </w:rPr>
              <w:t>m</w:t>
            </w:r>
            <w:r w:rsidRPr="006F6DAC">
              <w:rPr>
                <w:rFonts w:ascii="Garamond" w:hAnsi="Garamond"/>
                <w:sz w:val="22"/>
                <w:szCs w:val="22"/>
                <w:highlight w:val="yellow"/>
              </w:rPr>
              <w:t>easuring</w:t>
            </w:r>
            <w:r w:rsidRPr="006F6DAC">
              <w:rPr>
                <w:rFonts w:ascii="Garamond" w:hAnsi="Garamond"/>
                <w:sz w:val="22"/>
                <w:szCs w:val="22"/>
                <w:highlight w:val="yellow"/>
                <w:lang w:val="en-US"/>
              </w:rPr>
              <w:t>c</w:t>
            </w:r>
            <w:r w:rsidRPr="006F6DAC">
              <w:rPr>
                <w:rFonts w:ascii="Garamond" w:hAnsi="Garamond"/>
                <w:sz w:val="22"/>
                <w:szCs w:val="22"/>
                <w:highlight w:val="yellow"/>
              </w:rPr>
              <w:t>hannel&gt; являются элементы &lt;period&gt;.</w:t>
            </w:r>
          </w:p>
          <w:p w14:paraId="28B41196" w14:textId="77777777" w:rsidR="00F11A8B" w:rsidRPr="006F6DAC" w:rsidRDefault="00F11A8B" w:rsidP="00F11A8B">
            <w:pPr>
              <w:tabs>
                <w:tab w:val="left" w:pos="1080"/>
              </w:tabs>
              <w:spacing w:before="120" w:after="120"/>
              <w:ind w:firstLine="539"/>
              <w:jc w:val="both"/>
              <w:rPr>
                <w:rFonts w:ascii="Garamond" w:hAnsi="Garamond"/>
                <w:sz w:val="22"/>
                <w:szCs w:val="22"/>
                <w:highlight w:val="yellow"/>
              </w:rPr>
            </w:pPr>
            <w:r w:rsidRPr="006F6DAC">
              <w:rPr>
                <w:rFonts w:ascii="Garamond" w:hAnsi="Garamond"/>
                <w:sz w:val="22"/>
                <w:szCs w:val="22"/>
                <w:highlight w:val="yellow"/>
              </w:rPr>
              <w:t>1.3.3.2.1. &lt;period&gt;</w:t>
            </w:r>
          </w:p>
          <w:p w14:paraId="1F1366E2" w14:textId="77777777" w:rsidR="00F11A8B" w:rsidRPr="006F6DAC" w:rsidRDefault="00F11A8B" w:rsidP="00F11A8B">
            <w:pPr>
              <w:tabs>
                <w:tab w:val="left" w:pos="1080"/>
              </w:tabs>
              <w:spacing w:before="120" w:after="120"/>
              <w:ind w:firstLine="539"/>
              <w:jc w:val="both"/>
              <w:rPr>
                <w:rFonts w:ascii="Garamond" w:hAnsi="Garamond"/>
                <w:sz w:val="22"/>
                <w:szCs w:val="22"/>
                <w:highlight w:val="yellow"/>
              </w:rPr>
            </w:pPr>
            <w:r w:rsidRPr="006F6DAC">
              <w:rPr>
                <w:rFonts w:ascii="Garamond" w:hAnsi="Garamond"/>
                <w:sz w:val="22"/>
                <w:szCs w:val="22"/>
                <w:highlight w:val="yellow"/>
              </w:rPr>
              <w:t>Элемент &lt;period&gt; содержит временной диапазон измерений и значения измерительных каналов точки измерений.</w:t>
            </w:r>
          </w:p>
          <w:p w14:paraId="465EB934" w14:textId="77777777" w:rsidR="00F11A8B" w:rsidRPr="006F6DAC" w:rsidRDefault="00F11A8B" w:rsidP="00F11A8B">
            <w:pPr>
              <w:tabs>
                <w:tab w:val="left" w:pos="1080"/>
              </w:tabs>
              <w:spacing w:before="120" w:after="120"/>
              <w:ind w:firstLine="539"/>
              <w:jc w:val="both"/>
              <w:rPr>
                <w:rFonts w:ascii="Garamond" w:hAnsi="Garamond"/>
                <w:sz w:val="22"/>
                <w:szCs w:val="22"/>
                <w:highlight w:val="yellow"/>
              </w:rPr>
            </w:pPr>
            <w:r w:rsidRPr="006F6DAC">
              <w:rPr>
                <w:rFonts w:ascii="Garamond" w:hAnsi="Garamond"/>
                <w:sz w:val="22"/>
                <w:szCs w:val="22"/>
                <w:highlight w:val="yellow"/>
              </w:rPr>
              <w:lastRenderedPageBreak/>
              <w:t>Атрибуты элемента &lt;period&gt;:</w:t>
            </w:r>
          </w:p>
          <w:p w14:paraId="3AF3D635" w14:textId="77777777" w:rsidR="00F11A8B" w:rsidRPr="006F6DAC" w:rsidRDefault="00F11A8B" w:rsidP="00F11A8B">
            <w:pPr>
              <w:numPr>
                <w:ilvl w:val="0"/>
                <w:numId w:val="234"/>
              </w:numPr>
              <w:tabs>
                <w:tab w:val="left" w:pos="885"/>
              </w:tabs>
              <w:suppressAutoHyphens w:val="0"/>
              <w:spacing w:before="120" w:after="120"/>
              <w:jc w:val="both"/>
              <w:rPr>
                <w:rFonts w:ascii="Garamond" w:hAnsi="Garamond"/>
                <w:sz w:val="22"/>
                <w:szCs w:val="22"/>
                <w:highlight w:val="yellow"/>
              </w:rPr>
            </w:pPr>
            <w:r w:rsidRPr="006F6DAC">
              <w:rPr>
                <w:rFonts w:ascii="Garamond" w:hAnsi="Garamond"/>
                <w:sz w:val="22"/>
                <w:szCs w:val="22"/>
                <w:highlight w:val="yellow"/>
                <w:lang w:val="en-US"/>
              </w:rPr>
              <w:t>start</w:t>
            </w:r>
            <w:r w:rsidRPr="006F6DAC">
              <w:rPr>
                <w:rFonts w:ascii="Garamond" w:hAnsi="Garamond"/>
                <w:sz w:val="22"/>
                <w:szCs w:val="22"/>
                <w:highlight w:val="yellow"/>
              </w:rPr>
              <w:t xml:space="preserve"> – является обязательным и содержит дату и время начала измерения в формате «ччмм», где «чч» – часы в 24-часовом формате, «мм» – минуты;</w:t>
            </w:r>
          </w:p>
          <w:p w14:paraId="376D92AF" w14:textId="77777777" w:rsidR="00F11A8B" w:rsidRPr="006F6DAC" w:rsidRDefault="00F11A8B" w:rsidP="00F11A8B">
            <w:pPr>
              <w:numPr>
                <w:ilvl w:val="0"/>
                <w:numId w:val="234"/>
              </w:numPr>
              <w:tabs>
                <w:tab w:val="left" w:pos="885"/>
              </w:tabs>
              <w:suppressAutoHyphens w:val="0"/>
              <w:spacing w:before="120" w:after="120"/>
              <w:jc w:val="both"/>
              <w:rPr>
                <w:rFonts w:ascii="Garamond" w:hAnsi="Garamond"/>
                <w:sz w:val="22"/>
                <w:szCs w:val="22"/>
                <w:highlight w:val="yellow"/>
              </w:rPr>
            </w:pPr>
            <w:r w:rsidRPr="006F6DAC">
              <w:rPr>
                <w:rFonts w:ascii="Garamond" w:hAnsi="Garamond"/>
                <w:sz w:val="22"/>
                <w:szCs w:val="22"/>
                <w:highlight w:val="yellow"/>
                <w:lang w:val="en-US"/>
              </w:rPr>
              <w:t>end</w:t>
            </w:r>
            <w:r w:rsidRPr="006F6DAC">
              <w:rPr>
                <w:rFonts w:ascii="Garamond" w:hAnsi="Garamond"/>
                <w:sz w:val="22"/>
                <w:szCs w:val="22"/>
                <w:highlight w:val="yellow"/>
              </w:rPr>
              <w:t xml:space="preserve"> – является обязательным и содержит дату и время конца измерения в формате «ччмм», где «чч» – часы в 24-часовом формате, «мм» – минуты.</w:t>
            </w:r>
          </w:p>
          <w:p w14:paraId="01A11ED7" w14:textId="77777777" w:rsidR="00F11A8B" w:rsidRPr="006F6DAC" w:rsidRDefault="00F11A8B" w:rsidP="00F11A8B">
            <w:pPr>
              <w:tabs>
                <w:tab w:val="left" w:pos="1080"/>
              </w:tabs>
              <w:spacing w:before="120" w:after="120"/>
              <w:ind w:firstLine="539"/>
              <w:jc w:val="both"/>
              <w:rPr>
                <w:rFonts w:ascii="Garamond" w:hAnsi="Garamond"/>
                <w:sz w:val="22"/>
                <w:szCs w:val="22"/>
                <w:highlight w:val="yellow"/>
              </w:rPr>
            </w:pPr>
            <w:r w:rsidRPr="006F6DAC">
              <w:rPr>
                <w:rFonts w:ascii="Garamond" w:hAnsi="Garamond"/>
                <w:sz w:val="22"/>
                <w:szCs w:val="22"/>
                <w:highlight w:val="yellow"/>
              </w:rPr>
              <w:t xml:space="preserve">Последний интервал в операционных сутках записывается в виде </w:t>
            </w:r>
            <w:r w:rsidRPr="006F6DAC">
              <w:rPr>
                <w:rFonts w:ascii="Garamond" w:hAnsi="Garamond"/>
                <w:sz w:val="22"/>
                <w:szCs w:val="22"/>
                <w:highlight w:val="yellow"/>
                <w:lang w:val="en-US" w:eastAsia="zh-CN"/>
              </w:rPr>
              <w:t>start</w:t>
            </w:r>
            <w:r w:rsidRPr="006F6DAC">
              <w:rPr>
                <w:rFonts w:ascii="Garamond" w:hAnsi="Garamond"/>
                <w:sz w:val="22"/>
                <w:szCs w:val="22"/>
                <w:highlight w:val="yellow"/>
                <w:lang w:eastAsia="zh-CN"/>
              </w:rPr>
              <w:t xml:space="preserve">=«время начала периода», </w:t>
            </w:r>
            <w:r w:rsidRPr="006F6DAC">
              <w:rPr>
                <w:rFonts w:ascii="Garamond" w:hAnsi="Garamond"/>
                <w:sz w:val="22"/>
                <w:szCs w:val="22"/>
                <w:highlight w:val="yellow"/>
                <w:lang w:val="en-US" w:eastAsia="zh-CN"/>
              </w:rPr>
              <w:t>end</w:t>
            </w:r>
            <w:r w:rsidRPr="006F6DAC">
              <w:rPr>
                <w:rFonts w:ascii="Garamond" w:hAnsi="Garamond"/>
                <w:sz w:val="22"/>
                <w:szCs w:val="22"/>
                <w:highlight w:val="yellow"/>
                <w:lang w:eastAsia="zh-CN"/>
              </w:rPr>
              <w:t>=«0000».</w:t>
            </w:r>
          </w:p>
          <w:p w14:paraId="1D28DABA" w14:textId="77777777" w:rsidR="00F11A8B" w:rsidRPr="006F6DAC" w:rsidRDefault="00F11A8B" w:rsidP="00F11A8B">
            <w:pPr>
              <w:tabs>
                <w:tab w:val="left" w:pos="1080"/>
              </w:tabs>
              <w:spacing w:before="120" w:after="120"/>
              <w:ind w:firstLine="539"/>
              <w:jc w:val="both"/>
              <w:rPr>
                <w:rFonts w:ascii="Garamond" w:hAnsi="Garamond"/>
                <w:sz w:val="22"/>
                <w:szCs w:val="22"/>
                <w:highlight w:val="yellow"/>
              </w:rPr>
            </w:pPr>
            <w:r w:rsidRPr="006F6DAC">
              <w:rPr>
                <w:rFonts w:ascii="Garamond" w:hAnsi="Garamond"/>
                <w:sz w:val="22"/>
                <w:szCs w:val="22"/>
                <w:highlight w:val="yellow"/>
              </w:rPr>
              <w:t>В зависимости от интервала измерений в элементах &lt;</w:t>
            </w:r>
            <w:r w:rsidRPr="006F6DAC">
              <w:rPr>
                <w:rFonts w:ascii="Garamond" w:hAnsi="Garamond"/>
                <w:sz w:val="22"/>
                <w:szCs w:val="22"/>
                <w:highlight w:val="yellow"/>
                <w:lang w:val="en-US"/>
              </w:rPr>
              <w:t>m</w:t>
            </w:r>
            <w:r w:rsidRPr="006F6DAC">
              <w:rPr>
                <w:rFonts w:ascii="Garamond" w:hAnsi="Garamond"/>
                <w:sz w:val="22"/>
                <w:szCs w:val="22"/>
                <w:highlight w:val="yellow"/>
              </w:rPr>
              <w:t>easuring</w:t>
            </w:r>
            <w:r w:rsidRPr="006F6DAC">
              <w:rPr>
                <w:rFonts w:ascii="Garamond" w:hAnsi="Garamond"/>
                <w:sz w:val="22"/>
                <w:szCs w:val="22"/>
                <w:highlight w:val="yellow"/>
                <w:lang w:val="en-US"/>
              </w:rPr>
              <w:t>c</w:t>
            </w:r>
            <w:r w:rsidRPr="006F6DAC">
              <w:rPr>
                <w:rFonts w:ascii="Garamond" w:hAnsi="Garamond"/>
                <w:sz w:val="22"/>
                <w:szCs w:val="22"/>
                <w:highlight w:val="yellow"/>
              </w:rPr>
              <w:t xml:space="preserve">hannel&gt; должно присутствовать определенное количество элементов &lt;period&gt;. То есть для точки измерений с интервалом измерений 30 минут должно быть 48 элементов &lt;period&gt;. Несовпадение числа элементов &lt;period&gt; считается ошибкой формата и является основанием в отказе приема группы </w:t>
            </w:r>
            <w:r w:rsidRPr="006F6DAC">
              <w:rPr>
                <w:rFonts w:ascii="Garamond" w:hAnsi="Garamond"/>
                <w:sz w:val="22"/>
                <w:szCs w:val="22"/>
                <w:highlight w:val="yellow"/>
                <w:lang w:eastAsia="zh-CN"/>
              </w:rPr>
              <w:t>&lt;</w:t>
            </w:r>
            <w:r w:rsidRPr="006F6DAC">
              <w:rPr>
                <w:rFonts w:ascii="Garamond" w:hAnsi="Garamond"/>
                <w:sz w:val="22"/>
                <w:szCs w:val="22"/>
                <w:highlight w:val="yellow"/>
                <w:lang w:val="en-US" w:eastAsia="zh-CN"/>
              </w:rPr>
              <w:t>area</w:t>
            </w:r>
            <w:r w:rsidRPr="006F6DAC">
              <w:rPr>
                <w:rFonts w:ascii="Garamond" w:hAnsi="Garamond"/>
                <w:sz w:val="22"/>
                <w:szCs w:val="22"/>
                <w:highlight w:val="yellow"/>
                <w:lang w:eastAsia="zh-CN"/>
              </w:rPr>
              <w:t xml:space="preserve">&gt; </w:t>
            </w:r>
            <w:r w:rsidRPr="006F6DAC">
              <w:rPr>
                <w:rFonts w:ascii="Garamond" w:hAnsi="Garamond"/>
                <w:sz w:val="22"/>
                <w:szCs w:val="22"/>
                <w:highlight w:val="yellow"/>
              </w:rPr>
              <w:t>целиком.</w:t>
            </w:r>
          </w:p>
          <w:p w14:paraId="435BC306" w14:textId="77777777" w:rsidR="00F11A8B" w:rsidRPr="006F6DAC" w:rsidRDefault="00F11A8B" w:rsidP="00F11A8B">
            <w:pPr>
              <w:tabs>
                <w:tab w:val="left" w:pos="1080"/>
              </w:tabs>
              <w:spacing w:before="120" w:after="120"/>
              <w:ind w:firstLine="539"/>
              <w:jc w:val="both"/>
              <w:rPr>
                <w:rFonts w:ascii="Garamond" w:hAnsi="Garamond"/>
                <w:sz w:val="22"/>
                <w:szCs w:val="22"/>
                <w:highlight w:val="yellow"/>
              </w:rPr>
            </w:pPr>
            <w:r w:rsidRPr="006F6DAC">
              <w:rPr>
                <w:rFonts w:ascii="Garamond" w:hAnsi="Garamond"/>
                <w:sz w:val="22"/>
                <w:szCs w:val="22"/>
                <w:highlight w:val="yellow"/>
              </w:rPr>
              <w:t>Потомками элемента &lt;period&gt; являются элементы &lt;value&gt;.</w:t>
            </w:r>
          </w:p>
          <w:p w14:paraId="32559E07" w14:textId="77777777" w:rsidR="00F11A8B" w:rsidRPr="006F6DAC" w:rsidRDefault="00F11A8B" w:rsidP="00F11A8B">
            <w:pPr>
              <w:tabs>
                <w:tab w:val="left" w:pos="1080"/>
              </w:tabs>
              <w:spacing w:before="120" w:after="120"/>
              <w:ind w:firstLine="539"/>
              <w:jc w:val="both"/>
              <w:rPr>
                <w:rFonts w:ascii="Garamond" w:hAnsi="Garamond"/>
                <w:sz w:val="22"/>
                <w:szCs w:val="22"/>
                <w:highlight w:val="yellow"/>
              </w:rPr>
            </w:pPr>
            <w:r w:rsidRPr="006F6DAC">
              <w:rPr>
                <w:rFonts w:ascii="Garamond" w:hAnsi="Garamond"/>
                <w:sz w:val="22"/>
                <w:szCs w:val="22"/>
                <w:highlight w:val="yellow"/>
              </w:rPr>
              <w:t>1.3.3.2.1.1. &lt;</w:t>
            </w:r>
            <w:r w:rsidRPr="006F6DAC">
              <w:rPr>
                <w:rFonts w:ascii="Garamond" w:hAnsi="Garamond"/>
                <w:sz w:val="22"/>
                <w:szCs w:val="22"/>
                <w:highlight w:val="yellow"/>
                <w:lang w:val="en-US"/>
              </w:rPr>
              <w:t>value</w:t>
            </w:r>
            <w:r w:rsidRPr="006F6DAC">
              <w:rPr>
                <w:rFonts w:ascii="Garamond" w:hAnsi="Garamond"/>
                <w:sz w:val="22"/>
                <w:szCs w:val="22"/>
                <w:highlight w:val="yellow"/>
              </w:rPr>
              <w:t>&gt;</w:t>
            </w:r>
          </w:p>
          <w:p w14:paraId="199C3070" w14:textId="77777777" w:rsidR="00F11A8B" w:rsidRPr="006F6DAC" w:rsidRDefault="00F11A8B" w:rsidP="00F11A8B">
            <w:pPr>
              <w:tabs>
                <w:tab w:val="left" w:pos="1080"/>
              </w:tabs>
              <w:spacing w:before="120" w:after="120"/>
              <w:ind w:firstLine="539"/>
              <w:jc w:val="both"/>
              <w:rPr>
                <w:rFonts w:ascii="Garamond" w:hAnsi="Garamond"/>
                <w:sz w:val="22"/>
                <w:szCs w:val="22"/>
                <w:highlight w:val="yellow"/>
                <w:lang w:val="en-US"/>
              </w:rPr>
            </w:pPr>
            <w:r w:rsidRPr="006F6DAC">
              <w:rPr>
                <w:rFonts w:ascii="Garamond" w:hAnsi="Garamond"/>
                <w:sz w:val="22"/>
                <w:szCs w:val="22"/>
                <w:highlight w:val="yellow"/>
              </w:rPr>
              <w:t>Содержимым элемента &lt;value&gt; является значение результата измерений. Атрибуты</w:t>
            </w:r>
            <w:r w:rsidRPr="006F6DAC">
              <w:rPr>
                <w:rFonts w:ascii="Garamond" w:hAnsi="Garamond"/>
                <w:sz w:val="22"/>
                <w:szCs w:val="22"/>
                <w:highlight w:val="yellow"/>
                <w:lang w:val="en-US"/>
              </w:rPr>
              <w:t xml:space="preserve"> </w:t>
            </w:r>
            <w:r w:rsidRPr="006F6DAC">
              <w:rPr>
                <w:rFonts w:ascii="Garamond" w:hAnsi="Garamond"/>
                <w:sz w:val="22"/>
                <w:szCs w:val="22"/>
                <w:highlight w:val="yellow"/>
              </w:rPr>
              <w:t>элемента</w:t>
            </w:r>
            <w:r w:rsidRPr="006F6DAC">
              <w:rPr>
                <w:rFonts w:ascii="Garamond" w:hAnsi="Garamond"/>
                <w:sz w:val="22"/>
                <w:szCs w:val="22"/>
                <w:highlight w:val="yellow"/>
                <w:lang w:val="en-US"/>
              </w:rPr>
              <w:t xml:space="preserve"> &lt;value&gt;:</w:t>
            </w:r>
          </w:p>
          <w:p w14:paraId="17FAED84" w14:textId="77777777" w:rsidR="00F11A8B" w:rsidRPr="006F6DAC" w:rsidRDefault="00F11A8B" w:rsidP="00F11A8B">
            <w:pPr>
              <w:numPr>
                <w:ilvl w:val="0"/>
                <w:numId w:val="234"/>
              </w:numPr>
              <w:tabs>
                <w:tab w:val="left" w:pos="885"/>
              </w:tabs>
              <w:suppressAutoHyphens w:val="0"/>
              <w:spacing w:before="120" w:after="120"/>
              <w:jc w:val="both"/>
              <w:rPr>
                <w:rFonts w:ascii="Garamond" w:hAnsi="Garamond"/>
                <w:sz w:val="22"/>
                <w:szCs w:val="22"/>
                <w:highlight w:val="yellow"/>
              </w:rPr>
            </w:pPr>
            <w:r w:rsidRPr="006F6DAC">
              <w:rPr>
                <w:rFonts w:ascii="Garamond" w:hAnsi="Garamond"/>
                <w:sz w:val="22"/>
                <w:szCs w:val="22"/>
                <w:highlight w:val="yellow"/>
                <w:lang w:val="en-US"/>
              </w:rPr>
              <w:t>status</w:t>
            </w:r>
            <w:r w:rsidRPr="006F6DAC">
              <w:rPr>
                <w:rFonts w:ascii="Garamond" w:hAnsi="Garamond"/>
                <w:sz w:val="22"/>
                <w:szCs w:val="22"/>
                <w:highlight w:val="yellow"/>
              </w:rPr>
              <w:t xml:space="preserve"> – показывает статус передаваемой информации. Статус «0» означает, что передаваемая информация имеет статус коммерческой. В этом случае атрибут </w:t>
            </w:r>
            <w:r w:rsidRPr="006F6DAC">
              <w:rPr>
                <w:rFonts w:ascii="Garamond" w:hAnsi="Garamond"/>
                <w:sz w:val="22"/>
                <w:szCs w:val="22"/>
                <w:highlight w:val="yellow"/>
                <w:lang w:val="en-US"/>
              </w:rPr>
              <w:t>status</w:t>
            </w:r>
            <w:r w:rsidRPr="006F6DAC">
              <w:rPr>
                <w:rFonts w:ascii="Garamond" w:hAnsi="Garamond"/>
                <w:sz w:val="22"/>
                <w:szCs w:val="22"/>
                <w:highlight w:val="yellow"/>
              </w:rPr>
              <w:t xml:space="preserve"> может отсутствовать. Значение </w:t>
            </w:r>
            <w:r w:rsidRPr="006F6DAC">
              <w:rPr>
                <w:rFonts w:ascii="Garamond" w:hAnsi="Garamond"/>
                <w:sz w:val="22"/>
                <w:szCs w:val="22"/>
                <w:highlight w:val="yellow"/>
                <w:lang w:val="en-US"/>
              </w:rPr>
              <w:t>status</w:t>
            </w:r>
            <w:r w:rsidRPr="006F6DAC">
              <w:rPr>
                <w:rFonts w:ascii="Garamond" w:hAnsi="Garamond"/>
                <w:sz w:val="22"/>
                <w:szCs w:val="22"/>
                <w:highlight w:val="yellow"/>
              </w:rPr>
              <w:t xml:space="preserve"> «1» означает, что данную информацию нельзя использовать в коммерческих расчетах;</w:t>
            </w:r>
          </w:p>
          <w:p w14:paraId="1076969B" w14:textId="77777777" w:rsidR="00F11A8B" w:rsidRPr="006F6DAC" w:rsidRDefault="00F11A8B" w:rsidP="00F11A8B">
            <w:pPr>
              <w:numPr>
                <w:ilvl w:val="0"/>
                <w:numId w:val="234"/>
              </w:numPr>
              <w:tabs>
                <w:tab w:val="left" w:pos="885"/>
              </w:tabs>
              <w:suppressAutoHyphens w:val="0"/>
              <w:spacing w:before="120" w:after="120"/>
              <w:jc w:val="both"/>
              <w:rPr>
                <w:rFonts w:ascii="Garamond" w:hAnsi="Garamond"/>
                <w:sz w:val="22"/>
                <w:szCs w:val="22"/>
                <w:highlight w:val="yellow"/>
              </w:rPr>
            </w:pPr>
            <w:r w:rsidRPr="006F6DAC">
              <w:rPr>
                <w:rFonts w:ascii="Garamond" w:hAnsi="Garamond"/>
                <w:sz w:val="22"/>
                <w:szCs w:val="22"/>
                <w:highlight w:val="yellow"/>
                <w:lang w:val="en-US"/>
              </w:rPr>
              <w:t>extendedstatus</w:t>
            </w:r>
            <w:r w:rsidRPr="006F6DAC">
              <w:rPr>
                <w:rFonts w:ascii="Garamond" w:hAnsi="Garamond"/>
                <w:sz w:val="22"/>
                <w:szCs w:val="22"/>
                <w:highlight w:val="yellow"/>
              </w:rPr>
              <w:t xml:space="preserve"> – содержит расширенный статус передаваемой информации. В частности, в случае замещения результатов измерений в точке измерений на значение результатов измерений в точке измерений на обходном выключателе (в случае включения присоединения через обходной выключатель), значение атрибута </w:t>
            </w:r>
            <w:r w:rsidRPr="006F6DAC">
              <w:rPr>
                <w:rFonts w:ascii="Garamond" w:hAnsi="Garamond"/>
                <w:sz w:val="22"/>
                <w:szCs w:val="22"/>
                <w:highlight w:val="yellow"/>
                <w:lang w:val="en-US"/>
              </w:rPr>
              <w:t>extendedstatus</w:t>
            </w:r>
            <w:r w:rsidRPr="006F6DAC">
              <w:rPr>
                <w:rFonts w:ascii="Garamond" w:hAnsi="Garamond"/>
                <w:sz w:val="22"/>
                <w:szCs w:val="22"/>
                <w:highlight w:val="yellow"/>
              </w:rPr>
              <w:t xml:space="preserve"> равно «1114»; </w:t>
            </w:r>
          </w:p>
          <w:p w14:paraId="307C6DE2" w14:textId="77777777" w:rsidR="00F11A8B" w:rsidRPr="006F6DAC" w:rsidRDefault="00F11A8B" w:rsidP="00F11A8B">
            <w:pPr>
              <w:numPr>
                <w:ilvl w:val="0"/>
                <w:numId w:val="234"/>
              </w:numPr>
              <w:tabs>
                <w:tab w:val="left" w:pos="885"/>
              </w:tabs>
              <w:suppressAutoHyphens w:val="0"/>
              <w:spacing w:before="120" w:after="120"/>
              <w:jc w:val="both"/>
              <w:rPr>
                <w:rFonts w:ascii="Garamond" w:hAnsi="Garamond"/>
                <w:sz w:val="22"/>
                <w:szCs w:val="22"/>
                <w:highlight w:val="yellow"/>
              </w:rPr>
            </w:pPr>
            <w:r w:rsidRPr="006F6DAC">
              <w:rPr>
                <w:rFonts w:ascii="Garamond" w:hAnsi="Garamond"/>
                <w:sz w:val="22"/>
                <w:szCs w:val="22"/>
                <w:highlight w:val="yellow"/>
                <w:lang w:val="en-US"/>
              </w:rPr>
              <w:t>param</w:t>
            </w:r>
            <w:r w:rsidRPr="006F6DAC">
              <w:rPr>
                <w:rFonts w:ascii="Garamond" w:hAnsi="Garamond"/>
                <w:sz w:val="22"/>
                <w:szCs w:val="22"/>
                <w:highlight w:val="yellow"/>
              </w:rPr>
              <w:t xml:space="preserve">1 – содержит код, присвоенный КО замещаемой точке измерений (в случае включения присоединения через обходной выключатель и значении атрибута </w:t>
            </w:r>
            <w:r w:rsidRPr="006F6DAC">
              <w:rPr>
                <w:rFonts w:ascii="Garamond" w:hAnsi="Garamond"/>
                <w:sz w:val="22"/>
                <w:szCs w:val="22"/>
                <w:highlight w:val="yellow"/>
                <w:lang w:val="en-US"/>
              </w:rPr>
              <w:t>extendedstatus</w:t>
            </w:r>
            <w:r w:rsidRPr="006F6DAC">
              <w:rPr>
                <w:rFonts w:ascii="Garamond" w:hAnsi="Garamond"/>
                <w:sz w:val="22"/>
                <w:szCs w:val="22"/>
                <w:highlight w:val="yellow"/>
              </w:rPr>
              <w:t xml:space="preserve"> «1114»). Если </w:t>
            </w:r>
            <w:r w:rsidRPr="006F6DAC">
              <w:rPr>
                <w:rFonts w:ascii="Garamond" w:hAnsi="Garamond"/>
                <w:sz w:val="22"/>
                <w:szCs w:val="22"/>
                <w:highlight w:val="yellow"/>
              </w:rPr>
              <w:lastRenderedPageBreak/>
              <w:t xml:space="preserve">обходной выключатель работает на некоммерческое присоединение, то </w:t>
            </w:r>
            <w:r w:rsidRPr="006F6DAC">
              <w:rPr>
                <w:rFonts w:ascii="Garamond" w:hAnsi="Garamond"/>
                <w:sz w:val="22"/>
                <w:szCs w:val="22"/>
                <w:highlight w:val="yellow"/>
                <w:lang w:val="en-US"/>
              </w:rPr>
              <w:t>param</w:t>
            </w:r>
            <w:r w:rsidRPr="006F6DAC">
              <w:rPr>
                <w:rFonts w:ascii="Garamond" w:hAnsi="Garamond"/>
                <w:sz w:val="22"/>
                <w:szCs w:val="22"/>
                <w:highlight w:val="yellow"/>
              </w:rPr>
              <w:t>1 должен быть равен «000000000000000».</w:t>
            </w:r>
          </w:p>
          <w:p w14:paraId="30904C12" w14:textId="77777777" w:rsidR="00F11A8B" w:rsidRPr="006F6DAC" w:rsidRDefault="00F11A8B" w:rsidP="00F11A8B">
            <w:pPr>
              <w:tabs>
                <w:tab w:val="left" w:pos="885"/>
              </w:tabs>
              <w:spacing w:before="120" w:after="120"/>
              <w:ind w:left="899"/>
              <w:jc w:val="both"/>
              <w:rPr>
                <w:rFonts w:ascii="Garamond" w:hAnsi="Garamond"/>
                <w:sz w:val="22"/>
                <w:szCs w:val="22"/>
                <w:highlight w:val="yellow"/>
              </w:rPr>
            </w:pPr>
            <w:r w:rsidRPr="006F6DAC">
              <w:rPr>
                <w:rFonts w:ascii="Garamond" w:hAnsi="Garamond"/>
                <w:sz w:val="22"/>
                <w:szCs w:val="22"/>
                <w:highlight w:val="yellow"/>
              </w:rPr>
              <w:t>1.3.4. &lt;</w:t>
            </w:r>
            <w:r w:rsidRPr="006F6DAC">
              <w:rPr>
                <w:rFonts w:ascii="Garamond" w:hAnsi="Garamond"/>
                <w:sz w:val="22"/>
                <w:szCs w:val="22"/>
                <w:highlight w:val="yellow"/>
                <w:lang w:val="en-US"/>
              </w:rPr>
              <w:t>deliverypoint</w:t>
            </w:r>
            <w:r w:rsidRPr="006F6DAC">
              <w:rPr>
                <w:rFonts w:ascii="Garamond" w:hAnsi="Garamond"/>
                <w:sz w:val="22"/>
                <w:szCs w:val="22"/>
                <w:highlight w:val="yellow"/>
              </w:rPr>
              <w:t>&gt;.</w:t>
            </w:r>
          </w:p>
          <w:p w14:paraId="2AC327A1" w14:textId="77777777" w:rsidR="00F11A8B" w:rsidRPr="006F6DAC" w:rsidRDefault="00F11A8B" w:rsidP="00F11A8B">
            <w:pPr>
              <w:tabs>
                <w:tab w:val="left" w:pos="1080"/>
              </w:tabs>
              <w:spacing w:before="120" w:after="120"/>
              <w:ind w:firstLine="539"/>
              <w:jc w:val="both"/>
              <w:rPr>
                <w:rFonts w:ascii="Garamond" w:hAnsi="Garamond"/>
                <w:sz w:val="22"/>
                <w:szCs w:val="22"/>
                <w:highlight w:val="yellow"/>
              </w:rPr>
            </w:pPr>
            <w:r w:rsidRPr="006F6DAC">
              <w:rPr>
                <w:rFonts w:ascii="Garamond" w:hAnsi="Garamond"/>
                <w:sz w:val="22"/>
                <w:szCs w:val="22"/>
                <w:highlight w:val="yellow"/>
              </w:rPr>
              <w:t>Элемент &lt;</w:t>
            </w:r>
            <w:r w:rsidRPr="006F6DAC">
              <w:rPr>
                <w:rFonts w:ascii="Garamond" w:hAnsi="Garamond"/>
                <w:sz w:val="22"/>
                <w:szCs w:val="22"/>
                <w:highlight w:val="yellow"/>
                <w:lang w:val="en-US"/>
              </w:rPr>
              <w:t>deliverypoint</w:t>
            </w:r>
            <w:r w:rsidRPr="006F6DAC">
              <w:rPr>
                <w:rFonts w:ascii="Garamond" w:hAnsi="Garamond"/>
                <w:sz w:val="22"/>
                <w:szCs w:val="22"/>
                <w:highlight w:val="yellow"/>
              </w:rPr>
              <w:t>&gt; содержит сведения о точке поставки и результатах измерений в ней. Атрибуты элемента &lt;</w:t>
            </w:r>
            <w:r w:rsidRPr="006F6DAC">
              <w:rPr>
                <w:rFonts w:ascii="Garamond" w:hAnsi="Garamond"/>
                <w:sz w:val="22"/>
                <w:szCs w:val="22"/>
                <w:highlight w:val="yellow"/>
                <w:lang w:val="en-US"/>
              </w:rPr>
              <w:t>deliverypoint</w:t>
            </w:r>
            <w:r w:rsidRPr="006F6DAC">
              <w:rPr>
                <w:rFonts w:ascii="Garamond" w:hAnsi="Garamond"/>
                <w:sz w:val="22"/>
                <w:szCs w:val="22"/>
                <w:highlight w:val="yellow"/>
              </w:rPr>
              <w:t xml:space="preserve">&gt;: </w:t>
            </w:r>
          </w:p>
          <w:p w14:paraId="1BD42435" w14:textId="77777777" w:rsidR="00F11A8B" w:rsidRPr="006F6DAC" w:rsidRDefault="00F11A8B" w:rsidP="00F11A8B">
            <w:pPr>
              <w:numPr>
                <w:ilvl w:val="0"/>
                <w:numId w:val="234"/>
              </w:numPr>
              <w:tabs>
                <w:tab w:val="left" w:pos="885"/>
              </w:tabs>
              <w:suppressAutoHyphens w:val="0"/>
              <w:spacing w:before="120" w:after="120"/>
              <w:jc w:val="both"/>
              <w:rPr>
                <w:rFonts w:ascii="Garamond" w:hAnsi="Garamond"/>
                <w:sz w:val="22"/>
                <w:szCs w:val="22"/>
                <w:highlight w:val="yellow"/>
              </w:rPr>
            </w:pPr>
            <w:r w:rsidRPr="006F6DAC">
              <w:rPr>
                <w:rFonts w:ascii="Garamond" w:hAnsi="Garamond"/>
                <w:sz w:val="22"/>
                <w:szCs w:val="22"/>
                <w:highlight w:val="yellow"/>
                <w:lang w:val="en-US"/>
              </w:rPr>
              <w:t>code</w:t>
            </w:r>
            <w:r w:rsidRPr="006F6DAC">
              <w:rPr>
                <w:rFonts w:ascii="Garamond" w:hAnsi="Garamond"/>
                <w:sz w:val="22"/>
                <w:szCs w:val="22"/>
                <w:highlight w:val="yellow"/>
              </w:rPr>
              <w:t xml:space="preserve"> – </w:t>
            </w:r>
            <w:r w:rsidRPr="006F6DAC">
              <w:rPr>
                <w:rFonts w:ascii="Garamond" w:hAnsi="Garamond"/>
                <w:spacing w:val="1"/>
                <w:sz w:val="22"/>
                <w:szCs w:val="22"/>
                <w:highlight w:val="yellow"/>
              </w:rPr>
              <w:t>содержит уникальный код, присвоенный КО точке поставки</w:t>
            </w:r>
            <w:r w:rsidRPr="006F6DAC">
              <w:rPr>
                <w:rFonts w:ascii="Garamond" w:hAnsi="Garamond"/>
                <w:bCs/>
                <w:sz w:val="22"/>
                <w:szCs w:val="22"/>
                <w:highlight w:val="yellow"/>
              </w:rPr>
              <w:t>;</w:t>
            </w:r>
          </w:p>
          <w:p w14:paraId="347DBB21" w14:textId="77777777" w:rsidR="00F11A8B" w:rsidRPr="006F6DAC" w:rsidRDefault="00F11A8B" w:rsidP="00F11A8B">
            <w:pPr>
              <w:numPr>
                <w:ilvl w:val="0"/>
                <w:numId w:val="234"/>
              </w:numPr>
              <w:tabs>
                <w:tab w:val="left" w:pos="885"/>
              </w:tabs>
              <w:suppressAutoHyphens w:val="0"/>
              <w:spacing w:before="120" w:after="120"/>
              <w:jc w:val="both"/>
              <w:rPr>
                <w:rFonts w:ascii="Garamond" w:hAnsi="Garamond"/>
                <w:sz w:val="22"/>
                <w:szCs w:val="22"/>
                <w:highlight w:val="yellow"/>
              </w:rPr>
            </w:pPr>
            <w:r w:rsidRPr="006F6DAC">
              <w:rPr>
                <w:rFonts w:ascii="Garamond" w:hAnsi="Garamond"/>
                <w:sz w:val="22"/>
                <w:szCs w:val="22"/>
                <w:highlight w:val="yellow"/>
                <w:lang w:val="en-US"/>
              </w:rPr>
              <w:t>name</w:t>
            </w:r>
            <w:r w:rsidRPr="006F6DAC">
              <w:rPr>
                <w:rFonts w:ascii="Garamond" w:hAnsi="Garamond"/>
                <w:sz w:val="22"/>
                <w:szCs w:val="22"/>
                <w:highlight w:val="yellow"/>
              </w:rPr>
              <w:t xml:space="preserve"> – содержит </w:t>
            </w:r>
            <w:r w:rsidRPr="006F6DAC">
              <w:rPr>
                <w:rFonts w:ascii="Garamond" w:hAnsi="Garamond"/>
                <w:spacing w:val="1"/>
                <w:sz w:val="22"/>
                <w:szCs w:val="22"/>
                <w:highlight w:val="yellow"/>
              </w:rPr>
              <w:t>наименование данной точки поставки. Длина наименования до 250 символов.</w:t>
            </w:r>
          </w:p>
          <w:p w14:paraId="5680AB77" w14:textId="77777777" w:rsidR="00F11A8B" w:rsidRPr="006F6DAC" w:rsidRDefault="00F11A8B" w:rsidP="00F11A8B">
            <w:pPr>
              <w:tabs>
                <w:tab w:val="left" w:pos="1080"/>
              </w:tabs>
              <w:spacing w:before="120" w:after="120"/>
              <w:ind w:firstLine="539"/>
              <w:jc w:val="both"/>
              <w:rPr>
                <w:rFonts w:ascii="Garamond" w:hAnsi="Garamond"/>
                <w:sz w:val="22"/>
                <w:szCs w:val="22"/>
                <w:highlight w:val="yellow"/>
              </w:rPr>
            </w:pPr>
            <w:r w:rsidRPr="006F6DAC">
              <w:rPr>
                <w:rFonts w:ascii="Garamond" w:hAnsi="Garamond"/>
                <w:sz w:val="22"/>
                <w:szCs w:val="22"/>
                <w:highlight w:val="yellow"/>
              </w:rPr>
              <w:t>Потомками элемента &lt;</w:t>
            </w:r>
            <w:r w:rsidRPr="006F6DAC">
              <w:rPr>
                <w:rFonts w:ascii="Garamond" w:hAnsi="Garamond"/>
                <w:sz w:val="22"/>
                <w:szCs w:val="22"/>
                <w:highlight w:val="yellow"/>
                <w:lang w:val="en-US"/>
              </w:rPr>
              <w:t>deliverypoint</w:t>
            </w:r>
            <w:r w:rsidRPr="006F6DAC">
              <w:rPr>
                <w:rFonts w:ascii="Garamond" w:hAnsi="Garamond"/>
                <w:sz w:val="22"/>
                <w:szCs w:val="22"/>
                <w:highlight w:val="yellow"/>
              </w:rPr>
              <w:t>&gt; являются элементы &lt;</w:t>
            </w:r>
            <w:r w:rsidRPr="006F6DAC">
              <w:rPr>
                <w:rFonts w:ascii="Garamond" w:hAnsi="Garamond"/>
                <w:sz w:val="22"/>
                <w:szCs w:val="22"/>
                <w:highlight w:val="yellow"/>
                <w:lang w:val="en-US"/>
              </w:rPr>
              <w:t>m</w:t>
            </w:r>
            <w:r w:rsidRPr="006F6DAC">
              <w:rPr>
                <w:rFonts w:ascii="Garamond" w:hAnsi="Garamond"/>
                <w:sz w:val="22"/>
                <w:szCs w:val="22"/>
                <w:highlight w:val="yellow"/>
              </w:rPr>
              <w:t>easuring</w:t>
            </w:r>
            <w:r w:rsidRPr="006F6DAC">
              <w:rPr>
                <w:rFonts w:ascii="Garamond" w:hAnsi="Garamond"/>
                <w:sz w:val="22"/>
                <w:szCs w:val="22"/>
                <w:highlight w:val="yellow"/>
                <w:lang w:val="en-US"/>
              </w:rPr>
              <w:t>c</w:t>
            </w:r>
            <w:r w:rsidRPr="006F6DAC">
              <w:rPr>
                <w:rFonts w:ascii="Garamond" w:hAnsi="Garamond"/>
                <w:sz w:val="22"/>
                <w:szCs w:val="22"/>
                <w:highlight w:val="yellow"/>
              </w:rPr>
              <w:t>hannel&gt;.</w:t>
            </w:r>
          </w:p>
          <w:p w14:paraId="213EE334" w14:textId="77777777" w:rsidR="00F11A8B" w:rsidRPr="006F6DAC" w:rsidRDefault="00F11A8B" w:rsidP="00F11A8B">
            <w:pPr>
              <w:tabs>
                <w:tab w:val="left" w:pos="1080"/>
              </w:tabs>
              <w:spacing w:before="120" w:after="120"/>
              <w:ind w:firstLine="539"/>
              <w:jc w:val="both"/>
              <w:rPr>
                <w:rFonts w:ascii="Garamond" w:hAnsi="Garamond"/>
                <w:sz w:val="22"/>
                <w:szCs w:val="22"/>
                <w:highlight w:val="yellow"/>
              </w:rPr>
            </w:pPr>
            <w:r w:rsidRPr="006F6DAC">
              <w:rPr>
                <w:rFonts w:ascii="Garamond" w:hAnsi="Garamond"/>
                <w:sz w:val="22"/>
                <w:szCs w:val="22"/>
                <w:highlight w:val="yellow"/>
              </w:rPr>
              <w:t>1.3.4.1. &lt;</w:t>
            </w:r>
            <w:r w:rsidRPr="006F6DAC">
              <w:rPr>
                <w:rFonts w:ascii="Garamond" w:hAnsi="Garamond"/>
                <w:sz w:val="22"/>
                <w:szCs w:val="22"/>
                <w:highlight w:val="yellow"/>
                <w:lang w:val="en-US"/>
              </w:rPr>
              <w:t>m</w:t>
            </w:r>
            <w:r w:rsidRPr="006F6DAC">
              <w:rPr>
                <w:rFonts w:ascii="Garamond" w:hAnsi="Garamond"/>
                <w:sz w:val="22"/>
                <w:szCs w:val="22"/>
                <w:highlight w:val="yellow"/>
              </w:rPr>
              <w:t>easuring</w:t>
            </w:r>
            <w:r w:rsidRPr="006F6DAC">
              <w:rPr>
                <w:rFonts w:ascii="Garamond" w:hAnsi="Garamond"/>
                <w:sz w:val="22"/>
                <w:szCs w:val="22"/>
                <w:highlight w:val="yellow"/>
                <w:lang w:val="en-US"/>
              </w:rPr>
              <w:t>c</w:t>
            </w:r>
            <w:r w:rsidRPr="006F6DAC">
              <w:rPr>
                <w:rFonts w:ascii="Garamond" w:hAnsi="Garamond"/>
                <w:sz w:val="22"/>
                <w:szCs w:val="22"/>
                <w:highlight w:val="yellow"/>
              </w:rPr>
              <w:t>hannel&gt;</w:t>
            </w:r>
          </w:p>
          <w:p w14:paraId="049EF5BF" w14:textId="77777777" w:rsidR="00F11A8B" w:rsidRPr="006F6DAC" w:rsidRDefault="00F11A8B" w:rsidP="00F11A8B">
            <w:pPr>
              <w:tabs>
                <w:tab w:val="left" w:pos="1080"/>
              </w:tabs>
              <w:spacing w:before="120" w:after="120"/>
              <w:ind w:firstLine="539"/>
              <w:jc w:val="both"/>
              <w:rPr>
                <w:rFonts w:ascii="Garamond" w:hAnsi="Garamond"/>
                <w:sz w:val="22"/>
                <w:szCs w:val="22"/>
                <w:highlight w:val="yellow"/>
              </w:rPr>
            </w:pPr>
            <w:r w:rsidRPr="006F6DAC">
              <w:rPr>
                <w:rFonts w:ascii="Garamond" w:hAnsi="Garamond"/>
                <w:sz w:val="22"/>
                <w:szCs w:val="22"/>
                <w:highlight w:val="yellow"/>
              </w:rPr>
              <w:t>Элемент &lt;</w:t>
            </w:r>
            <w:r w:rsidRPr="006F6DAC">
              <w:rPr>
                <w:rFonts w:ascii="Garamond" w:hAnsi="Garamond"/>
                <w:sz w:val="22"/>
                <w:szCs w:val="22"/>
                <w:highlight w:val="yellow"/>
                <w:lang w:val="en-US"/>
              </w:rPr>
              <w:t>m</w:t>
            </w:r>
            <w:r w:rsidRPr="006F6DAC">
              <w:rPr>
                <w:rFonts w:ascii="Garamond" w:hAnsi="Garamond"/>
                <w:sz w:val="22"/>
                <w:szCs w:val="22"/>
                <w:highlight w:val="yellow"/>
              </w:rPr>
              <w:t>easuring</w:t>
            </w:r>
            <w:r w:rsidRPr="006F6DAC">
              <w:rPr>
                <w:rFonts w:ascii="Garamond" w:hAnsi="Garamond"/>
                <w:sz w:val="22"/>
                <w:szCs w:val="22"/>
                <w:highlight w:val="yellow"/>
                <w:lang w:val="en-US"/>
              </w:rPr>
              <w:t>c</w:t>
            </w:r>
            <w:r w:rsidRPr="006F6DAC">
              <w:rPr>
                <w:rFonts w:ascii="Garamond" w:hAnsi="Garamond"/>
                <w:sz w:val="22"/>
                <w:szCs w:val="22"/>
                <w:highlight w:val="yellow"/>
              </w:rPr>
              <w:t>hannel&gt; содержит информацию о результатах измерений по точкам поставки. Атрибуты элемента &lt;</w:t>
            </w:r>
            <w:r w:rsidRPr="006F6DAC">
              <w:rPr>
                <w:rFonts w:ascii="Garamond" w:hAnsi="Garamond"/>
                <w:sz w:val="22"/>
                <w:szCs w:val="22"/>
                <w:highlight w:val="yellow"/>
                <w:lang w:val="en-US"/>
              </w:rPr>
              <w:t>m</w:t>
            </w:r>
            <w:r w:rsidRPr="006F6DAC">
              <w:rPr>
                <w:rFonts w:ascii="Garamond" w:hAnsi="Garamond"/>
                <w:sz w:val="22"/>
                <w:szCs w:val="22"/>
                <w:highlight w:val="yellow"/>
              </w:rPr>
              <w:t>easuring</w:t>
            </w:r>
            <w:r w:rsidRPr="006F6DAC">
              <w:rPr>
                <w:rFonts w:ascii="Garamond" w:hAnsi="Garamond"/>
                <w:sz w:val="22"/>
                <w:szCs w:val="22"/>
                <w:highlight w:val="yellow"/>
                <w:lang w:val="en-US"/>
              </w:rPr>
              <w:t>c</w:t>
            </w:r>
            <w:r w:rsidRPr="006F6DAC">
              <w:rPr>
                <w:rFonts w:ascii="Garamond" w:hAnsi="Garamond"/>
                <w:sz w:val="22"/>
                <w:szCs w:val="22"/>
                <w:highlight w:val="yellow"/>
              </w:rPr>
              <w:t>hannel&gt;:</w:t>
            </w:r>
          </w:p>
          <w:p w14:paraId="6146482C" w14:textId="77777777" w:rsidR="00F11A8B" w:rsidRPr="006F6DAC" w:rsidRDefault="00F11A8B" w:rsidP="00F11A8B">
            <w:pPr>
              <w:numPr>
                <w:ilvl w:val="0"/>
                <w:numId w:val="234"/>
              </w:numPr>
              <w:tabs>
                <w:tab w:val="left" w:pos="885"/>
              </w:tabs>
              <w:suppressAutoHyphens w:val="0"/>
              <w:spacing w:before="120" w:after="120"/>
              <w:jc w:val="both"/>
              <w:rPr>
                <w:rFonts w:ascii="Garamond" w:hAnsi="Garamond"/>
                <w:sz w:val="22"/>
                <w:szCs w:val="22"/>
                <w:highlight w:val="yellow"/>
              </w:rPr>
            </w:pPr>
            <w:r w:rsidRPr="006F6DAC">
              <w:rPr>
                <w:rFonts w:ascii="Garamond" w:hAnsi="Garamond"/>
                <w:sz w:val="22"/>
                <w:szCs w:val="22"/>
                <w:highlight w:val="yellow"/>
                <w:lang w:val="en-US"/>
              </w:rPr>
              <w:t>code</w:t>
            </w:r>
            <w:r w:rsidRPr="006F6DAC">
              <w:rPr>
                <w:rFonts w:ascii="Garamond" w:hAnsi="Garamond"/>
                <w:sz w:val="22"/>
                <w:szCs w:val="22"/>
                <w:highlight w:val="yellow"/>
              </w:rPr>
              <w:t xml:space="preserve"> – содержит код измерительного канала, присвоенный КО данному измерительному каналу. В коде измерительного канала содержится информация о направлении передачи электроэнергии и типе измерительного канала;</w:t>
            </w:r>
          </w:p>
          <w:p w14:paraId="604BAB21" w14:textId="77777777" w:rsidR="00F11A8B" w:rsidRPr="006F6DAC" w:rsidRDefault="00F11A8B" w:rsidP="00F11A8B">
            <w:pPr>
              <w:numPr>
                <w:ilvl w:val="0"/>
                <w:numId w:val="234"/>
              </w:numPr>
              <w:tabs>
                <w:tab w:val="left" w:pos="885"/>
              </w:tabs>
              <w:suppressAutoHyphens w:val="0"/>
              <w:spacing w:before="120" w:after="120"/>
              <w:jc w:val="both"/>
              <w:rPr>
                <w:rFonts w:ascii="Garamond" w:hAnsi="Garamond"/>
                <w:sz w:val="22"/>
                <w:szCs w:val="22"/>
                <w:highlight w:val="yellow"/>
              </w:rPr>
            </w:pPr>
            <w:r w:rsidRPr="006F6DAC">
              <w:rPr>
                <w:rFonts w:ascii="Garamond" w:hAnsi="Garamond"/>
                <w:sz w:val="22"/>
                <w:szCs w:val="22"/>
                <w:highlight w:val="yellow"/>
                <w:lang w:val="en-US"/>
              </w:rPr>
              <w:t>algorithmversion</w:t>
            </w:r>
            <w:r w:rsidRPr="006F6DAC">
              <w:rPr>
                <w:rFonts w:ascii="Garamond" w:hAnsi="Garamond"/>
                <w:sz w:val="22"/>
                <w:szCs w:val="22"/>
                <w:highlight w:val="yellow"/>
              </w:rPr>
              <w:t xml:space="preserve"> (только для элемента &lt;</w:t>
            </w:r>
            <w:r w:rsidRPr="006F6DAC">
              <w:rPr>
                <w:rFonts w:ascii="Garamond" w:hAnsi="Garamond"/>
                <w:sz w:val="22"/>
                <w:szCs w:val="22"/>
                <w:highlight w:val="yellow"/>
                <w:lang w:val="en-US"/>
              </w:rPr>
              <w:t>deliverypoint</w:t>
            </w:r>
            <w:r w:rsidRPr="006F6DAC">
              <w:rPr>
                <w:rFonts w:ascii="Garamond" w:hAnsi="Garamond"/>
                <w:sz w:val="22"/>
                <w:szCs w:val="22"/>
                <w:highlight w:val="yellow"/>
              </w:rPr>
              <w:t xml:space="preserve">&gt;) – содержит номер версии алгоритма расчета параметра точки поставки и является обязательным. Отсутствие атрибута </w:t>
            </w:r>
            <w:r w:rsidRPr="006F6DAC">
              <w:rPr>
                <w:rFonts w:ascii="Garamond" w:hAnsi="Garamond"/>
                <w:sz w:val="22"/>
                <w:szCs w:val="22"/>
                <w:highlight w:val="yellow"/>
                <w:lang w:val="en-US"/>
              </w:rPr>
              <w:t>algorithmversion</w:t>
            </w:r>
            <w:r w:rsidRPr="006F6DAC">
              <w:rPr>
                <w:rFonts w:ascii="Garamond" w:hAnsi="Garamond"/>
                <w:sz w:val="22"/>
                <w:szCs w:val="22"/>
                <w:highlight w:val="yellow"/>
              </w:rPr>
              <w:t xml:space="preserve"> эквивалентно записи </w:t>
            </w:r>
            <w:r w:rsidRPr="006F6DAC">
              <w:rPr>
                <w:rFonts w:ascii="Garamond" w:hAnsi="Garamond"/>
                <w:sz w:val="22"/>
                <w:szCs w:val="22"/>
                <w:highlight w:val="yellow"/>
                <w:lang w:val="en-US"/>
              </w:rPr>
              <w:t>algorithmversion</w:t>
            </w:r>
            <w:r w:rsidRPr="006F6DAC">
              <w:rPr>
                <w:rFonts w:ascii="Garamond" w:hAnsi="Garamond"/>
                <w:sz w:val="22"/>
                <w:szCs w:val="22"/>
                <w:highlight w:val="yellow"/>
              </w:rPr>
              <w:t>=«1»;</w:t>
            </w:r>
          </w:p>
          <w:p w14:paraId="51F10773" w14:textId="77777777" w:rsidR="00F11A8B" w:rsidRPr="006F6DAC" w:rsidRDefault="00F11A8B" w:rsidP="00F11A8B">
            <w:pPr>
              <w:numPr>
                <w:ilvl w:val="0"/>
                <w:numId w:val="234"/>
              </w:numPr>
              <w:tabs>
                <w:tab w:val="left" w:pos="885"/>
              </w:tabs>
              <w:suppressAutoHyphens w:val="0"/>
              <w:spacing w:before="120" w:after="120"/>
              <w:jc w:val="both"/>
              <w:rPr>
                <w:rFonts w:ascii="Garamond" w:hAnsi="Garamond"/>
                <w:sz w:val="22"/>
                <w:szCs w:val="22"/>
                <w:highlight w:val="yellow"/>
              </w:rPr>
            </w:pPr>
            <w:r w:rsidRPr="006F6DAC">
              <w:rPr>
                <w:rFonts w:ascii="Garamond" w:hAnsi="Garamond"/>
                <w:sz w:val="22"/>
                <w:szCs w:val="22"/>
                <w:highlight w:val="yellow"/>
                <w:lang w:val="en-US"/>
              </w:rPr>
              <w:t>desc</w:t>
            </w:r>
            <w:r w:rsidRPr="006F6DAC">
              <w:rPr>
                <w:rFonts w:ascii="Garamond" w:hAnsi="Garamond"/>
                <w:sz w:val="22"/>
                <w:szCs w:val="22"/>
                <w:highlight w:val="yellow"/>
              </w:rPr>
              <w:t xml:space="preserve"> – содержит описание измерительного канала. </w:t>
            </w:r>
          </w:p>
          <w:p w14:paraId="26B7A749" w14:textId="77777777" w:rsidR="00F11A8B" w:rsidRPr="006F6DAC" w:rsidRDefault="00F11A8B" w:rsidP="00F11A8B">
            <w:pPr>
              <w:tabs>
                <w:tab w:val="left" w:pos="1080"/>
              </w:tabs>
              <w:spacing w:before="120" w:after="120"/>
              <w:ind w:firstLine="539"/>
              <w:jc w:val="both"/>
              <w:rPr>
                <w:rFonts w:ascii="Garamond" w:hAnsi="Garamond"/>
                <w:sz w:val="22"/>
                <w:szCs w:val="22"/>
                <w:highlight w:val="yellow"/>
              </w:rPr>
            </w:pPr>
            <w:r w:rsidRPr="006F6DAC">
              <w:rPr>
                <w:rFonts w:ascii="Garamond" w:hAnsi="Garamond"/>
                <w:sz w:val="22"/>
                <w:szCs w:val="22"/>
                <w:highlight w:val="yellow"/>
              </w:rPr>
              <w:t>Потомками элемента &lt;</w:t>
            </w:r>
            <w:r w:rsidRPr="006F6DAC">
              <w:rPr>
                <w:rFonts w:ascii="Garamond" w:hAnsi="Garamond"/>
                <w:sz w:val="22"/>
                <w:szCs w:val="22"/>
                <w:highlight w:val="yellow"/>
                <w:lang w:val="en-US"/>
              </w:rPr>
              <w:t>m</w:t>
            </w:r>
            <w:r w:rsidRPr="006F6DAC">
              <w:rPr>
                <w:rFonts w:ascii="Garamond" w:hAnsi="Garamond"/>
                <w:sz w:val="22"/>
                <w:szCs w:val="22"/>
                <w:highlight w:val="yellow"/>
              </w:rPr>
              <w:t>easuring</w:t>
            </w:r>
            <w:r w:rsidRPr="006F6DAC">
              <w:rPr>
                <w:rFonts w:ascii="Garamond" w:hAnsi="Garamond"/>
                <w:sz w:val="22"/>
                <w:szCs w:val="22"/>
                <w:highlight w:val="yellow"/>
                <w:lang w:val="en-US"/>
              </w:rPr>
              <w:t>c</w:t>
            </w:r>
            <w:r w:rsidRPr="006F6DAC">
              <w:rPr>
                <w:rFonts w:ascii="Garamond" w:hAnsi="Garamond"/>
                <w:sz w:val="22"/>
                <w:szCs w:val="22"/>
                <w:highlight w:val="yellow"/>
              </w:rPr>
              <w:t>hannel&gt; являются элементы &lt;period&gt;.</w:t>
            </w:r>
          </w:p>
          <w:p w14:paraId="6E99738F" w14:textId="77777777" w:rsidR="00F11A8B" w:rsidRPr="006F6DAC" w:rsidRDefault="00F11A8B" w:rsidP="00F11A8B">
            <w:pPr>
              <w:tabs>
                <w:tab w:val="left" w:pos="1080"/>
              </w:tabs>
              <w:spacing w:before="120" w:after="120"/>
              <w:ind w:firstLine="539"/>
              <w:jc w:val="both"/>
              <w:rPr>
                <w:rFonts w:ascii="Garamond" w:hAnsi="Garamond"/>
                <w:sz w:val="22"/>
                <w:szCs w:val="22"/>
                <w:highlight w:val="yellow"/>
              </w:rPr>
            </w:pPr>
            <w:r w:rsidRPr="006F6DAC">
              <w:rPr>
                <w:rFonts w:ascii="Garamond" w:hAnsi="Garamond"/>
                <w:sz w:val="22"/>
                <w:szCs w:val="22"/>
                <w:highlight w:val="yellow"/>
              </w:rPr>
              <w:t>1.3.4.1.1. &lt;period&gt;</w:t>
            </w:r>
          </w:p>
          <w:p w14:paraId="0FF31F33" w14:textId="77777777" w:rsidR="00F11A8B" w:rsidRPr="006F6DAC" w:rsidRDefault="00F11A8B" w:rsidP="00F11A8B">
            <w:pPr>
              <w:tabs>
                <w:tab w:val="left" w:pos="1080"/>
              </w:tabs>
              <w:spacing w:before="120" w:after="120"/>
              <w:ind w:firstLine="539"/>
              <w:jc w:val="both"/>
              <w:rPr>
                <w:rFonts w:ascii="Garamond" w:hAnsi="Garamond"/>
                <w:sz w:val="22"/>
                <w:szCs w:val="22"/>
                <w:highlight w:val="yellow"/>
              </w:rPr>
            </w:pPr>
            <w:r w:rsidRPr="006F6DAC">
              <w:rPr>
                <w:rFonts w:ascii="Garamond" w:hAnsi="Garamond"/>
                <w:sz w:val="22"/>
                <w:szCs w:val="22"/>
                <w:highlight w:val="yellow"/>
              </w:rPr>
              <w:t>Элемент &lt;period&gt; содержит временной диапазон измерения и значения измерительных каналов точки поставки.</w:t>
            </w:r>
          </w:p>
          <w:p w14:paraId="7D00B0E1" w14:textId="77777777" w:rsidR="00F11A8B" w:rsidRPr="006F6DAC" w:rsidRDefault="00F11A8B" w:rsidP="00F11A8B">
            <w:pPr>
              <w:tabs>
                <w:tab w:val="left" w:pos="1080"/>
              </w:tabs>
              <w:spacing w:before="120" w:after="120"/>
              <w:ind w:firstLine="539"/>
              <w:jc w:val="both"/>
              <w:rPr>
                <w:rFonts w:ascii="Garamond" w:hAnsi="Garamond"/>
                <w:sz w:val="22"/>
                <w:szCs w:val="22"/>
                <w:highlight w:val="yellow"/>
              </w:rPr>
            </w:pPr>
            <w:r w:rsidRPr="006F6DAC">
              <w:rPr>
                <w:rFonts w:ascii="Garamond" w:hAnsi="Garamond"/>
                <w:sz w:val="22"/>
                <w:szCs w:val="22"/>
                <w:highlight w:val="yellow"/>
              </w:rPr>
              <w:t>Атрибуты элемента &lt;period&gt;:</w:t>
            </w:r>
          </w:p>
          <w:p w14:paraId="1E8EA146" w14:textId="77777777" w:rsidR="00F11A8B" w:rsidRPr="006F6DAC" w:rsidRDefault="00F11A8B" w:rsidP="00F11A8B">
            <w:pPr>
              <w:numPr>
                <w:ilvl w:val="0"/>
                <w:numId w:val="234"/>
              </w:numPr>
              <w:tabs>
                <w:tab w:val="left" w:pos="885"/>
              </w:tabs>
              <w:suppressAutoHyphens w:val="0"/>
              <w:spacing w:before="120" w:after="120"/>
              <w:jc w:val="both"/>
              <w:rPr>
                <w:rFonts w:ascii="Garamond" w:hAnsi="Garamond"/>
                <w:sz w:val="22"/>
                <w:szCs w:val="22"/>
                <w:highlight w:val="yellow"/>
              </w:rPr>
            </w:pPr>
            <w:r w:rsidRPr="006F6DAC">
              <w:rPr>
                <w:rFonts w:ascii="Garamond" w:hAnsi="Garamond"/>
                <w:sz w:val="22"/>
                <w:szCs w:val="22"/>
                <w:highlight w:val="yellow"/>
                <w:lang w:val="en-US"/>
              </w:rPr>
              <w:lastRenderedPageBreak/>
              <w:t>start</w:t>
            </w:r>
            <w:r w:rsidRPr="006F6DAC">
              <w:rPr>
                <w:rFonts w:ascii="Garamond" w:hAnsi="Garamond"/>
                <w:sz w:val="22"/>
                <w:szCs w:val="22"/>
                <w:highlight w:val="yellow"/>
              </w:rPr>
              <w:t xml:space="preserve"> – является обязательным и содержит дату и время начала измерения в формате «ччмм», где «чч» – часы в 24-часовом формате, «мм» – минуты;</w:t>
            </w:r>
          </w:p>
          <w:p w14:paraId="60CDC5E1" w14:textId="77777777" w:rsidR="00F11A8B" w:rsidRPr="006F6DAC" w:rsidRDefault="00F11A8B" w:rsidP="00F11A8B">
            <w:pPr>
              <w:numPr>
                <w:ilvl w:val="0"/>
                <w:numId w:val="234"/>
              </w:numPr>
              <w:tabs>
                <w:tab w:val="left" w:pos="885"/>
              </w:tabs>
              <w:suppressAutoHyphens w:val="0"/>
              <w:spacing w:before="120" w:after="120"/>
              <w:jc w:val="both"/>
              <w:rPr>
                <w:rFonts w:ascii="Garamond" w:hAnsi="Garamond"/>
                <w:sz w:val="22"/>
                <w:szCs w:val="22"/>
                <w:highlight w:val="yellow"/>
              </w:rPr>
            </w:pPr>
            <w:r w:rsidRPr="006F6DAC">
              <w:rPr>
                <w:rFonts w:ascii="Garamond" w:hAnsi="Garamond"/>
                <w:sz w:val="22"/>
                <w:szCs w:val="22"/>
                <w:highlight w:val="yellow"/>
                <w:lang w:val="en-US"/>
              </w:rPr>
              <w:t>end</w:t>
            </w:r>
            <w:r w:rsidRPr="006F6DAC">
              <w:rPr>
                <w:rFonts w:ascii="Garamond" w:hAnsi="Garamond"/>
                <w:sz w:val="22"/>
                <w:szCs w:val="22"/>
                <w:highlight w:val="yellow"/>
              </w:rPr>
              <w:t xml:space="preserve"> – является обязательным и содержит дату и время конца измерения в формате «ччмм», где «чч» – часы в 24-часовом формате, «мм» – минуты.</w:t>
            </w:r>
          </w:p>
          <w:p w14:paraId="512D4591" w14:textId="77777777" w:rsidR="00F11A8B" w:rsidRPr="006F6DAC" w:rsidRDefault="00F11A8B" w:rsidP="00F11A8B">
            <w:pPr>
              <w:tabs>
                <w:tab w:val="left" w:pos="1080"/>
              </w:tabs>
              <w:spacing w:before="120" w:after="120"/>
              <w:ind w:firstLine="539"/>
              <w:jc w:val="both"/>
              <w:rPr>
                <w:rFonts w:ascii="Garamond" w:hAnsi="Garamond"/>
                <w:sz w:val="22"/>
                <w:szCs w:val="22"/>
                <w:highlight w:val="yellow"/>
              </w:rPr>
            </w:pPr>
            <w:r w:rsidRPr="006F6DAC">
              <w:rPr>
                <w:rFonts w:ascii="Garamond" w:hAnsi="Garamond"/>
                <w:sz w:val="22"/>
                <w:szCs w:val="22"/>
                <w:highlight w:val="yellow"/>
              </w:rPr>
              <w:t xml:space="preserve">Последний интервал в операционных сутках записывается в виде </w:t>
            </w:r>
            <w:r w:rsidRPr="006F6DAC">
              <w:rPr>
                <w:rFonts w:ascii="Garamond" w:hAnsi="Garamond"/>
                <w:sz w:val="22"/>
                <w:szCs w:val="22"/>
                <w:highlight w:val="yellow"/>
                <w:lang w:val="en-US" w:eastAsia="zh-CN"/>
              </w:rPr>
              <w:t>start</w:t>
            </w:r>
            <w:r w:rsidRPr="006F6DAC">
              <w:rPr>
                <w:rFonts w:ascii="Garamond" w:hAnsi="Garamond"/>
                <w:sz w:val="22"/>
                <w:szCs w:val="22"/>
                <w:highlight w:val="yellow"/>
                <w:lang w:eastAsia="zh-CN"/>
              </w:rPr>
              <w:t xml:space="preserve">=«время начала периода», </w:t>
            </w:r>
            <w:r w:rsidRPr="006F6DAC">
              <w:rPr>
                <w:rFonts w:ascii="Garamond" w:hAnsi="Garamond"/>
                <w:sz w:val="22"/>
                <w:szCs w:val="22"/>
                <w:highlight w:val="yellow"/>
                <w:lang w:val="en-US" w:eastAsia="zh-CN"/>
              </w:rPr>
              <w:t>end</w:t>
            </w:r>
            <w:r w:rsidRPr="006F6DAC">
              <w:rPr>
                <w:rFonts w:ascii="Garamond" w:hAnsi="Garamond"/>
                <w:sz w:val="22"/>
                <w:szCs w:val="22"/>
                <w:highlight w:val="yellow"/>
                <w:lang w:eastAsia="zh-CN"/>
              </w:rPr>
              <w:t>=«0000».</w:t>
            </w:r>
          </w:p>
          <w:p w14:paraId="50D2BD0B" w14:textId="77777777" w:rsidR="00F11A8B" w:rsidRPr="006F6DAC" w:rsidRDefault="00F11A8B" w:rsidP="00F11A8B">
            <w:pPr>
              <w:tabs>
                <w:tab w:val="left" w:pos="1080"/>
              </w:tabs>
              <w:spacing w:before="120" w:after="120"/>
              <w:ind w:firstLine="539"/>
              <w:jc w:val="both"/>
              <w:rPr>
                <w:rFonts w:ascii="Garamond" w:hAnsi="Garamond"/>
                <w:sz w:val="22"/>
                <w:szCs w:val="22"/>
                <w:highlight w:val="yellow"/>
              </w:rPr>
            </w:pPr>
            <w:r w:rsidRPr="006F6DAC">
              <w:rPr>
                <w:rFonts w:ascii="Garamond" w:hAnsi="Garamond"/>
                <w:sz w:val="22"/>
                <w:szCs w:val="22"/>
                <w:highlight w:val="yellow"/>
              </w:rPr>
              <w:t>В зависимости от интервала измерений в элементах &lt;</w:t>
            </w:r>
            <w:r w:rsidRPr="006F6DAC">
              <w:rPr>
                <w:rFonts w:ascii="Garamond" w:hAnsi="Garamond"/>
                <w:sz w:val="22"/>
                <w:szCs w:val="22"/>
                <w:highlight w:val="yellow"/>
                <w:lang w:val="en-US"/>
              </w:rPr>
              <w:t>m</w:t>
            </w:r>
            <w:r w:rsidRPr="006F6DAC">
              <w:rPr>
                <w:rFonts w:ascii="Garamond" w:hAnsi="Garamond"/>
                <w:sz w:val="22"/>
                <w:szCs w:val="22"/>
                <w:highlight w:val="yellow"/>
              </w:rPr>
              <w:t>easuring</w:t>
            </w:r>
            <w:r w:rsidRPr="006F6DAC">
              <w:rPr>
                <w:rFonts w:ascii="Garamond" w:hAnsi="Garamond"/>
                <w:sz w:val="22"/>
                <w:szCs w:val="22"/>
                <w:highlight w:val="yellow"/>
                <w:lang w:val="en-US"/>
              </w:rPr>
              <w:t>c</w:t>
            </w:r>
            <w:r w:rsidRPr="006F6DAC">
              <w:rPr>
                <w:rFonts w:ascii="Garamond" w:hAnsi="Garamond"/>
                <w:sz w:val="22"/>
                <w:szCs w:val="22"/>
                <w:highlight w:val="yellow"/>
              </w:rPr>
              <w:t xml:space="preserve">hannel&gt; должно присутствовать определенное количество элементов &lt;period&gt;. То есть для точек поставки должно быть 24 элемента &lt;period&gt;. Несовпадение числа элементов &lt;period&gt; считается ошибкой формата и является основанием в отказе приема группы </w:t>
            </w:r>
            <w:r w:rsidRPr="006F6DAC">
              <w:rPr>
                <w:rFonts w:ascii="Garamond" w:hAnsi="Garamond"/>
                <w:sz w:val="22"/>
                <w:szCs w:val="22"/>
                <w:highlight w:val="yellow"/>
                <w:lang w:eastAsia="zh-CN"/>
              </w:rPr>
              <w:t>&lt;</w:t>
            </w:r>
            <w:r w:rsidRPr="006F6DAC">
              <w:rPr>
                <w:rFonts w:ascii="Garamond" w:hAnsi="Garamond"/>
                <w:sz w:val="22"/>
                <w:szCs w:val="22"/>
                <w:highlight w:val="yellow"/>
                <w:lang w:val="en-US" w:eastAsia="zh-CN"/>
              </w:rPr>
              <w:t>area</w:t>
            </w:r>
            <w:r w:rsidRPr="006F6DAC">
              <w:rPr>
                <w:rFonts w:ascii="Garamond" w:hAnsi="Garamond"/>
                <w:sz w:val="22"/>
                <w:szCs w:val="22"/>
                <w:highlight w:val="yellow"/>
                <w:lang w:eastAsia="zh-CN"/>
              </w:rPr>
              <w:t xml:space="preserve">&gt; </w:t>
            </w:r>
            <w:r w:rsidRPr="006F6DAC">
              <w:rPr>
                <w:rFonts w:ascii="Garamond" w:hAnsi="Garamond"/>
                <w:sz w:val="22"/>
                <w:szCs w:val="22"/>
                <w:highlight w:val="yellow"/>
              </w:rPr>
              <w:t>целиком.</w:t>
            </w:r>
          </w:p>
          <w:p w14:paraId="3FAB2204" w14:textId="77777777" w:rsidR="00F11A8B" w:rsidRPr="006F6DAC" w:rsidRDefault="00F11A8B" w:rsidP="00F11A8B">
            <w:pPr>
              <w:tabs>
                <w:tab w:val="left" w:pos="1080"/>
              </w:tabs>
              <w:spacing w:before="120" w:after="120"/>
              <w:ind w:firstLine="539"/>
              <w:jc w:val="both"/>
              <w:rPr>
                <w:rFonts w:ascii="Garamond" w:hAnsi="Garamond"/>
                <w:sz w:val="22"/>
                <w:szCs w:val="22"/>
                <w:highlight w:val="yellow"/>
              </w:rPr>
            </w:pPr>
            <w:r w:rsidRPr="006F6DAC">
              <w:rPr>
                <w:rFonts w:ascii="Garamond" w:hAnsi="Garamond"/>
                <w:sz w:val="22"/>
                <w:szCs w:val="22"/>
                <w:highlight w:val="yellow"/>
              </w:rPr>
              <w:t>Потомками элемента &lt;period&gt; являются элементы &lt;value&gt;.</w:t>
            </w:r>
          </w:p>
          <w:p w14:paraId="2344D72F" w14:textId="77777777" w:rsidR="00F11A8B" w:rsidRPr="006F6DAC" w:rsidRDefault="00F11A8B" w:rsidP="00F11A8B">
            <w:pPr>
              <w:tabs>
                <w:tab w:val="left" w:pos="1080"/>
              </w:tabs>
              <w:spacing w:before="120" w:after="120"/>
              <w:ind w:firstLine="539"/>
              <w:jc w:val="both"/>
              <w:rPr>
                <w:rFonts w:ascii="Garamond" w:hAnsi="Garamond"/>
                <w:sz w:val="22"/>
                <w:szCs w:val="22"/>
                <w:highlight w:val="yellow"/>
              </w:rPr>
            </w:pPr>
            <w:r w:rsidRPr="006F6DAC">
              <w:rPr>
                <w:rFonts w:ascii="Garamond" w:hAnsi="Garamond"/>
                <w:sz w:val="22"/>
                <w:szCs w:val="22"/>
                <w:highlight w:val="yellow"/>
              </w:rPr>
              <w:t>1.3.4.1.1.1. &lt;</w:t>
            </w:r>
            <w:r w:rsidRPr="006F6DAC">
              <w:rPr>
                <w:rFonts w:ascii="Garamond" w:hAnsi="Garamond"/>
                <w:sz w:val="22"/>
                <w:szCs w:val="22"/>
                <w:highlight w:val="yellow"/>
                <w:lang w:val="en-US"/>
              </w:rPr>
              <w:t>value</w:t>
            </w:r>
            <w:r w:rsidRPr="006F6DAC">
              <w:rPr>
                <w:rFonts w:ascii="Garamond" w:hAnsi="Garamond"/>
                <w:sz w:val="22"/>
                <w:szCs w:val="22"/>
                <w:highlight w:val="yellow"/>
              </w:rPr>
              <w:t>&gt;</w:t>
            </w:r>
          </w:p>
          <w:p w14:paraId="22FFF6D9" w14:textId="77777777" w:rsidR="00F11A8B" w:rsidRPr="006F6DAC" w:rsidRDefault="00F11A8B" w:rsidP="00F11A8B">
            <w:pPr>
              <w:tabs>
                <w:tab w:val="left" w:pos="1080"/>
              </w:tabs>
              <w:spacing w:before="120" w:after="120"/>
              <w:ind w:firstLine="539"/>
              <w:jc w:val="both"/>
              <w:rPr>
                <w:rFonts w:ascii="Garamond" w:hAnsi="Garamond"/>
                <w:sz w:val="22"/>
                <w:szCs w:val="22"/>
                <w:highlight w:val="yellow"/>
              </w:rPr>
            </w:pPr>
            <w:r w:rsidRPr="006F6DAC">
              <w:rPr>
                <w:rFonts w:ascii="Garamond" w:hAnsi="Garamond"/>
                <w:sz w:val="22"/>
                <w:szCs w:val="22"/>
                <w:highlight w:val="yellow"/>
              </w:rPr>
              <w:t>Содержимым элемента &lt;value&gt; является значение результата измерения. Атрибутом элемента &lt;</w:t>
            </w:r>
            <w:r w:rsidRPr="006F6DAC">
              <w:rPr>
                <w:rFonts w:ascii="Garamond" w:hAnsi="Garamond"/>
                <w:sz w:val="22"/>
                <w:szCs w:val="22"/>
                <w:highlight w:val="yellow"/>
                <w:lang w:val="en-US"/>
              </w:rPr>
              <w:t>value</w:t>
            </w:r>
            <w:r w:rsidRPr="006F6DAC">
              <w:rPr>
                <w:rFonts w:ascii="Garamond" w:hAnsi="Garamond"/>
                <w:sz w:val="22"/>
                <w:szCs w:val="22"/>
                <w:highlight w:val="yellow"/>
              </w:rPr>
              <w:t xml:space="preserve">&gt; является </w:t>
            </w:r>
            <w:r w:rsidRPr="006F6DAC">
              <w:rPr>
                <w:rFonts w:ascii="Garamond" w:hAnsi="Garamond"/>
                <w:sz w:val="22"/>
                <w:szCs w:val="22"/>
                <w:highlight w:val="yellow"/>
                <w:lang w:val="en-US"/>
              </w:rPr>
              <w:t>status</w:t>
            </w:r>
            <w:r w:rsidRPr="006F6DAC">
              <w:rPr>
                <w:rFonts w:ascii="Garamond" w:hAnsi="Garamond"/>
                <w:sz w:val="22"/>
                <w:szCs w:val="22"/>
                <w:highlight w:val="yellow"/>
              </w:rPr>
              <w:t xml:space="preserve"> – показывает статус передаваемой информации. Статус «0» означает, что передаваемая информация имеет статус коммерческой. В этом случае атрибут </w:t>
            </w:r>
            <w:r w:rsidRPr="006F6DAC">
              <w:rPr>
                <w:rFonts w:ascii="Garamond" w:hAnsi="Garamond"/>
                <w:sz w:val="22"/>
                <w:szCs w:val="22"/>
                <w:highlight w:val="yellow"/>
                <w:lang w:val="en-US"/>
              </w:rPr>
              <w:t>status</w:t>
            </w:r>
            <w:r w:rsidRPr="006F6DAC">
              <w:rPr>
                <w:rFonts w:ascii="Garamond" w:hAnsi="Garamond"/>
                <w:sz w:val="22"/>
                <w:szCs w:val="22"/>
                <w:highlight w:val="yellow"/>
              </w:rPr>
              <w:t xml:space="preserve"> может отсутствовать. Значение </w:t>
            </w:r>
            <w:r w:rsidRPr="006F6DAC">
              <w:rPr>
                <w:rFonts w:ascii="Garamond" w:hAnsi="Garamond"/>
                <w:sz w:val="22"/>
                <w:szCs w:val="22"/>
                <w:highlight w:val="yellow"/>
                <w:lang w:val="en-US"/>
              </w:rPr>
              <w:t>status</w:t>
            </w:r>
            <w:r w:rsidRPr="006F6DAC">
              <w:rPr>
                <w:rFonts w:ascii="Garamond" w:hAnsi="Garamond"/>
                <w:sz w:val="22"/>
                <w:szCs w:val="22"/>
                <w:highlight w:val="yellow"/>
              </w:rPr>
              <w:t xml:space="preserve"> «1» означает, что данную информацию нельзя использовать в коммерческих расчетах.</w:t>
            </w:r>
          </w:p>
          <w:p w14:paraId="50ADB554" w14:textId="77777777" w:rsidR="00F11A8B" w:rsidRPr="006F6DAC" w:rsidRDefault="00F11A8B" w:rsidP="00F11A8B">
            <w:pPr>
              <w:tabs>
                <w:tab w:val="left" w:pos="1080"/>
              </w:tabs>
              <w:spacing w:before="120" w:after="120"/>
              <w:ind w:firstLine="539"/>
              <w:jc w:val="both"/>
              <w:rPr>
                <w:rFonts w:ascii="Garamond" w:hAnsi="Garamond"/>
                <w:sz w:val="22"/>
                <w:szCs w:val="22"/>
                <w:highlight w:val="yellow"/>
              </w:rPr>
            </w:pPr>
            <w:r w:rsidRPr="006F6DAC">
              <w:rPr>
                <w:rFonts w:ascii="Garamond" w:hAnsi="Garamond"/>
                <w:sz w:val="22"/>
                <w:szCs w:val="22"/>
                <w:highlight w:val="yellow"/>
              </w:rPr>
              <w:t>1.3.5. &lt;</w:t>
            </w:r>
            <w:r w:rsidRPr="006F6DAC">
              <w:rPr>
                <w:rFonts w:ascii="Garamond" w:hAnsi="Garamond"/>
                <w:sz w:val="22"/>
                <w:szCs w:val="22"/>
                <w:highlight w:val="yellow"/>
                <w:lang w:val="en-US"/>
              </w:rPr>
              <w:t>measuringobject</w:t>
            </w:r>
            <w:r w:rsidRPr="006F6DAC">
              <w:rPr>
                <w:rFonts w:ascii="Garamond" w:hAnsi="Garamond"/>
                <w:sz w:val="22"/>
                <w:szCs w:val="22"/>
                <w:highlight w:val="yellow"/>
              </w:rPr>
              <w:t>&gt;</w:t>
            </w:r>
          </w:p>
          <w:p w14:paraId="331230D5" w14:textId="77777777" w:rsidR="00F11A8B" w:rsidRPr="006F6DAC" w:rsidRDefault="00F11A8B" w:rsidP="00F11A8B">
            <w:pPr>
              <w:tabs>
                <w:tab w:val="left" w:pos="1080"/>
              </w:tabs>
              <w:spacing w:line="276" w:lineRule="auto"/>
              <w:ind w:firstLine="539"/>
              <w:jc w:val="both"/>
              <w:rPr>
                <w:rFonts w:ascii="Garamond" w:hAnsi="Garamond"/>
                <w:sz w:val="22"/>
                <w:szCs w:val="22"/>
                <w:highlight w:val="yellow"/>
              </w:rPr>
            </w:pPr>
            <w:r w:rsidRPr="006F6DAC">
              <w:rPr>
                <w:rFonts w:ascii="Garamond" w:hAnsi="Garamond"/>
                <w:sz w:val="22"/>
                <w:szCs w:val="22"/>
                <w:highlight w:val="yellow"/>
              </w:rPr>
              <w:t>Элемент &lt;</w:t>
            </w:r>
            <w:r w:rsidRPr="006F6DAC">
              <w:rPr>
                <w:rFonts w:ascii="Garamond" w:hAnsi="Garamond"/>
                <w:sz w:val="22"/>
                <w:szCs w:val="22"/>
                <w:highlight w:val="yellow"/>
                <w:lang w:val="en-US"/>
              </w:rPr>
              <w:t>measuringobject</w:t>
            </w:r>
            <w:r w:rsidRPr="006F6DAC">
              <w:rPr>
                <w:rFonts w:ascii="Garamond" w:hAnsi="Garamond"/>
                <w:sz w:val="22"/>
                <w:szCs w:val="22"/>
                <w:highlight w:val="yellow"/>
              </w:rPr>
              <w:t>&gt; содержит сведения о состоянии объекта измерений. Является обязательным при наличии в &lt;area&gt; объектов измерений. При отправке информации о состоянии объектов измерений в данном документе количество элементов &lt;measuringobject&gt; должно соответствовать количеству объектов измерений в &lt;area&gt;. Атрибутами элемента &lt;</w:t>
            </w:r>
            <w:r w:rsidRPr="006F6DAC">
              <w:rPr>
                <w:rFonts w:ascii="Garamond" w:hAnsi="Garamond"/>
                <w:sz w:val="22"/>
                <w:szCs w:val="22"/>
                <w:highlight w:val="yellow"/>
                <w:lang w:val="en-US"/>
              </w:rPr>
              <w:t>measuringobject</w:t>
            </w:r>
            <w:r w:rsidRPr="006F6DAC">
              <w:rPr>
                <w:rFonts w:ascii="Garamond" w:hAnsi="Garamond"/>
                <w:sz w:val="22"/>
                <w:szCs w:val="22"/>
                <w:highlight w:val="yellow"/>
              </w:rPr>
              <w:t>&gt; являются:</w:t>
            </w:r>
          </w:p>
          <w:p w14:paraId="5BE822A2" w14:textId="77777777" w:rsidR="00F11A8B" w:rsidRPr="006F6DAC" w:rsidRDefault="00F11A8B" w:rsidP="00F11A8B">
            <w:pPr>
              <w:numPr>
                <w:ilvl w:val="0"/>
                <w:numId w:val="234"/>
              </w:numPr>
              <w:tabs>
                <w:tab w:val="left" w:pos="885"/>
              </w:tabs>
              <w:suppressAutoHyphens w:val="0"/>
              <w:spacing w:line="276" w:lineRule="auto"/>
              <w:jc w:val="both"/>
              <w:rPr>
                <w:rFonts w:ascii="Garamond" w:hAnsi="Garamond"/>
                <w:sz w:val="22"/>
                <w:szCs w:val="22"/>
                <w:highlight w:val="yellow"/>
              </w:rPr>
            </w:pPr>
            <w:r w:rsidRPr="006F6DAC">
              <w:rPr>
                <w:rFonts w:ascii="Garamond" w:hAnsi="Garamond"/>
                <w:sz w:val="22"/>
                <w:szCs w:val="22"/>
                <w:highlight w:val="yellow"/>
                <w:lang w:val="en-US"/>
              </w:rPr>
              <w:t>code</w:t>
            </w:r>
            <w:r w:rsidRPr="006F6DAC">
              <w:rPr>
                <w:rFonts w:ascii="Garamond" w:hAnsi="Garamond"/>
                <w:sz w:val="22"/>
                <w:szCs w:val="22"/>
                <w:highlight w:val="yellow"/>
              </w:rPr>
              <w:t xml:space="preserve"> – является обязательным и содержит уникальный код, присвоенный КО данному объекту измерений. Длина – 15 символов;</w:t>
            </w:r>
          </w:p>
          <w:p w14:paraId="73859716" w14:textId="77777777" w:rsidR="00F11A8B" w:rsidRPr="006F6DAC" w:rsidRDefault="00F11A8B" w:rsidP="00F11A8B">
            <w:pPr>
              <w:numPr>
                <w:ilvl w:val="0"/>
                <w:numId w:val="234"/>
              </w:numPr>
              <w:tabs>
                <w:tab w:val="left" w:pos="885"/>
              </w:tabs>
              <w:suppressAutoHyphens w:val="0"/>
              <w:spacing w:line="276" w:lineRule="auto"/>
              <w:jc w:val="both"/>
              <w:rPr>
                <w:rFonts w:ascii="Garamond" w:hAnsi="Garamond"/>
                <w:sz w:val="22"/>
                <w:szCs w:val="22"/>
                <w:highlight w:val="yellow"/>
              </w:rPr>
            </w:pPr>
            <w:r w:rsidRPr="006F6DAC">
              <w:rPr>
                <w:rFonts w:ascii="Garamond" w:hAnsi="Garamond"/>
                <w:sz w:val="22"/>
                <w:szCs w:val="22"/>
                <w:highlight w:val="yellow"/>
                <w:lang w:val="en-US"/>
              </w:rPr>
              <w:t>name</w:t>
            </w:r>
            <w:r w:rsidRPr="006F6DAC">
              <w:rPr>
                <w:rFonts w:ascii="Garamond" w:hAnsi="Garamond"/>
                <w:sz w:val="22"/>
                <w:szCs w:val="22"/>
                <w:highlight w:val="yellow"/>
              </w:rPr>
              <w:t xml:space="preserve"> – является необязательным и содержит наименование данного объекта измерений;</w:t>
            </w:r>
          </w:p>
          <w:p w14:paraId="670218F5" w14:textId="23768A3D" w:rsidR="00F11A8B" w:rsidRPr="006F6DAC" w:rsidRDefault="00F11A8B" w:rsidP="00F11A8B">
            <w:pPr>
              <w:pStyle w:val="ac"/>
              <w:numPr>
                <w:ilvl w:val="0"/>
                <w:numId w:val="234"/>
              </w:numPr>
              <w:spacing w:after="160" w:line="276" w:lineRule="auto"/>
              <w:contextualSpacing/>
              <w:jc w:val="both"/>
              <w:rPr>
                <w:rFonts w:ascii="Garamond" w:hAnsi="Garamond"/>
                <w:sz w:val="22"/>
                <w:szCs w:val="22"/>
                <w:highlight w:val="yellow"/>
              </w:rPr>
            </w:pPr>
            <w:r w:rsidRPr="006F6DAC">
              <w:rPr>
                <w:rFonts w:ascii="Garamond" w:hAnsi="Garamond"/>
                <w:sz w:val="22"/>
                <w:szCs w:val="22"/>
                <w:highlight w:val="yellow"/>
                <w:lang w:val="en-US"/>
              </w:rPr>
              <w:lastRenderedPageBreak/>
              <w:t>type</w:t>
            </w:r>
            <w:r w:rsidRPr="006F6DAC">
              <w:rPr>
                <w:rFonts w:ascii="Garamond" w:hAnsi="Garamond"/>
                <w:sz w:val="22"/>
                <w:szCs w:val="22"/>
                <w:highlight w:val="yellow"/>
              </w:rPr>
              <w:t xml:space="preserve"> – тип ОИ в БД ИАСУ КУ. Является обязательным и содержит значение «1»</w:t>
            </w:r>
            <w:r w:rsidR="009B5F03" w:rsidRPr="006F6DAC">
              <w:rPr>
                <w:rFonts w:ascii="Garamond" w:hAnsi="Garamond"/>
                <w:sz w:val="22"/>
                <w:szCs w:val="22"/>
                <w:highlight w:val="yellow"/>
              </w:rPr>
              <w:t xml:space="preserve"> – </w:t>
            </w:r>
            <w:r w:rsidRPr="006F6DAC">
              <w:rPr>
                <w:rFonts w:ascii="Garamond" w:hAnsi="Garamond"/>
                <w:sz w:val="22"/>
                <w:szCs w:val="22"/>
                <w:highlight w:val="yellow"/>
              </w:rPr>
              <w:t>схема измерения.</w:t>
            </w:r>
          </w:p>
          <w:p w14:paraId="5684537B" w14:textId="77777777" w:rsidR="00F11A8B" w:rsidRPr="006F6DAC" w:rsidRDefault="00F11A8B" w:rsidP="00F11A8B">
            <w:pPr>
              <w:tabs>
                <w:tab w:val="left" w:pos="1080"/>
              </w:tabs>
              <w:spacing w:line="276" w:lineRule="auto"/>
              <w:ind w:firstLine="539"/>
              <w:jc w:val="both"/>
              <w:rPr>
                <w:rFonts w:ascii="Garamond" w:hAnsi="Garamond"/>
                <w:sz w:val="22"/>
                <w:szCs w:val="22"/>
                <w:highlight w:val="yellow"/>
              </w:rPr>
            </w:pPr>
            <w:r w:rsidRPr="006F6DAC">
              <w:rPr>
                <w:rFonts w:ascii="Garamond" w:hAnsi="Garamond"/>
                <w:sz w:val="22"/>
                <w:szCs w:val="22"/>
                <w:highlight w:val="yellow"/>
              </w:rPr>
              <w:t>Потомками элемента &lt;</w:t>
            </w:r>
            <w:r w:rsidRPr="006F6DAC">
              <w:rPr>
                <w:rFonts w:ascii="Garamond" w:hAnsi="Garamond"/>
                <w:sz w:val="22"/>
                <w:szCs w:val="22"/>
                <w:highlight w:val="yellow"/>
                <w:lang w:val="en-US"/>
              </w:rPr>
              <w:t>measuringobject</w:t>
            </w:r>
            <w:r w:rsidRPr="006F6DAC">
              <w:rPr>
                <w:rFonts w:ascii="Garamond" w:hAnsi="Garamond"/>
                <w:sz w:val="22"/>
                <w:szCs w:val="22"/>
                <w:highlight w:val="yellow"/>
              </w:rPr>
              <w:t>&gt; могут являться элементы &lt;</w:t>
            </w:r>
            <w:r w:rsidRPr="006F6DAC">
              <w:rPr>
                <w:rFonts w:ascii="Garamond" w:hAnsi="Garamond"/>
                <w:sz w:val="22"/>
                <w:szCs w:val="22"/>
                <w:highlight w:val="yellow"/>
                <w:lang w:val="en-US"/>
              </w:rPr>
              <w:t>period</w:t>
            </w:r>
            <w:r w:rsidRPr="006F6DAC">
              <w:rPr>
                <w:rFonts w:ascii="Garamond" w:hAnsi="Garamond"/>
                <w:sz w:val="22"/>
                <w:szCs w:val="22"/>
                <w:highlight w:val="yellow"/>
              </w:rPr>
              <w:t>&gt;.</w:t>
            </w:r>
          </w:p>
          <w:p w14:paraId="2D8385C7" w14:textId="77777777" w:rsidR="00F11A8B" w:rsidRPr="006F6DAC" w:rsidRDefault="00F11A8B" w:rsidP="00F11A8B">
            <w:pPr>
              <w:tabs>
                <w:tab w:val="left" w:pos="1080"/>
              </w:tabs>
              <w:spacing w:line="276" w:lineRule="auto"/>
              <w:ind w:firstLine="539"/>
              <w:jc w:val="both"/>
              <w:rPr>
                <w:rFonts w:ascii="Garamond" w:hAnsi="Garamond"/>
                <w:sz w:val="22"/>
                <w:szCs w:val="22"/>
                <w:highlight w:val="yellow"/>
              </w:rPr>
            </w:pPr>
            <w:r w:rsidRPr="006F6DAC">
              <w:rPr>
                <w:rFonts w:ascii="Garamond" w:hAnsi="Garamond"/>
                <w:sz w:val="22"/>
                <w:szCs w:val="22"/>
                <w:highlight w:val="yellow"/>
              </w:rPr>
              <w:t>1.3.5.1. &lt;</w:t>
            </w:r>
            <w:r w:rsidRPr="006F6DAC">
              <w:rPr>
                <w:rFonts w:ascii="Garamond" w:hAnsi="Garamond"/>
                <w:sz w:val="22"/>
                <w:szCs w:val="22"/>
                <w:highlight w:val="yellow"/>
                <w:lang w:val="en-US"/>
              </w:rPr>
              <w:t>period</w:t>
            </w:r>
            <w:r w:rsidRPr="006F6DAC">
              <w:rPr>
                <w:rFonts w:ascii="Garamond" w:hAnsi="Garamond"/>
                <w:sz w:val="22"/>
                <w:szCs w:val="22"/>
                <w:highlight w:val="yellow"/>
              </w:rPr>
              <w:t>&gt;</w:t>
            </w:r>
          </w:p>
          <w:p w14:paraId="29AFF2F2" w14:textId="77777777" w:rsidR="00F11A8B" w:rsidRPr="006F6DAC" w:rsidRDefault="00F11A8B" w:rsidP="00F11A8B">
            <w:pPr>
              <w:tabs>
                <w:tab w:val="left" w:pos="1080"/>
              </w:tabs>
              <w:spacing w:line="276" w:lineRule="auto"/>
              <w:ind w:firstLine="539"/>
              <w:jc w:val="both"/>
              <w:rPr>
                <w:rFonts w:ascii="Garamond" w:hAnsi="Garamond"/>
                <w:sz w:val="22"/>
                <w:szCs w:val="22"/>
                <w:highlight w:val="yellow"/>
              </w:rPr>
            </w:pPr>
            <w:r w:rsidRPr="006F6DAC">
              <w:rPr>
                <w:rFonts w:ascii="Garamond" w:hAnsi="Garamond"/>
                <w:sz w:val="22"/>
                <w:szCs w:val="22"/>
                <w:highlight w:val="yellow"/>
              </w:rPr>
              <w:t>Элемент &lt;period&gt; содержит временной диапазон нахождения объекта измерений в определенном состоянии. У каждого элемента &lt;measuringobject&gt; должен быть как минимум один элемент &lt;period&gt;. Атрибутами элемента &lt;period&gt; являются:</w:t>
            </w:r>
          </w:p>
          <w:p w14:paraId="5E07E49C" w14:textId="022EA216" w:rsidR="00F11A8B" w:rsidRPr="006F6DAC" w:rsidRDefault="00F11A8B" w:rsidP="00F11A8B">
            <w:pPr>
              <w:numPr>
                <w:ilvl w:val="0"/>
                <w:numId w:val="234"/>
              </w:numPr>
              <w:tabs>
                <w:tab w:val="left" w:pos="885"/>
              </w:tabs>
              <w:suppressAutoHyphens w:val="0"/>
              <w:spacing w:line="276" w:lineRule="auto"/>
              <w:jc w:val="both"/>
              <w:rPr>
                <w:rFonts w:ascii="Garamond" w:hAnsi="Garamond"/>
                <w:sz w:val="22"/>
                <w:szCs w:val="22"/>
                <w:highlight w:val="yellow"/>
              </w:rPr>
            </w:pPr>
            <w:r w:rsidRPr="006F6DAC">
              <w:rPr>
                <w:rFonts w:ascii="Garamond" w:hAnsi="Garamond"/>
                <w:sz w:val="22"/>
                <w:szCs w:val="22"/>
                <w:highlight w:val="yellow"/>
                <w:lang w:val="en-US"/>
              </w:rPr>
              <w:t>start</w:t>
            </w:r>
            <w:r w:rsidRPr="006F6DAC">
              <w:rPr>
                <w:rFonts w:ascii="Garamond" w:hAnsi="Garamond"/>
                <w:sz w:val="22"/>
                <w:szCs w:val="22"/>
                <w:highlight w:val="yellow"/>
              </w:rPr>
              <w:t xml:space="preserve"> – является обязательным и содержит дату и время начала периода, в формате «ччмм», где </w:t>
            </w:r>
            <w:r w:rsidR="002F56EF">
              <w:rPr>
                <w:rFonts w:ascii="Garamond" w:hAnsi="Garamond"/>
                <w:sz w:val="22"/>
                <w:szCs w:val="22"/>
                <w:highlight w:val="yellow"/>
              </w:rPr>
              <w:t>«</w:t>
            </w:r>
            <w:r w:rsidRPr="006F6DAC">
              <w:rPr>
                <w:rFonts w:ascii="Garamond" w:hAnsi="Garamond"/>
                <w:sz w:val="22"/>
                <w:szCs w:val="22"/>
                <w:highlight w:val="yellow"/>
              </w:rPr>
              <w:t>чч</w:t>
            </w:r>
            <w:r w:rsidR="002F56EF">
              <w:rPr>
                <w:rFonts w:ascii="Garamond" w:hAnsi="Garamond"/>
                <w:sz w:val="22"/>
                <w:szCs w:val="22"/>
                <w:highlight w:val="yellow"/>
              </w:rPr>
              <w:t>»</w:t>
            </w:r>
            <w:r w:rsidRPr="006F6DAC">
              <w:rPr>
                <w:rFonts w:ascii="Garamond" w:hAnsi="Garamond"/>
                <w:sz w:val="22"/>
                <w:szCs w:val="22"/>
                <w:highlight w:val="yellow"/>
              </w:rPr>
              <w:t xml:space="preserve"> – часы, </w:t>
            </w:r>
            <w:r w:rsidR="002F56EF">
              <w:rPr>
                <w:rFonts w:ascii="Garamond" w:hAnsi="Garamond"/>
                <w:sz w:val="22"/>
                <w:szCs w:val="22"/>
                <w:highlight w:val="yellow"/>
              </w:rPr>
              <w:t>«</w:t>
            </w:r>
            <w:r w:rsidRPr="006F6DAC">
              <w:rPr>
                <w:rFonts w:ascii="Garamond" w:hAnsi="Garamond"/>
                <w:sz w:val="22"/>
                <w:szCs w:val="22"/>
                <w:highlight w:val="yellow"/>
              </w:rPr>
              <w:t>мм</w:t>
            </w:r>
            <w:r w:rsidR="002F56EF">
              <w:rPr>
                <w:rFonts w:ascii="Garamond" w:hAnsi="Garamond"/>
                <w:sz w:val="22"/>
                <w:szCs w:val="22"/>
                <w:highlight w:val="yellow"/>
              </w:rPr>
              <w:t>»</w:t>
            </w:r>
            <w:r w:rsidRPr="006F6DAC">
              <w:rPr>
                <w:rFonts w:ascii="Garamond" w:hAnsi="Garamond"/>
                <w:sz w:val="22"/>
                <w:szCs w:val="22"/>
                <w:highlight w:val="yellow"/>
              </w:rPr>
              <w:t xml:space="preserve"> – минуты;</w:t>
            </w:r>
          </w:p>
          <w:p w14:paraId="6FDA2570" w14:textId="53AEBA19" w:rsidR="00F11A8B" w:rsidRPr="006F6DAC" w:rsidRDefault="00F11A8B" w:rsidP="00F11A8B">
            <w:pPr>
              <w:numPr>
                <w:ilvl w:val="0"/>
                <w:numId w:val="234"/>
              </w:numPr>
              <w:tabs>
                <w:tab w:val="left" w:pos="885"/>
              </w:tabs>
              <w:suppressAutoHyphens w:val="0"/>
              <w:spacing w:line="276" w:lineRule="auto"/>
              <w:jc w:val="both"/>
              <w:rPr>
                <w:rFonts w:ascii="Garamond" w:hAnsi="Garamond"/>
                <w:sz w:val="22"/>
                <w:szCs w:val="22"/>
                <w:highlight w:val="yellow"/>
              </w:rPr>
            </w:pPr>
            <w:r w:rsidRPr="006F6DAC">
              <w:rPr>
                <w:rFonts w:ascii="Garamond" w:hAnsi="Garamond"/>
                <w:sz w:val="22"/>
                <w:szCs w:val="22"/>
                <w:highlight w:val="yellow"/>
                <w:lang w:val="en-US"/>
              </w:rPr>
              <w:t>end</w:t>
            </w:r>
            <w:r w:rsidRPr="006F6DAC">
              <w:rPr>
                <w:rFonts w:ascii="Garamond" w:hAnsi="Garamond"/>
                <w:sz w:val="22"/>
                <w:szCs w:val="22"/>
                <w:highlight w:val="yellow"/>
              </w:rPr>
              <w:t xml:space="preserve"> – является обязательным и содержит дату и время конца периода, в формате «ччмм», где </w:t>
            </w:r>
            <w:r w:rsidR="002F56EF">
              <w:rPr>
                <w:rFonts w:ascii="Garamond" w:hAnsi="Garamond"/>
                <w:sz w:val="22"/>
                <w:szCs w:val="22"/>
                <w:highlight w:val="yellow"/>
              </w:rPr>
              <w:t>«</w:t>
            </w:r>
            <w:r w:rsidRPr="006F6DAC">
              <w:rPr>
                <w:rFonts w:ascii="Garamond" w:hAnsi="Garamond"/>
                <w:sz w:val="22"/>
                <w:szCs w:val="22"/>
                <w:highlight w:val="yellow"/>
              </w:rPr>
              <w:t>чч</w:t>
            </w:r>
            <w:r w:rsidR="002F56EF">
              <w:rPr>
                <w:rFonts w:ascii="Garamond" w:hAnsi="Garamond"/>
                <w:sz w:val="22"/>
                <w:szCs w:val="22"/>
                <w:highlight w:val="yellow"/>
              </w:rPr>
              <w:t>»</w:t>
            </w:r>
            <w:r w:rsidRPr="006F6DAC">
              <w:rPr>
                <w:rFonts w:ascii="Garamond" w:hAnsi="Garamond"/>
                <w:sz w:val="22"/>
                <w:szCs w:val="22"/>
                <w:highlight w:val="yellow"/>
              </w:rPr>
              <w:t xml:space="preserve"> – часы, </w:t>
            </w:r>
            <w:r w:rsidR="002F56EF">
              <w:rPr>
                <w:rFonts w:ascii="Garamond" w:hAnsi="Garamond"/>
                <w:sz w:val="22"/>
                <w:szCs w:val="22"/>
                <w:highlight w:val="yellow"/>
              </w:rPr>
              <w:t>«</w:t>
            </w:r>
            <w:r w:rsidRPr="006F6DAC">
              <w:rPr>
                <w:rFonts w:ascii="Garamond" w:hAnsi="Garamond"/>
                <w:sz w:val="22"/>
                <w:szCs w:val="22"/>
                <w:highlight w:val="yellow"/>
              </w:rPr>
              <w:t>мм</w:t>
            </w:r>
            <w:r w:rsidR="002F56EF">
              <w:rPr>
                <w:rFonts w:ascii="Garamond" w:hAnsi="Garamond"/>
                <w:sz w:val="22"/>
                <w:szCs w:val="22"/>
                <w:highlight w:val="yellow"/>
              </w:rPr>
              <w:t>»</w:t>
            </w:r>
            <w:r w:rsidRPr="006F6DAC">
              <w:rPr>
                <w:rFonts w:ascii="Garamond" w:hAnsi="Garamond"/>
                <w:sz w:val="22"/>
                <w:szCs w:val="22"/>
                <w:highlight w:val="yellow"/>
              </w:rPr>
              <w:t xml:space="preserve"> – минуты.</w:t>
            </w:r>
          </w:p>
          <w:p w14:paraId="1EDB21B1" w14:textId="77777777" w:rsidR="00F11A8B" w:rsidRPr="006F6DAC" w:rsidRDefault="00F11A8B" w:rsidP="00F11A8B">
            <w:pPr>
              <w:tabs>
                <w:tab w:val="left" w:pos="1080"/>
              </w:tabs>
              <w:spacing w:line="276" w:lineRule="auto"/>
              <w:ind w:firstLine="539"/>
              <w:jc w:val="both"/>
              <w:rPr>
                <w:rFonts w:ascii="Garamond" w:hAnsi="Garamond"/>
                <w:sz w:val="22"/>
                <w:szCs w:val="22"/>
                <w:highlight w:val="yellow"/>
              </w:rPr>
            </w:pPr>
            <w:r w:rsidRPr="006F6DAC">
              <w:rPr>
                <w:rFonts w:ascii="Garamond" w:hAnsi="Garamond"/>
                <w:sz w:val="22"/>
                <w:szCs w:val="22"/>
                <w:highlight w:val="yellow"/>
              </w:rPr>
              <w:t xml:space="preserve">Последний интервал в операционных сутках записывается в виде </w:t>
            </w:r>
            <w:r w:rsidRPr="006F6DAC">
              <w:rPr>
                <w:rFonts w:ascii="Garamond" w:hAnsi="Garamond"/>
                <w:sz w:val="22"/>
                <w:szCs w:val="22"/>
                <w:highlight w:val="yellow"/>
                <w:lang w:val="en-US" w:eastAsia="zh-CN"/>
              </w:rPr>
              <w:t>start</w:t>
            </w:r>
            <w:r w:rsidRPr="006F6DAC">
              <w:rPr>
                <w:rFonts w:ascii="Garamond" w:hAnsi="Garamond"/>
                <w:sz w:val="22"/>
                <w:szCs w:val="22"/>
                <w:highlight w:val="yellow"/>
                <w:lang w:eastAsia="zh-CN"/>
              </w:rPr>
              <w:t xml:space="preserve">=время начала периода, </w:t>
            </w:r>
            <w:r w:rsidRPr="006F6DAC">
              <w:rPr>
                <w:rFonts w:ascii="Garamond" w:hAnsi="Garamond"/>
                <w:sz w:val="22"/>
                <w:szCs w:val="22"/>
                <w:highlight w:val="yellow"/>
                <w:lang w:val="en-US" w:eastAsia="zh-CN"/>
              </w:rPr>
              <w:t>end</w:t>
            </w:r>
            <w:r w:rsidRPr="006F6DAC">
              <w:rPr>
                <w:rFonts w:ascii="Garamond" w:hAnsi="Garamond"/>
                <w:sz w:val="22"/>
                <w:szCs w:val="22"/>
                <w:highlight w:val="yellow"/>
                <w:lang w:eastAsia="zh-CN"/>
              </w:rPr>
              <w:t>=0000.</w:t>
            </w:r>
            <w:r w:rsidRPr="006F6DAC">
              <w:rPr>
                <w:rFonts w:ascii="Garamond" w:hAnsi="Garamond"/>
                <w:sz w:val="22"/>
                <w:szCs w:val="22"/>
                <w:highlight w:val="yellow"/>
              </w:rPr>
              <w:t xml:space="preserve"> Временной интервал указывается в границах суток. Если в течение суток состояние объекта измерений не менялось, то интервал записывается в виде start=0000 end=0000.</w:t>
            </w:r>
          </w:p>
          <w:p w14:paraId="57A83B45" w14:textId="77777777" w:rsidR="00F11A8B" w:rsidRPr="006F6DAC" w:rsidRDefault="00F11A8B" w:rsidP="00F11A8B">
            <w:pPr>
              <w:tabs>
                <w:tab w:val="left" w:pos="1080"/>
              </w:tabs>
              <w:spacing w:line="276" w:lineRule="auto"/>
              <w:ind w:firstLine="539"/>
              <w:jc w:val="both"/>
              <w:rPr>
                <w:rFonts w:ascii="Garamond" w:hAnsi="Garamond"/>
                <w:sz w:val="22"/>
                <w:szCs w:val="22"/>
                <w:highlight w:val="yellow"/>
              </w:rPr>
            </w:pPr>
            <w:r w:rsidRPr="006F6DAC">
              <w:rPr>
                <w:rFonts w:ascii="Garamond" w:hAnsi="Garamond"/>
                <w:sz w:val="22"/>
                <w:szCs w:val="22"/>
                <w:highlight w:val="yellow"/>
              </w:rPr>
              <w:t>Потомками элемента &lt;period&gt; являются элементы &lt;value&gt;, значения которых и определяют состояние, в котором находится объект, информация о состояние которого передается.</w:t>
            </w:r>
          </w:p>
          <w:p w14:paraId="6BF6BA34" w14:textId="77777777" w:rsidR="00F11A8B" w:rsidRPr="006F6DAC" w:rsidRDefault="00F11A8B" w:rsidP="00F11A8B">
            <w:pPr>
              <w:tabs>
                <w:tab w:val="left" w:pos="1080"/>
              </w:tabs>
              <w:spacing w:line="276" w:lineRule="auto"/>
              <w:ind w:firstLine="539"/>
              <w:jc w:val="both"/>
              <w:rPr>
                <w:rFonts w:ascii="Garamond" w:hAnsi="Garamond"/>
                <w:sz w:val="22"/>
                <w:szCs w:val="22"/>
                <w:highlight w:val="yellow"/>
              </w:rPr>
            </w:pPr>
            <w:r w:rsidRPr="006F6DAC">
              <w:rPr>
                <w:rFonts w:ascii="Garamond" w:hAnsi="Garamond"/>
                <w:sz w:val="22"/>
                <w:szCs w:val="22"/>
                <w:highlight w:val="yellow"/>
              </w:rPr>
              <w:t>1.3.5.1.1. &lt;value&gt;</w:t>
            </w:r>
          </w:p>
          <w:p w14:paraId="73524B8F" w14:textId="77777777" w:rsidR="00F11A8B" w:rsidRPr="006F6DAC" w:rsidRDefault="00F11A8B" w:rsidP="00F11A8B">
            <w:pPr>
              <w:tabs>
                <w:tab w:val="left" w:pos="1080"/>
              </w:tabs>
              <w:spacing w:line="276" w:lineRule="auto"/>
              <w:ind w:firstLine="539"/>
              <w:jc w:val="both"/>
              <w:rPr>
                <w:rFonts w:ascii="Garamond" w:hAnsi="Garamond"/>
                <w:sz w:val="22"/>
                <w:szCs w:val="22"/>
                <w:highlight w:val="yellow"/>
              </w:rPr>
            </w:pPr>
            <w:r w:rsidRPr="006F6DAC">
              <w:rPr>
                <w:rFonts w:ascii="Garamond" w:hAnsi="Garamond"/>
                <w:sz w:val="22"/>
                <w:szCs w:val="22"/>
                <w:highlight w:val="yellow"/>
              </w:rPr>
              <w:t>Содержимым элемента &lt;value&gt; является значение, присвоенное КО данному состоянию объекта измерений. Атрибутом элемента &lt;</w:t>
            </w:r>
            <w:r w:rsidRPr="006F6DAC">
              <w:rPr>
                <w:rFonts w:ascii="Garamond" w:hAnsi="Garamond"/>
                <w:sz w:val="22"/>
                <w:szCs w:val="22"/>
                <w:highlight w:val="yellow"/>
                <w:lang w:val="en-US"/>
              </w:rPr>
              <w:t>value</w:t>
            </w:r>
            <w:r w:rsidRPr="006F6DAC">
              <w:rPr>
                <w:rFonts w:ascii="Garamond" w:hAnsi="Garamond"/>
                <w:sz w:val="22"/>
                <w:szCs w:val="22"/>
                <w:highlight w:val="yellow"/>
              </w:rPr>
              <w:t xml:space="preserve">&gt; является </w:t>
            </w:r>
            <w:r w:rsidRPr="006F6DAC">
              <w:rPr>
                <w:rFonts w:ascii="Garamond" w:hAnsi="Garamond"/>
                <w:sz w:val="22"/>
                <w:szCs w:val="22"/>
                <w:highlight w:val="yellow"/>
                <w:lang w:val="en-US"/>
              </w:rPr>
              <w:t>status</w:t>
            </w:r>
            <w:r w:rsidRPr="006F6DAC">
              <w:rPr>
                <w:rFonts w:ascii="Garamond" w:hAnsi="Garamond"/>
                <w:sz w:val="22"/>
                <w:szCs w:val="22"/>
                <w:highlight w:val="yellow"/>
              </w:rPr>
              <w:t xml:space="preserve">. </w:t>
            </w:r>
            <w:r w:rsidRPr="006F6DAC">
              <w:rPr>
                <w:rFonts w:ascii="Garamond" w:hAnsi="Garamond"/>
                <w:spacing w:val="1"/>
                <w:sz w:val="22"/>
                <w:szCs w:val="22"/>
                <w:highlight w:val="yellow"/>
              </w:rPr>
              <w:t xml:space="preserve">Содержимое атрибута </w:t>
            </w:r>
            <w:r w:rsidRPr="006F6DAC">
              <w:rPr>
                <w:rFonts w:ascii="Garamond" w:hAnsi="Garamond"/>
                <w:spacing w:val="1"/>
                <w:sz w:val="22"/>
                <w:szCs w:val="22"/>
                <w:highlight w:val="yellow"/>
                <w:lang w:val="en-US"/>
              </w:rPr>
              <w:t>status</w:t>
            </w:r>
            <w:r w:rsidRPr="006F6DAC">
              <w:rPr>
                <w:rFonts w:ascii="Garamond" w:hAnsi="Garamond"/>
                <w:spacing w:val="1"/>
                <w:sz w:val="22"/>
                <w:szCs w:val="22"/>
                <w:highlight w:val="yellow"/>
              </w:rPr>
              <w:t xml:space="preserve"> элемента показывает статус передаваемой информации. Статус 0 означает, что передаваемая информация имеет статус коммерческой. В этом случае атрибут статус может отсутствовать. Значение атрибута 1 означает, что данную информацию нельзя использовать в коммерческих расчетах.</w:t>
            </w:r>
          </w:p>
          <w:p w14:paraId="372991BB" w14:textId="77777777" w:rsidR="00F11A8B" w:rsidRPr="006F6DAC" w:rsidRDefault="00F11A8B" w:rsidP="00F11A8B">
            <w:pPr>
              <w:tabs>
                <w:tab w:val="left" w:pos="1080"/>
              </w:tabs>
              <w:spacing w:before="120" w:after="120"/>
              <w:ind w:firstLine="539"/>
              <w:jc w:val="both"/>
              <w:rPr>
                <w:rFonts w:ascii="Garamond" w:hAnsi="Garamond"/>
                <w:sz w:val="22"/>
                <w:szCs w:val="22"/>
                <w:highlight w:val="yellow"/>
              </w:rPr>
            </w:pPr>
            <w:r w:rsidRPr="006F6DAC">
              <w:rPr>
                <w:rFonts w:ascii="Garamond" w:hAnsi="Garamond"/>
                <w:sz w:val="22"/>
                <w:szCs w:val="22"/>
                <w:highlight w:val="yellow"/>
              </w:rPr>
              <w:t>1.3.6. &lt;</w:t>
            </w:r>
            <w:r w:rsidRPr="006F6DAC">
              <w:rPr>
                <w:rFonts w:ascii="Garamond" w:hAnsi="Garamond"/>
                <w:sz w:val="22"/>
                <w:szCs w:val="22"/>
                <w:highlight w:val="yellow"/>
                <w:lang w:val="en-US"/>
              </w:rPr>
              <w:t>regulation</w:t>
            </w:r>
            <w:r w:rsidRPr="006F6DAC">
              <w:rPr>
                <w:rFonts w:ascii="Garamond" w:hAnsi="Garamond"/>
                <w:sz w:val="22"/>
                <w:szCs w:val="22"/>
                <w:highlight w:val="yellow"/>
              </w:rPr>
              <w:t>-</w:t>
            </w:r>
            <w:r w:rsidRPr="006F6DAC">
              <w:rPr>
                <w:rFonts w:ascii="Garamond" w:hAnsi="Garamond"/>
                <w:sz w:val="22"/>
                <w:szCs w:val="22"/>
                <w:highlight w:val="yellow"/>
                <w:lang w:val="en-US"/>
              </w:rPr>
              <w:t>object</w:t>
            </w:r>
            <w:r w:rsidRPr="006F6DAC">
              <w:rPr>
                <w:rFonts w:ascii="Garamond" w:hAnsi="Garamond"/>
                <w:sz w:val="22"/>
                <w:szCs w:val="22"/>
                <w:highlight w:val="yellow"/>
              </w:rPr>
              <w:t>&gt;</w:t>
            </w:r>
          </w:p>
          <w:p w14:paraId="50C8723F" w14:textId="77777777" w:rsidR="00F11A8B" w:rsidRPr="006F6DAC" w:rsidRDefault="00F11A8B" w:rsidP="00F11A8B">
            <w:pPr>
              <w:tabs>
                <w:tab w:val="left" w:pos="1080"/>
              </w:tabs>
              <w:spacing w:before="120" w:after="120"/>
              <w:ind w:firstLine="539"/>
              <w:jc w:val="both"/>
              <w:rPr>
                <w:rFonts w:ascii="Garamond" w:hAnsi="Garamond"/>
                <w:sz w:val="22"/>
                <w:szCs w:val="22"/>
                <w:highlight w:val="yellow"/>
              </w:rPr>
            </w:pPr>
            <w:r w:rsidRPr="006F6DAC">
              <w:rPr>
                <w:rFonts w:ascii="Garamond" w:hAnsi="Garamond"/>
                <w:sz w:val="22"/>
                <w:szCs w:val="22"/>
                <w:highlight w:val="yellow"/>
              </w:rPr>
              <w:t>Элемент &lt;</w:t>
            </w:r>
            <w:r w:rsidRPr="006F6DAC">
              <w:rPr>
                <w:rFonts w:ascii="Garamond" w:hAnsi="Garamond"/>
                <w:sz w:val="22"/>
                <w:szCs w:val="22"/>
                <w:highlight w:val="yellow"/>
                <w:lang w:val="en-US"/>
              </w:rPr>
              <w:t>regulation</w:t>
            </w:r>
            <w:r w:rsidRPr="006F6DAC">
              <w:rPr>
                <w:rFonts w:ascii="Garamond" w:hAnsi="Garamond"/>
                <w:sz w:val="22"/>
                <w:szCs w:val="22"/>
                <w:highlight w:val="yellow"/>
              </w:rPr>
              <w:t>-</w:t>
            </w:r>
            <w:r w:rsidRPr="006F6DAC">
              <w:rPr>
                <w:rFonts w:ascii="Garamond" w:hAnsi="Garamond"/>
                <w:sz w:val="22"/>
                <w:szCs w:val="22"/>
                <w:highlight w:val="yellow"/>
                <w:lang w:val="en-US"/>
              </w:rPr>
              <w:t>object</w:t>
            </w:r>
            <w:r w:rsidRPr="006F6DAC">
              <w:rPr>
                <w:rFonts w:ascii="Garamond" w:hAnsi="Garamond"/>
                <w:sz w:val="22"/>
                <w:szCs w:val="22"/>
                <w:highlight w:val="yellow"/>
              </w:rPr>
              <w:t>&gt; содержит информацию о результатах измерений по ОР.</w:t>
            </w:r>
          </w:p>
          <w:p w14:paraId="34D3C762" w14:textId="77777777" w:rsidR="00F11A8B" w:rsidRPr="006F6DAC" w:rsidRDefault="00F11A8B" w:rsidP="00F11A8B">
            <w:pPr>
              <w:tabs>
                <w:tab w:val="left" w:pos="1080"/>
              </w:tabs>
              <w:spacing w:before="120" w:after="120"/>
              <w:ind w:firstLine="539"/>
              <w:jc w:val="both"/>
              <w:rPr>
                <w:rFonts w:ascii="Garamond" w:hAnsi="Garamond"/>
                <w:sz w:val="22"/>
                <w:szCs w:val="22"/>
                <w:highlight w:val="yellow"/>
              </w:rPr>
            </w:pPr>
            <w:r w:rsidRPr="006F6DAC">
              <w:rPr>
                <w:rFonts w:ascii="Garamond" w:hAnsi="Garamond"/>
                <w:sz w:val="22"/>
                <w:szCs w:val="22"/>
                <w:highlight w:val="yellow"/>
              </w:rPr>
              <w:lastRenderedPageBreak/>
              <w:t>Атрибуты элемента &lt;</w:t>
            </w:r>
            <w:r w:rsidRPr="006F6DAC">
              <w:rPr>
                <w:rFonts w:ascii="Garamond" w:hAnsi="Garamond"/>
                <w:sz w:val="22"/>
                <w:szCs w:val="22"/>
                <w:highlight w:val="yellow"/>
                <w:lang w:val="en-US"/>
              </w:rPr>
              <w:t>regulation</w:t>
            </w:r>
            <w:r w:rsidRPr="006F6DAC">
              <w:rPr>
                <w:rFonts w:ascii="Garamond" w:hAnsi="Garamond"/>
                <w:sz w:val="22"/>
                <w:szCs w:val="22"/>
                <w:highlight w:val="yellow"/>
              </w:rPr>
              <w:t>-</w:t>
            </w:r>
            <w:r w:rsidRPr="006F6DAC">
              <w:rPr>
                <w:rFonts w:ascii="Garamond" w:hAnsi="Garamond"/>
                <w:sz w:val="22"/>
                <w:szCs w:val="22"/>
                <w:highlight w:val="yellow"/>
                <w:lang w:val="en-US"/>
              </w:rPr>
              <w:t>object</w:t>
            </w:r>
            <w:r w:rsidRPr="006F6DAC">
              <w:rPr>
                <w:rFonts w:ascii="Garamond" w:hAnsi="Garamond"/>
                <w:sz w:val="22"/>
                <w:szCs w:val="22"/>
                <w:highlight w:val="yellow"/>
              </w:rPr>
              <w:t>&gt;:</w:t>
            </w:r>
          </w:p>
          <w:p w14:paraId="3B94D50A" w14:textId="77777777" w:rsidR="00F11A8B" w:rsidRPr="006F6DAC" w:rsidRDefault="00F11A8B" w:rsidP="00F11A8B">
            <w:pPr>
              <w:numPr>
                <w:ilvl w:val="0"/>
                <w:numId w:val="234"/>
              </w:numPr>
              <w:tabs>
                <w:tab w:val="left" w:pos="885"/>
              </w:tabs>
              <w:suppressAutoHyphens w:val="0"/>
              <w:spacing w:before="120" w:after="120"/>
              <w:jc w:val="both"/>
              <w:rPr>
                <w:rFonts w:ascii="Garamond" w:hAnsi="Garamond"/>
                <w:sz w:val="22"/>
                <w:szCs w:val="22"/>
                <w:highlight w:val="yellow"/>
              </w:rPr>
            </w:pPr>
            <w:r w:rsidRPr="006F6DAC">
              <w:rPr>
                <w:rFonts w:ascii="Garamond" w:hAnsi="Garamond"/>
                <w:sz w:val="22"/>
                <w:szCs w:val="22"/>
                <w:highlight w:val="yellow"/>
                <w:lang w:val="en-US"/>
              </w:rPr>
              <w:t>code</w:t>
            </w:r>
            <w:r w:rsidRPr="006F6DAC">
              <w:rPr>
                <w:rFonts w:ascii="Garamond" w:hAnsi="Garamond"/>
                <w:sz w:val="22"/>
                <w:szCs w:val="22"/>
                <w:highlight w:val="yellow"/>
              </w:rPr>
              <w:t xml:space="preserve"> – содержит уникальный буквенный код, присвоенный КО ОР;</w:t>
            </w:r>
          </w:p>
          <w:p w14:paraId="57BDC3B0" w14:textId="77777777" w:rsidR="00F11A8B" w:rsidRPr="006F6DAC" w:rsidRDefault="00F11A8B" w:rsidP="00F11A8B">
            <w:pPr>
              <w:numPr>
                <w:ilvl w:val="0"/>
                <w:numId w:val="234"/>
              </w:numPr>
              <w:tabs>
                <w:tab w:val="left" w:pos="885"/>
              </w:tabs>
              <w:suppressAutoHyphens w:val="0"/>
              <w:spacing w:before="120" w:after="120"/>
              <w:jc w:val="both"/>
              <w:rPr>
                <w:rFonts w:ascii="Garamond" w:hAnsi="Garamond"/>
                <w:sz w:val="22"/>
                <w:szCs w:val="22"/>
                <w:highlight w:val="yellow"/>
              </w:rPr>
            </w:pPr>
            <w:r w:rsidRPr="006F6DAC">
              <w:rPr>
                <w:rFonts w:ascii="Garamond" w:hAnsi="Garamond"/>
                <w:sz w:val="22"/>
                <w:szCs w:val="22"/>
                <w:highlight w:val="yellow"/>
                <w:lang w:val="en-US"/>
              </w:rPr>
              <w:t>algorithmversion</w:t>
            </w:r>
            <w:r w:rsidRPr="006F6DAC">
              <w:rPr>
                <w:rFonts w:ascii="Garamond" w:hAnsi="Garamond"/>
                <w:sz w:val="22"/>
                <w:szCs w:val="22"/>
                <w:highlight w:val="yellow"/>
              </w:rPr>
              <w:t xml:space="preserve"> – содержит номер версии алгоритма расчета ОР и является обязательным. Отсутствие атрибута </w:t>
            </w:r>
            <w:r w:rsidRPr="006F6DAC">
              <w:rPr>
                <w:rFonts w:ascii="Garamond" w:hAnsi="Garamond"/>
                <w:sz w:val="22"/>
                <w:szCs w:val="22"/>
                <w:highlight w:val="yellow"/>
                <w:lang w:val="en-US"/>
              </w:rPr>
              <w:t>algorithmversion</w:t>
            </w:r>
            <w:r w:rsidRPr="006F6DAC">
              <w:rPr>
                <w:rFonts w:ascii="Garamond" w:hAnsi="Garamond"/>
                <w:sz w:val="22"/>
                <w:szCs w:val="22"/>
                <w:highlight w:val="yellow"/>
              </w:rPr>
              <w:t xml:space="preserve"> эквивалентно записи </w:t>
            </w:r>
            <w:r w:rsidRPr="006F6DAC">
              <w:rPr>
                <w:rFonts w:ascii="Garamond" w:hAnsi="Garamond"/>
                <w:sz w:val="22"/>
                <w:szCs w:val="22"/>
                <w:highlight w:val="yellow"/>
                <w:lang w:val="en-US"/>
              </w:rPr>
              <w:t>algorithmversion</w:t>
            </w:r>
            <w:r w:rsidRPr="006F6DAC">
              <w:rPr>
                <w:rFonts w:ascii="Garamond" w:hAnsi="Garamond"/>
                <w:sz w:val="22"/>
                <w:szCs w:val="22"/>
                <w:highlight w:val="yellow"/>
              </w:rPr>
              <w:t>=«1»;</w:t>
            </w:r>
          </w:p>
          <w:p w14:paraId="260915B9" w14:textId="77777777" w:rsidR="00F11A8B" w:rsidRPr="006F6DAC" w:rsidRDefault="00F11A8B" w:rsidP="00F11A8B">
            <w:pPr>
              <w:numPr>
                <w:ilvl w:val="0"/>
                <w:numId w:val="234"/>
              </w:numPr>
              <w:tabs>
                <w:tab w:val="left" w:pos="885"/>
              </w:tabs>
              <w:suppressAutoHyphens w:val="0"/>
              <w:spacing w:before="120" w:after="120"/>
              <w:jc w:val="both"/>
              <w:rPr>
                <w:rFonts w:ascii="Garamond" w:hAnsi="Garamond"/>
                <w:sz w:val="22"/>
                <w:szCs w:val="22"/>
                <w:highlight w:val="yellow"/>
              </w:rPr>
            </w:pPr>
            <w:r w:rsidRPr="006F6DAC">
              <w:rPr>
                <w:rFonts w:ascii="Garamond" w:hAnsi="Garamond"/>
                <w:sz w:val="22"/>
                <w:szCs w:val="22"/>
                <w:highlight w:val="yellow"/>
                <w:lang w:val="en-US"/>
              </w:rPr>
              <w:t>name</w:t>
            </w:r>
            <w:r w:rsidRPr="006F6DAC">
              <w:rPr>
                <w:rFonts w:ascii="Garamond" w:hAnsi="Garamond"/>
                <w:sz w:val="22"/>
                <w:szCs w:val="22"/>
                <w:highlight w:val="yellow"/>
              </w:rPr>
              <w:t xml:space="preserve"> – содержит наименование ОР. Длина наименования до 250 символов.</w:t>
            </w:r>
          </w:p>
          <w:p w14:paraId="45932B6E" w14:textId="77777777" w:rsidR="00F11A8B" w:rsidRPr="006F6DAC" w:rsidRDefault="00F11A8B" w:rsidP="00F11A8B">
            <w:pPr>
              <w:pStyle w:val="10"/>
              <w:jc w:val="both"/>
              <w:rPr>
                <w:rFonts w:ascii="Garamond" w:hAnsi="Garamond"/>
                <w:b w:val="0"/>
                <w:sz w:val="22"/>
                <w:szCs w:val="22"/>
                <w:highlight w:val="yellow"/>
              </w:rPr>
            </w:pPr>
            <w:r w:rsidRPr="006F6DAC">
              <w:rPr>
                <w:rFonts w:ascii="Garamond" w:hAnsi="Garamond"/>
                <w:b w:val="0"/>
                <w:sz w:val="22"/>
                <w:szCs w:val="22"/>
                <w:highlight w:val="yellow"/>
              </w:rPr>
              <w:t>Потомками элемента &lt;</w:t>
            </w:r>
            <w:r w:rsidRPr="006F6DAC">
              <w:rPr>
                <w:rFonts w:ascii="Garamond" w:hAnsi="Garamond"/>
                <w:b w:val="0"/>
                <w:sz w:val="22"/>
                <w:szCs w:val="22"/>
                <w:highlight w:val="yellow"/>
                <w:lang w:val="en-US"/>
              </w:rPr>
              <w:t>regulation</w:t>
            </w:r>
            <w:r w:rsidRPr="006F6DAC">
              <w:rPr>
                <w:rFonts w:ascii="Garamond" w:hAnsi="Garamond"/>
                <w:b w:val="0"/>
                <w:sz w:val="22"/>
                <w:szCs w:val="22"/>
                <w:highlight w:val="yellow"/>
              </w:rPr>
              <w:t>-</w:t>
            </w:r>
            <w:r w:rsidRPr="006F6DAC">
              <w:rPr>
                <w:rFonts w:ascii="Garamond" w:hAnsi="Garamond"/>
                <w:b w:val="0"/>
                <w:sz w:val="22"/>
                <w:szCs w:val="22"/>
                <w:highlight w:val="yellow"/>
                <w:lang w:val="en-US"/>
              </w:rPr>
              <w:t>object</w:t>
            </w:r>
            <w:r w:rsidRPr="006F6DAC">
              <w:rPr>
                <w:rFonts w:ascii="Garamond" w:hAnsi="Garamond"/>
                <w:b w:val="0"/>
                <w:sz w:val="22"/>
                <w:szCs w:val="22"/>
                <w:highlight w:val="yellow"/>
              </w:rPr>
              <w:t>&gt; являются элементы &lt;period&gt;. Элемент &lt;period&gt; аналогичен элементу &lt;period&gt; элемента &lt;</w:t>
            </w:r>
            <w:r w:rsidRPr="006F6DAC">
              <w:rPr>
                <w:rFonts w:ascii="Garamond" w:hAnsi="Garamond"/>
                <w:b w:val="0"/>
                <w:sz w:val="22"/>
                <w:szCs w:val="22"/>
                <w:highlight w:val="yellow"/>
                <w:lang w:val="en-US"/>
              </w:rPr>
              <w:t>deliverypoint</w:t>
            </w:r>
            <w:r w:rsidRPr="006F6DAC">
              <w:rPr>
                <w:rFonts w:ascii="Garamond" w:hAnsi="Garamond"/>
                <w:b w:val="0"/>
                <w:sz w:val="22"/>
                <w:szCs w:val="22"/>
                <w:highlight w:val="yellow"/>
              </w:rPr>
              <w:t>&gt;.</w:t>
            </w:r>
          </w:p>
          <w:p w14:paraId="39F5F0E8" w14:textId="77777777" w:rsidR="00F11A8B" w:rsidRPr="006F6DAC" w:rsidRDefault="00F11A8B" w:rsidP="00F11A8B">
            <w:pPr>
              <w:rPr>
                <w:rFonts w:ascii="Garamond" w:hAnsi="Garamond"/>
                <w:sz w:val="22"/>
                <w:szCs w:val="22"/>
                <w:highlight w:val="yellow"/>
              </w:rPr>
            </w:pPr>
          </w:p>
          <w:p w14:paraId="2B27B4DF" w14:textId="77777777" w:rsidR="00F11A8B" w:rsidRPr="006F6DAC" w:rsidRDefault="00F11A8B" w:rsidP="00F11A8B">
            <w:pPr>
              <w:pStyle w:val="10"/>
              <w:rPr>
                <w:rFonts w:ascii="Garamond" w:hAnsi="Garamond"/>
                <w:sz w:val="22"/>
                <w:szCs w:val="22"/>
                <w:highlight w:val="yellow"/>
              </w:rPr>
            </w:pPr>
            <w:r w:rsidRPr="006F6DAC">
              <w:rPr>
                <w:rFonts w:ascii="Garamond" w:hAnsi="Garamond"/>
                <w:sz w:val="22"/>
                <w:szCs w:val="22"/>
                <w:highlight w:val="yellow"/>
              </w:rPr>
              <w:t>Пример электронного документа 20020</w:t>
            </w:r>
          </w:p>
          <w:p w14:paraId="2D529885" w14:textId="77777777" w:rsidR="00F11A8B" w:rsidRPr="006F6DAC" w:rsidRDefault="00F11A8B" w:rsidP="00F11A8B">
            <w:pPr>
              <w:widowControl w:val="0"/>
              <w:adjustRightInd w:val="0"/>
              <w:ind w:firstLine="709"/>
              <w:jc w:val="both"/>
              <w:rPr>
                <w:rFonts w:ascii="Garamond" w:eastAsia="MS Mincho" w:hAnsi="Garamond"/>
                <w:sz w:val="22"/>
                <w:szCs w:val="22"/>
                <w:highlight w:val="yellow"/>
              </w:rPr>
            </w:pPr>
            <w:r w:rsidRPr="006F6DAC">
              <w:rPr>
                <w:rFonts w:ascii="Garamond" w:eastAsia="MS Mincho" w:hAnsi="Garamond"/>
                <w:sz w:val="22"/>
                <w:szCs w:val="22"/>
                <w:highlight w:val="yellow"/>
                <w:lang w:val="en-US"/>
              </w:rPr>
              <w:t> </w:t>
            </w:r>
          </w:p>
          <w:p w14:paraId="54B1E10F" w14:textId="77777777" w:rsidR="00F11A8B" w:rsidRPr="006F6DAC" w:rsidRDefault="00F11A8B" w:rsidP="00F11A8B">
            <w:pPr>
              <w:pStyle w:val="aff8"/>
              <w:rPr>
                <w:rFonts w:ascii="Garamond" w:hAnsi="Garamond"/>
                <w:sz w:val="22"/>
                <w:szCs w:val="22"/>
                <w:highlight w:val="yellow"/>
                <w:lang w:val="en-US"/>
              </w:rPr>
            </w:pPr>
            <w:r w:rsidRPr="006F6DAC">
              <w:rPr>
                <w:rFonts w:ascii="Garamond" w:hAnsi="Garamond"/>
                <w:sz w:val="22"/>
                <w:szCs w:val="22"/>
                <w:highlight w:val="yellow"/>
                <w:lang w:val="en-US"/>
              </w:rPr>
              <w:t xml:space="preserve">&lt;?xml version="1.0" encoding="windows-1251" ?&gt; </w:t>
            </w:r>
          </w:p>
          <w:p w14:paraId="4713E5E0" w14:textId="77777777" w:rsidR="00F11A8B" w:rsidRPr="006F6DAC" w:rsidRDefault="00F11A8B" w:rsidP="00F11A8B">
            <w:pPr>
              <w:pStyle w:val="aff8"/>
              <w:rPr>
                <w:rFonts w:ascii="Garamond" w:hAnsi="Garamond"/>
                <w:sz w:val="22"/>
                <w:szCs w:val="22"/>
                <w:highlight w:val="yellow"/>
                <w:lang w:val="en-US"/>
              </w:rPr>
            </w:pPr>
            <w:r w:rsidRPr="006F6DAC">
              <w:rPr>
                <w:rFonts w:ascii="Garamond" w:hAnsi="Garamond"/>
                <w:sz w:val="22"/>
                <w:szCs w:val="22"/>
                <w:highlight w:val="yellow"/>
                <w:lang w:val="en-US"/>
              </w:rPr>
              <w:t>&lt;message class="20020" version="1" number="593"&gt;</w:t>
            </w:r>
          </w:p>
          <w:p w14:paraId="61668BA7" w14:textId="77777777" w:rsidR="00F11A8B" w:rsidRPr="006F6DAC" w:rsidRDefault="00F11A8B" w:rsidP="00F11A8B">
            <w:pPr>
              <w:pStyle w:val="aff8"/>
              <w:rPr>
                <w:rFonts w:ascii="Garamond" w:hAnsi="Garamond"/>
                <w:sz w:val="22"/>
                <w:szCs w:val="22"/>
                <w:highlight w:val="yellow"/>
                <w:lang w:val="en-US"/>
              </w:rPr>
            </w:pPr>
            <w:r w:rsidRPr="006F6DAC">
              <w:rPr>
                <w:rFonts w:ascii="Garamond" w:hAnsi="Garamond"/>
                <w:sz w:val="22"/>
                <w:szCs w:val="22"/>
                <w:highlight w:val="yellow"/>
                <w:lang w:val="en-US"/>
              </w:rPr>
              <w:t>&lt;datetime&gt;</w:t>
            </w:r>
          </w:p>
          <w:p w14:paraId="3608783C" w14:textId="77777777" w:rsidR="00F11A8B" w:rsidRPr="006F6DAC" w:rsidRDefault="00F11A8B" w:rsidP="00F11A8B">
            <w:pPr>
              <w:pStyle w:val="aff8"/>
              <w:rPr>
                <w:rFonts w:ascii="Garamond" w:hAnsi="Garamond"/>
                <w:sz w:val="22"/>
                <w:szCs w:val="22"/>
                <w:highlight w:val="yellow"/>
                <w:lang w:val="en-US"/>
              </w:rPr>
            </w:pPr>
            <w:r w:rsidRPr="006F6DAC">
              <w:rPr>
                <w:rFonts w:ascii="Garamond" w:hAnsi="Garamond"/>
                <w:sz w:val="22"/>
                <w:szCs w:val="22"/>
                <w:highlight w:val="yellow"/>
                <w:lang w:val="en-US"/>
              </w:rPr>
              <w:tab/>
              <w:t xml:space="preserve">&lt;day&gt;20090427&lt;/day&gt; </w:t>
            </w:r>
          </w:p>
          <w:p w14:paraId="7DF96538" w14:textId="77777777" w:rsidR="00F11A8B" w:rsidRPr="006F6DAC" w:rsidRDefault="00F11A8B" w:rsidP="00F11A8B">
            <w:pPr>
              <w:pStyle w:val="aff8"/>
              <w:rPr>
                <w:rFonts w:ascii="Garamond" w:hAnsi="Garamond"/>
                <w:sz w:val="22"/>
                <w:szCs w:val="22"/>
                <w:highlight w:val="yellow"/>
                <w:lang w:val="en-US"/>
              </w:rPr>
            </w:pPr>
            <w:r w:rsidRPr="006F6DAC">
              <w:rPr>
                <w:rFonts w:ascii="Garamond" w:hAnsi="Garamond"/>
                <w:sz w:val="22"/>
                <w:szCs w:val="22"/>
                <w:highlight w:val="yellow"/>
                <w:lang w:val="en-US"/>
              </w:rPr>
              <w:tab/>
              <w:t xml:space="preserve">&lt;timestamp&gt;20090428081709&lt;/timestamp&gt; </w:t>
            </w:r>
          </w:p>
          <w:p w14:paraId="63AD03DC" w14:textId="77777777" w:rsidR="00F11A8B" w:rsidRPr="006F6DAC" w:rsidRDefault="00F11A8B" w:rsidP="00F11A8B">
            <w:pPr>
              <w:pStyle w:val="aff8"/>
              <w:rPr>
                <w:rFonts w:ascii="Garamond" w:hAnsi="Garamond"/>
                <w:sz w:val="22"/>
                <w:szCs w:val="22"/>
                <w:highlight w:val="yellow"/>
                <w:lang w:val="en-US"/>
              </w:rPr>
            </w:pPr>
            <w:r w:rsidRPr="006F6DAC">
              <w:rPr>
                <w:rFonts w:ascii="Garamond" w:hAnsi="Garamond"/>
                <w:sz w:val="22"/>
                <w:szCs w:val="22"/>
                <w:highlight w:val="yellow"/>
                <w:lang w:val="en-US"/>
              </w:rPr>
              <w:tab/>
              <w:t xml:space="preserve">&lt;daylightsavingtime&gt;0&lt;/daylightsavingtime&gt; </w:t>
            </w:r>
          </w:p>
          <w:p w14:paraId="7F7A0C20" w14:textId="77777777" w:rsidR="00F11A8B" w:rsidRPr="006F6DAC" w:rsidRDefault="00F11A8B" w:rsidP="00F11A8B">
            <w:pPr>
              <w:pStyle w:val="aff8"/>
              <w:rPr>
                <w:rFonts w:ascii="Garamond" w:hAnsi="Garamond"/>
                <w:sz w:val="22"/>
                <w:szCs w:val="22"/>
                <w:highlight w:val="yellow"/>
                <w:lang w:val="en-US"/>
              </w:rPr>
            </w:pPr>
            <w:r w:rsidRPr="006F6DAC">
              <w:rPr>
                <w:rFonts w:ascii="Garamond" w:hAnsi="Garamond"/>
                <w:sz w:val="22"/>
                <w:szCs w:val="22"/>
                <w:highlight w:val="yellow"/>
                <w:lang w:val="en-US"/>
              </w:rPr>
              <w:t>&lt;/datetime&gt;</w:t>
            </w:r>
          </w:p>
          <w:p w14:paraId="08301579" w14:textId="77777777" w:rsidR="00F11A8B" w:rsidRPr="006F6DAC" w:rsidRDefault="00F11A8B" w:rsidP="00F11A8B">
            <w:pPr>
              <w:pStyle w:val="aff8"/>
              <w:rPr>
                <w:rFonts w:ascii="Garamond" w:hAnsi="Garamond"/>
                <w:sz w:val="22"/>
                <w:szCs w:val="22"/>
                <w:highlight w:val="yellow"/>
                <w:lang w:val="en-US"/>
              </w:rPr>
            </w:pPr>
            <w:r w:rsidRPr="006F6DAC">
              <w:rPr>
                <w:rFonts w:ascii="Garamond" w:hAnsi="Garamond"/>
                <w:sz w:val="22"/>
                <w:szCs w:val="22"/>
                <w:highlight w:val="yellow"/>
                <w:lang w:val="en-US"/>
              </w:rPr>
              <w:t>&lt;sender&gt;</w:t>
            </w:r>
          </w:p>
          <w:p w14:paraId="37B48186" w14:textId="77777777" w:rsidR="00F11A8B" w:rsidRPr="006F6DAC" w:rsidRDefault="00F11A8B" w:rsidP="00F11A8B">
            <w:pPr>
              <w:pStyle w:val="aff8"/>
              <w:rPr>
                <w:rFonts w:ascii="Garamond" w:hAnsi="Garamond"/>
                <w:sz w:val="22"/>
                <w:szCs w:val="22"/>
                <w:highlight w:val="yellow"/>
                <w:lang w:val="en-US"/>
              </w:rPr>
            </w:pPr>
            <w:r w:rsidRPr="006F6DAC">
              <w:rPr>
                <w:rFonts w:ascii="Garamond" w:hAnsi="Garamond"/>
                <w:sz w:val="22"/>
                <w:szCs w:val="22"/>
                <w:highlight w:val="yellow"/>
                <w:lang w:val="en-US"/>
              </w:rPr>
              <w:tab/>
              <w:t>&lt;name&gt;</w:t>
            </w:r>
            <w:r w:rsidRPr="006F6DAC">
              <w:rPr>
                <w:rFonts w:ascii="Garamond" w:hAnsi="Garamond"/>
                <w:sz w:val="22"/>
                <w:szCs w:val="22"/>
                <w:highlight w:val="yellow"/>
              </w:rPr>
              <w:t>Некоторая</w:t>
            </w:r>
            <w:r w:rsidRPr="006F6DAC">
              <w:rPr>
                <w:rFonts w:ascii="Garamond" w:hAnsi="Garamond"/>
                <w:sz w:val="22"/>
                <w:szCs w:val="22"/>
                <w:highlight w:val="yellow"/>
                <w:lang w:val="en-US"/>
              </w:rPr>
              <w:t xml:space="preserve"> </w:t>
            </w:r>
            <w:r w:rsidRPr="006F6DAC">
              <w:rPr>
                <w:rFonts w:ascii="Garamond" w:hAnsi="Garamond"/>
                <w:sz w:val="22"/>
                <w:szCs w:val="22"/>
                <w:highlight w:val="yellow"/>
              </w:rPr>
              <w:t>организация</w:t>
            </w:r>
            <w:r w:rsidRPr="006F6DAC">
              <w:rPr>
                <w:rFonts w:ascii="Garamond" w:hAnsi="Garamond"/>
                <w:sz w:val="22"/>
                <w:szCs w:val="22"/>
                <w:highlight w:val="yellow"/>
                <w:lang w:val="en-US"/>
              </w:rPr>
              <w:t xml:space="preserve">&lt;/name&gt; </w:t>
            </w:r>
          </w:p>
          <w:p w14:paraId="22D9BEDC" w14:textId="77777777" w:rsidR="00F11A8B" w:rsidRPr="006F6DAC" w:rsidRDefault="00F11A8B" w:rsidP="00F11A8B">
            <w:pPr>
              <w:pStyle w:val="aff8"/>
              <w:rPr>
                <w:rFonts w:ascii="Garamond" w:hAnsi="Garamond"/>
                <w:sz w:val="22"/>
                <w:szCs w:val="22"/>
                <w:highlight w:val="yellow"/>
                <w:lang w:val="en-US"/>
              </w:rPr>
            </w:pPr>
            <w:r w:rsidRPr="006F6DAC">
              <w:rPr>
                <w:rFonts w:ascii="Garamond" w:hAnsi="Garamond"/>
                <w:sz w:val="22"/>
                <w:szCs w:val="22"/>
                <w:highlight w:val="yellow"/>
                <w:lang w:val="en-US"/>
              </w:rPr>
              <w:tab/>
              <w:t xml:space="preserve">&lt;inn&gt;1234567890&lt;/inn&gt; </w:t>
            </w:r>
          </w:p>
          <w:p w14:paraId="167BB4D9" w14:textId="77777777" w:rsidR="00F11A8B" w:rsidRPr="006F6DAC" w:rsidRDefault="00F11A8B" w:rsidP="00F11A8B">
            <w:pPr>
              <w:pStyle w:val="aff8"/>
              <w:rPr>
                <w:rFonts w:ascii="Garamond" w:hAnsi="Garamond"/>
                <w:sz w:val="22"/>
                <w:szCs w:val="22"/>
                <w:highlight w:val="yellow"/>
                <w:lang w:val="en-US"/>
              </w:rPr>
            </w:pPr>
            <w:r w:rsidRPr="006F6DAC">
              <w:rPr>
                <w:rFonts w:ascii="Garamond" w:hAnsi="Garamond"/>
                <w:sz w:val="22"/>
                <w:szCs w:val="22"/>
                <w:highlight w:val="yellow"/>
                <w:lang w:val="en-US"/>
              </w:rPr>
              <w:t>&lt;/sender&gt;</w:t>
            </w:r>
          </w:p>
          <w:p w14:paraId="22D5A1C8" w14:textId="77777777" w:rsidR="00F11A8B" w:rsidRPr="006F6DAC" w:rsidRDefault="00F11A8B" w:rsidP="00F11A8B">
            <w:pPr>
              <w:pStyle w:val="aff8"/>
              <w:rPr>
                <w:rFonts w:ascii="Garamond" w:hAnsi="Garamond"/>
                <w:sz w:val="22"/>
                <w:szCs w:val="22"/>
                <w:highlight w:val="yellow"/>
                <w:lang w:val="en-US"/>
              </w:rPr>
            </w:pPr>
            <w:r w:rsidRPr="006F6DAC">
              <w:rPr>
                <w:rFonts w:ascii="Garamond" w:hAnsi="Garamond"/>
                <w:sz w:val="22"/>
                <w:szCs w:val="22"/>
                <w:highlight w:val="yellow"/>
                <w:lang w:val="en-US"/>
              </w:rPr>
              <w:t>&lt;area&gt;</w:t>
            </w:r>
          </w:p>
          <w:p w14:paraId="78AC2AED" w14:textId="77777777" w:rsidR="00F11A8B" w:rsidRPr="006F6DAC" w:rsidRDefault="00F11A8B" w:rsidP="00F11A8B">
            <w:pPr>
              <w:pStyle w:val="aff8"/>
              <w:rPr>
                <w:rFonts w:ascii="Garamond" w:hAnsi="Garamond"/>
                <w:sz w:val="22"/>
                <w:szCs w:val="22"/>
                <w:highlight w:val="yellow"/>
                <w:lang w:val="en-US"/>
              </w:rPr>
            </w:pPr>
            <w:r w:rsidRPr="006F6DAC">
              <w:rPr>
                <w:rFonts w:ascii="Garamond" w:hAnsi="Garamond"/>
                <w:sz w:val="22"/>
                <w:szCs w:val="22"/>
                <w:highlight w:val="yellow"/>
                <w:lang w:val="en-US"/>
              </w:rPr>
              <w:tab/>
              <w:t xml:space="preserve">&lt;inn&gt;0987654321&lt;/inn&gt; </w:t>
            </w:r>
          </w:p>
          <w:p w14:paraId="7FF7CBEB" w14:textId="77777777" w:rsidR="00F11A8B" w:rsidRPr="006F6DAC" w:rsidRDefault="00F11A8B" w:rsidP="00F11A8B">
            <w:pPr>
              <w:pStyle w:val="aff8"/>
              <w:rPr>
                <w:rFonts w:ascii="Garamond" w:hAnsi="Garamond"/>
                <w:sz w:val="22"/>
                <w:szCs w:val="22"/>
                <w:highlight w:val="yellow"/>
                <w:lang w:val="en-US"/>
              </w:rPr>
            </w:pPr>
            <w:r w:rsidRPr="006F6DAC">
              <w:rPr>
                <w:rFonts w:ascii="Garamond" w:hAnsi="Garamond"/>
                <w:sz w:val="22"/>
                <w:szCs w:val="22"/>
                <w:highlight w:val="yellow"/>
                <w:lang w:val="en-US"/>
              </w:rPr>
              <w:tab/>
              <w:t xml:space="preserve">&lt;name&gt;Наименование ОР&lt;/name&gt; </w:t>
            </w:r>
          </w:p>
          <w:p w14:paraId="6056E018" w14:textId="77777777" w:rsidR="00F11A8B" w:rsidRPr="006F6DAC" w:rsidRDefault="00F11A8B" w:rsidP="00F11A8B">
            <w:pPr>
              <w:pStyle w:val="aff8"/>
              <w:rPr>
                <w:rFonts w:ascii="Garamond" w:hAnsi="Garamond"/>
                <w:sz w:val="22"/>
                <w:szCs w:val="22"/>
                <w:highlight w:val="yellow"/>
                <w:lang w:val="en-US"/>
              </w:rPr>
            </w:pPr>
            <w:r w:rsidRPr="006F6DAC">
              <w:rPr>
                <w:rFonts w:ascii="Garamond" w:hAnsi="Garamond"/>
                <w:sz w:val="22"/>
                <w:szCs w:val="22"/>
                <w:highlight w:val="yellow"/>
                <w:lang w:val="en-US"/>
              </w:rPr>
              <w:t>&lt;measuringpoint name="ПС-110 Промышленная-сельская Т-1" code="422130170218101"&gt;</w:t>
            </w:r>
          </w:p>
          <w:p w14:paraId="7FDFDDF1" w14:textId="77777777" w:rsidR="00F11A8B" w:rsidRPr="006F6DAC" w:rsidRDefault="00F11A8B" w:rsidP="00F11A8B">
            <w:pPr>
              <w:pStyle w:val="aff8"/>
              <w:rPr>
                <w:rFonts w:ascii="Garamond" w:hAnsi="Garamond"/>
                <w:sz w:val="22"/>
                <w:szCs w:val="22"/>
                <w:highlight w:val="yellow"/>
                <w:lang w:val="en-US"/>
              </w:rPr>
            </w:pPr>
            <w:r w:rsidRPr="006F6DAC">
              <w:rPr>
                <w:rFonts w:ascii="Garamond" w:hAnsi="Garamond"/>
                <w:sz w:val="22"/>
                <w:szCs w:val="22"/>
                <w:highlight w:val="yellow"/>
                <w:lang w:val="en-US"/>
              </w:rPr>
              <w:t>&lt;km km=1000 end="2130" start="0000" /&gt;</w:t>
            </w:r>
          </w:p>
          <w:p w14:paraId="4A5275F7" w14:textId="77777777" w:rsidR="00F11A8B" w:rsidRPr="006F6DAC" w:rsidRDefault="00F11A8B" w:rsidP="00F11A8B">
            <w:pPr>
              <w:pStyle w:val="aff8"/>
              <w:rPr>
                <w:rFonts w:ascii="Garamond" w:hAnsi="Garamond"/>
                <w:sz w:val="22"/>
                <w:szCs w:val="22"/>
                <w:highlight w:val="yellow"/>
                <w:lang w:val="en-US"/>
              </w:rPr>
            </w:pPr>
            <w:r w:rsidRPr="006F6DAC">
              <w:rPr>
                <w:rFonts w:ascii="Garamond" w:hAnsi="Garamond"/>
                <w:sz w:val="22"/>
                <w:szCs w:val="22"/>
                <w:highlight w:val="yellow"/>
                <w:lang w:val="en-US"/>
              </w:rPr>
              <w:t>&lt;km km=1250 end="0000" start="2130" /&gt;</w:t>
            </w:r>
          </w:p>
          <w:p w14:paraId="588451AE" w14:textId="77777777" w:rsidR="00F11A8B" w:rsidRPr="006F6DAC" w:rsidRDefault="00F11A8B" w:rsidP="00F11A8B">
            <w:pPr>
              <w:pStyle w:val="aff8"/>
              <w:rPr>
                <w:rFonts w:ascii="Garamond" w:hAnsi="Garamond"/>
                <w:sz w:val="22"/>
                <w:szCs w:val="22"/>
                <w:highlight w:val="yellow"/>
              </w:rPr>
            </w:pPr>
            <w:r w:rsidRPr="006F6DAC">
              <w:rPr>
                <w:rFonts w:ascii="Garamond" w:hAnsi="Garamond"/>
                <w:sz w:val="22"/>
                <w:szCs w:val="22"/>
                <w:highlight w:val="yellow"/>
              </w:rPr>
              <w:t>&lt;</w:t>
            </w:r>
            <w:r w:rsidRPr="006F6DAC">
              <w:rPr>
                <w:rFonts w:ascii="Garamond" w:hAnsi="Garamond"/>
                <w:sz w:val="22"/>
                <w:szCs w:val="22"/>
                <w:highlight w:val="yellow"/>
                <w:lang w:val="en-US"/>
              </w:rPr>
              <w:t>measuringchannel</w:t>
            </w:r>
            <w:r w:rsidRPr="006F6DAC">
              <w:rPr>
                <w:rFonts w:ascii="Garamond" w:hAnsi="Garamond"/>
                <w:sz w:val="22"/>
                <w:szCs w:val="22"/>
                <w:highlight w:val="yellow"/>
              </w:rPr>
              <w:t xml:space="preserve"> </w:t>
            </w:r>
            <w:r w:rsidRPr="006F6DAC">
              <w:rPr>
                <w:rFonts w:ascii="Garamond" w:hAnsi="Garamond"/>
                <w:sz w:val="22"/>
                <w:szCs w:val="22"/>
                <w:highlight w:val="yellow"/>
                <w:lang w:val="en-US"/>
              </w:rPr>
              <w:t>code</w:t>
            </w:r>
            <w:r w:rsidRPr="006F6DAC">
              <w:rPr>
                <w:rFonts w:ascii="Garamond" w:hAnsi="Garamond"/>
                <w:sz w:val="22"/>
                <w:szCs w:val="22"/>
                <w:highlight w:val="yellow"/>
              </w:rPr>
              <w:t xml:space="preserve">="01" </w:t>
            </w:r>
            <w:r w:rsidRPr="006F6DAC">
              <w:rPr>
                <w:rFonts w:ascii="Garamond" w:hAnsi="Garamond"/>
                <w:sz w:val="22"/>
                <w:szCs w:val="22"/>
                <w:highlight w:val="yellow"/>
                <w:lang w:val="en-US"/>
              </w:rPr>
              <w:t>desc</w:t>
            </w:r>
            <w:r w:rsidRPr="006F6DAC">
              <w:rPr>
                <w:rFonts w:ascii="Garamond" w:hAnsi="Garamond"/>
                <w:sz w:val="22"/>
                <w:szCs w:val="22"/>
                <w:highlight w:val="yellow"/>
              </w:rPr>
              <w:t>="Активная энергия, прием округл."&gt;</w:t>
            </w:r>
          </w:p>
          <w:p w14:paraId="673E6EF4" w14:textId="77777777" w:rsidR="00F11A8B" w:rsidRPr="006F6DAC" w:rsidRDefault="00F11A8B" w:rsidP="00F11A8B">
            <w:pPr>
              <w:pStyle w:val="aff8"/>
              <w:rPr>
                <w:rFonts w:ascii="Garamond" w:hAnsi="Garamond"/>
                <w:sz w:val="22"/>
                <w:szCs w:val="22"/>
                <w:highlight w:val="yellow"/>
                <w:lang w:val="en-US"/>
              </w:rPr>
            </w:pPr>
            <w:r w:rsidRPr="006F6DAC">
              <w:rPr>
                <w:rFonts w:ascii="Garamond" w:hAnsi="Garamond"/>
                <w:sz w:val="22"/>
                <w:szCs w:val="22"/>
                <w:highlight w:val="yellow"/>
                <w:lang w:val="en-US"/>
              </w:rPr>
              <w:t>&lt;period end="0030" start="0000"&gt;</w:t>
            </w:r>
          </w:p>
          <w:p w14:paraId="61337250" w14:textId="77777777" w:rsidR="00F11A8B" w:rsidRPr="006F6DAC" w:rsidRDefault="00F11A8B" w:rsidP="00F11A8B">
            <w:pPr>
              <w:pStyle w:val="aff8"/>
              <w:rPr>
                <w:rFonts w:ascii="Garamond" w:hAnsi="Garamond"/>
                <w:sz w:val="22"/>
                <w:szCs w:val="22"/>
                <w:highlight w:val="yellow"/>
                <w:lang w:val="en-US"/>
              </w:rPr>
            </w:pPr>
            <w:r w:rsidRPr="006F6DAC">
              <w:rPr>
                <w:rFonts w:ascii="Garamond" w:hAnsi="Garamond"/>
                <w:sz w:val="22"/>
                <w:szCs w:val="22"/>
                <w:highlight w:val="yellow"/>
                <w:lang w:val="en-US"/>
              </w:rPr>
              <w:t>&lt;value&gt;0&lt;/value&gt;</w:t>
            </w:r>
          </w:p>
          <w:p w14:paraId="0DB54194" w14:textId="77777777" w:rsidR="00F11A8B" w:rsidRPr="006F6DAC" w:rsidRDefault="00F11A8B" w:rsidP="00F11A8B">
            <w:pPr>
              <w:pStyle w:val="aff8"/>
              <w:rPr>
                <w:rFonts w:ascii="Garamond" w:hAnsi="Garamond"/>
                <w:sz w:val="22"/>
                <w:szCs w:val="22"/>
                <w:highlight w:val="yellow"/>
                <w:lang w:val="en-US"/>
              </w:rPr>
            </w:pPr>
            <w:r w:rsidRPr="006F6DAC">
              <w:rPr>
                <w:rFonts w:ascii="Garamond" w:hAnsi="Garamond"/>
                <w:sz w:val="22"/>
                <w:szCs w:val="22"/>
                <w:highlight w:val="yellow"/>
                <w:lang w:val="en-US"/>
              </w:rPr>
              <w:t>&lt;/period&gt;</w:t>
            </w:r>
          </w:p>
          <w:p w14:paraId="7DA18E6C" w14:textId="77777777" w:rsidR="00F11A8B" w:rsidRPr="006F6DAC" w:rsidRDefault="00F11A8B" w:rsidP="00F11A8B">
            <w:pPr>
              <w:pStyle w:val="aff8"/>
              <w:rPr>
                <w:rFonts w:ascii="Garamond" w:hAnsi="Garamond"/>
                <w:sz w:val="22"/>
                <w:szCs w:val="22"/>
                <w:highlight w:val="yellow"/>
                <w:lang w:val="en-US"/>
              </w:rPr>
            </w:pPr>
            <w:r w:rsidRPr="006F6DAC">
              <w:rPr>
                <w:rFonts w:ascii="Garamond" w:hAnsi="Garamond"/>
                <w:sz w:val="22"/>
                <w:szCs w:val="22"/>
                <w:highlight w:val="yellow"/>
                <w:lang w:val="en-US"/>
              </w:rPr>
              <w:lastRenderedPageBreak/>
              <w:t>…</w:t>
            </w:r>
          </w:p>
          <w:p w14:paraId="39E1C643" w14:textId="77777777" w:rsidR="00F11A8B" w:rsidRPr="006F6DAC" w:rsidRDefault="00F11A8B" w:rsidP="00F11A8B">
            <w:pPr>
              <w:pStyle w:val="aff8"/>
              <w:rPr>
                <w:rFonts w:ascii="Garamond" w:hAnsi="Garamond"/>
                <w:sz w:val="22"/>
                <w:szCs w:val="22"/>
                <w:highlight w:val="yellow"/>
                <w:lang w:val="en-US"/>
              </w:rPr>
            </w:pPr>
            <w:r w:rsidRPr="006F6DAC">
              <w:rPr>
                <w:rFonts w:ascii="Garamond" w:hAnsi="Garamond"/>
                <w:sz w:val="22"/>
                <w:szCs w:val="22"/>
                <w:highlight w:val="yellow"/>
                <w:lang w:val="en-US"/>
              </w:rPr>
              <w:t>&lt;period end="2330" start="2300"&gt;</w:t>
            </w:r>
          </w:p>
          <w:p w14:paraId="257FCA17" w14:textId="77777777" w:rsidR="00F11A8B" w:rsidRPr="006F6DAC" w:rsidRDefault="00F11A8B" w:rsidP="00F11A8B">
            <w:pPr>
              <w:pStyle w:val="aff8"/>
              <w:rPr>
                <w:rFonts w:ascii="Garamond" w:hAnsi="Garamond"/>
                <w:sz w:val="22"/>
                <w:szCs w:val="22"/>
                <w:highlight w:val="yellow"/>
                <w:lang w:val="en-US"/>
              </w:rPr>
            </w:pPr>
            <w:r w:rsidRPr="006F6DAC">
              <w:rPr>
                <w:rFonts w:ascii="Garamond" w:hAnsi="Garamond"/>
                <w:sz w:val="22"/>
                <w:szCs w:val="22"/>
                <w:highlight w:val="yellow"/>
                <w:lang w:val="en-US"/>
              </w:rPr>
              <w:t>&lt;value&gt;0&lt;/value&gt;</w:t>
            </w:r>
          </w:p>
          <w:p w14:paraId="32788E5A" w14:textId="77777777" w:rsidR="00F11A8B" w:rsidRPr="006F6DAC" w:rsidRDefault="00F11A8B" w:rsidP="00F11A8B">
            <w:pPr>
              <w:pStyle w:val="aff8"/>
              <w:rPr>
                <w:rFonts w:ascii="Garamond" w:hAnsi="Garamond"/>
                <w:sz w:val="22"/>
                <w:szCs w:val="22"/>
                <w:highlight w:val="yellow"/>
                <w:lang w:val="en-US"/>
              </w:rPr>
            </w:pPr>
            <w:r w:rsidRPr="006F6DAC">
              <w:rPr>
                <w:rFonts w:ascii="Garamond" w:hAnsi="Garamond"/>
                <w:sz w:val="22"/>
                <w:szCs w:val="22"/>
                <w:highlight w:val="yellow"/>
                <w:lang w:val="en-US"/>
              </w:rPr>
              <w:t>&lt;/period&gt;</w:t>
            </w:r>
          </w:p>
          <w:p w14:paraId="55F9DCCC" w14:textId="77777777" w:rsidR="00F11A8B" w:rsidRPr="006F6DAC" w:rsidRDefault="00F11A8B" w:rsidP="00F11A8B">
            <w:pPr>
              <w:pStyle w:val="aff8"/>
              <w:rPr>
                <w:rFonts w:ascii="Garamond" w:hAnsi="Garamond"/>
                <w:sz w:val="22"/>
                <w:szCs w:val="22"/>
                <w:highlight w:val="yellow"/>
                <w:lang w:val="en-US"/>
              </w:rPr>
            </w:pPr>
            <w:r w:rsidRPr="006F6DAC">
              <w:rPr>
                <w:rFonts w:ascii="Garamond" w:hAnsi="Garamond"/>
                <w:sz w:val="22"/>
                <w:szCs w:val="22"/>
                <w:highlight w:val="yellow"/>
                <w:lang w:val="en-US"/>
              </w:rPr>
              <w:t>&lt;period end="0000" start="2330"&gt;</w:t>
            </w:r>
          </w:p>
          <w:p w14:paraId="6D987099" w14:textId="77777777" w:rsidR="00F11A8B" w:rsidRPr="006F6DAC" w:rsidRDefault="00F11A8B" w:rsidP="00F11A8B">
            <w:pPr>
              <w:pStyle w:val="aff8"/>
              <w:rPr>
                <w:rFonts w:ascii="Garamond" w:hAnsi="Garamond"/>
                <w:sz w:val="22"/>
                <w:szCs w:val="22"/>
                <w:highlight w:val="yellow"/>
                <w:lang w:val="en-US"/>
              </w:rPr>
            </w:pPr>
            <w:r w:rsidRPr="006F6DAC">
              <w:rPr>
                <w:rFonts w:ascii="Garamond" w:hAnsi="Garamond"/>
                <w:sz w:val="22"/>
                <w:szCs w:val="22"/>
                <w:highlight w:val="yellow"/>
                <w:lang w:val="en-US"/>
              </w:rPr>
              <w:t>&lt;value&gt;0&lt;/value&gt;</w:t>
            </w:r>
          </w:p>
          <w:p w14:paraId="0C248C68" w14:textId="77777777" w:rsidR="00F11A8B" w:rsidRPr="006F6DAC" w:rsidRDefault="00F11A8B" w:rsidP="00F11A8B">
            <w:pPr>
              <w:pStyle w:val="aff8"/>
              <w:rPr>
                <w:rFonts w:ascii="Garamond" w:hAnsi="Garamond"/>
                <w:sz w:val="22"/>
                <w:szCs w:val="22"/>
                <w:highlight w:val="yellow"/>
                <w:lang w:val="en-US"/>
              </w:rPr>
            </w:pPr>
            <w:r w:rsidRPr="006F6DAC">
              <w:rPr>
                <w:rFonts w:ascii="Garamond" w:hAnsi="Garamond"/>
                <w:sz w:val="22"/>
                <w:szCs w:val="22"/>
                <w:highlight w:val="yellow"/>
                <w:lang w:val="en-US"/>
              </w:rPr>
              <w:t>&lt;/period&gt;</w:t>
            </w:r>
          </w:p>
          <w:p w14:paraId="712B17C4" w14:textId="77777777" w:rsidR="00F11A8B" w:rsidRPr="006F6DAC" w:rsidRDefault="00F11A8B" w:rsidP="00F11A8B">
            <w:pPr>
              <w:pStyle w:val="aff8"/>
              <w:rPr>
                <w:rFonts w:ascii="Garamond" w:hAnsi="Garamond"/>
                <w:sz w:val="22"/>
                <w:szCs w:val="22"/>
                <w:highlight w:val="yellow"/>
                <w:lang w:val="en-US"/>
              </w:rPr>
            </w:pPr>
            <w:r w:rsidRPr="006F6DAC">
              <w:rPr>
                <w:rFonts w:ascii="Garamond" w:hAnsi="Garamond"/>
                <w:sz w:val="22"/>
                <w:szCs w:val="22"/>
                <w:highlight w:val="yellow"/>
                <w:lang w:val="en-US"/>
              </w:rPr>
              <w:t>&lt;/measuringchannel&gt;</w:t>
            </w:r>
          </w:p>
          <w:p w14:paraId="1D3BBDEE" w14:textId="77777777" w:rsidR="00F11A8B" w:rsidRPr="006F6DAC" w:rsidRDefault="00F11A8B" w:rsidP="00F11A8B">
            <w:pPr>
              <w:pStyle w:val="aff8"/>
              <w:rPr>
                <w:rFonts w:ascii="Garamond" w:hAnsi="Garamond"/>
                <w:sz w:val="22"/>
                <w:szCs w:val="22"/>
                <w:highlight w:val="yellow"/>
                <w:lang w:val="en-US"/>
              </w:rPr>
            </w:pPr>
            <w:r w:rsidRPr="006F6DAC">
              <w:rPr>
                <w:rFonts w:ascii="Garamond" w:hAnsi="Garamond"/>
                <w:sz w:val="22"/>
                <w:szCs w:val="22"/>
                <w:highlight w:val="yellow"/>
                <w:lang w:val="en-US"/>
              </w:rPr>
              <w:t>&lt;/measuringpoint&gt;</w:t>
            </w:r>
          </w:p>
          <w:p w14:paraId="17F21387" w14:textId="77777777" w:rsidR="00F11A8B" w:rsidRPr="006F6DAC" w:rsidRDefault="00F11A8B" w:rsidP="00F11A8B">
            <w:pPr>
              <w:pStyle w:val="aff8"/>
              <w:rPr>
                <w:rFonts w:ascii="Garamond" w:hAnsi="Garamond"/>
                <w:sz w:val="22"/>
                <w:szCs w:val="22"/>
                <w:highlight w:val="yellow"/>
                <w:lang w:val="en-US"/>
              </w:rPr>
            </w:pPr>
            <w:r w:rsidRPr="006F6DAC">
              <w:rPr>
                <w:rFonts w:ascii="Garamond" w:hAnsi="Garamond"/>
                <w:sz w:val="22"/>
                <w:szCs w:val="22"/>
                <w:highlight w:val="yellow"/>
                <w:lang w:val="en-US"/>
              </w:rPr>
              <w:t>&lt;deliverypoint name="ПС-110 Промышленная-сельская Т-1" code="422130170218101"&gt;</w:t>
            </w:r>
          </w:p>
          <w:p w14:paraId="3CE3E122" w14:textId="77777777" w:rsidR="00F11A8B" w:rsidRPr="006F6DAC" w:rsidRDefault="00F11A8B" w:rsidP="00F11A8B">
            <w:pPr>
              <w:pStyle w:val="aff8"/>
              <w:rPr>
                <w:rFonts w:ascii="Garamond" w:hAnsi="Garamond"/>
                <w:sz w:val="22"/>
                <w:szCs w:val="22"/>
                <w:highlight w:val="yellow"/>
                <w:lang w:val="en-US"/>
              </w:rPr>
            </w:pPr>
            <w:r w:rsidRPr="006F6DAC">
              <w:rPr>
                <w:rFonts w:ascii="Garamond" w:hAnsi="Garamond"/>
                <w:sz w:val="22"/>
                <w:szCs w:val="22"/>
                <w:highlight w:val="yellow"/>
              </w:rPr>
              <w:t>&lt;</w:t>
            </w:r>
            <w:r w:rsidRPr="006F6DAC">
              <w:rPr>
                <w:rFonts w:ascii="Garamond" w:hAnsi="Garamond"/>
                <w:sz w:val="22"/>
                <w:szCs w:val="22"/>
                <w:highlight w:val="yellow"/>
                <w:lang w:val="en-US"/>
              </w:rPr>
              <w:t>measuringchannel</w:t>
            </w:r>
            <w:r w:rsidRPr="006F6DAC">
              <w:rPr>
                <w:rFonts w:ascii="Garamond" w:hAnsi="Garamond"/>
                <w:sz w:val="22"/>
                <w:szCs w:val="22"/>
                <w:highlight w:val="yellow"/>
              </w:rPr>
              <w:t xml:space="preserve"> </w:t>
            </w:r>
            <w:r w:rsidRPr="006F6DAC">
              <w:rPr>
                <w:rFonts w:ascii="Garamond" w:hAnsi="Garamond"/>
                <w:sz w:val="22"/>
                <w:szCs w:val="22"/>
                <w:highlight w:val="yellow"/>
                <w:lang w:val="en-US"/>
              </w:rPr>
              <w:t>code</w:t>
            </w:r>
            <w:r w:rsidRPr="006F6DAC">
              <w:rPr>
                <w:rFonts w:ascii="Garamond" w:hAnsi="Garamond"/>
                <w:sz w:val="22"/>
                <w:szCs w:val="22"/>
                <w:highlight w:val="yellow"/>
              </w:rPr>
              <w:t xml:space="preserve">="01" </w:t>
            </w:r>
            <w:r w:rsidRPr="006F6DAC">
              <w:rPr>
                <w:rFonts w:ascii="Garamond" w:hAnsi="Garamond"/>
                <w:sz w:val="22"/>
                <w:szCs w:val="22"/>
                <w:highlight w:val="yellow"/>
                <w:lang w:val="en-US"/>
              </w:rPr>
              <w:t>desc</w:t>
            </w:r>
            <w:r w:rsidRPr="006F6DAC">
              <w:rPr>
                <w:rFonts w:ascii="Garamond" w:hAnsi="Garamond"/>
                <w:sz w:val="22"/>
                <w:szCs w:val="22"/>
                <w:highlight w:val="yellow"/>
              </w:rPr>
              <w:t xml:space="preserve">="Активная энергия, прием округл."             </w:t>
            </w:r>
            <w:r w:rsidRPr="006F6DAC">
              <w:rPr>
                <w:rFonts w:ascii="Garamond" w:hAnsi="Garamond"/>
                <w:sz w:val="22"/>
                <w:szCs w:val="22"/>
                <w:highlight w:val="yellow"/>
                <w:lang w:val="en-US"/>
              </w:rPr>
              <w:t>algorithmversion="300"&gt;</w:t>
            </w:r>
          </w:p>
          <w:p w14:paraId="0D40ACF2" w14:textId="77777777" w:rsidR="00F11A8B" w:rsidRPr="006F6DAC" w:rsidRDefault="00F11A8B" w:rsidP="00F11A8B">
            <w:pPr>
              <w:pStyle w:val="aff8"/>
              <w:rPr>
                <w:rFonts w:ascii="Garamond" w:hAnsi="Garamond"/>
                <w:sz w:val="22"/>
                <w:szCs w:val="22"/>
                <w:highlight w:val="yellow"/>
                <w:lang w:val="en-US"/>
              </w:rPr>
            </w:pPr>
            <w:r w:rsidRPr="006F6DAC">
              <w:rPr>
                <w:rFonts w:ascii="Garamond" w:hAnsi="Garamond"/>
                <w:sz w:val="22"/>
                <w:szCs w:val="22"/>
                <w:highlight w:val="yellow"/>
                <w:lang w:val="en-US"/>
              </w:rPr>
              <w:t>&lt;period end="0100" start="0000"&gt;</w:t>
            </w:r>
          </w:p>
          <w:p w14:paraId="0537805B" w14:textId="77777777" w:rsidR="00F11A8B" w:rsidRPr="006F6DAC" w:rsidRDefault="00F11A8B" w:rsidP="00F11A8B">
            <w:pPr>
              <w:pStyle w:val="aff8"/>
              <w:rPr>
                <w:rFonts w:ascii="Garamond" w:hAnsi="Garamond"/>
                <w:sz w:val="22"/>
                <w:szCs w:val="22"/>
                <w:highlight w:val="yellow"/>
                <w:lang w:val="en-US"/>
              </w:rPr>
            </w:pPr>
            <w:r w:rsidRPr="006F6DAC">
              <w:rPr>
                <w:rFonts w:ascii="Garamond" w:hAnsi="Garamond"/>
                <w:sz w:val="22"/>
                <w:szCs w:val="22"/>
                <w:highlight w:val="yellow"/>
                <w:lang w:val="en-US"/>
              </w:rPr>
              <w:t>&lt;value&gt;0&lt;/value&gt;</w:t>
            </w:r>
          </w:p>
          <w:p w14:paraId="3D43DEA1" w14:textId="77777777" w:rsidR="00F11A8B" w:rsidRPr="006F6DAC" w:rsidRDefault="00F11A8B" w:rsidP="00F11A8B">
            <w:pPr>
              <w:pStyle w:val="aff8"/>
              <w:rPr>
                <w:rFonts w:ascii="Garamond" w:hAnsi="Garamond"/>
                <w:sz w:val="22"/>
                <w:szCs w:val="22"/>
                <w:highlight w:val="yellow"/>
                <w:lang w:val="en-US"/>
              </w:rPr>
            </w:pPr>
            <w:r w:rsidRPr="006F6DAC">
              <w:rPr>
                <w:rFonts w:ascii="Garamond" w:hAnsi="Garamond"/>
                <w:sz w:val="22"/>
                <w:szCs w:val="22"/>
                <w:highlight w:val="yellow"/>
                <w:lang w:val="en-US"/>
              </w:rPr>
              <w:t>&lt;/period&gt;</w:t>
            </w:r>
          </w:p>
          <w:p w14:paraId="6FC08979" w14:textId="77777777" w:rsidR="00F11A8B" w:rsidRPr="006F6DAC" w:rsidRDefault="00F11A8B" w:rsidP="00F11A8B">
            <w:pPr>
              <w:pStyle w:val="aff8"/>
              <w:rPr>
                <w:rFonts w:ascii="Garamond" w:hAnsi="Garamond"/>
                <w:sz w:val="22"/>
                <w:szCs w:val="22"/>
                <w:highlight w:val="yellow"/>
                <w:lang w:val="en-US"/>
              </w:rPr>
            </w:pPr>
            <w:r w:rsidRPr="006F6DAC">
              <w:rPr>
                <w:rFonts w:ascii="Garamond" w:hAnsi="Garamond"/>
                <w:sz w:val="22"/>
                <w:szCs w:val="22"/>
                <w:highlight w:val="yellow"/>
                <w:lang w:val="en-US"/>
              </w:rPr>
              <w:t>…</w:t>
            </w:r>
          </w:p>
          <w:p w14:paraId="4866CFA2" w14:textId="77777777" w:rsidR="00F11A8B" w:rsidRPr="006F6DAC" w:rsidRDefault="00F11A8B" w:rsidP="00F11A8B">
            <w:pPr>
              <w:pStyle w:val="aff8"/>
              <w:rPr>
                <w:rFonts w:ascii="Garamond" w:hAnsi="Garamond"/>
                <w:sz w:val="22"/>
                <w:szCs w:val="22"/>
                <w:highlight w:val="yellow"/>
                <w:lang w:val="en-US"/>
              </w:rPr>
            </w:pPr>
            <w:r w:rsidRPr="006F6DAC">
              <w:rPr>
                <w:rFonts w:ascii="Garamond" w:hAnsi="Garamond"/>
                <w:sz w:val="22"/>
                <w:szCs w:val="22"/>
                <w:highlight w:val="yellow"/>
                <w:lang w:val="en-US"/>
              </w:rPr>
              <w:t>&lt;period end="2300" start="2200"&gt;</w:t>
            </w:r>
          </w:p>
          <w:p w14:paraId="2B384A40" w14:textId="77777777" w:rsidR="00F11A8B" w:rsidRPr="006F6DAC" w:rsidRDefault="00F11A8B" w:rsidP="00F11A8B">
            <w:pPr>
              <w:pStyle w:val="aff8"/>
              <w:rPr>
                <w:rFonts w:ascii="Garamond" w:hAnsi="Garamond"/>
                <w:sz w:val="22"/>
                <w:szCs w:val="22"/>
                <w:highlight w:val="yellow"/>
                <w:lang w:val="en-US"/>
              </w:rPr>
            </w:pPr>
            <w:r w:rsidRPr="006F6DAC">
              <w:rPr>
                <w:rFonts w:ascii="Garamond" w:hAnsi="Garamond"/>
                <w:sz w:val="22"/>
                <w:szCs w:val="22"/>
                <w:highlight w:val="yellow"/>
                <w:lang w:val="en-US"/>
              </w:rPr>
              <w:t>&lt;value&gt;0&lt;/value&gt;</w:t>
            </w:r>
          </w:p>
          <w:p w14:paraId="29854F45" w14:textId="77777777" w:rsidR="00F11A8B" w:rsidRPr="006F6DAC" w:rsidRDefault="00F11A8B" w:rsidP="00F11A8B">
            <w:pPr>
              <w:pStyle w:val="aff8"/>
              <w:rPr>
                <w:rFonts w:ascii="Garamond" w:hAnsi="Garamond"/>
                <w:sz w:val="22"/>
                <w:szCs w:val="22"/>
                <w:highlight w:val="yellow"/>
                <w:lang w:val="en-US"/>
              </w:rPr>
            </w:pPr>
            <w:r w:rsidRPr="006F6DAC">
              <w:rPr>
                <w:rFonts w:ascii="Garamond" w:hAnsi="Garamond"/>
                <w:sz w:val="22"/>
                <w:szCs w:val="22"/>
                <w:highlight w:val="yellow"/>
                <w:lang w:val="en-US"/>
              </w:rPr>
              <w:t>&lt;/period&gt;</w:t>
            </w:r>
          </w:p>
          <w:p w14:paraId="7A3ED19F" w14:textId="77777777" w:rsidR="00F11A8B" w:rsidRPr="006F6DAC" w:rsidRDefault="00F11A8B" w:rsidP="00F11A8B">
            <w:pPr>
              <w:pStyle w:val="aff8"/>
              <w:rPr>
                <w:rFonts w:ascii="Garamond" w:hAnsi="Garamond"/>
                <w:sz w:val="22"/>
                <w:szCs w:val="22"/>
                <w:highlight w:val="yellow"/>
                <w:lang w:val="en-US"/>
              </w:rPr>
            </w:pPr>
            <w:r w:rsidRPr="006F6DAC">
              <w:rPr>
                <w:rFonts w:ascii="Garamond" w:hAnsi="Garamond"/>
                <w:sz w:val="22"/>
                <w:szCs w:val="22"/>
                <w:highlight w:val="yellow"/>
                <w:lang w:val="en-US"/>
              </w:rPr>
              <w:t>&lt;period end="0000" start="2300"&gt;</w:t>
            </w:r>
          </w:p>
          <w:p w14:paraId="56FCAC82" w14:textId="77777777" w:rsidR="00F11A8B" w:rsidRPr="006F6DAC" w:rsidRDefault="00F11A8B" w:rsidP="00F11A8B">
            <w:pPr>
              <w:pStyle w:val="aff8"/>
              <w:rPr>
                <w:rFonts w:ascii="Garamond" w:hAnsi="Garamond"/>
                <w:sz w:val="22"/>
                <w:szCs w:val="22"/>
                <w:highlight w:val="yellow"/>
                <w:lang w:val="en-US"/>
              </w:rPr>
            </w:pPr>
            <w:r w:rsidRPr="006F6DAC">
              <w:rPr>
                <w:rFonts w:ascii="Garamond" w:hAnsi="Garamond"/>
                <w:sz w:val="22"/>
                <w:szCs w:val="22"/>
                <w:highlight w:val="yellow"/>
                <w:lang w:val="en-US"/>
              </w:rPr>
              <w:t>&lt;value&gt;0&lt;/value&gt;</w:t>
            </w:r>
          </w:p>
          <w:p w14:paraId="3672D8DC" w14:textId="77777777" w:rsidR="00F11A8B" w:rsidRPr="006F6DAC" w:rsidRDefault="00F11A8B" w:rsidP="00F11A8B">
            <w:pPr>
              <w:pStyle w:val="aff8"/>
              <w:rPr>
                <w:rFonts w:ascii="Garamond" w:hAnsi="Garamond"/>
                <w:sz w:val="22"/>
                <w:szCs w:val="22"/>
                <w:highlight w:val="yellow"/>
                <w:lang w:val="en-US"/>
              </w:rPr>
            </w:pPr>
            <w:r w:rsidRPr="006F6DAC">
              <w:rPr>
                <w:rFonts w:ascii="Garamond" w:hAnsi="Garamond"/>
                <w:sz w:val="22"/>
                <w:szCs w:val="22"/>
                <w:highlight w:val="yellow"/>
                <w:lang w:val="en-US"/>
              </w:rPr>
              <w:t>&lt;/period&gt;</w:t>
            </w:r>
          </w:p>
          <w:p w14:paraId="6EF63D65" w14:textId="77777777" w:rsidR="00F11A8B" w:rsidRPr="006F6DAC" w:rsidRDefault="00F11A8B" w:rsidP="00F11A8B">
            <w:pPr>
              <w:pStyle w:val="aff8"/>
              <w:rPr>
                <w:rFonts w:ascii="Garamond" w:hAnsi="Garamond"/>
                <w:sz w:val="22"/>
                <w:szCs w:val="22"/>
                <w:highlight w:val="yellow"/>
                <w:lang w:val="en-US"/>
              </w:rPr>
            </w:pPr>
            <w:r w:rsidRPr="006F6DAC">
              <w:rPr>
                <w:rFonts w:ascii="Garamond" w:hAnsi="Garamond"/>
                <w:sz w:val="22"/>
                <w:szCs w:val="22"/>
                <w:highlight w:val="yellow"/>
                <w:lang w:val="en-US"/>
              </w:rPr>
              <w:t>&lt;/measuringchannel&gt;</w:t>
            </w:r>
          </w:p>
          <w:p w14:paraId="779E44D9" w14:textId="77777777" w:rsidR="00F11A8B" w:rsidRPr="006F6DAC" w:rsidRDefault="00F11A8B" w:rsidP="00F11A8B">
            <w:pPr>
              <w:pStyle w:val="aff8"/>
              <w:rPr>
                <w:rFonts w:ascii="Garamond" w:hAnsi="Garamond"/>
                <w:sz w:val="22"/>
                <w:szCs w:val="22"/>
                <w:highlight w:val="yellow"/>
                <w:lang w:val="en-US"/>
              </w:rPr>
            </w:pPr>
            <w:r w:rsidRPr="006F6DAC">
              <w:rPr>
                <w:rFonts w:ascii="Garamond" w:hAnsi="Garamond"/>
                <w:sz w:val="22"/>
                <w:szCs w:val="22"/>
                <w:highlight w:val="yellow"/>
                <w:lang w:val="en-US"/>
              </w:rPr>
              <w:t>&lt;/deliverypoint&gt;</w:t>
            </w:r>
          </w:p>
          <w:p w14:paraId="0DC42E19" w14:textId="77777777" w:rsidR="00F11A8B" w:rsidRPr="006F6DAC" w:rsidRDefault="00F11A8B" w:rsidP="00F11A8B">
            <w:pPr>
              <w:pStyle w:val="aff8"/>
              <w:rPr>
                <w:rFonts w:ascii="Garamond" w:hAnsi="Garamond"/>
                <w:sz w:val="22"/>
                <w:szCs w:val="22"/>
                <w:highlight w:val="yellow"/>
                <w:lang w:val="en-US"/>
              </w:rPr>
            </w:pPr>
            <w:r w:rsidRPr="006F6DAC">
              <w:rPr>
                <w:rFonts w:ascii="Garamond" w:hAnsi="Garamond"/>
                <w:sz w:val="22"/>
                <w:szCs w:val="22"/>
                <w:highlight w:val="yellow"/>
                <w:lang w:val="en-US"/>
              </w:rPr>
              <w:t xml:space="preserve">              &lt;regulation-object code ="DRXXXXXX" name="Наименование ОР" algorithmversion="300"&gt;</w:t>
            </w:r>
          </w:p>
          <w:p w14:paraId="3A2932E6" w14:textId="77777777" w:rsidR="00F11A8B" w:rsidRPr="006F6DAC" w:rsidRDefault="00F11A8B" w:rsidP="00F11A8B">
            <w:pPr>
              <w:pStyle w:val="aff8"/>
              <w:rPr>
                <w:rFonts w:ascii="Garamond" w:hAnsi="Garamond"/>
                <w:sz w:val="22"/>
                <w:szCs w:val="22"/>
                <w:highlight w:val="yellow"/>
                <w:lang w:val="en-US"/>
              </w:rPr>
            </w:pPr>
            <w:r w:rsidRPr="006F6DAC">
              <w:rPr>
                <w:rFonts w:ascii="Garamond" w:hAnsi="Garamond"/>
                <w:sz w:val="22"/>
                <w:szCs w:val="22"/>
                <w:highlight w:val="yellow"/>
                <w:lang w:val="en-US"/>
              </w:rPr>
              <w:t xml:space="preserve">                                           &lt;period start="0000" end="0100"&gt;</w:t>
            </w:r>
          </w:p>
          <w:p w14:paraId="599275C6" w14:textId="77777777" w:rsidR="00F11A8B" w:rsidRPr="006F6DAC" w:rsidRDefault="00F11A8B" w:rsidP="00F11A8B">
            <w:pPr>
              <w:pStyle w:val="aff8"/>
              <w:rPr>
                <w:rFonts w:ascii="Garamond" w:hAnsi="Garamond"/>
                <w:sz w:val="22"/>
                <w:szCs w:val="22"/>
                <w:highlight w:val="yellow"/>
                <w:lang w:val="en-US"/>
              </w:rPr>
            </w:pPr>
            <w:r w:rsidRPr="006F6DAC">
              <w:rPr>
                <w:rFonts w:ascii="Garamond" w:hAnsi="Garamond"/>
                <w:sz w:val="22"/>
                <w:szCs w:val="22"/>
                <w:highlight w:val="yellow"/>
                <w:lang w:val="en-US"/>
              </w:rPr>
              <w:tab/>
            </w:r>
            <w:r w:rsidRPr="006F6DAC">
              <w:rPr>
                <w:rFonts w:ascii="Garamond" w:hAnsi="Garamond"/>
                <w:sz w:val="22"/>
                <w:szCs w:val="22"/>
                <w:highlight w:val="yellow"/>
                <w:lang w:val="en-US"/>
              </w:rPr>
              <w:tab/>
            </w:r>
            <w:r w:rsidRPr="006F6DAC">
              <w:rPr>
                <w:rFonts w:ascii="Garamond" w:hAnsi="Garamond"/>
                <w:sz w:val="22"/>
                <w:szCs w:val="22"/>
                <w:highlight w:val="yellow"/>
                <w:lang w:val="en-US"/>
              </w:rPr>
              <w:tab/>
              <w:t xml:space="preserve">&lt;value&gt;5600&lt;/value&gt; </w:t>
            </w:r>
          </w:p>
          <w:p w14:paraId="62BD0D10" w14:textId="77777777" w:rsidR="00F11A8B" w:rsidRPr="006F6DAC" w:rsidRDefault="00F11A8B" w:rsidP="00F11A8B">
            <w:pPr>
              <w:pStyle w:val="aff8"/>
              <w:rPr>
                <w:rFonts w:ascii="Garamond" w:hAnsi="Garamond"/>
                <w:sz w:val="22"/>
                <w:szCs w:val="22"/>
                <w:highlight w:val="yellow"/>
                <w:lang w:val="en-US"/>
              </w:rPr>
            </w:pPr>
            <w:r w:rsidRPr="006F6DAC">
              <w:rPr>
                <w:rFonts w:ascii="Garamond" w:hAnsi="Garamond"/>
                <w:sz w:val="22"/>
                <w:szCs w:val="22"/>
                <w:highlight w:val="yellow"/>
                <w:lang w:val="en-US"/>
              </w:rPr>
              <w:tab/>
            </w:r>
            <w:r w:rsidRPr="006F6DAC">
              <w:rPr>
                <w:rFonts w:ascii="Garamond" w:hAnsi="Garamond"/>
                <w:sz w:val="22"/>
                <w:szCs w:val="22"/>
                <w:highlight w:val="yellow"/>
                <w:lang w:val="en-US"/>
              </w:rPr>
              <w:tab/>
            </w:r>
            <w:r w:rsidRPr="006F6DAC">
              <w:rPr>
                <w:rFonts w:ascii="Garamond" w:hAnsi="Garamond"/>
                <w:sz w:val="22"/>
                <w:szCs w:val="22"/>
                <w:highlight w:val="yellow"/>
                <w:lang w:val="en-US"/>
              </w:rPr>
              <w:tab/>
              <w:t>&lt;/period&gt;</w:t>
            </w:r>
          </w:p>
          <w:p w14:paraId="09AAFA61" w14:textId="77777777" w:rsidR="00F11A8B" w:rsidRPr="006F6DAC" w:rsidRDefault="00F11A8B" w:rsidP="00F11A8B">
            <w:pPr>
              <w:pStyle w:val="aff8"/>
              <w:rPr>
                <w:rFonts w:ascii="Garamond" w:hAnsi="Garamond"/>
                <w:sz w:val="22"/>
                <w:szCs w:val="22"/>
                <w:highlight w:val="yellow"/>
                <w:lang w:val="en-US"/>
              </w:rPr>
            </w:pPr>
            <w:r w:rsidRPr="006F6DAC">
              <w:rPr>
                <w:rFonts w:ascii="Garamond" w:hAnsi="Garamond"/>
                <w:sz w:val="22"/>
                <w:szCs w:val="22"/>
                <w:highlight w:val="yellow"/>
                <w:lang w:val="en-US"/>
              </w:rPr>
              <w:t># .............. (пропущено)</w:t>
            </w:r>
            <w:r w:rsidRPr="006F6DAC">
              <w:rPr>
                <w:rFonts w:ascii="Garamond" w:hAnsi="Garamond"/>
                <w:sz w:val="22"/>
                <w:szCs w:val="22"/>
                <w:highlight w:val="yellow"/>
                <w:lang w:val="en-US"/>
              </w:rPr>
              <w:tab/>
            </w:r>
            <w:r w:rsidRPr="006F6DAC">
              <w:rPr>
                <w:rFonts w:ascii="Garamond" w:hAnsi="Garamond"/>
                <w:sz w:val="22"/>
                <w:szCs w:val="22"/>
                <w:highlight w:val="yellow"/>
                <w:lang w:val="en-US"/>
              </w:rPr>
              <w:tab/>
            </w:r>
            <w:r w:rsidRPr="006F6DAC">
              <w:rPr>
                <w:rFonts w:ascii="Garamond" w:hAnsi="Garamond"/>
                <w:sz w:val="22"/>
                <w:szCs w:val="22"/>
                <w:highlight w:val="yellow"/>
                <w:lang w:val="en-US"/>
              </w:rPr>
              <w:tab/>
            </w:r>
          </w:p>
          <w:p w14:paraId="7F540D5D" w14:textId="77777777" w:rsidR="00F11A8B" w:rsidRPr="006F6DAC" w:rsidRDefault="00F11A8B" w:rsidP="00F11A8B">
            <w:pPr>
              <w:pStyle w:val="aff8"/>
              <w:rPr>
                <w:rFonts w:ascii="Garamond" w:hAnsi="Garamond"/>
                <w:sz w:val="22"/>
                <w:szCs w:val="22"/>
                <w:highlight w:val="yellow"/>
                <w:lang w:val="en-US"/>
              </w:rPr>
            </w:pPr>
            <w:r w:rsidRPr="006F6DAC">
              <w:rPr>
                <w:rFonts w:ascii="Garamond" w:hAnsi="Garamond"/>
                <w:sz w:val="22"/>
                <w:szCs w:val="22"/>
                <w:highlight w:val="yellow"/>
                <w:lang w:val="en-US"/>
              </w:rPr>
              <w:tab/>
            </w:r>
            <w:r w:rsidRPr="006F6DAC">
              <w:rPr>
                <w:rFonts w:ascii="Garamond" w:hAnsi="Garamond"/>
                <w:sz w:val="22"/>
                <w:szCs w:val="22"/>
                <w:highlight w:val="yellow"/>
                <w:lang w:val="en-US"/>
              </w:rPr>
              <w:tab/>
            </w:r>
            <w:r w:rsidRPr="006F6DAC">
              <w:rPr>
                <w:rFonts w:ascii="Garamond" w:hAnsi="Garamond"/>
                <w:sz w:val="22"/>
                <w:szCs w:val="22"/>
                <w:highlight w:val="yellow"/>
                <w:lang w:val="en-US"/>
              </w:rPr>
              <w:tab/>
              <w:t>&lt;period start="2300" end="0000"&gt;</w:t>
            </w:r>
          </w:p>
          <w:p w14:paraId="5691967B" w14:textId="77777777" w:rsidR="00F11A8B" w:rsidRPr="006F6DAC" w:rsidRDefault="00F11A8B" w:rsidP="00F11A8B">
            <w:pPr>
              <w:pStyle w:val="aff8"/>
              <w:rPr>
                <w:rFonts w:ascii="Garamond" w:hAnsi="Garamond"/>
                <w:sz w:val="22"/>
                <w:szCs w:val="22"/>
                <w:highlight w:val="yellow"/>
                <w:lang w:val="en-US"/>
              </w:rPr>
            </w:pPr>
            <w:r w:rsidRPr="006F6DAC">
              <w:rPr>
                <w:rFonts w:ascii="Garamond" w:hAnsi="Garamond"/>
                <w:sz w:val="22"/>
                <w:szCs w:val="22"/>
                <w:highlight w:val="yellow"/>
                <w:lang w:val="en-US"/>
              </w:rPr>
              <w:tab/>
            </w:r>
            <w:r w:rsidRPr="006F6DAC">
              <w:rPr>
                <w:rFonts w:ascii="Garamond" w:hAnsi="Garamond"/>
                <w:sz w:val="22"/>
                <w:szCs w:val="22"/>
                <w:highlight w:val="yellow"/>
                <w:lang w:val="en-US"/>
              </w:rPr>
              <w:tab/>
            </w:r>
            <w:r w:rsidRPr="006F6DAC">
              <w:rPr>
                <w:rFonts w:ascii="Garamond" w:hAnsi="Garamond"/>
                <w:sz w:val="22"/>
                <w:szCs w:val="22"/>
                <w:highlight w:val="yellow"/>
                <w:lang w:val="en-US"/>
              </w:rPr>
              <w:tab/>
              <w:t xml:space="preserve">&lt;value&gt;7200&lt;/value&gt; </w:t>
            </w:r>
          </w:p>
          <w:p w14:paraId="2A46C387" w14:textId="77777777" w:rsidR="00F11A8B" w:rsidRPr="006F6DAC" w:rsidRDefault="00F11A8B" w:rsidP="00F11A8B">
            <w:pPr>
              <w:pStyle w:val="aff8"/>
              <w:rPr>
                <w:rFonts w:ascii="Garamond" w:hAnsi="Garamond"/>
                <w:sz w:val="22"/>
                <w:szCs w:val="22"/>
                <w:highlight w:val="yellow"/>
                <w:lang w:val="en-US"/>
              </w:rPr>
            </w:pPr>
            <w:r w:rsidRPr="006F6DAC">
              <w:rPr>
                <w:rFonts w:ascii="Garamond" w:hAnsi="Garamond"/>
                <w:sz w:val="22"/>
                <w:szCs w:val="22"/>
                <w:highlight w:val="yellow"/>
                <w:lang w:val="en-US"/>
              </w:rPr>
              <w:tab/>
            </w:r>
            <w:r w:rsidRPr="006F6DAC">
              <w:rPr>
                <w:rFonts w:ascii="Garamond" w:hAnsi="Garamond"/>
                <w:sz w:val="22"/>
                <w:szCs w:val="22"/>
                <w:highlight w:val="yellow"/>
                <w:lang w:val="en-US"/>
              </w:rPr>
              <w:tab/>
            </w:r>
            <w:r w:rsidRPr="006F6DAC">
              <w:rPr>
                <w:rFonts w:ascii="Garamond" w:hAnsi="Garamond"/>
                <w:sz w:val="22"/>
                <w:szCs w:val="22"/>
                <w:highlight w:val="yellow"/>
                <w:lang w:val="en-US"/>
              </w:rPr>
              <w:tab/>
              <w:t>&lt;/period&gt;</w:t>
            </w:r>
          </w:p>
          <w:p w14:paraId="77C7D985" w14:textId="77777777" w:rsidR="00F11A8B" w:rsidRPr="006F6DAC" w:rsidRDefault="00F11A8B" w:rsidP="00F11A8B">
            <w:pPr>
              <w:pStyle w:val="aff8"/>
              <w:rPr>
                <w:rFonts w:ascii="Garamond" w:hAnsi="Garamond"/>
                <w:sz w:val="22"/>
                <w:szCs w:val="22"/>
                <w:highlight w:val="yellow"/>
                <w:lang w:val="en-US"/>
              </w:rPr>
            </w:pPr>
            <w:r w:rsidRPr="006F6DAC">
              <w:rPr>
                <w:rFonts w:ascii="Garamond" w:hAnsi="Garamond"/>
                <w:sz w:val="22"/>
                <w:szCs w:val="22"/>
                <w:highlight w:val="yellow"/>
                <w:lang w:val="en-US"/>
              </w:rPr>
              <w:t xml:space="preserve">              &lt;/regulation-object&gt;</w:t>
            </w:r>
          </w:p>
          <w:p w14:paraId="48F0CE75" w14:textId="77777777" w:rsidR="00F11A8B" w:rsidRPr="006F6DAC" w:rsidRDefault="00F11A8B" w:rsidP="00F11A8B">
            <w:pPr>
              <w:pStyle w:val="aff8"/>
              <w:rPr>
                <w:rFonts w:ascii="Garamond" w:hAnsi="Garamond"/>
                <w:sz w:val="22"/>
                <w:szCs w:val="22"/>
                <w:lang w:val="en-US"/>
              </w:rPr>
            </w:pPr>
            <w:r w:rsidRPr="006F6DAC">
              <w:rPr>
                <w:rFonts w:ascii="Garamond" w:hAnsi="Garamond"/>
                <w:sz w:val="22"/>
                <w:szCs w:val="22"/>
                <w:highlight w:val="yellow"/>
                <w:lang w:val="en-US"/>
              </w:rPr>
              <w:t>&lt;/area&gt;</w:t>
            </w:r>
          </w:p>
        </w:tc>
      </w:tr>
      <w:tr w:rsidR="00F11A8B" w:rsidRPr="006F6DAC" w14:paraId="2E2FA2D8" w14:textId="77777777" w:rsidTr="006F6DAC">
        <w:tc>
          <w:tcPr>
            <w:tcW w:w="1060" w:type="dxa"/>
          </w:tcPr>
          <w:p w14:paraId="389D8535" w14:textId="77777777" w:rsidR="00F11A8B" w:rsidRPr="006F6DAC" w:rsidRDefault="00F11A8B" w:rsidP="00F11A8B">
            <w:pPr>
              <w:widowControl w:val="0"/>
              <w:spacing w:line="259" w:lineRule="auto"/>
              <w:jc w:val="center"/>
              <w:rPr>
                <w:rFonts w:ascii="Garamond" w:hAnsi="Garamond"/>
                <w:b/>
                <w:sz w:val="22"/>
                <w:szCs w:val="22"/>
                <w:lang w:eastAsia="en-US"/>
              </w:rPr>
            </w:pPr>
            <w:r w:rsidRPr="006F6DAC">
              <w:rPr>
                <w:rFonts w:ascii="Garamond" w:hAnsi="Garamond"/>
                <w:b/>
                <w:sz w:val="22"/>
                <w:szCs w:val="22"/>
                <w:lang w:eastAsia="en-US"/>
              </w:rPr>
              <w:lastRenderedPageBreak/>
              <w:t>Приложение 2</w:t>
            </w:r>
          </w:p>
        </w:tc>
        <w:tc>
          <w:tcPr>
            <w:tcW w:w="6804" w:type="dxa"/>
          </w:tcPr>
          <w:p w14:paraId="0E0C1CB2" w14:textId="77777777" w:rsidR="00F11A8B" w:rsidRPr="006F6DAC" w:rsidRDefault="00F11A8B" w:rsidP="00F11A8B">
            <w:pPr>
              <w:pStyle w:val="10"/>
              <w:rPr>
                <w:rFonts w:ascii="Garamond" w:hAnsi="Garamond"/>
                <w:sz w:val="22"/>
                <w:szCs w:val="22"/>
                <w:highlight w:val="yellow"/>
              </w:rPr>
            </w:pPr>
            <w:r w:rsidRPr="006F6DAC">
              <w:rPr>
                <w:rFonts w:ascii="Garamond" w:hAnsi="Garamond"/>
                <w:sz w:val="22"/>
                <w:szCs w:val="22"/>
              </w:rPr>
              <w:t>Примеры электронн</w:t>
            </w:r>
            <w:r w:rsidRPr="006F6DAC">
              <w:rPr>
                <w:rFonts w:ascii="Garamond" w:hAnsi="Garamond"/>
                <w:sz w:val="22"/>
                <w:szCs w:val="22"/>
                <w:highlight w:val="yellow"/>
              </w:rPr>
              <w:t>ого входного</w:t>
            </w:r>
            <w:r w:rsidRPr="006F6DAC">
              <w:rPr>
                <w:rFonts w:ascii="Garamond" w:hAnsi="Garamond"/>
                <w:sz w:val="22"/>
                <w:szCs w:val="22"/>
              </w:rPr>
              <w:t xml:space="preserve"> документ</w:t>
            </w:r>
            <w:r w:rsidRPr="006F6DAC">
              <w:rPr>
                <w:rFonts w:ascii="Garamond" w:hAnsi="Garamond"/>
                <w:sz w:val="22"/>
                <w:szCs w:val="22"/>
                <w:highlight w:val="yellow"/>
              </w:rPr>
              <w:t>а</w:t>
            </w:r>
            <w:r w:rsidRPr="006F6DAC">
              <w:rPr>
                <w:rFonts w:ascii="Garamond" w:hAnsi="Garamond"/>
                <w:sz w:val="22"/>
                <w:szCs w:val="22"/>
              </w:rPr>
              <w:t xml:space="preserve"> </w:t>
            </w:r>
            <w:r w:rsidRPr="006F6DAC">
              <w:rPr>
                <w:rFonts w:ascii="Garamond" w:hAnsi="Garamond"/>
                <w:color w:val="000000"/>
                <w:sz w:val="22"/>
                <w:szCs w:val="22"/>
              </w:rPr>
              <w:t>80020 и 80040</w:t>
            </w:r>
          </w:p>
        </w:tc>
        <w:tc>
          <w:tcPr>
            <w:tcW w:w="7115" w:type="dxa"/>
          </w:tcPr>
          <w:p w14:paraId="01B5955C" w14:textId="77777777" w:rsidR="00F11A8B" w:rsidRPr="006F6DAC" w:rsidRDefault="00F11A8B" w:rsidP="00F11A8B">
            <w:pPr>
              <w:pStyle w:val="10"/>
              <w:rPr>
                <w:rFonts w:ascii="Garamond" w:hAnsi="Garamond"/>
                <w:sz w:val="22"/>
                <w:szCs w:val="22"/>
              </w:rPr>
            </w:pPr>
            <w:r w:rsidRPr="006F6DAC">
              <w:rPr>
                <w:rFonts w:ascii="Garamond" w:hAnsi="Garamond"/>
                <w:sz w:val="22"/>
                <w:szCs w:val="22"/>
              </w:rPr>
              <w:t>Примеры электронн</w:t>
            </w:r>
            <w:r w:rsidRPr="006F6DAC">
              <w:rPr>
                <w:rFonts w:ascii="Garamond" w:hAnsi="Garamond"/>
                <w:sz w:val="22"/>
                <w:szCs w:val="22"/>
                <w:highlight w:val="yellow"/>
              </w:rPr>
              <w:t>ых</w:t>
            </w:r>
            <w:r w:rsidRPr="006F6DAC">
              <w:rPr>
                <w:rFonts w:ascii="Garamond" w:hAnsi="Garamond"/>
                <w:sz w:val="22"/>
                <w:szCs w:val="22"/>
              </w:rPr>
              <w:t xml:space="preserve"> документ</w:t>
            </w:r>
            <w:r w:rsidRPr="006F6DAC">
              <w:rPr>
                <w:rFonts w:ascii="Garamond" w:hAnsi="Garamond"/>
                <w:sz w:val="22"/>
                <w:szCs w:val="22"/>
                <w:highlight w:val="yellow"/>
              </w:rPr>
              <w:t>ов</w:t>
            </w:r>
            <w:r w:rsidRPr="006F6DAC">
              <w:rPr>
                <w:rFonts w:ascii="Garamond" w:hAnsi="Garamond"/>
                <w:sz w:val="22"/>
                <w:szCs w:val="22"/>
              </w:rPr>
              <w:t xml:space="preserve"> </w:t>
            </w:r>
            <w:r w:rsidRPr="006F6DAC">
              <w:rPr>
                <w:rFonts w:ascii="Garamond" w:hAnsi="Garamond"/>
                <w:color w:val="000000"/>
                <w:sz w:val="22"/>
                <w:szCs w:val="22"/>
              </w:rPr>
              <w:t>80020 и 80040</w:t>
            </w:r>
          </w:p>
        </w:tc>
      </w:tr>
      <w:tr w:rsidR="00F11A8B" w:rsidRPr="006F6DAC" w14:paraId="4280749B" w14:textId="77777777" w:rsidTr="006F6DAC">
        <w:tc>
          <w:tcPr>
            <w:tcW w:w="1060" w:type="dxa"/>
          </w:tcPr>
          <w:p w14:paraId="748709B1" w14:textId="03F1ABF6" w:rsidR="00F11A8B" w:rsidRPr="006F6DAC" w:rsidRDefault="00F11A8B" w:rsidP="00F11A8B">
            <w:pPr>
              <w:widowControl w:val="0"/>
              <w:spacing w:line="259" w:lineRule="auto"/>
              <w:jc w:val="center"/>
              <w:rPr>
                <w:rFonts w:ascii="Garamond" w:hAnsi="Garamond"/>
                <w:b/>
                <w:sz w:val="22"/>
                <w:szCs w:val="22"/>
                <w:lang w:eastAsia="en-US"/>
              </w:rPr>
            </w:pPr>
            <w:r w:rsidRPr="006F6DAC">
              <w:rPr>
                <w:rFonts w:ascii="Garamond" w:hAnsi="Garamond"/>
                <w:b/>
                <w:sz w:val="22"/>
                <w:szCs w:val="22"/>
                <w:lang w:eastAsia="en-US"/>
              </w:rPr>
              <w:lastRenderedPageBreak/>
              <w:t>Приложение 2, п.</w:t>
            </w:r>
            <w:r w:rsidR="006F6DAC">
              <w:rPr>
                <w:rFonts w:ascii="Garamond" w:hAnsi="Garamond"/>
                <w:b/>
                <w:sz w:val="22"/>
                <w:szCs w:val="22"/>
                <w:lang w:eastAsia="en-US"/>
              </w:rPr>
              <w:t xml:space="preserve"> </w:t>
            </w:r>
            <w:r w:rsidRPr="006F6DAC">
              <w:rPr>
                <w:rFonts w:ascii="Garamond" w:hAnsi="Garamond"/>
                <w:b/>
                <w:sz w:val="22"/>
                <w:szCs w:val="22"/>
                <w:lang w:eastAsia="en-US"/>
              </w:rPr>
              <w:t>4</w:t>
            </w:r>
          </w:p>
        </w:tc>
        <w:tc>
          <w:tcPr>
            <w:tcW w:w="6804" w:type="dxa"/>
          </w:tcPr>
          <w:p w14:paraId="7B8BB83E" w14:textId="77777777" w:rsidR="00F11A8B" w:rsidRPr="006F6DAC" w:rsidRDefault="00F11A8B" w:rsidP="00F11A8B">
            <w:pPr>
              <w:tabs>
                <w:tab w:val="left" w:pos="1080"/>
              </w:tabs>
              <w:spacing w:before="120" w:after="120"/>
              <w:jc w:val="both"/>
              <w:rPr>
                <w:rFonts w:ascii="Garamond" w:hAnsi="Garamond"/>
                <w:sz w:val="22"/>
                <w:szCs w:val="22"/>
                <w:highlight w:val="yellow"/>
              </w:rPr>
            </w:pPr>
            <w:r w:rsidRPr="006F6DAC">
              <w:rPr>
                <w:rFonts w:ascii="Garamond" w:hAnsi="Garamond"/>
                <w:sz w:val="22"/>
                <w:szCs w:val="22"/>
                <w:highlight w:val="yellow"/>
              </w:rPr>
              <w:t>Пример документа формата 80020 с указанием атрибута &lt;algorithmversion&gt; при параллельной пере-даче данных по точкам поставки, группе точек поставки и сальдо перетоку:</w:t>
            </w:r>
          </w:p>
          <w:p w14:paraId="3A2826EC" w14:textId="77777777" w:rsidR="00F11A8B" w:rsidRPr="006F6DAC" w:rsidRDefault="00F11A8B" w:rsidP="00F11A8B">
            <w:pPr>
              <w:tabs>
                <w:tab w:val="left" w:pos="1080"/>
              </w:tabs>
              <w:spacing w:before="120" w:after="120"/>
              <w:jc w:val="both"/>
              <w:rPr>
                <w:rFonts w:ascii="Garamond" w:hAnsi="Garamond"/>
                <w:sz w:val="22"/>
                <w:szCs w:val="22"/>
                <w:highlight w:val="yellow"/>
                <w:lang w:val="en-US"/>
              </w:rPr>
            </w:pPr>
            <w:r w:rsidRPr="006F6DAC">
              <w:rPr>
                <w:rFonts w:ascii="Garamond" w:hAnsi="Garamond"/>
                <w:sz w:val="22"/>
                <w:szCs w:val="22"/>
                <w:highlight w:val="yellow"/>
                <w:lang w:val="en-US"/>
              </w:rPr>
              <w:t xml:space="preserve">&lt;?xml version="1.0" encoding="windows-1251" ?&gt; </w:t>
            </w:r>
          </w:p>
          <w:p w14:paraId="316A0413" w14:textId="77777777" w:rsidR="00F11A8B" w:rsidRPr="006F6DAC" w:rsidRDefault="00F11A8B" w:rsidP="00F11A8B">
            <w:pPr>
              <w:tabs>
                <w:tab w:val="left" w:pos="1080"/>
              </w:tabs>
              <w:spacing w:before="120" w:after="120"/>
              <w:jc w:val="both"/>
              <w:rPr>
                <w:rFonts w:ascii="Garamond" w:hAnsi="Garamond"/>
                <w:sz w:val="22"/>
                <w:szCs w:val="22"/>
                <w:highlight w:val="yellow"/>
                <w:lang w:val="en-US"/>
              </w:rPr>
            </w:pPr>
            <w:r w:rsidRPr="006F6DAC">
              <w:rPr>
                <w:rFonts w:ascii="Garamond" w:hAnsi="Garamond"/>
                <w:sz w:val="22"/>
                <w:szCs w:val="22"/>
                <w:highlight w:val="yellow"/>
                <w:lang w:val="en-US"/>
              </w:rPr>
              <w:t>&lt;message class="80020" version="2" number="593"&gt;</w:t>
            </w:r>
          </w:p>
          <w:p w14:paraId="4B2B2CA9" w14:textId="77777777" w:rsidR="00F11A8B" w:rsidRPr="006F6DAC" w:rsidRDefault="00F11A8B" w:rsidP="00F11A8B">
            <w:pPr>
              <w:tabs>
                <w:tab w:val="left" w:pos="1080"/>
              </w:tabs>
              <w:spacing w:before="120" w:after="120"/>
              <w:jc w:val="both"/>
              <w:rPr>
                <w:rFonts w:ascii="Garamond" w:hAnsi="Garamond"/>
                <w:sz w:val="22"/>
                <w:szCs w:val="22"/>
                <w:highlight w:val="yellow"/>
                <w:lang w:val="en-US"/>
              </w:rPr>
            </w:pPr>
            <w:r w:rsidRPr="006F6DAC">
              <w:rPr>
                <w:rFonts w:ascii="Garamond" w:hAnsi="Garamond"/>
                <w:sz w:val="22"/>
                <w:szCs w:val="22"/>
                <w:highlight w:val="yellow"/>
                <w:lang w:val="en-US"/>
              </w:rPr>
              <w:t>&lt;datetime&gt;</w:t>
            </w:r>
          </w:p>
          <w:p w14:paraId="525D2E7A" w14:textId="77777777" w:rsidR="00F11A8B" w:rsidRPr="006F6DAC" w:rsidRDefault="00F11A8B" w:rsidP="00F11A8B">
            <w:pPr>
              <w:tabs>
                <w:tab w:val="left" w:pos="1080"/>
              </w:tabs>
              <w:spacing w:before="120" w:after="120"/>
              <w:jc w:val="both"/>
              <w:rPr>
                <w:rFonts w:ascii="Garamond" w:hAnsi="Garamond"/>
                <w:sz w:val="22"/>
                <w:szCs w:val="22"/>
                <w:highlight w:val="yellow"/>
                <w:lang w:val="en-US"/>
              </w:rPr>
            </w:pPr>
            <w:r w:rsidRPr="006F6DAC">
              <w:rPr>
                <w:rFonts w:ascii="Garamond" w:hAnsi="Garamond"/>
                <w:sz w:val="22"/>
                <w:szCs w:val="22"/>
                <w:highlight w:val="yellow"/>
                <w:lang w:val="en-US"/>
              </w:rPr>
              <w:tab/>
              <w:t xml:space="preserve">&lt;day&gt;20090427&lt;/day&gt; </w:t>
            </w:r>
          </w:p>
          <w:p w14:paraId="5BCCEB6A" w14:textId="77777777" w:rsidR="00F11A8B" w:rsidRPr="006F6DAC" w:rsidRDefault="00F11A8B" w:rsidP="00F11A8B">
            <w:pPr>
              <w:tabs>
                <w:tab w:val="left" w:pos="1080"/>
              </w:tabs>
              <w:spacing w:before="120" w:after="120"/>
              <w:jc w:val="both"/>
              <w:rPr>
                <w:rFonts w:ascii="Garamond" w:hAnsi="Garamond"/>
                <w:sz w:val="22"/>
                <w:szCs w:val="22"/>
                <w:highlight w:val="yellow"/>
                <w:lang w:val="en-US"/>
              </w:rPr>
            </w:pPr>
            <w:r w:rsidRPr="006F6DAC">
              <w:rPr>
                <w:rFonts w:ascii="Garamond" w:hAnsi="Garamond"/>
                <w:sz w:val="22"/>
                <w:szCs w:val="22"/>
                <w:highlight w:val="yellow"/>
                <w:lang w:val="en-US"/>
              </w:rPr>
              <w:tab/>
              <w:t xml:space="preserve">&lt;timestamp&gt;20090428081709&lt;/timestamp&gt; </w:t>
            </w:r>
          </w:p>
          <w:p w14:paraId="5F702D54" w14:textId="77777777" w:rsidR="00F11A8B" w:rsidRPr="006F6DAC" w:rsidRDefault="00F11A8B" w:rsidP="00F11A8B">
            <w:pPr>
              <w:tabs>
                <w:tab w:val="left" w:pos="1080"/>
              </w:tabs>
              <w:spacing w:before="120" w:after="120"/>
              <w:jc w:val="both"/>
              <w:rPr>
                <w:rFonts w:ascii="Garamond" w:hAnsi="Garamond"/>
                <w:sz w:val="22"/>
                <w:szCs w:val="22"/>
                <w:highlight w:val="yellow"/>
                <w:lang w:val="en-US"/>
              </w:rPr>
            </w:pPr>
            <w:r w:rsidRPr="006F6DAC">
              <w:rPr>
                <w:rFonts w:ascii="Garamond" w:hAnsi="Garamond"/>
                <w:sz w:val="22"/>
                <w:szCs w:val="22"/>
                <w:highlight w:val="yellow"/>
                <w:lang w:val="en-US"/>
              </w:rPr>
              <w:tab/>
              <w:t xml:space="preserve">&lt;daylightsavingtime&gt;0&lt;/daylightsavingtime&gt; </w:t>
            </w:r>
          </w:p>
          <w:p w14:paraId="6D87D7F7" w14:textId="77777777" w:rsidR="00F11A8B" w:rsidRPr="006F6DAC" w:rsidRDefault="00F11A8B" w:rsidP="00F11A8B">
            <w:pPr>
              <w:tabs>
                <w:tab w:val="left" w:pos="1080"/>
              </w:tabs>
              <w:spacing w:before="120" w:after="120"/>
              <w:jc w:val="both"/>
              <w:rPr>
                <w:rFonts w:ascii="Garamond" w:hAnsi="Garamond"/>
                <w:sz w:val="22"/>
                <w:szCs w:val="22"/>
                <w:highlight w:val="yellow"/>
                <w:lang w:val="en-US"/>
              </w:rPr>
            </w:pPr>
            <w:r w:rsidRPr="006F6DAC">
              <w:rPr>
                <w:rFonts w:ascii="Garamond" w:hAnsi="Garamond"/>
                <w:sz w:val="22"/>
                <w:szCs w:val="22"/>
                <w:highlight w:val="yellow"/>
                <w:lang w:val="en-US"/>
              </w:rPr>
              <w:t>&lt;/datetime&gt;</w:t>
            </w:r>
          </w:p>
          <w:p w14:paraId="0F750084" w14:textId="77777777" w:rsidR="00F11A8B" w:rsidRPr="006F6DAC" w:rsidRDefault="00F11A8B" w:rsidP="00F11A8B">
            <w:pPr>
              <w:tabs>
                <w:tab w:val="left" w:pos="1080"/>
              </w:tabs>
              <w:spacing w:before="120" w:after="120"/>
              <w:jc w:val="both"/>
              <w:rPr>
                <w:rFonts w:ascii="Garamond" w:hAnsi="Garamond"/>
                <w:sz w:val="22"/>
                <w:szCs w:val="22"/>
                <w:highlight w:val="yellow"/>
                <w:lang w:val="en-US"/>
              </w:rPr>
            </w:pPr>
            <w:r w:rsidRPr="006F6DAC">
              <w:rPr>
                <w:rFonts w:ascii="Garamond" w:hAnsi="Garamond"/>
                <w:sz w:val="22"/>
                <w:szCs w:val="22"/>
                <w:highlight w:val="yellow"/>
                <w:lang w:val="en-US"/>
              </w:rPr>
              <w:t>&lt;sender&gt;</w:t>
            </w:r>
          </w:p>
          <w:p w14:paraId="16A17D15" w14:textId="77777777" w:rsidR="00F11A8B" w:rsidRPr="006F6DAC" w:rsidRDefault="00F11A8B" w:rsidP="00F11A8B">
            <w:pPr>
              <w:tabs>
                <w:tab w:val="left" w:pos="1080"/>
              </w:tabs>
              <w:spacing w:before="120" w:after="120"/>
              <w:jc w:val="both"/>
              <w:rPr>
                <w:rFonts w:ascii="Garamond" w:hAnsi="Garamond"/>
                <w:sz w:val="22"/>
                <w:szCs w:val="22"/>
                <w:highlight w:val="yellow"/>
                <w:lang w:val="en-US"/>
              </w:rPr>
            </w:pPr>
            <w:r w:rsidRPr="006F6DAC">
              <w:rPr>
                <w:rFonts w:ascii="Garamond" w:hAnsi="Garamond"/>
                <w:sz w:val="22"/>
                <w:szCs w:val="22"/>
                <w:highlight w:val="yellow"/>
                <w:lang w:val="en-US"/>
              </w:rPr>
              <w:tab/>
              <w:t>&lt;name&gt;</w:t>
            </w:r>
            <w:r w:rsidRPr="006F6DAC">
              <w:rPr>
                <w:rFonts w:ascii="Garamond" w:hAnsi="Garamond"/>
                <w:sz w:val="22"/>
                <w:szCs w:val="22"/>
                <w:highlight w:val="yellow"/>
              </w:rPr>
              <w:t>Некоторая</w:t>
            </w:r>
            <w:r w:rsidRPr="006F6DAC">
              <w:rPr>
                <w:rFonts w:ascii="Garamond" w:hAnsi="Garamond"/>
                <w:sz w:val="22"/>
                <w:szCs w:val="22"/>
                <w:highlight w:val="yellow"/>
                <w:lang w:val="en-US"/>
              </w:rPr>
              <w:t xml:space="preserve"> </w:t>
            </w:r>
            <w:r w:rsidRPr="006F6DAC">
              <w:rPr>
                <w:rFonts w:ascii="Garamond" w:hAnsi="Garamond"/>
                <w:sz w:val="22"/>
                <w:szCs w:val="22"/>
                <w:highlight w:val="yellow"/>
              </w:rPr>
              <w:t>организация</w:t>
            </w:r>
            <w:r w:rsidRPr="006F6DAC">
              <w:rPr>
                <w:rFonts w:ascii="Garamond" w:hAnsi="Garamond"/>
                <w:sz w:val="22"/>
                <w:szCs w:val="22"/>
                <w:highlight w:val="yellow"/>
                <w:lang w:val="en-US"/>
              </w:rPr>
              <w:t xml:space="preserve">&lt;/name&gt; </w:t>
            </w:r>
          </w:p>
          <w:p w14:paraId="4C4839CA" w14:textId="77777777" w:rsidR="00F11A8B" w:rsidRPr="006F6DAC" w:rsidRDefault="00F11A8B" w:rsidP="00F11A8B">
            <w:pPr>
              <w:tabs>
                <w:tab w:val="left" w:pos="1080"/>
              </w:tabs>
              <w:spacing w:before="120" w:after="120"/>
              <w:jc w:val="both"/>
              <w:rPr>
                <w:rFonts w:ascii="Garamond" w:hAnsi="Garamond"/>
                <w:sz w:val="22"/>
                <w:szCs w:val="22"/>
                <w:highlight w:val="yellow"/>
                <w:lang w:val="en-US"/>
              </w:rPr>
            </w:pPr>
            <w:r w:rsidRPr="006F6DAC">
              <w:rPr>
                <w:rFonts w:ascii="Garamond" w:hAnsi="Garamond"/>
                <w:sz w:val="22"/>
                <w:szCs w:val="22"/>
                <w:highlight w:val="yellow"/>
                <w:lang w:val="en-US"/>
              </w:rPr>
              <w:tab/>
              <w:t xml:space="preserve">&lt;inn&gt;1234567890&lt;/inn&gt; </w:t>
            </w:r>
          </w:p>
          <w:p w14:paraId="09DDC5D7" w14:textId="77777777" w:rsidR="00F11A8B" w:rsidRPr="006F6DAC" w:rsidRDefault="00F11A8B" w:rsidP="00F11A8B">
            <w:pPr>
              <w:tabs>
                <w:tab w:val="left" w:pos="1080"/>
              </w:tabs>
              <w:spacing w:before="120" w:after="120"/>
              <w:jc w:val="both"/>
              <w:rPr>
                <w:rFonts w:ascii="Garamond" w:hAnsi="Garamond"/>
                <w:sz w:val="22"/>
                <w:szCs w:val="22"/>
                <w:highlight w:val="yellow"/>
                <w:lang w:val="en-US"/>
              </w:rPr>
            </w:pPr>
            <w:r w:rsidRPr="006F6DAC">
              <w:rPr>
                <w:rFonts w:ascii="Garamond" w:hAnsi="Garamond"/>
                <w:sz w:val="22"/>
                <w:szCs w:val="22"/>
                <w:highlight w:val="yellow"/>
                <w:lang w:val="en-US"/>
              </w:rPr>
              <w:t>&lt;/sender&gt;</w:t>
            </w:r>
          </w:p>
          <w:p w14:paraId="1BFB7936" w14:textId="77777777" w:rsidR="00F11A8B" w:rsidRPr="006F6DAC" w:rsidRDefault="00F11A8B" w:rsidP="00F11A8B">
            <w:pPr>
              <w:tabs>
                <w:tab w:val="left" w:pos="1080"/>
              </w:tabs>
              <w:spacing w:before="120" w:after="120"/>
              <w:jc w:val="both"/>
              <w:rPr>
                <w:rFonts w:ascii="Garamond" w:hAnsi="Garamond"/>
                <w:sz w:val="22"/>
                <w:szCs w:val="22"/>
                <w:highlight w:val="yellow"/>
                <w:lang w:val="en-US"/>
              </w:rPr>
            </w:pPr>
            <w:r w:rsidRPr="006F6DAC">
              <w:rPr>
                <w:rFonts w:ascii="Garamond" w:hAnsi="Garamond"/>
                <w:sz w:val="22"/>
                <w:szCs w:val="22"/>
                <w:highlight w:val="yellow"/>
                <w:lang w:val="en-US"/>
              </w:rPr>
              <w:t>&lt;area&gt;</w:t>
            </w:r>
          </w:p>
          <w:p w14:paraId="1965D7A0" w14:textId="77777777" w:rsidR="00F11A8B" w:rsidRPr="006F6DAC" w:rsidRDefault="00F11A8B" w:rsidP="00F11A8B">
            <w:pPr>
              <w:tabs>
                <w:tab w:val="left" w:pos="1080"/>
              </w:tabs>
              <w:spacing w:before="120" w:after="120"/>
              <w:jc w:val="both"/>
              <w:rPr>
                <w:rFonts w:ascii="Garamond" w:hAnsi="Garamond"/>
                <w:sz w:val="22"/>
                <w:szCs w:val="22"/>
                <w:highlight w:val="yellow"/>
                <w:lang w:val="en-US"/>
              </w:rPr>
            </w:pPr>
            <w:r w:rsidRPr="006F6DAC">
              <w:rPr>
                <w:rFonts w:ascii="Garamond" w:hAnsi="Garamond"/>
                <w:sz w:val="22"/>
                <w:szCs w:val="22"/>
                <w:highlight w:val="yellow"/>
                <w:lang w:val="en-US"/>
              </w:rPr>
              <w:tab/>
              <w:t xml:space="preserve">&lt;inn&gt;0987654321&lt;/inn&gt; </w:t>
            </w:r>
          </w:p>
          <w:p w14:paraId="730DC1C8" w14:textId="77777777" w:rsidR="00F11A8B" w:rsidRPr="006F6DAC" w:rsidRDefault="00F11A8B" w:rsidP="00F11A8B">
            <w:pPr>
              <w:tabs>
                <w:tab w:val="left" w:pos="1080"/>
              </w:tabs>
              <w:spacing w:before="120" w:after="120"/>
              <w:jc w:val="both"/>
              <w:rPr>
                <w:rFonts w:ascii="Garamond" w:hAnsi="Garamond"/>
                <w:sz w:val="22"/>
                <w:szCs w:val="22"/>
                <w:highlight w:val="yellow"/>
                <w:lang w:val="en-US"/>
              </w:rPr>
            </w:pPr>
            <w:r w:rsidRPr="006F6DAC">
              <w:rPr>
                <w:rFonts w:ascii="Garamond" w:hAnsi="Garamond"/>
                <w:sz w:val="22"/>
                <w:szCs w:val="22"/>
                <w:highlight w:val="yellow"/>
                <w:lang w:val="en-US"/>
              </w:rPr>
              <w:tab/>
              <w:t>&lt;name&gt;</w:t>
            </w:r>
            <w:r w:rsidRPr="006F6DAC">
              <w:rPr>
                <w:rFonts w:ascii="Garamond" w:hAnsi="Garamond"/>
                <w:sz w:val="22"/>
                <w:szCs w:val="22"/>
                <w:highlight w:val="yellow"/>
              </w:rPr>
              <w:t>Некоторая</w:t>
            </w:r>
            <w:r w:rsidRPr="006F6DAC">
              <w:rPr>
                <w:rFonts w:ascii="Garamond" w:hAnsi="Garamond"/>
                <w:sz w:val="22"/>
                <w:szCs w:val="22"/>
                <w:highlight w:val="yellow"/>
                <w:lang w:val="en-US"/>
              </w:rPr>
              <w:t xml:space="preserve"> </w:t>
            </w:r>
            <w:r w:rsidRPr="006F6DAC">
              <w:rPr>
                <w:rFonts w:ascii="Garamond" w:hAnsi="Garamond"/>
                <w:sz w:val="22"/>
                <w:szCs w:val="22"/>
                <w:highlight w:val="yellow"/>
              </w:rPr>
              <w:t>организация</w:t>
            </w:r>
            <w:r w:rsidRPr="006F6DAC">
              <w:rPr>
                <w:rFonts w:ascii="Garamond" w:hAnsi="Garamond"/>
                <w:sz w:val="22"/>
                <w:szCs w:val="22"/>
                <w:highlight w:val="yellow"/>
                <w:lang w:val="en-US"/>
              </w:rPr>
              <w:t xml:space="preserve">&lt;/name&gt; </w:t>
            </w:r>
          </w:p>
          <w:p w14:paraId="71CFF962" w14:textId="77777777" w:rsidR="00F11A8B" w:rsidRPr="006F6DAC" w:rsidRDefault="00F11A8B" w:rsidP="00F11A8B">
            <w:pPr>
              <w:tabs>
                <w:tab w:val="left" w:pos="1080"/>
              </w:tabs>
              <w:spacing w:before="120" w:after="120"/>
              <w:jc w:val="both"/>
              <w:rPr>
                <w:rFonts w:ascii="Garamond" w:hAnsi="Garamond"/>
                <w:sz w:val="22"/>
                <w:szCs w:val="22"/>
                <w:highlight w:val="yellow"/>
                <w:lang w:val="en-US"/>
              </w:rPr>
            </w:pPr>
            <w:r w:rsidRPr="006F6DAC">
              <w:rPr>
                <w:rFonts w:ascii="Garamond" w:hAnsi="Garamond"/>
                <w:sz w:val="22"/>
                <w:szCs w:val="22"/>
                <w:highlight w:val="yellow"/>
                <w:lang w:val="en-US"/>
              </w:rPr>
              <w:t>&lt;measuringobject code="423430001123405" name="</w:t>
            </w:r>
            <w:r w:rsidRPr="006F6DAC">
              <w:rPr>
                <w:rFonts w:ascii="Garamond" w:hAnsi="Garamond"/>
                <w:sz w:val="22"/>
                <w:szCs w:val="22"/>
                <w:highlight w:val="yellow"/>
              </w:rPr>
              <w:t>Схема</w:t>
            </w:r>
            <w:r w:rsidRPr="006F6DAC">
              <w:rPr>
                <w:rFonts w:ascii="Garamond" w:hAnsi="Garamond"/>
                <w:sz w:val="22"/>
                <w:szCs w:val="22"/>
                <w:highlight w:val="yellow"/>
                <w:lang w:val="en-US"/>
              </w:rPr>
              <w:t xml:space="preserve"> 1" type="1"&gt;</w:t>
            </w:r>
          </w:p>
          <w:p w14:paraId="529F1BD0" w14:textId="77777777" w:rsidR="00F11A8B" w:rsidRPr="006F6DAC" w:rsidRDefault="00F11A8B" w:rsidP="00F11A8B">
            <w:pPr>
              <w:tabs>
                <w:tab w:val="left" w:pos="1080"/>
              </w:tabs>
              <w:spacing w:before="120" w:after="120"/>
              <w:jc w:val="both"/>
              <w:rPr>
                <w:rFonts w:ascii="Garamond" w:hAnsi="Garamond"/>
                <w:sz w:val="22"/>
                <w:szCs w:val="22"/>
                <w:highlight w:val="yellow"/>
                <w:lang w:val="en-US"/>
              </w:rPr>
            </w:pPr>
            <w:r w:rsidRPr="006F6DAC">
              <w:rPr>
                <w:rFonts w:ascii="Garamond" w:hAnsi="Garamond"/>
                <w:sz w:val="22"/>
                <w:szCs w:val="22"/>
                <w:highlight w:val="yellow"/>
                <w:lang w:val="en-US"/>
              </w:rPr>
              <w:t>&lt;period start="0000" end="1230"&gt;&lt;value&gt;0&lt;/value&gt;&lt;/period&gt;</w:t>
            </w:r>
          </w:p>
          <w:p w14:paraId="3CFAD41A" w14:textId="77777777" w:rsidR="00F11A8B" w:rsidRPr="006F6DAC" w:rsidRDefault="00F11A8B" w:rsidP="00F11A8B">
            <w:pPr>
              <w:tabs>
                <w:tab w:val="left" w:pos="1080"/>
              </w:tabs>
              <w:spacing w:before="120" w:after="120"/>
              <w:jc w:val="both"/>
              <w:rPr>
                <w:rFonts w:ascii="Garamond" w:hAnsi="Garamond"/>
                <w:sz w:val="22"/>
                <w:szCs w:val="22"/>
                <w:highlight w:val="yellow"/>
                <w:lang w:val="en-US"/>
              </w:rPr>
            </w:pPr>
            <w:r w:rsidRPr="006F6DAC">
              <w:rPr>
                <w:rFonts w:ascii="Garamond" w:hAnsi="Garamond"/>
                <w:sz w:val="22"/>
                <w:szCs w:val="22"/>
                <w:highlight w:val="yellow"/>
                <w:lang w:val="en-US"/>
              </w:rPr>
              <w:t>&lt;period start="1230" end="0000"&gt;&lt;value&gt;1&lt;/value&gt;&lt;/period&gt;</w:t>
            </w:r>
          </w:p>
          <w:p w14:paraId="7DA7C59B" w14:textId="77777777" w:rsidR="00F11A8B" w:rsidRPr="006F6DAC" w:rsidRDefault="00F11A8B" w:rsidP="00F11A8B">
            <w:pPr>
              <w:tabs>
                <w:tab w:val="left" w:pos="1080"/>
              </w:tabs>
              <w:spacing w:before="120" w:after="120"/>
              <w:jc w:val="both"/>
              <w:rPr>
                <w:rFonts w:ascii="Garamond" w:hAnsi="Garamond"/>
                <w:sz w:val="22"/>
                <w:szCs w:val="22"/>
                <w:highlight w:val="yellow"/>
                <w:lang w:val="en-US"/>
              </w:rPr>
            </w:pPr>
            <w:r w:rsidRPr="006F6DAC">
              <w:rPr>
                <w:rFonts w:ascii="Garamond" w:hAnsi="Garamond"/>
                <w:sz w:val="22"/>
                <w:szCs w:val="22"/>
                <w:highlight w:val="yellow"/>
                <w:lang w:val="en-US"/>
              </w:rPr>
              <w:t>&lt;/measuringobject&gt;</w:t>
            </w:r>
          </w:p>
          <w:p w14:paraId="2854B52F" w14:textId="77777777" w:rsidR="00F11A8B" w:rsidRPr="006F6DAC" w:rsidRDefault="00F11A8B" w:rsidP="00F11A8B">
            <w:pPr>
              <w:tabs>
                <w:tab w:val="left" w:pos="1080"/>
              </w:tabs>
              <w:spacing w:before="120" w:after="120"/>
              <w:jc w:val="both"/>
              <w:rPr>
                <w:rFonts w:ascii="Garamond" w:hAnsi="Garamond"/>
                <w:sz w:val="22"/>
                <w:szCs w:val="22"/>
                <w:highlight w:val="yellow"/>
                <w:lang w:val="en-US"/>
              </w:rPr>
            </w:pPr>
            <w:r w:rsidRPr="006F6DAC">
              <w:rPr>
                <w:rFonts w:ascii="Garamond" w:hAnsi="Garamond"/>
                <w:sz w:val="22"/>
                <w:szCs w:val="22"/>
                <w:highlight w:val="yellow"/>
                <w:lang w:val="en-US"/>
              </w:rPr>
              <w:t xml:space="preserve">              &lt;peretok code-from="PNEKGRES" code-to="PNEKITES" name="</w:t>
            </w:r>
            <w:r w:rsidRPr="006F6DAC">
              <w:rPr>
                <w:rFonts w:ascii="Garamond" w:hAnsi="Garamond"/>
                <w:sz w:val="22"/>
                <w:szCs w:val="22"/>
                <w:highlight w:val="yellow"/>
              </w:rPr>
              <w:t>Переток</w:t>
            </w:r>
            <w:r w:rsidRPr="006F6DAC">
              <w:rPr>
                <w:rFonts w:ascii="Garamond" w:hAnsi="Garamond"/>
                <w:sz w:val="22"/>
                <w:szCs w:val="22"/>
                <w:highlight w:val="yellow"/>
                <w:lang w:val="en-US"/>
              </w:rPr>
              <w:t>" algorithmver-sion="1"&gt;</w:t>
            </w:r>
          </w:p>
          <w:p w14:paraId="54B798E0" w14:textId="77777777" w:rsidR="00F11A8B" w:rsidRPr="006F6DAC" w:rsidRDefault="00F11A8B" w:rsidP="00F11A8B">
            <w:pPr>
              <w:tabs>
                <w:tab w:val="left" w:pos="1080"/>
              </w:tabs>
              <w:spacing w:before="120" w:after="120"/>
              <w:jc w:val="both"/>
              <w:rPr>
                <w:rFonts w:ascii="Garamond" w:hAnsi="Garamond"/>
                <w:sz w:val="22"/>
                <w:szCs w:val="22"/>
                <w:highlight w:val="yellow"/>
                <w:lang w:val="en-US"/>
              </w:rPr>
            </w:pPr>
            <w:r w:rsidRPr="006F6DAC">
              <w:rPr>
                <w:rFonts w:ascii="Garamond" w:hAnsi="Garamond"/>
                <w:sz w:val="22"/>
                <w:szCs w:val="22"/>
                <w:highlight w:val="yellow"/>
                <w:lang w:val="en-US"/>
              </w:rPr>
              <w:t xml:space="preserve">                                           &lt;period start="0000" end="0100"&gt;</w:t>
            </w:r>
          </w:p>
          <w:p w14:paraId="2270AA2F" w14:textId="77777777" w:rsidR="00F11A8B" w:rsidRPr="006F6DAC" w:rsidRDefault="00F11A8B" w:rsidP="00F11A8B">
            <w:pPr>
              <w:tabs>
                <w:tab w:val="left" w:pos="1080"/>
              </w:tabs>
              <w:spacing w:before="120" w:after="120"/>
              <w:jc w:val="both"/>
              <w:rPr>
                <w:rFonts w:ascii="Garamond" w:hAnsi="Garamond"/>
                <w:sz w:val="22"/>
                <w:szCs w:val="22"/>
                <w:highlight w:val="yellow"/>
                <w:lang w:val="en-US"/>
              </w:rPr>
            </w:pPr>
            <w:r w:rsidRPr="006F6DAC">
              <w:rPr>
                <w:rFonts w:ascii="Garamond" w:hAnsi="Garamond"/>
                <w:sz w:val="22"/>
                <w:szCs w:val="22"/>
                <w:highlight w:val="yellow"/>
                <w:lang w:val="en-US"/>
              </w:rPr>
              <w:tab/>
            </w:r>
            <w:r w:rsidRPr="006F6DAC">
              <w:rPr>
                <w:rFonts w:ascii="Garamond" w:hAnsi="Garamond"/>
                <w:sz w:val="22"/>
                <w:szCs w:val="22"/>
                <w:highlight w:val="yellow"/>
                <w:lang w:val="en-US"/>
              </w:rPr>
              <w:tab/>
            </w:r>
            <w:r w:rsidRPr="006F6DAC">
              <w:rPr>
                <w:rFonts w:ascii="Garamond" w:hAnsi="Garamond"/>
                <w:sz w:val="22"/>
                <w:szCs w:val="22"/>
                <w:highlight w:val="yellow"/>
                <w:lang w:val="en-US"/>
              </w:rPr>
              <w:tab/>
              <w:t xml:space="preserve">&lt;value&gt;5600&lt;/value&gt; </w:t>
            </w:r>
          </w:p>
          <w:p w14:paraId="573D9AA0" w14:textId="77777777" w:rsidR="00F11A8B" w:rsidRPr="006F6DAC" w:rsidRDefault="00F11A8B" w:rsidP="00F11A8B">
            <w:pPr>
              <w:tabs>
                <w:tab w:val="left" w:pos="1080"/>
              </w:tabs>
              <w:spacing w:before="120" w:after="120"/>
              <w:jc w:val="both"/>
              <w:rPr>
                <w:rFonts w:ascii="Garamond" w:hAnsi="Garamond"/>
                <w:sz w:val="22"/>
                <w:szCs w:val="22"/>
                <w:highlight w:val="yellow"/>
                <w:lang w:val="en-US"/>
              </w:rPr>
            </w:pPr>
            <w:r w:rsidRPr="006F6DAC">
              <w:rPr>
                <w:rFonts w:ascii="Garamond" w:hAnsi="Garamond"/>
                <w:sz w:val="22"/>
                <w:szCs w:val="22"/>
                <w:highlight w:val="yellow"/>
                <w:lang w:val="en-US"/>
              </w:rPr>
              <w:tab/>
            </w:r>
            <w:r w:rsidRPr="006F6DAC">
              <w:rPr>
                <w:rFonts w:ascii="Garamond" w:hAnsi="Garamond"/>
                <w:sz w:val="22"/>
                <w:szCs w:val="22"/>
                <w:highlight w:val="yellow"/>
                <w:lang w:val="en-US"/>
              </w:rPr>
              <w:tab/>
            </w:r>
            <w:r w:rsidRPr="006F6DAC">
              <w:rPr>
                <w:rFonts w:ascii="Garamond" w:hAnsi="Garamond"/>
                <w:sz w:val="22"/>
                <w:szCs w:val="22"/>
                <w:highlight w:val="yellow"/>
                <w:lang w:val="en-US"/>
              </w:rPr>
              <w:tab/>
              <w:t>&lt;/period&gt;</w:t>
            </w:r>
          </w:p>
          <w:p w14:paraId="7161C5E3" w14:textId="77777777" w:rsidR="00F11A8B" w:rsidRPr="006F6DAC" w:rsidRDefault="00F11A8B" w:rsidP="00F11A8B">
            <w:pPr>
              <w:tabs>
                <w:tab w:val="left" w:pos="1080"/>
              </w:tabs>
              <w:spacing w:before="120" w:after="120"/>
              <w:jc w:val="both"/>
              <w:rPr>
                <w:rFonts w:ascii="Garamond" w:hAnsi="Garamond"/>
                <w:sz w:val="22"/>
                <w:szCs w:val="22"/>
                <w:highlight w:val="yellow"/>
                <w:lang w:val="en-US"/>
              </w:rPr>
            </w:pPr>
            <w:r w:rsidRPr="006F6DAC">
              <w:rPr>
                <w:rFonts w:ascii="Garamond" w:hAnsi="Garamond"/>
                <w:sz w:val="22"/>
                <w:szCs w:val="22"/>
                <w:highlight w:val="yellow"/>
                <w:lang w:val="en-US"/>
              </w:rPr>
              <w:lastRenderedPageBreak/>
              <w:t># .............. (</w:t>
            </w:r>
            <w:r w:rsidRPr="006F6DAC">
              <w:rPr>
                <w:rFonts w:ascii="Garamond" w:hAnsi="Garamond"/>
                <w:sz w:val="22"/>
                <w:szCs w:val="22"/>
                <w:highlight w:val="yellow"/>
              </w:rPr>
              <w:t>пропущено</w:t>
            </w:r>
            <w:r w:rsidRPr="006F6DAC">
              <w:rPr>
                <w:rFonts w:ascii="Garamond" w:hAnsi="Garamond"/>
                <w:sz w:val="22"/>
                <w:szCs w:val="22"/>
                <w:highlight w:val="yellow"/>
                <w:lang w:val="en-US"/>
              </w:rPr>
              <w:t>)</w:t>
            </w:r>
            <w:r w:rsidRPr="006F6DAC">
              <w:rPr>
                <w:rFonts w:ascii="Garamond" w:hAnsi="Garamond"/>
                <w:sz w:val="22"/>
                <w:szCs w:val="22"/>
                <w:highlight w:val="yellow"/>
                <w:lang w:val="en-US"/>
              </w:rPr>
              <w:tab/>
            </w:r>
            <w:r w:rsidRPr="006F6DAC">
              <w:rPr>
                <w:rFonts w:ascii="Garamond" w:hAnsi="Garamond"/>
                <w:sz w:val="22"/>
                <w:szCs w:val="22"/>
                <w:highlight w:val="yellow"/>
                <w:lang w:val="en-US"/>
              </w:rPr>
              <w:tab/>
            </w:r>
            <w:r w:rsidRPr="006F6DAC">
              <w:rPr>
                <w:rFonts w:ascii="Garamond" w:hAnsi="Garamond"/>
                <w:sz w:val="22"/>
                <w:szCs w:val="22"/>
                <w:highlight w:val="yellow"/>
                <w:lang w:val="en-US"/>
              </w:rPr>
              <w:tab/>
            </w:r>
          </w:p>
          <w:p w14:paraId="4EF18688" w14:textId="77777777" w:rsidR="00F11A8B" w:rsidRPr="006F6DAC" w:rsidRDefault="00F11A8B" w:rsidP="00F11A8B">
            <w:pPr>
              <w:tabs>
                <w:tab w:val="left" w:pos="1080"/>
              </w:tabs>
              <w:spacing w:before="120" w:after="120"/>
              <w:jc w:val="both"/>
              <w:rPr>
                <w:rFonts w:ascii="Garamond" w:hAnsi="Garamond"/>
                <w:sz w:val="22"/>
                <w:szCs w:val="22"/>
                <w:highlight w:val="yellow"/>
                <w:lang w:val="en-US"/>
              </w:rPr>
            </w:pPr>
            <w:r w:rsidRPr="006F6DAC">
              <w:rPr>
                <w:rFonts w:ascii="Garamond" w:hAnsi="Garamond"/>
                <w:sz w:val="22"/>
                <w:szCs w:val="22"/>
                <w:highlight w:val="yellow"/>
                <w:lang w:val="en-US"/>
              </w:rPr>
              <w:tab/>
            </w:r>
            <w:r w:rsidRPr="006F6DAC">
              <w:rPr>
                <w:rFonts w:ascii="Garamond" w:hAnsi="Garamond"/>
                <w:sz w:val="22"/>
                <w:szCs w:val="22"/>
                <w:highlight w:val="yellow"/>
                <w:lang w:val="en-US"/>
              </w:rPr>
              <w:tab/>
            </w:r>
            <w:r w:rsidRPr="006F6DAC">
              <w:rPr>
                <w:rFonts w:ascii="Garamond" w:hAnsi="Garamond"/>
                <w:sz w:val="22"/>
                <w:szCs w:val="22"/>
                <w:highlight w:val="yellow"/>
                <w:lang w:val="en-US"/>
              </w:rPr>
              <w:tab/>
              <w:t>&lt;period start="2300" end="0000"&gt;</w:t>
            </w:r>
          </w:p>
          <w:p w14:paraId="22C2ECFE" w14:textId="77777777" w:rsidR="00F11A8B" w:rsidRPr="006F6DAC" w:rsidRDefault="00F11A8B" w:rsidP="00F11A8B">
            <w:pPr>
              <w:tabs>
                <w:tab w:val="left" w:pos="1080"/>
              </w:tabs>
              <w:spacing w:before="120" w:after="120"/>
              <w:jc w:val="both"/>
              <w:rPr>
                <w:rFonts w:ascii="Garamond" w:hAnsi="Garamond"/>
                <w:sz w:val="22"/>
                <w:szCs w:val="22"/>
                <w:highlight w:val="yellow"/>
                <w:lang w:val="en-US"/>
              </w:rPr>
            </w:pPr>
            <w:r w:rsidRPr="006F6DAC">
              <w:rPr>
                <w:rFonts w:ascii="Garamond" w:hAnsi="Garamond"/>
                <w:sz w:val="22"/>
                <w:szCs w:val="22"/>
                <w:highlight w:val="yellow"/>
                <w:lang w:val="en-US"/>
              </w:rPr>
              <w:tab/>
            </w:r>
            <w:r w:rsidRPr="006F6DAC">
              <w:rPr>
                <w:rFonts w:ascii="Garamond" w:hAnsi="Garamond"/>
                <w:sz w:val="22"/>
                <w:szCs w:val="22"/>
                <w:highlight w:val="yellow"/>
                <w:lang w:val="en-US"/>
              </w:rPr>
              <w:tab/>
            </w:r>
            <w:r w:rsidRPr="006F6DAC">
              <w:rPr>
                <w:rFonts w:ascii="Garamond" w:hAnsi="Garamond"/>
                <w:sz w:val="22"/>
                <w:szCs w:val="22"/>
                <w:highlight w:val="yellow"/>
                <w:lang w:val="en-US"/>
              </w:rPr>
              <w:tab/>
              <w:t xml:space="preserve">&lt;value&gt;7200&lt;/value&gt; </w:t>
            </w:r>
          </w:p>
          <w:p w14:paraId="2B0AA118" w14:textId="77777777" w:rsidR="00F11A8B" w:rsidRPr="006F6DAC" w:rsidRDefault="00F11A8B" w:rsidP="00F11A8B">
            <w:pPr>
              <w:tabs>
                <w:tab w:val="left" w:pos="1080"/>
              </w:tabs>
              <w:spacing w:before="120" w:after="120"/>
              <w:jc w:val="both"/>
              <w:rPr>
                <w:rFonts w:ascii="Garamond" w:hAnsi="Garamond"/>
                <w:sz w:val="22"/>
                <w:szCs w:val="22"/>
                <w:highlight w:val="yellow"/>
                <w:lang w:val="en-US"/>
              </w:rPr>
            </w:pPr>
            <w:r w:rsidRPr="006F6DAC">
              <w:rPr>
                <w:rFonts w:ascii="Garamond" w:hAnsi="Garamond"/>
                <w:sz w:val="22"/>
                <w:szCs w:val="22"/>
                <w:highlight w:val="yellow"/>
                <w:lang w:val="en-US"/>
              </w:rPr>
              <w:tab/>
            </w:r>
            <w:r w:rsidRPr="006F6DAC">
              <w:rPr>
                <w:rFonts w:ascii="Garamond" w:hAnsi="Garamond"/>
                <w:sz w:val="22"/>
                <w:szCs w:val="22"/>
                <w:highlight w:val="yellow"/>
                <w:lang w:val="en-US"/>
              </w:rPr>
              <w:tab/>
            </w:r>
            <w:r w:rsidRPr="006F6DAC">
              <w:rPr>
                <w:rFonts w:ascii="Garamond" w:hAnsi="Garamond"/>
                <w:sz w:val="22"/>
                <w:szCs w:val="22"/>
                <w:highlight w:val="yellow"/>
                <w:lang w:val="en-US"/>
              </w:rPr>
              <w:tab/>
              <w:t>&lt;/period&gt;</w:t>
            </w:r>
          </w:p>
          <w:p w14:paraId="51D2E0DF" w14:textId="77777777" w:rsidR="00F11A8B" w:rsidRPr="006F6DAC" w:rsidRDefault="00F11A8B" w:rsidP="00F11A8B">
            <w:pPr>
              <w:tabs>
                <w:tab w:val="left" w:pos="1080"/>
              </w:tabs>
              <w:spacing w:before="120" w:after="120"/>
              <w:jc w:val="both"/>
              <w:rPr>
                <w:rFonts w:ascii="Garamond" w:hAnsi="Garamond"/>
                <w:sz w:val="22"/>
                <w:szCs w:val="22"/>
                <w:highlight w:val="yellow"/>
                <w:lang w:val="en-US"/>
              </w:rPr>
            </w:pPr>
            <w:r w:rsidRPr="006F6DAC">
              <w:rPr>
                <w:rFonts w:ascii="Garamond" w:hAnsi="Garamond"/>
                <w:sz w:val="22"/>
                <w:szCs w:val="22"/>
                <w:highlight w:val="yellow"/>
                <w:lang w:val="en-US"/>
              </w:rPr>
              <w:t xml:space="preserve">              &lt;/peretok&gt;</w:t>
            </w:r>
          </w:p>
          <w:p w14:paraId="2209ABF9" w14:textId="77777777" w:rsidR="00F11A8B" w:rsidRPr="006F6DAC" w:rsidRDefault="00F11A8B" w:rsidP="00F11A8B">
            <w:pPr>
              <w:tabs>
                <w:tab w:val="left" w:pos="1080"/>
              </w:tabs>
              <w:spacing w:before="120" w:after="120"/>
              <w:jc w:val="both"/>
              <w:rPr>
                <w:rFonts w:ascii="Garamond" w:hAnsi="Garamond"/>
                <w:sz w:val="22"/>
                <w:szCs w:val="22"/>
                <w:highlight w:val="yellow"/>
                <w:lang w:val="en-US"/>
              </w:rPr>
            </w:pPr>
            <w:r w:rsidRPr="006F6DAC">
              <w:rPr>
                <w:rFonts w:ascii="Garamond" w:hAnsi="Garamond"/>
                <w:sz w:val="22"/>
                <w:szCs w:val="22"/>
                <w:highlight w:val="yellow"/>
                <w:lang w:val="en-US"/>
              </w:rPr>
              <w:t xml:space="preserve">              &lt;peretok code-from="PNEKGRES" code-to="PNEKITES" name="</w:t>
            </w:r>
            <w:r w:rsidRPr="006F6DAC">
              <w:rPr>
                <w:rFonts w:ascii="Garamond" w:hAnsi="Garamond"/>
                <w:sz w:val="22"/>
                <w:szCs w:val="22"/>
                <w:highlight w:val="yellow"/>
              </w:rPr>
              <w:t>Переток</w:t>
            </w:r>
            <w:r w:rsidRPr="006F6DAC">
              <w:rPr>
                <w:rFonts w:ascii="Garamond" w:hAnsi="Garamond"/>
                <w:sz w:val="22"/>
                <w:szCs w:val="22"/>
                <w:highlight w:val="yellow"/>
                <w:lang w:val="en-US"/>
              </w:rPr>
              <w:t>" algorithmver-sion="2"&gt;</w:t>
            </w:r>
          </w:p>
          <w:p w14:paraId="68172494" w14:textId="77777777" w:rsidR="00F11A8B" w:rsidRPr="006F6DAC" w:rsidRDefault="00F11A8B" w:rsidP="00F11A8B">
            <w:pPr>
              <w:tabs>
                <w:tab w:val="left" w:pos="1080"/>
              </w:tabs>
              <w:spacing w:before="120" w:after="120"/>
              <w:jc w:val="both"/>
              <w:rPr>
                <w:rFonts w:ascii="Garamond" w:hAnsi="Garamond"/>
                <w:sz w:val="22"/>
                <w:szCs w:val="22"/>
                <w:highlight w:val="yellow"/>
                <w:lang w:val="en-US"/>
              </w:rPr>
            </w:pPr>
            <w:r w:rsidRPr="006F6DAC">
              <w:rPr>
                <w:rFonts w:ascii="Garamond" w:hAnsi="Garamond"/>
                <w:sz w:val="22"/>
                <w:szCs w:val="22"/>
                <w:highlight w:val="yellow"/>
                <w:lang w:val="en-US"/>
              </w:rPr>
              <w:t xml:space="preserve">                                           &lt;period start="0000" end="0100"&gt;</w:t>
            </w:r>
          </w:p>
          <w:p w14:paraId="5AE339A6" w14:textId="77777777" w:rsidR="00F11A8B" w:rsidRPr="006F6DAC" w:rsidRDefault="00F11A8B" w:rsidP="00F11A8B">
            <w:pPr>
              <w:tabs>
                <w:tab w:val="left" w:pos="1080"/>
              </w:tabs>
              <w:spacing w:before="120" w:after="120"/>
              <w:jc w:val="both"/>
              <w:rPr>
                <w:rFonts w:ascii="Garamond" w:hAnsi="Garamond"/>
                <w:sz w:val="22"/>
                <w:szCs w:val="22"/>
                <w:highlight w:val="yellow"/>
                <w:lang w:val="en-US"/>
              </w:rPr>
            </w:pPr>
            <w:r w:rsidRPr="006F6DAC">
              <w:rPr>
                <w:rFonts w:ascii="Garamond" w:hAnsi="Garamond"/>
                <w:sz w:val="22"/>
                <w:szCs w:val="22"/>
                <w:highlight w:val="yellow"/>
                <w:lang w:val="en-US"/>
              </w:rPr>
              <w:tab/>
            </w:r>
            <w:r w:rsidRPr="006F6DAC">
              <w:rPr>
                <w:rFonts w:ascii="Garamond" w:hAnsi="Garamond"/>
                <w:sz w:val="22"/>
                <w:szCs w:val="22"/>
                <w:highlight w:val="yellow"/>
                <w:lang w:val="en-US"/>
              </w:rPr>
              <w:tab/>
            </w:r>
            <w:r w:rsidRPr="006F6DAC">
              <w:rPr>
                <w:rFonts w:ascii="Garamond" w:hAnsi="Garamond"/>
                <w:sz w:val="22"/>
                <w:szCs w:val="22"/>
                <w:highlight w:val="yellow"/>
                <w:lang w:val="en-US"/>
              </w:rPr>
              <w:tab/>
              <w:t xml:space="preserve">&lt;value&gt;9300&lt;/value&gt; </w:t>
            </w:r>
          </w:p>
          <w:p w14:paraId="5A27871F" w14:textId="77777777" w:rsidR="00F11A8B" w:rsidRPr="006F6DAC" w:rsidRDefault="00F11A8B" w:rsidP="00F11A8B">
            <w:pPr>
              <w:tabs>
                <w:tab w:val="left" w:pos="1080"/>
              </w:tabs>
              <w:spacing w:before="120" w:after="120"/>
              <w:jc w:val="both"/>
              <w:rPr>
                <w:rFonts w:ascii="Garamond" w:hAnsi="Garamond"/>
                <w:sz w:val="22"/>
                <w:szCs w:val="22"/>
                <w:highlight w:val="yellow"/>
                <w:lang w:val="en-US"/>
              </w:rPr>
            </w:pPr>
            <w:r w:rsidRPr="006F6DAC">
              <w:rPr>
                <w:rFonts w:ascii="Garamond" w:hAnsi="Garamond"/>
                <w:sz w:val="22"/>
                <w:szCs w:val="22"/>
                <w:highlight w:val="yellow"/>
                <w:lang w:val="en-US"/>
              </w:rPr>
              <w:tab/>
            </w:r>
            <w:r w:rsidRPr="006F6DAC">
              <w:rPr>
                <w:rFonts w:ascii="Garamond" w:hAnsi="Garamond"/>
                <w:sz w:val="22"/>
                <w:szCs w:val="22"/>
                <w:highlight w:val="yellow"/>
                <w:lang w:val="en-US"/>
              </w:rPr>
              <w:tab/>
            </w:r>
            <w:r w:rsidRPr="006F6DAC">
              <w:rPr>
                <w:rFonts w:ascii="Garamond" w:hAnsi="Garamond"/>
                <w:sz w:val="22"/>
                <w:szCs w:val="22"/>
                <w:highlight w:val="yellow"/>
                <w:lang w:val="en-US"/>
              </w:rPr>
              <w:tab/>
              <w:t>&lt;/period&gt;</w:t>
            </w:r>
          </w:p>
          <w:p w14:paraId="397786BB" w14:textId="77777777" w:rsidR="00F11A8B" w:rsidRPr="006F6DAC" w:rsidRDefault="00F11A8B" w:rsidP="00F11A8B">
            <w:pPr>
              <w:tabs>
                <w:tab w:val="left" w:pos="1080"/>
              </w:tabs>
              <w:spacing w:before="120" w:after="120"/>
              <w:jc w:val="both"/>
              <w:rPr>
                <w:rFonts w:ascii="Garamond" w:hAnsi="Garamond"/>
                <w:sz w:val="22"/>
                <w:szCs w:val="22"/>
                <w:highlight w:val="yellow"/>
                <w:lang w:val="en-US"/>
              </w:rPr>
            </w:pPr>
            <w:r w:rsidRPr="006F6DAC">
              <w:rPr>
                <w:rFonts w:ascii="Garamond" w:hAnsi="Garamond"/>
                <w:sz w:val="22"/>
                <w:szCs w:val="22"/>
                <w:highlight w:val="yellow"/>
                <w:lang w:val="en-US"/>
              </w:rPr>
              <w:t># .............. (</w:t>
            </w:r>
            <w:r w:rsidRPr="006F6DAC">
              <w:rPr>
                <w:rFonts w:ascii="Garamond" w:hAnsi="Garamond"/>
                <w:sz w:val="22"/>
                <w:szCs w:val="22"/>
                <w:highlight w:val="yellow"/>
              </w:rPr>
              <w:t>пропущено</w:t>
            </w:r>
            <w:r w:rsidRPr="006F6DAC">
              <w:rPr>
                <w:rFonts w:ascii="Garamond" w:hAnsi="Garamond"/>
                <w:sz w:val="22"/>
                <w:szCs w:val="22"/>
                <w:highlight w:val="yellow"/>
                <w:lang w:val="en-US"/>
              </w:rPr>
              <w:t>)</w:t>
            </w:r>
            <w:r w:rsidRPr="006F6DAC">
              <w:rPr>
                <w:rFonts w:ascii="Garamond" w:hAnsi="Garamond"/>
                <w:sz w:val="22"/>
                <w:szCs w:val="22"/>
                <w:highlight w:val="yellow"/>
                <w:lang w:val="en-US"/>
              </w:rPr>
              <w:tab/>
            </w:r>
            <w:r w:rsidRPr="006F6DAC">
              <w:rPr>
                <w:rFonts w:ascii="Garamond" w:hAnsi="Garamond"/>
                <w:sz w:val="22"/>
                <w:szCs w:val="22"/>
                <w:highlight w:val="yellow"/>
                <w:lang w:val="en-US"/>
              </w:rPr>
              <w:tab/>
            </w:r>
            <w:r w:rsidRPr="006F6DAC">
              <w:rPr>
                <w:rFonts w:ascii="Garamond" w:hAnsi="Garamond"/>
                <w:sz w:val="22"/>
                <w:szCs w:val="22"/>
                <w:highlight w:val="yellow"/>
                <w:lang w:val="en-US"/>
              </w:rPr>
              <w:tab/>
            </w:r>
          </w:p>
          <w:p w14:paraId="39787EF0" w14:textId="77777777" w:rsidR="00F11A8B" w:rsidRPr="006F6DAC" w:rsidRDefault="00F11A8B" w:rsidP="00F11A8B">
            <w:pPr>
              <w:tabs>
                <w:tab w:val="left" w:pos="1080"/>
              </w:tabs>
              <w:spacing w:before="120" w:after="120"/>
              <w:jc w:val="both"/>
              <w:rPr>
                <w:rFonts w:ascii="Garamond" w:hAnsi="Garamond"/>
                <w:sz w:val="22"/>
                <w:szCs w:val="22"/>
                <w:highlight w:val="yellow"/>
                <w:lang w:val="en-US"/>
              </w:rPr>
            </w:pPr>
            <w:r w:rsidRPr="006F6DAC">
              <w:rPr>
                <w:rFonts w:ascii="Garamond" w:hAnsi="Garamond"/>
                <w:sz w:val="22"/>
                <w:szCs w:val="22"/>
                <w:highlight w:val="yellow"/>
                <w:lang w:val="en-US"/>
              </w:rPr>
              <w:tab/>
            </w:r>
            <w:r w:rsidRPr="006F6DAC">
              <w:rPr>
                <w:rFonts w:ascii="Garamond" w:hAnsi="Garamond"/>
                <w:sz w:val="22"/>
                <w:szCs w:val="22"/>
                <w:highlight w:val="yellow"/>
                <w:lang w:val="en-US"/>
              </w:rPr>
              <w:tab/>
            </w:r>
            <w:r w:rsidRPr="006F6DAC">
              <w:rPr>
                <w:rFonts w:ascii="Garamond" w:hAnsi="Garamond"/>
                <w:sz w:val="22"/>
                <w:szCs w:val="22"/>
                <w:highlight w:val="yellow"/>
                <w:lang w:val="en-US"/>
              </w:rPr>
              <w:tab/>
              <w:t>&lt;period start="2300" end="0000"&gt;</w:t>
            </w:r>
          </w:p>
          <w:p w14:paraId="5EAA9035" w14:textId="77777777" w:rsidR="00F11A8B" w:rsidRPr="006F6DAC" w:rsidRDefault="00F11A8B" w:rsidP="00F11A8B">
            <w:pPr>
              <w:tabs>
                <w:tab w:val="left" w:pos="1080"/>
              </w:tabs>
              <w:spacing w:before="120" w:after="120"/>
              <w:jc w:val="both"/>
              <w:rPr>
                <w:rFonts w:ascii="Garamond" w:hAnsi="Garamond"/>
                <w:sz w:val="22"/>
                <w:szCs w:val="22"/>
                <w:highlight w:val="yellow"/>
                <w:lang w:val="en-US"/>
              </w:rPr>
            </w:pPr>
            <w:r w:rsidRPr="006F6DAC">
              <w:rPr>
                <w:rFonts w:ascii="Garamond" w:hAnsi="Garamond"/>
                <w:sz w:val="22"/>
                <w:szCs w:val="22"/>
                <w:highlight w:val="yellow"/>
                <w:lang w:val="en-US"/>
              </w:rPr>
              <w:tab/>
            </w:r>
            <w:r w:rsidRPr="006F6DAC">
              <w:rPr>
                <w:rFonts w:ascii="Garamond" w:hAnsi="Garamond"/>
                <w:sz w:val="22"/>
                <w:szCs w:val="22"/>
                <w:highlight w:val="yellow"/>
                <w:lang w:val="en-US"/>
              </w:rPr>
              <w:tab/>
            </w:r>
            <w:r w:rsidRPr="006F6DAC">
              <w:rPr>
                <w:rFonts w:ascii="Garamond" w:hAnsi="Garamond"/>
                <w:sz w:val="22"/>
                <w:szCs w:val="22"/>
                <w:highlight w:val="yellow"/>
                <w:lang w:val="en-US"/>
              </w:rPr>
              <w:tab/>
              <w:t xml:space="preserve">&lt;value&gt;8100&lt;/value&gt; </w:t>
            </w:r>
          </w:p>
          <w:p w14:paraId="506B24FC" w14:textId="77777777" w:rsidR="00F11A8B" w:rsidRPr="006F6DAC" w:rsidRDefault="00F11A8B" w:rsidP="00F11A8B">
            <w:pPr>
              <w:tabs>
                <w:tab w:val="left" w:pos="1080"/>
              </w:tabs>
              <w:spacing w:before="120" w:after="120"/>
              <w:jc w:val="both"/>
              <w:rPr>
                <w:rFonts w:ascii="Garamond" w:hAnsi="Garamond"/>
                <w:sz w:val="22"/>
                <w:szCs w:val="22"/>
                <w:highlight w:val="yellow"/>
                <w:lang w:val="en-US"/>
              </w:rPr>
            </w:pPr>
            <w:r w:rsidRPr="006F6DAC">
              <w:rPr>
                <w:rFonts w:ascii="Garamond" w:hAnsi="Garamond"/>
                <w:sz w:val="22"/>
                <w:szCs w:val="22"/>
                <w:highlight w:val="yellow"/>
                <w:lang w:val="en-US"/>
              </w:rPr>
              <w:tab/>
            </w:r>
            <w:r w:rsidRPr="006F6DAC">
              <w:rPr>
                <w:rFonts w:ascii="Garamond" w:hAnsi="Garamond"/>
                <w:sz w:val="22"/>
                <w:szCs w:val="22"/>
                <w:highlight w:val="yellow"/>
                <w:lang w:val="en-US"/>
              </w:rPr>
              <w:tab/>
            </w:r>
            <w:r w:rsidRPr="006F6DAC">
              <w:rPr>
                <w:rFonts w:ascii="Garamond" w:hAnsi="Garamond"/>
                <w:sz w:val="22"/>
                <w:szCs w:val="22"/>
                <w:highlight w:val="yellow"/>
                <w:lang w:val="en-US"/>
              </w:rPr>
              <w:tab/>
              <w:t>&lt;/period&gt;</w:t>
            </w:r>
          </w:p>
          <w:p w14:paraId="3976A852" w14:textId="77777777" w:rsidR="00F11A8B" w:rsidRPr="006F6DAC" w:rsidRDefault="00F11A8B" w:rsidP="00F11A8B">
            <w:pPr>
              <w:tabs>
                <w:tab w:val="left" w:pos="1080"/>
              </w:tabs>
              <w:spacing w:before="120" w:after="120"/>
              <w:jc w:val="both"/>
              <w:rPr>
                <w:rFonts w:ascii="Garamond" w:hAnsi="Garamond"/>
                <w:sz w:val="22"/>
                <w:szCs w:val="22"/>
                <w:highlight w:val="yellow"/>
                <w:lang w:val="en-US"/>
              </w:rPr>
            </w:pPr>
            <w:r w:rsidRPr="006F6DAC">
              <w:rPr>
                <w:rFonts w:ascii="Garamond" w:hAnsi="Garamond"/>
                <w:sz w:val="22"/>
                <w:szCs w:val="22"/>
                <w:highlight w:val="yellow"/>
                <w:lang w:val="en-US"/>
              </w:rPr>
              <w:t xml:space="preserve">              &lt;/peretok&gt;</w:t>
            </w:r>
          </w:p>
          <w:p w14:paraId="1824244A" w14:textId="77777777" w:rsidR="00F11A8B" w:rsidRPr="006F6DAC" w:rsidRDefault="00F11A8B" w:rsidP="00F11A8B">
            <w:pPr>
              <w:tabs>
                <w:tab w:val="left" w:pos="1080"/>
              </w:tabs>
              <w:spacing w:before="120" w:after="120"/>
              <w:jc w:val="both"/>
              <w:rPr>
                <w:rFonts w:ascii="Garamond" w:hAnsi="Garamond"/>
                <w:sz w:val="22"/>
                <w:szCs w:val="22"/>
                <w:highlight w:val="yellow"/>
                <w:lang w:val="en-US"/>
              </w:rPr>
            </w:pPr>
            <w:r w:rsidRPr="006F6DAC">
              <w:rPr>
                <w:rFonts w:ascii="Garamond" w:hAnsi="Garamond"/>
                <w:sz w:val="22"/>
                <w:szCs w:val="22"/>
                <w:highlight w:val="yellow"/>
                <w:lang w:val="en-US"/>
              </w:rPr>
              <w:tab/>
              <w:t>&lt;deliverypoint code="123456789012345" name="</w:t>
            </w:r>
            <w:r w:rsidRPr="006F6DAC">
              <w:rPr>
                <w:rFonts w:ascii="Garamond" w:hAnsi="Garamond"/>
                <w:sz w:val="22"/>
                <w:szCs w:val="22"/>
                <w:highlight w:val="yellow"/>
              </w:rPr>
              <w:t>АТ</w:t>
            </w:r>
            <w:r w:rsidRPr="006F6DAC">
              <w:rPr>
                <w:rFonts w:ascii="Garamond" w:hAnsi="Garamond"/>
                <w:sz w:val="22"/>
                <w:szCs w:val="22"/>
                <w:highlight w:val="yellow"/>
                <w:lang w:val="en-US"/>
              </w:rPr>
              <w:t>1"&gt;</w:t>
            </w:r>
          </w:p>
          <w:p w14:paraId="3D90DDD6" w14:textId="77777777" w:rsidR="00F11A8B" w:rsidRPr="006F6DAC" w:rsidRDefault="00F11A8B" w:rsidP="00F11A8B">
            <w:pPr>
              <w:tabs>
                <w:tab w:val="left" w:pos="1080"/>
              </w:tabs>
              <w:spacing w:before="120" w:after="120"/>
              <w:jc w:val="both"/>
              <w:rPr>
                <w:rFonts w:ascii="Garamond" w:hAnsi="Garamond"/>
                <w:sz w:val="22"/>
                <w:szCs w:val="22"/>
                <w:highlight w:val="yellow"/>
                <w:lang w:val="en-US"/>
              </w:rPr>
            </w:pPr>
            <w:r w:rsidRPr="006F6DAC">
              <w:rPr>
                <w:rFonts w:ascii="Garamond" w:hAnsi="Garamond"/>
                <w:sz w:val="22"/>
                <w:szCs w:val="22"/>
                <w:highlight w:val="yellow"/>
                <w:lang w:val="en-US"/>
              </w:rPr>
              <w:tab/>
            </w:r>
            <w:r w:rsidRPr="006F6DAC">
              <w:rPr>
                <w:rFonts w:ascii="Garamond" w:hAnsi="Garamond"/>
                <w:sz w:val="22"/>
                <w:szCs w:val="22"/>
                <w:highlight w:val="yellow"/>
                <w:lang w:val="en-US"/>
              </w:rPr>
              <w:tab/>
              <w:t>&lt;measuringchannel code="01" desc="</w:t>
            </w:r>
            <w:r w:rsidRPr="006F6DAC">
              <w:rPr>
                <w:rFonts w:ascii="Garamond" w:hAnsi="Garamond"/>
                <w:sz w:val="22"/>
                <w:szCs w:val="22"/>
                <w:highlight w:val="yellow"/>
              </w:rPr>
              <w:t>счетчик</w:t>
            </w:r>
            <w:r w:rsidRPr="006F6DAC">
              <w:rPr>
                <w:rFonts w:ascii="Garamond" w:hAnsi="Garamond"/>
                <w:sz w:val="22"/>
                <w:szCs w:val="22"/>
                <w:highlight w:val="yellow"/>
                <w:lang w:val="en-US"/>
              </w:rPr>
              <w:t xml:space="preserve">, </w:t>
            </w:r>
            <w:r w:rsidRPr="006F6DAC">
              <w:rPr>
                <w:rFonts w:ascii="Garamond" w:hAnsi="Garamond"/>
                <w:sz w:val="22"/>
                <w:szCs w:val="22"/>
                <w:highlight w:val="yellow"/>
              </w:rPr>
              <w:t>акт</w:t>
            </w:r>
            <w:r w:rsidRPr="006F6DAC">
              <w:rPr>
                <w:rFonts w:ascii="Garamond" w:hAnsi="Garamond"/>
                <w:sz w:val="22"/>
                <w:szCs w:val="22"/>
                <w:highlight w:val="yellow"/>
                <w:lang w:val="en-US"/>
              </w:rPr>
              <w:t xml:space="preserve">. </w:t>
            </w:r>
            <w:r w:rsidRPr="006F6DAC">
              <w:rPr>
                <w:rFonts w:ascii="Garamond" w:hAnsi="Garamond"/>
                <w:sz w:val="22"/>
                <w:szCs w:val="22"/>
                <w:highlight w:val="yellow"/>
              </w:rPr>
              <w:t>прием</w:t>
            </w:r>
            <w:r w:rsidRPr="006F6DAC">
              <w:rPr>
                <w:rFonts w:ascii="Garamond" w:hAnsi="Garamond"/>
                <w:sz w:val="22"/>
                <w:szCs w:val="22"/>
                <w:highlight w:val="yellow"/>
                <w:lang w:val="en-US"/>
              </w:rPr>
              <w:t>" algorithmversion="1"&gt;</w:t>
            </w:r>
          </w:p>
          <w:p w14:paraId="799B21FF" w14:textId="77777777" w:rsidR="00F11A8B" w:rsidRPr="006F6DAC" w:rsidRDefault="00F11A8B" w:rsidP="00F11A8B">
            <w:pPr>
              <w:tabs>
                <w:tab w:val="left" w:pos="1080"/>
              </w:tabs>
              <w:spacing w:before="120" w:after="120"/>
              <w:jc w:val="both"/>
              <w:rPr>
                <w:rFonts w:ascii="Garamond" w:hAnsi="Garamond"/>
                <w:sz w:val="22"/>
                <w:szCs w:val="22"/>
                <w:highlight w:val="yellow"/>
                <w:lang w:val="en-US"/>
              </w:rPr>
            </w:pPr>
            <w:r w:rsidRPr="006F6DAC">
              <w:rPr>
                <w:rFonts w:ascii="Garamond" w:hAnsi="Garamond"/>
                <w:sz w:val="22"/>
                <w:szCs w:val="22"/>
                <w:highlight w:val="yellow"/>
                <w:lang w:val="en-US"/>
              </w:rPr>
              <w:tab/>
            </w:r>
            <w:r w:rsidRPr="006F6DAC">
              <w:rPr>
                <w:rFonts w:ascii="Garamond" w:hAnsi="Garamond"/>
                <w:sz w:val="22"/>
                <w:szCs w:val="22"/>
                <w:highlight w:val="yellow"/>
                <w:lang w:val="en-US"/>
              </w:rPr>
              <w:tab/>
            </w:r>
            <w:r w:rsidRPr="006F6DAC">
              <w:rPr>
                <w:rFonts w:ascii="Garamond" w:hAnsi="Garamond"/>
                <w:sz w:val="22"/>
                <w:szCs w:val="22"/>
                <w:highlight w:val="yellow"/>
                <w:lang w:val="en-US"/>
              </w:rPr>
              <w:tab/>
              <w:t>&lt;period start="0000" end="0100"&gt;</w:t>
            </w:r>
          </w:p>
          <w:p w14:paraId="4F7429DF" w14:textId="77777777" w:rsidR="00F11A8B" w:rsidRPr="006F6DAC" w:rsidRDefault="00F11A8B" w:rsidP="00F11A8B">
            <w:pPr>
              <w:tabs>
                <w:tab w:val="left" w:pos="1080"/>
              </w:tabs>
              <w:spacing w:before="120" w:after="120"/>
              <w:jc w:val="both"/>
              <w:rPr>
                <w:rFonts w:ascii="Garamond" w:hAnsi="Garamond"/>
                <w:sz w:val="22"/>
                <w:szCs w:val="22"/>
                <w:highlight w:val="yellow"/>
                <w:lang w:val="en-US"/>
              </w:rPr>
            </w:pPr>
            <w:r w:rsidRPr="006F6DAC">
              <w:rPr>
                <w:rFonts w:ascii="Garamond" w:hAnsi="Garamond"/>
                <w:sz w:val="22"/>
                <w:szCs w:val="22"/>
                <w:highlight w:val="yellow"/>
                <w:lang w:val="en-US"/>
              </w:rPr>
              <w:tab/>
            </w:r>
            <w:r w:rsidRPr="006F6DAC">
              <w:rPr>
                <w:rFonts w:ascii="Garamond" w:hAnsi="Garamond"/>
                <w:sz w:val="22"/>
                <w:szCs w:val="22"/>
                <w:highlight w:val="yellow"/>
                <w:lang w:val="en-US"/>
              </w:rPr>
              <w:tab/>
            </w:r>
            <w:r w:rsidRPr="006F6DAC">
              <w:rPr>
                <w:rFonts w:ascii="Garamond" w:hAnsi="Garamond"/>
                <w:sz w:val="22"/>
                <w:szCs w:val="22"/>
                <w:highlight w:val="yellow"/>
                <w:lang w:val="en-US"/>
              </w:rPr>
              <w:tab/>
              <w:t xml:space="preserve">&lt;value&gt;293&lt;/value&gt; </w:t>
            </w:r>
          </w:p>
          <w:p w14:paraId="36774221" w14:textId="77777777" w:rsidR="00F11A8B" w:rsidRPr="006F6DAC" w:rsidRDefault="00F11A8B" w:rsidP="00F11A8B">
            <w:pPr>
              <w:tabs>
                <w:tab w:val="left" w:pos="1080"/>
              </w:tabs>
              <w:spacing w:before="120" w:after="120"/>
              <w:jc w:val="both"/>
              <w:rPr>
                <w:rFonts w:ascii="Garamond" w:hAnsi="Garamond"/>
                <w:sz w:val="22"/>
                <w:szCs w:val="22"/>
                <w:highlight w:val="yellow"/>
                <w:lang w:val="en-US"/>
              </w:rPr>
            </w:pPr>
            <w:r w:rsidRPr="006F6DAC">
              <w:rPr>
                <w:rFonts w:ascii="Garamond" w:hAnsi="Garamond"/>
                <w:sz w:val="22"/>
                <w:szCs w:val="22"/>
                <w:highlight w:val="yellow"/>
                <w:lang w:val="en-US"/>
              </w:rPr>
              <w:tab/>
            </w:r>
            <w:r w:rsidRPr="006F6DAC">
              <w:rPr>
                <w:rFonts w:ascii="Garamond" w:hAnsi="Garamond"/>
                <w:sz w:val="22"/>
                <w:szCs w:val="22"/>
                <w:highlight w:val="yellow"/>
                <w:lang w:val="en-US"/>
              </w:rPr>
              <w:tab/>
            </w:r>
            <w:r w:rsidRPr="006F6DAC">
              <w:rPr>
                <w:rFonts w:ascii="Garamond" w:hAnsi="Garamond"/>
                <w:sz w:val="22"/>
                <w:szCs w:val="22"/>
                <w:highlight w:val="yellow"/>
                <w:lang w:val="en-US"/>
              </w:rPr>
              <w:tab/>
              <w:t>&lt;/period&gt;</w:t>
            </w:r>
          </w:p>
          <w:p w14:paraId="1830B7F8" w14:textId="77777777" w:rsidR="00F11A8B" w:rsidRPr="006F6DAC" w:rsidRDefault="00F11A8B" w:rsidP="00F11A8B">
            <w:pPr>
              <w:tabs>
                <w:tab w:val="left" w:pos="1080"/>
              </w:tabs>
              <w:spacing w:before="120" w:after="120"/>
              <w:jc w:val="both"/>
              <w:rPr>
                <w:rFonts w:ascii="Garamond" w:hAnsi="Garamond"/>
                <w:sz w:val="22"/>
                <w:szCs w:val="22"/>
                <w:highlight w:val="yellow"/>
                <w:lang w:val="en-US"/>
              </w:rPr>
            </w:pPr>
            <w:r w:rsidRPr="006F6DAC">
              <w:rPr>
                <w:rFonts w:ascii="Garamond" w:hAnsi="Garamond"/>
                <w:sz w:val="22"/>
                <w:szCs w:val="22"/>
                <w:highlight w:val="yellow"/>
                <w:lang w:val="en-US"/>
              </w:rPr>
              <w:t># .............. (</w:t>
            </w:r>
            <w:r w:rsidRPr="006F6DAC">
              <w:rPr>
                <w:rFonts w:ascii="Garamond" w:hAnsi="Garamond"/>
                <w:sz w:val="22"/>
                <w:szCs w:val="22"/>
                <w:highlight w:val="yellow"/>
              </w:rPr>
              <w:t>пропущено</w:t>
            </w:r>
            <w:r w:rsidRPr="006F6DAC">
              <w:rPr>
                <w:rFonts w:ascii="Garamond" w:hAnsi="Garamond"/>
                <w:sz w:val="22"/>
                <w:szCs w:val="22"/>
                <w:highlight w:val="yellow"/>
                <w:lang w:val="en-US"/>
              </w:rPr>
              <w:t>)</w:t>
            </w:r>
            <w:r w:rsidRPr="006F6DAC">
              <w:rPr>
                <w:rFonts w:ascii="Garamond" w:hAnsi="Garamond"/>
                <w:sz w:val="22"/>
                <w:szCs w:val="22"/>
                <w:highlight w:val="yellow"/>
                <w:lang w:val="en-US"/>
              </w:rPr>
              <w:tab/>
            </w:r>
            <w:r w:rsidRPr="006F6DAC">
              <w:rPr>
                <w:rFonts w:ascii="Garamond" w:hAnsi="Garamond"/>
                <w:sz w:val="22"/>
                <w:szCs w:val="22"/>
                <w:highlight w:val="yellow"/>
                <w:lang w:val="en-US"/>
              </w:rPr>
              <w:tab/>
            </w:r>
            <w:r w:rsidRPr="006F6DAC">
              <w:rPr>
                <w:rFonts w:ascii="Garamond" w:hAnsi="Garamond"/>
                <w:sz w:val="22"/>
                <w:szCs w:val="22"/>
                <w:highlight w:val="yellow"/>
                <w:lang w:val="en-US"/>
              </w:rPr>
              <w:tab/>
            </w:r>
          </w:p>
          <w:p w14:paraId="200E5F9D" w14:textId="77777777" w:rsidR="00F11A8B" w:rsidRPr="006F6DAC" w:rsidRDefault="00F11A8B" w:rsidP="00F11A8B">
            <w:pPr>
              <w:tabs>
                <w:tab w:val="left" w:pos="1080"/>
              </w:tabs>
              <w:spacing w:before="120" w:after="120"/>
              <w:jc w:val="both"/>
              <w:rPr>
                <w:rFonts w:ascii="Garamond" w:hAnsi="Garamond"/>
                <w:sz w:val="22"/>
                <w:szCs w:val="22"/>
                <w:highlight w:val="yellow"/>
                <w:lang w:val="en-US"/>
              </w:rPr>
            </w:pPr>
            <w:r w:rsidRPr="006F6DAC">
              <w:rPr>
                <w:rFonts w:ascii="Garamond" w:hAnsi="Garamond"/>
                <w:sz w:val="22"/>
                <w:szCs w:val="22"/>
                <w:highlight w:val="yellow"/>
                <w:lang w:val="en-US"/>
              </w:rPr>
              <w:tab/>
            </w:r>
            <w:r w:rsidRPr="006F6DAC">
              <w:rPr>
                <w:rFonts w:ascii="Garamond" w:hAnsi="Garamond"/>
                <w:sz w:val="22"/>
                <w:szCs w:val="22"/>
                <w:highlight w:val="yellow"/>
                <w:lang w:val="en-US"/>
              </w:rPr>
              <w:tab/>
            </w:r>
            <w:r w:rsidRPr="006F6DAC">
              <w:rPr>
                <w:rFonts w:ascii="Garamond" w:hAnsi="Garamond"/>
                <w:sz w:val="22"/>
                <w:szCs w:val="22"/>
                <w:highlight w:val="yellow"/>
                <w:lang w:val="en-US"/>
              </w:rPr>
              <w:tab/>
              <w:t>&lt;period start="2300" end="0000"&gt;</w:t>
            </w:r>
          </w:p>
          <w:p w14:paraId="6276DE8D" w14:textId="77777777" w:rsidR="00F11A8B" w:rsidRPr="006F6DAC" w:rsidRDefault="00F11A8B" w:rsidP="00F11A8B">
            <w:pPr>
              <w:tabs>
                <w:tab w:val="left" w:pos="1080"/>
              </w:tabs>
              <w:spacing w:before="120" w:after="120"/>
              <w:jc w:val="both"/>
              <w:rPr>
                <w:rFonts w:ascii="Garamond" w:hAnsi="Garamond"/>
                <w:sz w:val="22"/>
                <w:szCs w:val="22"/>
                <w:highlight w:val="yellow"/>
                <w:lang w:val="en-US"/>
              </w:rPr>
            </w:pPr>
            <w:r w:rsidRPr="006F6DAC">
              <w:rPr>
                <w:rFonts w:ascii="Garamond" w:hAnsi="Garamond"/>
                <w:sz w:val="22"/>
                <w:szCs w:val="22"/>
                <w:highlight w:val="yellow"/>
                <w:lang w:val="en-US"/>
              </w:rPr>
              <w:tab/>
            </w:r>
            <w:r w:rsidRPr="006F6DAC">
              <w:rPr>
                <w:rFonts w:ascii="Garamond" w:hAnsi="Garamond"/>
                <w:sz w:val="22"/>
                <w:szCs w:val="22"/>
                <w:highlight w:val="yellow"/>
                <w:lang w:val="en-US"/>
              </w:rPr>
              <w:tab/>
            </w:r>
            <w:r w:rsidRPr="006F6DAC">
              <w:rPr>
                <w:rFonts w:ascii="Garamond" w:hAnsi="Garamond"/>
                <w:sz w:val="22"/>
                <w:szCs w:val="22"/>
                <w:highlight w:val="yellow"/>
                <w:lang w:val="en-US"/>
              </w:rPr>
              <w:tab/>
              <w:t xml:space="preserve">&lt;value&gt;307&lt;/value&gt; </w:t>
            </w:r>
          </w:p>
          <w:p w14:paraId="0544C33C" w14:textId="77777777" w:rsidR="00F11A8B" w:rsidRPr="006F6DAC" w:rsidRDefault="00F11A8B" w:rsidP="00F11A8B">
            <w:pPr>
              <w:tabs>
                <w:tab w:val="left" w:pos="1080"/>
              </w:tabs>
              <w:spacing w:before="120" w:after="120"/>
              <w:jc w:val="both"/>
              <w:rPr>
                <w:rFonts w:ascii="Garamond" w:hAnsi="Garamond"/>
                <w:sz w:val="22"/>
                <w:szCs w:val="22"/>
                <w:highlight w:val="yellow"/>
                <w:lang w:val="en-US"/>
              </w:rPr>
            </w:pPr>
            <w:r w:rsidRPr="006F6DAC">
              <w:rPr>
                <w:rFonts w:ascii="Garamond" w:hAnsi="Garamond"/>
                <w:sz w:val="22"/>
                <w:szCs w:val="22"/>
                <w:highlight w:val="yellow"/>
                <w:lang w:val="en-US"/>
              </w:rPr>
              <w:tab/>
            </w:r>
            <w:r w:rsidRPr="006F6DAC">
              <w:rPr>
                <w:rFonts w:ascii="Garamond" w:hAnsi="Garamond"/>
                <w:sz w:val="22"/>
                <w:szCs w:val="22"/>
                <w:highlight w:val="yellow"/>
                <w:lang w:val="en-US"/>
              </w:rPr>
              <w:tab/>
            </w:r>
            <w:r w:rsidRPr="006F6DAC">
              <w:rPr>
                <w:rFonts w:ascii="Garamond" w:hAnsi="Garamond"/>
                <w:sz w:val="22"/>
                <w:szCs w:val="22"/>
                <w:highlight w:val="yellow"/>
                <w:lang w:val="en-US"/>
              </w:rPr>
              <w:tab/>
              <w:t>&lt;/period&gt;</w:t>
            </w:r>
          </w:p>
          <w:p w14:paraId="3A027983" w14:textId="77777777" w:rsidR="00F11A8B" w:rsidRPr="006F6DAC" w:rsidRDefault="00F11A8B" w:rsidP="00F11A8B">
            <w:pPr>
              <w:tabs>
                <w:tab w:val="left" w:pos="1080"/>
              </w:tabs>
              <w:spacing w:before="120" w:after="120"/>
              <w:jc w:val="both"/>
              <w:rPr>
                <w:rFonts w:ascii="Garamond" w:hAnsi="Garamond"/>
                <w:sz w:val="22"/>
                <w:szCs w:val="22"/>
                <w:highlight w:val="yellow"/>
                <w:lang w:val="en-US"/>
              </w:rPr>
            </w:pPr>
            <w:r w:rsidRPr="006F6DAC">
              <w:rPr>
                <w:rFonts w:ascii="Garamond" w:hAnsi="Garamond"/>
                <w:sz w:val="22"/>
                <w:szCs w:val="22"/>
                <w:highlight w:val="yellow"/>
                <w:lang w:val="en-US"/>
              </w:rPr>
              <w:tab/>
            </w:r>
            <w:r w:rsidRPr="006F6DAC">
              <w:rPr>
                <w:rFonts w:ascii="Garamond" w:hAnsi="Garamond"/>
                <w:sz w:val="22"/>
                <w:szCs w:val="22"/>
                <w:highlight w:val="yellow"/>
                <w:lang w:val="en-US"/>
              </w:rPr>
              <w:tab/>
              <w:t>&lt;/measuringchannel&gt;</w:t>
            </w:r>
          </w:p>
          <w:p w14:paraId="0BFC7095" w14:textId="77777777" w:rsidR="00F11A8B" w:rsidRPr="006F6DAC" w:rsidRDefault="00F11A8B" w:rsidP="00F11A8B">
            <w:pPr>
              <w:tabs>
                <w:tab w:val="left" w:pos="1080"/>
              </w:tabs>
              <w:spacing w:before="120" w:after="120"/>
              <w:jc w:val="both"/>
              <w:rPr>
                <w:rFonts w:ascii="Garamond" w:hAnsi="Garamond"/>
                <w:sz w:val="22"/>
                <w:szCs w:val="22"/>
                <w:highlight w:val="yellow"/>
                <w:lang w:val="en-US"/>
              </w:rPr>
            </w:pPr>
            <w:r w:rsidRPr="006F6DAC">
              <w:rPr>
                <w:rFonts w:ascii="Garamond" w:hAnsi="Garamond"/>
                <w:sz w:val="22"/>
                <w:szCs w:val="22"/>
                <w:highlight w:val="yellow"/>
                <w:lang w:val="en-US"/>
              </w:rPr>
              <w:lastRenderedPageBreak/>
              <w:t xml:space="preserve">                            &lt;measuringchannel code="01" desc="</w:t>
            </w:r>
            <w:r w:rsidRPr="006F6DAC">
              <w:rPr>
                <w:rFonts w:ascii="Garamond" w:hAnsi="Garamond"/>
                <w:sz w:val="22"/>
                <w:szCs w:val="22"/>
                <w:highlight w:val="yellow"/>
              </w:rPr>
              <w:t>счетчик</w:t>
            </w:r>
            <w:r w:rsidRPr="006F6DAC">
              <w:rPr>
                <w:rFonts w:ascii="Garamond" w:hAnsi="Garamond"/>
                <w:sz w:val="22"/>
                <w:szCs w:val="22"/>
                <w:highlight w:val="yellow"/>
                <w:lang w:val="en-US"/>
              </w:rPr>
              <w:t xml:space="preserve">, </w:t>
            </w:r>
            <w:r w:rsidRPr="006F6DAC">
              <w:rPr>
                <w:rFonts w:ascii="Garamond" w:hAnsi="Garamond"/>
                <w:sz w:val="22"/>
                <w:szCs w:val="22"/>
                <w:highlight w:val="yellow"/>
              </w:rPr>
              <w:t>акт</w:t>
            </w:r>
            <w:r w:rsidRPr="006F6DAC">
              <w:rPr>
                <w:rFonts w:ascii="Garamond" w:hAnsi="Garamond"/>
                <w:sz w:val="22"/>
                <w:szCs w:val="22"/>
                <w:highlight w:val="yellow"/>
                <w:lang w:val="en-US"/>
              </w:rPr>
              <w:t xml:space="preserve">. </w:t>
            </w:r>
            <w:r w:rsidRPr="006F6DAC">
              <w:rPr>
                <w:rFonts w:ascii="Garamond" w:hAnsi="Garamond"/>
                <w:sz w:val="22"/>
                <w:szCs w:val="22"/>
                <w:highlight w:val="yellow"/>
              </w:rPr>
              <w:t>прием</w:t>
            </w:r>
            <w:r w:rsidRPr="006F6DAC">
              <w:rPr>
                <w:rFonts w:ascii="Garamond" w:hAnsi="Garamond"/>
                <w:sz w:val="22"/>
                <w:szCs w:val="22"/>
                <w:highlight w:val="yellow"/>
                <w:lang w:val="en-US"/>
              </w:rPr>
              <w:t>" algorithmversion="2"&gt;</w:t>
            </w:r>
          </w:p>
          <w:p w14:paraId="6E77BD5F" w14:textId="77777777" w:rsidR="00F11A8B" w:rsidRPr="006F6DAC" w:rsidRDefault="00F11A8B" w:rsidP="00F11A8B">
            <w:pPr>
              <w:tabs>
                <w:tab w:val="left" w:pos="1080"/>
              </w:tabs>
              <w:spacing w:before="120" w:after="120"/>
              <w:jc w:val="both"/>
              <w:rPr>
                <w:rFonts w:ascii="Garamond" w:hAnsi="Garamond"/>
                <w:sz w:val="22"/>
                <w:szCs w:val="22"/>
                <w:highlight w:val="yellow"/>
                <w:lang w:val="en-US"/>
              </w:rPr>
            </w:pPr>
            <w:r w:rsidRPr="006F6DAC">
              <w:rPr>
                <w:rFonts w:ascii="Garamond" w:hAnsi="Garamond"/>
                <w:sz w:val="22"/>
                <w:szCs w:val="22"/>
                <w:highlight w:val="yellow"/>
                <w:lang w:val="en-US"/>
              </w:rPr>
              <w:tab/>
            </w:r>
            <w:r w:rsidRPr="006F6DAC">
              <w:rPr>
                <w:rFonts w:ascii="Garamond" w:hAnsi="Garamond"/>
                <w:sz w:val="22"/>
                <w:szCs w:val="22"/>
                <w:highlight w:val="yellow"/>
                <w:lang w:val="en-US"/>
              </w:rPr>
              <w:tab/>
            </w:r>
            <w:r w:rsidRPr="006F6DAC">
              <w:rPr>
                <w:rFonts w:ascii="Garamond" w:hAnsi="Garamond"/>
                <w:sz w:val="22"/>
                <w:szCs w:val="22"/>
                <w:highlight w:val="yellow"/>
                <w:lang w:val="en-US"/>
              </w:rPr>
              <w:tab/>
              <w:t>&lt;period start="0000" end="0100"&gt;</w:t>
            </w:r>
          </w:p>
          <w:p w14:paraId="02A8DD07" w14:textId="77777777" w:rsidR="00F11A8B" w:rsidRPr="006F6DAC" w:rsidRDefault="00F11A8B" w:rsidP="00F11A8B">
            <w:pPr>
              <w:tabs>
                <w:tab w:val="left" w:pos="1080"/>
              </w:tabs>
              <w:spacing w:before="120" w:after="120"/>
              <w:jc w:val="both"/>
              <w:rPr>
                <w:rFonts w:ascii="Garamond" w:hAnsi="Garamond"/>
                <w:sz w:val="22"/>
                <w:szCs w:val="22"/>
                <w:highlight w:val="yellow"/>
                <w:lang w:val="en-US"/>
              </w:rPr>
            </w:pPr>
            <w:r w:rsidRPr="006F6DAC">
              <w:rPr>
                <w:rFonts w:ascii="Garamond" w:hAnsi="Garamond"/>
                <w:sz w:val="22"/>
                <w:szCs w:val="22"/>
                <w:highlight w:val="yellow"/>
                <w:lang w:val="en-US"/>
              </w:rPr>
              <w:tab/>
            </w:r>
            <w:r w:rsidRPr="006F6DAC">
              <w:rPr>
                <w:rFonts w:ascii="Garamond" w:hAnsi="Garamond"/>
                <w:sz w:val="22"/>
                <w:szCs w:val="22"/>
                <w:highlight w:val="yellow"/>
                <w:lang w:val="en-US"/>
              </w:rPr>
              <w:tab/>
            </w:r>
            <w:r w:rsidRPr="006F6DAC">
              <w:rPr>
                <w:rFonts w:ascii="Garamond" w:hAnsi="Garamond"/>
                <w:sz w:val="22"/>
                <w:szCs w:val="22"/>
                <w:highlight w:val="yellow"/>
                <w:lang w:val="en-US"/>
              </w:rPr>
              <w:tab/>
              <w:t xml:space="preserve">&lt;value&gt;194&lt;/value&gt; </w:t>
            </w:r>
          </w:p>
          <w:p w14:paraId="2333FE3B" w14:textId="77777777" w:rsidR="00F11A8B" w:rsidRPr="006F6DAC" w:rsidRDefault="00F11A8B" w:rsidP="00F11A8B">
            <w:pPr>
              <w:tabs>
                <w:tab w:val="left" w:pos="1080"/>
              </w:tabs>
              <w:spacing w:before="120" w:after="120"/>
              <w:jc w:val="both"/>
              <w:rPr>
                <w:rFonts w:ascii="Garamond" w:hAnsi="Garamond"/>
                <w:sz w:val="22"/>
                <w:szCs w:val="22"/>
                <w:highlight w:val="yellow"/>
                <w:lang w:val="en-US"/>
              </w:rPr>
            </w:pPr>
            <w:r w:rsidRPr="006F6DAC">
              <w:rPr>
                <w:rFonts w:ascii="Garamond" w:hAnsi="Garamond"/>
                <w:sz w:val="22"/>
                <w:szCs w:val="22"/>
                <w:highlight w:val="yellow"/>
                <w:lang w:val="en-US"/>
              </w:rPr>
              <w:tab/>
            </w:r>
            <w:r w:rsidRPr="006F6DAC">
              <w:rPr>
                <w:rFonts w:ascii="Garamond" w:hAnsi="Garamond"/>
                <w:sz w:val="22"/>
                <w:szCs w:val="22"/>
                <w:highlight w:val="yellow"/>
                <w:lang w:val="en-US"/>
              </w:rPr>
              <w:tab/>
            </w:r>
            <w:r w:rsidRPr="006F6DAC">
              <w:rPr>
                <w:rFonts w:ascii="Garamond" w:hAnsi="Garamond"/>
                <w:sz w:val="22"/>
                <w:szCs w:val="22"/>
                <w:highlight w:val="yellow"/>
                <w:lang w:val="en-US"/>
              </w:rPr>
              <w:tab/>
              <w:t>&lt;/period&gt;</w:t>
            </w:r>
          </w:p>
          <w:p w14:paraId="1CACE91E" w14:textId="77777777" w:rsidR="00F11A8B" w:rsidRPr="006F6DAC" w:rsidRDefault="00F11A8B" w:rsidP="00F11A8B">
            <w:pPr>
              <w:tabs>
                <w:tab w:val="left" w:pos="1080"/>
              </w:tabs>
              <w:spacing w:before="120" w:after="120"/>
              <w:jc w:val="both"/>
              <w:rPr>
                <w:rFonts w:ascii="Garamond" w:hAnsi="Garamond"/>
                <w:sz w:val="22"/>
                <w:szCs w:val="22"/>
                <w:highlight w:val="yellow"/>
                <w:lang w:val="en-US"/>
              </w:rPr>
            </w:pPr>
            <w:r w:rsidRPr="006F6DAC">
              <w:rPr>
                <w:rFonts w:ascii="Garamond" w:hAnsi="Garamond"/>
                <w:sz w:val="22"/>
                <w:szCs w:val="22"/>
                <w:highlight w:val="yellow"/>
                <w:lang w:val="en-US"/>
              </w:rPr>
              <w:t># .............. (</w:t>
            </w:r>
            <w:r w:rsidRPr="006F6DAC">
              <w:rPr>
                <w:rFonts w:ascii="Garamond" w:hAnsi="Garamond"/>
                <w:sz w:val="22"/>
                <w:szCs w:val="22"/>
                <w:highlight w:val="yellow"/>
              </w:rPr>
              <w:t>пропущено</w:t>
            </w:r>
            <w:r w:rsidRPr="006F6DAC">
              <w:rPr>
                <w:rFonts w:ascii="Garamond" w:hAnsi="Garamond"/>
                <w:sz w:val="22"/>
                <w:szCs w:val="22"/>
                <w:highlight w:val="yellow"/>
                <w:lang w:val="en-US"/>
              </w:rPr>
              <w:t>)</w:t>
            </w:r>
            <w:r w:rsidRPr="006F6DAC">
              <w:rPr>
                <w:rFonts w:ascii="Garamond" w:hAnsi="Garamond"/>
                <w:sz w:val="22"/>
                <w:szCs w:val="22"/>
                <w:highlight w:val="yellow"/>
                <w:lang w:val="en-US"/>
              </w:rPr>
              <w:tab/>
            </w:r>
            <w:r w:rsidRPr="006F6DAC">
              <w:rPr>
                <w:rFonts w:ascii="Garamond" w:hAnsi="Garamond"/>
                <w:sz w:val="22"/>
                <w:szCs w:val="22"/>
                <w:highlight w:val="yellow"/>
                <w:lang w:val="en-US"/>
              </w:rPr>
              <w:tab/>
            </w:r>
            <w:r w:rsidRPr="006F6DAC">
              <w:rPr>
                <w:rFonts w:ascii="Garamond" w:hAnsi="Garamond"/>
                <w:sz w:val="22"/>
                <w:szCs w:val="22"/>
                <w:highlight w:val="yellow"/>
                <w:lang w:val="en-US"/>
              </w:rPr>
              <w:tab/>
            </w:r>
          </w:p>
          <w:p w14:paraId="3077D98C" w14:textId="77777777" w:rsidR="00F11A8B" w:rsidRPr="006F6DAC" w:rsidRDefault="00F11A8B" w:rsidP="00F11A8B">
            <w:pPr>
              <w:tabs>
                <w:tab w:val="left" w:pos="1080"/>
              </w:tabs>
              <w:spacing w:before="120" w:after="120"/>
              <w:jc w:val="both"/>
              <w:rPr>
                <w:rFonts w:ascii="Garamond" w:hAnsi="Garamond"/>
                <w:sz w:val="22"/>
                <w:szCs w:val="22"/>
                <w:highlight w:val="yellow"/>
                <w:lang w:val="en-US"/>
              </w:rPr>
            </w:pPr>
            <w:r w:rsidRPr="006F6DAC">
              <w:rPr>
                <w:rFonts w:ascii="Garamond" w:hAnsi="Garamond"/>
                <w:sz w:val="22"/>
                <w:szCs w:val="22"/>
                <w:highlight w:val="yellow"/>
                <w:lang w:val="en-US"/>
              </w:rPr>
              <w:tab/>
            </w:r>
            <w:r w:rsidRPr="006F6DAC">
              <w:rPr>
                <w:rFonts w:ascii="Garamond" w:hAnsi="Garamond"/>
                <w:sz w:val="22"/>
                <w:szCs w:val="22"/>
                <w:highlight w:val="yellow"/>
                <w:lang w:val="en-US"/>
              </w:rPr>
              <w:tab/>
            </w:r>
            <w:r w:rsidRPr="006F6DAC">
              <w:rPr>
                <w:rFonts w:ascii="Garamond" w:hAnsi="Garamond"/>
                <w:sz w:val="22"/>
                <w:szCs w:val="22"/>
                <w:highlight w:val="yellow"/>
                <w:lang w:val="en-US"/>
              </w:rPr>
              <w:tab/>
              <w:t>&lt;period start="2300" end="0000"&gt;</w:t>
            </w:r>
          </w:p>
          <w:p w14:paraId="00E1ABCD" w14:textId="77777777" w:rsidR="00F11A8B" w:rsidRPr="006F6DAC" w:rsidRDefault="00F11A8B" w:rsidP="00F11A8B">
            <w:pPr>
              <w:tabs>
                <w:tab w:val="left" w:pos="1080"/>
              </w:tabs>
              <w:spacing w:before="120" w:after="120"/>
              <w:jc w:val="both"/>
              <w:rPr>
                <w:rFonts w:ascii="Garamond" w:hAnsi="Garamond"/>
                <w:sz w:val="22"/>
                <w:szCs w:val="22"/>
                <w:highlight w:val="yellow"/>
                <w:lang w:val="en-US"/>
              </w:rPr>
            </w:pPr>
            <w:r w:rsidRPr="006F6DAC">
              <w:rPr>
                <w:rFonts w:ascii="Garamond" w:hAnsi="Garamond"/>
                <w:sz w:val="22"/>
                <w:szCs w:val="22"/>
                <w:highlight w:val="yellow"/>
                <w:lang w:val="en-US"/>
              </w:rPr>
              <w:tab/>
            </w:r>
            <w:r w:rsidRPr="006F6DAC">
              <w:rPr>
                <w:rFonts w:ascii="Garamond" w:hAnsi="Garamond"/>
                <w:sz w:val="22"/>
                <w:szCs w:val="22"/>
                <w:highlight w:val="yellow"/>
                <w:lang w:val="en-US"/>
              </w:rPr>
              <w:tab/>
            </w:r>
            <w:r w:rsidRPr="006F6DAC">
              <w:rPr>
                <w:rFonts w:ascii="Garamond" w:hAnsi="Garamond"/>
                <w:sz w:val="22"/>
                <w:szCs w:val="22"/>
                <w:highlight w:val="yellow"/>
                <w:lang w:val="en-US"/>
              </w:rPr>
              <w:tab/>
              <w:t xml:space="preserve">&lt;value&gt;252&lt;/value&gt; </w:t>
            </w:r>
          </w:p>
          <w:p w14:paraId="6C888613" w14:textId="77777777" w:rsidR="00F11A8B" w:rsidRPr="006F6DAC" w:rsidRDefault="00F11A8B" w:rsidP="00F11A8B">
            <w:pPr>
              <w:tabs>
                <w:tab w:val="left" w:pos="1080"/>
              </w:tabs>
              <w:spacing w:before="120" w:after="120"/>
              <w:jc w:val="both"/>
              <w:rPr>
                <w:rFonts w:ascii="Garamond" w:hAnsi="Garamond"/>
                <w:sz w:val="22"/>
                <w:szCs w:val="22"/>
                <w:highlight w:val="yellow"/>
                <w:lang w:val="en-US"/>
              </w:rPr>
            </w:pPr>
            <w:r w:rsidRPr="006F6DAC">
              <w:rPr>
                <w:rFonts w:ascii="Garamond" w:hAnsi="Garamond"/>
                <w:sz w:val="22"/>
                <w:szCs w:val="22"/>
                <w:highlight w:val="yellow"/>
                <w:lang w:val="en-US"/>
              </w:rPr>
              <w:tab/>
            </w:r>
            <w:r w:rsidRPr="006F6DAC">
              <w:rPr>
                <w:rFonts w:ascii="Garamond" w:hAnsi="Garamond"/>
                <w:sz w:val="22"/>
                <w:szCs w:val="22"/>
                <w:highlight w:val="yellow"/>
                <w:lang w:val="en-US"/>
              </w:rPr>
              <w:tab/>
            </w:r>
            <w:r w:rsidRPr="006F6DAC">
              <w:rPr>
                <w:rFonts w:ascii="Garamond" w:hAnsi="Garamond"/>
                <w:sz w:val="22"/>
                <w:szCs w:val="22"/>
                <w:highlight w:val="yellow"/>
                <w:lang w:val="en-US"/>
              </w:rPr>
              <w:tab/>
              <w:t>&lt;/period&gt;</w:t>
            </w:r>
          </w:p>
          <w:p w14:paraId="4C8C865B" w14:textId="77777777" w:rsidR="00F11A8B" w:rsidRPr="006F6DAC" w:rsidRDefault="00F11A8B" w:rsidP="00F11A8B">
            <w:pPr>
              <w:tabs>
                <w:tab w:val="left" w:pos="1080"/>
              </w:tabs>
              <w:spacing w:before="120" w:after="120"/>
              <w:jc w:val="both"/>
              <w:rPr>
                <w:rFonts w:ascii="Garamond" w:hAnsi="Garamond"/>
                <w:sz w:val="22"/>
                <w:szCs w:val="22"/>
                <w:highlight w:val="yellow"/>
                <w:lang w:val="en-US"/>
              </w:rPr>
            </w:pPr>
            <w:r w:rsidRPr="006F6DAC">
              <w:rPr>
                <w:rFonts w:ascii="Garamond" w:hAnsi="Garamond"/>
                <w:sz w:val="22"/>
                <w:szCs w:val="22"/>
                <w:highlight w:val="yellow"/>
                <w:lang w:val="en-US"/>
              </w:rPr>
              <w:tab/>
            </w:r>
            <w:r w:rsidRPr="006F6DAC">
              <w:rPr>
                <w:rFonts w:ascii="Garamond" w:hAnsi="Garamond"/>
                <w:sz w:val="22"/>
                <w:szCs w:val="22"/>
                <w:highlight w:val="yellow"/>
                <w:lang w:val="en-US"/>
              </w:rPr>
              <w:tab/>
              <w:t>&lt;/measuringchannel&gt;</w:t>
            </w:r>
          </w:p>
          <w:p w14:paraId="460B3563" w14:textId="77777777" w:rsidR="00F11A8B" w:rsidRPr="006F6DAC" w:rsidRDefault="00F11A8B" w:rsidP="00F11A8B">
            <w:pPr>
              <w:tabs>
                <w:tab w:val="left" w:pos="1080"/>
              </w:tabs>
              <w:spacing w:before="120" w:after="120"/>
              <w:jc w:val="both"/>
              <w:rPr>
                <w:rFonts w:ascii="Garamond" w:hAnsi="Garamond"/>
                <w:sz w:val="22"/>
                <w:szCs w:val="22"/>
                <w:highlight w:val="yellow"/>
                <w:lang w:val="en-US"/>
              </w:rPr>
            </w:pPr>
            <w:r w:rsidRPr="006F6DAC">
              <w:rPr>
                <w:rFonts w:ascii="Garamond" w:hAnsi="Garamond"/>
                <w:sz w:val="22"/>
                <w:szCs w:val="22"/>
                <w:highlight w:val="yellow"/>
                <w:lang w:val="en-US"/>
              </w:rPr>
              <w:tab/>
            </w:r>
            <w:r w:rsidRPr="006F6DAC">
              <w:rPr>
                <w:rFonts w:ascii="Garamond" w:hAnsi="Garamond"/>
                <w:sz w:val="22"/>
                <w:szCs w:val="22"/>
                <w:highlight w:val="yellow"/>
                <w:lang w:val="en-US"/>
              </w:rPr>
              <w:tab/>
              <w:t>&lt;measuringchannel code="02" desc="</w:t>
            </w:r>
            <w:r w:rsidRPr="006F6DAC">
              <w:rPr>
                <w:rFonts w:ascii="Garamond" w:hAnsi="Garamond"/>
                <w:sz w:val="22"/>
                <w:szCs w:val="22"/>
                <w:highlight w:val="yellow"/>
              </w:rPr>
              <w:t>счетчик</w:t>
            </w:r>
            <w:r w:rsidRPr="006F6DAC">
              <w:rPr>
                <w:rFonts w:ascii="Garamond" w:hAnsi="Garamond"/>
                <w:sz w:val="22"/>
                <w:szCs w:val="22"/>
                <w:highlight w:val="yellow"/>
                <w:lang w:val="en-US"/>
              </w:rPr>
              <w:t xml:space="preserve">, </w:t>
            </w:r>
            <w:r w:rsidRPr="006F6DAC">
              <w:rPr>
                <w:rFonts w:ascii="Garamond" w:hAnsi="Garamond"/>
                <w:sz w:val="22"/>
                <w:szCs w:val="22"/>
                <w:highlight w:val="yellow"/>
              </w:rPr>
              <w:t>акт</w:t>
            </w:r>
            <w:r w:rsidRPr="006F6DAC">
              <w:rPr>
                <w:rFonts w:ascii="Garamond" w:hAnsi="Garamond"/>
                <w:sz w:val="22"/>
                <w:szCs w:val="22"/>
                <w:highlight w:val="yellow"/>
                <w:lang w:val="en-US"/>
              </w:rPr>
              <w:t xml:space="preserve">. </w:t>
            </w:r>
            <w:r w:rsidRPr="006F6DAC">
              <w:rPr>
                <w:rFonts w:ascii="Garamond" w:hAnsi="Garamond"/>
                <w:sz w:val="22"/>
                <w:szCs w:val="22"/>
                <w:highlight w:val="yellow"/>
              </w:rPr>
              <w:t>отдача</w:t>
            </w:r>
            <w:r w:rsidRPr="006F6DAC">
              <w:rPr>
                <w:rFonts w:ascii="Garamond" w:hAnsi="Garamond"/>
                <w:sz w:val="22"/>
                <w:szCs w:val="22"/>
                <w:highlight w:val="yellow"/>
                <w:lang w:val="en-US"/>
              </w:rPr>
              <w:t>" algorithmversion="1"&gt;</w:t>
            </w:r>
          </w:p>
          <w:p w14:paraId="370BF91F" w14:textId="77777777" w:rsidR="00F11A8B" w:rsidRPr="006F6DAC" w:rsidRDefault="00F11A8B" w:rsidP="00F11A8B">
            <w:pPr>
              <w:tabs>
                <w:tab w:val="left" w:pos="1080"/>
              </w:tabs>
              <w:spacing w:before="120" w:after="120"/>
              <w:jc w:val="both"/>
              <w:rPr>
                <w:rFonts w:ascii="Garamond" w:hAnsi="Garamond"/>
                <w:sz w:val="22"/>
                <w:szCs w:val="22"/>
                <w:highlight w:val="yellow"/>
                <w:lang w:val="en-US"/>
              </w:rPr>
            </w:pPr>
            <w:r w:rsidRPr="006F6DAC">
              <w:rPr>
                <w:rFonts w:ascii="Garamond" w:hAnsi="Garamond"/>
                <w:sz w:val="22"/>
                <w:szCs w:val="22"/>
                <w:highlight w:val="yellow"/>
                <w:lang w:val="en-US"/>
              </w:rPr>
              <w:t># .............. (</w:t>
            </w:r>
            <w:r w:rsidRPr="006F6DAC">
              <w:rPr>
                <w:rFonts w:ascii="Garamond" w:hAnsi="Garamond"/>
                <w:sz w:val="22"/>
                <w:szCs w:val="22"/>
                <w:highlight w:val="yellow"/>
              </w:rPr>
              <w:t>пропущено</w:t>
            </w:r>
            <w:r w:rsidRPr="006F6DAC">
              <w:rPr>
                <w:rFonts w:ascii="Garamond" w:hAnsi="Garamond"/>
                <w:sz w:val="22"/>
                <w:szCs w:val="22"/>
                <w:highlight w:val="yellow"/>
                <w:lang w:val="en-US"/>
              </w:rPr>
              <w:t>)</w:t>
            </w:r>
          </w:p>
          <w:p w14:paraId="6160F227" w14:textId="77777777" w:rsidR="00F11A8B" w:rsidRPr="006F6DAC" w:rsidRDefault="00F11A8B" w:rsidP="00F11A8B">
            <w:pPr>
              <w:tabs>
                <w:tab w:val="left" w:pos="1080"/>
              </w:tabs>
              <w:spacing w:before="120" w:after="120"/>
              <w:jc w:val="both"/>
              <w:rPr>
                <w:rFonts w:ascii="Garamond" w:hAnsi="Garamond"/>
                <w:sz w:val="22"/>
                <w:szCs w:val="22"/>
                <w:highlight w:val="yellow"/>
                <w:lang w:val="en-US"/>
              </w:rPr>
            </w:pPr>
            <w:r w:rsidRPr="006F6DAC">
              <w:rPr>
                <w:rFonts w:ascii="Garamond" w:hAnsi="Garamond"/>
                <w:sz w:val="22"/>
                <w:szCs w:val="22"/>
                <w:highlight w:val="yellow"/>
                <w:lang w:val="en-US"/>
              </w:rPr>
              <w:tab/>
            </w:r>
            <w:r w:rsidRPr="006F6DAC">
              <w:rPr>
                <w:rFonts w:ascii="Garamond" w:hAnsi="Garamond"/>
                <w:sz w:val="22"/>
                <w:szCs w:val="22"/>
                <w:highlight w:val="yellow"/>
                <w:lang w:val="en-US"/>
              </w:rPr>
              <w:tab/>
              <w:t>&lt;/measuringchannel&gt;</w:t>
            </w:r>
          </w:p>
          <w:p w14:paraId="5F369E7A" w14:textId="77777777" w:rsidR="00F11A8B" w:rsidRPr="006F6DAC" w:rsidRDefault="00F11A8B" w:rsidP="00F11A8B">
            <w:pPr>
              <w:tabs>
                <w:tab w:val="left" w:pos="1080"/>
              </w:tabs>
              <w:spacing w:before="120" w:after="120"/>
              <w:jc w:val="both"/>
              <w:rPr>
                <w:rFonts w:ascii="Garamond" w:hAnsi="Garamond"/>
                <w:sz w:val="22"/>
                <w:szCs w:val="22"/>
                <w:highlight w:val="yellow"/>
                <w:lang w:val="en-US"/>
              </w:rPr>
            </w:pPr>
            <w:r w:rsidRPr="006F6DAC">
              <w:rPr>
                <w:rFonts w:ascii="Garamond" w:hAnsi="Garamond"/>
                <w:sz w:val="22"/>
                <w:szCs w:val="22"/>
                <w:highlight w:val="yellow"/>
                <w:lang w:val="en-US"/>
              </w:rPr>
              <w:tab/>
              <w:t xml:space="preserve">&lt;/ deliverypoint &gt;   </w:t>
            </w:r>
          </w:p>
          <w:p w14:paraId="4D6AA621" w14:textId="77777777" w:rsidR="00F11A8B" w:rsidRPr="006F6DAC" w:rsidRDefault="00F11A8B" w:rsidP="00F11A8B">
            <w:pPr>
              <w:tabs>
                <w:tab w:val="left" w:pos="1080"/>
              </w:tabs>
              <w:spacing w:before="120" w:after="120"/>
              <w:jc w:val="both"/>
              <w:rPr>
                <w:rFonts w:ascii="Garamond" w:hAnsi="Garamond"/>
                <w:sz w:val="22"/>
                <w:szCs w:val="22"/>
                <w:highlight w:val="yellow"/>
                <w:lang w:val="en-US"/>
              </w:rPr>
            </w:pPr>
            <w:r w:rsidRPr="006F6DAC">
              <w:rPr>
                <w:rFonts w:ascii="Garamond" w:hAnsi="Garamond"/>
                <w:sz w:val="22"/>
                <w:szCs w:val="22"/>
                <w:highlight w:val="yellow"/>
                <w:lang w:val="en-US"/>
              </w:rPr>
              <w:t># .............. (</w:t>
            </w:r>
            <w:r w:rsidRPr="006F6DAC">
              <w:rPr>
                <w:rFonts w:ascii="Garamond" w:hAnsi="Garamond"/>
                <w:sz w:val="22"/>
                <w:szCs w:val="22"/>
                <w:highlight w:val="yellow"/>
              </w:rPr>
              <w:t>пропущено</w:t>
            </w:r>
            <w:r w:rsidRPr="006F6DAC">
              <w:rPr>
                <w:rFonts w:ascii="Garamond" w:hAnsi="Garamond"/>
                <w:sz w:val="22"/>
                <w:szCs w:val="22"/>
                <w:highlight w:val="yellow"/>
                <w:lang w:val="en-US"/>
              </w:rPr>
              <w:t>)</w:t>
            </w:r>
          </w:p>
          <w:p w14:paraId="0F742AD7" w14:textId="77777777" w:rsidR="00F11A8B" w:rsidRPr="006F6DAC" w:rsidRDefault="00F11A8B" w:rsidP="00F11A8B">
            <w:pPr>
              <w:tabs>
                <w:tab w:val="left" w:pos="1080"/>
              </w:tabs>
              <w:spacing w:before="120" w:after="120"/>
              <w:jc w:val="both"/>
              <w:rPr>
                <w:rFonts w:ascii="Garamond" w:hAnsi="Garamond"/>
                <w:sz w:val="22"/>
                <w:szCs w:val="22"/>
                <w:highlight w:val="yellow"/>
                <w:lang w:val="en-US"/>
              </w:rPr>
            </w:pPr>
            <w:r w:rsidRPr="006F6DAC">
              <w:rPr>
                <w:rFonts w:ascii="Garamond" w:hAnsi="Garamond"/>
                <w:sz w:val="22"/>
                <w:szCs w:val="22"/>
                <w:highlight w:val="yellow"/>
                <w:lang w:val="en-US"/>
              </w:rPr>
              <w:t xml:space="preserve">                            &lt;measuringchannel code="02" desc="</w:t>
            </w:r>
            <w:r w:rsidRPr="006F6DAC">
              <w:rPr>
                <w:rFonts w:ascii="Garamond" w:hAnsi="Garamond"/>
                <w:sz w:val="22"/>
                <w:szCs w:val="22"/>
                <w:highlight w:val="yellow"/>
              </w:rPr>
              <w:t>счетчик</w:t>
            </w:r>
            <w:r w:rsidRPr="006F6DAC">
              <w:rPr>
                <w:rFonts w:ascii="Garamond" w:hAnsi="Garamond"/>
                <w:sz w:val="22"/>
                <w:szCs w:val="22"/>
                <w:highlight w:val="yellow"/>
                <w:lang w:val="en-US"/>
              </w:rPr>
              <w:t xml:space="preserve">, </w:t>
            </w:r>
            <w:r w:rsidRPr="006F6DAC">
              <w:rPr>
                <w:rFonts w:ascii="Garamond" w:hAnsi="Garamond"/>
                <w:sz w:val="22"/>
                <w:szCs w:val="22"/>
                <w:highlight w:val="yellow"/>
              </w:rPr>
              <w:t>акт</w:t>
            </w:r>
            <w:r w:rsidRPr="006F6DAC">
              <w:rPr>
                <w:rFonts w:ascii="Garamond" w:hAnsi="Garamond"/>
                <w:sz w:val="22"/>
                <w:szCs w:val="22"/>
                <w:highlight w:val="yellow"/>
                <w:lang w:val="en-US"/>
              </w:rPr>
              <w:t xml:space="preserve">. </w:t>
            </w:r>
            <w:r w:rsidRPr="006F6DAC">
              <w:rPr>
                <w:rFonts w:ascii="Garamond" w:hAnsi="Garamond"/>
                <w:sz w:val="22"/>
                <w:szCs w:val="22"/>
                <w:highlight w:val="yellow"/>
              </w:rPr>
              <w:t>отдача</w:t>
            </w:r>
            <w:r w:rsidRPr="006F6DAC">
              <w:rPr>
                <w:rFonts w:ascii="Garamond" w:hAnsi="Garamond"/>
                <w:sz w:val="22"/>
                <w:szCs w:val="22"/>
                <w:highlight w:val="yellow"/>
                <w:lang w:val="en-US"/>
              </w:rPr>
              <w:t>" algorithmversion="2"&gt;</w:t>
            </w:r>
          </w:p>
          <w:p w14:paraId="769C2E54" w14:textId="77777777" w:rsidR="00F11A8B" w:rsidRPr="006F6DAC" w:rsidRDefault="00F11A8B" w:rsidP="00F11A8B">
            <w:pPr>
              <w:tabs>
                <w:tab w:val="left" w:pos="1080"/>
              </w:tabs>
              <w:spacing w:before="120" w:after="120"/>
              <w:jc w:val="both"/>
              <w:rPr>
                <w:rFonts w:ascii="Garamond" w:hAnsi="Garamond"/>
                <w:sz w:val="22"/>
                <w:szCs w:val="22"/>
                <w:highlight w:val="yellow"/>
                <w:lang w:val="en-US"/>
              </w:rPr>
            </w:pPr>
            <w:r w:rsidRPr="006F6DAC">
              <w:rPr>
                <w:rFonts w:ascii="Garamond" w:hAnsi="Garamond"/>
                <w:sz w:val="22"/>
                <w:szCs w:val="22"/>
                <w:highlight w:val="yellow"/>
                <w:lang w:val="en-US"/>
              </w:rPr>
              <w:t># .............. (</w:t>
            </w:r>
            <w:r w:rsidRPr="006F6DAC">
              <w:rPr>
                <w:rFonts w:ascii="Garamond" w:hAnsi="Garamond"/>
                <w:sz w:val="22"/>
                <w:szCs w:val="22"/>
                <w:highlight w:val="yellow"/>
              </w:rPr>
              <w:t>пропущено</w:t>
            </w:r>
            <w:r w:rsidRPr="006F6DAC">
              <w:rPr>
                <w:rFonts w:ascii="Garamond" w:hAnsi="Garamond"/>
                <w:sz w:val="22"/>
                <w:szCs w:val="22"/>
                <w:highlight w:val="yellow"/>
                <w:lang w:val="en-US"/>
              </w:rPr>
              <w:t>)</w:t>
            </w:r>
          </w:p>
          <w:p w14:paraId="60AA3D81" w14:textId="77777777" w:rsidR="00F11A8B" w:rsidRPr="006F6DAC" w:rsidRDefault="00F11A8B" w:rsidP="00F11A8B">
            <w:pPr>
              <w:tabs>
                <w:tab w:val="left" w:pos="1080"/>
              </w:tabs>
              <w:spacing w:before="120" w:after="120"/>
              <w:jc w:val="both"/>
              <w:rPr>
                <w:rFonts w:ascii="Garamond" w:hAnsi="Garamond"/>
                <w:sz w:val="22"/>
                <w:szCs w:val="22"/>
                <w:highlight w:val="yellow"/>
                <w:lang w:val="en-US"/>
              </w:rPr>
            </w:pPr>
            <w:r w:rsidRPr="006F6DAC">
              <w:rPr>
                <w:rFonts w:ascii="Garamond" w:hAnsi="Garamond"/>
                <w:sz w:val="22"/>
                <w:szCs w:val="22"/>
                <w:highlight w:val="yellow"/>
                <w:lang w:val="en-US"/>
              </w:rPr>
              <w:tab/>
            </w:r>
            <w:r w:rsidRPr="006F6DAC">
              <w:rPr>
                <w:rFonts w:ascii="Garamond" w:hAnsi="Garamond"/>
                <w:sz w:val="22"/>
                <w:szCs w:val="22"/>
                <w:highlight w:val="yellow"/>
                <w:lang w:val="en-US"/>
              </w:rPr>
              <w:tab/>
              <w:t>&lt;/measuringchannel&gt;</w:t>
            </w:r>
          </w:p>
          <w:p w14:paraId="7E067AC4" w14:textId="77777777" w:rsidR="00F11A8B" w:rsidRPr="006F6DAC" w:rsidRDefault="00F11A8B" w:rsidP="00F11A8B">
            <w:pPr>
              <w:tabs>
                <w:tab w:val="left" w:pos="1080"/>
              </w:tabs>
              <w:spacing w:before="120" w:after="120"/>
              <w:jc w:val="both"/>
              <w:rPr>
                <w:rFonts w:ascii="Garamond" w:hAnsi="Garamond"/>
                <w:sz w:val="22"/>
                <w:szCs w:val="22"/>
                <w:highlight w:val="yellow"/>
                <w:lang w:val="en-US"/>
              </w:rPr>
            </w:pPr>
            <w:r w:rsidRPr="006F6DAC">
              <w:rPr>
                <w:rFonts w:ascii="Garamond" w:hAnsi="Garamond"/>
                <w:sz w:val="22"/>
                <w:szCs w:val="22"/>
                <w:highlight w:val="yellow"/>
                <w:lang w:val="en-US"/>
              </w:rPr>
              <w:tab/>
              <w:t xml:space="preserve">&lt;/ deliverypoint &gt;   </w:t>
            </w:r>
          </w:p>
          <w:p w14:paraId="59A0A989" w14:textId="77777777" w:rsidR="00F11A8B" w:rsidRPr="006F6DAC" w:rsidRDefault="00F11A8B" w:rsidP="00F11A8B">
            <w:pPr>
              <w:tabs>
                <w:tab w:val="left" w:pos="1080"/>
              </w:tabs>
              <w:spacing w:before="120" w:after="120"/>
              <w:jc w:val="both"/>
              <w:rPr>
                <w:rFonts w:ascii="Garamond" w:hAnsi="Garamond"/>
                <w:sz w:val="22"/>
                <w:szCs w:val="22"/>
                <w:highlight w:val="yellow"/>
                <w:lang w:val="en-US"/>
              </w:rPr>
            </w:pPr>
            <w:r w:rsidRPr="006F6DAC">
              <w:rPr>
                <w:rFonts w:ascii="Garamond" w:hAnsi="Garamond"/>
                <w:sz w:val="22"/>
                <w:szCs w:val="22"/>
                <w:highlight w:val="yellow"/>
                <w:lang w:val="en-US"/>
              </w:rPr>
              <w:t># .............. (</w:t>
            </w:r>
            <w:r w:rsidRPr="006F6DAC">
              <w:rPr>
                <w:rFonts w:ascii="Garamond" w:hAnsi="Garamond"/>
                <w:sz w:val="22"/>
                <w:szCs w:val="22"/>
                <w:highlight w:val="yellow"/>
              </w:rPr>
              <w:t>пропущено</w:t>
            </w:r>
            <w:r w:rsidRPr="006F6DAC">
              <w:rPr>
                <w:rFonts w:ascii="Garamond" w:hAnsi="Garamond"/>
                <w:sz w:val="22"/>
                <w:szCs w:val="22"/>
                <w:highlight w:val="yellow"/>
                <w:lang w:val="en-US"/>
              </w:rPr>
              <w:t>)</w:t>
            </w:r>
          </w:p>
          <w:p w14:paraId="0394E230" w14:textId="77777777" w:rsidR="00F11A8B" w:rsidRPr="006F6DAC" w:rsidRDefault="00F11A8B" w:rsidP="00F11A8B">
            <w:pPr>
              <w:tabs>
                <w:tab w:val="left" w:pos="1080"/>
              </w:tabs>
              <w:spacing w:before="120" w:after="120"/>
              <w:jc w:val="both"/>
              <w:rPr>
                <w:rFonts w:ascii="Garamond" w:hAnsi="Garamond"/>
                <w:sz w:val="22"/>
                <w:szCs w:val="22"/>
                <w:highlight w:val="yellow"/>
                <w:lang w:val="en-US"/>
              </w:rPr>
            </w:pPr>
            <w:r w:rsidRPr="006F6DAC">
              <w:rPr>
                <w:rFonts w:ascii="Garamond" w:hAnsi="Garamond"/>
                <w:sz w:val="22"/>
                <w:szCs w:val="22"/>
                <w:highlight w:val="yellow"/>
                <w:lang w:val="en-US"/>
              </w:rPr>
              <w:t xml:space="preserve">                            &lt;measuringpoint code="123456789012345" name="</w:t>
            </w:r>
            <w:r w:rsidRPr="006F6DAC">
              <w:rPr>
                <w:rFonts w:ascii="Garamond" w:hAnsi="Garamond"/>
                <w:sz w:val="22"/>
                <w:szCs w:val="22"/>
                <w:highlight w:val="yellow"/>
              </w:rPr>
              <w:t>АТ</w:t>
            </w:r>
            <w:r w:rsidRPr="006F6DAC">
              <w:rPr>
                <w:rFonts w:ascii="Garamond" w:hAnsi="Garamond"/>
                <w:sz w:val="22"/>
                <w:szCs w:val="22"/>
                <w:highlight w:val="yellow"/>
                <w:lang w:val="en-US"/>
              </w:rPr>
              <w:t>1"&gt;</w:t>
            </w:r>
          </w:p>
          <w:p w14:paraId="01B5F0C2" w14:textId="77777777" w:rsidR="00F11A8B" w:rsidRPr="006F6DAC" w:rsidRDefault="00F11A8B" w:rsidP="00F11A8B">
            <w:pPr>
              <w:tabs>
                <w:tab w:val="left" w:pos="1080"/>
              </w:tabs>
              <w:spacing w:before="120" w:after="120"/>
              <w:jc w:val="both"/>
              <w:rPr>
                <w:rFonts w:ascii="Garamond" w:hAnsi="Garamond"/>
                <w:sz w:val="22"/>
                <w:szCs w:val="22"/>
                <w:highlight w:val="yellow"/>
                <w:lang w:val="en-US"/>
              </w:rPr>
            </w:pPr>
            <w:r w:rsidRPr="006F6DAC">
              <w:rPr>
                <w:rFonts w:ascii="Garamond" w:hAnsi="Garamond"/>
                <w:sz w:val="22"/>
                <w:szCs w:val="22"/>
                <w:highlight w:val="yellow"/>
                <w:lang w:val="en-US"/>
              </w:rPr>
              <w:tab/>
            </w:r>
            <w:r w:rsidRPr="006F6DAC">
              <w:rPr>
                <w:rFonts w:ascii="Garamond" w:hAnsi="Garamond"/>
                <w:sz w:val="22"/>
                <w:szCs w:val="22"/>
                <w:highlight w:val="yellow"/>
                <w:lang w:val="en-US"/>
              </w:rPr>
              <w:tab/>
              <w:t>&lt;measuringchannel code="01" desc="</w:t>
            </w:r>
            <w:r w:rsidRPr="006F6DAC">
              <w:rPr>
                <w:rFonts w:ascii="Garamond" w:hAnsi="Garamond"/>
                <w:sz w:val="22"/>
                <w:szCs w:val="22"/>
                <w:highlight w:val="yellow"/>
              </w:rPr>
              <w:t>счетчик</w:t>
            </w:r>
            <w:r w:rsidRPr="006F6DAC">
              <w:rPr>
                <w:rFonts w:ascii="Garamond" w:hAnsi="Garamond"/>
                <w:sz w:val="22"/>
                <w:szCs w:val="22"/>
                <w:highlight w:val="yellow"/>
                <w:lang w:val="en-US"/>
              </w:rPr>
              <w:t xml:space="preserve">, </w:t>
            </w:r>
            <w:r w:rsidRPr="006F6DAC">
              <w:rPr>
                <w:rFonts w:ascii="Garamond" w:hAnsi="Garamond"/>
                <w:sz w:val="22"/>
                <w:szCs w:val="22"/>
                <w:highlight w:val="yellow"/>
              </w:rPr>
              <w:t>акт</w:t>
            </w:r>
            <w:r w:rsidRPr="006F6DAC">
              <w:rPr>
                <w:rFonts w:ascii="Garamond" w:hAnsi="Garamond"/>
                <w:sz w:val="22"/>
                <w:szCs w:val="22"/>
                <w:highlight w:val="yellow"/>
                <w:lang w:val="en-US"/>
              </w:rPr>
              <w:t xml:space="preserve">. </w:t>
            </w:r>
            <w:r w:rsidRPr="006F6DAC">
              <w:rPr>
                <w:rFonts w:ascii="Garamond" w:hAnsi="Garamond"/>
                <w:sz w:val="22"/>
                <w:szCs w:val="22"/>
                <w:highlight w:val="yellow"/>
              </w:rPr>
              <w:t>прием</w:t>
            </w:r>
            <w:r w:rsidRPr="006F6DAC">
              <w:rPr>
                <w:rFonts w:ascii="Garamond" w:hAnsi="Garamond"/>
                <w:sz w:val="22"/>
                <w:szCs w:val="22"/>
                <w:highlight w:val="yellow"/>
                <w:lang w:val="en-US"/>
              </w:rPr>
              <w:t>"&gt;</w:t>
            </w:r>
          </w:p>
          <w:p w14:paraId="3BE1E11F" w14:textId="77777777" w:rsidR="00F11A8B" w:rsidRPr="006F6DAC" w:rsidRDefault="00F11A8B" w:rsidP="00F11A8B">
            <w:pPr>
              <w:tabs>
                <w:tab w:val="left" w:pos="1080"/>
              </w:tabs>
              <w:spacing w:before="120" w:after="120"/>
              <w:jc w:val="both"/>
              <w:rPr>
                <w:rFonts w:ascii="Garamond" w:hAnsi="Garamond"/>
                <w:sz w:val="22"/>
                <w:szCs w:val="22"/>
                <w:highlight w:val="yellow"/>
                <w:lang w:val="en-US"/>
              </w:rPr>
            </w:pPr>
            <w:r w:rsidRPr="006F6DAC">
              <w:rPr>
                <w:rFonts w:ascii="Garamond" w:hAnsi="Garamond"/>
                <w:sz w:val="22"/>
                <w:szCs w:val="22"/>
                <w:highlight w:val="yellow"/>
                <w:lang w:val="en-US"/>
              </w:rPr>
              <w:tab/>
            </w:r>
            <w:r w:rsidRPr="006F6DAC">
              <w:rPr>
                <w:rFonts w:ascii="Garamond" w:hAnsi="Garamond"/>
                <w:sz w:val="22"/>
                <w:szCs w:val="22"/>
                <w:highlight w:val="yellow"/>
                <w:lang w:val="en-US"/>
              </w:rPr>
              <w:tab/>
            </w:r>
            <w:r w:rsidRPr="006F6DAC">
              <w:rPr>
                <w:rFonts w:ascii="Garamond" w:hAnsi="Garamond"/>
                <w:sz w:val="22"/>
                <w:szCs w:val="22"/>
                <w:highlight w:val="yellow"/>
                <w:lang w:val="en-US"/>
              </w:rPr>
              <w:tab/>
              <w:t>&lt;period start="0000" end="0030"&gt;</w:t>
            </w:r>
          </w:p>
          <w:p w14:paraId="63864744" w14:textId="77777777" w:rsidR="00F11A8B" w:rsidRPr="006F6DAC" w:rsidRDefault="00F11A8B" w:rsidP="00F11A8B">
            <w:pPr>
              <w:tabs>
                <w:tab w:val="left" w:pos="1080"/>
              </w:tabs>
              <w:spacing w:before="120" w:after="120"/>
              <w:jc w:val="both"/>
              <w:rPr>
                <w:rFonts w:ascii="Garamond" w:hAnsi="Garamond"/>
                <w:sz w:val="22"/>
                <w:szCs w:val="22"/>
                <w:highlight w:val="yellow"/>
                <w:lang w:val="en-US"/>
              </w:rPr>
            </w:pPr>
            <w:r w:rsidRPr="006F6DAC">
              <w:rPr>
                <w:rFonts w:ascii="Garamond" w:hAnsi="Garamond"/>
                <w:sz w:val="22"/>
                <w:szCs w:val="22"/>
                <w:highlight w:val="yellow"/>
                <w:lang w:val="en-US"/>
              </w:rPr>
              <w:lastRenderedPageBreak/>
              <w:tab/>
            </w:r>
            <w:r w:rsidRPr="006F6DAC">
              <w:rPr>
                <w:rFonts w:ascii="Garamond" w:hAnsi="Garamond"/>
                <w:sz w:val="22"/>
                <w:szCs w:val="22"/>
                <w:highlight w:val="yellow"/>
                <w:lang w:val="en-US"/>
              </w:rPr>
              <w:tab/>
            </w:r>
            <w:r w:rsidRPr="006F6DAC">
              <w:rPr>
                <w:rFonts w:ascii="Garamond" w:hAnsi="Garamond"/>
                <w:sz w:val="22"/>
                <w:szCs w:val="22"/>
                <w:highlight w:val="yellow"/>
                <w:lang w:val="en-US"/>
              </w:rPr>
              <w:tab/>
              <w:t xml:space="preserve">&lt;value status="0"&gt;293&lt;/value&gt; </w:t>
            </w:r>
          </w:p>
          <w:p w14:paraId="3168E6DA" w14:textId="77777777" w:rsidR="00F11A8B" w:rsidRPr="006F6DAC" w:rsidRDefault="00F11A8B" w:rsidP="00F11A8B">
            <w:pPr>
              <w:tabs>
                <w:tab w:val="left" w:pos="1080"/>
              </w:tabs>
              <w:spacing w:before="120" w:after="120"/>
              <w:jc w:val="both"/>
              <w:rPr>
                <w:rFonts w:ascii="Garamond" w:hAnsi="Garamond"/>
                <w:sz w:val="22"/>
                <w:szCs w:val="22"/>
                <w:highlight w:val="yellow"/>
                <w:lang w:val="en-US"/>
              </w:rPr>
            </w:pPr>
            <w:r w:rsidRPr="006F6DAC">
              <w:rPr>
                <w:rFonts w:ascii="Garamond" w:hAnsi="Garamond"/>
                <w:sz w:val="22"/>
                <w:szCs w:val="22"/>
                <w:highlight w:val="yellow"/>
                <w:lang w:val="en-US"/>
              </w:rPr>
              <w:tab/>
            </w:r>
            <w:r w:rsidRPr="006F6DAC">
              <w:rPr>
                <w:rFonts w:ascii="Garamond" w:hAnsi="Garamond"/>
                <w:sz w:val="22"/>
                <w:szCs w:val="22"/>
                <w:highlight w:val="yellow"/>
                <w:lang w:val="en-US"/>
              </w:rPr>
              <w:tab/>
            </w:r>
            <w:r w:rsidRPr="006F6DAC">
              <w:rPr>
                <w:rFonts w:ascii="Garamond" w:hAnsi="Garamond"/>
                <w:sz w:val="22"/>
                <w:szCs w:val="22"/>
                <w:highlight w:val="yellow"/>
                <w:lang w:val="en-US"/>
              </w:rPr>
              <w:tab/>
              <w:t>&lt;/period&gt;</w:t>
            </w:r>
          </w:p>
          <w:p w14:paraId="206D094C" w14:textId="77777777" w:rsidR="00F11A8B" w:rsidRPr="006F6DAC" w:rsidRDefault="00F11A8B" w:rsidP="00F11A8B">
            <w:pPr>
              <w:tabs>
                <w:tab w:val="left" w:pos="1080"/>
              </w:tabs>
              <w:spacing w:before="120" w:after="120"/>
              <w:jc w:val="both"/>
              <w:rPr>
                <w:rFonts w:ascii="Garamond" w:hAnsi="Garamond"/>
                <w:sz w:val="22"/>
                <w:szCs w:val="22"/>
                <w:highlight w:val="yellow"/>
                <w:lang w:val="en-US"/>
              </w:rPr>
            </w:pPr>
            <w:r w:rsidRPr="006F6DAC">
              <w:rPr>
                <w:rFonts w:ascii="Garamond" w:hAnsi="Garamond"/>
                <w:sz w:val="22"/>
                <w:szCs w:val="22"/>
                <w:highlight w:val="yellow"/>
                <w:lang w:val="en-US"/>
              </w:rPr>
              <w:tab/>
            </w:r>
            <w:r w:rsidRPr="006F6DAC">
              <w:rPr>
                <w:rFonts w:ascii="Garamond" w:hAnsi="Garamond"/>
                <w:sz w:val="22"/>
                <w:szCs w:val="22"/>
                <w:highlight w:val="yellow"/>
                <w:lang w:val="en-US"/>
              </w:rPr>
              <w:tab/>
            </w:r>
            <w:r w:rsidRPr="006F6DAC">
              <w:rPr>
                <w:rFonts w:ascii="Garamond" w:hAnsi="Garamond"/>
                <w:sz w:val="22"/>
                <w:szCs w:val="22"/>
                <w:highlight w:val="yellow"/>
                <w:lang w:val="en-US"/>
              </w:rPr>
              <w:tab/>
              <w:t>&lt;period start="0030" end="0100"&gt;</w:t>
            </w:r>
          </w:p>
          <w:p w14:paraId="120A62C2" w14:textId="77777777" w:rsidR="00F11A8B" w:rsidRPr="006F6DAC" w:rsidRDefault="00F11A8B" w:rsidP="00F11A8B">
            <w:pPr>
              <w:tabs>
                <w:tab w:val="left" w:pos="1080"/>
              </w:tabs>
              <w:spacing w:before="120" w:after="120"/>
              <w:jc w:val="both"/>
              <w:rPr>
                <w:rFonts w:ascii="Garamond" w:hAnsi="Garamond"/>
                <w:sz w:val="22"/>
                <w:szCs w:val="22"/>
                <w:highlight w:val="yellow"/>
                <w:lang w:val="en-US"/>
              </w:rPr>
            </w:pPr>
            <w:r w:rsidRPr="006F6DAC">
              <w:rPr>
                <w:rFonts w:ascii="Garamond" w:hAnsi="Garamond"/>
                <w:sz w:val="22"/>
                <w:szCs w:val="22"/>
                <w:highlight w:val="yellow"/>
                <w:lang w:val="en-US"/>
              </w:rPr>
              <w:tab/>
            </w:r>
            <w:r w:rsidRPr="006F6DAC">
              <w:rPr>
                <w:rFonts w:ascii="Garamond" w:hAnsi="Garamond"/>
                <w:sz w:val="22"/>
                <w:szCs w:val="22"/>
                <w:highlight w:val="yellow"/>
                <w:lang w:val="en-US"/>
              </w:rPr>
              <w:tab/>
            </w:r>
            <w:r w:rsidRPr="006F6DAC">
              <w:rPr>
                <w:rFonts w:ascii="Garamond" w:hAnsi="Garamond"/>
                <w:sz w:val="22"/>
                <w:szCs w:val="22"/>
                <w:highlight w:val="yellow"/>
                <w:lang w:val="en-US"/>
              </w:rPr>
              <w:tab/>
              <w:t xml:space="preserve">&lt;value status="0"&gt;293&lt;/value&gt; </w:t>
            </w:r>
          </w:p>
          <w:p w14:paraId="337B5E28" w14:textId="77777777" w:rsidR="00F11A8B" w:rsidRPr="006F6DAC" w:rsidRDefault="00F11A8B" w:rsidP="00F11A8B">
            <w:pPr>
              <w:tabs>
                <w:tab w:val="left" w:pos="1080"/>
              </w:tabs>
              <w:spacing w:before="120" w:after="120"/>
              <w:jc w:val="both"/>
              <w:rPr>
                <w:rFonts w:ascii="Garamond" w:hAnsi="Garamond"/>
                <w:sz w:val="22"/>
                <w:szCs w:val="22"/>
                <w:highlight w:val="yellow"/>
                <w:lang w:val="en-US"/>
              </w:rPr>
            </w:pPr>
            <w:r w:rsidRPr="006F6DAC">
              <w:rPr>
                <w:rFonts w:ascii="Garamond" w:hAnsi="Garamond"/>
                <w:sz w:val="22"/>
                <w:szCs w:val="22"/>
                <w:highlight w:val="yellow"/>
                <w:lang w:val="en-US"/>
              </w:rPr>
              <w:tab/>
            </w:r>
            <w:r w:rsidRPr="006F6DAC">
              <w:rPr>
                <w:rFonts w:ascii="Garamond" w:hAnsi="Garamond"/>
                <w:sz w:val="22"/>
                <w:szCs w:val="22"/>
                <w:highlight w:val="yellow"/>
                <w:lang w:val="en-US"/>
              </w:rPr>
              <w:tab/>
            </w:r>
            <w:r w:rsidRPr="006F6DAC">
              <w:rPr>
                <w:rFonts w:ascii="Garamond" w:hAnsi="Garamond"/>
                <w:sz w:val="22"/>
                <w:szCs w:val="22"/>
                <w:highlight w:val="yellow"/>
                <w:lang w:val="en-US"/>
              </w:rPr>
              <w:tab/>
              <w:t>&lt;/period&gt;</w:t>
            </w:r>
          </w:p>
          <w:p w14:paraId="1ED7E86B" w14:textId="77777777" w:rsidR="00F11A8B" w:rsidRPr="006F6DAC" w:rsidRDefault="00F11A8B" w:rsidP="00F11A8B">
            <w:pPr>
              <w:tabs>
                <w:tab w:val="left" w:pos="1080"/>
              </w:tabs>
              <w:spacing w:before="120" w:after="120"/>
              <w:jc w:val="both"/>
              <w:rPr>
                <w:rFonts w:ascii="Garamond" w:hAnsi="Garamond"/>
                <w:sz w:val="22"/>
                <w:szCs w:val="22"/>
                <w:highlight w:val="yellow"/>
                <w:lang w:val="en-US"/>
              </w:rPr>
            </w:pPr>
            <w:r w:rsidRPr="006F6DAC">
              <w:rPr>
                <w:rFonts w:ascii="Garamond" w:hAnsi="Garamond"/>
                <w:sz w:val="22"/>
                <w:szCs w:val="22"/>
                <w:highlight w:val="yellow"/>
                <w:lang w:val="en-US"/>
              </w:rPr>
              <w:tab/>
            </w:r>
            <w:r w:rsidRPr="006F6DAC">
              <w:rPr>
                <w:rFonts w:ascii="Garamond" w:hAnsi="Garamond"/>
                <w:sz w:val="22"/>
                <w:szCs w:val="22"/>
                <w:highlight w:val="yellow"/>
                <w:lang w:val="en-US"/>
              </w:rPr>
              <w:tab/>
            </w:r>
            <w:r w:rsidRPr="006F6DAC">
              <w:rPr>
                <w:rFonts w:ascii="Garamond" w:hAnsi="Garamond"/>
                <w:sz w:val="22"/>
                <w:szCs w:val="22"/>
                <w:highlight w:val="yellow"/>
                <w:lang w:val="en-US"/>
              </w:rPr>
              <w:tab/>
              <w:t>&lt;period start="0100" end="0130"&gt;</w:t>
            </w:r>
          </w:p>
          <w:p w14:paraId="5BFC1A13" w14:textId="77777777" w:rsidR="00F11A8B" w:rsidRPr="006F6DAC" w:rsidRDefault="00F11A8B" w:rsidP="00F11A8B">
            <w:pPr>
              <w:tabs>
                <w:tab w:val="left" w:pos="1080"/>
              </w:tabs>
              <w:spacing w:before="120" w:after="120"/>
              <w:jc w:val="both"/>
              <w:rPr>
                <w:rFonts w:ascii="Garamond" w:hAnsi="Garamond"/>
                <w:sz w:val="22"/>
                <w:szCs w:val="22"/>
                <w:highlight w:val="yellow"/>
                <w:lang w:val="en-US"/>
              </w:rPr>
            </w:pPr>
            <w:r w:rsidRPr="006F6DAC">
              <w:rPr>
                <w:rFonts w:ascii="Garamond" w:hAnsi="Garamond"/>
                <w:sz w:val="22"/>
                <w:szCs w:val="22"/>
                <w:highlight w:val="yellow"/>
                <w:lang w:val="en-US"/>
              </w:rPr>
              <w:tab/>
            </w:r>
            <w:r w:rsidRPr="006F6DAC">
              <w:rPr>
                <w:rFonts w:ascii="Garamond" w:hAnsi="Garamond"/>
                <w:sz w:val="22"/>
                <w:szCs w:val="22"/>
                <w:highlight w:val="yellow"/>
                <w:lang w:val="en-US"/>
              </w:rPr>
              <w:tab/>
            </w:r>
            <w:r w:rsidRPr="006F6DAC">
              <w:rPr>
                <w:rFonts w:ascii="Garamond" w:hAnsi="Garamond"/>
                <w:sz w:val="22"/>
                <w:szCs w:val="22"/>
                <w:highlight w:val="yellow"/>
                <w:lang w:val="en-US"/>
              </w:rPr>
              <w:tab/>
              <w:t xml:space="preserve">&lt;value status="0"&gt;292&lt;/value&gt; </w:t>
            </w:r>
          </w:p>
          <w:p w14:paraId="7181367F" w14:textId="77777777" w:rsidR="00F11A8B" w:rsidRPr="006F6DAC" w:rsidRDefault="00F11A8B" w:rsidP="00F11A8B">
            <w:pPr>
              <w:tabs>
                <w:tab w:val="left" w:pos="1080"/>
              </w:tabs>
              <w:spacing w:before="120" w:after="120"/>
              <w:jc w:val="both"/>
              <w:rPr>
                <w:rFonts w:ascii="Garamond" w:hAnsi="Garamond"/>
                <w:sz w:val="22"/>
                <w:szCs w:val="22"/>
                <w:highlight w:val="yellow"/>
                <w:lang w:val="en-US"/>
              </w:rPr>
            </w:pPr>
            <w:r w:rsidRPr="006F6DAC">
              <w:rPr>
                <w:rFonts w:ascii="Garamond" w:hAnsi="Garamond"/>
                <w:sz w:val="22"/>
                <w:szCs w:val="22"/>
                <w:highlight w:val="yellow"/>
                <w:lang w:val="en-US"/>
              </w:rPr>
              <w:tab/>
            </w:r>
            <w:r w:rsidRPr="006F6DAC">
              <w:rPr>
                <w:rFonts w:ascii="Garamond" w:hAnsi="Garamond"/>
                <w:sz w:val="22"/>
                <w:szCs w:val="22"/>
                <w:highlight w:val="yellow"/>
                <w:lang w:val="en-US"/>
              </w:rPr>
              <w:tab/>
            </w:r>
            <w:r w:rsidRPr="006F6DAC">
              <w:rPr>
                <w:rFonts w:ascii="Garamond" w:hAnsi="Garamond"/>
                <w:sz w:val="22"/>
                <w:szCs w:val="22"/>
                <w:highlight w:val="yellow"/>
                <w:lang w:val="en-US"/>
              </w:rPr>
              <w:tab/>
              <w:t>&lt;/period&gt;</w:t>
            </w:r>
          </w:p>
          <w:p w14:paraId="0514A00D" w14:textId="77777777" w:rsidR="00F11A8B" w:rsidRPr="006F6DAC" w:rsidRDefault="00F11A8B" w:rsidP="00F11A8B">
            <w:pPr>
              <w:tabs>
                <w:tab w:val="left" w:pos="1080"/>
              </w:tabs>
              <w:spacing w:before="120" w:after="120"/>
              <w:jc w:val="both"/>
              <w:rPr>
                <w:rFonts w:ascii="Garamond" w:hAnsi="Garamond"/>
                <w:sz w:val="22"/>
                <w:szCs w:val="22"/>
                <w:highlight w:val="yellow"/>
                <w:lang w:val="en-US"/>
              </w:rPr>
            </w:pPr>
            <w:r w:rsidRPr="006F6DAC">
              <w:rPr>
                <w:rFonts w:ascii="Garamond" w:hAnsi="Garamond"/>
                <w:sz w:val="22"/>
                <w:szCs w:val="22"/>
                <w:highlight w:val="yellow"/>
                <w:lang w:val="en-US"/>
              </w:rPr>
              <w:t># .............. (</w:t>
            </w:r>
            <w:r w:rsidRPr="006F6DAC">
              <w:rPr>
                <w:rFonts w:ascii="Garamond" w:hAnsi="Garamond"/>
                <w:sz w:val="22"/>
                <w:szCs w:val="22"/>
                <w:highlight w:val="yellow"/>
              </w:rPr>
              <w:t>пропущено</w:t>
            </w:r>
            <w:r w:rsidRPr="006F6DAC">
              <w:rPr>
                <w:rFonts w:ascii="Garamond" w:hAnsi="Garamond"/>
                <w:sz w:val="22"/>
                <w:szCs w:val="22"/>
                <w:highlight w:val="yellow"/>
                <w:lang w:val="en-US"/>
              </w:rPr>
              <w:t>)</w:t>
            </w:r>
          </w:p>
          <w:p w14:paraId="034CB438" w14:textId="77777777" w:rsidR="00F11A8B" w:rsidRPr="006F6DAC" w:rsidRDefault="00F11A8B" w:rsidP="00F11A8B">
            <w:pPr>
              <w:tabs>
                <w:tab w:val="left" w:pos="1080"/>
              </w:tabs>
              <w:spacing w:before="120" w:after="120"/>
              <w:jc w:val="both"/>
              <w:rPr>
                <w:rFonts w:ascii="Garamond" w:hAnsi="Garamond"/>
                <w:sz w:val="22"/>
                <w:szCs w:val="22"/>
                <w:highlight w:val="yellow"/>
                <w:lang w:val="en-US"/>
              </w:rPr>
            </w:pPr>
            <w:r w:rsidRPr="006F6DAC">
              <w:rPr>
                <w:rFonts w:ascii="Garamond" w:hAnsi="Garamond"/>
                <w:sz w:val="22"/>
                <w:szCs w:val="22"/>
                <w:highlight w:val="yellow"/>
                <w:lang w:val="en-US"/>
              </w:rPr>
              <w:tab/>
            </w:r>
            <w:r w:rsidRPr="006F6DAC">
              <w:rPr>
                <w:rFonts w:ascii="Garamond" w:hAnsi="Garamond"/>
                <w:sz w:val="22"/>
                <w:szCs w:val="22"/>
                <w:highlight w:val="yellow"/>
                <w:lang w:val="en-US"/>
              </w:rPr>
              <w:tab/>
            </w:r>
            <w:r w:rsidRPr="006F6DAC">
              <w:rPr>
                <w:rFonts w:ascii="Garamond" w:hAnsi="Garamond"/>
                <w:sz w:val="22"/>
                <w:szCs w:val="22"/>
                <w:highlight w:val="yellow"/>
                <w:lang w:val="en-US"/>
              </w:rPr>
              <w:tab/>
              <w:t>&lt;period start="2300" end="2330"&gt;</w:t>
            </w:r>
          </w:p>
          <w:p w14:paraId="30AA833D" w14:textId="77777777" w:rsidR="00F11A8B" w:rsidRPr="006F6DAC" w:rsidRDefault="00F11A8B" w:rsidP="00F11A8B">
            <w:pPr>
              <w:tabs>
                <w:tab w:val="left" w:pos="1080"/>
              </w:tabs>
              <w:spacing w:before="120" w:after="120"/>
              <w:jc w:val="both"/>
              <w:rPr>
                <w:rFonts w:ascii="Garamond" w:hAnsi="Garamond"/>
                <w:sz w:val="22"/>
                <w:szCs w:val="22"/>
                <w:highlight w:val="yellow"/>
                <w:lang w:val="en-US"/>
              </w:rPr>
            </w:pPr>
            <w:r w:rsidRPr="006F6DAC">
              <w:rPr>
                <w:rFonts w:ascii="Garamond" w:hAnsi="Garamond"/>
                <w:sz w:val="22"/>
                <w:szCs w:val="22"/>
                <w:highlight w:val="yellow"/>
                <w:lang w:val="en-US"/>
              </w:rPr>
              <w:tab/>
            </w:r>
            <w:r w:rsidRPr="006F6DAC">
              <w:rPr>
                <w:rFonts w:ascii="Garamond" w:hAnsi="Garamond"/>
                <w:sz w:val="22"/>
                <w:szCs w:val="22"/>
                <w:highlight w:val="yellow"/>
                <w:lang w:val="en-US"/>
              </w:rPr>
              <w:tab/>
            </w:r>
            <w:r w:rsidRPr="006F6DAC">
              <w:rPr>
                <w:rFonts w:ascii="Garamond" w:hAnsi="Garamond"/>
                <w:sz w:val="22"/>
                <w:szCs w:val="22"/>
                <w:highlight w:val="yellow"/>
                <w:lang w:val="en-US"/>
              </w:rPr>
              <w:tab/>
              <w:t xml:space="preserve">&lt;value status="0"&gt;305&lt;/value&gt; </w:t>
            </w:r>
          </w:p>
          <w:p w14:paraId="18798C2A" w14:textId="77777777" w:rsidR="00F11A8B" w:rsidRPr="006F6DAC" w:rsidRDefault="00F11A8B" w:rsidP="00F11A8B">
            <w:pPr>
              <w:tabs>
                <w:tab w:val="left" w:pos="1080"/>
              </w:tabs>
              <w:spacing w:before="120" w:after="120"/>
              <w:jc w:val="both"/>
              <w:rPr>
                <w:rFonts w:ascii="Garamond" w:hAnsi="Garamond"/>
                <w:sz w:val="22"/>
                <w:szCs w:val="22"/>
                <w:highlight w:val="yellow"/>
                <w:lang w:val="en-US"/>
              </w:rPr>
            </w:pPr>
            <w:r w:rsidRPr="006F6DAC">
              <w:rPr>
                <w:rFonts w:ascii="Garamond" w:hAnsi="Garamond"/>
                <w:sz w:val="22"/>
                <w:szCs w:val="22"/>
                <w:highlight w:val="yellow"/>
                <w:lang w:val="en-US"/>
              </w:rPr>
              <w:tab/>
            </w:r>
            <w:r w:rsidRPr="006F6DAC">
              <w:rPr>
                <w:rFonts w:ascii="Garamond" w:hAnsi="Garamond"/>
                <w:sz w:val="22"/>
                <w:szCs w:val="22"/>
                <w:highlight w:val="yellow"/>
                <w:lang w:val="en-US"/>
              </w:rPr>
              <w:tab/>
            </w:r>
            <w:r w:rsidRPr="006F6DAC">
              <w:rPr>
                <w:rFonts w:ascii="Garamond" w:hAnsi="Garamond"/>
                <w:sz w:val="22"/>
                <w:szCs w:val="22"/>
                <w:highlight w:val="yellow"/>
                <w:lang w:val="en-US"/>
              </w:rPr>
              <w:tab/>
              <w:t>&lt;/period&gt;</w:t>
            </w:r>
          </w:p>
          <w:p w14:paraId="0A02D8F0" w14:textId="77777777" w:rsidR="00F11A8B" w:rsidRPr="006F6DAC" w:rsidRDefault="00F11A8B" w:rsidP="00F11A8B">
            <w:pPr>
              <w:tabs>
                <w:tab w:val="left" w:pos="1080"/>
              </w:tabs>
              <w:spacing w:before="120" w:after="120"/>
              <w:jc w:val="both"/>
              <w:rPr>
                <w:rFonts w:ascii="Garamond" w:hAnsi="Garamond"/>
                <w:sz w:val="22"/>
                <w:szCs w:val="22"/>
                <w:highlight w:val="yellow"/>
                <w:lang w:val="en-US"/>
              </w:rPr>
            </w:pPr>
            <w:r w:rsidRPr="006F6DAC">
              <w:rPr>
                <w:rFonts w:ascii="Garamond" w:hAnsi="Garamond"/>
                <w:sz w:val="22"/>
                <w:szCs w:val="22"/>
                <w:highlight w:val="yellow"/>
                <w:lang w:val="en-US"/>
              </w:rPr>
              <w:tab/>
            </w:r>
            <w:r w:rsidRPr="006F6DAC">
              <w:rPr>
                <w:rFonts w:ascii="Garamond" w:hAnsi="Garamond"/>
                <w:sz w:val="22"/>
                <w:szCs w:val="22"/>
                <w:highlight w:val="yellow"/>
                <w:lang w:val="en-US"/>
              </w:rPr>
              <w:tab/>
            </w:r>
            <w:r w:rsidRPr="006F6DAC">
              <w:rPr>
                <w:rFonts w:ascii="Garamond" w:hAnsi="Garamond"/>
                <w:sz w:val="22"/>
                <w:szCs w:val="22"/>
                <w:highlight w:val="yellow"/>
                <w:lang w:val="en-US"/>
              </w:rPr>
              <w:tab/>
              <w:t>&lt;period start="2330" end="0000"&gt;</w:t>
            </w:r>
          </w:p>
          <w:p w14:paraId="2A493313" w14:textId="77777777" w:rsidR="00F11A8B" w:rsidRPr="006F6DAC" w:rsidRDefault="00F11A8B" w:rsidP="00F11A8B">
            <w:pPr>
              <w:tabs>
                <w:tab w:val="left" w:pos="1080"/>
              </w:tabs>
              <w:spacing w:before="120" w:after="120"/>
              <w:jc w:val="both"/>
              <w:rPr>
                <w:rFonts w:ascii="Garamond" w:hAnsi="Garamond"/>
                <w:sz w:val="22"/>
                <w:szCs w:val="22"/>
                <w:highlight w:val="yellow"/>
                <w:lang w:val="en-US"/>
              </w:rPr>
            </w:pPr>
            <w:r w:rsidRPr="006F6DAC">
              <w:rPr>
                <w:rFonts w:ascii="Garamond" w:hAnsi="Garamond"/>
                <w:sz w:val="22"/>
                <w:szCs w:val="22"/>
                <w:highlight w:val="yellow"/>
                <w:lang w:val="en-US"/>
              </w:rPr>
              <w:tab/>
            </w:r>
            <w:r w:rsidRPr="006F6DAC">
              <w:rPr>
                <w:rFonts w:ascii="Garamond" w:hAnsi="Garamond"/>
                <w:sz w:val="22"/>
                <w:szCs w:val="22"/>
                <w:highlight w:val="yellow"/>
                <w:lang w:val="en-US"/>
              </w:rPr>
              <w:tab/>
            </w:r>
            <w:r w:rsidRPr="006F6DAC">
              <w:rPr>
                <w:rFonts w:ascii="Garamond" w:hAnsi="Garamond"/>
                <w:sz w:val="22"/>
                <w:szCs w:val="22"/>
                <w:highlight w:val="yellow"/>
                <w:lang w:val="en-US"/>
              </w:rPr>
              <w:tab/>
              <w:t xml:space="preserve">&lt;value status="0"&gt;307&lt;/value&gt; </w:t>
            </w:r>
          </w:p>
          <w:p w14:paraId="5539291B" w14:textId="77777777" w:rsidR="00F11A8B" w:rsidRPr="006F6DAC" w:rsidRDefault="00F11A8B" w:rsidP="00F11A8B">
            <w:pPr>
              <w:tabs>
                <w:tab w:val="left" w:pos="1080"/>
              </w:tabs>
              <w:spacing w:before="120" w:after="120"/>
              <w:jc w:val="both"/>
              <w:rPr>
                <w:rFonts w:ascii="Garamond" w:hAnsi="Garamond"/>
                <w:sz w:val="22"/>
                <w:szCs w:val="22"/>
                <w:highlight w:val="yellow"/>
                <w:lang w:val="en-US"/>
              </w:rPr>
            </w:pPr>
            <w:r w:rsidRPr="006F6DAC">
              <w:rPr>
                <w:rFonts w:ascii="Garamond" w:hAnsi="Garamond"/>
                <w:sz w:val="22"/>
                <w:szCs w:val="22"/>
                <w:highlight w:val="yellow"/>
                <w:lang w:val="en-US"/>
              </w:rPr>
              <w:tab/>
            </w:r>
            <w:r w:rsidRPr="006F6DAC">
              <w:rPr>
                <w:rFonts w:ascii="Garamond" w:hAnsi="Garamond"/>
                <w:sz w:val="22"/>
                <w:szCs w:val="22"/>
                <w:highlight w:val="yellow"/>
                <w:lang w:val="en-US"/>
              </w:rPr>
              <w:tab/>
            </w:r>
            <w:r w:rsidRPr="006F6DAC">
              <w:rPr>
                <w:rFonts w:ascii="Garamond" w:hAnsi="Garamond"/>
                <w:sz w:val="22"/>
                <w:szCs w:val="22"/>
                <w:highlight w:val="yellow"/>
                <w:lang w:val="en-US"/>
              </w:rPr>
              <w:tab/>
              <w:t>&lt;/period&gt;</w:t>
            </w:r>
          </w:p>
          <w:p w14:paraId="0CEADC69" w14:textId="77777777" w:rsidR="00F11A8B" w:rsidRPr="006F6DAC" w:rsidRDefault="00F11A8B" w:rsidP="00F11A8B">
            <w:pPr>
              <w:tabs>
                <w:tab w:val="left" w:pos="1080"/>
              </w:tabs>
              <w:spacing w:before="120" w:after="120"/>
              <w:jc w:val="both"/>
              <w:rPr>
                <w:rFonts w:ascii="Garamond" w:hAnsi="Garamond"/>
                <w:sz w:val="22"/>
                <w:szCs w:val="22"/>
                <w:highlight w:val="yellow"/>
                <w:lang w:val="en-US"/>
              </w:rPr>
            </w:pPr>
            <w:r w:rsidRPr="006F6DAC">
              <w:rPr>
                <w:rFonts w:ascii="Garamond" w:hAnsi="Garamond"/>
                <w:sz w:val="22"/>
                <w:szCs w:val="22"/>
                <w:highlight w:val="yellow"/>
                <w:lang w:val="en-US"/>
              </w:rPr>
              <w:tab/>
            </w:r>
            <w:r w:rsidRPr="006F6DAC">
              <w:rPr>
                <w:rFonts w:ascii="Garamond" w:hAnsi="Garamond"/>
                <w:sz w:val="22"/>
                <w:szCs w:val="22"/>
                <w:highlight w:val="yellow"/>
                <w:lang w:val="en-US"/>
              </w:rPr>
              <w:tab/>
              <w:t>&lt;/measuringchannel&gt;</w:t>
            </w:r>
          </w:p>
          <w:p w14:paraId="29165554" w14:textId="77777777" w:rsidR="00F11A8B" w:rsidRPr="006F6DAC" w:rsidRDefault="00F11A8B" w:rsidP="00F11A8B">
            <w:pPr>
              <w:tabs>
                <w:tab w:val="left" w:pos="1080"/>
              </w:tabs>
              <w:spacing w:before="120" w:after="120"/>
              <w:jc w:val="both"/>
              <w:rPr>
                <w:rFonts w:ascii="Garamond" w:hAnsi="Garamond"/>
                <w:sz w:val="22"/>
                <w:szCs w:val="22"/>
                <w:highlight w:val="yellow"/>
                <w:lang w:val="en-US"/>
              </w:rPr>
            </w:pPr>
            <w:r w:rsidRPr="006F6DAC">
              <w:rPr>
                <w:rFonts w:ascii="Garamond" w:hAnsi="Garamond"/>
                <w:sz w:val="22"/>
                <w:szCs w:val="22"/>
                <w:highlight w:val="yellow"/>
                <w:lang w:val="en-US"/>
              </w:rPr>
              <w:tab/>
            </w:r>
            <w:r w:rsidRPr="006F6DAC">
              <w:rPr>
                <w:rFonts w:ascii="Garamond" w:hAnsi="Garamond"/>
                <w:sz w:val="22"/>
                <w:szCs w:val="22"/>
                <w:highlight w:val="yellow"/>
                <w:lang w:val="en-US"/>
              </w:rPr>
              <w:tab/>
              <w:t>&lt;measuringchannel code="02" desc="</w:t>
            </w:r>
            <w:r w:rsidRPr="006F6DAC">
              <w:rPr>
                <w:rFonts w:ascii="Garamond" w:hAnsi="Garamond"/>
                <w:sz w:val="22"/>
                <w:szCs w:val="22"/>
                <w:highlight w:val="yellow"/>
              </w:rPr>
              <w:t>счетчик</w:t>
            </w:r>
            <w:r w:rsidRPr="006F6DAC">
              <w:rPr>
                <w:rFonts w:ascii="Garamond" w:hAnsi="Garamond"/>
                <w:sz w:val="22"/>
                <w:szCs w:val="22"/>
                <w:highlight w:val="yellow"/>
                <w:lang w:val="en-US"/>
              </w:rPr>
              <w:t xml:space="preserve">, </w:t>
            </w:r>
            <w:r w:rsidRPr="006F6DAC">
              <w:rPr>
                <w:rFonts w:ascii="Garamond" w:hAnsi="Garamond"/>
                <w:sz w:val="22"/>
                <w:szCs w:val="22"/>
                <w:highlight w:val="yellow"/>
              </w:rPr>
              <w:t>акт</w:t>
            </w:r>
            <w:r w:rsidRPr="006F6DAC">
              <w:rPr>
                <w:rFonts w:ascii="Garamond" w:hAnsi="Garamond"/>
                <w:sz w:val="22"/>
                <w:szCs w:val="22"/>
                <w:highlight w:val="yellow"/>
                <w:lang w:val="en-US"/>
              </w:rPr>
              <w:t xml:space="preserve">. </w:t>
            </w:r>
            <w:r w:rsidRPr="006F6DAC">
              <w:rPr>
                <w:rFonts w:ascii="Garamond" w:hAnsi="Garamond"/>
                <w:sz w:val="22"/>
                <w:szCs w:val="22"/>
                <w:highlight w:val="yellow"/>
              </w:rPr>
              <w:t>отдача</w:t>
            </w:r>
            <w:r w:rsidRPr="006F6DAC">
              <w:rPr>
                <w:rFonts w:ascii="Garamond" w:hAnsi="Garamond"/>
                <w:sz w:val="22"/>
                <w:szCs w:val="22"/>
                <w:highlight w:val="yellow"/>
                <w:lang w:val="en-US"/>
              </w:rPr>
              <w:t>"&gt;</w:t>
            </w:r>
          </w:p>
          <w:p w14:paraId="58D43F4C" w14:textId="77777777" w:rsidR="00F11A8B" w:rsidRPr="006F6DAC" w:rsidRDefault="00F11A8B" w:rsidP="00F11A8B">
            <w:pPr>
              <w:tabs>
                <w:tab w:val="left" w:pos="1080"/>
              </w:tabs>
              <w:spacing w:before="120" w:after="120"/>
              <w:jc w:val="both"/>
              <w:rPr>
                <w:rFonts w:ascii="Garamond" w:hAnsi="Garamond"/>
                <w:sz w:val="22"/>
                <w:szCs w:val="22"/>
                <w:highlight w:val="yellow"/>
                <w:lang w:val="en-US"/>
              </w:rPr>
            </w:pPr>
            <w:r w:rsidRPr="006F6DAC">
              <w:rPr>
                <w:rFonts w:ascii="Garamond" w:hAnsi="Garamond"/>
                <w:sz w:val="22"/>
                <w:szCs w:val="22"/>
                <w:highlight w:val="yellow"/>
                <w:lang w:val="en-US"/>
              </w:rPr>
              <w:t># .............. (</w:t>
            </w:r>
            <w:r w:rsidRPr="006F6DAC">
              <w:rPr>
                <w:rFonts w:ascii="Garamond" w:hAnsi="Garamond"/>
                <w:sz w:val="22"/>
                <w:szCs w:val="22"/>
                <w:highlight w:val="yellow"/>
              </w:rPr>
              <w:t>пропущено</w:t>
            </w:r>
            <w:r w:rsidRPr="006F6DAC">
              <w:rPr>
                <w:rFonts w:ascii="Garamond" w:hAnsi="Garamond"/>
                <w:sz w:val="22"/>
                <w:szCs w:val="22"/>
                <w:highlight w:val="yellow"/>
                <w:lang w:val="en-US"/>
              </w:rPr>
              <w:t>)</w:t>
            </w:r>
          </w:p>
          <w:p w14:paraId="618D20E5" w14:textId="77777777" w:rsidR="00F11A8B" w:rsidRPr="006F6DAC" w:rsidRDefault="00F11A8B" w:rsidP="00F11A8B">
            <w:pPr>
              <w:tabs>
                <w:tab w:val="left" w:pos="1080"/>
              </w:tabs>
              <w:spacing w:before="120" w:after="120"/>
              <w:jc w:val="both"/>
              <w:rPr>
                <w:rFonts w:ascii="Garamond" w:hAnsi="Garamond"/>
                <w:sz w:val="22"/>
                <w:szCs w:val="22"/>
                <w:highlight w:val="yellow"/>
                <w:lang w:val="en-US"/>
              </w:rPr>
            </w:pPr>
            <w:r w:rsidRPr="006F6DAC">
              <w:rPr>
                <w:rFonts w:ascii="Garamond" w:hAnsi="Garamond"/>
                <w:sz w:val="22"/>
                <w:szCs w:val="22"/>
                <w:highlight w:val="yellow"/>
                <w:lang w:val="en-US"/>
              </w:rPr>
              <w:tab/>
            </w:r>
            <w:r w:rsidRPr="006F6DAC">
              <w:rPr>
                <w:rFonts w:ascii="Garamond" w:hAnsi="Garamond"/>
                <w:sz w:val="22"/>
                <w:szCs w:val="22"/>
                <w:highlight w:val="yellow"/>
                <w:lang w:val="en-US"/>
              </w:rPr>
              <w:tab/>
              <w:t>&lt;/measuringchannel&gt;</w:t>
            </w:r>
          </w:p>
          <w:p w14:paraId="7E33ECAB" w14:textId="77777777" w:rsidR="00F11A8B" w:rsidRPr="006F6DAC" w:rsidRDefault="00F11A8B" w:rsidP="00F11A8B">
            <w:pPr>
              <w:tabs>
                <w:tab w:val="left" w:pos="1080"/>
              </w:tabs>
              <w:spacing w:before="120" w:after="120"/>
              <w:jc w:val="both"/>
              <w:rPr>
                <w:rFonts w:ascii="Garamond" w:hAnsi="Garamond"/>
                <w:sz w:val="22"/>
                <w:szCs w:val="22"/>
                <w:highlight w:val="yellow"/>
                <w:lang w:val="en-US"/>
              </w:rPr>
            </w:pPr>
            <w:r w:rsidRPr="006F6DAC">
              <w:rPr>
                <w:rFonts w:ascii="Garamond" w:hAnsi="Garamond"/>
                <w:sz w:val="22"/>
                <w:szCs w:val="22"/>
                <w:highlight w:val="yellow"/>
                <w:lang w:val="en-US"/>
              </w:rPr>
              <w:tab/>
              <w:t>&lt;/measuringpoint&gt;</w:t>
            </w:r>
          </w:p>
          <w:p w14:paraId="290B6983" w14:textId="77777777" w:rsidR="00F11A8B" w:rsidRPr="006F6DAC" w:rsidRDefault="00F11A8B" w:rsidP="00F11A8B">
            <w:pPr>
              <w:tabs>
                <w:tab w:val="left" w:pos="1080"/>
              </w:tabs>
              <w:spacing w:before="120" w:after="120"/>
              <w:jc w:val="both"/>
              <w:rPr>
                <w:rFonts w:ascii="Garamond" w:hAnsi="Garamond"/>
                <w:sz w:val="22"/>
                <w:szCs w:val="22"/>
                <w:highlight w:val="yellow"/>
                <w:lang w:val="en-US"/>
              </w:rPr>
            </w:pPr>
            <w:r w:rsidRPr="006F6DAC">
              <w:rPr>
                <w:rFonts w:ascii="Garamond" w:hAnsi="Garamond"/>
                <w:sz w:val="22"/>
                <w:szCs w:val="22"/>
                <w:highlight w:val="yellow"/>
                <w:lang w:val="en-US"/>
              </w:rPr>
              <w:t># .............. (</w:t>
            </w:r>
            <w:r w:rsidRPr="006F6DAC">
              <w:rPr>
                <w:rFonts w:ascii="Garamond" w:hAnsi="Garamond"/>
                <w:sz w:val="22"/>
                <w:szCs w:val="22"/>
                <w:highlight w:val="yellow"/>
              </w:rPr>
              <w:t>пропущено</w:t>
            </w:r>
            <w:r w:rsidRPr="006F6DAC">
              <w:rPr>
                <w:rFonts w:ascii="Garamond" w:hAnsi="Garamond"/>
                <w:sz w:val="22"/>
                <w:szCs w:val="22"/>
                <w:highlight w:val="yellow"/>
                <w:lang w:val="en-US"/>
              </w:rPr>
              <w:t>)</w:t>
            </w:r>
          </w:p>
          <w:p w14:paraId="35DB9724" w14:textId="77777777" w:rsidR="00F11A8B" w:rsidRPr="006F6DAC" w:rsidRDefault="00F11A8B" w:rsidP="00F11A8B">
            <w:pPr>
              <w:tabs>
                <w:tab w:val="left" w:pos="1080"/>
              </w:tabs>
              <w:spacing w:before="120" w:after="120"/>
              <w:jc w:val="both"/>
              <w:rPr>
                <w:rFonts w:ascii="Garamond" w:hAnsi="Garamond"/>
                <w:sz w:val="22"/>
                <w:szCs w:val="22"/>
                <w:highlight w:val="yellow"/>
                <w:lang w:val="en-US"/>
              </w:rPr>
            </w:pPr>
            <w:r w:rsidRPr="006F6DAC">
              <w:rPr>
                <w:rFonts w:ascii="Garamond" w:hAnsi="Garamond"/>
                <w:sz w:val="22"/>
                <w:szCs w:val="22"/>
                <w:highlight w:val="yellow"/>
                <w:lang w:val="en-US"/>
              </w:rPr>
              <w:t>&lt;/area&gt;</w:t>
            </w:r>
          </w:p>
          <w:p w14:paraId="4441FDAB" w14:textId="77777777" w:rsidR="00F11A8B" w:rsidRPr="006F6DAC" w:rsidRDefault="00F11A8B" w:rsidP="00F11A8B">
            <w:pPr>
              <w:tabs>
                <w:tab w:val="left" w:pos="1080"/>
              </w:tabs>
              <w:spacing w:before="120" w:after="120"/>
              <w:jc w:val="both"/>
              <w:rPr>
                <w:rFonts w:ascii="Garamond" w:hAnsi="Garamond"/>
                <w:sz w:val="22"/>
                <w:szCs w:val="22"/>
              </w:rPr>
            </w:pPr>
            <w:r w:rsidRPr="006F6DAC">
              <w:rPr>
                <w:rFonts w:ascii="Garamond" w:hAnsi="Garamond"/>
                <w:sz w:val="22"/>
                <w:szCs w:val="22"/>
                <w:highlight w:val="yellow"/>
              </w:rPr>
              <w:t>&lt;/message&gt;</w:t>
            </w:r>
          </w:p>
        </w:tc>
        <w:tc>
          <w:tcPr>
            <w:tcW w:w="7115" w:type="dxa"/>
          </w:tcPr>
          <w:p w14:paraId="32AD6ECD" w14:textId="77777777" w:rsidR="00F11A8B" w:rsidRPr="006F6DAC" w:rsidRDefault="00F11A8B" w:rsidP="00F11A8B">
            <w:pPr>
              <w:tabs>
                <w:tab w:val="left" w:pos="1080"/>
              </w:tabs>
              <w:spacing w:before="120" w:after="120"/>
              <w:jc w:val="both"/>
              <w:rPr>
                <w:rFonts w:ascii="Garamond" w:hAnsi="Garamond"/>
                <w:b/>
                <w:sz w:val="22"/>
                <w:szCs w:val="22"/>
              </w:rPr>
            </w:pPr>
            <w:r w:rsidRPr="006F6DAC">
              <w:rPr>
                <w:rFonts w:ascii="Garamond" w:hAnsi="Garamond"/>
                <w:b/>
                <w:sz w:val="22"/>
                <w:szCs w:val="22"/>
                <w:lang w:eastAsia="en-US"/>
              </w:rPr>
              <w:lastRenderedPageBreak/>
              <w:t>Исключить пункт</w:t>
            </w:r>
          </w:p>
        </w:tc>
      </w:tr>
      <w:tr w:rsidR="00F11A8B" w:rsidRPr="006F6DAC" w14:paraId="04DE85F8" w14:textId="77777777" w:rsidTr="006F6DAC">
        <w:tc>
          <w:tcPr>
            <w:tcW w:w="1060" w:type="dxa"/>
          </w:tcPr>
          <w:p w14:paraId="550638BF" w14:textId="568AF7CB" w:rsidR="00F11A8B" w:rsidRPr="006F6DAC" w:rsidRDefault="00F11A8B" w:rsidP="00F11A8B">
            <w:pPr>
              <w:widowControl w:val="0"/>
              <w:spacing w:line="259" w:lineRule="auto"/>
              <w:jc w:val="center"/>
              <w:rPr>
                <w:rFonts w:ascii="Garamond" w:hAnsi="Garamond"/>
                <w:b/>
                <w:sz w:val="22"/>
                <w:szCs w:val="22"/>
                <w:lang w:eastAsia="en-US"/>
              </w:rPr>
            </w:pPr>
            <w:r w:rsidRPr="006F6DAC">
              <w:rPr>
                <w:rFonts w:ascii="Garamond" w:hAnsi="Garamond"/>
                <w:b/>
                <w:sz w:val="22"/>
                <w:szCs w:val="22"/>
                <w:lang w:eastAsia="en-US"/>
              </w:rPr>
              <w:lastRenderedPageBreak/>
              <w:t>Приложение 2, п.</w:t>
            </w:r>
            <w:r w:rsidR="006F6DAC">
              <w:rPr>
                <w:rFonts w:ascii="Garamond" w:hAnsi="Garamond"/>
                <w:b/>
                <w:sz w:val="22"/>
                <w:szCs w:val="22"/>
                <w:lang w:eastAsia="en-US"/>
              </w:rPr>
              <w:t xml:space="preserve"> </w:t>
            </w:r>
            <w:r w:rsidRPr="006F6DAC">
              <w:rPr>
                <w:rFonts w:ascii="Garamond" w:hAnsi="Garamond"/>
                <w:b/>
                <w:sz w:val="22"/>
                <w:szCs w:val="22"/>
                <w:lang w:eastAsia="en-US"/>
              </w:rPr>
              <w:t>5</w:t>
            </w:r>
          </w:p>
        </w:tc>
        <w:tc>
          <w:tcPr>
            <w:tcW w:w="6804" w:type="dxa"/>
          </w:tcPr>
          <w:p w14:paraId="6ABBDA71" w14:textId="77777777" w:rsidR="00F11A8B" w:rsidRPr="006F6DAC" w:rsidRDefault="00F11A8B" w:rsidP="00F11A8B">
            <w:pPr>
              <w:tabs>
                <w:tab w:val="left" w:pos="1080"/>
              </w:tabs>
              <w:spacing w:before="120" w:after="120"/>
              <w:jc w:val="both"/>
              <w:rPr>
                <w:rFonts w:ascii="Garamond" w:hAnsi="Garamond"/>
                <w:sz w:val="22"/>
                <w:szCs w:val="22"/>
                <w:highlight w:val="yellow"/>
              </w:rPr>
            </w:pPr>
            <w:r w:rsidRPr="006F6DAC">
              <w:rPr>
                <w:rFonts w:ascii="Garamond" w:hAnsi="Garamond"/>
                <w:bCs/>
                <w:color w:val="000000"/>
                <w:sz w:val="22"/>
                <w:szCs w:val="22"/>
                <w:highlight w:val="yellow"/>
              </w:rPr>
              <w:t>5.</w:t>
            </w:r>
            <w:r w:rsidRPr="006F6DAC">
              <w:rPr>
                <w:rFonts w:ascii="Garamond" w:hAnsi="Garamond"/>
                <w:bCs/>
                <w:color w:val="000000"/>
                <w:sz w:val="22"/>
                <w:szCs w:val="22"/>
              </w:rPr>
              <w:t xml:space="preserve"> Структура электронного документа типа 80040 идентична структуре электронного документа в формате 80020, исключение составляет </w:t>
            </w:r>
            <w:r w:rsidRPr="006F6DAC">
              <w:rPr>
                <w:rFonts w:ascii="Garamond" w:hAnsi="Garamond"/>
                <w:bCs/>
                <w:color w:val="000000"/>
                <w:sz w:val="22"/>
                <w:szCs w:val="22"/>
              </w:rPr>
              <w:lastRenderedPageBreak/>
              <w:t xml:space="preserve">значение атрибута </w:t>
            </w:r>
            <w:r w:rsidRPr="006F6DAC">
              <w:rPr>
                <w:rFonts w:ascii="Garamond" w:hAnsi="Garamond"/>
                <w:bCs/>
                <w:color w:val="000000"/>
                <w:sz w:val="22"/>
                <w:szCs w:val="22"/>
                <w:lang w:val="en-US"/>
              </w:rPr>
              <w:t>class</w:t>
            </w:r>
            <w:r w:rsidRPr="006F6DAC">
              <w:rPr>
                <w:rFonts w:ascii="Garamond" w:hAnsi="Garamond"/>
                <w:bCs/>
                <w:color w:val="000000"/>
                <w:sz w:val="22"/>
                <w:szCs w:val="22"/>
              </w:rPr>
              <w:t xml:space="preserve"> элемента &lt;</w:t>
            </w:r>
            <w:r w:rsidRPr="006F6DAC">
              <w:rPr>
                <w:rFonts w:ascii="Garamond" w:hAnsi="Garamond"/>
                <w:bCs/>
                <w:color w:val="000000"/>
                <w:sz w:val="22"/>
                <w:szCs w:val="22"/>
                <w:lang w:val="en-US"/>
              </w:rPr>
              <w:t>message</w:t>
            </w:r>
            <w:r w:rsidRPr="006F6DAC">
              <w:rPr>
                <w:rFonts w:ascii="Garamond" w:hAnsi="Garamond"/>
                <w:bCs/>
                <w:color w:val="000000"/>
                <w:sz w:val="22"/>
                <w:szCs w:val="22"/>
              </w:rPr>
              <w:t>&gt;, содерж</w:t>
            </w:r>
            <w:r w:rsidRPr="006F6DAC">
              <w:rPr>
                <w:rFonts w:ascii="Garamond" w:hAnsi="Garamond"/>
                <w:color w:val="000000"/>
                <w:sz w:val="22"/>
                <w:szCs w:val="22"/>
              </w:rPr>
              <w:t>ащ</w:t>
            </w:r>
            <w:r w:rsidRPr="006F6DAC">
              <w:rPr>
                <w:rFonts w:ascii="Garamond" w:hAnsi="Garamond"/>
                <w:bCs/>
                <w:color w:val="000000"/>
                <w:sz w:val="22"/>
                <w:szCs w:val="22"/>
              </w:rPr>
              <w:t>его данные о типе электронного документа, которое должно быть равно 80040.</w:t>
            </w:r>
          </w:p>
        </w:tc>
        <w:tc>
          <w:tcPr>
            <w:tcW w:w="7115" w:type="dxa"/>
          </w:tcPr>
          <w:p w14:paraId="43B7FFD6" w14:textId="77777777" w:rsidR="00F11A8B" w:rsidRPr="006F6DAC" w:rsidRDefault="00F11A8B" w:rsidP="00F11A8B">
            <w:pPr>
              <w:tabs>
                <w:tab w:val="left" w:pos="1080"/>
              </w:tabs>
              <w:spacing w:before="120" w:after="120"/>
              <w:jc w:val="both"/>
              <w:rPr>
                <w:rFonts w:ascii="Garamond" w:hAnsi="Garamond"/>
                <w:sz w:val="22"/>
                <w:szCs w:val="22"/>
              </w:rPr>
            </w:pPr>
            <w:r w:rsidRPr="006F6DAC">
              <w:rPr>
                <w:rFonts w:ascii="Garamond" w:hAnsi="Garamond"/>
                <w:bCs/>
                <w:color w:val="000000"/>
                <w:sz w:val="22"/>
                <w:szCs w:val="22"/>
                <w:highlight w:val="yellow"/>
              </w:rPr>
              <w:lastRenderedPageBreak/>
              <w:t>4.</w:t>
            </w:r>
            <w:r w:rsidRPr="006F6DAC">
              <w:rPr>
                <w:rFonts w:ascii="Garamond" w:hAnsi="Garamond"/>
                <w:bCs/>
                <w:color w:val="000000"/>
                <w:sz w:val="22"/>
                <w:szCs w:val="22"/>
              </w:rPr>
              <w:t xml:space="preserve"> Структура электронного документа типа 80040 идентична структуре электронного документа в формате 80020, исключение составляет значение </w:t>
            </w:r>
            <w:r w:rsidRPr="006F6DAC">
              <w:rPr>
                <w:rFonts w:ascii="Garamond" w:hAnsi="Garamond"/>
                <w:bCs/>
                <w:color w:val="000000"/>
                <w:sz w:val="22"/>
                <w:szCs w:val="22"/>
              </w:rPr>
              <w:lastRenderedPageBreak/>
              <w:t xml:space="preserve">атрибута </w:t>
            </w:r>
            <w:r w:rsidRPr="006F6DAC">
              <w:rPr>
                <w:rFonts w:ascii="Garamond" w:hAnsi="Garamond"/>
                <w:bCs/>
                <w:color w:val="000000"/>
                <w:sz w:val="22"/>
                <w:szCs w:val="22"/>
                <w:lang w:val="en-US"/>
              </w:rPr>
              <w:t>class</w:t>
            </w:r>
            <w:r w:rsidRPr="006F6DAC">
              <w:rPr>
                <w:rFonts w:ascii="Garamond" w:hAnsi="Garamond"/>
                <w:bCs/>
                <w:color w:val="000000"/>
                <w:sz w:val="22"/>
                <w:szCs w:val="22"/>
              </w:rPr>
              <w:t xml:space="preserve"> элемента &lt;</w:t>
            </w:r>
            <w:r w:rsidRPr="006F6DAC">
              <w:rPr>
                <w:rFonts w:ascii="Garamond" w:hAnsi="Garamond"/>
                <w:bCs/>
                <w:color w:val="000000"/>
                <w:sz w:val="22"/>
                <w:szCs w:val="22"/>
                <w:lang w:val="en-US"/>
              </w:rPr>
              <w:t>message</w:t>
            </w:r>
            <w:r w:rsidRPr="006F6DAC">
              <w:rPr>
                <w:rFonts w:ascii="Garamond" w:hAnsi="Garamond"/>
                <w:bCs/>
                <w:color w:val="000000"/>
                <w:sz w:val="22"/>
                <w:szCs w:val="22"/>
              </w:rPr>
              <w:t>&gt;, содерж</w:t>
            </w:r>
            <w:r w:rsidRPr="006F6DAC">
              <w:rPr>
                <w:rFonts w:ascii="Garamond" w:hAnsi="Garamond"/>
                <w:color w:val="000000"/>
                <w:sz w:val="22"/>
                <w:szCs w:val="22"/>
              </w:rPr>
              <w:t>ащ</w:t>
            </w:r>
            <w:r w:rsidRPr="006F6DAC">
              <w:rPr>
                <w:rFonts w:ascii="Garamond" w:hAnsi="Garamond"/>
                <w:bCs/>
                <w:color w:val="000000"/>
                <w:sz w:val="22"/>
                <w:szCs w:val="22"/>
              </w:rPr>
              <w:t>его данные о типе электронного документа, которое должно быть равно 80040.</w:t>
            </w:r>
          </w:p>
        </w:tc>
      </w:tr>
      <w:tr w:rsidR="00F11A8B" w:rsidRPr="006F6DAC" w14:paraId="2F1FD04F" w14:textId="77777777" w:rsidTr="006F6DAC">
        <w:tc>
          <w:tcPr>
            <w:tcW w:w="1060" w:type="dxa"/>
          </w:tcPr>
          <w:p w14:paraId="67C62AAC" w14:textId="77777777" w:rsidR="00F11A8B" w:rsidRPr="006F6DAC" w:rsidRDefault="00F11A8B" w:rsidP="00F11A8B">
            <w:pPr>
              <w:widowControl w:val="0"/>
              <w:spacing w:line="259" w:lineRule="auto"/>
              <w:jc w:val="center"/>
              <w:rPr>
                <w:rFonts w:ascii="Garamond" w:hAnsi="Garamond"/>
                <w:b/>
                <w:sz w:val="22"/>
                <w:szCs w:val="22"/>
                <w:lang w:eastAsia="en-US"/>
              </w:rPr>
            </w:pPr>
            <w:r w:rsidRPr="006F6DAC">
              <w:rPr>
                <w:rFonts w:ascii="Garamond" w:hAnsi="Garamond"/>
                <w:b/>
                <w:sz w:val="22"/>
                <w:szCs w:val="22"/>
                <w:lang w:eastAsia="en-US"/>
              </w:rPr>
              <w:lastRenderedPageBreak/>
              <w:t>Приложение 3</w:t>
            </w:r>
          </w:p>
        </w:tc>
        <w:tc>
          <w:tcPr>
            <w:tcW w:w="6804" w:type="dxa"/>
          </w:tcPr>
          <w:p w14:paraId="385FEF70" w14:textId="77777777" w:rsidR="00F11A8B" w:rsidRPr="006F6DAC" w:rsidRDefault="00F11A8B" w:rsidP="00F11A8B">
            <w:pPr>
              <w:pStyle w:val="10"/>
              <w:rPr>
                <w:rFonts w:ascii="Garamond" w:hAnsi="Garamond"/>
                <w:sz w:val="22"/>
                <w:szCs w:val="22"/>
                <w:highlight w:val="yellow"/>
              </w:rPr>
            </w:pPr>
            <w:r w:rsidRPr="006F6DAC">
              <w:rPr>
                <w:rFonts w:ascii="Garamond" w:hAnsi="Garamond"/>
                <w:sz w:val="22"/>
                <w:szCs w:val="22"/>
                <w:highlight w:val="yellow"/>
              </w:rPr>
              <w:t xml:space="preserve">Декларация разметки ответного сообщения (форматов </w:t>
            </w:r>
            <w:r w:rsidRPr="006F6DAC">
              <w:rPr>
                <w:rFonts w:ascii="Garamond" w:hAnsi="Garamond"/>
                <w:color w:val="000000"/>
                <w:sz w:val="22"/>
                <w:szCs w:val="22"/>
                <w:highlight w:val="yellow"/>
              </w:rPr>
              <w:t>80021 и 80041</w:t>
            </w:r>
            <w:r w:rsidRPr="006F6DAC">
              <w:rPr>
                <w:rFonts w:ascii="Garamond" w:hAnsi="Garamond"/>
                <w:sz w:val="22"/>
                <w:szCs w:val="22"/>
                <w:highlight w:val="yellow"/>
              </w:rPr>
              <w:t>)</w:t>
            </w:r>
          </w:p>
          <w:p w14:paraId="53716531" w14:textId="77777777" w:rsidR="00F11A8B" w:rsidRPr="006F6DAC" w:rsidRDefault="00F11A8B" w:rsidP="00F11A8B">
            <w:pPr>
              <w:rPr>
                <w:rFonts w:ascii="Garamond" w:hAnsi="Garamond"/>
                <w:sz w:val="22"/>
                <w:szCs w:val="22"/>
                <w:highlight w:val="yellow"/>
                <w:lang w:val="en-US"/>
              </w:rPr>
            </w:pPr>
            <w:r w:rsidRPr="006F6DAC">
              <w:rPr>
                <w:rFonts w:ascii="Garamond" w:hAnsi="Garamond"/>
                <w:sz w:val="22"/>
                <w:szCs w:val="22"/>
                <w:highlight w:val="yellow"/>
                <w:lang w:val="en-US"/>
              </w:rPr>
              <w:t>&lt;!ELEMENT message (file, reply, fileareas?, currentstate)&gt;</w:t>
            </w:r>
          </w:p>
          <w:p w14:paraId="4043E9E8" w14:textId="77777777" w:rsidR="00F11A8B" w:rsidRPr="006F6DAC" w:rsidRDefault="00F11A8B" w:rsidP="00F11A8B">
            <w:pPr>
              <w:rPr>
                <w:rFonts w:ascii="Garamond" w:hAnsi="Garamond"/>
                <w:sz w:val="22"/>
                <w:szCs w:val="22"/>
                <w:highlight w:val="yellow"/>
                <w:lang w:val="en-US"/>
              </w:rPr>
            </w:pPr>
            <w:r w:rsidRPr="006F6DAC">
              <w:rPr>
                <w:rFonts w:ascii="Garamond" w:hAnsi="Garamond"/>
                <w:sz w:val="22"/>
                <w:szCs w:val="22"/>
                <w:highlight w:val="yellow"/>
                <w:lang w:val="en-US"/>
              </w:rPr>
              <w:tab/>
              <w:t>&lt;!ATTLIST message</w:t>
            </w:r>
          </w:p>
          <w:p w14:paraId="087152B6" w14:textId="77777777" w:rsidR="00F11A8B" w:rsidRPr="006F6DAC" w:rsidRDefault="00F11A8B" w:rsidP="00F11A8B">
            <w:pPr>
              <w:rPr>
                <w:rFonts w:ascii="Garamond" w:hAnsi="Garamond"/>
                <w:sz w:val="22"/>
                <w:szCs w:val="22"/>
                <w:highlight w:val="yellow"/>
                <w:lang w:val="en-US"/>
              </w:rPr>
            </w:pPr>
            <w:r w:rsidRPr="006F6DAC">
              <w:rPr>
                <w:rFonts w:ascii="Garamond" w:hAnsi="Garamond"/>
                <w:sz w:val="22"/>
                <w:szCs w:val="22"/>
                <w:highlight w:val="yellow"/>
                <w:lang w:val="en-US"/>
              </w:rPr>
              <w:tab/>
            </w:r>
            <w:r w:rsidRPr="006F6DAC">
              <w:rPr>
                <w:rFonts w:ascii="Garamond" w:hAnsi="Garamond"/>
                <w:sz w:val="22"/>
                <w:szCs w:val="22"/>
                <w:highlight w:val="yellow"/>
                <w:lang w:val="en-US"/>
              </w:rPr>
              <w:tab/>
              <w:t>class</w:t>
            </w:r>
            <w:r w:rsidRPr="006F6DAC">
              <w:rPr>
                <w:rFonts w:ascii="Garamond" w:hAnsi="Garamond"/>
                <w:sz w:val="22"/>
                <w:szCs w:val="22"/>
                <w:highlight w:val="yellow"/>
                <w:lang w:val="en-US"/>
              </w:rPr>
              <w:tab/>
            </w:r>
            <w:r w:rsidRPr="006F6DAC">
              <w:rPr>
                <w:rFonts w:ascii="Garamond" w:hAnsi="Garamond"/>
                <w:sz w:val="22"/>
                <w:szCs w:val="22"/>
                <w:highlight w:val="yellow"/>
                <w:lang w:val="en-US"/>
              </w:rPr>
              <w:tab/>
              <w:t>CDATA</w:t>
            </w:r>
            <w:r w:rsidRPr="006F6DAC">
              <w:rPr>
                <w:rFonts w:ascii="Garamond" w:hAnsi="Garamond"/>
                <w:sz w:val="22"/>
                <w:szCs w:val="22"/>
                <w:highlight w:val="yellow"/>
                <w:lang w:val="en-US"/>
              </w:rPr>
              <w:tab/>
              <w:t>#REQUIRED</w:t>
            </w:r>
          </w:p>
          <w:p w14:paraId="7E7EB308" w14:textId="77777777" w:rsidR="00F11A8B" w:rsidRPr="006F6DAC" w:rsidRDefault="00F11A8B" w:rsidP="00F11A8B">
            <w:pPr>
              <w:rPr>
                <w:rFonts w:ascii="Garamond" w:hAnsi="Garamond"/>
                <w:sz w:val="22"/>
                <w:szCs w:val="22"/>
                <w:highlight w:val="yellow"/>
                <w:lang w:val="en-US"/>
              </w:rPr>
            </w:pPr>
            <w:r w:rsidRPr="006F6DAC">
              <w:rPr>
                <w:rFonts w:ascii="Garamond" w:hAnsi="Garamond"/>
                <w:sz w:val="22"/>
                <w:szCs w:val="22"/>
                <w:highlight w:val="yellow"/>
                <w:lang w:val="en-US"/>
              </w:rPr>
              <w:tab/>
            </w:r>
            <w:r w:rsidRPr="006F6DAC">
              <w:rPr>
                <w:rFonts w:ascii="Garamond" w:hAnsi="Garamond"/>
                <w:sz w:val="22"/>
                <w:szCs w:val="22"/>
                <w:highlight w:val="yellow"/>
                <w:lang w:val="en-US"/>
              </w:rPr>
              <w:tab/>
              <w:t>version</w:t>
            </w:r>
            <w:r w:rsidRPr="006F6DAC">
              <w:rPr>
                <w:rFonts w:ascii="Garamond" w:hAnsi="Garamond"/>
                <w:sz w:val="22"/>
                <w:szCs w:val="22"/>
                <w:highlight w:val="yellow"/>
                <w:lang w:val="en-US"/>
              </w:rPr>
              <w:tab/>
            </w:r>
            <w:r w:rsidRPr="006F6DAC">
              <w:rPr>
                <w:rFonts w:ascii="Garamond" w:hAnsi="Garamond"/>
                <w:sz w:val="22"/>
                <w:szCs w:val="22"/>
                <w:highlight w:val="yellow"/>
                <w:lang w:val="en-US"/>
              </w:rPr>
              <w:tab/>
              <w:t>CDATA</w:t>
            </w:r>
            <w:r w:rsidRPr="006F6DAC">
              <w:rPr>
                <w:rFonts w:ascii="Garamond" w:hAnsi="Garamond"/>
                <w:sz w:val="22"/>
                <w:szCs w:val="22"/>
                <w:highlight w:val="yellow"/>
                <w:lang w:val="en-US"/>
              </w:rPr>
              <w:tab/>
              <w:t>#REQUIRED</w:t>
            </w:r>
          </w:p>
          <w:p w14:paraId="5DA72C78" w14:textId="77777777" w:rsidR="00F11A8B" w:rsidRPr="006F6DAC" w:rsidRDefault="00F11A8B" w:rsidP="00F11A8B">
            <w:pPr>
              <w:rPr>
                <w:rFonts w:ascii="Garamond" w:hAnsi="Garamond"/>
                <w:sz w:val="22"/>
                <w:szCs w:val="22"/>
                <w:highlight w:val="yellow"/>
                <w:lang w:val="en-US"/>
              </w:rPr>
            </w:pPr>
            <w:r w:rsidRPr="006F6DAC">
              <w:rPr>
                <w:rFonts w:ascii="Garamond" w:hAnsi="Garamond"/>
                <w:sz w:val="22"/>
                <w:szCs w:val="22"/>
                <w:highlight w:val="yellow"/>
                <w:lang w:val="en-US"/>
              </w:rPr>
              <w:tab/>
            </w:r>
            <w:r w:rsidRPr="006F6DAC">
              <w:rPr>
                <w:rFonts w:ascii="Garamond" w:hAnsi="Garamond"/>
                <w:sz w:val="22"/>
                <w:szCs w:val="22"/>
                <w:highlight w:val="yellow"/>
                <w:lang w:val="en-US"/>
              </w:rPr>
              <w:tab/>
              <w:t>id</w:t>
            </w:r>
            <w:r w:rsidRPr="006F6DAC">
              <w:rPr>
                <w:rFonts w:ascii="Garamond" w:hAnsi="Garamond"/>
                <w:sz w:val="22"/>
                <w:szCs w:val="22"/>
                <w:highlight w:val="yellow"/>
                <w:lang w:val="en-US"/>
              </w:rPr>
              <w:tab/>
            </w:r>
            <w:r w:rsidRPr="006F6DAC">
              <w:rPr>
                <w:rFonts w:ascii="Garamond" w:hAnsi="Garamond"/>
                <w:sz w:val="22"/>
                <w:szCs w:val="22"/>
                <w:highlight w:val="yellow"/>
                <w:lang w:val="en-US"/>
              </w:rPr>
              <w:tab/>
              <w:t>CDATA</w:t>
            </w:r>
            <w:r w:rsidRPr="006F6DAC">
              <w:rPr>
                <w:rFonts w:ascii="Garamond" w:hAnsi="Garamond"/>
                <w:sz w:val="22"/>
                <w:szCs w:val="22"/>
                <w:highlight w:val="yellow"/>
                <w:lang w:val="en-US"/>
              </w:rPr>
              <w:tab/>
              <w:t>#IMPLIED</w:t>
            </w:r>
          </w:p>
          <w:p w14:paraId="7161ED74" w14:textId="77777777" w:rsidR="00F11A8B" w:rsidRPr="006F6DAC" w:rsidRDefault="00F11A8B" w:rsidP="00F11A8B">
            <w:pPr>
              <w:rPr>
                <w:rFonts w:ascii="Garamond" w:hAnsi="Garamond"/>
                <w:sz w:val="22"/>
                <w:szCs w:val="22"/>
                <w:highlight w:val="yellow"/>
                <w:lang w:val="en-US"/>
              </w:rPr>
            </w:pPr>
            <w:r w:rsidRPr="006F6DAC">
              <w:rPr>
                <w:rFonts w:ascii="Garamond" w:hAnsi="Garamond"/>
                <w:sz w:val="22"/>
                <w:szCs w:val="22"/>
                <w:highlight w:val="yellow"/>
                <w:lang w:val="en-US"/>
              </w:rPr>
              <w:tab/>
            </w:r>
            <w:r w:rsidRPr="006F6DAC">
              <w:rPr>
                <w:rFonts w:ascii="Garamond" w:hAnsi="Garamond"/>
                <w:sz w:val="22"/>
                <w:szCs w:val="22"/>
                <w:highlight w:val="yellow"/>
                <w:lang w:val="en-US"/>
              </w:rPr>
              <w:tab/>
              <w:t>datetime</w:t>
            </w:r>
            <w:r w:rsidRPr="006F6DAC">
              <w:rPr>
                <w:rFonts w:ascii="Garamond" w:hAnsi="Garamond"/>
                <w:sz w:val="22"/>
                <w:szCs w:val="22"/>
                <w:highlight w:val="yellow"/>
                <w:lang w:val="en-US"/>
              </w:rPr>
              <w:tab/>
              <w:t>CDATA</w:t>
            </w:r>
            <w:r w:rsidRPr="006F6DAC">
              <w:rPr>
                <w:rFonts w:ascii="Garamond" w:hAnsi="Garamond"/>
                <w:sz w:val="22"/>
                <w:szCs w:val="22"/>
                <w:highlight w:val="yellow"/>
                <w:lang w:val="en-US"/>
              </w:rPr>
              <w:tab/>
              <w:t>#IMPLIED</w:t>
            </w:r>
          </w:p>
          <w:p w14:paraId="54DF70A1" w14:textId="77777777" w:rsidR="00F11A8B" w:rsidRPr="006F6DAC" w:rsidRDefault="00F11A8B" w:rsidP="00F11A8B">
            <w:pPr>
              <w:rPr>
                <w:rFonts w:ascii="Garamond" w:hAnsi="Garamond"/>
                <w:sz w:val="22"/>
                <w:szCs w:val="22"/>
                <w:highlight w:val="yellow"/>
                <w:lang w:val="en-US"/>
              </w:rPr>
            </w:pPr>
            <w:r w:rsidRPr="006F6DAC">
              <w:rPr>
                <w:rFonts w:ascii="Garamond" w:hAnsi="Garamond"/>
                <w:sz w:val="22"/>
                <w:szCs w:val="22"/>
                <w:highlight w:val="yellow"/>
                <w:lang w:val="en-US"/>
              </w:rPr>
              <w:tab/>
              <w:t>&gt;</w:t>
            </w:r>
          </w:p>
          <w:p w14:paraId="1AF0A323" w14:textId="77777777" w:rsidR="00F11A8B" w:rsidRPr="006F6DAC" w:rsidRDefault="00F11A8B" w:rsidP="00F11A8B">
            <w:pPr>
              <w:rPr>
                <w:rFonts w:ascii="Garamond" w:hAnsi="Garamond"/>
                <w:sz w:val="22"/>
                <w:szCs w:val="22"/>
                <w:highlight w:val="yellow"/>
                <w:lang w:val="en-US"/>
              </w:rPr>
            </w:pPr>
            <w:r w:rsidRPr="006F6DAC">
              <w:rPr>
                <w:rFonts w:ascii="Garamond" w:hAnsi="Garamond"/>
                <w:sz w:val="22"/>
                <w:szCs w:val="22"/>
                <w:highlight w:val="yellow"/>
                <w:lang w:val="en-US"/>
              </w:rPr>
              <w:t>&lt;!ELEMENT file (fromaddr?, name, sender?, day?, id, received) &gt;</w:t>
            </w:r>
          </w:p>
          <w:p w14:paraId="1CAF369B" w14:textId="77777777" w:rsidR="00F11A8B" w:rsidRPr="006F6DAC" w:rsidRDefault="00F11A8B" w:rsidP="00F11A8B">
            <w:pPr>
              <w:rPr>
                <w:rFonts w:ascii="Garamond" w:hAnsi="Garamond"/>
                <w:sz w:val="22"/>
                <w:szCs w:val="22"/>
                <w:highlight w:val="yellow"/>
                <w:lang w:val="en-US"/>
              </w:rPr>
            </w:pPr>
            <w:r w:rsidRPr="006F6DAC">
              <w:rPr>
                <w:rFonts w:ascii="Garamond" w:hAnsi="Garamond"/>
                <w:sz w:val="22"/>
                <w:szCs w:val="22"/>
                <w:highlight w:val="yellow"/>
                <w:lang w:val="en-US"/>
              </w:rPr>
              <w:tab/>
              <w:t>&lt;!ELEMENT fromaddr (#PCDATA)&gt;</w:t>
            </w:r>
          </w:p>
          <w:p w14:paraId="08CE9754" w14:textId="77777777" w:rsidR="00F11A8B" w:rsidRPr="006F6DAC" w:rsidRDefault="00F11A8B" w:rsidP="00F11A8B">
            <w:pPr>
              <w:rPr>
                <w:rFonts w:ascii="Garamond" w:hAnsi="Garamond"/>
                <w:sz w:val="22"/>
                <w:szCs w:val="22"/>
                <w:highlight w:val="yellow"/>
                <w:lang w:val="en-US"/>
              </w:rPr>
            </w:pPr>
            <w:r w:rsidRPr="006F6DAC">
              <w:rPr>
                <w:rFonts w:ascii="Garamond" w:hAnsi="Garamond"/>
                <w:sz w:val="22"/>
                <w:szCs w:val="22"/>
                <w:highlight w:val="yellow"/>
                <w:lang w:val="en-US"/>
              </w:rPr>
              <w:tab/>
              <w:t>&lt;!ELEMENT name (#PCDATA)&gt;</w:t>
            </w:r>
          </w:p>
          <w:p w14:paraId="78901BC6" w14:textId="77777777" w:rsidR="00F11A8B" w:rsidRPr="006F6DAC" w:rsidRDefault="00F11A8B" w:rsidP="00F11A8B">
            <w:pPr>
              <w:rPr>
                <w:rFonts w:ascii="Garamond" w:hAnsi="Garamond"/>
                <w:sz w:val="22"/>
                <w:szCs w:val="22"/>
                <w:highlight w:val="yellow"/>
                <w:lang w:val="en-US"/>
              </w:rPr>
            </w:pPr>
            <w:r w:rsidRPr="006F6DAC">
              <w:rPr>
                <w:rFonts w:ascii="Garamond" w:hAnsi="Garamond"/>
                <w:sz w:val="22"/>
                <w:szCs w:val="22"/>
                <w:highlight w:val="yellow"/>
                <w:lang w:val="en-US"/>
              </w:rPr>
              <w:tab/>
              <w:t>&lt;!ELEMENT sender (#PCDATA)&gt;</w:t>
            </w:r>
          </w:p>
          <w:p w14:paraId="4B8665DA" w14:textId="77777777" w:rsidR="00F11A8B" w:rsidRPr="006F6DAC" w:rsidRDefault="00F11A8B" w:rsidP="00F11A8B">
            <w:pPr>
              <w:rPr>
                <w:rFonts w:ascii="Garamond" w:hAnsi="Garamond"/>
                <w:sz w:val="22"/>
                <w:szCs w:val="22"/>
                <w:highlight w:val="yellow"/>
                <w:lang w:val="en-US"/>
              </w:rPr>
            </w:pPr>
            <w:r w:rsidRPr="006F6DAC">
              <w:rPr>
                <w:rFonts w:ascii="Garamond" w:hAnsi="Garamond"/>
                <w:sz w:val="22"/>
                <w:szCs w:val="22"/>
                <w:highlight w:val="yellow"/>
                <w:lang w:val="en-US"/>
              </w:rPr>
              <w:tab/>
              <w:t>&lt;!ELEMENT day (#PCDATA)&gt;</w:t>
            </w:r>
          </w:p>
          <w:p w14:paraId="7DFE3DD3" w14:textId="77777777" w:rsidR="00F11A8B" w:rsidRPr="006F6DAC" w:rsidRDefault="00F11A8B" w:rsidP="00F11A8B">
            <w:pPr>
              <w:rPr>
                <w:rFonts w:ascii="Garamond" w:hAnsi="Garamond"/>
                <w:sz w:val="22"/>
                <w:szCs w:val="22"/>
                <w:highlight w:val="yellow"/>
                <w:lang w:val="en-US"/>
              </w:rPr>
            </w:pPr>
            <w:r w:rsidRPr="006F6DAC">
              <w:rPr>
                <w:rFonts w:ascii="Garamond" w:hAnsi="Garamond"/>
                <w:sz w:val="22"/>
                <w:szCs w:val="22"/>
                <w:highlight w:val="yellow"/>
                <w:lang w:val="en-US"/>
              </w:rPr>
              <w:tab/>
              <w:t>&lt;!ELEMENT received (#PCDATA)&gt;</w:t>
            </w:r>
          </w:p>
          <w:p w14:paraId="1D96BB7E" w14:textId="77777777" w:rsidR="00F11A8B" w:rsidRPr="006F6DAC" w:rsidRDefault="00F11A8B" w:rsidP="00F11A8B">
            <w:pPr>
              <w:ind w:left="720"/>
              <w:rPr>
                <w:rFonts w:ascii="Garamond" w:hAnsi="Garamond"/>
                <w:color w:val="000000"/>
                <w:sz w:val="22"/>
                <w:szCs w:val="22"/>
                <w:highlight w:val="yellow"/>
                <w:lang w:val="en-US"/>
              </w:rPr>
            </w:pPr>
            <w:r w:rsidRPr="006F6DAC">
              <w:rPr>
                <w:rFonts w:ascii="Garamond" w:hAnsi="Garamond"/>
                <w:color w:val="000000"/>
                <w:sz w:val="22"/>
                <w:szCs w:val="22"/>
                <w:highlight w:val="yellow"/>
                <w:lang w:val="en-US"/>
              </w:rPr>
              <w:t>&lt;!ELEMENT id (#PCDATA)&gt;</w:t>
            </w:r>
          </w:p>
          <w:p w14:paraId="3AA3A3B8" w14:textId="77777777" w:rsidR="00F11A8B" w:rsidRPr="006F6DAC" w:rsidRDefault="00F11A8B" w:rsidP="00F11A8B">
            <w:pPr>
              <w:rPr>
                <w:rFonts w:ascii="Garamond" w:hAnsi="Garamond"/>
                <w:sz w:val="22"/>
                <w:szCs w:val="22"/>
                <w:highlight w:val="yellow"/>
                <w:lang w:val="en-US"/>
              </w:rPr>
            </w:pPr>
            <w:r w:rsidRPr="006F6DAC">
              <w:rPr>
                <w:rFonts w:ascii="Garamond" w:hAnsi="Garamond"/>
                <w:sz w:val="22"/>
                <w:szCs w:val="22"/>
                <w:highlight w:val="yellow"/>
                <w:lang w:val="en-US"/>
              </w:rPr>
              <w:t>&lt;!ELEMENT reply (error*) &gt;</w:t>
            </w:r>
          </w:p>
          <w:p w14:paraId="32CCA69B" w14:textId="77777777" w:rsidR="00F11A8B" w:rsidRPr="006F6DAC" w:rsidRDefault="00F11A8B" w:rsidP="00F11A8B">
            <w:pPr>
              <w:rPr>
                <w:rFonts w:ascii="Garamond" w:hAnsi="Garamond"/>
                <w:sz w:val="22"/>
                <w:szCs w:val="22"/>
                <w:highlight w:val="yellow"/>
                <w:lang w:val="en-US"/>
              </w:rPr>
            </w:pPr>
            <w:r w:rsidRPr="006F6DAC">
              <w:rPr>
                <w:rFonts w:ascii="Garamond" w:hAnsi="Garamond"/>
                <w:sz w:val="22"/>
                <w:szCs w:val="22"/>
                <w:highlight w:val="yellow"/>
                <w:lang w:val="en-US"/>
              </w:rPr>
              <w:tab/>
              <w:t>&lt;!ATTLIST reply</w:t>
            </w:r>
          </w:p>
          <w:p w14:paraId="70205D33" w14:textId="77777777" w:rsidR="00F11A8B" w:rsidRPr="006F6DAC" w:rsidRDefault="00F11A8B" w:rsidP="00F11A8B">
            <w:pPr>
              <w:rPr>
                <w:rFonts w:ascii="Garamond" w:hAnsi="Garamond"/>
                <w:sz w:val="22"/>
                <w:szCs w:val="22"/>
                <w:highlight w:val="yellow"/>
                <w:lang w:val="en-US"/>
              </w:rPr>
            </w:pPr>
            <w:r w:rsidRPr="006F6DAC">
              <w:rPr>
                <w:rFonts w:ascii="Garamond" w:hAnsi="Garamond"/>
                <w:sz w:val="22"/>
                <w:szCs w:val="22"/>
                <w:highlight w:val="yellow"/>
                <w:lang w:val="en-US"/>
              </w:rPr>
              <w:tab/>
            </w:r>
            <w:r w:rsidRPr="006F6DAC">
              <w:rPr>
                <w:rFonts w:ascii="Garamond" w:hAnsi="Garamond"/>
                <w:sz w:val="22"/>
                <w:szCs w:val="22"/>
                <w:highlight w:val="yellow"/>
                <w:lang w:val="en-US"/>
              </w:rPr>
              <w:tab/>
              <w:t>filestatus</w:t>
            </w:r>
            <w:r w:rsidRPr="006F6DAC">
              <w:rPr>
                <w:rFonts w:ascii="Garamond" w:hAnsi="Garamond"/>
                <w:sz w:val="22"/>
                <w:szCs w:val="22"/>
                <w:highlight w:val="yellow"/>
                <w:lang w:val="en-US"/>
              </w:rPr>
              <w:tab/>
              <w:t>CDATA</w:t>
            </w:r>
            <w:r w:rsidRPr="006F6DAC">
              <w:rPr>
                <w:rFonts w:ascii="Garamond" w:hAnsi="Garamond"/>
                <w:sz w:val="22"/>
                <w:szCs w:val="22"/>
                <w:highlight w:val="yellow"/>
                <w:lang w:val="en-US"/>
              </w:rPr>
              <w:tab/>
              <w:t>#REQUIRED</w:t>
            </w:r>
          </w:p>
          <w:p w14:paraId="24A46604" w14:textId="77777777" w:rsidR="00F11A8B" w:rsidRPr="006F6DAC" w:rsidRDefault="00F11A8B" w:rsidP="00F11A8B">
            <w:pPr>
              <w:rPr>
                <w:rFonts w:ascii="Garamond" w:hAnsi="Garamond"/>
                <w:sz w:val="22"/>
                <w:szCs w:val="22"/>
                <w:highlight w:val="yellow"/>
                <w:lang w:val="es-ES"/>
              </w:rPr>
            </w:pPr>
            <w:r w:rsidRPr="006F6DAC">
              <w:rPr>
                <w:rFonts w:ascii="Garamond" w:hAnsi="Garamond"/>
                <w:sz w:val="22"/>
                <w:szCs w:val="22"/>
                <w:highlight w:val="yellow"/>
                <w:lang w:val="en-US"/>
              </w:rPr>
              <w:tab/>
            </w:r>
            <w:r w:rsidRPr="006F6DAC">
              <w:rPr>
                <w:rFonts w:ascii="Garamond" w:hAnsi="Garamond"/>
                <w:sz w:val="22"/>
                <w:szCs w:val="22"/>
                <w:highlight w:val="yellow"/>
                <w:lang w:val="en-US"/>
              </w:rPr>
              <w:tab/>
            </w:r>
            <w:r w:rsidRPr="006F6DAC">
              <w:rPr>
                <w:rFonts w:ascii="Garamond" w:hAnsi="Garamond"/>
                <w:sz w:val="22"/>
                <w:szCs w:val="22"/>
                <w:highlight w:val="yellow"/>
                <w:lang w:val="es-ES"/>
              </w:rPr>
              <w:t>desc</w:t>
            </w:r>
            <w:r w:rsidRPr="006F6DAC">
              <w:rPr>
                <w:rFonts w:ascii="Garamond" w:hAnsi="Garamond"/>
                <w:sz w:val="22"/>
                <w:szCs w:val="22"/>
                <w:highlight w:val="yellow"/>
                <w:lang w:val="es-ES"/>
              </w:rPr>
              <w:tab/>
            </w:r>
            <w:r w:rsidRPr="006F6DAC">
              <w:rPr>
                <w:rFonts w:ascii="Garamond" w:hAnsi="Garamond"/>
                <w:sz w:val="22"/>
                <w:szCs w:val="22"/>
                <w:highlight w:val="yellow"/>
                <w:lang w:val="es-ES"/>
              </w:rPr>
              <w:tab/>
              <w:t>CDATA</w:t>
            </w:r>
            <w:r w:rsidRPr="006F6DAC">
              <w:rPr>
                <w:rFonts w:ascii="Garamond" w:hAnsi="Garamond"/>
                <w:sz w:val="22"/>
                <w:szCs w:val="22"/>
                <w:highlight w:val="yellow"/>
                <w:lang w:val="es-ES"/>
              </w:rPr>
              <w:tab/>
              <w:t>#IMPLIED</w:t>
            </w:r>
          </w:p>
          <w:p w14:paraId="51EA5DED" w14:textId="77777777" w:rsidR="00F11A8B" w:rsidRPr="006F6DAC" w:rsidRDefault="00F11A8B" w:rsidP="00F11A8B">
            <w:pPr>
              <w:rPr>
                <w:rFonts w:ascii="Garamond" w:hAnsi="Garamond"/>
                <w:sz w:val="22"/>
                <w:szCs w:val="22"/>
                <w:highlight w:val="yellow"/>
                <w:lang w:val="es-ES"/>
              </w:rPr>
            </w:pPr>
            <w:r w:rsidRPr="006F6DAC">
              <w:rPr>
                <w:rFonts w:ascii="Garamond" w:hAnsi="Garamond"/>
                <w:sz w:val="22"/>
                <w:szCs w:val="22"/>
                <w:highlight w:val="yellow"/>
                <w:lang w:val="es-ES"/>
              </w:rPr>
              <w:tab/>
              <w:t>&gt;</w:t>
            </w:r>
          </w:p>
          <w:p w14:paraId="272228F6" w14:textId="77777777" w:rsidR="00F11A8B" w:rsidRPr="006F6DAC" w:rsidRDefault="00F11A8B" w:rsidP="00F11A8B">
            <w:pPr>
              <w:rPr>
                <w:rFonts w:ascii="Garamond" w:hAnsi="Garamond"/>
                <w:sz w:val="22"/>
                <w:szCs w:val="22"/>
                <w:highlight w:val="yellow"/>
                <w:lang w:val="es-ES"/>
              </w:rPr>
            </w:pPr>
            <w:r w:rsidRPr="006F6DAC">
              <w:rPr>
                <w:rFonts w:ascii="Garamond" w:hAnsi="Garamond"/>
                <w:sz w:val="22"/>
                <w:szCs w:val="22"/>
                <w:highlight w:val="yellow"/>
                <w:lang w:val="es-ES"/>
              </w:rPr>
              <w:t>&lt;!ELEMENT error (#PCDATA)&gt;</w:t>
            </w:r>
          </w:p>
          <w:p w14:paraId="648A335E" w14:textId="77777777" w:rsidR="00F11A8B" w:rsidRPr="006F6DAC" w:rsidRDefault="00F11A8B" w:rsidP="00F11A8B">
            <w:pPr>
              <w:rPr>
                <w:rFonts w:ascii="Garamond" w:hAnsi="Garamond"/>
                <w:sz w:val="22"/>
                <w:szCs w:val="22"/>
                <w:highlight w:val="yellow"/>
                <w:lang w:val="en-US"/>
              </w:rPr>
            </w:pPr>
            <w:r w:rsidRPr="006F6DAC">
              <w:rPr>
                <w:rFonts w:ascii="Garamond" w:hAnsi="Garamond"/>
                <w:sz w:val="22"/>
                <w:szCs w:val="22"/>
                <w:highlight w:val="yellow"/>
                <w:lang w:val="es-ES"/>
              </w:rPr>
              <w:tab/>
            </w:r>
            <w:r w:rsidRPr="006F6DAC">
              <w:rPr>
                <w:rFonts w:ascii="Garamond" w:hAnsi="Garamond"/>
                <w:sz w:val="22"/>
                <w:szCs w:val="22"/>
                <w:highlight w:val="yellow"/>
                <w:lang w:val="en-US"/>
              </w:rPr>
              <w:t>&lt;!ATTLIST error</w:t>
            </w:r>
          </w:p>
          <w:p w14:paraId="24E17A5C" w14:textId="77777777" w:rsidR="00F11A8B" w:rsidRPr="006F6DAC" w:rsidRDefault="00F11A8B" w:rsidP="00F11A8B">
            <w:pPr>
              <w:rPr>
                <w:rFonts w:ascii="Garamond" w:hAnsi="Garamond"/>
                <w:sz w:val="22"/>
                <w:szCs w:val="22"/>
                <w:highlight w:val="yellow"/>
                <w:lang w:val="en-US"/>
              </w:rPr>
            </w:pPr>
            <w:r w:rsidRPr="006F6DAC">
              <w:rPr>
                <w:rFonts w:ascii="Garamond" w:hAnsi="Garamond"/>
                <w:sz w:val="22"/>
                <w:szCs w:val="22"/>
                <w:highlight w:val="yellow"/>
                <w:lang w:val="en-US"/>
              </w:rPr>
              <w:tab/>
            </w:r>
            <w:r w:rsidRPr="006F6DAC">
              <w:rPr>
                <w:rFonts w:ascii="Garamond" w:hAnsi="Garamond"/>
                <w:sz w:val="22"/>
                <w:szCs w:val="22"/>
                <w:highlight w:val="yellow"/>
                <w:lang w:val="en-US"/>
              </w:rPr>
              <w:tab/>
              <w:t>areacode</w:t>
            </w:r>
            <w:r w:rsidRPr="006F6DAC">
              <w:rPr>
                <w:rFonts w:ascii="Garamond" w:hAnsi="Garamond"/>
                <w:sz w:val="22"/>
                <w:szCs w:val="22"/>
                <w:highlight w:val="yellow"/>
                <w:lang w:val="en-US"/>
              </w:rPr>
              <w:tab/>
              <w:t>CDATA</w:t>
            </w:r>
            <w:r w:rsidRPr="006F6DAC">
              <w:rPr>
                <w:rFonts w:ascii="Garamond" w:hAnsi="Garamond"/>
                <w:sz w:val="22"/>
                <w:szCs w:val="22"/>
                <w:highlight w:val="yellow"/>
                <w:lang w:val="en-US"/>
              </w:rPr>
              <w:tab/>
              <w:t>#IMPLIED</w:t>
            </w:r>
          </w:p>
          <w:p w14:paraId="791FF3C2" w14:textId="77777777" w:rsidR="00F11A8B" w:rsidRPr="006F6DAC" w:rsidRDefault="00F11A8B" w:rsidP="00F11A8B">
            <w:pPr>
              <w:rPr>
                <w:rFonts w:ascii="Garamond" w:hAnsi="Garamond"/>
                <w:sz w:val="22"/>
                <w:szCs w:val="22"/>
                <w:highlight w:val="yellow"/>
                <w:lang w:val="en-US"/>
              </w:rPr>
            </w:pPr>
            <w:r w:rsidRPr="006F6DAC">
              <w:rPr>
                <w:rFonts w:ascii="Garamond" w:hAnsi="Garamond"/>
                <w:sz w:val="22"/>
                <w:szCs w:val="22"/>
                <w:highlight w:val="yellow"/>
                <w:lang w:val="en-US"/>
              </w:rPr>
              <w:tab/>
            </w:r>
            <w:r w:rsidRPr="006F6DAC">
              <w:rPr>
                <w:rFonts w:ascii="Garamond" w:hAnsi="Garamond"/>
                <w:sz w:val="22"/>
                <w:szCs w:val="22"/>
                <w:highlight w:val="yellow"/>
                <w:lang w:val="en-US"/>
              </w:rPr>
              <w:tab/>
              <w:t>type</w:t>
            </w:r>
            <w:r w:rsidRPr="006F6DAC">
              <w:rPr>
                <w:rFonts w:ascii="Garamond" w:hAnsi="Garamond"/>
                <w:sz w:val="22"/>
                <w:szCs w:val="22"/>
                <w:highlight w:val="yellow"/>
                <w:lang w:val="en-US"/>
              </w:rPr>
              <w:tab/>
            </w:r>
            <w:r w:rsidRPr="006F6DAC">
              <w:rPr>
                <w:rFonts w:ascii="Garamond" w:hAnsi="Garamond"/>
                <w:sz w:val="22"/>
                <w:szCs w:val="22"/>
                <w:highlight w:val="yellow"/>
                <w:lang w:val="en-US"/>
              </w:rPr>
              <w:tab/>
              <w:t>CDATA</w:t>
            </w:r>
            <w:r w:rsidRPr="006F6DAC">
              <w:rPr>
                <w:rFonts w:ascii="Garamond" w:hAnsi="Garamond"/>
                <w:sz w:val="22"/>
                <w:szCs w:val="22"/>
                <w:highlight w:val="yellow"/>
                <w:lang w:val="en-US"/>
              </w:rPr>
              <w:tab/>
              <w:t>#IMPLIED</w:t>
            </w:r>
          </w:p>
          <w:p w14:paraId="59D75F99" w14:textId="77777777" w:rsidR="00F11A8B" w:rsidRPr="006F6DAC" w:rsidRDefault="00F11A8B" w:rsidP="00F11A8B">
            <w:pPr>
              <w:rPr>
                <w:rFonts w:ascii="Garamond" w:hAnsi="Garamond"/>
                <w:sz w:val="22"/>
                <w:szCs w:val="22"/>
                <w:highlight w:val="yellow"/>
                <w:lang w:val="en-US"/>
              </w:rPr>
            </w:pPr>
            <w:r w:rsidRPr="006F6DAC">
              <w:rPr>
                <w:rFonts w:ascii="Garamond" w:hAnsi="Garamond"/>
                <w:sz w:val="22"/>
                <w:szCs w:val="22"/>
                <w:highlight w:val="yellow"/>
                <w:lang w:val="en-US"/>
              </w:rPr>
              <w:tab/>
            </w:r>
            <w:r w:rsidRPr="006F6DAC">
              <w:rPr>
                <w:rFonts w:ascii="Garamond" w:hAnsi="Garamond"/>
                <w:sz w:val="22"/>
                <w:szCs w:val="22"/>
                <w:highlight w:val="yellow"/>
                <w:lang w:val="en-US"/>
              </w:rPr>
              <w:tab/>
              <w:t>subtype</w:t>
            </w:r>
            <w:r w:rsidRPr="006F6DAC">
              <w:rPr>
                <w:rFonts w:ascii="Garamond" w:hAnsi="Garamond"/>
                <w:sz w:val="22"/>
                <w:szCs w:val="22"/>
                <w:highlight w:val="yellow"/>
                <w:lang w:val="en-US"/>
              </w:rPr>
              <w:tab/>
            </w:r>
            <w:r w:rsidRPr="006F6DAC">
              <w:rPr>
                <w:rFonts w:ascii="Garamond" w:hAnsi="Garamond"/>
                <w:sz w:val="22"/>
                <w:szCs w:val="22"/>
                <w:highlight w:val="yellow"/>
                <w:lang w:val="en-US"/>
              </w:rPr>
              <w:tab/>
              <w:t>CDATA</w:t>
            </w:r>
            <w:r w:rsidRPr="006F6DAC">
              <w:rPr>
                <w:rFonts w:ascii="Garamond" w:hAnsi="Garamond"/>
                <w:sz w:val="22"/>
                <w:szCs w:val="22"/>
                <w:highlight w:val="yellow"/>
                <w:lang w:val="en-US"/>
              </w:rPr>
              <w:tab/>
              <w:t>#IMPLIED</w:t>
            </w:r>
          </w:p>
          <w:p w14:paraId="367B4FD1" w14:textId="77777777" w:rsidR="00F11A8B" w:rsidRPr="006F6DAC" w:rsidRDefault="00F11A8B" w:rsidP="00F11A8B">
            <w:pPr>
              <w:rPr>
                <w:rFonts w:ascii="Garamond" w:hAnsi="Garamond"/>
                <w:sz w:val="22"/>
                <w:szCs w:val="22"/>
                <w:highlight w:val="yellow"/>
                <w:lang w:val="en-US"/>
              </w:rPr>
            </w:pPr>
            <w:r w:rsidRPr="006F6DAC">
              <w:rPr>
                <w:rFonts w:ascii="Garamond" w:hAnsi="Garamond"/>
                <w:sz w:val="22"/>
                <w:szCs w:val="22"/>
                <w:highlight w:val="yellow"/>
                <w:lang w:val="en-US"/>
              </w:rPr>
              <w:tab/>
              <w:t>&gt;</w:t>
            </w:r>
          </w:p>
          <w:p w14:paraId="33B1D999" w14:textId="77777777" w:rsidR="00F11A8B" w:rsidRPr="006F6DAC" w:rsidRDefault="00F11A8B" w:rsidP="00F11A8B">
            <w:pPr>
              <w:rPr>
                <w:rFonts w:ascii="Garamond" w:hAnsi="Garamond"/>
                <w:sz w:val="22"/>
                <w:szCs w:val="22"/>
                <w:highlight w:val="yellow"/>
                <w:lang w:val="en-US"/>
              </w:rPr>
            </w:pPr>
            <w:r w:rsidRPr="006F6DAC">
              <w:rPr>
                <w:rFonts w:ascii="Garamond" w:hAnsi="Garamond"/>
                <w:sz w:val="22"/>
                <w:szCs w:val="22"/>
                <w:highlight w:val="yellow"/>
                <w:lang w:val="en-US"/>
              </w:rPr>
              <w:t>&lt;!ELEMENT fileareas (area*)&gt;</w:t>
            </w:r>
          </w:p>
          <w:p w14:paraId="48F57FCC" w14:textId="77777777" w:rsidR="00F11A8B" w:rsidRPr="006F6DAC" w:rsidRDefault="00F11A8B" w:rsidP="00F11A8B">
            <w:pPr>
              <w:rPr>
                <w:rFonts w:ascii="Garamond" w:hAnsi="Garamond"/>
                <w:sz w:val="22"/>
                <w:szCs w:val="22"/>
                <w:highlight w:val="yellow"/>
                <w:lang w:val="en-US"/>
              </w:rPr>
            </w:pPr>
            <w:r w:rsidRPr="006F6DAC">
              <w:rPr>
                <w:rFonts w:ascii="Garamond" w:hAnsi="Garamond"/>
                <w:sz w:val="22"/>
                <w:szCs w:val="22"/>
                <w:highlight w:val="yellow"/>
                <w:lang w:val="en-US"/>
              </w:rPr>
              <w:t>&lt;!ELEMENT area (#PCDATA)&gt;</w:t>
            </w:r>
          </w:p>
          <w:p w14:paraId="0D349E50" w14:textId="77777777" w:rsidR="00F11A8B" w:rsidRPr="006F6DAC" w:rsidRDefault="00F11A8B" w:rsidP="00F11A8B">
            <w:pPr>
              <w:rPr>
                <w:rFonts w:ascii="Garamond" w:hAnsi="Garamond"/>
                <w:sz w:val="22"/>
                <w:szCs w:val="22"/>
                <w:highlight w:val="yellow"/>
                <w:lang w:val="en-US"/>
              </w:rPr>
            </w:pPr>
            <w:r w:rsidRPr="006F6DAC">
              <w:rPr>
                <w:rFonts w:ascii="Garamond" w:hAnsi="Garamond"/>
                <w:sz w:val="22"/>
                <w:szCs w:val="22"/>
                <w:highlight w:val="yellow"/>
                <w:lang w:val="en-US"/>
              </w:rPr>
              <w:tab/>
              <w:t>&lt;!ATTLIST area</w:t>
            </w:r>
          </w:p>
          <w:p w14:paraId="36AA1770" w14:textId="77777777" w:rsidR="00F11A8B" w:rsidRPr="006F6DAC" w:rsidRDefault="00F11A8B" w:rsidP="00F11A8B">
            <w:pPr>
              <w:rPr>
                <w:rFonts w:ascii="Garamond" w:hAnsi="Garamond"/>
                <w:sz w:val="22"/>
                <w:szCs w:val="22"/>
                <w:highlight w:val="yellow"/>
                <w:lang w:val="en-US"/>
              </w:rPr>
            </w:pPr>
            <w:r w:rsidRPr="006F6DAC">
              <w:rPr>
                <w:rFonts w:ascii="Garamond" w:hAnsi="Garamond"/>
                <w:sz w:val="22"/>
                <w:szCs w:val="22"/>
                <w:highlight w:val="yellow"/>
                <w:lang w:val="en-US"/>
              </w:rPr>
              <w:tab/>
            </w:r>
            <w:r w:rsidRPr="006F6DAC">
              <w:rPr>
                <w:rFonts w:ascii="Garamond" w:hAnsi="Garamond"/>
                <w:sz w:val="22"/>
                <w:szCs w:val="22"/>
                <w:highlight w:val="yellow"/>
                <w:lang w:val="en-US"/>
              </w:rPr>
              <w:tab/>
              <w:t>code</w:t>
            </w:r>
            <w:r w:rsidRPr="006F6DAC">
              <w:rPr>
                <w:rFonts w:ascii="Garamond" w:hAnsi="Garamond"/>
                <w:sz w:val="22"/>
                <w:szCs w:val="22"/>
                <w:highlight w:val="yellow"/>
                <w:lang w:val="en-US"/>
              </w:rPr>
              <w:tab/>
            </w:r>
            <w:r w:rsidRPr="006F6DAC">
              <w:rPr>
                <w:rFonts w:ascii="Garamond" w:hAnsi="Garamond"/>
                <w:sz w:val="22"/>
                <w:szCs w:val="22"/>
                <w:highlight w:val="yellow"/>
                <w:lang w:val="en-US"/>
              </w:rPr>
              <w:tab/>
              <w:t>CDATA</w:t>
            </w:r>
            <w:r w:rsidRPr="006F6DAC">
              <w:rPr>
                <w:rFonts w:ascii="Garamond" w:hAnsi="Garamond"/>
                <w:sz w:val="22"/>
                <w:szCs w:val="22"/>
                <w:highlight w:val="yellow"/>
                <w:lang w:val="en-US"/>
              </w:rPr>
              <w:tab/>
              <w:t>#REQUIRED</w:t>
            </w:r>
          </w:p>
          <w:p w14:paraId="3651FC41" w14:textId="77777777" w:rsidR="00F11A8B" w:rsidRPr="006F6DAC" w:rsidRDefault="00F11A8B" w:rsidP="00F11A8B">
            <w:pPr>
              <w:rPr>
                <w:rFonts w:ascii="Garamond" w:hAnsi="Garamond"/>
                <w:sz w:val="22"/>
                <w:szCs w:val="22"/>
                <w:highlight w:val="yellow"/>
                <w:lang w:val="en-US"/>
              </w:rPr>
            </w:pPr>
            <w:r w:rsidRPr="006F6DAC">
              <w:rPr>
                <w:rFonts w:ascii="Garamond" w:hAnsi="Garamond"/>
                <w:sz w:val="22"/>
                <w:szCs w:val="22"/>
                <w:highlight w:val="yellow"/>
                <w:lang w:val="en-US"/>
              </w:rPr>
              <w:tab/>
            </w:r>
            <w:r w:rsidRPr="006F6DAC">
              <w:rPr>
                <w:rFonts w:ascii="Garamond" w:hAnsi="Garamond"/>
                <w:sz w:val="22"/>
                <w:szCs w:val="22"/>
                <w:highlight w:val="yellow"/>
                <w:lang w:val="en-US"/>
              </w:rPr>
              <w:tab/>
              <w:t>status</w:t>
            </w:r>
            <w:r w:rsidRPr="006F6DAC">
              <w:rPr>
                <w:rFonts w:ascii="Garamond" w:hAnsi="Garamond"/>
                <w:sz w:val="22"/>
                <w:szCs w:val="22"/>
                <w:highlight w:val="yellow"/>
                <w:lang w:val="en-US"/>
              </w:rPr>
              <w:tab/>
            </w:r>
            <w:r w:rsidRPr="006F6DAC">
              <w:rPr>
                <w:rFonts w:ascii="Garamond" w:hAnsi="Garamond"/>
                <w:sz w:val="22"/>
                <w:szCs w:val="22"/>
                <w:highlight w:val="yellow"/>
                <w:lang w:val="en-US"/>
              </w:rPr>
              <w:tab/>
              <w:t>CDATA</w:t>
            </w:r>
            <w:r w:rsidRPr="006F6DAC">
              <w:rPr>
                <w:rFonts w:ascii="Garamond" w:hAnsi="Garamond"/>
                <w:sz w:val="22"/>
                <w:szCs w:val="22"/>
                <w:highlight w:val="yellow"/>
                <w:lang w:val="en-US"/>
              </w:rPr>
              <w:tab/>
              <w:t>#REQUIRED</w:t>
            </w:r>
          </w:p>
          <w:p w14:paraId="024717EB" w14:textId="77777777" w:rsidR="00F11A8B" w:rsidRPr="006F6DAC" w:rsidRDefault="00F11A8B" w:rsidP="00F11A8B">
            <w:pPr>
              <w:rPr>
                <w:rFonts w:ascii="Garamond" w:hAnsi="Garamond"/>
                <w:sz w:val="22"/>
                <w:szCs w:val="22"/>
                <w:highlight w:val="yellow"/>
                <w:lang w:val="en-US"/>
              </w:rPr>
            </w:pPr>
            <w:r w:rsidRPr="006F6DAC">
              <w:rPr>
                <w:rFonts w:ascii="Garamond" w:hAnsi="Garamond"/>
                <w:sz w:val="22"/>
                <w:szCs w:val="22"/>
                <w:highlight w:val="yellow"/>
                <w:lang w:val="en-US"/>
              </w:rPr>
              <w:tab/>
            </w:r>
            <w:r w:rsidRPr="006F6DAC">
              <w:rPr>
                <w:rFonts w:ascii="Garamond" w:hAnsi="Garamond"/>
                <w:sz w:val="22"/>
                <w:szCs w:val="22"/>
                <w:highlight w:val="yellow"/>
                <w:lang w:val="en-US"/>
              </w:rPr>
              <w:tab/>
              <w:t>desc</w:t>
            </w:r>
            <w:r w:rsidRPr="006F6DAC">
              <w:rPr>
                <w:rFonts w:ascii="Garamond" w:hAnsi="Garamond"/>
                <w:sz w:val="22"/>
                <w:szCs w:val="22"/>
                <w:highlight w:val="yellow"/>
                <w:lang w:val="en-US"/>
              </w:rPr>
              <w:tab/>
            </w:r>
            <w:r w:rsidRPr="006F6DAC">
              <w:rPr>
                <w:rFonts w:ascii="Garamond" w:hAnsi="Garamond"/>
                <w:sz w:val="22"/>
                <w:szCs w:val="22"/>
                <w:highlight w:val="yellow"/>
                <w:lang w:val="en-US"/>
              </w:rPr>
              <w:tab/>
              <w:t>CDATA</w:t>
            </w:r>
            <w:r w:rsidRPr="006F6DAC">
              <w:rPr>
                <w:rFonts w:ascii="Garamond" w:hAnsi="Garamond"/>
                <w:sz w:val="22"/>
                <w:szCs w:val="22"/>
                <w:highlight w:val="yellow"/>
                <w:lang w:val="en-US"/>
              </w:rPr>
              <w:tab/>
              <w:t>#IMPLIED</w:t>
            </w:r>
          </w:p>
          <w:p w14:paraId="7C6D3EBA" w14:textId="77777777" w:rsidR="00F11A8B" w:rsidRPr="006F6DAC" w:rsidRDefault="00F11A8B" w:rsidP="00F11A8B">
            <w:pPr>
              <w:rPr>
                <w:rFonts w:ascii="Garamond" w:hAnsi="Garamond"/>
                <w:sz w:val="22"/>
                <w:szCs w:val="22"/>
                <w:highlight w:val="yellow"/>
                <w:lang w:val="en-US"/>
              </w:rPr>
            </w:pPr>
            <w:r w:rsidRPr="006F6DAC">
              <w:rPr>
                <w:rFonts w:ascii="Garamond" w:hAnsi="Garamond"/>
                <w:sz w:val="22"/>
                <w:szCs w:val="22"/>
                <w:highlight w:val="yellow"/>
                <w:lang w:val="en-US"/>
              </w:rPr>
              <w:tab/>
            </w:r>
            <w:r w:rsidRPr="006F6DAC">
              <w:rPr>
                <w:rFonts w:ascii="Garamond" w:hAnsi="Garamond"/>
                <w:sz w:val="22"/>
                <w:szCs w:val="22"/>
                <w:highlight w:val="yellow"/>
                <w:lang w:val="en-US"/>
              </w:rPr>
              <w:tab/>
              <w:t>fromfile</w:t>
            </w:r>
            <w:r w:rsidRPr="006F6DAC">
              <w:rPr>
                <w:rFonts w:ascii="Garamond" w:hAnsi="Garamond"/>
                <w:sz w:val="22"/>
                <w:szCs w:val="22"/>
                <w:highlight w:val="yellow"/>
                <w:lang w:val="en-US"/>
              </w:rPr>
              <w:tab/>
            </w:r>
            <w:r w:rsidRPr="006F6DAC">
              <w:rPr>
                <w:rFonts w:ascii="Garamond" w:hAnsi="Garamond"/>
                <w:sz w:val="22"/>
                <w:szCs w:val="22"/>
                <w:highlight w:val="yellow"/>
                <w:lang w:val="en-US"/>
              </w:rPr>
              <w:tab/>
              <w:t>CDATA</w:t>
            </w:r>
            <w:r w:rsidRPr="006F6DAC">
              <w:rPr>
                <w:rFonts w:ascii="Garamond" w:hAnsi="Garamond"/>
                <w:sz w:val="22"/>
                <w:szCs w:val="22"/>
                <w:highlight w:val="yellow"/>
                <w:lang w:val="en-US"/>
              </w:rPr>
              <w:tab/>
              <w:t>#IMPLIED</w:t>
            </w:r>
          </w:p>
          <w:p w14:paraId="060C53CC" w14:textId="77777777" w:rsidR="00F11A8B" w:rsidRPr="006F6DAC" w:rsidRDefault="00F11A8B" w:rsidP="00F11A8B">
            <w:pPr>
              <w:rPr>
                <w:rFonts w:ascii="Garamond" w:hAnsi="Garamond"/>
                <w:sz w:val="22"/>
                <w:szCs w:val="22"/>
                <w:highlight w:val="yellow"/>
                <w:lang w:val="en-US"/>
              </w:rPr>
            </w:pPr>
            <w:r w:rsidRPr="006F6DAC">
              <w:rPr>
                <w:rFonts w:ascii="Garamond" w:hAnsi="Garamond"/>
                <w:sz w:val="22"/>
                <w:szCs w:val="22"/>
                <w:highlight w:val="yellow"/>
                <w:lang w:val="en-US"/>
              </w:rPr>
              <w:tab/>
              <w:t>&gt;</w:t>
            </w:r>
          </w:p>
          <w:p w14:paraId="21F764A5" w14:textId="77777777" w:rsidR="00F11A8B" w:rsidRPr="006F6DAC" w:rsidRDefault="00F11A8B" w:rsidP="00F11A8B">
            <w:pPr>
              <w:rPr>
                <w:rFonts w:ascii="Garamond" w:hAnsi="Garamond"/>
                <w:sz w:val="22"/>
                <w:szCs w:val="22"/>
                <w:highlight w:val="yellow"/>
                <w:lang w:val="en-US"/>
              </w:rPr>
            </w:pPr>
            <w:r w:rsidRPr="006F6DAC">
              <w:rPr>
                <w:rFonts w:ascii="Garamond" w:hAnsi="Garamond"/>
                <w:sz w:val="22"/>
                <w:szCs w:val="22"/>
                <w:highlight w:val="yellow"/>
                <w:lang w:val="en-US"/>
              </w:rPr>
              <w:lastRenderedPageBreak/>
              <w:t>&lt;!ELEMENT currentstate (area*)&gt;</w:t>
            </w:r>
          </w:p>
          <w:p w14:paraId="2ADCD5E0" w14:textId="77777777" w:rsidR="00F11A8B" w:rsidRPr="006F6DAC" w:rsidRDefault="00F11A8B" w:rsidP="00F11A8B">
            <w:pPr>
              <w:rPr>
                <w:rFonts w:ascii="Garamond" w:hAnsi="Garamond"/>
                <w:sz w:val="22"/>
                <w:szCs w:val="22"/>
                <w:highlight w:val="yellow"/>
                <w:lang w:val="en-US"/>
              </w:rPr>
            </w:pPr>
            <w:r w:rsidRPr="006F6DAC">
              <w:rPr>
                <w:rFonts w:ascii="Garamond" w:hAnsi="Garamond"/>
                <w:sz w:val="22"/>
                <w:szCs w:val="22"/>
                <w:highlight w:val="yellow"/>
                <w:lang w:val="en-US"/>
              </w:rPr>
              <w:tab/>
              <w:t>&lt;!ATTLIST currentstate</w:t>
            </w:r>
          </w:p>
          <w:p w14:paraId="7505B43C" w14:textId="77777777" w:rsidR="00F11A8B" w:rsidRPr="006F6DAC" w:rsidRDefault="00F11A8B" w:rsidP="00F11A8B">
            <w:pPr>
              <w:rPr>
                <w:rFonts w:ascii="Garamond" w:hAnsi="Garamond"/>
                <w:sz w:val="22"/>
                <w:szCs w:val="22"/>
                <w:highlight w:val="yellow"/>
                <w:lang w:val="en-US"/>
              </w:rPr>
            </w:pPr>
            <w:r w:rsidRPr="006F6DAC">
              <w:rPr>
                <w:rFonts w:ascii="Garamond" w:hAnsi="Garamond"/>
                <w:sz w:val="22"/>
                <w:szCs w:val="22"/>
                <w:highlight w:val="yellow"/>
                <w:lang w:val="en-US"/>
              </w:rPr>
              <w:tab/>
            </w:r>
            <w:r w:rsidRPr="006F6DAC">
              <w:rPr>
                <w:rFonts w:ascii="Garamond" w:hAnsi="Garamond"/>
                <w:sz w:val="22"/>
                <w:szCs w:val="22"/>
                <w:highlight w:val="yellow"/>
                <w:lang w:val="en-US"/>
              </w:rPr>
              <w:tab/>
              <w:t>forsender</w:t>
            </w:r>
            <w:r w:rsidRPr="006F6DAC">
              <w:rPr>
                <w:rFonts w:ascii="Garamond" w:hAnsi="Garamond"/>
                <w:sz w:val="22"/>
                <w:szCs w:val="22"/>
                <w:highlight w:val="yellow"/>
                <w:lang w:val="en-US"/>
              </w:rPr>
              <w:tab/>
              <w:t>CDATA</w:t>
            </w:r>
            <w:r w:rsidRPr="006F6DAC">
              <w:rPr>
                <w:rFonts w:ascii="Garamond" w:hAnsi="Garamond"/>
                <w:sz w:val="22"/>
                <w:szCs w:val="22"/>
                <w:highlight w:val="yellow"/>
                <w:lang w:val="en-US"/>
              </w:rPr>
              <w:tab/>
              <w:t>#REQUIRED</w:t>
            </w:r>
          </w:p>
          <w:p w14:paraId="76E05509" w14:textId="77777777" w:rsidR="00F11A8B" w:rsidRPr="006F6DAC" w:rsidRDefault="00F11A8B" w:rsidP="00F11A8B">
            <w:pPr>
              <w:rPr>
                <w:rFonts w:ascii="Garamond" w:hAnsi="Garamond"/>
                <w:sz w:val="22"/>
                <w:szCs w:val="22"/>
                <w:highlight w:val="yellow"/>
                <w:lang w:val="en-US"/>
              </w:rPr>
            </w:pPr>
            <w:r w:rsidRPr="006F6DAC">
              <w:rPr>
                <w:rFonts w:ascii="Garamond" w:hAnsi="Garamond"/>
                <w:sz w:val="22"/>
                <w:szCs w:val="22"/>
                <w:highlight w:val="yellow"/>
                <w:lang w:val="en-US"/>
              </w:rPr>
              <w:tab/>
            </w:r>
            <w:r w:rsidRPr="006F6DAC">
              <w:rPr>
                <w:rFonts w:ascii="Garamond" w:hAnsi="Garamond"/>
                <w:sz w:val="22"/>
                <w:szCs w:val="22"/>
                <w:highlight w:val="yellow"/>
                <w:lang w:val="en-US"/>
              </w:rPr>
              <w:tab/>
              <w:t>fordate</w:t>
            </w:r>
            <w:r w:rsidRPr="006F6DAC">
              <w:rPr>
                <w:rFonts w:ascii="Garamond" w:hAnsi="Garamond"/>
                <w:sz w:val="22"/>
                <w:szCs w:val="22"/>
                <w:highlight w:val="yellow"/>
                <w:lang w:val="en-US"/>
              </w:rPr>
              <w:tab/>
            </w:r>
            <w:r w:rsidRPr="006F6DAC">
              <w:rPr>
                <w:rFonts w:ascii="Garamond" w:hAnsi="Garamond"/>
                <w:sz w:val="22"/>
                <w:szCs w:val="22"/>
                <w:highlight w:val="yellow"/>
                <w:lang w:val="en-US"/>
              </w:rPr>
              <w:tab/>
              <w:t>CDATA</w:t>
            </w:r>
            <w:r w:rsidRPr="006F6DAC">
              <w:rPr>
                <w:rFonts w:ascii="Garamond" w:hAnsi="Garamond"/>
                <w:sz w:val="22"/>
                <w:szCs w:val="22"/>
                <w:highlight w:val="yellow"/>
                <w:lang w:val="en-US"/>
              </w:rPr>
              <w:tab/>
              <w:t>#REQUIRED</w:t>
            </w:r>
          </w:p>
          <w:p w14:paraId="172B2233" w14:textId="77777777" w:rsidR="00F11A8B" w:rsidRPr="006F6DAC" w:rsidRDefault="00F11A8B" w:rsidP="00F11A8B">
            <w:pPr>
              <w:rPr>
                <w:rFonts w:ascii="Garamond" w:hAnsi="Garamond"/>
                <w:sz w:val="22"/>
                <w:szCs w:val="22"/>
                <w:highlight w:val="yellow"/>
                <w:lang w:val="en-US"/>
              </w:rPr>
            </w:pPr>
            <w:r w:rsidRPr="006F6DAC">
              <w:rPr>
                <w:rFonts w:ascii="Garamond" w:hAnsi="Garamond"/>
                <w:sz w:val="22"/>
                <w:szCs w:val="22"/>
                <w:highlight w:val="yellow"/>
                <w:lang w:val="en-US"/>
              </w:rPr>
              <w:tab/>
            </w:r>
            <w:r w:rsidRPr="006F6DAC">
              <w:rPr>
                <w:rFonts w:ascii="Garamond" w:hAnsi="Garamond"/>
                <w:sz w:val="22"/>
                <w:szCs w:val="22"/>
                <w:highlight w:val="yellow"/>
                <w:lang w:val="en-US"/>
              </w:rPr>
              <w:tab/>
              <w:t>desc</w:t>
            </w:r>
            <w:r w:rsidRPr="006F6DAC">
              <w:rPr>
                <w:rFonts w:ascii="Garamond" w:hAnsi="Garamond"/>
                <w:sz w:val="22"/>
                <w:szCs w:val="22"/>
                <w:highlight w:val="yellow"/>
                <w:lang w:val="en-US"/>
              </w:rPr>
              <w:tab/>
            </w:r>
            <w:r w:rsidRPr="006F6DAC">
              <w:rPr>
                <w:rFonts w:ascii="Garamond" w:hAnsi="Garamond"/>
                <w:sz w:val="22"/>
                <w:szCs w:val="22"/>
                <w:highlight w:val="yellow"/>
                <w:lang w:val="en-US"/>
              </w:rPr>
              <w:tab/>
              <w:t>CDATA</w:t>
            </w:r>
            <w:r w:rsidRPr="006F6DAC">
              <w:rPr>
                <w:rFonts w:ascii="Garamond" w:hAnsi="Garamond"/>
                <w:sz w:val="22"/>
                <w:szCs w:val="22"/>
                <w:highlight w:val="yellow"/>
                <w:lang w:val="en-US"/>
              </w:rPr>
              <w:tab/>
              <w:t>#IMPLIED</w:t>
            </w:r>
          </w:p>
          <w:p w14:paraId="6CCBAF9A" w14:textId="77777777" w:rsidR="00F11A8B" w:rsidRPr="006F6DAC" w:rsidRDefault="00F11A8B" w:rsidP="00F11A8B">
            <w:pPr>
              <w:rPr>
                <w:rFonts w:ascii="Garamond" w:hAnsi="Garamond"/>
                <w:sz w:val="22"/>
                <w:szCs w:val="22"/>
              </w:rPr>
            </w:pPr>
            <w:r w:rsidRPr="006F6DAC">
              <w:rPr>
                <w:rFonts w:ascii="Garamond" w:hAnsi="Garamond"/>
                <w:sz w:val="22"/>
                <w:szCs w:val="22"/>
                <w:highlight w:val="yellow"/>
                <w:lang w:val="en-US"/>
              </w:rPr>
              <w:tab/>
            </w:r>
            <w:r w:rsidRPr="006F6DAC">
              <w:rPr>
                <w:rFonts w:ascii="Garamond" w:hAnsi="Garamond"/>
                <w:sz w:val="22"/>
                <w:szCs w:val="22"/>
                <w:highlight w:val="yellow"/>
              </w:rPr>
              <w:t>&gt;</w:t>
            </w:r>
          </w:p>
        </w:tc>
        <w:tc>
          <w:tcPr>
            <w:tcW w:w="7115" w:type="dxa"/>
          </w:tcPr>
          <w:p w14:paraId="5D1CA62C" w14:textId="77777777" w:rsidR="00F11A8B" w:rsidRPr="006F6DAC" w:rsidRDefault="00F11A8B" w:rsidP="00F11A8B">
            <w:pPr>
              <w:tabs>
                <w:tab w:val="left" w:pos="1080"/>
              </w:tabs>
              <w:spacing w:before="120" w:after="120"/>
              <w:jc w:val="both"/>
              <w:rPr>
                <w:rFonts w:ascii="Garamond" w:hAnsi="Garamond"/>
                <w:b/>
                <w:bCs/>
                <w:color w:val="000000"/>
                <w:sz w:val="22"/>
                <w:szCs w:val="22"/>
                <w:highlight w:val="yellow"/>
              </w:rPr>
            </w:pPr>
            <w:r w:rsidRPr="006F6DAC">
              <w:rPr>
                <w:rFonts w:ascii="Garamond" w:hAnsi="Garamond"/>
                <w:b/>
                <w:sz w:val="22"/>
                <w:szCs w:val="22"/>
                <w:lang w:eastAsia="en-US"/>
              </w:rPr>
              <w:lastRenderedPageBreak/>
              <w:t>Исключить приложение с последующим изменением нумерации</w:t>
            </w:r>
          </w:p>
        </w:tc>
      </w:tr>
      <w:tr w:rsidR="00F11A8B" w:rsidRPr="006F6DAC" w14:paraId="653287EE" w14:textId="77777777" w:rsidTr="006F6DAC">
        <w:tc>
          <w:tcPr>
            <w:tcW w:w="1060" w:type="dxa"/>
          </w:tcPr>
          <w:p w14:paraId="728736DF" w14:textId="77777777" w:rsidR="00F11A8B" w:rsidRPr="006F6DAC" w:rsidRDefault="00F11A8B" w:rsidP="00F11A8B">
            <w:pPr>
              <w:widowControl w:val="0"/>
              <w:spacing w:line="259" w:lineRule="auto"/>
              <w:jc w:val="center"/>
              <w:rPr>
                <w:rFonts w:ascii="Garamond" w:hAnsi="Garamond"/>
                <w:b/>
                <w:sz w:val="22"/>
                <w:szCs w:val="22"/>
                <w:lang w:eastAsia="en-US"/>
              </w:rPr>
            </w:pPr>
            <w:r w:rsidRPr="006F6DAC">
              <w:rPr>
                <w:rFonts w:ascii="Garamond" w:hAnsi="Garamond"/>
                <w:b/>
                <w:sz w:val="22"/>
                <w:szCs w:val="22"/>
                <w:lang w:eastAsia="en-US"/>
              </w:rPr>
              <w:t>Приложение 4</w:t>
            </w:r>
          </w:p>
        </w:tc>
        <w:tc>
          <w:tcPr>
            <w:tcW w:w="6804" w:type="dxa"/>
          </w:tcPr>
          <w:p w14:paraId="4850F07D" w14:textId="77777777" w:rsidR="00F11A8B" w:rsidRPr="006F6DAC" w:rsidRDefault="00F11A8B" w:rsidP="00F11A8B">
            <w:pPr>
              <w:pStyle w:val="10"/>
              <w:jc w:val="right"/>
              <w:rPr>
                <w:rFonts w:ascii="Garamond" w:hAnsi="Garamond"/>
                <w:sz w:val="22"/>
                <w:szCs w:val="22"/>
              </w:rPr>
            </w:pPr>
            <w:r w:rsidRPr="006F6DAC">
              <w:rPr>
                <w:rFonts w:ascii="Garamond" w:hAnsi="Garamond"/>
                <w:sz w:val="22"/>
                <w:szCs w:val="22"/>
              </w:rPr>
              <w:t xml:space="preserve">Приложение </w:t>
            </w:r>
            <w:r w:rsidRPr="006F6DAC">
              <w:rPr>
                <w:rFonts w:ascii="Garamond" w:hAnsi="Garamond"/>
                <w:sz w:val="22"/>
                <w:szCs w:val="22"/>
                <w:highlight w:val="yellow"/>
              </w:rPr>
              <w:t>4</w:t>
            </w:r>
            <w:r w:rsidRPr="006F6DAC">
              <w:rPr>
                <w:rFonts w:ascii="Garamond" w:hAnsi="Garamond"/>
                <w:sz w:val="22"/>
                <w:szCs w:val="22"/>
              </w:rPr>
              <w:t xml:space="preserve"> </w:t>
            </w:r>
          </w:p>
          <w:p w14:paraId="6426BF67" w14:textId="77777777" w:rsidR="00F11A8B" w:rsidRPr="006F6DAC" w:rsidRDefault="00F11A8B" w:rsidP="00F11A8B">
            <w:pPr>
              <w:pStyle w:val="10"/>
              <w:rPr>
                <w:rFonts w:ascii="Garamond" w:hAnsi="Garamond"/>
                <w:sz w:val="22"/>
                <w:szCs w:val="22"/>
              </w:rPr>
            </w:pPr>
            <w:r w:rsidRPr="006F6DAC">
              <w:rPr>
                <w:rFonts w:ascii="Garamond" w:hAnsi="Garamond"/>
                <w:sz w:val="22"/>
                <w:szCs w:val="22"/>
              </w:rPr>
              <w:t>Пример ответного сообщения формата 80021</w:t>
            </w:r>
            <w:r w:rsidRPr="006F6DAC">
              <w:rPr>
                <w:rFonts w:ascii="Garamond" w:hAnsi="Garamond"/>
                <w:color w:val="000000"/>
                <w:sz w:val="22"/>
                <w:szCs w:val="22"/>
              </w:rPr>
              <w:t xml:space="preserve"> </w:t>
            </w:r>
            <w:r w:rsidRPr="006F6DAC">
              <w:rPr>
                <w:rFonts w:ascii="Garamond" w:hAnsi="Garamond"/>
                <w:color w:val="000000"/>
                <w:sz w:val="22"/>
                <w:szCs w:val="22"/>
                <w:highlight w:val="yellow"/>
              </w:rPr>
              <w:t>и 80041</w:t>
            </w:r>
          </w:p>
          <w:p w14:paraId="3D89C402" w14:textId="77777777" w:rsidR="00F11A8B" w:rsidRPr="006F6DAC" w:rsidRDefault="00F11A8B" w:rsidP="00F11A8B">
            <w:pPr>
              <w:rPr>
                <w:rFonts w:ascii="Garamond" w:hAnsi="Garamond"/>
                <w:sz w:val="22"/>
                <w:szCs w:val="22"/>
              </w:rPr>
            </w:pPr>
          </w:p>
          <w:p w14:paraId="693168A6" w14:textId="77777777" w:rsidR="00F11A8B" w:rsidRPr="006F6DAC" w:rsidRDefault="00F11A8B" w:rsidP="00F11A8B">
            <w:pPr>
              <w:pStyle w:val="aff8"/>
              <w:rPr>
                <w:rFonts w:ascii="Garamond" w:hAnsi="Garamond"/>
                <w:sz w:val="22"/>
                <w:szCs w:val="22"/>
                <w:lang w:val="en-US"/>
              </w:rPr>
            </w:pPr>
            <w:r w:rsidRPr="006F6DAC">
              <w:rPr>
                <w:rFonts w:ascii="Garamond" w:hAnsi="Garamond"/>
                <w:sz w:val="22"/>
                <w:szCs w:val="22"/>
                <w:lang w:val="en-US"/>
              </w:rPr>
              <w:t>&lt;?xml version="1.0" encoding="windows-1251"?&gt;</w:t>
            </w:r>
          </w:p>
          <w:p w14:paraId="2788A609" w14:textId="77777777" w:rsidR="00F11A8B" w:rsidRPr="006F6DAC" w:rsidRDefault="00F11A8B" w:rsidP="00F11A8B">
            <w:pPr>
              <w:pStyle w:val="aff8"/>
              <w:rPr>
                <w:rFonts w:ascii="Garamond" w:hAnsi="Garamond"/>
                <w:sz w:val="22"/>
                <w:szCs w:val="22"/>
                <w:lang w:val="en-US"/>
              </w:rPr>
            </w:pPr>
            <w:r w:rsidRPr="006F6DAC">
              <w:rPr>
                <w:rFonts w:ascii="Garamond" w:hAnsi="Garamond"/>
                <w:sz w:val="22"/>
                <w:szCs w:val="22"/>
                <w:lang w:val="en-US"/>
              </w:rPr>
              <w:t>&lt;message class="80021" version="2" id="" datetime="20060428104355"&gt;</w:t>
            </w:r>
          </w:p>
          <w:p w14:paraId="4056792B" w14:textId="77777777" w:rsidR="00F11A8B" w:rsidRPr="006F6DAC" w:rsidRDefault="00F11A8B" w:rsidP="00F11A8B">
            <w:pPr>
              <w:pStyle w:val="aff8"/>
              <w:rPr>
                <w:rFonts w:ascii="Garamond" w:hAnsi="Garamond"/>
                <w:sz w:val="22"/>
                <w:szCs w:val="22"/>
                <w:lang w:val="en-US"/>
              </w:rPr>
            </w:pPr>
            <w:r w:rsidRPr="006F6DAC">
              <w:rPr>
                <w:rFonts w:ascii="Garamond" w:hAnsi="Garamond"/>
                <w:sz w:val="22"/>
                <w:szCs w:val="22"/>
                <w:lang w:val="en-US"/>
              </w:rPr>
              <w:t>&lt;file&gt;</w:t>
            </w:r>
          </w:p>
          <w:p w14:paraId="50732E8D" w14:textId="77777777" w:rsidR="00F11A8B" w:rsidRPr="006F6DAC" w:rsidRDefault="00F11A8B" w:rsidP="00F11A8B">
            <w:pPr>
              <w:pStyle w:val="aff8"/>
              <w:rPr>
                <w:rFonts w:ascii="Garamond" w:hAnsi="Garamond"/>
                <w:sz w:val="22"/>
                <w:szCs w:val="22"/>
                <w:lang w:val="en-US"/>
              </w:rPr>
            </w:pPr>
            <w:r w:rsidRPr="006F6DAC">
              <w:rPr>
                <w:rFonts w:ascii="Garamond" w:hAnsi="Garamond"/>
                <w:sz w:val="22"/>
                <w:szCs w:val="22"/>
                <w:lang w:val="en-US"/>
              </w:rPr>
              <w:tab/>
              <w:t>&lt;fromaddr&gt;&lt;![CDATA[a@b.c]]&gt;&lt;/fromaddr&gt;</w:t>
            </w:r>
          </w:p>
          <w:p w14:paraId="6DCDBF72" w14:textId="77777777" w:rsidR="00F11A8B" w:rsidRPr="006F6DAC" w:rsidRDefault="00F11A8B" w:rsidP="00F11A8B">
            <w:pPr>
              <w:pStyle w:val="aff8"/>
              <w:rPr>
                <w:rFonts w:ascii="Garamond" w:hAnsi="Garamond"/>
                <w:sz w:val="22"/>
                <w:szCs w:val="22"/>
                <w:lang w:val="en-US"/>
              </w:rPr>
            </w:pPr>
            <w:r w:rsidRPr="006F6DAC">
              <w:rPr>
                <w:rFonts w:ascii="Garamond" w:hAnsi="Garamond"/>
                <w:sz w:val="22"/>
                <w:szCs w:val="22"/>
                <w:lang w:val="en-US"/>
              </w:rPr>
              <w:tab/>
              <w:t>&lt;name&gt;80020_1234567890_20060427_347.xml&lt;/name&gt;</w:t>
            </w:r>
          </w:p>
          <w:p w14:paraId="09366BA8" w14:textId="77777777" w:rsidR="00F11A8B" w:rsidRPr="006F6DAC" w:rsidRDefault="00F11A8B" w:rsidP="00F11A8B">
            <w:pPr>
              <w:pStyle w:val="aff8"/>
              <w:rPr>
                <w:rFonts w:ascii="Garamond" w:hAnsi="Garamond"/>
                <w:sz w:val="22"/>
                <w:szCs w:val="22"/>
                <w:lang w:val="en-US"/>
              </w:rPr>
            </w:pPr>
            <w:r w:rsidRPr="006F6DAC">
              <w:rPr>
                <w:rFonts w:ascii="Garamond" w:hAnsi="Garamond"/>
                <w:sz w:val="22"/>
                <w:szCs w:val="22"/>
                <w:lang w:val="en-US"/>
              </w:rPr>
              <w:tab/>
              <w:t>&lt;sender&gt;1234567890&lt;/sender&gt;</w:t>
            </w:r>
          </w:p>
          <w:p w14:paraId="07CCCD99" w14:textId="77777777" w:rsidR="00F11A8B" w:rsidRPr="006F6DAC" w:rsidRDefault="00F11A8B" w:rsidP="00F11A8B">
            <w:pPr>
              <w:pStyle w:val="aff8"/>
              <w:rPr>
                <w:rFonts w:ascii="Garamond" w:hAnsi="Garamond"/>
                <w:sz w:val="22"/>
                <w:szCs w:val="22"/>
                <w:lang w:val="en-US"/>
              </w:rPr>
            </w:pPr>
            <w:r w:rsidRPr="006F6DAC">
              <w:rPr>
                <w:rFonts w:ascii="Garamond" w:hAnsi="Garamond"/>
                <w:sz w:val="22"/>
                <w:szCs w:val="22"/>
                <w:lang w:val="en-US"/>
              </w:rPr>
              <w:tab/>
              <w:t>&lt;day&gt;20060427&lt;/day&gt;</w:t>
            </w:r>
          </w:p>
          <w:p w14:paraId="56F81796" w14:textId="77777777" w:rsidR="00F11A8B" w:rsidRPr="006F6DAC" w:rsidRDefault="00F11A8B" w:rsidP="00F11A8B">
            <w:pPr>
              <w:pStyle w:val="aff8"/>
              <w:rPr>
                <w:rFonts w:ascii="Garamond" w:hAnsi="Garamond"/>
                <w:sz w:val="22"/>
                <w:szCs w:val="22"/>
                <w:lang w:val="en-US"/>
              </w:rPr>
            </w:pPr>
            <w:r w:rsidRPr="006F6DAC">
              <w:rPr>
                <w:rFonts w:ascii="Garamond" w:hAnsi="Garamond"/>
                <w:sz w:val="22"/>
                <w:szCs w:val="22"/>
                <w:lang w:val="en-US"/>
              </w:rPr>
              <w:tab/>
              <w:t>&lt;id&gt;22222&lt;/id&gt;</w:t>
            </w:r>
          </w:p>
          <w:p w14:paraId="06ADA765" w14:textId="77777777" w:rsidR="00F11A8B" w:rsidRPr="006F6DAC" w:rsidRDefault="00F11A8B" w:rsidP="00F11A8B">
            <w:pPr>
              <w:pStyle w:val="aff8"/>
              <w:rPr>
                <w:rFonts w:ascii="Garamond" w:hAnsi="Garamond"/>
                <w:sz w:val="22"/>
                <w:szCs w:val="22"/>
                <w:lang w:val="en-US"/>
              </w:rPr>
            </w:pPr>
            <w:r w:rsidRPr="006F6DAC">
              <w:rPr>
                <w:rFonts w:ascii="Garamond" w:hAnsi="Garamond"/>
                <w:sz w:val="22"/>
                <w:szCs w:val="22"/>
                <w:lang w:val="en-US"/>
              </w:rPr>
              <w:tab/>
              <w:t>&lt;received&gt;20060428104229&lt;/received&gt;</w:t>
            </w:r>
          </w:p>
          <w:p w14:paraId="4EFB6F42" w14:textId="77777777" w:rsidR="00F11A8B" w:rsidRPr="006F6DAC" w:rsidRDefault="00F11A8B" w:rsidP="00F11A8B">
            <w:pPr>
              <w:pStyle w:val="aff8"/>
              <w:rPr>
                <w:rFonts w:ascii="Garamond" w:hAnsi="Garamond"/>
                <w:sz w:val="22"/>
                <w:szCs w:val="22"/>
                <w:lang w:val="en-US"/>
              </w:rPr>
            </w:pPr>
            <w:r w:rsidRPr="006F6DAC">
              <w:rPr>
                <w:rFonts w:ascii="Garamond" w:hAnsi="Garamond"/>
                <w:sz w:val="22"/>
                <w:szCs w:val="22"/>
                <w:lang w:val="en-US"/>
              </w:rPr>
              <w:t>&lt;/file&gt;</w:t>
            </w:r>
          </w:p>
          <w:p w14:paraId="1EE81F34" w14:textId="77777777" w:rsidR="00F11A8B" w:rsidRPr="006F6DAC" w:rsidRDefault="00F11A8B" w:rsidP="00F11A8B">
            <w:pPr>
              <w:pStyle w:val="aff8"/>
              <w:rPr>
                <w:rFonts w:ascii="Garamond" w:hAnsi="Garamond"/>
                <w:sz w:val="22"/>
                <w:szCs w:val="22"/>
                <w:lang w:val="en-US"/>
              </w:rPr>
            </w:pPr>
            <w:r w:rsidRPr="006F6DAC">
              <w:rPr>
                <w:rFonts w:ascii="Garamond" w:hAnsi="Garamond"/>
                <w:sz w:val="22"/>
                <w:szCs w:val="22"/>
                <w:lang w:val="en-US"/>
              </w:rPr>
              <w:t>&lt;reply filestatus="0" desc="</w:t>
            </w:r>
            <w:r w:rsidRPr="006F6DAC">
              <w:rPr>
                <w:rFonts w:ascii="Garamond" w:hAnsi="Garamond"/>
                <w:sz w:val="22"/>
                <w:szCs w:val="22"/>
              </w:rPr>
              <w:t>Данные</w:t>
            </w:r>
            <w:r w:rsidRPr="006F6DAC">
              <w:rPr>
                <w:rFonts w:ascii="Garamond" w:hAnsi="Garamond"/>
                <w:sz w:val="22"/>
                <w:szCs w:val="22"/>
                <w:lang w:val="en-US"/>
              </w:rPr>
              <w:t xml:space="preserve"> </w:t>
            </w:r>
            <w:r w:rsidRPr="006F6DAC">
              <w:rPr>
                <w:rFonts w:ascii="Garamond" w:hAnsi="Garamond"/>
                <w:sz w:val="22"/>
                <w:szCs w:val="22"/>
              </w:rPr>
              <w:t>приняты</w:t>
            </w:r>
            <w:r w:rsidRPr="006F6DAC">
              <w:rPr>
                <w:rFonts w:ascii="Garamond" w:hAnsi="Garamond"/>
                <w:sz w:val="22"/>
                <w:szCs w:val="22"/>
                <w:lang w:val="en-US"/>
              </w:rPr>
              <w:t>"&gt;</w:t>
            </w:r>
          </w:p>
          <w:p w14:paraId="4A01DAC4" w14:textId="77777777" w:rsidR="00F11A8B" w:rsidRPr="006F6DAC" w:rsidRDefault="00F11A8B" w:rsidP="00F11A8B">
            <w:pPr>
              <w:pStyle w:val="aff8"/>
              <w:rPr>
                <w:rFonts w:ascii="Garamond" w:hAnsi="Garamond"/>
                <w:sz w:val="22"/>
                <w:szCs w:val="22"/>
                <w:lang w:val="en-US"/>
              </w:rPr>
            </w:pPr>
            <w:r w:rsidRPr="006F6DAC">
              <w:rPr>
                <w:rFonts w:ascii="Garamond" w:hAnsi="Garamond"/>
                <w:sz w:val="22"/>
                <w:szCs w:val="22"/>
                <w:lang w:val="en-US"/>
              </w:rPr>
              <w:t>&lt;/reply&gt;</w:t>
            </w:r>
          </w:p>
          <w:p w14:paraId="443278FB" w14:textId="77777777" w:rsidR="00F11A8B" w:rsidRPr="006F6DAC" w:rsidRDefault="00F11A8B" w:rsidP="00F11A8B">
            <w:pPr>
              <w:pStyle w:val="aff8"/>
              <w:rPr>
                <w:rFonts w:ascii="Garamond" w:hAnsi="Garamond"/>
                <w:sz w:val="22"/>
                <w:szCs w:val="22"/>
                <w:lang w:val="en-US"/>
              </w:rPr>
            </w:pPr>
            <w:r w:rsidRPr="006F6DAC">
              <w:rPr>
                <w:rFonts w:ascii="Garamond" w:hAnsi="Garamond"/>
                <w:sz w:val="22"/>
                <w:szCs w:val="22"/>
                <w:lang w:val="en-US"/>
              </w:rPr>
              <w:t>&lt;fileareas&gt;</w:t>
            </w:r>
          </w:p>
          <w:p w14:paraId="5F57FE9D" w14:textId="77777777" w:rsidR="00F11A8B" w:rsidRPr="006F6DAC" w:rsidRDefault="00F11A8B" w:rsidP="00F11A8B">
            <w:pPr>
              <w:pStyle w:val="aff8"/>
              <w:rPr>
                <w:rFonts w:ascii="Garamond" w:hAnsi="Garamond"/>
                <w:sz w:val="22"/>
                <w:szCs w:val="22"/>
                <w:lang w:val="en-US"/>
              </w:rPr>
            </w:pPr>
            <w:r w:rsidRPr="006F6DAC">
              <w:rPr>
                <w:rFonts w:ascii="Garamond" w:hAnsi="Garamond"/>
                <w:sz w:val="22"/>
                <w:szCs w:val="22"/>
                <w:lang w:val="en-US"/>
              </w:rPr>
              <w:tab/>
              <w:t>&lt;area code="1" status="0" desc="</w:t>
            </w:r>
            <w:r w:rsidRPr="006F6DAC">
              <w:rPr>
                <w:rFonts w:ascii="Garamond" w:hAnsi="Garamond"/>
                <w:sz w:val="22"/>
                <w:szCs w:val="22"/>
              </w:rPr>
              <w:t>Данные</w:t>
            </w:r>
            <w:r w:rsidRPr="006F6DAC">
              <w:rPr>
                <w:rFonts w:ascii="Garamond" w:hAnsi="Garamond"/>
                <w:sz w:val="22"/>
                <w:szCs w:val="22"/>
                <w:lang w:val="en-US"/>
              </w:rPr>
              <w:t xml:space="preserve"> </w:t>
            </w:r>
            <w:r w:rsidRPr="006F6DAC">
              <w:rPr>
                <w:rFonts w:ascii="Garamond" w:hAnsi="Garamond"/>
                <w:sz w:val="22"/>
                <w:szCs w:val="22"/>
              </w:rPr>
              <w:t>приняты</w:t>
            </w:r>
            <w:r w:rsidRPr="006F6DAC">
              <w:rPr>
                <w:rFonts w:ascii="Garamond" w:hAnsi="Garamond"/>
                <w:sz w:val="22"/>
                <w:szCs w:val="22"/>
                <w:lang w:val="en-US"/>
              </w:rPr>
              <w:t>" /&gt;</w:t>
            </w:r>
          </w:p>
          <w:p w14:paraId="4DCFA72C" w14:textId="77777777" w:rsidR="00F11A8B" w:rsidRPr="006F6DAC" w:rsidRDefault="00F11A8B" w:rsidP="00F11A8B">
            <w:pPr>
              <w:pStyle w:val="aff8"/>
              <w:rPr>
                <w:rFonts w:ascii="Garamond" w:hAnsi="Garamond"/>
                <w:sz w:val="22"/>
                <w:szCs w:val="22"/>
                <w:lang w:val="en-US"/>
              </w:rPr>
            </w:pPr>
            <w:r w:rsidRPr="006F6DAC">
              <w:rPr>
                <w:rFonts w:ascii="Garamond" w:hAnsi="Garamond"/>
                <w:sz w:val="22"/>
                <w:szCs w:val="22"/>
                <w:lang w:val="en-US"/>
              </w:rPr>
              <w:t>&lt;/fileareas&gt;</w:t>
            </w:r>
          </w:p>
          <w:p w14:paraId="324D3088" w14:textId="77777777" w:rsidR="00F11A8B" w:rsidRPr="006F6DAC" w:rsidRDefault="00F11A8B" w:rsidP="00F11A8B">
            <w:pPr>
              <w:pStyle w:val="aff8"/>
              <w:rPr>
                <w:rFonts w:ascii="Garamond" w:hAnsi="Garamond"/>
                <w:sz w:val="22"/>
                <w:szCs w:val="22"/>
                <w:lang w:val="en-US"/>
              </w:rPr>
            </w:pPr>
            <w:r w:rsidRPr="006F6DAC">
              <w:rPr>
                <w:rFonts w:ascii="Garamond" w:hAnsi="Garamond"/>
                <w:sz w:val="22"/>
                <w:szCs w:val="22"/>
                <w:lang w:val="en-US"/>
              </w:rPr>
              <w:t>&lt;currentstate forsender="1234567890" fordate="20060427" desc="</w:t>
            </w:r>
            <w:r w:rsidRPr="006F6DAC">
              <w:rPr>
                <w:rFonts w:ascii="Garamond" w:hAnsi="Garamond"/>
                <w:sz w:val="22"/>
                <w:szCs w:val="22"/>
              </w:rPr>
              <w:t>Информация</w:t>
            </w:r>
            <w:r w:rsidRPr="006F6DAC">
              <w:rPr>
                <w:rFonts w:ascii="Garamond" w:hAnsi="Garamond"/>
                <w:sz w:val="22"/>
                <w:szCs w:val="22"/>
                <w:lang w:val="en-US"/>
              </w:rPr>
              <w:t xml:space="preserve"> </w:t>
            </w:r>
            <w:r w:rsidRPr="006F6DAC">
              <w:rPr>
                <w:rFonts w:ascii="Garamond" w:hAnsi="Garamond"/>
                <w:sz w:val="22"/>
                <w:szCs w:val="22"/>
              </w:rPr>
              <w:t>о</w:t>
            </w:r>
            <w:r w:rsidRPr="006F6DAC">
              <w:rPr>
                <w:rFonts w:ascii="Garamond" w:hAnsi="Garamond"/>
                <w:sz w:val="22"/>
                <w:szCs w:val="22"/>
                <w:lang w:val="en-US"/>
              </w:rPr>
              <w:t xml:space="preserve"> </w:t>
            </w:r>
            <w:r w:rsidRPr="006F6DAC">
              <w:rPr>
                <w:rFonts w:ascii="Garamond" w:hAnsi="Garamond"/>
                <w:sz w:val="22"/>
                <w:szCs w:val="22"/>
              </w:rPr>
              <w:t>текущем</w:t>
            </w:r>
            <w:r w:rsidRPr="006F6DAC">
              <w:rPr>
                <w:rFonts w:ascii="Garamond" w:hAnsi="Garamond"/>
                <w:sz w:val="22"/>
                <w:szCs w:val="22"/>
                <w:lang w:val="en-US"/>
              </w:rPr>
              <w:t xml:space="preserve"> </w:t>
            </w:r>
            <w:r w:rsidRPr="006F6DAC">
              <w:rPr>
                <w:rFonts w:ascii="Garamond" w:hAnsi="Garamond"/>
                <w:sz w:val="22"/>
                <w:szCs w:val="22"/>
              </w:rPr>
              <w:t>состоянии</w:t>
            </w:r>
            <w:r w:rsidRPr="006F6DAC">
              <w:rPr>
                <w:rFonts w:ascii="Garamond" w:hAnsi="Garamond"/>
                <w:sz w:val="22"/>
                <w:szCs w:val="22"/>
                <w:lang w:val="en-US"/>
              </w:rPr>
              <w:t xml:space="preserve"> </w:t>
            </w:r>
            <w:r w:rsidRPr="006F6DAC">
              <w:rPr>
                <w:rFonts w:ascii="Garamond" w:hAnsi="Garamond"/>
                <w:sz w:val="22"/>
                <w:szCs w:val="22"/>
              </w:rPr>
              <w:t>по</w:t>
            </w:r>
            <w:r w:rsidRPr="006F6DAC">
              <w:rPr>
                <w:rFonts w:ascii="Garamond" w:hAnsi="Garamond"/>
                <w:sz w:val="22"/>
                <w:szCs w:val="22"/>
                <w:lang w:val="en-US"/>
              </w:rPr>
              <w:t xml:space="preserve"> </w:t>
            </w:r>
            <w:r w:rsidRPr="006F6DAC">
              <w:rPr>
                <w:rFonts w:ascii="Garamond" w:hAnsi="Garamond"/>
                <w:sz w:val="22"/>
                <w:szCs w:val="22"/>
              </w:rPr>
              <w:t>поставщику</w:t>
            </w:r>
            <w:r w:rsidRPr="006F6DAC">
              <w:rPr>
                <w:rFonts w:ascii="Garamond" w:hAnsi="Garamond"/>
                <w:sz w:val="22"/>
                <w:szCs w:val="22"/>
                <w:lang w:val="en-US"/>
              </w:rPr>
              <w:t>"&gt;</w:t>
            </w:r>
          </w:p>
          <w:p w14:paraId="564B9A4F" w14:textId="77777777" w:rsidR="00F11A8B" w:rsidRPr="006F6DAC" w:rsidRDefault="00F11A8B" w:rsidP="00F11A8B">
            <w:pPr>
              <w:pStyle w:val="aff8"/>
              <w:rPr>
                <w:rFonts w:ascii="Garamond" w:hAnsi="Garamond"/>
                <w:sz w:val="22"/>
                <w:szCs w:val="22"/>
                <w:lang w:val="en-US"/>
              </w:rPr>
            </w:pPr>
            <w:r w:rsidRPr="006F6DAC">
              <w:rPr>
                <w:rFonts w:ascii="Garamond" w:hAnsi="Garamond"/>
                <w:sz w:val="22"/>
                <w:szCs w:val="22"/>
                <w:lang w:val="en-US"/>
              </w:rPr>
              <w:tab/>
              <w:t>&lt;area code="1" status="0" desc="</w:t>
            </w:r>
            <w:r w:rsidRPr="006F6DAC">
              <w:rPr>
                <w:rFonts w:ascii="Garamond" w:hAnsi="Garamond"/>
                <w:sz w:val="22"/>
                <w:szCs w:val="22"/>
              </w:rPr>
              <w:t>Данные</w:t>
            </w:r>
            <w:r w:rsidRPr="006F6DAC">
              <w:rPr>
                <w:rFonts w:ascii="Garamond" w:hAnsi="Garamond"/>
                <w:sz w:val="22"/>
                <w:szCs w:val="22"/>
                <w:lang w:val="en-US"/>
              </w:rPr>
              <w:t xml:space="preserve"> </w:t>
            </w:r>
            <w:r w:rsidRPr="006F6DAC">
              <w:rPr>
                <w:rFonts w:ascii="Garamond" w:hAnsi="Garamond"/>
                <w:sz w:val="22"/>
                <w:szCs w:val="22"/>
              </w:rPr>
              <w:t>приняты</w:t>
            </w:r>
            <w:r w:rsidRPr="006F6DAC">
              <w:rPr>
                <w:rFonts w:ascii="Garamond" w:hAnsi="Garamond"/>
                <w:sz w:val="22"/>
                <w:szCs w:val="22"/>
                <w:lang w:val="en-US"/>
              </w:rPr>
              <w:t>" fromfile="80020_5247004695_20060427_347.xml" /&gt;</w:t>
            </w:r>
          </w:p>
          <w:p w14:paraId="2D6BBECA" w14:textId="77777777" w:rsidR="00F11A8B" w:rsidRPr="006F6DAC" w:rsidRDefault="00F11A8B" w:rsidP="00F11A8B">
            <w:pPr>
              <w:pStyle w:val="aff8"/>
              <w:rPr>
                <w:rFonts w:ascii="Garamond" w:hAnsi="Garamond"/>
                <w:sz w:val="22"/>
                <w:szCs w:val="22"/>
              </w:rPr>
            </w:pPr>
            <w:r w:rsidRPr="006F6DAC">
              <w:rPr>
                <w:rFonts w:ascii="Garamond" w:hAnsi="Garamond"/>
                <w:sz w:val="22"/>
                <w:szCs w:val="22"/>
              </w:rPr>
              <w:t>&lt;/</w:t>
            </w:r>
            <w:r w:rsidRPr="006F6DAC">
              <w:rPr>
                <w:rFonts w:ascii="Garamond" w:hAnsi="Garamond"/>
                <w:sz w:val="22"/>
                <w:szCs w:val="22"/>
                <w:lang w:val="en-US"/>
              </w:rPr>
              <w:t>currentstate</w:t>
            </w:r>
            <w:r w:rsidRPr="006F6DAC">
              <w:rPr>
                <w:rFonts w:ascii="Garamond" w:hAnsi="Garamond"/>
                <w:sz w:val="22"/>
                <w:szCs w:val="22"/>
              </w:rPr>
              <w:t>&gt;</w:t>
            </w:r>
          </w:p>
          <w:p w14:paraId="1983090D" w14:textId="77777777" w:rsidR="00F11A8B" w:rsidRPr="006F6DAC" w:rsidRDefault="00F11A8B" w:rsidP="00F11A8B">
            <w:pPr>
              <w:pStyle w:val="aff8"/>
              <w:rPr>
                <w:rFonts w:ascii="Garamond" w:hAnsi="Garamond"/>
                <w:sz w:val="22"/>
                <w:szCs w:val="22"/>
              </w:rPr>
            </w:pPr>
            <w:r w:rsidRPr="006F6DAC">
              <w:rPr>
                <w:rFonts w:ascii="Garamond" w:hAnsi="Garamond"/>
                <w:sz w:val="22"/>
                <w:szCs w:val="22"/>
              </w:rPr>
              <w:t>&lt;/</w:t>
            </w:r>
            <w:r w:rsidRPr="006F6DAC">
              <w:rPr>
                <w:rFonts w:ascii="Garamond" w:hAnsi="Garamond"/>
                <w:sz w:val="22"/>
                <w:szCs w:val="22"/>
                <w:lang w:val="en-US"/>
              </w:rPr>
              <w:t>message</w:t>
            </w:r>
            <w:r w:rsidRPr="006F6DAC">
              <w:rPr>
                <w:rFonts w:ascii="Garamond" w:hAnsi="Garamond"/>
                <w:sz w:val="22"/>
                <w:szCs w:val="22"/>
              </w:rPr>
              <w:t>&gt;</w:t>
            </w:r>
          </w:p>
          <w:p w14:paraId="52FEFE01" w14:textId="77777777" w:rsidR="00F11A8B" w:rsidRPr="006F6DAC" w:rsidRDefault="00F11A8B" w:rsidP="00F11A8B">
            <w:pPr>
              <w:pStyle w:val="aff8"/>
              <w:rPr>
                <w:rFonts w:ascii="Garamond" w:hAnsi="Garamond"/>
                <w:color w:val="000000"/>
                <w:sz w:val="22"/>
                <w:szCs w:val="22"/>
              </w:rPr>
            </w:pPr>
            <w:r w:rsidRPr="006F6DAC">
              <w:rPr>
                <w:rFonts w:ascii="Garamond" w:hAnsi="Garamond"/>
                <w:bCs/>
                <w:color w:val="000000"/>
                <w:sz w:val="22"/>
                <w:szCs w:val="22"/>
              </w:rPr>
              <w:t>2. Структура электронного документа типа 80041 идентична структуре электронного документа в формате 80021, исключение составляет значение атрибута class элемента &lt;message&gt;, содерж</w:t>
            </w:r>
            <w:r w:rsidRPr="006F6DAC">
              <w:rPr>
                <w:rFonts w:ascii="Garamond" w:hAnsi="Garamond"/>
                <w:color w:val="000000"/>
                <w:sz w:val="22"/>
                <w:szCs w:val="22"/>
              </w:rPr>
              <w:t>ащ</w:t>
            </w:r>
            <w:r w:rsidRPr="006F6DAC">
              <w:rPr>
                <w:rFonts w:ascii="Garamond" w:hAnsi="Garamond"/>
                <w:bCs/>
                <w:color w:val="000000"/>
                <w:sz w:val="22"/>
                <w:szCs w:val="22"/>
              </w:rPr>
              <w:t>его данные о типе электронного документа, которое должно быть равно 80041.</w:t>
            </w:r>
          </w:p>
          <w:p w14:paraId="1B6354BE" w14:textId="77777777" w:rsidR="00F11A8B" w:rsidRPr="006F6DAC" w:rsidRDefault="00F11A8B" w:rsidP="00F11A8B">
            <w:pPr>
              <w:pStyle w:val="10"/>
              <w:rPr>
                <w:rFonts w:ascii="Garamond" w:hAnsi="Garamond"/>
                <w:sz w:val="22"/>
                <w:szCs w:val="22"/>
                <w:highlight w:val="yellow"/>
              </w:rPr>
            </w:pPr>
          </w:p>
        </w:tc>
        <w:tc>
          <w:tcPr>
            <w:tcW w:w="7115" w:type="dxa"/>
          </w:tcPr>
          <w:p w14:paraId="4CB6B179" w14:textId="77777777" w:rsidR="00F11A8B" w:rsidRPr="006F6DAC" w:rsidRDefault="00F11A8B" w:rsidP="00F11A8B">
            <w:pPr>
              <w:pStyle w:val="10"/>
              <w:jc w:val="right"/>
              <w:rPr>
                <w:rFonts w:ascii="Garamond" w:hAnsi="Garamond"/>
                <w:sz w:val="22"/>
                <w:szCs w:val="22"/>
              </w:rPr>
            </w:pPr>
            <w:r w:rsidRPr="006F6DAC">
              <w:rPr>
                <w:rFonts w:ascii="Garamond" w:hAnsi="Garamond"/>
                <w:sz w:val="22"/>
                <w:szCs w:val="22"/>
              </w:rPr>
              <w:t xml:space="preserve">Приложение </w:t>
            </w:r>
            <w:r w:rsidRPr="006F6DAC">
              <w:rPr>
                <w:rFonts w:ascii="Garamond" w:hAnsi="Garamond"/>
                <w:sz w:val="22"/>
                <w:szCs w:val="22"/>
                <w:highlight w:val="yellow"/>
              </w:rPr>
              <w:t>3</w:t>
            </w:r>
            <w:r w:rsidRPr="006F6DAC">
              <w:rPr>
                <w:rFonts w:ascii="Garamond" w:hAnsi="Garamond"/>
                <w:sz w:val="22"/>
                <w:szCs w:val="22"/>
              </w:rPr>
              <w:t xml:space="preserve"> </w:t>
            </w:r>
          </w:p>
          <w:p w14:paraId="17C34E7E" w14:textId="77777777" w:rsidR="00F11A8B" w:rsidRPr="006F6DAC" w:rsidRDefault="00F11A8B" w:rsidP="00F11A8B">
            <w:pPr>
              <w:pStyle w:val="10"/>
              <w:rPr>
                <w:rFonts w:ascii="Garamond" w:hAnsi="Garamond"/>
                <w:sz w:val="22"/>
                <w:szCs w:val="22"/>
              </w:rPr>
            </w:pPr>
            <w:r w:rsidRPr="006F6DAC">
              <w:rPr>
                <w:rFonts w:ascii="Garamond" w:hAnsi="Garamond"/>
                <w:sz w:val="22"/>
                <w:szCs w:val="22"/>
              </w:rPr>
              <w:t xml:space="preserve">Пример ответного сообщения формата 80021 </w:t>
            </w:r>
            <w:r w:rsidRPr="006F6DAC">
              <w:rPr>
                <w:rFonts w:ascii="Garamond" w:hAnsi="Garamond"/>
                <w:sz w:val="22"/>
                <w:szCs w:val="22"/>
                <w:highlight w:val="yellow"/>
              </w:rPr>
              <w:t>(80041, 20021)</w:t>
            </w:r>
          </w:p>
          <w:p w14:paraId="3AA701F4" w14:textId="77777777" w:rsidR="00F11A8B" w:rsidRPr="006F6DAC" w:rsidRDefault="00F11A8B" w:rsidP="00F11A8B">
            <w:pPr>
              <w:rPr>
                <w:rFonts w:ascii="Garamond" w:hAnsi="Garamond"/>
                <w:sz w:val="22"/>
                <w:szCs w:val="22"/>
              </w:rPr>
            </w:pPr>
          </w:p>
          <w:p w14:paraId="3402C0BD" w14:textId="77777777" w:rsidR="00F11A8B" w:rsidRPr="006F6DAC" w:rsidRDefault="00F11A8B" w:rsidP="00F11A8B">
            <w:pPr>
              <w:pStyle w:val="aff8"/>
              <w:rPr>
                <w:rFonts w:ascii="Garamond" w:hAnsi="Garamond"/>
                <w:sz w:val="22"/>
                <w:szCs w:val="22"/>
                <w:lang w:val="en-US"/>
              </w:rPr>
            </w:pPr>
            <w:r w:rsidRPr="006F6DAC">
              <w:rPr>
                <w:rFonts w:ascii="Garamond" w:hAnsi="Garamond"/>
                <w:sz w:val="22"/>
                <w:szCs w:val="22"/>
                <w:lang w:val="en-US"/>
              </w:rPr>
              <w:t>&lt;?xml version="1.0" encoding="windows-1251"?&gt;</w:t>
            </w:r>
          </w:p>
          <w:p w14:paraId="68A8D6FE" w14:textId="77777777" w:rsidR="00F11A8B" w:rsidRPr="006F6DAC" w:rsidRDefault="00F11A8B" w:rsidP="00F11A8B">
            <w:pPr>
              <w:pStyle w:val="aff8"/>
              <w:rPr>
                <w:rFonts w:ascii="Garamond" w:hAnsi="Garamond"/>
                <w:sz w:val="22"/>
                <w:szCs w:val="22"/>
                <w:lang w:val="en-US"/>
              </w:rPr>
            </w:pPr>
            <w:r w:rsidRPr="006F6DAC">
              <w:rPr>
                <w:rFonts w:ascii="Garamond" w:hAnsi="Garamond"/>
                <w:sz w:val="22"/>
                <w:szCs w:val="22"/>
                <w:lang w:val="en-US"/>
              </w:rPr>
              <w:t>&lt;message class="80021" version="2" id="" datetime="20060428104355"&gt;</w:t>
            </w:r>
          </w:p>
          <w:p w14:paraId="304CC14A" w14:textId="77777777" w:rsidR="00F11A8B" w:rsidRPr="006F6DAC" w:rsidRDefault="00F11A8B" w:rsidP="00F11A8B">
            <w:pPr>
              <w:pStyle w:val="aff8"/>
              <w:rPr>
                <w:rFonts w:ascii="Garamond" w:hAnsi="Garamond"/>
                <w:sz w:val="22"/>
                <w:szCs w:val="22"/>
                <w:lang w:val="en-US"/>
              </w:rPr>
            </w:pPr>
            <w:r w:rsidRPr="006F6DAC">
              <w:rPr>
                <w:rFonts w:ascii="Garamond" w:hAnsi="Garamond"/>
                <w:sz w:val="22"/>
                <w:szCs w:val="22"/>
                <w:lang w:val="en-US"/>
              </w:rPr>
              <w:t>&lt;file&gt;</w:t>
            </w:r>
          </w:p>
          <w:p w14:paraId="0BA006C2" w14:textId="77777777" w:rsidR="00F11A8B" w:rsidRPr="006F6DAC" w:rsidRDefault="00F11A8B" w:rsidP="00F11A8B">
            <w:pPr>
              <w:pStyle w:val="aff8"/>
              <w:rPr>
                <w:rFonts w:ascii="Garamond" w:hAnsi="Garamond"/>
                <w:sz w:val="22"/>
                <w:szCs w:val="22"/>
                <w:lang w:val="en-US"/>
              </w:rPr>
            </w:pPr>
            <w:r w:rsidRPr="006F6DAC">
              <w:rPr>
                <w:rFonts w:ascii="Garamond" w:hAnsi="Garamond"/>
                <w:sz w:val="22"/>
                <w:szCs w:val="22"/>
                <w:lang w:val="en-US"/>
              </w:rPr>
              <w:tab/>
              <w:t>&lt;fromaddr&gt;&lt;![CDATA[a@b.c]]&gt;&lt;/fromaddr&gt;</w:t>
            </w:r>
          </w:p>
          <w:p w14:paraId="152FEFE9" w14:textId="77777777" w:rsidR="00F11A8B" w:rsidRPr="006F6DAC" w:rsidRDefault="00F11A8B" w:rsidP="00F11A8B">
            <w:pPr>
              <w:pStyle w:val="aff8"/>
              <w:rPr>
                <w:rFonts w:ascii="Garamond" w:hAnsi="Garamond"/>
                <w:sz w:val="22"/>
                <w:szCs w:val="22"/>
                <w:lang w:val="en-US"/>
              </w:rPr>
            </w:pPr>
            <w:r w:rsidRPr="006F6DAC">
              <w:rPr>
                <w:rFonts w:ascii="Garamond" w:hAnsi="Garamond"/>
                <w:sz w:val="22"/>
                <w:szCs w:val="22"/>
                <w:lang w:val="en-US"/>
              </w:rPr>
              <w:tab/>
              <w:t>&lt;name&gt;80020_1234567890_20060427_347.xml&lt;/name&gt;</w:t>
            </w:r>
          </w:p>
          <w:p w14:paraId="6B13704B" w14:textId="77777777" w:rsidR="00F11A8B" w:rsidRPr="006F6DAC" w:rsidRDefault="00F11A8B" w:rsidP="00F11A8B">
            <w:pPr>
              <w:pStyle w:val="aff8"/>
              <w:rPr>
                <w:rFonts w:ascii="Garamond" w:hAnsi="Garamond"/>
                <w:sz w:val="22"/>
                <w:szCs w:val="22"/>
                <w:lang w:val="en-US"/>
              </w:rPr>
            </w:pPr>
            <w:r w:rsidRPr="006F6DAC">
              <w:rPr>
                <w:rFonts w:ascii="Garamond" w:hAnsi="Garamond"/>
                <w:sz w:val="22"/>
                <w:szCs w:val="22"/>
                <w:lang w:val="en-US"/>
              </w:rPr>
              <w:tab/>
              <w:t>&lt;sender&gt;1234567890&lt;/sender&gt;</w:t>
            </w:r>
          </w:p>
          <w:p w14:paraId="63C7E55B" w14:textId="77777777" w:rsidR="00F11A8B" w:rsidRPr="006F6DAC" w:rsidRDefault="00F11A8B" w:rsidP="00F11A8B">
            <w:pPr>
              <w:pStyle w:val="aff8"/>
              <w:rPr>
                <w:rFonts w:ascii="Garamond" w:hAnsi="Garamond"/>
                <w:sz w:val="22"/>
                <w:szCs w:val="22"/>
                <w:lang w:val="en-US"/>
              </w:rPr>
            </w:pPr>
            <w:r w:rsidRPr="006F6DAC">
              <w:rPr>
                <w:rFonts w:ascii="Garamond" w:hAnsi="Garamond"/>
                <w:sz w:val="22"/>
                <w:szCs w:val="22"/>
                <w:lang w:val="en-US"/>
              </w:rPr>
              <w:tab/>
              <w:t>&lt;day&gt;20060427&lt;/day&gt;</w:t>
            </w:r>
          </w:p>
          <w:p w14:paraId="06B6B47F" w14:textId="77777777" w:rsidR="00F11A8B" w:rsidRPr="006F6DAC" w:rsidRDefault="00F11A8B" w:rsidP="00F11A8B">
            <w:pPr>
              <w:pStyle w:val="aff8"/>
              <w:rPr>
                <w:rFonts w:ascii="Garamond" w:hAnsi="Garamond"/>
                <w:sz w:val="22"/>
                <w:szCs w:val="22"/>
                <w:lang w:val="en-US"/>
              </w:rPr>
            </w:pPr>
            <w:r w:rsidRPr="006F6DAC">
              <w:rPr>
                <w:rFonts w:ascii="Garamond" w:hAnsi="Garamond"/>
                <w:sz w:val="22"/>
                <w:szCs w:val="22"/>
                <w:lang w:val="en-US"/>
              </w:rPr>
              <w:tab/>
              <w:t>&lt;id&gt;22222&lt;/id&gt;</w:t>
            </w:r>
          </w:p>
          <w:p w14:paraId="2A3716D9" w14:textId="77777777" w:rsidR="00F11A8B" w:rsidRPr="006F6DAC" w:rsidRDefault="00F11A8B" w:rsidP="00F11A8B">
            <w:pPr>
              <w:pStyle w:val="aff8"/>
              <w:rPr>
                <w:rFonts w:ascii="Garamond" w:hAnsi="Garamond"/>
                <w:sz w:val="22"/>
                <w:szCs w:val="22"/>
                <w:lang w:val="en-US"/>
              </w:rPr>
            </w:pPr>
            <w:r w:rsidRPr="006F6DAC">
              <w:rPr>
                <w:rFonts w:ascii="Garamond" w:hAnsi="Garamond"/>
                <w:sz w:val="22"/>
                <w:szCs w:val="22"/>
                <w:lang w:val="en-US"/>
              </w:rPr>
              <w:tab/>
              <w:t>&lt;received&gt;20060428104229&lt;/received&gt;</w:t>
            </w:r>
          </w:p>
          <w:p w14:paraId="1E744AD7" w14:textId="77777777" w:rsidR="00F11A8B" w:rsidRPr="006F6DAC" w:rsidRDefault="00F11A8B" w:rsidP="00F11A8B">
            <w:pPr>
              <w:pStyle w:val="aff8"/>
              <w:rPr>
                <w:rFonts w:ascii="Garamond" w:hAnsi="Garamond"/>
                <w:sz w:val="22"/>
                <w:szCs w:val="22"/>
                <w:lang w:val="en-US"/>
              </w:rPr>
            </w:pPr>
            <w:r w:rsidRPr="006F6DAC">
              <w:rPr>
                <w:rFonts w:ascii="Garamond" w:hAnsi="Garamond"/>
                <w:sz w:val="22"/>
                <w:szCs w:val="22"/>
                <w:lang w:val="en-US"/>
              </w:rPr>
              <w:t>&lt;/file&gt;</w:t>
            </w:r>
          </w:p>
          <w:p w14:paraId="6E67E2EF" w14:textId="77777777" w:rsidR="00F11A8B" w:rsidRPr="006F6DAC" w:rsidRDefault="00F11A8B" w:rsidP="00F11A8B">
            <w:pPr>
              <w:pStyle w:val="aff8"/>
              <w:rPr>
                <w:rFonts w:ascii="Garamond" w:hAnsi="Garamond"/>
                <w:sz w:val="22"/>
                <w:szCs w:val="22"/>
                <w:lang w:val="en-US"/>
              </w:rPr>
            </w:pPr>
            <w:r w:rsidRPr="006F6DAC">
              <w:rPr>
                <w:rFonts w:ascii="Garamond" w:hAnsi="Garamond"/>
                <w:sz w:val="22"/>
                <w:szCs w:val="22"/>
                <w:lang w:val="en-US"/>
              </w:rPr>
              <w:t>&lt;reply filestatus="0" desc="</w:t>
            </w:r>
            <w:r w:rsidRPr="006F6DAC">
              <w:rPr>
                <w:rFonts w:ascii="Garamond" w:hAnsi="Garamond"/>
                <w:sz w:val="22"/>
                <w:szCs w:val="22"/>
              </w:rPr>
              <w:t>Данные</w:t>
            </w:r>
            <w:r w:rsidRPr="006F6DAC">
              <w:rPr>
                <w:rFonts w:ascii="Garamond" w:hAnsi="Garamond"/>
                <w:sz w:val="22"/>
                <w:szCs w:val="22"/>
                <w:lang w:val="en-US"/>
              </w:rPr>
              <w:t xml:space="preserve"> </w:t>
            </w:r>
            <w:r w:rsidRPr="006F6DAC">
              <w:rPr>
                <w:rFonts w:ascii="Garamond" w:hAnsi="Garamond"/>
                <w:sz w:val="22"/>
                <w:szCs w:val="22"/>
              </w:rPr>
              <w:t>приняты</w:t>
            </w:r>
            <w:r w:rsidRPr="006F6DAC">
              <w:rPr>
                <w:rFonts w:ascii="Garamond" w:hAnsi="Garamond"/>
                <w:sz w:val="22"/>
                <w:szCs w:val="22"/>
                <w:lang w:val="en-US"/>
              </w:rPr>
              <w:t>"&gt;</w:t>
            </w:r>
          </w:p>
          <w:p w14:paraId="2279D9F2" w14:textId="77777777" w:rsidR="00F11A8B" w:rsidRPr="006F6DAC" w:rsidRDefault="00F11A8B" w:rsidP="00F11A8B">
            <w:pPr>
              <w:pStyle w:val="aff8"/>
              <w:rPr>
                <w:rFonts w:ascii="Garamond" w:hAnsi="Garamond"/>
                <w:sz w:val="22"/>
                <w:szCs w:val="22"/>
                <w:lang w:val="en-US"/>
              </w:rPr>
            </w:pPr>
            <w:r w:rsidRPr="006F6DAC">
              <w:rPr>
                <w:rFonts w:ascii="Garamond" w:hAnsi="Garamond"/>
                <w:sz w:val="22"/>
                <w:szCs w:val="22"/>
                <w:lang w:val="en-US"/>
              </w:rPr>
              <w:t>&lt;/reply&gt;</w:t>
            </w:r>
          </w:p>
          <w:p w14:paraId="37AADAC7" w14:textId="77777777" w:rsidR="00F11A8B" w:rsidRPr="006F6DAC" w:rsidRDefault="00F11A8B" w:rsidP="00F11A8B">
            <w:pPr>
              <w:pStyle w:val="aff8"/>
              <w:rPr>
                <w:rFonts w:ascii="Garamond" w:hAnsi="Garamond"/>
                <w:sz w:val="22"/>
                <w:szCs w:val="22"/>
                <w:lang w:val="en-US"/>
              </w:rPr>
            </w:pPr>
            <w:r w:rsidRPr="006F6DAC">
              <w:rPr>
                <w:rFonts w:ascii="Garamond" w:hAnsi="Garamond"/>
                <w:sz w:val="22"/>
                <w:szCs w:val="22"/>
                <w:lang w:val="en-US"/>
              </w:rPr>
              <w:t>&lt;fileareas&gt;</w:t>
            </w:r>
          </w:p>
          <w:p w14:paraId="3097D12C" w14:textId="77777777" w:rsidR="00F11A8B" w:rsidRPr="006F6DAC" w:rsidRDefault="00F11A8B" w:rsidP="00F11A8B">
            <w:pPr>
              <w:pStyle w:val="aff8"/>
              <w:rPr>
                <w:rFonts w:ascii="Garamond" w:hAnsi="Garamond"/>
                <w:sz w:val="22"/>
                <w:szCs w:val="22"/>
                <w:lang w:val="en-US"/>
              </w:rPr>
            </w:pPr>
            <w:r w:rsidRPr="006F6DAC">
              <w:rPr>
                <w:rFonts w:ascii="Garamond" w:hAnsi="Garamond"/>
                <w:sz w:val="22"/>
                <w:szCs w:val="22"/>
                <w:lang w:val="en-US"/>
              </w:rPr>
              <w:tab/>
              <w:t>&lt;area code="1" status="0" desc="</w:t>
            </w:r>
            <w:r w:rsidRPr="006F6DAC">
              <w:rPr>
                <w:rFonts w:ascii="Garamond" w:hAnsi="Garamond"/>
                <w:sz w:val="22"/>
                <w:szCs w:val="22"/>
              </w:rPr>
              <w:t>Данные</w:t>
            </w:r>
            <w:r w:rsidRPr="006F6DAC">
              <w:rPr>
                <w:rFonts w:ascii="Garamond" w:hAnsi="Garamond"/>
                <w:sz w:val="22"/>
                <w:szCs w:val="22"/>
                <w:lang w:val="en-US"/>
              </w:rPr>
              <w:t xml:space="preserve"> </w:t>
            </w:r>
            <w:r w:rsidRPr="006F6DAC">
              <w:rPr>
                <w:rFonts w:ascii="Garamond" w:hAnsi="Garamond"/>
                <w:sz w:val="22"/>
                <w:szCs w:val="22"/>
              </w:rPr>
              <w:t>приняты</w:t>
            </w:r>
            <w:r w:rsidRPr="006F6DAC">
              <w:rPr>
                <w:rFonts w:ascii="Garamond" w:hAnsi="Garamond"/>
                <w:sz w:val="22"/>
                <w:szCs w:val="22"/>
                <w:lang w:val="en-US"/>
              </w:rPr>
              <w:t>" /&gt;</w:t>
            </w:r>
          </w:p>
          <w:p w14:paraId="4B404665" w14:textId="77777777" w:rsidR="00F11A8B" w:rsidRPr="006F6DAC" w:rsidRDefault="00F11A8B" w:rsidP="00F11A8B">
            <w:pPr>
              <w:pStyle w:val="aff8"/>
              <w:rPr>
                <w:rFonts w:ascii="Garamond" w:hAnsi="Garamond"/>
                <w:sz w:val="22"/>
                <w:szCs w:val="22"/>
                <w:lang w:val="en-US"/>
              </w:rPr>
            </w:pPr>
            <w:r w:rsidRPr="006F6DAC">
              <w:rPr>
                <w:rFonts w:ascii="Garamond" w:hAnsi="Garamond"/>
                <w:sz w:val="22"/>
                <w:szCs w:val="22"/>
                <w:lang w:val="en-US"/>
              </w:rPr>
              <w:t>&lt;/fileareas&gt;</w:t>
            </w:r>
          </w:p>
          <w:p w14:paraId="7BD9807B" w14:textId="77777777" w:rsidR="00F11A8B" w:rsidRPr="006F6DAC" w:rsidRDefault="00F11A8B" w:rsidP="00F11A8B">
            <w:pPr>
              <w:pStyle w:val="aff8"/>
              <w:rPr>
                <w:rFonts w:ascii="Garamond" w:hAnsi="Garamond"/>
                <w:sz w:val="22"/>
                <w:szCs w:val="22"/>
                <w:lang w:val="en-US"/>
              </w:rPr>
            </w:pPr>
            <w:r w:rsidRPr="006F6DAC">
              <w:rPr>
                <w:rFonts w:ascii="Garamond" w:hAnsi="Garamond"/>
                <w:sz w:val="22"/>
                <w:szCs w:val="22"/>
                <w:lang w:val="en-US"/>
              </w:rPr>
              <w:t>&lt;currentstate forsender="1234567890" fordate="20060427" desc="</w:t>
            </w:r>
            <w:r w:rsidRPr="006F6DAC">
              <w:rPr>
                <w:rFonts w:ascii="Garamond" w:hAnsi="Garamond"/>
                <w:sz w:val="22"/>
                <w:szCs w:val="22"/>
              </w:rPr>
              <w:t>Информация</w:t>
            </w:r>
            <w:r w:rsidRPr="006F6DAC">
              <w:rPr>
                <w:rFonts w:ascii="Garamond" w:hAnsi="Garamond"/>
                <w:sz w:val="22"/>
                <w:szCs w:val="22"/>
                <w:lang w:val="en-US"/>
              </w:rPr>
              <w:t xml:space="preserve"> </w:t>
            </w:r>
            <w:r w:rsidRPr="006F6DAC">
              <w:rPr>
                <w:rFonts w:ascii="Garamond" w:hAnsi="Garamond"/>
                <w:sz w:val="22"/>
                <w:szCs w:val="22"/>
              </w:rPr>
              <w:t>о</w:t>
            </w:r>
            <w:r w:rsidRPr="006F6DAC">
              <w:rPr>
                <w:rFonts w:ascii="Garamond" w:hAnsi="Garamond"/>
                <w:sz w:val="22"/>
                <w:szCs w:val="22"/>
                <w:lang w:val="en-US"/>
              </w:rPr>
              <w:t xml:space="preserve"> </w:t>
            </w:r>
            <w:r w:rsidRPr="006F6DAC">
              <w:rPr>
                <w:rFonts w:ascii="Garamond" w:hAnsi="Garamond"/>
                <w:sz w:val="22"/>
                <w:szCs w:val="22"/>
              </w:rPr>
              <w:t>текущем</w:t>
            </w:r>
            <w:r w:rsidRPr="006F6DAC">
              <w:rPr>
                <w:rFonts w:ascii="Garamond" w:hAnsi="Garamond"/>
                <w:sz w:val="22"/>
                <w:szCs w:val="22"/>
                <w:lang w:val="en-US"/>
              </w:rPr>
              <w:t xml:space="preserve"> </w:t>
            </w:r>
            <w:r w:rsidRPr="006F6DAC">
              <w:rPr>
                <w:rFonts w:ascii="Garamond" w:hAnsi="Garamond"/>
                <w:sz w:val="22"/>
                <w:szCs w:val="22"/>
              </w:rPr>
              <w:t>состоянии</w:t>
            </w:r>
            <w:r w:rsidRPr="006F6DAC">
              <w:rPr>
                <w:rFonts w:ascii="Garamond" w:hAnsi="Garamond"/>
                <w:sz w:val="22"/>
                <w:szCs w:val="22"/>
                <w:lang w:val="en-US"/>
              </w:rPr>
              <w:t xml:space="preserve"> </w:t>
            </w:r>
            <w:r w:rsidRPr="006F6DAC">
              <w:rPr>
                <w:rFonts w:ascii="Garamond" w:hAnsi="Garamond"/>
                <w:sz w:val="22"/>
                <w:szCs w:val="22"/>
              </w:rPr>
              <w:t>по</w:t>
            </w:r>
            <w:r w:rsidRPr="006F6DAC">
              <w:rPr>
                <w:rFonts w:ascii="Garamond" w:hAnsi="Garamond"/>
                <w:sz w:val="22"/>
                <w:szCs w:val="22"/>
                <w:lang w:val="en-US"/>
              </w:rPr>
              <w:t xml:space="preserve"> </w:t>
            </w:r>
            <w:r w:rsidRPr="006F6DAC">
              <w:rPr>
                <w:rFonts w:ascii="Garamond" w:hAnsi="Garamond"/>
                <w:sz w:val="22"/>
                <w:szCs w:val="22"/>
              </w:rPr>
              <w:t>поставщику</w:t>
            </w:r>
            <w:r w:rsidRPr="006F6DAC">
              <w:rPr>
                <w:rFonts w:ascii="Garamond" w:hAnsi="Garamond"/>
                <w:sz w:val="22"/>
                <w:szCs w:val="22"/>
                <w:lang w:val="en-US"/>
              </w:rPr>
              <w:t>"&gt;</w:t>
            </w:r>
          </w:p>
          <w:p w14:paraId="6222EF2F" w14:textId="77777777" w:rsidR="00F11A8B" w:rsidRPr="006F6DAC" w:rsidRDefault="00F11A8B" w:rsidP="00F11A8B">
            <w:pPr>
              <w:pStyle w:val="aff8"/>
              <w:rPr>
                <w:rFonts w:ascii="Garamond" w:hAnsi="Garamond"/>
                <w:sz w:val="22"/>
                <w:szCs w:val="22"/>
                <w:lang w:val="en-US"/>
              </w:rPr>
            </w:pPr>
            <w:r w:rsidRPr="006F6DAC">
              <w:rPr>
                <w:rFonts w:ascii="Garamond" w:hAnsi="Garamond"/>
                <w:sz w:val="22"/>
                <w:szCs w:val="22"/>
                <w:lang w:val="en-US"/>
              </w:rPr>
              <w:tab/>
              <w:t>&lt;area code="1" status="0" desc="</w:t>
            </w:r>
            <w:r w:rsidRPr="006F6DAC">
              <w:rPr>
                <w:rFonts w:ascii="Garamond" w:hAnsi="Garamond"/>
                <w:sz w:val="22"/>
                <w:szCs w:val="22"/>
              </w:rPr>
              <w:t>Данные</w:t>
            </w:r>
            <w:r w:rsidRPr="006F6DAC">
              <w:rPr>
                <w:rFonts w:ascii="Garamond" w:hAnsi="Garamond"/>
                <w:sz w:val="22"/>
                <w:szCs w:val="22"/>
                <w:lang w:val="en-US"/>
              </w:rPr>
              <w:t xml:space="preserve"> </w:t>
            </w:r>
            <w:r w:rsidRPr="006F6DAC">
              <w:rPr>
                <w:rFonts w:ascii="Garamond" w:hAnsi="Garamond"/>
                <w:sz w:val="22"/>
                <w:szCs w:val="22"/>
              </w:rPr>
              <w:t>приняты</w:t>
            </w:r>
            <w:r w:rsidRPr="006F6DAC">
              <w:rPr>
                <w:rFonts w:ascii="Garamond" w:hAnsi="Garamond"/>
                <w:sz w:val="22"/>
                <w:szCs w:val="22"/>
                <w:lang w:val="en-US"/>
              </w:rPr>
              <w:t>" fromfile="80020_5247004695_20060427_347.xml" /&gt;</w:t>
            </w:r>
          </w:p>
          <w:p w14:paraId="713ECBB1" w14:textId="77777777" w:rsidR="00F11A8B" w:rsidRPr="006F6DAC" w:rsidRDefault="00F11A8B" w:rsidP="00F11A8B">
            <w:pPr>
              <w:pStyle w:val="aff8"/>
              <w:rPr>
                <w:rFonts w:ascii="Garamond" w:hAnsi="Garamond"/>
                <w:sz w:val="22"/>
                <w:szCs w:val="22"/>
              </w:rPr>
            </w:pPr>
            <w:r w:rsidRPr="006F6DAC">
              <w:rPr>
                <w:rFonts w:ascii="Garamond" w:hAnsi="Garamond"/>
                <w:sz w:val="22"/>
                <w:szCs w:val="22"/>
              </w:rPr>
              <w:t>&lt;/</w:t>
            </w:r>
            <w:r w:rsidRPr="006F6DAC">
              <w:rPr>
                <w:rFonts w:ascii="Garamond" w:hAnsi="Garamond"/>
                <w:sz w:val="22"/>
                <w:szCs w:val="22"/>
                <w:lang w:val="en-US"/>
              </w:rPr>
              <w:t>currentstate</w:t>
            </w:r>
            <w:r w:rsidRPr="006F6DAC">
              <w:rPr>
                <w:rFonts w:ascii="Garamond" w:hAnsi="Garamond"/>
                <w:sz w:val="22"/>
                <w:szCs w:val="22"/>
              </w:rPr>
              <w:t>&gt;</w:t>
            </w:r>
          </w:p>
          <w:p w14:paraId="11193B8A" w14:textId="77777777" w:rsidR="00F11A8B" w:rsidRPr="006F6DAC" w:rsidRDefault="00F11A8B" w:rsidP="00F11A8B">
            <w:pPr>
              <w:pStyle w:val="aff8"/>
              <w:rPr>
                <w:rFonts w:ascii="Garamond" w:hAnsi="Garamond"/>
                <w:sz w:val="22"/>
                <w:szCs w:val="22"/>
              </w:rPr>
            </w:pPr>
            <w:r w:rsidRPr="006F6DAC">
              <w:rPr>
                <w:rFonts w:ascii="Garamond" w:hAnsi="Garamond"/>
                <w:sz w:val="22"/>
                <w:szCs w:val="22"/>
              </w:rPr>
              <w:t>&lt;/</w:t>
            </w:r>
            <w:r w:rsidRPr="006F6DAC">
              <w:rPr>
                <w:rFonts w:ascii="Garamond" w:hAnsi="Garamond"/>
                <w:sz w:val="22"/>
                <w:szCs w:val="22"/>
                <w:lang w:val="en-US"/>
              </w:rPr>
              <w:t>message</w:t>
            </w:r>
            <w:r w:rsidRPr="006F6DAC">
              <w:rPr>
                <w:rFonts w:ascii="Garamond" w:hAnsi="Garamond"/>
                <w:sz w:val="22"/>
                <w:szCs w:val="22"/>
              </w:rPr>
              <w:t>&gt;</w:t>
            </w:r>
          </w:p>
          <w:p w14:paraId="100DE8E3" w14:textId="77777777" w:rsidR="00F11A8B" w:rsidRPr="006F6DAC" w:rsidRDefault="00F11A8B" w:rsidP="00F11A8B">
            <w:pPr>
              <w:pStyle w:val="aff8"/>
              <w:rPr>
                <w:rFonts w:ascii="Garamond" w:hAnsi="Garamond"/>
                <w:bCs/>
                <w:color w:val="000000"/>
                <w:sz w:val="22"/>
                <w:szCs w:val="22"/>
              </w:rPr>
            </w:pPr>
            <w:r w:rsidRPr="006F6DAC">
              <w:rPr>
                <w:rFonts w:ascii="Garamond" w:hAnsi="Garamond"/>
                <w:bCs/>
                <w:color w:val="000000"/>
                <w:sz w:val="22"/>
                <w:szCs w:val="22"/>
              </w:rPr>
              <w:t>2. Структура электронного документа типа 80041 идентична структуре электронного документа в формате 80021, исключение составляет значение атрибута class элемента &lt;message&gt;, содерж</w:t>
            </w:r>
            <w:r w:rsidRPr="006F6DAC">
              <w:rPr>
                <w:rFonts w:ascii="Garamond" w:hAnsi="Garamond"/>
                <w:color w:val="000000"/>
                <w:sz w:val="22"/>
                <w:szCs w:val="22"/>
              </w:rPr>
              <w:t>ащ</w:t>
            </w:r>
            <w:r w:rsidRPr="006F6DAC">
              <w:rPr>
                <w:rFonts w:ascii="Garamond" w:hAnsi="Garamond"/>
                <w:bCs/>
                <w:color w:val="000000"/>
                <w:sz w:val="22"/>
                <w:szCs w:val="22"/>
              </w:rPr>
              <w:t>его данные о типе электронного документа, которое должно быть равно 80041.</w:t>
            </w:r>
          </w:p>
          <w:p w14:paraId="00AC1872" w14:textId="77777777" w:rsidR="00F11A8B" w:rsidRPr="006F6DAC" w:rsidRDefault="00F11A8B" w:rsidP="00F11A8B">
            <w:pPr>
              <w:tabs>
                <w:tab w:val="left" w:pos="1080"/>
              </w:tabs>
              <w:spacing w:before="120" w:after="120"/>
              <w:jc w:val="both"/>
              <w:rPr>
                <w:rFonts w:ascii="Garamond" w:hAnsi="Garamond"/>
                <w:bCs/>
                <w:color w:val="000000"/>
                <w:sz w:val="22"/>
                <w:szCs w:val="22"/>
              </w:rPr>
            </w:pPr>
            <w:r w:rsidRPr="006F6DAC">
              <w:rPr>
                <w:rFonts w:ascii="Garamond" w:hAnsi="Garamond"/>
                <w:color w:val="000000"/>
                <w:sz w:val="22"/>
                <w:szCs w:val="22"/>
                <w:highlight w:val="yellow"/>
              </w:rPr>
              <w:t xml:space="preserve">3. Структура электронного документа типа 20021 идентична структуре электронного документа в формате 80021, исключение составляет значение </w:t>
            </w:r>
            <w:r w:rsidRPr="006F6DAC">
              <w:rPr>
                <w:rFonts w:ascii="Garamond" w:hAnsi="Garamond"/>
                <w:color w:val="000000"/>
                <w:sz w:val="22"/>
                <w:szCs w:val="22"/>
                <w:highlight w:val="yellow"/>
              </w:rPr>
              <w:lastRenderedPageBreak/>
              <w:t>атрибута class элемента &lt;message&gt;, содержащего данные о типе электронного документа, которое должно быть равно 20021.</w:t>
            </w:r>
          </w:p>
        </w:tc>
      </w:tr>
      <w:tr w:rsidR="00F11A8B" w:rsidRPr="006F6DAC" w14:paraId="1907CE42" w14:textId="77777777" w:rsidTr="006F6DAC">
        <w:tc>
          <w:tcPr>
            <w:tcW w:w="1060" w:type="dxa"/>
          </w:tcPr>
          <w:p w14:paraId="5E95B058" w14:textId="77777777" w:rsidR="00F11A8B" w:rsidRPr="006F6DAC" w:rsidRDefault="00F11A8B" w:rsidP="00F11A8B">
            <w:pPr>
              <w:widowControl w:val="0"/>
              <w:spacing w:line="259" w:lineRule="auto"/>
              <w:jc w:val="center"/>
              <w:rPr>
                <w:rFonts w:ascii="Garamond" w:hAnsi="Garamond"/>
                <w:b/>
                <w:sz w:val="22"/>
                <w:szCs w:val="22"/>
                <w:lang w:eastAsia="en-US"/>
              </w:rPr>
            </w:pPr>
            <w:r w:rsidRPr="006F6DAC">
              <w:rPr>
                <w:rFonts w:ascii="Garamond" w:hAnsi="Garamond"/>
                <w:b/>
                <w:sz w:val="22"/>
                <w:szCs w:val="22"/>
                <w:lang w:eastAsia="en-US"/>
              </w:rPr>
              <w:lastRenderedPageBreak/>
              <w:t>Приложение 5</w:t>
            </w:r>
          </w:p>
        </w:tc>
        <w:tc>
          <w:tcPr>
            <w:tcW w:w="6804" w:type="dxa"/>
          </w:tcPr>
          <w:p w14:paraId="2F9B0114" w14:textId="77777777" w:rsidR="00F11A8B" w:rsidRPr="006F6DAC" w:rsidRDefault="00F11A8B" w:rsidP="00F11A8B">
            <w:pPr>
              <w:pStyle w:val="10"/>
              <w:jc w:val="right"/>
              <w:rPr>
                <w:rFonts w:ascii="Garamond" w:hAnsi="Garamond"/>
                <w:sz w:val="22"/>
                <w:szCs w:val="22"/>
                <w:highlight w:val="yellow"/>
              </w:rPr>
            </w:pPr>
            <w:r w:rsidRPr="006F6DAC">
              <w:rPr>
                <w:rFonts w:ascii="Garamond" w:hAnsi="Garamond"/>
                <w:sz w:val="22"/>
                <w:szCs w:val="22"/>
                <w:highlight w:val="yellow"/>
              </w:rPr>
              <w:t>Приложение 5</w:t>
            </w:r>
          </w:p>
          <w:p w14:paraId="68851F53" w14:textId="77777777" w:rsidR="00F11A8B" w:rsidRPr="006F6DAC" w:rsidRDefault="00F11A8B" w:rsidP="00F11A8B">
            <w:pPr>
              <w:rPr>
                <w:rFonts w:ascii="Garamond" w:hAnsi="Garamond"/>
                <w:color w:val="000000"/>
                <w:sz w:val="22"/>
                <w:szCs w:val="22"/>
                <w:highlight w:val="yellow"/>
              </w:rPr>
            </w:pPr>
          </w:p>
          <w:p w14:paraId="560FA2CB" w14:textId="77777777" w:rsidR="00F11A8B" w:rsidRPr="006F6DAC" w:rsidRDefault="00F11A8B" w:rsidP="00F11A8B">
            <w:pPr>
              <w:pStyle w:val="10"/>
              <w:rPr>
                <w:rFonts w:ascii="Garamond" w:hAnsi="Garamond"/>
                <w:color w:val="000000"/>
                <w:sz w:val="22"/>
                <w:szCs w:val="22"/>
                <w:highlight w:val="yellow"/>
              </w:rPr>
            </w:pPr>
            <w:r w:rsidRPr="006F6DAC">
              <w:rPr>
                <w:rFonts w:ascii="Garamond" w:hAnsi="Garamond"/>
                <w:color w:val="000000"/>
                <w:sz w:val="22"/>
                <w:szCs w:val="22"/>
                <w:highlight w:val="yellow"/>
              </w:rPr>
              <w:t>Декларация разметки входного документа 80050</w:t>
            </w:r>
          </w:p>
          <w:p w14:paraId="30E53850" w14:textId="77777777" w:rsidR="00F11A8B" w:rsidRPr="006F6DAC" w:rsidRDefault="00F11A8B" w:rsidP="00F11A8B">
            <w:pPr>
              <w:rPr>
                <w:rFonts w:ascii="Garamond" w:hAnsi="Garamond"/>
                <w:color w:val="000000"/>
                <w:sz w:val="22"/>
                <w:szCs w:val="22"/>
                <w:highlight w:val="yellow"/>
              </w:rPr>
            </w:pPr>
          </w:p>
          <w:p w14:paraId="64AE247C" w14:textId="77777777" w:rsidR="00F11A8B" w:rsidRPr="006F6DAC" w:rsidRDefault="00F11A8B" w:rsidP="00F11A8B">
            <w:pPr>
              <w:pStyle w:val="aff8"/>
              <w:rPr>
                <w:rFonts w:ascii="Garamond" w:hAnsi="Garamond"/>
                <w:color w:val="000000"/>
                <w:sz w:val="22"/>
                <w:szCs w:val="22"/>
                <w:highlight w:val="yellow"/>
                <w:lang w:val="en-US"/>
              </w:rPr>
            </w:pPr>
            <w:r w:rsidRPr="006F6DAC">
              <w:rPr>
                <w:rFonts w:ascii="Garamond" w:hAnsi="Garamond"/>
                <w:color w:val="000000"/>
                <w:sz w:val="22"/>
                <w:szCs w:val="22"/>
                <w:highlight w:val="yellow"/>
                <w:lang w:val="en-US"/>
              </w:rPr>
              <w:t>&lt;!ELEMENT message (comment?,datetime,sender,area*)&gt;</w:t>
            </w:r>
          </w:p>
          <w:p w14:paraId="07BA9792" w14:textId="77777777" w:rsidR="00F11A8B" w:rsidRPr="006F6DAC" w:rsidRDefault="00F11A8B" w:rsidP="00F11A8B">
            <w:pPr>
              <w:pStyle w:val="aff8"/>
              <w:rPr>
                <w:rFonts w:ascii="Garamond" w:hAnsi="Garamond"/>
                <w:color w:val="000000"/>
                <w:sz w:val="22"/>
                <w:szCs w:val="22"/>
                <w:highlight w:val="yellow"/>
                <w:lang w:val="en-US"/>
              </w:rPr>
            </w:pPr>
            <w:r w:rsidRPr="006F6DAC">
              <w:rPr>
                <w:rFonts w:ascii="Garamond" w:hAnsi="Garamond"/>
                <w:color w:val="000000"/>
                <w:sz w:val="22"/>
                <w:szCs w:val="22"/>
                <w:highlight w:val="yellow"/>
                <w:lang w:val="en-US"/>
              </w:rPr>
              <w:t xml:space="preserve">   &lt;!ATTLIST message</w:t>
            </w:r>
          </w:p>
          <w:p w14:paraId="1C556C72" w14:textId="77777777" w:rsidR="00F11A8B" w:rsidRPr="006F6DAC" w:rsidRDefault="00F11A8B" w:rsidP="00F11A8B">
            <w:pPr>
              <w:pStyle w:val="aff8"/>
              <w:rPr>
                <w:rFonts w:ascii="Garamond" w:hAnsi="Garamond"/>
                <w:color w:val="000000"/>
                <w:sz w:val="22"/>
                <w:szCs w:val="22"/>
                <w:highlight w:val="yellow"/>
                <w:lang w:val="en-US"/>
              </w:rPr>
            </w:pPr>
            <w:r w:rsidRPr="006F6DAC">
              <w:rPr>
                <w:rFonts w:ascii="Garamond" w:hAnsi="Garamond"/>
                <w:color w:val="000000"/>
                <w:sz w:val="22"/>
                <w:szCs w:val="22"/>
                <w:highlight w:val="yellow"/>
                <w:lang w:val="en-US"/>
              </w:rPr>
              <w:t xml:space="preserve">   </w:t>
            </w:r>
            <w:r w:rsidRPr="006F6DAC">
              <w:rPr>
                <w:rFonts w:ascii="Garamond" w:hAnsi="Garamond"/>
                <w:color w:val="000000"/>
                <w:sz w:val="22"/>
                <w:szCs w:val="22"/>
                <w:highlight w:val="yellow"/>
                <w:lang w:val="en-US"/>
              </w:rPr>
              <w:tab/>
              <w:t xml:space="preserve">class   </w:t>
            </w:r>
            <w:r w:rsidRPr="006F6DAC">
              <w:rPr>
                <w:rFonts w:ascii="Garamond" w:hAnsi="Garamond"/>
                <w:color w:val="000000"/>
                <w:sz w:val="22"/>
                <w:szCs w:val="22"/>
                <w:highlight w:val="yellow"/>
                <w:lang w:val="en-US"/>
              </w:rPr>
              <w:tab/>
              <w:t xml:space="preserve">CDATA #REQUIRED </w:t>
            </w:r>
          </w:p>
          <w:p w14:paraId="142E11EE" w14:textId="77777777" w:rsidR="00F11A8B" w:rsidRPr="006F6DAC" w:rsidRDefault="00F11A8B" w:rsidP="00F11A8B">
            <w:pPr>
              <w:pStyle w:val="aff8"/>
              <w:rPr>
                <w:rFonts w:ascii="Garamond" w:hAnsi="Garamond"/>
                <w:color w:val="000000"/>
                <w:sz w:val="22"/>
                <w:szCs w:val="22"/>
                <w:highlight w:val="yellow"/>
                <w:lang w:val="en-US"/>
              </w:rPr>
            </w:pPr>
            <w:r w:rsidRPr="006F6DAC">
              <w:rPr>
                <w:rFonts w:ascii="Garamond" w:hAnsi="Garamond"/>
                <w:color w:val="000000"/>
                <w:sz w:val="22"/>
                <w:szCs w:val="22"/>
                <w:highlight w:val="yellow"/>
                <w:lang w:val="en-US"/>
              </w:rPr>
              <w:t xml:space="preserve">   </w:t>
            </w:r>
            <w:r w:rsidRPr="006F6DAC">
              <w:rPr>
                <w:rFonts w:ascii="Garamond" w:hAnsi="Garamond"/>
                <w:color w:val="000000"/>
                <w:sz w:val="22"/>
                <w:szCs w:val="22"/>
                <w:highlight w:val="yellow"/>
                <w:lang w:val="en-US"/>
              </w:rPr>
              <w:tab/>
              <w:t xml:space="preserve">version </w:t>
            </w:r>
            <w:r w:rsidRPr="006F6DAC">
              <w:rPr>
                <w:rFonts w:ascii="Garamond" w:hAnsi="Garamond"/>
                <w:color w:val="000000"/>
                <w:sz w:val="22"/>
                <w:szCs w:val="22"/>
                <w:highlight w:val="yellow"/>
                <w:lang w:val="en-US"/>
              </w:rPr>
              <w:tab/>
              <w:t xml:space="preserve">CDATA #REQUIRED </w:t>
            </w:r>
          </w:p>
          <w:p w14:paraId="467299FF" w14:textId="77777777" w:rsidR="00F11A8B" w:rsidRPr="006F6DAC" w:rsidRDefault="00F11A8B" w:rsidP="00F11A8B">
            <w:pPr>
              <w:pStyle w:val="aff8"/>
              <w:rPr>
                <w:rFonts w:ascii="Garamond" w:hAnsi="Garamond"/>
                <w:color w:val="000000"/>
                <w:sz w:val="22"/>
                <w:szCs w:val="22"/>
                <w:highlight w:val="yellow"/>
                <w:lang w:val="en-US"/>
              </w:rPr>
            </w:pPr>
            <w:r w:rsidRPr="006F6DAC">
              <w:rPr>
                <w:rFonts w:ascii="Garamond" w:hAnsi="Garamond"/>
                <w:color w:val="000000"/>
                <w:sz w:val="22"/>
                <w:szCs w:val="22"/>
                <w:highlight w:val="yellow"/>
                <w:lang w:val="en-US"/>
              </w:rPr>
              <w:t xml:space="preserve">   </w:t>
            </w:r>
            <w:r w:rsidRPr="006F6DAC">
              <w:rPr>
                <w:rFonts w:ascii="Garamond" w:hAnsi="Garamond"/>
                <w:color w:val="000000"/>
                <w:sz w:val="22"/>
                <w:szCs w:val="22"/>
                <w:highlight w:val="yellow"/>
                <w:lang w:val="en-US"/>
              </w:rPr>
              <w:tab/>
              <w:t xml:space="preserve">number </w:t>
            </w:r>
            <w:r w:rsidRPr="006F6DAC">
              <w:rPr>
                <w:rFonts w:ascii="Garamond" w:hAnsi="Garamond"/>
                <w:color w:val="000000"/>
                <w:sz w:val="22"/>
                <w:szCs w:val="22"/>
                <w:highlight w:val="yellow"/>
                <w:lang w:val="en-US"/>
              </w:rPr>
              <w:tab/>
              <w:t xml:space="preserve">CDATA #REQUIRED  </w:t>
            </w:r>
          </w:p>
          <w:p w14:paraId="358AB0DE" w14:textId="77777777" w:rsidR="00F11A8B" w:rsidRPr="006F6DAC" w:rsidRDefault="00F11A8B" w:rsidP="00F11A8B">
            <w:pPr>
              <w:pStyle w:val="aff8"/>
              <w:rPr>
                <w:rFonts w:ascii="Garamond" w:hAnsi="Garamond"/>
                <w:color w:val="000000"/>
                <w:sz w:val="22"/>
                <w:szCs w:val="22"/>
                <w:highlight w:val="yellow"/>
                <w:lang w:val="en-US"/>
              </w:rPr>
            </w:pPr>
            <w:r w:rsidRPr="006F6DAC">
              <w:rPr>
                <w:rFonts w:ascii="Garamond" w:hAnsi="Garamond"/>
                <w:color w:val="000000"/>
                <w:sz w:val="22"/>
                <w:szCs w:val="22"/>
                <w:highlight w:val="yellow"/>
                <w:lang w:val="en-US"/>
              </w:rPr>
              <w:t xml:space="preserve">   &gt;</w:t>
            </w:r>
          </w:p>
          <w:p w14:paraId="24AFF756" w14:textId="77777777" w:rsidR="00F11A8B" w:rsidRPr="006F6DAC" w:rsidRDefault="00F11A8B" w:rsidP="00F11A8B">
            <w:pPr>
              <w:pStyle w:val="aff8"/>
              <w:rPr>
                <w:rFonts w:ascii="Garamond" w:hAnsi="Garamond"/>
                <w:color w:val="000000"/>
                <w:sz w:val="22"/>
                <w:szCs w:val="22"/>
                <w:highlight w:val="yellow"/>
                <w:lang w:val="en-US"/>
              </w:rPr>
            </w:pPr>
            <w:r w:rsidRPr="006F6DAC">
              <w:rPr>
                <w:rFonts w:ascii="Garamond" w:hAnsi="Garamond"/>
                <w:color w:val="000000"/>
                <w:sz w:val="22"/>
                <w:szCs w:val="22"/>
                <w:highlight w:val="yellow"/>
                <w:lang w:val="en-US"/>
              </w:rPr>
              <w:t>&lt;!ELEMENT datetime (timestamp, month, daytype)&gt;</w:t>
            </w:r>
          </w:p>
          <w:p w14:paraId="0DB06B0C" w14:textId="77777777" w:rsidR="00F11A8B" w:rsidRPr="006F6DAC" w:rsidRDefault="00F11A8B" w:rsidP="00F11A8B">
            <w:pPr>
              <w:pStyle w:val="aff8"/>
              <w:rPr>
                <w:rFonts w:ascii="Garamond" w:hAnsi="Garamond"/>
                <w:color w:val="000000"/>
                <w:sz w:val="22"/>
                <w:szCs w:val="22"/>
                <w:highlight w:val="yellow"/>
                <w:lang w:val="en-US"/>
              </w:rPr>
            </w:pPr>
            <w:r w:rsidRPr="006F6DAC">
              <w:rPr>
                <w:rFonts w:ascii="Garamond" w:hAnsi="Garamond"/>
                <w:color w:val="000000"/>
                <w:sz w:val="22"/>
                <w:szCs w:val="22"/>
                <w:highlight w:val="yellow"/>
                <w:lang w:val="en-US"/>
              </w:rPr>
              <w:t>&lt;!ELEMENT timestamp (#PCDATA)&gt;</w:t>
            </w:r>
          </w:p>
          <w:p w14:paraId="440765CE" w14:textId="77777777" w:rsidR="00F11A8B" w:rsidRPr="006F6DAC" w:rsidRDefault="00F11A8B" w:rsidP="00F11A8B">
            <w:pPr>
              <w:pStyle w:val="aff8"/>
              <w:rPr>
                <w:rFonts w:ascii="Garamond" w:hAnsi="Garamond"/>
                <w:color w:val="000000"/>
                <w:sz w:val="22"/>
                <w:szCs w:val="22"/>
                <w:highlight w:val="yellow"/>
                <w:lang w:val="en-US"/>
              </w:rPr>
            </w:pPr>
            <w:r w:rsidRPr="006F6DAC">
              <w:rPr>
                <w:rFonts w:ascii="Garamond" w:hAnsi="Garamond"/>
                <w:color w:val="000000"/>
                <w:sz w:val="22"/>
                <w:szCs w:val="22"/>
                <w:highlight w:val="yellow"/>
                <w:lang w:val="en-US"/>
              </w:rPr>
              <w:t>&lt;!ELEMENT month (#PCDATA)&gt;</w:t>
            </w:r>
          </w:p>
          <w:p w14:paraId="6AD95D62" w14:textId="77777777" w:rsidR="00F11A8B" w:rsidRPr="006F6DAC" w:rsidRDefault="00F11A8B" w:rsidP="00F11A8B">
            <w:pPr>
              <w:pStyle w:val="aff8"/>
              <w:rPr>
                <w:rFonts w:ascii="Garamond" w:hAnsi="Garamond"/>
                <w:color w:val="000000"/>
                <w:sz w:val="22"/>
                <w:szCs w:val="22"/>
                <w:highlight w:val="yellow"/>
                <w:lang w:val="en-US"/>
              </w:rPr>
            </w:pPr>
            <w:r w:rsidRPr="006F6DAC">
              <w:rPr>
                <w:rFonts w:ascii="Garamond" w:hAnsi="Garamond"/>
                <w:color w:val="000000"/>
                <w:sz w:val="22"/>
                <w:szCs w:val="22"/>
                <w:highlight w:val="yellow"/>
                <w:lang w:val="en-US"/>
              </w:rPr>
              <w:t>&lt;!ELEMENT daytype (#PCDATA)&gt;</w:t>
            </w:r>
          </w:p>
          <w:p w14:paraId="2FE078BB" w14:textId="77777777" w:rsidR="00F11A8B" w:rsidRPr="006F6DAC" w:rsidRDefault="00F11A8B" w:rsidP="00F11A8B">
            <w:pPr>
              <w:pStyle w:val="aff8"/>
              <w:rPr>
                <w:rFonts w:ascii="Garamond" w:hAnsi="Garamond"/>
                <w:color w:val="000000"/>
                <w:sz w:val="22"/>
                <w:szCs w:val="22"/>
                <w:highlight w:val="yellow"/>
                <w:lang w:val="en-US"/>
              </w:rPr>
            </w:pPr>
            <w:r w:rsidRPr="006F6DAC">
              <w:rPr>
                <w:rFonts w:ascii="Garamond" w:hAnsi="Garamond"/>
                <w:color w:val="000000"/>
                <w:sz w:val="22"/>
                <w:szCs w:val="22"/>
                <w:highlight w:val="yellow"/>
                <w:lang w:val="en-US"/>
              </w:rPr>
              <w:t xml:space="preserve">  </w:t>
            </w:r>
          </w:p>
          <w:p w14:paraId="518468C9" w14:textId="77777777" w:rsidR="00F11A8B" w:rsidRPr="006F6DAC" w:rsidRDefault="00F11A8B" w:rsidP="00F11A8B">
            <w:pPr>
              <w:pStyle w:val="aff8"/>
              <w:rPr>
                <w:rFonts w:ascii="Garamond" w:hAnsi="Garamond"/>
                <w:color w:val="000000"/>
                <w:sz w:val="22"/>
                <w:szCs w:val="22"/>
                <w:highlight w:val="yellow"/>
                <w:lang w:val="en-US"/>
              </w:rPr>
            </w:pPr>
            <w:r w:rsidRPr="006F6DAC">
              <w:rPr>
                <w:rFonts w:ascii="Garamond" w:hAnsi="Garamond"/>
                <w:color w:val="000000"/>
                <w:sz w:val="22"/>
                <w:szCs w:val="22"/>
                <w:highlight w:val="yellow"/>
                <w:lang w:val="en-US"/>
              </w:rPr>
              <w:t>&lt;!ELEMENT sender (inn,name)&gt;</w:t>
            </w:r>
          </w:p>
          <w:p w14:paraId="5FB4D277" w14:textId="77777777" w:rsidR="00F11A8B" w:rsidRPr="006F6DAC" w:rsidRDefault="00F11A8B" w:rsidP="00F11A8B">
            <w:pPr>
              <w:pStyle w:val="aff8"/>
              <w:rPr>
                <w:rFonts w:ascii="Garamond" w:hAnsi="Garamond"/>
                <w:color w:val="000000"/>
                <w:sz w:val="22"/>
                <w:szCs w:val="22"/>
                <w:highlight w:val="yellow"/>
                <w:lang w:val="en-US"/>
              </w:rPr>
            </w:pPr>
            <w:r w:rsidRPr="006F6DAC">
              <w:rPr>
                <w:rFonts w:ascii="Garamond" w:hAnsi="Garamond"/>
                <w:color w:val="000000"/>
                <w:sz w:val="22"/>
                <w:szCs w:val="22"/>
                <w:highlight w:val="yellow"/>
                <w:lang w:val="en-US"/>
              </w:rPr>
              <w:t>&lt;!ELEMENT inn (#PCDATA)&gt;</w:t>
            </w:r>
          </w:p>
          <w:p w14:paraId="36FB0B34" w14:textId="77777777" w:rsidR="00F11A8B" w:rsidRPr="006F6DAC" w:rsidRDefault="00F11A8B" w:rsidP="00F11A8B">
            <w:pPr>
              <w:pStyle w:val="aff8"/>
              <w:rPr>
                <w:rFonts w:ascii="Garamond" w:hAnsi="Garamond"/>
                <w:color w:val="000000"/>
                <w:sz w:val="22"/>
                <w:szCs w:val="22"/>
                <w:highlight w:val="yellow"/>
                <w:lang w:val="en-US"/>
              </w:rPr>
            </w:pPr>
            <w:r w:rsidRPr="006F6DAC">
              <w:rPr>
                <w:rFonts w:ascii="Garamond" w:hAnsi="Garamond"/>
                <w:color w:val="000000"/>
                <w:sz w:val="22"/>
                <w:szCs w:val="22"/>
                <w:highlight w:val="yellow"/>
                <w:lang w:val="en-US"/>
              </w:rPr>
              <w:t>&lt;!ELEMENT name (#PCDATA)&gt;</w:t>
            </w:r>
          </w:p>
          <w:p w14:paraId="57E999EA" w14:textId="77777777" w:rsidR="00F11A8B" w:rsidRPr="006F6DAC" w:rsidRDefault="00F11A8B" w:rsidP="00F11A8B">
            <w:pPr>
              <w:pStyle w:val="aff8"/>
              <w:rPr>
                <w:rFonts w:ascii="Garamond" w:hAnsi="Garamond"/>
                <w:color w:val="000000"/>
                <w:sz w:val="22"/>
                <w:szCs w:val="22"/>
                <w:highlight w:val="yellow"/>
                <w:lang w:val="en-US"/>
              </w:rPr>
            </w:pPr>
          </w:p>
          <w:p w14:paraId="37C27F8C" w14:textId="77777777" w:rsidR="00F11A8B" w:rsidRPr="006F6DAC" w:rsidRDefault="00F11A8B" w:rsidP="00F11A8B">
            <w:pPr>
              <w:pStyle w:val="aff8"/>
              <w:rPr>
                <w:rFonts w:ascii="Garamond" w:hAnsi="Garamond"/>
                <w:color w:val="000000"/>
                <w:sz w:val="22"/>
                <w:szCs w:val="22"/>
                <w:highlight w:val="yellow"/>
                <w:lang w:val="en-US"/>
              </w:rPr>
            </w:pPr>
            <w:r w:rsidRPr="006F6DAC">
              <w:rPr>
                <w:rFonts w:ascii="Garamond" w:hAnsi="Garamond"/>
                <w:color w:val="000000"/>
                <w:sz w:val="22"/>
                <w:szCs w:val="22"/>
                <w:highlight w:val="yellow"/>
                <w:lang w:val="en-US"/>
              </w:rPr>
              <w:t>&lt;!ELEMENT comment (#PCDATA)&gt;</w:t>
            </w:r>
          </w:p>
          <w:p w14:paraId="3BA3FA06" w14:textId="77777777" w:rsidR="00F11A8B" w:rsidRPr="006F6DAC" w:rsidRDefault="00F11A8B" w:rsidP="00F11A8B">
            <w:pPr>
              <w:pStyle w:val="aff8"/>
              <w:rPr>
                <w:rFonts w:ascii="Garamond" w:hAnsi="Garamond"/>
                <w:color w:val="000000"/>
                <w:sz w:val="22"/>
                <w:szCs w:val="22"/>
                <w:highlight w:val="yellow"/>
                <w:lang w:val="en-US"/>
              </w:rPr>
            </w:pPr>
            <w:r w:rsidRPr="006F6DAC">
              <w:rPr>
                <w:rFonts w:ascii="Garamond" w:hAnsi="Garamond"/>
                <w:color w:val="000000"/>
                <w:sz w:val="22"/>
                <w:szCs w:val="22"/>
                <w:highlight w:val="yellow"/>
                <w:lang w:val="en-US"/>
              </w:rPr>
              <w:t xml:space="preserve">  </w:t>
            </w:r>
          </w:p>
          <w:p w14:paraId="1CBB7BB1" w14:textId="77777777" w:rsidR="00F11A8B" w:rsidRPr="006F6DAC" w:rsidRDefault="00F11A8B" w:rsidP="00F11A8B">
            <w:pPr>
              <w:pStyle w:val="aff8"/>
              <w:rPr>
                <w:rFonts w:ascii="Garamond" w:hAnsi="Garamond"/>
                <w:color w:val="000000"/>
                <w:sz w:val="22"/>
                <w:szCs w:val="22"/>
                <w:highlight w:val="yellow"/>
                <w:lang w:val="en-US"/>
              </w:rPr>
            </w:pPr>
            <w:r w:rsidRPr="006F6DAC">
              <w:rPr>
                <w:rFonts w:ascii="Garamond" w:hAnsi="Garamond"/>
                <w:color w:val="000000"/>
                <w:sz w:val="22"/>
                <w:szCs w:val="22"/>
                <w:highlight w:val="yellow"/>
                <w:lang w:val="en-US"/>
              </w:rPr>
              <w:t>&lt;!ELEMENT area (inn,name,  measuringpoint+) &gt;</w:t>
            </w:r>
          </w:p>
          <w:p w14:paraId="5F850207" w14:textId="77777777" w:rsidR="00F11A8B" w:rsidRPr="006F6DAC" w:rsidRDefault="00F11A8B" w:rsidP="00F11A8B">
            <w:pPr>
              <w:pStyle w:val="aff8"/>
              <w:rPr>
                <w:rFonts w:ascii="Garamond" w:hAnsi="Garamond"/>
                <w:color w:val="000000"/>
                <w:sz w:val="22"/>
                <w:szCs w:val="22"/>
                <w:highlight w:val="yellow"/>
                <w:lang w:val="en-US"/>
              </w:rPr>
            </w:pPr>
            <w:r w:rsidRPr="006F6DAC">
              <w:rPr>
                <w:rFonts w:ascii="Garamond" w:hAnsi="Garamond"/>
                <w:color w:val="000000"/>
                <w:sz w:val="22"/>
                <w:szCs w:val="22"/>
                <w:highlight w:val="yellow"/>
                <w:lang w:val="en-US"/>
              </w:rPr>
              <w:t>&lt;!ATTLIST area</w:t>
            </w:r>
          </w:p>
          <w:p w14:paraId="0CABA063" w14:textId="77777777" w:rsidR="00F11A8B" w:rsidRPr="006F6DAC" w:rsidRDefault="00F11A8B" w:rsidP="00F11A8B">
            <w:pPr>
              <w:pStyle w:val="aff8"/>
              <w:rPr>
                <w:rFonts w:ascii="Garamond" w:hAnsi="Garamond"/>
                <w:color w:val="000000"/>
                <w:sz w:val="22"/>
                <w:szCs w:val="22"/>
                <w:highlight w:val="yellow"/>
                <w:lang w:val="en-US"/>
              </w:rPr>
            </w:pPr>
            <w:r w:rsidRPr="006F6DAC">
              <w:rPr>
                <w:rFonts w:ascii="Garamond" w:hAnsi="Garamond"/>
                <w:color w:val="000000"/>
                <w:sz w:val="22"/>
                <w:szCs w:val="22"/>
                <w:highlight w:val="yellow"/>
                <w:lang w:val="en-US"/>
              </w:rPr>
              <w:tab/>
            </w:r>
          </w:p>
          <w:p w14:paraId="2F34A146" w14:textId="77777777" w:rsidR="00F11A8B" w:rsidRPr="006F6DAC" w:rsidRDefault="00F11A8B" w:rsidP="00F11A8B">
            <w:pPr>
              <w:pStyle w:val="aff8"/>
              <w:rPr>
                <w:rFonts w:ascii="Garamond" w:hAnsi="Garamond"/>
                <w:color w:val="000000"/>
                <w:sz w:val="22"/>
                <w:szCs w:val="22"/>
                <w:highlight w:val="yellow"/>
                <w:lang w:val="en-US"/>
              </w:rPr>
            </w:pPr>
            <w:r w:rsidRPr="006F6DAC">
              <w:rPr>
                <w:rFonts w:ascii="Garamond" w:hAnsi="Garamond"/>
                <w:color w:val="000000"/>
                <w:sz w:val="22"/>
                <w:szCs w:val="22"/>
                <w:highlight w:val="yellow"/>
                <w:lang w:val="en-US"/>
              </w:rPr>
              <w:t>&lt;!ELEMENT measuringpoint (measuringchannel+) &gt;</w:t>
            </w:r>
          </w:p>
          <w:p w14:paraId="111BD3D3" w14:textId="77777777" w:rsidR="00F11A8B" w:rsidRPr="006F6DAC" w:rsidRDefault="00F11A8B" w:rsidP="00F11A8B">
            <w:pPr>
              <w:pStyle w:val="aff8"/>
              <w:rPr>
                <w:rFonts w:ascii="Garamond" w:hAnsi="Garamond"/>
                <w:color w:val="000000"/>
                <w:sz w:val="22"/>
                <w:szCs w:val="22"/>
                <w:highlight w:val="yellow"/>
                <w:lang w:val="en-US"/>
              </w:rPr>
            </w:pPr>
            <w:r w:rsidRPr="006F6DAC">
              <w:rPr>
                <w:rFonts w:ascii="Garamond" w:hAnsi="Garamond"/>
                <w:color w:val="000000"/>
                <w:sz w:val="22"/>
                <w:szCs w:val="22"/>
                <w:highlight w:val="yellow"/>
                <w:lang w:val="en-US"/>
              </w:rPr>
              <w:t xml:space="preserve">   &lt;!ATTLIST measuringpoint</w:t>
            </w:r>
          </w:p>
          <w:p w14:paraId="7399ED83" w14:textId="77777777" w:rsidR="00F11A8B" w:rsidRPr="006F6DAC" w:rsidRDefault="00F11A8B" w:rsidP="00F11A8B">
            <w:pPr>
              <w:pStyle w:val="aff8"/>
              <w:rPr>
                <w:rFonts w:ascii="Garamond" w:hAnsi="Garamond"/>
                <w:color w:val="000000"/>
                <w:sz w:val="22"/>
                <w:szCs w:val="22"/>
                <w:highlight w:val="yellow"/>
                <w:lang w:val="en-US"/>
              </w:rPr>
            </w:pPr>
            <w:r w:rsidRPr="006F6DAC">
              <w:rPr>
                <w:rFonts w:ascii="Garamond" w:hAnsi="Garamond"/>
                <w:color w:val="000000"/>
                <w:sz w:val="22"/>
                <w:szCs w:val="22"/>
                <w:highlight w:val="yellow"/>
                <w:lang w:val="en-US"/>
              </w:rPr>
              <w:t xml:space="preserve">   </w:t>
            </w:r>
            <w:r w:rsidRPr="006F6DAC">
              <w:rPr>
                <w:rFonts w:ascii="Garamond" w:hAnsi="Garamond"/>
                <w:color w:val="000000"/>
                <w:sz w:val="22"/>
                <w:szCs w:val="22"/>
                <w:highlight w:val="yellow"/>
                <w:lang w:val="en-US"/>
              </w:rPr>
              <w:tab/>
              <w:t xml:space="preserve">code   </w:t>
            </w:r>
            <w:r w:rsidRPr="006F6DAC">
              <w:rPr>
                <w:rFonts w:ascii="Garamond" w:hAnsi="Garamond"/>
                <w:color w:val="000000"/>
                <w:sz w:val="22"/>
                <w:szCs w:val="22"/>
                <w:highlight w:val="yellow"/>
                <w:lang w:val="en-US"/>
              </w:rPr>
              <w:tab/>
              <w:t xml:space="preserve">CDATA #REQUIRED </w:t>
            </w:r>
          </w:p>
          <w:p w14:paraId="7339ACB4" w14:textId="77777777" w:rsidR="00F11A8B" w:rsidRPr="006F6DAC" w:rsidRDefault="00F11A8B" w:rsidP="00F11A8B">
            <w:pPr>
              <w:pStyle w:val="aff8"/>
              <w:rPr>
                <w:rFonts w:ascii="Garamond" w:hAnsi="Garamond"/>
                <w:color w:val="000000"/>
                <w:sz w:val="22"/>
                <w:szCs w:val="22"/>
                <w:highlight w:val="yellow"/>
                <w:lang w:val="en-US"/>
              </w:rPr>
            </w:pPr>
            <w:r w:rsidRPr="006F6DAC">
              <w:rPr>
                <w:rFonts w:ascii="Garamond" w:hAnsi="Garamond"/>
                <w:color w:val="000000"/>
                <w:sz w:val="22"/>
                <w:szCs w:val="22"/>
                <w:highlight w:val="yellow"/>
                <w:lang w:val="en-US"/>
              </w:rPr>
              <w:t xml:space="preserve">   </w:t>
            </w:r>
            <w:r w:rsidRPr="006F6DAC">
              <w:rPr>
                <w:rFonts w:ascii="Garamond" w:hAnsi="Garamond"/>
                <w:color w:val="000000"/>
                <w:sz w:val="22"/>
                <w:szCs w:val="22"/>
                <w:highlight w:val="yellow"/>
                <w:lang w:val="en-US"/>
              </w:rPr>
              <w:tab/>
              <w:t xml:space="preserve">name   </w:t>
            </w:r>
            <w:r w:rsidRPr="006F6DAC">
              <w:rPr>
                <w:rFonts w:ascii="Garamond" w:hAnsi="Garamond"/>
                <w:color w:val="000000"/>
                <w:sz w:val="22"/>
                <w:szCs w:val="22"/>
                <w:highlight w:val="yellow"/>
                <w:lang w:val="en-US"/>
              </w:rPr>
              <w:tab/>
              <w:t xml:space="preserve">CDATA #REQUIRED </w:t>
            </w:r>
          </w:p>
          <w:p w14:paraId="06A367CF" w14:textId="77777777" w:rsidR="00F11A8B" w:rsidRPr="006F6DAC" w:rsidRDefault="00F11A8B" w:rsidP="00F11A8B">
            <w:pPr>
              <w:pStyle w:val="aff8"/>
              <w:rPr>
                <w:rFonts w:ascii="Garamond" w:hAnsi="Garamond"/>
                <w:color w:val="000000"/>
                <w:sz w:val="22"/>
                <w:szCs w:val="22"/>
                <w:highlight w:val="yellow"/>
                <w:lang w:val="en-US"/>
              </w:rPr>
            </w:pPr>
            <w:r w:rsidRPr="006F6DAC">
              <w:rPr>
                <w:rFonts w:ascii="Garamond" w:hAnsi="Garamond"/>
                <w:color w:val="000000"/>
                <w:sz w:val="22"/>
                <w:szCs w:val="22"/>
                <w:highlight w:val="yellow"/>
                <w:lang w:val="en-US"/>
              </w:rPr>
              <w:t xml:space="preserve">   &gt;</w:t>
            </w:r>
          </w:p>
          <w:p w14:paraId="45D231C3" w14:textId="77777777" w:rsidR="00F11A8B" w:rsidRPr="006F6DAC" w:rsidRDefault="00F11A8B" w:rsidP="00F11A8B">
            <w:pPr>
              <w:pStyle w:val="aff8"/>
              <w:rPr>
                <w:rFonts w:ascii="Garamond" w:hAnsi="Garamond"/>
                <w:color w:val="000000"/>
                <w:sz w:val="22"/>
                <w:szCs w:val="22"/>
                <w:highlight w:val="yellow"/>
                <w:lang w:val="en-US"/>
              </w:rPr>
            </w:pPr>
          </w:p>
          <w:p w14:paraId="2BCBDD35" w14:textId="77777777" w:rsidR="00F11A8B" w:rsidRPr="006F6DAC" w:rsidRDefault="00F11A8B" w:rsidP="00F11A8B">
            <w:pPr>
              <w:pStyle w:val="aff8"/>
              <w:rPr>
                <w:rFonts w:ascii="Garamond" w:hAnsi="Garamond"/>
                <w:color w:val="000000"/>
                <w:sz w:val="22"/>
                <w:szCs w:val="22"/>
                <w:highlight w:val="yellow"/>
                <w:lang w:val="en-US"/>
              </w:rPr>
            </w:pPr>
            <w:r w:rsidRPr="006F6DAC">
              <w:rPr>
                <w:rFonts w:ascii="Garamond" w:hAnsi="Garamond"/>
                <w:color w:val="000000"/>
                <w:sz w:val="22"/>
                <w:szCs w:val="22"/>
                <w:highlight w:val="yellow"/>
                <w:lang w:val="en-US"/>
              </w:rPr>
              <w:t>&lt;!ELEMENT measuringchannel (period+) &gt;</w:t>
            </w:r>
          </w:p>
          <w:p w14:paraId="46F20C27" w14:textId="77777777" w:rsidR="00F11A8B" w:rsidRPr="006F6DAC" w:rsidRDefault="00F11A8B" w:rsidP="00F11A8B">
            <w:pPr>
              <w:pStyle w:val="aff8"/>
              <w:rPr>
                <w:rFonts w:ascii="Garamond" w:hAnsi="Garamond"/>
                <w:color w:val="000000"/>
                <w:sz w:val="22"/>
                <w:szCs w:val="22"/>
                <w:highlight w:val="yellow"/>
                <w:lang w:val="en-US"/>
              </w:rPr>
            </w:pPr>
            <w:r w:rsidRPr="006F6DAC">
              <w:rPr>
                <w:rFonts w:ascii="Garamond" w:hAnsi="Garamond"/>
                <w:color w:val="000000"/>
                <w:sz w:val="22"/>
                <w:szCs w:val="22"/>
                <w:highlight w:val="yellow"/>
                <w:lang w:val="en-US"/>
              </w:rPr>
              <w:t xml:space="preserve">   &lt;!ATTLIST measuringchannel</w:t>
            </w:r>
          </w:p>
          <w:p w14:paraId="4EC8FC19" w14:textId="77777777" w:rsidR="00F11A8B" w:rsidRPr="006F6DAC" w:rsidRDefault="00F11A8B" w:rsidP="00F11A8B">
            <w:pPr>
              <w:pStyle w:val="aff8"/>
              <w:rPr>
                <w:rFonts w:ascii="Garamond" w:hAnsi="Garamond"/>
                <w:color w:val="000000"/>
                <w:sz w:val="22"/>
                <w:szCs w:val="22"/>
                <w:highlight w:val="yellow"/>
                <w:lang w:val="en-US"/>
              </w:rPr>
            </w:pPr>
            <w:r w:rsidRPr="006F6DAC">
              <w:rPr>
                <w:rFonts w:ascii="Garamond" w:hAnsi="Garamond"/>
                <w:color w:val="000000"/>
                <w:sz w:val="22"/>
                <w:szCs w:val="22"/>
                <w:highlight w:val="yellow"/>
                <w:lang w:val="en-US"/>
              </w:rPr>
              <w:t xml:space="preserve">   </w:t>
            </w:r>
            <w:r w:rsidRPr="006F6DAC">
              <w:rPr>
                <w:rFonts w:ascii="Garamond" w:hAnsi="Garamond"/>
                <w:color w:val="000000"/>
                <w:sz w:val="22"/>
                <w:szCs w:val="22"/>
                <w:highlight w:val="yellow"/>
                <w:lang w:val="en-US"/>
              </w:rPr>
              <w:tab/>
              <w:t xml:space="preserve">code   </w:t>
            </w:r>
            <w:r w:rsidRPr="006F6DAC">
              <w:rPr>
                <w:rFonts w:ascii="Garamond" w:hAnsi="Garamond"/>
                <w:color w:val="000000"/>
                <w:sz w:val="22"/>
                <w:szCs w:val="22"/>
                <w:highlight w:val="yellow"/>
                <w:lang w:val="en-US"/>
              </w:rPr>
              <w:tab/>
              <w:t xml:space="preserve">CDATA #REQUIRED </w:t>
            </w:r>
          </w:p>
          <w:p w14:paraId="0F7C3350" w14:textId="77777777" w:rsidR="00F11A8B" w:rsidRPr="006F6DAC" w:rsidRDefault="00F11A8B" w:rsidP="00F11A8B">
            <w:pPr>
              <w:pStyle w:val="aff8"/>
              <w:rPr>
                <w:rFonts w:ascii="Garamond" w:hAnsi="Garamond"/>
                <w:color w:val="000000"/>
                <w:sz w:val="22"/>
                <w:szCs w:val="22"/>
                <w:highlight w:val="yellow"/>
                <w:lang w:val="en-US"/>
              </w:rPr>
            </w:pPr>
            <w:r w:rsidRPr="006F6DAC">
              <w:rPr>
                <w:rFonts w:ascii="Garamond" w:hAnsi="Garamond"/>
                <w:color w:val="000000"/>
                <w:sz w:val="22"/>
                <w:szCs w:val="22"/>
                <w:highlight w:val="yellow"/>
                <w:lang w:val="en-US"/>
              </w:rPr>
              <w:t xml:space="preserve">   </w:t>
            </w:r>
            <w:r w:rsidRPr="006F6DAC">
              <w:rPr>
                <w:rFonts w:ascii="Garamond" w:hAnsi="Garamond"/>
                <w:color w:val="000000"/>
                <w:sz w:val="22"/>
                <w:szCs w:val="22"/>
                <w:highlight w:val="yellow"/>
                <w:lang w:val="en-US"/>
              </w:rPr>
              <w:tab/>
              <w:t xml:space="preserve">desc   </w:t>
            </w:r>
            <w:r w:rsidRPr="006F6DAC">
              <w:rPr>
                <w:rFonts w:ascii="Garamond" w:hAnsi="Garamond"/>
                <w:color w:val="000000"/>
                <w:sz w:val="22"/>
                <w:szCs w:val="22"/>
                <w:highlight w:val="yellow"/>
                <w:lang w:val="en-US"/>
              </w:rPr>
              <w:tab/>
              <w:t xml:space="preserve">CDATA #REQUIRED </w:t>
            </w:r>
          </w:p>
          <w:p w14:paraId="2AC92A94" w14:textId="77777777" w:rsidR="00F11A8B" w:rsidRPr="006F6DAC" w:rsidRDefault="00F11A8B" w:rsidP="00F11A8B">
            <w:pPr>
              <w:pStyle w:val="aff8"/>
              <w:rPr>
                <w:rFonts w:ascii="Garamond" w:hAnsi="Garamond"/>
                <w:color w:val="000000"/>
                <w:sz w:val="22"/>
                <w:szCs w:val="22"/>
                <w:highlight w:val="yellow"/>
                <w:lang w:val="en-US"/>
              </w:rPr>
            </w:pPr>
            <w:r w:rsidRPr="006F6DAC">
              <w:rPr>
                <w:rFonts w:ascii="Garamond" w:hAnsi="Garamond"/>
                <w:color w:val="000000"/>
                <w:sz w:val="22"/>
                <w:szCs w:val="22"/>
                <w:highlight w:val="yellow"/>
                <w:lang w:val="en-US"/>
              </w:rPr>
              <w:t xml:space="preserve">   &gt;</w:t>
            </w:r>
          </w:p>
          <w:p w14:paraId="0273312F" w14:textId="77777777" w:rsidR="00F11A8B" w:rsidRPr="006F6DAC" w:rsidRDefault="00F11A8B" w:rsidP="00F11A8B">
            <w:pPr>
              <w:pStyle w:val="aff8"/>
              <w:rPr>
                <w:rFonts w:ascii="Garamond" w:hAnsi="Garamond"/>
                <w:color w:val="000000"/>
                <w:sz w:val="22"/>
                <w:szCs w:val="22"/>
                <w:highlight w:val="yellow"/>
                <w:lang w:val="en-US"/>
              </w:rPr>
            </w:pPr>
          </w:p>
          <w:p w14:paraId="18327B25" w14:textId="77777777" w:rsidR="00F11A8B" w:rsidRPr="006F6DAC" w:rsidRDefault="00F11A8B" w:rsidP="00F11A8B">
            <w:pPr>
              <w:pStyle w:val="aff8"/>
              <w:rPr>
                <w:rFonts w:ascii="Garamond" w:hAnsi="Garamond"/>
                <w:color w:val="000000"/>
                <w:sz w:val="22"/>
                <w:szCs w:val="22"/>
                <w:highlight w:val="yellow"/>
                <w:lang w:val="en-US"/>
              </w:rPr>
            </w:pPr>
            <w:r w:rsidRPr="006F6DAC">
              <w:rPr>
                <w:rFonts w:ascii="Garamond" w:hAnsi="Garamond"/>
                <w:color w:val="000000"/>
                <w:sz w:val="22"/>
                <w:szCs w:val="22"/>
                <w:highlight w:val="yellow"/>
                <w:lang w:val="en-US"/>
              </w:rPr>
              <w:t>&lt;!ELEMENT period (value) &gt;</w:t>
            </w:r>
          </w:p>
          <w:p w14:paraId="63AAEE38" w14:textId="77777777" w:rsidR="00F11A8B" w:rsidRPr="006F6DAC" w:rsidRDefault="00F11A8B" w:rsidP="00F11A8B">
            <w:pPr>
              <w:pStyle w:val="aff8"/>
              <w:rPr>
                <w:rFonts w:ascii="Garamond" w:hAnsi="Garamond"/>
                <w:color w:val="000000"/>
                <w:sz w:val="22"/>
                <w:szCs w:val="22"/>
                <w:highlight w:val="yellow"/>
                <w:lang w:val="en-US"/>
              </w:rPr>
            </w:pPr>
            <w:r w:rsidRPr="006F6DAC">
              <w:rPr>
                <w:rFonts w:ascii="Garamond" w:hAnsi="Garamond"/>
                <w:color w:val="000000"/>
                <w:sz w:val="22"/>
                <w:szCs w:val="22"/>
                <w:highlight w:val="yellow"/>
                <w:lang w:val="en-US"/>
              </w:rPr>
              <w:t xml:space="preserve">   &lt;!ATTLIST period </w:t>
            </w:r>
          </w:p>
          <w:p w14:paraId="2F81B888" w14:textId="77777777" w:rsidR="00F11A8B" w:rsidRPr="006F6DAC" w:rsidRDefault="00F11A8B" w:rsidP="00F11A8B">
            <w:pPr>
              <w:pStyle w:val="aff8"/>
              <w:ind w:firstLine="708"/>
              <w:rPr>
                <w:rFonts w:ascii="Garamond" w:hAnsi="Garamond"/>
                <w:color w:val="000000"/>
                <w:sz w:val="22"/>
                <w:szCs w:val="22"/>
                <w:highlight w:val="yellow"/>
                <w:lang w:val="en-US"/>
              </w:rPr>
            </w:pPr>
            <w:r w:rsidRPr="006F6DAC">
              <w:rPr>
                <w:rFonts w:ascii="Garamond" w:hAnsi="Garamond"/>
                <w:color w:val="000000"/>
                <w:sz w:val="22"/>
                <w:szCs w:val="22"/>
                <w:highlight w:val="yellow"/>
                <w:lang w:val="en-US"/>
              </w:rPr>
              <w:t xml:space="preserve">start </w:t>
            </w:r>
            <w:r w:rsidRPr="006F6DAC">
              <w:rPr>
                <w:rFonts w:ascii="Garamond" w:hAnsi="Garamond"/>
                <w:color w:val="000000"/>
                <w:sz w:val="22"/>
                <w:szCs w:val="22"/>
                <w:highlight w:val="yellow"/>
                <w:lang w:val="en-US"/>
              </w:rPr>
              <w:tab/>
              <w:t xml:space="preserve"> CDATA #REQUIRED  </w:t>
            </w:r>
          </w:p>
          <w:p w14:paraId="1E90F93F" w14:textId="77777777" w:rsidR="00F11A8B" w:rsidRPr="006F6DAC" w:rsidRDefault="00F11A8B" w:rsidP="00F11A8B">
            <w:pPr>
              <w:pStyle w:val="aff8"/>
              <w:rPr>
                <w:rFonts w:ascii="Garamond" w:hAnsi="Garamond"/>
                <w:color w:val="000000"/>
                <w:sz w:val="22"/>
                <w:szCs w:val="22"/>
                <w:highlight w:val="yellow"/>
                <w:lang w:val="en-US"/>
              </w:rPr>
            </w:pPr>
            <w:r w:rsidRPr="006F6DAC">
              <w:rPr>
                <w:rFonts w:ascii="Garamond" w:hAnsi="Garamond"/>
                <w:color w:val="000000"/>
                <w:sz w:val="22"/>
                <w:szCs w:val="22"/>
                <w:highlight w:val="yellow"/>
                <w:lang w:val="en-US"/>
              </w:rPr>
              <w:t xml:space="preserve">   </w:t>
            </w:r>
            <w:r w:rsidRPr="006F6DAC">
              <w:rPr>
                <w:rFonts w:ascii="Garamond" w:hAnsi="Garamond"/>
                <w:color w:val="000000"/>
                <w:sz w:val="22"/>
                <w:szCs w:val="22"/>
                <w:highlight w:val="yellow"/>
                <w:lang w:val="en-US"/>
              </w:rPr>
              <w:tab/>
              <w:t xml:space="preserve">end </w:t>
            </w:r>
            <w:r w:rsidRPr="006F6DAC">
              <w:rPr>
                <w:rFonts w:ascii="Garamond" w:hAnsi="Garamond"/>
                <w:color w:val="000000"/>
                <w:sz w:val="22"/>
                <w:szCs w:val="22"/>
                <w:highlight w:val="yellow"/>
                <w:lang w:val="en-US"/>
              </w:rPr>
              <w:tab/>
              <w:t xml:space="preserve"> CDATA #REQUIRED  </w:t>
            </w:r>
          </w:p>
          <w:p w14:paraId="3AB6B66F" w14:textId="77777777" w:rsidR="00F11A8B" w:rsidRPr="006F6DAC" w:rsidRDefault="00F11A8B" w:rsidP="00F11A8B">
            <w:pPr>
              <w:pStyle w:val="aff8"/>
              <w:rPr>
                <w:rFonts w:ascii="Garamond" w:hAnsi="Garamond"/>
                <w:color w:val="000000"/>
                <w:sz w:val="22"/>
                <w:szCs w:val="22"/>
                <w:highlight w:val="yellow"/>
                <w:lang w:val="en-US"/>
              </w:rPr>
            </w:pPr>
            <w:r w:rsidRPr="006F6DAC">
              <w:rPr>
                <w:rFonts w:ascii="Garamond" w:hAnsi="Garamond"/>
                <w:color w:val="000000"/>
                <w:sz w:val="22"/>
                <w:szCs w:val="22"/>
                <w:highlight w:val="yellow"/>
                <w:lang w:val="en-US"/>
              </w:rPr>
              <w:t xml:space="preserve">   </w:t>
            </w:r>
            <w:r w:rsidRPr="006F6DAC">
              <w:rPr>
                <w:rFonts w:ascii="Garamond" w:hAnsi="Garamond"/>
                <w:color w:val="000000"/>
                <w:sz w:val="22"/>
                <w:szCs w:val="22"/>
                <w:highlight w:val="yellow"/>
                <w:lang w:val="en-US"/>
              </w:rPr>
              <w:tab/>
              <w:t> </w:t>
            </w:r>
          </w:p>
          <w:p w14:paraId="0E81A448" w14:textId="77777777" w:rsidR="00F11A8B" w:rsidRPr="006F6DAC" w:rsidRDefault="00F11A8B" w:rsidP="00F11A8B">
            <w:pPr>
              <w:pStyle w:val="aff8"/>
              <w:rPr>
                <w:rFonts w:ascii="Garamond" w:hAnsi="Garamond"/>
                <w:color w:val="000000"/>
                <w:sz w:val="22"/>
                <w:szCs w:val="22"/>
                <w:highlight w:val="yellow"/>
                <w:lang w:val="en-US"/>
              </w:rPr>
            </w:pPr>
            <w:r w:rsidRPr="006F6DAC">
              <w:rPr>
                <w:rFonts w:ascii="Garamond" w:hAnsi="Garamond"/>
                <w:color w:val="000000"/>
                <w:sz w:val="22"/>
                <w:szCs w:val="22"/>
                <w:highlight w:val="yellow"/>
                <w:lang w:val="en-US"/>
              </w:rPr>
              <w:t xml:space="preserve">   &gt;</w:t>
            </w:r>
          </w:p>
          <w:p w14:paraId="1E881D79" w14:textId="77777777" w:rsidR="00F11A8B" w:rsidRPr="006F6DAC" w:rsidRDefault="00F11A8B" w:rsidP="00F11A8B">
            <w:pPr>
              <w:pStyle w:val="aff8"/>
              <w:rPr>
                <w:rFonts w:ascii="Garamond" w:hAnsi="Garamond"/>
                <w:color w:val="000000"/>
                <w:sz w:val="22"/>
                <w:szCs w:val="22"/>
                <w:highlight w:val="yellow"/>
                <w:lang w:val="en-US"/>
              </w:rPr>
            </w:pPr>
          </w:p>
          <w:p w14:paraId="66DF7116" w14:textId="77777777" w:rsidR="00F11A8B" w:rsidRPr="006F6DAC" w:rsidRDefault="00F11A8B" w:rsidP="00F11A8B">
            <w:pPr>
              <w:pStyle w:val="aff8"/>
              <w:rPr>
                <w:rFonts w:ascii="Garamond" w:hAnsi="Garamond"/>
                <w:color w:val="000000"/>
                <w:sz w:val="22"/>
                <w:szCs w:val="22"/>
                <w:highlight w:val="yellow"/>
                <w:lang w:val="en-US"/>
              </w:rPr>
            </w:pPr>
            <w:r w:rsidRPr="006F6DAC">
              <w:rPr>
                <w:rFonts w:ascii="Garamond" w:hAnsi="Garamond"/>
                <w:color w:val="000000"/>
                <w:sz w:val="22"/>
                <w:szCs w:val="22"/>
                <w:highlight w:val="yellow"/>
                <w:lang w:val="en-US"/>
              </w:rPr>
              <w:t>&lt;!ELEMENT value (#PCDATA) &gt;</w:t>
            </w:r>
          </w:p>
          <w:p w14:paraId="250259CC" w14:textId="77777777" w:rsidR="00F11A8B" w:rsidRPr="006F6DAC" w:rsidRDefault="00F11A8B" w:rsidP="00F11A8B">
            <w:pPr>
              <w:rPr>
                <w:rFonts w:ascii="Garamond" w:hAnsi="Garamond"/>
                <w:color w:val="000000"/>
                <w:sz w:val="22"/>
                <w:szCs w:val="22"/>
                <w:lang w:val="en-US"/>
              </w:rPr>
            </w:pPr>
            <w:r w:rsidRPr="006F6DAC">
              <w:rPr>
                <w:rFonts w:ascii="Garamond" w:hAnsi="Garamond"/>
                <w:color w:val="000000"/>
                <w:sz w:val="22"/>
                <w:szCs w:val="22"/>
                <w:highlight w:val="yellow"/>
                <w:lang w:val="en-US"/>
              </w:rPr>
              <w:t xml:space="preserve">   &lt;!ATTLIST value</w:t>
            </w:r>
          </w:p>
        </w:tc>
        <w:tc>
          <w:tcPr>
            <w:tcW w:w="7115" w:type="dxa"/>
          </w:tcPr>
          <w:p w14:paraId="663BA3CD" w14:textId="77777777" w:rsidR="00F11A8B" w:rsidRPr="006F6DAC" w:rsidRDefault="00F11A8B" w:rsidP="00F11A8B">
            <w:pPr>
              <w:pStyle w:val="10"/>
              <w:jc w:val="left"/>
              <w:rPr>
                <w:rFonts w:ascii="Garamond" w:hAnsi="Garamond"/>
                <w:sz w:val="22"/>
                <w:szCs w:val="22"/>
              </w:rPr>
            </w:pPr>
            <w:r w:rsidRPr="006F6DAC">
              <w:rPr>
                <w:rFonts w:ascii="Garamond" w:hAnsi="Garamond"/>
                <w:sz w:val="22"/>
                <w:szCs w:val="22"/>
              </w:rPr>
              <w:lastRenderedPageBreak/>
              <w:t>Исключить приложение с последующим изменением нумерации</w:t>
            </w:r>
          </w:p>
        </w:tc>
      </w:tr>
      <w:tr w:rsidR="00F11A8B" w:rsidRPr="006F6DAC" w14:paraId="431D1D56" w14:textId="77777777" w:rsidTr="006F6DAC">
        <w:tc>
          <w:tcPr>
            <w:tcW w:w="1060" w:type="dxa"/>
          </w:tcPr>
          <w:p w14:paraId="5B808B33" w14:textId="77777777" w:rsidR="00F11A8B" w:rsidRPr="006F6DAC" w:rsidRDefault="00F11A8B" w:rsidP="00F11A8B">
            <w:pPr>
              <w:widowControl w:val="0"/>
              <w:spacing w:line="259" w:lineRule="auto"/>
              <w:jc w:val="center"/>
              <w:rPr>
                <w:rFonts w:ascii="Garamond" w:hAnsi="Garamond"/>
                <w:b/>
                <w:sz w:val="22"/>
                <w:szCs w:val="22"/>
                <w:lang w:eastAsia="en-US"/>
              </w:rPr>
            </w:pPr>
            <w:r w:rsidRPr="006F6DAC">
              <w:rPr>
                <w:rFonts w:ascii="Garamond" w:hAnsi="Garamond"/>
                <w:b/>
                <w:sz w:val="22"/>
                <w:szCs w:val="22"/>
                <w:lang w:eastAsia="en-US"/>
              </w:rPr>
              <w:t>Приложение 6</w:t>
            </w:r>
          </w:p>
        </w:tc>
        <w:tc>
          <w:tcPr>
            <w:tcW w:w="6804" w:type="dxa"/>
          </w:tcPr>
          <w:p w14:paraId="6D68F978" w14:textId="77777777" w:rsidR="00F11A8B" w:rsidRPr="006F6DAC" w:rsidRDefault="00F11A8B" w:rsidP="00F11A8B">
            <w:pPr>
              <w:tabs>
                <w:tab w:val="left" w:pos="180"/>
              </w:tabs>
              <w:ind w:left="180"/>
              <w:jc w:val="right"/>
              <w:rPr>
                <w:rFonts w:ascii="Garamond" w:hAnsi="Garamond"/>
                <w:b/>
                <w:color w:val="000000"/>
                <w:sz w:val="22"/>
                <w:szCs w:val="22"/>
              </w:rPr>
            </w:pPr>
            <w:r w:rsidRPr="006F6DAC">
              <w:rPr>
                <w:rFonts w:ascii="Garamond" w:hAnsi="Garamond"/>
                <w:b/>
                <w:color w:val="000000"/>
                <w:sz w:val="22"/>
                <w:szCs w:val="22"/>
              </w:rPr>
              <w:t xml:space="preserve">Приложение </w:t>
            </w:r>
            <w:r w:rsidRPr="006F6DAC">
              <w:rPr>
                <w:rFonts w:ascii="Garamond" w:hAnsi="Garamond"/>
                <w:b/>
                <w:color w:val="000000"/>
                <w:sz w:val="22"/>
                <w:szCs w:val="22"/>
                <w:highlight w:val="yellow"/>
              </w:rPr>
              <w:t>6</w:t>
            </w:r>
          </w:p>
          <w:p w14:paraId="39265F84" w14:textId="7A8BB577" w:rsidR="00F11A8B" w:rsidRPr="006F6DAC" w:rsidRDefault="00F11A8B" w:rsidP="006F6DAC">
            <w:pPr>
              <w:tabs>
                <w:tab w:val="left" w:pos="720"/>
              </w:tabs>
              <w:jc w:val="center"/>
              <w:rPr>
                <w:rFonts w:ascii="Garamond" w:hAnsi="Garamond"/>
                <w:b/>
                <w:color w:val="000000"/>
                <w:sz w:val="22"/>
                <w:szCs w:val="22"/>
              </w:rPr>
            </w:pPr>
            <w:r w:rsidRPr="006F6DAC">
              <w:rPr>
                <w:rFonts w:ascii="Garamond" w:hAnsi="Garamond"/>
                <w:b/>
                <w:color w:val="000000"/>
                <w:sz w:val="22"/>
                <w:szCs w:val="22"/>
              </w:rPr>
              <w:t xml:space="preserve">Примеры электронного </w:t>
            </w:r>
            <w:r w:rsidRPr="006F6DAC">
              <w:rPr>
                <w:rFonts w:ascii="Garamond" w:hAnsi="Garamond"/>
                <w:b/>
                <w:color w:val="000000"/>
                <w:sz w:val="22"/>
                <w:szCs w:val="22"/>
                <w:highlight w:val="yellow"/>
              </w:rPr>
              <w:t>входного</w:t>
            </w:r>
            <w:r w:rsidRPr="006F6DAC">
              <w:rPr>
                <w:rFonts w:ascii="Garamond" w:hAnsi="Garamond"/>
                <w:b/>
                <w:color w:val="000000"/>
                <w:sz w:val="22"/>
                <w:szCs w:val="22"/>
              </w:rPr>
              <w:t xml:space="preserve"> документа 80050</w:t>
            </w:r>
          </w:p>
        </w:tc>
        <w:tc>
          <w:tcPr>
            <w:tcW w:w="7115" w:type="dxa"/>
          </w:tcPr>
          <w:p w14:paraId="102B13B6" w14:textId="77777777" w:rsidR="00F11A8B" w:rsidRPr="006F6DAC" w:rsidRDefault="00F11A8B" w:rsidP="00F11A8B">
            <w:pPr>
              <w:tabs>
                <w:tab w:val="left" w:pos="180"/>
              </w:tabs>
              <w:ind w:left="180"/>
              <w:jc w:val="right"/>
              <w:rPr>
                <w:rFonts w:ascii="Garamond" w:hAnsi="Garamond"/>
                <w:b/>
                <w:color w:val="000000"/>
                <w:sz w:val="22"/>
                <w:szCs w:val="22"/>
              </w:rPr>
            </w:pPr>
            <w:r w:rsidRPr="006F6DAC">
              <w:rPr>
                <w:rFonts w:ascii="Garamond" w:hAnsi="Garamond"/>
                <w:b/>
                <w:color w:val="000000"/>
                <w:sz w:val="22"/>
                <w:szCs w:val="22"/>
              </w:rPr>
              <w:t xml:space="preserve">Приложение </w:t>
            </w:r>
            <w:r w:rsidRPr="006F6DAC">
              <w:rPr>
                <w:rFonts w:ascii="Garamond" w:hAnsi="Garamond"/>
                <w:b/>
                <w:color w:val="000000"/>
                <w:sz w:val="22"/>
                <w:szCs w:val="22"/>
                <w:highlight w:val="yellow"/>
              </w:rPr>
              <w:t>4</w:t>
            </w:r>
          </w:p>
          <w:p w14:paraId="159D0031" w14:textId="28D24BB5" w:rsidR="00F11A8B" w:rsidRPr="006F6DAC" w:rsidRDefault="00F11A8B" w:rsidP="006F6DAC">
            <w:pPr>
              <w:tabs>
                <w:tab w:val="left" w:pos="720"/>
              </w:tabs>
              <w:jc w:val="center"/>
              <w:rPr>
                <w:rFonts w:ascii="Garamond" w:hAnsi="Garamond"/>
                <w:b/>
                <w:color w:val="000000"/>
                <w:sz w:val="22"/>
                <w:szCs w:val="22"/>
              </w:rPr>
            </w:pPr>
            <w:r w:rsidRPr="006F6DAC">
              <w:rPr>
                <w:rFonts w:ascii="Garamond" w:hAnsi="Garamond"/>
                <w:b/>
                <w:color w:val="000000"/>
                <w:sz w:val="22"/>
                <w:szCs w:val="22"/>
              </w:rPr>
              <w:t>Примеры электронного документа 80050</w:t>
            </w:r>
          </w:p>
        </w:tc>
      </w:tr>
      <w:tr w:rsidR="00F11A8B" w:rsidRPr="006F6DAC" w14:paraId="18F6195B" w14:textId="77777777" w:rsidTr="006F6DAC">
        <w:tc>
          <w:tcPr>
            <w:tcW w:w="1060" w:type="dxa"/>
          </w:tcPr>
          <w:p w14:paraId="4EFB354C" w14:textId="77777777" w:rsidR="00F11A8B" w:rsidRPr="006F6DAC" w:rsidRDefault="00F11A8B" w:rsidP="00F11A8B">
            <w:pPr>
              <w:widowControl w:val="0"/>
              <w:spacing w:line="259" w:lineRule="auto"/>
              <w:jc w:val="center"/>
              <w:rPr>
                <w:rFonts w:ascii="Garamond" w:hAnsi="Garamond"/>
                <w:b/>
                <w:sz w:val="22"/>
                <w:szCs w:val="22"/>
                <w:lang w:eastAsia="en-US"/>
              </w:rPr>
            </w:pPr>
            <w:r w:rsidRPr="006F6DAC">
              <w:rPr>
                <w:rFonts w:ascii="Garamond" w:hAnsi="Garamond"/>
                <w:b/>
                <w:sz w:val="22"/>
                <w:szCs w:val="22"/>
                <w:lang w:eastAsia="en-US"/>
              </w:rPr>
              <w:t>Приложение 7</w:t>
            </w:r>
          </w:p>
        </w:tc>
        <w:tc>
          <w:tcPr>
            <w:tcW w:w="6804" w:type="dxa"/>
          </w:tcPr>
          <w:p w14:paraId="16388246" w14:textId="77777777" w:rsidR="00F11A8B" w:rsidRPr="006F6DAC" w:rsidRDefault="00F11A8B" w:rsidP="00F11A8B">
            <w:pPr>
              <w:pStyle w:val="10"/>
              <w:jc w:val="right"/>
              <w:rPr>
                <w:rFonts w:ascii="Garamond" w:hAnsi="Garamond"/>
                <w:color w:val="000000"/>
                <w:sz w:val="22"/>
                <w:szCs w:val="22"/>
              </w:rPr>
            </w:pPr>
            <w:r w:rsidRPr="006F6DAC">
              <w:rPr>
                <w:rFonts w:ascii="Garamond" w:hAnsi="Garamond"/>
                <w:color w:val="000000"/>
                <w:sz w:val="22"/>
                <w:szCs w:val="22"/>
              </w:rPr>
              <w:t xml:space="preserve">Приложение </w:t>
            </w:r>
            <w:r w:rsidRPr="006F6DAC">
              <w:rPr>
                <w:rFonts w:ascii="Garamond" w:hAnsi="Garamond"/>
                <w:color w:val="000000"/>
                <w:sz w:val="22"/>
                <w:szCs w:val="22"/>
                <w:highlight w:val="yellow"/>
              </w:rPr>
              <w:t>7</w:t>
            </w:r>
          </w:p>
          <w:p w14:paraId="0C5ED498" w14:textId="14CC46C4" w:rsidR="00F11A8B" w:rsidRPr="006F6DAC" w:rsidRDefault="00F11A8B" w:rsidP="006F6DAC">
            <w:pPr>
              <w:pStyle w:val="10"/>
              <w:rPr>
                <w:rFonts w:ascii="Garamond" w:hAnsi="Garamond"/>
                <w:sz w:val="22"/>
                <w:szCs w:val="22"/>
                <w:lang w:eastAsia="zh-CN"/>
              </w:rPr>
            </w:pPr>
            <w:r w:rsidRPr="006F6DAC">
              <w:rPr>
                <w:rFonts w:ascii="Garamond" w:hAnsi="Garamond"/>
                <w:sz w:val="22"/>
                <w:szCs w:val="22"/>
                <w:lang w:eastAsia="zh-CN"/>
              </w:rPr>
              <w:t>Пример выполнения округления результата измерений</w:t>
            </w:r>
          </w:p>
        </w:tc>
        <w:tc>
          <w:tcPr>
            <w:tcW w:w="7115" w:type="dxa"/>
          </w:tcPr>
          <w:p w14:paraId="2D0E8630" w14:textId="77777777" w:rsidR="00F11A8B" w:rsidRPr="006F6DAC" w:rsidRDefault="00F11A8B" w:rsidP="00F11A8B">
            <w:pPr>
              <w:pStyle w:val="10"/>
              <w:jc w:val="right"/>
              <w:rPr>
                <w:rFonts w:ascii="Garamond" w:hAnsi="Garamond"/>
                <w:color w:val="000000"/>
                <w:sz w:val="22"/>
                <w:szCs w:val="22"/>
              </w:rPr>
            </w:pPr>
            <w:r w:rsidRPr="006F6DAC">
              <w:rPr>
                <w:rFonts w:ascii="Garamond" w:hAnsi="Garamond"/>
                <w:color w:val="000000"/>
                <w:sz w:val="22"/>
                <w:szCs w:val="22"/>
              </w:rPr>
              <w:t xml:space="preserve">Приложение </w:t>
            </w:r>
            <w:r w:rsidRPr="006F6DAC">
              <w:rPr>
                <w:rFonts w:ascii="Garamond" w:hAnsi="Garamond"/>
                <w:color w:val="000000"/>
                <w:sz w:val="22"/>
                <w:szCs w:val="22"/>
                <w:highlight w:val="yellow"/>
              </w:rPr>
              <w:t>5</w:t>
            </w:r>
          </w:p>
          <w:p w14:paraId="7E0ECDB2" w14:textId="42D6FEC1" w:rsidR="00F11A8B" w:rsidRPr="006F6DAC" w:rsidRDefault="00F11A8B" w:rsidP="006F6DAC">
            <w:pPr>
              <w:pStyle w:val="10"/>
              <w:rPr>
                <w:rFonts w:ascii="Garamond" w:hAnsi="Garamond"/>
                <w:sz w:val="22"/>
                <w:szCs w:val="22"/>
                <w:lang w:eastAsia="zh-CN"/>
              </w:rPr>
            </w:pPr>
            <w:r w:rsidRPr="006F6DAC">
              <w:rPr>
                <w:rFonts w:ascii="Garamond" w:hAnsi="Garamond"/>
                <w:sz w:val="22"/>
                <w:szCs w:val="22"/>
                <w:lang w:eastAsia="zh-CN"/>
              </w:rPr>
              <w:t>Пример выполнения округления результата измерений</w:t>
            </w:r>
          </w:p>
        </w:tc>
      </w:tr>
      <w:tr w:rsidR="00F11A8B" w:rsidRPr="006F6DAC" w14:paraId="311E31A6" w14:textId="77777777" w:rsidTr="006F6DAC">
        <w:tc>
          <w:tcPr>
            <w:tcW w:w="1060" w:type="dxa"/>
          </w:tcPr>
          <w:p w14:paraId="34377CEB" w14:textId="77777777" w:rsidR="00F11A8B" w:rsidRPr="006F6DAC" w:rsidRDefault="00F11A8B" w:rsidP="00F11A8B">
            <w:pPr>
              <w:widowControl w:val="0"/>
              <w:spacing w:line="259" w:lineRule="auto"/>
              <w:jc w:val="center"/>
              <w:rPr>
                <w:rFonts w:ascii="Garamond" w:hAnsi="Garamond"/>
                <w:b/>
                <w:sz w:val="22"/>
                <w:szCs w:val="22"/>
                <w:lang w:eastAsia="en-US"/>
              </w:rPr>
            </w:pPr>
            <w:r w:rsidRPr="006F6DAC">
              <w:rPr>
                <w:rFonts w:ascii="Garamond" w:hAnsi="Garamond"/>
                <w:b/>
                <w:sz w:val="22"/>
                <w:szCs w:val="22"/>
                <w:lang w:eastAsia="en-US"/>
              </w:rPr>
              <w:t>Приложение 8, раздел 1</w:t>
            </w:r>
          </w:p>
        </w:tc>
        <w:tc>
          <w:tcPr>
            <w:tcW w:w="6804" w:type="dxa"/>
          </w:tcPr>
          <w:p w14:paraId="4FC01A70" w14:textId="77777777" w:rsidR="00F11A8B" w:rsidRPr="006F6DAC" w:rsidRDefault="00F11A8B" w:rsidP="00F11A8B">
            <w:pPr>
              <w:jc w:val="right"/>
              <w:rPr>
                <w:rFonts w:ascii="Garamond" w:hAnsi="Garamond"/>
                <w:b/>
                <w:sz w:val="22"/>
                <w:szCs w:val="22"/>
              </w:rPr>
            </w:pPr>
            <w:r w:rsidRPr="006F6DAC">
              <w:rPr>
                <w:rFonts w:ascii="Garamond" w:hAnsi="Garamond"/>
                <w:b/>
                <w:sz w:val="22"/>
                <w:szCs w:val="22"/>
              </w:rPr>
              <w:t xml:space="preserve">Приложение </w:t>
            </w:r>
            <w:r w:rsidRPr="006F6DAC">
              <w:rPr>
                <w:rFonts w:ascii="Garamond" w:hAnsi="Garamond"/>
                <w:b/>
                <w:sz w:val="22"/>
                <w:szCs w:val="22"/>
                <w:highlight w:val="yellow"/>
              </w:rPr>
              <w:t>8</w:t>
            </w:r>
          </w:p>
          <w:p w14:paraId="17C31714" w14:textId="77777777" w:rsidR="00F11A8B" w:rsidRPr="006F6DAC" w:rsidRDefault="00F11A8B" w:rsidP="00F11A8B">
            <w:pPr>
              <w:spacing w:before="60" w:after="60"/>
              <w:jc w:val="center"/>
              <w:rPr>
                <w:rFonts w:ascii="Garamond" w:hAnsi="Garamond"/>
                <w:b/>
                <w:sz w:val="22"/>
                <w:szCs w:val="22"/>
              </w:rPr>
            </w:pPr>
          </w:p>
          <w:p w14:paraId="32590C52" w14:textId="77777777" w:rsidR="00F11A8B" w:rsidRPr="006F6DAC" w:rsidRDefault="00F11A8B" w:rsidP="00F11A8B">
            <w:pPr>
              <w:pStyle w:val="10"/>
              <w:spacing w:line="240" w:lineRule="auto"/>
              <w:jc w:val="right"/>
              <w:rPr>
                <w:rFonts w:ascii="Garamond" w:hAnsi="Garamond"/>
                <w:sz w:val="22"/>
                <w:szCs w:val="22"/>
              </w:rPr>
            </w:pPr>
            <w:r w:rsidRPr="006F6DAC">
              <w:rPr>
                <w:rFonts w:ascii="Garamond" w:hAnsi="Garamond"/>
                <w:sz w:val="22"/>
                <w:szCs w:val="22"/>
              </w:rPr>
              <w:t xml:space="preserve">Описание формата передачи кодов по точкам измерений, точкам поставки, </w:t>
            </w:r>
            <w:r w:rsidRPr="006F6DAC">
              <w:rPr>
                <w:rFonts w:ascii="Garamond" w:hAnsi="Garamond"/>
                <w:sz w:val="22"/>
                <w:szCs w:val="22"/>
                <w:highlight w:val="yellow"/>
              </w:rPr>
              <w:t>группам точек поставки и сальдо перетоков</w:t>
            </w:r>
            <w:r w:rsidRPr="006F6DAC">
              <w:rPr>
                <w:rFonts w:ascii="Garamond" w:hAnsi="Garamond"/>
                <w:sz w:val="22"/>
                <w:szCs w:val="22"/>
              </w:rPr>
              <w:t xml:space="preserve"> (документ 80000)</w:t>
            </w:r>
          </w:p>
          <w:p w14:paraId="1D3A6628" w14:textId="77777777" w:rsidR="00F11A8B" w:rsidRPr="006F6DAC" w:rsidRDefault="00F11A8B" w:rsidP="00F11A8B">
            <w:pPr>
              <w:rPr>
                <w:rFonts w:ascii="Garamond" w:hAnsi="Garamond"/>
                <w:sz w:val="22"/>
                <w:szCs w:val="22"/>
              </w:rPr>
            </w:pPr>
          </w:p>
          <w:p w14:paraId="646DC121" w14:textId="77777777" w:rsidR="00F11A8B" w:rsidRPr="006F6DAC" w:rsidRDefault="00F11A8B" w:rsidP="00F11A8B">
            <w:pPr>
              <w:pStyle w:val="aff4"/>
              <w:numPr>
                <w:ilvl w:val="0"/>
                <w:numId w:val="237"/>
              </w:numPr>
              <w:spacing w:line="259" w:lineRule="auto"/>
              <w:jc w:val="both"/>
              <w:rPr>
                <w:rStyle w:val="afff5"/>
                <w:b w:val="0"/>
                <w:i w:val="0"/>
                <w:sz w:val="22"/>
                <w:szCs w:val="22"/>
              </w:rPr>
            </w:pPr>
            <w:r w:rsidRPr="006F6DAC">
              <w:rPr>
                <w:rStyle w:val="afff5"/>
                <w:b w:val="0"/>
                <w:i w:val="0"/>
                <w:sz w:val="22"/>
                <w:szCs w:val="22"/>
              </w:rPr>
              <w:t>ИМЯ ФАЙЛА</w:t>
            </w:r>
          </w:p>
          <w:p w14:paraId="6196FC75" w14:textId="77777777" w:rsidR="00F11A8B" w:rsidRPr="006F6DAC" w:rsidRDefault="00F11A8B" w:rsidP="00F11A8B">
            <w:pPr>
              <w:rPr>
                <w:rFonts w:ascii="Garamond" w:hAnsi="Garamond"/>
                <w:sz w:val="22"/>
                <w:szCs w:val="22"/>
              </w:rPr>
            </w:pPr>
            <w:r w:rsidRPr="006F6DAC">
              <w:rPr>
                <w:rFonts w:ascii="Garamond" w:hAnsi="Garamond"/>
                <w:sz w:val="22"/>
                <w:szCs w:val="22"/>
              </w:rPr>
              <w:t>80000_6164232756_20090625142332_4500002300.xml</w:t>
            </w:r>
          </w:p>
          <w:p w14:paraId="785FFCCD" w14:textId="77777777" w:rsidR="00F11A8B" w:rsidRPr="006F6DAC" w:rsidRDefault="00F11A8B" w:rsidP="00F11A8B">
            <w:pPr>
              <w:jc w:val="both"/>
              <w:rPr>
                <w:rFonts w:ascii="Garamond" w:hAnsi="Garamond"/>
                <w:bCs/>
                <w:sz w:val="22"/>
                <w:szCs w:val="22"/>
              </w:rPr>
            </w:pPr>
            <w:r w:rsidRPr="006F6DAC">
              <w:rPr>
                <w:rFonts w:ascii="Garamond" w:hAnsi="Garamond"/>
                <w:bCs/>
                <w:sz w:val="22"/>
                <w:szCs w:val="22"/>
              </w:rPr>
              <w:t>&lt;тип документа&gt;_&lt;ИНН&gt;_&lt;дата&gt;_&lt;</w:t>
            </w:r>
            <w:r w:rsidRPr="006F6DAC">
              <w:rPr>
                <w:rFonts w:ascii="Garamond" w:hAnsi="Garamond"/>
                <w:bCs/>
                <w:sz w:val="22"/>
                <w:szCs w:val="22"/>
                <w:highlight w:val="yellow"/>
              </w:rPr>
              <w:t>номер</w:t>
            </w:r>
            <w:r w:rsidRPr="006F6DAC">
              <w:rPr>
                <w:rFonts w:ascii="Garamond" w:hAnsi="Garamond"/>
                <w:bCs/>
                <w:sz w:val="22"/>
                <w:szCs w:val="22"/>
              </w:rPr>
              <w:t xml:space="preserve"> АИИС&gt;, где:</w:t>
            </w:r>
          </w:p>
          <w:p w14:paraId="15723EAF" w14:textId="77777777" w:rsidR="00F11A8B" w:rsidRPr="006F6DAC" w:rsidRDefault="00F11A8B" w:rsidP="00F11A8B">
            <w:pPr>
              <w:numPr>
                <w:ilvl w:val="1"/>
                <w:numId w:val="236"/>
              </w:numPr>
              <w:tabs>
                <w:tab w:val="left" w:pos="284"/>
              </w:tabs>
              <w:suppressAutoHyphens w:val="0"/>
              <w:jc w:val="both"/>
              <w:rPr>
                <w:rFonts w:ascii="Garamond" w:hAnsi="Garamond"/>
                <w:spacing w:val="1"/>
                <w:sz w:val="22"/>
                <w:szCs w:val="22"/>
              </w:rPr>
            </w:pPr>
            <w:r w:rsidRPr="006F6DAC">
              <w:rPr>
                <w:rFonts w:ascii="Garamond" w:hAnsi="Garamond"/>
                <w:spacing w:val="1"/>
                <w:sz w:val="22"/>
                <w:szCs w:val="22"/>
              </w:rPr>
              <w:t>тип документа – номер, присвоенный КО данному типу документа (80000);</w:t>
            </w:r>
          </w:p>
          <w:p w14:paraId="5ADB7CF0" w14:textId="77777777" w:rsidR="00F11A8B" w:rsidRPr="006F6DAC" w:rsidRDefault="00F11A8B" w:rsidP="00F11A8B">
            <w:pPr>
              <w:numPr>
                <w:ilvl w:val="1"/>
                <w:numId w:val="236"/>
              </w:numPr>
              <w:tabs>
                <w:tab w:val="left" w:pos="284"/>
              </w:tabs>
              <w:suppressAutoHyphens w:val="0"/>
              <w:jc w:val="both"/>
              <w:rPr>
                <w:rFonts w:ascii="Garamond" w:hAnsi="Garamond"/>
                <w:spacing w:val="1"/>
                <w:sz w:val="22"/>
                <w:szCs w:val="22"/>
              </w:rPr>
            </w:pPr>
            <w:r w:rsidRPr="006F6DAC">
              <w:rPr>
                <w:rFonts w:ascii="Garamond" w:hAnsi="Garamond"/>
                <w:spacing w:val="1"/>
                <w:sz w:val="22"/>
                <w:szCs w:val="22"/>
              </w:rPr>
              <w:t>ИНН – ИНН организации, получающей коды, длина – 10 символов;</w:t>
            </w:r>
          </w:p>
          <w:p w14:paraId="3154FA53" w14:textId="77777777" w:rsidR="00F11A8B" w:rsidRPr="006F6DAC" w:rsidRDefault="00F11A8B" w:rsidP="00F11A8B">
            <w:pPr>
              <w:numPr>
                <w:ilvl w:val="1"/>
                <w:numId w:val="236"/>
              </w:numPr>
              <w:tabs>
                <w:tab w:val="left" w:pos="284"/>
              </w:tabs>
              <w:suppressAutoHyphens w:val="0"/>
              <w:jc w:val="both"/>
              <w:rPr>
                <w:rFonts w:ascii="Garamond" w:hAnsi="Garamond"/>
                <w:spacing w:val="1"/>
                <w:sz w:val="22"/>
                <w:szCs w:val="22"/>
              </w:rPr>
            </w:pPr>
            <w:r w:rsidRPr="006F6DAC">
              <w:rPr>
                <w:rFonts w:ascii="Garamond" w:hAnsi="Garamond"/>
                <w:spacing w:val="1"/>
                <w:sz w:val="22"/>
                <w:szCs w:val="22"/>
              </w:rPr>
              <w:t>дата – дата формирования кодов в формате “ГГГГММДДччммсс”, где ГГГГ – год, ММ – порядковый номер месяца, ДД – день, чч – час, мм – минуты, сс – секунды. Длина поля &lt;дата&gt; – 14 знаков;</w:t>
            </w:r>
          </w:p>
          <w:p w14:paraId="241414A7" w14:textId="77777777" w:rsidR="00F11A8B" w:rsidRPr="006F6DAC" w:rsidRDefault="00F11A8B" w:rsidP="00F11A8B">
            <w:pPr>
              <w:numPr>
                <w:ilvl w:val="1"/>
                <w:numId w:val="236"/>
              </w:numPr>
              <w:tabs>
                <w:tab w:val="left" w:pos="284"/>
              </w:tabs>
              <w:suppressAutoHyphens w:val="0"/>
              <w:jc w:val="both"/>
              <w:rPr>
                <w:rFonts w:ascii="Garamond" w:hAnsi="Garamond"/>
                <w:spacing w:val="1"/>
                <w:sz w:val="22"/>
                <w:szCs w:val="22"/>
              </w:rPr>
            </w:pPr>
            <w:r w:rsidRPr="006F6DAC">
              <w:rPr>
                <w:rFonts w:ascii="Garamond" w:hAnsi="Garamond"/>
                <w:spacing w:val="1"/>
                <w:sz w:val="22"/>
                <w:szCs w:val="22"/>
                <w:highlight w:val="yellow"/>
              </w:rPr>
              <w:t>номер АИИС</w:t>
            </w:r>
            <w:r w:rsidRPr="006F6DAC">
              <w:rPr>
                <w:rFonts w:ascii="Garamond" w:hAnsi="Garamond"/>
                <w:spacing w:val="1"/>
                <w:sz w:val="22"/>
                <w:szCs w:val="22"/>
              </w:rPr>
              <w:t xml:space="preserve"> – код, присваиваемый КО </w:t>
            </w:r>
            <w:r w:rsidRPr="006F6DAC">
              <w:rPr>
                <w:rFonts w:ascii="Garamond" w:hAnsi="Garamond"/>
                <w:spacing w:val="1"/>
                <w:sz w:val="22"/>
                <w:szCs w:val="22"/>
                <w:highlight w:val="yellow"/>
              </w:rPr>
              <w:t>АИИС</w:t>
            </w:r>
            <w:r w:rsidRPr="006F6DAC">
              <w:rPr>
                <w:rFonts w:ascii="Garamond" w:hAnsi="Garamond"/>
                <w:spacing w:val="1"/>
                <w:sz w:val="22"/>
                <w:szCs w:val="22"/>
              </w:rPr>
              <w:t xml:space="preserve"> организации, получающей коды. </w:t>
            </w:r>
            <w:r w:rsidRPr="006F6DAC">
              <w:rPr>
                <w:rFonts w:ascii="Garamond" w:hAnsi="Garamond"/>
                <w:sz w:val="22"/>
                <w:szCs w:val="22"/>
              </w:rPr>
              <w:t xml:space="preserve">Используется для организации независимой передачи электронных документов от разных </w:t>
            </w:r>
            <w:r w:rsidRPr="006F6DAC">
              <w:rPr>
                <w:rFonts w:ascii="Garamond" w:hAnsi="Garamond"/>
                <w:sz w:val="22"/>
                <w:szCs w:val="22"/>
                <w:highlight w:val="yellow"/>
              </w:rPr>
              <w:t>АИИС</w:t>
            </w:r>
            <w:r w:rsidRPr="006F6DAC">
              <w:rPr>
                <w:rFonts w:ascii="Garamond" w:hAnsi="Garamond"/>
                <w:sz w:val="22"/>
                <w:szCs w:val="22"/>
              </w:rPr>
              <w:t xml:space="preserve"> одной организации.</w:t>
            </w:r>
            <w:r w:rsidRPr="006F6DAC">
              <w:rPr>
                <w:rFonts w:ascii="Garamond" w:hAnsi="Garamond"/>
                <w:spacing w:val="1"/>
                <w:sz w:val="22"/>
                <w:szCs w:val="22"/>
              </w:rPr>
              <w:t xml:space="preserve"> </w:t>
            </w:r>
          </w:p>
          <w:p w14:paraId="3168FD9F" w14:textId="77777777" w:rsidR="00F11A8B" w:rsidRPr="006F6DAC" w:rsidRDefault="00F11A8B" w:rsidP="00F11A8B">
            <w:pPr>
              <w:rPr>
                <w:rFonts w:ascii="Garamond" w:hAnsi="Garamond"/>
                <w:sz w:val="22"/>
                <w:szCs w:val="22"/>
              </w:rPr>
            </w:pPr>
          </w:p>
        </w:tc>
        <w:tc>
          <w:tcPr>
            <w:tcW w:w="7115" w:type="dxa"/>
          </w:tcPr>
          <w:p w14:paraId="23D68405" w14:textId="77777777" w:rsidR="00F11A8B" w:rsidRPr="006F6DAC" w:rsidRDefault="00F11A8B" w:rsidP="00F11A8B">
            <w:pPr>
              <w:jc w:val="right"/>
              <w:rPr>
                <w:rFonts w:ascii="Garamond" w:hAnsi="Garamond"/>
                <w:b/>
                <w:sz w:val="22"/>
                <w:szCs w:val="22"/>
              </w:rPr>
            </w:pPr>
            <w:r w:rsidRPr="006F6DAC">
              <w:rPr>
                <w:rFonts w:ascii="Garamond" w:hAnsi="Garamond"/>
                <w:b/>
                <w:sz w:val="22"/>
                <w:szCs w:val="22"/>
              </w:rPr>
              <w:t xml:space="preserve">Приложение </w:t>
            </w:r>
            <w:r w:rsidRPr="006F6DAC">
              <w:rPr>
                <w:rFonts w:ascii="Garamond" w:hAnsi="Garamond"/>
                <w:b/>
                <w:sz w:val="22"/>
                <w:szCs w:val="22"/>
                <w:shd w:val="clear" w:color="auto" w:fill="FFFF00"/>
              </w:rPr>
              <w:t>6</w:t>
            </w:r>
          </w:p>
          <w:p w14:paraId="779383B0" w14:textId="77777777" w:rsidR="00F11A8B" w:rsidRPr="006F6DAC" w:rsidRDefault="00F11A8B" w:rsidP="00F11A8B">
            <w:pPr>
              <w:spacing w:before="60" w:after="60"/>
              <w:jc w:val="center"/>
              <w:rPr>
                <w:rFonts w:ascii="Garamond" w:hAnsi="Garamond"/>
                <w:b/>
                <w:sz w:val="22"/>
                <w:szCs w:val="22"/>
              </w:rPr>
            </w:pPr>
          </w:p>
          <w:p w14:paraId="712FE8E7" w14:textId="77777777" w:rsidR="00F11A8B" w:rsidRPr="006F6DAC" w:rsidRDefault="00F11A8B" w:rsidP="00F11A8B">
            <w:pPr>
              <w:spacing w:before="60" w:after="60"/>
              <w:jc w:val="center"/>
              <w:rPr>
                <w:rFonts w:ascii="Garamond" w:hAnsi="Garamond"/>
                <w:b/>
                <w:sz w:val="22"/>
                <w:szCs w:val="22"/>
              </w:rPr>
            </w:pPr>
            <w:r w:rsidRPr="006F6DAC">
              <w:rPr>
                <w:rFonts w:ascii="Garamond" w:hAnsi="Garamond"/>
                <w:b/>
                <w:sz w:val="22"/>
                <w:szCs w:val="22"/>
              </w:rPr>
              <w:t xml:space="preserve">Описание формата передачи кодов по точкам измерений, точкам поставки </w:t>
            </w:r>
            <w:r w:rsidRPr="006F6DAC">
              <w:rPr>
                <w:rFonts w:ascii="Garamond" w:hAnsi="Garamond"/>
                <w:b/>
                <w:sz w:val="22"/>
                <w:szCs w:val="22"/>
                <w:highlight w:val="yellow"/>
              </w:rPr>
              <w:t>(точкам присоединения)</w:t>
            </w:r>
            <w:r w:rsidRPr="006F6DAC">
              <w:rPr>
                <w:rFonts w:ascii="Garamond" w:hAnsi="Garamond"/>
                <w:b/>
                <w:sz w:val="22"/>
                <w:szCs w:val="22"/>
              </w:rPr>
              <w:t xml:space="preserve">, </w:t>
            </w:r>
            <w:r w:rsidRPr="006F6DAC">
              <w:rPr>
                <w:rFonts w:ascii="Garamond" w:hAnsi="Garamond"/>
                <w:b/>
                <w:sz w:val="22"/>
                <w:szCs w:val="22"/>
                <w:highlight w:val="yellow"/>
              </w:rPr>
              <w:t>объектам регулирования</w:t>
            </w:r>
            <w:r w:rsidRPr="006F6DAC">
              <w:rPr>
                <w:rFonts w:ascii="Garamond" w:hAnsi="Garamond"/>
                <w:b/>
                <w:sz w:val="22"/>
                <w:szCs w:val="22"/>
              </w:rPr>
              <w:t xml:space="preserve"> (документ 80000)</w:t>
            </w:r>
          </w:p>
          <w:p w14:paraId="5606CA65" w14:textId="77777777" w:rsidR="00F11A8B" w:rsidRPr="006F6DAC" w:rsidRDefault="00F11A8B" w:rsidP="00F11A8B">
            <w:pPr>
              <w:spacing w:before="60" w:after="60"/>
              <w:jc w:val="center"/>
              <w:rPr>
                <w:rFonts w:ascii="Garamond" w:hAnsi="Garamond"/>
                <w:b/>
                <w:sz w:val="22"/>
                <w:szCs w:val="22"/>
              </w:rPr>
            </w:pPr>
          </w:p>
          <w:p w14:paraId="5D8F74DC" w14:textId="77777777" w:rsidR="00F11A8B" w:rsidRPr="006F6DAC" w:rsidRDefault="00F11A8B" w:rsidP="00F11A8B">
            <w:pPr>
              <w:pStyle w:val="aff4"/>
              <w:numPr>
                <w:ilvl w:val="0"/>
                <w:numId w:val="239"/>
              </w:numPr>
              <w:spacing w:line="259" w:lineRule="auto"/>
              <w:jc w:val="both"/>
              <w:rPr>
                <w:rStyle w:val="afff5"/>
                <w:b w:val="0"/>
                <w:i w:val="0"/>
                <w:sz w:val="22"/>
                <w:szCs w:val="22"/>
              </w:rPr>
            </w:pPr>
            <w:r w:rsidRPr="006F6DAC">
              <w:rPr>
                <w:rStyle w:val="afff5"/>
                <w:b w:val="0"/>
                <w:i w:val="0"/>
                <w:sz w:val="22"/>
                <w:szCs w:val="22"/>
              </w:rPr>
              <w:t>ИМЯ ФАЙЛА</w:t>
            </w:r>
          </w:p>
          <w:p w14:paraId="6382F28A" w14:textId="77777777" w:rsidR="00F11A8B" w:rsidRPr="006F6DAC" w:rsidRDefault="00F11A8B" w:rsidP="00F11A8B">
            <w:pPr>
              <w:rPr>
                <w:rFonts w:ascii="Garamond" w:hAnsi="Garamond"/>
                <w:sz w:val="22"/>
                <w:szCs w:val="22"/>
              </w:rPr>
            </w:pPr>
            <w:r w:rsidRPr="006F6DAC">
              <w:rPr>
                <w:rFonts w:ascii="Garamond" w:hAnsi="Garamond"/>
                <w:sz w:val="22"/>
                <w:szCs w:val="22"/>
              </w:rPr>
              <w:t>80000_6164232756_20090625142332_4500002300.xml</w:t>
            </w:r>
          </w:p>
          <w:p w14:paraId="319F7113" w14:textId="73FFF1E3" w:rsidR="00F11A8B" w:rsidRPr="006F6DAC" w:rsidRDefault="00F11A8B" w:rsidP="00F11A8B">
            <w:pPr>
              <w:jc w:val="both"/>
              <w:rPr>
                <w:rFonts w:ascii="Garamond" w:hAnsi="Garamond"/>
                <w:bCs/>
                <w:sz w:val="22"/>
                <w:szCs w:val="22"/>
              </w:rPr>
            </w:pPr>
            <w:r w:rsidRPr="006F6DAC">
              <w:rPr>
                <w:rFonts w:ascii="Garamond" w:hAnsi="Garamond"/>
                <w:bCs/>
                <w:sz w:val="22"/>
                <w:szCs w:val="22"/>
              </w:rPr>
              <w:t>&lt;тип документа&gt;_&lt;ИНН&gt;_&lt;дата&gt;_</w:t>
            </w:r>
            <w:r w:rsidR="00D744EB" w:rsidRPr="006F6DAC">
              <w:rPr>
                <w:rFonts w:ascii="Garamond" w:hAnsi="Garamond"/>
                <w:bCs/>
                <w:sz w:val="22"/>
                <w:szCs w:val="22"/>
              </w:rPr>
              <w:t>&lt;</w:t>
            </w:r>
            <w:r w:rsidR="00D744EB" w:rsidRPr="006F6DAC">
              <w:rPr>
                <w:rFonts w:ascii="Garamond" w:hAnsi="Garamond"/>
                <w:bCs/>
                <w:sz w:val="22"/>
                <w:szCs w:val="22"/>
                <w:highlight w:val="yellow"/>
              </w:rPr>
              <w:t>код</w:t>
            </w:r>
            <w:r w:rsidR="00D744EB" w:rsidRPr="006F6DAC">
              <w:rPr>
                <w:rFonts w:ascii="Garamond" w:hAnsi="Garamond"/>
                <w:bCs/>
                <w:sz w:val="22"/>
                <w:szCs w:val="22"/>
              </w:rPr>
              <w:t xml:space="preserve"> АИИС</w:t>
            </w:r>
            <w:r w:rsidR="002F56EF">
              <w:rPr>
                <w:rFonts w:ascii="Garamond" w:hAnsi="Garamond"/>
                <w:bCs/>
                <w:sz w:val="22"/>
                <w:szCs w:val="22"/>
              </w:rPr>
              <w:t xml:space="preserve"> </w:t>
            </w:r>
            <w:r w:rsidR="00D744EB" w:rsidRPr="006F6DAC">
              <w:rPr>
                <w:rFonts w:ascii="Garamond" w:hAnsi="Garamond"/>
                <w:bCs/>
                <w:sz w:val="22"/>
                <w:szCs w:val="22"/>
                <w:highlight w:val="yellow"/>
              </w:rPr>
              <w:t>/</w:t>
            </w:r>
            <w:r w:rsidR="002F56EF">
              <w:rPr>
                <w:rFonts w:ascii="Garamond" w:hAnsi="Garamond"/>
                <w:bCs/>
                <w:sz w:val="22"/>
                <w:szCs w:val="22"/>
                <w:highlight w:val="yellow"/>
              </w:rPr>
              <w:t xml:space="preserve"> </w:t>
            </w:r>
            <w:r w:rsidR="00D744EB" w:rsidRPr="006F6DAC">
              <w:rPr>
                <w:rFonts w:ascii="Garamond" w:hAnsi="Garamond"/>
                <w:bCs/>
                <w:sz w:val="22"/>
                <w:szCs w:val="22"/>
                <w:highlight w:val="yellow"/>
              </w:rPr>
              <w:t>списка ОР</w:t>
            </w:r>
            <w:r w:rsidR="00D744EB" w:rsidRPr="006F6DAC">
              <w:rPr>
                <w:rFonts w:ascii="Garamond" w:hAnsi="Garamond"/>
                <w:bCs/>
                <w:sz w:val="22"/>
                <w:szCs w:val="22"/>
              </w:rPr>
              <w:t>&gt;</w:t>
            </w:r>
            <w:r w:rsidRPr="006F6DAC">
              <w:rPr>
                <w:rFonts w:ascii="Garamond" w:hAnsi="Garamond"/>
                <w:bCs/>
                <w:sz w:val="22"/>
                <w:szCs w:val="22"/>
              </w:rPr>
              <w:t>, где:</w:t>
            </w:r>
          </w:p>
          <w:p w14:paraId="4CC1B0AE" w14:textId="77777777" w:rsidR="00F11A8B" w:rsidRPr="006F6DAC" w:rsidRDefault="00F11A8B" w:rsidP="00F11A8B">
            <w:pPr>
              <w:numPr>
                <w:ilvl w:val="1"/>
                <w:numId w:val="238"/>
              </w:numPr>
              <w:tabs>
                <w:tab w:val="left" w:pos="284"/>
              </w:tabs>
              <w:suppressAutoHyphens w:val="0"/>
              <w:jc w:val="both"/>
              <w:rPr>
                <w:rFonts w:ascii="Garamond" w:hAnsi="Garamond"/>
                <w:spacing w:val="1"/>
                <w:sz w:val="22"/>
                <w:szCs w:val="22"/>
              </w:rPr>
            </w:pPr>
            <w:r w:rsidRPr="006F6DAC">
              <w:rPr>
                <w:rFonts w:ascii="Garamond" w:hAnsi="Garamond"/>
                <w:spacing w:val="1"/>
                <w:sz w:val="22"/>
                <w:szCs w:val="22"/>
              </w:rPr>
              <w:t>тип документа – номер, присвоенный КО данному типу документа (80000);</w:t>
            </w:r>
          </w:p>
          <w:p w14:paraId="3DA3E7B1" w14:textId="77777777" w:rsidR="00F11A8B" w:rsidRPr="006F6DAC" w:rsidRDefault="00F11A8B" w:rsidP="00F11A8B">
            <w:pPr>
              <w:numPr>
                <w:ilvl w:val="1"/>
                <w:numId w:val="238"/>
              </w:numPr>
              <w:tabs>
                <w:tab w:val="left" w:pos="284"/>
              </w:tabs>
              <w:suppressAutoHyphens w:val="0"/>
              <w:jc w:val="both"/>
              <w:rPr>
                <w:rFonts w:ascii="Garamond" w:hAnsi="Garamond"/>
                <w:spacing w:val="1"/>
                <w:sz w:val="22"/>
                <w:szCs w:val="22"/>
              </w:rPr>
            </w:pPr>
            <w:r w:rsidRPr="006F6DAC">
              <w:rPr>
                <w:rFonts w:ascii="Garamond" w:hAnsi="Garamond"/>
                <w:spacing w:val="1"/>
                <w:sz w:val="22"/>
                <w:szCs w:val="22"/>
              </w:rPr>
              <w:t>ИНН – ИНН организации, получающей коды, длина – 10 символов;</w:t>
            </w:r>
          </w:p>
          <w:p w14:paraId="53FC3B08" w14:textId="77777777" w:rsidR="00F11A8B" w:rsidRPr="006F6DAC" w:rsidRDefault="00F11A8B" w:rsidP="00F11A8B">
            <w:pPr>
              <w:numPr>
                <w:ilvl w:val="1"/>
                <w:numId w:val="238"/>
              </w:numPr>
              <w:tabs>
                <w:tab w:val="left" w:pos="284"/>
              </w:tabs>
              <w:suppressAutoHyphens w:val="0"/>
              <w:jc w:val="both"/>
              <w:rPr>
                <w:rFonts w:ascii="Garamond" w:hAnsi="Garamond"/>
                <w:spacing w:val="1"/>
                <w:sz w:val="22"/>
                <w:szCs w:val="22"/>
              </w:rPr>
            </w:pPr>
            <w:r w:rsidRPr="006F6DAC">
              <w:rPr>
                <w:rFonts w:ascii="Garamond" w:hAnsi="Garamond"/>
                <w:spacing w:val="1"/>
                <w:sz w:val="22"/>
                <w:szCs w:val="22"/>
              </w:rPr>
              <w:t>дата – дата формирования кодов в формате “ГГГГММДДччммсс”, где ГГГГ – год, ММ – порядковый номер месяца, ДД – день, чч – час, мм – минуты, сс – секунды. Длина поля &lt;дата&gt; – 14 знаков;</w:t>
            </w:r>
          </w:p>
          <w:p w14:paraId="0E71718F" w14:textId="54F85D6A" w:rsidR="00F11A8B" w:rsidRPr="006F6DAC" w:rsidRDefault="00F11A8B" w:rsidP="00F11A8B">
            <w:pPr>
              <w:numPr>
                <w:ilvl w:val="1"/>
                <w:numId w:val="238"/>
              </w:numPr>
              <w:tabs>
                <w:tab w:val="left" w:pos="284"/>
              </w:tabs>
              <w:suppressAutoHyphens w:val="0"/>
              <w:jc w:val="both"/>
              <w:rPr>
                <w:rFonts w:ascii="Garamond" w:hAnsi="Garamond"/>
                <w:color w:val="000000"/>
                <w:sz w:val="22"/>
                <w:szCs w:val="22"/>
              </w:rPr>
            </w:pPr>
            <w:r w:rsidRPr="006F6DAC">
              <w:rPr>
                <w:rFonts w:ascii="Garamond" w:hAnsi="Garamond"/>
                <w:spacing w:val="1"/>
                <w:sz w:val="22"/>
                <w:szCs w:val="22"/>
                <w:highlight w:val="yellow"/>
              </w:rPr>
              <w:t>код АИИС</w:t>
            </w:r>
            <w:r w:rsidR="002F56EF">
              <w:rPr>
                <w:rFonts w:ascii="Garamond" w:hAnsi="Garamond"/>
                <w:spacing w:val="1"/>
                <w:sz w:val="22"/>
                <w:szCs w:val="22"/>
                <w:highlight w:val="yellow"/>
              </w:rPr>
              <w:t xml:space="preserve"> </w:t>
            </w:r>
            <w:r w:rsidRPr="006F6DAC">
              <w:rPr>
                <w:rFonts w:ascii="Garamond" w:hAnsi="Garamond"/>
                <w:spacing w:val="1"/>
                <w:sz w:val="22"/>
                <w:szCs w:val="22"/>
                <w:highlight w:val="yellow"/>
              </w:rPr>
              <w:t>/</w:t>
            </w:r>
            <w:r w:rsidR="002F56EF">
              <w:rPr>
                <w:rFonts w:ascii="Garamond" w:hAnsi="Garamond"/>
                <w:spacing w:val="1"/>
                <w:sz w:val="22"/>
                <w:szCs w:val="22"/>
                <w:highlight w:val="yellow"/>
              </w:rPr>
              <w:t xml:space="preserve"> </w:t>
            </w:r>
            <w:r w:rsidRPr="006F6DAC">
              <w:rPr>
                <w:rFonts w:ascii="Garamond" w:hAnsi="Garamond"/>
                <w:spacing w:val="1"/>
                <w:sz w:val="22"/>
                <w:szCs w:val="22"/>
                <w:highlight w:val="yellow"/>
              </w:rPr>
              <w:t>списка ОР</w:t>
            </w:r>
            <w:r w:rsidRPr="006F6DAC">
              <w:rPr>
                <w:rFonts w:ascii="Garamond" w:hAnsi="Garamond"/>
                <w:spacing w:val="1"/>
                <w:sz w:val="22"/>
                <w:szCs w:val="22"/>
              </w:rPr>
              <w:t xml:space="preserve"> – код, присваиваемый КО </w:t>
            </w:r>
            <w:r w:rsidRPr="006F6DAC">
              <w:rPr>
                <w:rFonts w:ascii="Garamond" w:hAnsi="Garamond"/>
                <w:spacing w:val="1"/>
                <w:sz w:val="22"/>
                <w:szCs w:val="22"/>
                <w:highlight w:val="yellow"/>
              </w:rPr>
              <w:t>АИИС</w:t>
            </w:r>
            <w:r w:rsidR="002F56EF">
              <w:rPr>
                <w:rFonts w:ascii="Garamond" w:hAnsi="Garamond"/>
                <w:spacing w:val="1"/>
                <w:sz w:val="22"/>
                <w:szCs w:val="22"/>
                <w:highlight w:val="yellow"/>
              </w:rPr>
              <w:t xml:space="preserve"> </w:t>
            </w:r>
            <w:r w:rsidRPr="006F6DAC">
              <w:rPr>
                <w:rFonts w:ascii="Garamond" w:hAnsi="Garamond"/>
                <w:spacing w:val="1"/>
                <w:sz w:val="22"/>
                <w:szCs w:val="22"/>
                <w:highlight w:val="yellow"/>
              </w:rPr>
              <w:t>/</w:t>
            </w:r>
            <w:r w:rsidR="002F56EF">
              <w:rPr>
                <w:rFonts w:ascii="Garamond" w:hAnsi="Garamond"/>
                <w:spacing w:val="1"/>
                <w:sz w:val="22"/>
                <w:szCs w:val="22"/>
                <w:highlight w:val="yellow"/>
              </w:rPr>
              <w:t xml:space="preserve"> </w:t>
            </w:r>
            <w:r w:rsidRPr="006F6DAC">
              <w:rPr>
                <w:rFonts w:ascii="Garamond" w:hAnsi="Garamond"/>
                <w:spacing w:val="1"/>
                <w:sz w:val="22"/>
                <w:szCs w:val="22"/>
                <w:highlight w:val="yellow"/>
              </w:rPr>
              <w:t>списку ОР</w:t>
            </w:r>
            <w:r w:rsidRPr="006F6DAC">
              <w:rPr>
                <w:rFonts w:ascii="Garamond" w:hAnsi="Garamond"/>
                <w:spacing w:val="1"/>
                <w:sz w:val="22"/>
                <w:szCs w:val="22"/>
              </w:rPr>
              <w:t xml:space="preserve"> организации, получающей коды. </w:t>
            </w:r>
            <w:r w:rsidRPr="006F6DAC">
              <w:rPr>
                <w:rFonts w:ascii="Garamond" w:hAnsi="Garamond"/>
                <w:sz w:val="22"/>
                <w:szCs w:val="22"/>
              </w:rPr>
              <w:t xml:space="preserve">Используется для организации независимой передачи электронных документов от разных </w:t>
            </w:r>
            <w:r w:rsidRPr="006F6DAC">
              <w:rPr>
                <w:rFonts w:ascii="Garamond" w:hAnsi="Garamond"/>
                <w:sz w:val="22"/>
                <w:szCs w:val="22"/>
                <w:highlight w:val="yellow"/>
              </w:rPr>
              <w:t>АИИС</w:t>
            </w:r>
            <w:r w:rsidR="002F56EF">
              <w:rPr>
                <w:rFonts w:ascii="Garamond" w:hAnsi="Garamond"/>
                <w:sz w:val="22"/>
                <w:szCs w:val="22"/>
                <w:highlight w:val="yellow"/>
              </w:rPr>
              <w:t xml:space="preserve"> </w:t>
            </w:r>
            <w:r w:rsidRPr="006F6DAC">
              <w:rPr>
                <w:rFonts w:ascii="Garamond" w:hAnsi="Garamond"/>
                <w:sz w:val="22"/>
                <w:szCs w:val="22"/>
                <w:highlight w:val="yellow"/>
              </w:rPr>
              <w:t>/</w:t>
            </w:r>
            <w:r w:rsidR="002F56EF">
              <w:rPr>
                <w:rFonts w:ascii="Garamond" w:hAnsi="Garamond"/>
                <w:sz w:val="22"/>
                <w:szCs w:val="22"/>
                <w:highlight w:val="yellow"/>
              </w:rPr>
              <w:t xml:space="preserve"> </w:t>
            </w:r>
            <w:r w:rsidRPr="006F6DAC">
              <w:rPr>
                <w:rFonts w:ascii="Garamond" w:hAnsi="Garamond"/>
                <w:sz w:val="22"/>
                <w:szCs w:val="22"/>
                <w:highlight w:val="yellow"/>
              </w:rPr>
              <w:t>списков ОР</w:t>
            </w:r>
            <w:r w:rsidRPr="006F6DAC">
              <w:rPr>
                <w:rFonts w:ascii="Garamond" w:hAnsi="Garamond"/>
                <w:sz w:val="22"/>
                <w:szCs w:val="22"/>
              </w:rPr>
              <w:t xml:space="preserve"> одной организации.</w:t>
            </w:r>
          </w:p>
        </w:tc>
      </w:tr>
      <w:tr w:rsidR="00F11A8B" w:rsidRPr="006F6DAC" w14:paraId="34855FD5" w14:textId="77777777" w:rsidTr="006F6DAC">
        <w:tc>
          <w:tcPr>
            <w:tcW w:w="1060" w:type="dxa"/>
          </w:tcPr>
          <w:p w14:paraId="6E6377B5" w14:textId="58486AF4" w:rsidR="00F11A8B" w:rsidRPr="006F6DAC" w:rsidRDefault="00F11A8B" w:rsidP="00F11A8B">
            <w:pPr>
              <w:widowControl w:val="0"/>
              <w:spacing w:line="259" w:lineRule="auto"/>
              <w:jc w:val="center"/>
              <w:rPr>
                <w:rFonts w:ascii="Garamond" w:hAnsi="Garamond"/>
                <w:b/>
                <w:sz w:val="22"/>
                <w:szCs w:val="22"/>
                <w:lang w:eastAsia="en-US"/>
              </w:rPr>
            </w:pPr>
            <w:r w:rsidRPr="006F6DAC">
              <w:rPr>
                <w:rFonts w:ascii="Garamond" w:hAnsi="Garamond"/>
                <w:b/>
                <w:sz w:val="22"/>
                <w:szCs w:val="22"/>
                <w:lang w:eastAsia="en-US"/>
              </w:rPr>
              <w:lastRenderedPageBreak/>
              <w:t>Приложение 8, п.</w:t>
            </w:r>
            <w:r w:rsidR="006F6DAC">
              <w:rPr>
                <w:rFonts w:ascii="Garamond" w:hAnsi="Garamond"/>
                <w:b/>
                <w:sz w:val="22"/>
                <w:szCs w:val="22"/>
                <w:lang w:eastAsia="en-US"/>
              </w:rPr>
              <w:t xml:space="preserve"> </w:t>
            </w:r>
            <w:r w:rsidRPr="006F6DAC">
              <w:rPr>
                <w:rFonts w:ascii="Garamond" w:hAnsi="Garamond"/>
                <w:b/>
                <w:sz w:val="22"/>
                <w:szCs w:val="22"/>
                <w:lang w:eastAsia="en-US"/>
              </w:rPr>
              <w:t>2.2</w:t>
            </w:r>
          </w:p>
        </w:tc>
        <w:tc>
          <w:tcPr>
            <w:tcW w:w="6804" w:type="dxa"/>
          </w:tcPr>
          <w:p w14:paraId="78F442C0" w14:textId="77777777" w:rsidR="00F11A8B" w:rsidRPr="006F6DAC" w:rsidRDefault="00F11A8B" w:rsidP="00F11A8B">
            <w:pPr>
              <w:pStyle w:val="2"/>
              <w:keepLines/>
              <w:widowControl/>
              <w:numPr>
                <w:ilvl w:val="0"/>
                <w:numId w:val="0"/>
              </w:numPr>
              <w:suppressAutoHyphens w:val="0"/>
              <w:autoSpaceDE/>
              <w:spacing w:line="259" w:lineRule="auto"/>
              <w:jc w:val="both"/>
              <w:rPr>
                <w:rFonts w:ascii="Garamond" w:hAnsi="Garamond"/>
                <w:b w:val="0"/>
              </w:rPr>
            </w:pPr>
            <w:r w:rsidRPr="006F6DAC">
              <w:rPr>
                <w:rFonts w:ascii="Garamond" w:hAnsi="Garamond"/>
                <w:b w:val="0"/>
              </w:rPr>
              <w:t>&lt;</w:t>
            </w:r>
            <w:r w:rsidRPr="006F6DAC">
              <w:rPr>
                <w:rFonts w:ascii="Garamond" w:hAnsi="Garamond"/>
                <w:b w:val="0"/>
                <w:lang w:val="en-US"/>
              </w:rPr>
              <w:t>dictionaries</w:t>
            </w:r>
            <w:r w:rsidRPr="006F6DAC">
              <w:rPr>
                <w:rFonts w:ascii="Garamond" w:hAnsi="Garamond"/>
                <w:b w:val="0"/>
              </w:rPr>
              <w:t>&gt;</w:t>
            </w:r>
          </w:p>
          <w:p w14:paraId="4DB1C473" w14:textId="48CB5B54" w:rsidR="00F11A8B" w:rsidRPr="006F6DAC" w:rsidRDefault="00F11A8B" w:rsidP="00F11A8B">
            <w:pPr>
              <w:ind w:left="66" w:right="29"/>
              <w:jc w:val="both"/>
              <w:rPr>
                <w:rFonts w:ascii="Garamond" w:hAnsi="Garamond"/>
                <w:sz w:val="22"/>
                <w:szCs w:val="22"/>
              </w:rPr>
            </w:pPr>
            <w:r w:rsidRPr="006F6DAC">
              <w:rPr>
                <w:rFonts w:ascii="Garamond" w:hAnsi="Garamond"/>
                <w:sz w:val="22"/>
                <w:szCs w:val="22"/>
              </w:rPr>
              <w:t>В элементе &lt;</w:t>
            </w:r>
            <w:r w:rsidRPr="006F6DAC">
              <w:rPr>
                <w:rFonts w:ascii="Garamond" w:hAnsi="Garamond"/>
                <w:sz w:val="22"/>
                <w:szCs w:val="22"/>
                <w:lang w:val="en-US"/>
              </w:rPr>
              <w:t>dictionaries</w:t>
            </w:r>
            <w:r w:rsidRPr="006F6DAC">
              <w:rPr>
                <w:rFonts w:ascii="Garamond" w:hAnsi="Garamond"/>
                <w:sz w:val="22"/>
                <w:szCs w:val="22"/>
              </w:rPr>
              <w:t xml:space="preserve">&gt; описывается справочная информация. Содержит набор словарей (справочников) с информацией об организации, </w:t>
            </w:r>
            <w:r w:rsidRPr="006F6DAC">
              <w:rPr>
                <w:rFonts w:ascii="Garamond" w:hAnsi="Garamond"/>
                <w:sz w:val="22"/>
                <w:szCs w:val="22"/>
                <w:highlight w:val="yellow"/>
              </w:rPr>
              <w:t>запросившей коды,</w:t>
            </w:r>
            <w:r w:rsidRPr="006F6DAC">
              <w:rPr>
                <w:rFonts w:ascii="Garamond" w:hAnsi="Garamond"/>
                <w:sz w:val="22"/>
                <w:szCs w:val="22"/>
              </w:rPr>
              <w:t xml:space="preserve"> энергообъектах, модификациях </w:t>
            </w:r>
            <w:r w:rsidRPr="006F6DAC">
              <w:rPr>
                <w:rFonts w:ascii="Garamond" w:hAnsi="Garamond"/>
                <w:sz w:val="22"/>
                <w:szCs w:val="22"/>
                <w:highlight w:val="yellow"/>
              </w:rPr>
              <w:t>измерительных приборов</w:t>
            </w:r>
            <w:r w:rsidRPr="006F6DAC">
              <w:rPr>
                <w:rFonts w:ascii="Garamond" w:hAnsi="Garamond"/>
                <w:sz w:val="22"/>
                <w:szCs w:val="22"/>
              </w:rPr>
              <w:t>, точках поставки, точках измерени</w:t>
            </w:r>
            <w:r w:rsidRPr="006F6DAC">
              <w:rPr>
                <w:rFonts w:ascii="Garamond" w:hAnsi="Garamond"/>
                <w:sz w:val="22"/>
                <w:szCs w:val="22"/>
                <w:highlight w:val="yellow"/>
              </w:rPr>
              <w:t>я</w:t>
            </w:r>
            <w:r w:rsidRPr="006F6DAC">
              <w:rPr>
                <w:rFonts w:ascii="Garamond" w:hAnsi="Garamond"/>
                <w:sz w:val="22"/>
                <w:szCs w:val="22"/>
              </w:rPr>
              <w:t xml:space="preserve">, </w:t>
            </w:r>
            <w:r w:rsidRPr="006F6DAC">
              <w:rPr>
                <w:rFonts w:ascii="Garamond" w:hAnsi="Garamond"/>
                <w:sz w:val="22"/>
                <w:szCs w:val="22"/>
                <w:highlight w:val="yellow"/>
              </w:rPr>
              <w:t>измерительных приборах</w:t>
            </w:r>
            <w:r w:rsidRPr="006F6DAC">
              <w:rPr>
                <w:rFonts w:ascii="Garamond" w:hAnsi="Garamond"/>
                <w:sz w:val="22"/>
                <w:szCs w:val="22"/>
              </w:rPr>
              <w:t>, измерительных каналах и объектах измерени</w:t>
            </w:r>
            <w:r w:rsidRPr="006F6DAC">
              <w:rPr>
                <w:rFonts w:ascii="Garamond" w:hAnsi="Garamond"/>
                <w:sz w:val="22"/>
                <w:szCs w:val="22"/>
                <w:highlight w:val="yellow"/>
              </w:rPr>
              <w:t>я</w:t>
            </w:r>
            <w:r w:rsidRPr="006F6DAC">
              <w:rPr>
                <w:rFonts w:ascii="Garamond" w:hAnsi="Garamond"/>
                <w:sz w:val="22"/>
                <w:szCs w:val="22"/>
              </w:rPr>
              <w:t>.</w:t>
            </w:r>
            <w:r w:rsidR="009B5F03" w:rsidRPr="006F6DAC">
              <w:rPr>
                <w:rFonts w:ascii="Garamond" w:hAnsi="Garamond"/>
                <w:sz w:val="22"/>
                <w:szCs w:val="22"/>
              </w:rPr>
              <w:t xml:space="preserve"> </w:t>
            </w:r>
          </w:p>
          <w:p w14:paraId="37CA3DA1" w14:textId="77777777" w:rsidR="00F11A8B" w:rsidRPr="006F6DAC" w:rsidRDefault="00F11A8B" w:rsidP="00F11A8B">
            <w:pPr>
              <w:ind w:left="66"/>
              <w:jc w:val="both"/>
              <w:rPr>
                <w:rFonts w:ascii="Garamond" w:hAnsi="Garamond"/>
                <w:sz w:val="22"/>
                <w:szCs w:val="22"/>
              </w:rPr>
            </w:pPr>
            <w:r w:rsidRPr="006F6DAC">
              <w:rPr>
                <w:rFonts w:ascii="Garamond" w:hAnsi="Garamond"/>
                <w:bCs/>
                <w:sz w:val="22"/>
                <w:szCs w:val="22"/>
              </w:rPr>
              <w:t>Обязательный элемент</w:t>
            </w:r>
            <w:r w:rsidRPr="006F6DAC">
              <w:rPr>
                <w:rFonts w:ascii="Garamond" w:hAnsi="Garamond"/>
                <w:sz w:val="22"/>
                <w:szCs w:val="22"/>
              </w:rPr>
              <w:t>. Допускается наличие только одного элемента.</w:t>
            </w:r>
          </w:p>
          <w:p w14:paraId="64AB18C3" w14:textId="77777777" w:rsidR="00F11A8B" w:rsidRPr="006F6DAC" w:rsidRDefault="00F11A8B" w:rsidP="00F11A8B">
            <w:pPr>
              <w:ind w:left="66"/>
              <w:jc w:val="both"/>
              <w:rPr>
                <w:rFonts w:ascii="Garamond" w:hAnsi="Garamond"/>
                <w:sz w:val="22"/>
                <w:szCs w:val="22"/>
                <w:lang w:val="en-US"/>
              </w:rPr>
            </w:pPr>
            <w:r w:rsidRPr="006F6DAC">
              <w:rPr>
                <w:rFonts w:ascii="Garamond" w:hAnsi="Garamond"/>
                <w:sz w:val="22"/>
                <w:szCs w:val="22"/>
              </w:rPr>
              <w:t>Дочерними</w:t>
            </w:r>
            <w:r w:rsidRPr="006F6DAC">
              <w:rPr>
                <w:rFonts w:ascii="Garamond" w:hAnsi="Garamond"/>
                <w:sz w:val="22"/>
                <w:szCs w:val="22"/>
                <w:lang w:val="en-US"/>
              </w:rPr>
              <w:t xml:space="preserve"> </w:t>
            </w:r>
            <w:r w:rsidRPr="006F6DAC">
              <w:rPr>
                <w:rFonts w:ascii="Garamond" w:hAnsi="Garamond"/>
                <w:sz w:val="22"/>
                <w:szCs w:val="22"/>
              </w:rPr>
              <w:t>элементами</w:t>
            </w:r>
            <w:r w:rsidRPr="006F6DAC">
              <w:rPr>
                <w:rFonts w:ascii="Garamond" w:hAnsi="Garamond"/>
                <w:sz w:val="22"/>
                <w:szCs w:val="22"/>
                <w:lang w:val="en-US"/>
              </w:rPr>
              <w:t xml:space="preserve"> </w:t>
            </w:r>
            <w:r w:rsidRPr="006F6DAC">
              <w:rPr>
                <w:rFonts w:ascii="Garamond" w:hAnsi="Garamond"/>
                <w:sz w:val="22"/>
                <w:szCs w:val="22"/>
              </w:rPr>
              <w:t>являются</w:t>
            </w:r>
            <w:r w:rsidRPr="006F6DAC">
              <w:rPr>
                <w:rFonts w:ascii="Garamond" w:hAnsi="Garamond"/>
                <w:sz w:val="22"/>
                <w:szCs w:val="22"/>
                <w:lang w:val="en-US"/>
              </w:rPr>
              <w:t>: &lt;organization&gt;, &lt;power-objects&gt;, &lt;delivery-points&gt;, &lt;measuring-device-modifications&gt;, &lt;measuring-points&gt;, &lt;measuring-objects&gt;.</w:t>
            </w:r>
          </w:p>
        </w:tc>
        <w:tc>
          <w:tcPr>
            <w:tcW w:w="7115" w:type="dxa"/>
          </w:tcPr>
          <w:p w14:paraId="12E1D16D" w14:textId="77777777" w:rsidR="00F11A8B" w:rsidRPr="006F6DAC" w:rsidRDefault="00F11A8B" w:rsidP="00F11A8B">
            <w:pPr>
              <w:pStyle w:val="2"/>
              <w:keepLines/>
              <w:widowControl/>
              <w:numPr>
                <w:ilvl w:val="0"/>
                <w:numId w:val="0"/>
              </w:numPr>
              <w:suppressAutoHyphens w:val="0"/>
              <w:autoSpaceDE/>
              <w:spacing w:line="259" w:lineRule="auto"/>
              <w:jc w:val="both"/>
              <w:rPr>
                <w:rFonts w:ascii="Garamond" w:hAnsi="Garamond"/>
                <w:b w:val="0"/>
              </w:rPr>
            </w:pPr>
            <w:r w:rsidRPr="006F6DAC">
              <w:rPr>
                <w:rFonts w:ascii="Garamond" w:hAnsi="Garamond"/>
                <w:b w:val="0"/>
              </w:rPr>
              <w:t>&lt;</w:t>
            </w:r>
            <w:r w:rsidRPr="006F6DAC">
              <w:rPr>
                <w:rFonts w:ascii="Garamond" w:hAnsi="Garamond"/>
                <w:b w:val="0"/>
                <w:lang w:val="en-US"/>
              </w:rPr>
              <w:t>dictionaries</w:t>
            </w:r>
            <w:r w:rsidRPr="006F6DAC">
              <w:rPr>
                <w:rFonts w:ascii="Garamond" w:hAnsi="Garamond"/>
                <w:b w:val="0"/>
              </w:rPr>
              <w:t>&gt;</w:t>
            </w:r>
          </w:p>
          <w:p w14:paraId="7C2BFB3D" w14:textId="20AA265A" w:rsidR="00F11A8B" w:rsidRPr="006F6DAC" w:rsidRDefault="00F11A8B" w:rsidP="00F11A8B">
            <w:pPr>
              <w:ind w:left="66" w:right="67"/>
              <w:jc w:val="both"/>
              <w:rPr>
                <w:rFonts w:ascii="Garamond" w:hAnsi="Garamond"/>
                <w:sz w:val="22"/>
                <w:szCs w:val="22"/>
              </w:rPr>
            </w:pPr>
            <w:r w:rsidRPr="006F6DAC">
              <w:rPr>
                <w:rFonts w:ascii="Garamond" w:hAnsi="Garamond"/>
                <w:sz w:val="22"/>
                <w:szCs w:val="22"/>
              </w:rPr>
              <w:t xml:space="preserve">В элементе &lt;dictionaries&gt; описывается справочная информация. Содержит набор словарей (справочников) с информацией об организации, энергообъектах, модификациях </w:t>
            </w:r>
            <w:r w:rsidRPr="006F6DAC">
              <w:rPr>
                <w:rFonts w:ascii="Garamond" w:hAnsi="Garamond"/>
                <w:sz w:val="22"/>
                <w:szCs w:val="22"/>
                <w:highlight w:val="yellow"/>
              </w:rPr>
              <w:t>приборов учета</w:t>
            </w:r>
            <w:r w:rsidRPr="006F6DAC">
              <w:rPr>
                <w:rFonts w:ascii="Garamond" w:hAnsi="Garamond"/>
                <w:sz w:val="22"/>
                <w:szCs w:val="22"/>
              </w:rPr>
              <w:t xml:space="preserve">, точках поставки </w:t>
            </w:r>
            <w:r w:rsidRPr="006F6DAC">
              <w:rPr>
                <w:rFonts w:ascii="Garamond" w:hAnsi="Garamond"/>
                <w:sz w:val="22"/>
                <w:szCs w:val="22"/>
                <w:highlight w:val="yellow"/>
              </w:rPr>
              <w:t>(точках присоединения)</w:t>
            </w:r>
            <w:r w:rsidRPr="006F6DAC">
              <w:rPr>
                <w:rFonts w:ascii="Garamond" w:hAnsi="Garamond"/>
                <w:sz w:val="22"/>
                <w:szCs w:val="22"/>
              </w:rPr>
              <w:t>, точках измерени</w:t>
            </w:r>
            <w:r w:rsidRPr="006F6DAC">
              <w:rPr>
                <w:rFonts w:ascii="Garamond" w:hAnsi="Garamond"/>
                <w:sz w:val="22"/>
                <w:szCs w:val="22"/>
                <w:highlight w:val="yellow"/>
              </w:rPr>
              <w:t>й</w:t>
            </w:r>
            <w:r w:rsidRPr="006F6DAC">
              <w:rPr>
                <w:rFonts w:ascii="Garamond" w:hAnsi="Garamond"/>
                <w:sz w:val="22"/>
                <w:szCs w:val="22"/>
              </w:rPr>
              <w:t xml:space="preserve">, </w:t>
            </w:r>
            <w:r w:rsidRPr="006F6DAC">
              <w:rPr>
                <w:rFonts w:ascii="Garamond" w:hAnsi="Garamond"/>
                <w:sz w:val="22"/>
                <w:szCs w:val="22"/>
                <w:highlight w:val="yellow"/>
              </w:rPr>
              <w:t>приборах учета</w:t>
            </w:r>
            <w:r w:rsidRPr="006F6DAC">
              <w:rPr>
                <w:rFonts w:ascii="Garamond" w:hAnsi="Garamond"/>
                <w:sz w:val="22"/>
                <w:szCs w:val="22"/>
              </w:rPr>
              <w:t>, измерительных каналах и объектах измерени</w:t>
            </w:r>
            <w:r w:rsidRPr="006F6DAC">
              <w:rPr>
                <w:rFonts w:ascii="Garamond" w:hAnsi="Garamond"/>
                <w:sz w:val="22"/>
                <w:szCs w:val="22"/>
                <w:highlight w:val="yellow"/>
              </w:rPr>
              <w:t>й</w:t>
            </w:r>
            <w:r w:rsidRPr="006F6DAC">
              <w:rPr>
                <w:rFonts w:ascii="Garamond" w:hAnsi="Garamond"/>
                <w:sz w:val="22"/>
                <w:szCs w:val="22"/>
              </w:rPr>
              <w:t>.</w:t>
            </w:r>
            <w:r w:rsidR="009B5F03" w:rsidRPr="006F6DAC">
              <w:rPr>
                <w:rFonts w:ascii="Garamond" w:hAnsi="Garamond"/>
                <w:sz w:val="22"/>
                <w:szCs w:val="22"/>
              </w:rPr>
              <w:t xml:space="preserve"> </w:t>
            </w:r>
          </w:p>
          <w:p w14:paraId="3E525FA7" w14:textId="77777777" w:rsidR="00F11A8B" w:rsidRPr="006F6DAC" w:rsidRDefault="00F11A8B" w:rsidP="00F11A8B">
            <w:pPr>
              <w:ind w:left="66" w:right="-143"/>
              <w:jc w:val="both"/>
              <w:rPr>
                <w:rFonts w:ascii="Garamond" w:hAnsi="Garamond"/>
                <w:sz w:val="22"/>
                <w:szCs w:val="22"/>
              </w:rPr>
            </w:pPr>
            <w:r w:rsidRPr="006F6DAC">
              <w:rPr>
                <w:rFonts w:ascii="Garamond" w:hAnsi="Garamond"/>
                <w:sz w:val="22"/>
                <w:szCs w:val="22"/>
              </w:rPr>
              <w:t>Обязательный элемент. Допускается наличие только одного элемента.</w:t>
            </w:r>
          </w:p>
          <w:p w14:paraId="792C5352" w14:textId="77777777" w:rsidR="00F11A8B" w:rsidRPr="006F6DAC" w:rsidRDefault="00F11A8B" w:rsidP="00F11A8B">
            <w:pPr>
              <w:ind w:left="66" w:right="67"/>
              <w:jc w:val="both"/>
              <w:rPr>
                <w:rFonts w:ascii="Garamond" w:hAnsi="Garamond"/>
                <w:sz w:val="22"/>
                <w:szCs w:val="22"/>
                <w:lang w:val="en-US"/>
              </w:rPr>
            </w:pPr>
            <w:r w:rsidRPr="006F6DAC">
              <w:rPr>
                <w:rFonts w:ascii="Garamond" w:hAnsi="Garamond"/>
                <w:sz w:val="22"/>
                <w:szCs w:val="22"/>
              </w:rPr>
              <w:t>Дочерними</w:t>
            </w:r>
            <w:r w:rsidRPr="006F6DAC">
              <w:rPr>
                <w:rFonts w:ascii="Garamond" w:hAnsi="Garamond"/>
                <w:sz w:val="22"/>
                <w:szCs w:val="22"/>
                <w:lang w:val="en-US"/>
              </w:rPr>
              <w:t xml:space="preserve"> </w:t>
            </w:r>
            <w:r w:rsidRPr="006F6DAC">
              <w:rPr>
                <w:rFonts w:ascii="Garamond" w:hAnsi="Garamond"/>
                <w:sz w:val="22"/>
                <w:szCs w:val="22"/>
              </w:rPr>
              <w:t>элементами</w:t>
            </w:r>
            <w:r w:rsidRPr="006F6DAC">
              <w:rPr>
                <w:rFonts w:ascii="Garamond" w:hAnsi="Garamond"/>
                <w:sz w:val="22"/>
                <w:szCs w:val="22"/>
                <w:lang w:val="en-US"/>
              </w:rPr>
              <w:t xml:space="preserve"> </w:t>
            </w:r>
            <w:r w:rsidRPr="006F6DAC">
              <w:rPr>
                <w:rFonts w:ascii="Garamond" w:hAnsi="Garamond"/>
                <w:sz w:val="22"/>
                <w:szCs w:val="22"/>
              </w:rPr>
              <w:t>являются</w:t>
            </w:r>
            <w:r w:rsidRPr="006F6DAC">
              <w:rPr>
                <w:rFonts w:ascii="Garamond" w:hAnsi="Garamond"/>
                <w:sz w:val="22"/>
                <w:szCs w:val="22"/>
                <w:lang w:val="en-US"/>
              </w:rPr>
              <w:t>: &lt;organization&gt;, &lt;power-objects&gt;, &lt;delivery-points&gt;, &lt;measuring-device-modifications&gt;, &lt;measuring-points&gt;, &lt;measuring-objects&gt;.</w:t>
            </w:r>
          </w:p>
        </w:tc>
      </w:tr>
      <w:tr w:rsidR="00F11A8B" w:rsidRPr="006F6DAC" w14:paraId="0758117C" w14:textId="77777777" w:rsidTr="006F6DAC">
        <w:tc>
          <w:tcPr>
            <w:tcW w:w="1060" w:type="dxa"/>
          </w:tcPr>
          <w:p w14:paraId="7BBA4FB5" w14:textId="6C4B31A7" w:rsidR="00F11A8B" w:rsidRPr="006F6DAC" w:rsidRDefault="00F11A8B" w:rsidP="00F11A8B">
            <w:pPr>
              <w:widowControl w:val="0"/>
              <w:spacing w:line="259" w:lineRule="auto"/>
              <w:jc w:val="center"/>
              <w:rPr>
                <w:rFonts w:ascii="Garamond" w:hAnsi="Garamond"/>
                <w:b/>
                <w:sz w:val="22"/>
                <w:szCs w:val="22"/>
                <w:lang w:eastAsia="en-US"/>
              </w:rPr>
            </w:pPr>
            <w:r w:rsidRPr="006F6DAC">
              <w:rPr>
                <w:rFonts w:ascii="Garamond" w:hAnsi="Garamond"/>
                <w:b/>
                <w:sz w:val="22"/>
                <w:szCs w:val="22"/>
                <w:lang w:eastAsia="en-US"/>
              </w:rPr>
              <w:t>Приложение 8, п.</w:t>
            </w:r>
            <w:r w:rsidR="006F6DAC">
              <w:rPr>
                <w:rFonts w:ascii="Garamond" w:hAnsi="Garamond"/>
                <w:b/>
                <w:sz w:val="22"/>
                <w:szCs w:val="22"/>
                <w:lang w:eastAsia="en-US"/>
              </w:rPr>
              <w:t xml:space="preserve"> </w:t>
            </w:r>
            <w:r w:rsidRPr="006F6DAC">
              <w:rPr>
                <w:rFonts w:ascii="Garamond" w:hAnsi="Garamond"/>
                <w:b/>
                <w:sz w:val="22"/>
                <w:szCs w:val="22"/>
                <w:lang w:eastAsia="en-US"/>
              </w:rPr>
              <w:t>2.2.2</w:t>
            </w:r>
          </w:p>
        </w:tc>
        <w:tc>
          <w:tcPr>
            <w:tcW w:w="6804" w:type="dxa"/>
          </w:tcPr>
          <w:p w14:paraId="3590D115" w14:textId="77777777" w:rsidR="00F11A8B" w:rsidRPr="006F6DAC" w:rsidRDefault="00F11A8B" w:rsidP="00F11A8B">
            <w:pPr>
              <w:pStyle w:val="3"/>
              <w:keepLines/>
              <w:numPr>
                <w:ilvl w:val="0"/>
                <w:numId w:val="0"/>
              </w:numPr>
              <w:suppressAutoHyphens w:val="0"/>
              <w:spacing w:line="259" w:lineRule="auto"/>
              <w:jc w:val="both"/>
              <w:rPr>
                <w:rFonts w:ascii="Garamond" w:hAnsi="Garamond"/>
                <w:b w:val="0"/>
                <w:color w:val="auto"/>
                <w:sz w:val="22"/>
                <w:szCs w:val="22"/>
              </w:rPr>
            </w:pPr>
            <w:r w:rsidRPr="006F6DAC">
              <w:rPr>
                <w:rFonts w:ascii="Garamond" w:hAnsi="Garamond"/>
                <w:b w:val="0"/>
                <w:color w:val="auto"/>
                <w:sz w:val="22"/>
                <w:szCs w:val="22"/>
              </w:rPr>
              <w:t>&lt;</w:t>
            </w:r>
            <w:r w:rsidRPr="006F6DAC">
              <w:rPr>
                <w:rFonts w:ascii="Garamond" w:hAnsi="Garamond"/>
                <w:b w:val="0"/>
                <w:color w:val="auto"/>
                <w:sz w:val="22"/>
                <w:szCs w:val="22"/>
                <w:lang w:val="en-US"/>
              </w:rPr>
              <w:t>power</w:t>
            </w:r>
            <w:r w:rsidRPr="006F6DAC">
              <w:rPr>
                <w:rFonts w:ascii="Garamond" w:hAnsi="Garamond"/>
                <w:b w:val="0"/>
                <w:color w:val="auto"/>
                <w:sz w:val="22"/>
                <w:szCs w:val="22"/>
              </w:rPr>
              <w:t>-</w:t>
            </w:r>
            <w:r w:rsidRPr="006F6DAC">
              <w:rPr>
                <w:rFonts w:ascii="Garamond" w:hAnsi="Garamond"/>
                <w:b w:val="0"/>
                <w:color w:val="auto"/>
                <w:sz w:val="22"/>
                <w:szCs w:val="22"/>
                <w:lang w:val="en-US"/>
              </w:rPr>
              <w:t>objects</w:t>
            </w:r>
            <w:r w:rsidRPr="006F6DAC">
              <w:rPr>
                <w:rFonts w:ascii="Garamond" w:hAnsi="Garamond"/>
                <w:b w:val="0"/>
                <w:color w:val="auto"/>
                <w:sz w:val="22"/>
                <w:szCs w:val="22"/>
              </w:rPr>
              <w:t>&gt;</w:t>
            </w:r>
          </w:p>
          <w:p w14:paraId="0FB1F610" w14:textId="77777777" w:rsidR="00F11A8B" w:rsidRPr="006F6DAC" w:rsidRDefault="00F11A8B" w:rsidP="00F11A8B">
            <w:pPr>
              <w:ind w:right="-143"/>
              <w:jc w:val="both"/>
              <w:rPr>
                <w:rFonts w:ascii="Garamond" w:hAnsi="Garamond"/>
                <w:sz w:val="22"/>
                <w:szCs w:val="22"/>
              </w:rPr>
            </w:pPr>
            <w:r w:rsidRPr="006F6DAC">
              <w:rPr>
                <w:rFonts w:ascii="Garamond" w:hAnsi="Garamond"/>
                <w:sz w:val="22"/>
                <w:szCs w:val="22"/>
              </w:rPr>
              <w:t xml:space="preserve">Элемент </w:t>
            </w:r>
            <w:r w:rsidRPr="006F6DAC">
              <w:rPr>
                <w:rFonts w:ascii="Garamond" w:eastAsia="Calibri" w:hAnsi="Garamond"/>
                <w:sz w:val="22"/>
                <w:szCs w:val="22"/>
              </w:rPr>
              <w:t>&lt;</w:t>
            </w:r>
            <w:r w:rsidRPr="006F6DAC">
              <w:rPr>
                <w:rFonts w:ascii="Garamond" w:eastAsia="Calibri" w:hAnsi="Garamond"/>
                <w:sz w:val="22"/>
                <w:szCs w:val="22"/>
                <w:lang w:val="en-US"/>
              </w:rPr>
              <w:t>power</w:t>
            </w:r>
            <w:r w:rsidRPr="006F6DAC">
              <w:rPr>
                <w:rFonts w:ascii="Garamond" w:eastAsia="Calibri" w:hAnsi="Garamond"/>
                <w:sz w:val="22"/>
                <w:szCs w:val="22"/>
              </w:rPr>
              <w:t>-</w:t>
            </w:r>
            <w:r w:rsidRPr="006F6DAC">
              <w:rPr>
                <w:rFonts w:ascii="Garamond" w:eastAsia="Calibri" w:hAnsi="Garamond"/>
                <w:sz w:val="22"/>
                <w:szCs w:val="22"/>
                <w:lang w:val="en-US"/>
              </w:rPr>
              <w:t>objects</w:t>
            </w:r>
            <w:r w:rsidRPr="006F6DAC">
              <w:rPr>
                <w:rFonts w:ascii="Garamond" w:eastAsia="Calibri" w:hAnsi="Garamond"/>
                <w:sz w:val="22"/>
                <w:szCs w:val="22"/>
              </w:rPr>
              <w:t xml:space="preserve">&gt; </w:t>
            </w:r>
            <w:r w:rsidRPr="006F6DAC">
              <w:rPr>
                <w:rFonts w:ascii="Garamond" w:hAnsi="Garamond"/>
                <w:sz w:val="22"/>
                <w:szCs w:val="22"/>
              </w:rPr>
              <w:t>содержит список энергообъектов, на которых расположены точки поставки и точки измерени</w:t>
            </w:r>
            <w:r w:rsidRPr="006F6DAC">
              <w:rPr>
                <w:rFonts w:ascii="Garamond" w:hAnsi="Garamond"/>
                <w:sz w:val="22"/>
                <w:szCs w:val="22"/>
                <w:highlight w:val="yellow"/>
              </w:rPr>
              <w:t>я</w:t>
            </w:r>
            <w:r w:rsidRPr="006F6DAC">
              <w:rPr>
                <w:rFonts w:ascii="Garamond" w:hAnsi="Garamond"/>
                <w:sz w:val="22"/>
                <w:szCs w:val="22"/>
              </w:rPr>
              <w:t>, включенные в группы поставки информации.</w:t>
            </w:r>
          </w:p>
          <w:p w14:paraId="393978B6" w14:textId="77777777" w:rsidR="00F11A8B" w:rsidRPr="006F6DAC" w:rsidRDefault="00F11A8B" w:rsidP="00F11A8B">
            <w:pPr>
              <w:widowControl w:val="0"/>
              <w:autoSpaceDE w:val="0"/>
              <w:autoSpaceDN w:val="0"/>
              <w:adjustRightInd w:val="0"/>
              <w:spacing w:line="276" w:lineRule="auto"/>
              <w:ind w:right="-143"/>
              <w:jc w:val="both"/>
              <w:rPr>
                <w:rFonts w:ascii="Garamond" w:hAnsi="Garamond"/>
                <w:sz w:val="22"/>
                <w:szCs w:val="22"/>
              </w:rPr>
            </w:pPr>
            <w:r w:rsidRPr="006F6DAC">
              <w:rPr>
                <w:rFonts w:ascii="Garamond" w:hAnsi="Garamond"/>
                <w:bCs/>
                <w:sz w:val="22"/>
                <w:szCs w:val="22"/>
              </w:rPr>
              <w:t>Обязательный элемент</w:t>
            </w:r>
            <w:r w:rsidRPr="006F6DAC">
              <w:rPr>
                <w:rFonts w:ascii="Garamond" w:hAnsi="Garamond"/>
                <w:sz w:val="22"/>
                <w:szCs w:val="22"/>
              </w:rPr>
              <w:t>. Допускается наличие только одного элемента.</w:t>
            </w:r>
          </w:p>
          <w:p w14:paraId="6CD8C118" w14:textId="77777777" w:rsidR="00F11A8B" w:rsidRPr="006F6DAC" w:rsidRDefault="00F11A8B" w:rsidP="00F11A8B">
            <w:pPr>
              <w:ind w:right="-143"/>
              <w:jc w:val="both"/>
              <w:rPr>
                <w:rFonts w:ascii="Garamond" w:eastAsia="Calibri" w:hAnsi="Garamond"/>
                <w:sz w:val="22"/>
                <w:szCs w:val="22"/>
              </w:rPr>
            </w:pPr>
            <w:r w:rsidRPr="006F6DAC">
              <w:rPr>
                <w:rFonts w:ascii="Garamond" w:hAnsi="Garamond"/>
                <w:sz w:val="22"/>
                <w:szCs w:val="22"/>
              </w:rPr>
              <w:t>Дочерними элементами являются:</w:t>
            </w:r>
            <w:r w:rsidRPr="006F6DAC">
              <w:rPr>
                <w:rFonts w:ascii="Garamond" w:eastAsia="Calibri" w:hAnsi="Garamond"/>
                <w:sz w:val="22"/>
                <w:szCs w:val="22"/>
              </w:rPr>
              <w:t xml:space="preserve"> &lt;</w:t>
            </w:r>
            <w:r w:rsidRPr="006F6DAC">
              <w:rPr>
                <w:rFonts w:ascii="Garamond" w:eastAsia="Calibri" w:hAnsi="Garamond"/>
                <w:sz w:val="22"/>
                <w:szCs w:val="22"/>
                <w:lang w:val="en-US"/>
              </w:rPr>
              <w:t>power</w:t>
            </w:r>
            <w:r w:rsidRPr="006F6DAC">
              <w:rPr>
                <w:rFonts w:ascii="Garamond" w:eastAsia="Calibri" w:hAnsi="Garamond"/>
                <w:sz w:val="22"/>
                <w:szCs w:val="22"/>
              </w:rPr>
              <w:t>-</w:t>
            </w:r>
            <w:r w:rsidRPr="006F6DAC">
              <w:rPr>
                <w:rFonts w:ascii="Garamond" w:eastAsia="Calibri" w:hAnsi="Garamond"/>
                <w:sz w:val="22"/>
                <w:szCs w:val="22"/>
                <w:lang w:val="en-US"/>
              </w:rPr>
              <w:t>object</w:t>
            </w:r>
            <w:r w:rsidRPr="006F6DAC">
              <w:rPr>
                <w:rFonts w:ascii="Garamond" w:eastAsia="Calibri" w:hAnsi="Garamond"/>
                <w:sz w:val="22"/>
                <w:szCs w:val="22"/>
              </w:rPr>
              <w:t>&gt;.</w:t>
            </w:r>
          </w:p>
        </w:tc>
        <w:tc>
          <w:tcPr>
            <w:tcW w:w="7115" w:type="dxa"/>
          </w:tcPr>
          <w:p w14:paraId="5274B3E6" w14:textId="77777777" w:rsidR="00F11A8B" w:rsidRPr="006F6DAC" w:rsidRDefault="00F11A8B" w:rsidP="00F11A8B">
            <w:pPr>
              <w:pStyle w:val="3"/>
              <w:keepLines/>
              <w:numPr>
                <w:ilvl w:val="0"/>
                <w:numId w:val="0"/>
              </w:numPr>
              <w:suppressAutoHyphens w:val="0"/>
              <w:spacing w:line="259" w:lineRule="auto"/>
              <w:jc w:val="both"/>
              <w:rPr>
                <w:rFonts w:ascii="Garamond" w:hAnsi="Garamond"/>
                <w:b w:val="0"/>
                <w:color w:val="auto"/>
                <w:sz w:val="22"/>
                <w:szCs w:val="22"/>
              </w:rPr>
            </w:pPr>
            <w:r w:rsidRPr="006F6DAC">
              <w:rPr>
                <w:rFonts w:ascii="Garamond" w:hAnsi="Garamond"/>
                <w:b w:val="0"/>
                <w:color w:val="auto"/>
                <w:sz w:val="22"/>
                <w:szCs w:val="22"/>
              </w:rPr>
              <w:t>&lt;</w:t>
            </w:r>
            <w:r w:rsidRPr="006F6DAC">
              <w:rPr>
                <w:rFonts w:ascii="Garamond" w:hAnsi="Garamond"/>
                <w:b w:val="0"/>
                <w:color w:val="auto"/>
                <w:sz w:val="22"/>
                <w:szCs w:val="22"/>
                <w:lang w:val="en-US"/>
              </w:rPr>
              <w:t>power</w:t>
            </w:r>
            <w:r w:rsidRPr="006F6DAC">
              <w:rPr>
                <w:rFonts w:ascii="Garamond" w:hAnsi="Garamond"/>
                <w:b w:val="0"/>
                <w:color w:val="auto"/>
                <w:sz w:val="22"/>
                <w:szCs w:val="22"/>
              </w:rPr>
              <w:t>-</w:t>
            </w:r>
            <w:r w:rsidRPr="006F6DAC">
              <w:rPr>
                <w:rFonts w:ascii="Garamond" w:hAnsi="Garamond"/>
                <w:b w:val="0"/>
                <w:color w:val="auto"/>
                <w:sz w:val="22"/>
                <w:szCs w:val="22"/>
                <w:lang w:val="en-US"/>
              </w:rPr>
              <w:t>objects</w:t>
            </w:r>
            <w:r w:rsidRPr="006F6DAC">
              <w:rPr>
                <w:rFonts w:ascii="Garamond" w:hAnsi="Garamond"/>
                <w:b w:val="0"/>
                <w:color w:val="auto"/>
                <w:sz w:val="22"/>
                <w:szCs w:val="22"/>
              </w:rPr>
              <w:t>&gt;</w:t>
            </w:r>
          </w:p>
          <w:p w14:paraId="622653E5" w14:textId="77777777" w:rsidR="00F11A8B" w:rsidRPr="006F6DAC" w:rsidRDefault="00F11A8B" w:rsidP="00F11A8B">
            <w:pPr>
              <w:jc w:val="both"/>
              <w:rPr>
                <w:rFonts w:ascii="Garamond" w:hAnsi="Garamond"/>
                <w:sz w:val="22"/>
                <w:szCs w:val="22"/>
              </w:rPr>
            </w:pPr>
            <w:r w:rsidRPr="006F6DAC">
              <w:rPr>
                <w:rFonts w:ascii="Garamond" w:hAnsi="Garamond"/>
                <w:sz w:val="22"/>
                <w:szCs w:val="22"/>
              </w:rPr>
              <w:t xml:space="preserve">Элемент </w:t>
            </w:r>
            <w:r w:rsidRPr="006F6DAC">
              <w:rPr>
                <w:rFonts w:ascii="Garamond" w:eastAsia="Calibri" w:hAnsi="Garamond"/>
                <w:sz w:val="22"/>
                <w:szCs w:val="22"/>
              </w:rPr>
              <w:t>&lt;</w:t>
            </w:r>
            <w:r w:rsidRPr="006F6DAC">
              <w:rPr>
                <w:rFonts w:ascii="Garamond" w:eastAsia="Calibri" w:hAnsi="Garamond"/>
                <w:sz w:val="22"/>
                <w:szCs w:val="22"/>
                <w:lang w:val="en-US"/>
              </w:rPr>
              <w:t>power</w:t>
            </w:r>
            <w:r w:rsidRPr="006F6DAC">
              <w:rPr>
                <w:rFonts w:ascii="Garamond" w:eastAsia="Calibri" w:hAnsi="Garamond"/>
                <w:sz w:val="22"/>
                <w:szCs w:val="22"/>
              </w:rPr>
              <w:t>-</w:t>
            </w:r>
            <w:r w:rsidRPr="006F6DAC">
              <w:rPr>
                <w:rFonts w:ascii="Garamond" w:eastAsia="Calibri" w:hAnsi="Garamond"/>
                <w:sz w:val="22"/>
                <w:szCs w:val="22"/>
                <w:lang w:val="en-US"/>
              </w:rPr>
              <w:t>objects</w:t>
            </w:r>
            <w:r w:rsidRPr="006F6DAC">
              <w:rPr>
                <w:rFonts w:ascii="Garamond" w:eastAsia="Calibri" w:hAnsi="Garamond"/>
                <w:sz w:val="22"/>
                <w:szCs w:val="22"/>
              </w:rPr>
              <w:t xml:space="preserve">&gt; </w:t>
            </w:r>
            <w:r w:rsidRPr="006F6DAC">
              <w:rPr>
                <w:rFonts w:ascii="Garamond" w:hAnsi="Garamond"/>
                <w:sz w:val="22"/>
                <w:szCs w:val="22"/>
              </w:rPr>
              <w:t xml:space="preserve">содержит список энергообъектов, на которых расположены точки поставки </w:t>
            </w:r>
            <w:r w:rsidRPr="006F6DAC">
              <w:rPr>
                <w:rFonts w:ascii="Garamond" w:hAnsi="Garamond"/>
                <w:sz w:val="22"/>
                <w:szCs w:val="22"/>
                <w:highlight w:val="yellow"/>
              </w:rPr>
              <w:t>(точки присоединения)</w:t>
            </w:r>
            <w:r w:rsidRPr="006F6DAC">
              <w:rPr>
                <w:rFonts w:ascii="Garamond" w:hAnsi="Garamond"/>
                <w:sz w:val="22"/>
                <w:szCs w:val="22"/>
              </w:rPr>
              <w:t xml:space="preserve"> и точки измерени</w:t>
            </w:r>
            <w:r w:rsidRPr="006F6DAC">
              <w:rPr>
                <w:rFonts w:ascii="Garamond" w:hAnsi="Garamond"/>
                <w:sz w:val="22"/>
                <w:szCs w:val="22"/>
                <w:highlight w:val="yellow"/>
              </w:rPr>
              <w:t>й</w:t>
            </w:r>
            <w:r w:rsidRPr="006F6DAC">
              <w:rPr>
                <w:rFonts w:ascii="Garamond" w:hAnsi="Garamond"/>
                <w:sz w:val="22"/>
                <w:szCs w:val="22"/>
              </w:rPr>
              <w:t>, включенные в группы поставки информации.</w:t>
            </w:r>
          </w:p>
          <w:p w14:paraId="736D741F" w14:textId="77777777" w:rsidR="00F11A8B" w:rsidRPr="006F6DAC" w:rsidRDefault="00F11A8B" w:rsidP="00F11A8B">
            <w:pPr>
              <w:widowControl w:val="0"/>
              <w:autoSpaceDE w:val="0"/>
              <w:autoSpaceDN w:val="0"/>
              <w:adjustRightInd w:val="0"/>
              <w:spacing w:line="276" w:lineRule="auto"/>
              <w:ind w:right="-143"/>
              <w:jc w:val="both"/>
              <w:rPr>
                <w:rFonts w:ascii="Garamond" w:hAnsi="Garamond"/>
                <w:sz w:val="22"/>
                <w:szCs w:val="22"/>
              </w:rPr>
            </w:pPr>
            <w:r w:rsidRPr="006F6DAC">
              <w:rPr>
                <w:rFonts w:ascii="Garamond" w:hAnsi="Garamond"/>
                <w:bCs/>
                <w:sz w:val="22"/>
                <w:szCs w:val="22"/>
              </w:rPr>
              <w:t>Обязательный элемент</w:t>
            </w:r>
            <w:r w:rsidRPr="006F6DAC">
              <w:rPr>
                <w:rFonts w:ascii="Garamond" w:hAnsi="Garamond"/>
                <w:sz w:val="22"/>
                <w:szCs w:val="22"/>
              </w:rPr>
              <w:t>. Допускается наличие только одного элемента.</w:t>
            </w:r>
          </w:p>
          <w:p w14:paraId="490CB3BC" w14:textId="77777777" w:rsidR="00F11A8B" w:rsidRPr="006F6DAC" w:rsidRDefault="00F11A8B" w:rsidP="00F11A8B">
            <w:pPr>
              <w:pStyle w:val="2"/>
              <w:keepLines/>
              <w:widowControl/>
              <w:numPr>
                <w:ilvl w:val="0"/>
                <w:numId w:val="0"/>
              </w:numPr>
              <w:suppressAutoHyphens w:val="0"/>
              <w:autoSpaceDE/>
              <w:spacing w:line="259" w:lineRule="auto"/>
              <w:jc w:val="both"/>
              <w:rPr>
                <w:rFonts w:ascii="Garamond" w:hAnsi="Garamond"/>
                <w:b w:val="0"/>
              </w:rPr>
            </w:pPr>
            <w:r w:rsidRPr="006F6DAC">
              <w:rPr>
                <w:rFonts w:ascii="Garamond" w:hAnsi="Garamond"/>
                <w:b w:val="0"/>
              </w:rPr>
              <w:t>Дочерними элементами являются:</w:t>
            </w:r>
            <w:r w:rsidRPr="006F6DAC">
              <w:rPr>
                <w:rFonts w:ascii="Garamond" w:eastAsia="Calibri" w:hAnsi="Garamond"/>
                <w:b w:val="0"/>
              </w:rPr>
              <w:t xml:space="preserve"> &lt;</w:t>
            </w:r>
            <w:r w:rsidRPr="006F6DAC">
              <w:rPr>
                <w:rFonts w:ascii="Garamond" w:eastAsia="Calibri" w:hAnsi="Garamond"/>
                <w:b w:val="0"/>
                <w:lang w:val="en-US"/>
              </w:rPr>
              <w:t>power</w:t>
            </w:r>
            <w:r w:rsidRPr="006F6DAC">
              <w:rPr>
                <w:rFonts w:ascii="Garamond" w:eastAsia="Calibri" w:hAnsi="Garamond"/>
                <w:b w:val="0"/>
              </w:rPr>
              <w:t>-</w:t>
            </w:r>
            <w:r w:rsidRPr="006F6DAC">
              <w:rPr>
                <w:rFonts w:ascii="Garamond" w:eastAsia="Calibri" w:hAnsi="Garamond"/>
                <w:b w:val="0"/>
                <w:lang w:val="en-US"/>
              </w:rPr>
              <w:t>object</w:t>
            </w:r>
            <w:r w:rsidRPr="006F6DAC">
              <w:rPr>
                <w:rFonts w:ascii="Garamond" w:eastAsia="Calibri" w:hAnsi="Garamond"/>
                <w:b w:val="0"/>
              </w:rPr>
              <w:t>&gt;.</w:t>
            </w:r>
          </w:p>
        </w:tc>
      </w:tr>
      <w:tr w:rsidR="00F11A8B" w:rsidRPr="006F6DAC" w14:paraId="70095474" w14:textId="77777777" w:rsidTr="006F6DAC">
        <w:tc>
          <w:tcPr>
            <w:tcW w:w="1060" w:type="dxa"/>
          </w:tcPr>
          <w:p w14:paraId="58A381E2" w14:textId="03390149" w:rsidR="00F11A8B" w:rsidRPr="006F6DAC" w:rsidRDefault="00F11A8B" w:rsidP="00F11A8B">
            <w:pPr>
              <w:widowControl w:val="0"/>
              <w:spacing w:line="259" w:lineRule="auto"/>
              <w:jc w:val="center"/>
              <w:rPr>
                <w:rFonts w:ascii="Garamond" w:hAnsi="Garamond"/>
                <w:b/>
                <w:sz w:val="22"/>
                <w:szCs w:val="22"/>
                <w:lang w:eastAsia="en-US"/>
              </w:rPr>
            </w:pPr>
            <w:r w:rsidRPr="006F6DAC">
              <w:rPr>
                <w:rFonts w:ascii="Garamond" w:hAnsi="Garamond"/>
                <w:b/>
                <w:sz w:val="22"/>
                <w:szCs w:val="22"/>
                <w:lang w:eastAsia="en-US"/>
              </w:rPr>
              <w:t>Приложение 8, п.</w:t>
            </w:r>
            <w:r w:rsidR="006F6DAC">
              <w:rPr>
                <w:rFonts w:ascii="Garamond" w:hAnsi="Garamond"/>
                <w:b/>
                <w:sz w:val="22"/>
                <w:szCs w:val="22"/>
                <w:lang w:eastAsia="en-US"/>
              </w:rPr>
              <w:t xml:space="preserve"> </w:t>
            </w:r>
            <w:r w:rsidRPr="006F6DAC">
              <w:rPr>
                <w:rFonts w:ascii="Garamond" w:hAnsi="Garamond"/>
                <w:b/>
                <w:sz w:val="22"/>
                <w:szCs w:val="22"/>
                <w:lang w:eastAsia="en-US"/>
              </w:rPr>
              <w:t>2.2.3</w:t>
            </w:r>
          </w:p>
        </w:tc>
        <w:tc>
          <w:tcPr>
            <w:tcW w:w="6804" w:type="dxa"/>
          </w:tcPr>
          <w:p w14:paraId="13BAB204" w14:textId="77777777" w:rsidR="00F11A8B" w:rsidRPr="006F6DAC" w:rsidRDefault="00F11A8B" w:rsidP="00F11A8B">
            <w:pPr>
              <w:pStyle w:val="3"/>
              <w:keepLines/>
              <w:numPr>
                <w:ilvl w:val="0"/>
                <w:numId w:val="0"/>
              </w:numPr>
              <w:suppressAutoHyphens w:val="0"/>
              <w:spacing w:line="259" w:lineRule="auto"/>
              <w:jc w:val="both"/>
              <w:rPr>
                <w:rFonts w:ascii="Garamond" w:hAnsi="Garamond"/>
                <w:b w:val="0"/>
                <w:color w:val="auto"/>
                <w:sz w:val="22"/>
                <w:szCs w:val="22"/>
              </w:rPr>
            </w:pPr>
            <w:r w:rsidRPr="006F6DAC">
              <w:rPr>
                <w:rFonts w:ascii="Garamond" w:hAnsi="Garamond"/>
                <w:b w:val="0"/>
                <w:color w:val="auto"/>
                <w:sz w:val="22"/>
                <w:szCs w:val="22"/>
              </w:rPr>
              <w:t>&lt;</w:t>
            </w:r>
            <w:r w:rsidRPr="006F6DAC">
              <w:rPr>
                <w:rFonts w:ascii="Garamond" w:hAnsi="Garamond"/>
                <w:b w:val="0"/>
                <w:color w:val="auto"/>
                <w:sz w:val="22"/>
                <w:szCs w:val="22"/>
                <w:lang w:val="en-US"/>
              </w:rPr>
              <w:t>delivery</w:t>
            </w:r>
            <w:r w:rsidRPr="006F6DAC">
              <w:rPr>
                <w:rFonts w:ascii="Garamond" w:hAnsi="Garamond"/>
                <w:b w:val="0"/>
                <w:color w:val="auto"/>
                <w:sz w:val="22"/>
                <w:szCs w:val="22"/>
              </w:rPr>
              <w:t>-</w:t>
            </w:r>
            <w:r w:rsidRPr="006F6DAC">
              <w:rPr>
                <w:rFonts w:ascii="Garamond" w:hAnsi="Garamond"/>
                <w:b w:val="0"/>
                <w:color w:val="auto"/>
                <w:sz w:val="22"/>
                <w:szCs w:val="22"/>
                <w:lang w:val="en-US"/>
              </w:rPr>
              <w:t>points</w:t>
            </w:r>
            <w:r w:rsidRPr="006F6DAC">
              <w:rPr>
                <w:rFonts w:ascii="Garamond" w:hAnsi="Garamond"/>
                <w:b w:val="0"/>
                <w:color w:val="auto"/>
                <w:sz w:val="22"/>
                <w:szCs w:val="22"/>
              </w:rPr>
              <w:t>&gt;</w:t>
            </w:r>
          </w:p>
          <w:p w14:paraId="7C4C010A" w14:textId="77777777" w:rsidR="00F11A8B" w:rsidRPr="006F6DAC" w:rsidRDefault="00F11A8B" w:rsidP="00F11A8B">
            <w:pPr>
              <w:jc w:val="both"/>
              <w:rPr>
                <w:rFonts w:ascii="Garamond" w:hAnsi="Garamond"/>
                <w:sz w:val="22"/>
                <w:szCs w:val="22"/>
              </w:rPr>
            </w:pPr>
            <w:r w:rsidRPr="006F6DAC">
              <w:rPr>
                <w:rFonts w:ascii="Garamond" w:hAnsi="Garamond"/>
                <w:sz w:val="22"/>
                <w:szCs w:val="22"/>
              </w:rPr>
              <w:t>Элемент &lt;</w:t>
            </w:r>
            <w:r w:rsidRPr="006F6DAC">
              <w:rPr>
                <w:rFonts w:ascii="Garamond" w:hAnsi="Garamond"/>
                <w:sz w:val="22"/>
                <w:szCs w:val="22"/>
                <w:lang w:val="en-US"/>
              </w:rPr>
              <w:t>delivery</w:t>
            </w:r>
            <w:r w:rsidRPr="006F6DAC">
              <w:rPr>
                <w:rFonts w:ascii="Garamond" w:hAnsi="Garamond"/>
                <w:sz w:val="22"/>
                <w:szCs w:val="22"/>
              </w:rPr>
              <w:t>-</w:t>
            </w:r>
            <w:r w:rsidRPr="006F6DAC">
              <w:rPr>
                <w:rFonts w:ascii="Garamond" w:hAnsi="Garamond"/>
                <w:sz w:val="22"/>
                <w:szCs w:val="22"/>
                <w:lang w:val="en-US"/>
              </w:rPr>
              <w:t>points</w:t>
            </w:r>
            <w:r w:rsidRPr="006F6DAC">
              <w:rPr>
                <w:rFonts w:ascii="Garamond" w:hAnsi="Garamond"/>
                <w:sz w:val="22"/>
                <w:szCs w:val="22"/>
              </w:rPr>
              <w:t>&gt; – справочник точек поставки, связанных с точками измерени</w:t>
            </w:r>
            <w:r w:rsidRPr="006F6DAC">
              <w:rPr>
                <w:rFonts w:ascii="Garamond" w:hAnsi="Garamond"/>
                <w:sz w:val="22"/>
                <w:szCs w:val="22"/>
                <w:highlight w:val="yellow"/>
              </w:rPr>
              <w:t>я</w:t>
            </w:r>
            <w:r w:rsidRPr="006F6DAC">
              <w:rPr>
                <w:rFonts w:ascii="Garamond" w:hAnsi="Garamond"/>
                <w:sz w:val="22"/>
                <w:szCs w:val="22"/>
              </w:rPr>
              <w:t xml:space="preserve"> или каналами точек поставки, включенными в группы поставки информации.</w:t>
            </w:r>
          </w:p>
          <w:p w14:paraId="0AD0E8AD" w14:textId="77777777" w:rsidR="00F11A8B" w:rsidRPr="006F6DAC" w:rsidRDefault="00F11A8B" w:rsidP="00F11A8B">
            <w:pPr>
              <w:widowControl w:val="0"/>
              <w:autoSpaceDE w:val="0"/>
              <w:autoSpaceDN w:val="0"/>
              <w:adjustRightInd w:val="0"/>
              <w:spacing w:line="276" w:lineRule="auto"/>
              <w:ind w:right="-143"/>
              <w:jc w:val="both"/>
              <w:rPr>
                <w:rFonts w:ascii="Garamond" w:hAnsi="Garamond"/>
                <w:sz w:val="22"/>
                <w:szCs w:val="22"/>
              </w:rPr>
            </w:pPr>
            <w:r w:rsidRPr="006F6DAC">
              <w:rPr>
                <w:rFonts w:ascii="Garamond" w:hAnsi="Garamond"/>
                <w:bCs/>
                <w:sz w:val="22"/>
                <w:szCs w:val="22"/>
              </w:rPr>
              <w:t>Обязательный элемент</w:t>
            </w:r>
            <w:r w:rsidRPr="006F6DAC">
              <w:rPr>
                <w:rFonts w:ascii="Garamond" w:hAnsi="Garamond"/>
                <w:sz w:val="22"/>
                <w:szCs w:val="22"/>
              </w:rPr>
              <w:t>. Допускается наличие только одного элемента.</w:t>
            </w:r>
          </w:p>
          <w:p w14:paraId="0B7AFB0F" w14:textId="77777777" w:rsidR="00F11A8B" w:rsidRPr="006F6DAC" w:rsidRDefault="00F11A8B" w:rsidP="00F11A8B">
            <w:pPr>
              <w:ind w:right="-143"/>
              <w:jc w:val="both"/>
              <w:rPr>
                <w:rFonts w:ascii="Garamond" w:hAnsi="Garamond"/>
                <w:sz w:val="22"/>
                <w:szCs w:val="22"/>
              </w:rPr>
            </w:pPr>
            <w:r w:rsidRPr="006F6DAC">
              <w:rPr>
                <w:rFonts w:ascii="Garamond" w:hAnsi="Garamond"/>
                <w:sz w:val="22"/>
                <w:szCs w:val="22"/>
              </w:rPr>
              <w:t>Дочерними элементами являются: &lt;</w:t>
            </w:r>
            <w:r w:rsidRPr="006F6DAC">
              <w:rPr>
                <w:rFonts w:ascii="Garamond" w:eastAsia="Calibri" w:hAnsi="Garamond"/>
                <w:sz w:val="22"/>
                <w:szCs w:val="22"/>
                <w:lang w:val="en-US"/>
              </w:rPr>
              <w:t>delivery</w:t>
            </w:r>
            <w:r w:rsidRPr="006F6DAC">
              <w:rPr>
                <w:rFonts w:ascii="Garamond" w:eastAsia="Calibri" w:hAnsi="Garamond"/>
                <w:sz w:val="22"/>
                <w:szCs w:val="22"/>
              </w:rPr>
              <w:t>-</w:t>
            </w:r>
            <w:r w:rsidRPr="006F6DAC">
              <w:rPr>
                <w:rFonts w:ascii="Garamond" w:eastAsia="Calibri" w:hAnsi="Garamond"/>
                <w:sz w:val="22"/>
                <w:szCs w:val="22"/>
                <w:lang w:val="en-US"/>
              </w:rPr>
              <w:t>point</w:t>
            </w:r>
            <w:r w:rsidRPr="006F6DAC">
              <w:rPr>
                <w:rFonts w:ascii="Garamond" w:eastAsia="Calibri" w:hAnsi="Garamond"/>
                <w:sz w:val="22"/>
                <w:szCs w:val="22"/>
              </w:rPr>
              <w:t>&gt;.</w:t>
            </w:r>
          </w:p>
        </w:tc>
        <w:tc>
          <w:tcPr>
            <w:tcW w:w="7115" w:type="dxa"/>
          </w:tcPr>
          <w:p w14:paraId="07FE297F" w14:textId="77777777" w:rsidR="00F11A8B" w:rsidRPr="006F6DAC" w:rsidRDefault="00F11A8B" w:rsidP="00F11A8B">
            <w:pPr>
              <w:pStyle w:val="3"/>
              <w:keepLines/>
              <w:numPr>
                <w:ilvl w:val="0"/>
                <w:numId w:val="0"/>
              </w:numPr>
              <w:suppressAutoHyphens w:val="0"/>
              <w:spacing w:line="259" w:lineRule="auto"/>
              <w:jc w:val="both"/>
              <w:rPr>
                <w:rFonts w:ascii="Garamond" w:hAnsi="Garamond"/>
                <w:b w:val="0"/>
                <w:color w:val="auto"/>
                <w:sz w:val="22"/>
                <w:szCs w:val="22"/>
              </w:rPr>
            </w:pPr>
            <w:r w:rsidRPr="006F6DAC">
              <w:rPr>
                <w:rFonts w:ascii="Garamond" w:hAnsi="Garamond"/>
                <w:b w:val="0"/>
                <w:color w:val="auto"/>
                <w:sz w:val="22"/>
                <w:szCs w:val="22"/>
              </w:rPr>
              <w:t>&lt;delivery-points&gt;</w:t>
            </w:r>
          </w:p>
          <w:p w14:paraId="3C8AA5B5" w14:textId="77777777" w:rsidR="00F11A8B" w:rsidRPr="006F6DAC" w:rsidRDefault="00F11A8B" w:rsidP="00F11A8B">
            <w:pPr>
              <w:pStyle w:val="3"/>
              <w:keepLines/>
              <w:numPr>
                <w:ilvl w:val="0"/>
                <w:numId w:val="0"/>
              </w:numPr>
              <w:suppressAutoHyphens w:val="0"/>
              <w:spacing w:line="259" w:lineRule="auto"/>
              <w:jc w:val="both"/>
              <w:rPr>
                <w:rFonts w:ascii="Garamond" w:hAnsi="Garamond"/>
                <w:b w:val="0"/>
                <w:color w:val="auto"/>
                <w:sz w:val="22"/>
                <w:szCs w:val="22"/>
              </w:rPr>
            </w:pPr>
            <w:r w:rsidRPr="006F6DAC">
              <w:rPr>
                <w:rFonts w:ascii="Garamond" w:hAnsi="Garamond"/>
                <w:b w:val="0"/>
                <w:color w:val="auto"/>
                <w:sz w:val="22"/>
                <w:szCs w:val="22"/>
              </w:rPr>
              <w:t xml:space="preserve">Элемент &lt;delivery-points&gt; – справочник точек поставки </w:t>
            </w:r>
            <w:r w:rsidRPr="006F6DAC">
              <w:rPr>
                <w:rFonts w:ascii="Garamond" w:hAnsi="Garamond"/>
                <w:b w:val="0"/>
                <w:color w:val="auto"/>
                <w:sz w:val="22"/>
                <w:szCs w:val="22"/>
                <w:highlight w:val="yellow"/>
              </w:rPr>
              <w:t>(точек присоединения)</w:t>
            </w:r>
            <w:r w:rsidRPr="006F6DAC">
              <w:rPr>
                <w:rFonts w:ascii="Garamond" w:hAnsi="Garamond"/>
                <w:b w:val="0"/>
                <w:color w:val="auto"/>
                <w:sz w:val="22"/>
                <w:szCs w:val="22"/>
              </w:rPr>
              <w:t>, связанных с точками измерени</w:t>
            </w:r>
            <w:r w:rsidRPr="006F6DAC">
              <w:rPr>
                <w:rFonts w:ascii="Garamond" w:hAnsi="Garamond"/>
                <w:b w:val="0"/>
                <w:color w:val="auto"/>
                <w:sz w:val="22"/>
                <w:szCs w:val="22"/>
                <w:highlight w:val="yellow"/>
              </w:rPr>
              <w:t>й</w:t>
            </w:r>
            <w:r w:rsidRPr="006F6DAC">
              <w:rPr>
                <w:rFonts w:ascii="Garamond" w:hAnsi="Garamond"/>
                <w:b w:val="0"/>
                <w:color w:val="auto"/>
                <w:sz w:val="22"/>
                <w:szCs w:val="22"/>
              </w:rPr>
              <w:t xml:space="preserve"> или каналами точек поставки </w:t>
            </w:r>
            <w:r w:rsidRPr="006F6DAC">
              <w:rPr>
                <w:rFonts w:ascii="Garamond" w:hAnsi="Garamond"/>
                <w:b w:val="0"/>
                <w:color w:val="auto"/>
                <w:sz w:val="22"/>
                <w:szCs w:val="22"/>
                <w:highlight w:val="yellow"/>
              </w:rPr>
              <w:t>(точек присоединения)</w:t>
            </w:r>
            <w:r w:rsidRPr="006F6DAC">
              <w:rPr>
                <w:rFonts w:ascii="Garamond" w:hAnsi="Garamond"/>
                <w:b w:val="0"/>
                <w:color w:val="auto"/>
                <w:sz w:val="22"/>
                <w:szCs w:val="22"/>
              </w:rPr>
              <w:t>, включенными в группы поставки информации.</w:t>
            </w:r>
          </w:p>
          <w:p w14:paraId="2E03EFEA" w14:textId="77777777" w:rsidR="00F11A8B" w:rsidRPr="006F6DAC" w:rsidRDefault="00F11A8B" w:rsidP="00F11A8B">
            <w:pPr>
              <w:pStyle w:val="3"/>
              <w:keepLines/>
              <w:numPr>
                <w:ilvl w:val="0"/>
                <w:numId w:val="0"/>
              </w:numPr>
              <w:suppressAutoHyphens w:val="0"/>
              <w:spacing w:line="259" w:lineRule="auto"/>
              <w:jc w:val="both"/>
              <w:rPr>
                <w:rFonts w:ascii="Garamond" w:hAnsi="Garamond"/>
                <w:b w:val="0"/>
                <w:color w:val="auto"/>
                <w:sz w:val="22"/>
                <w:szCs w:val="22"/>
              </w:rPr>
            </w:pPr>
            <w:r w:rsidRPr="006F6DAC">
              <w:rPr>
                <w:rFonts w:ascii="Garamond" w:hAnsi="Garamond"/>
                <w:b w:val="0"/>
                <w:color w:val="auto"/>
                <w:sz w:val="22"/>
                <w:szCs w:val="22"/>
              </w:rPr>
              <w:t>Обязательный элемент. Допускается наличие только одного элемента.</w:t>
            </w:r>
          </w:p>
          <w:p w14:paraId="6817B1B5" w14:textId="77777777" w:rsidR="00F11A8B" w:rsidRPr="006F6DAC" w:rsidRDefault="00F11A8B" w:rsidP="00F11A8B">
            <w:pPr>
              <w:pStyle w:val="3"/>
              <w:keepLines/>
              <w:numPr>
                <w:ilvl w:val="0"/>
                <w:numId w:val="0"/>
              </w:numPr>
              <w:suppressAutoHyphens w:val="0"/>
              <w:spacing w:line="259" w:lineRule="auto"/>
              <w:jc w:val="both"/>
              <w:rPr>
                <w:rFonts w:ascii="Garamond" w:hAnsi="Garamond"/>
                <w:b w:val="0"/>
                <w:color w:val="auto"/>
                <w:sz w:val="22"/>
                <w:szCs w:val="22"/>
              </w:rPr>
            </w:pPr>
            <w:r w:rsidRPr="006F6DAC">
              <w:rPr>
                <w:rFonts w:ascii="Garamond" w:hAnsi="Garamond"/>
                <w:b w:val="0"/>
                <w:color w:val="auto"/>
                <w:sz w:val="22"/>
                <w:szCs w:val="22"/>
              </w:rPr>
              <w:t>Дочерними элементами являются: &lt;delivery-point&gt;.</w:t>
            </w:r>
          </w:p>
        </w:tc>
      </w:tr>
      <w:tr w:rsidR="00F11A8B" w:rsidRPr="006F6DAC" w14:paraId="7F8F6784" w14:textId="77777777" w:rsidTr="006F6DAC">
        <w:tc>
          <w:tcPr>
            <w:tcW w:w="1060" w:type="dxa"/>
          </w:tcPr>
          <w:p w14:paraId="30F9CEF7" w14:textId="137486A1" w:rsidR="00F11A8B" w:rsidRPr="006F6DAC" w:rsidRDefault="00F11A8B" w:rsidP="00F11A8B">
            <w:pPr>
              <w:widowControl w:val="0"/>
              <w:spacing w:line="259" w:lineRule="auto"/>
              <w:jc w:val="center"/>
              <w:rPr>
                <w:rFonts w:ascii="Garamond" w:hAnsi="Garamond"/>
                <w:b/>
                <w:sz w:val="22"/>
                <w:szCs w:val="22"/>
                <w:lang w:eastAsia="en-US"/>
              </w:rPr>
            </w:pPr>
            <w:r w:rsidRPr="006F6DAC">
              <w:rPr>
                <w:rFonts w:ascii="Garamond" w:hAnsi="Garamond"/>
                <w:b/>
                <w:sz w:val="22"/>
                <w:szCs w:val="22"/>
                <w:lang w:eastAsia="en-US"/>
              </w:rPr>
              <w:t>Приложение 8, п.</w:t>
            </w:r>
            <w:r w:rsidR="006F6DAC">
              <w:rPr>
                <w:rFonts w:ascii="Garamond" w:hAnsi="Garamond"/>
                <w:b/>
                <w:sz w:val="22"/>
                <w:szCs w:val="22"/>
                <w:lang w:eastAsia="en-US"/>
              </w:rPr>
              <w:t xml:space="preserve"> </w:t>
            </w:r>
            <w:r w:rsidRPr="006F6DAC">
              <w:rPr>
                <w:rFonts w:ascii="Garamond" w:hAnsi="Garamond"/>
                <w:b/>
                <w:sz w:val="22"/>
                <w:szCs w:val="22"/>
                <w:lang w:eastAsia="en-US"/>
              </w:rPr>
              <w:t>2.2.3.1</w:t>
            </w:r>
          </w:p>
        </w:tc>
        <w:tc>
          <w:tcPr>
            <w:tcW w:w="6804" w:type="dxa"/>
          </w:tcPr>
          <w:p w14:paraId="7A85B810" w14:textId="77777777" w:rsidR="00F11A8B" w:rsidRPr="006F6DAC" w:rsidRDefault="00F11A8B" w:rsidP="00F11A8B">
            <w:pPr>
              <w:pStyle w:val="40"/>
              <w:keepLines/>
              <w:numPr>
                <w:ilvl w:val="0"/>
                <w:numId w:val="0"/>
              </w:numPr>
              <w:suppressAutoHyphens w:val="0"/>
              <w:spacing w:line="259" w:lineRule="auto"/>
              <w:jc w:val="both"/>
              <w:rPr>
                <w:rFonts w:ascii="Garamond" w:hAnsi="Garamond"/>
                <w:b w:val="0"/>
                <w:i/>
                <w:sz w:val="22"/>
                <w:szCs w:val="22"/>
              </w:rPr>
            </w:pPr>
            <w:r w:rsidRPr="006F6DAC">
              <w:rPr>
                <w:rFonts w:ascii="Garamond" w:hAnsi="Garamond"/>
                <w:b w:val="0"/>
                <w:i/>
                <w:sz w:val="22"/>
                <w:szCs w:val="22"/>
              </w:rPr>
              <w:t>&lt;</w:t>
            </w:r>
            <w:r w:rsidRPr="006F6DAC">
              <w:rPr>
                <w:rFonts w:ascii="Garamond" w:hAnsi="Garamond"/>
                <w:b w:val="0"/>
                <w:i/>
                <w:sz w:val="22"/>
                <w:szCs w:val="22"/>
                <w:lang w:val="en-US"/>
              </w:rPr>
              <w:t>delivery</w:t>
            </w:r>
            <w:r w:rsidRPr="006F6DAC">
              <w:rPr>
                <w:rFonts w:ascii="Garamond" w:hAnsi="Garamond"/>
                <w:b w:val="0"/>
                <w:i/>
                <w:sz w:val="22"/>
                <w:szCs w:val="22"/>
              </w:rPr>
              <w:t>-</w:t>
            </w:r>
            <w:r w:rsidRPr="006F6DAC">
              <w:rPr>
                <w:rFonts w:ascii="Garamond" w:hAnsi="Garamond"/>
                <w:b w:val="0"/>
                <w:i/>
                <w:sz w:val="22"/>
                <w:szCs w:val="22"/>
                <w:lang w:val="en-US"/>
              </w:rPr>
              <w:t>point</w:t>
            </w:r>
            <w:r w:rsidRPr="006F6DAC">
              <w:rPr>
                <w:rFonts w:ascii="Garamond" w:hAnsi="Garamond"/>
                <w:b w:val="0"/>
                <w:i/>
                <w:sz w:val="22"/>
                <w:szCs w:val="22"/>
              </w:rPr>
              <w:t>&gt;</w:t>
            </w:r>
          </w:p>
          <w:p w14:paraId="76F331F3" w14:textId="77777777" w:rsidR="00F11A8B" w:rsidRPr="006F6DAC" w:rsidRDefault="00F11A8B" w:rsidP="00F11A8B">
            <w:pPr>
              <w:jc w:val="both"/>
              <w:rPr>
                <w:rFonts w:ascii="Garamond" w:hAnsi="Garamond"/>
                <w:sz w:val="22"/>
                <w:szCs w:val="22"/>
              </w:rPr>
            </w:pPr>
            <w:r w:rsidRPr="006F6DAC">
              <w:rPr>
                <w:rFonts w:ascii="Garamond" w:hAnsi="Garamond"/>
                <w:sz w:val="22"/>
                <w:szCs w:val="22"/>
              </w:rPr>
              <w:t>Элемент &lt;</w:t>
            </w:r>
            <w:r w:rsidRPr="006F6DAC">
              <w:rPr>
                <w:rFonts w:ascii="Garamond" w:eastAsia="Calibri" w:hAnsi="Garamond"/>
                <w:sz w:val="22"/>
                <w:szCs w:val="22"/>
                <w:lang w:val="en-US"/>
              </w:rPr>
              <w:t>delivery</w:t>
            </w:r>
            <w:r w:rsidRPr="006F6DAC">
              <w:rPr>
                <w:rFonts w:ascii="Garamond" w:eastAsia="Calibri" w:hAnsi="Garamond"/>
                <w:sz w:val="22"/>
                <w:szCs w:val="22"/>
              </w:rPr>
              <w:t>-</w:t>
            </w:r>
            <w:r w:rsidRPr="006F6DAC">
              <w:rPr>
                <w:rFonts w:ascii="Garamond" w:eastAsia="Calibri" w:hAnsi="Garamond"/>
                <w:sz w:val="22"/>
                <w:szCs w:val="22"/>
                <w:lang w:val="en-US"/>
              </w:rPr>
              <w:t>point</w:t>
            </w:r>
            <w:r w:rsidRPr="006F6DAC">
              <w:rPr>
                <w:rFonts w:ascii="Garamond" w:hAnsi="Garamond"/>
                <w:sz w:val="22"/>
                <w:szCs w:val="22"/>
              </w:rPr>
              <w:t xml:space="preserve">&gt; </w:t>
            </w:r>
            <w:r w:rsidRPr="006F6DAC">
              <w:rPr>
                <w:rFonts w:ascii="Garamond" w:hAnsi="Garamond"/>
                <w:sz w:val="22"/>
                <w:szCs w:val="22"/>
                <w:lang w:val="en-US"/>
              </w:rPr>
              <w:t>c</w:t>
            </w:r>
            <w:r w:rsidRPr="006F6DAC">
              <w:rPr>
                <w:rFonts w:ascii="Garamond" w:hAnsi="Garamond"/>
                <w:sz w:val="22"/>
                <w:szCs w:val="22"/>
              </w:rPr>
              <w:t>одержит информацию по точке поставки.</w:t>
            </w:r>
          </w:p>
          <w:p w14:paraId="6AD02618" w14:textId="77777777" w:rsidR="00F11A8B" w:rsidRPr="006F6DAC" w:rsidRDefault="00F11A8B" w:rsidP="00F11A8B">
            <w:pPr>
              <w:widowControl w:val="0"/>
              <w:autoSpaceDE w:val="0"/>
              <w:autoSpaceDN w:val="0"/>
              <w:adjustRightInd w:val="0"/>
              <w:spacing w:line="276" w:lineRule="auto"/>
              <w:jc w:val="both"/>
              <w:rPr>
                <w:rFonts w:ascii="Garamond" w:hAnsi="Garamond"/>
                <w:sz w:val="22"/>
                <w:szCs w:val="22"/>
              </w:rPr>
            </w:pPr>
            <w:r w:rsidRPr="006F6DAC">
              <w:rPr>
                <w:rFonts w:ascii="Garamond" w:hAnsi="Garamond"/>
                <w:bCs/>
                <w:sz w:val="22"/>
                <w:szCs w:val="22"/>
              </w:rPr>
              <w:t>Обязательный элемент</w:t>
            </w:r>
            <w:r w:rsidRPr="006F6DAC">
              <w:rPr>
                <w:rFonts w:ascii="Garamond" w:hAnsi="Garamond"/>
                <w:sz w:val="22"/>
                <w:szCs w:val="22"/>
              </w:rPr>
              <w:t>. Допускается наличие одного или нескольких элементов.</w:t>
            </w:r>
          </w:p>
          <w:p w14:paraId="4E52596F" w14:textId="77777777" w:rsidR="00F11A8B" w:rsidRPr="006F6DAC" w:rsidRDefault="00F11A8B" w:rsidP="00F11A8B">
            <w:pPr>
              <w:jc w:val="both"/>
              <w:rPr>
                <w:rFonts w:ascii="Garamond" w:hAnsi="Garamond"/>
                <w:sz w:val="22"/>
                <w:szCs w:val="22"/>
              </w:rPr>
            </w:pPr>
            <w:r w:rsidRPr="006F6DAC">
              <w:rPr>
                <w:rFonts w:ascii="Garamond" w:hAnsi="Garamond"/>
                <w:sz w:val="22"/>
                <w:szCs w:val="22"/>
              </w:rPr>
              <w:t>Атрибутами элемента &lt;</w:t>
            </w:r>
            <w:r w:rsidRPr="006F6DAC">
              <w:rPr>
                <w:rFonts w:ascii="Garamond" w:eastAsia="Calibri" w:hAnsi="Garamond"/>
                <w:sz w:val="22"/>
                <w:szCs w:val="22"/>
                <w:lang w:val="en-US"/>
              </w:rPr>
              <w:t>delivery</w:t>
            </w:r>
            <w:r w:rsidRPr="006F6DAC">
              <w:rPr>
                <w:rFonts w:ascii="Garamond" w:eastAsia="Calibri" w:hAnsi="Garamond"/>
                <w:sz w:val="22"/>
                <w:szCs w:val="22"/>
              </w:rPr>
              <w:t>-</w:t>
            </w:r>
            <w:r w:rsidRPr="006F6DAC">
              <w:rPr>
                <w:rFonts w:ascii="Garamond" w:eastAsia="Calibri" w:hAnsi="Garamond"/>
                <w:sz w:val="22"/>
                <w:szCs w:val="22"/>
                <w:lang w:val="en-US"/>
              </w:rPr>
              <w:t>point</w:t>
            </w:r>
            <w:r w:rsidRPr="006F6DAC">
              <w:rPr>
                <w:rFonts w:ascii="Garamond" w:hAnsi="Garamond"/>
                <w:sz w:val="22"/>
                <w:szCs w:val="22"/>
              </w:rPr>
              <w:t>&gt; являются:</w:t>
            </w:r>
          </w:p>
          <w:p w14:paraId="483DD4C2" w14:textId="77777777" w:rsidR="00F11A8B" w:rsidRPr="006F6DAC" w:rsidRDefault="00F11A8B" w:rsidP="00F11A8B">
            <w:pPr>
              <w:widowControl w:val="0"/>
              <w:numPr>
                <w:ilvl w:val="0"/>
                <w:numId w:val="240"/>
              </w:numPr>
              <w:suppressAutoHyphens w:val="0"/>
              <w:autoSpaceDE w:val="0"/>
              <w:autoSpaceDN w:val="0"/>
              <w:adjustRightInd w:val="0"/>
              <w:ind w:left="426"/>
              <w:jc w:val="both"/>
              <w:rPr>
                <w:rFonts w:ascii="Garamond" w:hAnsi="Garamond"/>
                <w:sz w:val="22"/>
                <w:szCs w:val="22"/>
              </w:rPr>
            </w:pPr>
            <w:r w:rsidRPr="006F6DAC">
              <w:rPr>
                <w:rFonts w:ascii="Garamond" w:hAnsi="Garamond"/>
                <w:sz w:val="22"/>
                <w:szCs w:val="22"/>
              </w:rPr>
              <w:t>ats-code – уникальный код, присвоенный КО точке поставки. Число из 15 символов. Является обязательным атрибутом. В случае если длина выгружаемого из БД поля менее 15 символов, то к атрибуту в начале должен быть добавлен ведущий ноль (нули);</w:t>
            </w:r>
          </w:p>
          <w:p w14:paraId="071803BA" w14:textId="77777777" w:rsidR="00F11A8B" w:rsidRPr="006F6DAC" w:rsidRDefault="00F11A8B" w:rsidP="00F11A8B">
            <w:pPr>
              <w:widowControl w:val="0"/>
              <w:numPr>
                <w:ilvl w:val="0"/>
                <w:numId w:val="240"/>
              </w:numPr>
              <w:suppressAutoHyphens w:val="0"/>
              <w:autoSpaceDE w:val="0"/>
              <w:autoSpaceDN w:val="0"/>
              <w:adjustRightInd w:val="0"/>
              <w:ind w:left="426"/>
              <w:jc w:val="both"/>
              <w:rPr>
                <w:rFonts w:ascii="Garamond" w:hAnsi="Garamond"/>
                <w:sz w:val="22"/>
                <w:szCs w:val="22"/>
              </w:rPr>
            </w:pPr>
            <w:r w:rsidRPr="006F6DAC">
              <w:rPr>
                <w:rFonts w:ascii="Garamond" w:hAnsi="Garamond"/>
                <w:sz w:val="22"/>
                <w:szCs w:val="22"/>
                <w:lang w:val="en-US"/>
              </w:rPr>
              <w:t>is</w:t>
            </w:r>
            <w:r w:rsidRPr="006F6DAC">
              <w:rPr>
                <w:rFonts w:ascii="Garamond" w:hAnsi="Garamond"/>
                <w:sz w:val="22"/>
                <w:szCs w:val="22"/>
              </w:rPr>
              <w:t>-</w:t>
            </w:r>
            <w:r w:rsidRPr="006F6DAC">
              <w:rPr>
                <w:rFonts w:ascii="Garamond" w:hAnsi="Garamond"/>
                <w:sz w:val="22"/>
                <w:szCs w:val="22"/>
                <w:lang w:val="en-US"/>
              </w:rPr>
              <w:t>group</w:t>
            </w:r>
            <w:r w:rsidRPr="006F6DAC">
              <w:rPr>
                <w:rFonts w:ascii="Garamond" w:hAnsi="Garamond"/>
                <w:sz w:val="22"/>
                <w:szCs w:val="22"/>
              </w:rPr>
              <w:t>-</w:t>
            </w:r>
            <w:r w:rsidRPr="006F6DAC">
              <w:rPr>
                <w:rFonts w:ascii="Garamond" w:hAnsi="Garamond"/>
                <w:sz w:val="22"/>
                <w:szCs w:val="22"/>
                <w:lang w:val="en-US"/>
              </w:rPr>
              <w:t>delivery</w:t>
            </w:r>
            <w:r w:rsidRPr="006F6DAC">
              <w:rPr>
                <w:rFonts w:ascii="Garamond" w:hAnsi="Garamond"/>
                <w:sz w:val="22"/>
                <w:szCs w:val="22"/>
              </w:rPr>
              <w:t>-</w:t>
            </w:r>
            <w:r w:rsidRPr="006F6DAC">
              <w:rPr>
                <w:rFonts w:ascii="Garamond" w:hAnsi="Garamond"/>
                <w:sz w:val="22"/>
                <w:szCs w:val="22"/>
                <w:lang w:val="en-US"/>
              </w:rPr>
              <w:t>point</w:t>
            </w:r>
            <w:r w:rsidRPr="006F6DAC">
              <w:rPr>
                <w:rFonts w:ascii="Garamond" w:hAnsi="Garamond"/>
                <w:sz w:val="22"/>
                <w:szCs w:val="22"/>
              </w:rPr>
              <w:t xml:space="preserve"> – признак того, что </w:t>
            </w:r>
            <w:r w:rsidRPr="006F6DAC">
              <w:rPr>
                <w:rFonts w:ascii="Garamond" w:hAnsi="Garamond"/>
                <w:sz w:val="22"/>
                <w:szCs w:val="22"/>
                <w:highlight w:val="yellow"/>
              </w:rPr>
              <w:t>ТП</w:t>
            </w:r>
            <w:r w:rsidRPr="006F6DAC">
              <w:rPr>
                <w:rFonts w:ascii="Garamond" w:hAnsi="Garamond"/>
                <w:sz w:val="22"/>
                <w:szCs w:val="22"/>
              </w:rPr>
              <w:t xml:space="preserve"> является групповой. Может принимать значения true, если точка групповая, false, если точка негрупповая. Является обязательным атрибутом;</w:t>
            </w:r>
          </w:p>
          <w:p w14:paraId="3F53A39A" w14:textId="77777777" w:rsidR="00F11A8B" w:rsidRPr="006F6DAC" w:rsidRDefault="00F11A8B" w:rsidP="00F11A8B">
            <w:pPr>
              <w:widowControl w:val="0"/>
              <w:numPr>
                <w:ilvl w:val="0"/>
                <w:numId w:val="240"/>
              </w:numPr>
              <w:suppressAutoHyphens w:val="0"/>
              <w:autoSpaceDE w:val="0"/>
              <w:autoSpaceDN w:val="0"/>
              <w:adjustRightInd w:val="0"/>
              <w:jc w:val="both"/>
              <w:rPr>
                <w:rFonts w:ascii="Garamond" w:hAnsi="Garamond"/>
                <w:sz w:val="22"/>
                <w:szCs w:val="22"/>
              </w:rPr>
            </w:pPr>
            <w:r w:rsidRPr="006F6DAC">
              <w:rPr>
                <w:rFonts w:ascii="Garamond" w:hAnsi="Garamond"/>
                <w:sz w:val="22"/>
                <w:szCs w:val="22"/>
                <w:lang w:val="en-US"/>
              </w:rPr>
              <w:t>composite</w:t>
            </w:r>
            <w:r w:rsidRPr="006F6DAC">
              <w:rPr>
                <w:rFonts w:ascii="Garamond" w:hAnsi="Garamond"/>
                <w:sz w:val="22"/>
                <w:szCs w:val="22"/>
              </w:rPr>
              <w:t>-</w:t>
            </w:r>
            <w:r w:rsidRPr="006F6DAC">
              <w:rPr>
                <w:rFonts w:ascii="Garamond" w:hAnsi="Garamond"/>
                <w:sz w:val="22"/>
                <w:szCs w:val="22"/>
                <w:lang w:val="en-US"/>
              </w:rPr>
              <w:t>name</w:t>
            </w:r>
            <w:r w:rsidRPr="006F6DAC">
              <w:rPr>
                <w:rFonts w:ascii="Garamond" w:hAnsi="Garamond"/>
                <w:sz w:val="22"/>
                <w:szCs w:val="22"/>
              </w:rPr>
              <w:t xml:space="preserve"> – составное наименование точки. Текстовое поле не </w:t>
            </w:r>
            <w:r w:rsidRPr="006F6DAC">
              <w:rPr>
                <w:rFonts w:ascii="Garamond" w:hAnsi="Garamond"/>
                <w:sz w:val="22"/>
                <w:szCs w:val="22"/>
              </w:rPr>
              <w:lastRenderedPageBreak/>
              <w:t>более 512 символов. Является обязательным атрибутом, если отсутствует элемент &lt;name&gt;;</w:t>
            </w:r>
          </w:p>
          <w:p w14:paraId="06B82B28" w14:textId="77777777" w:rsidR="00F11A8B" w:rsidRPr="006F6DAC" w:rsidRDefault="00F11A8B" w:rsidP="00F11A8B">
            <w:pPr>
              <w:widowControl w:val="0"/>
              <w:numPr>
                <w:ilvl w:val="0"/>
                <w:numId w:val="240"/>
              </w:numPr>
              <w:suppressAutoHyphens w:val="0"/>
              <w:autoSpaceDE w:val="0"/>
              <w:autoSpaceDN w:val="0"/>
              <w:adjustRightInd w:val="0"/>
              <w:jc w:val="both"/>
              <w:rPr>
                <w:rFonts w:ascii="Garamond" w:hAnsi="Garamond"/>
                <w:sz w:val="22"/>
                <w:szCs w:val="22"/>
              </w:rPr>
            </w:pPr>
            <w:r w:rsidRPr="006F6DAC">
              <w:rPr>
                <w:rFonts w:ascii="Garamond" w:hAnsi="Garamond"/>
                <w:sz w:val="22"/>
                <w:szCs w:val="22"/>
              </w:rPr>
              <w:t>point-voltage – уровень напряжения точки, размерность: В. Число не более 10 символов, значение «0» недопустимо. Является обязательным атрибутом, если точка является не групповой, для групповой не заполняется.</w:t>
            </w:r>
          </w:p>
          <w:p w14:paraId="625C59B2" w14:textId="77777777" w:rsidR="00F11A8B" w:rsidRPr="006F6DAC" w:rsidRDefault="00F11A8B" w:rsidP="00F11A8B">
            <w:pPr>
              <w:widowControl w:val="0"/>
              <w:autoSpaceDE w:val="0"/>
              <w:autoSpaceDN w:val="0"/>
              <w:adjustRightInd w:val="0"/>
              <w:jc w:val="both"/>
              <w:rPr>
                <w:rFonts w:ascii="Garamond" w:hAnsi="Garamond"/>
                <w:sz w:val="22"/>
                <w:szCs w:val="22"/>
              </w:rPr>
            </w:pPr>
            <w:r w:rsidRPr="006F6DAC">
              <w:rPr>
                <w:rFonts w:ascii="Garamond" w:hAnsi="Garamond"/>
                <w:sz w:val="22"/>
                <w:szCs w:val="22"/>
              </w:rPr>
              <w:t>Дочерними элементами являются: &lt;</w:t>
            </w:r>
            <w:r w:rsidRPr="006F6DAC">
              <w:rPr>
                <w:rFonts w:ascii="Garamond" w:hAnsi="Garamond"/>
                <w:sz w:val="22"/>
                <w:szCs w:val="22"/>
                <w:lang w:val="en-US"/>
              </w:rPr>
              <w:t>name</w:t>
            </w:r>
            <w:r w:rsidRPr="006F6DAC">
              <w:rPr>
                <w:rFonts w:ascii="Garamond" w:hAnsi="Garamond"/>
                <w:sz w:val="22"/>
                <w:szCs w:val="22"/>
              </w:rPr>
              <w:t>&gt;.</w:t>
            </w:r>
          </w:p>
          <w:p w14:paraId="0BE9FC66" w14:textId="77777777" w:rsidR="00F11A8B" w:rsidRPr="006F6DAC" w:rsidRDefault="00F11A8B" w:rsidP="00F11A8B">
            <w:pPr>
              <w:pStyle w:val="3"/>
              <w:keepLines/>
              <w:numPr>
                <w:ilvl w:val="0"/>
                <w:numId w:val="0"/>
              </w:numPr>
              <w:suppressAutoHyphens w:val="0"/>
              <w:spacing w:line="259" w:lineRule="auto"/>
              <w:jc w:val="both"/>
              <w:rPr>
                <w:rFonts w:ascii="Garamond" w:hAnsi="Garamond"/>
                <w:b w:val="0"/>
                <w:color w:val="auto"/>
                <w:sz w:val="22"/>
                <w:szCs w:val="22"/>
              </w:rPr>
            </w:pPr>
          </w:p>
        </w:tc>
        <w:tc>
          <w:tcPr>
            <w:tcW w:w="7115" w:type="dxa"/>
          </w:tcPr>
          <w:p w14:paraId="2A849CC3" w14:textId="77777777" w:rsidR="00F11A8B" w:rsidRPr="006F6DAC" w:rsidRDefault="00F11A8B" w:rsidP="00F11A8B">
            <w:pPr>
              <w:pStyle w:val="40"/>
              <w:keepLines/>
              <w:numPr>
                <w:ilvl w:val="0"/>
                <w:numId w:val="0"/>
              </w:numPr>
              <w:suppressAutoHyphens w:val="0"/>
              <w:spacing w:line="259" w:lineRule="auto"/>
              <w:jc w:val="both"/>
              <w:rPr>
                <w:rFonts w:ascii="Garamond" w:hAnsi="Garamond"/>
                <w:b w:val="0"/>
                <w:i/>
                <w:sz w:val="22"/>
                <w:szCs w:val="22"/>
              </w:rPr>
            </w:pPr>
            <w:r w:rsidRPr="006F6DAC">
              <w:rPr>
                <w:rFonts w:ascii="Garamond" w:hAnsi="Garamond"/>
                <w:b w:val="0"/>
                <w:i/>
                <w:sz w:val="22"/>
                <w:szCs w:val="22"/>
              </w:rPr>
              <w:lastRenderedPageBreak/>
              <w:t>&lt;</w:t>
            </w:r>
            <w:r w:rsidRPr="006F6DAC">
              <w:rPr>
                <w:rFonts w:ascii="Garamond" w:hAnsi="Garamond"/>
                <w:b w:val="0"/>
                <w:i/>
                <w:sz w:val="22"/>
                <w:szCs w:val="22"/>
                <w:lang w:val="en-US"/>
              </w:rPr>
              <w:t>delivery</w:t>
            </w:r>
            <w:r w:rsidRPr="006F6DAC">
              <w:rPr>
                <w:rFonts w:ascii="Garamond" w:hAnsi="Garamond"/>
                <w:b w:val="0"/>
                <w:i/>
                <w:sz w:val="22"/>
                <w:szCs w:val="22"/>
              </w:rPr>
              <w:t>-</w:t>
            </w:r>
            <w:r w:rsidRPr="006F6DAC">
              <w:rPr>
                <w:rFonts w:ascii="Garamond" w:hAnsi="Garamond"/>
                <w:b w:val="0"/>
                <w:i/>
                <w:sz w:val="22"/>
                <w:szCs w:val="22"/>
                <w:lang w:val="en-US"/>
              </w:rPr>
              <w:t>point</w:t>
            </w:r>
            <w:r w:rsidRPr="006F6DAC">
              <w:rPr>
                <w:rFonts w:ascii="Garamond" w:hAnsi="Garamond"/>
                <w:b w:val="0"/>
                <w:i/>
                <w:sz w:val="22"/>
                <w:szCs w:val="22"/>
              </w:rPr>
              <w:t>&gt;</w:t>
            </w:r>
          </w:p>
          <w:p w14:paraId="3C7EB829" w14:textId="77777777" w:rsidR="00F11A8B" w:rsidRPr="006F6DAC" w:rsidRDefault="00F11A8B" w:rsidP="00F11A8B">
            <w:pPr>
              <w:ind w:right="67"/>
              <w:jc w:val="both"/>
              <w:rPr>
                <w:rFonts w:ascii="Garamond" w:hAnsi="Garamond"/>
                <w:sz w:val="22"/>
                <w:szCs w:val="22"/>
              </w:rPr>
            </w:pPr>
            <w:r w:rsidRPr="006F6DAC">
              <w:rPr>
                <w:rFonts w:ascii="Garamond" w:hAnsi="Garamond"/>
                <w:sz w:val="22"/>
                <w:szCs w:val="22"/>
              </w:rPr>
              <w:t>Элемент &lt;</w:t>
            </w:r>
            <w:r w:rsidRPr="006F6DAC">
              <w:rPr>
                <w:rFonts w:ascii="Garamond" w:eastAsia="Calibri" w:hAnsi="Garamond"/>
                <w:sz w:val="22"/>
                <w:szCs w:val="22"/>
                <w:lang w:val="en-US"/>
              </w:rPr>
              <w:t>delivery</w:t>
            </w:r>
            <w:r w:rsidRPr="006F6DAC">
              <w:rPr>
                <w:rFonts w:ascii="Garamond" w:eastAsia="Calibri" w:hAnsi="Garamond"/>
                <w:sz w:val="22"/>
                <w:szCs w:val="22"/>
              </w:rPr>
              <w:t>-</w:t>
            </w:r>
            <w:r w:rsidRPr="006F6DAC">
              <w:rPr>
                <w:rFonts w:ascii="Garamond" w:eastAsia="Calibri" w:hAnsi="Garamond"/>
                <w:sz w:val="22"/>
                <w:szCs w:val="22"/>
                <w:lang w:val="en-US"/>
              </w:rPr>
              <w:t>point</w:t>
            </w:r>
            <w:r w:rsidRPr="006F6DAC">
              <w:rPr>
                <w:rFonts w:ascii="Garamond" w:hAnsi="Garamond"/>
                <w:sz w:val="22"/>
                <w:szCs w:val="22"/>
              </w:rPr>
              <w:t xml:space="preserve">&gt; </w:t>
            </w:r>
            <w:r w:rsidRPr="006F6DAC">
              <w:rPr>
                <w:rFonts w:ascii="Garamond" w:hAnsi="Garamond"/>
                <w:sz w:val="22"/>
                <w:szCs w:val="22"/>
                <w:lang w:val="en-US"/>
              </w:rPr>
              <w:t>c</w:t>
            </w:r>
            <w:r w:rsidRPr="006F6DAC">
              <w:rPr>
                <w:rFonts w:ascii="Garamond" w:hAnsi="Garamond"/>
                <w:sz w:val="22"/>
                <w:szCs w:val="22"/>
              </w:rPr>
              <w:t xml:space="preserve">одержит информацию по точке поставки </w:t>
            </w:r>
            <w:r w:rsidRPr="006F6DAC">
              <w:rPr>
                <w:rFonts w:ascii="Garamond" w:hAnsi="Garamond"/>
                <w:sz w:val="22"/>
                <w:szCs w:val="22"/>
                <w:shd w:val="clear" w:color="auto" w:fill="FFFF00"/>
              </w:rPr>
              <w:t>(точке присоединения)</w:t>
            </w:r>
            <w:r w:rsidRPr="006F6DAC">
              <w:rPr>
                <w:rFonts w:ascii="Garamond" w:hAnsi="Garamond"/>
                <w:sz w:val="22"/>
                <w:szCs w:val="22"/>
              </w:rPr>
              <w:t>.</w:t>
            </w:r>
          </w:p>
          <w:p w14:paraId="646BD622" w14:textId="77777777" w:rsidR="00F11A8B" w:rsidRPr="006F6DAC" w:rsidRDefault="00F11A8B" w:rsidP="00F11A8B">
            <w:pPr>
              <w:widowControl w:val="0"/>
              <w:autoSpaceDE w:val="0"/>
              <w:autoSpaceDN w:val="0"/>
              <w:adjustRightInd w:val="0"/>
              <w:spacing w:line="276" w:lineRule="auto"/>
              <w:ind w:right="67"/>
              <w:jc w:val="both"/>
              <w:rPr>
                <w:rFonts w:ascii="Garamond" w:hAnsi="Garamond"/>
                <w:sz w:val="22"/>
                <w:szCs w:val="22"/>
              </w:rPr>
            </w:pPr>
            <w:r w:rsidRPr="006F6DAC">
              <w:rPr>
                <w:rFonts w:ascii="Garamond" w:hAnsi="Garamond"/>
                <w:bCs/>
                <w:sz w:val="22"/>
                <w:szCs w:val="22"/>
              </w:rPr>
              <w:t>Обязательный элемент</w:t>
            </w:r>
            <w:r w:rsidRPr="006F6DAC">
              <w:rPr>
                <w:rFonts w:ascii="Garamond" w:hAnsi="Garamond"/>
                <w:sz w:val="22"/>
                <w:szCs w:val="22"/>
              </w:rPr>
              <w:t>. Допускается наличие одного или нескольких элементов.</w:t>
            </w:r>
          </w:p>
          <w:p w14:paraId="1802BD02" w14:textId="77777777" w:rsidR="00F11A8B" w:rsidRPr="006F6DAC" w:rsidRDefault="00F11A8B" w:rsidP="00F11A8B">
            <w:pPr>
              <w:ind w:right="67"/>
              <w:jc w:val="both"/>
              <w:rPr>
                <w:rFonts w:ascii="Garamond" w:hAnsi="Garamond"/>
                <w:sz w:val="22"/>
                <w:szCs w:val="22"/>
              </w:rPr>
            </w:pPr>
            <w:r w:rsidRPr="006F6DAC">
              <w:rPr>
                <w:rFonts w:ascii="Garamond" w:hAnsi="Garamond"/>
                <w:sz w:val="22"/>
                <w:szCs w:val="22"/>
              </w:rPr>
              <w:t>Атрибутами элемента &lt;</w:t>
            </w:r>
            <w:r w:rsidRPr="006F6DAC">
              <w:rPr>
                <w:rFonts w:ascii="Garamond" w:eastAsia="Calibri" w:hAnsi="Garamond"/>
                <w:sz w:val="22"/>
                <w:szCs w:val="22"/>
                <w:lang w:val="en-US"/>
              </w:rPr>
              <w:t>delivery</w:t>
            </w:r>
            <w:r w:rsidRPr="006F6DAC">
              <w:rPr>
                <w:rFonts w:ascii="Garamond" w:eastAsia="Calibri" w:hAnsi="Garamond"/>
                <w:sz w:val="22"/>
                <w:szCs w:val="22"/>
              </w:rPr>
              <w:t>-</w:t>
            </w:r>
            <w:r w:rsidRPr="006F6DAC">
              <w:rPr>
                <w:rFonts w:ascii="Garamond" w:eastAsia="Calibri" w:hAnsi="Garamond"/>
                <w:sz w:val="22"/>
                <w:szCs w:val="22"/>
                <w:lang w:val="en-US"/>
              </w:rPr>
              <w:t>point</w:t>
            </w:r>
            <w:r w:rsidRPr="006F6DAC">
              <w:rPr>
                <w:rFonts w:ascii="Garamond" w:hAnsi="Garamond"/>
                <w:sz w:val="22"/>
                <w:szCs w:val="22"/>
              </w:rPr>
              <w:t>&gt; являются:</w:t>
            </w:r>
          </w:p>
          <w:p w14:paraId="3C19A35C" w14:textId="77777777" w:rsidR="00F11A8B" w:rsidRPr="006F6DAC" w:rsidRDefault="00F11A8B" w:rsidP="00F11A8B">
            <w:pPr>
              <w:widowControl w:val="0"/>
              <w:numPr>
                <w:ilvl w:val="0"/>
                <w:numId w:val="240"/>
              </w:numPr>
              <w:suppressAutoHyphens w:val="0"/>
              <w:autoSpaceDE w:val="0"/>
              <w:autoSpaceDN w:val="0"/>
              <w:adjustRightInd w:val="0"/>
              <w:ind w:left="426" w:right="67"/>
              <w:jc w:val="both"/>
              <w:rPr>
                <w:rFonts w:ascii="Garamond" w:hAnsi="Garamond"/>
                <w:sz w:val="22"/>
                <w:szCs w:val="22"/>
              </w:rPr>
            </w:pPr>
            <w:r w:rsidRPr="006F6DAC">
              <w:rPr>
                <w:rFonts w:ascii="Garamond" w:hAnsi="Garamond"/>
                <w:sz w:val="22"/>
                <w:szCs w:val="22"/>
              </w:rPr>
              <w:t xml:space="preserve">ats-code – уникальный код, присвоенный КО точке поставки </w:t>
            </w:r>
            <w:r w:rsidRPr="006F6DAC">
              <w:rPr>
                <w:rFonts w:ascii="Garamond" w:hAnsi="Garamond"/>
                <w:sz w:val="22"/>
                <w:szCs w:val="22"/>
                <w:highlight w:val="yellow"/>
              </w:rPr>
              <w:t>(точке присоединения)</w:t>
            </w:r>
            <w:r w:rsidRPr="006F6DAC">
              <w:rPr>
                <w:rFonts w:ascii="Garamond" w:hAnsi="Garamond"/>
                <w:sz w:val="22"/>
                <w:szCs w:val="22"/>
              </w:rPr>
              <w:t>. Число из 15 символов. Является обязательным атрибутом. В случае если длина выгружаемого из БД поля менее 15 символов, то к атрибуту в начале должен быть добавлен ведущий ноль (нули);</w:t>
            </w:r>
          </w:p>
          <w:p w14:paraId="3E9CCBA6" w14:textId="77777777" w:rsidR="00F11A8B" w:rsidRPr="006F6DAC" w:rsidRDefault="00F11A8B" w:rsidP="00F11A8B">
            <w:pPr>
              <w:widowControl w:val="0"/>
              <w:numPr>
                <w:ilvl w:val="0"/>
                <w:numId w:val="240"/>
              </w:numPr>
              <w:suppressAutoHyphens w:val="0"/>
              <w:autoSpaceDE w:val="0"/>
              <w:autoSpaceDN w:val="0"/>
              <w:adjustRightInd w:val="0"/>
              <w:ind w:left="426" w:right="67"/>
              <w:jc w:val="both"/>
              <w:rPr>
                <w:rFonts w:ascii="Garamond" w:hAnsi="Garamond"/>
                <w:sz w:val="22"/>
                <w:szCs w:val="22"/>
              </w:rPr>
            </w:pPr>
            <w:r w:rsidRPr="006F6DAC">
              <w:rPr>
                <w:rFonts w:ascii="Garamond" w:hAnsi="Garamond"/>
                <w:sz w:val="22"/>
                <w:szCs w:val="22"/>
                <w:lang w:val="en-US"/>
              </w:rPr>
              <w:t>is</w:t>
            </w:r>
            <w:r w:rsidRPr="006F6DAC">
              <w:rPr>
                <w:rFonts w:ascii="Garamond" w:hAnsi="Garamond"/>
                <w:sz w:val="22"/>
                <w:szCs w:val="22"/>
              </w:rPr>
              <w:t>-</w:t>
            </w:r>
            <w:r w:rsidRPr="006F6DAC">
              <w:rPr>
                <w:rFonts w:ascii="Garamond" w:hAnsi="Garamond"/>
                <w:sz w:val="22"/>
                <w:szCs w:val="22"/>
                <w:lang w:val="en-US"/>
              </w:rPr>
              <w:t>group</w:t>
            </w:r>
            <w:r w:rsidRPr="006F6DAC">
              <w:rPr>
                <w:rFonts w:ascii="Garamond" w:hAnsi="Garamond"/>
                <w:sz w:val="22"/>
                <w:szCs w:val="22"/>
              </w:rPr>
              <w:t>-</w:t>
            </w:r>
            <w:r w:rsidRPr="006F6DAC">
              <w:rPr>
                <w:rFonts w:ascii="Garamond" w:hAnsi="Garamond"/>
                <w:sz w:val="22"/>
                <w:szCs w:val="22"/>
                <w:lang w:val="en-US"/>
              </w:rPr>
              <w:t>delivery</w:t>
            </w:r>
            <w:r w:rsidRPr="006F6DAC">
              <w:rPr>
                <w:rFonts w:ascii="Garamond" w:hAnsi="Garamond"/>
                <w:sz w:val="22"/>
                <w:szCs w:val="22"/>
              </w:rPr>
              <w:t>-</w:t>
            </w:r>
            <w:r w:rsidRPr="006F6DAC">
              <w:rPr>
                <w:rFonts w:ascii="Garamond" w:hAnsi="Garamond"/>
                <w:sz w:val="22"/>
                <w:szCs w:val="22"/>
                <w:lang w:val="en-US"/>
              </w:rPr>
              <w:t>point</w:t>
            </w:r>
            <w:r w:rsidRPr="006F6DAC">
              <w:rPr>
                <w:rFonts w:ascii="Garamond" w:hAnsi="Garamond"/>
                <w:sz w:val="22"/>
                <w:szCs w:val="22"/>
              </w:rPr>
              <w:t xml:space="preserve"> – признак того, что </w:t>
            </w:r>
            <w:r w:rsidRPr="006F6DAC">
              <w:rPr>
                <w:rFonts w:ascii="Garamond" w:hAnsi="Garamond"/>
                <w:sz w:val="22"/>
                <w:szCs w:val="22"/>
                <w:highlight w:val="yellow"/>
              </w:rPr>
              <w:t>точка поставки (точка присоединения)</w:t>
            </w:r>
            <w:r w:rsidRPr="006F6DAC">
              <w:rPr>
                <w:rFonts w:ascii="Garamond" w:hAnsi="Garamond"/>
                <w:sz w:val="22"/>
                <w:szCs w:val="22"/>
              </w:rPr>
              <w:t xml:space="preserve"> является групповой. Может принимать значения true, </w:t>
            </w:r>
            <w:r w:rsidRPr="006F6DAC">
              <w:rPr>
                <w:rFonts w:ascii="Garamond" w:hAnsi="Garamond"/>
                <w:sz w:val="22"/>
                <w:szCs w:val="22"/>
              </w:rPr>
              <w:lastRenderedPageBreak/>
              <w:t>если точка групповая, false, если точка негрупповая. Является обязательным атрибутом;</w:t>
            </w:r>
          </w:p>
          <w:p w14:paraId="203D873C" w14:textId="77777777" w:rsidR="00F11A8B" w:rsidRPr="006F6DAC" w:rsidRDefault="00F11A8B" w:rsidP="00F11A8B">
            <w:pPr>
              <w:widowControl w:val="0"/>
              <w:numPr>
                <w:ilvl w:val="0"/>
                <w:numId w:val="240"/>
              </w:numPr>
              <w:suppressAutoHyphens w:val="0"/>
              <w:autoSpaceDE w:val="0"/>
              <w:autoSpaceDN w:val="0"/>
              <w:adjustRightInd w:val="0"/>
              <w:ind w:right="67"/>
              <w:jc w:val="both"/>
              <w:rPr>
                <w:rFonts w:ascii="Garamond" w:hAnsi="Garamond"/>
                <w:sz w:val="22"/>
                <w:szCs w:val="22"/>
              </w:rPr>
            </w:pPr>
            <w:r w:rsidRPr="006F6DAC">
              <w:rPr>
                <w:rFonts w:ascii="Garamond" w:hAnsi="Garamond"/>
                <w:sz w:val="22"/>
                <w:szCs w:val="22"/>
                <w:lang w:val="en-US"/>
              </w:rPr>
              <w:t>composite</w:t>
            </w:r>
            <w:r w:rsidRPr="006F6DAC">
              <w:rPr>
                <w:rFonts w:ascii="Garamond" w:hAnsi="Garamond"/>
                <w:sz w:val="22"/>
                <w:szCs w:val="22"/>
              </w:rPr>
              <w:t>-</w:t>
            </w:r>
            <w:r w:rsidRPr="006F6DAC">
              <w:rPr>
                <w:rFonts w:ascii="Garamond" w:hAnsi="Garamond"/>
                <w:sz w:val="22"/>
                <w:szCs w:val="22"/>
                <w:lang w:val="en-US"/>
              </w:rPr>
              <w:t>name</w:t>
            </w:r>
            <w:r w:rsidRPr="006F6DAC">
              <w:rPr>
                <w:rFonts w:ascii="Garamond" w:hAnsi="Garamond"/>
                <w:sz w:val="22"/>
                <w:szCs w:val="22"/>
              </w:rPr>
              <w:t xml:space="preserve"> – составное наименование точки. Текстовое поле не более 512 символов. Является обязательным атрибутом, если отсутствует элемент &lt;name&gt;;</w:t>
            </w:r>
          </w:p>
          <w:p w14:paraId="7379B9CC" w14:textId="77777777" w:rsidR="00F11A8B" w:rsidRPr="006F6DAC" w:rsidRDefault="00F11A8B" w:rsidP="00F11A8B">
            <w:pPr>
              <w:widowControl w:val="0"/>
              <w:numPr>
                <w:ilvl w:val="0"/>
                <w:numId w:val="240"/>
              </w:numPr>
              <w:suppressAutoHyphens w:val="0"/>
              <w:autoSpaceDE w:val="0"/>
              <w:autoSpaceDN w:val="0"/>
              <w:adjustRightInd w:val="0"/>
              <w:ind w:right="67"/>
              <w:jc w:val="both"/>
              <w:rPr>
                <w:rFonts w:ascii="Garamond" w:hAnsi="Garamond"/>
                <w:sz w:val="22"/>
                <w:szCs w:val="22"/>
              </w:rPr>
            </w:pPr>
            <w:r w:rsidRPr="006F6DAC">
              <w:rPr>
                <w:rFonts w:ascii="Garamond" w:hAnsi="Garamond"/>
                <w:sz w:val="22"/>
                <w:szCs w:val="22"/>
              </w:rPr>
              <w:t>point-voltage – уровень напряжения точки, размерность: В. Число не более 10 символов, значение «0» недопустимо. Является обязательным атрибутом, если точка является не групповой, для групповой не заполняется.</w:t>
            </w:r>
          </w:p>
          <w:p w14:paraId="1FD9BF5F" w14:textId="77777777" w:rsidR="00F11A8B" w:rsidRPr="006F6DAC" w:rsidRDefault="00F11A8B" w:rsidP="00F11A8B">
            <w:pPr>
              <w:pStyle w:val="3"/>
              <w:keepLines/>
              <w:numPr>
                <w:ilvl w:val="0"/>
                <w:numId w:val="0"/>
              </w:numPr>
              <w:suppressAutoHyphens w:val="0"/>
              <w:spacing w:line="259" w:lineRule="auto"/>
              <w:ind w:right="67"/>
              <w:jc w:val="both"/>
              <w:rPr>
                <w:rFonts w:ascii="Garamond" w:hAnsi="Garamond"/>
                <w:b w:val="0"/>
                <w:color w:val="auto"/>
                <w:sz w:val="22"/>
                <w:szCs w:val="22"/>
              </w:rPr>
            </w:pPr>
            <w:r w:rsidRPr="006F6DAC">
              <w:rPr>
                <w:rFonts w:ascii="Garamond" w:hAnsi="Garamond"/>
                <w:b w:val="0"/>
                <w:bCs w:val="0"/>
                <w:color w:val="auto"/>
                <w:sz w:val="22"/>
                <w:szCs w:val="22"/>
              </w:rPr>
              <w:t>Дочерними элементами являются: &lt;name&gt;.</w:t>
            </w:r>
          </w:p>
        </w:tc>
      </w:tr>
      <w:tr w:rsidR="00F11A8B" w:rsidRPr="006F6DAC" w14:paraId="25966225" w14:textId="77777777" w:rsidTr="006F6DAC">
        <w:tc>
          <w:tcPr>
            <w:tcW w:w="1060" w:type="dxa"/>
          </w:tcPr>
          <w:p w14:paraId="3B832226" w14:textId="7ADD9684" w:rsidR="00F11A8B" w:rsidRPr="006F6DAC" w:rsidRDefault="00F11A8B" w:rsidP="00F11A8B">
            <w:pPr>
              <w:widowControl w:val="0"/>
              <w:spacing w:line="259" w:lineRule="auto"/>
              <w:jc w:val="center"/>
              <w:rPr>
                <w:rFonts w:ascii="Garamond" w:hAnsi="Garamond"/>
                <w:b/>
                <w:sz w:val="22"/>
                <w:szCs w:val="22"/>
                <w:lang w:eastAsia="en-US"/>
              </w:rPr>
            </w:pPr>
            <w:r w:rsidRPr="006F6DAC">
              <w:rPr>
                <w:rFonts w:ascii="Garamond" w:hAnsi="Garamond"/>
                <w:b/>
                <w:sz w:val="22"/>
                <w:szCs w:val="22"/>
                <w:lang w:eastAsia="en-US"/>
              </w:rPr>
              <w:lastRenderedPageBreak/>
              <w:t>Приложение 8, п.</w:t>
            </w:r>
            <w:r w:rsidR="006F6DAC">
              <w:rPr>
                <w:rFonts w:ascii="Garamond" w:hAnsi="Garamond"/>
                <w:b/>
                <w:sz w:val="22"/>
                <w:szCs w:val="22"/>
                <w:lang w:eastAsia="en-US"/>
              </w:rPr>
              <w:t xml:space="preserve"> </w:t>
            </w:r>
            <w:r w:rsidRPr="006F6DAC">
              <w:rPr>
                <w:rFonts w:ascii="Garamond" w:hAnsi="Garamond"/>
                <w:b/>
                <w:sz w:val="22"/>
                <w:szCs w:val="22"/>
                <w:lang w:eastAsia="en-US"/>
              </w:rPr>
              <w:t>2.2.3.1.1</w:t>
            </w:r>
          </w:p>
        </w:tc>
        <w:tc>
          <w:tcPr>
            <w:tcW w:w="6804" w:type="dxa"/>
          </w:tcPr>
          <w:p w14:paraId="30C1D490" w14:textId="77777777" w:rsidR="00F11A8B" w:rsidRPr="006F6DAC" w:rsidRDefault="00F11A8B" w:rsidP="00F11A8B">
            <w:pPr>
              <w:pStyle w:val="5"/>
              <w:suppressAutoHyphens w:val="0"/>
              <w:spacing w:before="0" w:line="259" w:lineRule="auto"/>
              <w:jc w:val="both"/>
              <w:rPr>
                <w:rFonts w:ascii="Garamond" w:hAnsi="Garamond"/>
                <w:color w:val="auto"/>
                <w:sz w:val="22"/>
                <w:szCs w:val="22"/>
              </w:rPr>
            </w:pPr>
            <w:r w:rsidRPr="006F6DAC">
              <w:rPr>
                <w:rFonts w:ascii="Garamond" w:hAnsi="Garamond"/>
                <w:color w:val="auto"/>
                <w:sz w:val="22"/>
                <w:szCs w:val="22"/>
              </w:rPr>
              <w:t>&lt;</w:t>
            </w:r>
            <w:r w:rsidRPr="006F6DAC">
              <w:rPr>
                <w:rFonts w:ascii="Garamond" w:hAnsi="Garamond"/>
                <w:color w:val="auto"/>
                <w:sz w:val="22"/>
                <w:szCs w:val="22"/>
                <w:lang w:val="en-US"/>
              </w:rPr>
              <w:t>name</w:t>
            </w:r>
            <w:r w:rsidRPr="006F6DAC">
              <w:rPr>
                <w:rFonts w:ascii="Garamond" w:hAnsi="Garamond"/>
                <w:color w:val="auto"/>
                <w:sz w:val="22"/>
                <w:szCs w:val="22"/>
              </w:rPr>
              <w:t>&gt;</w:t>
            </w:r>
          </w:p>
          <w:p w14:paraId="17045A1A" w14:textId="77777777" w:rsidR="00F11A8B" w:rsidRPr="006F6DAC" w:rsidRDefault="00F11A8B" w:rsidP="00F11A8B">
            <w:pPr>
              <w:jc w:val="both"/>
              <w:rPr>
                <w:rFonts w:ascii="Garamond" w:hAnsi="Garamond"/>
                <w:sz w:val="22"/>
                <w:szCs w:val="22"/>
              </w:rPr>
            </w:pPr>
            <w:r w:rsidRPr="006F6DAC">
              <w:rPr>
                <w:rFonts w:ascii="Garamond" w:hAnsi="Garamond"/>
                <w:sz w:val="22"/>
                <w:szCs w:val="22"/>
              </w:rPr>
              <w:t>Элемент &lt;</w:t>
            </w:r>
            <w:r w:rsidRPr="006F6DAC">
              <w:rPr>
                <w:rFonts w:ascii="Garamond" w:eastAsia="Calibri" w:hAnsi="Garamond"/>
                <w:sz w:val="22"/>
                <w:szCs w:val="22"/>
                <w:lang w:val="en-US"/>
              </w:rPr>
              <w:t>name</w:t>
            </w:r>
            <w:r w:rsidRPr="006F6DAC">
              <w:rPr>
                <w:rFonts w:ascii="Garamond" w:hAnsi="Garamond"/>
                <w:sz w:val="22"/>
                <w:szCs w:val="22"/>
              </w:rPr>
              <w:t xml:space="preserve">&gt; </w:t>
            </w:r>
            <w:r w:rsidRPr="006F6DAC">
              <w:rPr>
                <w:rFonts w:ascii="Garamond" w:hAnsi="Garamond"/>
                <w:sz w:val="22"/>
                <w:szCs w:val="22"/>
                <w:lang w:val="en-US"/>
              </w:rPr>
              <w:t>c</w:t>
            </w:r>
            <w:r w:rsidRPr="006F6DAC">
              <w:rPr>
                <w:rFonts w:ascii="Garamond" w:hAnsi="Garamond"/>
                <w:sz w:val="22"/>
                <w:szCs w:val="22"/>
              </w:rPr>
              <w:t>одержит атрибуты, на основании которых формируется диспетчерское наименование точки поставки.</w:t>
            </w:r>
          </w:p>
          <w:p w14:paraId="1D015D5B" w14:textId="77777777" w:rsidR="00F11A8B" w:rsidRPr="006F6DAC" w:rsidRDefault="00F11A8B" w:rsidP="00F11A8B">
            <w:pPr>
              <w:widowControl w:val="0"/>
              <w:autoSpaceDE w:val="0"/>
              <w:autoSpaceDN w:val="0"/>
              <w:adjustRightInd w:val="0"/>
              <w:spacing w:line="276" w:lineRule="auto"/>
              <w:jc w:val="both"/>
              <w:rPr>
                <w:rFonts w:ascii="Garamond" w:hAnsi="Garamond"/>
                <w:sz w:val="22"/>
                <w:szCs w:val="22"/>
              </w:rPr>
            </w:pPr>
            <w:r w:rsidRPr="006F6DAC">
              <w:rPr>
                <w:rFonts w:ascii="Garamond" w:hAnsi="Garamond"/>
                <w:bCs/>
                <w:sz w:val="22"/>
                <w:szCs w:val="22"/>
              </w:rPr>
              <w:t>Элемент для групповой точки должен отсутствовать</w:t>
            </w:r>
            <w:r w:rsidRPr="006F6DAC">
              <w:rPr>
                <w:rFonts w:ascii="Garamond" w:hAnsi="Garamond"/>
                <w:sz w:val="22"/>
                <w:szCs w:val="22"/>
              </w:rPr>
              <w:t>. Допускается наличие только одного элемента.</w:t>
            </w:r>
          </w:p>
        </w:tc>
        <w:tc>
          <w:tcPr>
            <w:tcW w:w="7115" w:type="dxa"/>
          </w:tcPr>
          <w:p w14:paraId="58673197" w14:textId="77777777" w:rsidR="00F11A8B" w:rsidRPr="006F6DAC" w:rsidRDefault="00F11A8B" w:rsidP="00F11A8B">
            <w:pPr>
              <w:pStyle w:val="5"/>
              <w:suppressAutoHyphens w:val="0"/>
              <w:spacing w:before="0" w:line="259" w:lineRule="auto"/>
              <w:jc w:val="both"/>
              <w:rPr>
                <w:rFonts w:ascii="Garamond" w:hAnsi="Garamond"/>
                <w:color w:val="auto"/>
                <w:sz w:val="22"/>
                <w:szCs w:val="22"/>
              </w:rPr>
            </w:pPr>
            <w:r w:rsidRPr="006F6DAC">
              <w:rPr>
                <w:rFonts w:ascii="Garamond" w:hAnsi="Garamond"/>
                <w:color w:val="auto"/>
                <w:sz w:val="22"/>
                <w:szCs w:val="22"/>
              </w:rPr>
              <w:t>&lt;</w:t>
            </w:r>
            <w:r w:rsidRPr="006F6DAC">
              <w:rPr>
                <w:rFonts w:ascii="Garamond" w:hAnsi="Garamond"/>
                <w:color w:val="auto"/>
                <w:sz w:val="22"/>
                <w:szCs w:val="22"/>
                <w:lang w:val="en-US"/>
              </w:rPr>
              <w:t>name</w:t>
            </w:r>
            <w:r w:rsidRPr="006F6DAC">
              <w:rPr>
                <w:rFonts w:ascii="Garamond" w:hAnsi="Garamond"/>
                <w:color w:val="auto"/>
                <w:sz w:val="22"/>
                <w:szCs w:val="22"/>
              </w:rPr>
              <w:t>&gt;</w:t>
            </w:r>
          </w:p>
          <w:p w14:paraId="09E65D47" w14:textId="77777777" w:rsidR="00F11A8B" w:rsidRPr="006F6DAC" w:rsidRDefault="00F11A8B" w:rsidP="00F11A8B">
            <w:pPr>
              <w:jc w:val="both"/>
              <w:rPr>
                <w:rFonts w:ascii="Garamond" w:hAnsi="Garamond"/>
                <w:sz w:val="22"/>
                <w:szCs w:val="22"/>
              </w:rPr>
            </w:pPr>
            <w:r w:rsidRPr="006F6DAC">
              <w:rPr>
                <w:rFonts w:ascii="Garamond" w:hAnsi="Garamond"/>
                <w:sz w:val="22"/>
                <w:szCs w:val="22"/>
              </w:rPr>
              <w:t>Элемент &lt;</w:t>
            </w:r>
            <w:r w:rsidRPr="006F6DAC">
              <w:rPr>
                <w:rFonts w:ascii="Garamond" w:eastAsia="Calibri" w:hAnsi="Garamond"/>
                <w:sz w:val="22"/>
                <w:szCs w:val="22"/>
                <w:lang w:val="en-US"/>
              </w:rPr>
              <w:t>name</w:t>
            </w:r>
            <w:r w:rsidRPr="006F6DAC">
              <w:rPr>
                <w:rFonts w:ascii="Garamond" w:hAnsi="Garamond"/>
                <w:sz w:val="22"/>
                <w:szCs w:val="22"/>
              </w:rPr>
              <w:t xml:space="preserve">&gt; </w:t>
            </w:r>
            <w:r w:rsidRPr="006F6DAC">
              <w:rPr>
                <w:rFonts w:ascii="Garamond" w:hAnsi="Garamond"/>
                <w:sz w:val="22"/>
                <w:szCs w:val="22"/>
                <w:lang w:val="en-US"/>
              </w:rPr>
              <w:t>c</w:t>
            </w:r>
            <w:r w:rsidRPr="006F6DAC">
              <w:rPr>
                <w:rFonts w:ascii="Garamond" w:hAnsi="Garamond"/>
                <w:sz w:val="22"/>
                <w:szCs w:val="22"/>
              </w:rPr>
              <w:t xml:space="preserve">одержит атрибуты, на основании которых формируется диспетчерское наименование точки поставки </w:t>
            </w:r>
            <w:r w:rsidRPr="006F6DAC">
              <w:rPr>
                <w:rFonts w:ascii="Garamond" w:hAnsi="Garamond"/>
                <w:sz w:val="22"/>
                <w:szCs w:val="22"/>
                <w:highlight w:val="yellow"/>
              </w:rPr>
              <w:t>(точки присоединения)</w:t>
            </w:r>
            <w:r w:rsidRPr="006F6DAC">
              <w:rPr>
                <w:rFonts w:ascii="Garamond" w:hAnsi="Garamond"/>
                <w:sz w:val="22"/>
                <w:szCs w:val="22"/>
              </w:rPr>
              <w:t>.</w:t>
            </w:r>
          </w:p>
          <w:p w14:paraId="65952417" w14:textId="77777777" w:rsidR="00F11A8B" w:rsidRPr="006F6DAC" w:rsidRDefault="00F11A8B" w:rsidP="00F11A8B">
            <w:pPr>
              <w:widowControl w:val="0"/>
              <w:autoSpaceDE w:val="0"/>
              <w:autoSpaceDN w:val="0"/>
              <w:adjustRightInd w:val="0"/>
              <w:spacing w:line="276" w:lineRule="auto"/>
              <w:jc w:val="both"/>
              <w:rPr>
                <w:rFonts w:ascii="Garamond" w:hAnsi="Garamond"/>
                <w:sz w:val="22"/>
                <w:szCs w:val="22"/>
              </w:rPr>
            </w:pPr>
            <w:r w:rsidRPr="006F6DAC">
              <w:rPr>
                <w:rFonts w:ascii="Garamond" w:hAnsi="Garamond"/>
                <w:bCs/>
                <w:sz w:val="22"/>
                <w:szCs w:val="22"/>
              </w:rPr>
              <w:t>Элемент для групповой точки должен отсутствовать</w:t>
            </w:r>
            <w:r w:rsidRPr="006F6DAC">
              <w:rPr>
                <w:rFonts w:ascii="Garamond" w:hAnsi="Garamond"/>
                <w:sz w:val="22"/>
                <w:szCs w:val="22"/>
              </w:rPr>
              <w:t>. Допускается наличие только одного элемента.</w:t>
            </w:r>
          </w:p>
        </w:tc>
      </w:tr>
      <w:tr w:rsidR="00F11A8B" w:rsidRPr="006F6DAC" w14:paraId="6B98CA9C" w14:textId="77777777" w:rsidTr="006F6DAC">
        <w:tc>
          <w:tcPr>
            <w:tcW w:w="1060" w:type="dxa"/>
          </w:tcPr>
          <w:p w14:paraId="153FEC7A" w14:textId="39EF3FC1" w:rsidR="00F11A8B" w:rsidRPr="006F6DAC" w:rsidRDefault="00F11A8B" w:rsidP="00F11A8B">
            <w:pPr>
              <w:widowControl w:val="0"/>
              <w:spacing w:line="259" w:lineRule="auto"/>
              <w:jc w:val="center"/>
              <w:rPr>
                <w:rFonts w:ascii="Garamond" w:hAnsi="Garamond"/>
                <w:b/>
                <w:sz w:val="22"/>
                <w:szCs w:val="22"/>
                <w:lang w:eastAsia="en-US"/>
              </w:rPr>
            </w:pPr>
            <w:r w:rsidRPr="006F6DAC">
              <w:rPr>
                <w:rFonts w:ascii="Garamond" w:hAnsi="Garamond"/>
                <w:b/>
                <w:sz w:val="22"/>
                <w:szCs w:val="22"/>
                <w:lang w:eastAsia="en-US"/>
              </w:rPr>
              <w:t>Приложение 8, п.</w:t>
            </w:r>
            <w:r w:rsidR="006F6DAC">
              <w:rPr>
                <w:rFonts w:ascii="Garamond" w:hAnsi="Garamond"/>
                <w:b/>
                <w:sz w:val="22"/>
                <w:szCs w:val="22"/>
                <w:lang w:eastAsia="en-US"/>
              </w:rPr>
              <w:t xml:space="preserve"> </w:t>
            </w:r>
            <w:r w:rsidRPr="006F6DAC">
              <w:rPr>
                <w:rFonts w:ascii="Garamond" w:hAnsi="Garamond"/>
                <w:b/>
                <w:sz w:val="22"/>
                <w:szCs w:val="22"/>
                <w:lang w:eastAsia="en-US"/>
              </w:rPr>
              <w:t>2.2.4</w:t>
            </w:r>
          </w:p>
        </w:tc>
        <w:tc>
          <w:tcPr>
            <w:tcW w:w="6804" w:type="dxa"/>
          </w:tcPr>
          <w:p w14:paraId="505FBF4A" w14:textId="77777777" w:rsidR="00F11A8B" w:rsidRPr="006F6DAC" w:rsidRDefault="00F11A8B" w:rsidP="00F11A8B">
            <w:pPr>
              <w:pStyle w:val="3"/>
              <w:keepLines/>
              <w:numPr>
                <w:ilvl w:val="0"/>
                <w:numId w:val="0"/>
              </w:numPr>
              <w:suppressAutoHyphens w:val="0"/>
              <w:spacing w:line="259" w:lineRule="auto"/>
              <w:jc w:val="both"/>
              <w:rPr>
                <w:rFonts w:ascii="Garamond" w:hAnsi="Garamond"/>
                <w:b w:val="0"/>
                <w:color w:val="auto"/>
                <w:sz w:val="22"/>
                <w:szCs w:val="22"/>
                <w:lang w:val="en-US"/>
              </w:rPr>
            </w:pPr>
            <w:r w:rsidRPr="006F6DAC">
              <w:rPr>
                <w:rFonts w:ascii="Garamond" w:hAnsi="Garamond"/>
                <w:b w:val="0"/>
                <w:color w:val="auto"/>
                <w:sz w:val="22"/>
                <w:szCs w:val="22"/>
                <w:lang w:val="en-US"/>
              </w:rPr>
              <w:t>&lt;measuring-device-modifications&gt;</w:t>
            </w:r>
          </w:p>
          <w:p w14:paraId="043A51DA" w14:textId="77777777" w:rsidR="00F11A8B" w:rsidRPr="006F6DAC" w:rsidRDefault="00F11A8B" w:rsidP="00F11A8B">
            <w:pPr>
              <w:jc w:val="both"/>
              <w:rPr>
                <w:rFonts w:ascii="Garamond" w:hAnsi="Garamond"/>
                <w:sz w:val="22"/>
                <w:szCs w:val="22"/>
              </w:rPr>
            </w:pPr>
            <w:r w:rsidRPr="006F6DAC">
              <w:rPr>
                <w:rFonts w:ascii="Garamond" w:hAnsi="Garamond"/>
                <w:sz w:val="22"/>
                <w:szCs w:val="22"/>
              </w:rPr>
              <w:t>Обязательный</w:t>
            </w:r>
            <w:r w:rsidRPr="006F6DAC">
              <w:rPr>
                <w:rFonts w:ascii="Garamond" w:hAnsi="Garamond"/>
                <w:sz w:val="22"/>
                <w:szCs w:val="22"/>
                <w:lang w:val="en-US"/>
              </w:rPr>
              <w:t xml:space="preserve"> </w:t>
            </w:r>
            <w:r w:rsidRPr="006F6DAC">
              <w:rPr>
                <w:rFonts w:ascii="Garamond" w:hAnsi="Garamond"/>
                <w:sz w:val="22"/>
                <w:szCs w:val="22"/>
              </w:rPr>
              <w:t>элемент</w:t>
            </w:r>
            <w:r w:rsidRPr="006F6DAC">
              <w:rPr>
                <w:rFonts w:ascii="Garamond" w:hAnsi="Garamond"/>
                <w:sz w:val="22"/>
                <w:szCs w:val="22"/>
                <w:lang w:val="en-US"/>
              </w:rPr>
              <w:t xml:space="preserve"> </w:t>
            </w:r>
            <w:r w:rsidRPr="006F6DAC">
              <w:rPr>
                <w:rFonts w:ascii="Garamond" w:eastAsia="Calibri" w:hAnsi="Garamond"/>
                <w:sz w:val="22"/>
                <w:szCs w:val="22"/>
                <w:lang w:val="en-US"/>
              </w:rPr>
              <w:t xml:space="preserve">&lt;measuring-device-modifications&gt; </w:t>
            </w:r>
            <w:r w:rsidRPr="006F6DAC">
              <w:rPr>
                <w:rFonts w:ascii="Garamond" w:eastAsia="Calibri" w:hAnsi="Garamond"/>
                <w:sz w:val="22"/>
                <w:szCs w:val="22"/>
              </w:rPr>
              <w:t>является</w:t>
            </w:r>
            <w:r w:rsidRPr="006F6DAC">
              <w:rPr>
                <w:rFonts w:ascii="Garamond" w:eastAsia="Calibri" w:hAnsi="Garamond"/>
                <w:sz w:val="22"/>
                <w:szCs w:val="22"/>
                <w:lang w:val="en-US"/>
              </w:rPr>
              <w:t xml:space="preserve"> </w:t>
            </w:r>
            <w:r w:rsidRPr="006F6DAC">
              <w:rPr>
                <w:rFonts w:ascii="Garamond" w:eastAsia="Calibri" w:hAnsi="Garamond"/>
                <w:sz w:val="22"/>
                <w:szCs w:val="22"/>
              </w:rPr>
              <w:t>потомком</w:t>
            </w:r>
            <w:r w:rsidRPr="006F6DAC">
              <w:rPr>
                <w:rFonts w:ascii="Garamond" w:eastAsia="Calibri" w:hAnsi="Garamond"/>
                <w:sz w:val="22"/>
                <w:szCs w:val="22"/>
                <w:lang w:val="en-US"/>
              </w:rPr>
              <w:t xml:space="preserve"> </w:t>
            </w:r>
            <w:r w:rsidRPr="006F6DAC">
              <w:rPr>
                <w:rFonts w:ascii="Garamond" w:eastAsia="Calibri" w:hAnsi="Garamond"/>
                <w:sz w:val="22"/>
                <w:szCs w:val="22"/>
              </w:rPr>
              <w:t>элемента</w:t>
            </w:r>
            <w:r w:rsidRPr="006F6DAC">
              <w:rPr>
                <w:rFonts w:ascii="Garamond" w:eastAsia="Calibri" w:hAnsi="Garamond"/>
                <w:sz w:val="22"/>
                <w:szCs w:val="22"/>
                <w:lang w:val="en-US"/>
              </w:rPr>
              <w:t xml:space="preserve"> </w:t>
            </w:r>
            <w:r w:rsidRPr="006F6DAC">
              <w:rPr>
                <w:rFonts w:ascii="Garamond" w:hAnsi="Garamond"/>
                <w:sz w:val="22"/>
                <w:szCs w:val="22"/>
                <w:lang w:val="en-US"/>
              </w:rPr>
              <w:t xml:space="preserve">&lt;dictionaries&gt;. </w:t>
            </w:r>
            <w:r w:rsidRPr="006F6DAC">
              <w:rPr>
                <w:rFonts w:ascii="Garamond" w:hAnsi="Garamond"/>
                <w:sz w:val="22"/>
                <w:szCs w:val="22"/>
              </w:rPr>
              <w:t xml:space="preserve">Он содержит информацию о модификациях моделей </w:t>
            </w:r>
            <w:r w:rsidRPr="006F6DAC">
              <w:rPr>
                <w:rFonts w:ascii="Garamond" w:hAnsi="Garamond"/>
                <w:sz w:val="22"/>
                <w:szCs w:val="22"/>
                <w:highlight w:val="yellow"/>
              </w:rPr>
              <w:t>ИП</w:t>
            </w:r>
            <w:r w:rsidRPr="006F6DAC">
              <w:rPr>
                <w:rFonts w:ascii="Garamond" w:hAnsi="Garamond"/>
                <w:sz w:val="22"/>
                <w:szCs w:val="22"/>
              </w:rPr>
              <w:t xml:space="preserve">, представленных в документе. </w:t>
            </w:r>
          </w:p>
          <w:p w14:paraId="4C62D51D" w14:textId="77777777" w:rsidR="00F11A8B" w:rsidRPr="006F6DAC" w:rsidRDefault="00F11A8B" w:rsidP="00F11A8B">
            <w:pPr>
              <w:jc w:val="both"/>
              <w:rPr>
                <w:rFonts w:ascii="Garamond" w:eastAsia="Calibri" w:hAnsi="Garamond"/>
                <w:sz w:val="22"/>
                <w:szCs w:val="22"/>
                <w:lang w:val="en-US"/>
              </w:rPr>
            </w:pPr>
            <w:r w:rsidRPr="006F6DAC">
              <w:rPr>
                <w:rFonts w:ascii="Garamond" w:hAnsi="Garamond"/>
                <w:sz w:val="22"/>
                <w:szCs w:val="22"/>
              </w:rPr>
              <w:t>Дочерними</w:t>
            </w:r>
            <w:r w:rsidRPr="006F6DAC">
              <w:rPr>
                <w:rFonts w:ascii="Garamond" w:hAnsi="Garamond"/>
                <w:sz w:val="22"/>
                <w:szCs w:val="22"/>
                <w:lang w:val="en-US"/>
              </w:rPr>
              <w:t xml:space="preserve"> </w:t>
            </w:r>
            <w:r w:rsidRPr="006F6DAC">
              <w:rPr>
                <w:rFonts w:ascii="Garamond" w:hAnsi="Garamond"/>
                <w:sz w:val="22"/>
                <w:szCs w:val="22"/>
              </w:rPr>
              <w:t>элементами</w:t>
            </w:r>
            <w:r w:rsidRPr="006F6DAC">
              <w:rPr>
                <w:rFonts w:ascii="Garamond" w:hAnsi="Garamond"/>
                <w:sz w:val="22"/>
                <w:szCs w:val="22"/>
                <w:lang w:val="en-US"/>
              </w:rPr>
              <w:t xml:space="preserve"> </w:t>
            </w:r>
            <w:r w:rsidRPr="006F6DAC">
              <w:rPr>
                <w:rFonts w:ascii="Garamond" w:hAnsi="Garamond"/>
                <w:sz w:val="22"/>
                <w:szCs w:val="22"/>
              </w:rPr>
              <w:t>являются</w:t>
            </w:r>
            <w:r w:rsidRPr="006F6DAC">
              <w:rPr>
                <w:rFonts w:ascii="Garamond" w:hAnsi="Garamond"/>
                <w:sz w:val="22"/>
                <w:szCs w:val="22"/>
                <w:lang w:val="en-US"/>
              </w:rPr>
              <w:t xml:space="preserve">: </w:t>
            </w:r>
            <w:r w:rsidRPr="006F6DAC">
              <w:rPr>
                <w:rFonts w:ascii="Garamond" w:eastAsia="Calibri" w:hAnsi="Garamond"/>
                <w:sz w:val="22"/>
                <w:szCs w:val="22"/>
                <w:lang w:val="en-US"/>
              </w:rPr>
              <w:t xml:space="preserve">&lt;measuring-device-modification&gt;. </w:t>
            </w:r>
          </w:p>
        </w:tc>
        <w:tc>
          <w:tcPr>
            <w:tcW w:w="7115" w:type="dxa"/>
          </w:tcPr>
          <w:p w14:paraId="069686DD" w14:textId="77777777" w:rsidR="00F11A8B" w:rsidRPr="006F6DAC" w:rsidRDefault="00F11A8B" w:rsidP="00F11A8B">
            <w:pPr>
              <w:pStyle w:val="3"/>
              <w:keepLines/>
              <w:numPr>
                <w:ilvl w:val="0"/>
                <w:numId w:val="0"/>
              </w:numPr>
              <w:suppressAutoHyphens w:val="0"/>
              <w:spacing w:line="259" w:lineRule="auto"/>
              <w:ind w:right="67"/>
              <w:jc w:val="both"/>
              <w:rPr>
                <w:rFonts w:ascii="Garamond" w:hAnsi="Garamond"/>
                <w:b w:val="0"/>
                <w:color w:val="auto"/>
                <w:sz w:val="22"/>
                <w:szCs w:val="22"/>
                <w:lang w:val="en-US"/>
              </w:rPr>
            </w:pPr>
            <w:r w:rsidRPr="006F6DAC">
              <w:rPr>
                <w:rFonts w:ascii="Garamond" w:hAnsi="Garamond"/>
                <w:b w:val="0"/>
                <w:color w:val="auto"/>
                <w:sz w:val="22"/>
                <w:szCs w:val="22"/>
                <w:lang w:val="en-US"/>
              </w:rPr>
              <w:t>&lt;measuring-device-modifications&gt;</w:t>
            </w:r>
          </w:p>
          <w:p w14:paraId="57C09125" w14:textId="77777777" w:rsidR="00F11A8B" w:rsidRPr="006F6DAC" w:rsidRDefault="00F11A8B" w:rsidP="00F11A8B">
            <w:pPr>
              <w:ind w:right="67"/>
              <w:jc w:val="both"/>
              <w:rPr>
                <w:rFonts w:ascii="Garamond" w:hAnsi="Garamond"/>
                <w:sz w:val="22"/>
                <w:szCs w:val="22"/>
              </w:rPr>
            </w:pPr>
            <w:r w:rsidRPr="006F6DAC">
              <w:rPr>
                <w:rFonts w:ascii="Garamond" w:hAnsi="Garamond"/>
                <w:sz w:val="22"/>
                <w:szCs w:val="22"/>
              </w:rPr>
              <w:t>Обязательный</w:t>
            </w:r>
            <w:r w:rsidRPr="006F6DAC">
              <w:rPr>
                <w:rFonts w:ascii="Garamond" w:hAnsi="Garamond"/>
                <w:sz w:val="22"/>
                <w:szCs w:val="22"/>
                <w:lang w:val="en-US"/>
              </w:rPr>
              <w:t xml:space="preserve"> </w:t>
            </w:r>
            <w:r w:rsidRPr="006F6DAC">
              <w:rPr>
                <w:rFonts w:ascii="Garamond" w:hAnsi="Garamond"/>
                <w:sz w:val="22"/>
                <w:szCs w:val="22"/>
              </w:rPr>
              <w:t>элемент</w:t>
            </w:r>
            <w:r w:rsidRPr="006F6DAC">
              <w:rPr>
                <w:rFonts w:ascii="Garamond" w:hAnsi="Garamond"/>
                <w:sz w:val="22"/>
                <w:szCs w:val="22"/>
                <w:lang w:val="en-US"/>
              </w:rPr>
              <w:t xml:space="preserve"> </w:t>
            </w:r>
            <w:r w:rsidRPr="006F6DAC">
              <w:rPr>
                <w:rFonts w:ascii="Garamond" w:eastAsia="Calibri" w:hAnsi="Garamond"/>
                <w:sz w:val="22"/>
                <w:szCs w:val="22"/>
                <w:lang w:val="en-US"/>
              </w:rPr>
              <w:t xml:space="preserve">&lt;measuring-device-modifications&gt; </w:t>
            </w:r>
            <w:r w:rsidRPr="006F6DAC">
              <w:rPr>
                <w:rFonts w:ascii="Garamond" w:eastAsia="Calibri" w:hAnsi="Garamond"/>
                <w:sz w:val="22"/>
                <w:szCs w:val="22"/>
              </w:rPr>
              <w:t>является</w:t>
            </w:r>
            <w:r w:rsidRPr="006F6DAC">
              <w:rPr>
                <w:rFonts w:ascii="Garamond" w:eastAsia="Calibri" w:hAnsi="Garamond"/>
                <w:sz w:val="22"/>
                <w:szCs w:val="22"/>
                <w:lang w:val="en-US"/>
              </w:rPr>
              <w:t xml:space="preserve"> </w:t>
            </w:r>
            <w:r w:rsidRPr="006F6DAC">
              <w:rPr>
                <w:rFonts w:ascii="Garamond" w:eastAsia="Calibri" w:hAnsi="Garamond"/>
                <w:sz w:val="22"/>
                <w:szCs w:val="22"/>
              </w:rPr>
              <w:t>потомком</w:t>
            </w:r>
            <w:r w:rsidRPr="006F6DAC">
              <w:rPr>
                <w:rFonts w:ascii="Garamond" w:eastAsia="Calibri" w:hAnsi="Garamond"/>
                <w:sz w:val="22"/>
                <w:szCs w:val="22"/>
                <w:lang w:val="en-US"/>
              </w:rPr>
              <w:t xml:space="preserve"> </w:t>
            </w:r>
            <w:r w:rsidRPr="006F6DAC">
              <w:rPr>
                <w:rFonts w:ascii="Garamond" w:eastAsia="Calibri" w:hAnsi="Garamond"/>
                <w:sz w:val="22"/>
                <w:szCs w:val="22"/>
              </w:rPr>
              <w:t>элемента</w:t>
            </w:r>
            <w:r w:rsidRPr="006F6DAC">
              <w:rPr>
                <w:rFonts w:ascii="Garamond" w:eastAsia="Calibri" w:hAnsi="Garamond"/>
                <w:sz w:val="22"/>
                <w:szCs w:val="22"/>
                <w:lang w:val="en-US"/>
              </w:rPr>
              <w:t xml:space="preserve"> </w:t>
            </w:r>
            <w:r w:rsidRPr="006F6DAC">
              <w:rPr>
                <w:rFonts w:ascii="Garamond" w:hAnsi="Garamond"/>
                <w:sz w:val="22"/>
                <w:szCs w:val="22"/>
                <w:lang w:val="en-US"/>
              </w:rPr>
              <w:t xml:space="preserve">&lt;dictionaries&gt;. </w:t>
            </w:r>
            <w:r w:rsidRPr="006F6DAC">
              <w:rPr>
                <w:rFonts w:ascii="Garamond" w:hAnsi="Garamond"/>
                <w:sz w:val="22"/>
                <w:szCs w:val="22"/>
              </w:rPr>
              <w:t xml:space="preserve">Он содержит информацию о модификациях моделей </w:t>
            </w:r>
            <w:r w:rsidRPr="006F6DAC">
              <w:rPr>
                <w:rFonts w:ascii="Garamond" w:hAnsi="Garamond"/>
                <w:sz w:val="22"/>
                <w:szCs w:val="22"/>
                <w:highlight w:val="yellow"/>
              </w:rPr>
              <w:t>приборов учета</w:t>
            </w:r>
            <w:r w:rsidRPr="006F6DAC">
              <w:rPr>
                <w:rFonts w:ascii="Garamond" w:hAnsi="Garamond"/>
                <w:sz w:val="22"/>
                <w:szCs w:val="22"/>
              </w:rPr>
              <w:t xml:space="preserve">, представленных в документе. </w:t>
            </w:r>
          </w:p>
          <w:p w14:paraId="118D0F83" w14:textId="77777777" w:rsidR="00F11A8B" w:rsidRPr="006F6DAC" w:rsidRDefault="00F11A8B" w:rsidP="00F11A8B">
            <w:pPr>
              <w:ind w:right="67"/>
              <w:jc w:val="both"/>
              <w:rPr>
                <w:rFonts w:ascii="Garamond" w:eastAsia="Calibri" w:hAnsi="Garamond"/>
                <w:sz w:val="22"/>
                <w:szCs w:val="22"/>
                <w:lang w:val="en-US"/>
              </w:rPr>
            </w:pPr>
            <w:r w:rsidRPr="006F6DAC">
              <w:rPr>
                <w:rFonts w:ascii="Garamond" w:hAnsi="Garamond"/>
                <w:sz w:val="22"/>
                <w:szCs w:val="22"/>
              </w:rPr>
              <w:t>Дочерними</w:t>
            </w:r>
            <w:r w:rsidRPr="006F6DAC">
              <w:rPr>
                <w:rFonts w:ascii="Garamond" w:hAnsi="Garamond"/>
                <w:sz w:val="22"/>
                <w:szCs w:val="22"/>
                <w:lang w:val="en-US"/>
              </w:rPr>
              <w:t xml:space="preserve"> </w:t>
            </w:r>
            <w:r w:rsidRPr="006F6DAC">
              <w:rPr>
                <w:rFonts w:ascii="Garamond" w:hAnsi="Garamond"/>
                <w:sz w:val="22"/>
                <w:szCs w:val="22"/>
              </w:rPr>
              <w:t>элементами</w:t>
            </w:r>
            <w:r w:rsidRPr="006F6DAC">
              <w:rPr>
                <w:rFonts w:ascii="Garamond" w:hAnsi="Garamond"/>
                <w:sz w:val="22"/>
                <w:szCs w:val="22"/>
                <w:lang w:val="en-US"/>
              </w:rPr>
              <w:t xml:space="preserve"> </w:t>
            </w:r>
            <w:r w:rsidRPr="006F6DAC">
              <w:rPr>
                <w:rFonts w:ascii="Garamond" w:hAnsi="Garamond"/>
                <w:sz w:val="22"/>
                <w:szCs w:val="22"/>
              </w:rPr>
              <w:t>являются</w:t>
            </w:r>
            <w:r w:rsidRPr="006F6DAC">
              <w:rPr>
                <w:rFonts w:ascii="Garamond" w:hAnsi="Garamond"/>
                <w:sz w:val="22"/>
                <w:szCs w:val="22"/>
                <w:lang w:val="en-US"/>
              </w:rPr>
              <w:t xml:space="preserve">: </w:t>
            </w:r>
            <w:r w:rsidRPr="006F6DAC">
              <w:rPr>
                <w:rFonts w:ascii="Garamond" w:eastAsia="Calibri" w:hAnsi="Garamond"/>
                <w:sz w:val="22"/>
                <w:szCs w:val="22"/>
                <w:lang w:val="en-US"/>
              </w:rPr>
              <w:t xml:space="preserve">&lt;measuring-device-modification&gt;. </w:t>
            </w:r>
          </w:p>
        </w:tc>
      </w:tr>
      <w:tr w:rsidR="00F11A8B" w:rsidRPr="006F6DAC" w14:paraId="4CC12E56" w14:textId="77777777" w:rsidTr="006F6DAC">
        <w:tc>
          <w:tcPr>
            <w:tcW w:w="1060" w:type="dxa"/>
          </w:tcPr>
          <w:p w14:paraId="5FA1C173" w14:textId="2A6E0CB6" w:rsidR="00F11A8B" w:rsidRPr="006F6DAC" w:rsidRDefault="00F11A8B" w:rsidP="00F11A8B">
            <w:pPr>
              <w:widowControl w:val="0"/>
              <w:spacing w:line="259" w:lineRule="auto"/>
              <w:jc w:val="center"/>
              <w:rPr>
                <w:rFonts w:ascii="Garamond" w:hAnsi="Garamond"/>
                <w:b/>
                <w:sz w:val="22"/>
                <w:szCs w:val="22"/>
                <w:lang w:eastAsia="en-US"/>
              </w:rPr>
            </w:pPr>
            <w:r w:rsidRPr="006F6DAC">
              <w:rPr>
                <w:rFonts w:ascii="Garamond" w:hAnsi="Garamond"/>
                <w:b/>
                <w:sz w:val="22"/>
                <w:szCs w:val="22"/>
                <w:lang w:eastAsia="en-US"/>
              </w:rPr>
              <w:t>Приложение 8, п.</w:t>
            </w:r>
            <w:r w:rsidR="006F6DAC">
              <w:rPr>
                <w:rFonts w:ascii="Garamond" w:hAnsi="Garamond"/>
                <w:b/>
                <w:sz w:val="22"/>
                <w:szCs w:val="22"/>
                <w:lang w:eastAsia="en-US"/>
              </w:rPr>
              <w:t xml:space="preserve"> </w:t>
            </w:r>
            <w:r w:rsidRPr="006F6DAC">
              <w:rPr>
                <w:rFonts w:ascii="Garamond" w:hAnsi="Garamond"/>
                <w:b/>
                <w:sz w:val="22"/>
                <w:szCs w:val="22"/>
                <w:lang w:eastAsia="en-US"/>
              </w:rPr>
              <w:t>2.2.5</w:t>
            </w:r>
          </w:p>
        </w:tc>
        <w:tc>
          <w:tcPr>
            <w:tcW w:w="6804" w:type="dxa"/>
          </w:tcPr>
          <w:p w14:paraId="5B873F81" w14:textId="77777777" w:rsidR="00F11A8B" w:rsidRPr="006F6DAC" w:rsidRDefault="00F11A8B" w:rsidP="00F11A8B">
            <w:pPr>
              <w:pStyle w:val="3"/>
              <w:keepLines/>
              <w:numPr>
                <w:ilvl w:val="0"/>
                <w:numId w:val="0"/>
              </w:numPr>
              <w:suppressAutoHyphens w:val="0"/>
              <w:spacing w:line="259" w:lineRule="auto"/>
              <w:ind w:right="29"/>
              <w:jc w:val="both"/>
              <w:rPr>
                <w:rFonts w:ascii="Garamond" w:hAnsi="Garamond"/>
                <w:b w:val="0"/>
                <w:color w:val="auto"/>
                <w:sz w:val="22"/>
                <w:szCs w:val="22"/>
              </w:rPr>
            </w:pPr>
            <w:r w:rsidRPr="006F6DAC">
              <w:rPr>
                <w:rFonts w:ascii="Garamond" w:hAnsi="Garamond"/>
                <w:b w:val="0"/>
                <w:color w:val="auto"/>
                <w:sz w:val="22"/>
                <w:szCs w:val="22"/>
              </w:rPr>
              <w:t>&lt;</w:t>
            </w:r>
            <w:r w:rsidRPr="006F6DAC">
              <w:rPr>
                <w:rFonts w:ascii="Garamond" w:hAnsi="Garamond"/>
                <w:b w:val="0"/>
                <w:color w:val="auto"/>
                <w:sz w:val="22"/>
                <w:szCs w:val="22"/>
                <w:lang w:val="en-US"/>
              </w:rPr>
              <w:t>measuring</w:t>
            </w:r>
            <w:r w:rsidRPr="006F6DAC">
              <w:rPr>
                <w:rFonts w:ascii="Garamond" w:hAnsi="Garamond"/>
                <w:b w:val="0"/>
                <w:color w:val="auto"/>
                <w:sz w:val="22"/>
                <w:szCs w:val="22"/>
              </w:rPr>
              <w:t>-</w:t>
            </w:r>
            <w:r w:rsidRPr="006F6DAC">
              <w:rPr>
                <w:rFonts w:ascii="Garamond" w:hAnsi="Garamond"/>
                <w:b w:val="0"/>
                <w:color w:val="auto"/>
                <w:sz w:val="22"/>
                <w:szCs w:val="22"/>
                <w:lang w:val="en-US"/>
              </w:rPr>
              <w:t>points</w:t>
            </w:r>
            <w:r w:rsidRPr="006F6DAC">
              <w:rPr>
                <w:rFonts w:ascii="Garamond" w:hAnsi="Garamond"/>
                <w:b w:val="0"/>
                <w:color w:val="auto"/>
                <w:sz w:val="22"/>
                <w:szCs w:val="22"/>
              </w:rPr>
              <w:t>&gt;</w:t>
            </w:r>
          </w:p>
          <w:p w14:paraId="6E9C12D3" w14:textId="77777777" w:rsidR="00F11A8B" w:rsidRPr="006F6DAC" w:rsidRDefault="00F11A8B" w:rsidP="00F11A8B">
            <w:pPr>
              <w:widowControl w:val="0"/>
              <w:autoSpaceDE w:val="0"/>
              <w:autoSpaceDN w:val="0"/>
              <w:adjustRightInd w:val="0"/>
              <w:ind w:right="29"/>
              <w:jc w:val="both"/>
              <w:rPr>
                <w:rFonts w:ascii="Garamond" w:hAnsi="Garamond"/>
                <w:sz w:val="22"/>
                <w:szCs w:val="22"/>
              </w:rPr>
            </w:pPr>
            <w:r w:rsidRPr="006F6DAC">
              <w:rPr>
                <w:rFonts w:ascii="Garamond" w:hAnsi="Garamond"/>
                <w:sz w:val="22"/>
                <w:szCs w:val="22"/>
              </w:rPr>
              <w:t>Элемент &lt;</w:t>
            </w:r>
            <w:r w:rsidRPr="006F6DAC">
              <w:rPr>
                <w:rFonts w:ascii="Garamond" w:hAnsi="Garamond"/>
                <w:sz w:val="22"/>
                <w:szCs w:val="22"/>
                <w:lang w:val="en-US"/>
              </w:rPr>
              <w:t>measuring</w:t>
            </w:r>
            <w:r w:rsidRPr="006F6DAC">
              <w:rPr>
                <w:rFonts w:ascii="Garamond" w:hAnsi="Garamond"/>
                <w:sz w:val="22"/>
                <w:szCs w:val="22"/>
              </w:rPr>
              <w:t>-</w:t>
            </w:r>
            <w:r w:rsidRPr="006F6DAC">
              <w:rPr>
                <w:rFonts w:ascii="Garamond" w:hAnsi="Garamond"/>
                <w:sz w:val="22"/>
                <w:szCs w:val="22"/>
                <w:lang w:val="en-US"/>
              </w:rPr>
              <w:t>points</w:t>
            </w:r>
            <w:r w:rsidRPr="006F6DAC">
              <w:rPr>
                <w:rFonts w:ascii="Garamond" w:hAnsi="Garamond"/>
                <w:sz w:val="22"/>
                <w:szCs w:val="22"/>
              </w:rPr>
              <w:t>&gt; содержит справочник точек измерени</w:t>
            </w:r>
            <w:r w:rsidRPr="006F6DAC">
              <w:rPr>
                <w:rFonts w:ascii="Garamond" w:hAnsi="Garamond"/>
                <w:sz w:val="22"/>
                <w:szCs w:val="22"/>
                <w:highlight w:val="yellow"/>
              </w:rPr>
              <w:t>я</w:t>
            </w:r>
            <w:r w:rsidRPr="006F6DAC">
              <w:rPr>
                <w:rFonts w:ascii="Garamond" w:hAnsi="Garamond"/>
                <w:sz w:val="22"/>
                <w:szCs w:val="22"/>
              </w:rPr>
              <w:t>, каналы которых включены в группы поставки информации.</w:t>
            </w:r>
          </w:p>
          <w:p w14:paraId="748B161F" w14:textId="77777777" w:rsidR="00F11A8B" w:rsidRPr="006F6DAC" w:rsidRDefault="00F11A8B" w:rsidP="00F11A8B">
            <w:pPr>
              <w:pStyle w:val="3"/>
              <w:keepLines/>
              <w:numPr>
                <w:ilvl w:val="0"/>
                <w:numId w:val="0"/>
              </w:numPr>
              <w:suppressAutoHyphens w:val="0"/>
              <w:spacing w:line="259" w:lineRule="auto"/>
              <w:ind w:right="29"/>
              <w:jc w:val="both"/>
              <w:rPr>
                <w:rFonts w:ascii="Garamond" w:hAnsi="Garamond"/>
                <w:b w:val="0"/>
                <w:color w:val="auto"/>
                <w:sz w:val="22"/>
                <w:szCs w:val="22"/>
              </w:rPr>
            </w:pPr>
            <w:r w:rsidRPr="006F6DAC">
              <w:rPr>
                <w:rFonts w:ascii="Garamond" w:hAnsi="Garamond"/>
                <w:b w:val="0"/>
                <w:color w:val="auto"/>
                <w:sz w:val="22"/>
                <w:szCs w:val="22"/>
              </w:rPr>
              <w:t>Дочерними элементами являются: &lt;</w:t>
            </w:r>
            <w:r w:rsidRPr="006F6DAC">
              <w:rPr>
                <w:rFonts w:ascii="Garamond" w:eastAsia="Calibri" w:hAnsi="Garamond"/>
                <w:b w:val="0"/>
                <w:color w:val="auto"/>
                <w:sz w:val="22"/>
                <w:szCs w:val="22"/>
                <w:lang w:val="en-US"/>
              </w:rPr>
              <w:t>measuring</w:t>
            </w:r>
            <w:r w:rsidRPr="006F6DAC">
              <w:rPr>
                <w:rFonts w:ascii="Garamond" w:eastAsia="Calibri" w:hAnsi="Garamond"/>
                <w:b w:val="0"/>
                <w:color w:val="auto"/>
                <w:sz w:val="22"/>
                <w:szCs w:val="22"/>
              </w:rPr>
              <w:t>-</w:t>
            </w:r>
            <w:r w:rsidRPr="006F6DAC">
              <w:rPr>
                <w:rFonts w:ascii="Garamond" w:eastAsia="Calibri" w:hAnsi="Garamond"/>
                <w:b w:val="0"/>
                <w:color w:val="auto"/>
                <w:sz w:val="22"/>
                <w:szCs w:val="22"/>
                <w:lang w:val="en-US"/>
              </w:rPr>
              <w:t>point</w:t>
            </w:r>
            <w:r w:rsidRPr="006F6DAC">
              <w:rPr>
                <w:rFonts w:ascii="Garamond" w:hAnsi="Garamond"/>
                <w:b w:val="0"/>
                <w:color w:val="auto"/>
                <w:sz w:val="22"/>
                <w:szCs w:val="22"/>
              </w:rPr>
              <w:t>&gt;.</w:t>
            </w:r>
          </w:p>
        </w:tc>
        <w:tc>
          <w:tcPr>
            <w:tcW w:w="7115" w:type="dxa"/>
          </w:tcPr>
          <w:p w14:paraId="16DC8BA4" w14:textId="77777777" w:rsidR="00F11A8B" w:rsidRPr="006F6DAC" w:rsidRDefault="00F11A8B" w:rsidP="00F11A8B">
            <w:pPr>
              <w:pStyle w:val="3"/>
              <w:keepLines/>
              <w:numPr>
                <w:ilvl w:val="0"/>
                <w:numId w:val="0"/>
              </w:numPr>
              <w:suppressAutoHyphens w:val="0"/>
              <w:spacing w:line="259" w:lineRule="auto"/>
              <w:jc w:val="both"/>
              <w:rPr>
                <w:rFonts w:ascii="Garamond" w:hAnsi="Garamond"/>
                <w:b w:val="0"/>
                <w:color w:val="auto"/>
                <w:sz w:val="22"/>
                <w:szCs w:val="22"/>
              </w:rPr>
            </w:pPr>
            <w:r w:rsidRPr="006F6DAC">
              <w:rPr>
                <w:rFonts w:ascii="Garamond" w:hAnsi="Garamond"/>
                <w:b w:val="0"/>
                <w:color w:val="auto"/>
                <w:sz w:val="22"/>
                <w:szCs w:val="22"/>
              </w:rPr>
              <w:t>&lt;</w:t>
            </w:r>
            <w:r w:rsidRPr="006F6DAC">
              <w:rPr>
                <w:rFonts w:ascii="Garamond" w:hAnsi="Garamond"/>
                <w:b w:val="0"/>
                <w:color w:val="auto"/>
                <w:sz w:val="22"/>
                <w:szCs w:val="22"/>
                <w:lang w:val="en-US"/>
              </w:rPr>
              <w:t>measuring</w:t>
            </w:r>
            <w:r w:rsidRPr="006F6DAC">
              <w:rPr>
                <w:rFonts w:ascii="Garamond" w:hAnsi="Garamond"/>
                <w:b w:val="0"/>
                <w:color w:val="auto"/>
                <w:sz w:val="22"/>
                <w:szCs w:val="22"/>
              </w:rPr>
              <w:t>-</w:t>
            </w:r>
            <w:r w:rsidRPr="006F6DAC">
              <w:rPr>
                <w:rFonts w:ascii="Garamond" w:hAnsi="Garamond"/>
                <w:b w:val="0"/>
                <w:color w:val="auto"/>
                <w:sz w:val="22"/>
                <w:szCs w:val="22"/>
                <w:lang w:val="en-US"/>
              </w:rPr>
              <w:t>points</w:t>
            </w:r>
            <w:r w:rsidRPr="006F6DAC">
              <w:rPr>
                <w:rFonts w:ascii="Garamond" w:hAnsi="Garamond"/>
                <w:b w:val="0"/>
                <w:color w:val="auto"/>
                <w:sz w:val="22"/>
                <w:szCs w:val="22"/>
              </w:rPr>
              <w:t>&gt;</w:t>
            </w:r>
          </w:p>
          <w:p w14:paraId="25E5C71B" w14:textId="77777777" w:rsidR="00F11A8B" w:rsidRPr="006F6DAC" w:rsidRDefault="00F11A8B" w:rsidP="00F11A8B">
            <w:pPr>
              <w:widowControl w:val="0"/>
              <w:autoSpaceDE w:val="0"/>
              <w:autoSpaceDN w:val="0"/>
              <w:adjustRightInd w:val="0"/>
              <w:jc w:val="both"/>
              <w:rPr>
                <w:rFonts w:ascii="Garamond" w:hAnsi="Garamond"/>
                <w:sz w:val="22"/>
                <w:szCs w:val="22"/>
              </w:rPr>
            </w:pPr>
            <w:r w:rsidRPr="006F6DAC">
              <w:rPr>
                <w:rFonts w:ascii="Garamond" w:hAnsi="Garamond"/>
                <w:sz w:val="22"/>
                <w:szCs w:val="22"/>
              </w:rPr>
              <w:t>Элемент &lt;</w:t>
            </w:r>
            <w:r w:rsidRPr="006F6DAC">
              <w:rPr>
                <w:rFonts w:ascii="Garamond" w:hAnsi="Garamond"/>
                <w:sz w:val="22"/>
                <w:szCs w:val="22"/>
                <w:lang w:val="en-US"/>
              </w:rPr>
              <w:t>measuring</w:t>
            </w:r>
            <w:r w:rsidRPr="006F6DAC">
              <w:rPr>
                <w:rFonts w:ascii="Garamond" w:hAnsi="Garamond"/>
                <w:sz w:val="22"/>
                <w:szCs w:val="22"/>
              </w:rPr>
              <w:t>-</w:t>
            </w:r>
            <w:r w:rsidRPr="006F6DAC">
              <w:rPr>
                <w:rFonts w:ascii="Garamond" w:hAnsi="Garamond"/>
                <w:sz w:val="22"/>
                <w:szCs w:val="22"/>
                <w:lang w:val="en-US"/>
              </w:rPr>
              <w:t>points</w:t>
            </w:r>
            <w:r w:rsidRPr="006F6DAC">
              <w:rPr>
                <w:rFonts w:ascii="Garamond" w:hAnsi="Garamond"/>
                <w:sz w:val="22"/>
                <w:szCs w:val="22"/>
              </w:rPr>
              <w:t>&gt; содержит справочник точек измерени</w:t>
            </w:r>
            <w:r w:rsidRPr="006F6DAC">
              <w:rPr>
                <w:rFonts w:ascii="Garamond" w:hAnsi="Garamond"/>
                <w:sz w:val="22"/>
                <w:szCs w:val="22"/>
                <w:highlight w:val="yellow"/>
              </w:rPr>
              <w:t>й</w:t>
            </w:r>
            <w:r w:rsidRPr="006F6DAC">
              <w:rPr>
                <w:rFonts w:ascii="Garamond" w:hAnsi="Garamond"/>
                <w:sz w:val="22"/>
                <w:szCs w:val="22"/>
              </w:rPr>
              <w:t>, каналы которых включены в группы поставки информации.</w:t>
            </w:r>
          </w:p>
          <w:p w14:paraId="7B1416F2" w14:textId="77777777" w:rsidR="00F11A8B" w:rsidRPr="006F6DAC" w:rsidRDefault="00F11A8B" w:rsidP="00F11A8B">
            <w:pPr>
              <w:pStyle w:val="3"/>
              <w:keepLines/>
              <w:numPr>
                <w:ilvl w:val="0"/>
                <w:numId w:val="0"/>
              </w:numPr>
              <w:suppressAutoHyphens w:val="0"/>
              <w:spacing w:line="259" w:lineRule="auto"/>
              <w:jc w:val="both"/>
              <w:rPr>
                <w:rFonts w:ascii="Garamond" w:hAnsi="Garamond"/>
                <w:b w:val="0"/>
                <w:color w:val="auto"/>
                <w:sz w:val="22"/>
                <w:szCs w:val="22"/>
              </w:rPr>
            </w:pPr>
            <w:r w:rsidRPr="006F6DAC">
              <w:rPr>
                <w:rFonts w:ascii="Garamond" w:hAnsi="Garamond"/>
                <w:b w:val="0"/>
                <w:color w:val="auto"/>
                <w:sz w:val="22"/>
                <w:szCs w:val="22"/>
              </w:rPr>
              <w:t>Дочерними элементами являются: &lt;</w:t>
            </w:r>
            <w:r w:rsidRPr="006F6DAC">
              <w:rPr>
                <w:rFonts w:ascii="Garamond" w:eastAsia="Calibri" w:hAnsi="Garamond"/>
                <w:b w:val="0"/>
                <w:color w:val="auto"/>
                <w:sz w:val="22"/>
                <w:szCs w:val="22"/>
                <w:lang w:val="en-US"/>
              </w:rPr>
              <w:t>measuring</w:t>
            </w:r>
            <w:r w:rsidRPr="006F6DAC">
              <w:rPr>
                <w:rFonts w:ascii="Garamond" w:eastAsia="Calibri" w:hAnsi="Garamond"/>
                <w:b w:val="0"/>
                <w:color w:val="auto"/>
                <w:sz w:val="22"/>
                <w:szCs w:val="22"/>
              </w:rPr>
              <w:t>-</w:t>
            </w:r>
            <w:r w:rsidRPr="006F6DAC">
              <w:rPr>
                <w:rFonts w:ascii="Garamond" w:eastAsia="Calibri" w:hAnsi="Garamond"/>
                <w:b w:val="0"/>
                <w:color w:val="auto"/>
                <w:sz w:val="22"/>
                <w:szCs w:val="22"/>
                <w:lang w:val="en-US"/>
              </w:rPr>
              <w:t>point</w:t>
            </w:r>
            <w:r w:rsidRPr="006F6DAC">
              <w:rPr>
                <w:rFonts w:ascii="Garamond" w:hAnsi="Garamond"/>
                <w:b w:val="0"/>
                <w:color w:val="auto"/>
                <w:sz w:val="22"/>
                <w:szCs w:val="22"/>
              </w:rPr>
              <w:t>&gt;.</w:t>
            </w:r>
          </w:p>
        </w:tc>
      </w:tr>
      <w:tr w:rsidR="00F11A8B" w:rsidRPr="006F6DAC" w14:paraId="4A23100E" w14:textId="77777777" w:rsidTr="006F6DAC">
        <w:tc>
          <w:tcPr>
            <w:tcW w:w="1060" w:type="dxa"/>
          </w:tcPr>
          <w:p w14:paraId="2A1B6CCA" w14:textId="70BEEFA2" w:rsidR="00F11A8B" w:rsidRPr="006F6DAC" w:rsidRDefault="00F11A8B" w:rsidP="00F11A8B">
            <w:pPr>
              <w:widowControl w:val="0"/>
              <w:spacing w:line="259" w:lineRule="auto"/>
              <w:jc w:val="center"/>
              <w:rPr>
                <w:rFonts w:ascii="Garamond" w:hAnsi="Garamond"/>
                <w:b/>
                <w:sz w:val="22"/>
                <w:szCs w:val="22"/>
                <w:lang w:eastAsia="en-US"/>
              </w:rPr>
            </w:pPr>
            <w:r w:rsidRPr="006F6DAC">
              <w:rPr>
                <w:rFonts w:ascii="Garamond" w:hAnsi="Garamond"/>
                <w:b/>
                <w:sz w:val="22"/>
                <w:szCs w:val="22"/>
                <w:lang w:eastAsia="en-US"/>
              </w:rPr>
              <w:t>Приложение 8, п.</w:t>
            </w:r>
            <w:r w:rsidR="006F6DAC">
              <w:rPr>
                <w:rFonts w:ascii="Garamond" w:hAnsi="Garamond"/>
                <w:b/>
                <w:sz w:val="22"/>
                <w:szCs w:val="22"/>
                <w:lang w:eastAsia="en-US"/>
              </w:rPr>
              <w:t xml:space="preserve"> </w:t>
            </w:r>
            <w:r w:rsidRPr="006F6DAC">
              <w:rPr>
                <w:rFonts w:ascii="Garamond" w:hAnsi="Garamond"/>
                <w:b/>
                <w:sz w:val="22"/>
                <w:szCs w:val="22"/>
                <w:lang w:eastAsia="en-US"/>
              </w:rPr>
              <w:t>2.2.5.1</w:t>
            </w:r>
          </w:p>
        </w:tc>
        <w:tc>
          <w:tcPr>
            <w:tcW w:w="6804" w:type="dxa"/>
          </w:tcPr>
          <w:p w14:paraId="79294929" w14:textId="77777777" w:rsidR="00F11A8B" w:rsidRPr="006F6DAC" w:rsidRDefault="00F11A8B" w:rsidP="00F11A8B">
            <w:pPr>
              <w:pStyle w:val="40"/>
              <w:keepLines/>
              <w:numPr>
                <w:ilvl w:val="0"/>
                <w:numId w:val="0"/>
              </w:numPr>
              <w:suppressAutoHyphens w:val="0"/>
              <w:spacing w:line="259" w:lineRule="auto"/>
              <w:ind w:right="29"/>
              <w:jc w:val="both"/>
              <w:rPr>
                <w:rFonts w:ascii="Garamond" w:hAnsi="Garamond"/>
                <w:b w:val="0"/>
                <w:i/>
                <w:sz w:val="22"/>
                <w:szCs w:val="22"/>
              </w:rPr>
            </w:pPr>
            <w:r w:rsidRPr="006F6DAC">
              <w:rPr>
                <w:rFonts w:ascii="Garamond" w:hAnsi="Garamond"/>
                <w:b w:val="0"/>
                <w:i/>
                <w:sz w:val="22"/>
                <w:szCs w:val="22"/>
              </w:rPr>
              <w:t>&lt;</w:t>
            </w:r>
            <w:r w:rsidRPr="006F6DAC">
              <w:rPr>
                <w:rFonts w:ascii="Garamond" w:hAnsi="Garamond"/>
                <w:b w:val="0"/>
                <w:i/>
                <w:sz w:val="22"/>
                <w:szCs w:val="22"/>
                <w:lang w:val="en-US"/>
              </w:rPr>
              <w:t>measuring</w:t>
            </w:r>
            <w:r w:rsidRPr="006F6DAC">
              <w:rPr>
                <w:rFonts w:ascii="Garamond" w:hAnsi="Garamond"/>
                <w:b w:val="0"/>
                <w:i/>
                <w:sz w:val="22"/>
                <w:szCs w:val="22"/>
              </w:rPr>
              <w:t>-</w:t>
            </w:r>
            <w:r w:rsidRPr="006F6DAC">
              <w:rPr>
                <w:rFonts w:ascii="Garamond" w:hAnsi="Garamond"/>
                <w:b w:val="0"/>
                <w:i/>
                <w:sz w:val="22"/>
                <w:szCs w:val="22"/>
                <w:lang w:val="en-US"/>
              </w:rPr>
              <w:t>point</w:t>
            </w:r>
            <w:r w:rsidRPr="006F6DAC">
              <w:rPr>
                <w:rFonts w:ascii="Garamond" w:hAnsi="Garamond"/>
                <w:b w:val="0"/>
                <w:i/>
                <w:sz w:val="22"/>
                <w:szCs w:val="22"/>
              </w:rPr>
              <w:t>&gt;</w:t>
            </w:r>
          </w:p>
          <w:p w14:paraId="3FE8AA8C" w14:textId="77777777" w:rsidR="00F11A8B" w:rsidRPr="006F6DAC" w:rsidRDefault="00F11A8B" w:rsidP="00F11A8B">
            <w:pPr>
              <w:ind w:right="29"/>
              <w:jc w:val="both"/>
              <w:rPr>
                <w:rFonts w:ascii="Garamond" w:hAnsi="Garamond"/>
                <w:sz w:val="22"/>
                <w:szCs w:val="22"/>
              </w:rPr>
            </w:pPr>
            <w:r w:rsidRPr="006F6DAC">
              <w:rPr>
                <w:rFonts w:ascii="Garamond" w:hAnsi="Garamond"/>
                <w:sz w:val="22"/>
                <w:szCs w:val="22"/>
              </w:rPr>
              <w:t>Элемент &lt;</w:t>
            </w:r>
            <w:r w:rsidRPr="006F6DAC">
              <w:rPr>
                <w:rFonts w:ascii="Garamond" w:eastAsia="Calibri" w:hAnsi="Garamond"/>
                <w:sz w:val="22"/>
                <w:szCs w:val="22"/>
                <w:lang w:val="en-US"/>
              </w:rPr>
              <w:t>measuring</w:t>
            </w:r>
            <w:r w:rsidRPr="006F6DAC">
              <w:rPr>
                <w:rFonts w:ascii="Garamond" w:eastAsia="Calibri" w:hAnsi="Garamond"/>
                <w:sz w:val="22"/>
                <w:szCs w:val="22"/>
              </w:rPr>
              <w:t>-</w:t>
            </w:r>
            <w:r w:rsidRPr="006F6DAC">
              <w:rPr>
                <w:rFonts w:ascii="Garamond" w:eastAsia="Calibri" w:hAnsi="Garamond"/>
                <w:sz w:val="22"/>
                <w:szCs w:val="22"/>
                <w:lang w:val="en-US"/>
              </w:rPr>
              <w:t>point</w:t>
            </w:r>
            <w:r w:rsidRPr="006F6DAC">
              <w:rPr>
                <w:rFonts w:ascii="Garamond" w:hAnsi="Garamond"/>
                <w:sz w:val="22"/>
                <w:szCs w:val="22"/>
              </w:rPr>
              <w:t>&gt; содержит информацию о точке измерения.</w:t>
            </w:r>
          </w:p>
          <w:p w14:paraId="5BE3920D" w14:textId="77777777" w:rsidR="00F11A8B" w:rsidRPr="006F6DAC" w:rsidRDefault="00F11A8B" w:rsidP="00F11A8B">
            <w:pPr>
              <w:ind w:right="29"/>
              <w:jc w:val="both"/>
              <w:rPr>
                <w:rFonts w:ascii="Garamond" w:hAnsi="Garamond"/>
                <w:sz w:val="22"/>
                <w:szCs w:val="22"/>
              </w:rPr>
            </w:pPr>
            <w:r w:rsidRPr="006F6DAC">
              <w:rPr>
                <w:rFonts w:ascii="Garamond" w:hAnsi="Garamond"/>
                <w:sz w:val="22"/>
                <w:szCs w:val="22"/>
              </w:rPr>
              <w:t>Содержит атрибуты:</w:t>
            </w:r>
          </w:p>
          <w:p w14:paraId="4466EAB8" w14:textId="77777777" w:rsidR="00F11A8B" w:rsidRPr="006F6DAC" w:rsidRDefault="00F11A8B" w:rsidP="00F11A8B">
            <w:pPr>
              <w:widowControl w:val="0"/>
              <w:numPr>
                <w:ilvl w:val="0"/>
                <w:numId w:val="240"/>
              </w:numPr>
              <w:suppressAutoHyphens w:val="0"/>
              <w:autoSpaceDE w:val="0"/>
              <w:autoSpaceDN w:val="0"/>
              <w:adjustRightInd w:val="0"/>
              <w:ind w:left="426" w:right="29"/>
              <w:jc w:val="both"/>
              <w:rPr>
                <w:rFonts w:ascii="Garamond" w:hAnsi="Garamond"/>
                <w:sz w:val="22"/>
                <w:szCs w:val="22"/>
              </w:rPr>
            </w:pPr>
            <w:r w:rsidRPr="006F6DAC">
              <w:rPr>
                <w:rFonts w:ascii="Garamond" w:hAnsi="Garamond"/>
                <w:sz w:val="22"/>
                <w:szCs w:val="22"/>
                <w:lang w:val="en-US"/>
              </w:rPr>
              <w:t xml:space="preserve">measuring-point-type – </w:t>
            </w:r>
            <w:r w:rsidRPr="006F6DAC">
              <w:rPr>
                <w:rFonts w:ascii="Garamond" w:hAnsi="Garamond"/>
                <w:sz w:val="22"/>
                <w:szCs w:val="22"/>
              </w:rPr>
              <w:t>тип</w:t>
            </w:r>
            <w:r w:rsidRPr="006F6DAC">
              <w:rPr>
                <w:rFonts w:ascii="Garamond" w:hAnsi="Garamond"/>
                <w:sz w:val="22"/>
                <w:szCs w:val="22"/>
                <w:lang w:val="en-US"/>
              </w:rPr>
              <w:t xml:space="preserve"> </w:t>
            </w:r>
            <w:r w:rsidRPr="006F6DAC">
              <w:rPr>
                <w:rFonts w:ascii="Garamond" w:hAnsi="Garamond"/>
                <w:sz w:val="22"/>
                <w:szCs w:val="22"/>
                <w:highlight w:val="yellow"/>
              </w:rPr>
              <w:t>ТИ</w:t>
            </w:r>
            <w:r w:rsidRPr="006F6DAC">
              <w:rPr>
                <w:rFonts w:ascii="Garamond" w:hAnsi="Garamond"/>
                <w:sz w:val="22"/>
                <w:szCs w:val="22"/>
                <w:lang w:val="en-US"/>
              </w:rPr>
              <w:t xml:space="preserve">. </w:t>
            </w:r>
            <w:r w:rsidRPr="006F6DAC">
              <w:rPr>
                <w:rFonts w:ascii="Garamond" w:hAnsi="Garamond"/>
                <w:sz w:val="22"/>
                <w:szCs w:val="22"/>
              </w:rPr>
              <w:t>Для обычных точек измерени</w:t>
            </w:r>
            <w:r w:rsidRPr="006F6DAC">
              <w:rPr>
                <w:rFonts w:ascii="Garamond" w:hAnsi="Garamond"/>
                <w:sz w:val="22"/>
                <w:szCs w:val="22"/>
                <w:highlight w:val="yellow"/>
              </w:rPr>
              <w:t>я</w:t>
            </w:r>
            <w:r w:rsidRPr="006F6DAC">
              <w:rPr>
                <w:rFonts w:ascii="Garamond" w:hAnsi="Garamond"/>
                <w:sz w:val="22"/>
                <w:szCs w:val="22"/>
              </w:rPr>
              <w:t xml:space="preserve"> он принимает значение general, для обходных выключателей и точек плавки гололеда – ov. Обязателен к заполнению для всех </w:t>
            </w:r>
            <w:r w:rsidRPr="006F6DAC">
              <w:rPr>
                <w:rFonts w:ascii="Garamond" w:hAnsi="Garamond"/>
                <w:sz w:val="22"/>
                <w:szCs w:val="22"/>
                <w:highlight w:val="yellow"/>
              </w:rPr>
              <w:t>ТИ</w:t>
            </w:r>
            <w:r w:rsidRPr="006F6DAC">
              <w:rPr>
                <w:rFonts w:ascii="Garamond" w:hAnsi="Garamond"/>
                <w:sz w:val="22"/>
                <w:szCs w:val="22"/>
              </w:rPr>
              <w:t>;</w:t>
            </w:r>
          </w:p>
          <w:p w14:paraId="3B476132" w14:textId="77777777" w:rsidR="00F11A8B" w:rsidRPr="006F6DAC" w:rsidRDefault="00F11A8B" w:rsidP="00F11A8B">
            <w:pPr>
              <w:widowControl w:val="0"/>
              <w:numPr>
                <w:ilvl w:val="0"/>
                <w:numId w:val="240"/>
              </w:numPr>
              <w:suppressAutoHyphens w:val="0"/>
              <w:autoSpaceDE w:val="0"/>
              <w:autoSpaceDN w:val="0"/>
              <w:adjustRightInd w:val="0"/>
              <w:ind w:left="426" w:right="29"/>
              <w:jc w:val="both"/>
              <w:rPr>
                <w:rFonts w:ascii="Garamond" w:hAnsi="Garamond"/>
                <w:sz w:val="22"/>
                <w:szCs w:val="22"/>
              </w:rPr>
            </w:pPr>
            <w:r w:rsidRPr="006F6DAC">
              <w:rPr>
                <w:rFonts w:ascii="Garamond" w:hAnsi="Garamond"/>
                <w:sz w:val="22"/>
                <w:szCs w:val="22"/>
              </w:rPr>
              <w:t>ats-code – уникальный код, присвоенный КО точке измерени</w:t>
            </w:r>
            <w:r w:rsidRPr="006F6DAC">
              <w:rPr>
                <w:rFonts w:ascii="Garamond" w:hAnsi="Garamond"/>
                <w:sz w:val="22"/>
                <w:szCs w:val="22"/>
                <w:highlight w:val="yellow"/>
              </w:rPr>
              <w:t>я</w:t>
            </w:r>
            <w:r w:rsidRPr="006F6DAC">
              <w:rPr>
                <w:rFonts w:ascii="Garamond" w:hAnsi="Garamond"/>
                <w:sz w:val="22"/>
                <w:szCs w:val="22"/>
              </w:rPr>
              <w:t xml:space="preserve">. Является обязательным атрибутом и </w:t>
            </w:r>
            <w:r w:rsidRPr="006F6DAC">
              <w:rPr>
                <w:rFonts w:ascii="Garamond" w:hAnsi="Garamond"/>
                <w:bCs/>
                <w:sz w:val="22"/>
                <w:szCs w:val="22"/>
              </w:rPr>
              <w:t>состоит</w:t>
            </w:r>
            <w:r w:rsidRPr="006F6DAC">
              <w:rPr>
                <w:rFonts w:ascii="Garamond" w:hAnsi="Garamond"/>
                <w:sz w:val="22"/>
                <w:szCs w:val="22"/>
              </w:rPr>
              <w:t xml:space="preserve"> из 15 символов. В случае если длина выгружаемого из БД поля менее 15 символов, то к атрибуту в начале должен быть добавлен ведущий ноль (нули). Заполняется для всех ранее закодированных КО </w:t>
            </w:r>
            <w:r w:rsidRPr="006F6DAC">
              <w:rPr>
                <w:rFonts w:ascii="Garamond" w:hAnsi="Garamond"/>
                <w:sz w:val="22"/>
                <w:szCs w:val="22"/>
                <w:highlight w:val="yellow"/>
              </w:rPr>
              <w:t>в АИИС</w:t>
            </w:r>
            <w:r w:rsidRPr="006F6DAC">
              <w:rPr>
                <w:rFonts w:ascii="Garamond" w:hAnsi="Garamond"/>
                <w:sz w:val="22"/>
                <w:szCs w:val="22"/>
              </w:rPr>
              <w:t xml:space="preserve"> точек измерения;</w:t>
            </w:r>
          </w:p>
          <w:p w14:paraId="3C689886" w14:textId="77777777" w:rsidR="00F11A8B" w:rsidRPr="006F6DAC" w:rsidRDefault="00F11A8B" w:rsidP="00F11A8B">
            <w:pPr>
              <w:widowControl w:val="0"/>
              <w:numPr>
                <w:ilvl w:val="0"/>
                <w:numId w:val="240"/>
              </w:numPr>
              <w:suppressAutoHyphens w:val="0"/>
              <w:autoSpaceDE w:val="0"/>
              <w:autoSpaceDN w:val="0"/>
              <w:adjustRightInd w:val="0"/>
              <w:ind w:right="29"/>
              <w:jc w:val="both"/>
              <w:rPr>
                <w:rFonts w:ascii="Garamond" w:hAnsi="Garamond"/>
                <w:sz w:val="22"/>
                <w:szCs w:val="22"/>
              </w:rPr>
            </w:pPr>
            <w:r w:rsidRPr="006F6DAC">
              <w:rPr>
                <w:rFonts w:ascii="Garamond" w:hAnsi="Garamond"/>
                <w:sz w:val="22"/>
                <w:szCs w:val="22"/>
                <w:lang w:val="en-US"/>
              </w:rPr>
              <w:t>composite</w:t>
            </w:r>
            <w:r w:rsidRPr="006F6DAC">
              <w:rPr>
                <w:rFonts w:ascii="Garamond" w:hAnsi="Garamond"/>
                <w:sz w:val="22"/>
                <w:szCs w:val="22"/>
              </w:rPr>
              <w:t>-</w:t>
            </w:r>
            <w:r w:rsidRPr="006F6DAC">
              <w:rPr>
                <w:rFonts w:ascii="Garamond" w:hAnsi="Garamond"/>
                <w:sz w:val="22"/>
                <w:szCs w:val="22"/>
                <w:lang w:val="en-US"/>
              </w:rPr>
              <w:t>name</w:t>
            </w:r>
            <w:r w:rsidRPr="006F6DAC">
              <w:rPr>
                <w:rFonts w:ascii="Garamond" w:hAnsi="Garamond"/>
                <w:sz w:val="22"/>
                <w:szCs w:val="22"/>
              </w:rPr>
              <w:t xml:space="preserve"> – составное наименование точки. Текстовое поле не </w:t>
            </w:r>
            <w:r w:rsidRPr="006F6DAC">
              <w:rPr>
                <w:rFonts w:ascii="Garamond" w:hAnsi="Garamond"/>
                <w:sz w:val="22"/>
                <w:szCs w:val="22"/>
              </w:rPr>
              <w:lastRenderedPageBreak/>
              <w:t>более 255 символов. Является обязательным атрибутом, если отсутствует элемент &lt;name&gt;.</w:t>
            </w:r>
          </w:p>
          <w:p w14:paraId="13B032F6" w14:textId="77777777" w:rsidR="00F11A8B" w:rsidRPr="006F6DAC" w:rsidRDefault="00F11A8B" w:rsidP="00F11A8B">
            <w:pPr>
              <w:widowControl w:val="0"/>
              <w:numPr>
                <w:ilvl w:val="0"/>
                <w:numId w:val="240"/>
              </w:numPr>
              <w:suppressAutoHyphens w:val="0"/>
              <w:autoSpaceDE w:val="0"/>
              <w:autoSpaceDN w:val="0"/>
              <w:adjustRightInd w:val="0"/>
              <w:ind w:right="29"/>
              <w:jc w:val="both"/>
              <w:rPr>
                <w:rFonts w:ascii="Garamond" w:hAnsi="Garamond"/>
                <w:sz w:val="22"/>
                <w:szCs w:val="22"/>
              </w:rPr>
            </w:pPr>
            <w:r w:rsidRPr="006F6DAC">
              <w:rPr>
                <w:rFonts w:ascii="Garamond" w:hAnsi="Garamond"/>
                <w:sz w:val="22"/>
                <w:szCs w:val="22"/>
              </w:rPr>
              <w:t>point-voltage – уровень напряжения точки, размерность: В. Число не более 10 символов, значение «0» недопустимо. Является обязательным атрибутом.</w:t>
            </w:r>
          </w:p>
          <w:p w14:paraId="699FB885" w14:textId="77777777" w:rsidR="00F11A8B" w:rsidRPr="006F6DAC" w:rsidRDefault="00F11A8B" w:rsidP="00F11A8B">
            <w:pPr>
              <w:widowControl w:val="0"/>
              <w:autoSpaceDE w:val="0"/>
              <w:autoSpaceDN w:val="0"/>
              <w:adjustRightInd w:val="0"/>
              <w:ind w:right="29"/>
              <w:jc w:val="both"/>
              <w:rPr>
                <w:rFonts w:ascii="Garamond" w:hAnsi="Garamond"/>
                <w:sz w:val="22"/>
                <w:szCs w:val="22"/>
              </w:rPr>
            </w:pPr>
            <w:r w:rsidRPr="006F6DAC">
              <w:rPr>
                <w:rFonts w:ascii="Garamond" w:hAnsi="Garamond"/>
                <w:sz w:val="22"/>
                <w:szCs w:val="22"/>
              </w:rPr>
              <w:t>Дочерними элементами являются: &lt;</w:t>
            </w:r>
            <w:r w:rsidRPr="006F6DAC">
              <w:rPr>
                <w:rFonts w:ascii="Garamond" w:hAnsi="Garamond"/>
                <w:sz w:val="22"/>
                <w:szCs w:val="22"/>
                <w:lang w:val="en-US"/>
              </w:rPr>
              <w:t>name</w:t>
            </w:r>
            <w:r w:rsidRPr="006F6DAC">
              <w:rPr>
                <w:rFonts w:ascii="Garamond" w:hAnsi="Garamond"/>
                <w:sz w:val="22"/>
                <w:szCs w:val="22"/>
              </w:rPr>
              <w:t>&gt;, &lt;</w:t>
            </w:r>
            <w:r w:rsidRPr="006F6DAC">
              <w:rPr>
                <w:rFonts w:ascii="Garamond" w:eastAsia="Calibri" w:hAnsi="Garamond"/>
                <w:sz w:val="22"/>
                <w:szCs w:val="22"/>
                <w:lang w:val="en-US"/>
              </w:rPr>
              <w:t>measuring</w:t>
            </w:r>
            <w:r w:rsidRPr="006F6DAC">
              <w:rPr>
                <w:rFonts w:ascii="Garamond" w:eastAsia="Calibri" w:hAnsi="Garamond"/>
                <w:sz w:val="22"/>
                <w:szCs w:val="22"/>
              </w:rPr>
              <w:t>-</w:t>
            </w:r>
            <w:r w:rsidRPr="006F6DAC">
              <w:rPr>
                <w:rFonts w:ascii="Garamond" w:eastAsia="Calibri" w:hAnsi="Garamond"/>
                <w:sz w:val="22"/>
                <w:szCs w:val="22"/>
                <w:lang w:val="en-US"/>
              </w:rPr>
              <w:t>device</w:t>
            </w:r>
            <w:r w:rsidRPr="006F6DAC">
              <w:rPr>
                <w:rFonts w:ascii="Garamond" w:eastAsia="Calibri" w:hAnsi="Garamond"/>
                <w:sz w:val="22"/>
                <w:szCs w:val="22"/>
              </w:rPr>
              <w:t>&gt;.</w:t>
            </w:r>
          </w:p>
        </w:tc>
        <w:tc>
          <w:tcPr>
            <w:tcW w:w="7115" w:type="dxa"/>
          </w:tcPr>
          <w:p w14:paraId="2F76A627" w14:textId="77777777" w:rsidR="00F11A8B" w:rsidRPr="006F6DAC" w:rsidRDefault="00F11A8B" w:rsidP="00F11A8B">
            <w:pPr>
              <w:pStyle w:val="40"/>
              <w:keepLines/>
              <w:numPr>
                <w:ilvl w:val="0"/>
                <w:numId w:val="0"/>
              </w:numPr>
              <w:suppressAutoHyphens w:val="0"/>
              <w:spacing w:line="259" w:lineRule="auto"/>
              <w:jc w:val="both"/>
              <w:rPr>
                <w:rFonts w:ascii="Garamond" w:hAnsi="Garamond"/>
                <w:b w:val="0"/>
                <w:i/>
                <w:sz w:val="22"/>
                <w:szCs w:val="22"/>
              </w:rPr>
            </w:pPr>
            <w:r w:rsidRPr="006F6DAC">
              <w:rPr>
                <w:rFonts w:ascii="Garamond" w:hAnsi="Garamond"/>
                <w:b w:val="0"/>
                <w:i/>
                <w:sz w:val="22"/>
                <w:szCs w:val="22"/>
              </w:rPr>
              <w:lastRenderedPageBreak/>
              <w:t>&lt;</w:t>
            </w:r>
            <w:r w:rsidRPr="006F6DAC">
              <w:rPr>
                <w:rFonts w:ascii="Garamond" w:hAnsi="Garamond"/>
                <w:b w:val="0"/>
                <w:i/>
                <w:sz w:val="22"/>
                <w:szCs w:val="22"/>
                <w:lang w:val="en-US"/>
              </w:rPr>
              <w:t>measuring</w:t>
            </w:r>
            <w:r w:rsidRPr="006F6DAC">
              <w:rPr>
                <w:rFonts w:ascii="Garamond" w:hAnsi="Garamond"/>
                <w:b w:val="0"/>
                <w:i/>
                <w:sz w:val="22"/>
                <w:szCs w:val="22"/>
              </w:rPr>
              <w:t>-</w:t>
            </w:r>
            <w:r w:rsidRPr="006F6DAC">
              <w:rPr>
                <w:rFonts w:ascii="Garamond" w:hAnsi="Garamond"/>
                <w:b w:val="0"/>
                <w:i/>
                <w:sz w:val="22"/>
                <w:szCs w:val="22"/>
                <w:lang w:val="en-US"/>
              </w:rPr>
              <w:t>point</w:t>
            </w:r>
            <w:r w:rsidRPr="006F6DAC">
              <w:rPr>
                <w:rFonts w:ascii="Garamond" w:hAnsi="Garamond"/>
                <w:b w:val="0"/>
                <w:i/>
                <w:sz w:val="22"/>
                <w:szCs w:val="22"/>
              </w:rPr>
              <w:t>&gt;</w:t>
            </w:r>
          </w:p>
          <w:p w14:paraId="75D0E5DB" w14:textId="77777777" w:rsidR="00F11A8B" w:rsidRPr="006F6DAC" w:rsidRDefault="00F11A8B" w:rsidP="00F11A8B">
            <w:pPr>
              <w:jc w:val="both"/>
              <w:rPr>
                <w:rFonts w:ascii="Garamond" w:hAnsi="Garamond"/>
                <w:sz w:val="22"/>
                <w:szCs w:val="22"/>
              </w:rPr>
            </w:pPr>
            <w:r w:rsidRPr="006F6DAC">
              <w:rPr>
                <w:rFonts w:ascii="Garamond" w:hAnsi="Garamond"/>
                <w:sz w:val="22"/>
                <w:szCs w:val="22"/>
              </w:rPr>
              <w:t>Элемент &lt;</w:t>
            </w:r>
            <w:r w:rsidRPr="006F6DAC">
              <w:rPr>
                <w:rFonts w:ascii="Garamond" w:eastAsia="Calibri" w:hAnsi="Garamond"/>
                <w:sz w:val="22"/>
                <w:szCs w:val="22"/>
                <w:lang w:val="en-US"/>
              </w:rPr>
              <w:t>measuring</w:t>
            </w:r>
            <w:r w:rsidRPr="006F6DAC">
              <w:rPr>
                <w:rFonts w:ascii="Garamond" w:eastAsia="Calibri" w:hAnsi="Garamond"/>
                <w:sz w:val="22"/>
                <w:szCs w:val="22"/>
              </w:rPr>
              <w:t>-</w:t>
            </w:r>
            <w:r w:rsidRPr="006F6DAC">
              <w:rPr>
                <w:rFonts w:ascii="Garamond" w:eastAsia="Calibri" w:hAnsi="Garamond"/>
                <w:sz w:val="22"/>
                <w:szCs w:val="22"/>
                <w:lang w:val="en-US"/>
              </w:rPr>
              <w:t>point</w:t>
            </w:r>
            <w:r w:rsidRPr="006F6DAC">
              <w:rPr>
                <w:rFonts w:ascii="Garamond" w:hAnsi="Garamond"/>
                <w:sz w:val="22"/>
                <w:szCs w:val="22"/>
              </w:rPr>
              <w:t>&gt; содержит информацию о точке измерений.</w:t>
            </w:r>
          </w:p>
          <w:p w14:paraId="6A0EEB88" w14:textId="77777777" w:rsidR="00F11A8B" w:rsidRPr="006F6DAC" w:rsidRDefault="00F11A8B" w:rsidP="00F11A8B">
            <w:pPr>
              <w:jc w:val="both"/>
              <w:rPr>
                <w:rFonts w:ascii="Garamond" w:hAnsi="Garamond"/>
                <w:sz w:val="22"/>
                <w:szCs w:val="22"/>
              </w:rPr>
            </w:pPr>
            <w:r w:rsidRPr="006F6DAC">
              <w:rPr>
                <w:rFonts w:ascii="Garamond" w:hAnsi="Garamond"/>
                <w:sz w:val="22"/>
                <w:szCs w:val="22"/>
              </w:rPr>
              <w:t>Содержит атрибуты:</w:t>
            </w:r>
          </w:p>
          <w:p w14:paraId="596EACAD" w14:textId="77777777" w:rsidR="00F11A8B" w:rsidRPr="006F6DAC" w:rsidRDefault="00F11A8B" w:rsidP="00F11A8B">
            <w:pPr>
              <w:widowControl w:val="0"/>
              <w:numPr>
                <w:ilvl w:val="0"/>
                <w:numId w:val="240"/>
              </w:numPr>
              <w:suppressAutoHyphens w:val="0"/>
              <w:autoSpaceDE w:val="0"/>
              <w:autoSpaceDN w:val="0"/>
              <w:adjustRightInd w:val="0"/>
              <w:ind w:left="426"/>
              <w:jc w:val="both"/>
              <w:rPr>
                <w:rFonts w:ascii="Garamond" w:hAnsi="Garamond"/>
                <w:sz w:val="22"/>
                <w:szCs w:val="22"/>
              </w:rPr>
            </w:pPr>
            <w:r w:rsidRPr="006F6DAC">
              <w:rPr>
                <w:rFonts w:ascii="Garamond" w:hAnsi="Garamond"/>
                <w:sz w:val="22"/>
                <w:szCs w:val="22"/>
                <w:lang w:val="en-US"/>
              </w:rPr>
              <w:t xml:space="preserve">measuring-point-type – </w:t>
            </w:r>
            <w:r w:rsidRPr="006F6DAC">
              <w:rPr>
                <w:rFonts w:ascii="Garamond" w:hAnsi="Garamond"/>
                <w:sz w:val="22"/>
                <w:szCs w:val="22"/>
              </w:rPr>
              <w:t>тип</w:t>
            </w:r>
            <w:r w:rsidRPr="006F6DAC">
              <w:rPr>
                <w:rFonts w:ascii="Garamond" w:hAnsi="Garamond"/>
                <w:sz w:val="22"/>
                <w:szCs w:val="22"/>
                <w:lang w:val="en-US"/>
              </w:rPr>
              <w:t xml:space="preserve"> </w:t>
            </w:r>
            <w:r w:rsidRPr="006F6DAC">
              <w:rPr>
                <w:rFonts w:ascii="Garamond" w:hAnsi="Garamond"/>
                <w:sz w:val="22"/>
                <w:szCs w:val="22"/>
                <w:highlight w:val="yellow"/>
              </w:rPr>
              <w:t>точки</w:t>
            </w:r>
            <w:r w:rsidRPr="006F6DAC">
              <w:rPr>
                <w:rFonts w:ascii="Garamond" w:hAnsi="Garamond"/>
                <w:sz w:val="22"/>
                <w:szCs w:val="22"/>
                <w:highlight w:val="yellow"/>
                <w:lang w:val="en-US"/>
              </w:rPr>
              <w:t xml:space="preserve"> </w:t>
            </w:r>
            <w:r w:rsidRPr="006F6DAC">
              <w:rPr>
                <w:rFonts w:ascii="Garamond" w:hAnsi="Garamond"/>
                <w:sz w:val="22"/>
                <w:szCs w:val="22"/>
                <w:highlight w:val="yellow"/>
              </w:rPr>
              <w:t>измерений</w:t>
            </w:r>
            <w:r w:rsidRPr="006F6DAC">
              <w:rPr>
                <w:rFonts w:ascii="Garamond" w:hAnsi="Garamond"/>
                <w:sz w:val="22"/>
                <w:szCs w:val="22"/>
                <w:lang w:val="en-US"/>
              </w:rPr>
              <w:t xml:space="preserve">. </w:t>
            </w:r>
            <w:r w:rsidRPr="006F6DAC">
              <w:rPr>
                <w:rFonts w:ascii="Garamond" w:hAnsi="Garamond"/>
                <w:sz w:val="22"/>
                <w:szCs w:val="22"/>
              </w:rPr>
              <w:t>Для обычных точек измерени</w:t>
            </w:r>
            <w:r w:rsidRPr="006F6DAC">
              <w:rPr>
                <w:rFonts w:ascii="Garamond" w:hAnsi="Garamond"/>
                <w:sz w:val="22"/>
                <w:szCs w:val="22"/>
                <w:highlight w:val="yellow"/>
              </w:rPr>
              <w:t>й</w:t>
            </w:r>
            <w:r w:rsidRPr="006F6DAC">
              <w:rPr>
                <w:rFonts w:ascii="Garamond" w:hAnsi="Garamond"/>
                <w:sz w:val="22"/>
                <w:szCs w:val="22"/>
              </w:rPr>
              <w:t xml:space="preserve"> он принимает значение general, для обходных выключателей и точек плавки гололеда – ov. Обязателен к заполнению для всех </w:t>
            </w:r>
            <w:r w:rsidRPr="006F6DAC">
              <w:rPr>
                <w:rFonts w:ascii="Garamond" w:hAnsi="Garamond"/>
                <w:sz w:val="22"/>
                <w:szCs w:val="22"/>
                <w:highlight w:val="yellow"/>
              </w:rPr>
              <w:t>точек измерений</w:t>
            </w:r>
            <w:r w:rsidRPr="006F6DAC">
              <w:rPr>
                <w:rFonts w:ascii="Garamond" w:hAnsi="Garamond"/>
                <w:sz w:val="22"/>
                <w:szCs w:val="22"/>
              </w:rPr>
              <w:t>;</w:t>
            </w:r>
          </w:p>
          <w:p w14:paraId="05E354C0" w14:textId="77777777" w:rsidR="00F11A8B" w:rsidRPr="006F6DAC" w:rsidRDefault="00F11A8B" w:rsidP="00F11A8B">
            <w:pPr>
              <w:widowControl w:val="0"/>
              <w:numPr>
                <w:ilvl w:val="0"/>
                <w:numId w:val="240"/>
              </w:numPr>
              <w:suppressAutoHyphens w:val="0"/>
              <w:autoSpaceDE w:val="0"/>
              <w:autoSpaceDN w:val="0"/>
              <w:adjustRightInd w:val="0"/>
              <w:ind w:left="426"/>
              <w:jc w:val="both"/>
              <w:rPr>
                <w:rFonts w:ascii="Garamond" w:hAnsi="Garamond"/>
                <w:sz w:val="22"/>
                <w:szCs w:val="22"/>
              </w:rPr>
            </w:pPr>
            <w:r w:rsidRPr="006F6DAC">
              <w:rPr>
                <w:rFonts w:ascii="Garamond" w:hAnsi="Garamond"/>
                <w:sz w:val="22"/>
                <w:szCs w:val="22"/>
              </w:rPr>
              <w:t>ats-code – уникальный код, присвоенный КО точке измерени</w:t>
            </w:r>
            <w:r w:rsidRPr="006F6DAC">
              <w:rPr>
                <w:rFonts w:ascii="Garamond" w:hAnsi="Garamond"/>
                <w:sz w:val="22"/>
                <w:szCs w:val="22"/>
                <w:highlight w:val="yellow"/>
              </w:rPr>
              <w:t>й</w:t>
            </w:r>
            <w:r w:rsidRPr="006F6DAC">
              <w:rPr>
                <w:rFonts w:ascii="Garamond" w:hAnsi="Garamond"/>
                <w:sz w:val="22"/>
                <w:szCs w:val="22"/>
              </w:rPr>
              <w:t xml:space="preserve">. Является обязательным атрибутом и </w:t>
            </w:r>
            <w:r w:rsidRPr="006F6DAC">
              <w:rPr>
                <w:rFonts w:ascii="Garamond" w:hAnsi="Garamond"/>
                <w:bCs/>
                <w:sz w:val="22"/>
                <w:szCs w:val="22"/>
              </w:rPr>
              <w:t>состоит</w:t>
            </w:r>
            <w:r w:rsidRPr="006F6DAC">
              <w:rPr>
                <w:rFonts w:ascii="Garamond" w:hAnsi="Garamond"/>
                <w:sz w:val="22"/>
                <w:szCs w:val="22"/>
              </w:rPr>
              <w:t xml:space="preserve"> из 15 символов. В случае если длина выгружаемого из БД поля менее 15 символов, то к атрибуту в начале должен быть добавлен ведущий ноль (нули). Заполняется для всех ранее закодированных КО точек измерений;</w:t>
            </w:r>
          </w:p>
          <w:p w14:paraId="7D36EC70" w14:textId="77777777" w:rsidR="00F11A8B" w:rsidRPr="006F6DAC" w:rsidRDefault="00F11A8B" w:rsidP="00F11A8B">
            <w:pPr>
              <w:widowControl w:val="0"/>
              <w:numPr>
                <w:ilvl w:val="0"/>
                <w:numId w:val="240"/>
              </w:numPr>
              <w:suppressAutoHyphens w:val="0"/>
              <w:autoSpaceDE w:val="0"/>
              <w:autoSpaceDN w:val="0"/>
              <w:adjustRightInd w:val="0"/>
              <w:jc w:val="both"/>
              <w:rPr>
                <w:rFonts w:ascii="Garamond" w:hAnsi="Garamond"/>
                <w:sz w:val="22"/>
                <w:szCs w:val="22"/>
              </w:rPr>
            </w:pPr>
            <w:r w:rsidRPr="006F6DAC">
              <w:rPr>
                <w:rFonts w:ascii="Garamond" w:hAnsi="Garamond"/>
                <w:sz w:val="22"/>
                <w:szCs w:val="22"/>
                <w:lang w:val="en-US"/>
              </w:rPr>
              <w:t>composite</w:t>
            </w:r>
            <w:r w:rsidRPr="006F6DAC">
              <w:rPr>
                <w:rFonts w:ascii="Garamond" w:hAnsi="Garamond"/>
                <w:sz w:val="22"/>
                <w:szCs w:val="22"/>
              </w:rPr>
              <w:t>-</w:t>
            </w:r>
            <w:r w:rsidRPr="006F6DAC">
              <w:rPr>
                <w:rFonts w:ascii="Garamond" w:hAnsi="Garamond"/>
                <w:sz w:val="22"/>
                <w:szCs w:val="22"/>
                <w:lang w:val="en-US"/>
              </w:rPr>
              <w:t>name</w:t>
            </w:r>
            <w:r w:rsidRPr="006F6DAC">
              <w:rPr>
                <w:rFonts w:ascii="Garamond" w:hAnsi="Garamond"/>
                <w:sz w:val="22"/>
                <w:szCs w:val="22"/>
              </w:rPr>
              <w:t xml:space="preserve"> – составное наименование точки. Текстовое поле не </w:t>
            </w:r>
            <w:r w:rsidRPr="006F6DAC">
              <w:rPr>
                <w:rFonts w:ascii="Garamond" w:hAnsi="Garamond"/>
                <w:sz w:val="22"/>
                <w:szCs w:val="22"/>
              </w:rPr>
              <w:lastRenderedPageBreak/>
              <w:t>более 255 символов. Является обязательным атрибутом, если отсутствует элемент &lt;name&gt;.</w:t>
            </w:r>
          </w:p>
          <w:p w14:paraId="3F1988B6" w14:textId="77777777" w:rsidR="00F11A8B" w:rsidRPr="006F6DAC" w:rsidRDefault="00F11A8B" w:rsidP="00F11A8B">
            <w:pPr>
              <w:widowControl w:val="0"/>
              <w:numPr>
                <w:ilvl w:val="0"/>
                <w:numId w:val="240"/>
              </w:numPr>
              <w:suppressAutoHyphens w:val="0"/>
              <w:autoSpaceDE w:val="0"/>
              <w:autoSpaceDN w:val="0"/>
              <w:adjustRightInd w:val="0"/>
              <w:jc w:val="both"/>
              <w:rPr>
                <w:rFonts w:ascii="Garamond" w:hAnsi="Garamond"/>
                <w:sz w:val="22"/>
                <w:szCs w:val="22"/>
              </w:rPr>
            </w:pPr>
            <w:r w:rsidRPr="006F6DAC">
              <w:rPr>
                <w:rFonts w:ascii="Garamond" w:hAnsi="Garamond"/>
                <w:sz w:val="22"/>
                <w:szCs w:val="22"/>
              </w:rPr>
              <w:t>point-voltage – уровень напряжения точки, размерность: В. Число не более 10 символов, значение «0» недопустимо. Является обязательным атрибутом.</w:t>
            </w:r>
          </w:p>
          <w:p w14:paraId="519E8A0E" w14:textId="77777777" w:rsidR="00F11A8B" w:rsidRPr="006F6DAC" w:rsidRDefault="00F11A8B" w:rsidP="00F11A8B">
            <w:pPr>
              <w:widowControl w:val="0"/>
              <w:autoSpaceDE w:val="0"/>
              <w:autoSpaceDN w:val="0"/>
              <w:adjustRightInd w:val="0"/>
              <w:jc w:val="both"/>
              <w:rPr>
                <w:rFonts w:ascii="Garamond" w:hAnsi="Garamond"/>
                <w:sz w:val="22"/>
                <w:szCs w:val="22"/>
              </w:rPr>
            </w:pPr>
            <w:r w:rsidRPr="006F6DAC">
              <w:rPr>
                <w:rFonts w:ascii="Garamond" w:hAnsi="Garamond"/>
                <w:sz w:val="22"/>
                <w:szCs w:val="22"/>
              </w:rPr>
              <w:t>Дочерними элементами являются: &lt;</w:t>
            </w:r>
            <w:r w:rsidRPr="006F6DAC">
              <w:rPr>
                <w:rFonts w:ascii="Garamond" w:hAnsi="Garamond"/>
                <w:sz w:val="22"/>
                <w:szCs w:val="22"/>
                <w:lang w:val="en-US"/>
              </w:rPr>
              <w:t>name</w:t>
            </w:r>
            <w:r w:rsidRPr="006F6DAC">
              <w:rPr>
                <w:rFonts w:ascii="Garamond" w:hAnsi="Garamond"/>
                <w:sz w:val="22"/>
                <w:szCs w:val="22"/>
              </w:rPr>
              <w:t>&gt;, &lt;</w:t>
            </w:r>
            <w:r w:rsidRPr="006F6DAC">
              <w:rPr>
                <w:rFonts w:ascii="Garamond" w:eastAsia="Calibri" w:hAnsi="Garamond"/>
                <w:sz w:val="22"/>
                <w:szCs w:val="22"/>
                <w:lang w:val="en-US"/>
              </w:rPr>
              <w:t>measuring</w:t>
            </w:r>
            <w:r w:rsidRPr="006F6DAC">
              <w:rPr>
                <w:rFonts w:ascii="Garamond" w:eastAsia="Calibri" w:hAnsi="Garamond"/>
                <w:sz w:val="22"/>
                <w:szCs w:val="22"/>
              </w:rPr>
              <w:t>-</w:t>
            </w:r>
            <w:r w:rsidRPr="006F6DAC">
              <w:rPr>
                <w:rFonts w:ascii="Garamond" w:eastAsia="Calibri" w:hAnsi="Garamond"/>
                <w:sz w:val="22"/>
                <w:szCs w:val="22"/>
                <w:lang w:val="en-US"/>
              </w:rPr>
              <w:t>device</w:t>
            </w:r>
            <w:r w:rsidRPr="006F6DAC">
              <w:rPr>
                <w:rFonts w:ascii="Garamond" w:eastAsia="Calibri" w:hAnsi="Garamond"/>
                <w:sz w:val="22"/>
                <w:szCs w:val="22"/>
              </w:rPr>
              <w:t>&gt;.</w:t>
            </w:r>
          </w:p>
        </w:tc>
      </w:tr>
      <w:tr w:rsidR="00F11A8B" w:rsidRPr="006F6DAC" w14:paraId="3CCE51EA" w14:textId="77777777" w:rsidTr="006F6DAC">
        <w:tc>
          <w:tcPr>
            <w:tcW w:w="1060" w:type="dxa"/>
          </w:tcPr>
          <w:p w14:paraId="3E2BC22D" w14:textId="23BDE9FD" w:rsidR="00F11A8B" w:rsidRPr="006F6DAC" w:rsidRDefault="00F11A8B" w:rsidP="00F11A8B">
            <w:pPr>
              <w:widowControl w:val="0"/>
              <w:spacing w:line="259" w:lineRule="auto"/>
              <w:jc w:val="center"/>
              <w:rPr>
                <w:rFonts w:ascii="Garamond" w:hAnsi="Garamond"/>
                <w:b/>
                <w:sz w:val="22"/>
                <w:szCs w:val="22"/>
                <w:lang w:eastAsia="en-US"/>
              </w:rPr>
            </w:pPr>
            <w:r w:rsidRPr="006F6DAC">
              <w:rPr>
                <w:rFonts w:ascii="Garamond" w:hAnsi="Garamond"/>
                <w:b/>
                <w:sz w:val="22"/>
                <w:szCs w:val="22"/>
                <w:lang w:eastAsia="en-US"/>
              </w:rPr>
              <w:lastRenderedPageBreak/>
              <w:t>Приложение 8, п.</w:t>
            </w:r>
            <w:r w:rsidR="006F6DAC">
              <w:rPr>
                <w:rFonts w:ascii="Garamond" w:hAnsi="Garamond"/>
                <w:b/>
                <w:sz w:val="22"/>
                <w:szCs w:val="22"/>
                <w:lang w:eastAsia="en-US"/>
              </w:rPr>
              <w:t xml:space="preserve"> </w:t>
            </w:r>
            <w:r w:rsidRPr="006F6DAC">
              <w:rPr>
                <w:rFonts w:ascii="Garamond" w:hAnsi="Garamond"/>
                <w:b/>
                <w:sz w:val="22"/>
                <w:szCs w:val="22"/>
                <w:lang w:eastAsia="en-US"/>
              </w:rPr>
              <w:t>2.2.5.1.2</w:t>
            </w:r>
          </w:p>
        </w:tc>
        <w:tc>
          <w:tcPr>
            <w:tcW w:w="6804" w:type="dxa"/>
          </w:tcPr>
          <w:p w14:paraId="2FC51110" w14:textId="77777777" w:rsidR="00F11A8B" w:rsidRPr="006F6DAC" w:rsidRDefault="00F11A8B" w:rsidP="00F11A8B">
            <w:pPr>
              <w:pStyle w:val="5"/>
              <w:suppressAutoHyphens w:val="0"/>
              <w:spacing w:before="0" w:line="259" w:lineRule="auto"/>
              <w:ind w:right="33"/>
              <w:jc w:val="both"/>
              <w:rPr>
                <w:rFonts w:ascii="Garamond" w:hAnsi="Garamond"/>
                <w:color w:val="auto"/>
                <w:sz w:val="22"/>
                <w:szCs w:val="22"/>
              </w:rPr>
            </w:pPr>
            <w:r w:rsidRPr="006F6DAC">
              <w:rPr>
                <w:rFonts w:ascii="Garamond" w:hAnsi="Garamond"/>
                <w:color w:val="auto"/>
                <w:sz w:val="22"/>
                <w:szCs w:val="22"/>
              </w:rPr>
              <w:t>2.2.5.1.2 &lt;</w:t>
            </w:r>
            <w:r w:rsidRPr="006F6DAC">
              <w:rPr>
                <w:rFonts w:ascii="Garamond" w:hAnsi="Garamond"/>
                <w:color w:val="auto"/>
                <w:sz w:val="22"/>
                <w:szCs w:val="22"/>
                <w:lang w:val="en-US"/>
              </w:rPr>
              <w:t>measuring</w:t>
            </w:r>
            <w:r w:rsidRPr="006F6DAC">
              <w:rPr>
                <w:rFonts w:ascii="Garamond" w:hAnsi="Garamond"/>
                <w:color w:val="auto"/>
                <w:sz w:val="22"/>
                <w:szCs w:val="22"/>
              </w:rPr>
              <w:t>-</w:t>
            </w:r>
            <w:r w:rsidRPr="006F6DAC">
              <w:rPr>
                <w:rFonts w:ascii="Garamond" w:hAnsi="Garamond"/>
                <w:color w:val="auto"/>
                <w:sz w:val="22"/>
                <w:szCs w:val="22"/>
                <w:lang w:val="en-US"/>
              </w:rPr>
              <w:t>device</w:t>
            </w:r>
            <w:r w:rsidRPr="006F6DAC">
              <w:rPr>
                <w:rFonts w:ascii="Garamond" w:hAnsi="Garamond"/>
                <w:color w:val="auto"/>
                <w:sz w:val="22"/>
                <w:szCs w:val="22"/>
              </w:rPr>
              <w:t>&gt;</w:t>
            </w:r>
          </w:p>
          <w:p w14:paraId="362C6F0D" w14:textId="77777777" w:rsidR="00F11A8B" w:rsidRPr="006F6DAC" w:rsidRDefault="00F11A8B" w:rsidP="00F11A8B">
            <w:pPr>
              <w:ind w:right="33"/>
              <w:jc w:val="both"/>
              <w:rPr>
                <w:rFonts w:ascii="Garamond" w:hAnsi="Garamond"/>
                <w:sz w:val="22"/>
                <w:szCs w:val="22"/>
              </w:rPr>
            </w:pPr>
            <w:r w:rsidRPr="006F6DAC">
              <w:rPr>
                <w:rFonts w:ascii="Garamond" w:hAnsi="Garamond"/>
                <w:sz w:val="22"/>
                <w:szCs w:val="22"/>
              </w:rPr>
              <w:t>Элемент &lt;</w:t>
            </w:r>
            <w:r w:rsidRPr="006F6DAC">
              <w:rPr>
                <w:rFonts w:ascii="Garamond" w:eastAsia="Calibri" w:hAnsi="Garamond"/>
                <w:sz w:val="22"/>
                <w:szCs w:val="22"/>
                <w:lang w:val="en-US"/>
              </w:rPr>
              <w:t>measuring</w:t>
            </w:r>
            <w:r w:rsidRPr="006F6DAC">
              <w:rPr>
                <w:rFonts w:ascii="Garamond" w:eastAsia="Calibri" w:hAnsi="Garamond"/>
                <w:sz w:val="22"/>
                <w:szCs w:val="22"/>
              </w:rPr>
              <w:t>-</w:t>
            </w:r>
            <w:r w:rsidRPr="006F6DAC">
              <w:rPr>
                <w:rFonts w:ascii="Garamond" w:eastAsia="Calibri" w:hAnsi="Garamond"/>
                <w:sz w:val="22"/>
                <w:szCs w:val="22"/>
                <w:lang w:val="en-US"/>
              </w:rPr>
              <w:t>device</w:t>
            </w:r>
            <w:r w:rsidRPr="006F6DAC">
              <w:rPr>
                <w:rFonts w:ascii="Garamond" w:hAnsi="Garamond"/>
                <w:sz w:val="22"/>
                <w:szCs w:val="22"/>
              </w:rPr>
              <w:t xml:space="preserve">&gt; </w:t>
            </w:r>
            <w:r w:rsidRPr="006F6DAC">
              <w:rPr>
                <w:rFonts w:ascii="Garamond" w:hAnsi="Garamond"/>
                <w:sz w:val="22"/>
                <w:szCs w:val="22"/>
                <w:lang w:val="en-US"/>
              </w:rPr>
              <w:t>c</w:t>
            </w:r>
            <w:r w:rsidRPr="006F6DAC">
              <w:rPr>
                <w:rFonts w:ascii="Garamond" w:hAnsi="Garamond"/>
                <w:bCs/>
                <w:sz w:val="22"/>
                <w:szCs w:val="22"/>
              </w:rPr>
              <w:t>одержит</w:t>
            </w:r>
            <w:r w:rsidRPr="006F6DAC">
              <w:rPr>
                <w:rFonts w:ascii="Garamond" w:hAnsi="Garamond"/>
                <w:sz w:val="22"/>
                <w:szCs w:val="22"/>
              </w:rPr>
              <w:t xml:space="preserve"> справочник </w:t>
            </w:r>
            <w:r w:rsidRPr="006F6DAC">
              <w:rPr>
                <w:rFonts w:ascii="Garamond" w:hAnsi="Garamond"/>
                <w:sz w:val="22"/>
                <w:szCs w:val="22"/>
                <w:highlight w:val="yellow"/>
              </w:rPr>
              <w:t>измерительных приборов</w:t>
            </w:r>
            <w:r w:rsidRPr="006F6DAC">
              <w:rPr>
                <w:rFonts w:ascii="Garamond" w:hAnsi="Garamond"/>
                <w:sz w:val="22"/>
                <w:szCs w:val="22"/>
              </w:rPr>
              <w:t xml:space="preserve">. </w:t>
            </w:r>
          </w:p>
          <w:p w14:paraId="61AD1033" w14:textId="77777777" w:rsidR="00F11A8B" w:rsidRPr="006F6DAC" w:rsidRDefault="00F11A8B" w:rsidP="00F11A8B">
            <w:pPr>
              <w:ind w:right="33"/>
              <w:jc w:val="both"/>
              <w:rPr>
                <w:rFonts w:ascii="Garamond" w:hAnsi="Garamond"/>
                <w:sz w:val="22"/>
                <w:szCs w:val="22"/>
              </w:rPr>
            </w:pPr>
            <w:r w:rsidRPr="006F6DAC">
              <w:rPr>
                <w:rFonts w:ascii="Garamond" w:hAnsi="Garamond"/>
                <w:sz w:val="22"/>
                <w:szCs w:val="22"/>
              </w:rPr>
              <w:t>Атрибутами элемента &lt;</w:t>
            </w:r>
            <w:r w:rsidRPr="006F6DAC">
              <w:rPr>
                <w:rFonts w:ascii="Garamond" w:eastAsia="Calibri" w:hAnsi="Garamond"/>
                <w:sz w:val="22"/>
                <w:szCs w:val="22"/>
                <w:lang w:val="en-US"/>
              </w:rPr>
              <w:t>measuring</w:t>
            </w:r>
            <w:r w:rsidRPr="006F6DAC">
              <w:rPr>
                <w:rFonts w:ascii="Garamond" w:eastAsia="Calibri" w:hAnsi="Garamond"/>
                <w:sz w:val="22"/>
                <w:szCs w:val="22"/>
              </w:rPr>
              <w:t>-</w:t>
            </w:r>
            <w:r w:rsidRPr="006F6DAC">
              <w:rPr>
                <w:rFonts w:ascii="Garamond" w:eastAsia="Calibri" w:hAnsi="Garamond"/>
                <w:sz w:val="22"/>
                <w:szCs w:val="22"/>
                <w:lang w:val="en-US"/>
              </w:rPr>
              <w:t>device</w:t>
            </w:r>
            <w:r w:rsidRPr="006F6DAC">
              <w:rPr>
                <w:rFonts w:ascii="Garamond" w:hAnsi="Garamond"/>
                <w:sz w:val="22"/>
                <w:szCs w:val="22"/>
              </w:rPr>
              <w:t>&gt; являются:</w:t>
            </w:r>
          </w:p>
          <w:p w14:paraId="4753637F" w14:textId="77777777" w:rsidR="00F11A8B" w:rsidRPr="006F6DAC" w:rsidRDefault="00F11A8B" w:rsidP="00F11A8B">
            <w:pPr>
              <w:widowControl w:val="0"/>
              <w:numPr>
                <w:ilvl w:val="0"/>
                <w:numId w:val="240"/>
              </w:numPr>
              <w:suppressAutoHyphens w:val="0"/>
              <w:autoSpaceDE w:val="0"/>
              <w:autoSpaceDN w:val="0"/>
              <w:adjustRightInd w:val="0"/>
              <w:ind w:right="33"/>
              <w:jc w:val="both"/>
              <w:rPr>
                <w:rFonts w:ascii="Garamond" w:hAnsi="Garamond"/>
                <w:sz w:val="22"/>
                <w:szCs w:val="22"/>
              </w:rPr>
            </w:pPr>
            <w:r w:rsidRPr="006F6DAC">
              <w:rPr>
                <w:rFonts w:ascii="Garamond" w:hAnsi="Garamond"/>
                <w:sz w:val="22"/>
                <w:szCs w:val="22"/>
                <w:lang w:val="en-US"/>
              </w:rPr>
              <w:t>device</w:t>
            </w:r>
            <w:r w:rsidRPr="006F6DAC">
              <w:rPr>
                <w:rFonts w:ascii="Garamond" w:hAnsi="Garamond"/>
                <w:sz w:val="22"/>
                <w:szCs w:val="22"/>
              </w:rPr>
              <w:t>-</w:t>
            </w:r>
            <w:r w:rsidRPr="006F6DAC">
              <w:rPr>
                <w:rFonts w:ascii="Garamond" w:hAnsi="Garamond"/>
                <w:sz w:val="22"/>
                <w:szCs w:val="22"/>
                <w:lang w:val="en-US"/>
              </w:rPr>
              <w:t>modification</w:t>
            </w:r>
            <w:r w:rsidRPr="006F6DAC">
              <w:rPr>
                <w:rFonts w:ascii="Garamond" w:hAnsi="Garamond"/>
                <w:sz w:val="22"/>
                <w:szCs w:val="22"/>
              </w:rPr>
              <w:t>-</w:t>
            </w:r>
            <w:r w:rsidRPr="006F6DAC">
              <w:rPr>
                <w:rFonts w:ascii="Garamond" w:hAnsi="Garamond"/>
                <w:sz w:val="22"/>
                <w:szCs w:val="22"/>
                <w:lang w:val="en-US"/>
              </w:rPr>
              <w:t>code</w:t>
            </w:r>
            <w:r w:rsidRPr="006F6DAC">
              <w:rPr>
                <w:rFonts w:ascii="Garamond" w:hAnsi="Garamond"/>
                <w:sz w:val="22"/>
                <w:szCs w:val="22"/>
              </w:rPr>
              <w:t xml:space="preserve"> – код модификации модели </w:t>
            </w:r>
            <w:r w:rsidRPr="006F6DAC">
              <w:rPr>
                <w:rFonts w:ascii="Garamond" w:hAnsi="Garamond"/>
                <w:sz w:val="22"/>
                <w:szCs w:val="22"/>
                <w:highlight w:val="yellow"/>
              </w:rPr>
              <w:t>ИП</w:t>
            </w:r>
            <w:r w:rsidRPr="006F6DAC">
              <w:rPr>
                <w:rFonts w:ascii="Garamond" w:hAnsi="Garamond"/>
                <w:sz w:val="22"/>
                <w:szCs w:val="22"/>
              </w:rPr>
              <w:t xml:space="preserve"> из справочника модификаций моделей. Текстовое поле длиной 32 символа. Является обязательным атрибутом;</w:t>
            </w:r>
          </w:p>
          <w:p w14:paraId="651CD959" w14:textId="77777777" w:rsidR="00F11A8B" w:rsidRPr="006F6DAC" w:rsidRDefault="00F11A8B" w:rsidP="00F11A8B">
            <w:pPr>
              <w:widowControl w:val="0"/>
              <w:numPr>
                <w:ilvl w:val="0"/>
                <w:numId w:val="240"/>
              </w:numPr>
              <w:suppressAutoHyphens w:val="0"/>
              <w:autoSpaceDE w:val="0"/>
              <w:autoSpaceDN w:val="0"/>
              <w:adjustRightInd w:val="0"/>
              <w:ind w:left="426" w:right="33"/>
              <w:jc w:val="both"/>
              <w:rPr>
                <w:rFonts w:ascii="Garamond" w:hAnsi="Garamond"/>
                <w:sz w:val="22"/>
                <w:szCs w:val="22"/>
              </w:rPr>
            </w:pPr>
            <w:r w:rsidRPr="006F6DAC">
              <w:rPr>
                <w:rFonts w:ascii="Garamond" w:hAnsi="Garamond"/>
                <w:sz w:val="22"/>
                <w:szCs w:val="22"/>
                <w:lang w:val="en-US"/>
              </w:rPr>
              <w:t>ats</w:t>
            </w:r>
            <w:r w:rsidRPr="006F6DAC">
              <w:rPr>
                <w:rFonts w:ascii="Garamond" w:hAnsi="Garamond"/>
                <w:sz w:val="22"/>
                <w:szCs w:val="22"/>
              </w:rPr>
              <w:t>-</w:t>
            </w:r>
            <w:r w:rsidRPr="006F6DAC">
              <w:rPr>
                <w:rFonts w:ascii="Garamond" w:hAnsi="Garamond"/>
                <w:sz w:val="22"/>
                <w:szCs w:val="22"/>
                <w:lang w:val="en-US"/>
              </w:rPr>
              <w:t>code</w:t>
            </w:r>
            <w:r w:rsidRPr="006F6DAC">
              <w:rPr>
                <w:rFonts w:ascii="Garamond" w:hAnsi="Garamond"/>
                <w:sz w:val="22"/>
                <w:szCs w:val="22"/>
              </w:rPr>
              <w:t xml:space="preserve"> – код </w:t>
            </w:r>
            <w:r w:rsidRPr="006F6DAC">
              <w:rPr>
                <w:rFonts w:ascii="Garamond" w:hAnsi="Garamond"/>
                <w:sz w:val="22"/>
                <w:szCs w:val="22"/>
                <w:highlight w:val="yellow"/>
              </w:rPr>
              <w:t>ИП</w:t>
            </w:r>
            <w:r w:rsidRPr="006F6DAC">
              <w:rPr>
                <w:rFonts w:ascii="Garamond" w:hAnsi="Garamond"/>
                <w:sz w:val="22"/>
                <w:szCs w:val="22"/>
              </w:rPr>
              <w:t xml:space="preserve"> в БД ИАСУ КУ. Обязательный атрибут. Является числом, состоящим из одного символа</w:t>
            </w:r>
            <w:r w:rsidRPr="006F6DAC">
              <w:rPr>
                <w:rFonts w:ascii="Garamond" w:hAnsi="Garamond"/>
                <w:sz w:val="22"/>
                <w:szCs w:val="22"/>
                <w:highlight w:val="yellow"/>
              </w:rPr>
              <w:t>.</w:t>
            </w:r>
          </w:p>
          <w:p w14:paraId="1ECB1FD9" w14:textId="77777777" w:rsidR="00F11A8B" w:rsidRPr="006F6DAC" w:rsidRDefault="00F11A8B" w:rsidP="00F11A8B">
            <w:pPr>
              <w:widowControl w:val="0"/>
              <w:numPr>
                <w:ilvl w:val="0"/>
                <w:numId w:val="240"/>
              </w:numPr>
              <w:suppressAutoHyphens w:val="0"/>
              <w:autoSpaceDE w:val="0"/>
              <w:autoSpaceDN w:val="0"/>
              <w:adjustRightInd w:val="0"/>
              <w:ind w:left="426" w:right="33"/>
              <w:jc w:val="both"/>
              <w:rPr>
                <w:rFonts w:ascii="Garamond" w:hAnsi="Garamond"/>
                <w:sz w:val="22"/>
                <w:szCs w:val="22"/>
              </w:rPr>
            </w:pPr>
            <w:r w:rsidRPr="006F6DAC">
              <w:rPr>
                <w:rFonts w:ascii="Garamond" w:hAnsi="Garamond"/>
                <w:sz w:val="22"/>
                <w:szCs w:val="22"/>
                <w:lang w:val="en-US"/>
              </w:rPr>
              <w:t>serial</w:t>
            </w:r>
            <w:r w:rsidRPr="006F6DAC">
              <w:rPr>
                <w:rFonts w:ascii="Garamond" w:hAnsi="Garamond"/>
                <w:sz w:val="22"/>
                <w:szCs w:val="22"/>
              </w:rPr>
              <w:t>-number – серийный номер счетчика. Необязательный атрибут. Является числом максимум из 256 символов.</w:t>
            </w:r>
          </w:p>
          <w:p w14:paraId="71918C9D" w14:textId="77777777" w:rsidR="00F11A8B" w:rsidRPr="006F6DAC" w:rsidRDefault="00F11A8B" w:rsidP="00F11A8B">
            <w:pPr>
              <w:pStyle w:val="40"/>
              <w:keepLines/>
              <w:numPr>
                <w:ilvl w:val="0"/>
                <w:numId w:val="0"/>
              </w:numPr>
              <w:suppressAutoHyphens w:val="0"/>
              <w:spacing w:line="259" w:lineRule="auto"/>
              <w:ind w:right="33"/>
              <w:jc w:val="both"/>
              <w:rPr>
                <w:rFonts w:ascii="Garamond" w:eastAsia="Calibri" w:hAnsi="Garamond"/>
                <w:b w:val="0"/>
                <w:sz w:val="22"/>
                <w:szCs w:val="22"/>
              </w:rPr>
            </w:pPr>
            <w:r w:rsidRPr="006F6DAC">
              <w:rPr>
                <w:rFonts w:ascii="Garamond" w:hAnsi="Garamond"/>
                <w:b w:val="0"/>
                <w:sz w:val="22"/>
                <w:szCs w:val="22"/>
              </w:rPr>
              <w:t>Дочерними элементами являются: &lt;</w:t>
            </w:r>
            <w:r w:rsidRPr="006F6DAC">
              <w:rPr>
                <w:rFonts w:ascii="Garamond" w:eastAsia="Calibri" w:hAnsi="Garamond"/>
                <w:b w:val="0"/>
                <w:sz w:val="22"/>
                <w:szCs w:val="22"/>
                <w:lang w:val="en-US"/>
              </w:rPr>
              <w:t>measuring</w:t>
            </w:r>
            <w:r w:rsidRPr="006F6DAC">
              <w:rPr>
                <w:rFonts w:ascii="Garamond" w:eastAsia="Calibri" w:hAnsi="Garamond"/>
                <w:b w:val="0"/>
                <w:sz w:val="22"/>
                <w:szCs w:val="22"/>
              </w:rPr>
              <w:t>-</w:t>
            </w:r>
            <w:r w:rsidRPr="006F6DAC">
              <w:rPr>
                <w:rFonts w:ascii="Garamond" w:eastAsia="Calibri" w:hAnsi="Garamond"/>
                <w:b w:val="0"/>
                <w:sz w:val="22"/>
                <w:szCs w:val="22"/>
                <w:lang w:val="en-US"/>
              </w:rPr>
              <w:t>channel</w:t>
            </w:r>
            <w:r w:rsidRPr="006F6DAC">
              <w:rPr>
                <w:rFonts w:ascii="Garamond" w:eastAsia="Calibri" w:hAnsi="Garamond"/>
                <w:b w:val="0"/>
                <w:sz w:val="22"/>
                <w:szCs w:val="22"/>
              </w:rPr>
              <w:t>&gt;.</w:t>
            </w:r>
          </w:p>
          <w:p w14:paraId="77CC597E" w14:textId="77777777" w:rsidR="00F11A8B" w:rsidRPr="006F6DAC" w:rsidRDefault="00F11A8B" w:rsidP="00F11A8B">
            <w:pPr>
              <w:pStyle w:val="6"/>
              <w:keepNext/>
              <w:keepLines/>
              <w:numPr>
                <w:ilvl w:val="0"/>
                <w:numId w:val="0"/>
              </w:numPr>
              <w:suppressAutoHyphens w:val="0"/>
              <w:spacing w:before="0" w:after="0" w:line="259" w:lineRule="auto"/>
              <w:jc w:val="both"/>
              <w:rPr>
                <w:rFonts w:ascii="Garamond" w:hAnsi="Garamond"/>
                <w:b w:val="0"/>
                <w:i/>
              </w:rPr>
            </w:pPr>
            <w:r w:rsidRPr="006F6DAC">
              <w:rPr>
                <w:rFonts w:ascii="Garamond" w:hAnsi="Garamond"/>
                <w:b w:val="0"/>
                <w:i/>
                <w:highlight w:val="yellow"/>
              </w:rPr>
              <w:t>2.2.5.1.2</w:t>
            </w:r>
            <w:r w:rsidRPr="006F6DAC">
              <w:rPr>
                <w:rFonts w:ascii="Garamond" w:hAnsi="Garamond"/>
                <w:b w:val="0"/>
                <w:i/>
              </w:rPr>
              <w:t xml:space="preserve"> &lt;</w:t>
            </w:r>
            <w:r w:rsidRPr="006F6DAC">
              <w:rPr>
                <w:rFonts w:ascii="Garamond" w:hAnsi="Garamond"/>
                <w:b w:val="0"/>
                <w:i/>
                <w:lang w:val="en-US"/>
              </w:rPr>
              <w:t>measuring</w:t>
            </w:r>
            <w:r w:rsidRPr="006F6DAC">
              <w:rPr>
                <w:rFonts w:ascii="Garamond" w:hAnsi="Garamond"/>
                <w:b w:val="0"/>
                <w:i/>
              </w:rPr>
              <w:t>-</w:t>
            </w:r>
            <w:r w:rsidRPr="006F6DAC">
              <w:rPr>
                <w:rFonts w:ascii="Garamond" w:hAnsi="Garamond"/>
                <w:b w:val="0"/>
                <w:i/>
                <w:lang w:val="en-US"/>
              </w:rPr>
              <w:t>channel</w:t>
            </w:r>
            <w:r w:rsidRPr="006F6DAC">
              <w:rPr>
                <w:rFonts w:ascii="Garamond" w:hAnsi="Garamond"/>
                <w:b w:val="0"/>
                <w:i/>
              </w:rPr>
              <w:t>&gt;</w:t>
            </w:r>
          </w:p>
          <w:p w14:paraId="75923DB7" w14:textId="77777777" w:rsidR="00F11A8B" w:rsidRPr="006F6DAC" w:rsidRDefault="00F11A8B" w:rsidP="00F11A8B">
            <w:pPr>
              <w:ind w:left="66"/>
              <w:jc w:val="both"/>
              <w:rPr>
                <w:rFonts w:ascii="Garamond" w:hAnsi="Garamond"/>
                <w:sz w:val="22"/>
                <w:szCs w:val="22"/>
              </w:rPr>
            </w:pPr>
            <w:r w:rsidRPr="006F6DAC">
              <w:rPr>
                <w:rFonts w:ascii="Garamond" w:hAnsi="Garamond"/>
                <w:sz w:val="22"/>
                <w:szCs w:val="22"/>
              </w:rPr>
              <w:t>Элемент &lt;</w:t>
            </w:r>
            <w:r w:rsidRPr="006F6DAC">
              <w:rPr>
                <w:rFonts w:ascii="Garamond" w:eastAsia="Calibri" w:hAnsi="Garamond"/>
                <w:sz w:val="22"/>
                <w:szCs w:val="22"/>
                <w:lang w:val="en-US"/>
              </w:rPr>
              <w:t>measuring</w:t>
            </w:r>
            <w:r w:rsidRPr="006F6DAC">
              <w:rPr>
                <w:rFonts w:ascii="Garamond" w:eastAsia="Calibri" w:hAnsi="Garamond"/>
                <w:sz w:val="22"/>
                <w:szCs w:val="22"/>
              </w:rPr>
              <w:t>-</w:t>
            </w:r>
            <w:r w:rsidRPr="006F6DAC">
              <w:rPr>
                <w:rFonts w:ascii="Garamond" w:eastAsia="Calibri" w:hAnsi="Garamond"/>
                <w:sz w:val="22"/>
                <w:szCs w:val="22"/>
                <w:lang w:val="en-US"/>
              </w:rPr>
              <w:t>channel</w:t>
            </w:r>
            <w:r w:rsidRPr="006F6DAC">
              <w:rPr>
                <w:rFonts w:ascii="Garamond" w:hAnsi="Garamond"/>
                <w:sz w:val="22"/>
                <w:szCs w:val="22"/>
              </w:rPr>
              <w:t xml:space="preserve">&gt; содержит информацию о каналах </w:t>
            </w:r>
            <w:r w:rsidRPr="006F6DAC">
              <w:rPr>
                <w:rFonts w:ascii="Garamond" w:hAnsi="Garamond"/>
                <w:sz w:val="22"/>
                <w:szCs w:val="22"/>
                <w:highlight w:val="yellow"/>
              </w:rPr>
              <w:t>измерительного прибора</w:t>
            </w:r>
            <w:r w:rsidRPr="006F6DAC">
              <w:rPr>
                <w:rFonts w:ascii="Garamond" w:hAnsi="Garamond"/>
                <w:sz w:val="22"/>
                <w:szCs w:val="22"/>
              </w:rPr>
              <w:t>. Является обязательным элементом. В элементе &lt;measuring-device&gt; может присутствовать от 1 до 4 элементов.</w:t>
            </w:r>
          </w:p>
          <w:p w14:paraId="06569AEE" w14:textId="77777777" w:rsidR="00F11A8B" w:rsidRPr="006F6DAC" w:rsidRDefault="00F11A8B" w:rsidP="00F11A8B">
            <w:pPr>
              <w:ind w:left="66"/>
              <w:jc w:val="both"/>
              <w:rPr>
                <w:rFonts w:ascii="Garamond" w:hAnsi="Garamond"/>
                <w:sz w:val="22"/>
                <w:szCs w:val="22"/>
              </w:rPr>
            </w:pPr>
            <w:r w:rsidRPr="006F6DAC">
              <w:rPr>
                <w:rFonts w:ascii="Garamond" w:hAnsi="Garamond"/>
                <w:sz w:val="22"/>
                <w:szCs w:val="22"/>
              </w:rPr>
              <w:t>Элемент &lt;</w:t>
            </w:r>
            <w:r w:rsidRPr="006F6DAC">
              <w:rPr>
                <w:rFonts w:ascii="Garamond" w:eastAsia="Calibri" w:hAnsi="Garamond"/>
                <w:sz w:val="22"/>
                <w:szCs w:val="22"/>
                <w:lang w:val="en-US"/>
              </w:rPr>
              <w:t>measuring</w:t>
            </w:r>
            <w:r w:rsidRPr="006F6DAC">
              <w:rPr>
                <w:rFonts w:ascii="Garamond" w:eastAsia="Calibri" w:hAnsi="Garamond"/>
                <w:sz w:val="22"/>
                <w:szCs w:val="22"/>
              </w:rPr>
              <w:t>-</w:t>
            </w:r>
            <w:r w:rsidRPr="006F6DAC">
              <w:rPr>
                <w:rFonts w:ascii="Garamond" w:eastAsia="Calibri" w:hAnsi="Garamond"/>
                <w:sz w:val="22"/>
                <w:szCs w:val="22"/>
                <w:lang w:val="en-US"/>
              </w:rPr>
              <w:t>channel</w:t>
            </w:r>
            <w:r w:rsidRPr="006F6DAC">
              <w:rPr>
                <w:rFonts w:ascii="Garamond" w:hAnsi="Garamond"/>
                <w:sz w:val="22"/>
                <w:szCs w:val="22"/>
              </w:rPr>
              <w:t>&gt; содержит следующие атрибуты:</w:t>
            </w:r>
          </w:p>
          <w:p w14:paraId="43826345" w14:textId="77777777" w:rsidR="00F11A8B" w:rsidRPr="006F6DAC" w:rsidRDefault="00F11A8B" w:rsidP="00F11A8B">
            <w:pPr>
              <w:numPr>
                <w:ilvl w:val="0"/>
                <w:numId w:val="241"/>
              </w:numPr>
              <w:suppressAutoHyphens w:val="0"/>
              <w:spacing w:line="259" w:lineRule="auto"/>
              <w:ind w:left="426"/>
              <w:contextualSpacing/>
              <w:jc w:val="both"/>
              <w:rPr>
                <w:rFonts w:ascii="Garamond" w:hAnsi="Garamond"/>
                <w:sz w:val="22"/>
                <w:szCs w:val="22"/>
              </w:rPr>
            </w:pPr>
            <w:r w:rsidRPr="006F6DAC">
              <w:rPr>
                <w:rFonts w:ascii="Garamond" w:hAnsi="Garamond"/>
                <w:sz w:val="22"/>
                <w:szCs w:val="22"/>
              </w:rPr>
              <w:t xml:space="preserve">ats-code – код </w:t>
            </w:r>
            <w:r w:rsidRPr="006F6DAC">
              <w:rPr>
                <w:rFonts w:ascii="Garamond" w:hAnsi="Garamond"/>
                <w:sz w:val="22"/>
                <w:szCs w:val="22"/>
                <w:highlight w:val="yellow"/>
              </w:rPr>
              <w:t>ИК</w:t>
            </w:r>
            <w:r w:rsidRPr="006F6DAC">
              <w:rPr>
                <w:rFonts w:ascii="Garamond" w:hAnsi="Garamond"/>
                <w:sz w:val="22"/>
                <w:szCs w:val="22"/>
              </w:rPr>
              <w:t xml:space="preserve"> в БД ИАСУ КУ. Обязательный атрибут. Является числом из двух символов;</w:t>
            </w:r>
          </w:p>
          <w:p w14:paraId="0330381B" w14:textId="0F19503B" w:rsidR="00F11A8B" w:rsidRPr="002F56EF" w:rsidRDefault="00F11A8B" w:rsidP="00F11A8B">
            <w:pPr>
              <w:numPr>
                <w:ilvl w:val="0"/>
                <w:numId w:val="241"/>
              </w:numPr>
              <w:suppressAutoHyphens w:val="0"/>
              <w:spacing w:line="259" w:lineRule="auto"/>
              <w:ind w:left="426"/>
              <w:contextualSpacing/>
              <w:jc w:val="both"/>
              <w:rPr>
                <w:rFonts w:ascii="Garamond" w:hAnsi="Garamond"/>
                <w:sz w:val="22"/>
                <w:szCs w:val="22"/>
              </w:rPr>
            </w:pPr>
            <w:r w:rsidRPr="006F6DAC">
              <w:rPr>
                <w:rFonts w:ascii="Garamond" w:hAnsi="Garamond"/>
                <w:sz w:val="22"/>
                <w:szCs w:val="22"/>
              </w:rPr>
              <w:t>period – содержит информацию о периоде (скважности) прибора учета. Если значение 30 – скважность получасовая, если значение 60 – скважность часовая.</w:t>
            </w:r>
          </w:p>
        </w:tc>
        <w:tc>
          <w:tcPr>
            <w:tcW w:w="7115" w:type="dxa"/>
          </w:tcPr>
          <w:p w14:paraId="6BE51FAD" w14:textId="77777777" w:rsidR="00F11A8B" w:rsidRPr="006F6DAC" w:rsidRDefault="00F11A8B" w:rsidP="00F11A8B">
            <w:pPr>
              <w:pStyle w:val="5"/>
              <w:suppressAutoHyphens w:val="0"/>
              <w:spacing w:before="0" w:line="259" w:lineRule="auto"/>
              <w:jc w:val="both"/>
              <w:rPr>
                <w:rFonts w:ascii="Garamond" w:hAnsi="Garamond"/>
                <w:color w:val="auto"/>
                <w:sz w:val="22"/>
                <w:szCs w:val="22"/>
              </w:rPr>
            </w:pPr>
            <w:r w:rsidRPr="006F6DAC">
              <w:rPr>
                <w:rFonts w:ascii="Garamond" w:hAnsi="Garamond"/>
                <w:color w:val="auto"/>
                <w:sz w:val="22"/>
                <w:szCs w:val="22"/>
              </w:rPr>
              <w:t>2.2.5.1.2 &lt;</w:t>
            </w:r>
            <w:r w:rsidRPr="006F6DAC">
              <w:rPr>
                <w:rFonts w:ascii="Garamond" w:hAnsi="Garamond"/>
                <w:color w:val="auto"/>
                <w:sz w:val="22"/>
                <w:szCs w:val="22"/>
                <w:lang w:val="en-US"/>
              </w:rPr>
              <w:t>measuring</w:t>
            </w:r>
            <w:r w:rsidRPr="006F6DAC">
              <w:rPr>
                <w:rFonts w:ascii="Garamond" w:hAnsi="Garamond"/>
                <w:color w:val="auto"/>
                <w:sz w:val="22"/>
                <w:szCs w:val="22"/>
              </w:rPr>
              <w:t>-</w:t>
            </w:r>
            <w:r w:rsidRPr="006F6DAC">
              <w:rPr>
                <w:rFonts w:ascii="Garamond" w:hAnsi="Garamond"/>
                <w:color w:val="auto"/>
                <w:sz w:val="22"/>
                <w:szCs w:val="22"/>
                <w:lang w:val="en-US"/>
              </w:rPr>
              <w:t>device</w:t>
            </w:r>
            <w:r w:rsidRPr="006F6DAC">
              <w:rPr>
                <w:rFonts w:ascii="Garamond" w:hAnsi="Garamond"/>
                <w:color w:val="auto"/>
                <w:sz w:val="22"/>
                <w:szCs w:val="22"/>
              </w:rPr>
              <w:t>&gt;</w:t>
            </w:r>
          </w:p>
          <w:p w14:paraId="4FFD0EB5" w14:textId="77777777" w:rsidR="00F11A8B" w:rsidRPr="006F6DAC" w:rsidRDefault="00F11A8B" w:rsidP="00F11A8B">
            <w:pPr>
              <w:jc w:val="both"/>
              <w:rPr>
                <w:rFonts w:ascii="Garamond" w:hAnsi="Garamond"/>
                <w:sz w:val="22"/>
                <w:szCs w:val="22"/>
              </w:rPr>
            </w:pPr>
            <w:r w:rsidRPr="006F6DAC">
              <w:rPr>
                <w:rFonts w:ascii="Garamond" w:hAnsi="Garamond"/>
                <w:sz w:val="22"/>
                <w:szCs w:val="22"/>
              </w:rPr>
              <w:t>Элемент &lt;</w:t>
            </w:r>
            <w:r w:rsidRPr="006F6DAC">
              <w:rPr>
                <w:rFonts w:ascii="Garamond" w:eastAsia="Calibri" w:hAnsi="Garamond"/>
                <w:sz w:val="22"/>
                <w:szCs w:val="22"/>
                <w:lang w:val="en-US"/>
              </w:rPr>
              <w:t>measuring</w:t>
            </w:r>
            <w:r w:rsidRPr="006F6DAC">
              <w:rPr>
                <w:rFonts w:ascii="Garamond" w:eastAsia="Calibri" w:hAnsi="Garamond"/>
                <w:sz w:val="22"/>
                <w:szCs w:val="22"/>
              </w:rPr>
              <w:t>-</w:t>
            </w:r>
            <w:r w:rsidRPr="006F6DAC">
              <w:rPr>
                <w:rFonts w:ascii="Garamond" w:eastAsia="Calibri" w:hAnsi="Garamond"/>
                <w:sz w:val="22"/>
                <w:szCs w:val="22"/>
                <w:lang w:val="en-US"/>
              </w:rPr>
              <w:t>device</w:t>
            </w:r>
            <w:r w:rsidRPr="006F6DAC">
              <w:rPr>
                <w:rFonts w:ascii="Garamond" w:hAnsi="Garamond"/>
                <w:sz w:val="22"/>
                <w:szCs w:val="22"/>
              </w:rPr>
              <w:t xml:space="preserve">&gt; </w:t>
            </w:r>
            <w:r w:rsidRPr="006F6DAC">
              <w:rPr>
                <w:rFonts w:ascii="Garamond" w:hAnsi="Garamond"/>
                <w:sz w:val="22"/>
                <w:szCs w:val="22"/>
                <w:lang w:val="en-US"/>
              </w:rPr>
              <w:t>c</w:t>
            </w:r>
            <w:r w:rsidRPr="006F6DAC">
              <w:rPr>
                <w:rFonts w:ascii="Garamond" w:hAnsi="Garamond"/>
                <w:bCs/>
                <w:sz w:val="22"/>
                <w:szCs w:val="22"/>
              </w:rPr>
              <w:t>одержит</w:t>
            </w:r>
            <w:r w:rsidRPr="006F6DAC">
              <w:rPr>
                <w:rFonts w:ascii="Garamond" w:hAnsi="Garamond"/>
                <w:sz w:val="22"/>
                <w:szCs w:val="22"/>
              </w:rPr>
              <w:t xml:space="preserve"> справочник </w:t>
            </w:r>
            <w:r w:rsidRPr="006F6DAC">
              <w:rPr>
                <w:rFonts w:ascii="Garamond" w:hAnsi="Garamond"/>
                <w:sz w:val="22"/>
                <w:szCs w:val="22"/>
                <w:highlight w:val="yellow"/>
              </w:rPr>
              <w:t>приборов учета</w:t>
            </w:r>
            <w:r w:rsidRPr="006F6DAC">
              <w:rPr>
                <w:rFonts w:ascii="Garamond" w:hAnsi="Garamond"/>
                <w:sz w:val="22"/>
                <w:szCs w:val="22"/>
              </w:rPr>
              <w:t xml:space="preserve">. </w:t>
            </w:r>
          </w:p>
          <w:p w14:paraId="3A2A2506" w14:textId="77777777" w:rsidR="00F11A8B" w:rsidRPr="006F6DAC" w:rsidRDefault="00F11A8B" w:rsidP="00F11A8B">
            <w:pPr>
              <w:jc w:val="both"/>
              <w:rPr>
                <w:rFonts w:ascii="Garamond" w:hAnsi="Garamond"/>
                <w:sz w:val="22"/>
                <w:szCs w:val="22"/>
              </w:rPr>
            </w:pPr>
            <w:r w:rsidRPr="006F6DAC">
              <w:rPr>
                <w:rFonts w:ascii="Garamond" w:hAnsi="Garamond"/>
                <w:sz w:val="22"/>
                <w:szCs w:val="22"/>
              </w:rPr>
              <w:t>Атрибутами элемента &lt;</w:t>
            </w:r>
            <w:r w:rsidRPr="006F6DAC">
              <w:rPr>
                <w:rFonts w:ascii="Garamond" w:eastAsia="Calibri" w:hAnsi="Garamond"/>
                <w:sz w:val="22"/>
                <w:szCs w:val="22"/>
                <w:lang w:val="en-US"/>
              </w:rPr>
              <w:t>measuring</w:t>
            </w:r>
            <w:r w:rsidRPr="006F6DAC">
              <w:rPr>
                <w:rFonts w:ascii="Garamond" w:eastAsia="Calibri" w:hAnsi="Garamond"/>
                <w:sz w:val="22"/>
                <w:szCs w:val="22"/>
              </w:rPr>
              <w:t>-</w:t>
            </w:r>
            <w:r w:rsidRPr="006F6DAC">
              <w:rPr>
                <w:rFonts w:ascii="Garamond" w:eastAsia="Calibri" w:hAnsi="Garamond"/>
                <w:sz w:val="22"/>
                <w:szCs w:val="22"/>
                <w:lang w:val="en-US"/>
              </w:rPr>
              <w:t>device</w:t>
            </w:r>
            <w:r w:rsidRPr="006F6DAC">
              <w:rPr>
                <w:rFonts w:ascii="Garamond" w:hAnsi="Garamond"/>
                <w:sz w:val="22"/>
                <w:szCs w:val="22"/>
              </w:rPr>
              <w:t>&gt; являются:</w:t>
            </w:r>
          </w:p>
          <w:p w14:paraId="7DDB26E6" w14:textId="77777777" w:rsidR="00F11A8B" w:rsidRPr="006F6DAC" w:rsidRDefault="00F11A8B" w:rsidP="00F11A8B">
            <w:pPr>
              <w:widowControl w:val="0"/>
              <w:numPr>
                <w:ilvl w:val="0"/>
                <w:numId w:val="240"/>
              </w:numPr>
              <w:suppressAutoHyphens w:val="0"/>
              <w:autoSpaceDE w:val="0"/>
              <w:autoSpaceDN w:val="0"/>
              <w:adjustRightInd w:val="0"/>
              <w:jc w:val="both"/>
              <w:rPr>
                <w:rFonts w:ascii="Garamond" w:hAnsi="Garamond"/>
                <w:sz w:val="22"/>
                <w:szCs w:val="22"/>
              </w:rPr>
            </w:pPr>
            <w:r w:rsidRPr="006F6DAC">
              <w:rPr>
                <w:rFonts w:ascii="Garamond" w:hAnsi="Garamond"/>
                <w:sz w:val="22"/>
                <w:szCs w:val="22"/>
                <w:lang w:val="en-US"/>
              </w:rPr>
              <w:t>device</w:t>
            </w:r>
            <w:r w:rsidRPr="006F6DAC">
              <w:rPr>
                <w:rFonts w:ascii="Garamond" w:hAnsi="Garamond"/>
                <w:sz w:val="22"/>
                <w:szCs w:val="22"/>
              </w:rPr>
              <w:t>-</w:t>
            </w:r>
            <w:r w:rsidRPr="006F6DAC">
              <w:rPr>
                <w:rFonts w:ascii="Garamond" w:hAnsi="Garamond"/>
                <w:sz w:val="22"/>
                <w:szCs w:val="22"/>
                <w:lang w:val="en-US"/>
              </w:rPr>
              <w:t>modification</w:t>
            </w:r>
            <w:r w:rsidRPr="006F6DAC">
              <w:rPr>
                <w:rFonts w:ascii="Garamond" w:hAnsi="Garamond"/>
                <w:sz w:val="22"/>
                <w:szCs w:val="22"/>
              </w:rPr>
              <w:t>-</w:t>
            </w:r>
            <w:r w:rsidRPr="006F6DAC">
              <w:rPr>
                <w:rFonts w:ascii="Garamond" w:hAnsi="Garamond"/>
                <w:sz w:val="22"/>
                <w:szCs w:val="22"/>
                <w:lang w:val="en-US"/>
              </w:rPr>
              <w:t>code</w:t>
            </w:r>
            <w:r w:rsidRPr="006F6DAC">
              <w:rPr>
                <w:rFonts w:ascii="Garamond" w:hAnsi="Garamond"/>
                <w:sz w:val="22"/>
                <w:szCs w:val="22"/>
              </w:rPr>
              <w:t xml:space="preserve"> – код модификации модели </w:t>
            </w:r>
            <w:r w:rsidRPr="006F6DAC">
              <w:rPr>
                <w:rFonts w:ascii="Garamond" w:hAnsi="Garamond"/>
                <w:sz w:val="22"/>
                <w:szCs w:val="22"/>
                <w:highlight w:val="yellow"/>
              </w:rPr>
              <w:t>пробора учета</w:t>
            </w:r>
            <w:r w:rsidRPr="006F6DAC">
              <w:rPr>
                <w:rFonts w:ascii="Garamond" w:hAnsi="Garamond"/>
                <w:sz w:val="22"/>
                <w:szCs w:val="22"/>
              </w:rPr>
              <w:t xml:space="preserve"> из справочника модификаций моделей. Текстовое поле длиной 32 символа. Является обязательным атрибутом;</w:t>
            </w:r>
          </w:p>
          <w:p w14:paraId="5B704FF2" w14:textId="77777777" w:rsidR="00F11A8B" w:rsidRPr="006F6DAC" w:rsidRDefault="00F11A8B" w:rsidP="00F11A8B">
            <w:pPr>
              <w:widowControl w:val="0"/>
              <w:numPr>
                <w:ilvl w:val="0"/>
                <w:numId w:val="240"/>
              </w:numPr>
              <w:suppressAutoHyphens w:val="0"/>
              <w:autoSpaceDE w:val="0"/>
              <w:autoSpaceDN w:val="0"/>
              <w:adjustRightInd w:val="0"/>
              <w:ind w:left="426"/>
              <w:jc w:val="both"/>
              <w:rPr>
                <w:rFonts w:ascii="Garamond" w:hAnsi="Garamond"/>
                <w:sz w:val="22"/>
                <w:szCs w:val="22"/>
              </w:rPr>
            </w:pPr>
            <w:r w:rsidRPr="006F6DAC">
              <w:rPr>
                <w:rFonts w:ascii="Garamond" w:hAnsi="Garamond"/>
                <w:sz w:val="22"/>
                <w:szCs w:val="22"/>
                <w:lang w:val="en-US"/>
              </w:rPr>
              <w:t>ats</w:t>
            </w:r>
            <w:r w:rsidRPr="006F6DAC">
              <w:rPr>
                <w:rFonts w:ascii="Garamond" w:hAnsi="Garamond"/>
                <w:sz w:val="22"/>
                <w:szCs w:val="22"/>
              </w:rPr>
              <w:t>-</w:t>
            </w:r>
            <w:r w:rsidRPr="006F6DAC">
              <w:rPr>
                <w:rFonts w:ascii="Garamond" w:hAnsi="Garamond"/>
                <w:sz w:val="22"/>
                <w:szCs w:val="22"/>
                <w:lang w:val="en-US"/>
              </w:rPr>
              <w:t>code</w:t>
            </w:r>
            <w:r w:rsidRPr="006F6DAC">
              <w:rPr>
                <w:rFonts w:ascii="Garamond" w:hAnsi="Garamond"/>
                <w:sz w:val="22"/>
                <w:szCs w:val="22"/>
              </w:rPr>
              <w:t xml:space="preserve"> – код </w:t>
            </w:r>
            <w:r w:rsidRPr="006F6DAC">
              <w:rPr>
                <w:rFonts w:ascii="Garamond" w:hAnsi="Garamond"/>
                <w:sz w:val="22"/>
                <w:szCs w:val="22"/>
                <w:highlight w:val="yellow"/>
              </w:rPr>
              <w:t>прибора учета</w:t>
            </w:r>
            <w:r w:rsidRPr="006F6DAC">
              <w:rPr>
                <w:rFonts w:ascii="Garamond" w:hAnsi="Garamond"/>
                <w:sz w:val="22"/>
                <w:szCs w:val="22"/>
              </w:rPr>
              <w:t xml:space="preserve"> в БД ИАСУ КУ. Обязательный атрибут. Является числом, состоящим из одного символа</w:t>
            </w:r>
            <w:r w:rsidRPr="006F6DAC">
              <w:rPr>
                <w:rFonts w:ascii="Garamond" w:hAnsi="Garamond"/>
                <w:sz w:val="22"/>
                <w:szCs w:val="22"/>
                <w:highlight w:val="yellow"/>
              </w:rPr>
              <w:t>;</w:t>
            </w:r>
          </w:p>
          <w:p w14:paraId="7EB7E3A2" w14:textId="77777777" w:rsidR="00F11A8B" w:rsidRPr="006F6DAC" w:rsidRDefault="00F11A8B" w:rsidP="00F11A8B">
            <w:pPr>
              <w:widowControl w:val="0"/>
              <w:numPr>
                <w:ilvl w:val="0"/>
                <w:numId w:val="240"/>
              </w:numPr>
              <w:suppressAutoHyphens w:val="0"/>
              <w:autoSpaceDE w:val="0"/>
              <w:autoSpaceDN w:val="0"/>
              <w:adjustRightInd w:val="0"/>
              <w:ind w:left="426"/>
              <w:jc w:val="both"/>
              <w:rPr>
                <w:rFonts w:ascii="Garamond" w:hAnsi="Garamond"/>
                <w:sz w:val="22"/>
                <w:szCs w:val="22"/>
              </w:rPr>
            </w:pPr>
            <w:r w:rsidRPr="006F6DAC">
              <w:rPr>
                <w:rFonts w:ascii="Garamond" w:hAnsi="Garamond"/>
                <w:sz w:val="22"/>
                <w:szCs w:val="22"/>
                <w:lang w:val="en-US"/>
              </w:rPr>
              <w:t>serial</w:t>
            </w:r>
            <w:r w:rsidRPr="006F6DAC">
              <w:rPr>
                <w:rFonts w:ascii="Garamond" w:hAnsi="Garamond"/>
                <w:sz w:val="22"/>
                <w:szCs w:val="22"/>
              </w:rPr>
              <w:t>-number – серийный номер счетчика. Необязательный атрибут. Является числом максимум из 256 символов.</w:t>
            </w:r>
          </w:p>
          <w:p w14:paraId="6FA4AD31" w14:textId="77777777" w:rsidR="00F11A8B" w:rsidRPr="006F6DAC" w:rsidRDefault="00F11A8B" w:rsidP="00F11A8B">
            <w:pPr>
              <w:jc w:val="both"/>
              <w:rPr>
                <w:rFonts w:ascii="Garamond" w:eastAsia="Calibri" w:hAnsi="Garamond"/>
                <w:sz w:val="22"/>
                <w:szCs w:val="22"/>
              </w:rPr>
            </w:pPr>
            <w:r w:rsidRPr="006F6DAC">
              <w:rPr>
                <w:rFonts w:ascii="Garamond" w:hAnsi="Garamond"/>
                <w:sz w:val="22"/>
                <w:szCs w:val="22"/>
              </w:rPr>
              <w:t>Дочерними элементами являются: &lt;</w:t>
            </w:r>
            <w:r w:rsidRPr="006F6DAC">
              <w:rPr>
                <w:rFonts w:ascii="Garamond" w:eastAsia="Calibri" w:hAnsi="Garamond"/>
                <w:sz w:val="22"/>
                <w:szCs w:val="22"/>
                <w:lang w:val="en-US"/>
              </w:rPr>
              <w:t>measuring</w:t>
            </w:r>
            <w:r w:rsidRPr="006F6DAC">
              <w:rPr>
                <w:rFonts w:ascii="Garamond" w:eastAsia="Calibri" w:hAnsi="Garamond"/>
                <w:sz w:val="22"/>
                <w:szCs w:val="22"/>
              </w:rPr>
              <w:t>-</w:t>
            </w:r>
            <w:r w:rsidRPr="006F6DAC">
              <w:rPr>
                <w:rFonts w:ascii="Garamond" w:eastAsia="Calibri" w:hAnsi="Garamond"/>
                <w:sz w:val="22"/>
                <w:szCs w:val="22"/>
                <w:lang w:val="en-US"/>
              </w:rPr>
              <w:t>channel</w:t>
            </w:r>
            <w:r w:rsidRPr="006F6DAC">
              <w:rPr>
                <w:rFonts w:ascii="Garamond" w:eastAsia="Calibri" w:hAnsi="Garamond"/>
                <w:sz w:val="22"/>
                <w:szCs w:val="22"/>
              </w:rPr>
              <w:t>&gt;.</w:t>
            </w:r>
          </w:p>
          <w:p w14:paraId="1B952E02" w14:textId="77777777" w:rsidR="00F11A8B" w:rsidRPr="006F6DAC" w:rsidRDefault="00F11A8B" w:rsidP="00F11A8B">
            <w:pPr>
              <w:pStyle w:val="6"/>
              <w:keepNext/>
              <w:keepLines/>
              <w:numPr>
                <w:ilvl w:val="0"/>
                <w:numId w:val="0"/>
              </w:numPr>
              <w:suppressAutoHyphens w:val="0"/>
              <w:spacing w:before="0" w:after="0" w:line="259" w:lineRule="auto"/>
              <w:jc w:val="both"/>
              <w:rPr>
                <w:rFonts w:ascii="Garamond" w:hAnsi="Garamond"/>
                <w:b w:val="0"/>
                <w:i/>
              </w:rPr>
            </w:pPr>
            <w:r w:rsidRPr="006F6DAC">
              <w:rPr>
                <w:rFonts w:ascii="Garamond" w:hAnsi="Garamond"/>
                <w:b w:val="0"/>
                <w:i/>
                <w:highlight w:val="yellow"/>
              </w:rPr>
              <w:t>2.2.5.1.2.1</w:t>
            </w:r>
            <w:r w:rsidRPr="006F6DAC">
              <w:rPr>
                <w:rFonts w:ascii="Garamond" w:hAnsi="Garamond"/>
                <w:b w:val="0"/>
                <w:i/>
              </w:rPr>
              <w:t xml:space="preserve"> &lt;</w:t>
            </w:r>
            <w:r w:rsidRPr="006F6DAC">
              <w:rPr>
                <w:rFonts w:ascii="Garamond" w:hAnsi="Garamond"/>
                <w:b w:val="0"/>
                <w:i/>
                <w:lang w:val="en-US"/>
              </w:rPr>
              <w:t>measuring</w:t>
            </w:r>
            <w:r w:rsidRPr="006F6DAC">
              <w:rPr>
                <w:rFonts w:ascii="Garamond" w:hAnsi="Garamond"/>
                <w:b w:val="0"/>
                <w:i/>
              </w:rPr>
              <w:t>-</w:t>
            </w:r>
            <w:r w:rsidRPr="006F6DAC">
              <w:rPr>
                <w:rFonts w:ascii="Garamond" w:hAnsi="Garamond"/>
                <w:b w:val="0"/>
                <w:i/>
                <w:lang w:val="en-US"/>
              </w:rPr>
              <w:t>channel</w:t>
            </w:r>
            <w:r w:rsidRPr="006F6DAC">
              <w:rPr>
                <w:rFonts w:ascii="Garamond" w:hAnsi="Garamond"/>
                <w:b w:val="0"/>
                <w:i/>
              </w:rPr>
              <w:t>&gt;</w:t>
            </w:r>
          </w:p>
          <w:p w14:paraId="4512CA48" w14:textId="77777777" w:rsidR="00F11A8B" w:rsidRPr="006F6DAC" w:rsidRDefault="00F11A8B" w:rsidP="00F11A8B">
            <w:pPr>
              <w:ind w:left="66"/>
              <w:jc w:val="both"/>
              <w:rPr>
                <w:rFonts w:ascii="Garamond" w:hAnsi="Garamond"/>
                <w:sz w:val="22"/>
                <w:szCs w:val="22"/>
              </w:rPr>
            </w:pPr>
            <w:r w:rsidRPr="006F6DAC">
              <w:rPr>
                <w:rFonts w:ascii="Garamond" w:hAnsi="Garamond"/>
                <w:sz w:val="22"/>
                <w:szCs w:val="22"/>
              </w:rPr>
              <w:t>Элемент &lt;</w:t>
            </w:r>
            <w:r w:rsidRPr="006F6DAC">
              <w:rPr>
                <w:rFonts w:ascii="Garamond" w:eastAsia="Calibri" w:hAnsi="Garamond"/>
                <w:sz w:val="22"/>
                <w:szCs w:val="22"/>
                <w:lang w:val="en-US"/>
              </w:rPr>
              <w:t>measuring</w:t>
            </w:r>
            <w:r w:rsidRPr="006F6DAC">
              <w:rPr>
                <w:rFonts w:ascii="Garamond" w:eastAsia="Calibri" w:hAnsi="Garamond"/>
                <w:sz w:val="22"/>
                <w:szCs w:val="22"/>
              </w:rPr>
              <w:t>-</w:t>
            </w:r>
            <w:r w:rsidRPr="006F6DAC">
              <w:rPr>
                <w:rFonts w:ascii="Garamond" w:eastAsia="Calibri" w:hAnsi="Garamond"/>
                <w:sz w:val="22"/>
                <w:szCs w:val="22"/>
                <w:lang w:val="en-US"/>
              </w:rPr>
              <w:t>channel</w:t>
            </w:r>
            <w:r w:rsidRPr="006F6DAC">
              <w:rPr>
                <w:rFonts w:ascii="Garamond" w:hAnsi="Garamond"/>
                <w:sz w:val="22"/>
                <w:szCs w:val="22"/>
              </w:rPr>
              <w:t xml:space="preserve">&gt; содержит информацию о каналах </w:t>
            </w:r>
            <w:r w:rsidRPr="006F6DAC">
              <w:rPr>
                <w:rFonts w:ascii="Garamond" w:hAnsi="Garamond"/>
                <w:sz w:val="22"/>
                <w:szCs w:val="22"/>
                <w:highlight w:val="yellow"/>
              </w:rPr>
              <w:t>прибора учета</w:t>
            </w:r>
            <w:r w:rsidRPr="006F6DAC">
              <w:rPr>
                <w:rFonts w:ascii="Garamond" w:hAnsi="Garamond"/>
                <w:sz w:val="22"/>
                <w:szCs w:val="22"/>
              </w:rPr>
              <w:t>. Является обязательным элементом. В элементе &lt;measuring-device&gt; может присутствовать от 1 до 4 элементов.</w:t>
            </w:r>
          </w:p>
          <w:p w14:paraId="7CE717E6" w14:textId="77777777" w:rsidR="00F11A8B" w:rsidRPr="006F6DAC" w:rsidRDefault="00F11A8B" w:rsidP="00F11A8B">
            <w:pPr>
              <w:ind w:left="66"/>
              <w:jc w:val="both"/>
              <w:rPr>
                <w:rFonts w:ascii="Garamond" w:hAnsi="Garamond"/>
                <w:sz w:val="22"/>
                <w:szCs w:val="22"/>
              </w:rPr>
            </w:pPr>
            <w:r w:rsidRPr="006F6DAC">
              <w:rPr>
                <w:rFonts w:ascii="Garamond" w:hAnsi="Garamond"/>
                <w:sz w:val="22"/>
                <w:szCs w:val="22"/>
              </w:rPr>
              <w:t>Элемент &lt;</w:t>
            </w:r>
            <w:r w:rsidRPr="006F6DAC">
              <w:rPr>
                <w:rFonts w:ascii="Garamond" w:eastAsia="Calibri" w:hAnsi="Garamond"/>
                <w:sz w:val="22"/>
                <w:szCs w:val="22"/>
                <w:lang w:val="en-US"/>
              </w:rPr>
              <w:t>measuring</w:t>
            </w:r>
            <w:r w:rsidRPr="006F6DAC">
              <w:rPr>
                <w:rFonts w:ascii="Garamond" w:eastAsia="Calibri" w:hAnsi="Garamond"/>
                <w:sz w:val="22"/>
                <w:szCs w:val="22"/>
              </w:rPr>
              <w:t>-</w:t>
            </w:r>
            <w:r w:rsidRPr="006F6DAC">
              <w:rPr>
                <w:rFonts w:ascii="Garamond" w:eastAsia="Calibri" w:hAnsi="Garamond"/>
                <w:sz w:val="22"/>
                <w:szCs w:val="22"/>
                <w:lang w:val="en-US"/>
              </w:rPr>
              <w:t>channel</w:t>
            </w:r>
            <w:r w:rsidRPr="006F6DAC">
              <w:rPr>
                <w:rFonts w:ascii="Garamond" w:hAnsi="Garamond"/>
                <w:sz w:val="22"/>
                <w:szCs w:val="22"/>
              </w:rPr>
              <w:t>&gt; содержит следующие атрибуты:</w:t>
            </w:r>
          </w:p>
          <w:p w14:paraId="488CDA66" w14:textId="77777777" w:rsidR="00F11A8B" w:rsidRPr="006F6DAC" w:rsidRDefault="00F11A8B" w:rsidP="00F11A8B">
            <w:pPr>
              <w:numPr>
                <w:ilvl w:val="0"/>
                <w:numId w:val="241"/>
              </w:numPr>
              <w:suppressAutoHyphens w:val="0"/>
              <w:spacing w:line="259" w:lineRule="auto"/>
              <w:ind w:left="426"/>
              <w:contextualSpacing/>
              <w:jc w:val="both"/>
              <w:rPr>
                <w:rFonts w:ascii="Garamond" w:hAnsi="Garamond"/>
                <w:sz w:val="22"/>
                <w:szCs w:val="22"/>
              </w:rPr>
            </w:pPr>
            <w:r w:rsidRPr="006F6DAC">
              <w:rPr>
                <w:rFonts w:ascii="Garamond" w:hAnsi="Garamond"/>
                <w:sz w:val="22"/>
                <w:szCs w:val="22"/>
              </w:rPr>
              <w:t xml:space="preserve">ats-code – код </w:t>
            </w:r>
            <w:r w:rsidRPr="006F6DAC">
              <w:rPr>
                <w:rFonts w:ascii="Garamond" w:hAnsi="Garamond"/>
                <w:sz w:val="22"/>
                <w:szCs w:val="22"/>
                <w:highlight w:val="yellow"/>
              </w:rPr>
              <w:t>измерительного канала</w:t>
            </w:r>
            <w:r w:rsidRPr="006F6DAC">
              <w:rPr>
                <w:rFonts w:ascii="Garamond" w:hAnsi="Garamond"/>
                <w:sz w:val="22"/>
                <w:szCs w:val="22"/>
              </w:rPr>
              <w:t xml:space="preserve"> в БД ИАСУ КУ. Обязательный атрибут. Является числом из двух символов;</w:t>
            </w:r>
          </w:p>
          <w:p w14:paraId="5EA36108" w14:textId="77777777" w:rsidR="00F11A8B" w:rsidRPr="006F6DAC" w:rsidRDefault="00F11A8B" w:rsidP="00F11A8B">
            <w:pPr>
              <w:jc w:val="both"/>
              <w:rPr>
                <w:rFonts w:ascii="Garamond" w:hAnsi="Garamond"/>
                <w:sz w:val="22"/>
                <w:szCs w:val="22"/>
              </w:rPr>
            </w:pPr>
            <w:r w:rsidRPr="006F6DAC">
              <w:rPr>
                <w:rFonts w:ascii="Garamond" w:hAnsi="Garamond"/>
                <w:sz w:val="22"/>
                <w:szCs w:val="22"/>
              </w:rPr>
              <w:t>period – содержит информацию о периоде (скважности) прибора учета. Если значение 30 – скважность получасовая, если значение 60 – скважность часовая.</w:t>
            </w:r>
          </w:p>
        </w:tc>
      </w:tr>
      <w:tr w:rsidR="00F11A8B" w:rsidRPr="006F6DAC" w14:paraId="5DF52582" w14:textId="77777777" w:rsidTr="006F6DAC">
        <w:tc>
          <w:tcPr>
            <w:tcW w:w="1060" w:type="dxa"/>
          </w:tcPr>
          <w:p w14:paraId="522947F6" w14:textId="27915A4F" w:rsidR="00F11A8B" w:rsidRPr="006F6DAC" w:rsidRDefault="00F11A8B" w:rsidP="00F11A8B">
            <w:pPr>
              <w:widowControl w:val="0"/>
              <w:spacing w:line="259" w:lineRule="auto"/>
              <w:jc w:val="center"/>
              <w:rPr>
                <w:rFonts w:ascii="Garamond" w:hAnsi="Garamond"/>
                <w:b/>
                <w:sz w:val="22"/>
                <w:szCs w:val="22"/>
                <w:lang w:eastAsia="en-US"/>
              </w:rPr>
            </w:pPr>
            <w:r w:rsidRPr="006F6DAC">
              <w:rPr>
                <w:rFonts w:ascii="Garamond" w:hAnsi="Garamond"/>
                <w:b/>
                <w:sz w:val="22"/>
                <w:szCs w:val="22"/>
                <w:lang w:eastAsia="en-US"/>
              </w:rPr>
              <w:t>Приложение 8, п.</w:t>
            </w:r>
            <w:r w:rsidR="006F6DAC">
              <w:rPr>
                <w:rFonts w:ascii="Garamond" w:hAnsi="Garamond"/>
                <w:b/>
                <w:sz w:val="22"/>
                <w:szCs w:val="22"/>
                <w:lang w:eastAsia="en-US"/>
              </w:rPr>
              <w:t xml:space="preserve"> </w:t>
            </w:r>
            <w:r w:rsidRPr="006F6DAC">
              <w:rPr>
                <w:rFonts w:ascii="Garamond" w:hAnsi="Garamond"/>
                <w:b/>
                <w:sz w:val="22"/>
                <w:szCs w:val="22"/>
                <w:lang w:eastAsia="en-US"/>
              </w:rPr>
              <w:t>2.2.6</w:t>
            </w:r>
          </w:p>
        </w:tc>
        <w:tc>
          <w:tcPr>
            <w:tcW w:w="6804" w:type="dxa"/>
          </w:tcPr>
          <w:p w14:paraId="14BA8CED" w14:textId="77777777" w:rsidR="00F11A8B" w:rsidRPr="006F6DAC" w:rsidRDefault="00F11A8B" w:rsidP="00F11A8B">
            <w:pPr>
              <w:pStyle w:val="3"/>
              <w:keepLines/>
              <w:numPr>
                <w:ilvl w:val="0"/>
                <w:numId w:val="0"/>
              </w:numPr>
              <w:suppressAutoHyphens w:val="0"/>
              <w:spacing w:line="259" w:lineRule="auto"/>
              <w:ind w:right="33"/>
              <w:jc w:val="both"/>
              <w:rPr>
                <w:rFonts w:ascii="Garamond" w:hAnsi="Garamond"/>
                <w:b w:val="0"/>
                <w:color w:val="auto"/>
                <w:sz w:val="22"/>
                <w:szCs w:val="22"/>
              </w:rPr>
            </w:pPr>
            <w:r w:rsidRPr="006F6DAC">
              <w:rPr>
                <w:rFonts w:ascii="Garamond" w:hAnsi="Garamond"/>
                <w:b w:val="0"/>
                <w:color w:val="auto"/>
                <w:sz w:val="22"/>
                <w:szCs w:val="22"/>
              </w:rPr>
              <w:t>&lt;</w:t>
            </w:r>
            <w:r w:rsidRPr="006F6DAC">
              <w:rPr>
                <w:rFonts w:ascii="Garamond" w:hAnsi="Garamond"/>
                <w:b w:val="0"/>
                <w:color w:val="auto"/>
                <w:sz w:val="22"/>
                <w:szCs w:val="22"/>
                <w:lang w:val="en-US"/>
              </w:rPr>
              <w:t>measuring</w:t>
            </w:r>
            <w:r w:rsidRPr="006F6DAC">
              <w:rPr>
                <w:rFonts w:ascii="Garamond" w:hAnsi="Garamond"/>
                <w:b w:val="0"/>
                <w:color w:val="auto"/>
                <w:sz w:val="22"/>
                <w:szCs w:val="22"/>
              </w:rPr>
              <w:t>-</w:t>
            </w:r>
            <w:r w:rsidRPr="006F6DAC">
              <w:rPr>
                <w:rFonts w:ascii="Garamond" w:hAnsi="Garamond"/>
                <w:b w:val="0"/>
                <w:color w:val="auto"/>
                <w:sz w:val="22"/>
                <w:szCs w:val="22"/>
                <w:lang w:val="en-US"/>
              </w:rPr>
              <w:t>objects</w:t>
            </w:r>
            <w:r w:rsidRPr="006F6DAC">
              <w:rPr>
                <w:rFonts w:ascii="Garamond" w:hAnsi="Garamond"/>
                <w:b w:val="0"/>
                <w:color w:val="auto"/>
                <w:sz w:val="22"/>
                <w:szCs w:val="22"/>
              </w:rPr>
              <w:t>&gt;</w:t>
            </w:r>
          </w:p>
          <w:p w14:paraId="53BD0A6E" w14:textId="77777777" w:rsidR="00F11A8B" w:rsidRPr="006F6DAC" w:rsidRDefault="00F11A8B" w:rsidP="00F11A8B">
            <w:pPr>
              <w:ind w:right="33"/>
              <w:jc w:val="both"/>
              <w:rPr>
                <w:rFonts w:ascii="Garamond" w:hAnsi="Garamond"/>
                <w:sz w:val="22"/>
                <w:szCs w:val="22"/>
              </w:rPr>
            </w:pPr>
            <w:r w:rsidRPr="006F6DAC">
              <w:rPr>
                <w:rFonts w:ascii="Garamond" w:hAnsi="Garamond"/>
                <w:sz w:val="22"/>
                <w:szCs w:val="22"/>
              </w:rPr>
              <w:t xml:space="preserve">Необязательный элемент </w:t>
            </w:r>
            <w:r w:rsidRPr="006F6DAC">
              <w:rPr>
                <w:rFonts w:ascii="Garamond" w:eastAsia="Calibri" w:hAnsi="Garamond"/>
                <w:sz w:val="22"/>
                <w:szCs w:val="22"/>
              </w:rPr>
              <w:t>&lt;</w:t>
            </w:r>
            <w:r w:rsidRPr="006F6DAC">
              <w:rPr>
                <w:rFonts w:ascii="Garamond" w:hAnsi="Garamond"/>
                <w:sz w:val="22"/>
                <w:szCs w:val="22"/>
                <w:lang w:val="en-US"/>
              </w:rPr>
              <w:t>measuring</w:t>
            </w:r>
            <w:r w:rsidRPr="006F6DAC">
              <w:rPr>
                <w:rFonts w:ascii="Garamond" w:hAnsi="Garamond"/>
                <w:sz w:val="22"/>
                <w:szCs w:val="22"/>
              </w:rPr>
              <w:t>-</w:t>
            </w:r>
            <w:r w:rsidRPr="006F6DAC">
              <w:rPr>
                <w:rFonts w:ascii="Garamond" w:hAnsi="Garamond"/>
                <w:sz w:val="22"/>
                <w:szCs w:val="22"/>
                <w:lang w:val="en-US"/>
              </w:rPr>
              <w:t>objects</w:t>
            </w:r>
            <w:r w:rsidRPr="006F6DAC">
              <w:rPr>
                <w:rFonts w:ascii="Garamond" w:eastAsia="Calibri" w:hAnsi="Garamond"/>
                <w:sz w:val="22"/>
                <w:szCs w:val="22"/>
              </w:rPr>
              <w:t xml:space="preserve">&gt; является потомком элемента </w:t>
            </w:r>
            <w:r w:rsidRPr="006F6DAC">
              <w:rPr>
                <w:rFonts w:ascii="Garamond" w:hAnsi="Garamond"/>
                <w:sz w:val="22"/>
                <w:szCs w:val="22"/>
              </w:rPr>
              <w:t>&lt;</w:t>
            </w:r>
            <w:r w:rsidRPr="006F6DAC">
              <w:rPr>
                <w:rFonts w:ascii="Garamond" w:hAnsi="Garamond"/>
                <w:sz w:val="22"/>
                <w:szCs w:val="22"/>
                <w:lang w:val="en-US"/>
              </w:rPr>
              <w:t>dictionaries</w:t>
            </w:r>
            <w:r w:rsidRPr="006F6DAC">
              <w:rPr>
                <w:rFonts w:ascii="Garamond" w:hAnsi="Garamond"/>
                <w:sz w:val="22"/>
                <w:szCs w:val="22"/>
              </w:rPr>
              <w:t>&gt;. Он содержит информацию об объектах измерени</w:t>
            </w:r>
            <w:r w:rsidRPr="006F6DAC">
              <w:rPr>
                <w:rFonts w:ascii="Garamond" w:hAnsi="Garamond"/>
                <w:sz w:val="22"/>
                <w:szCs w:val="22"/>
                <w:highlight w:val="yellow"/>
              </w:rPr>
              <w:t>я</w:t>
            </w:r>
            <w:r w:rsidRPr="006F6DAC">
              <w:rPr>
                <w:rFonts w:ascii="Garamond" w:hAnsi="Garamond"/>
                <w:sz w:val="22"/>
                <w:szCs w:val="22"/>
              </w:rPr>
              <w:t>, включенных в группы поставки.</w:t>
            </w:r>
          </w:p>
          <w:p w14:paraId="16460FDB" w14:textId="77777777" w:rsidR="00F11A8B" w:rsidRPr="006F6DAC" w:rsidRDefault="00F11A8B" w:rsidP="00F11A8B">
            <w:pPr>
              <w:suppressAutoHyphens w:val="0"/>
              <w:spacing w:line="259" w:lineRule="auto"/>
              <w:ind w:right="33"/>
              <w:contextualSpacing/>
              <w:jc w:val="both"/>
              <w:rPr>
                <w:rFonts w:ascii="Garamond" w:hAnsi="Garamond"/>
                <w:sz w:val="22"/>
                <w:szCs w:val="22"/>
                <w:lang w:val="en-US"/>
              </w:rPr>
            </w:pPr>
            <w:r w:rsidRPr="006F6DAC">
              <w:rPr>
                <w:rFonts w:ascii="Garamond" w:hAnsi="Garamond"/>
                <w:sz w:val="22"/>
                <w:szCs w:val="22"/>
              </w:rPr>
              <w:t>Потомком</w:t>
            </w:r>
            <w:r w:rsidRPr="006F6DAC">
              <w:rPr>
                <w:rFonts w:ascii="Garamond" w:hAnsi="Garamond"/>
                <w:sz w:val="22"/>
                <w:szCs w:val="22"/>
                <w:lang w:val="en-US"/>
              </w:rPr>
              <w:t xml:space="preserve"> </w:t>
            </w:r>
            <w:r w:rsidRPr="006F6DAC">
              <w:rPr>
                <w:rFonts w:ascii="Garamond" w:hAnsi="Garamond"/>
                <w:sz w:val="22"/>
                <w:szCs w:val="22"/>
              </w:rPr>
              <w:t>элемента</w:t>
            </w:r>
            <w:r w:rsidRPr="006F6DAC">
              <w:rPr>
                <w:rFonts w:ascii="Garamond" w:hAnsi="Garamond"/>
                <w:sz w:val="22"/>
                <w:szCs w:val="22"/>
                <w:lang w:val="en-US"/>
              </w:rPr>
              <w:t xml:space="preserve"> </w:t>
            </w:r>
            <w:r w:rsidRPr="006F6DAC">
              <w:rPr>
                <w:rFonts w:ascii="Garamond" w:eastAsia="Calibri" w:hAnsi="Garamond"/>
                <w:sz w:val="22"/>
                <w:szCs w:val="22"/>
                <w:lang w:val="en-US"/>
              </w:rPr>
              <w:t>&lt;</w:t>
            </w:r>
            <w:r w:rsidRPr="006F6DAC">
              <w:rPr>
                <w:rFonts w:ascii="Garamond" w:hAnsi="Garamond"/>
                <w:sz w:val="22"/>
                <w:szCs w:val="22"/>
                <w:lang w:val="en-US"/>
              </w:rPr>
              <w:t>measuring-objects</w:t>
            </w:r>
            <w:r w:rsidRPr="006F6DAC">
              <w:rPr>
                <w:rFonts w:ascii="Garamond" w:eastAsia="Calibri" w:hAnsi="Garamond"/>
                <w:sz w:val="22"/>
                <w:szCs w:val="22"/>
                <w:lang w:val="en-US"/>
              </w:rPr>
              <w:t xml:space="preserve">&gt; </w:t>
            </w:r>
            <w:r w:rsidRPr="006F6DAC">
              <w:rPr>
                <w:rFonts w:ascii="Garamond" w:eastAsia="Calibri" w:hAnsi="Garamond"/>
                <w:sz w:val="22"/>
                <w:szCs w:val="22"/>
              </w:rPr>
              <w:t>является</w:t>
            </w:r>
            <w:r w:rsidRPr="006F6DAC">
              <w:rPr>
                <w:rFonts w:ascii="Garamond" w:eastAsia="Calibri" w:hAnsi="Garamond"/>
                <w:sz w:val="22"/>
                <w:szCs w:val="22"/>
                <w:lang w:val="en-US"/>
              </w:rPr>
              <w:t xml:space="preserve"> </w:t>
            </w:r>
            <w:r w:rsidRPr="006F6DAC">
              <w:rPr>
                <w:rFonts w:ascii="Garamond" w:eastAsia="Calibri" w:hAnsi="Garamond"/>
                <w:sz w:val="22"/>
                <w:szCs w:val="22"/>
              </w:rPr>
              <w:t>элемент</w:t>
            </w:r>
            <w:r w:rsidRPr="006F6DAC">
              <w:rPr>
                <w:rFonts w:ascii="Garamond" w:eastAsia="Calibri" w:hAnsi="Garamond"/>
                <w:sz w:val="22"/>
                <w:szCs w:val="22"/>
                <w:lang w:val="en-US"/>
              </w:rPr>
              <w:t xml:space="preserve"> &lt;measuring-object&gt;.</w:t>
            </w:r>
          </w:p>
        </w:tc>
        <w:tc>
          <w:tcPr>
            <w:tcW w:w="7115" w:type="dxa"/>
          </w:tcPr>
          <w:p w14:paraId="18DAFBA2" w14:textId="77777777" w:rsidR="00F11A8B" w:rsidRPr="006F6DAC" w:rsidRDefault="00F11A8B" w:rsidP="00F11A8B">
            <w:pPr>
              <w:pStyle w:val="3"/>
              <w:keepLines/>
              <w:numPr>
                <w:ilvl w:val="0"/>
                <w:numId w:val="0"/>
              </w:numPr>
              <w:suppressAutoHyphens w:val="0"/>
              <w:spacing w:line="259" w:lineRule="auto"/>
              <w:jc w:val="both"/>
              <w:rPr>
                <w:rFonts w:ascii="Garamond" w:hAnsi="Garamond"/>
                <w:b w:val="0"/>
                <w:color w:val="auto"/>
                <w:sz w:val="22"/>
                <w:szCs w:val="22"/>
                <w:lang w:val="en-US"/>
              </w:rPr>
            </w:pPr>
            <w:r w:rsidRPr="006F6DAC">
              <w:rPr>
                <w:rFonts w:ascii="Garamond" w:hAnsi="Garamond"/>
                <w:b w:val="0"/>
                <w:color w:val="auto"/>
                <w:sz w:val="22"/>
                <w:szCs w:val="22"/>
                <w:lang w:val="en-US"/>
              </w:rPr>
              <w:t>&lt;measuring-objects&gt;</w:t>
            </w:r>
          </w:p>
          <w:p w14:paraId="23F43CBC" w14:textId="77777777" w:rsidR="00F11A8B" w:rsidRPr="006F6DAC" w:rsidRDefault="00F11A8B" w:rsidP="00F11A8B">
            <w:pPr>
              <w:jc w:val="both"/>
              <w:rPr>
                <w:rFonts w:ascii="Garamond" w:hAnsi="Garamond"/>
                <w:sz w:val="22"/>
                <w:szCs w:val="22"/>
              </w:rPr>
            </w:pPr>
            <w:r w:rsidRPr="006F6DAC">
              <w:rPr>
                <w:rFonts w:ascii="Garamond" w:hAnsi="Garamond"/>
                <w:sz w:val="22"/>
                <w:szCs w:val="22"/>
              </w:rPr>
              <w:t>Необязательный</w:t>
            </w:r>
            <w:r w:rsidRPr="006F6DAC">
              <w:rPr>
                <w:rFonts w:ascii="Garamond" w:hAnsi="Garamond"/>
                <w:sz w:val="22"/>
                <w:szCs w:val="22"/>
                <w:lang w:val="en-US"/>
              </w:rPr>
              <w:t xml:space="preserve"> </w:t>
            </w:r>
            <w:r w:rsidRPr="006F6DAC">
              <w:rPr>
                <w:rFonts w:ascii="Garamond" w:hAnsi="Garamond"/>
                <w:sz w:val="22"/>
                <w:szCs w:val="22"/>
              </w:rPr>
              <w:t>элемент</w:t>
            </w:r>
            <w:r w:rsidRPr="006F6DAC">
              <w:rPr>
                <w:rFonts w:ascii="Garamond" w:hAnsi="Garamond"/>
                <w:sz w:val="22"/>
                <w:szCs w:val="22"/>
                <w:lang w:val="en-US"/>
              </w:rPr>
              <w:t xml:space="preserve"> </w:t>
            </w:r>
            <w:r w:rsidRPr="006F6DAC">
              <w:rPr>
                <w:rFonts w:ascii="Garamond" w:eastAsia="Calibri" w:hAnsi="Garamond"/>
                <w:sz w:val="22"/>
                <w:szCs w:val="22"/>
                <w:lang w:val="en-US"/>
              </w:rPr>
              <w:t>&lt;</w:t>
            </w:r>
            <w:r w:rsidRPr="006F6DAC">
              <w:rPr>
                <w:rFonts w:ascii="Garamond" w:hAnsi="Garamond"/>
                <w:sz w:val="22"/>
                <w:szCs w:val="22"/>
                <w:lang w:val="en-US"/>
              </w:rPr>
              <w:t>measuring-objects</w:t>
            </w:r>
            <w:r w:rsidRPr="006F6DAC">
              <w:rPr>
                <w:rFonts w:ascii="Garamond" w:eastAsia="Calibri" w:hAnsi="Garamond"/>
                <w:sz w:val="22"/>
                <w:szCs w:val="22"/>
                <w:lang w:val="en-US"/>
              </w:rPr>
              <w:t xml:space="preserve">&gt; </w:t>
            </w:r>
            <w:r w:rsidRPr="006F6DAC">
              <w:rPr>
                <w:rFonts w:ascii="Garamond" w:eastAsia="Calibri" w:hAnsi="Garamond"/>
                <w:sz w:val="22"/>
                <w:szCs w:val="22"/>
              </w:rPr>
              <w:t>является</w:t>
            </w:r>
            <w:r w:rsidRPr="006F6DAC">
              <w:rPr>
                <w:rFonts w:ascii="Garamond" w:eastAsia="Calibri" w:hAnsi="Garamond"/>
                <w:sz w:val="22"/>
                <w:szCs w:val="22"/>
                <w:lang w:val="en-US"/>
              </w:rPr>
              <w:t xml:space="preserve"> </w:t>
            </w:r>
            <w:r w:rsidRPr="006F6DAC">
              <w:rPr>
                <w:rFonts w:ascii="Garamond" w:eastAsia="Calibri" w:hAnsi="Garamond"/>
                <w:sz w:val="22"/>
                <w:szCs w:val="22"/>
              </w:rPr>
              <w:t>потомком</w:t>
            </w:r>
            <w:r w:rsidRPr="006F6DAC">
              <w:rPr>
                <w:rFonts w:ascii="Garamond" w:eastAsia="Calibri" w:hAnsi="Garamond"/>
                <w:sz w:val="22"/>
                <w:szCs w:val="22"/>
                <w:lang w:val="en-US"/>
              </w:rPr>
              <w:t xml:space="preserve"> </w:t>
            </w:r>
            <w:r w:rsidRPr="006F6DAC">
              <w:rPr>
                <w:rFonts w:ascii="Garamond" w:eastAsia="Calibri" w:hAnsi="Garamond"/>
                <w:sz w:val="22"/>
                <w:szCs w:val="22"/>
              </w:rPr>
              <w:t>элемента</w:t>
            </w:r>
            <w:r w:rsidRPr="006F6DAC">
              <w:rPr>
                <w:rFonts w:ascii="Garamond" w:eastAsia="Calibri" w:hAnsi="Garamond"/>
                <w:sz w:val="22"/>
                <w:szCs w:val="22"/>
                <w:lang w:val="en-US"/>
              </w:rPr>
              <w:t xml:space="preserve"> </w:t>
            </w:r>
            <w:r w:rsidRPr="006F6DAC">
              <w:rPr>
                <w:rFonts w:ascii="Garamond" w:hAnsi="Garamond"/>
                <w:sz w:val="22"/>
                <w:szCs w:val="22"/>
                <w:lang w:val="en-US"/>
              </w:rPr>
              <w:t xml:space="preserve">&lt;dictionaries&gt;. </w:t>
            </w:r>
            <w:r w:rsidRPr="006F6DAC">
              <w:rPr>
                <w:rFonts w:ascii="Garamond" w:hAnsi="Garamond"/>
                <w:sz w:val="22"/>
                <w:szCs w:val="22"/>
              </w:rPr>
              <w:t>Он содержит информацию об объектах измерени</w:t>
            </w:r>
            <w:r w:rsidRPr="006F6DAC">
              <w:rPr>
                <w:rFonts w:ascii="Garamond" w:hAnsi="Garamond"/>
                <w:sz w:val="22"/>
                <w:szCs w:val="22"/>
                <w:highlight w:val="yellow"/>
              </w:rPr>
              <w:t>й</w:t>
            </w:r>
            <w:r w:rsidRPr="006F6DAC">
              <w:rPr>
                <w:rFonts w:ascii="Garamond" w:hAnsi="Garamond"/>
                <w:sz w:val="22"/>
                <w:szCs w:val="22"/>
              </w:rPr>
              <w:t>, включенных в группы поставки.</w:t>
            </w:r>
          </w:p>
          <w:p w14:paraId="6BCACBB1" w14:textId="77777777" w:rsidR="00F11A8B" w:rsidRPr="006F6DAC" w:rsidRDefault="00F11A8B" w:rsidP="00F11A8B">
            <w:pPr>
              <w:suppressAutoHyphens w:val="0"/>
              <w:spacing w:line="259" w:lineRule="auto"/>
              <w:contextualSpacing/>
              <w:jc w:val="both"/>
              <w:rPr>
                <w:rFonts w:ascii="Garamond" w:hAnsi="Garamond"/>
                <w:sz w:val="22"/>
                <w:szCs w:val="22"/>
                <w:lang w:val="en-US"/>
              </w:rPr>
            </w:pPr>
            <w:r w:rsidRPr="006F6DAC">
              <w:rPr>
                <w:rFonts w:ascii="Garamond" w:hAnsi="Garamond"/>
                <w:sz w:val="22"/>
                <w:szCs w:val="22"/>
              </w:rPr>
              <w:t>Потомком</w:t>
            </w:r>
            <w:r w:rsidRPr="006F6DAC">
              <w:rPr>
                <w:rFonts w:ascii="Garamond" w:hAnsi="Garamond"/>
                <w:sz w:val="22"/>
                <w:szCs w:val="22"/>
                <w:lang w:val="en-US"/>
              </w:rPr>
              <w:t xml:space="preserve"> </w:t>
            </w:r>
            <w:r w:rsidRPr="006F6DAC">
              <w:rPr>
                <w:rFonts w:ascii="Garamond" w:hAnsi="Garamond"/>
                <w:sz w:val="22"/>
                <w:szCs w:val="22"/>
              </w:rPr>
              <w:t>элемента</w:t>
            </w:r>
            <w:r w:rsidRPr="006F6DAC">
              <w:rPr>
                <w:rFonts w:ascii="Garamond" w:hAnsi="Garamond"/>
                <w:sz w:val="22"/>
                <w:szCs w:val="22"/>
                <w:lang w:val="en-US"/>
              </w:rPr>
              <w:t xml:space="preserve"> </w:t>
            </w:r>
            <w:r w:rsidRPr="006F6DAC">
              <w:rPr>
                <w:rFonts w:ascii="Garamond" w:eastAsia="Calibri" w:hAnsi="Garamond"/>
                <w:sz w:val="22"/>
                <w:szCs w:val="22"/>
                <w:lang w:val="en-US"/>
              </w:rPr>
              <w:t>&lt;</w:t>
            </w:r>
            <w:r w:rsidRPr="006F6DAC">
              <w:rPr>
                <w:rFonts w:ascii="Garamond" w:hAnsi="Garamond"/>
                <w:sz w:val="22"/>
                <w:szCs w:val="22"/>
                <w:lang w:val="en-US"/>
              </w:rPr>
              <w:t>measuring-objects</w:t>
            </w:r>
            <w:r w:rsidRPr="006F6DAC">
              <w:rPr>
                <w:rFonts w:ascii="Garamond" w:eastAsia="Calibri" w:hAnsi="Garamond"/>
                <w:sz w:val="22"/>
                <w:szCs w:val="22"/>
                <w:lang w:val="en-US"/>
              </w:rPr>
              <w:t xml:space="preserve">&gt; </w:t>
            </w:r>
            <w:r w:rsidRPr="006F6DAC">
              <w:rPr>
                <w:rFonts w:ascii="Garamond" w:eastAsia="Calibri" w:hAnsi="Garamond"/>
                <w:sz w:val="22"/>
                <w:szCs w:val="22"/>
              </w:rPr>
              <w:t>является</w:t>
            </w:r>
            <w:r w:rsidRPr="006F6DAC">
              <w:rPr>
                <w:rFonts w:ascii="Garamond" w:eastAsia="Calibri" w:hAnsi="Garamond"/>
                <w:sz w:val="22"/>
                <w:szCs w:val="22"/>
                <w:lang w:val="en-US"/>
              </w:rPr>
              <w:t xml:space="preserve"> </w:t>
            </w:r>
            <w:r w:rsidRPr="006F6DAC">
              <w:rPr>
                <w:rFonts w:ascii="Garamond" w:eastAsia="Calibri" w:hAnsi="Garamond"/>
                <w:sz w:val="22"/>
                <w:szCs w:val="22"/>
              </w:rPr>
              <w:t>элемент</w:t>
            </w:r>
            <w:r w:rsidRPr="006F6DAC">
              <w:rPr>
                <w:rFonts w:ascii="Garamond" w:eastAsia="Calibri" w:hAnsi="Garamond"/>
                <w:sz w:val="22"/>
                <w:szCs w:val="22"/>
                <w:lang w:val="en-US"/>
              </w:rPr>
              <w:t xml:space="preserve"> &lt;measuring-object&gt;.</w:t>
            </w:r>
          </w:p>
        </w:tc>
      </w:tr>
      <w:tr w:rsidR="00F11A8B" w:rsidRPr="006F6DAC" w14:paraId="23DCB4FB" w14:textId="77777777" w:rsidTr="006F6DAC">
        <w:tc>
          <w:tcPr>
            <w:tcW w:w="1060" w:type="dxa"/>
          </w:tcPr>
          <w:p w14:paraId="20ACCEC2" w14:textId="201B124A" w:rsidR="00F11A8B" w:rsidRPr="006F6DAC" w:rsidRDefault="00FA6825" w:rsidP="00F11A8B">
            <w:pPr>
              <w:widowControl w:val="0"/>
              <w:spacing w:line="259" w:lineRule="auto"/>
              <w:jc w:val="center"/>
              <w:rPr>
                <w:rFonts w:ascii="Garamond" w:hAnsi="Garamond"/>
                <w:b/>
                <w:sz w:val="22"/>
                <w:szCs w:val="22"/>
                <w:lang w:val="en-US" w:eastAsia="en-US"/>
              </w:rPr>
            </w:pPr>
            <w:r w:rsidRPr="006F6DAC">
              <w:rPr>
                <w:rFonts w:ascii="Garamond" w:hAnsi="Garamond"/>
                <w:b/>
                <w:sz w:val="22"/>
                <w:szCs w:val="22"/>
                <w:lang w:eastAsia="en-US"/>
              </w:rPr>
              <w:t>Приложение 8, п.</w:t>
            </w:r>
            <w:r w:rsidR="006F6DAC">
              <w:rPr>
                <w:rFonts w:ascii="Garamond" w:hAnsi="Garamond"/>
                <w:b/>
                <w:sz w:val="22"/>
                <w:szCs w:val="22"/>
                <w:lang w:eastAsia="en-US"/>
              </w:rPr>
              <w:t xml:space="preserve"> </w:t>
            </w:r>
            <w:r w:rsidRPr="006F6DAC">
              <w:rPr>
                <w:rFonts w:ascii="Garamond" w:hAnsi="Garamond"/>
                <w:b/>
                <w:sz w:val="22"/>
                <w:szCs w:val="22"/>
                <w:lang w:eastAsia="en-US"/>
              </w:rPr>
              <w:t>2.2.6.1</w:t>
            </w:r>
          </w:p>
        </w:tc>
        <w:tc>
          <w:tcPr>
            <w:tcW w:w="6804" w:type="dxa"/>
          </w:tcPr>
          <w:p w14:paraId="2084BCD9" w14:textId="77777777" w:rsidR="00F11A8B" w:rsidRPr="006F6DAC" w:rsidRDefault="00F11A8B" w:rsidP="00F11A8B">
            <w:pPr>
              <w:pStyle w:val="40"/>
              <w:keepLines/>
              <w:numPr>
                <w:ilvl w:val="0"/>
                <w:numId w:val="0"/>
              </w:numPr>
              <w:suppressAutoHyphens w:val="0"/>
              <w:spacing w:line="259" w:lineRule="auto"/>
              <w:ind w:left="180" w:hanging="34"/>
              <w:jc w:val="both"/>
              <w:rPr>
                <w:rFonts w:ascii="Garamond" w:eastAsia="Calibri" w:hAnsi="Garamond"/>
                <w:b w:val="0"/>
                <w:i/>
                <w:sz w:val="22"/>
                <w:szCs w:val="22"/>
              </w:rPr>
            </w:pPr>
            <w:r w:rsidRPr="006F6DAC">
              <w:rPr>
                <w:rFonts w:ascii="Garamond" w:eastAsia="Calibri" w:hAnsi="Garamond"/>
                <w:b w:val="0"/>
                <w:i/>
                <w:sz w:val="22"/>
                <w:szCs w:val="22"/>
              </w:rPr>
              <w:t>&lt;</w:t>
            </w:r>
            <w:r w:rsidRPr="006F6DAC">
              <w:rPr>
                <w:rFonts w:ascii="Garamond" w:eastAsia="Calibri" w:hAnsi="Garamond"/>
                <w:b w:val="0"/>
                <w:i/>
                <w:sz w:val="22"/>
                <w:szCs w:val="22"/>
                <w:lang w:val="en-US"/>
              </w:rPr>
              <w:t>measuring</w:t>
            </w:r>
            <w:r w:rsidRPr="006F6DAC">
              <w:rPr>
                <w:rFonts w:ascii="Garamond" w:eastAsia="Calibri" w:hAnsi="Garamond"/>
                <w:b w:val="0"/>
                <w:i/>
                <w:sz w:val="22"/>
                <w:szCs w:val="22"/>
              </w:rPr>
              <w:t>-</w:t>
            </w:r>
            <w:r w:rsidRPr="006F6DAC">
              <w:rPr>
                <w:rFonts w:ascii="Garamond" w:eastAsia="Calibri" w:hAnsi="Garamond"/>
                <w:b w:val="0"/>
                <w:i/>
                <w:sz w:val="22"/>
                <w:szCs w:val="22"/>
                <w:lang w:val="en-US"/>
              </w:rPr>
              <w:t>object</w:t>
            </w:r>
            <w:r w:rsidRPr="006F6DAC">
              <w:rPr>
                <w:rFonts w:ascii="Garamond" w:eastAsia="Calibri" w:hAnsi="Garamond"/>
                <w:b w:val="0"/>
                <w:i/>
                <w:sz w:val="22"/>
                <w:szCs w:val="22"/>
              </w:rPr>
              <w:t>&gt;</w:t>
            </w:r>
          </w:p>
          <w:p w14:paraId="1F4D988A" w14:textId="77777777" w:rsidR="00F11A8B" w:rsidRPr="006F6DAC" w:rsidRDefault="00F11A8B" w:rsidP="00F11A8B">
            <w:pPr>
              <w:ind w:right="29"/>
              <w:jc w:val="both"/>
              <w:rPr>
                <w:rFonts w:ascii="Garamond" w:hAnsi="Garamond"/>
                <w:sz w:val="22"/>
                <w:szCs w:val="22"/>
              </w:rPr>
            </w:pPr>
            <w:r w:rsidRPr="006F6DAC">
              <w:rPr>
                <w:rFonts w:ascii="Garamond" w:eastAsia="Calibri" w:hAnsi="Garamond"/>
                <w:sz w:val="22"/>
                <w:szCs w:val="22"/>
              </w:rPr>
              <w:t xml:space="preserve">Элемент </w:t>
            </w:r>
            <w:r w:rsidRPr="006F6DAC">
              <w:rPr>
                <w:rFonts w:ascii="Garamond" w:hAnsi="Garamond"/>
                <w:sz w:val="22"/>
                <w:szCs w:val="22"/>
              </w:rPr>
              <w:t>содержит информацию об объекте измерени</w:t>
            </w:r>
            <w:r w:rsidRPr="006F6DAC">
              <w:rPr>
                <w:rFonts w:ascii="Garamond" w:hAnsi="Garamond"/>
                <w:sz w:val="22"/>
                <w:szCs w:val="22"/>
                <w:highlight w:val="yellow"/>
              </w:rPr>
              <w:t>я</w:t>
            </w:r>
            <w:r w:rsidRPr="006F6DAC">
              <w:rPr>
                <w:rFonts w:ascii="Garamond" w:hAnsi="Garamond"/>
                <w:sz w:val="22"/>
                <w:szCs w:val="22"/>
              </w:rPr>
              <w:t>.</w:t>
            </w:r>
          </w:p>
          <w:p w14:paraId="7EE1B973" w14:textId="77777777" w:rsidR="00F11A8B" w:rsidRPr="006F6DAC" w:rsidRDefault="00F11A8B" w:rsidP="00F11A8B">
            <w:pPr>
              <w:ind w:right="29"/>
              <w:jc w:val="both"/>
              <w:rPr>
                <w:rFonts w:ascii="Garamond" w:eastAsia="Calibri" w:hAnsi="Garamond"/>
                <w:sz w:val="22"/>
                <w:szCs w:val="22"/>
              </w:rPr>
            </w:pPr>
            <w:r w:rsidRPr="006F6DAC">
              <w:rPr>
                <w:rFonts w:ascii="Garamond" w:hAnsi="Garamond"/>
                <w:sz w:val="22"/>
                <w:szCs w:val="22"/>
              </w:rPr>
              <w:t>Необязательный элемент. Может быть несколько элементов.</w:t>
            </w:r>
          </w:p>
          <w:p w14:paraId="34947062" w14:textId="77777777" w:rsidR="00F11A8B" w:rsidRPr="006F6DAC" w:rsidRDefault="00F11A8B" w:rsidP="00F11A8B">
            <w:pPr>
              <w:ind w:right="29"/>
              <w:jc w:val="both"/>
              <w:rPr>
                <w:rFonts w:ascii="Garamond" w:eastAsia="Calibri" w:hAnsi="Garamond"/>
                <w:sz w:val="22"/>
                <w:szCs w:val="22"/>
              </w:rPr>
            </w:pPr>
            <w:r w:rsidRPr="006F6DAC">
              <w:rPr>
                <w:rFonts w:ascii="Garamond" w:eastAsia="Calibri" w:hAnsi="Garamond"/>
                <w:sz w:val="22"/>
                <w:szCs w:val="22"/>
              </w:rPr>
              <w:lastRenderedPageBreak/>
              <w:t>Содержит атрибуты:</w:t>
            </w:r>
          </w:p>
          <w:p w14:paraId="3DA81FF7" w14:textId="77777777" w:rsidR="00F11A8B" w:rsidRPr="006F6DAC" w:rsidRDefault="00F11A8B" w:rsidP="00F11A8B">
            <w:pPr>
              <w:numPr>
                <w:ilvl w:val="0"/>
                <w:numId w:val="242"/>
              </w:numPr>
              <w:suppressAutoHyphens w:val="0"/>
              <w:spacing w:line="259" w:lineRule="auto"/>
              <w:ind w:left="426" w:right="29"/>
              <w:contextualSpacing/>
              <w:jc w:val="both"/>
              <w:rPr>
                <w:rFonts w:ascii="Garamond" w:hAnsi="Garamond"/>
                <w:sz w:val="22"/>
                <w:szCs w:val="22"/>
              </w:rPr>
            </w:pPr>
            <w:r w:rsidRPr="006F6DAC">
              <w:rPr>
                <w:rFonts w:ascii="Garamond" w:hAnsi="Garamond"/>
                <w:sz w:val="22"/>
                <w:szCs w:val="22"/>
                <w:lang w:val="en-US"/>
              </w:rPr>
              <w:t>ats</w:t>
            </w:r>
            <w:r w:rsidRPr="006F6DAC">
              <w:rPr>
                <w:rFonts w:ascii="Garamond" w:hAnsi="Garamond"/>
                <w:sz w:val="22"/>
                <w:szCs w:val="22"/>
              </w:rPr>
              <w:t>-</w:t>
            </w:r>
            <w:r w:rsidRPr="006F6DAC">
              <w:rPr>
                <w:rFonts w:ascii="Garamond" w:hAnsi="Garamond"/>
                <w:sz w:val="22"/>
                <w:szCs w:val="22"/>
                <w:lang w:val="en-US"/>
              </w:rPr>
              <w:t>code</w:t>
            </w:r>
            <w:r w:rsidRPr="006F6DAC">
              <w:rPr>
                <w:rFonts w:ascii="Garamond" w:hAnsi="Garamond"/>
                <w:sz w:val="22"/>
                <w:szCs w:val="22"/>
              </w:rPr>
              <w:t xml:space="preserve"> – полный код </w:t>
            </w:r>
            <w:r w:rsidRPr="006F6DAC">
              <w:rPr>
                <w:rFonts w:ascii="Garamond" w:hAnsi="Garamond"/>
                <w:sz w:val="22"/>
                <w:szCs w:val="22"/>
                <w:highlight w:val="yellow"/>
              </w:rPr>
              <w:t>ОИ</w:t>
            </w:r>
            <w:r w:rsidRPr="006F6DAC">
              <w:rPr>
                <w:rFonts w:ascii="Garamond" w:hAnsi="Garamond"/>
                <w:sz w:val="22"/>
                <w:szCs w:val="22"/>
              </w:rPr>
              <w:t xml:space="preserve"> в БД ИАСУ КУ. Обязательный атрибут. Является числом из 15 символов;</w:t>
            </w:r>
          </w:p>
          <w:p w14:paraId="75DF21B1" w14:textId="77777777" w:rsidR="00F11A8B" w:rsidRPr="006F6DAC" w:rsidRDefault="00F11A8B" w:rsidP="00F11A8B">
            <w:pPr>
              <w:numPr>
                <w:ilvl w:val="0"/>
                <w:numId w:val="242"/>
              </w:numPr>
              <w:suppressAutoHyphens w:val="0"/>
              <w:spacing w:line="259" w:lineRule="auto"/>
              <w:ind w:left="426" w:right="29"/>
              <w:contextualSpacing/>
              <w:jc w:val="both"/>
              <w:rPr>
                <w:rFonts w:ascii="Garamond" w:hAnsi="Garamond"/>
                <w:sz w:val="22"/>
                <w:szCs w:val="22"/>
              </w:rPr>
            </w:pPr>
            <w:r w:rsidRPr="006F6DAC">
              <w:rPr>
                <w:rFonts w:ascii="Garamond" w:hAnsi="Garamond"/>
                <w:sz w:val="22"/>
                <w:szCs w:val="22"/>
              </w:rPr>
              <w:t>name – наименование объекта измерени</w:t>
            </w:r>
            <w:r w:rsidRPr="006F6DAC">
              <w:rPr>
                <w:rFonts w:ascii="Garamond" w:hAnsi="Garamond"/>
                <w:sz w:val="22"/>
                <w:szCs w:val="22"/>
                <w:highlight w:val="yellow"/>
              </w:rPr>
              <w:t>я</w:t>
            </w:r>
            <w:r w:rsidRPr="006F6DAC">
              <w:rPr>
                <w:rFonts w:ascii="Garamond" w:hAnsi="Garamond"/>
                <w:sz w:val="22"/>
                <w:szCs w:val="22"/>
              </w:rPr>
              <w:t xml:space="preserve">. Обязательный атрибут для всех </w:t>
            </w:r>
            <w:r w:rsidRPr="006F6DAC">
              <w:rPr>
                <w:rFonts w:ascii="Garamond" w:hAnsi="Garamond"/>
                <w:sz w:val="22"/>
                <w:szCs w:val="22"/>
                <w:highlight w:val="yellow"/>
              </w:rPr>
              <w:t>ОИ</w:t>
            </w:r>
            <w:r w:rsidRPr="006F6DAC">
              <w:rPr>
                <w:rFonts w:ascii="Garamond" w:hAnsi="Garamond"/>
                <w:sz w:val="22"/>
                <w:szCs w:val="22"/>
              </w:rPr>
              <w:t>. Длина наименования до 250 символов;</w:t>
            </w:r>
          </w:p>
          <w:p w14:paraId="0C1C70C6" w14:textId="77777777" w:rsidR="00F11A8B" w:rsidRPr="006F6DAC" w:rsidRDefault="00F11A8B" w:rsidP="00F11A8B">
            <w:pPr>
              <w:numPr>
                <w:ilvl w:val="0"/>
                <w:numId w:val="242"/>
              </w:numPr>
              <w:suppressAutoHyphens w:val="0"/>
              <w:spacing w:line="259" w:lineRule="auto"/>
              <w:ind w:left="426" w:right="29"/>
              <w:contextualSpacing/>
              <w:jc w:val="both"/>
              <w:rPr>
                <w:rFonts w:ascii="Garamond" w:hAnsi="Garamond"/>
                <w:sz w:val="22"/>
                <w:szCs w:val="22"/>
              </w:rPr>
            </w:pPr>
            <w:r w:rsidRPr="006F6DAC">
              <w:rPr>
                <w:rFonts w:ascii="Garamond" w:hAnsi="Garamond"/>
                <w:sz w:val="22"/>
                <w:szCs w:val="22"/>
                <w:lang w:val="en-US"/>
              </w:rPr>
              <w:t xml:space="preserve">measuring-object-type – </w:t>
            </w:r>
            <w:r w:rsidRPr="006F6DAC">
              <w:rPr>
                <w:rFonts w:ascii="Garamond" w:hAnsi="Garamond"/>
                <w:sz w:val="22"/>
                <w:szCs w:val="22"/>
              </w:rPr>
              <w:t>тип</w:t>
            </w:r>
            <w:r w:rsidRPr="006F6DAC">
              <w:rPr>
                <w:rFonts w:ascii="Garamond" w:hAnsi="Garamond"/>
                <w:sz w:val="22"/>
                <w:szCs w:val="22"/>
                <w:lang w:val="en-US"/>
              </w:rPr>
              <w:t xml:space="preserve"> </w:t>
            </w:r>
            <w:r w:rsidRPr="006F6DAC">
              <w:rPr>
                <w:rFonts w:ascii="Garamond" w:hAnsi="Garamond"/>
                <w:sz w:val="22"/>
                <w:szCs w:val="22"/>
                <w:highlight w:val="yellow"/>
              </w:rPr>
              <w:t>ОИ</w:t>
            </w:r>
            <w:r w:rsidRPr="006F6DAC">
              <w:rPr>
                <w:rFonts w:ascii="Garamond" w:hAnsi="Garamond"/>
                <w:sz w:val="22"/>
                <w:szCs w:val="22"/>
                <w:lang w:val="en-US"/>
              </w:rPr>
              <w:t xml:space="preserve"> </w:t>
            </w:r>
            <w:r w:rsidRPr="006F6DAC">
              <w:rPr>
                <w:rFonts w:ascii="Garamond" w:hAnsi="Garamond"/>
                <w:sz w:val="22"/>
                <w:szCs w:val="22"/>
              </w:rPr>
              <w:t>в</w:t>
            </w:r>
            <w:r w:rsidRPr="006F6DAC">
              <w:rPr>
                <w:rFonts w:ascii="Garamond" w:hAnsi="Garamond"/>
                <w:sz w:val="22"/>
                <w:szCs w:val="22"/>
                <w:lang w:val="en-US"/>
              </w:rPr>
              <w:t xml:space="preserve"> </w:t>
            </w:r>
            <w:r w:rsidRPr="006F6DAC">
              <w:rPr>
                <w:rFonts w:ascii="Garamond" w:hAnsi="Garamond"/>
                <w:sz w:val="22"/>
                <w:szCs w:val="22"/>
              </w:rPr>
              <w:t>БД</w:t>
            </w:r>
            <w:r w:rsidRPr="006F6DAC">
              <w:rPr>
                <w:rFonts w:ascii="Garamond" w:hAnsi="Garamond"/>
                <w:sz w:val="22"/>
                <w:szCs w:val="22"/>
                <w:lang w:val="en-US"/>
              </w:rPr>
              <w:t xml:space="preserve"> </w:t>
            </w:r>
            <w:r w:rsidRPr="006F6DAC">
              <w:rPr>
                <w:rFonts w:ascii="Garamond" w:hAnsi="Garamond"/>
                <w:sz w:val="22"/>
                <w:szCs w:val="22"/>
              </w:rPr>
              <w:t>ИАСУ</w:t>
            </w:r>
            <w:r w:rsidRPr="006F6DAC">
              <w:rPr>
                <w:rFonts w:ascii="Garamond" w:hAnsi="Garamond"/>
                <w:sz w:val="22"/>
                <w:szCs w:val="22"/>
                <w:lang w:val="en-US"/>
              </w:rPr>
              <w:t xml:space="preserve"> </w:t>
            </w:r>
            <w:r w:rsidRPr="006F6DAC">
              <w:rPr>
                <w:rFonts w:ascii="Garamond" w:hAnsi="Garamond"/>
                <w:sz w:val="22"/>
                <w:szCs w:val="22"/>
              </w:rPr>
              <w:t>КУ</w:t>
            </w:r>
            <w:r w:rsidRPr="006F6DAC">
              <w:rPr>
                <w:rFonts w:ascii="Garamond" w:hAnsi="Garamond"/>
                <w:sz w:val="22"/>
                <w:szCs w:val="22"/>
                <w:lang w:val="en-US"/>
              </w:rPr>
              <w:t xml:space="preserve">. </w:t>
            </w:r>
            <w:r w:rsidRPr="006F6DAC">
              <w:rPr>
                <w:rFonts w:ascii="Garamond" w:hAnsi="Garamond"/>
                <w:sz w:val="22"/>
                <w:szCs w:val="22"/>
              </w:rPr>
              <w:t>Является обязательным и содержит значение «1» – схема измерения;</w:t>
            </w:r>
          </w:p>
          <w:p w14:paraId="3A1F1DF1" w14:textId="77777777" w:rsidR="00F11A8B" w:rsidRPr="006F6DAC" w:rsidRDefault="00F11A8B" w:rsidP="00F11A8B">
            <w:pPr>
              <w:numPr>
                <w:ilvl w:val="0"/>
                <w:numId w:val="242"/>
              </w:numPr>
              <w:suppressAutoHyphens w:val="0"/>
              <w:spacing w:line="259" w:lineRule="auto"/>
              <w:ind w:left="426" w:right="29"/>
              <w:contextualSpacing/>
              <w:jc w:val="both"/>
              <w:rPr>
                <w:rFonts w:ascii="Garamond" w:hAnsi="Garamond"/>
                <w:b/>
                <w:sz w:val="22"/>
                <w:szCs w:val="22"/>
                <w:lang w:val="en-US"/>
              </w:rPr>
            </w:pPr>
            <w:r w:rsidRPr="006F6DAC">
              <w:rPr>
                <w:rFonts w:ascii="Garamond" w:hAnsi="Garamond"/>
                <w:sz w:val="22"/>
                <w:szCs w:val="22"/>
                <w:lang w:val="en-US"/>
              </w:rPr>
              <w:t>period</w:t>
            </w:r>
            <w:r w:rsidRPr="006F6DAC">
              <w:rPr>
                <w:rFonts w:ascii="Garamond" w:hAnsi="Garamond"/>
                <w:sz w:val="22"/>
                <w:szCs w:val="22"/>
              </w:rPr>
              <w:t xml:space="preserve"> – содержит информацию о периоде (скважности) объекта измерени</w:t>
            </w:r>
            <w:r w:rsidRPr="006F6DAC">
              <w:rPr>
                <w:rFonts w:ascii="Garamond" w:hAnsi="Garamond"/>
                <w:sz w:val="22"/>
                <w:szCs w:val="22"/>
                <w:highlight w:val="yellow"/>
              </w:rPr>
              <w:t>я</w:t>
            </w:r>
            <w:r w:rsidRPr="006F6DAC">
              <w:rPr>
                <w:rFonts w:ascii="Garamond" w:hAnsi="Garamond"/>
                <w:sz w:val="22"/>
                <w:szCs w:val="22"/>
              </w:rPr>
              <w:t>. Если значение 30 – скважность получасовая, если значение 60 – скважность часовая.</w:t>
            </w:r>
          </w:p>
        </w:tc>
        <w:tc>
          <w:tcPr>
            <w:tcW w:w="7115" w:type="dxa"/>
          </w:tcPr>
          <w:p w14:paraId="56CC815D" w14:textId="77777777" w:rsidR="00F11A8B" w:rsidRPr="006F6DAC" w:rsidRDefault="00F11A8B" w:rsidP="00F11A8B">
            <w:pPr>
              <w:pStyle w:val="40"/>
              <w:keepLines/>
              <w:numPr>
                <w:ilvl w:val="0"/>
                <w:numId w:val="0"/>
              </w:numPr>
              <w:suppressAutoHyphens w:val="0"/>
              <w:spacing w:line="259" w:lineRule="auto"/>
              <w:ind w:left="180" w:hanging="34"/>
              <w:jc w:val="both"/>
              <w:rPr>
                <w:rFonts w:ascii="Garamond" w:eastAsia="Calibri" w:hAnsi="Garamond"/>
                <w:b w:val="0"/>
                <w:i/>
                <w:sz w:val="22"/>
                <w:szCs w:val="22"/>
              </w:rPr>
            </w:pPr>
            <w:r w:rsidRPr="006F6DAC">
              <w:rPr>
                <w:rFonts w:ascii="Garamond" w:eastAsia="Calibri" w:hAnsi="Garamond"/>
                <w:b w:val="0"/>
                <w:i/>
                <w:sz w:val="22"/>
                <w:szCs w:val="22"/>
                <w:lang w:val="en-US"/>
              </w:rPr>
              <w:lastRenderedPageBreak/>
              <w:t>&lt;measuring-object&gt;</w:t>
            </w:r>
          </w:p>
          <w:p w14:paraId="7E8BAC51" w14:textId="77777777" w:rsidR="00F11A8B" w:rsidRPr="006F6DAC" w:rsidRDefault="00F11A8B" w:rsidP="00F11A8B">
            <w:pPr>
              <w:jc w:val="both"/>
              <w:rPr>
                <w:rFonts w:ascii="Garamond" w:hAnsi="Garamond"/>
                <w:sz w:val="22"/>
                <w:szCs w:val="22"/>
              </w:rPr>
            </w:pPr>
            <w:r w:rsidRPr="006F6DAC">
              <w:rPr>
                <w:rFonts w:ascii="Garamond" w:eastAsia="Calibri" w:hAnsi="Garamond"/>
                <w:sz w:val="22"/>
                <w:szCs w:val="22"/>
              </w:rPr>
              <w:t xml:space="preserve">Элемент </w:t>
            </w:r>
            <w:r w:rsidRPr="006F6DAC">
              <w:rPr>
                <w:rFonts w:ascii="Garamond" w:hAnsi="Garamond"/>
                <w:sz w:val="22"/>
                <w:szCs w:val="22"/>
              </w:rPr>
              <w:t>содержит информацию об объекте измерени</w:t>
            </w:r>
            <w:r w:rsidRPr="006F6DAC">
              <w:rPr>
                <w:rFonts w:ascii="Garamond" w:hAnsi="Garamond"/>
                <w:sz w:val="22"/>
                <w:szCs w:val="22"/>
                <w:highlight w:val="yellow"/>
              </w:rPr>
              <w:t>й</w:t>
            </w:r>
            <w:r w:rsidRPr="006F6DAC">
              <w:rPr>
                <w:rFonts w:ascii="Garamond" w:hAnsi="Garamond"/>
                <w:sz w:val="22"/>
                <w:szCs w:val="22"/>
              </w:rPr>
              <w:t>.</w:t>
            </w:r>
          </w:p>
          <w:p w14:paraId="4F5E8FF8" w14:textId="77777777" w:rsidR="00F11A8B" w:rsidRPr="006F6DAC" w:rsidRDefault="00F11A8B" w:rsidP="00F11A8B">
            <w:pPr>
              <w:jc w:val="both"/>
              <w:rPr>
                <w:rFonts w:ascii="Garamond" w:eastAsia="Calibri" w:hAnsi="Garamond"/>
                <w:sz w:val="22"/>
                <w:szCs w:val="22"/>
              </w:rPr>
            </w:pPr>
            <w:r w:rsidRPr="006F6DAC">
              <w:rPr>
                <w:rFonts w:ascii="Garamond" w:hAnsi="Garamond"/>
                <w:sz w:val="22"/>
                <w:szCs w:val="22"/>
              </w:rPr>
              <w:t>Необязательный элемент. Может быть несколько элементов.</w:t>
            </w:r>
          </w:p>
          <w:p w14:paraId="79C5F056" w14:textId="77777777" w:rsidR="00F11A8B" w:rsidRPr="006F6DAC" w:rsidRDefault="00F11A8B" w:rsidP="00F11A8B">
            <w:pPr>
              <w:jc w:val="both"/>
              <w:rPr>
                <w:rFonts w:ascii="Garamond" w:eastAsia="Calibri" w:hAnsi="Garamond"/>
                <w:sz w:val="22"/>
                <w:szCs w:val="22"/>
              </w:rPr>
            </w:pPr>
            <w:r w:rsidRPr="006F6DAC">
              <w:rPr>
                <w:rFonts w:ascii="Garamond" w:eastAsia="Calibri" w:hAnsi="Garamond"/>
                <w:sz w:val="22"/>
                <w:szCs w:val="22"/>
              </w:rPr>
              <w:lastRenderedPageBreak/>
              <w:t>Содержит атрибуты:</w:t>
            </w:r>
          </w:p>
          <w:p w14:paraId="39A20BE1" w14:textId="77777777" w:rsidR="00F11A8B" w:rsidRPr="006F6DAC" w:rsidRDefault="00F11A8B" w:rsidP="00F11A8B">
            <w:pPr>
              <w:numPr>
                <w:ilvl w:val="0"/>
                <w:numId w:val="242"/>
              </w:numPr>
              <w:suppressAutoHyphens w:val="0"/>
              <w:spacing w:line="259" w:lineRule="auto"/>
              <w:ind w:left="426"/>
              <w:contextualSpacing/>
              <w:jc w:val="both"/>
              <w:rPr>
                <w:rFonts w:ascii="Garamond" w:hAnsi="Garamond"/>
                <w:sz w:val="22"/>
                <w:szCs w:val="22"/>
              </w:rPr>
            </w:pPr>
            <w:r w:rsidRPr="006F6DAC">
              <w:rPr>
                <w:rFonts w:ascii="Garamond" w:hAnsi="Garamond"/>
                <w:sz w:val="22"/>
                <w:szCs w:val="22"/>
                <w:lang w:val="en-US"/>
              </w:rPr>
              <w:t>ats</w:t>
            </w:r>
            <w:r w:rsidRPr="006F6DAC">
              <w:rPr>
                <w:rFonts w:ascii="Garamond" w:hAnsi="Garamond"/>
                <w:sz w:val="22"/>
                <w:szCs w:val="22"/>
              </w:rPr>
              <w:t>-</w:t>
            </w:r>
            <w:r w:rsidRPr="006F6DAC">
              <w:rPr>
                <w:rFonts w:ascii="Garamond" w:hAnsi="Garamond"/>
                <w:sz w:val="22"/>
                <w:szCs w:val="22"/>
                <w:lang w:val="en-US"/>
              </w:rPr>
              <w:t>code</w:t>
            </w:r>
            <w:r w:rsidRPr="006F6DAC">
              <w:rPr>
                <w:rFonts w:ascii="Garamond" w:hAnsi="Garamond"/>
                <w:sz w:val="22"/>
                <w:szCs w:val="22"/>
              </w:rPr>
              <w:t xml:space="preserve"> – полный код </w:t>
            </w:r>
            <w:r w:rsidRPr="006F6DAC">
              <w:rPr>
                <w:rFonts w:ascii="Garamond" w:hAnsi="Garamond"/>
                <w:sz w:val="22"/>
                <w:szCs w:val="22"/>
                <w:highlight w:val="yellow"/>
              </w:rPr>
              <w:t>объекта измерений</w:t>
            </w:r>
            <w:r w:rsidRPr="006F6DAC">
              <w:rPr>
                <w:rFonts w:ascii="Garamond" w:hAnsi="Garamond"/>
                <w:sz w:val="22"/>
                <w:szCs w:val="22"/>
              </w:rPr>
              <w:t xml:space="preserve"> в БД ИАСУ КУ. Обязательный атрибут. Является числом из 15 символов;</w:t>
            </w:r>
          </w:p>
          <w:p w14:paraId="18AE7B4D" w14:textId="77777777" w:rsidR="00F11A8B" w:rsidRPr="006F6DAC" w:rsidRDefault="00F11A8B" w:rsidP="00F11A8B">
            <w:pPr>
              <w:numPr>
                <w:ilvl w:val="0"/>
                <w:numId w:val="242"/>
              </w:numPr>
              <w:suppressAutoHyphens w:val="0"/>
              <w:spacing w:line="259" w:lineRule="auto"/>
              <w:ind w:left="426"/>
              <w:contextualSpacing/>
              <w:jc w:val="both"/>
              <w:rPr>
                <w:rFonts w:ascii="Garamond" w:hAnsi="Garamond"/>
                <w:sz w:val="22"/>
                <w:szCs w:val="22"/>
              </w:rPr>
            </w:pPr>
            <w:r w:rsidRPr="006F6DAC">
              <w:rPr>
                <w:rFonts w:ascii="Garamond" w:hAnsi="Garamond"/>
                <w:sz w:val="22"/>
                <w:szCs w:val="22"/>
              </w:rPr>
              <w:t>name – наименование объекта измерени</w:t>
            </w:r>
            <w:r w:rsidRPr="006F6DAC">
              <w:rPr>
                <w:rFonts w:ascii="Garamond" w:hAnsi="Garamond"/>
                <w:sz w:val="22"/>
                <w:szCs w:val="22"/>
                <w:highlight w:val="yellow"/>
              </w:rPr>
              <w:t>й</w:t>
            </w:r>
            <w:r w:rsidRPr="006F6DAC">
              <w:rPr>
                <w:rFonts w:ascii="Garamond" w:hAnsi="Garamond"/>
                <w:sz w:val="22"/>
                <w:szCs w:val="22"/>
              </w:rPr>
              <w:t xml:space="preserve">. Обязательный атрибут для всех </w:t>
            </w:r>
            <w:r w:rsidRPr="006F6DAC">
              <w:rPr>
                <w:rFonts w:ascii="Garamond" w:hAnsi="Garamond"/>
                <w:sz w:val="22"/>
                <w:szCs w:val="22"/>
                <w:highlight w:val="yellow"/>
              </w:rPr>
              <w:t>объектов измерений</w:t>
            </w:r>
            <w:r w:rsidRPr="006F6DAC">
              <w:rPr>
                <w:rFonts w:ascii="Garamond" w:hAnsi="Garamond"/>
                <w:sz w:val="22"/>
                <w:szCs w:val="22"/>
              </w:rPr>
              <w:t>. Длина наименования до 250 символов;</w:t>
            </w:r>
          </w:p>
          <w:p w14:paraId="78BCF42A" w14:textId="77777777" w:rsidR="00F11A8B" w:rsidRPr="006F6DAC" w:rsidRDefault="00F11A8B" w:rsidP="00F11A8B">
            <w:pPr>
              <w:numPr>
                <w:ilvl w:val="0"/>
                <w:numId w:val="242"/>
              </w:numPr>
              <w:suppressAutoHyphens w:val="0"/>
              <w:spacing w:line="259" w:lineRule="auto"/>
              <w:ind w:left="426"/>
              <w:contextualSpacing/>
              <w:jc w:val="both"/>
              <w:rPr>
                <w:rFonts w:ascii="Garamond" w:hAnsi="Garamond"/>
                <w:sz w:val="22"/>
                <w:szCs w:val="22"/>
              </w:rPr>
            </w:pPr>
            <w:r w:rsidRPr="006F6DAC">
              <w:rPr>
                <w:rFonts w:ascii="Garamond" w:hAnsi="Garamond"/>
                <w:sz w:val="22"/>
                <w:szCs w:val="22"/>
                <w:lang w:val="en-US"/>
              </w:rPr>
              <w:t>measuring</w:t>
            </w:r>
            <w:r w:rsidRPr="006F6DAC">
              <w:rPr>
                <w:rFonts w:ascii="Garamond" w:hAnsi="Garamond"/>
                <w:sz w:val="22"/>
                <w:szCs w:val="22"/>
              </w:rPr>
              <w:t>-</w:t>
            </w:r>
            <w:r w:rsidRPr="006F6DAC">
              <w:rPr>
                <w:rFonts w:ascii="Garamond" w:hAnsi="Garamond"/>
                <w:sz w:val="22"/>
                <w:szCs w:val="22"/>
                <w:lang w:val="en-US"/>
              </w:rPr>
              <w:t>object</w:t>
            </w:r>
            <w:r w:rsidRPr="006F6DAC">
              <w:rPr>
                <w:rFonts w:ascii="Garamond" w:hAnsi="Garamond"/>
                <w:sz w:val="22"/>
                <w:szCs w:val="22"/>
              </w:rPr>
              <w:t>-</w:t>
            </w:r>
            <w:r w:rsidRPr="006F6DAC">
              <w:rPr>
                <w:rFonts w:ascii="Garamond" w:hAnsi="Garamond"/>
                <w:sz w:val="22"/>
                <w:szCs w:val="22"/>
                <w:lang w:val="en-US"/>
              </w:rPr>
              <w:t>type</w:t>
            </w:r>
            <w:r w:rsidRPr="006F6DAC">
              <w:rPr>
                <w:rFonts w:ascii="Garamond" w:hAnsi="Garamond"/>
                <w:sz w:val="22"/>
                <w:szCs w:val="22"/>
              </w:rPr>
              <w:t xml:space="preserve"> – тип </w:t>
            </w:r>
            <w:r w:rsidRPr="006F6DAC">
              <w:rPr>
                <w:rFonts w:ascii="Garamond" w:hAnsi="Garamond"/>
                <w:sz w:val="22"/>
                <w:szCs w:val="22"/>
                <w:highlight w:val="yellow"/>
              </w:rPr>
              <w:t>объекта измерений</w:t>
            </w:r>
            <w:r w:rsidRPr="006F6DAC">
              <w:rPr>
                <w:rFonts w:ascii="Garamond" w:hAnsi="Garamond"/>
                <w:sz w:val="22"/>
                <w:szCs w:val="22"/>
              </w:rPr>
              <w:t xml:space="preserve"> в БД ИАСУ КУ. Является обязательным и содержит значение «1» – схема измерений;</w:t>
            </w:r>
          </w:p>
          <w:p w14:paraId="03EFDC22" w14:textId="77777777" w:rsidR="00F11A8B" w:rsidRPr="006F6DAC" w:rsidRDefault="00F11A8B" w:rsidP="00F11A8B">
            <w:pPr>
              <w:numPr>
                <w:ilvl w:val="0"/>
                <w:numId w:val="242"/>
              </w:numPr>
              <w:suppressAutoHyphens w:val="0"/>
              <w:spacing w:line="259" w:lineRule="auto"/>
              <w:ind w:left="426"/>
              <w:contextualSpacing/>
              <w:jc w:val="both"/>
              <w:rPr>
                <w:rFonts w:ascii="Garamond" w:hAnsi="Garamond"/>
                <w:b/>
                <w:sz w:val="22"/>
                <w:szCs w:val="22"/>
                <w:lang w:val="en-US"/>
              </w:rPr>
            </w:pPr>
            <w:r w:rsidRPr="006F6DAC">
              <w:rPr>
                <w:rFonts w:ascii="Garamond" w:hAnsi="Garamond"/>
                <w:sz w:val="22"/>
                <w:szCs w:val="22"/>
                <w:lang w:val="en-US"/>
              </w:rPr>
              <w:t>period</w:t>
            </w:r>
            <w:r w:rsidRPr="006F6DAC">
              <w:rPr>
                <w:rFonts w:ascii="Garamond" w:hAnsi="Garamond"/>
                <w:sz w:val="22"/>
                <w:szCs w:val="22"/>
              </w:rPr>
              <w:t xml:space="preserve"> – содержит информацию о периоде (скважности) объекта измерени</w:t>
            </w:r>
            <w:r w:rsidRPr="006F6DAC">
              <w:rPr>
                <w:rFonts w:ascii="Garamond" w:hAnsi="Garamond"/>
                <w:sz w:val="22"/>
                <w:szCs w:val="22"/>
                <w:highlight w:val="yellow"/>
              </w:rPr>
              <w:t>й</w:t>
            </w:r>
            <w:r w:rsidRPr="006F6DAC">
              <w:rPr>
                <w:rFonts w:ascii="Garamond" w:hAnsi="Garamond"/>
                <w:sz w:val="22"/>
                <w:szCs w:val="22"/>
              </w:rPr>
              <w:t>. Если значение 30 – скважность получасовая, если значение 60 – скважность часовая.</w:t>
            </w:r>
          </w:p>
        </w:tc>
      </w:tr>
      <w:tr w:rsidR="00F11A8B" w:rsidRPr="006F6DAC" w14:paraId="1F71DE88" w14:textId="77777777" w:rsidTr="006F6DAC">
        <w:tc>
          <w:tcPr>
            <w:tcW w:w="1060" w:type="dxa"/>
          </w:tcPr>
          <w:p w14:paraId="6517D69A" w14:textId="7B5EAE3F" w:rsidR="00F11A8B" w:rsidRPr="006F6DAC" w:rsidRDefault="00F11A8B" w:rsidP="00F11A8B">
            <w:pPr>
              <w:widowControl w:val="0"/>
              <w:spacing w:line="259" w:lineRule="auto"/>
              <w:jc w:val="center"/>
              <w:rPr>
                <w:rFonts w:ascii="Garamond" w:hAnsi="Garamond"/>
                <w:b/>
                <w:sz w:val="22"/>
                <w:szCs w:val="22"/>
                <w:lang w:eastAsia="en-US"/>
              </w:rPr>
            </w:pPr>
            <w:r w:rsidRPr="006F6DAC">
              <w:rPr>
                <w:rFonts w:ascii="Garamond" w:hAnsi="Garamond"/>
                <w:b/>
                <w:sz w:val="22"/>
                <w:szCs w:val="22"/>
                <w:lang w:eastAsia="en-US"/>
              </w:rPr>
              <w:lastRenderedPageBreak/>
              <w:t>Приложение 8, п.</w:t>
            </w:r>
            <w:r w:rsidR="006F6DAC">
              <w:rPr>
                <w:rFonts w:ascii="Garamond" w:hAnsi="Garamond"/>
                <w:b/>
                <w:sz w:val="22"/>
                <w:szCs w:val="22"/>
                <w:lang w:eastAsia="en-US"/>
              </w:rPr>
              <w:t xml:space="preserve"> </w:t>
            </w:r>
            <w:r w:rsidRPr="006F6DAC">
              <w:rPr>
                <w:rFonts w:ascii="Garamond" w:hAnsi="Garamond"/>
                <w:b/>
                <w:sz w:val="22"/>
                <w:szCs w:val="22"/>
                <w:lang w:eastAsia="en-US"/>
              </w:rPr>
              <w:t>2.3.1</w:t>
            </w:r>
          </w:p>
        </w:tc>
        <w:tc>
          <w:tcPr>
            <w:tcW w:w="6804" w:type="dxa"/>
          </w:tcPr>
          <w:p w14:paraId="5E90AE7B" w14:textId="77777777" w:rsidR="00F11A8B" w:rsidRPr="006F6DAC" w:rsidRDefault="00F11A8B" w:rsidP="00F11A8B">
            <w:pPr>
              <w:pStyle w:val="3"/>
              <w:keepLines/>
              <w:numPr>
                <w:ilvl w:val="0"/>
                <w:numId w:val="0"/>
              </w:numPr>
              <w:suppressAutoHyphens w:val="0"/>
              <w:spacing w:line="259" w:lineRule="auto"/>
              <w:ind w:right="33"/>
              <w:jc w:val="both"/>
              <w:rPr>
                <w:rFonts w:ascii="Garamond" w:hAnsi="Garamond"/>
                <w:b w:val="0"/>
                <w:color w:val="auto"/>
                <w:sz w:val="22"/>
                <w:szCs w:val="22"/>
              </w:rPr>
            </w:pPr>
            <w:r w:rsidRPr="006F6DAC">
              <w:rPr>
                <w:rFonts w:ascii="Garamond" w:hAnsi="Garamond"/>
                <w:b w:val="0"/>
                <w:color w:val="auto"/>
                <w:sz w:val="22"/>
                <w:szCs w:val="22"/>
              </w:rPr>
              <w:t>&lt;</w:t>
            </w:r>
            <w:r w:rsidRPr="006F6DAC">
              <w:rPr>
                <w:rFonts w:ascii="Garamond" w:hAnsi="Garamond"/>
                <w:b w:val="0"/>
                <w:color w:val="auto"/>
                <w:sz w:val="22"/>
                <w:szCs w:val="22"/>
                <w:lang w:val="en-US"/>
              </w:rPr>
              <w:t>ov</w:t>
            </w:r>
            <w:r w:rsidRPr="006F6DAC">
              <w:rPr>
                <w:rFonts w:ascii="Garamond" w:hAnsi="Garamond"/>
                <w:b w:val="0"/>
                <w:color w:val="auto"/>
                <w:sz w:val="22"/>
                <w:szCs w:val="22"/>
              </w:rPr>
              <w:t>-</w:t>
            </w:r>
            <w:r w:rsidRPr="006F6DAC">
              <w:rPr>
                <w:rFonts w:ascii="Garamond" w:hAnsi="Garamond"/>
                <w:b w:val="0"/>
                <w:color w:val="auto"/>
                <w:sz w:val="22"/>
                <w:szCs w:val="22"/>
                <w:lang w:val="en-US"/>
              </w:rPr>
              <w:t>measuring</w:t>
            </w:r>
            <w:r w:rsidRPr="006F6DAC">
              <w:rPr>
                <w:rFonts w:ascii="Garamond" w:hAnsi="Garamond"/>
                <w:b w:val="0"/>
                <w:color w:val="auto"/>
                <w:sz w:val="22"/>
                <w:szCs w:val="22"/>
              </w:rPr>
              <w:t>-</w:t>
            </w:r>
            <w:r w:rsidRPr="006F6DAC">
              <w:rPr>
                <w:rFonts w:ascii="Garamond" w:hAnsi="Garamond"/>
                <w:b w:val="0"/>
                <w:color w:val="auto"/>
                <w:sz w:val="22"/>
                <w:szCs w:val="22"/>
                <w:lang w:val="en-US"/>
              </w:rPr>
              <w:t>point</w:t>
            </w:r>
            <w:r w:rsidRPr="006F6DAC">
              <w:rPr>
                <w:rFonts w:ascii="Garamond" w:hAnsi="Garamond"/>
                <w:b w:val="0"/>
                <w:color w:val="auto"/>
                <w:sz w:val="22"/>
                <w:szCs w:val="22"/>
              </w:rPr>
              <w:t>-</w:t>
            </w:r>
            <w:r w:rsidRPr="006F6DAC">
              <w:rPr>
                <w:rFonts w:ascii="Garamond" w:hAnsi="Garamond"/>
                <w:b w:val="0"/>
                <w:color w:val="auto"/>
                <w:sz w:val="22"/>
                <w:szCs w:val="22"/>
                <w:lang w:val="en-US"/>
              </w:rPr>
              <w:t>links</w:t>
            </w:r>
            <w:r w:rsidRPr="006F6DAC">
              <w:rPr>
                <w:rFonts w:ascii="Garamond" w:hAnsi="Garamond"/>
                <w:b w:val="0"/>
                <w:color w:val="auto"/>
                <w:sz w:val="22"/>
                <w:szCs w:val="22"/>
              </w:rPr>
              <w:t>&gt;</w:t>
            </w:r>
          </w:p>
          <w:p w14:paraId="6F828B08" w14:textId="77777777" w:rsidR="00F11A8B" w:rsidRPr="006F6DAC" w:rsidRDefault="00F11A8B" w:rsidP="00F11A8B">
            <w:pPr>
              <w:ind w:right="33"/>
              <w:jc w:val="both"/>
              <w:rPr>
                <w:rFonts w:ascii="Garamond" w:hAnsi="Garamond"/>
                <w:sz w:val="22"/>
                <w:szCs w:val="22"/>
              </w:rPr>
            </w:pPr>
            <w:r w:rsidRPr="006F6DAC">
              <w:rPr>
                <w:rFonts w:ascii="Garamond" w:hAnsi="Garamond"/>
                <w:sz w:val="22"/>
                <w:szCs w:val="22"/>
              </w:rPr>
              <w:t>Элемент &lt;ov-m</w:t>
            </w:r>
            <w:r w:rsidRPr="006F6DAC">
              <w:rPr>
                <w:rFonts w:ascii="Garamond" w:hAnsi="Garamond"/>
                <w:sz w:val="22"/>
                <w:szCs w:val="22"/>
                <w:lang w:val="en-US"/>
              </w:rPr>
              <w:t>easuring</w:t>
            </w:r>
            <w:r w:rsidRPr="006F6DAC">
              <w:rPr>
                <w:rFonts w:ascii="Garamond" w:hAnsi="Garamond"/>
                <w:sz w:val="22"/>
                <w:szCs w:val="22"/>
              </w:rPr>
              <w:t>-</w:t>
            </w:r>
            <w:r w:rsidRPr="006F6DAC">
              <w:rPr>
                <w:rFonts w:ascii="Garamond" w:hAnsi="Garamond"/>
                <w:sz w:val="22"/>
                <w:szCs w:val="22"/>
                <w:lang w:val="en-US"/>
              </w:rPr>
              <w:t>point</w:t>
            </w:r>
            <w:r w:rsidRPr="006F6DAC">
              <w:rPr>
                <w:rFonts w:ascii="Garamond" w:hAnsi="Garamond"/>
                <w:sz w:val="22"/>
                <w:szCs w:val="22"/>
              </w:rPr>
              <w:t>-links&gt; содержит связи обходных выключателей и плавок гололеда с обслуживаемыми точками измерени</w:t>
            </w:r>
            <w:r w:rsidRPr="006F6DAC">
              <w:rPr>
                <w:rFonts w:ascii="Garamond" w:hAnsi="Garamond"/>
                <w:sz w:val="22"/>
                <w:szCs w:val="22"/>
                <w:highlight w:val="yellow"/>
              </w:rPr>
              <w:t>я</w:t>
            </w:r>
            <w:r w:rsidRPr="006F6DAC">
              <w:rPr>
                <w:rFonts w:ascii="Garamond" w:hAnsi="Garamond"/>
                <w:sz w:val="22"/>
                <w:szCs w:val="22"/>
              </w:rPr>
              <w:t>. Элемент является необязательным.</w:t>
            </w:r>
          </w:p>
          <w:p w14:paraId="7E1CB6C0" w14:textId="77777777" w:rsidR="00F11A8B" w:rsidRPr="006F6DAC" w:rsidRDefault="00F11A8B" w:rsidP="00F11A8B">
            <w:pPr>
              <w:ind w:right="33"/>
              <w:jc w:val="both"/>
              <w:rPr>
                <w:rFonts w:ascii="Garamond" w:hAnsi="Garamond"/>
                <w:sz w:val="22"/>
                <w:szCs w:val="22"/>
              </w:rPr>
            </w:pPr>
            <w:r w:rsidRPr="006F6DAC">
              <w:rPr>
                <w:rFonts w:ascii="Garamond" w:hAnsi="Garamond"/>
                <w:sz w:val="22"/>
                <w:szCs w:val="22"/>
              </w:rPr>
              <w:t>Дочерними элементами являются: &lt;</w:t>
            </w:r>
            <w:r w:rsidRPr="006F6DAC">
              <w:rPr>
                <w:rFonts w:ascii="Garamond" w:hAnsi="Garamond"/>
                <w:sz w:val="22"/>
                <w:szCs w:val="22"/>
                <w:lang w:val="en-US"/>
              </w:rPr>
              <w:t>ov</w:t>
            </w:r>
            <w:r w:rsidRPr="006F6DAC">
              <w:rPr>
                <w:rFonts w:ascii="Garamond" w:hAnsi="Garamond"/>
                <w:sz w:val="22"/>
                <w:szCs w:val="22"/>
              </w:rPr>
              <w:t>-</w:t>
            </w:r>
            <w:r w:rsidRPr="006F6DAC">
              <w:rPr>
                <w:rFonts w:ascii="Garamond" w:hAnsi="Garamond"/>
                <w:sz w:val="22"/>
                <w:szCs w:val="22"/>
                <w:lang w:val="en-US"/>
              </w:rPr>
              <w:t>measuring</w:t>
            </w:r>
            <w:r w:rsidRPr="006F6DAC">
              <w:rPr>
                <w:rFonts w:ascii="Garamond" w:hAnsi="Garamond"/>
                <w:sz w:val="22"/>
                <w:szCs w:val="22"/>
              </w:rPr>
              <w:t>-</w:t>
            </w:r>
            <w:r w:rsidRPr="006F6DAC">
              <w:rPr>
                <w:rFonts w:ascii="Garamond" w:hAnsi="Garamond"/>
                <w:sz w:val="22"/>
                <w:szCs w:val="22"/>
                <w:lang w:val="en-US"/>
              </w:rPr>
              <w:t>point</w:t>
            </w:r>
            <w:r w:rsidRPr="006F6DAC">
              <w:rPr>
                <w:rFonts w:ascii="Garamond" w:hAnsi="Garamond"/>
                <w:sz w:val="22"/>
                <w:szCs w:val="22"/>
              </w:rPr>
              <w:t>-</w:t>
            </w:r>
            <w:r w:rsidRPr="006F6DAC">
              <w:rPr>
                <w:rFonts w:ascii="Garamond" w:hAnsi="Garamond"/>
                <w:sz w:val="22"/>
                <w:szCs w:val="22"/>
                <w:lang w:val="en-US"/>
              </w:rPr>
              <w:t>link</w:t>
            </w:r>
            <w:r w:rsidRPr="006F6DAC">
              <w:rPr>
                <w:rFonts w:ascii="Garamond" w:hAnsi="Garamond"/>
                <w:sz w:val="22"/>
                <w:szCs w:val="22"/>
              </w:rPr>
              <w:t>&gt;.</w:t>
            </w:r>
          </w:p>
        </w:tc>
        <w:tc>
          <w:tcPr>
            <w:tcW w:w="7115" w:type="dxa"/>
          </w:tcPr>
          <w:p w14:paraId="2E9BE5E7" w14:textId="77777777" w:rsidR="00F11A8B" w:rsidRPr="006F6DAC" w:rsidRDefault="00F11A8B" w:rsidP="00F11A8B">
            <w:pPr>
              <w:pStyle w:val="3"/>
              <w:keepLines/>
              <w:numPr>
                <w:ilvl w:val="0"/>
                <w:numId w:val="0"/>
              </w:numPr>
              <w:suppressAutoHyphens w:val="0"/>
              <w:spacing w:line="259" w:lineRule="auto"/>
              <w:jc w:val="both"/>
              <w:rPr>
                <w:rFonts w:ascii="Garamond" w:hAnsi="Garamond"/>
                <w:b w:val="0"/>
                <w:color w:val="auto"/>
                <w:sz w:val="22"/>
                <w:szCs w:val="22"/>
              </w:rPr>
            </w:pPr>
            <w:r w:rsidRPr="006F6DAC">
              <w:rPr>
                <w:rFonts w:ascii="Garamond" w:hAnsi="Garamond"/>
                <w:b w:val="0"/>
                <w:color w:val="auto"/>
                <w:sz w:val="22"/>
                <w:szCs w:val="22"/>
              </w:rPr>
              <w:t>&lt;</w:t>
            </w:r>
            <w:r w:rsidRPr="006F6DAC">
              <w:rPr>
                <w:rFonts w:ascii="Garamond" w:hAnsi="Garamond"/>
                <w:b w:val="0"/>
                <w:color w:val="auto"/>
                <w:sz w:val="22"/>
                <w:szCs w:val="22"/>
                <w:lang w:val="en-US"/>
              </w:rPr>
              <w:t>ov</w:t>
            </w:r>
            <w:r w:rsidRPr="006F6DAC">
              <w:rPr>
                <w:rFonts w:ascii="Garamond" w:hAnsi="Garamond"/>
                <w:b w:val="0"/>
                <w:color w:val="auto"/>
                <w:sz w:val="22"/>
                <w:szCs w:val="22"/>
              </w:rPr>
              <w:t>-</w:t>
            </w:r>
            <w:r w:rsidRPr="006F6DAC">
              <w:rPr>
                <w:rFonts w:ascii="Garamond" w:hAnsi="Garamond"/>
                <w:b w:val="0"/>
                <w:color w:val="auto"/>
                <w:sz w:val="22"/>
                <w:szCs w:val="22"/>
                <w:lang w:val="en-US"/>
              </w:rPr>
              <w:t>measuring</w:t>
            </w:r>
            <w:r w:rsidRPr="006F6DAC">
              <w:rPr>
                <w:rFonts w:ascii="Garamond" w:hAnsi="Garamond"/>
                <w:b w:val="0"/>
                <w:color w:val="auto"/>
                <w:sz w:val="22"/>
                <w:szCs w:val="22"/>
              </w:rPr>
              <w:t>-</w:t>
            </w:r>
            <w:r w:rsidRPr="006F6DAC">
              <w:rPr>
                <w:rFonts w:ascii="Garamond" w:hAnsi="Garamond"/>
                <w:b w:val="0"/>
                <w:color w:val="auto"/>
                <w:sz w:val="22"/>
                <w:szCs w:val="22"/>
                <w:lang w:val="en-US"/>
              </w:rPr>
              <w:t>point</w:t>
            </w:r>
            <w:r w:rsidRPr="006F6DAC">
              <w:rPr>
                <w:rFonts w:ascii="Garamond" w:hAnsi="Garamond"/>
                <w:b w:val="0"/>
                <w:color w:val="auto"/>
                <w:sz w:val="22"/>
                <w:szCs w:val="22"/>
              </w:rPr>
              <w:t>-</w:t>
            </w:r>
            <w:r w:rsidRPr="006F6DAC">
              <w:rPr>
                <w:rFonts w:ascii="Garamond" w:hAnsi="Garamond"/>
                <w:b w:val="0"/>
                <w:color w:val="auto"/>
                <w:sz w:val="22"/>
                <w:szCs w:val="22"/>
                <w:lang w:val="en-US"/>
              </w:rPr>
              <w:t>links</w:t>
            </w:r>
            <w:r w:rsidRPr="006F6DAC">
              <w:rPr>
                <w:rFonts w:ascii="Garamond" w:hAnsi="Garamond"/>
                <w:b w:val="0"/>
                <w:color w:val="auto"/>
                <w:sz w:val="22"/>
                <w:szCs w:val="22"/>
              </w:rPr>
              <w:t>&gt;</w:t>
            </w:r>
          </w:p>
          <w:p w14:paraId="2DCF9607" w14:textId="77777777" w:rsidR="00F11A8B" w:rsidRPr="006F6DAC" w:rsidRDefault="00F11A8B" w:rsidP="00F11A8B">
            <w:pPr>
              <w:jc w:val="both"/>
              <w:rPr>
                <w:rFonts w:ascii="Garamond" w:hAnsi="Garamond"/>
                <w:sz w:val="22"/>
                <w:szCs w:val="22"/>
              </w:rPr>
            </w:pPr>
            <w:r w:rsidRPr="006F6DAC">
              <w:rPr>
                <w:rFonts w:ascii="Garamond" w:hAnsi="Garamond"/>
                <w:sz w:val="22"/>
                <w:szCs w:val="22"/>
              </w:rPr>
              <w:t>Элемент &lt;ov-m</w:t>
            </w:r>
            <w:r w:rsidRPr="006F6DAC">
              <w:rPr>
                <w:rFonts w:ascii="Garamond" w:hAnsi="Garamond"/>
                <w:sz w:val="22"/>
                <w:szCs w:val="22"/>
                <w:lang w:val="en-US"/>
              </w:rPr>
              <w:t>easuring</w:t>
            </w:r>
            <w:r w:rsidRPr="006F6DAC">
              <w:rPr>
                <w:rFonts w:ascii="Garamond" w:hAnsi="Garamond"/>
                <w:sz w:val="22"/>
                <w:szCs w:val="22"/>
              </w:rPr>
              <w:t>-</w:t>
            </w:r>
            <w:r w:rsidRPr="006F6DAC">
              <w:rPr>
                <w:rFonts w:ascii="Garamond" w:hAnsi="Garamond"/>
                <w:sz w:val="22"/>
                <w:szCs w:val="22"/>
                <w:lang w:val="en-US"/>
              </w:rPr>
              <w:t>point</w:t>
            </w:r>
            <w:r w:rsidRPr="006F6DAC">
              <w:rPr>
                <w:rFonts w:ascii="Garamond" w:hAnsi="Garamond"/>
                <w:sz w:val="22"/>
                <w:szCs w:val="22"/>
              </w:rPr>
              <w:t>-links&gt; содержит связи обходных выключателей и плавок гололеда с обслуживаемыми точками измерени</w:t>
            </w:r>
            <w:r w:rsidRPr="006F6DAC">
              <w:rPr>
                <w:rFonts w:ascii="Garamond" w:hAnsi="Garamond"/>
                <w:sz w:val="22"/>
                <w:szCs w:val="22"/>
                <w:highlight w:val="yellow"/>
              </w:rPr>
              <w:t>й</w:t>
            </w:r>
            <w:r w:rsidRPr="006F6DAC">
              <w:rPr>
                <w:rFonts w:ascii="Garamond" w:hAnsi="Garamond"/>
                <w:sz w:val="22"/>
                <w:szCs w:val="22"/>
              </w:rPr>
              <w:t>. Элемент является необязательным.</w:t>
            </w:r>
          </w:p>
          <w:p w14:paraId="0FBB4C7C" w14:textId="77777777" w:rsidR="00F11A8B" w:rsidRPr="006F6DAC" w:rsidRDefault="00F11A8B" w:rsidP="00F11A8B">
            <w:pPr>
              <w:pStyle w:val="40"/>
              <w:keepLines/>
              <w:numPr>
                <w:ilvl w:val="0"/>
                <w:numId w:val="0"/>
              </w:numPr>
              <w:suppressAutoHyphens w:val="0"/>
              <w:spacing w:line="259" w:lineRule="auto"/>
              <w:jc w:val="both"/>
              <w:rPr>
                <w:rFonts w:ascii="Garamond" w:eastAsia="Calibri" w:hAnsi="Garamond"/>
                <w:b w:val="0"/>
                <w:sz w:val="22"/>
                <w:szCs w:val="22"/>
              </w:rPr>
            </w:pPr>
            <w:r w:rsidRPr="006F6DAC">
              <w:rPr>
                <w:rFonts w:ascii="Garamond" w:hAnsi="Garamond"/>
                <w:b w:val="0"/>
                <w:sz w:val="22"/>
                <w:szCs w:val="22"/>
              </w:rPr>
              <w:t>Дочерними элементами являются: &lt;</w:t>
            </w:r>
            <w:r w:rsidRPr="006F6DAC">
              <w:rPr>
                <w:rFonts w:ascii="Garamond" w:hAnsi="Garamond"/>
                <w:b w:val="0"/>
                <w:sz w:val="22"/>
                <w:szCs w:val="22"/>
                <w:lang w:val="en-US"/>
              </w:rPr>
              <w:t>ov</w:t>
            </w:r>
            <w:r w:rsidRPr="006F6DAC">
              <w:rPr>
                <w:rFonts w:ascii="Garamond" w:hAnsi="Garamond"/>
                <w:b w:val="0"/>
                <w:sz w:val="22"/>
                <w:szCs w:val="22"/>
              </w:rPr>
              <w:t>-</w:t>
            </w:r>
            <w:r w:rsidRPr="006F6DAC">
              <w:rPr>
                <w:rFonts w:ascii="Garamond" w:hAnsi="Garamond"/>
                <w:b w:val="0"/>
                <w:sz w:val="22"/>
                <w:szCs w:val="22"/>
                <w:lang w:val="en-US"/>
              </w:rPr>
              <w:t>measuring</w:t>
            </w:r>
            <w:r w:rsidRPr="006F6DAC">
              <w:rPr>
                <w:rFonts w:ascii="Garamond" w:hAnsi="Garamond"/>
                <w:b w:val="0"/>
                <w:sz w:val="22"/>
                <w:szCs w:val="22"/>
              </w:rPr>
              <w:t>-</w:t>
            </w:r>
            <w:r w:rsidRPr="006F6DAC">
              <w:rPr>
                <w:rFonts w:ascii="Garamond" w:hAnsi="Garamond"/>
                <w:b w:val="0"/>
                <w:sz w:val="22"/>
                <w:szCs w:val="22"/>
                <w:lang w:val="en-US"/>
              </w:rPr>
              <w:t>point</w:t>
            </w:r>
            <w:r w:rsidRPr="006F6DAC">
              <w:rPr>
                <w:rFonts w:ascii="Garamond" w:hAnsi="Garamond"/>
                <w:b w:val="0"/>
                <w:sz w:val="22"/>
                <w:szCs w:val="22"/>
              </w:rPr>
              <w:t>-</w:t>
            </w:r>
            <w:r w:rsidRPr="006F6DAC">
              <w:rPr>
                <w:rFonts w:ascii="Garamond" w:hAnsi="Garamond"/>
                <w:b w:val="0"/>
                <w:sz w:val="22"/>
                <w:szCs w:val="22"/>
                <w:lang w:val="en-US"/>
              </w:rPr>
              <w:t>link</w:t>
            </w:r>
            <w:r w:rsidRPr="006F6DAC">
              <w:rPr>
                <w:rFonts w:ascii="Garamond" w:hAnsi="Garamond"/>
                <w:b w:val="0"/>
                <w:sz w:val="22"/>
                <w:szCs w:val="22"/>
              </w:rPr>
              <w:t>&gt;.</w:t>
            </w:r>
          </w:p>
        </w:tc>
      </w:tr>
      <w:tr w:rsidR="00F11A8B" w:rsidRPr="006F6DAC" w14:paraId="6979EB99" w14:textId="77777777" w:rsidTr="006F6DAC">
        <w:tc>
          <w:tcPr>
            <w:tcW w:w="1060" w:type="dxa"/>
          </w:tcPr>
          <w:p w14:paraId="6E72C4B2" w14:textId="2EBB90B9" w:rsidR="00F11A8B" w:rsidRPr="006F6DAC" w:rsidRDefault="00F11A8B" w:rsidP="00F11A8B">
            <w:pPr>
              <w:widowControl w:val="0"/>
              <w:spacing w:line="259" w:lineRule="auto"/>
              <w:jc w:val="center"/>
              <w:rPr>
                <w:rFonts w:ascii="Garamond" w:hAnsi="Garamond"/>
                <w:b/>
                <w:sz w:val="22"/>
                <w:szCs w:val="22"/>
                <w:lang w:val="en-US" w:eastAsia="en-US"/>
              </w:rPr>
            </w:pPr>
            <w:r w:rsidRPr="006F6DAC">
              <w:rPr>
                <w:rFonts w:ascii="Garamond" w:hAnsi="Garamond"/>
                <w:b/>
                <w:sz w:val="22"/>
                <w:szCs w:val="22"/>
                <w:lang w:eastAsia="en-US"/>
              </w:rPr>
              <w:t>Приложение 8, п.</w:t>
            </w:r>
            <w:r w:rsidR="006F6DAC">
              <w:rPr>
                <w:rFonts w:ascii="Garamond" w:hAnsi="Garamond"/>
                <w:b/>
                <w:sz w:val="22"/>
                <w:szCs w:val="22"/>
                <w:lang w:eastAsia="en-US"/>
              </w:rPr>
              <w:t xml:space="preserve"> </w:t>
            </w:r>
            <w:r w:rsidRPr="006F6DAC">
              <w:rPr>
                <w:rFonts w:ascii="Garamond" w:hAnsi="Garamond"/>
                <w:b/>
                <w:sz w:val="22"/>
                <w:szCs w:val="22"/>
                <w:lang w:eastAsia="en-US"/>
              </w:rPr>
              <w:t>2.3.1</w:t>
            </w:r>
            <w:r w:rsidRPr="006F6DAC">
              <w:rPr>
                <w:rFonts w:ascii="Garamond" w:hAnsi="Garamond"/>
                <w:b/>
                <w:sz w:val="22"/>
                <w:szCs w:val="22"/>
                <w:lang w:val="en-US" w:eastAsia="en-US"/>
              </w:rPr>
              <w:t>.1</w:t>
            </w:r>
          </w:p>
        </w:tc>
        <w:tc>
          <w:tcPr>
            <w:tcW w:w="6804" w:type="dxa"/>
          </w:tcPr>
          <w:p w14:paraId="43F0D0D5" w14:textId="77777777" w:rsidR="00F11A8B" w:rsidRPr="006F6DAC" w:rsidRDefault="00F11A8B" w:rsidP="00F11A8B">
            <w:pPr>
              <w:pStyle w:val="40"/>
              <w:keepLines/>
              <w:numPr>
                <w:ilvl w:val="0"/>
                <w:numId w:val="0"/>
              </w:numPr>
              <w:suppressAutoHyphens w:val="0"/>
              <w:spacing w:line="259" w:lineRule="auto"/>
              <w:jc w:val="both"/>
              <w:rPr>
                <w:rFonts w:ascii="Garamond" w:hAnsi="Garamond"/>
                <w:b w:val="0"/>
                <w:i/>
                <w:sz w:val="22"/>
                <w:szCs w:val="22"/>
                <w:lang w:val="en-US"/>
              </w:rPr>
            </w:pPr>
            <w:r w:rsidRPr="006F6DAC">
              <w:rPr>
                <w:rFonts w:ascii="Garamond" w:hAnsi="Garamond"/>
                <w:b w:val="0"/>
                <w:i/>
                <w:sz w:val="22"/>
                <w:szCs w:val="22"/>
                <w:lang w:val="en-US"/>
              </w:rPr>
              <w:t>&lt;ov-measuring-point-link&gt;</w:t>
            </w:r>
          </w:p>
          <w:p w14:paraId="08885213" w14:textId="77777777" w:rsidR="00F11A8B" w:rsidRPr="006F6DAC" w:rsidRDefault="00F11A8B" w:rsidP="00F11A8B">
            <w:pPr>
              <w:contextualSpacing/>
              <w:jc w:val="both"/>
              <w:rPr>
                <w:rFonts w:ascii="Garamond" w:hAnsi="Garamond"/>
                <w:sz w:val="22"/>
                <w:szCs w:val="22"/>
                <w:lang w:val="en-US"/>
              </w:rPr>
            </w:pPr>
            <w:r w:rsidRPr="006F6DAC">
              <w:rPr>
                <w:rFonts w:ascii="Garamond" w:hAnsi="Garamond"/>
                <w:sz w:val="22"/>
                <w:szCs w:val="22"/>
              </w:rPr>
              <w:t>Содержит</w:t>
            </w:r>
            <w:r w:rsidRPr="006F6DAC">
              <w:rPr>
                <w:rFonts w:ascii="Garamond" w:hAnsi="Garamond"/>
                <w:sz w:val="22"/>
                <w:szCs w:val="22"/>
                <w:lang w:val="en-US"/>
              </w:rPr>
              <w:t xml:space="preserve"> </w:t>
            </w:r>
            <w:r w:rsidRPr="006F6DAC">
              <w:rPr>
                <w:rFonts w:ascii="Garamond" w:hAnsi="Garamond"/>
                <w:sz w:val="22"/>
                <w:szCs w:val="22"/>
              </w:rPr>
              <w:t>атрибуты</w:t>
            </w:r>
            <w:r w:rsidRPr="006F6DAC">
              <w:rPr>
                <w:rFonts w:ascii="Garamond" w:hAnsi="Garamond"/>
                <w:sz w:val="22"/>
                <w:szCs w:val="22"/>
                <w:lang w:val="en-US"/>
              </w:rPr>
              <w:t xml:space="preserve">: </w:t>
            </w:r>
          </w:p>
          <w:p w14:paraId="70C15C72" w14:textId="77777777" w:rsidR="00F11A8B" w:rsidRPr="006F6DAC" w:rsidRDefault="00F11A8B" w:rsidP="00F11A8B">
            <w:pPr>
              <w:numPr>
                <w:ilvl w:val="0"/>
                <w:numId w:val="242"/>
              </w:numPr>
              <w:suppressAutoHyphens w:val="0"/>
              <w:spacing w:line="259" w:lineRule="auto"/>
              <w:ind w:left="426"/>
              <w:contextualSpacing/>
              <w:jc w:val="both"/>
              <w:rPr>
                <w:rFonts w:ascii="Garamond" w:hAnsi="Garamond"/>
                <w:sz w:val="22"/>
                <w:szCs w:val="22"/>
              </w:rPr>
            </w:pPr>
            <w:r w:rsidRPr="006F6DAC">
              <w:rPr>
                <w:rFonts w:ascii="Garamond" w:hAnsi="Garamond"/>
                <w:sz w:val="22"/>
                <w:szCs w:val="22"/>
                <w:lang w:val="en-US"/>
              </w:rPr>
              <w:t xml:space="preserve">ov-measuring-point-code – </w:t>
            </w:r>
            <w:r w:rsidRPr="006F6DAC">
              <w:rPr>
                <w:rFonts w:ascii="Garamond" w:hAnsi="Garamond"/>
                <w:sz w:val="22"/>
                <w:szCs w:val="22"/>
              </w:rPr>
              <w:t>код</w:t>
            </w:r>
            <w:r w:rsidRPr="006F6DAC">
              <w:rPr>
                <w:rFonts w:ascii="Garamond" w:hAnsi="Garamond"/>
                <w:sz w:val="22"/>
                <w:szCs w:val="22"/>
                <w:lang w:val="en-US"/>
              </w:rPr>
              <w:t xml:space="preserve"> </w:t>
            </w:r>
            <w:r w:rsidRPr="006F6DAC">
              <w:rPr>
                <w:rFonts w:ascii="Garamond" w:hAnsi="Garamond"/>
                <w:sz w:val="22"/>
                <w:szCs w:val="22"/>
              </w:rPr>
              <w:t>АТС</w:t>
            </w:r>
            <w:r w:rsidRPr="006F6DAC">
              <w:rPr>
                <w:rFonts w:ascii="Garamond" w:hAnsi="Garamond"/>
                <w:sz w:val="22"/>
                <w:szCs w:val="22"/>
                <w:lang w:val="en-US"/>
              </w:rPr>
              <w:t xml:space="preserve"> </w:t>
            </w:r>
            <w:r w:rsidRPr="006F6DAC">
              <w:rPr>
                <w:rFonts w:ascii="Garamond" w:hAnsi="Garamond"/>
                <w:sz w:val="22"/>
                <w:szCs w:val="22"/>
              </w:rPr>
              <w:t>точки</w:t>
            </w:r>
            <w:r w:rsidRPr="006F6DAC">
              <w:rPr>
                <w:rFonts w:ascii="Garamond" w:hAnsi="Garamond"/>
                <w:sz w:val="22"/>
                <w:szCs w:val="22"/>
                <w:lang w:val="en-US"/>
              </w:rPr>
              <w:t xml:space="preserve"> </w:t>
            </w:r>
            <w:r w:rsidRPr="006F6DAC">
              <w:rPr>
                <w:rFonts w:ascii="Garamond" w:hAnsi="Garamond"/>
                <w:sz w:val="22"/>
                <w:szCs w:val="22"/>
              </w:rPr>
              <w:t>измерени</w:t>
            </w:r>
            <w:r w:rsidRPr="006F6DAC">
              <w:rPr>
                <w:rFonts w:ascii="Garamond" w:hAnsi="Garamond"/>
                <w:sz w:val="22"/>
                <w:szCs w:val="22"/>
                <w:highlight w:val="yellow"/>
              </w:rPr>
              <w:t>я</w:t>
            </w:r>
            <w:r w:rsidRPr="006F6DAC">
              <w:rPr>
                <w:rFonts w:ascii="Garamond" w:hAnsi="Garamond"/>
                <w:sz w:val="22"/>
                <w:szCs w:val="22"/>
                <w:lang w:val="en-US"/>
              </w:rPr>
              <w:t xml:space="preserve"> </w:t>
            </w:r>
            <w:r w:rsidRPr="006F6DAC">
              <w:rPr>
                <w:rFonts w:ascii="Garamond" w:hAnsi="Garamond"/>
                <w:sz w:val="22"/>
                <w:szCs w:val="22"/>
              </w:rPr>
              <w:t>ОВ</w:t>
            </w:r>
            <w:r w:rsidRPr="006F6DAC">
              <w:rPr>
                <w:rFonts w:ascii="Garamond" w:hAnsi="Garamond"/>
                <w:sz w:val="22"/>
                <w:szCs w:val="22"/>
                <w:lang w:val="en-US"/>
              </w:rPr>
              <w:t xml:space="preserve"> </w:t>
            </w:r>
            <w:r w:rsidRPr="006F6DAC">
              <w:rPr>
                <w:rFonts w:ascii="Garamond" w:hAnsi="Garamond"/>
                <w:sz w:val="22"/>
                <w:szCs w:val="22"/>
              </w:rPr>
              <w:t>или</w:t>
            </w:r>
            <w:r w:rsidRPr="006F6DAC">
              <w:rPr>
                <w:rFonts w:ascii="Garamond" w:hAnsi="Garamond"/>
                <w:sz w:val="22"/>
                <w:szCs w:val="22"/>
                <w:lang w:val="en-US"/>
              </w:rPr>
              <w:t xml:space="preserve"> </w:t>
            </w:r>
            <w:r w:rsidRPr="006F6DAC">
              <w:rPr>
                <w:rFonts w:ascii="Garamond" w:hAnsi="Garamond"/>
                <w:sz w:val="22"/>
                <w:szCs w:val="22"/>
              </w:rPr>
              <w:t>ПГ</w:t>
            </w:r>
            <w:r w:rsidRPr="006F6DAC">
              <w:rPr>
                <w:rFonts w:ascii="Garamond" w:hAnsi="Garamond"/>
                <w:sz w:val="22"/>
                <w:szCs w:val="22"/>
                <w:lang w:val="en-US"/>
              </w:rPr>
              <w:t xml:space="preserve"> (</w:t>
            </w:r>
            <w:r w:rsidRPr="006F6DAC">
              <w:rPr>
                <w:rFonts w:ascii="Garamond" w:hAnsi="Garamond"/>
                <w:sz w:val="22"/>
                <w:szCs w:val="22"/>
              </w:rPr>
              <w:t>из</w:t>
            </w:r>
            <w:r w:rsidRPr="006F6DAC">
              <w:rPr>
                <w:rFonts w:ascii="Garamond" w:hAnsi="Garamond"/>
                <w:sz w:val="22"/>
                <w:szCs w:val="22"/>
                <w:lang w:val="en-US"/>
              </w:rPr>
              <w:t xml:space="preserve"> </w:t>
            </w:r>
            <w:r w:rsidRPr="006F6DAC">
              <w:rPr>
                <w:rFonts w:ascii="Garamond" w:hAnsi="Garamond"/>
                <w:sz w:val="22"/>
                <w:szCs w:val="22"/>
              </w:rPr>
              <w:t>элемента</w:t>
            </w:r>
            <w:r w:rsidRPr="006F6DAC">
              <w:rPr>
                <w:rFonts w:ascii="Garamond" w:hAnsi="Garamond"/>
                <w:sz w:val="22"/>
                <w:szCs w:val="22"/>
                <w:lang w:val="en-US"/>
              </w:rPr>
              <w:t xml:space="preserve"> </w:t>
            </w:r>
            <w:r w:rsidRPr="00A5626D">
              <w:rPr>
                <w:rFonts w:ascii="Garamond" w:hAnsi="Garamond"/>
                <w:sz w:val="22"/>
                <w:szCs w:val="22"/>
                <w:highlight w:val="yellow"/>
                <w:lang w:val="en-US"/>
              </w:rPr>
              <w:t>&lt; m</w:t>
            </w:r>
            <w:r w:rsidRPr="006F6DAC">
              <w:rPr>
                <w:rFonts w:ascii="Garamond" w:hAnsi="Garamond"/>
                <w:sz w:val="22"/>
                <w:szCs w:val="22"/>
                <w:lang w:val="en-US"/>
              </w:rPr>
              <w:t xml:space="preserve">easuring-points&gt;). </w:t>
            </w:r>
            <w:r w:rsidRPr="006F6DAC">
              <w:rPr>
                <w:rFonts w:ascii="Garamond" w:hAnsi="Garamond"/>
                <w:sz w:val="22"/>
                <w:szCs w:val="22"/>
              </w:rPr>
              <w:t>Является обязательным числовым атрибутом длиной в 15 символов. В случае если длина выгружаемого из БД поля менее 15 символов, то к атрибуту в начале должен быть добавлен ведущий ноль (нули);</w:t>
            </w:r>
          </w:p>
          <w:p w14:paraId="45046E6F" w14:textId="77777777" w:rsidR="00F11A8B" w:rsidRPr="006F6DAC" w:rsidRDefault="00F11A8B" w:rsidP="00F11A8B">
            <w:pPr>
              <w:numPr>
                <w:ilvl w:val="0"/>
                <w:numId w:val="242"/>
              </w:numPr>
              <w:suppressAutoHyphens w:val="0"/>
              <w:spacing w:line="259" w:lineRule="auto"/>
              <w:ind w:left="426"/>
              <w:contextualSpacing/>
              <w:jc w:val="both"/>
              <w:rPr>
                <w:rFonts w:ascii="Garamond" w:hAnsi="Garamond"/>
                <w:b/>
                <w:sz w:val="22"/>
                <w:szCs w:val="22"/>
              </w:rPr>
            </w:pPr>
            <w:r w:rsidRPr="006F6DAC">
              <w:rPr>
                <w:rFonts w:ascii="Garamond" w:hAnsi="Garamond"/>
                <w:sz w:val="22"/>
                <w:szCs w:val="22"/>
                <w:lang w:val="en-US"/>
              </w:rPr>
              <w:t>serviced</w:t>
            </w:r>
            <w:r w:rsidRPr="006F6DAC">
              <w:rPr>
                <w:rFonts w:ascii="Garamond" w:hAnsi="Garamond"/>
                <w:sz w:val="22"/>
                <w:szCs w:val="22"/>
              </w:rPr>
              <w:t>-</w:t>
            </w:r>
            <w:r w:rsidRPr="006F6DAC">
              <w:rPr>
                <w:rFonts w:ascii="Garamond" w:hAnsi="Garamond"/>
                <w:sz w:val="22"/>
                <w:szCs w:val="22"/>
                <w:lang w:val="en-US"/>
              </w:rPr>
              <w:t>measuring</w:t>
            </w:r>
            <w:r w:rsidRPr="006F6DAC">
              <w:rPr>
                <w:rFonts w:ascii="Garamond" w:hAnsi="Garamond"/>
                <w:sz w:val="22"/>
                <w:szCs w:val="22"/>
              </w:rPr>
              <w:t>-</w:t>
            </w:r>
            <w:r w:rsidRPr="006F6DAC">
              <w:rPr>
                <w:rFonts w:ascii="Garamond" w:hAnsi="Garamond"/>
                <w:sz w:val="22"/>
                <w:szCs w:val="22"/>
                <w:lang w:val="en-US"/>
              </w:rPr>
              <w:t>point</w:t>
            </w:r>
            <w:r w:rsidRPr="006F6DAC">
              <w:rPr>
                <w:rFonts w:ascii="Garamond" w:hAnsi="Garamond"/>
                <w:sz w:val="22"/>
                <w:szCs w:val="22"/>
              </w:rPr>
              <w:t>-</w:t>
            </w:r>
            <w:r w:rsidRPr="006F6DAC">
              <w:rPr>
                <w:rFonts w:ascii="Garamond" w:hAnsi="Garamond"/>
                <w:sz w:val="22"/>
                <w:szCs w:val="22"/>
                <w:lang w:val="en-US"/>
              </w:rPr>
              <w:t>code</w:t>
            </w:r>
            <w:r w:rsidRPr="006F6DAC">
              <w:rPr>
                <w:rFonts w:ascii="Garamond" w:hAnsi="Garamond"/>
                <w:sz w:val="22"/>
                <w:szCs w:val="22"/>
              </w:rPr>
              <w:t xml:space="preserve"> – код АТС точки измерени</w:t>
            </w:r>
            <w:r w:rsidRPr="006F6DAC">
              <w:rPr>
                <w:rFonts w:ascii="Garamond" w:hAnsi="Garamond"/>
                <w:sz w:val="22"/>
                <w:szCs w:val="22"/>
                <w:highlight w:val="yellow"/>
              </w:rPr>
              <w:t>я</w:t>
            </w:r>
            <w:r w:rsidRPr="006F6DAC">
              <w:rPr>
                <w:rFonts w:ascii="Garamond" w:hAnsi="Garamond"/>
                <w:sz w:val="22"/>
                <w:szCs w:val="22"/>
              </w:rPr>
              <w:t xml:space="preserve"> (из элемента &lt;</w:t>
            </w:r>
            <w:r w:rsidRPr="006F6DAC">
              <w:rPr>
                <w:rFonts w:ascii="Garamond" w:hAnsi="Garamond"/>
                <w:sz w:val="22"/>
                <w:szCs w:val="22"/>
                <w:lang w:val="en-US"/>
              </w:rPr>
              <w:t>measuring</w:t>
            </w:r>
            <w:r w:rsidRPr="006F6DAC">
              <w:rPr>
                <w:rFonts w:ascii="Garamond" w:hAnsi="Garamond"/>
                <w:sz w:val="22"/>
                <w:szCs w:val="22"/>
              </w:rPr>
              <w:t>-</w:t>
            </w:r>
            <w:r w:rsidRPr="006F6DAC">
              <w:rPr>
                <w:rFonts w:ascii="Garamond" w:hAnsi="Garamond"/>
                <w:sz w:val="22"/>
                <w:szCs w:val="22"/>
                <w:lang w:val="en-US"/>
              </w:rPr>
              <w:t>points</w:t>
            </w:r>
            <w:r w:rsidRPr="006F6DAC">
              <w:rPr>
                <w:rFonts w:ascii="Garamond" w:hAnsi="Garamond"/>
                <w:sz w:val="22"/>
                <w:szCs w:val="22"/>
              </w:rPr>
              <w:t>&gt;), обслуживаемой/замещаемой данным ОВ или ПГ. Является обязательным числовым атрибутом длиной в 15 символов. В случае если длина выгружаемого из БД поля менее 15 символов, то к атрибуту в начале должен быть добавлен ведущий ноль (нули).</w:t>
            </w:r>
          </w:p>
        </w:tc>
        <w:tc>
          <w:tcPr>
            <w:tcW w:w="7115" w:type="dxa"/>
          </w:tcPr>
          <w:p w14:paraId="560D7D40" w14:textId="77777777" w:rsidR="00F11A8B" w:rsidRPr="006F6DAC" w:rsidRDefault="00F11A8B" w:rsidP="00F11A8B">
            <w:pPr>
              <w:pStyle w:val="40"/>
              <w:keepLines/>
              <w:numPr>
                <w:ilvl w:val="0"/>
                <w:numId w:val="0"/>
              </w:numPr>
              <w:suppressAutoHyphens w:val="0"/>
              <w:spacing w:line="259" w:lineRule="auto"/>
              <w:jc w:val="both"/>
              <w:rPr>
                <w:rFonts w:ascii="Garamond" w:hAnsi="Garamond"/>
                <w:b w:val="0"/>
                <w:i/>
                <w:sz w:val="22"/>
                <w:szCs w:val="22"/>
                <w:lang w:val="en-US"/>
              </w:rPr>
            </w:pPr>
            <w:r w:rsidRPr="006F6DAC">
              <w:rPr>
                <w:rFonts w:ascii="Garamond" w:hAnsi="Garamond"/>
                <w:b w:val="0"/>
                <w:i/>
                <w:sz w:val="22"/>
                <w:szCs w:val="22"/>
                <w:lang w:val="en-US"/>
              </w:rPr>
              <w:t>&lt;ov-measuring-point-link&gt;</w:t>
            </w:r>
          </w:p>
          <w:p w14:paraId="5E8AF3CA" w14:textId="77777777" w:rsidR="00F11A8B" w:rsidRPr="006F6DAC" w:rsidRDefault="00F11A8B" w:rsidP="00F11A8B">
            <w:pPr>
              <w:contextualSpacing/>
              <w:jc w:val="both"/>
              <w:rPr>
                <w:rFonts w:ascii="Garamond" w:hAnsi="Garamond"/>
                <w:sz w:val="22"/>
                <w:szCs w:val="22"/>
                <w:lang w:val="en-US"/>
              </w:rPr>
            </w:pPr>
            <w:r w:rsidRPr="006F6DAC">
              <w:rPr>
                <w:rFonts w:ascii="Garamond" w:hAnsi="Garamond"/>
                <w:sz w:val="22"/>
                <w:szCs w:val="22"/>
              </w:rPr>
              <w:t>Содержит</w:t>
            </w:r>
            <w:r w:rsidRPr="006F6DAC">
              <w:rPr>
                <w:rFonts w:ascii="Garamond" w:hAnsi="Garamond"/>
                <w:sz w:val="22"/>
                <w:szCs w:val="22"/>
                <w:lang w:val="en-US"/>
              </w:rPr>
              <w:t xml:space="preserve"> </w:t>
            </w:r>
            <w:r w:rsidRPr="006F6DAC">
              <w:rPr>
                <w:rFonts w:ascii="Garamond" w:hAnsi="Garamond"/>
                <w:sz w:val="22"/>
                <w:szCs w:val="22"/>
              </w:rPr>
              <w:t>атрибуты</w:t>
            </w:r>
            <w:r w:rsidRPr="006F6DAC">
              <w:rPr>
                <w:rFonts w:ascii="Garamond" w:hAnsi="Garamond"/>
                <w:sz w:val="22"/>
                <w:szCs w:val="22"/>
                <w:lang w:val="en-US"/>
              </w:rPr>
              <w:t xml:space="preserve">: </w:t>
            </w:r>
          </w:p>
          <w:p w14:paraId="13B769AC" w14:textId="60C2CCA7" w:rsidR="00F11A8B" w:rsidRPr="006F6DAC" w:rsidRDefault="00F11A8B" w:rsidP="00F11A8B">
            <w:pPr>
              <w:numPr>
                <w:ilvl w:val="0"/>
                <w:numId w:val="242"/>
              </w:numPr>
              <w:suppressAutoHyphens w:val="0"/>
              <w:spacing w:line="259" w:lineRule="auto"/>
              <w:ind w:left="426"/>
              <w:contextualSpacing/>
              <w:jc w:val="both"/>
              <w:rPr>
                <w:rFonts w:ascii="Garamond" w:hAnsi="Garamond"/>
                <w:sz w:val="22"/>
                <w:szCs w:val="22"/>
              </w:rPr>
            </w:pPr>
            <w:r w:rsidRPr="006F6DAC">
              <w:rPr>
                <w:rFonts w:ascii="Garamond" w:hAnsi="Garamond"/>
                <w:sz w:val="22"/>
                <w:szCs w:val="22"/>
                <w:lang w:val="en-US"/>
              </w:rPr>
              <w:t xml:space="preserve">ov-measuring-point-code – </w:t>
            </w:r>
            <w:r w:rsidRPr="006F6DAC">
              <w:rPr>
                <w:rFonts w:ascii="Garamond" w:hAnsi="Garamond"/>
                <w:sz w:val="22"/>
                <w:szCs w:val="22"/>
              </w:rPr>
              <w:t>код</w:t>
            </w:r>
            <w:r w:rsidRPr="006F6DAC">
              <w:rPr>
                <w:rFonts w:ascii="Garamond" w:hAnsi="Garamond"/>
                <w:sz w:val="22"/>
                <w:szCs w:val="22"/>
                <w:lang w:val="en-US"/>
              </w:rPr>
              <w:t xml:space="preserve"> </w:t>
            </w:r>
            <w:r w:rsidRPr="006F6DAC">
              <w:rPr>
                <w:rFonts w:ascii="Garamond" w:hAnsi="Garamond"/>
                <w:sz w:val="22"/>
                <w:szCs w:val="22"/>
              </w:rPr>
              <w:t>АТС</w:t>
            </w:r>
            <w:r w:rsidRPr="006F6DAC">
              <w:rPr>
                <w:rFonts w:ascii="Garamond" w:hAnsi="Garamond"/>
                <w:sz w:val="22"/>
                <w:szCs w:val="22"/>
                <w:lang w:val="en-US"/>
              </w:rPr>
              <w:t xml:space="preserve"> </w:t>
            </w:r>
            <w:r w:rsidRPr="006F6DAC">
              <w:rPr>
                <w:rFonts w:ascii="Garamond" w:hAnsi="Garamond"/>
                <w:sz w:val="22"/>
                <w:szCs w:val="22"/>
              </w:rPr>
              <w:t>точки</w:t>
            </w:r>
            <w:r w:rsidRPr="006F6DAC">
              <w:rPr>
                <w:rFonts w:ascii="Garamond" w:hAnsi="Garamond"/>
                <w:sz w:val="22"/>
                <w:szCs w:val="22"/>
                <w:lang w:val="en-US"/>
              </w:rPr>
              <w:t xml:space="preserve"> </w:t>
            </w:r>
            <w:r w:rsidRPr="006F6DAC">
              <w:rPr>
                <w:rFonts w:ascii="Garamond" w:hAnsi="Garamond"/>
                <w:sz w:val="22"/>
                <w:szCs w:val="22"/>
              </w:rPr>
              <w:t>измерени</w:t>
            </w:r>
            <w:r w:rsidRPr="006F6DAC">
              <w:rPr>
                <w:rFonts w:ascii="Garamond" w:hAnsi="Garamond"/>
                <w:sz w:val="22"/>
                <w:szCs w:val="22"/>
                <w:highlight w:val="yellow"/>
              </w:rPr>
              <w:t>й</w:t>
            </w:r>
            <w:r w:rsidRPr="006F6DAC">
              <w:rPr>
                <w:rFonts w:ascii="Garamond" w:hAnsi="Garamond"/>
                <w:sz w:val="22"/>
                <w:szCs w:val="22"/>
                <w:lang w:val="en-US"/>
              </w:rPr>
              <w:t xml:space="preserve"> </w:t>
            </w:r>
            <w:r w:rsidRPr="006F6DAC">
              <w:rPr>
                <w:rFonts w:ascii="Garamond" w:hAnsi="Garamond"/>
                <w:sz w:val="22"/>
                <w:szCs w:val="22"/>
              </w:rPr>
              <w:t>ОВ</w:t>
            </w:r>
            <w:r w:rsidRPr="006F6DAC">
              <w:rPr>
                <w:rFonts w:ascii="Garamond" w:hAnsi="Garamond"/>
                <w:sz w:val="22"/>
                <w:szCs w:val="22"/>
                <w:lang w:val="en-US"/>
              </w:rPr>
              <w:t xml:space="preserve"> </w:t>
            </w:r>
            <w:r w:rsidRPr="006F6DAC">
              <w:rPr>
                <w:rFonts w:ascii="Garamond" w:hAnsi="Garamond"/>
                <w:sz w:val="22"/>
                <w:szCs w:val="22"/>
              </w:rPr>
              <w:t>или</w:t>
            </w:r>
            <w:r w:rsidRPr="006F6DAC">
              <w:rPr>
                <w:rFonts w:ascii="Garamond" w:hAnsi="Garamond"/>
                <w:sz w:val="22"/>
                <w:szCs w:val="22"/>
                <w:lang w:val="en-US"/>
              </w:rPr>
              <w:t xml:space="preserve"> </w:t>
            </w:r>
            <w:r w:rsidRPr="006F6DAC">
              <w:rPr>
                <w:rFonts w:ascii="Garamond" w:hAnsi="Garamond"/>
                <w:sz w:val="22"/>
                <w:szCs w:val="22"/>
              </w:rPr>
              <w:t>ПГ</w:t>
            </w:r>
            <w:r w:rsidRPr="006F6DAC">
              <w:rPr>
                <w:rFonts w:ascii="Garamond" w:hAnsi="Garamond"/>
                <w:sz w:val="22"/>
                <w:szCs w:val="22"/>
                <w:lang w:val="en-US"/>
              </w:rPr>
              <w:t xml:space="preserve"> (</w:t>
            </w:r>
            <w:r w:rsidRPr="006F6DAC">
              <w:rPr>
                <w:rFonts w:ascii="Garamond" w:hAnsi="Garamond"/>
                <w:sz w:val="22"/>
                <w:szCs w:val="22"/>
              </w:rPr>
              <w:t>из</w:t>
            </w:r>
            <w:r w:rsidRPr="006F6DAC">
              <w:rPr>
                <w:rFonts w:ascii="Garamond" w:hAnsi="Garamond"/>
                <w:sz w:val="22"/>
                <w:szCs w:val="22"/>
                <w:lang w:val="en-US"/>
              </w:rPr>
              <w:t xml:space="preserve"> </w:t>
            </w:r>
            <w:r w:rsidRPr="006F6DAC">
              <w:rPr>
                <w:rFonts w:ascii="Garamond" w:hAnsi="Garamond"/>
                <w:sz w:val="22"/>
                <w:szCs w:val="22"/>
              </w:rPr>
              <w:t>элемента</w:t>
            </w:r>
            <w:r w:rsidR="00A5626D">
              <w:rPr>
                <w:rFonts w:ascii="Garamond" w:hAnsi="Garamond"/>
                <w:sz w:val="22"/>
                <w:szCs w:val="22"/>
                <w:lang w:val="en-US"/>
              </w:rPr>
              <w:t xml:space="preserve"> </w:t>
            </w:r>
            <w:r w:rsidR="00A5626D" w:rsidRPr="00A5626D">
              <w:rPr>
                <w:rFonts w:ascii="Garamond" w:hAnsi="Garamond"/>
                <w:sz w:val="22"/>
                <w:szCs w:val="22"/>
                <w:highlight w:val="yellow"/>
                <w:lang w:val="en-US"/>
              </w:rPr>
              <w:t>&lt;</w:t>
            </w:r>
            <w:r w:rsidRPr="00A5626D">
              <w:rPr>
                <w:rFonts w:ascii="Garamond" w:hAnsi="Garamond"/>
                <w:sz w:val="22"/>
                <w:szCs w:val="22"/>
                <w:highlight w:val="yellow"/>
                <w:lang w:val="en-US"/>
              </w:rPr>
              <w:t>m</w:t>
            </w:r>
            <w:r w:rsidRPr="006F6DAC">
              <w:rPr>
                <w:rFonts w:ascii="Garamond" w:hAnsi="Garamond"/>
                <w:sz w:val="22"/>
                <w:szCs w:val="22"/>
                <w:lang w:val="en-US"/>
              </w:rPr>
              <w:t xml:space="preserve">easuring-points&gt;). </w:t>
            </w:r>
            <w:r w:rsidRPr="006F6DAC">
              <w:rPr>
                <w:rFonts w:ascii="Garamond" w:hAnsi="Garamond"/>
                <w:sz w:val="22"/>
                <w:szCs w:val="22"/>
              </w:rPr>
              <w:t>Является обязательным числовым атрибутом длиной в 15 символов. В случае если длина выгружаемого из БД поля менее 15 символов, то к атрибуту в начале должен быть добавлен ведущий ноль (нули);</w:t>
            </w:r>
          </w:p>
          <w:p w14:paraId="7E5DA46D" w14:textId="77777777" w:rsidR="00F11A8B" w:rsidRPr="006F6DAC" w:rsidRDefault="00F11A8B" w:rsidP="00F11A8B">
            <w:pPr>
              <w:numPr>
                <w:ilvl w:val="0"/>
                <w:numId w:val="242"/>
              </w:numPr>
              <w:suppressAutoHyphens w:val="0"/>
              <w:spacing w:line="259" w:lineRule="auto"/>
              <w:ind w:left="426"/>
              <w:contextualSpacing/>
              <w:jc w:val="both"/>
              <w:rPr>
                <w:rFonts w:ascii="Garamond" w:hAnsi="Garamond"/>
                <w:b/>
                <w:sz w:val="22"/>
                <w:szCs w:val="22"/>
              </w:rPr>
            </w:pPr>
            <w:r w:rsidRPr="006F6DAC">
              <w:rPr>
                <w:rFonts w:ascii="Garamond" w:hAnsi="Garamond"/>
                <w:sz w:val="22"/>
                <w:szCs w:val="22"/>
                <w:lang w:val="en-US"/>
              </w:rPr>
              <w:t>serviced</w:t>
            </w:r>
            <w:r w:rsidRPr="006F6DAC">
              <w:rPr>
                <w:rFonts w:ascii="Garamond" w:hAnsi="Garamond"/>
                <w:sz w:val="22"/>
                <w:szCs w:val="22"/>
              </w:rPr>
              <w:t>-</w:t>
            </w:r>
            <w:r w:rsidRPr="006F6DAC">
              <w:rPr>
                <w:rFonts w:ascii="Garamond" w:hAnsi="Garamond"/>
                <w:sz w:val="22"/>
                <w:szCs w:val="22"/>
                <w:lang w:val="en-US"/>
              </w:rPr>
              <w:t>measuring</w:t>
            </w:r>
            <w:r w:rsidRPr="006F6DAC">
              <w:rPr>
                <w:rFonts w:ascii="Garamond" w:hAnsi="Garamond"/>
                <w:sz w:val="22"/>
                <w:szCs w:val="22"/>
              </w:rPr>
              <w:t>-</w:t>
            </w:r>
            <w:r w:rsidRPr="006F6DAC">
              <w:rPr>
                <w:rFonts w:ascii="Garamond" w:hAnsi="Garamond"/>
                <w:sz w:val="22"/>
                <w:szCs w:val="22"/>
                <w:lang w:val="en-US"/>
              </w:rPr>
              <w:t>point</w:t>
            </w:r>
            <w:r w:rsidRPr="006F6DAC">
              <w:rPr>
                <w:rFonts w:ascii="Garamond" w:hAnsi="Garamond"/>
                <w:sz w:val="22"/>
                <w:szCs w:val="22"/>
              </w:rPr>
              <w:t>-</w:t>
            </w:r>
            <w:r w:rsidRPr="006F6DAC">
              <w:rPr>
                <w:rFonts w:ascii="Garamond" w:hAnsi="Garamond"/>
                <w:sz w:val="22"/>
                <w:szCs w:val="22"/>
                <w:lang w:val="en-US"/>
              </w:rPr>
              <w:t>code</w:t>
            </w:r>
            <w:r w:rsidRPr="006F6DAC">
              <w:rPr>
                <w:rFonts w:ascii="Garamond" w:hAnsi="Garamond"/>
                <w:sz w:val="22"/>
                <w:szCs w:val="22"/>
              </w:rPr>
              <w:t xml:space="preserve"> – код АТС точки измерени</w:t>
            </w:r>
            <w:r w:rsidRPr="006F6DAC">
              <w:rPr>
                <w:rFonts w:ascii="Garamond" w:hAnsi="Garamond"/>
                <w:sz w:val="22"/>
                <w:szCs w:val="22"/>
                <w:highlight w:val="yellow"/>
              </w:rPr>
              <w:t>й</w:t>
            </w:r>
            <w:r w:rsidRPr="006F6DAC">
              <w:rPr>
                <w:rFonts w:ascii="Garamond" w:hAnsi="Garamond"/>
                <w:sz w:val="22"/>
                <w:szCs w:val="22"/>
              </w:rPr>
              <w:t xml:space="preserve"> (из элемента &lt;</w:t>
            </w:r>
            <w:r w:rsidRPr="006F6DAC">
              <w:rPr>
                <w:rFonts w:ascii="Garamond" w:hAnsi="Garamond"/>
                <w:sz w:val="22"/>
                <w:szCs w:val="22"/>
                <w:lang w:val="en-US"/>
              </w:rPr>
              <w:t>measuring</w:t>
            </w:r>
            <w:r w:rsidRPr="006F6DAC">
              <w:rPr>
                <w:rFonts w:ascii="Garamond" w:hAnsi="Garamond"/>
                <w:sz w:val="22"/>
                <w:szCs w:val="22"/>
              </w:rPr>
              <w:t>-</w:t>
            </w:r>
            <w:r w:rsidRPr="006F6DAC">
              <w:rPr>
                <w:rFonts w:ascii="Garamond" w:hAnsi="Garamond"/>
                <w:sz w:val="22"/>
                <w:szCs w:val="22"/>
                <w:lang w:val="en-US"/>
              </w:rPr>
              <w:t>points</w:t>
            </w:r>
            <w:r w:rsidRPr="006F6DAC">
              <w:rPr>
                <w:rFonts w:ascii="Garamond" w:hAnsi="Garamond"/>
                <w:sz w:val="22"/>
                <w:szCs w:val="22"/>
              </w:rPr>
              <w:t>&gt;), обслуживаемой/замещаемой данным ОВ или ПГ. Является обязательным числовым атрибутом длиной в 15 символов. В случае если длина выгружаемого из БД поля менее 15 символов, то к атрибуту в начале должен быть добавлен ведущий ноль (нули).</w:t>
            </w:r>
          </w:p>
        </w:tc>
      </w:tr>
      <w:tr w:rsidR="00F11A8B" w:rsidRPr="006F6DAC" w14:paraId="56A6D5CA" w14:textId="77777777" w:rsidTr="006F6DAC">
        <w:tc>
          <w:tcPr>
            <w:tcW w:w="1060" w:type="dxa"/>
          </w:tcPr>
          <w:p w14:paraId="05502C1F" w14:textId="24007C9F" w:rsidR="00F11A8B" w:rsidRPr="006F6DAC" w:rsidRDefault="00F11A8B" w:rsidP="00F11A8B">
            <w:pPr>
              <w:widowControl w:val="0"/>
              <w:spacing w:line="259" w:lineRule="auto"/>
              <w:jc w:val="center"/>
              <w:rPr>
                <w:rFonts w:ascii="Garamond" w:hAnsi="Garamond"/>
                <w:b/>
                <w:sz w:val="22"/>
                <w:szCs w:val="22"/>
                <w:lang w:eastAsia="en-US"/>
              </w:rPr>
            </w:pPr>
            <w:r w:rsidRPr="006F6DAC">
              <w:rPr>
                <w:rFonts w:ascii="Garamond" w:hAnsi="Garamond"/>
                <w:b/>
                <w:sz w:val="22"/>
                <w:szCs w:val="22"/>
                <w:lang w:eastAsia="en-US"/>
              </w:rPr>
              <w:t>Приложение 8, п.</w:t>
            </w:r>
            <w:r w:rsidR="006F6DAC">
              <w:rPr>
                <w:rFonts w:ascii="Garamond" w:hAnsi="Garamond"/>
                <w:b/>
                <w:sz w:val="22"/>
                <w:szCs w:val="22"/>
                <w:lang w:eastAsia="en-US"/>
              </w:rPr>
              <w:t xml:space="preserve"> </w:t>
            </w:r>
            <w:r w:rsidRPr="006F6DAC">
              <w:rPr>
                <w:rFonts w:ascii="Garamond" w:hAnsi="Garamond"/>
                <w:b/>
                <w:sz w:val="22"/>
                <w:szCs w:val="22"/>
                <w:lang w:eastAsia="en-US"/>
              </w:rPr>
              <w:t>2.3.2</w:t>
            </w:r>
          </w:p>
        </w:tc>
        <w:tc>
          <w:tcPr>
            <w:tcW w:w="6804" w:type="dxa"/>
          </w:tcPr>
          <w:p w14:paraId="6FB94513" w14:textId="77777777" w:rsidR="00F11A8B" w:rsidRPr="006F6DAC" w:rsidRDefault="00F11A8B" w:rsidP="00F11A8B">
            <w:pPr>
              <w:pStyle w:val="3"/>
              <w:keepLines/>
              <w:numPr>
                <w:ilvl w:val="0"/>
                <w:numId w:val="0"/>
              </w:numPr>
              <w:suppressAutoHyphens w:val="0"/>
              <w:spacing w:line="259" w:lineRule="auto"/>
              <w:jc w:val="both"/>
              <w:rPr>
                <w:rFonts w:ascii="Garamond" w:hAnsi="Garamond"/>
                <w:b w:val="0"/>
                <w:color w:val="auto"/>
                <w:sz w:val="22"/>
                <w:szCs w:val="22"/>
                <w:lang w:val="en-US"/>
              </w:rPr>
            </w:pPr>
            <w:r w:rsidRPr="006F6DAC">
              <w:rPr>
                <w:rFonts w:ascii="Garamond" w:hAnsi="Garamond"/>
                <w:b w:val="0"/>
                <w:color w:val="auto"/>
                <w:sz w:val="22"/>
                <w:szCs w:val="22"/>
                <w:lang w:val="en-US"/>
              </w:rPr>
              <w:t>&lt;group-delivery-point-composition&gt;</w:t>
            </w:r>
          </w:p>
          <w:p w14:paraId="319BE35D" w14:textId="77777777" w:rsidR="00F11A8B" w:rsidRPr="006F6DAC" w:rsidRDefault="00F11A8B" w:rsidP="00F11A8B">
            <w:pPr>
              <w:jc w:val="both"/>
              <w:rPr>
                <w:rFonts w:ascii="Garamond" w:eastAsia="Calibri" w:hAnsi="Garamond"/>
                <w:sz w:val="22"/>
                <w:szCs w:val="22"/>
                <w:lang w:val="en-US"/>
              </w:rPr>
            </w:pPr>
            <w:r w:rsidRPr="006F6DAC">
              <w:rPr>
                <w:rFonts w:ascii="Garamond" w:eastAsia="Calibri" w:hAnsi="Garamond"/>
                <w:sz w:val="22"/>
                <w:szCs w:val="22"/>
              </w:rPr>
              <w:t>Элемент</w:t>
            </w:r>
            <w:r w:rsidRPr="006F6DAC">
              <w:rPr>
                <w:rFonts w:ascii="Garamond" w:eastAsia="Calibri" w:hAnsi="Garamond"/>
                <w:sz w:val="22"/>
                <w:szCs w:val="22"/>
                <w:lang w:val="en-US"/>
              </w:rPr>
              <w:t xml:space="preserve"> &lt;group-delivery-point-composition&gt; </w:t>
            </w:r>
            <w:r w:rsidRPr="006F6DAC">
              <w:rPr>
                <w:rFonts w:ascii="Garamond" w:eastAsia="Calibri" w:hAnsi="Garamond"/>
                <w:sz w:val="22"/>
                <w:szCs w:val="22"/>
              </w:rPr>
              <w:t>описывает</w:t>
            </w:r>
            <w:r w:rsidRPr="006F6DAC">
              <w:rPr>
                <w:rFonts w:ascii="Garamond" w:eastAsia="Calibri" w:hAnsi="Garamond"/>
                <w:sz w:val="22"/>
                <w:szCs w:val="22"/>
                <w:lang w:val="en-US"/>
              </w:rPr>
              <w:t xml:space="preserve"> </w:t>
            </w:r>
            <w:r w:rsidRPr="006F6DAC">
              <w:rPr>
                <w:rFonts w:ascii="Garamond" w:eastAsia="Calibri" w:hAnsi="Garamond"/>
                <w:sz w:val="22"/>
                <w:szCs w:val="22"/>
              </w:rPr>
              <w:t>связи</w:t>
            </w:r>
            <w:r w:rsidRPr="006F6DAC">
              <w:rPr>
                <w:rFonts w:ascii="Garamond" w:eastAsia="Calibri" w:hAnsi="Garamond"/>
                <w:sz w:val="22"/>
                <w:szCs w:val="22"/>
                <w:lang w:val="en-US"/>
              </w:rPr>
              <w:t xml:space="preserve"> </w:t>
            </w:r>
            <w:r w:rsidRPr="006F6DAC">
              <w:rPr>
                <w:rFonts w:ascii="Garamond" w:eastAsia="Calibri" w:hAnsi="Garamond"/>
                <w:sz w:val="22"/>
                <w:szCs w:val="22"/>
              </w:rPr>
              <w:t>внутри</w:t>
            </w:r>
            <w:r w:rsidRPr="006F6DAC">
              <w:rPr>
                <w:rFonts w:ascii="Garamond" w:eastAsia="Calibri" w:hAnsi="Garamond"/>
                <w:sz w:val="22"/>
                <w:szCs w:val="22"/>
                <w:lang w:val="en-US"/>
              </w:rPr>
              <w:t xml:space="preserve"> </w:t>
            </w:r>
            <w:r w:rsidRPr="006F6DAC">
              <w:rPr>
                <w:rFonts w:ascii="Garamond" w:eastAsia="Calibri" w:hAnsi="Garamond"/>
                <w:sz w:val="22"/>
                <w:szCs w:val="22"/>
              </w:rPr>
              <w:t>групповых</w:t>
            </w:r>
            <w:r w:rsidRPr="006F6DAC">
              <w:rPr>
                <w:rFonts w:ascii="Garamond" w:eastAsia="Calibri" w:hAnsi="Garamond"/>
                <w:sz w:val="22"/>
                <w:szCs w:val="22"/>
                <w:lang w:val="en-US"/>
              </w:rPr>
              <w:t xml:space="preserve"> </w:t>
            </w:r>
            <w:r w:rsidRPr="006F6DAC">
              <w:rPr>
                <w:rFonts w:ascii="Garamond" w:eastAsia="Calibri" w:hAnsi="Garamond"/>
                <w:sz w:val="22"/>
                <w:szCs w:val="22"/>
              </w:rPr>
              <w:t>точек</w:t>
            </w:r>
            <w:r w:rsidRPr="006F6DAC">
              <w:rPr>
                <w:rFonts w:ascii="Garamond" w:eastAsia="Calibri" w:hAnsi="Garamond"/>
                <w:sz w:val="22"/>
                <w:szCs w:val="22"/>
                <w:lang w:val="en-US"/>
              </w:rPr>
              <w:t xml:space="preserve"> </w:t>
            </w:r>
            <w:r w:rsidRPr="006F6DAC">
              <w:rPr>
                <w:rFonts w:ascii="Garamond" w:eastAsia="Calibri" w:hAnsi="Garamond"/>
                <w:sz w:val="22"/>
                <w:szCs w:val="22"/>
              </w:rPr>
              <w:t>поставки</w:t>
            </w:r>
            <w:r w:rsidRPr="006F6DAC">
              <w:rPr>
                <w:rFonts w:ascii="Garamond" w:eastAsia="Calibri" w:hAnsi="Garamond"/>
                <w:sz w:val="22"/>
                <w:szCs w:val="22"/>
                <w:lang w:val="en-US"/>
              </w:rPr>
              <w:t>.</w:t>
            </w:r>
          </w:p>
          <w:p w14:paraId="446E2B32" w14:textId="77777777" w:rsidR="00F11A8B" w:rsidRPr="006F6DAC" w:rsidRDefault="00F11A8B" w:rsidP="00F11A8B">
            <w:pPr>
              <w:jc w:val="both"/>
              <w:rPr>
                <w:rFonts w:ascii="Garamond" w:eastAsia="Calibri" w:hAnsi="Garamond"/>
                <w:sz w:val="22"/>
                <w:szCs w:val="22"/>
              </w:rPr>
            </w:pPr>
            <w:r w:rsidRPr="006F6DAC">
              <w:rPr>
                <w:rFonts w:ascii="Garamond" w:eastAsia="Calibri" w:hAnsi="Garamond"/>
                <w:sz w:val="22"/>
                <w:szCs w:val="22"/>
              </w:rPr>
              <w:t>Дочерними элементами являются: &lt;</w:t>
            </w:r>
            <w:r w:rsidRPr="006F6DAC">
              <w:rPr>
                <w:rFonts w:ascii="Garamond" w:eastAsia="Calibri" w:hAnsi="Garamond"/>
                <w:sz w:val="22"/>
                <w:szCs w:val="22"/>
                <w:lang w:val="en-US"/>
              </w:rPr>
              <w:t>group</w:t>
            </w:r>
            <w:r w:rsidRPr="006F6DAC">
              <w:rPr>
                <w:rFonts w:ascii="Garamond" w:eastAsia="Calibri" w:hAnsi="Garamond"/>
                <w:sz w:val="22"/>
                <w:szCs w:val="22"/>
              </w:rPr>
              <w:t>-</w:t>
            </w:r>
            <w:r w:rsidRPr="006F6DAC">
              <w:rPr>
                <w:rFonts w:ascii="Garamond" w:eastAsia="Calibri" w:hAnsi="Garamond"/>
                <w:sz w:val="22"/>
                <w:szCs w:val="22"/>
                <w:lang w:val="en-US"/>
              </w:rPr>
              <w:t>delivery</w:t>
            </w:r>
            <w:r w:rsidRPr="006F6DAC">
              <w:rPr>
                <w:rFonts w:ascii="Garamond" w:eastAsia="Calibri" w:hAnsi="Garamond"/>
                <w:sz w:val="22"/>
                <w:szCs w:val="22"/>
              </w:rPr>
              <w:t>-</w:t>
            </w:r>
            <w:r w:rsidRPr="006F6DAC">
              <w:rPr>
                <w:rFonts w:ascii="Garamond" w:eastAsia="Calibri" w:hAnsi="Garamond"/>
                <w:sz w:val="22"/>
                <w:szCs w:val="22"/>
                <w:lang w:val="en-US"/>
              </w:rPr>
              <w:t>point</w:t>
            </w:r>
            <w:r w:rsidRPr="006F6DAC">
              <w:rPr>
                <w:rFonts w:ascii="Garamond" w:eastAsia="Calibri" w:hAnsi="Garamond"/>
                <w:sz w:val="22"/>
                <w:szCs w:val="22"/>
              </w:rPr>
              <w:t>&gt;.</w:t>
            </w:r>
          </w:p>
        </w:tc>
        <w:tc>
          <w:tcPr>
            <w:tcW w:w="7115" w:type="dxa"/>
          </w:tcPr>
          <w:p w14:paraId="517BF0C9" w14:textId="77777777" w:rsidR="00F11A8B" w:rsidRPr="006F6DAC" w:rsidRDefault="00F11A8B" w:rsidP="00F11A8B">
            <w:pPr>
              <w:pStyle w:val="3"/>
              <w:keepLines/>
              <w:numPr>
                <w:ilvl w:val="0"/>
                <w:numId w:val="0"/>
              </w:numPr>
              <w:suppressAutoHyphens w:val="0"/>
              <w:spacing w:line="259" w:lineRule="auto"/>
              <w:jc w:val="both"/>
              <w:rPr>
                <w:rFonts w:ascii="Garamond" w:hAnsi="Garamond"/>
                <w:b w:val="0"/>
                <w:color w:val="auto"/>
                <w:sz w:val="22"/>
                <w:szCs w:val="22"/>
              </w:rPr>
            </w:pPr>
            <w:r w:rsidRPr="006F6DAC">
              <w:rPr>
                <w:rFonts w:ascii="Garamond" w:hAnsi="Garamond"/>
                <w:b w:val="0"/>
                <w:color w:val="auto"/>
                <w:sz w:val="22"/>
                <w:szCs w:val="22"/>
              </w:rPr>
              <w:t>&lt;</w:t>
            </w:r>
            <w:r w:rsidRPr="006F6DAC">
              <w:rPr>
                <w:rFonts w:ascii="Garamond" w:hAnsi="Garamond"/>
                <w:b w:val="0"/>
                <w:color w:val="auto"/>
                <w:sz w:val="22"/>
                <w:szCs w:val="22"/>
                <w:lang w:val="en-US"/>
              </w:rPr>
              <w:t>group</w:t>
            </w:r>
            <w:r w:rsidRPr="006F6DAC">
              <w:rPr>
                <w:rFonts w:ascii="Garamond" w:hAnsi="Garamond"/>
                <w:b w:val="0"/>
                <w:color w:val="auto"/>
                <w:sz w:val="22"/>
                <w:szCs w:val="22"/>
              </w:rPr>
              <w:t>-</w:t>
            </w:r>
            <w:r w:rsidRPr="006F6DAC">
              <w:rPr>
                <w:rFonts w:ascii="Garamond" w:hAnsi="Garamond"/>
                <w:b w:val="0"/>
                <w:color w:val="auto"/>
                <w:sz w:val="22"/>
                <w:szCs w:val="22"/>
                <w:lang w:val="en-US"/>
              </w:rPr>
              <w:t>delivery</w:t>
            </w:r>
            <w:r w:rsidRPr="006F6DAC">
              <w:rPr>
                <w:rFonts w:ascii="Garamond" w:hAnsi="Garamond"/>
                <w:b w:val="0"/>
                <w:color w:val="auto"/>
                <w:sz w:val="22"/>
                <w:szCs w:val="22"/>
              </w:rPr>
              <w:t>-</w:t>
            </w:r>
            <w:r w:rsidRPr="006F6DAC">
              <w:rPr>
                <w:rFonts w:ascii="Garamond" w:hAnsi="Garamond"/>
                <w:b w:val="0"/>
                <w:color w:val="auto"/>
                <w:sz w:val="22"/>
                <w:szCs w:val="22"/>
                <w:lang w:val="en-US"/>
              </w:rPr>
              <w:t>point</w:t>
            </w:r>
            <w:r w:rsidRPr="006F6DAC">
              <w:rPr>
                <w:rFonts w:ascii="Garamond" w:hAnsi="Garamond"/>
                <w:b w:val="0"/>
                <w:color w:val="auto"/>
                <w:sz w:val="22"/>
                <w:szCs w:val="22"/>
              </w:rPr>
              <w:t>-</w:t>
            </w:r>
            <w:r w:rsidRPr="006F6DAC">
              <w:rPr>
                <w:rFonts w:ascii="Garamond" w:hAnsi="Garamond"/>
                <w:b w:val="0"/>
                <w:color w:val="auto"/>
                <w:sz w:val="22"/>
                <w:szCs w:val="22"/>
                <w:lang w:val="en-US"/>
              </w:rPr>
              <w:t>composition</w:t>
            </w:r>
            <w:r w:rsidRPr="006F6DAC">
              <w:rPr>
                <w:rFonts w:ascii="Garamond" w:hAnsi="Garamond"/>
                <w:b w:val="0"/>
                <w:color w:val="auto"/>
                <w:sz w:val="22"/>
                <w:szCs w:val="22"/>
              </w:rPr>
              <w:t>&gt;</w:t>
            </w:r>
          </w:p>
          <w:p w14:paraId="1AD11DC6" w14:textId="77777777" w:rsidR="00F11A8B" w:rsidRPr="006F6DAC" w:rsidRDefault="00F11A8B" w:rsidP="00F11A8B">
            <w:pPr>
              <w:jc w:val="both"/>
              <w:rPr>
                <w:rFonts w:ascii="Garamond" w:eastAsia="Calibri" w:hAnsi="Garamond"/>
                <w:sz w:val="22"/>
                <w:szCs w:val="22"/>
              </w:rPr>
            </w:pPr>
            <w:r w:rsidRPr="006F6DAC">
              <w:rPr>
                <w:rFonts w:ascii="Garamond" w:eastAsia="Calibri" w:hAnsi="Garamond"/>
                <w:sz w:val="22"/>
                <w:szCs w:val="22"/>
              </w:rPr>
              <w:t>Элемент &lt;</w:t>
            </w:r>
            <w:r w:rsidRPr="006F6DAC">
              <w:rPr>
                <w:rFonts w:ascii="Garamond" w:eastAsia="Calibri" w:hAnsi="Garamond"/>
                <w:sz w:val="22"/>
                <w:szCs w:val="22"/>
                <w:lang w:val="en-US"/>
              </w:rPr>
              <w:t>group</w:t>
            </w:r>
            <w:r w:rsidRPr="006F6DAC">
              <w:rPr>
                <w:rFonts w:ascii="Garamond" w:eastAsia="Calibri" w:hAnsi="Garamond"/>
                <w:sz w:val="22"/>
                <w:szCs w:val="22"/>
              </w:rPr>
              <w:t>-</w:t>
            </w:r>
            <w:r w:rsidRPr="006F6DAC">
              <w:rPr>
                <w:rFonts w:ascii="Garamond" w:eastAsia="Calibri" w:hAnsi="Garamond"/>
                <w:sz w:val="22"/>
                <w:szCs w:val="22"/>
                <w:lang w:val="en-US"/>
              </w:rPr>
              <w:t>delivery</w:t>
            </w:r>
            <w:r w:rsidRPr="006F6DAC">
              <w:rPr>
                <w:rFonts w:ascii="Garamond" w:eastAsia="Calibri" w:hAnsi="Garamond"/>
                <w:sz w:val="22"/>
                <w:szCs w:val="22"/>
              </w:rPr>
              <w:t>-</w:t>
            </w:r>
            <w:r w:rsidRPr="006F6DAC">
              <w:rPr>
                <w:rFonts w:ascii="Garamond" w:eastAsia="Calibri" w:hAnsi="Garamond"/>
                <w:sz w:val="22"/>
                <w:szCs w:val="22"/>
                <w:lang w:val="en-US"/>
              </w:rPr>
              <w:t>point</w:t>
            </w:r>
            <w:r w:rsidRPr="006F6DAC">
              <w:rPr>
                <w:rFonts w:ascii="Garamond" w:eastAsia="Calibri" w:hAnsi="Garamond"/>
                <w:sz w:val="22"/>
                <w:szCs w:val="22"/>
              </w:rPr>
              <w:t>-</w:t>
            </w:r>
            <w:r w:rsidRPr="006F6DAC">
              <w:rPr>
                <w:rFonts w:ascii="Garamond" w:eastAsia="Calibri" w:hAnsi="Garamond"/>
                <w:sz w:val="22"/>
                <w:szCs w:val="22"/>
                <w:lang w:val="en-US"/>
              </w:rPr>
              <w:t>composition</w:t>
            </w:r>
            <w:r w:rsidRPr="006F6DAC">
              <w:rPr>
                <w:rFonts w:ascii="Garamond" w:eastAsia="Calibri" w:hAnsi="Garamond"/>
                <w:sz w:val="22"/>
                <w:szCs w:val="22"/>
              </w:rPr>
              <w:t xml:space="preserve">&gt; описывает связи внутри групповых точек поставки </w:t>
            </w:r>
            <w:r w:rsidRPr="006F6DAC">
              <w:rPr>
                <w:rFonts w:ascii="Garamond" w:eastAsia="Calibri" w:hAnsi="Garamond"/>
                <w:sz w:val="22"/>
                <w:szCs w:val="22"/>
                <w:highlight w:val="yellow"/>
              </w:rPr>
              <w:t>(точек присоединения)</w:t>
            </w:r>
            <w:r w:rsidRPr="006F6DAC">
              <w:rPr>
                <w:rFonts w:ascii="Garamond" w:eastAsia="Calibri" w:hAnsi="Garamond"/>
                <w:sz w:val="22"/>
                <w:szCs w:val="22"/>
              </w:rPr>
              <w:t>.</w:t>
            </w:r>
          </w:p>
          <w:p w14:paraId="636FE4BB" w14:textId="77777777" w:rsidR="00F11A8B" w:rsidRPr="006F6DAC" w:rsidRDefault="00F11A8B" w:rsidP="00F11A8B">
            <w:pPr>
              <w:tabs>
                <w:tab w:val="left" w:pos="1080"/>
              </w:tabs>
              <w:spacing w:before="120" w:after="120"/>
              <w:jc w:val="both"/>
              <w:rPr>
                <w:rFonts w:ascii="Garamond" w:hAnsi="Garamond"/>
                <w:sz w:val="22"/>
                <w:szCs w:val="22"/>
              </w:rPr>
            </w:pPr>
            <w:r w:rsidRPr="006F6DAC">
              <w:rPr>
                <w:rFonts w:ascii="Garamond" w:eastAsia="Calibri" w:hAnsi="Garamond"/>
                <w:sz w:val="22"/>
                <w:szCs w:val="22"/>
              </w:rPr>
              <w:t>Дочерними элементами являются: &lt;</w:t>
            </w:r>
            <w:r w:rsidRPr="006F6DAC">
              <w:rPr>
                <w:rFonts w:ascii="Garamond" w:eastAsia="Calibri" w:hAnsi="Garamond"/>
                <w:sz w:val="22"/>
                <w:szCs w:val="22"/>
                <w:lang w:val="en-US"/>
              </w:rPr>
              <w:t>group</w:t>
            </w:r>
            <w:r w:rsidRPr="006F6DAC">
              <w:rPr>
                <w:rFonts w:ascii="Garamond" w:eastAsia="Calibri" w:hAnsi="Garamond"/>
                <w:sz w:val="22"/>
                <w:szCs w:val="22"/>
              </w:rPr>
              <w:t>-</w:t>
            </w:r>
            <w:r w:rsidRPr="006F6DAC">
              <w:rPr>
                <w:rFonts w:ascii="Garamond" w:eastAsia="Calibri" w:hAnsi="Garamond"/>
                <w:sz w:val="22"/>
                <w:szCs w:val="22"/>
                <w:lang w:val="en-US"/>
              </w:rPr>
              <w:t>delivery</w:t>
            </w:r>
            <w:r w:rsidRPr="006F6DAC">
              <w:rPr>
                <w:rFonts w:ascii="Garamond" w:eastAsia="Calibri" w:hAnsi="Garamond"/>
                <w:sz w:val="22"/>
                <w:szCs w:val="22"/>
              </w:rPr>
              <w:t>-</w:t>
            </w:r>
            <w:r w:rsidRPr="006F6DAC">
              <w:rPr>
                <w:rFonts w:ascii="Garamond" w:eastAsia="Calibri" w:hAnsi="Garamond"/>
                <w:sz w:val="22"/>
                <w:szCs w:val="22"/>
                <w:lang w:val="en-US"/>
              </w:rPr>
              <w:t>point</w:t>
            </w:r>
            <w:r w:rsidRPr="006F6DAC">
              <w:rPr>
                <w:rFonts w:ascii="Garamond" w:eastAsia="Calibri" w:hAnsi="Garamond"/>
                <w:sz w:val="22"/>
                <w:szCs w:val="22"/>
              </w:rPr>
              <w:t>&gt;.</w:t>
            </w:r>
          </w:p>
        </w:tc>
      </w:tr>
      <w:tr w:rsidR="00F11A8B" w:rsidRPr="006F6DAC" w14:paraId="1B3F183A" w14:textId="77777777" w:rsidTr="006F6DAC">
        <w:tc>
          <w:tcPr>
            <w:tcW w:w="1060" w:type="dxa"/>
          </w:tcPr>
          <w:p w14:paraId="596489E3" w14:textId="508525CE" w:rsidR="00F11A8B" w:rsidRPr="006F6DAC" w:rsidRDefault="00F11A8B" w:rsidP="00F11A8B">
            <w:pPr>
              <w:widowControl w:val="0"/>
              <w:spacing w:line="259" w:lineRule="auto"/>
              <w:jc w:val="center"/>
              <w:rPr>
                <w:rFonts w:ascii="Garamond" w:hAnsi="Garamond"/>
                <w:b/>
                <w:sz w:val="22"/>
                <w:szCs w:val="22"/>
                <w:lang w:val="en-US" w:eastAsia="en-US"/>
              </w:rPr>
            </w:pPr>
            <w:r w:rsidRPr="006F6DAC">
              <w:rPr>
                <w:rFonts w:ascii="Garamond" w:hAnsi="Garamond"/>
                <w:b/>
                <w:sz w:val="22"/>
                <w:szCs w:val="22"/>
                <w:lang w:eastAsia="en-US"/>
              </w:rPr>
              <w:t>Приложение 8, п.</w:t>
            </w:r>
            <w:r w:rsidR="006F6DAC">
              <w:rPr>
                <w:rFonts w:ascii="Garamond" w:hAnsi="Garamond"/>
                <w:b/>
                <w:sz w:val="22"/>
                <w:szCs w:val="22"/>
                <w:lang w:eastAsia="en-US"/>
              </w:rPr>
              <w:t xml:space="preserve"> </w:t>
            </w:r>
            <w:r w:rsidRPr="006F6DAC">
              <w:rPr>
                <w:rFonts w:ascii="Garamond" w:hAnsi="Garamond"/>
                <w:b/>
                <w:sz w:val="22"/>
                <w:szCs w:val="22"/>
                <w:lang w:eastAsia="en-US"/>
              </w:rPr>
              <w:t>2.3.2</w:t>
            </w:r>
            <w:r w:rsidRPr="006F6DAC">
              <w:rPr>
                <w:rFonts w:ascii="Garamond" w:hAnsi="Garamond"/>
                <w:b/>
                <w:sz w:val="22"/>
                <w:szCs w:val="22"/>
                <w:lang w:val="en-US" w:eastAsia="en-US"/>
              </w:rPr>
              <w:t>.1</w:t>
            </w:r>
          </w:p>
        </w:tc>
        <w:tc>
          <w:tcPr>
            <w:tcW w:w="6804" w:type="dxa"/>
          </w:tcPr>
          <w:p w14:paraId="010AABB3" w14:textId="77777777" w:rsidR="00F11A8B" w:rsidRPr="006F6DAC" w:rsidRDefault="00F11A8B" w:rsidP="00F11A8B">
            <w:pPr>
              <w:pStyle w:val="40"/>
              <w:keepLines/>
              <w:numPr>
                <w:ilvl w:val="0"/>
                <w:numId w:val="0"/>
              </w:numPr>
              <w:suppressAutoHyphens w:val="0"/>
              <w:spacing w:line="259" w:lineRule="auto"/>
              <w:jc w:val="both"/>
              <w:rPr>
                <w:rFonts w:ascii="Garamond" w:eastAsia="Calibri" w:hAnsi="Garamond"/>
                <w:b w:val="0"/>
                <w:i/>
                <w:sz w:val="22"/>
                <w:szCs w:val="22"/>
                <w:lang w:val="en-US"/>
              </w:rPr>
            </w:pPr>
            <w:r w:rsidRPr="006F6DAC">
              <w:rPr>
                <w:rFonts w:ascii="Garamond" w:eastAsia="Calibri" w:hAnsi="Garamond"/>
                <w:b w:val="0"/>
                <w:i/>
                <w:sz w:val="22"/>
                <w:szCs w:val="22"/>
                <w:lang w:val="en-US"/>
              </w:rPr>
              <w:t>&lt;group-delivery-point&gt;</w:t>
            </w:r>
          </w:p>
          <w:p w14:paraId="1169AA87" w14:textId="77777777" w:rsidR="00F11A8B" w:rsidRPr="006F6DAC" w:rsidRDefault="00F11A8B" w:rsidP="00F11A8B">
            <w:pPr>
              <w:contextualSpacing/>
              <w:jc w:val="both"/>
              <w:rPr>
                <w:rFonts w:ascii="Garamond" w:eastAsia="Calibri" w:hAnsi="Garamond"/>
                <w:sz w:val="22"/>
                <w:szCs w:val="22"/>
                <w:lang w:val="en-US"/>
              </w:rPr>
            </w:pPr>
            <w:r w:rsidRPr="006F6DAC">
              <w:rPr>
                <w:rFonts w:ascii="Garamond" w:eastAsia="Calibri" w:hAnsi="Garamond"/>
                <w:sz w:val="22"/>
                <w:szCs w:val="22"/>
              </w:rPr>
              <w:t>Содержит</w:t>
            </w:r>
            <w:r w:rsidRPr="006F6DAC">
              <w:rPr>
                <w:rFonts w:ascii="Garamond" w:eastAsia="Calibri" w:hAnsi="Garamond"/>
                <w:sz w:val="22"/>
                <w:szCs w:val="22"/>
                <w:lang w:val="en-US"/>
              </w:rPr>
              <w:t xml:space="preserve"> </w:t>
            </w:r>
            <w:r w:rsidRPr="006F6DAC">
              <w:rPr>
                <w:rFonts w:ascii="Garamond" w:eastAsia="Calibri" w:hAnsi="Garamond"/>
                <w:sz w:val="22"/>
                <w:szCs w:val="22"/>
              </w:rPr>
              <w:t>атрибуты</w:t>
            </w:r>
            <w:r w:rsidRPr="006F6DAC">
              <w:rPr>
                <w:rFonts w:ascii="Garamond" w:eastAsia="Calibri" w:hAnsi="Garamond"/>
                <w:sz w:val="22"/>
                <w:szCs w:val="22"/>
                <w:lang w:val="en-US"/>
              </w:rPr>
              <w:t xml:space="preserve">: </w:t>
            </w:r>
          </w:p>
          <w:p w14:paraId="1DBFAEE0" w14:textId="77777777" w:rsidR="00F11A8B" w:rsidRPr="006F6DAC" w:rsidRDefault="00F11A8B" w:rsidP="00F11A8B">
            <w:pPr>
              <w:numPr>
                <w:ilvl w:val="0"/>
                <w:numId w:val="242"/>
              </w:numPr>
              <w:suppressAutoHyphens w:val="0"/>
              <w:spacing w:line="259" w:lineRule="auto"/>
              <w:ind w:left="426"/>
              <w:contextualSpacing/>
              <w:jc w:val="both"/>
              <w:rPr>
                <w:rFonts w:ascii="Garamond" w:hAnsi="Garamond"/>
                <w:sz w:val="22"/>
                <w:szCs w:val="22"/>
              </w:rPr>
            </w:pPr>
            <w:r w:rsidRPr="006F6DAC">
              <w:rPr>
                <w:rFonts w:ascii="Garamond" w:hAnsi="Garamond"/>
                <w:sz w:val="22"/>
                <w:szCs w:val="22"/>
                <w:lang w:val="en-US"/>
              </w:rPr>
              <w:lastRenderedPageBreak/>
              <w:t>group</w:t>
            </w:r>
            <w:r w:rsidRPr="006F6DAC">
              <w:rPr>
                <w:rFonts w:ascii="Garamond" w:hAnsi="Garamond"/>
                <w:sz w:val="22"/>
                <w:szCs w:val="22"/>
              </w:rPr>
              <w:t>-</w:t>
            </w:r>
            <w:r w:rsidRPr="006F6DAC">
              <w:rPr>
                <w:rFonts w:ascii="Garamond" w:hAnsi="Garamond"/>
                <w:sz w:val="22"/>
                <w:szCs w:val="22"/>
                <w:lang w:val="en-US"/>
              </w:rPr>
              <w:t>delivery</w:t>
            </w:r>
            <w:r w:rsidRPr="006F6DAC">
              <w:rPr>
                <w:rFonts w:ascii="Garamond" w:hAnsi="Garamond"/>
                <w:sz w:val="22"/>
                <w:szCs w:val="22"/>
              </w:rPr>
              <w:t>-</w:t>
            </w:r>
            <w:r w:rsidRPr="006F6DAC">
              <w:rPr>
                <w:rFonts w:ascii="Garamond" w:hAnsi="Garamond"/>
                <w:sz w:val="22"/>
                <w:szCs w:val="22"/>
                <w:lang w:val="en-US"/>
              </w:rPr>
              <w:t>point</w:t>
            </w:r>
            <w:r w:rsidRPr="006F6DAC">
              <w:rPr>
                <w:rFonts w:ascii="Garamond" w:hAnsi="Garamond"/>
                <w:sz w:val="22"/>
                <w:szCs w:val="22"/>
              </w:rPr>
              <w:t>-</w:t>
            </w:r>
            <w:r w:rsidRPr="006F6DAC">
              <w:rPr>
                <w:rFonts w:ascii="Garamond" w:hAnsi="Garamond"/>
                <w:sz w:val="22"/>
                <w:szCs w:val="22"/>
                <w:lang w:val="en-US"/>
              </w:rPr>
              <w:t>code</w:t>
            </w:r>
            <w:r w:rsidRPr="006F6DAC">
              <w:rPr>
                <w:rFonts w:ascii="Garamond" w:hAnsi="Garamond"/>
                <w:sz w:val="22"/>
                <w:szCs w:val="22"/>
              </w:rPr>
              <w:t xml:space="preserve"> – код АТС групповой точки поставки. Является обязательным числовым атрибутом длиной в 15 символов. В случае если длина выгружаемого из БД поля менее 15 символов, то к атрибуту в начале должен быть добавлен ведущий ноль (нули);</w:t>
            </w:r>
          </w:p>
          <w:p w14:paraId="5DA47E55" w14:textId="77777777" w:rsidR="00F11A8B" w:rsidRPr="006F6DAC" w:rsidRDefault="00F11A8B" w:rsidP="00F11A8B">
            <w:pPr>
              <w:numPr>
                <w:ilvl w:val="0"/>
                <w:numId w:val="242"/>
              </w:numPr>
              <w:suppressAutoHyphens w:val="0"/>
              <w:spacing w:line="259" w:lineRule="auto"/>
              <w:ind w:left="426"/>
              <w:contextualSpacing/>
              <w:jc w:val="both"/>
              <w:rPr>
                <w:rFonts w:ascii="Garamond" w:hAnsi="Garamond"/>
                <w:b/>
                <w:sz w:val="22"/>
                <w:szCs w:val="22"/>
              </w:rPr>
            </w:pPr>
            <w:r w:rsidRPr="006F6DAC">
              <w:rPr>
                <w:rFonts w:ascii="Garamond" w:hAnsi="Garamond"/>
                <w:sz w:val="22"/>
                <w:szCs w:val="22"/>
                <w:lang w:val="en-US"/>
              </w:rPr>
              <w:t>simple</w:t>
            </w:r>
            <w:r w:rsidRPr="006F6DAC">
              <w:rPr>
                <w:rFonts w:ascii="Garamond" w:hAnsi="Garamond"/>
                <w:sz w:val="22"/>
                <w:szCs w:val="22"/>
              </w:rPr>
              <w:t>-</w:t>
            </w:r>
            <w:r w:rsidRPr="006F6DAC">
              <w:rPr>
                <w:rFonts w:ascii="Garamond" w:hAnsi="Garamond"/>
                <w:sz w:val="22"/>
                <w:szCs w:val="22"/>
                <w:lang w:val="en-US"/>
              </w:rPr>
              <w:t>delivery</w:t>
            </w:r>
            <w:r w:rsidRPr="006F6DAC">
              <w:rPr>
                <w:rFonts w:ascii="Garamond" w:hAnsi="Garamond"/>
                <w:sz w:val="22"/>
                <w:szCs w:val="22"/>
              </w:rPr>
              <w:t>-</w:t>
            </w:r>
            <w:r w:rsidRPr="006F6DAC">
              <w:rPr>
                <w:rFonts w:ascii="Garamond" w:hAnsi="Garamond"/>
                <w:sz w:val="22"/>
                <w:szCs w:val="22"/>
                <w:lang w:val="en-US"/>
              </w:rPr>
              <w:t>point</w:t>
            </w:r>
            <w:r w:rsidRPr="006F6DAC">
              <w:rPr>
                <w:rFonts w:ascii="Garamond" w:hAnsi="Garamond"/>
                <w:sz w:val="22"/>
                <w:szCs w:val="22"/>
              </w:rPr>
              <w:t>-</w:t>
            </w:r>
            <w:r w:rsidRPr="006F6DAC">
              <w:rPr>
                <w:rFonts w:ascii="Garamond" w:hAnsi="Garamond"/>
                <w:sz w:val="22"/>
                <w:szCs w:val="22"/>
                <w:lang w:val="en-US"/>
              </w:rPr>
              <w:t>code</w:t>
            </w:r>
            <w:r w:rsidRPr="006F6DAC">
              <w:rPr>
                <w:rFonts w:ascii="Garamond" w:hAnsi="Garamond"/>
                <w:sz w:val="22"/>
                <w:szCs w:val="22"/>
              </w:rPr>
              <w:t xml:space="preserve"> – код АТС связанной точки поставки. Является обязательным числовым атрибутом длиной в 15 символов. В случае если длина выгружаемого из БД поля менее 15 символов, то к атрибуту в начале должен быть добавлен ведущий ноль (нули).</w:t>
            </w:r>
          </w:p>
        </w:tc>
        <w:tc>
          <w:tcPr>
            <w:tcW w:w="7115" w:type="dxa"/>
          </w:tcPr>
          <w:p w14:paraId="0A8F78DB" w14:textId="77777777" w:rsidR="00F11A8B" w:rsidRPr="006F6DAC" w:rsidRDefault="00F11A8B" w:rsidP="00F11A8B">
            <w:pPr>
              <w:pStyle w:val="40"/>
              <w:keepLines/>
              <w:numPr>
                <w:ilvl w:val="0"/>
                <w:numId w:val="0"/>
              </w:numPr>
              <w:suppressAutoHyphens w:val="0"/>
              <w:spacing w:line="259" w:lineRule="auto"/>
              <w:jc w:val="both"/>
              <w:rPr>
                <w:rFonts w:ascii="Garamond" w:eastAsia="Calibri" w:hAnsi="Garamond"/>
                <w:b w:val="0"/>
                <w:i/>
                <w:sz w:val="22"/>
                <w:szCs w:val="22"/>
                <w:lang w:val="en-US"/>
              </w:rPr>
            </w:pPr>
            <w:r w:rsidRPr="006F6DAC">
              <w:rPr>
                <w:rFonts w:ascii="Garamond" w:eastAsia="Calibri" w:hAnsi="Garamond"/>
                <w:b w:val="0"/>
                <w:i/>
                <w:sz w:val="22"/>
                <w:szCs w:val="22"/>
                <w:lang w:val="en-US"/>
              </w:rPr>
              <w:lastRenderedPageBreak/>
              <w:t>&lt;group-delivery-point&gt;</w:t>
            </w:r>
          </w:p>
          <w:p w14:paraId="3D1C2FFE" w14:textId="77777777" w:rsidR="00F11A8B" w:rsidRPr="006F6DAC" w:rsidRDefault="00F11A8B" w:rsidP="00F11A8B">
            <w:pPr>
              <w:contextualSpacing/>
              <w:jc w:val="both"/>
              <w:rPr>
                <w:rFonts w:ascii="Garamond" w:eastAsia="Calibri" w:hAnsi="Garamond"/>
                <w:sz w:val="22"/>
                <w:szCs w:val="22"/>
                <w:lang w:val="en-US"/>
              </w:rPr>
            </w:pPr>
            <w:r w:rsidRPr="006F6DAC">
              <w:rPr>
                <w:rFonts w:ascii="Garamond" w:eastAsia="Calibri" w:hAnsi="Garamond"/>
                <w:sz w:val="22"/>
                <w:szCs w:val="22"/>
              </w:rPr>
              <w:t>Содержит</w:t>
            </w:r>
            <w:r w:rsidRPr="006F6DAC">
              <w:rPr>
                <w:rFonts w:ascii="Garamond" w:eastAsia="Calibri" w:hAnsi="Garamond"/>
                <w:sz w:val="22"/>
                <w:szCs w:val="22"/>
                <w:lang w:val="en-US"/>
              </w:rPr>
              <w:t xml:space="preserve"> </w:t>
            </w:r>
            <w:r w:rsidRPr="006F6DAC">
              <w:rPr>
                <w:rFonts w:ascii="Garamond" w:eastAsia="Calibri" w:hAnsi="Garamond"/>
                <w:sz w:val="22"/>
                <w:szCs w:val="22"/>
              </w:rPr>
              <w:t>атрибуты</w:t>
            </w:r>
            <w:r w:rsidRPr="006F6DAC">
              <w:rPr>
                <w:rFonts w:ascii="Garamond" w:eastAsia="Calibri" w:hAnsi="Garamond"/>
                <w:sz w:val="22"/>
                <w:szCs w:val="22"/>
                <w:lang w:val="en-US"/>
              </w:rPr>
              <w:t xml:space="preserve">: </w:t>
            </w:r>
          </w:p>
          <w:p w14:paraId="7D69F338" w14:textId="77777777" w:rsidR="00F11A8B" w:rsidRPr="006F6DAC" w:rsidRDefault="00F11A8B" w:rsidP="00F11A8B">
            <w:pPr>
              <w:numPr>
                <w:ilvl w:val="0"/>
                <w:numId w:val="242"/>
              </w:numPr>
              <w:suppressAutoHyphens w:val="0"/>
              <w:spacing w:line="259" w:lineRule="auto"/>
              <w:ind w:left="426"/>
              <w:contextualSpacing/>
              <w:jc w:val="both"/>
              <w:rPr>
                <w:rFonts w:ascii="Garamond" w:hAnsi="Garamond"/>
                <w:sz w:val="22"/>
                <w:szCs w:val="22"/>
              </w:rPr>
            </w:pPr>
            <w:r w:rsidRPr="006F6DAC">
              <w:rPr>
                <w:rFonts w:ascii="Garamond" w:hAnsi="Garamond"/>
                <w:sz w:val="22"/>
                <w:szCs w:val="22"/>
                <w:lang w:val="en-US"/>
              </w:rPr>
              <w:lastRenderedPageBreak/>
              <w:t>group</w:t>
            </w:r>
            <w:r w:rsidRPr="006F6DAC">
              <w:rPr>
                <w:rFonts w:ascii="Garamond" w:hAnsi="Garamond"/>
                <w:sz w:val="22"/>
                <w:szCs w:val="22"/>
              </w:rPr>
              <w:t>-</w:t>
            </w:r>
            <w:r w:rsidRPr="006F6DAC">
              <w:rPr>
                <w:rFonts w:ascii="Garamond" w:hAnsi="Garamond"/>
                <w:sz w:val="22"/>
                <w:szCs w:val="22"/>
                <w:lang w:val="en-US"/>
              </w:rPr>
              <w:t>delivery</w:t>
            </w:r>
            <w:r w:rsidRPr="006F6DAC">
              <w:rPr>
                <w:rFonts w:ascii="Garamond" w:hAnsi="Garamond"/>
                <w:sz w:val="22"/>
                <w:szCs w:val="22"/>
              </w:rPr>
              <w:t>-</w:t>
            </w:r>
            <w:r w:rsidRPr="006F6DAC">
              <w:rPr>
                <w:rFonts w:ascii="Garamond" w:hAnsi="Garamond"/>
                <w:sz w:val="22"/>
                <w:szCs w:val="22"/>
                <w:lang w:val="en-US"/>
              </w:rPr>
              <w:t>point</w:t>
            </w:r>
            <w:r w:rsidRPr="006F6DAC">
              <w:rPr>
                <w:rFonts w:ascii="Garamond" w:hAnsi="Garamond"/>
                <w:sz w:val="22"/>
                <w:szCs w:val="22"/>
              </w:rPr>
              <w:t>-</w:t>
            </w:r>
            <w:r w:rsidRPr="006F6DAC">
              <w:rPr>
                <w:rFonts w:ascii="Garamond" w:hAnsi="Garamond"/>
                <w:sz w:val="22"/>
                <w:szCs w:val="22"/>
                <w:lang w:val="en-US"/>
              </w:rPr>
              <w:t>code</w:t>
            </w:r>
            <w:r w:rsidRPr="006F6DAC">
              <w:rPr>
                <w:rFonts w:ascii="Garamond" w:hAnsi="Garamond"/>
                <w:sz w:val="22"/>
                <w:szCs w:val="22"/>
              </w:rPr>
              <w:t xml:space="preserve"> – код АТС групповой точки поставки </w:t>
            </w:r>
            <w:r w:rsidRPr="006F6DAC">
              <w:rPr>
                <w:rFonts w:ascii="Garamond" w:hAnsi="Garamond"/>
                <w:sz w:val="22"/>
                <w:szCs w:val="22"/>
                <w:highlight w:val="yellow"/>
              </w:rPr>
              <w:t>(точки присоединения)</w:t>
            </w:r>
            <w:r w:rsidRPr="006F6DAC">
              <w:rPr>
                <w:rFonts w:ascii="Garamond" w:hAnsi="Garamond"/>
                <w:sz w:val="22"/>
                <w:szCs w:val="22"/>
              </w:rPr>
              <w:t>. Является обязательным числовым атрибутом длиной в 15 символов. В случае если длина выгружаемого из БД поля менее 15 символов, то к атрибуту в начале должен быть добавлен ведущий ноль (нули);</w:t>
            </w:r>
          </w:p>
          <w:p w14:paraId="64A4A447" w14:textId="77777777" w:rsidR="00F11A8B" w:rsidRPr="006F6DAC" w:rsidRDefault="00F11A8B" w:rsidP="00F11A8B">
            <w:pPr>
              <w:numPr>
                <w:ilvl w:val="0"/>
                <w:numId w:val="242"/>
              </w:numPr>
              <w:suppressAutoHyphens w:val="0"/>
              <w:spacing w:line="259" w:lineRule="auto"/>
              <w:ind w:left="426"/>
              <w:contextualSpacing/>
              <w:jc w:val="both"/>
              <w:rPr>
                <w:rFonts w:ascii="Garamond" w:hAnsi="Garamond"/>
                <w:b/>
                <w:sz w:val="22"/>
                <w:szCs w:val="22"/>
              </w:rPr>
            </w:pPr>
            <w:r w:rsidRPr="006F6DAC">
              <w:rPr>
                <w:rFonts w:ascii="Garamond" w:hAnsi="Garamond"/>
                <w:sz w:val="22"/>
                <w:szCs w:val="22"/>
                <w:lang w:val="en-US"/>
              </w:rPr>
              <w:t>simple</w:t>
            </w:r>
            <w:r w:rsidRPr="006F6DAC">
              <w:rPr>
                <w:rFonts w:ascii="Garamond" w:hAnsi="Garamond"/>
                <w:sz w:val="22"/>
                <w:szCs w:val="22"/>
              </w:rPr>
              <w:t>-</w:t>
            </w:r>
            <w:r w:rsidRPr="006F6DAC">
              <w:rPr>
                <w:rFonts w:ascii="Garamond" w:hAnsi="Garamond"/>
                <w:sz w:val="22"/>
                <w:szCs w:val="22"/>
                <w:lang w:val="en-US"/>
              </w:rPr>
              <w:t>delivery</w:t>
            </w:r>
            <w:r w:rsidRPr="006F6DAC">
              <w:rPr>
                <w:rFonts w:ascii="Garamond" w:hAnsi="Garamond"/>
                <w:sz w:val="22"/>
                <w:szCs w:val="22"/>
              </w:rPr>
              <w:t>-</w:t>
            </w:r>
            <w:r w:rsidRPr="006F6DAC">
              <w:rPr>
                <w:rFonts w:ascii="Garamond" w:hAnsi="Garamond"/>
                <w:sz w:val="22"/>
                <w:szCs w:val="22"/>
                <w:lang w:val="en-US"/>
              </w:rPr>
              <w:t>point</w:t>
            </w:r>
            <w:r w:rsidRPr="006F6DAC">
              <w:rPr>
                <w:rFonts w:ascii="Garamond" w:hAnsi="Garamond"/>
                <w:sz w:val="22"/>
                <w:szCs w:val="22"/>
              </w:rPr>
              <w:t>-</w:t>
            </w:r>
            <w:r w:rsidRPr="006F6DAC">
              <w:rPr>
                <w:rFonts w:ascii="Garamond" w:hAnsi="Garamond"/>
                <w:sz w:val="22"/>
                <w:szCs w:val="22"/>
                <w:lang w:val="en-US"/>
              </w:rPr>
              <w:t>code</w:t>
            </w:r>
            <w:r w:rsidRPr="006F6DAC">
              <w:rPr>
                <w:rFonts w:ascii="Garamond" w:hAnsi="Garamond"/>
                <w:sz w:val="22"/>
                <w:szCs w:val="22"/>
              </w:rPr>
              <w:t xml:space="preserve"> – код АТС связанной точки поставки </w:t>
            </w:r>
            <w:r w:rsidRPr="006F6DAC">
              <w:rPr>
                <w:rFonts w:ascii="Garamond" w:hAnsi="Garamond"/>
                <w:sz w:val="22"/>
                <w:szCs w:val="22"/>
                <w:highlight w:val="yellow"/>
              </w:rPr>
              <w:t>(точки присоединения)</w:t>
            </w:r>
            <w:r w:rsidRPr="006F6DAC">
              <w:rPr>
                <w:rFonts w:ascii="Garamond" w:hAnsi="Garamond"/>
                <w:sz w:val="22"/>
                <w:szCs w:val="22"/>
              </w:rPr>
              <w:t>. Является обязательным числовым атрибутом длиной в 15 символов. В случае если длина выгружаемого из БД поля менее 15 символов, то к атрибуту в начале должен быть добавлен ведущий ноль (нули).</w:t>
            </w:r>
          </w:p>
        </w:tc>
      </w:tr>
      <w:tr w:rsidR="00F11A8B" w:rsidRPr="006F6DAC" w14:paraId="66D68984" w14:textId="77777777" w:rsidTr="006F6DAC">
        <w:tc>
          <w:tcPr>
            <w:tcW w:w="1060" w:type="dxa"/>
          </w:tcPr>
          <w:p w14:paraId="5E913A24" w14:textId="2F274109" w:rsidR="00F11A8B" w:rsidRPr="006F6DAC" w:rsidRDefault="00F11A8B" w:rsidP="00F11A8B">
            <w:pPr>
              <w:widowControl w:val="0"/>
              <w:spacing w:line="259" w:lineRule="auto"/>
              <w:jc w:val="center"/>
              <w:rPr>
                <w:rFonts w:ascii="Garamond" w:hAnsi="Garamond"/>
                <w:b/>
                <w:sz w:val="22"/>
                <w:szCs w:val="22"/>
                <w:lang w:eastAsia="en-US"/>
              </w:rPr>
            </w:pPr>
            <w:r w:rsidRPr="006F6DAC">
              <w:rPr>
                <w:rFonts w:ascii="Garamond" w:hAnsi="Garamond"/>
                <w:b/>
                <w:sz w:val="22"/>
                <w:szCs w:val="22"/>
                <w:lang w:eastAsia="en-US"/>
              </w:rPr>
              <w:lastRenderedPageBreak/>
              <w:t>Приложение 8, п.</w:t>
            </w:r>
            <w:r w:rsidR="006F6DAC">
              <w:rPr>
                <w:rFonts w:ascii="Garamond" w:hAnsi="Garamond"/>
                <w:b/>
                <w:sz w:val="22"/>
                <w:szCs w:val="22"/>
                <w:lang w:eastAsia="en-US"/>
              </w:rPr>
              <w:t xml:space="preserve"> </w:t>
            </w:r>
            <w:r w:rsidRPr="006F6DAC">
              <w:rPr>
                <w:rFonts w:ascii="Garamond" w:hAnsi="Garamond"/>
                <w:b/>
                <w:sz w:val="22"/>
                <w:szCs w:val="22"/>
                <w:lang w:eastAsia="en-US"/>
              </w:rPr>
              <w:t>2.3.3</w:t>
            </w:r>
          </w:p>
        </w:tc>
        <w:tc>
          <w:tcPr>
            <w:tcW w:w="6804" w:type="dxa"/>
          </w:tcPr>
          <w:p w14:paraId="04706574" w14:textId="77777777" w:rsidR="00F11A8B" w:rsidRPr="006F6DAC" w:rsidRDefault="00F11A8B" w:rsidP="00F11A8B">
            <w:pPr>
              <w:pStyle w:val="3"/>
              <w:keepLines/>
              <w:numPr>
                <w:ilvl w:val="0"/>
                <w:numId w:val="0"/>
              </w:numPr>
              <w:suppressAutoHyphens w:val="0"/>
              <w:spacing w:line="259" w:lineRule="auto"/>
              <w:jc w:val="both"/>
              <w:rPr>
                <w:rFonts w:ascii="Garamond" w:hAnsi="Garamond"/>
                <w:b w:val="0"/>
                <w:sz w:val="22"/>
                <w:szCs w:val="22"/>
                <w:lang w:val="en-US"/>
              </w:rPr>
            </w:pPr>
            <w:r w:rsidRPr="006F6DAC">
              <w:rPr>
                <w:rFonts w:ascii="Garamond" w:hAnsi="Garamond"/>
                <w:b w:val="0"/>
                <w:color w:val="auto"/>
                <w:sz w:val="22"/>
                <w:szCs w:val="22"/>
                <w:lang w:val="en-US"/>
              </w:rPr>
              <w:t>&lt;power-center-power-object-links&gt;</w:t>
            </w:r>
          </w:p>
          <w:p w14:paraId="66F0B59B" w14:textId="77777777" w:rsidR="00F11A8B" w:rsidRPr="006F6DAC" w:rsidRDefault="00F11A8B" w:rsidP="00F11A8B">
            <w:pPr>
              <w:jc w:val="both"/>
              <w:rPr>
                <w:rFonts w:ascii="Garamond" w:eastAsia="Calibri" w:hAnsi="Garamond"/>
                <w:sz w:val="22"/>
                <w:szCs w:val="22"/>
              </w:rPr>
            </w:pPr>
            <w:r w:rsidRPr="006F6DAC">
              <w:rPr>
                <w:rFonts w:ascii="Garamond" w:hAnsi="Garamond"/>
                <w:sz w:val="22"/>
                <w:szCs w:val="22"/>
              </w:rPr>
              <w:t>Элемент &lt;</w:t>
            </w:r>
            <w:r w:rsidRPr="006F6DAC">
              <w:rPr>
                <w:rFonts w:ascii="Garamond" w:eastAsia="Calibri" w:hAnsi="Garamond"/>
                <w:sz w:val="22"/>
                <w:szCs w:val="22"/>
                <w:lang w:val="en-US"/>
              </w:rPr>
              <w:t>power</w:t>
            </w:r>
            <w:r w:rsidRPr="006F6DAC">
              <w:rPr>
                <w:rFonts w:ascii="Garamond" w:eastAsia="Calibri" w:hAnsi="Garamond"/>
                <w:sz w:val="22"/>
                <w:szCs w:val="22"/>
              </w:rPr>
              <w:t>-</w:t>
            </w:r>
            <w:r w:rsidRPr="006F6DAC">
              <w:rPr>
                <w:rFonts w:ascii="Garamond" w:eastAsia="Calibri" w:hAnsi="Garamond"/>
                <w:sz w:val="22"/>
                <w:szCs w:val="22"/>
                <w:lang w:val="en-US"/>
              </w:rPr>
              <w:t>center</w:t>
            </w:r>
            <w:r w:rsidRPr="006F6DAC">
              <w:rPr>
                <w:rFonts w:ascii="Garamond" w:eastAsia="Calibri" w:hAnsi="Garamond"/>
                <w:sz w:val="22"/>
                <w:szCs w:val="22"/>
              </w:rPr>
              <w:t>-</w:t>
            </w:r>
            <w:r w:rsidRPr="006F6DAC">
              <w:rPr>
                <w:rFonts w:ascii="Garamond" w:eastAsia="Calibri" w:hAnsi="Garamond"/>
                <w:sz w:val="22"/>
                <w:szCs w:val="22"/>
                <w:lang w:val="en-US"/>
              </w:rPr>
              <w:t>power</w:t>
            </w:r>
            <w:r w:rsidRPr="006F6DAC">
              <w:rPr>
                <w:rFonts w:ascii="Garamond" w:eastAsia="Calibri" w:hAnsi="Garamond"/>
                <w:sz w:val="22"/>
                <w:szCs w:val="22"/>
              </w:rPr>
              <w:t>-</w:t>
            </w:r>
            <w:r w:rsidRPr="006F6DAC">
              <w:rPr>
                <w:rFonts w:ascii="Garamond" w:eastAsia="Calibri" w:hAnsi="Garamond"/>
                <w:sz w:val="22"/>
                <w:szCs w:val="22"/>
                <w:lang w:val="en-US"/>
              </w:rPr>
              <w:t>object</w:t>
            </w:r>
            <w:r w:rsidRPr="006F6DAC">
              <w:rPr>
                <w:rFonts w:ascii="Garamond" w:eastAsia="Calibri" w:hAnsi="Garamond"/>
                <w:sz w:val="22"/>
                <w:szCs w:val="22"/>
              </w:rPr>
              <w:t>-</w:t>
            </w:r>
            <w:r w:rsidRPr="006F6DAC">
              <w:rPr>
                <w:rFonts w:ascii="Garamond" w:eastAsia="Calibri" w:hAnsi="Garamond"/>
                <w:sz w:val="22"/>
                <w:szCs w:val="22"/>
                <w:lang w:val="en-US"/>
              </w:rPr>
              <w:t>links</w:t>
            </w:r>
            <w:r w:rsidRPr="006F6DAC">
              <w:rPr>
                <w:rFonts w:ascii="Garamond" w:eastAsia="Calibri" w:hAnsi="Garamond"/>
                <w:sz w:val="22"/>
                <w:szCs w:val="22"/>
              </w:rPr>
              <w:t>&gt; содержит информацию о связях энергообъектов с питающими центрами.</w:t>
            </w:r>
          </w:p>
          <w:p w14:paraId="3B73EA6E" w14:textId="77777777" w:rsidR="00F11A8B" w:rsidRPr="006F6DAC" w:rsidRDefault="00F11A8B" w:rsidP="00F11A8B">
            <w:pPr>
              <w:jc w:val="both"/>
              <w:rPr>
                <w:rFonts w:ascii="Garamond" w:eastAsia="Calibri" w:hAnsi="Garamond"/>
                <w:sz w:val="22"/>
                <w:szCs w:val="22"/>
                <w:lang w:val="en-US"/>
              </w:rPr>
            </w:pPr>
            <w:r w:rsidRPr="006F6DAC">
              <w:rPr>
                <w:rFonts w:ascii="Garamond" w:hAnsi="Garamond"/>
                <w:sz w:val="22"/>
                <w:szCs w:val="22"/>
              </w:rPr>
              <w:t>Дочерними</w:t>
            </w:r>
            <w:r w:rsidRPr="006F6DAC">
              <w:rPr>
                <w:rFonts w:ascii="Garamond" w:hAnsi="Garamond"/>
                <w:sz w:val="22"/>
                <w:szCs w:val="22"/>
                <w:lang w:val="en-US"/>
              </w:rPr>
              <w:t xml:space="preserve"> </w:t>
            </w:r>
            <w:r w:rsidRPr="006F6DAC">
              <w:rPr>
                <w:rFonts w:ascii="Garamond" w:hAnsi="Garamond"/>
                <w:sz w:val="22"/>
                <w:szCs w:val="22"/>
              </w:rPr>
              <w:t>элементами</w:t>
            </w:r>
            <w:r w:rsidRPr="006F6DAC">
              <w:rPr>
                <w:rFonts w:ascii="Garamond" w:hAnsi="Garamond"/>
                <w:sz w:val="22"/>
                <w:szCs w:val="22"/>
                <w:lang w:val="en-US"/>
              </w:rPr>
              <w:t xml:space="preserve"> </w:t>
            </w:r>
            <w:r w:rsidRPr="006F6DAC">
              <w:rPr>
                <w:rFonts w:ascii="Garamond" w:hAnsi="Garamond"/>
                <w:sz w:val="22"/>
                <w:szCs w:val="22"/>
              </w:rPr>
              <w:t>являются</w:t>
            </w:r>
            <w:r w:rsidRPr="006F6DAC">
              <w:rPr>
                <w:rFonts w:ascii="Garamond" w:hAnsi="Garamond"/>
                <w:sz w:val="22"/>
                <w:szCs w:val="22"/>
                <w:lang w:val="en-US"/>
              </w:rPr>
              <w:t xml:space="preserve">: </w:t>
            </w:r>
            <w:r w:rsidRPr="006F6DAC">
              <w:rPr>
                <w:rFonts w:ascii="Garamond" w:eastAsia="Calibri" w:hAnsi="Garamond"/>
                <w:sz w:val="22"/>
                <w:szCs w:val="22"/>
                <w:lang w:val="en-US"/>
              </w:rPr>
              <w:t>&lt;power-center-power-object-link&gt;.</w:t>
            </w:r>
          </w:p>
        </w:tc>
        <w:tc>
          <w:tcPr>
            <w:tcW w:w="7115" w:type="dxa"/>
          </w:tcPr>
          <w:p w14:paraId="68F53FBF" w14:textId="77777777" w:rsidR="00F11A8B" w:rsidRPr="006F6DAC" w:rsidRDefault="00F11A8B" w:rsidP="00F11A8B">
            <w:pPr>
              <w:pStyle w:val="3"/>
              <w:keepLines/>
              <w:numPr>
                <w:ilvl w:val="0"/>
                <w:numId w:val="0"/>
              </w:numPr>
              <w:suppressAutoHyphens w:val="0"/>
              <w:spacing w:line="259" w:lineRule="auto"/>
              <w:jc w:val="both"/>
              <w:rPr>
                <w:rFonts w:ascii="Garamond" w:hAnsi="Garamond"/>
                <w:b w:val="0"/>
                <w:color w:val="auto"/>
                <w:sz w:val="22"/>
                <w:szCs w:val="22"/>
                <w:lang w:val="en-US"/>
              </w:rPr>
            </w:pPr>
            <w:r w:rsidRPr="006F6DAC">
              <w:rPr>
                <w:rFonts w:ascii="Garamond" w:hAnsi="Garamond"/>
                <w:b w:val="0"/>
                <w:color w:val="auto"/>
                <w:sz w:val="22"/>
                <w:szCs w:val="22"/>
                <w:lang w:val="en-US"/>
              </w:rPr>
              <w:t>&lt;power-center-power-object-links&gt;</w:t>
            </w:r>
          </w:p>
          <w:p w14:paraId="239B6EA9" w14:textId="77777777" w:rsidR="00F11A8B" w:rsidRPr="006F6DAC" w:rsidRDefault="00F11A8B" w:rsidP="00F11A8B">
            <w:pPr>
              <w:jc w:val="both"/>
              <w:rPr>
                <w:rFonts w:ascii="Garamond" w:eastAsia="Calibri" w:hAnsi="Garamond"/>
                <w:sz w:val="22"/>
                <w:szCs w:val="22"/>
              </w:rPr>
            </w:pPr>
            <w:r w:rsidRPr="006F6DAC">
              <w:rPr>
                <w:rFonts w:ascii="Garamond" w:hAnsi="Garamond"/>
                <w:sz w:val="22"/>
                <w:szCs w:val="22"/>
              </w:rPr>
              <w:t>Элемент &lt;</w:t>
            </w:r>
            <w:r w:rsidRPr="006F6DAC">
              <w:rPr>
                <w:rFonts w:ascii="Garamond" w:eastAsia="Calibri" w:hAnsi="Garamond"/>
                <w:sz w:val="22"/>
                <w:szCs w:val="22"/>
                <w:lang w:val="en-US"/>
              </w:rPr>
              <w:t>power</w:t>
            </w:r>
            <w:r w:rsidRPr="006F6DAC">
              <w:rPr>
                <w:rFonts w:ascii="Garamond" w:eastAsia="Calibri" w:hAnsi="Garamond"/>
                <w:sz w:val="22"/>
                <w:szCs w:val="22"/>
              </w:rPr>
              <w:t>-</w:t>
            </w:r>
            <w:r w:rsidRPr="006F6DAC">
              <w:rPr>
                <w:rFonts w:ascii="Garamond" w:eastAsia="Calibri" w:hAnsi="Garamond"/>
                <w:sz w:val="22"/>
                <w:szCs w:val="22"/>
                <w:lang w:val="en-US"/>
              </w:rPr>
              <w:t>center</w:t>
            </w:r>
            <w:r w:rsidRPr="006F6DAC">
              <w:rPr>
                <w:rFonts w:ascii="Garamond" w:eastAsia="Calibri" w:hAnsi="Garamond"/>
                <w:sz w:val="22"/>
                <w:szCs w:val="22"/>
              </w:rPr>
              <w:t>-</w:t>
            </w:r>
            <w:r w:rsidRPr="006F6DAC">
              <w:rPr>
                <w:rFonts w:ascii="Garamond" w:eastAsia="Calibri" w:hAnsi="Garamond"/>
                <w:sz w:val="22"/>
                <w:szCs w:val="22"/>
                <w:lang w:val="en-US"/>
              </w:rPr>
              <w:t>power</w:t>
            </w:r>
            <w:r w:rsidRPr="006F6DAC">
              <w:rPr>
                <w:rFonts w:ascii="Garamond" w:eastAsia="Calibri" w:hAnsi="Garamond"/>
                <w:sz w:val="22"/>
                <w:szCs w:val="22"/>
              </w:rPr>
              <w:t>-</w:t>
            </w:r>
            <w:r w:rsidRPr="006F6DAC">
              <w:rPr>
                <w:rFonts w:ascii="Garamond" w:eastAsia="Calibri" w:hAnsi="Garamond"/>
                <w:sz w:val="22"/>
                <w:szCs w:val="22"/>
                <w:lang w:val="en-US"/>
              </w:rPr>
              <w:t>object</w:t>
            </w:r>
            <w:r w:rsidRPr="006F6DAC">
              <w:rPr>
                <w:rFonts w:ascii="Garamond" w:eastAsia="Calibri" w:hAnsi="Garamond"/>
                <w:sz w:val="22"/>
                <w:szCs w:val="22"/>
              </w:rPr>
              <w:t>-</w:t>
            </w:r>
            <w:r w:rsidRPr="006F6DAC">
              <w:rPr>
                <w:rFonts w:ascii="Garamond" w:eastAsia="Calibri" w:hAnsi="Garamond"/>
                <w:sz w:val="22"/>
                <w:szCs w:val="22"/>
                <w:lang w:val="en-US"/>
              </w:rPr>
              <w:t>links</w:t>
            </w:r>
            <w:r w:rsidRPr="006F6DAC">
              <w:rPr>
                <w:rFonts w:ascii="Garamond" w:eastAsia="Calibri" w:hAnsi="Garamond"/>
                <w:sz w:val="22"/>
                <w:szCs w:val="22"/>
              </w:rPr>
              <w:t xml:space="preserve">&gt; содержит информацию о связях энергообъектов с питающими центрами. </w:t>
            </w:r>
            <w:r w:rsidRPr="006F6DAC">
              <w:rPr>
                <w:rFonts w:ascii="Garamond" w:eastAsia="Calibri" w:hAnsi="Garamond"/>
                <w:sz w:val="22"/>
                <w:szCs w:val="22"/>
                <w:highlight w:val="yellow"/>
              </w:rPr>
              <w:t>Отсутствует для объектов регулирования.</w:t>
            </w:r>
          </w:p>
          <w:p w14:paraId="1CF10EEE" w14:textId="77777777" w:rsidR="00F11A8B" w:rsidRPr="006F6DAC" w:rsidRDefault="00F11A8B" w:rsidP="00F11A8B">
            <w:pPr>
              <w:pStyle w:val="40"/>
              <w:keepLines/>
              <w:numPr>
                <w:ilvl w:val="0"/>
                <w:numId w:val="0"/>
              </w:numPr>
              <w:suppressAutoHyphens w:val="0"/>
              <w:spacing w:line="259" w:lineRule="auto"/>
              <w:jc w:val="both"/>
              <w:rPr>
                <w:rFonts w:ascii="Garamond" w:eastAsia="Calibri" w:hAnsi="Garamond"/>
                <w:b w:val="0"/>
                <w:sz w:val="22"/>
                <w:szCs w:val="22"/>
              </w:rPr>
            </w:pPr>
            <w:r w:rsidRPr="006F6DAC">
              <w:rPr>
                <w:rFonts w:ascii="Garamond" w:hAnsi="Garamond"/>
                <w:b w:val="0"/>
                <w:sz w:val="22"/>
                <w:szCs w:val="22"/>
              </w:rPr>
              <w:t xml:space="preserve">Дочерними элементами являются: </w:t>
            </w:r>
            <w:r w:rsidRPr="006F6DAC">
              <w:rPr>
                <w:rFonts w:ascii="Garamond" w:eastAsia="Calibri" w:hAnsi="Garamond"/>
                <w:b w:val="0"/>
                <w:sz w:val="22"/>
                <w:szCs w:val="22"/>
              </w:rPr>
              <w:t>&lt;</w:t>
            </w:r>
            <w:r w:rsidRPr="006F6DAC">
              <w:rPr>
                <w:rFonts w:ascii="Garamond" w:eastAsia="Calibri" w:hAnsi="Garamond"/>
                <w:b w:val="0"/>
                <w:sz w:val="22"/>
                <w:szCs w:val="22"/>
                <w:lang w:val="en-US"/>
              </w:rPr>
              <w:t>power</w:t>
            </w:r>
            <w:r w:rsidRPr="006F6DAC">
              <w:rPr>
                <w:rFonts w:ascii="Garamond" w:eastAsia="Calibri" w:hAnsi="Garamond"/>
                <w:b w:val="0"/>
                <w:sz w:val="22"/>
                <w:szCs w:val="22"/>
              </w:rPr>
              <w:t>-</w:t>
            </w:r>
            <w:r w:rsidRPr="006F6DAC">
              <w:rPr>
                <w:rFonts w:ascii="Garamond" w:eastAsia="Calibri" w:hAnsi="Garamond"/>
                <w:b w:val="0"/>
                <w:sz w:val="22"/>
                <w:szCs w:val="22"/>
                <w:lang w:val="en-US"/>
              </w:rPr>
              <w:t>center</w:t>
            </w:r>
            <w:r w:rsidRPr="006F6DAC">
              <w:rPr>
                <w:rFonts w:ascii="Garamond" w:eastAsia="Calibri" w:hAnsi="Garamond"/>
                <w:b w:val="0"/>
                <w:sz w:val="22"/>
                <w:szCs w:val="22"/>
              </w:rPr>
              <w:t>-</w:t>
            </w:r>
            <w:r w:rsidRPr="006F6DAC">
              <w:rPr>
                <w:rFonts w:ascii="Garamond" w:eastAsia="Calibri" w:hAnsi="Garamond"/>
                <w:b w:val="0"/>
                <w:sz w:val="22"/>
                <w:szCs w:val="22"/>
                <w:lang w:val="en-US"/>
              </w:rPr>
              <w:t>power</w:t>
            </w:r>
            <w:r w:rsidRPr="006F6DAC">
              <w:rPr>
                <w:rFonts w:ascii="Garamond" w:eastAsia="Calibri" w:hAnsi="Garamond"/>
                <w:b w:val="0"/>
                <w:sz w:val="22"/>
                <w:szCs w:val="22"/>
              </w:rPr>
              <w:t>-</w:t>
            </w:r>
            <w:r w:rsidRPr="006F6DAC">
              <w:rPr>
                <w:rFonts w:ascii="Garamond" w:eastAsia="Calibri" w:hAnsi="Garamond"/>
                <w:b w:val="0"/>
                <w:sz w:val="22"/>
                <w:szCs w:val="22"/>
                <w:lang w:val="en-US"/>
              </w:rPr>
              <w:t>object</w:t>
            </w:r>
            <w:r w:rsidRPr="006F6DAC">
              <w:rPr>
                <w:rFonts w:ascii="Garamond" w:eastAsia="Calibri" w:hAnsi="Garamond"/>
                <w:b w:val="0"/>
                <w:sz w:val="22"/>
                <w:szCs w:val="22"/>
              </w:rPr>
              <w:t>-</w:t>
            </w:r>
            <w:r w:rsidRPr="006F6DAC">
              <w:rPr>
                <w:rFonts w:ascii="Garamond" w:eastAsia="Calibri" w:hAnsi="Garamond"/>
                <w:b w:val="0"/>
                <w:sz w:val="22"/>
                <w:szCs w:val="22"/>
                <w:lang w:val="en-US"/>
              </w:rPr>
              <w:t>link</w:t>
            </w:r>
            <w:r w:rsidRPr="006F6DAC">
              <w:rPr>
                <w:rFonts w:ascii="Garamond" w:eastAsia="Calibri" w:hAnsi="Garamond"/>
                <w:b w:val="0"/>
                <w:sz w:val="22"/>
                <w:szCs w:val="22"/>
              </w:rPr>
              <w:t>&gt;.</w:t>
            </w:r>
          </w:p>
        </w:tc>
      </w:tr>
      <w:tr w:rsidR="00F11A8B" w:rsidRPr="006F6DAC" w14:paraId="40AF69DE" w14:textId="77777777" w:rsidTr="006F6DAC">
        <w:tc>
          <w:tcPr>
            <w:tcW w:w="1060" w:type="dxa"/>
          </w:tcPr>
          <w:p w14:paraId="4F666A9D" w14:textId="67636E6C" w:rsidR="00F11A8B" w:rsidRPr="006F6DAC" w:rsidRDefault="00F11A8B" w:rsidP="00F11A8B">
            <w:pPr>
              <w:widowControl w:val="0"/>
              <w:spacing w:line="259" w:lineRule="auto"/>
              <w:jc w:val="center"/>
              <w:rPr>
                <w:rFonts w:ascii="Garamond" w:hAnsi="Garamond"/>
                <w:b/>
                <w:sz w:val="22"/>
                <w:szCs w:val="22"/>
                <w:lang w:eastAsia="en-US"/>
              </w:rPr>
            </w:pPr>
            <w:r w:rsidRPr="006F6DAC">
              <w:rPr>
                <w:rFonts w:ascii="Garamond" w:hAnsi="Garamond"/>
                <w:b/>
                <w:sz w:val="22"/>
                <w:szCs w:val="22"/>
                <w:lang w:eastAsia="en-US"/>
              </w:rPr>
              <w:t>Приложение 8, п.</w:t>
            </w:r>
            <w:r w:rsidR="006F6DAC">
              <w:rPr>
                <w:rFonts w:ascii="Garamond" w:hAnsi="Garamond"/>
                <w:b/>
                <w:sz w:val="22"/>
                <w:szCs w:val="22"/>
                <w:lang w:eastAsia="en-US"/>
              </w:rPr>
              <w:t xml:space="preserve"> </w:t>
            </w:r>
            <w:r w:rsidRPr="006F6DAC">
              <w:rPr>
                <w:rFonts w:ascii="Garamond" w:hAnsi="Garamond"/>
                <w:b/>
                <w:sz w:val="22"/>
                <w:szCs w:val="22"/>
                <w:lang w:eastAsia="en-US"/>
              </w:rPr>
              <w:t>2.</w:t>
            </w:r>
            <w:r w:rsidRPr="006F6DAC">
              <w:rPr>
                <w:rFonts w:ascii="Garamond" w:hAnsi="Garamond"/>
                <w:b/>
                <w:sz w:val="22"/>
                <w:szCs w:val="22"/>
                <w:lang w:val="en-US" w:eastAsia="en-US"/>
              </w:rPr>
              <w:t>4</w:t>
            </w:r>
          </w:p>
        </w:tc>
        <w:tc>
          <w:tcPr>
            <w:tcW w:w="6804" w:type="dxa"/>
          </w:tcPr>
          <w:p w14:paraId="2714E4D3" w14:textId="77777777" w:rsidR="00F11A8B" w:rsidRPr="006F6DAC" w:rsidRDefault="00F11A8B" w:rsidP="00F11A8B">
            <w:pPr>
              <w:jc w:val="both"/>
              <w:rPr>
                <w:rFonts w:ascii="Garamond" w:hAnsi="Garamond"/>
                <w:sz w:val="22"/>
                <w:szCs w:val="22"/>
              </w:rPr>
            </w:pPr>
            <w:r w:rsidRPr="006F6DAC">
              <w:rPr>
                <w:rFonts w:ascii="Garamond" w:hAnsi="Garamond"/>
                <w:sz w:val="22"/>
                <w:szCs w:val="22"/>
              </w:rPr>
              <w:t>Элемент &lt;</w:t>
            </w:r>
            <w:r w:rsidRPr="006F6DAC">
              <w:rPr>
                <w:rFonts w:ascii="Garamond" w:hAnsi="Garamond"/>
                <w:bCs/>
                <w:sz w:val="22"/>
                <w:szCs w:val="22"/>
              </w:rPr>
              <w:t>aiis</w:t>
            </w:r>
            <w:r w:rsidRPr="006F6DAC">
              <w:rPr>
                <w:rFonts w:ascii="Garamond" w:hAnsi="Garamond"/>
                <w:sz w:val="22"/>
                <w:szCs w:val="22"/>
              </w:rPr>
              <w:t>&gt; содержит информацию об АИИС. Обязательный элемент. Допускается наличие только одного элемента.</w:t>
            </w:r>
          </w:p>
          <w:p w14:paraId="679B39AF" w14:textId="77777777" w:rsidR="00F11A8B" w:rsidRPr="006F6DAC" w:rsidRDefault="00F11A8B" w:rsidP="00F11A8B">
            <w:pPr>
              <w:jc w:val="both"/>
              <w:rPr>
                <w:rFonts w:ascii="Garamond" w:hAnsi="Garamond"/>
                <w:sz w:val="22"/>
                <w:szCs w:val="22"/>
              </w:rPr>
            </w:pPr>
            <w:r w:rsidRPr="006F6DAC">
              <w:rPr>
                <w:rFonts w:ascii="Garamond" w:hAnsi="Garamond"/>
                <w:sz w:val="22"/>
                <w:szCs w:val="22"/>
              </w:rPr>
              <w:t xml:space="preserve">Содержит атрибуты: </w:t>
            </w:r>
          </w:p>
          <w:p w14:paraId="4900CFE8" w14:textId="77777777" w:rsidR="00F11A8B" w:rsidRPr="006F6DAC" w:rsidRDefault="00F11A8B" w:rsidP="00F11A8B">
            <w:pPr>
              <w:pStyle w:val="ac"/>
              <w:numPr>
                <w:ilvl w:val="0"/>
                <w:numId w:val="243"/>
              </w:numPr>
              <w:spacing w:line="259" w:lineRule="auto"/>
              <w:contextualSpacing/>
              <w:jc w:val="both"/>
              <w:rPr>
                <w:rFonts w:ascii="Garamond" w:hAnsi="Garamond"/>
                <w:sz w:val="22"/>
                <w:szCs w:val="22"/>
              </w:rPr>
            </w:pPr>
            <w:r w:rsidRPr="006F6DAC">
              <w:rPr>
                <w:rFonts w:ascii="Garamond" w:hAnsi="Garamond"/>
                <w:sz w:val="22"/>
                <w:szCs w:val="22"/>
                <w:lang w:val="en-US"/>
              </w:rPr>
              <w:t>ats</w:t>
            </w:r>
            <w:r w:rsidRPr="006F6DAC">
              <w:rPr>
                <w:rFonts w:ascii="Garamond" w:hAnsi="Garamond"/>
                <w:sz w:val="22"/>
                <w:szCs w:val="22"/>
              </w:rPr>
              <w:t>-</w:t>
            </w:r>
            <w:r w:rsidRPr="006F6DAC">
              <w:rPr>
                <w:rFonts w:ascii="Garamond" w:hAnsi="Garamond"/>
                <w:sz w:val="22"/>
                <w:szCs w:val="22"/>
                <w:lang w:val="en-US"/>
              </w:rPr>
              <w:t>code</w:t>
            </w:r>
            <w:r w:rsidRPr="006F6DAC">
              <w:rPr>
                <w:rFonts w:ascii="Garamond" w:hAnsi="Garamond"/>
                <w:sz w:val="22"/>
                <w:szCs w:val="22"/>
              </w:rPr>
              <w:t xml:space="preserve"> – код </w:t>
            </w:r>
            <w:r w:rsidRPr="006F6DAC">
              <w:rPr>
                <w:rFonts w:ascii="Garamond" w:hAnsi="Garamond"/>
                <w:sz w:val="22"/>
                <w:szCs w:val="22"/>
                <w:highlight w:val="yellow"/>
              </w:rPr>
              <w:t>АИИС</w:t>
            </w:r>
            <w:r w:rsidRPr="006F6DAC">
              <w:rPr>
                <w:rFonts w:ascii="Garamond" w:hAnsi="Garamond"/>
                <w:sz w:val="22"/>
                <w:szCs w:val="22"/>
              </w:rPr>
              <w:t>, присваиваемый КО. Число из 10 символов. Является обязательным атрибутом;</w:t>
            </w:r>
          </w:p>
          <w:p w14:paraId="3F34CF3F" w14:textId="77777777" w:rsidR="00F11A8B" w:rsidRPr="006F6DAC" w:rsidRDefault="00F11A8B" w:rsidP="00F11A8B">
            <w:pPr>
              <w:pStyle w:val="ac"/>
              <w:numPr>
                <w:ilvl w:val="0"/>
                <w:numId w:val="243"/>
              </w:numPr>
              <w:spacing w:line="259" w:lineRule="auto"/>
              <w:contextualSpacing/>
              <w:jc w:val="both"/>
              <w:rPr>
                <w:rFonts w:ascii="Garamond" w:hAnsi="Garamond"/>
                <w:sz w:val="22"/>
                <w:szCs w:val="22"/>
              </w:rPr>
            </w:pPr>
            <w:r w:rsidRPr="006F6DAC">
              <w:rPr>
                <w:rFonts w:ascii="Garamond" w:hAnsi="Garamond"/>
                <w:sz w:val="22"/>
                <w:szCs w:val="22"/>
                <w:lang w:val="en-US"/>
              </w:rPr>
              <w:t>name</w:t>
            </w:r>
            <w:r w:rsidRPr="006F6DAC">
              <w:rPr>
                <w:rFonts w:ascii="Garamond" w:hAnsi="Garamond"/>
                <w:sz w:val="22"/>
                <w:szCs w:val="22"/>
              </w:rPr>
              <w:t xml:space="preserve"> – название </w:t>
            </w:r>
            <w:r w:rsidRPr="006F6DAC">
              <w:rPr>
                <w:rFonts w:ascii="Garamond" w:hAnsi="Garamond"/>
                <w:sz w:val="22"/>
                <w:szCs w:val="22"/>
                <w:highlight w:val="yellow"/>
              </w:rPr>
              <w:t>АИИС</w:t>
            </w:r>
            <w:r w:rsidRPr="006F6DAC">
              <w:rPr>
                <w:rFonts w:ascii="Garamond" w:hAnsi="Garamond"/>
                <w:sz w:val="22"/>
                <w:szCs w:val="22"/>
              </w:rPr>
              <w:t xml:space="preserve"> участника оптового рынка электроэнергии. Длина названия до 250 символов. Является обязательным атрибутом.</w:t>
            </w:r>
          </w:p>
          <w:p w14:paraId="67FF872A" w14:textId="77777777" w:rsidR="00F11A8B" w:rsidRPr="006F6DAC" w:rsidRDefault="00F11A8B" w:rsidP="00F11A8B">
            <w:pPr>
              <w:pStyle w:val="3"/>
              <w:keepLines/>
              <w:numPr>
                <w:ilvl w:val="0"/>
                <w:numId w:val="0"/>
              </w:numPr>
              <w:suppressAutoHyphens w:val="0"/>
              <w:spacing w:line="259" w:lineRule="auto"/>
              <w:jc w:val="both"/>
              <w:rPr>
                <w:rFonts w:ascii="Garamond" w:hAnsi="Garamond"/>
                <w:b w:val="0"/>
                <w:color w:val="auto"/>
                <w:sz w:val="22"/>
                <w:szCs w:val="22"/>
                <w:lang w:val="en-US"/>
              </w:rPr>
            </w:pPr>
            <w:r w:rsidRPr="006F6DAC">
              <w:rPr>
                <w:rFonts w:ascii="Garamond" w:hAnsi="Garamond"/>
                <w:b w:val="0"/>
                <w:color w:val="auto"/>
                <w:sz w:val="22"/>
                <w:szCs w:val="22"/>
              </w:rPr>
              <w:t>Дочерними элементами являются: &lt;area&gt;</w:t>
            </w:r>
          </w:p>
        </w:tc>
        <w:tc>
          <w:tcPr>
            <w:tcW w:w="7115" w:type="dxa"/>
          </w:tcPr>
          <w:p w14:paraId="50F149F2" w14:textId="77777777" w:rsidR="00F11A8B" w:rsidRPr="006F6DAC" w:rsidRDefault="00F11A8B" w:rsidP="00F11A8B">
            <w:pPr>
              <w:pStyle w:val="2"/>
              <w:keepLines/>
              <w:widowControl/>
              <w:numPr>
                <w:ilvl w:val="0"/>
                <w:numId w:val="0"/>
              </w:numPr>
              <w:suppressAutoHyphens w:val="0"/>
              <w:autoSpaceDE/>
              <w:spacing w:line="259" w:lineRule="auto"/>
              <w:jc w:val="both"/>
              <w:rPr>
                <w:rFonts w:ascii="Garamond" w:hAnsi="Garamond"/>
                <w:b w:val="0"/>
              </w:rPr>
            </w:pPr>
            <w:bookmarkStart w:id="84" w:name="e_2CE1350D44844D54919CB215DA056872"/>
            <w:r w:rsidRPr="006F6DAC">
              <w:rPr>
                <w:rFonts w:ascii="Garamond" w:hAnsi="Garamond"/>
                <w:b w:val="0"/>
              </w:rPr>
              <w:t>&lt;</w:t>
            </w:r>
            <w:r w:rsidRPr="006F6DAC">
              <w:rPr>
                <w:rFonts w:ascii="Garamond" w:hAnsi="Garamond"/>
                <w:b w:val="0"/>
                <w:lang w:val="en-US"/>
              </w:rPr>
              <w:t>aiis</w:t>
            </w:r>
            <w:r w:rsidRPr="006F6DAC">
              <w:rPr>
                <w:rFonts w:ascii="Garamond" w:hAnsi="Garamond"/>
                <w:b w:val="0"/>
              </w:rPr>
              <w:t>&gt;</w:t>
            </w:r>
            <w:bookmarkEnd w:id="84"/>
          </w:p>
          <w:p w14:paraId="53AEB423" w14:textId="4787A762" w:rsidR="00F11A8B" w:rsidRPr="006F6DAC" w:rsidRDefault="00F11A8B" w:rsidP="00F11A8B">
            <w:pPr>
              <w:jc w:val="both"/>
              <w:rPr>
                <w:rFonts w:ascii="Garamond" w:hAnsi="Garamond"/>
                <w:sz w:val="22"/>
                <w:szCs w:val="22"/>
              </w:rPr>
            </w:pPr>
            <w:r w:rsidRPr="006F6DAC">
              <w:rPr>
                <w:rFonts w:ascii="Garamond" w:hAnsi="Garamond"/>
                <w:sz w:val="22"/>
                <w:szCs w:val="22"/>
              </w:rPr>
              <w:t>Элемент &lt;</w:t>
            </w:r>
            <w:r w:rsidRPr="006F6DAC">
              <w:rPr>
                <w:rFonts w:ascii="Garamond" w:hAnsi="Garamond"/>
                <w:bCs/>
                <w:sz w:val="22"/>
                <w:szCs w:val="22"/>
              </w:rPr>
              <w:t>aiis</w:t>
            </w:r>
            <w:r w:rsidRPr="006F6DAC">
              <w:rPr>
                <w:rFonts w:ascii="Garamond" w:hAnsi="Garamond"/>
                <w:sz w:val="22"/>
                <w:szCs w:val="22"/>
              </w:rPr>
              <w:t>&gt; содержит информацию об АИИС</w:t>
            </w:r>
            <w:r w:rsidR="006F6DAC">
              <w:rPr>
                <w:rFonts w:ascii="Garamond" w:hAnsi="Garamond"/>
                <w:sz w:val="22"/>
                <w:szCs w:val="22"/>
              </w:rPr>
              <w:t xml:space="preserve"> </w:t>
            </w:r>
            <w:r w:rsidRPr="006F6DAC">
              <w:rPr>
                <w:rFonts w:ascii="Garamond" w:hAnsi="Garamond"/>
                <w:sz w:val="22"/>
                <w:szCs w:val="22"/>
                <w:highlight w:val="yellow"/>
              </w:rPr>
              <w:t>/</w:t>
            </w:r>
            <w:r w:rsidR="006F6DAC">
              <w:rPr>
                <w:rFonts w:ascii="Garamond" w:hAnsi="Garamond"/>
                <w:sz w:val="22"/>
                <w:szCs w:val="22"/>
                <w:highlight w:val="yellow"/>
              </w:rPr>
              <w:t xml:space="preserve"> </w:t>
            </w:r>
            <w:r w:rsidR="007B726D">
              <w:rPr>
                <w:rFonts w:ascii="Garamond" w:hAnsi="Garamond"/>
                <w:sz w:val="22"/>
                <w:szCs w:val="22"/>
                <w:highlight w:val="yellow"/>
              </w:rPr>
              <w:t>с</w:t>
            </w:r>
            <w:r w:rsidRPr="006F6DAC">
              <w:rPr>
                <w:rFonts w:ascii="Garamond" w:hAnsi="Garamond"/>
                <w:sz w:val="22"/>
                <w:szCs w:val="22"/>
                <w:highlight w:val="yellow"/>
              </w:rPr>
              <w:t>писке ОР</w:t>
            </w:r>
            <w:r w:rsidRPr="006F6DAC">
              <w:rPr>
                <w:rFonts w:ascii="Garamond" w:hAnsi="Garamond"/>
                <w:sz w:val="22"/>
                <w:szCs w:val="22"/>
              </w:rPr>
              <w:t>. Обязательный элемент. Допускается наличие только одного элемента.</w:t>
            </w:r>
          </w:p>
          <w:p w14:paraId="704179C7" w14:textId="77777777" w:rsidR="00F11A8B" w:rsidRPr="006F6DAC" w:rsidRDefault="00F11A8B" w:rsidP="00F11A8B">
            <w:pPr>
              <w:jc w:val="both"/>
              <w:rPr>
                <w:rFonts w:ascii="Garamond" w:hAnsi="Garamond"/>
                <w:sz w:val="22"/>
                <w:szCs w:val="22"/>
              </w:rPr>
            </w:pPr>
            <w:r w:rsidRPr="006F6DAC">
              <w:rPr>
                <w:rFonts w:ascii="Garamond" w:hAnsi="Garamond"/>
                <w:sz w:val="22"/>
                <w:szCs w:val="22"/>
              </w:rPr>
              <w:t xml:space="preserve">Содержит атрибуты: </w:t>
            </w:r>
          </w:p>
          <w:p w14:paraId="1AE9CA0C" w14:textId="5E4BF119" w:rsidR="00F11A8B" w:rsidRPr="006F6DAC" w:rsidRDefault="00F11A8B" w:rsidP="00F11A8B">
            <w:pPr>
              <w:pStyle w:val="ac"/>
              <w:numPr>
                <w:ilvl w:val="0"/>
                <w:numId w:val="243"/>
              </w:numPr>
              <w:spacing w:line="259" w:lineRule="auto"/>
              <w:contextualSpacing/>
              <w:jc w:val="both"/>
              <w:rPr>
                <w:rFonts w:ascii="Garamond" w:hAnsi="Garamond"/>
                <w:sz w:val="22"/>
                <w:szCs w:val="22"/>
              </w:rPr>
            </w:pPr>
            <w:bookmarkStart w:id="85" w:name="a_22099_ats_code"/>
            <w:r w:rsidRPr="006F6DAC">
              <w:rPr>
                <w:rFonts w:ascii="Garamond" w:hAnsi="Garamond"/>
                <w:sz w:val="22"/>
                <w:szCs w:val="22"/>
                <w:lang w:val="en-US"/>
              </w:rPr>
              <w:t>ats</w:t>
            </w:r>
            <w:r w:rsidRPr="006F6DAC">
              <w:rPr>
                <w:rFonts w:ascii="Garamond" w:hAnsi="Garamond"/>
                <w:sz w:val="22"/>
                <w:szCs w:val="22"/>
              </w:rPr>
              <w:t>-</w:t>
            </w:r>
            <w:r w:rsidRPr="006F6DAC">
              <w:rPr>
                <w:rFonts w:ascii="Garamond" w:hAnsi="Garamond"/>
                <w:sz w:val="22"/>
                <w:szCs w:val="22"/>
                <w:lang w:val="en-US"/>
              </w:rPr>
              <w:t>code</w:t>
            </w:r>
            <w:bookmarkEnd w:id="85"/>
            <w:r w:rsidRPr="006F6DAC">
              <w:rPr>
                <w:rFonts w:ascii="Garamond" w:hAnsi="Garamond"/>
                <w:sz w:val="22"/>
                <w:szCs w:val="22"/>
              </w:rPr>
              <w:t xml:space="preserve"> – код АИИС</w:t>
            </w:r>
            <w:r w:rsidR="006F6DAC">
              <w:rPr>
                <w:rFonts w:ascii="Garamond" w:hAnsi="Garamond"/>
                <w:sz w:val="22"/>
                <w:szCs w:val="22"/>
              </w:rPr>
              <w:t xml:space="preserve"> </w:t>
            </w:r>
            <w:r w:rsidRPr="006F6DAC">
              <w:rPr>
                <w:rFonts w:ascii="Garamond" w:hAnsi="Garamond"/>
                <w:sz w:val="22"/>
                <w:szCs w:val="22"/>
                <w:highlight w:val="yellow"/>
              </w:rPr>
              <w:t>/</w:t>
            </w:r>
            <w:r w:rsidR="006F6DAC">
              <w:rPr>
                <w:rFonts w:ascii="Garamond" w:hAnsi="Garamond"/>
                <w:sz w:val="22"/>
                <w:szCs w:val="22"/>
                <w:highlight w:val="yellow"/>
              </w:rPr>
              <w:t xml:space="preserve"> </w:t>
            </w:r>
            <w:r w:rsidR="007B726D">
              <w:rPr>
                <w:rFonts w:ascii="Garamond" w:hAnsi="Garamond"/>
                <w:sz w:val="22"/>
                <w:szCs w:val="22"/>
                <w:highlight w:val="yellow"/>
              </w:rPr>
              <w:t>с</w:t>
            </w:r>
            <w:r w:rsidRPr="006F6DAC">
              <w:rPr>
                <w:rFonts w:ascii="Garamond" w:hAnsi="Garamond"/>
                <w:sz w:val="22"/>
                <w:szCs w:val="22"/>
                <w:highlight w:val="yellow"/>
              </w:rPr>
              <w:t>писка ОР</w:t>
            </w:r>
            <w:r w:rsidRPr="006F6DAC">
              <w:rPr>
                <w:rFonts w:ascii="Garamond" w:hAnsi="Garamond"/>
                <w:sz w:val="22"/>
                <w:szCs w:val="22"/>
              </w:rPr>
              <w:t>, присваиваемый КО. Число из 10 символов. Является обязательным атрибутом;</w:t>
            </w:r>
          </w:p>
          <w:p w14:paraId="15F8E07D" w14:textId="553A43FD" w:rsidR="00F11A8B" w:rsidRPr="006F6DAC" w:rsidRDefault="00F11A8B" w:rsidP="00F11A8B">
            <w:pPr>
              <w:pStyle w:val="ac"/>
              <w:numPr>
                <w:ilvl w:val="0"/>
                <w:numId w:val="243"/>
              </w:numPr>
              <w:spacing w:line="259" w:lineRule="auto"/>
              <w:contextualSpacing/>
              <w:jc w:val="both"/>
              <w:rPr>
                <w:rFonts w:ascii="Garamond" w:hAnsi="Garamond"/>
                <w:sz w:val="22"/>
                <w:szCs w:val="22"/>
              </w:rPr>
            </w:pPr>
            <w:bookmarkStart w:id="86" w:name="a_22099_name"/>
            <w:r w:rsidRPr="006F6DAC">
              <w:rPr>
                <w:rFonts w:ascii="Garamond" w:hAnsi="Garamond"/>
                <w:sz w:val="22"/>
                <w:szCs w:val="22"/>
                <w:lang w:val="en-US"/>
              </w:rPr>
              <w:t>name</w:t>
            </w:r>
            <w:bookmarkEnd w:id="86"/>
            <w:r w:rsidRPr="006F6DAC">
              <w:rPr>
                <w:rFonts w:ascii="Garamond" w:hAnsi="Garamond"/>
                <w:sz w:val="22"/>
                <w:szCs w:val="22"/>
              </w:rPr>
              <w:t xml:space="preserve"> – название АИИС</w:t>
            </w:r>
            <w:r w:rsidR="006F6DAC">
              <w:rPr>
                <w:rFonts w:ascii="Garamond" w:hAnsi="Garamond"/>
                <w:sz w:val="22"/>
                <w:szCs w:val="22"/>
              </w:rPr>
              <w:t xml:space="preserve"> </w:t>
            </w:r>
            <w:r w:rsidRPr="006F6DAC">
              <w:rPr>
                <w:rFonts w:ascii="Garamond" w:hAnsi="Garamond"/>
                <w:sz w:val="22"/>
                <w:szCs w:val="22"/>
                <w:highlight w:val="yellow"/>
              </w:rPr>
              <w:t>/</w:t>
            </w:r>
            <w:r w:rsidR="006F6DAC">
              <w:rPr>
                <w:rFonts w:ascii="Garamond" w:hAnsi="Garamond"/>
                <w:sz w:val="22"/>
                <w:szCs w:val="22"/>
                <w:highlight w:val="yellow"/>
              </w:rPr>
              <w:t xml:space="preserve"> </w:t>
            </w:r>
            <w:r w:rsidR="007B726D">
              <w:rPr>
                <w:rFonts w:ascii="Garamond" w:hAnsi="Garamond"/>
                <w:sz w:val="22"/>
                <w:szCs w:val="22"/>
                <w:highlight w:val="yellow"/>
              </w:rPr>
              <w:t>с</w:t>
            </w:r>
            <w:r w:rsidRPr="006F6DAC">
              <w:rPr>
                <w:rFonts w:ascii="Garamond" w:hAnsi="Garamond"/>
                <w:sz w:val="22"/>
                <w:szCs w:val="22"/>
                <w:highlight w:val="yellow"/>
              </w:rPr>
              <w:t>писка ОР</w:t>
            </w:r>
            <w:r w:rsidRPr="006F6DAC">
              <w:rPr>
                <w:rFonts w:ascii="Garamond" w:hAnsi="Garamond"/>
                <w:sz w:val="22"/>
                <w:szCs w:val="22"/>
              </w:rPr>
              <w:t xml:space="preserve"> субъекта ОРЭМ. Длина названия до 250 символов. Является обязательным атрибутом.</w:t>
            </w:r>
          </w:p>
          <w:p w14:paraId="07C8E2BF" w14:textId="77777777" w:rsidR="00F11A8B" w:rsidRPr="006F6DAC" w:rsidRDefault="00F11A8B" w:rsidP="00F11A8B">
            <w:pPr>
              <w:pStyle w:val="3"/>
              <w:keepLines/>
              <w:numPr>
                <w:ilvl w:val="0"/>
                <w:numId w:val="0"/>
              </w:numPr>
              <w:suppressAutoHyphens w:val="0"/>
              <w:spacing w:line="259" w:lineRule="auto"/>
              <w:jc w:val="both"/>
              <w:rPr>
                <w:rFonts w:ascii="Garamond" w:hAnsi="Garamond"/>
                <w:b w:val="0"/>
                <w:color w:val="auto"/>
                <w:sz w:val="22"/>
                <w:szCs w:val="22"/>
                <w:lang w:val="en-US"/>
              </w:rPr>
            </w:pPr>
            <w:r w:rsidRPr="006F6DAC">
              <w:rPr>
                <w:rFonts w:ascii="Garamond" w:hAnsi="Garamond"/>
                <w:b w:val="0"/>
                <w:color w:val="auto"/>
                <w:sz w:val="22"/>
                <w:szCs w:val="22"/>
              </w:rPr>
              <w:t>Дочерними элементами являются: &lt;area&gt;</w:t>
            </w:r>
            <w:r w:rsidRPr="006F6DAC">
              <w:rPr>
                <w:rFonts w:ascii="Garamond" w:hAnsi="Garamond"/>
                <w:b w:val="0"/>
                <w:color w:val="auto"/>
                <w:sz w:val="22"/>
                <w:szCs w:val="22"/>
                <w:highlight w:val="yellow"/>
                <w:lang w:val="en-US"/>
              </w:rPr>
              <w:t>.</w:t>
            </w:r>
          </w:p>
        </w:tc>
      </w:tr>
      <w:tr w:rsidR="00F11A8B" w:rsidRPr="006F6DAC" w14:paraId="2D06DDC6" w14:textId="77777777" w:rsidTr="006F6DAC">
        <w:tc>
          <w:tcPr>
            <w:tcW w:w="1060" w:type="dxa"/>
          </w:tcPr>
          <w:p w14:paraId="247D3122" w14:textId="2ED37EA2" w:rsidR="00F11A8B" w:rsidRPr="006F6DAC" w:rsidRDefault="00F11A8B" w:rsidP="00F11A8B">
            <w:pPr>
              <w:widowControl w:val="0"/>
              <w:spacing w:line="259" w:lineRule="auto"/>
              <w:jc w:val="center"/>
              <w:rPr>
                <w:rFonts w:ascii="Garamond" w:hAnsi="Garamond"/>
                <w:b/>
                <w:sz w:val="22"/>
                <w:szCs w:val="22"/>
                <w:lang w:eastAsia="en-US"/>
              </w:rPr>
            </w:pPr>
            <w:r w:rsidRPr="006F6DAC">
              <w:rPr>
                <w:rFonts w:ascii="Garamond" w:hAnsi="Garamond"/>
                <w:b/>
                <w:sz w:val="22"/>
                <w:szCs w:val="22"/>
                <w:lang w:eastAsia="en-US"/>
              </w:rPr>
              <w:t>Приложение 8, п.</w:t>
            </w:r>
            <w:r w:rsidR="006F6DAC">
              <w:rPr>
                <w:rFonts w:ascii="Garamond" w:hAnsi="Garamond"/>
                <w:b/>
                <w:sz w:val="22"/>
                <w:szCs w:val="22"/>
                <w:lang w:eastAsia="en-US"/>
              </w:rPr>
              <w:t xml:space="preserve"> </w:t>
            </w:r>
            <w:r w:rsidRPr="006F6DAC">
              <w:rPr>
                <w:rFonts w:ascii="Garamond" w:hAnsi="Garamond"/>
                <w:b/>
                <w:sz w:val="22"/>
                <w:szCs w:val="22"/>
                <w:lang w:eastAsia="en-US"/>
              </w:rPr>
              <w:t>2.</w:t>
            </w:r>
            <w:r w:rsidRPr="006F6DAC">
              <w:rPr>
                <w:rFonts w:ascii="Garamond" w:hAnsi="Garamond"/>
                <w:b/>
                <w:sz w:val="22"/>
                <w:szCs w:val="22"/>
                <w:lang w:val="en-US" w:eastAsia="en-US"/>
              </w:rPr>
              <w:t>4</w:t>
            </w:r>
            <w:r w:rsidRPr="006F6DAC">
              <w:rPr>
                <w:rFonts w:ascii="Garamond" w:hAnsi="Garamond"/>
                <w:b/>
                <w:sz w:val="22"/>
                <w:szCs w:val="22"/>
                <w:lang w:eastAsia="en-US"/>
              </w:rPr>
              <w:t>.1</w:t>
            </w:r>
          </w:p>
        </w:tc>
        <w:tc>
          <w:tcPr>
            <w:tcW w:w="6804" w:type="dxa"/>
          </w:tcPr>
          <w:p w14:paraId="71D2A3C4" w14:textId="77777777" w:rsidR="00F11A8B" w:rsidRPr="006F6DAC" w:rsidRDefault="00F11A8B" w:rsidP="00F11A8B">
            <w:pPr>
              <w:pStyle w:val="3"/>
              <w:keepLines/>
              <w:numPr>
                <w:ilvl w:val="0"/>
                <w:numId w:val="0"/>
              </w:numPr>
              <w:suppressAutoHyphens w:val="0"/>
              <w:spacing w:line="259" w:lineRule="auto"/>
              <w:jc w:val="both"/>
              <w:rPr>
                <w:rFonts w:ascii="Garamond" w:hAnsi="Garamond"/>
                <w:b w:val="0"/>
                <w:color w:val="auto"/>
                <w:sz w:val="22"/>
                <w:szCs w:val="22"/>
                <w:lang w:val="en-US"/>
              </w:rPr>
            </w:pPr>
            <w:r w:rsidRPr="006F6DAC">
              <w:rPr>
                <w:rFonts w:ascii="Garamond" w:hAnsi="Garamond"/>
                <w:b w:val="0"/>
                <w:color w:val="auto"/>
                <w:sz w:val="22"/>
                <w:szCs w:val="22"/>
                <w:lang w:val="en-US"/>
              </w:rPr>
              <w:t>&lt;area&gt;</w:t>
            </w:r>
          </w:p>
          <w:p w14:paraId="38E17BCF" w14:textId="77777777" w:rsidR="00F11A8B" w:rsidRPr="006F6DAC" w:rsidRDefault="00F11A8B" w:rsidP="00F11A8B">
            <w:pPr>
              <w:jc w:val="both"/>
              <w:rPr>
                <w:rFonts w:ascii="Garamond" w:hAnsi="Garamond"/>
                <w:sz w:val="22"/>
                <w:szCs w:val="22"/>
              </w:rPr>
            </w:pPr>
            <w:r w:rsidRPr="006F6DAC">
              <w:rPr>
                <w:rFonts w:ascii="Garamond" w:hAnsi="Garamond"/>
                <w:sz w:val="22"/>
                <w:szCs w:val="22"/>
              </w:rPr>
              <w:t xml:space="preserve">Содержит атрибуты: </w:t>
            </w:r>
          </w:p>
          <w:p w14:paraId="3D57735D" w14:textId="77777777" w:rsidR="00F11A8B" w:rsidRPr="006F6DAC" w:rsidRDefault="00F11A8B" w:rsidP="00F11A8B">
            <w:pPr>
              <w:pStyle w:val="ac"/>
              <w:numPr>
                <w:ilvl w:val="0"/>
                <w:numId w:val="244"/>
              </w:numPr>
              <w:spacing w:line="259" w:lineRule="auto"/>
              <w:contextualSpacing/>
              <w:jc w:val="both"/>
              <w:rPr>
                <w:rFonts w:ascii="Garamond" w:hAnsi="Garamond"/>
                <w:sz w:val="22"/>
                <w:szCs w:val="22"/>
              </w:rPr>
            </w:pPr>
            <w:r w:rsidRPr="006F6DAC">
              <w:rPr>
                <w:rFonts w:ascii="Garamond" w:hAnsi="Garamond"/>
                <w:sz w:val="22"/>
                <w:szCs w:val="22"/>
                <w:lang w:val="en-US"/>
              </w:rPr>
              <w:t>ats</w:t>
            </w:r>
            <w:r w:rsidRPr="006F6DAC">
              <w:rPr>
                <w:rFonts w:ascii="Garamond" w:hAnsi="Garamond"/>
                <w:sz w:val="22"/>
                <w:szCs w:val="22"/>
              </w:rPr>
              <w:t>-</w:t>
            </w:r>
            <w:r w:rsidRPr="006F6DAC">
              <w:rPr>
                <w:rFonts w:ascii="Garamond" w:hAnsi="Garamond"/>
                <w:sz w:val="22"/>
                <w:szCs w:val="22"/>
                <w:lang w:val="en-US"/>
              </w:rPr>
              <w:t>code</w:t>
            </w:r>
            <w:r w:rsidRPr="006F6DAC">
              <w:rPr>
                <w:rFonts w:ascii="Garamond" w:hAnsi="Garamond"/>
                <w:sz w:val="22"/>
                <w:szCs w:val="22"/>
              </w:rPr>
              <w:t xml:space="preserve"> – код группы поставки информации, присваиваемый КО. Является обязательным атрибутом. Число из 10 символов;</w:t>
            </w:r>
          </w:p>
          <w:p w14:paraId="5EF19558" w14:textId="77777777" w:rsidR="00F11A8B" w:rsidRPr="006F6DAC" w:rsidRDefault="00F11A8B" w:rsidP="00F11A8B">
            <w:pPr>
              <w:pStyle w:val="ac"/>
              <w:numPr>
                <w:ilvl w:val="0"/>
                <w:numId w:val="244"/>
              </w:numPr>
              <w:spacing w:line="259" w:lineRule="auto"/>
              <w:contextualSpacing/>
              <w:jc w:val="both"/>
              <w:rPr>
                <w:rFonts w:ascii="Garamond" w:hAnsi="Garamond"/>
                <w:sz w:val="22"/>
                <w:szCs w:val="22"/>
              </w:rPr>
            </w:pPr>
            <w:r w:rsidRPr="006F6DAC">
              <w:rPr>
                <w:rFonts w:ascii="Garamond" w:hAnsi="Garamond"/>
                <w:sz w:val="22"/>
                <w:szCs w:val="22"/>
                <w:lang w:val="en-US"/>
              </w:rPr>
              <w:t>group</w:t>
            </w:r>
            <w:r w:rsidRPr="006F6DAC">
              <w:rPr>
                <w:rFonts w:ascii="Garamond" w:hAnsi="Garamond"/>
                <w:sz w:val="22"/>
                <w:szCs w:val="22"/>
              </w:rPr>
              <w:t>-</w:t>
            </w:r>
            <w:r w:rsidRPr="006F6DAC">
              <w:rPr>
                <w:rFonts w:ascii="Garamond" w:hAnsi="Garamond"/>
                <w:sz w:val="22"/>
                <w:szCs w:val="22"/>
                <w:lang w:val="en-US"/>
              </w:rPr>
              <w:t>type</w:t>
            </w:r>
            <w:r w:rsidRPr="006F6DAC">
              <w:rPr>
                <w:rFonts w:ascii="Garamond" w:hAnsi="Garamond"/>
                <w:sz w:val="22"/>
                <w:szCs w:val="22"/>
              </w:rPr>
              <w:t xml:space="preserve"> – является обязательным и содержит 1 – если группа относится к основной, 2 – если относится к группе малых присоединений;</w:t>
            </w:r>
          </w:p>
          <w:p w14:paraId="74FB33A5" w14:textId="77777777" w:rsidR="00F11A8B" w:rsidRPr="006F6DAC" w:rsidRDefault="00F11A8B" w:rsidP="00F11A8B">
            <w:pPr>
              <w:pStyle w:val="ac"/>
              <w:numPr>
                <w:ilvl w:val="0"/>
                <w:numId w:val="244"/>
              </w:numPr>
              <w:spacing w:line="259" w:lineRule="auto"/>
              <w:contextualSpacing/>
              <w:jc w:val="both"/>
              <w:rPr>
                <w:rFonts w:ascii="Garamond" w:hAnsi="Garamond"/>
                <w:sz w:val="22"/>
                <w:szCs w:val="22"/>
              </w:rPr>
            </w:pPr>
            <w:r w:rsidRPr="006F6DAC">
              <w:rPr>
                <w:rFonts w:ascii="Garamond" w:hAnsi="Garamond"/>
                <w:sz w:val="22"/>
                <w:szCs w:val="22"/>
                <w:lang w:val="en-US"/>
              </w:rPr>
              <w:t>name</w:t>
            </w:r>
            <w:r w:rsidRPr="006F6DAC">
              <w:rPr>
                <w:rFonts w:ascii="Garamond" w:hAnsi="Garamond"/>
                <w:sz w:val="22"/>
                <w:szCs w:val="22"/>
              </w:rPr>
              <w:t xml:space="preserve"> – название данной группы поставки информации. Является обязательным. Длина названия до 512 символов;</w:t>
            </w:r>
          </w:p>
          <w:p w14:paraId="63F9499C" w14:textId="77777777" w:rsidR="00F11A8B" w:rsidRPr="006F6DAC" w:rsidRDefault="00F11A8B" w:rsidP="00F11A8B">
            <w:pPr>
              <w:pStyle w:val="ac"/>
              <w:numPr>
                <w:ilvl w:val="0"/>
                <w:numId w:val="244"/>
              </w:numPr>
              <w:spacing w:line="259" w:lineRule="auto"/>
              <w:contextualSpacing/>
              <w:jc w:val="both"/>
              <w:rPr>
                <w:rFonts w:ascii="Garamond" w:hAnsi="Garamond"/>
                <w:sz w:val="22"/>
                <w:szCs w:val="22"/>
              </w:rPr>
            </w:pPr>
            <w:r w:rsidRPr="006F6DAC">
              <w:rPr>
                <w:rFonts w:ascii="Garamond" w:hAnsi="Garamond"/>
                <w:sz w:val="22"/>
                <w:szCs w:val="22"/>
                <w:lang w:val="en-US"/>
              </w:rPr>
              <w:t>time</w:t>
            </w:r>
            <w:r w:rsidRPr="006F6DAC">
              <w:rPr>
                <w:rFonts w:ascii="Garamond" w:hAnsi="Garamond"/>
                <w:sz w:val="22"/>
                <w:szCs w:val="22"/>
              </w:rPr>
              <w:t>-</w:t>
            </w:r>
            <w:r w:rsidRPr="006F6DAC">
              <w:rPr>
                <w:rFonts w:ascii="Garamond" w:hAnsi="Garamond"/>
                <w:sz w:val="22"/>
                <w:szCs w:val="22"/>
                <w:lang w:val="en-US"/>
              </w:rPr>
              <w:t>zone</w:t>
            </w:r>
            <w:r w:rsidRPr="006F6DAC">
              <w:rPr>
                <w:rFonts w:ascii="Garamond" w:hAnsi="Garamond"/>
                <w:sz w:val="22"/>
                <w:szCs w:val="22"/>
              </w:rPr>
              <w:t xml:space="preserve"> – атрибут, указывающий на временной пояс, по которому организация присылает данные КУ в рамках данного </w:t>
            </w:r>
            <w:r w:rsidRPr="006F6DAC">
              <w:rPr>
                <w:rFonts w:ascii="Garamond" w:hAnsi="Garamond"/>
                <w:sz w:val="22"/>
                <w:szCs w:val="22"/>
              </w:rPr>
              <w:lastRenderedPageBreak/>
              <w:t xml:space="preserve">сечения </w:t>
            </w:r>
            <w:r w:rsidRPr="006F6DAC">
              <w:rPr>
                <w:rFonts w:ascii="Garamond" w:hAnsi="Garamond"/>
                <w:sz w:val="22"/>
                <w:szCs w:val="22"/>
                <w:highlight w:val="yellow"/>
              </w:rPr>
              <w:t>или ГТП генерации</w:t>
            </w:r>
            <w:r w:rsidRPr="006F6DAC">
              <w:rPr>
                <w:rFonts w:ascii="Garamond" w:hAnsi="Garamond"/>
                <w:sz w:val="22"/>
                <w:szCs w:val="22"/>
              </w:rPr>
              <w:t>. Принимает значения «1» – ценовая зона Москвы или «3» – неценовая зона Дальнего Востока. Является обязательным атрибутом.</w:t>
            </w:r>
          </w:p>
          <w:p w14:paraId="6D89CB7F" w14:textId="77777777" w:rsidR="00F11A8B" w:rsidRPr="006F6DAC" w:rsidRDefault="00F11A8B" w:rsidP="00F11A8B">
            <w:pPr>
              <w:jc w:val="both"/>
              <w:rPr>
                <w:rFonts w:ascii="Garamond" w:hAnsi="Garamond"/>
                <w:sz w:val="22"/>
                <w:szCs w:val="22"/>
                <w:lang w:val="en-US"/>
              </w:rPr>
            </w:pPr>
            <w:r w:rsidRPr="006F6DAC">
              <w:rPr>
                <w:rFonts w:ascii="Garamond" w:hAnsi="Garamond"/>
                <w:sz w:val="22"/>
                <w:szCs w:val="22"/>
              </w:rPr>
              <w:t>Дочерними</w:t>
            </w:r>
            <w:r w:rsidRPr="006F6DAC">
              <w:rPr>
                <w:rFonts w:ascii="Garamond" w:hAnsi="Garamond"/>
                <w:sz w:val="22"/>
                <w:szCs w:val="22"/>
                <w:lang w:val="en-US"/>
              </w:rPr>
              <w:t xml:space="preserve"> </w:t>
            </w:r>
            <w:r w:rsidRPr="006F6DAC">
              <w:rPr>
                <w:rFonts w:ascii="Garamond" w:hAnsi="Garamond"/>
                <w:sz w:val="22"/>
                <w:szCs w:val="22"/>
              </w:rPr>
              <w:t>элементами</w:t>
            </w:r>
            <w:r w:rsidRPr="006F6DAC">
              <w:rPr>
                <w:rFonts w:ascii="Garamond" w:hAnsi="Garamond"/>
                <w:sz w:val="22"/>
                <w:szCs w:val="22"/>
                <w:lang w:val="en-US"/>
              </w:rPr>
              <w:t xml:space="preserve"> </w:t>
            </w:r>
            <w:r w:rsidRPr="006F6DAC">
              <w:rPr>
                <w:rFonts w:ascii="Garamond" w:hAnsi="Garamond"/>
                <w:sz w:val="22"/>
                <w:szCs w:val="22"/>
              </w:rPr>
              <w:t>являются</w:t>
            </w:r>
            <w:r w:rsidRPr="006F6DAC">
              <w:rPr>
                <w:rFonts w:ascii="Garamond" w:hAnsi="Garamond"/>
                <w:sz w:val="22"/>
                <w:szCs w:val="22"/>
                <w:lang w:val="en-US"/>
              </w:rPr>
              <w:t xml:space="preserve">: &lt;serviced-points-list&gt;, &lt;delivery-point-channels-list&gt;, &lt;measuring-channels-list&gt;, &lt;measuring-objects-list&gt;, </w:t>
            </w:r>
            <w:r w:rsidRPr="006F6DAC">
              <w:rPr>
                <w:rFonts w:ascii="Garamond" w:hAnsi="Garamond"/>
                <w:sz w:val="22"/>
                <w:szCs w:val="22"/>
                <w:highlight w:val="yellow"/>
                <w:lang w:val="en-US"/>
              </w:rPr>
              <w:t>&lt;peretok&gt;, &lt;generation&gt;</w:t>
            </w:r>
            <w:r w:rsidRPr="006F6DAC">
              <w:rPr>
                <w:rFonts w:ascii="Garamond" w:hAnsi="Garamond"/>
                <w:sz w:val="22"/>
                <w:szCs w:val="22"/>
                <w:lang w:val="en-US"/>
              </w:rPr>
              <w:t>.</w:t>
            </w:r>
          </w:p>
        </w:tc>
        <w:tc>
          <w:tcPr>
            <w:tcW w:w="7115" w:type="dxa"/>
          </w:tcPr>
          <w:p w14:paraId="5A50C191" w14:textId="77777777" w:rsidR="00F11A8B" w:rsidRPr="006F6DAC" w:rsidRDefault="00F11A8B" w:rsidP="00F11A8B">
            <w:pPr>
              <w:pStyle w:val="3"/>
              <w:keepLines/>
              <w:numPr>
                <w:ilvl w:val="0"/>
                <w:numId w:val="0"/>
              </w:numPr>
              <w:suppressAutoHyphens w:val="0"/>
              <w:spacing w:line="259" w:lineRule="auto"/>
              <w:jc w:val="both"/>
              <w:rPr>
                <w:rFonts w:ascii="Garamond" w:hAnsi="Garamond"/>
                <w:b w:val="0"/>
                <w:color w:val="auto"/>
                <w:sz w:val="22"/>
                <w:szCs w:val="22"/>
                <w:lang w:val="en-US"/>
              </w:rPr>
            </w:pPr>
            <w:bookmarkStart w:id="87" w:name="e_9FE15EDAA68747E38FC9E370886B7AE6"/>
            <w:r w:rsidRPr="006F6DAC">
              <w:rPr>
                <w:rFonts w:ascii="Garamond" w:hAnsi="Garamond"/>
                <w:b w:val="0"/>
                <w:color w:val="auto"/>
                <w:sz w:val="22"/>
                <w:szCs w:val="22"/>
                <w:lang w:val="en-US"/>
              </w:rPr>
              <w:lastRenderedPageBreak/>
              <w:t>&lt;area&gt;</w:t>
            </w:r>
            <w:bookmarkEnd w:id="87"/>
          </w:p>
          <w:p w14:paraId="671ED062" w14:textId="77777777" w:rsidR="00F11A8B" w:rsidRPr="006F6DAC" w:rsidRDefault="00F11A8B" w:rsidP="00F11A8B">
            <w:pPr>
              <w:jc w:val="both"/>
              <w:rPr>
                <w:rFonts w:ascii="Garamond" w:hAnsi="Garamond"/>
                <w:sz w:val="22"/>
                <w:szCs w:val="22"/>
              </w:rPr>
            </w:pPr>
            <w:r w:rsidRPr="006F6DAC">
              <w:rPr>
                <w:rFonts w:ascii="Garamond" w:hAnsi="Garamond"/>
                <w:sz w:val="22"/>
                <w:szCs w:val="22"/>
              </w:rPr>
              <w:t xml:space="preserve">Содержит атрибуты: </w:t>
            </w:r>
          </w:p>
          <w:p w14:paraId="242D3158" w14:textId="77777777" w:rsidR="00F11A8B" w:rsidRPr="006F6DAC" w:rsidRDefault="00F11A8B" w:rsidP="00F11A8B">
            <w:pPr>
              <w:pStyle w:val="ac"/>
              <w:numPr>
                <w:ilvl w:val="0"/>
                <w:numId w:val="244"/>
              </w:numPr>
              <w:spacing w:line="259" w:lineRule="auto"/>
              <w:contextualSpacing/>
              <w:jc w:val="both"/>
              <w:rPr>
                <w:rFonts w:ascii="Garamond" w:hAnsi="Garamond"/>
                <w:sz w:val="22"/>
                <w:szCs w:val="22"/>
              </w:rPr>
            </w:pPr>
            <w:bookmarkStart w:id="88" w:name="a_22101_ats_code"/>
            <w:r w:rsidRPr="006F6DAC">
              <w:rPr>
                <w:rFonts w:ascii="Garamond" w:hAnsi="Garamond"/>
                <w:sz w:val="22"/>
                <w:szCs w:val="22"/>
                <w:lang w:val="en-US"/>
              </w:rPr>
              <w:t>ats</w:t>
            </w:r>
            <w:r w:rsidRPr="006F6DAC">
              <w:rPr>
                <w:rFonts w:ascii="Garamond" w:hAnsi="Garamond"/>
                <w:sz w:val="22"/>
                <w:szCs w:val="22"/>
              </w:rPr>
              <w:t>-</w:t>
            </w:r>
            <w:r w:rsidRPr="006F6DAC">
              <w:rPr>
                <w:rFonts w:ascii="Garamond" w:hAnsi="Garamond"/>
                <w:sz w:val="22"/>
                <w:szCs w:val="22"/>
                <w:lang w:val="en-US"/>
              </w:rPr>
              <w:t>code</w:t>
            </w:r>
            <w:bookmarkEnd w:id="88"/>
            <w:r w:rsidRPr="006F6DAC">
              <w:rPr>
                <w:rFonts w:ascii="Garamond" w:hAnsi="Garamond"/>
                <w:sz w:val="22"/>
                <w:szCs w:val="22"/>
              </w:rPr>
              <w:t xml:space="preserve"> – код группы поставки информации, присваиваемый КО. Является обязательным атрибутом. Число из 10 символов;</w:t>
            </w:r>
          </w:p>
          <w:p w14:paraId="74CACC77" w14:textId="77777777" w:rsidR="00F11A8B" w:rsidRPr="006F6DAC" w:rsidRDefault="00F11A8B" w:rsidP="00F11A8B">
            <w:pPr>
              <w:pStyle w:val="ac"/>
              <w:numPr>
                <w:ilvl w:val="0"/>
                <w:numId w:val="244"/>
              </w:numPr>
              <w:spacing w:line="259" w:lineRule="auto"/>
              <w:contextualSpacing/>
              <w:jc w:val="both"/>
              <w:rPr>
                <w:rFonts w:ascii="Garamond" w:hAnsi="Garamond"/>
                <w:sz w:val="22"/>
                <w:szCs w:val="22"/>
              </w:rPr>
            </w:pPr>
            <w:bookmarkStart w:id="89" w:name="a_22101_group_type"/>
            <w:r w:rsidRPr="006F6DAC">
              <w:rPr>
                <w:rFonts w:ascii="Garamond" w:hAnsi="Garamond"/>
                <w:sz w:val="22"/>
                <w:szCs w:val="22"/>
                <w:lang w:val="en-US"/>
              </w:rPr>
              <w:t>group</w:t>
            </w:r>
            <w:r w:rsidRPr="006F6DAC">
              <w:rPr>
                <w:rFonts w:ascii="Garamond" w:hAnsi="Garamond"/>
                <w:sz w:val="22"/>
                <w:szCs w:val="22"/>
              </w:rPr>
              <w:t>-</w:t>
            </w:r>
            <w:r w:rsidRPr="006F6DAC">
              <w:rPr>
                <w:rFonts w:ascii="Garamond" w:hAnsi="Garamond"/>
                <w:sz w:val="22"/>
                <w:szCs w:val="22"/>
                <w:lang w:val="en-US"/>
              </w:rPr>
              <w:t>type</w:t>
            </w:r>
            <w:bookmarkEnd w:id="89"/>
            <w:r w:rsidRPr="006F6DAC">
              <w:rPr>
                <w:rFonts w:ascii="Garamond" w:hAnsi="Garamond"/>
                <w:sz w:val="22"/>
                <w:szCs w:val="22"/>
              </w:rPr>
              <w:t xml:space="preserve"> – является обязательным и содержит 1 – если группа относится к основной, 2 – если относится к группе малых присоединений;</w:t>
            </w:r>
          </w:p>
          <w:p w14:paraId="2312E6B8" w14:textId="77777777" w:rsidR="00F11A8B" w:rsidRPr="006F6DAC" w:rsidRDefault="00F11A8B" w:rsidP="00F11A8B">
            <w:pPr>
              <w:pStyle w:val="ac"/>
              <w:numPr>
                <w:ilvl w:val="0"/>
                <w:numId w:val="244"/>
              </w:numPr>
              <w:spacing w:line="259" w:lineRule="auto"/>
              <w:contextualSpacing/>
              <w:jc w:val="both"/>
              <w:rPr>
                <w:rFonts w:ascii="Garamond" w:hAnsi="Garamond"/>
                <w:sz w:val="22"/>
                <w:szCs w:val="22"/>
              </w:rPr>
            </w:pPr>
            <w:bookmarkStart w:id="90" w:name="a_22101_name"/>
            <w:r w:rsidRPr="006F6DAC">
              <w:rPr>
                <w:rFonts w:ascii="Garamond" w:hAnsi="Garamond"/>
                <w:sz w:val="22"/>
                <w:szCs w:val="22"/>
                <w:lang w:val="en-US"/>
              </w:rPr>
              <w:t>name</w:t>
            </w:r>
            <w:bookmarkEnd w:id="90"/>
            <w:r w:rsidRPr="006F6DAC">
              <w:rPr>
                <w:rFonts w:ascii="Garamond" w:hAnsi="Garamond"/>
                <w:sz w:val="22"/>
                <w:szCs w:val="22"/>
              </w:rPr>
              <w:t xml:space="preserve"> – название данной группы поставки информации. Является обязательным. Длина названия до 512 символов;</w:t>
            </w:r>
          </w:p>
          <w:p w14:paraId="2729F37E" w14:textId="77777777" w:rsidR="00F11A8B" w:rsidRPr="006F6DAC" w:rsidRDefault="00F11A8B" w:rsidP="00F11A8B">
            <w:pPr>
              <w:pStyle w:val="ac"/>
              <w:numPr>
                <w:ilvl w:val="0"/>
                <w:numId w:val="244"/>
              </w:numPr>
              <w:spacing w:line="259" w:lineRule="auto"/>
              <w:contextualSpacing/>
              <w:jc w:val="both"/>
              <w:rPr>
                <w:rFonts w:ascii="Garamond" w:hAnsi="Garamond"/>
                <w:sz w:val="22"/>
                <w:szCs w:val="22"/>
              </w:rPr>
            </w:pPr>
            <w:bookmarkStart w:id="91" w:name="a_22101_timezone"/>
            <w:r w:rsidRPr="006F6DAC">
              <w:rPr>
                <w:rFonts w:ascii="Garamond" w:hAnsi="Garamond"/>
                <w:sz w:val="22"/>
                <w:szCs w:val="22"/>
                <w:lang w:val="en-US"/>
              </w:rPr>
              <w:t>time</w:t>
            </w:r>
            <w:r w:rsidRPr="006F6DAC">
              <w:rPr>
                <w:rFonts w:ascii="Garamond" w:hAnsi="Garamond"/>
                <w:sz w:val="22"/>
                <w:szCs w:val="22"/>
              </w:rPr>
              <w:t>-</w:t>
            </w:r>
            <w:r w:rsidRPr="006F6DAC">
              <w:rPr>
                <w:rFonts w:ascii="Garamond" w:hAnsi="Garamond"/>
                <w:sz w:val="22"/>
                <w:szCs w:val="22"/>
                <w:lang w:val="en-US"/>
              </w:rPr>
              <w:t>zone</w:t>
            </w:r>
            <w:bookmarkEnd w:id="91"/>
            <w:r w:rsidRPr="006F6DAC">
              <w:rPr>
                <w:rFonts w:ascii="Garamond" w:hAnsi="Garamond"/>
                <w:sz w:val="22"/>
                <w:szCs w:val="22"/>
              </w:rPr>
              <w:t xml:space="preserve"> – атрибут, указывающий на временной пояс, по которому организация присылает данные КУ в рамках данного сечения </w:t>
            </w:r>
            <w:r w:rsidRPr="006F6DAC">
              <w:rPr>
                <w:rFonts w:ascii="Garamond" w:hAnsi="Garamond"/>
                <w:sz w:val="22"/>
                <w:szCs w:val="22"/>
                <w:highlight w:val="yellow"/>
              </w:rPr>
              <w:lastRenderedPageBreak/>
              <w:t>коммерческого учета, ГТП генерации или объекта регулирования</w:t>
            </w:r>
            <w:r w:rsidRPr="006F6DAC">
              <w:rPr>
                <w:rFonts w:ascii="Garamond" w:hAnsi="Garamond"/>
                <w:sz w:val="22"/>
                <w:szCs w:val="22"/>
              </w:rPr>
              <w:t xml:space="preserve">. </w:t>
            </w:r>
            <w:r w:rsidRPr="006F6DAC">
              <w:rPr>
                <w:rFonts w:ascii="Garamond" w:hAnsi="Garamond"/>
                <w:sz w:val="22"/>
                <w:szCs w:val="22"/>
                <w:highlight w:val="yellow"/>
              </w:rPr>
              <w:t>Для ГТП генерации и сечений коммерческого учета</w:t>
            </w:r>
            <w:r w:rsidRPr="006F6DAC">
              <w:rPr>
                <w:rFonts w:ascii="Garamond" w:hAnsi="Garamond"/>
                <w:sz w:val="22"/>
                <w:szCs w:val="22"/>
              </w:rPr>
              <w:t xml:space="preserve"> принимает значения «1» – ценовая зона Москвы или «3» – неценовая зона Дальнего Востока</w:t>
            </w:r>
            <w:r w:rsidRPr="006F6DAC">
              <w:rPr>
                <w:rFonts w:ascii="Garamond" w:hAnsi="Garamond"/>
                <w:sz w:val="22"/>
                <w:szCs w:val="22"/>
                <w:highlight w:val="yellow"/>
              </w:rPr>
              <w:t>, для объектов регулирования принимает только значение «1»</w:t>
            </w:r>
            <w:r w:rsidRPr="006F6DAC">
              <w:rPr>
                <w:rFonts w:ascii="Garamond" w:hAnsi="Garamond"/>
                <w:sz w:val="22"/>
                <w:szCs w:val="22"/>
              </w:rPr>
              <w:t>. Является обязательным атрибутом.</w:t>
            </w:r>
          </w:p>
          <w:p w14:paraId="0F6EE9AA" w14:textId="77777777" w:rsidR="00F11A8B" w:rsidRPr="006F6DAC" w:rsidRDefault="00F11A8B" w:rsidP="00F11A8B">
            <w:pPr>
              <w:pStyle w:val="2"/>
              <w:keepLines/>
              <w:widowControl/>
              <w:numPr>
                <w:ilvl w:val="0"/>
                <w:numId w:val="0"/>
              </w:numPr>
              <w:suppressAutoHyphens w:val="0"/>
              <w:autoSpaceDE/>
              <w:spacing w:line="259" w:lineRule="auto"/>
              <w:jc w:val="both"/>
              <w:rPr>
                <w:rFonts w:ascii="Garamond" w:hAnsi="Garamond"/>
                <w:b w:val="0"/>
                <w:lang w:val="en-US"/>
              </w:rPr>
            </w:pPr>
            <w:r w:rsidRPr="006F6DAC">
              <w:rPr>
                <w:rFonts w:ascii="Garamond" w:hAnsi="Garamond"/>
                <w:b w:val="0"/>
              </w:rPr>
              <w:t>Дочерними</w:t>
            </w:r>
            <w:r w:rsidRPr="006F6DAC">
              <w:rPr>
                <w:rFonts w:ascii="Garamond" w:hAnsi="Garamond"/>
                <w:b w:val="0"/>
                <w:lang w:val="en-US"/>
              </w:rPr>
              <w:t xml:space="preserve"> </w:t>
            </w:r>
            <w:r w:rsidRPr="006F6DAC">
              <w:rPr>
                <w:rFonts w:ascii="Garamond" w:hAnsi="Garamond"/>
                <w:b w:val="0"/>
              </w:rPr>
              <w:t>элементами</w:t>
            </w:r>
            <w:r w:rsidRPr="006F6DAC">
              <w:rPr>
                <w:rFonts w:ascii="Garamond" w:hAnsi="Garamond"/>
                <w:b w:val="0"/>
                <w:lang w:val="en-US"/>
              </w:rPr>
              <w:t xml:space="preserve"> </w:t>
            </w:r>
            <w:r w:rsidRPr="006F6DAC">
              <w:rPr>
                <w:rFonts w:ascii="Garamond" w:hAnsi="Garamond"/>
                <w:b w:val="0"/>
              </w:rPr>
              <w:t>являются</w:t>
            </w:r>
            <w:r w:rsidRPr="006F6DAC">
              <w:rPr>
                <w:rFonts w:ascii="Garamond" w:hAnsi="Garamond"/>
                <w:b w:val="0"/>
                <w:lang w:val="en-US"/>
              </w:rPr>
              <w:t xml:space="preserve">: &lt;serviced-points-list&gt;, &lt;delivery-point-channels-list&gt;, &lt;measuring-channels-list&gt;, &lt;measuring-objects-list&gt;, </w:t>
            </w:r>
            <w:r w:rsidRPr="006F6DAC">
              <w:rPr>
                <w:rFonts w:ascii="Garamond" w:hAnsi="Garamond"/>
                <w:b w:val="0"/>
                <w:highlight w:val="yellow"/>
                <w:lang w:val="en-US"/>
              </w:rPr>
              <w:t>&lt;regulation-object&gt;</w:t>
            </w:r>
            <w:r w:rsidRPr="006F6DAC">
              <w:rPr>
                <w:rFonts w:ascii="Garamond" w:hAnsi="Garamond"/>
                <w:b w:val="0"/>
                <w:lang w:val="en-US"/>
              </w:rPr>
              <w:t>.</w:t>
            </w:r>
          </w:p>
        </w:tc>
      </w:tr>
      <w:tr w:rsidR="00F11A8B" w:rsidRPr="006F6DAC" w14:paraId="0473FF47" w14:textId="77777777" w:rsidTr="006F6DAC">
        <w:tc>
          <w:tcPr>
            <w:tcW w:w="1060" w:type="dxa"/>
          </w:tcPr>
          <w:p w14:paraId="7B76C58D" w14:textId="268CE1EA" w:rsidR="00F11A8B" w:rsidRPr="006F6DAC" w:rsidRDefault="00F11A8B" w:rsidP="00F11A8B">
            <w:pPr>
              <w:widowControl w:val="0"/>
              <w:spacing w:line="259" w:lineRule="auto"/>
              <w:jc w:val="center"/>
              <w:rPr>
                <w:rFonts w:ascii="Garamond" w:hAnsi="Garamond"/>
                <w:b/>
                <w:sz w:val="22"/>
                <w:szCs w:val="22"/>
                <w:lang w:eastAsia="en-US"/>
              </w:rPr>
            </w:pPr>
            <w:r w:rsidRPr="006F6DAC">
              <w:rPr>
                <w:rFonts w:ascii="Garamond" w:hAnsi="Garamond"/>
                <w:b/>
                <w:sz w:val="22"/>
                <w:szCs w:val="22"/>
                <w:lang w:eastAsia="en-US"/>
              </w:rPr>
              <w:lastRenderedPageBreak/>
              <w:t>Приложение 8, п.</w:t>
            </w:r>
            <w:r w:rsidR="006F6DAC">
              <w:rPr>
                <w:rFonts w:ascii="Garamond" w:hAnsi="Garamond"/>
                <w:b/>
                <w:sz w:val="22"/>
                <w:szCs w:val="22"/>
                <w:lang w:eastAsia="en-US"/>
              </w:rPr>
              <w:t xml:space="preserve"> </w:t>
            </w:r>
            <w:r w:rsidRPr="006F6DAC">
              <w:rPr>
                <w:rFonts w:ascii="Garamond" w:hAnsi="Garamond"/>
                <w:b/>
                <w:sz w:val="22"/>
                <w:szCs w:val="22"/>
                <w:lang w:eastAsia="en-US"/>
              </w:rPr>
              <w:t>2.</w:t>
            </w:r>
            <w:r w:rsidRPr="006F6DAC">
              <w:rPr>
                <w:rFonts w:ascii="Garamond" w:hAnsi="Garamond"/>
                <w:b/>
                <w:sz w:val="22"/>
                <w:szCs w:val="22"/>
                <w:lang w:val="en-US" w:eastAsia="en-US"/>
              </w:rPr>
              <w:t>4</w:t>
            </w:r>
            <w:r w:rsidRPr="006F6DAC">
              <w:rPr>
                <w:rFonts w:ascii="Garamond" w:hAnsi="Garamond"/>
                <w:b/>
                <w:sz w:val="22"/>
                <w:szCs w:val="22"/>
                <w:lang w:eastAsia="en-US"/>
              </w:rPr>
              <w:t>.1.1</w:t>
            </w:r>
          </w:p>
        </w:tc>
        <w:tc>
          <w:tcPr>
            <w:tcW w:w="6804" w:type="dxa"/>
          </w:tcPr>
          <w:p w14:paraId="16859D26" w14:textId="77777777" w:rsidR="00F11A8B" w:rsidRPr="006F6DAC" w:rsidRDefault="00F11A8B" w:rsidP="00F11A8B">
            <w:pPr>
              <w:jc w:val="both"/>
              <w:rPr>
                <w:rFonts w:ascii="Garamond" w:hAnsi="Garamond"/>
                <w:sz w:val="22"/>
                <w:szCs w:val="22"/>
              </w:rPr>
            </w:pPr>
            <w:r w:rsidRPr="006F6DAC">
              <w:rPr>
                <w:rFonts w:ascii="Garamond" w:hAnsi="Garamond"/>
                <w:sz w:val="22"/>
                <w:szCs w:val="22"/>
              </w:rPr>
              <w:t>&lt;serviced-points-list&gt;</w:t>
            </w:r>
          </w:p>
          <w:p w14:paraId="1EEA7613" w14:textId="77777777" w:rsidR="00F11A8B" w:rsidRPr="006F6DAC" w:rsidRDefault="00F11A8B" w:rsidP="00F11A8B">
            <w:pPr>
              <w:jc w:val="both"/>
              <w:rPr>
                <w:rFonts w:ascii="Garamond" w:hAnsi="Garamond"/>
                <w:sz w:val="22"/>
                <w:szCs w:val="22"/>
              </w:rPr>
            </w:pPr>
            <w:r w:rsidRPr="006F6DAC">
              <w:rPr>
                <w:rFonts w:ascii="Garamond" w:hAnsi="Garamond"/>
                <w:sz w:val="22"/>
                <w:szCs w:val="22"/>
              </w:rPr>
              <w:t>Содержит информацию о связи точек поставки и точек измерени</w:t>
            </w:r>
            <w:r w:rsidRPr="006F6DAC">
              <w:rPr>
                <w:rFonts w:ascii="Garamond" w:hAnsi="Garamond"/>
                <w:sz w:val="22"/>
                <w:szCs w:val="22"/>
                <w:highlight w:val="yellow"/>
              </w:rPr>
              <w:t>я</w:t>
            </w:r>
            <w:r w:rsidRPr="006F6DAC">
              <w:rPr>
                <w:rFonts w:ascii="Garamond" w:hAnsi="Garamond"/>
                <w:sz w:val="22"/>
                <w:szCs w:val="22"/>
              </w:rPr>
              <w:t>, включенных в группу поставки.</w:t>
            </w:r>
          </w:p>
          <w:p w14:paraId="23C08461" w14:textId="77777777" w:rsidR="00F11A8B" w:rsidRPr="006F6DAC" w:rsidRDefault="00F11A8B" w:rsidP="00F11A8B">
            <w:pPr>
              <w:jc w:val="both"/>
              <w:rPr>
                <w:rFonts w:ascii="Garamond" w:hAnsi="Garamond"/>
                <w:sz w:val="22"/>
                <w:szCs w:val="22"/>
              </w:rPr>
            </w:pPr>
            <w:r w:rsidRPr="006F6DAC">
              <w:rPr>
                <w:rFonts w:ascii="Garamond" w:hAnsi="Garamond"/>
                <w:sz w:val="22"/>
                <w:szCs w:val="22"/>
              </w:rPr>
              <w:t>Обязательный элемент. Может присутствовать ровно один элемент.</w:t>
            </w:r>
          </w:p>
          <w:p w14:paraId="33423818" w14:textId="4A4540E1" w:rsidR="00F11A8B" w:rsidRPr="006F6DAC" w:rsidRDefault="00F11A8B" w:rsidP="00F11A8B">
            <w:pPr>
              <w:jc w:val="both"/>
              <w:rPr>
                <w:rFonts w:ascii="Garamond" w:hAnsi="Garamond"/>
                <w:sz w:val="22"/>
                <w:szCs w:val="22"/>
                <w:lang w:val="en-US"/>
              </w:rPr>
            </w:pPr>
            <w:r w:rsidRPr="006F6DAC">
              <w:rPr>
                <w:rFonts w:ascii="Garamond" w:hAnsi="Garamond"/>
                <w:sz w:val="22"/>
                <w:szCs w:val="22"/>
              </w:rPr>
              <w:t>Дочерними</w:t>
            </w:r>
            <w:r w:rsidRPr="006F6DAC">
              <w:rPr>
                <w:rFonts w:ascii="Garamond" w:hAnsi="Garamond"/>
                <w:sz w:val="22"/>
                <w:szCs w:val="22"/>
                <w:lang w:val="en-US"/>
              </w:rPr>
              <w:t xml:space="preserve"> </w:t>
            </w:r>
            <w:r w:rsidRPr="006F6DAC">
              <w:rPr>
                <w:rFonts w:ascii="Garamond" w:hAnsi="Garamond"/>
                <w:sz w:val="22"/>
                <w:szCs w:val="22"/>
              </w:rPr>
              <w:t>элементами</w:t>
            </w:r>
            <w:r w:rsidRPr="006F6DAC">
              <w:rPr>
                <w:rFonts w:ascii="Garamond" w:hAnsi="Garamond"/>
                <w:sz w:val="22"/>
                <w:szCs w:val="22"/>
                <w:lang w:val="en-US"/>
              </w:rPr>
              <w:t xml:space="preserve"> </w:t>
            </w:r>
            <w:r w:rsidRPr="006F6DAC">
              <w:rPr>
                <w:rFonts w:ascii="Garamond" w:hAnsi="Garamond"/>
                <w:sz w:val="22"/>
                <w:szCs w:val="22"/>
              </w:rPr>
              <w:t>являются</w:t>
            </w:r>
            <w:r w:rsidRPr="006F6DAC">
              <w:rPr>
                <w:rFonts w:ascii="Garamond" w:hAnsi="Garamond"/>
                <w:sz w:val="22"/>
                <w:szCs w:val="22"/>
                <w:lang w:val="en-US"/>
              </w:rPr>
              <w:t xml:space="preserve">: &lt;delivery-point-measuring-point-link&gt; </w:t>
            </w:r>
          </w:p>
        </w:tc>
        <w:tc>
          <w:tcPr>
            <w:tcW w:w="7115" w:type="dxa"/>
          </w:tcPr>
          <w:p w14:paraId="0E6ECDDC" w14:textId="77777777" w:rsidR="00F11A8B" w:rsidRPr="006F6DAC" w:rsidRDefault="00F11A8B" w:rsidP="00F11A8B">
            <w:pPr>
              <w:pStyle w:val="40"/>
              <w:keepLines/>
              <w:numPr>
                <w:ilvl w:val="0"/>
                <w:numId w:val="0"/>
              </w:numPr>
              <w:suppressAutoHyphens w:val="0"/>
              <w:spacing w:line="259" w:lineRule="auto"/>
              <w:jc w:val="both"/>
              <w:rPr>
                <w:rFonts w:ascii="Garamond" w:hAnsi="Garamond"/>
                <w:b w:val="0"/>
                <w:i/>
                <w:sz w:val="22"/>
                <w:szCs w:val="22"/>
              </w:rPr>
            </w:pPr>
            <w:bookmarkStart w:id="92" w:name="e_07CB265EAC4841B69F89DCCFD264F085"/>
            <w:r w:rsidRPr="006F6DAC">
              <w:rPr>
                <w:rFonts w:ascii="Garamond" w:hAnsi="Garamond"/>
                <w:b w:val="0"/>
                <w:i/>
                <w:sz w:val="22"/>
                <w:szCs w:val="22"/>
              </w:rPr>
              <w:t>&lt;</w:t>
            </w:r>
            <w:r w:rsidRPr="006F6DAC">
              <w:rPr>
                <w:rFonts w:ascii="Garamond" w:hAnsi="Garamond"/>
                <w:b w:val="0"/>
                <w:i/>
                <w:sz w:val="22"/>
                <w:szCs w:val="22"/>
                <w:lang w:val="en-US"/>
              </w:rPr>
              <w:t>serviced</w:t>
            </w:r>
            <w:r w:rsidRPr="006F6DAC">
              <w:rPr>
                <w:rFonts w:ascii="Garamond" w:hAnsi="Garamond"/>
                <w:b w:val="0"/>
                <w:i/>
                <w:sz w:val="22"/>
                <w:szCs w:val="22"/>
              </w:rPr>
              <w:t>-</w:t>
            </w:r>
            <w:r w:rsidRPr="006F6DAC">
              <w:rPr>
                <w:rFonts w:ascii="Garamond" w:hAnsi="Garamond"/>
                <w:b w:val="0"/>
                <w:i/>
                <w:sz w:val="22"/>
                <w:szCs w:val="22"/>
                <w:lang w:val="en-US"/>
              </w:rPr>
              <w:t>points</w:t>
            </w:r>
            <w:r w:rsidRPr="006F6DAC">
              <w:rPr>
                <w:rFonts w:ascii="Garamond" w:hAnsi="Garamond"/>
                <w:b w:val="0"/>
                <w:i/>
                <w:sz w:val="22"/>
                <w:szCs w:val="22"/>
              </w:rPr>
              <w:t>-</w:t>
            </w:r>
            <w:r w:rsidRPr="006F6DAC">
              <w:rPr>
                <w:rFonts w:ascii="Garamond" w:hAnsi="Garamond"/>
                <w:b w:val="0"/>
                <w:i/>
                <w:sz w:val="22"/>
                <w:szCs w:val="22"/>
                <w:lang w:val="en-US"/>
              </w:rPr>
              <w:t>list</w:t>
            </w:r>
            <w:r w:rsidRPr="006F6DAC">
              <w:rPr>
                <w:rFonts w:ascii="Garamond" w:hAnsi="Garamond"/>
                <w:b w:val="0"/>
                <w:i/>
                <w:sz w:val="22"/>
                <w:szCs w:val="22"/>
              </w:rPr>
              <w:t>&gt;</w:t>
            </w:r>
            <w:bookmarkEnd w:id="92"/>
          </w:p>
          <w:p w14:paraId="4BDC1BEE" w14:textId="77777777" w:rsidR="00F11A8B" w:rsidRPr="006F6DAC" w:rsidRDefault="00F11A8B" w:rsidP="00F11A8B">
            <w:pPr>
              <w:jc w:val="both"/>
              <w:rPr>
                <w:rFonts w:ascii="Garamond" w:hAnsi="Garamond"/>
                <w:sz w:val="22"/>
                <w:szCs w:val="22"/>
              </w:rPr>
            </w:pPr>
            <w:r w:rsidRPr="006F6DAC">
              <w:rPr>
                <w:rFonts w:ascii="Garamond" w:hAnsi="Garamond"/>
                <w:sz w:val="22"/>
                <w:szCs w:val="22"/>
              </w:rPr>
              <w:t xml:space="preserve">Содержит информацию о связи точек поставки </w:t>
            </w:r>
            <w:r w:rsidRPr="006F6DAC">
              <w:rPr>
                <w:rFonts w:ascii="Garamond" w:hAnsi="Garamond"/>
                <w:sz w:val="22"/>
                <w:szCs w:val="22"/>
                <w:highlight w:val="yellow"/>
              </w:rPr>
              <w:t>(точек присоединения)</w:t>
            </w:r>
            <w:r w:rsidRPr="006F6DAC">
              <w:rPr>
                <w:rFonts w:ascii="Garamond" w:hAnsi="Garamond"/>
                <w:sz w:val="22"/>
                <w:szCs w:val="22"/>
              </w:rPr>
              <w:t xml:space="preserve"> и точек измерени</w:t>
            </w:r>
            <w:r w:rsidRPr="006F6DAC">
              <w:rPr>
                <w:rFonts w:ascii="Garamond" w:hAnsi="Garamond"/>
                <w:sz w:val="22"/>
                <w:szCs w:val="22"/>
                <w:highlight w:val="yellow"/>
              </w:rPr>
              <w:t>й</w:t>
            </w:r>
            <w:r w:rsidRPr="006F6DAC">
              <w:rPr>
                <w:rFonts w:ascii="Garamond" w:hAnsi="Garamond"/>
                <w:sz w:val="22"/>
                <w:szCs w:val="22"/>
              </w:rPr>
              <w:t>, включенных в группу поставки.</w:t>
            </w:r>
          </w:p>
          <w:p w14:paraId="56285D57" w14:textId="77777777" w:rsidR="00F11A8B" w:rsidRPr="006F6DAC" w:rsidRDefault="00F11A8B" w:rsidP="00F11A8B">
            <w:pPr>
              <w:ind w:left="283" w:hanging="283"/>
              <w:jc w:val="both"/>
              <w:rPr>
                <w:rFonts w:ascii="Garamond" w:hAnsi="Garamond"/>
                <w:sz w:val="22"/>
                <w:szCs w:val="22"/>
              </w:rPr>
            </w:pPr>
            <w:r w:rsidRPr="006F6DAC">
              <w:rPr>
                <w:rFonts w:ascii="Garamond" w:hAnsi="Garamond"/>
                <w:sz w:val="22"/>
                <w:szCs w:val="22"/>
              </w:rPr>
              <w:t>Обязательный элемент. Может присутствовать ровно один элемент.</w:t>
            </w:r>
          </w:p>
          <w:p w14:paraId="214C3AAF" w14:textId="0D4DCC42" w:rsidR="00F11A8B" w:rsidRPr="006F6DAC" w:rsidRDefault="00F11A8B" w:rsidP="006F6DAC">
            <w:pPr>
              <w:ind w:left="283" w:hanging="283"/>
              <w:jc w:val="both"/>
              <w:rPr>
                <w:rFonts w:ascii="Garamond" w:hAnsi="Garamond"/>
                <w:sz w:val="22"/>
                <w:szCs w:val="22"/>
                <w:lang w:val="en-US"/>
              </w:rPr>
            </w:pPr>
            <w:r w:rsidRPr="006F6DAC">
              <w:rPr>
                <w:rFonts w:ascii="Garamond" w:hAnsi="Garamond"/>
                <w:sz w:val="22"/>
                <w:szCs w:val="22"/>
              </w:rPr>
              <w:t>Дочерними</w:t>
            </w:r>
            <w:r w:rsidRPr="006F6DAC">
              <w:rPr>
                <w:rFonts w:ascii="Garamond" w:hAnsi="Garamond"/>
                <w:sz w:val="22"/>
                <w:szCs w:val="22"/>
                <w:lang w:val="en-US"/>
              </w:rPr>
              <w:t xml:space="preserve"> </w:t>
            </w:r>
            <w:r w:rsidRPr="006F6DAC">
              <w:rPr>
                <w:rFonts w:ascii="Garamond" w:hAnsi="Garamond"/>
                <w:sz w:val="22"/>
                <w:szCs w:val="22"/>
              </w:rPr>
              <w:t>элементами</w:t>
            </w:r>
            <w:r w:rsidRPr="006F6DAC">
              <w:rPr>
                <w:rFonts w:ascii="Garamond" w:hAnsi="Garamond"/>
                <w:sz w:val="22"/>
                <w:szCs w:val="22"/>
                <w:lang w:val="en-US"/>
              </w:rPr>
              <w:t xml:space="preserve"> </w:t>
            </w:r>
            <w:r w:rsidRPr="006F6DAC">
              <w:rPr>
                <w:rFonts w:ascii="Garamond" w:hAnsi="Garamond"/>
                <w:sz w:val="22"/>
                <w:szCs w:val="22"/>
              </w:rPr>
              <w:t>являются</w:t>
            </w:r>
            <w:r w:rsidRPr="006F6DAC">
              <w:rPr>
                <w:rFonts w:ascii="Garamond" w:hAnsi="Garamond"/>
                <w:sz w:val="22"/>
                <w:szCs w:val="22"/>
                <w:lang w:val="en-US"/>
              </w:rPr>
              <w:t>: &lt;delivery-point-measuring-point-link&gt;</w:t>
            </w:r>
            <w:r w:rsidRPr="006F6DAC">
              <w:rPr>
                <w:rFonts w:ascii="Garamond" w:hAnsi="Garamond"/>
                <w:sz w:val="22"/>
                <w:szCs w:val="22"/>
                <w:highlight w:val="yellow"/>
                <w:lang w:val="en-US"/>
              </w:rPr>
              <w:t>.</w:t>
            </w:r>
          </w:p>
        </w:tc>
      </w:tr>
      <w:tr w:rsidR="00F11A8B" w:rsidRPr="006F6DAC" w14:paraId="786B5EF6" w14:textId="77777777" w:rsidTr="006F6DAC">
        <w:tc>
          <w:tcPr>
            <w:tcW w:w="1060" w:type="dxa"/>
          </w:tcPr>
          <w:p w14:paraId="71150701" w14:textId="27B98A6C" w:rsidR="00F11A8B" w:rsidRPr="006F6DAC" w:rsidRDefault="00F11A8B" w:rsidP="00F11A8B">
            <w:pPr>
              <w:widowControl w:val="0"/>
              <w:spacing w:line="259" w:lineRule="auto"/>
              <w:jc w:val="center"/>
              <w:rPr>
                <w:rFonts w:ascii="Garamond" w:hAnsi="Garamond"/>
                <w:b/>
                <w:sz w:val="22"/>
                <w:szCs w:val="22"/>
                <w:lang w:eastAsia="en-US"/>
              </w:rPr>
            </w:pPr>
            <w:r w:rsidRPr="006F6DAC">
              <w:rPr>
                <w:rFonts w:ascii="Garamond" w:hAnsi="Garamond"/>
                <w:b/>
                <w:sz w:val="22"/>
                <w:szCs w:val="22"/>
                <w:lang w:eastAsia="en-US"/>
              </w:rPr>
              <w:t>Приложение 8, п.</w:t>
            </w:r>
            <w:r w:rsidR="006F6DAC">
              <w:rPr>
                <w:rFonts w:ascii="Garamond" w:hAnsi="Garamond"/>
                <w:b/>
                <w:sz w:val="22"/>
                <w:szCs w:val="22"/>
                <w:lang w:eastAsia="en-US"/>
              </w:rPr>
              <w:t xml:space="preserve"> </w:t>
            </w:r>
            <w:r w:rsidRPr="006F6DAC">
              <w:rPr>
                <w:rFonts w:ascii="Garamond" w:hAnsi="Garamond"/>
                <w:b/>
                <w:sz w:val="22"/>
                <w:szCs w:val="22"/>
                <w:lang w:eastAsia="en-US"/>
              </w:rPr>
              <w:t>2.</w:t>
            </w:r>
            <w:r w:rsidRPr="006F6DAC">
              <w:rPr>
                <w:rFonts w:ascii="Garamond" w:hAnsi="Garamond"/>
                <w:b/>
                <w:sz w:val="22"/>
                <w:szCs w:val="22"/>
                <w:lang w:val="en-US" w:eastAsia="en-US"/>
              </w:rPr>
              <w:t>4</w:t>
            </w:r>
            <w:r w:rsidRPr="006F6DAC">
              <w:rPr>
                <w:rFonts w:ascii="Garamond" w:hAnsi="Garamond"/>
                <w:b/>
                <w:sz w:val="22"/>
                <w:szCs w:val="22"/>
                <w:lang w:eastAsia="en-US"/>
              </w:rPr>
              <w:t>.1.1.1</w:t>
            </w:r>
          </w:p>
        </w:tc>
        <w:tc>
          <w:tcPr>
            <w:tcW w:w="6804" w:type="dxa"/>
          </w:tcPr>
          <w:p w14:paraId="4EBAA4C1" w14:textId="77777777" w:rsidR="00F11A8B" w:rsidRPr="006F6DAC" w:rsidRDefault="00F11A8B" w:rsidP="00F11A8B">
            <w:pPr>
              <w:pStyle w:val="5"/>
              <w:suppressAutoHyphens w:val="0"/>
              <w:spacing w:before="0" w:line="259" w:lineRule="auto"/>
              <w:jc w:val="both"/>
              <w:rPr>
                <w:rFonts w:ascii="Garamond" w:hAnsi="Garamond"/>
                <w:color w:val="auto"/>
                <w:sz w:val="22"/>
                <w:szCs w:val="22"/>
                <w:lang w:val="en-US"/>
              </w:rPr>
            </w:pPr>
            <w:r w:rsidRPr="006F6DAC">
              <w:rPr>
                <w:rFonts w:ascii="Garamond" w:hAnsi="Garamond"/>
                <w:color w:val="auto"/>
                <w:sz w:val="22"/>
                <w:szCs w:val="22"/>
                <w:lang w:val="en-US"/>
              </w:rPr>
              <w:t>&lt;delivery-point-measuring-point-link&gt;</w:t>
            </w:r>
          </w:p>
          <w:p w14:paraId="694F4F76" w14:textId="77777777" w:rsidR="00F11A8B" w:rsidRPr="006F6DAC" w:rsidRDefault="00F11A8B" w:rsidP="00F11A8B">
            <w:pPr>
              <w:jc w:val="both"/>
              <w:rPr>
                <w:rFonts w:ascii="Garamond" w:eastAsia="Calibri" w:hAnsi="Garamond"/>
                <w:sz w:val="22"/>
                <w:szCs w:val="22"/>
              </w:rPr>
            </w:pPr>
            <w:r w:rsidRPr="006F6DAC">
              <w:rPr>
                <w:rFonts w:ascii="Garamond" w:eastAsia="Calibri" w:hAnsi="Garamond"/>
                <w:sz w:val="22"/>
                <w:szCs w:val="22"/>
              </w:rPr>
              <w:t xml:space="preserve">Содержит атрибуты: </w:t>
            </w:r>
          </w:p>
          <w:p w14:paraId="22A8496C" w14:textId="77777777" w:rsidR="00F11A8B" w:rsidRPr="006F6DAC" w:rsidRDefault="00F11A8B" w:rsidP="00F11A8B">
            <w:pPr>
              <w:pStyle w:val="ac"/>
              <w:numPr>
                <w:ilvl w:val="0"/>
                <w:numId w:val="245"/>
              </w:numPr>
              <w:contextualSpacing/>
              <w:jc w:val="both"/>
              <w:rPr>
                <w:rFonts w:ascii="Garamond" w:eastAsia="Calibri" w:hAnsi="Garamond"/>
                <w:sz w:val="22"/>
                <w:szCs w:val="22"/>
              </w:rPr>
            </w:pPr>
            <w:r w:rsidRPr="006F6DAC">
              <w:rPr>
                <w:rFonts w:ascii="Garamond" w:hAnsi="Garamond"/>
                <w:sz w:val="22"/>
                <w:szCs w:val="22"/>
                <w:lang w:val="en-US"/>
              </w:rPr>
              <w:t>delivery</w:t>
            </w:r>
            <w:r w:rsidRPr="006F6DAC">
              <w:rPr>
                <w:rFonts w:ascii="Garamond" w:hAnsi="Garamond"/>
                <w:sz w:val="22"/>
                <w:szCs w:val="22"/>
              </w:rPr>
              <w:t>-</w:t>
            </w:r>
            <w:r w:rsidRPr="006F6DAC">
              <w:rPr>
                <w:rFonts w:ascii="Garamond" w:hAnsi="Garamond"/>
                <w:sz w:val="22"/>
                <w:szCs w:val="22"/>
                <w:lang w:val="en-US"/>
              </w:rPr>
              <w:t>point</w:t>
            </w:r>
            <w:r w:rsidRPr="006F6DAC">
              <w:rPr>
                <w:rFonts w:ascii="Garamond" w:hAnsi="Garamond"/>
                <w:sz w:val="22"/>
                <w:szCs w:val="22"/>
              </w:rPr>
              <w:t>-</w:t>
            </w:r>
            <w:r w:rsidRPr="006F6DAC">
              <w:rPr>
                <w:rFonts w:ascii="Garamond" w:hAnsi="Garamond"/>
                <w:sz w:val="22"/>
                <w:szCs w:val="22"/>
                <w:lang w:val="en-US"/>
              </w:rPr>
              <w:t>code</w:t>
            </w:r>
            <w:r w:rsidRPr="006F6DAC">
              <w:rPr>
                <w:rFonts w:ascii="Garamond" w:eastAsia="Calibri" w:hAnsi="Garamond"/>
                <w:sz w:val="22"/>
                <w:szCs w:val="22"/>
              </w:rPr>
              <w:t xml:space="preserve"> – код АТС точки поставки, входящей в группу поставки информации;</w:t>
            </w:r>
          </w:p>
          <w:p w14:paraId="2960C0FB" w14:textId="41059895" w:rsidR="00F11A8B" w:rsidRPr="006F6DAC" w:rsidRDefault="00F11A8B" w:rsidP="00F11A8B">
            <w:pPr>
              <w:pStyle w:val="ac"/>
              <w:numPr>
                <w:ilvl w:val="0"/>
                <w:numId w:val="245"/>
              </w:numPr>
              <w:contextualSpacing/>
              <w:jc w:val="both"/>
              <w:rPr>
                <w:rFonts w:ascii="Garamond" w:eastAsia="Calibri" w:hAnsi="Garamond"/>
                <w:sz w:val="22"/>
                <w:szCs w:val="22"/>
              </w:rPr>
            </w:pPr>
            <w:r w:rsidRPr="006F6DAC">
              <w:rPr>
                <w:rFonts w:ascii="Garamond" w:hAnsi="Garamond"/>
                <w:sz w:val="22"/>
                <w:szCs w:val="22"/>
                <w:lang w:val="en-US"/>
              </w:rPr>
              <w:t>measuring</w:t>
            </w:r>
            <w:r w:rsidRPr="006F6DAC">
              <w:rPr>
                <w:rFonts w:ascii="Garamond" w:hAnsi="Garamond"/>
                <w:sz w:val="22"/>
                <w:szCs w:val="22"/>
              </w:rPr>
              <w:t>-</w:t>
            </w:r>
            <w:r w:rsidRPr="006F6DAC">
              <w:rPr>
                <w:rFonts w:ascii="Garamond" w:hAnsi="Garamond"/>
                <w:sz w:val="22"/>
                <w:szCs w:val="22"/>
                <w:lang w:val="en-US"/>
              </w:rPr>
              <w:t>point</w:t>
            </w:r>
            <w:r w:rsidRPr="006F6DAC">
              <w:rPr>
                <w:rFonts w:ascii="Garamond" w:hAnsi="Garamond"/>
                <w:sz w:val="22"/>
                <w:szCs w:val="22"/>
              </w:rPr>
              <w:t>-</w:t>
            </w:r>
            <w:r w:rsidRPr="006F6DAC">
              <w:rPr>
                <w:rFonts w:ascii="Garamond" w:hAnsi="Garamond"/>
                <w:sz w:val="22"/>
                <w:szCs w:val="22"/>
                <w:lang w:val="en-US"/>
              </w:rPr>
              <w:t>code</w:t>
            </w:r>
            <w:r w:rsidRPr="006F6DAC">
              <w:rPr>
                <w:rFonts w:ascii="Garamond" w:eastAsia="Calibri" w:hAnsi="Garamond"/>
                <w:sz w:val="22"/>
                <w:szCs w:val="22"/>
              </w:rPr>
              <w:t xml:space="preserve"> – код АТС точки измерени</w:t>
            </w:r>
            <w:r w:rsidRPr="006F6DAC">
              <w:rPr>
                <w:rFonts w:ascii="Garamond" w:eastAsia="Calibri" w:hAnsi="Garamond"/>
                <w:sz w:val="22"/>
                <w:szCs w:val="22"/>
                <w:highlight w:val="yellow"/>
              </w:rPr>
              <w:t>я</w:t>
            </w:r>
            <w:r w:rsidRPr="006F6DAC">
              <w:rPr>
                <w:rFonts w:ascii="Garamond" w:eastAsia="Calibri" w:hAnsi="Garamond"/>
                <w:sz w:val="22"/>
                <w:szCs w:val="22"/>
              </w:rPr>
              <w:t>, каналы которой включены в группу поставки информации</w:t>
            </w:r>
            <w:r w:rsidRPr="006F6DAC">
              <w:rPr>
                <w:rFonts w:ascii="Garamond" w:eastAsia="Calibri" w:hAnsi="Garamond"/>
                <w:sz w:val="22"/>
                <w:szCs w:val="22"/>
                <w:highlight w:val="yellow"/>
              </w:rPr>
              <w:t>;</w:t>
            </w:r>
          </w:p>
        </w:tc>
        <w:tc>
          <w:tcPr>
            <w:tcW w:w="7115" w:type="dxa"/>
          </w:tcPr>
          <w:p w14:paraId="7FD8233D" w14:textId="77777777" w:rsidR="00F11A8B" w:rsidRPr="006F6DAC" w:rsidRDefault="00F11A8B" w:rsidP="00F11A8B">
            <w:pPr>
              <w:pStyle w:val="5"/>
              <w:suppressAutoHyphens w:val="0"/>
              <w:spacing w:before="0" w:line="259" w:lineRule="auto"/>
              <w:jc w:val="both"/>
              <w:rPr>
                <w:rFonts w:ascii="Garamond" w:hAnsi="Garamond"/>
                <w:color w:val="auto"/>
                <w:sz w:val="22"/>
                <w:szCs w:val="22"/>
                <w:lang w:val="en-US"/>
              </w:rPr>
            </w:pPr>
            <w:r w:rsidRPr="006F6DAC">
              <w:rPr>
                <w:rFonts w:ascii="Garamond" w:hAnsi="Garamond"/>
                <w:color w:val="auto"/>
                <w:sz w:val="22"/>
                <w:szCs w:val="22"/>
                <w:lang w:val="en-US"/>
              </w:rPr>
              <w:t>&lt;delivery-point-measuring-point-link&gt;</w:t>
            </w:r>
          </w:p>
          <w:p w14:paraId="21CCD4FF" w14:textId="77777777" w:rsidR="00F11A8B" w:rsidRPr="006F6DAC" w:rsidRDefault="00F11A8B" w:rsidP="00F11A8B">
            <w:pPr>
              <w:jc w:val="both"/>
              <w:rPr>
                <w:rFonts w:ascii="Garamond" w:eastAsia="Calibri" w:hAnsi="Garamond"/>
                <w:sz w:val="22"/>
                <w:szCs w:val="22"/>
              </w:rPr>
            </w:pPr>
            <w:r w:rsidRPr="006F6DAC">
              <w:rPr>
                <w:rFonts w:ascii="Garamond" w:eastAsia="Calibri" w:hAnsi="Garamond"/>
                <w:sz w:val="22"/>
                <w:szCs w:val="22"/>
              </w:rPr>
              <w:t xml:space="preserve">Содержит атрибуты: </w:t>
            </w:r>
          </w:p>
          <w:p w14:paraId="4A13FB99" w14:textId="77777777" w:rsidR="00F11A8B" w:rsidRPr="006F6DAC" w:rsidRDefault="00F11A8B" w:rsidP="00F11A8B">
            <w:pPr>
              <w:pStyle w:val="ac"/>
              <w:numPr>
                <w:ilvl w:val="0"/>
                <w:numId w:val="245"/>
              </w:numPr>
              <w:contextualSpacing/>
              <w:jc w:val="both"/>
              <w:rPr>
                <w:rFonts w:ascii="Garamond" w:eastAsia="Calibri" w:hAnsi="Garamond"/>
                <w:sz w:val="22"/>
                <w:szCs w:val="22"/>
              </w:rPr>
            </w:pPr>
            <w:r w:rsidRPr="006F6DAC">
              <w:rPr>
                <w:rFonts w:ascii="Garamond" w:hAnsi="Garamond"/>
                <w:sz w:val="22"/>
                <w:szCs w:val="22"/>
                <w:lang w:val="en-US"/>
              </w:rPr>
              <w:t>delivery</w:t>
            </w:r>
            <w:r w:rsidRPr="006F6DAC">
              <w:rPr>
                <w:rFonts w:ascii="Garamond" w:hAnsi="Garamond"/>
                <w:sz w:val="22"/>
                <w:szCs w:val="22"/>
              </w:rPr>
              <w:t>-</w:t>
            </w:r>
            <w:r w:rsidRPr="006F6DAC">
              <w:rPr>
                <w:rFonts w:ascii="Garamond" w:hAnsi="Garamond"/>
                <w:sz w:val="22"/>
                <w:szCs w:val="22"/>
                <w:lang w:val="en-US"/>
              </w:rPr>
              <w:t>point</w:t>
            </w:r>
            <w:r w:rsidRPr="006F6DAC">
              <w:rPr>
                <w:rFonts w:ascii="Garamond" w:hAnsi="Garamond"/>
                <w:sz w:val="22"/>
                <w:szCs w:val="22"/>
              </w:rPr>
              <w:t>-</w:t>
            </w:r>
            <w:r w:rsidRPr="006F6DAC">
              <w:rPr>
                <w:rFonts w:ascii="Garamond" w:hAnsi="Garamond"/>
                <w:sz w:val="22"/>
                <w:szCs w:val="22"/>
                <w:lang w:val="en-US"/>
              </w:rPr>
              <w:t>code</w:t>
            </w:r>
            <w:r w:rsidRPr="006F6DAC">
              <w:rPr>
                <w:rFonts w:ascii="Garamond" w:eastAsia="Calibri" w:hAnsi="Garamond"/>
                <w:sz w:val="22"/>
                <w:szCs w:val="22"/>
              </w:rPr>
              <w:t xml:space="preserve"> – код АТС точки поставки </w:t>
            </w:r>
            <w:r w:rsidRPr="006F6DAC">
              <w:rPr>
                <w:rFonts w:ascii="Garamond" w:eastAsia="Calibri" w:hAnsi="Garamond"/>
                <w:sz w:val="22"/>
                <w:szCs w:val="22"/>
                <w:highlight w:val="yellow"/>
              </w:rPr>
              <w:t>(точки присоединения)</w:t>
            </w:r>
            <w:r w:rsidRPr="006F6DAC">
              <w:rPr>
                <w:rFonts w:ascii="Garamond" w:eastAsia="Calibri" w:hAnsi="Garamond"/>
                <w:sz w:val="22"/>
                <w:szCs w:val="22"/>
              </w:rPr>
              <w:t>, входящей в группу поставки информации;</w:t>
            </w:r>
          </w:p>
          <w:p w14:paraId="7BA808ED" w14:textId="77777777" w:rsidR="00F11A8B" w:rsidRPr="006F6DAC" w:rsidRDefault="00F11A8B" w:rsidP="00F11A8B">
            <w:pPr>
              <w:pStyle w:val="ac"/>
              <w:numPr>
                <w:ilvl w:val="0"/>
                <w:numId w:val="245"/>
              </w:numPr>
              <w:contextualSpacing/>
              <w:jc w:val="both"/>
              <w:rPr>
                <w:rFonts w:ascii="Garamond" w:eastAsia="Calibri" w:hAnsi="Garamond"/>
                <w:sz w:val="22"/>
                <w:szCs w:val="22"/>
              </w:rPr>
            </w:pPr>
            <w:r w:rsidRPr="006F6DAC">
              <w:rPr>
                <w:rFonts w:ascii="Garamond" w:hAnsi="Garamond"/>
                <w:sz w:val="22"/>
                <w:szCs w:val="22"/>
                <w:lang w:val="en-US"/>
              </w:rPr>
              <w:t>measuring</w:t>
            </w:r>
            <w:r w:rsidRPr="006F6DAC">
              <w:rPr>
                <w:rFonts w:ascii="Garamond" w:hAnsi="Garamond"/>
                <w:sz w:val="22"/>
                <w:szCs w:val="22"/>
              </w:rPr>
              <w:t>-</w:t>
            </w:r>
            <w:r w:rsidRPr="006F6DAC">
              <w:rPr>
                <w:rFonts w:ascii="Garamond" w:hAnsi="Garamond"/>
                <w:sz w:val="22"/>
                <w:szCs w:val="22"/>
                <w:lang w:val="en-US"/>
              </w:rPr>
              <w:t>point</w:t>
            </w:r>
            <w:r w:rsidRPr="006F6DAC">
              <w:rPr>
                <w:rFonts w:ascii="Garamond" w:hAnsi="Garamond"/>
                <w:sz w:val="22"/>
                <w:szCs w:val="22"/>
              </w:rPr>
              <w:t>-</w:t>
            </w:r>
            <w:r w:rsidRPr="006F6DAC">
              <w:rPr>
                <w:rFonts w:ascii="Garamond" w:hAnsi="Garamond"/>
                <w:sz w:val="22"/>
                <w:szCs w:val="22"/>
                <w:lang w:val="en-US"/>
              </w:rPr>
              <w:t>code</w:t>
            </w:r>
            <w:r w:rsidRPr="006F6DAC">
              <w:rPr>
                <w:rFonts w:ascii="Garamond" w:eastAsia="Calibri" w:hAnsi="Garamond"/>
                <w:sz w:val="22"/>
                <w:szCs w:val="22"/>
              </w:rPr>
              <w:t xml:space="preserve"> – код АТС точки измерени</w:t>
            </w:r>
            <w:r w:rsidRPr="006F6DAC">
              <w:rPr>
                <w:rFonts w:ascii="Garamond" w:eastAsia="Calibri" w:hAnsi="Garamond"/>
                <w:sz w:val="22"/>
                <w:szCs w:val="22"/>
                <w:highlight w:val="yellow"/>
              </w:rPr>
              <w:t>й</w:t>
            </w:r>
            <w:r w:rsidRPr="006F6DAC">
              <w:rPr>
                <w:rFonts w:ascii="Garamond" w:eastAsia="Calibri" w:hAnsi="Garamond"/>
                <w:sz w:val="22"/>
                <w:szCs w:val="22"/>
              </w:rPr>
              <w:t>, каналы которой включены в группу поставки информации</w:t>
            </w:r>
            <w:r w:rsidRPr="006F6DAC">
              <w:rPr>
                <w:rFonts w:ascii="Garamond" w:eastAsia="Calibri" w:hAnsi="Garamond"/>
                <w:sz w:val="22"/>
                <w:szCs w:val="22"/>
                <w:highlight w:val="yellow"/>
              </w:rPr>
              <w:t>.</w:t>
            </w:r>
          </w:p>
        </w:tc>
      </w:tr>
      <w:tr w:rsidR="00F11A8B" w:rsidRPr="006F6DAC" w14:paraId="0BBF7C79" w14:textId="77777777" w:rsidTr="006F6DAC">
        <w:tc>
          <w:tcPr>
            <w:tcW w:w="1060" w:type="dxa"/>
          </w:tcPr>
          <w:p w14:paraId="4A26EEBD" w14:textId="70CA709C" w:rsidR="00F11A8B" w:rsidRPr="006F6DAC" w:rsidRDefault="00F11A8B" w:rsidP="00F11A8B">
            <w:pPr>
              <w:widowControl w:val="0"/>
              <w:spacing w:line="259" w:lineRule="auto"/>
              <w:jc w:val="center"/>
              <w:rPr>
                <w:rFonts w:ascii="Garamond" w:hAnsi="Garamond"/>
                <w:b/>
                <w:sz w:val="22"/>
                <w:szCs w:val="22"/>
                <w:lang w:eastAsia="en-US"/>
              </w:rPr>
            </w:pPr>
            <w:r w:rsidRPr="006F6DAC">
              <w:rPr>
                <w:rFonts w:ascii="Garamond" w:hAnsi="Garamond"/>
                <w:b/>
                <w:sz w:val="22"/>
                <w:szCs w:val="22"/>
                <w:lang w:eastAsia="en-US"/>
              </w:rPr>
              <w:t>Приложение 8, п.</w:t>
            </w:r>
            <w:r w:rsidR="006F6DAC">
              <w:rPr>
                <w:rFonts w:ascii="Garamond" w:hAnsi="Garamond"/>
                <w:b/>
                <w:sz w:val="22"/>
                <w:szCs w:val="22"/>
                <w:lang w:eastAsia="en-US"/>
              </w:rPr>
              <w:t xml:space="preserve"> </w:t>
            </w:r>
            <w:r w:rsidRPr="006F6DAC">
              <w:rPr>
                <w:rFonts w:ascii="Garamond" w:hAnsi="Garamond"/>
                <w:b/>
                <w:sz w:val="22"/>
                <w:szCs w:val="22"/>
                <w:lang w:eastAsia="en-US"/>
              </w:rPr>
              <w:t>2.</w:t>
            </w:r>
            <w:r w:rsidRPr="006F6DAC">
              <w:rPr>
                <w:rFonts w:ascii="Garamond" w:hAnsi="Garamond"/>
                <w:b/>
                <w:sz w:val="22"/>
                <w:szCs w:val="22"/>
                <w:lang w:val="en-US" w:eastAsia="en-US"/>
              </w:rPr>
              <w:t>4</w:t>
            </w:r>
            <w:r w:rsidRPr="006F6DAC">
              <w:rPr>
                <w:rFonts w:ascii="Garamond" w:hAnsi="Garamond"/>
                <w:b/>
                <w:sz w:val="22"/>
                <w:szCs w:val="22"/>
                <w:lang w:eastAsia="en-US"/>
              </w:rPr>
              <w:t>.1.2</w:t>
            </w:r>
          </w:p>
        </w:tc>
        <w:tc>
          <w:tcPr>
            <w:tcW w:w="6804" w:type="dxa"/>
          </w:tcPr>
          <w:p w14:paraId="52A1ADBD" w14:textId="77777777" w:rsidR="00F11A8B" w:rsidRPr="006F6DAC" w:rsidRDefault="00F11A8B" w:rsidP="00F11A8B">
            <w:pPr>
              <w:pStyle w:val="40"/>
              <w:keepLines/>
              <w:numPr>
                <w:ilvl w:val="0"/>
                <w:numId w:val="0"/>
              </w:numPr>
              <w:suppressAutoHyphens w:val="0"/>
              <w:spacing w:line="259" w:lineRule="auto"/>
              <w:jc w:val="both"/>
              <w:rPr>
                <w:rFonts w:ascii="Garamond" w:hAnsi="Garamond"/>
                <w:b w:val="0"/>
                <w:i/>
                <w:sz w:val="22"/>
                <w:szCs w:val="22"/>
              </w:rPr>
            </w:pPr>
            <w:r w:rsidRPr="006F6DAC">
              <w:rPr>
                <w:rFonts w:ascii="Garamond" w:hAnsi="Garamond"/>
                <w:b w:val="0"/>
                <w:i/>
                <w:sz w:val="22"/>
                <w:szCs w:val="22"/>
              </w:rPr>
              <w:t>&lt;</w:t>
            </w:r>
            <w:r w:rsidRPr="006F6DAC">
              <w:rPr>
                <w:rFonts w:ascii="Garamond" w:hAnsi="Garamond"/>
                <w:b w:val="0"/>
                <w:i/>
                <w:sz w:val="22"/>
                <w:szCs w:val="22"/>
                <w:lang w:val="en-US"/>
              </w:rPr>
              <w:t>delivery</w:t>
            </w:r>
            <w:r w:rsidRPr="006F6DAC">
              <w:rPr>
                <w:rFonts w:ascii="Garamond" w:hAnsi="Garamond"/>
                <w:b w:val="0"/>
                <w:i/>
                <w:sz w:val="22"/>
                <w:szCs w:val="22"/>
              </w:rPr>
              <w:t>-</w:t>
            </w:r>
            <w:r w:rsidRPr="006F6DAC">
              <w:rPr>
                <w:rFonts w:ascii="Garamond" w:hAnsi="Garamond"/>
                <w:b w:val="0"/>
                <w:i/>
                <w:sz w:val="22"/>
                <w:szCs w:val="22"/>
                <w:lang w:val="en-US"/>
              </w:rPr>
              <w:t>point</w:t>
            </w:r>
            <w:r w:rsidRPr="006F6DAC">
              <w:rPr>
                <w:rFonts w:ascii="Garamond" w:hAnsi="Garamond"/>
                <w:b w:val="0"/>
                <w:i/>
                <w:sz w:val="22"/>
                <w:szCs w:val="22"/>
              </w:rPr>
              <w:t>-</w:t>
            </w:r>
            <w:r w:rsidRPr="006F6DAC">
              <w:rPr>
                <w:rFonts w:ascii="Garamond" w:hAnsi="Garamond"/>
                <w:b w:val="0"/>
                <w:i/>
                <w:sz w:val="22"/>
                <w:szCs w:val="22"/>
                <w:lang w:val="en-US"/>
              </w:rPr>
              <w:t>channels</w:t>
            </w:r>
            <w:r w:rsidRPr="006F6DAC">
              <w:rPr>
                <w:rFonts w:ascii="Garamond" w:hAnsi="Garamond"/>
                <w:b w:val="0"/>
                <w:i/>
                <w:sz w:val="22"/>
                <w:szCs w:val="22"/>
              </w:rPr>
              <w:t>-</w:t>
            </w:r>
            <w:r w:rsidRPr="006F6DAC">
              <w:rPr>
                <w:rFonts w:ascii="Garamond" w:hAnsi="Garamond"/>
                <w:b w:val="0"/>
                <w:i/>
                <w:sz w:val="22"/>
                <w:szCs w:val="22"/>
                <w:lang w:val="en-US"/>
              </w:rPr>
              <w:t>list</w:t>
            </w:r>
            <w:r w:rsidRPr="006F6DAC">
              <w:rPr>
                <w:rFonts w:ascii="Garamond" w:hAnsi="Garamond"/>
                <w:b w:val="0"/>
                <w:i/>
                <w:sz w:val="22"/>
                <w:szCs w:val="22"/>
              </w:rPr>
              <w:t>&gt;</w:t>
            </w:r>
          </w:p>
          <w:p w14:paraId="1F9306C6" w14:textId="77777777" w:rsidR="00F11A8B" w:rsidRPr="006F6DAC" w:rsidRDefault="00F11A8B" w:rsidP="00F11A8B">
            <w:pPr>
              <w:jc w:val="both"/>
              <w:rPr>
                <w:rFonts w:ascii="Garamond" w:eastAsia="Calibri" w:hAnsi="Garamond"/>
                <w:sz w:val="22"/>
                <w:szCs w:val="22"/>
              </w:rPr>
            </w:pPr>
            <w:r w:rsidRPr="006F6DAC">
              <w:rPr>
                <w:rFonts w:ascii="Garamond" w:eastAsia="Calibri" w:hAnsi="Garamond"/>
                <w:sz w:val="22"/>
                <w:szCs w:val="22"/>
              </w:rPr>
              <w:t>Элемент &lt;</w:t>
            </w:r>
            <w:r w:rsidRPr="006F6DAC">
              <w:rPr>
                <w:rFonts w:ascii="Garamond" w:eastAsia="Calibri" w:hAnsi="Garamond"/>
                <w:bCs/>
                <w:sz w:val="22"/>
                <w:szCs w:val="22"/>
              </w:rPr>
              <w:t>delive</w:t>
            </w:r>
            <w:r w:rsidRPr="006F6DAC">
              <w:rPr>
                <w:rFonts w:ascii="Garamond" w:eastAsia="Calibri" w:hAnsi="Garamond"/>
                <w:bCs/>
                <w:sz w:val="22"/>
                <w:szCs w:val="22"/>
                <w:lang w:val="en-US"/>
              </w:rPr>
              <w:t>r</w:t>
            </w:r>
            <w:r w:rsidRPr="006F6DAC">
              <w:rPr>
                <w:rFonts w:ascii="Garamond" w:eastAsia="Calibri" w:hAnsi="Garamond"/>
                <w:bCs/>
                <w:sz w:val="22"/>
                <w:szCs w:val="22"/>
              </w:rPr>
              <w:t>y-point-channel-</w:t>
            </w:r>
            <w:r w:rsidRPr="006F6DAC">
              <w:rPr>
                <w:rFonts w:ascii="Garamond" w:eastAsia="Calibri" w:hAnsi="Garamond"/>
                <w:bCs/>
                <w:sz w:val="22"/>
                <w:szCs w:val="22"/>
                <w:lang w:val="en-US"/>
              </w:rPr>
              <w:t>list</w:t>
            </w:r>
            <w:r w:rsidRPr="006F6DAC">
              <w:rPr>
                <w:rFonts w:ascii="Garamond" w:eastAsia="Calibri" w:hAnsi="Garamond"/>
                <w:sz w:val="22"/>
                <w:szCs w:val="22"/>
              </w:rPr>
              <w:t xml:space="preserve">&gt; содержит информацию о каналах точки </w:t>
            </w:r>
            <w:r w:rsidRPr="006F6DAC">
              <w:rPr>
                <w:rFonts w:ascii="Garamond" w:eastAsia="Calibri" w:hAnsi="Garamond"/>
                <w:sz w:val="22"/>
                <w:szCs w:val="22"/>
                <w:highlight w:val="yellow"/>
              </w:rPr>
              <w:t>поставки</w:t>
            </w:r>
            <w:r w:rsidRPr="006F6DAC">
              <w:rPr>
                <w:rFonts w:ascii="Garamond" w:eastAsia="Calibri" w:hAnsi="Garamond"/>
                <w:sz w:val="22"/>
                <w:szCs w:val="22"/>
              </w:rPr>
              <w:t xml:space="preserve">, входящих в состав группы поставки. </w:t>
            </w:r>
          </w:p>
          <w:p w14:paraId="6677AEF9" w14:textId="77777777" w:rsidR="00F11A8B" w:rsidRPr="006F6DAC" w:rsidRDefault="00F11A8B" w:rsidP="00F11A8B">
            <w:pPr>
              <w:jc w:val="both"/>
              <w:rPr>
                <w:rFonts w:ascii="Garamond" w:eastAsia="Calibri" w:hAnsi="Garamond"/>
                <w:sz w:val="22"/>
                <w:szCs w:val="22"/>
              </w:rPr>
            </w:pPr>
            <w:r w:rsidRPr="006F6DAC">
              <w:rPr>
                <w:rFonts w:ascii="Garamond" w:eastAsia="Calibri" w:hAnsi="Garamond"/>
                <w:sz w:val="22"/>
                <w:szCs w:val="22"/>
              </w:rPr>
              <w:t>Необязательный элемент. В документе может содержаться только один элемент.</w:t>
            </w:r>
          </w:p>
          <w:p w14:paraId="18806685" w14:textId="77777777" w:rsidR="00F11A8B" w:rsidRPr="006F6DAC" w:rsidRDefault="00F11A8B" w:rsidP="00F11A8B">
            <w:pPr>
              <w:pStyle w:val="5"/>
              <w:suppressAutoHyphens w:val="0"/>
              <w:spacing w:before="0" w:line="259" w:lineRule="auto"/>
              <w:jc w:val="both"/>
              <w:rPr>
                <w:rFonts w:ascii="Garamond" w:hAnsi="Garamond"/>
                <w:color w:val="auto"/>
                <w:sz w:val="22"/>
                <w:szCs w:val="22"/>
              </w:rPr>
            </w:pPr>
            <w:r w:rsidRPr="006F6DAC">
              <w:rPr>
                <w:rFonts w:ascii="Garamond" w:hAnsi="Garamond"/>
                <w:color w:val="auto"/>
                <w:sz w:val="22"/>
                <w:szCs w:val="22"/>
              </w:rPr>
              <w:t>Дочерними элементами являются: &lt;</w:t>
            </w:r>
            <w:r w:rsidRPr="006F6DAC">
              <w:rPr>
                <w:rFonts w:ascii="Garamond" w:hAnsi="Garamond"/>
                <w:color w:val="auto"/>
                <w:sz w:val="22"/>
                <w:szCs w:val="22"/>
                <w:lang w:val="en-US"/>
              </w:rPr>
              <w:t>delivery</w:t>
            </w:r>
            <w:r w:rsidRPr="006F6DAC">
              <w:rPr>
                <w:rFonts w:ascii="Garamond" w:hAnsi="Garamond"/>
                <w:color w:val="auto"/>
                <w:sz w:val="22"/>
                <w:szCs w:val="22"/>
              </w:rPr>
              <w:t>-</w:t>
            </w:r>
            <w:r w:rsidRPr="006F6DAC">
              <w:rPr>
                <w:rFonts w:ascii="Garamond" w:hAnsi="Garamond"/>
                <w:color w:val="auto"/>
                <w:sz w:val="22"/>
                <w:szCs w:val="22"/>
                <w:lang w:val="en-US"/>
              </w:rPr>
              <w:t>point</w:t>
            </w:r>
            <w:r w:rsidRPr="006F6DAC">
              <w:rPr>
                <w:rFonts w:ascii="Garamond" w:hAnsi="Garamond"/>
                <w:color w:val="auto"/>
                <w:sz w:val="22"/>
                <w:szCs w:val="22"/>
              </w:rPr>
              <w:t>-</w:t>
            </w:r>
            <w:r w:rsidRPr="006F6DAC">
              <w:rPr>
                <w:rFonts w:ascii="Garamond" w:hAnsi="Garamond"/>
                <w:color w:val="auto"/>
                <w:sz w:val="22"/>
                <w:szCs w:val="22"/>
                <w:lang w:val="en-US"/>
              </w:rPr>
              <w:t>channel</w:t>
            </w:r>
            <w:r w:rsidRPr="006F6DAC">
              <w:rPr>
                <w:rFonts w:ascii="Garamond" w:hAnsi="Garamond"/>
                <w:color w:val="auto"/>
                <w:sz w:val="22"/>
                <w:szCs w:val="22"/>
              </w:rPr>
              <w:t>&gt;</w:t>
            </w:r>
          </w:p>
        </w:tc>
        <w:tc>
          <w:tcPr>
            <w:tcW w:w="7115" w:type="dxa"/>
          </w:tcPr>
          <w:p w14:paraId="10E9AA8D" w14:textId="77777777" w:rsidR="00F11A8B" w:rsidRPr="006F6DAC" w:rsidRDefault="00F11A8B" w:rsidP="00F11A8B">
            <w:pPr>
              <w:pStyle w:val="40"/>
              <w:keepLines/>
              <w:numPr>
                <w:ilvl w:val="0"/>
                <w:numId w:val="0"/>
              </w:numPr>
              <w:suppressAutoHyphens w:val="0"/>
              <w:spacing w:line="259" w:lineRule="auto"/>
              <w:jc w:val="both"/>
              <w:rPr>
                <w:rFonts w:ascii="Garamond" w:hAnsi="Garamond"/>
                <w:b w:val="0"/>
                <w:i/>
                <w:sz w:val="22"/>
                <w:szCs w:val="22"/>
              </w:rPr>
            </w:pPr>
            <w:bookmarkStart w:id="93" w:name="e_2C4406A7390F4807AB9579AC1D0D72EB"/>
            <w:r w:rsidRPr="006F6DAC">
              <w:rPr>
                <w:rFonts w:ascii="Garamond" w:hAnsi="Garamond"/>
                <w:b w:val="0"/>
                <w:i/>
                <w:sz w:val="22"/>
                <w:szCs w:val="22"/>
              </w:rPr>
              <w:t>&lt;</w:t>
            </w:r>
            <w:r w:rsidRPr="006F6DAC">
              <w:rPr>
                <w:rFonts w:ascii="Garamond" w:hAnsi="Garamond"/>
                <w:b w:val="0"/>
                <w:i/>
                <w:sz w:val="22"/>
                <w:szCs w:val="22"/>
                <w:lang w:val="en-US"/>
              </w:rPr>
              <w:t>delivery</w:t>
            </w:r>
            <w:r w:rsidRPr="006F6DAC">
              <w:rPr>
                <w:rFonts w:ascii="Garamond" w:hAnsi="Garamond"/>
                <w:b w:val="0"/>
                <w:i/>
                <w:sz w:val="22"/>
                <w:szCs w:val="22"/>
              </w:rPr>
              <w:t>-</w:t>
            </w:r>
            <w:r w:rsidRPr="006F6DAC">
              <w:rPr>
                <w:rFonts w:ascii="Garamond" w:hAnsi="Garamond"/>
                <w:b w:val="0"/>
                <w:i/>
                <w:sz w:val="22"/>
                <w:szCs w:val="22"/>
                <w:lang w:val="en-US"/>
              </w:rPr>
              <w:t>point</w:t>
            </w:r>
            <w:r w:rsidRPr="006F6DAC">
              <w:rPr>
                <w:rFonts w:ascii="Garamond" w:hAnsi="Garamond"/>
                <w:b w:val="0"/>
                <w:i/>
                <w:sz w:val="22"/>
                <w:szCs w:val="22"/>
              </w:rPr>
              <w:t>-</w:t>
            </w:r>
            <w:r w:rsidRPr="006F6DAC">
              <w:rPr>
                <w:rFonts w:ascii="Garamond" w:hAnsi="Garamond"/>
                <w:b w:val="0"/>
                <w:i/>
                <w:sz w:val="22"/>
                <w:szCs w:val="22"/>
                <w:lang w:val="en-US"/>
              </w:rPr>
              <w:t>channels</w:t>
            </w:r>
            <w:r w:rsidRPr="006F6DAC">
              <w:rPr>
                <w:rFonts w:ascii="Garamond" w:hAnsi="Garamond"/>
                <w:b w:val="0"/>
                <w:i/>
                <w:sz w:val="22"/>
                <w:szCs w:val="22"/>
              </w:rPr>
              <w:t>-</w:t>
            </w:r>
            <w:r w:rsidRPr="006F6DAC">
              <w:rPr>
                <w:rFonts w:ascii="Garamond" w:hAnsi="Garamond"/>
                <w:b w:val="0"/>
                <w:i/>
                <w:sz w:val="22"/>
                <w:szCs w:val="22"/>
                <w:lang w:val="en-US"/>
              </w:rPr>
              <w:t>list</w:t>
            </w:r>
            <w:r w:rsidRPr="006F6DAC">
              <w:rPr>
                <w:rFonts w:ascii="Garamond" w:hAnsi="Garamond"/>
                <w:b w:val="0"/>
                <w:i/>
                <w:sz w:val="22"/>
                <w:szCs w:val="22"/>
              </w:rPr>
              <w:t>&gt;</w:t>
            </w:r>
            <w:bookmarkEnd w:id="93"/>
          </w:p>
          <w:p w14:paraId="6F409978" w14:textId="77777777" w:rsidR="00F11A8B" w:rsidRPr="006F6DAC" w:rsidRDefault="00F11A8B" w:rsidP="00F11A8B">
            <w:pPr>
              <w:jc w:val="both"/>
              <w:rPr>
                <w:rFonts w:ascii="Garamond" w:eastAsia="Calibri" w:hAnsi="Garamond"/>
                <w:sz w:val="22"/>
                <w:szCs w:val="22"/>
              </w:rPr>
            </w:pPr>
            <w:r w:rsidRPr="006F6DAC">
              <w:rPr>
                <w:rFonts w:ascii="Garamond" w:eastAsia="Calibri" w:hAnsi="Garamond"/>
                <w:sz w:val="22"/>
                <w:szCs w:val="22"/>
              </w:rPr>
              <w:t>Элемент &lt;</w:t>
            </w:r>
            <w:r w:rsidRPr="006F6DAC">
              <w:rPr>
                <w:rFonts w:ascii="Garamond" w:eastAsia="Calibri" w:hAnsi="Garamond"/>
                <w:bCs/>
                <w:sz w:val="22"/>
                <w:szCs w:val="22"/>
              </w:rPr>
              <w:t>delive</w:t>
            </w:r>
            <w:r w:rsidRPr="006F6DAC">
              <w:rPr>
                <w:rFonts w:ascii="Garamond" w:eastAsia="Calibri" w:hAnsi="Garamond"/>
                <w:bCs/>
                <w:sz w:val="22"/>
                <w:szCs w:val="22"/>
                <w:lang w:val="en-US"/>
              </w:rPr>
              <w:t>r</w:t>
            </w:r>
            <w:r w:rsidRPr="006F6DAC">
              <w:rPr>
                <w:rFonts w:ascii="Garamond" w:eastAsia="Calibri" w:hAnsi="Garamond"/>
                <w:bCs/>
                <w:sz w:val="22"/>
                <w:szCs w:val="22"/>
              </w:rPr>
              <w:t>y-point-channel-</w:t>
            </w:r>
            <w:r w:rsidRPr="006F6DAC">
              <w:rPr>
                <w:rFonts w:ascii="Garamond" w:eastAsia="Calibri" w:hAnsi="Garamond"/>
                <w:bCs/>
                <w:sz w:val="22"/>
                <w:szCs w:val="22"/>
                <w:lang w:val="en-US"/>
              </w:rPr>
              <w:t>list</w:t>
            </w:r>
            <w:r w:rsidRPr="006F6DAC">
              <w:rPr>
                <w:rFonts w:ascii="Garamond" w:eastAsia="Calibri" w:hAnsi="Garamond"/>
                <w:sz w:val="22"/>
                <w:szCs w:val="22"/>
              </w:rPr>
              <w:t xml:space="preserve">&gt; содержит информацию о каналах точки </w:t>
            </w:r>
            <w:r w:rsidRPr="006F6DAC">
              <w:rPr>
                <w:rFonts w:ascii="Garamond" w:eastAsia="Calibri" w:hAnsi="Garamond"/>
                <w:sz w:val="22"/>
                <w:szCs w:val="22"/>
                <w:highlight w:val="yellow"/>
              </w:rPr>
              <w:t>присоединения</w:t>
            </w:r>
            <w:r w:rsidRPr="006F6DAC">
              <w:rPr>
                <w:rFonts w:ascii="Garamond" w:eastAsia="Calibri" w:hAnsi="Garamond"/>
                <w:sz w:val="22"/>
                <w:szCs w:val="22"/>
              </w:rPr>
              <w:t xml:space="preserve">, входящих в состав группы поставки. </w:t>
            </w:r>
          </w:p>
          <w:p w14:paraId="1C4C7DEB" w14:textId="77777777" w:rsidR="00F11A8B" w:rsidRPr="006F6DAC" w:rsidRDefault="00F11A8B" w:rsidP="00F11A8B">
            <w:pPr>
              <w:jc w:val="both"/>
              <w:rPr>
                <w:rFonts w:ascii="Garamond" w:eastAsia="Calibri" w:hAnsi="Garamond"/>
                <w:sz w:val="22"/>
                <w:szCs w:val="22"/>
              </w:rPr>
            </w:pPr>
            <w:r w:rsidRPr="006F6DAC">
              <w:rPr>
                <w:rFonts w:ascii="Garamond" w:eastAsia="Calibri" w:hAnsi="Garamond"/>
                <w:sz w:val="22"/>
                <w:szCs w:val="22"/>
              </w:rPr>
              <w:t>Необязательный элемент. В документе может содержаться только один элемент.</w:t>
            </w:r>
          </w:p>
          <w:p w14:paraId="3D875472" w14:textId="77777777" w:rsidR="00F11A8B" w:rsidRPr="006F6DAC" w:rsidRDefault="00F11A8B" w:rsidP="00F11A8B">
            <w:pPr>
              <w:pStyle w:val="5"/>
              <w:suppressAutoHyphens w:val="0"/>
              <w:spacing w:before="0" w:line="259" w:lineRule="auto"/>
              <w:jc w:val="both"/>
              <w:rPr>
                <w:rFonts w:ascii="Garamond" w:hAnsi="Garamond"/>
                <w:color w:val="auto"/>
                <w:sz w:val="22"/>
                <w:szCs w:val="22"/>
              </w:rPr>
            </w:pPr>
            <w:r w:rsidRPr="006F6DAC">
              <w:rPr>
                <w:rFonts w:ascii="Garamond" w:hAnsi="Garamond"/>
                <w:color w:val="auto"/>
                <w:sz w:val="22"/>
                <w:szCs w:val="22"/>
              </w:rPr>
              <w:t>Дочерними элементами являются: &lt;</w:t>
            </w:r>
            <w:r w:rsidRPr="006F6DAC">
              <w:rPr>
                <w:rFonts w:ascii="Garamond" w:hAnsi="Garamond"/>
                <w:color w:val="auto"/>
                <w:sz w:val="22"/>
                <w:szCs w:val="22"/>
                <w:lang w:val="en-US"/>
              </w:rPr>
              <w:t>delivery</w:t>
            </w:r>
            <w:r w:rsidRPr="006F6DAC">
              <w:rPr>
                <w:rFonts w:ascii="Garamond" w:hAnsi="Garamond"/>
                <w:color w:val="auto"/>
                <w:sz w:val="22"/>
                <w:szCs w:val="22"/>
              </w:rPr>
              <w:t>-</w:t>
            </w:r>
            <w:r w:rsidRPr="006F6DAC">
              <w:rPr>
                <w:rFonts w:ascii="Garamond" w:hAnsi="Garamond"/>
                <w:color w:val="auto"/>
                <w:sz w:val="22"/>
                <w:szCs w:val="22"/>
                <w:lang w:val="en-US"/>
              </w:rPr>
              <w:t>point</w:t>
            </w:r>
            <w:r w:rsidRPr="006F6DAC">
              <w:rPr>
                <w:rFonts w:ascii="Garamond" w:hAnsi="Garamond"/>
                <w:color w:val="auto"/>
                <w:sz w:val="22"/>
                <w:szCs w:val="22"/>
              </w:rPr>
              <w:t>-</w:t>
            </w:r>
            <w:r w:rsidRPr="006F6DAC">
              <w:rPr>
                <w:rFonts w:ascii="Garamond" w:hAnsi="Garamond"/>
                <w:color w:val="auto"/>
                <w:sz w:val="22"/>
                <w:szCs w:val="22"/>
                <w:lang w:val="en-US"/>
              </w:rPr>
              <w:t>channel</w:t>
            </w:r>
            <w:r w:rsidRPr="006F6DAC">
              <w:rPr>
                <w:rFonts w:ascii="Garamond" w:hAnsi="Garamond"/>
                <w:color w:val="auto"/>
                <w:sz w:val="22"/>
                <w:szCs w:val="22"/>
              </w:rPr>
              <w:t>&gt;.</w:t>
            </w:r>
          </w:p>
        </w:tc>
      </w:tr>
      <w:tr w:rsidR="00F11A8B" w:rsidRPr="006F6DAC" w14:paraId="2CCF24BA" w14:textId="77777777" w:rsidTr="006F6DAC">
        <w:tc>
          <w:tcPr>
            <w:tcW w:w="1060" w:type="dxa"/>
          </w:tcPr>
          <w:p w14:paraId="4C16E661" w14:textId="646A4423" w:rsidR="00F11A8B" w:rsidRPr="006F6DAC" w:rsidRDefault="00F11A8B" w:rsidP="00F11A8B">
            <w:pPr>
              <w:widowControl w:val="0"/>
              <w:spacing w:line="259" w:lineRule="auto"/>
              <w:jc w:val="center"/>
              <w:rPr>
                <w:rFonts w:ascii="Garamond" w:hAnsi="Garamond"/>
                <w:b/>
                <w:sz w:val="22"/>
                <w:szCs w:val="22"/>
                <w:lang w:eastAsia="en-US"/>
              </w:rPr>
            </w:pPr>
            <w:r w:rsidRPr="006F6DAC">
              <w:rPr>
                <w:rFonts w:ascii="Garamond" w:hAnsi="Garamond"/>
                <w:b/>
                <w:sz w:val="22"/>
                <w:szCs w:val="22"/>
                <w:lang w:eastAsia="en-US"/>
              </w:rPr>
              <w:t>Приложение 8, п.</w:t>
            </w:r>
            <w:r w:rsidR="006F6DAC">
              <w:rPr>
                <w:rFonts w:ascii="Garamond" w:hAnsi="Garamond"/>
                <w:b/>
                <w:sz w:val="22"/>
                <w:szCs w:val="22"/>
                <w:lang w:eastAsia="en-US"/>
              </w:rPr>
              <w:t xml:space="preserve"> </w:t>
            </w:r>
            <w:r w:rsidRPr="006F6DAC">
              <w:rPr>
                <w:rFonts w:ascii="Garamond" w:hAnsi="Garamond"/>
                <w:b/>
                <w:sz w:val="22"/>
                <w:szCs w:val="22"/>
                <w:lang w:eastAsia="en-US"/>
              </w:rPr>
              <w:t>2.</w:t>
            </w:r>
            <w:r w:rsidRPr="006F6DAC">
              <w:rPr>
                <w:rFonts w:ascii="Garamond" w:hAnsi="Garamond"/>
                <w:b/>
                <w:sz w:val="22"/>
                <w:szCs w:val="22"/>
                <w:lang w:val="en-US" w:eastAsia="en-US"/>
              </w:rPr>
              <w:t>4</w:t>
            </w:r>
            <w:r w:rsidRPr="006F6DAC">
              <w:rPr>
                <w:rFonts w:ascii="Garamond" w:hAnsi="Garamond"/>
                <w:b/>
                <w:sz w:val="22"/>
                <w:szCs w:val="22"/>
                <w:lang w:eastAsia="en-US"/>
              </w:rPr>
              <w:t>.1.2.1</w:t>
            </w:r>
          </w:p>
        </w:tc>
        <w:tc>
          <w:tcPr>
            <w:tcW w:w="6804" w:type="dxa"/>
          </w:tcPr>
          <w:p w14:paraId="2590E876" w14:textId="77777777" w:rsidR="00F11A8B" w:rsidRPr="006F6DAC" w:rsidRDefault="00F11A8B" w:rsidP="00F11A8B">
            <w:pPr>
              <w:pStyle w:val="5"/>
              <w:suppressAutoHyphens w:val="0"/>
              <w:spacing w:before="0" w:line="259" w:lineRule="auto"/>
              <w:jc w:val="both"/>
              <w:rPr>
                <w:rFonts w:ascii="Garamond" w:hAnsi="Garamond"/>
                <w:color w:val="auto"/>
                <w:sz w:val="22"/>
                <w:szCs w:val="22"/>
              </w:rPr>
            </w:pPr>
            <w:r w:rsidRPr="006F6DAC">
              <w:rPr>
                <w:rFonts w:ascii="Garamond" w:hAnsi="Garamond"/>
                <w:color w:val="auto"/>
                <w:sz w:val="22"/>
                <w:szCs w:val="22"/>
              </w:rPr>
              <w:t>&lt;delivery-point-channel&gt;</w:t>
            </w:r>
          </w:p>
          <w:p w14:paraId="4332CCCF" w14:textId="77777777" w:rsidR="00F11A8B" w:rsidRPr="006F6DAC" w:rsidRDefault="00F11A8B" w:rsidP="00F11A8B">
            <w:pPr>
              <w:jc w:val="both"/>
              <w:rPr>
                <w:rFonts w:ascii="Garamond" w:eastAsia="Calibri" w:hAnsi="Garamond"/>
                <w:sz w:val="22"/>
                <w:szCs w:val="22"/>
              </w:rPr>
            </w:pPr>
            <w:r w:rsidRPr="006F6DAC">
              <w:rPr>
                <w:rFonts w:ascii="Garamond" w:eastAsia="Calibri" w:hAnsi="Garamond"/>
                <w:sz w:val="22"/>
                <w:szCs w:val="22"/>
              </w:rPr>
              <w:t>Элемент &lt;</w:t>
            </w:r>
            <w:r w:rsidRPr="006F6DAC">
              <w:rPr>
                <w:rFonts w:ascii="Garamond" w:eastAsia="Calibri" w:hAnsi="Garamond"/>
                <w:bCs/>
                <w:sz w:val="22"/>
                <w:szCs w:val="22"/>
              </w:rPr>
              <w:t>delive</w:t>
            </w:r>
            <w:r w:rsidRPr="006F6DAC">
              <w:rPr>
                <w:rFonts w:ascii="Garamond" w:eastAsia="Calibri" w:hAnsi="Garamond"/>
                <w:bCs/>
                <w:sz w:val="22"/>
                <w:szCs w:val="22"/>
                <w:lang w:val="en-US"/>
              </w:rPr>
              <w:t>r</w:t>
            </w:r>
            <w:r w:rsidRPr="006F6DAC">
              <w:rPr>
                <w:rFonts w:ascii="Garamond" w:eastAsia="Calibri" w:hAnsi="Garamond"/>
                <w:bCs/>
                <w:sz w:val="22"/>
                <w:szCs w:val="22"/>
              </w:rPr>
              <w:t>y-point-channel</w:t>
            </w:r>
            <w:r w:rsidRPr="006F6DAC">
              <w:rPr>
                <w:rFonts w:ascii="Garamond" w:eastAsia="Calibri" w:hAnsi="Garamond"/>
                <w:sz w:val="22"/>
                <w:szCs w:val="22"/>
              </w:rPr>
              <w:t xml:space="preserve">&gt; содержит информацию о канале точки </w:t>
            </w:r>
            <w:r w:rsidRPr="006F6DAC">
              <w:rPr>
                <w:rFonts w:ascii="Garamond" w:eastAsia="Calibri" w:hAnsi="Garamond"/>
                <w:sz w:val="22"/>
                <w:szCs w:val="22"/>
                <w:highlight w:val="yellow"/>
              </w:rPr>
              <w:t>поставки</w:t>
            </w:r>
            <w:r w:rsidRPr="006F6DAC">
              <w:rPr>
                <w:rFonts w:ascii="Garamond" w:eastAsia="Calibri" w:hAnsi="Garamond"/>
                <w:sz w:val="22"/>
                <w:szCs w:val="22"/>
              </w:rPr>
              <w:t xml:space="preserve">, входящем в состав группы поставки. </w:t>
            </w:r>
          </w:p>
          <w:p w14:paraId="0EE80827" w14:textId="77777777" w:rsidR="00F11A8B" w:rsidRPr="006F6DAC" w:rsidRDefault="00F11A8B" w:rsidP="00F11A8B">
            <w:pPr>
              <w:jc w:val="both"/>
              <w:rPr>
                <w:rFonts w:ascii="Garamond" w:eastAsia="Calibri" w:hAnsi="Garamond"/>
                <w:sz w:val="22"/>
                <w:szCs w:val="22"/>
              </w:rPr>
            </w:pPr>
            <w:r w:rsidRPr="006F6DAC">
              <w:rPr>
                <w:rFonts w:ascii="Garamond" w:eastAsia="Calibri" w:hAnsi="Garamond"/>
                <w:sz w:val="22"/>
                <w:szCs w:val="22"/>
              </w:rPr>
              <w:t>Необязательный элемент. В документе может содержаться несколько элементов.</w:t>
            </w:r>
          </w:p>
          <w:p w14:paraId="768D89AB" w14:textId="77777777" w:rsidR="00F11A8B" w:rsidRPr="006F6DAC" w:rsidRDefault="00F11A8B" w:rsidP="00F11A8B">
            <w:pPr>
              <w:jc w:val="both"/>
              <w:rPr>
                <w:rFonts w:ascii="Garamond" w:eastAsia="Calibri" w:hAnsi="Garamond"/>
                <w:sz w:val="22"/>
                <w:szCs w:val="22"/>
              </w:rPr>
            </w:pPr>
            <w:r w:rsidRPr="006F6DAC">
              <w:rPr>
                <w:rFonts w:ascii="Garamond" w:eastAsia="Calibri" w:hAnsi="Garamond"/>
                <w:sz w:val="22"/>
                <w:szCs w:val="22"/>
              </w:rPr>
              <w:t xml:space="preserve">Содержит атрибуты: </w:t>
            </w:r>
          </w:p>
          <w:p w14:paraId="2EE76C98" w14:textId="77777777" w:rsidR="00F11A8B" w:rsidRPr="006F6DAC" w:rsidRDefault="00F11A8B" w:rsidP="00F11A8B">
            <w:pPr>
              <w:pStyle w:val="ac"/>
              <w:numPr>
                <w:ilvl w:val="0"/>
                <w:numId w:val="246"/>
              </w:numPr>
              <w:contextualSpacing/>
              <w:jc w:val="both"/>
              <w:rPr>
                <w:rFonts w:ascii="Garamond" w:eastAsia="Calibri" w:hAnsi="Garamond"/>
                <w:sz w:val="22"/>
                <w:szCs w:val="22"/>
              </w:rPr>
            </w:pPr>
            <w:r w:rsidRPr="006F6DAC">
              <w:rPr>
                <w:rFonts w:ascii="Garamond" w:hAnsi="Garamond"/>
                <w:sz w:val="22"/>
                <w:szCs w:val="22"/>
                <w:lang w:val="en-US"/>
              </w:rPr>
              <w:t>delivery</w:t>
            </w:r>
            <w:r w:rsidRPr="006F6DAC">
              <w:rPr>
                <w:rFonts w:ascii="Garamond" w:hAnsi="Garamond"/>
                <w:sz w:val="22"/>
                <w:szCs w:val="22"/>
              </w:rPr>
              <w:t>-</w:t>
            </w:r>
            <w:r w:rsidRPr="006F6DAC">
              <w:rPr>
                <w:rFonts w:ascii="Garamond" w:hAnsi="Garamond"/>
                <w:sz w:val="22"/>
                <w:szCs w:val="22"/>
                <w:lang w:val="en-US"/>
              </w:rPr>
              <w:t>point</w:t>
            </w:r>
            <w:r w:rsidRPr="006F6DAC">
              <w:rPr>
                <w:rFonts w:ascii="Garamond" w:hAnsi="Garamond"/>
                <w:sz w:val="22"/>
                <w:szCs w:val="22"/>
              </w:rPr>
              <w:t>-</w:t>
            </w:r>
            <w:r w:rsidRPr="006F6DAC">
              <w:rPr>
                <w:rFonts w:ascii="Garamond" w:hAnsi="Garamond"/>
                <w:sz w:val="22"/>
                <w:szCs w:val="22"/>
                <w:lang w:val="en-US"/>
              </w:rPr>
              <w:t>code</w:t>
            </w:r>
            <w:r w:rsidRPr="006F6DAC">
              <w:rPr>
                <w:rFonts w:ascii="Garamond" w:eastAsia="Calibri" w:hAnsi="Garamond"/>
                <w:sz w:val="22"/>
                <w:szCs w:val="22"/>
              </w:rPr>
              <w:t xml:space="preserve"> – код АТС точки </w:t>
            </w:r>
            <w:r w:rsidRPr="006F6DAC">
              <w:rPr>
                <w:rFonts w:ascii="Garamond" w:eastAsia="Calibri" w:hAnsi="Garamond"/>
                <w:sz w:val="22"/>
                <w:szCs w:val="22"/>
                <w:highlight w:val="yellow"/>
              </w:rPr>
              <w:t>поставки</w:t>
            </w:r>
            <w:r w:rsidRPr="006F6DAC">
              <w:rPr>
                <w:rFonts w:ascii="Garamond" w:eastAsia="Calibri" w:hAnsi="Garamond"/>
                <w:sz w:val="22"/>
                <w:szCs w:val="22"/>
              </w:rPr>
              <w:t>. Должно содержаться в элементе &lt;dictionaries&gt;. Является обязательным атрибутом;</w:t>
            </w:r>
          </w:p>
          <w:p w14:paraId="7F3DC647" w14:textId="77777777" w:rsidR="00F11A8B" w:rsidRPr="006F6DAC" w:rsidRDefault="00F11A8B" w:rsidP="00F11A8B">
            <w:pPr>
              <w:pStyle w:val="ac"/>
              <w:numPr>
                <w:ilvl w:val="0"/>
                <w:numId w:val="246"/>
              </w:numPr>
              <w:contextualSpacing/>
              <w:jc w:val="both"/>
              <w:rPr>
                <w:rFonts w:ascii="Garamond" w:eastAsia="Calibri" w:hAnsi="Garamond"/>
                <w:sz w:val="22"/>
                <w:szCs w:val="22"/>
              </w:rPr>
            </w:pPr>
            <w:r w:rsidRPr="006F6DAC">
              <w:rPr>
                <w:rFonts w:ascii="Garamond" w:hAnsi="Garamond"/>
                <w:sz w:val="22"/>
                <w:szCs w:val="22"/>
                <w:lang w:val="en-US"/>
              </w:rPr>
              <w:t>algorithm</w:t>
            </w:r>
            <w:r w:rsidRPr="006F6DAC">
              <w:rPr>
                <w:rFonts w:ascii="Garamond" w:hAnsi="Garamond"/>
                <w:sz w:val="22"/>
                <w:szCs w:val="22"/>
              </w:rPr>
              <w:t>-</w:t>
            </w:r>
            <w:r w:rsidRPr="006F6DAC">
              <w:rPr>
                <w:rFonts w:ascii="Garamond" w:hAnsi="Garamond"/>
                <w:sz w:val="22"/>
                <w:szCs w:val="22"/>
                <w:lang w:val="en-US"/>
              </w:rPr>
              <w:t>version</w:t>
            </w:r>
            <w:r w:rsidRPr="006F6DAC">
              <w:rPr>
                <w:rFonts w:ascii="Garamond" w:eastAsia="Calibri" w:hAnsi="Garamond"/>
                <w:sz w:val="22"/>
                <w:szCs w:val="22"/>
              </w:rPr>
              <w:t xml:space="preserve"> – номер версии алгоритма, присвоенный КО. Число до 20 знаков. Является обязательным атрибутом;</w:t>
            </w:r>
          </w:p>
          <w:p w14:paraId="7FEC816F" w14:textId="77777777" w:rsidR="00F11A8B" w:rsidRPr="006F6DAC" w:rsidRDefault="00F11A8B" w:rsidP="00F11A8B">
            <w:pPr>
              <w:pStyle w:val="ac"/>
              <w:numPr>
                <w:ilvl w:val="0"/>
                <w:numId w:val="246"/>
              </w:numPr>
              <w:contextualSpacing/>
              <w:jc w:val="both"/>
              <w:rPr>
                <w:rFonts w:ascii="Garamond" w:eastAsia="Calibri" w:hAnsi="Garamond"/>
                <w:sz w:val="22"/>
                <w:szCs w:val="22"/>
              </w:rPr>
            </w:pPr>
            <w:r w:rsidRPr="006F6DAC">
              <w:rPr>
                <w:rFonts w:ascii="Garamond" w:hAnsi="Garamond"/>
                <w:sz w:val="22"/>
                <w:szCs w:val="22"/>
                <w:lang w:val="en-US"/>
              </w:rPr>
              <w:lastRenderedPageBreak/>
              <w:t>channel</w:t>
            </w:r>
            <w:r w:rsidRPr="006F6DAC">
              <w:rPr>
                <w:rFonts w:ascii="Garamond" w:hAnsi="Garamond"/>
                <w:sz w:val="22"/>
                <w:szCs w:val="22"/>
              </w:rPr>
              <w:t>-</w:t>
            </w:r>
            <w:r w:rsidRPr="006F6DAC">
              <w:rPr>
                <w:rFonts w:ascii="Garamond" w:hAnsi="Garamond"/>
                <w:sz w:val="22"/>
                <w:szCs w:val="22"/>
                <w:lang w:val="en-US"/>
              </w:rPr>
              <w:t>code</w:t>
            </w:r>
            <w:r w:rsidRPr="006F6DAC">
              <w:rPr>
                <w:rFonts w:ascii="Garamond" w:eastAsia="Calibri" w:hAnsi="Garamond"/>
                <w:sz w:val="22"/>
                <w:szCs w:val="22"/>
              </w:rPr>
              <w:t xml:space="preserve"> – уникальный код, присвоенный КО каналу точки </w:t>
            </w:r>
            <w:r w:rsidRPr="006F6DAC">
              <w:rPr>
                <w:rFonts w:ascii="Garamond" w:eastAsia="Calibri" w:hAnsi="Garamond"/>
                <w:sz w:val="22"/>
                <w:szCs w:val="22"/>
                <w:highlight w:val="yellow"/>
              </w:rPr>
              <w:t>поставки</w:t>
            </w:r>
            <w:r w:rsidRPr="006F6DAC">
              <w:rPr>
                <w:rFonts w:ascii="Garamond" w:eastAsia="Calibri" w:hAnsi="Garamond"/>
                <w:sz w:val="22"/>
                <w:szCs w:val="22"/>
              </w:rPr>
              <w:t>. Число из двух знаков. Является обязательным атрибутом;</w:t>
            </w:r>
          </w:p>
          <w:p w14:paraId="2F2E720A" w14:textId="77777777" w:rsidR="00F11A8B" w:rsidRPr="006F6DAC" w:rsidRDefault="00F11A8B" w:rsidP="00F11A8B">
            <w:pPr>
              <w:pStyle w:val="ac"/>
              <w:numPr>
                <w:ilvl w:val="0"/>
                <w:numId w:val="246"/>
              </w:numPr>
              <w:contextualSpacing/>
              <w:jc w:val="both"/>
              <w:rPr>
                <w:rFonts w:ascii="Garamond" w:hAnsi="Garamond"/>
                <w:b/>
                <w:i/>
                <w:sz w:val="22"/>
                <w:szCs w:val="22"/>
              </w:rPr>
            </w:pPr>
            <w:r w:rsidRPr="006F6DAC">
              <w:rPr>
                <w:rFonts w:ascii="Garamond" w:hAnsi="Garamond"/>
                <w:sz w:val="22"/>
                <w:szCs w:val="22"/>
                <w:lang w:val="en-US"/>
              </w:rPr>
              <w:t>period</w:t>
            </w:r>
            <w:r w:rsidRPr="006F6DAC">
              <w:rPr>
                <w:rFonts w:ascii="Garamond" w:hAnsi="Garamond"/>
                <w:sz w:val="22"/>
                <w:szCs w:val="22"/>
              </w:rPr>
              <w:t xml:space="preserve"> –</w:t>
            </w:r>
            <w:r w:rsidRPr="006F6DAC">
              <w:rPr>
                <w:rFonts w:ascii="Garamond" w:eastAsia="Calibri" w:hAnsi="Garamond"/>
                <w:sz w:val="22"/>
                <w:szCs w:val="22"/>
              </w:rPr>
              <w:t xml:space="preserve"> содержит информацию о периоде (скважности) точки. Если значение 30 – скважность получасовая, если значение 60 – скважность часовая.</w:t>
            </w:r>
          </w:p>
        </w:tc>
        <w:tc>
          <w:tcPr>
            <w:tcW w:w="7115" w:type="dxa"/>
          </w:tcPr>
          <w:p w14:paraId="23D9C712" w14:textId="77777777" w:rsidR="00F11A8B" w:rsidRPr="006F6DAC" w:rsidRDefault="00F11A8B" w:rsidP="00F11A8B">
            <w:pPr>
              <w:pStyle w:val="5"/>
              <w:suppressAutoHyphens w:val="0"/>
              <w:spacing w:before="0" w:line="259" w:lineRule="auto"/>
              <w:ind w:right="67"/>
              <w:jc w:val="both"/>
              <w:rPr>
                <w:rFonts w:ascii="Garamond" w:hAnsi="Garamond"/>
                <w:color w:val="auto"/>
                <w:sz w:val="22"/>
                <w:szCs w:val="22"/>
              </w:rPr>
            </w:pPr>
            <w:r w:rsidRPr="006F6DAC">
              <w:rPr>
                <w:rFonts w:ascii="Garamond" w:hAnsi="Garamond"/>
                <w:color w:val="auto"/>
                <w:sz w:val="22"/>
                <w:szCs w:val="22"/>
              </w:rPr>
              <w:lastRenderedPageBreak/>
              <w:t>&lt;delivery-point-channel&gt;</w:t>
            </w:r>
          </w:p>
          <w:p w14:paraId="74B6C46B" w14:textId="77777777" w:rsidR="00F11A8B" w:rsidRPr="006F6DAC" w:rsidRDefault="00F11A8B" w:rsidP="00F11A8B">
            <w:pPr>
              <w:ind w:right="67"/>
              <w:jc w:val="both"/>
              <w:rPr>
                <w:rFonts w:ascii="Garamond" w:eastAsia="Calibri" w:hAnsi="Garamond"/>
                <w:sz w:val="22"/>
                <w:szCs w:val="22"/>
              </w:rPr>
            </w:pPr>
            <w:r w:rsidRPr="006F6DAC">
              <w:rPr>
                <w:rFonts w:ascii="Garamond" w:eastAsia="Calibri" w:hAnsi="Garamond"/>
                <w:sz w:val="22"/>
                <w:szCs w:val="22"/>
              </w:rPr>
              <w:t>Элемент &lt;</w:t>
            </w:r>
            <w:r w:rsidRPr="006F6DAC">
              <w:rPr>
                <w:rFonts w:ascii="Garamond" w:eastAsia="Calibri" w:hAnsi="Garamond"/>
                <w:bCs/>
                <w:sz w:val="22"/>
                <w:szCs w:val="22"/>
              </w:rPr>
              <w:t>delive</w:t>
            </w:r>
            <w:r w:rsidRPr="006F6DAC">
              <w:rPr>
                <w:rFonts w:ascii="Garamond" w:eastAsia="Calibri" w:hAnsi="Garamond"/>
                <w:bCs/>
                <w:sz w:val="22"/>
                <w:szCs w:val="22"/>
                <w:lang w:val="en-US"/>
              </w:rPr>
              <w:t>r</w:t>
            </w:r>
            <w:r w:rsidRPr="006F6DAC">
              <w:rPr>
                <w:rFonts w:ascii="Garamond" w:eastAsia="Calibri" w:hAnsi="Garamond"/>
                <w:bCs/>
                <w:sz w:val="22"/>
                <w:szCs w:val="22"/>
              </w:rPr>
              <w:t>y-point-channel</w:t>
            </w:r>
            <w:r w:rsidRPr="006F6DAC">
              <w:rPr>
                <w:rFonts w:ascii="Garamond" w:eastAsia="Calibri" w:hAnsi="Garamond"/>
                <w:sz w:val="22"/>
                <w:szCs w:val="22"/>
              </w:rPr>
              <w:t xml:space="preserve">&gt; содержит информацию о канале </w:t>
            </w:r>
            <w:r w:rsidRPr="009A7E4D">
              <w:rPr>
                <w:rFonts w:ascii="Garamond" w:eastAsia="Calibri" w:hAnsi="Garamond"/>
                <w:sz w:val="22"/>
                <w:szCs w:val="22"/>
              </w:rPr>
              <w:t xml:space="preserve">точки </w:t>
            </w:r>
            <w:r w:rsidRPr="006F6DAC">
              <w:rPr>
                <w:rFonts w:ascii="Garamond" w:eastAsia="Calibri" w:hAnsi="Garamond"/>
                <w:sz w:val="22"/>
                <w:szCs w:val="22"/>
                <w:highlight w:val="yellow"/>
              </w:rPr>
              <w:t>присоединения</w:t>
            </w:r>
            <w:r w:rsidRPr="006F6DAC">
              <w:rPr>
                <w:rFonts w:ascii="Garamond" w:eastAsia="Calibri" w:hAnsi="Garamond"/>
                <w:sz w:val="22"/>
                <w:szCs w:val="22"/>
              </w:rPr>
              <w:t xml:space="preserve">, входящем в состав группы поставки. </w:t>
            </w:r>
          </w:p>
          <w:p w14:paraId="229A36A2" w14:textId="77777777" w:rsidR="00F11A8B" w:rsidRPr="006F6DAC" w:rsidRDefault="00F11A8B" w:rsidP="00F11A8B">
            <w:pPr>
              <w:ind w:right="67"/>
              <w:jc w:val="both"/>
              <w:rPr>
                <w:rFonts w:ascii="Garamond" w:eastAsia="Calibri" w:hAnsi="Garamond"/>
                <w:sz w:val="22"/>
                <w:szCs w:val="22"/>
              </w:rPr>
            </w:pPr>
            <w:r w:rsidRPr="006F6DAC">
              <w:rPr>
                <w:rFonts w:ascii="Garamond" w:eastAsia="Calibri" w:hAnsi="Garamond"/>
                <w:sz w:val="22"/>
                <w:szCs w:val="22"/>
              </w:rPr>
              <w:t>Необязательный элемент. В документе может содержаться несколько элементов.</w:t>
            </w:r>
          </w:p>
          <w:p w14:paraId="112E9EC6" w14:textId="77777777" w:rsidR="00F11A8B" w:rsidRPr="006F6DAC" w:rsidRDefault="00F11A8B" w:rsidP="00F11A8B">
            <w:pPr>
              <w:ind w:right="67"/>
              <w:jc w:val="both"/>
              <w:rPr>
                <w:rFonts w:ascii="Garamond" w:eastAsia="Calibri" w:hAnsi="Garamond"/>
                <w:sz w:val="22"/>
                <w:szCs w:val="22"/>
              </w:rPr>
            </w:pPr>
            <w:r w:rsidRPr="006F6DAC">
              <w:rPr>
                <w:rFonts w:ascii="Garamond" w:eastAsia="Calibri" w:hAnsi="Garamond"/>
                <w:sz w:val="22"/>
                <w:szCs w:val="22"/>
              </w:rPr>
              <w:t xml:space="preserve">Содержит атрибуты: </w:t>
            </w:r>
          </w:p>
          <w:p w14:paraId="448DD511" w14:textId="77777777" w:rsidR="00F11A8B" w:rsidRPr="006F6DAC" w:rsidRDefault="00F11A8B" w:rsidP="00F11A8B">
            <w:pPr>
              <w:pStyle w:val="ac"/>
              <w:numPr>
                <w:ilvl w:val="0"/>
                <w:numId w:val="246"/>
              </w:numPr>
              <w:ind w:right="67"/>
              <w:contextualSpacing/>
              <w:jc w:val="both"/>
              <w:rPr>
                <w:rFonts w:ascii="Garamond" w:eastAsia="Calibri" w:hAnsi="Garamond"/>
                <w:sz w:val="22"/>
                <w:szCs w:val="22"/>
              </w:rPr>
            </w:pPr>
            <w:r w:rsidRPr="006F6DAC">
              <w:rPr>
                <w:rFonts w:ascii="Garamond" w:hAnsi="Garamond"/>
                <w:sz w:val="22"/>
                <w:szCs w:val="22"/>
                <w:lang w:val="en-US"/>
              </w:rPr>
              <w:t>delivery</w:t>
            </w:r>
            <w:r w:rsidRPr="006F6DAC">
              <w:rPr>
                <w:rFonts w:ascii="Garamond" w:hAnsi="Garamond"/>
                <w:sz w:val="22"/>
                <w:szCs w:val="22"/>
              </w:rPr>
              <w:t>-</w:t>
            </w:r>
            <w:r w:rsidRPr="006F6DAC">
              <w:rPr>
                <w:rFonts w:ascii="Garamond" w:hAnsi="Garamond"/>
                <w:sz w:val="22"/>
                <w:szCs w:val="22"/>
                <w:lang w:val="en-US"/>
              </w:rPr>
              <w:t>point</w:t>
            </w:r>
            <w:r w:rsidRPr="006F6DAC">
              <w:rPr>
                <w:rFonts w:ascii="Garamond" w:hAnsi="Garamond"/>
                <w:sz w:val="22"/>
                <w:szCs w:val="22"/>
              </w:rPr>
              <w:t>-</w:t>
            </w:r>
            <w:r w:rsidRPr="006F6DAC">
              <w:rPr>
                <w:rFonts w:ascii="Garamond" w:hAnsi="Garamond"/>
                <w:sz w:val="22"/>
                <w:szCs w:val="22"/>
                <w:lang w:val="en-US"/>
              </w:rPr>
              <w:t>code</w:t>
            </w:r>
            <w:r w:rsidRPr="006F6DAC">
              <w:rPr>
                <w:rFonts w:ascii="Garamond" w:eastAsia="Calibri" w:hAnsi="Garamond"/>
                <w:sz w:val="22"/>
                <w:szCs w:val="22"/>
              </w:rPr>
              <w:t xml:space="preserve"> – код АТС точки </w:t>
            </w:r>
            <w:r w:rsidRPr="006F6DAC">
              <w:rPr>
                <w:rFonts w:ascii="Garamond" w:eastAsia="Calibri" w:hAnsi="Garamond"/>
                <w:sz w:val="22"/>
                <w:szCs w:val="22"/>
                <w:highlight w:val="yellow"/>
              </w:rPr>
              <w:t>присоединения</w:t>
            </w:r>
            <w:r w:rsidRPr="006F6DAC">
              <w:rPr>
                <w:rFonts w:ascii="Garamond" w:eastAsia="Calibri" w:hAnsi="Garamond"/>
                <w:sz w:val="22"/>
                <w:szCs w:val="22"/>
              </w:rPr>
              <w:t>. Должно содержаться в элементе &lt;dictionaries&gt;. Является обязательным атрибутом;</w:t>
            </w:r>
          </w:p>
          <w:p w14:paraId="1033BD6D" w14:textId="77777777" w:rsidR="00F11A8B" w:rsidRPr="006F6DAC" w:rsidRDefault="00F11A8B" w:rsidP="00F11A8B">
            <w:pPr>
              <w:pStyle w:val="ac"/>
              <w:numPr>
                <w:ilvl w:val="0"/>
                <w:numId w:val="246"/>
              </w:numPr>
              <w:ind w:right="67"/>
              <w:contextualSpacing/>
              <w:jc w:val="both"/>
              <w:rPr>
                <w:rFonts w:ascii="Garamond" w:eastAsia="Calibri" w:hAnsi="Garamond"/>
                <w:sz w:val="22"/>
                <w:szCs w:val="22"/>
              </w:rPr>
            </w:pPr>
            <w:r w:rsidRPr="006F6DAC">
              <w:rPr>
                <w:rFonts w:ascii="Garamond" w:hAnsi="Garamond"/>
                <w:sz w:val="22"/>
                <w:szCs w:val="22"/>
                <w:lang w:val="en-US"/>
              </w:rPr>
              <w:t>algorithm</w:t>
            </w:r>
            <w:r w:rsidRPr="006F6DAC">
              <w:rPr>
                <w:rFonts w:ascii="Garamond" w:hAnsi="Garamond"/>
                <w:sz w:val="22"/>
                <w:szCs w:val="22"/>
              </w:rPr>
              <w:t>-</w:t>
            </w:r>
            <w:r w:rsidRPr="006F6DAC">
              <w:rPr>
                <w:rFonts w:ascii="Garamond" w:hAnsi="Garamond"/>
                <w:sz w:val="22"/>
                <w:szCs w:val="22"/>
                <w:lang w:val="en-US"/>
              </w:rPr>
              <w:t>version</w:t>
            </w:r>
            <w:r w:rsidRPr="006F6DAC">
              <w:rPr>
                <w:rFonts w:ascii="Garamond" w:eastAsia="Calibri" w:hAnsi="Garamond"/>
                <w:sz w:val="22"/>
                <w:szCs w:val="22"/>
              </w:rPr>
              <w:t xml:space="preserve"> – номер версии алгоритма, присвоенный КО. Число до 20 знаков. Является обязательным атрибутом;</w:t>
            </w:r>
          </w:p>
          <w:p w14:paraId="2BF6C6AE" w14:textId="41A916D4" w:rsidR="00F11A8B" w:rsidRPr="006F6DAC" w:rsidRDefault="00F11A8B" w:rsidP="00F11A8B">
            <w:pPr>
              <w:pStyle w:val="ac"/>
              <w:numPr>
                <w:ilvl w:val="0"/>
                <w:numId w:val="246"/>
              </w:numPr>
              <w:ind w:right="67"/>
              <w:contextualSpacing/>
              <w:jc w:val="both"/>
              <w:rPr>
                <w:rFonts w:ascii="Garamond" w:eastAsia="Calibri" w:hAnsi="Garamond"/>
                <w:sz w:val="22"/>
                <w:szCs w:val="22"/>
              </w:rPr>
            </w:pPr>
            <w:r w:rsidRPr="006F6DAC">
              <w:rPr>
                <w:rFonts w:ascii="Garamond" w:hAnsi="Garamond"/>
                <w:sz w:val="22"/>
                <w:szCs w:val="22"/>
                <w:lang w:val="en-US"/>
              </w:rPr>
              <w:lastRenderedPageBreak/>
              <w:t>channel</w:t>
            </w:r>
            <w:r w:rsidRPr="006F6DAC">
              <w:rPr>
                <w:rFonts w:ascii="Garamond" w:hAnsi="Garamond"/>
                <w:sz w:val="22"/>
                <w:szCs w:val="22"/>
              </w:rPr>
              <w:t>-</w:t>
            </w:r>
            <w:r w:rsidRPr="006F6DAC">
              <w:rPr>
                <w:rFonts w:ascii="Garamond" w:hAnsi="Garamond"/>
                <w:sz w:val="22"/>
                <w:szCs w:val="22"/>
                <w:lang w:val="en-US"/>
              </w:rPr>
              <w:t>code</w:t>
            </w:r>
            <w:r w:rsidRPr="006F6DAC">
              <w:rPr>
                <w:rFonts w:ascii="Garamond" w:eastAsia="Calibri" w:hAnsi="Garamond"/>
                <w:sz w:val="22"/>
                <w:szCs w:val="22"/>
              </w:rPr>
              <w:t xml:space="preserve"> – уникальный код, присвоенный КО каналу точки</w:t>
            </w:r>
            <w:r w:rsidR="009B5F03" w:rsidRPr="006F6DAC">
              <w:rPr>
                <w:rFonts w:ascii="Garamond" w:eastAsia="Calibri" w:hAnsi="Garamond"/>
                <w:sz w:val="22"/>
                <w:szCs w:val="22"/>
              </w:rPr>
              <w:t xml:space="preserve"> </w:t>
            </w:r>
            <w:r w:rsidRPr="006F6DAC">
              <w:rPr>
                <w:rFonts w:ascii="Garamond" w:eastAsia="Calibri" w:hAnsi="Garamond"/>
                <w:sz w:val="22"/>
                <w:szCs w:val="22"/>
                <w:highlight w:val="yellow"/>
              </w:rPr>
              <w:t>присоединения</w:t>
            </w:r>
            <w:r w:rsidRPr="006F6DAC">
              <w:rPr>
                <w:rFonts w:ascii="Garamond" w:eastAsia="Calibri" w:hAnsi="Garamond"/>
                <w:sz w:val="22"/>
                <w:szCs w:val="22"/>
              </w:rPr>
              <w:t>. Число из двух знаков. Является обязательным атрибутом;</w:t>
            </w:r>
          </w:p>
          <w:p w14:paraId="3530D103" w14:textId="77777777" w:rsidR="00F11A8B" w:rsidRPr="006F6DAC" w:rsidRDefault="00F11A8B" w:rsidP="00F11A8B">
            <w:pPr>
              <w:pStyle w:val="ac"/>
              <w:numPr>
                <w:ilvl w:val="0"/>
                <w:numId w:val="246"/>
              </w:numPr>
              <w:ind w:right="67"/>
              <w:contextualSpacing/>
              <w:jc w:val="both"/>
              <w:rPr>
                <w:rFonts w:ascii="Garamond" w:hAnsi="Garamond"/>
                <w:b/>
                <w:i/>
                <w:sz w:val="22"/>
                <w:szCs w:val="22"/>
              </w:rPr>
            </w:pPr>
            <w:r w:rsidRPr="006F6DAC">
              <w:rPr>
                <w:rFonts w:ascii="Garamond" w:hAnsi="Garamond"/>
                <w:sz w:val="22"/>
                <w:szCs w:val="22"/>
                <w:lang w:val="en-US"/>
              </w:rPr>
              <w:t>period</w:t>
            </w:r>
            <w:r w:rsidRPr="006F6DAC">
              <w:rPr>
                <w:rFonts w:ascii="Garamond" w:hAnsi="Garamond"/>
                <w:sz w:val="22"/>
                <w:szCs w:val="22"/>
              </w:rPr>
              <w:t xml:space="preserve"> –</w:t>
            </w:r>
            <w:r w:rsidRPr="006F6DAC">
              <w:rPr>
                <w:rFonts w:ascii="Garamond" w:eastAsia="Calibri" w:hAnsi="Garamond"/>
                <w:sz w:val="22"/>
                <w:szCs w:val="22"/>
              </w:rPr>
              <w:t xml:space="preserve"> содержит информацию о периоде (скважности) точки. Если значение 30 – скважность получасовая, если значение 60 – скважность часовая.</w:t>
            </w:r>
          </w:p>
        </w:tc>
      </w:tr>
      <w:tr w:rsidR="00F11A8B" w:rsidRPr="006F6DAC" w14:paraId="1E4052E0" w14:textId="77777777" w:rsidTr="006F6DAC">
        <w:tc>
          <w:tcPr>
            <w:tcW w:w="1060" w:type="dxa"/>
          </w:tcPr>
          <w:p w14:paraId="21C0B5BC" w14:textId="00E3B7EB" w:rsidR="00F11A8B" w:rsidRPr="006F6DAC" w:rsidRDefault="00F11A8B" w:rsidP="00F11A8B">
            <w:pPr>
              <w:widowControl w:val="0"/>
              <w:spacing w:line="259" w:lineRule="auto"/>
              <w:jc w:val="center"/>
              <w:rPr>
                <w:rFonts w:ascii="Garamond" w:hAnsi="Garamond"/>
                <w:b/>
                <w:sz w:val="22"/>
                <w:szCs w:val="22"/>
                <w:lang w:eastAsia="en-US"/>
              </w:rPr>
            </w:pPr>
            <w:r w:rsidRPr="006F6DAC">
              <w:rPr>
                <w:rFonts w:ascii="Garamond" w:hAnsi="Garamond"/>
                <w:b/>
                <w:sz w:val="22"/>
                <w:szCs w:val="22"/>
                <w:lang w:eastAsia="en-US"/>
              </w:rPr>
              <w:lastRenderedPageBreak/>
              <w:t>Приложение 8, п.</w:t>
            </w:r>
            <w:r w:rsidR="007A00C5">
              <w:rPr>
                <w:rFonts w:ascii="Garamond" w:hAnsi="Garamond"/>
                <w:b/>
                <w:sz w:val="22"/>
                <w:szCs w:val="22"/>
                <w:lang w:eastAsia="en-US"/>
              </w:rPr>
              <w:t xml:space="preserve"> </w:t>
            </w:r>
            <w:r w:rsidRPr="006F6DAC">
              <w:rPr>
                <w:rFonts w:ascii="Garamond" w:hAnsi="Garamond"/>
                <w:b/>
                <w:sz w:val="22"/>
                <w:szCs w:val="22"/>
                <w:lang w:eastAsia="en-US"/>
              </w:rPr>
              <w:t>2.</w:t>
            </w:r>
            <w:r w:rsidRPr="006F6DAC">
              <w:rPr>
                <w:rFonts w:ascii="Garamond" w:hAnsi="Garamond"/>
                <w:b/>
                <w:sz w:val="22"/>
                <w:szCs w:val="22"/>
                <w:lang w:val="en-US" w:eastAsia="en-US"/>
              </w:rPr>
              <w:t>4</w:t>
            </w:r>
            <w:r w:rsidRPr="006F6DAC">
              <w:rPr>
                <w:rFonts w:ascii="Garamond" w:hAnsi="Garamond"/>
                <w:b/>
                <w:sz w:val="22"/>
                <w:szCs w:val="22"/>
                <w:lang w:eastAsia="en-US"/>
              </w:rPr>
              <w:t>.1.4</w:t>
            </w:r>
          </w:p>
        </w:tc>
        <w:tc>
          <w:tcPr>
            <w:tcW w:w="6804" w:type="dxa"/>
          </w:tcPr>
          <w:p w14:paraId="7908AFAE" w14:textId="77777777" w:rsidR="00F11A8B" w:rsidRPr="006F6DAC" w:rsidRDefault="00F11A8B" w:rsidP="00F11A8B">
            <w:pPr>
              <w:pStyle w:val="40"/>
              <w:keepLines/>
              <w:numPr>
                <w:ilvl w:val="0"/>
                <w:numId w:val="0"/>
              </w:numPr>
              <w:suppressAutoHyphens w:val="0"/>
              <w:spacing w:line="259" w:lineRule="auto"/>
              <w:jc w:val="both"/>
              <w:rPr>
                <w:rFonts w:ascii="Garamond" w:hAnsi="Garamond"/>
                <w:b w:val="0"/>
                <w:i/>
                <w:sz w:val="22"/>
                <w:szCs w:val="22"/>
              </w:rPr>
            </w:pPr>
            <w:r w:rsidRPr="006F6DAC">
              <w:rPr>
                <w:rFonts w:ascii="Garamond" w:hAnsi="Garamond"/>
                <w:b w:val="0"/>
                <w:i/>
                <w:sz w:val="22"/>
                <w:szCs w:val="22"/>
              </w:rPr>
              <w:t>&lt;</w:t>
            </w:r>
            <w:r w:rsidRPr="006F6DAC">
              <w:rPr>
                <w:rFonts w:ascii="Garamond" w:hAnsi="Garamond"/>
                <w:b w:val="0"/>
                <w:i/>
                <w:sz w:val="22"/>
                <w:szCs w:val="22"/>
                <w:lang w:val="en-US"/>
              </w:rPr>
              <w:t>measuring</w:t>
            </w:r>
            <w:r w:rsidRPr="006F6DAC">
              <w:rPr>
                <w:rFonts w:ascii="Garamond" w:hAnsi="Garamond"/>
                <w:b w:val="0"/>
                <w:i/>
                <w:sz w:val="22"/>
                <w:szCs w:val="22"/>
              </w:rPr>
              <w:t>-</w:t>
            </w:r>
            <w:r w:rsidRPr="006F6DAC">
              <w:rPr>
                <w:rFonts w:ascii="Garamond" w:hAnsi="Garamond"/>
                <w:b w:val="0"/>
                <w:i/>
                <w:sz w:val="22"/>
                <w:szCs w:val="22"/>
                <w:lang w:val="en-US"/>
              </w:rPr>
              <w:t>objects</w:t>
            </w:r>
            <w:r w:rsidRPr="006F6DAC">
              <w:rPr>
                <w:rFonts w:ascii="Garamond" w:hAnsi="Garamond"/>
                <w:b w:val="0"/>
                <w:i/>
                <w:sz w:val="22"/>
                <w:szCs w:val="22"/>
              </w:rPr>
              <w:t>-</w:t>
            </w:r>
            <w:r w:rsidRPr="006F6DAC">
              <w:rPr>
                <w:rFonts w:ascii="Garamond" w:hAnsi="Garamond"/>
                <w:b w:val="0"/>
                <w:i/>
                <w:sz w:val="22"/>
                <w:szCs w:val="22"/>
                <w:lang w:val="en-US"/>
              </w:rPr>
              <w:t>list</w:t>
            </w:r>
            <w:r w:rsidRPr="006F6DAC">
              <w:rPr>
                <w:rFonts w:ascii="Garamond" w:hAnsi="Garamond"/>
                <w:b w:val="0"/>
                <w:i/>
                <w:sz w:val="22"/>
                <w:szCs w:val="22"/>
              </w:rPr>
              <w:t>&gt;</w:t>
            </w:r>
          </w:p>
          <w:p w14:paraId="5D48A3DD" w14:textId="77777777" w:rsidR="00F11A8B" w:rsidRPr="006F6DAC" w:rsidRDefault="00F11A8B" w:rsidP="00F11A8B">
            <w:pPr>
              <w:jc w:val="both"/>
              <w:rPr>
                <w:rFonts w:ascii="Garamond" w:eastAsia="Calibri" w:hAnsi="Garamond"/>
                <w:sz w:val="22"/>
                <w:szCs w:val="22"/>
              </w:rPr>
            </w:pPr>
            <w:r w:rsidRPr="006F6DAC">
              <w:rPr>
                <w:rFonts w:ascii="Garamond" w:eastAsia="Calibri" w:hAnsi="Garamond"/>
                <w:sz w:val="22"/>
                <w:szCs w:val="22"/>
              </w:rPr>
              <w:t>Элемент &lt;</w:t>
            </w:r>
            <w:r w:rsidRPr="006F6DAC">
              <w:rPr>
                <w:rFonts w:ascii="Garamond" w:eastAsia="Calibri" w:hAnsi="Garamond"/>
                <w:bCs/>
                <w:sz w:val="22"/>
                <w:szCs w:val="22"/>
              </w:rPr>
              <w:t>measuring-object-</w:t>
            </w:r>
            <w:r w:rsidRPr="006F6DAC">
              <w:rPr>
                <w:rFonts w:ascii="Garamond" w:eastAsia="Calibri" w:hAnsi="Garamond"/>
                <w:bCs/>
                <w:sz w:val="22"/>
                <w:szCs w:val="22"/>
                <w:lang w:val="en-US"/>
              </w:rPr>
              <w:t>list</w:t>
            </w:r>
            <w:r w:rsidRPr="006F6DAC">
              <w:rPr>
                <w:rFonts w:ascii="Garamond" w:eastAsia="Calibri" w:hAnsi="Garamond"/>
                <w:sz w:val="22"/>
                <w:szCs w:val="22"/>
              </w:rPr>
              <w:t>&gt; содержит информацию об объектах измерени</w:t>
            </w:r>
            <w:r w:rsidRPr="006F6DAC">
              <w:rPr>
                <w:rFonts w:ascii="Garamond" w:eastAsia="Calibri" w:hAnsi="Garamond"/>
                <w:sz w:val="22"/>
                <w:szCs w:val="22"/>
                <w:highlight w:val="yellow"/>
              </w:rPr>
              <w:t>я</w:t>
            </w:r>
            <w:r w:rsidRPr="006F6DAC">
              <w:rPr>
                <w:rFonts w:ascii="Garamond" w:eastAsia="Calibri" w:hAnsi="Garamond"/>
                <w:sz w:val="22"/>
                <w:szCs w:val="22"/>
              </w:rPr>
              <w:t>, входящих в состав группы поставки.</w:t>
            </w:r>
          </w:p>
          <w:p w14:paraId="46C346A7" w14:textId="77777777" w:rsidR="00F11A8B" w:rsidRPr="006F6DAC" w:rsidRDefault="00F11A8B" w:rsidP="00F11A8B">
            <w:pPr>
              <w:jc w:val="both"/>
              <w:rPr>
                <w:rFonts w:ascii="Garamond" w:hAnsi="Garamond"/>
                <w:sz w:val="22"/>
                <w:szCs w:val="22"/>
              </w:rPr>
            </w:pPr>
            <w:r w:rsidRPr="006F6DAC">
              <w:rPr>
                <w:rFonts w:ascii="Garamond" w:eastAsia="Calibri" w:hAnsi="Garamond"/>
                <w:sz w:val="22"/>
                <w:szCs w:val="22"/>
              </w:rPr>
              <w:t>Необязательный элемент. В документе может содержаться только один элемент.</w:t>
            </w:r>
          </w:p>
          <w:p w14:paraId="4C7A47B0" w14:textId="77777777" w:rsidR="00F11A8B" w:rsidRPr="006F6DAC" w:rsidRDefault="00F11A8B" w:rsidP="00F11A8B">
            <w:pPr>
              <w:pStyle w:val="40"/>
              <w:keepLines/>
              <w:numPr>
                <w:ilvl w:val="0"/>
                <w:numId w:val="0"/>
              </w:numPr>
              <w:suppressAutoHyphens w:val="0"/>
              <w:spacing w:line="259" w:lineRule="auto"/>
              <w:jc w:val="both"/>
              <w:rPr>
                <w:rFonts w:ascii="Garamond" w:hAnsi="Garamond"/>
                <w:b w:val="0"/>
                <w:i/>
                <w:sz w:val="22"/>
                <w:szCs w:val="22"/>
              </w:rPr>
            </w:pPr>
            <w:r w:rsidRPr="006F6DAC">
              <w:rPr>
                <w:rFonts w:ascii="Garamond" w:hAnsi="Garamond"/>
                <w:b w:val="0"/>
                <w:sz w:val="22"/>
                <w:szCs w:val="22"/>
              </w:rPr>
              <w:t>Дочерними элементами являются: &lt;</w:t>
            </w:r>
            <w:r w:rsidRPr="006F6DAC">
              <w:rPr>
                <w:rFonts w:ascii="Garamond" w:hAnsi="Garamond"/>
                <w:b w:val="0"/>
                <w:sz w:val="22"/>
                <w:szCs w:val="22"/>
                <w:lang w:val="en-US"/>
              </w:rPr>
              <w:t>measuring</w:t>
            </w:r>
            <w:r w:rsidRPr="006F6DAC">
              <w:rPr>
                <w:rFonts w:ascii="Garamond" w:hAnsi="Garamond"/>
                <w:b w:val="0"/>
                <w:sz w:val="22"/>
                <w:szCs w:val="22"/>
              </w:rPr>
              <w:t>-</w:t>
            </w:r>
            <w:r w:rsidRPr="006F6DAC">
              <w:rPr>
                <w:rFonts w:ascii="Garamond" w:hAnsi="Garamond"/>
                <w:b w:val="0"/>
                <w:sz w:val="22"/>
                <w:szCs w:val="22"/>
                <w:lang w:val="en-US"/>
              </w:rPr>
              <w:t>object</w:t>
            </w:r>
            <w:r w:rsidRPr="006F6DAC">
              <w:rPr>
                <w:rFonts w:ascii="Garamond" w:hAnsi="Garamond"/>
                <w:b w:val="0"/>
                <w:sz w:val="22"/>
                <w:szCs w:val="22"/>
              </w:rPr>
              <w:t>&gt;</w:t>
            </w:r>
          </w:p>
        </w:tc>
        <w:tc>
          <w:tcPr>
            <w:tcW w:w="7115" w:type="dxa"/>
          </w:tcPr>
          <w:p w14:paraId="0A1D0EAC" w14:textId="77777777" w:rsidR="00F11A8B" w:rsidRPr="006F6DAC" w:rsidRDefault="00F11A8B" w:rsidP="00F11A8B">
            <w:pPr>
              <w:pStyle w:val="40"/>
              <w:keepLines/>
              <w:numPr>
                <w:ilvl w:val="0"/>
                <w:numId w:val="0"/>
              </w:numPr>
              <w:suppressAutoHyphens w:val="0"/>
              <w:spacing w:line="259" w:lineRule="auto"/>
              <w:jc w:val="both"/>
              <w:rPr>
                <w:rFonts w:ascii="Garamond" w:hAnsi="Garamond"/>
                <w:b w:val="0"/>
                <w:i/>
                <w:sz w:val="22"/>
                <w:szCs w:val="22"/>
              </w:rPr>
            </w:pPr>
            <w:bookmarkStart w:id="94" w:name="e_EF5130C4D80D4E9180AD167EACA366F5"/>
            <w:r w:rsidRPr="006F6DAC">
              <w:rPr>
                <w:rFonts w:ascii="Garamond" w:hAnsi="Garamond"/>
                <w:b w:val="0"/>
                <w:i/>
                <w:sz w:val="22"/>
                <w:szCs w:val="22"/>
              </w:rPr>
              <w:t>&lt;</w:t>
            </w:r>
            <w:r w:rsidRPr="006F6DAC">
              <w:rPr>
                <w:rFonts w:ascii="Garamond" w:hAnsi="Garamond"/>
                <w:b w:val="0"/>
                <w:i/>
                <w:sz w:val="22"/>
                <w:szCs w:val="22"/>
                <w:lang w:val="en-US"/>
              </w:rPr>
              <w:t>measuring</w:t>
            </w:r>
            <w:r w:rsidRPr="006F6DAC">
              <w:rPr>
                <w:rFonts w:ascii="Garamond" w:hAnsi="Garamond"/>
                <w:b w:val="0"/>
                <w:i/>
                <w:sz w:val="22"/>
                <w:szCs w:val="22"/>
              </w:rPr>
              <w:t>-</w:t>
            </w:r>
            <w:r w:rsidRPr="006F6DAC">
              <w:rPr>
                <w:rFonts w:ascii="Garamond" w:hAnsi="Garamond"/>
                <w:b w:val="0"/>
                <w:i/>
                <w:sz w:val="22"/>
                <w:szCs w:val="22"/>
                <w:lang w:val="en-US"/>
              </w:rPr>
              <w:t>objects</w:t>
            </w:r>
            <w:r w:rsidRPr="006F6DAC">
              <w:rPr>
                <w:rFonts w:ascii="Garamond" w:hAnsi="Garamond"/>
                <w:b w:val="0"/>
                <w:i/>
                <w:sz w:val="22"/>
                <w:szCs w:val="22"/>
              </w:rPr>
              <w:t>-</w:t>
            </w:r>
            <w:r w:rsidRPr="006F6DAC">
              <w:rPr>
                <w:rFonts w:ascii="Garamond" w:hAnsi="Garamond"/>
                <w:b w:val="0"/>
                <w:i/>
                <w:sz w:val="22"/>
                <w:szCs w:val="22"/>
                <w:lang w:val="en-US"/>
              </w:rPr>
              <w:t>list</w:t>
            </w:r>
            <w:r w:rsidRPr="006F6DAC">
              <w:rPr>
                <w:rFonts w:ascii="Garamond" w:hAnsi="Garamond"/>
                <w:b w:val="0"/>
                <w:i/>
                <w:sz w:val="22"/>
                <w:szCs w:val="22"/>
              </w:rPr>
              <w:t>&gt;</w:t>
            </w:r>
            <w:bookmarkEnd w:id="94"/>
          </w:p>
          <w:p w14:paraId="17C886E6" w14:textId="77777777" w:rsidR="00F11A8B" w:rsidRPr="006F6DAC" w:rsidRDefault="00F11A8B" w:rsidP="00F11A8B">
            <w:pPr>
              <w:jc w:val="both"/>
              <w:rPr>
                <w:rFonts w:ascii="Garamond" w:eastAsia="Calibri" w:hAnsi="Garamond"/>
                <w:sz w:val="22"/>
                <w:szCs w:val="22"/>
              </w:rPr>
            </w:pPr>
            <w:r w:rsidRPr="006F6DAC">
              <w:rPr>
                <w:rFonts w:ascii="Garamond" w:eastAsia="Calibri" w:hAnsi="Garamond"/>
                <w:sz w:val="22"/>
                <w:szCs w:val="22"/>
              </w:rPr>
              <w:t>Элемент &lt;</w:t>
            </w:r>
            <w:r w:rsidRPr="006F6DAC">
              <w:rPr>
                <w:rFonts w:ascii="Garamond" w:eastAsia="Calibri" w:hAnsi="Garamond"/>
                <w:bCs/>
                <w:sz w:val="22"/>
                <w:szCs w:val="22"/>
              </w:rPr>
              <w:t>measuring-object-</w:t>
            </w:r>
            <w:r w:rsidRPr="006F6DAC">
              <w:rPr>
                <w:rFonts w:ascii="Garamond" w:eastAsia="Calibri" w:hAnsi="Garamond"/>
                <w:bCs/>
                <w:sz w:val="22"/>
                <w:szCs w:val="22"/>
                <w:lang w:val="en-US"/>
              </w:rPr>
              <w:t>list</w:t>
            </w:r>
            <w:r w:rsidRPr="006F6DAC">
              <w:rPr>
                <w:rFonts w:ascii="Garamond" w:eastAsia="Calibri" w:hAnsi="Garamond"/>
                <w:sz w:val="22"/>
                <w:szCs w:val="22"/>
              </w:rPr>
              <w:t>&gt; содержит информацию об объектах измерени</w:t>
            </w:r>
            <w:r w:rsidRPr="006F6DAC">
              <w:rPr>
                <w:rFonts w:ascii="Garamond" w:eastAsia="Calibri" w:hAnsi="Garamond"/>
                <w:sz w:val="22"/>
                <w:szCs w:val="22"/>
                <w:highlight w:val="yellow"/>
              </w:rPr>
              <w:t>й</w:t>
            </w:r>
            <w:r w:rsidRPr="006F6DAC">
              <w:rPr>
                <w:rFonts w:ascii="Garamond" w:eastAsia="Calibri" w:hAnsi="Garamond"/>
                <w:sz w:val="22"/>
                <w:szCs w:val="22"/>
              </w:rPr>
              <w:t>, входящих в состав группы поставки.</w:t>
            </w:r>
          </w:p>
          <w:p w14:paraId="02EBD1B1" w14:textId="77777777" w:rsidR="00F11A8B" w:rsidRPr="006F6DAC" w:rsidRDefault="00F11A8B" w:rsidP="00F11A8B">
            <w:pPr>
              <w:jc w:val="both"/>
              <w:rPr>
                <w:rFonts w:ascii="Garamond" w:hAnsi="Garamond"/>
                <w:sz w:val="22"/>
                <w:szCs w:val="22"/>
              </w:rPr>
            </w:pPr>
            <w:r w:rsidRPr="006F6DAC">
              <w:rPr>
                <w:rFonts w:ascii="Garamond" w:eastAsia="Calibri" w:hAnsi="Garamond"/>
                <w:sz w:val="22"/>
                <w:szCs w:val="22"/>
              </w:rPr>
              <w:t>Необязательный элемент. В документе может содержаться только один элемент.</w:t>
            </w:r>
          </w:p>
          <w:p w14:paraId="2BD82641" w14:textId="77777777" w:rsidR="00F11A8B" w:rsidRPr="006F6DAC" w:rsidRDefault="00F11A8B" w:rsidP="00F11A8B">
            <w:pPr>
              <w:pStyle w:val="40"/>
              <w:keepLines/>
              <w:numPr>
                <w:ilvl w:val="0"/>
                <w:numId w:val="0"/>
              </w:numPr>
              <w:suppressAutoHyphens w:val="0"/>
              <w:spacing w:line="259" w:lineRule="auto"/>
              <w:jc w:val="both"/>
              <w:rPr>
                <w:rFonts w:ascii="Garamond" w:hAnsi="Garamond"/>
                <w:b w:val="0"/>
                <w:i/>
                <w:sz w:val="22"/>
                <w:szCs w:val="22"/>
              </w:rPr>
            </w:pPr>
            <w:r w:rsidRPr="006F6DAC">
              <w:rPr>
                <w:rFonts w:ascii="Garamond" w:hAnsi="Garamond"/>
                <w:b w:val="0"/>
                <w:sz w:val="22"/>
                <w:szCs w:val="22"/>
              </w:rPr>
              <w:t>Дочерними элементами являются: &lt;</w:t>
            </w:r>
            <w:r w:rsidRPr="006F6DAC">
              <w:rPr>
                <w:rFonts w:ascii="Garamond" w:hAnsi="Garamond"/>
                <w:b w:val="0"/>
                <w:sz w:val="22"/>
                <w:szCs w:val="22"/>
                <w:lang w:val="en-US"/>
              </w:rPr>
              <w:t>measuring</w:t>
            </w:r>
            <w:r w:rsidRPr="006F6DAC">
              <w:rPr>
                <w:rFonts w:ascii="Garamond" w:hAnsi="Garamond"/>
                <w:b w:val="0"/>
                <w:sz w:val="22"/>
                <w:szCs w:val="22"/>
              </w:rPr>
              <w:t>-</w:t>
            </w:r>
            <w:r w:rsidRPr="006F6DAC">
              <w:rPr>
                <w:rFonts w:ascii="Garamond" w:hAnsi="Garamond"/>
                <w:b w:val="0"/>
                <w:sz w:val="22"/>
                <w:szCs w:val="22"/>
                <w:lang w:val="en-US"/>
              </w:rPr>
              <w:t>object</w:t>
            </w:r>
            <w:r w:rsidRPr="006F6DAC">
              <w:rPr>
                <w:rFonts w:ascii="Garamond" w:hAnsi="Garamond"/>
                <w:b w:val="0"/>
                <w:sz w:val="22"/>
                <w:szCs w:val="22"/>
              </w:rPr>
              <w:t>&gt;</w:t>
            </w:r>
            <w:r w:rsidRPr="006F6DAC">
              <w:rPr>
                <w:rFonts w:ascii="Garamond" w:hAnsi="Garamond"/>
                <w:b w:val="0"/>
                <w:sz w:val="22"/>
                <w:szCs w:val="22"/>
                <w:highlight w:val="yellow"/>
              </w:rPr>
              <w:t>.</w:t>
            </w:r>
          </w:p>
        </w:tc>
      </w:tr>
      <w:tr w:rsidR="00F11A8B" w:rsidRPr="006F6DAC" w14:paraId="446E4C10" w14:textId="77777777" w:rsidTr="006F6DAC">
        <w:tc>
          <w:tcPr>
            <w:tcW w:w="1060" w:type="dxa"/>
          </w:tcPr>
          <w:p w14:paraId="24B81BE4" w14:textId="4D1AEF97" w:rsidR="00F11A8B" w:rsidRPr="006F6DAC" w:rsidRDefault="00F11A8B" w:rsidP="00F11A8B">
            <w:pPr>
              <w:widowControl w:val="0"/>
              <w:spacing w:line="259" w:lineRule="auto"/>
              <w:jc w:val="center"/>
              <w:rPr>
                <w:rFonts w:ascii="Garamond" w:hAnsi="Garamond"/>
                <w:b/>
                <w:sz w:val="22"/>
                <w:szCs w:val="22"/>
                <w:lang w:eastAsia="en-US"/>
              </w:rPr>
            </w:pPr>
            <w:r w:rsidRPr="006F6DAC">
              <w:rPr>
                <w:rFonts w:ascii="Garamond" w:hAnsi="Garamond"/>
                <w:b/>
                <w:sz w:val="22"/>
                <w:szCs w:val="22"/>
                <w:lang w:eastAsia="en-US"/>
              </w:rPr>
              <w:t>Приложение 8, п.</w:t>
            </w:r>
            <w:r w:rsidR="007A00C5">
              <w:rPr>
                <w:rFonts w:ascii="Garamond" w:hAnsi="Garamond"/>
                <w:b/>
                <w:sz w:val="22"/>
                <w:szCs w:val="22"/>
                <w:lang w:eastAsia="en-US"/>
              </w:rPr>
              <w:t xml:space="preserve"> </w:t>
            </w:r>
            <w:r w:rsidRPr="006F6DAC">
              <w:rPr>
                <w:rFonts w:ascii="Garamond" w:hAnsi="Garamond"/>
                <w:b/>
                <w:sz w:val="22"/>
                <w:szCs w:val="22"/>
                <w:lang w:eastAsia="en-US"/>
              </w:rPr>
              <w:t>2.</w:t>
            </w:r>
            <w:r w:rsidRPr="006F6DAC">
              <w:rPr>
                <w:rFonts w:ascii="Garamond" w:hAnsi="Garamond"/>
                <w:b/>
                <w:sz w:val="22"/>
                <w:szCs w:val="22"/>
                <w:lang w:val="en-US" w:eastAsia="en-US"/>
              </w:rPr>
              <w:t>4</w:t>
            </w:r>
            <w:r w:rsidRPr="006F6DAC">
              <w:rPr>
                <w:rFonts w:ascii="Garamond" w:hAnsi="Garamond"/>
                <w:b/>
                <w:sz w:val="22"/>
                <w:szCs w:val="22"/>
                <w:lang w:eastAsia="en-US"/>
              </w:rPr>
              <w:t>.1.4.1</w:t>
            </w:r>
          </w:p>
        </w:tc>
        <w:tc>
          <w:tcPr>
            <w:tcW w:w="6804" w:type="dxa"/>
          </w:tcPr>
          <w:p w14:paraId="4612BC5D" w14:textId="77777777" w:rsidR="00F11A8B" w:rsidRPr="006F6DAC" w:rsidRDefault="00F11A8B" w:rsidP="00F11A8B">
            <w:pPr>
              <w:pStyle w:val="5"/>
              <w:suppressAutoHyphens w:val="0"/>
              <w:spacing w:before="0" w:line="259" w:lineRule="auto"/>
              <w:jc w:val="both"/>
              <w:rPr>
                <w:rFonts w:ascii="Garamond" w:hAnsi="Garamond"/>
                <w:color w:val="auto"/>
                <w:sz w:val="22"/>
                <w:szCs w:val="22"/>
              </w:rPr>
            </w:pPr>
            <w:r w:rsidRPr="006F6DAC">
              <w:rPr>
                <w:rFonts w:ascii="Garamond" w:hAnsi="Garamond"/>
                <w:color w:val="auto"/>
                <w:sz w:val="22"/>
                <w:szCs w:val="22"/>
              </w:rPr>
              <w:t>&lt;measuring-object&gt;</w:t>
            </w:r>
          </w:p>
          <w:p w14:paraId="57D12103" w14:textId="77777777" w:rsidR="00F11A8B" w:rsidRPr="006F6DAC" w:rsidRDefault="00F11A8B" w:rsidP="00F11A8B">
            <w:pPr>
              <w:jc w:val="both"/>
              <w:rPr>
                <w:rFonts w:ascii="Garamond" w:eastAsia="Calibri" w:hAnsi="Garamond"/>
                <w:sz w:val="22"/>
                <w:szCs w:val="22"/>
              </w:rPr>
            </w:pPr>
            <w:r w:rsidRPr="006F6DAC">
              <w:rPr>
                <w:rFonts w:ascii="Garamond" w:eastAsia="Calibri" w:hAnsi="Garamond"/>
                <w:sz w:val="22"/>
                <w:szCs w:val="22"/>
              </w:rPr>
              <w:t>Элемент &lt;</w:t>
            </w:r>
            <w:r w:rsidRPr="006F6DAC">
              <w:rPr>
                <w:rFonts w:ascii="Garamond" w:eastAsia="Calibri" w:hAnsi="Garamond"/>
                <w:bCs/>
                <w:sz w:val="22"/>
                <w:szCs w:val="22"/>
              </w:rPr>
              <w:t>measuring-object</w:t>
            </w:r>
            <w:r w:rsidRPr="006F6DAC">
              <w:rPr>
                <w:rFonts w:ascii="Garamond" w:eastAsia="Calibri" w:hAnsi="Garamond"/>
                <w:sz w:val="22"/>
                <w:szCs w:val="22"/>
              </w:rPr>
              <w:t>&gt; содержит информацию об объекте измерени</w:t>
            </w:r>
            <w:r w:rsidRPr="006F6DAC">
              <w:rPr>
                <w:rFonts w:ascii="Garamond" w:eastAsia="Calibri" w:hAnsi="Garamond"/>
                <w:sz w:val="22"/>
                <w:szCs w:val="22"/>
                <w:highlight w:val="yellow"/>
              </w:rPr>
              <w:t>я</w:t>
            </w:r>
            <w:r w:rsidRPr="006F6DAC">
              <w:rPr>
                <w:rFonts w:ascii="Garamond" w:eastAsia="Calibri" w:hAnsi="Garamond"/>
                <w:sz w:val="22"/>
                <w:szCs w:val="22"/>
              </w:rPr>
              <w:t>, входящем в состав группы поставки.</w:t>
            </w:r>
          </w:p>
          <w:p w14:paraId="0CEC5925" w14:textId="77777777" w:rsidR="00F11A8B" w:rsidRPr="006F6DAC" w:rsidRDefault="00F11A8B" w:rsidP="00F11A8B">
            <w:pPr>
              <w:jc w:val="both"/>
              <w:rPr>
                <w:rFonts w:ascii="Garamond" w:eastAsia="Calibri" w:hAnsi="Garamond"/>
                <w:sz w:val="22"/>
                <w:szCs w:val="22"/>
              </w:rPr>
            </w:pPr>
            <w:r w:rsidRPr="006F6DAC">
              <w:rPr>
                <w:rFonts w:ascii="Garamond" w:eastAsia="Calibri" w:hAnsi="Garamond"/>
                <w:sz w:val="22"/>
                <w:szCs w:val="22"/>
              </w:rPr>
              <w:t>Необязательный элемент. В документе может содержаться несколько элементов.</w:t>
            </w:r>
          </w:p>
          <w:p w14:paraId="622486E1" w14:textId="77777777" w:rsidR="00F11A8B" w:rsidRPr="006F6DAC" w:rsidRDefault="00F11A8B" w:rsidP="00F11A8B">
            <w:pPr>
              <w:jc w:val="both"/>
              <w:rPr>
                <w:rFonts w:ascii="Garamond" w:eastAsia="Calibri" w:hAnsi="Garamond"/>
                <w:sz w:val="22"/>
                <w:szCs w:val="22"/>
              </w:rPr>
            </w:pPr>
            <w:r w:rsidRPr="006F6DAC">
              <w:rPr>
                <w:rFonts w:ascii="Garamond" w:eastAsia="Calibri" w:hAnsi="Garamond"/>
                <w:sz w:val="22"/>
                <w:szCs w:val="22"/>
              </w:rPr>
              <w:t xml:space="preserve">Содержит атрибуты: </w:t>
            </w:r>
          </w:p>
          <w:p w14:paraId="2E57468C" w14:textId="77777777" w:rsidR="00F11A8B" w:rsidRPr="006F6DAC" w:rsidRDefault="00F11A8B" w:rsidP="00F11A8B">
            <w:pPr>
              <w:pStyle w:val="ac"/>
              <w:numPr>
                <w:ilvl w:val="0"/>
                <w:numId w:val="246"/>
              </w:numPr>
              <w:ind w:right="67"/>
              <w:contextualSpacing/>
              <w:jc w:val="both"/>
              <w:rPr>
                <w:rFonts w:ascii="Garamond" w:hAnsi="Garamond"/>
                <w:b/>
                <w:i/>
                <w:sz w:val="22"/>
                <w:szCs w:val="22"/>
                <w:lang w:val="en-US"/>
              </w:rPr>
            </w:pPr>
            <w:r w:rsidRPr="006F6DAC">
              <w:rPr>
                <w:rFonts w:ascii="Garamond" w:hAnsi="Garamond"/>
                <w:sz w:val="22"/>
                <w:szCs w:val="22"/>
                <w:lang w:val="en-US"/>
              </w:rPr>
              <w:t>measuring</w:t>
            </w:r>
            <w:r w:rsidRPr="006F6DAC">
              <w:rPr>
                <w:rFonts w:ascii="Garamond" w:hAnsi="Garamond"/>
                <w:sz w:val="22"/>
                <w:szCs w:val="22"/>
              </w:rPr>
              <w:t>-</w:t>
            </w:r>
            <w:r w:rsidRPr="006F6DAC">
              <w:rPr>
                <w:rFonts w:ascii="Garamond" w:hAnsi="Garamond"/>
                <w:sz w:val="22"/>
                <w:szCs w:val="22"/>
                <w:lang w:val="en-US"/>
              </w:rPr>
              <w:t>object</w:t>
            </w:r>
            <w:r w:rsidRPr="006F6DAC">
              <w:rPr>
                <w:rFonts w:ascii="Garamond" w:hAnsi="Garamond"/>
                <w:sz w:val="22"/>
                <w:szCs w:val="22"/>
              </w:rPr>
              <w:t>-</w:t>
            </w:r>
            <w:r w:rsidRPr="006F6DAC">
              <w:rPr>
                <w:rFonts w:ascii="Garamond" w:hAnsi="Garamond"/>
                <w:sz w:val="22"/>
                <w:szCs w:val="22"/>
                <w:lang w:val="en-US"/>
              </w:rPr>
              <w:t>code</w:t>
            </w:r>
            <w:r w:rsidRPr="006F6DAC">
              <w:rPr>
                <w:rFonts w:ascii="Garamond" w:eastAsia="Calibri" w:hAnsi="Garamond"/>
                <w:sz w:val="22"/>
                <w:szCs w:val="22"/>
              </w:rPr>
              <w:t xml:space="preserve"> – код АТС объекта измерени</w:t>
            </w:r>
            <w:r w:rsidRPr="006F6DAC">
              <w:rPr>
                <w:rFonts w:ascii="Garamond" w:eastAsia="Calibri" w:hAnsi="Garamond"/>
                <w:sz w:val="22"/>
                <w:szCs w:val="22"/>
                <w:highlight w:val="yellow"/>
              </w:rPr>
              <w:t>я</w:t>
            </w:r>
            <w:r w:rsidRPr="006F6DAC">
              <w:rPr>
                <w:rFonts w:ascii="Garamond" w:eastAsia="Calibri" w:hAnsi="Garamond"/>
                <w:sz w:val="22"/>
                <w:szCs w:val="22"/>
              </w:rPr>
              <w:t>. Должно содержаться в элементе &lt;dictionaries&gt;. Является обязательным атрибутом.</w:t>
            </w:r>
          </w:p>
        </w:tc>
        <w:tc>
          <w:tcPr>
            <w:tcW w:w="7115" w:type="dxa"/>
          </w:tcPr>
          <w:p w14:paraId="653A3669" w14:textId="77777777" w:rsidR="00F11A8B" w:rsidRPr="006F6DAC" w:rsidRDefault="00F11A8B" w:rsidP="00F11A8B">
            <w:pPr>
              <w:pStyle w:val="5"/>
              <w:suppressAutoHyphens w:val="0"/>
              <w:spacing w:before="0" w:line="259" w:lineRule="auto"/>
              <w:jc w:val="both"/>
              <w:rPr>
                <w:rFonts w:ascii="Garamond" w:hAnsi="Garamond"/>
                <w:color w:val="auto"/>
                <w:sz w:val="22"/>
                <w:szCs w:val="22"/>
              </w:rPr>
            </w:pPr>
            <w:r w:rsidRPr="006F6DAC">
              <w:rPr>
                <w:rFonts w:ascii="Garamond" w:hAnsi="Garamond"/>
                <w:color w:val="auto"/>
                <w:sz w:val="22"/>
                <w:szCs w:val="22"/>
              </w:rPr>
              <w:t>&lt;measuring-object&gt;</w:t>
            </w:r>
          </w:p>
          <w:p w14:paraId="054633EA" w14:textId="77777777" w:rsidR="00F11A8B" w:rsidRPr="006F6DAC" w:rsidRDefault="00F11A8B" w:rsidP="00F11A8B">
            <w:pPr>
              <w:jc w:val="both"/>
              <w:rPr>
                <w:rFonts w:ascii="Garamond" w:eastAsia="Calibri" w:hAnsi="Garamond"/>
                <w:sz w:val="22"/>
                <w:szCs w:val="22"/>
              </w:rPr>
            </w:pPr>
            <w:r w:rsidRPr="006F6DAC">
              <w:rPr>
                <w:rFonts w:ascii="Garamond" w:eastAsia="Calibri" w:hAnsi="Garamond"/>
                <w:sz w:val="22"/>
                <w:szCs w:val="22"/>
              </w:rPr>
              <w:t>Элемент &lt;</w:t>
            </w:r>
            <w:r w:rsidRPr="006F6DAC">
              <w:rPr>
                <w:rFonts w:ascii="Garamond" w:eastAsia="Calibri" w:hAnsi="Garamond"/>
                <w:bCs/>
                <w:sz w:val="22"/>
                <w:szCs w:val="22"/>
              </w:rPr>
              <w:t>measuring-object</w:t>
            </w:r>
            <w:r w:rsidRPr="006F6DAC">
              <w:rPr>
                <w:rFonts w:ascii="Garamond" w:eastAsia="Calibri" w:hAnsi="Garamond"/>
                <w:sz w:val="22"/>
                <w:szCs w:val="22"/>
              </w:rPr>
              <w:t>&gt; содержит информацию об объекте измерени</w:t>
            </w:r>
            <w:r w:rsidRPr="006F6DAC">
              <w:rPr>
                <w:rFonts w:ascii="Garamond" w:eastAsia="Calibri" w:hAnsi="Garamond"/>
                <w:sz w:val="22"/>
                <w:szCs w:val="22"/>
                <w:highlight w:val="yellow"/>
              </w:rPr>
              <w:t>й</w:t>
            </w:r>
            <w:r w:rsidRPr="006F6DAC">
              <w:rPr>
                <w:rFonts w:ascii="Garamond" w:eastAsia="Calibri" w:hAnsi="Garamond"/>
                <w:sz w:val="22"/>
                <w:szCs w:val="22"/>
              </w:rPr>
              <w:t>, входящем в состав группы поставки.</w:t>
            </w:r>
          </w:p>
          <w:p w14:paraId="71423C58" w14:textId="77777777" w:rsidR="00F11A8B" w:rsidRPr="006F6DAC" w:rsidRDefault="00F11A8B" w:rsidP="00F11A8B">
            <w:pPr>
              <w:jc w:val="both"/>
              <w:rPr>
                <w:rFonts w:ascii="Garamond" w:eastAsia="Calibri" w:hAnsi="Garamond"/>
                <w:sz w:val="22"/>
                <w:szCs w:val="22"/>
              </w:rPr>
            </w:pPr>
            <w:r w:rsidRPr="006F6DAC">
              <w:rPr>
                <w:rFonts w:ascii="Garamond" w:eastAsia="Calibri" w:hAnsi="Garamond"/>
                <w:sz w:val="22"/>
                <w:szCs w:val="22"/>
              </w:rPr>
              <w:t>Необязательный элемент. В документе может содержаться несколько элементов.</w:t>
            </w:r>
          </w:p>
          <w:p w14:paraId="1511FFD8" w14:textId="77777777" w:rsidR="00F11A8B" w:rsidRPr="006F6DAC" w:rsidRDefault="00F11A8B" w:rsidP="00F11A8B">
            <w:pPr>
              <w:jc w:val="both"/>
              <w:rPr>
                <w:rFonts w:ascii="Garamond" w:eastAsia="Calibri" w:hAnsi="Garamond"/>
                <w:sz w:val="22"/>
                <w:szCs w:val="22"/>
              </w:rPr>
            </w:pPr>
            <w:r w:rsidRPr="006F6DAC">
              <w:rPr>
                <w:rFonts w:ascii="Garamond" w:eastAsia="Calibri" w:hAnsi="Garamond"/>
                <w:sz w:val="22"/>
                <w:szCs w:val="22"/>
              </w:rPr>
              <w:t xml:space="preserve">Содержит атрибуты: </w:t>
            </w:r>
          </w:p>
          <w:p w14:paraId="6E90CF51" w14:textId="77777777" w:rsidR="00F11A8B" w:rsidRPr="006F6DAC" w:rsidRDefault="00F11A8B" w:rsidP="00F11A8B">
            <w:pPr>
              <w:pStyle w:val="ac"/>
              <w:numPr>
                <w:ilvl w:val="0"/>
                <w:numId w:val="246"/>
              </w:numPr>
              <w:ind w:right="67"/>
              <w:contextualSpacing/>
              <w:jc w:val="both"/>
              <w:rPr>
                <w:rFonts w:ascii="Garamond" w:hAnsi="Garamond"/>
                <w:b/>
                <w:i/>
                <w:sz w:val="22"/>
                <w:szCs w:val="22"/>
                <w:lang w:val="en-US"/>
              </w:rPr>
            </w:pPr>
            <w:r w:rsidRPr="006F6DAC">
              <w:rPr>
                <w:rFonts w:ascii="Garamond" w:hAnsi="Garamond"/>
                <w:sz w:val="22"/>
                <w:szCs w:val="22"/>
                <w:lang w:val="en-US"/>
              </w:rPr>
              <w:t>measuring</w:t>
            </w:r>
            <w:r w:rsidRPr="006F6DAC">
              <w:rPr>
                <w:rFonts w:ascii="Garamond" w:hAnsi="Garamond"/>
                <w:sz w:val="22"/>
                <w:szCs w:val="22"/>
              </w:rPr>
              <w:t>-</w:t>
            </w:r>
            <w:r w:rsidRPr="006F6DAC">
              <w:rPr>
                <w:rFonts w:ascii="Garamond" w:hAnsi="Garamond"/>
                <w:sz w:val="22"/>
                <w:szCs w:val="22"/>
                <w:lang w:val="en-US"/>
              </w:rPr>
              <w:t>object</w:t>
            </w:r>
            <w:r w:rsidRPr="006F6DAC">
              <w:rPr>
                <w:rFonts w:ascii="Garamond" w:hAnsi="Garamond"/>
                <w:sz w:val="22"/>
                <w:szCs w:val="22"/>
              </w:rPr>
              <w:t>-</w:t>
            </w:r>
            <w:r w:rsidRPr="006F6DAC">
              <w:rPr>
                <w:rFonts w:ascii="Garamond" w:hAnsi="Garamond"/>
                <w:sz w:val="22"/>
                <w:szCs w:val="22"/>
                <w:lang w:val="en-US"/>
              </w:rPr>
              <w:t>code</w:t>
            </w:r>
            <w:r w:rsidRPr="006F6DAC">
              <w:rPr>
                <w:rFonts w:ascii="Garamond" w:eastAsia="Calibri" w:hAnsi="Garamond"/>
                <w:sz w:val="22"/>
                <w:szCs w:val="22"/>
              </w:rPr>
              <w:t xml:space="preserve"> – код АТС объекта измерени</w:t>
            </w:r>
            <w:r w:rsidRPr="006F6DAC">
              <w:rPr>
                <w:rFonts w:ascii="Garamond" w:eastAsia="Calibri" w:hAnsi="Garamond"/>
                <w:sz w:val="22"/>
                <w:szCs w:val="22"/>
                <w:highlight w:val="yellow"/>
              </w:rPr>
              <w:t>й</w:t>
            </w:r>
            <w:r w:rsidRPr="006F6DAC">
              <w:rPr>
                <w:rFonts w:ascii="Garamond" w:eastAsia="Calibri" w:hAnsi="Garamond"/>
                <w:sz w:val="22"/>
                <w:szCs w:val="22"/>
              </w:rPr>
              <w:t>. Должно содержаться в элементе &lt;dictionaries&gt;. Является обязательным атрибутом.</w:t>
            </w:r>
          </w:p>
        </w:tc>
      </w:tr>
      <w:tr w:rsidR="00F11A8B" w:rsidRPr="006F6DAC" w14:paraId="12AD8781" w14:textId="77777777" w:rsidTr="006F6DAC">
        <w:tc>
          <w:tcPr>
            <w:tcW w:w="1060" w:type="dxa"/>
          </w:tcPr>
          <w:p w14:paraId="5668E28B" w14:textId="64B207CB" w:rsidR="00F11A8B" w:rsidRPr="006F6DAC" w:rsidRDefault="00F11A8B" w:rsidP="00F11A8B">
            <w:pPr>
              <w:widowControl w:val="0"/>
              <w:spacing w:line="259" w:lineRule="auto"/>
              <w:jc w:val="center"/>
              <w:rPr>
                <w:rFonts w:ascii="Garamond" w:hAnsi="Garamond"/>
                <w:b/>
                <w:sz w:val="22"/>
                <w:szCs w:val="22"/>
                <w:lang w:eastAsia="en-US"/>
              </w:rPr>
            </w:pPr>
            <w:r w:rsidRPr="006F6DAC">
              <w:rPr>
                <w:rFonts w:ascii="Garamond" w:hAnsi="Garamond"/>
                <w:b/>
                <w:sz w:val="22"/>
                <w:szCs w:val="22"/>
                <w:lang w:eastAsia="en-US"/>
              </w:rPr>
              <w:t>Приложение 8, п.</w:t>
            </w:r>
            <w:r w:rsidR="007A00C5">
              <w:rPr>
                <w:rFonts w:ascii="Garamond" w:hAnsi="Garamond"/>
                <w:b/>
                <w:sz w:val="22"/>
                <w:szCs w:val="22"/>
                <w:lang w:eastAsia="en-US"/>
              </w:rPr>
              <w:t xml:space="preserve"> </w:t>
            </w:r>
            <w:r w:rsidRPr="006F6DAC">
              <w:rPr>
                <w:rFonts w:ascii="Garamond" w:hAnsi="Garamond"/>
                <w:b/>
                <w:sz w:val="22"/>
                <w:szCs w:val="22"/>
                <w:lang w:eastAsia="en-US"/>
              </w:rPr>
              <w:t>2.</w:t>
            </w:r>
            <w:r w:rsidRPr="006F6DAC">
              <w:rPr>
                <w:rFonts w:ascii="Garamond" w:hAnsi="Garamond"/>
                <w:b/>
                <w:sz w:val="22"/>
                <w:szCs w:val="22"/>
                <w:lang w:val="en-US" w:eastAsia="en-US"/>
              </w:rPr>
              <w:t>4</w:t>
            </w:r>
            <w:r w:rsidRPr="006F6DAC">
              <w:rPr>
                <w:rFonts w:ascii="Garamond" w:hAnsi="Garamond"/>
                <w:b/>
                <w:sz w:val="22"/>
                <w:szCs w:val="22"/>
                <w:lang w:eastAsia="en-US"/>
              </w:rPr>
              <w:t>.1.5</w:t>
            </w:r>
          </w:p>
        </w:tc>
        <w:tc>
          <w:tcPr>
            <w:tcW w:w="6804" w:type="dxa"/>
          </w:tcPr>
          <w:p w14:paraId="10C7DB72" w14:textId="77777777" w:rsidR="00F11A8B" w:rsidRPr="006F6DAC" w:rsidRDefault="00F11A8B" w:rsidP="00F11A8B">
            <w:pPr>
              <w:pStyle w:val="40"/>
              <w:keepLines/>
              <w:numPr>
                <w:ilvl w:val="0"/>
                <w:numId w:val="0"/>
              </w:numPr>
              <w:suppressAutoHyphens w:val="0"/>
              <w:spacing w:line="259" w:lineRule="auto"/>
              <w:jc w:val="both"/>
              <w:rPr>
                <w:rFonts w:ascii="Garamond" w:hAnsi="Garamond"/>
                <w:b w:val="0"/>
                <w:i/>
                <w:sz w:val="22"/>
                <w:szCs w:val="22"/>
                <w:highlight w:val="yellow"/>
              </w:rPr>
            </w:pPr>
            <w:bookmarkStart w:id="95" w:name="e_E77B5F2254A245F9B89DBE08AF3B1FC1"/>
            <w:r w:rsidRPr="006F6DAC">
              <w:rPr>
                <w:rFonts w:ascii="Garamond" w:hAnsi="Garamond"/>
                <w:b w:val="0"/>
                <w:i/>
                <w:sz w:val="22"/>
                <w:szCs w:val="22"/>
                <w:highlight w:val="yellow"/>
              </w:rPr>
              <w:t>&lt;peretok&gt;</w:t>
            </w:r>
            <w:bookmarkEnd w:id="95"/>
          </w:p>
          <w:p w14:paraId="5E3A5BEF" w14:textId="77777777" w:rsidR="00F11A8B" w:rsidRPr="006F6DAC" w:rsidRDefault="00F11A8B" w:rsidP="00F11A8B">
            <w:pPr>
              <w:jc w:val="both"/>
              <w:rPr>
                <w:rFonts w:ascii="Garamond" w:hAnsi="Garamond"/>
                <w:sz w:val="22"/>
                <w:szCs w:val="22"/>
                <w:highlight w:val="yellow"/>
              </w:rPr>
            </w:pPr>
            <w:r w:rsidRPr="006F6DAC">
              <w:rPr>
                <w:rFonts w:ascii="Garamond" w:hAnsi="Garamond"/>
                <w:sz w:val="22"/>
                <w:szCs w:val="22"/>
                <w:highlight w:val="yellow"/>
              </w:rPr>
              <w:t>Элемент &lt;</w:t>
            </w:r>
            <w:r w:rsidRPr="006F6DAC">
              <w:rPr>
                <w:rFonts w:ascii="Garamond" w:hAnsi="Garamond"/>
                <w:bCs/>
                <w:sz w:val="22"/>
                <w:szCs w:val="22"/>
                <w:highlight w:val="yellow"/>
              </w:rPr>
              <w:t>peretok</w:t>
            </w:r>
            <w:r w:rsidRPr="006F6DAC">
              <w:rPr>
                <w:rFonts w:ascii="Garamond" w:hAnsi="Garamond"/>
                <w:sz w:val="22"/>
                <w:szCs w:val="22"/>
                <w:highlight w:val="yellow"/>
              </w:rPr>
              <w:t>&gt; содержит информацию о cальдо перетока между двумя группами точек поставки, входящего в состав группы поставки. Необязательный элемент. В документе может содержаться несколько элементов.</w:t>
            </w:r>
          </w:p>
          <w:p w14:paraId="7FE5D083" w14:textId="77777777" w:rsidR="00F11A8B" w:rsidRPr="006F6DAC" w:rsidRDefault="00F11A8B" w:rsidP="00F11A8B">
            <w:pPr>
              <w:jc w:val="both"/>
              <w:rPr>
                <w:rFonts w:ascii="Garamond" w:hAnsi="Garamond"/>
                <w:sz w:val="22"/>
                <w:szCs w:val="22"/>
                <w:highlight w:val="yellow"/>
              </w:rPr>
            </w:pPr>
            <w:r w:rsidRPr="006F6DAC">
              <w:rPr>
                <w:rFonts w:ascii="Garamond" w:hAnsi="Garamond"/>
                <w:sz w:val="22"/>
                <w:szCs w:val="22"/>
                <w:highlight w:val="yellow"/>
              </w:rPr>
              <w:t>Содержит атрибуты:</w:t>
            </w:r>
          </w:p>
          <w:p w14:paraId="2E7D38FD" w14:textId="77777777" w:rsidR="00F11A8B" w:rsidRPr="006F6DAC" w:rsidRDefault="00F11A8B" w:rsidP="00F11A8B">
            <w:pPr>
              <w:pStyle w:val="ac"/>
              <w:numPr>
                <w:ilvl w:val="0"/>
                <w:numId w:val="247"/>
              </w:numPr>
              <w:spacing w:line="259" w:lineRule="auto"/>
              <w:contextualSpacing/>
              <w:jc w:val="both"/>
              <w:rPr>
                <w:rFonts w:ascii="Garamond" w:hAnsi="Garamond"/>
                <w:sz w:val="22"/>
                <w:szCs w:val="22"/>
                <w:highlight w:val="yellow"/>
              </w:rPr>
            </w:pPr>
            <w:bookmarkStart w:id="96" w:name="a_22087_name"/>
            <w:r w:rsidRPr="006F6DAC">
              <w:rPr>
                <w:rFonts w:ascii="Garamond" w:hAnsi="Garamond"/>
                <w:sz w:val="22"/>
                <w:szCs w:val="22"/>
                <w:highlight w:val="yellow"/>
                <w:lang w:val="en-US"/>
              </w:rPr>
              <w:t>name</w:t>
            </w:r>
            <w:bookmarkEnd w:id="96"/>
            <w:r w:rsidRPr="006F6DAC">
              <w:rPr>
                <w:rFonts w:ascii="Garamond" w:hAnsi="Garamond"/>
                <w:sz w:val="22"/>
                <w:szCs w:val="22"/>
                <w:highlight w:val="yellow"/>
              </w:rPr>
              <w:t xml:space="preserve"> – наименование сальдо перетока. Текст длиной до 250 символов. Является обязательным атрибутом;</w:t>
            </w:r>
          </w:p>
          <w:p w14:paraId="14FFFE15" w14:textId="77777777" w:rsidR="00F11A8B" w:rsidRPr="006F6DAC" w:rsidRDefault="00F11A8B" w:rsidP="00F11A8B">
            <w:pPr>
              <w:pStyle w:val="ac"/>
              <w:numPr>
                <w:ilvl w:val="0"/>
                <w:numId w:val="247"/>
              </w:numPr>
              <w:spacing w:line="259" w:lineRule="auto"/>
              <w:contextualSpacing/>
              <w:jc w:val="both"/>
              <w:rPr>
                <w:rFonts w:ascii="Garamond" w:hAnsi="Garamond"/>
                <w:sz w:val="22"/>
                <w:szCs w:val="22"/>
                <w:highlight w:val="yellow"/>
              </w:rPr>
            </w:pPr>
            <w:bookmarkStart w:id="97" w:name="a_22087_from_code"/>
            <w:r w:rsidRPr="006F6DAC">
              <w:rPr>
                <w:rFonts w:ascii="Garamond" w:hAnsi="Garamond"/>
                <w:sz w:val="22"/>
                <w:szCs w:val="22"/>
                <w:highlight w:val="yellow"/>
                <w:lang w:val="en-US"/>
              </w:rPr>
              <w:t>from</w:t>
            </w:r>
            <w:r w:rsidRPr="006F6DAC">
              <w:rPr>
                <w:rFonts w:ascii="Garamond" w:hAnsi="Garamond"/>
                <w:sz w:val="22"/>
                <w:szCs w:val="22"/>
                <w:highlight w:val="yellow"/>
              </w:rPr>
              <w:t>-</w:t>
            </w:r>
            <w:r w:rsidRPr="006F6DAC">
              <w:rPr>
                <w:rFonts w:ascii="Garamond" w:hAnsi="Garamond"/>
                <w:sz w:val="22"/>
                <w:szCs w:val="22"/>
                <w:highlight w:val="yellow"/>
                <w:lang w:val="en-US"/>
              </w:rPr>
              <w:t>code</w:t>
            </w:r>
            <w:bookmarkEnd w:id="97"/>
            <w:r w:rsidRPr="006F6DAC">
              <w:rPr>
                <w:rFonts w:ascii="Garamond" w:hAnsi="Garamond"/>
                <w:sz w:val="22"/>
                <w:szCs w:val="22"/>
                <w:highlight w:val="yellow"/>
              </w:rPr>
              <w:t xml:space="preserve"> – уникальный код ГТП потребления, присвоенный КО. Текстовое поле из 8 символов. Является обязательным атрибутом;</w:t>
            </w:r>
          </w:p>
          <w:p w14:paraId="3BC319A3" w14:textId="77777777" w:rsidR="00F11A8B" w:rsidRPr="006F6DAC" w:rsidRDefault="00F11A8B" w:rsidP="00F11A8B">
            <w:pPr>
              <w:pStyle w:val="ac"/>
              <w:numPr>
                <w:ilvl w:val="0"/>
                <w:numId w:val="247"/>
              </w:numPr>
              <w:spacing w:line="259" w:lineRule="auto"/>
              <w:contextualSpacing/>
              <w:jc w:val="both"/>
              <w:rPr>
                <w:rFonts w:ascii="Garamond" w:hAnsi="Garamond"/>
                <w:sz w:val="22"/>
                <w:szCs w:val="22"/>
                <w:highlight w:val="yellow"/>
              </w:rPr>
            </w:pPr>
            <w:bookmarkStart w:id="98" w:name="a_22087_to_code"/>
            <w:r w:rsidRPr="006F6DAC">
              <w:rPr>
                <w:rFonts w:ascii="Garamond" w:hAnsi="Garamond"/>
                <w:sz w:val="22"/>
                <w:szCs w:val="22"/>
                <w:highlight w:val="yellow"/>
                <w:lang w:val="en-US"/>
              </w:rPr>
              <w:t>to</w:t>
            </w:r>
            <w:r w:rsidRPr="006F6DAC">
              <w:rPr>
                <w:rFonts w:ascii="Garamond" w:hAnsi="Garamond"/>
                <w:sz w:val="22"/>
                <w:szCs w:val="22"/>
                <w:highlight w:val="yellow"/>
              </w:rPr>
              <w:t>-</w:t>
            </w:r>
            <w:r w:rsidRPr="006F6DAC">
              <w:rPr>
                <w:rFonts w:ascii="Garamond" w:hAnsi="Garamond"/>
                <w:sz w:val="22"/>
                <w:szCs w:val="22"/>
                <w:highlight w:val="yellow"/>
                <w:lang w:val="en-US"/>
              </w:rPr>
              <w:t>code</w:t>
            </w:r>
            <w:bookmarkEnd w:id="98"/>
            <w:r w:rsidRPr="006F6DAC">
              <w:rPr>
                <w:rFonts w:ascii="Garamond" w:hAnsi="Garamond"/>
                <w:sz w:val="22"/>
                <w:szCs w:val="22"/>
                <w:highlight w:val="yellow"/>
              </w:rPr>
              <w:t xml:space="preserve"> – уникальный код ГТП потребления, присвоенный КО. Текстовое поле из 8 символов. Является обязательным атрибутом;</w:t>
            </w:r>
          </w:p>
          <w:p w14:paraId="46BB49EC" w14:textId="77777777" w:rsidR="00F11A8B" w:rsidRPr="006F6DAC" w:rsidRDefault="00F11A8B" w:rsidP="00F11A8B">
            <w:pPr>
              <w:pStyle w:val="ac"/>
              <w:numPr>
                <w:ilvl w:val="0"/>
                <w:numId w:val="247"/>
              </w:numPr>
              <w:spacing w:line="259" w:lineRule="auto"/>
              <w:contextualSpacing/>
              <w:jc w:val="both"/>
              <w:rPr>
                <w:rFonts w:ascii="Garamond" w:hAnsi="Garamond"/>
                <w:sz w:val="22"/>
                <w:szCs w:val="22"/>
              </w:rPr>
            </w:pPr>
            <w:bookmarkStart w:id="99" w:name="a_22087_algorithm_version"/>
            <w:r w:rsidRPr="006F6DAC">
              <w:rPr>
                <w:rFonts w:ascii="Garamond" w:hAnsi="Garamond"/>
                <w:sz w:val="22"/>
                <w:szCs w:val="22"/>
                <w:highlight w:val="yellow"/>
                <w:lang w:val="en-US"/>
              </w:rPr>
              <w:lastRenderedPageBreak/>
              <w:t>algorithm</w:t>
            </w:r>
            <w:r w:rsidRPr="006F6DAC">
              <w:rPr>
                <w:rFonts w:ascii="Garamond" w:hAnsi="Garamond"/>
                <w:sz w:val="22"/>
                <w:szCs w:val="22"/>
                <w:highlight w:val="yellow"/>
              </w:rPr>
              <w:t>-</w:t>
            </w:r>
            <w:r w:rsidRPr="006F6DAC">
              <w:rPr>
                <w:rFonts w:ascii="Garamond" w:hAnsi="Garamond"/>
                <w:sz w:val="22"/>
                <w:szCs w:val="22"/>
                <w:highlight w:val="yellow"/>
                <w:lang w:val="en-US"/>
              </w:rPr>
              <w:t>version</w:t>
            </w:r>
            <w:bookmarkEnd w:id="99"/>
            <w:r w:rsidRPr="006F6DAC">
              <w:rPr>
                <w:rFonts w:ascii="Garamond" w:hAnsi="Garamond"/>
                <w:sz w:val="22"/>
                <w:szCs w:val="22"/>
                <w:highlight w:val="yellow"/>
              </w:rPr>
              <w:t xml:space="preserve"> – номер версии алгоритма, присвоенный КО. Число до 20 знаков. Является обязательным атрибутом.</w:t>
            </w:r>
          </w:p>
        </w:tc>
        <w:tc>
          <w:tcPr>
            <w:tcW w:w="7115" w:type="dxa"/>
          </w:tcPr>
          <w:p w14:paraId="1A0FB60F" w14:textId="77777777" w:rsidR="00F11A8B" w:rsidRPr="006F6DAC" w:rsidRDefault="00F11A8B" w:rsidP="00F11A8B">
            <w:pPr>
              <w:pStyle w:val="5"/>
              <w:suppressAutoHyphens w:val="0"/>
              <w:spacing w:line="259" w:lineRule="auto"/>
              <w:jc w:val="both"/>
              <w:rPr>
                <w:rFonts w:ascii="Garamond" w:hAnsi="Garamond"/>
                <w:color w:val="auto"/>
                <w:sz w:val="22"/>
                <w:szCs w:val="22"/>
                <w:highlight w:val="yellow"/>
              </w:rPr>
            </w:pPr>
            <w:r w:rsidRPr="006F6DAC">
              <w:rPr>
                <w:rFonts w:ascii="Garamond" w:hAnsi="Garamond"/>
                <w:color w:val="auto"/>
                <w:sz w:val="22"/>
                <w:szCs w:val="22"/>
              </w:rPr>
              <w:lastRenderedPageBreak/>
              <w:t>2.4.1.5</w:t>
            </w:r>
            <w:r w:rsidRPr="006F6DAC">
              <w:rPr>
                <w:rFonts w:ascii="Garamond" w:hAnsi="Garamond"/>
                <w:color w:val="auto"/>
                <w:sz w:val="22"/>
                <w:szCs w:val="22"/>
              </w:rPr>
              <w:tab/>
            </w:r>
            <w:r w:rsidRPr="006F6DAC">
              <w:rPr>
                <w:rFonts w:ascii="Garamond" w:hAnsi="Garamond"/>
                <w:color w:val="auto"/>
                <w:sz w:val="22"/>
                <w:szCs w:val="22"/>
                <w:highlight w:val="yellow"/>
              </w:rPr>
              <w:t>&lt;regulation-object&gt;</w:t>
            </w:r>
          </w:p>
          <w:p w14:paraId="67C81053" w14:textId="77777777" w:rsidR="00F11A8B" w:rsidRPr="006F6DAC" w:rsidRDefault="00F11A8B" w:rsidP="00F11A8B">
            <w:pPr>
              <w:pStyle w:val="5"/>
              <w:suppressAutoHyphens w:val="0"/>
              <w:spacing w:line="259" w:lineRule="auto"/>
              <w:jc w:val="both"/>
              <w:rPr>
                <w:rFonts w:ascii="Garamond" w:hAnsi="Garamond"/>
                <w:color w:val="auto"/>
                <w:sz w:val="22"/>
                <w:szCs w:val="22"/>
                <w:highlight w:val="yellow"/>
              </w:rPr>
            </w:pPr>
            <w:r w:rsidRPr="006F6DAC">
              <w:rPr>
                <w:rFonts w:ascii="Garamond" w:hAnsi="Garamond"/>
                <w:color w:val="auto"/>
                <w:sz w:val="22"/>
                <w:szCs w:val="22"/>
                <w:highlight w:val="yellow"/>
              </w:rPr>
              <w:t>Элемент &lt;regulation-object&gt; содержит информацию об объекте регулирования.</w:t>
            </w:r>
          </w:p>
          <w:p w14:paraId="012726CF" w14:textId="77777777" w:rsidR="00F11A8B" w:rsidRPr="006F6DAC" w:rsidRDefault="00F11A8B" w:rsidP="00F11A8B">
            <w:pPr>
              <w:pStyle w:val="5"/>
              <w:suppressAutoHyphens w:val="0"/>
              <w:spacing w:line="259" w:lineRule="auto"/>
              <w:jc w:val="both"/>
              <w:rPr>
                <w:rFonts w:ascii="Garamond" w:hAnsi="Garamond"/>
                <w:color w:val="auto"/>
                <w:sz w:val="22"/>
                <w:szCs w:val="22"/>
                <w:highlight w:val="yellow"/>
              </w:rPr>
            </w:pPr>
            <w:r w:rsidRPr="006F6DAC">
              <w:rPr>
                <w:rFonts w:ascii="Garamond" w:hAnsi="Garamond"/>
                <w:color w:val="auto"/>
                <w:sz w:val="22"/>
                <w:szCs w:val="22"/>
                <w:highlight w:val="yellow"/>
              </w:rPr>
              <w:t>Необязательный элемент. Допускается наличие не более одного элемента в рамках элемента &lt;area&gt;.</w:t>
            </w:r>
          </w:p>
          <w:p w14:paraId="560880D4" w14:textId="77777777" w:rsidR="00F11A8B" w:rsidRPr="006F6DAC" w:rsidRDefault="00F11A8B" w:rsidP="00F11A8B">
            <w:pPr>
              <w:pStyle w:val="5"/>
              <w:suppressAutoHyphens w:val="0"/>
              <w:spacing w:line="259" w:lineRule="auto"/>
              <w:jc w:val="both"/>
              <w:rPr>
                <w:rFonts w:ascii="Garamond" w:hAnsi="Garamond"/>
                <w:color w:val="auto"/>
                <w:sz w:val="22"/>
                <w:szCs w:val="22"/>
                <w:highlight w:val="yellow"/>
              </w:rPr>
            </w:pPr>
            <w:r w:rsidRPr="006F6DAC">
              <w:rPr>
                <w:rFonts w:ascii="Garamond" w:hAnsi="Garamond"/>
                <w:color w:val="auto"/>
                <w:sz w:val="22"/>
                <w:szCs w:val="22"/>
                <w:highlight w:val="yellow"/>
              </w:rPr>
              <w:t>Атрибутами элемента &lt;regulation-object&gt; являются:</w:t>
            </w:r>
          </w:p>
          <w:p w14:paraId="1F43369C" w14:textId="77777777" w:rsidR="00F11A8B" w:rsidRPr="006F6DAC" w:rsidRDefault="00F11A8B" w:rsidP="00F11A8B">
            <w:pPr>
              <w:pStyle w:val="ac"/>
              <w:numPr>
                <w:ilvl w:val="0"/>
                <w:numId w:val="247"/>
              </w:numPr>
              <w:spacing w:line="259" w:lineRule="auto"/>
              <w:contextualSpacing/>
              <w:jc w:val="both"/>
              <w:rPr>
                <w:rFonts w:ascii="Garamond" w:hAnsi="Garamond"/>
                <w:sz w:val="22"/>
                <w:szCs w:val="22"/>
                <w:highlight w:val="yellow"/>
              </w:rPr>
            </w:pPr>
            <w:r w:rsidRPr="006F6DAC">
              <w:rPr>
                <w:rFonts w:ascii="Garamond" w:hAnsi="Garamond"/>
                <w:sz w:val="22"/>
                <w:szCs w:val="22"/>
                <w:highlight w:val="yellow"/>
              </w:rPr>
              <w:t>name – наименование объекта регулирования. Длина наименования до 250 символов. Являет-ся обязательным атрибутом;</w:t>
            </w:r>
          </w:p>
          <w:p w14:paraId="7092CBB2" w14:textId="77777777" w:rsidR="00F11A8B" w:rsidRPr="006F6DAC" w:rsidRDefault="00F11A8B" w:rsidP="00F11A8B">
            <w:pPr>
              <w:pStyle w:val="ac"/>
              <w:numPr>
                <w:ilvl w:val="0"/>
                <w:numId w:val="247"/>
              </w:numPr>
              <w:spacing w:line="259" w:lineRule="auto"/>
              <w:contextualSpacing/>
              <w:jc w:val="both"/>
              <w:rPr>
                <w:rFonts w:ascii="Garamond" w:hAnsi="Garamond"/>
                <w:sz w:val="22"/>
                <w:szCs w:val="22"/>
                <w:highlight w:val="yellow"/>
              </w:rPr>
            </w:pPr>
            <w:r w:rsidRPr="006F6DAC">
              <w:rPr>
                <w:rFonts w:ascii="Garamond" w:hAnsi="Garamond"/>
                <w:sz w:val="22"/>
                <w:szCs w:val="22"/>
                <w:highlight w:val="yellow"/>
              </w:rPr>
              <w:t>code – уникальный код, присвоенный КО объекту регулирования. Текстовое поле из 8 сим-волов. Является обязательным атрибутом;</w:t>
            </w:r>
          </w:p>
          <w:p w14:paraId="4A9D6160" w14:textId="77777777" w:rsidR="00F11A8B" w:rsidRPr="006F6DAC" w:rsidRDefault="00F11A8B" w:rsidP="00F11A8B">
            <w:pPr>
              <w:pStyle w:val="ac"/>
              <w:numPr>
                <w:ilvl w:val="0"/>
                <w:numId w:val="247"/>
              </w:numPr>
              <w:spacing w:line="259" w:lineRule="auto"/>
              <w:contextualSpacing/>
              <w:jc w:val="both"/>
              <w:rPr>
                <w:rFonts w:ascii="Garamond" w:hAnsi="Garamond"/>
                <w:sz w:val="22"/>
                <w:szCs w:val="22"/>
              </w:rPr>
            </w:pPr>
            <w:r w:rsidRPr="006F6DAC">
              <w:rPr>
                <w:rFonts w:ascii="Garamond" w:hAnsi="Garamond"/>
                <w:sz w:val="22"/>
                <w:szCs w:val="22"/>
                <w:highlight w:val="yellow"/>
              </w:rPr>
              <w:t>algorithm-version – номер версии алгоритма, присвоенный КО. Число до 20 знаков. Является обязательным атрибутом.</w:t>
            </w:r>
          </w:p>
        </w:tc>
      </w:tr>
      <w:tr w:rsidR="00F11A8B" w:rsidRPr="006F6DAC" w14:paraId="5CD319D2" w14:textId="77777777" w:rsidTr="006F6DAC">
        <w:tc>
          <w:tcPr>
            <w:tcW w:w="1060" w:type="dxa"/>
          </w:tcPr>
          <w:p w14:paraId="26341B5C" w14:textId="5B65DB53" w:rsidR="00F11A8B" w:rsidRPr="006F6DAC" w:rsidRDefault="00F11A8B" w:rsidP="00F11A8B">
            <w:pPr>
              <w:widowControl w:val="0"/>
              <w:spacing w:line="259" w:lineRule="auto"/>
              <w:jc w:val="center"/>
              <w:rPr>
                <w:rFonts w:ascii="Garamond" w:hAnsi="Garamond"/>
                <w:b/>
                <w:sz w:val="22"/>
                <w:szCs w:val="22"/>
                <w:lang w:eastAsia="en-US"/>
              </w:rPr>
            </w:pPr>
            <w:r w:rsidRPr="006F6DAC">
              <w:rPr>
                <w:rFonts w:ascii="Garamond" w:hAnsi="Garamond"/>
                <w:b/>
                <w:sz w:val="22"/>
                <w:szCs w:val="22"/>
                <w:lang w:eastAsia="en-US"/>
              </w:rPr>
              <w:t>Приложение 8, п.</w:t>
            </w:r>
            <w:r w:rsidR="007A00C5">
              <w:rPr>
                <w:rFonts w:ascii="Garamond" w:hAnsi="Garamond"/>
                <w:b/>
                <w:sz w:val="22"/>
                <w:szCs w:val="22"/>
                <w:lang w:eastAsia="en-US"/>
              </w:rPr>
              <w:t xml:space="preserve"> </w:t>
            </w:r>
            <w:r w:rsidRPr="006F6DAC">
              <w:rPr>
                <w:rFonts w:ascii="Garamond" w:hAnsi="Garamond"/>
                <w:b/>
                <w:sz w:val="22"/>
                <w:szCs w:val="22"/>
                <w:lang w:eastAsia="en-US"/>
              </w:rPr>
              <w:t>2.4.1.6</w:t>
            </w:r>
          </w:p>
        </w:tc>
        <w:tc>
          <w:tcPr>
            <w:tcW w:w="6804" w:type="dxa"/>
          </w:tcPr>
          <w:p w14:paraId="380A5471" w14:textId="77777777" w:rsidR="00F11A8B" w:rsidRPr="006F6DAC" w:rsidRDefault="00F11A8B" w:rsidP="00F11A8B">
            <w:pPr>
              <w:pStyle w:val="40"/>
              <w:keepLines/>
              <w:numPr>
                <w:ilvl w:val="0"/>
                <w:numId w:val="0"/>
              </w:numPr>
              <w:suppressAutoHyphens w:val="0"/>
              <w:spacing w:line="259" w:lineRule="auto"/>
              <w:jc w:val="both"/>
              <w:rPr>
                <w:rFonts w:ascii="Garamond" w:hAnsi="Garamond"/>
                <w:b w:val="0"/>
                <w:i/>
                <w:sz w:val="22"/>
                <w:szCs w:val="22"/>
                <w:highlight w:val="yellow"/>
              </w:rPr>
            </w:pPr>
            <w:bookmarkStart w:id="100" w:name="e_6ED8593B572F41C392634F32EB7A7EDA"/>
            <w:r w:rsidRPr="006F6DAC">
              <w:rPr>
                <w:rFonts w:ascii="Garamond" w:hAnsi="Garamond"/>
                <w:b w:val="0"/>
                <w:i/>
                <w:sz w:val="22"/>
                <w:szCs w:val="22"/>
                <w:highlight w:val="yellow"/>
              </w:rPr>
              <w:t>&lt;generation&gt;</w:t>
            </w:r>
            <w:bookmarkEnd w:id="100"/>
          </w:p>
          <w:p w14:paraId="7F56397B" w14:textId="77777777" w:rsidR="00F11A8B" w:rsidRPr="006F6DAC" w:rsidRDefault="00F11A8B" w:rsidP="00F11A8B">
            <w:pPr>
              <w:jc w:val="both"/>
              <w:rPr>
                <w:rFonts w:ascii="Garamond" w:hAnsi="Garamond"/>
                <w:sz w:val="22"/>
                <w:szCs w:val="22"/>
                <w:highlight w:val="yellow"/>
              </w:rPr>
            </w:pPr>
            <w:r w:rsidRPr="006F6DAC">
              <w:rPr>
                <w:rFonts w:ascii="Garamond" w:hAnsi="Garamond"/>
                <w:sz w:val="22"/>
                <w:szCs w:val="22"/>
                <w:highlight w:val="yellow"/>
              </w:rPr>
              <w:t>Элемент &lt;</w:t>
            </w:r>
            <w:r w:rsidRPr="006F6DAC">
              <w:rPr>
                <w:rFonts w:ascii="Garamond" w:hAnsi="Garamond"/>
                <w:bCs/>
                <w:sz w:val="22"/>
                <w:szCs w:val="22"/>
                <w:highlight w:val="yellow"/>
              </w:rPr>
              <w:t>generation</w:t>
            </w:r>
            <w:r w:rsidRPr="006F6DAC">
              <w:rPr>
                <w:rFonts w:ascii="Garamond" w:hAnsi="Garamond"/>
                <w:sz w:val="22"/>
                <w:szCs w:val="22"/>
                <w:highlight w:val="yellow"/>
              </w:rPr>
              <w:t>&gt; содержит информацию о сальдо группы точек поставки генерации, входящей в состав группы поставки информации. Необязательный элемент. В документе может содержаться несколько элементов.</w:t>
            </w:r>
          </w:p>
          <w:p w14:paraId="29E819FF" w14:textId="77777777" w:rsidR="00F11A8B" w:rsidRPr="006F6DAC" w:rsidRDefault="00F11A8B" w:rsidP="00F11A8B">
            <w:pPr>
              <w:jc w:val="both"/>
              <w:rPr>
                <w:rFonts w:ascii="Garamond" w:hAnsi="Garamond"/>
                <w:sz w:val="22"/>
                <w:szCs w:val="22"/>
                <w:highlight w:val="yellow"/>
              </w:rPr>
            </w:pPr>
            <w:r w:rsidRPr="006F6DAC">
              <w:rPr>
                <w:rFonts w:ascii="Garamond" w:hAnsi="Garamond"/>
                <w:sz w:val="22"/>
                <w:szCs w:val="22"/>
                <w:highlight w:val="yellow"/>
              </w:rPr>
              <w:t xml:space="preserve">Содержит атрибуты: </w:t>
            </w:r>
          </w:p>
          <w:p w14:paraId="483A1E48" w14:textId="77777777" w:rsidR="00F11A8B" w:rsidRPr="006F6DAC" w:rsidRDefault="00F11A8B" w:rsidP="00F11A8B">
            <w:pPr>
              <w:pStyle w:val="ac"/>
              <w:numPr>
                <w:ilvl w:val="0"/>
                <w:numId w:val="248"/>
              </w:numPr>
              <w:spacing w:line="259" w:lineRule="auto"/>
              <w:contextualSpacing/>
              <w:jc w:val="both"/>
              <w:rPr>
                <w:rFonts w:ascii="Garamond" w:hAnsi="Garamond"/>
                <w:sz w:val="22"/>
                <w:szCs w:val="22"/>
                <w:highlight w:val="yellow"/>
              </w:rPr>
            </w:pPr>
            <w:bookmarkStart w:id="101" w:name="a_22074_name"/>
            <w:r w:rsidRPr="006F6DAC">
              <w:rPr>
                <w:rFonts w:ascii="Garamond" w:hAnsi="Garamond"/>
                <w:sz w:val="22"/>
                <w:szCs w:val="22"/>
                <w:highlight w:val="yellow"/>
                <w:lang w:val="en-US"/>
              </w:rPr>
              <w:t>name</w:t>
            </w:r>
            <w:bookmarkEnd w:id="101"/>
            <w:r w:rsidRPr="006F6DAC">
              <w:rPr>
                <w:rFonts w:ascii="Garamond" w:hAnsi="Garamond"/>
                <w:sz w:val="22"/>
                <w:szCs w:val="22"/>
                <w:highlight w:val="yellow"/>
              </w:rPr>
              <w:t xml:space="preserve"> – наименование ГТП генерации. Длина наименования до 250 символов. Является обязательным атрибутом;</w:t>
            </w:r>
          </w:p>
          <w:p w14:paraId="78A89768" w14:textId="77777777" w:rsidR="00F11A8B" w:rsidRPr="006F6DAC" w:rsidRDefault="00F11A8B" w:rsidP="00F11A8B">
            <w:pPr>
              <w:pStyle w:val="ac"/>
              <w:numPr>
                <w:ilvl w:val="0"/>
                <w:numId w:val="248"/>
              </w:numPr>
              <w:spacing w:line="259" w:lineRule="auto"/>
              <w:contextualSpacing/>
              <w:jc w:val="both"/>
              <w:rPr>
                <w:rFonts w:ascii="Garamond" w:hAnsi="Garamond"/>
                <w:sz w:val="22"/>
                <w:szCs w:val="22"/>
                <w:highlight w:val="yellow"/>
              </w:rPr>
            </w:pPr>
            <w:r w:rsidRPr="006F6DAC">
              <w:rPr>
                <w:rFonts w:ascii="Garamond" w:hAnsi="Garamond"/>
                <w:sz w:val="22"/>
                <w:szCs w:val="22"/>
                <w:highlight w:val="yellow"/>
                <w:lang w:val="en-US"/>
              </w:rPr>
              <w:t>code</w:t>
            </w:r>
            <w:r w:rsidRPr="006F6DAC">
              <w:rPr>
                <w:rFonts w:ascii="Garamond" w:hAnsi="Garamond"/>
                <w:sz w:val="22"/>
                <w:szCs w:val="22"/>
                <w:highlight w:val="yellow"/>
              </w:rPr>
              <w:t xml:space="preserve"> – уникальный код, присвоенный КО группе точек поставки генерации. Текстовое поле из 8 символов. Является обязательным атрибутом;</w:t>
            </w:r>
          </w:p>
          <w:p w14:paraId="76C55628" w14:textId="77777777" w:rsidR="00F11A8B" w:rsidRPr="006F6DAC" w:rsidRDefault="00F11A8B" w:rsidP="00F11A8B">
            <w:pPr>
              <w:pStyle w:val="ac"/>
              <w:numPr>
                <w:ilvl w:val="0"/>
                <w:numId w:val="248"/>
              </w:numPr>
              <w:spacing w:line="259" w:lineRule="auto"/>
              <w:contextualSpacing/>
              <w:jc w:val="both"/>
              <w:rPr>
                <w:rFonts w:ascii="Garamond" w:hAnsi="Garamond"/>
                <w:b/>
                <w:i/>
                <w:sz w:val="22"/>
                <w:szCs w:val="22"/>
              </w:rPr>
            </w:pPr>
            <w:bookmarkStart w:id="102" w:name="a_22074_algorithm_version"/>
            <w:r w:rsidRPr="006F6DAC">
              <w:rPr>
                <w:rFonts w:ascii="Garamond" w:hAnsi="Garamond"/>
                <w:sz w:val="22"/>
                <w:szCs w:val="22"/>
                <w:highlight w:val="yellow"/>
                <w:lang w:val="en-US"/>
              </w:rPr>
              <w:t>algorithm</w:t>
            </w:r>
            <w:r w:rsidRPr="006F6DAC">
              <w:rPr>
                <w:rFonts w:ascii="Garamond" w:hAnsi="Garamond"/>
                <w:sz w:val="22"/>
                <w:szCs w:val="22"/>
                <w:highlight w:val="yellow"/>
              </w:rPr>
              <w:t>-</w:t>
            </w:r>
            <w:r w:rsidRPr="006F6DAC">
              <w:rPr>
                <w:rFonts w:ascii="Garamond" w:hAnsi="Garamond"/>
                <w:sz w:val="22"/>
                <w:szCs w:val="22"/>
                <w:highlight w:val="yellow"/>
                <w:lang w:val="en-US"/>
              </w:rPr>
              <w:t>version</w:t>
            </w:r>
            <w:bookmarkEnd w:id="102"/>
            <w:r w:rsidRPr="006F6DAC">
              <w:rPr>
                <w:rFonts w:ascii="Garamond" w:hAnsi="Garamond"/>
                <w:sz w:val="22"/>
                <w:szCs w:val="22"/>
                <w:highlight w:val="yellow"/>
              </w:rPr>
              <w:t xml:space="preserve"> – номер версии алгоритма, присвоенный КО. Число до 20 знаков. Является обязательным атрибутом.</w:t>
            </w:r>
          </w:p>
        </w:tc>
        <w:tc>
          <w:tcPr>
            <w:tcW w:w="7115" w:type="dxa"/>
          </w:tcPr>
          <w:p w14:paraId="0B873399" w14:textId="77777777" w:rsidR="00F11A8B" w:rsidRPr="006F6DAC" w:rsidRDefault="00F11A8B" w:rsidP="00F11A8B">
            <w:pPr>
              <w:pStyle w:val="5"/>
              <w:suppressAutoHyphens w:val="0"/>
              <w:spacing w:before="0" w:line="259" w:lineRule="auto"/>
              <w:jc w:val="both"/>
              <w:rPr>
                <w:rFonts w:ascii="Garamond" w:hAnsi="Garamond"/>
                <w:b/>
                <w:color w:val="auto"/>
                <w:sz w:val="22"/>
                <w:szCs w:val="22"/>
              </w:rPr>
            </w:pPr>
            <w:r w:rsidRPr="006F6DAC">
              <w:rPr>
                <w:rFonts w:ascii="Garamond" w:hAnsi="Garamond"/>
                <w:b/>
                <w:color w:val="auto"/>
                <w:sz w:val="22"/>
                <w:szCs w:val="22"/>
              </w:rPr>
              <w:t>Исключить пункт</w:t>
            </w:r>
          </w:p>
        </w:tc>
      </w:tr>
      <w:tr w:rsidR="00F11A8B" w:rsidRPr="006F6DAC" w14:paraId="35CB347A" w14:textId="77777777" w:rsidTr="006F6DAC">
        <w:tc>
          <w:tcPr>
            <w:tcW w:w="1060" w:type="dxa"/>
          </w:tcPr>
          <w:p w14:paraId="299271B2" w14:textId="31CDC4F9" w:rsidR="00F11A8B" w:rsidRPr="006F6DAC" w:rsidRDefault="00F11A8B" w:rsidP="00F11A8B">
            <w:pPr>
              <w:widowControl w:val="0"/>
              <w:spacing w:line="259" w:lineRule="auto"/>
              <w:jc w:val="center"/>
              <w:rPr>
                <w:rFonts w:ascii="Garamond" w:hAnsi="Garamond"/>
                <w:b/>
                <w:sz w:val="22"/>
                <w:szCs w:val="22"/>
                <w:lang w:eastAsia="en-US"/>
              </w:rPr>
            </w:pPr>
            <w:r w:rsidRPr="006F6DAC">
              <w:rPr>
                <w:rFonts w:ascii="Garamond" w:hAnsi="Garamond"/>
                <w:b/>
                <w:sz w:val="22"/>
                <w:szCs w:val="22"/>
                <w:lang w:eastAsia="en-US"/>
              </w:rPr>
              <w:t>Приложение 8, п.</w:t>
            </w:r>
            <w:r w:rsidR="007A00C5">
              <w:rPr>
                <w:rFonts w:ascii="Garamond" w:hAnsi="Garamond"/>
                <w:b/>
                <w:sz w:val="22"/>
                <w:szCs w:val="22"/>
                <w:lang w:eastAsia="en-US"/>
              </w:rPr>
              <w:t xml:space="preserve"> </w:t>
            </w:r>
            <w:r w:rsidRPr="006F6DAC">
              <w:rPr>
                <w:rFonts w:ascii="Garamond" w:hAnsi="Garamond"/>
                <w:b/>
                <w:sz w:val="22"/>
                <w:szCs w:val="22"/>
                <w:lang w:eastAsia="en-US"/>
              </w:rPr>
              <w:t>3</w:t>
            </w:r>
          </w:p>
        </w:tc>
        <w:tc>
          <w:tcPr>
            <w:tcW w:w="6804" w:type="dxa"/>
          </w:tcPr>
          <w:p w14:paraId="72207C6C" w14:textId="77777777" w:rsidR="00F11A8B" w:rsidRPr="006F6DAC" w:rsidRDefault="00F11A8B" w:rsidP="00F11A8B">
            <w:pPr>
              <w:pStyle w:val="aff4"/>
              <w:numPr>
                <w:ilvl w:val="0"/>
                <w:numId w:val="249"/>
              </w:numPr>
              <w:spacing w:line="259" w:lineRule="auto"/>
              <w:jc w:val="both"/>
              <w:rPr>
                <w:rStyle w:val="afff5"/>
                <w:b w:val="0"/>
                <w:i w:val="0"/>
                <w:sz w:val="22"/>
                <w:szCs w:val="22"/>
                <w:highlight w:val="yellow"/>
                <w:lang w:val="en-US"/>
              </w:rPr>
            </w:pPr>
            <w:r w:rsidRPr="006F6DAC">
              <w:rPr>
                <w:rStyle w:val="afff5"/>
                <w:b w:val="0"/>
                <w:i w:val="0"/>
                <w:sz w:val="22"/>
                <w:szCs w:val="22"/>
                <w:highlight w:val="yellow"/>
              </w:rPr>
              <w:t>Формат</w:t>
            </w:r>
            <w:r w:rsidRPr="006F6DAC">
              <w:rPr>
                <w:rStyle w:val="afff5"/>
                <w:b w:val="0"/>
                <w:i w:val="0"/>
                <w:sz w:val="22"/>
                <w:szCs w:val="22"/>
                <w:highlight w:val="yellow"/>
                <w:lang w:val="en-US"/>
              </w:rPr>
              <w:t xml:space="preserve"> xml-</w:t>
            </w:r>
            <w:r w:rsidRPr="006F6DAC">
              <w:rPr>
                <w:rStyle w:val="afff5"/>
                <w:b w:val="0"/>
                <w:i w:val="0"/>
                <w:sz w:val="22"/>
                <w:szCs w:val="22"/>
                <w:highlight w:val="yellow"/>
              </w:rPr>
              <w:t>файла</w:t>
            </w:r>
          </w:p>
          <w:p w14:paraId="6352355E" w14:textId="77777777" w:rsidR="00F11A8B" w:rsidRPr="006F6DAC" w:rsidRDefault="00F11A8B" w:rsidP="00F11A8B">
            <w:pPr>
              <w:ind w:right="-143"/>
              <w:contextualSpacing/>
              <w:jc w:val="both"/>
              <w:rPr>
                <w:rFonts w:ascii="Garamond" w:hAnsi="Garamond"/>
                <w:sz w:val="22"/>
                <w:szCs w:val="22"/>
                <w:highlight w:val="yellow"/>
                <w:lang w:val="en-US"/>
              </w:rPr>
            </w:pPr>
            <w:r w:rsidRPr="006F6DAC">
              <w:rPr>
                <w:rFonts w:ascii="Garamond" w:hAnsi="Garamond"/>
                <w:sz w:val="22"/>
                <w:szCs w:val="22"/>
                <w:highlight w:val="yellow"/>
                <w:lang w:val="en-US"/>
              </w:rPr>
              <w:t>&lt;?xml version="1.0" encoding="windows-1251"?&gt;</w:t>
            </w:r>
          </w:p>
          <w:p w14:paraId="63D633FC" w14:textId="77777777" w:rsidR="00F11A8B" w:rsidRPr="006F6DAC" w:rsidRDefault="00F11A8B" w:rsidP="00F11A8B">
            <w:pPr>
              <w:ind w:right="-143"/>
              <w:contextualSpacing/>
              <w:jc w:val="both"/>
              <w:rPr>
                <w:rFonts w:ascii="Garamond" w:hAnsi="Garamond"/>
                <w:sz w:val="22"/>
                <w:szCs w:val="22"/>
                <w:highlight w:val="yellow"/>
                <w:lang w:val="en-US"/>
              </w:rPr>
            </w:pPr>
            <w:r w:rsidRPr="006F6DAC">
              <w:rPr>
                <w:rFonts w:ascii="Garamond" w:hAnsi="Garamond"/>
                <w:sz w:val="22"/>
                <w:szCs w:val="22"/>
                <w:highlight w:val="yellow"/>
                <w:lang w:val="en-US"/>
              </w:rPr>
              <w:t xml:space="preserve">&lt;message </w:t>
            </w:r>
          </w:p>
          <w:p w14:paraId="2B952669" w14:textId="77777777" w:rsidR="00F11A8B" w:rsidRPr="006F6DAC" w:rsidRDefault="00F11A8B" w:rsidP="00F11A8B">
            <w:pPr>
              <w:ind w:right="-143"/>
              <w:contextualSpacing/>
              <w:jc w:val="both"/>
              <w:rPr>
                <w:rFonts w:ascii="Garamond" w:hAnsi="Garamond"/>
                <w:sz w:val="22"/>
                <w:szCs w:val="22"/>
                <w:highlight w:val="yellow"/>
                <w:lang w:val="en-US"/>
              </w:rPr>
            </w:pPr>
            <w:r w:rsidRPr="006F6DAC">
              <w:rPr>
                <w:rFonts w:ascii="Garamond" w:hAnsi="Garamond"/>
                <w:sz w:val="22"/>
                <w:szCs w:val="22"/>
                <w:highlight w:val="yellow"/>
                <w:lang w:val="en-US"/>
              </w:rPr>
              <w:t xml:space="preserve">  class = "80000"</w:t>
            </w:r>
          </w:p>
          <w:p w14:paraId="13EF5826" w14:textId="77777777" w:rsidR="00F11A8B" w:rsidRPr="006F6DAC" w:rsidRDefault="00F11A8B" w:rsidP="00F11A8B">
            <w:pPr>
              <w:ind w:right="-143"/>
              <w:contextualSpacing/>
              <w:jc w:val="both"/>
              <w:rPr>
                <w:rFonts w:ascii="Garamond" w:hAnsi="Garamond"/>
                <w:sz w:val="22"/>
                <w:szCs w:val="22"/>
                <w:highlight w:val="yellow"/>
                <w:lang w:val="en-US"/>
              </w:rPr>
            </w:pPr>
            <w:r w:rsidRPr="006F6DAC">
              <w:rPr>
                <w:rFonts w:ascii="Garamond" w:hAnsi="Garamond"/>
                <w:sz w:val="22"/>
                <w:szCs w:val="22"/>
                <w:highlight w:val="yellow"/>
                <w:lang w:val="en-US"/>
              </w:rPr>
              <w:t xml:space="preserve">  version = "5n"&gt;</w:t>
            </w:r>
          </w:p>
          <w:p w14:paraId="601560A7" w14:textId="77777777" w:rsidR="00F11A8B" w:rsidRPr="006F6DAC" w:rsidRDefault="00F11A8B" w:rsidP="00F11A8B">
            <w:pPr>
              <w:ind w:right="-143"/>
              <w:contextualSpacing/>
              <w:jc w:val="both"/>
              <w:rPr>
                <w:rFonts w:ascii="Garamond" w:hAnsi="Garamond"/>
                <w:sz w:val="22"/>
                <w:szCs w:val="22"/>
                <w:highlight w:val="yellow"/>
                <w:lang w:val="en-US"/>
              </w:rPr>
            </w:pPr>
            <w:r w:rsidRPr="006F6DAC">
              <w:rPr>
                <w:rFonts w:ascii="Garamond" w:hAnsi="Garamond"/>
                <w:sz w:val="22"/>
                <w:szCs w:val="22"/>
                <w:highlight w:val="yellow"/>
                <w:lang w:val="en-US"/>
              </w:rPr>
              <w:t xml:space="preserve">  generationtime = "ГГГГММДДччммссGMT+3"&gt;</w:t>
            </w:r>
          </w:p>
          <w:p w14:paraId="2F29BF03" w14:textId="77777777" w:rsidR="00F11A8B" w:rsidRPr="006F6DAC" w:rsidRDefault="00F11A8B" w:rsidP="00F11A8B">
            <w:pPr>
              <w:ind w:right="-143"/>
              <w:contextualSpacing/>
              <w:jc w:val="both"/>
              <w:rPr>
                <w:rFonts w:ascii="Garamond" w:hAnsi="Garamond"/>
                <w:sz w:val="22"/>
                <w:szCs w:val="22"/>
                <w:highlight w:val="yellow"/>
                <w:lang w:val="en-US"/>
              </w:rPr>
            </w:pPr>
            <w:r w:rsidRPr="006F6DAC">
              <w:rPr>
                <w:rFonts w:ascii="Garamond" w:hAnsi="Garamond"/>
                <w:sz w:val="22"/>
                <w:szCs w:val="22"/>
                <w:highlight w:val="yellow"/>
                <w:lang w:val="en-US"/>
              </w:rPr>
              <w:t xml:space="preserve">  </w:t>
            </w:r>
          </w:p>
          <w:p w14:paraId="6F918F7B" w14:textId="77777777" w:rsidR="00F11A8B" w:rsidRPr="006F6DAC" w:rsidRDefault="00F11A8B" w:rsidP="00F11A8B">
            <w:pPr>
              <w:ind w:right="-143"/>
              <w:contextualSpacing/>
              <w:jc w:val="both"/>
              <w:rPr>
                <w:rFonts w:ascii="Garamond" w:hAnsi="Garamond"/>
                <w:sz w:val="22"/>
                <w:szCs w:val="22"/>
                <w:highlight w:val="yellow"/>
                <w:lang w:val="en-US"/>
              </w:rPr>
            </w:pPr>
            <w:r w:rsidRPr="006F6DAC">
              <w:rPr>
                <w:rFonts w:ascii="Garamond" w:hAnsi="Garamond"/>
                <w:sz w:val="22"/>
                <w:szCs w:val="22"/>
                <w:highlight w:val="yellow"/>
                <w:lang w:val="en-US"/>
              </w:rPr>
              <w:t xml:space="preserve">    &lt;dictionaries&gt;</w:t>
            </w:r>
          </w:p>
          <w:p w14:paraId="3E3A6722" w14:textId="77777777" w:rsidR="00F11A8B" w:rsidRPr="006F6DAC" w:rsidRDefault="00F11A8B" w:rsidP="00F11A8B">
            <w:pPr>
              <w:ind w:right="-143"/>
              <w:contextualSpacing/>
              <w:jc w:val="both"/>
              <w:rPr>
                <w:rFonts w:ascii="Garamond" w:hAnsi="Garamond"/>
                <w:sz w:val="22"/>
                <w:szCs w:val="22"/>
                <w:highlight w:val="yellow"/>
                <w:lang w:val="en-US"/>
              </w:rPr>
            </w:pPr>
            <w:r w:rsidRPr="006F6DAC">
              <w:rPr>
                <w:rFonts w:ascii="Garamond" w:hAnsi="Garamond"/>
                <w:sz w:val="22"/>
                <w:szCs w:val="22"/>
                <w:highlight w:val="yellow"/>
                <w:lang w:val="en-US"/>
              </w:rPr>
              <w:t xml:space="preserve">        &lt;organization </w:t>
            </w:r>
          </w:p>
          <w:p w14:paraId="61934A28" w14:textId="77777777" w:rsidR="00F11A8B" w:rsidRPr="006F6DAC" w:rsidRDefault="00F11A8B" w:rsidP="00F11A8B">
            <w:pPr>
              <w:ind w:right="-143"/>
              <w:contextualSpacing/>
              <w:jc w:val="both"/>
              <w:rPr>
                <w:rFonts w:ascii="Garamond" w:hAnsi="Garamond"/>
                <w:sz w:val="22"/>
                <w:szCs w:val="22"/>
                <w:highlight w:val="yellow"/>
                <w:lang w:val="en-US"/>
              </w:rPr>
            </w:pPr>
            <w:r w:rsidRPr="006F6DAC">
              <w:rPr>
                <w:rFonts w:ascii="Garamond" w:hAnsi="Garamond"/>
                <w:sz w:val="22"/>
                <w:szCs w:val="22"/>
                <w:highlight w:val="yellow"/>
                <w:lang w:val="en-US"/>
              </w:rPr>
              <w:t xml:space="preserve">          inn = "10n"</w:t>
            </w:r>
          </w:p>
          <w:p w14:paraId="6A90D352" w14:textId="77777777" w:rsidR="00F11A8B" w:rsidRPr="006F6DAC" w:rsidRDefault="00F11A8B" w:rsidP="00F11A8B">
            <w:pPr>
              <w:ind w:right="-143"/>
              <w:contextualSpacing/>
              <w:jc w:val="both"/>
              <w:rPr>
                <w:rFonts w:ascii="Garamond" w:hAnsi="Garamond"/>
                <w:sz w:val="22"/>
                <w:szCs w:val="22"/>
                <w:highlight w:val="yellow"/>
                <w:lang w:val="en-US"/>
              </w:rPr>
            </w:pPr>
            <w:r w:rsidRPr="006F6DAC">
              <w:rPr>
                <w:rFonts w:ascii="Garamond" w:hAnsi="Garamond"/>
                <w:sz w:val="22"/>
                <w:szCs w:val="22"/>
                <w:highlight w:val="yellow"/>
                <w:lang w:val="en-US"/>
              </w:rPr>
              <w:t xml:space="preserve">          name = "250x"</w:t>
            </w:r>
          </w:p>
          <w:p w14:paraId="5107D51E" w14:textId="77777777" w:rsidR="00F11A8B" w:rsidRPr="006F6DAC" w:rsidRDefault="00F11A8B" w:rsidP="00F11A8B">
            <w:pPr>
              <w:ind w:right="-143"/>
              <w:contextualSpacing/>
              <w:jc w:val="both"/>
              <w:rPr>
                <w:rFonts w:ascii="Garamond" w:hAnsi="Garamond"/>
                <w:sz w:val="22"/>
                <w:szCs w:val="22"/>
                <w:highlight w:val="yellow"/>
                <w:lang w:val="en-US"/>
              </w:rPr>
            </w:pPr>
            <w:r w:rsidRPr="006F6DAC">
              <w:rPr>
                <w:rFonts w:ascii="Garamond" w:hAnsi="Garamond"/>
                <w:sz w:val="22"/>
                <w:szCs w:val="22"/>
                <w:highlight w:val="yellow"/>
                <w:lang w:val="en-US"/>
              </w:rPr>
              <w:t xml:space="preserve">          trader-code = "8x"/&gt;</w:t>
            </w:r>
          </w:p>
          <w:p w14:paraId="3487C20E" w14:textId="77777777" w:rsidR="00F11A8B" w:rsidRPr="006F6DAC" w:rsidRDefault="00F11A8B" w:rsidP="00F11A8B">
            <w:pPr>
              <w:ind w:right="-143"/>
              <w:contextualSpacing/>
              <w:jc w:val="both"/>
              <w:rPr>
                <w:rFonts w:ascii="Garamond" w:hAnsi="Garamond"/>
                <w:sz w:val="22"/>
                <w:szCs w:val="22"/>
                <w:highlight w:val="yellow"/>
                <w:lang w:val="en-US"/>
              </w:rPr>
            </w:pPr>
            <w:r w:rsidRPr="006F6DAC">
              <w:rPr>
                <w:rFonts w:ascii="Garamond" w:hAnsi="Garamond"/>
                <w:sz w:val="22"/>
                <w:szCs w:val="22"/>
                <w:highlight w:val="yellow"/>
                <w:lang w:val="en-US"/>
              </w:rPr>
              <w:t xml:space="preserve">        &lt;power-objects&gt;</w:t>
            </w:r>
          </w:p>
          <w:p w14:paraId="572C6AFA" w14:textId="77777777" w:rsidR="00F11A8B" w:rsidRPr="006F6DAC" w:rsidRDefault="00F11A8B" w:rsidP="00F11A8B">
            <w:pPr>
              <w:ind w:right="-143"/>
              <w:contextualSpacing/>
              <w:jc w:val="both"/>
              <w:rPr>
                <w:rFonts w:ascii="Garamond" w:hAnsi="Garamond"/>
                <w:sz w:val="22"/>
                <w:szCs w:val="22"/>
                <w:highlight w:val="yellow"/>
                <w:lang w:val="en-US"/>
              </w:rPr>
            </w:pPr>
            <w:r w:rsidRPr="006F6DAC">
              <w:rPr>
                <w:rFonts w:ascii="Garamond" w:hAnsi="Garamond"/>
                <w:sz w:val="22"/>
                <w:szCs w:val="22"/>
                <w:highlight w:val="yellow"/>
                <w:lang w:val="en-US"/>
              </w:rPr>
              <w:t xml:space="preserve">            &lt;power-object </w:t>
            </w:r>
          </w:p>
          <w:p w14:paraId="5E10D521" w14:textId="77777777" w:rsidR="00F11A8B" w:rsidRPr="006F6DAC" w:rsidRDefault="00F11A8B" w:rsidP="00F11A8B">
            <w:pPr>
              <w:spacing w:line="276" w:lineRule="auto"/>
              <w:ind w:right="-143"/>
              <w:contextualSpacing/>
              <w:jc w:val="both"/>
              <w:rPr>
                <w:rFonts w:ascii="Garamond" w:hAnsi="Garamond"/>
                <w:sz w:val="22"/>
                <w:szCs w:val="22"/>
                <w:highlight w:val="yellow"/>
                <w:lang w:val="en-US"/>
              </w:rPr>
            </w:pPr>
            <w:r w:rsidRPr="006F6DAC">
              <w:rPr>
                <w:rFonts w:ascii="Garamond" w:hAnsi="Garamond"/>
                <w:sz w:val="22"/>
                <w:szCs w:val="22"/>
                <w:highlight w:val="yellow"/>
                <w:lang w:val="en-US"/>
              </w:rPr>
              <w:t xml:space="preserve">              ats-code = "9n"</w:t>
            </w:r>
          </w:p>
          <w:p w14:paraId="46CD4ACC" w14:textId="77777777" w:rsidR="00F11A8B" w:rsidRPr="006F6DAC" w:rsidRDefault="00F11A8B" w:rsidP="00F11A8B">
            <w:pPr>
              <w:spacing w:line="276" w:lineRule="auto"/>
              <w:ind w:right="-143"/>
              <w:contextualSpacing/>
              <w:jc w:val="both"/>
              <w:rPr>
                <w:rFonts w:ascii="Garamond" w:hAnsi="Garamond"/>
                <w:sz w:val="22"/>
                <w:szCs w:val="22"/>
                <w:highlight w:val="yellow"/>
                <w:lang w:val="en-US"/>
              </w:rPr>
            </w:pPr>
            <w:r w:rsidRPr="006F6DAC">
              <w:rPr>
                <w:rFonts w:ascii="Garamond" w:hAnsi="Garamond"/>
                <w:sz w:val="22"/>
                <w:szCs w:val="22"/>
                <w:highlight w:val="yellow"/>
                <w:lang w:val="en-US"/>
              </w:rPr>
              <w:t xml:space="preserve">              is-power-center = "true/false"</w:t>
            </w:r>
          </w:p>
          <w:p w14:paraId="4CBB5EF5" w14:textId="77777777" w:rsidR="00F11A8B" w:rsidRPr="006F6DAC" w:rsidRDefault="00F11A8B" w:rsidP="00F11A8B">
            <w:pPr>
              <w:spacing w:line="276" w:lineRule="auto"/>
              <w:ind w:right="-143"/>
              <w:contextualSpacing/>
              <w:jc w:val="both"/>
              <w:rPr>
                <w:rFonts w:ascii="Garamond" w:hAnsi="Garamond"/>
                <w:sz w:val="22"/>
                <w:szCs w:val="22"/>
                <w:highlight w:val="yellow"/>
                <w:lang w:val="en-US"/>
              </w:rPr>
            </w:pPr>
            <w:r w:rsidRPr="006F6DAC">
              <w:rPr>
                <w:rFonts w:ascii="Garamond" w:hAnsi="Garamond"/>
                <w:sz w:val="22"/>
                <w:szCs w:val="22"/>
                <w:highlight w:val="yellow"/>
                <w:lang w:val="en-US"/>
              </w:rPr>
              <w:t xml:space="preserve">              name = "512x"</w:t>
            </w:r>
          </w:p>
          <w:p w14:paraId="4B36B798" w14:textId="77777777" w:rsidR="00F11A8B" w:rsidRPr="006F6DAC" w:rsidRDefault="00F11A8B" w:rsidP="00F11A8B">
            <w:pPr>
              <w:spacing w:line="276" w:lineRule="auto"/>
              <w:ind w:right="-143"/>
              <w:contextualSpacing/>
              <w:jc w:val="both"/>
              <w:rPr>
                <w:rFonts w:ascii="Garamond" w:hAnsi="Garamond"/>
                <w:sz w:val="22"/>
                <w:szCs w:val="22"/>
                <w:highlight w:val="yellow"/>
                <w:lang w:val="en-US"/>
              </w:rPr>
            </w:pPr>
            <w:r w:rsidRPr="006F6DAC">
              <w:rPr>
                <w:rFonts w:ascii="Garamond" w:hAnsi="Garamond"/>
                <w:sz w:val="22"/>
                <w:szCs w:val="22"/>
                <w:highlight w:val="yellow"/>
                <w:lang w:val="en-US"/>
              </w:rPr>
              <w:t xml:space="preserve">              type = "1/2/3/4/5/6/13"</w:t>
            </w:r>
            <w:r w:rsidRPr="006F6DAC">
              <w:rPr>
                <w:rFonts w:ascii="Garamond" w:eastAsia="Calibri" w:hAnsi="Garamond"/>
                <w:sz w:val="22"/>
                <w:szCs w:val="22"/>
                <w:highlight w:val="yellow"/>
                <w:lang w:val="en-US"/>
              </w:rPr>
              <w:t>&gt;</w:t>
            </w:r>
          </w:p>
          <w:p w14:paraId="0D2E0CDA" w14:textId="77777777" w:rsidR="00F11A8B" w:rsidRPr="006F6DAC" w:rsidRDefault="00F11A8B" w:rsidP="00F11A8B">
            <w:pPr>
              <w:spacing w:line="276" w:lineRule="auto"/>
              <w:ind w:left="708"/>
              <w:rPr>
                <w:rFonts w:ascii="Garamond" w:hAnsi="Garamond"/>
                <w:sz w:val="22"/>
                <w:szCs w:val="22"/>
                <w:highlight w:val="yellow"/>
                <w:lang w:val="en-US"/>
              </w:rPr>
            </w:pPr>
            <w:r w:rsidRPr="006F6DAC">
              <w:rPr>
                <w:rFonts w:ascii="Garamond" w:hAnsi="Garamond"/>
                <w:sz w:val="22"/>
                <w:szCs w:val="22"/>
                <w:highlight w:val="yellow"/>
                <w:lang w:val="en-US"/>
              </w:rPr>
              <w:t xml:space="preserve"> &lt;voltage-levels&gt;</w:t>
            </w:r>
          </w:p>
          <w:p w14:paraId="3AAFB760" w14:textId="77777777" w:rsidR="00F11A8B" w:rsidRPr="006F6DAC" w:rsidRDefault="00F11A8B" w:rsidP="00F11A8B">
            <w:pPr>
              <w:spacing w:line="276" w:lineRule="auto"/>
              <w:ind w:left="708" w:firstLine="708"/>
              <w:rPr>
                <w:rFonts w:ascii="Garamond" w:hAnsi="Garamond"/>
                <w:sz w:val="22"/>
                <w:szCs w:val="22"/>
                <w:highlight w:val="yellow"/>
                <w:lang w:val="en-US"/>
              </w:rPr>
            </w:pPr>
            <w:r w:rsidRPr="006F6DAC">
              <w:rPr>
                <w:rFonts w:ascii="Garamond" w:hAnsi="Garamond"/>
                <w:sz w:val="22"/>
                <w:szCs w:val="22"/>
                <w:highlight w:val="yellow"/>
                <w:lang w:val="en-US"/>
              </w:rPr>
              <w:t>&lt;voltage-level voltage</w:t>
            </w:r>
            <w:r w:rsidRPr="006F6DAC">
              <w:rPr>
                <w:rFonts w:ascii="Garamond" w:eastAsia="Calibri" w:hAnsi="Garamond"/>
                <w:sz w:val="22"/>
                <w:szCs w:val="22"/>
                <w:highlight w:val="yellow"/>
                <w:lang w:val="en-US"/>
              </w:rPr>
              <w:t>="10n"/&gt;</w:t>
            </w:r>
          </w:p>
          <w:p w14:paraId="021AAFDA" w14:textId="77777777" w:rsidR="00F11A8B" w:rsidRPr="006F6DAC" w:rsidRDefault="00F11A8B" w:rsidP="00F11A8B">
            <w:pPr>
              <w:spacing w:line="276" w:lineRule="auto"/>
              <w:ind w:firstLine="708"/>
              <w:rPr>
                <w:rFonts w:ascii="Garamond" w:hAnsi="Garamond"/>
                <w:sz w:val="22"/>
                <w:szCs w:val="22"/>
                <w:highlight w:val="yellow"/>
                <w:lang w:val="en-US"/>
              </w:rPr>
            </w:pPr>
            <w:r w:rsidRPr="006F6DAC">
              <w:rPr>
                <w:rFonts w:ascii="Garamond" w:hAnsi="Garamond"/>
                <w:sz w:val="22"/>
                <w:szCs w:val="22"/>
                <w:highlight w:val="yellow"/>
                <w:lang w:val="en-US"/>
              </w:rPr>
              <w:t xml:space="preserve"> &lt;/voltage-levels&gt;</w:t>
            </w:r>
          </w:p>
          <w:p w14:paraId="54D8E6BB" w14:textId="77777777" w:rsidR="00F11A8B" w:rsidRPr="006F6DAC" w:rsidRDefault="00F11A8B" w:rsidP="00F11A8B">
            <w:pPr>
              <w:spacing w:line="276" w:lineRule="auto"/>
              <w:rPr>
                <w:rFonts w:ascii="Garamond" w:hAnsi="Garamond"/>
                <w:sz w:val="22"/>
                <w:szCs w:val="22"/>
                <w:highlight w:val="yellow"/>
                <w:lang w:val="en-US"/>
              </w:rPr>
            </w:pPr>
            <w:r w:rsidRPr="006F6DAC">
              <w:rPr>
                <w:rFonts w:ascii="Garamond" w:hAnsi="Garamond"/>
                <w:sz w:val="22"/>
                <w:szCs w:val="22"/>
                <w:highlight w:val="yellow"/>
                <w:lang w:val="en-US"/>
              </w:rPr>
              <w:lastRenderedPageBreak/>
              <w:t xml:space="preserve">            &lt;/power-object&gt;</w:t>
            </w:r>
          </w:p>
          <w:p w14:paraId="2018780B" w14:textId="77777777" w:rsidR="00F11A8B" w:rsidRPr="006F6DAC" w:rsidRDefault="00F11A8B" w:rsidP="00F11A8B">
            <w:pPr>
              <w:spacing w:line="276" w:lineRule="auto"/>
              <w:ind w:right="-143"/>
              <w:contextualSpacing/>
              <w:jc w:val="both"/>
              <w:rPr>
                <w:rFonts w:ascii="Garamond" w:hAnsi="Garamond"/>
                <w:sz w:val="22"/>
                <w:szCs w:val="22"/>
                <w:highlight w:val="yellow"/>
                <w:lang w:val="en-US"/>
              </w:rPr>
            </w:pPr>
            <w:r w:rsidRPr="006F6DAC">
              <w:rPr>
                <w:rFonts w:ascii="Garamond" w:hAnsi="Garamond"/>
                <w:sz w:val="22"/>
                <w:szCs w:val="22"/>
                <w:highlight w:val="yellow"/>
                <w:lang w:val="en-US"/>
              </w:rPr>
              <w:t xml:space="preserve">        &lt;/power-objects&gt;</w:t>
            </w:r>
          </w:p>
          <w:p w14:paraId="65C1FBE3" w14:textId="77777777" w:rsidR="00F11A8B" w:rsidRPr="006F6DAC" w:rsidRDefault="00F11A8B" w:rsidP="00F11A8B">
            <w:pPr>
              <w:spacing w:line="276" w:lineRule="auto"/>
              <w:ind w:right="-143"/>
              <w:contextualSpacing/>
              <w:jc w:val="both"/>
              <w:rPr>
                <w:rFonts w:ascii="Garamond" w:hAnsi="Garamond"/>
                <w:sz w:val="22"/>
                <w:szCs w:val="22"/>
                <w:highlight w:val="yellow"/>
                <w:lang w:val="en-US"/>
              </w:rPr>
            </w:pPr>
            <w:r w:rsidRPr="006F6DAC">
              <w:rPr>
                <w:rFonts w:ascii="Garamond" w:hAnsi="Garamond"/>
                <w:sz w:val="22"/>
                <w:szCs w:val="22"/>
                <w:highlight w:val="yellow"/>
                <w:lang w:val="en-US"/>
              </w:rPr>
              <w:t xml:space="preserve">        &lt;delivery-points&gt;</w:t>
            </w:r>
          </w:p>
          <w:p w14:paraId="5DE90EA7" w14:textId="77777777" w:rsidR="00F11A8B" w:rsidRPr="006F6DAC" w:rsidRDefault="00F11A8B" w:rsidP="00F11A8B">
            <w:pPr>
              <w:ind w:right="-143"/>
              <w:contextualSpacing/>
              <w:jc w:val="both"/>
              <w:rPr>
                <w:rFonts w:ascii="Garamond" w:hAnsi="Garamond"/>
                <w:sz w:val="22"/>
                <w:szCs w:val="22"/>
                <w:highlight w:val="yellow"/>
                <w:lang w:val="en-US"/>
              </w:rPr>
            </w:pPr>
            <w:r w:rsidRPr="006F6DAC">
              <w:rPr>
                <w:rFonts w:ascii="Garamond" w:hAnsi="Garamond"/>
                <w:sz w:val="22"/>
                <w:szCs w:val="22"/>
                <w:highlight w:val="yellow"/>
                <w:lang w:val="en-US"/>
              </w:rPr>
              <w:t xml:space="preserve">            &lt;delivery-point </w:t>
            </w:r>
          </w:p>
          <w:p w14:paraId="50E3F8AE" w14:textId="77777777" w:rsidR="00F11A8B" w:rsidRPr="006F6DAC" w:rsidRDefault="00F11A8B" w:rsidP="00F11A8B">
            <w:pPr>
              <w:ind w:right="-143"/>
              <w:contextualSpacing/>
              <w:jc w:val="both"/>
              <w:rPr>
                <w:rFonts w:ascii="Garamond" w:hAnsi="Garamond"/>
                <w:sz w:val="22"/>
                <w:szCs w:val="22"/>
                <w:highlight w:val="yellow"/>
                <w:lang w:val="en-US"/>
              </w:rPr>
            </w:pPr>
            <w:r w:rsidRPr="006F6DAC">
              <w:rPr>
                <w:rFonts w:ascii="Garamond" w:hAnsi="Garamond"/>
                <w:sz w:val="22"/>
                <w:szCs w:val="22"/>
                <w:highlight w:val="yellow"/>
                <w:lang w:val="en-US"/>
              </w:rPr>
              <w:t xml:space="preserve">              ats-code = "15n"</w:t>
            </w:r>
          </w:p>
          <w:p w14:paraId="54C80726" w14:textId="77777777" w:rsidR="00F11A8B" w:rsidRPr="006F6DAC" w:rsidRDefault="00F11A8B" w:rsidP="00F11A8B">
            <w:pPr>
              <w:ind w:right="-143"/>
              <w:contextualSpacing/>
              <w:jc w:val="both"/>
              <w:rPr>
                <w:rFonts w:ascii="Garamond" w:hAnsi="Garamond"/>
                <w:sz w:val="22"/>
                <w:szCs w:val="22"/>
                <w:highlight w:val="yellow"/>
                <w:lang w:val="en-US"/>
              </w:rPr>
            </w:pPr>
            <w:r w:rsidRPr="006F6DAC">
              <w:rPr>
                <w:rFonts w:ascii="Garamond" w:hAnsi="Garamond"/>
                <w:sz w:val="22"/>
                <w:szCs w:val="22"/>
                <w:highlight w:val="yellow"/>
                <w:lang w:val="en-US"/>
              </w:rPr>
              <w:t xml:space="preserve">              composite-name = "512x"</w:t>
            </w:r>
          </w:p>
          <w:p w14:paraId="18C711C7" w14:textId="77777777" w:rsidR="00F11A8B" w:rsidRPr="006F6DAC" w:rsidRDefault="00F11A8B" w:rsidP="00F11A8B">
            <w:pPr>
              <w:ind w:right="-143"/>
              <w:contextualSpacing/>
              <w:jc w:val="both"/>
              <w:rPr>
                <w:rFonts w:ascii="Garamond" w:hAnsi="Garamond"/>
                <w:sz w:val="22"/>
                <w:szCs w:val="22"/>
                <w:highlight w:val="yellow"/>
                <w:lang w:val="en-US"/>
              </w:rPr>
            </w:pPr>
            <w:r w:rsidRPr="006F6DAC">
              <w:rPr>
                <w:rFonts w:ascii="Garamond" w:hAnsi="Garamond"/>
                <w:sz w:val="22"/>
                <w:szCs w:val="22"/>
                <w:highlight w:val="yellow"/>
                <w:lang w:val="en-US"/>
              </w:rPr>
              <w:t xml:space="preserve">              is-group-delivery-point = "true/false"</w:t>
            </w:r>
          </w:p>
          <w:p w14:paraId="2801B205" w14:textId="77777777" w:rsidR="00F11A8B" w:rsidRPr="006F6DAC" w:rsidRDefault="00F11A8B" w:rsidP="00F11A8B">
            <w:pPr>
              <w:ind w:right="-143"/>
              <w:contextualSpacing/>
              <w:jc w:val="both"/>
              <w:rPr>
                <w:rFonts w:ascii="Garamond" w:hAnsi="Garamond"/>
                <w:sz w:val="22"/>
                <w:szCs w:val="22"/>
                <w:highlight w:val="yellow"/>
                <w:lang w:val="en-US"/>
              </w:rPr>
            </w:pPr>
            <w:r w:rsidRPr="006F6DAC">
              <w:rPr>
                <w:rFonts w:ascii="Garamond" w:hAnsi="Garamond"/>
                <w:sz w:val="22"/>
                <w:szCs w:val="22"/>
                <w:highlight w:val="yellow"/>
                <w:lang w:val="en-US"/>
              </w:rPr>
              <w:t xml:space="preserve">              point-voltage = "10n"&gt;</w:t>
            </w:r>
          </w:p>
          <w:p w14:paraId="64174288" w14:textId="77777777" w:rsidR="00F11A8B" w:rsidRPr="006F6DAC" w:rsidRDefault="00F11A8B" w:rsidP="00F11A8B">
            <w:pPr>
              <w:ind w:right="-143"/>
              <w:contextualSpacing/>
              <w:jc w:val="both"/>
              <w:rPr>
                <w:rFonts w:ascii="Garamond" w:hAnsi="Garamond"/>
                <w:sz w:val="22"/>
                <w:szCs w:val="22"/>
                <w:highlight w:val="yellow"/>
                <w:lang w:val="en-US"/>
              </w:rPr>
            </w:pPr>
            <w:r w:rsidRPr="006F6DAC">
              <w:rPr>
                <w:rFonts w:ascii="Garamond" w:hAnsi="Garamond"/>
                <w:sz w:val="22"/>
                <w:szCs w:val="22"/>
                <w:highlight w:val="yellow"/>
                <w:lang w:val="en-US"/>
              </w:rPr>
              <w:t xml:space="preserve">                &lt;name </w:t>
            </w:r>
          </w:p>
          <w:p w14:paraId="6B6037A4" w14:textId="77777777" w:rsidR="00F11A8B" w:rsidRPr="006F6DAC" w:rsidRDefault="00F11A8B" w:rsidP="00F11A8B">
            <w:pPr>
              <w:ind w:right="-143"/>
              <w:contextualSpacing/>
              <w:jc w:val="both"/>
              <w:rPr>
                <w:rFonts w:ascii="Garamond" w:hAnsi="Garamond"/>
                <w:sz w:val="22"/>
                <w:szCs w:val="22"/>
                <w:highlight w:val="yellow"/>
                <w:lang w:val="en-US"/>
              </w:rPr>
            </w:pPr>
            <w:r w:rsidRPr="006F6DAC">
              <w:rPr>
                <w:rFonts w:ascii="Garamond" w:hAnsi="Garamond"/>
                <w:sz w:val="22"/>
                <w:szCs w:val="22"/>
                <w:highlight w:val="yellow"/>
                <w:lang w:val="en-US"/>
              </w:rPr>
              <w:t xml:space="preserve">                  connection-name = "250x"</w:t>
            </w:r>
          </w:p>
          <w:p w14:paraId="65437F6B" w14:textId="77777777" w:rsidR="00F11A8B" w:rsidRPr="006F6DAC" w:rsidRDefault="00F11A8B" w:rsidP="00F11A8B">
            <w:pPr>
              <w:ind w:right="-143"/>
              <w:contextualSpacing/>
              <w:jc w:val="both"/>
              <w:rPr>
                <w:rFonts w:ascii="Garamond" w:hAnsi="Garamond"/>
                <w:sz w:val="22"/>
                <w:szCs w:val="22"/>
                <w:highlight w:val="yellow"/>
                <w:lang w:val="en-US"/>
              </w:rPr>
            </w:pPr>
            <w:r w:rsidRPr="006F6DAC">
              <w:rPr>
                <w:rFonts w:ascii="Garamond" w:hAnsi="Garamond"/>
                <w:sz w:val="22"/>
                <w:szCs w:val="22"/>
                <w:highlight w:val="yellow"/>
                <w:lang w:val="en-US"/>
              </w:rPr>
              <w:t xml:space="preserve">                  location-description = "250x"</w:t>
            </w:r>
          </w:p>
          <w:p w14:paraId="697C1AFD" w14:textId="77777777" w:rsidR="00F11A8B" w:rsidRPr="006F6DAC" w:rsidRDefault="00F11A8B" w:rsidP="00F11A8B">
            <w:pPr>
              <w:ind w:right="-143"/>
              <w:contextualSpacing/>
              <w:jc w:val="both"/>
              <w:rPr>
                <w:rFonts w:ascii="Garamond" w:hAnsi="Garamond"/>
                <w:sz w:val="22"/>
                <w:szCs w:val="22"/>
                <w:highlight w:val="yellow"/>
                <w:lang w:val="en-US"/>
              </w:rPr>
            </w:pPr>
            <w:r w:rsidRPr="006F6DAC">
              <w:rPr>
                <w:rFonts w:ascii="Garamond" w:hAnsi="Garamond"/>
                <w:sz w:val="22"/>
                <w:szCs w:val="22"/>
                <w:highlight w:val="yellow"/>
                <w:lang w:val="en-US"/>
              </w:rPr>
              <w:t xml:space="preserve">                  power-object-name = "250x"/&gt;</w:t>
            </w:r>
          </w:p>
          <w:p w14:paraId="5924440F" w14:textId="77777777" w:rsidR="00F11A8B" w:rsidRPr="006F6DAC" w:rsidRDefault="00F11A8B" w:rsidP="00F11A8B">
            <w:pPr>
              <w:ind w:right="-143"/>
              <w:contextualSpacing/>
              <w:jc w:val="both"/>
              <w:rPr>
                <w:rFonts w:ascii="Garamond" w:hAnsi="Garamond"/>
                <w:sz w:val="22"/>
                <w:szCs w:val="22"/>
                <w:highlight w:val="yellow"/>
                <w:lang w:val="en-US"/>
              </w:rPr>
            </w:pPr>
            <w:r w:rsidRPr="006F6DAC">
              <w:rPr>
                <w:rFonts w:ascii="Garamond" w:hAnsi="Garamond"/>
                <w:sz w:val="22"/>
                <w:szCs w:val="22"/>
                <w:highlight w:val="yellow"/>
                <w:lang w:val="en-US"/>
              </w:rPr>
              <w:t xml:space="preserve">            &lt;/delivery-point&gt;</w:t>
            </w:r>
          </w:p>
          <w:p w14:paraId="5F53DFB8" w14:textId="77777777" w:rsidR="00F11A8B" w:rsidRPr="006F6DAC" w:rsidRDefault="00F11A8B" w:rsidP="00F11A8B">
            <w:pPr>
              <w:ind w:right="-143"/>
              <w:contextualSpacing/>
              <w:jc w:val="both"/>
              <w:rPr>
                <w:rFonts w:ascii="Garamond" w:hAnsi="Garamond"/>
                <w:sz w:val="22"/>
                <w:szCs w:val="22"/>
                <w:highlight w:val="yellow"/>
                <w:lang w:val="en-US"/>
              </w:rPr>
            </w:pPr>
            <w:r w:rsidRPr="006F6DAC">
              <w:rPr>
                <w:rFonts w:ascii="Garamond" w:hAnsi="Garamond"/>
                <w:sz w:val="22"/>
                <w:szCs w:val="22"/>
                <w:highlight w:val="yellow"/>
                <w:lang w:val="en-US"/>
              </w:rPr>
              <w:t xml:space="preserve">        &lt;/delivery-points&gt;</w:t>
            </w:r>
          </w:p>
          <w:p w14:paraId="2FBA81BE" w14:textId="77777777" w:rsidR="00F11A8B" w:rsidRPr="006F6DAC" w:rsidRDefault="00F11A8B" w:rsidP="00F11A8B">
            <w:pPr>
              <w:ind w:right="-143"/>
              <w:contextualSpacing/>
              <w:jc w:val="both"/>
              <w:rPr>
                <w:rFonts w:ascii="Garamond" w:hAnsi="Garamond"/>
                <w:sz w:val="22"/>
                <w:szCs w:val="22"/>
                <w:highlight w:val="yellow"/>
                <w:lang w:val="en-US"/>
              </w:rPr>
            </w:pPr>
            <w:r w:rsidRPr="006F6DAC">
              <w:rPr>
                <w:rFonts w:ascii="Garamond" w:hAnsi="Garamond"/>
                <w:sz w:val="22"/>
                <w:szCs w:val="22"/>
                <w:highlight w:val="yellow"/>
                <w:lang w:val="en-US"/>
              </w:rPr>
              <w:t xml:space="preserve">        &lt;measuring-device-modifications&gt;</w:t>
            </w:r>
          </w:p>
          <w:p w14:paraId="21101F15" w14:textId="77777777" w:rsidR="00F11A8B" w:rsidRPr="006F6DAC" w:rsidRDefault="00F11A8B" w:rsidP="00F11A8B">
            <w:pPr>
              <w:ind w:right="-143"/>
              <w:contextualSpacing/>
              <w:jc w:val="both"/>
              <w:rPr>
                <w:rFonts w:ascii="Garamond" w:hAnsi="Garamond"/>
                <w:sz w:val="22"/>
                <w:szCs w:val="22"/>
                <w:highlight w:val="yellow"/>
                <w:lang w:val="en-US"/>
              </w:rPr>
            </w:pPr>
            <w:r w:rsidRPr="006F6DAC">
              <w:rPr>
                <w:rFonts w:ascii="Garamond" w:hAnsi="Garamond"/>
                <w:sz w:val="22"/>
                <w:szCs w:val="22"/>
                <w:highlight w:val="yellow"/>
                <w:lang w:val="en-US"/>
              </w:rPr>
              <w:t xml:space="preserve">            &lt;measuring-device-modification </w:t>
            </w:r>
          </w:p>
          <w:p w14:paraId="02851FEE" w14:textId="77777777" w:rsidR="00F11A8B" w:rsidRPr="006F6DAC" w:rsidRDefault="00F11A8B" w:rsidP="00F11A8B">
            <w:pPr>
              <w:ind w:right="-143"/>
              <w:contextualSpacing/>
              <w:jc w:val="both"/>
              <w:rPr>
                <w:rFonts w:ascii="Garamond" w:hAnsi="Garamond"/>
                <w:sz w:val="22"/>
                <w:szCs w:val="22"/>
                <w:highlight w:val="yellow"/>
                <w:lang w:val="en-US"/>
              </w:rPr>
            </w:pPr>
            <w:r w:rsidRPr="006F6DAC">
              <w:rPr>
                <w:rFonts w:ascii="Garamond" w:hAnsi="Garamond"/>
                <w:sz w:val="22"/>
                <w:szCs w:val="22"/>
                <w:highlight w:val="yellow"/>
                <w:lang w:val="en-US"/>
              </w:rPr>
              <w:t xml:space="preserve">              ats-code = "32x"</w:t>
            </w:r>
          </w:p>
          <w:p w14:paraId="4826A2E2" w14:textId="77777777" w:rsidR="00F11A8B" w:rsidRPr="006F6DAC" w:rsidRDefault="00F11A8B" w:rsidP="00F11A8B">
            <w:pPr>
              <w:ind w:right="-143"/>
              <w:contextualSpacing/>
              <w:jc w:val="both"/>
              <w:rPr>
                <w:rFonts w:ascii="Garamond" w:hAnsi="Garamond"/>
                <w:sz w:val="22"/>
                <w:szCs w:val="22"/>
                <w:highlight w:val="yellow"/>
                <w:lang w:val="en-US"/>
              </w:rPr>
            </w:pPr>
            <w:r w:rsidRPr="006F6DAC">
              <w:rPr>
                <w:rFonts w:ascii="Garamond" w:hAnsi="Garamond"/>
                <w:sz w:val="22"/>
                <w:szCs w:val="22"/>
                <w:highlight w:val="yellow"/>
                <w:lang w:val="en-US"/>
              </w:rPr>
              <w:t xml:space="preserve">              device-modification-name = "80x"/&gt;</w:t>
            </w:r>
          </w:p>
          <w:p w14:paraId="0D43A581" w14:textId="77777777" w:rsidR="00F11A8B" w:rsidRPr="006F6DAC" w:rsidRDefault="00F11A8B" w:rsidP="00F11A8B">
            <w:pPr>
              <w:ind w:right="-143"/>
              <w:contextualSpacing/>
              <w:jc w:val="both"/>
              <w:rPr>
                <w:rFonts w:ascii="Garamond" w:hAnsi="Garamond"/>
                <w:sz w:val="22"/>
                <w:szCs w:val="22"/>
                <w:highlight w:val="yellow"/>
                <w:lang w:val="en-US"/>
              </w:rPr>
            </w:pPr>
            <w:r w:rsidRPr="006F6DAC">
              <w:rPr>
                <w:rFonts w:ascii="Garamond" w:hAnsi="Garamond"/>
                <w:sz w:val="22"/>
                <w:szCs w:val="22"/>
                <w:highlight w:val="yellow"/>
                <w:lang w:val="en-US"/>
              </w:rPr>
              <w:t xml:space="preserve">        &lt;/measuring-device-modifications&gt;</w:t>
            </w:r>
          </w:p>
          <w:p w14:paraId="7730F178" w14:textId="77777777" w:rsidR="00F11A8B" w:rsidRPr="006F6DAC" w:rsidRDefault="00F11A8B" w:rsidP="00F11A8B">
            <w:pPr>
              <w:ind w:right="-143"/>
              <w:contextualSpacing/>
              <w:jc w:val="both"/>
              <w:rPr>
                <w:rFonts w:ascii="Garamond" w:hAnsi="Garamond"/>
                <w:sz w:val="22"/>
                <w:szCs w:val="22"/>
                <w:highlight w:val="yellow"/>
                <w:lang w:val="en-US"/>
              </w:rPr>
            </w:pPr>
            <w:r w:rsidRPr="006F6DAC">
              <w:rPr>
                <w:rFonts w:ascii="Garamond" w:hAnsi="Garamond"/>
                <w:sz w:val="22"/>
                <w:szCs w:val="22"/>
                <w:highlight w:val="yellow"/>
                <w:lang w:val="en-US"/>
              </w:rPr>
              <w:t xml:space="preserve">        &lt;measuring-points&gt;</w:t>
            </w:r>
          </w:p>
          <w:p w14:paraId="2BAC7DDC" w14:textId="77777777" w:rsidR="00F11A8B" w:rsidRPr="006F6DAC" w:rsidRDefault="00F11A8B" w:rsidP="00F11A8B">
            <w:pPr>
              <w:ind w:right="-143"/>
              <w:contextualSpacing/>
              <w:jc w:val="both"/>
              <w:rPr>
                <w:rFonts w:ascii="Garamond" w:hAnsi="Garamond"/>
                <w:sz w:val="22"/>
                <w:szCs w:val="22"/>
                <w:highlight w:val="yellow"/>
                <w:lang w:val="en-US"/>
              </w:rPr>
            </w:pPr>
            <w:r w:rsidRPr="006F6DAC">
              <w:rPr>
                <w:rFonts w:ascii="Garamond" w:hAnsi="Garamond"/>
                <w:sz w:val="22"/>
                <w:szCs w:val="22"/>
                <w:highlight w:val="yellow"/>
                <w:lang w:val="en-US"/>
              </w:rPr>
              <w:t xml:space="preserve">            &lt;measuring-point </w:t>
            </w:r>
          </w:p>
          <w:p w14:paraId="13651EBE" w14:textId="77777777" w:rsidR="00F11A8B" w:rsidRPr="006F6DAC" w:rsidRDefault="00F11A8B" w:rsidP="00F11A8B">
            <w:pPr>
              <w:ind w:right="-143"/>
              <w:contextualSpacing/>
              <w:jc w:val="both"/>
              <w:rPr>
                <w:rFonts w:ascii="Garamond" w:hAnsi="Garamond"/>
                <w:sz w:val="22"/>
                <w:szCs w:val="22"/>
                <w:highlight w:val="yellow"/>
                <w:lang w:val="en-US"/>
              </w:rPr>
            </w:pPr>
            <w:r w:rsidRPr="006F6DAC">
              <w:rPr>
                <w:rFonts w:ascii="Garamond" w:hAnsi="Garamond"/>
                <w:sz w:val="22"/>
                <w:szCs w:val="22"/>
                <w:highlight w:val="yellow"/>
                <w:lang w:val="en-US"/>
              </w:rPr>
              <w:t xml:space="preserve">              ats-code = "15n"</w:t>
            </w:r>
          </w:p>
          <w:p w14:paraId="29590CE2" w14:textId="77777777" w:rsidR="00F11A8B" w:rsidRPr="006F6DAC" w:rsidRDefault="00F11A8B" w:rsidP="00F11A8B">
            <w:pPr>
              <w:ind w:right="-143"/>
              <w:contextualSpacing/>
              <w:jc w:val="both"/>
              <w:rPr>
                <w:rFonts w:ascii="Garamond" w:hAnsi="Garamond"/>
                <w:sz w:val="22"/>
                <w:szCs w:val="22"/>
                <w:highlight w:val="yellow"/>
                <w:lang w:val="en-US"/>
              </w:rPr>
            </w:pPr>
            <w:r w:rsidRPr="006F6DAC">
              <w:rPr>
                <w:rFonts w:ascii="Garamond" w:hAnsi="Garamond"/>
                <w:sz w:val="22"/>
                <w:szCs w:val="22"/>
                <w:highlight w:val="yellow"/>
                <w:lang w:val="en-US"/>
              </w:rPr>
              <w:t xml:space="preserve">              measuring-point-type = "general/ov"</w:t>
            </w:r>
          </w:p>
          <w:p w14:paraId="584FF3DF" w14:textId="77777777" w:rsidR="00F11A8B" w:rsidRPr="006F6DAC" w:rsidRDefault="00F11A8B" w:rsidP="00F11A8B">
            <w:pPr>
              <w:ind w:right="-143"/>
              <w:contextualSpacing/>
              <w:jc w:val="both"/>
              <w:rPr>
                <w:rFonts w:ascii="Garamond" w:hAnsi="Garamond"/>
                <w:sz w:val="22"/>
                <w:szCs w:val="22"/>
                <w:highlight w:val="yellow"/>
                <w:lang w:val="en-US"/>
              </w:rPr>
            </w:pPr>
            <w:r w:rsidRPr="006F6DAC">
              <w:rPr>
                <w:rFonts w:ascii="Garamond" w:hAnsi="Garamond"/>
                <w:sz w:val="22"/>
                <w:szCs w:val="22"/>
                <w:highlight w:val="yellow"/>
                <w:lang w:val="en-US"/>
              </w:rPr>
              <w:t xml:space="preserve">              composite-name = "255x"</w:t>
            </w:r>
          </w:p>
          <w:p w14:paraId="0E4B8D94" w14:textId="77777777" w:rsidR="00F11A8B" w:rsidRPr="006F6DAC" w:rsidRDefault="00F11A8B" w:rsidP="00F11A8B">
            <w:pPr>
              <w:ind w:right="-143"/>
              <w:contextualSpacing/>
              <w:jc w:val="both"/>
              <w:rPr>
                <w:rFonts w:ascii="Garamond" w:hAnsi="Garamond"/>
                <w:sz w:val="22"/>
                <w:szCs w:val="22"/>
                <w:highlight w:val="yellow"/>
                <w:lang w:val="en-US"/>
              </w:rPr>
            </w:pPr>
            <w:r w:rsidRPr="006F6DAC">
              <w:rPr>
                <w:rFonts w:ascii="Garamond" w:hAnsi="Garamond"/>
                <w:sz w:val="22"/>
                <w:szCs w:val="22"/>
                <w:highlight w:val="yellow"/>
                <w:lang w:val="en-US"/>
              </w:rPr>
              <w:t xml:space="preserve">              point-voltage = "10n"&gt;</w:t>
            </w:r>
          </w:p>
          <w:p w14:paraId="038318E6" w14:textId="77777777" w:rsidR="00F11A8B" w:rsidRPr="006F6DAC" w:rsidRDefault="00F11A8B" w:rsidP="00F11A8B">
            <w:pPr>
              <w:ind w:right="-143"/>
              <w:contextualSpacing/>
              <w:jc w:val="both"/>
              <w:rPr>
                <w:rFonts w:ascii="Garamond" w:hAnsi="Garamond"/>
                <w:sz w:val="22"/>
                <w:szCs w:val="22"/>
                <w:highlight w:val="yellow"/>
                <w:lang w:val="en-US"/>
              </w:rPr>
            </w:pPr>
            <w:r w:rsidRPr="006F6DAC">
              <w:rPr>
                <w:rFonts w:ascii="Garamond" w:hAnsi="Garamond"/>
                <w:sz w:val="22"/>
                <w:szCs w:val="22"/>
                <w:highlight w:val="yellow"/>
                <w:lang w:val="en-US"/>
              </w:rPr>
              <w:t xml:space="preserve">                &lt;measuring-device </w:t>
            </w:r>
          </w:p>
          <w:p w14:paraId="575ED086" w14:textId="77777777" w:rsidR="00F11A8B" w:rsidRPr="006F6DAC" w:rsidRDefault="00F11A8B" w:rsidP="00F11A8B">
            <w:pPr>
              <w:ind w:right="-143"/>
              <w:contextualSpacing/>
              <w:jc w:val="both"/>
              <w:rPr>
                <w:rFonts w:ascii="Garamond" w:hAnsi="Garamond"/>
                <w:sz w:val="22"/>
                <w:szCs w:val="22"/>
                <w:highlight w:val="yellow"/>
                <w:lang w:val="en-US"/>
              </w:rPr>
            </w:pPr>
            <w:r w:rsidRPr="006F6DAC">
              <w:rPr>
                <w:rFonts w:ascii="Garamond" w:hAnsi="Garamond"/>
                <w:sz w:val="22"/>
                <w:szCs w:val="22"/>
                <w:highlight w:val="yellow"/>
                <w:lang w:val="en-US"/>
              </w:rPr>
              <w:t xml:space="preserve">                  ats-code = "1n"</w:t>
            </w:r>
          </w:p>
          <w:p w14:paraId="6B727B85" w14:textId="77777777" w:rsidR="00F11A8B" w:rsidRPr="006F6DAC" w:rsidRDefault="00F11A8B" w:rsidP="00F11A8B">
            <w:pPr>
              <w:ind w:right="-143"/>
              <w:contextualSpacing/>
              <w:jc w:val="both"/>
              <w:rPr>
                <w:rFonts w:ascii="Garamond" w:hAnsi="Garamond"/>
                <w:sz w:val="22"/>
                <w:szCs w:val="22"/>
                <w:highlight w:val="yellow"/>
                <w:lang w:val="en-US"/>
              </w:rPr>
            </w:pPr>
            <w:r w:rsidRPr="006F6DAC">
              <w:rPr>
                <w:rFonts w:ascii="Garamond" w:hAnsi="Garamond"/>
                <w:sz w:val="22"/>
                <w:szCs w:val="22"/>
                <w:highlight w:val="yellow"/>
                <w:lang w:val="en-US"/>
              </w:rPr>
              <w:t xml:space="preserve">                  device-modification-code = "32x"</w:t>
            </w:r>
          </w:p>
          <w:p w14:paraId="21F98B2A" w14:textId="77777777" w:rsidR="00F11A8B" w:rsidRPr="006F6DAC" w:rsidRDefault="00F11A8B" w:rsidP="00F11A8B">
            <w:pPr>
              <w:ind w:right="-143"/>
              <w:contextualSpacing/>
              <w:jc w:val="both"/>
              <w:rPr>
                <w:rFonts w:ascii="Garamond" w:hAnsi="Garamond"/>
                <w:sz w:val="22"/>
                <w:szCs w:val="22"/>
                <w:highlight w:val="yellow"/>
                <w:lang w:val="en-US"/>
              </w:rPr>
            </w:pPr>
            <w:r w:rsidRPr="006F6DAC">
              <w:rPr>
                <w:rFonts w:ascii="Garamond" w:hAnsi="Garamond"/>
                <w:sz w:val="22"/>
                <w:szCs w:val="22"/>
                <w:highlight w:val="yellow"/>
                <w:lang w:val="en-US"/>
              </w:rPr>
              <w:t xml:space="preserve">                  serial-number = "256n"&gt;</w:t>
            </w:r>
          </w:p>
          <w:p w14:paraId="7D5C88D2" w14:textId="77777777" w:rsidR="00F11A8B" w:rsidRPr="006F6DAC" w:rsidRDefault="00F11A8B" w:rsidP="00F11A8B">
            <w:pPr>
              <w:ind w:right="-143"/>
              <w:contextualSpacing/>
              <w:jc w:val="both"/>
              <w:rPr>
                <w:rFonts w:ascii="Garamond" w:hAnsi="Garamond"/>
                <w:sz w:val="22"/>
                <w:szCs w:val="22"/>
                <w:highlight w:val="yellow"/>
                <w:lang w:val="en-US"/>
              </w:rPr>
            </w:pPr>
            <w:r w:rsidRPr="006F6DAC">
              <w:rPr>
                <w:rFonts w:ascii="Garamond" w:hAnsi="Garamond"/>
                <w:sz w:val="22"/>
                <w:szCs w:val="22"/>
                <w:highlight w:val="yellow"/>
                <w:lang w:val="en-US"/>
              </w:rPr>
              <w:t xml:space="preserve">                    &lt;measuring-channel </w:t>
            </w:r>
          </w:p>
          <w:p w14:paraId="61F9D3D4" w14:textId="77777777" w:rsidR="00F11A8B" w:rsidRPr="006F6DAC" w:rsidRDefault="00F11A8B" w:rsidP="00F11A8B">
            <w:pPr>
              <w:ind w:right="-143"/>
              <w:contextualSpacing/>
              <w:jc w:val="both"/>
              <w:rPr>
                <w:rFonts w:ascii="Garamond" w:hAnsi="Garamond"/>
                <w:sz w:val="22"/>
                <w:szCs w:val="22"/>
                <w:highlight w:val="yellow"/>
                <w:lang w:val="en-US"/>
              </w:rPr>
            </w:pPr>
            <w:r w:rsidRPr="006F6DAC">
              <w:rPr>
                <w:rFonts w:ascii="Garamond" w:hAnsi="Garamond"/>
                <w:sz w:val="22"/>
                <w:szCs w:val="22"/>
                <w:highlight w:val="yellow"/>
                <w:lang w:val="en-US"/>
              </w:rPr>
              <w:t xml:space="preserve">                      ats-code = "2n"</w:t>
            </w:r>
          </w:p>
          <w:p w14:paraId="48404973" w14:textId="77777777" w:rsidR="00F11A8B" w:rsidRPr="006F6DAC" w:rsidRDefault="00F11A8B" w:rsidP="00F11A8B">
            <w:pPr>
              <w:ind w:right="-143"/>
              <w:contextualSpacing/>
              <w:jc w:val="both"/>
              <w:rPr>
                <w:rFonts w:ascii="Garamond" w:hAnsi="Garamond"/>
                <w:sz w:val="22"/>
                <w:szCs w:val="22"/>
                <w:highlight w:val="yellow"/>
                <w:lang w:val="en-US"/>
              </w:rPr>
            </w:pPr>
            <w:r w:rsidRPr="006F6DAC">
              <w:rPr>
                <w:rFonts w:ascii="Garamond" w:hAnsi="Garamond"/>
                <w:sz w:val="22"/>
                <w:szCs w:val="22"/>
                <w:highlight w:val="yellow"/>
                <w:lang w:val="en-US"/>
              </w:rPr>
              <w:t xml:space="preserve">                      period = "30/60"/&gt;</w:t>
            </w:r>
          </w:p>
          <w:p w14:paraId="654EAE05" w14:textId="77777777" w:rsidR="00F11A8B" w:rsidRPr="006F6DAC" w:rsidRDefault="00F11A8B" w:rsidP="00F11A8B">
            <w:pPr>
              <w:ind w:right="-143"/>
              <w:contextualSpacing/>
              <w:jc w:val="both"/>
              <w:rPr>
                <w:rFonts w:ascii="Garamond" w:hAnsi="Garamond"/>
                <w:sz w:val="22"/>
                <w:szCs w:val="22"/>
                <w:highlight w:val="yellow"/>
                <w:lang w:val="en-US"/>
              </w:rPr>
            </w:pPr>
            <w:r w:rsidRPr="006F6DAC">
              <w:rPr>
                <w:rFonts w:ascii="Garamond" w:hAnsi="Garamond"/>
                <w:sz w:val="22"/>
                <w:szCs w:val="22"/>
                <w:highlight w:val="yellow"/>
                <w:lang w:val="en-US"/>
              </w:rPr>
              <w:t xml:space="preserve">                &lt;/measuring-device&gt;</w:t>
            </w:r>
          </w:p>
          <w:p w14:paraId="1676EF94" w14:textId="77777777" w:rsidR="00F11A8B" w:rsidRPr="006F6DAC" w:rsidRDefault="00F11A8B" w:rsidP="00F11A8B">
            <w:pPr>
              <w:ind w:right="-143"/>
              <w:contextualSpacing/>
              <w:jc w:val="both"/>
              <w:rPr>
                <w:rFonts w:ascii="Garamond" w:hAnsi="Garamond"/>
                <w:sz w:val="22"/>
                <w:szCs w:val="22"/>
                <w:highlight w:val="yellow"/>
                <w:lang w:val="en-US"/>
              </w:rPr>
            </w:pPr>
            <w:r w:rsidRPr="006F6DAC">
              <w:rPr>
                <w:rFonts w:ascii="Garamond" w:hAnsi="Garamond"/>
                <w:sz w:val="22"/>
                <w:szCs w:val="22"/>
                <w:highlight w:val="yellow"/>
                <w:lang w:val="en-US"/>
              </w:rPr>
              <w:t xml:space="preserve">                &lt;name </w:t>
            </w:r>
          </w:p>
          <w:p w14:paraId="6BD1BA9C" w14:textId="77777777" w:rsidR="00F11A8B" w:rsidRPr="006F6DAC" w:rsidRDefault="00F11A8B" w:rsidP="00F11A8B">
            <w:pPr>
              <w:ind w:right="-143"/>
              <w:contextualSpacing/>
              <w:jc w:val="both"/>
              <w:rPr>
                <w:rFonts w:ascii="Garamond" w:hAnsi="Garamond"/>
                <w:sz w:val="22"/>
                <w:szCs w:val="22"/>
                <w:highlight w:val="yellow"/>
                <w:lang w:val="en-US"/>
              </w:rPr>
            </w:pPr>
            <w:r w:rsidRPr="006F6DAC">
              <w:rPr>
                <w:rFonts w:ascii="Garamond" w:hAnsi="Garamond"/>
                <w:sz w:val="22"/>
                <w:szCs w:val="22"/>
                <w:highlight w:val="yellow"/>
                <w:lang w:val="en-US"/>
              </w:rPr>
              <w:t xml:space="preserve">                  connection-name = "250x"</w:t>
            </w:r>
          </w:p>
          <w:p w14:paraId="67F0D533" w14:textId="77777777" w:rsidR="00F11A8B" w:rsidRPr="006F6DAC" w:rsidRDefault="00F11A8B" w:rsidP="00F11A8B">
            <w:pPr>
              <w:ind w:right="-143"/>
              <w:contextualSpacing/>
              <w:jc w:val="both"/>
              <w:rPr>
                <w:rFonts w:ascii="Garamond" w:hAnsi="Garamond"/>
                <w:sz w:val="22"/>
                <w:szCs w:val="22"/>
                <w:highlight w:val="yellow"/>
                <w:lang w:val="en-US"/>
              </w:rPr>
            </w:pPr>
            <w:r w:rsidRPr="006F6DAC">
              <w:rPr>
                <w:rFonts w:ascii="Garamond" w:hAnsi="Garamond"/>
                <w:sz w:val="22"/>
                <w:szCs w:val="22"/>
                <w:highlight w:val="yellow"/>
                <w:lang w:val="en-US"/>
              </w:rPr>
              <w:t xml:space="preserve">                  location-description = "250x"</w:t>
            </w:r>
          </w:p>
          <w:p w14:paraId="1D300056" w14:textId="77777777" w:rsidR="00F11A8B" w:rsidRPr="006F6DAC" w:rsidRDefault="00F11A8B" w:rsidP="00F11A8B">
            <w:pPr>
              <w:ind w:right="-143"/>
              <w:contextualSpacing/>
              <w:jc w:val="both"/>
              <w:rPr>
                <w:rFonts w:ascii="Garamond" w:hAnsi="Garamond"/>
                <w:sz w:val="22"/>
                <w:szCs w:val="22"/>
                <w:highlight w:val="yellow"/>
                <w:lang w:val="en-US"/>
              </w:rPr>
            </w:pPr>
            <w:r w:rsidRPr="006F6DAC">
              <w:rPr>
                <w:rFonts w:ascii="Garamond" w:hAnsi="Garamond"/>
                <w:sz w:val="22"/>
                <w:szCs w:val="22"/>
                <w:highlight w:val="yellow"/>
                <w:lang w:val="en-US"/>
              </w:rPr>
              <w:t xml:space="preserve">                  power-object-name = "250x"/&gt;</w:t>
            </w:r>
          </w:p>
          <w:p w14:paraId="5589B1EA" w14:textId="77777777" w:rsidR="00F11A8B" w:rsidRPr="006F6DAC" w:rsidRDefault="00F11A8B" w:rsidP="00F11A8B">
            <w:pPr>
              <w:ind w:right="-143"/>
              <w:contextualSpacing/>
              <w:jc w:val="both"/>
              <w:rPr>
                <w:rFonts w:ascii="Garamond" w:hAnsi="Garamond"/>
                <w:sz w:val="22"/>
                <w:szCs w:val="22"/>
                <w:highlight w:val="yellow"/>
                <w:lang w:val="en-US"/>
              </w:rPr>
            </w:pPr>
            <w:r w:rsidRPr="006F6DAC">
              <w:rPr>
                <w:rFonts w:ascii="Garamond" w:hAnsi="Garamond"/>
                <w:sz w:val="22"/>
                <w:szCs w:val="22"/>
                <w:highlight w:val="yellow"/>
                <w:lang w:val="en-US"/>
              </w:rPr>
              <w:t xml:space="preserve">            &lt;/measuring-point&gt;</w:t>
            </w:r>
          </w:p>
          <w:p w14:paraId="1E7B5393" w14:textId="77777777" w:rsidR="00F11A8B" w:rsidRPr="006F6DAC" w:rsidRDefault="00F11A8B" w:rsidP="00F11A8B">
            <w:pPr>
              <w:ind w:right="-143"/>
              <w:contextualSpacing/>
              <w:jc w:val="both"/>
              <w:rPr>
                <w:rFonts w:ascii="Garamond" w:hAnsi="Garamond"/>
                <w:sz w:val="22"/>
                <w:szCs w:val="22"/>
                <w:highlight w:val="yellow"/>
                <w:lang w:val="en-US"/>
              </w:rPr>
            </w:pPr>
            <w:r w:rsidRPr="006F6DAC">
              <w:rPr>
                <w:rFonts w:ascii="Garamond" w:hAnsi="Garamond"/>
                <w:sz w:val="22"/>
                <w:szCs w:val="22"/>
                <w:highlight w:val="yellow"/>
                <w:lang w:val="en-US"/>
              </w:rPr>
              <w:lastRenderedPageBreak/>
              <w:t xml:space="preserve">        &lt;/measuring-points&gt;</w:t>
            </w:r>
          </w:p>
          <w:p w14:paraId="7C41E1A6" w14:textId="77777777" w:rsidR="00F11A8B" w:rsidRPr="006F6DAC" w:rsidRDefault="00F11A8B" w:rsidP="00F11A8B">
            <w:pPr>
              <w:ind w:right="-143"/>
              <w:contextualSpacing/>
              <w:jc w:val="both"/>
              <w:rPr>
                <w:rFonts w:ascii="Garamond" w:hAnsi="Garamond"/>
                <w:sz w:val="22"/>
                <w:szCs w:val="22"/>
                <w:highlight w:val="yellow"/>
                <w:lang w:val="en-US"/>
              </w:rPr>
            </w:pPr>
            <w:r w:rsidRPr="006F6DAC">
              <w:rPr>
                <w:rFonts w:ascii="Garamond" w:hAnsi="Garamond"/>
                <w:sz w:val="22"/>
                <w:szCs w:val="22"/>
                <w:highlight w:val="yellow"/>
                <w:lang w:val="en-US"/>
              </w:rPr>
              <w:t xml:space="preserve">        &lt;measuring-objects&gt;</w:t>
            </w:r>
          </w:p>
          <w:p w14:paraId="067AA6CD" w14:textId="77777777" w:rsidR="00F11A8B" w:rsidRPr="006F6DAC" w:rsidRDefault="00F11A8B" w:rsidP="00F11A8B">
            <w:pPr>
              <w:ind w:right="-143"/>
              <w:contextualSpacing/>
              <w:jc w:val="both"/>
              <w:rPr>
                <w:rFonts w:ascii="Garamond" w:hAnsi="Garamond"/>
                <w:sz w:val="22"/>
                <w:szCs w:val="22"/>
                <w:highlight w:val="yellow"/>
                <w:lang w:val="en-US"/>
              </w:rPr>
            </w:pPr>
            <w:r w:rsidRPr="006F6DAC">
              <w:rPr>
                <w:rFonts w:ascii="Garamond" w:hAnsi="Garamond"/>
                <w:sz w:val="22"/>
                <w:szCs w:val="22"/>
                <w:highlight w:val="yellow"/>
                <w:lang w:val="en-US"/>
              </w:rPr>
              <w:t xml:space="preserve">            &lt;measuring-object </w:t>
            </w:r>
          </w:p>
          <w:p w14:paraId="2A5DC5F0" w14:textId="77777777" w:rsidR="00F11A8B" w:rsidRPr="006F6DAC" w:rsidRDefault="00F11A8B" w:rsidP="00F11A8B">
            <w:pPr>
              <w:ind w:right="-143"/>
              <w:contextualSpacing/>
              <w:jc w:val="both"/>
              <w:rPr>
                <w:rFonts w:ascii="Garamond" w:hAnsi="Garamond"/>
                <w:sz w:val="22"/>
                <w:szCs w:val="22"/>
                <w:highlight w:val="yellow"/>
                <w:lang w:val="en-US"/>
              </w:rPr>
            </w:pPr>
            <w:r w:rsidRPr="006F6DAC">
              <w:rPr>
                <w:rFonts w:ascii="Garamond" w:hAnsi="Garamond"/>
                <w:sz w:val="22"/>
                <w:szCs w:val="22"/>
                <w:highlight w:val="yellow"/>
                <w:lang w:val="en-US"/>
              </w:rPr>
              <w:t xml:space="preserve">              ats-code = "15n"</w:t>
            </w:r>
          </w:p>
          <w:p w14:paraId="6A7F5C41" w14:textId="77777777" w:rsidR="00F11A8B" w:rsidRPr="006F6DAC" w:rsidRDefault="00F11A8B" w:rsidP="00F11A8B">
            <w:pPr>
              <w:ind w:right="-143"/>
              <w:contextualSpacing/>
              <w:jc w:val="both"/>
              <w:rPr>
                <w:rFonts w:ascii="Garamond" w:hAnsi="Garamond"/>
                <w:sz w:val="22"/>
                <w:szCs w:val="22"/>
                <w:highlight w:val="yellow"/>
                <w:lang w:val="en-US"/>
              </w:rPr>
            </w:pPr>
            <w:r w:rsidRPr="006F6DAC">
              <w:rPr>
                <w:rFonts w:ascii="Garamond" w:hAnsi="Garamond"/>
                <w:sz w:val="22"/>
                <w:szCs w:val="22"/>
                <w:highlight w:val="yellow"/>
                <w:lang w:val="en-US"/>
              </w:rPr>
              <w:t xml:space="preserve">              measuring-object-type = "1"</w:t>
            </w:r>
          </w:p>
          <w:p w14:paraId="3303222D" w14:textId="77777777" w:rsidR="00F11A8B" w:rsidRPr="006F6DAC" w:rsidRDefault="00F11A8B" w:rsidP="00F11A8B">
            <w:pPr>
              <w:ind w:right="-143"/>
              <w:contextualSpacing/>
              <w:jc w:val="both"/>
              <w:rPr>
                <w:rFonts w:ascii="Garamond" w:hAnsi="Garamond"/>
                <w:sz w:val="22"/>
                <w:szCs w:val="22"/>
                <w:highlight w:val="yellow"/>
                <w:lang w:val="en-US"/>
              </w:rPr>
            </w:pPr>
            <w:r w:rsidRPr="006F6DAC">
              <w:rPr>
                <w:rFonts w:ascii="Garamond" w:hAnsi="Garamond"/>
                <w:sz w:val="22"/>
                <w:szCs w:val="22"/>
                <w:highlight w:val="yellow"/>
                <w:lang w:val="en-US"/>
              </w:rPr>
              <w:t xml:space="preserve">              name = "250x"</w:t>
            </w:r>
          </w:p>
          <w:p w14:paraId="1A42D5CB" w14:textId="77777777" w:rsidR="00F11A8B" w:rsidRPr="006F6DAC" w:rsidRDefault="00F11A8B" w:rsidP="00F11A8B">
            <w:pPr>
              <w:ind w:right="-143"/>
              <w:contextualSpacing/>
              <w:jc w:val="both"/>
              <w:rPr>
                <w:rFonts w:ascii="Garamond" w:hAnsi="Garamond"/>
                <w:sz w:val="22"/>
                <w:szCs w:val="22"/>
                <w:highlight w:val="yellow"/>
                <w:lang w:val="en-US"/>
              </w:rPr>
            </w:pPr>
            <w:r w:rsidRPr="006F6DAC">
              <w:rPr>
                <w:rFonts w:ascii="Garamond" w:hAnsi="Garamond"/>
                <w:sz w:val="22"/>
                <w:szCs w:val="22"/>
                <w:highlight w:val="yellow"/>
                <w:lang w:val="en-US"/>
              </w:rPr>
              <w:t xml:space="preserve">              period = "30/60"</w:t>
            </w:r>
          </w:p>
          <w:p w14:paraId="11107E21" w14:textId="77777777" w:rsidR="00F11A8B" w:rsidRPr="006F6DAC" w:rsidRDefault="00F11A8B" w:rsidP="00F11A8B">
            <w:pPr>
              <w:ind w:right="-143"/>
              <w:contextualSpacing/>
              <w:jc w:val="both"/>
              <w:rPr>
                <w:rFonts w:ascii="Garamond" w:hAnsi="Garamond"/>
                <w:sz w:val="22"/>
                <w:szCs w:val="22"/>
                <w:highlight w:val="yellow"/>
                <w:lang w:val="en-US"/>
              </w:rPr>
            </w:pPr>
            <w:r w:rsidRPr="006F6DAC">
              <w:rPr>
                <w:rFonts w:ascii="Garamond" w:hAnsi="Garamond"/>
                <w:sz w:val="22"/>
                <w:szCs w:val="22"/>
                <w:highlight w:val="yellow"/>
                <w:lang w:val="en-US"/>
              </w:rPr>
              <w:t xml:space="preserve">        &lt;/measuring-objects&gt;</w:t>
            </w:r>
          </w:p>
          <w:p w14:paraId="40C36000" w14:textId="77777777" w:rsidR="00F11A8B" w:rsidRPr="006F6DAC" w:rsidRDefault="00F11A8B" w:rsidP="00F11A8B">
            <w:pPr>
              <w:ind w:right="-143"/>
              <w:contextualSpacing/>
              <w:jc w:val="both"/>
              <w:rPr>
                <w:rFonts w:ascii="Garamond" w:hAnsi="Garamond"/>
                <w:sz w:val="22"/>
                <w:szCs w:val="22"/>
                <w:highlight w:val="yellow"/>
                <w:lang w:val="en-US"/>
              </w:rPr>
            </w:pPr>
            <w:r w:rsidRPr="006F6DAC">
              <w:rPr>
                <w:rFonts w:ascii="Garamond" w:hAnsi="Garamond"/>
                <w:sz w:val="22"/>
                <w:szCs w:val="22"/>
                <w:highlight w:val="yellow"/>
                <w:lang w:val="en-US"/>
              </w:rPr>
              <w:t xml:space="preserve">    &lt;/dictionaries&gt;</w:t>
            </w:r>
          </w:p>
          <w:p w14:paraId="2246B9B1" w14:textId="77777777" w:rsidR="00F11A8B" w:rsidRPr="006F6DAC" w:rsidRDefault="00F11A8B" w:rsidP="00F11A8B">
            <w:pPr>
              <w:ind w:right="-143"/>
              <w:contextualSpacing/>
              <w:jc w:val="both"/>
              <w:rPr>
                <w:rFonts w:ascii="Garamond" w:hAnsi="Garamond"/>
                <w:sz w:val="22"/>
                <w:szCs w:val="22"/>
                <w:highlight w:val="yellow"/>
                <w:lang w:val="en-US"/>
              </w:rPr>
            </w:pPr>
            <w:r w:rsidRPr="006F6DAC">
              <w:rPr>
                <w:rFonts w:ascii="Garamond" w:hAnsi="Garamond"/>
                <w:sz w:val="22"/>
                <w:szCs w:val="22"/>
                <w:highlight w:val="yellow"/>
                <w:lang w:val="en-US"/>
              </w:rPr>
              <w:t xml:space="preserve">    &lt;links&gt;</w:t>
            </w:r>
          </w:p>
          <w:p w14:paraId="0E4E7F0A" w14:textId="77777777" w:rsidR="00F11A8B" w:rsidRPr="006F6DAC" w:rsidRDefault="00F11A8B" w:rsidP="00F11A8B">
            <w:pPr>
              <w:ind w:right="-143"/>
              <w:contextualSpacing/>
              <w:jc w:val="both"/>
              <w:rPr>
                <w:rFonts w:ascii="Garamond" w:hAnsi="Garamond"/>
                <w:sz w:val="22"/>
                <w:szCs w:val="22"/>
                <w:highlight w:val="yellow"/>
                <w:lang w:val="en-US"/>
              </w:rPr>
            </w:pPr>
            <w:r w:rsidRPr="006F6DAC">
              <w:rPr>
                <w:rFonts w:ascii="Garamond" w:hAnsi="Garamond"/>
                <w:sz w:val="22"/>
                <w:szCs w:val="22"/>
                <w:highlight w:val="yellow"/>
                <w:lang w:val="en-US"/>
              </w:rPr>
              <w:t xml:space="preserve">        &lt;ov-measuring-point-links&gt;</w:t>
            </w:r>
          </w:p>
          <w:p w14:paraId="746C5DE6" w14:textId="77777777" w:rsidR="00F11A8B" w:rsidRPr="006F6DAC" w:rsidRDefault="00F11A8B" w:rsidP="00F11A8B">
            <w:pPr>
              <w:ind w:right="-143"/>
              <w:contextualSpacing/>
              <w:jc w:val="both"/>
              <w:rPr>
                <w:rFonts w:ascii="Garamond" w:hAnsi="Garamond"/>
                <w:sz w:val="22"/>
                <w:szCs w:val="22"/>
                <w:highlight w:val="yellow"/>
                <w:lang w:val="en-US"/>
              </w:rPr>
            </w:pPr>
            <w:r w:rsidRPr="006F6DAC">
              <w:rPr>
                <w:rFonts w:ascii="Garamond" w:hAnsi="Garamond"/>
                <w:sz w:val="22"/>
                <w:szCs w:val="22"/>
                <w:highlight w:val="yellow"/>
                <w:lang w:val="en-US"/>
              </w:rPr>
              <w:t xml:space="preserve">            &lt;ov-measuring-point-link </w:t>
            </w:r>
          </w:p>
          <w:p w14:paraId="7C5B3464" w14:textId="77777777" w:rsidR="00F11A8B" w:rsidRPr="006F6DAC" w:rsidRDefault="00F11A8B" w:rsidP="00F11A8B">
            <w:pPr>
              <w:ind w:right="-143"/>
              <w:contextualSpacing/>
              <w:jc w:val="both"/>
              <w:rPr>
                <w:rFonts w:ascii="Garamond" w:hAnsi="Garamond"/>
                <w:sz w:val="22"/>
                <w:szCs w:val="22"/>
                <w:highlight w:val="yellow"/>
                <w:lang w:val="en-US"/>
              </w:rPr>
            </w:pPr>
            <w:r w:rsidRPr="006F6DAC">
              <w:rPr>
                <w:rFonts w:ascii="Garamond" w:hAnsi="Garamond"/>
                <w:sz w:val="22"/>
                <w:szCs w:val="22"/>
                <w:highlight w:val="yellow"/>
                <w:lang w:val="en-US"/>
              </w:rPr>
              <w:t xml:space="preserve">              ov-measuring-point-code = "15n"</w:t>
            </w:r>
          </w:p>
          <w:p w14:paraId="51F5D9A3" w14:textId="77777777" w:rsidR="00F11A8B" w:rsidRPr="006F6DAC" w:rsidRDefault="00F11A8B" w:rsidP="00F11A8B">
            <w:pPr>
              <w:ind w:right="-143"/>
              <w:contextualSpacing/>
              <w:jc w:val="both"/>
              <w:rPr>
                <w:rFonts w:ascii="Garamond" w:hAnsi="Garamond"/>
                <w:sz w:val="22"/>
                <w:szCs w:val="22"/>
                <w:highlight w:val="yellow"/>
                <w:lang w:val="en-US"/>
              </w:rPr>
            </w:pPr>
            <w:r w:rsidRPr="006F6DAC">
              <w:rPr>
                <w:rFonts w:ascii="Garamond" w:hAnsi="Garamond"/>
                <w:sz w:val="22"/>
                <w:szCs w:val="22"/>
                <w:highlight w:val="yellow"/>
                <w:lang w:val="en-US"/>
              </w:rPr>
              <w:t xml:space="preserve">              serviced-measuring-point-code = "15n"/&gt;</w:t>
            </w:r>
          </w:p>
          <w:p w14:paraId="5FAB1F0D" w14:textId="77777777" w:rsidR="00F11A8B" w:rsidRPr="006F6DAC" w:rsidRDefault="00F11A8B" w:rsidP="00F11A8B">
            <w:pPr>
              <w:ind w:right="-143"/>
              <w:contextualSpacing/>
              <w:jc w:val="both"/>
              <w:rPr>
                <w:rFonts w:ascii="Garamond" w:hAnsi="Garamond"/>
                <w:sz w:val="22"/>
                <w:szCs w:val="22"/>
                <w:highlight w:val="yellow"/>
                <w:lang w:val="en-US"/>
              </w:rPr>
            </w:pPr>
            <w:r w:rsidRPr="006F6DAC">
              <w:rPr>
                <w:rFonts w:ascii="Garamond" w:hAnsi="Garamond"/>
                <w:sz w:val="22"/>
                <w:szCs w:val="22"/>
                <w:highlight w:val="yellow"/>
                <w:lang w:val="en-US"/>
              </w:rPr>
              <w:t xml:space="preserve">        &lt;/ov-measuring-point-links&gt;</w:t>
            </w:r>
          </w:p>
          <w:p w14:paraId="42D31196" w14:textId="77777777" w:rsidR="00F11A8B" w:rsidRPr="006F6DAC" w:rsidRDefault="00F11A8B" w:rsidP="00F11A8B">
            <w:pPr>
              <w:ind w:right="-143"/>
              <w:contextualSpacing/>
              <w:jc w:val="both"/>
              <w:rPr>
                <w:rFonts w:ascii="Garamond" w:hAnsi="Garamond"/>
                <w:sz w:val="22"/>
                <w:szCs w:val="22"/>
                <w:highlight w:val="yellow"/>
                <w:lang w:val="en-US"/>
              </w:rPr>
            </w:pPr>
            <w:r w:rsidRPr="006F6DAC">
              <w:rPr>
                <w:rFonts w:ascii="Garamond" w:hAnsi="Garamond"/>
                <w:sz w:val="22"/>
                <w:szCs w:val="22"/>
                <w:highlight w:val="yellow"/>
                <w:lang w:val="en-US"/>
              </w:rPr>
              <w:t xml:space="preserve">        &lt;group-delivery-point-composition&gt;</w:t>
            </w:r>
          </w:p>
          <w:p w14:paraId="3656757E" w14:textId="77777777" w:rsidR="00F11A8B" w:rsidRPr="006F6DAC" w:rsidRDefault="00F11A8B" w:rsidP="00F11A8B">
            <w:pPr>
              <w:ind w:right="-143"/>
              <w:contextualSpacing/>
              <w:jc w:val="both"/>
              <w:rPr>
                <w:rFonts w:ascii="Garamond" w:hAnsi="Garamond"/>
                <w:sz w:val="22"/>
                <w:szCs w:val="22"/>
                <w:highlight w:val="yellow"/>
                <w:lang w:val="en-US"/>
              </w:rPr>
            </w:pPr>
            <w:r w:rsidRPr="006F6DAC">
              <w:rPr>
                <w:rFonts w:ascii="Garamond" w:hAnsi="Garamond"/>
                <w:sz w:val="22"/>
                <w:szCs w:val="22"/>
                <w:highlight w:val="yellow"/>
                <w:lang w:val="en-US"/>
              </w:rPr>
              <w:t xml:space="preserve">            &lt;group-delivery-point </w:t>
            </w:r>
          </w:p>
          <w:p w14:paraId="2DE63FFC" w14:textId="77777777" w:rsidR="00F11A8B" w:rsidRPr="006F6DAC" w:rsidRDefault="00F11A8B" w:rsidP="00F11A8B">
            <w:pPr>
              <w:ind w:right="-143"/>
              <w:contextualSpacing/>
              <w:jc w:val="both"/>
              <w:rPr>
                <w:rFonts w:ascii="Garamond" w:hAnsi="Garamond"/>
                <w:sz w:val="22"/>
                <w:szCs w:val="22"/>
                <w:highlight w:val="yellow"/>
                <w:lang w:val="en-US"/>
              </w:rPr>
            </w:pPr>
            <w:r w:rsidRPr="006F6DAC">
              <w:rPr>
                <w:rFonts w:ascii="Garamond" w:hAnsi="Garamond"/>
                <w:sz w:val="22"/>
                <w:szCs w:val="22"/>
                <w:highlight w:val="yellow"/>
                <w:lang w:val="en-US"/>
              </w:rPr>
              <w:t xml:space="preserve">              group-delivery-point-code = "15n"</w:t>
            </w:r>
          </w:p>
          <w:p w14:paraId="75317EE2" w14:textId="77777777" w:rsidR="00F11A8B" w:rsidRPr="006F6DAC" w:rsidRDefault="00F11A8B" w:rsidP="00F11A8B">
            <w:pPr>
              <w:ind w:right="-143"/>
              <w:contextualSpacing/>
              <w:jc w:val="both"/>
              <w:rPr>
                <w:rFonts w:ascii="Garamond" w:hAnsi="Garamond"/>
                <w:sz w:val="22"/>
                <w:szCs w:val="22"/>
                <w:highlight w:val="yellow"/>
                <w:lang w:val="en-US"/>
              </w:rPr>
            </w:pPr>
            <w:r w:rsidRPr="006F6DAC">
              <w:rPr>
                <w:rFonts w:ascii="Garamond" w:hAnsi="Garamond"/>
                <w:sz w:val="22"/>
                <w:szCs w:val="22"/>
                <w:highlight w:val="yellow"/>
                <w:lang w:val="en-US"/>
              </w:rPr>
              <w:t xml:space="preserve">              simple-delivery-point-code = "15n"/&gt;</w:t>
            </w:r>
          </w:p>
          <w:p w14:paraId="06DDAA3A" w14:textId="77777777" w:rsidR="00F11A8B" w:rsidRPr="006F6DAC" w:rsidRDefault="00F11A8B" w:rsidP="00F11A8B">
            <w:pPr>
              <w:ind w:right="-143"/>
              <w:contextualSpacing/>
              <w:jc w:val="both"/>
              <w:rPr>
                <w:rFonts w:ascii="Garamond" w:hAnsi="Garamond"/>
                <w:sz w:val="22"/>
                <w:szCs w:val="22"/>
                <w:highlight w:val="yellow"/>
                <w:lang w:val="en-US"/>
              </w:rPr>
            </w:pPr>
            <w:r w:rsidRPr="006F6DAC">
              <w:rPr>
                <w:rFonts w:ascii="Garamond" w:hAnsi="Garamond"/>
                <w:sz w:val="22"/>
                <w:szCs w:val="22"/>
                <w:highlight w:val="yellow"/>
                <w:lang w:val="en-US"/>
              </w:rPr>
              <w:t xml:space="preserve">        &lt;/group-delivery-point-composition&gt;</w:t>
            </w:r>
          </w:p>
          <w:p w14:paraId="00D82BF2" w14:textId="77777777" w:rsidR="00F11A8B" w:rsidRPr="006F6DAC" w:rsidRDefault="00F11A8B" w:rsidP="00F11A8B">
            <w:pPr>
              <w:ind w:right="-143"/>
              <w:contextualSpacing/>
              <w:jc w:val="both"/>
              <w:rPr>
                <w:rFonts w:ascii="Garamond" w:hAnsi="Garamond"/>
                <w:sz w:val="22"/>
                <w:szCs w:val="22"/>
                <w:highlight w:val="yellow"/>
                <w:lang w:val="en-US"/>
              </w:rPr>
            </w:pPr>
            <w:r w:rsidRPr="006F6DAC">
              <w:rPr>
                <w:rFonts w:ascii="Garamond" w:hAnsi="Garamond"/>
                <w:sz w:val="22"/>
                <w:szCs w:val="22"/>
                <w:highlight w:val="yellow"/>
                <w:lang w:val="en-US"/>
              </w:rPr>
              <w:t xml:space="preserve">        &lt;power-center-power-object-links&gt;</w:t>
            </w:r>
          </w:p>
          <w:p w14:paraId="001A9139" w14:textId="77777777" w:rsidR="00F11A8B" w:rsidRPr="006F6DAC" w:rsidRDefault="00F11A8B" w:rsidP="00F11A8B">
            <w:pPr>
              <w:ind w:right="-143"/>
              <w:contextualSpacing/>
              <w:jc w:val="both"/>
              <w:rPr>
                <w:rFonts w:ascii="Garamond" w:hAnsi="Garamond"/>
                <w:sz w:val="22"/>
                <w:szCs w:val="22"/>
                <w:highlight w:val="yellow"/>
                <w:lang w:val="en-US"/>
              </w:rPr>
            </w:pPr>
            <w:r w:rsidRPr="006F6DAC">
              <w:rPr>
                <w:rFonts w:ascii="Garamond" w:hAnsi="Garamond"/>
                <w:sz w:val="22"/>
                <w:szCs w:val="22"/>
                <w:highlight w:val="yellow"/>
                <w:lang w:val="en-US"/>
              </w:rPr>
              <w:t xml:space="preserve">            &lt;power-center-power-object-link </w:t>
            </w:r>
          </w:p>
          <w:p w14:paraId="1641F4ED" w14:textId="77777777" w:rsidR="00F11A8B" w:rsidRPr="006F6DAC" w:rsidRDefault="00F11A8B" w:rsidP="00F11A8B">
            <w:pPr>
              <w:ind w:right="-143"/>
              <w:contextualSpacing/>
              <w:jc w:val="both"/>
              <w:rPr>
                <w:rFonts w:ascii="Garamond" w:hAnsi="Garamond"/>
                <w:sz w:val="22"/>
                <w:szCs w:val="22"/>
                <w:highlight w:val="yellow"/>
                <w:lang w:val="en-US"/>
              </w:rPr>
            </w:pPr>
            <w:r w:rsidRPr="006F6DAC">
              <w:rPr>
                <w:rFonts w:ascii="Garamond" w:hAnsi="Garamond"/>
                <w:sz w:val="22"/>
                <w:szCs w:val="22"/>
                <w:highlight w:val="yellow"/>
                <w:lang w:val="en-US"/>
              </w:rPr>
              <w:t xml:space="preserve">              power-center-code = "9n"</w:t>
            </w:r>
          </w:p>
          <w:p w14:paraId="7B5DF66E" w14:textId="77777777" w:rsidR="00F11A8B" w:rsidRPr="006F6DAC" w:rsidRDefault="00F11A8B" w:rsidP="00F11A8B">
            <w:pPr>
              <w:ind w:right="-143"/>
              <w:contextualSpacing/>
              <w:jc w:val="both"/>
              <w:rPr>
                <w:rFonts w:ascii="Garamond" w:hAnsi="Garamond"/>
                <w:sz w:val="22"/>
                <w:szCs w:val="22"/>
                <w:highlight w:val="yellow"/>
                <w:lang w:val="en-US"/>
              </w:rPr>
            </w:pPr>
            <w:r w:rsidRPr="006F6DAC">
              <w:rPr>
                <w:rFonts w:ascii="Garamond" w:hAnsi="Garamond"/>
                <w:sz w:val="22"/>
                <w:szCs w:val="22"/>
                <w:highlight w:val="yellow"/>
                <w:lang w:val="en-US"/>
              </w:rPr>
              <w:t xml:space="preserve">              power-object-code = "9n"/&gt;</w:t>
            </w:r>
          </w:p>
          <w:p w14:paraId="5EC3D597" w14:textId="77777777" w:rsidR="00F11A8B" w:rsidRPr="006F6DAC" w:rsidRDefault="00F11A8B" w:rsidP="00F11A8B">
            <w:pPr>
              <w:ind w:right="-143"/>
              <w:contextualSpacing/>
              <w:jc w:val="both"/>
              <w:rPr>
                <w:rFonts w:ascii="Garamond" w:hAnsi="Garamond"/>
                <w:sz w:val="22"/>
                <w:szCs w:val="22"/>
                <w:highlight w:val="yellow"/>
                <w:lang w:val="en-US"/>
              </w:rPr>
            </w:pPr>
            <w:r w:rsidRPr="006F6DAC">
              <w:rPr>
                <w:rFonts w:ascii="Garamond" w:hAnsi="Garamond"/>
                <w:sz w:val="22"/>
                <w:szCs w:val="22"/>
                <w:highlight w:val="yellow"/>
                <w:lang w:val="en-US"/>
              </w:rPr>
              <w:t xml:space="preserve">        &lt;/power-center-power-object-links&gt;</w:t>
            </w:r>
          </w:p>
          <w:p w14:paraId="19E5F6F9" w14:textId="77777777" w:rsidR="00F11A8B" w:rsidRPr="006F6DAC" w:rsidRDefault="00F11A8B" w:rsidP="00F11A8B">
            <w:pPr>
              <w:ind w:right="-143"/>
              <w:contextualSpacing/>
              <w:jc w:val="both"/>
              <w:rPr>
                <w:rFonts w:ascii="Garamond" w:hAnsi="Garamond"/>
                <w:sz w:val="22"/>
                <w:szCs w:val="22"/>
                <w:highlight w:val="yellow"/>
                <w:lang w:val="en-US"/>
              </w:rPr>
            </w:pPr>
            <w:r w:rsidRPr="006F6DAC">
              <w:rPr>
                <w:rFonts w:ascii="Garamond" w:hAnsi="Garamond"/>
                <w:sz w:val="22"/>
                <w:szCs w:val="22"/>
                <w:highlight w:val="yellow"/>
                <w:lang w:val="en-US"/>
              </w:rPr>
              <w:t xml:space="preserve">    &lt;/links&gt;</w:t>
            </w:r>
          </w:p>
          <w:p w14:paraId="26405E43" w14:textId="77777777" w:rsidR="00F11A8B" w:rsidRPr="006F6DAC" w:rsidRDefault="00F11A8B" w:rsidP="00F11A8B">
            <w:pPr>
              <w:ind w:right="-143"/>
              <w:contextualSpacing/>
              <w:jc w:val="both"/>
              <w:rPr>
                <w:rFonts w:ascii="Garamond" w:hAnsi="Garamond"/>
                <w:sz w:val="22"/>
                <w:szCs w:val="22"/>
                <w:highlight w:val="yellow"/>
                <w:lang w:val="en-US"/>
              </w:rPr>
            </w:pPr>
            <w:r w:rsidRPr="006F6DAC">
              <w:rPr>
                <w:rFonts w:ascii="Garamond" w:hAnsi="Garamond"/>
                <w:sz w:val="22"/>
                <w:szCs w:val="22"/>
                <w:highlight w:val="yellow"/>
                <w:lang w:val="en-US"/>
              </w:rPr>
              <w:t xml:space="preserve">    &lt;aiis </w:t>
            </w:r>
          </w:p>
          <w:p w14:paraId="0E6D05D6" w14:textId="77777777" w:rsidR="00F11A8B" w:rsidRPr="006F6DAC" w:rsidRDefault="00F11A8B" w:rsidP="00F11A8B">
            <w:pPr>
              <w:ind w:right="-143"/>
              <w:contextualSpacing/>
              <w:jc w:val="both"/>
              <w:rPr>
                <w:rFonts w:ascii="Garamond" w:hAnsi="Garamond"/>
                <w:sz w:val="22"/>
                <w:szCs w:val="22"/>
                <w:highlight w:val="yellow"/>
                <w:lang w:val="en-US"/>
              </w:rPr>
            </w:pPr>
            <w:r w:rsidRPr="006F6DAC">
              <w:rPr>
                <w:rFonts w:ascii="Garamond" w:hAnsi="Garamond"/>
                <w:sz w:val="22"/>
                <w:szCs w:val="22"/>
                <w:highlight w:val="yellow"/>
                <w:lang w:val="en-US"/>
              </w:rPr>
              <w:t xml:space="preserve">      ats-code = "10n"</w:t>
            </w:r>
          </w:p>
          <w:p w14:paraId="07859FE3" w14:textId="77777777" w:rsidR="00F11A8B" w:rsidRPr="006F6DAC" w:rsidRDefault="00F11A8B" w:rsidP="00F11A8B">
            <w:pPr>
              <w:ind w:right="-143"/>
              <w:contextualSpacing/>
              <w:jc w:val="both"/>
              <w:rPr>
                <w:rFonts w:ascii="Garamond" w:hAnsi="Garamond"/>
                <w:sz w:val="22"/>
                <w:szCs w:val="22"/>
                <w:highlight w:val="yellow"/>
                <w:lang w:val="en-US"/>
              </w:rPr>
            </w:pPr>
            <w:r w:rsidRPr="006F6DAC">
              <w:rPr>
                <w:rFonts w:ascii="Garamond" w:hAnsi="Garamond"/>
                <w:sz w:val="22"/>
                <w:szCs w:val="22"/>
                <w:highlight w:val="yellow"/>
                <w:lang w:val="en-US"/>
              </w:rPr>
              <w:t xml:space="preserve">      name = "250x"&gt;</w:t>
            </w:r>
          </w:p>
          <w:p w14:paraId="2C538356" w14:textId="77777777" w:rsidR="00F11A8B" w:rsidRPr="006F6DAC" w:rsidRDefault="00F11A8B" w:rsidP="00F11A8B">
            <w:pPr>
              <w:ind w:right="-143"/>
              <w:contextualSpacing/>
              <w:jc w:val="both"/>
              <w:rPr>
                <w:rFonts w:ascii="Garamond" w:hAnsi="Garamond"/>
                <w:sz w:val="22"/>
                <w:szCs w:val="22"/>
                <w:highlight w:val="yellow"/>
                <w:lang w:val="en-US"/>
              </w:rPr>
            </w:pPr>
            <w:r w:rsidRPr="006F6DAC">
              <w:rPr>
                <w:rFonts w:ascii="Garamond" w:hAnsi="Garamond"/>
                <w:sz w:val="22"/>
                <w:szCs w:val="22"/>
                <w:highlight w:val="yellow"/>
                <w:lang w:val="en-US"/>
              </w:rPr>
              <w:t xml:space="preserve">        &lt;area </w:t>
            </w:r>
          </w:p>
          <w:p w14:paraId="1AE232BE" w14:textId="77777777" w:rsidR="00F11A8B" w:rsidRPr="006F6DAC" w:rsidRDefault="00F11A8B" w:rsidP="00F11A8B">
            <w:pPr>
              <w:ind w:right="-143"/>
              <w:contextualSpacing/>
              <w:jc w:val="both"/>
              <w:rPr>
                <w:rFonts w:ascii="Garamond" w:hAnsi="Garamond"/>
                <w:sz w:val="22"/>
                <w:szCs w:val="22"/>
                <w:highlight w:val="yellow"/>
                <w:lang w:val="en-US"/>
              </w:rPr>
            </w:pPr>
            <w:r w:rsidRPr="006F6DAC">
              <w:rPr>
                <w:rFonts w:ascii="Garamond" w:hAnsi="Garamond"/>
                <w:sz w:val="22"/>
                <w:szCs w:val="22"/>
                <w:highlight w:val="yellow"/>
                <w:lang w:val="en-US"/>
              </w:rPr>
              <w:t xml:space="preserve">          ats-code = "10n"</w:t>
            </w:r>
          </w:p>
          <w:p w14:paraId="72C154D9" w14:textId="77777777" w:rsidR="00F11A8B" w:rsidRPr="006F6DAC" w:rsidRDefault="00F11A8B" w:rsidP="00F11A8B">
            <w:pPr>
              <w:ind w:right="-143"/>
              <w:contextualSpacing/>
              <w:jc w:val="both"/>
              <w:rPr>
                <w:rFonts w:ascii="Garamond" w:hAnsi="Garamond"/>
                <w:sz w:val="22"/>
                <w:szCs w:val="22"/>
                <w:highlight w:val="yellow"/>
                <w:lang w:val="en-US"/>
              </w:rPr>
            </w:pPr>
            <w:r w:rsidRPr="006F6DAC">
              <w:rPr>
                <w:rFonts w:ascii="Garamond" w:hAnsi="Garamond"/>
                <w:sz w:val="22"/>
                <w:szCs w:val="22"/>
                <w:highlight w:val="yellow"/>
                <w:lang w:val="en-US"/>
              </w:rPr>
              <w:t xml:space="preserve">          group-type = "1/2"</w:t>
            </w:r>
          </w:p>
          <w:p w14:paraId="7DE10103" w14:textId="77777777" w:rsidR="00F11A8B" w:rsidRPr="006F6DAC" w:rsidRDefault="00F11A8B" w:rsidP="00F11A8B">
            <w:pPr>
              <w:ind w:right="-143"/>
              <w:contextualSpacing/>
              <w:jc w:val="both"/>
              <w:rPr>
                <w:rFonts w:ascii="Garamond" w:hAnsi="Garamond"/>
                <w:sz w:val="22"/>
                <w:szCs w:val="22"/>
                <w:highlight w:val="yellow"/>
                <w:lang w:val="en-US"/>
              </w:rPr>
            </w:pPr>
            <w:r w:rsidRPr="006F6DAC">
              <w:rPr>
                <w:rFonts w:ascii="Garamond" w:hAnsi="Garamond"/>
                <w:sz w:val="22"/>
                <w:szCs w:val="22"/>
                <w:highlight w:val="yellow"/>
                <w:lang w:val="en-US"/>
              </w:rPr>
              <w:t xml:space="preserve">          name = "512x"</w:t>
            </w:r>
          </w:p>
          <w:p w14:paraId="3BF0DDC8" w14:textId="77777777" w:rsidR="00F11A8B" w:rsidRPr="006F6DAC" w:rsidRDefault="00F11A8B" w:rsidP="00F11A8B">
            <w:pPr>
              <w:ind w:right="-143"/>
              <w:contextualSpacing/>
              <w:jc w:val="both"/>
              <w:rPr>
                <w:rFonts w:ascii="Garamond" w:hAnsi="Garamond"/>
                <w:sz w:val="22"/>
                <w:szCs w:val="22"/>
                <w:highlight w:val="yellow"/>
                <w:lang w:val="en-US"/>
              </w:rPr>
            </w:pPr>
            <w:r w:rsidRPr="006F6DAC">
              <w:rPr>
                <w:rFonts w:ascii="Garamond" w:hAnsi="Garamond"/>
                <w:sz w:val="22"/>
                <w:szCs w:val="22"/>
                <w:highlight w:val="yellow"/>
                <w:lang w:val="en-US"/>
              </w:rPr>
              <w:t xml:space="preserve">          time-zone = "1/3"&gt;</w:t>
            </w:r>
          </w:p>
          <w:p w14:paraId="227907B7" w14:textId="77777777" w:rsidR="00F11A8B" w:rsidRPr="006F6DAC" w:rsidRDefault="00F11A8B" w:rsidP="00F11A8B">
            <w:pPr>
              <w:ind w:right="-143"/>
              <w:contextualSpacing/>
              <w:jc w:val="both"/>
              <w:rPr>
                <w:rFonts w:ascii="Garamond" w:hAnsi="Garamond"/>
                <w:sz w:val="22"/>
                <w:szCs w:val="22"/>
                <w:highlight w:val="yellow"/>
                <w:lang w:val="en-US"/>
              </w:rPr>
            </w:pPr>
            <w:r w:rsidRPr="006F6DAC">
              <w:rPr>
                <w:rFonts w:ascii="Garamond" w:hAnsi="Garamond"/>
                <w:sz w:val="22"/>
                <w:szCs w:val="22"/>
                <w:highlight w:val="yellow"/>
                <w:lang w:val="en-US"/>
              </w:rPr>
              <w:t xml:space="preserve">            &lt;serviced-points-list&gt;</w:t>
            </w:r>
          </w:p>
          <w:p w14:paraId="1829CAF4" w14:textId="77777777" w:rsidR="00F11A8B" w:rsidRPr="006F6DAC" w:rsidRDefault="00F11A8B" w:rsidP="00F11A8B">
            <w:pPr>
              <w:ind w:right="-143"/>
              <w:contextualSpacing/>
              <w:jc w:val="both"/>
              <w:rPr>
                <w:rFonts w:ascii="Garamond" w:hAnsi="Garamond"/>
                <w:sz w:val="22"/>
                <w:szCs w:val="22"/>
                <w:highlight w:val="yellow"/>
                <w:lang w:val="en-US"/>
              </w:rPr>
            </w:pPr>
            <w:r w:rsidRPr="006F6DAC">
              <w:rPr>
                <w:rFonts w:ascii="Garamond" w:hAnsi="Garamond"/>
                <w:sz w:val="22"/>
                <w:szCs w:val="22"/>
                <w:highlight w:val="yellow"/>
                <w:lang w:val="en-US"/>
              </w:rPr>
              <w:t xml:space="preserve">                &lt;delivery-point-measuing-point-link</w:t>
            </w:r>
          </w:p>
          <w:p w14:paraId="165BB375" w14:textId="77777777" w:rsidR="00F11A8B" w:rsidRPr="006F6DAC" w:rsidRDefault="00F11A8B" w:rsidP="00F11A8B">
            <w:pPr>
              <w:ind w:right="-143"/>
              <w:contextualSpacing/>
              <w:jc w:val="both"/>
              <w:rPr>
                <w:rFonts w:ascii="Garamond" w:hAnsi="Garamond"/>
                <w:sz w:val="22"/>
                <w:szCs w:val="22"/>
                <w:highlight w:val="yellow"/>
                <w:lang w:val="en-US"/>
              </w:rPr>
            </w:pPr>
            <w:r w:rsidRPr="006F6DAC">
              <w:rPr>
                <w:rFonts w:ascii="Garamond" w:hAnsi="Garamond"/>
                <w:sz w:val="22"/>
                <w:szCs w:val="22"/>
                <w:highlight w:val="yellow"/>
                <w:lang w:val="en-US"/>
              </w:rPr>
              <w:t xml:space="preserve">                  delivery-point-code = "15n"</w:t>
            </w:r>
          </w:p>
          <w:p w14:paraId="5700478D" w14:textId="77777777" w:rsidR="00F11A8B" w:rsidRPr="006F6DAC" w:rsidRDefault="00F11A8B" w:rsidP="00F11A8B">
            <w:pPr>
              <w:ind w:right="-143"/>
              <w:contextualSpacing/>
              <w:jc w:val="both"/>
              <w:rPr>
                <w:rFonts w:ascii="Garamond" w:hAnsi="Garamond"/>
                <w:sz w:val="22"/>
                <w:szCs w:val="22"/>
                <w:highlight w:val="yellow"/>
                <w:lang w:val="en-US"/>
              </w:rPr>
            </w:pPr>
            <w:r w:rsidRPr="006F6DAC">
              <w:rPr>
                <w:rFonts w:ascii="Garamond" w:hAnsi="Garamond"/>
                <w:sz w:val="22"/>
                <w:szCs w:val="22"/>
                <w:highlight w:val="yellow"/>
                <w:lang w:val="en-US"/>
              </w:rPr>
              <w:t xml:space="preserve">                  measuring-point-code = "15n"/&gt;</w:t>
            </w:r>
          </w:p>
          <w:p w14:paraId="40C5C0F8" w14:textId="77777777" w:rsidR="00F11A8B" w:rsidRPr="006F6DAC" w:rsidRDefault="00F11A8B" w:rsidP="00F11A8B">
            <w:pPr>
              <w:ind w:right="-143"/>
              <w:contextualSpacing/>
              <w:jc w:val="both"/>
              <w:rPr>
                <w:rFonts w:ascii="Garamond" w:hAnsi="Garamond"/>
                <w:sz w:val="22"/>
                <w:szCs w:val="22"/>
                <w:highlight w:val="yellow"/>
                <w:lang w:val="en-US"/>
              </w:rPr>
            </w:pPr>
            <w:r w:rsidRPr="006F6DAC">
              <w:rPr>
                <w:rFonts w:ascii="Garamond" w:hAnsi="Garamond"/>
                <w:sz w:val="22"/>
                <w:szCs w:val="22"/>
                <w:highlight w:val="yellow"/>
                <w:lang w:val="en-US"/>
              </w:rPr>
              <w:lastRenderedPageBreak/>
              <w:t xml:space="preserve">            &lt;/serviced-points-list&gt;</w:t>
            </w:r>
          </w:p>
          <w:p w14:paraId="7D88AE46" w14:textId="77777777" w:rsidR="00F11A8B" w:rsidRPr="006F6DAC" w:rsidRDefault="00F11A8B" w:rsidP="00F11A8B">
            <w:pPr>
              <w:ind w:right="-143"/>
              <w:contextualSpacing/>
              <w:jc w:val="both"/>
              <w:rPr>
                <w:rFonts w:ascii="Garamond" w:hAnsi="Garamond"/>
                <w:sz w:val="22"/>
                <w:szCs w:val="22"/>
                <w:highlight w:val="yellow"/>
                <w:lang w:val="en-US"/>
              </w:rPr>
            </w:pPr>
            <w:r w:rsidRPr="006F6DAC">
              <w:rPr>
                <w:rFonts w:ascii="Garamond" w:hAnsi="Garamond"/>
                <w:sz w:val="22"/>
                <w:szCs w:val="22"/>
                <w:highlight w:val="yellow"/>
                <w:lang w:val="en-US"/>
              </w:rPr>
              <w:t xml:space="preserve">            &lt;delivery-point-channels-list&gt;</w:t>
            </w:r>
          </w:p>
          <w:p w14:paraId="7F92BEDE" w14:textId="77777777" w:rsidR="00F11A8B" w:rsidRPr="006F6DAC" w:rsidRDefault="00F11A8B" w:rsidP="00F11A8B">
            <w:pPr>
              <w:ind w:right="-143"/>
              <w:contextualSpacing/>
              <w:jc w:val="both"/>
              <w:rPr>
                <w:rFonts w:ascii="Garamond" w:hAnsi="Garamond"/>
                <w:sz w:val="22"/>
                <w:szCs w:val="22"/>
                <w:highlight w:val="yellow"/>
                <w:lang w:val="en-US"/>
              </w:rPr>
            </w:pPr>
            <w:r w:rsidRPr="006F6DAC">
              <w:rPr>
                <w:rFonts w:ascii="Garamond" w:hAnsi="Garamond"/>
                <w:sz w:val="22"/>
                <w:szCs w:val="22"/>
                <w:highlight w:val="yellow"/>
                <w:lang w:val="en-US"/>
              </w:rPr>
              <w:t xml:space="preserve">                &lt;delivery-point-channel </w:t>
            </w:r>
          </w:p>
          <w:p w14:paraId="3BB14C33" w14:textId="77777777" w:rsidR="00F11A8B" w:rsidRPr="006F6DAC" w:rsidRDefault="00F11A8B" w:rsidP="00F11A8B">
            <w:pPr>
              <w:ind w:right="-143"/>
              <w:contextualSpacing/>
              <w:jc w:val="both"/>
              <w:rPr>
                <w:rFonts w:ascii="Garamond" w:hAnsi="Garamond"/>
                <w:sz w:val="22"/>
                <w:szCs w:val="22"/>
                <w:highlight w:val="yellow"/>
                <w:lang w:val="en-US"/>
              </w:rPr>
            </w:pPr>
            <w:r w:rsidRPr="006F6DAC">
              <w:rPr>
                <w:rFonts w:ascii="Garamond" w:hAnsi="Garamond"/>
                <w:sz w:val="22"/>
                <w:szCs w:val="22"/>
                <w:highlight w:val="yellow"/>
                <w:lang w:val="en-US"/>
              </w:rPr>
              <w:t xml:space="preserve">                  algorithm-version = "20n"</w:t>
            </w:r>
          </w:p>
          <w:p w14:paraId="1BC51C9E" w14:textId="77777777" w:rsidR="00F11A8B" w:rsidRPr="006F6DAC" w:rsidRDefault="00F11A8B" w:rsidP="00F11A8B">
            <w:pPr>
              <w:ind w:right="-143"/>
              <w:contextualSpacing/>
              <w:jc w:val="both"/>
              <w:rPr>
                <w:rFonts w:ascii="Garamond" w:hAnsi="Garamond"/>
                <w:sz w:val="22"/>
                <w:szCs w:val="22"/>
                <w:highlight w:val="yellow"/>
                <w:lang w:val="en-US"/>
              </w:rPr>
            </w:pPr>
            <w:r w:rsidRPr="006F6DAC">
              <w:rPr>
                <w:rFonts w:ascii="Garamond" w:hAnsi="Garamond"/>
                <w:sz w:val="22"/>
                <w:szCs w:val="22"/>
                <w:highlight w:val="yellow"/>
                <w:lang w:val="en-US"/>
              </w:rPr>
              <w:t xml:space="preserve">                  channel-code = "2n"</w:t>
            </w:r>
          </w:p>
          <w:p w14:paraId="73E795F0" w14:textId="77777777" w:rsidR="00F11A8B" w:rsidRPr="006F6DAC" w:rsidRDefault="00F11A8B" w:rsidP="00F11A8B">
            <w:pPr>
              <w:ind w:right="-143"/>
              <w:contextualSpacing/>
              <w:jc w:val="both"/>
              <w:rPr>
                <w:rFonts w:ascii="Garamond" w:hAnsi="Garamond"/>
                <w:sz w:val="22"/>
                <w:szCs w:val="22"/>
                <w:highlight w:val="yellow"/>
                <w:lang w:val="en-US"/>
              </w:rPr>
            </w:pPr>
            <w:r w:rsidRPr="006F6DAC">
              <w:rPr>
                <w:rFonts w:ascii="Garamond" w:hAnsi="Garamond"/>
                <w:sz w:val="22"/>
                <w:szCs w:val="22"/>
                <w:highlight w:val="yellow"/>
                <w:lang w:val="en-US"/>
              </w:rPr>
              <w:t xml:space="preserve">                  delivery-point-code = "15n"</w:t>
            </w:r>
          </w:p>
          <w:p w14:paraId="16700F67" w14:textId="77777777" w:rsidR="00F11A8B" w:rsidRPr="006F6DAC" w:rsidRDefault="00F11A8B" w:rsidP="00F11A8B">
            <w:pPr>
              <w:ind w:right="-143"/>
              <w:contextualSpacing/>
              <w:jc w:val="both"/>
              <w:rPr>
                <w:rFonts w:ascii="Garamond" w:hAnsi="Garamond"/>
                <w:sz w:val="22"/>
                <w:szCs w:val="22"/>
                <w:highlight w:val="yellow"/>
                <w:lang w:val="en-US"/>
              </w:rPr>
            </w:pPr>
            <w:r w:rsidRPr="006F6DAC">
              <w:rPr>
                <w:rFonts w:ascii="Garamond" w:hAnsi="Garamond"/>
                <w:sz w:val="22"/>
                <w:szCs w:val="22"/>
                <w:highlight w:val="yellow"/>
                <w:lang w:val="en-US"/>
              </w:rPr>
              <w:t xml:space="preserve">                  period = "30/60"/&gt;</w:t>
            </w:r>
          </w:p>
          <w:p w14:paraId="640B9598" w14:textId="77777777" w:rsidR="00F11A8B" w:rsidRPr="006F6DAC" w:rsidRDefault="00F11A8B" w:rsidP="00F11A8B">
            <w:pPr>
              <w:ind w:right="-143"/>
              <w:contextualSpacing/>
              <w:jc w:val="both"/>
              <w:rPr>
                <w:rFonts w:ascii="Garamond" w:hAnsi="Garamond"/>
                <w:sz w:val="22"/>
                <w:szCs w:val="22"/>
                <w:highlight w:val="yellow"/>
                <w:lang w:val="en-US"/>
              </w:rPr>
            </w:pPr>
            <w:r w:rsidRPr="006F6DAC">
              <w:rPr>
                <w:rFonts w:ascii="Garamond" w:hAnsi="Garamond"/>
                <w:sz w:val="22"/>
                <w:szCs w:val="22"/>
                <w:highlight w:val="yellow"/>
                <w:lang w:val="en-US"/>
              </w:rPr>
              <w:t xml:space="preserve">            &lt;/delivery-point-channels-list&gt;</w:t>
            </w:r>
          </w:p>
          <w:p w14:paraId="2B76C462" w14:textId="77777777" w:rsidR="00F11A8B" w:rsidRPr="006F6DAC" w:rsidRDefault="00F11A8B" w:rsidP="00F11A8B">
            <w:pPr>
              <w:ind w:right="-143"/>
              <w:contextualSpacing/>
              <w:jc w:val="both"/>
              <w:rPr>
                <w:rFonts w:ascii="Garamond" w:hAnsi="Garamond"/>
                <w:sz w:val="22"/>
                <w:szCs w:val="22"/>
                <w:highlight w:val="yellow"/>
                <w:lang w:val="en-US"/>
              </w:rPr>
            </w:pPr>
            <w:r w:rsidRPr="006F6DAC">
              <w:rPr>
                <w:rFonts w:ascii="Garamond" w:hAnsi="Garamond"/>
                <w:sz w:val="22"/>
                <w:szCs w:val="22"/>
                <w:highlight w:val="yellow"/>
                <w:lang w:val="en-US"/>
              </w:rPr>
              <w:t xml:space="preserve">            &lt;measuring-channels-list&gt;</w:t>
            </w:r>
          </w:p>
          <w:p w14:paraId="0658A71E" w14:textId="77777777" w:rsidR="00F11A8B" w:rsidRPr="006F6DAC" w:rsidRDefault="00F11A8B" w:rsidP="00F11A8B">
            <w:pPr>
              <w:ind w:right="-143"/>
              <w:contextualSpacing/>
              <w:jc w:val="both"/>
              <w:rPr>
                <w:rFonts w:ascii="Garamond" w:hAnsi="Garamond"/>
                <w:sz w:val="22"/>
                <w:szCs w:val="22"/>
                <w:highlight w:val="yellow"/>
                <w:lang w:val="en-US"/>
              </w:rPr>
            </w:pPr>
            <w:r w:rsidRPr="006F6DAC">
              <w:rPr>
                <w:rFonts w:ascii="Garamond" w:hAnsi="Garamond"/>
                <w:sz w:val="22"/>
                <w:szCs w:val="22"/>
                <w:highlight w:val="yellow"/>
                <w:lang w:val="en-US"/>
              </w:rPr>
              <w:t xml:space="preserve">                &lt;measuring-channel </w:t>
            </w:r>
          </w:p>
          <w:p w14:paraId="120FD044" w14:textId="77777777" w:rsidR="00F11A8B" w:rsidRPr="006F6DAC" w:rsidRDefault="00F11A8B" w:rsidP="00F11A8B">
            <w:pPr>
              <w:ind w:right="-143"/>
              <w:contextualSpacing/>
              <w:jc w:val="both"/>
              <w:rPr>
                <w:rFonts w:ascii="Garamond" w:hAnsi="Garamond"/>
                <w:sz w:val="22"/>
                <w:szCs w:val="22"/>
                <w:highlight w:val="yellow"/>
                <w:lang w:val="en-US"/>
              </w:rPr>
            </w:pPr>
            <w:r w:rsidRPr="006F6DAC">
              <w:rPr>
                <w:rFonts w:ascii="Garamond" w:hAnsi="Garamond"/>
                <w:sz w:val="22"/>
                <w:szCs w:val="22"/>
                <w:highlight w:val="yellow"/>
                <w:lang w:val="en-US"/>
              </w:rPr>
              <w:t xml:space="preserve">                  measuring-channel-code = "18x"/&gt;</w:t>
            </w:r>
          </w:p>
          <w:p w14:paraId="03B5742F" w14:textId="77777777" w:rsidR="00F11A8B" w:rsidRPr="006F6DAC" w:rsidRDefault="00F11A8B" w:rsidP="00F11A8B">
            <w:pPr>
              <w:ind w:right="-143"/>
              <w:contextualSpacing/>
              <w:jc w:val="both"/>
              <w:rPr>
                <w:rFonts w:ascii="Garamond" w:hAnsi="Garamond"/>
                <w:sz w:val="22"/>
                <w:szCs w:val="22"/>
                <w:highlight w:val="yellow"/>
                <w:lang w:val="en-US"/>
              </w:rPr>
            </w:pPr>
            <w:r w:rsidRPr="006F6DAC">
              <w:rPr>
                <w:rFonts w:ascii="Garamond" w:hAnsi="Garamond"/>
                <w:sz w:val="22"/>
                <w:szCs w:val="22"/>
                <w:highlight w:val="yellow"/>
                <w:lang w:val="en-US"/>
              </w:rPr>
              <w:t xml:space="preserve">            &lt;/measuring-channels-list&gt;</w:t>
            </w:r>
          </w:p>
          <w:p w14:paraId="6336DA62" w14:textId="77777777" w:rsidR="00F11A8B" w:rsidRPr="006F6DAC" w:rsidRDefault="00F11A8B" w:rsidP="00F11A8B">
            <w:pPr>
              <w:ind w:right="-143"/>
              <w:contextualSpacing/>
              <w:jc w:val="both"/>
              <w:rPr>
                <w:rFonts w:ascii="Garamond" w:hAnsi="Garamond"/>
                <w:sz w:val="22"/>
                <w:szCs w:val="22"/>
                <w:highlight w:val="yellow"/>
                <w:lang w:val="en-US"/>
              </w:rPr>
            </w:pPr>
            <w:r w:rsidRPr="006F6DAC">
              <w:rPr>
                <w:rFonts w:ascii="Garamond" w:hAnsi="Garamond"/>
                <w:sz w:val="22"/>
                <w:szCs w:val="22"/>
                <w:highlight w:val="yellow"/>
                <w:lang w:val="en-US"/>
              </w:rPr>
              <w:t xml:space="preserve">            &lt;measuring-objects-list&gt;</w:t>
            </w:r>
          </w:p>
          <w:p w14:paraId="4A64BAFE" w14:textId="77777777" w:rsidR="00F11A8B" w:rsidRPr="006F6DAC" w:rsidRDefault="00F11A8B" w:rsidP="00F11A8B">
            <w:pPr>
              <w:ind w:right="-143"/>
              <w:contextualSpacing/>
              <w:jc w:val="both"/>
              <w:rPr>
                <w:rFonts w:ascii="Garamond" w:hAnsi="Garamond"/>
                <w:sz w:val="22"/>
                <w:szCs w:val="22"/>
                <w:highlight w:val="yellow"/>
                <w:lang w:val="en-US"/>
              </w:rPr>
            </w:pPr>
            <w:r w:rsidRPr="006F6DAC">
              <w:rPr>
                <w:rFonts w:ascii="Garamond" w:hAnsi="Garamond"/>
                <w:sz w:val="22"/>
                <w:szCs w:val="22"/>
                <w:highlight w:val="yellow"/>
                <w:lang w:val="en-US"/>
              </w:rPr>
              <w:t xml:space="preserve">                &lt;measuring-object</w:t>
            </w:r>
          </w:p>
          <w:p w14:paraId="15667080" w14:textId="77777777" w:rsidR="00F11A8B" w:rsidRPr="006F6DAC" w:rsidRDefault="00F11A8B" w:rsidP="00F11A8B">
            <w:pPr>
              <w:ind w:right="-143"/>
              <w:contextualSpacing/>
              <w:jc w:val="both"/>
              <w:rPr>
                <w:rFonts w:ascii="Garamond" w:hAnsi="Garamond"/>
                <w:sz w:val="22"/>
                <w:szCs w:val="22"/>
                <w:highlight w:val="yellow"/>
                <w:lang w:val="en-US"/>
              </w:rPr>
            </w:pPr>
            <w:r w:rsidRPr="006F6DAC">
              <w:rPr>
                <w:rFonts w:ascii="Garamond" w:hAnsi="Garamond"/>
                <w:sz w:val="22"/>
                <w:szCs w:val="22"/>
                <w:highlight w:val="yellow"/>
                <w:lang w:val="en-US"/>
              </w:rPr>
              <w:t xml:space="preserve">                  measuring-object-code = "15n"/&gt;</w:t>
            </w:r>
          </w:p>
          <w:p w14:paraId="15F6AA41" w14:textId="77777777" w:rsidR="00F11A8B" w:rsidRPr="006F6DAC" w:rsidRDefault="00F11A8B" w:rsidP="00F11A8B">
            <w:pPr>
              <w:ind w:right="-143"/>
              <w:contextualSpacing/>
              <w:jc w:val="both"/>
              <w:rPr>
                <w:rFonts w:ascii="Garamond" w:hAnsi="Garamond"/>
                <w:sz w:val="22"/>
                <w:szCs w:val="22"/>
                <w:highlight w:val="yellow"/>
                <w:lang w:val="en-US"/>
              </w:rPr>
            </w:pPr>
            <w:r w:rsidRPr="006F6DAC">
              <w:rPr>
                <w:rFonts w:ascii="Garamond" w:hAnsi="Garamond"/>
                <w:sz w:val="22"/>
                <w:szCs w:val="22"/>
                <w:highlight w:val="yellow"/>
                <w:lang w:val="en-US"/>
              </w:rPr>
              <w:t xml:space="preserve">            &lt;/measuring-objects-list&gt;</w:t>
            </w:r>
          </w:p>
          <w:p w14:paraId="32EE4B97" w14:textId="77777777" w:rsidR="00F11A8B" w:rsidRPr="006F6DAC" w:rsidRDefault="00F11A8B" w:rsidP="00F11A8B">
            <w:pPr>
              <w:ind w:right="-143"/>
              <w:contextualSpacing/>
              <w:jc w:val="both"/>
              <w:rPr>
                <w:rFonts w:ascii="Garamond" w:hAnsi="Garamond"/>
                <w:sz w:val="22"/>
                <w:szCs w:val="22"/>
                <w:highlight w:val="yellow"/>
                <w:lang w:val="en-US"/>
              </w:rPr>
            </w:pPr>
            <w:r w:rsidRPr="006F6DAC">
              <w:rPr>
                <w:rFonts w:ascii="Garamond" w:hAnsi="Garamond"/>
                <w:sz w:val="22"/>
                <w:szCs w:val="22"/>
                <w:highlight w:val="yellow"/>
                <w:lang w:val="en-US"/>
              </w:rPr>
              <w:t xml:space="preserve">            &lt;peretok </w:t>
            </w:r>
          </w:p>
          <w:p w14:paraId="7AD6C0BC" w14:textId="77777777" w:rsidR="00F11A8B" w:rsidRPr="006F6DAC" w:rsidRDefault="00F11A8B" w:rsidP="00F11A8B">
            <w:pPr>
              <w:ind w:right="-143"/>
              <w:contextualSpacing/>
              <w:jc w:val="both"/>
              <w:rPr>
                <w:rFonts w:ascii="Garamond" w:hAnsi="Garamond"/>
                <w:sz w:val="22"/>
                <w:szCs w:val="22"/>
                <w:highlight w:val="yellow"/>
                <w:lang w:val="en-US"/>
              </w:rPr>
            </w:pPr>
            <w:r w:rsidRPr="006F6DAC">
              <w:rPr>
                <w:rFonts w:ascii="Garamond" w:hAnsi="Garamond"/>
                <w:sz w:val="22"/>
                <w:szCs w:val="22"/>
                <w:highlight w:val="yellow"/>
                <w:lang w:val="en-US"/>
              </w:rPr>
              <w:t xml:space="preserve">              algorithm-version = "20n"</w:t>
            </w:r>
          </w:p>
          <w:p w14:paraId="1BACE72F" w14:textId="77777777" w:rsidR="00F11A8B" w:rsidRPr="006F6DAC" w:rsidRDefault="00F11A8B" w:rsidP="00F11A8B">
            <w:pPr>
              <w:ind w:right="-143"/>
              <w:contextualSpacing/>
              <w:jc w:val="both"/>
              <w:rPr>
                <w:rFonts w:ascii="Garamond" w:hAnsi="Garamond"/>
                <w:sz w:val="22"/>
                <w:szCs w:val="22"/>
                <w:highlight w:val="yellow"/>
                <w:lang w:val="en-US"/>
              </w:rPr>
            </w:pPr>
            <w:r w:rsidRPr="006F6DAC">
              <w:rPr>
                <w:rFonts w:ascii="Garamond" w:hAnsi="Garamond"/>
                <w:sz w:val="22"/>
                <w:szCs w:val="22"/>
                <w:highlight w:val="yellow"/>
                <w:lang w:val="en-US"/>
              </w:rPr>
              <w:t xml:space="preserve">              from-code = "8x"</w:t>
            </w:r>
          </w:p>
          <w:p w14:paraId="532DA55A" w14:textId="77777777" w:rsidR="00F11A8B" w:rsidRPr="006F6DAC" w:rsidRDefault="00F11A8B" w:rsidP="00F11A8B">
            <w:pPr>
              <w:ind w:right="-143"/>
              <w:contextualSpacing/>
              <w:jc w:val="both"/>
              <w:rPr>
                <w:rFonts w:ascii="Garamond" w:hAnsi="Garamond"/>
                <w:sz w:val="22"/>
                <w:szCs w:val="22"/>
                <w:highlight w:val="yellow"/>
                <w:lang w:val="en-US"/>
              </w:rPr>
            </w:pPr>
            <w:r w:rsidRPr="006F6DAC">
              <w:rPr>
                <w:rFonts w:ascii="Garamond" w:hAnsi="Garamond"/>
                <w:sz w:val="22"/>
                <w:szCs w:val="22"/>
                <w:highlight w:val="yellow"/>
                <w:lang w:val="en-US"/>
              </w:rPr>
              <w:t xml:space="preserve">              name = "250x"</w:t>
            </w:r>
          </w:p>
          <w:p w14:paraId="192D5F24" w14:textId="77777777" w:rsidR="00F11A8B" w:rsidRPr="006F6DAC" w:rsidRDefault="00F11A8B" w:rsidP="00F11A8B">
            <w:pPr>
              <w:ind w:right="-143"/>
              <w:contextualSpacing/>
              <w:jc w:val="both"/>
              <w:rPr>
                <w:rFonts w:ascii="Garamond" w:hAnsi="Garamond"/>
                <w:sz w:val="22"/>
                <w:szCs w:val="22"/>
                <w:highlight w:val="yellow"/>
                <w:lang w:val="en-US"/>
              </w:rPr>
            </w:pPr>
            <w:r w:rsidRPr="006F6DAC">
              <w:rPr>
                <w:rFonts w:ascii="Garamond" w:hAnsi="Garamond"/>
                <w:sz w:val="22"/>
                <w:szCs w:val="22"/>
                <w:highlight w:val="yellow"/>
                <w:lang w:val="en-US"/>
              </w:rPr>
              <w:t xml:space="preserve">              to-code = "8x"/&gt;</w:t>
            </w:r>
          </w:p>
          <w:p w14:paraId="7CA79BB3" w14:textId="77777777" w:rsidR="00F11A8B" w:rsidRPr="006F6DAC" w:rsidRDefault="00F11A8B" w:rsidP="00F11A8B">
            <w:pPr>
              <w:ind w:right="-143"/>
              <w:contextualSpacing/>
              <w:jc w:val="both"/>
              <w:rPr>
                <w:rFonts w:ascii="Garamond" w:hAnsi="Garamond"/>
                <w:sz w:val="22"/>
                <w:szCs w:val="22"/>
                <w:highlight w:val="yellow"/>
                <w:lang w:val="en-US"/>
              </w:rPr>
            </w:pPr>
            <w:r w:rsidRPr="006F6DAC">
              <w:rPr>
                <w:rFonts w:ascii="Garamond" w:hAnsi="Garamond"/>
                <w:sz w:val="22"/>
                <w:szCs w:val="22"/>
                <w:highlight w:val="yellow"/>
                <w:lang w:val="en-US"/>
              </w:rPr>
              <w:t xml:space="preserve">            &lt;generation </w:t>
            </w:r>
          </w:p>
          <w:p w14:paraId="450D2800" w14:textId="77777777" w:rsidR="00F11A8B" w:rsidRPr="006F6DAC" w:rsidRDefault="00F11A8B" w:rsidP="00F11A8B">
            <w:pPr>
              <w:ind w:right="-143"/>
              <w:contextualSpacing/>
              <w:jc w:val="both"/>
              <w:rPr>
                <w:rFonts w:ascii="Garamond" w:hAnsi="Garamond"/>
                <w:sz w:val="22"/>
                <w:szCs w:val="22"/>
                <w:highlight w:val="yellow"/>
                <w:lang w:val="en-US"/>
              </w:rPr>
            </w:pPr>
            <w:r w:rsidRPr="006F6DAC">
              <w:rPr>
                <w:rFonts w:ascii="Garamond" w:hAnsi="Garamond"/>
                <w:sz w:val="22"/>
                <w:szCs w:val="22"/>
                <w:highlight w:val="yellow"/>
                <w:lang w:val="en-US"/>
              </w:rPr>
              <w:t xml:space="preserve">              algorithm-version = "20n"</w:t>
            </w:r>
          </w:p>
          <w:p w14:paraId="24C45926" w14:textId="77777777" w:rsidR="00F11A8B" w:rsidRPr="006F6DAC" w:rsidRDefault="00F11A8B" w:rsidP="00F11A8B">
            <w:pPr>
              <w:ind w:right="-143"/>
              <w:contextualSpacing/>
              <w:jc w:val="both"/>
              <w:rPr>
                <w:rFonts w:ascii="Garamond" w:hAnsi="Garamond"/>
                <w:sz w:val="22"/>
                <w:szCs w:val="22"/>
                <w:highlight w:val="yellow"/>
                <w:lang w:val="en-US"/>
              </w:rPr>
            </w:pPr>
            <w:r w:rsidRPr="006F6DAC">
              <w:rPr>
                <w:rFonts w:ascii="Garamond" w:hAnsi="Garamond"/>
                <w:sz w:val="22"/>
                <w:szCs w:val="22"/>
                <w:highlight w:val="yellow"/>
                <w:lang w:val="en-US"/>
              </w:rPr>
              <w:t xml:space="preserve">              code = "8x"</w:t>
            </w:r>
          </w:p>
          <w:p w14:paraId="1B9CD5C8" w14:textId="77777777" w:rsidR="00F11A8B" w:rsidRPr="006F6DAC" w:rsidRDefault="00F11A8B" w:rsidP="00F11A8B">
            <w:pPr>
              <w:ind w:right="-143"/>
              <w:contextualSpacing/>
              <w:jc w:val="both"/>
              <w:rPr>
                <w:rFonts w:ascii="Garamond" w:hAnsi="Garamond"/>
                <w:sz w:val="22"/>
                <w:szCs w:val="22"/>
                <w:highlight w:val="yellow"/>
                <w:lang w:val="en-US"/>
              </w:rPr>
            </w:pPr>
            <w:r w:rsidRPr="006F6DAC">
              <w:rPr>
                <w:rFonts w:ascii="Garamond" w:hAnsi="Garamond"/>
                <w:sz w:val="22"/>
                <w:szCs w:val="22"/>
                <w:highlight w:val="yellow"/>
                <w:lang w:val="en-US"/>
              </w:rPr>
              <w:t xml:space="preserve">              name = "250x"/&gt;</w:t>
            </w:r>
          </w:p>
          <w:p w14:paraId="6AC21E5D" w14:textId="77777777" w:rsidR="00F11A8B" w:rsidRPr="006F6DAC" w:rsidRDefault="00F11A8B" w:rsidP="00F11A8B">
            <w:pPr>
              <w:ind w:right="-143"/>
              <w:contextualSpacing/>
              <w:jc w:val="both"/>
              <w:rPr>
                <w:rFonts w:ascii="Garamond" w:hAnsi="Garamond"/>
                <w:sz w:val="22"/>
                <w:szCs w:val="22"/>
                <w:highlight w:val="yellow"/>
                <w:lang w:val="en-US"/>
              </w:rPr>
            </w:pPr>
            <w:r w:rsidRPr="006F6DAC">
              <w:rPr>
                <w:rFonts w:ascii="Garamond" w:hAnsi="Garamond"/>
                <w:sz w:val="22"/>
                <w:szCs w:val="22"/>
                <w:highlight w:val="yellow"/>
                <w:lang w:val="en-US"/>
              </w:rPr>
              <w:t xml:space="preserve">        &lt;/area&gt;</w:t>
            </w:r>
          </w:p>
          <w:p w14:paraId="3413C548" w14:textId="77777777" w:rsidR="00F11A8B" w:rsidRPr="006F6DAC" w:rsidRDefault="00F11A8B" w:rsidP="00F11A8B">
            <w:pPr>
              <w:ind w:right="-143"/>
              <w:contextualSpacing/>
              <w:jc w:val="both"/>
              <w:rPr>
                <w:rFonts w:ascii="Garamond" w:hAnsi="Garamond"/>
                <w:sz w:val="22"/>
                <w:szCs w:val="22"/>
                <w:highlight w:val="yellow"/>
              </w:rPr>
            </w:pPr>
            <w:r w:rsidRPr="006F6DAC">
              <w:rPr>
                <w:rFonts w:ascii="Garamond" w:hAnsi="Garamond"/>
                <w:sz w:val="22"/>
                <w:szCs w:val="22"/>
                <w:highlight w:val="yellow"/>
                <w:lang w:val="en-US"/>
              </w:rPr>
              <w:t xml:space="preserve">    </w:t>
            </w:r>
            <w:r w:rsidRPr="006F6DAC">
              <w:rPr>
                <w:rFonts w:ascii="Garamond" w:hAnsi="Garamond"/>
                <w:sz w:val="22"/>
                <w:szCs w:val="22"/>
                <w:highlight w:val="yellow"/>
              </w:rPr>
              <w:t>&lt;/</w:t>
            </w:r>
            <w:r w:rsidRPr="006F6DAC">
              <w:rPr>
                <w:rFonts w:ascii="Garamond" w:hAnsi="Garamond"/>
                <w:sz w:val="22"/>
                <w:szCs w:val="22"/>
                <w:highlight w:val="yellow"/>
                <w:lang w:val="en-US"/>
              </w:rPr>
              <w:t>aiis</w:t>
            </w:r>
            <w:r w:rsidRPr="006F6DAC">
              <w:rPr>
                <w:rFonts w:ascii="Garamond" w:hAnsi="Garamond"/>
                <w:sz w:val="22"/>
                <w:szCs w:val="22"/>
                <w:highlight w:val="yellow"/>
              </w:rPr>
              <w:t>&gt;</w:t>
            </w:r>
          </w:p>
          <w:p w14:paraId="7584196B" w14:textId="77777777" w:rsidR="00F11A8B" w:rsidRPr="006F6DAC" w:rsidRDefault="00F11A8B" w:rsidP="00F11A8B">
            <w:pPr>
              <w:ind w:right="-143"/>
              <w:contextualSpacing/>
              <w:jc w:val="both"/>
              <w:rPr>
                <w:rFonts w:ascii="Garamond" w:hAnsi="Garamond"/>
                <w:sz w:val="22"/>
                <w:szCs w:val="22"/>
                <w:highlight w:val="yellow"/>
              </w:rPr>
            </w:pPr>
            <w:r w:rsidRPr="006F6DAC">
              <w:rPr>
                <w:rFonts w:ascii="Garamond" w:hAnsi="Garamond"/>
                <w:sz w:val="22"/>
                <w:szCs w:val="22"/>
                <w:highlight w:val="yellow"/>
              </w:rPr>
              <w:t>&lt;/</w:t>
            </w:r>
            <w:r w:rsidRPr="006F6DAC">
              <w:rPr>
                <w:rFonts w:ascii="Garamond" w:hAnsi="Garamond"/>
                <w:sz w:val="22"/>
                <w:szCs w:val="22"/>
                <w:highlight w:val="yellow"/>
                <w:lang w:val="en-US"/>
              </w:rPr>
              <w:t>message</w:t>
            </w:r>
            <w:r w:rsidRPr="006F6DAC">
              <w:rPr>
                <w:rFonts w:ascii="Garamond" w:hAnsi="Garamond"/>
                <w:sz w:val="22"/>
                <w:szCs w:val="22"/>
                <w:highlight w:val="yellow"/>
              </w:rPr>
              <w:t>&gt;</w:t>
            </w:r>
          </w:p>
        </w:tc>
        <w:tc>
          <w:tcPr>
            <w:tcW w:w="7115" w:type="dxa"/>
          </w:tcPr>
          <w:p w14:paraId="67D01BE6" w14:textId="77777777" w:rsidR="00F11A8B" w:rsidRPr="006F6DAC" w:rsidRDefault="00F11A8B" w:rsidP="00F11A8B">
            <w:pPr>
              <w:pStyle w:val="5"/>
              <w:suppressAutoHyphens w:val="0"/>
              <w:spacing w:before="0" w:line="259" w:lineRule="auto"/>
              <w:jc w:val="both"/>
              <w:rPr>
                <w:rFonts w:ascii="Garamond" w:hAnsi="Garamond"/>
                <w:b/>
                <w:color w:val="auto"/>
                <w:sz w:val="22"/>
                <w:szCs w:val="22"/>
              </w:rPr>
            </w:pPr>
            <w:r w:rsidRPr="006F6DAC">
              <w:rPr>
                <w:rFonts w:ascii="Garamond" w:hAnsi="Garamond"/>
                <w:b/>
                <w:color w:val="auto"/>
                <w:sz w:val="22"/>
                <w:szCs w:val="22"/>
              </w:rPr>
              <w:lastRenderedPageBreak/>
              <w:t>Исключить пункт</w:t>
            </w:r>
          </w:p>
        </w:tc>
      </w:tr>
      <w:tr w:rsidR="00F11A8B" w:rsidRPr="006F6DAC" w14:paraId="4B435A1A" w14:textId="77777777" w:rsidTr="006F6DAC">
        <w:tc>
          <w:tcPr>
            <w:tcW w:w="1060" w:type="dxa"/>
          </w:tcPr>
          <w:p w14:paraId="4FA8F1B4" w14:textId="43868999" w:rsidR="00F11A8B" w:rsidRPr="006F6DAC" w:rsidRDefault="00F11A8B" w:rsidP="00F11A8B">
            <w:pPr>
              <w:widowControl w:val="0"/>
              <w:spacing w:line="259" w:lineRule="auto"/>
              <w:jc w:val="center"/>
              <w:rPr>
                <w:rFonts w:ascii="Garamond" w:hAnsi="Garamond"/>
                <w:b/>
                <w:sz w:val="22"/>
                <w:szCs w:val="22"/>
                <w:lang w:eastAsia="en-US"/>
              </w:rPr>
            </w:pPr>
            <w:r w:rsidRPr="006F6DAC">
              <w:rPr>
                <w:rFonts w:ascii="Garamond" w:hAnsi="Garamond"/>
                <w:b/>
                <w:sz w:val="22"/>
                <w:szCs w:val="22"/>
                <w:lang w:eastAsia="en-US"/>
              </w:rPr>
              <w:lastRenderedPageBreak/>
              <w:t>Приложение 8, п.</w:t>
            </w:r>
            <w:r w:rsidR="007A00C5">
              <w:rPr>
                <w:rFonts w:ascii="Garamond" w:hAnsi="Garamond"/>
                <w:b/>
                <w:sz w:val="22"/>
                <w:szCs w:val="22"/>
                <w:lang w:eastAsia="en-US"/>
              </w:rPr>
              <w:t xml:space="preserve"> </w:t>
            </w:r>
            <w:r w:rsidRPr="006F6DAC">
              <w:rPr>
                <w:rFonts w:ascii="Garamond" w:hAnsi="Garamond"/>
                <w:b/>
                <w:sz w:val="22"/>
                <w:szCs w:val="22"/>
                <w:lang w:eastAsia="en-US"/>
              </w:rPr>
              <w:t>4</w:t>
            </w:r>
          </w:p>
        </w:tc>
        <w:tc>
          <w:tcPr>
            <w:tcW w:w="6804" w:type="dxa"/>
          </w:tcPr>
          <w:p w14:paraId="1F4D67E0" w14:textId="77777777" w:rsidR="00F11A8B" w:rsidRPr="006F6DAC" w:rsidRDefault="00F11A8B" w:rsidP="00F11A8B">
            <w:pPr>
              <w:widowControl w:val="0"/>
              <w:rPr>
                <w:rFonts w:ascii="Garamond" w:hAnsi="Garamond" w:cs="Courier New CYR"/>
                <w:b/>
                <w:sz w:val="22"/>
                <w:szCs w:val="22"/>
                <w:lang w:val="en-US"/>
              </w:rPr>
            </w:pPr>
            <w:r w:rsidRPr="006F6DAC">
              <w:rPr>
                <w:rFonts w:ascii="Garamond" w:hAnsi="Garamond" w:cs="Courier New CYR"/>
                <w:b/>
                <w:sz w:val="22"/>
                <w:szCs w:val="22"/>
                <w:highlight w:val="yellow"/>
                <w:lang w:val="en-US"/>
              </w:rPr>
              <w:t>4.</w:t>
            </w:r>
            <w:r w:rsidRPr="006F6DAC">
              <w:rPr>
                <w:rFonts w:ascii="Garamond" w:hAnsi="Garamond" w:cs="Courier New CYR"/>
                <w:b/>
                <w:sz w:val="22"/>
                <w:szCs w:val="22"/>
                <w:lang w:val="en-US"/>
              </w:rPr>
              <w:t xml:space="preserve"> </w:t>
            </w:r>
            <w:r w:rsidRPr="006F6DAC">
              <w:rPr>
                <w:rFonts w:ascii="Garamond" w:hAnsi="Garamond" w:cs="Courier New CYR"/>
                <w:b/>
                <w:sz w:val="22"/>
                <w:szCs w:val="22"/>
              </w:rPr>
              <w:t>Пример</w:t>
            </w:r>
            <w:r w:rsidRPr="006F6DAC">
              <w:rPr>
                <w:rFonts w:ascii="Garamond" w:hAnsi="Garamond" w:cs="Courier New CYR"/>
                <w:b/>
                <w:sz w:val="22"/>
                <w:szCs w:val="22"/>
                <w:lang w:val="en-US"/>
              </w:rPr>
              <w:t xml:space="preserve"> </w:t>
            </w:r>
            <w:r w:rsidRPr="006F6DAC">
              <w:rPr>
                <w:rFonts w:ascii="Garamond" w:hAnsi="Garamond" w:cs="Courier New CYR"/>
                <w:b/>
                <w:sz w:val="22"/>
                <w:szCs w:val="22"/>
              </w:rPr>
              <w:t>электронного</w:t>
            </w:r>
            <w:r w:rsidRPr="006F6DAC">
              <w:rPr>
                <w:rFonts w:ascii="Garamond" w:hAnsi="Garamond" w:cs="Courier New CYR"/>
                <w:b/>
                <w:sz w:val="22"/>
                <w:szCs w:val="22"/>
                <w:lang w:val="en-US"/>
              </w:rPr>
              <w:t xml:space="preserve"> </w:t>
            </w:r>
            <w:r w:rsidRPr="006F6DAC">
              <w:rPr>
                <w:rFonts w:ascii="Garamond" w:hAnsi="Garamond" w:cs="Courier New CYR"/>
                <w:b/>
                <w:sz w:val="22"/>
                <w:szCs w:val="22"/>
              </w:rPr>
              <w:t>документа</w:t>
            </w:r>
            <w:r w:rsidRPr="006F6DAC">
              <w:rPr>
                <w:rFonts w:ascii="Garamond" w:hAnsi="Garamond" w:cs="Courier New CYR"/>
                <w:b/>
                <w:sz w:val="22"/>
                <w:szCs w:val="22"/>
                <w:lang w:val="en-US"/>
              </w:rPr>
              <w:t xml:space="preserve"> </w:t>
            </w:r>
            <w:r w:rsidRPr="006F6DAC">
              <w:rPr>
                <w:rFonts w:ascii="Garamond" w:hAnsi="Garamond" w:cs="Courier New CYR"/>
                <w:b/>
                <w:sz w:val="22"/>
                <w:szCs w:val="22"/>
              </w:rPr>
              <w:t>формата</w:t>
            </w:r>
            <w:r w:rsidRPr="006F6DAC">
              <w:rPr>
                <w:rFonts w:ascii="Garamond" w:hAnsi="Garamond" w:cs="Courier New CYR"/>
                <w:b/>
                <w:sz w:val="22"/>
                <w:szCs w:val="22"/>
                <w:lang w:val="en-US"/>
              </w:rPr>
              <w:t xml:space="preserve"> 80000</w:t>
            </w:r>
          </w:p>
          <w:p w14:paraId="7796BBE9" w14:textId="77777777" w:rsidR="00F11A8B" w:rsidRPr="006F6DAC" w:rsidRDefault="00F11A8B" w:rsidP="00F11A8B">
            <w:pPr>
              <w:rPr>
                <w:rFonts w:ascii="Garamond" w:hAnsi="Garamond" w:cs="Courier New CYR"/>
                <w:sz w:val="22"/>
                <w:szCs w:val="22"/>
                <w:lang w:val="en-US"/>
              </w:rPr>
            </w:pPr>
          </w:p>
          <w:p w14:paraId="6CB3DB0B" w14:textId="77777777" w:rsidR="00F11A8B" w:rsidRPr="006F6DAC" w:rsidRDefault="00F11A8B" w:rsidP="00F11A8B">
            <w:pPr>
              <w:rPr>
                <w:rFonts w:ascii="Garamond" w:hAnsi="Garamond"/>
                <w:sz w:val="22"/>
                <w:szCs w:val="22"/>
                <w:lang w:val="en-US"/>
              </w:rPr>
            </w:pPr>
            <w:r w:rsidRPr="006F6DAC">
              <w:rPr>
                <w:rFonts w:ascii="Garamond" w:hAnsi="Garamond"/>
                <w:sz w:val="22"/>
                <w:szCs w:val="22"/>
                <w:lang w:val="en-US"/>
              </w:rPr>
              <w:t>&lt;?xml version="1.0" encoding="windows-1251" standalone="no"?&gt;&lt;message class="80000" version="4" generationtime="20181024152034GMT+03"&gt;</w:t>
            </w:r>
          </w:p>
          <w:p w14:paraId="4AE72982" w14:textId="77777777" w:rsidR="00F11A8B" w:rsidRPr="006F6DAC" w:rsidRDefault="00F11A8B" w:rsidP="00F11A8B">
            <w:pPr>
              <w:rPr>
                <w:rFonts w:ascii="Garamond" w:hAnsi="Garamond"/>
                <w:sz w:val="22"/>
                <w:szCs w:val="22"/>
                <w:lang w:val="en-US"/>
              </w:rPr>
            </w:pPr>
            <w:r w:rsidRPr="006F6DAC">
              <w:rPr>
                <w:rFonts w:ascii="Garamond" w:hAnsi="Garamond"/>
                <w:sz w:val="22"/>
                <w:szCs w:val="22"/>
                <w:lang w:val="en-US"/>
              </w:rPr>
              <w:t xml:space="preserve">  &lt;dictionaries&gt;</w:t>
            </w:r>
          </w:p>
          <w:p w14:paraId="21304B73" w14:textId="77777777" w:rsidR="00F11A8B" w:rsidRPr="006F6DAC" w:rsidRDefault="00F11A8B" w:rsidP="00F11A8B">
            <w:pPr>
              <w:rPr>
                <w:rFonts w:ascii="Garamond" w:hAnsi="Garamond"/>
                <w:sz w:val="22"/>
                <w:szCs w:val="22"/>
                <w:lang w:val="en-US"/>
              </w:rPr>
            </w:pPr>
            <w:r w:rsidRPr="006F6DAC">
              <w:rPr>
                <w:rFonts w:ascii="Garamond" w:hAnsi="Garamond"/>
                <w:sz w:val="22"/>
                <w:szCs w:val="22"/>
                <w:lang w:val="en-US"/>
              </w:rPr>
              <w:t xml:space="preserve">    &lt;organization inn="1234567890" name="</w:t>
            </w:r>
            <w:r w:rsidRPr="006F6DAC">
              <w:rPr>
                <w:rFonts w:ascii="Garamond" w:hAnsi="Garamond"/>
                <w:sz w:val="22"/>
                <w:szCs w:val="22"/>
              </w:rPr>
              <w:t>Наименование</w:t>
            </w:r>
            <w:r w:rsidRPr="006F6DAC">
              <w:rPr>
                <w:rFonts w:ascii="Garamond" w:hAnsi="Garamond"/>
                <w:sz w:val="22"/>
                <w:szCs w:val="22"/>
                <w:lang w:val="en-US"/>
              </w:rPr>
              <w:t xml:space="preserve"> </w:t>
            </w:r>
            <w:r w:rsidRPr="006F6DAC">
              <w:rPr>
                <w:rFonts w:ascii="Garamond" w:hAnsi="Garamond"/>
                <w:sz w:val="22"/>
                <w:szCs w:val="22"/>
              </w:rPr>
              <w:t>организации</w:t>
            </w:r>
            <w:r w:rsidRPr="006F6DAC">
              <w:rPr>
                <w:rFonts w:ascii="Garamond" w:hAnsi="Garamond"/>
                <w:sz w:val="22"/>
                <w:szCs w:val="22"/>
                <w:lang w:val="en-US"/>
              </w:rPr>
              <w:t>" trader-code="ABCDEFGH"/&gt;</w:t>
            </w:r>
          </w:p>
          <w:p w14:paraId="54CB51D8" w14:textId="77777777" w:rsidR="00F11A8B" w:rsidRPr="006F6DAC" w:rsidRDefault="00F11A8B" w:rsidP="00F11A8B">
            <w:pPr>
              <w:rPr>
                <w:rFonts w:ascii="Garamond" w:hAnsi="Garamond"/>
                <w:sz w:val="22"/>
                <w:szCs w:val="22"/>
                <w:lang w:val="en-US"/>
              </w:rPr>
            </w:pPr>
            <w:r w:rsidRPr="006F6DAC">
              <w:rPr>
                <w:rFonts w:ascii="Garamond" w:hAnsi="Garamond"/>
                <w:sz w:val="22"/>
                <w:szCs w:val="22"/>
                <w:lang w:val="en-US"/>
              </w:rPr>
              <w:t xml:space="preserve">    &lt;power-objects&gt;</w:t>
            </w:r>
          </w:p>
          <w:p w14:paraId="170FA7DC" w14:textId="77777777" w:rsidR="00F11A8B" w:rsidRPr="006F6DAC" w:rsidRDefault="00F11A8B" w:rsidP="00F11A8B">
            <w:pPr>
              <w:rPr>
                <w:rFonts w:ascii="Garamond" w:hAnsi="Garamond"/>
                <w:sz w:val="22"/>
                <w:szCs w:val="22"/>
                <w:lang w:val="en-US"/>
              </w:rPr>
            </w:pPr>
            <w:r w:rsidRPr="006F6DAC">
              <w:rPr>
                <w:rFonts w:ascii="Garamond" w:hAnsi="Garamond"/>
                <w:sz w:val="22"/>
                <w:szCs w:val="22"/>
                <w:lang w:val="en-US"/>
              </w:rPr>
              <w:lastRenderedPageBreak/>
              <w:t xml:space="preserve">      &lt;power-object ats-code="123456789" is-power-center="true" name="</w:t>
            </w:r>
            <w:r w:rsidRPr="006F6DAC">
              <w:rPr>
                <w:rFonts w:ascii="Garamond" w:hAnsi="Garamond"/>
                <w:sz w:val="22"/>
                <w:szCs w:val="22"/>
              </w:rPr>
              <w:t>Наименование</w:t>
            </w:r>
            <w:r w:rsidRPr="006F6DAC">
              <w:rPr>
                <w:rFonts w:ascii="Garamond" w:hAnsi="Garamond"/>
                <w:sz w:val="22"/>
                <w:szCs w:val="22"/>
                <w:lang w:val="en-US"/>
              </w:rPr>
              <w:t xml:space="preserve"> </w:t>
            </w:r>
            <w:r w:rsidRPr="006F6DAC">
              <w:rPr>
                <w:rFonts w:ascii="Garamond" w:hAnsi="Garamond"/>
                <w:sz w:val="22"/>
                <w:szCs w:val="22"/>
              </w:rPr>
              <w:t>объекта</w:t>
            </w:r>
            <w:r w:rsidRPr="006F6DAC">
              <w:rPr>
                <w:rFonts w:ascii="Garamond" w:hAnsi="Garamond"/>
                <w:sz w:val="22"/>
                <w:szCs w:val="22"/>
                <w:lang w:val="en-US"/>
              </w:rPr>
              <w:t xml:space="preserve"> 1" type="2"&gt;</w:t>
            </w:r>
          </w:p>
          <w:p w14:paraId="4EA754F9" w14:textId="77777777" w:rsidR="00F11A8B" w:rsidRPr="006F6DAC" w:rsidRDefault="00F11A8B" w:rsidP="00F11A8B">
            <w:pPr>
              <w:rPr>
                <w:rFonts w:ascii="Garamond" w:hAnsi="Garamond"/>
                <w:sz w:val="22"/>
                <w:szCs w:val="22"/>
                <w:lang w:val="en-US"/>
              </w:rPr>
            </w:pPr>
            <w:r w:rsidRPr="006F6DAC">
              <w:rPr>
                <w:rFonts w:ascii="Garamond" w:hAnsi="Garamond"/>
                <w:sz w:val="22"/>
                <w:szCs w:val="22"/>
                <w:lang w:val="en-US"/>
              </w:rPr>
              <w:tab/>
            </w:r>
            <w:r w:rsidRPr="006F6DAC">
              <w:rPr>
                <w:rFonts w:ascii="Garamond" w:hAnsi="Garamond"/>
                <w:sz w:val="22"/>
                <w:szCs w:val="22"/>
                <w:lang w:val="en-US"/>
              </w:rPr>
              <w:tab/>
              <w:t xml:space="preserve">  &lt;voltage-levels&gt;</w:t>
            </w:r>
          </w:p>
          <w:p w14:paraId="0473BB30" w14:textId="77777777" w:rsidR="00F11A8B" w:rsidRPr="006F6DAC" w:rsidRDefault="00F11A8B" w:rsidP="00F11A8B">
            <w:pPr>
              <w:rPr>
                <w:rFonts w:ascii="Garamond" w:hAnsi="Garamond"/>
                <w:sz w:val="22"/>
                <w:szCs w:val="22"/>
                <w:lang w:val="en-US"/>
              </w:rPr>
            </w:pPr>
            <w:r w:rsidRPr="006F6DAC">
              <w:rPr>
                <w:rFonts w:ascii="Garamond" w:hAnsi="Garamond"/>
                <w:sz w:val="22"/>
                <w:szCs w:val="22"/>
                <w:lang w:val="en-US"/>
              </w:rPr>
              <w:tab/>
            </w:r>
            <w:r w:rsidRPr="006F6DAC">
              <w:rPr>
                <w:rFonts w:ascii="Garamond" w:hAnsi="Garamond"/>
                <w:sz w:val="22"/>
                <w:szCs w:val="22"/>
                <w:lang w:val="en-US"/>
              </w:rPr>
              <w:tab/>
            </w:r>
            <w:r w:rsidRPr="006F6DAC">
              <w:rPr>
                <w:rFonts w:ascii="Garamond" w:hAnsi="Garamond"/>
                <w:sz w:val="22"/>
                <w:szCs w:val="22"/>
                <w:lang w:val="en-US"/>
              </w:rPr>
              <w:tab/>
              <w:t xml:space="preserve">  &lt;voltage-level voltage="220000"/&gt;</w:t>
            </w:r>
          </w:p>
          <w:p w14:paraId="66E0D509" w14:textId="77777777" w:rsidR="00F11A8B" w:rsidRPr="006F6DAC" w:rsidRDefault="00F11A8B" w:rsidP="00F11A8B">
            <w:pPr>
              <w:rPr>
                <w:rFonts w:ascii="Garamond" w:hAnsi="Garamond"/>
                <w:sz w:val="22"/>
                <w:szCs w:val="22"/>
                <w:lang w:val="en-US"/>
              </w:rPr>
            </w:pPr>
            <w:r w:rsidRPr="006F6DAC">
              <w:rPr>
                <w:rFonts w:ascii="Garamond" w:hAnsi="Garamond"/>
                <w:sz w:val="22"/>
                <w:szCs w:val="22"/>
                <w:lang w:val="en-US"/>
              </w:rPr>
              <w:tab/>
            </w:r>
            <w:r w:rsidRPr="006F6DAC">
              <w:rPr>
                <w:rFonts w:ascii="Garamond" w:hAnsi="Garamond"/>
                <w:sz w:val="22"/>
                <w:szCs w:val="22"/>
                <w:lang w:val="en-US"/>
              </w:rPr>
              <w:tab/>
              <w:t xml:space="preserve">  &lt;/voltage-levels&gt;</w:t>
            </w:r>
          </w:p>
          <w:p w14:paraId="5A59A7BD" w14:textId="77777777" w:rsidR="00F11A8B" w:rsidRPr="006F6DAC" w:rsidRDefault="00F11A8B" w:rsidP="00F11A8B">
            <w:pPr>
              <w:rPr>
                <w:rFonts w:ascii="Garamond" w:hAnsi="Garamond"/>
                <w:sz w:val="22"/>
                <w:szCs w:val="22"/>
                <w:lang w:val="en-US"/>
              </w:rPr>
            </w:pPr>
            <w:r w:rsidRPr="006F6DAC">
              <w:rPr>
                <w:rFonts w:ascii="Garamond" w:hAnsi="Garamond"/>
                <w:sz w:val="22"/>
                <w:szCs w:val="22"/>
                <w:lang w:val="en-US"/>
              </w:rPr>
              <w:t xml:space="preserve">      &lt;/power-object&gt;</w:t>
            </w:r>
          </w:p>
          <w:p w14:paraId="3C84E5F6" w14:textId="77777777" w:rsidR="00F11A8B" w:rsidRPr="006F6DAC" w:rsidRDefault="00F11A8B" w:rsidP="00F11A8B">
            <w:pPr>
              <w:rPr>
                <w:rFonts w:ascii="Garamond" w:hAnsi="Garamond"/>
                <w:sz w:val="22"/>
                <w:szCs w:val="22"/>
                <w:lang w:val="en-US"/>
              </w:rPr>
            </w:pPr>
            <w:r w:rsidRPr="006F6DAC">
              <w:rPr>
                <w:rFonts w:ascii="Garamond" w:hAnsi="Garamond"/>
                <w:sz w:val="22"/>
                <w:szCs w:val="22"/>
                <w:lang w:val="en-US"/>
              </w:rPr>
              <w:t xml:space="preserve">      &lt;power-object ats-code="123456780" is-power-center="true" name="</w:t>
            </w:r>
            <w:r w:rsidRPr="006F6DAC">
              <w:rPr>
                <w:rFonts w:ascii="Garamond" w:hAnsi="Garamond"/>
                <w:sz w:val="22"/>
                <w:szCs w:val="22"/>
              </w:rPr>
              <w:t>Наименование</w:t>
            </w:r>
            <w:r w:rsidRPr="006F6DAC">
              <w:rPr>
                <w:rFonts w:ascii="Garamond" w:hAnsi="Garamond"/>
                <w:sz w:val="22"/>
                <w:szCs w:val="22"/>
                <w:lang w:val="en-US"/>
              </w:rPr>
              <w:t xml:space="preserve"> </w:t>
            </w:r>
            <w:r w:rsidRPr="006F6DAC">
              <w:rPr>
                <w:rFonts w:ascii="Garamond" w:hAnsi="Garamond"/>
                <w:sz w:val="22"/>
                <w:szCs w:val="22"/>
              </w:rPr>
              <w:t>объекта</w:t>
            </w:r>
            <w:r w:rsidRPr="006F6DAC">
              <w:rPr>
                <w:rFonts w:ascii="Garamond" w:hAnsi="Garamond"/>
                <w:sz w:val="22"/>
                <w:szCs w:val="22"/>
                <w:lang w:val="en-US"/>
              </w:rPr>
              <w:t xml:space="preserve"> 2" type="2"&gt;</w:t>
            </w:r>
          </w:p>
          <w:p w14:paraId="5176E236" w14:textId="77777777" w:rsidR="00F11A8B" w:rsidRPr="006F6DAC" w:rsidRDefault="00F11A8B" w:rsidP="00F11A8B">
            <w:pPr>
              <w:rPr>
                <w:rFonts w:ascii="Garamond" w:hAnsi="Garamond"/>
                <w:sz w:val="22"/>
                <w:szCs w:val="22"/>
                <w:lang w:val="en-US"/>
              </w:rPr>
            </w:pPr>
            <w:r w:rsidRPr="006F6DAC">
              <w:rPr>
                <w:rFonts w:ascii="Garamond" w:hAnsi="Garamond"/>
                <w:sz w:val="22"/>
                <w:szCs w:val="22"/>
                <w:lang w:val="en-US"/>
              </w:rPr>
              <w:tab/>
            </w:r>
            <w:r w:rsidRPr="006F6DAC">
              <w:rPr>
                <w:rFonts w:ascii="Garamond" w:hAnsi="Garamond"/>
                <w:sz w:val="22"/>
                <w:szCs w:val="22"/>
                <w:lang w:val="en-US"/>
              </w:rPr>
              <w:tab/>
              <w:t xml:space="preserve">  &lt;voltage-levels&gt;</w:t>
            </w:r>
          </w:p>
          <w:p w14:paraId="58D11545" w14:textId="77777777" w:rsidR="00F11A8B" w:rsidRPr="006F6DAC" w:rsidRDefault="00F11A8B" w:rsidP="00F11A8B">
            <w:pPr>
              <w:rPr>
                <w:rFonts w:ascii="Garamond" w:hAnsi="Garamond"/>
                <w:sz w:val="22"/>
                <w:szCs w:val="22"/>
                <w:lang w:val="en-US"/>
              </w:rPr>
            </w:pPr>
            <w:r w:rsidRPr="006F6DAC">
              <w:rPr>
                <w:rFonts w:ascii="Garamond" w:hAnsi="Garamond"/>
                <w:sz w:val="22"/>
                <w:szCs w:val="22"/>
                <w:lang w:val="en-US"/>
              </w:rPr>
              <w:tab/>
            </w:r>
            <w:r w:rsidRPr="006F6DAC">
              <w:rPr>
                <w:rFonts w:ascii="Garamond" w:hAnsi="Garamond"/>
                <w:sz w:val="22"/>
                <w:szCs w:val="22"/>
                <w:lang w:val="en-US"/>
              </w:rPr>
              <w:tab/>
            </w:r>
            <w:r w:rsidRPr="006F6DAC">
              <w:rPr>
                <w:rFonts w:ascii="Garamond" w:hAnsi="Garamond"/>
                <w:sz w:val="22"/>
                <w:szCs w:val="22"/>
                <w:lang w:val="en-US"/>
              </w:rPr>
              <w:tab/>
              <w:t xml:space="preserve">  &lt;voltage-level voltage="220000"/&gt;</w:t>
            </w:r>
          </w:p>
          <w:p w14:paraId="6829E83B" w14:textId="77777777" w:rsidR="00F11A8B" w:rsidRPr="006F6DAC" w:rsidRDefault="00F11A8B" w:rsidP="00F11A8B">
            <w:pPr>
              <w:rPr>
                <w:rFonts w:ascii="Garamond" w:hAnsi="Garamond"/>
                <w:sz w:val="22"/>
                <w:szCs w:val="22"/>
                <w:lang w:val="en-US"/>
              </w:rPr>
            </w:pPr>
            <w:r w:rsidRPr="006F6DAC">
              <w:rPr>
                <w:rFonts w:ascii="Garamond" w:hAnsi="Garamond"/>
                <w:sz w:val="22"/>
                <w:szCs w:val="22"/>
                <w:lang w:val="en-US"/>
              </w:rPr>
              <w:tab/>
            </w:r>
            <w:r w:rsidRPr="006F6DAC">
              <w:rPr>
                <w:rFonts w:ascii="Garamond" w:hAnsi="Garamond"/>
                <w:sz w:val="22"/>
                <w:szCs w:val="22"/>
                <w:lang w:val="en-US"/>
              </w:rPr>
              <w:tab/>
              <w:t xml:space="preserve">  &lt;/voltage-levels&gt;</w:t>
            </w:r>
          </w:p>
          <w:p w14:paraId="2ABF1C6A" w14:textId="77777777" w:rsidR="00F11A8B" w:rsidRPr="006F6DAC" w:rsidRDefault="00F11A8B" w:rsidP="00F11A8B">
            <w:pPr>
              <w:rPr>
                <w:rFonts w:ascii="Garamond" w:hAnsi="Garamond"/>
                <w:sz w:val="22"/>
                <w:szCs w:val="22"/>
                <w:lang w:val="en-US"/>
              </w:rPr>
            </w:pPr>
            <w:r w:rsidRPr="006F6DAC">
              <w:rPr>
                <w:rFonts w:ascii="Garamond" w:hAnsi="Garamond"/>
                <w:sz w:val="22"/>
                <w:szCs w:val="22"/>
                <w:lang w:val="en-US"/>
              </w:rPr>
              <w:t xml:space="preserve">      &lt;/power-object&gt;</w:t>
            </w:r>
          </w:p>
          <w:p w14:paraId="00B1E774" w14:textId="77777777" w:rsidR="00F11A8B" w:rsidRPr="006F6DAC" w:rsidRDefault="00F11A8B" w:rsidP="00F11A8B">
            <w:pPr>
              <w:rPr>
                <w:rFonts w:ascii="Garamond" w:hAnsi="Garamond"/>
                <w:sz w:val="22"/>
                <w:szCs w:val="22"/>
                <w:lang w:val="en-US"/>
              </w:rPr>
            </w:pPr>
            <w:r w:rsidRPr="006F6DAC">
              <w:rPr>
                <w:rFonts w:ascii="Garamond" w:hAnsi="Garamond"/>
                <w:sz w:val="22"/>
                <w:szCs w:val="22"/>
                <w:lang w:val="en-US"/>
              </w:rPr>
              <w:t xml:space="preserve">      &lt;power-object ats-code="123456781" is-power-center="false" name="</w:t>
            </w:r>
            <w:r w:rsidRPr="006F6DAC">
              <w:rPr>
                <w:rFonts w:ascii="Garamond" w:hAnsi="Garamond"/>
                <w:sz w:val="22"/>
                <w:szCs w:val="22"/>
              </w:rPr>
              <w:t>Наименование</w:t>
            </w:r>
            <w:r w:rsidRPr="006F6DAC">
              <w:rPr>
                <w:rFonts w:ascii="Garamond" w:hAnsi="Garamond"/>
                <w:sz w:val="22"/>
                <w:szCs w:val="22"/>
                <w:lang w:val="en-US"/>
              </w:rPr>
              <w:t xml:space="preserve"> </w:t>
            </w:r>
            <w:r w:rsidRPr="006F6DAC">
              <w:rPr>
                <w:rFonts w:ascii="Garamond" w:hAnsi="Garamond"/>
                <w:sz w:val="22"/>
                <w:szCs w:val="22"/>
              </w:rPr>
              <w:t>объекта</w:t>
            </w:r>
            <w:r w:rsidRPr="006F6DAC">
              <w:rPr>
                <w:rFonts w:ascii="Garamond" w:hAnsi="Garamond"/>
                <w:sz w:val="22"/>
                <w:szCs w:val="22"/>
                <w:lang w:val="en-US"/>
              </w:rPr>
              <w:t xml:space="preserve"> 3" type="3"&gt;</w:t>
            </w:r>
          </w:p>
          <w:p w14:paraId="4408F18E" w14:textId="77777777" w:rsidR="00F11A8B" w:rsidRPr="006F6DAC" w:rsidRDefault="00F11A8B" w:rsidP="00F11A8B">
            <w:pPr>
              <w:rPr>
                <w:rFonts w:ascii="Garamond" w:hAnsi="Garamond"/>
                <w:sz w:val="22"/>
                <w:szCs w:val="22"/>
                <w:lang w:val="en-US"/>
              </w:rPr>
            </w:pPr>
            <w:r w:rsidRPr="006F6DAC">
              <w:rPr>
                <w:rFonts w:ascii="Garamond" w:hAnsi="Garamond"/>
                <w:sz w:val="22"/>
                <w:szCs w:val="22"/>
                <w:lang w:val="en-US"/>
              </w:rPr>
              <w:tab/>
            </w:r>
            <w:r w:rsidRPr="006F6DAC">
              <w:rPr>
                <w:rFonts w:ascii="Garamond" w:hAnsi="Garamond"/>
                <w:sz w:val="22"/>
                <w:szCs w:val="22"/>
                <w:lang w:val="en-US"/>
              </w:rPr>
              <w:tab/>
              <w:t xml:space="preserve">  &lt;voltage-levels&gt;</w:t>
            </w:r>
          </w:p>
          <w:p w14:paraId="2627B911" w14:textId="77777777" w:rsidR="00F11A8B" w:rsidRPr="006F6DAC" w:rsidRDefault="00F11A8B" w:rsidP="00F11A8B">
            <w:pPr>
              <w:rPr>
                <w:rFonts w:ascii="Garamond" w:hAnsi="Garamond"/>
                <w:sz w:val="22"/>
                <w:szCs w:val="22"/>
                <w:lang w:val="en-US"/>
              </w:rPr>
            </w:pPr>
            <w:r w:rsidRPr="006F6DAC">
              <w:rPr>
                <w:rFonts w:ascii="Garamond" w:hAnsi="Garamond"/>
                <w:sz w:val="22"/>
                <w:szCs w:val="22"/>
                <w:lang w:val="en-US"/>
              </w:rPr>
              <w:tab/>
            </w:r>
            <w:r w:rsidRPr="006F6DAC">
              <w:rPr>
                <w:rFonts w:ascii="Garamond" w:hAnsi="Garamond"/>
                <w:sz w:val="22"/>
                <w:szCs w:val="22"/>
                <w:lang w:val="en-US"/>
              </w:rPr>
              <w:tab/>
            </w:r>
            <w:r w:rsidRPr="006F6DAC">
              <w:rPr>
                <w:rFonts w:ascii="Garamond" w:hAnsi="Garamond"/>
                <w:sz w:val="22"/>
                <w:szCs w:val="22"/>
                <w:lang w:val="en-US"/>
              </w:rPr>
              <w:tab/>
              <w:t xml:space="preserve">  &lt;voltage-level voltage="10000"/&gt;</w:t>
            </w:r>
          </w:p>
          <w:p w14:paraId="5CF3965E" w14:textId="77777777" w:rsidR="00F11A8B" w:rsidRPr="006F6DAC" w:rsidRDefault="00F11A8B" w:rsidP="00F11A8B">
            <w:pPr>
              <w:rPr>
                <w:rFonts w:ascii="Garamond" w:hAnsi="Garamond"/>
                <w:sz w:val="22"/>
                <w:szCs w:val="22"/>
                <w:lang w:val="en-US"/>
              </w:rPr>
            </w:pPr>
            <w:r w:rsidRPr="006F6DAC">
              <w:rPr>
                <w:rFonts w:ascii="Garamond" w:hAnsi="Garamond"/>
                <w:sz w:val="22"/>
                <w:szCs w:val="22"/>
                <w:lang w:val="en-US"/>
              </w:rPr>
              <w:tab/>
            </w:r>
            <w:r w:rsidRPr="006F6DAC">
              <w:rPr>
                <w:rFonts w:ascii="Garamond" w:hAnsi="Garamond"/>
                <w:sz w:val="22"/>
                <w:szCs w:val="22"/>
                <w:lang w:val="en-US"/>
              </w:rPr>
              <w:tab/>
              <w:t xml:space="preserve">  &lt;/voltage-levels&gt;</w:t>
            </w:r>
          </w:p>
          <w:p w14:paraId="07DC8226" w14:textId="77777777" w:rsidR="00F11A8B" w:rsidRPr="006F6DAC" w:rsidRDefault="00F11A8B" w:rsidP="00F11A8B">
            <w:pPr>
              <w:rPr>
                <w:rFonts w:ascii="Garamond" w:hAnsi="Garamond"/>
                <w:sz w:val="22"/>
                <w:szCs w:val="22"/>
                <w:lang w:val="en-US"/>
              </w:rPr>
            </w:pPr>
            <w:r w:rsidRPr="006F6DAC">
              <w:rPr>
                <w:rFonts w:ascii="Garamond" w:hAnsi="Garamond"/>
                <w:sz w:val="22"/>
                <w:szCs w:val="22"/>
                <w:lang w:val="en-US"/>
              </w:rPr>
              <w:t xml:space="preserve">      &lt;/power-object&gt;</w:t>
            </w:r>
          </w:p>
          <w:p w14:paraId="317991CB" w14:textId="77777777" w:rsidR="00F11A8B" w:rsidRPr="006F6DAC" w:rsidRDefault="00F11A8B" w:rsidP="00F11A8B">
            <w:pPr>
              <w:rPr>
                <w:rFonts w:ascii="Garamond" w:hAnsi="Garamond"/>
                <w:sz w:val="22"/>
                <w:szCs w:val="22"/>
                <w:lang w:val="en-US"/>
              </w:rPr>
            </w:pPr>
            <w:r w:rsidRPr="006F6DAC">
              <w:rPr>
                <w:rFonts w:ascii="Garamond" w:hAnsi="Garamond"/>
                <w:sz w:val="22"/>
                <w:szCs w:val="22"/>
                <w:lang w:val="en-US"/>
              </w:rPr>
              <w:t xml:space="preserve">    &lt;/power-objects&gt;</w:t>
            </w:r>
          </w:p>
          <w:p w14:paraId="1FDAF61C" w14:textId="77777777" w:rsidR="00F11A8B" w:rsidRPr="006F6DAC" w:rsidRDefault="00F11A8B" w:rsidP="00F11A8B">
            <w:pPr>
              <w:rPr>
                <w:rFonts w:ascii="Garamond" w:hAnsi="Garamond"/>
                <w:sz w:val="22"/>
                <w:szCs w:val="22"/>
                <w:lang w:val="en-US"/>
              </w:rPr>
            </w:pPr>
            <w:r w:rsidRPr="006F6DAC">
              <w:rPr>
                <w:rFonts w:ascii="Garamond" w:hAnsi="Garamond"/>
                <w:sz w:val="22"/>
                <w:szCs w:val="22"/>
                <w:lang w:val="en-US"/>
              </w:rPr>
              <w:t xml:space="preserve">    &lt;delivery-points&gt;</w:t>
            </w:r>
          </w:p>
          <w:p w14:paraId="2E205016" w14:textId="77777777" w:rsidR="00F11A8B" w:rsidRPr="006F6DAC" w:rsidRDefault="00F11A8B" w:rsidP="00F11A8B">
            <w:pPr>
              <w:rPr>
                <w:rFonts w:ascii="Garamond" w:hAnsi="Garamond"/>
                <w:sz w:val="22"/>
                <w:szCs w:val="22"/>
                <w:lang w:val="en-US"/>
              </w:rPr>
            </w:pPr>
            <w:r w:rsidRPr="006F6DAC">
              <w:rPr>
                <w:rFonts w:ascii="Garamond" w:hAnsi="Garamond"/>
                <w:sz w:val="22"/>
                <w:szCs w:val="22"/>
                <w:lang w:val="en-US"/>
              </w:rPr>
              <w:t xml:space="preserve">      &lt;delivery-point ats-code="123456789123456" is-group-delivery-point="true" point-voltage="10000"&gt;</w:t>
            </w:r>
          </w:p>
          <w:p w14:paraId="28AD3383" w14:textId="77777777" w:rsidR="00F11A8B" w:rsidRPr="006F6DAC" w:rsidRDefault="00F11A8B" w:rsidP="00F11A8B">
            <w:pPr>
              <w:rPr>
                <w:rFonts w:ascii="Garamond" w:hAnsi="Garamond"/>
                <w:sz w:val="22"/>
                <w:szCs w:val="22"/>
                <w:lang w:val="en-US"/>
              </w:rPr>
            </w:pPr>
            <w:r w:rsidRPr="006F6DAC">
              <w:rPr>
                <w:rFonts w:ascii="Garamond" w:hAnsi="Garamond"/>
                <w:sz w:val="22"/>
                <w:szCs w:val="22"/>
                <w:lang w:val="en-US"/>
              </w:rPr>
              <w:t xml:space="preserve">        &lt;name connection-name="</w:t>
            </w:r>
            <w:r w:rsidRPr="006F6DAC">
              <w:rPr>
                <w:rFonts w:ascii="Garamond" w:hAnsi="Garamond"/>
                <w:sz w:val="22"/>
                <w:szCs w:val="22"/>
              </w:rPr>
              <w:t>ф</w:t>
            </w:r>
            <w:r w:rsidRPr="006F6DAC">
              <w:rPr>
                <w:rFonts w:ascii="Garamond" w:hAnsi="Garamond"/>
                <w:sz w:val="22"/>
                <w:szCs w:val="22"/>
                <w:lang w:val="en-US"/>
              </w:rPr>
              <w:t>. 97/12" location-description="</w:t>
            </w:r>
            <w:r w:rsidRPr="006F6DAC">
              <w:rPr>
                <w:rFonts w:ascii="Garamond" w:hAnsi="Garamond"/>
                <w:sz w:val="22"/>
                <w:szCs w:val="22"/>
              </w:rPr>
              <w:t>РУ</w:t>
            </w:r>
            <w:r w:rsidRPr="006F6DAC">
              <w:rPr>
                <w:rFonts w:ascii="Garamond" w:hAnsi="Garamond"/>
                <w:sz w:val="22"/>
                <w:szCs w:val="22"/>
                <w:lang w:val="en-US"/>
              </w:rPr>
              <w:t xml:space="preserve">-10 </w:t>
            </w:r>
            <w:r w:rsidRPr="006F6DAC">
              <w:rPr>
                <w:rFonts w:ascii="Garamond" w:hAnsi="Garamond"/>
                <w:sz w:val="22"/>
                <w:szCs w:val="22"/>
              </w:rPr>
              <w:t>кВ</w:t>
            </w:r>
            <w:r w:rsidRPr="006F6DAC">
              <w:rPr>
                <w:rFonts w:ascii="Garamond" w:hAnsi="Garamond"/>
                <w:sz w:val="22"/>
                <w:szCs w:val="22"/>
                <w:lang w:val="en-US"/>
              </w:rPr>
              <w:t>, 2</w:t>
            </w:r>
            <w:r w:rsidRPr="006F6DAC">
              <w:rPr>
                <w:rFonts w:ascii="Garamond" w:hAnsi="Garamond"/>
                <w:sz w:val="22"/>
                <w:szCs w:val="22"/>
              </w:rPr>
              <w:t>сек</w:t>
            </w:r>
            <w:r w:rsidRPr="006F6DAC">
              <w:rPr>
                <w:rFonts w:ascii="Garamond" w:hAnsi="Garamond"/>
                <w:sz w:val="22"/>
                <w:szCs w:val="22"/>
                <w:lang w:val="en-US"/>
              </w:rPr>
              <w:t xml:space="preserve">., </w:t>
            </w:r>
            <w:r w:rsidRPr="006F6DAC">
              <w:rPr>
                <w:rFonts w:ascii="Garamond" w:hAnsi="Garamond"/>
                <w:sz w:val="22"/>
                <w:szCs w:val="22"/>
              </w:rPr>
              <w:t>яч</w:t>
            </w:r>
            <w:r w:rsidRPr="006F6DAC">
              <w:rPr>
                <w:rFonts w:ascii="Garamond" w:hAnsi="Garamond"/>
                <w:sz w:val="22"/>
                <w:szCs w:val="22"/>
                <w:lang w:val="en-US"/>
              </w:rPr>
              <w:t>. №12" power-object-name="</w:t>
            </w:r>
            <w:r w:rsidRPr="006F6DAC">
              <w:rPr>
                <w:rFonts w:ascii="Garamond" w:hAnsi="Garamond"/>
                <w:sz w:val="22"/>
                <w:szCs w:val="22"/>
              </w:rPr>
              <w:t>Наименование</w:t>
            </w:r>
            <w:r w:rsidRPr="006F6DAC">
              <w:rPr>
                <w:rFonts w:ascii="Garamond" w:hAnsi="Garamond"/>
                <w:sz w:val="22"/>
                <w:szCs w:val="22"/>
                <w:lang w:val="en-US"/>
              </w:rPr>
              <w:t xml:space="preserve"> </w:t>
            </w:r>
            <w:r w:rsidRPr="006F6DAC">
              <w:rPr>
                <w:rFonts w:ascii="Garamond" w:hAnsi="Garamond"/>
                <w:sz w:val="22"/>
                <w:szCs w:val="22"/>
              </w:rPr>
              <w:t>питающего</w:t>
            </w:r>
            <w:r w:rsidRPr="006F6DAC">
              <w:rPr>
                <w:rFonts w:ascii="Garamond" w:hAnsi="Garamond"/>
                <w:sz w:val="22"/>
                <w:szCs w:val="22"/>
                <w:lang w:val="en-US"/>
              </w:rPr>
              <w:t xml:space="preserve"> </w:t>
            </w:r>
            <w:r w:rsidRPr="006F6DAC">
              <w:rPr>
                <w:rFonts w:ascii="Garamond" w:hAnsi="Garamond"/>
                <w:sz w:val="22"/>
                <w:szCs w:val="22"/>
              </w:rPr>
              <w:t>центра</w:t>
            </w:r>
            <w:r w:rsidRPr="006F6DAC">
              <w:rPr>
                <w:rFonts w:ascii="Garamond" w:hAnsi="Garamond"/>
                <w:sz w:val="22"/>
                <w:szCs w:val="22"/>
                <w:lang w:val="en-US"/>
              </w:rPr>
              <w:t>"/&gt;</w:t>
            </w:r>
          </w:p>
          <w:p w14:paraId="179DE210" w14:textId="77777777" w:rsidR="00F11A8B" w:rsidRPr="006F6DAC" w:rsidRDefault="00F11A8B" w:rsidP="00F11A8B">
            <w:pPr>
              <w:rPr>
                <w:rFonts w:ascii="Garamond" w:hAnsi="Garamond"/>
                <w:sz w:val="22"/>
                <w:szCs w:val="22"/>
                <w:lang w:val="en-US"/>
              </w:rPr>
            </w:pPr>
            <w:r w:rsidRPr="006F6DAC">
              <w:rPr>
                <w:rFonts w:ascii="Garamond" w:hAnsi="Garamond"/>
                <w:sz w:val="22"/>
                <w:szCs w:val="22"/>
                <w:lang w:val="en-US"/>
              </w:rPr>
              <w:t xml:space="preserve">      &lt;/delivery-point&gt;</w:t>
            </w:r>
          </w:p>
          <w:p w14:paraId="1EF63F81" w14:textId="77777777" w:rsidR="00F11A8B" w:rsidRPr="006F6DAC" w:rsidRDefault="00F11A8B" w:rsidP="00F11A8B">
            <w:pPr>
              <w:rPr>
                <w:rFonts w:ascii="Garamond" w:hAnsi="Garamond"/>
                <w:sz w:val="22"/>
                <w:szCs w:val="22"/>
                <w:lang w:val="en-US"/>
              </w:rPr>
            </w:pPr>
            <w:r w:rsidRPr="006F6DAC">
              <w:rPr>
                <w:rFonts w:ascii="Garamond" w:hAnsi="Garamond"/>
                <w:sz w:val="22"/>
                <w:szCs w:val="22"/>
                <w:lang w:val="en-US"/>
              </w:rPr>
              <w:t xml:space="preserve">      &lt;delivery-point ats-code="123456789123457" is-group-delivery-point="false" point-voltage="10000"&gt;</w:t>
            </w:r>
          </w:p>
          <w:p w14:paraId="67EEFA79" w14:textId="77777777" w:rsidR="00F11A8B" w:rsidRPr="006F6DAC" w:rsidRDefault="00F11A8B" w:rsidP="00F11A8B">
            <w:pPr>
              <w:rPr>
                <w:rFonts w:ascii="Garamond" w:hAnsi="Garamond"/>
                <w:sz w:val="22"/>
                <w:szCs w:val="22"/>
                <w:lang w:val="en-US"/>
              </w:rPr>
            </w:pPr>
            <w:r w:rsidRPr="006F6DAC">
              <w:rPr>
                <w:rFonts w:ascii="Garamond" w:hAnsi="Garamond"/>
                <w:sz w:val="22"/>
                <w:szCs w:val="22"/>
                <w:lang w:val="en-US"/>
              </w:rPr>
              <w:t xml:space="preserve">        &lt;name connection-name="</w:t>
            </w:r>
            <w:r w:rsidRPr="006F6DAC">
              <w:rPr>
                <w:rFonts w:ascii="Garamond" w:hAnsi="Garamond"/>
                <w:sz w:val="22"/>
                <w:szCs w:val="22"/>
              </w:rPr>
              <w:t>ф</w:t>
            </w:r>
            <w:r w:rsidRPr="006F6DAC">
              <w:rPr>
                <w:rFonts w:ascii="Garamond" w:hAnsi="Garamond"/>
                <w:sz w:val="22"/>
                <w:szCs w:val="22"/>
                <w:lang w:val="en-US"/>
              </w:rPr>
              <w:t>. 20/27" location-description="</w:t>
            </w:r>
            <w:r w:rsidRPr="006F6DAC">
              <w:rPr>
                <w:rFonts w:ascii="Garamond" w:hAnsi="Garamond"/>
                <w:sz w:val="22"/>
                <w:szCs w:val="22"/>
              </w:rPr>
              <w:t>РУ</w:t>
            </w:r>
            <w:r w:rsidRPr="006F6DAC">
              <w:rPr>
                <w:rFonts w:ascii="Garamond" w:hAnsi="Garamond"/>
                <w:sz w:val="22"/>
                <w:szCs w:val="22"/>
                <w:lang w:val="en-US"/>
              </w:rPr>
              <w:t xml:space="preserve">-10 </w:t>
            </w:r>
            <w:r w:rsidRPr="006F6DAC">
              <w:rPr>
                <w:rFonts w:ascii="Garamond" w:hAnsi="Garamond"/>
                <w:sz w:val="22"/>
                <w:szCs w:val="22"/>
              </w:rPr>
              <w:t>кВ</w:t>
            </w:r>
            <w:r w:rsidRPr="006F6DAC">
              <w:rPr>
                <w:rFonts w:ascii="Garamond" w:hAnsi="Garamond"/>
                <w:sz w:val="22"/>
                <w:szCs w:val="22"/>
                <w:lang w:val="en-US"/>
              </w:rPr>
              <w:t>, 1</w:t>
            </w:r>
            <w:r w:rsidRPr="006F6DAC">
              <w:rPr>
                <w:rFonts w:ascii="Garamond" w:hAnsi="Garamond"/>
                <w:sz w:val="22"/>
                <w:szCs w:val="22"/>
              </w:rPr>
              <w:t>сек</w:t>
            </w:r>
            <w:r w:rsidRPr="006F6DAC">
              <w:rPr>
                <w:rFonts w:ascii="Garamond" w:hAnsi="Garamond"/>
                <w:sz w:val="22"/>
                <w:szCs w:val="22"/>
                <w:lang w:val="en-US"/>
              </w:rPr>
              <w:t xml:space="preserve">., </w:t>
            </w:r>
            <w:r w:rsidRPr="006F6DAC">
              <w:rPr>
                <w:rFonts w:ascii="Garamond" w:hAnsi="Garamond"/>
                <w:sz w:val="22"/>
                <w:szCs w:val="22"/>
              </w:rPr>
              <w:t>яч</w:t>
            </w:r>
            <w:r w:rsidRPr="006F6DAC">
              <w:rPr>
                <w:rFonts w:ascii="Garamond" w:hAnsi="Garamond"/>
                <w:sz w:val="22"/>
                <w:szCs w:val="22"/>
                <w:lang w:val="en-US"/>
              </w:rPr>
              <w:t>. №27" power-object-name="</w:t>
            </w:r>
            <w:r w:rsidRPr="006F6DAC">
              <w:rPr>
                <w:rFonts w:ascii="Garamond" w:hAnsi="Garamond"/>
                <w:sz w:val="22"/>
                <w:szCs w:val="22"/>
              </w:rPr>
              <w:t>Наименование</w:t>
            </w:r>
            <w:r w:rsidRPr="006F6DAC">
              <w:rPr>
                <w:rFonts w:ascii="Garamond" w:hAnsi="Garamond"/>
                <w:sz w:val="22"/>
                <w:szCs w:val="22"/>
                <w:lang w:val="en-US"/>
              </w:rPr>
              <w:t xml:space="preserve"> </w:t>
            </w:r>
            <w:r w:rsidRPr="006F6DAC">
              <w:rPr>
                <w:rFonts w:ascii="Garamond" w:hAnsi="Garamond"/>
                <w:sz w:val="22"/>
                <w:szCs w:val="22"/>
              </w:rPr>
              <w:t>питающего</w:t>
            </w:r>
            <w:r w:rsidRPr="006F6DAC">
              <w:rPr>
                <w:rFonts w:ascii="Garamond" w:hAnsi="Garamond"/>
                <w:sz w:val="22"/>
                <w:szCs w:val="22"/>
                <w:lang w:val="en-US"/>
              </w:rPr>
              <w:t xml:space="preserve"> </w:t>
            </w:r>
            <w:r w:rsidRPr="006F6DAC">
              <w:rPr>
                <w:rFonts w:ascii="Garamond" w:hAnsi="Garamond"/>
                <w:sz w:val="22"/>
                <w:szCs w:val="22"/>
              </w:rPr>
              <w:t>центра</w:t>
            </w:r>
            <w:r w:rsidRPr="006F6DAC">
              <w:rPr>
                <w:rFonts w:ascii="Garamond" w:hAnsi="Garamond"/>
                <w:sz w:val="22"/>
                <w:szCs w:val="22"/>
                <w:lang w:val="en-US"/>
              </w:rPr>
              <w:t>"/&gt;</w:t>
            </w:r>
          </w:p>
          <w:p w14:paraId="560BE027" w14:textId="77777777" w:rsidR="00F11A8B" w:rsidRPr="006F6DAC" w:rsidRDefault="00F11A8B" w:rsidP="00F11A8B">
            <w:pPr>
              <w:rPr>
                <w:rFonts w:ascii="Garamond" w:hAnsi="Garamond"/>
                <w:sz w:val="22"/>
                <w:szCs w:val="22"/>
                <w:lang w:val="en-US"/>
              </w:rPr>
            </w:pPr>
            <w:r w:rsidRPr="006F6DAC">
              <w:rPr>
                <w:rFonts w:ascii="Garamond" w:hAnsi="Garamond"/>
                <w:sz w:val="22"/>
                <w:szCs w:val="22"/>
                <w:lang w:val="en-US"/>
              </w:rPr>
              <w:t xml:space="preserve">      &lt;/delivery-point&gt;</w:t>
            </w:r>
          </w:p>
          <w:p w14:paraId="20A31D19" w14:textId="77777777" w:rsidR="00F11A8B" w:rsidRPr="006F6DAC" w:rsidRDefault="00F11A8B" w:rsidP="00F11A8B">
            <w:pPr>
              <w:rPr>
                <w:rFonts w:ascii="Garamond" w:hAnsi="Garamond"/>
                <w:sz w:val="22"/>
                <w:szCs w:val="22"/>
                <w:lang w:val="en-US"/>
              </w:rPr>
            </w:pPr>
            <w:r w:rsidRPr="006F6DAC">
              <w:rPr>
                <w:rFonts w:ascii="Garamond" w:hAnsi="Garamond"/>
                <w:sz w:val="22"/>
                <w:szCs w:val="22"/>
                <w:lang w:val="en-US"/>
              </w:rPr>
              <w:t xml:space="preserve">      &lt;delivery-point ats-code="123456789123458" is-group-delivery-point="false" point-voltage="10000"&gt;</w:t>
            </w:r>
          </w:p>
          <w:p w14:paraId="2CA01542" w14:textId="77777777" w:rsidR="00F11A8B" w:rsidRPr="006F6DAC" w:rsidRDefault="00F11A8B" w:rsidP="00F11A8B">
            <w:pPr>
              <w:rPr>
                <w:rFonts w:ascii="Garamond" w:hAnsi="Garamond"/>
                <w:sz w:val="22"/>
                <w:szCs w:val="22"/>
                <w:lang w:val="en-US"/>
              </w:rPr>
            </w:pPr>
            <w:r w:rsidRPr="006F6DAC">
              <w:rPr>
                <w:rFonts w:ascii="Garamond" w:hAnsi="Garamond"/>
                <w:sz w:val="22"/>
                <w:szCs w:val="22"/>
                <w:lang w:val="en-US"/>
              </w:rPr>
              <w:t xml:space="preserve">        &lt;name connection-name="</w:t>
            </w:r>
            <w:r w:rsidRPr="006F6DAC">
              <w:rPr>
                <w:rFonts w:ascii="Garamond" w:hAnsi="Garamond"/>
                <w:sz w:val="22"/>
                <w:szCs w:val="22"/>
              </w:rPr>
              <w:t>ф</w:t>
            </w:r>
            <w:r w:rsidRPr="006F6DAC">
              <w:rPr>
                <w:rFonts w:ascii="Garamond" w:hAnsi="Garamond"/>
                <w:sz w:val="22"/>
                <w:szCs w:val="22"/>
                <w:lang w:val="en-US"/>
              </w:rPr>
              <w:t>. 20/69" location-description="</w:t>
            </w:r>
            <w:r w:rsidRPr="006F6DAC">
              <w:rPr>
                <w:rFonts w:ascii="Garamond" w:hAnsi="Garamond"/>
                <w:sz w:val="22"/>
                <w:szCs w:val="22"/>
              </w:rPr>
              <w:t>РУ</w:t>
            </w:r>
            <w:r w:rsidRPr="006F6DAC">
              <w:rPr>
                <w:rFonts w:ascii="Garamond" w:hAnsi="Garamond"/>
                <w:sz w:val="22"/>
                <w:szCs w:val="22"/>
                <w:lang w:val="en-US"/>
              </w:rPr>
              <w:t xml:space="preserve">-10 </w:t>
            </w:r>
            <w:r w:rsidRPr="006F6DAC">
              <w:rPr>
                <w:rFonts w:ascii="Garamond" w:hAnsi="Garamond"/>
                <w:sz w:val="22"/>
                <w:szCs w:val="22"/>
              </w:rPr>
              <w:t>кВ</w:t>
            </w:r>
            <w:r w:rsidRPr="006F6DAC">
              <w:rPr>
                <w:rFonts w:ascii="Garamond" w:hAnsi="Garamond"/>
                <w:sz w:val="22"/>
                <w:szCs w:val="22"/>
                <w:lang w:val="en-US"/>
              </w:rPr>
              <w:t>, 3</w:t>
            </w:r>
            <w:r w:rsidRPr="006F6DAC">
              <w:rPr>
                <w:rFonts w:ascii="Garamond" w:hAnsi="Garamond"/>
                <w:sz w:val="22"/>
                <w:szCs w:val="22"/>
              </w:rPr>
              <w:t>сек</w:t>
            </w:r>
            <w:r w:rsidRPr="006F6DAC">
              <w:rPr>
                <w:rFonts w:ascii="Garamond" w:hAnsi="Garamond"/>
                <w:sz w:val="22"/>
                <w:szCs w:val="22"/>
                <w:lang w:val="en-US"/>
              </w:rPr>
              <w:t xml:space="preserve">., </w:t>
            </w:r>
            <w:r w:rsidRPr="006F6DAC">
              <w:rPr>
                <w:rFonts w:ascii="Garamond" w:hAnsi="Garamond"/>
                <w:sz w:val="22"/>
                <w:szCs w:val="22"/>
              </w:rPr>
              <w:t>яч</w:t>
            </w:r>
            <w:r w:rsidRPr="006F6DAC">
              <w:rPr>
                <w:rFonts w:ascii="Garamond" w:hAnsi="Garamond"/>
                <w:sz w:val="22"/>
                <w:szCs w:val="22"/>
                <w:lang w:val="en-US"/>
              </w:rPr>
              <w:t>. №69" power-object-name="</w:t>
            </w:r>
            <w:r w:rsidRPr="006F6DAC">
              <w:rPr>
                <w:rFonts w:ascii="Garamond" w:hAnsi="Garamond"/>
                <w:sz w:val="22"/>
                <w:szCs w:val="22"/>
              </w:rPr>
              <w:t>Наименование</w:t>
            </w:r>
            <w:r w:rsidRPr="006F6DAC">
              <w:rPr>
                <w:rFonts w:ascii="Garamond" w:hAnsi="Garamond"/>
                <w:sz w:val="22"/>
                <w:szCs w:val="22"/>
                <w:lang w:val="en-US"/>
              </w:rPr>
              <w:t xml:space="preserve"> </w:t>
            </w:r>
            <w:r w:rsidRPr="006F6DAC">
              <w:rPr>
                <w:rFonts w:ascii="Garamond" w:hAnsi="Garamond"/>
                <w:sz w:val="22"/>
                <w:szCs w:val="22"/>
              </w:rPr>
              <w:t>питающего</w:t>
            </w:r>
            <w:r w:rsidRPr="006F6DAC">
              <w:rPr>
                <w:rFonts w:ascii="Garamond" w:hAnsi="Garamond"/>
                <w:sz w:val="22"/>
                <w:szCs w:val="22"/>
                <w:lang w:val="en-US"/>
              </w:rPr>
              <w:t xml:space="preserve"> </w:t>
            </w:r>
            <w:r w:rsidRPr="006F6DAC">
              <w:rPr>
                <w:rFonts w:ascii="Garamond" w:hAnsi="Garamond"/>
                <w:sz w:val="22"/>
                <w:szCs w:val="22"/>
              </w:rPr>
              <w:t>центра</w:t>
            </w:r>
            <w:r w:rsidRPr="006F6DAC">
              <w:rPr>
                <w:rFonts w:ascii="Garamond" w:hAnsi="Garamond"/>
                <w:sz w:val="22"/>
                <w:szCs w:val="22"/>
                <w:lang w:val="en-US"/>
              </w:rPr>
              <w:t>"/&gt;</w:t>
            </w:r>
          </w:p>
          <w:p w14:paraId="145C6244" w14:textId="77777777" w:rsidR="00F11A8B" w:rsidRPr="006F6DAC" w:rsidRDefault="00F11A8B" w:rsidP="00F11A8B">
            <w:pPr>
              <w:rPr>
                <w:rFonts w:ascii="Garamond" w:hAnsi="Garamond"/>
                <w:sz w:val="22"/>
                <w:szCs w:val="22"/>
                <w:lang w:val="en-US"/>
              </w:rPr>
            </w:pPr>
            <w:r w:rsidRPr="006F6DAC">
              <w:rPr>
                <w:rFonts w:ascii="Garamond" w:hAnsi="Garamond"/>
                <w:sz w:val="22"/>
                <w:szCs w:val="22"/>
                <w:lang w:val="en-US"/>
              </w:rPr>
              <w:t xml:space="preserve">      &lt;/delivery-point&gt;</w:t>
            </w:r>
          </w:p>
          <w:p w14:paraId="373283A6" w14:textId="77777777" w:rsidR="00F11A8B" w:rsidRPr="006F6DAC" w:rsidRDefault="00F11A8B" w:rsidP="00F11A8B">
            <w:pPr>
              <w:rPr>
                <w:rFonts w:ascii="Garamond" w:hAnsi="Garamond"/>
                <w:sz w:val="22"/>
                <w:szCs w:val="22"/>
                <w:lang w:val="en-US"/>
              </w:rPr>
            </w:pPr>
            <w:r w:rsidRPr="006F6DAC">
              <w:rPr>
                <w:rFonts w:ascii="Garamond" w:hAnsi="Garamond"/>
                <w:sz w:val="22"/>
                <w:szCs w:val="22"/>
                <w:lang w:val="en-US"/>
              </w:rPr>
              <w:lastRenderedPageBreak/>
              <w:t xml:space="preserve">    &lt;/delivery-points&gt;</w:t>
            </w:r>
          </w:p>
          <w:p w14:paraId="27F152F2" w14:textId="77777777" w:rsidR="00F11A8B" w:rsidRPr="006F6DAC" w:rsidRDefault="00F11A8B" w:rsidP="00F11A8B">
            <w:pPr>
              <w:rPr>
                <w:rFonts w:ascii="Garamond" w:hAnsi="Garamond"/>
                <w:sz w:val="22"/>
                <w:szCs w:val="22"/>
                <w:lang w:val="en-US"/>
              </w:rPr>
            </w:pPr>
            <w:r w:rsidRPr="006F6DAC">
              <w:rPr>
                <w:rFonts w:ascii="Garamond" w:hAnsi="Garamond"/>
                <w:sz w:val="22"/>
                <w:szCs w:val="22"/>
                <w:lang w:val="en-US"/>
              </w:rPr>
              <w:t xml:space="preserve">    &lt;measuring-points&gt;</w:t>
            </w:r>
          </w:p>
          <w:p w14:paraId="7007C702" w14:textId="77777777" w:rsidR="00F11A8B" w:rsidRPr="006F6DAC" w:rsidRDefault="00F11A8B" w:rsidP="00F11A8B">
            <w:pPr>
              <w:rPr>
                <w:rFonts w:ascii="Garamond" w:hAnsi="Garamond"/>
                <w:sz w:val="22"/>
                <w:szCs w:val="22"/>
                <w:lang w:val="en-US"/>
              </w:rPr>
            </w:pPr>
            <w:r w:rsidRPr="006F6DAC">
              <w:rPr>
                <w:rFonts w:ascii="Garamond" w:hAnsi="Garamond"/>
                <w:sz w:val="22"/>
                <w:szCs w:val="22"/>
                <w:lang w:val="en-US"/>
              </w:rPr>
              <w:t xml:space="preserve">      &lt;measuring-point ats-code="123456789123456" measuring-point-type="general" point-voltage="10000"&gt;</w:t>
            </w:r>
          </w:p>
          <w:p w14:paraId="756A814C" w14:textId="77777777" w:rsidR="00F11A8B" w:rsidRPr="006F6DAC" w:rsidRDefault="00F11A8B" w:rsidP="00F11A8B">
            <w:pPr>
              <w:rPr>
                <w:rFonts w:ascii="Garamond" w:hAnsi="Garamond"/>
                <w:sz w:val="22"/>
                <w:szCs w:val="22"/>
                <w:lang w:val="en-US"/>
              </w:rPr>
            </w:pPr>
            <w:r w:rsidRPr="006F6DAC">
              <w:rPr>
                <w:rFonts w:ascii="Garamond" w:hAnsi="Garamond"/>
                <w:sz w:val="22"/>
                <w:szCs w:val="22"/>
                <w:lang w:val="en-US"/>
              </w:rPr>
              <w:t xml:space="preserve">        &lt;name connection-name="</w:t>
            </w:r>
            <w:r w:rsidRPr="006F6DAC">
              <w:rPr>
                <w:rFonts w:ascii="Garamond" w:hAnsi="Garamond"/>
                <w:sz w:val="22"/>
                <w:szCs w:val="22"/>
              </w:rPr>
              <w:t>ф</w:t>
            </w:r>
            <w:r w:rsidRPr="006F6DAC">
              <w:rPr>
                <w:rFonts w:ascii="Garamond" w:hAnsi="Garamond"/>
                <w:sz w:val="22"/>
                <w:szCs w:val="22"/>
                <w:lang w:val="en-US"/>
              </w:rPr>
              <w:t>. 24/15" location-description="</w:t>
            </w:r>
            <w:r w:rsidRPr="006F6DAC">
              <w:rPr>
                <w:rFonts w:ascii="Garamond" w:hAnsi="Garamond"/>
                <w:sz w:val="22"/>
                <w:szCs w:val="22"/>
              </w:rPr>
              <w:t>РУ</w:t>
            </w:r>
            <w:r w:rsidRPr="006F6DAC">
              <w:rPr>
                <w:rFonts w:ascii="Garamond" w:hAnsi="Garamond"/>
                <w:sz w:val="22"/>
                <w:szCs w:val="22"/>
                <w:lang w:val="en-US"/>
              </w:rPr>
              <w:t xml:space="preserve">-10 </w:t>
            </w:r>
            <w:r w:rsidRPr="006F6DAC">
              <w:rPr>
                <w:rFonts w:ascii="Garamond" w:hAnsi="Garamond"/>
                <w:sz w:val="22"/>
                <w:szCs w:val="22"/>
              </w:rPr>
              <w:t>кВ</w:t>
            </w:r>
            <w:r w:rsidRPr="006F6DAC">
              <w:rPr>
                <w:rFonts w:ascii="Garamond" w:hAnsi="Garamond"/>
                <w:sz w:val="22"/>
                <w:szCs w:val="22"/>
                <w:lang w:val="en-US"/>
              </w:rPr>
              <w:t>, 1</w:t>
            </w:r>
            <w:r w:rsidRPr="006F6DAC">
              <w:rPr>
                <w:rFonts w:ascii="Garamond" w:hAnsi="Garamond"/>
                <w:sz w:val="22"/>
                <w:szCs w:val="22"/>
              </w:rPr>
              <w:t>сек</w:t>
            </w:r>
            <w:r w:rsidRPr="006F6DAC">
              <w:rPr>
                <w:rFonts w:ascii="Garamond" w:hAnsi="Garamond"/>
                <w:sz w:val="22"/>
                <w:szCs w:val="22"/>
                <w:lang w:val="en-US"/>
              </w:rPr>
              <w:t xml:space="preserve">, </w:t>
            </w:r>
            <w:r w:rsidRPr="006F6DAC">
              <w:rPr>
                <w:rFonts w:ascii="Garamond" w:hAnsi="Garamond"/>
                <w:sz w:val="22"/>
                <w:szCs w:val="22"/>
              </w:rPr>
              <w:t>яч</w:t>
            </w:r>
            <w:r w:rsidRPr="006F6DAC">
              <w:rPr>
                <w:rFonts w:ascii="Garamond" w:hAnsi="Garamond"/>
                <w:sz w:val="22"/>
                <w:szCs w:val="22"/>
                <w:lang w:val="en-US"/>
              </w:rPr>
              <w:t>. №15" power-object-name="</w:t>
            </w:r>
            <w:r w:rsidRPr="006F6DAC">
              <w:rPr>
                <w:rFonts w:ascii="Garamond" w:hAnsi="Garamond"/>
                <w:sz w:val="22"/>
                <w:szCs w:val="22"/>
              </w:rPr>
              <w:t>Наименование</w:t>
            </w:r>
            <w:r w:rsidRPr="006F6DAC">
              <w:rPr>
                <w:rFonts w:ascii="Garamond" w:hAnsi="Garamond"/>
                <w:sz w:val="22"/>
                <w:szCs w:val="22"/>
                <w:lang w:val="en-US"/>
              </w:rPr>
              <w:t xml:space="preserve"> </w:t>
            </w:r>
            <w:r w:rsidRPr="006F6DAC">
              <w:rPr>
                <w:rFonts w:ascii="Garamond" w:hAnsi="Garamond"/>
                <w:sz w:val="22"/>
                <w:szCs w:val="22"/>
              </w:rPr>
              <w:t>объекта</w:t>
            </w:r>
            <w:r w:rsidRPr="006F6DAC">
              <w:rPr>
                <w:rFonts w:ascii="Garamond" w:hAnsi="Garamond"/>
                <w:sz w:val="22"/>
                <w:szCs w:val="22"/>
                <w:lang w:val="en-US"/>
              </w:rPr>
              <w:t>"/&gt;</w:t>
            </w:r>
          </w:p>
          <w:p w14:paraId="11EF3E44" w14:textId="77777777" w:rsidR="00F11A8B" w:rsidRPr="006F6DAC" w:rsidRDefault="00F11A8B" w:rsidP="00F11A8B">
            <w:pPr>
              <w:rPr>
                <w:rFonts w:ascii="Garamond" w:hAnsi="Garamond"/>
                <w:sz w:val="22"/>
                <w:szCs w:val="22"/>
                <w:lang w:val="en-US"/>
              </w:rPr>
            </w:pPr>
            <w:r w:rsidRPr="006F6DAC">
              <w:rPr>
                <w:rFonts w:ascii="Garamond" w:hAnsi="Garamond"/>
                <w:sz w:val="22"/>
                <w:szCs w:val="22"/>
                <w:lang w:val="en-US"/>
              </w:rPr>
              <w:t xml:space="preserve">        &lt;measuring-device ats-code="1" device-modification-code="559A7B5B54DF0471E0530A01490A6E4F"&gt;</w:t>
            </w:r>
          </w:p>
          <w:p w14:paraId="223481B5" w14:textId="77777777" w:rsidR="00F11A8B" w:rsidRPr="006F6DAC" w:rsidRDefault="00F11A8B" w:rsidP="00F11A8B">
            <w:pPr>
              <w:rPr>
                <w:rFonts w:ascii="Garamond" w:hAnsi="Garamond"/>
                <w:sz w:val="22"/>
                <w:szCs w:val="22"/>
                <w:lang w:val="en-US"/>
              </w:rPr>
            </w:pPr>
            <w:r w:rsidRPr="006F6DAC">
              <w:rPr>
                <w:rFonts w:ascii="Garamond" w:hAnsi="Garamond"/>
                <w:sz w:val="22"/>
                <w:szCs w:val="22"/>
                <w:lang w:val="en-US"/>
              </w:rPr>
              <w:t xml:space="preserve">          &lt;measuring-channel ats-code="02" period="30"/&gt;</w:t>
            </w:r>
          </w:p>
          <w:p w14:paraId="5360CFC6" w14:textId="77777777" w:rsidR="00F11A8B" w:rsidRPr="006F6DAC" w:rsidRDefault="00F11A8B" w:rsidP="00F11A8B">
            <w:pPr>
              <w:rPr>
                <w:rFonts w:ascii="Garamond" w:hAnsi="Garamond"/>
                <w:sz w:val="22"/>
                <w:szCs w:val="22"/>
                <w:lang w:val="en-US"/>
              </w:rPr>
            </w:pPr>
            <w:r w:rsidRPr="006F6DAC">
              <w:rPr>
                <w:rFonts w:ascii="Garamond" w:hAnsi="Garamond"/>
                <w:sz w:val="22"/>
                <w:szCs w:val="22"/>
                <w:lang w:val="en-US"/>
              </w:rPr>
              <w:t xml:space="preserve">          &lt;measuring-channel ats-code="04" period="30"/&gt;</w:t>
            </w:r>
          </w:p>
          <w:p w14:paraId="440FC2A9" w14:textId="77777777" w:rsidR="00F11A8B" w:rsidRPr="006F6DAC" w:rsidRDefault="00F11A8B" w:rsidP="00F11A8B">
            <w:pPr>
              <w:rPr>
                <w:rFonts w:ascii="Garamond" w:hAnsi="Garamond"/>
                <w:sz w:val="22"/>
                <w:szCs w:val="22"/>
                <w:lang w:val="en-US"/>
              </w:rPr>
            </w:pPr>
            <w:r w:rsidRPr="006F6DAC">
              <w:rPr>
                <w:rFonts w:ascii="Garamond" w:hAnsi="Garamond"/>
                <w:sz w:val="22"/>
                <w:szCs w:val="22"/>
                <w:lang w:val="en-US"/>
              </w:rPr>
              <w:t xml:space="preserve">        &lt;/measuring-device&gt;</w:t>
            </w:r>
          </w:p>
          <w:p w14:paraId="2BAB9E2B" w14:textId="77777777" w:rsidR="00F11A8B" w:rsidRPr="006F6DAC" w:rsidRDefault="00F11A8B" w:rsidP="00F11A8B">
            <w:pPr>
              <w:rPr>
                <w:rFonts w:ascii="Garamond" w:hAnsi="Garamond"/>
                <w:sz w:val="22"/>
                <w:szCs w:val="22"/>
                <w:lang w:val="en-US"/>
              </w:rPr>
            </w:pPr>
            <w:r w:rsidRPr="006F6DAC">
              <w:rPr>
                <w:rFonts w:ascii="Garamond" w:hAnsi="Garamond"/>
                <w:sz w:val="22"/>
                <w:szCs w:val="22"/>
                <w:lang w:val="en-US"/>
              </w:rPr>
              <w:t xml:space="preserve">      &lt;/measuring-point&gt;</w:t>
            </w:r>
          </w:p>
          <w:p w14:paraId="71DFAA1D" w14:textId="77777777" w:rsidR="00F11A8B" w:rsidRPr="006F6DAC" w:rsidRDefault="00F11A8B" w:rsidP="00F11A8B">
            <w:pPr>
              <w:rPr>
                <w:rFonts w:ascii="Garamond" w:hAnsi="Garamond"/>
                <w:sz w:val="22"/>
                <w:szCs w:val="22"/>
                <w:lang w:val="en-US"/>
              </w:rPr>
            </w:pPr>
            <w:r w:rsidRPr="006F6DAC">
              <w:rPr>
                <w:rFonts w:ascii="Garamond" w:hAnsi="Garamond"/>
                <w:sz w:val="22"/>
                <w:szCs w:val="22"/>
                <w:lang w:val="en-US"/>
              </w:rPr>
              <w:t xml:space="preserve">      &lt;measuring-point ats-code="123456789123457" measuring-point-type="general" point-voltage="10000"&gt;</w:t>
            </w:r>
          </w:p>
          <w:p w14:paraId="2C8E1A37" w14:textId="77777777" w:rsidR="00F11A8B" w:rsidRPr="006F6DAC" w:rsidRDefault="00F11A8B" w:rsidP="00F11A8B">
            <w:pPr>
              <w:rPr>
                <w:rFonts w:ascii="Garamond" w:hAnsi="Garamond"/>
                <w:sz w:val="22"/>
                <w:szCs w:val="22"/>
                <w:lang w:val="en-US"/>
              </w:rPr>
            </w:pPr>
            <w:r w:rsidRPr="006F6DAC">
              <w:rPr>
                <w:rFonts w:ascii="Garamond" w:hAnsi="Garamond"/>
                <w:sz w:val="22"/>
                <w:szCs w:val="22"/>
                <w:lang w:val="en-US"/>
              </w:rPr>
              <w:t xml:space="preserve">        &lt;name connection-name="</w:t>
            </w:r>
            <w:r w:rsidRPr="006F6DAC">
              <w:rPr>
                <w:rFonts w:ascii="Garamond" w:hAnsi="Garamond"/>
                <w:sz w:val="22"/>
                <w:szCs w:val="22"/>
              </w:rPr>
              <w:t>ф</w:t>
            </w:r>
            <w:r w:rsidRPr="006F6DAC">
              <w:rPr>
                <w:rFonts w:ascii="Garamond" w:hAnsi="Garamond"/>
                <w:sz w:val="22"/>
                <w:szCs w:val="22"/>
                <w:lang w:val="en-US"/>
              </w:rPr>
              <w:t>. 24/23" location-description="</w:t>
            </w:r>
            <w:r w:rsidRPr="006F6DAC">
              <w:rPr>
                <w:rFonts w:ascii="Garamond" w:hAnsi="Garamond"/>
                <w:sz w:val="22"/>
                <w:szCs w:val="22"/>
              </w:rPr>
              <w:t>РУ</w:t>
            </w:r>
            <w:r w:rsidRPr="006F6DAC">
              <w:rPr>
                <w:rFonts w:ascii="Garamond" w:hAnsi="Garamond"/>
                <w:sz w:val="22"/>
                <w:szCs w:val="22"/>
                <w:lang w:val="en-US"/>
              </w:rPr>
              <w:t xml:space="preserve">-10 </w:t>
            </w:r>
            <w:r w:rsidRPr="006F6DAC">
              <w:rPr>
                <w:rFonts w:ascii="Garamond" w:hAnsi="Garamond"/>
                <w:sz w:val="22"/>
                <w:szCs w:val="22"/>
              </w:rPr>
              <w:t>кВ</w:t>
            </w:r>
            <w:r w:rsidRPr="006F6DAC">
              <w:rPr>
                <w:rFonts w:ascii="Garamond" w:hAnsi="Garamond"/>
                <w:sz w:val="22"/>
                <w:szCs w:val="22"/>
                <w:lang w:val="en-US"/>
              </w:rPr>
              <w:t>, 1</w:t>
            </w:r>
            <w:r w:rsidRPr="006F6DAC">
              <w:rPr>
                <w:rFonts w:ascii="Garamond" w:hAnsi="Garamond"/>
                <w:sz w:val="22"/>
                <w:szCs w:val="22"/>
              </w:rPr>
              <w:t>сек</w:t>
            </w:r>
            <w:r w:rsidRPr="006F6DAC">
              <w:rPr>
                <w:rFonts w:ascii="Garamond" w:hAnsi="Garamond"/>
                <w:sz w:val="22"/>
                <w:szCs w:val="22"/>
                <w:lang w:val="en-US"/>
              </w:rPr>
              <w:t xml:space="preserve">, </w:t>
            </w:r>
            <w:r w:rsidRPr="006F6DAC">
              <w:rPr>
                <w:rFonts w:ascii="Garamond" w:hAnsi="Garamond"/>
                <w:sz w:val="22"/>
                <w:szCs w:val="22"/>
              </w:rPr>
              <w:t>яч</w:t>
            </w:r>
            <w:r w:rsidRPr="006F6DAC">
              <w:rPr>
                <w:rFonts w:ascii="Garamond" w:hAnsi="Garamond"/>
                <w:sz w:val="22"/>
                <w:szCs w:val="22"/>
                <w:lang w:val="en-US"/>
              </w:rPr>
              <w:t>. №23" power-object-name="</w:t>
            </w:r>
            <w:r w:rsidRPr="006F6DAC">
              <w:rPr>
                <w:rFonts w:ascii="Garamond" w:hAnsi="Garamond"/>
                <w:sz w:val="22"/>
                <w:szCs w:val="22"/>
              </w:rPr>
              <w:t>Наименование</w:t>
            </w:r>
            <w:r w:rsidRPr="006F6DAC">
              <w:rPr>
                <w:rFonts w:ascii="Garamond" w:hAnsi="Garamond"/>
                <w:sz w:val="22"/>
                <w:szCs w:val="22"/>
                <w:lang w:val="en-US"/>
              </w:rPr>
              <w:t xml:space="preserve"> </w:t>
            </w:r>
            <w:r w:rsidRPr="006F6DAC">
              <w:rPr>
                <w:rFonts w:ascii="Garamond" w:hAnsi="Garamond"/>
                <w:sz w:val="22"/>
                <w:szCs w:val="22"/>
              </w:rPr>
              <w:t>объекта</w:t>
            </w:r>
            <w:r w:rsidRPr="006F6DAC">
              <w:rPr>
                <w:rFonts w:ascii="Garamond" w:hAnsi="Garamond"/>
                <w:sz w:val="22"/>
                <w:szCs w:val="22"/>
                <w:lang w:val="en-US"/>
              </w:rPr>
              <w:t>"/&gt;</w:t>
            </w:r>
          </w:p>
          <w:p w14:paraId="6290773C" w14:textId="77777777" w:rsidR="00F11A8B" w:rsidRPr="006F6DAC" w:rsidRDefault="00F11A8B" w:rsidP="00F11A8B">
            <w:pPr>
              <w:rPr>
                <w:rFonts w:ascii="Garamond" w:hAnsi="Garamond"/>
                <w:sz w:val="22"/>
                <w:szCs w:val="22"/>
                <w:lang w:val="en-US"/>
              </w:rPr>
            </w:pPr>
            <w:r w:rsidRPr="006F6DAC">
              <w:rPr>
                <w:rFonts w:ascii="Garamond" w:hAnsi="Garamond"/>
                <w:sz w:val="22"/>
                <w:szCs w:val="22"/>
                <w:lang w:val="en-US"/>
              </w:rPr>
              <w:t xml:space="preserve">        &lt;measuring-device ats-code="1" device-modification-code="559A7B5B54DF0471E0530A01490A6E4F"&gt;</w:t>
            </w:r>
          </w:p>
          <w:p w14:paraId="5B3B2F08" w14:textId="77777777" w:rsidR="00F11A8B" w:rsidRPr="006F6DAC" w:rsidRDefault="00F11A8B" w:rsidP="00F11A8B">
            <w:pPr>
              <w:rPr>
                <w:rFonts w:ascii="Garamond" w:hAnsi="Garamond"/>
                <w:sz w:val="22"/>
                <w:szCs w:val="22"/>
                <w:lang w:val="en-US"/>
              </w:rPr>
            </w:pPr>
            <w:r w:rsidRPr="006F6DAC">
              <w:rPr>
                <w:rFonts w:ascii="Garamond" w:hAnsi="Garamond"/>
                <w:sz w:val="22"/>
                <w:szCs w:val="22"/>
                <w:lang w:val="en-US"/>
              </w:rPr>
              <w:t xml:space="preserve">          &lt;measuring-channel ats-code="02" period="30"/&gt;</w:t>
            </w:r>
          </w:p>
          <w:p w14:paraId="088837E0" w14:textId="77777777" w:rsidR="00F11A8B" w:rsidRPr="006F6DAC" w:rsidRDefault="00F11A8B" w:rsidP="00F11A8B">
            <w:pPr>
              <w:rPr>
                <w:rFonts w:ascii="Garamond" w:hAnsi="Garamond"/>
                <w:sz w:val="22"/>
                <w:szCs w:val="22"/>
                <w:lang w:val="en-US"/>
              </w:rPr>
            </w:pPr>
            <w:r w:rsidRPr="006F6DAC">
              <w:rPr>
                <w:rFonts w:ascii="Garamond" w:hAnsi="Garamond"/>
                <w:sz w:val="22"/>
                <w:szCs w:val="22"/>
                <w:lang w:val="en-US"/>
              </w:rPr>
              <w:t xml:space="preserve">          &lt;measuring-channel ats-code="04" period="30"/&gt;</w:t>
            </w:r>
          </w:p>
          <w:p w14:paraId="6CD44A6A" w14:textId="77777777" w:rsidR="00F11A8B" w:rsidRPr="006F6DAC" w:rsidRDefault="00F11A8B" w:rsidP="00F11A8B">
            <w:pPr>
              <w:rPr>
                <w:rFonts w:ascii="Garamond" w:hAnsi="Garamond"/>
                <w:sz w:val="22"/>
                <w:szCs w:val="22"/>
                <w:lang w:val="en-US"/>
              </w:rPr>
            </w:pPr>
            <w:r w:rsidRPr="006F6DAC">
              <w:rPr>
                <w:rFonts w:ascii="Garamond" w:hAnsi="Garamond"/>
                <w:sz w:val="22"/>
                <w:szCs w:val="22"/>
                <w:lang w:val="en-US"/>
              </w:rPr>
              <w:t xml:space="preserve">        &lt;/measuring-device&gt;</w:t>
            </w:r>
          </w:p>
          <w:p w14:paraId="2737ADA2" w14:textId="77777777" w:rsidR="00F11A8B" w:rsidRPr="006F6DAC" w:rsidRDefault="00F11A8B" w:rsidP="00F11A8B">
            <w:pPr>
              <w:rPr>
                <w:rFonts w:ascii="Garamond" w:hAnsi="Garamond"/>
                <w:sz w:val="22"/>
                <w:szCs w:val="22"/>
                <w:lang w:val="en-US"/>
              </w:rPr>
            </w:pPr>
            <w:r w:rsidRPr="006F6DAC">
              <w:rPr>
                <w:rFonts w:ascii="Garamond" w:hAnsi="Garamond"/>
                <w:sz w:val="22"/>
                <w:szCs w:val="22"/>
                <w:lang w:val="en-US"/>
              </w:rPr>
              <w:t xml:space="preserve">      &lt;/measuring-point&gt;</w:t>
            </w:r>
          </w:p>
          <w:p w14:paraId="1E0CF3B3" w14:textId="77777777" w:rsidR="00F11A8B" w:rsidRPr="006F6DAC" w:rsidRDefault="00F11A8B" w:rsidP="00F11A8B">
            <w:pPr>
              <w:rPr>
                <w:rFonts w:ascii="Garamond" w:hAnsi="Garamond"/>
                <w:sz w:val="22"/>
                <w:szCs w:val="22"/>
                <w:lang w:val="en-US"/>
              </w:rPr>
            </w:pPr>
            <w:r w:rsidRPr="006F6DAC">
              <w:rPr>
                <w:rFonts w:ascii="Garamond" w:hAnsi="Garamond"/>
                <w:sz w:val="22"/>
                <w:szCs w:val="22"/>
                <w:lang w:val="en-US"/>
              </w:rPr>
              <w:t xml:space="preserve">      &lt;measuring-point ats-code="123456789123458" measuring-point-type="general" point-voltage="10000"&gt;</w:t>
            </w:r>
          </w:p>
          <w:p w14:paraId="71EDD751" w14:textId="77777777" w:rsidR="00F11A8B" w:rsidRPr="006F6DAC" w:rsidRDefault="00F11A8B" w:rsidP="00F11A8B">
            <w:pPr>
              <w:rPr>
                <w:rFonts w:ascii="Garamond" w:hAnsi="Garamond"/>
                <w:sz w:val="22"/>
                <w:szCs w:val="22"/>
                <w:lang w:val="en-US"/>
              </w:rPr>
            </w:pPr>
            <w:r w:rsidRPr="006F6DAC">
              <w:rPr>
                <w:rFonts w:ascii="Garamond" w:hAnsi="Garamond"/>
                <w:sz w:val="22"/>
                <w:szCs w:val="22"/>
                <w:lang w:val="en-US"/>
              </w:rPr>
              <w:t xml:space="preserve">        &lt;name connection-name="</w:t>
            </w:r>
            <w:r w:rsidRPr="006F6DAC">
              <w:rPr>
                <w:rFonts w:ascii="Garamond" w:hAnsi="Garamond"/>
                <w:sz w:val="22"/>
                <w:szCs w:val="22"/>
              </w:rPr>
              <w:t>ф</w:t>
            </w:r>
            <w:r w:rsidRPr="006F6DAC">
              <w:rPr>
                <w:rFonts w:ascii="Garamond" w:hAnsi="Garamond"/>
                <w:sz w:val="22"/>
                <w:szCs w:val="22"/>
                <w:lang w:val="en-US"/>
              </w:rPr>
              <w:t xml:space="preserve">. </w:t>
            </w:r>
            <w:r w:rsidRPr="006F6DAC">
              <w:rPr>
                <w:rFonts w:ascii="Garamond" w:hAnsi="Garamond"/>
                <w:sz w:val="22"/>
                <w:szCs w:val="22"/>
              </w:rPr>
              <w:t>ф</w:t>
            </w:r>
            <w:r w:rsidRPr="006F6DAC">
              <w:rPr>
                <w:rFonts w:ascii="Garamond" w:hAnsi="Garamond"/>
                <w:sz w:val="22"/>
                <w:szCs w:val="22"/>
                <w:lang w:val="en-US"/>
              </w:rPr>
              <w:t>.23/15" location-description="</w:t>
            </w:r>
            <w:r w:rsidRPr="006F6DAC">
              <w:rPr>
                <w:rFonts w:ascii="Garamond" w:hAnsi="Garamond"/>
                <w:sz w:val="22"/>
                <w:szCs w:val="22"/>
              </w:rPr>
              <w:t>РУ</w:t>
            </w:r>
            <w:r w:rsidRPr="006F6DAC">
              <w:rPr>
                <w:rFonts w:ascii="Garamond" w:hAnsi="Garamond"/>
                <w:sz w:val="22"/>
                <w:szCs w:val="22"/>
                <w:lang w:val="en-US"/>
              </w:rPr>
              <w:t xml:space="preserve">-10 </w:t>
            </w:r>
            <w:r w:rsidRPr="006F6DAC">
              <w:rPr>
                <w:rFonts w:ascii="Garamond" w:hAnsi="Garamond"/>
                <w:sz w:val="22"/>
                <w:szCs w:val="22"/>
              </w:rPr>
              <w:t>кВ</w:t>
            </w:r>
            <w:r w:rsidRPr="006F6DAC">
              <w:rPr>
                <w:rFonts w:ascii="Garamond" w:hAnsi="Garamond"/>
                <w:sz w:val="22"/>
                <w:szCs w:val="22"/>
                <w:lang w:val="en-US"/>
              </w:rPr>
              <w:t xml:space="preserve">, 1 </w:t>
            </w:r>
            <w:r w:rsidRPr="006F6DAC">
              <w:rPr>
                <w:rFonts w:ascii="Garamond" w:hAnsi="Garamond"/>
                <w:sz w:val="22"/>
                <w:szCs w:val="22"/>
              </w:rPr>
              <w:t>сек</w:t>
            </w:r>
            <w:r w:rsidRPr="006F6DAC">
              <w:rPr>
                <w:rFonts w:ascii="Garamond" w:hAnsi="Garamond"/>
                <w:sz w:val="22"/>
                <w:szCs w:val="22"/>
                <w:lang w:val="en-US"/>
              </w:rPr>
              <w:t xml:space="preserve">., </w:t>
            </w:r>
            <w:r w:rsidRPr="006F6DAC">
              <w:rPr>
                <w:rFonts w:ascii="Garamond" w:hAnsi="Garamond"/>
                <w:sz w:val="22"/>
                <w:szCs w:val="22"/>
              </w:rPr>
              <w:t>яч</w:t>
            </w:r>
            <w:r w:rsidRPr="006F6DAC">
              <w:rPr>
                <w:rFonts w:ascii="Garamond" w:hAnsi="Garamond"/>
                <w:sz w:val="22"/>
                <w:szCs w:val="22"/>
                <w:lang w:val="en-US"/>
              </w:rPr>
              <w:t>. №15" power-object-name="</w:t>
            </w:r>
            <w:r w:rsidRPr="006F6DAC">
              <w:rPr>
                <w:rFonts w:ascii="Garamond" w:hAnsi="Garamond"/>
                <w:sz w:val="22"/>
                <w:szCs w:val="22"/>
              </w:rPr>
              <w:t>Наименование</w:t>
            </w:r>
            <w:r w:rsidRPr="006F6DAC">
              <w:rPr>
                <w:rFonts w:ascii="Garamond" w:hAnsi="Garamond"/>
                <w:sz w:val="22"/>
                <w:szCs w:val="22"/>
                <w:lang w:val="en-US"/>
              </w:rPr>
              <w:t xml:space="preserve"> </w:t>
            </w:r>
            <w:r w:rsidRPr="006F6DAC">
              <w:rPr>
                <w:rFonts w:ascii="Garamond" w:hAnsi="Garamond"/>
                <w:sz w:val="22"/>
                <w:szCs w:val="22"/>
              </w:rPr>
              <w:t>объекта</w:t>
            </w:r>
            <w:r w:rsidRPr="006F6DAC">
              <w:rPr>
                <w:rFonts w:ascii="Garamond" w:hAnsi="Garamond"/>
                <w:sz w:val="22"/>
                <w:szCs w:val="22"/>
                <w:lang w:val="en-US"/>
              </w:rPr>
              <w:t>"/&gt;</w:t>
            </w:r>
          </w:p>
          <w:p w14:paraId="4C6A2E98" w14:textId="77777777" w:rsidR="00F11A8B" w:rsidRPr="006F6DAC" w:rsidRDefault="00F11A8B" w:rsidP="00F11A8B">
            <w:pPr>
              <w:rPr>
                <w:rFonts w:ascii="Garamond" w:hAnsi="Garamond"/>
                <w:sz w:val="22"/>
                <w:szCs w:val="22"/>
                <w:lang w:val="en-US"/>
              </w:rPr>
            </w:pPr>
            <w:r w:rsidRPr="006F6DAC">
              <w:rPr>
                <w:rFonts w:ascii="Garamond" w:hAnsi="Garamond"/>
                <w:sz w:val="22"/>
                <w:szCs w:val="22"/>
                <w:lang w:val="en-US"/>
              </w:rPr>
              <w:t xml:space="preserve">        &lt;measuring-device ats-code="1" device-modification-code="559A7B5B54DF0471E0530A01490A6E4F"&gt;</w:t>
            </w:r>
          </w:p>
          <w:p w14:paraId="208A53EA" w14:textId="77777777" w:rsidR="00F11A8B" w:rsidRPr="006F6DAC" w:rsidRDefault="00F11A8B" w:rsidP="00F11A8B">
            <w:pPr>
              <w:rPr>
                <w:rFonts w:ascii="Garamond" w:hAnsi="Garamond"/>
                <w:sz w:val="22"/>
                <w:szCs w:val="22"/>
                <w:lang w:val="en-US"/>
              </w:rPr>
            </w:pPr>
            <w:r w:rsidRPr="006F6DAC">
              <w:rPr>
                <w:rFonts w:ascii="Garamond" w:hAnsi="Garamond"/>
                <w:sz w:val="22"/>
                <w:szCs w:val="22"/>
                <w:lang w:val="en-US"/>
              </w:rPr>
              <w:t xml:space="preserve">          &lt;measuring-channel ats-code="02" period="30"/&gt;</w:t>
            </w:r>
          </w:p>
          <w:p w14:paraId="75C1F18D" w14:textId="77777777" w:rsidR="00F11A8B" w:rsidRPr="006F6DAC" w:rsidRDefault="00F11A8B" w:rsidP="00F11A8B">
            <w:pPr>
              <w:rPr>
                <w:rFonts w:ascii="Garamond" w:hAnsi="Garamond"/>
                <w:sz w:val="22"/>
                <w:szCs w:val="22"/>
                <w:lang w:val="en-US"/>
              </w:rPr>
            </w:pPr>
            <w:r w:rsidRPr="006F6DAC">
              <w:rPr>
                <w:rFonts w:ascii="Garamond" w:hAnsi="Garamond"/>
                <w:sz w:val="22"/>
                <w:szCs w:val="22"/>
                <w:lang w:val="en-US"/>
              </w:rPr>
              <w:t xml:space="preserve">          &lt;measuring-channel ats-code="04" period="30"/&gt;</w:t>
            </w:r>
          </w:p>
          <w:p w14:paraId="2C5C9B3F" w14:textId="77777777" w:rsidR="00F11A8B" w:rsidRPr="006F6DAC" w:rsidRDefault="00F11A8B" w:rsidP="00F11A8B">
            <w:pPr>
              <w:rPr>
                <w:rFonts w:ascii="Garamond" w:hAnsi="Garamond"/>
                <w:sz w:val="22"/>
                <w:szCs w:val="22"/>
                <w:lang w:val="en-US"/>
              </w:rPr>
            </w:pPr>
            <w:r w:rsidRPr="006F6DAC">
              <w:rPr>
                <w:rFonts w:ascii="Garamond" w:hAnsi="Garamond"/>
                <w:sz w:val="22"/>
                <w:szCs w:val="22"/>
                <w:lang w:val="en-US"/>
              </w:rPr>
              <w:t xml:space="preserve">        &lt;/measuring-device&gt;</w:t>
            </w:r>
          </w:p>
          <w:p w14:paraId="77BC7E73" w14:textId="77777777" w:rsidR="00F11A8B" w:rsidRPr="006F6DAC" w:rsidRDefault="00F11A8B" w:rsidP="00F11A8B">
            <w:pPr>
              <w:rPr>
                <w:rFonts w:ascii="Garamond" w:hAnsi="Garamond"/>
                <w:sz w:val="22"/>
                <w:szCs w:val="22"/>
                <w:lang w:val="en-US"/>
              </w:rPr>
            </w:pPr>
            <w:r w:rsidRPr="006F6DAC">
              <w:rPr>
                <w:rFonts w:ascii="Garamond" w:hAnsi="Garamond"/>
                <w:sz w:val="22"/>
                <w:szCs w:val="22"/>
                <w:lang w:val="en-US"/>
              </w:rPr>
              <w:t xml:space="preserve">      &lt;/measuring-point&gt;</w:t>
            </w:r>
          </w:p>
          <w:p w14:paraId="154BF552" w14:textId="77777777" w:rsidR="00F11A8B" w:rsidRPr="006F6DAC" w:rsidRDefault="00F11A8B" w:rsidP="00F11A8B">
            <w:pPr>
              <w:rPr>
                <w:rFonts w:ascii="Garamond" w:hAnsi="Garamond"/>
                <w:sz w:val="22"/>
                <w:szCs w:val="22"/>
                <w:lang w:val="en-US"/>
              </w:rPr>
            </w:pPr>
            <w:r w:rsidRPr="006F6DAC">
              <w:rPr>
                <w:rFonts w:ascii="Garamond" w:hAnsi="Garamond"/>
                <w:sz w:val="22"/>
                <w:szCs w:val="22"/>
                <w:lang w:val="en-US"/>
              </w:rPr>
              <w:t xml:space="preserve">    &lt;/measuring-points&gt;</w:t>
            </w:r>
          </w:p>
          <w:p w14:paraId="1E0F01DD" w14:textId="77777777" w:rsidR="00F11A8B" w:rsidRPr="006F6DAC" w:rsidRDefault="00F11A8B" w:rsidP="00F11A8B">
            <w:pPr>
              <w:rPr>
                <w:rFonts w:ascii="Garamond" w:hAnsi="Garamond"/>
                <w:sz w:val="22"/>
                <w:szCs w:val="22"/>
                <w:lang w:val="en-US"/>
              </w:rPr>
            </w:pPr>
            <w:r w:rsidRPr="006F6DAC">
              <w:rPr>
                <w:rFonts w:ascii="Garamond" w:hAnsi="Garamond"/>
                <w:sz w:val="22"/>
                <w:szCs w:val="22"/>
                <w:lang w:val="en-US"/>
              </w:rPr>
              <w:t xml:space="preserve">    &lt;measuring-device-modifications&gt;</w:t>
            </w:r>
          </w:p>
          <w:p w14:paraId="40C7422B" w14:textId="77777777" w:rsidR="00F11A8B" w:rsidRPr="006F6DAC" w:rsidRDefault="00F11A8B" w:rsidP="00F11A8B">
            <w:pPr>
              <w:rPr>
                <w:rFonts w:ascii="Garamond" w:hAnsi="Garamond"/>
                <w:sz w:val="22"/>
                <w:szCs w:val="22"/>
                <w:lang w:val="en-US"/>
              </w:rPr>
            </w:pPr>
            <w:r w:rsidRPr="006F6DAC">
              <w:rPr>
                <w:rFonts w:ascii="Garamond" w:hAnsi="Garamond"/>
                <w:sz w:val="22"/>
                <w:szCs w:val="22"/>
                <w:lang w:val="en-US"/>
              </w:rPr>
              <w:t xml:space="preserve">      &lt;measuring-device-modification ats-code="559A7B5B558C0471E0530A01490A6E4F" device-modification-name="EPQS 122.21.18.LL"/&gt;</w:t>
            </w:r>
          </w:p>
          <w:p w14:paraId="37423F04" w14:textId="77777777" w:rsidR="00F11A8B" w:rsidRPr="006F6DAC" w:rsidRDefault="00F11A8B" w:rsidP="00F11A8B">
            <w:pPr>
              <w:rPr>
                <w:rFonts w:ascii="Garamond" w:hAnsi="Garamond"/>
                <w:sz w:val="22"/>
                <w:szCs w:val="22"/>
                <w:lang w:val="en-US"/>
              </w:rPr>
            </w:pPr>
            <w:r w:rsidRPr="006F6DAC">
              <w:rPr>
                <w:rFonts w:ascii="Garamond" w:hAnsi="Garamond"/>
                <w:sz w:val="22"/>
                <w:szCs w:val="22"/>
                <w:lang w:val="en-US"/>
              </w:rPr>
              <w:lastRenderedPageBreak/>
              <w:t xml:space="preserve">      &lt;measuring-device-modification ats-code="559A7B5B54DF0471E0530A01490A6E4F" device-modification-name="EPQS 122.21.12.LL"/&gt;</w:t>
            </w:r>
          </w:p>
          <w:p w14:paraId="03785CAA" w14:textId="77777777" w:rsidR="00F11A8B" w:rsidRPr="006F6DAC" w:rsidRDefault="00F11A8B" w:rsidP="00F11A8B">
            <w:pPr>
              <w:rPr>
                <w:rFonts w:ascii="Garamond" w:hAnsi="Garamond"/>
                <w:sz w:val="22"/>
                <w:szCs w:val="22"/>
                <w:lang w:val="en-US"/>
              </w:rPr>
            </w:pPr>
            <w:r w:rsidRPr="006F6DAC">
              <w:rPr>
                <w:rFonts w:ascii="Garamond" w:hAnsi="Garamond"/>
                <w:sz w:val="22"/>
                <w:szCs w:val="22"/>
                <w:lang w:val="en-US"/>
              </w:rPr>
              <w:t xml:space="preserve">      &lt;measuring-device-modification ats-code="559A7B5B51FE0471E0530A01490A6E4F" device-modification-name="EPQS 111.08.07.LL"/&gt;</w:t>
            </w:r>
          </w:p>
          <w:p w14:paraId="3B87A1ED" w14:textId="77777777" w:rsidR="00F11A8B" w:rsidRPr="006F6DAC" w:rsidRDefault="00F11A8B" w:rsidP="00F11A8B">
            <w:pPr>
              <w:rPr>
                <w:rFonts w:ascii="Garamond" w:hAnsi="Garamond"/>
                <w:sz w:val="22"/>
                <w:szCs w:val="22"/>
                <w:lang w:val="en-US"/>
              </w:rPr>
            </w:pPr>
            <w:r w:rsidRPr="006F6DAC">
              <w:rPr>
                <w:rFonts w:ascii="Garamond" w:hAnsi="Garamond"/>
                <w:sz w:val="22"/>
                <w:szCs w:val="22"/>
                <w:lang w:val="en-US"/>
              </w:rPr>
              <w:t xml:space="preserve">    &lt;/measuring-device-modifications&gt;</w:t>
            </w:r>
          </w:p>
          <w:p w14:paraId="5D5BD577" w14:textId="77777777" w:rsidR="00F11A8B" w:rsidRPr="006F6DAC" w:rsidRDefault="00F11A8B" w:rsidP="00F11A8B">
            <w:pPr>
              <w:rPr>
                <w:rFonts w:ascii="Garamond" w:hAnsi="Garamond"/>
                <w:sz w:val="22"/>
                <w:szCs w:val="22"/>
                <w:lang w:val="en-US"/>
              </w:rPr>
            </w:pPr>
            <w:r w:rsidRPr="006F6DAC">
              <w:rPr>
                <w:rFonts w:ascii="Garamond" w:hAnsi="Garamond"/>
                <w:sz w:val="22"/>
                <w:szCs w:val="22"/>
                <w:lang w:val="en-US"/>
              </w:rPr>
              <w:t xml:space="preserve">    &lt;measuring-objects&gt;</w:t>
            </w:r>
          </w:p>
          <w:p w14:paraId="2719244D" w14:textId="77777777" w:rsidR="00F11A8B" w:rsidRPr="006F6DAC" w:rsidRDefault="00F11A8B" w:rsidP="00F11A8B">
            <w:pPr>
              <w:rPr>
                <w:rFonts w:ascii="Garamond" w:hAnsi="Garamond"/>
                <w:sz w:val="22"/>
                <w:szCs w:val="22"/>
                <w:lang w:val="en-US"/>
              </w:rPr>
            </w:pPr>
            <w:r w:rsidRPr="006F6DAC">
              <w:rPr>
                <w:rFonts w:ascii="Garamond" w:hAnsi="Garamond"/>
                <w:sz w:val="22"/>
                <w:szCs w:val="22"/>
                <w:lang w:val="en-US"/>
              </w:rPr>
              <w:tab/>
            </w:r>
            <w:r w:rsidRPr="006F6DAC">
              <w:rPr>
                <w:rFonts w:ascii="Garamond" w:hAnsi="Garamond"/>
                <w:sz w:val="22"/>
                <w:szCs w:val="22"/>
                <w:lang w:val="en-US"/>
              </w:rPr>
              <w:tab/>
              <w:t>&lt;measuring-object ats-code="123456789012345" measuring-object-type="1" name="</w:t>
            </w:r>
            <w:r w:rsidRPr="006F6DAC">
              <w:rPr>
                <w:rFonts w:ascii="Garamond" w:hAnsi="Garamond"/>
                <w:sz w:val="22"/>
                <w:szCs w:val="22"/>
              </w:rPr>
              <w:t>Наименование</w:t>
            </w:r>
            <w:r w:rsidRPr="006F6DAC">
              <w:rPr>
                <w:rFonts w:ascii="Garamond" w:hAnsi="Garamond"/>
                <w:sz w:val="22"/>
                <w:szCs w:val="22"/>
                <w:lang w:val="en-US"/>
              </w:rPr>
              <w:t xml:space="preserve"> </w:t>
            </w:r>
            <w:r w:rsidRPr="006F6DAC">
              <w:rPr>
                <w:rFonts w:ascii="Garamond" w:hAnsi="Garamond"/>
                <w:sz w:val="22"/>
                <w:szCs w:val="22"/>
              </w:rPr>
              <w:t>объекта</w:t>
            </w:r>
            <w:r w:rsidRPr="006F6DAC">
              <w:rPr>
                <w:rFonts w:ascii="Garamond" w:hAnsi="Garamond"/>
                <w:sz w:val="22"/>
                <w:szCs w:val="22"/>
                <w:lang w:val="en-US"/>
              </w:rPr>
              <w:t xml:space="preserve"> </w:t>
            </w:r>
            <w:r w:rsidRPr="006F6DAC">
              <w:rPr>
                <w:rFonts w:ascii="Garamond" w:hAnsi="Garamond"/>
                <w:sz w:val="22"/>
                <w:szCs w:val="22"/>
              </w:rPr>
              <w:t>измерени</w:t>
            </w:r>
            <w:r w:rsidRPr="006F6DAC">
              <w:rPr>
                <w:rFonts w:ascii="Garamond" w:hAnsi="Garamond"/>
                <w:sz w:val="22"/>
                <w:szCs w:val="22"/>
                <w:highlight w:val="yellow"/>
              </w:rPr>
              <w:t>я</w:t>
            </w:r>
            <w:r w:rsidRPr="006F6DAC">
              <w:rPr>
                <w:rFonts w:ascii="Garamond" w:hAnsi="Garamond"/>
                <w:sz w:val="22"/>
                <w:szCs w:val="22"/>
                <w:lang w:val="en-US"/>
              </w:rPr>
              <w:t>" period="30"/&gt;</w:t>
            </w:r>
          </w:p>
          <w:p w14:paraId="0A92714C" w14:textId="77777777" w:rsidR="00F11A8B" w:rsidRPr="006F6DAC" w:rsidRDefault="00F11A8B" w:rsidP="00F11A8B">
            <w:pPr>
              <w:rPr>
                <w:rFonts w:ascii="Garamond" w:hAnsi="Garamond"/>
                <w:sz w:val="22"/>
                <w:szCs w:val="22"/>
                <w:lang w:val="en-US"/>
              </w:rPr>
            </w:pPr>
            <w:r w:rsidRPr="006F6DAC">
              <w:rPr>
                <w:rFonts w:ascii="Garamond" w:hAnsi="Garamond"/>
                <w:sz w:val="22"/>
                <w:szCs w:val="22"/>
                <w:lang w:val="en-US"/>
              </w:rPr>
              <w:t xml:space="preserve">    &lt;/measuring-objects&gt;</w:t>
            </w:r>
          </w:p>
          <w:p w14:paraId="2F11237D" w14:textId="77777777" w:rsidR="00F11A8B" w:rsidRPr="006F6DAC" w:rsidRDefault="00F11A8B" w:rsidP="00F11A8B">
            <w:pPr>
              <w:rPr>
                <w:rFonts w:ascii="Garamond" w:hAnsi="Garamond"/>
                <w:sz w:val="22"/>
                <w:szCs w:val="22"/>
                <w:lang w:val="en-US"/>
              </w:rPr>
            </w:pPr>
            <w:r w:rsidRPr="006F6DAC">
              <w:rPr>
                <w:rFonts w:ascii="Garamond" w:hAnsi="Garamond"/>
                <w:sz w:val="22"/>
                <w:szCs w:val="22"/>
                <w:lang w:val="en-US"/>
              </w:rPr>
              <w:t xml:space="preserve">  &lt;/dictionaries&gt;</w:t>
            </w:r>
          </w:p>
          <w:p w14:paraId="3F8B32B3" w14:textId="77777777" w:rsidR="00F11A8B" w:rsidRPr="006F6DAC" w:rsidRDefault="00F11A8B" w:rsidP="00F11A8B">
            <w:pPr>
              <w:rPr>
                <w:rFonts w:ascii="Garamond" w:hAnsi="Garamond"/>
                <w:sz w:val="22"/>
                <w:szCs w:val="22"/>
                <w:lang w:val="en-US"/>
              </w:rPr>
            </w:pPr>
            <w:r w:rsidRPr="006F6DAC">
              <w:rPr>
                <w:rFonts w:ascii="Garamond" w:hAnsi="Garamond"/>
                <w:sz w:val="22"/>
                <w:szCs w:val="22"/>
                <w:lang w:val="en-US"/>
              </w:rPr>
              <w:t xml:space="preserve">  &lt;links&gt;</w:t>
            </w:r>
          </w:p>
          <w:p w14:paraId="5A24D105" w14:textId="77777777" w:rsidR="00F11A8B" w:rsidRPr="006F6DAC" w:rsidRDefault="00F11A8B" w:rsidP="00F11A8B">
            <w:pPr>
              <w:rPr>
                <w:rFonts w:ascii="Garamond" w:hAnsi="Garamond"/>
                <w:sz w:val="22"/>
                <w:szCs w:val="22"/>
                <w:lang w:val="en-US"/>
              </w:rPr>
            </w:pPr>
            <w:r w:rsidRPr="006F6DAC">
              <w:rPr>
                <w:rFonts w:ascii="Garamond" w:hAnsi="Garamond"/>
                <w:sz w:val="22"/>
                <w:szCs w:val="22"/>
                <w:lang w:val="en-US"/>
              </w:rPr>
              <w:t xml:space="preserve">    &lt;ov-measuring-point-links&gt;</w:t>
            </w:r>
          </w:p>
          <w:p w14:paraId="51739E68" w14:textId="77777777" w:rsidR="00F11A8B" w:rsidRPr="006F6DAC" w:rsidRDefault="00F11A8B" w:rsidP="00F11A8B">
            <w:pPr>
              <w:rPr>
                <w:rFonts w:ascii="Garamond" w:hAnsi="Garamond"/>
                <w:sz w:val="22"/>
                <w:szCs w:val="22"/>
                <w:lang w:val="en-US"/>
              </w:rPr>
            </w:pPr>
            <w:r w:rsidRPr="006F6DAC">
              <w:rPr>
                <w:rFonts w:ascii="Garamond" w:hAnsi="Garamond"/>
                <w:sz w:val="22"/>
                <w:szCs w:val="22"/>
                <w:lang w:val="en-US"/>
              </w:rPr>
              <w:tab/>
            </w:r>
            <w:r w:rsidRPr="006F6DAC">
              <w:rPr>
                <w:rFonts w:ascii="Garamond" w:hAnsi="Garamond"/>
                <w:sz w:val="22"/>
                <w:szCs w:val="22"/>
                <w:lang w:val="en-US"/>
              </w:rPr>
              <w:tab/>
              <w:t>&lt;ov-measuring-point-link ov-measuring-point-code="123456789123457" serviced-measuring-point-code="123456789123458"/&gt;</w:t>
            </w:r>
          </w:p>
          <w:p w14:paraId="5B90E3B5" w14:textId="77777777" w:rsidR="00F11A8B" w:rsidRPr="006F6DAC" w:rsidRDefault="00F11A8B" w:rsidP="00F11A8B">
            <w:pPr>
              <w:rPr>
                <w:rFonts w:ascii="Garamond" w:hAnsi="Garamond"/>
                <w:sz w:val="22"/>
                <w:szCs w:val="22"/>
                <w:lang w:val="en-US"/>
              </w:rPr>
            </w:pPr>
            <w:r w:rsidRPr="006F6DAC">
              <w:rPr>
                <w:rFonts w:ascii="Garamond" w:hAnsi="Garamond"/>
                <w:sz w:val="22"/>
                <w:szCs w:val="22"/>
                <w:lang w:val="en-US"/>
              </w:rPr>
              <w:t xml:space="preserve">    &lt;/ov-measuring-point-links&gt;</w:t>
            </w:r>
          </w:p>
          <w:p w14:paraId="607C6E1E" w14:textId="77777777" w:rsidR="00F11A8B" w:rsidRPr="006F6DAC" w:rsidRDefault="00F11A8B" w:rsidP="00F11A8B">
            <w:pPr>
              <w:rPr>
                <w:rFonts w:ascii="Garamond" w:hAnsi="Garamond"/>
                <w:sz w:val="22"/>
                <w:szCs w:val="22"/>
                <w:lang w:val="en-US"/>
              </w:rPr>
            </w:pPr>
            <w:r w:rsidRPr="006F6DAC">
              <w:rPr>
                <w:rFonts w:ascii="Garamond" w:hAnsi="Garamond"/>
                <w:sz w:val="22"/>
                <w:szCs w:val="22"/>
                <w:lang w:val="en-US"/>
              </w:rPr>
              <w:t xml:space="preserve">    &lt;group-delivery-point-composition&gt;</w:t>
            </w:r>
          </w:p>
          <w:p w14:paraId="20996D29" w14:textId="77777777" w:rsidR="00F11A8B" w:rsidRPr="006F6DAC" w:rsidRDefault="00F11A8B" w:rsidP="00F11A8B">
            <w:pPr>
              <w:rPr>
                <w:rFonts w:ascii="Garamond" w:hAnsi="Garamond"/>
                <w:sz w:val="22"/>
                <w:szCs w:val="22"/>
                <w:lang w:val="en-US"/>
              </w:rPr>
            </w:pPr>
            <w:r w:rsidRPr="006F6DAC">
              <w:rPr>
                <w:rFonts w:ascii="Garamond" w:hAnsi="Garamond"/>
                <w:sz w:val="22"/>
                <w:szCs w:val="22"/>
                <w:lang w:val="en-US"/>
              </w:rPr>
              <w:t xml:space="preserve">      &lt;group-delivery-point group-delivery-point-code="123456789123456" simple-delivery-point-code="123456789123457"/&gt;</w:t>
            </w:r>
          </w:p>
          <w:p w14:paraId="38FD85D4" w14:textId="77777777" w:rsidR="00F11A8B" w:rsidRPr="006F6DAC" w:rsidRDefault="00F11A8B" w:rsidP="00F11A8B">
            <w:pPr>
              <w:rPr>
                <w:rFonts w:ascii="Garamond" w:hAnsi="Garamond"/>
                <w:sz w:val="22"/>
                <w:szCs w:val="22"/>
                <w:lang w:val="en-US"/>
              </w:rPr>
            </w:pPr>
            <w:r w:rsidRPr="006F6DAC">
              <w:rPr>
                <w:rFonts w:ascii="Garamond" w:hAnsi="Garamond"/>
                <w:sz w:val="22"/>
                <w:szCs w:val="22"/>
                <w:lang w:val="en-US"/>
              </w:rPr>
              <w:t xml:space="preserve">      &lt;group-delivery-point group-delivery-point-code="123456789123456" simple-delivery-point-code="123456789123458"/&gt;</w:t>
            </w:r>
          </w:p>
          <w:p w14:paraId="7103D7E0" w14:textId="77777777" w:rsidR="00F11A8B" w:rsidRPr="006F6DAC" w:rsidRDefault="00F11A8B" w:rsidP="00F11A8B">
            <w:pPr>
              <w:rPr>
                <w:rFonts w:ascii="Garamond" w:hAnsi="Garamond"/>
                <w:sz w:val="22"/>
                <w:szCs w:val="22"/>
                <w:lang w:val="en-US"/>
              </w:rPr>
            </w:pPr>
            <w:r w:rsidRPr="006F6DAC">
              <w:rPr>
                <w:rFonts w:ascii="Garamond" w:hAnsi="Garamond"/>
                <w:sz w:val="22"/>
                <w:szCs w:val="22"/>
                <w:lang w:val="en-US"/>
              </w:rPr>
              <w:t xml:space="preserve">    &lt;/group-delivery-point-composition&gt;</w:t>
            </w:r>
          </w:p>
          <w:p w14:paraId="3B7D9F9E" w14:textId="77777777" w:rsidR="00F11A8B" w:rsidRPr="006F6DAC" w:rsidRDefault="00F11A8B" w:rsidP="00F11A8B">
            <w:pPr>
              <w:rPr>
                <w:rFonts w:ascii="Garamond" w:hAnsi="Garamond"/>
                <w:sz w:val="22"/>
                <w:szCs w:val="22"/>
                <w:lang w:val="en-US"/>
              </w:rPr>
            </w:pPr>
            <w:r w:rsidRPr="006F6DAC">
              <w:rPr>
                <w:rFonts w:ascii="Garamond" w:hAnsi="Garamond"/>
                <w:sz w:val="22"/>
                <w:szCs w:val="22"/>
                <w:lang w:val="en-US"/>
              </w:rPr>
              <w:t xml:space="preserve">    &lt;power-center-power-object-links&gt;</w:t>
            </w:r>
          </w:p>
          <w:p w14:paraId="5D6131F6" w14:textId="77777777" w:rsidR="00F11A8B" w:rsidRPr="006F6DAC" w:rsidRDefault="00F11A8B" w:rsidP="00F11A8B">
            <w:pPr>
              <w:rPr>
                <w:rFonts w:ascii="Garamond" w:hAnsi="Garamond"/>
                <w:sz w:val="22"/>
                <w:szCs w:val="22"/>
                <w:lang w:val="en-US"/>
              </w:rPr>
            </w:pPr>
            <w:r w:rsidRPr="006F6DAC">
              <w:rPr>
                <w:rFonts w:ascii="Garamond" w:hAnsi="Garamond"/>
                <w:sz w:val="22"/>
                <w:szCs w:val="22"/>
                <w:lang w:val="en-US"/>
              </w:rPr>
              <w:tab/>
            </w:r>
            <w:r w:rsidRPr="006F6DAC">
              <w:rPr>
                <w:rFonts w:ascii="Garamond" w:hAnsi="Garamond"/>
                <w:sz w:val="22"/>
                <w:szCs w:val="22"/>
                <w:lang w:val="en-US"/>
              </w:rPr>
              <w:tab/>
              <w:t>&lt;power-center-power-object-link power-center-code="123456789" power-object-code="123456781"/&gt;</w:t>
            </w:r>
          </w:p>
          <w:p w14:paraId="74C681BB" w14:textId="77777777" w:rsidR="00F11A8B" w:rsidRPr="006F6DAC" w:rsidRDefault="00F11A8B" w:rsidP="00F11A8B">
            <w:pPr>
              <w:rPr>
                <w:rFonts w:ascii="Garamond" w:hAnsi="Garamond"/>
                <w:sz w:val="22"/>
                <w:szCs w:val="22"/>
                <w:lang w:val="en-US"/>
              </w:rPr>
            </w:pPr>
            <w:r w:rsidRPr="006F6DAC">
              <w:rPr>
                <w:rFonts w:ascii="Garamond" w:hAnsi="Garamond"/>
                <w:sz w:val="22"/>
                <w:szCs w:val="22"/>
                <w:lang w:val="en-US"/>
              </w:rPr>
              <w:t xml:space="preserve">    &lt;/power-center-power-object-links&gt;</w:t>
            </w:r>
          </w:p>
          <w:p w14:paraId="7E6BDB31" w14:textId="77777777" w:rsidR="00F11A8B" w:rsidRPr="006F6DAC" w:rsidRDefault="00F11A8B" w:rsidP="00F11A8B">
            <w:pPr>
              <w:rPr>
                <w:rFonts w:ascii="Garamond" w:hAnsi="Garamond"/>
                <w:sz w:val="22"/>
                <w:szCs w:val="22"/>
                <w:lang w:val="en-US"/>
              </w:rPr>
            </w:pPr>
            <w:r w:rsidRPr="006F6DAC">
              <w:rPr>
                <w:rFonts w:ascii="Garamond" w:hAnsi="Garamond"/>
                <w:sz w:val="22"/>
                <w:szCs w:val="22"/>
                <w:lang w:val="en-US"/>
              </w:rPr>
              <w:t xml:space="preserve">  &lt;/links&gt;</w:t>
            </w:r>
          </w:p>
          <w:p w14:paraId="0AC4D52C" w14:textId="77777777" w:rsidR="00F11A8B" w:rsidRPr="006F6DAC" w:rsidRDefault="00F11A8B" w:rsidP="00F11A8B">
            <w:pPr>
              <w:rPr>
                <w:rFonts w:ascii="Garamond" w:hAnsi="Garamond"/>
                <w:sz w:val="22"/>
                <w:szCs w:val="22"/>
                <w:lang w:val="en-US"/>
              </w:rPr>
            </w:pPr>
            <w:r w:rsidRPr="006F6DAC">
              <w:rPr>
                <w:rFonts w:ascii="Garamond" w:hAnsi="Garamond"/>
                <w:sz w:val="22"/>
                <w:szCs w:val="22"/>
                <w:lang w:val="en-US"/>
              </w:rPr>
              <w:t xml:space="preserve">  &lt;aiis ats-code="1020304060" name="</w:t>
            </w:r>
            <w:r w:rsidRPr="006F6DAC">
              <w:rPr>
                <w:rFonts w:ascii="Garamond" w:hAnsi="Garamond"/>
                <w:sz w:val="22"/>
                <w:szCs w:val="22"/>
              </w:rPr>
              <w:t>Наименование</w:t>
            </w:r>
            <w:r w:rsidRPr="006F6DAC">
              <w:rPr>
                <w:rFonts w:ascii="Garamond" w:hAnsi="Garamond"/>
                <w:sz w:val="22"/>
                <w:szCs w:val="22"/>
                <w:lang w:val="en-US"/>
              </w:rPr>
              <w:t xml:space="preserve"> </w:t>
            </w:r>
            <w:r w:rsidRPr="006F6DAC">
              <w:rPr>
                <w:rFonts w:ascii="Garamond" w:hAnsi="Garamond"/>
                <w:sz w:val="22"/>
                <w:szCs w:val="22"/>
              </w:rPr>
              <w:t>АИИС</w:t>
            </w:r>
            <w:r w:rsidRPr="006F6DAC">
              <w:rPr>
                <w:rFonts w:ascii="Garamond" w:hAnsi="Garamond"/>
                <w:sz w:val="22"/>
                <w:szCs w:val="22"/>
                <w:lang w:val="en-US"/>
              </w:rPr>
              <w:t>"&gt;</w:t>
            </w:r>
          </w:p>
          <w:p w14:paraId="3C32C1E4" w14:textId="77777777" w:rsidR="00F11A8B" w:rsidRPr="006F6DAC" w:rsidRDefault="00F11A8B" w:rsidP="00F11A8B">
            <w:pPr>
              <w:rPr>
                <w:rFonts w:ascii="Garamond" w:hAnsi="Garamond"/>
                <w:sz w:val="22"/>
                <w:szCs w:val="22"/>
                <w:lang w:val="en-US"/>
              </w:rPr>
            </w:pPr>
            <w:r w:rsidRPr="006F6DAC">
              <w:rPr>
                <w:rFonts w:ascii="Garamond" w:hAnsi="Garamond"/>
                <w:sz w:val="22"/>
                <w:szCs w:val="22"/>
                <w:lang w:val="en-US"/>
              </w:rPr>
              <w:t xml:space="preserve">    &lt;area ats-code="1020304051" group-type="1" name="</w:t>
            </w:r>
            <w:r w:rsidRPr="006F6DAC">
              <w:rPr>
                <w:rFonts w:ascii="Garamond" w:hAnsi="Garamond"/>
                <w:sz w:val="22"/>
                <w:szCs w:val="22"/>
              </w:rPr>
              <w:t>Наименование</w:t>
            </w:r>
            <w:r w:rsidRPr="006F6DAC">
              <w:rPr>
                <w:rFonts w:ascii="Garamond" w:hAnsi="Garamond"/>
                <w:sz w:val="22"/>
                <w:szCs w:val="22"/>
                <w:lang w:val="en-US"/>
              </w:rPr>
              <w:t xml:space="preserve"> area" time-zone="1"&gt;</w:t>
            </w:r>
          </w:p>
          <w:p w14:paraId="0245178E" w14:textId="77777777" w:rsidR="00F11A8B" w:rsidRPr="006F6DAC" w:rsidRDefault="00F11A8B" w:rsidP="00F11A8B">
            <w:pPr>
              <w:rPr>
                <w:rFonts w:ascii="Garamond" w:hAnsi="Garamond"/>
                <w:sz w:val="22"/>
                <w:szCs w:val="22"/>
                <w:lang w:val="en-US"/>
              </w:rPr>
            </w:pPr>
            <w:r w:rsidRPr="006F6DAC">
              <w:rPr>
                <w:rFonts w:ascii="Garamond" w:hAnsi="Garamond"/>
                <w:sz w:val="22"/>
                <w:szCs w:val="22"/>
                <w:lang w:val="en-US"/>
              </w:rPr>
              <w:t xml:space="preserve">      &lt;serviced-points-list&gt;</w:t>
            </w:r>
          </w:p>
          <w:p w14:paraId="2FA56041" w14:textId="77777777" w:rsidR="00F11A8B" w:rsidRPr="006F6DAC" w:rsidRDefault="00F11A8B" w:rsidP="00F11A8B">
            <w:pPr>
              <w:rPr>
                <w:rFonts w:ascii="Garamond" w:hAnsi="Garamond"/>
                <w:sz w:val="22"/>
                <w:szCs w:val="22"/>
                <w:lang w:val="en-US"/>
              </w:rPr>
            </w:pPr>
            <w:r w:rsidRPr="006F6DAC">
              <w:rPr>
                <w:rFonts w:ascii="Garamond" w:hAnsi="Garamond"/>
                <w:sz w:val="22"/>
                <w:szCs w:val="22"/>
                <w:lang w:val="en-US"/>
              </w:rPr>
              <w:t xml:space="preserve">        &lt;delivery-point-measuring-point-link delivery-point-code="123456789123456" measuring-point-code="123456789123456"/&gt;</w:t>
            </w:r>
          </w:p>
          <w:p w14:paraId="766A63E5" w14:textId="77777777" w:rsidR="00F11A8B" w:rsidRPr="006F6DAC" w:rsidRDefault="00F11A8B" w:rsidP="00F11A8B">
            <w:pPr>
              <w:rPr>
                <w:rFonts w:ascii="Garamond" w:hAnsi="Garamond"/>
                <w:sz w:val="22"/>
                <w:szCs w:val="22"/>
                <w:lang w:val="en-US"/>
              </w:rPr>
            </w:pPr>
            <w:r w:rsidRPr="006F6DAC">
              <w:rPr>
                <w:rFonts w:ascii="Garamond" w:hAnsi="Garamond"/>
                <w:sz w:val="22"/>
                <w:szCs w:val="22"/>
                <w:lang w:val="en-US"/>
              </w:rPr>
              <w:t xml:space="preserve">        &lt;delivery-point-measuring-point-link delivery-point-code="123456789123457" measuring-point-code="123456789123457"/&gt;</w:t>
            </w:r>
          </w:p>
          <w:p w14:paraId="6A874791" w14:textId="77777777" w:rsidR="00F11A8B" w:rsidRPr="006F6DAC" w:rsidRDefault="00F11A8B" w:rsidP="00F11A8B">
            <w:pPr>
              <w:rPr>
                <w:rFonts w:ascii="Garamond" w:hAnsi="Garamond"/>
                <w:sz w:val="22"/>
                <w:szCs w:val="22"/>
                <w:lang w:val="en-US"/>
              </w:rPr>
            </w:pPr>
            <w:r w:rsidRPr="006F6DAC">
              <w:rPr>
                <w:rFonts w:ascii="Garamond" w:hAnsi="Garamond"/>
                <w:sz w:val="22"/>
                <w:szCs w:val="22"/>
                <w:lang w:val="en-US"/>
              </w:rPr>
              <w:lastRenderedPageBreak/>
              <w:t xml:space="preserve">        &lt;delivery-point-measuring-point-link delivery-point-code="123456789123458" measuring-point-code="123456789123458"/&gt;</w:t>
            </w:r>
          </w:p>
          <w:p w14:paraId="62D17DC9" w14:textId="77777777" w:rsidR="00F11A8B" w:rsidRPr="006F6DAC" w:rsidRDefault="00F11A8B" w:rsidP="00F11A8B">
            <w:pPr>
              <w:rPr>
                <w:rFonts w:ascii="Garamond" w:hAnsi="Garamond"/>
                <w:sz w:val="22"/>
                <w:szCs w:val="22"/>
                <w:lang w:val="en-US"/>
              </w:rPr>
            </w:pPr>
            <w:r w:rsidRPr="006F6DAC">
              <w:rPr>
                <w:rFonts w:ascii="Garamond" w:hAnsi="Garamond"/>
                <w:sz w:val="22"/>
                <w:szCs w:val="22"/>
                <w:lang w:val="en-US"/>
              </w:rPr>
              <w:t xml:space="preserve">      &lt;/serviced-points-list&gt;</w:t>
            </w:r>
          </w:p>
          <w:p w14:paraId="19D36861" w14:textId="77777777" w:rsidR="00F11A8B" w:rsidRPr="006F6DAC" w:rsidRDefault="00F11A8B" w:rsidP="00F11A8B">
            <w:pPr>
              <w:rPr>
                <w:rFonts w:ascii="Garamond" w:hAnsi="Garamond"/>
                <w:sz w:val="22"/>
                <w:szCs w:val="22"/>
                <w:lang w:val="en-US"/>
              </w:rPr>
            </w:pPr>
            <w:r w:rsidRPr="006F6DAC">
              <w:rPr>
                <w:rFonts w:ascii="Garamond" w:hAnsi="Garamond"/>
                <w:sz w:val="22"/>
                <w:szCs w:val="22"/>
                <w:lang w:val="en-US"/>
              </w:rPr>
              <w:t xml:space="preserve">      &lt;measuring-channels-list&gt;</w:t>
            </w:r>
          </w:p>
          <w:p w14:paraId="5E581B57" w14:textId="77777777" w:rsidR="00F11A8B" w:rsidRPr="006F6DAC" w:rsidRDefault="00F11A8B" w:rsidP="00F11A8B">
            <w:pPr>
              <w:rPr>
                <w:rFonts w:ascii="Garamond" w:hAnsi="Garamond"/>
                <w:sz w:val="22"/>
                <w:szCs w:val="22"/>
                <w:lang w:val="en-US"/>
              </w:rPr>
            </w:pPr>
            <w:r w:rsidRPr="006F6DAC">
              <w:rPr>
                <w:rFonts w:ascii="Garamond" w:hAnsi="Garamond"/>
                <w:sz w:val="22"/>
                <w:szCs w:val="22"/>
                <w:lang w:val="en-US"/>
              </w:rPr>
              <w:t xml:space="preserve">        &lt;measuring-channel measuring-channel-code="123456789123456/02"/&gt;</w:t>
            </w:r>
          </w:p>
          <w:p w14:paraId="751DCB18" w14:textId="77777777" w:rsidR="00F11A8B" w:rsidRPr="006F6DAC" w:rsidRDefault="00F11A8B" w:rsidP="00F11A8B">
            <w:pPr>
              <w:rPr>
                <w:rFonts w:ascii="Garamond" w:hAnsi="Garamond"/>
                <w:sz w:val="22"/>
                <w:szCs w:val="22"/>
                <w:lang w:val="en-US"/>
              </w:rPr>
            </w:pPr>
            <w:r w:rsidRPr="006F6DAC">
              <w:rPr>
                <w:rFonts w:ascii="Garamond" w:hAnsi="Garamond"/>
                <w:sz w:val="22"/>
                <w:szCs w:val="22"/>
                <w:lang w:val="en-US"/>
              </w:rPr>
              <w:t xml:space="preserve">        &lt;measuring-channel measuring-channel-code="123456789123456/04"/&gt;</w:t>
            </w:r>
          </w:p>
          <w:p w14:paraId="1305468A" w14:textId="77777777" w:rsidR="00F11A8B" w:rsidRPr="006F6DAC" w:rsidRDefault="00F11A8B" w:rsidP="00F11A8B">
            <w:pPr>
              <w:rPr>
                <w:rFonts w:ascii="Garamond" w:hAnsi="Garamond"/>
                <w:sz w:val="22"/>
                <w:szCs w:val="22"/>
                <w:lang w:val="en-US"/>
              </w:rPr>
            </w:pPr>
            <w:r w:rsidRPr="006F6DAC">
              <w:rPr>
                <w:rFonts w:ascii="Garamond" w:hAnsi="Garamond"/>
                <w:sz w:val="22"/>
                <w:szCs w:val="22"/>
                <w:lang w:val="en-US"/>
              </w:rPr>
              <w:t xml:space="preserve">        &lt;measuring-channel measuring-channel-code="123456789123457/02"/&gt;</w:t>
            </w:r>
          </w:p>
          <w:p w14:paraId="4C6FE87C" w14:textId="77777777" w:rsidR="00F11A8B" w:rsidRPr="006F6DAC" w:rsidRDefault="00F11A8B" w:rsidP="00F11A8B">
            <w:pPr>
              <w:rPr>
                <w:rFonts w:ascii="Garamond" w:hAnsi="Garamond"/>
                <w:sz w:val="22"/>
                <w:szCs w:val="22"/>
                <w:lang w:val="en-US"/>
              </w:rPr>
            </w:pPr>
            <w:r w:rsidRPr="006F6DAC">
              <w:rPr>
                <w:rFonts w:ascii="Garamond" w:hAnsi="Garamond"/>
                <w:sz w:val="22"/>
                <w:szCs w:val="22"/>
                <w:lang w:val="en-US"/>
              </w:rPr>
              <w:t xml:space="preserve">        &lt;measuring-channel measuring-channel-code="123456789123457/04"/&gt;</w:t>
            </w:r>
          </w:p>
          <w:p w14:paraId="7C36BA67" w14:textId="77777777" w:rsidR="00F11A8B" w:rsidRPr="006F6DAC" w:rsidRDefault="00F11A8B" w:rsidP="00F11A8B">
            <w:pPr>
              <w:rPr>
                <w:rFonts w:ascii="Garamond" w:hAnsi="Garamond"/>
                <w:sz w:val="22"/>
                <w:szCs w:val="22"/>
                <w:lang w:val="en-US"/>
              </w:rPr>
            </w:pPr>
            <w:r w:rsidRPr="006F6DAC">
              <w:rPr>
                <w:rFonts w:ascii="Garamond" w:hAnsi="Garamond"/>
                <w:sz w:val="22"/>
                <w:szCs w:val="22"/>
                <w:lang w:val="en-US"/>
              </w:rPr>
              <w:t xml:space="preserve">        &lt;measuring-channel measuring-channel-code="123456789123458/02"/&gt;</w:t>
            </w:r>
          </w:p>
          <w:p w14:paraId="5A9A0E0F" w14:textId="77777777" w:rsidR="00F11A8B" w:rsidRPr="006F6DAC" w:rsidRDefault="00F11A8B" w:rsidP="00F11A8B">
            <w:pPr>
              <w:rPr>
                <w:rFonts w:ascii="Garamond" w:hAnsi="Garamond"/>
                <w:sz w:val="22"/>
                <w:szCs w:val="22"/>
                <w:lang w:val="en-US"/>
              </w:rPr>
            </w:pPr>
            <w:r w:rsidRPr="006F6DAC">
              <w:rPr>
                <w:rFonts w:ascii="Garamond" w:hAnsi="Garamond"/>
                <w:sz w:val="22"/>
                <w:szCs w:val="22"/>
                <w:lang w:val="en-US"/>
              </w:rPr>
              <w:t xml:space="preserve">        &lt;measuring-channel measuring-channel-code="123456789123458/04"/&gt;</w:t>
            </w:r>
          </w:p>
          <w:p w14:paraId="631A2D0A" w14:textId="77777777" w:rsidR="00F11A8B" w:rsidRPr="006F6DAC" w:rsidRDefault="00F11A8B" w:rsidP="00F11A8B">
            <w:pPr>
              <w:rPr>
                <w:rFonts w:ascii="Garamond" w:hAnsi="Garamond"/>
                <w:sz w:val="22"/>
                <w:szCs w:val="22"/>
                <w:lang w:val="en-US"/>
              </w:rPr>
            </w:pPr>
            <w:r w:rsidRPr="006F6DAC">
              <w:rPr>
                <w:rFonts w:ascii="Garamond" w:hAnsi="Garamond"/>
                <w:sz w:val="22"/>
                <w:szCs w:val="22"/>
                <w:lang w:val="en-US"/>
              </w:rPr>
              <w:t xml:space="preserve">       &lt;/measuring-channels-list&gt;</w:t>
            </w:r>
          </w:p>
          <w:p w14:paraId="7E3EBF6E" w14:textId="77777777" w:rsidR="00F11A8B" w:rsidRPr="006F6DAC" w:rsidRDefault="00F11A8B" w:rsidP="00F11A8B">
            <w:pPr>
              <w:rPr>
                <w:rFonts w:ascii="Garamond" w:hAnsi="Garamond"/>
                <w:sz w:val="22"/>
                <w:szCs w:val="22"/>
                <w:lang w:val="en-US"/>
              </w:rPr>
            </w:pPr>
            <w:r w:rsidRPr="006F6DAC">
              <w:rPr>
                <w:rFonts w:ascii="Garamond" w:hAnsi="Garamond"/>
                <w:sz w:val="22"/>
                <w:szCs w:val="22"/>
                <w:lang w:val="en-US"/>
              </w:rPr>
              <w:t xml:space="preserve">      &lt;measuring-objects-list&gt;</w:t>
            </w:r>
          </w:p>
          <w:p w14:paraId="4842E741" w14:textId="77777777" w:rsidR="00F11A8B" w:rsidRPr="006F6DAC" w:rsidRDefault="00F11A8B" w:rsidP="00F11A8B">
            <w:pPr>
              <w:rPr>
                <w:rFonts w:ascii="Garamond" w:hAnsi="Garamond"/>
                <w:sz w:val="22"/>
                <w:szCs w:val="22"/>
                <w:lang w:val="en-US"/>
              </w:rPr>
            </w:pPr>
            <w:r w:rsidRPr="006F6DAC">
              <w:rPr>
                <w:rFonts w:ascii="Garamond" w:hAnsi="Garamond"/>
                <w:sz w:val="22"/>
                <w:szCs w:val="22"/>
                <w:lang w:val="en-US"/>
              </w:rPr>
              <w:tab/>
            </w:r>
            <w:r w:rsidRPr="006F6DAC">
              <w:rPr>
                <w:rFonts w:ascii="Garamond" w:hAnsi="Garamond"/>
                <w:sz w:val="22"/>
                <w:szCs w:val="22"/>
                <w:lang w:val="en-US"/>
              </w:rPr>
              <w:tab/>
              <w:t xml:space="preserve">  &lt;measuring-object measuring-object-code="123456789012345"/&gt;</w:t>
            </w:r>
          </w:p>
          <w:p w14:paraId="49AE920A" w14:textId="77777777" w:rsidR="00F11A8B" w:rsidRPr="006F6DAC" w:rsidRDefault="00F11A8B" w:rsidP="00F11A8B">
            <w:pPr>
              <w:rPr>
                <w:rFonts w:ascii="Garamond" w:hAnsi="Garamond"/>
                <w:sz w:val="22"/>
                <w:szCs w:val="22"/>
                <w:lang w:val="en-US"/>
              </w:rPr>
            </w:pPr>
            <w:r w:rsidRPr="006F6DAC">
              <w:rPr>
                <w:rFonts w:ascii="Garamond" w:hAnsi="Garamond"/>
                <w:sz w:val="22"/>
                <w:szCs w:val="22"/>
                <w:lang w:val="en-US"/>
              </w:rPr>
              <w:t xml:space="preserve">      &lt;/measuring-objects-list&gt;</w:t>
            </w:r>
          </w:p>
          <w:p w14:paraId="492552EA" w14:textId="77777777" w:rsidR="00F11A8B" w:rsidRPr="006F6DAC" w:rsidRDefault="00F11A8B" w:rsidP="00F11A8B">
            <w:pPr>
              <w:rPr>
                <w:rFonts w:ascii="Garamond" w:hAnsi="Garamond"/>
                <w:sz w:val="22"/>
                <w:szCs w:val="22"/>
                <w:highlight w:val="yellow"/>
                <w:lang w:val="en-US"/>
              </w:rPr>
            </w:pPr>
            <w:r w:rsidRPr="006F6DAC">
              <w:rPr>
                <w:rFonts w:ascii="Garamond" w:hAnsi="Garamond"/>
                <w:sz w:val="22"/>
                <w:szCs w:val="22"/>
                <w:lang w:val="en-US"/>
              </w:rPr>
              <w:t xml:space="preserve">      </w:t>
            </w:r>
            <w:r w:rsidRPr="006F6DAC">
              <w:rPr>
                <w:rFonts w:ascii="Garamond" w:hAnsi="Garamond"/>
                <w:sz w:val="22"/>
                <w:szCs w:val="22"/>
                <w:highlight w:val="yellow"/>
                <w:lang w:val="en-US"/>
              </w:rPr>
              <w:t>&lt;delivery-point-channels-list&gt;</w:t>
            </w:r>
          </w:p>
          <w:p w14:paraId="37EAA736" w14:textId="77777777" w:rsidR="00F11A8B" w:rsidRPr="006F6DAC" w:rsidRDefault="00F11A8B" w:rsidP="00F11A8B">
            <w:pPr>
              <w:rPr>
                <w:rFonts w:ascii="Garamond" w:hAnsi="Garamond"/>
                <w:sz w:val="22"/>
                <w:szCs w:val="22"/>
                <w:highlight w:val="yellow"/>
                <w:lang w:val="en-US"/>
              </w:rPr>
            </w:pPr>
            <w:r w:rsidRPr="006F6DAC">
              <w:rPr>
                <w:rFonts w:ascii="Garamond" w:hAnsi="Garamond"/>
                <w:sz w:val="22"/>
                <w:szCs w:val="22"/>
                <w:highlight w:val="yellow"/>
                <w:lang w:val="en-US"/>
              </w:rPr>
              <w:tab/>
            </w:r>
            <w:r w:rsidRPr="006F6DAC">
              <w:rPr>
                <w:rFonts w:ascii="Garamond" w:hAnsi="Garamond"/>
                <w:sz w:val="22"/>
                <w:szCs w:val="22"/>
                <w:highlight w:val="yellow"/>
                <w:lang w:val="en-US"/>
              </w:rPr>
              <w:tab/>
              <w:t xml:space="preserve">  &lt;delivery-point-channel algorithm-version="101" channel-code="02" delivery-point-code="123456789123456" period="60"/&gt;</w:t>
            </w:r>
          </w:p>
          <w:p w14:paraId="401D920B" w14:textId="77777777" w:rsidR="00F11A8B" w:rsidRPr="006F6DAC" w:rsidRDefault="00F11A8B" w:rsidP="00F11A8B">
            <w:pPr>
              <w:rPr>
                <w:rFonts w:ascii="Garamond" w:hAnsi="Garamond"/>
                <w:sz w:val="22"/>
                <w:szCs w:val="22"/>
                <w:highlight w:val="yellow"/>
                <w:lang w:val="en-US"/>
              </w:rPr>
            </w:pPr>
            <w:r w:rsidRPr="006F6DAC">
              <w:rPr>
                <w:rFonts w:ascii="Garamond" w:hAnsi="Garamond"/>
                <w:sz w:val="22"/>
                <w:szCs w:val="22"/>
                <w:highlight w:val="yellow"/>
                <w:lang w:val="en-US"/>
              </w:rPr>
              <w:tab/>
            </w:r>
            <w:r w:rsidRPr="006F6DAC">
              <w:rPr>
                <w:rFonts w:ascii="Garamond" w:hAnsi="Garamond"/>
                <w:sz w:val="22"/>
                <w:szCs w:val="22"/>
                <w:highlight w:val="yellow"/>
                <w:lang w:val="en-US"/>
              </w:rPr>
              <w:tab/>
              <w:t xml:space="preserve">  &lt;delivery-point-channel algorithm-version="101" channel-code="02" delivery-point-code="123456789123457" period="60"/&gt;</w:t>
            </w:r>
          </w:p>
          <w:p w14:paraId="49787827" w14:textId="77777777" w:rsidR="00F11A8B" w:rsidRPr="006F6DAC" w:rsidRDefault="00F11A8B" w:rsidP="00F11A8B">
            <w:pPr>
              <w:rPr>
                <w:rFonts w:ascii="Garamond" w:hAnsi="Garamond"/>
                <w:sz w:val="22"/>
                <w:szCs w:val="22"/>
                <w:highlight w:val="yellow"/>
                <w:lang w:val="en-US"/>
              </w:rPr>
            </w:pPr>
            <w:r w:rsidRPr="006F6DAC">
              <w:rPr>
                <w:rFonts w:ascii="Garamond" w:hAnsi="Garamond"/>
                <w:sz w:val="22"/>
                <w:szCs w:val="22"/>
                <w:highlight w:val="yellow"/>
                <w:lang w:val="en-US"/>
              </w:rPr>
              <w:tab/>
            </w:r>
            <w:r w:rsidRPr="006F6DAC">
              <w:rPr>
                <w:rFonts w:ascii="Garamond" w:hAnsi="Garamond"/>
                <w:sz w:val="22"/>
                <w:szCs w:val="22"/>
                <w:highlight w:val="yellow"/>
                <w:lang w:val="en-US"/>
              </w:rPr>
              <w:tab/>
              <w:t xml:space="preserve">  &lt;delivery-point-channel algorithm-version="101" channel-code="02" delivery-point-code="123456789123458" period="60"/&gt;</w:t>
            </w:r>
          </w:p>
          <w:p w14:paraId="2DA646F0" w14:textId="77777777" w:rsidR="00F11A8B" w:rsidRPr="006F6DAC" w:rsidRDefault="00F11A8B" w:rsidP="00F11A8B">
            <w:pPr>
              <w:rPr>
                <w:rFonts w:ascii="Garamond" w:hAnsi="Garamond"/>
                <w:sz w:val="22"/>
                <w:szCs w:val="22"/>
                <w:highlight w:val="yellow"/>
                <w:lang w:val="en-US"/>
              </w:rPr>
            </w:pPr>
            <w:r w:rsidRPr="006F6DAC">
              <w:rPr>
                <w:rFonts w:ascii="Garamond" w:hAnsi="Garamond"/>
                <w:sz w:val="22"/>
                <w:szCs w:val="22"/>
                <w:highlight w:val="yellow"/>
                <w:lang w:val="en-US"/>
              </w:rPr>
              <w:t xml:space="preserve">      &lt;/delivery-point-channels-list&gt;</w:t>
            </w:r>
          </w:p>
          <w:p w14:paraId="5EFC25B3" w14:textId="77777777" w:rsidR="00F11A8B" w:rsidRPr="006F6DAC" w:rsidRDefault="00F11A8B" w:rsidP="00F11A8B">
            <w:pPr>
              <w:rPr>
                <w:rFonts w:ascii="Garamond" w:hAnsi="Garamond"/>
                <w:sz w:val="22"/>
                <w:szCs w:val="22"/>
                <w:highlight w:val="yellow"/>
                <w:lang w:val="en-US"/>
              </w:rPr>
            </w:pPr>
            <w:r w:rsidRPr="006F6DAC">
              <w:rPr>
                <w:rFonts w:ascii="Garamond" w:hAnsi="Garamond"/>
                <w:sz w:val="22"/>
                <w:szCs w:val="22"/>
                <w:highlight w:val="yellow"/>
                <w:lang w:val="en-US"/>
              </w:rPr>
              <w:t xml:space="preserve">      &lt;peretok algorithm-version="101" from-code="P1234561" to-code="P1234562" name="</w:t>
            </w:r>
            <w:r w:rsidRPr="006F6DAC">
              <w:rPr>
                <w:rFonts w:ascii="Garamond" w:hAnsi="Garamond"/>
                <w:sz w:val="22"/>
                <w:szCs w:val="22"/>
                <w:highlight w:val="yellow"/>
              </w:rPr>
              <w:t>Наименование</w:t>
            </w:r>
            <w:r w:rsidRPr="006F6DAC">
              <w:rPr>
                <w:rFonts w:ascii="Garamond" w:hAnsi="Garamond"/>
                <w:sz w:val="22"/>
                <w:szCs w:val="22"/>
                <w:highlight w:val="yellow"/>
                <w:lang w:val="en-US"/>
              </w:rPr>
              <w:t xml:space="preserve"> </w:t>
            </w:r>
            <w:r w:rsidRPr="006F6DAC">
              <w:rPr>
                <w:rFonts w:ascii="Garamond" w:hAnsi="Garamond"/>
                <w:sz w:val="22"/>
                <w:szCs w:val="22"/>
                <w:highlight w:val="yellow"/>
              </w:rPr>
              <w:t>перетока</w:t>
            </w:r>
            <w:r w:rsidRPr="006F6DAC">
              <w:rPr>
                <w:rFonts w:ascii="Garamond" w:hAnsi="Garamond"/>
                <w:sz w:val="22"/>
                <w:szCs w:val="22"/>
                <w:highlight w:val="yellow"/>
                <w:lang w:val="en-US"/>
              </w:rPr>
              <w:t>"/&gt;</w:t>
            </w:r>
          </w:p>
          <w:p w14:paraId="0A3F2CEE" w14:textId="77777777" w:rsidR="00F11A8B" w:rsidRPr="006F6DAC" w:rsidRDefault="00F11A8B" w:rsidP="00F11A8B">
            <w:pPr>
              <w:rPr>
                <w:rFonts w:ascii="Garamond" w:hAnsi="Garamond"/>
                <w:sz w:val="22"/>
                <w:szCs w:val="22"/>
                <w:lang w:val="en-US"/>
              </w:rPr>
            </w:pPr>
            <w:r w:rsidRPr="006F6DAC">
              <w:rPr>
                <w:rFonts w:ascii="Garamond" w:hAnsi="Garamond"/>
                <w:sz w:val="22"/>
                <w:szCs w:val="22"/>
                <w:highlight w:val="yellow"/>
                <w:lang w:val="en-US"/>
              </w:rPr>
              <w:t xml:space="preserve">      &lt;generation algorithm-version="101" code="G1234567" name="</w:t>
            </w:r>
            <w:r w:rsidRPr="006F6DAC">
              <w:rPr>
                <w:rFonts w:ascii="Garamond" w:hAnsi="Garamond"/>
                <w:sz w:val="22"/>
                <w:szCs w:val="22"/>
                <w:highlight w:val="yellow"/>
              </w:rPr>
              <w:t>Наименование</w:t>
            </w:r>
            <w:r w:rsidRPr="006F6DAC">
              <w:rPr>
                <w:rFonts w:ascii="Garamond" w:hAnsi="Garamond"/>
                <w:sz w:val="22"/>
                <w:szCs w:val="22"/>
                <w:highlight w:val="yellow"/>
                <w:lang w:val="en-US"/>
              </w:rPr>
              <w:t xml:space="preserve"> </w:t>
            </w:r>
            <w:r w:rsidRPr="006F6DAC">
              <w:rPr>
                <w:rFonts w:ascii="Garamond" w:hAnsi="Garamond"/>
                <w:sz w:val="22"/>
                <w:szCs w:val="22"/>
                <w:highlight w:val="yellow"/>
              </w:rPr>
              <w:t>генерации</w:t>
            </w:r>
            <w:r w:rsidRPr="006F6DAC">
              <w:rPr>
                <w:rFonts w:ascii="Garamond" w:hAnsi="Garamond"/>
                <w:sz w:val="22"/>
                <w:szCs w:val="22"/>
                <w:highlight w:val="yellow"/>
                <w:lang w:val="en-US"/>
              </w:rPr>
              <w:t>"/&gt;</w:t>
            </w:r>
          </w:p>
          <w:p w14:paraId="34AB6554" w14:textId="77777777" w:rsidR="00F11A8B" w:rsidRPr="006F6DAC" w:rsidRDefault="00F11A8B" w:rsidP="00F11A8B">
            <w:pPr>
              <w:rPr>
                <w:rFonts w:ascii="Garamond" w:hAnsi="Garamond"/>
                <w:sz w:val="22"/>
                <w:szCs w:val="22"/>
              </w:rPr>
            </w:pPr>
            <w:r w:rsidRPr="006F6DAC">
              <w:rPr>
                <w:rFonts w:ascii="Garamond" w:hAnsi="Garamond"/>
                <w:sz w:val="22"/>
                <w:szCs w:val="22"/>
                <w:lang w:val="en-US"/>
              </w:rPr>
              <w:t xml:space="preserve">    </w:t>
            </w:r>
            <w:r w:rsidRPr="006F6DAC">
              <w:rPr>
                <w:rFonts w:ascii="Garamond" w:hAnsi="Garamond"/>
                <w:sz w:val="22"/>
                <w:szCs w:val="22"/>
              </w:rPr>
              <w:t>&lt;/area&gt;</w:t>
            </w:r>
          </w:p>
          <w:p w14:paraId="2E5B0A34" w14:textId="77777777" w:rsidR="00F11A8B" w:rsidRPr="006F6DAC" w:rsidRDefault="00F11A8B" w:rsidP="00F11A8B">
            <w:pPr>
              <w:rPr>
                <w:rFonts w:ascii="Garamond" w:hAnsi="Garamond"/>
                <w:sz w:val="22"/>
                <w:szCs w:val="22"/>
              </w:rPr>
            </w:pPr>
            <w:r w:rsidRPr="006F6DAC">
              <w:rPr>
                <w:rFonts w:ascii="Garamond" w:hAnsi="Garamond"/>
                <w:sz w:val="22"/>
                <w:szCs w:val="22"/>
              </w:rPr>
              <w:t xml:space="preserve">  &lt;/aiis&gt;</w:t>
            </w:r>
          </w:p>
          <w:p w14:paraId="75A339B0" w14:textId="77777777" w:rsidR="00F11A8B" w:rsidRPr="006F6DAC" w:rsidRDefault="00F11A8B" w:rsidP="00F11A8B">
            <w:pPr>
              <w:pStyle w:val="aff4"/>
              <w:spacing w:line="259" w:lineRule="auto"/>
              <w:jc w:val="both"/>
              <w:rPr>
                <w:rStyle w:val="afff5"/>
                <w:b w:val="0"/>
                <w:i w:val="0"/>
                <w:sz w:val="22"/>
                <w:szCs w:val="22"/>
              </w:rPr>
            </w:pPr>
            <w:r w:rsidRPr="006F6DAC">
              <w:rPr>
                <w:sz w:val="22"/>
                <w:szCs w:val="22"/>
              </w:rPr>
              <w:t>&lt;/message&gt;</w:t>
            </w:r>
          </w:p>
        </w:tc>
        <w:tc>
          <w:tcPr>
            <w:tcW w:w="7115" w:type="dxa"/>
          </w:tcPr>
          <w:p w14:paraId="11E91C1C" w14:textId="77777777" w:rsidR="00F11A8B" w:rsidRPr="006F6DAC" w:rsidRDefault="00F11A8B" w:rsidP="00F11A8B">
            <w:pPr>
              <w:widowControl w:val="0"/>
              <w:rPr>
                <w:rFonts w:ascii="Garamond" w:hAnsi="Garamond" w:cs="Courier New CYR"/>
                <w:b/>
                <w:sz w:val="22"/>
                <w:szCs w:val="22"/>
              </w:rPr>
            </w:pPr>
            <w:r w:rsidRPr="006F6DAC">
              <w:rPr>
                <w:rFonts w:ascii="Garamond" w:hAnsi="Garamond"/>
                <w:b/>
                <w:sz w:val="22"/>
                <w:szCs w:val="22"/>
                <w:highlight w:val="yellow"/>
              </w:rPr>
              <w:lastRenderedPageBreak/>
              <w:t>3.</w:t>
            </w:r>
            <w:r w:rsidRPr="006F6DAC">
              <w:rPr>
                <w:rFonts w:ascii="Garamond" w:hAnsi="Garamond"/>
                <w:b/>
                <w:sz w:val="22"/>
                <w:szCs w:val="22"/>
              </w:rPr>
              <w:t xml:space="preserve"> </w:t>
            </w:r>
            <w:r w:rsidRPr="006F6DAC">
              <w:rPr>
                <w:rFonts w:ascii="Garamond" w:hAnsi="Garamond" w:cs="Courier New CYR"/>
                <w:b/>
                <w:sz w:val="22"/>
                <w:szCs w:val="22"/>
              </w:rPr>
              <w:t xml:space="preserve">Пример электронного документа формата 80000 </w:t>
            </w:r>
            <w:r w:rsidRPr="006F6DAC">
              <w:rPr>
                <w:rFonts w:ascii="Garamond" w:hAnsi="Garamond" w:cs="Courier New CYR"/>
                <w:b/>
                <w:sz w:val="22"/>
                <w:szCs w:val="22"/>
                <w:highlight w:val="yellow"/>
              </w:rPr>
              <w:t>для сечения коммерческого учета (ГТП генерации)</w:t>
            </w:r>
          </w:p>
          <w:p w14:paraId="36E82BB9" w14:textId="77777777" w:rsidR="00F11A8B" w:rsidRPr="006F6DAC" w:rsidRDefault="00F11A8B" w:rsidP="00F11A8B">
            <w:pPr>
              <w:rPr>
                <w:rFonts w:ascii="Garamond" w:hAnsi="Garamond" w:cs="Courier New CYR"/>
                <w:sz w:val="22"/>
                <w:szCs w:val="22"/>
              </w:rPr>
            </w:pPr>
          </w:p>
          <w:p w14:paraId="03E231FA" w14:textId="77777777" w:rsidR="00F11A8B" w:rsidRPr="006F6DAC" w:rsidRDefault="00F11A8B" w:rsidP="00F11A8B">
            <w:pPr>
              <w:rPr>
                <w:rFonts w:ascii="Garamond" w:hAnsi="Garamond"/>
                <w:sz w:val="22"/>
                <w:szCs w:val="22"/>
                <w:lang w:val="en-US"/>
              </w:rPr>
            </w:pPr>
            <w:r w:rsidRPr="006F6DAC">
              <w:rPr>
                <w:rFonts w:ascii="Garamond" w:hAnsi="Garamond"/>
                <w:sz w:val="22"/>
                <w:szCs w:val="22"/>
                <w:lang w:val="en-US"/>
              </w:rPr>
              <w:t>&lt;?xml version="1.0" encoding="windows-1251" standalone="no"?&gt;</w:t>
            </w:r>
          </w:p>
          <w:p w14:paraId="17A3E82A" w14:textId="77777777" w:rsidR="00F11A8B" w:rsidRPr="006F6DAC" w:rsidRDefault="00F11A8B" w:rsidP="00F11A8B">
            <w:pPr>
              <w:rPr>
                <w:rFonts w:ascii="Garamond" w:hAnsi="Garamond"/>
                <w:sz w:val="22"/>
                <w:szCs w:val="22"/>
                <w:lang w:val="en-US"/>
              </w:rPr>
            </w:pPr>
            <w:r w:rsidRPr="006F6DAC">
              <w:rPr>
                <w:rFonts w:ascii="Garamond" w:hAnsi="Garamond"/>
                <w:sz w:val="22"/>
                <w:szCs w:val="22"/>
                <w:lang w:val="en-US"/>
              </w:rPr>
              <w:t>&lt;message class="80000" version="4" generationtime="20181024152034GMT+03"&gt;</w:t>
            </w:r>
          </w:p>
          <w:p w14:paraId="060E4A69" w14:textId="77777777" w:rsidR="00F11A8B" w:rsidRPr="006F6DAC" w:rsidRDefault="00F11A8B" w:rsidP="00F11A8B">
            <w:pPr>
              <w:rPr>
                <w:rFonts w:ascii="Garamond" w:hAnsi="Garamond"/>
                <w:sz w:val="22"/>
                <w:szCs w:val="22"/>
                <w:lang w:val="en-US"/>
              </w:rPr>
            </w:pPr>
            <w:r w:rsidRPr="006F6DAC">
              <w:rPr>
                <w:rFonts w:ascii="Garamond" w:hAnsi="Garamond"/>
                <w:sz w:val="22"/>
                <w:szCs w:val="22"/>
                <w:lang w:val="en-US"/>
              </w:rPr>
              <w:t xml:space="preserve">  &lt;dictionaries&gt;</w:t>
            </w:r>
          </w:p>
          <w:p w14:paraId="6D4945A1" w14:textId="77777777" w:rsidR="00F11A8B" w:rsidRPr="006F6DAC" w:rsidRDefault="00F11A8B" w:rsidP="00F11A8B">
            <w:pPr>
              <w:rPr>
                <w:rFonts w:ascii="Garamond" w:hAnsi="Garamond"/>
                <w:sz w:val="22"/>
                <w:szCs w:val="22"/>
                <w:lang w:val="en-US"/>
              </w:rPr>
            </w:pPr>
            <w:r w:rsidRPr="006F6DAC">
              <w:rPr>
                <w:rFonts w:ascii="Garamond" w:hAnsi="Garamond"/>
                <w:sz w:val="22"/>
                <w:szCs w:val="22"/>
                <w:lang w:val="en-US"/>
              </w:rPr>
              <w:t xml:space="preserve">    &lt;organization inn="1234567890" name="</w:t>
            </w:r>
            <w:r w:rsidRPr="006F6DAC">
              <w:rPr>
                <w:rFonts w:ascii="Garamond" w:hAnsi="Garamond"/>
                <w:sz w:val="22"/>
                <w:szCs w:val="22"/>
              </w:rPr>
              <w:t>Наименование</w:t>
            </w:r>
            <w:r w:rsidRPr="006F6DAC">
              <w:rPr>
                <w:rFonts w:ascii="Garamond" w:hAnsi="Garamond"/>
                <w:sz w:val="22"/>
                <w:szCs w:val="22"/>
                <w:lang w:val="en-US"/>
              </w:rPr>
              <w:t xml:space="preserve"> </w:t>
            </w:r>
            <w:r w:rsidRPr="006F6DAC">
              <w:rPr>
                <w:rFonts w:ascii="Garamond" w:hAnsi="Garamond"/>
                <w:sz w:val="22"/>
                <w:szCs w:val="22"/>
              </w:rPr>
              <w:t>организации</w:t>
            </w:r>
            <w:r w:rsidRPr="006F6DAC">
              <w:rPr>
                <w:rFonts w:ascii="Garamond" w:hAnsi="Garamond"/>
                <w:sz w:val="22"/>
                <w:szCs w:val="22"/>
                <w:lang w:val="en-US"/>
              </w:rPr>
              <w:t>" trader-code="ABCDEFGH"/&gt;</w:t>
            </w:r>
          </w:p>
          <w:p w14:paraId="2F012721" w14:textId="77777777" w:rsidR="00F11A8B" w:rsidRPr="006F6DAC" w:rsidRDefault="00F11A8B" w:rsidP="00F11A8B">
            <w:pPr>
              <w:rPr>
                <w:rFonts w:ascii="Garamond" w:hAnsi="Garamond"/>
                <w:sz w:val="22"/>
                <w:szCs w:val="22"/>
                <w:lang w:val="en-US"/>
              </w:rPr>
            </w:pPr>
            <w:r w:rsidRPr="006F6DAC">
              <w:rPr>
                <w:rFonts w:ascii="Garamond" w:hAnsi="Garamond"/>
                <w:sz w:val="22"/>
                <w:szCs w:val="22"/>
                <w:lang w:val="en-US"/>
              </w:rPr>
              <w:t xml:space="preserve">    &lt;power-objects&gt;</w:t>
            </w:r>
          </w:p>
          <w:p w14:paraId="5A46D75B" w14:textId="77777777" w:rsidR="00F11A8B" w:rsidRPr="006F6DAC" w:rsidRDefault="00F11A8B" w:rsidP="00F11A8B">
            <w:pPr>
              <w:rPr>
                <w:rFonts w:ascii="Garamond" w:hAnsi="Garamond"/>
                <w:sz w:val="22"/>
                <w:szCs w:val="22"/>
                <w:lang w:val="en-US"/>
              </w:rPr>
            </w:pPr>
            <w:r w:rsidRPr="006F6DAC">
              <w:rPr>
                <w:rFonts w:ascii="Garamond" w:hAnsi="Garamond"/>
                <w:sz w:val="22"/>
                <w:szCs w:val="22"/>
                <w:lang w:val="en-US"/>
              </w:rPr>
              <w:lastRenderedPageBreak/>
              <w:t xml:space="preserve">      &lt;power-object ats-code="123456789" is-power-center="true" name="</w:t>
            </w:r>
            <w:r w:rsidRPr="006F6DAC">
              <w:rPr>
                <w:rFonts w:ascii="Garamond" w:hAnsi="Garamond"/>
                <w:sz w:val="22"/>
                <w:szCs w:val="22"/>
              </w:rPr>
              <w:t>Наименование</w:t>
            </w:r>
            <w:r w:rsidRPr="006F6DAC">
              <w:rPr>
                <w:rFonts w:ascii="Garamond" w:hAnsi="Garamond"/>
                <w:sz w:val="22"/>
                <w:szCs w:val="22"/>
                <w:lang w:val="en-US"/>
              </w:rPr>
              <w:t xml:space="preserve"> </w:t>
            </w:r>
            <w:r w:rsidRPr="006F6DAC">
              <w:rPr>
                <w:rFonts w:ascii="Garamond" w:hAnsi="Garamond"/>
                <w:sz w:val="22"/>
                <w:szCs w:val="22"/>
              </w:rPr>
              <w:t>объекта</w:t>
            </w:r>
            <w:r w:rsidRPr="006F6DAC">
              <w:rPr>
                <w:rFonts w:ascii="Garamond" w:hAnsi="Garamond"/>
                <w:sz w:val="22"/>
                <w:szCs w:val="22"/>
                <w:lang w:val="en-US"/>
              </w:rPr>
              <w:t xml:space="preserve"> 1" type="2"&gt;</w:t>
            </w:r>
          </w:p>
          <w:p w14:paraId="6AC0AB01" w14:textId="77777777" w:rsidR="00F11A8B" w:rsidRPr="006F6DAC" w:rsidRDefault="00F11A8B" w:rsidP="00F11A8B">
            <w:pPr>
              <w:rPr>
                <w:rFonts w:ascii="Garamond" w:hAnsi="Garamond"/>
                <w:sz w:val="22"/>
                <w:szCs w:val="22"/>
                <w:lang w:val="en-US"/>
              </w:rPr>
            </w:pPr>
            <w:r w:rsidRPr="006F6DAC">
              <w:rPr>
                <w:rFonts w:ascii="Garamond" w:hAnsi="Garamond"/>
                <w:sz w:val="22"/>
                <w:szCs w:val="22"/>
                <w:lang w:val="en-US"/>
              </w:rPr>
              <w:tab/>
            </w:r>
            <w:r w:rsidRPr="006F6DAC">
              <w:rPr>
                <w:rFonts w:ascii="Garamond" w:hAnsi="Garamond"/>
                <w:sz w:val="22"/>
                <w:szCs w:val="22"/>
                <w:lang w:val="en-US"/>
              </w:rPr>
              <w:tab/>
              <w:t xml:space="preserve">  &lt;voltage-levels&gt;</w:t>
            </w:r>
          </w:p>
          <w:p w14:paraId="7C6D233F" w14:textId="77777777" w:rsidR="00F11A8B" w:rsidRPr="006F6DAC" w:rsidRDefault="00F11A8B" w:rsidP="00F11A8B">
            <w:pPr>
              <w:rPr>
                <w:rFonts w:ascii="Garamond" w:hAnsi="Garamond"/>
                <w:sz w:val="22"/>
                <w:szCs w:val="22"/>
                <w:lang w:val="en-US"/>
              </w:rPr>
            </w:pPr>
            <w:r w:rsidRPr="006F6DAC">
              <w:rPr>
                <w:rFonts w:ascii="Garamond" w:hAnsi="Garamond"/>
                <w:sz w:val="22"/>
                <w:szCs w:val="22"/>
                <w:lang w:val="en-US"/>
              </w:rPr>
              <w:tab/>
            </w:r>
            <w:r w:rsidRPr="006F6DAC">
              <w:rPr>
                <w:rFonts w:ascii="Garamond" w:hAnsi="Garamond"/>
                <w:sz w:val="22"/>
                <w:szCs w:val="22"/>
                <w:lang w:val="en-US"/>
              </w:rPr>
              <w:tab/>
            </w:r>
            <w:r w:rsidRPr="006F6DAC">
              <w:rPr>
                <w:rFonts w:ascii="Garamond" w:hAnsi="Garamond"/>
                <w:sz w:val="22"/>
                <w:szCs w:val="22"/>
                <w:lang w:val="en-US"/>
              </w:rPr>
              <w:tab/>
              <w:t xml:space="preserve">  &lt;voltage-level voltage="220000"/&gt;</w:t>
            </w:r>
          </w:p>
          <w:p w14:paraId="01EE1895" w14:textId="77777777" w:rsidR="00F11A8B" w:rsidRPr="006F6DAC" w:rsidRDefault="00F11A8B" w:rsidP="00F11A8B">
            <w:pPr>
              <w:rPr>
                <w:rFonts w:ascii="Garamond" w:hAnsi="Garamond"/>
                <w:sz w:val="22"/>
                <w:szCs w:val="22"/>
                <w:lang w:val="en-US"/>
              </w:rPr>
            </w:pPr>
            <w:r w:rsidRPr="006F6DAC">
              <w:rPr>
                <w:rFonts w:ascii="Garamond" w:hAnsi="Garamond"/>
                <w:sz w:val="22"/>
                <w:szCs w:val="22"/>
                <w:lang w:val="en-US"/>
              </w:rPr>
              <w:tab/>
            </w:r>
            <w:r w:rsidRPr="006F6DAC">
              <w:rPr>
                <w:rFonts w:ascii="Garamond" w:hAnsi="Garamond"/>
                <w:sz w:val="22"/>
                <w:szCs w:val="22"/>
                <w:lang w:val="en-US"/>
              </w:rPr>
              <w:tab/>
              <w:t xml:space="preserve">  &lt;/voltage-levels&gt;</w:t>
            </w:r>
          </w:p>
          <w:p w14:paraId="2631C6CD" w14:textId="77777777" w:rsidR="00F11A8B" w:rsidRPr="006F6DAC" w:rsidRDefault="00F11A8B" w:rsidP="00F11A8B">
            <w:pPr>
              <w:rPr>
                <w:rFonts w:ascii="Garamond" w:hAnsi="Garamond"/>
                <w:sz w:val="22"/>
                <w:szCs w:val="22"/>
                <w:lang w:val="en-US"/>
              </w:rPr>
            </w:pPr>
            <w:r w:rsidRPr="006F6DAC">
              <w:rPr>
                <w:rFonts w:ascii="Garamond" w:hAnsi="Garamond"/>
                <w:sz w:val="22"/>
                <w:szCs w:val="22"/>
                <w:lang w:val="en-US"/>
              </w:rPr>
              <w:t xml:space="preserve">      &lt;/power-object&gt;</w:t>
            </w:r>
          </w:p>
          <w:p w14:paraId="5EA46291" w14:textId="77777777" w:rsidR="00F11A8B" w:rsidRPr="006F6DAC" w:rsidRDefault="00F11A8B" w:rsidP="00F11A8B">
            <w:pPr>
              <w:rPr>
                <w:rFonts w:ascii="Garamond" w:hAnsi="Garamond"/>
                <w:sz w:val="22"/>
                <w:szCs w:val="22"/>
                <w:lang w:val="en-US"/>
              </w:rPr>
            </w:pPr>
            <w:r w:rsidRPr="006F6DAC">
              <w:rPr>
                <w:rFonts w:ascii="Garamond" w:hAnsi="Garamond"/>
                <w:sz w:val="22"/>
                <w:szCs w:val="22"/>
                <w:lang w:val="en-US"/>
              </w:rPr>
              <w:t xml:space="preserve">      &lt;power-object ats-code="123456780" is-power-center="true" name="</w:t>
            </w:r>
            <w:r w:rsidRPr="006F6DAC">
              <w:rPr>
                <w:rFonts w:ascii="Garamond" w:hAnsi="Garamond"/>
                <w:sz w:val="22"/>
                <w:szCs w:val="22"/>
              </w:rPr>
              <w:t>Наименование</w:t>
            </w:r>
            <w:r w:rsidRPr="006F6DAC">
              <w:rPr>
                <w:rFonts w:ascii="Garamond" w:hAnsi="Garamond"/>
                <w:sz w:val="22"/>
                <w:szCs w:val="22"/>
                <w:lang w:val="en-US"/>
              </w:rPr>
              <w:t xml:space="preserve"> </w:t>
            </w:r>
            <w:r w:rsidRPr="006F6DAC">
              <w:rPr>
                <w:rFonts w:ascii="Garamond" w:hAnsi="Garamond"/>
                <w:sz w:val="22"/>
                <w:szCs w:val="22"/>
              </w:rPr>
              <w:t>объекта</w:t>
            </w:r>
            <w:r w:rsidRPr="006F6DAC">
              <w:rPr>
                <w:rFonts w:ascii="Garamond" w:hAnsi="Garamond"/>
                <w:sz w:val="22"/>
                <w:szCs w:val="22"/>
                <w:lang w:val="en-US"/>
              </w:rPr>
              <w:t xml:space="preserve"> 2" type="2"&gt;</w:t>
            </w:r>
          </w:p>
          <w:p w14:paraId="63663914" w14:textId="77777777" w:rsidR="00F11A8B" w:rsidRPr="006F6DAC" w:rsidRDefault="00F11A8B" w:rsidP="00F11A8B">
            <w:pPr>
              <w:rPr>
                <w:rFonts w:ascii="Garamond" w:hAnsi="Garamond"/>
                <w:sz w:val="22"/>
                <w:szCs w:val="22"/>
                <w:lang w:val="en-US"/>
              </w:rPr>
            </w:pPr>
            <w:r w:rsidRPr="006F6DAC">
              <w:rPr>
                <w:rFonts w:ascii="Garamond" w:hAnsi="Garamond"/>
                <w:sz w:val="22"/>
                <w:szCs w:val="22"/>
                <w:lang w:val="en-US"/>
              </w:rPr>
              <w:tab/>
            </w:r>
            <w:r w:rsidRPr="006F6DAC">
              <w:rPr>
                <w:rFonts w:ascii="Garamond" w:hAnsi="Garamond"/>
                <w:sz w:val="22"/>
                <w:szCs w:val="22"/>
                <w:lang w:val="en-US"/>
              </w:rPr>
              <w:tab/>
              <w:t xml:space="preserve">  &lt;voltage-levels&gt;</w:t>
            </w:r>
          </w:p>
          <w:p w14:paraId="63A89D63" w14:textId="77777777" w:rsidR="00F11A8B" w:rsidRPr="006F6DAC" w:rsidRDefault="00F11A8B" w:rsidP="00F11A8B">
            <w:pPr>
              <w:rPr>
                <w:rFonts w:ascii="Garamond" w:hAnsi="Garamond"/>
                <w:sz w:val="22"/>
                <w:szCs w:val="22"/>
                <w:lang w:val="en-US"/>
              </w:rPr>
            </w:pPr>
            <w:r w:rsidRPr="006F6DAC">
              <w:rPr>
                <w:rFonts w:ascii="Garamond" w:hAnsi="Garamond"/>
                <w:sz w:val="22"/>
                <w:szCs w:val="22"/>
                <w:lang w:val="en-US"/>
              </w:rPr>
              <w:tab/>
            </w:r>
            <w:r w:rsidRPr="006F6DAC">
              <w:rPr>
                <w:rFonts w:ascii="Garamond" w:hAnsi="Garamond"/>
                <w:sz w:val="22"/>
                <w:szCs w:val="22"/>
                <w:lang w:val="en-US"/>
              </w:rPr>
              <w:tab/>
            </w:r>
            <w:r w:rsidRPr="006F6DAC">
              <w:rPr>
                <w:rFonts w:ascii="Garamond" w:hAnsi="Garamond"/>
                <w:sz w:val="22"/>
                <w:szCs w:val="22"/>
                <w:lang w:val="en-US"/>
              </w:rPr>
              <w:tab/>
              <w:t xml:space="preserve">  &lt;voltage-level voltage="220000"/&gt;</w:t>
            </w:r>
          </w:p>
          <w:p w14:paraId="56AAD919" w14:textId="77777777" w:rsidR="00F11A8B" w:rsidRPr="006F6DAC" w:rsidRDefault="00F11A8B" w:rsidP="00F11A8B">
            <w:pPr>
              <w:rPr>
                <w:rFonts w:ascii="Garamond" w:hAnsi="Garamond"/>
                <w:sz w:val="22"/>
                <w:szCs w:val="22"/>
                <w:lang w:val="en-US"/>
              </w:rPr>
            </w:pPr>
            <w:r w:rsidRPr="006F6DAC">
              <w:rPr>
                <w:rFonts w:ascii="Garamond" w:hAnsi="Garamond"/>
                <w:sz w:val="22"/>
                <w:szCs w:val="22"/>
                <w:lang w:val="en-US"/>
              </w:rPr>
              <w:tab/>
            </w:r>
            <w:r w:rsidRPr="006F6DAC">
              <w:rPr>
                <w:rFonts w:ascii="Garamond" w:hAnsi="Garamond"/>
                <w:sz w:val="22"/>
                <w:szCs w:val="22"/>
                <w:lang w:val="en-US"/>
              </w:rPr>
              <w:tab/>
              <w:t xml:space="preserve">  &lt;/voltage-levels&gt;</w:t>
            </w:r>
          </w:p>
          <w:p w14:paraId="735770C4" w14:textId="77777777" w:rsidR="00F11A8B" w:rsidRPr="006F6DAC" w:rsidRDefault="00F11A8B" w:rsidP="00F11A8B">
            <w:pPr>
              <w:rPr>
                <w:rFonts w:ascii="Garamond" w:hAnsi="Garamond"/>
                <w:sz w:val="22"/>
                <w:szCs w:val="22"/>
                <w:lang w:val="en-US"/>
              </w:rPr>
            </w:pPr>
            <w:r w:rsidRPr="006F6DAC">
              <w:rPr>
                <w:rFonts w:ascii="Garamond" w:hAnsi="Garamond"/>
                <w:sz w:val="22"/>
                <w:szCs w:val="22"/>
                <w:lang w:val="en-US"/>
              </w:rPr>
              <w:t xml:space="preserve">      &lt;/power-object&gt;</w:t>
            </w:r>
          </w:p>
          <w:p w14:paraId="7C8E037D" w14:textId="77777777" w:rsidR="00F11A8B" w:rsidRPr="006F6DAC" w:rsidRDefault="00F11A8B" w:rsidP="00F11A8B">
            <w:pPr>
              <w:rPr>
                <w:rFonts w:ascii="Garamond" w:hAnsi="Garamond"/>
                <w:sz w:val="22"/>
                <w:szCs w:val="22"/>
                <w:lang w:val="en-US"/>
              </w:rPr>
            </w:pPr>
            <w:r w:rsidRPr="006F6DAC">
              <w:rPr>
                <w:rFonts w:ascii="Garamond" w:hAnsi="Garamond"/>
                <w:sz w:val="22"/>
                <w:szCs w:val="22"/>
                <w:lang w:val="en-US"/>
              </w:rPr>
              <w:t xml:space="preserve">      &lt;power-object ats-code="123456781" is-power-center="false" name="</w:t>
            </w:r>
            <w:r w:rsidRPr="006F6DAC">
              <w:rPr>
                <w:rFonts w:ascii="Garamond" w:hAnsi="Garamond"/>
                <w:sz w:val="22"/>
                <w:szCs w:val="22"/>
              </w:rPr>
              <w:t>Наименование</w:t>
            </w:r>
            <w:r w:rsidRPr="006F6DAC">
              <w:rPr>
                <w:rFonts w:ascii="Garamond" w:hAnsi="Garamond"/>
                <w:sz w:val="22"/>
                <w:szCs w:val="22"/>
                <w:lang w:val="en-US"/>
              </w:rPr>
              <w:t xml:space="preserve"> </w:t>
            </w:r>
            <w:r w:rsidRPr="006F6DAC">
              <w:rPr>
                <w:rFonts w:ascii="Garamond" w:hAnsi="Garamond"/>
                <w:sz w:val="22"/>
                <w:szCs w:val="22"/>
              </w:rPr>
              <w:t>объекта</w:t>
            </w:r>
            <w:r w:rsidRPr="006F6DAC">
              <w:rPr>
                <w:rFonts w:ascii="Garamond" w:hAnsi="Garamond"/>
                <w:sz w:val="22"/>
                <w:szCs w:val="22"/>
                <w:lang w:val="en-US"/>
              </w:rPr>
              <w:t xml:space="preserve"> 3" type="3"&gt;</w:t>
            </w:r>
          </w:p>
          <w:p w14:paraId="6F28CF03" w14:textId="77777777" w:rsidR="00F11A8B" w:rsidRPr="006F6DAC" w:rsidRDefault="00F11A8B" w:rsidP="00F11A8B">
            <w:pPr>
              <w:rPr>
                <w:rFonts w:ascii="Garamond" w:hAnsi="Garamond"/>
                <w:sz w:val="22"/>
                <w:szCs w:val="22"/>
                <w:lang w:val="en-US"/>
              </w:rPr>
            </w:pPr>
            <w:r w:rsidRPr="006F6DAC">
              <w:rPr>
                <w:rFonts w:ascii="Garamond" w:hAnsi="Garamond"/>
                <w:sz w:val="22"/>
                <w:szCs w:val="22"/>
                <w:lang w:val="en-US"/>
              </w:rPr>
              <w:tab/>
            </w:r>
            <w:r w:rsidRPr="006F6DAC">
              <w:rPr>
                <w:rFonts w:ascii="Garamond" w:hAnsi="Garamond"/>
                <w:sz w:val="22"/>
                <w:szCs w:val="22"/>
                <w:lang w:val="en-US"/>
              </w:rPr>
              <w:tab/>
              <w:t xml:space="preserve">  &lt;voltage-levels&gt;</w:t>
            </w:r>
          </w:p>
          <w:p w14:paraId="0B9AA8FE" w14:textId="77777777" w:rsidR="00F11A8B" w:rsidRPr="006F6DAC" w:rsidRDefault="00F11A8B" w:rsidP="00F11A8B">
            <w:pPr>
              <w:rPr>
                <w:rFonts w:ascii="Garamond" w:hAnsi="Garamond"/>
                <w:sz w:val="22"/>
                <w:szCs w:val="22"/>
                <w:lang w:val="en-US"/>
              </w:rPr>
            </w:pPr>
            <w:r w:rsidRPr="006F6DAC">
              <w:rPr>
                <w:rFonts w:ascii="Garamond" w:hAnsi="Garamond"/>
                <w:sz w:val="22"/>
                <w:szCs w:val="22"/>
                <w:lang w:val="en-US"/>
              </w:rPr>
              <w:tab/>
            </w:r>
            <w:r w:rsidRPr="006F6DAC">
              <w:rPr>
                <w:rFonts w:ascii="Garamond" w:hAnsi="Garamond"/>
                <w:sz w:val="22"/>
                <w:szCs w:val="22"/>
                <w:lang w:val="en-US"/>
              </w:rPr>
              <w:tab/>
            </w:r>
            <w:r w:rsidRPr="006F6DAC">
              <w:rPr>
                <w:rFonts w:ascii="Garamond" w:hAnsi="Garamond"/>
                <w:sz w:val="22"/>
                <w:szCs w:val="22"/>
                <w:lang w:val="en-US"/>
              </w:rPr>
              <w:tab/>
              <w:t xml:space="preserve">  &lt;voltage-level voltage="10000"/&gt;</w:t>
            </w:r>
          </w:p>
          <w:p w14:paraId="4751D856" w14:textId="77777777" w:rsidR="00F11A8B" w:rsidRPr="006F6DAC" w:rsidRDefault="00F11A8B" w:rsidP="00F11A8B">
            <w:pPr>
              <w:rPr>
                <w:rFonts w:ascii="Garamond" w:hAnsi="Garamond"/>
                <w:sz w:val="22"/>
                <w:szCs w:val="22"/>
                <w:lang w:val="en-US"/>
              </w:rPr>
            </w:pPr>
            <w:r w:rsidRPr="006F6DAC">
              <w:rPr>
                <w:rFonts w:ascii="Garamond" w:hAnsi="Garamond"/>
                <w:sz w:val="22"/>
                <w:szCs w:val="22"/>
                <w:lang w:val="en-US"/>
              </w:rPr>
              <w:tab/>
            </w:r>
            <w:r w:rsidRPr="006F6DAC">
              <w:rPr>
                <w:rFonts w:ascii="Garamond" w:hAnsi="Garamond"/>
                <w:sz w:val="22"/>
                <w:szCs w:val="22"/>
                <w:lang w:val="en-US"/>
              </w:rPr>
              <w:tab/>
              <w:t xml:space="preserve">  &lt;/voltage-levels&gt;</w:t>
            </w:r>
          </w:p>
          <w:p w14:paraId="29E540B2" w14:textId="77777777" w:rsidR="00F11A8B" w:rsidRPr="006F6DAC" w:rsidRDefault="00F11A8B" w:rsidP="00F11A8B">
            <w:pPr>
              <w:rPr>
                <w:rFonts w:ascii="Garamond" w:hAnsi="Garamond"/>
                <w:sz w:val="22"/>
                <w:szCs w:val="22"/>
                <w:lang w:val="en-US"/>
              </w:rPr>
            </w:pPr>
            <w:r w:rsidRPr="006F6DAC">
              <w:rPr>
                <w:rFonts w:ascii="Garamond" w:hAnsi="Garamond"/>
                <w:sz w:val="22"/>
                <w:szCs w:val="22"/>
                <w:lang w:val="en-US"/>
              </w:rPr>
              <w:t xml:space="preserve">      &lt;/power-object&gt;</w:t>
            </w:r>
          </w:p>
          <w:p w14:paraId="5AEFC441" w14:textId="77777777" w:rsidR="00F11A8B" w:rsidRPr="006F6DAC" w:rsidRDefault="00F11A8B" w:rsidP="00F11A8B">
            <w:pPr>
              <w:rPr>
                <w:rFonts w:ascii="Garamond" w:hAnsi="Garamond"/>
                <w:sz w:val="22"/>
                <w:szCs w:val="22"/>
                <w:lang w:val="en-US"/>
              </w:rPr>
            </w:pPr>
            <w:r w:rsidRPr="006F6DAC">
              <w:rPr>
                <w:rFonts w:ascii="Garamond" w:hAnsi="Garamond"/>
                <w:sz w:val="22"/>
                <w:szCs w:val="22"/>
                <w:lang w:val="en-US"/>
              </w:rPr>
              <w:t xml:space="preserve">    &lt;/power-objects&gt;</w:t>
            </w:r>
          </w:p>
          <w:p w14:paraId="3B48D86A" w14:textId="77777777" w:rsidR="00F11A8B" w:rsidRPr="006F6DAC" w:rsidRDefault="00F11A8B" w:rsidP="00F11A8B">
            <w:pPr>
              <w:rPr>
                <w:rFonts w:ascii="Garamond" w:hAnsi="Garamond"/>
                <w:sz w:val="22"/>
                <w:szCs w:val="22"/>
                <w:lang w:val="en-US"/>
              </w:rPr>
            </w:pPr>
            <w:r w:rsidRPr="006F6DAC">
              <w:rPr>
                <w:rFonts w:ascii="Garamond" w:hAnsi="Garamond"/>
                <w:sz w:val="22"/>
                <w:szCs w:val="22"/>
                <w:lang w:val="en-US"/>
              </w:rPr>
              <w:t xml:space="preserve">    &lt;delivery-points&gt;</w:t>
            </w:r>
          </w:p>
          <w:p w14:paraId="74A33C70" w14:textId="77777777" w:rsidR="00F11A8B" w:rsidRPr="006F6DAC" w:rsidRDefault="00F11A8B" w:rsidP="00F11A8B">
            <w:pPr>
              <w:rPr>
                <w:rFonts w:ascii="Garamond" w:hAnsi="Garamond"/>
                <w:sz w:val="22"/>
                <w:szCs w:val="22"/>
                <w:lang w:val="en-US"/>
              </w:rPr>
            </w:pPr>
            <w:r w:rsidRPr="006F6DAC">
              <w:rPr>
                <w:rFonts w:ascii="Garamond" w:hAnsi="Garamond"/>
                <w:sz w:val="22"/>
                <w:szCs w:val="22"/>
                <w:lang w:val="en-US"/>
              </w:rPr>
              <w:t xml:space="preserve">      &lt;delivery-point ats-code="123456789123456" is-group-delivery-point="true" point-voltage="10000"&gt;</w:t>
            </w:r>
          </w:p>
          <w:p w14:paraId="35527E0A" w14:textId="77777777" w:rsidR="00F11A8B" w:rsidRPr="006F6DAC" w:rsidRDefault="00F11A8B" w:rsidP="00F11A8B">
            <w:pPr>
              <w:rPr>
                <w:rFonts w:ascii="Garamond" w:hAnsi="Garamond"/>
                <w:sz w:val="22"/>
                <w:szCs w:val="22"/>
                <w:lang w:val="en-US"/>
              </w:rPr>
            </w:pPr>
            <w:r w:rsidRPr="006F6DAC">
              <w:rPr>
                <w:rFonts w:ascii="Garamond" w:hAnsi="Garamond"/>
                <w:sz w:val="22"/>
                <w:szCs w:val="22"/>
                <w:lang w:val="en-US"/>
              </w:rPr>
              <w:t xml:space="preserve">        &lt;name connection-name="</w:t>
            </w:r>
            <w:r w:rsidRPr="006F6DAC">
              <w:rPr>
                <w:rFonts w:ascii="Garamond" w:hAnsi="Garamond"/>
                <w:sz w:val="22"/>
                <w:szCs w:val="22"/>
              </w:rPr>
              <w:t>ф</w:t>
            </w:r>
            <w:r w:rsidRPr="006F6DAC">
              <w:rPr>
                <w:rFonts w:ascii="Garamond" w:hAnsi="Garamond"/>
                <w:sz w:val="22"/>
                <w:szCs w:val="22"/>
                <w:lang w:val="en-US"/>
              </w:rPr>
              <w:t>. 97/12" location-description="</w:t>
            </w:r>
            <w:r w:rsidRPr="006F6DAC">
              <w:rPr>
                <w:rFonts w:ascii="Garamond" w:hAnsi="Garamond"/>
                <w:sz w:val="22"/>
                <w:szCs w:val="22"/>
              </w:rPr>
              <w:t>РУ</w:t>
            </w:r>
            <w:r w:rsidRPr="006F6DAC">
              <w:rPr>
                <w:rFonts w:ascii="Garamond" w:hAnsi="Garamond"/>
                <w:sz w:val="22"/>
                <w:szCs w:val="22"/>
                <w:lang w:val="en-US"/>
              </w:rPr>
              <w:t xml:space="preserve">-10 </w:t>
            </w:r>
            <w:r w:rsidRPr="006F6DAC">
              <w:rPr>
                <w:rFonts w:ascii="Garamond" w:hAnsi="Garamond"/>
                <w:sz w:val="22"/>
                <w:szCs w:val="22"/>
              </w:rPr>
              <w:t>кВ</w:t>
            </w:r>
            <w:r w:rsidRPr="006F6DAC">
              <w:rPr>
                <w:rFonts w:ascii="Garamond" w:hAnsi="Garamond"/>
                <w:sz w:val="22"/>
                <w:szCs w:val="22"/>
                <w:lang w:val="en-US"/>
              </w:rPr>
              <w:t>, 2</w:t>
            </w:r>
            <w:r w:rsidRPr="006F6DAC">
              <w:rPr>
                <w:rFonts w:ascii="Garamond" w:hAnsi="Garamond"/>
                <w:sz w:val="22"/>
                <w:szCs w:val="22"/>
              </w:rPr>
              <w:t>сек</w:t>
            </w:r>
            <w:r w:rsidRPr="006F6DAC">
              <w:rPr>
                <w:rFonts w:ascii="Garamond" w:hAnsi="Garamond"/>
                <w:sz w:val="22"/>
                <w:szCs w:val="22"/>
                <w:lang w:val="en-US"/>
              </w:rPr>
              <w:t xml:space="preserve">., </w:t>
            </w:r>
            <w:r w:rsidRPr="006F6DAC">
              <w:rPr>
                <w:rFonts w:ascii="Garamond" w:hAnsi="Garamond"/>
                <w:sz w:val="22"/>
                <w:szCs w:val="22"/>
              </w:rPr>
              <w:t>яч</w:t>
            </w:r>
            <w:r w:rsidRPr="006F6DAC">
              <w:rPr>
                <w:rFonts w:ascii="Garamond" w:hAnsi="Garamond"/>
                <w:sz w:val="22"/>
                <w:szCs w:val="22"/>
                <w:lang w:val="en-US"/>
              </w:rPr>
              <w:t>. №12" power-object-name="</w:t>
            </w:r>
            <w:r w:rsidRPr="006F6DAC">
              <w:rPr>
                <w:rFonts w:ascii="Garamond" w:hAnsi="Garamond"/>
                <w:sz w:val="22"/>
                <w:szCs w:val="22"/>
              </w:rPr>
              <w:t>Наименование</w:t>
            </w:r>
            <w:r w:rsidRPr="006F6DAC">
              <w:rPr>
                <w:rFonts w:ascii="Garamond" w:hAnsi="Garamond"/>
                <w:sz w:val="22"/>
                <w:szCs w:val="22"/>
                <w:lang w:val="en-US"/>
              </w:rPr>
              <w:t xml:space="preserve"> </w:t>
            </w:r>
            <w:r w:rsidRPr="006F6DAC">
              <w:rPr>
                <w:rFonts w:ascii="Garamond" w:hAnsi="Garamond"/>
                <w:sz w:val="22"/>
                <w:szCs w:val="22"/>
              </w:rPr>
              <w:t>питающего</w:t>
            </w:r>
            <w:r w:rsidRPr="006F6DAC">
              <w:rPr>
                <w:rFonts w:ascii="Garamond" w:hAnsi="Garamond"/>
                <w:sz w:val="22"/>
                <w:szCs w:val="22"/>
                <w:lang w:val="en-US"/>
              </w:rPr>
              <w:t xml:space="preserve"> </w:t>
            </w:r>
            <w:r w:rsidRPr="006F6DAC">
              <w:rPr>
                <w:rFonts w:ascii="Garamond" w:hAnsi="Garamond"/>
                <w:sz w:val="22"/>
                <w:szCs w:val="22"/>
              </w:rPr>
              <w:t>центра</w:t>
            </w:r>
            <w:r w:rsidRPr="006F6DAC">
              <w:rPr>
                <w:rFonts w:ascii="Garamond" w:hAnsi="Garamond"/>
                <w:sz w:val="22"/>
                <w:szCs w:val="22"/>
                <w:lang w:val="en-US"/>
              </w:rPr>
              <w:t>"/&gt;</w:t>
            </w:r>
          </w:p>
          <w:p w14:paraId="38BA0818" w14:textId="77777777" w:rsidR="00F11A8B" w:rsidRPr="006F6DAC" w:rsidRDefault="00F11A8B" w:rsidP="00F11A8B">
            <w:pPr>
              <w:rPr>
                <w:rFonts w:ascii="Garamond" w:hAnsi="Garamond"/>
                <w:sz w:val="22"/>
                <w:szCs w:val="22"/>
                <w:lang w:val="en-US"/>
              </w:rPr>
            </w:pPr>
            <w:r w:rsidRPr="006F6DAC">
              <w:rPr>
                <w:rFonts w:ascii="Garamond" w:hAnsi="Garamond"/>
                <w:sz w:val="22"/>
                <w:szCs w:val="22"/>
                <w:lang w:val="en-US"/>
              </w:rPr>
              <w:t xml:space="preserve">      &lt;/delivery-point&gt;</w:t>
            </w:r>
          </w:p>
          <w:p w14:paraId="53D55EFA" w14:textId="77777777" w:rsidR="00F11A8B" w:rsidRPr="006F6DAC" w:rsidRDefault="00F11A8B" w:rsidP="00F11A8B">
            <w:pPr>
              <w:rPr>
                <w:rFonts w:ascii="Garamond" w:hAnsi="Garamond"/>
                <w:sz w:val="22"/>
                <w:szCs w:val="22"/>
                <w:lang w:val="en-US"/>
              </w:rPr>
            </w:pPr>
            <w:r w:rsidRPr="006F6DAC">
              <w:rPr>
                <w:rFonts w:ascii="Garamond" w:hAnsi="Garamond"/>
                <w:sz w:val="22"/>
                <w:szCs w:val="22"/>
                <w:lang w:val="en-US"/>
              </w:rPr>
              <w:t xml:space="preserve">      &lt;delivery-point ats-code="123456789123457" is-group-delivery-point="false" point-voltage="10000"&gt;</w:t>
            </w:r>
          </w:p>
          <w:p w14:paraId="3BA989FE" w14:textId="77777777" w:rsidR="00F11A8B" w:rsidRPr="006F6DAC" w:rsidRDefault="00F11A8B" w:rsidP="00F11A8B">
            <w:pPr>
              <w:rPr>
                <w:rFonts w:ascii="Garamond" w:hAnsi="Garamond"/>
                <w:sz w:val="22"/>
                <w:szCs w:val="22"/>
                <w:lang w:val="en-US"/>
              </w:rPr>
            </w:pPr>
            <w:r w:rsidRPr="006F6DAC">
              <w:rPr>
                <w:rFonts w:ascii="Garamond" w:hAnsi="Garamond"/>
                <w:sz w:val="22"/>
                <w:szCs w:val="22"/>
                <w:lang w:val="en-US"/>
              </w:rPr>
              <w:t xml:space="preserve">        &lt;name connection-name="</w:t>
            </w:r>
            <w:r w:rsidRPr="006F6DAC">
              <w:rPr>
                <w:rFonts w:ascii="Garamond" w:hAnsi="Garamond"/>
                <w:sz w:val="22"/>
                <w:szCs w:val="22"/>
              </w:rPr>
              <w:t>ф</w:t>
            </w:r>
            <w:r w:rsidRPr="006F6DAC">
              <w:rPr>
                <w:rFonts w:ascii="Garamond" w:hAnsi="Garamond"/>
                <w:sz w:val="22"/>
                <w:szCs w:val="22"/>
                <w:lang w:val="en-US"/>
              </w:rPr>
              <w:t>. 20/27" location-description="</w:t>
            </w:r>
            <w:r w:rsidRPr="006F6DAC">
              <w:rPr>
                <w:rFonts w:ascii="Garamond" w:hAnsi="Garamond"/>
                <w:sz w:val="22"/>
                <w:szCs w:val="22"/>
              </w:rPr>
              <w:t>РУ</w:t>
            </w:r>
            <w:r w:rsidRPr="006F6DAC">
              <w:rPr>
                <w:rFonts w:ascii="Garamond" w:hAnsi="Garamond"/>
                <w:sz w:val="22"/>
                <w:szCs w:val="22"/>
                <w:lang w:val="en-US"/>
              </w:rPr>
              <w:t xml:space="preserve">-10 </w:t>
            </w:r>
            <w:r w:rsidRPr="006F6DAC">
              <w:rPr>
                <w:rFonts w:ascii="Garamond" w:hAnsi="Garamond"/>
                <w:sz w:val="22"/>
                <w:szCs w:val="22"/>
              </w:rPr>
              <w:t>кВ</w:t>
            </w:r>
            <w:r w:rsidRPr="006F6DAC">
              <w:rPr>
                <w:rFonts w:ascii="Garamond" w:hAnsi="Garamond"/>
                <w:sz w:val="22"/>
                <w:szCs w:val="22"/>
                <w:lang w:val="en-US"/>
              </w:rPr>
              <w:t>, 1</w:t>
            </w:r>
            <w:r w:rsidRPr="006F6DAC">
              <w:rPr>
                <w:rFonts w:ascii="Garamond" w:hAnsi="Garamond"/>
                <w:sz w:val="22"/>
                <w:szCs w:val="22"/>
              </w:rPr>
              <w:t>сек</w:t>
            </w:r>
            <w:r w:rsidRPr="006F6DAC">
              <w:rPr>
                <w:rFonts w:ascii="Garamond" w:hAnsi="Garamond"/>
                <w:sz w:val="22"/>
                <w:szCs w:val="22"/>
                <w:lang w:val="en-US"/>
              </w:rPr>
              <w:t xml:space="preserve">., </w:t>
            </w:r>
            <w:r w:rsidRPr="006F6DAC">
              <w:rPr>
                <w:rFonts w:ascii="Garamond" w:hAnsi="Garamond"/>
                <w:sz w:val="22"/>
                <w:szCs w:val="22"/>
              </w:rPr>
              <w:t>яч</w:t>
            </w:r>
            <w:r w:rsidRPr="006F6DAC">
              <w:rPr>
                <w:rFonts w:ascii="Garamond" w:hAnsi="Garamond"/>
                <w:sz w:val="22"/>
                <w:szCs w:val="22"/>
                <w:lang w:val="en-US"/>
              </w:rPr>
              <w:t>. №27" power-object-name="</w:t>
            </w:r>
            <w:r w:rsidRPr="006F6DAC">
              <w:rPr>
                <w:rFonts w:ascii="Garamond" w:hAnsi="Garamond"/>
                <w:sz w:val="22"/>
                <w:szCs w:val="22"/>
              </w:rPr>
              <w:t>Наименование</w:t>
            </w:r>
            <w:r w:rsidRPr="006F6DAC">
              <w:rPr>
                <w:rFonts w:ascii="Garamond" w:hAnsi="Garamond"/>
                <w:sz w:val="22"/>
                <w:szCs w:val="22"/>
                <w:lang w:val="en-US"/>
              </w:rPr>
              <w:t xml:space="preserve"> </w:t>
            </w:r>
            <w:r w:rsidRPr="006F6DAC">
              <w:rPr>
                <w:rFonts w:ascii="Garamond" w:hAnsi="Garamond"/>
                <w:sz w:val="22"/>
                <w:szCs w:val="22"/>
              </w:rPr>
              <w:t>питающего</w:t>
            </w:r>
            <w:r w:rsidRPr="006F6DAC">
              <w:rPr>
                <w:rFonts w:ascii="Garamond" w:hAnsi="Garamond"/>
                <w:sz w:val="22"/>
                <w:szCs w:val="22"/>
                <w:lang w:val="en-US"/>
              </w:rPr>
              <w:t xml:space="preserve"> </w:t>
            </w:r>
            <w:r w:rsidRPr="006F6DAC">
              <w:rPr>
                <w:rFonts w:ascii="Garamond" w:hAnsi="Garamond"/>
                <w:sz w:val="22"/>
                <w:szCs w:val="22"/>
              </w:rPr>
              <w:t>центра</w:t>
            </w:r>
            <w:r w:rsidRPr="006F6DAC">
              <w:rPr>
                <w:rFonts w:ascii="Garamond" w:hAnsi="Garamond"/>
                <w:sz w:val="22"/>
                <w:szCs w:val="22"/>
                <w:lang w:val="en-US"/>
              </w:rPr>
              <w:t>"/&gt;</w:t>
            </w:r>
          </w:p>
          <w:p w14:paraId="721FA1B3" w14:textId="77777777" w:rsidR="00F11A8B" w:rsidRPr="006F6DAC" w:rsidRDefault="00F11A8B" w:rsidP="00F11A8B">
            <w:pPr>
              <w:rPr>
                <w:rFonts w:ascii="Garamond" w:hAnsi="Garamond"/>
                <w:sz w:val="22"/>
                <w:szCs w:val="22"/>
                <w:lang w:val="en-US"/>
              </w:rPr>
            </w:pPr>
            <w:r w:rsidRPr="006F6DAC">
              <w:rPr>
                <w:rFonts w:ascii="Garamond" w:hAnsi="Garamond"/>
                <w:sz w:val="22"/>
                <w:szCs w:val="22"/>
                <w:lang w:val="en-US"/>
              </w:rPr>
              <w:t xml:space="preserve">      &lt;/delivery-point&gt;</w:t>
            </w:r>
          </w:p>
          <w:p w14:paraId="428B345B" w14:textId="77777777" w:rsidR="00F11A8B" w:rsidRPr="006F6DAC" w:rsidRDefault="00F11A8B" w:rsidP="00F11A8B">
            <w:pPr>
              <w:rPr>
                <w:rFonts w:ascii="Garamond" w:hAnsi="Garamond"/>
                <w:sz w:val="22"/>
                <w:szCs w:val="22"/>
                <w:lang w:val="en-US"/>
              </w:rPr>
            </w:pPr>
            <w:r w:rsidRPr="006F6DAC">
              <w:rPr>
                <w:rFonts w:ascii="Garamond" w:hAnsi="Garamond"/>
                <w:sz w:val="22"/>
                <w:szCs w:val="22"/>
                <w:lang w:val="en-US"/>
              </w:rPr>
              <w:t xml:space="preserve">      &lt;delivery-point ats-code="123456789123458" is-group-delivery-point="false" point-voltage="10000"&gt;</w:t>
            </w:r>
          </w:p>
          <w:p w14:paraId="71646949" w14:textId="77777777" w:rsidR="00F11A8B" w:rsidRPr="006F6DAC" w:rsidRDefault="00F11A8B" w:rsidP="00F11A8B">
            <w:pPr>
              <w:rPr>
                <w:rFonts w:ascii="Garamond" w:hAnsi="Garamond"/>
                <w:sz w:val="22"/>
                <w:szCs w:val="22"/>
                <w:lang w:val="en-US"/>
              </w:rPr>
            </w:pPr>
            <w:r w:rsidRPr="006F6DAC">
              <w:rPr>
                <w:rFonts w:ascii="Garamond" w:hAnsi="Garamond"/>
                <w:sz w:val="22"/>
                <w:szCs w:val="22"/>
                <w:lang w:val="en-US"/>
              </w:rPr>
              <w:t xml:space="preserve">        &lt;name connection-name="</w:t>
            </w:r>
            <w:r w:rsidRPr="006F6DAC">
              <w:rPr>
                <w:rFonts w:ascii="Garamond" w:hAnsi="Garamond"/>
                <w:sz w:val="22"/>
                <w:szCs w:val="22"/>
              </w:rPr>
              <w:t>ф</w:t>
            </w:r>
            <w:r w:rsidRPr="006F6DAC">
              <w:rPr>
                <w:rFonts w:ascii="Garamond" w:hAnsi="Garamond"/>
                <w:sz w:val="22"/>
                <w:szCs w:val="22"/>
                <w:lang w:val="en-US"/>
              </w:rPr>
              <w:t>. 20/69" location-description="</w:t>
            </w:r>
            <w:r w:rsidRPr="006F6DAC">
              <w:rPr>
                <w:rFonts w:ascii="Garamond" w:hAnsi="Garamond"/>
                <w:sz w:val="22"/>
                <w:szCs w:val="22"/>
              </w:rPr>
              <w:t>РУ</w:t>
            </w:r>
            <w:r w:rsidRPr="006F6DAC">
              <w:rPr>
                <w:rFonts w:ascii="Garamond" w:hAnsi="Garamond"/>
                <w:sz w:val="22"/>
                <w:szCs w:val="22"/>
                <w:lang w:val="en-US"/>
              </w:rPr>
              <w:t xml:space="preserve">-10 </w:t>
            </w:r>
            <w:r w:rsidRPr="006F6DAC">
              <w:rPr>
                <w:rFonts w:ascii="Garamond" w:hAnsi="Garamond"/>
                <w:sz w:val="22"/>
                <w:szCs w:val="22"/>
              </w:rPr>
              <w:t>кВ</w:t>
            </w:r>
            <w:r w:rsidRPr="006F6DAC">
              <w:rPr>
                <w:rFonts w:ascii="Garamond" w:hAnsi="Garamond"/>
                <w:sz w:val="22"/>
                <w:szCs w:val="22"/>
                <w:lang w:val="en-US"/>
              </w:rPr>
              <w:t>, 3</w:t>
            </w:r>
            <w:r w:rsidRPr="006F6DAC">
              <w:rPr>
                <w:rFonts w:ascii="Garamond" w:hAnsi="Garamond"/>
                <w:sz w:val="22"/>
                <w:szCs w:val="22"/>
              </w:rPr>
              <w:t>сек</w:t>
            </w:r>
            <w:r w:rsidRPr="006F6DAC">
              <w:rPr>
                <w:rFonts w:ascii="Garamond" w:hAnsi="Garamond"/>
                <w:sz w:val="22"/>
                <w:szCs w:val="22"/>
                <w:lang w:val="en-US"/>
              </w:rPr>
              <w:t xml:space="preserve">., </w:t>
            </w:r>
            <w:r w:rsidRPr="006F6DAC">
              <w:rPr>
                <w:rFonts w:ascii="Garamond" w:hAnsi="Garamond"/>
                <w:sz w:val="22"/>
                <w:szCs w:val="22"/>
              </w:rPr>
              <w:t>яч</w:t>
            </w:r>
            <w:r w:rsidRPr="006F6DAC">
              <w:rPr>
                <w:rFonts w:ascii="Garamond" w:hAnsi="Garamond"/>
                <w:sz w:val="22"/>
                <w:szCs w:val="22"/>
                <w:lang w:val="en-US"/>
              </w:rPr>
              <w:t>. №69" power-object-name="</w:t>
            </w:r>
            <w:r w:rsidRPr="006F6DAC">
              <w:rPr>
                <w:rFonts w:ascii="Garamond" w:hAnsi="Garamond"/>
                <w:sz w:val="22"/>
                <w:szCs w:val="22"/>
              </w:rPr>
              <w:t>Наименование</w:t>
            </w:r>
            <w:r w:rsidRPr="006F6DAC">
              <w:rPr>
                <w:rFonts w:ascii="Garamond" w:hAnsi="Garamond"/>
                <w:sz w:val="22"/>
                <w:szCs w:val="22"/>
                <w:lang w:val="en-US"/>
              </w:rPr>
              <w:t xml:space="preserve"> </w:t>
            </w:r>
            <w:r w:rsidRPr="006F6DAC">
              <w:rPr>
                <w:rFonts w:ascii="Garamond" w:hAnsi="Garamond"/>
                <w:sz w:val="22"/>
                <w:szCs w:val="22"/>
              </w:rPr>
              <w:t>питающего</w:t>
            </w:r>
            <w:r w:rsidRPr="006F6DAC">
              <w:rPr>
                <w:rFonts w:ascii="Garamond" w:hAnsi="Garamond"/>
                <w:sz w:val="22"/>
                <w:szCs w:val="22"/>
                <w:lang w:val="en-US"/>
              </w:rPr>
              <w:t xml:space="preserve"> </w:t>
            </w:r>
            <w:r w:rsidRPr="006F6DAC">
              <w:rPr>
                <w:rFonts w:ascii="Garamond" w:hAnsi="Garamond"/>
                <w:sz w:val="22"/>
                <w:szCs w:val="22"/>
              </w:rPr>
              <w:t>центра</w:t>
            </w:r>
            <w:r w:rsidRPr="006F6DAC">
              <w:rPr>
                <w:rFonts w:ascii="Garamond" w:hAnsi="Garamond"/>
                <w:sz w:val="22"/>
                <w:szCs w:val="22"/>
                <w:lang w:val="en-US"/>
              </w:rPr>
              <w:t>"/&gt;</w:t>
            </w:r>
          </w:p>
          <w:p w14:paraId="34281ABE" w14:textId="77777777" w:rsidR="00F11A8B" w:rsidRPr="006F6DAC" w:rsidRDefault="00F11A8B" w:rsidP="00F11A8B">
            <w:pPr>
              <w:rPr>
                <w:rFonts w:ascii="Garamond" w:hAnsi="Garamond"/>
                <w:sz w:val="22"/>
                <w:szCs w:val="22"/>
                <w:lang w:val="en-US"/>
              </w:rPr>
            </w:pPr>
            <w:r w:rsidRPr="006F6DAC">
              <w:rPr>
                <w:rFonts w:ascii="Garamond" w:hAnsi="Garamond"/>
                <w:sz w:val="22"/>
                <w:szCs w:val="22"/>
                <w:lang w:val="en-US"/>
              </w:rPr>
              <w:t xml:space="preserve">      &lt;/delivery-point&gt;</w:t>
            </w:r>
          </w:p>
          <w:p w14:paraId="0196C35E" w14:textId="77777777" w:rsidR="00F11A8B" w:rsidRPr="006F6DAC" w:rsidRDefault="00F11A8B" w:rsidP="00F11A8B">
            <w:pPr>
              <w:rPr>
                <w:rFonts w:ascii="Garamond" w:hAnsi="Garamond"/>
                <w:sz w:val="22"/>
                <w:szCs w:val="22"/>
                <w:lang w:val="en-US"/>
              </w:rPr>
            </w:pPr>
            <w:r w:rsidRPr="006F6DAC">
              <w:rPr>
                <w:rFonts w:ascii="Garamond" w:hAnsi="Garamond"/>
                <w:sz w:val="22"/>
                <w:szCs w:val="22"/>
                <w:lang w:val="en-US"/>
              </w:rPr>
              <w:t xml:space="preserve">    &lt;/delivery-points&gt;</w:t>
            </w:r>
          </w:p>
          <w:p w14:paraId="0FD1A68C" w14:textId="77777777" w:rsidR="00F11A8B" w:rsidRPr="006F6DAC" w:rsidRDefault="00F11A8B" w:rsidP="00F11A8B">
            <w:pPr>
              <w:rPr>
                <w:rFonts w:ascii="Garamond" w:hAnsi="Garamond"/>
                <w:sz w:val="22"/>
                <w:szCs w:val="22"/>
                <w:lang w:val="en-US"/>
              </w:rPr>
            </w:pPr>
            <w:r w:rsidRPr="006F6DAC">
              <w:rPr>
                <w:rFonts w:ascii="Garamond" w:hAnsi="Garamond"/>
                <w:sz w:val="22"/>
                <w:szCs w:val="22"/>
                <w:lang w:val="en-US"/>
              </w:rPr>
              <w:t xml:space="preserve">    &lt;measuring-points&gt;</w:t>
            </w:r>
          </w:p>
          <w:p w14:paraId="78EF0194" w14:textId="77777777" w:rsidR="00F11A8B" w:rsidRPr="006F6DAC" w:rsidRDefault="00F11A8B" w:rsidP="00F11A8B">
            <w:pPr>
              <w:rPr>
                <w:rFonts w:ascii="Garamond" w:hAnsi="Garamond"/>
                <w:sz w:val="22"/>
                <w:szCs w:val="22"/>
                <w:lang w:val="en-US"/>
              </w:rPr>
            </w:pPr>
            <w:r w:rsidRPr="006F6DAC">
              <w:rPr>
                <w:rFonts w:ascii="Garamond" w:hAnsi="Garamond"/>
                <w:sz w:val="22"/>
                <w:szCs w:val="22"/>
                <w:lang w:val="en-US"/>
              </w:rPr>
              <w:lastRenderedPageBreak/>
              <w:t xml:space="preserve">      &lt;measuring-point ats-code="123456789123456" measuring-point-type="general" point-voltage="10000"&gt;</w:t>
            </w:r>
          </w:p>
          <w:p w14:paraId="041C835E" w14:textId="77777777" w:rsidR="00F11A8B" w:rsidRPr="006F6DAC" w:rsidRDefault="00F11A8B" w:rsidP="00F11A8B">
            <w:pPr>
              <w:rPr>
                <w:rFonts w:ascii="Garamond" w:hAnsi="Garamond"/>
                <w:sz w:val="22"/>
                <w:szCs w:val="22"/>
                <w:lang w:val="en-US"/>
              </w:rPr>
            </w:pPr>
            <w:r w:rsidRPr="006F6DAC">
              <w:rPr>
                <w:rFonts w:ascii="Garamond" w:hAnsi="Garamond"/>
                <w:sz w:val="22"/>
                <w:szCs w:val="22"/>
                <w:lang w:val="en-US"/>
              </w:rPr>
              <w:t xml:space="preserve">        &lt;name connection-name="</w:t>
            </w:r>
            <w:r w:rsidRPr="006F6DAC">
              <w:rPr>
                <w:rFonts w:ascii="Garamond" w:hAnsi="Garamond"/>
                <w:sz w:val="22"/>
                <w:szCs w:val="22"/>
              </w:rPr>
              <w:t>ф</w:t>
            </w:r>
            <w:r w:rsidRPr="006F6DAC">
              <w:rPr>
                <w:rFonts w:ascii="Garamond" w:hAnsi="Garamond"/>
                <w:sz w:val="22"/>
                <w:szCs w:val="22"/>
                <w:lang w:val="en-US"/>
              </w:rPr>
              <w:t>. 24/15" location-description="</w:t>
            </w:r>
            <w:r w:rsidRPr="006F6DAC">
              <w:rPr>
                <w:rFonts w:ascii="Garamond" w:hAnsi="Garamond"/>
                <w:sz w:val="22"/>
                <w:szCs w:val="22"/>
              </w:rPr>
              <w:t>РУ</w:t>
            </w:r>
            <w:r w:rsidRPr="006F6DAC">
              <w:rPr>
                <w:rFonts w:ascii="Garamond" w:hAnsi="Garamond"/>
                <w:sz w:val="22"/>
                <w:szCs w:val="22"/>
                <w:lang w:val="en-US"/>
              </w:rPr>
              <w:t xml:space="preserve">-10 </w:t>
            </w:r>
            <w:r w:rsidRPr="006F6DAC">
              <w:rPr>
                <w:rFonts w:ascii="Garamond" w:hAnsi="Garamond"/>
                <w:sz w:val="22"/>
                <w:szCs w:val="22"/>
              </w:rPr>
              <w:t>кВ</w:t>
            </w:r>
            <w:r w:rsidRPr="006F6DAC">
              <w:rPr>
                <w:rFonts w:ascii="Garamond" w:hAnsi="Garamond"/>
                <w:sz w:val="22"/>
                <w:szCs w:val="22"/>
                <w:lang w:val="en-US"/>
              </w:rPr>
              <w:t>, 1</w:t>
            </w:r>
            <w:r w:rsidRPr="006F6DAC">
              <w:rPr>
                <w:rFonts w:ascii="Garamond" w:hAnsi="Garamond"/>
                <w:sz w:val="22"/>
                <w:szCs w:val="22"/>
              </w:rPr>
              <w:t>сек</w:t>
            </w:r>
            <w:r w:rsidRPr="006F6DAC">
              <w:rPr>
                <w:rFonts w:ascii="Garamond" w:hAnsi="Garamond"/>
                <w:sz w:val="22"/>
                <w:szCs w:val="22"/>
                <w:lang w:val="en-US"/>
              </w:rPr>
              <w:t xml:space="preserve">, </w:t>
            </w:r>
            <w:r w:rsidRPr="006F6DAC">
              <w:rPr>
                <w:rFonts w:ascii="Garamond" w:hAnsi="Garamond"/>
                <w:sz w:val="22"/>
                <w:szCs w:val="22"/>
              </w:rPr>
              <w:t>яч</w:t>
            </w:r>
            <w:r w:rsidRPr="006F6DAC">
              <w:rPr>
                <w:rFonts w:ascii="Garamond" w:hAnsi="Garamond"/>
                <w:sz w:val="22"/>
                <w:szCs w:val="22"/>
                <w:lang w:val="en-US"/>
              </w:rPr>
              <w:t>. №15" power-object-name="</w:t>
            </w:r>
            <w:r w:rsidRPr="006F6DAC">
              <w:rPr>
                <w:rFonts w:ascii="Garamond" w:hAnsi="Garamond"/>
                <w:sz w:val="22"/>
                <w:szCs w:val="22"/>
              </w:rPr>
              <w:t>Наименование</w:t>
            </w:r>
            <w:r w:rsidRPr="006F6DAC">
              <w:rPr>
                <w:rFonts w:ascii="Garamond" w:hAnsi="Garamond"/>
                <w:sz w:val="22"/>
                <w:szCs w:val="22"/>
                <w:lang w:val="en-US"/>
              </w:rPr>
              <w:t xml:space="preserve"> </w:t>
            </w:r>
            <w:r w:rsidRPr="006F6DAC">
              <w:rPr>
                <w:rFonts w:ascii="Garamond" w:hAnsi="Garamond"/>
                <w:sz w:val="22"/>
                <w:szCs w:val="22"/>
              </w:rPr>
              <w:t>объекта</w:t>
            </w:r>
            <w:r w:rsidRPr="006F6DAC">
              <w:rPr>
                <w:rFonts w:ascii="Garamond" w:hAnsi="Garamond"/>
                <w:sz w:val="22"/>
                <w:szCs w:val="22"/>
                <w:lang w:val="en-US"/>
              </w:rPr>
              <w:t>"/&gt;</w:t>
            </w:r>
          </w:p>
          <w:p w14:paraId="54E85AEE" w14:textId="77777777" w:rsidR="00F11A8B" w:rsidRPr="006F6DAC" w:rsidRDefault="00F11A8B" w:rsidP="00F11A8B">
            <w:pPr>
              <w:rPr>
                <w:rFonts w:ascii="Garamond" w:hAnsi="Garamond"/>
                <w:sz w:val="22"/>
                <w:szCs w:val="22"/>
                <w:lang w:val="en-US"/>
              </w:rPr>
            </w:pPr>
            <w:r w:rsidRPr="006F6DAC">
              <w:rPr>
                <w:rFonts w:ascii="Garamond" w:hAnsi="Garamond"/>
                <w:sz w:val="22"/>
                <w:szCs w:val="22"/>
                <w:lang w:val="en-US"/>
              </w:rPr>
              <w:t xml:space="preserve">        &lt;measuring-device ats-code="1" device-modification-code="559A7B5B54DF0471E0530A01490A6E4F"&gt;</w:t>
            </w:r>
          </w:p>
          <w:p w14:paraId="70F5359F" w14:textId="77777777" w:rsidR="00F11A8B" w:rsidRPr="006F6DAC" w:rsidRDefault="00F11A8B" w:rsidP="00F11A8B">
            <w:pPr>
              <w:rPr>
                <w:rFonts w:ascii="Garamond" w:hAnsi="Garamond"/>
                <w:sz w:val="22"/>
                <w:szCs w:val="22"/>
                <w:lang w:val="en-US"/>
              </w:rPr>
            </w:pPr>
            <w:r w:rsidRPr="006F6DAC">
              <w:rPr>
                <w:rFonts w:ascii="Garamond" w:hAnsi="Garamond"/>
                <w:sz w:val="22"/>
                <w:szCs w:val="22"/>
                <w:lang w:val="en-US"/>
              </w:rPr>
              <w:t xml:space="preserve">          &lt;measuring-channel ats-code="02" period="30"/&gt;</w:t>
            </w:r>
          </w:p>
          <w:p w14:paraId="0A171AD0" w14:textId="77777777" w:rsidR="00F11A8B" w:rsidRPr="006F6DAC" w:rsidRDefault="00F11A8B" w:rsidP="00F11A8B">
            <w:pPr>
              <w:rPr>
                <w:rFonts w:ascii="Garamond" w:hAnsi="Garamond"/>
                <w:sz w:val="22"/>
                <w:szCs w:val="22"/>
                <w:lang w:val="en-US"/>
              </w:rPr>
            </w:pPr>
            <w:r w:rsidRPr="006F6DAC">
              <w:rPr>
                <w:rFonts w:ascii="Garamond" w:hAnsi="Garamond"/>
                <w:sz w:val="22"/>
                <w:szCs w:val="22"/>
                <w:lang w:val="en-US"/>
              </w:rPr>
              <w:t xml:space="preserve">          &lt;measuring-channel ats-code="04" period="30"/&gt;</w:t>
            </w:r>
          </w:p>
          <w:p w14:paraId="336C4F64" w14:textId="77777777" w:rsidR="00F11A8B" w:rsidRPr="006F6DAC" w:rsidRDefault="00F11A8B" w:rsidP="00F11A8B">
            <w:pPr>
              <w:rPr>
                <w:rFonts w:ascii="Garamond" w:hAnsi="Garamond"/>
                <w:sz w:val="22"/>
                <w:szCs w:val="22"/>
                <w:lang w:val="en-US"/>
              </w:rPr>
            </w:pPr>
            <w:r w:rsidRPr="006F6DAC">
              <w:rPr>
                <w:rFonts w:ascii="Garamond" w:hAnsi="Garamond"/>
                <w:sz w:val="22"/>
                <w:szCs w:val="22"/>
                <w:lang w:val="en-US"/>
              </w:rPr>
              <w:t xml:space="preserve">        &lt;/measuring-device&gt;</w:t>
            </w:r>
          </w:p>
          <w:p w14:paraId="5D2E8126" w14:textId="77777777" w:rsidR="00F11A8B" w:rsidRPr="006F6DAC" w:rsidRDefault="00F11A8B" w:rsidP="00F11A8B">
            <w:pPr>
              <w:rPr>
                <w:rFonts w:ascii="Garamond" w:hAnsi="Garamond"/>
                <w:sz w:val="22"/>
                <w:szCs w:val="22"/>
                <w:lang w:val="en-US"/>
              </w:rPr>
            </w:pPr>
            <w:r w:rsidRPr="006F6DAC">
              <w:rPr>
                <w:rFonts w:ascii="Garamond" w:hAnsi="Garamond"/>
                <w:sz w:val="22"/>
                <w:szCs w:val="22"/>
                <w:lang w:val="en-US"/>
              </w:rPr>
              <w:t xml:space="preserve">      &lt;/measuring-point&gt;</w:t>
            </w:r>
          </w:p>
          <w:p w14:paraId="5C1D7621" w14:textId="77777777" w:rsidR="00F11A8B" w:rsidRPr="006F6DAC" w:rsidRDefault="00F11A8B" w:rsidP="00F11A8B">
            <w:pPr>
              <w:rPr>
                <w:rFonts w:ascii="Garamond" w:hAnsi="Garamond"/>
                <w:sz w:val="22"/>
                <w:szCs w:val="22"/>
                <w:lang w:val="en-US"/>
              </w:rPr>
            </w:pPr>
            <w:r w:rsidRPr="006F6DAC">
              <w:rPr>
                <w:rFonts w:ascii="Garamond" w:hAnsi="Garamond"/>
                <w:sz w:val="22"/>
                <w:szCs w:val="22"/>
                <w:lang w:val="en-US"/>
              </w:rPr>
              <w:t xml:space="preserve">      &lt;measuring-point ats-code="123456789123457" measuring-point-type="general" point-voltage="10000"&gt;</w:t>
            </w:r>
          </w:p>
          <w:p w14:paraId="7149BC55" w14:textId="77777777" w:rsidR="00F11A8B" w:rsidRPr="006F6DAC" w:rsidRDefault="00F11A8B" w:rsidP="00F11A8B">
            <w:pPr>
              <w:rPr>
                <w:rFonts w:ascii="Garamond" w:hAnsi="Garamond"/>
                <w:sz w:val="22"/>
                <w:szCs w:val="22"/>
                <w:lang w:val="en-US"/>
              </w:rPr>
            </w:pPr>
            <w:r w:rsidRPr="006F6DAC">
              <w:rPr>
                <w:rFonts w:ascii="Garamond" w:hAnsi="Garamond"/>
                <w:sz w:val="22"/>
                <w:szCs w:val="22"/>
                <w:lang w:val="en-US"/>
              </w:rPr>
              <w:t xml:space="preserve">        &lt;name connection-name="</w:t>
            </w:r>
            <w:r w:rsidRPr="006F6DAC">
              <w:rPr>
                <w:rFonts w:ascii="Garamond" w:hAnsi="Garamond"/>
                <w:sz w:val="22"/>
                <w:szCs w:val="22"/>
              </w:rPr>
              <w:t>ф</w:t>
            </w:r>
            <w:r w:rsidRPr="006F6DAC">
              <w:rPr>
                <w:rFonts w:ascii="Garamond" w:hAnsi="Garamond"/>
                <w:sz w:val="22"/>
                <w:szCs w:val="22"/>
                <w:lang w:val="en-US"/>
              </w:rPr>
              <w:t>. 24/23" location-description="</w:t>
            </w:r>
            <w:r w:rsidRPr="006F6DAC">
              <w:rPr>
                <w:rFonts w:ascii="Garamond" w:hAnsi="Garamond"/>
                <w:sz w:val="22"/>
                <w:szCs w:val="22"/>
              </w:rPr>
              <w:t>РУ</w:t>
            </w:r>
            <w:r w:rsidRPr="006F6DAC">
              <w:rPr>
                <w:rFonts w:ascii="Garamond" w:hAnsi="Garamond"/>
                <w:sz w:val="22"/>
                <w:szCs w:val="22"/>
                <w:lang w:val="en-US"/>
              </w:rPr>
              <w:t xml:space="preserve">-10 </w:t>
            </w:r>
            <w:r w:rsidRPr="006F6DAC">
              <w:rPr>
                <w:rFonts w:ascii="Garamond" w:hAnsi="Garamond"/>
                <w:sz w:val="22"/>
                <w:szCs w:val="22"/>
              </w:rPr>
              <w:t>кВ</w:t>
            </w:r>
            <w:r w:rsidRPr="006F6DAC">
              <w:rPr>
                <w:rFonts w:ascii="Garamond" w:hAnsi="Garamond"/>
                <w:sz w:val="22"/>
                <w:szCs w:val="22"/>
                <w:lang w:val="en-US"/>
              </w:rPr>
              <w:t>, 1</w:t>
            </w:r>
            <w:r w:rsidRPr="006F6DAC">
              <w:rPr>
                <w:rFonts w:ascii="Garamond" w:hAnsi="Garamond"/>
                <w:sz w:val="22"/>
                <w:szCs w:val="22"/>
              </w:rPr>
              <w:t>сек</w:t>
            </w:r>
            <w:r w:rsidRPr="006F6DAC">
              <w:rPr>
                <w:rFonts w:ascii="Garamond" w:hAnsi="Garamond"/>
                <w:sz w:val="22"/>
                <w:szCs w:val="22"/>
                <w:lang w:val="en-US"/>
              </w:rPr>
              <w:t xml:space="preserve">, </w:t>
            </w:r>
            <w:r w:rsidRPr="006F6DAC">
              <w:rPr>
                <w:rFonts w:ascii="Garamond" w:hAnsi="Garamond"/>
                <w:sz w:val="22"/>
                <w:szCs w:val="22"/>
              </w:rPr>
              <w:t>яч</w:t>
            </w:r>
            <w:r w:rsidRPr="006F6DAC">
              <w:rPr>
                <w:rFonts w:ascii="Garamond" w:hAnsi="Garamond"/>
                <w:sz w:val="22"/>
                <w:szCs w:val="22"/>
                <w:lang w:val="en-US"/>
              </w:rPr>
              <w:t>. №23" power-object-name="</w:t>
            </w:r>
            <w:r w:rsidRPr="006F6DAC">
              <w:rPr>
                <w:rFonts w:ascii="Garamond" w:hAnsi="Garamond"/>
                <w:sz w:val="22"/>
                <w:szCs w:val="22"/>
              </w:rPr>
              <w:t>Наименование</w:t>
            </w:r>
            <w:r w:rsidRPr="006F6DAC">
              <w:rPr>
                <w:rFonts w:ascii="Garamond" w:hAnsi="Garamond"/>
                <w:sz w:val="22"/>
                <w:szCs w:val="22"/>
                <w:lang w:val="en-US"/>
              </w:rPr>
              <w:t xml:space="preserve"> </w:t>
            </w:r>
            <w:r w:rsidRPr="006F6DAC">
              <w:rPr>
                <w:rFonts w:ascii="Garamond" w:hAnsi="Garamond"/>
                <w:sz w:val="22"/>
                <w:szCs w:val="22"/>
              </w:rPr>
              <w:t>объекта</w:t>
            </w:r>
            <w:r w:rsidRPr="006F6DAC">
              <w:rPr>
                <w:rFonts w:ascii="Garamond" w:hAnsi="Garamond"/>
                <w:sz w:val="22"/>
                <w:szCs w:val="22"/>
                <w:lang w:val="en-US"/>
              </w:rPr>
              <w:t>"/&gt;</w:t>
            </w:r>
          </w:p>
          <w:p w14:paraId="34CAFBBF" w14:textId="77777777" w:rsidR="00F11A8B" w:rsidRPr="006F6DAC" w:rsidRDefault="00F11A8B" w:rsidP="00F11A8B">
            <w:pPr>
              <w:rPr>
                <w:rFonts w:ascii="Garamond" w:hAnsi="Garamond"/>
                <w:sz w:val="22"/>
                <w:szCs w:val="22"/>
                <w:lang w:val="en-US"/>
              </w:rPr>
            </w:pPr>
            <w:r w:rsidRPr="006F6DAC">
              <w:rPr>
                <w:rFonts w:ascii="Garamond" w:hAnsi="Garamond"/>
                <w:sz w:val="22"/>
                <w:szCs w:val="22"/>
                <w:lang w:val="en-US"/>
              </w:rPr>
              <w:t xml:space="preserve">        &lt;measuring-device ats-code="1" device-modification-code="559A7B5B54DF0471E0530A01490A6E4F"&gt;</w:t>
            </w:r>
          </w:p>
          <w:p w14:paraId="6A289365" w14:textId="77777777" w:rsidR="00F11A8B" w:rsidRPr="006F6DAC" w:rsidRDefault="00F11A8B" w:rsidP="00F11A8B">
            <w:pPr>
              <w:rPr>
                <w:rFonts w:ascii="Garamond" w:hAnsi="Garamond"/>
                <w:sz w:val="22"/>
                <w:szCs w:val="22"/>
                <w:lang w:val="en-US"/>
              </w:rPr>
            </w:pPr>
            <w:r w:rsidRPr="006F6DAC">
              <w:rPr>
                <w:rFonts w:ascii="Garamond" w:hAnsi="Garamond"/>
                <w:sz w:val="22"/>
                <w:szCs w:val="22"/>
                <w:lang w:val="en-US"/>
              </w:rPr>
              <w:t xml:space="preserve">          &lt;measuring-channel ats-code="02" period="30"/&gt;</w:t>
            </w:r>
          </w:p>
          <w:p w14:paraId="31AB6EB2" w14:textId="77777777" w:rsidR="00F11A8B" w:rsidRPr="006F6DAC" w:rsidRDefault="00F11A8B" w:rsidP="00F11A8B">
            <w:pPr>
              <w:rPr>
                <w:rFonts w:ascii="Garamond" w:hAnsi="Garamond"/>
                <w:sz w:val="22"/>
                <w:szCs w:val="22"/>
                <w:lang w:val="en-US"/>
              </w:rPr>
            </w:pPr>
            <w:r w:rsidRPr="006F6DAC">
              <w:rPr>
                <w:rFonts w:ascii="Garamond" w:hAnsi="Garamond"/>
                <w:sz w:val="22"/>
                <w:szCs w:val="22"/>
                <w:lang w:val="en-US"/>
              </w:rPr>
              <w:t xml:space="preserve">          &lt;measuring-channel ats-code="04" period="30"/&gt;</w:t>
            </w:r>
          </w:p>
          <w:p w14:paraId="18C276D0" w14:textId="77777777" w:rsidR="00F11A8B" w:rsidRPr="006F6DAC" w:rsidRDefault="00F11A8B" w:rsidP="00F11A8B">
            <w:pPr>
              <w:rPr>
                <w:rFonts w:ascii="Garamond" w:hAnsi="Garamond"/>
                <w:sz w:val="22"/>
                <w:szCs w:val="22"/>
                <w:lang w:val="en-US"/>
              </w:rPr>
            </w:pPr>
            <w:r w:rsidRPr="006F6DAC">
              <w:rPr>
                <w:rFonts w:ascii="Garamond" w:hAnsi="Garamond"/>
                <w:sz w:val="22"/>
                <w:szCs w:val="22"/>
                <w:lang w:val="en-US"/>
              </w:rPr>
              <w:t xml:space="preserve">        &lt;/measuring-device&gt;</w:t>
            </w:r>
          </w:p>
          <w:p w14:paraId="7754BC5C" w14:textId="77777777" w:rsidR="00F11A8B" w:rsidRPr="006F6DAC" w:rsidRDefault="00F11A8B" w:rsidP="00F11A8B">
            <w:pPr>
              <w:rPr>
                <w:rFonts w:ascii="Garamond" w:hAnsi="Garamond"/>
                <w:sz w:val="22"/>
                <w:szCs w:val="22"/>
                <w:lang w:val="en-US"/>
              </w:rPr>
            </w:pPr>
            <w:r w:rsidRPr="006F6DAC">
              <w:rPr>
                <w:rFonts w:ascii="Garamond" w:hAnsi="Garamond"/>
                <w:sz w:val="22"/>
                <w:szCs w:val="22"/>
                <w:lang w:val="en-US"/>
              </w:rPr>
              <w:t xml:space="preserve">      &lt;/measuring-point&gt;</w:t>
            </w:r>
          </w:p>
          <w:p w14:paraId="08CB1B79" w14:textId="77777777" w:rsidR="00F11A8B" w:rsidRPr="006F6DAC" w:rsidRDefault="00F11A8B" w:rsidP="00F11A8B">
            <w:pPr>
              <w:rPr>
                <w:rFonts w:ascii="Garamond" w:hAnsi="Garamond"/>
                <w:sz w:val="22"/>
                <w:szCs w:val="22"/>
                <w:lang w:val="en-US"/>
              </w:rPr>
            </w:pPr>
            <w:r w:rsidRPr="006F6DAC">
              <w:rPr>
                <w:rFonts w:ascii="Garamond" w:hAnsi="Garamond"/>
                <w:sz w:val="22"/>
                <w:szCs w:val="22"/>
                <w:lang w:val="en-US"/>
              </w:rPr>
              <w:t xml:space="preserve">      &lt;measuring-point ats-code="123456789123458" measuring-point-type="general" point-voltage="10000"&gt;</w:t>
            </w:r>
          </w:p>
          <w:p w14:paraId="72E9A2C8" w14:textId="77777777" w:rsidR="00F11A8B" w:rsidRPr="006F6DAC" w:rsidRDefault="00F11A8B" w:rsidP="00F11A8B">
            <w:pPr>
              <w:rPr>
                <w:rFonts w:ascii="Garamond" w:hAnsi="Garamond"/>
                <w:sz w:val="22"/>
                <w:szCs w:val="22"/>
                <w:lang w:val="en-US"/>
              </w:rPr>
            </w:pPr>
            <w:r w:rsidRPr="006F6DAC">
              <w:rPr>
                <w:rFonts w:ascii="Garamond" w:hAnsi="Garamond"/>
                <w:sz w:val="22"/>
                <w:szCs w:val="22"/>
                <w:lang w:val="en-US"/>
              </w:rPr>
              <w:t xml:space="preserve">        &lt;name connection-name="</w:t>
            </w:r>
            <w:r w:rsidRPr="006F6DAC">
              <w:rPr>
                <w:rFonts w:ascii="Garamond" w:hAnsi="Garamond"/>
                <w:sz w:val="22"/>
                <w:szCs w:val="22"/>
              </w:rPr>
              <w:t>ф</w:t>
            </w:r>
            <w:r w:rsidRPr="006F6DAC">
              <w:rPr>
                <w:rFonts w:ascii="Garamond" w:hAnsi="Garamond"/>
                <w:sz w:val="22"/>
                <w:szCs w:val="22"/>
                <w:lang w:val="en-US"/>
              </w:rPr>
              <w:t xml:space="preserve">. </w:t>
            </w:r>
            <w:r w:rsidRPr="006F6DAC">
              <w:rPr>
                <w:rFonts w:ascii="Garamond" w:hAnsi="Garamond"/>
                <w:sz w:val="22"/>
                <w:szCs w:val="22"/>
              </w:rPr>
              <w:t>ф</w:t>
            </w:r>
            <w:r w:rsidRPr="006F6DAC">
              <w:rPr>
                <w:rFonts w:ascii="Garamond" w:hAnsi="Garamond"/>
                <w:sz w:val="22"/>
                <w:szCs w:val="22"/>
                <w:lang w:val="en-US"/>
              </w:rPr>
              <w:t>.23/15" location-description="</w:t>
            </w:r>
            <w:r w:rsidRPr="006F6DAC">
              <w:rPr>
                <w:rFonts w:ascii="Garamond" w:hAnsi="Garamond"/>
                <w:sz w:val="22"/>
                <w:szCs w:val="22"/>
              </w:rPr>
              <w:t>РУ</w:t>
            </w:r>
            <w:r w:rsidRPr="006F6DAC">
              <w:rPr>
                <w:rFonts w:ascii="Garamond" w:hAnsi="Garamond"/>
                <w:sz w:val="22"/>
                <w:szCs w:val="22"/>
                <w:lang w:val="en-US"/>
              </w:rPr>
              <w:t xml:space="preserve">-10 </w:t>
            </w:r>
            <w:r w:rsidRPr="006F6DAC">
              <w:rPr>
                <w:rFonts w:ascii="Garamond" w:hAnsi="Garamond"/>
                <w:sz w:val="22"/>
                <w:szCs w:val="22"/>
              </w:rPr>
              <w:t>кВ</w:t>
            </w:r>
            <w:r w:rsidRPr="006F6DAC">
              <w:rPr>
                <w:rFonts w:ascii="Garamond" w:hAnsi="Garamond"/>
                <w:sz w:val="22"/>
                <w:szCs w:val="22"/>
                <w:lang w:val="en-US"/>
              </w:rPr>
              <w:t xml:space="preserve">, 1 </w:t>
            </w:r>
            <w:r w:rsidRPr="006F6DAC">
              <w:rPr>
                <w:rFonts w:ascii="Garamond" w:hAnsi="Garamond"/>
                <w:sz w:val="22"/>
                <w:szCs w:val="22"/>
              </w:rPr>
              <w:t>сек</w:t>
            </w:r>
            <w:r w:rsidRPr="006F6DAC">
              <w:rPr>
                <w:rFonts w:ascii="Garamond" w:hAnsi="Garamond"/>
                <w:sz w:val="22"/>
                <w:szCs w:val="22"/>
                <w:lang w:val="en-US"/>
              </w:rPr>
              <w:t xml:space="preserve">., </w:t>
            </w:r>
            <w:r w:rsidRPr="006F6DAC">
              <w:rPr>
                <w:rFonts w:ascii="Garamond" w:hAnsi="Garamond"/>
                <w:sz w:val="22"/>
                <w:szCs w:val="22"/>
              </w:rPr>
              <w:t>яч</w:t>
            </w:r>
            <w:r w:rsidRPr="006F6DAC">
              <w:rPr>
                <w:rFonts w:ascii="Garamond" w:hAnsi="Garamond"/>
                <w:sz w:val="22"/>
                <w:szCs w:val="22"/>
                <w:lang w:val="en-US"/>
              </w:rPr>
              <w:t>. №15" power-object-name="</w:t>
            </w:r>
            <w:r w:rsidRPr="006F6DAC">
              <w:rPr>
                <w:rFonts w:ascii="Garamond" w:hAnsi="Garamond"/>
                <w:sz w:val="22"/>
                <w:szCs w:val="22"/>
              </w:rPr>
              <w:t>Наименование</w:t>
            </w:r>
            <w:r w:rsidRPr="006F6DAC">
              <w:rPr>
                <w:rFonts w:ascii="Garamond" w:hAnsi="Garamond"/>
                <w:sz w:val="22"/>
                <w:szCs w:val="22"/>
                <w:lang w:val="en-US"/>
              </w:rPr>
              <w:t xml:space="preserve"> </w:t>
            </w:r>
            <w:r w:rsidRPr="006F6DAC">
              <w:rPr>
                <w:rFonts w:ascii="Garamond" w:hAnsi="Garamond"/>
                <w:sz w:val="22"/>
                <w:szCs w:val="22"/>
              </w:rPr>
              <w:t>объекта</w:t>
            </w:r>
            <w:r w:rsidRPr="006F6DAC">
              <w:rPr>
                <w:rFonts w:ascii="Garamond" w:hAnsi="Garamond"/>
                <w:sz w:val="22"/>
                <w:szCs w:val="22"/>
                <w:lang w:val="en-US"/>
              </w:rPr>
              <w:t>"/&gt;</w:t>
            </w:r>
          </w:p>
          <w:p w14:paraId="0816CAD8" w14:textId="77777777" w:rsidR="00F11A8B" w:rsidRPr="006F6DAC" w:rsidRDefault="00F11A8B" w:rsidP="00F11A8B">
            <w:pPr>
              <w:rPr>
                <w:rFonts w:ascii="Garamond" w:hAnsi="Garamond"/>
                <w:sz w:val="22"/>
                <w:szCs w:val="22"/>
                <w:lang w:val="en-US"/>
              </w:rPr>
            </w:pPr>
            <w:r w:rsidRPr="006F6DAC">
              <w:rPr>
                <w:rFonts w:ascii="Garamond" w:hAnsi="Garamond"/>
                <w:sz w:val="22"/>
                <w:szCs w:val="22"/>
                <w:lang w:val="en-US"/>
              </w:rPr>
              <w:t xml:space="preserve">        &lt;measuring-device ats-code="1" device-modification-code="559A7B5B54DF0471E0530A01490A6E4F"&gt;</w:t>
            </w:r>
          </w:p>
          <w:p w14:paraId="6D70816E" w14:textId="77777777" w:rsidR="00F11A8B" w:rsidRPr="006F6DAC" w:rsidRDefault="00F11A8B" w:rsidP="00F11A8B">
            <w:pPr>
              <w:rPr>
                <w:rFonts w:ascii="Garamond" w:hAnsi="Garamond"/>
                <w:sz w:val="22"/>
                <w:szCs w:val="22"/>
                <w:lang w:val="en-US"/>
              </w:rPr>
            </w:pPr>
            <w:r w:rsidRPr="006F6DAC">
              <w:rPr>
                <w:rFonts w:ascii="Garamond" w:hAnsi="Garamond"/>
                <w:sz w:val="22"/>
                <w:szCs w:val="22"/>
                <w:lang w:val="en-US"/>
              </w:rPr>
              <w:t xml:space="preserve">          &lt;measuring-channel ats-code="02" period="30"/&gt;</w:t>
            </w:r>
          </w:p>
          <w:p w14:paraId="1022454F" w14:textId="77777777" w:rsidR="00F11A8B" w:rsidRPr="006F6DAC" w:rsidRDefault="00F11A8B" w:rsidP="00F11A8B">
            <w:pPr>
              <w:rPr>
                <w:rFonts w:ascii="Garamond" w:hAnsi="Garamond"/>
                <w:sz w:val="22"/>
                <w:szCs w:val="22"/>
                <w:lang w:val="en-US"/>
              </w:rPr>
            </w:pPr>
            <w:r w:rsidRPr="006F6DAC">
              <w:rPr>
                <w:rFonts w:ascii="Garamond" w:hAnsi="Garamond"/>
                <w:sz w:val="22"/>
                <w:szCs w:val="22"/>
                <w:lang w:val="en-US"/>
              </w:rPr>
              <w:t xml:space="preserve">          &lt;measuring-channel ats-code="04" period="30"/&gt;</w:t>
            </w:r>
          </w:p>
          <w:p w14:paraId="0DC9B45B" w14:textId="77777777" w:rsidR="00F11A8B" w:rsidRPr="006F6DAC" w:rsidRDefault="00F11A8B" w:rsidP="00F11A8B">
            <w:pPr>
              <w:rPr>
                <w:rFonts w:ascii="Garamond" w:hAnsi="Garamond"/>
                <w:sz w:val="22"/>
                <w:szCs w:val="22"/>
                <w:lang w:val="en-US"/>
              </w:rPr>
            </w:pPr>
            <w:r w:rsidRPr="006F6DAC">
              <w:rPr>
                <w:rFonts w:ascii="Garamond" w:hAnsi="Garamond"/>
                <w:sz w:val="22"/>
                <w:szCs w:val="22"/>
                <w:lang w:val="en-US"/>
              </w:rPr>
              <w:t xml:space="preserve">        &lt;/measuring-device&gt;</w:t>
            </w:r>
          </w:p>
          <w:p w14:paraId="0E18B392" w14:textId="77777777" w:rsidR="00F11A8B" w:rsidRPr="006F6DAC" w:rsidRDefault="00F11A8B" w:rsidP="00F11A8B">
            <w:pPr>
              <w:rPr>
                <w:rFonts w:ascii="Garamond" w:hAnsi="Garamond"/>
                <w:sz w:val="22"/>
                <w:szCs w:val="22"/>
                <w:lang w:val="en-US"/>
              </w:rPr>
            </w:pPr>
            <w:r w:rsidRPr="006F6DAC">
              <w:rPr>
                <w:rFonts w:ascii="Garamond" w:hAnsi="Garamond"/>
                <w:sz w:val="22"/>
                <w:szCs w:val="22"/>
                <w:lang w:val="en-US"/>
              </w:rPr>
              <w:t xml:space="preserve">      &lt;/measuring-point&gt;</w:t>
            </w:r>
          </w:p>
          <w:p w14:paraId="64AD9777" w14:textId="77777777" w:rsidR="00F11A8B" w:rsidRPr="006F6DAC" w:rsidRDefault="00F11A8B" w:rsidP="00F11A8B">
            <w:pPr>
              <w:rPr>
                <w:rFonts w:ascii="Garamond" w:hAnsi="Garamond"/>
                <w:sz w:val="22"/>
                <w:szCs w:val="22"/>
                <w:lang w:val="en-US"/>
              </w:rPr>
            </w:pPr>
            <w:r w:rsidRPr="006F6DAC">
              <w:rPr>
                <w:rFonts w:ascii="Garamond" w:hAnsi="Garamond"/>
                <w:sz w:val="22"/>
                <w:szCs w:val="22"/>
                <w:lang w:val="en-US"/>
              </w:rPr>
              <w:t xml:space="preserve">    &lt;/measuring-points&gt;</w:t>
            </w:r>
          </w:p>
          <w:p w14:paraId="7298AF9B" w14:textId="77777777" w:rsidR="00F11A8B" w:rsidRPr="006F6DAC" w:rsidRDefault="00F11A8B" w:rsidP="00F11A8B">
            <w:pPr>
              <w:rPr>
                <w:rFonts w:ascii="Garamond" w:hAnsi="Garamond"/>
                <w:sz w:val="22"/>
                <w:szCs w:val="22"/>
                <w:lang w:val="en-US"/>
              </w:rPr>
            </w:pPr>
            <w:r w:rsidRPr="006F6DAC">
              <w:rPr>
                <w:rFonts w:ascii="Garamond" w:hAnsi="Garamond"/>
                <w:sz w:val="22"/>
                <w:szCs w:val="22"/>
                <w:lang w:val="en-US"/>
              </w:rPr>
              <w:t xml:space="preserve">    &lt;measuring-device-modifications&gt;</w:t>
            </w:r>
          </w:p>
          <w:p w14:paraId="6695C56B" w14:textId="77777777" w:rsidR="00F11A8B" w:rsidRPr="006F6DAC" w:rsidRDefault="00F11A8B" w:rsidP="00F11A8B">
            <w:pPr>
              <w:rPr>
                <w:rFonts w:ascii="Garamond" w:hAnsi="Garamond"/>
                <w:sz w:val="22"/>
                <w:szCs w:val="22"/>
                <w:lang w:val="en-US"/>
              </w:rPr>
            </w:pPr>
            <w:r w:rsidRPr="006F6DAC">
              <w:rPr>
                <w:rFonts w:ascii="Garamond" w:hAnsi="Garamond"/>
                <w:sz w:val="22"/>
                <w:szCs w:val="22"/>
                <w:lang w:val="en-US"/>
              </w:rPr>
              <w:t xml:space="preserve">      &lt;measuring-device-modification ats-code="559A7B5B558C0471E0530A01490A6E4F" device-modification-name="EPQS 122.21.18.LL"/&gt;</w:t>
            </w:r>
          </w:p>
          <w:p w14:paraId="1AC37A4E" w14:textId="77777777" w:rsidR="00F11A8B" w:rsidRPr="006F6DAC" w:rsidRDefault="00F11A8B" w:rsidP="00F11A8B">
            <w:pPr>
              <w:rPr>
                <w:rFonts w:ascii="Garamond" w:hAnsi="Garamond"/>
                <w:sz w:val="22"/>
                <w:szCs w:val="22"/>
                <w:lang w:val="en-US"/>
              </w:rPr>
            </w:pPr>
            <w:r w:rsidRPr="006F6DAC">
              <w:rPr>
                <w:rFonts w:ascii="Garamond" w:hAnsi="Garamond"/>
                <w:sz w:val="22"/>
                <w:szCs w:val="22"/>
                <w:lang w:val="en-US"/>
              </w:rPr>
              <w:t xml:space="preserve">      &lt;measuring-device-modification ats-code="559A7B5B54DF0471E0530A01490A6E4F" device-modification-name="EPQS 122.21.12.LL"/&gt;</w:t>
            </w:r>
          </w:p>
          <w:p w14:paraId="5837D368" w14:textId="77777777" w:rsidR="00F11A8B" w:rsidRPr="006F6DAC" w:rsidRDefault="00F11A8B" w:rsidP="00F11A8B">
            <w:pPr>
              <w:rPr>
                <w:rFonts w:ascii="Garamond" w:hAnsi="Garamond"/>
                <w:sz w:val="22"/>
                <w:szCs w:val="22"/>
                <w:lang w:val="en-US"/>
              </w:rPr>
            </w:pPr>
            <w:r w:rsidRPr="006F6DAC">
              <w:rPr>
                <w:rFonts w:ascii="Garamond" w:hAnsi="Garamond"/>
                <w:sz w:val="22"/>
                <w:szCs w:val="22"/>
                <w:lang w:val="en-US"/>
              </w:rPr>
              <w:lastRenderedPageBreak/>
              <w:t xml:space="preserve">      &lt;measuring-device-modification ats-code="559A7B5B51FE0471E0530A01490A6E4F" device-modification-name="EPQS 111.08.07.LL"/&gt;</w:t>
            </w:r>
          </w:p>
          <w:p w14:paraId="70B62B26" w14:textId="77777777" w:rsidR="00F11A8B" w:rsidRPr="006F6DAC" w:rsidRDefault="00F11A8B" w:rsidP="00F11A8B">
            <w:pPr>
              <w:rPr>
                <w:rFonts w:ascii="Garamond" w:hAnsi="Garamond"/>
                <w:sz w:val="22"/>
                <w:szCs w:val="22"/>
                <w:lang w:val="en-US"/>
              </w:rPr>
            </w:pPr>
            <w:r w:rsidRPr="006F6DAC">
              <w:rPr>
                <w:rFonts w:ascii="Garamond" w:hAnsi="Garamond"/>
                <w:sz w:val="22"/>
                <w:szCs w:val="22"/>
                <w:lang w:val="en-US"/>
              </w:rPr>
              <w:t xml:space="preserve">    &lt;/measuring-device-modifications&gt;</w:t>
            </w:r>
          </w:p>
          <w:p w14:paraId="17A24000" w14:textId="77777777" w:rsidR="00F11A8B" w:rsidRPr="006F6DAC" w:rsidRDefault="00F11A8B" w:rsidP="00F11A8B">
            <w:pPr>
              <w:rPr>
                <w:rFonts w:ascii="Garamond" w:hAnsi="Garamond"/>
                <w:sz w:val="22"/>
                <w:szCs w:val="22"/>
                <w:lang w:val="en-US"/>
              </w:rPr>
            </w:pPr>
            <w:r w:rsidRPr="006F6DAC">
              <w:rPr>
                <w:rFonts w:ascii="Garamond" w:hAnsi="Garamond"/>
                <w:sz w:val="22"/>
                <w:szCs w:val="22"/>
                <w:lang w:val="en-US"/>
              </w:rPr>
              <w:t xml:space="preserve">    &lt;measuring-objects&gt;</w:t>
            </w:r>
          </w:p>
          <w:p w14:paraId="467E08C1" w14:textId="77777777" w:rsidR="00F11A8B" w:rsidRPr="006F6DAC" w:rsidRDefault="00F11A8B" w:rsidP="00F11A8B">
            <w:pPr>
              <w:rPr>
                <w:rFonts w:ascii="Garamond" w:hAnsi="Garamond"/>
                <w:sz w:val="22"/>
                <w:szCs w:val="22"/>
                <w:lang w:val="en-US"/>
              </w:rPr>
            </w:pPr>
            <w:r w:rsidRPr="006F6DAC">
              <w:rPr>
                <w:rFonts w:ascii="Garamond" w:hAnsi="Garamond"/>
                <w:sz w:val="22"/>
                <w:szCs w:val="22"/>
                <w:lang w:val="en-US"/>
              </w:rPr>
              <w:tab/>
            </w:r>
            <w:r w:rsidRPr="006F6DAC">
              <w:rPr>
                <w:rFonts w:ascii="Garamond" w:hAnsi="Garamond"/>
                <w:sz w:val="22"/>
                <w:szCs w:val="22"/>
                <w:lang w:val="en-US"/>
              </w:rPr>
              <w:tab/>
              <w:t>&lt;measuring-object ats-code="123456789012345" measuring-object-type="1" name="</w:t>
            </w:r>
            <w:r w:rsidRPr="006F6DAC">
              <w:rPr>
                <w:rFonts w:ascii="Garamond" w:hAnsi="Garamond"/>
                <w:sz w:val="22"/>
                <w:szCs w:val="22"/>
              </w:rPr>
              <w:t>Наименование</w:t>
            </w:r>
            <w:r w:rsidRPr="006F6DAC">
              <w:rPr>
                <w:rFonts w:ascii="Garamond" w:hAnsi="Garamond"/>
                <w:sz w:val="22"/>
                <w:szCs w:val="22"/>
                <w:lang w:val="en-US"/>
              </w:rPr>
              <w:t xml:space="preserve"> </w:t>
            </w:r>
            <w:r w:rsidRPr="006F6DAC">
              <w:rPr>
                <w:rFonts w:ascii="Garamond" w:hAnsi="Garamond"/>
                <w:sz w:val="22"/>
                <w:szCs w:val="22"/>
              </w:rPr>
              <w:t>объекта</w:t>
            </w:r>
            <w:r w:rsidRPr="006F6DAC">
              <w:rPr>
                <w:rFonts w:ascii="Garamond" w:hAnsi="Garamond"/>
                <w:sz w:val="22"/>
                <w:szCs w:val="22"/>
                <w:lang w:val="en-US"/>
              </w:rPr>
              <w:t xml:space="preserve"> </w:t>
            </w:r>
            <w:r w:rsidRPr="006F6DAC">
              <w:rPr>
                <w:rFonts w:ascii="Garamond" w:hAnsi="Garamond"/>
                <w:sz w:val="22"/>
                <w:szCs w:val="22"/>
              </w:rPr>
              <w:t>измерени</w:t>
            </w:r>
            <w:r w:rsidRPr="006F6DAC">
              <w:rPr>
                <w:rFonts w:ascii="Garamond" w:hAnsi="Garamond"/>
                <w:sz w:val="22"/>
                <w:szCs w:val="22"/>
                <w:highlight w:val="yellow"/>
              </w:rPr>
              <w:t>й</w:t>
            </w:r>
            <w:r w:rsidRPr="006F6DAC">
              <w:rPr>
                <w:rFonts w:ascii="Garamond" w:hAnsi="Garamond"/>
                <w:sz w:val="22"/>
                <w:szCs w:val="22"/>
                <w:lang w:val="en-US"/>
              </w:rPr>
              <w:t>" period="30"/&gt;</w:t>
            </w:r>
          </w:p>
          <w:p w14:paraId="6C22BC43" w14:textId="77777777" w:rsidR="00F11A8B" w:rsidRPr="006F6DAC" w:rsidRDefault="00F11A8B" w:rsidP="00F11A8B">
            <w:pPr>
              <w:rPr>
                <w:rFonts w:ascii="Garamond" w:hAnsi="Garamond"/>
                <w:sz w:val="22"/>
                <w:szCs w:val="22"/>
                <w:lang w:val="en-US"/>
              </w:rPr>
            </w:pPr>
            <w:r w:rsidRPr="006F6DAC">
              <w:rPr>
                <w:rFonts w:ascii="Garamond" w:hAnsi="Garamond"/>
                <w:sz w:val="22"/>
                <w:szCs w:val="22"/>
                <w:lang w:val="en-US"/>
              </w:rPr>
              <w:t xml:space="preserve">    &lt;/measuring-objects&gt;</w:t>
            </w:r>
          </w:p>
          <w:p w14:paraId="0B9D429D" w14:textId="77777777" w:rsidR="00F11A8B" w:rsidRPr="006F6DAC" w:rsidRDefault="00F11A8B" w:rsidP="00F11A8B">
            <w:pPr>
              <w:rPr>
                <w:rFonts w:ascii="Garamond" w:hAnsi="Garamond"/>
                <w:sz w:val="22"/>
                <w:szCs w:val="22"/>
                <w:lang w:val="en-US"/>
              </w:rPr>
            </w:pPr>
            <w:r w:rsidRPr="006F6DAC">
              <w:rPr>
                <w:rFonts w:ascii="Garamond" w:hAnsi="Garamond"/>
                <w:sz w:val="22"/>
                <w:szCs w:val="22"/>
                <w:lang w:val="en-US"/>
              </w:rPr>
              <w:t xml:space="preserve">  &lt;/dictionaries&gt;</w:t>
            </w:r>
          </w:p>
          <w:p w14:paraId="2B1146A5" w14:textId="77777777" w:rsidR="00F11A8B" w:rsidRPr="006F6DAC" w:rsidRDefault="00F11A8B" w:rsidP="00F11A8B">
            <w:pPr>
              <w:rPr>
                <w:rFonts w:ascii="Garamond" w:hAnsi="Garamond"/>
                <w:sz w:val="22"/>
                <w:szCs w:val="22"/>
                <w:lang w:val="en-US"/>
              </w:rPr>
            </w:pPr>
            <w:r w:rsidRPr="006F6DAC">
              <w:rPr>
                <w:rFonts w:ascii="Garamond" w:hAnsi="Garamond"/>
                <w:sz w:val="22"/>
                <w:szCs w:val="22"/>
                <w:lang w:val="en-US"/>
              </w:rPr>
              <w:t xml:space="preserve">  &lt;links&gt;</w:t>
            </w:r>
          </w:p>
          <w:p w14:paraId="50CFF7F7" w14:textId="77777777" w:rsidR="00F11A8B" w:rsidRPr="006F6DAC" w:rsidRDefault="00F11A8B" w:rsidP="00F11A8B">
            <w:pPr>
              <w:rPr>
                <w:rFonts w:ascii="Garamond" w:hAnsi="Garamond"/>
                <w:sz w:val="22"/>
                <w:szCs w:val="22"/>
                <w:lang w:val="en-US"/>
              </w:rPr>
            </w:pPr>
            <w:r w:rsidRPr="006F6DAC">
              <w:rPr>
                <w:rFonts w:ascii="Garamond" w:hAnsi="Garamond"/>
                <w:sz w:val="22"/>
                <w:szCs w:val="22"/>
                <w:lang w:val="en-US"/>
              </w:rPr>
              <w:t xml:space="preserve">    &lt;ov-measuring-point-links&gt;</w:t>
            </w:r>
          </w:p>
          <w:p w14:paraId="55689845" w14:textId="77777777" w:rsidR="00F11A8B" w:rsidRPr="006F6DAC" w:rsidRDefault="00F11A8B" w:rsidP="00F11A8B">
            <w:pPr>
              <w:rPr>
                <w:rFonts w:ascii="Garamond" w:hAnsi="Garamond"/>
                <w:sz w:val="22"/>
                <w:szCs w:val="22"/>
                <w:lang w:val="en-US"/>
              </w:rPr>
            </w:pPr>
            <w:r w:rsidRPr="006F6DAC">
              <w:rPr>
                <w:rFonts w:ascii="Garamond" w:hAnsi="Garamond"/>
                <w:sz w:val="22"/>
                <w:szCs w:val="22"/>
                <w:lang w:val="en-US"/>
              </w:rPr>
              <w:tab/>
            </w:r>
            <w:r w:rsidRPr="006F6DAC">
              <w:rPr>
                <w:rFonts w:ascii="Garamond" w:hAnsi="Garamond"/>
                <w:sz w:val="22"/>
                <w:szCs w:val="22"/>
                <w:lang w:val="en-US"/>
              </w:rPr>
              <w:tab/>
              <w:t>&lt;ov-measuring-point-link ov-measuring-point-code="123456789123457" serviced-measuring-point-code="123456789123458"/&gt;</w:t>
            </w:r>
          </w:p>
          <w:p w14:paraId="28A66B3B" w14:textId="77777777" w:rsidR="00F11A8B" w:rsidRPr="006F6DAC" w:rsidRDefault="00F11A8B" w:rsidP="00F11A8B">
            <w:pPr>
              <w:rPr>
                <w:rFonts w:ascii="Garamond" w:hAnsi="Garamond"/>
                <w:sz w:val="22"/>
                <w:szCs w:val="22"/>
                <w:lang w:val="en-US"/>
              </w:rPr>
            </w:pPr>
            <w:r w:rsidRPr="006F6DAC">
              <w:rPr>
                <w:rFonts w:ascii="Garamond" w:hAnsi="Garamond"/>
                <w:sz w:val="22"/>
                <w:szCs w:val="22"/>
                <w:lang w:val="en-US"/>
              </w:rPr>
              <w:t xml:space="preserve">    &lt;/ov-measuring-point-links&gt;</w:t>
            </w:r>
          </w:p>
          <w:p w14:paraId="136C79F2" w14:textId="77777777" w:rsidR="00F11A8B" w:rsidRPr="006F6DAC" w:rsidRDefault="00F11A8B" w:rsidP="00F11A8B">
            <w:pPr>
              <w:rPr>
                <w:rFonts w:ascii="Garamond" w:hAnsi="Garamond"/>
                <w:sz w:val="22"/>
                <w:szCs w:val="22"/>
                <w:lang w:val="en-US"/>
              </w:rPr>
            </w:pPr>
            <w:r w:rsidRPr="006F6DAC">
              <w:rPr>
                <w:rFonts w:ascii="Garamond" w:hAnsi="Garamond"/>
                <w:sz w:val="22"/>
                <w:szCs w:val="22"/>
                <w:lang w:val="en-US"/>
              </w:rPr>
              <w:t xml:space="preserve">    &lt;group-delivery-point-composition&gt;</w:t>
            </w:r>
          </w:p>
          <w:p w14:paraId="438F05A4" w14:textId="77777777" w:rsidR="00F11A8B" w:rsidRPr="006F6DAC" w:rsidRDefault="00F11A8B" w:rsidP="00F11A8B">
            <w:pPr>
              <w:rPr>
                <w:rFonts w:ascii="Garamond" w:hAnsi="Garamond"/>
                <w:sz w:val="22"/>
                <w:szCs w:val="22"/>
                <w:lang w:val="en-US"/>
              </w:rPr>
            </w:pPr>
            <w:r w:rsidRPr="006F6DAC">
              <w:rPr>
                <w:rFonts w:ascii="Garamond" w:hAnsi="Garamond"/>
                <w:sz w:val="22"/>
                <w:szCs w:val="22"/>
                <w:lang w:val="en-US"/>
              </w:rPr>
              <w:t xml:space="preserve">      &lt;group-delivery-point group-delivery-point-code="123456789123456" simple-delivery-point-code="123456789123457"/&gt;</w:t>
            </w:r>
          </w:p>
          <w:p w14:paraId="60D83E6A" w14:textId="77777777" w:rsidR="00F11A8B" w:rsidRPr="006F6DAC" w:rsidRDefault="00F11A8B" w:rsidP="00F11A8B">
            <w:pPr>
              <w:rPr>
                <w:rFonts w:ascii="Garamond" w:hAnsi="Garamond"/>
                <w:sz w:val="22"/>
                <w:szCs w:val="22"/>
                <w:lang w:val="en-US"/>
              </w:rPr>
            </w:pPr>
            <w:r w:rsidRPr="006F6DAC">
              <w:rPr>
                <w:rFonts w:ascii="Garamond" w:hAnsi="Garamond"/>
                <w:sz w:val="22"/>
                <w:szCs w:val="22"/>
                <w:lang w:val="en-US"/>
              </w:rPr>
              <w:t xml:space="preserve">      &lt;group-delivery-point group-delivery-point-code="123456789123456" simple-delivery-point-code="123456789123458"/&gt;</w:t>
            </w:r>
          </w:p>
          <w:p w14:paraId="62DF608B" w14:textId="77777777" w:rsidR="00F11A8B" w:rsidRPr="006F6DAC" w:rsidRDefault="00F11A8B" w:rsidP="00F11A8B">
            <w:pPr>
              <w:rPr>
                <w:rFonts w:ascii="Garamond" w:hAnsi="Garamond"/>
                <w:sz w:val="22"/>
                <w:szCs w:val="22"/>
                <w:lang w:val="en-US"/>
              </w:rPr>
            </w:pPr>
            <w:r w:rsidRPr="006F6DAC">
              <w:rPr>
                <w:rFonts w:ascii="Garamond" w:hAnsi="Garamond"/>
                <w:sz w:val="22"/>
                <w:szCs w:val="22"/>
                <w:lang w:val="en-US"/>
              </w:rPr>
              <w:t xml:space="preserve">    &lt;/group-delivery-point-composition&gt;</w:t>
            </w:r>
          </w:p>
          <w:p w14:paraId="2E878DE3" w14:textId="77777777" w:rsidR="00F11A8B" w:rsidRPr="006F6DAC" w:rsidRDefault="00F11A8B" w:rsidP="00F11A8B">
            <w:pPr>
              <w:rPr>
                <w:rFonts w:ascii="Garamond" w:hAnsi="Garamond"/>
                <w:sz w:val="22"/>
                <w:szCs w:val="22"/>
                <w:lang w:val="en-US"/>
              </w:rPr>
            </w:pPr>
            <w:r w:rsidRPr="006F6DAC">
              <w:rPr>
                <w:rFonts w:ascii="Garamond" w:hAnsi="Garamond"/>
                <w:sz w:val="22"/>
                <w:szCs w:val="22"/>
                <w:lang w:val="en-US"/>
              </w:rPr>
              <w:t xml:space="preserve">    &lt;power-center-power-object-links&gt;</w:t>
            </w:r>
          </w:p>
          <w:p w14:paraId="215B0BB1" w14:textId="77777777" w:rsidR="00F11A8B" w:rsidRPr="006F6DAC" w:rsidRDefault="00F11A8B" w:rsidP="00F11A8B">
            <w:pPr>
              <w:rPr>
                <w:rFonts w:ascii="Garamond" w:hAnsi="Garamond"/>
                <w:sz w:val="22"/>
                <w:szCs w:val="22"/>
                <w:lang w:val="en-US"/>
              </w:rPr>
            </w:pPr>
            <w:r w:rsidRPr="006F6DAC">
              <w:rPr>
                <w:rFonts w:ascii="Garamond" w:hAnsi="Garamond"/>
                <w:sz w:val="22"/>
                <w:szCs w:val="22"/>
                <w:lang w:val="en-US"/>
              </w:rPr>
              <w:tab/>
            </w:r>
            <w:r w:rsidRPr="006F6DAC">
              <w:rPr>
                <w:rFonts w:ascii="Garamond" w:hAnsi="Garamond"/>
                <w:sz w:val="22"/>
                <w:szCs w:val="22"/>
                <w:lang w:val="en-US"/>
              </w:rPr>
              <w:tab/>
              <w:t>&lt;power-center-power-object-link power-center-code="123456789" power-object-code="123456781"/&gt;</w:t>
            </w:r>
          </w:p>
          <w:p w14:paraId="3CDC510E" w14:textId="77777777" w:rsidR="00F11A8B" w:rsidRPr="006F6DAC" w:rsidRDefault="00F11A8B" w:rsidP="00F11A8B">
            <w:pPr>
              <w:rPr>
                <w:rFonts w:ascii="Garamond" w:hAnsi="Garamond"/>
                <w:sz w:val="22"/>
                <w:szCs w:val="22"/>
                <w:lang w:val="en-US"/>
              </w:rPr>
            </w:pPr>
            <w:r w:rsidRPr="006F6DAC">
              <w:rPr>
                <w:rFonts w:ascii="Garamond" w:hAnsi="Garamond"/>
                <w:sz w:val="22"/>
                <w:szCs w:val="22"/>
                <w:lang w:val="en-US"/>
              </w:rPr>
              <w:t xml:space="preserve">    &lt;/power-center-power-object-links&gt;</w:t>
            </w:r>
          </w:p>
          <w:p w14:paraId="6B1E5210" w14:textId="77777777" w:rsidR="00F11A8B" w:rsidRPr="006F6DAC" w:rsidRDefault="00F11A8B" w:rsidP="00F11A8B">
            <w:pPr>
              <w:rPr>
                <w:rFonts w:ascii="Garamond" w:hAnsi="Garamond"/>
                <w:sz w:val="22"/>
                <w:szCs w:val="22"/>
                <w:lang w:val="en-US"/>
              </w:rPr>
            </w:pPr>
            <w:r w:rsidRPr="006F6DAC">
              <w:rPr>
                <w:rFonts w:ascii="Garamond" w:hAnsi="Garamond"/>
                <w:sz w:val="22"/>
                <w:szCs w:val="22"/>
                <w:lang w:val="en-US"/>
              </w:rPr>
              <w:t xml:space="preserve">  &lt;/links&gt;</w:t>
            </w:r>
          </w:p>
          <w:p w14:paraId="053F10B3" w14:textId="77777777" w:rsidR="00F11A8B" w:rsidRPr="006F6DAC" w:rsidRDefault="00F11A8B" w:rsidP="00F11A8B">
            <w:pPr>
              <w:rPr>
                <w:rFonts w:ascii="Garamond" w:hAnsi="Garamond"/>
                <w:sz w:val="22"/>
                <w:szCs w:val="22"/>
                <w:lang w:val="en-US"/>
              </w:rPr>
            </w:pPr>
            <w:r w:rsidRPr="006F6DAC">
              <w:rPr>
                <w:rFonts w:ascii="Garamond" w:hAnsi="Garamond"/>
                <w:sz w:val="22"/>
                <w:szCs w:val="22"/>
                <w:lang w:val="en-US"/>
              </w:rPr>
              <w:t xml:space="preserve">  &lt;aiis ats-code="1020304060" name="</w:t>
            </w:r>
            <w:r w:rsidRPr="006F6DAC">
              <w:rPr>
                <w:rFonts w:ascii="Garamond" w:hAnsi="Garamond"/>
                <w:sz w:val="22"/>
                <w:szCs w:val="22"/>
              </w:rPr>
              <w:t>Наименование</w:t>
            </w:r>
            <w:r w:rsidRPr="006F6DAC">
              <w:rPr>
                <w:rFonts w:ascii="Garamond" w:hAnsi="Garamond"/>
                <w:sz w:val="22"/>
                <w:szCs w:val="22"/>
                <w:lang w:val="en-US"/>
              </w:rPr>
              <w:t xml:space="preserve"> </w:t>
            </w:r>
            <w:r w:rsidRPr="006F6DAC">
              <w:rPr>
                <w:rFonts w:ascii="Garamond" w:hAnsi="Garamond"/>
                <w:sz w:val="22"/>
                <w:szCs w:val="22"/>
              </w:rPr>
              <w:t>АИИС</w:t>
            </w:r>
            <w:r w:rsidRPr="006F6DAC">
              <w:rPr>
                <w:rFonts w:ascii="Garamond" w:hAnsi="Garamond"/>
                <w:sz w:val="22"/>
                <w:szCs w:val="22"/>
                <w:lang w:val="en-US"/>
              </w:rPr>
              <w:t>"&gt;</w:t>
            </w:r>
          </w:p>
          <w:p w14:paraId="5F705142" w14:textId="77777777" w:rsidR="00F11A8B" w:rsidRPr="006F6DAC" w:rsidRDefault="00F11A8B" w:rsidP="00F11A8B">
            <w:pPr>
              <w:rPr>
                <w:rFonts w:ascii="Garamond" w:hAnsi="Garamond"/>
                <w:sz w:val="22"/>
                <w:szCs w:val="22"/>
                <w:lang w:val="en-US"/>
              </w:rPr>
            </w:pPr>
            <w:r w:rsidRPr="006F6DAC">
              <w:rPr>
                <w:rFonts w:ascii="Garamond" w:hAnsi="Garamond"/>
                <w:sz w:val="22"/>
                <w:szCs w:val="22"/>
                <w:lang w:val="en-US"/>
              </w:rPr>
              <w:t xml:space="preserve">    &lt;area ats-code="1020304051" group-type="1" name="</w:t>
            </w:r>
            <w:r w:rsidRPr="006F6DAC">
              <w:rPr>
                <w:rFonts w:ascii="Garamond" w:hAnsi="Garamond"/>
                <w:sz w:val="22"/>
                <w:szCs w:val="22"/>
              </w:rPr>
              <w:t>Наименование</w:t>
            </w:r>
            <w:r w:rsidRPr="006F6DAC">
              <w:rPr>
                <w:rFonts w:ascii="Garamond" w:hAnsi="Garamond"/>
                <w:sz w:val="22"/>
                <w:szCs w:val="22"/>
                <w:lang w:val="en-US"/>
              </w:rPr>
              <w:t xml:space="preserve"> area" time-zone="1"&gt;</w:t>
            </w:r>
          </w:p>
          <w:p w14:paraId="72EA2D96" w14:textId="77777777" w:rsidR="00F11A8B" w:rsidRPr="006F6DAC" w:rsidRDefault="00F11A8B" w:rsidP="00F11A8B">
            <w:pPr>
              <w:rPr>
                <w:rFonts w:ascii="Garamond" w:hAnsi="Garamond"/>
                <w:sz w:val="22"/>
                <w:szCs w:val="22"/>
                <w:lang w:val="en-US"/>
              </w:rPr>
            </w:pPr>
            <w:r w:rsidRPr="006F6DAC">
              <w:rPr>
                <w:rFonts w:ascii="Garamond" w:hAnsi="Garamond"/>
                <w:sz w:val="22"/>
                <w:szCs w:val="22"/>
                <w:lang w:val="en-US"/>
              </w:rPr>
              <w:t xml:space="preserve">      &lt;serviced-points-list&gt;</w:t>
            </w:r>
          </w:p>
          <w:p w14:paraId="1CE3C0D1" w14:textId="77777777" w:rsidR="00F11A8B" w:rsidRPr="006F6DAC" w:rsidRDefault="00F11A8B" w:rsidP="00F11A8B">
            <w:pPr>
              <w:rPr>
                <w:rFonts w:ascii="Garamond" w:hAnsi="Garamond"/>
                <w:sz w:val="22"/>
                <w:szCs w:val="22"/>
                <w:lang w:val="en-US"/>
              </w:rPr>
            </w:pPr>
            <w:r w:rsidRPr="006F6DAC">
              <w:rPr>
                <w:rFonts w:ascii="Garamond" w:hAnsi="Garamond"/>
                <w:sz w:val="22"/>
                <w:szCs w:val="22"/>
                <w:lang w:val="en-US"/>
              </w:rPr>
              <w:t xml:space="preserve">        &lt;delivery-point-measuring-point-link delivery-point-code="123456789123456" measuring-point-code="123456789123456"/&gt;</w:t>
            </w:r>
          </w:p>
          <w:p w14:paraId="6868C600" w14:textId="77777777" w:rsidR="00F11A8B" w:rsidRPr="006F6DAC" w:rsidRDefault="00F11A8B" w:rsidP="00F11A8B">
            <w:pPr>
              <w:rPr>
                <w:rFonts w:ascii="Garamond" w:hAnsi="Garamond"/>
                <w:sz w:val="22"/>
                <w:szCs w:val="22"/>
                <w:lang w:val="en-US"/>
              </w:rPr>
            </w:pPr>
            <w:r w:rsidRPr="006F6DAC">
              <w:rPr>
                <w:rFonts w:ascii="Garamond" w:hAnsi="Garamond"/>
                <w:sz w:val="22"/>
                <w:szCs w:val="22"/>
                <w:lang w:val="en-US"/>
              </w:rPr>
              <w:t xml:space="preserve">        &lt;delivery-point-measuring-point-link delivery-point-code="123456789123457" measuring-point-code="123456789123457"/&gt;</w:t>
            </w:r>
          </w:p>
          <w:p w14:paraId="1680D10F" w14:textId="77777777" w:rsidR="00F11A8B" w:rsidRPr="006F6DAC" w:rsidRDefault="00F11A8B" w:rsidP="00F11A8B">
            <w:pPr>
              <w:rPr>
                <w:rFonts w:ascii="Garamond" w:hAnsi="Garamond"/>
                <w:sz w:val="22"/>
                <w:szCs w:val="22"/>
                <w:lang w:val="en-US"/>
              </w:rPr>
            </w:pPr>
            <w:r w:rsidRPr="006F6DAC">
              <w:rPr>
                <w:rFonts w:ascii="Garamond" w:hAnsi="Garamond"/>
                <w:sz w:val="22"/>
                <w:szCs w:val="22"/>
                <w:lang w:val="en-US"/>
              </w:rPr>
              <w:t xml:space="preserve">        &lt;delivery-point-measuring-point-link delivery-point-code="123456789123458" measuring-point-code="123456789123458"/&gt;</w:t>
            </w:r>
          </w:p>
          <w:p w14:paraId="66E0E4DE" w14:textId="77777777" w:rsidR="00F11A8B" w:rsidRPr="006F6DAC" w:rsidRDefault="00F11A8B" w:rsidP="00F11A8B">
            <w:pPr>
              <w:rPr>
                <w:rFonts w:ascii="Garamond" w:hAnsi="Garamond"/>
                <w:sz w:val="22"/>
                <w:szCs w:val="22"/>
                <w:lang w:val="en-US"/>
              </w:rPr>
            </w:pPr>
            <w:r w:rsidRPr="006F6DAC">
              <w:rPr>
                <w:rFonts w:ascii="Garamond" w:hAnsi="Garamond"/>
                <w:sz w:val="22"/>
                <w:szCs w:val="22"/>
                <w:lang w:val="en-US"/>
              </w:rPr>
              <w:t xml:space="preserve">      &lt;/serviced-points-list&gt;</w:t>
            </w:r>
          </w:p>
          <w:p w14:paraId="5CB9103C" w14:textId="77777777" w:rsidR="00F11A8B" w:rsidRPr="006F6DAC" w:rsidRDefault="00F11A8B" w:rsidP="00F11A8B">
            <w:pPr>
              <w:rPr>
                <w:rFonts w:ascii="Garamond" w:hAnsi="Garamond"/>
                <w:sz w:val="22"/>
                <w:szCs w:val="22"/>
                <w:lang w:val="en-US"/>
              </w:rPr>
            </w:pPr>
            <w:r w:rsidRPr="006F6DAC">
              <w:rPr>
                <w:rFonts w:ascii="Garamond" w:hAnsi="Garamond"/>
                <w:sz w:val="22"/>
                <w:szCs w:val="22"/>
                <w:lang w:val="en-US"/>
              </w:rPr>
              <w:t xml:space="preserve">      &lt;measuring-channels-list&gt;</w:t>
            </w:r>
          </w:p>
          <w:p w14:paraId="42B0A3BD" w14:textId="77777777" w:rsidR="00F11A8B" w:rsidRPr="006F6DAC" w:rsidRDefault="00F11A8B" w:rsidP="00F11A8B">
            <w:pPr>
              <w:rPr>
                <w:rFonts w:ascii="Garamond" w:hAnsi="Garamond"/>
                <w:sz w:val="22"/>
                <w:szCs w:val="22"/>
                <w:lang w:val="en-US"/>
              </w:rPr>
            </w:pPr>
            <w:r w:rsidRPr="006F6DAC">
              <w:rPr>
                <w:rFonts w:ascii="Garamond" w:hAnsi="Garamond"/>
                <w:sz w:val="22"/>
                <w:szCs w:val="22"/>
                <w:lang w:val="en-US"/>
              </w:rPr>
              <w:lastRenderedPageBreak/>
              <w:t xml:space="preserve">        &lt;measuring-channel measuring-channel-code="123456789123456/02"/&gt;</w:t>
            </w:r>
          </w:p>
          <w:p w14:paraId="0D86709D" w14:textId="77777777" w:rsidR="00F11A8B" w:rsidRPr="006F6DAC" w:rsidRDefault="00F11A8B" w:rsidP="00F11A8B">
            <w:pPr>
              <w:rPr>
                <w:rFonts w:ascii="Garamond" w:hAnsi="Garamond"/>
                <w:sz w:val="22"/>
                <w:szCs w:val="22"/>
                <w:lang w:val="en-US"/>
              </w:rPr>
            </w:pPr>
            <w:r w:rsidRPr="006F6DAC">
              <w:rPr>
                <w:rFonts w:ascii="Garamond" w:hAnsi="Garamond"/>
                <w:sz w:val="22"/>
                <w:szCs w:val="22"/>
                <w:lang w:val="en-US"/>
              </w:rPr>
              <w:t xml:space="preserve">        &lt;measuring-channel measuring-channel-code="123456789123456/04"/&gt;</w:t>
            </w:r>
          </w:p>
          <w:p w14:paraId="799B0089" w14:textId="77777777" w:rsidR="00F11A8B" w:rsidRPr="006F6DAC" w:rsidRDefault="00F11A8B" w:rsidP="00F11A8B">
            <w:pPr>
              <w:rPr>
                <w:rFonts w:ascii="Garamond" w:hAnsi="Garamond"/>
                <w:sz w:val="22"/>
                <w:szCs w:val="22"/>
                <w:lang w:val="en-US"/>
              </w:rPr>
            </w:pPr>
            <w:r w:rsidRPr="006F6DAC">
              <w:rPr>
                <w:rFonts w:ascii="Garamond" w:hAnsi="Garamond"/>
                <w:sz w:val="22"/>
                <w:szCs w:val="22"/>
                <w:lang w:val="en-US"/>
              </w:rPr>
              <w:t xml:space="preserve">        &lt;measuring-channel measuring-channel-code="123456789123457/02"/&gt;</w:t>
            </w:r>
          </w:p>
          <w:p w14:paraId="4A708F3D" w14:textId="77777777" w:rsidR="00F11A8B" w:rsidRPr="006F6DAC" w:rsidRDefault="00F11A8B" w:rsidP="00F11A8B">
            <w:pPr>
              <w:rPr>
                <w:rFonts w:ascii="Garamond" w:hAnsi="Garamond"/>
                <w:sz w:val="22"/>
                <w:szCs w:val="22"/>
                <w:lang w:val="en-US"/>
              </w:rPr>
            </w:pPr>
            <w:r w:rsidRPr="006F6DAC">
              <w:rPr>
                <w:rFonts w:ascii="Garamond" w:hAnsi="Garamond"/>
                <w:sz w:val="22"/>
                <w:szCs w:val="22"/>
                <w:lang w:val="en-US"/>
              </w:rPr>
              <w:t xml:space="preserve">        &lt;measuring-channel measuring-channel-code="123456789123457/04"/&gt;</w:t>
            </w:r>
          </w:p>
          <w:p w14:paraId="5B340095" w14:textId="77777777" w:rsidR="00F11A8B" w:rsidRPr="006F6DAC" w:rsidRDefault="00F11A8B" w:rsidP="00F11A8B">
            <w:pPr>
              <w:rPr>
                <w:rFonts w:ascii="Garamond" w:hAnsi="Garamond"/>
                <w:sz w:val="22"/>
                <w:szCs w:val="22"/>
                <w:lang w:val="en-US"/>
              </w:rPr>
            </w:pPr>
            <w:r w:rsidRPr="006F6DAC">
              <w:rPr>
                <w:rFonts w:ascii="Garamond" w:hAnsi="Garamond"/>
                <w:sz w:val="22"/>
                <w:szCs w:val="22"/>
                <w:lang w:val="en-US"/>
              </w:rPr>
              <w:t xml:space="preserve">        &lt;measuring-channel measuring-channel-code="123456789123458/02"/&gt;</w:t>
            </w:r>
          </w:p>
          <w:p w14:paraId="750743C5" w14:textId="77777777" w:rsidR="00F11A8B" w:rsidRPr="006F6DAC" w:rsidRDefault="00F11A8B" w:rsidP="00F11A8B">
            <w:pPr>
              <w:rPr>
                <w:rFonts w:ascii="Garamond" w:hAnsi="Garamond"/>
                <w:sz w:val="22"/>
                <w:szCs w:val="22"/>
                <w:lang w:val="en-US"/>
              </w:rPr>
            </w:pPr>
            <w:r w:rsidRPr="006F6DAC">
              <w:rPr>
                <w:rFonts w:ascii="Garamond" w:hAnsi="Garamond"/>
                <w:sz w:val="22"/>
                <w:szCs w:val="22"/>
                <w:lang w:val="en-US"/>
              </w:rPr>
              <w:t xml:space="preserve">        &lt;measuring-channel measuring-channel-code="123456789123458/04"/&gt;</w:t>
            </w:r>
          </w:p>
          <w:p w14:paraId="32BFCF22" w14:textId="77777777" w:rsidR="00F11A8B" w:rsidRPr="006F6DAC" w:rsidRDefault="00F11A8B" w:rsidP="00F11A8B">
            <w:pPr>
              <w:rPr>
                <w:rFonts w:ascii="Garamond" w:hAnsi="Garamond"/>
                <w:sz w:val="22"/>
                <w:szCs w:val="22"/>
                <w:lang w:val="en-US"/>
              </w:rPr>
            </w:pPr>
            <w:r w:rsidRPr="006F6DAC">
              <w:rPr>
                <w:rFonts w:ascii="Garamond" w:hAnsi="Garamond"/>
                <w:sz w:val="22"/>
                <w:szCs w:val="22"/>
                <w:lang w:val="en-US"/>
              </w:rPr>
              <w:t xml:space="preserve">       &lt;/measuring-channels-list&gt;</w:t>
            </w:r>
          </w:p>
          <w:p w14:paraId="037A1ADB" w14:textId="77777777" w:rsidR="00F11A8B" w:rsidRPr="006F6DAC" w:rsidRDefault="00F11A8B" w:rsidP="00F11A8B">
            <w:pPr>
              <w:rPr>
                <w:rFonts w:ascii="Garamond" w:hAnsi="Garamond"/>
                <w:sz w:val="22"/>
                <w:szCs w:val="22"/>
                <w:lang w:val="en-US"/>
              </w:rPr>
            </w:pPr>
            <w:r w:rsidRPr="006F6DAC">
              <w:rPr>
                <w:rFonts w:ascii="Garamond" w:hAnsi="Garamond"/>
                <w:sz w:val="22"/>
                <w:szCs w:val="22"/>
                <w:lang w:val="en-US"/>
              </w:rPr>
              <w:t xml:space="preserve">      &lt;measuring-objects-list&gt;</w:t>
            </w:r>
          </w:p>
          <w:p w14:paraId="7E64EC51" w14:textId="77777777" w:rsidR="00F11A8B" w:rsidRPr="006F6DAC" w:rsidRDefault="00F11A8B" w:rsidP="00F11A8B">
            <w:pPr>
              <w:rPr>
                <w:rFonts w:ascii="Garamond" w:hAnsi="Garamond"/>
                <w:sz w:val="22"/>
                <w:szCs w:val="22"/>
                <w:lang w:val="en-US"/>
              </w:rPr>
            </w:pPr>
            <w:r w:rsidRPr="006F6DAC">
              <w:rPr>
                <w:rFonts w:ascii="Garamond" w:hAnsi="Garamond"/>
                <w:sz w:val="22"/>
                <w:szCs w:val="22"/>
                <w:lang w:val="en-US"/>
              </w:rPr>
              <w:tab/>
            </w:r>
            <w:r w:rsidRPr="006F6DAC">
              <w:rPr>
                <w:rFonts w:ascii="Garamond" w:hAnsi="Garamond"/>
                <w:sz w:val="22"/>
                <w:szCs w:val="22"/>
                <w:lang w:val="en-US"/>
              </w:rPr>
              <w:tab/>
              <w:t xml:space="preserve">  &lt;measuring-object measuring-object-code="123456789012345"/&gt;</w:t>
            </w:r>
          </w:p>
          <w:p w14:paraId="00CAD870" w14:textId="77777777" w:rsidR="00F11A8B" w:rsidRPr="006F6DAC" w:rsidRDefault="00F11A8B" w:rsidP="00F11A8B">
            <w:pPr>
              <w:rPr>
                <w:rFonts w:ascii="Garamond" w:hAnsi="Garamond"/>
                <w:sz w:val="22"/>
                <w:szCs w:val="22"/>
                <w:lang w:val="en-US"/>
              </w:rPr>
            </w:pPr>
            <w:r w:rsidRPr="006F6DAC">
              <w:rPr>
                <w:rFonts w:ascii="Garamond" w:hAnsi="Garamond"/>
                <w:sz w:val="22"/>
                <w:szCs w:val="22"/>
                <w:lang w:val="en-US"/>
              </w:rPr>
              <w:t xml:space="preserve">      &lt;/measuring-objects-list&gt;</w:t>
            </w:r>
          </w:p>
          <w:p w14:paraId="00DE01A8" w14:textId="77777777" w:rsidR="00F11A8B" w:rsidRPr="006F6DAC" w:rsidRDefault="00F11A8B" w:rsidP="00F11A8B">
            <w:pPr>
              <w:rPr>
                <w:rFonts w:ascii="Garamond" w:hAnsi="Garamond"/>
                <w:sz w:val="22"/>
                <w:szCs w:val="22"/>
                <w:lang w:val="en-US"/>
              </w:rPr>
            </w:pPr>
            <w:r w:rsidRPr="006F6DAC">
              <w:rPr>
                <w:rFonts w:ascii="Garamond" w:hAnsi="Garamond"/>
                <w:sz w:val="22"/>
                <w:szCs w:val="22"/>
                <w:lang w:val="en-US"/>
              </w:rPr>
              <w:t xml:space="preserve">    &lt;/area&gt;</w:t>
            </w:r>
          </w:p>
          <w:p w14:paraId="5FF229A7" w14:textId="77777777" w:rsidR="00F11A8B" w:rsidRPr="006F6DAC" w:rsidRDefault="00F11A8B" w:rsidP="00F11A8B">
            <w:pPr>
              <w:rPr>
                <w:rFonts w:ascii="Garamond" w:hAnsi="Garamond"/>
                <w:sz w:val="22"/>
                <w:szCs w:val="22"/>
                <w:lang w:val="en-US"/>
              </w:rPr>
            </w:pPr>
            <w:r w:rsidRPr="006F6DAC">
              <w:rPr>
                <w:rFonts w:ascii="Garamond" w:hAnsi="Garamond"/>
                <w:sz w:val="22"/>
                <w:szCs w:val="22"/>
                <w:lang w:val="en-US"/>
              </w:rPr>
              <w:t xml:space="preserve">  &lt;/aiis&gt;</w:t>
            </w:r>
          </w:p>
          <w:p w14:paraId="6834C3AB" w14:textId="77777777" w:rsidR="00F11A8B" w:rsidRPr="006F6DAC" w:rsidRDefault="00F11A8B" w:rsidP="00F11A8B">
            <w:pPr>
              <w:pStyle w:val="5"/>
              <w:suppressAutoHyphens w:val="0"/>
              <w:spacing w:before="0" w:line="259" w:lineRule="auto"/>
              <w:jc w:val="both"/>
              <w:rPr>
                <w:rFonts w:ascii="Garamond" w:hAnsi="Garamond"/>
                <w:color w:val="auto"/>
                <w:sz w:val="22"/>
                <w:szCs w:val="22"/>
              </w:rPr>
            </w:pPr>
            <w:r w:rsidRPr="006F6DAC">
              <w:rPr>
                <w:rFonts w:ascii="Garamond" w:hAnsi="Garamond"/>
                <w:color w:val="auto"/>
                <w:sz w:val="22"/>
                <w:szCs w:val="22"/>
              </w:rPr>
              <w:t>&lt;/message&gt;</w:t>
            </w:r>
          </w:p>
        </w:tc>
      </w:tr>
      <w:tr w:rsidR="00F11A8B" w:rsidRPr="006F6DAC" w14:paraId="3C6572F7" w14:textId="77777777" w:rsidTr="006F6DAC">
        <w:tc>
          <w:tcPr>
            <w:tcW w:w="1060" w:type="dxa"/>
          </w:tcPr>
          <w:p w14:paraId="71E46F42" w14:textId="0F1B566C" w:rsidR="00F11A8B" w:rsidRPr="006F6DAC" w:rsidRDefault="00F11A8B" w:rsidP="00F11A8B">
            <w:pPr>
              <w:widowControl w:val="0"/>
              <w:spacing w:line="259" w:lineRule="auto"/>
              <w:jc w:val="center"/>
              <w:rPr>
                <w:rFonts w:ascii="Garamond" w:hAnsi="Garamond"/>
                <w:b/>
                <w:sz w:val="22"/>
                <w:szCs w:val="22"/>
                <w:lang w:eastAsia="en-US"/>
              </w:rPr>
            </w:pPr>
            <w:r w:rsidRPr="006F6DAC">
              <w:rPr>
                <w:rFonts w:ascii="Garamond" w:hAnsi="Garamond"/>
                <w:b/>
                <w:sz w:val="22"/>
                <w:szCs w:val="22"/>
                <w:lang w:eastAsia="en-US"/>
              </w:rPr>
              <w:lastRenderedPageBreak/>
              <w:t>Приложение 8, п.</w:t>
            </w:r>
            <w:r w:rsidR="007A00C5">
              <w:rPr>
                <w:rFonts w:ascii="Garamond" w:hAnsi="Garamond"/>
                <w:b/>
                <w:sz w:val="22"/>
                <w:szCs w:val="22"/>
                <w:lang w:eastAsia="en-US"/>
              </w:rPr>
              <w:t xml:space="preserve"> </w:t>
            </w:r>
            <w:r w:rsidRPr="006F6DAC">
              <w:rPr>
                <w:rFonts w:ascii="Garamond" w:hAnsi="Garamond"/>
                <w:b/>
                <w:sz w:val="22"/>
                <w:szCs w:val="22"/>
                <w:lang w:eastAsia="en-US"/>
              </w:rPr>
              <w:t>4</w:t>
            </w:r>
          </w:p>
        </w:tc>
        <w:tc>
          <w:tcPr>
            <w:tcW w:w="6804" w:type="dxa"/>
          </w:tcPr>
          <w:p w14:paraId="638D32AE" w14:textId="77777777" w:rsidR="00F11A8B" w:rsidRPr="006F6DAC" w:rsidRDefault="00F11A8B" w:rsidP="00F11A8B">
            <w:pPr>
              <w:pStyle w:val="3"/>
              <w:keepLines/>
              <w:numPr>
                <w:ilvl w:val="0"/>
                <w:numId w:val="0"/>
              </w:numPr>
              <w:suppressAutoHyphens w:val="0"/>
              <w:spacing w:line="259" w:lineRule="auto"/>
              <w:jc w:val="both"/>
              <w:rPr>
                <w:rFonts w:ascii="Garamond" w:hAnsi="Garamond"/>
                <w:color w:val="auto"/>
                <w:sz w:val="22"/>
                <w:szCs w:val="22"/>
              </w:rPr>
            </w:pPr>
            <w:r w:rsidRPr="006F6DAC">
              <w:rPr>
                <w:rFonts w:ascii="Garamond" w:hAnsi="Garamond"/>
                <w:color w:val="auto"/>
                <w:sz w:val="22"/>
                <w:szCs w:val="22"/>
              </w:rPr>
              <w:t>Добавить пункт</w:t>
            </w:r>
          </w:p>
        </w:tc>
        <w:tc>
          <w:tcPr>
            <w:tcW w:w="7115" w:type="dxa"/>
          </w:tcPr>
          <w:p w14:paraId="3ADE3938" w14:textId="77777777" w:rsidR="00F11A8B" w:rsidRPr="006F6DAC" w:rsidRDefault="00F11A8B" w:rsidP="00F11A8B">
            <w:pPr>
              <w:widowControl w:val="0"/>
              <w:rPr>
                <w:rFonts w:ascii="Garamond" w:hAnsi="Garamond" w:cs="Courier New CYR"/>
                <w:b/>
                <w:sz w:val="22"/>
                <w:szCs w:val="22"/>
                <w:highlight w:val="yellow"/>
              </w:rPr>
            </w:pPr>
            <w:r w:rsidRPr="006F6DAC">
              <w:rPr>
                <w:rFonts w:ascii="Garamond" w:hAnsi="Garamond"/>
                <w:b/>
                <w:sz w:val="22"/>
                <w:szCs w:val="22"/>
                <w:highlight w:val="yellow"/>
              </w:rPr>
              <w:t xml:space="preserve">4. </w:t>
            </w:r>
            <w:r w:rsidRPr="006F6DAC">
              <w:rPr>
                <w:rFonts w:ascii="Garamond" w:hAnsi="Garamond" w:cs="Courier New CYR"/>
                <w:b/>
                <w:sz w:val="22"/>
                <w:szCs w:val="22"/>
                <w:highlight w:val="yellow"/>
              </w:rPr>
              <w:t>Пример электронного документа формата 80000 для объекта регулирования</w:t>
            </w:r>
          </w:p>
          <w:p w14:paraId="7A45E46B" w14:textId="77777777" w:rsidR="00F11A8B" w:rsidRPr="006F6DAC" w:rsidRDefault="00F11A8B" w:rsidP="00F11A8B">
            <w:pPr>
              <w:rPr>
                <w:rFonts w:ascii="Garamond" w:hAnsi="Garamond" w:cs="Courier New CYR"/>
                <w:sz w:val="22"/>
                <w:szCs w:val="22"/>
                <w:highlight w:val="yellow"/>
              </w:rPr>
            </w:pPr>
          </w:p>
          <w:p w14:paraId="6658DD39" w14:textId="77777777" w:rsidR="00F11A8B" w:rsidRPr="006F6DAC" w:rsidRDefault="00F11A8B" w:rsidP="00F11A8B">
            <w:pPr>
              <w:rPr>
                <w:rFonts w:ascii="Garamond" w:hAnsi="Garamond"/>
                <w:sz w:val="22"/>
                <w:szCs w:val="22"/>
                <w:highlight w:val="yellow"/>
                <w:lang w:val="en-US"/>
              </w:rPr>
            </w:pPr>
            <w:r w:rsidRPr="006F6DAC">
              <w:rPr>
                <w:rFonts w:ascii="Garamond" w:hAnsi="Garamond"/>
                <w:sz w:val="22"/>
                <w:szCs w:val="22"/>
                <w:highlight w:val="yellow"/>
                <w:lang w:val="en-US"/>
              </w:rPr>
              <w:lastRenderedPageBreak/>
              <w:t>&lt;?xml version="1.0" encoding="windows-1251" standalone="no"?&gt;</w:t>
            </w:r>
          </w:p>
          <w:p w14:paraId="7A2BB363" w14:textId="77777777" w:rsidR="00F11A8B" w:rsidRPr="006F6DAC" w:rsidRDefault="00F11A8B" w:rsidP="00F11A8B">
            <w:pPr>
              <w:rPr>
                <w:rFonts w:ascii="Garamond" w:hAnsi="Garamond"/>
                <w:sz w:val="22"/>
                <w:szCs w:val="22"/>
                <w:highlight w:val="yellow"/>
                <w:lang w:val="en-US"/>
              </w:rPr>
            </w:pPr>
            <w:r w:rsidRPr="006F6DAC">
              <w:rPr>
                <w:rFonts w:ascii="Garamond" w:hAnsi="Garamond"/>
                <w:sz w:val="22"/>
                <w:szCs w:val="22"/>
                <w:highlight w:val="yellow"/>
                <w:lang w:val="en-US"/>
              </w:rPr>
              <w:t>&lt;message class="80000" version="4" generationtime="20181024152034GMT+03"&gt;</w:t>
            </w:r>
          </w:p>
          <w:p w14:paraId="798DDB71" w14:textId="77777777" w:rsidR="00F11A8B" w:rsidRPr="006F6DAC" w:rsidRDefault="00F11A8B" w:rsidP="00F11A8B">
            <w:pPr>
              <w:rPr>
                <w:rFonts w:ascii="Garamond" w:hAnsi="Garamond"/>
                <w:sz w:val="22"/>
                <w:szCs w:val="22"/>
                <w:highlight w:val="yellow"/>
                <w:lang w:val="en-US"/>
              </w:rPr>
            </w:pPr>
            <w:r w:rsidRPr="006F6DAC">
              <w:rPr>
                <w:rFonts w:ascii="Garamond" w:hAnsi="Garamond"/>
                <w:sz w:val="22"/>
                <w:szCs w:val="22"/>
                <w:highlight w:val="yellow"/>
                <w:lang w:val="en-US"/>
              </w:rPr>
              <w:t xml:space="preserve">  &lt;dictionaries&gt;</w:t>
            </w:r>
          </w:p>
          <w:p w14:paraId="52286F44" w14:textId="77777777" w:rsidR="00F11A8B" w:rsidRPr="006F6DAC" w:rsidRDefault="00F11A8B" w:rsidP="00F11A8B">
            <w:pPr>
              <w:rPr>
                <w:rFonts w:ascii="Garamond" w:hAnsi="Garamond"/>
                <w:sz w:val="22"/>
                <w:szCs w:val="22"/>
                <w:highlight w:val="yellow"/>
                <w:lang w:val="en-US"/>
              </w:rPr>
            </w:pPr>
            <w:r w:rsidRPr="006F6DAC">
              <w:rPr>
                <w:rFonts w:ascii="Garamond" w:hAnsi="Garamond"/>
                <w:sz w:val="22"/>
                <w:szCs w:val="22"/>
                <w:highlight w:val="yellow"/>
                <w:lang w:val="en-US"/>
              </w:rPr>
              <w:t xml:space="preserve">    &lt;organization inn="1234567890" name="</w:t>
            </w:r>
            <w:r w:rsidRPr="006F6DAC">
              <w:rPr>
                <w:rFonts w:ascii="Garamond" w:hAnsi="Garamond"/>
                <w:sz w:val="22"/>
                <w:szCs w:val="22"/>
                <w:highlight w:val="yellow"/>
              </w:rPr>
              <w:t>Наименование</w:t>
            </w:r>
            <w:r w:rsidRPr="006F6DAC">
              <w:rPr>
                <w:rFonts w:ascii="Garamond" w:hAnsi="Garamond"/>
                <w:sz w:val="22"/>
                <w:szCs w:val="22"/>
                <w:highlight w:val="yellow"/>
                <w:lang w:val="en-US"/>
              </w:rPr>
              <w:t xml:space="preserve"> </w:t>
            </w:r>
            <w:r w:rsidRPr="006F6DAC">
              <w:rPr>
                <w:rFonts w:ascii="Garamond" w:hAnsi="Garamond"/>
                <w:sz w:val="22"/>
                <w:szCs w:val="22"/>
                <w:highlight w:val="yellow"/>
              </w:rPr>
              <w:t>организации</w:t>
            </w:r>
            <w:r w:rsidRPr="006F6DAC">
              <w:rPr>
                <w:rFonts w:ascii="Garamond" w:hAnsi="Garamond"/>
                <w:sz w:val="22"/>
                <w:szCs w:val="22"/>
                <w:highlight w:val="yellow"/>
                <w:lang w:val="en-US"/>
              </w:rPr>
              <w:t>" trader-code="ABCDEFGH"/&gt;</w:t>
            </w:r>
          </w:p>
          <w:p w14:paraId="74416F39" w14:textId="77777777" w:rsidR="00F11A8B" w:rsidRPr="006F6DAC" w:rsidRDefault="00F11A8B" w:rsidP="00F11A8B">
            <w:pPr>
              <w:rPr>
                <w:rFonts w:ascii="Garamond" w:hAnsi="Garamond"/>
                <w:sz w:val="22"/>
                <w:szCs w:val="22"/>
                <w:highlight w:val="yellow"/>
                <w:lang w:val="en-US"/>
              </w:rPr>
            </w:pPr>
            <w:r w:rsidRPr="006F6DAC">
              <w:rPr>
                <w:rFonts w:ascii="Garamond" w:hAnsi="Garamond"/>
                <w:sz w:val="22"/>
                <w:szCs w:val="22"/>
                <w:highlight w:val="yellow"/>
                <w:lang w:val="en-US"/>
              </w:rPr>
              <w:t xml:space="preserve">    &lt;power-objects&gt;</w:t>
            </w:r>
          </w:p>
          <w:p w14:paraId="0D54D0A7" w14:textId="77777777" w:rsidR="00F11A8B" w:rsidRPr="006F6DAC" w:rsidRDefault="00F11A8B" w:rsidP="00F11A8B">
            <w:pPr>
              <w:rPr>
                <w:rFonts w:ascii="Garamond" w:hAnsi="Garamond"/>
                <w:sz w:val="22"/>
                <w:szCs w:val="22"/>
                <w:highlight w:val="yellow"/>
                <w:lang w:val="en-US"/>
              </w:rPr>
            </w:pPr>
            <w:r w:rsidRPr="006F6DAC">
              <w:rPr>
                <w:rFonts w:ascii="Garamond" w:hAnsi="Garamond"/>
                <w:sz w:val="22"/>
                <w:szCs w:val="22"/>
                <w:highlight w:val="yellow"/>
                <w:lang w:val="en-US"/>
              </w:rPr>
              <w:t xml:space="preserve">      &lt;power-object ats-code="123456789" is-power-center="true" name="</w:t>
            </w:r>
            <w:r w:rsidRPr="006F6DAC">
              <w:rPr>
                <w:rFonts w:ascii="Garamond" w:hAnsi="Garamond"/>
                <w:sz w:val="22"/>
                <w:szCs w:val="22"/>
                <w:highlight w:val="yellow"/>
              </w:rPr>
              <w:t>Наименование</w:t>
            </w:r>
            <w:r w:rsidRPr="006F6DAC">
              <w:rPr>
                <w:rFonts w:ascii="Garamond" w:hAnsi="Garamond"/>
                <w:sz w:val="22"/>
                <w:szCs w:val="22"/>
                <w:highlight w:val="yellow"/>
                <w:lang w:val="en-US"/>
              </w:rPr>
              <w:t xml:space="preserve"> </w:t>
            </w:r>
            <w:r w:rsidRPr="006F6DAC">
              <w:rPr>
                <w:rFonts w:ascii="Garamond" w:hAnsi="Garamond"/>
                <w:sz w:val="22"/>
                <w:szCs w:val="22"/>
                <w:highlight w:val="yellow"/>
              </w:rPr>
              <w:t>объекта</w:t>
            </w:r>
            <w:r w:rsidRPr="006F6DAC">
              <w:rPr>
                <w:rFonts w:ascii="Garamond" w:hAnsi="Garamond"/>
                <w:sz w:val="22"/>
                <w:szCs w:val="22"/>
                <w:highlight w:val="yellow"/>
                <w:lang w:val="en-US"/>
              </w:rPr>
              <w:t xml:space="preserve"> 1" type="2"&gt;</w:t>
            </w:r>
          </w:p>
          <w:p w14:paraId="09D53C5C" w14:textId="77777777" w:rsidR="00F11A8B" w:rsidRPr="006F6DAC" w:rsidRDefault="00F11A8B" w:rsidP="00F11A8B">
            <w:pPr>
              <w:rPr>
                <w:rFonts w:ascii="Garamond" w:hAnsi="Garamond"/>
                <w:sz w:val="22"/>
                <w:szCs w:val="22"/>
                <w:highlight w:val="yellow"/>
                <w:lang w:val="en-US"/>
              </w:rPr>
            </w:pPr>
            <w:r w:rsidRPr="006F6DAC">
              <w:rPr>
                <w:rFonts w:ascii="Garamond" w:hAnsi="Garamond"/>
                <w:sz w:val="22"/>
                <w:szCs w:val="22"/>
                <w:highlight w:val="yellow"/>
                <w:lang w:val="en-US"/>
              </w:rPr>
              <w:tab/>
            </w:r>
            <w:r w:rsidRPr="006F6DAC">
              <w:rPr>
                <w:rFonts w:ascii="Garamond" w:hAnsi="Garamond"/>
                <w:sz w:val="22"/>
                <w:szCs w:val="22"/>
                <w:highlight w:val="yellow"/>
                <w:lang w:val="en-US"/>
              </w:rPr>
              <w:tab/>
              <w:t xml:space="preserve">  &lt;voltage-levels&gt;</w:t>
            </w:r>
          </w:p>
          <w:p w14:paraId="547956E9" w14:textId="77777777" w:rsidR="00F11A8B" w:rsidRPr="006F6DAC" w:rsidRDefault="00F11A8B" w:rsidP="00F11A8B">
            <w:pPr>
              <w:rPr>
                <w:rFonts w:ascii="Garamond" w:hAnsi="Garamond"/>
                <w:sz w:val="22"/>
                <w:szCs w:val="22"/>
                <w:highlight w:val="yellow"/>
                <w:lang w:val="en-US"/>
              </w:rPr>
            </w:pPr>
            <w:r w:rsidRPr="006F6DAC">
              <w:rPr>
                <w:rFonts w:ascii="Garamond" w:hAnsi="Garamond"/>
                <w:sz w:val="22"/>
                <w:szCs w:val="22"/>
                <w:highlight w:val="yellow"/>
                <w:lang w:val="en-US"/>
              </w:rPr>
              <w:tab/>
            </w:r>
            <w:r w:rsidRPr="006F6DAC">
              <w:rPr>
                <w:rFonts w:ascii="Garamond" w:hAnsi="Garamond"/>
                <w:sz w:val="22"/>
                <w:szCs w:val="22"/>
                <w:highlight w:val="yellow"/>
                <w:lang w:val="en-US"/>
              </w:rPr>
              <w:tab/>
            </w:r>
            <w:r w:rsidRPr="006F6DAC">
              <w:rPr>
                <w:rFonts w:ascii="Garamond" w:hAnsi="Garamond"/>
                <w:sz w:val="22"/>
                <w:szCs w:val="22"/>
                <w:highlight w:val="yellow"/>
                <w:lang w:val="en-US"/>
              </w:rPr>
              <w:tab/>
              <w:t xml:space="preserve">  &lt;voltage-level voltage="220000"/&gt;</w:t>
            </w:r>
          </w:p>
          <w:p w14:paraId="4E07F90B" w14:textId="77777777" w:rsidR="00F11A8B" w:rsidRPr="006F6DAC" w:rsidRDefault="00F11A8B" w:rsidP="00F11A8B">
            <w:pPr>
              <w:rPr>
                <w:rFonts w:ascii="Garamond" w:hAnsi="Garamond"/>
                <w:sz w:val="22"/>
                <w:szCs w:val="22"/>
                <w:highlight w:val="yellow"/>
                <w:lang w:val="en-US"/>
              </w:rPr>
            </w:pPr>
            <w:r w:rsidRPr="006F6DAC">
              <w:rPr>
                <w:rFonts w:ascii="Garamond" w:hAnsi="Garamond"/>
                <w:sz w:val="22"/>
                <w:szCs w:val="22"/>
                <w:highlight w:val="yellow"/>
                <w:lang w:val="en-US"/>
              </w:rPr>
              <w:tab/>
            </w:r>
            <w:r w:rsidRPr="006F6DAC">
              <w:rPr>
                <w:rFonts w:ascii="Garamond" w:hAnsi="Garamond"/>
                <w:sz w:val="22"/>
                <w:szCs w:val="22"/>
                <w:highlight w:val="yellow"/>
                <w:lang w:val="en-US"/>
              </w:rPr>
              <w:tab/>
              <w:t xml:space="preserve">  &lt;/voltage-levels&gt;</w:t>
            </w:r>
          </w:p>
          <w:p w14:paraId="22E9F104" w14:textId="77777777" w:rsidR="00F11A8B" w:rsidRPr="006F6DAC" w:rsidRDefault="00F11A8B" w:rsidP="00F11A8B">
            <w:pPr>
              <w:rPr>
                <w:rFonts w:ascii="Garamond" w:hAnsi="Garamond"/>
                <w:sz w:val="22"/>
                <w:szCs w:val="22"/>
                <w:highlight w:val="yellow"/>
                <w:lang w:val="en-US"/>
              </w:rPr>
            </w:pPr>
            <w:r w:rsidRPr="006F6DAC">
              <w:rPr>
                <w:rFonts w:ascii="Garamond" w:hAnsi="Garamond"/>
                <w:sz w:val="22"/>
                <w:szCs w:val="22"/>
                <w:highlight w:val="yellow"/>
                <w:lang w:val="en-US"/>
              </w:rPr>
              <w:t xml:space="preserve">      &lt;/power-object&gt;</w:t>
            </w:r>
          </w:p>
          <w:p w14:paraId="03CFEE03" w14:textId="77777777" w:rsidR="00F11A8B" w:rsidRPr="006F6DAC" w:rsidRDefault="00F11A8B" w:rsidP="00F11A8B">
            <w:pPr>
              <w:rPr>
                <w:rFonts w:ascii="Garamond" w:hAnsi="Garamond"/>
                <w:sz w:val="22"/>
                <w:szCs w:val="22"/>
                <w:highlight w:val="yellow"/>
                <w:lang w:val="en-US"/>
              </w:rPr>
            </w:pPr>
            <w:r w:rsidRPr="006F6DAC">
              <w:rPr>
                <w:rFonts w:ascii="Garamond" w:hAnsi="Garamond"/>
                <w:sz w:val="22"/>
                <w:szCs w:val="22"/>
                <w:highlight w:val="yellow"/>
                <w:lang w:val="en-US"/>
              </w:rPr>
              <w:t xml:space="preserve">      &lt;power-object ats-code="123456780" is-power-center="true" name="</w:t>
            </w:r>
            <w:r w:rsidRPr="006F6DAC">
              <w:rPr>
                <w:rFonts w:ascii="Garamond" w:hAnsi="Garamond"/>
                <w:sz w:val="22"/>
                <w:szCs w:val="22"/>
                <w:highlight w:val="yellow"/>
              </w:rPr>
              <w:t>Наименование</w:t>
            </w:r>
            <w:r w:rsidRPr="006F6DAC">
              <w:rPr>
                <w:rFonts w:ascii="Garamond" w:hAnsi="Garamond"/>
                <w:sz w:val="22"/>
                <w:szCs w:val="22"/>
                <w:highlight w:val="yellow"/>
                <w:lang w:val="en-US"/>
              </w:rPr>
              <w:t xml:space="preserve"> </w:t>
            </w:r>
            <w:r w:rsidRPr="006F6DAC">
              <w:rPr>
                <w:rFonts w:ascii="Garamond" w:hAnsi="Garamond"/>
                <w:sz w:val="22"/>
                <w:szCs w:val="22"/>
                <w:highlight w:val="yellow"/>
              </w:rPr>
              <w:t>объекта</w:t>
            </w:r>
            <w:r w:rsidRPr="006F6DAC">
              <w:rPr>
                <w:rFonts w:ascii="Garamond" w:hAnsi="Garamond"/>
                <w:sz w:val="22"/>
                <w:szCs w:val="22"/>
                <w:highlight w:val="yellow"/>
                <w:lang w:val="en-US"/>
              </w:rPr>
              <w:t xml:space="preserve"> 2" type="2"&gt;</w:t>
            </w:r>
          </w:p>
          <w:p w14:paraId="5AEAAE79" w14:textId="77777777" w:rsidR="00F11A8B" w:rsidRPr="006F6DAC" w:rsidRDefault="00F11A8B" w:rsidP="00F11A8B">
            <w:pPr>
              <w:rPr>
                <w:rFonts w:ascii="Garamond" w:hAnsi="Garamond"/>
                <w:sz w:val="22"/>
                <w:szCs w:val="22"/>
                <w:highlight w:val="yellow"/>
                <w:lang w:val="en-US"/>
              </w:rPr>
            </w:pPr>
            <w:r w:rsidRPr="006F6DAC">
              <w:rPr>
                <w:rFonts w:ascii="Garamond" w:hAnsi="Garamond"/>
                <w:sz w:val="22"/>
                <w:szCs w:val="22"/>
                <w:highlight w:val="yellow"/>
                <w:lang w:val="en-US"/>
              </w:rPr>
              <w:tab/>
            </w:r>
            <w:r w:rsidRPr="006F6DAC">
              <w:rPr>
                <w:rFonts w:ascii="Garamond" w:hAnsi="Garamond"/>
                <w:sz w:val="22"/>
                <w:szCs w:val="22"/>
                <w:highlight w:val="yellow"/>
                <w:lang w:val="en-US"/>
              </w:rPr>
              <w:tab/>
              <w:t xml:space="preserve">  &lt;voltage-levels&gt;</w:t>
            </w:r>
          </w:p>
          <w:p w14:paraId="78343970" w14:textId="77777777" w:rsidR="00F11A8B" w:rsidRPr="006F6DAC" w:rsidRDefault="00F11A8B" w:rsidP="00F11A8B">
            <w:pPr>
              <w:rPr>
                <w:rFonts w:ascii="Garamond" w:hAnsi="Garamond"/>
                <w:sz w:val="22"/>
                <w:szCs w:val="22"/>
                <w:highlight w:val="yellow"/>
                <w:lang w:val="en-US"/>
              </w:rPr>
            </w:pPr>
            <w:r w:rsidRPr="006F6DAC">
              <w:rPr>
                <w:rFonts w:ascii="Garamond" w:hAnsi="Garamond"/>
                <w:sz w:val="22"/>
                <w:szCs w:val="22"/>
                <w:highlight w:val="yellow"/>
                <w:lang w:val="en-US"/>
              </w:rPr>
              <w:tab/>
            </w:r>
            <w:r w:rsidRPr="006F6DAC">
              <w:rPr>
                <w:rFonts w:ascii="Garamond" w:hAnsi="Garamond"/>
                <w:sz w:val="22"/>
                <w:szCs w:val="22"/>
                <w:highlight w:val="yellow"/>
                <w:lang w:val="en-US"/>
              </w:rPr>
              <w:tab/>
            </w:r>
            <w:r w:rsidRPr="006F6DAC">
              <w:rPr>
                <w:rFonts w:ascii="Garamond" w:hAnsi="Garamond"/>
                <w:sz w:val="22"/>
                <w:szCs w:val="22"/>
                <w:highlight w:val="yellow"/>
                <w:lang w:val="en-US"/>
              </w:rPr>
              <w:tab/>
              <w:t xml:space="preserve">  &lt;voltage-level voltage="220000"/&gt;</w:t>
            </w:r>
          </w:p>
          <w:p w14:paraId="068C6398" w14:textId="77777777" w:rsidR="00F11A8B" w:rsidRPr="006F6DAC" w:rsidRDefault="00F11A8B" w:rsidP="00F11A8B">
            <w:pPr>
              <w:rPr>
                <w:rFonts w:ascii="Garamond" w:hAnsi="Garamond"/>
                <w:sz w:val="22"/>
                <w:szCs w:val="22"/>
                <w:highlight w:val="yellow"/>
                <w:lang w:val="en-US"/>
              </w:rPr>
            </w:pPr>
            <w:r w:rsidRPr="006F6DAC">
              <w:rPr>
                <w:rFonts w:ascii="Garamond" w:hAnsi="Garamond"/>
                <w:sz w:val="22"/>
                <w:szCs w:val="22"/>
                <w:highlight w:val="yellow"/>
                <w:lang w:val="en-US"/>
              </w:rPr>
              <w:tab/>
            </w:r>
            <w:r w:rsidRPr="006F6DAC">
              <w:rPr>
                <w:rFonts w:ascii="Garamond" w:hAnsi="Garamond"/>
                <w:sz w:val="22"/>
                <w:szCs w:val="22"/>
                <w:highlight w:val="yellow"/>
                <w:lang w:val="en-US"/>
              </w:rPr>
              <w:tab/>
              <w:t xml:space="preserve">  &lt;/voltage-levels&gt;</w:t>
            </w:r>
          </w:p>
          <w:p w14:paraId="52D572E4" w14:textId="77777777" w:rsidR="00F11A8B" w:rsidRPr="006F6DAC" w:rsidRDefault="00F11A8B" w:rsidP="00F11A8B">
            <w:pPr>
              <w:rPr>
                <w:rFonts w:ascii="Garamond" w:hAnsi="Garamond"/>
                <w:sz w:val="22"/>
                <w:szCs w:val="22"/>
                <w:highlight w:val="yellow"/>
                <w:lang w:val="en-US"/>
              </w:rPr>
            </w:pPr>
            <w:r w:rsidRPr="006F6DAC">
              <w:rPr>
                <w:rFonts w:ascii="Garamond" w:hAnsi="Garamond"/>
                <w:sz w:val="22"/>
                <w:szCs w:val="22"/>
                <w:highlight w:val="yellow"/>
                <w:lang w:val="en-US"/>
              </w:rPr>
              <w:t xml:space="preserve">      &lt;/power-object&gt;</w:t>
            </w:r>
          </w:p>
          <w:p w14:paraId="61A58944" w14:textId="77777777" w:rsidR="00F11A8B" w:rsidRPr="006F6DAC" w:rsidRDefault="00F11A8B" w:rsidP="00F11A8B">
            <w:pPr>
              <w:rPr>
                <w:rFonts w:ascii="Garamond" w:hAnsi="Garamond"/>
                <w:sz w:val="22"/>
                <w:szCs w:val="22"/>
                <w:highlight w:val="yellow"/>
                <w:lang w:val="en-US"/>
              </w:rPr>
            </w:pPr>
            <w:r w:rsidRPr="006F6DAC">
              <w:rPr>
                <w:rFonts w:ascii="Garamond" w:hAnsi="Garamond"/>
                <w:sz w:val="22"/>
                <w:szCs w:val="22"/>
                <w:highlight w:val="yellow"/>
                <w:lang w:val="en-US"/>
              </w:rPr>
              <w:t xml:space="preserve">      &lt;power-object ats-code="123456781" is-power-center="false" name="</w:t>
            </w:r>
            <w:r w:rsidRPr="006F6DAC">
              <w:rPr>
                <w:rFonts w:ascii="Garamond" w:hAnsi="Garamond"/>
                <w:sz w:val="22"/>
                <w:szCs w:val="22"/>
                <w:highlight w:val="yellow"/>
              </w:rPr>
              <w:t>Наименование</w:t>
            </w:r>
            <w:r w:rsidRPr="006F6DAC">
              <w:rPr>
                <w:rFonts w:ascii="Garamond" w:hAnsi="Garamond"/>
                <w:sz w:val="22"/>
                <w:szCs w:val="22"/>
                <w:highlight w:val="yellow"/>
                <w:lang w:val="en-US"/>
              </w:rPr>
              <w:t xml:space="preserve"> </w:t>
            </w:r>
            <w:r w:rsidRPr="006F6DAC">
              <w:rPr>
                <w:rFonts w:ascii="Garamond" w:hAnsi="Garamond"/>
                <w:sz w:val="22"/>
                <w:szCs w:val="22"/>
                <w:highlight w:val="yellow"/>
              </w:rPr>
              <w:t>объекта</w:t>
            </w:r>
            <w:r w:rsidRPr="006F6DAC">
              <w:rPr>
                <w:rFonts w:ascii="Garamond" w:hAnsi="Garamond"/>
                <w:sz w:val="22"/>
                <w:szCs w:val="22"/>
                <w:highlight w:val="yellow"/>
                <w:lang w:val="en-US"/>
              </w:rPr>
              <w:t xml:space="preserve"> 3" type="3"&gt;</w:t>
            </w:r>
          </w:p>
          <w:p w14:paraId="268FD9E2" w14:textId="77777777" w:rsidR="00F11A8B" w:rsidRPr="006F6DAC" w:rsidRDefault="00F11A8B" w:rsidP="00F11A8B">
            <w:pPr>
              <w:rPr>
                <w:rFonts w:ascii="Garamond" w:hAnsi="Garamond"/>
                <w:sz w:val="22"/>
                <w:szCs w:val="22"/>
                <w:highlight w:val="yellow"/>
                <w:lang w:val="en-US"/>
              </w:rPr>
            </w:pPr>
            <w:r w:rsidRPr="006F6DAC">
              <w:rPr>
                <w:rFonts w:ascii="Garamond" w:hAnsi="Garamond"/>
                <w:sz w:val="22"/>
                <w:szCs w:val="22"/>
                <w:highlight w:val="yellow"/>
                <w:lang w:val="en-US"/>
              </w:rPr>
              <w:tab/>
            </w:r>
            <w:r w:rsidRPr="006F6DAC">
              <w:rPr>
                <w:rFonts w:ascii="Garamond" w:hAnsi="Garamond"/>
                <w:sz w:val="22"/>
                <w:szCs w:val="22"/>
                <w:highlight w:val="yellow"/>
                <w:lang w:val="en-US"/>
              </w:rPr>
              <w:tab/>
              <w:t xml:space="preserve">  &lt;voltage-levels&gt;</w:t>
            </w:r>
          </w:p>
          <w:p w14:paraId="77A68751" w14:textId="77777777" w:rsidR="00F11A8B" w:rsidRPr="006F6DAC" w:rsidRDefault="00F11A8B" w:rsidP="00F11A8B">
            <w:pPr>
              <w:rPr>
                <w:rFonts w:ascii="Garamond" w:hAnsi="Garamond"/>
                <w:sz w:val="22"/>
                <w:szCs w:val="22"/>
                <w:highlight w:val="yellow"/>
                <w:lang w:val="en-US"/>
              </w:rPr>
            </w:pPr>
            <w:r w:rsidRPr="006F6DAC">
              <w:rPr>
                <w:rFonts w:ascii="Garamond" w:hAnsi="Garamond"/>
                <w:sz w:val="22"/>
                <w:szCs w:val="22"/>
                <w:highlight w:val="yellow"/>
                <w:lang w:val="en-US"/>
              </w:rPr>
              <w:tab/>
            </w:r>
            <w:r w:rsidRPr="006F6DAC">
              <w:rPr>
                <w:rFonts w:ascii="Garamond" w:hAnsi="Garamond"/>
                <w:sz w:val="22"/>
                <w:szCs w:val="22"/>
                <w:highlight w:val="yellow"/>
                <w:lang w:val="en-US"/>
              </w:rPr>
              <w:tab/>
            </w:r>
            <w:r w:rsidRPr="006F6DAC">
              <w:rPr>
                <w:rFonts w:ascii="Garamond" w:hAnsi="Garamond"/>
                <w:sz w:val="22"/>
                <w:szCs w:val="22"/>
                <w:highlight w:val="yellow"/>
                <w:lang w:val="en-US"/>
              </w:rPr>
              <w:tab/>
              <w:t xml:space="preserve">  &lt;voltage-level voltage="10000"/&gt;</w:t>
            </w:r>
          </w:p>
          <w:p w14:paraId="4AA234EC" w14:textId="77777777" w:rsidR="00F11A8B" w:rsidRPr="006F6DAC" w:rsidRDefault="00F11A8B" w:rsidP="00F11A8B">
            <w:pPr>
              <w:rPr>
                <w:rFonts w:ascii="Garamond" w:hAnsi="Garamond"/>
                <w:sz w:val="22"/>
                <w:szCs w:val="22"/>
                <w:highlight w:val="yellow"/>
                <w:lang w:val="en-US"/>
              </w:rPr>
            </w:pPr>
            <w:r w:rsidRPr="006F6DAC">
              <w:rPr>
                <w:rFonts w:ascii="Garamond" w:hAnsi="Garamond"/>
                <w:sz w:val="22"/>
                <w:szCs w:val="22"/>
                <w:highlight w:val="yellow"/>
                <w:lang w:val="en-US"/>
              </w:rPr>
              <w:tab/>
            </w:r>
            <w:r w:rsidRPr="006F6DAC">
              <w:rPr>
                <w:rFonts w:ascii="Garamond" w:hAnsi="Garamond"/>
                <w:sz w:val="22"/>
                <w:szCs w:val="22"/>
                <w:highlight w:val="yellow"/>
                <w:lang w:val="en-US"/>
              </w:rPr>
              <w:tab/>
              <w:t xml:space="preserve">  &lt;/voltage-levels&gt;</w:t>
            </w:r>
          </w:p>
          <w:p w14:paraId="4BD51D5F" w14:textId="77777777" w:rsidR="00F11A8B" w:rsidRPr="006F6DAC" w:rsidRDefault="00F11A8B" w:rsidP="00F11A8B">
            <w:pPr>
              <w:rPr>
                <w:rFonts w:ascii="Garamond" w:hAnsi="Garamond"/>
                <w:sz w:val="22"/>
                <w:szCs w:val="22"/>
                <w:highlight w:val="yellow"/>
                <w:lang w:val="en-US"/>
              </w:rPr>
            </w:pPr>
            <w:r w:rsidRPr="006F6DAC">
              <w:rPr>
                <w:rFonts w:ascii="Garamond" w:hAnsi="Garamond"/>
                <w:sz w:val="22"/>
                <w:szCs w:val="22"/>
                <w:highlight w:val="yellow"/>
                <w:lang w:val="en-US"/>
              </w:rPr>
              <w:t xml:space="preserve">      &lt;/power-object&gt;</w:t>
            </w:r>
          </w:p>
          <w:p w14:paraId="49D4A4F8" w14:textId="77777777" w:rsidR="00F11A8B" w:rsidRPr="006F6DAC" w:rsidRDefault="00F11A8B" w:rsidP="00F11A8B">
            <w:pPr>
              <w:rPr>
                <w:rFonts w:ascii="Garamond" w:hAnsi="Garamond"/>
                <w:sz w:val="22"/>
                <w:szCs w:val="22"/>
                <w:highlight w:val="yellow"/>
                <w:lang w:val="en-US"/>
              </w:rPr>
            </w:pPr>
            <w:r w:rsidRPr="006F6DAC">
              <w:rPr>
                <w:rFonts w:ascii="Garamond" w:hAnsi="Garamond"/>
                <w:sz w:val="22"/>
                <w:szCs w:val="22"/>
                <w:highlight w:val="yellow"/>
                <w:lang w:val="en-US"/>
              </w:rPr>
              <w:t xml:space="preserve">    &lt;/power-objects&gt;</w:t>
            </w:r>
          </w:p>
          <w:p w14:paraId="7DC9A7AA" w14:textId="77777777" w:rsidR="00F11A8B" w:rsidRPr="006F6DAC" w:rsidRDefault="00F11A8B" w:rsidP="00F11A8B">
            <w:pPr>
              <w:rPr>
                <w:rFonts w:ascii="Garamond" w:hAnsi="Garamond"/>
                <w:sz w:val="22"/>
                <w:szCs w:val="22"/>
                <w:highlight w:val="yellow"/>
                <w:lang w:val="en-US"/>
              </w:rPr>
            </w:pPr>
            <w:r w:rsidRPr="006F6DAC">
              <w:rPr>
                <w:rFonts w:ascii="Garamond" w:hAnsi="Garamond"/>
                <w:sz w:val="22"/>
                <w:szCs w:val="22"/>
                <w:highlight w:val="yellow"/>
                <w:lang w:val="en-US"/>
              </w:rPr>
              <w:t xml:space="preserve">    &lt;delivery-points&gt;</w:t>
            </w:r>
          </w:p>
          <w:p w14:paraId="3C322257" w14:textId="77777777" w:rsidR="00F11A8B" w:rsidRPr="006F6DAC" w:rsidRDefault="00F11A8B" w:rsidP="00F11A8B">
            <w:pPr>
              <w:rPr>
                <w:rFonts w:ascii="Garamond" w:hAnsi="Garamond"/>
                <w:sz w:val="22"/>
                <w:szCs w:val="22"/>
                <w:highlight w:val="yellow"/>
                <w:lang w:val="en-US"/>
              </w:rPr>
            </w:pPr>
            <w:r w:rsidRPr="006F6DAC">
              <w:rPr>
                <w:rFonts w:ascii="Garamond" w:hAnsi="Garamond"/>
                <w:sz w:val="22"/>
                <w:szCs w:val="22"/>
                <w:highlight w:val="yellow"/>
                <w:lang w:val="en-US"/>
              </w:rPr>
              <w:t xml:space="preserve">      &lt;delivery-point ats-code="123456789123456" is-group-delivery-point="true" point-voltage="10000"&gt;</w:t>
            </w:r>
          </w:p>
          <w:p w14:paraId="6A5C2790" w14:textId="77777777" w:rsidR="00F11A8B" w:rsidRPr="006F6DAC" w:rsidRDefault="00F11A8B" w:rsidP="00F11A8B">
            <w:pPr>
              <w:rPr>
                <w:rFonts w:ascii="Garamond" w:hAnsi="Garamond"/>
                <w:sz w:val="22"/>
                <w:szCs w:val="22"/>
                <w:highlight w:val="yellow"/>
                <w:lang w:val="en-US"/>
              </w:rPr>
            </w:pPr>
            <w:r w:rsidRPr="006F6DAC">
              <w:rPr>
                <w:rFonts w:ascii="Garamond" w:hAnsi="Garamond"/>
                <w:sz w:val="22"/>
                <w:szCs w:val="22"/>
                <w:highlight w:val="yellow"/>
                <w:lang w:val="en-US"/>
              </w:rPr>
              <w:t xml:space="preserve">        &lt;name connection-name="</w:t>
            </w:r>
            <w:r w:rsidRPr="006F6DAC">
              <w:rPr>
                <w:rFonts w:ascii="Garamond" w:hAnsi="Garamond"/>
                <w:sz w:val="22"/>
                <w:szCs w:val="22"/>
                <w:highlight w:val="yellow"/>
              </w:rPr>
              <w:t>ф</w:t>
            </w:r>
            <w:r w:rsidRPr="006F6DAC">
              <w:rPr>
                <w:rFonts w:ascii="Garamond" w:hAnsi="Garamond"/>
                <w:sz w:val="22"/>
                <w:szCs w:val="22"/>
                <w:highlight w:val="yellow"/>
                <w:lang w:val="en-US"/>
              </w:rPr>
              <w:t>. 97/12" location-description="</w:t>
            </w:r>
            <w:r w:rsidRPr="006F6DAC">
              <w:rPr>
                <w:rFonts w:ascii="Garamond" w:hAnsi="Garamond"/>
                <w:sz w:val="22"/>
                <w:szCs w:val="22"/>
                <w:highlight w:val="yellow"/>
              </w:rPr>
              <w:t>РУ</w:t>
            </w:r>
            <w:r w:rsidRPr="006F6DAC">
              <w:rPr>
                <w:rFonts w:ascii="Garamond" w:hAnsi="Garamond"/>
                <w:sz w:val="22"/>
                <w:szCs w:val="22"/>
                <w:highlight w:val="yellow"/>
                <w:lang w:val="en-US"/>
              </w:rPr>
              <w:t xml:space="preserve">-10 </w:t>
            </w:r>
            <w:r w:rsidRPr="006F6DAC">
              <w:rPr>
                <w:rFonts w:ascii="Garamond" w:hAnsi="Garamond"/>
                <w:sz w:val="22"/>
                <w:szCs w:val="22"/>
                <w:highlight w:val="yellow"/>
              </w:rPr>
              <w:t>кВ</w:t>
            </w:r>
            <w:r w:rsidRPr="006F6DAC">
              <w:rPr>
                <w:rFonts w:ascii="Garamond" w:hAnsi="Garamond"/>
                <w:sz w:val="22"/>
                <w:szCs w:val="22"/>
                <w:highlight w:val="yellow"/>
                <w:lang w:val="en-US"/>
              </w:rPr>
              <w:t>, 2</w:t>
            </w:r>
            <w:r w:rsidRPr="006F6DAC">
              <w:rPr>
                <w:rFonts w:ascii="Garamond" w:hAnsi="Garamond"/>
                <w:sz w:val="22"/>
                <w:szCs w:val="22"/>
                <w:highlight w:val="yellow"/>
              </w:rPr>
              <w:t>сек</w:t>
            </w:r>
            <w:r w:rsidRPr="006F6DAC">
              <w:rPr>
                <w:rFonts w:ascii="Garamond" w:hAnsi="Garamond"/>
                <w:sz w:val="22"/>
                <w:szCs w:val="22"/>
                <w:highlight w:val="yellow"/>
                <w:lang w:val="en-US"/>
              </w:rPr>
              <w:t xml:space="preserve">., </w:t>
            </w:r>
            <w:r w:rsidRPr="006F6DAC">
              <w:rPr>
                <w:rFonts w:ascii="Garamond" w:hAnsi="Garamond"/>
                <w:sz w:val="22"/>
                <w:szCs w:val="22"/>
                <w:highlight w:val="yellow"/>
              </w:rPr>
              <w:t>яч</w:t>
            </w:r>
            <w:r w:rsidRPr="006F6DAC">
              <w:rPr>
                <w:rFonts w:ascii="Garamond" w:hAnsi="Garamond"/>
                <w:sz w:val="22"/>
                <w:szCs w:val="22"/>
                <w:highlight w:val="yellow"/>
                <w:lang w:val="en-US"/>
              </w:rPr>
              <w:t>. №12" power-object-name="</w:t>
            </w:r>
            <w:r w:rsidRPr="006F6DAC">
              <w:rPr>
                <w:rFonts w:ascii="Garamond" w:hAnsi="Garamond"/>
                <w:sz w:val="22"/>
                <w:szCs w:val="22"/>
                <w:highlight w:val="yellow"/>
              </w:rPr>
              <w:t>Наименование</w:t>
            </w:r>
            <w:r w:rsidRPr="006F6DAC">
              <w:rPr>
                <w:rFonts w:ascii="Garamond" w:hAnsi="Garamond"/>
                <w:sz w:val="22"/>
                <w:szCs w:val="22"/>
                <w:highlight w:val="yellow"/>
                <w:lang w:val="en-US"/>
              </w:rPr>
              <w:t xml:space="preserve"> </w:t>
            </w:r>
            <w:r w:rsidRPr="006F6DAC">
              <w:rPr>
                <w:rFonts w:ascii="Garamond" w:hAnsi="Garamond"/>
                <w:sz w:val="22"/>
                <w:szCs w:val="22"/>
                <w:highlight w:val="yellow"/>
              </w:rPr>
              <w:t>питающего</w:t>
            </w:r>
            <w:r w:rsidRPr="006F6DAC">
              <w:rPr>
                <w:rFonts w:ascii="Garamond" w:hAnsi="Garamond"/>
                <w:sz w:val="22"/>
                <w:szCs w:val="22"/>
                <w:highlight w:val="yellow"/>
                <w:lang w:val="en-US"/>
              </w:rPr>
              <w:t xml:space="preserve"> </w:t>
            </w:r>
            <w:r w:rsidRPr="006F6DAC">
              <w:rPr>
                <w:rFonts w:ascii="Garamond" w:hAnsi="Garamond"/>
                <w:sz w:val="22"/>
                <w:szCs w:val="22"/>
                <w:highlight w:val="yellow"/>
              </w:rPr>
              <w:t>центра</w:t>
            </w:r>
            <w:r w:rsidRPr="006F6DAC">
              <w:rPr>
                <w:rFonts w:ascii="Garamond" w:hAnsi="Garamond"/>
                <w:sz w:val="22"/>
                <w:szCs w:val="22"/>
                <w:highlight w:val="yellow"/>
                <w:lang w:val="en-US"/>
              </w:rPr>
              <w:t>"/&gt;</w:t>
            </w:r>
          </w:p>
          <w:p w14:paraId="6C66B5D9" w14:textId="77777777" w:rsidR="00F11A8B" w:rsidRPr="006F6DAC" w:rsidRDefault="00F11A8B" w:rsidP="00F11A8B">
            <w:pPr>
              <w:rPr>
                <w:rFonts w:ascii="Garamond" w:hAnsi="Garamond"/>
                <w:sz w:val="22"/>
                <w:szCs w:val="22"/>
                <w:highlight w:val="yellow"/>
                <w:lang w:val="en-US"/>
              </w:rPr>
            </w:pPr>
            <w:r w:rsidRPr="006F6DAC">
              <w:rPr>
                <w:rFonts w:ascii="Garamond" w:hAnsi="Garamond"/>
                <w:sz w:val="22"/>
                <w:szCs w:val="22"/>
                <w:highlight w:val="yellow"/>
                <w:lang w:val="en-US"/>
              </w:rPr>
              <w:t xml:space="preserve">      &lt;/delivery-point&gt;</w:t>
            </w:r>
          </w:p>
          <w:p w14:paraId="3B5B2D4F" w14:textId="77777777" w:rsidR="00F11A8B" w:rsidRPr="006F6DAC" w:rsidRDefault="00F11A8B" w:rsidP="00F11A8B">
            <w:pPr>
              <w:rPr>
                <w:rFonts w:ascii="Garamond" w:hAnsi="Garamond"/>
                <w:sz w:val="22"/>
                <w:szCs w:val="22"/>
                <w:highlight w:val="yellow"/>
                <w:lang w:val="en-US"/>
              </w:rPr>
            </w:pPr>
            <w:r w:rsidRPr="006F6DAC">
              <w:rPr>
                <w:rFonts w:ascii="Garamond" w:hAnsi="Garamond"/>
                <w:sz w:val="22"/>
                <w:szCs w:val="22"/>
                <w:highlight w:val="yellow"/>
                <w:lang w:val="en-US"/>
              </w:rPr>
              <w:t xml:space="preserve">      &lt;delivery-point ats-code="123456789123457" is-group-delivery-point="false" point-voltage="10000"&gt;</w:t>
            </w:r>
          </w:p>
          <w:p w14:paraId="33E603B2" w14:textId="77777777" w:rsidR="00F11A8B" w:rsidRPr="006F6DAC" w:rsidRDefault="00F11A8B" w:rsidP="00F11A8B">
            <w:pPr>
              <w:rPr>
                <w:rFonts w:ascii="Garamond" w:hAnsi="Garamond"/>
                <w:sz w:val="22"/>
                <w:szCs w:val="22"/>
                <w:highlight w:val="yellow"/>
                <w:lang w:val="en-US"/>
              </w:rPr>
            </w:pPr>
            <w:r w:rsidRPr="006F6DAC">
              <w:rPr>
                <w:rFonts w:ascii="Garamond" w:hAnsi="Garamond"/>
                <w:sz w:val="22"/>
                <w:szCs w:val="22"/>
                <w:highlight w:val="yellow"/>
                <w:lang w:val="en-US"/>
              </w:rPr>
              <w:t xml:space="preserve">        &lt;name connection-name="</w:t>
            </w:r>
            <w:r w:rsidRPr="006F6DAC">
              <w:rPr>
                <w:rFonts w:ascii="Garamond" w:hAnsi="Garamond"/>
                <w:sz w:val="22"/>
                <w:szCs w:val="22"/>
                <w:highlight w:val="yellow"/>
              </w:rPr>
              <w:t>ф</w:t>
            </w:r>
            <w:r w:rsidRPr="006F6DAC">
              <w:rPr>
                <w:rFonts w:ascii="Garamond" w:hAnsi="Garamond"/>
                <w:sz w:val="22"/>
                <w:szCs w:val="22"/>
                <w:highlight w:val="yellow"/>
                <w:lang w:val="en-US"/>
              </w:rPr>
              <w:t>. 20/27" location-description="</w:t>
            </w:r>
            <w:r w:rsidRPr="006F6DAC">
              <w:rPr>
                <w:rFonts w:ascii="Garamond" w:hAnsi="Garamond"/>
                <w:sz w:val="22"/>
                <w:szCs w:val="22"/>
                <w:highlight w:val="yellow"/>
              </w:rPr>
              <w:t>РУ</w:t>
            </w:r>
            <w:r w:rsidRPr="006F6DAC">
              <w:rPr>
                <w:rFonts w:ascii="Garamond" w:hAnsi="Garamond"/>
                <w:sz w:val="22"/>
                <w:szCs w:val="22"/>
                <w:highlight w:val="yellow"/>
                <w:lang w:val="en-US"/>
              </w:rPr>
              <w:t xml:space="preserve">-10 </w:t>
            </w:r>
            <w:r w:rsidRPr="006F6DAC">
              <w:rPr>
                <w:rFonts w:ascii="Garamond" w:hAnsi="Garamond"/>
                <w:sz w:val="22"/>
                <w:szCs w:val="22"/>
                <w:highlight w:val="yellow"/>
              </w:rPr>
              <w:t>кВ</w:t>
            </w:r>
            <w:r w:rsidRPr="006F6DAC">
              <w:rPr>
                <w:rFonts w:ascii="Garamond" w:hAnsi="Garamond"/>
                <w:sz w:val="22"/>
                <w:szCs w:val="22"/>
                <w:highlight w:val="yellow"/>
                <w:lang w:val="en-US"/>
              </w:rPr>
              <w:t>, 1</w:t>
            </w:r>
            <w:r w:rsidRPr="006F6DAC">
              <w:rPr>
                <w:rFonts w:ascii="Garamond" w:hAnsi="Garamond"/>
                <w:sz w:val="22"/>
                <w:szCs w:val="22"/>
                <w:highlight w:val="yellow"/>
              </w:rPr>
              <w:t>сек</w:t>
            </w:r>
            <w:r w:rsidRPr="006F6DAC">
              <w:rPr>
                <w:rFonts w:ascii="Garamond" w:hAnsi="Garamond"/>
                <w:sz w:val="22"/>
                <w:szCs w:val="22"/>
                <w:highlight w:val="yellow"/>
                <w:lang w:val="en-US"/>
              </w:rPr>
              <w:t xml:space="preserve">., </w:t>
            </w:r>
            <w:r w:rsidRPr="006F6DAC">
              <w:rPr>
                <w:rFonts w:ascii="Garamond" w:hAnsi="Garamond"/>
                <w:sz w:val="22"/>
                <w:szCs w:val="22"/>
                <w:highlight w:val="yellow"/>
              </w:rPr>
              <w:t>яч</w:t>
            </w:r>
            <w:r w:rsidRPr="006F6DAC">
              <w:rPr>
                <w:rFonts w:ascii="Garamond" w:hAnsi="Garamond"/>
                <w:sz w:val="22"/>
                <w:szCs w:val="22"/>
                <w:highlight w:val="yellow"/>
                <w:lang w:val="en-US"/>
              </w:rPr>
              <w:t>. №27" power-object-name="</w:t>
            </w:r>
            <w:r w:rsidRPr="006F6DAC">
              <w:rPr>
                <w:rFonts w:ascii="Garamond" w:hAnsi="Garamond"/>
                <w:sz w:val="22"/>
                <w:szCs w:val="22"/>
                <w:highlight w:val="yellow"/>
              </w:rPr>
              <w:t>Наименование</w:t>
            </w:r>
            <w:r w:rsidRPr="006F6DAC">
              <w:rPr>
                <w:rFonts w:ascii="Garamond" w:hAnsi="Garamond"/>
                <w:sz w:val="22"/>
                <w:szCs w:val="22"/>
                <w:highlight w:val="yellow"/>
                <w:lang w:val="en-US"/>
              </w:rPr>
              <w:t xml:space="preserve"> </w:t>
            </w:r>
            <w:r w:rsidRPr="006F6DAC">
              <w:rPr>
                <w:rFonts w:ascii="Garamond" w:hAnsi="Garamond"/>
                <w:sz w:val="22"/>
                <w:szCs w:val="22"/>
                <w:highlight w:val="yellow"/>
              </w:rPr>
              <w:t>питающего</w:t>
            </w:r>
            <w:r w:rsidRPr="006F6DAC">
              <w:rPr>
                <w:rFonts w:ascii="Garamond" w:hAnsi="Garamond"/>
                <w:sz w:val="22"/>
                <w:szCs w:val="22"/>
                <w:highlight w:val="yellow"/>
                <w:lang w:val="en-US"/>
              </w:rPr>
              <w:t xml:space="preserve"> </w:t>
            </w:r>
            <w:r w:rsidRPr="006F6DAC">
              <w:rPr>
                <w:rFonts w:ascii="Garamond" w:hAnsi="Garamond"/>
                <w:sz w:val="22"/>
                <w:szCs w:val="22"/>
                <w:highlight w:val="yellow"/>
              </w:rPr>
              <w:t>центра</w:t>
            </w:r>
            <w:r w:rsidRPr="006F6DAC">
              <w:rPr>
                <w:rFonts w:ascii="Garamond" w:hAnsi="Garamond"/>
                <w:sz w:val="22"/>
                <w:szCs w:val="22"/>
                <w:highlight w:val="yellow"/>
                <w:lang w:val="en-US"/>
              </w:rPr>
              <w:t>"/&gt;</w:t>
            </w:r>
          </w:p>
          <w:p w14:paraId="1A288EE5" w14:textId="77777777" w:rsidR="00F11A8B" w:rsidRPr="006F6DAC" w:rsidRDefault="00F11A8B" w:rsidP="00F11A8B">
            <w:pPr>
              <w:rPr>
                <w:rFonts w:ascii="Garamond" w:hAnsi="Garamond"/>
                <w:sz w:val="22"/>
                <w:szCs w:val="22"/>
                <w:highlight w:val="yellow"/>
                <w:lang w:val="en-US"/>
              </w:rPr>
            </w:pPr>
            <w:r w:rsidRPr="006F6DAC">
              <w:rPr>
                <w:rFonts w:ascii="Garamond" w:hAnsi="Garamond"/>
                <w:sz w:val="22"/>
                <w:szCs w:val="22"/>
                <w:highlight w:val="yellow"/>
                <w:lang w:val="en-US"/>
              </w:rPr>
              <w:t xml:space="preserve">      &lt;/delivery-point&gt;</w:t>
            </w:r>
          </w:p>
          <w:p w14:paraId="20FEA8C2" w14:textId="77777777" w:rsidR="00F11A8B" w:rsidRPr="006F6DAC" w:rsidRDefault="00F11A8B" w:rsidP="00F11A8B">
            <w:pPr>
              <w:rPr>
                <w:rFonts w:ascii="Garamond" w:hAnsi="Garamond"/>
                <w:sz w:val="22"/>
                <w:szCs w:val="22"/>
                <w:highlight w:val="yellow"/>
                <w:lang w:val="en-US"/>
              </w:rPr>
            </w:pPr>
            <w:r w:rsidRPr="006F6DAC">
              <w:rPr>
                <w:rFonts w:ascii="Garamond" w:hAnsi="Garamond"/>
                <w:sz w:val="22"/>
                <w:szCs w:val="22"/>
                <w:highlight w:val="yellow"/>
                <w:lang w:val="en-US"/>
              </w:rPr>
              <w:lastRenderedPageBreak/>
              <w:t xml:space="preserve">      &lt;delivery-point ats-code="123456789123458" is-group-delivery-point="false" point-voltage="10000"&gt;</w:t>
            </w:r>
          </w:p>
          <w:p w14:paraId="649CCB7A" w14:textId="77777777" w:rsidR="00F11A8B" w:rsidRPr="006F6DAC" w:rsidRDefault="00F11A8B" w:rsidP="00F11A8B">
            <w:pPr>
              <w:rPr>
                <w:rFonts w:ascii="Garamond" w:hAnsi="Garamond"/>
                <w:sz w:val="22"/>
                <w:szCs w:val="22"/>
                <w:highlight w:val="yellow"/>
                <w:lang w:val="en-US"/>
              </w:rPr>
            </w:pPr>
            <w:r w:rsidRPr="006F6DAC">
              <w:rPr>
                <w:rFonts w:ascii="Garamond" w:hAnsi="Garamond"/>
                <w:sz w:val="22"/>
                <w:szCs w:val="22"/>
                <w:highlight w:val="yellow"/>
                <w:lang w:val="en-US"/>
              </w:rPr>
              <w:t xml:space="preserve">        &lt;name connection-name="</w:t>
            </w:r>
            <w:r w:rsidRPr="006F6DAC">
              <w:rPr>
                <w:rFonts w:ascii="Garamond" w:hAnsi="Garamond"/>
                <w:sz w:val="22"/>
                <w:szCs w:val="22"/>
                <w:highlight w:val="yellow"/>
              </w:rPr>
              <w:t>ф</w:t>
            </w:r>
            <w:r w:rsidRPr="006F6DAC">
              <w:rPr>
                <w:rFonts w:ascii="Garamond" w:hAnsi="Garamond"/>
                <w:sz w:val="22"/>
                <w:szCs w:val="22"/>
                <w:highlight w:val="yellow"/>
                <w:lang w:val="en-US"/>
              </w:rPr>
              <w:t>. 20/69" location-description="</w:t>
            </w:r>
            <w:r w:rsidRPr="006F6DAC">
              <w:rPr>
                <w:rFonts w:ascii="Garamond" w:hAnsi="Garamond"/>
                <w:sz w:val="22"/>
                <w:szCs w:val="22"/>
                <w:highlight w:val="yellow"/>
              </w:rPr>
              <w:t>РУ</w:t>
            </w:r>
            <w:r w:rsidRPr="006F6DAC">
              <w:rPr>
                <w:rFonts w:ascii="Garamond" w:hAnsi="Garamond"/>
                <w:sz w:val="22"/>
                <w:szCs w:val="22"/>
                <w:highlight w:val="yellow"/>
                <w:lang w:val="en-US"/>
              </w:rPr>
              <w:t xml:space="preserve">-10 </w:t>
            </w:r>
            <w:r w:rsidRPr="006F6DAC">
              <w:rPr>
                <w:rFonts w:ascii="Garamond" w:hAnsi="Garamond"/>
                <w:sz w:val="22"/>
                <w:szCs w:val="22"/>
                <w:highlight w:val="yellow"/>
              </w:rPr>
              <w:t>кВ</w:t>
            </w:r>
            <w:r w:rsidRPr="006F6DAC">
              <w:rPr>
                <w:rFonts w:ascii="Garamond" w:hAnsi="Garamond"/>
                <w:sz w:val="22"/>
                <w:szCs w:val="22"/>
                <w:highlight w:val="yellow"/>
                <w:lang w:val="en-US"/>
              </w:rPr>
              <w:t>, 3</w:t>
            </w:r>
            <w:r w:rsidRPr="006F6DAC">
              <w:rPr>
                <w:rFonts w:ascii="Garamond" w:hAnsi="Garamond"/>
                <w:sz w:val="22"/>
                <w:szCs w:val="22"/>
                <w:highlight w:val="yellow"/>
              </w:rPr>
              <w:t>сек</w:t>
            </w:r>
            <w:r w:rsidRPr="006F6DAC">
              <w:rPr>
                <w:rFonts w:ascii="Garamond" w:hAnsi="Garamond"/>
                <w:sz w:val="22"/>
                <w:szCs w:val="22"/>
                <w:highlight w:val="yellow"/>
                <w:lang w:val="en-US"/>
              </w:rPr>
              <w:t xml:space="preserve">., </w:t>
            </w:r>
            <w:r w:rsidRPr="006F6DAC">
              <w:rPr>
                <w:rFonts w:ascii="Garamond" w:hAnsi="Garamond"/>
                <w:sz w:val="22"/>
                <w:szCs w:val="22"/>
                <w:highlight w:val="yellow"/>
              </w:rPr>
              <w:t>яч</w:t>
            </w:r>
            <w:r w:rsidRPr="006F6DAC">
              <w:rPr>
                <w:rFonts w:ascii="Garamond" w:hAnsi="Garamond"/>
                <w:sz w:val="22"/>
                <w:szCs w:val="22"/>
                <w:highlight w:val="yellow"/>
                <w:lang w:val="en-US"/>
              </w:rPr>
              <w:t>. №69" power-object-name="</w:t>
            </w:r>
            <w:r w:rsidRPr="006F6DAC">
              <w:rPr>
                <w:rFonts w:ascii="Garamond" w:hAnsi="Garamond"/>
                <w:sz w:val="22"/>
                <w:szCs w:val="22"/>
                <w:highlight w:val="yellow"/>
              </w:rPr>
              <w:t>Наименование</w:t>
            </w:r>
            <w:r w:rsidRPr="006F6DAC">
              <w:rPr>
                <w:rFonts w:ascii="Garamond" w:hAnsi="Garamond"/>
                <w:sz w:val="22"/>
                <w:szCs w:val="22"/>
                <w:highlight w:val="yellow"/>
                <w:lang w:val="en-US"/>
              </w:rPr>
              <w:t xml:space="preserve"> </w:t>
            </w:r>
            <w:r w:rsidRPr="006F6DAC">
              <w:rPr>
                <w:rFonts w:ascii="Garamond" w:hAnsi="Garamond"/>
                <w:sz w:val="22"/>
                <w:szCs w:val="22"/>
                <w:highlight w:val="yellow"/>
              </w:rPr>
              <w:t>питающего</w:t>
            </w:r>
            <w:r w:rsidRPr="006F6DAC">
              <w:rPr>
                <w:rFonts w:ascii="Garamond" w:hAnsi="Garamond"/>
                <w:sz w:val="22"/>
                <w:szCs w:val="22"/>
                <w:highlight w:val="yellow"/>
                <w:lang w:val="en-US"/>
              </w:rPr>
              <w:t xml:space="preserve"> </w:t>
            </w:r>
            <w:r w:rsidRPr="006F6DAC">
              <w:rPr>
                <w:rFonts w:ascii="Garamond" w:hAnsi="Garamond"/>
                <w:sz w:val="22"/>
                <w:szCs w:val="22"/>
                <w:highlight w:val="yellow"/>
              </w:rPr>
              <w:t>центра</w:t>
            </w:r>
            <w:r w:rsidRPr="006F6DAC">
              <w:rPr>
                <w:rFonts w:ascii="Garamond" w:hAnsi="Garamond"/>
                <w:sz w:val="22"/>
                <w:szCs w:val="22"/>
                <w:highlight w:val="yellow"/>
                <w:lang w:val="en-US"/>
              </w:rPr>
              <w:t>"/&gt;</w:t>
            </w:r>
          </w:p>
          <w:p w14:paraId="6E36FF94" w14:textId="77777777" w:rsidR="00F11A8B" w:rsidRPr="006F6DAC" w:rsidRDefault="00F11A8B" w:rsidP="00F11A8B">
            <w:pPr>
              <w:rPr>
                <w:rFonts w:ascii="Garamond" w:hAnsi="Garamond"/>
                <w:sz w:val="22"/>
                <w:szCs w:val="22"/>
                <w:highlight w:val="yellow"/>
                <w:lang w:val="en-US"/>
              </w:rPr>
            </w:pPr>
            <w:r w:rsidRPr="006F6DAC">
              <w:rPr>
                <w:rFonts w:ascii="Garamond" w:hAnsi="Garamond"/>
                <w:sz w:val="22"/>
                <w:szCs w:val="22"/>
                <w:highlight w:val="yellow"/>
                <w:lang w:val="en-US"/>
              </w:rPr>
              <w:t xml:space="preserve">      &lt;/delivery-point&gt;</w:t>
            </w:r>
          </w:p>
          <w:p w14:paraId="4EF7BF0F" w14:textId="77777777" w:rsidR="00F11A8B" w:rsidRPr="006F6DAC" w:rsidRDefault="00F11A8B" w:rsidP="00F11A8B">
            <w:pPr>
              <w:rPr>
                <w:rFonts w:ascii="Garamond" w:hAnsi="Garamond"/>
                <w:sz w:val="22"/>
                <w:szCs w:val="22"/>
                <w:highlight w:val="yellow"/>
                <w:lang w:val="en-US"/>
              </w:rPr>
            </w:pPr>
            <w:r w:rsidRPr="006F6DAC">
              <w:rPr>
                <w:rFonts w:ascii="Garamond" w:hAnsi="Garamond"/>
                <w:sz w:val="22"/>
                <w:szCs w:val="22"/>
                <w:highlight w:val="yellow"/>
                <w:lang w:val="en-US"/>
              </w:rPr>
              <w:t xml:space="preserve">    &lt;/delivery-points&gt;</w:t>
            </w:r>
          </w:p>
          <w:p w14:paraId="11698AAD" w14:textId="77777777" w:rsidR="00F11A8B" w:rsidRPr="006F6DAC" w:rsidRDefault="00F11A8B" w:rsidP="00F11A8B">
            <w:pPr>
              <w:rPr>
                <w:rFonts w:ascii="Garamond" w:hAnsi="Garamond"/>
                <w:sz w:val="22"/>
                <w:szCs w:val="22"/>
                <w:highlight w:val="yellow"/>
                <w:lang w:val="en-US"/>
              </w:rPr>
            </w:pPr>
            <w:r w:rsidRPr="006F6DAC">
              <w:rPr>
                <w:rFonts w:ascii="Garamond" w:hAnsi="Garamond"/>
                <w:sz w:val="22"/>
                <w:szCs w:val="22"/>
                <w:highlight w:val="yellow"/>
                <w:lang w:val="en-US"/>
              </w:rPr>
              <w:t xml:space="preserve">    &lt;measuring-points&gt;</w:t>
            </w:r>
          </w:p>
          <w:p w14:paraId="18F9DBBA" w14:textId="77777777" w:rsidR="00F11A8B" w:rsidRPr="006F6DAC" w:rsidRDefault="00F11A8B" w:rsidP="00F11A8B">
            <w:pPr>
              <w:rPr>
                <w:rFonts w:ascii="Garamond" w:hAnsi="Garamond"/>
                <w:sz w:val="22"/>
                <w:szCs w:val="22"/>
                <w:highlight w:val="yellow"/>
                <w:lang w:val="en-US"/>
              </w:rPr>
            </w:pPr>
            <w:r w:rsidRPr="006F6DAC">
              <w:rPr>
                <w:rFonts w:ascii="Garamond" w:hAnsi="Garamond"/>
                <w:sz w:val="22"/>
                <w:szCs w:val="22"/>
                <w:highlight w:val="yellow"/>
                <w:lang w:val="en-US"/>
              </w:rPr>
              <w:t xml:space="preserve">      &lt;measuring-point ats-code="123456789123456" measuring-point-type="general" point-voltage="10000"&gt;</w:t>
            </w:r>
          </w:p>
          <w:p w14:paraId="446F2FFC" w14:textId="77777777" w:rsidR="00F11A8B" w:rsidRPr="006F6DAC" w:rsidRDefault="00F11A8B" w:rsidP="00F11A8B">
            <w:pPr>
              <w:rPr>
                <w:rFonts w:ascii="Garamond" w:hAnsi="Garamond"/>
                <w:sz w:val="22"/>
                <w:szCs w:val="22"/>
                <w:highlight w:val="yellow"/>
                <w:lang w:val="en-US"/>
              </w:rPr>
            </w:pPr>
            <w:r w:rsidRPr="006F6DAC">
              <w:rPr>
                <w:rFonts w:ascii="Garamond" w:hAnsi="Garamond"/>
                <w:sz w:val="22"/>
                <w:szCs w:val="22"/>
                <w:highlight w:val="yellow"/>
                <w:lang w:val="en-US"/>
              </w:rPr>
              <w:t xml:space="preserve">        &lt;name connection-name="</w:t>
            </w:r>
            <w:r w:rsidRPr="006F6DAC">
              <w:rPr>
                <w:rFonts w:ascii="Garamond" w:hAnsi="Garamond"/>
                <w:sz w:val="22"/>
                <w:szCs w:val="22"/>
                <w:highlight w:val="yellow"/>
              </w:rPr>
              <w:t>ф</w:t>
            </w:r>
            <w:r w:rsidRPr="006F6DAC">
              <w:rPr>
                <w:rFonts w:ascii="Garamond" w:hAnsi="Garamond"/>
                <w:sz w:val="22"/>
                <w:szCs w:val="22"/>
                <w:highlight w:val="yellow"/>
                <w:lang w:val="en-US"/>
              </w:rPr>
              <w:t>. 24/15" location-description="</w:t>
            </w:r>
            <w:r w:rsidRPr="006F6DAC">
              <w:rPr>
                <w:rFonts w:ascii="Garamond" w:hAnsi="Garamond"/>
                <w:sz w:val="22"/>
                <w:szCs w:val="22"/>
                <w:highlight w:val="yellow"/>
              </w:rPr>
              <w:t>РУ</w:t>
            </w:r>
            <w:r w:rsidRPr="006F6DAC">
              <w:rPr>
                <w:rFonts w:ascii="Garamond" w:hAnsi="Garamond"/>
                <w:sz w:val="22"/>
                <w:szCs w:val="22"/>
                <w:highlight w:val="yellow"/>
                <w:lang w:val="en-US"/>
              </w:rPr>
              <w:t xml:space="preserve">-10 </w:t>
            </w:r>
            <w:r w:rsidRPr="006F6DAC">
              <w:rPr>
                <w:rFonts w:ascii="Garamond" w:hAnsi="Garamond"/>
                <w:sz w:val="22"/>
                <w:szCs w:val="22"/>
                <w:highlight w:val="yellow"/>
              </w:rPr>
              <w:t>кВ</w:t>
            </w:r>
            <w:r w:rsidRPr="006F6DAC">
              <w:rPr>
                <w:rFonts w:ascii="Garamond" w:hAnsi="Garamond"/>
                <w:sz w:val="22"/>
                <w:szCs w:val="22"/>
                <w:highlight w:val="yellow"/>
                <w:lang w:val="en-US"/>
              </w:rPr>
              <w:t>, 1</w:t>
            </w:r>
            <w:r w:rsidRPr="006F6DAC">
              <w:rPr>
                <w:rFonts w:ascii="Garamond" w:hAnsi="Garamond"/>
                <w:sz w:val="22"/>
                <w:szCs w:val="22"/>
                <w:highlight w:val="yellow"/>
              </w:rPr>
              <w:t>сек</w:t>
            </w:r>
            <w:r w:rsidRPr="006F6DAC">
              <w:rPr>
                <w:rFonts w:ascii="Garamond" w:hAnsi="Garamond"/>
                <w:sz w:val="22"/>
                <w:szCs w:val="22"/>
                <w:highlight w:val="yellow"/>
                <w:lang w:val="en-US"/>
              </w:rPr>
              <w:t xml:space="preserve">, </w:t>
            </w:r>
            <w:r w:rsidRPr="006F6DAC">
              <w:rPr>
                <w:rFonts w:ascii="Garamond" w:hAnsi="Garamond"/>
                <w:sz w:val="22"/>
                <w:szCs w:val="22"/>
                <w:highlight w:val="yellow"/>
              </w:rPr>
              <w:t>яч</w:t>
            </w:r>
            <w:r w:rsidRPr="006F6DAC">
              <w:rPr>
                <w:rFonts w:ascii="Garamond" w:hAnsi="Garamond"/>
                <w:sz w:val="22"/>
                <w:szCs w:val="22"/>
                <w:highlight w:val="yellow"/>
                <w:lang w:val="en-US"/>
              </w:rPr>
              <w:t>. №15" power-object-name="</w:t>
            </w:r>
            <w:r w:rsidRPr="006F6DAC">
              <w:rPr>
                <w:rFonts w:ascii="Garamond" w:hAnsi="Garamond"/>
                <w:sz w:val="22"/>
                <w:szCs w:val="22"/>
                <w:highlight w:val="yellow"/>
              </w:rPr>
              <w:t>Наименование</w:t>
            </w:r>
            <w:r w:rsidRPr="006F6DAC">
              <w:rPr>
                <w:rFonts w:ascii="Garamond" w:hAnsi="Garamond"/>
                <w:sz w:val="22"/>
                <w:szCs w:val="22"/>
                <w:highlight w:val="yellow"/>
                <w:lang w:val="en-US"/>
              </w:rPr>
              <w:t xml:space="preserve"> </w:t>
            </w:r>
            <w:r w:rsidRPr="006F6DAC">
              <w:rPr>
                <w:rFonts w:ascii="Garamond" w:hAnsi="Garamond"/>
                <w:sz w:val="22"/>
                <w:szCs w:val="22"/>
                <w:highlight w:val="yellow"/>
              </w:rPr>
              <w:t>объекта</w:t>
            </w:r>
            <w:r w:rsidRPr="006F6DAC">
              <w:rPr>
                <w:rFonts w:ascii="Garamond" w:hAnsi="Garamond"/>
                <w:sz w:val="22"/>
                <w:szCs w:val="22"/>
                <w:highlight w:val="yellow"/>
                <w:lang w:val="en-US"/>
              </w:rPr>
              <w:t>"/&gt;</w:t>
            </w:r>
          </w:p>
          <w:p w14:paraId="78909FF9" w14:textId="77777777" w:rsidR="00F11A8B" w:rsidRPr="006F6DAC" w:rsidRDefault="00F11A8B" w:rsidP="00F11A8B">
            <w:pPr>
              <w:rPr>
                <w:rFonts w:ascii="Garamond" w:hAnsi="Garamond"/>
                <w:sz w:val="22"/>
                <w:szCs w:val="22"/>
                <w:highlight w:val="yellow"/>
                <w:lang w:val="en-US"/>
              </w:rPr>
            </w:pPr>
            <w:r w:rsidRPr="006F6DAC">
              <w:rPr>
                <w:rFonts w:ascii="Garamond" w:hAnsi="Garamond"/>
                <w:sz w:val="22"/>
                <w:szCs w:val="22"/>
                <w:highlight w:val="yellow"/>
                <w:lang w:val="en-US"/>
              </w:rPr>
              <w:t xml:space="preserve">        &lt;measuring-device ats-code="1" device-modification-code="559A7B5B54DF0471E0530A01490A6E4F"&gt;</w:t>
            </w:r>
          </w:p>
          <w:p w14:paraId="5F5613F5" w14:textId="77777777" w:rsidR="00F11A8B" w:rsidRPr="006F6DAC" w:rsidRDefault="00F11A8B" w:rsidP="00F11A8B">
            <w:pPr>
              <w:rPr>
                <w:rFonts w:ascii="Garamond" w:hAnsi="Garamond"/>
                <w:sz w:val="22"/>
                <w:szCs w:val="22"/>
                <w:highlight w:val="yellow"/>
                <w:lang w:val="en-US"/>
              </w:rPr>
            </w:pPr>
            <w:r w:rsidRPr="006F6DAC">
              <w:rPr>
                <w:rFonts w:ascii="Garamond" w:hAnsi="Garamond"/>
                <w:sz w:val="22"/>
                <w:szCs w:val="22"/>
                <w:highlight w:val="yellow"/>
                <w:lang w:val="en-US"/>
              </w:rPr>
              <w:t xml:space="preserve">          &lt;measuring-channel ats-code="02" period="30"/&gt;</w:t>
            </w:r>
          </w:p>
          <w:p w14:paraId="04488BA1" w14:textId="77777777" w:rsidR="00F11A8B" w:rsidRPr="006F6DAC" w:rsidRDefault="00F11A8B" w:rsidP="00F11A8B">
            <w:pPr>
              <w:rPr>
                <w:rFonts w:ascii="Garamond" w:hAnsi="Garamond"/>
                <w:sz w:val="22"/>
                <w:szCs w:val="22"/>
                <w:highlight w:val="yellow"/>
                <w:lang w:val="en-US"/>
              </w:rPr>
            </w:pPr>
            <w:r w:rsidRPr="006F6DAC">
              <w:rPr>
                <w:rFonts w:ascii="Garamond" w:hAnsi="Garamond"/>
                <w:sz w:val="22"/>
                <w:szCs w:val="22"/>
                <w:highlight w:val="yellow"/>
                <w:lang w:val="en-US"/>
              </w:rPr>
              <w:t xml:space="preserve">          &lt;measuring-channel ats-code="04" period="30"/&gt;</w:t>
            </w:r>
          </w:p>
          <w:p w14:paraId="6E2148FF" w14:textId="77777777" w:rsidR="00F11A8B" w:rsidRPr="006F6DAC" w:rsidRDefault="00F11A8B" w:rsidP="00F11A8B">
            <w:pPr>
              <w:rPr>
                <w:rFonts w:ascii="Garamond" w:hAnsi="Garamond"/>
                <w:sz w:val="22"/>
                <w:szCs w:val="22"/>
                <w:highlight w:val="yellow"/>
                <w:lang w:val="en-US"/>
              </w:rPr>
            </w:pPr>
            <w:r w:rsidRPr="006F6DAC">
              <w:rPr>
                <w:rFonts w:ascii="Garamond" w:hAnsi="Garamond"/>
                <w:sz w:val="22"/>
                <w:szCs w:val="22"/>
                <w:highlight w:val="yellow"/>
                <w:lang w:val="en-US"/>
              </w:rPr>
              <w:t xml:space="preserve">        &lt;/measuring-device&gt;</w:t>
            </w:r>
          </w:p>
          <w:p w14:paraId="0DFA509B" w14:textId="77777777" w:rsidR="00F11A8B" w:rsidRPr="006F6DAC" w:rsidRDefault="00F11A8B" w:rsidP="00F11A8B">
            <w:pPr>
              <w:rPr>
                <w:rFonts w:ascii="Garamond" w:hAnsi="Garamond"/>
                <w:sz w:val="22"/>
                <w:szCs w:val="22"/>
                <w:highlight w:val="yellow"/>
                <w:lang w:val="en-US"/>
              </w:rPr>
            </w:pPr>
            <w:r w:rsidRPr="006F6DAC">
              <w:rPr>
                <w:rFonts w:ascii="Garamond" w:hAnsi="Garamond"/>
                <w:sz w:val="22"/>
                <w:szCs w:val="22"/>
                <w:highlight w:val="yellow"/>
                <w:lang w:val="en-US"/>
              </w:rPr>
              <w:t xml:space="preserve">      &lt;/measuring-point&gt;</w:t>
            </w:r>
          </w:p>
          <w:p w14:paraId="56F3086C" w14:textId="77777777" w:rsidR="00F11A8B" w:rsidRPr="006F6DAC" w:rsidRDefault="00F11A8B" w:rsidP="00F11A8B">
            <w:pPr>
              <w:rPr>
                <w:rFonts w:ascii="Garamond" w:hAnsi="Garamond"/>
                <w:sz w:val="22"/>
                <w:szCs w:val="22"/>
                <w:highlight w:val="yellow"/>
                <w:lang w:val="en-US"/>
              </w:rPr>
            </w:pPr>
            <w:r w:rsidRPr="006F6DAC">
              <w:rPr>
                <w:rFonts w:ascii="Garamond" w:hAnsi="Garamond"/>
                <w:sz w:val="22"/>
                <w:szCs w:val="22"/>
                <w:highlight w:val="yellow"/>
                <w:lang w:val="en-US"/>
              </w:rPr>
              <w:t xml:space="preserve">      &lt;measuring-point ats-code="123456789123457" measuring-point-type="general" point-voltage="10000"&gt;</w:t>
            </w:r>
          </w:p>
          <w:p w14:paraId="44970754" w14:textId="77777777" w:rsidR="00F11A8B" w:rsidRPr="006F6DAC" w:rsidRDefault="00F11A8B" w:rsidP="00F11A8B">
            <w:pPr>
              <w:rPr>
                <w:rFonts w:ascii="Garamond" w:hAnsi="Garamond"/>
                <w:sz w:val="22"/>
                <w:szCs w:val="22"/>
                <w:highlight w:val="yellow"/>
                <w:lang w:val="en-US"/>
              </w:rPr>
            </w:pPr>
            <w:r w:rsidRPr="006F6DAC">
              <w:rPr>
                <w:rFonts w:ascii="Garamond" w:hAnsi="Garamond"/>
                <w:sz w:val="22"/>
                <w:szCs w:val="22"/>
                <w:highlight w:val="yellow"/>
                <w:lang w:val="en-US"/>
              </w:rPr>
              <w:t xml:space="preserve">        &lt;name connection-name="</w:t>
            </w:r>
            <w:r w:rsidRPr="006F6DAC">
              <w:rPr>
                <w:rFonts w:ascii="Garamond" w:hAnsi="Garamond"/>
                <w:sz w:val="22"/>
                <w:szCs w:val="22"/>
                <w:highlight w:val="yellow"/>
              </w:rPr>
              <w:t>ф</w:t>
            </w:r>
            <w:r w:rsidRPr="006F6DAC">
              <w:rPr>
                <w:rFonts w:ascii="Garamond" w:hAnsi="Garamond"/>
                <w:sz w:val="22"/>
                <w:szCs w:val="22"/>
                <w:highlight w:val="yellow"/>
                <w:lang w:val="en-US"/>
              </w:rPr>
              <w:t>. 24/23" location-description="</w:t>
            </w:r>
            <w:r w:rsidRPr="006F6DAC">
              <w:rPr>
                <w:rFonts w:ascii="Garamond" w:hAnsi="Garamond"/>
                <w:sz w:val="22"/>
                <w:szCs w:val="22"/>
                <w:highlight w:val="yellow"/>
              </w:rPr>
              <w:t>РУ</w:t>
            </w:r>
            <w:r w:rsidRPr="006F6DAC">
              <w:rPr>
                <w:rFonts w:ascii="Garamond" w:hAnsi="Garamond"/>
                <w:sz w:val="22"/>
                <w:szCs w:val="22"/>
                <w:highlight w:val="yellow"/>
                <w:lang w:val="en-US"/>
              </w:rPr>
              <w:t xml:space="preserve">-10 </w:t>
            </w:r>
            <w:r w:rsidRPr="006F6DAC">
              <w:rPr>
                <w:rFonts w:ascii="Garamond" w:hAnsi="Garamond"/>
                <w:sz w:val="22"/>
                <w:szCs w:val="22"/>
                <w:highlight w:val="yellow"/>
              </w:rPr>
              <w:t>кВ</w:t>
            </w:r>
            <w:r w:rsidRPr="006F6DAC">
              <w:rPr>
                <w:rFonts w:ascii="Garamond" w:hAnsi="Garamond"/>
                <w:sz w:val="22"/>
                <w:szCs w:val="22"/>
                <w:highlight w:val="yellow"/>
                <w:lang w:val="en-US"/>
              </w:rPr>
              <w:t>, 1</w:t>
            </w:r>
            <w:r w:rsidRPr="006F6DAC">
              <w:rPr>
                <w:rFonts w:ascii="Garamond" w:hAnsi="Garamond"/>
                <w:sz w:val="22"/>
                <w:szCs w:val="22"/>
                <w:highlight w:val="yellow"/>
              </w:rPr>
              <w:t>сек</w:t>
            </w:r>
            <w:r w:rsidRPr="006F6DAC">
              <w:rPr>
                <w:rFonts w:ascii="Garamond" w:hAnsi="Garamond"/>
                <w:sz w:val="22"/>
                <w:szCs w:val="22"/>
                <w:highlight w:val="yellow"/>
                <w:lang w:val="en-US"/>
              </w:rPr>
              <w:t xml:space="preserve">, </w:t>
            </w:r>
            <w:r w:rsidRPr="006F6DAC">
              <w:rPr>
                <w:rFonts w:ascii="Garamond" w:hAnsi="Garamond"/>
                <w:sz w:val="22"/>
                <w:szCs w:val="22"/>
                <w:highlight w:val="yellow"/>
              </w:rPr>
              <w:t>яч</w:t>
            </w:r>
            <w:r w:rsidRPr="006F6DAC">
              <w:rPr>
                <w:rFonts w:ascii="Garamond" w:hAnsi="Garamond"/>
                <w:sz w:val="22"/>
                <w:szCs w:val="22"/>
                <w:highlight w:val="yellow"/>
                <w:lang w:val="en-US"/>
              </w:rPr>
              <w:t>. №23" power-object-name="</w:t>
            </w:r>
            <w:r w:rsidRPr="006F6DAC">
              <w:rPr>
                <w:rFonts w:ascii="Garamond" w:hAnsi="Garamond"/>
                <w:sz w:val="22"/>
                <w:szCs w:val="22"/>
                <w:highlight w:val="yellow"/>
              </w:rPr>
              <w:t>Наименование</w:t>
            </w:r>
            <w:r w:rsidRPr="006F6DAC">
              <w:rPr>
                <w:rFonts w:ascii="Garamond" w:hAnsi="Garamond"/>
                <w:sz w:val="22"/>
                <w:szCs w:val="22"/>
                <w:highlight w:val="yellow"/>
                <w:lang w:val="en-US"/>
              </w:rPr>
              <w:t xml:space="preserve"> </w:t>
            </w:r>
            <w:r w:rsidRPr="006F6DAC">
              <w:rPr>
                <w:rFonts w:ascii="Garamond" w:hAnsi="Garamond"/>
                <w:sz w:val="22"/>
                <w:szCs w:val="22"/>
                <w:highlight w:val="yellow"/>
              </w:rPr>
              <w:t>объекта</w:t>
            </w:r>
            <w:r w:rsidRPr="006F6DAC">
              <w:rPr>
                <w:rFonts w:ascii="Garamond" w:hAnsi="Garamond"/>
                <w:sz w:val="22"/>
                <w:szCs w:val="22"/>
                <w:highlight w:val="yellow"/>
                <w:lang w:val="en-US"/>
              </w:rPr>
              <w:t>"/&gt;</w:t>
            </w:r>
          </w:p>
          <w:p w14:paraId="7100F129" w14:textId="77777777" w:rsidR="00F11A8B" w:rsidRPr="006F6DAC" w:rsidRDefault="00F11A8B" w:rsidP="00F11A8B">
            <w:pPr>
              <w:rPr>
                <w:rFonts w:ascii="Garamond" w:hAnsi="Garamond"/>
                <w:sz w:val="22"/>
                <w:szCs w:val="22"/>
                <w:highlight w:val="yellow"/>
                <w:lang w:val="en-US"/>
              </w:rPr>
            </w:pPr>
            <w:r w:rsidRPr="006F6DAC">
              <w:rPr>
                <w:rFonts w:ascii="Garamond" w:hAnsi="Garamond"/>
                <w:sz w:val="22"/>
                <w:szCs w:val="22"/>
                <w:highlight w:val="yellow"/>
                <w:lang w:val="en-US"/>
              </w:rPr>
              <w:t xml:space="preserve">        &lt;measuring-device ats-code="1" device-modification-code="559A7B5B54DF0471E0530A01490A6E4F"&gt;</w:t>
            </w:r>
          </w:p>
          <w:p w14:paraId="4C30B551" w14:textId="77777777" w:rsidR="00F11A8B" w:rsidRPr="006F6DAC" w:rsidRDefault="00F11A8B" w:rsidP="00F11A8B">
            <w:pPr>
              <w:rPr>
                <w:rFonts w:ascii="Garamond" w:hAnsi="Garamond"/>
                <w:sz w:val="22"/>
                <w:szCs w:val="22"/>
                <w:highlight w:val="yellow"/>
                <w:lang w:val="en-US"/>
              </w:rPr>
            </w:pPr>
            <w:r w:rsidRPr="006F6DAC">
              <w:rPr>
                <w:rFonts w:ascii="Garamond" w:hAnsi="Garamond"/>
                <w:sz w:val="22"/>
                <w:szCs w:val="22"/>
                <w:highlight w:val="yellow"/>
                <w:lang w:val="en-US"/>
              </w:rPr>
              <w:t xml:space="preserve">          &lt;measuring-channel ats-code="02" period="30"/&gt;</w:t>
            </w:r>
          </w:p>
          <w:p w14:paraId="03A8D559" w14:textId="77777777" w:rsidR="00F11A8B" w:rsidRPr="006F6DAC" w:rsidRDefault="00F11A8B" w:rsidP="00F11A8B">
            <w:pPr>
              <w:rPr>
                <w:rFonts w:ascii="Garamond" w:hAnsi="Garamond"/>
                <w:sz w:val="22"/>
                <w:szCs w:val="22"/>
                <w:highlight w:val="yellow"/>
                <w:lang w:val="en-US"/>
              </w:rPr>
            </w:pPr>
            <w:r w:rsidRPr="006F6DAC">
              <w:rPr>
                <w:rFonts w:ascii="Garamond" w:hAnsi="Garamond"/>
                <w:sz w:val="22"/>
                <w:szCs w:val="22"/>
                <w:highlight w:val="yellow"/>
                <w:lang w:val="en-US"/>
              </w:rPr>
              <w:t xml:space="preserve">          &lt;measuring-channel ats-code="04" period="30"/&gt;</w:t>
            </w:r>
          </w:p>
          <w:p w14:paraId="7F0D608A" w14:textId="77777777" w:rsidR="00F11A8B" w:rsidRPr="006F6DAC" w:rsidRDefault="00F11A8B" w:rsidP="00F11A8B">
            <w:pPr>
              <w:rPr>
                <w:rFonts w:ascii="Garamond" w:hAnsi="Garamond"/>
                <w:sz w:val="22"/>
                <w:szCs w:val="22"/>
                <w:highlight w:val="yellow"/>
                <w:lang w:val="en-US"/>
              </w:rPr>
            </w:pPr>
            <w:r w:rsidRPr="006F6DAC">
              <w:rPr>
                <w:rFonts w:ascii="Garamond" w:hAnsi="Garamond"/>
                <w:sz w:val="22"/>
                <w:szCs w:val="22"/>
                <w:highlight w:val="yellow"/>
                <w:lang w:val="en-US"/>
              </w:rPr>
              <w:t xml:space="preserve">        &lt;/measuring-device&gt;</w:t>
            </w:r>
          </w:p>
          <w:p w14:paraId="3F3D8A97" w14:textId="77777777" w:rsidR="00F11A8B" w:rsidRPr="006F6DAC" w:rsidRDefault="00F11A8B" w:rsidP="00F11A8B">
            <w:pPr>
              <w:rPr>
                <w:rFonts w:ascii="Garamond" w:hAnsi="Garamond"/>
                <w:sz w:val="22"/>
                <w:szCs w:val="22"/>
                <w:highlight w:val="yellow"/>
                <w:lang w:val="en-US"/>
              </w:rPr>
            </w:pPr>
            <w:r w:rsidRPr="006F6DAC">
              <w:rPr>
                <w:rFonts w:ascii="Garamond" w:hAnsi="Garamond"/>
                <w:sz w:val="22"/>
                <w:szCs w:val="22"/>
                <w:highlight w:val="yellow"/>
                <w:lang w:val="en-US"/>
              </w:rPr>
              <w:t xml:space="preserve">      &lt;/measuring-point&gt;</w:t>
            </w:r>
          </w:p>
          <w:p w14:paraId="36FA9175" w14:textId="77777777" w:rsidR="00F11A8B" w:rsidRPr="006F6DAC" w:rsidRDefault="00F11A8B" w:rsidP="00F11A8B">
            <w:pPr>
              <w:rPr>
                <w:rFonts w:ascii="Garamond" w:hAnsi="Garamond"/>
                <w:sz w:val="22"/>
                <w:szCs w:val="22"/>
                <w:highlight w:val="yellow"/>
                <w:lang w:val="en-US"/>
              </w:rPr>
            </w:pPr>
            <w:r w:rsidRPr="006F6DAC">
              <w:rPr>
                <w:rFonts w:ascii="Garamond" w:hAnsi="Garamond"/>
                <w:sz w:val="22"/>
                <w:szCs w:val="22"/>
                <w:highlight w:val="yellow"/>
                <w:lang w:val="en-US"/>
              </w:rPr>
              <w:t xml:space="preserve">      &lt;measuring-point ats-code="123456789123458" measuring-point-type="general" point-voltage="10000"&gt;</w:t>
            </w:r>
          </w:p>
          <w:p w14:paraId="45AAFDBC" w14:textId="77777777" w:rsidR="00F11A8B" w:rsidRPr="006F6DAC" w:rsidRDefault="00F11A8B" w:rsidP="00F11A8B">
            <w:pPr>
              <w:rPr>
                <w:rFonts w:ascii="Garamond" w:hAnsi="Garamond"/>
                <w:sz w:val="22"/>
                <w:szCs w:val="22"/>
                <w:highlight w:val="yellow"/>
                <w:lang w:val="en-US"/>
              </w:rPr>
            </w:pPr>
            <w:r w:rsidRPr="006F6DAC">
              <w:rPr>
                <w:rFonts w:ascii="Garamond" w:hAnsi="Garamond"/>
                <w:sz w:val="22"/>
                <w:szCs w:val="22"/>
                <w:highlight w:val="yellow"/>
                <w:lang w:val="en-US"/>
              </w:rPr>
              <w:t xml:space="preserve">        &lt;name connection-name="</w:t>
            </w:r>
            <w:r w:rsidRPr="006F6DAC">
              <w:rPr>
                <w:rFonts w:ascii="Garamond" w:hAnsi="Garamond"/>
                <w:sz w:val="22"/>
                <w:szCs w:val="22"/>
                <w:highlight w:val="yellow"/>
              </w:rPr>
              <w:t>ф</w:t>
            </w:r>
            <w:r w:rsidRPr="006F6DAC">
              <w:rPr>
                <w:rFonts w:ascii="Garamond" w:hAnsi="Garamond"/>
                <w:sz w:val="22"/>
                <w:szCs w:val="22"/>
                <w:highlight w:val="yellow"/>
                <w:lang w:val="en-US"/>
              </w:rPr>
              <w:t xml:space="preserve">. </w:t>
            </w:r>
            <w:r w:rsidRPr="006F6DAC">
              <w:rPr>
                <w:rFonts w:ascii="Garamond" w:hAnsi="Garamond"/>
                <w:sz w:val="22"/>
                <w:szCs w:val="22"/>
                <w:highlight w:val="yellow"/>
              </w:rPr>
              <w:t>ф</w:t>
            </w:r>
            <w:r w:rsidRPr="006F6DAC">
              <w:rPr>
                <w:rFonts w:ascii="Garamond" w:hAnsi="Garamond"/>
                <w:sz w:val="22"/>
                <w:szCs w:val="22"/>
                <w:highlight w:val="yellow"/>
                <w:lang w:val="en-US"/>
              </w:rPr>
              <w:t>.23/15" location-description="</w:t>
            </w:r>
            <w:r w:rsidRPr="006F6DAC">
              <w:rPr>
                <w:rFonts w:ascii="Garamond" w:hAnsi="Garamond"/>
                <w:sz w:val="22"/>
                <w:szCs w:val="22"/>
                <w:highlight w:val="yellow"/>
              </w:rPr>
              <w:t>РУ</w:t>
            </w:r>
            <w:r w:rsidRPr="006F6DAC">
              <w:rPr>
                <w:rFonts w:ascii="Garamond" w:hAnsi="Garamond"/>
                <w:sz w:val="22"/>
                <w:szCs w:val="22"/>
                <w:highlight w:val="yellow"/>
                <w:lang w:val="en-US"/>
              </w:rPr>
              <w:t xml:space="preserve">-10 </w:t>
            </w:r>
            <w:r w:rsidRPr="006F6DAC">
              <w:rPr>
                <w:rFonts w:ascii="Garamond" w:hAnsi="Garamond"/>
                <w:sz w:val="22"/>
                <w:szCs w:val="22"/>
                <w:highlight w:val="yellow"/>
              </w:rPr>
              <w:t>кВ</w:t>
            </w:r>
            <w:r w:rsidRPr="006F6DAC">
              <w:rPr>
                <w:rFonts w:ascii="Garamond" w:hAnsi="Garamond"/>
                <w:sz w:val="22"/>
                <w:szCs w:val="22"/>
                <w:highlight w:val="yellow"/>
                <w:lang w:val="en-US"/>
              </w:rPr>
              <w:t xml:space="preserve">, 1 </w:t>
            </w:r>
            <w:r w:rsidRPr="006F6DAC">
              <w:rPr>
                <w:rFonts w:ascii="Garamond" w:hAnsi="Garamond"/>
                <w:sz w:val="22"/>
                <w:szCs w:val="22"/>
                <w:highlight w:val="yellow"/>
              </w:rPr>
              <w:t>сек</w:t>
            </w:r>
            <w:r w:rsidRPr="006F6DAC">
              <w:rPr>
                <w:rFonts w:ascii="Garamond" w:hAnsi="Garamond"/>
                <w:sz w:val="22"/>
                <w:szCs w:val="22"/>
                <w:highlight w:val="yellow"/>
                <w:lang w:val="en-US"/>
              </w:rPr>
              <w:t xml:space="preserve">., </w:t>
            </w:r>
            <w:r w:rsidRPr="006F6DAC">
              <w:rPr>
                <w:rFonts w:ascii="Garamond" w:hAnsi="Garamond"/>
                <w:sz w:val="22"/>
                <w:szCs w:val="22"/>
                <w:highlight w:val="yellow"/>
              </w:rPr>
              <w:t>яч</w:t>
            </w:r>
            <w:r w:rsidRPr="006F6DAC">
              <w:rPr>
                <w:rFonts w:ascii="Garamond" w:hAnsi="Garamond"/>
                <w:sz w:val="22"/>
                <w:szCs w:val="22"/>
                <w:highlight w:val="yellow"/>
                <w:lang w:val="en-US"/>
              </w:rPr>
              <w:t>. №15" power-object-name="</w:t>
            </w:r>
            <w:r w:rsidRPr="006F6DAC">
              <w:rPr>
                <w:rFonts w:ascii="Garamond" w:hAnsi="Garamond"/>
                <w:sz w:val="22"/>
                <w:szCs w:val="22"/>
                <w:highlight w:val="yellow"/>
              </w:rPr>
              <w:t>Наименование</w:t>
            </w:r>
            <w:r w:rsidRPr="006F6DAC">
              <w:rPr>
                <w:rFonts w:ascii="Garamond" w:hAnsi="Garamond"/>
                <w:sz w:val="22"/>
                <w:szCs w:val="22"/>
                <w:highlight w:val="yellow"/>
                <w:lang w:val="en-US"/>
              </w:rPr>
              <w:t xml:space="preserve"> </w:t>
            </w:r>
            <w:r w:rsidRPr="006F6DAC">
              <w:rPr>
                <w:rFonts w:ascii="Garamond" w:hAnsi="Garamond"/>
                <w:sz w:val="22"/>
                <w:szCs w:val="22"/>
                <w:highlight w:val="yellow"/>
              </w:rPr>
              <w:t>объекта</w:t>
            </w:r>
            <w:r w:rsidRPr="006F6DAC">
              <w:rPr>
                <w:rFonts w:ascii="Garamond" w:hAnsi="Garamond"/>
                <w:sz w:val="22"/>
                <w:szCs w:val="22"/>
                <w:highlight w:val="yellow"/>
                <w:lang w:val="en-US"/>
              </w:rPr>
              <w:t>"/&gt;</w:t>
            </w:r>
          </w:p>
          <w:p w14:paraId="4BD4F308" w14:textId="77777777" w:rsidR="00F11A8B" w:rsidRPr="006F6DAC" w:rsidRDefault="00F11A8B" w:rsidP="00F11A8B">
            <w:pPr>
              <w:rPr>
                <w:rFonts w:ascii="Garamond" w:hAnsi="Garamond"/>
                <w:sz w:val="22"/>
                <w:szCs w:val="22"/>
                <w:highlight w:val="yellow"/>
                <w:lang w:val="en-US"/>
              </w:rPr>
            </w:pPr>
            <w:r w:rsidRPr="006F6DAC">
              <w:rPr>
                <w:rFonts w:ascii="Garamond" w:hAnsi="Garamond"/>
                <w:sz w:val="22"/>
                <w:szCs w:val="22"/>
                <w:highlight w:val="yellow"/>
                <w:lang w:val="en-US"/>
              </w:rPr>
              <w:t xml:space="preserve">        &lt;measuring-device ats-code="1" device-modification-code="559A7B5B54DF0471E0530A01490A6E4F"&gt;</w:t>
            </w:r>
          </w:p>
          <w:p w14:paraId="437C5CA9" w14:textId="77777777" w:rsidR="00F11A8B" w:rsidRPr="006F6DAC" w:rsidRDefault="00F11A8B" w:rsidP="00F11A8B">
            <w:pPr>
              <w:rPr>
                <w:rFonts w:ascii="Garamond" w:hAnsi="Garamond"/>
                <w:sz w:val="22"/>
                <w:szCs w:val="22"/>
                <w:highlight w:val="yellow"/>
                <w:lang w:val="en-US"/>
              </w:rPr>
            </w:pPr>
            <w:r w:rsidRPr="006F6DAC">
              <w:rPr>
                <w:rFonts w:ascii="Garamond" w:hAnsi="Garamond"/>
                <w:sz w:val="22"/>
                <w:szCs w:val="22"/>
                <w:highlight w:val="yellow"/>
                <w:lang w:val="en-US"/>
              </w:rPr>
              <w:t xml:space="preserve">          &lt;measuring-channel ats-code="02" period="30"/&gt;</w:t>
            </w:r>
          </w:p>
          <w:p w14:paraId="14FBA8AC" w14:textId="77777777" w:rsidR="00F11A8B" w:rsidRPr="006F6DAC" w:rsidRDefault="00F11A8B" w:rsidP="00F11A8B">
            <w:pPr>
              <w:rPr>
                <w:rFonts w:ascii="Garamond" w:hAnsi="Garamond"/>
                <w:sz w:val="22"/>
                <w:szCs w:val="22"/>
                <w:highlight w:val="yellow"/>
                <w:lang w:val="en-US"/>
              </w:rPr>
            </w:pPr>
            <w:r w:rsidRPr="006F6DAC">
              <w:rPr>
                <w:rFonts w:ascii="Garamond" w:hAnsi="Garamond"/>
                <w:sz w:val="22"/>
                <w:szCs w:val="22"/>
                <w:highlight w:val="yellow"/>
                <w:lang w:val="en-US"/>
              </w:rPr>
              <w:t xml:space="preserve">          &lt;measuring-channel ats-code="04" period="30"/&gt;</w:t>
            </w:r>
          </w:p>
          <w:p w14:paraId="158289D5" w14:textId="77777777" w:rsidR="00F11A8B" w:rsidRPr="006F6DAC" w:rsidRDefault="00F11A8B" w:rsidP="00F11A8B">
            <w:pPr>
              <w:rPr>
                <w:rFonts w:ascii="Garamond" w:hAnsi="Garamond"/>
                <w:sz w:val="22"/>
                <w:szCs w:val="22"/>
                <w:highlight w:val="yellow"/>
                <w:lang w:val="en-US"/>
              </w:rPr>
            </w:pPr>
            <w:r w:rsidRPr="006F6DAC">
              <w:rPr>
                <w:rFonts w:ascii="Garamond" w:hAnsi="Garamond"/>
                <w:sz w:val="22"/>
                <w:szCs w:val="22"/>
                <w:highlight w:val="yellow"/>
                <w:lang w:val="en-US"/>
              </w:rPr>
              <w:t xml:space="preserve">        &lt;/measuring-device&gt;</w:t>
            </w:r>
          </w:p>
          <w:p w14:paraId="4BEE5E76" w14:textId="77777777" w:rsidR="00F11A8B" w:rsidRPr="006F6DAC" w:rsidRDefault="00F11A8B" w:rsidP="00F11A8B">
            <w:pPr>
              <w:rPr>
                <w:rFonts w:ascii="Garamond" w:hAnsi="Garamond"/>
                <w:sz w:val="22"/>
                <w:szCs w:val="22"/>
                <w:highlight w:val="yellow"/>
                <w:lang w:val="en-US"/>
              </w:rPr>
            </w:pPr>
            <w:r w:rsidRPr="006F6DAC">
              <w:rPr>
                <w:rFonts w:ascii="Garamond" w:hAnsi="Garamond"/>
                <w:sz w:val="22"/>
                <w:szCs w:val="22"/>
                <w:highlight w:val="yellow"/>
                <w:lang w:val="en-US"/>
              </w:rPr>
              <w:t xml:space="preserve">      &lt;/measuring-point&gt;</w:t>
            </w:r>
          </w:p>
          <w:p w14:paraId="12AAA38C" w14:textId="77777777" w:rsidR="00F11A8B" w:rsidRPr="006F6DAC" w:rsidRDefault="00F11A8B" w:rsidP="00F11A8B">
            <w:pPr>
              <w:rPr>
                <w:rFonts w:ascii="Garamond" w:hAnsi="Garamond"/>
                <w:sz w:val="22"/>
                <w:szCs w:val="22"/>
                <w:highlight w:val="yellow"/>
                <w:lang w:val="en-US"/>
              </w:rPr>
            </w:pPr>
            <w:r w:rsidRPr="006F6DAC">
              <w:rPr>
                <w:rFonts w:ascii="Garamond" w:hAnsi="Garamond"/>
                <w:sz w:val="22"/>
                <w:szCs w:val="22"/>
                <w:highlight w:val="yellow"/>
                <w:lang w:val="en-US"/>
              </w:rPr>
              <w:t xml:space="preserve">    &lt;/measuring-points&gt;</w:t>
            </w:r>
          </w:p>
          <w:p w14:paraId="3750DAB2" w14:textId="77777777" w:rsidR="00F11A8B" w:rsidRPr="006F6DAC" w:rsidRDefault="00F11A8B" w:rsidP="00F11A8B">
            <w:pPr>
              <w:rPr>
                <w:rFonts w:ascii="Garamond" w:hAnsi="Garamond"/>
                <w:sz w:val="22"/>
                <w:szCs w:val="22"/>
                <w:highlight w:val="yellow"/>
                <w:lang w:val="en-US"/>
              </w:rPr>
            </w:pPr>
            <w:r w:rsidRPr="006F6DAC">
              <w:rPr>
                <w:rFonts w:ascii="Garamond" w:hAnsi="Garamond"/>
                <w:sz w:val="22"/>
                <w:szCs w:val="22"/>
                <w:highlight w:val="yellow"/>
                <w:lang w:val="en-US"/>
              </w:rPr>
              <w:lastRenderedPageBreak/>
              <w:t xml:space="preserve">    &lt;measuring-device-modifications&gt;</w:t>
            </w:r>
          </w:p>
          <w:p w14:paraId="33E2B848" w14:textId="77777777" w:rsidR="00F11A8B" w:rsidRPr="006F6DAC" w:rsidRDefault="00F11A8B" w:rsidP="00F11A8B">
            <w:pPr>
              <w:rPr>
                <w:rFonts w:ascii="Garamond" w:hAnsi="Garamond"/>
                <w:sz w:val="22"/>
                <w:szCs w:val="22"/>
                <w:highlight w:val="yellow"/>
                <w:lang w:val="en-US"/>
              </w:rPr>
            </w:pPr>
            <w:r w:rsidRPr="006F6DAC">
              <w:rPr>
                <w:rFonts w:ascii="Garamond" w:hAnsi="Garamond"/>
                <w:sz w:val="22"/>
                <w:szCs w:val="22"/>
                <w:highlight w:val="yellow"/>
                <w:lang w:val="en-US"/>
              </w:rPr>
              <w:t xml:space="preserve">      &lt;measuring-device-modification ats-code="559A7B5B558C0471E0530A01490A6E4F" device-modification-name="EPQS 122.21.18.LL"/&gt;</w:t>
            </w:r>
          </w:p>
          <w:p w14:paraId="1BC45EED" w14:textId="77777777" w:rsidR="00F11A8B" w:rsidRPr="006F6DAC" w:rsidRDefault="00F11A8B" w:rsidP="00F11A8B">
            <w:pPr>
              <w:rPr>
                <w:rFonts w:ascii="Garamond" w:hAnsi="Garamond"/>
                <w:sz w:val="22"/>
                <w:szCs w:val="22"/>
                <w:highlight w:val="yellow"/>
                <w:lang w:val="en-US"/>
              </w:rPr>
            </w:pPr>
            <w:r w:rsidRPr="006F6DAC">
              <w:rPr>
                <w:rFonts w:ascii="Garamond" w:hAnsi="Garamond"/>
                <w:sz w:val="22"/>
                <w:szCs w:val="22"/>
                <w:highlight w:val="yellow"/>
                <w:lang w:val="en-US"/>
              </w:rPr>
              <w:t xml:space="preserve">      &lt;measuring-device-modification ats-code="559A7B5B54DF0471E0530A01490A6E4F" device-modification-name="EPQS 122.21.12.LL"/&gt;</w:t>
            </w:r>
          </w:p>
          <w:p w14:paraId="577A697C" w14:textId="77777777" w:rsidR="00F11A8B" w:rsidRPr="006F6DAC" w:rsidRDefault="00F11A8B" w:rsidP="00F11A8B">
            <w:pPr>
              <w:rPr>
                <w:rFonts w:ascii="Garamond" w:hAnsi="Garamond"/>
                <w:sz w:val="22"/>
                <w:szCs w:val="22"/>
                <w:highlight w:val="yellow"/>
                <w:lang w:val="en-US"/>
              </w:rPr>
            </w:pPr>
            <w:r w:rsidRPr="006F6DAC">
              <w:rPr>
                <w:rFonts w:ascii="Garamond" w:hAnsi="Garamond"/>
                <w:sz w:val="22"/>
                <w:szCs w:val="22"/>
                <w:highlight w:val="yellow"/>
                <w:lang w:val="en-US"/>
              </w:rPr>
              <w:t xml:space="preserve">      &lt;measuring-device-modification ats-code="559A7B5B51FE0471E0530A01490A6E4F" device-modification-name="EPQS 111.08.07.LL"/&gt;</w:t>
            </w:r>
          </w:p>
          <w:p w14:paraId="0E2DAD84" w14:textId="77777777" w:rsidR="00F11A8B" w:rsidRPr="006F6DAC" w:rsidRDefault="00F11A8B" w:rsidP="00F11A8B">
            <w:pPr>
              <w:rPr>
                <w:rFonts w:ascii="Garamond" w:hAnsi="Garamond"/>
                <w:sz w:val="22"/>
                <w:szCs w:val="22"/>
                <w:highlight w:val="yellow"/>
                <w:lang w:val="en-US"/>
              </w:rPr>
            </w:pPr>
            <w:r w:rsidRPr="006F6DAC">
              <w:rPr>
                <w:rFonts w:ascii="Garamond" w:hAnsi="Garamond"/>
                <w:sz w:val="22"/>
                <w:szCs w:val="22"/>
                <w:highlight w:val="yellow"/>
                <w:lang w:val="en-US"/>
              </w:rPr>
              <w:t xml:space="preserve">    &lt;/measuring-device-modifications&gt;</w:t>
            </w:r>
          </w:p>
          <w:p w14:paraId="096650E9" w14:textId="77777777" w:rsidR="00F11A8B" w:rsidRPr="006F6DAC" w:rsidRDefault="00F11A8B" w:rsidP="00F11A8B">
            <w:pPr>
              <w:rPr>
                <w:rFonts w:ascii="Garamond" w:hAnsi="Garamond"/>
                <w:sz w:val="22"/>
                <w:szCs w:val="22"/>
                <w:highlight w:val="yellow"/>
                <w:lang w:val="en-US"/>
              </w:rPr>
            </w:pPr>
            <w:r w:rsidRPr="006F6DAC">
              <w:rPr>
                <w:rFonts w:ascii="Garamond" w:hAnsi="Garamond"/>
                <w:sz w:val="22"/>
                <w:szCs w:val="22"/>
                <w:highlight w:val="yellow"/>
                <w:lang w:val="en-US"/>
              </w:rPr>
              <w:t xml:space="preserve">    &lt;measuring-objects&gt;</w:t>
            </w:r>
          </w:p>
          <w:p w14:paraId="353AB7B6" w14:textId="77777777" w:rsidR="00F11A8B" w:rsidRPr="006F6DAC" w:rsidRDefault="00F11A8B" w:rsidP="00F11A8B">
            <w:pPr>
              <w:rPr>
                <w:rFonts w:ascii="Garamond" w:hAnsi="Garamond"/>
                <w:sz w:val="22"/>
                <w:szCs w:val="22"/>
                <w:highlight w:val="yellow"/>
                <w:lang w:val="en-US"/>
              </w:rPr>
            </w:pPr>
            <w:r w:rsidRPr="006F6DAC">
              <w:rPr>
                <w:rFonts w:ascii="Garamond" w:hAnsi="Garamond"/>
                <w:sz w:val="22"/>
                <w:szCs w:val="22"/>
                <w:highlight w:val="yellow"/>
                <w:lang w:val="en-US"/>
              </w:rPr>
              <w:tab/>
            </w:r>
            <w:r w:rsidRPr="006F6DAC">
              <w:rPr>
                <w:rFonts w:ascii="Garamond" w:hAnsi="Garamond"/>
                <w:sz w:val="22"/>
                <w:szCs w:val="22"/>
                <w:highlight w:val="yellow"/>
                <w:lang w:val="en-US"/>
              </w:rPr>
              <w:tab/>
              <w:t>&lt;measuring-object ats-code="123456789012345" measuring-object-type="1" name="</w:t>
            </w:r>
            <w:r w:rsidRPr="006F6DAC">
              <w:rPr>
                <w:rFonts w:ascii="Garamond" w:hAnsi="Garamond"/>
                <w:sz w:val="22"/>
                <w:szCs w:val="22"/>
                <w:highlight w:val="yellow"/>
              </w:rPr>
              <w:t>Наименование</w:t>
            </w:r>
            <w:r w:rsidRPr="006F6DAC">
              <w:rPr>
                <w:rFonts w:ascii="Garamond" w:hAnsi="Garamond"/>
                <w:sz w:val="22"/>
                <w:szCs w:val="22"/>
                <w:highlight w:val="yellow"/>
                <w:lang w:val="en-US"/>
              </w:rPr>
              <w:t xml:space="preserve"> </w:t>
            </w:r>
            <w:r w:rsidRPr="006F6DAC">
              <w:rPr>
                <w:rFonts w:ascii="Garamond" w:hAnsi="Garamond"/>
                <w:sz w:val="22"/>
                <w:szCs w:val="22"/>
                <w:highlight w:val="yellow"/>
              </w:rPr>
              <w:t>объекта</w:t>
            </w:r>
            <w:r w:rsidRPr="006F6DAC">
              <w:rPr>
                <w:rFonts w:ascii="Garamond" w:hAnsi="Garamond"/>
                <w:sz w:val="22"/>
                <w:szCs w:val="22"/>
                <w:highlight w:val="yellow"/>
                <w:lang w:val="en-US"/>
              </w:rPr>
              <w:t xml:space="preserve"> </w:t>
            </w:r>
            <w:r w:rsidRPr="006F6DAC">
              <w:rPr>
                <w:rFonts w:ascii="Garamond" w:hAnsi="Garamond"/>
                <w:sz w:val="22"/>
                <w:szCs w:val="22"/>
                <w:highlight w:val="yellow"/>
              </w:rPr>
              <w:t>измерений</w:t>
            </w:r>
            <w:r w:rsidRPr="006F6DAC">
              <w:rPr>
                <w:rFonts w:ascii="Garamond" w:hAnsi="Garamond"/>
                <w:sz w:val="22"/>
                <w:szCs w:val="22"/>
                <w:highlight w:val="yellow"/>
                <w:lang w:val="en-US"/>
              </w:rPr>
              <w:t>" period="30"/&gt;</w:t>
            </w:r>
          </w:p>
          <w:p w14:paraId="28A69C62" w14:textId="77777777" w:rsidR="00F11A8B" w:rsidRPr="006F6DAC" w:rsidRDefault="00F11A8B" w:rsidP="00F11A8B">
            <w:pPr>
              <w:rPr>
                <w:rFonts w:ascii="Garamond" w:hAnsi="Garamond"/>
                <w:sz w:val="22"/>
                <w:szCs w:val="22"/>
                <w:highlight w:val="yellow"/>
                <w:lang w:val="en-US"/>
              </w:rPr>
            </w:pPr>
            <w:r w:rsidRPr="006F6DAC">
              <w:rPr>
                <w:rFonts w:ascii="Garamond" w:hAnsi="Garamond"/>
                <w:sz w:val="22"/>
                <w:szCs w:val="22"/>
                <w:highlight w:val="yellow"/>
                <w:lang w:val="en-US"/>
              </w:rPr>
              <w:t xml:space="preserve">    &lt;/measuring-objects&gt;</w:t>
            </w:r>
          </w:p>
          <w:p w14:paraId="1ACA1839" w14:textId="77777777" w:rsidR="00F11A8B" w:rsidRPr="006F6DAC" w:rsidRDefault="00F11A8B" w:rsidP="00F11A8B">
            <w:pPr>
              <w:rPr>
                <w:rFonts w:ascii="Garamond" w:hAnsi="Garamond"/>
                <w:sz w:val="22"/>
                <w:szCs w:val="22"/>
                <w:highlight w:val="yellow"/>
                <w:lang w:val="en-US"/>
              </w:rPr>
            </w:pPr>
            <w:r w:rsidRPr="006F6DAC">
              <w:rPr>
                <w:rFonts w:ascii="Garamond" w:hAnsi="Garamond"/>
                <w:sz w:val="22"/>
                <w:szCs w:val="22"/>
                <w:highlight w:val="yellow"/>
                <w:lang w:val="en-US"/>
              </w:rPr>
              <w:t xml:space="preserve">  &lt;/dictionaries&gt;</w:t>
            </w:r>
          </w:p>
          <w:p w14:paraId="560FF429" w14:textId="77777777" w:rsidR="00F11A8B" w:rsidRPr="006F6DAC" w:rsidRDefault="00F11A8B" w:rsidP="00F11A8B">
            <w:pPr>
              <w:rPr>
                <w:rFonts w:ascii="Garamond" w:hAnsi="Garamond"/>
                <w:sz w:val="22"/>
                <w:szCs w:val="22"/>
                <w:highlight w:val="yellow"/>
                <w:lang w:val="en-US"/>
              </w:rPr>
            </w:pPr>
            <w:r w:rsidRPr="006F6DAC">
              <w:rPr>
                <w:rFonts w:ascii="Garamond" w:hAnsi="Garamond"/>
                <w:sz w:val="22"/>
                <w:szCs w:val="22"/>
                <w:highlight w:val="yellow"/>
                <w:lang w:val="en-US"/>
              </w:rPr>
              <w:t xml:space="preserve">  &lt;links&gt;</w:t>
            </w:r>
          </w:p>
          <w:p w14:paraId="3D169E3D" w14:textId="77777777" w:rsidR="00F11A8B" w:rsidRPr="006F6DAC" w:rsidRDefault="00F11A8B" w:rsidP="00F11A8B">
            <w:pPr>
              <w:rPr>
                <w:rFonts w:ascii="Garamond" w:hAnsi="Garamond"/>
                <w:sz w:val="22"/>
                <w:szCs w:val="22"/>
                <w:highlight w:val="yellow"/>
                <w:lang w:val="en-US"/>
              </w:rPr>
            </w:pPr>
            <w:r w:rsidRPr="006F6DAC">
              <w:rPr>
                <w:rFonts w:ascii="Garamond" w:hAnsi="Garamond"/>
                <w:sz w:val="22"/>
                <w:szCs w:val="22"/>
                <w:highlight w:val="yellow"/>
                <w:lang w:val="en-US"/>
              </w:rPr>
              <w:t xml:space="preserve">    &lt;ov-measuring-point-links&gt;</w:t>
            </w:r>
          </w:p>
          <w:p w14:paraId="27C15FBB" w14:textId="77777777" w:rsidR="00F11A8B" w:rsidRPr="006F6DAC" w:rsidRDefault="00F11A8B" w:rsidP="00F11A8B">
            <w:pPr>
              <w:rPr>
                <w:rFonts w:ascii="Garamond" w:hAnsi="Garamond"/>
                <w:sz w:val="22"/>
                <w:szCs w:val="22"/>
                <w:highlight w:val="yellow"/>
                <w:lang w:val="en-US"/>
              </w:rPr>
            </w:pPr>
            <w:r w:rsidRPr="006F6DAC">
              <w:rPr>
                <w:rFonts w:ascii="Garamond" w:hAnsi="Garamond"/>
                <w:sz w:val="22"/>
                <w:szCs w:val="22"/>
                <w:highlight w:val="yellow"/>
                <w:lang w:val="en-US"/>
              </w:rPr>
              <w:tab/>
            </w:r>
            <w:r w:rsidRPr="006F6DAC">
              <w:rPr>
                <w:rFonts w:ascii="Garamond" w:hAnsi="Garamond"/>
                <w:sz w:val="22"/>
                <w:szCs w:val="22"/>
                <w:highlight w:val="yellow"/>
                <w:lang w:val="en-US"/>
              </w:rPr>
              <w:tab/>
              <w:t>&lt;ov-measuring-point-link ov-measuring-point-code="123456789123457" serviced-measuring-point-code="123456789123458"/&gt;</w:t>
            </w:r>
          </w:p>
          <w:p w14:paraId="40824D0B" w14:textId="77777777" w:rsidR="00F11A8B" w:rsidRPr="006F6DAC" w:rsidRDefault="00F11A8B" w:rsidP="00F11A8B">
            <w:pPr>
              <w:rPr>
                <w:rFonts w:ascii="Garamond" w:hAnsi="Garamond"/>
                <w:sz w:val="22"/>
                <w:szCs w:val="22"/>
                <w:highlight w:val="yellow"/>
                <w:lang w:val="en-US"/>
              </w:rPr>
            </w:pPr>
            <w:r w:rsidRPr="006F6DAC">
              <w:rPr>
                <w:rFonts w:ascii="Garamond" w:hAnsi="Garamond"/>
                <w:sz w:val="22"/>
                <w:szCs w:val="22"/>
                <w:highlight w:val="yellow"/>
                <w:lang w:val="en-US"/>
              </w:rPr>
              <w:t xml:space="preserve">    &lt;/ov-measuring-point-links&gt;</w:t>
            </w:r>
          </w:p>
          <w:p w14:paraId="61D27D1B" w14:textId="77777777" w:rsidR="00F11A8B" w:rsidRPr="006F6DAC" w:rsidRDefault="00F11A8B" w:rsidP="00F11A8B">
            <w:pPr>
              <w:rPr>
                <w:rFonts w:ascii="Garamond" w:hAnsi="Garamond"/>
                <w:sz w:val="22"/>
                <w:szCs w:val="22"/>
                <w:highlight w:val="yellow"/>
                <w:lang w:val="en-US"/>
              </w:rPr>
            </w:pPr>
            <w:r w:rsidRPr="006F6DAC">
              <w:rPr>
                <w:rFonts w:ascii="Garamond" w:hAnsi="Garamond"/>
                <w:sz w:val="22"/>
                <w:szCs w:val="22"/>
                <w:highlight w:val="yellow"/>
                <w:lang w:val="en-US"/>
              </w:rPr>
              <w:t xml:space="preserve">    &lt;group-delivery-point-composition&gt;</w:t>
            </w:r>
          </w:p>
          <w:p w14:paraId="6316540A" w14:textId="77777777" w:rsidR="00F11A8B" w:rsidRPr="006F6DAC" w:rsidRDefault="00F11A8B" w:rsidP="00F11A8B">
            <w:pPr>
              <w:rPr>
                <w:rFonts w:ascii="Garamond" w:hAnsi="Garamond"/>
                <w:sz w:val="22"/>
                <w:szCs w:val="22"/>
                <w:highlight w:val="yellow"/>
                <w:lang w:val="en-US"/>
              </w:rPr>
            </w:pPr>
            <w:r w:rsidRPr="006F6DAC">
              <w:rPr>
                <w:rFonts w:ascii="Garamond" w:hAnsi="Garamond"/>
                <w:sz w:val="22"/>
                <w:szCs w:val="22"/>
                <w:highlight w:val="yellow"/>
                <w:lang w:val="en-US"/>
              </w:rPr>
              <w:t xml:space="preserve">      &lt;group-delivery-point group-delivery-point-code="123456789123456" simple-delivery-point-code="123456789123457"/&gt;</w:t>
            </w:r>
          </w:p>
          <w:p w14:paraId="6AA2FEAA" w14:textId="77777777" w:rsidR="00F11A8B" w:rsidRPr="006F6DAC" w:rsidRDefault="00F11A8B" w:rsidP="00F11A8B">
            <w:pPr>
              <w:rPr>
                <w:rFonts w:ascii="Garamond" w:hAnsi="Garamond"/>
                <w:sz w:val="22"/>
                <w:szCs w:val="22"/>
                <w:highlight w:val="yellow"/>
                <w:lang w:val="en-US"/>
              </w:rPr>
            </w:pPr>
            <w:r w:rsidRPr="006F6DAC">
              <w:rPr>
                <w:rFonts w:ascii="Garamond" w:hAnsi="Garamond"/>
                <w:sz w:val="22"/>
                <w:szCs w:val="22"/>
                <w:highlight w:val="yellow"/>
                <w:lang w:val="en-US"/>
              </w:rPr>
              <w:t xml:space="preserve">      &lt;group-delivery-point group-delivery-point-code="123456789123456" simple-delivery-point-code="123456789123458"/&gt;</w:t>
            </w:r>
          </w:p>
          <w:p w14:paraId="0A10A357" w14:textId="77777777" w:rsidR="00F11A8B" w:rsidRPr="006F6DAC" w:rsidRDefault="00F11A8B" w:rsidP="00F11A8B">
            <w:pPr>
              <w:rPr>
                <w:rFonts w:ascii="Garamond" w:hAnsi="Garamond"/>
                <w:sz w:val="22"/>
                <w:szCs w:val="22"/>
                <w:highlight w:val="yellow"/>
                <w:lang w:val="en-US"/>
              </w:rPr>
            </w:pPr>
            <w:r w:rsidRPr="006F6DAC">
              <w:rPr>
                <w:rFonts w:ascii="Garamond" w:hAnsi="Garamond"/>
                <w:sz w:val="22"/>
                <w:szCs w:val="22"/>
                <w:highlight w:val="yellow"/>
                <w:lang w:val="en-US"/>
              </w:rPr>
              <w:t xml:space="preserve">    &lt;/group-delivery-point-composition&gt;</w:t>
            </w:r>
          </w:p>
          <w:p w14:paraId="3B570371" w14:textId="77777777" w:rsidR="00F11A8B" w:rsidRPr="006F6DAC" w:rsidRDefault="00F11A8B" w:rsidP="00F11A8B">
            <w:pPr>
              <w:rPr>
                <w:rFonts w:ascii="Garamond" w:hAnsi="Garamond"/>
                <w:sz w:val="22"/>
                <w:szCs w:val="22"/>
                <w:highlight w:val="yellow"/>
                <w:lang w:val="en-US"/>
              </w:rPr>
            </w:pPr>
            <w:r w:rsidRPr="006F6DAC">
              <w:rPr>
                <w:rFonts w:ascii="Garamond" w:hAnsi="Garamond"/>
                <w:sz w:val="22"/>
                <w:szCs w:val="22"/>
                <w:highlight w:val="yellow"/>
                <w:lang w:val="en-US"/>
              </w:rPr>
              <w:t xml:space="preserve">  &lt;/links&gt;</w:t>
            </w:r>
          </w:p>
          <w:p w14:paraId="142BE0CB" w14:textId="77777777" w:rsidR="00F11A8B" w:rsidRPr="006F6DAC" w:rsidRDefault="00F11A8B" w:rsidP="00F11A8B">
            <w:pPr>
              <w:rPr>
                <w:rFonts w:ascii="Garamond" w:hAnsi="Garamond"/>
                <w:sz w:val="22"/>
                <w:szCs w:val="22"/>
                <w:highlight w:val="yellow"/>
              </w:rPr>
            </w:pPr>
            <w:r w:rsidRPr="006F6DAC">
              <w:rPr>
                <w:rFonts w:ascii="Garamond" w:hAnsi="Garamond"/>
                <w:sz w:val="22"/>
                <w:szCs w:val="22"/>
                <w:highlight w:val="yellow"/>
                <w:lang w:val="en-US"/>
              </w:rPr>
              <w:t xml:space="preserve">  </w:t>
            </w:r>
            <w:r w:rsidRPr="006F6DAC">
              <w:rPr>
                <w:rFonts w:ascii="Garamond" w:hAnsi="Garamond"/>
                <w:sz w:val="22"/>
                <w:szCs w:val="22"/>
                <w:highlight w:val="yellow"/>
              </w:rPr>
              <w:t>&lt;</w:t>
            </w:r>
            <w:r w:rsidRPr="006F6DAC">
              <w:rPr>
                <w:rFonts w:ascii="Garamond" w:hAnsi="Garamond"/>
                <w:sz w:val="22"/>
                <w:szCs w:val="22"/>
                <w:highlight w:val="yellow"/>
                <w:lang w:val="en-US"/>
              </w:rPr>
              <w:t>aiis</w:t>
            </w:r>
            <w:r w:rsidRPr="006F6DAC">
              <w:rPr>
                <w:rFonts w:ascii="Garamond" w:hAnsi="Garamond"/>
                <w:sz w:val="22"/>
                <w:szCs w:val="22"/>
                <w:highlight w:val="yellow"/>
              </w:rPr>
              <w:t xml:space="preserve"> </w:t>
            </w:r>
            <w:r w:rsidRPr="006F6DAC">
              <w:rPr>
                <w:rFonts w:ascii="Garamond" w:hAnsi="Garamond"/>
                <w:sz w:val="22"/>
                <w:szCs w:val="22"/>
                <w:highlight w:val="yellow"/>
                <w:lang w:val="en-US"/>
              </w:rPr>
              <w:t>ats</w:t>
            </w:r>
            <w:r w:rsidRPr="006F6DAC">
              <w:rPr>
                <w:rFonts w:ascii="Garamond" w:hAnsi="Garamond"/>
                <w:sz w:val="22"/>
                <w:szCs w:val="22"/>
                <w:highlight w:val="yellow"/>
              </w:rPr>
              <w:t>-</w:t>
            </w:r>
            <w:r w:rsidRPr="006F6DAC">
              <w:rPr>
                <w:rFonts w:ascii="Garamond" w:hAnsi="Garamond"/>
                <w:sz w:val="22"/>
                <w:szCs w:val="22"/>
                <w:highlight w:val="yellow"/>
                <w:lang w:val="en-US"/>
              </w:rPr>
              <w:t>code</w:t>
            </w:r>
            <w:r w:rsidRPr="006F6DAC">
              <w:rPr>
                <w:rFonts w:ascii="Garamond" w:hAnsi="Garamond"/>
                <w:sz w:val="22"/>
                <w:szCs w:val="22"/>
                <w:highlight w:val="yellow"/>
              </w:rPr>
              <w:t xml:space="preserve">="1020304060" </w:t>
            </w:r>
            <w:r w:rsidRPr="006F6DAC">
              <w:rPr>
                <w:rFonts w:ascii="Garamond" w:hAnsi="Garamond"/>
                <w:sz w:val="22"/>
                <w:szCs w:val="22"/>
                <w:highlight w:val="yellow"/>
                <w:lang w:val="en-US"/>
              </w:rPr>
              <w:t>name</w:t>
            </w:r>
            <w:r w:rsidRPr="006F6DAC">
              <w:rPr>
                <w:rFonts w:ascii="Garamond" w:hAnsi="Garamond"/>
                <w:sz w:val="22"/>
                <w:szCs w:val="22"/>
                <w:highlight w:val="yellow"/>
              </w:rPr>
              <w:t>="Наименование Списка ОР"&gt;</w:t>
            </w:r>
          </w:p>
          <w:p w14:paraId="725B7DF2" w14:textId="77777777" w:rsidR="00F11A8B" w:rsidRPr="006F6DAC" w:rsidRDefault="00F11A8B" w:rsidP="00F11A8B">
            <w:pPr>
              <w:rPr>
                <w:rFonts w:ascii="Garamond" w:hAnsi="Garamond"/>
                <w:sz w:val="22"/>
                <w:szCs w:val="22"/>
                <w:highlight w:val="yellow"/>
                <w:lang w:val="en-US"/>
              </w:rPr>
            </w:pPr>
            <w:r w:rsidRPr="006F6DAC">
              <w:rPr>
                <w:rFonts w:ascii="Garamond" w:hAnsi="Garamond"/>
                <w:sz w:val="22"/>
                <w:szCs w:val="22"/>
                <w:highlight w:val="yellow"/>
              </w:rPr>
              <w:t xml:space="preserve">    </w:t>
            </w:r>
            <w:r w:rsidRPr="006F6DAC">
              <w:rPr>
                <w:rFonts w:ascii="Garamond" w:hAnsi="Garamond"/>
                <w:sz w:val="22"/>
                <w:szCs w:val="22"/>
                <w:highlight w:val="yellow"/>
                <w:lang w:val="en-US"/>
              </w:rPr>
              <w:t>&lt;area ats-code="1020304051" group-type="1" name="</w:t>
            </w:r>
            <w:r w:rsidRPr="006F6DAC">
              <w:rPr>
                <w:rFonts w:ascii="Garamond" w:hAnsi="Garamond"/>
                <w:sz w:val="22"/>
                <w:szCs w:val="22"/>
                <w:highlight w:val="yellow"/>
              </w:rPr>
              <w:t>Наименование</w:t>
            </w:r>
            <w:r w:rsidRPr="006F6DAC">
              <w:rPr>
                <w:rFonts w:ascii="Garamond" w:hAnsi="Garamond"/>
                <w:sz w:val="22"/>
                <w:szCs w:val="22"/>
                <w:highlight w:val="yellow"/>
                <w:lang w:val="en-US"/>
              </w:rPr>
              <w:t xml:space="preserve"> area" time-zone="1"&gt;</w:t>
            </w:r>
          </w:p>
          <w:p w14:paraId="3AFBA194" w14:textId="77777777" w:rsidR="00F11A8B" w:rsidRPr="006F6DAC" w:rsidRDefault="00F11A8B" w:rsidP="00F11A8B">
            <w:pPr>
              <w:rPr>
                <w:rFonts w:ascii="Garamond" w:hAnsi="Garamond"/>
                <w:sz w:val="22"/>
                <w:szCs w:val="22"/>
                <w:highlight w:val="yellow"/>
                <w:lang w:val="en-US"/>
              </w:rPr>
            </w:pPr>
            <w:r w:rsidRPr="006F6DAC">
              <w:rPr>
                <w:rFonts w:ascii="Garamond" w:hAnsi="Garamond"/>
                <w:sz w:val="22"/>
                <w:szCs w:val="22"/>
                <w:highlight w:val="yellow"/>
                <w:lang w:val="en-US"/>
              </w:rPr>
              <w:t xml:space="preserve">      &lt;serviced-points-list&gt;</w:t>
            </w:r>
          </w:p>
          <w:p w14:paraId="62727D8F" w14:textId="77777777" w:rsidR="00F11A8B" w:rsidRPr="006F6DAC" w:rsidRDefault="00F11A8B" w:rsidP="00F11A8B">
            <w:pPr>
              <w:rPr>
                <w:rFonts w:ascii="Garamond" w:hAnsi="Garamond"/>
                <w:sz w:val="22"/>
                <w:szCs w:val="22"/>
                <w:highlight w:val="yellow"/>
                <w:lang w:val="en-US"/>
              </w:rPr>
            </w:pPr>
            <w:r w:rsidRPr="006F6DAC">
              <w:rPr>
                <w:rFonts w:ascii="Garamond" w:hAnsi="Garamond"/>
                <w:sz w:val="22"/>
                <w:szCs w:val="22"/>
                <w:highlight w:val="yellow"/>
                <w:lang w:val="en-US"/>
              </w:rPr>
              <w:t xml:space="preserve">        &lt;delivery-point-measuring-point-link delivery-point-code="123456789123456" measuring-point-code="123456789123456"/&gt;</w:t>
            </w:r>
          </w:p>
          <w:p w14:paraId="5D47CC23" w14:textId="77777777" w:rsidR="00F11A8B" w:rsidRPr="006F6DAC" w:rsidRDefault="00F11A8B" w:rsidP="00F11A8B">
            <w:pPr>
              <w:rPr>
                <w:rFonts w:ascii="Garamond" w:hAnsi="Garamond"/>
                <w:sz w:val="22"/>
                <w:szCs w:val="22"/>
                <w:highlight w:val="yellow"/>
                <w:lang w:val="en-US"/>
              </w:rPr>
            </w:pPr>
            <w:r w:rsidRPr="006F6DAC">
              <w:rPr>
                <w:rFonts w:ascii="Garamond" w:hAnsi="Garamond"/>
                <w:sz w:val="22"/>
                <w:szCs w:val="22"/>
                <w:highlight w:val="yellow"/>
                <w:lang w:val="en-US"/>
              </w:rPr>
              <w:t xml:space="preserve">        &lt;delivery-point-measuring-point-link delivery-point-code="123456789123457" measuring-point-code="123456789123457"/&gt;</w:t>
            </w:r>
          </w:p>
          <w:p w14:paraId="266F37DA" w14:textId="77777777" w:rsidR="00F11A8B" w:rsidRPr="006F6DAC" w:rsidRDefault="00F11A8B" w:rsidP="00F11A8B">
            <w:pPr>
              <w:rPr>
                <w:rFonts w:ascii="Garamond" w:hAnsi="Garamond"/>
                <w:sz w:val="22"/>
                <w:szCs w:val="22"/>
                <w:highlight w:val="yellow"/>
                <w:lang w:val="en-US"/>
              </w:rPr>
            </w:pPr>
            <w:r w:rsidRPr="006F6DAC">
              <w:rPr>
                <w:rFonts w:ascii="Garamond" w:hAnsi="Garamond"/>
                <w:sz w:val="22"/>
                <w:szCs w:val="22"/>
                <w:highlight w:val="yellow"/>
                <w:lang w:val="en-US"/>
              </w:rPr>
              <w:lastRenderedPageBreak/>
              <w:t xml:space="preserve">        &lt;delivery-point-measuring-point-link delivery-point-code="123456789123458" measuring-point-code="123456789123458"/&gt;</w:t>
            </w:r>
          </w:p>
          <w:p w14:paraId="13BE7792" w14:textId="77777777" w:rsidR="00F11A8B" w:rsidRPr="006F6DAC" w:rsidRDefault="00F11A8B" w:rsidP="00F11A8B">
            <w:pPr>
              <w:rPr>
                <w:rFonts w:ascii="Garamond" w:hAnsi="Garamond"/>
                <w:sz w:val="22"/>
                <w:szCs w:val="22"/>
                <w:highlight w:val="yellow"/>
                <w:lang w:val="en-US"/>
              </w:rPr>
            </w:pPr>
            <w:r w:rsidRPr="006F6DAC">
              <w:rPr>
                <w:rFonts w:ascii="Garamond" w:hAnsi="Garamond"/>
                <w:sz w:val="22"/>
                <w:szCs w:val="22"/>
                <w:highlight w:val="yellow"/>
                <w:lang w:val="en-US"/>
              </w:rPr>
              <w:t xml:space="preserve">      &lt;/serviced-points-list&gt;</w:t>
            </w:r>
          </w:p>
          <w:p w14:paraId="0CFDD98F" w14:textId="77777777" w:rsidR="00F11A8B" w:rsidRPr="006F6DAC" w:rsidRDefault="00F11A8B" w:rsidP="00F11A8B">
            <w:pPr>
              <w:rPr>
                <w:rFonts w:ascii="Garamond" w:hAnsi="Garamond"/>
                <w:sz w:val="22"/>
                <w:szCs w:val="22"/>
                <w:highlight w:val="yellow"/>
                <w:lang w:val="en-US"/>
              </w:rPr>
            </w:pPr>
            <w:r w:rsidRPr="006F6DAC">
              <w:rPr>
                <w:rFonts w:ascii="Garamond" w:hAnsi="Garamond"/>
                <w:sz w:val="22"/>
                <w:szCs w:val="22"/>
                <w:highlight w:val="yellow"/>
                <w:lang w:val="en-US"/>
              </w:rPr>
              <w:t xml:space="preserve">      &lt;measuring-channels-list&gt;</w:t>
            </w:r>
          </w:p>
          <w:p w14:paraId="018FFB4D" w14:textId="77777777" w:rsidR="00F11A8B" w:rsidRPr="006F6DAC" w:rsidRDefault="00F11A8B" w:rsidP="00F11A8B">
            <w:pPr>
              <w:rPr>
                <w:rFonts w:ascii="Garamond" w:hAnsi="Garamond"/>
                <w:sz w:val="22"/>
                <w:szCs w:val="22"/>
                <w:highlight w:val="yellow"/>
                <w:lang w:val="en-US"/>
              </w:rPr>
            </w:pPr>
            <w:r w:rsidRPr="006F6DAC">
              <w:rPr>
                <w:rFonts w:ascii="Garamond" w:hAnsi="Garamond"/>
                <w:sz w:val="22"/>
                <w:szCs w:val="22"/>
                <w:highlight w:val="yellow"/>
                <w:lang w:val="en-US"/>
              </w:rPr>
              <w:t xml:space="preserve">        &lt;measuring-channel measuring-channel-code="123456789123456/02"/&gt;</w:t>
            </w:r>
          </w:p>
          <w:p w14:paraId="0BA85CDE" w14:textId="77777777" w:rsidR="00F11A8B" w:rsidRPr="006F6DAC" w:rsidRDefault="00F11A8B" w:rsidP="00F11A8B">
            <w:pPr>
              <w:rPr>
                <w:rFonts w:ascii="Garamond" w:hAnsi="Garamond"/>
                <w:sz w:val="22"/>
                <w:szCs w:val="22"/>
                <w:highlight w:val="yellow"/>
                <w:lang w:val="en-US"/>
              </w:rPr>
            </w:pPr>
            <w:r w:rsidRPr="006F6DAC">
              <w:rPr>
                <w:rFonts w:ascii="Garamond" w:hAnsi="Garamond"/>
                <w:sz w:val="22"/>
                <w:szCs w:val="22"/>
                <w:highlight w:val="yellow"/>
                <w:lang w:val="en-US"/>
              </w:rPr>
              <w:t xml:space="preserve">        &lt;measuring-channel measuring-channel-code="123456789123456/04"/&gt;</w:t>
            </w:r>
          </w:p>
          <w:p w14:paraId="54FF6459" w14:textId="77777777" w:rsidR="00F11A8B" w:rsidRPr="006F6DAC" w:rsidRDefault="00F11A8B" w:rsidP="00F11A8B">
            <w:pPr>
              <w:rPr>
                <w:rFonts w:ascii="Garamond" w:hAnsi="Garamond"/>
                <w:sz w:val="22"/>
                <w:szCs w:val="22"/>
                <w:highlight w:val="yellow"/>
                <w:lang w:val="en-US"/>
              </w:rPr>
            </w:pPr>
            <w:r w:rsidRPr="006F6DAC">
              <w:rPr>
                <w:rFonts w:ascii="Garamond" w:hAnsi="Garamond"/>
                <w:sz w:val="22"/>
                <w:szCs w:val="22"/>
                <w:highlight w:val="yellow"/>
                <w:lang w:val="en-US"/>
              </w:rPr>
              <w:t xml:space="preserve">        &lt;measuring-channel measuring-channel-code="123456789123457/02"/&gt;</w:t>
            </w:r>
          </w:p>
          <w:p w14:paraId="64B99C69" w14:textId="77777777" w:rsidR="00F11A8B" w:rsidRPr="006F6DAC" w:rsidRDefault="00F11A8B" w:rsidP="00F11A8B">
            <w:pPr>
              <w:rPr>
                <w:rFonts w:ascii="Garamond" w:hAnsi="Garamond"/>
                <w:sz w:val="22"/>
                <w:szCs w:val="22"/>
                <w:highlight w:val="yellow"/>
                <w:lang w:val="en-US"/>
              </w:rPr>
            </w:pPr>
            <w:r w:rsidRPr="006F6DAC">
              <w:rPr>
                <w:rFonts w:ascii="Garamond" w:hAnsi="Garamond"/>
                <w:sz w:val="22"/>
                <w:szCs w:val="22"/>
                <w:highlight w:val="yellow"/>
                <w:lang w:val="en-US"/>
              </w:rPr>
              <w:t xml:space="preserve">        &lt;measuring-channel measuring-channel-code="123456789123457/04"/&gt;</w:t>
            </w:r>
          </w:p>
          <w:p w14:paraId="3FB243DB" w14:textId="77777777" w:rsidR="00F11A8B" w:rsidRPr="006F6DAC" w:rsidRDefault="00F11A8B" w:rsidP="00F11A8B">
            <w:pPr>
              <w:rPr>
                <w:rFonts w:ascii="Garamond" w:hAnsi="Garamond"/>
                <w:sz w:val="22"/>
                <w:szCs w:val="22"/>
                <w:highlight w:val="yellow"/>
                <w:lang w:val="en-US"/>
              </w:rPr>
            </w:pPr>
            <w:r w:rsidRPr="006F6DAC">
              <w:rPr>
                <w:rFonts w:ascii="Garamond" w:hAnsi="Garamond"/>
                <w:sz w:val="22"/>
                <w:szCs w:val="22"/>
                <w:highlight w:val="yellow"/>
                <w:lang w:val="en-US"/>
              </w:rPr>
              <w:t xml:space="preserve">        &lt;measuring-channel measuring-channel-code="123456789123458/02"/&gt;</w:t>
            </w:r>
          </w:p>
          <w:p w14:paraId="34E20EFD" w14:textId="77777777" w:rsidR="00F11A8B" w:rsidRPr="006F6DAC" w:rsidRDefault="00F11A8B" w:rsidP="00F11A8B">
            <w:pPr>
              <w:rPr>
                <w:rFonts w:ascii="Garamond" w:hAnsi="Garamond"/>
                <w:sz w:val="22"/>
                <w:szCs w:val="22"/>
                <w:highlight w:val="yellow"/>
                <w:lang w:val="en-US"/>
              </w:rPr>
            </w:pPr>
            <w:r w:rsidRPr="006F6DAC">
              <w:rPr>
                <w:rFonts w:ascii="Garamond" w:hAnsi="Garamond"/>
                <w:sz w:val="22"/>
                <w:szCs w:val="22"/>
                <w:highlight w:val="yellow"/>
                <w:lang w:val="en-US"/>
              </w:rPr>
              <w:t xml:space="preserve">        &lt;measuring-channel measuring-channel-code="123456789123458/04"/&gt;</w:t>
            </w:r>
          </w:p>
          <w:p w14:paraId="5F65BF00" w14:textId="77777777" w:rsidR="00F11A8B" w:rsidRPr="006F6DAC" w:rsidRDefault="00F11A8B" w:rsidP="00F11A8B">
            <w:pPr>
              <w:rPr>
                <w:rFonts w:ascii="Garamond" w:hAnsi="Garamond"/>
                <w:sz w:val="22"/>
                <w:szCs w:val="22"/>
                <w:highlight w:val="yellow"/>
                <w:lang w:val="en-US"/>
              </w:rPr>
            </w:pPr>
            <w:r w:rsidRPr="006F6DAC">
              <w:rPr>
                <w:rFonts w:ascii="Garamond" w:hAnsi="Garamond"/>
                <w:sz w:val="22"/>
                <w:szCs w:val="22"/>
                <w:highlight w:val="yellow"/>
                <w:lang w:val="en-US"/>
              </w:rPr>
              <w:t xml:space="preserve">       &lt;/measuring-channels-list&gt;</w:t>
            </w:r>
          </w:p>
          <w:p w14:paraId="5D5D3A97" w14:textId="77777777" w:rsidR="00F11A8B" w:rsidRPr="006F6DAC" w:rsidRDefault="00F11A8B" w:rsidP="00F11A8B">
            <w:pPr>
              <w:rPr>
                <w:rFonts w:ascii="Garamond" w:hAnsi="Garamond"/>
                <w:sz w:val="22"/>
                <w:szCs w:val="22"/>
                <w:highlight w:val="yellow"/>
                <w:lang w:val="en-US"/>
              </w:rPr>
            </w:pPr>
            <w:r w:rsidRPr="006F6DAC">
              <w:rPr>
                <w:rFonts w:ascii="Garamond" w:hAnsi="Garamond"/>
                <w:sz w:val="22"/>
                <w:szCs w:val="22"/>
                <w:highlight w:val="yellow"/>
                <w:lang w:val="en-US"/>
              </w:rPr>
              <w:t xml:space="preserve">      &lt;measuring-objects-list&gt;</w:t>
            </w:r>
          </w:p>
          <w:p w14:paraId="5C9D99A8" w14:textId="77777777" w:rsidR="00F11A8B" w:rsidRPr="006F6DAC" w:rsidRDefault="00F11A8B" w:rsidP="00F11A8B">
            <w:pPr>
              <w:rPr>
                <w:rFonts w:ascii="Garamond" w:hAnsi="Garamond"/>
                <w:sz w:val="22"/>
                <w:szCs w:val="22"/>
                <w:highlight w:val="yellow"/>
                <w:lang w:val="en-US"/>
              </w:rPr>
            </w:pPr>
            <w:r w:rsidRPr="006F6DAC">
              <w:rPr>
                <w:rFonts w:ascii="Garamond" w:hAnsi="Garamond"/>
                <w:sz w:val="22"/>
                <w:szCs w:val="22"/>
                <w:highlight w:val="yellow"/>
                <w:lang w:val="en-US"/>
              </w:rPr>
              <w:tab/>
            </w:r>
            <w:r w:rsidRPr="006F6DAC">
              <w:rPr>
                <w:rFonts w:ascii="Garamond" w:hAnsi="Garamond"/>
                <w:sz w:val="22"/>
                <w:szCs w:val="22"/>
                <w:highlight w:val="yellow"/>
                <w:lang w:val="en-US"/>
              </w:rPr>
              <w:tab/>
              <w:t xml:space="preserve">  &lt;measuring-object measuring-object-code="123456789012345"/&gt;</w:t>
            </w:r>
          </w:p>
          <w:p w14:paraId="251CA3F7" w14:textId="77777777" w:rsidR="00F11A8B" w:rsidRPr="006F6DAC" w:rsidRDefault="00F11A8B" w:rsidP="00F11A8B">
            <w:pPr>
              <w:rPr>
                <w:rFonts w:ascii="Garamond" w:hAnsi="Garamond"/>
                <w:sz w:val="22"/>
                <w:szCs w:val="22"/>
                <w:highlight w:val="yellow"/>
                <w:lang w:val="en-US"/>
              </w:rPr>
            </w:pPr>
            <w:r w:rsidRPr="006F6DAC">
              <w:rPr>
                <w:rFonts w:ascii="Garamond" w:hAnsi="Garamond"/>
                <w:sz w:val="22"/>
                <w:szCs w:val="22"/>
                <w:highlight w:val="yellow"/>
                <w:lang w:val="en-US"/>
              </w:rPr>
              <w:t xml:space="preserve">      &lt;/measuring-objects-list&gt;</w:t>
            </w:r>
          </w:p>
          <w:p w14:paraId="56CAFDB7" w14:textId="77777777" w:rsidR="00F11A8B" w:rsidRPr="006F6DAC" w:rsidRDefault="00F11A8B" w:rsidP="00F11A8B">
            <w:pPr>
              <w:rPr>
                <w:rFonts w:ascii="Garamond" w:hAnsi="Garamond"/>
                <w:sz w:val="22"/>
                <w:szCs w:val="22"/>
                <w:highlight w:val="yellow"/>
                <w:lang w:val="en-US"/>
              </w:rPr>
            </w:pPr>
            <w:r w:rsidRPr="006F6DAC">
              <w:rPr>
                <w:rFonts w:ascii="Garamond" w:hAnsi="Garamond"/>
                <w:sz w:val="22"/>
                <w:szCs w:val="22"/>
                <w:highlight w:val="yellow"/>
                <w:lang w:val="en-US"/>
              </w:rPr>
              <w:t xml:space="preserve">      &lt;delivery-point-channels-list&gt;</w:t>
            </w:r>
          </w:p>
          <w:p w14:paraId="44743E28" w14:textId="77777777" w:rsidR="00F11A8B" w:rsidRPr="006F6DAC" w:rsidRDefault="00F11A8B" w:rsidP="00F11A8B">
            <w:pPr>
              <w:rPr>
                <w:rFonts w:ascii="Garamond" w:hAnsi="Garamond"/>
                <w:sz w:val="22"/>
                <w:szCs w:val="22"/>
                <w:highlight w:val="yellow"/>
                <w:lang w:val="en-US"/>
              </w:rPr>
            </w:pPr>
            <w:r w:rsidRPr="006F6DAC">
              <w:rPr>
                <w:rFonts w:ascii="Garamond" w:hAnsi="Garamond"/>
                <w:sz w:val="22"/>
                <w:szCs w:val="22"/>
                <w:highlight w:val="yellow"/>
                <w:lang w:val="en-US"/>
              </w:rPr>
              <w:tab/>
            </w:r>
            <w:r w:rsidRPr="006F6DAC">
              <w:rPr>
                <w:rFonts w:ascii="Garamond" w:hAnsi="Garamond"/>
                <w:sz w:val="22"/>
                <w:szCs w:val="22"/>
                <w:highlight w:val="yellow"/>
                <w:lang w:val="en-US"/>
              </w:rPr>
              <w:tab/>
              <w:t xml:space="preserve">  &lt;delivery-point-channel algorithm-version="301" channel-code="02" delivery-point-code="123456789123456" period="60"/&gt;</w:t>
            </w:r>
          </w:p>
          <w:p w14:paraId="3A8154DB" w14:textId="77777777" w:rsidR="00F11A8B" w:rsidRPr="006F6DAC" w:rsidRDefault="00F11A8B" w:rsidP="00F11A8B">
            <w:pPr>
              <w:rPr>
                <w:rFonts w:ascii="Garamond" w:hAnsi="Garamond"/>
                <w:sz w:val="22"/>
                <w:szCs w:val="22"/>
                <w:highlight w:val="yellow"/>
                <w:lang w:val="en-US"/>
              </w:rPr>
            </w:pPr>
            <w:r w:rsidRPr="006F6DAC">
              <w:rPr>
                <w:rFonts w:ascii="Garamond" w:hAnsi="Garamond"/>
                <w:sz w:val="22"/>
                <w:szCs w:val="22"/>
                <w:highlight w:val="yellow"/>
                <w:lang w:val="en-US"/>
              </w:rPr>
              <w:tab/>
            </w:r>
            <w:r w:rsidRPr="006F6DAC">
              <w:rPr>
                <w:rFonts w:ascii="Garamond" w:hAnsi="Garamond"/>
                <w:sz w:val="22"/>
                <w:szCs w:val="22"/>
                <w:highlight w:val="yellow"/>
                <w:lang w:val="en-US"/>
              </w:rPr>
              <w:tab/>
              <w:t xml:space="preserve">  &lt;delivery-point-channel algorithm-version="301" channel-code="02" delivery-point-code="123456789123457" period="60"/&gt;</w:t>
            </w:r>
          </w:p>
          <w:p w14:paraId="0EA1249C" w14:textId="77777777" w:rsidR="00F11A8B" w:rsidRPr="006F6DAC" w:rsidRDefault="00F11A8B" w:rsidP="00F11A8B">
            <w:pPr>
              <w:rPr>
                <w:rFonts w:ascii="Garamond" w:hAnsi="Garamond"/>
                <w:sz w:val="22"/>
                <w:szCs w:val="22"/>
                <w:highlight w:val="yellow"/>
                <w:lang w:val="en-US"/>
              </w:rPr>
            </w:pPr>
            <w:r w:rsidRPr="006F6DAC">
              <w:rPr>
                <w:rFonts w:ascii="Garamond" w:hAnsi="Garamond"/>
                <w:sz w:val="22"/>
                <w:szCs w:val="22"/>
                <w:highlight w:val="yellow"/>
                <w:lang w:val="en-US"/>
              </w:rPr>
              <w:tab/>
            </w:r>
            <w:r w:rsidRPr="006F6DAC">
              <w:rPr>
                <w:rFonts w:ascii="Garamond" w:hAnsi="Garamond"/>
                <w:sz w:val="22"/>
                <w:szCs w:val="22"/>
                <w:highlight w:val="yellow"/>
                <w:lang w:val="en-US"/>
              </w:rPr>
              <w:tab/>
              <w:t xml:space="preserve">  &lt;delivery-point-channel algorithm-version="301" channel-code="02" delivery-point-code="123456789123458" period="60"/&gt;</w:t>
            </w:r>
          </w:p>
          <w:p w14:paraId="57064059" w14:textId="77777777" w:rsidR="00F11A8B" w:rsidRPr="006F6DAC" w:rsidRDefault="00F11A8B" w:rsidP="00F11A8B">
            <w:pPr>
              <w:rPr>
                <w:rFonts w:ascii="Garamond" w:hAnsi="Garamond"/>
                <w:sz w:val="22"/>
                <w:szCs w:val="22"/>
                <w:highlight w:val="yellow"/>
                <w:lang w:val="en-US"/>
              </w:rPr>
            </w:pPr>
            <w:r w:rsidRPr="006F6DAC">
              <w:rPr>
                <w:rFonts w:ascii="Garamond" w:hAnsi="Garamond"/>
                <w:sz w:val="22"/>
                <w:szCs w:val="22"/>
                <w:highlight w:val="yellow"/>
                <w:lang w:val="en-US"/>
              </w:rPr>
              <w:t xml:space="preserve">      &lt;/delivery-point-channels-list&gt;   </w:t>
            </w:r>
          </w:p>
          <w:p w14:paraId="25DF81B5" w14:textId="77777777" w:rsidR="00F11A8B" w:rsidRPr="006F6DAC" w:rsidRDefault="00F11A8B" w:rsidP="00F11A8B">
            <w:pPr>
              <w:rPr>
                <w:rFonts w:ascii="Garamond" w:hAnsi="Garamond"/>
                <w:sz w:val="22"/>
                <w:szCs w:val="22"/>
                <w:highlight w:val="yellow"/>
                <w:lang w:val="en-US"/>
              </w:rPr>
            </w:pPr>
            <w:r w:rsidRPr="006F6DAC">
              <w:rPr>
                <w:rFonts w:ascii="Garamond" w:hAnsi="Garamond"/>
                <w:sz w:val="22"/>
                <w:szCs w:val="22"/>
                <w:highlight w:val="yellow"/>
                <w:lang w:val="en-US"/>
              </w:rPr>
              <w:t>&lt;regulation-object algorithm-version = "301" code = "OR123456" name = "</w:t>
            </w:r>
            <w:r w:rsidRPr="006F6DAC">
              <w:rPr>
                <w:rFonts w:ascii="Garamond" w:hAnsi="Garamond"/>
                <w:sz w:val="22"/>
                <w:szCs w:val="22"/>
                <w:highlight w:val="yellow"/>
              </w:rPr>
              <w:t>Наименование</w:t>
            </w:r>
            <w:r w:rsidRPr="006F6DAC">
              <w:rPr>
                <w:rFonts w:ascii="Garamond" w:hAnsi="Garamond"/>
                <w:sz w:val="22"/>
                <w:szCs w:val="22"/>
                <w:highlight w:val="yellow"/>
                <w:lang w:val="en-US"/>
              </w:rPr>
              <w:t xml:space="preserve"> </w:t>
            </w:r>
            <w:r w:rsidRPr="006F6DAC">
              <w:rPr>
                <w:rFonts w:ascii="Garamond" w:hAnsi="Garamond"/>
                <w:sz w:val="22"/>
                <w:szCs w:val="22"/>
                <w:highlight w:val="yellow"/>
              </w:rPr>
              <w:t>объекта</w:t>
            </w:r>
            <w:r w:rsidRPr="006F6DAC">
              <w:rPr>
                <w:rFonts w:ascii="Garamond" w:hAnsi="Garamond"/>
                <w:sz w:val="22"/>
                <w:szCs w:val="22"/>
                <w:highlight w:val="yellow"/>
                <w:lang w:val="en-US"/>
              </w:rPr>
              <w:t xml:space="preserve"> </w:t>
            </w:r>
            <w:r w:rsidRPr="006F6DAC">
              <w:rPr>
                <w:rFonts w:ascii="Garamond" w:hAnsi="Garamond"/>
                <w:sz w:val="22"/>
                <w:szCs w:val="22"/>
                <w:highlight w:val="yellow"/>
              </w:rPr>
              <w:t>регулирования</w:t>
            </w:r>
            <w:r w:rsidRPr="006F6DAC">
              <w:rPr>
                <w:rFonts w:ascii="Garamond" w:hAnsi="Garamond"/>
                <w:sz w:val="22"/>
                <w:szCs w:val="22"/>
                <w:highlight w:val="yellow"/>
                <w:lang w:val="en-US"/>
              </w:rPr>
              <w:t>"/&gt;</w:t>
            </w:r>
          </w:p>
          <w:p w14:paraId="0A7FBB66" w14:textId="77777777" w:rsidR="00F11A8B" w:rsidRPr="006F6DAC" w:rsidRDefault="00F11A8B" w:rsidP="00F11A8B">
            <w:pPr>
              <w:rPr>
                <w:rFonts w:ascii="Garamond" w:hAnsi="Garamond"/>
                <w:sz w:val="22"/>
                <w:szCs w:val="22"/>
                <w:highlight w:val="yellow"/>
              </w:rPr>
            </w:pPr>
            <w:r w:rsidRPr="006F6DAC">
              <w:rPr>
                <w:rFonts w:ascii="Garamond" w:hAnsi="Garamond"/>
                <w:sz w:val="22"/>
                <w:szCs w:val="22"/>
                <w:highlight w:val="yellow"/>
                <w:lang w:val="en-US"/>
              </w:rPr>
              <w:t xml:space="preserve">    </w:t>
            </w:r>
            <w:r w:rsidRPr="006F6DAC">
              <w:rPr>
                <w:rFonts w:ascii="Garamond" w:hAnsi="Garamond"/>
                <w:sz w:val="22"/>
                <w:szCs w:val="22"/>
                <w:highlight w:val="yellow"/>
              </w:rPr>
              <w:t>&lt;/area&gt;</w:t>
            </w:r>
          </w:p>
          <w:p w14:paraId="6144E5D6" w14:textId="77777777" w:rsidR="00F11A8B" w:rsidRPr="006F6DAC" w:rsidRDefault="00F11A8B" w:rsidP="00F11A8B">
            <w:pPr>
              <w:rPr>
                <w:rFonts w:ascii="Garamond" w:hAnsi="Garamond"/>
                <w:sz w:val="22"/>
                <w:szCs w:val="22"/>
                <w:highlight w:val="yellow"/>
              </w:rPr>
            </w:pPr>
            <w:r w:rsidRPr="006F6DAC">
              <w:rPr>
                <w:rFonts w:ascii="Garamond" w:hAnsi="Garamond"/>
                <w:sz w:val="22"/>
                <w:szCs w:val="22"/>
                <w:highlight w:val="yellow"/>
              </w:rPr>
              <w:t xml:space="preserve">  &lt;/aiis&gt;</w:t>
            </w:r>
          </w:p>
          <w:p w14:paraId="2B321BE9" w14:textId="77777777" w:rsidR="00F11A8B" w:rsidRPr="006F6DAC" w:rsidRDefault="00F11A8B" w:rsidP="00F11A8B">
            <w:pPr>
              <w:pStyle w:val="2"/>
              <w:keepLines/>
              <w:widowControl/>
              <w:numPr>
                <w:ilvl w:val="0"/>
                <w:numId w:val="0"/>
              </w:numPr>
              <w:suppressAutoHyphens w:val="0"/>
              <w:autoSpaceDE/>
              <w:spacing w:line="259" w:lineRule="auto"/>
              <w:jc w:val="both"/>
              <w:rPr>
                <w:rFonts w:ascii="Garamond" w:hAnsi="Garamond"/>
                <w:b w:val="0"/>
                <w:highlight w:val="yellow"/>
              </w:rPr>
            </w:pPr>
            <w:r w:rsidRPr="006F6DAC">
              <w:rPr>
                <w:rFonts w:ascii="Garamond" w:hAnsi="Garamond"/>
                <w:b w:val="0"/>
                <w:highlight w:val="yellow"/>
              </w:rPr>
              <w:t>&lt;/message&gt;</w:t>
            </w:r>
          </w:p>
        </w:tc>
      </w:tr>
      <w:tr w:rsidR="00F11A8B" w:rsidRPr="006F6DAC" w14:paraId="3AB21C01" w14:textId="77777777" w:rsidTr="006F6DAC">
        <w:tc>
          <w:tcPr>
            <w:tcW w:w="1060" w:type="dxa"/>
          </w:tcPr>
          <w:p w14:paraId="1AF845D9" w14:textId="77777777" w:rsidR="00F11A8B" w:rsidRPr="006F6DAC" w:rsidRDefault="00F11A8B" w:rsidP="00F11A8B">
            <w:pPr>
              <w:widowControl w:val="0"/>
              <w:spacing w:line="259" w:lineRule="auto"/>
              <w:jc w:val="center"/>
              <w:rPr>
                <w:rFonts w:ascii="Garamond" w:hAnsi="Garamond"/>
                <w:b/>
                <w:sz w:val="22"/>
                <w:szCs w:val="22"/>
                <w:lang w:eastAsia="en-US"/>
              </w:rPr>
            </w:pPr>
            <w:r w:rsidRPr="006F6DAC">
              <w:rPr>
                <w:rFonts w:ascii="Garamond" w:hAnsi="Garamond"/>
                <w:b/>
                <w:sz w:val="22"/>
                <w:szCs w:val="22"/>
                <w:lang w:eastAsia="en-US"/>
              </w:rPr>
              <w:lastRenderedPageBreak/>
              <w:t>Приложение 9</w:t>
            </w:r>
          </w:p>
        </w:tc>
        <w:tc>
          <w:tcPr>
            <w:tcW w:w="6804" w:type="dxa"/>
          </w:tcPr>
          <w:p w14:paraId="419C60B0" w14:textId="77777777" w:rsidR="00F11A8B" w:rsidRPr="006F6DAC" w:rsidRDefault="00F11A8B" w:rsidP="00F11A8B">
            <w:pPr>
              <w:ind w:right="33"/>
              <w:jc w:val="right"/>
              <w:rPr>
                <w:rFonts w:ascii="Garamond" w:hAnsi="Garamond" w:cs="Courier New CYR"/>
                <w:b/>
                <w:sz w:val="22"/>
                <w:szCs w:val="22"/>
                <w:highlight w:val="yellow"/>
              </w:rPr>
            </w:pPr>
            <w:r w:rsidRPr="006F6DAC">
              <w:rPr>
                <w:rFonts w:ascii="Garamond" w:hAnsi="Garamond" w:cs="Courier New CYR"/>
                <w:b/>
                <w:sz w:val="22"/>
                <w:szCs w:val="22"/>
                <w:highlight w:val="yellow"/>
              </w:rPr>
              <w:t>Приложение 9</w:t>
            </w:r>
          </w:p>
          <w:p w14:paraId="27360506" w14:textId="77777777" w:rsidR="00F11A8B" w:rsidRPr="006F6DAC" w:rsidRDefault="00F11A8B" w:rsidP="00F11A8B">
            <w:pPr>
              <w:ind w:right="33"/>
              <w:jc w:val="center"/>
              <w:rPr>
                <w:rFonts w:ascii="Garamond" w:hAnsi="Garamond"/>
                <w:b/>
                <w:sz w:val="22"/>
                <w:szCs w:val="22"/>
                <w:highlight w:val="yellow"/>
              </w:rPr>
            </w:pPr>
          </w:p>
          <w:p w14:paraId="5E6B7CC9" w14:textId="77777777" w:rsidR="00F11A8B" w:rsidRPr="006F6DAC" w:rsidRDefault="00F11A8B" w:rsidP="00F11A8B">
            <w:pPr>
              <w:ind w:right="33"/>
              <w:jc w:val="center"/>
              <w:rPr>
                <w:rFonts w:ascii="Garamond" w:hAnsi="Garamond"/>
                <w:b/>
                <w:sz w:val="22"/>
                <w:szCs w:val="22"/>
                <w:highlight w:val="yellow"/>
              </w:rPr>
            </w:pPr>
            <w:r w:rsidRPr="006F6DAC">
              <w:rPr>
                <w:rFonts w:ascii="Garamond" w:hAnsi="Garamond"/>
                <w:b/>
                <w:sz w:val="22"/>
                <w:szCs w:val="22"/>
                <w:highlight w:val="yellow"/>
              </w:rPr>
              <w:t xml:space="preserve">ОПИСАНИЕ ФОРМАТА И РЕГЛАМЕНТА ПЕРЕДАЧИ В КО </w:t>
            </w:r>
          </w:p>
          <w:p w14:paraId="5C9F2168" w14:textId="77777777" w:rsidR="00F11A8B" w:rsidRPr="006F6DAC" w:rsidRDefault="00F11A8B" w:rsidP="00F11A8B">
            <w:pPr>
              <w:ind w:right="33"/>
              <w:jc w:val="center"/>
              <w:rPr>
                <w:rFonts w:ascii="Garamond" w:hAnsi="Garamond"/>
                <w:b/>
                <w:sz w:val="22"/>
                <w:szCs w:val="22"/>
                <w:highlight w:val="yellow"/>
              </w:rPr>
            </w:pPr>
            <w:r w:rsidRPr="006F6DAC">
              <w:rPr>
                <w:rFonts w:ascii="Garamond" w:hAnsi="Garamond"/>
                <w:b/>
                <w:sz w:val="22"/>
                <w:szCs w:val="22"/>
                <w:highlight w:val="yellow"/>
              </w:rPr>
              <w:t xml:space="preserve">ЭЛЕКТРОННОГО ДОКУМЕНТА «ЗАПРОС НА ПОЛУЧЕНИЕ КОДОВ </w:t>
            </w:r>
          </w:p>
          <w:p w14:paraId="5FD16C52" w14:textId="77777777" w:rsidR="00F11A8B" w:rsidRPr="006F6DAC" w:rsidRDefault="00F11A8B" w:rsidP="00F11A8B">
            <w:pPr>
              <w:ind w:right="33"/>
              <w:jc w:val="center"/>
              <w:rPr>
                <w:rFonts w:ascii="Garamond" w:hAnsi="Garamond"/>
                <w:b/>
                <w:sz w:val="22"/>
                <w:szCs w:val="22"/>
                <w:highlight w:val="yellow"/>
              </w:rPr>
            </w:pPr>
            <w:r w:rsidRPr="006F6DAC">
              <w:rPr>
                <w:rFonts w:ascii="Garamond" w:hAnsi="Garamond"/>
                <w:b/>
                <w:sz w:val="22"/>
                <w:szCs w:val="22"/>
                <w:highlight w:val="yellow"/>
              </w:rPr>
              <w:t xml:space="preserve">ПО ТОЧКАМ ИЗМЕРЕНИЙ, ТОЧКАМ ПОСТАВКИ, </w:t>
            </w:r>
          </w:p>
          <w:p w14:paraId="003561F5" w14:textId="77777777" w:rsidR="00F11A8B" w:rsidRPr="006F6DAC" w:rsidRDefault="00F11A8B" w:rsidP="00F11A8B">
            <w:pPr>
              <w:ind w:right="33"/>
              <w:jc w:val="center"/>
              <w:rPr>
                <w:rFonts w:ascii="Garamond" w:hAnsi="Garamond"/>
                <w:b/>
                <w:sz w:val="22"/>
                <w:szCs w:val="22"/>
                <w:highlight w:val="yellow"/>
              </w:rPr>
            </w:pPr>
            <w:r w:rsidRPr="006F6DAC">
              <w:rPr>
                <w:rFonts w:ascii="Garamond" w:hAnsi="Garamond"/>
                <w:b/>
                <w:sz w:val="22"/>
                <w:szCs w:val="22"/>
                <w:highlight w:val="yellow"/>
              </w:rPr>
              <w:t>ГТП ГЕНЕРАЦИИ И СЕЧЕНИЯ КОММЕРЧЕСКОГО УЧЕТА»</w:t>
            </w:r>
          </w:p>
          <w:p w14:paraId="1AFB9127" w14:textId="77777777" w:rsidR="00F11A8B" w:rsidRPr="006F6DAC" w:rsidRDefault="00F11A8B" w:rsidP="00F11A8B">
            <w:pPr>
              <w:tabs>
                <w:tab w:val="left" w:pos="1260"/>
              </w:tabs>
              <w:spacing w:before="120" w:after="120"/>
              <w:ind w:right="33" w:firstLine="540"/>
              <w:rPr>
                <w:rFonts w:ascii="Garamond" w:hAnsi="Garamond"/>
                <w:b/>
                <w:sz w:val="22"/>
                <w:szCs w:val="22"/>
                <w:highlight w:val="yellow"/>
              </w:rPr>
            </w:pPr>
          </w:p>
          <w:p w14:paraId="3FFC51E5" w14:textId="77777777" w:rsidR="00F11A8B" w:rsidRPr="006F6DAC" w:rsidRDefault="00F11A8B" w:rsidP="00F11A8B">
            <w:pPr>
              <w:tabs>
                <w:tab w:val="left" w:pos="1260"/>
              </w:tabs>
              <w:spacing w:before="120" w:after="120"/>
              <w:ind w:right="33" w:firstLine="540"/>
              <w:rPr>
                <w:rFonts w:ascii="Garamond" w:hAnsi="Garamond"/>
                <w:b/>
                <w:sz w:val="22"/>
                <w:szCs w:val="22"/>
                <w:highlight w:val="yellow"/>
              </w:rPr>
            </w:pPr>
            <w:r w:rsidRPr="006F6DAC">
              <w:rPr>
                <w:rFonts w:ascii="Garamond" w:hAnsi="Garamond"/>
                <w:b/>
                <w:sz w:val="22"/>
                <w:szCs w:val="22"/>
                <w:highlight w:val="yellow"/>
              </w:rPr>
              <w:t>1. Предмет действия</w:t>
            </w:r>
          </w:p>
          <w:p w14:paraId="4DDEA66B" w14:textId="77777777" w:rsidR="00F11A8B" w:rsidRPr="006F6DAC" w:rsidRDefault="00F11A8B" w:rsidP="00F11A8B">
            <w:pPr>
              <w:tabs>
                <w:tab w:val="left" w:pos="1260"/>
              </w:tabs>
              <w:spacing w:before="120" w:after="120"/>
              <w:ind w:right="33" w:firstLine="540"/>
              <w:jc w:val="center"/>
              <w:rPr>
                <w:rFonts w:ascii="Garamond" w:hAnsi="Garamond"/>
                <w:b/>
                <w:sz w:val="22"/>
                <w:szCs w:val="22"/>
                <w:highlight w:val="yellow"/>
              </w:rPr>
            </w:pPr>
            <w:r w:rsidRPr="006F6DAC">
              <w:rPr>
                <w:rFonts w:ascii="Garamond" w:hAnsi="Garamond"/>
                <w:b/>
                <w:sz w:val="22"/>
                <w:szCs w:val="22"/>
                <w:highlight w:val="yellow"/>
              </w:rPr>
              <w:lastRenderedPageBreak/>
              <w:t>Предмет</w:t>
            </w:r>
          </w:p>
          <w:p w14:paraId="71A323BF" w14:textId="77777777" w:rsidR="00F11A8B" w:rsidRPr="006F6DAC" w:rsidRDefault="00F11A8B" w:rsidP="00F11A8B">
            <w:pPr>
              <w:tabs>
                <w:tab w:val="left" w:pos="1260"/>
              </w:tabs>
              <w:spacing w:before="120" w:after="120"/>
              <w:ind w:right="33" w:firstLine="540"/>
              <w:jc w:val="both"/>
              <w:rPr>
                <w:rFonts w:ascii="Garamond" w:hAnsi="Garamond"/>
                <w:sz w:val="22"/>
                <w:szCs w:val="22"/>
                <w:highlight w:val="yellow"/>
              </w:rPr>
            </w:pPr>
            <w:r w:rsidRPr="006F6DAC">
              <w:rPr>
                <w:rFonts w:ascii="Garamond" w:hAnsi="Garamond"/>
                <w:sz w:val="22"/>
                <w:szCs w:val="22"/>
                <w:highlight w:val="yellow"/>
              </w:rPr>
              <w:t>Настоящее Приложение устанавливает описание формата и регламента предоставления в КО участниками оптового рынка или ФСК электронного документа, содержащего Запрос на получение кодов по точкам измерений, точкам поставки (далее – Запрос).</w:t>
            </w:r>
          </w:p>
          <w:p w14:paraId="1A9F3E2A" w14:textId="77777777" w:rsidR="00F11A8B" w:rsidRPr="006F6DAC" w:rsidRDefault="00F11A8B" w:rsidP="00F11A8B">
            <w:pPr>
              <w:tabs>
                <w:tab w:val="left" w:pos="1260"/>
              </w:tabs>
              <w:spacing w:before="120" w:after="120"/>
              <w:ind w:right="33" w:firstLine="540"/>
              <w:jc w:val="both"/>
              <w:rPr>
                <w:rFonts w:ascii="Garamond" w:hAnsi="Garamond"/>
                <w:sz w:val="22"/>
                <w:szCs w:val="22"/>
                <w:highlight w:val="yellow"/>
              </w:rPr>
            </w:pPr>
            <w:r w:rsidRPr="006F6DAC">
              <w:rPr>
                <w:rFonts w:ascii="Garamond" w:hAnsi="Garamond"/>
                <w:sz w:val="22"/>
                <w:szCs w:val="22"/>
                <w:highlight w:val="yellow"/>
              </w:rPr>
              <w:t>Электронный документ может дополнительно содержать коды ГТП генерации и (или) сечения КУ в случае их включения для передачи информации в КО.</w:t>
            </w:r>
          </w:p>
          <w:p w14:paraId="6A209AC3" w14:textId="77777777" w:rsidR="00F11A8B" w:rsidRPr="006F6DAC" w:rsidRDefault="00F11A8B" w:rsidP="00F11A8B">
            <w:pPr>
              <w:tabs>
                <w:tab w:val="left" w:pos="1260"/>
              </w:tabs>
              <w:spacing w:before="120" w:after="120"/>
              <w:ind w:right="33" w:firstLine="540"/>
              <w:rPr>
                <w:rFonts w:ascii="Garamond" w:hAnsi="Garamond"/>
                <w:b/>
                <w:sz w:val="22"/>
                <w:szCs w:val="22"/>
                <w:highlight w:val="yellow"/>
              </w:rPr>
            </w:pPr>
            <w:r w:rsidRPr="006F6DAC">
              <w:rPr>
                <w:rFonts w:ascii="Garamond" w:hAnsi="Garamond"/>
                <w:b/>
                <w:sz w:val="22"/>
                <w:szCs w:val="22"/>
                <w:highlight w:val="yellow"/>
              </w:rPr>
              <w:t>2. Общие положения</w:t>
            </w:r>
          </w:p>
          <w:p w14:paraId="7FDE0BF1" w14:textId="77777777" w:rsidR="00F11A8B" w:rsidRPr="006F6DAC" w:rsidRDefault="00F11A8B" w:rsidP="00F11A8B">
            <w:pPr>
              <w:pStyle w:val="a6"/>
              <w:tabs>
                <w:tab w:val="left" w:pos="1080"/>
              </w:tabs>
              <w:spacing w:before="120" w:after="120"/>
              <w:ind w:right="33" w:firstLine="540"/>
              <w:jc w:val="both"/>
              <w:rPr>
                <w:rFonts w:ascii="Garamond" w:hAnsi="Garamond"/>
                <w:b/>
                <w:bCs w:val="0"/>
                <w:sz w:val="22"/>
                <w:szCs w:val="22"/>
                <w:highlight w:val="yellow"/>
              </w:rPr>
            </w:pPr>
            <w:r w:rsidRPr="006F6DAC">
              <w:rPr>
                <w:rFonts w:ascii="Garamond" w:hAnsi="Garamond"/>
                <w:sz w:val="22"/>
                <w:szCs w:val="22"/>
                <w:highlight w:val="yellow"/>
              </w:rPr>
              <w:t>2.1.</w:t>
            </w:r>
            <w:r w:rsidRPr="006F6DAC">
              <w:rPr>
                <w:rFonts w:ascii="Garamond" w:hAnsi="Garamond"/>
                <w:sz w:val="22"/>
                <w:szCs w:val="22"/>
                <w:highlight w:val="yellow"/>
              </w:rPr>
              <w:tab/>
              <w:t xml:space="preserve">Запрос оформляется в виде макета 70000 с целью </w:t>
            </w:r>
            <w:r w:rsidRPr="006F6DAC">
              <w:rPr>
                <w:rFonts w:ascii="Garamond" w:hAnsi="Garamond"/>
                <w:bCs w:val="0"/>
                <w:sz w:val="22"/>
                <w:szCs w:val="22"/>
                <w:highlight w:val="yellow"/>
              </w:rPr>
              <w:t xml:space="preserve">получения </w:t>
            </w:r>
            <w:r w:rsidRPr="006F6DAC">
              <w:rPr>
                <w:rFonts w:ascii="Garamond" w:hAnsi="Garamond"/>
                <w:sz w:val="22"/>
                <w:szCs w:val="22"/>
                <w:highlight w:val="yellow"/>
              </w:rPr>
              <w:t>макета 80000.</w:t>
            </w:r>
          </w:p>
          <w:p w14:paraId="047D2C58" w14:textId="77777777" w:rsidR="00F11A8B" w:rsidRPr="006F6DAC" w:rsidRDefault="00F11A8B" w:rsidP="00F11A8B">
            <w:pPr>
              <w:pStyle w:val="a6"/>
              <w:tabs>
                <w:tab w:val="left" w:pos="1080"/>
              </w:tabs>
              <w:spacing w:before="120" w:after="120"/>
              <w:ind w:right="33" w:firstLine="540"/>
              <w:jc w:val="both"/>
              <w:rPr>
                <w:rFonts w:ascii="Garamond" w:hAnsi="Garamond"/>
                <w:b/>
                <w:sz w:val="22"/>
                <w:szCs w:val="22"/>
                <w:highlight w:val="yellow"/>
              </w:rPr>
            </w:pPr>
            <w:r w:rsidRPr="006F6DAC">
              <w:rPr>
                <w:rFonts w:ascii="Garamond" w:hAnsi="Garamond"/>
                <w:bCs w:val="0"/>
                <w:sz w:val="22"/>
                <w:szCs w:val="22"/>
                <w:highlight w:val="yellow"/>
              </w:rPr>
              <w:t xml:space="preserve">2.2. </w:t>
            </w:r>
            <w:r w:rsidRPr="006F6DAC">
              <w:rPr>
                <w:rFonts w:ascii="Garamond" w:hAnsi="Garamond"/>
                <w:sz w:val="22"/>
                <w:szCs w:val="22"/>
                <w:highlight w:val="yellow"/>
              </w:rPr>
              <w:t xml:space="preserve">Запрос должен быть оформлен в строгом соответствии с требованиями настоящего Приложения и подписан ЭП участника оптового рынка или ФСК, полученной в соответствии с </w:t>
            </w:r>
            <w:r w:rsidRPr="006F6DAC">
              <w:rPr>
                <w:rFonts w:ascii="Garamond" w:hAnsi="Garamond"/>
                <w:i/>
                <w:sz w:val="22"/>
                <w:szCs w:val="22"/>
                <w:highlight w:val="yellow"/>
              </w:rPr>
              <w:t>Соглашением о применении электронной подписи в торговой системе оптового рынка</w:t>
            </w:r>
            <w:r w:rsidRPr="006F6DAC">
              <w:rPr>
                <w:rFonts w:ascii="Garamond" w:hAnsi="Garamond"/>
                <w:sz w:val="22"/>
                <w:szCs w:val="22"/>
                <w:highlight w:val="yellow"/>
              </w:rPr>
              <w:t xml:space="preserve"> (Приложение Д 7 к </w:t>
            </w:r>
            <w:r w:rsidRPr="006F6DAC">
              <w:rPr>
                <w:rFonts w:ascii="Garamond" w:hAnsi="Garamond"/>
                <w:i/>
                <w:sz w:val="22"/>
                <w:szCs w:val="22"/>
                <w:highlight w:val="yellow"/>
              </w:rPr>
              <w:t>Договору о присоединении к торговой системе оптового рынка</w:t>
            </w:r>
            <w:r w:rsidRPr="006F6DAC">
              <w:rPr>
                <w:rFonts w:ascii="Garamond" w:hAnsi="Garamond"/>
                <w:sz w:val="22"/>
                <w:szCs w:val="22"/>
                <w:highlight w:val="yellow"/>
              </w:rPr>
              <w:t>).</w:t>
            </w:r>
          </w:p>
          <w:p w14:paraId="511ACEF6" w14:textId="77777777" w:rsidR="00F11A8B" w:rsidRPr="006F6DAC" w:rsidRDefault="00F11A8B" w:rsidP="00F11A8B">
            <w:pPr>
              <w:tabs>
                <w:tab w:val="left" w:pos="1080"/>
              </w:tabs>
              <w:spacing w:before="120" w:after="120"/>
              <w:ind w:right="33" w:firstLine="540"/>
              <w:jc w:val="both"/>
              <w:rPr>
                <w:rFonts w:ascii="Garamond" w:hAnsi="Garamond" w:cs="Courier New"/>
                <w:sz w:val="22"/>
                <w:szCs w:val="22"/>
                <w:highlight w:val="yellow"/>
              </w:rPr>
            </w:pPr>
            <w:r w:rsidRPr="006F6DAC">
              <w:rPr>
                <w:rFonts w:ascii="Garamond" w:hAnsi="Garamond" w:cs="Courier New"/>
                <w:sz w:val="22"/>
                <w:szCs w:val="22"/>
                <w:highlight w:val="yellow"/>
              </w:rPr>
              <w:t>2.3.</w:t>
            </w:r>
            <w:r w:rsidRPr="006F6DAC">
              <w:rPr>
                <w:rFonts w:ascii="Garamond" w:hAnsi="Garamond" w:cs="Courier New"/>
                <w:sz w:val="22"/>
                <w:szCs w:val="22"/>
                <w:highlight w:val="yellow"/>
              </w:rPr>
              <w:tab/>
              <w:t xml:space="preserve">В макете 70000 участник оптового рынка или ФСК может запросить информацию, относящуюся </w:t>
            </w:r>
            <w:r w:rsidRPr="006F6DAC">
              <w:rPr>
                <w:rFonts w:ascii="Garamond" w:hAnsi="Garamond" w:cs="Tahoma"/>
                <w:sz w:val="22"/>
                <w:szCs w:val="22"/>
                <w:highlight w:val="yellow"/>
              </w:rPr>
              <w:t>либо в целом к одной закодированной АИИС, либо к группе (области) передаваемой информации (</w:t>
            </w:r>
            <w:r w:rsidRPr="006F6DAC">
              <w:rPr>
                <w:rFonts w:ascii="Garamond" w:hAnsi="Garamond" w:cs="Tahoma"/>
                <w:sz w:val="22"/>
                <w:szCs w:val="22"/>
                <w:highlight w:val="yellow"/>
                <w:lang w:val="en-US"/>
              </w:rPr>
              <w:t>area</w:t>
            </w:r>
            <w:r w:rsidRPr="006F6DAC">
              <w:rPr>
                <w:rFonts w:ascii="Garamond" w:hAnsi="Garamond" w:cs="Tahoma"/>
                <w:sz w:val="22"/>
                <w:szCs w:val="22"/>
                <w:highlight w:val="yellow"/>
              </w:rPr>
              <w:t>), относящейся к конкретной АИИС</w:t>
            </w:r>
            <w:r w:rsidRPr="006F6DAC">
              <w:rPr>
                <w:rFonts w:ascii="Garamond" w:hAnsi="Garamond" w:cs="Courier New"/>
                <w:sz w:val="22"/>
                <w:szCs w:val="22"/>
                <w:highlight w:val="yellow"/>
              </w:rPr>
              <w:t>.</w:t>
            </w:r>
          </w:p>
          <w:p w14:paraId="0C82868B" w14:textId="77777777" w:rsidR="00F11A8B" w:rsidRPr="006F6DAC" w:rsidRDefault="00F11A8B" w:rsidP="00F11A8B">
            <w:pPr>
              <w:tabs>
                <w:tab w:val="left" w:pos="1080"/>
              </w:tabs>
              <w:spacing w:before="120" w:after="120"/>
              <w:ind w:right="33" w:firstLine="540"/>
              <w:jc w:val="both"/>
              <w:rPr>
                <w:rFonts w:ascii="Garamond" w:hAnsi="Garamond" w:cs="Courier New"/>
                <w:sz w:val="22"/>
                <w:szCs w:val="22"/>
                <w:highlight w:val="yellow"/>
              </w:rPr>
            </w:pPr>
            <w:r w:rsidRPr="006F6DAC">
              <w:rPr>
                <w:rFonts w:ascii="Garamond" w:hAnsi="Garamond" w:cs="Courier New"/>
                <w:sz w:val="22"/>
                <w:szCs w:val="22"/>
                <w:highlight w:val="yellow"/>
              </w:rPr>
              <w:t>2.4.</w:t>
            </w:r>
            <w:r w:rsidRPr="006F6DAC">
              <w:rPr>
                <w:rFonts w:ascii="Garamond" w:hAnsi="Garamond" w:cs="Courier New"/>
                <w:sz w:val="22"/>
                <w:szCs w:val="22"/>
                <w:highlight w:val="yellow"/>
              </w:rPr>
              <w:tab/>
              <w:t>Запрос должен быть направлен в КО не ранее окончания процедуры кодирования.</w:t>
            </w:r>
          </w:p>
          <w:p w14:paraId="06702771" w14:textId="77777777" w:rsidR="00F11A8B" w:rsidRPr="006F6DAC" w:rsidRDefault="00F11A8B" w:rsidP="00F11A8B">
            <w:pPr>
              <w:tabs>
                <w:tab w:val="left" w:pos="1080"/>
              </w:tabs>
              <w:spacing w:before="120" w:after="120"/>
              <w:ind w:right="33" w:firstLine="540"/>
              <w:jc w:val="both"/>
              <w:rPr>
                <w:rFonts w:ascii="Garamond" w:eastAsia="MS Mincho" w:hAnsi="Garamond" w:cs="Courier New"/>
                <w:sz w:val="22"/>
                <w:szCs w:val="22"/>
                <w:highlight w:val="yellow"/>
              </w:rPr>
            </w:pPr>
            <w:r w:rsidRPr="006F6DAC">
              <w:rPr>
                <w:rFonts w:ascii="Garamond" w:hAnsi="Garamond" w:cs="Courier New"/>
                <w:sz w:val="22"/>
                <w:szCs w:val="22"/>
                <w:highlight w:val="yellow"/>
              </w:rPr>
              <w:t>2.5.</w:t>
            </w:r>
            <w:r w:rsidRPr="006F6DAC">
              <w:rPr>
                <w:rFonts w:ascii="Garamond" w:hAnsi="Garamond" w:cs="Courier New"/>
                <w:sz w:val="22"/>
                <w:szCs w:val="22"/>
                <w:highlight w:val="yellow"/>
              </w:rPr>
              <w:tab/>
              <w:t>При передаче электронного документа</w:t>
            </w:r>
            <w:r w:rsidRPr="006F6DAC">
              <w:rPr>
                <w:rFonts w:ascii="Garamond" w:eastAsia="MS Mincho" w:hAnsi="Garamond" w:cs="Courier New"/>
                <w:sz w:val="22"/>
                <w:szCs w:val="22"/>
                <w:highlight w:val="yellow"/>
              </w:rPr>
              <w:t xml:space="preserve"> </w:t>
            </w:r>
            <w:r w:rsidRPr="006F6DAC">
              <w:rPr>
                <w:rFonts w:ascii="Garamond" w:hAnsi="Garamond" w:cs="Courier New"/>
                <w:sz w:val="22"/>
                <w:szCs w:val="22"/>
                <w:highlight w:val="yellow"/>
              </w:rPr>
              <w:t>используется р</w:t>
            </w:r>
            <w:r w:rsidRPr="006F6DAC">
              <w:rPr>
                <w:rFonts w:ascii="Garamond" w:eastAsia="MS Mincho" w:hAnsi="Garamond" w:cs="Courier New"/>
                <w:sz w:val="22"/>
                <w:szCs w:val="22"/>
                <w:highlight w:val="yellow"/>
              </w:rPr>
              <w:t xml:space="preserve">асширяемый язык разметки (XML) в соответствии со спецификацией </w:t>
            </w:r>
            <w:r w:rsidRPr="006F6DAC">
              <w:rPr>
                <w:rFonts w:ascii="Garamond" w:eastAsia="MS Mincho" w:hAnsi="Garamond" w:cs="Courier New"/>
                <w:sz w:val="22"/>
                <w:szCs w:val="22"/>
                <w:highlight w:val="yellow"/>
                <w:lang w:val="en-US"/>
              </w:rPr>
              <w:t>Extensible</w:t>
            </w:r>
            <w:r w:rsidRPr="006F6DAC">
              <w:rPr>
                <w:rFonts w:ascii="Garamond" w:eastAsia="MS Mincho" w:hAnsi="Garamond" w:cs="Courier New"/>
                <w:sz w:val="22"/>
                <w:szCs w:val="22"/>
                <w:highlight w:val="yellow"/>
              </w:rPr>
              <w:t xml:space="preserve"> </w:t>
            </w:r>
            <w:r w:rsidRPr="006F6DAC">
              <w:rPr>
                <w:rFonts w:ascii="Garamond" w:eastAsia="MS Mincho" w:hAnsi="Garamond" w:cs="Courier New"/>
                <w:sz w:val="22"/>
                <w:szCs w:val="22"/>
                <w:highlight w:val="yellow"/>
                <w:lang w:val="en-US"/>
              </w:rPr>
              <w:t>Markup</w:t>
            </w:r>
            <w:r w:rsidRPr="006F6DAC">
              <w:rPr>
                <w:rFonts w:ascii="Garamond" w:eastAsia="MS Mincho" w:hAnsi="Garamond" w:cs="Courier New"/>
                <w:sz w:val="22"/>
                <w:szCs w:val="22"/>
                <w:highlight w:val="yellow"/>
              </w:rPr>
              <w:t xml:space="preserve"> </w:t>
            </w:r>
            <w:r w:rsidRPr="006F6DAC">
              <w:rPr>
                <w:rFonts w:ascii="Garamond" w:eastAsia="MS Mincho" w:hAnsi="Garamond" w:cs="Courier New"/>
                <w:sz w:val="22"/>
                <w:szCs w:val="22"/>
                <w:highlight w:val="yellow"/>
                <w:lang w:val="en-US"/>
              </w:rPr>
              <w:t>Language</w:t>
            </w:r>
            <w:r w:rsidRPr="006F6DAC">
              <w:rPr>
                <w:rFonts w:ascii="Garamond" w:eastAsia="MS Mincho" w:hAnsi="Garamond" w:cs="Courier New"/>
                <w:sz w:val="22"/>
                <w:szCs w:val="22"/>
                <w:highlight w:val="yellow"/>
              </w:rPr>
              <w:t xml:space="preserve"> (</w:t>
            </w:r>
            <w:r w:rsidRPr="006F6DAC">
              <w:rPr>
                <w:rFonts w:ascii="Garamond" w:eastAsia="MS Mincho" w:hAnsi="Garamond" w:cs="Courier New"/>
                <w:sz w:val="22"/>
                <w:szCs w:val="22"/>
                <w:highlight w:val="yellow"/>
                <w:lang w:val="en-US"/>
              </w:rPr>
              <w:t>XML</w:t>
            </w:r>
            <w:r w:rsidRPr="006F6DAC">
              <w:rPr>
                <w:rFonts w:ascii="Garamond" w:eastAsia="MS Mincho" w:hAnsi="Garamond" w:cs="Courier New"/>
                <w:sz w:val="22"/>
                <w:szCs w:val="22"/>
                <w:highlight w:val="yellow"/>
              </w:rPr>
              <w:t>) 1.0.</w:t>
            </w:r>
          </w:p>
          <w:p w14:paraId="17A5BC39" w14:textId="77777777" w:rsidR="00F11A8B" w:rsidRPr="006F6DAC" w:rsidRDefault="00F11A8B" w:rsidP="00F11A8B">
            <w:pPr>
              <w:tabs>
                <w:tab w:val="left" w:pos="1080"/>
                <w:tab w:val="num" w:pos="1152"/>
              </w:tabs>
              <w:spacing w:before="120" w:after="120"/>
              <w:ind w:right="33" w:firstLine="540"/>
              <w:jc w:val="both"/>
              <w:rPr>
                <w:rFonts w:ascii="Garamond" w:eastAsia="MS Mincho" w:hAnsi="Garamond" w:cs="Courier New"/>
                <w:sz w:val="22"/>
                <w:szCs w:val="22"/>
                <w:highlight w:val="yellow"/>
              </w:rPr>
            </w:pPr>
            <w:r w:rsidRPr="006F6DAC">
              <w:rPr>
                <w:rFonts w:ascii="Garamond" w:eastAsia="MS Mincho" w:hAnsi="Garamond" w:cs="Courier New"/>
                <w:sz w:val="22"/>
                <w:szCs w:val="22"/>
                <w:highlight w:val="yellow"/>
              </w:rPr>
              <w:t>2.5.</w:t>
            </w:r>
            <w:r w:rsidRPr="006F6DAC">
              <w:rPr>
                <w:rFonts w:ascii="Garamond" w:eastAsia="MS Mincho" w:hAnsi="Garamond" w:cs="Courier New"/>
                <w:sz w:val="22"/>
                <w:szCs w:val="22"/>
                <w:highlight w:val="yellow"/>
              </w:rPr>
              <w:tab/>
              <w:t xml:space="preserve">При декларации кодировки, являющейся частью декларации </w:t>
            </w:r>
            <w:r w:rsidRPr="006F6DAC">
              <w:rPr>
                <w:rFonts w:ascii="Garamond" w:eastAsia="MS Mincho" w:hAnsi="Garamond" w:cs="Courier New"/>
                <w:sz w:val="22"/>
                <w:szCs w:val="22"/>
                <w:highlight w:val="yellow"/>
                <w:lang w:val="en-US"/>
              </w:rPr>
              <w:t>XML</w:t>
            </w:r>
            <w:r w:rsidRPr="006F6DAC">
              <w:rPr>
                <w:rFonts w:ascii="Garamond" w:eastAsia="MS Mincho" w:hAnsi="Garamond" w:cs="Courier New"/>
                <w:sz w:val="22"/>
                <w:szCs w:val="22"/>
                <w:highlight w:val="yellow"/>
              </w:rPr>
              <w:t>, используются названия и псевдонимы русскоязычных наборов символов, зарегистрированных</w:t>
            </w:r>
            <w:r w:rsidRPr="006F6DAC">
              <w:rPr>
                <w:rFonts w:ascii="Garamond" w:hAnsi="Garamond" w:cs="Courier New"/>
                <w:sz w:val="22"/>
                <w:szCs w:val="22"/>
                <w:highlight w:val="yellow"/>
              </w:rPr>
              <w:t xml:space="preserve"> в Internet Assigned Numbers Authority</w:t>
            </w:r>
            <w:r w:rsidRPr="006F6DAC">
              <w:rPr>
                <w:rFonts w:ascii="Garamond" w:eastAsia="MS Mincho" w:hAnsi="Garamond" w:cs="Courier New"/>
                <w:sz w:val="22"/>
                <w:szCs w:val="22"/>
                <w:highlight w:val="yellow"/>
              </w:rPr>
              <w:t>. Для данного электронного документа используется кодировка “</w:t>
            </w:r>
            <w:r w:rsidRPr="006F6DAC">
              <w:rPr>
                <w:rFonts w:ascii="Garamond" w:eastAsia="MS Mincho" w:hAnsi="Garamond" w:cs="Courier New"/>
                <w:sz w:val="22"/>
                <w:szCs w:val="22"/>
                <w:highlight w:val="yellow"/>
                <w:lang w:val="en-US"/>
              </w:rPr>
              <w:t>windows</w:t>
            </w:r>
            <w:r w:rsidRPr="006F6DAC">
              <w:rPr>
                <w:rFonts w:ascii="Garamond" w:eastAsia="MS Mincho" w:hAnsi="Garamond" w:cs="Courier New"/>
                <w:sz w:val="22"/>
                <w:szCs w:val="22"/>
                <w:highlight w:val="yellow"/>
              </w:rPr>
              <w:t>-1251”.</w:t>
            </w:r>
          </w:p>
          <w:p w14:paraId="4C328397" w14:textId="77777777" w:rsidR="00F11A8B" w:rsidRPr="006F6DAC" w:rsidRDefault="00F11A8B" w:rsidP="00F11A8B">
            <w:pPr>
              <w:tabs>
                <w:tab w:val="left" w:pos="1260"/>
              </w:tabs>
              <w:spacing w:before="120" w:after="120"/>
              <w:ind w:right="33" w:firstLine="540"/>
              <w:rPr>
                <w:rFonts w:ascii="Garamond" w:hAnsi="Garamond"/>
                <w:b/>
                <w:sz w:val="22"/>
                <w:szCs w:val="22"/>
                <w:highlight w:val="yellow"/>
              </w:rPr>
            </w:pPr>
            <w:r w:rsidRPr="006F6DAC">
              <w:rPr>
                <w:rFonts w:ascii="Garamond" w:hAnsi="Garamond"/>
                <w:b/>
                <w:sz w:val="22"/>
                <w:szCs w:val="22"/>
                <w:highlight w:val="yellow"/>
              </w:rPr>
              <w:t>3. Регламент передачи</w:t>
            </w:r>
          </w:p>
          <w:p w14:paraId="48EF0A20" w14:textId="77777777" w:rsidR="00F11A8B" w:rsidRPr="006F6DAC" w:rsidRDefault="00F11A8B" w:rsidP="00F11A8B">
            <w:pPr>
              <w:tabs>
                <w:tab w:val="left" w:pos="1080"/>
              </w:tabs>
              <w:spacing w:before="120" w:after="120"/>
              <w:ind w:right="33" w:firstLine="540"/>
              <w:jc w:val="both"/>
              <w:rPr>
                <w:rFonts w:ascii="Garamond" w:hAnsi="Garamond"/>
                <w:sz w:val="22"/>
                <w:szCs w:val="22"/>
                <w:highlight w:val="yellow"/>
              </w:rPr>
            </w:pPr>
            <w:r w:rsidRPr="006F6DAC">
              <w:rPr>
                <w:rFonts w:ascii="Garamond" w:hAnsi="Garamond"/>
                <w:sz w:val="22"/>
                <w:szCs w:val="22"/>
                <w:highlight w:val="yellow"/>
              </w:rPr>
              <w:lastRenderedPageBreak/>
              <w:t>3.1.</w:t>
            </w:r>
            <w:r w:rsidRPr="006F6DAC">
              <w:rPr>
                <w:rFonts w:ascii="Garamond" w:hAnsi="Garamond"/>
                <w:sz w:val="22"/>
                <w:szCs w:val="22"/>
                <w:highlight w:val="yellow"/>
              </w:rPr>
              <w:tab/>
              <w:t xml:space="preserve">Передача макета 70000 производится на адрес электронной почты </w:t>
            </w:r>
            <w:r w:rsidRPr="006F6DAC">
              <w:rPr>
                <w:rFonts w:ascii="Garamond" w:hAnsi="Garamond"/>
                <w:sz w:val="22"/>
                <w:szCs w:val="22"/>
                <w:highlight w:val="yellow"/>
                <w:lang w:val="en-US"/>
              </w:rPr>
              <w:t>iasuku</w:t>
            </w:r>
            <w:r w:rsidRPr="006F6DAC">
              <w:rPr>
                <w:rFonts w:ascii="Garamond" w:hAnsi="Garamond"/>
                <w:sz w:val="22"/>
                <w:szCs w:val="22"/>
                <w:highlight w:val="yellow"/>
              </w:rPr>
              <w:t>_</w:t>
            </w:r>
            <w:r w:rsidRPr="006F6DAC">
              <w:rPr>
                <w:rFonts w:ascii="Garamond" w:hAnsi="Garamond"/>
                <w:sz w:val="22"/>
                <w:szCs w:val="22"/>
                <w:highlight w:val="yellow"/>
                <w:lang w:val="en-US"/>
              </w:rPr>
              <w:t>crypto</w:t>
            </w:r>
            <w:r w:rsidRPr="006F6DAC">
              <w:rPr>
                <w:rFonts w:ascii="Garamond" w:hAnsi="Garamond"/>
                <w:sz w:val="22"/>
                <w:szCs w:val="22"/>
                <w:highlight w:val="yellow"/>
              </w:rPr>
              <w:t>@</w:t>
            </w:r>
            <w:r w:rsidRPr="006F6DAC">
              <w:rPr>
                <w:rFonts w:ascii="Garamond" w:hAnsi="Garamond"/>
                <w:sz w:val="22"/>
                <w:szCs w:val="22"/>
                <w:highlight w:val="yellow"/>
                <w:lang w:val="en-US"/>
              </w:rPr>
              <w:t>rosenergo</w:t>
            </w:r>
            <w:r w:rsidRPr="006F6DAC">
              <w:rPr>
                <w:rFonts w:ascii="Garamond" w:hAnsi="Garamond"/>
                <w:sz w:val="22"/>
                <w:szCs w:val="22"/>
                <w:highlight w:val="yellow"/>
              </w:rPr>
              <w:t>.</w:t>
            </w:r>
            <w:r w:rsidRPr="006F6DAC">
              <w:rPr>
                <w:rFonts w:ascii="Garamond" w:hAnsi="Garamond"/>
                <w:sz w:val="22"/>
                <w:szCs w:val="22"/>
                <w:highlight w:val="yellow"/>
                <w:lang w:val="en-US"/>
              </w:rPr>
              <w:t>com</w:t>
            </w:r>
            <w:r w:rsidRPr="006F6DAC">
              <w:rPr>
                <w:rFonts w:ascii="Garamond" w:hAnsi="Garamond"/>
                <w:sz w:val="22"/>
                <w:szCs w:val="22"/>
                <w:highlight w:val="yellow"/>
              </w:rPr>
              <w:t>.</w:t>
            </w:r>
          </w:p>
          <w:p w14:paraId="15645867" w14:textId="77777777" w:rsidR="00F11A8B" w:rsidRPr="006F6DAC" w:rsidRDefault="00F11A8B" w:rsidP="00F11A8B">
            <w:pPr>
              <w:tabs>
                <w:tab w:val="left" w:pos="1080"/>
              </w:tabs>
              <w:spacing w:before="120" w:after="120"/>
              <w:ind w:right="33" w:firstLine="540"/>
              <w:jc w:val="both"/>
              <w:rPr>
                <w:rFonts w:ascii="Garamond" w:hAnsi="Garamond"/>
                <w:bCs/>
                <w:sz w:val="22"/>
                <w:szCs w:val="22"/>
                <w:highlight w:val="yellow"/>
              </w:rPr>
            </w:pPr>
            <w:r w:rsidRPr="006F6DAC">
              <w:rPr>
                <w:rFonts w:ascii="Garamond" w:hAnsi="Garamond"/>
                <w:sz w:val="22"/>
                <w:szCs w:val="22"/>
                <w:highlight w:val="yellow"/>
              </w:rPr>
              <w:t>3.2.</w:t>
            </w:r>
            <w:r w:rsidRPr="006F6DAC">
              <w:rPr>
                <w:rFonts w:ascii="Garamond" w:hAnsi="Garamond"/>
                <w:sz w:val="22"/>
                <w:szCs w:val="22"/>
                <w:highlight w:val="yellow"/>
              </w:rPr>
              <w:tab/>
            </w:r>
            <w:r w:rsidRPr="006F6DAC">
              <w:rPr>
                <w:rFonts w:ascii="Garamond" w:hAnsi="Garamond"/>
                <w:bCs/>
                <w:sz w:val="22"/>
                <w:szCs w:val="22"/>
                <w:highlight w:val="yellow"/>
              </w:rPr>
              <w:t xml:space="preserve">Полученный в КО Запрос обрабатывается в </w:t>
            </w:r>
            <w:r w:rsidRPr="006F6DAC">
              <w:rPr>
                <w:rFonts w:ascii="Garamond" w:hAnsi="Garamond"/>
                <w:sz w:val="22"/>
                <w:szCs w:val="22"/>
                <w:highlight w:val="yellow"/>
              </w:rPr>
              <w:t>ПАК КО</w:t>
            </w:r>
            <w:r w:rsidRPr="006F6DAC">
              <w:rPr>
                <w:rFonts w:ascii="Garamond" w:hAnsi="Garamond"/>
                <w:bCs/>
                <w:sz w:val="22"/>
                <w:szCs w:val="22"/>
                <w:highlight w:val="yellow"/>
              </w:rPr>
              <w:t>, где проводится его анализ.</w:t>
            </w:r>
          </w:p>
          <w:p w14:paraId="45A014AD" w14:textId="77777777" w:rsidR="00F11A8B" w:rsidRPr="006F6DAC" w:rsidRDefault="00F11A8B" w:rsidP="00F11A8B">
            <w:pPr>
              <w:pStyle w:val="27"/>
              <w:widowControl w:val="0"/>
              <w:tabs>
                <w:tab w:val="clear" w:pos="643"/>
                <w:tab w:val="left" w:pos="1080"/>
              </w:tabs>
              <w:spacing w:after="120"/>
              <w:ind w:left="0" w:right="33" w:firstLine="540"/>
              <w:rPr>
                <w:bCs/>
                <w:szCs w:val="22"/>
                <w:highlight w:val="yellow"/>
              </w:rPr>
            </w:pPr>
            <w:r w:rsidRPr="006F6DAC">
              <w:rPr>
                <w:bCs/>
                <w:szCs w:val="22"/>
                <w:highlight w:val="yellow"/>
              </w:rPr>
              <w:t xml:space="preserve">3.2.1. В случае формирования файла (макет 70000) в соответствии с требованиями настоящего Приложения КО автоматически отправляет </w:t>
            </w:r>
            <w:r w:rsidRPr="006F6DAC">
              <w:rPr>
                <w:szCs w:val="22"/>
                <w:highlight w:val="yellow"/>
              </w:rPr>
              <w:t xml:space="preserve">макет 80000 </w:t>
            </w:r>
            <w:r w:rsidRPr="006F6DAC">
              <w:rPr>
                <w:bCs/>
                <w:szCs w:val="22"/>
                <w:highlight w:val="yellow"/>
              </w:rPr>
              <w:t>участнику оптового рынка или ФСК</w:t>
            </w:r>
            <w:r w:rsidRPr="006F6DAC">
              <w:rPr>
                <w:szCs w:val="22"/>
                <w:highlight w:val="yellow"/>
              </w:rPr>
              <w:t>.</w:t>
            </w:r>
            <w:r w:rsidRPr="006F6DAC">
              <w:rPr>
                <w:bCs/>
                <w:szCs w:val="22"/>
                <w:highlight w:val="yellow"/>
              </w:rPr>
              <w:t xml:space="preserve"> </w:t>
            </w:r>
          </w:p>
          <w:p w14:paraId="2945FF99" w14:textId="77777777" w:rsidR="00F11A8B" w:rsidRPr="006F6DAC" w:rsidRDefault="00F11A8B" w:rsidP="00F11A8B">
            <w:pPr>
              <w:pStyle w:val="27"/>
              <w:widowControl w:val="0"/>
              <w:tabs>
                <w:tab w:val="clear" w:pos="643"/>
                <w:tab w:val="left" w:pos="1080"/>
              </w:tabs>
              <w:spacing w:after="120"/>
              <w:ind w:left="0" w:right="33" w:firstLine="540"/>
              <w:rPr>
                <w:bCs/>
                <w:szCs w:val="22"/>
                <w:highlight w:val="yellow"/>
              </w:rPr>
            </w:pPr>
            <w:r w:rsidRPr="006F6DAC">
              <w:rPr>
                <w:bCs/>
                <w:szCs w:val="22"/>
                <w:highlight w:val="yellow"/>
              </w:rPr>
              <w:t xml:space="preserve">3.2.2. В случае формирования файла (макет 70000) с нарушением требований настоящего Приложения участнику оптового рынка или ФСК автоматически отправляется ответная квитанция (макет 70001), содержащая информацию о статусе приема Заявки и список ошибок, обнаруженных при анализе полученного документа. Участник оптового рынка или ФСК должен исправить ошибки, указанные в </w:t>
            </w:r>
            <w:r w:rsidRPr="006F6DAC">
              <w:rPr>
                <w:szCs w:val="22"/>
                <w:highlight w:val="yellow"/>
              </w:rPr>
              <w:t xml:space="preserve">макете 70001, </w:t>
            </w:r>
            <w:r w:rsidRPr="006F6DAC">
              <w:rPr>
                <w:bCs/>
                <w:szCs w:val="22"/>
                <w:highlight w:val="yellow"/>
              </w:rPr>
              <w:t>и повторить передачу Запроса в КО</w:t>
            </w:r>
            <w:r w:rsidRPr="006F6DAC">
              <w:rPr>
                <w:szCs w:val="22"/>
                <w:highlight w:val="yellow"/>
              </w:rPr>
              <w:t xml:space="preserve"> для </w:t>
            </w:r>
            <w:r w:rsidRPr="006F6DAC">
              <w:rPr>
                <w:bCs/>
                <w:szCs w:val="22"/>
                <w:highlight w:val="yellow"/>
              </w:rPr>
              <w:t xml:space="preserve">получения </w:t>
            </w:r>
            <w:r w:rsidRPr="006F6DAC">
              <w:rPr>
                <w:szCs w:val="22"/>
                <w:highlight w:val="yellow"/>
              </w:rPr>
              <w:t>макета 80000</w:t>
            </w:r>
            <w:r w:rsidRPr="006F6DAC">
              <w:rPr>
                <w:bCs/>
                <w:szCs w:val="22"/>
                <w:highlight w:val="yellow"/>
              </w:rPr>
              <w:t>.</w:t>
            </w:r>
          </w:p>
          <w:p w14:paraId="7D6B66BF" w14:textId="77777777" w:rsidR="00F11A8B" w:rsidRPr="006F6DAC" w:rsidRDefault="00F11A8B" w:rsidP="00F11A8B">
            <w:pPr>
              <w:tabs>
                <w:tab w:val="left" w:pos="1080"/>
              </w:tabs>
              <w:spacing w:before="120" w:after="120"/>
              <w:ind w:right="33" w:firstLine="540"/>
              <w:jc w:val="both"/>
              <w:rPr>
                <w:rFonts w:ascii="Garamond" w:hAnsi="Garamond"/>
                <w:bCs/>
                <w:sz w:val="22"/>
                <w:szCs w:val="22"/>
                <w:highlight w:val="yellow"/>
              </w:rPr>
            </w:pPr>
            <w:r w:rsidRPr="006F6DAC">
              <w:rPr>
                <w:rFonts w:ascii="Garamond" w:hAnsi="Garamond"/>
                <w:bCs/>
                <w:sz w:val="22"/>
                <w:szCs w:val="22"/>
                <w:highlight w:val="yellow"/>
              </w:rPr>
              <w:t xml:space="preserve">3.3. Макеты 70001 и 80000 формируются в виде документов XML, подписываются ЭП и отправляются по электронной почте на адрес участника оптового рынка или ФСК, с которого был получен макет 70000. </w:t>
            </w:r>
          </w:p>
          <w:p w14:paraId="1C51A93F" w14:textId="77777777" w:rsidR="00F11A8B" w:rsidRPr="006F6DAC" w:rsidRDefault="00F11A8B" w:rsidP="00F11A8B">
            <w:pPr>
              <w:pStyle w:val="a6"/>
              <w:tabs>
                <w:tab w:val="left" w:pos="1080"/>
              </w:tabs>
              <w:spacing w:before="120" w:after="120"/>
              <w:ind w:right="33" w:firstLine="540"/>
              <w:jc w:val="both"/>
              <w:rPr>
                <w:rFonts w:ascii="Garamond" w:hAnsi="Garamond"/>
                <w:bCs w:val="0"/>
                <w:sz w:val="22"/>
                <w:szCs w:val="22"/>
                <w:highlight w:val="yellow"/>
              </w:rPr>
            </w:pPr>
            <w:r w:rsidRPr="006F6DAC">
              <w:rPr>
                <w:rFonts w:ascii="Garamond" w:hAnsi="Garamond"/>
                <w:bCs w:val="0"/>
                <w:sz w:val="22"/>
                <w:szCs w:val="22"/>
                <w:highlight w:val="yellow"/>
              </w:rPr>
              <w:t>3.4.</w:t>
            </w:r>
            <w:r w:rsidRPr="006F6DAC">
              <w:rPr>
                <w:rFonts w:ascii="Garamond" w:hAnsi="Garamond"/>
                <w:bCs w:val="0"/>
                <w:sz w:val="22"/>
                <w:szCs w:val="22"/>
                <w:highlight w:val="yellow"/>
              </w:rPr>
              <w:tab/>
              <w:t xml:space="preserve">При отсутствии ответа КО в течение 120 минут после отправки Запроса, участник оптового рынка или ФСК должен повторить передачу Запроса в КО. Если с момента повторной передачи Запроса не получено ответа КО в течение 120 минут, то уполномоченное лицо организации, ответственное за передачу Запроса, должно связаться с представителем КО, ответственным за прием информации с целью локализации и устранения проблемы. </w:t>
            </w:r>
          </w:p>
          <w:p w14:paraId="03D6931B" w14:textId="77777777" w:rsidR="00F11A8B" w:rsidRPr="006F6DAC" w:rsidRDefault="00F11A8B" w:rsidP="00F11A8B">
            <w:pPr>
              <w:tabs>
                <w:tab w:val="left" w:pos="1260"/>
              </w:tabs>
              <w:spacing w:before="120" w:after="120"/>
              <w:ind w:right="33" w:firstLine="540"/>
              <w:jc w:val="both"/>
              <w:rPr>
                <w:rFonts w:ascii="Garamond" w:hAnsi="Garamond"/>
                <w:b/>
                <w:sz w:val="22"/>
                <w:szCs w:val="22"/>
                <w:highlight w:val="yellow"/>
              </w:rPr>
            </w:pPr>
            <w:r w:rsidRPr="006F6DAC">
              <w:rPr>
                <w:rFonts w:ascii="Garamond" w:hAnsi="Garamond"/>
                <w:b/>
                <w:sz w:val="22"/>
                <w:szCs w:val="22"/>
                <w:highlight w:val="yellow"/>
              </w:rPr>
              <w:t>4. Описание форматов</w:t>
            </w:r>
          </w:p>
          <w:p w14:paraId="59D635A5" w14:textId="77777777" w:rsidR="00F11A8B" w:rsidRPr="006F6DAC" w:rsidRDefault="00F11A8B" w:rsidP="00F11A8B">
            <w:pPr>
              <w:tabs>
                <w:tab w:val="left" w:pos="1260"/>
              </w:tabs>
              <w:spacing w:before="120" w:after="120"/>
              <w:ind w:right="33" w:firstLine="540"/>
              <w:jc w:val="both"/>
              <w:rPr>
                <w:rFonts w:ascii="Garamond" w:hAnsi="Garamond"/>
                <w:b/>
                <w:sz w:val="22"/>
                <w:szCs w:val="22"/>
                <w:highlight w:val="yellow"/>
              </w:rPr>
            </w:pPr>
            <w:r w:rsidRPr="006F6DAC">
              <w:rPr>
                <w:rFonts w:ascii="Garamond" w:hAnsi="Garamond"/>
                <w:b/>
                <w:sz w:val="22"/>
                <w:szCs w:val="22"/>
                <w:highlight w:val="yellow"/>
              </w:rPr>
              <w:t>Макет 70000</w:t>
            </w:r>
          </w:p>
          <w:p w14:paraId="09D4D5AF" w14:textId="77777777" w:rsidR="00F11A8B" w:rsidRPr="006F6DAC" w:rsidRDefault="00F11A8B" w:rsidP="00F11A8B">
            <w:pPr>
              <w:tabs>
                <w:tab w:val="left" w:pos="1260"/>
              </w:tabs>
              <w:spacing w:before="120" w:after="120"/>
              <w:ind w:right="33" w:firstLine="540"/>
              <w:jc w:val="both"/>
              <w:rPr>
                <w:rFonts w:ascii="Garamond" w:hAnsi="Garamond"/>
                <w:sz w:val="22"/>
                <w:szCs w:val="22"/>
                <w:highlight w:val="yellow"/>
              </w:rPr>
            </w:pPr>
            <w:r w:rsidRPr="006F6DAC">
              <w:rPr>
                <w:rFonts w:ascii="Garamond" w:hAnsi="Garamond"/>
                <w:sz w:val="22"/>
                <w:szCs w:val="22"/>
                <w:highlight w:val="yellow"/>
              </w:rPr>
              <w:t>4.1. Имя файла</w:t>
            </w:r>
          </w:p>
          <w:p w14:paraId="45164CC7" w14:textId="77777777" w:rsidR="00F11A8B" w:rsidRPr="006F6DAC" w:rsidRDefault="00F11A8B" w:rsidP="00F11A8B">
            <w:pPr>
              <w:tabs>
                <w:tab w:val="left" w:pos="1260"/>
              </w:tabs>
              <w:spacing w:before="120" w:after="120"/>
              <w:ind w:right="33" w:firstLine="540"/>
              <w:jc w:val="both"/>
              <w:rPr>
                <w:rFonts w:ascii="Garamond" w:hAnsi="Garamond"/>
                <w:sz w:val="22"/>
                <w:szCs w:val="22"/>
                <w:highlight w:val="yellow"/>
              </w:rPr>
            </w:pPr>
            <w:r w:rsidRPr="006F6DAC">
              <w:rPr>
                <w:rFonts w:ascii="Garamond" w:hAnsi="Garamond"/>
                <w:sz w:val="22"/>
                <w:szCs w:val="22"/>
                <w:highlight w:val="yellow"/>
              </w:rPr>
              <w:t>Имя файла, содержащего электронный документ, должно составляться в формате</w:t>
            </w:r>
            <w:r w:rsidRPr="006F6DAC">
              <w:rPr>
                <w:rFonts w:ascii="Garamond" w:hAnsi="Garamond"/>
                <w:b/>
                <w:sz w:val="22"/>
                <w:szCs w:val="22"/>
                <w:highlight w:val="yellow"/>
              </w:rPr>
              <w:t xml:space="preserve"> </w:t>
            </w:r>
            <w:r w:rsidRPr="006F6DAC">
              <w:rPr>
                <w:rFonts w:ascii="Garamond" w:hAnsi="Garamond"/>
                <w:sz w:val="22"/>
                <w:szCs w:val="22"/>
                <w:highlight w:val="yellow"/>
              </w:rPr>
              <w:t>“&lt;тип документа&gt;_&lt;ИНН&gt;_&lt;дата&gt;”, где:</w:t>
            </w:r>
          </w:p>
          <w:p w14:paraId="038C3C99" w14:textId="77777777" w:rsidR="00F11A8B" w:rsidRPr="006F6DAC" w:rsidRDefault="00F11A8B" w:rsidP="00F11A8B">
            <w:pPr>
              <w:tabs>
                <w:tab w:val="left" w:pos="1260"/>
              </w:tabs>
              <w:spacing w:before="120" w:after="120"/>
              <w:ind w:right="33" w:firstLine="540"/>
              <w:jc w:val="both"/>
              <w:rPr>
                <w:rFonts w:ascii="Garamond" w:hAnsi="Garamond"/>
                <w:spacing w:val="1"/>
                <w:sz w:val="22"/>
                <w:szCs w:val="22"/>
                <w:highlight w:val="yellow"/>
              </w:rPr>
            </w:pPr>
            <w:r w:rsidRPr="006F6DAC">
              <w:rPr>
                <w:rFonts w:ascii="Garamond" w:hAnsi="Garamond"/>
                <w:spacing w:val="1"/>
                <w:sz w:val="22"/>
                <w:szCs w:val="22"/>
                <w:highlight w:val="yellow"/>
              </w:rPr>
              <w:t>тип документа – номер, присвоенный КО данному типу документа;</w:t>
            </w:r>
          </w:p>
          <w:p w14:paraId="35FD65F1" w14:textId="77777777" w:rsidR="00F11A8B" w:rsidRPr="006F6DAC" w:rsidRDefault="00F11A8B" w:rsidP="00F11A8B">
            <w:pPr>
              <w:tabs>
                <w:tab w:val="left" w:pos="1260"/>
              </w:tabs>
              <w:spacing w:before="120" w:after="120"/>
              <w:ind w:right="33" w:firstLine="540"/>
              <w:jc w:val="both"/>
              <w:rPr>
                <w:rFonts w:ascii="Garamond" w:hAnsi="Garamond"/>
                <w:spacing w:val="1"/>
                <w:sz w:val="22"/>
                <w:szCs w:val="22"/>
                <w:highlight w:val="yellow"/>
              </w:rPr>
            </w:pPr>
            <w:r w:rsidRPr="006F6DAC">
              <w:rPr>
                <w:rFonts w:ascii="Garamond" w:hAnsi="Garamond"/>
                <w:spacing w:val="1"/>
                <w:sz w:val="22"/>
                <w:szCs w:val="22"/>
                <w:highlight w:val="yellow"/>
              </w:rPr>
              <w:lastRenderedPageBreak/>
              <w:t>ИНН – ИНН организации, формирующей заявку на получение кодов, длина inn – 10 символов;</w:t>
            </w:r>
          </w:p>
          <w:p w14:paraId="553C9668" w14:textId="77777777" w:rsidR="00F11A8B" w:rsidRPr="006F6DAC" w:rsidRDefault="00F11A8B" w:rsidP="00F11A8B">
            <w:pPr>
              <w:tabs>
                <w:tab w:val="left" w:pos="1260"/>
              </w:tabs>
              <w:spacing w:before="120" w:after="120"/>
              <w:ind w:right="33" w:firstLine="540"/>
              <w:jc w:val="both"/>
              <w:rPr>
                <w:rFonts w:ascii="Garamond" w:hAnsi="Garamond"/>
                <w:spacing w:val="1"/>
                <w:sz w:val="22"/>
                <w:szCs w:val="22"/>
                <w:highlight w:val="yellow"/>
              </w:rPr>
            </w:pPr>
            <w:r w:rsidRPr="006F6DAC">
              <w:rPr>
                <w:rFonts w:ascii="Garamond" w:hAnsi="Garamond"/>
                <w:spacing w:val="1"/>
                <w:sz w:val="22"/>
                <w:szCs w:val="22"/>
                <w:highlight w:val="yellow"/>
              </w:rPr>
              <w:t>дата – дата формирования заявки в формате “ГГГГММДДччммсс”, где ГГГГ – год, ММ – порядковый номер месяца, ДД – день, чч – час, мм – минуты, сс – секунды. Длина поля &lt;дата&gt; – 14 знаков.</w:t>
            </w:r>
          </w:p>
          <w:p w14:paraId="1062F50B" w14:textId="77777777" w:rsidR="00F11A8B" w:rsidRPr="006F6DAC" w:rsidRDefault="00F11A8B" w:rsidP="00F11A8B">
            <w:pPr>
              <w:tabs>
                <w:tab w:val="left" w:pos="1260"/>
              </w:tabs>
              <w:spacing w:before="120" w:after="120"/>
              <w:ind w:right="33" w:firstLine="540"/>
              <w:jc w:val="both"/>
              <w:rPr>
                <w:rFonts w:ascii="Garamond" w:hAnsi="Garamond"/>
                <w:sz w:val="22"/>
                <w:szCs w:val="22"/>
                <w:highlight w:val="yellow"/>
              </w:rPr>
            </w:pPr>
            <w:r w:rsidRPr="006F6DAC">
              <w:rPr>
                <w:rFonts w:ascii="Garamond" w:hAnsi="Garamond"/>
                <w:sz w:val="22"/>
                <w:szCs w:val="22"/>
                <w:highlight w:val="yellow"/>
              </w:rPr>
              <w:t>Расширение файла ― xml.</w:t>
            </w:r>
          </w:p>
          <w:p w14:paraId="3F5F51A1" w14:textId="77777777" w:rsidR="00F11A8B" w:rsidRPr="006F6DAC" w:rsidRDefault="00F11A8B" w:rsidP="00F11A8B">
            <w:pPr>
              <w:tabs>
                <w:tab w:val="left" w:pos="1260"/>
              </w:tabs>
              <w:spacing w:before="120" w:after="120"/>
              <w:ind w:right="33" w:firstLine="540"/>
              <w:jc w:val="both"/>
              <w:rPr>
                <w:rFonts w:ascii="Garamond" w:hAnsi="Garamond"/>
                <w:sz w:val="22"/>
                <w:szCs w:val="22"/>
                <w:highlight w:val="yellow"/>
              </w:rPr>
            </w:pPr>
            <w:r w:rsidRPr="006F6DAC">
              <w:rPr>
                <w:rFonts w:ascii="Garamond" w:hAnsi="Garamond"/>
                <w:sz w:val="22"/>
                <w:szCs w:val="22"/>
                <w:highlight w:val="yellow"/>
              </w:rPr>
              <w:t>4.2. Описание структуры документа (тип 70000)</w:t>
            </w:r>
          </w:p>
          <w:p w14:paraId="46CB74E4" w14:textId="77777777" w:rsidR="00F11A8B" w:rsidRPr="006F6DAC" w:rsidRDefault="00F11A8B" w:rsidP="00F11A8B">
            <w:pPr>
              <w:tabs>
                <w:tab w:val="left" w:pos="1260"/>
              </w:tabs>
              <w:spacing w:before="120" w:after="120"/>
              <w:ind w:right="33" w:firstLine="540"/>
              <w:jc w:val="both"/>
              <w:rPr>
                <w:rFonts w:ascii="Garamond" w:hAnsi="Garamond"/>
                <w:sz w:val="22"/>
                <w:szCs w:val="22"/>
                <w:highlight w:val="yellow"/>
              </w:rPr>
            </w:pPr>
            <w:r w:rsidRPr="006F6DAC">
              <w:rPr>
                <w:rFonts w:ascii="Garamond" w:hAnsi="Garamond"/>
                <w:sz w:val="22"/>
                <w:szCs w:val="22"/>
                <w:highlight w:val="yellow"/>
              </w:rPr>
              <w:t>4.2.1 Элемент &lt;message&gt; является корневым элементом. Потомками элемента &lt;</w:t>
            </w:r>
            <w:r w:rsidRPr="006F6DAC">
              <w:rPr>
                <w:rFonts w:ascii="Garamond" w:hAnsi="Garamond"/>
                <w:sz w:val="22"/>
                <w:szCs w:val="22"/>
                <w:highlight w:val="yellow"/>
                <w:lang w:val="en-US"/>
              </w:rPr>
              <w:t>message</w:t>
            </w:r>
            <w:r w:rsidRPr="006F6DAC">
              <w:rPr>
                <w:rFonts w:ascii="Garamond" w:hAnsi="Garamond"/>
                <w:sz w:val="22"/>
                <w:szCs w:val="22"/>
                <w:highlight w:val="yellow"/>
              </w:rPr>
              <w:t>&gt; являются элементы &lt;</w:t>
            </w:r>
            <w:r w:rsidRPr="006F6DAC">
              <w:rPr>
                <w:rFonts w:ascii="Garamond" w:hAnsi="Garamond"/>
                <w:sz w:val="22"/>
                <w:szCs w:val="22"/>
                <w:highlight w:val="yellow"/>
                <w:lang w:val="en-US"/>
              </w:rPr>
              <w:t>organization</w:t>
            </w:r>
            <w:r w:rsidRPr="006F6DAC">
              <w:rPr>
                <w:rFonts w:ascii="Garamond" w:hAnsi="Garamond"/>
                <w:sz w:val="22"/>
                <w:szCs w:val="22"/>
                <w:highlight w:val="yellow"/>
              </w:rPr>
              <w:t>&gt; и &lt;</w:t>
            </w:r>
            <w:r w:rsidRPr="006F6DAC">
              <w:rPr>
                <w:rFonts w:ascii="Garamond" w:hAnsi="Garamond"/>
                <w:sz w:val="22"/>
                <w:szCs w:val="22"/>
                <w:highlight w:val="yellow"/>
                <w:lang w:val="en-US"/>
              </w:rPr>
              <w:t>aiis</w:t>
            </w:r>
            <w:r w:rsidRPr="006F6DAC">
              <w:rPr>
                <w:rFonts w:ascii="Garamond" w:hAnsi="Garamond"/>
                <w:sz w:val="22"/>
                <w:szCs w:val="22"/>
                <w:highlight w:val="yellow"/>
              </w:rPr>
              <w:t>&gt;. В документе допускается наличие только одного корневого элемента &lt;message&gt;.</w:t>
            </w:r>
          </w:p>
          <w:p w14:paraId="06501BC9" w14:textId="77777777" w:rsidR="00F11A8B" w:rsidRPr="006F6DAC" w:rsidRDefault="00F11A8B" w:rsidP="00F11A8B">
            <w:pPr>
              <w:tabs>
                <w:tab w:val="left" w:pos="1260"/>
              </w:tabs>
              <w:spacing w:before="120" w:after="120"/>
              <w:ind w:right="33" w:firstLine="540"/>
              <w:jc w:val="both"/>
              <w:rPr>
                <w:rFonts w:ascii="Garamond" w:hAnsi="Garamond"/>
                <w:sz w:val="22"/>
                <w:szCs w:val="22"/>
                <w:highlight w:val="yellow"/>
              </w:rPr>
            </w:pPr>
            <w:r w:rsidRPr="006F6DAC">
              <w:rPr>
                <w:rFonts w:ascii="Garamond" w:hAnsi="Garamond"/>
                <w:sz w:val="22"/>
                <w:szCs w:val="22"/>
                <w:highlight w:val="yellow"/>
              </w:rPr>
              <w:t>4.2.2 Атрибут class корневого элемента &lt;message&gt; является обязательным и содержит данные о типе электронного документа. Значение атрибута class должно быть равно 70000.</w:t>
            </w:r>
          </w:p>
          <w:p w14:paraId="4A469009" w14:textId="77777777" w:rsidR="00F11A8B" w:rsidRPr="006F6DAC" w:rsidRDefault="00F11A8B" w:rsidP="00F11A8B">
            <w:pPr>
              <w:tabs>
                <w:tab w:val="left" w:pos="1260"/>
              </w:tabs>
              <w:spacing w:before="120" w:after="120"/>
              <w:ind w:right="33" w:firstLine="540"/>
              <w:jc w:val="both"/>
              <w:rPr>
                <w:rFonts w:ascii="Garamond" w:hAnsi="Garamond"/>
                <w:sz w:val="22"/>
                <w:szCs w:val="22"/>
                <w:highlight w:val="yellow"/>
              </w:rPr>
            </w:pPr>
            <w:r w:rsidRPr="006F6DAC">
              <w:rPr>
                <w:rFonts w:ascii="Garamond" w:hAnsi="Garamond"/>
                <w:sz w:val="22"/>
                <w:szCs w:val="22"/>
                <w:highlight w:val="yellow"/>
              </w:rPr>
              <w:t>4.2.3 Атрибут version корневого элемента &lt;message&gt; является обязательным и содержит данные о версии формата. Данный документ определяет версию документа 1.</w:t>
            </w:r>
          </w:p>
          <w:p w14:paraId="101094F2" w14:textId="77777777" w:rsidR="00F11A8B" w:rsidRPr="006F6DAC" w:rsidRDefault="00F11A8B" w:rsidP="00F11A8B">
            <w:pPr>
              <w:tabs>
                <w:tab w:val="left" w:pos="1260"/>
              </w:tabs>
              <w:spacing w:before="120" w:after="120"/>
              <w:ind w:right="33" w:firstLine="540"/>
              <w:jc w:val="both"/>
              <w:rPr>
                <w:rFonts w:ascii="Garamond" w:hAnsi="Garamond"/>
                <w:sz w:val="22"/>
                <w:szCs w:val="22"/>
                <w:highlight w:val="yellow"/>
              </w:rPr>
            </w:pPr>
            <w:r w:rsidRPr="006F6DAC">
              <w:rPr>
                <w:rFonts w:ascii="Garamond" w:hAnsi="Garamond"/>
                <w:sz w:val="22"/>
                <w:szCs w:val="22"/>
                <w:highlight w:val="yellow"/>
              </w:rPr>
              <w:t xml:space="preserve">4.2.4 </w:t>
            </w:r>
            <w:r w:rsidRPr="006F6DAC">
              <w:rPr>
                <w:rFonts w:ascii="Garamond" w:eastAsia="MS Mincho" w:hAnsi="Garamond" w:cs="Courier New"/>
                <w:sz w:val="22"/>
                <w:szCs w:val="22"/>
                <w:highlight w:val="yellow"/>
              </w:rPr>
              <w:t xml:space="preserve">Значением атрибута </w:t>
            </w:r>
            <w:r w:rsidRPr="006F6DAC">
              <w:rPr>
                <w:rFonts w:ascii="Garamond" w:eastAsia="MS Mincho" w:hAnsi="Garamond" w:cs="Courier New"/>
                <w:sz w:val="22"/>
                <w:szCs w:val="22"/>
                <w:highlight w:val="yellow"/>
                <w:lang w:val="en-US"/>
              </w:rPr>
              <w:t>gener</w:t>
            </w:r>
            <w:r w:rsidRPr="006F6DAC">
              <w:rPr>
                <w:rFonts w:ascii="Garamond" w:eastAsia="MS Mincho" w:hAnsi="Garamond" w:cs="Courier New"/>
                <w:sz w:val="22"/>
                <w:szCs w:val="22"/>
                <w:highlight w:val="yellow"/>
              </w:rPr>
              <w:t>a</w:t>
            </w:r>
            <w:r w:rsidRPr="006F6DAC">
              <w:rPr>
                <w:rFonts w:ascii="Garamond" w:eastAsia="MS Mincho" w:hAnsi="Garamond" w:cs="Courier New"/>
                <w:sz w:val="22"/>
                <w:szCs w:val="22"/>
                <w:highlight w:val="yellow"/>
                <w:lang w:val="en-US"/>
              </w:rPr>
              <w:t>tiontime</w:t>
            </w:r>
            <w:r w:rsidRPr="006F6DAC">
              <w:rPr>
                <w:rFonts w:ascii="Garamond" w:eastAsia="MS Mincho" w:hAnsi="Garamond" w:cs="Courier New"/>
                <w:sz w:val="22"/>
                <w:szCs w:val="22"/>
                <w:highlight w:val="yellow"/>
              </w:rPr>
              <w:t xml:space="preserve"> корневого элемента &lt;message&gt; является дата и время создания электронного документа. Дата и время создания электронного документа предоставляется в формате “ГГГГММДДччммсс</w:t>
            </w:r>
            <w:r w:rsidRPr="006F6DAC">
              <w:rPr>
                <w:rFonts w:ascii="Garamond" w:eastAsia="MS Mincho" w:hAnsi="Garamond" w:cs="Courier New"/>
                <w:sz w:val="22"/>
                <w:szCs w:val="22"/>
                <w:highlight w:val="yellow"/>
                <w:lang w:val="en-US"/>
              </w:rPr>
              <w:t>GMT</w:t>
            </w:r>
            <w:r w:rsidRPr="006F6DAC">
              <w:rPr>
                <w:rFonts w:ascii="Garamond" w:eastAsia="MS Mincho" w:hAnsi="Garamond" w:cs="Courier New"/>
                <w:sz w:val="22"/>
                <w:szCs w:val="22"/>
                <w:highlight w:val="yellow"/>
              </w:rPr>
              <w:t>+</w:t>
            </w:r>
            <w:r w:rsidRPr="006F6DAC">
              <w:rPr>
                <w:rFonts w:ascii="Garamond" w:eastAsia="MS Mincho" w:hAnsi="Garamond" w:cs="Courier New"/>
                <w:sz w:val="22"/>
                <w:szCs w:val="22"/>
                <w:highlight w:val="yellow"/>
                <w:lang w:val="en-US"/>
              </w:rPr>
              <w:t>S</w:t>
            </w:r>
            <w:r w:rsidRPr="006F6DAC">
              <w:rPr>
                <w:rFonts w:ascii="Garamond" w:eastAsia="MS Mincho" w:hAnsi="Garamond" w:cs="Courier New"/>
                <w:sz w:val="22"/>
                <w:szCs w:val="22"/>
                <w:highlight w:val="yellow"/>
              </w:rPr>
              <w:t xml:space="preserve">”, где: ГГГГ – год, ММ – порядковый номер месяца, ДД – день, чч – час, мм – минуты, сс – секунды, </w:t>
            </w:r>
            <w:r w:rsidRPr="006F6DAC">
              <w:rPr>
                <w:rFonts w:ascii="Garamond" w:eastAsia="MS Mincho" w:hAnsi="Garamond" w:cs="Courier New"/>
                <w:sz w:val="22"/>
                <w:szCs w:val="22"/>
                <w:highlight w:val="yellow"/>
                <w:lang w:val="en-US"/>
              </w:rPr>
              <w:t>GMT</w:t>
            </w:r>
            <w:r w:rsidRPr="006F6DAC">
              <w:rPr>
                <w:rFonts w:ascii="Garamond" w:eastAsia="MS Mincho" w:hAnsi="Garamond" w:cs="Courier New"/>
                <w:sz w:val="22"/>
                <w:szCs w:val="22"/>
                <w:highlight w:val="yellow"/>
              </w:rPr>
              <w:t>+</w:t>
            </w:r>
            <w:r w:rsidRPr="006F6DAC">
              <w:rPr>
                <w:rFonts w:ascii="Garamond" w:eastAsia="MS Mincho" w:hAnsi="Garamond" w:cs="Courier New"/>
                <w:sz w:val="22"/>
                <w:szCs w:val="22"/>
                <w:highlight w:val="yellow"/>
                <w:lang w:val="en-US"/>
              </w:rPr>
              <w:t>S</w:t>
            </w:r>
            <w:r w:rsidRPr="006F6DAC">
              <w:rPr>
                <w:rFonts w:ascii="Garamond" w:eastAsia="MS Mincho" w:hAnsi="Garamond" w:cs="Courier New"/>
                <w:sz w:val="22"/>
                <w:szCs w:val="22"/>
                <w:highlight w:val="yellow"/>
              </w:rPr>
              <w:t xml:space="preserve"> – сдвиг времени относительно времени по Гринвичу.</w:t>
            </w:r>
          </w:p>
          <w:p w14:paraId="672EBC10" w14:textId="77777777" w:rsidR="00F11A8B" w:rsidRPr="006F6DAC" w:rsidRDefault="00F11A8B" w:rsidP="00F11A8B">
            <w:pPr>
              <w:tabs>
                <w:tab w:val="left" w:pos="1260"/>
              </w:tabs>
              <w:spacing w:before="120" w:after="120"/>
              <w:ind w:right="33" w:firstLine="540"/>
              <w:jc w:val="both"/>
              <w:rPr>
                <w:rFonts w:ascii="Garamond" w:hAnsi="Garamond"/>
                <w:sz w:val="22"/>
                <w:szCs w:val="22"/>
                <w:highlight w:val="yellow"/>
              </w:rPr>
            </w:pPr>
            <w:r w:rsidRPr="006F6DAC">
              <w:rPr>
                <w:rFonts w:ascii="Garamond" w:hAnsi="Garamond"/>
                <w:sz w:val="22"/>
                <w:szCs w:val="22"/>
                <w:highlight w:val="yellow"/>
              </w:rPr>
              <w:t>4.2.5 Элемент &lt;</w:t>
            </w:r>
            <w:r w:rsidRPr="006F6DAC">
              <w:rPr>
                <w:rFonts w:ascii="Garamond" w:hAnsi="Garamond"/>
                <w:sz w:val="22"/>
                <w:szCs w:val="22"/>
                <w:highlight w:val="yellow"/>
                <w:lang w:val="en-US"/>
              </w:rPr>
              <w:t>organization</w:t>
            </w:r>
            <w:r w:rsidRPr="006F6DAC">
              <w:rPr>
                <w:rFonts w:ascii="Garamond" w:hAnsi="Garamond"/>
                <w:sz w:val="22"/>
                <w:szCs w:val="22"/>
                <w:highlight w:val="yellow"/>
              </w:rPr>
              <w:t>&gt; является потомком корневого элемента &lt;message&gt;.В документе допускается наличие только одного элемента &lt;</w:t>
            </w:r>
            <w:r w:rsidRPr="006F6DAC">
              <w:rPr>
                <w:rFonts w:ascii="Garamond" w:hAnsi="Garamond"/>
                <w:sz w:val="22"/>
                <w:szCs w:val="22"/>
                <w:highlight w:val="yellow"/>
                <w:lang w:val="en-US"/>
              </w:rPr>
              <w:t>organization</w:t>
            </w:r>
            <w:r w:rsidRPr="006F6DAC">
              <w:rPr>
                <w:rFonts w:ascii="Garamond" w:hAnsi="Garamond"/>
                <w:sz w:val="22"/>
                <w:szCs w:val="22"/>
                <w:highlight w:val="yellow"/>
              </w:rPr>
              <w:t>&gt;. Элемент &lt;</w:t>
            </w:r>
            <w:r w:rsidRPr="006F6DAC">
              <w:rPr>
                <w:rFonts w:ascii="Garamond" w:hAnsi="Garamond"/>
                <w:sz w:val="22"/>
                <w:szCs w:val="22"/>
                <w:highlight w:val="yellow"/>
                <w:lang w:val="en-US"/>
              </w:rPr>
              <w:t>organization</w:t>
            </w:r>
            <w:r w:rsidRPr="006F6DAC">
              <w:rPr>
                <w:rFonts w:ascii="Garamond" w:hAnsi="Garamond"/>
                <w:sz w:val="22"/>
                <w:szCs w:val="22"/>
                <w:highlight w:val="yellow"/>
              </w:rPr>
              <w:t xml:space="preserve">&gt; описывает организацию, </w:t>
            </w:r>
            <w:r w:rsidRPr="006F6DAC">
              <w:rPr>
                <w:rFonts w:ascii="Garamond" w:hAnsi="Garamond"/>
                <w:spacing w:val="1"/>
                <w:sz w:val="22"/>
                <w:szCs w:val="22"/>
                <w:highlight w:val="yellow"/>
              </w:rPr>
              <w:t>сформировавшую заявку на получение кодов</w:t>
            </w:r>
            <w:r w:rsidRPr="006F6DAC">
              <w:rPr>
                <w:rFonts w:ascii="Garamond" w:hAnsi="Garamond"/>
                <w:sz w:val="22"/>
                <w:szCs w:val="22"/>
                <w:highlight w:val="yellow"/>
              </w:rPr>
              <w:t>. Атрибутами элемента &lt;</w:t>
            </w:r>
            <w:r w:rsidRPr="006F6DAC">
              <w:rPr>
                <w:rFonts w:ascii="Garamond" w:hAnsi="Garamond"/>
                <w:sz w:val="22"/>
                <w:szCs w:val="22"/>
                <w:highlight w:val="yellow"/>
                <w:lang w:val="en-US"/>
              </w:rPr>
              <w:t>organization</w:t>
            </w:r>
            <w:r w:rsidRPr="006F6DAC">
              <w:rPr>
                <w:rFonts w:ascii="Garamond" w:hAnsi="Garamond"/>
                <w:sz w:val="22"/>
                <w:szCs w:val="22"/>
                <w:highlight w:val="yellow"/>
              </w:rPr>
              <w:t>&gt; являются inn, name.</w:t>
            </w:r>
          </w:p>
          <w:p w14:paraId="06F19BD7" w14:textId="77777777" w:rsidR="00F11A8B" w:rsidRPr="006F6DAC" w:rsidRDefault="00F11A8B" w:rsidP="00F11A8B">
            <w:pPr>
              <w:tabs>
                <w:tab w:val="left" w:pos="1260"/>
              </w:tabs>
              <w:spacing w:before="120" w:after="120"/>
              <w:ind w:right="33" w:firstLine="540"/>
              <w:jc w:val="both"/>
              <w:rPr>
                <w:rFonts w:ascii="Garamond" w:hAnsi="Garamond"/>
                <w:sz w:val="22"/>
                <w:szCs w:val="22"/>
                <w:highlight w:val="yellow"/>
              </w:rPr>
            </w:pPr>
            <w:r w:rsidRPr="006F6DAC">
              <w:rPr>
                <w:rFonts w:ascii="Garamond" w:hAnsi="Garamond"/>
                <w:sz w:val="22"/>
                <w:szCs w:val="22"/>
                <w:highlight w:val="yellow"/>
              </w:rPr>
              <w:t>4.2.6 Атрибут inn элемента &lt;</w:t>
            </w:r>
            <w:r w:rsidRPr="006F6DAC">
              <w:rPr>
                <w:rFonts w:ascii="Garamond" w:hAnsi="Garamond"/>
                <w:sz w:val="22"/>
                <w:szCs w:val="22"/>
                <w:highlight w:val="yellow"/>
                <w:lang w:val="en-US"/>
              </w:rPr>
              <w:t>organization</w:t>
            </w:r>
            <w:r w:rsidRPr="006F6DAC">
              <w:rPr>
                <w:rFonts w:ascii="Garamond" w:hAnsi="Garamond"/>
                <w:sz w:val="22"/>
                <w:szCs w:val="22"/>
                <w:highlight w:val="yellow"/>
              </w:rPr>
              <w:t xml:space="preserve">&gt; является обязательным и содержит ИНН организации, </w:t>
            </w:r>
            <w:r w:rsidRPr="006F6DAC">
              <w:rPr>
                <w:rFonts w:ascii="Garamond" w:hAnsi="Garamond"/>
                <w:spacing w:val="1"/>
                <w:sz w:val="22"/>
                <w:szCs w:val="22"/>
                <w:highlight w:val="yellow"/>
              </w:rPr>
              <w:t>сформировавшей заявку</w:t>
            </w:r>
            <w:r w:rsidRPr="006F6DAC">
              <w:rPr>
                <w:rFonts w:ascii="Garamond" w:hAnsi="Garamond"/>
                <w:sz w:val="22"/>
                <w:szCs w:val="22"/>
                <w:highlight w:val="yellow"/>
              </w:rPr>
              <w:t xml:space="preserve">. </w:t>
            </w:r>
          </w:p>
          <w:p w14:paraId="7DF43B67" w14:textId="77777777" w:rsidR="00F11A8B" w:rsidRPr="006F6DAC" w:rsidRDefault="00F11A8B" w:rsidP="00F11A8B">
            <w:pPr>
              <w:tabs>
                <w:tab w:val="left" w:pos="1260"/>
              </w:tabs>
              <w:spacing w:before="120" w:after="120"/>
              <w:ind w:right="33" w:firstLine="540"/>
              <w:jc w:val="both"/>
              <w:rPr>
                <w:rFonts w:ascii="Garamond" w:hAnsi="Garamond"/>
                <w:sz w:val="22"/>
                <w:szCs w:val="22"/>
                <w:highlight w:val="yellow"/>
              </w:rPr>
            </w:pPr>
            <w:r w:rsidRPr="006F6DAC">
              <w:rPr>
                <w:rFonts w:ascii="Garamond" w:hAnsi="Garamond"/>
                <w:sz w:val="22"/>
                <w:szCs w:val="22"/>
                <w:highlight w:val="yellow"/>
              </w:rPr>
              <w:lastRenderedPageBreak/>
              <w:t>4.2.7 Атрибут name элемента &lt;</w:t>
            </w:r>
            <w:r w:rsidRPr="006F6DAC">
              <w:rPr>
                <w:rFonts w:ascii="Garamond" w:hAnsi="Garamond"/>
                <w:sz w:val="22"/>
                <w:szCs w:val="22"/>
                <w:highlight w:val="yellow"/>
                <w:lang w:val="en-US"/>
              </w:rPr>
              <w:t>organization</w:t>
            </w:r>
            <w:r w:rsidRPr="006F6DAC">
              <w:rPr>
                <w:rFonts w:ascii="Garamond" w:hAnsi="Garamond"/>
                <w:sz w:val="22"/>
                <w:szCs w:val="22"/>
                <w:highlight w:val="yellow"/>
              </w:rPr>
              <w:t xml:space="preserve">&gt; является обязательным и содержит название организации, </w:t>
            </w:r>
            <w:r w:rsidRPr="006F6DAC">
              <w:rPr>
                <w:rFonts w:ascii="Garamond" w:hAnsi="Garamond"/>
                <w:spacing w:val="1"/>
                <w:sz w:val="22"/>
                <w:szCs w:val="22"/>
                <w:highlight w:val="yellow"/>
              </w:rPr>
              <w:t>сформировавшей заявку</w:t>
            </w:r>
            <w:r w:rsidRPr="006F6DAC">
              <w:rPr>
                <w:rFonts w:ascii="Garamond" w:hAnsi="Garamond"/>
                <w:sz w:val="22"/>
                <w:szCs w:val="22"/>
                <w:highlight w:val="yellow"/>
              </w:rPr>
              <w:t>. Длина названия до 250 символов.</w:t>
            </w:r>
          </w:p>
          <w:p w14:paraId="1D97D661" w14:textId="77777777" w:rsidR="00F11A8B" w:rsidRPr="006F6DAC" w:rsidRDefault="00F11A8B" w:rsidP="00F11A8B">
            <w:pPr>
              <w:tabs>
                <w:tab w:val="left" w:pos="1260"/>
              </w:tabs>
              <w:spacing w:before="120" w:after="120"/>
              <w:ind w:right="33" w:firstLine="540"/>
              <w:jc w:val="both"/>
              <w:rPr>
                <w:rFonts w:ascii="Garamond" w:hAnsi="Garamond"/>
                <w:sz w:val="22"/>
                <w:szCs w:val="22"/>
                <w:highlight w:val="yellow"/>
              </w:rPr>
            </w:pPr>
            <w:r w:rsidRPr="006F6DAC">
              <w:rPr>
                <w:rFonts w:ascii="Garamond" w:hAnsi="Garamond"/>
                <w:sz w:val="22"/>
                <w:szCs w:val="22"/>
                <w:highlight w:val="yellow"/>
              </w:rPr>
              <w:t>4.2.8 Элемент &lt;</w:t>
            </w:r>
            <w:r w:rsidRPr="006F6DAC">
              <w:rPr>
                <w:rFonts w:ascii="Garamond" w:hAnsi="Garamond"/>
                <w:sz w:val="22"/>
                <w:szCs w:val="22"/>
                <w:highlight w:val="yellow"/>
                <w:lang w:val="en-US"/>
              </w:rPr>
              <w:t>aiis</w:t>
            </w:r>
            <w:r w:rsidRPr="006F6DAC">
              <w:rPr>
                <w:rFonts w:ascii="Garamond" w:hAnsi="Garamond"/>
                <w:sz w:val="22"/>
                <w:szCs w:val="22"/>
                <w:highlight w:val="yellow"/>
              </w:rPr>
              <w:t>&gt; является потомком корневого элемента &lt;message&gt;. В документе допускается наличие только одного элемента &lt;</w:t>
            </w:r>
            <w:r w:rsidRPr="006F6DAC">
              <w:rPr>
                <w:rFonts w:ascii="Garamond" w:hAnsi="Garamond"/>
                <w:sz w:val="22"/>
                <w:szCs w:val="22"/>
                <w:highlight w:val="yellow"/>
                <w:lang w:val="en-US"/>
              </w:rPr>
              <w:t>aiis</w:t>
            </w:r>
            <w:r w:rsidRPr="006F6DAC">
              <w:rPr>
                <w:rFonts w:ascii="Garamond" w:hAnsi="Garamond"/>
                <w:sz w:val="22"/>
                <w:szCs w:val="22"/>
                <w:highlight w:val="yellow"/>
              </w:rPr>
              <w:t>&gt;. Элемент &lt;</w:t>
            </w:r>
            <w:r w:rsidRPr="006F6DAC">
              <w:rPr>
                <w:rFonts w:ascii="Garamond" w:hAnsi="Garamond"/>
                <w:sz w:val="22"/>
                <w:szCs w:val="22"/>
                <w:highlight w:val="yellow"/>
                <w:lang w:val="en-US"/>
              </w:rPr>
              <w:t>aiis</w:t>
            </w:r>
            <w:r w:rsidRPr="006F6DAC">
              <w:rPr>
                <w:rFonts w:ascii="Garamond" w:hAnsi="Garamond"/>
                <w:sz w:val="22"/>
                <w:szCs w:val="22"/>
                <w:highlight w:val="yellow"/>
              </w:rPr>
              <w:t>&gt; описывает АИИС организации. Атрибутами элемента &lt;</w:t>
            </w:r>
            <w:r w:rsidRPr="006F6DAC">
              <w:rPr>
                <w:rFonts w:ascii="Garamond" w:hAnsi="Garamond"/>
                <w:sz w:val="22"/>
                <w:szCs w:val="22"/>
                <w:highlight w:val="yellow"/>
                <w:lang w:val="en-US"/>
              </w:rPr>
              <w:t>aiis</w:t>
            </w:r>
            <w:r w:rsidRPr="006F6DAC">
              <w:rPr>
                <w:rFonts w:ascii="Garamond" w:hAnsi="Garamond"/>
                <w:sz w:val="22"/>
                <w:szCs w:val="22"/>
                <w:highlight w:val="yellow"/>
              </w:rPr>
              <w:t xml:space="preserve">&gt; являются aiiscode, name, </w:t>
            </w:r>
            <w:r w:rsidRPr="006F6DAC">
              <w:rPr>
                <w:rFonts w:ascii="Garamond" w:hAnsi="Garamond"/>
                <w:sz w:val="22"/>
                <w:szCs w:val="22"/>
                <w:highlight w:val="yellow"/>
                <w:lang w:val="en-US"/>
              </w:rPr>
              <w:t>ODU</w:t>
            </w:r>
            <w:r w:rsidRPr="006F6DAC">
              <w:rPr>
                <w:rFonts w:ascii="Garamond" w:hAnsi="Garamond"/>
                <w:sz w:val="22"/>
                <w:szCs w:val="22"/>
                <w:highlight w:val="yellow"/>
              </w:rPr>
              <w:t xml:space="preserve">, </w:t>
            </w:r>
            <w:r w:rsidRPr="006F6DAC">
              <w:rPr>
                <w:rFonts w:ascii="Garamond" w:hAnsi="Garamond"/>
                <w:sz w:val="22"/>
                <w:szCs w:val="22"/>
                <w:highlight w:val="yellow"/>
                <w:lang w:val="en-US"/>
              </w:rPr>
              <w:t>areacode</w:t>
            </w:r>
            <w:r w:rsidRPr="006F6DAC">
              <w:rPr>
                <w:rFonts w:ascii="Garamond" w:hAnsi="Garamond"/>
                <w:sz w:val="22"/>
                <w:szCs w:val="22"/>
                <w:highlight w:val="yellow"/>
              </w:rPr>
              <w:t xml:space="preserve">. </w:t>
            </w:r>
          </w:p>
          <w:p w14:paraId="650819BB" w14:textId="77777777" w:rsidR="00F11A8B" w:rsidRPr="006F6DAC" w:rsidRDefault="00F11A8B" w:rsidP="00F11A8B">
            <w:pPr>
              <w:tabs>
                <w:tab w:val="left" w:pos="1260"/>
              </w:tabs>
              <w:spacing w:before="120" w:after="120"/>
              <w:ind w:right="33" w:firstLine="540"/>
              <w:jc w:val="both"/>
              <w:rPr>
                <w:rFonts w:ascii="Garamond" w:hAnsi="Garamond"/>
                <w:sz w:val="22"/>
                <w:szCs w:val="22"/>
                <w:highlight w:val="yellow"/>
              </w:rPr>
            </w:pPr>
            <w:r w:rsidRPr="006F6DAC">
              <w:rPr>
                <w:rFonts w:ascii="Garamond" w:hAnsi="Garamond"/>
                <w:sz w:val="22"/>
                <w:szCs w:val="22"/>
                <w:highlight w:val="yellow"/>
              </w:rPr>
              <w:t xml:space="preserve">4.2.9 Атрибут aiiscode является обязательным и содержит код, присваиваемый КО АИИС. Длина </w:t>
            </w:r>
            <w:r w:rsidRPr="006F6DAC">
              <w:rPr>
                <w:rFonts w:ascii="Garamond" w:hAnsi="Garamond"/>
                <w:sz w:val="22"/>
                <w:szCs w:val="22"/>
                <w:highlight w:val="yellow"/>
                <w:lang w:val="en-US"/>
              </w:rPr>
              <w:t>aiiscode</w:t>
            </w:r>
            <w:r w:rsidRPr="006F6DAC">
              <w:rPr>
                <w:rFonts w:ascii="Garamond" w:hAnsi="Garamond"/>
                <w:sz w:val="22"/>
                <w:szCs w:val="22"/>
                <w:highlight w:val="yellow"/>
              </w:rPr>
              <w:t xml:space="preserve"> – 10 символов.</w:t>
            </w:r>
          </w:p>
          <w:p w14:paraId="02D01A9E" w14:textId="77777777" w:rsidR="00F11A8B" w:rsidRPr="006F6DAC" w:rsidRDefault="00F11A8B" w:rsidP="00F11A8B">
            <w:pPr>
              <w:tabs>
                <w:tab w:val="left" w:pos="1260"/>
              </w:tabs>
              <w:spacing w:before="120" w:after="120"/>
              <w:ind w:right="33" w:firstLine="540"/>
              <w:jc w:val="both"/>
              <w:rPr>
                <w:rFonts w:ascii="Garamond" w:hAnsi="Garamond"/>
                <w:sz w:val="22"/>
                <w:szCs w:val="22"/>
                <w:highlight w:val="yellow"/>
              </w:rPr>
            </w:pPr>
            <w:r w:rsidRPr="006F6DAC">
              <w:rPr>
                <w:rFonts w:ascii="Garamond" w:hAnsi="Garamond"/>
                <w:sz w:val="22"/>
                <w:szCs w:val="22"/>
                <w:highlight w:val="yellow"/>
              </w:rPr>
              <w:t>4.2.10 Атрибут name является обязательным и содержит название данной АИИС организации. Длина названия до 250 символов.</w:t>
            </w:r>
          </w:p>
          <w:p w14:paraId="0499C04C" w14:textId="77777777" w:rsidR="00F11A8B" w:rsidRPr="006F6DAC" w:rsidRDefault="00F11A8B" w:rsidP="00F11A8B">
            <w:pPr>
              <w:tabs>
                <w:tab w:val="left" w:pos="1260"/>
              </w:tabs>
              <w:spacing w:before="120" w:after="120"/>
              <w:ind w:right="33" w:firstLine="540"/>
              <w:jc w:val="both"/>
              <w:rPr>
                <w:rFonts w:ascii="Garamond" w:hAnsi="Garamond"/>
                <w:sz w:val="22"/>
                <w:szCs w:val="22"/>
                <w:highlight w:val="yellow"/>
              </w:rPr>
            </w:pPr>
            <w:r w:rsidRPr="006F6DAC">
              <w:rPr>
                <w:rFonts w:ascii="Garamond" w:hAnsi="Garamond"/>
                <w:sz w:val="22"/>
                <w:szCs w:val="22"/>
                <w:highlight w:val="yellow"/>
              </w:rPr>
              <w:t xml:space="preserve">4.2.11. Атрибут </w:t>
            </w:r>
            <w:r w:rsidRPr="006F6DAC">
              <w:rPr>
                <w:rFonts w:ascii="Garamond" w:hAnsi="Garamond"/>
                <w:sz w:val="22"/>
                <w:szCs w:val="22"/>
                <w:highlight w:val="yellow"/>
                <w:lang w:val="en-US"/>
              </w:rPr>
              <w:t>ODU</w:t>
            </w:r>
            <w:r w:rsidRPr="006F6DAC">
              <w:rPr>
                <w:rFonts w:ascii="Garamond" w:hAnsi="Garamond"/>
                <w:sz w:val="22"/>
                <w:szCs w:val="22"/>
                <w:highlight w:val="yellow"/>
              </w:rPr>
              <w:t xml:space="preserve"> является обязательным и содержит код ОДУ, состоящий из одной цифры и присваиваемый по следующему правилу:</w:t>
            </w:r>
          </w:p>
          <w:p w14:paraId="1972CD20" w14:textId="77777777" w:rsidR="00F11A8B" w:rsidRPr="006F6DAC" w:rsidRDefault="00F11A8B" w:rsidP="00F11A8B">
            <w:pPr>
              <w:tabs>
                <w:tab w:val="left" w:pos="1260"/>
              </w:tabs>
              <w:spacing w:before="120" w:after="120"/>
              <w:ind w:right="33" w:firstLine="540"/>
              <w:jc w:val="both"/>
              <w:rPr>
                <w:rFonts w:ascii="Garamond" w:hAnsi="Garamond"/>
                <w:sz w:val="22"/>
                <w:szCs w:val="22"/>
                <w:highlight w:val="yellow"/>
              </w:rPr>
            </w:pPr>
            <w:r w:rsidRPr="006F6DAC">
              <w:rPr>
                <w:rFonts w:ascii="Garamond" w:hAnsi="Garamond"/>
                <w:sz w:val="22"/>
                <w:szCs w:val="22"/>
                <w:highlight w:val="yellow"/>
              </w:rPr>
              <w:t>1 – ОДУ Востока;</w:t>
            </w:r>
          </w:p>
          <w:p w14:paraId="643400DB" w14:textId="77777777" w:rsidR="00F11A8B" w:rsidRPr="006F6DAC" w:rsidRDefault="00F11A8B" w:rsidP="00F11A8B">
            <w:pPr>
              <w:tabs>
                <w:tab w:val="left" w:pos="1260"/>
              </w:tabs>
              <w:spacing w:before="120" w:after="120"/>
              <w:ind w:right="33" w:firstLine="540"/>
              <w:jc w:val="both"/>
              <w:rPr>
                <w:rFonts w:ascii="Garamond" w:hAnsi="Garamond"/>
                <w:sz w:val="22"/>
                <w:szCs w:val="22"/>
                <w:highlight w:val="yellow"/>
              </w:rPr>
            </w:pPr>
            <w:r w:rsidRPr="006F6DAC">
              <w:rPr>
                <w:rFonts w:ascii="Garamond" w:hAnsi="Garamond"/>
                <w:sz w:val="22"/>
                <w:szCs w:val="22"/>
                <w:highlight w:val="yellow"/>
              </w:rPr>
              <w:t>2 – ОДУ Северо-Запада;</w:t>
            </w:r>
          </w:p>
          <w:p w14:paraId="3A11C403" w14:textId="77777777" w:rsidR="00F11A8B" w:rsidRPr="006F6DAC" w:rsidRDefault="00F11A8B" w:rsidP="00F11A8B">
            <w:pPr>
              <w:tabs>
                <w:tab w:val="left" w:pos="1260"/>
              </w:tabs>
              <w:spacing w:before="120" w:after="120"/>
              <w:ind w:right="33" w:firstLine="540"/>
              <w:jc w:val="both"/>
              <w:rPr>
                <w:rFonts w:ascii="Garamond" w:hAnsi="Garamond"/>
                <w:sz w:val="22"/>
                <w:szCs w:val="22"/>
                <w:highlight w:val="yellow"/>
              </w:rPr>
            </w:pPr>
            <w:r w:rsidRPr="006F6DAC">
              <w:rPr>
                <w:rFonts w:ascii="Garamond" w:hAnsi="Garamond"/>
                <w:sz w:val="22"/>
                <w:szCs w:val="22"/>
                <w:highlight w:val="yellow"/>
              </w:rPr>
              <w:t>3 – ОДУ Сибири;</w:t>
            </w:r>
          </w:p>
          <w:p w14:paraId="56997F34" w14:textId="77777777" w:rsidR="00F11A8B" w:rsidRPr="006F6DAC" w:rsidRDefault="00F11A8B" w:rsidP="00F11A8B">
            <w:pPr>
              <w:tabs>
                <w:tab w:val="left" w:pos="1260"/>
              </w:tabs>
              <w:spacing w:before="120" w:after="120"/>
              <w:ind w:right="33" w:firstLine="540"/>
              <w:jc w:val="both"/>
              <w:rPr>
                <w:rFonts w:ascii="Garamond" w:hAnsi="Garamond"/>
                <w:sz w:val="22"/>
                <w:szCs w:val="22"/>
                <w:highlight w:val="yellow"/>
              </w:rPr>
            </w:pPr>
            <w:r w:rsidRPr="006F6DAC">
              <w:rPr>
                <w:rFonts w:ascii="Garamond" w:hAnsi="Garamond"/>
                <w:sz w:val="22"/>
                <w:szCs w:val="22"/>
                <w:highlight w:val="yellow"/>
              </w:rPr>
              <w:t>4 – ОДУ Средней Волги;</w:t>
            </w:r>
          </w:p>
          <w:p w14:paraId="59B1DF1B" w14:textId="77777777" w:rsidR="00F11A8B" w:rsidRPr="006F6DAC" w:rsidRDefault="00F11A8B" w:rsidP="00F11A8B">
            <w:pPr>
              <w:tabs>
                <w:tab w:val="left" w:pos="1260"/>
              </w:tabs>
              <w:spacing w:before="120" w:after="120"/>
              <w:ind w:right="33" w:firstLine="540"/>
              <w:jc w:val="both"/>
              <w:rPr>
                <w:rFonts w:ascii="Garamond" w:hAnsi="Garamond"/>
                <w:sz w:val="22"/>
                <w:szCs w:val="22"/>
                <w:highlight w:val="yellow"/>
              </w:rPr>
            </w:pPr>
            <w:r w:rsidRPr="006F6DAC">
              <w:rPr>
                <w:rFonts w:ascii="Garamond" w:hAnsi="Garamond"/>
                <w:sz w:val="22"/>
                <w:szCs w:val="22"/>
                <w:highlight w:val="yellow"/>
              </w:rPr>
              <w:t>5 – ОДУ Урала;</w:t>
            </w:r>
          </w:p>
          <w:p w14:paraId="17C8FA42" w14:textId="77777777" w:rsidR="00F11A8B" w:rsidRPr="006F6DAC" w:rsidRDefault="00F11A8B" w:rsidP="00F11A8B">
            <w:pPr>
              <w:tabs>
                <w:tab w:val="left" w:pos="1260"/>
              </w:tabs>
              <w:spacing w:before="120" w:after="120"/>
              <w:ind w:right="33" w:firstLine="540"/>
              <w:jc w:val="both"/>
              <w:rPr>
                <w:rFonts w:ascii="Garamond" w:hAnsi="Garamond"/>
                <w:sz w:val="22"/>
                <w:szCs w:val="22"/>
                <w:highlight w:val="yellow"/>
              </w:rPr>
            </w:pPr>
            <w:r w:rsidRPr="006F6DAC">
              <w:rPr>
                <w:rFonts w:ascii="Garamond" w:hAnsi="Garamond"/>
                <w:sz w:val="22"/>
                <w:szCs w:val="22"/>
                <w:highlight w:val="yellow"/>
              </w:rPr>
              <w:t>6 – ОДУ Центра;</w:t>
            </w:r>
          </w:p>
          <w:p w14:paraId="14357B97" w14:textId="77777777" w:rsidR="00F11A8B" w:rsidRPr="006F6DAC" w:rsidRDefault="00F11A8B" w:rsidP="00F11A8B">
            <w:pPr>
              <w:tabs>
                <w:tab w:val="left" w:pos="1260"/>
              </w:tabs>
              <w:spacing w:before="120" w:after="120"/>
              <w:ind w:right="33" w:firstLine="540"/>
              <w:jc w:val="both"/>
              <w:rPr>
                <w:rFonts w:ascii="Garamond" w:hAnsi="Garamond"/>
                <w:sz w:val="22"/>
                <w:szCs w:val="22"/>
                <w:highlight w:val="yellow"/>
              </w:rPr>
            </w:pPr>
            <w:r w:rsidRPr="006F6DAC">
              <w:rPr>
                <w:rFonts w:ascii="Garamond" w:hAnsi="Garamond"/>
                <w:sz w:val="22"/>
                <w:szCs w:val="22"/>
                <w:highlight w:val="yellow"/>
              </w:rPr>
              <w:t>7 – ОДУ Юга.</w:t>
            </w:r>
          </w:p>
          <w:p w14:paraId="62D2F984" w14:textId="77777777" w:rsidR="00F11A8B" w:rsidRPr="006F6DAC" w:rsidRDefault="00F11A8B" w:rsidP="00F11A8B">
            <w:pPr>
              <w:tabs>
                <w:tab w:val="left" w:pos="1260"/>
              </w:tabs>
              <w:spacing w:before="120" w:after="120"/>
              <w:ind w:right="33" w:firstLine="540"/>
              <w:jc w:val="both"/>
              <w:rPr>
                <w:rFonts w:ascii="Garamond" w:hAnsi="Garamond"/>
                <w:b/>
                <w:sz w:val="22"/>
                <w:szCs w:val="22"/>
                <w:highlight w:val="yellow"/>
              </w:rPr>
            </w:pPr>
            <w:r w:rsidRPr="006F6DAC">
              <w:rPr>
                <w:rFonts w:ascii="Garamond" w:hAnsi="Garamond"/>
                <w:sz w:val="22"/>
                <w:szCs w:val="22"/>
                <w:highlight w:val="yellow"/>
              </w:rPr>
              <w:t xml:space="preserve">4.2.12. Атрибут </w:t>
            </w:r>
            <w:r w:rsidRPr="006F6DAC">
              <w:rPr>
                <w:rFonts w:ascii="Garamond" w:hAnsi="Garamond"/>
                <w:sz w:val="22"/>
                <w:szCs w:val="22"/>
                <w:highlight w:val="yellow"/>
                <w:lang w:val="en-US"/>
              </w:rPr>
              <w:t>area</w:t>
            </w:r>
            <w:r w:rsidRPr="006F6DAC">
              <w:rPr>
                <w:rFonts w:ascii="Garamond" w:hAnsi="Garamond"/>
                <w:sz w:val="22"/>
                <w:szCs w:val="22"/>
                <w:highlight w:val="yellow"/>
              </w:rPr>
              <w:t xml:space="preserve">code является необязательным и содержит код, присваиваемый КО группе </w:t>
            </w:r>
            <w:r w:rsidRPr="006F6DAC">
              <w:rPr>
                <w:rFonts w:ascii="Garamond" w:hAnsi="Garamond"/>
                <w:sz w:val="22"/>
                <w:szCs w:val="22"/>
                <w:highlight w:val="yellow"/>
                <w:lang w:val="en-US"/>
              </w:rPr>
              <w:t>area</w:t>
            </w:r>
            <w:r w:rsidRPr="006F6DAC">
              <w:rPr>
                <w:rFonts w:ascii="Garamond" w:hAnsi="Garamond"/>
                <w:sz w:val="22"/>
                <w:szCs w:val="22"/>
                <w:highlight w:val="yellow"/>
              </w:rPr>
              <w:t xml:space="preserve">. Длина значения атрибута </w:t>
            </w:r>
            <w:r w:rsidRPr="006F6DAC">
              <w:rPr>
                <w:rFonts w:ascii="Garamond" w:hAnsi="Garamond"/>
                <w:sz w:val="22"/>
                <w:szCs w:val="22"/>
                <w:highlight w:val="yellow"/>
                <w:lang w:val="en-US"/>
              </w:rPr>
              <w:t>areacode</w:t>
            </w:r>
            <w:r w:rsidRPr="006F6DAC">
              <w:rPr>
                <w:rFonts w:ascii="Garamond" w:hAnsi="Garamond"/>
                <w:sz w:val="22"/>
                <w:szCs w:val="22"/>
                <w:highlight w:val="yellow"/>
              </w:rPr>
              <w:t xml:space="preserve"> – 10 символов.</w:t>
            </w:r>
          </w:p>
          <w:p w14:paraId="52BB167E" w14:textId="77777777" w:rsidR="00F11A8B" w:rsidRPr="006F6DAC" w:rsidRDefault="00F11A8B" w:rsidP="00F11A8B">
            <w:pPr>
              <w:tabs>
                <w:tab w:val="left" w:pos="1260"/>
              </w:tabs>
              <w:spacing w:before="120" w:after="120"/>
              <w:ind w:right="33" w:firstLine="540"/>
              <w:jc w:val="both"/>
              <w:rPr>
                <w:rFonts w:ascii="Garamond" w:hAnsi="Garamond"/>
                <w:b/>
                <w:sz w:val="22"/>
                <w:szCs w:val="22"/>
                <w:highlight w:val="yellow"/>
              </w:rPr>
            </w:pPr>
            <w:r w:rsidRPr="006F6DAC">
              <w:rPr>
                <w:rFonts w:ascii="Garamond" w:hAnsi="Garamond"/>
                <w:b/>
                <w:sz w:val="22"/>
                <w:szCs w:val="22"/>
                <w:highlight w:val="yellow"/>
              </w:rPr>
              <w:t>Макет 70001</w:t>
            </w:r>
          </w:p>
          <w:p w14:paraId="6E5ABBEF" w14:textId="77777777" w:rsidR="00F11A8B" w:rsidRPr="006F6DAC" w:rsidRDefault="00F11A8B" w:rsidP="00F11A8B">
            <w:pPr>
              <w:tabs>
                <w:tab w:val="left" w:pos="1260"/>
              </w:tabs>
              <w:spacing w:before="120" w:after="120"/>
              <w:ind w:right="33" w:firstLine="540"/>
              <w:jc w:val="both"/>
              <w:rPr>
                <w:rFonts w:ascii="Garamond" w:hAnsi="Garamond"/>
                <w:sz w:val="22"/>
                <w:szCs w:val="22"/>
                <w:highlight w:val="yellow"/>
              </w:rPr>
            </w:pPr>
            <w:r w:rsidRPr="006F6DAC">
              <w:rPr>
                <w:rFonts w:ascii="Garamond" w:hAnsi="Garamond"/>
                <w:sz w:val="22"/>
                <w:szCs w:val="22"/>
                <w:highlight w:val="yellow"/>
              </w:rPr>
              <w:t>4.3. Описание структуры</w:t>
            </w:r>
          </w:p>
          <w:p w14:paraId="29E8A9B3" w14:textId="77777777" w:rsidR="00F11A8B" w:rsidRPr="006F6DAC" w:rsidRDefault="00F11A8B" w:rsidP="00F11A8B">
            <w:pPr>
              <w:pStyle w:val="a6"/>
              <w:numPr>
                <w:ilvl w:val="2"/>
                <w:numId w:val="250"/>
              </w:numPr>
              <w:tabs>
                <w:tab w:val="clear" w:pos="1440"/>
                <w:tab w:val="left" w:pos="1260"/>
              </w:tabs>
              <w:suppressAutoHyphens w:val="0"/>
              <w:spacing w:before="120" w:after="120"/>
              <w:ind w:left="0" w:right="33" w:firstLine="540"/>
              <w:jc w:val="both"/>
              <w:rPr>
                <w:rFonts w:ascii="Garamond" w:hAnsi="Garamond"/>
                <w:b/>
                <w:bCs w:val="0"/>
                <w:sz w:val="22"/>
                <w:szCs w:val="22"/>
                <w:highlight w:val="yellow"/>
                <w:lang w:val="en-US"/>
              </w:rPr>
            </w:pPr>
            <w:r w:rsidRPr="006F6DAC">
              <w:rPr>
                <w:rFonts w:ascii="Garamond" w:hAnsi="Garamond"/>
                <w:bCs w:val="0"/>
                <w:sz w:val="22"/>
                <w:szCs w:val="22"/>
                <w:highlight w:val="yellow"/>
              </w:rPr>
              <w:t>Корневым элементом электронного документа является &lt;message&gt;. В документе допускается наличие только одного элемента &lt;message&gt;. Потомками</w:t>
            </w:r>
            <w:r w:rsidRPr="006F6DAC">
              <w:rPr>
                <w:rFonts w:ascii="Garamond" w:hAnsi="Garamond"/>
                <w:bCs w:val="0"/>
                <w:sz w:val="22"/>
                <w:szCs w:val="22"/>
                <w:highlight w:val="yellow"/>
                <w:lang w:val="en-US"/>
              </w:rPr>
              <w:t xml:space="preserve"> </w:t>
            </w:r>
            <w:r w:rsidRPr="006F6DAC">
              <w:rPr>
                <w:rFonts w:ascii="Garamond" w:hAnsi="Garamond"/>
                <w:bCs w:val="0"/>
                <w:sz w:val="22"/>
                <w:szCs w:val="22"/>
                <w:highlight w:val="yellow"/>
              </w:rPr>
              <w:t>элемента</w:t>
            </w:r>
            <w:r w:rsidRPr="006F6DAC">
              <w:rPr>
                <w:rFonts w:ascii="Garamond" w:hAnsi="Garamond"/>
                <w:bCs w:val="0"/>
                <w:sz w:val="22"/>
                <w:szCs w:val="22"/>
                <w:highlight w:val="yellow"/>
                <w:lang w:val="en-US"/>
              </w:rPr>
              <w:t xml:space="preserve"> &lt;message&gt; </w:t>
            </w:r>
            <w:r w:rsidRPr="006F6DAC">
              <w:rPr>
                <w:rFonts w:ascii="Garamond" w:hAnsi="Garamond"/>
                <w:bCs w:val="0"/>
                <w:sz w:val="22"/>
                <w:szCs w:val="22"/>
                <w:highlight w:val="yellow"/>
              </w:rPr>
              <w:t>являются</w:t>
            </w:r>
            <w:r w:rsidRPr="006F6DAC">
              <w:rPr>
                <w:rFonts w:ascii="Garamond" w:hAnsi="Garamond"/>
                <w:bCs w:val="0"/>
                <w:sz w:val="22"/>
                <w:szCs w:val="22"/>
                <w:highlight w:val="yellow"/>
                <w:lang w:val="en-US"/>
              </w:rPr>
              <w:t xml:space="preserve"> </w:t>
            </w:r>
            <w:r w:rsidRPr="006F6DAC">
              <w:rPr>
                <w:rFonts w:ascii="Garamond" w:hAnsi="Garamond"/>
                <w:bCs w:val="0"/>
                <w:sz w:val="22"/>
                <w:szCs w:val="22"/>
                <w:highlight w:val="yellow"/>
              </w:rPr>
              <w:t>элементы</w:t>
            </w:r>
            <w:r w:rsidRPr="006F6DAC">
              <w:rPr>
                <w:rFonts w:ascii="Garamond" w:hAnsi="Garamond"/>
                <w:bCs w:val="0"/>
                <w:sz w:val="22"/>
                <w:szCs w:val="22"/>
                <w:highlight w:val="yellow"/>
                <w:lang w:val="en-US"/>
              </w:rPr>
              <w:t xml:space="preserve"> &lt;file&gt;, &lt;reply</w:t>
            </w:r>
            <w:r w:rsidRPr="006F6DAC">
              <w:rPr>
                <w:rFonts w:ascii="Garamond" w:hAnsi="Garamond"/>
                <w:bCs w:val="0"/>
                <w:spacing w:val="1"/>
                <w:sz w:val="22"/>
                <w:szCs w:val="22"/>
                <w:highlight w:val="yellow"/>
                <w:lang w:val="en-US"/>
              </w:rPr>
              <w:t>&gt;</w:t>
            </w:r>
            <w:r w:rsidRPr="006F6DAC">
              <w:rPr>
                <w:rFonts w:ascii="Garamond" w:hAnsi="Garamond"/>
                <w:bCs w:val="0"/>
                <w:sz w:val="22"/>
                <w:szCs w:val="22"/>
                <w:highlight w:val="yellow"/>
                <w:lang w:val="en-US"/>
              </w:rPr>
              <w:t>.</w:t>
            </w:r>
          </w:p>
          <w:p w14:paraId="5DC304D4" w14:textId="77777777" w:rsidR="00F11A8B" w:rsidRPr="006F6DAC" w:rsidRDefault="00F11A8B" w:rsidP="00F11A8B">
            <w:pPr>
              <w:pStyle w:val="a6"/>
              <w:numPr>
                <w:ilvl w:val="2"/>
                <w:numId w:val="250"/>
              </w:numPr>
              <w:tabs>
                <w:tab w:val="clear" w:pos="1440"/>
                <w:tab w:val="left" w:pos="1260"/>
              </w:tabs>
              <w:suppressAutoHyphens w:val="0"/>
              <w:spacing w:before="120" w:after="120"/>
              <w:ind w:left="0" w:right="33" w:firstLine="540"/>
              <w:jc w:val="both"/>
              <w:rPr>
                <w:rFonts w:ascii="Garamond" w:hAnsi="Garamond"/>
                <w:b/>
                <w:bCs w:val="0"/>
                <w:sz w:val="22"/>
                <w:szCs w:val="22"/>
                <w:highlight w:val="yellow"/>
              </w:rPr>
            </w:pPr>
            <w:r w:rsidRPr="006F6DAC">
              <w:rPr>
                <w:rFonts w:ascii="Garamond" w:hAnsi="Garamond"/>
                <w:bCs w:val="0"/>
                <w:sz w:val="22"/>
                <w:szCs w:val="22"/>
                <w:highlight w:val="yellow"/>
              </w:rPr>
              <w:lastRenderedPageBreak/>
              <w:t>Атрибут class элемента &lt;message&gt; является обязательным и содержит данные о типе документа. Значение атрибута class должно быть равно 70001.</w:t>
            </w:r>
          </w:p>
          <w:p w14:paraId="1D9D19D3" w14:textId="77777777" w:rsidR="00F11A8B" w:rsidRPr="006F6DAC" w:rsidRDefault="00F11A8B" w:rsidP="00F11A8B">
            <w:pPr>
              <w:pStyle w:val="a6"/>
              <w:numPr>
                <w:ilvl w:val="2"/>
                <w:numId w:val="250"/>
              </w:numPr>
              <w:tabs>
                <w:tab w:val="clear" w:pos="1440"/>
                <w:tab w:val="left" w:pos="1260"/>
              </w:tabs>
              <w:suppressAutoHyphens w:val="0"/>
              <w:spacing w:before="120" w:after="120"/>
              <w:ind w:left="0" w:right="33" w:firstLine="540"/>
              <w:jc w:val="both"/>
              <w:rPr>
                <w:rFonts w:ascii="Garamond" w:hAnsi="Garamond"/>
                <w:b/>
                <w:bCs w:val="0"/>
                <w:sz w:val="22"/>
                <w:szCs w:val="22"/>
                <w:highlight w:val="yellow"/>
              </w:rPr>
            </w:pPr>
            <w:r w:rsidRPr="006F6DAC">
              <w:rPr>
                <w:rFonts w:ascii="Garamond" w:hAnsi="Garamond"/>
                <w:bCs w:val="0"/>
                <w:sz w:val="22"/>
                <w:szCs w:val="22"/>
                <w:highlight w:val="yellow"/>
              </w:rPr>
              <w:t xml:space="preserve">Атрибут version элемента &lt;message&gt; является обязательным и содержит данные о версии документа. Текущее значение версии </w:t>
            </w:r>
            <w:r w:rsidRPr="006F6DAC">
              <w:rPr>
                <w:rFonts w:ascii="Garamond" w:hAnsi="Garamond"/>
                <w:bCs w:val="0"/>
                <w:sz w:val="22"/>
                <w:szCs w:val="22"/>
                <w:highlight w:val="yellow"/>
                <w:lang w:val="en-US"/>
              </w:rPr>
              <w:t>ра</w:t>
            </w:r>
            <w:r w:rsidRPr="006F6DAC">
              <w:rPr>
                <w:rFonts w:ascii="Garamond" w:hAnsi="Garamond"/>
                <w:bCs w:val="0"/>
                <w:sz w:val="22"/>
                <w:szCs w:val="22"/>
                <w:highlight w:val="yellow"/>
              </w:rPr>
              <w:t xml:space="preserve">вно </w:t>
            </w:r>
            <w:r w:rsidRPr="006F6DAC">
              <w:rPr>
                <w:rFonts w:ascii="Garamond" w:hAnsi="Garamond"/>
                <w:bCs w:val="0"/>
                <w:sz w:val="22"/>
                <w:szCs w:val="22"/>
                <w:highlight w:val="yellow"/>
                <w:lang w:val="en-US"/>
              </w:rPr>
              <w:t>2</w:t>
            </w:r>
            <w:r w:rsidRPr="006F6DAC">
              <w:rPr>
                <w:rFonts w:ascii="Garamond" w:hAnsi="Garamond"/>
                <w:bCs w:val="0"/>
                <w:sz w:val="22"/>
                <w:szCs w:val="22"/>
                <w:highlight w:val="yellow"/>
              </w:rPr>
              <w:t>.</w:t>
            </w:r>
          </w:p>
          <w:p w14:paraId="2EF48134" w14:textId="77777777" w:rsidR="00F11A8B" w:rsidRPr="006F6DAC" w:rsidRDefault="00F11A8B" w:rsidP="00F11A8B">
            <w:pPr>
              <w:pStyle w:val="a6"/>
              <w:numPr>
                <w:ilvl w:val="2"/>
                <w:numId w:val="250"/>
              </w:numPr>
              <w:tabs>
                <w:tab w:val="clear" w:pos="1440"/>
                <w:tab w:val="left" w:pos="1260"/>
              </w:tabs>
              <w:suppressAutoHyphens w:val="0"/>
              <w:spacing w:before="120" w:after="120"/>
              <w:ind w:left="0" w:right="33" w:firstLine="540"/>
              <w:jc w:val="both"/>
              <w:rPr>
                <w:rFonts w:ascii="Garamond" w:hAnsi="Garamond"/>
                <w:b/>
                <w:bCs w:val="0"/>
                <w:sz w:val="22"/>
                <w:szCs w:val="22"/>
                <w:highlight w:val="yellow"/>
              </w:rPr>
            </w:pPr>
            <w:r w:rsidRPr="006F6DAC">
              <w:rPr>
                <w:rFonts w:ascii="Garamond" w:hAnsi="Garamond"/>
                <w:bCs w:val="0"/>
                <w:sz w:val="22"/>
                <w:szCs w:val="22"/>
                <w:highlight w:val="yellow"/>
              </w:rPr>
              <w:t>Атрибут id элемента &lt;message&gt; является необязательным и содержит уникальный цифровой код сообщения.</w:t>
            </w:r>
          </w:p>
          <w:p w14:paraId="750D81A7" w14:textId="073F70AC" w:rsidR="00F11A8B" w:rsidRPr="006F6DAC" w:rsidRDefault="00F11A8B" w:rsidP="00F11A8B">
            <w:pPr>
              <w:pStyle w:val="a6"/>
              <w:numPr>
                <w:ilvl w:val="2"/>
                <w:numId w:val="250"/>
              </w:numPr>
              <w:tabs>
                <w:tab w:val="clear" w:pos="1440"/>
                <w:tab w:val="left" w:pos="1260"/>
              </w:tabs>
              <w:suppressAutoHyphens w:val="0"/>
              <w:spacing w:before="120" w:after="120"/>
              <w:ind w:left="0" w:right="33" w:firstLine="540"/>
              <w:jc w:val="both"/>
              <w:rPr>
                <w:rFonts w:ascii="Garamond" w:hAnsi="Garamond"/>
                <w:b/>
                <w:bCs w:val="0"/>
                <w:sz w:val="22"/>
                <w:szCs w:val="22"/>
                <w:highlight w:val="yellow"/>
              </w:rPr>
            </w:pPr>
            <w:r w:rsidRPr="006F6DAC">
              <w:rPr>
                <w:rFonts w:ascii="Garamond" w:hAnsi="Garamond"/>
                <w:bCs w:val="0"/>
                <w:sz w:val="22"/>
                <w:szCs w:val="22"/>
                <w:highlight w:val="yellow"/>
              </w:rPr>
              <w:t xml:space="preserve">Атрибут </w:t>
            </w:r>
            <w:r w:rsidRPr="006F6DAC">
              <w:rPr>
                <w:rFonts w:ascii="Garamond" w:hAnsi="Garamond"/>
                <w:bCs w:val="0"/>
                <w:sz w:val="22"/>
                <w:szCs w:val="22"/>
                <w:highlight w:val="yellow"/>
                <w:lang w:val="en-US" w:eastAsia="zh-CN"/>
              </w:rPr>
              <w:t>datetime</w:t>
            </w:r>
            <w:r w:rsidRPr="006F6DAC">
              <w:rPr>
                <w:rFonts w:ascii="Garamond" w:hAnsi="Garamond"/>
                <w:bCs w:val="0"/>
                <w:sz w:val="22"/>
                <w:szCs w:val="22"/>
                <w:highlight w:val="yellow"/>
                <w:lang w:eastAsia="zh-CN"/>
              </w:rPr>
              <w:t xml:space="preserve"> элемента &lt;</w:t>
            </w:r>
            <w:r w:rsidRPr="006F6DAC">
              <w:rPr>
                <w:rFonts w:ascii="Garamond" w:hAnsi="Garamond"/>
                <w:bCs w:val="0"/>
                <w:sz w:val="22"/>
                <w:szCs w:val="22"/>
                <w:highlight w:val="yellow"/>
                <w:lang w:val="en-US" w:eastAsia="zh-CN"/>
              </w:rPr>
              <w:t>message</w:t>
            </w:r>
            <w:r w:rsidRPr="006F6DAC">
              <w:rPr>
                <w:rFonts w:ascii="Garamond" w:hAnsi="Garamond"/>
                <w:bCs w:val="0"/>
                <w:sz w:val="22"/>
                <w:szCs w:val="22"/>
                <w:highlight w:val="yellow"/>
                <w:lang w:eastAsia="zh-CN"/>
              </w:rPr>
              <w:t xml:space="preserve">&gt; является необязательным и содержит дату создания ответного сообщения в виде ГГГГММДДччммсс, </w:t>
            </w:r>
            <w:r w:rsidRPr="006F6DAC">
              <w:rPr>
                <w:rFonts w:ascii="Garamond" w:hAnsi="Garamond"/>
                <w:bCs w:val="0"/>
                <w:sz w:val="22"/>
                <w:szCs w:val="22"/>
                <w:highlight w:val="yellow"/>
              </w:rPr>
              <w:t>где ГГГГ</w:t>
            </w:r>
            <w:r w:rsidR="009B5F03" w:rsidRPr="006F6DAC">
              <w:rPr>
                <w:rFonts w:ascii="Garamond" w:hAnsi="Garamond"/>
                <w:bCs w:val="0"/>
                <w:sz w:val="22"/>
                <w:szCs w:val="22"/>
                <w:highlight w:val="yellow"/>
              </w:rPr>
              <w:t xml:space="preserve"> – </w:t>
            </w:r>
            <w:r w:rsidRPr="006F6DAC">
              <w:rPr>
                <w:rFonts w:ascii="Garamond" w:hAnsi="Garamond"/>
                <w:bCs w:val="0"/>
                <w:sz w:val="22"/>
                <w:szCs w:val="22"/>
                <w:highlight w:val="yellow"/>
              </w:rPr>
              <w:t>год, ММ</w:t>
            </w:r>
            <w:r w:rsidR="009B5F03" w:rsidRPr="006F6DAC">
              <w:rPr>
                <w:rFonts w:ascii="Garamond" w:hAnsi="Garamond"/>
                <w:bCs w:val="0"/>
                <w:sz w:val="22"/>
                <w:szCs w:val="22"/>
                <w:highlight w:val="yellow"/>
              </w:rPr>
              <w:t xml:space="preserve"> – </w:t>
            </w:r>
            <w:r w:rsidRPr="006F6DAC">
              <w:rPr>
                <w:rFonts w:ascii="Garamond" w:hAnsi="Garamond"/>
                <w:bCs w:val="0"/>
                <w:sz w:val="22"/>
                <w:szCs w:val="22"/>
                <w:highlight w:val="yellow"/>
              </w:rPr>
              <w:t>месяц, ДД</w:t>
            </w:r>
            <w:r w:rsidR="009B5F03" w:rsidRPr="006F6DAC">
              <w:rPr>
                <w:rFonts w:ascii="Garamond" w:hAnsi="Garamond"/>
                <w:bCs w:val="0"/>
                <w:sz w:val="22"/>
                <w:szCs w:val="22"/>
                <w:highlight w:val="yellow"/>
              </w:rPr>
              <w:t xml:space="preserve"> – </w:t>
            </w:r>
            <w:r w:rsidRPr="006F6DAC">
              <w:rPr>
                <w:rFonts w:ascii="Garamond" w:hAnsi="Garamond"/>
                <w:bCs w:val="0"/>
                <w:sz w:val="22"/>
                <w:szCs w:val="22"/>
                <w:highlight w:val="yellow"/>
              </w:rPr>
              <w:t>день, чч</w:t>
            </w:r>
            <w:r w:rsidR="009B5F03" w:rsidRPr="006F6DAC">
              <w:rPr>
                <w:rFonts w:ascii="Garamond" w:hAnsi="Garamond"/>
                <w:bCs w:val="0"/>
                <w:sz w:val="22"/>
                <w:szCs w:val="22"/>
                <w:highlight w:val="yellow"/>
              </w:rPr>
              <w:t xml:space="preserve"> – </w:t>
            </w:r>
            <w:r w:rsidRPr="006F6DAC">
              <w:rPr>
                <w:rFonts w:ascii="Garamond" w:hAnsi="Garamond"/>
                <w:bCs w:val="0"/>
                <w:sz w:val="22"/>
                <w:szCs w:val="22"/>
                <w:highlight w:val="yellow"/>
              </w:rPr>
              <w:t>часы в 24-часовом формате, мм</w:t>
            </w:r>
            <w:r w:rsidR="009B5F03" w:rsidRPr="006F6DAC">
              <w:rPr>
                <w:rFonts w:ascii="Garamond" w:hAnsi="Garamond"/>
                <w:bCs w:val="0"/>
                <w:sz w:val="22"/>
                <w:szCs w:val="22"/>
                <w:highlight w:val="yellow"/>
              </w:rPr>
              <w:t xml:space="preserve"> – </w:t>
            </w:r>
            <w:r w:rsidRPr="006F6DAC">
              <w:rPr>
                <w:rFonts w:ascii="Garamond" w:hAnsi="Garamond"/>
                <w:bCs w:val="0"/>
                <w:sz w:val="22"/>
                <w:szCs w:val="22"/>
                <w:highlight w:val="yellow"/>
              </w:rPr>
              <w:t>минуты, сс</w:t>
            </w:r>
            <w:r w:rsidR="009B5F03" w:rsidRPr="006F6DAC">
              <w:rPr>
                <w:rFonts w:ascii="Garamond" w:hAnsi="Garamond"/>
                <w:bCs w:val="0"/>
                <w:sz w:val="22"/>
                <w:szCs w:val="22"/>
                <w:highlight w:val="yellow"/>
              </w:rPr>
              <w:t xml:space="preserve"> – </w:t>
            </w:r>
            <w:r w:rsidRPr="006F6DAC">
              <w:rPr>
                <w:rFonts w:ascii="Garamond" w:hAnsi="Garamond"/>
                <w:bCs w:val="0"/>
                <w:sz w:val="22"/>
                <w:szCs w:val="22"/>
                <w:highlight w:val="yellow"/>
              </w:rPr>
              <w:t>секунды.</w:t>
            </w:r>
          </w:p>
          <w:p w14:paraId="2233D4BD" w14:textId="77777777" w:rsidR="00F11A8B" w:rsidRPr="006F6DAC" w:rsidRDefault="00F11A8B" w:rsidP="00F11A8B">
            <w:pPr>
              <w:pStyle w:val="a6"/>
              <w:numPr>
                <w:ilvl w:val="2"/>
                <w:numId w:val="250"/>
              </w:numPr>
              <w:tabs>
                <w:tab w:val="clear" w:pos="1440"/>
                <w:tab w:val="left" w:pos="1260"/>
              </w:tabs>
              <w:suppressAutoHyphens w:val="0"/>
              <w:spacing w:before="120" w:after="120"/>
              <w:ind w:left="0" w:right="33" w:firstLine="540"/>
              <w:jc w:val="both"/>
              <w:rPr>
                <w:rFonts w:ascii="Garamond" w:hAnsi="Garamond"/>
                <w:b/>
                <w:bCs w:val="0"/>
                <w:sz w:val="22"/>
                <w:szCs w:val="22"/>
                <w:highlight w:val="yellow"/>
              </w:rPr>
            </w:pPr>
            <w:r w:rsidRPr="006F6DAC">
              <w:rPr>
                <w:rFonts w:ascii="Garamond" w:hAnsi="Garamond"/>
                <w:bCs w:val="0"/>
                <w:sz w:val="22"/>
                <w:szCs w:val="22"/>
                <w:highlight w:val="yellow"/>
              </w:rPr>
              <w:t>Элемент &lt;file&gt; является потомком корневого элемента &lt;message&gt; и содержит информацию о вложенном в электронное сообщение файле XML. В документе допускается наличие только одного элемента &lt;</w:t>
            </w:r>
            <w:r w:rsidRPr="006F6DAC">
              <w:rPr>
                <w:rFonts w:ascii="Garamond" w:hAnsi="Garamond"/>
                <w:bCs w:val="0"/>
                <w:sz w:val="22"/>
                <w:szCs w:val="22"/>
                <w:highlight w:val="yellow"/>
                <w:lang w:val="en-US" w:eastAsia="zh-CN"/>
              </w:rPr>
              <w:t>file</w:t>
            </w:r>
            <w:r w:rsidRPr="006F6DAC">
              <w:rPr>
                <w:rFonts w:ascii="Garamond" w:hAnsi="Garamond"/>
                <w:bCs w:val="0"/>
                <w:sz w:val="22"/>
                <w:szCs w:val="22"/>
                <w:highlight w:val="yellow"/>
              </w:rPr>
              <w:t>&gt;. Потомками элемента &lt;</w:t>
            </w:r>
            <w:r w:rsidRPr="006F6DAC">
              <w:rPr>
                <w:rFonts w:ascii="Garamond" w:hAnsi="Garamond"/>
                <w:bCs w:val="0"/>
                <w:sz w:val="22"/>
                <w:szCs w:val="22"/>
                <w:highlight w:val="yellow"/>
                <w:lang w:val="en-US"/>
              </w:rPr>
              <w:t>file</w:t>
            </w:r>
            <w:r w:rsidRPr="006F6DAC">
              <w:rPr>
                <w:rFonts w:ascii="Garamond" w:hAnsi="Garamond"/>
                <w:bCs w:val="0"/>
                <w:sz w:val="22"/>
                <w:szCs w:val="22"/>
                <w:highlight w:val="yellow"/>
              </w:rPr>
              <w:t>&gt; являются элементы &lt;</w:t>
            </w:r>
            <w:r w:rsidRPr="006F6DAC">
              <w:rPr>
                <w:rFonts w:ascii="Garamond" w:hAnsi="Garamond"/>
                <w:bCs w:val="0"/>
                <w:sz w:val="22"/>
                <w:szCs w:val="22"/>
                <w:highlight w:val="yellow"/>
                <w:lang w:val="en-US"/>
              </w:rPr>
              <w:t>fromaddr</w:t>
            </w:r>
            <w:r w:rsidRPr="006F6DAC">
              <w:rPr>
                <w:rFonts w:ascii="Garamond" w:hAnsi="Garamond"/>
                <w:bCs w:val="0"/>
                <w:sz w:val="22"/>
                <w:szCs w:val="22"/>
                <w:highlight w:val="yellow"/>
              </w:rPr>
              <w:t>&gt;, &lt;</w:t>
            </w:r>
            <w:r w:rsidRPr="006F6DAC">
              <w:rPr>
                <w:rFonts w:ascii="Garamond" w:hAnsi="Garamond"/>
                <w:bCs w:val="0"/>
                <w:sz w:val="22"/>
                <w:szCs w:val="22"/>
                <w:highlight w:val="yellow"/>
                <w:lang w:val="en-US"/>
              </w:rPr>
              <w:t>name</w:t>
            </w:r>
            <w:r w:rsidRPr="006F6DAC">
              <w:rPr>
                <w:rFonts w:ascii="Garamond" w:hAnsi="Garamond"/>
                <w:bCs w:val="0"/>
                <w:sz w:val="22"/>
                <w:szCs w:val="22"/>
                <w:highlight w:val="yellow"/>
              </w:rPr>
              <w:t>&gt;, &lt;</w:t>
            </w:r>
            <w:r w:rsidRPr="006F6DAC">
              <w:rPr>
                <w:rFonts w:ascii="Garamond" w:hAnsi="Garamond"/>
                <w:bCs w:val="0"/>
                <w:sz w:val="22"/>
                <w:szCs w:val="22"/>
                <w:highlight w:val="yellow"/>
                <w:lang w:val="en-US"/>
              </w:rPr>
              <w:t>sender</w:t>
            </w:r>
            <w:r w:rsidRPr="006F6DAC">
              <w:rPr>
                <w:rFonts w:ascii="Garamond" w:hAnsi="Garamond"/>
                <w:bCs w:val="0"/>
                <w:sz w:val="22"/>
                <w:szCs w:val="22"/>
                <w:highlight w:val="yellow"/>
              </w:rPr>
              <w:t>&gt;, &lt;</w:t>
            </w:r>
            <w:r w:rsidRPr="006F6DAC">
              <w:rPr>
                <w:rFonts w:ascii="Garamond" w:hAnsi="Garamond"/>
                <w:bCs w:val="0"/>
                <w:sz w:val="22"/>
                <w:szCs w:val="22"/>
                <w:highlight w:val="yellow"/>
                <w:lang w:val="en-US"/>
              </w:rPr>
              <w:t>day</w:t>
            </w:r>
            <w:r w:rsidRPr="006F6DAC">
              <w:rPr>
                <w:rFonts w:ascii="Garamond" w:hAnsi="Garamond"/>
                <w:bCs w:val="0"/>
                <w:sz w:val="22"/>
                <w:szCs w:val="22"/>
                <w:highlight w:val="yellow"/>
              </w:rPr>
              <w:t>&gt;, &lt;</w:t>
            </w:r>
            <w:r w:rsidRPr="006F6DAC">
              <w:rPr>
                <w:rFonts w:ascii="Garamond" w:hAnsi="Garamond"/>
                <w:bCs w:val="0"/>
                <w:sz w:val="22"/>
                <w:szCs w:val="22"/>
                <w:highlight w:val="yellow"/>
                <w:lang w:val="en-US"/>
              </w:rPr>
              <w:t>id</w:t>
            </w:r>
            <w:r w:rsidRPr="006F6DAC">
              <w:rPr>
                <w:rFonts w:ascii="Garamond" w:hAnsi="Garamond"/>
                <w:bCs w:val="0"/>
                <w:sz w:val="22"/>
                <w:szCs w:val="22"/>
                <w:highlight w:val="yellow"/>
              </w:rPr>
              <w:t>&gt;, &lt;</w:t>
            </w:r>
            <w:r w:rsidRPr="006F6DAC">
              <w:rPr>
                <w:rFonts w:ascii="Garamond" w:hAnsi="Garamond"/>
                <w:bCs w:val="0"/>
                <w:sz w:val="22"/>
                <w:szCs w:val="22"/>
                <w:highlight w:val="yellow"/>
                <w:lang w:val="en-US"/>
              </w:rPr>
              <w:t>received</w:t>
            </w:r>
            <w:r w:rsidRPr="006F6DAC">
              <w:rPr>
                <w:rFonts w:ascii="Garamond" w:hAnsi="Garamond"/>
                <w:bCs w:val="0"/>
                <w:sz w:val="22"/>
                <w:szCs w:val="22"/>
                <w:highlight w:val="yellow"/>
              </w:rPr>
              <w:t>&gt;.</w:t>
            </w:r>
          </w:p>
          <w:p w14:paraId="39750DE2" w14:textId="77777777" w:rsidR="00F11A8B" w:rsidRPr="006F6DAC" w:rsidRDefault="00F11A8B" w:rsidP="00F11A8B">
            <w:pPr>
              <w:pStyle w:val="a6"/>
              <w:numPr>
                <w:ilvl w:val="2"/>
                <w:numId w:val="250"/>
              </w:numPr>
              <w:tabs>
                <w:tab w:val="clear" w:pos="1440"/>
                <w:tab w:val="left" w:pos="1260"/>
              </w:tabs>
              <w:suppressAutoHyphens w:val="0"/>
              <w:spacing w:before="120" w:after="120"/>
              <w:ind w:left="0" w:right="33" w:firstLine="540"/>
              <w:jc w:val="both"/>
              <w:rPr>
                <w:rFonts w:ascii="Garamond" w:hAnsi="Garamond"/>
                <w:b/>
                <w:bCs w:val="0"/>
                <w:sz w:val="22"/>
                <w:szCs w:val="22"/>
                <w:highlight w:val="yellow"/>
              </w:rPr>
            </w:pPr>
            <w:r w:rsidRPr="006F6DAC">
              <w:rPr>
                <w:rFonts w:ascii="Garamond" w:hAnsi="Garamond"/>
                <w:bCs w:val="0"/>
                <w:sz w:val="22"/>
                <w:szCs w:val="22"/>
                <w:highlight w:val="yellow"/>
              </w:rPr>
              <w:t xml:space="preserve">Элемент </w:t>
            </w:r>
            <w:r w:rsidRPr="006F6DAC">
              <w:rPr>
                <w:rFonts w:ascii="Garamond" w:hAnsi="Garamond"/>
                <w:bCs w:val="0"/>
                <w:sz w:val="22"/>
                <w:szCs w:val="22"/>
                <w:highlight w:val="yellow"/>
                <w:lang w:eastAsia="zh-CN"/>
              </w:rPr>
              <w:t>&lt;</w:t>
            </w:r>
            <w:r w:rsidRPr="006F6DAC">
              <w:rPr>
                <w:rFonts w:ascii="Garamond" w:hAnsi="Garamond"/>
                <w:bCs w:val="0"/>
                <w:sz w:val="22"/>
                <w:szCs w:val="22"/>
                <w:highlight w:val="yellow"/>
                <w:lang w:val="en-US" w:eastAsia="zh-CN"/>
              </w:rPr>
              <w:t>fromaddr</w:t>
            </w:r>
            <w:r w:rsidRPr="006F6DAC">
              <w:rPr>
                <w:rFonts w:ascii="Garamond" w:hAnsi="Garamond"/>
                <w:bCs w:val="0"/>
                <w:sz w:val="22"/>
                <w:szCs w:val="22"/>
                <w:highlight w:val="yellow"/>
                <w:lang w:eastAsia="zh-CN"/>
              </w:rPr>
              <w:t>&gt; является обязательным потомком элемента &lt;</w:t>
            </w:r>
            <w:r w:rsidRPr="006F6DAC">
              <w:rPr>
                <w:rFonts w:ascii="Garamond" w:hAnsi="Garamond"/>
                <w:bCs w:val="0"/>
                <w:sz w:val="22"/>
                <w:szCs w:val="22"/>
                <w:highlight w:val="yellow"/>
                <w:lang w:val="en-US" w:eastAsia="zh-CN"/>
              </w:rPr>
              <w:t>file</w:t>
            </w:r>
            <w:r w:rsidRPr="006F6DAC">
              <w:rPr>
                <w:rFonts w:ascii="Garamond" w:hAnsi="Garamond"/>
                <w:bCs w:val="0"/>
                <w:sz w:val="22"/>
                <w:szCs w:val="22"/>
                <w:highlight w:val="yellow"/>
                <w:lang w:eastAsia="zh-CN"/>
              </w:rPr>
              <w:t>&gt; и содержит адрес электронной почты, с которого пришло письмо, содержащее входящий файл формата 70000, и на который было сформировано данное ответное сообщение.</w:t>
            </w:r>
          </w:p>
          <w:p w14:paraId="5AA26BEB" w14:textId="77777777" w:rsidR="00F11A8B" w:rsidRPr="006F6DAC" w:rsidRDefault="00F11A8B" w:rsidP="00F11A8B">
            <w:pPr>
              <w:pStyle w:val="a6"/>
              <w:numPr>
                <w:ilvl w:val="2"/>
                <w:numId w:val="250"/>
              </w:numPr>
              <w:tabs>
                <w:tab w:val="clear" w:pos="1440"/>
                <w:tab w:val="left" w:pos="1260"/>
              </w:tabs>
              <w:suppressAutoHyphens w:val="0"/>
              <w:spacing w:before="120" w:after="120"/>
              <w:ind w:left="0" w:right="33" w:firstLine="540"/>
              <w:jc w:val="both"/>
              <w:rPr>
                <w:rFonts w:ascii="Garamond" w:hAnsi="Garamond"/>
                <w:b/>
                <w:bCs w:val="0"/>
                <w:sz w:val="22"/>
                <w:szCs w:val="22"/>
                <w:highlight w:val="yellow"/>
              </w:rPr>
            </w:pPr>
            <w:r w:rsidRPr="006F6DAC">
              <w:rPr>
                <w:rFonts w:ascii="Garamond" w:hAnsi="Garamond"/>
                <w:bCs w:val="0"/>
                <w:sz w:val="22"/>
                <w:szCs w:val="22"/>
                <w:highlight w:val="yellow"/>
              </w:rPr>
              <w:t xml:space="preserve">Элемент &lt;name&gt; является обязательным </w:t>
            </w:r>
            <w:r w:rsidRPr="006F6DAC">
              <w:rPr>
                <w:rFonts w:ascii="Garamond" w:hAnsi="Garamond"/>
                <w:bCs w:val="0"/>
                <w:sz w:val="22"/>
                <w:szCs w:val="22"/>
                <w:highlight w:val="yellow"/>
                <w:lang w:eastAsia="zh-CN"/>
              </w:rPr>
              <w:t>потомком элемента &lt;</w:t>
            </w:r>
            <w:r w:rsidRPr="006F6DAC">
              <w:rPr>
                <w:rFonts w:ascii="Garamond" w:hAnsi="Garamond"/>
                <w:bCs w:val="0"/>
                <w:sz w:val="22"/>
                <w:szCs w:val="22"/>
                <w:highlight w:val="yellow"/>
                <w:lang w:val="en-US" w:eastAsia="zh-CN"/>
              </w:rPr>
              <w:t>file</w:t>
            </w:r>
            <w:r w:rsidRPr="006F6DAC">
              <w:rPr>
                <w:rFonts w:ascii="Garamond" w:hAnsi="Garamond"/>
                <w:bCs w:val="0"/>
                <w:sz w:val="22"/>
                <w:szCs w:val="22"/>
                <w:highlight w:val="yellow"/>
                <w:lang w:eastAsia="zh-CN"/>
              </w:rPr>
              <w:t xml:space="preserve">&gt; </w:t>
            </w:r>
            <w:r w:rsidRPr="006F6DAC">
              <w:rPr>
                <w:rFonts w:ascii="Garamond" w:hAnsi="Garamond"/>
                <w:bCs w:val="0"/>
                <w:sz w:val="22"/>
                <w:szCs w:val="22"/>
                <w:highlight w:val="yellow"/>
              </w:rPr>
              <w:t xml:space="preserve">и содержит название файла XML </w:t>
            </w:r>
            <w:r w:rsidRPr="006F6DAC">
              <w:rPr>
                <w:rFonts w:ascii="Garamond" w:hAnsi="Garamond"/>
                <w:bCs w:val="0"/>
                <w:sz w:val="22"/>
                <w:szCs w:val="22"/>
                <w:highlight w:val="yellow"/>
                <w:lang w:eastAsia="zh-CN"/>
              </w:rPr>
              <w:t>формата 70000, на который было сформировано данное ответное сообщение</w:t>
            </w:r>
            <w:r w:rsidRPr="006F6DAC">
              <w:rPr>
                <w:rFonts w:ascii="Garamond" w:hAnsi="Garamond"/>
                <w:bCs w:val="0"/>
                <w:sz w:val="22"/>
                <w:szCs w:val="22"/>
                <w:highlight w:val="yellow"/>
              </w:rPr>
              <w:t>.</w:t>
            </w:r>
          </w:p>
          <w:p w14:paraId="241307E4" w14:textId="5EA84897" w:rsidR="00F11A8B" w:rsidRPr="006F6DAC" w:rsidRDefault="00F11A8B" w:rsidP="00F11A8B">
            <w:pPr>
              <w:pStyle w:val="a6"/>
              <w:numPr>
                <w:ilvl w:val="2"/>
                <w:numId w:val="250"/>
              </w:numPr>
              <w:tabs>
                <w:tab w:val="clear" w:pos="1440"/>
                <w:tab w:val="left" w:pos="1260"/>
              </w:tabs>
              <w:suppressAutoHyphens w:val="0"/>
              <w:spacing w:before="120" w:after="120"/>
              <w:ind w:left="0" w:right="33" w:firstLine="540"/>
              <w:jc w:val="both"/>
              <w:rPr>
                <w:rFonts w:ascii="Garamond" w:hAnsi="Garamond"/>
                <w:b/>
                <w:bCs w:val="0"/>
                <w:sz w:val="22"/>
                <w:szCs w:val="22"/>
                <w:highlight w:val="yellow"/>
              </w:rPr>
            </w:pPr>
            <w:r w:rsidRPr="006F6DAC">
              <w:rPr>
                <w:rFonts w:ascii="Garamond" w:hAnsi="Garamond"/>
                <w:bCs w:val="0"/>
                <w:sz w:val="22"/>
                <w:szCs w:val="22"/>
                <w:highlight w:val="yellow"/>
              </w:rPr>
              <w:t xml:space="preserve">Элемент </w:t>
            </w:r>
            <w:r w:rsidRPr="006F6DAC">
              <w:rPr>
                <w:rFonts w:ascii="Garamond" w:hAnsi="Garamond"/>
                <w:bCs w:val="0"/>
                <w:sz w:val="22"/>
                <w:szCs w:val="22"/>
                <w:highlight w:val="yellow"/>
                <w:lang w:eastAsia="zh-CN"/>
              </w:rPr>
              <w:t>&lt;</w:t>
            </w:r>
            <w:r w:rsidRPr="006F6DAC">
              <w:rPr>
                <w:rFonts w:ascii="Garamond" w:hAnsi="Garamond"/>
                <w:bCs w:val="0"/>
                <w:sz w:val="22"/>
                <w:szCs w:val="22"/>
                <w:highlight w:val="yellow"/>
                <w:lang w:val="en-US" w:eastAsia="zh-CN"/>
              </w:rPr>
              <w:t>sender</w:t>
            </w:r>
            <w:r w:rsidRPr="006F6DAC">
              <w:rPr>
                <w:rFonts w:ascii="Garamond" w:hAnsi="Garamond"/>
                <w:bCs w:val="0"/>
                <w:sz w:val="22"/>
                <w:szCs w:val="22"/>
                <w:highlight w:val="yellow"/>
                <w:lang w:eastAsia="zh-CN"/>
              </w:rPr>
              <w:t>&gt; является обязательным потомком элемента &lt;</w:t>
            </w:r>
            <w:r w:rsidRPr="006F6DAC">
              <w:rPr>
                <w:rFonts w:ascii="Garamond" w:hAnsi="Garamond"/>
                <w:bCs w:val="0"/>
                <w:sz w:val="22"/>
                <w:szCs w:val="22"/>
                <w:highlight w:val="yellow"/>
                <w:lang w:val="en-US" w:eastAsia="zh-CN"/>
              </w:rPr>
              <w:t>file</w:t>
            </w:r>
            <w:r w:rsidRPr="006F6DAC">
              <w:rPr>
                <w:rFonts w:ascii="Garamond" w:hAnsi="Garamond"/>
                <w:bCs w:val="0"/>
                <w:sz w:val="22"/>
                <w:szCs w:val="22"/>
                <w:highlight w:val="yellow"/>
                <w:lang w:eastAsia="zh-CN"/>
              </w:rPr>
              <w:t>&gt; и содержит ИНН организации</w:t>
            </w:r>
            <w:r w:rsidR="009B5F03" w:rsidRPr="006F6DAC">
              <w:rPr>
                <w:rFonts w:ascii="Garamond" w:hAnsi="Garamond"/>
                <w:bCs w:val="0"/>
                <w:sz w:val="22"/>
                <w:szCs w:val="22"/>
                <w:highlight w:val="yellow"/>
                <w:lang w:eastAsia="zh-CN"/>
              </w:rPr>
              <w:t xml:space="preserve"> – </w:t>
            </w:r>
            <w:r w:rsidRPr="006F6DAC">
              <w:rPr>
                <w:rFonts w:ascii="Garamond" w:hAnsi="Garamond"/>
                <w:bCs w:val="0"/>
                <w:sz w:val="22"/>
                <w:szCs w:val="22"/>
                <w:highlight w:val="yellow"/>
                <w:lang w:eastAsia="zh-CN"/>
              </w:rPr>
              <w:t>поставщика информации, которая сформировала входящий файл.</w:t>
            </w:r>
          </w:p>
          <w:p w14:paraId="0922706D" w14:textId="23CB9AD9" w:rsidR="00F11A8B" w:rsidRPr="006F6DAC" w:rsidRDefault="00F11A8B" w:rsidP="00F11A8B">
            <w:pPr>
              <w:pStyle w:val="a6"/>
              <w:numPr>
                <w:ilvl w:val="2"/>
                <w:numId w:val="250"/>
              </w:numPr>
              <w:tabs>
                <w:tab w:val="clear" w:pos="1440"/>
                <w:tab w:val="left" w:pos="1260"/>
              </w:tabs>
              <w:suppressAutoHyphens w:val="0"/>
              <w:spacing w:before="120" w:after="120"/>
              <w:ind w:left="0" w:right="33" w:firstLine="540"/>
              <w:jc w:val="both"/>
              <w:rPr>
                <w:rFonts w:ascii="Garamond" w:hAnsi="Garamond"/>
                <w:b/>
                <w:bCs w:val="0"/>
                <w:sz w:val="22"/>
                <w:szCs w:val="22"/>
                <w:highlight w:val="yellow"/>
              </w:rPr>
            </w:pPr>
            <w:r w:rsidRPr="006F6DAC">
              <w:rPr>
                <w:rFonts w:ascii="Garamond" w:hAnsi="Garamond"/>
                <w:bCs w:val="0"/>
                <w:sz w:val="22"/>
                <w:szCs w:val="22"/>
                <w:highlight w:val="yellow"/>
                <w:lang w:eastAsia="zh-CN"/>
              </w:rPr>
              <w:t>Элемент &lt;</w:t>
            </w:r>
            <w:r w:rsidRPr="006F6DAC">
              <w:rPr>
                <w:rFonts w:ascii="Garamond" w:hAnsi="Garamond"/>
                <w:bCs w:val="0"/>
                <w:sz w:val="22"/>
                <w:szCs w:val="22"/>
                <w:highlight w:val="yellow"/>
                <w:lang w:val="en-US" w:eastAsia="zh-CN"/>
              </w:rPr>
              <w:t>day</w:t>
            </w:r>
            <w:r w:rsidRPr="006F6DAC">
              <w:rPr>
                <w:rFonts w:ascii="Garamond" w:hAnsi="Garamond"/>
                <w:bCs w:val="0"/>
                <w:sz w:val="22"/>
                <w:szCs w:val="22"/>
                <w:highlight w:val="yellow"/>
                <w:lang w:eastAsia="zh-CN"/>
              </w:rPr>
              <w:t>&gt; является обязательным потомком элемента &lt;</w:t>
            </w:r>
            <w:r w:rsidRPr="006F6DAC">
              <w:rPr>
                <w:rFonts w:ascii="Garamond" w:hAnsi="Garamond"/>
                <w:bCs w:val="0"/>
                <w:sz w:val="22"/>
                <w:szCs w:val="22"/>
                <w:highlight w:val="yellow"/>
                <w:lang w:val="en-US" w:eastAsia="zh-CN"/>
              </w:rPr>
              <w:t>file</w:t>
            </w:r>
            <w:r w:rsidRPr="006F6DAC">
              <w:rPr>
                <w:rFonts w:ascii="Garamond" w:hAnsi="Garamond"/>
                <w:bCs w:val="0"/>
                <w:sz w:val="22"/>
                <w:szCs w:val="22"/>
                <w:highlight w:val="yellow"/>
                <w:lang w:eastAsia="zh-CN"/>
              </w:rPr>
              <w:t xml:space="preserve">&gt; и содержит сутки, на которые был сформирован входящий файл в формате ГГГГММДД, где </w:t>
            </w:r>
            <w:r w:rsidRPr="006F6DAC">
              <w:rPr>
                <w:rFonts w:ascii="Garamond" w:hAnsi="Garamond"/>
                <w:bCs w:val="0"/>
                <w:sz w:val="22"/>
                <w:szCs w:val="22"/>
                <w:highlight w:val="yellow"/>
              </w:rPr>
              <w:t>ГГГГ</w:t>
            </w:r>
            <w:r w:rsidR="009B5F03" w:rsidRPr="006F6DAC">
              <w:rPr>
                <w:rFonts w:ascii="Garamond" w:hAnsi="Garamond"/>
                <w:bCs w:val="0"/>
                <w:sz w:val="22"/>
                <w:szCs w:val="22"/>
                <w:highlight w:val="yellow"/>
              </w:rPr>
              <w:t xml:space="preserve"> – </w:t>
            </w:r>
            <w:r w:rsidRPr="006F6DAC">
              <w:rPr>
                <w:rFonts w:ascii="Garamond" w:hAnsi="Garamond"/>
                <w:bCs w:val="0"/>
                <w:sz w:val="22"/>
                <w:szCs w:val="22"/>
                <w:highlight w:val="yellow"/>
              </w:rPr>
              <w:t>год, ММ</w:t>
            </w:r>
            <w:r w:rsidR="009B5F03" w:rsidRPr="006F6DAC">
              <w:rPr>
                <w:rFonts w:ascii="Garamond" w:hAnsi="Garamond"/>
                <w:bCs w:val="0"/>
                <w:sz w:val="22"/>
                <w:szCs w:val="22"/>
                <w:highlight w:val="yellow"/>
              </w:rPr>
              <w:t xml:space="preserve"> – </w:t>
            </w:r>
            <w:r w:rsidRPr="006F6DAC">
              <w:rPr>
                <w:rFonts w:ascii="Garamond" w:hAnsi="Garamond"/>
                <w:bCs w:val="0"/>
                <w:sz w:val="22"/>
                <w:szCs w:val="22"/>
                <w:highlight w:val="yellow"/>
              </w:rPr>
              <w:t>месяц, ДД</w:t>
            </w:r>
            <w:r w:rsidR="009B5F03" w:rsidRPr="006F6DAC">
              <w:rPr>
                <w:rFonts w:ascii="Garamond" w:hAnsi="Garamond"/>
                <w:bCs w:val="0"/>
                <w:sz w:val="22"/>
                <w:szCs w:val="22"/>
                <w:highlight w:val="yellow"/>
              </w:rPr>
              <w:t xml:space="preserve"> – </w:t>
            </w:r>
            <w:r w:rsidRPr="006F6DAC">
              <w:rPr>
                <w:rFonts w:ascii="Garamond" w:hAnsi="Garamond"/>
                <w:bCs w:val="0"/>
                <w:sz w:val="22"/>
                <w:szCs w:val="22"/>
                <w:highlight w:val="yellow"/>
              </w:rPr>
              <w:t>день.</w:t>
            </w:r>
          </w:p>
          <w:p w14:paraId="093FBABA" w14:textId="77777777" w:rsidR="00F11A8B" w:rsidRPr="006F6DAC" w:rsidRDefault="00F11A8B" w:rsidP="00F11A8B">
            <w:pPr>
              <w:pStyle w:val="a6"/>
              <w:numPr>
                <w:ilvl w:val="2"/>
                <w:numId w:val="250"/>
              </w:numPr>
              <w:tabs>
                <w:tab w:val="clear" w:pos="1440"/>
                <w:tab w:val="left" w:pos="1260"/>
              </w:tabs>
              <w:suppressAutoHyphens w:val="0"/>
              <w:spacing w:before="120" w:after="120"/>
              <w:ind w:left="0" w:right="33" w:firstLine="540"/>
              <w:jc w:val="both"/>
              <w:rPr>
                <w:rFonts w:ascii="Garamond" w:hAnsi="Garamond"/>
                <w:b/>
                <w:bCs w:val="0"/>
                <w:sz w:val="22"/>
                <w:szCs w:val="22"/>
                <w:highlight w:val="yellow"/>
              </w:rPr>
            </w:pPr>
            <w:r w:rsidRPr="006F6DAC">
              <w:rPr>
                <w:rFonts w:ascii="Garamond" w:hAnsi="Garamond"/>
                <w:bCs w:val="0"/>
                <w:sz w:val="22"/>
                <w:szCs w:val="22"/>
                <w:highlight w:val="yellow"/>
              </w:rPr>
              <w:t xml:space="preserve">Элемент </w:t>
            </w:r>
            <w:r w:rsidRPr="006F6DAC">
              <w:rPr>
                <w:rFonts w:ascii="Garamond" w:hAnsi="Garamond"/>
                <w:bCs w:val="0"/>
                <w:sz w:val="22"/>
                <w:szCs w:val="22"/>
                <w:highlight w:val="yellow"/>
                <w:lang w:eastAsia="zh-CN"/>
              </w:rPr>
              <w:t>&lt;</w:t>
            </w:r>
            <w:r w:rsidRPr="006F6DAC">
              <w:rPr>
                <w:rFonts w:ascii="Garamond" w:hAnsi="Garamond"/>
                <w:bCs w:val="0"/>
                <w:sz w:val="22"/>
                <w:szCs w:val="22"/>
                <w:highlight w:val="yellow"/>
                <w:lang w:val="en-US" w:eastAsia="zh-CN"/>
              </w:rPr>
              <w:t>id</w:t>
            </w:r>
            <w:r w:rsidRPr="006F6DAC">
              <w:rPr>
                <w:rFonts w:ascii="Garamond" w:hAnsi="Garamond"/>
                <w:bCs w:val="0"/>
                <w:sz w:val="22"/>
                <w:szCs w:val="22"/>
                <w:highlight w:val="yellow"/>
                <w:lang w:eastAsia="zh-CN"/>
              </w:rPr>
              <w:t>&gt; является обязательным потомком элемента &lt;</w:t>
            </w:r>
            <w:r w:rsidRPr="006F6DAC">
              <w:rPr>
                <w:rFonts w:ascii="Garamond" w:hAnsi="Garamond"/>
                <w:bCs w:val="0"/>
                <w:sz w:val="22"/>
                <w:szCs w:val="22"/>
                <w:highlight w:val="yellow"/>
                <w:lang w:val="en-US" w:eastAsia="zh-CN"/>
              </w:rPr>
              <w:t>file</w:t>
            </w:r>
            <w:r w:rsidRPr="006F6DAC">
              <w:rPr>
                <w:rFonts w:ascii="Garamond" w:hAnsi="Garamond"/>
                <w:bCs w:val="0"/>
                <w:sz w:val="22"/>
                <w:szCs w:val="22"/>
                <w:highlight w:val="yellow"/>
                <w:lang w:eastAsia="zh-CN"/>
              </w:rPr>
              <w:t xml:space="preserve">&gt; и содержит код входящего </w:t>
            </w:r>
            <w:r w:rsidRPr="006F6DAC">
              <w:rPr>
                <w:rFonts w:ascii="Garamond" w:hAnsi="Garamond"/>
                <w:bCs w:val="0"/>
                <w:sz w:val="22"/>
                <w:szCs w:val="22"/>
                <w:highlight w:val="yellow"/>
                <w:lang w:val="en-US" w:eastAsia="zh-CN"/>
              </w:rPr>
              <w:t>XML</w:t>
            </w:r>
            <w:r w:rsidRPr="006F6DAC">
              <w:rPr>
                <w:rFonts w:ascii="Garamond" w:hAnsi="Garamond"/>
                <w:bCs w:val="0"/>
                <w:sz w:val="22"/>
                <w:szCs w:val="22"/>
                <w:highlight w:val="yellow"/>
                <w:lang w:eastAsia="zh-CN"/>
              </w:rPr>
              <w:t xml:space="preserve">-файла в </w:t>
            </w:r>
            <w:r w:rsidRPr="006F6DAC">
              <w:rPr>
                <w:rFonts w:ascii="Garamond" w:hAnsi="Garamond"/>
                <w:sz w:val="22"/>
                <w:szCs w:val="22"/>
                <w:highlight w:val="yellow"/>
              </w:rPr>
              <w:t>ПАК КО</w:t>
            </w:r>
            <w:r w:rsidRPr="006F6DAC">
              <w:rPr>
                <w:rFonts w:ascii="Garamond" w:hAnsi="Garamond"/>
                <w:bCs w:val="0"/>
                <w:sz w:val="22"/>
                <w:szCs w:val="22"/>
                <w:highlight w:val="yellow"/>
                <w:lang w:eastAsia="zh-CN"/>
              </w:rPr>
              <w:t>.</w:t>
            </w:r>
          </w:p>
          <w:p w14:paraId="6CEB1CBA" w14:textId="77777777" w:rsidR="00F11A8B" w:rsidRPr="006F6DAC" w:rsidRDefault="00F11A8B" w:rsidP="00F11A8B">
            <w:pPr>
              <w:pStyle w:val="a6"/>
              <w:numPr>
                <w:ilvl w:val="2"/>
                <w:numId w:val="250"/>
              </w:numPr>
              <w:tabs>
                <w:tab w:val="clear" w:pos="1440"/>
                <w:tab w:val="left" w:pos="1260"/>
              </w:tabs>
              <w:suppressAutoHyphens w:val="0"/>
              <w:spacing w:before="120" w:after="120"/>
              <w:ind w:left="0" w:right="33" w:firstLine="540"/>
              <w:jc w:val="both"/>
              <w:rPr>
                <w:rFonts w:ascii="Garamond" w:hAnsi="Garamond"/>
                <w:b/>
                <w:bCs w:val="0"/>
                <w:sz w:val="22"/>
                <w:szCs w:val="22"/>
                <w:highlight w:val="yellow"/>
              </w:rPr>
            </w:pPr>
            <w:r w:rsidRPr="006F6DAC">
              <w:rPr>
                <w:rFonts w:ascii="Garamond" w:hAnsi="Garamond"/>
                <w:bCs w:val="0"/>
                <w:sz w:val="22"/>
                <w:szCs w:val="22"/>
                <w:highlight w:val="yellow"/>
                <w:lang w:eastAsia="zh-CN"/>
              </w:rPr>
              <w:t>Элемент &lt;</w:t>
            </w:r>
            <w:r w:rsidRPr="006F6DAC">
              <w:rPr>
                <w:rFonts w:ascii="Garamond" w:hAnsi="Garamond"/>
                <w:bCs w:val="0"/>
                <w:sz w:val="22"/>
                <w:szCs w:val="22"/>
                <w:highlight w:val="yellow"/>
                <w:lang w:val="en-US" w:eastAsia="zh-CN"/>
              </w:rPr>
              <w:t>received</w:t>
            </w:r>
            <w:r w:rsidRPr="006F6DAC">
              <w:rPr>
                <w:rFonts w:ascii="Garamond" w:hAnsi="Garamond"/>
                <w:bCs w:val="0"/>
                <w:sz w:val="22"/>
                <w:szCs w:val="22"/>
                <w:highlight w:val="yellow"/>
                <w:lang w:eastAsia="zh-CN"/>
              </w:rPr>
              <w:t>&gt; является обязательным потомком элемента &lt;</w:t>
            </w:r>
            <w:r w:rsidRPr="006F6DAC">
              <w:rPr>
                <w:rFonts w:ascii="Garamond" w:hAnsi="Garamond"/>
                <w:bCs w:val="0"/>
                <w:sz w:val="22"/>
                <w:szCs w:val="22"/>
                <w:highlight w:val="yellow"/>
                <w:lang w:val="en-US" w:eastAsia="zh-CN"/>
              </w:rPr>
              <w:t>file</w:t>
            </w:r>
            <w:r w:rsidRPr="006F6DAC">
              <w:rPr>
                <w:rFonts w:ascii="Garamond" w:hAnsi="Garamond"/>
                <w:bCs w:val="0"/>
                <w:sz w:val="22"/>
                <w:szCs w:val="22"/>
                <w:highlight w:val="yellow"/>
                <w:lang w:eastAsia="zh-CN"/>
              </w:rPr>
              <w:t xml:space="preserve">&gt; и содержит дату получения входящего файла </w:t>
            </w:r>
            <w:r w:rsidRPr="006F6DAC">
              <w:rPr>
                <w:rFonts w:ascii="Garamond" w:hAnsi="Garamond"/>
                <w:sz w:val="22"/>
                <w:szCs w:val="22"/>
                <w:highlight w:val="yellow"/>
              </w:rPr>
              <w:t xml:space="preserve">ПАК КО </w:t>
            </w:r>
            <w:r w:rsidRPr="006F6DAC">
              <w:rPr>
                <w:rFonts w:ascii="Garamond" w:hAnsi="Garamond"/>
                <w:bCs w:val="0"/>
                <w:sz w:val="22"/>
                <w:szCs w:val="22"/>
                <w:highlight w:val="yellow"/>
                <w:lang w:eastAsia="zh-CN"/>
              </w:rPr>
              <w:lastRenderedPageBreak/>
              <w:t xml:space="preserve">в виде ГГГГММДДччммсс, </w:t>
            </w:r>
            <w:r w:rsidRPr="006F6DAC">
              <w:rPr>
                <w:rFonts w:ascii="Garamond" w:hAnsi="Garamond"/>
                <w:bCs w:val="0"/>
                <w:sz w:val="22"/>
                <w:szCs w:val="22"/>
                <w:highlight w:val="yellow"/>
              </w:rPr>
              <w:t>где ГГГГ – год, ММ – месяц, ДД – день, чч – часы в 24-часовом формате, мм – минуты, сс – секунды.</w:t>
            </w:r>
          </w:p>
          <w:p w14:paraId="12B9FD64" w14:textId="77777777" w:rsidR="00F11A8B" w:rsidRPr="006F6DAC" w:rsidRDefault="00F11A8B" w:rsidP="00F11A8B">
            <w:pPr>
              <w:pStyle w:val="a6"/>
              <w:numPr>
                <w:ilvl w:val="2"/>
                <w:numId w:val="250"/>
              </w:numPr>
              <w:tabs>
                <w:tab w:val="clear" w:pos="1440"/>
                <w:tab w:val="left" w:pos="1260"/>
              </w:tabs>
              <w:suppressAutoHyphens w:val="0"/>
              <w:spacing w:before="120" w:after="120"/>
              <w:ind w:left="0" w:right="33" w:firstLine="540"/>
              <w:jc w:val="both"/>
              <w:rPr>
                <w:rFonts w:ascii="Garamond" w:hAnsi="Garamond"/>
                <w:b/>
                <w:bCs w:val="0"/>
                <w:sz w:val="22"/>
                <w:szCs w:val="22"/>
                <w:highlight w:val="yellow"/>
              </w:rPr>
            </w:pPr>
            <w:r w:rsidRPr="006F6DAC">
              <w:rPr>
                <w:rFonts w:ascii="Garamond" w:hAnsi="Garamond"/>
                <w:bCs w:val="0"/>
                <w:sz w:val="22"/>
                <w:szCs w:val="22"/>
                <w:highlight w:val="yellow"/>
                <w:lang w:eastAsia="zh-CN"/>
              </w:rPr>
              <w:t>Элемент &lt;</w:t>
            </w:r>
            <w:r w:rsidRPr="006F6DAC">
              <w:rPr>
                <w:rFonts w:ascii="Garamond" w:hAnsi="Garamond"/>
                <w:bCs w:val="0"/>
                <w:sz w:val="22"/>
                <w:szCs w:val="22"/>
                <w:highlight w:val="yellow"/>
                <w:lang w:val="en-US" w:eastAsia="zh-CN"/>
              </w:rPr>
              <w:t>reply</w:t>
            </w:r>
            <w:r w:rsidRPr="006F6DAC">
              <w:rPr>
                <w:rFonts w:ascii="Garamond" w:hAnsi="Garamond"/>
                <w:bCs w:val="0"/>
                <w:sz w:val="22"/>
                <w:szCs w:val="22"/>
                <w:highlight w:val="yellow"/>
                <w:lang w:eastAsia="zh-CN"/>
              </w:rPr>
              <w:t>&gt; является обязательным потомком корневого элемента &lt;</w:t>
            </w:r>
            <w:r w:rsidRPr="006F6DAC">
              <w:rPr>
                <w:rFonts w:ascii="Garamond" w:hAnsi="Garamond"/>
                <w:bCs w:val="0"/>
                <w:sz w:val="22"/>
                <w:szCs w:val="22"/>
                <w:highlight w:val="yellow"/>
                <w:lang w:val="en-US" w:eastAsia="zh-CN"/>
              </w:rPr>
              <w:t>message</w:t>
            </w:r>
            <w:r w:rsidRPr="006F6DAC">
              <w:rPr>
                <w:rFonts w:ascii="Garamond" w:hAnsi="Garamond"/>
                <w:bCs w:val="0"/>
                <w:sz w:val="22"/>
                <w:szCs w:val="22"/>
                <w:highlight w:val="yellow"/>
                <w:lang w:eastAsia="zh-CN"/>
              </w:rPr>
              <w:t xml:space="preserve">&gt; и содержит информацию по ошибкам файла и статусу его обработки. </w:t>
            </w:r>
            <w:r w:rsidRPr="006F6DAC">
              <w:rPr>
                <w:rFonts w:ascii="Garamond" w:hAnsi="Garamond"/>
                <w:bCs w:val="0"/>
                <w:sz w:val="22"/>
                <w:szCs w:val="22"/>
                <w:highlight w:val="yellow"/>
              </w:rPr>
              <w:t>В документе допускается наличие только одного элемента &lt;</w:t>
            </w:r>
            <w:r w:rsidRPr="006F6DAC">
              <w:rPr>
                <w:rFonts w:ascii="Garamond" w:hAnsi="Garamond"/>
                <w:bCs w:val="0"/>
                <w:sz w:val="22"/>
                <w:szCs w:val="22"/>
                <w:highlight w:val="yellow"/>
                <w:lang w:val="en-US"/>
              </w:rPr>
              <w:t>reply</w:t>
            </w:r>
            <w:r w:rsidRPr="006F6DAC">
              <w:rPr>
                <w:rFonts w:ascii="Garamond" w:hAnsi="Garamond"/>
                <w:bCs w:val="0"/>
                <w:sz w:val="22"/>
                <w:szCs w:val="22"/>
                <w:highlight w:val="yellow"/>
              </w:rPr>
              <w:t xml:space="preserve">&gt;. </w:t>
            </w:r>
            <w:r w:rsidRPr="006F6DAC">
              <w:rPr>
                <w:rFonts w:ascii="Garamond" w:hAnsi="Garamond"/>
                <w:bCs w:val="0"/>
                <w:sz w:val="22"/>
                <w:szCs w:val="22"/>
                <w:highlight w:val="yellow"/>
                <w:lang w:eastAsia="zh-CN"/>
              </w:rPr>
              <w:t>Потомками элемента &lt;</w:t>
            </w:r>
            <w:r w:rsidRPr="006F6DAC">
              <w:rPr>
                <w:rFonts w:ascii="Garamond" w:hAnsi="Garamond"/>
                <w:bCs w:val="0"/>
                <w:sz w:val="22"/>
                <w:szCs w:val="22"/>
                <w:highlight w:val="yellow"/>
                <w:lang w:val="en-US" w:eastAsia="zh-CN"/>
              </w:rPr>
              <w:t>reply</w:t>
            </w:r>
            <w:r w:rsidRPr="006F6DAC">
              <w:rPr>
                <w:rFonts w:ascii="Garamond" w:hAnsi="Garamond"/>
                <w:bCs w:val="0"/>
                <w:sz w:val="22"/>
                <w:szCs w:val="22"/>
                <w:highlight w:val="yellow"/>
                <w:lang w:eastAsia="zh-CN"/>
              </w:rPr>
              <w:t>&gt; являются элементы &lt;</w:t>
            </w:r>
            <w:r w:rsidRPr="006F6DAC">
              <w:rPr>
                <w:rFonts w:ascii="Garamond" w:hAnsi="Garamond"/>
                <w:bCs w:val="0"/>
                <w:sz w:val="22"/>
                <w:szCs w:val="22"/>
                <w:highlight w:val="yellow"/>
                <w:lang w:val="en-US" w:eastAsia="zh-CN"/>
              </w:rPr>
              <w:t>error</w:t>
            </w:r>
            <w:r w:rsidRPr="006F6DAC">
              <w:rPr>
                <w:rFonts w:ascii="Garamond" w:hAnsi="Garamond"/>
                <w:bCs w:val="0"/>
                <w:sz w:val="22"/>
                <w:szCs w:val="22"/>
                <w:highlight w:val="yellow"/>
                <w:lang w:eastAsia="zh-CN"/>
              </w:rPr>
              <w:t>&gt;.</w:t>
            </w:r>
          </w:p>
          <w:p w14:paraId="043A9583" w14:textId="77777777" w:rsidR="00F11A8B" w:rsidRPr="006F6DAC" w:rsidRDefault="00F11A8B" w:rsidP="00F11A8B">
            <w:pPr>
              <w:pStyle w:val="a6"/>
              <w:numPr>
                <w:ilvl w:val="2"/>
                <w:numId w:val="250"/>
              </w:numPr>
              <w:tabs>
                <w:tab w:val="clear" w:pos="1440"/>
                <w:tab w:val="left" w:pos="1260"/>
              </w:tabs>
              <w:suppressAutoHyphens w:val="0"/>
              <w:spacing w:before="120" w:after="120"/>
              <w:ind w:left="0" w:right="33" w:firstLine="540"/>
              <w:jc w:val="both"/>
              <w:rPr>
                <w:rFonts w:ascii="Garamond" w:hAnsi="Garamond"/>
                <w:b/>
                <w:bCs w:val="0"/>
                <w:sz w:val="22"/>
                <w:szCs w:val="22"/>
                <w:highlight w:val="yellow"/>
              </w:rPr>
            </w:pPr>
            <w:r w:rsidRPr="006F6DAC">
              <w:rPr>
                <w:rFonts w:ascii="Garamond" w:hAnsi="Garamond"/>
                <w:bCs w:val="0"/>
                <w:sz w:val="22"/>
                <w:szCs w:val="22"/>
                <w:highlight w:val="yellow"/>
                <w:lang w:eastAsia="zh-CN"/>
              </w:rPr>
              <w:t xml:space="preserve">Атрибут </w:t>
            </w:r>
            <w:r w:rsidRPr="006F6DAC">
              <w:rPr>
                <w:rFonts w:ascii="Garamond" w:hAnsi="Garamond"/>
                <w:bCs w:val="0"/>
                <w:sz w:val="22"/>
                <w:szCs w:val="22"/>
                <w:highlight w:val="yellow"/>
                <w:lang w:val="en-US" w:eastAsia="zh-CN"/>
              </w:rPr>
              <w:t>filestatus</w:t>
            </w:r>
            <w:r w:rsidRPr="006F6DAC">
              <w:rPr>
                <w:rFonts w:ascii="Garamond" w:hAnsi="Garamond"/>
                <w:bCs w:val="0"/>
                <w:sz w:val="22"/>
                <w:szCs w:val="22"/>
                <w:highlight w:val="yellow"/>
                <w:lang w:eastAsia="zh-CN"/>
              </w:rPr>
              <w:t xml:space="preserve"> элемента &lt;</w:t>
            </w:r>
            <w:r w:rsidRPr="006F6DAC">
              <w:rPr>
                <w:rFonts w:ascii="Garamond" w:hAnsi="Garamond"/>
                <w:bCs w:val="0"/>
                <w:sz w:val="22"/>
                <w:szCs w:val="22"/>
                <w:highlight w:val="yellow"/>
                <w:lang w:val="en-US" w:eastAsia="zh-CN"/>
              </w:rPr>
              <w:t>reply</w:t>
            </w:r>
            <w:r w:rsidRPr="006F6DAC">
              <w:rPr>
                <w:rFonts w:ascii="Garamond" w:hAnsi="Garamond"/>
                <w:bCs w:val="0"/>
                <w:sz w:val="22"/>
                <w:szCs w:val="22"/>
                <w:highlight w:val="yellow"/>
                <w:lang w:eastAsia="zh-CN"/>
              </w:rPr>
              <w:t xml:space="preserve">&gt; является необязательным и содержит цифровой код статуса обработки файла. Может принимать следующие значения: 0 </w:t>
            </w:r>
            <w:r w:rsidRPr="006F6DAC">
              <w:rPr>
                <w:rFonts w:ascii="Garamond" w:hAnsi="Garamond"/>
                <w:bCs w:val="0"/>
                <w:sz w:val="22"/>
                <w:szCs w:val="22"/>
                <w:highlight w:val="yellow"/>
              </w:rPr>
              <w:t xml:space="preserve">― </w:t>
            </w:r>
            <w:r w:rsidRPr="006F6DAC">
              <w:rPr>
                <w:rFonts w:ascii="Garamond" w:hAnsi="Garamond"/>
                <w:bCs w:val="0"/>
                <w:sz w:val="22"/>
                <w:szCs w:val="22"/>
                <w:highlight w:val="yellow"/>
                <w:lang w:eastAsia="zh-CN"/>
              </w:rPr>
              <w:t xml:space="preserve">ошибок при обработке не обнаружено, данные приняты; 3 </w:t>
            </w:r>
            <w:r w:rsidRPr="006F6DAC">
              <w:rPr>
                <w:rFonts w:ascii="Garamond" w:hAnsi="Garamond"/>
                <w:bCs w:val="0"/>
                <w:sz w:val="22"/>
                <w:szCs w:val="22"/>
                <w:highlight w:val="yellow"/>
              </w:rPr>
              <w:t>―</w:t>
            </w:r>
            <w:r w:rsidRPr="006F6DAC">
              <w:rPr>
                <w:rFonts w:ascii="Garamond" w:hAnsi="Garamond"/>
                <w:bCs w:val="0"/>
                <w:sz w:val="22"/>
                <w:szCs w:val="22"/>
                <w:highlight w:val="yellow"/>
                <w:lang w:eastAsia="zh-CN"/>
              </w:rPr>
              <w:t xml:space="preserve"> файл содержал ошибки, весь файл либо некоторые данные не были приняты.</w:t>
            </w:r>
          </w:p>
          <w:p w14:paraId="56866E32" w14:textId="77777777" w:rsidR="00F11A8B" w:rsidRPr="006F6DAC" w:rsidRDefault="00F11A8B" w:rsidP="00F11A8B">
            <w:pPr>
              <w:pStyle w:val="a6"/>
              <w:numPr>
                <w:ilvl w:val="2"/>
                <w:numId w:val="250"/>
              </w:numPr>
              <w:tabs>
                <w:tab w:val="clear" w:pos="1440"/>
                <w:tab w:val="left" w:pos="1260"/>
              </w:tabs>
              <w:suppressAutoHyphens w:val="0"/>
              <w:spacing w:before="120" w:after="120"/>
              <w:ind w:left="0" w:right="33" w:firstLine="540"/>
              <w:jc w:val="both"/>
              <w:rPr>
                <w:rFonts w:ascii="Garamond" w:hAnsi="Garamond"/>
                <w:b/>
                <w:bCs w:val="0"/>
                <w:sz w:val="22"/>
                <w:szCs w:val="22"/>
                <w:highlight w:val="yellow"/>
              </w:rPr>
            </w:pPr>
            <w:r w:rsidRPr="006F6DAC">
              <w:rPr>
                <w:rFonts w:ascii="Garamond" w:hAnsi="Garamond"/>
                <w:bCs w:val="0"/>
                <w:sz w:val="22"/>
                <w:szCs w:val="22"/>
                <w:highlight w:val="yellow"/>
                <w:lang w:eastAsia="zh-CN"/>
              </w:rPr>
              <w:t xml:space="preserve">Атрибут </w:t>
            </w:r>
            <w:r w:rsidRPr="006F6DAC">
              <w:rPr>
                <w:rFonts w:ascii="Garamond" w:hAnsi="Garamond"/>
                <w:bCs w:val="0"/>
                <w:sz w:val="22"/>
                <w:szCs w:val="22"/>
                <w:highlight w:val="yellow"/>
                <w:lang w:val="en-US" w:eastAsia="zh-CN"/>
              </w:rPr>
              <w:t>desc</w:t>
            </w:r>
            <w:r w:rsidRPr="006F6DAC">
              <w:rPr>
                <w:rFonts w:ascii="Garamond" w:hAnsi="Garamond"/>
                <w:bCs w:val="0"/>
                <w:sz w:val="22"/>
                <w:szCs w:val="22"/>
                <w:highlight w:val="yellow"/>
                <w:lang w:eastAsia="zh-CN"/>
              </w:rPr>
              <w:t xml:space="preserve"> элемента &lt;</w:t>
            </w:r>
            <w:r w:rsidRPr="006F6DAC">
              <w:rPr>
                <w:rFonts w:ascii="Garamond" w:hAnsi="Garamond"/>
                <w:bCs w:val="0"/>
                <w:sz w:val="22"/>
                <w:szCs w:val="22"/>
                <w:highlight w:val="yellow"/>
                <w:lang w:val="en-US" w:eastAsia="zh-CN"/>
              </w:rPr>
              <w:t>reply</w:t>
            </w:r>
            <w:r w:rsidRPr="006F6DAC">
              <w:rPr>
                <w:rFonts w:ascii="Garamond" w:hAnsi="Garamond"/>
                <w:bCs w:val="0"/>
                <w:sz w:val="22"/>
                <w:szCs w:val="22"/>
                <w:highlight w:val="yellow"/>
                <w:lang w:eastAsia="zh-CN"/>
              </w:rPr>
              <w:t xml:space="preserve">&gt; является необязательным и содержит короткое текстовое описание кода статуса обработки из атрибута </w:t>
            </w:r>
            <w:r w:rsidRPr="006F6DAC">
              <w:rPr>
                <w:rFonts w:ascii="Garamond" w:hAnsi="Garamond"/>
                <w:bCs w:val="0"/>
                <w:sz w:val="22"/>
                <w:szCs w:val="22"/>
                <w:highlight w:val="yellow"/>
                <w:lang w:val="en-US" w:eastAsia="zh-CN"/>
              </w:rPr>
              <w:t>filestatus</w:t>
            </w:r>
            <w:r w:rsidRPr="006F6DAC">
              <w:rPr>
                <w:rFonts w:ascii="Garamond" w:hAnsi="Garamond"/>
                <w:bCs w:val="0"/>
                <w:sz w:val="22"/>
                <w:szCs w:val="22"/>
                <w:highlight w:val="yellow"/>
                <w:lang w:eastAsia="zh-CN"/>
              </w:rPr>
              <w:t>.</w:t>
            </w:r>
          </w:p>
          <w:p w14:paraId="7E3E696C" w14:textId="77777777" w:rsidR="00F11A8B" w:rsidRPr="006F6DAC" w:rsidRDefault="00F11A8B" w:rsidP="00F11A8B">
            <w:pPr>
              <w:pStyle w:val="a6"/>
              <w:numPr>
                <w:ilvl w:val="2"/>
                <w:numId w:val="250"/>
              </w:numPr>
              <w:tabs>
                <w:tab w:val="clear" w:pos="1440"/>
                <w:tab w:val="left" w:pos="1260"/>
              </w:tabs>
              <w:suppressAutoHyphens w:val="0"/>
              <w:spacing w:before="120" w:after="120"/>
              <w:ind w:left="0" w:right="33" w:firstLine="540"/>
              <w:jc w:val="both"/>
              <w:rPr>
                <w:rFonts w:ascii="Garamond" w:hAnsi="Garamond"/>
                <w:b/>
                <w:bCs w:val="0"/>
                <w:sz w:val="22"/>
                <w:szCs w:val="22"/>
                <w:highlight w:val="yellow"/>
              </w:rPr>
            </w:pPr>
            <w:r w:rsidRPr="006F6DAC">
              <w:rPr>
                <w:rFonts w:ascii="Garamond" w:hAnsi="Garamond"/>
                <w:bCs w:val="0"/>
                <w:sz w:val="22"/>
                <w:szCs w:val="22"/>
                <w:highlight w:val="yellow"/>
                <w:lang w:eastAsia="zh-CN"/>
              </w:rPr>
              <w:t>Элемент &lt;</w:t>
            </w:r>
            <w:r w:rsidRPr="006F6DAC">
              <w:rPr>
                <w:rFonts w:ascii="Garamond" w:hAnsi="Garamond"/>
                <w:bCs w:val="0"/>
                <w:sz w:val="22"/>
                <w:szCs w:val="22"/>
                <w:highlight w:val="yellow"/>
                <w:lang w:val="en-US" w:eastAsia="zh-CN"/>
              </w:rPr>
              <w:t>error</w:t>
            </w:r>
            <w:r w:rsidRPr="006F6DAC">
              <w:rPr>
                <w:rFonts w:ascii="Garamond" w:hAnsi="Garamond"/>
                <w:bCs w:val="0"/>
                <w:sz w:val="22"/>
                <w:szCs w:val="22"/>
                <w:highlight w:val="yellow"/>
                <w:lang w:eastAsia="zh-CN"/>
              </w:rPr>
              <w:t>&gt; является необязательным потомком элемента &lt;</w:t>
            </w:r>
            <w:r w:rsidRPr="006F6DAC">
              <w:rPr>
                <w:rFonts w:ascii="Garamond" w:hAnsi="Garamond"/>
                <w:bCs w:val="0"/>
                <w:sz w:val="22"/>
                <w:szCs w:val="22"/>
                <w:highlight w:val="yellow"/>
                <w:lang w:val="en-US" w:eastAsia="zh-CN"/>
              </w:rPr>
              <w:t>reply</w:t>
            </w:r>
            <w:r w:rsidRPr="006F6DAC">
              <w:rPr>
                <w:rFonts w:ascii="Garamond" w:hAnsi="Garamond"/>
                <w:bCs w:val="0"/>
                <w:sz w:val="22"/>
                <w:szCs w:val="22"/>
                <w:highlight w:val="yellow"/>
                <w:lang w:eastAsia="zh-CN"/>
              </w:rPr>
              <w:t xml:space="preserve">&gt; и содержит текст ошибки, найденной во входящем файле. </w:t>
            </w:r>
          </w:p>
          <w:p w14:paraId="3B5F5EB4" w14:textId="77777777" w:rsidR="00F11A8B" w:rsidRPr="006F6DAC" w:rsidRDefault="00F11A8B" w:rsidP="00F11A8B">
            <w:pPr>
              <w:pStyle w:val="a6"/>
              <w:numPr>
                <w:ilvl w:val="2"/>
                <w:numId w:val="250"/>
              </w:numPr>
              <w:tabs>
                <w:tab w:val="clear" w:pos="1440"/>
                <w:tab w:val="left" w:pos="1260"/>
              </w:tabs>
              <w:suppressAutoHyphens w:val="0"/>
              <w:spacing w:before="120" w:after="120"/>
              <w:ind w:left="0" w:right="33" w:firstLine="540"/>
              <w:jc w:val="both"/>
              <w:rPr>
                <w:rFonts w:ascii="Garamond" w:hAnsi="Garamond"/>
                <w:b/>
                <w:bCs w:val="0"/>
                <w:sz w:val="22"/>
                <w:szCs w:val="22"/>
                <w:highlight w:val="yellow"/>
              </w:rPr>
            </w:pPr>
            <w:r w:rsidRPr="006F6DAC">
              <w:rPr>
                <w:rFonts w:ascii="Garamond" w:hAnsi="Garamond"/>
                <w:bCs w:val="0"/>
                <w:sz w:val="22"/>
                <w:szCs w:val="22"/>
                <w:highlight w:val="yellow"/>
                <w:lang w:eastAsia="zh-CN"/>
              </w:rPr>
              <w:t xml:space="preserve">Атрибут </w:t>
            </w:r>
            <w:r w:rsidRPr="006F6DAC">
              <w:rPr>
                <w:rFonts w:ascii="Garamond" w:hAnsi="Garamond"/>
                <w:bCs w:val="0"/>
                <w:sz w:val="22"/>
                <w:szCs w:val="22"/>
                <w:highlight w:val="yellow"/>
                <w:lang w:val="en-US" w:eastAsia="zh-CN"/>
              </w:rPr>
              <w:t>type</w:t>
            </w:r>
            <w:r w:rsidRPr="006F6DAC">
              <w:rPr>
                <w:rFonts w:ascii="Garamond" w:hAnsi="Garamond"/>
                <w:bCs w:val="0"/>
                <w:sz w:val="22"/>
                <w:szCs w:val="22"/>
                <w:highlight w:val="yellow"/>
                <w:lang w:eastAsia="zh-CN"/>
              </w:rPr>
              <w:t xml:space="preserve"> элемента &lt;</w:t>
            </w:r>
            <w:r w:rsidRPr="006F6DAC">
              <w:rPr>
                <w:rFonts w:ascii="Garamond" w:hAnsi="Garamond"/>
                <w:bCs w:val="0"/>
                <w:sz w:val="22"/>
                <w:szCs w:val="22"/>
                <w:highlight w:val="yellow"/>
                <w:lang w:val="en-US" w:eastAsia="zh-CN"/>
              </w:rPr>
              <w:t>error</w:t>
            </w:r>
            <w:r w:rsidRPr="006F6DAC">
              <w:rPr>
                <w:rFonts w:ascii="Garamond" w:hAnsi="Garamond"/>
                <w:bCs w:val="0"/>
                <w:sz w:val="22"/>
                <w:szCs w:val="22"/>
                <w:highlight w:val="yellow"/>
                <w:lang w:eastAsia="zh-CN"/>
              </w:rPr>
              <w:t>&gt; является необязательным и содержит цифровой код типа ошибки.</w:t>
            </w:r>
          </w:p>
          <w:p w14:paraId="54C0ECA4" w14:textId="77777777" w:rsidR="00F11A8B" w:rsidRPr="006F6DAC" w:rsidRDefault="00F11A8B" w:rsidP="00F11A8B">
            <w:pPr>
              <w:pStyle w:val="a6"/>
              <w:numPr>
                <w:ilvl w:val="2"/>
                <w:numId w:val="250"/>
              </w:numPr>
              <w:tabs>
                <w:tab w:val="clear" w:pos="1440"/>
                <w:tab w:val="left" w:pos="1260"/>
              </w:tabs>
              <w:suppressAutoHyphens w:val="0"/>
              <w:spacing w:before="120" w:after="120"/>
              <w:ind w:left="0" w:right="33" w:firstLine="540"/>
              <w:jc w:val="both"/>
              <w:rPr>
                <w:rFonts w:ascii="Garamond" w:hAnsi="Garamond"/>
                <w:b/>
                <w:bCs w:val="0"/>
                <w:sz w:val="22"/>
                <w:szCs w:val="22"/>
                <w:highlight w:val="yellow"/>
              </w:rPr>
            </w:pPr>
            <w:r w:rsidRPr="006F6DAC">
              <w:rPr>
                <w:rFonts w:ascii="Garamond" w:hAnsi="Garamond"/>
                <w:sz w:val="22"/>
                <w:szCs w:val="22"/>
                <w:highlight w:val="yellow"/>
                <w:lang w:eastAsia="zh-CN"/>
              </w:rPr>
              <w:t xml:space="preserve">Атрибут </w:t>
            </w:r>
            <w:r w:rsidRPr="006F6DAC">
              <w:rPr>
                <w:rFonts w:ascii="Garamond" w:hAnsi="Garamond"/>
                <w:sz w:val="22"/>
                <w:szCs w:val="22"/>
                <w:highlight w:val="yellow"/>
                <w:lang w:val="en-US" w:eastAsia="zh-CN"/>
              </w:rPr>
              <w:t>subtype</w:t>
            </w:r>
            <w:r w:rsidRPr="006F6DAC">
              <w:rPr>
                <w:rFonts w:ascii="Garamond" w:hAnsi="Garamond"/>
                <w:sz w:val="22"/>
                <w:szCs w:val="22"/>
                <w:highlight w:val="yellow"/>
                <w:lang w:eastAsia="zh-CN"/>
              </w:rPr>
              <w:t xml:space="preserve"> элемента &lt;</w:t>
            </w:r>
            <w:r w:rsidRPr="006F6DAC">
              <w:rPr>
                <w:rFonts w:ascii="Garamond" w:hAnsi="Garamond"/>
                <w:sz w:val="22"/>
                <w:szCs w:val="22"/>
                <w:highlight w:val="yellow"/>
                <w:lang w:val="en-US" w:eastAsia="zh-CN"/>
              </w:rPr>
              <w:t>error</w:t>
            </w:r>
            <w:r w:rsidRPr="006F6DAC">
              <w:rPr>
                <w:rFonts w:ascii="Garamond" w:hAnsi="Garamond"/>
                <w:sz w:val="22"/>
                <w:szCs w:val="22"/>
                <w:highlight w:val="yellow"/>
                <w:lang w:eastAsia="zh-CN"/>
              </w:rPr>
              <w:t>&gt; является необязательным и содержит цифровой код подтипа ошибки.</w:t>
            </w:r>
          </w:p>
          <w:p w14:paraId="084333D6" w14:textId="77777777" w:rsidR="00F11A8B" w:rsidRPr="006F6DAC" w:rsidRDefault="00F11A8B" w:rsidP="00F11A8B">
            <w:pPr>
              <w:tabs>
                <w:tab w:val="left" w:pos="1260"/>
              </w:tabs>
              <w:spacing w:before="120" w:after="120"/>
              <w:ind w:right="33" w:firstLine="540"/>
              <w:rPr>
                <w:rFonts w:ascii="Garamond" w:hAnsi="Garamond" w:cs="Courier New CYR"/>
                <w:b/>
                <w:sz w:val="22"/>
                <w:szCs w:val="22"/>
                <w:highlight w:val="yellow"/>
                <w:lang w:val="en-US"/>
              </w:rPr>
            </w:pPr>
            <w:r w:rsidRPr="006F6DAC">
              <w:rPr>
                <w:rFonts w:ascii="Garamond" w:hAnsi="Garamond" w:cs="Courier New CYR"/>
                <w:b/>
                <w:sz w:val="22"/>
                <w:szCs w:val="22"/>
                <w:highlight w:val="yellow"/>
                <w:lang w:val="en-US"/>
              </w:rPr>
              <w:t xml:space="preserve">5. </w:t>
            </w:r>
            <w:r w:rsidRPr="006F6DAC">
              <w:rPr>
                <w:rFonts w:ascii="Garamond" w:hAnsi="Garamond" w:cs="Courier New CYR"/>
                <w:b/>
                <w:sz w:val="22"/>
                <w:szCs w:val="22"/>
                <w:highlight w:val="yellow"/>
              </w:rPr>
              <w:t>Пример</w:t>
            </w:r>
            <w:r w:rsidRPr="006F6DAC">
              <w:rPr>
                <w:rFonts w:ascii="Garamond" w:hAnsi="Garamond" w:cs="Courier New CYR"/>
                <w:b/>
                <w:sz w:val="22"/>
                <w:szCs w:val="22"/>
                <w:highlight w:val="yellow"/>
                <w:lang w:val="en-US"/>
              </w:rPr>
              <w:t xml:space="preserve"> </w:t>
            </w:r>
            <w:r w:rsidRPr="006F6DAC">
              <w:rPr>
                <w:rFonts w:ascii="Garamond" w:hAnsi="Garamond" w:cs="Courier New CYR"/>
                <w:b/>
                <w:sz w:val="22"/>
                <w:szCs w:val="22"/>
                <w:highlight w:val="yellow"/>
              </w:rPr>
              <w:t>макета</w:t>
            </w:r>
            <w:r w:rsidRPr="006F6DAC">
              <w:rPr>
                <w:rFonts w:ascii="Garamond" w:hAnsi="Garamond" w:cs="Courier New CYR"/>
                <w:b/>
                <w:sz w:val="22"/>
                <w:szCs w:val="22"/>
                <w:highlight w:val="yellow"/>
                <w:lang w:val="en-US"/>
              </w:rPr>
              <w:t xml:space="preserve"> 70000</w:t>
            </w:r>
          </w:p>
          <w:p w14:paraId="15284D92" w14:textId="77777777" w:rsidR="00F11A8B" w:rsidRPr="006F6DAC" w:rsidRDefault="00F11A8B" w:rsidP="00F11A8B">
            <w:pPr>
              <w:spacing w:before="120" w:after="120"/>
              <w:ind w:right="33"/>
              <w:rPr>
                <w:rFonts w:ascii="Garamond" w:hAnsi="Garamond" w:cs="Courier New CYR"/>
                <w:sz w:val="22"/>
                <w:szCs w:val="22"/>
                <w:highlight w:val="yellow"/>
                <w:lang w:val="en-US"/>
              </w:rPr>
            </w:pPr>
            <w:r w:rsidRPr="006F6DAC">
              <w:rPr>
                <w:rFonts w:ascii="Garamond" w:hAnsi="Garamond" w:cs="Courier New CYR"/>
                <w:sz w:val="22"/>
                <w:szCs w:val="22"/>
                <w:highlight w:val="yellow"/>
                <w:lang w:val="en-US"/>
              </w:rPr>
              <w:t>&lt;?xml version="1.0" encoding="windows-1251" standalone="no"?&gt;</w:t>
            </w:r>
          </w:p>
          <w:p w14:paraId="46348FB0" w14:textId="77777777" w:rsidR="00F11A8B" w:rsidRPr="006F6DAC" w:rsidRDefault="00F11A8B" w:rsidP="00F11A8B">
            <w:pPr>
              <w:spacing w:before="120" w:after="120"/>
              <w:ind w:right="33"/>
              <w:rPr>
                <w:rFonts w:ascii="Garamond" w:hAnsi="Garamond" w:cs="Courier New CYR"/>
                <w:sz w:val="22"/>
                <w:szCs w:val="22"/>
                <w:highlight w:val="yellow"/>
                <w:lang w:val="en-US"/>
              </w:rPr>
            </w:pPr>
            <w:r w:rsidRPr="006F6DAC">
              <w:rPr>
                <w:rFonts w:ascii="Garamond" w:hAnsi="Garamond" w:cs="Courier New CYR"/>
                <w:sz w:val="22"/>
                <w:szCs w:val="22"/>
                <w:highlight w:val="yellow"/>
                <w:lang w:val="en-US"/>
              </w:rPr>
              <w:t>&lt;message class="70000" version="1" generationtime="20101014093344GMT+03"&gt;</w:t>
            </w:r>
          </w:p>
          <w:p w14:paraId="69792EDF" w14:textId="77777777" w:rsidR="00F11A8B" w:rsidRPr="006F6DAC" w:rsidRDefault="00F11A8B" w:rsidP="00F11A8B">
            <w:pPr>
              <w:spacing w:before="120" w:after="120"/>
              <w:ind w:right="33"/>
              <w:rPr>
                <w:rFonts w:ascii="Garamond" w:hAnsi="Garamond" w:cs="Courier New CYR"/>
                <w:sz w:val="22"/>
                <w:szCs w:val="22"/>
                <w:highlight w:val="yellow"/>
              </w:rPr>
            </w:pPr>
            <w:r w:rsidRPr="006F6DAC">
              <w:rPr>
                <w:rFonts w:ascii="Garamond" w:hAnsi="Garamond" w:cs="Courier New CYR"/>
                <w:sz w:val="22"/>
                <w:szCs w:val="22"/>
                <w:highlight w:val="yellow"/>
                <w:lang w:val="en-US"/>
              </w:rPr>
              <w:t xml:space="preserve"> </w:t>
            </w:r>
            <w:r w:rsidRPr="006F6DAC">
              <w:rPr>
                <w:rFonts w:ascii="Garamond" w:hAnsi="Garamond" w:cs="Courier New CYR"/>
                <w:sz w:val="22"/>
                <w:szCs w:val="22"/>
                <w:highlight w:val="yellow"/>
              </w:rPr>
              <w:t>&lt;organization inn="1234567890" name="Некоторая организация"&gt;</w:t>
            </w:r>
          </w:p>
          <w:p w14:paraId="69081C57" w14:textId="77777777" w:rsidR="00F11A8B" w:rsidRPr="006F6DAC" w:rsidRDefault="00F11A8B" w:rsidP="00F11A8B">
            <w:pPr>
              <w:spacing w:before="120" w:after="120"/>
              <w:ind w:right="33"/>
              <w:rPr>
                <w:rFonts w:ascii="Garamond" w:hAnsi="Garamond" w:cs="Courier New CYR"/>
                <w:sz w:val="22"/>
                <w:szCs w:val="22"/>
                <w:highlight w:val="yellow"/>
                <w:lang w:val="en-US"/>
              </w:rPr>
            </w:pPr>
            <w:r w:rsidRPr="006F6DAC">
              <w:rPr>
                <w:rFonts w:ascii="Garamond" w:hAnsi="Garamond" w:cs="Courier New CYR"/>
                <w:sz w:val="22"/>
                <w:szCs w:val="22"/>
                <w:highlight w:val="yellow"/>
              </w:rPr>
              <w:t xml:space="preserve"> </w:t>
            </w:r>
            <w:r w:rsidRPr="006F6DAC">
              <w:rPr>
                <w:rFonts w:ascii="Garamond" w:hAnsi="Garamond" w:cs="Courier New CYR"/>
                <w:sz w:val="22"/>
                <w:szCs w:val="22"/>
                <w:highlight w:val="yellow"/>
                <w:lang w:val="en-US"/>
              </w:rPr>
              <w:t xml:space="preserve">&lt;/organization&gt; </w:t>
            </w:r>
          </w:p>
          <w:p w14:paraId="7734350E" w14:textId="77777777" w:rsidR="00F11A8B" w:rsidRPr="006F6DAC" w:rsidRDefault="00F11A8B" w:rsidP="00F11A8B">
            <w:pPr>
              <w:spacing w:before="120" w:after="120"/>
              <w:ind w:right="33"/>
              <w:rPr>
                <w:rFonts w:ascii="Garamond" w:hAnsi="Garamond" w:cs="Courier New CYR"/>
                <w:sz w:val="22"/>
                <w:szCs w:val="22"/>
                <w:highlight w:val="yellow"/>
                <w:lang w:val="en-US"/>
              </w:rPr>
            </w:pPr>
            <w:r w:rsidRPr="006F6DAC">
              <w:rPr>
                <w:rFonts w:ascii="Garamond" w:hAnsi="Garamond" w:cs="Courier New CYR"/>
                <w:sz w:val="22"/>
                <w:szCs w:val="22"/>
                <w:highlight w:val="yellow"/>
                <w:lang w:val="en-US"/>
              </w:rPr>
              <w:t xml:space="preserve"> &lt;aiis aiiscode="7700001110" name="</w:t>
            </w:r>
            <w:r w:rsidRPr="006F6DAC">
              <w:rPr>
                <w:rFonts w:ascii="Garamond" w:hAnsi="Garamond" w:cs="Courier New CYR"/>
                <w:sz w:val="22"/>
                <w:szCs w:val="22"/>
                <w:highlight w:val="yellow"/>
              </w:rPr>
              <w:t>Некоторая</w:t>
            </w:r>
            <w:r w:rsidRPr="006F6DAC">
              <w:rPr>
                <w:rFonts w:ascii="Garamond" w:hAnsi="Garamond" w:cs="Courier New CYR"/>
                <w:sz w:val="22"/>
                <w:szCs w:val="22"/>
                <w:highlight w:val="yellow"/>
                <w:lang w:val="en-US"/>
              </w:rPr>
              <w:t xml:space="preserve"> </w:t>
            </w:r>
            <w:r w:rsidRPr="006F6DAC">
              <w:rPr>
                <w:rFonts w:ascii="Garamond" w:hAnsi="Garamond" w:cs="Courier New CYR"/>
                <w:sz w:val="22"/>
                <w:szCs w:val="22"/>
                <w:highlight w:val="yellow"/>
              </w:rPr>
              <w:t>ГРЭС</w:t>
            </w:r>
            <w:r w:rsidRPr="006F6DAC">
              <w:rPr>
                <w:rFonts w:ascii="Garamond" w:hAnsi="Garamond" w:cs="Courier New CYR"/>
                <w:sz w:val="22"/>
                <w:szCs w:val="22"/>
                <w:highlight w:val="yellow"/>
                <w:lang w:val="en-US"/>
              </w:rPr>
              <w:t xml:space="preserve"> 1" ODU="6" areacode="7700001111"&gt;</w:t>
            </w:r>
          </w:p>
          <w:p w14:paraId="28E4592B" w14:textId="77777777" w:rsidR="00F11A8B" w:rsidRPr="006F6DAC" w:rsidRDefault="00F11A8B" w:rsidP="00F11A8B">
            <w:pPr>
              <w:spacing w:before="120" w:after="120"/>
              <w:ind w:right="33"/>
              <w:rPr>
                <w:rFonts w:ascii="Garamond" w:hAnsi="Garamond" w:cs="Courier New CYR"/>
                <w:sz w:val="22"/>
                <w:szCs w:val="22"/>
                <w:highlight w:val="yellow"/>
              </w:rPr>
            </w:pPr>
            <w:r w:rsidRPr="006F6DAC">
              <w:rPr>
                <w:rFonts w:ascii="Garamond" w:hAnsi="Garamond" w:cs="Courier New CYR"/>
                <w:sz w:val="22"/>
                <w:szCs w:val="22"/>
                <w:highlight w:val="yellow"/>
                <w:lang w:val="en-US"/>
              </w:rPr>
              <w:t xml:space="preserve"> </w:t>
            </w:r>
            <w:r w:rsidRPr="006F6DAC">
              <w:rPr>
                <w:rFonts w:ascii="Garamond" w:hAnsi="Garamond" w:cs="Courier New CYR"/>
                <w:sz w:val="22"/>
                <w:szCs w:val="22"/>
                <w:highlight w:val="yellow"/>
              </w:rPr>
              <w:t>&lt;/</w:t>
            </w:r>
            <w:r w:rsidRPr="006F6DAC">
              <w:rPr>
                <w:rFonts w:ascii="Garamond" w:hAnsi="Garamond" w:cs="Courier New CYR"/>
                <w:sz w:val="22"/>
                <w:szCs w:val="22"/>
                <w:highlight w:val="yellow"/>
                <w:lang w:val="en-US"/>
              </w:rPr>
              <w:t>aiis</w:t>
            </w:r>
            <w:r w:rsidRPr="006F6DAC">
              <w:rPr>
                <w:rFonts w:ascii="Garamond" w:hAnsi="Garamond" w:cs="Courier New CYR"/>
                <w:sz w:val="22"/>
                <w:szCs w:val="22"/>
                <w:highlight w:val="yellow"/>
              </w:rPr>
              <w:t>&gt;</w:t>
            </w:r>
          </w:p>
          <w:p w14:paraId="5B3D7C7E" w14:textId="77777777" w:rsidR="00F11A8B" w:rsidRPr="006F6DAC" w:rsidRDefault="00F11A8B" w:rsidP="00F11A8B">
            <w:pPr>
              <w:pStyle w:val="3"/>
              <w:keepLines/>
              <w:numPr>
                <w:ilvl w:val="0"/>
                <w:numId w:val="0"/>
              </w:numPr>
              <w:suppressAutoHyphens w:val="0"/>
              <w:spacing w:line="259" w:lineRule="auto"/>
              <w:ind w:right="33"/>
              <w:jc w:val="both"/>
              <w:rPr>
                <w:rFonts w:ascii="Garamond" w:hAnsi="Garamond"/>
                <w:b w:val="0"/>
                <w:color w:val="auto"/>
                <w:sz w:val="22"/>
                <w:szCs w:val="22"/>
              </w:rPr>
            </w:pPr>
            <w:r w:rsidRPr="006F6DAC">
              <w:rPr>
                <w:rFonts w:ascii="Garamond" w:hAnsi="Garamond" w:cs="Courier New CYR"/>
                <w:b w:val="0"/>
                <w:color w:val="auto"/>
                <w:sz w:val="22"/>
                <w:szCs w:val="22"/>
                <w:highlight w:val="yellow"/>
              </w:rPr>
              <w:lastRenderedPageBreak/>
              <w:t>&lt;/message&gt;</w:t>
            </w:r>
          </w:p>
        </w:tc>
        <w:tc>
          <w:tcPr>
            <w:tcW w:w="7115" w:type="dxa"/>
          </w:tcPr>
          <w:p w14:paraId="60DDDE9D" w14:textId="77777777" w:rsidR="00F11A8B" w:rsidRPr="006F6DAC" w:rsidRDefault="00F11A8B" w:rsidP="00F11A8B">
            <w:pPr>
              <w:widowControl w:val="0"/>
              <w:rPr>
                <w:rFonts w:ascii="Garamond" w:hAnsi="Garamond"/>
                <w:b/>
                <w:sz w:val="22"/>
                <w:szCs w:val="22"/>
              </w:rPr>
            </w:pPr>
            <w:r w:rsidRPr="006F6DAC">
              <w:rPr>
                <w:rFonts w:ascii="Garamond" w:hAnsi="Garamond"/>
                <w:b/>
                <w:sz w:val="22"/>
                <w:szCs w:val="22"/>
              </w:rPr>
              <w:lastRenderedPageBreak/>
              <w:t>Исключить приложение</w:t>
            </w:r>
          </w:p>
        </w:tc>
      </w:tr>
    </w:tbl>
    <w:p w14:paraId="5DE92C93" w14:textId="77777777" w:rsidR="00F11A8B" w:rsidRDefault="00F11A8B" w:rsidP="00F11A8B">
      <w:pPr>
        <w:widowControl w:val="0"/>
        <w:jc w:val="both"/>
        <w:rPr>
          <w:rFonts w:ascii="Garamond" w:hAnsi="Garamond"/>
          <w:sz w:val="26"/>
          <w:szCs w:val="26"/>
        </w:rPr>
      </w:pPr>
    </w:p>
    <w:p w14:paraId="5DB6B727" w14:textId="1438D75A" w:rsidR="004B3B82" w:rsidRDefault="004B3B82" w:rsidP="007A00C5">
      <w:pPr>
        <w:pStyle w:val="10"/>
        <w:keepNext w:val="0"/>
        <w:spacing w:line="240" w:lineRule="auto"/>
        <w:ind w:left="-142"/>
        <w:jc w:val="left"/>
        <w:rPr>
          <w:rFonts w:ascii="Garamond" w:eastAsia="Courier New" w:hAnsi="Garamond"/>
          <w:sz w:val="26"/>
          <w:szCs w:val="26"/>
        </w:rPr>
      </w:pPr>
      <w:r w:rsidRPr="004C0B2B">
        <w:rPr>
          <w:rFonts w:ascii="Garamond" w:eastAsia="Courier New" w:hAnsi="Garamond"/>
          <w:sz w:val="26"/>
          <w:szCs w:val="26"/>
        </w:rPr>
        <w:t>Предложения по изменениям и дополнениям в ПОРЯДОК УСТАНОВЛЕНИЯ СООТВЕТСТВИЯ АИИС КУЭ ТЕХНИЧЕСКИМ ТРЕБОВАНИЯМ ОПТОВОГО РЫНКА И ПРИСВОЕНИЯ КЛАСС</w:t>
      </w:r>
      <w:r w:rsidR="007A00C5">
        <w:rPr>
          <w:rFonts w:ascii="Garamond" w:eastAsia="Courier New" w:hAnsi="Garamond"/>
          <w:sz w:val="26"/>
          <w:szCs w:val="26"/>
        </w:rPr>
        <w:t>А АИИС КУЭ (Приложение № 11.3 к </w:t>
      </w:r>
      <w:r w:rsidRPr="004C0B2B">
        <w:rPr>
          <w:rFonts w:ascii="Garamond" w:eastAsia="Courier New" w:hAnsi="Garamond"/>
          <w:sz w:val="26"/>
          <w:szCs w:val="26"/>
        </w:rPr>
        <w:t>Положению о порядке получения статуса субъекта оптового рынка и ведения реестра субъектов оптового рынка)</w:t>
      </w:r>
    </w:p>
    <w:p w14:paraId="26B3886F" w14:textId="77777777" w:rsidR="007A00C5" w:rsidRPr="007A00C5" w:rsidRDefault="007A00C5" w:rsidP="007A00C5"/>
    <w:tbl>
      <w:tblPr>
        <w:tblW w:w="14979"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1"/>
        <w:gridCol w:w="6833"/>
        <w:gridCol w:w="7115"/>
      </w:tblGrid>
      <w:tr w:rsidR="004B3B82" w:rsidRPr="007A00C5" w14:paraId="5EDFEE1D" w14:textId="77777777" w:rsidTr="007A00C5">
        <w:tc>
          <w:tcPr>
            <w:tcW w:w="1031" w:type="dxa"/>
            <w:vAlign w:val="center"/>
          </w:tcPr>
          <w:p w14:paraId="459D49A1" w14:textId="77777777" w:rsidR="004B3B82" w:rsidRPr="007A00C5" w:rsidRDefault="004B3B82" w:rsidP="00CD3B05">
            <w:pPr>
              <w:widowControl w:val="0"/>
              <w:spacing w:line="259" w:lineRule="auto"/>
              <w:jc w:val="center"/>
              <w:rPr>
                <w:rFonts w:ascii="Garamond" w:hAnsi="Garamond"/>
                <w:b/>
                <w:sz w:val="22"/>
                <w:szCs w:val="22"/>
                <w:lang w:eastAsia="en-US"/>
              </w:rPr>
            </w:pPr>
            <w:r w:rsidRPr="007A00C5">
              <w:rPr>
                <w:rFonts w:ascii="Garamond" w:hAnsi="Garamond"/>
                <w:b/>
                <w:sz w:val="22"/>
                <w:szCs w:val="22"/>
                <w:lang w:eastAsia="en-US"/>
              </w:rPr>
              <w:t>№</w:t>
            </w:r>
          </w:p>
          <w:p w14:paraId="3E1E85FF" w14:textId="77777777" w:rsidR="004B3B82" w:rsidRPr="007A00C5" w:rsidRDefault="004B3B82" w:rsidP="00CD3B05">
            <w:pPr>
              <w:widowControl w:val="0"/>
              <w:spacing w:line="259" w:lineRule="auto"/>
              <w:jc w:val="center"/>
              <w:rPr>
                <w:rFonts w:ascii="Garamond" w:hAnsi="Garamond"/>
                <w:b/>
                <w:sz w:val="22"/>
                <w:szCs w:val="22"/>
                <w:lang w:eastAsia="en-US"/>
              </w:rPr>
            </w:pPr>
            <w:r w:rsidRPr="007A00C5">
              <w:rPr>
                <w:rFonts w:ascii="Garamond" w:hAnsi="Garamond"/>
                <w:b/>
                <w:sz w:val="22"/>
                <w:szCs w:val="22"/>
                <w:lang w:eastAsia="en-US"/>
              </w:rPr>
              <w:t>пункта</w:t>
            </w:r>
          </w:p>
        </w:tc>
        <w:tc>
          <w:tcPr>
            <w:tcW w:w="6833" w:type="dxa"/>
            <w:vAlign w:val="center"/>
          </w:tcPr>
          <w:p w14:paraId="2EF6BDE7" w14:textId="77777777" w:rsidR="007A00C5" w:rsidRDefault="004B3B82" w:rsidP="00CD3B05">
            <w:pPr>
              <w:widowControl w:val="0"/>
              <w:spacing w:line="259" w:lineRule="auto"/>
              <w:jc w:val="center"/>
              <w:rPr>
                <w:rFonts w:ascii="Garamond" w:hAnsi="Garamond"/>
                <w:b/>
                <w:sz w:val="22"/>
                <w:szCs w:val="22"/>
                <w:lang w:eastAsia="en-US"/>
              </w:rPr>
            </w:pPr>
            <w:r w:rsidRPr="007A00C5">
              <w:rPr>
                <w:rFonts w:ascii="Garamond" w:hAnsi="Garamond"/>
                <w:b/>
                <w:sz w:val="22"/>
                <w:szCs w:val="22"/>
                <w:lang w:eastAsia="en-US"/>
              </w:rPr>
              <w:t xml:space="preserve">Редакция, действующая на момент </w:t>
            </w:r>
          </w:p>
          <w:p w14:paraId="34075FAE" w14:textId="2EC3F766" w:rsidR="004B3B82" w:rsidRPr="007A00C5" w:rsidRDefault="004B3B82" w:rsidP="00CD3B05">
            <w:pPr>
              <w:widowControl w:val="0"/>
              <w:spacing w:line="259" w:lineRule="auto"/>
              <w:jc w:val="center"/>
              <w:rPr>
                <w:rFonts w:ascii="Garamond" w:hAnsi="Garamond"/>
                <w:sz w:val="22"/>
                <w:szCs w:val="22"/>
                <w:lang w:eastAsia="en-US"/>
              </w:rPr>
            </w:pPr>
            <w:r w:rsidRPr="007A00C5">
              <w:rPr>
                <w:rFonts w:ascii="Garamond" w:hAnsi="Garamond"/>
                <w:b/>
                <w:sz w:val="22"/>
                <w:szCs w:val="22"/>
                <w:lang w:eastAsia="en-US"/>
              </w:rPr>
              <w:t>вступления в силу изменений</w:t>
            </w:r>
          </w:p>
        </w:tc>
        <w:tc>
          <w:tcPr>
            <w:tcW w:w="7115" w:type="dxa"/>
          </w:tcPr>
          <w:p w14:paraId="19EE5A19" w14:textId="77777777" w:rsidR="004B3B82" w:rsidRPr="007A00C5" w:rsidRDefault="004B3B82" w:rsidP="00CD3B05">
            <w:pPr>
              <w:widowControl w:val="0"/>
              <w:spacing w:line="259" w:lineRule="auto"/>
              <w:jc w:val="center"/>
              <w:rPr>
                <w:rFonts w:ascii="Garamond" w:hAnsi="Garamond"/>
                <w:b/>
                <w:sz w:val="22"/>
                <w:szCs w:val="22"/>
                <w:lang w:eastAsia="en-US"/>
              </w:rPr>
            </w:pPr>
            <w:r w:rsidRPr="007A00C5">
              <w:rPr>
                <w:rFonts w:ascii="Garamond" w:hAnsi="Garamond"/>
                <w:b/>
                <w:sz w:val="22"/>
                <w:szCs w:val="22"/>
                <w:lang w:eastAsia="en-US"/>
              </w:rPr>
              <w:t>Предлагаемая редакция</w:t>
            </w:r>
          </w:p>
          <w:p w14:paraId="68033A49" w14:textId="77777777" w:rsidR="004B3B82" w:rsidRPr="007A00C5" w:rsidRDefault="004B3B82" w:rsidP="00CD3B05">
            <w:pPr>
              <w:spacing w:line="259" w:lineRule="auto"/>
              <w:ind w:right="-55"/>
              <w:jc w:val="center"/>
              <w:rPr>
                <w:rFonts w:ascii="Garamond" w:hAnsi="Garamond"/>
                <w:sz w:val="22"/>
                <w:szCs w:val="22"/>
                <w:lang w:eastAsia="en-US"/>
              </w:rPr>
            </w:pPr>
            <w:r w:rsidRPr="007A00C5">
              <w:rPr>
                <w:rFonts w:ascii="Garamond" w:hAnsi="Garamond"/>
                <w:sz w:val="22"/>
                <w:szCs w:val="22"/>
                <w:lang w:eastAsia="en-US"/>
              </w:rPr>
              <w:t>(изменения выделены цветом)</w:t>
            </w:r>
          </w:p>
        </w:tc>
      </w:tr>
      <w:tr w:rsidR="004B3B82" w:rsidRPr="007A00C5" w14:paraId="23279C43" w14:textId="77777777" w:rsidTr="007A00C5">
        <w:tc>
          <w:tcPr>
            <w:tcW w:w="1031" w:type="dxa"/>
            <w:vAlign w:val="center"/>
          </w:tcPr>
          <w:p w14:paraId="4FBEC871" w14:textId="77777777" w:rsidR="004B3B82" w:rsidRPr="007A00C5" w:rsidRDefault="004B3B82" w:rsidP="00CD3B05">
            <w:pPr>
              <w:widowControl w:val="0"/>
              <w:spacing w:line="259" w:lineRule="auto"/>
              <w:jc w:val="center"/>
              <w:rPr>
                <w:rFonts w:ascii="Garamond" w:hAnsi="Garamond"/>
                <w:b/>
                <w:sz w:val="22"/>
                <w:szCs w:val="22"/>
                <w:lang w:eastAsia="en-US"/>
              </w:rPr>
            </w:pPr>
            <w:r w:rsidRPr="007A00C5">
              <w:rPr>
                <w:rFonts w:ascii="Garamond" w:hAnsi="Garamond"/>
                <w:b/>
                <w:sz w:val="22"/>
                <w:szCs w:val="22"/>
                <w:lang w:eastAsia="en-US"/>
              </w:rPr>
              <w:t>Заголовок</w:t>
            </w:r>
          </w:p>
        </w:tc>
        <w:tc>
          <w:tcPr>
            <w:tcW w:w="6833" w:type="dxa"/>
            <w:vAlign w:val="center"/>
          </w:tcPr>
          <w:p w14:paraId="651C8532" w14:textId="77777777" w:rsidR="004B3B82" w:rsidRPr="007A00C5" w:rsidRDefault="004B3B82" w:rsidP="00CD3B05">
            <w:pPr>
              <w:widowControl w:val="0"/>
              <w:spacing w:line="259" w:lineRule="auto"/>
              <w:ind w:firstLine="486"/>
              <w:jc w:val="both"/>
              <w:rPr>
                <w:rFonts w:ascii="Garamond" w:hAnsi="Garamond"/>
                <w:sz w:val="22"/>
                <w:szCs w:val="22"/>
                <w:lang w:eastAsia="en-US"/>
              </w:rPr>
            </w:pPr>
            <w:r w:rsidRPr="007A00C5">
              <w:rPr>
                <w:rFonts w:ascii="Garamond" w:hAnsi="Garamond"/>
                <w:b/>
                <w:sz w:val="22"/>
                <w:szCs w:val="22"/>
              </w:rPr>
              <w:t xml:space="preserve">ПОРЯДОК УСТАНОВЛЕНИЯ СООТВЕТСТВИЯ </w:t>
            </w:r>
            <w:r w:rsidRPr="007A00C5">
              <w:rPr>
                <w:rFonts w:ascii="Garamond" w:hAnsi="Garamond"/>
                <w:b/>
                <w:sz w:val="22"/>
                <w:szCs w:val="22"/>
                <w:highlight w:val="yellow"/>
              </w:rPr>
              <w:t>АИИС КУЭ</w:t>
            </w:r>
            <w:r w:rsidRPr="007A00C5">
              <w:rPr>
                <w:rFonts w:ascii="Garamond" w:hAnsi="Garamond"/>
                <w:b/>
                <w:sz w:val="22"/>
                <w:szCs w:val="22"/>
              </w:rPr>
              <w:t xml:space="preserve"> ТЕХНИЧЕСКИМ </w:t>
            </w:r>
            <w:r w:rsidRPr="007A00C5">
              <w:rPr>
                <w:rFonts w:ascii="Garamond" w:hAnsi="Garamond"/>
                <w:b/>
                <w:caps/>
                <w:sz w:val="22"/>
                <w:szCs w:val="22"/>
              </w:rPr>
              <w:t xml:space="preserve">ТРЕБОВАНИЯМ ОПТОВОГО РЫНКА </w:t>
            </w:r>
            <w:r w:rsidRPr="007A00C5">
              <w:rPr>
                <w:rFonts w:ascii="Garamond" w:hAnsi="Garamond"/>
                <w:b/>
                <w:sz w:val="22"/>
                <w:szCs w:val="22"/>
                <w:highlight w:val="yellow"/>
              </w:rPr>
              <w:t>И ПРИСВОЕНИЯ КЛАССА АИИС КУЭ</w:t>
            </w:r>
          </w:p>
        </w:tc>
        <w:tc>
          <w:tcPr>
            <w:tcW w:w="7115" w:type="dxa"/>
            <w:vAlign w:val="center"/>
          </w:tcPr>
          <w:p w14:paraId="122EA975" w14:textId="77777777" w:rsidR="004B3B82" w:rsidRPr="007A00C5" w:rsidRDefault="004B3B82" w:rsidP="00CD3B05">
            <w:pPr>
              <w:widowControl w:val="0"/>
              <w:spacing w:line="259" w:lineRule="auto"/>
              <w:ind w:firstLine="486"/>
              <w:jc w:val="both"/>
              <w:rPr>
                <w:rFonts w:ascii="Garamond" w:hAnsi="Garamond"/>
                <w:sz w:val="22"/>
                <w:szCs w:val="22"/>
                <w:lang w:eastAsia="en-US"/>
              </w:rPr>
            </w:pPr>
            <w:r w:rsidRPr="007A00C5">
              <w:rPr>
                <w:rFonts w:ascii="Garamond" w:hAnsi="Garamond"/>
                <w:b/>
                <w:sz w:val="22"/>
                <w:szCs w:val="22"/>
              </w:rPr>
              <w:t xml:space="preserve">ПОРЯДОК УСТАНОВЛЕНИЯ СООТВЕТСТВИЯ </w:t>
            </w:r>
            <w:r w:rsidRPr="007A00C5">
              <w:rPr>
                <w:rFonts w:ascii="Garamond" w:hAnsi="Garamond"/>
                <w:b/>
                <w:sz w:val="22"/>
                <w:szCs w:val="22"/>
                <w:highlight w:val="yellow"/>
              </w:rPr>
              <w:t>СИСТЕМ УЧЕТА ЭЛЕКТРОЭНЕРГИИ</w:t>
            </w:r>
            <w:r w:rsidRPr="007A00C5">
              <w:rPr>
                <w:rFonts w:ascii="Garamond" w:hAnsi="Garamond"/>
                <w:b/>
                <w:sz w:val="22"/>
                <w:szCs w:val="22"/>
              </w:rPr>
              <w:t xml:space="preserve"> ТЕХНИЧЕСКИМ </w:t>
            </w:r>
            <w:r w:rsidRPr="007A00C5">
              <w:rPr>
                <w:rFonts w:ascii="Garamond" w:hAnsi="Garamond"/>
                <w:b/>
                <w:caps/>
                <w:sz w:val="22"/>
                <w:szCs w:val="22"/>
              </w:rPr>
              <w:t>ТРЕБОВАНИЯМ ОПТОВОГО РЫНКА</w:t>
            </w:r>
          </w:p>
        </w:tc>
      </w:tr>
      <w:tr w:rsidR="004B3B82" w:rsidRPr="007A00C5" w14:paraId="57313D04" w14:textId="77777777" w:rsidTr="007A00C5">
        <w:tc>
          <w:tcPr>
            <w:tcW w:w="1031" w:type="dxa"/>
            <w:vAlign w:val="center"/>
          </w:tcPr>
          <w:p w14:paraId="41A27701" w14:textId="77777777" w:rsidR="004B3B82" w:rsidRPr="007A00C5" w:rsidRDefault="004B3B82" w:rsidP="00CD3B05">
            <w:pPr>
              <w:widowControl w:val="0"/>
              <w:spacing w:line="259" w:lineRule="auto"/>
              <w:jc w:val="center"/>
              <w:rPr>
                <w:rFonts w:ascii="Garamond" w:hAnsi="Garamond"/>
                <w:b/>
                <w:sz w:val="22"/>
                <w:szCs w:val="22"/>
                <w:lang w:eastAsia="en-US"/>
              </w:rPr>
            </w:pPr>
          </w:p>
        </w:tc>
        <w:tc>
          <w:tcPr>
            <w:tcW w:w="6833" w:type="dxa"/>
            <w:vAlign w:val="center"/>
          </w:tcPr>
          <w:p w14:paraId="10BC31D7" w14:textId="77777777" w:rsidR="004B3B82" w:rsidRPr="007A00C5" w:rsidRDefault="004B3B82" w:rsidP="00CD3B05">
            <w:pPr>
              <w:spacing w:before="120" w:after="120"/>
              <w:ind w:firstLine="600"/>
              <w:jc w:val="both"/>
              <w:rPr>
                <w:rFonts w:ascii="Garamond" w:hAnsi="Garamond"/>
                <w:sz w:val="22"/>
                <w:szCs w:val="22"/>
              </w:rPr>
            </w:pPr>
            <w:r w:rsidRPr="007A00C5">
              <w:rPr>
                <w:rFonts w:ascii="Garamond" w:hAnsi="Garamond"/>
                <w:sz w:val="22"/>
                <w:szCs w:val="22"/>
              </w:rPr>
              <w:t xml:space="preserve">Настоящим Порядком установления соответствия </w:t>
            </w:r>
            <w:r w:rsidRPr="007A00C5">
              <w:rPr>
                <w:rFonts w:ascii="Garamond" w:hAnsi="Garamond"/>
                <w:sz w:val="22"/>
                <w:szCs w:val="22"/>
                <w:highlight w:val="yellow"/>
              </w:rPr>
              <w:t>АИИС КУЭ</w:t>
            </w:r>
            <w:r w:rsidRPr="007A00C5">
              <w:rPr>
                <w:rFonts w:ascii="Garamond" w:hAnsi="Garamond"/>
                <w:sz w:val="22"/>
                <w:szCs w:val="22"/>
              </w:rPr>
              <w:t xml:space="preserve"> техническим требованиям оптового рынка </w:t>
            </w:r>
            <w:r w:rsidRPr="007A00C5">
              <w:rPr>
                <w:rFonts w:ascii="Garamond" w:hAnsi="Garamond"/>
                <w:sz w:val="22"/>
                <w:szCs w:val="22"/>
                <w:highlight w:val="yellow"/>
              </w:rPr>
              <w:t>и присвоения класса АИИС КУЭ</w:t>
            </w:r>
            <w:r w:rsidRPr="007A00C5">
              <w:rPr>
                <w:rFonts w:ascii="Garamond" w:hAnsi="Garamond"/>
                <w:sz w:val="22"/>
                <w:szCs w:val="22"/>
              </w:rPr>
              <w:t xml:space="preserve"> (далее – Порядок) определяются требования к проведению процедуры установления соответствия АИИС КУЭ заявителя техническим требованиям оптового рынка электрической энергии и мощности (далее – установление соответствия), в том числе</w:t>
            </w:r>
            <w:r w:rsidRPr="007A00C5">
              <w:rPr>
                <w:rFonts w:ascii="Garamond" w:hAnsi="Garamond"/>
                <w:sz w:val="22"/>
                <w:szCs w:val="22"/>
                <w:highlight w:val="yellow"/>
              </w:rPr>
              <w:t>:</w:t>
            </w:r>
          </w:p>
          <w:p w14:paraId="1ED0BBBB" w14:textId="77777777" w:rsidR="004B3B82" w:rsidRPr="007A00C5" w:rsidRDefault="004B3B82" w:rsidP="00101F7C">
            <w:pPr>
              <w:pStyle w:val="ac"/>
              <w:numPr>
                <w:ilvl w:val="0"/>
                <w:numId w:val="106"/>
              </w:numPr>
              <w:tabs>
                <w:tab w:val="left" w:pos="960"/>
              </w:tabs>
              <w:spacing w:before="120" w:after="120"/>
              <w:ind w:left="0" w:firstLine="600"/>
              <w:jc w:val="both"/>
              <w:rPr>
                <w:rFonts w:ascii="Garamond" w:hAnsi="Garamond"/>
                <w:bCs/>
                <w:sz w:val="22"/>
                <w:szCs w:val="22"/>
                <w:highlight w:val="yellow"/>
              </w:rPr>
            </w:pPr>
            <w:r w:rsidRPr="007A00C5">
              <w:rPr>
                <w:rFonts w:ascii="Garamond" w:hAnsi="Garamond"/>
                <w:sz w:val="22"/>
                <w:szCs w:val="22"/>
              </w:rPr>
              <w:t xml:space="preserve">требования к комплекту документов, предоставляемому Коммерческому оператору в рамках процедуры </w:t>
            </w:r>
            <w:r w:rsidRPr="007A00C5">
              <w:rPr>
                <w:rFonts w:ascii="Garamond" w:hAnsi="Garamond"/>
                <w:sz w:val="22"/>
                <w:szCs w:val="22"/>
                <w:highlight w:val="yellow"/>
              </w:rPr>
              <w:t>установления соответствия;</w:t>
            </w:r>
          </w:p>
          <w:p w14:paraId="48BEB85E" w14:textId="77777777" w:rsidR="004B3B82" w:rsidRPr="007A00C5" w:rsidRDefault="004B3B82" w:rsidP="00101F7C">
            <w:pPr>
              <w:pStyle w:val="ac"/>
              <w:numPr>
                <w:ilvl w:val="0"/>
                <w:numId w:val="106"/>
              </w:numPr>
              <w:tabs>
                <w:tab w:val="left" w:pos="960"/>
              </w:tabs>
              <w:spacing w:before="120" w:after="120"/>
              <w:ind w:left="0" w:firstLine="600"/>
              <w:jc w:val="both"/>
              <w:rPr>
                <w:rFonts w:ascii="Garamond" w:hAnsi="Garamond"/>
                <w:bCs/>
                <w:sz w:val="22"/>
                <w:szCs w:val="22"/>
              </w:rPr>
            </w:pPr>
            <w:r w:rsidRPr="007A00C5">
              <w:rPr>
                <w:rFonts w:ascii="Garamond" w:hAnsi="Garamond"/>
                <w:bCs/>
                <w:sz w:val="22"/>
                <w:szCs w:val="22"/>
              </w:rPr>
              <w:t xml:space="preserve">перечень параметров, по которым </w:t>
            </w:r>
            <w:r w:rsidRPr="007A00C5">
              <w:rPr>
                <w:rFonts w:ascii="Garamond" w:hAnsi="Garamond"/>
                <w:bCs/>
                <w:sz w:val="22"/>
                <w:szCs w:val="22"/>
                <w:highlight w:val="yellow"/>
              </w:rPr>
              <w:t>Коммерческий оператор</w:t>
            </w:r>
            <w:r w:rsidRPr="007A00C5">
              <w:rPr>
                <w:rFonts w:ascii="Garamond" w:hAnsi="Garamond"/>
                <w:bCs/>
                <w:sz w:val="22"/>
                <w:szCs w:val="22"/>
              </w:rPr>
              <w:t xml:space="preserve"> осуществляет установление соответствия</w:t>
            </w:r>
            <w:r w:rsidRPr="007A00C5">
              <w:rPr>
                <w:rFonts w:ascii="Garamond" w:hAnsi="Garamond"/>
                <w:sz w:val="22"/>
                <w:szCs w:val="22"/>
                <w:highlight w:val="yellow"/>
              </w:rPr>
              <w:t>.</w:t>
            </w:r>
          </w:p>
        </w:tc>
        <w:tc>
          <w:tcPr>
            <w:tcW w:w="7115" w:type="dxa"/>
            <w:vAlign w:val="center"/>
          </w:tcPr>
          <w:p w14:paraId="57B3DA45" w14:textId="0315B5D4" w:rsidR="004B3B82" w:rsidRPr="007A00C5" w:rsidRDefault="004B3B82" w:rsidP="00CD3B05">
            <w:pPr>
              <w:spacing w:before="120" w:after="120"/>
              <w:ind w:firstLine="600"/>
              <w:jc w:val="both"/>
              <w:rPr>
                <w:rFonts w:ascii="Garamond" w:hAnsi="Garamond"/>
                <w:sz w:val="22"/>
                <w:szCs w:val="22"/>
              </w:rPr>
            </w:pPr>
            <w:r w:rsidRPr="007A00C5">
              <w:rPr>
                <w:rFonts w:ascii="Garamond" w:hAnsi="Garamond"/>
                <w:sz w:val="22"/>
                <w:szCs w:val="22"/>
              </w:rPr>
              <w:t xml:space="preserve">Настоящим Порядком установления соответствия </w:t>
            </w:r>
            <w:r w:rsidRPr="007A00C5">
              <w:rPr>
                <w:rFonts w:ascii="Garamond" w:hAnsi="Garamond"/>
                <w:sz w:val="22"/>
                <w:szCs w:val="22"/>
                <w:highlight w:val="yellow"/>
              </w:rPr>
              <w:t>систем учета электроэнергии (далее – система учета)</w:t>
            </w:r>
            <w:r w:rsidR="009B5F03" w:rsidRPr="007A00C5">
              <w:rPr>
                <w:rFonts w:ascii="Garamond" w:hAnsi="Garamond"/>
                <w:sz w:val="22"/>
                <w:szCs w:val="22"/>
              </w:rPr>
              <w:t xml:space="preserve"> </w:t>
            </w:r>
            <w:r w:rsidRPr="007A00C5">
              <w:rPr>
                <w:rFonts w:ascii="Garamond" w:hAnsi="Garamond"/>
                <w:sz w:val="22"/>
                <w:szCs w:val="22"/>
              </w:rPr>
              <w:t>техническим требованиям оптового рынка (далее – Порядок) определяются</w:t>
            </w:r>
            <w:r w:rsidRPr="007A00C5">
              <w:rPr>
                <w:rFonts w:ascii="Garamond" w:hAnsi="Garamond"/>
                <w:sz w:val="22"/>
                <w:szCs w:val="22"/>
                <w:highlight w:val="yellow"/>
              </w:rPr>
              <w:t>:</w:t>
            </w:r>
          </w:p>
          <w:p w14:paraId="29C96707" w14:textId="5D4FBBB9" w:rsidR="004B3B82" w:rsidRPr="007A00C5" w:rsidRDefault="009B5F03" w:rsidP="00E31AE6">
            <w:pPr>
              <w:spacing w:before="120" w:after="120"/>
              <w:ind w:firstLine="601"/>
              <w:jc w:val="both"/>
              <w:rPr>
                <w:rFonts w:ascii="Garamond" w:hAnsi="Garamond"/>
                <w:sz w:val="22"/>
                <w:szCs w:val="22"/>
                <w:highlight w:val="yellow"/>
              </w:rPr>
            </w:pPr>
            <w:r w:rsidRPr="007A00C5">
              <w:rPr>
                <w:rFonts w:ascii="Garamond" w:hAnsi="Garamond"/>
                <w:sz w:val="22"/>
                <w:szCs w:val="22"/>
                <w:highlight w:val="yellow"/>
              </w:rPr>
              <w:t xml:space="preserve">– </w:t>
            </w:r>
            <w:r w:rsidR="004B3B82" w:rsidRPr="007A00C5">
              <w:rPr>
                <w:rFonts w:ascii="Garamond" w:hAnsi="Garamond"/>
                <w:sz w:val="22"/>
                <w:szCs w:val="22"/>
              </w:rPr>
              <w:t xml:space="preserve">требования к проведению процедуры установления соответствия АИИС КУЭ заявителя техническим требованиям оптового рынка электрической энергии и мощности (далее – установление соответствия), в том числе требования к комплекту документов, предоставляемому Коммерческому оператору </w:t>
            </w:r>
            <w:r w:rsidR="004B3B82" w:rsidRPr="007A00C5">
              <w:rPr>
                <w:rFonts w:ascii="Garamond" w:hAnsi="Garamond"/>
                <w:sz w:val="22"/>
                <w:szCs w:val="22"/>
                <w:highlight w:val="yellow"/>
              </w:rPr>
              <w:t>(далее – КО)</w:t>
            </w:r>
            <w:r w:rsidR="004B3B82" w:rsidRPr="007A00C5">
              <w:rPr>
                <w:rFonts w:ascii="Garamond" w:hAnsi="Garamond"/>
                <w:sz w:val="22"/>
                <w:szCs w:val="22"/>
              </w:rPr>
              <w:t xml:space="preserve"> в рамках </w:t>
            </w:r>
            <w:r w:rsidR="004B3B82" w:rsidRPr="007B726D">
              <w:rPr>
                <w:rFonts w:ascii="Garamond" w:hAnsi="Garamond"/>
                <w:sz w:val="22"/>
                <w:szCs w:val="22"/>
                <w:highlight w:val="yellow"/>
              </w:rPr>
              <w:t>указанной</w:t>
            </w:r>
            <w:r w:rsidR="004B3B82" w:rsidRPr="007A00C5">
              <w:rPr>
                <w:rFonts w:ascii="Garamond" w:hAnsi="Garamond"/>
                <w:sz w:val="22"/>
                <w:szCs w:val="22"/>
              </w:rPr>
              <w:t xml:space="preserve"> процедуры</w:t>
            </w:r>
            <w:r w:rsidR="004B3B82" w:rsidRPr="007A00C5">
              <w:rPr>
                <w:rFonts w:ascii="Garamond" w:hAnsi="Garamond"/>
                <w:sz w:val="22"/>
                <w:szCs w:val="22"/>
                <w:highlight w:val="yellow"/>
              </w:rPr>
              <w:t>, и</w:t>
            </w:r>
            <w:r w:rsidR="004B3B82" w:rsidRPr="007A00C5">
              <w:rPr>
                <w:rFonts w:ascii="Garamond" w:hAnsi="Garamond"/>
                <w:sz w:val="22"/>
                <w:szCs w:val="22"/>
              </w:rPr>
              <w:t xml:space="preserve"> </w:t>
            </w:r>
            <w:r w:rsidR="004B3B82" w:rsidRPr="007A00C5">
              <w:rPr>
                <w:rFonts w:ascii="Garamond" w:hAnsi="Garamond"/>
                <w:bCs/>
                <w:sz w:val="22"/>
                <w:szCs w:val="22"/>
              </w:rPr>
              <w:t xml:space="preserve">перечень параметров, по которым </w:t>
            </w:r>
            <w:r w:rsidR="004B3B82" w:rsidRPr="007A00C5">
              <w:rPr>
                <w:rFonts w:ascii="Garamond" w:hAnsi="Garamond"/>
                <w:bCs/>
                <w:sz w:val="22"/>
                <w:szCs w:val="22"/>
                <w:highlight w:val="yellow"/>
              </w:rPr>
              <w:t>КО</w:t>
            </w:r>
            <w:r w:rsidR="004B3B82" w:rsidRPr="007A00C5">
              <w:rPr>
                <w:rFonts w:ascii="Garamond" w:hAnsi="Garamond"/>
                <w:bCs/>
                <w:sz w:val="22"/>
                <w:szCs w:val="22"/>
              </w:rPr>
              <w:t xml:space="preserve"> осуществляет установление соответствия</w:t>
            </w:r>
            <w:r w:rsidR="004B3B82" w:rsidRPr="007B726D">
              <w:rPr>
                <w:rFonts w:ascii="Garamond" w:hAnsi="Garamond"/>
                <w:sz w:val="22"/>
                <w:szCs w:val="22"/>
                <w:highlight w:val="yellow"/>
              </w:rPr>
              <w:t>;</w:t>
            </w:r>
          </w:p>
          <w:p w14:paraId="2E8248D7" w14:textId="0ADA79D2" w:rsidR="004B3B82" w:rsidRPr="007A00C5" w:rsidRDefault="009B5F03" w:rsidP="00E31AE6">
            <w:pPr>
              <w:spacing w:before="120" w:after="120"/>
              <w:ind w:firstLine="600"/>
              <w:jc w:val="both"/>
              <w:rPr>
                <w:rFonts w:ascii="Garamond" w:hAnsi="Garamond"/>
                <w:bCs/>
                <w:sz w:val="22"/>
                <w:szCs w:val="22"/>
                <w:highlight w:val="yellow"/>
              </w:rPr>
            </w:pPr>
            <w:r w:rsidRPr="007A00C5">
              <w:rPr>
                <w:rFonts w:ascii="Garamond" w:hAnsi="Garamond"/>
                <w:sz w:val="22"/>
                <w:szCs w:val="22"/>
                <w:highlight w:val="yellow"/>
              </w:rPr>
              <w:t xml:space="preserve">– </w:t>
            </w:r>
            <w:r w:rsidR="004B3B82" w:rsidRPr="007A00C5">
              <w:rPr>
                <w:rFonts w:ascii="Garamond" w:hAnsi="Garamond"/>
                <w:sz w:val="22"/>
                <w:szCs w:val="22"/>
                <w:highlight w:val="yellow"/>
              </w:rPr>
              <w:t xml:space="preserve">перечень параметров, используемых КО при проведении процедуры подтверждения соответствия системы учета агрегатора техническим требованиям оптового рынка по объекту регулирования потребления электрической энергии (далее – объект регулирования) в порядке, предусмотренном приложением 9 к </w:t>
            </w:r>
            <w:r w:rsidR="004B3B82" w:rsidRPr="007A00C5">
              <w:rPr>
                <w:rFonts w:ascii="Garamond" w:hAnsi="Garamond"/>
                <w:i/>
                <w:sz w:val="22"/>
                <w:szCs w:val="22"/>
                <w:highlight w:val="yellow"/>
              </w:rPr>
              <w:t xml:space="preserve">Положению о порядке получения статуса субъекта оптового рынка и ведения реестра субъектов оптового рынка </w:t>
            </w:r>
            <w:r w:rsidR="004B3B82" w:rsidRPr="007A00C5">
              <w:rPr>
                <w:rFonts w:ascii="Garamond" w:hAnsi="Garamond"/>
                <w:sz w:val="22"/>
                <w:szCs w:val="22"/>
                <w:highlight w:val="yellow"/>
              </w:rPr>
              <w:t xml:space="preserve">(Приложение № 1.1 к </w:t>
            </w:r>
            <w:r w:rsidR="004B3B82" w:rsidRPr="007A00C5">
              <w:rPr>
                <w:rFonts w:ascii="Garamond" w:hAnsi="Garamond"/>
                <w:i/>
                <w:sz w:val="22"/>
                <w:szCs w:val="22"/>
                <w:highlight w:val="yellow"/>
              </w:rPr>
              <w:t>Договору о присоединении к торговой системе оптового рынка</w:t>
            </w:r>
            <w:r w:rsidR="004B3B82" w:rsidRPr="007A00C5">
              <w:rPr>
                <w:rFonts w:ascii="Garamond" w:hAnsi="Garamond"/>
                <w:sz w:val="22"/>
                <w:szCs w:val="22"/>
                <w:highlight w:val="yellow"/>
              </w:rPr>
              <w:t>) (далее – Положение</w:t>
            </w:r>
            <w:r w:rsidR="004B3B82" w:rsidRPr="007A00C5">
              <w:rPr>
                <w:rFonts w:ascii="Garamond" w:hAnsi="Garamond"/>
                <w:i/>
                <w:sz w:val="22"/>
                <w:szCs w:val="22"/>
                <w:highlight w:val="yellow"/>
              </w:rPr>
              <w:t xml:space="preserve"> </w:t>
            </w:r>
            <w:r w:rsidR="004B3B82" w:rsidRPr="007A00C5">
              <w:rPr>
                <w:rFonts w:ascii="Garamond" w:hAnsi="Garamond"/>
                <w:sz w:val="22"/>
                <w:szCs w:val="22"/>
                <w:highlight w:val="yellow"/>
              </w:rPr>
              <w:t>о реестре).</w:t>
            </w:r>
          </w:p>
        </w:tc>
      </w:tr>
      <w:tr w:rsidR="004B3B82" w:rsidRPr="007A00C5" w14:paraId="26E73355" w14:textId="77777777" w:rsidTr="007A00C5">
        <w:tc>
          <w:tcPr>
            <w:tcW w:w="1031" w:type="dxa"/>
            <w:vAlign w:val="center"/>
          </w:tcPr>
          <w:p w14:paraId="16FEA549" w14:textId="77777777" w:rsidR="004B3B82" w:rsidRPr="007A00C5" w:rsidRDefault="004B3B82" w:rsidP="00CD3B05">
            <w:pPr>
              <w:widowControl w:val="0"/>
              <w:spacing w:line="259" w:lineRule="auto"/>
              <w:jc w:val="center"/>
              <w:rPr>
                <w:rFonts w:ascii="Garamond" w:hAnsi="Garamond"/>
                <w:b/>
                <w:sz w:val="22"/>
                <w:szCs w:val="22"/>
                <w:lang w:eastAsia="en-US"/>
              </w:rPr>
            </w:pPr>
            <w:r w:rsidRPr="007A00C5">
              <w:rPr>
                <w:rFonts w:ascii="Garamond" w:hAnsi="Garamond"/>
                <w:b/>
                <w:sz w:val="22"/>
                <w:szCs w:val="22"/>
                <w:lang w:eastAsia="en-US"/>
              </w:rPr>
              <w:t>1.1</w:t>
            </w:r>
          </w:p>
        </w:tc>
        <w:tc>
          <w:tcPr>
            <w:tcW w:w="6833" w:type="dxa"/>
            <w:vAlign w:val="center"/>
          </w:tcPr>
          <w:p w14:paraId="4217AB66" w14:textId="77777777" w:rsidR="004B3B82" w:rsidRPr="007A00C5" w:rsidRDefault="004B3B82" w:rsidP="00CD3B05">
            <w:pPr>
              <w:tabs>
                <w:tab w:val="num" w:pos="240"/>
                <w:tab w:val="left" w:pos="1080"/>
              </w:tabs>
              <w:suppressAutoHyphens w:val="0"/>
              <w:spacing w:before="120" w:after="120"/>
              <w:ind w:right="-1" w:firstLine="464"/>
              <w:jc w:val="both"/>
              <w:rPr>
                <w:rFonts w:ascii="Garamond" w:hAnsi="Garamond"/>
                <w:sz w:val="22"/>
                <w:szCs w:val="22"/>
              </w:rPr>
            </w:pPr>
            <w:r w:rsidRPr="007A00C5">
              <w:rPr>
                <w:rFonts w:ascii="Garamond" w:hAnsi="Garamond"/>
                <w:sz w:val="22"/>
                <w:szCs w:val="22"/>
              </w:rPr>
              <w:t>В настоящем Порядке используются следующие сокращения и определения:</w:t>
            </w:r>
          </w:p>
          <w:p w14:paraId="211745A4" w14:textId="77777777" w:rsidR="004B3B82" w:rsidRPr="007A00C5" w:rsidRDefault="004B3B82" w:rsidP="00CD3B05">
            <w:pPr>
              <w:pStyle w:val="a8"/>
              <w:tabs>
                <w:tab w:val="num" w:pos="240"/>
                <w:tab w:val="left" w:pos="1080"/>
              </w:tabs>
              <w:spacing w:before="120"/>
              <w:ind w:right="-1" w:firstLine="600"/>
              <w:rPr>
                <w:rFonts w:ascii="Garamond" w:hAnsi="Garamond"/>
                <w:sz w:val="22"/>
                <w:szCs w:val="22"/>
              </w:rPr>
            </w:pPr>
            <w:r w:rsidRPr="007A00C5">
              <w:rPr>
                <w:rFonts w:ascii="Garamond" w:hAnsi="Garamond"/>
                <w:b/>
                <w:sz w:val="22"/>
                <w:szCs w:val="22"/>
              </w:rPr>
              <w:t>АИИС</w:t>
            </w:r>
            <w:r w:rsidRPr="007A00C5">
              <w:rPr>
                <w:rFonts w:ascii="Garamond" w:hAnsi="Garamond"/>
                <w:sz w:val="22"/>
                <w:szCs w:val="22"/>
              </w:rPr>
              <w:t xml:space="preserve"> </w:t>
            </w:r>
            <w:r w:rsidRPr="007A00C5">
              <w:rPr>
                <w:rFonts w:ascii="Garamond" w:hAnsi="Garamond"/>
                <w:b/>
                <w:sz w:val="22"/>
                <w:szCs w:val="22"/>
              </w:rPr>
              <w:t xml:space="preserve">КУЭ </w:t>
            </w:r>
            <w:r w:rsidRPr="007A00C5">
              <w:rPr>
                <w:rFonts w:ascii="Garamond" w:hAnsi="Garamond"/>
                <w:sz w:val="22"/>
                <w:szCs w:val="22"/>
              </w:rPr>
              <w:t xml:space="preserve">– автоматизированная информационно-измерительная система коммерческого учета электрической энергии. Для целей настоящего Порядка под АИИС КУЭ (компонентами АИИС КУЭ) </w:t>
            </w:r>
            <w:r w:rsidRPr="007A00C5">
              <w:rPr>
                <w:rFonts w:ascii="Garamond" w:hAnsi="Garamond"/>
                <w:sz w:val="22"/>
                <w:szCs w:val="22"/>
              </w:rPr>
              <w:lastRenderedPageBreak/>
              <w:t xml:space="preserve">понимается также совокупность средств измерений, не обеспечивающих совокупность функций по сбору, обработке и передаче КО данных коммерческого учета и не присоединенных к интеллектуальным системам учета электрической энергии (мощности), и технических устройств без измерительной функции, обеспечивающих сбор, обработку, хранение и передачу КО результатов измерений, полученных с использованием указанных средств измерений (далее – технические устройства без измерительной функции), в отношении которой не предусмотрено </w:t>
            </w:r>
            <w:r w:rsidRPr="007A00C5">
              <w:rPr>
                <w:rFonts w:ascii="Garamond" w:hAnsi="Garamond"/>
                <w:sz w:val="22"/>
                <w:szCs w:val="22"/>
                <w:highlight w:val="yellow"/>
              </w:rPr>
              <w:t>оформление (</w:t>
            </w:r>
            <w:r w:rsidRPr="007A00C5">
              <w:rPr>
                <w:rFonts w:ascii="Garamond" w:hAnsi="Garamond"/>
                <w:sz w:val="22"/>
                <w:szCs w:val="22"/>
              </w:rPr>
              <w:t>утверждение</w:t>
            </w:r>
            <w:r w:rsidRPr="007A00C5">
              <w:rPr>
                <w:rFonts w:ascii="Garamond" w:hAnsi="Garamond"/>
                <w:sz w:val="22"/>
                <w:szCs w:val="22"/>
                <w:highlight w:val="yellow"/>
              </w:rPr>
              <w:t>) свидетельства (сертификата) об утверждении</w:t>
            </w:r>
            <w:r w:rsidRPr="007A00C5">
              <w:rPr>
                <w:rFonts w:ascii="Garamond" w:hAnsi="Garamond"/>
                <w:sz w:val="22"/>
                <w:szCs w:val="22"/>
              </w:rPr>
              <w:t xml:space="preserve"> типа средства измерений АИИС КУЭ с приложением описания типа и свидетельства о поверке АИИС КУЭ с приложением перечня измерительных каналов. Оснащение точек поставки такой совокупностью допускается в случаях, предусмотренных Правилами оптового рынка электрической энергии и мощности, утвержденными постановлением Правительства РФ от 27.12.2010 № 1172 (далее также – Правила оптового рынка).</w:t>
            </w:r>
          </w:p>
          <w:p w14:paraId="14D77966" w14:textId="77777777" w:rsidR="004B3B82" w:rsidRPr="007A00C5" w:rsidRDefault="004B3B82" w:rsidP="00FF5CC4">
            <w:pPr>
              <w:pStyle w:val="a8"/>
              <w:tabs>
                <w:tab w:val="num" w:pos="240"/>
                <w:tab w:val="left" w:pos="1080"/>
              </w:tabs>
              <w:spacing w:before="120"/>
              <w:ind w:right="-1" w:firstLine="600"/>
              <w:rPr>
                <w:rFonts w:ascii="Garamond" w:hAnsi="Garamond"/>
                <w:sz w:val="22"/>
                <w:szCs w:val="22"/>
              </w:rPr>
            </w:pPr>
            <w:r w:rsidRPr="007A00C5">
              <w:rPr>
                <w:rFonts w:ascii="Garamond" w:hAnsi="Garamond"/>
                <w:b/>
                <w:sz w:val="22"/>
                <w:szCs w:val="22"/>
              </w:rPr>
              <w:t>Акт о соответствии системы коммерческого учета электрической энергии техническим требованиям оптового рынка электрической энергии и мощности (далее – Акт о соответствии АИИС КУЭ)</w:t>
            </w:r>
            <w:r w:rsidRPr="007A00C5">
              <w:rPr>
                <w:rFonts w:ascii="Garamond" w:hAnsi="Garamond"/>
                <w:sz w:val="22"/>
                <w:szCs w:val="22"/>
              </w:rPr>
              <w:t xml:space="preserve"> – документ, подтверждающий выполнение заявителем требований п. 23 Правил оптового рынка </w:t>
            </w:r>
            <w:r w:rsidRPr="007A00C5">
              <w:rPr>
                <w:rFonts w:ascii="Garamond" w:hAnsi="Garamond"/>
                <w:sz w:val="22"/>
                <w:szCs w:val="22"/>
                <w:highlight w:val="yellow"/>
              </w:rPr>
              <w:t>электрической энергии (мощности), утвержденных постановлением Правительства РФ от 27.12.10 № 1172,</w:t>
            </w:r>
            <w:r w:rsidRPr="007A00C5">
              <w:rPr>
                <w:rFonts w:ascii="Garamond" w:hAnsi="Garamond"/>
                <w:sz w:val="22"/>
                <w:szCs w:val="22"/>
              </w:rPr>
              <w:t xml:space="preserve"> и Приложения № 11.1 к</w:t>
            </w:r>
            <w:r w:rsidRPr="007A00C5">
              <w:rPr>
                <w:rFonts w:ascii="Garamond" w:hAnsi="Garamond"/>
                <w:i/>
                <w:sz w:val="22"/>
                <w:szCs w:val="22"/>
              </w:rPr>
              <w:t xml:space="preserve"> </w:t>
            </w:r>
            <w:r w:rsidRPr="007A00C5">
              <w:rPr>
                <w:rFonts w:ascii="Garamond" w:hAnsi="Garamond"/>
                <w:sz w:val="22"/>
                <w:szCs w:val="22"/>
              </w:rPr>
              <w:t>Положению</w:t>
            </w:r>
            <w:r w:rsidRPr="007A00C5">
              <w:rPr>
                <w:rFonts w:ascii="Garamond" w:hAnsi="Garamond"/>
                <w:i/>
                <w:sz w:val="22"/>
                <w:szCs w:val="22"/>
              </w:rPr>
              <w:t xml:space="preserve"> </w:t>
            </w:r>
            <w:r w:rsidRPr="007A00C5">
              <w:rPr>
                <w:rFonts w:ascii="Garamond" w:hAnsi="Garamond"/>
                <w:sz w:val="22"/>
                <w:szCs w:val="22"/>
              </w:rPr>
              <w:t>о реестре</w:t>
            </w:r>
            <w:r w:rsidRPr="007A00C5">
              <w:rPr>
                <w:rFonts w:ascii="Garamond" w:hAnsi="Garamond"/>
                <w:sz w:val="22"/>
                <w:szCs w:val="22"/>
                <w:highlight w:val="yellow"/>
              </w:rPr>
              <w:t>)</w:t>
            </w:r>
            <w:r w:rsidRPr="007A00C5">
              <w:rPr>
                <w:rFonts w:ascii="Garamond" w:hAnsi="Garamond"/>
                <w:sz w:val="22"/>
                <w:szCs w:val="22"/>
              </w:rPr>
              <w:t xml:space="preserve"> в отношении точек поставки, входящих в соответствующее сечение коммерческого учета. Акт о соответствии АИИС КУЭ по смежному сечению коммерческого учета подтверждает выполнение указанных требований для обоих см</w:t>
            </w:r>
            <w:r w:rsidR="00FF5CC4" w:rsidRPr="007A00C5">
              <w:rPr>
                <w:rFonts w:ascii="Garamond" w:hAnsi="Garamond"/>
                <w:sz w:val="22"/>
                <w:szCs w:val="22"/>
              </w:rPr>
              <w:t>ежных субъектов оптового рынка.</w:t>
            </w:r>
          </w:p>
        </w:tc>
        <w:tc>
          <w:tcPr>
            <w:tcW w:w="7115" w:type="dxa"/>
            <w:vAlign w:val="center"/>
          </w:tcPr>
          <w:p w14:paraId="29590936" w14:textId="77777777" w:rsidR="004B3B82" w:rsidRPr="007A00C5" w:rsidRDefault="004B3B82" w:rsidP="00CD3B05">
            <w:pPr>
              <w:tabs>
                <w:tab w:val="num" w:pos="240"/>
                <w:tab w:val="left" w:pos="1080"/>
              </w:tabs>
              <w:suppressAutoHyphens w:val="0"/>
              <w:spacing w:before="120" w:after="120"/>
              <w:ind w:right="-1" w:firstLine="464"/>
              <w:jc w:val="both"/>
              <w:rPr>
                <w:rFonts w:ascii="Garamond" w:hAnsi="Garamond"/>
                <w:sz w:val="22"/>
                <w:szCs w:val="22"/>
              </w:rPr>
            </w:pPr>
            <w:r w:rsidRPr="007A00C5">
              <w:rPr>
                <w:rFonts w:ascii="Garamond" w:hAnsi="Garamond"/>
                <w:sz w:val="22"/>
                <w:szCs w:val="22"/>
              </w:rPr>
              <w:lastRenderedPageBreak/>
              <w:t>В настоящем Порядке используются следующие сокращения и определения:</w:t>
            </w:r>
          </w:p>
          <w:p w14:paraId="57C31736" w14:textId="77777777" w:rsidR="004B3B82" w:rsidRPr="007A00C5" w:rsidRDefault="004B3B82" w:rsidP="00CD3B05">
            <w:pPr>
              <w:pStyle w:val="a8"/>
              <w:tabs>
                <w:tab w:val="num" w:pos="240"/>
                <w:tab w:val="left" w:pos="1080"/>
              </w:tabs>
              <w:spacing w:before="120"/>
              <w:ind w:right="-1" w:firstLine="600"/>
              <w:rPr>
                <w:rFonts w:ascii="Garamond" w:hAnsi="Garamond"/>
                <w:sz w:val="22"/>
                <w:szCs w:val="22"/>
              </w:rPr>
            </w:pPr>
            <w:r w:rsidRPr="007A00C5">
              <w:rPr>
                <w:rFonts w:ascii="Garamond" w:hAnsi="Garamond"/>
                <w:b/>
                <w:sz w:val="22"/>
                <w:szCs w:val="22"/>
              </w:rPr>
              <w:t>АИИС</w:t>
            </w:r>
            <w:r w:rsidRPr="007A00C5">
              <w:rPr>
                <w:rFonts w:ascii="Garamond" w:hAnsi="Garamond"/>
                <w:sz w:val="22"/>
                <w:szCs w:val="22"/>
              </w:rPr>
              <w:t xml:space="preserve"> </w:t>
            </w:r>
            <w:r w:rsidRPr="007A00C5">
              <w:rPr>
                <w:rFonts w:ascii="Garamond" w:hAnsi="Garamond"/>
                <w:b/>
                <w:sz w:val="22"/>
                <w:szCs w:val="22"/>
              </w:rPr>
              <w:t xml:space="preserve">КУЭ </w:t>
            </w:r>
            <w:r w:rsidRPr="007A00C5">
              <w:rPr>
                <w:rFonts w:ascii="Garamond" w:hAnsi="Garamond"/>
                <w:sz w:val="22"/>
                <w:szCs w:val="22"/>
              </w:rPr>
              <w:t xml:space="preserve">– автоматизированная информационно-измерительная система коммерческого учета электрической энергии </w:t>
            </w:r>
            <w:r w:rsidRPr="007A00C5">
              <w:rPr>
                <w:rFonts w:ascii="Garamond" w:hAnsi="Garamond"/>
                <w:sz w:val="22"/>
                <w:szCs w:val="22"/>
                <w:highlight w:val="yellow"/>
              </w:rPr>
              <w:t>(</w:t>
            </w:r>
            <w:r w:rsidRPr="007A00C5">
              <w:rPr>
                <w:rFonts w:ascii="Garamond" w:hAnsi="Garamond"/>
                <w:sz w:val="22"/>
                <w:szCs w:val="22"/>
                <w:highlight w:val="yellow"/>
                <w:lang w:eastAsia="en-US"/>
              </w:rPr>
              <w:t xml:space="preserve">средство измерений, обеспечивающее сбор, обработку и передачу КО данных коммерческого </w:t>
            </w:r>
            <w:r w:rsidRPr="007A00C5">
              <w:rPr>
                <w:rFonts w:ascii="Garamond" w:hAnsi="Garamond"/>
                <w:sz w:val="22"/>
                <w:szCs w:val="22"/>
                <w:highlight w:val="yellow"/>
                <w:lang w:eastAsia="en-US"/>
              </w:rPr>
              <w:lastRenderedPageBreak/>
              <w:t>учета</w:t>
            </w:r>
            <w:r w:rsidRPr="007A00C5">
              <w:rPr>
                <w:rFonts w:ascii="Garamond" w:hAnsi="Garamond"/>
                <w:sz w:val="22"/>
                <w:szCs w:val="22"/>
                <w:highlight w:val="yellow"/>
              </w:rPr>
              <w:t>)</w:t>
            </w:r>
            <w:r w:rsidRPr="007A00C5">
              <w:rPr>
                <w:rFonts w:ascii="Garamond" w:hAnsi="Garamond"/>
                <w:sz w:val="22"/>
                <w:szCs w:val="22"/>
              </w:rPr>
              <w:t>. Для целей настоящего Порядка под АИИС КУЭ (компонентами АИИС КУЭ) понимается также совокупность средств измерений, не обеспечивающих совокупность функций по сбору, обработке и передаче КО данных коммерческого учета и не присоединенных к интеллектуальным системам учета электрической энергии (мощности), и технических устройств без измерительной функции, обеспечивающих сбор, обработку, хранение и передачу КО результатов измерений, полученных с использованием указанных средств измерений (далее – технические устройства без измерительной функции), в отношении которой не предусмотрено утверждение типа средства измерений АИИС КУЭ</w:t>
            </w:r>
            <w:r w:rsidR="00FF5CC4" w:rsidRPr="007A00C5">
              <w:rPr>
                <w:rFonts w:ascii="Garamond" w:hAnsi="Garamond"/>
                <w:sz w:val="22"/>
                <w:szCs w:val="22"/>
              </w:rPr>
              <w:t xml:space="preserve"> с приложением описания типа и свидетельства о поверке АИИС КУЭ с приложением перечня измерительных каналов</w:t>
            </w:r>
            <w:r w:rsidRPr="007A00C5">
              <w:rPr>
                <w:rFonts w:ascii="Garamond" w:hAnsi="Garamond"/>
                <w:sz w:val="22"/>
                <w:szCs w:val="22"/>
              </w:rPr>
              <w:t xml:space="preserve"> </w:t>
            </w:r>
            <w:r w:rsidRPr="007A00C5">
              <w:rPr>
                <w:rFonts w:ascii="Garamond" w:hAnsi="Garamond"/>
                <w:sz w:val="22"/>
                <w:szCs w:val="22"/>
                <w:highlight w:val="yellow"/>
              </w:rPr>
              <w:t>(далее – совокупность СИ и ТУ)</w:t>
            </w:r>
            <w:r w:rsidRPr="007A00C5">
              <w:rPr>
                <w:rFonts w:ascii="Garamond" w:hAnsi="Garamond"/>
                <w:sz w:val="22"/>
                <w:szCs w:val="22"/>
              </w:rPr>
              <w:t>. Оснащение точек поставки такой совокупностью допускается в случаях, предусмотренных Правилами оптового рынка электрической энергии и мощности, утвержденными постановлением Правительства Р</w:t>
            </w:r>
            <w:r w:rsidRPr="007A00C5">
              <w:rPr>
                <w:rFonts w:ascii="Garamond" w:hAnsi="Garamond"/>
                <w:sz w:val="22"/>
                <w:szCs w:val="22"/>
                <w:highlight w:val="yellow"/>
              </w:rPr>
              <w:t>оссийской</w:t>
            </w:r>
            <w:r w:rsidRPr="007A00C5">
              <w:rPr>
                <w:rFonts w:ascii="Garamond" w:hAnsi="Garamond"/>
                <w:sz w:val="22"/>
                <w:szCs w:val="22"/>
              </w:rPr>
              <w:t xml:space="preserve"> Ф</w:t>
            </w:r>
            <w:r w:rsidRPr="007A00C5">
              <w:rPr>
                <w:rFonts w:ascii="Garamond" w:hAnsi="Garamond"/>
                <w:sz w:val="22"/>
                <w:szCs w:val="22"/>
                <w:highlight w:val="yellow"/>
              </w:rPr>
              <w:t>едерации</w:t>
            </w:r>
            <w:r w:rsidRPr="007A00C5">
              <w:rPr>
                <w:rFonts w:ascii="Garamond" w:hAnsi="Garamond"/>
                <w:sz w:val="22"/>
                <w:szCs w:val="22"/>
              </w:rPr>
              <w:t xml:space="preserve"> от 27.12.2010 № 1172 (далее также – Правила оптового рынка).</w:t>
            </w:r>
          </w:p>
          <w:p w14:paraId="725E4E1A" w14:textId="77777777" w:rsidR="004B3B82" w:rsidRPr="007A00C5" w:rsidRDefault="004B3B82" w:rsidP="00FF5CC4">
            <w:pPr>
              <w:pStyle w:val="a8"/>
              <w:tabs>
                <w:tab w:val="num" w:pos="240"/>
                <w:tab w:val="left" w:pos="1080"/>
              </w:tabs>
              <w:spacing w:before="120"/>
              <w:ind w:right="-1" w:firstLine="600"/>
              <w:rPr>
                <w:rFonts w:ascii="Garamond" w:hAnsi="Garamond"/>
                <w:sz w:val="22"/>
                <w:szCs w:val="22"/>
              </w:rPr>
            </w:pPr>
            <w:r w:rsidRPr="007A00C5">
              <w:rPr>
                <w:rFonts w:ascii="Garamond" w:hAnsi="Garamond"/>
                <w:b/>
                <w:sz w:val="22"/>
                <w:szCs w:val="22"/>
              </w:rPr>
              <w:t>Акт о соответствии системы коммерческого учета электрической энергии техническим требованиям оптового рынка электрической энергии и мощности (далее – Акт о соответствии АИИС КУЭ)</w:t>
            </w:r>
            <w:r w:rsidRPr="007A00C5">
              <w:rPr>
                <w:rFonts w:ascii="Garamond" w:hAnsi="Garamond"/>
                <w:sz w:val="22"/>
                <w:szCs w:val="22"/>
              </w:rPr>
              <w:t xml:space="preserve"> – документ, подтверждающий выполнение заявителем требований п. 23 Правил оптового рынка и Приложения № 11.1 к Положению</w:t>
            </w:r>
            <w:r w:rsidRPr="007A00C5">
              <w:rPr>
                <w:rFonts w:ascii="Garamond" w:hAnsi="Garamond"/>
                <w:i/>
                <w:sz w:val="22"/>
                <w:szCs w:val="22"/>
              </w:rPr>
              <w:t xml:space="preserve"> </w:t>
            </w:r>
            <w:r w:rsidRPr="007A00C5">
              <w:rPr>
                <w:rFonts w:ascii="Garamond" w:hAnsi="Garamond"/>
                <w:sz w:val="22"/>
                <w:szCs w:val="22"/>
              </w:rPr>
              <w:t>о реестре в отношении точек поставки, входящих в соответствующее сечение коммерческого учета. Акт о соответствии АИИС КУЭ по смежному сечению коммерческого учета подтверждает выполнение указанных требований для обоих смежных субъектов оптового рынка.</w:t>
            </w:r>
          </w:p>
        </w:tc>
      </w:tr>
      <w:tr w:rsidR="004B3B82" w:rsidRPr="007A00C5" w14:paraId="641E6943" w14:textId="77777777" w:rsidTr="007A00C5">
        <w:tc>
          <w:tcPr>
            <w:tcW w:w="1031" w:type="dxa"/>
            <w:vAlign w:val="center"/>
          </w:tcPr>
          <w:p w14:paraId="0EA90F56" w14:textId="77777777" w:rsidR="004B3B82" w:rsidRPr="007A00C5" w:rsidRDefault="004B3B82" w:rsidP="00CD3B05">
            <w:pPr>
              <w:widowControl w:val="0"/>
              <w:spacing w:line="259" w:lineRule="auto"/>
              <w:jc w:val="center"/>
              <w:rPr>
                <w:rFonts w:ascii="Garamond" w:hAnsi="Garamond"/>
                <w:b/>
                <w:sz w:val="22"/>
                <w:szCs w:val="22"/>
                <w:lang w:eastAsia="en-US"/>
              </w:rPr>
            </w:pPr>
            <w:r w:rsidRPr="007A00C5">
              <w:rPr>
                <w:rFonts w:ascii="Garamond" w:hAnsi="Garamond"/>
                <w:b/>
                <w:sz w:val="22"/>
                <w:szCs w:val="22"/>
                <w:lang w:eastAsia="en-US"/>
              </w:rPr>
              <w:lastRenderedPageBreak/>
              <w:t>1.2.1</w:t>
            </w:r>
          </w:p>
        </w:tc>
        <w:tc>
          <w:tcPr>
            <w:tcW w:w="6833" w:type="dxa"/>
            <w:vAlign w:val="center"/>
          </w:tcPr>
          <w:p w14:paraId="06BE065A" w14:textId="77777777" w:rsidR="004B3B82" w:rsidRPr="007A00C5" w:rsidRDefault="004B3B82" w:rsidP="00E31AE6">
            <w:pPr>
              <w:widowControl w:val="0"/>
              <w:spacing w:line="259" w:lineRule="auto"/>
              <w:ind w:firstLine="486"/>
              <w:jc w:val="both"/>
              <w:rPr>
                <w:rFonts w:ascii="Garamond" w:hAnsi="Garamond"/>
                <w:sz w:val="22"/>
                <w:szCs w:val="22"/>
                <w:lang w:eastAsia="en-US"/>
              </w:rPr>
            </w:pPr>
            <w:r w:rsidRPr="007A00C5">
              <w:rPr>
                <w:rFonts w:ascii="Garamond" w:hAnsi="Garamond"/>
                <w:sz w:val="22"/>
                <w:szCs w:val="22"/>
              </w:rPr>
              <w:t xml:space="preserve">Оформление Акта о соответствии АИИС КУЭ класса А в отношении совокупности </w:t>
            </w:r>
            <w:r w:rsidRPr="007A00C5">
              <w:rPr>
                <w:rFonts w:ascii="Garamond" w:hAnsi="Garamond"/>
                <w:sz w:val="22"/>
                <w:szCs w:val="22"/>
                <w:highlight w:val="yellow"/>
              </w:rPr>
              <w:t>средств измерений, не обеспечивающих совокупность функций по сбору, обработке и передаче КО данных коммерческого учета и не присоединенных к интеллектуальным системам учета электрической энергии (мощности), и технических устройств без измерительной функции</w:t>
            </w:r>
            <w:r w:rsidRPr="007A00C5">
              <w:rPr>
                <w:rFonts w:ascii="Garamond" w:hAnsi="Garamond"/>
                <w:sz w:val="22"/>
                <w:szCs w:val="22"/>
              </w:rPr>
              <w:t xml:space="preserve"> осуществляется </w:t>
            </w:r>
            <w:r w:rsidRPr="007A00C5">
              <w:rPr>
                <w:rFonts w:ascii="Garamond" w:hAnsi="Garamond"/>
                <w:sz w:val="22"/>
                <w:szCs w:val="22"/>
                <w:highlight w:val="yellow"/>
              </w:rPr>
              <w:t>при условии соответствия указанной совокупности техническим требованиям</w:t>
            </w:r>
            <w:r w:rsidRPr="007A00C5">
              <w:rPr>
                <w:rFonts w:ascii="Garamond" w:hAnsi="Garamond"/>
                <w:sz w:val="22"/>
                <w:szCs w:val="22"/>
              </w:rPr>
              <w:t>, предусмотренны</w:t>
            </w:r>
            <w:r w:rsidRPr="007A00C5">
              <w:rPr>
                <w:rFonts w:ascii="Garamond" w:hAnsi="Garamond"/>
                <w:sz w:val="22"/>
                <w:szCs w:val="22"/>
                <w:highlight w:val="yellow"/>
              </w:rPr>
              <w:t>м разделом 6</w:t>
            </w:r>
            <w:r w:rsidRPr="007A00C5">
              <w:rPr>
                <w:rFonts w:ascii="Garamond" w:hAnsi="Garamond"/>
                <w:sz w:val="22"/>
                <w:szCs w:val="22"/>
              </w:rPr>
              <w:t xml:space="preserve"> Приложения № 11.1 к Положению о реестре.</w:t>
            </w:r>
          </w:p>
        </w:tc>
        <w:tc>
          <w:tcPr>
            <w:tcW w:w="7115" w:type="dxa"/>
            <w:vAlign w:val="center"/>
          </w:tcPr>
          <w:p w14:paraId="43064F56" w14:textId="77777777" w:rsidR="004B3B82" w:rsidRPr="007A00C5" w:rsidRDefault="004B3B82" w:rsidP="00644E1C">
            <w:pPr>
              <w:widowControl w:val="0"/>
              <w:spacing w:line="259" w:lineRule="auto"/>
              <w:ind w:firstLine="486"/>
              <w:jc w:val="both"/>
              <w:rPr>
                <w:rFonts w:ascii="Garamond" w:hAnsi="Garamond"/>
                <w:sz w:val="22"/>
                <w:szCs w:val="22"/>
              </w:rPr>
            </w:pPr>
            <w:r w:rsidRPr="007A00C5">
              <w:rPr>
                <w:rFonts w:ascii="Garamond" w:hAnsi="Garamond"/>
                <w:sz w:val="22"/>
                <w:szCs w:val="22"/>
              </w:rPr>
              <w:t xml:space="preserve">Оформление Акта о соответствии АИИС КУЭ класса А </w:t>
            </w:r>
            <w:r w:rsidRPr="007A00C5">
              <w:rPr>
                <w:rFonts w:ascii="Garamond" w:hAnsi="Garamond"/>
                <w:sz w:val="22"/>
                <w:szCs w:val="22"/>
                <w:highlight w:val="yellow"/>
              </w:rPr>
              <w:t>в соответствии с требованиями настоящего Порядка</w:t>
            </w:r>
            <w:r w:rsidRPr="007A00C5">
              <w:rPr>
                <w:rFonts w:ascii="Garamond" w:hAnsi="Garamond"/>
                <w:sz w:val="22"/>
                <w:szCs w:val="22"/>
              </w:rPr>
              <w:t xml:space="preserve"> в отношении совокупности </w:t>
            </w:r>
            <w:r w:rsidRPr="007A00C5">
              <w:rPr>
                <w:rFonts w:ascii="Garamond" w:hAnsi="Garamond"/>
                <w:sz w:val="22"/>
                <w:szCs w:val="22"/>
                <w:highlight w:val="yellow"/>
              </w:rPr>
              <w:t>СИ и ТУ</w:t>
            </w:r>
            <w:r w:rsidRPr="007A00C5">
              <w:rPr>
                <w:rFonts w:ascii="Garamond" w:hAnsi="Garamond"/>
                <w:sz w:val="22"/>
                <w:szCs w:val="22"/>
              </w:rPr>
              <w:t xml:space="preserve"> осуществляется </w:t>
            </w:r>
            <w:r w:rsidRPr="007A00C5">
              <w:rPr>
                <w:rFonts w:ascii="Garamond" w:hAnsi="Garamond"/>
                <w:sz w:val="22"/>
                <w:szCs w:val="22"/>
                <w:highlight w:val="yellow"/>
              </w:rPr>
              <w:t>в случаях</w:t>
            </w:r>
            <w:r w:rsidRPr="007A00C5">
              <w:rPr>
                <w:rFonts w:ascii="Garamond" w:hAnsi="Garamond"/>
                <w:sz w:val="22"/>
                <w:szCs w:val="22"/>
              </w:rPr>
              <w:t>, предусмотренны</w:t>
            </w:r>
            <w:r w:rsidRPr="007A00C5">
              <w:rPr>
                <w:rFonts w:ascii="Garamond" w:hAnsi="Garamond"/>
                <w:sz w:val="22"/>
                <w:szCs w:val="22"/>
                <w:highlight w:val="yellow"/>
              </w:rPr>
              <w:t>х п. 1.4</w:t>
            </w:r>
            <w:r w:rsidRPr="007A00C5">
              <w:rPr>
                <w:rFonts w:ascii="Garamond" w:hAnsi="Garamond"/>
                <w:sz w:val="22"/>
                <w:szCs w:val="22"/>
              </w:rPr>
              <w:t xml:space="preserve"> Приложения № 11.1 к Положению о реестре.</w:t>
            </w:r>
          </w:p>
        </w:tc>
      </w:tr>
      <w:tr w:rsidR="004B3B82" w:rsidRPr="007A00C5" w14:paraId="1974E322" w14:textId="77777777" w:rsidTr="007A00C5">
        <w:tc>
          <w:tcPr>
            <w:tcW w:w="1031" w:type="dxa"/>
            <w:vAlign w:val="center"/>
          </w:tcPr>
          <w:p w14:paraId="7DB91311" w14:textId="77777777" w:rsidR="004B3B82" w:rsidRPr="007A00C5" w:rsidRDefault="004B3B82" w:rsidP="00CD3B05">
            <w:pPr>
              <w:widowControl w:val="0"/>
              <w:spacing w:line="259" w:lineRule="auto"/>
              <w:jc w:val="center"/>
              <w:rPr>
                <w:rFonts w:ascii="Garamond" w:hAnsi="Garamond"/>
                <w:b/>
                <w:sz w:val="22"/>
                <w:szCs w:val="22"/>
                <w:lang w:eastAsia="en-US"/>
              </w:rPr>
            </w:pPr>
            <w:r w:rsidRPr="007A00C5">
              <w:rPr>
                <w:rFonts w:ascii="Garamond" w:hAnsi="Garamond"/>
                <w:b/>
                <w:sz w:val="22"/>
                <w:szCs w:val="22"/>
                <w:lang w:eastAsia="en-US"/>
              </w:rPr>
              <w:lastRenderedPageBreak/>
              <w:t>1.9</w:t>
            </w:r>
          </w:p>
        </w:tc>
        <w:tc>
          <w:tcPr>
            <w:tcW w:w="6833" w:type="dxa"/>
            <w:vAlign w:val="center"/>
          </w:tcPr>
          <w:p w14:paraId="401D6A50" w14:textId="77777777" w:rsidR="004B3B82" w:rsidRPr="007A00C5" w:rsidRDefault="004B3B82" w:rsidP="00CD3B05">
            <w:pPr>
              <w:pStyle w:val="af6"/>
              <w:tabs>
                <w:tab w:val="clear" w:pos="1332"/>
                <w:tab w:val="num" w:pos="240"/>
                <w:tab w:val="left" w:pos="1080"/>
              </w:tabs>
              <w:ind w:left="0" w:firstLine="600"/>
              <w:rPr>
                <w:rFonts w:ascii="Garamond" w:hAnsi="Garamond"/>
                <w:sz w:val="22"/>
                <w:szCs w:val="22"/>
              </w:rPr>
            </w:pPr>
            <w:r w:rsidRPr="007A00C5">
              <w:rPr>
                <w:rFonts w:ascii="Garamond" w:hAnsi="Garamond"/>
                <w:sz w:val="22"/>
                <w:szCs w:val="22"/>
              </w:rPr>
              <w:t xml:space="preserve">Процедура установления соответствия АИИС КУЭ по действующему составу точек поставки и точек измерений в сечениях коммерческого учета, предусмотренная пп. 2, 3 настоящего Порядка, прекращается в случаях, если в процессе установления соответствия АИИС КУЭ изменен состав точек поставки и (или) точек измерений и (или) внесены изменения в части наименований точек поставки и точек измерений, и (или) типа (модификации) приборов учета и (или) измерительных каналов </w:t>
            </w:r>
            <w:r w:rsidRPr="007A00C5">
              <w:rPr>
                <w:rFonts w:ascii="Garamond" w:hAnsi="Garamond"/>
                <w:sz w:val="22"/>
                <w:szCs w:val="22"/>
                <w:highlight w:val="yellow"/>
              </w:rPr>
              <w:t>счетчика</w:t>
            </w:r>
            <w:r w:rsidRPr="007A00C5">
              <w:rPr>
                <w:rFonts w:ascii="Garamond" w:hAnsi="Garamond"/>
                <w:sz w:val="22"/>
                <w:szCs w:val="22"/>
              </w:rPr>
              <w:t xml:space="preserve">, и (или) признака включения в АИИС КУЭ в указанных сечениях коммерческого учета (за исключением случаев, когда указанные изменения внесены только в отношении смежного субъекта оптового рынка). </w:t>
            </w:r>
          </w:p>
          <w:p w14:paraId="438451B5" w14:textId="77777777" w:rsidR="004B3B82" w:rsidRPr="007A00C5" w:rsidRDefault="004B3B82" w:rsidP="00CD3B05">
            <w:pPr>
              <w:pStyle w:val="af6"/>
              <w:tabs>
                <w:tab w:val="clear" w:pos="1332"/>
                <w:tab w:val="num" w:pos="240"/>
                <w:tab w:val="left" w:pos="1080"/>
              </w:tabs>
              <w:ind w:left="0" w:firstLine="600"/>
              <w:rPr>
                <w:rFonts w:ascii="Garamond" w:hAnsi="Garamond"/>
                <w:sz w:val="22"/>
                <w:szCs w:val="22"/>
                <w:lang w:val="ru-RU"/>
              </w:rPr>
            </w:pPr>
            <w:r w:rsidRPr="007A00C5">
              <w:rPr>
                <w:rFonts w:ascii="Garamond" w:hAnsi="Garamond"/>
                <w:sz w:val="22"/>
                <w:szCs w:val="22"/>
              </w:rPr>
              <w:t xml:space="preserve">Процедура установления соответствия АИИС КУЭ прекращается, если в процессе установления соответствия АИИС КУЭ по сечению коммерческого учета </w:t>
            </w:r>
            <w:r w:rsidRPr="007A00C5">
              <w:rPr>
                <w:rFonts w:ascii="Garamond" w:hAnsi="Garamond"/>
                <w:color w:val="000000"/>
                <w:sz w:val="22"/>
                <w:szCs w:val="22"/>
                <w:lang w:val="ru-RU"/>
              </w:rPr>
              <w:t>з</w:t>
            </w:r>
            <w:r w:rsidRPr="007A00C5">
              <w:rPr>
                <w:rFonts w:ascii="Garamond" w:hAnsi="Garamond"/>
                <w:color w:val="000000"/>
                <w:sz w:val="22"/>
                <w:szCs w:val="22"/>
              </w:rPr>
              <w:t>аявителя</w:t>
            </w:r>
            <w:r w:rsidRPr="007A00C5">
              <w:rPr>
                <w:rFonts w:ascii="Garamond" w:hAnsi="Garamond"/>
                <w:sz w:val="22"/>
                <w:szCs w:val="22"/>
                <w:lang w:val="ru-RU"/>
              </w:rPr>
              <w:t>:</w:t>
            </w:r>
            <w:r w:rsidRPr="007A00C5">
              <w:rPr>
                <w:rFonts w:ascii="Garamond" w:hAnsi="Garamond"/>
                <w:sz w:val="22"/>
                <w:szCs w:val="22"/>
              </w:rPr>
              <w:t xml:space="preserve"> </w:t>
            </w:r>
          </w:p>
          <w:p w14:paraId="463F7401" w14:textId="77777777" w:rsidR="004B3B82" w:rsidRPr="007A00C5" w:rsidRDefault="004B3B82" w:rsidP="00CD3B05">
            <w:pPr>
              <w:pStyle w:val="af6"/>
              <w:tabs>
                <w:tab w:val="clear" w:pos="1332"/>
                <w:tab w:val="num" w:pos="240"/>
                <w:tab w:val="left" w:pos="1080"/>
              </w:tabs>
              <w:ind w:left="0" w:firstLine="600"/>
              <w:rPr>
                <w:rFonts w:ascii="Garamond" w:hAnsi="Garamond"/>
                <w:sz w:val="22"/>
                <w:szCs w:val="22"/>
                <w:lang w:val="ru-RU"/>
              </w:rPr>
            </w:pPr>
            <w:r w:rsidRPr="007A00C5">
              <w:rPr>
                <w:rFonts w:ascii="Garamond" w:hAnsi="Garamond"/>
                <w:sz w:val="22"/>
                <w:szCs w:val="22"/>
                <w:lang w:val="ru-RU"/>
              </w:rPr>
              <w:t xml:space="preserve">– </w:t>
            </w:r>
            <w:r w:rsidRPr="007A00C5">
              <w:rPr>
                <w:rFonts w:ascii="Garamond" w:hAnsi="Garamond"/>
                <w:sz w:val="22"/>
                <w:szCs w:val="22"/>
              </w:rPr>
              <w:t xml:space="preserve">КО получает от </w:t>
            </w:r>
            <w:r w:rsidRPr="007A00C5">
              <w:rPr>
                <w:rFonts w:ascii="Garamond" w:hAnsi="Garamond"/>
                <w:sz w:val="22"/>
                <w:szCs w:val="22"/>
                <w:lang w:val="ru-RU"/>
              </w:rPr>
              <w:t>з</w:t>
            </w:r>
            <w:r w:rsidRPr="007A00C5">
              <w:rPr>
                <w:rFonts w:ascii="Garamond" w:hAnsi="Garamond"/>
                <w:sz w:val="22"/>
                <w:szCs w:val="22"/>
              </w:rPr>
              <w:t>аявителя заявление на установление соответствия АИИС КУЭ по тому же сечению коммерческого учета в отношении того же состава точек поставки и точек измерений</w:t>
            </w:r>
            <w:r w:rsidRPr="007A00C5">
              <w:rPr>
                <w:rFonts w:ascii="Garamond" w:hAnsi="Garamond"/>
                <w:sz w:val="22"/>
                <w:szCs w:val="22"/>
                <w:lang w:val="ru-RU"/>
              </w:rPr>
              <w:t xml:space="preserve">. </w:t>
            </w:r>
            <w:r w:rsidRPr="007A00C5">
              <w:rPr>
                <w:rFonts w:ascii="Garamond" w:hAnsi="Garamond"/>
                <w:sz w:val="22"/>
                <w:szCs w:val="22"/>
              </w:rPr>
              <w:t>Процедура прекращается после завершения с положительным результатом проверки комплектности соответствующих документов, предусмотренной настоящ</w:t>
            </w:r>
            <w:r w:rsidRPr="007A00C5">
              <w:rPr>
                <w:rFonts w:ascii="Garamond" w:hAnsi="Garamond"/>
                <w:sz w:val="22"/>
                <w:szCs w:val="22"/>
                <w:lang w:val="ru-RU"/>
              </w:rPr>
              <w:t>им</w:t>
            </w:r>
            <w:r w:rsidRPr="007A00C5">
              <w:rPr>
                <w:rFonts w:ascii="Garamond" w:hAnsi="Garamond"/>
                <w:sz w:val="22"/>
                <w:szCs w:val="22"/>
              </w:rPr>
              <w:t xml:space="preserve"> Порядк</w:t>
            </w:r>
            <w:r w:rsidRPr="007A00C5">
              <w:rPr>
                <w:rFonts w:ascii="Garamond" w:hAnsi="Garamond"/>
                <w:sz w:val="22"/>
                <w:szCs w:val="22"/>
                <w:lang w:val="ru-RU"/>
              </w:rPr>
              <w:t>ом;</w:t>
            </w:r>
            <w:r w:rsidRPr="007A00C5">
              <w:rPr>
                <w:rFonts w:ascii="Garamond" w:hAnsi="Garamond"/>
                <w:sz w:val="22"/>
                <w:szCs w:val="22"/>
              </w:rPr>
              <w:t xml:space="preserve"> </w:t>
            </w:r>
          </w:p>
          <w:p w14:paraId="0B522FBF" w14:textId="77777777" w:rsidR="004B3B82" w:rsidRPr="007A00C5" w:rsidRDefault="004B3B82" w:rsidP="00CD3B05">
            <w:pPr>
              <w:widowControl w:val="0"/>
              <w:spacing w:line="259" w:lineRule="auto"/>
              <w:ind w:firstLine="486"/>
              <w:jc w:val="both"/>
              <w:rPr>
                <w:rFonts w:ascii="Garamond" w:hAnsi="Garamond"/>
                <w:sz w:val="22"/>
                <w:szCs w:val="22"/>
              </w:rPr>
            </w:pPr>
            <w:r w:rsidRPr="007A00C5">
              <w:rPr>
                <w:rFonts w:ascii="Garamond" w:hAnsi="Garamond"/>
                <w:sz w:val="22"/>
                <w:szCs w:val="22"/>
              </w:rPr>
              <w:t xml:space="preserve">– истекает срок действия свидетельства о поверке АИИС КУЭ (свидетельства о поверке </w:t>
            </w:r>
            <w:r w:rsidRPr="007A00C5">
              <w:rPr>
                <w:rFonts w:ascii="Garamond" w:hAnsi="Garamond"/>
                <w:sz w:val="22"/>
                <w:szCs w:val="22"/>
                <w:highlight w:val="yellow"/>
              </w:rPr>
              <w:t>счетчика (-ов) электроэнергии</w:t>
            </w:r>
            <w:r w:rsidRPr="007A00C5">
              <w:rPr>
                <w:rFonts w:ascii="Garamond" w:hAnsi="Garamond"/>
                <w:sz w:val="22"/>
                <w:szCs w:val="22"/>
              </w:rPr>
              <w:t xml:space="preserve"> в случаях, предусмотренных п. 1.2.1 настоящего Порядка), представленного заявителем в соответствии с настоящим Порядком, до</w:t>
            </w:r>
            <w:r w:rsidRPr="007A00C5">
              <w:rPr>
                <w:rFonts w:ascii="Garamond" w:hAnsi="Garamond"/>
                <w:color w:val="000000"/>
                <w:sz w:val="22"/>
                <w:szCs w:val="22"/>
              </w:rPr>
              <w:t xml:space="preserve"> оформления КО Акта о соответствии АИИС КУЭ</w:t>
            </w:r>
            <w:r w:rsidRPr="007A00C5">
              <w:rPr>
                <w:rFonts w:ascii="Garamond" w:hAnsi="Garamond"/>
                <w:sz w:val="22"/>
                <w:szCs w:val="22"/>
              </w:rPr>
              <w:t>;</w:t>
            </w:r>
          </w:p>
          <w:p w14:paraId="6AFE5CA5" w14:textId="77777777" w:rsidR="004B3B82" w:rsidRPr="007A00C5" w:rsidRDefault="004B3B82" w:rsidP="00CD3B05">
            <w:pPr>
              <w:widowControl w:val="0"/>
              <w:spacing w:line="259" w:lineRule="auto"/>
              <w:ind w:firstLine="486"/>
              <w:jc w:val="both"/>
              <w:rPr>
                <w:rFonts w:ascii="Garamond" w:hAnsi="Garamond"/>
                <w:sz w:val="22"/>
                <w:szCs w:val="22"/>
              </w:rPr>
            </w:pPr>
            <w:r w:rsidRPr="007A00C5">
              <w:rPr>
                <w:rFonts w:ascii="Garamond" w:hAnsi="Garamond"/>
                <w:sz w:val="22"/>
                <w:szCs w:val="22"/>
              </w:rPr>
              <w:t>…</w:t>
            </w:r>
          </w:p>
        </w:tc>
        <w:tc>
          <w:tcPr>
            <w:tcW w:w="7115" w:type="dxa"/>
            <w:vAlign w:val="center"/>
          </w:tcPr>
          <w:p w14:paraId="3B3510DD" w14:textId="77777777" w:rsidR="004B3B82" w:rsidRPr="007A00C5" w:rsidRDefault="004B3B82" w:rsidP="00CD3B05">
            <w:pPr>
              <w:pStyle w:val="af6"/>
              <w:tabs>
                <w:tab w:val="clear" w:pos="1332"/>
                <w:tab w:val="num" w:pos="240"/>
                <w:tab w:val="left" w:pos="1080"/>
              </w:tabs>
              <w:ind w:left="0" w:firstLine="600"/>
              <w:rPr>
                <w:rFonts w:ascii="Garamond" w:hAnsi="Garamond"/>
                <w:sz w:val="22"/>
                <w:szCs w:val="22"/>
              </w:rPr>
            </w:pPr>
            <w:r w:rsidRPr="007A00C5">
              <w:rPr>
                <w:rFonts w:ascii="Garamond" w:hAnsi="Garamond"/>
                <w:sz w:val="22"/>
                <w:szCs w:val="22"/>
              </w:rPr>
              <w:t xml:space="preserve">Процедура установления соответствия АИИС КУЭ по действующему составу точек поставки и точек измерений в сечениях коммерческого учета, предусмотренная пп. 2, 3 настоящего Порядка, прекращается в случаях, если в процессе установления соответствия АИИС КУЭ изменен состав точек поставки и (или) точек измерений и (или) внесены изменения в части наименований точек поставки и точек измерений, и (или) типа (модификации) приборов учета и (или) измерительных каналов </w:t>
            </w:r>
            <w:r w:rsidRPr="007A00C5">
              <w:rPr>
                <w:rFonts w:ascii="Garamond" w:hAnsi="Garamond"/>
                <w:sz w:val="22"/>
                <w:szCs w:val="22"/>
                <w:highlight w:val="yellow"/>
              </w:rPr>
              <w:t>прибора учета</w:t>
            </w:r>
            <w:r w:rsidRPr="007A00C5">
              <w:rPr>
                <w:rFonts w:ascii="Garamond" w:hAnsi="Garamond"/>
                <w:sz w:val="22"/>
                <w:szCs w:val="22"/>
              </w:rPr>
              <w:t xml:space="preserve">, и (или) признака включения в АИИС КУЭ в указанных сечениях коммерческого учета (за исключением случаев, когда указанные изменения внесены только в отношении смежного субъекта оптового рынка). </w:t>
            </w:r>
          </w:p>
          <w:p w14:paraId="7DD4CFEA" w14:textId="77777777" w:rsidR="004B3B82" w:rsidRPr="007A00C5" w:rsidRDefault="004B3B82" w:rsidP="00CD3B05">
            <w:pPr>
              <w:pStyle w:val="af6"/>
              <w:tabs>
                <w:tab w:val="clear" w:pos="1332"/>
                <w:tab w:val="num" w:pos="240"/>
                <w:tab w:val="left" w:pos="1080"/>
              </w:tabs>
              <w:ind w:left="0" w:firstLine="600"/>
              <w:rPr>
                <w:rFonts w:ascii="Garamond" w:hAnsi="Garamond"/>
                <w:sz w:val="22"/>
                <w:szCs w:val="22"/>
                <w:lang w:val="ru-RU"/>
              </w:rPr>
            </w:pPr>
            <w:r w:rsidRPr="007A00C5">
              <w:rPr>
                <w:rFonts w:ascii="Garamond" w:hAnsi="Garamond"/>
                <w:sz w:val="22"/>
                <w:szCs w:val="22"/>
              </w:rPr>
              <w:t xml:space="preserve">Процедура установления соответствия АИИС КУЭ прекращается, если в процессе установления соответствия АИИС КУЭ по сечению коммерческого учета </w:t>
            </w:r>
            <w:r w:rsidRPr="007A00C5">
              <w:rPr>
                <w:rFonts w:ascii="Garamond" w:hAnsi="Garamond"/>
                <w:color w:val="000000"/>
                <w:sz w:val="22"/>
                <w:szCs w:val="22"/>
                <w:lang w:val="ru-RU"/>
              </w:rPr>
              <w:t>з</w:t>
            </w:r>
            <w:r w:rsidRPr="007A00C5">
              <w:rPr>
                <w:rFonts w:ascii="Garamond" w:hAnsi="Garamond"/>
                <w:color w:val="000000"/>
                <w:sz w:val="22"/>
                <w:szCs w:val="22"/>
              </w:rPr>
              <w:t>аявителя</w:t>
            </w:r>
            <w:r w:rsidRPr="007A00C5">
              <w:rPr>
                <w:rFonts w:ascii="Garamond" w:hAnsi="Garamond"/>
                <w:sz w:val="22"/>
                <w:szCs w:val="22"/>
                <w:lang w:val="ru-RU"/>
              </w:rPr>
              <w:t>:</w:t>
            </w:r>
            <w:r w:rsidRPr="007A00C5">
              <w:rPr>
                <w:rFonts w:ascii="Garamond" w:hAnsi="Garamond"/>
                <w:sz w:val="22"/>
                <w:szCs w:val="22"/>
              </w:rPr>
              <w:t xml:space="preserve"> </w:t>
            </w:r>
          </w:p>
          <w:p w14:paraId="683937D8" w14:textId="77777777" w:rsidR="004B3B82" w:rsidRPr="007A00C5" w:rsidRDefault="004B3B82" w:rsidP="00CD3B05">
            <w:pPr>
              <w:pStyle w:val="af6"/>
              <w:tabs>
                <w:tab w:val="clear" w:pos="1332"/>
                <w:tab w:val="num" w:pos="240"/>
                <w:tab w:val="left" w:pos="1080"/>
              </w:tabs>
              <w:ind w:left="0" w:firstLine="600"/>
              <w:rPr>
                <w:rFonts w:ascii="Garamond" w:hAnsi="Garamond"/>
                <w:sz w:val="22"/>
                <w:szCs w:val="22"/>
                <w:lang w:val="ru-RU"/>
              </w:rPr>
            </w:pPr>
            <w:r w:rsidRPr="007A00C5">
              <w:rPr>
                <w:rFonts w:ascii="Garamond" w:hAnsi="Garamond"/>
                <w:sz w:val="22"/>
                <w:szCs w:val="22"/>
                <w:lang w:val="ru-RU"/>
              </w:rPr>
              <w:t xml:space="preserve">– </w:t>
            </w:r>
            <w:r w:rsidRPr="007A00C5">
              <w:rPr>
                <w:rFonts w:ascii="Garamond" w:hAnsi="Garamond"/>
                <w:sz w:val="22"/>
                <w:szCs w:val="22"/>
              </w:rPr>
              <w:t xml:space="preserve">КО получает от </w:t>
            </w:r>
            <w:r w:rsidRPr="007A00C5">
              <w:rPr>
                <w:rFonts w:ascii="Garamond" w:hAnsi="Garamond"/>
                <w:sz w:val="22"/>
                <w:szCs w:val="22"/>
                <w:lang w:val="ru-RU"/>
              </w:rPr>
              <w:t>з</w:t>
            </w:r>
            <w:r w:rsidRPr="007A00C5">
              <w:rPr>
                <w:rFonts w:ascii="Garamond" w:hAnsi="Garamond"/>
                <w:sz w:val="22"/>
                <w:szCs w:val="22"/>
              </w:rPr>
              <w:t>аявителя заявление на установление соответствия АИИС КУЭ по тому же сечению коммерческого учета в отношении того же состава точек поставки и точек измерений</w:t>
            </w:r>
            <w:r w:rsidRPr="007A00C5">
              <w:rPr>
                <w:rFonts w:ascii="Garamond" w:hAnsi="Garamond"/>
                <w:sz w:val="22"/>
                <w:szCs w:val="22"/>
                <w:lang w:val="ru-RU"/>
              </w:rPr>
              <w:t xml:space="preserve">. </w:t>
            </w:r>
            <w:r w:rsidRPr="007A00C5">
              <w:rPr>
                <w:rFonts w:ascii="Garamond" w:hAnsi="Garamond"/>
                <w:sz w:val="22"/>
                <w:szCs w:val="22"/>
              </w:rPr>
              <w:t>Процедура прекращается после завершения с положительным результатом проверки комплектности соответствующих документов, предусмотренной настоящ</w:t>
            </w:r>
            <w:r w:rsidRPr="007A00C5">
              <w:rPr>
                <w:rFonts w:ascii="Garamond" w:hAnsi="Garamond"/>
                <w:sz w:val="22"/>
                <w:szCs w:val="22"/>
                <w:lang w:val="ru-RU"/>
              </w:rPr>
              <w:t>им</w:t>
            </w:r>
            <w:r w:rsidRPr="007A00C5">
              <w:rPr>
                <w:rFonts w:ascii="Garamond" w:hAnsi="Garamond"/>
                <w:sz w:val="22"/>
                <w:szCs w:val="22"/>
              </w:rPr>
              <w:t xml:space="preserve"> Порядк</w:t>
            </w:r>
            <w:r w:rsidRPr="007A00C5">
              <w:rPr>
                <w:rFonts w:ascii="Garamond" w:hAnsi="Garamond"/>
                <w:sz w:val="22"/>
                <w:szCs w:val="22"/>
                <w:lang w:val="ru-RU"/>
              </w:rPr>
              <w:t>ом;</w:t>
            </w:r>
            <w:r w:rsidRPr="007A00C5">
              <w:rPr>
                <w:rFonts w:ascii="Garamond" w:hAnsi="Garamond"/>
                <w:sz w:val="22"/>
                <w:szCs w:val="22"/>
              </w:rPr>
              <w:t xml:space="preserve"> </w:t>
            </w:r>
          </w:p>
          <w:p w14:paraId="762052C6" w14:textId="77777777" w:rsidR="004B3B82" w:rsidRPr="007A00C5" w:rsidRDefault="004B3B82" w:rsidP="00CD3B05">
            <w:pPr>
              <w:widowControl w:val="0"/>
              <w:spacing w:line="259" w:lineRule="auto"/>
              <w:ind w:firstLine="486"/>
              <w:jc w:val="both"/>
              <w:rPr>
                <w:rFonts w:ascii="Garamond" w:hAnsi="Garamond"/>
                <w:sz w:val="22"/>
                <w:szCs w:val="22"/>
              </w:rPr>
            </w:pPr>
            <w:r w:rsidRPr="007A00C5">
              <w:rPr>
                <w:rFonts w:ascii="Garamond" w:hAnsi="Garamond"/>
                <w:sz w:val="22"/>
                <w:szCs w:val="22"/>
              </w:rPr>
              <w:t xml:space="preserve">– истекает срок действия свидетельства о поверке АИИС КУЭ (свидетельства о поверке </w:t>
            </w:r>
            <w:r w:rsidRPr="007A00C5">
              <w:rPr>
                <w:rFonts w:ascii="Garamond" w:hAnsi="Garamond"/>
                <w:sz w:val="22"/>
                <w:szCs w:val="22"/>
                <w:highlight w:val="yellow"/>
              </w:rPr>
              <w:t>прибора (-ов) учета</w:t>
            </w:r>
            <w:r w:rsidRPr="007A00C5">
              <w:rPr>
                <w:rFonts w:ascii="Garamond" w:hAnsi="Garamond"/>
                <w:sz w:val="22"/>
                <w:szCs w:val="22"/>
              </w:rPr>
              <w:t xml:space="preserve"> в случаях, предусмотренных п. 1.2.1 настоящего Порядка), представленного заявителем в соответствии с настоящим Порядком, до</w:t>
            </w:r>
            <w:r w:rsidRPr="007A00C5">
              <w:rPr>
                <w:rFonts w:ascii="Garamond" w:hAnsi="Garamond"/>
                <w:color w:val="000000"/>
                <w:sz w:val="22"/>
                <w:szCs w:val="22"/>
              </w:rPr>
              <w:t xml:space="preserve"> оформления КО Акта о соответствии АИИС КУЭ</w:t>
            </w:r>
            <w:r w:rsidRPr="007A00C5">
              <w:rPr>
                <w:rFonts w:ascii="Garamond" w:hAnsi="Garamond"/>
                <w:sz w:val="22"/>
                <w:szCs w:val="22"/>
              </w:rPr>
              <w:t>;</w:t>
            </w:r>
          </w:p>
          <w:p w14:paraId="5114790E" w14:textId="77777777" w:rsidR="004B3B82" w:rsidRPr="007A00C5" w:rsidRDefault="004B3B82" w:rsidP="00CD3B05">
            <w:pPr>
              <w:widowControl w:val="0"/>
              <w:spacing w:line="259" w:lineRule="auto"/>
              <w:ind w:firstLine="486"/>
              <w:jc w:val="both"/>
              <w:rPr>
                <w:rFonts w:ascii="Garamond" w:hAnsi="Garamond"/>
                <w:sz w:val="22"/>
                <w:szCs w:val="22"/>
              </w:rPr>
            </w:pPr>
            <w:r w:rsidRPr="007A00C5">
              <w:rPr>
                <w:rFonts w:ascii="Garamond" w:hAnsi="Garamond"/>
                <w:sz w:val="22"/>
                <w:szCs w:val="22"/>
              </w:rPr>
              <w:t>…</w:t>
            </w:r>
          </w:p>
        </w:tc>
      </w:tr>
      <w:tr w:rsidR="004B3B82" w:rsidRPr="007A00C5" w14:paraId="4B2F7663" w14:textId="77777777" w:rsidTr="007A00C5">
        <w:tc>
          <w:tcPr>
            <w:tcW w:w="1031" w:type="dxa"/>
            <w:vAlign w:val="center"/>
          </w:tcPr>
          <w:p w14:paraId="343A490C" w14:textId="77777777" w:rsidR="004B3B82" w:rsidRPr="007A00C5" w:rsidRDefault="004B3B82" w:rsidP="00CD3B05">
            <w:pPr>
              <w:widowControl w:val="0"/>
              <w:spacing w:line="259" w:lineRule="auto"/>
              <w:jc w:val="center"/>
              <w:rPr>
                <w:rFonts w:ascii="Garamond" w:hAnsi="Garamond"/>
                <w:b/>
                <w:sz w:val="22"/>
                <w:szCs w:val="22"/>
                <w:lang w:eastAsia="en-US"/>
              </w:rPr>
            </w:pPr>
            <w:r w:rsidRPr="007A00C5">
              <w:rPr>
                <w:rFonts w:ascii="Garamond" w:hAnsi="Garamond"/>
                <w:b/>
                <w:sz w:val="22"/>
                <w:szCs w:val="22"/>
                <w:lang w:eastAsia="en-US"/>
              </w:rPr>
              <w:t>2.7.1</w:t>
            </w:r>
          </w:p>
        </w:tc>
        <w:tc>
          <w:tcPr>
            <w:tcW w:w="6833" w:type="dxa"/>
            <w:vAlign w:val="center"/>
          </w:tcPr>
          <w:p w14:paraId="3B1125F4" w14:textId="77777777" w:rsidR="004B3B82" w:rsidRPr="007A00C5" w:rsidRDefault="004B3B82" w:rsidP="00CD3B05">
            <w:pPr>
              <w:pStyle w:val="ac"/>
              <w:tabs>
                <w:tab w:val="left" w:pos="1200"/>
              </w:tabs>
              <w:autoSpaceDE w:val="0"/>
              <w:autoSpaceDN w:val="0"/>
              <w:spacing w:before="120" w:after="120"/>
              <w:ind w:left="0" w:firstLine="580"/>
              <w:jc w:val="both"/>
              <w:rPr>
                <w:rFonts w:ascii="Garamond" w:hAnsi="Garamond"/>
                <w:sz w:val="22"/>
                <w:szCs w:val="22"/>
              </w:rPr>
            </w:pPr>
            <w:r w:rsidRPr="007A00C5">
              <w:rPr>
                <w:rFonts w:ascii="Garamond" w:hAnsi="Garamond"/>
                <w:sz w:val="22"/>
                <w:szCs w:val="22"/>
              </w:rPr>
              <w:t xml:space="preserve">Акт о соответствии АИИС КУЭ класса А оформляется со сроком действия равным сроку действия свидетельства о поверке АИИС КУЭ (свидетельства о поверке </w:t>
            </w:r>
            <w:r w:rsidRPr="007A00C5">
              <w:rPr>
                <w:rFonts w:ascii="Garamond" w:hAnsi="Garamond"/>
                <w:sz w:val="22"/>
                <w:szCs w:val="22"/>
                <w:highlight w:val="yellow"/>
              </w:rPr>
              <w:t>счетчика (-ов) электроэнергии</w:t>
            </w:r>
            <w:r w:rsidRPr="007A00C5">
              <w:rPr>
                <w:rFonts w:ascii="Garamond" w:hAnsi="Garamond"/>
                <w:sz w:val="22"/>
                <w:szCs w:val="22"/>
              </w:rPr>
              <w:t xml:space="preserve"> в случаях, предусмотренных п. 1.2.1 настоящего Порядка), </w:t>
            </w:r>
            <w:r w:rsidRPr="007A00C5" w:rsidDel="00BC1624">
              <w:rPr>
                <w:rFonts w:ascii="Garamond" w:hAnsi="Garamond"/>
                <w:sz w:val="22"/>
                <w:szCs w:val="22"/>
              </w:rPr>
              <w:t xml:space="preserve">представленного </w:t>
            </w:r>
            <w:r w:rsidRPr="007A00C5">
              <w:rPr>
                <w:rFonts w:ascii="Garamond" w:hAnsi="Garamond"/>
                <w:sz w:val="22"/>
                <w:szCs w:val="22"/>
              </w:rPr>
              <w:t>з</w:t>
            </w:r>
            <w:r w:rsidRPr="007A00C5" w:rsidDel="00BC1624">
              <w:rPr>
                <w:rFonts w:ascii="Garamond" w:hAnsi="Garamond"/>
                <w:sz w:val="22"/>
                <w:szCs w:val="22"/>
              </w:rPr>
              <w:t xml:space="preserve">аявителем </w:t>
            </w:r>
            <w:r w:rsidRPr="007A00C5">
              <w:rPr>
                <w:rFonts w:ascii="Garamond" w:hAnsi="Garamond"/>
                <w:sz w:val="22"/>
                <w:szCs w:val="22"/>
              </w:rPr>
              <w:t>согласно</w:t>
            </w:r>
            <w:r w:rsidRPr="007A00C5" w:rsidDel="00BC1624">
              <w:rPr>
                <w:rFonts w:ascii="Garamond" w:hAnsi="Garamond"/>
                <w:sz w:val="22"/>
                <w:szCs w:val="22"/>
              </w:rPr>
              <w:t xml:space="preserve"> </w:t>
            </w:r>
            <w:r w:rsidRPr="007A00C5">
              <w:rPr>
                <w:rFonts w:ascii="Garamond" w:hAnsi="Garamond"/>
                <w:sz w:val="22"/>
                <w:szCs w:val="22"/>
              </w:rPr>
              <w:t>настоящему Порядку, но не более 4 (четырех) лет с даты регистрации протокола испытаний АИИС КУЭ в отношении заявляемого состава точек измерений, завершившихся с положительным результатом, оформленного в порядке и сроки согласно п. 2.6.7 настоящего Порядка, если иное не предусмотрено настоящим пунктом.</w:t>
            </w:r>
          </w:p>
          <w:p w14:paraId="1BE9DE41" w14:textId="77777777" w:rsidR="004B3B82" w:rsidRPr="007A00C5" w:rsidRDefault="004B3B82" w:rsidP="00CD3B05">
            <w:pPr>
              <w:pStyle w:val="ac"/>
              <w:tabs>
                <w:tab w:val="left" w:pos="1200"/>
              </w:tabs>
              <w:autoSpaceDE w:val="0"/>
              <w:autoSpaceDN w:val="0"/>
              <w:spacing w:before="120" w:after="120"/>
              <w:ind w:left="0" w:firstLine="580"/>
              <w:jc w:val="both"/>
              <w:rPr>
                <w:rFonts w:ascii="Garamond" w:hAnsi="Garamond"/>
                <w:sz w:val="22"/>
                <w:szCs w:val="22"/>
              </w:rPr>
            </w:pPr>
            <w:r w:rsidRPr="007A00C5">
              <w:rPr>
                <w:rFonts w:ascii="Garamond" w:hAnsi="Garamond"/>
                <w:sz w:val="22"/>
                <w:szCs w:val="22"/>
              </w:rPr>
              <w:lastRenderedPageBreak/>
              <w:t xml:space="preserve">В случае наличия двух и более свидетельств о поверке АИИС КУЭ (свидетельств о поверке </w:t>
            </w:r>
            <w:r w:rsidRPr="007A00C5">
              <w:rPr>
                <w:rFonts w:ascii="Garamond" w:hAnsi="Garamond"/>
                <w:sz w:val="22"/>
                <w:szCs w:val="22"/>
                <w:highlight w:val="yellow"/>
              </w:rPr>
              <w:t>счетчика (-ов) электроэнергии</w:t>
            </w:r>
            <w:r w:rsidRPr="007A00C5">
              <w:rPr>
                <w:rFonts w:ascii="Garamond" w:hAnsi="Garamond"/>
                <w:sz w:val="22"/>
                <w:szCs w:val="22"/>
              </w:rPr>
              <w:t xml:space="preserve"> в случаях, предусмотренных п. 1.2.1 настоящего Порядка) в комплекте документов, представленном заявителем согласно настоящему Порядку, в сечении коммерческого учета, Акт о соответствии АИИС КУЭ класса А оформляется со сроком действия равным сроку действия того свидетельства о поверке АИИС КУЭ (свидетельства о поверке </w:t>
            </w:r>
            <w:r w:rsidRPr="007A00C5">
              <w:rPr>
                <w:rFonts w:ascii="Garamond" w:hAnsi="Garamond"/>
                <w:sz w:val="22"/>
                <w:szCs w:val="22"/>
                <w:highlight w:val="yellow"/>
              </w:rPr>
              <w:t>счетчика (-ов) электроэнергии</w:t>
            </w:r>
            <w:r w:rsidRPr="007A00C5">
              <w:rPr>
                <w:rFonts w:ascii="Garamond" w:hAnsi="Garamond"/>
                <w:sz w:val="22"/>
                <w:szCs w:val="22"/>
              </w:rPr>
              <w:t xml:space="preserve"> в случаях, предусмотренных п. 1.2.1 настоящего Порядка), срок действия которого истечет ранее.</w:t>
            </w:r>
          </w:p>
          <w:p w14:paraId="76002A91" w14:textId="77777777" w:rsidR="004B3B82" w:rsidRPr="007A00C5" w:rsidRDefault="004B3B82" w:rsidP="00CD3B05">
            <w:pPr>
              <w:pStyle w:val="ac"/>
              <w:tabs>
                <w:tab w:val="left" w:pos="1200"/>
              </w:tabs>
              <w:autoSpaceDE w:val="0"/>
              <w:autoSpaceDN w:val="0"/>
              <w:spacing w:before="120" w:after="120"/>
              <w:ind w:left="0" w:firstLine="580"/>
              <w:jc w:val="both"/>
              <w:rPr>
                <w:rFonts w:ascii="Garamond" w:hAnsi="Garamond"/>
                <w:sz w:val="22"/>
                <w:szCs w:val="22"/>
              </w:rPr>
            </w:pPr>
            <w:r w:rsidRPr="007A00C5">
              <w:rPr>
                <w:rFonts w:ascii="Garamond" w:hAnsi="Garamond"/>
                <w:sz w:val="22"/>
                <w:szCs w:val="22"/>
              </w:rPr>
              <w:t>…</w:t>
            </w:r>
          </w:p>
          <w:p w14:paraId="7F6DFD66" w14:textId="77777777" w:rsidR="004B3B82" w:rsidRPr="007A00C5" w:rsidRDefault="004B3B82" w:rsidP="00CD3B05">
            <w:pPr>
              <w:pStyle w:val="ac"/>
              <w:tabs>
                <w:tab w:val="left" w:pos="1200"/>
              </w:tabs>
              <w:autoSpaceDE w:val="0"/>
              <w:autoSpaceDN w:val="0"/>
              <w:spacing w:before="120" w:after="120"/>
              <w:ind w:left="0" w:firstLine="567"/>
              <w:jc w:val="both"/>
              <w:rPr>
                <w:rFonts w:ascii="Garamond" w:hAnsi="Garamond"/>
                <w:sz w:val="22"/>
                <w:szCs w:val="22"/>
              </w:rPr>
            </w:pPr>
            <w:r w:rsidRPr="007A00C5">
              <w:rPr>
                <w:rFonts w:ascii="Garamond" w:hAnsi="Garamond"/>
                <w:sz w:val="22"/>
                <w:szCs w:val="22"/>
              </w:rPr>
              <w:t xml:space="preserve">В случае наличия в соответствующей АИИС КУЭ </w:t>
            </w:r>
            <w:r w:rsidRPr="007A00C5">
              <w:rPr>
                <w:rFonts w:ascii="Garamond" w:hAnsi="Garamond"/>
                <w:sz w:val="22"/>
                <w:szCs w:val="22"/>
                <w:highlight w:val="yellow"/>
              </w:rPr>
              <w:t>счетчиков электрической энергии</w:t>
            </w:r>
            <w:r w:rsidRPr="007A00C5">
              <w:rPr>
                <w:rFonts w:ascii="Garamond" w:hAnsi="Garamond"/>
                <w:sz w:val="22"/>
                <w:szCs w:val="22"/>
              </w:rPr>
              <w:t>, которые не фиксируют в «Журнале событий» отсутствие напряжения по каждой фазе с фиксацией времени пропадания и восстановления напряжения, Акт о соответствии АИИС КУЭ класса А оформляется со сроком действия до наиболее ранней из дат:</w:t>
            </w:r>
          </w:p>
          <w:p w14:paraId="399F34A8" w14:textId="77777777" w:rsidR="004B3B82" w:rsidRPr="007A00C5" w:rsidRDefault="004B3B82" w:rsidP="004B3B82">
            <w:pPr>
              <w:pStyle w:val="ac"/>
              <w:numPr>
                <w:ilvl w:val="0"/>
                <w:numId w:val="179"/>
              </w:numPr>
              <w:tabs>
                <w:tab w:val="left" w:pos="819"/>
              </w:tabs>
              <w:autoSpaceDE w:val="0"/>
              <w:autoSpaceDN w:val="0"/>
              <w:spacing w:before="120" w:after="120"/>
              <w:ind w:left="0" w:firstLine="536"/>
              <w:jc w:val="both"/>
              <w:rPr>
                <w:rFonts w:ascii="Garamond" w:hAnsi="Garamond"/>
                <w:sz w:val="22"/>
                <w:szCs w:val="22"/>
              </w:rPr>
            </w:pPr>
            <w:r w:rsidRPr="007A00C5">
              <w:rPr>
                <w:rFonts w:ascii="Garamond" w:hAnsi="Garamond"/>
                <w:sz w:val="22"/>
                <w:szCs w:val="22"/>
              </w:rPr>
              <w:t xml:space="preserve">даты окончания действия свидетельства о поверке АИИС КУЭ (свидетельства о поверке </w:t>
            </w:r>
            <w:r w:rsidRPr="007A00C5">
              <w:rPr>
                <w:rFonts w:ascii="Garamond" w:hAnsi="Garamond"/>
                <w:sz w:val="22"/>
                <w:szCs w:val="22"/>
                <w:highlight w:val="yellow"/>
              </w:rPr>
              <w:t>счетчика (-ов) электроэнергии</w:t>
            </w:r>
            <w:r w:rsidRPr="007A00C5">
              <w:rPr>
                <w:rFonts w:ascii="Garamond" w:hAnsi="Garamond"/>
                <w:sz w:val="22"/>
                <w:szCs w:val="22"/>
              </w:rPr>
              <w:t xml:space="preserve"> в случаях, предусмотренных п. 1.2.1 настоящего Порядка) либо наиболее ранней даты окончания действия свидетельств о поверке АИИС КУЭ (свидетельства о поверке </w:t>
            </w:r>
            <w:r w:rsidRPr="007A00C5">
              <w:rPr>
                <w:rFonts w:ascii="Garamond" w:hAnsi="Garamond"/>
                <w:sz w:val="22"/>
                <w:szCs w:val="22"/>
                <w:highlight w:val="yellow"/>
              </w:rPr>
              <w:t>счетчика (-ов) электроэнергии</w:t>
            </w:r>
            <w:r w:rsidRPr="007A00C5">
              <w:rPr>
                <w:rFonts w:ascii="Garamond" w:hAnsi="Garamond"/>
                <w:sz w:val="22"/>
                <w:szCs w:val="22"/>
              </w:rPr>
              <w:t xml:space="preserve"> в случаях, предусмотренных п. 1.2.1 настоящего Порядка), представленных заявителем согласно настоящему Порядку, в случае если указанных свидетельств более одного;</w:t>
            </w:r>
          </w:p>
          <w:p w14:paraId="2BB3DB96" w14:textId="77777777" w:rsidR="004B3B82" w:rsidRPr="007A00C5" w:rsidRDefault="004B3B82" w:rsidP="00CD3B05">
            <w:pPr>
              <w:pStyle w:val="af6"/>
              <w:tabs>
                <w:tab w:val="clear" w:pos="1332"/>
                <w:tab w:val="num" w:pos="240"/>
                <w:tab w:val="left" w:pos="1080"/>
              </w:tabs>
              <w:ind w:left="0" w:firstLine="600"/>
              <w:rPr>
                <w:rFonts w:ascii="Garamond" w:hAnsi="Garamond"/>
                <w:sz w:val="22"/>
                <w:szCs w:val="22"/>
                <w:lang w:val="ru-RU"/>
              </w:rPr>
            </w:pPr>
            <w:r w:rsidRPr="007A00C5">
              <w:rPr>
                <w:rFonts w:ascii="Garamond" w:hAnsi="Garamond"/>
                <w:sz w:val="22"/>
                <w:szCs w:val="22"/>
                <w:lang w:val="ru-RU"/>
              </w:rPr>
              <w:t>…</w:t>
            </w:r>
          </w:p>
        </w:tc>
        <w:tc>
          <w:tcPr>
            <w:tcW w:w="7115" w:type="dxa"/>
            <w:vAlign w:val="center"/>
          </w:tcPr>
          <w:p w14:paraId="2DFBD911" w14:textId="77777777" w:rsidR="004B3B82" w:rsidRPr="007A00C5" w:rsidRDefault="004B3B82" w:rsidP="00CD3B05">
            <w:pPr>
              <w:pStyle w:val="ac"/>
              <w:tabs>
                <w:tab w:val="left" w:pos="1200"/>
              </w:tabs>
              <w:autoSpaceDE w:val="0"/>
              <w:autoSpaceDN w:val="0"/>
              <w:spacing w:before="120" w:after="120"/>
              <w:ind w:left="0" w:firstLine="580"/>
              <w:jc w:val="both"/>
              <w:rPr>
                <w:rFonts w:ascii="Garamond" w:hAnsi="Garamond"/>
                <w:sz w:val="22"/>
                <w:szCs w:val="22"/>
              </w:rPr>
            </w:pPr>
            <w:r w:rsidRPr="007A00C5">
              <w:rPr>
                <w:rFonts w:ascii="Garamond" w:hAnsi="Garamond"/>
                <w:sz w:val="22"/>
                <w:szCs w:val="22"/>
              </w:rPr>
              <w:lastRenderedPageBreak/>
              <w:t xml:space="preserve">Акт о соответствии АИИС КУЭ класса А оформляется со сроком действия равным сроку действия свидетельства о поверке АИИС КУЭ (свидетельства о поверке </w:t>
            </w:r>
            <w:r w:rsidRPr="007A00C5">
              <w:rPr>
                <w:rFonts w:ascii="Garamond" w:hAnsi="Garamond"/>
                <w:sz w:val="22"/>
                <w:szCs w:val="22"/>
                <w:highlight w:val="yellow"/>
              </w:rPr>
              <w:t>прибора (-ов) учета</w:t>
            </w:r>
            <w:r w:rsidRPr="007A00C5">
              <w:rPr>
                <w:rFonts w:ascii="Garamond" w:hAnsi="Garamond"/>
                <w:sz w:val="22"/>
                <w:szCs w:val="22"/>
              </w:rPr>
              <w:t xml:space="preserve"> в случаях, предусмотренных п. 1.2.1 настоящего Порядка), </w:t>
            </w:r>
            <w:r w:rsidRPr="007A00C5" w:rsidDel="00BC1624">
              <w:rPr>
                <w:rFonts w:ascii="Garamond" w:hAnsi="Garamond"/>
                <w:sz w:val="22"/>
                <w:szCs w:val="22"/>
              </w:rPr>
              <w:t xml:space="preserve">представленного </w:t>
            </w:r>
            <w:r w:rsidRPr="007A00C5">
              <w:rPr>
                <w:rFonts w:ascii="Garamond" w:hAnsi="Garamond"/>
                <w:sz w:val="22"/>
                <w:szCs w:val="22"/>
              </w:rPr>
              <w:t>з</w:t>
            </w:r>
            <w:r w:rsidRPr="007A00C5" w:rsidDel="00BC1624">
              <w:rPr>
                <w:rFonts w:ascii="Garamond" w:hAnsi="Garamond"/>
                <w:sz w:val="22"/>
                <w:szCs w:val="22"/>
              </w:rPr>
              <w:t xml:space="preserve">аявителем </w:t>
            </w:r>
            <w:r w:rsidRPr="007A00C5">
              <w:rPr>
                <w:rFonts w:ascii="Garamond" w:hAnsi="Garamond"/>
                <w:sz w:val="22"/>
                <w:szCs w:val="22"/>
              </w:rPr>
              <w:t>согласно</w:t>
            </w:r>
            <w:r w:rsidRPr="007A00C5" w:rsidDel="00BC1624">
              <w:rPr>
                <w:rFonts w:ascii="Garamond" w:hAnsi="Garamond"/>
                <w:sz w:val="22"/>
                <w:szCs w:val="22"/>
              </w:rPr>
              <w:t xml:space="preserve"> </w:t>
            </w:r>
            <w:r w:rsidRPr="007A00C5">
              <w:rPr>
                <w:rFonts w:ascii="Garamond" w:hAnsi="Garamond"/>
                <w:sz w:val="22"/>
                <w:szCs w:val="22"/>
              </w:rPr>
              <w:t>настоящему Порядку, но не более 4 (четырех) лет с даты регистрации протокола испытаний АИИС КУЭ в отношении заявляемого состава точек измерений, завершившихся с положительным результатом, оформленного в порядке и сроки согласно п. 2.6.7 настоящего Порядка, если иное не предусмотрено настоящим пунктом.</w:t>
            </w:r>
          </w:p>
          <w:p w14:paraId="31C33745" w14:textId="77777777" w:rsidR="004B3B82" w:rsidRPr="007A00C5" w:rsidRDefault="004B3B82" w:rsidP="00CD3B05">
            <w:pPr>
              <w:pStyle w:val="ac"/>
              <w:tabs>
                <w:tab w:val="left" w:pos="1200"/>
              </w:tabs>
              <w:autoSpaceDE w:val="0"/>
              <w:autoSpaceDN w:val="0"/>
              <w:spacing w:before="120" w:after="120"/>
              <w:ind w:left="0" w:firstLine="580"/>
              <w:jc w:val="both"/>
              <w:rPr>
                <w:rFonts w:ascii="Garamond" w:hAnsi="Garamond"/>
                <w:sz w:val="22"/>
                <w:szCs w:val="22"/>
              </w:rPr>
            </w:pPr>
            <w:r w:rsidRPr="007A00C5">
              <w:rPr>
                <w:rFonts w:ascii="Garamond" w:hAnsi="Garamond"/>
                <w:sz w:val="22"/>
                <w:szCs w:val="22"/>
              </w:rPr>
              <w:lastRenderedPageBreak/>
              <w:t xml:space="preserve">В случае наличия двух и более свидетельств о поверке АИИС КУЭ (свидетельств о поверке </w:t>
            </w:r>
            <w:r w:rsidRPr="007A00C5">
              <w:rPr>
                <w:rFonts w:ascii="Garamond" w:hAnsi="Garamond"/>
                <w:sz w:val="22"/>
                <w:szCs w:val="22"/>
                <w:highlight w:val="yellow"/>
              </w:rPr>
              <w:t>прибора (-ов) учета</w:t>
            </w:r>
            <w:r w:rsidRPr="007A00C5">
              <w:rPr>
                <w:rFonts w:ascii="Garamond" w:hAnsi="Garamond"/>
                <w:sz w:val="22"/>
                <w:szCs w:val="22"/>
              </w:rPr>
              <w:t xml:space="preserve"> в случаях, предусмотренных п. 1.2.1 настоящего Порядка) в комплекте документов, представленном заявителем согласно настоящему Порядку, в сечении коммерческого учета, Акт о соответствии АИИС КУЭ класса А оформляется со сроком действия равным сроку действия того свидетельства о поверке АИИС КУЭ (свидетельства о поверке </w:t>
            </w:r>
            <w:r w:rsidRPr="007A00C5">
              <w:rPr>
                <w:rFonts w:ascii="Garamond" w:hAnsi="Garamond"/>
                <w:sz w:val="22"/>
                <w:szCs w:val="22"/>
                <w:highlight w:val="yellow"/>
              </w:rPr>
              <w:t>прибора (-ов) учета</w:t>
            </w:r>
            <w:r w:rsidRPr="007A00C5">
              <w:rPr>
                <w:rFonts w:ascii="Garamond" w:hAnsi="Garamond"/>
                <w:sz w:val="22"/>
                <w:szCs w:val="22"/>
              </w:rPr>
              <w:t xml:space="preserve"> в случаях, предусмотренных п. 1.2.1 настоящего Порядка), срок действия которого истечет ранее.</w:t>
            </w:r>
          </w:p>
          <w:p w14:paraId="292C2098" w14:textId="77777777" w:rsidR="004B3B82" w:rsidRPr="007A00C5" w:rsidRDefault="004B3B82" w:rsidP="00CD3B05">
            <w:pPr>
              <w:pStyle w:val="ac"/>
              <w:tabs>
                <w:tab w:val="left" w:pos="1200"/>
              </w:tabs>
              <w:autoSpaceDE w:val="0"/>
              <w:autoSpaceDN w:val="0"/>
              <w:spacing w:before="120" w:after="120"/>
              <w:ind w:left="0" w:firstLine="580"/>
              <w:jc w:val="both"/>
              <w:rPr>
                <w:rFonts w:ascii="Garamond" w:hAnsi="Garamond"/>
                <w:sz w:val="22"/>
                <w:szCs w:val="22"/>
              </w:rPr>
            </w:pPr>
            <w:r w:rsidRPr="007A00C5">
              <w:rPr>
                <w:rFonts w:ascii="Garamond" w:hAnsi="Garamond"/>
                <w:sz w:val="22"/>
                <w:szCs w:val="22"/>
              </w:rPr>
              <w:t>…</w:t>
            </w:r>
          </w:p>
          <w:p w14:paraId="1CEB287C" w14:textId="77777777" w:rsidR="004B3B82" w:rsidRPr="007A00C5" w:rsidRDefault="004B3B82" w:rsidP="00CD3B05">
            <w:pPr>
              <w:pStyle w:val="ac"/>
              <w:tabs>
                <w:tab w:val="left" w:pos="1200"/>
              </w:tabs>
              <w:autoSpaceDE w:val="0"/>
              <w:autoSpaceDN w:val="0"/>
              <w:spacing w:before="120" w:after="120"/>
              <w:ind w:left="0" w:firstLine="567"/>
              <w:jc w:val="both"/>
              <w:rPr>
                <w:rFonts w:ascii="Garamond" w:hAnsi="Garamond"/>
                <w:sz w:val="22"/>
                <w:szCs w:val="22"/>
              </w:rPr>
            </w:pPr>
            <w:r w:rsidRPr="007A00C5">
              <w:rPr>
                <w:rFonts w:ascii="Garamond" w:hAnsi="Garamond"/>
                <w:sz w:val="22"/>
                <w:szCs w:val="22"/>
              </w:rPr>
              <w:t xml:space="preserve">В случае наличия в соответствующей АИИС КУЭ </w:t>
            </w:r>
            <w:r w:rsidRPr="007A00C5">
              <w:rPr>
                <w:rFonts w:ascii="Garamond" w:hAnsi="Garamond"/>
                <w:sz w:val="22"/>
                <w:szCs w:val="22"/>
                <w:highlight w:val="yellow"/>
              </w:rPr>
              <w:t>приборов учета</w:t>
            </w:r>
            <w:r w:rsidRPr="007A00C5">
              <w:rPr>
                <w:rFonts w:ascii="Garamond" w:hAnsi="Garamond"/>
                <w:sz w:val="22"/>
                <w:szCs w:val="22"/>
              </w:rPr>
              <w:t>, которые не фиксируют в «Журнале событий» отсутствие напряжения по каждой фазе с фиксацией времени пропадания и восстановления напряжения, Акт о соответствии АИИС КУЭ класса А оформляется со сроком действия до наиболее ранней из дат:</w:t>
            </w:r>
          </w:p>
          <w:p w14:paraId="047CD88B" w14:textId="77777777" w:rsidR="004B3B82" w:rsidRPr="007A00C5" w:rsidRDefault="004B3B82" w:rsidP="004B3B82">
            <w:pPr>
              <w:pStyle w:val="ac"/>
              <w:numPr>
                <w:ilvl w:val="0"/>
                <w:numId w:val="179"/>
              </w:numPr>
              <w:tabs>
                <w:tab w:val="left" w:pos="819"/>
              </w:tabs>
              <w:autoSpaceDE w:val="0"/>
              <w:autoSpaceDN w:val="0"/>
              <w:spacing w:before="120" w:after="120"/>
              <w:ind w:left="0" w:firstLine="536"/>
              <w:jc w:val="both"/>
              <w:rPr>
                <w:rFonts w:ascii="Garamond" w:hAnsi="Garamond"/>
                <w:sz w:val="22"/>
                <w:szCs w:val="22"/>
              </w:rPr>
            </w:pPr>
            <w:r w:rsidRPr="007A00C5">
              <w:rPr>
                <w:rFonts w:ascii="Garamond" w:hAnsi="Garamond"/>
                <w:sz w:val="22"/>
                <w:szCs w:val="22"/>
              </w:rPr>
              <w:t xml:space="preserve">даты окончания действия свидетельства о поверке АИИС КУЭ (свидетельства о поверке </w:t>
            </w:r>
            <w:r w:rsidRPr="007A00C5">
              <w:rPr>
                <w:rFonts w:ascii="Garamond" w:hAnsi="Garamond"/>
                <w:sz w:val="22"/>
                <w:szCs w:val="22"/>
                <w:highlight w:val="yellow"/>
              </w:rPr>
              <w:t>прибора (-ов) учета</w:t>
            </w:r>
            <w:r w:rsidRPr="007A00C5">
              <w:rPr>
                <w:rFonts w:ascii="Garamond" w:hAnsi="Garamond"/>
                <w:sz w:val="22"/>
                <w:szCs w:val="22"/>
              </w:rPr>
              <w:t xml:space="preserve"> в случаях, предусмотренных п. 1.2.1 настоящего Порядка) либо наиболее ранней даты окончания действия свидетельств о поверке АИИС КУЭ (свидетельства о поверке </w:t>
            </w:r>
            <w:r w:rsidRPr="007A00C5">
              <w:rPr>
                <w:rFonts w:ascii="Garamond" w:hAnsi="Garamond"/>
                <w:sz w:val="22"/>
                <w:szCs w:val="22"/>
                <w:highlight w:val="yellow"/>
              </w:rPr>
              <w:t>прибора (-ов) учета</w:t>
            </w:r>
            <w:r w:rsidRPr="007A00C5">
              <w:rPr>
                <w:rFonts w:ascii="Garamond" w:hAnsi="Garamond"/>
                <w:sz w:val="22"/>
                <w:szCs w:val="22"/>
              </w:rPr>
              <w:t xml:space="preserve"> в случаях, предусмотренных п. 1.2.1 настоящего Порядка), представленных заявителем согласно настоящему Порядку, в случае если указанных свидетельств более одного;</w:t>
            </w:r>
          </w:p>
          <w:p w14:paraId="448C0884" w14:textId="77777777" w:rsidR="004B3B82" w:rsidRPr="007A00C5" w:rsidRDefault="004B3B82" w:rsidP="00CD3B05">
            <w:pPr>
              <w:pStyle w:val="af6"/>
              <w:tabs>
                <w:tab w:val="clear" w:pos="1332"/>
                <w:tab w:val="num" w:pos="240"/>
                <w:tab w:val="left" w:pos="1080"/>
              </w:tabs>
              <w:ind w:left="0" w:firstLine="600"/>
              <w:rPr>
                <w:rFonts w:ascii="Garamond" w:hAnsi="Garamond"/>
                <w:sz w:val="22"/>
                <w:szCs w:val="22"/>
              </w:rPr>
            </w:pPr>
            <w:r w:rsidRPr="007A00C5">
              <w:rPr>
                <w:rFonts w:ascii="Garamond" w:hAnsi="Garamond"/>
                <w:sz w:val="22"/>
                <w:szCs w:val="22"/>
                <w:lang w:val="ru-RU"/>
              </w:rPr>
              <w:t>…</w:t>
            </w:r>
          </w:p>
        </w:tc>
      </w:tr>
      <w:tr w:rsidR="004B3B82" w:rsidRPr="007A00C5" w14:paraId="7E7DA578" w14:textId="77777777" w:rsidTr="007A00C5">
        <w:tc>
          <w:tcPr>
            <w:tcW w:w="1031" w:type="dxa"/>
            <w:vAlign w:val="center"/>
          </w:tcPr>
          <w:p w14:paraId="76DD83E9" w14:textId="77777777" w:rsidR="004B3B82" w:rsidRPr="007A00C5" w:rsidRDefault="004B3B82" w:rsidP="00CD3B05">
            <w:pPr>
              <w:widowControl w:val="0"/>
              <w:spacing w:line="259" w:lineRule="auto"/>
              <w:jc w:val="center"/>
              <w:rPr>
                <w:rFonts w:ascii="Garamond" w:hAnsi="Garamond"/>
                <w:b/>
                <w:sz w:val="22"/>
                <w:szCs w:val="22"/>
                <w:lang w:eastAsia="en-US"/>
              </w:rPr>
            </w:pPr>
            <w:r w:rsidRPr="007A00C5">
              <w:rPr>
                <w:rFonts w:ascii="Garamond" w:hAnsi="Garamond"/>
                <w:b/>
                <w:sz w:val="22"/>
                <w:szCs w:val="22"/>
                <w:lang w:eastAsia="en-US"/>
              </w:rPr>
              <w:lastRenderedPageBreak/>
              <w:t>2.7.2</w:t>
            </w:r>
          </w:p>
        </w:tc>
        <w:tc>
          <w:tcPr>
            <w:tcW w:w="6833" w:type="dxa"/>
            <w:vAlign w:val="center"/>
          </w:tcPr>
          <w:p w14:paraId="2B1A7A95" w14:textId="77777777" w:rsidR="004B3B82" w:rsidRPr="007A00C5" w:rsidRDefault="004B3B82" w:rsidP="00CD3B05">
            <w:pPr>
              <w:pStyle w:val="ac"/>
              <w:tabs>
                <w:tab w:val="left" w:pos="1200"/>
              </w:tabs>
              <w:autoSpaceDE w:val="0"/>
              <w:autoSpaceDN w:val="0"/>
              <w:spacing w:before="120" w:after="120"/>
              <w:ind w:left="0" w:firstLine="567"/>
              <w:jc w:val="both"/>
              <w:rPr>
                <w:rFonts w:ascii="Garamond" w:hAnsi="Garamond"/>
                <w:sz w:val="22"/>
                <w:szCs w:val="22"/>
              </w:rPr>
            </w:pPr>
            <w:r w:rsidRPr="007A00C5">
              <w:rPr>
                <w:rFonts w:ascii="Garamond" w:hAnsi="Garamond"/>
                <w:sz w:val="22"/>
                <w:szCs w:val="22"/>
              </w:rPr>
              <w:t>…</w:t>
            </w:r>
          </w:p>
          <w:p w14:paraId="31DD6033" w14:textId="77777777" w:rsidR="004B3B82" w:rsidRPr="007A00C5" w:rsidRDefault="004B3B82" w:rsidP="00CD3B05">
            <w:pPr>
              <w:pStyle w:val="ac"/>
              <w:tabs>
                <w:tab w:val="left" w:pos="1200"/>
              </w:tabs>
              <w:autoSpaceDE w:val="0"/>
              <w:autoSpaceDN w:val="0"/>
              <w:spacing w:before="120" w:after="120"/>
              <w:ind w:left="0" w:firstLine="567"/>
              <w:jc w:val="both"/>
              <w:rPr>
                <w:rFonts w:ascii="Garamond" w:hAnsi="Garamond"/>
                <w:sz w:val="22"/>
                <w:szCs w:val="22"/>
              </w:rPr>
            </w:pPr>
            <w:r w:rsidRPr="007A00C5">
              <w:rPr>
                <w:rFonts w:ascii="Garamond" w:hAnsi="Garamond"/>
                <w:sz w:val="22"/>
                <w:szCs w:val="22"/>
              </w:rPr>
              <w:t xml:space="preserve">В случае наличия в соответствующей АИИС КУЭ </w:t>
            </w:r>
            <w:r w:rsidRPr="007A00C5">
              <w:rPr>
                <w:rFonts w:ascii="Garamond" w:hAnsi="Garamond"/>
                <w:sz w:val="22"/>
                <w:szCs w:val="22"/>
                <w:highlight w:val="yellow"/>
              </w:rPr>
              <w:t>счетчиков электрической энергии</w:t>
            </w:r>
            <w:r w:rsidRPr="007A00C5">
              <w:rPr>
                <w:rFonts w:ascii="Garamond" w:hAnsi="Garamond"/>
                <w:sz w:val="22"/>
                <w:szCs w:val="22"/>
              </w:rPr>
              <w:t>, которые не фиксируют в «Журнале событий» отсутствие напряжения по каждой фазе с фиксацией времени пропадания и восстановления напряжения, Акт о соответствии АИИС КУЭ класса N, оформляемый после 31.12.2028, имеет срок действия до 31.12.2029, но не более 6 (шести) месяцев с даты получения права на участие в торговле по соответствующей ГТП.</w:t>
            </w:r>
          </w:p>
        </w:tc>
        <w:tc>
          <w:tcPr>
            <w:tcW w:w="7115" w:type="dxa"/>
            <w:vAlign w:val="center"/>
          </w:tcPr>
          <w:p w14:paraId="14C0559A" w14:textId="77777777" w:rsidR="004B3B82" w:rsidRPr="007A00C5" w:rsidRDefault="004B3B82" w:rsidP="00CD3B05">
            <w:pPr>
              <w:pStyle w:val="ac"/>
              <w:tabs>
                <w:tab w:val="left" w:pos="1200"/>
              </w:tabs>
              <w:autoSpaceDE w:val="0"/>
              <w:autoSpaceDN w:val="0"/>
              <w:spacing w:before="120" w:after="120"/>
              <w:ind w:left="0" w:firstLine="567"/>
              <w:jc w:val="both"/>
              <w:rPr>
                <w:rFonts w:ascii="Garamond" w:hAnsi="Garamond"/>
                <w:sz w:val="22"/>
                <w:szCs w:val="22"/>
              </w:rPr>
            </w:pPr>
            <w:r w:rsidRPr="007A00C5">
              <w:rPr>
                <w:rFonts w:ascii="Garamond" w:hAnsi="Garamond"/>
                <w:sz w:val="22"/>
                <w:szCs w:val="22"/>
              </w:rPr>
              <w:t>…</w:t>
            </w:r>
          </w:p>
          <w:p w14:paraId="31A0BCF4" w14:textId="77777777" w:rsidR="004B3B82" w:rsidRPr="007A00C5" w:rsidRDefault="004B3B82" w:rsidP="00CD3B05">
            <w:pPr>
              <w:pStyle w:val="ac"/>
              <w:tabs>
                <w:tab w:val="left" w:pos="1200"/>
              </w:tabs>
              <w:autoSpaceDE w:val="0"/>
              <w:autoSpaceDN w:val="0"/>
              <w:spacing w:before="120" w:after="120"/>
              <w:ind w:left="0" w:firstLine="580"/>
              <w:jc w:val="both"/>
              <w:rPr>
                <w:rFonts w:ascii="Garamond" w:hAnsi="Garamond"/>
                <w:sz w:val="22"/>
                <w:szCs w:val="22"/>
              </w:rPr>
            </w:pPr>
            <w:r w:rsidRPr="007A00C5">
              <w:rPr>
                <w:rFonts w:ascii="Garamond" w:hAnsi="Garamond"/>
                <w:sz w:val="22"/>
                <w:szCs w:val="22"/>
              </w:rPr>
              <w:t xml:space="preserve">В случае наличия в соответствующей АИИС КУЭ </w:t>
            </w:r>
            <w:r w:rsidRPr="007A00C5">
              <w:rPr>
                <w:rFonts w:ascii="Garamond" w:hAnsi="Garamond"/>
                <w:sz w:val="22"/>
                <w:szCs w:val="22"/>
                <w:highlight w:val="yellow"/>
              </w:rPr>
              <w:t>приборов учета</w:t>
            </w:r>
            <w:r w:rsidRPr="007A00C5">
              <w:rPr>
                <w:rFonts w:ascii="Garamond" w:hAnsi="Garamond"/>
                <w:sz w:val="22"/>
                <w:szCs w:val="22"/>
              </w:rPr>
              <w:t>, которые не фиксируют в «Журнале событий» отсутствие напряжения по каждой фазе с фиксацией времени пропадания и восстановления напряжения, Акт о соответствии АИИС КУЭ класса N, оформляемый после 31.12.2028, имеет срок действия до 31.12.2029, но не более 6 (шести) месяцев с даты получения права на участие в торговле по соответствующей ГТП.</w:t>
            </w:r>
          </w:p>
        </w:tc>
      </w:tr>
      <w:tr w:rsidR="004B3B82" w:rsidRPr="007A00C5" w14:paraId="1BE9373F" w14:textId="77777777" w:rsidTr="007A00C5">
        <w:tc>
          <w:tcPr>
            <w:tcW w:w="1031" w:type="dxa"/>
            <w:vAlign w:val="center"/>
          </w:tcPr>
          <w:p w14:paraId="3541DBB7" w14:textId="77777777" w:rsidR="004B3B82" w:rsidRPr="007A00C5" w:rsidRDefault="004B3B82" w:rsidP="00CD3B05">
            <w:pPr>
              <w:widowControl w:val="0"/>
              <w:spacing w:line="259" w:lineRule="auto"/>
              <w:jc w:val="center"/>
              <w:rPr>
                <w:rFonts w:ascii="Garamond" w:hAnsi="Garamond"/>
                <w:b/>
                <w:sz w:val="22"/>
                <w:szCs w:val="22"/>
                <w:lang w:eastAsia="en-US"/>
              </w:rPr>
            </w:pPr>
            <w:r w:rsidRPr="007A00C5">
              <w:rPr>
                <w:rFonts w:ascii="Garamond" w:hAnsi="Garamond"/>
                <w:b/>
                <w:sz w:val="22"/>
                <w:szCs w:val="22"/>
                <w:lang w:eastAsia="en-US"/>
              </w:rPr>
              <w:lastRenderedPageBreak/>
              <w:t>3.1</w:t>
            </w:r>
          </w:p>
        </w:tc>
        <w:tc>
          <w:tcPr>
            <w:tcW w:w="6833" w:type="dxa"/>
            <w:vAlign w:val="center"/>
          </w:tcPr>
          <w:p w14:paraId="3A96BD58" w14:textId="77777777" w:rsidR="004B3B82" w:rsidRPr="007A00C5" w:rsidRDefault="004B3B82" w:rsidP="00CD3B05">
            <w:pPr>
              <w:tabs>
                <w:tab w:val="left" w:pos="1080"/>
                <w:tab w:val="left" w:pos="3360"/>
              </w:tabs>
              <w:suppressAutoHyphens w:val="0"/>
              <w:autoSpaceDE w:val="0"/>
              <w:autoSpaceDN w:val="0"/>
              <w:spacing w:before="120" w:after="120"/>
              <w:jc w:val="both"/>
              <w:rPr>
                <w:rFonts w:ascii="Garamond" w:hAnsi="Garamond"/>
                <w:sz w:val="22"/>
                <w:szCs w:val="22"/>
              </w:rPr>
            </w:pPr>
            <w:r w:rsidRPr="007A00C5">
              <w:rPr>
                <w:rFonts w:ascii="Garamond" w:hAnsi="Garamond"/>
                <w:b/>
                <w:color w:val="000000"/>
                <w:sz w:val="22"/>
                <w:szCs w:val="22"/>
              </w:rPr>
              <w:t>Порядок установления соответствия АИИС КУЭ субъекта оптового рынка техническим требованиям оптового рынка в связи с истечением срока действия ранее выданного Акта о соответствии АИИС КУЭ и (или) оформлением нового свидетельства о поверке АИИС КУЭ в связи с изменением состава технических средств АИИС КУЭ (</w:t>
            </w:r>
            <w:r w:rsidRPr="007A00C5">
              <w:rPr>
                <w:rFonts w:ascii="Garamond" w:hAnsi="Garamond"/>
                <w:b/>
                <w:sz w:val="22"/>
                <w:szCs w:val="22"/>
              </w:rPr>
              <w:t xml:space="preserve">свидетельства о поверке </w:t>
            </w:r>
            <w:r w:rsidRPr="007A00C5">
              <w:rPr>
                <w:rFonts w:ascii="Garamond" w:hAnsi="Garamond"/>
                <w:b/>
                <w:sz w:val="22"/>
                <w:szCs w:val="22"/>
                <w:highlight w:val="yellow"/>
              </w:rPr>
              <w:t>счетчика (-ов) электроэнергии</w:t>
            </w:r>
            <w:r w:rsidRPr="007A00C5">
              <w:rPr>
                <w:rFonts w:ascii="Garamond" w:hAnsi="Garamond"/>
                <w:b/>
                <w:sz w:val="22"/>
                <w:szCs w:val="22"/>
              </w:rPr>
              <w:t>)</w:t>
            </w:r>
          </w:p>
        </w:tc>
        <w:tc>
          <w:tcPr>
            <w:tcW w:w="7115" w:type="dxa"/>
            <w:vAlign w:val="center"/>
          </w:tcPr>
          <w:p w14:paraId="43EAA5D8" w14:textId="77777777" w:rsidR="004B3B82" w:rsidRPr="007A00C5" w:rsidRDefault="004B3B82" w:rsidP="00CD3B05">
            <w:pPr>
              <w:pStyle w:val="ac"/>
              <w:tabs>
                <w:tab w:val="left" w:pos="1200"/>
              </w:tabs>
              <w:autoSpaceDE w:val="0"/>
              <w:autoSpaceDN w:val="0"/>
              <w:spacing w:before="120" w:after="120"/>
              <w:ind w:left="0" w:firstLine="580"/>
              <w:jc w:val="both"/>
              <w:rPr>
                <w:rFonts w:ascii="Garamond" w:hAnsi="Garamond"/>
                <w:sz w:val="22"/>
                <w:szCs w:val="22"/>
              </w:rPr>
            </w:pPr>
            <w:r w:rsidRPr="007A00C5">
              <w:rPr>
                <w:rFonts w:ascii="Garamond" w:hAnsi="Garamond"/>
                <w:b/>
                <w:color w:val="000000"/>
                <w:sz w:val="22"/>
                <w:szCs w:val="22"/>
              </w:rPr>
              <w:t>Порядок установления соответствия АИИС КУЭ субъекта оптового рынка техническим требованиям оптового рынка в связи с истечением срока действия ранее выданного Акта о соответствии АИИС КУЭ и (или) оформлением нового свидетельства о поверке АИИС КУЭ в связи с изменением состава технических средств АИИС КУЭ (</w:t>
            </w:r>
            <w:r w:rsidRPr="007A00C5">
              <w:rPr>
                <w:rFonts w:ascii="Garamond" w:hAnsi="Garamond"/>
                <w:b/>
                <w:sz w:val="22"/>
                <w:szCs w:val="22"/>
              </w:rPr>
              <w:t xml:space="preserve">свидетельства о поверке </w:t>
            </w:r>
            <w:r w:rsidRPr="007A00C5">
              <w:rPr>
                <w:rFonts w:ascii="Garamond" w:hAnsi="Garamond"/>
                <w:b/>
                <w:sz w:val="22"/>
                <w:szCs w:val="22"/>
                <w:highlight w:val="yellow"/>
              </w:rPr>
              <w:t>прибора (-ов) учета</w:t>
            </w:r>
            <w:r w:rsidRPr="007A00C5">
              <w:rPr>
                <w:rFonts w:ascii="Garamond" w:hAnsi="Garamond"/>
                <w:b/>
                <w:sz w:val="22"/>
                <w:szCs w:val="22"/>
              </w:rPr>
              <w:t>)</w:t>
            </w:r>
          </w:p>
        </w:tc>
      </w:tr>
      <w:tr w:rsidR="004B3B82" w:rsidRPr="007A00C5" w14:paraId="1CB4C441" w14:textId="77777777" w:rsidTr="007A00C5">
        <w:tc>
          <w:tcPr>
            <w:tcW w:w="1031" w:type="dxa"/>
            <w:vAlign w:val="center"/>
          </w:tcPr>
          <w:p w14:paraId="5CF93551" w14:textId="77777777" w:rsidR="004B3B82" w:rsidRPr="007A00C5" w:rsidRDefault="004B3B82" w:rsidP="00CD3B05">
            <w:pPr>
              <w:widowControl w:val="0"/>
              <w:spacing w:line="259" w:lineRule="auto"/>
              <w:jc w:val="center"/>
              <w:rPr>
                <w:rFonts w:ascii="Garamond" w:hAnsi="Garamond"/>
                <w:b/>
                <w:sz w:val="22"/>
                <w:szCs w:val="22"/>
                <w:lang w:eastAsia="en-US"/>
              </w:rPr>
            </w:pPr>
            <w:r w:rsidRPr="007A00C5">
              <w:rPr>
                <w:rFonts w:ascii="Garamond" w:hAnsi="Garamond"/>
                <w:b/>
                <w:sz w:val="22"/>
                <w:szCs w:val="22"/>
                <w:lang w:eastAsia="en-US"/>
              </w:rPr>
              <w:t>3.1.1</w:t>
            </w:r>
          </w:p>
        </w:tc>
        <w:tc>
          <w:tcPr>
            <w:tcW w:w="6833" w:type="dxa"/>
            <w:vAlign w:val="center"/>
          </w:tcPr>
          <w:p w14:paraId="5F7F3E90" w14:textId="77777777" w:rsidR="004B3B82" w:rsidRPr="007A00C5" w:rsidRDefault="004B3B82" w:rsidP="00CD3B05">
            <w:pPr>
              <w:pStyle w:val="ac"/>
              <w:tabs>
                <w:tab w:val="left" w:pos="1200"/>
              </w:tabs>
              <w:autoSpaceDE w:val="0"/>
              <w:autoSpaceDN w:val="0"/>
              <w:spacing w:before="120" w:after="120"/>
              <w:ind w:left="0" w:firstLine="580"/>
              <w:jc w:val="both"/>
              <w:rPr>
                <w:rFonts w:ascii="Garamond" w:hAnsi="Garamond"/>
                <w:sz w:val="22"/>
                <w:szCs w:val="22"/>
              </w:rPr>
            </w:pPr>
            <w:r w:rsidRPr="007A00C5">
              <w:rPr>
                <w:rFonts w:ascii="Garamond" w:hAnsi="Garamond"/>
                <w:sz w:val="22"/>
                <w:szCs w:val="22"/>
              </w:rPr>
              <w:t xml:space="preserve">Заявитель вправе инициировать настоящую процедуру установления соответствия АИИС КУЭ в связи с истечением срока действия ранее выданного в соответствии с настоящим Порядком либо оформленного КО в соответствии с п. 4.1.1.1 Положения о реестре Акта о соответствии АИИС КУЭ класса А, а также в случае оформления нового свидетельства о поверке АИИС КУЭ в связи с изменением состава технических средств АИИС КУЭ (в том числе в связи с заменой измерительных трансформаторов тока и напряжения, </w:t>
            </w:r>
            <w:r w:rsidRPr="007A00C5">
              <w:rPr>
                <w:rFonts w:ascii="Garamond" w:hAnsi="Garamond"/>
                <w:sz w:val="22"/>
                <w:szCs w:val="22"/>
                <w:highlight w:val="yellow"/>
              </w:rPr>
              <w:t>счетчиков электрической энергии</w:t>
            </w:r>
            <w:r w:rsidRPr="007A00C5">
              <w:rPr>
                <w:rFonts w:ascii="Garamond" w:hAnsi="Garamond"/>
                <w:sz w:val="22"/>
                <w:szCs w:val="22"/>
              </w:rPr>
              <w:t xml:space="preserve">, УСПД, УСВ) либо оформления нового свидетельства о поверке </w:t>
            </w:r>
            <w:r w:rsidRPr="007A00C5">
              <w:rPr>
                <w:rFonts w:ascii="Garamond" w:hAnsi="Garamond"/>
                <w:sz w:val="22"/>
                <w:szCs w:val="22"/>
                <w:highlight w:val="yellow"/>
              </w:rPr>
              <w:t>счетчика (-ов) электроэнергии</w:t>
            </w:r>
            <w:r w:rsidRPr="007A00C5">
              <w:rPr>
                <w:rFonts w:ascii="Garamond" w:hAnsi="Garamond"/>
                <w:sz w:val="22"/>
                <w:szCs w:val="22"/>
              </w:rPr>
              <w:t xml:space="preserve"> в случаях, предусмотренных п. 1.2.1 настоящего Порядка, при выполнении всех нижеследующих условий на дату регистрации КО заявления по форме 2 приложения 1 к настоящему Порядку:</w:t>
            </w:r>
          </w:p>
          <w:p w14:paraId="2F9007DC" w14:textId="77777777" w:rsidR="004B3B82" w:rsidRPr="007A00C5" w:rsidRDefault="004B3B82" w:rsidP="00CD3B05">
            <w:pPr>
              <w:pStyle w:val="ac"/>
              <w:tabs>
                <w:tab w:val="left" w:pos="1200"/>
              </w:tabs>
              <w:autoSpaceDE w:val="0"/>
              <w:autoSpaceDN w:val="0"/>
              <w:spacing w:before="120" w:after="120"/>
              <w:ind w:left="0" w:firstLine="580"/>
              <w:jc w:val="both"/>
              <w:rPr>
                <w:rFonts w:ascii="Garamond" w:hAnsi="Garamond"/>
                <w:sz w:val="22"/>
                <w:szCs w:val="22"/>
              </w:rPr>
            </w:pPr>
            <w:r w:rsidRPr="007A00C5">
              <w:rPr>
                <w:rFonts w:ascii="Garamond" w:hAnsi="Garamond"/>
                <w:sz w:val="22"/>
                <w:szCs w:val="22"/>
              </w:rPr>
              <w:t>…</w:t>
            </w:r>
          </w:p>
          <w:p w14:paraId="438A4BD4" w14:textId="77777777" w:rsidR="004B3B82" w:rsidRPr="007A00C5" w:rsidRDefault="004B3B82" w:rsidP="004B3B82">
            <w:pPr>
              <w:pStyle w:val="a8"/>
              <w:numPr>
                <w:ilvl w:val="0"/>
                <w:numId w:val="180"/>
              </w:numPr>
              <w:tabs>
                <w:tab w:val="clear" w:pos="8100"/>
                <w:tab w:val="left" w:pos="1134"/>
                <w:tab w:val="left" w:pos="1200"/>
              </w:tabs>
              <w:suppressAutoHyphens w:val="0"/>
              <w:spacing w:before="120" w:after="120"/>
              <w:ind w:left="0" w:firstLine="600"/>
              <w:rPr>
                <w:rFonts w:ascii="Garamond" w:hAnsi="Garamond"/>
                <w:sz w:val="22"/>
                <w:szCs w:val="22"/>
              </w:rPr>
            </w:pPr>
            <w:r w:rsidRPr="007A00C5">
              <w:rPr>
                <w:rFonts w:ascii="Garamond" w:hAnsi="Garamond"/>
                <w:sz w:val="22"/>
                <w:szCs w:val="22"/>
              </w:rPr>
              <w:t xml:space="preserve">наличие свидетельства о поверке соответствующей АИИС КУЭ (свидетельства о поверке </w:t>
            </w:r>
            <w:r w:rsidRPr="007A00C5">
              <w:rPr>
                <w:rFonts w:ascii="Garamond" w:hAnsi="Garamond"/>
                <w:sz w:val="22"/>
                <w:szCs w:val="22"/>
                <w:highlight w:val="yellow"/>
              </w:rPr>
              <w:t>счетчика (-ов) электроэнергии</w:t>
            </w:r>
            <w:r w:rsidRPr="007A00C5">
              <w:rPr>
                <w:rFonts w:ascii="Garamond" w:hAnsi="Garamond"/>
                <w:sz w:val="22"/>
                <w:szCs w:val="22"/>
              </w:rPr>
              <w:t xml:space="preserve"> в случаях, предусмотренных п. 1.2.1 настоящего Порядка), срок действия которого истекает не менее чем через 90 (девяносто) календарных дней, за исключением свидетельств о поверке АИИС КУЭ (свидетельств о поверке </w:t>
            </w:r>
            <w:r w:rsidRPr="007A00C5">
              <w:rPr>
                <w:rFonts w:ascii="Garamond" w:hAnsi="Garamond"/>
                <w:sz w:val="22"/>
                <w:szCs w:val="22"/>
                <w:highlight w:val="yellow"/>
              </w:rPr>
              <w:t>счетчика (-ов) электроэнергии</w:t>
            </w:r>
            <w:r w:rsidRPr="007A00C5">
              <w:rPr>
                <w:rFonts w:ascii="Garamond" w:hAnsi="Garamond"/>
                <w:sz w:val="22"/>
                <w:szCs w:val="22"/>
              </w:rPr>
              <w:t xml:space="preserve"> в случаях, предусмотренных п. 1.2.1 настоящего Порядка), взамен которых предоставлены новые свидетельства о поверке АИИС КУЭ (свидетельства о поверке </w:t>
            </w:r>
            <w:r w:rsidRPr="007A00C5">
              <w:rPr>
                <w:rFonts w:ascii="Garamond" w:hAnsi="Garamond"/>
                <w:sz w:val="22"/>
                <w:szCs w:val="22"/>
                <w:highlight w:val="yellow"/>
              </w:rPr>
              <w:t>счетчика (-ов) электроэнергии</w:t>
            </w:r>
            <w:r w:rsidRPr="007A00C5">
              <w:rPr>
                <w:rFonts w:ascii="Garamond" w:hAnsi="Garamond"/>
                <w:sz w:val="22"/>
                <w:szCs w:val="22"/>
              </w:rPr>
              <w:t xml:space="preserve"> в случаях, предусмотренных п. 1.2.1 настоящего Порядка) в соответствии с п. 3.1.2 настоящего Порядка. В случае наличия двух и более свидетельств о поверке АИИС КУЭ (свидетельств о поверке </w:t>
            </w:r>
            <w:r w:rsidRPr="007A00C5">
              <w:rPr>
                <w:rFonts w:ascii="Garamond" w:hAnsi="Garamond"/>
                <w:sz w:val="22"/>
                <w:szCs w:val="22"/>
                <w:highlight w:val="yellow"/>
              </w:rPr>
              <w:t>счетчика (-ов) электроэнергии</w:t>
            </w:r>
            <w:r w:rsidRPr="007A00C5">
              <w:rPr>
                <w:rFonts w:ascii="Garamond" w:hAnsi="Garamond"/>
                <w:sz w:val="22"/>
                <w:szCs w:val="22"/>
              </w:rPr>
              <w:t xml:space="preserve"> в случаях, предусмотренных п. 1.2.1 настоящего Порядка) в представленном комплекте документов, на основании которых выдан указанный Акт о соответствии АИИС КУЭ, либо представленных в соответствии с п. 3.1.2 настоящего Порядка в </w:t>
            </w:r>
            <w:r w:rsidRPr="007A00C5">
              <w:rPr>
                <w:rFonts w:ascii="Garamond" w:hAnsi="Garamond"/>
                <w:sz w:val="22"/>
                <w:szCs w:val="22"/>
              </w:rPr>
              <w:lastRenderedPageBreak/>
              <w:t>отношении соответствующей АИИС КУЭ, срок действия каждого свидетельства о поверке должен истекать не менее чем через 90 (девяносто) календарных дней;</w:t>
            </w:r>
          </w:p>
          <w:p w14:paraId="2B8BD3BE" w14:textId="77777777" w:rsidR="004B3B82" w:rsidRPr="007A00C5" w:rsidRDefault="004B3B82" w:rsidP="00CD3B05">
            <w:pPr>
              <w:pStyle w:val="ac"/>
              <w:tabs>
                <w:tab w:val="left" w:pos="1200"/>
              </w:tabs>
              <w:autoSpaceDE w:val="0"/>
              <w:autoSpaceDN w:val="0"/>
              <w:spacing w:before="120" w:after="120"/>
              <w:ind w:left="0" w:firstLine="580"/>
              <w:jc w:val="both"/>
              <w:rPr>
                <w:rFonts w:ascii="Garamond" w:hAnsi="Garamond"/>
                <w:sz w:val="22"/>
                <w:szCs w:val="22"/>
              </w:rPr>
            </w:pPr>
            <w:r w:rsidRPr="007A00C5">
              <w:rPr>
                <w:rFonts w:ascii="Garamond" w:hAnsi="Garamond"/>
                <w:sz w:val="22"/>
                <w:szCs w:val="22"/>
              </w:rPr>
              <w:t>…</w:t>
            </w:r>
          </w:p>
        </w:tc>
        <w:tc>
          <w:tcPr>
            <w:tcW w:w="7115" w:type="dxa"/>
            <w:vAlign w:val="center"/>
          </w:tcPr>
          <w:p w14:paraId="2E46DDB1" w14:textId="77777777" w:rsidR="004B3B82" w:rsidRPr="007A00C5" w:rsidRDefault="004B3B82" w:rsidP="00CD3B05">
            <w:pPr>
              <w:pStyle w:val="ac"/>
              <w:tabs>
                <w:tab w:val="left" w:pos="1200"/>
              </w:tabs>
              <w:autoSpaceDE w:val="0"/>
              <w:autoSpaceDN w:val="0"/>
              <w:spacing w:before="120" w:after="120"/>
              <w:ind w:left="0" w:firstLine="580"/>
              <w:jc w:val="both"/>
              <w:rPr>
                <w:rFonts w:ascii="Garamond" w:hAnsi="Garamond"/>
                <w:sz w:val="22"/>
                <w:szCs w:val="22"/>
              </w:rPr>
            </w:pPr>
            <w:r w:rsidRPr="007A00C5">
              <w:rPr>
                <w:rFonts w:ascii="Garamond" w:hAnsi="Garamond"/>
                <w:sz w:val="22"/>
                <w:szCs w:val="22"/>
              </w:rPr>
              <w:lastRenderedPageBreak/>
              <w:t xml:space="preserve">Заявитель вправе инициировать настоящую процедуру установления соответствия АИИС КУЭ в связи с истечением срока действия ранее выданного в соответствии с настоящим Порядком либо оформленного КО в соответствии с п. 4.1.1.1 Положения о реестре Акта о соответствии АИИС КУЭ класса А, а также в случае оформления нового свидетельства о поверке АИИС КУЭ в связи с изменением состава технических средств АИИС КУЭ (в том числе в связи с заменой измерительных трансформаторов тока и напряжения, </w:t>
            </w:r>
            <w:r w:rsidRPr="007A00C5">
              <w:rPr>
                <w:rFonts w:ascii="Garamond" w:hAnsi="Garamond"/>
                <w:sz w:val="22"/>
                <w:szCs w:val="22"/>
                <w:highlight w:val="yellow"/>
              </w:rPr>
              <w:t>приборов учета</w:t>
            </w:r>
            <w:r w:rsidRPr="007A00C5">
              <w:rPr>
                <w:rFonts w:ascii="Garamond" w:hAnsi="Garamond"/>
                <w:sz w:val="22"/>
                <w:szCs w:val="22"/>
              </w:rPr>
              <w:t xml:space="preserve">, УСПД, УСВ) либо оформления нового свидетельства о поверке </w:t>
            </w:r>
            <w:r w:rsidRPr="007A00C5">
              <w:rPr>
                <w:rFonts w:ascii="Garamond" w:hAnsi="Garamond"/>
                <w:sz w:val="22"/>
                <w:szCs w:val="22"/>
                <w:highlight w:val="yellow"/>
              </w:rPr>
              <w:t>прибора (-ов) учета</w:t>
            </w:r>
            <w:r w:rsidRPr="007A00C5">
              <w:rPr>
                <w:rFonts w:ascii="Garamond" w:hAnsi="Garamond"/>
                <w:sz w:val="22"/>
                <w:szCs w:val="22"/>
              </w:rPr>
              <w:t xml:space="preserve"> в случаях, предусмотренных п. 1.2.1 настоящего Порядка, при выполнении всех нижеследующих условий на дату регистрации КО заявления по форме 2 приложения 1 к настоящему Порядку:</w:t>
            </w:r>
          </w:p>
          <w:p w14:paraId="6FB39595" w14:textId="77777777" w:rsidR="004B3B82" w:rsidRPr="007A00C5" w:rsidRDefault="004B3B82" w:rsidP="00CD3B05">
            <w:pPr>
              <w:pStyle w:val="ac"/>
              <w:tabs>
                <w:tab w:val="left" w:pos="1200"/>
              </w:tabs>
              <w:autoSpaceDE w:val="0"/>
              <w:autoSpaceDN w:val="0"/>
              <w:spacing w:before="120" w:after="120"/>
              <w:ind w:left="0" w:firstLine="580"/>
              <w:jc w:val="both"/>
              <w:rPr>
                <w:rFonts w:ascii="Garamond" w:hAnsi="Garamond"/>
                <w:sz w:val="22"/>
                <w:szCs w:val="22"/>
              </w:rPr>
            </w:pPr>
            <w:r w:rsidRPr="007A00C5">
              <w:rPr>
                <w:rFonts w:ascii="Garamond" w:hAnsi="Garamond"/>
                <w:sz w:val="22"/>
                <w:szCs w:val="22"/>
              </w:rPr>
              <w:t>…</w:t>
            </w:r>
          </w:p>
          <w:p w14:paraId="577E5D81" w14:textId="78EA7B0F" w:rsidR="004B3B82" w:rsidRPr="007A00C5" w:rsidRDefault="004B3B82" w:rsidP="004B3B82">
            <w:pPr>
              <w:pStyle w:val="a8"/>
              <w:numPr>
                <w:ilvl w:val="0"/>
                <w:numId w:val="180"/>
              </w:numPr>
              <w:tabs>
                <w:tab w:val="clear" w:pos="8100"/>
                <w:tab w:val="left" w:pos="1134"/>
                <w:tab w:val="left" w:pos="1200"/>
              </w:tabs>
              <w:suppressAutoHyphens w:val="0"/>
              <w:spacing w:before="120" w:after="120"/>
              <w:ind w:left="0" w:firstLine="600"/>
              <w:rPr>
                <w:rFonts w:ascii="Garamond" w:hAnsi="Garamond"/>
                <w:sz w:val="22"/>
                <w:szCs w:val="22"/>
              </w:rPr>
            </w:pPr>
            <w:r w:rsidRPr="007A00C5">
              <w:rPr>
                <w:rFonts w:ascii="Garamond" w:hAnsi="Garamond"/>
                <w:sz w:val="22"/>
                <w:szCs w:val="22"/>
              </w:rPr>
              <w:t xml:space="preserve">наличие свидетельства о поверке соответствующей АИИС КУЭ (свидетельства о поверке </w:t>
            </w:r>
            <w:r w:rsidRPr="007A00C5">
              <w:rPr>
                <w:rFonts w:ascii="Garamond" w:hAnsi="Garamond"/>
                <w:sz w:val="22"/>
                <w:szCs w:val="22"/>
                <w:highlight w:val="yellow"/>
              </w:rPr>
              <w:t>прибора (-ов) учета</w:t>
            </w:r>
            <w:r w:rsidRPr="007A00C5">
              <w:rPr>
                <w:rFonts w:ascii="Garamond" w:hAnsi="Garamond"/>
                <w:sz w:val="22"/>
                <w:szCs w:val="22"/>
              </w:rPr>
              <w:t xml:space="preserve"> в случаях, предусмотренных п. 1.2.1 настоящего Порядка), срок действия которого истекает не менее чем через 90 (девяносто) календарных дней, за исключением свидетельств о поверке АИИС КУЭ (свидетельств о поверке </w:t>
            </w:r>
            <w:r w:rsidRPr="007A00C5">
              <w:rPr>
                <w:rFonts w:ascii="Garamond" w:hAnsi="Garamond"/>
                <w:sz w:val="22"/>
                <w:szCs w:val="22"/>
                <w:highlight w:val="yellow"/>
              </w:rPr>
              <w:t>прибор</w:t>
            </w:r>
            <w:r w:rsidR="006E6A56">
              <w:rPr>
                <w:rFonts w:ascii="Garamond" w:hAnsi="Garamond"/>
                <w:sz w:val="22"/>
                <w:szCs w:val="22"/>
                <w:highlight w:val="yellow"/>
              </w:rPr>
              <w:t>а</w:t>
            </w:r>
            <w:r w:rsidRPr="007A00C5">
              <w:rPr>
                <w:rFonts w:ascii="Garamond" w:hAnsi="Garamond"/>
                <w:sz w:val="22"/>
                <w:szCs w:val="22"/>
                <w:highlight w:val="yellow"/>
              </w:rPr>
              <w:t xml:space="preserve"> (-ов) учета</w:t>
            </w:r>
            <w:r w:rsidRPr="007A00C5">
              <w:rPr>
                <w:rFonts w:ascii="Garamond" w:hAnsi="Garamond"/>
                <w:sz w:val="22"/>
                <w:szCs w:val="22"/>
              </w:rPr>
              <w:t xml:space="preserve"> в случаях, предусмотренных п. 1.2.1 настоящего Порядка), взамен которых предоставлены новые свидетельства о поверке АИИС КУЭ (свидетельства о поверке </w:t>
            </w:r>
            <w:r w:rsidRPr="007A00C5">
              <w:rPr>
                <w:rFonts w:ascii="Garamond" w:hAnsi="Garamond"/>
                <w:sz w:val="22"/>
                <w:szCs w:val="22"/>
                <w:highlight w:val="yellow"/>
              </w:rPr>
              <w:t>прибора (-ов) учета</w:t>
            </w:r>
            <w:r w:rsidRPr="007A00C5">
              <w:rPr>
                <w:rFonts w:ascii="Garamond" w:hAnsi="Garamond"/>
                <w:sz w:val="22"/>
                <w:szCs w:val="22"/>
              </w:rPr>
              <w:t xml:space="preserve"> в случаях, предусмотренных п. 1.2.1 настоящего Порядка) в соответствии с п. 3.1.2 настоящего Порядка. В случае наличия двух и более свидетельств о поверке АИИС КУЭ (свидетельств о поверке </w:t>
            </w:r>
            <w:r w:rsidRPr="007A00C5">
              <w:rPr>
                <w:rFonts w:ascii="Garamond" w:hAnsi="Garamond"/>
                <w:sz w:val="22"/>
                <w:szCs w:val="22"/>
                <w:highlight w:val="yellow"/>
              </w:rPr>
              <w:t>прибора (-ов) учета</w:t>
            </w:r>
            <w:r w:rsidRPr="007A00C5">
              <w:rPr>
                <w:rFonts w:ascii="Garamond" w:hAnsi="Garamond"/>
                <w:sz w:val="22"/>
                <w:szCs w:val="22"/>
              </w:rPr>
              <w:t xml:space="preserve"> в случаях, предусмотренных п. 1.2.1 настоящего Порядка) в представленном комплекте документов, на основании которых выдан указанный Акт о соответствии АИИС КУЭ, либо представленных в соответствии с п. 3.1.2 настоящего Порядка в отношении соответствующей </w:t>
            </w:r>
            <w:r w:rsidRPr="007A00C5">
              <w:rPr>
                <w:rFonts w:ascii="Garamond" w:hAnsi="Garamond"/>
                <w:sz w:val="22"/>
                <w:szCs w:val="22"/>
              </w:rPr>
              <w:lastRenderedPageBreak/>
              <w:t>АИИС КУЭ, срок действия каждого свидетельства о поверке должен истекать не менее чем через 90 (девяносто) календарных дней;</w:t>
            </w:r>
          </w:p>
          <w:p w14:paraId="25D5F8C1" w14:textId="77777777" w:rsidR="004B3B82" w:rsidRPr="007A00C5" w:rsidRDefault="004B3B82" w:rsidP="00CD3B05">
            <w:pPr>
              <w:pStyle w:val="ac"/>
              <w:tabs>
                <w:tab w:val="left" w:pos="1200"/>
              </w:tabs>
              <w:autoSpaceDE w:val="0"/>
              <w:autoSpaceDN w:val="0"/>
              <w:spacing w:before="120" w:after="120"/>
              <w:ind w:left="0" w:firstLine="580"/>
              <w:jc w:val="both"/>
              <w:rPr>
                <w:rFonts w:ascii="Garamond" w:hAnsi="Garamond"/>
                <w:sz w:val="22"/>
                <w:szCs w:val="22"/>
              </w:rPr>
            </w:pPr>
            <w:r w:rsidRPr="007A00C5">
              <w:rPr>
                <w:rFonts w:ascii="Garamond" w:hAnsi="Garamond"/>
                <w:sz w:val="22"/>
                <w:szCs w:val="22"/>
              </w:rPr>
              <w:t>…</w:t>
            </w:r>
          </w:p>
        </w:tc>
      </w:tr>
      <w:tr w:rsidR="004B3B82" w:rsidRPr="007A00C5" w14:paraId="44C98018" w14:textId="77777777" w:rsidTr="007A00C5">
        <w:tc>
          <w:tcPr>
            <w:tcW w:w="1031" w:type="dxa"/>
            <w:vAlign w:val="center"/>
          </w:tcPr>
          <w:p w14:paraId="5DD9B7AB" w14:textId="77777777" w:rsidR="004B3B82" w:rsidRPr="007A00C5" w:rsidRDefault="004B3B82" w:rsidP="00CD3B05">
            <w:pPr>
              <w:widowControl w:val="0"/>
              <w:spacing w:line="259" w:lineRule="auto"/>
              <w:jc w:val="center"/>
              <w:rPr>
                <w:rFonts w:ascii="Garamond" w:hAnsi="Garamond"/>
                <w:b/>
                <w:sz w:val="22"/>
                <w:szCs w:val="22"/>
                <w:lang w:eastAsia="en-US"/>
              </w:rPr>
            </w:pPr>
            <w:r w:rsidRPr="007A00C5">
              <w:rPr>
                <w:rFonts w:ascii="Garamond" w:hAnsi="Garamond"/>
                <w:b/>
                <w:sz w:val="22"/>
                <w:szCs w:val="22"/>
                <w:lang w:eastAsia="en-US"/>
              </w:rPr>
              <w:lastRenderedPageBreak/>
              <w:t>3.1.2</w:t>
            </w:r>
          </w:p>
        </w:tc>
        <w:tc>
          <w:tcPr>
            <w:tcW w:w="6833" w:type="dxa"/>
            <w:vAlign w:val="center"/>
          </w:tcPr>
          <w:p w14:paraId="046814F5" w14:textId="77777777" w:rsidR="004B3B82" w:rsidRPr="007A00C5" w:rsidRDefault="004B3B82" w:rsidP="00CD3B05">
            <w:pPr>
              <w:pStyle w:val="ac"/>
              <w:tabs>
                <w:tab w:val="left" w:pos="1200"/>
              </w:tabs>
              <w:autoSpaceDE w:val="0"/>
              <w:autoSpaceDN w:val="0"/>
              <w:spacing w:before="120" w:after="120"/>
              <w:ind w:left="0" w:firstLine="580"/>
              <w:jc w:val="both"/>
              <w:rPr>
                <w:rFonts w:ascii="Garamond" w:hAnsi="Garamond"/>
                <w:sz w:val="22"/>
                <w:szCs w:val="22"/>
              </w:rPr>
            </w:pPr>
            <w:r w:rsidRPr="007A00C5">
              <w:rPr>
                <w:rFonts w:ascii="Garamond" w:hAnsi="Garamond"/>
                <w:sz w:val="22"/>
                <w:szCs w:val="22"/>
              </w:rPr>
              <w:t>…</w:t>
            </w:r>
          </w:p>
          <w:p w14:paraId="27F8BBD2" w14:textId="77777777" w:rsidR="004B3B82" w:rsidRPr="007A00C5" w:rsidRDefault="004B3B82" w:rsidP="00CD3B05">
            <w:pPr>
              <w:pStyle w:val="ac"/>
              <w:tabs>
                <w:tab w:val="left" w:pos="1200"/>
              </w:tabs>
              <w:autoSpaceDE w:val="0"/>
              <w:autoSpaceDN w:val="0"/>
              <w:spacing w:before="120" w:after="120"/>
              <w:ind w:left="0" w:firstLine="580"/>
              <w:jc w:val="both"/>
              <w:rPr>
                <w:rFonts w:ascii="Garamond" w:hAnsi="Garamond"/>
                <w:sz w:val="22"/>
                <w:szCs w:val="22"/>
              </w:rPr>
            </w:pPr>
            <w:r w:rsidRPr="007A00C5">
              <w:rPr>
                <w:rFonts w:ascii="Garamond" w:hAnsi="Garamond"/>
                <w:sz w:val="22"/>
                <w:szCs w:val="22"/>
              </w:rPr>
              <w:t xml:space="preserve">Свидетельство о поверке соответствующей АИИС КУЭ с приложением перечня измерительных каналов (свидетельство о поверке </w:t>
            </w:r>
            <w:r w:rsidRPr="007A00C5">
              <w:rPr>
                <w:rFonts w:ascii="Garamond" w:hAnsi="Garamond"/>
                <w:sz w:val="22"/>
                <w:szCs w:val="22"/>
                <w:highlight w:val="yellow"/>
              </w:rPr>
              <w:t>счетчика (-ов) электроэнергии</w:t>
            </w:r>
            <w:r w:rsidRPr="007A00C5">
              <w:rPr>
                <w:rFonts w:ascii="Garamond" w:hAnsi="Garamond"/>
                <w:sz w:val="22"/>
                <w:szCs w:val="22"/>
              </w:rPr>
              <w:t xml:space="preserve"> в случаях, предусмотренных п. 1.2.1 настоящего Порядка) предоставляется в соответствии с требованиями настоящего Порядка взамен ранее направленного в комплекте документов, на основании которых оформлен указанный в заявлении Акт о соответствии АИИС КУЭ, свидетельства о поверке АИИС КУЭ (свидетельства о поверке </w:t>
            </w:r>
            <w:r w:rsidRPr="007A00C5">
              <w:rPr>
                <w:rFonts w:ascii="Garamond" w:hAnsi="Garamond"/>
                <w:sz w:val="22"/>
                <w:szCs w:val="22"/>
                <w:highlight w:val="yellow"/>
              </w:rPr>
              <w:t>счетчика (-ов) электроэнергии</w:t>
            </w:r>
            <w:r w:rsidRPr="007A00C5">
              <w:rPr>
                <w:rFonts w:ascii="Garamond" w:hAnsi="Garamond"/>
                <w:sz w:val="22"/>
                <w:szCs w:val="22"/>
              </w:rPr>
              <w:t xml:space="preserve"> в случаях, предусмотренных п. 1.2.1 настоящего Порядка) с истекшим (истекающим) сроком действия и (или) в связи с оформлением нового свидетельства о поверке АИИС КУЭ при изменении состава технических средств АИИС КУЭ (оформлением нового свидетельства о поверке </w:t>
            </w:r>
            <w:r w:rsidRPr="007A00C5">
              <w:rPr>
                <w:rFonts w:ascii="Garamond" w:hAnsi="Garamond"/>
                <w:sz w:val="22"/>
                <w:szCs w:val="22"/>
                <w:highlight w:val="yellow"/>
              </w:rPr>
              <w:t>счетчика (-ов) электроэнергии</w:t>
            </w:r>
            <w:r w:rsidRPr="007A00C5">
              <w:rPr>
                <w:rFonts w:ascii="Garamond" w:hAnsi="Garamond"/>
                <w:sz w:val="22"/>
                <w:szCs w:val="22"/>
              </w:rPr>
              <w:t xml:space="preserve"> в случаях, предусмотренных п. 1.2.1 настоящего Порядка)</w:t>
            </w:r>
          </w:p>
        </w:tc>
        <w:tc>
          <w:tcPr>
            <w:tcW w:w="7115" w:type="dxa"/>
            <w:vAlign w:val="center"/>
          </w:tcPr>
          <w:p w14:paraId="0C4A1F57" w14:textId="77777777" w:rsidR="004B3B82" w:rsidRPr="007A00C5" w:rsidRDefault="004B3B82" w:rsidP="00CD3B05">
            <w:pPr>
              <w:pStyle w:val="ac"/>
              <w:tabs>
                <w:tab w:val="left" w:pos="1200"/>
              </w:tabs>
              <w:autoSpaceDE w:val="0"/>
              <w:autoSpaceDN w:val="0"/>
              <w:spacing w:before="120" w:after="120"/>
              <w:ind w:left="0" w:firstLine="580"/>
              <w:jc w:val="both"/>
              <w:rPr>
                <w:rFonts w:ascii="Garamond" w:hAnsi="Garamond"/>
                <w:sz w:val="22"/>
                <w:szCs w:val="22"/>
              </w:rPr>
            </w:pPr>
            <w:r w:rsidRPr="007A00C5">
              <w:rPr>
                <w:rFonts w:ascii="Garamond" w:hAnsi="Garamond"/>
                <w:sz w:val="22"/>
                <w:szCs w:val="22"/>
              </w:rPr>
              <w:t>…</w:t>
            </w:r>
          </w:p>
          <w:p w14:paraId="12A0FAFD" w14:textId="77777777" w:rsidR="004B3B82" w:rsidRPr="007A00C5" w:rsidRDefault="004B3B82" w:rsidP="00CD3B05">
            <w:pPr>
              <w:pStyle w:val="ac"/>
              <w:tabs>
                <w:tab w:val="left" w:pos="1200"/>
              </w:tabs>
              <w:autoSpaceDE w:val="0"/>
              <w:autoSpaceDN w:val="0"/>
              <w:spacing w:before="120" w:after="120"/>
              <w:ind w:left="0" w:firstLine="580"/>
              <w:jc w:val="both"/>
              <w:rPr>
                <w:rFonts w:ascii="Garamond" w:hAnsi="Garamond"/>
                <w:sz w:val="22"/>
                <w:szCs w:val="22"/>
              </w:rPr>
            </w:pPr>
            <w:r w:rsidRPr="007A00C5">
              <w:rPr>
                <w:rFonts w:ascii="Garamond" w:hAnsi="Garamond"/>
                <w:sz w:val="22"/>
                <w:szCs w:val="22"/>
              </w:rPr>
              <w:t xml:space="preserve">Свидетельство о поверке соответствующей АИИС КУЭ с приложением перечня измерительных каналов (свидетельство о поверке </w:t>
            </w:r>
            <w:r w:rsidRPr="007A00C5">
              <w:rPr>
                <w:rFonts w:ascii="Garamond" w:hAnsi="Garamond"/>
                <w:sz w:val="22"/>
                <w:szCs w:val="22"/>
                <w:highlight w:val="yellow"/>
              </w:rPr>
              <w:t>прибора (-ов) учета</w:t>
            </w:r>
            <w:r w:rsidRPr="007A00C5">
              <w:rPr>
                <w:rFonts w:ascii="Garamond" w:hAnsi="Garamond"/>
                <w:sz w:val="22"/>
                <w:szCs w:val="22"/>
              </w:rPr>
              <w:t xml:space="preserve"> в случаях, предусмотренных п. 1.2.1 настоящего Порядка) предоставляется в соответствии с требованиями настоящего Порядка взамен ранее направленного в комплекте документов, на основании которых оформлен указанный в заявлении Акт о соответствии АИИС КУЭ, свидетельства о поверке АИИС КУЭ (свидетельства о поверке </w:t>
            </w:r>
            <w:r w:rsidRPr="007A00C5">
              <w:rPr>
                <w:rFonts w:ascii="Garamond" w:hAnsi="Garamond"/>
                <w:sz w:val="22"/>
                <w:szCs w:val="22"/>
                <w:highlight w:val="yellow"/>
              </w:rPr>
              <w:t>прибора (-ов) учета</w:t>
            </w:r>
            <w:r w:rsidRPr="007A00C5">
              <w:rPr>
                <w:rFonts w:ascii="Garamond" w:hAnsi="Garamond"/>
                <w:sz w:val="22"/>
                <w:szCs w:val="22"/>
              </w:rPr>
              <w:t xml:space="preserve"> в случаях, предусмотренных п. 1.2.1 настоящего Порядка) с истекшим (истекающим) сроком действия и (или) в связи с оформлением нового свидетельства о поверке АИИС КУЭ при изменении состава технических средств АИИС КУЭ (оформлением нового свидетельства о поверке </w:t>
            </w:r>
            <w:r w:rsidRPr="007A00C5">
              <w:rPr>
                <w:rFonts w:ascii="Garamond" w:hAnsi="Garamond"/>
                <w:sz w:val="22"/>
                <w:szCs w:val="22"/>
                <w:highlight w:val="yellow"/>
              </w:rPr>
              <w:t>прибора (-ов) учета</w:t>
            </w:r>
            <w:r w:rsidRPr="007A00C5">
              <w:rPr>
                <w:rFonts w:ascii="Garamond" w:hAnsi="Garamond"/>
                <w:sz w:val="22"/>
                <w:szCs w:val="22"/>
              </w:rPr>
              <w:t xml:space="preserve"> в случаях, предусмотренных п. 1.2.1 настоящего Порядка)</w:t>
            </w:r>
          </w:p>
        </w:tc>
      </w:tr>
      <w:tr w:rsidR="004B3B82" w:rsidRPr="007A00C5" w14:paraId="0094BA50" w14:textId="77777777" w:rsidTr="007A00C5">
        <w:tc>
          <w:tcPr>
            <w:tcW w:w="1031" w:type="dxa"/>
            <w:vAlign w:val="center"/>
          </w:tcPr>
          <w:p w14:paraId="0143FDCD" w14:textId="77777777" w:rsidR="004B3B82" w:rsidRPr="007A00C5" w:rsidRDefault="004B3B82" w:rsidP="00CD3B05">
            <w:pPr>
              <w:widowControl w:val="0"/>
              <w:spacing w:line="259" w:lineRule="auto"/>
              <w:jc w:val="center"/>
              <w:rPr>
                <w:rFonts w:ascii="Garamond" w:hAnsi="Garamond"/>
                <w:b/>
                <w:sz w:val="22"/>
                <w:szCs w:val="22"/>
                <w:lang w:eastAsia="en-US"/>
              </w:rPr>
            </w:pPr>
            <w:r w:rsidRPr="007A00C5">
              <w:rPr>
                <w:rFonts w:ascii="Garamond" w:hAnsi="Garamond"/>
                <w:b/>
                <w:sz w:val="22"/>
                <w:szCs w:val="22"/>
                <w:lang w:eastAsia="en-US"/>
              </w:rPr>
              <w:t>3.1.5</w:t>
            </w:r>
          </w:p>
        </w:tc>
        <w:tc>
          <w:tcPr>
            <w:tcW w:w="6833" w:type="dxa"/>
            <w:vAlign w:val="center"/>
          </w:tcPr>
          <w:p w14:paraId="286C5639" w14:textId="77777777" w:rsidR="004B3B82" w:rsidRPr="007A00C5" w:rsidRDefault="004B3B82" w:rsidP="00CD3B05">
            <w:pPr>
              <w:pStyle w:val="ac"/>
              <w:tabs>
                <w:tab w:val="left" w:pos="1200"/>
              </w:tabs>
              <w:autoSpaceDE w:val="0"/>
              <w:autoSpaceDN w:val="0"/>
              <w:spacing w:before="120" w:after="120"/>
              <w:ind w:left="0" w:firstLine="580"/>
              <w:jc w:val="both"/>
              <w:rPr>
                <w:rFonts w:ascii="Garamond" w:hAnsi="Garamond"/>
                <w:sz w:val="22"/>
                <w:szCs w:val="22"/>
              </w:rPr>
            </w:pPr>
            <w:r w:rsidRPr="007A00C5">
              <w:rPr>
                <w:rFonts w:ascii="Garamond" w:hAnsi="Garamond"/>
                <w:sz w:val="22"/>
                <w:szCs w:val="22"/>
              </w:rPr>
              <w:t>При положительном результате процедуры установления соответствия КО в порядке и сроки, предусмотренные п. 2.7 настоящего Порядка (за исключением требования к положительному результату испытаний), оформляет в отношении АИИС КУЭ субъекта оптового рынка Акт о соответствии АИИС КУЭ со сроком действия, равным сроку действия свидетельства о поверке АИИС КУЭ (наименьшим сроком действия из представленных з</w:t>
            </w:r>
            <w:r w:rsidRPr="007A00C5" w:rsidDel="00BC1624">
              <w:rPr>
                <w:rFonts w:ascii="Garamond" w:hAnsi="Garamond"/>
                <w:sz w:val="22"/>
                <w:szCs w:val="22"/>
              </w:rPr>
              <w:t xml:space="preserve">аявителем </w:t>
            </w:r>
            <w:r w:rsidRPr="007A00C5">
              <w:rPr>
                <w:rFonts w:ascii="Garamond" w:hAnsi="Garamond"/>
                <w:sz w:val="22"/>
                <w:szCs w:val="22"/>
              </w:rPr>
              <w:t>согласно</w:t>
            </w:r>
            <w:r w:rsidRPr="007A00C5" w:rsidDel="00BC1624">
              <w:rPr>
                <w:rFonts w:ascii="Garamond" w:hAnsi="Garamond"/>
                <w:sz w:val="22"/>
                <w:szCs w:val="22"/>
              </w:rPr>
              <w:t xml:space="preserve"> </w:t>
            </w:r>
            <w:r w:rsidRPr="007A00C5">
              <w:rPr>
                <w:rFonts w:ascii="Garamond" w:hAnsi="Garamond"/>
                <w:sz w:val="22"/>
                <w:szCs w:val="22"/>
              </w:rPr>
              <w:t xml:space="preserve">настоящему Порядку свидетельств о поверке АИИС КУЭ) либо сроку действия свидетельства о поверке </w:t>
            </w:r>
            <w:r w:rsidRPr="007A00C5">
              <w:rPr>
                <w:rFonts w:ascii="Garamond" w:hAnsi="Garamond"/>
                <w:sz w:val="22"/>
                <w:szCs w:val="22"/>
                <w:highlight w:val="yellow"/>
              </w:rPr>
              <w:t>счетчика электроэнергии</w:t>
            </w:r>
            <w:r w:rsidRPr="007A00C5">
              <w:rPr>
                <w:rFonts w:ascii="Garamond" w:hAnsi="Garamond"/>
                <w:sz w:val="22"/>
                <w:szCs w:val="22"/>
              </w:rPr>
              <w:t xml:space="preserve"> (наименьшим сроком действия из представленных з</w:t>
            </w:r>
            <w:r w:rsidRPr="007A00C5" w:rsidDel="00BC1624">
              <w:rPr>
                <w:rFonts w:ascii="Garamond" w:hAnsi="Garamond"/>
                <w:sz w:val="22"/>
                <w:szCs w:val="22"/>
              </w:rPr>
              <w:t xml:space="preserve">аявителем </w:t>
            </w:r>
            <w:r w:rsidRPr="007A00C5">
              <w:rPr>
                <w:rFonts w:ascii="Garamond" w:hAnsi="Garamond"/>
                <w:sz w:val="22"/>
                <w:szCs w:val="22"/>
              </w:rPr>
              <w:t>согласно</w:t>
            </w:r>
            <w:r w:rsidRPr="007A00C5" w:rsidDel="00BC1624">
              <w:rPr>
                <w:rFonts w:ascii="Garamond" w:hAnsi="Garamond"/>
                <w:sz w:val="22"/>
                <w:szCs w:val="22"/>
              </w:rPr>
              <w:t xml:space="preserve"> </w:t>
            </w:r>
            <w:r w:rsidRPr="007A00C5">
              <w:rPr>
                <w:rFonts w:ascii="Garamond" w:hAnsi="Garamond"/>
                <w:sz w:val="22"/>
                <w:szCs w:val="22"/>
              </w:rPr>
              <w:t xml:space="preserve">настоящему Порядку свидетельств о поверке </w:t>
            </w:r>
            <w:r w:rsidRPr="007A00C5">
              <w:rPr>
                <w:rFonts w:ascii="Garamond" w:hAnsi="Garamond"/>
                <w:sz w:val="22"/>
                <w:szCs w:val="22"/>
                <w:highlight w:val="yellow"/>
              </w:rPr>
              <w:t>счетчиков электроэнергии</w:t>
            </w:r>
            <w:r w:rsidRPr="007A00C5">
              <w:rPr>
                <w:rFonts w:ascii="Garamond" w:hAnsi="Garamond"/>
                <w:sz w:val="22"/>
                <w:szCs w:val="22"/>
              </w:rPr>
              <w:t xml:space="preserve">) в случаях, предусмотренных п. 1.2.1 настоящего Порядка, но не более 4 (четырех) лет с даты регистрации протокола испытаний АИИС КУЭ согласно п. 2.6.7 настоящего Порядка, завершившихся с положительным результатом (либо 4 (четырех) лет с даты регистрации протокола проверки АИИС КУЭ согласно </w:t>
            </w:r>
            <w:r w:rsidRPr="007A00C5">
              <w:rPr>
                <w:rFonts w:ascii="Garamond" w:hAnsi="Garamond"/>
                <w:i/>
                <w:sz w:val="22"/>
                <w:szCs w:val="22"/>
              </w:rPr>
              <w:t xml:space="preserve">Регламенту проведения проверок систем коммерческого учета субъектов оптового рынка </w:t>
            </w:r>
            <w:r w:rsidRPr="007A00C5">
              <w:rPr>
                <w:rFonts w:ascii="Garamond" w:hAnsi="Garamond"/>
                <w:sz w:val="22"/>
                <w:szCs w:val="22"/>
              </w:rPr>
              <w:lastRenderedPageBreak/>
              <w:t xml:space="preserve">(Приложение № 18 к </w:t>
            </w:r>
            <w:r w:rsidRPr="007A00C5">
              <w:rPr>
                <w:rFonts w:ascii="Garamond" w:hAnsi="Garamond"/>
                <w:i/>
                <w:sz w:val="22"/>
                <w:szCs w:val="22"/>
              </w:rPr>
              <w:t>Договору о присоединении к торговой системе оптового рынка</w:t>
            </w:r>
            <w:r w:rsidRPr="007A00C5">
              <w:rPr>
                <w:rFonts w:ascii="Garamond" w:hAnsi="Garamond"/>
                <w:sz w:val="22"/>
                <w:szCs w:val="22"/>
              </w:rPr>
              <w:t>), проводившейся в отношении заявленного состава точек поставки и точек измерений и завершившейся установлением соответствия АИИС КУЭ требованиям оптового рынка, если дата регистрации такого протокола проверки АИИС КУЭ позднее даты регистрации вышеуказанного протокола испытаний АИИС КУЭ), и направляет его заявителю.</w:t>
            </w:r>
          </w:p>
        </w:tc>
        <w:tc>
          <w:tcPr>
            <w:tcW w:w="7115" w:type="dxa"/>
            <w:vAlign w:val="center"/>
          </w:tcPr>
          <w:p w14:paraId="5F349DC0" w14:textId="77777777" w:rsidR="004B3B82" w:rsidRPr="007A00C5" w:rsidRDefault="004B3B82" w:rsidP="00CD3B05">
            <w:pPr>
              <w:pStyle w:val="ac"/>
              <w:tabs>
                <w:tab w:val="left" w:pos="1200"/>
              </w:tabs>
              <w:autoSpaceDE w:val="0"/>
              <w:autoSpaceDN w:val="0"/>
              <w:spacing w:before="120" w:after="120"/>
              <w:ind w:left="0" w:firstLine="580"/>
              <w:jc w:val="both"/>
              <w:rPr>
                <w:rFonts w:ascii="Garamond" w:hAnsi="Garamond"/>
                <w:sz w:val="22"/>
                <w:szCs w:val="22"/>
              </w:rPr>
            </w:pPr>
            <w:r w:rsidRPr="007A00C5">
              <w:rPr>
                <w:rFonts w:ascii="Garamond" w:hAnsi="Garamond"/>
                <w:sz w:val="22"/>
                <w:szCs w:val="22"/>
              </w:rPr>
              <w:lastRenderedPageBreak/>
              <w:t>При положительном результате процедуры установления соответствия КО в порядке и сроки, предусмотренные п. 2.7 настоящего Порядка (за исключением требования к положительному результату испытаний), оформляет в отношении АИИС КУЭ субъекта оптового рынка Акт о соответствии АИИС КУЭ со сроком действия, равным сроку действия свидетельства о поверке АИИС КУЭ (наименьшим сроком действия из представленных з</w:t>
            </w:r>
            <w:r w:rsidRPr="007A00C5" w:rsidDel="00BC1624">
              <w:rPr>
                <w:rFonts w:ascii="Garamond" w:hAnsi="Garamond"/>
                <w:sz w:val="22"/>
                <w:szCs w:val="22"/>
              </w:rPr>
              <w:t xml:space="preserve">аявителем </w:t>
            </w:r>
            <w:r w:rsidRPr="007A00C5">
              <w:rPr>
                <w:rFonts w:ascii="Garamond" w:hAnsi="Garamond"/>
                <w:sz w:val="22"/>
                <w:szCs w:val="22"/>
              </w:rPr>
              <w:t>согласно</w:t>
            </w:r>
            <w:r w:rsidRPr="007A00C5" w:rsidDel="00BC1624">
              <w:rPr>
                <w:rFonts w:ascii="Garamond" w:hAnsi="Garamond"/>
                <w:sz w:val="22"/>
                <w:szCs w:val="22"/>
              </w:rPr>
              <w:t xml:space="preserve"> </w:t>
            </w:r>
            <w:r w:rsidRPr="007A00C5">
              <w:rPr>
                <w:rFonts w:ascii="Garamond" w:hAnsi="Garamond"/>
                <w:sz w:val="22"/>
                <w:szCs w:val="22"/>
              </w:rPr>
              <w:t xml:space="preserve">настоящему Порядку свидетельств о поверке АИИС КУЭ) либо сроку действия свидетельства о поверке </w:t>
            </w:r>
            <w:r w:rsidRPr="007A00C5">
              <w:rPr>
                <w:rFonts w:ascii="Garamond" w:hAnsi="Garamond"/>
                <w:sz w:val="22"/>
                <w:szCs w:val="22"/>
                <w:highlight w:val="yellow"/>
              </w:rPr>
              <w:t>прибора учета</w:t>
            </w:r>
            <w:r w:rsidRPr="007A00C5">
              <w:rPr>
                <w:rFonts w:ascii="Garamond" w:hAnsi="Garamond"/>
                <w:sz w:val="22"/>
                <w:szCs w:val="22"/>
              </w:rPr>
              <w:t xml:space="preserve"> (наименьшим сроком действия из представленных з</w:t>
            </w:r>
            <w:r w:rsidRPr="007A00C5" w:rsidDel="00BC1624">
              <w:rPr>
                <w:rFonts w:ascii="Garamond" w:hAnsi="Garamond"/>
                <w:sz w:val="22"/>
                <w:szCs w:val="22"/>
              </w:rPr>
              <w:t xml:space="preserve">аявителем </w:t>
            </w:r>
            <w:r w:rsidRPr="007A00C5">
              <w:rPr>
                <w:rFonts w:ascii="Garamond" w:hAnsi="Garamond"/>
                <w:sz w:val="22"/>
                <w:szCs w:val="22"/>
              </w:rPr>
              <w:t>согласно</w:t>
            </w:r>
            <w:r w:rsidRPr="007A00C5" w:rsidDel="00BC1624">
              <w:rPr>
                <w:rFonts w:ascii="Garamond" w:hAnsi="Garamond"/>
                <w:sz w:val="22"/>
                <w:szCs w:val="22"/>
              </w:rPr>
              <w:t xml:space="preserve"> </w:t>
            </w:r>
            <w:r w:rsidRPr="007A00C5">
              <w:rPr>
                <w:rFonts w:ascii="Garamond" w:hAnsi="Garamond"/>
                <w:sz w:val="22"/>
                <w:szCs w:val="22"/>
              </w:rPr>
              <w:t xml:space="preserve">настоящему Порядку свидетельств о поверке </w:t>
            </w:r>
            <w:r w:rsidRPr="007A00C5">
              <w:rPr>
                <w:rFonts w:ascii="Garamond" w:hAnsi="Garamond"/>
                <w:sz w:val="22"/>
                <w:szCs w:val="22"/>
                <w:highlight w:val="yellow"/>
              </w:rPr>
              <w:t>приборов учета</w:t>
            </w:r>
            <w:r w:rsidRPr="007A00C5">
              <w:rPr>
                <w:rFonts w:ascii="Garamond" w:hAnsi="Garamond"/>
                <w:sz w:val="22"/>
                <w:szCs w:val="22"/>
              </w:rPr>
              <w:t xml:space="preserve">) в случаях, предусмотренных п. 1.2.1 настоящего Порядка, но не более 4 (четырех) лет с даты регистрации протокола испытаний АИИС КУЭ согласно п. 2.6.7 настоящего Порядка, завершившихся с положительным результатом (либо 4 (четырех) лет с даты регистрации протокола проверки АИИС КУЭ согласно </w:t>
            </w:r>
            <w:r w:rsidRPr="007A00C5">
              <w:rPr>
                <w:rFonts w:ascii="Garamond" w:hAnsi="Garamond"/>
                <w:i/>
                <w:sz w:val="22"/>
                <w:szCs w:val="22"/>
              </w:rPr>
              <w:t xml:space="preserve">Регламенту проведения проверок систем коммерческого учета субъектов оптового рынка </w:t>
            </w:r>
            <w:r w:rsidRPr="007A00C5">
              <w:rPr>
                <w:rFonts w:ascii="Garamond" w:hAnsi="Garamond"/>
                <w:sz w:val="22"/>
                <w:szCs w:val="22"/>
              </w:rPr>
              <w:t xml:space="preserve">(Приложение № 18 к </w:t>
            </w:r>
            <w:r w:rsidRPr="007A00C5">
              <w:rPr>
                <w:rFonts w:ascii="Garamond" w:hAnsi="Garamond"/>
                <w:i/>
                <w:sz w:val="22"/>
                <w:szCs w:val="22"/>
              </w:rPr>
              <w:t xml:space="preserve">Договору о присоединении к торговой </w:t>
            </w:r>
            <w:r w:rsidRPr="007A00C5">
              <w:rPr>
                <w:rFonts w:ascii="Garamond" w:hAnsi="Garamond"/>
                <w:i/>
                <w:sz w:val="22"/>
                <w:szCs w:val="22"/>
              </w:rPr>
              <w:lastRenderedPageBreak/>
              <w:t>системе оптового рынка</w:t>
            </w:r>
            <w:r w:rsidRPr="007A00C5">
              <w:rPr>
                <w:rFonts w:ascii="Garamond" w:hAnsi="Garamond"/>
                <w:sz w:val="22"/>
                <w:szCs w:val="22"/>
              </w:rPr>
              <w:t>), проводившейся в отношении заявленного состава точек поставки и точек измерений и завершившейся установлением соответствия АИИС КУЭ требованиям оптового рынка, если дата регистрации такого протокола проверки АИИС КУЭ позднее даты регистрации вышеуказанного протокола испытаний АИИС КУЭ), и направляет его заявителю.</w:t>
            </w:r>
          </w:p>
        </w:tc>
      </w:tr>
      <w:tr w:rsidR="004B3B82" w:rsidRPr="007A00C5" w14:paraId="76D98116" w14:textId="77777777" w:rsidTr="007A00C5">
        <w:tc>
          <w:tcPr>
            <w:tcW w:w="1031" w:type="dxa"/>
            <w:vAlign w:val="center"/>
          </w:tcPr>
          <w:p w14:paraId="64BC4BE7" w14:textId="77777777" w:rsidR="004B3B82" w:rsidRPr="007A00C5" w:rsidRDefault="004B3B82" w:rsidP="00CD3B05">
            <w:pPr>
              <w:widowControl w:val="0"/>
              <w:spacing w:line="259" w:lineRule="auto"/>
              <w:jc w:val="center"/>
              <w:rPr>
                <w:rFonts w:ascii="Garamond" w:hAnsi="Garamond"/>
                <w:b/>
                <w:sz w:val="22"/>
                <w:szCs w:val="22"/>
                <w:lang w:eastAsia="en-US"/>
              </w:rPr>
            </w:pPr>
            <w:r w:rsidRPr="007A00C5">
              <w:rPr>
                <w:rFonts w:ascii="Garamond" w:hAnsi="Garamond"/>
                <w:b/>
                <w:sz w:val="22"/>
                <w:szCs w:val="22"/>
                <w:lang w:eastAsia="en-US"/>
              </w:rPr>
              <w:lastRenderedPageBreak/>
              <w:t>3.4.1</w:t>
            </w:r>
          </w:p>
        </w:tc>
        <w:tc>
          <w:tcPr>
            <w:tcW w:w="6833" w:type="dxa"/>
            <w:vAlign w:val="center"/>
          </w:tcPr>
          <w:p w14:paraId="26B8C9A4" w14:textId="77777777" w:rsidR="004B3B82" w:rsidRPr="007A00C5" w:rsidRDefault="004B3B82" w:rsidP="00CD3B05">
            <w:pPr>
              <w:pStyle w:val="ac"/>
              <w:tabs>
                <w:tab w:val="left" w:pos="1200"/>
              </w:tabs>
              <w:autoSpaceDE w:val="0"/>
              <w:autoSpaceDN w:val="0"/>
              <w:spacing w:before="120" w:after="120"/>
              <w:ind w:left="0" w:firstLine="580"/>
              <w:jc w:val="both"/>
              <w:rPr>
                <w:rFonts w:ascii="Garamond" w:hAnsi="Garamond"/>
                <w:sz w:val="22"/>
                <w:szCs w:val="22"/>
              </w:rPr>
            </w:pPr>
            <w:r w:rsidRPr="007A00C5">
              <w:rPr>
                <w:rFonts w:ascii="Garamond" w:hAnsi="Garamond"/>
                <w:sz w:val="22"/>
                <w:szCs w:val="22"/>
              </w:rPr>
              <w:t>…</w:t>
            </w:r>
          </w:p>
          <w:p w14:paraId="1A1C6D06" w14:textId="77777777" w:rsidR="004B3B82" w:rsidRPr="007A00C5" w:rsidRDefault="004B3B82" w:rsidP="004B3B82">
            <w:pPr>
              <w:pStyle w:val="a8"/>
              <w:numPr>
                <w:ilvl w:val="0"/>
                <w:numId w:val="180"/>
              </w:numPr>
              <w:tabs>
                <w:tab w:val="clear" w:pos="8100"/>
                <w:tab w:val="left" w:pos="1134"/>
                <w:tab w:val="left" w:pos="1200"/>
              </w:tabs>
              <w:suppressAutoHyphens w:val="0"/>
              <w:spacing w:before="120" w:after="120"/>
              <w:ind w:left="0" w:firstLine="600"/>
              <w:rPr>
                <w:rFonts w:ascii="Garamond" w:hAnsi="Garamond"/>
                <w:sz w:val="22"/>
                <w:szCs w:val="22"/>
              </w:rPr>
            </w:pPr>
            <w:r w:rsidRPr="007A00C5">
              <w:rPr>
                <w:rFonts w:ascii="Garamond" w:hAnsi="Garamond"/>
                <w:sz w:val="22"/>
                <w:szCs w:val="22"/>
              </w:rPr>
              <w:t xml:space="preserve">наличие свидетельства о поверке соответствующей АИИС КУЭ (свидетельства о поверке </w:t>
            </w:r>
            <w:r w:rsidRPr="007A00C5">
              <w:rPr>
                <w:rFonts w:ascii="Garamond" w:hAnsi="Garamond"/>
                <w:sz w:val="22"/>
                <w:szCs w:val="22"/>
                <w:highlight w:val="yellow"/>
              </w:rPr>
              <w:t>счетчика электроэнергии</w:t>
            </w:r>
            <w:r w:rsidRPr="007A00C5">
              <w:rPr>
                <w:rFonts w:ascii="Garamond" w:hAnsi="Garamond"/>
                <w:sz w:val="22"/>
                <w:szCs w:val="22"/>
              </w:rPr>
              <w:t xml:space="preserve"> в случаях, предусмотренных п. 1.2.1 настоящего Порядка), предоставленного в соответствии с требованиями настоящего Порядка, срок действия которого истекает не менее чем через 90 (девяносто) календарных дней. В случае наличия двух и более свидетельств о поверке АИИС КУЭ (свидетельств о поверке </w:t>
            </w:r>
            <w:r w:rsidRPr="007A00C5">
              <w:rPr>
                <w:rFonts w:ascii="Garamond" w:hAnsi="Garamond"/>
                <w:sz w:val="22"/>
                <w:szCs w:val="22"/>
                <w:highlight w:val="yellow"/>
              </w:rPr>
              <w:t>счетчика электроэнергии</w:t>
            </w:r>
            <w:r w:rsidRPr="007A00C5">
              <w:rPr>
                <w:rFonts w:ascii="Garamond" w:hAnsi="Garamond"/>
                <w:sz w:val="22"/>
                <w:szCs w:val="22"/>
              </w:rPr>
              <w:t xml:space="preserve"> в случаях, предусмотренных п. 1.2.1 настоящего Порядка) в направленном комплекте документов, срок действия каждого свидетельства о поверке должен истекать не менее чем через 90 (девяносто) календарных дней (в случае если процедура установления соответствия АИИС КУЭ инициируется в отношении состава точек поставки и (или) точек измерений, на которые оформлен (-ы) Акт (-ы) о соответствии АИИС КУЭ класса А).</w:t>
            </w:r>
          </w:p>
        </w:tc>
        <w:tc>
          <w:tcPr>
            <w:tcW w:w="7115" w:type="dxa"/>
            <w:vAlign w:val="center"/>
          </w:tcPr>
          <w:p w14:paraId="4F8F4DDB" w14:textId="77777777" w:rsidR="004B3B82" w:rsidRPr="007A00C5" w:rsidRDefault="004B3B82" w:rsidP="00CD3B05">
            <w:pPr>
              <w:pStyle w:val="ac"/>
              <w:tabs>
                <w:tab w:val="left" w:pos="1200"/>
              </w:tabs>
              <w:autoSpaceDE w:val="0"/>
              <w:autoSpaceDN w:val="0"/>
              <w:spacing w:before="120" w:after="120"/>
              <w:ind w:left="0" w:firstLine="580"/>
              <w:jc w:val="both"/>
              <w:rPr>
                <w:rFonts w:ascii="Garamond" w:hAnsi="Garamond"/>
                <w:sz w:val="22"/>
                <w:szCs w:val="22"/>
              </w:rPr>
            </w:pPr>
            <w:r w:rsidRPr="007A00C5">
              <w:rPr>
                <w:rFonts w:ascii="Garamond" w:hAnsi="Garamond"/>
                <w:sz w:val="22"/>
                <w:szCs w:val="22"/>
              </w:rPr>
              <w:t>…</w:t>
            </w:r>
          </w:p>
          <w:p w14:paraId="47AA99C2" w14:textId="77777777" w:rsidR="004B3B82" w:rsidRPr="007A00C5" w:rsidRDefault="004B3B82" w:rsidP="00CD3B05">
            <w:pPr>
              <w:pStyle w:val="ac"/>
              <w:tabs>
                <w:tab w:val="left" w:pos="1200"/>
              </w:tabs>
              <w:autoSpaceDE w:val="0"/>
              <w:autoSpaceDN w:val="0"/>
              <w:spacing w:before="120" w:after="120"/>
              <w:ind w:left="0" w:firstLine="580"/>
              <w:jc w:val="both"/>
              <w:rPr>
                <w:rFonts w:ascii="Garamond" w:hAnsi="Garamond"/>
                <w:sz w:val="22"/>
                <w:szCs w:val="22"/>
              </w:rPr>
            </w:pPr>
            <w:r w:rsidRPr="007A00C5">
              <w:rPr>
                <w:rFonts w:ascii="Garamond" w:hAnsi="Garamond"/>
                <w:sz w:val="22"/>
                <w:szCs w:val="22"/>
              </w:rPr>
              <w:t xml:space="preserve">наличие свидетельства о поверке соответствующей АИИС КУЭ (свидетельства о поверке </w:t>
            </w:r>
            <w:r w:rsidRPr="007A00C5">
              <w:rPr>
                <w:rFonts w:ascii="Garamond" w:hAnsi="Garamond"/>
                <w:sz w:val="22"/>
                <w:szCs w:val="22"/>
                <w:highlight w:val="yellow"/>
              </w:rPr>
              <w:t>прибора учета</w:t>
            </w:r>
            <w:r w:rsidRPr="007A00C5">
              <w:rPr>
                <w:rFonts w:ascii="Garamond" w:hAnsi="Garamond"/>
                <w:sz w:val="22"/>
                <w:szCs w:val="22"/>
              </w:rPr>
              <w:t xml:space="preserve"> в случаях, предусмотренных п. 1.2.1 настоящего Порядка), предоставленного в соответствии с требованиями настоящего Порядка, срок действия которого истекает не менее чем через 90 (девяносто) календарных дней. В случае наличия двух и более свидетельств о поверке АИИС КУЭ (свидетельств о поверке </w:t>
            </w:r>
            <w:r w:rsidRPr="007A00C5">
              <w:rPr>
                <w:rFonts w:ascii="Garamond" w:hAnsi="Garamond"/>
                <w:sz w:val="22"/>
                <w:szCs w:val="22"/>
                <w:highlight w:val="yellow"/>
              </w:rPr>
              <w:t>прибора учета</w:t>
            </w:r>
            <w:r w:rsidRPr="007A00C5">
              <w:rPr>
                <w:rFonts w:ascii="Garamond" w:hAnsi="Garamond"/>
                <w:sz w:val="22"/>
                <w:szCs w:val="22"/>
              </w:rPr>
              <w:t xml:space="preserve"> в случаях, предусмотренных п. 1.2.1 настоящего Порядка) в направленном комплекте документов, срок действия каждого свидетельства о поверке должен истекать не менее чем через 90 (девяносто) календарных дней (в случае если процедура установления соответствия АИИС КУЭ инициируется в отношении состава точек поставки и (или) точек измерений, на которые оформлен (-ы) Акт (-ы) о соответствии АИИС КУЭ класса А).</w:t>
            </w:r>
          </w:p>
        </w:tc>
      </w:tr>
      <w:tr w:rsidR="004B3B82" w:rsidRPr="007A00C5" w14:paraId="52579C17" w14:textId="77777777" w:rsidTr="007A00C5">
        <w:tc>
          <w:tcPr>
            <w:tcW w:w="1031" w:type="dxa"/>
            <w:vAlign w:val="center"/>
          </w:tcPr>
          <w:p w14:paraId="113A327D" w14:textId="77777777" w:rsidR="004B3B82" w:rsidRPr="007A00C5" w:rsidRDefault="004B3B82" w:rsidP="00CD3B05">
            <w:pPr>
              <w:widowControl w:val="0"/>
              <w:spacing w:line="259" w:lineRule="auto"/>
              <w:jc w:val="center"/>
              <w:rPr>
                <w:rFonts w:ascii="Garamond" w:hAnsi="Garamond"/>
                <w:b/>
                <w:sz w:val="22"/>
                <w:szCs w:val="22"/>
                <w:lang w:eastAsia="en-US"/>
              </w:rPr>
            </w:pPr>
            <w:r w:rsidRPr="007A00C5">
              <w:rPr>
                <w:rFonts w:ascii="Garamond" w:hAnsi="Garamond"/>
                <w:b/>
                <w:sz w:val="22"/>
                <w:szCs w:val="22"/>
                <w:lang w:eastAsia="en-US"/>
              </w:rPr>
              <w:t>3.4.5</w:t>
            </w:r>
          </w:p>
        </w:tc>
        <w:tc>
          <w:tcPr>
            <w:tcW w:w="6833" w:type="dxa"/>
            <w:vAlign w:val="center"/>
          </w:tcPr>
          <w:p w14:paraId="00AFA4E1" w14:textId="77777777" w:rsidR="004B3B82" w:rsidRPr="007A00C5" w:rsidRDefault="004B3B82" w:rsidP="00CD3B05">
            <w:pPr>
              <w:pStyle w:val="ac"/>
              <w:tabs>
                <w:tab w:val="left" w:pos="1200"/>
              </w:tabs>
              <w:autoSpaceDE w:val="0"/>
              <w:autoSpaceDN w:val="0"/>
              <w:spacing w:before="120" w:after="120"/>
              <w:ind w:left="0" w:firstLine="580"/>
              <w:jc w:val="both"/>
              <w:rPr>
                <w:rFonts w:ascii="Garamond" w:hAnsi="Garamond"/>
                <w:sz w:val="22"/>
                <w:szCs w:val="22"/>
              </w:rPr>
            </w:pPr>
            <w:r w:rsidRPr="007A00C5">
              <w:rPr>
                <w:rFonts w:ascii="Garamond" w:hAnsi="Garamond"/>
                <w:sz w:val="22"/>
                <w:szCs w:val="22"/>
              </w:rPr>
              <w:t>При положительном результате процедуры установления соответствия КО в порядке и сроки, предусмотренные п. 2.7 настоящего Порядка (за исключением требования к положительному результату испытаний), оформляет в отношении АИИС КУЭ субъекта оптового рынка Акт о соответствии АИИС КУЭ с классом ранее утвержденного Акта о соответствии АИИС КУЭ (с наихудшим классом из ранее утвержденных актов о соответствии АИИС КУЭ) и направляет его заявителю. Акт о соответствии класса А оформляется со сроком действия равным сроку действия свидетельства о поверке АИИС КУЭ (наименьшим сроком действия из представленных з</w:t>
            </w:r>
            <w:r w:rsidRPr="007A00C5" w:rsidDel="00BC1624">
              <w:rPr>
                <w:rFonts w:ascii="Garamond" w:hAnsi="Garamond"/>
                <w:sz w:val="22"/>
                <w:szCs w:val="22"/>
              </w:rPr>
              <w:t xml:space="preserve">аявителем </w:t>
            </w:r>
            <w:r w:rsidRPr="007A00C5">
              <w:rPr>
                <w:rFonts w:ascii="Garamond" w:hAnsi="Garamond"/>
                <w:sz w:val="22"/>
                <w:szCs w:val="22"/>
              </w:rPr>
              <w:t>согласно</w:t>
            </w:r>
            <w:r w:rsidRPr="007A00C5" w:rsidDel="00BC1624">
              <w:rPr>
                <w:rFonts w:ascii="Garamond" w:hAnsi="Garamond"/>
                <w:sz w:val="22"/>
                <w:szCs w:val="22"/>
              </w:rPr>
              <w:t xml:space="preserve"> </w:t>
            </w:r>
            <w:r w:rsidRPr="007A00C5">
              <w:rPr>
                <w:rFonts w:ascii="Garamond" w:hAnsi="Garamond"/>
                <w:sz w:val="22"/>
                <w:szCs w:val="22"/>
              </w:rPr>
              <w:t xml:space="preserve">настоящему Порядку свидетельств о поверке АИИС КУЭ) либо сроку действия свидетельства о поверке </w:t>
            </w:r>
            <w:r w:rsidRPr="007A00C5">
              <w:rPr>
                <w:rFonts w:ascii="Garamond" w:hAnsi="Garamond"/>
                <w:sz w:val="22"/>
                <w:szCs w:val="22"/>
                <w:highlight w:val="yellow"/>
              </w:rPr>
              <w:t>счетчика электроэнергии</w:t>
            </w:r>
            <w:r w:rsidRPr="007A00C5">
              <w:rPr>
                <w:rFonts w:ascii="Garamond" w:hAnsi="Garamond"/>
                <w:sz w:val="22"/>
                <w:szCs w:val="22"/>
              </w:rPr>
              <w:t xml:space="preserve"> (наименьшим сроком действия из представленных з</w:t>
            </w:r>
            <w:r w:rsidRPr="007A00C5" w:rsidDel="00BC1624">
              <w:rPr>
                <w:rFonts w:ascii="Garamond" w:hAnsi="Garamond"/>
                <w:sz w:val="22"/>
                <w:szCs w:val="22"/>
              </w:rPr>
              <w:t xml:space="preserve">аявителем </w:t>
            </w:r>
            <w:r w:rsidRPr="007A00C5">
              <w:rPr>
                <w:rFonts w:ascii="Garamond" w:hAnsi="Garamond"/>
                <w:sz w:val="22"/>
                <w:szCs w:val="22"/>
              </w:rPr>
              <w:t>согласно</w:t>
            </w:r>
            <w:r w:rsidRPr="007A00C5" w:rsidDel="00BC1624">
              <w:rPr>
                <w:rFonts w:ascii="Garamond" w:hAnsi="Garamond"/>
                <w:sz w:val="22"/>
                <w:szCs w:val="22"/>
              </w:rPr>
              <w:t xml:space="preserve"> </w:t>
            </w:r>
            <w:r w:rsidRPr="007A00C5">
              <w:rPr>
                <w:rFonts w:ascii="Garamond" w:hAnsi="Garamond"/>
                <w:sz w:val="22"/>
                <w:szCs w:val="22"/>
              </w:rPr>
              <w:t xml:space="preserve">настоящему Порядку свидетельств о поверке </w:t>
            </w:r>
            <w:r w:rsidRPr="007A00C5">
              <w:rPr>
                <w:rFonts w:ascii="Garamond" w:hAnsi="Garamond"/>
                <w:sz w:val="22"/>
                <w:szCs w:val="22"/>
                <w:highlight w:val="yellow"/>
              </w:rPr>
              <w:t>счетчика электроэнергии</w:t>
            </w:r>
            <w:r w:rsidRPr="007A00C5">
              <w:rPr>
                <w:rFonts w:ascii="Garamond" w:hAnsi="Garamond"/>
                <w:sz w:val="22"/>
                <w:szCs w:val="22"/>
              </w:rPr>
              <w:t xml:space="preserve">) в случаях, </w:t>
            </w:r>
            <w:r w:rsidRPr="007A00C5">
              <w:rPr>
                <w:rFonts w:ascii="Garamond" w:hAnsi="Garamond"/>
                <w:sz w:val="22"/>
                <w:szCs w:val="22"/>
              </w:rPr>
              <w:lastRenderedPageBreak/>
              <w:t xml:space="preserve">предусмотренных п. 1.2.1 настоящего Порядка, но не более 4 (четырех) лет с даты регистрации протокола испытаний АИИС КУЭ согласно п. 2.6.7 настоящего Порядка, завершившихся с положительным результатом (если таких протоколов несколько, то используется протокол испытаний с наиболее ранней датой регистрации), либо 4 (четырех) лет с даты регистрации протокола проверки АИИС КУЭ согласно </w:t>
            </w:r>
            <w:r w:rsidRPr="007A00C5">
              <w:rPr>
                <w:rFonts w:ascii="Garamond" w:hAnsi="Garamond"/>
                <w:i/>
                <w:sz w:val="22"/>
                <w:szCs w:val="22"/>
              </w:rPr>
              <w:t>Регламенту проведения проверок систем коммерческого учета субъектов оптового рынка</w:t>
            </w:r>
            <w:r w:rsidRPr="007A00C5">
              <w:rPr>
                <w:rFonts w:ascii="Garamond" w:hAnsi="Garamond"/>
                <w:sz w:val="22"/>
                <w:szCs w:val="22"/>
              </w:rPr>
              <w:t xml:space="preserve"> (Приложение № 18 к </w:t>
            </w:r>
            <w:r w:rsidRPr="007A00C5">
              <w:rPr>
                <w:rFonts w:ascii="Garamond" w:hAnsi="Garamond"/>
                <w:i/>
                <w:sz w:val="22"/>
                <w:szCs w:val="22"/>
              </w:rPr>
              <w:t>Договору о присоединении к торговой системе оптового рынка</w:t>
            </w:r>
            <w:r w:rsidRPr="007A00C5">
              <w:rPr>
                <w:rFonts w:ascii="Garamond" w:hAnsi="Garamond"/>
                <w:sz w:val="22"/>
                <w:szCs w:val="22"/>
              </w:rPr>
              <w:t>), проводившейся в отношении состава точек поставки и точек измерений, для которого оформлен (-ы) указанный (-ые) в п. 3.4.1 настоящего Порядка Акт (-ы) о соответствии АИИС КУЭ, и завершившейся установлением соответствия АИИС КУЭ требованиям оптового рынка, если дата регистрации протокола проверки АИИС КУЭ позднее даты регистрации вышеуказанного протокола испытаний АИИС КУЭ). Акт о соответствии АИИС КУЭ класса N оформляется со сроком действия равным сроку действия ранее утвержденного Акта о соответствии АИИС КУЭ класса N.</w:t>
            </w:r>
          </w:p>
          <w:p w14:paraId="6D54F971" w14:textId="77777777" w:rsidR="004B3B82" w:rsidRPr="007A00C5" w:rsidRDefault="004B3B82" w:rsidP="00CD3B05">
            <w:pPr>
              <w:pStyle w:val="ac"/>
              <w:tabs>
                <w:tab w:val="left" w:pos="1200"/>
              </w:tabs>
              <w:autoSpaceDE w:val="0"/>
              <w:autoSpaceDN w:val="0"/>
              <w:spacing w:before="120" w:after="120"/>
              <w:ind w:left="0" w:firstLine="580"/>
              <w:jc w:val="both"/>
              <w:rPr>
                <w:rFonts w:ascii="Garamond" w:hAnsi="Garamond"/>
                <w:sz w:val="22"/>
                <w:szCs w:val="22"/>
              </w:rPr>
            </w:pPr>
            <w:r w:rsidRPr="007A00C5">
              <w:rPr>
                <w:rFonts w:ascii="Garamond" w:hAnsi="Garamond"/>
                <w:sz w:val="22"/>
                <w:szCs w:val="22"/>
              </w:rPr>
              <w:t>…</w:t>
            </w:r>
          </w:p>
        </w:tc>
        <w:tc>
          <w:tcPr>
            <w:tcW w:w="7115" w:type="dxa"/>
            <w:vAlign w:val="center"/>
          </w:tcPr>
          <w:p w14:paraId="6FF25C9C" w14:textId="77777777" w:rsidR="004B3B82" w:rsidRPr="007A00C5" w:rsidRDefault="004B3B82" w:rsidP="00CD3B05">
            <w:pPr>
              <w:pStyle w:val="ac"/>
              <w:tabs>
                <w:tab w:val="left" w:pos="1200"/>
              </w:tabs>
              <w:autoSpaceDE w:val="0"/>
              <w:autoSpaceDN w:val="0"/>
              <w:spacing w:before="120" w:after="120"/>
              <w:ind w:left="0" w:firstLine="580"/>
              <w:jc w:val="both"/>
              <w:rPr>
                <w:rFonts w:ascii="Garamond" w:hAnsi="Garamond"/>
                <w:sz w:val="22"/>
                <w:szCs w:val="22"/>
              </w:rPr>
            </w:pPr>
            <w:r w:rsidRPr="007A00C5">
              <w:rPr>
                <w:rFonts w:ascii="Garamond" w:hAnsi="Garamond"/>
                <w:sz w:val="22"/>
                <w:szCs w:val="22"/>
              </w:rPr>
              <w:lastRenderedPageBreak/>
              <w:t>При положительном результате процедуры установления соответствия КО в порядке и сроки, предусмотренные п. 2.7 настоящего Порядка (за исключением требования к положительному результату испытаний), оформляет в отношении АИИС КУЭ субъекта оптового рынка Акт о соответствии АИИС КУЭ с классом ранее утвержденного Акта о соответствии АИИС КУЭ (с наихудшим классом из ранее утвержденных актов о соответствии АИИС КУЭ) и направляет его заявителю. Акт о соответствии класса А оформляется со сроком действия равным сроку действия свидетельства о поверке АИИС КУЭ (наименьшим сроком действия из представленных з</w:t>
            </w:r>
            <w:r w:rsidRPr="007A00C5" w:rsidDel="00BC1624">
              <w:rPr>
                <w:rFonts w:ascii="Garamond" w:hAnsi="Garamond"/>
                <w:sz w:val="22"/>
                <w:szCs w:val="22"/>
              </w:rPr>
              <w:t xml:space="preserve">аявителем </w:t>
            </w:r>
            <w:r w:rsidRPr="007A00C5">
              <w:rPr>
                <w:rFonts w:ascii="Garamond" w:hAnsi="Garamond"/>
                <w:sz w:val="22"/>
                <w:szCs w:val="22"/>
              </w:rPr>
              <w:t>согласно</w:t>
            </w:r>
            <w:r w:rsidRPr="007A00C5" w:rsidDel="00BC1624">
              <w:rPr>
                <w:rFonts w:ascii="Garamond" w:hAnsi="Garamond"/>
                <w:sz w:val="22"/>
                <w:szCs w:val="22"/>
              </w:rPr>
              <w:t xml:space="preserve"> </w:t>
            </w:r>
            <w:r w:rsidRPr="007A00C5">
              <w:rPr>
                <w:rFonts w:ascii="Garamond" w:hAnsi="Garamond"/>
                <w:sz w:val="22"/>
                <w:szCs w:val="22"/>
              </w:rPr>
              <w:t xml:space="preserve">настоящему Порядку свидетельств о поверке АИИС КУЭ) либо сроку действия свидетельства о поверке </w:t>
            </w:r>
            <w:r w:rsidRPr="007A00C5">
              <w:rPr>
                <w:rFonts w:ascii="Garamond" w:hAnsi="Garamond"/>
                <w:sz w:val="22"/>
                <w:szCs w:val="22"/>
                <w:highlight w:val="yellow"/>
              </w:rPr>
              <w:t>прибора учета</w:t>
            </w:r>
            <w:r w:rsidRPr="007A00C5">
              <w:rPr>
                <w:rFonts w:ascii="Garamond" w:hAnsi="Garamond"/>
                <w:sz w:val="22"/>
                <w:szCs w:val="22"/>
              </w:rPr>
              <w:t xml:space="preserve"> (наименьшим сроком действия из представленных з</w:t>
            </w:r>
            <w:r w:rsidRPr="007A00C5" w:rsidDel="00BC1624">
              <w:rPr>
                <w:rFonts w:ascii="Garamond" w:hAnsi="Garamond"/>
                <w:sz w:val="22"/>
                <w:szCs w:val="22"/>
              </w:rPr>
              <w:t xml:space="preserve">аявителем </w:t>
            </w:r>
            <w:r w:rsidRPr="007A00C5">
              <w:rPr>
                <w:rFonts w:ascii="Garamond" w:hAnsi="Garamond"/>
                <w:sz w:val="22"/>
                <w:szCs w:val="22"/>
              </w:rPr>
              <w:t>согласно</w:t>
            </w:r>
            <w:r w:rsidRPr="007A00C5" w:rsidDel="00BC1624">
              <w:rPr>
                <w:rFonts w:ascii="Garamond" w:hAnsi="Garamond"/>
                <w:sz w:val="22"/>
                <w:szCs w:val="22"/>
              </w:rPr>
              <w:t xml:space="preserve"> </w:t>
            </w:r>
            <w:r w:rsidRPr="007A00C5">
              <w:rPr>
                <w:rFonts w:ascii="Garamond" w:hAnsi="Garamond"/>
                <w:sz w:val="22"/>
                <w:szCs w:val="22"/>
              </w:rPr>
              <w:t xml:space="preserve">настоящему Порядку свидетельств о поверке </w:t>
            </w:r>
            <w:r w:rsidRPr="007A00C5">
              <w:rPr>
                <w:rFonts w:ascii="Garamond" w:hAnsi="Garamond"/>
                <w:sz w:val="22"/>
                <w:szCs w:val="22"/>
                <w:highlight w:val="yellow"/>
              </w:rPr>
              <w:t>прибора учета</w:t>
            </w:r>
            <w:r w:rsidRPr="007A00C5">
              <w:rPr>
                <w:rFonts w:ascii="Garamond" w:hAnsi="Garamond"/>
                <w:sz w:val="22"/>
                <w:szCs w:val="22"/>
              </w:rPr>
              <w:t xml:space="preserve">) в случаях, предусмотренных п. 1.2.1 настоящего Порядка, но не более </w:t>
            </w:r>
            <w:r w:rsidRPr="007A00C5">
              <w:rPr>
                <w:rFonts w:ascii="Garamond" w:hAnsi="Garamond"/>
                <w:sz w:val="22"/>
                <w:szCs w:val="22"/>
              </w:rPr>
              <w:lastRenderedPageBreak/>
              <w:t xml:space="preserve">4 (четырех) лет с даты регистрации протокола испытаний АИИС КУЭ согласно п. 2.6.7 настоящего Порядка, завершившихся с положительным результатом (если таких протоколов несколько, то используется протокол испытаний с наиболее ранней датой регистрации), либо 4 (четырех) лет с даты регистрации протокола проверки АИИС КУЭ согласно </w:t>
            </w:r>
            <w:r w:rsidRPr="007A00C5">
              <w:rPr>
                <w:rFonts w:ascii="Garamond" w:hAnsi="Garamond"/>
                <w:i/>
                <w:sz w:val="22"/>
                <w:szCs w:val="22"/>
              </w:rPr>
              <w:t>Регламенту проведения проверок систем коммерческого учета субъектов оптового рынка</w:t>
            </w:r>
            <w:r w:rsidRPr="007A00C5">
              <w:rPr>
                <w:rFonts w:ascii="Garamond" w:hAnsi="Garamond"/>
                <w:sz w:val="22"/>
                <w:szCs w:val="22"/>
              </w:rPr>
              <w:t xml:space="preserve"> (Приложение № 18 к </w:t>
            </w:r>
            <w:r w:rsidRPr="007A00C5">
              <w:rPr>
                <w:rFonts w:ascii="Garamond" w:hAnsi="Garamond"/>
                <w:i/>
                <w:sz w:val="22"/>
                <w:szCs w:val="22"/>
              </w:rPr>
              <w:t>Договору о присоединении к торговой системе оптового рынка</w:t>
            </w:r>
            <w:r w:rsidRPr="007A00C5">
              <w:rPr>
                <w:rFonts w:ascii="Garamond" w:hAnsi="Garamond"/>
                <w:sz w:val="22"/>
                <w:szCs w:val="22"/>
              </w:rPr>
              <w:t>), проводившейся в отношении состава точек поставки и точек измерений, для которого оформлен (-ы) указанный (-ые) в п. 3.4.1 настоящего Порядка Акт (-ы) о соответствии АИИС КУЭ, и завершившейся установлением соответствия АИИС КУЭ требованиям оптового рынка, если дата регистрации протокола проверки АИИС КУЭ позднее даты регистрации вышеуказанного протокола испытаний АИИС КУЭ). Акт о соответствии АИИС КУЭ класса N оформляется со сроком действия равным сроку действия ранее утвержденного Акта о соответствии АИИС КУЭ класса N.</w:t>
            </w:r>
          </w:p>
          <w:p w14:paraId="3FD7BC17" w14:textId="77777777" w:rsidR="004B3B82" w:rsidRPr="007A00C5" w:rsidRDefault="004B3B82" w:rsidP="00CD3B05">
            <w:pPr>
              <w:pStyle w:val="ac"/>
              <w:tabs>
                <w:tab w:val="left" w:pos="1200"/>
              </w:tabs>
              <w:autoSpaceDE w:val="0"/>
              <w:autoSpaceDN w:val="0"/>
              <w:spacing w:before="120" w:after="120"/>
              <w:ind w:left="0" w:firstLine="580"/>
              <w:jc w:val="both"/>
              <w:rPr>
                <w:rFonts w:ascii="Garamond" w:hAnsi="Garamond"/>
                <w:sz w:val="22"/>
                <w:szCs w:val="22"/>
              </w:rPr>
            </w:pPr>
            <w:r w:rsidRPr="007A00C5">
              <w:rPr>
                <w:rFonts w:ascii="Garamond" w:hAnsi="Garamond"/>
                <w:sz w:val="22"/>
                <w:szCs w:val="22"/>
              </w:rPr>
              <w:t>…</w:t>
            </w:r>
          </w:p>
        </w:tc>
      </w:tr>
    </w:tbl>
    <w:p w14:paraId="7D463781" w14:textId="77777777" w:rsidR="004B3B82" w:rsidRDefault="004B3B82" w:rsidP="00101F7C">
      <w:pPr>
        <w:autoSpaceDE w:val="0"/>
        <w:autoSpaceDN w:val="0"/>
        <w:jc w:val="both"/>
        <w:rPr>
          <w:rFonts w:ascii="Garamond" w:hAnsi="Garamond"/>
          <w:b/>
          <w:sz w:val="26"/>
          <w:szCs w:val="26"/>
        </w:rPr>
        <w:sectPr w:rsidR="004B3B82" w:rsidSect="006F6DAC">
          <w:footerReference w:type="even" r:id="rId34"/>
          <w:footerReference w:type="default" r:id="rId35"/>
          <w:pgSz w:w="16838" w:h="11906" w:orient="landscape"/>
          <w:pgMar w:top="1134" w:right="851" w:bottom="1134" w:left="1247" w:header="709" w:footer="709" w:gutter="0"/>
          <w:cols w:space="708"/>
          <w:docGrid w:linePitch="360"/>
        </w:sectPr>
      </w:pPr>
    </w:p>
    <w:p w14:paraId="09CC595C" w14:textId="77777777" w:rsidR="004B3B82" w:rsidRDefault="004B3B82" w:rsidP="00101F7C">
      <w:pPr>
        <w:autoSpaceDE w:val="0"/>
        <w:autoSpaceDN w:val="0"/>
        <w:jc w:val="both"/>
        <w:rPr>
          <w:rFonts w:ascii="Garamond" w:hAnsi="Garamond"/>
          <w:b/>
          <w:sz w:val="26"/>
          <w:szCs w:val="26"/>
        </w:rPr>
      </w:pPr>
    </w:p>
    <w:p w14:paraId="7F8CDDE2" w14:textId="77777777" w:rsidR="004B3B82" w:rsidRPr="004C0B2B" w:rsidRDefault="004B3B82" w:rsidP="00101F7C">
      <w:pPr>
        <w:rPr>
          <w:rFonts w:ascii="Garamond" w:hAnsi="Garamond"/>
          <w:b/>
          <w:sz w:val="22"/>
          <w:szCs w:val="22"/>
        </w:rPr>
      </w:pPr>
      <w:r w:rsidRPr="004C0B2B">
        <w:rPr>
          <w:rFonts w:ascii="Garamond" w:hAnsi="Garamond"/>
          <w:b/>
          <w:sz w:val="22"/>
          <w:szCs w:val="22"/>
        </w:rPr>
        <w:t>Действующая редакция</w:t>
      </w:r>
    </w:p>
    <w:p w14:paraId="5A292188" w14:textId="77777777" w:rsidR="004B3B82" w:rsidRPr="004C0B2B" w:rsidRDefault="004B3B82" w:rsidP="00101F7C">
      <w:pPr>
        <w:jc w:val="center"/>
        <w:rPr>
          <w:rFonts w:ascii="Garamond" w:hAnsi="Garamond"/>
          <w:b/>
          <w:sz w:val="22"/>
          <w:szCs w:val="22"/>
        </w:rPr>
      </w:pPr>
      <w:r w:rsidRPr="004C0B2B">
        <w:rPr>
          <w:rFonts w:ascii="Garamond" w:hAnsi="Garamond"/>
          <w:b/>
          <w:sz w:val="22"/>
          <w:szCs w:val="22"/>
        </w:rPr>
        <w:t>Форма 1А</w:t>
      </w:r>
    </w:p>
    <w:p w14:paraId="76F8571D" w14:textId="77777777" w:rsidR="004B3B82" w:rsidRPr="004C0B2B" w:rsidRDefault="004B3B82" w:rsidP="00101F7C">
      <w:pPr>
        <w:jc w:val="both"/>
        <w:rPr>
          <w:rFonts w:ascii="Garamond" w:hAnsi="Garamond"/>
          <w:sz w:val="22"/>
          <w:szCs w:val="22"/>
          <w:lang w:eastAsia="en-US"/>
        </w:rPr>
      </w:pPr>
    </w:p>
    <w:p w14:paraId="3032E547" w14:textId="77777777" w:rsidR="004B3B82" w:rsidRPr="004C0B2B" w:rsidRDefault="004B3B82" w:rsidP="00101F7C">
      <w:pPr>
        <w:jc w:val="both"/>
        <w:rPr>
          <w:rFonts w:ascii="Garamond" w:hAnsi="Garamond"/>
          <w:sz w:val="22"/>
          <w:szCs w:val="22"/>
          <w:lang w:eastAsia="en-US"/>
        </w:rPr>
      </w:pPr>
      <w:r w:rsidRPr="004C0B2B">
        <w:rPr>
          <w:rFonts w:ascii="Garamond" w:hAnsi="Garamond"/>
          <w:sz w:val="22"/>
          <w:szCs w:val="22"/>
          <w:lang w:eastAsia="en-US"/>
        </w:rPr>
        <w:t>(на бланке заявителя)</w:t>
      </w:r>
    </w:p>
    <w:p w14:paraId="2B92A471" w14:textId="77777777" w:rsidR="004B3B82" w:rsidRPr="004C0B2B" w:rsidRDefault="004B3B82" w:rsidP="00101F7C">
      <w:pPr>
        <w:ind w:left="7371" w:right="-428"/>
        <w:jc w:val="both"/>
        <w:rPr>
          <w:rFonts w:ascii="Garamond" w:hAnsi="Garamond"/>
          <w:b/>
          <w:sz w:val="22"/>
          <w:szCs w:val="22"/>
          <w:lang w:eastAsia="en-US"/>
        </w:rPr>
      </w:pPr>
      <w:r w:rsidRPr="004C0B2B">
        <w:rPr>
          <w:rFonts w:ascii="Garamond" w:hAnsi="Garamond"/>
          <w:b/>
          <w:sz w:val="22"/>
          <w:szCs w:val="22"/>
          <w:lang w:eastAsia="en-US"/>
        </w:rPr>
        <w:t>Председателю Правления</w:t>
      </w:r>
    </w:p>
    <w:p w14:paraId="33BB601D" w14:textId="77777777" w:rsidR="004B3B82" w:rsidRPr="004C0B2B" w:rsidRDefault="004B3B82" w:rsidP="00101F7C">
      <w:pPr>
        <w:ind w:left="7371" w:right="-428"/>
        <w:jc w:val="both"/>
        <w:rPr>
          <w:rFonts w:ascii="Garamond" w:hAnsi="Garamond"/>
          <w:b/>
          <w:sz w:val="22"/>
          <w:szCs w:val="22"/>
          <w:lang w:eastAsia="en-US"/>
        </w:rPr>
      </w:pPr>
      <w:r w:rsidRPr="004C0B2B">
        <w:rPr>
          <w:rFonts w:ascii="Garamond" w:hAnsi="Garamond"/>
          <w:b/>
          <w:sz w:val="22"/>
          <w:szCs w:val="22"/>
          <w:lang w:eastAsia="en-US"/>
        </w:rPr>
        <w:t>АО «АТС»</w:t>
      </w:r>
    </w:p>
    <w:p w14:paraId="366302F1" w14:textId="77777777" w:rsidR="004B3B82" w:rsidRPr="004C0B2B" w:rsidRDefault="004B3B82" w:rsidP="00101F7C">
      <w:pPr>
        <w:ind w:left="6521"/>
        <w:jc w:val="both"/>
        <w:rPr>
          <w:rFonts w:ascii="Garamond" w:hAnsi="Garamond"/>
          <w:b/>
          <w:sz w:val="22"/>
          <w:szCs w:val="22"/>
          <w:lang w:eastAsia="en-US"/>
        </w:rPr>
      </w:pPr>
    </w:p>
    <w:p w14:paraId="0F749931" w14:textId="77777777" w:rsidR="004B3B82" w:rsidRPr="004C0B2B" w:rsidRDefault="004B3B82" w:rsidP="00101F7C">
      <w:pPr>
        <w:jc w:val="both"/>
        <w:rPr>
          <w:rFonts w:ascii="Garamond" w:hAnsi="Garamond"/>
          <w:sz w:val="22"/>
          <w:szCs w:val="22"/>
          <w:lang w:eastAsia="en-US"/>
        </w:rPr>
      </w:pPr>
      <w:r w:rsidRPr="004C0B2B">
        <w:rPr>
          <w:rFonts w:ascii="Garamond" w:hAnsi="Garamond"/>
          <w:sz w:val="22"/>
          <w:szCs w:val="22"/>
          <w:lang w:eastAsia="en-US"/>
        </w:rPr>
        <w:t>№ _____________________</w:t>
      </w:r>
    </w:p>
    <w:p w14:paraId="0725A4C7" w14:textId="77777777" w:rsidR="004B3B82" w:rsidRPr="004C0B2B" w:rsidRDefault="004B3B82" w:rsidP="00101F7C">
      <w:pPr>
        <w:jc w:val="both"/>
        <w:rPr>
          <w:rFonts w:ascii="Garamond" w:hAnsi="Garamond"/>
          <w:sz w:val="22"/>
          <w:szCs w:val="22"/>
          <w:lang w:eastAsia="en-US"/>
        </w:rPr>
      </w:pPr>
      <w:r w:rsidRPr="004C0B2B">
        <w:rPr>
          <w:rFonts w:ascii="Garamond" w:hAnsi="Garamond"/>
          <w:sz w:val="22"/>
          <w:szCs w:val="22"/>
          <w:lang w:eastAsia="en-US"/>
        </w:rPr>
        <w:t>«___» ___________ 20 ___ г.</w:t>
      </w:r>
    </w:p>
    <w:p w14:paraId="4A2F0DB4" w14:textId="77777777" w:rsidR="004B3B82" w:rsidRPr="004C0B2B" w:rsidRDefault="004B3B82" w:rsidP="00101F7C">
      <w:pPr>
        <w:jc w:val="both"/>
        <w:rPr>
          <w:rFonts w:ascii="Garamond" w:hAnsi="Garamond"/>
          <w:sz w:val="22"/>
          <w:szCs w:val="22"/>
          <w:lang w:eastAsia="en-US"/>
        </w:rPr>
      </w:pPr>
    </w:p>
    <w:p w14:paraId="0A2DA110" w14:textId="77777777" w:rsidR="004B3B82" w:rsidRPr="004C0B2B" w:rsidRDefault="004B3B82" w:rsidP="00101F7C">
      <w:pPr>
        <w:jc w:val="center"/>
        <w:rPr>
          <w:rFonts w:ascii="Garamond" w:hAnsi="Garamond"/>
          <w:b/>
          <w:sz w:val="22"/>
          <w:szCs w:val="22"/>
          <w:lang w:eastAsia="en-US"/>
        </w:rPr>
      </w:pPr>
    </w:p>
    <w:p w14:paraId="1388A128" w14:textId="77777777" w:rsidR="004B3B82" w:rsidRPr="004C0B2B" w:rsidRDefault="004B3B82" w:rsidP="00101F7C">
      <w:pPr>
        <w:jc w:val="center"/>
        <w:rPr>
          <w:rFonts w:ascii="Garamond" w:hAnsi="Garamond"/>
          <w:b/>
          <w:sz w:val="22"/>
          <w:szCs w:val="22"/>
          <w:lang w:eastAsia="en-US"/>
        </w:rPr>
      </w:pPr>
      <w:r w:rsidRPr="004C0B2B">
        <w:rPr>
          <w:rFonts w:ascii="Garamond" w:hAnsi="Garamond"/>
          <w:b/>
          <w:sz w:val="22"/>
          <w:szCs w:val="22"/>
          <w:lang w:eastAsia="en-US"/>
        </w:rPr>
        <w:t>ЗАЯВЛЕНИЕ</w:t>
      </w:r>
    </w:p>
    <w:p w14:paraId="7B9B33CD" w14:textId="77777777" w:rsidR="004B3B82" w:rsidRPr="004C0B2B" w:rsidRDefault="004B3B82" w:rsidP="00101F7C">
      <w:pPr>
        <w:ind w:right="-108"/>
        <w:jc w:val="center"/>
        <w:rPr>
          <w:rFonts w:ascii="Garamond" w:hAnsi="Garamond"/>
          <w:b/>
          <w:sz w:val="22"/>
          <w:szCs w:val="22"/>
          <w:lang w:eastAsia="en-US"/>
        </w:rPr>
      </w:pPr>
      <w:r w:rsidRPr="004C0B2B">
        <w:rPr>
          <w:rFonts w:ascii="Garamond" w:hAnsi="Garamond"/>
          <w:b/>
          <w:sz w:val="22"/>
          <w:szCs w:val="22"/>
          <w:lang w:eastAsia="en-US"/>
        </w:rPr>
        <w:t>об установлении соответствия системы коммерческого учета электрической энергии техническим требованиям оптового рынка электрической энергии и мощности</w:t>
      </w:r>
    </w:p>
    <w:p w14:paraId="0C1F2920" w14:textId="77777777" w:rsidR="004B3B82" w:rsidRPr="004C0B2B" w:rsidRDefault="004B3B82" w:rsidP="00101F7C">
      <w:pPr>
        <w:jc w:val="both"/>
        <w:rPr>
          <w:rFonts w:ascii="Garamond" w:hAnsi="Garamond"/>
          <w:sz w:val="22"/>
          <w:szCs w:val="22"/>
          <w:lang w:eastAsia="en-US"/>
        </w:rPr>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02"/>
        <w:gridCol w:w="7058"/>
      </w:tblGrid>
      <w:tr w:rsidR="004B3B82" w:rsidRPr="004C0B2B" w14:paraId="0FF228BB" w14:textId="77777777" w:rsidTr="00CD3B05">
        <w:trPr>
          <w:trHeight w:val="421"/>
        </w:trPr>
        <w:tc>
          <w:tcPr>
            <w:tcW w:w="3002" w:type="dxa"/>
            <w:shd w:val="clear" w:color="auto" w:fill="D9D9D9"/>
            <w:vAlign w:val="center"/>
          </w:tcPr>
          <w:p w14:paraId="22796899" w14:textId="77777777" w:rsidR="004B3B82" w:rsidRPr="004C0B2B" w:rsidRDefault="004B3B82" w:rsidP="00CD3B05">
            <w:pPr>
              <w:jc w:val="both"/>
              <w:rPr>
                <w:rFonts w:ascii="Garamond" w:hAnsi="Garamond"/>
                <w:sz w:val="22"/>
                <w:szCs w:val="22"/>
                <w:lang w:eastAsia="en-US"/>
              </w:rPr>
            </w:pPr>
            <w:r w:rsidRPr="004C0B2B">
              <w:rPr>
                <w:rFonts w:ascii="Garamond" w:hAnsi="Garamond"/>
                <w:sz w:val="22"/>
                <w:szCs w:val="22"/>
                <w:lang w:eastAsia="en-US"/>
              </w:rPr>
              <w:t>Полное наименование заявителя</w:t>
            </w:r>
          </w:p>
        </w:tc>
        <w:tc>
          <w:tcPr>
            <w:tcW w:w="7058" w:type="dxa"/>
            <w:shd w:val="clear" w:color="auto" w:fill="auto"/>
            <w:vAlign w:val="center"/>
          </w:tcPr>
          <w:p w14:paraId="26AE835C" w14:textId="77777777" w:rsidR="004B3B82" w:rsidRPr="004C0B2B" w:rsidRDefault="004B3B82" w:rsidP="00CD3B05">
            <w:pPr>
              <w:autoSpaceDE w:val="0"/>
              <w:autoSpaceDN w:val="0"/>
              <w:rPr>
                <w:rFonts w:ascii="Garamond" w:hAnsi="Garamond"/>
                <w:sz w:val="22"/>
                <w:szCs w:val="22"/>
                <w:lang w:eastAsia="en-US"/>
              </w:rPr>
            </w:pPr>
          </w:p>
        </w:tc>
      </w:tr>
      <w:tr w:rsidR="004B3B82" w:rsidRPr="004C0B2B" w14:paraId="08E46777" w14:textId="77777777" w:rsidTr="00CD3B05">
        <w:trPr>
          <w:trHeight w:val="340"/>
        </w:trPr>
        <w:tc>
          <w:tcPr>
            <w:tcW w:w="3002" w:type="dxa"/>
            <w:shd w:val="clear" w:color="auto" w:fill="D9D9D9"/>
            <w:vAlign w:val="center"/>
          </w:tcPr>
          <w:p w14:paraId="58114C46" w14:textId="77777777" w:rsidR="004B3B82" w:rsidRPr="004C0B2B" w:rsidRDefault="004B3B82" w:rsidP="00CD3B05">
            <w:pPr>
              <w:jc w:val="both"/>
              <w:rPr>
                <w:rFonts w:ascii="Garamond" w:hAnsi="Garamond"/>
                <w:sz w:val="22"/>
                <w:szCs w:val="22"/>
                <w:lang w:eastAsia="en-US"/>
              </w:rPr>
            </w:pPr>
            <w:r w:rsidRPr="004C0B2B">
              <w:rPr>
                <w:rFonts w:ascii="Garamond" w:hAnsi="Garamond"/>
                <w:sz w:val="22"/>
                <w:szCs w:val="22"/>
                <w:lang w:eastAsia="en-US"/>
              </w:rPr>
              <w:t>Сокращенное наименование заявителя</w:t>
            </w:r>
          </w:p>
        </w:tc>
        <w:tc>
          <w:tcPr>
            <w:tcW w:w="7058" w:type="dxa"/>
            <w:shd w:val="clear" w:color="auto" w:fill="auto"/>
            <w:vAlign w:val="center"/>
          </w:tcPr>
          <w:p w14:paraId="2AA7F811" w14:textId="77777777" w:rsidR="004B3B82" w:rsidRPr="004C0B2B" w:rsidRDefault="004B3B82" w:rsidP="00CD3B05">
            <w:pPr>
              <w:jc w:val="both"/>
              <w:rPr>
                <w:rFonts w:ascii="Garamond" w:hAnsi="Garamond"/>
                <w:b/>
                <w:sz w:val="22"/>
                <w:szCs w:val="22"/>
                <w:lang w:eastAsia="en-US"/>
              </w:rPr>
            </w:pPr>
          </w:p>
        </w:tc>
      </w:tr>
    </w:tbl>
    <w:p w14:paraId="3D61F80D" w14:textId="77777777" w:rsidR="004B3B82" w:rsidRPr="004C0B2B" w:rsidRDefault="004B3B82" w:rsidP="00101F7C">
      <w:pPr>
        <w:jc w:val="both"/>
        <w:rPr>
          <w:rFonts w:ascii="Garamond" w:hAnsi="Garamond"/>
          <w:sz w:val="22"/>
          <w:szCs w:val="22"/>
          <w:lang w:eastAsia="en-US"/>
        </w:rPr>
      </w:pPr>
    </w:p>
    <w:p w14:paraId="7275F0EC" w14:textId="77777777" w:rsidR="004B3B82" w:rsidRPr="004C0B2B" w:rsidRDefault="004B3B82" w:rsidP="00101F7C">
      <w:pPr>
        <w:autoSpaceDE w:val="0"/>
        <w:autoSpaceDN w:val="0"/>
        <w:jc w:val="both"/>
        <w:rPr>
          <w:rFonts w:ascii="Garamond" w:hAnsi="Garamond"/>
          <w:sz w:val="22"/>
          <w:szCs w:val="22"/>
        </w:rPr>
      </w:pPr>
      <w:r w:rsidRPr="004C0B2B">
        <w:rPr>
          <w:rFonts w:ascii="Garamond" w:hAnsi="Garamond"/>
          <w:sz w:val="22"/>
          <w:szCs w:val="22"/>
          <w:lang w:eastAsia="en-US"/>
        </w:rPr>
        <w:t xml:space="preserve">выражает намерение </w:t>
      </w:r>
      <w:r w:rsidRPr="004C0B2B">
        <w:rPr>
          <w:rFonts w:ascii="Garamond" w:hAnsi="Garamond"/>
          <w:spacing w:val="-2"/>
          <w:sz w:val="22"/>
          <w:szCs w:val="22"/>
        </w:rPr>
        <w:t xml:space="preserve">установить соответствие системы коммерческого учета электроэнергии техническим требованиям оптового рынка электроэнергии (мощности) и получить </w:t>
      </w:r>
      <w:r w:rsidRPr="004C0B2B">
        <w:rPr>
          <w:rFonts w:ascii="Garamond" w:hAnsi="Garamond"/>
          <w:sz w:val="22"/>
          <w:szCs w:val="22"/>
        </w:rPr>
        <w:t>Акт о соответствии системы коммерческого учета электрической энергии техническим требованиям оптового рынка электрической энергии и мощности</w:t>
      </w:r>
    </w:p>
    <w:p w14:paraId="31A884A6" w14:textId="77777777" w:rsidR="004B3B82" w:rsidRPr="004C0B2B" w:rsidRDefault="004B3B82" w:rsidP="00101F7C">
      <w:pPr>
        <w:autoSpaceDE w:val="0"/>
        <w:autoSpaceDN w:val="0"/>
        <w:jc w:val="both"/>
        <w:rPr>
          <w:rFonts w:ascii="Garamond" w:hAnsi="Garamond"/>
          <w:sz w:val="22"/>
          <w:szCs w:val="22"/>
          <w:vertAlign w:val="superscript"/>
          <w:lang w:eastAsia="en-US"/>
        </w:rPr>
      </w:pPr>
    </w:p>
    <w:tbl>
      <w:tblPr>
        <w:tblW w:w="10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03"/>
        <w:gridCol w:w="7062"/>
      </w:tblGrid>
      <w:tr w:rsidR="004B3B82" w:rsidRPr="004C0B2B" w14:paraId="7CDEEB08" w14:textId="77777777" w:rsidTr="00CD3B05">
        <w:trPr>
          <w:trHeight w:val="421"/>
        </w:trPr>
        <w:tc>
          <w:tcPr>
            <w:tcW w:w="3003" w:type="dxa"/>
            <w:shd w:val="clear" w:color="auto" w:fill="D9D9D9"/>
            <w:vAlign w:val="center"/>
          </w:tcPr>
          <w:p w14:paraId="28F591F9" w14:textId="77777777" w:rsidR="004B3B82" w:rsidRPr="004C0B2B" w:rsidRDefault="004B3B82" w:rsidP="00CD3B05">
            <w:pPr>
              <w:jc w:val="both"/>
              <w:rPr>
                <w:rFonts w:ascii="Garamond" w:hAnsi="Garamond"/>
                <w:sz w:val="22"/>
                <w:szCs w:val="22"/>
                <w:lang w:eastAsia="en-US"/>
              </w:rPr>
            </w:pPr>
            <w:r w:rsidRPr="004C0B2B">
              <w:rPr>
                <w:rFonts w:ascii="Garamond" w:hAnsi="Garamond"/>
                <w:sz w:val="22"/>
                <w:szCs w:val="22"/>
                <w:lang w:eastAsia="en-US"/>
              </w:rPr>
              <w:t xml:space="preserve">Класс АИИС КУЭ </w:t>
            </w:r>
          </w:p>
          <w:p w14:paraId="6FEDC3BD" w14:textId="77777777" w:rsidR="004B3B82" w:rsidRPr="004C0B2B" w:rsidRDefault="004B3B82" w:rsidP="00CD3B05">
            <w:pPr>
              <w:jc w:val="both"/>
              <w:rPr>
                <w:rFonts w:ascii="Garamond" w:hAnsi="Garamond"/>
                <w:sz w:val="22"/>
                <w:szCs w:val="22"/>
                <w:lang w:eastAsia="en-US"/>
              </w:rPr>
            </w:pPr>
            <w:r w:rsidRPr="004C0B2B">
              <w:rPr>
                <w:rFonts w:ascii="Garamond" w:hAnsi="Garamond"/>
                <w:sz w:val="18"/>
                <w:szCs w:val="18"/>
                <w:lang w:eastAsia="en-US"/>
              </w:rPr>
              <w:t>(</w:t>
            </w:r>
            <w:r w:rsidRPr="004C0B2B">
              <w:rPr>
                <w:rFonts w:ascii="Garamond" w:hAnsi="Garamond"/>
                <w:i/>
                <w:sz w:val="18"/>
                <w:szCs w:val="18"/>
                <w:lang w:eastAsia="en-US"/>
              </w:rPr>
              <w:t>необходимо выбрать один из представленных вариантов</w:t>
            </w:r>
            <w:r w:rsidRPr="004C0B2B">
              <w:rPr>
                <w:rFonts w:ascii="Garamond" w:hAnsi="Garamond"/>
                <w:sz w:val="18"/>
                <w:szCs w:val="18"/>
                <w:lang w:eastAsia="en-US"/>
              </w:rPr>
              <w:t>)</w:t>
            </w:r>
          </w:p>
        </w:tc>
        <w:tc>
          <w:tcPr>
            <w:tcW w:w="7062" w:type="dxa"/>
            <w:shd w:val="clear" w:color="auto" w:fill="auto"/>
            <w:vAlign w:val="center"/>
          </w:tcPr>
          <w:p w14:paraId="0F7B120A" w14:textId="77777777" w:rsidR="004B3B82" w:rsidRPr="004C0B2B" w:rsidRDefault="004B3B82" w:rsidP="004B3B82">
            <w:pPr>
              <w:numPr>
                <w:ilvl w:val="0"/>
                <w:numId w:val="120"/>
              </w:numPr>
              <w:suppressAutoHyphens w:val="0"/>
              <w:autoSpaceDE w:val="0"/>
              <w:autoSpaceDN w:val="0"/>
              <w:rPr>
                <w:rFonts w:ascii="Garamond" w:hAnsi="Garamond"/>
                <w:sz w:val="22"/>
                <w:szCs w:val="22"/>
                <w:lang w:eastAsia="en-US"/>
              </w:rPr>
            </w:pPr>
            <w:r w:rsidRPr="004C0B2B">
              <w:rPr>
                <w:rFonts w:ascii="Garamond" w:hAnsi="Garamond"/>
                <w:sz w:val="22"/>
                <w:szCs w:val="22"/>
                <w:lang w:eastAsia="en-US"/>
              </w:rPr>
              <w:t xml:space="preserve">А </w:t>
            </w:r>
          </w:p>
          <w:p w14:paraId="7F6FBE27" w14:textId="77777777" w:rsidR="004B3B82" w:rsidRPr="004C0B2B" w:rsidRDefault="004B3B82" w:rsidP="004B3B82">
            <w:pPr>
              <w:numPr>
                <w:ilvl w:val="0"/>
                <w:numId w:val="120"/>
              </w:numPr>
              <w:suppressAutoHyphens w:val="0"/>
              <w:autoSpaceDE w:val="0"/>
              <w:autoSpaceDN w:val="0"/>
              <w:rPr>
                <w:rFonts w:ascii="Garamond" w:hAnsi="Garamond"/>
                <w:sz w:val="22"/>
                <w:szCs w:val="22"/>
                <w:lang w:eastAsia="en-US"/>
              </w:rPr>
            </w:pPr>
            <w:r w:rsidRPr="004C0B2B">
              <w:rPr>
                <w:rFonts w:ascii="Garamond" w:hAnsi="Garamond"/>
                <w:sz w:val="22"/>
                <w:szCs w:val="22"/>
                <w:lang w:val="en-US" w:eastAsia="en-US"/>
              </w:rPr>
              <w:t>N</w:t>
            </w:r>
            <w:r w:rsidRPr="004C0B2B">
              <w:rPr>
                <w:rFonts w:ascii="Garamond" w:hAnsi="Garamond"/>
                <w:sz w:val="22"/>
                <w:szCs w:val="22"/>
                <w:lang w:eastAsia="en-US"/>
              </w:rPr>
              <w:t xml:space="preserve"> – только для новой ГТП (сечения КУ), сформированной (-ого) в отношении вновь вводимого генерирующего и (или) энергопринимающего оборудования.</w:t>
            </w:r>
          </w:p>
        </w:tc>
      </w:tr>
      <w:tr w:rsidR="004B3B82" w:rsidRPr="004C0B2B" w14:paraId="4DF29D98" w14:textId="77777777" w:rsidTr="00CD3B05">
        <w:trPr>
          <w:trHeight w:val="340"/>
        </w:trPr>
        <w:tc>
          <w:tcPr>
            <w:tcW w:w="3003" w:type="dxa"/>
            <w:shd w:val="clear" w:color="auto" w:fill="D9D9D9"/>
            <w:vAlign w:val="center"/>
          </w:tcPr>
          <w:p w14:paraId="0EEB7E55" w14:textId="77777777" w:rsidR="004B3B82" w:rsidRPr="004C0B2B" w:rsidRDefault="004B3B82" w:rsidP="00CD3B05">
            <w:pPr>
              <w:jc w:val="both"/>
              <w:rPr>
                <w:rFonts w:ascii="Garamond" w:hAnsi="Garamond"/>
                <w:sz w:val="22"/>
                <w:szCs w:val="22"/>
                <w:lang w:eastAsia="en-US"/>
              </w:rPr>
            </w:pPr>
            <w:r w:rsidRPr="004C0B2B">
              <w:rPr>
                <w:rFonts w:ascii="Garamond" w:hAnsi="Garamond"/>
                <w:sz w:val="22"/>
                <w:szCs w:val="22"/>
                <w:lang w:eastAsia="en-US"/>
              </w:rPr>
              <w:t xml:space="preserve">Наименование сечения КУ/ ГТП генерации </w:t>
            </w:r>
            <w:r w:rsidRPr="004C0B2B">
              <w:rPr>
                <w:rFonts w:ascii="Garamond" w:hAnsi="Garamond"/>
                <w:sz w:val="22"/>
                <w:szCs w:val="22"/>
                <w:vertAlign w:val="superscript"/>
                <w:lang w:eastAsia="en-US"/>
              </w:rPr>
              <w:t>1</w:t>
            </w:r>
          </w:p>
        </w:tc>
        <w:tc>
          <w:tcPr>
            <w:tcW w:w="7062" w:type="dxa"/>
            <w:shd w:val="clear" w:color="auto" w:fill="auto"/>
            <w:vAlign w:val="center"/>
          </w:tcPr>
          <w:p w14:paraId="7B5A300F" w14:textId="77777777" w:rsidR="004B3B82" w:rsidRPr="004C0B2B" w:rsidRDefault="004B3B82" w:rsidP="00CD3B05">
            <w:pPr>
              <w:jc w:val="both"/>
              <w:rPr>
                <w:rFonts w:ascii="Garamond" w:hAnsi="Garamond"/>
                <w:b/>
                <w:sz w:val="22"/>
                <w:szCs w:val="22"/>
                <w:lang w:eastAsia="en-US"/>
              </w:rPr>
            </w:pPr>
          </w:p>
        </w:tc>
      </w:tr>
      <w:tr w:rsidR="004B3B82" w:rsidRPr="004C0B2B" w14:paraId="517F74ED" w14:textId="77777777" w:rsidTr="00CD3B05">
        <w:trPr>
          <w:trHeight w:val="340"/>
        </w:trPr>
        <w:tc>
          <w:tcPr>
            <w:tcW w:w="3003" w:type="dxa"/>
            <w:shd w:val="clear" w:color="auto" w:fill="D9D9D9"/>
            <w:vAlign w:val="center"/>
          </w:tcPr>
          <w:p w14:paraId="6F94AAA8" w14:textId="77777777" w:rsidR="004B3B82" w:rsidRPr="004C0B2B" w:rsidRDefault="004B3B82" w:rsidP="00CD3B05">
            <w:pPr>
              <w:jc w:val="both"/>
              <w:rPr>
                <w:rFonts w:ascii="Garamond" w:hAnsi="Garamond"/>
                <w:sz w:val="22"/>
                <w:szCs w:val="22"/>
                <w:lang w:eastAsia="en-US"/>
              </w:rPr>
            </w:pPr>
            <w:r w:rsidRPr="004C0B2B">
              <w:rPr>
                <w:rFonts w:ascii="Garamond" w:hAnsi="Garamond"/>
                <w:sz w:val="22"/>
                <w:szCs w:val="22"/>
                <w:lang w:eastAsia="en-US"/>
              </w:rPr>
              <w:t xml:space="preserve">Основание </w:t>
            </w:r>
            <w:r w:rsidRPr="004C0B2B">
              <w:rPr>
                <w:rFonts w:ascii="Garamond" w:hAnsi="Garamond"/>
                <w:sz w:val="22"/>
                <w:szCs w:val="22"/>
                <w:vertAlign w:val="superscript"/>
                <w:lang w:eastAsia="en-US"/>
              </w:rPr>
              <w:t>2</w:t>
            </w:r>
          </w:p>
        </w:tc>
        <w:tc>
          <w:tcPr>
            <w:tcW w:w="7062" w:type="dxa"/>
            <w:shd w:val="clear" w:color="auto" w:fill="auto"/>
            <w:vAlign w:val="center"/>
          </w:tcPr>
          <w:p w14:paraId="3563D216" w14:textId="77777777" w:rsidR="004B3B82" w:rsidRPr="004C0B2B" w:rsidRDefault="004B3B82" w:rsidP="00CD3B05">
            <w:pPr>
              <w:jc w:val="both"/>
              <w:rPr>
                <w:rFonts w:ascii="Garamond" w:hAnsi="Garamond"/>
                <w:sz w:val="22"/>
                <w:szCs w:val="22"/>
                <w:lang w:eastAsia="en-US"/>
              </w:rPr>
            </w:pPr>
          </w:p>
        </w:tc>
      </w:tr>
      <w:tr w:rsidR="004B3B82" w:rsidRPr="004C0B2B" w14:paraId="5A45DBA2" w14:textId="77777777" w:rsidTr="00CD3B05">
        <w:trPr>
          <w:trHeight w:val="421"/>
        </w:trPr>
        <w:tc>
          <w:tcPr>
            <w:tcW w:w="3003" w:type="dxa"/>
            <w:shd w:val="clear" w:color="auto" w:fill="D9D9D9"/>
            <w:vAlign w:val="center"/>
          </w:tcPr>
          <w:p w14:paraId="21B58742" w14:textId="77777777" w:rsidR="004B3B82" w:rsidRPr="004C0B2B" w:rsidRDefault="004B3B82" w:rsidP="00CD3B05">
            <w:pPr>
              <w:rPr>
                <w:rFonts w:ascii="Garamond" w:hAnsi="Garamond"/>
                <w:sz w:val="22"/>
                <w:szCs w:val="22"/>
                <w:lang w:eastAsia="en-US"/>
              </w:rPr>
            </w:pPr>
            <w:r w:rsidRPr="004C0B2B">
              <w:rPr>
                <w:rFonts w:ascii="Garamond" w:hAnsi="Garamond"/>
                <w:sz w:val="22"/>
                <w:szCs w:val="22"/>
                <w:lang w:eastAsia="en-US"/>
              </w:rPr>
              <w:t xml:space="preserve">Информирую, что                           </w:t>
            </w:r>
            <w:r w:rsidRPr="004C0B2B">
              <w:rPr>
                <w:rFonts w:ascii="Garamond" w:hAnsi="Garamond"/>
                <w:sz w:val="18"/>
                <w:szCs w:val="18"/>
                <w:lang w:eastAsia="en-US"/>
              </w:rPr>
              <w:t>(</w:t>
            </w:r>
            <w:r w:rsidRPr="004C0B2B">
              <w:rPr>
                <w:rFonts w:ascii="Garamond" w:hAnsi="Garamond"/>
                <w:i/>
                <w:sz w:val="18"/>
                <w:szCs w:val="18"/>
                <w:lang w:eastAsia="en-US"/>
              </w:rPr>
              <w:t>необходимо выбрать один из представленных вариантов</w:t>
            </w:r>
            <w:r w:rsidRPr="004C0B2B">
              <w:rPr>
                <w:rFonts w:ascii="Garamond" w:hAnsi="Garamond"/>
                <w:sz w:val="18"/>
                <w:szCs w:val="18"/>
                <w:lang w:eastAsia="en-US"/>
              </w:rPr>
              <w:t>)</w:t>
            </w:r>
          </w:p>
        </w:tc>
        <w:tc>
          <w:tcPr>
            <w:tcW w:w="7062" w:type="dxa"/>
            <w:shd w:val="clear" w:color="auto" w:fill="auto"/>
            <w:vAlign w:val="center"/>
          </w:tcPr>
          <w:p w14:paraId="4C12BCAD" w14:textId="77777777" w:rsidR="004B3B82" w:rsidRPr="004C0B2B" w:rsidRDefault="004B3B82" w:rsidP="00101F7C">
            <w:pPr>
              <w:numPr>
                <w:ilvl w:val="0"/>
                <w:numId w:val="113"/>
              </w:numPr>
              <w:suppressAutoHyphens w:val="0"/>
              <w:autoSpaceDE w:val="0"/>
              <w:autoSpaceDN w:val="0"/>
              <w:rPr>
                <w:rFonts w:ascii="Garamond" w:hAnsi="Garamond"/>
                <w:sz w:val="22"/>
                <w:szCs w:val="22"/>
                <w:lang w:eastAsia="en-US"/>
              </w:rPr>
            </w:pPr>
            <w:r w:rsidRPr="004C0B2B">
              <w:rPr>
                <w:rFonts w:ascii="Garamond" w:hAnsi="Garamond"/>
                <w:b/>
                <w:sz w:val="22"/>
                <w:szCs w:val="22"/>
                <w:lang w:eastAsia="en-US"/>
              </w:rPr>
              <w:t>не использую</w:t>
            </w:r>
            <w:r w:rsidRPr="004C0B2B">
              <w:rPr>
                <w:rFonts w:ascii="Garamond" w:hAnsi="Garamond"/>
                <w:sz w:val="22"/>
                <w:szCs w:val="22"/>
                <w:lang w:eastAsia="en-US"/>
              </w:rPr>
              <w:t xml:space="preserve"> компоненты и (или) АИИС КУЭ, принадлежащие третьим лицам;</w:t>
            </w:r>
          </w:p>
          <w:p w14:paraId="05DD208D" w14:textId="77777777" w:rsidR="004B3B82" w:rsidRPr="004C0B2B" w:rsidRDefault="004B3B82" w:rsidP="00101F7C">
            <w:pPr>
              <w:numPr>
                <w:ilvl w:val="0"/>
                <w:numId w:val="113"/>
              </w:numPr>
              <w:suppressAutoHyphens w:val="0"/>
              <w:autoSpaceDE w:val="0"/>
              <w:autoSpaceDN w:val="0"/>
              <w:rPr>
                <w:rFonts w:ascii="Garamond" w:hAnsi="Garamond"/>
                <w:sz w:val="22"/>
                <w:szCs w:val="22"/>
                <w:lang w:eastAsia="en-US"/>
              </w:rPr>
            </w:pPr>
            <w:r w:rsidRPr="004C0B2B">
              <w:rPr>
                <w:rFonts w:ascii="Garamond" w:hAnsi="Garamond"/>
                <w:b/>
                <w:sz w:val="22"/>
                <w:szCs w:val="22"/>
                <w:lang w:eastAsia="en-US"/>
              </w:rPr>
              <w:t>использую</w:t>
            </w:r>
            <w:r w:rsidRPr="004C0B2B">
              <w:rPr>
                <w:rFonts w:ascii="Garamond" w:hAnsi="Garamond"/>
                <w:sz w:val="22"/>
                <w:szCs w:val="22"/>
                <w:lang w:eastAsia="en-US"/>
              </w:rPr>
              <w:t xml:space="preserve"> компоненты и (или) АИИС КУЭ, принадлежащие третьим лицам </w:t>
            </w:r>
          </w:p>
          <w:p w14:paraId="0F3683B0" w14:textId="77777777" w:rsidR="004B3B82" w:rsidRPr="004C0B2B" w:rsidRDefault="004B3B82" w:rsidP="00CD3B05">
            <w:pPr>
              <w:autoSpaceDE w:val="0"/>
              <w:autoSpaceDN w:val="0"/>
              <w:rPr>
                <w:rFonts w:ascii="Garamond" w:hAnsi="Garamond"/>
                <w:sz w:val="22"/>
                <w:szCs w:val="22"/>
                <w:u w:val="single"/>
                <w:lang w:eastAsia="en-US"/>
              </w:rPr>
            </w:pPr>
            <w:r w:rsidRPr="004C0B2B">
              <w:rPr>
                <w:rFonts w:ascii="Garamond" w:hAnsi="Garamond"/>
                <w:b/>
                <w:sz w:val="22"/>
                <w:szCs w:val="22"/>
                <w:u w:val="single"/>
                <w:lang w:eastAsia="en-US"/>
              </w:rPr>
              <w:t xml:space="preserve">                                                                                                                           </w:t>
            </w:r>
            <w:r w:rsidRPr="004C0B2B">
              <w:rPr>
                <w:rFonts w:ascii="Garamond" w:hAnsi="Garamond"/>
                <w:sz w:val="22"/>
                <w:szCs w:val="22"/>
                <w:u w:val="single"/>
                <w:lang w:eastAsia="en-US"/>
              </w:rPr>
              <w:t>,</w:t>
            </w:r>
          </w:p>
          <w:p w14:paraId="3966AED6" w14:textId="77777777" w:rsidR="004B3B82" w:rsidRPr="004C0B2B" w:rsidRDefault="004B3B82" w:rsidP="00CD3B05">
            <w:pPr>
              <w:autoSpaceDE w:val="0"/>
              <w:autoSpaceDN w:val="0"/>
              <w:rPr>
                <w:rFonts w:ascii="Garamond" w:hAnsi="Garamond"/>
                <w:i/>
                <w:sz w:val="18"/>
                <w:szCs w:val="18"/>
                <w:lang w:eastAsia="en-US"/>
              </w:rPr>
            </w:pPr>
            <w:r w:rsidRPr="004C0B2B">
              <w:rPr>
                <w:rFonts w:ascii="Garamond" w:hAnsi="Garamond"/>
                <w:i/>
                <w:sz w:val="18"/>
                <w:szCs w:val="18"/>
                <w:lang w:eastAsia="en-US"/>
              </w:rPr>
              <w:t>(полное наименование организации (-ий) с указанием организационно-правовой формы)</w:t>
            </w:r>
          </w:p>
          <w:p w14:paraId="334E0E8D" w14:textId="77777777" w:rsidR="004B3B82" w:rsidRPr="004C0B2B" w:rsidRDefault="004B3B82" w:rsidP="00CD3B05">
            <w:pPr>
              <w:autoSpaceDE w:val="0"/>
              <w:autoSpaceDN w:val="0"/>
              <w:ind w:left="429"/>
              <w:rPr>
                <w:rFonts w:ascii="Garamond" w:hAnsi="Garamond"/>
                <w:sz w:val="22"/>
                <w:szCs w:val="22"/>
                <w:lang w:eastAsia="en-US"/>
              </w:rPr>
            </w:pPr>
          </w:p>
          <w:p w14:paraId="549103A6" w14:textId="77777777" w:rsidR="004B3B82" w:rsidRPr="004C0B2B" w:rsidRDefault="004B3B82" w:rsidP="00CD3B05">
            <w:pPr>
              <w:autoSpaceDE w:val="0"/>
              <w:autoSpaceDN w:val="0"/>
              <w:ind w:left="429"/>
              <w:rPr>
                <w:rFonts w:ascii="Garamond" w:hAnsi="Garamond"/>
                <w:sz w:val="22"/>
                <w:szCs w:val="22"/>
                <w:lang w:eastAsia="en-US"/>
              </w:rPr>
            </w:pPr>
            <w:r w:rsidRPr="004C0B2B">
              <w:rPr>
                <w:rFonts w:ascii="Garamond" w:hAnsi="Garamond"/>
                <w:sz w:val="22"/>
                <w:szCs w:val="22"/>
                <w:lang w:eastAsia="en-US"/>
              </w:rPr>
              <w:t>а также подтверждаю, что отношения по использованию данных компонентов и (или) АИИС КУЭ урегулированы с указанными третьими лицами надлежащим образом.</w:t>
            </w:r>
          </w:p>
        </w:tc>
      </w:tr>
      <w:tr w:rsidR="004B3B82" w:rsidRPr="004C0B2B" w14:paraId="398FB891" w14:textId="77777777" w:rsidTr="00CD3B05">
        <w:trPr>
          <w:trHeight w:val="421"/>
        </w:trPr>
        <w:tc>
          <w:tcPr>
            <w:tcW w:w="3003" w:type="dxa"/>
            <w:shd w:val="clear" w:color="auto" w:fill="D9D9D9"/>
            <w:vAlign w:val="center"/>
          </w:tcPr>
          <w:p w14:paraId="4507B802" w14:textId="77777777" w:rsidR="004B3B82" w:rsidRPr="004C0B2B" w:rsidRDefault="004B3B82" w:rsidP="00CD3B05">
            <w:pPr>
              <w:rPr>
                <w:rFonts w:ascii="Garamond" w:hAnsi="Garamond"/>
                <w:i/>
                <w:sz w:val="18"/>
                <w:szCs w:val="18"/>
                <w:lang w:eastAsia="en-US"/>
              </w:rPr>
            </w:pPr>
            <w:r w:rsidRPr="004C0B2B">
              <w:rPr>
                <w:rFonts w:ascii="Garamond" w:hAnsi="Garamond"/>
                <w:sz w:val="22"/>
                <w:szCs w:val="22"/>
                <w:lang w:eastAsia="en-US"/>
              </w:rPr>
              <w:t>Контактные данные представителя заявителя, ответственного за предоставление доступа КО к АИИС КУЭ в удаленном режиме с использованием соответствующего специализированного программного обеспечения</w:t>
            </w:r>
          </w:p>
        </w:tc>
        <w:tc>
          <w:tcPr>
            <w:tcW w:w="7062" w:type="dxa"/>
            <w:shd w:val="clear" w:color="auto" w:fill="auto"/>
            <w:vAlign w:val="center"/>
          </w:tcPr>
          <w:p w14:paraId="542AFC9E" w14:textId="77777777" w:rsidR="004B3B82" w:rsidRPr="004C0B2B" w:rsidRDefault="004B3B82" w:rsidP="00CD3B05">
            <w:pPr>
              <w:autoSpaceDE w:val="0"/>
              <w:autoSpaceDN w:val="0"/>
              <w:rPr>
                <w:rFonts w:ascii="Garamond" w:hAnsi="Garamond"/>
                <w:b/>
                <w:sz w:val="22"/>
                <w:szCs w:val="22"/>
                <w:lang w:eastAsia="en-US"/>
              </w:rPr>
            </w:pPr>
            <w:r w:rsidRPr="004C0B2B">
              <w:rPr>
                <w:rFonts w:ascii="Garamond" w:hAnsi="Garamond"/>
                <w:sz w:val="22"/>
                <w:szCs w:val="22"/>
                <w:lang w:eastAsia="en-US"/>
              </w:rPr>
              <w:t>___________________________________________________________</w:t>
            </w:r>
          </w:p>
          <w:p w14:paraId="102A15B7" w14:textId="77777777" w:rsidR="004B3B82" w:rsidRPr="004C0B2B" w:rsidRDefault="004B3B82" w:rsidP="00CD3B05">
            <w:pPr>
              <w:autoSpaceDE w:val="0"/>
              <w:autoSpaceDN w:val="0"/>
              <w:ind w:left="720"/>
              <w:rPr>
                <w:rFonts w:ascii="Garamond" w:hAnsi="Garamond"/>
                <w:b/>
                <w:sz w:val="22"/>
                <w:szCs w:val="22"/>
                <w:lang w:eastAsia="en-US"/>
              </w:rPr>
            </w:pPr>
            <w:r w:rsidRPr="004C0B2B">
              <w:rPr>
                <w:rFonts w:ascii="Garamond" w:hAnsi="Garamond"/>
                <w:sz w:val="22"/>
                <w:szCs w:val="22"/>
                <w:lang w:eastAsia="en-US"/>
              </w:rPr>
              <w:t xml:space="preserve">(Ф. И. О., </w:t>
            </w:r>
            <w:r w:rsidRPr="004C0B2B">
              <w:rPr>
                <w:rFonts w:ascii="Garamond" w:hAnsi="Garamond"/>
                <w:sz w:val="22"/>
                <w:szCs w:val="22"/>
              </w:rPr>
              <w:t>номер телефона, адрес электронной почты)</w:t>
            </w:r>
          </w:p>
        </w:tc>
      </w:tr>
      <w:tr w:rsidR="004B3B82" w:rsidRPr="004C0B2B" w14:paraId="594751AD" w14:textId="77777777" w:rsidTr="00CD3B05">
        <w:trPr>
          <w:trHeight w:val="421"/>
        </w:trPr>
        <w:tc>
          <w:tcPr>
            <w:tcW w:w="3003" w:type="dxa"/>
            <w:shd w:val="clear" w:color="auto" w:fill="D9D9D9"/>
            <w:vAlign w:val="center"/>
          </w:tcPr>
          <w:p w14:paraId="59A85729" w14:textId="77777777" w:rsidR="004B3B82" w:rsidRPr="004C0B2B" w:rsidRDefault="004B3B82" w:rsidP="00CD3B05">
            <w:pPr>
              <w:rPr>
                <w:rFonts w:ascii="Garamond" w:hAnsi="Garamond"/>
                <w:sz w:val="22"/>
                <w:szCs w:val="22"/>
                <w:lang w:eastAsia="en-US"/>
              </w:rPr>
            </w:pPr>
            <w:r w:rsidRPr="004C0B2B">
              <w:rPr>
                <w:rFonts w:ascii="Garamond" w:hAnsi="Garamond"/>
                <w:sz w:val="22"/>
                <w:szCs w:val="22"/>
              </w:rPr>
              <w:t>Наименование специализированного программного обеспечения из перечня ПО </w:t>
            </w:r>
            <w:r w:rsidRPr="004C0B2B">
              <w:rPr>
                <w:rFonts w:ascii="Garamond" w:hAnsi="Garamond"/>
                <w:sz w:val="22"/>
                <w:szCs w:val="22"/>
                <w:vertAlign w:val="superscript"/>
                <w:lang w:eastAsia="en-US"/>
              </w:rPr>
              <w:t>3</w:t>
            </w:r>
          </w:p>
        </w:tc>
        <w:tc>
          <w:tcPr>
            <w:tcW w:w="7062" w:type="dxa"/>
            <w:shd w:val="clear" w:color="auto" w:fill="auto"/>
            <w:vAlign w:val="center"/>
          </w:tcPr>
          <w:p w14:paraId="2A249A7C" w14:textId="77777777" w:rsidR="004B3B82" w:rsidRPr="004C0B2B" w:rsidRDefault="004B3B82" w:rsidP="00CD3B05">
            <w:pPr>
              <w:autoSpaceDE w:val="0"/>
              <w:autoSpaceDN w:val="0"/>
              <w:ind w:left="720"/>
              <w:rPr>
                <w:rFonts w:ascii="Garamond" w:hAnsi="Garamond"/>
                <w:sz w:val="22"/>
                <w:szCs w:val="22"/>
              </w:rPr>
            </w:pPr>
          </w:p>
        </w:tc>
      </w:tr>
    </w:tbl>
    <w:p w14:paraId="20153064" w14:textId="77777777" w:rsidR="004B3B82" w:rsidRPr="004C0B2B" w:rsidRDefault="004B3B82" w:rsidP="00101F7C">
      <w:pPr>
        <w:autoSpaceDE w:val="0"/>
        <w:autoSpaceDN w:val="0"/>
        <w:jc w:val="both"/>
        <w:rPr>
          <w:rFonts w:ascii="Garamond" w:hAnsi="Garamond"/>
          <w:sz w:val="22"/>
          <w:szCs w:val="22"/>
        </w:rPr>
      </w:pPr>
    </w:p>
    <w:p w14:paraId="67EE3E4C" w14:textId="77777777" w:rsidR="004B3B82" w:rsidRPr="004C0B2B" w:rsidRDefault="004B3B82" w:rsidP="00101F7C">
      <w:pPr>
        <w:autoSpaceDE w:val="0"/>
        <w:autoSpaceDN w:val="0"/>
        <w:jc w:val="both"/>
        <w:rPr>
          <w:rFonts w:ascii="Garamond" w:hAnsi="Garamond"/>
          <w:bCs/>
          <w:sz w:val="22"/>
          <w:szCs w:val="22"/>
        </w:rPr>
      </w:pPr>
      <w:r w:rsidRPr="004C0B2B">
        <w:rPr>
          <w:rFonts w:ascii="Garamond" w:hAnsi="Garamond"/>
          <w:bCs/>
          <w:sz w:val="22"/>
          <w:szCs w:val="22"/>
        </w:rPr>
        <w:lastRenderedPageBreak/>
        <w:t>Подтверждаю, что измерения электрической энергии (мощности) по точкам поставки, в отношении которых допускается использовать средства измерений, не включенные в АИИС КУЭ, выполняются с применением средств измерений утвержденного типа, прошедших поверку в соответствии с требованиями Федерального закона «Об обеспечении единства измерений» № 102-ФЗ от 26.06.2008 г. к измерениям, относящимся к сфере государственного регулирования обеспечения единства измерений (</w:t>
      </w:r>
      <w:r w:rsidRPr="004C0B2B">
        <w:rPr>
          <w:rFonts w:ascii="Garamond" w:hAnsi="Garamond"/>
          <w:bCs/>
          <w:i/>
          <w:sz w:val="22"/>
          <w:szCs w:val="22"/>
        </w:rPr>
        <w:t>указывается при наличии средств измерений, не включенных в АИИС КУЭ</w:t>
      </w:r>
      <w:r w:rsidRPr="004C0B2B">
        <w:rPr>
          <w:rFonts w:ascii="Garamond" w:hAnsi="Garamond"/>
          <w:bCs/>
          <w:sz w:val="22"/>
          <w:szCs w:val="22"/>
        </w:rPr>
        <w:t>).</w:t>
      </w:r>
    </w:p>
    <w:p w14:paraId="39D8DEDF" w14:textId="77777777" w:rsidR="004B3B82" w:rsidRPr="004C0B2B" w:rsidRDefault="004B3B82" w:rsidP="00101F7C">
      <w:pPr>
        <w:autoSpaceDE w:val="0"/>
        <w:autoSpaceDN w:val="0"/>
        <w:jc w:val="both"/>
        <w:rPr>
          <w:rFonts w:ascii="Garamond" w:hAnsi="Garamond"/>
          <w:bCs/>
          <w:sz w:val="22"/>
          <w:szCs w:val="22"/>
        </w:rPr>
      </w:pPr>
    </w:p>
    <w:p w14:paraId="4FEAF51E" w14:textId="77777777" w:rsidR="004B3B82" w:rsidRPr="004C0B2B" w:rsidRDefault="004B3B82" w:rsidP="00101F7C">
      <w:pPr>
        <w:autoSpaceDE w:val="0"/>
        <w:autoSpaceDN w:val="0"/>
        <w:jc w:val="both"/>
        <w:rPr>
          <w:rFonts w:ascii="Garamond" w:hAnsi="Garamond"/>
          <w:bCs/>
          <w:i/>
          <w:sz w:val="22"/>
          <w:szCs w:val="22"/>
        </w:rPr>
      </w:pPr>
      <w:r w:rsidRPr="004C0B2B">
        <w:rPr>
          <w:rFonts w:ascii="Garamond" w:hAnsi="Garamond"/>
          <w:bCs/>
          <w:sz w:val="22"/>
          <w:szCs w:val="22"/>
        </w:rPr>
        <w:t>В случае если при установлении соответствия АИИС КУЭ КО будет выявлена неактуальность регистрационной информации в части несоответствия указанных в опросных листах (макет 90000) и в ПСИ типов (модификаций) приборов учета / признака включения в АИИС КУЭ, необходимо выполнить действия для регистрации в КО в течение 60 календарных дней с даты направления КО письма о вышеуказанном несоответствии актуализированного ПСИ, оформленного в соответствии с требованиями регламентов оптового рынка (</w:t>
      </w:r>
      <w:r w:rsidRPr="004C0B2B">
        <w:rPr>
          <w:rFonts w:ascii="Garamond" w:hAnsi="Garamond"/>
          <w:bCs/>
          <w:i/>
          <w:sz w:val="18"/>
          <w:szCs w:val="18"/>
        </w:rPr>
        <w:t>указывается для действующего состава точек поставки и точек измерений</w:t>
      </w:r>
      <w:r w:rsidRPr="004C0B2B">
        <w:rPr>
          <w:rFonts w:ascii="Garamond" w:hAnsi="Garamond"/>
          <w:bCs/>
          <w:i/>
          <w:sz w:val="22"/>
          <w:szCs w:val="22"/>
        </w:rPr>
        <w:t>).</w:t>
      </w:r>
    </w:p>
    <w:p w14:paraId="03CA4D27" w14:textId="77777777" w:rsidR="004B3B82" w:rsidRPr="004C0B2B" w:rsidRDefault="004B3B82" w:rsidP="00101F7C">
      <w:pPr>
        <w:jc w:val="both"/>
        <w:rPr>
          <w:rFonts w:ascii="Garamond" w:hAnsi="Garamond"/>
          <w:bCs/>
          <w:i/>
          <w:sz w:val="22"/>
          <w:szCs w:val="22"/>
        </w:rPr>
      </w:pPr>
    </w:p>
    <w:tbl>
      <w:tblPr>
        <w:tblW w:w="10003" w:type="dxa"/>
        <w:tblLook w:val="04A0" w:firstRow="1" w:lastRow="0" w:firstColumn="1" w:lastColumn="0" w:noHBand="0" w:noVBand="1"/>
      </w:tblPr>
      <w:tblGrid>
        <w:gridCol w:w="3224"/>
        <w:gridCol w:w="3556"/>
        <w:gridCol w:w="3223"/>
      </w:tblGrid>
      <w:tr w:rsidR="004B3B82" w:rsidRPr="004C0B2B" w14:paraId="17355E17" w14:textId="77777777" w:rsidTr="00CD3B05">
        <w:trPr>
          <w:trHeight w:val="665"/>
        </w:trPr>
        <w:tc>
          <w:tcPr>
            <w:tcW w:w="3224" w:type="dxa"/>
            <w:tcBorders>
              <w:bottom w:val="single" w:sz="4" w:space="0" w:color="auto"/>
            </w:tcBorders>
            <w:shd w:val="clear" w:color="auto" w:fill="auto"/>
            <w:vAlign w:val="center"/>
          </w:tcPr>
          <w:p w14:paraId="02FE8F10" w14:textId="77777777" w:rsidR="004B3B82" w:rsidRPr="004C0B2B" w:rsidRDefault="004B3B82" w:rsidP="00CD3B05">
            <w:pPr>
              <w:jc w:val="center"/>
              <w:rPr>
                <w:rFonts w:ascii="Garamond" w:hAnsi="Garamond"/>
                <w:b/>
                <w:sz w:val="22"/>
                <w:szCs w:val="22"/>
                <w:lang w:eastAsia="en-US"/>
              </w:rPr>
            </w:pPr>
          </w:p>
        </w:tc>
        <w:tc>
          <w:tcPr>
            <w:tcW w:w="3556" w:type="dxa"/>
            <w:shd w:val="clear" w:color="auto" w:fill="auto"/>
            <w:vAlign w:val="center"/>
          </w:tcPr>
          <w:p w14:paraId="7AC30DA2" w14:textId="77777777" w:rsidR="004B3B82" w:rsidRPr="004C0B2B" w:rsidRDefault="004B3B82" w:rsidP="00CD3B05">
            <w:pPr>
              <w:jc w:val="center"/>
              <w:rPr>
                <w:rFonts w:ascii="Garamond" w:hAnsi="Garamond"/>
                <w:i/>
                <w:sz w:val="22"/>
                <w:szCs w:val="22"/>
                <w:lang w:eastAsia="en-US"/>
              </w:rPr>
            </w:pPr>
          </w:p>
        </w:tc>
        <w:tc>
          <w:tcPr>
            <w:tcW w:w="3223" w:type="dxa"/>
            <w:tcBorders>
              <w:bottom w:val="single" w:sz="4" w:space="0" w:color="auto"/>
            </w:tcBorders>
            <w:shd w:val="clear" w:color="auto" w:fill="auto"/>
            <w:vAlign w:val="center"/>
          </w:tcPr>
          <w:p w14:paraId="27EF023B" w14:textId="77777777" w:rsidR="004B3B82" w:rsidRPr="004C0B2B" w:rsidRDefault="004B3B82" w:rsidP="00CD3B05">
            <w:pPr>
              <w:jc w:val="center"/>
              <w:rPr>
                <w:rFonts w:ascii="Garamond" w:hAnsi="Garamond"/>
                <w:b/>
                <w:sz w:val="22"/>
                <w:szCs w:val="22"/>
                <w:lang w:eastAsia="en-US"/>
              </w:rPr>
            </w:pPr>
          </w:p>
        </w:tc>
      </w:tr>
      <w:tr w:rsidR="004B3B82" w:rsidRPr="004C0B2B" w14:paraId="1E48DBC7" w14:textId="77777777" w:rsidTr="00CD3B05">
        <w:trPr>
          <w:trHeight w:val="665"/>
        </w:trPr>
        <w:tc>
          <w:tcPr>
            <w:tcW w:w="3224" w:type="dxa"/>
            <w:tcBorders>
              <w:top w:val="single" w:sz="4" w:space="0" w:color="auto"/>
            </w:tcBorders>
            <w:shd w:val="clear" w:color="auto" w:fill="auto"/>
            <w:vAlign w:val="center"/>
          </w:tcPr>
          <w:p w14:paraId="756744DC" w14:textId="77777777" w:rsidR="004B3B82" w:rsidRPr="004C0B2B" w:rsidRDefault="004B3B82" w:rsidP="00CD3B05">
            <w:pPr>
              <w:jc w:val="center"/>
              <w:rPr>
                <w:rFonts w:ascii="Garamond" w:hAnsi="Garamond"/>
                <w:i/>
                <w:sz w:val="18"/>
                <w:szCs w:val="18"/>
                <w:lang w:eastAsia="en-US"/>
              </w:rPr>
            </w:pPr>
            <w:r w:rsidRPr="004C0B2B">
              <w:rPr>
                <w:rFonts w:ascii="Garamond" w:hAnsi="Garamond"/>
                <w:i/>
                <w:sz w:val="18"/>
                <w:szCs w:val="18"/>
                <w:lang w:eastAsia="en-US"/>
              </w:rPr>
              <w:t>(должность руководителя)</w:t>
            </w:r>
          </w:p>
        </w:tc>
        <w:tc>
          <w:tcPr>
            <w:tcW w:w="3556" w:type="dxa"/>
            <w:shd w:val="clear" w:color="auto" w:fill="auto"/>
            <w:vAlign w:val="center"/>
          </w:tcPr>
          <w:p w14:paraId="15C9A815" w14:textId="77777777" w:rsidR="004B3B82" w:rsidRPr="004C0B2B" w:rsidRDefault="004B3B82" w:rsidP="00CD3B05">
            <w:pPr>
              <w:jc w:val="center"/>
              <w:rPr>
                <w:rFonts w:ascii="Garamond" w:hAnsi="Garamond"/>
                <w:i/>
                <w:sz w:val="18"/>
                <w:szCs w:val="18"/>
                <w:lang w:eastAsia="en-US"/>
              </w:rPr>
            </w:pPr>
          </w:p>
        </w:tc>
        <w:tc>
          <w:tcPr>
            <w:tcW w:w="3223" w:type="dxa"/>
            <w:tcBorders>
              <w:top w:val="single" w:sz="4" w:space="0" w:color="auto"/>
            </w:tcBorders>
            <w:shd w:val="clear" w:color="auto" w:fill="auto"/>
            <w:vAlign w:val="center"/>
          </w:tcPr>
          <w:p w14:paraId="7441E05A" w14:textId="77777777" w:rsidR="004B3B82" w:rsidRPr="004C0B2B" w:rsidRDefault="004B3B82" w:rsidP="00CD3B05">
            <w:pPr>
              <w:jc w:val="center"/>
              <w:rPr>
                <w:rFonts w:ascii="Garamond" w:hAnsi="Garamond"/>
                <w:i/>
                <w:sz w:val="18"/>
                <w:szCs w:val="18"/>
                <w:lang w:eastAsia="en-US"/>
              </w:rPr>
            </w:pPr>
            <w:r w:rsidRPr="004C0B2B">
              <w:rPr>
                <w:rFonts w:ascii="Garamond" w:hAnsi="Garamond"/>
                <w:i/>
                <w:sz w:val="18"/>
                <w:szCs w:val="18"/>
                <w:lang w:eastAsia="en-US"/>
              </w:rPr>
              <w:t>(Ф. И. О.)</w:t>
            </w:r>
          </w:p>
        </w:tc>
      </w:tr>
    </w:tbl>
    <w:p w14:paraId="6C24172A" w14:textId="77777777" w:rsidR="004B3B82" w:rsidRPr="004C0B2B" w:rsidRDefault="004B3B82" w:rsidP="00101F7C">
      <w:pPr>
        <w:jc w:val="both"/>
        <w:rPr>
          <w:rFonts w:ascii="Garamond" w:hAnsi="Garamond"/>
          <w:b/>
          <w:bCs/>
          <w:lang w:eastAsia="en-US"/>
        </w:rPr>
      </w:pPr>
    </w:p>
    <w:p w14:paraId="3F99971A" w14:textId="77777777" w:rsidR="004B3B82" w:rsidRPr="004C0B2B" w:rsidRDefault="004B3B82" w:rsidP="00101F7C">
      <w:pPr>
        <w:spacing w:after="160"/>
        <w:jc w:val="both"/>
        <w:rPr>
          <w:rFonts w:ascii="Garamond" w:hAnsi="Garamond"/>
          <w:b/>
          <w:bCs/>
          <w:lang w:eastAsia="en-US"/>
        </w:rPr>
      </w:pPr>
      <w:r w:rsidRPr="004C0B2B">
        <w:rPr>
          <w:rFonts w:ascii="Garamond" w:hAnsi="Garamond"/>
          <w:b/>
          <w:bCs/>
          <w:lang w:eastAsia="en-US"/>
        </w:rPr>
        <w:t>Примечания.</w:t>
      </w:r>
    </w:p>
    <w:p w14:paraId="02468934" w14:textId="77777777" w:rsidR="004B3B82" w:rsidRPr="004C0B2B" w:rsidRDefault="004B3B82" w:rsidP="00101F7C">
      <w:pPr>
        <w:spacing w:after="160" w:line="259" w:lineRule="auto"/>
        <w:ind w:left="284"/>
        <w:jc w:val="both"/>
        <w:rPr>
          <w:rFonts w:ascii="Garamond" w:hAnsi="Garamond"/>
        </w:rPr>
      </w:pPr>
      <w:r w:rsidRPr="004C0B2B">
        <w:rPr>
          <w:rFonts w:ascii="Garamond" w:hAnsi="Garamond"/>
        </w:rPr>
        <w:t xml:space="preserve">Заявление предоставляется по каждой ГТП генерации или сечению коммерческого учета. </w:t>
      </w:r>
    </w:p>
    <w:p w14:paraId="670A51AD" w14:textId="77777777" w:rsidR="004B3B82" w:rsidRPr="004C0B2B" w:rsidRDefault="004B3B82" w:rsidP="004B3B82">
      <w:pPr>
        <w:numPr>
          <w:ilvl w:val="0"/>
          <w:numId w:val="188"/>
        </w:numPr>
        <w:suppressAutoHyphens w:val="0"/>
        <w:spacing w:after="160" w:line="259" w:lineRule="auto"/>
        <w:ind w:left="284" w:hanging="284"/>
        <w:jc w:val="both"/>
        <w:rPr>
          <w:rFonts w:ascii="Garamond" w:hAnsi="Garamond"/>
          <w:lang w:eastAsia="en-US"/>
        </w:rPr>
      </w:pPr>
      <w:r w:rsidRPr="004C0B2B">
        <w:rPr>
          <w:rFonts w:ascii="Garamond" w:hAnsi="Garamond"/>
          <w:lang w:eastAsia="en-US"/>
        </w:rPr>
        <w:t xml:space="preserve">Указать наименование и буквенный код сечения </w:t>
      </w:r>
      <w:r w:rsidRPr="004C0B2B">
        <w:rPr>
          <w:rFonts w:ascii="Garamond" w:hAnsi="Garamond"/>
        </w:rPr>
        <w:t>коммерческого учета или ГТП генерации, например:</w:t>
      </w:r>
    </w:p>
    <w:p w14:paraId="11EC4620" w14:textId="77777777" w:rsidR="004B3B82" w:rsidRPr="004C0B2B" w:rsidRDefault="004B3B82" w:rsidP="00101F7C">
      <w:pPr>
        <w:spacing w:after="160" w:line="259" w:lineRule="auto"/>
        <w:ind w:left="284"/>
        <w:jc w:val="both"/>
        <w:rPr>
          <w:rFonts w:ascii="Garamond" w:hAnsi="Garamond"/>
          <w:lang w:eastAsia="en-US"/>
        </w:rPr>
      </w:pPr>
      <w:r w:rsidRPr="004C0B2B">
        <w:rPr>
          <w:rFonts w:ascii="Garamond" w:hAnsi="Garamond"/>
          <w:lang w:eastAsia="en-US"/>
        </w:rPr>
        <w:t>ЗАО «СбыТ» (ОАО «Уралсталь») – ОАО «Энергосбыт Север» (ОАО «Северскэнергосбыт») (P</w:t>
      </w:r>
      <w:r w:rsidRPr="004C0B2B">
        <w:rPr>
          <w:rFonts w:ascii="Garamond" w:hAnsi="Garamond"/>
          <w:lang w:val="en-US" w:eastAsia="en-US"/>
        </w:rPr>
        <w:t>SFIEN</w:t>
      </w:r>
      <w:r w:rsidRPr="004C0B2B">
        <w:rPr>
          <w:rFonts w:ascii="Garamond" w:hAnsi="Garamond"/>
          <w:lang w:eastAsia="en-US"/>
        </w:rPr>
        <w:t>27-PS</w:t>
      </w:r>
      <w:r w:rsidRPr="004C0B2B">
        <w:rPr>
          <w:rFonts w:ascii="Garamond" w:hAnsi="Garamond"/>
          <w:lang w:val="en-US" w:eastAsia="en-US"/>
        </w:rPr>
        <w:t>S</w:t>
      </w:r>
      <w:r w:rsidRPr="004C0B2B">
        <w:rPr>
          <w:rFonts w:ascii="Garamond" w:hAnsi="Garamond"/>
          <w:lang w:eastAsia="en-US"/>
        </w:rPr>
        <w:t>ERDLE);</w:t>
      </w:r>
    </w:p>
    <w:p w14:paraId="304AEFCD" w14:textId="26B3EA0D" w:rsidR="004B3B82" w:rsidRPr="004C0B2B" w:rsidRDefault="004B3B82" w:rsidP="00101F7C">
      <w:pPr>
        <w:spacing w:after="160" w:line="259" w:lineRule="auto"/>
        <w:ind w:left="284"/>
        <w:jc w:val="both"/>
        <w:rPr>
          <w:rFonts w:ascii="Garamond" w:hAnsi="Garamond"/>
          <w:lang w:eastAsia="en-US"/>
        </w:rPr>
      </w:pPr>
      <w:r w:rsidRPr="004C0B2B">
        <w:rPr>
          <w:rFonts w:ascii="Garamond" w:hAnsi="Garamond"/>
          <w:lang w:eastAsia="en-US"/>
        </w:rPr>
        <w:t>ПАО «Россети» (МЭС Северо-Запада (по сетям Республики Коми)) – ОАО «Энергосбыт Север»                                             (ОАО «Северскэнергосбыт») (FKOMIENE-PS</w:t>
      </w:r>
      <w:r w:rsidRPr="004C0B2B">
        <w:rPr>
          <w:rFonts w:ascii="Garamond" w:hAnsi="Garamond"/>
          <w:lang w:val="en-US" w:eastAsia="en-US"/>
        </w:rPr>
        <w:t>S</w:t>
      </w:r>
      <w:r w:rsidRPr="004C0B2B">
        <w:rPr>
          <w:rFonts w:ascii="Garamond" w:hAnsi="Garamond"/>
          <w:lang w:eastAsia="en-US"/>
        </w:rPr>
        <w:t>ERDLE);</w:t>
      </w:r>
    </w:p>
    <w:p w14:paraId="45DE4B76" w14:textId="77777777" w:rsidR="004B3B82" w:rsidRPr="004C0B2B" w:rsidRDefault="004B3B82" w:rsidP="00101F7C">
      <w:pPr>
        <w:spacing w:after="160" w:line="259" w:lineRule="auto"/>
        <w:ind w:left="284"/>
        <w:jc w:val="both"/>
        <w:rPr>
          <w:rFonts w:ascii="Garamond" w:hAnsi="Garamond"/>
          <w:lang w:eastAsia="en-US"/>
        </w:rPr>
      </w:pPr>
      <w:r w:rsidRPr="004C0B2B">
        <w:rPr>
          <w:rFonts w:ascii="Garamond" w:hAnsi="Garamond"/>
          <w:lang w:eastAsia="en-US"/>
        </w:rPr>
        <w:t>АО «Генерация» (Первая ТЭЦ) (</w:t>
      </w:r>
      <w:r w:rsidRPr="004C0B2B">
        <w:rPr>
          <w:rFonts w:ascii="Garamond" w:hAnsi="Garamond"/>
          <w:lang w:val="en-US" w:eastAsia="en-US"/>
        </w:rPr>
        <w:t>GOMSKE</w:t>
      </w:r>
      <w:r w:rsidRPr="004C0B2B">
        <w:rPr>
          <w:rFonts w:ascii="Garamond" w:hAnsi="Garamond"/>
          <w:lang w:eastAsia="en-US"/>
        </w:rPr>
        <w:t>17).</w:t>
      </w:r>
    </w:p>
    <w:p w14:paraId="7C01CC59" w14:textId="77777777" w:rsidR="004B3B82" w:rsidRPr="004C0B2B" w:rsidRDefault="004B3B82" w:rsidP="004B3B82">
      <w:pPr>
        <w:pStyle w:val="ac"/>
        <w:numPr>
          <w:ilvl w:val="0"/>
          <w:numId w:val="188"/>
        </w:numPr>
        <w:spacing w:after="160" w:line="259" w:lineRule="auto"/>
        <w:ind w:left="284" w:hanging="284"/>
        <w:rPr>
          <w:rFonts w:ascii="Garamond" w:hAnsi="Garamond"/>
        </w:rPr>
      </w:pPr>
      <w:r w:rsidRPr="004C0B2B">
        <w:rPr>
          <w:rFonts w:ascii="Garamond" w:hAnsi="Garamond"/>
        </w:rPr>
        <w:t>В качестве основания указывается:</w:t>
      </w:r>
    </w:p>
    <w:p w14:paraId="6C097468" w14:textId="77777777" w:rsidR="004B3B82" w:rsidRPr="004C0B2B" w:rsidRDefault="004B3B82" w:rsidP="004B3B82">
      <w:pPr>
        <w:pStyle w:val="ac"/>
        <w:numPr>
          <w:ilvl w:val="1"/>
          <w:numId w:val="188"/>
        </w:numPr>
        <w:autoSpaceDE w:val="0"/>
        <w:autoSpaceDN w:val="0"/>
        <w:spacing w:after="160" w:line="259" w:lineRule="auto"/>
        <w:ind w:left="709" w:hanging="425"/>
        <w:jc w:val="both"/>
        <w:rPr>
          <w:rFonts w:ascii="Garamond" w:hAnsi="Garamond"/>
        </w:rPr>
      </w:pPr>
      <w:r w:rsidRPr="004C0B2B">
        <w:rPr>
          <w:rFonts w:ascii="Garamond" w:hAnsi="Garamond"/>
        </w:rPr>
        <w:t>Новое сечение КУ / ГТП генерации в соответствии с комплектом документов, представленных в КО с заявлением по форме 3, 3Б, 3В, 4А, 4Б приложения 1 к Положению о реестре</w:t>
      </w:r>
      <w:r w:rsidRPr="004C0B2B">
        <w:t xml:space="preserve"> </w:t>
      </w:r>
      <w:r w:rsidRPr="004C0B2B">
        <w:rPr>
          <w:rFonts w:ascii="Garamond" w:hAnsi="Garamond"/>
        </w:rPr>
        <w:t>(выбрать нужное) вх. № ____ от ____ и заявлением по форме 4В приложения 1 к Положению о реестре</w:t>
      </w:r>
      <w:r w:rsidRPr="004C0B2B">
        <w:t xml:space="preserve"> </w:t>
      </w:r>
      <w:r w:rsidRPr="004C0B2B">
        <w:rPr>
          <w:rFonts w:ascii="Garamond" w:hAnsi="Garamond"/>
        </w:rPr>
        <w:t>вх. № _________ от __________ (указывается в случае предоставления в составе документов ответной квитанции (макет 60001)).</w:t>
      </w:r>
    </w:p>
    <w:p w14:paraId="41C3A035" w14:textId="77777777" w:rsidR="004B3B82" w:rsidRPr="004C0B2B" w:rsidRDefault="004B3B82" w:rsidP="004B3B82">
      <w:pPr>
        <w:pStyle w:val="ac"/>
        <w:numPr>
          <w:ilvl w:val="1"/>
          <w:numId w:val="188"/>
        </w:numPr>
        <w:autoSpaceDE w:val="0"/>
        <w:autoSpaceDN w:val="0"/>
        <w:spacing w:after="160" w:line="259" w:lineRule="auto"/>
        <w:ind w:left="709" w:hanging="425"/>
        <w:jc w:val="both"/>
        <w:rPr>
          <w:rFonts w:ascii="Garamond" w:hAnsi="Garamond"/>
        </w:rPr>
      </w:pPr>
      <w:r w:rsidRPr="004C0B2B">
        <w:rPr>
          <w:rFonts w:ascii="Garamond" w:hAnsi="Garamond"/>
        </w:rPr>
        <w:t>Сечение КУ / ГТП генерации с изменением ТП в соответствии с комплектом документов, представленных в КО с заявлением по форме 3, 4А, 4Б приложения 1 к Положению о реестре</w:t>
      </w:r>
      <w:r w:rsidRPr="004C0B2B">
        <w:t xml:space="preserve"> </w:t>
      </w:r>
      <w:r w:rsidRPr="004C0B2B">
        <w:rPr>
          <w:rFonts w:ascii="Garamond" w:hAnsi="Garamond"/>
        </w:rPr>
        <w:t>(выбрать нужное) вх. № ____ от ____ и заявлением по форме 4В приложения 1 к Положению о реестре</w:t>
      </w:r>
      <w:r w:rsidRPr="004C0B2B">
        <w:t xml:space="preserve"> </w:t>
      </w:r>
      <w:r w:rsidRPr="004C0B2B">
        <w:rPr>
          <w:rFonts w:ascii="Garamond" w:hAnsi="Garamond"/>
        </w:rPr>
        <w:t>вх. № _________ от __________ (указывается в случае предоставления в составе документов ответной квитанции (макет 60001)).</w:t>
      </w:r>
    </w:p>
    <w:p w14:paraId="08E5F6C9" w14:textId="77777777" w:rsidR="004B3B82" w:rsidRPr="004C0B2B" w:rsidRDefault="004B3B82" w:rsidP="004B3B82">
      <w:pPr>
        <w:pStyle w:val="ac"/>
        <w:numPr>
          <w:ilvl w:val="1"/>
          <w:numId w:val="188"/>
        </w:numPr>
        <w:autoSpaceDE w:val="0"/>
        <w:autoSpaceDN w:val="0"/>
        <w:spacing w:after="160" w:line="259" w:lineRule="auto"/>
        <w:ind w:left="709" w:hanging="425"/>
        <w:jc w:val="both"/>
        <w:rPr>
          <w:rFonts w:ascii="Garamond" w:hAnsi="Garamond"/>
        </w:rPr>
      </w:pPr>
      <w:r w:rsidRPr="004C0B2B">
        <w:rPr>
          <w:rFonts w:ascii="Garamond" w:hAnsi="Garamond"/>
        </w:rPr>
        <w:t>Сечение КУ / ГТП генерации без изменения ТП в соответствии с комплектом документов, представленных в КО с заявлением по форме 3, 4В приложения 1 к Положению о реестре</w:t>
      </w:r>
      <w:r w:rsidRPr="004C0B2B">
        <w:t xml:space="preserve"> </w:t>
      </w:r>
      <w:r w:rsidRPr="004C0B2B">
        <w:rPr>
          <w:rFonts w:ascii="Garamond" w:hAnsi="Garamond"/>
        </w:rPr>
        <w:t xml:space="preserve">вх. № ____ от ____ (при наличии в составе документов ответной квитанции (макет 60001)). </w:t>
      </w:r>
    </w:p>
    <w:p w14:paraId="79393536" w14:textId="77777777" w:rsidR="004B3B82" w:rsidRPr="004C0B2B" w:rsidRDefault="004B3B82" w:rsidP="004B3B82">
      <w:pPr>
        <w:pStyle w:val="ac"/>
        <w:numPr>
          <w:ilvl w:val="1"/>
          <w:numId w:val="188"/>
        </w:numPr>
        <w:autoSpaceDE w:val="0"/>
        <w:autoSpaceDN w:val="0"/>
        <w:spacing w:after="160" w:line="259" w:lineRule="auto"/>
        <w:ind w:left="709" w:hanging="425"/>
        <w:jc w:val="both"/>
        <w:rPr>
          <w:rFonts w:ascii="Garamond" w:hAnsi="Garamond"/>
        </w:rPr>
      </w:pPr>
      <w:r w:rsidRPr="004C0B2B">
        <w:rPr>
          <w:rFonts w:ascii="Garamond" w:eastAsia="Calibri" w:hAnsi="Garamond"/>
        </w:rPr>
        <w:t>Действующий состав точек поставки и точек измерений подтвержден</w:t>
      </w:r>
      <w:r w:rsidRPr="004C0B2B">
        <w:rPr>
          <w:rFonts w:ascii="Garamond" w:hAnsi="Garamond"/>
        </w:rPr>
        <w:t xml:space="preserve"> действующим ПСИ № ____ от ____ (</w:t>
      </w:r>
      <w:r w:rsidRPr="004C0B2B">
        <w:rPr>
          <w:rFonts w:ascii="Garamond" w:eastAsia="Calibri" w:hAnsi="Garamond"/>
        </w:rPr>
        <w:t xml:space="preserve">для случаев выполнения требований пп. 2.6.9, 4.2.3, 4.2.5, 4.4.1 Положения о реестре необходимо указать реквизиты ПСИ, представленного с заявлением по форме 19.4 </w:t>
      </w:r>
      <w:r w:rsidRPr="004C0B2B">
        <w:rPr>
          <w:rFonts w:ascii="Garamond" w:hAnsi="Garamond"/>
        </w:rPr>
        <w:t>приложения 1 к Положению о реестре).</w:t>
      </w:r>
    </w:p>
    <w:p w14:paraId="22BB61AA" w14:textId="77777777" w:rsidR="004B3B82" w:rsidRPr="004C0B2B" w:rsidRDefault="004B3B82" w:rsidP="004B3B82">
      <w:pPr>
        <w:pStyle w:val="ac"/>
        <w:numPr>
          <w:ilvl w:val="0"/>
          <w:numId w:val="188"/>
        </w:numPr>
        <w:spacing w:after="160" w:line="259" w:lineRule="auto"/>
        <w:ind w:left="284" w:hanging="284"/>
        <w:rPr>
          <w:rFonts w:ascii="Garamond" w:hAnsi="Garamond"/>
        </w:rPr>
      </w:pPr>
      <w:r w:rsidRPr="004C0B2B">
        <w:rPr>
          <w:rFonts w:ascii="Garamond" w:hAnsi="Garamond"/>
        </w:rPr>
        <w:t>В случае отсутствия возможности использования программного обеспечения из перечня ПО указывается мотивированное объяснение.</w:t>
      </w:r>
    </w:p>
    <w:p w14:paraId="099E72C7" w14:textId="77777777" w:rsidR="004B3B82" w:rsidRPr="004C0B2B" w:rsidRDefault="004B3B82" w:rsidP="00101F7C">
      <w:pPr>
        <w:spacing w:after="160" w:line="259" w:lineRule="auto"/>
        <w:jc w:val="both"/>
        <w:rPr>
          <w:rFonts w:ascii="Garamond" w:hAnsi="Garamond"/>
          <w:sz w:val="22"/>
          <w:szCs w:val="22"/>
        </w:rPr>
      </w:pPr>
    </w:p>
    <w:p w14:paraId="1EA602BA" w14:textId="77777777" w:rsidR="004B3B82" w:rsidRPr="004C0B2B" w:rsidRDefault="004B3B82" w:rsidP="00101F7C">
      <w:pPr>
        <w:tabs>
          <w:tab w:val="left" w:pos="1320"/>
        </w:tabs>
        <w:autoSpaceDE w:val="0"/>
        <w:autoSpaceDN w:val="0"/>
        <w:spacing w:before="120" w:after="120"/>
        <w:jc w:val="center"/>
        <w:rPr>
          <w:rFonts w:ascii="Garamond" w:hAnsi="Garamond"/>
          <w:b/>
          <w:sz w:val="22"/>
          <w:szCs w:val="22"/>
        </w:rPr>
      </w:pPr>
      <w:r w:rsidRPr="004C0B2B">
        <w:rPr>
          <w:rFonts w:ascii="Garamond" w:hAnsi="Garamond"/>
          <w:b/>
          <w:sz w:val="22"/>
          <w:szCs w:val="22"/>
        </w:rPr>
        <w:br w:type="page"/>
      </w:r>
    </w:p>
    <w:p w14:paraId="61C36984" w14:textId="77777777" w:rsidR="004B3B82" w:rsidRPr="004C0B2B" w:rsidRDefault="004B3B82" w:rsidP="00101F7C">
      <w:pPr>
        <w:rPr>
          <w:rFonts w:ascii="Garamond" w:hAnsi="Garamond"/>
          <w:b/>
          <w:sz w:val="22"/>
          <w:szCs w:val="22"/>
        </w:rPr>
      </w:pPr>
      <w:r w:rsidRPr="004C0B2B">
        <w:rPr>
          <w:rFonts w:ascii="Garamond" w:hAnsi="Garamond"/>
          <w:b/>
          <w:sz w:val="22"/>
          <w:szCs w:val="22"/>
        </w:rPr>
        <w:lastRenderedPageBreak/>
        <w:t>Предлагаемая редакция</w:t>
      </w:r>
    </w:p>
    <w:p w14:paraId="20B3E5E4" w14:textId="77777777" w:rsidR="004B3B82" w:rsidRPr="004C0B2B" w:rsidRDefault="004B3B82" w:rsidP="00101F7C">
      <w:pPr>
        <w:jc w:val="center"/>
        <w:rPr>
          <w:rFonts w:ascii="Garamond" w:hAnsi="Garamond"/>
          <w:b/>
          <w:sz w:val="22"/>
          <w:szCs w:val="22"/>
        </w:rPr>
      </w:pPr>
      <w:r w:rsidRPr="004C0B2B">
        <w:rPr>
          <w:rFonts w:ascii="Garamond" w:hAnsi="Garamond"/>
          <w:b/>
          <w:sz w:val="22"/>
          <w:szCs w:val="22"/>
        </w:rPr>
        <w:t>Форма 1А</w:t>
      </w:r>
    </w:p>
    <w:p w14:paraId="308715C0" w14:textId="77777777" w:rsidR="004B3B82" w:rsidRPr="004C0B2B" w:rsidRDefault="004B3B82" w:rsidP="00101F7C">
      <w:pPr>
        <w:jc w:val="both"/>
        <w:rPr>
          <w:rFonts w:ascii="Garamond" w:hAnsi="Garamond"/>
          <w:sz w:val="22"/>
          <w:szCs w:val="22"/>
          <w:lang w:eastAsia="en-US"/>
        </w:rPr>
      </w:pPr>
    </w:p>
    <w:p w14:paraId="495A29E3" w14:textId="77777777" w:rsidR="004B3B82" w:rsidRPr="004C0B2B" w:rsidRDefault="004B3B82" w:rsidP="00101F7C">
      <w:pPr>
        <w:jc w:val="both"/>
        <w:rPr>
          <w:rFonts w:ascii="Garamond" w:hAnsi="Garamond"/>
          <w:sz w:val="22"/>
          <w:szCs w:val="22"/>
          <w:lang w:eastAsia="en-US"/>
        </w:rPr>
      </w:pPr>
      <w:r w:rsidRPr="004C0B2B">
        <w:rPr>
          <w:rFonts w:ascii="Garamond" w:hAnsi="Garamond"/>
          <w:sz w:val="22"/>
          <w:szCs w:val="22"/>
          <w:lang w:eastAsia="en-US"/>
        </w:rPr>
        <w:t>(на бланке заявителя)</w:t>
      </w:r>
    </w:p>
    <w:p w14:paraId="2305B9B7" w14:textId="77777777" w:rsidR="004B3B82" w:rsidRPr="004C0B2B" w:rsidRDefault="004B3B82" w:rsidP="00101F7C">
      <w:pPr>
        <w:ind w:left="7371" w:right="-428"/>
        <w:jc w:val="both"/>
        <w:rPr>
          <w:rFonts w:ascii="Garamond" w:hAnsi="Garamond"/>
          <w:b/>
          <w:sz w:val="22"/>
          <w:szCs w:val="22"/>
          <w:lang w:eastAsia="en-US"/>
        </w:rPr>
      </w:pPr>
      <w:r w:rsidRPr="004C0B2B">
        <w:rPr>
          <w:rFonts w:ascii="Garamond" w:hAnsi="Garamond"/>
          <w:b/>
          <w:sz w:val="22"/>
          <w:szCs w:val="22"/>
          <w:lang w:eastAsia="en-US"/>
        </w:rPr>
        <w:t>Председателю Правления</w:t>
      </w:r>
    </w:p>
    <w:p w14:paraId="2DB26990" w14:textId="77777777" w:rsidR="004B3B82" w:rsidRPr="004C0B2B" w:rsidRDefault="004B3B82" w:rsidP="00101F7C">
      <w:pPr>
        <w:ind w:left="7371" w:right="-428"/>
        <w:jc w:val="both"/>
        <w:rPr>
          <w:rFonts w:ascii="Garamond" w:hAnsi="Garamond"/>
          <w:b/>
          <w:sz w:val="22"/>
          <w:szCs w:val="22"/>
          <w:lang w:eastAsia="en-US"/>
        </w:rPr>
      </w:pPr>
      <w:r w:rsidRPr="004C0B2B">
        <w:rPr>
          <w:rFonts w:ascii="Garamond" w:hAnsi="Garamond"/>
          <w:b/>
          <w:sz w:val="22"/>
          <w:szCs w:val="22"/>
          <w:lang w:eastAsia="en-US"/>
        </w:rPr>
        <w:t>АО «АТС»</w:t>
      </w:r>
    </w:p>
    <w:p w14:paraId="3088891D" w14:textId="77777777" w:rsidR="004B3B82" w:rsidRPr="004C0B2B" w:rsidRDefault="004B3B82" w:rsidP="00101F7C">
      <w:pPr>
        <w:ind w:left="6521"/>
        <w:jc w:val="both"/>
        <w:rPr>
          <w:rFonts w:ascii="Garamond" w:hAnsi="Garamond"/>
          <w:b/>
          <w:sz w:val="22"/>
          <w:szCs w:val="22"/>
          <w:lang w:eastAsia="en-US"/>
        </w:rPr>
      </w:pPr>
    </w:p>
    <w:p w14:paraId="0100E22C" w14:textId="77777777" w:rsidR="004B3B82" w:rsidRPr="004C0B2B" w:rsidRDefault="004B3B82" w:rsidP="00101F7C">
      <w:pPr>
        <w:jc w:val="both"/>
        <w:rPr>
          <w:rFonts w:ascii="Garamond" w:hAnsi="Garamond"/>
          <w:sz w:val="22"/>
          <w:szCs w:val="22"/>
          <w:lang w:eastAsia="en-US"/>
        </w:rPr>
      </w:pPr>
      <w:r w:rsidRPr="004C0B2B">
        <w:rPr>
          <w:rFonts w:ascii="Garamond" w:hAnsi="Garamond"/>
          <w:sz w:val="22"/>
          <w:szCs w:val="22"/>
          <w:lang w:eastAsia="en-US"/>
        </w:rPr>
        <w:t>№ _____________________</w:t>
      </w:r>
    </w:p>
    <w:p w14:paraId="19F17426" w14:textId="77777777" w:rsidR="004B3B82" w:rsidRPr="004C0B2B" w:rsidRDefault="004B3B82" w:rsidP="00101F7C">
      <w:pPr>
        <w:jc w:val="both"/>
        <w:rPr>
          <w:rFonts w:ascii="Garamond" w:hAnsi="Garamond"/>
          <w:sz w:val="22"/>
          <w:szCs w:val="22"/>
          <w:lang w:eastAsia="en-US"/>
        </w:rPr>
      </w:pPr>
      <w:r w:rsidRPr="004C0B2B">
        <w:rPr>
          <w:rFonts w:ascii="Garamond" w:hAnsi="Garamond"/>
          <w:sz w:val="22"/>
          <w:szCs w:val="22"/>
          <w:lang w:eastAsia="en-US"/>
        </w:rPr>
        <w:t>«___» ___________ 20 ___ г.</w:t>
      </w:r>
    </w:p>
    <w:p w14:paraId="5F019831" w14:textId="77777777" w:rsidR="004B3B82" w:rsidRPr="004C0B2B" w:rsidRDefault="004B3B82" w:rsidP="00101F7C">
      <w:pPr>
        <w:jc w:val="both"/>
        <w:rPr>
          <w:rFonts w:ascii="Garamond" w:hAnsi="Garamond"/>
          <w:sz w:val="22"/>
          <w:szCs w:val="22"/>
          <w:lang w:eastAsia="en-US"/>
        </w:rPr>
      </w:pPr>
    </w:p>
    <w:p w14:paraId="5B387298" w14:textId="77777777" w:rsidR="004B3B82" w:rsidRPr="004C0B2B" w:rsidRDefault="004B3B82" w:rsidP="00101F7C">
      <w:pPr>
        <w:jc w:val="center"/>
        <w:rPr>
          <w:rFonts w:ascii="Garamond" w:hAnsi="Garamond"/>
          <w:b/>
          <w:sz w:val="22"/>
          <w:szCs w:val="22"/>
          <w:lang w:eastAsia="en-US"/>
        </w:rPr>
      </w:pPr>
    </w:p>
    <w:p w14:paraId="1F910AD6" w14:textId="77777777" w:rsidR="004B3B82" w:rsidRPr="004C0B2B" w:rsidRDefault="004B3B82" w:rsidP="00101F7C">
      <w:pPr>
        <w:jc w:val="center"/>
        <w:rPr>
          <w:rFonts w:ascii="Garamond" w:hAnsi="Garamond"/>
          <w:b/>
          <w:sz w:val="22"/>
          <w:szCs w:val="22"/>
          <w:lang w:eastAsia="en-US"/>
        </w:rPr>
      </w:pPr>
      <w:r w:rsidRPr="004C0B2B">
        <w:rPr>
          <w:rFonts w:ascii="Garamond" w:hAnsi="Garamond"/>
          <w:b/>
          <w:sz w:val="22"/>
          <w:szCs w:val="22"/>
          <w:lang w:eastAsia="en-US"/>
        </w:rPr>
        <w:t>ЗАЯВЛЕНИЕ</w:t>
      </w:r>
    </w:p>
    <w:p w14:paraId="1A597083" w14:textId="77777777" w:rsidR="004B3B82" w:rsidRPr="004C0B2B" w:rsidRDefault="004B3B82" w:rsidP="00101F7C">
      <w:pPr>
        <w:ind w:right="-108"/>
        <w:jc w:val="center"/>
        <w:rPr>
          <w:rFonts w:ascii="Garamond" w:hAnsi="Garamond"/>
          <w:b/>
          <w:sz w:val="22"/>
          <w:szCs w:val="22"/>
          <w:lang w:eastAsia="en-US"/>
        </w:rPr>
      </w:pPr>
      <w:r w:rsidRPr="004C0B2B">
        <w:rPr>
          <w:rFonts w:ascii="Garamond" w:hAnsi="Garamond"/>
          <w:b/>
          <w:sz w:val="22"/>
          <w:szCs w:val="22"/>
          <w:lang w:eastAsia="en-US"/>
        </w:rPr>
        <w:t>об установлении соответствия системы коммерческого учета электрической энергии техническим требованиям оптового рынка электрической энергии и мощности</w:t>
      </w:r>
    </w:p>
    <w:p w14:paraId="743E10FA" w14:textId="77777777" w:rsidR="004B3B82" w:rsidRPr="004C0B2B" w:rsidRDefault="004B3B82" w:rsidP="00101F7C">
      <w:pPr>
        <w:jc w:val="both"/>
        <w:rPr>
          <w:rFonts w:ascii="Garamond" w:hAnsi="Garamond"/>
          <w:sz w:val="22"/>
          <w:szCs w:val="22"/>
          <w:lang w:eastAsia="en-US"/>
        </w:rPr>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02"/>
        <w:gridCol w:w="7058"/>
      </w:tblGrid>
      <w:tr w:rsidR="004B3B82" w:rsidRPr="004C0B2B" w14:paraId="14C44D0C" w14:textId="77777777" w:rsidTr="00CD3B05">
        <w:trPr>
          <w:trHeight w:val="421"/>
        </w:trPr>
        <w:tc>
          <w:tcPr>
            <w:tcW w:w="3002" w:type="dxa"/>
            <w:shd w:val="clear" w:color="auto" w:fill="D9D9D9"/>
            <w:vAlign w:val="center"/>
          </w:tcPr>
          <w:p w14:paraId="0C1E3A4A" w14:textId="77777777" w:rsidR="004B3B82" w:rsidRPr="004C0B2B" w:rsidRDefault="004B3B82" w:rsidP="00CD3B05">
            <w:pPr>
              <w:jc w:val="both"/>
              <w:rPr>
                <w:rFonts w:ascii="Garamond" w:hAnsi="Garamond"/>
                <w:sz w:val="22"/>
                <w:szCs w:val="22"/>
                <w:lang w:eastAsia="en-US"/>
              </w:rPr>
            </w:pPr>
            <w:r w:rsidRPr="004C0B2B">
              <w:rPr>
                <w:rFonts w:ascii="Garamond" w:hAnsi="Garamond"/>
                <w:sz w:val="22"/>
                <w:szCs w:val="22"/>
                <w:lang w:eastAsia="en-US"/>
              </w:rPr>
              <w:t>Полное наименование заявителя</w:t>
            </w:r>
          </w:p>
        </w:tc>
        <w:tc>
          <w:tcPr>
            <w:tcW w:w="7058" w:type="dxa"/>
            <w:shd w:val="clear" w:color="auto" w:fill="auto"/>
            <w:vAlign w:val="center"/>
          </w:tcPr>
          <w:p w14:paraId="7EAED8E9" w14:textId="77777777" w:rsidR="004B3B82" w:rsidRPr="004C0B2B" w:rsidRDefault="004B3B82" w:rsidP="00CD3B05">
            <w:pPr>
              <w:autoSpaceDE w:val="0"/>
              <w:autoSpaceDN w:val="0"/>
              <w:rPr>
                <w:rFonts w:ascii="Garamond" w:hAnsi="Garamond"/>
                <w:sz w:val="22"/>
                <w:szCs w:val="22"/>
                <w:lang w:eastAsia="en-US"/>
              </w:rPr>
            </w:pPr>
          </w:p>
        </w:tc>
      </w:tr>
      <w:tr w:rsidR="004B3B82" w:rsidRPr="004C0B2B" w14:paraId="105886D6" w14:textId="77777777" w:rsidTr="00CD3B05">
        <w:trPr>
          <w:trHeight w:val="340"/>
        </w:trPr>
        <w:tc>
          <w:tcPr>
            <w:tcW w:w="3002" w:type="dxa"/>
            <w:shd w:val="clear" w:color="auto" w:fill="D9D9D9"/>
            <w:vAlign w:val="center"/>
          </w:tcPr>
          <w:p w14:paraId="49CC7623" w14:textId="77777777" w:rsidR="004B3B82" w:rsidRPr="004C0B2B" w:rsidRDefault="004B3B82" w:rsidP="00CD3B05">
            <w:pPr>
              <w:jc w:val="both"/>
              <w:rPr>
                <w:rFonts w:ascii="Garamond" w:hAnsi="Garamond"/>
                <w:sz w:val="22"/>
                <w:szCs w:val="22"/>
                <w:lang w:eastAsia="en-US"/>
              </w:rPr>
            </w:pPr>
            <w:r w:rsidRPr="004C0B2B">
              <w:rPr>
                <w:rFonts w:ascii="Garamond" w:hAnsi="Garamond"/>
                <w:sz w:val="22"/>
                <w:szCs w:val="22"/>
                <w:lang w:eastAsia="en-US"/>
              </w:rPr>
              <w:t>Сокращенное наименование заявителя</w:t>
            </w:r>
          </w:p>
        </w:tc>
        <w:tc>
          <w:tcPr>
            <w:tcW w:w="7058" w:type="dxa"/>
            <w:shd w:val="clear" w:color="auto" w:fill="auto"/>
            <w:vAlign w:val="center"/>
          </w:tcPr>
          <w:p w14:paraId="43DD0012" w14:textId="77777777" w:rsidR="004B3B82" w:rsidRPr="004C0B2B" w:rsidRDefault="004B3B82" w:rsidP="00CD3B05">
            <w:pPr>
              <w:jc w:val="both"/>
              <w:rPr>
                <w:rFonts w:ascii="Garamond" w:hAnsi="Garamond"/>
                <w:b/>
                <w:sz w:val="22"/>
                <w:szCs w:val="22"/>
                <w:lang w:eastAsia="en-US"/>
              </w:rPr>
            </w:pPr>
          </w:p>
        </w:tc>
      </w:tr>
    </w:tbl>
    <w:p w14:paraId="2F39807B" w14:textId="77777777" w:rsidR="004B3B82" w:rsidRPr="004C0B2B" w:rsidRDefault="004B3B82" w:rsidP="00101F7C">
      <w:pPr>
        <w:jc w:val="both"/>
        <w:rPr>
          <w:rFonts w:ascii="Garamond" w:hAnsi="Garamond"/>
          <w:sz w:val="22"/>
          <w:szCs w:val="22"/>
          <w:lang w:eastAsia="en-US"/>
        </w:rPr>
      </w:pPr>
    </w:p>
    <w:p w14:paraId="4C02C620" w14:textId="77777777" w:rsidR="004B3B82" w:rsidRPr="004C0B2B" w:rsidRDefault="004B3B82" w:rsidP="00101F7C">
      <w:pPr>
        <w:autoSpaceDE w:val="0"/>
        <w:autoSpaceDN w:val="0"/>
        <w:jc w:val="both"/>
        <w:rPr>
          <w:rFonts w:ascii="Garamond" w:hAnsi="Garamond"/>
          <w:sz w:val="22"/>
          <w:szCs w:val="22"/>
        </w:rPr>
      </w:pPr>
      <w:r w:rsidRPr="004C0B2B">
        <w:rPr>
          <w:rFonts w:ascii="Garamond" w:hAnsi="Garamond"/>
          <w:sz w:val="22"/>
          <w:szCs w:val="22"/>
          <w:lang w:eastAsia="en-US"/>
        </w:rPr>
        <w:t xml:space="preserve">выражает намерение </w:t>
      </w:r>
      <w:r w:rsidRPr="004C0B2B">
        <w:rPr>
          <w:rFonts w:ascii="Garamond" w:hAnsi="Garamond"/>
          <w:spacing w:val="-2"/>
          <w:sz w:val="22"/>
          <w:szCs w:val="22"/>
        </w:rPr>
        <w:t xml:space="preserve">установить соответствие системы коммерческого учета электроэнергии техническим требованиям оптового рынка электроэнергии (мощности) и получить </w:t>
      </w:r>
      <w:r w:rsidRPr="004C0B2B">
        <w:rPr>
          <w:rFonts w:ascii="Garamond" w:hAnsi="Garamond"/>
          <w:sz w:val="22"/>
          <w:szCs w:val="22"/>
        </w:rPr>
        <w:t>Акт о соответствии системы коммерческого учета электрической энергии техническим требованиям оптового рынка электрической энергии и мощности</w:t>
      </w:r>
    </w:p>
    <w:p w14:paraId="2177927E" w14:textId="77777777" w:rsidR="004B3B82" w:rsidRPr="004C0B2B" w:rsidRDefault="004B3B82" w:rsidP="00101F7C">
      <w:pPr>
        <w:autoSpaceDE w:val="0"/>
        <w:autoSpaceDN w:val="0"/>
        <w:jc w:val="both"/>
        <w:rPr>
          <w:rFonts w:ascii="Garamond" w:hAnsi="Garamond"/>
          <w:sz w:val="22"/>
          <w:szCs w:val="22"/>
          <w:vertAlign w:val="superscript"/>
          <w:lang w:eastAsia="en-US"/>
        </w:rPr>
      </w:pPr>
    </w:p>
    <w:tbl>
      <w:tblPr>
        <w:tblW w:w="10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03"/>
        <w:gridCol w:w="7062"/>
      </w:tblGrid>
      <w:tr w:rsidR="004B3B82" w:rsidRPr="004C0B2B" w14:paraId="717DF0AF" w14:textId="77777777" w:rsidTr="00CD3B05">
        <w:trPr>
          <w:trHeight w:val="421"/>
        </w:trPr>
        <w:tc>
          <w:tcPr>
            <w:tcW w:w="3003" w:type="dxa"/>
            <w:shd w:val="clear" w:color="auto" w:fill="D9D9D9"/>
            <w:vAlign w:val="center"/>
          </w:tcPr>
          <w:p w14:paraId="033BAF96" w14:textId="77777777" w:rsidR="004B3B82" w:rsidRPr="004C0B2B" w:rsidRDefault="004B3B82" w:rsidP="00CD3B05">
            <w:pPr>
              <w:jc w:val="both"/>
              <w:rPr>
                <w:rFonts w:ascii="Garamond" w:hAnsi="Garamond"/>
                <w:sz w:val="22"/>
                <w:szCs w:val="22"/>
                <w:lang w:eastAsia="en-US"/>
              </w:rPr>
            </w:pPr>
            <w:r w:rsidRPr="004C0B2B">
              <w:rPr>
                <w:rFonts w:ascii="Garamond" w:hAnsi="Garamond"/>
                <w:sz w:val="22"/>
                <w:szCs w:val="22"/>
                <w:lang w:eastAsia="en-US"/>
              </w:rPr>
              <w:t xml:space="preserve">Класс АИИС КУЭ </w:t>
            </w:r>
          </w:p>
          <w:p w14:paraId="23CBCFBB" w14:textId="77777777" w:rsidR="004B3B82" w:rsidRPr="004C0B2B" w:rsidRDefault="004B3B82" w:rsidP="00CD3B05">
            <w:pPr>
              <w:jc w:val="both"/>
              <w:rPr>
                <w:rFonts w:ascii="Garamond" w:hAnsi="Garamond"/>
                <w:sz w:val="22"/>
                <w:szCs w:val="22"/>
                <w:lang w:eastAsia="en-US"/>
              </w:rPr>
            </w:pPr>
            <w:r w:rsidRPr="004C0B2B">
              <w:rPr>
                <w:rFonts w:ascii="Garamond" w:hAnsi="Garamond"/>
                <w:sz w:val="18"/>
                <w:szCs w:val="18"/>
                <w:lang w:eastAsia="en-US"/>
              </w:rPr>
              <w:t>(</w:t>
            </w:r>
            <w:r w:rsidRPr="004C0B2B">
              <w:rPr>
                <w:rFonts w:ascii="Garamond" w:hAnsi="Garamond"/>
                <w:i/>
                <w:sz w:val="18"/>
                <w:szCs w:val="18"/>
                <w:lang w:eastAsia="en-US"/>
              </w:rPr>
              <w:t>необходимо выбрать один из представленных вариантов</w:t>
            </w:r>
            <w:r w:rsidRPr="004C0B2B">
              <w:rPr>
                <w:rFonts w:ascii="Garamond" w:hAnsi="Garamond"/>
                <w:sz w:val="18"/>
                <w:szCs w:val="18"/>
                <w:lang w:eastAsia="en-US"/>
              </w:rPr>
              <w:t>)</w:t>
            </w:r>
          </w:p>
        </w:tc>
        <w:tc>
          <w:tcPr>
            <w:tcW w:w="7062" w:type="dxa"/>
            <w:shd w:val="clear" w:color="auto" w:fill="auto"/>
            <w:vAlign w:val="center"/>
          </w:tcPr>
          <w:p w14:paraId="5CED024A" w14:textId="77777777" w:rsidR="004B3B82" w:rsidRPr="004C0B2B" w:rsidRDefault="004B3B82" w:rsidP="004B3B82">
            <w:pPr>
              <w:numPr>
                <w:ilvl w:val="0"/>
                <w:numId w:val="120"/>
              </w:numPr>
              <w:suppressAutoHyphens w:val="0"/>
              <w:autoSpaceDE w:val="0"/>
              <w:autoSpaceDN w:val="0"/>
              <w:rPr>
                <w:rFonts w:ascii="Garamond" w:hAnsi="Garamond"/>
                <w:sz w:val="22"/>
                <w:szCs w:val="22"/>
                <w:lang w:eastAsia="en-US"/>
              </w:rPr>
            </w:pPr>
            <w:r w:rsidRPr="004C0B2B">
              <w:rPr>
                <w:rFonts w:ascii="Garamond" w:hAnsi="Garamond"/>
                <w:sz w:val="22"/>
                <w:szCs w:val="22"/>
                <w:lang w:eastAsia="en-US"/>
              </w:rPr>
              <w:t xml:space="preserve">А </w:t>
            </w:r>
          </w:p>
          <w:p w14:paraId="0B7DBB0F" w14:textId="77777777" w:rsidR="004B3B82" w:rsidRPr="004C0B2B" w:rsidRDefault="004B3B82" w:rsidP="004B3B82">
            <w:pPr>
              <w:numPr>
                <w:ilvl w:val="0"/>
                <w:numId w:val="120"/>
              </w:numPr>
              <w:suppressAutoHyphens w:val="0"/>
              <w:autoSpaceDE w:val="0"/>
              <w:autoSpaceDN w:val="0"/>
              <w:rPr>
                <w:rFonts w:ascii="Garamond" w:hAnsi="Garamond"/>
                <w:sz w:val="22"/>
                <w:szCs w:val="22"/>
                <w:lang w:eastAsia="en-US"/>
              </w:rPr>
            </w:pPr>
            <w:r w:rsidRPr="004C0B2B">
              <w:rPr>
                <w:rFonts w:ascii="Garamond" w:hAnsi="Garamond"/>
                <w:sz w:val="22"/>
                <w:szCs w:val="22"/>
                <w:lang w:val="en-US" w:eastAsia="en-US"/>
              </w:rPr>
              <w:t>N</w:t>
            </w:r>
            <w:r w:rsidRPr="004C0B2B">
              <w:rPr>
                <w:rFonts w:ascii="Garamond" w:hAnsi="Garamond"/>
                <w:sz w:val="22"/>
                <w:szCs w:val="22"/>
                <w:lang w:eastAsia="en-US"/>
              </w:rPr>
              <w:t xml:space="preserve"> – только для новой ГТП (сечения КУ), сформированной (-ого) в отношении вновь вводимого генерирующего и (или) энергопринимающего оборудования.</w:t>
            </w:r>
          </w:p>
        </w:tc>
      </w:tr>
      <w:tr w:rsidR="004B3B82" w:rsidRPr="004C0B2B" w14:paraId="4237650B" w14:textId="77777777" w:rsidTr="00CD3B05">
        <w:trPr>
          <w:trHeight w:val="340"/>
        </w:trPr>
        <w:tc>
          <w:tcPr>
            <w:tcW w:w="3003" w:type="dxa"/>
            <w:shd w:val="clear" w:color="auto" w:fill="D9D9D9"/>
            <w:vAlign w:val="center"/>
          </w:tcPr>
          <w:p w14:paraId="0787594C" w14:textId="77777777" w:rsidR="004B3B82" w:rsidRPr="004C0B2B" w:rsidRDefault="004B3B82" w:rsidP="00CD3B05">
            <w:pPr>
              <w:jc w:val="both"/>
              <w:rPr>
                <w:rFonts w:ascii="Garamond" w:hAnsi="Garamond"/>
                <w:sz w:val="22"/>
                <w:szCs w:val="22"/>
                <w:lang w:eastAsia="en-US"/>
              </w:rPr>
            </w:pPr>
            <w:r w:rsidRPr="004C0B2B">
              <w:rPr>
                <w:rFonts w:ascii="Garamond" w:hAnsi="Garamond"/>
                <w:sz w:val="22"/>
                <w:szCs w:val="22"/>
                <w:lang w:eastAsia="en-US"/>
              </w:rPr>
              <w:t xml:space="preserve">Наименование сечения КУ/ ГТП генерации </w:t>
            </w:r>
            <w:r w:rsidRPr="004C0B2B">
              <w:rPr>
                <w:rFonts w:ascii="Garamond" w:hAnsi="Garamond"/>
                <w:sz w:val="22"/>
                <w:szCs w:val="22"/>
                <w:vertAlign w:val="superscript"/>
                <w:lang w:eastAsia="en-US"/>
              </w:rPr>
              <w:t>1</w:t>
            </w:r>
          </w:p>
        </w:tc>
        <w:tc>
          <w:tcPr>
            <w:tcW w:w="7062" w:type="dxa"/>
            <w:shd w:val="clear" w:color="auto" w:fill="auto"/>
            <w:vAlign w:val="center"/>
          </w:tcPr>
          <w:p w14:paraId="6E79657D" w14:textId="77777777" w:rsidR="004B3B82" w:rsidRPr="004C0B2B" w:rsidRDefault="004B3B82" w:rsidP="00CD3B05">
            <w:pPr>
              <w:jc w:val="both"/>
              <w:rPr>
                <w:rFonts w:ascii="Garamond" w:hAnsi="Garamond"/>
                <w:b/>
                <w:sz w:val="22"/>
                <w:szCs w:val="22"/>
                <w:lang w:eastAsia="en-US"/>
              </w:rPr>
            </w:pPr>
          </w:p>
        </w:tc>
      </w:tr>
      <w:tr w:rsidR="004B3B82" w:rsidRPr="004C0B2B" w14:paraId="5EF531F8" w14:textId="77777777" w:rsidTr="00CD3B05">
        <w:trPr>
          <w:trHeight w:val="340"/>
        </w:trPr>
        <w:tc>
          <w:tcPr>
            <w:tcW w:w="3003" w:type="dxa"/>
            <w:shd w:val="clear" w:color="auto" w:fill="D9D9D9"/>
            <w:vAlign w:val="center"/>
          </w:tcPr>
          <w:p w14:paraId="622C41EB" w14:textId="77777777" w:rsidR="004B3B82" w:rsidRPr="004C0B2B" w:rsidRDefault="004B3B82" w:rsidP="00CD3B05">
            <w:pPr>
              <w:jc w:val="both"/>
              <w:rPr>
                <w:rFonts w:ascii="Garamond" w:hAnsi="Garamond"/>
                <w:sz w:val="22"/>
                <w:szCs w:val="22"/>
                <w:lang w:eastAsia="en-US"/>
              </w:rPr>
            </w:pPr>
            <w:r w:rsidRPr="004C0B2B">
              <w:rPr>
                <w:rFonts w:ascii="Garamond" w:hAnsi="Garamond"/>
                <w:sz w:val="22"/>
                <w:szCs w:val="22"/>
                <w:lang w:eastAsia="en-US"/>
              </w:rPr>
              <w:t xml:space="preserve">Основание </w:t>
            </w:r>
            <w:r w:rsidRPr="004C0B2B">
              <w:rPr>
                <w:rFonts w:ascii="Garamond" w:hAnsi="Garamond"/>
                <w:sz w:val="22"/>
                <w:szCs w:val="22"/>
                <w:vertAlign w:val="superscript"/>
                <w:lang w:eastAsia="en-US"/>
              </w:rPr>
              <w:t>2</w:t>
            </w:r>
          </w:p>
        </w:tc>
        <w:tc>
          <w:tcPr>
            <w:tcW w:w="7062" w:type="dxa"/>
            <w:shd w:val="clear" w:color="auto" w:fill="auto"/>
            <w:vAlign w:val="center"/>
          </w:tcPr>
          <w:p w14:paraId="56E9B5ED" w14:textId="77777777" w:rsidR="004B3B82" w:rsidRPr="004C0B2B" w:rsidRDefault="004B3B82" w:rsidP="00CD3B05">
            <w:pPr>
              <w:jc w:val="both"/>
              <w:rPr>
                <w:rFonts w:ascii="Garamond" w:hAnsi="Garamond"/>
                <w:sz w:val="22"/>
                <w:szCs w:val="22"/>
                <w:lang w:eastAsia="en-US"/>
              </w:rPr>
            </w:pPr>
          </w:p>
        </w:tc>
      </w:tr>
      <w:tr w:rsidR="004B3B82" w:rsidRPr="004C0B2B" w14:paraId="3E4FFCEB" w14:textId="77777777" w:rsidTr="00CD3B05">
        <w:trPr>
          <w:trHeight w:val="421"/>
        </w:trPr>
        <w:tc>
          <w:tcPr>
            <w:tcW w:w="3003" w:type="dxa"/>
            <w:shd w:val="clear" w:color="auto" w:fill="D9D9D9"/>
            <w:vAlign w:val="center"/>
          </w:tcPr>
          <w:p w14:paraId="7F8ACE02" w14:textId="77777777" w:rsidR="004B3B82" w:rsidRPr="004C0B2B" w:rsidRDefault="004B3B82" w:rsidP="00CD3B05">
            <w:pPr>
              <w:rPr>
                <w:rFonts w:ascii="Garamond" w:hAnsi="Garamond"/>
                <w:sz w:val="22"/>
                <w:szCs w:val="22"/>
                <w:lang w:eastAsia="en-US"/>
              </w:rPr>
            </w:pPr>
            <w:r w:rsidRPr="004C0B2B">
              <w:rPr>
                <w:rFonts w:ascii="Garamond" w:hAnsi="Garamond"/>
                <w:sz w:val="22"/>
                <w:szCs w:val="22"/>
                <w:lang w:eastAsia="en-US"/>
              </w:rPr>
              <w:t xml:space="preserve">Информирую, что                           </w:t>
            </w:r>
            <w:r w:rsidRPr="004C0B2B">
              <w:rPr>
                <w:rFonts w:ascii="Garamond" w:hAnsi="Garamond"/>
                <w:sz w:val="18"/>
                <w:szCs w:val="18"/>
                <w:lang w:eastAsia="en-US"/>
              </w:rPr>
              <w:t>(</w:t>
            </w:r>
            <w:r w:rsidRPr="004C0B2B">
              <w:rPr>
                <w:rFonts w:ascii="Garamond" w:hAnsi="Garamond"/>
                <w:i/>
                <w:sz w:val="18"/>
                <w:szCs w:val="18"/>
                <w:lang w:eastAsia="en-US"/>
              </w:rPr>
              <w:t>необходимо выбрать один из представленных вариантов</w:t>
            </w:r>
            <w:r w:rsidRPr="004C0B2B">
              <w:rPr>
                <w:rFonts w:ascii="Garamond" w:hAnsi="Garamond"/>
                <w:sz w:val="18"/>
                <w:szCs w:val="18"/>
                <w:lang w:eastAsia="en-US"/>
              </w:rPr>
              <w:t>)</w:t>
            </w:r>
          </w:p>
        </w:tc>
        <w:tc>
          <w:tcPr>
            <w:tcW w:w="7062" w:type="dxa"/>
            <w:shd w:val="clear" w:color="auto" w:fill="auto"/>
            <w:vAlign w:val="center"/>
          </w:tcPr>
          <w:p w14:paraId="0B0E178B" w14:textId="37F56292" w:rsidR="004B3B82" w:rsidRPr="004C0B2B" w:rsidRDefault="004B3B82" w:rsidP="00101F7C">
            <w:pPr>
              <w:numPr>
                <w:ilvl w:val="0"/>
                <w:numId w:val="113"/>
              </w:numPr>
              <w:suppressAutoHyphens w:val="0"/>
              <w:autoSpaceDE w:val="0"/>
              <w:autoSpaceDN w:val="0"/>
              <w:rPr>
                <w:rFonts w:ascii="Garamond" w:hAnsi="Garamond"/>
                <w:sz w:val="22"/>
                <w:szCs w:val="22"/>
                <w:lang w:eastAsia="en-US"/>
              </w:rPr>
            </w:pPr>
            <w:r w:rsidRPr="004C0B2B">
              <w:rPr>
                <w:rFonts w:ascii="Garamond" w:hAnsi="Garamond"/>
                <w:b/>
                <w:sz w:val="22"/>
                <w:szCs w:val="22"/>
                <w:lang w:eastAsia="en-US"/>
              </w:rPr>
              <w:t>не использую</w:t>
            </w:r>
            <w:r w:rsidRPr="004C0B2B">
              <w:rPr>
                <w:rFonts w:ascii="Garamond" w:hAnsi="Garamond"/>
                <w:sz w:val="22"/>
                <w:szCs w:val="22"/>
                <w:lang w:eastAsia="en-US"/>
              </w:rPr>
              <w:t xml:space="preserve"> компоненты</w:t>
            </w:r>
            <w:r w:rsidR="005951D1" w:rsidRPr="005951D1">
              <w:rPr>
                <w:rFonts w:ascii="Garamond" w:hAnsi="Garamond"/>
                <w:sz w:val="22"/>
                <w:szCs w:val="22"/>
                <w:highlight w:val="yellow"/>
                <w:lang w:eastAsia="en-US"/>
              </w:rPr>
              <w:t>,</w:t>
            </w:r>
            <w:r w:rsidRPr="004C0B2B">
              <w:rPr>
                <w:rFonts w:ascii="Garamond" w:hAnsi="Garamond"/>
                <w:sz w:val="22"/>
                <w:szCs w:val="22"/>
                <w:lang w:eastAsia="en-US"/>
              </w:rPr>
              <w:t xml:space="preserve"> и (или) АИИС КУЭ</w:t>
            </w:r>
            <w:r w:rsidR="005951D1">
              <w:rPr>
                <w:rFonts w:ascii="Garamond" w:hAnsi="Garamond"/>
                <w:sz w:val="22"/>
                <w:szCs w:val="22"/>
                <w:lang w:eastAsia="en-US"/>
              </w:rPr>
              <w:t>,</w:t>
            </w:r>
            <w:r>
              <w:rPr>
                <w:rFonts w:ascii="Garamond" w:hAnsi="Garamond"/>
                <w:sz w:val="22"/>
                <w:szCs w:val="22"/>
                <w:lang w:eastAsia="en-US"/>
              </w:rPr>
              <w:t xml:space="preserve"> </w:t>
            </w:r>
            <w:r w:rsidRPr="00D14D87">
              <w:rPr>
                <w:rFonts w:ascii="Garamond" w:hAnsi="Garamond"/>
                <w:sz w:val="22"/>
                <w:szCs w:val="22"/>
                <w:highlight w:val="yellow"/>
                <w:lang w:eastAsia="en-US"/>
              </w:rPr>
              <w:t xml:space="preserve">и (или) </w:t>
            </w:r>
            <w:r>
              <w:rPr>
                <w:rFonts w:ascii="Garamond" w:hAnsi="Garamond"/>
                <w:sz w:val="22"/>
                <w:szCs w:val="22"/>
                <w:highlight w:val="yellow"/>
                <w:lang w:eastAsia="en-US"/>
              </w:rPr>
              <w:t>документы</w:t>
            </w:r>
            <w:r w:rsidRPr="00D14D87">
              <w:rPr>
                <w:rFonts w:ascii="Garamond" w:hAnsi="Garamond"/>
                <w:sz w:val="22"/>
                <w:szCs w:val="22"/>
                <w:highlight w:val="yellow"/>
                <w:lang w:eastAsia="en-US"/>
              </w:rPr>
              <w:t xml:space="preserve"> в отношении АИИС КУЭ</w:t>
            </w:r>
            <w:r w:rsidRPr="004C0B2B">
              <w:rPr>
                <w:rFonts w:ascii="Garamond" w:hAnsi="Garamond"/>
                <w:sz w:val="22"/>
                <w:szCs w:val="22"/>
                <w:lang w:eastAsia="en-US"/>
              </w:rPr>
              <w:t>, принадлежащие третьим лицам;</w:t>
            </w:r>
          </w:p>
          <w:p w14:paraId="36A9E9DE" w14:textId="07311218" w:rsidR="004B3B82" w:rsidRPr="004C0B2B" w:rsidRDefault="004B3B82" w:rsidP="00101F7C">
            <w:pPr>
              <w:numPr>
                <w:ilvl w:val="0"/>
                <w:numId w:val="113"/>
              </w:numPr>
              <w:suppressAutoHyphens w:val="0"/>
              <w:autoSpaceDE w:val="0"/>
              <w:autoSpaceDN w:val="0"/>
              <w:rPr>
                <w:rFonts w:ascii="Garamond" w:hAnsi="Garamond"/>
                <w:sz w:val="22"/>
                <w:szCs w:val="22"/>
                <w:lang w:eastAsia="en-US"/>
              </w:rPr>
            </w:pPr>
            <w:r w:rsidRPr="004C0B2B">
              <w:rPr>
                <w:rFonts w:ascii="Garamond" w:hAnsi="Garamond"/>
                <w:b/>
                <w:sz w:val="22"/>
                <w:szCs w:val="22"/>
                <w:lang w:eastAsia="en-US"/>
              </w:rPr>
              <w:t>использую</w:t>
            </w:r>
            <w:r w:rsidRPr="004C0B2B">
              <w:rPr>
                <w:rFonts w:ascii="Garamond" w:hAnsi="Garamond"/>
                <w:sz w:val="22"/>
                <w:szCs w:val="22"/>
                <w:lang w:eastAsia="en-US"/>
              </w:rPr>
              <w:t xml:space="preserve"> компоненты</w:t>
            </w:r>
            <w:r w:rsidR="005951D1" w:rsidRPr="005951D1">
              <w:rPr>
                <w:rFonts w:ascii="Garamond" w:hAnsi="Garamond"/>
                <w:sz w:val="22"/>
                <w:szCs w:val="22"/>
                <w:highlight w:val="yellow"/>
                <w:lang w:eastAsia="en-US"/>
              </w:rPr>
              <w:t>,</w:t>
            </w:r>
            <w:r w:rsidRPr="004C0B2B">
              <w:rPr>
                <w:rFonts w:ascii="Garamond" w:hAnsi="Garamond"/>
                <w:sz w:val="22"/>
                <w:szCs w:val="22"/>
                <w:lang w:eastAsia="en-US"/>
              </w:rPr>
              <w:t xml:space="preserve"> и (или) АИИС КУЭ</w:t>
            </w:r>
            <w:r w:rsidR="005951D1" w:rsidRPr="005951D1">
              <w:rPr>
                <w:rFonts w:ascii="Garamond" w:hAnsi="Garamond"/>
                <w:sz w:val="22"/>
                <w:szCs w:val="22"/>
                <w:highlight w:val="yellow"/>
                <w:lang w:eastAsia="en-US"/>
              </w:rPr>
              <w:t>,</w:t>
            </w:r>
            <w:r w:rsidRPr="005951D1">
              <w:rPr>
                <w:rFonts w:ascii="Garamond" w:hAnsi="Garamond"/>
                <w:sz w:val="22"/>
                <w:szCs w:val="22"/>
                <w:highlight w:val="yellow"/>
                <w:lang w:eastAsia="en-US"/>
              </w:rPr>
              <w:t xml:space="preserve"> и</w:t>
            </w:r>
            <w:r w:rsidRPr="00D14D87">
              <w:rPr>
                <w:rFonts w:ascii="Garamond" w:hAnsi="Garamond"/>
                <w:sz w:val="22"/>
                <w:szCs w:val="22"/>
                <w:highlight w:val="yellow"/>
                <w:lang w:eastAsia="en-US"/>
              </w:rPr>
              <w:t xml:space="preserve"> (или) </w:t>
            </w:r>
            <w:r>
              <w:rPr>
                <w:rFonts w:ascii="Garamond" w:hAnsi="Garamond"/>
                <w:sz w:val="22"/>
                <w:szCs w:val="22"/>
                <w:highlight w:val="yellow"/>
                <w:lang w:eastAsia="en-US"/>
              </w:rPr>
              <w:t>документы</w:t>
            </w:r>
            <w:r w:rsidRPr="00D14D87">
              <w:rPr>
                <w:rFonts w:ascii="Garamond" w:hAnsi="Garamond"/>
                <w:sz w:val="22"/>
                <w:szCs w:val="22"/>
                <w:highlight w:val="yellow"/>
                <w:lang w:eastAsia="en-US"/>
              </w:rPr>
              <w:t xml:space="preserve"> в отношении АИИС КУЭ</w:t>
            </w:r>
            <w:r w:rsidRPr="004C0B2B">
              <w:rPr>
                <w:rFonts w:ascii="Garamond" w:hAnsi="Garamond"/>
                <w:sz w:val="22"/>
                <w:szCs w:val="22"/>
                <w:lang w:eastAsia="en-US"/>
              </w:rPr>
              <w:t xml:space="preserve">, принадлежащие третьим лицам </w:t>
            </w:r>
          </w:p>
          <w:p w14:paraId="2F7DB03B" w14:textId="77777777" w:rsidR="004B3B82" w:rsidRPr="004C0B2B" w:rsidRDefault="004B3B82" w:rsidP="00CD3B05">
            <w:pPr>
              <w:autoSpaceDE w:val="0"/>
              <w:autoSpaceDN w:val="0"/>
              <w:rPr>
                <w:rFonts w:ascii="Garamond" w:hAnsi="Garamond"/>
                <w:sz w:val="22"/>
                <w:szCs w:val="22"/>
                <w:u w:val="single"/>
                <w:lang w:eastAsia="en-US"/>
              </w:rPr>
            </w:pPr>
            <w:r w:rsidRPr="004C0B2B">
              <w:rPr>
                <w:rFonts w:ascii="Garamond" w:hAnsi="Garamond"/>
                <w:b/>
                <w:sz w:val="22"/>
                <w:szCs w:val="22"/>
                <w:u w:val="single"/>
                <w:lang w:eastAsia="en-US"/>
              </w:rPr>
              <w:t xml:space="preserve">                                                                                                                           </w:t>
            </w:r>
            <w:r w:rsidRPr="004C0B2B">
              <w:rPr>
                <w:rFonts w:ascii="Garamond" w:hAnsi="Garamond"/>
                <w:sz w:val="22"/>
                <w:szCs w:val="22"/>
                <w:u w:val="single"/>
                <w:lang w:eastAsia="en-US"/>
              </w:rPr>
              <w:t>,</w:t>
            </w:r>
          </w:p>
          <w:p w14:paraId="03DEA553" w14:textId="77777777" w:rsidR="004B3B82" w:rsidRPr="004C0B2B" w:rsidRDefault="004B3B82" w:rsidP="00CD3B05">
            <w:pPr>
              <w:autoSpaceDE w:val="0"/>
              <w:autoSpaceDN w:val="0"/>
              <w:rPr>
                <w:rFonts w:ascii="Garamond" w:hAnsi="Garamond"/>
                <w:i/>
                <w:sz w:val="18"/>
                <w:szCs w:val="18"/>
                <w:lang w:eastAsia="en-US"/>
              </w:rPr>
            </w:pPr>
            <w:r w:rsidRPr="004C0B2B">
              <w:rPr>
                <w:rFonts w:ascii="Garamond" w:hAnsi="Garamond"/>
                <w:i/>
                <w:sz w:val="18"/>
                <w:szCs w:val="18"/>
                <w:lang w:eastAsia="en-US"/>
              </w:rPr>
              <w:t>(полное наименование организации (-ий) с указанием организационно-правовой формы)</w:t>
            </w:r>
          </w:p>
          <w:p w14:paraId="0F79051F" w14:textId="77777777" w:rsidR="004B3B82" w:rsidRPr="004C0B2B" w:rsidRDefault="004B3B82" w:rsidP="00CD3B05">
            <w:pPr>
              <w:autoSpaceDE w:val="0"/>
              <w:autoSpaceDN w:val="0"/>
              <w:ind w:left="429"/>
              <w:rPr>
                <w:rFonts w:ascii="Garamond" w:hAnsi="Garamond"/>
                <w:sz w:val="22"/>
                <w:szCs w:val="22"/>
                <w:lang w:eastAsia="en-US"/>
              </w:rPr>
            </w:pPr>
          </w:p>
          <w:p w14:paraId="30C630EF" w14:textId="41229494" w:rsidR="004B3B82" w:rsidRPr="004C0B2B" w:rsidRDefault="004B3B82" w:rsidP="006E6A56">
            <w:pPr>
              <w:autoSpaceDE w:val="0"/>
              <w:autoSpaceDN w:val="0"/>
              <w:ind w:left="429"/>
              <w:rPr>
                <w:rFonts w:ascii="Garamond" w:hAnsi="Garamond"/>
                <w:sz w:val="22"/>
                <w:szCs w:val="22"/>
                <w:lang w:eastAsia="en-US"/>
              </w:rPr>
            </w:pPr>
            <w:r w:rsidRPr="004C0B2B">
              <w:rPr>
                <w:rFonts w:ascii="Garamond" w:hAnsi="Garamond"/>
                <w:sz w:val="22"/>
                <w:szCs w:val="22"/>
                <w:lang w:eastAsia="en-US"/>
              </w:rPr>
              <w:t>а также подтверждаю, что отношения по использованию данных компонентов</w:t>
            </w:r>
            <w:r w:rsidR="005951D1" w:rsidRPr="005951D1">
              <w:rPr>
                <w:rFonts w:ascii="Garamond" w:hAnsi="Garamond"/>
                <w:sz w:val="22"/>
                <w:szCs w:val="22"/>
                <w:highlight w:val="yellow"/>
                <w:lang w:eastAsia="en-US"/>
              </w:rPr>
              <w:t>,</w:t>
            </w:r>
            <w:r w:rsidRPr="004C0B2B">
              <w:rPr>
                <w:rFonts w:ascii="Garamond" w:hAnsi="Garamond"/>
                <w:sz w:val="22"/>
                <w:szCs w:val="22"/>
                <w:lang w:eastAsia="en-US"/>
              </w:rPr>
              <w:t xml:space="preserve"> и (или) АИИС КУЭ</w:t>
            </w:r>
            <w:r w:rsidR="005951D1" w:rsidRPr="005951D1">
              <w:rPr>
                <w:rFonts w:ascii="Garamond" w:hAnsi="Garamond"/>
                <w:sz w:val="22"/>
                <w:szCs w:val="22"/>
                <w:highlight w:val="yellow"/>
                <w:lang w:eastAsia="en-US"/>
              </w:rPr>
              <w:t>,</w:t>
            </w:r>
            <w:r w:rsidRPr="005951D1">
              <w:rPr>
                <w:rFonts w:ascii="Garamond" w:hAnsi="Garamond"/>
                <w:sz w:val="22"/>
                <w:szCs w:val="22"/>
                <w:highlight w:val="yellow"/>
                <w:lang w:eastAsia="en-US"/>
              </w:rPr>
              <w:t xml:space="preserve"> и</w:t>
            </w:r>
            <w:r w:rsidRPr="00D14D87">
              <w:rPr>
                <w:rFonts w:ascii="Garamond" w:hAnsi="Garamond"/>
                <w:sz w:val="22"/>
                <w:szCs w:val="22"/>
                <w:highlight w:val="yellow"/>
                <w:lang w:eastAsia="en-US"/>
              </w:rPr>
              <w:t xml:space="preserve"> (или) </w:t>
            </w:r>
            <w:r>
              <w:rPr>
                <w:rFonts w:ascii="Garamond" w:hAnsi="Garamond"/>
                <w:sz w:val="22"/>
                <w:szCs w:val="22"/>
                <w:highlight w:val="yellow"/>
                <w:lang w:eastAsia="en-US"/>
              </w:rPr>
              <w:t>документов</w:t>
            </w:r>
            <w:r w:rsidRPr="00D14D87">
              <w:rPr>
                <w:rFonts w:ascii="Garamond" w:hAnsi="Garamond"/>
                <w:sz w:val="22"/>
                <w:szCs w:val="22"/>
                <w:highlight w:val="yellow"/>
                <w:lang w:eastAsia="en-US"/>
              </w:rPr>
              <w:t xml:space="preserve"> в отношении АИИС КУЭ</w:t>
            </w:r>
            <w:r w:rsidRPr="004C0B2B">
              <w:rPr>
                <w:rFonts w:ascii="Garamond" w:hAnsi="Garamond"/>
                <w:sz w:val="22"/>
                <w:szCs w:val="22"/>
                <w:lang w:eastAsia="en-US"/>
              </w:rPr>
              <w:t xml:space="preserve"> урегулированы с указанными третьими лицами надлежащим образом.</w:t>
            </w:r>
          </w:p>
        </w:tc>
      </w:tr>
      <w:tr w:rsidR="004B3B82" w:rsidRPr="004C0B2B" w14:paraId="0D467C00" w14:textId="77777777" w:rsidTr="00CD3B05">
        <w:trPr>
          <w:trHeight w:val="421"/>
        </w:trPr>
        <w:tc>
          <w:tcPr>
            <w:tcW w:w="3003" w:type="dxa"/>
            <w:shd w:val="clear" w:color="auto" w:fill="D9D9D9"/>
            <w:vAlign w:val="center"/>
          </w:tcPr>
          <w:p w14:paraId="1DA690C6" w14:textId="77777777" w:rsidR="004B3B82" w:rsidRPr="004C0B2B" w:rsidRDefault="004B3B82" w:rsidP="00CD3B05">
            <w:pPr>
              <w:rPr>
                <w:rFonts w:ascii="Garamond" w:hAnsi="Garamond"/>
                <w:i/>
                <w:sz w:val="18"/>
                <w:szCs w:val="18"/>
                <w:lang w:eastAsia="en-US"/>
              </w:rPr>
            </w:pPr>
            <w:r w:rsidRPr="004C0B2B">
              <w:rPr>
                <w:rFonts w:ascii="Garamond" w:hAnsi="Garamond"/>
                <w:sz w:val="22"/>
                <w:szCs w:val="22"/>
                <w:lang w:eastAsia="en-US"/>
              </w:rPr>
              <w:t>Контактные данные представителя заявителя, ответственного за предоставление доступа КО к АИИС КУЭ в удаленном режиме с использованием соответствующего специализированного программного обеспечения</w:t>
            </w:r>
          </w:p>
        </w:tc>
        <w:tc>
          <w:tcPr>
            <w:tcW w:w="7062" w:type="dxa"/>
            <w:shd w:val="clear" w:color="auto" w:fill="auto"/>
            <w:vAlign w:val="center"/>
          </w:tcPr>
          <w:p w14:paraId="1A0CC7C2" w14:textId="77777777" w:rsidR="004B3B82" w:rsidRPr="004C0B2B" w:rsidRDefault="004B3B82" w:rsidP="00CD3B05">
            <w:pPr>
              <w:autoSpaceDE w:val="0"/>
              <w:autoSpaceDN w:val="0"/>
              <w:rPr>
                <w:rFonts w:ascii="Garamond" w:hAnsi="Garamond"/>
                <w:b/>
                <w:sz w:val="22"/>
                <w:szCs w:val="22"/>
                <w:lang w:eastAsia="en-US"/>
              </w:rPr>
            </w:pPr>
            <w:r w:rsidRPr="004C0B2B">
              <w:rPr>
                <w:rFonts w:ascii="Garamond" w:hAnsi="Garamond"/>
                <w:sz w:val="22"/>
                <w:szCs w:val="22"/>
                <w:lang w:eastAsia="en-US"/>
              </w:rPr>
              <w:t>___________________________________________________________</w:t>
            </w:r>
          </w:p>
          <w:p w14:paraId="7758306B" w14:textId="77777777" w:rsidR="004B3B82" w:rsidRPr="004C0B2B" w:rsidRDefault="004B3B82" w:rsidP="00CD3B05">
            <w:pPr>
              <w:autoSpaceDE w:val="0"/>
              <w:autoSpaceDN w:val="0"/>
              <w:ind w:left="720"/>
              <w:rPr>
                <w:rFonts w:ascii="Garamond" w:hAnsi="Garamond"/>
                <w:b/>
                <w:sz w:val="22"/>
                <w:szCs w:val="22"/>
                <w:lang w:eastAsia="en-US"/>
              </w:rPr>
            </w:pPr>
            <w:r w:rsidRPr="004C0B2B">
              <w:rPr>
                <w:rFonts w:ascii="Garamond" w:hAnsi="Garamond"/>
                <w:sz w:val="22"/>
                <w:szCs w:val="22"/>
                <w:lang w:eastAsia="en-US"/>
              </w:rPr>
              <w:t xml:space="preserve">(Ф. И. О., </w:t>
            </w:r>
            <w:r w:rsidRPr="004C0B2B">
              <w:rPr>
                <w:rFonts w:ascii="Garamond" w:hAnsi="Garamond"/>
                <w:sz w:val="22"/>
                <w:szCs w:val="22"/>
              </w:rPr>
              <w:t>номер телефона, адрес электронной почты)</w:t>
            </w:r>
          </w:p>
        </w:tc>
      </w:tr>
      <w:tr w:rsidR="004B3B82" w:rsidRPr="004C0B2B" w14:paraId="32FA7CA9" w14:textId="77777777" w:rsidTr="00CD3B05">
        <w:trPr>
          <w:trHeight w:val="421"/>
        </w:trPr>
        <w:tc>
          <w:tcPr>
            <w:tcW w:w="3003" w:type="dxa"/>
            <w:shd w:val="clear" w:color="auto" w:fill="D9D9D9"/>
            <w:vAlign w:val="center"/>
          </w:tcPr>
          <w:p w14:paraId="640FBAAE" w14:textId="77777777" w:rsidR="004B3B82" w:rsidRPr="004C0B2B" w:rsidRDefault="004B3B82" w:rsidP="00CD3B05">
            <w:pPr>
              <w:rPr>
                <w:rFonts w:ascii="Garamond" w:hAnsi="Garamond"/>
                <w:sz w:val="22"/>
                <w:szCs w:val="22"/>
                <w:lang w:eastAsia="en-US"/>
              </w:rPr>
            </w:pPr>
            <w:r w:rsidRPr="004C0B2B">
              <w:rPr>
                <w:rFonts w:ascii="Garamond" w:hAnsi="Garamond"/>
                <w:sz w:val="22"/>
                <w:szCs w:val="22"/>
              </w:rPr>
              <w:t>Наименование специализированного программного обеспечения из перечня ПО </w:t>
            </w:r>
            <w:r w:rsidRPr="004C0B2B">
              <w:rPr>
                <w:rFonts w:ascii="Garamond" w:hAnsi="Garamond"/>
                <w:sz w:val="22"/>
                <w:szCs w:val="22"/>
                <w:vertAlign w:val="superscript"/>
                <w:lang w:eastAsia="en-US"/>
              </w:rPr>
              <w:t>3</w:t>
            </w:r>
          </w:p>
        </w:tc>
        <w:tc>
          <w:tcPr>
            <w:tcW w:w="7062" w:type="dxa"/>
            <w:shd w:val="clear" w:color="auto" w:fill="auto"/>
            <w:vAlign w:val="center"/>
          </w:tcPr>
          <w:p w14:paraId="4A798545" w14:textId="77777777" w:rsidR="004B3B82" w:rsidRPr="004C0B2B" w:rsidRDefault="004B3B82" w:rsidP="00CD3B05">
            <w:pPr>
              <w:autoSpaceDE w:val="0"/>
              <w:autoSpaceDN w:val="0"/>
              <w:ind w:left="720"/>
              <w:rPr>
                <w:rFonts w:ascii="Garamond" w:hAnsi="Garamond"/>
                <w:sz w:val="22"/>
                <w:szCs w:val="22"/>
              </w:rPr>
            </w:pPr>
          </w:p>
        </w:tc>
      </w:tr>
    </w:tbl>
    <w:p w14:paraId="4E8D3C01" w14:textId="77777777" w:rsidR="004B3B82" w:rsidRPr="004C0B2B" w:rsidRDefault="004B3B82" w:rsidP="00101F7C">
      <w:pPr>
        <w:autoSpaceDE w:val="0"/>
        <w:autoSpaceDN w:val="0"/>
        <w:jc w:val="both"/>
        <w:rPr>
          <w:rFonts w:ascii="Garamond" w:hAnsi="Garamond"/>
          <w:sz w:val="22"/>
          <w:szCs w:val="22"/>
        </w:rPr>
      </w:pPr>
    </w:p>
    <w:p w14:paraId="1B43DFB0" w14:textId="77777777" w:rsidR="004B3B82" w:rsidRPr="004C0B2B" w:rsidRDefault="004B3B82" w:rsidP="00101F7C">
      <w:pPr>
        <w:autoSpaceDE w:val="0"/>
        <w:autoSpaceDN w:val="0"/>
        <w:jc w:val="both"/>
        <w:rPr>
          <w:rFonts w:ascii="Garamond" w:hAnsi="Garamond"/>
          <w:bCs/>
          <w:sz w:val="22"/>
          <w:szCs w:val="22"/>
        </w:rPr>
      </w:pPr>
      <w:r w:rsidRPr="004C0B2B">
        <w:rPr>
          <w:rFonts w:ascii="Garamond" w:hAnsi="Garamond"/>
          <w:bCs/>
          <w:sz w:val="22"/>
          <w:szCs w:val="22"/>
        </w:rPr>
        <w:lastRenderedPageBreak/>
        <w:t>Подтверждаю, что измерения электрической энергии (мощности) по точкам поставки, в отношении которых допускается использовать средства измерений, не включенные в АИИС КУЭ, выполняются с применением средств измерений утвержденного типа, прошедших поверку в соответствии с требованиями Федерального закона «Об обеспечении единства измерений» № 102-ФЗ от 26.06.2008 г. к измерениям, относящимся к сфере государственного регулирования обеспечения единства измерений (</w:t>
      </w:r>
      <w:r w:rsidRPr="004C0B2B">
        <w:rPr>
          <w:rFonts w:ascii="Garamond" w:hAnsi="Garamond"/>
          <w:bCs/>
          <w:i/>
          <w:sz w:val="22"/>
          <w:szCs w:val="22"/>
        </w:rPr>
        <w:t>указывается при наличии средств измерений, не включенных в АИИС КУЭ</w:t>
      </w:r>
      <w:r w:rsidRPr="004C0B2B">
        <w:rPr>
          <w:rFonts w:ascii="Garamond" w:hAnsi="Garamond"/>
          <w:bCs/>
          <w:sz w:val="22"/>
          <w:szCs w:val="22"/>
        </w:rPr>
        <w:t>).</w:t>
      </w:r>
    </w:p>
    <w:p w14:paraId="15E916F1" w14:textId="77777777" w:rsidR="004B3B82" w:rsidRPr="004C0B2B" w:rsidRDefault="004B3B82" w:rsidP="00101F7C">
      <w:pPr>
        <w:autoSpaceDE w:val="0"/>
        <w:autoSpaceDN w:val="0"/>
        <w:jc w:val="both"/>
        <w:rPr>
          <w:rFonts w:ascii="Garamond" w:hAnsi="Garamond"/>
          <w:bCs/>
          <w:sz w:val="22"/>
          <w:szCs w:val="22"/>
        </w:rPr>
      </w:pPr>
    </w:p>
    <w:p w14:paraId="2A21D147" w14:textId="77777777" w:rsidR="004B3B82" w:rsidRPr="004C0B2B" w:rsidRDefault="004B3B82" w:rsidP="00101F7C">
      <w:pPr>
        <w:autoSpaceDE w:val="0"/>
        <w:autoSpaceDN w:val="0"/>
        <w:jc w:val="both"/>
        <w:rPr>
          <w:rFonts w:ascii="Garamond" w:hAnsi="Garamond"/>
          <w:bCs/>
          <w:i/>
          <w:sz w:val="22"/>
          <w:szCs w:val="22"/>
        </w:rPr>
      </w:pPr>
      <w:r w:rsidRPr="004C0B2B">
        <w:rPr>
          <w:rFonts w:ascii="Garamond" w:hAnsi="Garamond"/>
          <w:bCs/>
          <w:sz w:val="22"/>
          <w:szCs w:val="22"/>
        </w:rPr>
        <w:t>В случае если при установлении соответствия АИИС КУЭ КО будет выявлена неактуальность регистрационной информации в части несоответствия указанных в опросных листах (макет 90000) и в ПСИ типов (модификаций) приборов учета / признака включения в АИИС КУЭ, необходимо выполнить действия для регистрации в КО в течение 60 календарных дней с даты направления КО письма о вышеуказанном несоответствии актуализированного ПСИ, оформленного в соответствии с требованиями регламентов оптового рынка (</w:t>
      </w:r>
      <w:r w:rsidRPr="004C0B2B">
        <w:rPr>
          <w:rFonts w:ascii="Garamond" w:hAnsi="Garamond"/>
          <w:bCs/>
          <w:i/>
          <w:sz w:val="18"/>
          <w:szCs w:val="18"/>
        </w:rPr>
        <w:t>указывается для действующего состава точек поставки и точек измерений</w:t>
      </w:r>
      <w:r w:rsidRPr="004C0B2B">
        <w:rPr>
          <w:rFonts w:ascii="Garamond" w:hAnsi="Garamond"/>
          <w:bCs/>
          <w:i/>
          <w:sz w:val="22"/>
          <w:szCs w:val="22"/>
        </w:rPr>
        <w:t>).</w:t>
      </w:r>
    </w:p>
    <w:p w14:paraId="6E664D55" w14:textId="77777777" w:rsidR="004B3B82" w:rsidRPr="004C0B2B" w:rsidRDefault="004B3B82" w:rsidP="00101F7C">
      <w:pPr>
        <w:jc w:val="both"/>
        <w:rPr>
          <w:rFonts w:ascii="Garamond" w:hAnsi="Garamond"/>
          <w:bCs/>
          <w:i/>
          <w:sz w:val="22"/>
          <w:szCs w:val="22"/>
        </w:rPr>
      </w:pPr>
    </w:p>
    <w:tbl>
      <w:tblPr>
        <w:tblW w:w="10003" w:type="dxa"/>
        <w:tblLook w:val="04A0" w:firstRow="1" w:lastRow="0" w:firstColumn="1" w:lastColumn="0" w:noHBand="0" w:noVBand="1"/>
      </w:tblPr>
      <w:tblGrid>
        <w:gridCol w:w="3224"/>
        <w:gridCol w:w="3556"/>
        <w:gridCol w:w="3223"/>
      </w:tblGrid>
      <w:tr w:rsidR="004B3B82" w:rsidRPr="004C0B2B" w14:paraId="1AB603B9" w14:textId="77777777" w:rsidTr="00CD3B05">
        <w:trPr>
          <w:trHeight w:val="665"/>
        </w:trPr>
        <w:tc>
          <w:tcPr>
            <w:tcW w:w="3224" w:type="dxa"/>
            <w:tcBorders>
              <w:bottom w:val="single" w:sz="4" w:space="0" w:color="auto"/>
            </w:tcBorders>
            <w:shd w:val="clear" w:color="auto" w:fill="auto"/>
            <w:vAlign w:val="center"/>
          </w:tcPr>
          <w:p w14:paraId="65B1AD16" w14:textId="77777777" w:rsidR="004B3B82" w:rsidRPr="004C0B2B" w:rsidRDefault="004B3B82" w:rsidP="00CD3B05">
            <w:pPr>
              <w:jc w:val="center"/>
              <w:rPr>
                <w:rFonts w:ascii="Garamond" w:hAnsi="Garamond"/>
                <w:b/>
                <w:sz w:val="22"/>
                <w:szCs w:val="22"/>
                <w:lang w:eastAsia="en-US"/>
              </w:rPr>
            </w:pPr>
          </w:p>
        </w:tc>
        <w:tc>
          <w:tcPr>
            <w:tcW w:w="3556" w:type="dxa"/>
            <w:shd w:val="clear" w:color="auto" w:fill="auto"/>
            <w:vAlign w:val="center"/>
          </w:tcPr>
          <w:p w14:paraId="6C4A24E4" w14:textId="77777777" w:rsidR="004B3B82" w:rsidRPr="004C0B2B" w:rsidRDefault="004B3B82" w:rsidP="00CD3B05">
            <w:pPr>
              <w:jc w:val="center"/>
              <w:rPr>
                <w:rFonts w:ascii="Garamond" w:hAnsi="Garamond"/>
                <w:i/>
                <w:sz w:val="22"/>
                <w:szCs w:val="22"/>
                <w:lang w:eastAsia="en-US"/>
              </w:rPr>
            </w:pPr>
          </w:p>
        </w:tc>
        <w:tc>
          <w:tcPr>
            <w:tcW w:w="3223" w:type="dxa"/>
            <w:tcBorders>
              <w:bottom w:val="single" w:sz="4" w:space="0" w:color="auto"/>
            </w:tcBorders>
            <w:shd w:val="clear" w:color="auto" w:fill="auto"/>
            <w:vAlign w:val="center"/>
          </w:tcPr>
          <w:p w14:paraId="7376415A" w14:textId="77777777" w:rsidR="004B3B82" w:rsidRPr="004C0B2B" w:rsidRDefault="004B3B82" w:rsidP="00CD3B05">
            <w:pPr>
              <w:jc w:val="center"/>
              <w:rPr>
                <w:rFonts w:ascii="Garamond" w:hAnsi="Garamond"/>
                <w:b/>
                <w:sz w:val="22"/>
                <w:szCs w:val="22"/>
                <w:lang w:eastAsia="en-US"/>
              </w:rPr>
            </w:pPr>
          </w:p>
        </w:tc>
      </w:tr>
      <w:tr w:rsidR="004B3B82" w:rsidRPr="004C0B2B" w14:paraId="4C7E4873" w14:textId="77777777" w:rsidTr="00CD3B05">
        <w:trPr>
          <w:trHeight w:val="665"/>
        </w:trPr>
        <w:tc>
          <w:tcPr>
            <w:tcW w:w="3224" w:type="dxa"/>
            <w:tcBorders>
              <w:top w:val="single" w:sz="4" w:space="0" w:color="auto"/>
            </w:tcBorders>
            <w:shd w:val="clear" w:color="auto" w:fill="auto"/>
            <w:vAlign w:val="center"/>
          </w:tcPr>
          <w:p w14:paraId="53B98495" w14:textId="77777777" w:rsidR="004B3B82" w:rsidRPr="004C0B2B" w:rsidRDefault="004B3B82" w:rsidP="00CD3B05">
            <w:pPr>
              <w:jc w:val="center"/>
              <w:rPr>
                <w:rFonts w:ascii="Garamond" w:hAnsi="Garamond"/>
                <w:i/>
                <w:sz w:val="18"/>
                <w:szCs w:val="18"/>
                <w:lang w:eastAsia="en-US"/>
              </w:rPr>
            </w:pPr>
            <w:r w:rsidRPr="004C0B2B">
              <w:rPr>
                <w:rFonts w:ascii="Garamond" w:hAnsi="Garamond"/>
                <w:i/>
                <w:sz w:val="18"/>
                <w:szCs w:val="18"/>
                <w:lang w:eastAsia="en-US"/>
              </w:rPr>
              <w:t>(должность руководителя)</w:t>
            </w:r>
          </w:p>
        </w:tc>
        <w:tc>
          <w:tcPr>
            <w:tcW w:w="3556" w:type="dxa"/>
            <w:shd w:val="clear" w:color="auto" w:fill="auto"/>
            <w:vAlign w:val="center"/>
          </w:tcPr>
          <w:p w14:paraId="0F2020B3" w14:textId="77777777" w:rsidR="004B3B82" w:rsidRPr="004C0B2B" w:rsidRDefault="004B3B82" w:rsidP="00CD3B05">
            <w:pPr>
              <w:jc w:val="center"/>
              <w:rPr>
                <w:rFonts w:ascii="Garamond" w:hAnsi="Garamond"/>
                <w:i/>
                <w:sz w:val="18"/>
                <w:szCs w:val="18"/>
                <w:lang w:eastAsia="en-US"/>
              </w:rPr>
            </w:pPr>
          </w:p>
        </w:tc>
        <w:tc>
          <w:tcPr>
            <w:tcW w:w="3223" w:type="dxa"/>
            <w:tcBorders>
              <w:top w:val="single" w:sz="4" w:space="0" w:color="auto"/>
            </w:tcBorders>
            <w:shd w:val="clear" w:color="auto" w:fill="auto"/>
            <w:vAlign w:val="center"/>
          </w:tcPr>
          <w:p w14:paraId="5E931AF6" w14:textId="77777777" w:rsidR="004B3B82" w:rsidRPr="004C0B2B" w:rsidRDefault="004B3B82" w:rsidP="00CD3B05">
            <w:pPr>
              <w:jc w:val="center"/>
              <w:rPr>
                <w:rFonts w:ascii="Garamond" w:hAnsi="Garamond"/>
                <w:i/>
                <w:sz w:val="18"/>
                <w:szCs w:val="18"/>
                <w:lang w:eastAsia="en-US"/>
              </w:rPr>
            </w:pPr>
            <w:r w:rsidRPr="004C0B2B">
              <w:rPr>
                <w:rFonts w:ascii="Garamond" w:hAnsi="Garamond"/>
                <w:i/>
                <w:sz w:val="18"/>
                <w:szCs w:val="18"/>
                <w:lang w:eastAsia="en-US"/>
              </w:rPr>
              <w:t>(Ф. И. О.)</w:t>
            </w:r>
          </w:p>
        </w:tc>
      </w:tr>
    </w:tbl>
    <w:p w14:paraId="23AE5200" w14:textId="77777777" w:rsidR="004B3B82" w:rsidRPr="004C0B2B" w:rsidRDefault="004B3B82" w:rsidP="00101F7C">
      <w:pPr>
        <w:jc w:val="both"/>
        <w:rPr>
          <w:rFonts w:ascii="Garamond" w:hAnsi="Garamond"/>
          <w:b/>
          <w:bCs/>
          <w:lang w:eastAsia="en-US"/>
        </w:rPr>
      </w:pPr>
    </w:p>
    <w:p w14:paraId="718C84E4" w14:textId="77777777" w:rsidR="004B3B82" w:rsidRPr="004C0B2B" w:rsidRDefault="004B3B82" w:rsidP="00101F7C">
      <w:pPr>
        <w:spacing w:after="160"/>
        <w:jc w:val="both"/>
        <w:rPr>
          <w:rFonts w:ascii="Garamond" w:hAnsi="Garamond"/>
          <w:b/>
          <w:bCs/>
          <w:lang w:eastAsia="en-US"/>
        </w:rPr>
      </w:pPr>
      <w:r w:rsidRPr="004C0B2B">
        <w:rPr>
          <w:rFonts w:ascii="Garamond" w:hAnsi="Garamond"/>
          <w:b/>
          <w:bCs/>
          <w:lang w:eastAsia="en-US"/>
        </w:rPr>
        <w:t>Примечания.</w:t>
      </w:r>
    </w:p>
    <w:p w14:paraId="36D31631" w14:textId="77777777" w:rsidR="004B3B82" w:rsidRPr="004C0B2B" w:rsidRDefault="004B3B82" w:rsidP="00101F7C">
      <w:pPr>
        <w:spacing w:after="160" w:line="259" w:lineRule="auto"/>
        <w:ind w:left="284"/>
        <w:jc w:val="both"/>
        <w:rPr>
          <w:rFonts w:ascii="Garamond" w:hAnsi="Garamond"/>
        </w:rPr>
      </w:pPr>
      <w:r w:rsidRPr="004C0B2B">
        <w:rPr>
          <w:rFonts w:ascii="Garamond" w:hAnsi="Garamond"/>
        </w:rPr>
        <w:t xml:space="preserve">Заявление предоставляется по каждой ГТП генерации или сечению коммерческого учета. </w:t>
      </w:r>
    </w:p>
    <w:p w14:paraId="5B0716EA" w14:textId="77777777" w:rsidR="004B3B82" w:rsidRPr="004C0B2B" w:rsidRDefault="004B3B82" w:rsidP="004B3B82">
      <w:pPr>
        <w:numPr>
          <w:ilvl w:val="0"/>
          <w:numId w:val="123"/>
        </w:numPr>
        <w:suppressAutoHyphens w:val="0"/>
        <w:spacing w:after="160" w:line="259" w:lineRule="auto"/>
        <w:jc w:val="both"/>
        <w:rPr>
          <w:rFonts w:ascii="Garamond" w:hAnsi="Garamond"/>
          <w:lang w:eastAsia="en-US"/>
        </w:rPr>
      </w:pPr>
      <w:r w:rsidRPr="004C0B2B">
        <w:rPr>
          <w:rFonts w:ascii="Garamond" w:hAnsi="Garamond"/>
          <w:lang w:eastAsia="en-US"/>
        </w:rPr>
        <w:t xml:space="preserve">Указать наименование и буквенный код сечения </w:t>
      </w:r>
      <w:r w:rsidRPr="004C0B2B">
        <w:rPr>
          <w:rFonts w:ascii="Garamond" w:hAnsi="Garamond"/>
        </w:rPr>
        <w:t>коммерческого учета или ГТП генерации, например:</w:t>
      </w:r>
    </w:p>
    <w:p w14:paraId="3A06E2EE" w14:textId="77777777" w:rsidR="004B3B82" w:rsidRPr="004C0B2B" w:rsidRDefault="004B3B82" w:rsidP="00101F7C">
      <w:pPr>
        <w:spacing w:after="160" w:line="259" w:lineRule="auto"/>
        <w:ind w:left="284"/>
        <w:jc w:val="both"/>
        <w:rPr>
          <w:rFonts w:ascii="Garamond" w:hAnsi="Garamond"/>
          <w:lang w:eastAsia="en-US"/>
        </w:rPr>
      </w:pPr>
      <w:r w:rsidRPr="004C0B2B">
        <w:rPr>
          <w:rFonts w:ascii="Garamond" w:hAnsi="Garamond"/>
          <w:lang w:eastAsia="en-US"/>
        </w:rPr>
        <w:t>ЗАО «СбыТ» (ОАО «Уралсталь») – ОАО «Энергосбыт Север» (ОАО «Северскэнергосбыт») (P</w:t>
      </w:r>
      <w:r w:rsidRPr="004C0B2B">
        <w:rPr>
          <w:rFonts w:ascii="Garamond" w:hAnsi="Garamond"/>
          <w:lang w:val="en-US" w:eastAsia="en-US"/>
        </w:rPr>
        <w:t>SFIEN</w:t>
      </w:r>
      <w:r w:rsidRPr="004C0B2B">
        <w:rPr>
          <w:rFonts w:ascii="Garamond" w:hAnsi="Garamond"/>
          <w:lang w:eastAsia="en-US"/>
        </w:rPr>
        <w:t>27-PS</w:t>
      </w:r>
      <w:r w:rsidRPr="004C0B2B">
        <w:rPr>
          <w:rFonts w:ascii="Garamond" w:hAnsi="Garamond"/>
          <w:lang w:val="en-US" w:eastAsia="en-US"/>
        </w:rPr>
        <w:t>S</w:t>
      </w:r>
      <w:r w:rsidRPr="004C0B2B">
        <w:rPr>
          <w:rFonts w:ascii="Garamond" w:hAnsi="Garamond"/>
          <w:lang w:eastAsia="en-US"/>
        </w:rPr>
        <w:t>ERDLE);</w:t>
      </w:r>
    </w:p>
    <w:p w14:paraId="353C88B9" w14:textId="5A7D392D" w:rsidR="004B3B82" w:rsidRPr="004C0B2B" w:rsidRDefault="004B3B82" w:rsidP="00101F7C">
      <w:pPr>
        <w:spacing w:after="160" w:line="259" w:lineRule="auto"/>
        <w:ind w:left="284"/>
        <w:jc w:val="both"/>
        <w:rPr>
          <w:rFonts w:ascii="Garamond" w:hAnsi="Garamond"/>
          <w:lang w:eastAsia="en-US"/>
        </w:rPr>
      </w:pPr>
      <w:r w:rsidRPr="004C0B2B">
        <w:rPr>
          <w:rFonts w:ascii="Garamond" w:hAnsi="Garamond"/>
          <w:lang w:eastAsia="en-US"/>
        </w:rPr>
        <w:t>ПАО «Россети» (МЭС Северо-Запада (по сетям Республики Коми)) – ОАО «Энергосбыт Север»                                             (ОАО «Северскэнергосбыт») (FKOMIENE-PS</w:t>
      </w:r>
      <w:r w:rsidRPr="004C0B2B">
        <w:rPr>
          <w:rFonts w:ascii="Garamond" w:hAnsi="Garamond"/>
          <w:lang w:val="en-US" w:eastAsia="en-US"/>
        </w:rPr>
        <w:t>S</w:t>
      </w:r>
      <w:r w:rsidRPr="004C0B2B">
        <w:rPr>
          <w:rFonts w:ascii="Garamond" w:hAnsi="Garamond"/>
          <w:lang w:eastAsia="en-US"/>
        </w:rPr>
        <w:t>ERDLE);</w:t>
      </w:r>
    </w:p>
    <w:p w14:paraId="6E55E6E3" w14:textId="77777777" w:rsidR="004B3B82" w:rsidRPr="004C0B2B" w:rsidRDefault="004B3B82" w:rsidP="00101F7C">
      <w:pPr>
        <w:spacing w:after="160" w:line="259" w:lineRule="auto"/>
        <w:ind w:left="284"/>
        <w:jc w:val="both"/>
        <w:rPr>
          <w:rFonts w:ascii="Garamond" w:hAnsi="Garamond"/>
          <w:lang w:eastAsia="en-US"/>
        </w:rPr>
      </w:pPr>
      <w:r w:rsidRPr="004C0B2B">
        <w:rPr>
          <w:rFonts w:ascii="Garamond" w:hAnsi="Garamond"/>
          <w:lang w:eastAsia="en-US"/>
        </w:rPr>
        <w:t>АО «Генерация» (Первая ТЭЦ) (</w:t>
      </w:r>
      <w:r w:rsidRPr="004C0B2B">
        <w:rPr>
          <w:rFonts w:ascii="Garamond" w:hAnsi="Garamond"/>
          <w:lang w:val="en-US" w:eastAsia="en-US"/>
        </w:rPr>
        <w:t>GOMSKE</w:t>
      </w:r>
      <w:r w:rsidRPr="004C0B2B">
        <w:rPr>
          <w:rFonts w:ascii="Garamond" w:hAnsi="Garamond"/>
          <w:lang w:eastAsia="en-US"/>
        </w:rPr>
        <w:t>17).</w:t>
      </w:r>
    </w:p>
    <w:p w14:paraId="70878FD1" w14:textId="77777777" w:rsidR="004B3B82" w:rsidRPr="004C0B2B" w:rsidRDefault="004B3B82" w:rsidP="004B3B82">
      <w:pPr>
        <w:pStyle w:val="ac"/>
        <w:numPr>
          <w:ilvl w:val="0"/>
          <w:numId w:val="123"/>
        </w:numPr>
        <w:spacing w:after="160" w:line="259" w:lineRule="auto"/>
        <w:ind w:left="284" w:hanging="284"/>
        <w:rPr>
          <w:rFonts w:ascii="Garamond" w:hAnsi="Garamond"/>
        </w:rPr>
      </w:pPr>
      <w:r w:rsidRPr="004C0B2B">
        <w:rPr>
          <w:rFonts w:ascii="Garamond" w:hAnsi="Garamond"/>
        </w:rPr>
        <w:t>В качестве основания указывается:</w:t>
      </w:r>
    </w:p>
    <w:p w14:paraId="1BA540C9" w14:textId="77777777" w:rsidR="004B3B82" w:rsidRPr="004C0B2B" w:rsidRDefault="004B3B82" w:rsidP="004B3B82">
      <w:pPr>
        <w:pStyle w:val="ac"/>
        <w:numPr>
          <w:ilvl w:val="1"/>
          <w:numId w:val="123"/>
        </w:numPr>
        <w:autoSpaceDE w:val="0"/>
        <w:autoSpaceDN w:val="0"/>
        <w:spacing w:after="160" w:line="259" w:lineRule="auto"/>
        <w:ind w:left="709" w:hanging="425"/>
        <w:jc w:val="both"/>
        <w:rPr>
          <w:rFonts w:ascii="Garamond" w:hAnsi="Garamond"/>
        </w:rPr>
      </w:pPr>
      <w:r w:rsidRPr="004C0B2B">
        <w:rPr>
          <w:rFonts w:ascii="Garamond" w:hAnsi="Garamond"/>
        </w:rPr>
        <w:t>Новое сечение КУ / ГТП генерации в соответствии с комплектом документов, представленных в КО с заявлением по форме 3, 3Б, 3В, 4А, 4Б приложения 1 к Положению о реестре</w:t>
      </w:r>
      <w:r w:rsidRPr="004C0B2B">
        <w:t xml:space="preserve"> </w:t>
      </w:r>
      <w:r w:rsidRPr="004C0B2B">
        <w:rPr>
          <w:rFonts w:ascii="Garamond" w:hAnsi="Garamond"/>
        </w:rPr>
        <w:t>(выбрать нужное) вх. № ____ от ____ и заявлением по форме 4В приложения 1 к Положению о реестре</w:t>
      </w:r>
      <w:r w:rsidRPr="004C0B2B">
        <w:t xml:space="preserve"> </w:t>
      </w:r>
      <w:r w:rsidRPr="004C0B2B">
        <w:rPr>
          <w:rFonts w:ascii="Garamond" w:hAnsi="Garamond"/>
        </w:rPr>
        <w:t>вх. № _________ от __________ (указывается в случае предоставления в составе документов ответной квитанции (макет 60001)).</w:t>
      </w:r>
    </w:p>
    <w:p w14:paraId="2DB31C3D" w14:textId="77777777" w:rsidR="004B3B82" w:rsidRPr="004C0B2B" w:rsidRDefault="004B3B82" w:rsidP="004B3B82">
      <w:pPr>
        <w:pStyle w:val="ac"/>
        <w:numPr>
          <w:ilvl w:val="1"/>
          <w:numId w:val="123"/>
        </w:numPr>
        <w:autoSpaceDE w:val="0"/>
        <w:autoSpaceDN w:val="0"/>
        <w:spacing w:after="160" w:line="259" w:lineRule="auto"/>
        <w:ind w:left="709" w:hanging="425"/>
        <w:jc w:val="both"/>
        <w:rPr>
          <w:rFonts w:ascii="Garamond" w:hAnsi="Garamond"/>
        </w:rPr>
      </w:pPr>
      <w:r w:rsidRPr="004C0B2B">
        <w:rPr>
          <w:rFonts w:ascii="Garamond" w:hAnsi="Garamond"/>
        </w:rPr>
        <w:t>Сечение КУ / ГТП генерации с изменением ТП в соответствии с комплектом документов, представленных в КО с заявлением по форме 3, 4А, 4Б приложения 1 к Положению о реестре</w:t>
      </w:r>
      <w:r w:rsidRPr="004C0B2B">
        <w:t xml:space="preserve"> </w:t>
      </w:r>
      <w:r w:rsidRPr="004C0B2B">
        <w:rPr>
          <w:rFonts w:ascii="Garamond" w:hAnsi="Garamond"/>
        </w:rPr>
        <w:t>(выбрать нужное) вх. № ____ от ____ и заявлением по форме 4В приложения 1 к Положению о реестре</w:t>
      </w:r>
      <w:r w:rsidRPr="004C0B2B">
        <w:t xml:space="preserve"> </w:t>
      </w:r>
      <w:r w:rsidRPr="004C0B2B">
        <w:rPr>
          <w:rFonts w:ascii="Garamond" w:hAnsi="Garamond"/>
        </w:rPr>
        <w:t>вх. № _________ от __________ (указывается в случае предоставления в составе документов ответной квитанции (макет 60001)).</w:t>
      </w:r>
    </w:p>
    <w:p w14:paraId="4B4F12FF" w14:textId="77777777" w:rsidR="004B3B82" w:rsidRPr="004C0B2B" w:rsidRDefault="004B3B82" w:rsidP="004B3B82">
      <w:pPr>
        <w:pStyle w:val="ac"/>
        <w:numPr>
          <w:ilvl w:val="1"/>
          <w:numId w:val="123"/>
        </w:numPr>
        <w:autoSpaceDE w:val="0"/>
        <w:autoSpaceDN w:val="0"/>
        <w:spacing w:after="160" w:line="259" w:lineRule="auto"/>
        <w:ind w:left="709" w:hanging="425"/>
        <w:jc w:val="both"/>
        <w:rPr>
          <w:rFonts w:ascii="Garamond" w:hAnsi="Garamond"/>
        </w:rPr>
      </w:pPr>
      <w:r w:rsidRPr="004C0B2B">
        <w:rPr>
          <w:rFonts w:ascii="Garamond" w:hAnsi="Garamond"/>
        </w:rPr>
        <w:t>Сечение КУ / ГТП генерации без изменения ТП в соответствии с комплектом документов, представленных в КО с заявлением по форме 3, 4В приложения 1 к Положению о реестре</w:t>
      </w:r>
      <w:r w:rsidRPr="004C0B2B">
        <w:t xml:space="preserve"> </w:t>
      </w:r>
      <w:r w:rsidRPr="004C0B2B">
        <w:rPr>
          <w:rFonts w:ascii="Garamond" w:hAnsi="Garamond"/>
        </w:rPr>
        <w:t xml:space="preserve">вх. № ____ от ____ (при наличии в составе документов ответной квитанции (макет 60001)). </w:t>
      </w:r>
    </w:p>
    <w:p w14:paraId="33989B60" w14:textId="77777777" w:rsidR="004B3B82" w:rsidRPr="004C0B2B" w:rsidRDefault="004B3B82" w:rsidP="004B3B82">
      <w:pPr>
        <w:pStyle w:val="ac"/>
        <w:numPr>
          <w:ilvl w:val="1"/>
          <w:numId w:val="123"/>
        </w:numPr>
        <w:autoSpaceDE w:val="0"/>
        <w:autoSpaceDN w:val="0"/>
        <w:spacing w:after="160" w:line="259" w:lineRule="auto"/>
        <w:ind w:left="709" w:hanging="425"/>
        <w:jc w:val="both"/>
        <w:rPr>
          <w:rFonts w:ascii="Garamond" w:hAnsi="Garamond"/>
        </w:rPr>
      </w:pPr>
      <w:r w:rsidRPr="004C0B2B">
        <w:rPr>
          <w:rFonts w:ascii="Garamond" w:eastAsia="Calibri" w:hAnsi="Garamond"/>
        </w:rPr>
        <w:t>Действующий состав точек поставки и точек измерений подтвержден</w:t>
      </w:r>
      <w:r w:rsidRPr="004C0B2B">
        <w:rPr>
          <w:rFonts w:ascii="Garamond" w:hAnsi="Garamond"/>
        </w:rPr>
        <w:t xml:space="preserve"> действующим ПСИ № ____ от ____ (</w:t>
      </w:r>
      <w:r w:rsidRPr="004C0B2B">
        <w:rPr>
          <w:rFonts w:ascii="Garamond" w:eastAsia="Calibri" w:hAnsi="Garamond"/>
        </w:rPr>
        <w:t xml:space="preserve">для случаев выполнения требований пп. 2.6.9, 4.2.3, 4.2.5, 4.4.1 Положения о реестре необходимо указать реквизиты ПСИ, представленного с заявлением по форме 19.4 </w:t>
      </w:r>
      <w:r w:rsidRPr="004C0B2B">
        <w:rPr>
          <w:rFonts w:ascii="Garamond" w:hAnsi="Garamond"/>
        </w:rPr>
        <w:t>приложения 1 к Положению о реестре).</w:t>
      </w:r>
    </w:p>
    <w:p w14:paraId="49BEF77C" w14:textId="346CB467" w:rsidR="00BB5F2A" w:rsidRPr="00BB5F2A" w:rsidRDefault="00BB5F2A">
      <w:pPr>
        <w:pStyle w:val="ac"/>
        <w:numPr>
          <w:ilvl w:val="1"/>
          <w:numId w:val="123"/>
        </w:numPr>
        <w:autoSpaceDE w:val="0"/>
        <w:autoSpaceDN w:val="0"/>
        <w:spacing w:after="160" w:line="259" w:lineRule="auto"/>
        <w:ind w:left="709" w:hanging="425"/>
        <w:jc w:val="both"/>
        <w:rPr>
          <w:rFonts w:ascii="Garamond" w:hAnsi="Garamond"/>
          <w:highlight w:val="yellow"/>
        </w:rPr>
      </w:pPr>
      <w:r w:rsidRPr="00BB5F2A">
        <w:rPr>
          <w:rFonts w:ascii="Garamond" w:hAnsi="Garamond"/>
          <w:highlight w:val="yellow"/>
        </w:rPr>
        <w:t xml:space="preserve">Действующий с даты </w:t>
      </w:r>
      <w:r w:rsidRPr="00E81C69">
        <w:rPr>
          <w:rFonts w:ascii="Garamond" w:hAnsi="Garamond"/>
          <w:highlight w:val="yellow"/>
        </w:rPr>
        <w:t>_______</w:t>
      </w:r>
      <w:r w:rsidR="006E6A56">
        <w:rPr>
          <w:rFonts w:ascii="Garamond" w:hAnsi="Garamond"/>
          <w:highlight w:val="yellow"/>
        </w:rPr>
        <w:t xml:space="preserve"> </w:t>
      </w:r>
      <w:r w:rsidRPr="00E81C69">
        <w:rPr>
          <w:rFonts w:ascii="Garamond" w:hAnsi="Garamond"/>
          <w:highlight w:val="yellow"/>
        </w:rPr>
        <w:t>(указать дату введения ПСИ в действие) состав точек поставки и точек измерений подтвержден ПСИ № ____ от ____ (</w:t>
      </w:r>
      <w:r w:rsidRPr="00E81C69">
        <w:rPr>
          <w:rFonts w:ascii="Garamond" w:eastAsia="Calibri" w:hAnsi="Garamond"/>
          <w:highlight w:val="yellow"/>
        </w:rPr>
        <w:t xml:space="preserve">указать ПСИ </w:t>
      </w:r>
      <w:r w:rsidRPr="00E81C69">
        <w:rPr>
          <w:rFonts w:ascii="Garamond" w:hAnsi="Garamond"/>
          <w:highlight w:val="yellow"/>
        </w:rPr>
        <w:t>из уведомления КО</w:t>
      </w:r>
      <w:r w:rsidRPr="00E81C69">
        <w:rPr>
          <w:rFonts w:ascii="Garamond" w:eastAsia="Calibri" w:hAnsi="Garamond"/>
          <w:highlight w:val="yellow"/>
        </w:rPr>
        <w:t xml:space="preserve"> о предоставлении права участия или о введении соответствующего ПСИ в действие).</w:t>
      </w:r>
    </w:p>
    <w:p w14:paraId="008D8A72" w14:textId="77777777" w:rsidR="004B3B82" w:rsidRPr="004C0B2B" w:rsidRDefault="004B3B82" w:rsidP="004B3B82">
      <w:pPr>
        <w:pStyle w:val="ac"/>
        <w:numPr>
          <w:ilvl w:val="0"/>
          <w:numId w:val="123"/>
        </w:numPr>
        <w:spacing w:after="160" w:line="259" w:lineRule="auto"/>
        <w:ind w:left="284" w:hanging="284"/>
        <w:rPr>
          <w:rFonts w:ascii="Garamond" w:hAnsi="Garamond"/>
        </w:rPr>
      </w:pPr>
      <w:r w:rsidRPr="004C0B2B">
        <w:rPr>
          <w:rFonts w:ascii="Garamond" w:hAnsi="Garamond"/>
        </w:rPr>
        <w:t>В случае отсутствия возможности использования программного обеспечения из перечня ПО указывается мотивированное объяснение.</w:t>
      </w:r>
    </w:p>
    <w:p w14:paraId="5104DF5A" w14:textId="77777777" w:rsidR="004B3B82" w:rsidRPr="004C0B2B" w:rsidRDefault="004B3B82" w:rsidP="00101F7C">
      <w:pPr>
        <w:spacing w:after="160" w:line="259" w:lineRule="auto"/>
        <w:jc w:val="both"/>
        <w:rPr>
          <w:rFonts w:ascii="Garamond" w:hAnsi="Garamond"/>
          <w:sz w:val="22"/>
          <w:szCs w:val="22"/>
        </w:rPr>
      </w:pPr>
    </w:p>
    <w:p w14:paraId="42F9526B" w14:textId="77777777" w:rsidR="004B3B82" w:rsidRPr="004C0B2B" w:rsidRDefault="004B3B82" w:rsidP="00101F7C">
      <w:pPr>
        <w:tabs>
          <w:tab w:val="left" w:pos="1320"/>
        </w:tabs>
        <w:autoSpaceDE w:val="0"/>
        <w:autoSpaceDN w:val="0"/>
        <w:spacing w:before="120" w:after="120"/>
        <w:jc w:val="center"/>
        <w:rPr>
          <w:rFonts w:ascii="Garamond" w:hAnsi="Garamond"/>
          <w:b/>
          <w:sz w:val="22"/>
          <w:szCs w:val="22"/>
        </w:rPr>
      </w:pPr>
      <w:r w:rsidRPr="004C0B2B">
        <w:rPr>
          <w:rFonts w:ascii="Garamond" w:hAnsi="Garamond"/>
          <w:b/>
          <w:sz w:val="22"/>
          <w:szCs w:val="22"/>
        </w:rPr>
        <w:br w:type="page"/>
      </w:r>
    </w:p>
    <w:p w14:paraId="71DBA630" w14:textId="77777777" w:rsidR="004B3B82" w:rsidRPr="004C0B2B" w:rsidRDefault="004B3B82" w:rsidP="00101F7C">
      <w:pPr>
        <w:tabs>
          <w:tab w:val="left" w:pos="1320"/>
        </w:tabs>
        <w:autoSpaceDE w:val="0"/>
        <w:autoSpaceDN w:val="0"/>
        <w:spacing w:before="120" w:after="120"/>
        <w:rPr>
          <w:rFonts w:ascii="Garamond" w:hAnsi="Garamond"/>
          <w:b/>
          <w:sz w:val="22"/>
          <w:szCs w:val="22"/>
        </w:rPr>
      </w:pPr>
      <w:r w:rsidRPr="004C0B2B">
        <w:rPr>
          <w:rFonts w:ascii="Garamond" w:hAnsi="Garamond"/>
          <w:b/>
          <w:sz w:val="22"/>
          <w:szCs w:val="22"/>
        </w:rPr>
        <w:lastRenderedPageBreak/>
        <w:t>Действующая редакция</w:t>
      </w:r>
    </w:p>
    <w:p w14:paraId="12837F0B" w14:textId="77777777" w:rsidR="004B3B82" w:rsidRPr="004C0B2B" w:rsidRDefault="004B3B82" w:rsidP="00101F7C">
      <w:pPr>
        <w:tabs>
          <w:tab w:val="left" w:pos="1320"/>
        </w:tabs>
        <w:autoSpaceDE w:val="0"/>
        <w:autoSpaceDN w:val="0"/>
        <w:spacing w:before="120" w:after="120"/>
        <w:jc w:val="center"/>
        <w:rPr>
          <w:rFonts w:ascii="Garamond" w:hAnsi="Garamond"/>
          <w:b/>
          <w:sz w:val="22"/>
          <w:szCs w:val="22"/>
        </w:rPr>
      </w:pPr>
      <w:r w:rsidRPr="004C0B2B">
        <w:rPr>
          <w:rFonts w:ascii="Garamond" w:hAnsi="Garamond"/>
          <w:b/>
          <w:sz w:val="22"/>
          <w:szCs w:val="22"/>
        </w:rPr>
        <w:t>Форма 1В</w:t>
      </w:r>
    </w:p>
    <w:p w14:paraId="59AD895C" w14:textId="77777777" w:rsidR="004B3B82" w:rsidRPr="004C0B2B" w:rsidRDefault="004B3B82" w:rsidP="00101F7C">
      <w:pPr>
        <w:widowControl w:val="0"/>
        <w:autoSpaceDE w:val="0"/>
        <w:autoSpaceDN w:val="0"/>
        <w:jc w:val="both"/>
        <w:rPr>
          <w:rFonts w:ascii="Garamond" w:hAnsi="Garamond"/>
          <w:sz w:val="22"/>
          <w:szCs w:val="22"/>
        </w:rPr>
      </w:pPr>
      <w:r w:rsidRPr="004C0B2B">
        <w:rPr>
          <w:rFonts w:ascii="Garamond" w:hAnsi="Garamond"/>
          <w:sz w:val="22"/>
          <w:szCs w:val="22"/>
        </w:rPr>
        <w:t>(на бланке заявителя)</w:t>
      </w:r>
    </w:p>
    <w:p w14:paraId="717B6962" w14:textId="77777777" w:rsidR="004B3B82" w:rsidRPr="004C0B2B" w:rsidRDefault="004B3B82" w:rsidP="00101F7C">
      <w:pPr>
        <w:ind w:left="7371" w:right="-428"/>
        <w:jc w:val="both"/>
        <w:rPr>
          <w:lang w:eastAsia="en-US"/>
        </w:rPr>
      </w:pPr>
      <w:r w:rsidRPr="004C0B2B">
        <w:tab/>
      </w:r>
      <w:r w:rsidRPr="004C0B2B">
        <w:tab/>
      </w:r>
      <w:r w:rsidRPr="004C0B2B">
        <w:tab/>
      </w:r>
      <w:r w:rsidRPr="004C0B2B">
        <w:tab/>
      </w:r>
      <w:r w:rsidRPr="004C0B2B">
        <w:tab/>
      </w:r>
      <w:r w:rsidRPr="004C0B2B">
        <w:tab/>
      </w:r>
      <w:r w:rsidRPr="004C0B2B">
        <w:rPr>
          <w:rFonts w:ascii="Garamond" w:hAnsi="Garamond"/>
          <w:b/>
          <w:sz w:val="22"/>
          <w:szCs w:val="22"/>
          <w:lang w:eastAsia="en-US"/>
        </w:rPr>
        <w:t>Председателю Правления</w:t>
      </w:r>
    </w:p>
    <w:p w14:paraId="2686C213" w14:textId="77777777" w:rsidR="004B3B82" w:rsidRPr="004C0B2B" w:rsidRDefault="004B3B82" w:rsidP="00101F7C">
      <w:pPr>
        <w:ind w:left="7371" w:right="-428"/>
        <w:jc w:val="both"/>
        <w:rPr>
          <w:rFonts w:ascii="Garamond" w:hAnsi="Garamond"/>
          <w:b/>
          <w:sz w:val="22"/>
          <w:szCs w:val="22"/>
          <w:lang w:eastAsia="en-US"/>
        </w:rPr>
      </w:pPr>
      <w:r w:rsidRPr="004C0B2B">
        <w:rPr>
          <w:rFonts w:ascii="Garamond" w:hAnsi="Garamond"/>
          <w:b/>
          <w:sz w:val="22"/>
          <w:szCs w:val="22"/>
          <w:lang w:eastAsia="en-US"/>
        </w:rPr>
        <w:t>АО «АТС»</w:t>
      </w:r>
    </w:p>
    <w:p w14:paraId="1AD014EB" w14:textId="77777777" w:rsidR="004B3B82" w:rsidRPr="004C0B2B" w:rsidRDefault="004B3B82" w:rsidP="00101F7C">
      <w:pPr>
        <w:jc w:val="both"/>
        <w:rPr>
          <w:rFonts w:ascii="Garamond" w:hAnsi="Garamond"/>
          <w:sz w:val="22"/>
          <w:szCs w:val="22"/>
          <w:lang w:eastAsia="en-US"/>
        </w:rPr>
      </w:pPr>
      <w:r w:rsidRPr="004C0B2B">
        <w:rPr>
          <w:rFonts w:ascii="Garamond" w:hAnsi="Garamond"/>
          <w:sz w:val="22"/>
          <w:szCs w:val="22"/>
          <w:lang w:eastAsia="en-US"/>
        </w:rPr>
        <w:t>№ _____________________</w:t>
      </w:r>
    </w:p>
    <w:p w14:paraId="3BBF2FD2" w14:textId="77777777" w:rsidR="004B3B82" w:rsidRPr="004C0B2B" w:rsidRDefault="004B3B82" w:rsidP="00101F7C">
      <w:pPr>
        <w:jc w:val="both"/>
        <w:rPr>
          <w:rFonts w:ascii="Garamond" w:hAnsi="Garamond"/>
          <w:sz w:val="22"/>
          <w:szCs w:val="22"/>
          <w:lang w:eastAsia="en-US"/>
        </w:rPr>
      </w:pPr>
      <w:r w:rsidRPr="004C0B2B">
        <w:rPr>
          <w:rFonts w:ascii="Garamond" w:hAnsi="Garamond"/>
          <w:sz w:val="22"/>
          <w:szCs w:val="22"/>
          <w:lang w:eastAsia="en-US"/>
        </w:rPr>
        <w:t>«___» ___________ 20 ___ г.</w:t>
      </w:r>
    </w:p>
    <w:p w14:paraId="309A6AD3" w14:textId="77777777" w:rsidR="004B3B82" w:rsidRPr="004C0B2B" w:rsidRDefault="004B3B82" w:rsidP="00101F7C"/>
    <w:p w14:paraId="2F00EAD5" w14:textId="77777777" w:rsidR="004B3B82" w:rsidRPr="004C0B2B" w:rsidRDefault="004B3B82" w:rsidP="00101F7C">
      <w:pPr>
        <w:jc w:val="center"/>
        <w:rPr>
          <w:rFonts w:ascii="Garamond" w:hAnsi="Garamond"/>
          <w:b/>
          <w:sz w:val="22"/>
          <w:szCs w:val="22"/>
          <w:lang w:eastAsia="en-US"/>
        </w:rPr>
      </w:pPr>
      <w:r w:rsidRPr="004C0B2B">
        <w:rPr>
          <w:rFonts w:ascii="Garamond" w:hAnsi="Garamond"/>
          <w:b/>
          <w:sz w:val="22"/>
          <w:szCs w:val="22"/>
          <w:lang w:eastAsia="en-US"/>
        </w:rPr>
        <w:t>ЗАЯВЛЕНИЕ</w:t>
      </w:r>
    </w:p>
    <w:p w14:paraId="513DC079" w14:textId="77777777" w:rsidR="004B3B82" w:rsidRPr="004C0B2B" w:rsidRDefault="004B3B82" w:rsidP="00101F7C">
      <w:pPr>
        <w:ind w:right="-108"/>
        <w:jc w:val="center"/>
        <w:rPr>
          <w:rFonts w:ascii="Garamond" w:hAnsi="Garamond"/>
          <w:b/>
          <w:sz w:val="22"/>
          <w:szCs w:val="22"/>
          <w:lang w:eastAsia="en-US"/>
        </w:rPr>
      </w:pPr>
      <w:r w:rsidRPr="004C0B2B">
        <w:rPr>
          <w:rFonts w:ascii="Garamond" w:hAnsi="Garamond"/>
          <w:b/>
          <w:sz w:val="22"/>
          <w:szCs w:val="22"/>
          <w:lang w:eastAsia="en-US"/>
        </w:rPr>
        <w:t>об установлении соответствия системы коммерческого учета электрической энергии техническим требованиям оптового рынка электрической энергии и мощности</w:t>
      </w:r>
    </w:p>
    <w:p w14:paraId="490DCCA8" w14:textId="77777777" w:rsidR="004B3B82" w:rsidRPr="004C0B2B" w:rsidRDefault="004B3B82" w:rsidP="00101F7C"/>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4"/>
        <w:gridCol w:w="6946"/>
      </w:tblGrid>
      <w:tr w:rsidR="004B3B82" w:rsidRPr="004C0B2B" w14:paraId="3D5FC435" w14:textId="77777777" w:rsidTr="00CD3B05">
        <w:trPr>
          <w:trHeight w:val="421"/>
        </w:trPr>
        <w:tc>
          <w:tcPr>
            <w:tcW w:w="3114" w:type="dxa"/>
            <w:shd w:val="clear" w:color="auto" w:fill="D9D9D9"/>
            <w:vAlign w:val="center"/>
          </w:tcPr>
          <w:p w14:paraId="317115AF" w14:textId="77777777" w:rsidR="004B3B82" w:rsidRPr="004C0B2B" w:rsidRDefault="004B3B82" w:rsidP="00CD3B05">
            <w:pPr>
              <w:jc w:val="both"/>
              <w:rPr>
                <w:rFonts w:ascii="Garamond" w:hAnsi="Garamond"/>
                <w:sz w:val="22"/>
                <w:szCs w:val="22"/>
                <w:lang w:eastAsia="en-US"/>
              </w:rPr>
            </w:pPr>
            <w:r w:rsidRPr="004C0B2B">
              <w:rPr>
                <w:rFonts w:ascii="Garamond" w:hAnsi="Garamond"/>
                <w:sz w:val="22"/>
                <w:szCs w:val="22"/>
                <w:lang w:eastAsia="en-US"/>
              </w:rPr>
              <w:t>Полное наименование правопреемника</w:t>
            </w:r>
          </w:p>
        </w:tc>
        <w:tc>
          <w:tcPr>
            <w:tcW w:w="6946" w:type="dxa"/>
            <w:shd w:val="clear" w:color="auto" w:fill="auto"/>
            <w:vAlign w:val="center"/>
          </w:tcPr>
          <w:p w14:paraId="5A59AD72" w14:textId="77777777" w:rsidR="004B3B82" w:rsidRPr="004C0B2B" w:rsidRDefault="004B3B82" w:rsidP="00CD3B05">
            <w:pPr>
              <w:autoSpaceDE w:val="0"/>
              <w:autoSpaceDN w:val="0"/>
              <w:rPr>
                <w:rFonts w:ascii="Garamond" w:hAnsi="Garamond"/>
                <w:sz w:val="22"/>
                <w:szCs w:val="22"/>
                <w:lang w:eastAsia="en-US"/>
              </w:rPr>
            </w:pPr>
          </w:p>
        </w:tc>
      </w:tr>
      <w:tr w:rsidR="004B3B82" w:rsidRPr="004C0B2B" w14:paraId="44F901EC" w14:textId="77777777" w:rsidTr="00CD3B05">
        <w:trPr>
          <w:trHeight w:val="340"/>
        </w:trPr>
        <w:tc>
          <w:tcPr>
            <w:tcW w:w="3114" w:type="dxa"/>
            <w:shd w:val="clear" w:color="auto" w:fill="D9D9D9"/>
            <w:vAlign w:val="center"/>
          </w:tcPr>
          <w:p w14:paraId="1DF6FE45" w14:textId="77777777" w:rsidR="004B3B82" w:rsidRPr="004C0B2B" w:rsidRDefault="004B3B82" w:rsidP="00CD3B05">
            <w:pPr>
              <w:jc w:val="both"/>
              <w:rPr>
                <w:rFonts w:ascii="Garamond" w:hAnsi="Garamond"/>
                <w:sz w:val="22"/>
                <w:szCs w:val="22"/>
                <w:lang w:eastAsia="en-US"/>
              </w:rPr>
            </w:pPr>
            <w:r w:rsidRPr="004C0B2B">
              <w:rPr>
                <w:rFonts w:ascii="Garamond" w:hAnsi="Garamond"/>
                <w:sz w:val="22"/>
                <w:szCs w:val="22"/>
                <w:lang w:eastAsia="en-US"/>
              </w:rPr>
              <w:t>Сокращенное наименование правопреемника</w:t>
            </w:r>
          </w:p>
        </w:tc>
        <w:tc>
          <w:tcPr>
            <w:tcW w:w="6946" w:type="dxa"/>
            <w:shd w:val="clear" w:color="auto" w:fill="auto"/>
            <w:vAlign w:val="center"/>
          </w:tcPr>
          <w:p w14:paraId="27856ED1" w14:textId="77777777" w:rsidR="004B3B82" w:rsidRPr="004C0B2B" w:rsidRDefault="004B3B82" w:rsidP="00CD3B05">
            <w:pPr>
              <w:jc w:val="both"/>
              <w:rPr>
                <w:rFonts w:ascii="Garamond" w:hAnsi="Garamond"/>
                <w:b/>
                <w:sz w:val="22"/>
                <w:szCs w:val="22"/>
                <w:lang w:eastAsia="en-US"/>
              </w:rPr>
            </w:pPr>
          </w:p>
        </w:tc>
      </w:tr>
    </w:tbl>
    <w:p w14:paraId="1FCB84D7" w14:textId="77777777" w:rsidR="004B3B82" w:rsidRPr="004C0B2B" w:rsidRDefault="004B3B82" w:rsidP="00101F7C">
      <w:pPr>
        <w:autoSpaceDE w:val="0"/>
        <w:autoSpaceDN w:val="0"/>
        <w:adjustRightInd w:val="0"/>
        <w:ind w:firstLine="540"/>
        <w:jc w:val="both"/>
        <w:rPr>
          <w:rFonts w:ascii="Garamond" w:hAnsi="Garamond"/>
          <w:sz w:val="18"/>
          <w:szCs w:val="18"/>
        </w:rPr>
      </w:pPr>
      <w:r w:rsidRPr="004C0B2B">
        <w:rPr>
          <w:rFonts w:ascii="Garamond" w:hAnsi="Garamond"/>
          <w:sz w:val="22"/>
          <w:szCs w:val="22"/>
        </w:rPr>
        <w:t xml:space="preserve">являясь правопреемником / победителем конкурса / правопреемником ГП / ТСО ГП </w:t>
      </w:r>
      <w:r w:rsidRPr="004C0B2B">
        <w:rPr>
          <w:rFonts w:ascii="Garamond" w:hAnsi="Garamond"/>
          <w:sz w:val="18"/>
          <w:szCs w:val="18"/>
        </w:rPr>
        <w:t>(</w:t>
      </w:r>
      <w:r w:rsidRPr="004C0B2B">
        <w:rPr>
          <w:rFonts w:ascii="Garamond" w:hAnsi="Garamond"/>
          <w:i/>
          <w:sz w:val="18"/>
          <w:szCs w:val="18"/>
        </w:rPr>
        <w:t>выбрать нужное</w:t>
      </w:r>
      <w:r w:rsidRPr="004C0B2B">
        <w:rPr>
          <w:rFonts w:ascii="Garamond" w:hAnsi="Garamond"/>
          <w:sz w:val="18"/>
          <w:szCs w:val="18"/>
        </w:rPr>
        <w:t>)</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4"/>
        <w:gridCol w:w="6946"/>
      </w:tblGrid>
      <w:tr w:rsidR="004B3B82" w:rsidRPr="004C0B2B" w14:paraId="25C92FE4" w14:textId="77777777" w:rsidTr="00CD3B05">
        <w:trPr>
          <w:trHeight w:val="421"/>
        </w:trPr>
        <w:tc>
          <w:tcPr>
            <w:tcW w:w="3114" w:type="dxa"/>
            <w:shd w:val="clear" w:color="auto" w:fill="D9D9D9"/>
            <w:vAlign w:val="center"/>
          </w:tcPr>
          <w:p w14:paraId="5DB3F83B" w14:textId="77777777" w:rsidR="004B3B82" w:rsidRPr="004C0B2B" w:rsidRDefault="004B3B82" w:rsidP="00CD3B05">
            <w:pPr>
              <w:jc w:val="both"/>
              <w:rPr>
                <w:rFonts w:ascii="Garamond" w:hAnsi="Garamond"/>
                <w:sz w:val="22"/>
                <w:szCs w:val="22"/>
                <w:lang w:eastAsia="en-US"/>
              </w:rPr>
            </w:pPr>
            <w:r w:rsidRPr="004C0B2B">
              <w:rPr>
                <w:rFonts w:ascii="Garamond" w:hAnsi="Garamond"/>
                <w:sz w:val="22"/>
                <w:szCs w:val="22"/>
                <w:lang w:eastAsia="en-US"/>
              </w:rPr>
              <w:t>Полное наименование правопредшественника</w:t>
            </w:r>
          </w:p>
        </w:tc>
        <w:tc>
          <w:tcPr>
            <w:tcW w:w="6946" w:type="dxa"/>
            <w:shd w:val="clear" w:color="auto" w:fill="auto"/>
            <w:vAlign w:val="center"/>
          </w:tcPr>
          <w:p w14:paraId="5C46DE40" w14:textId="77777777" w:rsidR="004B3B82" w:rsidRPr="004C0B2B" w:rsidRDefault="004B3B82" w:rsidP="00CD3B05">
            <w:pPr>
              <w:autoSpaceDE w:val="0"/>
              <w:autoSpaceDN w:val="0"/>
              <w:rPr>
                <w:rFonts w:ascii="Garamond" w:hAnsi="Garamond"/>
                <w:sz w:val="22"/>
                <w:szCs w:val="22"/>
                <w:lang w:eastAsia="en-US"/>
              </w:rPr>
            </w:pPr>
          </w:p>
        </w:tc>
      </w:tr>
      <w:tr w:rsidR="004B3B82" w:rsidRPr="004C0B2B" w14:paraId="0CC55A2B" w14:textId="77777777" w:rsidTr="00CD3B05">
        <w:trPr>
          <w:trHeight w:val="340"/>
        </w:trPr>
        <w:tc>
          <w:tcPr>
            <w:tcW w:w="3114" w:type="dxa"/>
            <w:shd w:val="clear" w:color="auto" w:fill="D9D9D9"/>
            <w:vAlign w:val="center"/>
          </w:tcPr>
          <w:p w14:paraId="323F1439" w14:textId="77777777" w:rsidR="004B3B82" w:rsidRPr="004C0B2B" w:rsidRDefault="004B3B82" w:rsidP="00CD3B05">
            <w:pPr>
              <w:jc w:val="both"/>
              <w:rPr>
                <w:rFonts w:ascii="Garamond" w:hAnsi="Garamond"/>
                <w:sz w:val="22"/>
                <w:szCs w:val="22"/>
                <w:lang w:eastAsia="en-US"/>
              </w:rPr>
            </w:pPr>
            <w:r w:rsidRPr="004C0B2B">
              <w:rPr>
                <w:rFonts w:ascii="Garamond" w:hAnsi="Garamond"/>
                <w:sz w:val="22"/>
                <w:szCs w:val="22"/>
                <w:lang w:eastAsia="en-US"/>
              </w:rPr>
              <w:t>Сокращенное наименование правопредшественника</w:t>
            </w:r>
          </w:p>
        </w:tc>
        <w:tc>
          <w:tcPr>
            <w:tcW w:w="6946" w:type="dxa"/>
            <w:shd w:val="clear" w:color="auto" w:fill="auto"/>
            <w:vAlign w:val="center"/>
          </w:tcPr>
          <w:p w14:paraId="38F792BE" w14:textId="77777777" w:rsidR="004B3B82" w:rsidRPr="004C0B2B" w:rsidRDefault="004B3B82" w:rsidP="00CD3B05">
            <w:pPr>
              <w:jc w:val="both"/>
              <w:rPr>
                <w:rFonts w:ascii="Garamond" w:hAnsi="Garamond"/>
                <w:b/>
                <w:sz w:val="22"/>
                <w:szCs w:val="22"/>
                <w:lang w:eastAsia="en-US"/>
              </w:rPr>
            </w:pPr>
          </w:p>
        </w:tc>
      </w:tr>
    </w:tbl>
    <w:p w14:paraId="0A20E09E" w14:textId="77777777" w:rsidR="004B3B82" w:rsidRPr="004C0B2B" w:rsidRDefault="004B3B82" w:rsidP="00101F7C">
      <w:pPr>
        <w:autoSpaceDE w:val="0"/>
        <w:autoSpaceDN w:val="0"/>
        <w:spacing w:before="220" w:after="220"/>
        <w:jc w:val="both"/>
        <w:rPr>
          <w:rFonts w:ascii="Garamond" w:hAnsi="Garamond"/>
          <w:sz w:val="22"/>
          <w:szCs w:val="22"/>
        </w:rPr>
      </w:pPr>
      <w:r w:rsidRPr="004C0B2B">
        <w:rPr>
          <w:rFonts w:ascii="Garamond" w:hAnsi="Garamond"/>
          <w:sz w:val="22"/>
          <w:szCs w:val="22"/>
          <w:lang w:eastAsia="en-US"/>
        </w:rPr>
        <w:t xml:space="preserve">выражает намерение </w:t>
      </w:r>
      <w:r w:rsidRPr="004C0B2B">
        <w:rPr>
          <w:rFonts w:ascii="Garamond" w:hAnsi="Garamond"/>
          <w:spacing w:val="-2"/>
          <w:sz w:val="22"/>
          <w:szCs w:val="22"/>
        </w:rPr>
        <w:t xml:space="preserve">получить </w:t>
      </w:r>
      <w:r w:rsidRPr="004C0B2B">
        <w:rPr>
          <w:rFonts w:ascii="Garamond" w:hAnsi="Garamond"/>
          <w:sz w:val="22"/>
          <w:szCs w:val="22"/>
        </w:rPr>
        <w:t>Акт о соответствии системы коммерческого учета электрической энергии техническим требованиям оптового рынка электрической энергии и мощности по сечению КУ / ГТП генерации,</w:t>
      </w:r>
      <w:r w:rsidRPr="004C0B2B">
        <w:rPr>
          <w:rFonts w:ascii="Garamond" w:hAnsi="Garamond"/>
          <w:sz w:val="22"/>
          <w:szCs w:val="22"/>
          <w:lang w:eastAsia="en-US"/>
        </w:rPr>
        <w:t xml:space="preserve"> в отношении которого на момент возникновения у правопреемника </w:t>
      </w:r>
      <w:r w:rsidRPr="004C0B2B">
        <w:rPr>
          <w:rFonts w:ascii="Garamond" w:hAnsi="Garamond"/>
          <w:sz w:val="22"/>
          <w:szCs w:val="22"/>
        </w:rPr>
        <w:t>права участия в торговле электрической энергией (мощностью) с использованием ГТП правопредшественника действовал Акт о соответствии АИИС КУЭ класса А, утвержденный КО в отношении АИИС КУЭ правопредшественника,</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4"/>
        <w:gridCol w:w="6946"/>
      </w:tblGrid>
      <w:tr w:rsidR="004B3B82" w:rsidRPr="004C0B2B" w14:paraId="4953C0D7" w14:textId="77777777" w:rsidTr="00CD3B05">
        <w:trPr>
          <w:trHeight w:val="340"/>
        </w:trPr>
        <w:tc>
          <w:tcPr>
            <w:tcW w:w="3114" w:type="dxa"/>
            <w:shd w:val="clear" w:color="auto" w:fill="D9D9D9"/>
            <w:vAlign w:val="center"/>
          </w:tcPr>
          <w:p w14:paraId="2A55BB55" w14:textId="77777777" w:rsidR="004B3B82" w:rsidRPr="004C0B2B" w:rsidRDefault="004B3B82" w:rsidP="00CD3B05">
            <w:pPr>
              <w:jc w:val="both"/>
              <w:rPr>
                <w:rFonts w:ascii="Garamond" w:hAnsi="Garamond"/>
                <w:sz w:val="22"/>
                <w:szCs w:val="22"/>
                <w:vertAlign w:val="superscript"/>
                <w:lang w:eastAsia="en-US"/>
              </w:rPr>
            </w:pPr>
            <w:r w:rsidRPr="004C0B2B">
              <w:rPr>
                <w:rFonts w:ascii="Garamond" w:hAnsi="Garamond"/>
                <w:sz w:val="22"/>
                <w:szCs w:val="22"/>
                <w:lang w:eastAsia="en-US"/>
              </w:rPr>
              <w:t>Наименование сечения КУ/ ГТП генерации</w:t>
            </w:r>
            <w:r w:rsidRPr="004C0B2B">
              <w:rPr>
                <w:rFonts w:ascii="Garamond" w:hAnsi="Garamond"/>
                <w:sz w:val="22"/>
                <w:szCs w:val="22"/>
                <w:vertAlign w:val="superscript"/>
                <w:lang w:eastAsia="en-US"/>
              </w:rPr>
              <w:t xml:space="preserve"> 1</w:t>
            </w:r>
          </w:p>
        </w:tc>
        <w:tc>
          <w:tcPr>
            <w:tcW w:w="6946" w:type="dxa"/>
            <w:shd w:val="clear" w:color="auto" w:fill="auto"/>
            <w:vAlign w:val="center"/>
          </w:tcPr>
          <w:p w14:paraId="36006C9E" w14:textId="77777777" w:rsidR="004B3B82" w:rsidRPr="004C0B2B" w:rsidRDefault="004B3B82" w:rsidP="00CD3B05">
            <w:pPr>
              <w:jc w:val="both"/>
              <w:rPr>
                <w:rFonts w:ascii="Garamond" w:hAnsi="Garamond"/>
                <w:b/>
                <w:sz w:val="22"/>
                <w:szCs w:val="22"/>
                <w:lang w:eastAsia="en-US"/>
              </w:rPr>
            </w:pPr>
          </w:p>
        </w:tc>
      </w:tr>
      <w:tr w:rsidR="004B3B82" w:rsidRPr="004C0B2B" w14:paraId="1314AD4E" w14:textId="77777777" w:rsidTr="00CD3B05">
        <w:trPr>
          <w:trHeight w:val="340"/>
        </w:trPr>
        <w:tc>
          <w:tcPr>
            <w:tcW w:w="3114" w:type="dxa"/>
            <w:shd w:val="clear" w:color="auto" w:fill="D9D9D9"/>
            <w:vAlign w:val="center"/>
          </w:tcPr>
          <w:p w14:paraId="2D19D0F9" w14:textId="77777777" w:rsidR="004B3B82" w:rsidRPr="004C0B2B" w:rsidRDefault="004B3B82" w:rsidP="00CD3B05">
            <w:pPr>
              <w:jc w:val="both"/>
              <w:rPr>
                <w:rFonts w:ascii="Garamond" w:hAnsi="Garamond"/>
                <w:sz w:val="22"/>
                <w:szCs w:val="22"/>
                <w:lang w:eastAsia="en-US"/>
              </w:rPr>
            </w:pPr>
            <w:r w:rsidRPr="004C0B2B">
              <w:rPr>
                <w:rFonts w:ascii="Garamond" w:hAnsi="Garamond"/>
                <w:sz w:val="22"/>
                <w:szCs w:val="22"/>
                <w:lang w:eastAsia="en-US"/>
              </w:rPr>
              <w:t>Основание </w:t>
            </w:r>
            <w:r w:rsidRPr="004C0B2B">
              <w:rPr>
                <w:rFonts w:ascii="Garamond" w:hAnsi="Garamond"/>
                <w:sz w:val="22"/>
                <w:szCs w:val="22"/>
                <w:vertAlign w:val="superscript"/>
                <w:lang w:eastAsia="en-US"/>
              </w:rPr>
              <w:t>2</w:t>
            </w:r>
          </w:p>
        </w:tc>
        <w:tc>
          <w:tcPr>
            <w:tcW w:w="6946" w:type="dxa"/>
            <w:shd w:val="clear" w:color="auto" w:fill="auto"/>
            <w:vAlign w:val="center"/>
          </w:tcPr>
          <w:p w14:paraId="5272A444" w14:textId="77777777" w:rsidR="004B3B82" w:rsidRPr="004C0B2B" w:rsidRDefault="004B3B82" w:rsidP="00CD3B05">
            <w:pPr>
              <w:jc w:val="both"/>
              <w:rPr>
                <w:rFonts w:ascii="Garamond" w:hAnsi="Garamond"/>
                <w:b/>
                <w:sz w:val="22"/>
                <w:szCs w:val="22"/>
                <w:lang w:eastAsia="en-US"/>
              </w:rPr>
            </w:pPr>
          </w:p>
        </w:tc>
      </w:tr>
      <w:tr w:rsidR="004B3B82" w:rsidRPr="004C0B2B" w14:paraId="389966DF" w14:textId="77777777" w:rsidTr="00CD3B05">
        <w:trPr>
          <w:trHeight w:val="340"/>
        </w:trPr>
        <w:tc>
          <w:tcPr>
            <w:tcW w:w="3114" w:type="dxa"/>
            <w:tcBorders>
              <w:top w:val="single" w:sz="4" w:space="0" w:color="auto"/>
              <w:left w:val="single" w:sz="4" w:space="0" w:color="auto"/>
              <w:bottom w:val="single" w:sz="4" w:space="0" w:color="auto"/>
              <w:right w:val="single" w:sz="4" w:space="0" w:color="auto"/>
            </w:tcBorders>
            <w:shd w:val="clear" w:color="auto" w:fill="D9D9D9"/>
            <w:vAlign w:val="center"/>
          </w:tcPr>
          <w:p w14:paraId="1B4952B1" w14:textId="77777777" w:rsidR="004B3B82" w:rsidRPr="004C0B2B" w:rsidRDefault="004B3B82" w:rsidP="00CD3B05">
            <w:pPr>
              <w:jc w:val="both"/>
              <w:rPr>
                <w:rFonts w:ascii="Garamond" w:hAnsi="Garamond"/>
                <w:sz w:val="22"/>
                <w:szCs w:val="22"/>
                <w:lang w:eastAsia="en-US"/>
              </w:rPr>
            </w:pPr>
            <w:r w:rsidRPr="004C0B2B">
              <w:rPr>
                <w:rFonts w:ascii="Garamond" w:hAnsi="Garamond"/>
                <w:sz w:val="22"/>
                <w:szCs w:val="22"/>
                <w:lang w:eastAsia="en-US"/>
              </w:rPr>
              <w:t>Акт о соответствии АИИС КУЭ класса А правопредшественника</w:t>
            </w:r>
          </w:p>
        </w:tc>
        <w:tc>
          <w:tcPr>
            <w:tcW w:w="6946" w:type="dxa"/>
            <w:tcBorders>
              <w:top w:val="single" w:sz="4" w:space="0" w:color="auto"/>
              <w:left w:val="single" w:sz="4" w:space="0" w:color="auto"/>
              <w:bottom w:val="single" w:sz="4" w:space="0" w:color="auto"/>
              <w:right w:val="single" w:sz="4" w:space="0" w:color="auto"/>
            </w:tcBorders>
            <w:shd w:val="clear" w:color="auto" w:fill="auto"/>
            <w:vAlign w:val="center"/>
          </w:tcPr>
          <w:p w14:paraId="66F62378" w14:textId="77777777" w:rsidR="004B3B82" w:rsidRPr="004C0B2B" w:rsidRDefault="004B3B82" w:rsidP="00CD3B05">
            <w:pPr>
              <w:jc w:val="both"/>
              <w:rPr>
                <w:rFonts w:ascii="Garamond" w:hAnsi="Garamond"/>
                <w:sz w:val="22"/>
                <w:szCs w:val="22"/>
                <w:lang w:eastAsia="en-US"/>
              </w:rPr>
            </w:pPr>
            <w:r w:rsidRPr="004C0B2B">
              <w:rPr>
                <w:rFonts w:ascii="Garamond" w:hAnsi="Garamond"/>
                <w:sz w:val="22"/>
                <w:szCs w:val="22"/>
                <w:lang w:eastAsia="en-US"/>
              </w:rPr>
              <w:t xml:space="preserve">№ _________ от ____________ </w:t>
            </w:r>
          </w:p>
          <w:p w14:paraId="0BBBA443" w14:textId="77777777" w:rsidR="004B3B82" w:rsidRPr="004C0B2B" w:rsidRDefault="004B3B82" w:rsidP="00CD3B05">
            <w:pPr>
              <w:jc w:val="both"/>
              <w:rPr>
                <w:rFonts w:ascii="Garamond" w:hAnsi="Garamond"/>
                <w:sz w:val="22"/>
                <w:szCs w:val="22"/>
                <w:lang w:eastAsia="en-US"/>
              </w:rPr>
            </w:pPr>
            <w:r w:rsidRPr="004C0B2B">
              <w:rPr>
                <w:rFonts w:ascii="Garamond" w:hAnsi="Garamond"/>
                <w:sz w:val="18"/>
                <w:szCs w:val="18"/>
                <w:lang w:eastAsia="en-US"/>
              </w:rPr>
              <w:t>(</w:t>
            </w:r>
            <w:r w:rsidRPr="004C0B2B">
              <w:rPr>
                <w:rFonts w:ascii="Garamond" w:hAnsi="Garamond"/>
                <w:i/>
                <w:sz w:val="18"/>
                <w:szCs w:val="18"/>
                <w:lang w:eastAsia="en-US"/>
              </w:rPr>
              <w:t>указать реквизиты Акта о соответствии АИИС КУЭ)</w:t>
            </w:r>
          </w:p>
        </w:tc>
      </w:tr>
    </w:tbl>
    <w:p w14:paraId="700C4C41" w14:textId="77777777" w:rsidR="004B3B82" w:rsidRPr="004C0B2B" w:rsidRDefault="004B3B82" w:rsidP="00101F7C">
      <w:pPr>
        <w:autoSpaceDE w:val="0"/>
        <w:autoSpaceDN w:val="0"/>
        <w:adjustRightInd w:val="0"/>
        <w:spacing w:before="220"/>
        <w:jc w:val="both"/>
        <w:rPr>
          <w:rFonts w:ascii="Garamond" w:hAnsi="Garamond"/>
          <w:sz w:val="22"/>
          <w:szCs w:val="22"/>
          <w:lang w:eastAsia="en-US"/>
        </w:rPr>
      </w:pPr>
      <w:r w:rsidRPr="004C0B2B">
        <w:rPr>
          <w:rFonts w:ascii="Garamond" w:hAnsi="Garamond"/>
          <w:sz w:val="22"/>
          <w:szCs w:val="22"/>
          <w:lang w:eastAsia="en-US"/>
        </w:rPr>
        <w:t xml:space="preserve"> и подтверждает:</w:t>
      </w:r>
    </w:p>
    <w:p w14:paraId="22D65240" w14:textId="77777777" w:rsidR="004B3B82" w:rsidRDefault="004B3B82" w:rsidP="00101F7C">
      <w:pPr>
        <w:autoSpaceDE w:val="0"/>
        <w:autoSpaceDN w:val="0"/>
        <w:jc w:val="both"/>
        <w:rPr>
          <w:rFonts w:ascii="Garamond" w:hAnsi="Garamond"/>
          <w:sz w:val="22"/>
          <w:szCs w:val="22"/>
        </w:rPr>
      </w:pPr>
      <w:r w:rsidRPr="004C0B2B">
        <w:rPr>
          <w:rFonts w:ascii="Garamond" w:hAnsi="Garamond"/>
          <w:sz w:val="22"/>
          <w:szCs w:val="22"/>
        </w:rPr>
        <w:t>– наличие права использования АИИС КУЭ, ранее использовавшейся прежним участником оптового рынка, и неизменность ее структуры;</w:t>
      </w:r>
    </w:p>
    <w:p w14:paraId="131E25D0" w14:textId="77777777" w:rsidR="004B3B82" w:rsidRPr="004C0B2B" w:rsidRDefault="004B3B82" w:rsidP="00101F7C">
      <w:pPr>
        <w:autoSpaceDE w:val="0"/>
        <w:autoSpaceDN w:val="0"/>
        <w:jc w:val="both"/>
        <w:rPr>
          <w:rFonts w:ascii="Garamond" w:hAnsi="Garamond"/>
          <w:sz w:val="22"/>
          <w:szCs w:val="22"/>
        </w:rPr>
      </w:pPr>
      <w:r w:rsidRPr="004C0B2B">
        <w:rPr>
          <w:rFonts w:ascii="Garamond" w:hAnsi="Garamond"/>
          <w:sz w:val="22"/>
          <w:szCs w:val="22"/>
        </w:rPr>
        <w:t>– наличие «</w:t>
      </w:r>
      <w:r w:rsidRPr="004C0B2B">
        <w:rPr>
          <w:rFonts w:ascii="Garamond" w:hAnsi="Garamond"/>
          <w:sz w:val="22"/>
          <w:szCs w:val="22"/>
          <w:lang w:val="en-US"/>
        </w:rPr>
        <w:t>area</w:t>
      </w:r>
      <w:r w:rsidRPr="004C0B2B">
        <w:rPr>
          <w:rFonts w:ascii="Garamond" w:hAnsi="Garamond"/>
          <w:sz w:val="22"/>
          <w:szCs w:val="22"/>
        </w:rPr>
        <w:t>» по составу точек измерений в ГТП правопреемника, соответствующей составу точек измерений, на которые был оформлен вышеуказанный Акт о соответствии АИИС КУЭ;</w:t>
      </w:r>
    </w:p>
    <w:p w14:paraId="069D57C2" w14:textId="77777777" w:rsidR="004B3B82" w:rsidRPr="004C0B2B" w:rsidRDefault="004B3B82" w:rsidP="00101F7C">
      <w:pPr>
        <w:autoSpaceDE w:val="0"/>
        <w:autoSpaceDN w:val="0"/>
        <w:jc w:val="both"/>
        <w:rPr>
          <w:rFonts w:ascii="Garamond" w:hAnsi="Garamond"/>
          <w:sz w:val="22"/>
          <w:szCs w:val="22"/>
        </w:rPr>
      </w:pPr>
      <w:r w:rsidRPr="004C0B2B">
        <w:rPr>
          <w:rFonts w:ascii="Garamond" w:hAnsi="Garamond"/>
          <w:sz w:val="22"/>
          <w:szCs w:val="22"/>
        </w:rPr>
        <w:t>– соответствие АИИС КУЭ, ранее использовавшейся прежним участником оптового рынка, техническим требованиям оптового рынка электроэнергии (мощности) класса А.</w:t>
      </w:r>
    </w:p>
    <w:p w14:paraId="5D3C73FC" w14:textId="77777777" w:rsidR="004B3B82" w:rsidRPr="004C0B2B" w:rsidRDefault="004B3B82" w:rsidP="00101F7C">
      <w:pPr>
        <w:autoSpaceDE w:val="0"/>
        <w:autoSpaceDN w:val="0"/>
        <w:adjustRightInd w:val="0"/>
        <w:jc w:val="both"/>
        <w:rPr>
          <w:rFonts w:ascii="Garamond" w:hAnsi="Garamond"/>
          <w:sz w:val="22"/>
          <w:szCs w:val="22"/>
          <w:lang w:eastAsia="en-US"/>
        </w:rPr>
      </w:pPr>
      <w:r w:rsidRPr="004C0B2B">
        <w:rPr>
          <w:rFonts w:ascii="Garamond" w:hAnsi="Garamond"/>
          <w:sz w:val="22"/>
          <w:szCs w:val="22"/>
          <w:lang w:eastAsia="en-US"/>
        </w:rPr>
        <w:t xml:space="preserve">Подтверждаю, что измерения электрической энергии (мощности) по точкам поставки, в отношении которых допускается использовать средства измерений, не включенные в АИИС КУЭ, выполняются с применением средств измерений утвержденного типа, прошедших поверку в соответствии с требованиями Федерального закона от 26.06.2008 г. № 102-ФЗ «Об обеспечении единства измерений» к измерениям, относящимся к сфере государственного регулирования обеспечения единства измерений </w:t>
      </w:r>
      <w:r w:rsidRPr="004C0B2B">
        <w:rPr>
          <w:rFonts w:ascii="Garamond" w:hAnsi="Garamond"/>
          <w:sz w:val="18"/>
          <w:szCs w:val="18"/>
        </w:rPr>
        <w:t>(</w:t>
      </w:r>
      <w:r w:rsidRPr="004C0B2B">
        <w:rPr>
          <w:rFonts w:ascii="Garamond" w:hAnsi="Garamond"/>
          <w:i/>
          <w:sz w:val="18"/>
          <w:szCs w:val="18"/>
        </w:rPr>
        <w:t>указывается при наличии средств измерений, не включенных в АИИС КУЭ</w:t>
      </w:r>
      <w:r w:rsidRPr="004C0B2B">
        <w:rPr>
          <w:rFonts w:ascii="Garamond" w:hAnsi="Garamond"/>
          <w:sz w:val="18"/>
          <w:szCs w:val="18"/>
        </w:rPr>
        <w:t>)</w:t>
      </w:r>
      <w:r w:rsidRPr="004C0B2B">
        <w:rPr>
          <w:rFonts w:ascii="Garamond" w:hAnsi="Garamond"/>
          <w:sz w:val="22"/>
          <w:szCs w:val="22"/>
          <w:lang w:eastAsia="en-US"/>
        </w:rPr>
        <w:t>.</w:t>
      </w:r>
    </w:p>
    <w:tbl>
      <w:tblPr>
        <w:tblW w:w="10003" w:type="dxa"/>
        <w:tblLook w:val="04A0" w:firstRow="1" w:lastRow="0" w:firstColumn="1" w:lastColumn="0" w:noHBand="0" w:noVBand="1"/>
      </w:tblPr>
      <w:tblGrid>
        <w:gridCol w:w="3224"/>
        <w:gridCol w:w="3556"/>
        <w:gridCol w:w="3223"/>
      </w:tblGrid>
      <w:tr w:rsidR="004B3B82" w:rsidRPr="004C0B2B" w14:paraId="15BA3180" w14:textId="77777777" w:rsidTr="00CD3B05">
        <w:trPr>
          <w:trHeight w:val="665"/>
        </w:trPr>
        <w:tc>
          <w:tcPr>
            <w:tcW w:w="3224" w:type="dxa"/>
            <w:tcBorders>
              <w:bottom w:val="single" w:sz="4" w:space="0" w:color="auto"/>
            </w:tcBorders>
            <w:shd w:val="clear" w:color="auto" w:fill="auto"/>
            <w:vAlign w:val="center"/>
          </w:tcPr>
          <w:p w14:paraId="733A6176" w14:textId="77777777" w:rsidR="004B3B82" w:rsidRPr="004C0B2B" w:rsidRDefault="004B3B82" w:rsidP="00CD3B05">
            <w:pPr>
              <w:jc w:val="center"/>
              <w:rPr>
                <w:rFonts w:ascii="Garamond" w:hAnsi="Garamond"/>
                <w:b/>
                <w:sz w:val="22"/>
                <w:szCs w:val="22"/>
                <w:lang w:eastAsia="en-US"/>
              </w:rPr>
            </w:pPr>
            <w:r w:rsidRPr="004C0B2B">
              <w:rPr>
                <w:rFonts w:ascii="Garamond" w:hAnsi="Garamond"/>
                <w:sz w:val="22"/>
                <w:szCs w:val="22"/>
              </w:rPr>
              <w:t xml:space="preserve"> </w:t>
            </w:r>
          </w:p>
        </w:tc>
        <w:tc>
          <w:tcPr>
            <w:tcW w:w="3556" w:type="dxa"/>
            <w:shd w:val="clear" w:color="auto" w:fill="auto"/>
            <w:vAlign w:val="center"/>
          </w:tcPr>
          <w:p w14:paraId="21B9E0AF" w14:textId="77777777" w:rsidR="004B3B82" w:rsidRPr="004C0B2B" w:rsidRDefault="004B3B82" w:rsidP="00CD3B05">
            <w:pPr>
              <w:jc w:val="center"/>
              <w:rPr>
                <w:rFonts w:ascii="Garamond" w:hAnsi="Garamond"/>
                <w:i/>
                <w:sz w:val="22"/>
                <w:szCs w:val="22"/>
                <w:lang w:eastAsia="en-US"/>
              </w:rPr>
            </w:pPr>
          </w:p>
        </w:tc>
        <w:tc>
          <w:tcPr>
            <w:tcW w:w="3223" w:type="dxa"/>
            <w:tcBorders>
              <w:bottom w:val="single" w:sz="4" w:space="0" w:color="auto"/>
            </w:tcBorders>
            <w:shd w:val="clear" w:color="auto" w:fill="auto"/>
            <w:vAlign w:val="center"/>
          </w:tcPr>
          <w:p w14:paraId="72ED53F1" w14:textId="77777777" w:rsidR="004B3B82" w:rsidRPr="004C0B2B" w:rsidRDefault="004B3B82" w:rsidP="00CD3B05">
            <w:pPr>
              <w:jc w:val="center"/>
              <w:rPr>
                <w:rFonts w:ascii="Garamond" w:hAnsi="Garamond"/>
                <w:b/>
                <w:sz w:val="22"/>
                <w:szCs w:val="22"/>
                <w:lang w:eastAsia="en-US"/>
              </w:rPr>
            </w:pPr>
          </w:p>
        </w:tc>
      </w:tr>
      <w:tr w:rsidR="004B3B82" w:rsidRPr="004C0B2B" w14:paraId="3ED081D7" w14:textId="77777777" w:rsidTr="00CD3B05">
        <w:trPr>
          <w:trHeight w:val="665"/>
        </w:trPr>
        <w:tc>
          <w:tcPr>
            <w:tcW w:w="3224" w:type="dxa"/>
            <w:tcBorders>
              <w:top w:val="single" w:sz="4" w:space="0" w:color="auto"/>
            </w:tcBorders>
            <w:shd w:val="clear" w:color="auto" w:fill="auto"/>
            <w:vAlign w:val="center"/>
          </w:tcPr>
          <w:p w14:paraId="2309B32C" w14:textId="77777777" w:rsidR="004B3B82" w:rsidRPr="004C0B2B" w:rsidRDefault="004B3B82" w:rsidP="00CD3B05">
            <w:pPr>
              <w:jc w:val="center"/>
              <w:rPr>
                <w:rFonts w:ascii="Garamond" w:hAnsi="Garamond"/>
                <w:i/>
                <w:sz w:val="22"/>
                <w:szCs w:val="22"/>
                <w:lang w:eastAsia="en-US"/>
              </w:rPr>
            </w:pPr>
            <w:r w:rsidRPr="004C0B2B">
              <w:rPr>
                <w:rFonts w:ascii="Garamond" w:hAnsi="Garamond"/>
                <w:i/>
                <w:sz w:val="18"/>
                <w:szCs w:val="18"/>
                <w:lang w:eastAsia="en-US"/>
              </w:rPr>
              <w:t>(должность руководителя)</w:t>
            </w:r>
          </w:p>
        </w:tc>
        <w:tc>
          <w:tcPr>
            <w:tcW w:w="3556" w:type="dxa"/>
            <w:shd w:val="clear" w:color="auto" w:fill="auto"/>
            <w:vAlign w:val="center"/>
          </w:tcPr>
          <w:p w14:paraId="462B7740" w14:textId="77777777" w:rsidR="004B3B82" w:rsidRPr="004C0B2B" w:rsidRDefault="004B3B82" w:rsidP="00CD3B05">
            <w:pPr>
              <w:jc w:val="center"/>
              <w:rPr>
                <w:rFonts w:ascii="Garamond" w:hAnsi="Garamond"/>
                <w:i/>
                <w:sz w:val="22"/>
                <w:szCs w:val="22"/>
                <w:lang w:eastAsia="en-US"/>
              </w:rPr>
            </w:pPr>
          </w:p>
        </w:tc>
        <w:tc>
          <w:tcPr>
            <w:tcW w:w="3223" w:type="dxa"/>
            <w:tcBorders>
              <w:top w:val="single" w:sz="4" w:space="0" w:color="auto"/>
            </w:tcBorders>
            <w:shd w:val="clear" w:color="auto" w:fill="auto"/>
            <w:vAlign w:val="center"/>
          </w:tcPr>
          <w:p w14:paraId="0C8AAB0B" w14:textId="77777777" w:rsidR="004B3B82" w:rsidRPr="004C0B2B" w:rsidRDefault="004B3B82" w:rsidP="00CD3B05">
            <w:pPr>
              <w:jc w:val="center"/>
              <w:rPr>
                <w:rFonts w:ascii="Garamond" w:hAnsi="Garamond"/>
                <w:i/>
                <w:sz w:val="22"/>
                <w:szCs w:val="22"/>
                <w:lang w:eastAsia="en-US"/>
              </w:rPr>
            </w:pPr>
            <w:r w:rsidRPr="004C0B2B">
              <w:rPr>
                <w:rFonts w:ascii="Garamond" w:hAnsi="Garamond"/>
                <w:i/>
                <w:sz w:val="18"/>
                <w:szCs w:val="18"/>
                <w:lang w:eastAsia="en-US"/>
              </w:rPr>
              <w:t>(Ф. И. О.)</w:t>
            </w:r>
          </w:p>
        </w:tc>
      </w:tr>
    </w:tbl>
    <w:p w14:paraId="6011DB76" w14:textId="77777777" w:rsidR="004B3B82" w:rsidRPr="004C0B2B" w:rsidRDefault="004B3B82" w:rsidP="00101F7C">
      <w:pPr>
        <w:jc w:val="both"/>
        <w:rPr>
          <w:rFonts w:ascii="Garamond" w:hAnsi="Garamond"/>
          <w:b/>
          <w:bCs/>
          <w:lang w:eastAsia="en-US"/>
        </w:rPr>
      </w:pPr>
    </w:p>
    <w:p w14:paraId="281D2D36" w14:textId="77777777" w:rsidR="004B3B82" w:rsidRPr="004C0B2B" w:rsidRDefault="004B3B82" w:rsidP="00101F7C">
      <w:pPr>
        <w:jc w:val="both"/>
        <w:rPr>
          <w:rFonts w:ascii="Garamond" w:hAnsi="Garamond"/>
          <w:b/>
          <w:bCs/>
          <w:lang w:eastAsia="en-US"/>
        </w:rPr>
      </w:pPr>
    </w:p>
    <w:p w14:paraId="025C4750" w14:textId="77777777" w:rsidR="004B3B82" w:rsidRPr="004C0B2B" w:rsidRDefault="004B3B82" w:rsidP="00101F7C">
      <w:pPr>
        <w:jc w:val="both"/>
        <w:rPr>
          <w:rFonts w:ascii="Garamond" w:hAnsi="Garamond"/>
          <w:b/>
          <w:bCs/>
          <w:lang w:eastAsia="en-US"/>
        </w:rPr>
      </w:pPr>
    </w:p>
    <w:p w14:paraId="2928819C" w14:textId="77777777" w:rsidR="004B3B82" w:rsidRPr="004C0B2B" w:rsidRDefault="004B3B82" w:rsidP="00101F7C">
      <w:pPr>
        <w:jc w:val="both"/>
        <w:rPr>
          <w:rFonts w:ascii="Garamond" w:hAnsi="Garamond"/>
          <w:b/>
          <w:bCs/>
          <w:lang w:eastAsia="en-US"/>
        </w:rPr>
      </w:pPr>
    </w:p>
    <w:p w14:paraId="12010456" w14:textId="77777777" w:rsidR="004B3B82" w:rsidRPr="004C0B2B" w:rsidRDefault="004B3B82" w:rsidP="00101F7C">
      <w:pPr>
        <w:jc w:val="both"/>
        <w:rPr>
          <w:rFonts w:ascii="Garamond" w:hAnsi="Garamond"/>
          <w:b/>
          <w:bCs/>
          <w:lang w:eastAsia="en-US"/>
        </w:rPr>
      </w:pPr>
      <w:r w:rsidRPr="004C0B2B">
        <w:rPr>
          <w:rFonts w:ascii="Garamond" w:hAnsi="Garamond"/>
          <w:b/>
          <w:bCs/>
          <w:lang w:eastAsia="en-US"/>
        </w:rPr>
        <w:lastRenderedPageBreak/>
        <w:t>Примечания.</w:t>
      </w:r>
    </w:p>
    <w:p w14:paraId="4C10065F" w14:textId="77777777" w:rsidR="004B3B82" w:rsidRPr="004C0B2B" w:rsidRDefault="004B3B82" w:rsidP="004B3B82">
      <w:pPr>
        <w:pStyle w:val="ac"/>
        <w:numPr>
          <w:ilvl w:val="0"/>
          <w:numId w:val="115"/>
        </w:numPr>
        <w:spacing w:before="160" w:after="160" w:line="259" w:lineRule="auto"/>
        <w:ind w:left="284" w:hanging="284"/>
        <w:jc w:val="both"/>
        <w:rPr>
          <w:rFonts w:ascii="Garamond" w:hAnsi="Garamond"/>
        </w:rPr>
      </w:pPr>
      <w:r w:rsidRPr="004C0B2B">
        <w:rPr>
          <w:rFonts w:ascii="Garamond" w:hAnsi="Garamond"/>
        </w:rPr>
        <w:t>Указать наименование и буквенный код сечения коммерческого учета или ГТП генерации, в отношении которого заявлено оформление Акта о соответствии АИИС КУЭ, например:</w:t>
      </w:r>
    </w:p>
    <w:p w14:paraId="1DD14E05" w14:textId="77777777" w:rsidR="004B3B82" w:rsidRPr="004C0B2B" w:rsidRDefault="004B3B82" w:rsidP="00101F7C">
      <w:pPr>
        <w:pStyle w:val="ac"/>
        <w:ind w:left="567" w:hanging="283"/>
        <w:jc w:val="both"/>
        <w:rPr>
          <w:rFonts w:ascii="Garamond" w:hAnsi="Garamond"/>
        </w:rPr>
      </w:pPr>
      <w:r w:rsidRPr="004C0B2B">
        <w:rPr>
          <w:rFonts w:ascii="Garamond" w:hAnsi="Garamond"/>
        </w:rPr>
        <w:t>ЗАО «СбыТ» (ОАО «Уралсталь») – ОАО «Энергосбыт Север» (ОАО «Северскэнергосбыт») (P</w:t>
      </w:r>
      <w:r w:rsidRPr="004C0B2B">
        <w:rPr>
          <w:rFonts w:ascii="Garamond" w:hAnsi="Garamond"/>
          <w:lang w:val="en-US"/>
        </w:rPr>
        <w:t>SFIEN</w:t>
      </w:r>
      <w:r w:rsidRPr="004C0B2B">
        <w:rPr>
          <w:rFonts w:ascii="Garamond" w:hAnsi="Garamond"/>
        </w:rPr>
        <w:t>27-PS</w:t>
      </w:r>
      <w:r w:rsidRPr="004C0B2B">
        <w:rPr>
          <w:rFonts w:ascii="Garamond" w:hAnsi="Garamond"/>
          <w:lang w:val="en-US"/>
        </w:rPr>
        <w:t>S</w:t>
      </w:r>
      <w:r w:rsidRPr="004C0B2B">
        <w:rPr>
          <w:rFonts w:ascii="Garamond" w:hAnsi="Garamond"/>
        </w:rPr>
        <w:t>ERDLE);</w:t>
      </w:r>
    </w:p>
    <w:p w14:paraId="01AAD1B0" w14:textId="77777777" w:rsidR="004B3B82" w:rsidRPr="004C0B2B" w:rsidRDefault="004B3B82" w:rsidP="00101F7C">
      <w:pPr>
        <w:pStyle w:val="ac"/>
        <w:ind w:left="567" w:hanging="283"/>
        <w:jc w:val="both"/>
        <w:rPr>
          <w:rFonts w:ascii="Garamond" w:hAnsi="Garamond"/>
        </w:rPr>
      </w:pPr>
      <w:r w:rsidRPr="004C0B2B">
        <w:rPr>
          <w:rFonts w:ascii="Garamond" w:hAnsi="Garamond"/>
        </w:rPr>
        <w:t>АО «Генерация» (Первая ТЭЦ) (</w:t>
      </w:r>
      <w:r w:rsidRPr="004C0B2B">
        <w:rPr>
          <w:rFonts w:ascii="Garamond" w:hAnsi="Garamond"/>
          <w:lang w:val="en-US"/>
        </w:rPr>
        <w:t>GOMSKE</w:t>
      </w:r>
      <w:r w:rsidRPr="004C0B2B">
        <w:rPr>
          <w:rFonts w:ascii="Garamond" w:hAnsi="Garamond"/>
        </w:rPr>
        <w:t>17).</w:t>
      </w:r>
    </w:p>
    <w:p w14:paraId="113B0570" w14:textId="77777777" w:rsidR="004B3B82" w:rsidRPr="004C0B2B" w:rsidRDefault="004B3B82" w:rsidP="00101F7C">
      <w:pPr>
        <w:pStyle w:val="ac"/>
        <w:ind w:left="567" w:hanging="283"/>
        <w:jc w:val="both"/>
        <w:rPr>
          <w:rFonts w:ascii="Garamond" w:hAnsi="Garamond"/>
        </w:rPr>
      </w:pPr>
    </w:p>
    <w:p w14:paraId="204C4B85" w14:textId="77777777" w:rsidR="004B3B82" w:rsidRPr="004C0B2B" w:rsidRDefault="004B3B82" w:rsidP="004B3B82">
      <w:pPr>
        <w:pStyle w:val="ac"/>
        <w:numPr>
          <w:ilvl w:val="0"/>
          <w:numId w:val="121"/>
        </w:numPr>
        <w:spacing w:after="160" w:line="259" w:lineRule="auto"/>
        <w:ind w:left="426"/>
        <w:rPr>
          <w:rFonts w:ascii="Garamond" w:hAnsi="Garamond"/>
        </w:rPr>
      </w:pPr>
      <w:r w:rsidRPr="004C0B2B">
        <w:rPr>
          <w:rFonts w:ascii="Garamond" w:hAnsi="Garamond"/>
        </w:rPr>
        <w:t>В качестве основания указывается:</w:t>
      </w:r>
    </w:p>
    <w:p w14:paraId="29F9EFC8" w14:textId="77777777" w:rsidR="004B3B82" w:rsidRPr="004C0B2B" w:rsidRDefault="004B3B82" w:rsidP="004B3B82">
      <w:pPr>
        <w:pStyle w:val="ac"/>
        <w:numPr>
          <w:ilvl w:val="1"/>
          <w:numId w:val="121"/>
        </w:numPr>
        <w:autoSpaceDE w:val="0"/>
        <w:autoSpaceDN w:val="0"/>
        <w:spacing w:after="160" w:line="259" w:lineRule="auto"/>
        <w:ind w:left="567" w:hanging="283"/>
        <w:jc w:val="both"/>
        <w:rPr>
          <w:rFonts w:ascii="Garamond" w:hAnsi="Garamond"/>
        </w:rPr>
      </w:pPr>
      <w:r w:rsidRPr="004C0B2B">
        <w:rPr>
          <w:rFonts w:ascii="Garamond" w:hAnsi="Garamond"/>
        </w:rPr>
        <w:t>Сечение КУ / ГТП генерации с изменением ТП в соответствии с комплектом документов, представленных в КО с заявлением по форме 3, 4А, 4Б приложения 1 к Положению о реестре</w:t>
      </w:r>
      <w:r w:rsidRPr="004C0B2B">
        <w:t xml:space="preserve"> </w:t>
      </w:r>
      <w:r w:rsidRPr="004C0B2B">
        <w:rPr>
          <w:rFonts w:ascii="Garamond" w:hAnsi="Garamond"/>
        </w:rPr>
        <w:t>(выбрать нужное) вх. № ____ от ____ и заявлением по форме 3, 4В приложения 1 к Положению о реестре</w:t>
      </w:r>
      <w:r w:rsidRPr="004C0B2B">
        <w:t xml:space="preserve"> </w:t>
      </w:r>
      <w:r w:rsidRPr="004C0B2B">
        <w:rPr>
          <w:rFonts w:ascii="Garamond" w:hAnsi="Garamond"/>
        </w:rPr>
        <w:t xml:space="preserve">вх. № _________ от __________ в рамках исполнения обязанности по актуализации регистрационной информации согласно приложению 2 к Положению о реестре в отношении вышеуказанного сечения КУ / ГТП генерации (указывается в случае предоставления в составе документов ответной квитанции (макет 60001)) </w:t>
      </w:r>
      <w:r w:rsidRPr="004C0B2B">
        <w:rPr>
          <w:rFonts w:ascii="Garamond" w:hAnsi="Garamond"/>
          <w:i/>
        </w:rPr>
        <w:t>(указывается при выполнении условия об инициировании процедуры установления соответствия АИИС КУЭ согласно п. 3.3 Приложения № 11.3 к Положению о реестре – о наличии «area» по составу точек измерений в ГТП правопреемника, соответствующей составу точек измерений, на которые был оформлен Акт о соответствии АИИС КУЭ правопредшественника).</w:t>
      </w:r>
    </w:p>
    <w:p w14:paraId="7470838D" w14:textId="77777777" w:rsidR="004B3B82" w:rsidRPr="004C0B2B" w:rsidRDefault="004B3B82" w:rsidP="004B3B82">
      <w:pPr>
        <w:pStyle w:val="ac"/>
        <w:numPr>
          <w:ilvl w:val="1"/>
          <w:numId w:val="121"/>
        </w:numPr>
        <w:autoSpaceDE w:val="0"/>
        <w:autoSpaceDN w:val="0"/>
        <w:spacing w:after="160" w:line="259" w:lineRule="auto"/>
        <w:ind w:left="567" w:hanging="283"/>
        <w:jc w:val="both"/>
        <w:rPr>
          <w:rFonts w:ascii="Garamond" w:hAnsi="Garamond"/>
        </w:rPr>
      </w:pPr>
      <w:r w:rsidRPr="004C0B2B">
        <w:rPr>
          <w:rFonts w:ascii="Garamond" w:hAnsi="Garamond"/>
        </w:rPr>
        <w:t>Сечение КУ / ГТП генерации без изменения ТП в соответствии с комплектом документов, представленных в КО с заявлением по форме 3, 4В приложения 1 к Положению о реестре</w:t>
      </w:r>
      <w:r w:rsidRPr="004C0B2B">
        <w:t xml:space="preserve"> </w:t>
      </w:r>
      <w:r w:rsidRPr="004C0B2B">
        <w:rPr>
          <w:rFonts w:ascii="Garamond" w:hAnsi="Garamond"/>
        </w:rPr>
        <w:t xml:space="preserve">вх. № ______ от ______ в рамках исполнения обязанности по актуализации регистрационной информации согласно приложению 2 к Положению о реестре в отношении вышеуказанного сечения КУ / ГТП генерации (при наличии в составе документов ответной квитанции (макет 60001)) </w:t>
      </w:r>
      <w:r w:rsidRPr="004C0B2B">
        <w:rPr>
          <w:rFonts w:ascii="Garamond" w:hAnsi="Garamond"/>
          <w:i/>
        </w:rPr>
        <w:t>(указывается при выполнении условия об инициировании процедуры установления соответствия АИИС КУЭ согласно п. 3.3 Приложения № 11.3 к Положению о реестре – о наличии «area» по составу точек измерений в ГТП правопреемника, соответствующей составу точек измерений, на которые был оформлен Акт о соответствии АИИС КУЭ правопредшественника)</w:t>
      </w:r>
      <w:r w:rsidRPr="004C0B2B">
        <w:rPr>
          <w:rFonts w:ascii="Garamond" w:hAnsi="Garamond"/>
        </w:rPr>
        <w:t xml:space="preserve">. </w:t>
      </w:r>
    </w:p>
    <w:p w14:paraId="1B73A565" w14:textId="77777777" w:rsidR="004B3B82" w:rsidRPr="004C0B2B" w:rsidRDefault="004B3B82" w:rsidP="004B3B82">
      <w:pPr>
        <w:pStyle w:val="ac"/>
        <w:numPr>
          <w:ilvl w:val="1"/>
          <w:numId w:val="121"/>
        </w:numPr>
        <w:autoSpaceDE w:val="0"/>
        <w:autoSpaceDN w:val="0"/>
        <w:spacing w:after="160" w:line="259" w:lineRule="auto"/>
        <w:ind w:left="567" w:hanging="283"/>
        <w:jc w:val="both"/>
        <w:rPr>
          <w:rFonts w:ascii="Garamond" w:hAnsi="Garamond"/>
        </w:rPr>
      </w:pPr>
      <w:r w:rsidRPr="004C0B2B">
        <w:rPr>
          <w:rFonts w:ascii="Garamond" w:hAnsi="Garamond"/>
        </w:rPr>
        <w:t>Действующий состав точек поставки и точек измерений подтвержден действующим ПСИ № ____ от ___.</w:t>
      </w:r>
    </w:p>
    <w:p w14:paraId="3E9CE032" w14:textId="77777777" w:rsidR="004B3B82" w:rsidRPr="004C0B2B" w:rsidRDefault="004B3B82" w:rsidP="00101F7C">
      <w:pPr>
        <w:spacing w:after="160" w:line="259" w:lineRule="auto"/>
        <w:jc w:val="both"/>
        <w:rPr>
          <w:rFonts w:ascii="Garamond" w:hAnsi="Garamond"/>
        </w:rPr>
      </w:pPr>
      <w:r w:rsidRPr="004C0B2B">
        <w:rPr>
          <w:rFonts w:ascii="Garamond" w:hAnsi="Garamond"/>
        </w:rPr>
        <w:br w:type="page"/>
      </w:r>
    </w:p>
    <w:p w14:paraId="2351A31A" w14:textId="77777777" w:rsidR="004B3B82" w:rsidRPr="004C0B2B" w:rsidRDefault="004B3B82" w:rsidP="00101F7C">
      <w:pPr>
        <w:tabs>
          <w:tab w:val="left" w:pos="1320"/>
        </w:tabs>
        <w:autoSpaceDE w:val="0"/>
        <w:autoSpaceDN w:val="0"/>
        <w:spacing w:before="120" w:after="120"/>
        <w:rPr>
          <w:rFonts w:ascii="Garamond" w:hAnsi="Garamond"/>
          <w:b/>
          <w:sz w:val="22"/>
          <w:szCs w:val="22"/>
        </w:rPr>
      </w:pPr>
      <w:r w:rsidRPr="004C0B2B">
        <w:rPr>
          <w:rFonts w:ascii="Garamond" w:hAnsi="Garamond"/>
          <w:b/>
          <w:sz w:val="22"/>
          <w:szCs w:val="22"/>
        </w:rPr>
        <w:lastRenderedPageBreak/>
        <w:t>Предлагаемая редакция</w:t>
      </w:r>
    </w:p>
    <w:p w14:paraId="0DEAD41F" w14:textId="77777777" w:rsidR="004B3B82" w:rsidRPr="004C0B2B" w:rsidRDefault="004B3B82" w:rsidP="00101F7C">
      <w:pPr>
        <w:tabs>
          <w:tab w:val="left" w:pos="1320"/>
        </w:tabs>
        <w:autoSpaceDE w:val="0"/>
        <w:autoSpaceDN w:val="0"/>
        <w:spacing w:before="120" w:after="120"/>
        <w:jc w:val="center"/>
        <w:rPr>
          <w:rFonts w:ascii="Garamond" w:hAnsi="Garamond"/>
          <w:b/>
          <w:sz w:val="22"/>
          <w:szCs w:val="22"/>
        </w:rPr>
      </w:pPr>
      <w:r w:rsidRPr="004C0B2B">
        <w:rPr>
          <w:rFonts w:ascii="Garamond" w:hAnsi="Garamond"/>
          <w:b/>
          <w:sz w:val="22"/>
          <w:szCs w:val="22"/>
        </w:rPr>
        <w:t>Форма 1В</w:t>
      </w:r>
    </w:p>
    <w:p w14:paraId="04D85B2B" w14:textId="77777777" w:rsidR="004B3B82" w:rsidRPr="004C0B2B" w:rsidRDefault="004B3B82" w:rsidP="00101F7C">
      <w:pPr>
        <w:widowControl w:val="0"/>
        <w:autoSpaceDE w:val="0"/>
        <w:autoSpaceDN w:val="0"/>
        <w:jc w:val="both"/>
        <w:rPr>
          <w:rFonts w:ascii="Garamond" w:hAnsi="Garamond"/>
          <w:sz w:val="22"/>
          <w:szCs w:val="22"/>
        </w:rPr>
      </w:pPr>
      <w:r w:rsidRPr="004C0B2B">
        <w:rPr>
          <w:rFonts w:ascii="Garamond" w:hAnsi="Garamond"/>
          <w:sz w:val="22"/>
          <w:szCs w:val="22"/>
        </w:rPr>
        <w:t>(на бланке заявителя)</w:t>
      </w:r>
    </w:p>
    <w:p w14:paraId="7B2E330B" w14:textId="77777777" w:rsidR="004B3B82" w:rsidRPr="004C0B2B" w:rsidRDefault="004B3B82" w:rsidP="00101F7C">
      <w:pPr>
        <w:ind w:left="7371" w:right="-428"/>
        <w:jc w:val="both"/>
        <w:rPr>
          <w:rFonts w:ascii="Garamond" w:hAnsi="Garamond"/>
          <w:b/>
          <w:sz w:val="22"/>
          <w:szCs w:val="22"/>
          <w:lang w:eastAsia="en-US"/>
        </w:rPr>
      </w:pPr>
      <w:r w:rsidRPr="004C0B2B">
        <w:rPr>
          <w:rFonts w:ascii="Garamond" w:hAnsi="Garamond"/>
          <w:sz w:val="22"/>
          <w:szCs w:val="22"/>
        </w:rPr>
        <w:tab/>
      </w:r>
      <w:r w:rsidRPr="004C0B2B">
        <w:rPr>
          <w:rFonts w:ascii="Garamond" w:hAnsi="Garamond"/>
          <w:sz w:val="22"/>
          <w:szCs w:val="22"/>
        </w:rPr>
        <w:tab/>
      </w:r>
      <w:r w:rsidRPr="004C0B2B">
        <w:rPr>
          <w:rFonts w:ascii="Garamond" w:hAnsi="Garamond"/>
          <w:sz w:val="22"/>
          <w:szCs w:val="22"/>
        </w:rPr>
        <w:tab/>
      </w:r>
      <w:r w:rsidRPr="004C0B2B">
        <w:rPr>
          <w:rFonts w:ascii="Garamond" w:hAnsi="Garamond"/>
          <w:sz w:val="22"/>
          <w:szCs w:val="22"/>
        </w:rPr>
        <w:tab/>
      </w:r>
      <w:r w:rsidRPr="004C0B2B">
        <w:rPr>
          <w:rFonts w:ascii="Garamond" w:hAnsi="Garamond"/>
          <w:sz w:val="22"/>
          <w:szCs w:val="22"/>
        </w:rPr>
        <w:tab/>
      </w:r>
      <w:r w:rsidRPr="004C0B2B">
        <w:rPr>
          <w:rFonts w:ascii="Garamond" w:hAnsi="Garamond"/>
          <w:sz w:val="22"/>
          <w:szCs w:val="22"/>
        </w:rPr>
        <w:tab/>
      </w:r>
      <w:r w:rsidRPr="004C0B2B">
        <w:rPr>
          <w:rFonts w:ascii="Garamond" w:hAnsi="Garamond"/>
          <w:b/>
          <w:sz w:val="22"/>
          <w:szCs w:val="22"/>
          <w:lang w:eastAsia="en-US"/>
        </w:rPr>
        <w:t>Председателю Правления</w:t>
      </w:r>
    </w:p>
    <w:p w14:paraId="36693691" w14:textId="77777777" w:rsidR="004B3B82" w:rsidRPr="004C0B2B" w:rsidRDefault="004B3B82" w:rsidP="00101F7C">
      <w:pPr>
        <w:ind w:left="7371" w:right="-428"/>
        <w:jc w:val="both"/>
        <w:rPr>
          <w:rFonts w:ascii="Garamond" w:hAnsi="Garamond"/>
          <w:b/>
          <w:sz w:val="22"/>
          <w:szCs w:val="22"/>
          <w:lang w:eastAsia="en-US"/>
        </w:rPr>
      </w:pPr>
      <w:r w:rsidRPr="004C0B2B">
        <w:rPr>
          <w:rFonts w:ascii="Garamond" w:hAnsi="Garamond"/>
          <w:b/>
          <w:sz w:val="22"/>
          <w:szCs w:val="22"/>
          <w:lang w:eastAsia="en-US"/>
        </w:rPr>
        <w:t>АО «АТС»</w:t>
      </w:r>
    </w:p>
    <w:p w14:paraId="7D5F1F08" w14:textId="77777777" w:rsidR="004B3B82" w:rsidRPr="004C0B2B" w:rsidRDefault="004B3B82" w:rsidP="00101F7C">
      <w:pPr>
        <w:jc w:val="both"/>
        <w:rPr>
          <w:rFonts w:ascii="Garamond" w:hAnsi="Garamond"/>
          <w:sz w:val="22"/>
          <w:szCs w:val="22"/>
          <w:lang w:eastAsia="en-US"/>
        </w:rPr>
      </w:pPr>
      <w:r w:rsidRPr="004C0B2B">
        <w:rPr>
          <w:rFonts w:ascii="Garamond" w:hAnsi="Garamond"/>
          <w:sz w:val="22"/>
          <w:szCs w:val="22"/>
          <w:lang w:eastAsia="en-US"/>
        </w:rPr>
        <w:t>№ _____________________</w:t>
      </w:r>
    </w:p>
    <w:p w14:paraId="45366540" w14:textId="77777777" w:rsidR="004B3B82" w:rsidRPr="004C0B2B" w:rsidRDefault="004B3B82" w:rsidP="00101F7C">
      <w:pPr>
        <w:jc w:val="both"/>
        <w:rPr>
          <w:rFonts w:ascii="Garamond" w:hAnsi="Garamond"/>
          <w:sz w:val="22"/>
          <w:szCs w:val="22"/>
          <w:lang w:eastAsia="en-US"/>
        </w:rPr>
      </w:pPr>
      <w:r w:rsidRPr="004C0B2B">
        <w:rPr>
          <w:rFonts w:ascii="Garamond" w:hAnsi="Garamond"/>
          <w:sz w:val="22"/>
          <w:szCs w:val="22"/>
          <w:lang w:eastAsia="en-US"/>
        </w:rPr>
        <w:t>«___» ___________ 20 ___ г.</w:t>
      </w:r>
    </w:p>
    <w:p w14:paraId="52D71F17" w14:textId="77777777" w:rsidR="004B3B82" w:rsidRPr="004C0B2B" w:rsidRDefault="004B3B82" w:rsidP="00101F7C"/>
    <w:p w14:paraId="21D0A334" w14:textId="77777777" w:rsidR="004B3B82" w:rsidRPr="004C0B2B" w:rsidRDefault="004B3B82" w:rsidP="00101F7C">
      <w:pPr>
        <w:jc w:val="center"/>
        <w:rPr>
          <w:rFonts w:ascii="Garamond" w:hAnsi="Garamond"/>
          <w:b/>
          <w:sz w:val="22"/>
          <w:szCs w:val="22"/>
          <w:lang w:eastAsia="en-US"/>
        </w:rPr>
      </w:pPr>
      <w:r w:rsidRPr="004C0B2B">
        <w:rPr>
          <w:rFonts w:ascii="Garamond" w:hAnsi="Garamond"/>
          <w:b/>
          <w:sz w:val="22"/>
          <w:szCs w:val="22"/>
          <w:lang w:eastAsia="en-US"/>
        </w:rPr>
        <w:t>ЗАЯВЛЕНИЕ</w:t>
      </w:r>
    </w:p>
    <w:p w14:paraId="5C11C04E" w14:textId="77777777" w:rsidR="004B3B82" w:rsidRPr="004C0B2B" w:rsidRDefault="004B3B82" w:rsidP="00101F7C">
      <w:pPr>
        <w:ind w:right="-108"/>
        <w:jc w:val="center"/>
        <w:rPr>
          <w:rFonts w:ascii="Garamond" w:hAnsi="Garamond"/>
          <w:b/>
          <w:sz w:val="22"/>
          <w:szCs w:val="22"/>
          <w:lang w:eastAsia="en-US"/>
        </w:rPr>
      </w:pPr>
      <w:r w:rsidRPr="004C0B2B">
        <w:rPr>
          <w:rFonts w:ascii="Garamond" w:hAnsi="Garamond"/>
          <w:b/>
          <w:sz w:val="22"/>
          <w:szCs w:val="22"/>
          <w:lang w:eastAsia="en-US"/>
        </w:rPr>
        <w:t>об установлении соответствия системы коммерческого учета электрической энергии техническим требованиям оптового рынка электрической энергии и мощности</w:t>
      </w:r>
    </w:p>
    <w:p w14:paraId="300B55F1" w14:textId="77777777" w:rsidR="004B3B82" w:rsidRPr="004C0B2B" w:rsidRDefault="004B3B82" w:rsidP="00101F7C"/>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4"/>
        <w:gridCol w:w="6946"/>
      </w:tblGrid>
      <w:tr w:rsidR="004B3B82" w:rsidRPr="004C0B2B" w14:paraId="5D3D0650" w14:textId="77777777" w:rsidTr="00CD3B05">
        <w:trPr>
          <w:trHeight w:val="421"/>
        </w:trPr>
        <w:tc>
          <w:tcPr>
            <w:tcW w:w="3114" w:type="dxa"/>
            <w:shd w:val="clear" w:color="auto" w:fill="D9D9D9"/>
            <w:vAlign w:val="center"/>
          </w:tcPr>
          <w:p w14:paraId="3DECBDB7" w14:textId="77777777" w:rsidR="004B3B82" w:rsidRPr="004C0B2B" w:rsidRDefault="004B3B82" w:rsidP="00CD3B05">
            <w:pPr>
              <w:jc w:val="both"/>
              <w:rPr>
                <w:rFonts w:ascii="Garamond" w:hAnsi="Garamond"/>
                <w:sz w:val="22"/>
                <w:szCs w:val="22"/>
                <w:lang w:eastAsia="en-US"/>
              </w:rPr>
            </w:pPr>
            <w:r w:rsidRPr="004C0B2B">
              <w:rPr>
                <w:rFonts w:ascii="Garamond" w:hAnsi="Garamond"/>
                <w:sz w:val="22"/>
                <w:szCs w:val="22"/>
                <w:lang w:eastAsia="en-US"/>
              </w:rPr>
              <w:t>Полное наименование правопреемника</w:t>
            </w:r>
          </w:p>
        </w:tc>
        <w:tc>
          <w:tcPr>
            <w:tcW w:w="6946" w:type="dxa"/>
            <w:shd w:val="clear" w:color="auto" w:fill="auto"/>
            <w:vAlign w:val="center"/>
          </w:tcPr>
          <w:p w14:paraId="3E36F40A" w14:textId="77777777" w:rsidR="004B3B82" w:rsidRPr="004C0B2B" w:rsidRDefault="004B3B82" w:rsidP="00CD3B05">
            <w:pPr>
              <w:autoSpaceDE w:val="0"/>
              <w:autoSpaceDN w:val="0"/>
              <w:rPr>
                <w:rFonts w:ascii="Garamond" w:hAnsi="Garamond"/>
                <w:sz w:val="22"/>
                <w:szCs w:val="22"/>
                <w:lang w:eastAsia="en-US"/>
              </w:rPr>
            </w:pPr>
          </w:p>
        </w:tc>
      </w:tr>
      <w:tr w:rsidR="004B3B82" w:rsidRPr="004C0B2B" w14:paraId="6A4CAEE3" w14:textId="77777777" w:rsidTr="00CD3B05">
        <w:trPr>
          <w:trHeight w:val="340"/>
        </w:trPr>
        <w:tc>
          <w:tcPr>
            <w:tcW w:w="3114" w:type="dxa"/>
            <w:shd w:val="clear" w:color="auto" w:fill="D9D9D9"/>
            <w:vAlign w:val="center"/>
          </w:tcPr>
          <w:p w14:paraId="09280D5F" w14:textId="77777777" w:rsidR="004B3B82" w:rsidRPr="004C0B2B" w:rsidRDefault="004B3B82" w:rsidP="00CD3B05">
            <w:pPr>
              <w:jc w:val="both"/>
              <w:rPr>
                <w:rFonts w:ascii="Garamond" w:hAnsi="Garamond"/>
                <w:sz w:val="22"/>
                <w:szCs w:val="22"/>
                <w:lang w:eastAsia="en-US"/>
              </w:rPr>
            </w:pPr>
            <w:r w:rsidRPr="004C0B2B">
              <w:rPr>
                <w:rFonts w:ascii="Garamond" w:hAnsi="Garamond"/>
                <w:sz w:val="22"/>
                <w:szCs w:val="22"/>
                <w:lang w:eastAsia="en-US"/>
              </w:rPr>
              <w:t>Сокращенное наименование правопреемника</w:t>
            </w:r>
          </w:p>
        </w:tc>
        <w:tc>
          <w:tcPr>
            <w:tcW w:w="6946" w:type="dxa"/>
            <w:shd w:val="clear" w:color="auto" w:fill="auto"/>
            <w:vAlign w:val="center"/>
          </w:tcPr>
          <w:p w14:paraId="6095B4F9" w14:textId="77777777" w:rsidR="004B3B82" w:rsidRPr="004C0B2B" w:rsidRDefault="004B3B82" w:rsidP="00CD3B05">
            <w:pPr>
              <w:jc w:val="both"/>
              <w:rPr>
                <w:rFonts w:ascii="Garamond" w:hAnsi="Garamond"/>
                <w:b/>
                <w:sz w:val="22"/>
                <w:szCs w:val="22"/>
                <w:lang w:eastAsia="en-US"/>
              </w:rPr>
            </w:pPr>
          </w:p>
        </w:tc>
      </w:tr>
    </w:tbl>
    <w:p w14:paraId="1ADE3307" w14:textId="77777777" w:rsidR="004B3B82" w:rsidRPr="004C0B2B" w:rsidRDefault="004B3B82" w:rsidP="00101F7C">
      <w:pPr>
        <w:autoSpaceDE w:val="0"/>
        <w:autoSpaceDN w:val="0"/>
        <w:adjustRightInd w:val="0"/>
        <w:ind w:firstLine="540"/>
        <w:jc w:val="both"/>
        <w:rPr>
          <w:rFonts w:ascii="Garamond" w:hAnsi="Garamond"/>
          <w:sz w:val="18"/>
          <w:szCs w:val="18"/>
        </w:rPr>
      </w:pPr>
      <w:r w:rsidRPr="004C0B2B">
        <w:rPr>
          <w:rFonts w:ascii="Garamond" w:hAnsi="Garamond"/>
          <w:sz w:val="22"/>
          <w:szCs w:val="22"/>
        </w:rPr>
        <w:t xml:space="preserve">являясь правопреемником / победителем конкурса / правопреемником ГП / ТСО ГП </w:t>
      </w:r>
      <w:r w:rsidRPr="004C0B2B">
        <w:rPr>
          <w:rFonts w:ascii="Garamond" w:hAnsi="Garamond"/>
          <w:sz w:val="18"/>
          <w:szCs w:val="18"/>
        </w:rPr>
        <w:t>(</w:t>
      </w:r>
      <w:r w:rsidRPr="004C0B2B">
        <w:rPr>
          <w:rFonts w:ascii="Garamond" w:hAnsi="Garamond"/>
          <w:i/>
          <w:sz w:val="18"/>
          <w:szCs w:val="18"/>
        </w:rPr>
        <w:t>выбрать нужное</w:t>
      </w:r>
      <w:r w:rsidRPr="004C0B2B">
        <w:rPr>
          <w:rFonts w:ascii="Garamond" w:hAnsi="Garamond"/>
          <w:sz w:val="18"/>
          <w:szCs w:val="18"/>
        </w:rPr>
        <w:t>)</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4"/>
        <w:gridCol w:w="6946"/>
      </w:tblGrid>
      <w:tr w:rsidR="004B3B82" w:rsidRPr="004C0B2B" w14:paraId="08E30443" w14:textId="77777777" w:rsidTr="00CD3B05">
        <w:trPr>
          <w:trHeight w:val="421"/>
        </w:trPr>
        <w:tc>
          <w:tcPr>
            <w:tcW w:w="3114" w:type="dxa"/>
            <w:shd w:val="clear" w:color="auto" w:fill="D9D9D9"/>
            <w:vAlign w:val="center"/>
          </w:tcPr>
          <w:p w14:paraId="595850FC" w14:textId="77777777" w:rsidR="004B3B82" w:rsidRPr="004C0B2B" w:rsidRDefault="004B3B82" w:rsidP="00CD3B05">
            <w:pPr>
              <w:jc w:val="both"/>
              <w:rPr>
                <w:rFonts w:ascii="Garamond" w:hAnsi="Garamond"/>
                <w:sz w:val="22"/>
                <w:szCs w:val="22"/>
                <w:lang w:eastAsia="en-US"/>
              </w:rPr>
            </w:pPr>
            <w:r w:rsidRPr="004C0B2B">
              <w:rPr>
                <w:rFonts w:ascii="Garamond" w:hAnsi="Garamond"/>
                <w:sz w:val="22"/>
                <w:szCs w:val="22"/>
                <w:lang w:eastAsia="en-US"/>
              </w:rPr>
              <w:t>Полное наименование правопредшественника</w:t>
            </w:r>
          </w:p>
        </w:tc>
        <w:tc>
          <w:tcPr>
            <w:tcW w:w="6946" w:type="dxa"/>
            <w:shd w:val="clear" w:color="auto" w:fill="auto"/>
            <w:vAlign w:val="center"/>
          </w:tcPr>
          <w:p w14:paraId="2C27AB4A" w14:textId="77777777" w:rsidR="004B3B82" w:rsidRPr="004C0B2B" w:rsidRDefault="004B3B82" w:rsidP="00CD3B05">
            <w:pPr>
              <w:autoSpaceDE w:val="0"/>
              <w:autoSpaceDN w:val="0"/>
              <w:rPr>
                <w:rFonts w:ascii="Garamond" w:hAnsi="Garamond"/>
                <w:sz w:val="22"/>
                <w:szCs w:val="22"/>
                <w:lang w:eastAsia="en-US"/>
              </w:rPr>
            </w:pPr>
          </w:p>
        </w:tc>
      </w:tr>
      <w:tr w:rsidR="004B3B82" w:rsidRPr="004C0B2B" w14:paraId="0FC42332" w14:textId="77777777" w:rsidTr="00CD3B05">
        <w:trPr>
          <w:trHeight w:val="340"/>
        </w:trPr>
        <w:tc>
          <w:tcPr>
            <w:tcW w:w="3114" w:type="dxa"/>
            <w:shd w:val="clear" w:color="auto" w:fill="D9D9D9"/>
            <w:vAlign w:val="center"/>
          </w:tcPr>
          <w:p w14:paraId="082731AB" w14:textId="77777777" w:rsidR="004B3B82" w:rsidRPr="004C0B2B" w:rsidRDefault="004B3B82" w:rsidP="00CD3B05">
            <w:pPr>
              <w:jc w:val="both"/>
              <w:rPr>
                <w:rFonts w:ascii="Garamond" w:hAnsi="Garamond"/>
                <w:sz w:val="22"/>
                <w:szCs w:val="22"/>
                <w:lang w:eastAsia="en-US"/>
              </w:rPr>
            </w:pPr>
            <w:r w:rsidRPr="004C0B2B">
              <w:rPr>
                <w:rFonts w:ascii="Garamond" w:hAnsi="Garamond"/>
                <w:sz w:val="22"/>
                <w:szCs w:val="22"/>
                <w:lang w:eastAsia="en-US"/>
              </w:rPr>
              <w:t>Сокращенное наименование правопредшественника</w:t>
            </w:r>
          </w:p>
        </w:tc>
        <w:tc>
          <w:tcPr>
            <w:tcW w:w="6946" w:type="dxa"/>
            <w:shd w:val="clear" w:color="auto" w:fill="auto"/>
            <w:vAlign w:val="center"/>
          </w:tcPr>
          <w:p w14:paraId="62A930DB" w14:textId="77777777" w:rsidR="004B3B82" w:rsidRPr="004C0B2B" w:rsidRDefault="004B3B82" w:rsidP="00CD3B05">
            <w:pPr>
              <w:jc w:val="both"/>
              <w:rPr>
                <w:rFonts w:ascii="Garamond" w:hAnsi="Garamond"/>
                <w:b/>
                <w:sz w:val="22"/>
                <w:szCs w:val="22"/>
                <w:lang w:eastAsia="en-US"/>
              </w:rPr>
            </w:pPr>
          </w:p>
        </w:tc>
      </w:tr>
    </w:tbl>
    <w:p w14:paraId="7286DC46" w14:textId="77777777" w:rsidR="004B3B82" w:rsidRPr="004C0B2B" w:rsidRDefault="004B3B82" w:rsidP="00101F7C">
      <w:pPr>
        <w:autoSpaceDE w:val="0"/>
        <w:autoSpaceDN w:val="0"/>
        <w:spacing w:before="220" w:after="220"/>
        <w:jc w:val="both"/>
        <w:rPr>
          <w:rFonts w:ascii="Garamond" w:hAnsi="Garamond"/>
          <w:sz w:val="22"/>
          <w:szCs w:val="22"/>
        </w:rPr>
      </w:pPr>
      <w:r w:rsidRPr="004C0B2B">
        <w:rPr>
          <w:rFonts w:ascii="Garamond" w:hAnsi="Garamond"/>
          <w:sz w:val="22"/>
          <w:szCs w:val="22"/>
          <w:lang w:eastAsia="en-US"/>
        </w:rPr>
        <w:t xml:space="preserve">выражает намерение </w:t>
      </w:r>
      <w:r w:rsidRPr="004C0B2B">
        <w:rPr>
          <w:rFonts w:ascii="Garamond" w:hAnsi="Garamond"/>
          <w:spacing w:val="-2"/>
          <w:sz w:val="22"/>
          <w:szCs w:val="22"/>
        </w:rPr>
        <w:t xml:space="preserve">получить </w:t>
      </w:r>
      <w:r w:rsidRPr="004C0B2B">
        <w:rPr>
          <w:rFonts w:ascii="Garamond" w:hAnsi="Garamond"/>
          <w:sz w:val="22"/>
          <w:szCs w:val="22"/>
        </w:rPr>
        <w:t>Акт о соответствии системы коммерческого учета электрической энергии техническим требованиям оптового рынка электрической энергии и мощности по сечению КУ / ГТП генерации,</w:t>
      </w:r>
      <w:r w:rsidRPr="004C0B2B">
        <w:rPr>
          <w:rFonts w:ascii="Garamond" w:hAnsi="Garamond"/>
          <w:sz w:val="22"/>
          <w:szCs w:val="22"/>
          <w:lang w:eastAsia="en-US"/>
        </w:rPr>
        <w:t xml:space="preserve"> в отношении которого на момент возникновения у правопреемника </w:t>
      </w:r>
      <w:r w:rsidRPr="004C0B2B">
        <w:rPr>
          <w:rFonts w:ascii="Garamond" w:hAnsi="Garamond"/>
          <w:sz w:val="22"/>
          <w:szCs w:val="22"/>
        </w:rPr>
        <w:t>права участия в торговле электрической энергией (мощностью) с использованием ГТП правопредшественника действовал Акт о соответствии АИИС КУЭ класса А, утвержденный КО в отношении АИИС КУЭ правопредшественника,</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4"/>
        <w:gridCol w:w="6946"/>
      </w:tblGrid>
      <w:tr w:rsidR="004B3B82" w:rsidRPr="004C0B2B" w14:paraId="478F1538" w14:textId="77777777" w:rsidTr="00CD3B05">
        <w:trPr>
          <w:trHeight w:val="340"/>
        </w:trPr>
        <w:tc>
          <w:tcPr>
            <w:tcW w:w="3114" w:type="dxa"/>
            <w:shd w:val="clear" w:color="auto" w:fill="D9D9D9"/>
            <w:vAlign w:val="center"/>
          </w:tcPr>
          <w:p w14:paraId="3ABD6297" w14:textId="77777777" w:rsidR="004B3B82" w:rsidRPr="004C0B2B" w:rsidRDefault="004B3B82" w:rsidP="00CD3B05">
            <w:pPr>
              <w:jc w:val="both"/>
              <w:rPr>
                <w:rFonts w:ascii="Garamond" w:hAnsi="Garamond"/>
                <w:sz w:val="22"/>
                <w:szCs w:val="22"/>
                <w:vertAlign w:val="superscript"/>
                <w:lang w:eastAsia="en-US"/>
              </w:rPr>
            </w:pPr>
            <w:r w:rsidRPr="004C0B2B">
              <w:rPr>
                <w:rFonts w:ascii="Garamond" w:hAnsi="Garamond"/>
                <w:sz w:val="22"/>
                <w:szCs w:val="22"/>
                <w:lang w:eastAsia="en-US"/>
              </w:rPr>
              <w:t>Наименование сечения КУ/ ГТП генерации</w:t>
            </w:r>
            <w:r w:rsidRPr="004C0B2B">
              <w:rPr>
                <w:rFonts w:ascii="Garamond" w:hAnsi="Garamond"/>
                <w:sz w:val="22"/>
                <w:szCs w:val="22"/>
                <w:vertAlign w:val="superscript"/>
                <w:lang w:eastAsia="en-US"/>
              </w:rPr>
              <w:t xml:space="preserve"> 1</w:t>
            </w:r>
          </w:p>
        </w:tc>
        <w:tc>
          <w:tcPr>
            <w:tcW w:w="6946" w:type="dxa"/>
            <w:shd w:val="clear" w:color="auto" w:fill="auto"/>
            <w:vAlign w:val="center"/>
          </w:tcPr>
          <w:p w14:paraId="0E7C09C2" w14:textId="77777777" w:rsidR="004B3B82" w:rsidRPr="004C0B2B" w:rsidRDefault="004B3B82" w:rsidP="00CD3B05">
            <w:pPr>
              <w:jc w:val="both"/>
              <w:rPr>
                <w:rFonts w:ascii="Garamond" w:hAnsi="Garamond"/>
                <w:b/>
                <w:sz w:val="22"/>
                <w:szCs w:val="22"/>
                <w:lang w:eastAsia="en-US"/>
              </w:rPr>
            </w:pPr>
          </w:p>
        </w:tc>
      </w:tr>
      <w:tr w:rsidR="004B3B82" w:rsidRPr="004C0B2B" w14:paraId="3779FE25" w14:textId="77777777" w:rsidTr="00CD3B05">
        <w:trPr>
          <w:trHeight w:val="340"/>
        </w:trPr>
        <w:tc>
          <w:tcPr>
            <w:tcW w:w="3114" w:type="dxa"/>
            <w:shd w:val="clear" w:color="auto" w:fill="D9D9D9"/>
            <w:vAlign w:val="center"/>
          </w:tcPr>
          <w:p w14:paraId="572DD298" w14:textId="77777777" w:rsidR="004B3B82" w:rsidRPr="004C0B2B" w:rsidRDefault="004B3B82" w:rsidP="00CD3B05">
            <w:pPr>
              <w:jc w:val="both"/>
              <w:rPr>
                <w:rFonts w:ascii="Garamond" w:hAnsi="Garamond"/>
                <w:sz w:val="22"/>
                <w:szCs w:val="22"/>
                <w:lang w:eastAsia="en-US"/>
              </w:rPr>
            </w:pPr>
            <w:r w:rsidRPr="004C0B2B">
              <w:rPr>
                <w:rFonts w:ascii="Garamond" w:hAnsi="Garamond"/>
                <w:sz w:val="22"/>
                <w:szCs w:val="22"/>
                <w:lang w:eastAsia="en-US"/>
              </w:rPr>
              <w:t>Основание </w:t>
            </w:r>
            <w:r w:rsidRPr="004C0B2B">
              <w:rPr>
                <w:rFonts w:ascii="Garamond" w:hAnsi="Garamond"/>
                <w:sz w:val="22"/>
                <w:szCs w:val="22"/>
                <w:vertAlign w:val="superscript"/>
                <w:lang w:eastAsia="en-US"/>
              </w:rPr>
              <w:t>2</w:t>
            </w:r>
          </w:p>
        </w:tc>
        <w:tc>
          <w:tcPr>
            <w:tcW w:w="6946" w:type="dxa"/>
            <w:shd w:val="clear" w:color="auto" w:fill="auto"/>
            <w:vAlign w:val="center"/>
          </w:tcPr>
          <w:p w14:paraId="13F4F57A" w14:textId="77777777" w:rsidR="004B3B82" w:rsidRPr="004C0B2B" w:rsidRDefault="004B3B82" w:rsidP="00CD3B05">
            <w:pPr>
              <w:jc w:val="both"/>
              <w:rPr>
                <w:rFonts w:ascii="Garamond" w:hAnsi="Garamond"/>
                <w:b/>
                <w:sz w:val="22"/>
                <w:szCs w:val="22"/>
                <w:lang w:eastAsia="en-US"/>
              </w:rPr>
            </w:pPr>
          </w:p>
        </w:tc>
      </w:tr>
      <w:tr w:rsidR="004B3B82" w:rsidRPr="004C0B2B" w14:paraId="1670E9E4" w14:textId="77777777" w:rsidTr="00CD3B05">
        <w:trPr>
          <w:trHeight w:val="340"/>
        </w:trPr>
        <w:tc>
          <w:tcPr>
            <w:tcW w:w="3114" w:type="dxa"/>
            <w:tcBorders>
              <w:top w:val="single" w:sz="4" w:space="0" w:color="auto"/>
              <w:left w:val="single" w:sz="4" w:space="0" w:color="auto"/>
              <w:bottom w:val="single" w:sz="4" w:space="0" w:color="auto"/>
              <w:right w:val="single" w:sz="4" w:space="0" w:color="auto"/>
            </w:tcBorders>
            <w:shd w:val="clear" w:color="auto" w:fill="D9D9D9"/>
            <w:vAlign w:val="center"/>
          </w:tcPr>
          <w:p w14:paraId="5E17AD74" w14:textId="77777777" w:rsidR="004B3B82" w:rsidRPr="004C0B2B" w:rsidRDefault="004B3B82" w:rsidP="00CD3B05">
            <w:pPr>
              <w:jc w:val="both"/>
              <w:rPr>
                <w:rFonts w:ascii="Garamond" w:hAnsi="Garamond"/>
                <w:sz w:val="22"/>
                <w:szCs w:val="22"/>
                <w:lang w:eastAsia="en-US"/>
              </w:rPr>
            </w:pPr>
            <w:r w:rsidRPr="004C0B2B">
              <w:rPr>
                <w:rFonts w:ascii="Garamond" w:hAnsi="Garamond"/>
                <w:sz w:val="22"/>
                <w:szCs w:val="22"/>
                <w:lang w:eastAsia="en-US"/>
              </w:rPr>
              <w:t>Акт о соответствии АИИС КУЭ класса А правопредшественника</w:t>
            </w:r>
          </w:p>
        </w:tc>
        <w:tc>
          <w:tcPr>
            <w:tcW w:w="6946" w:type="dxa"/>
            <w:tcBorders>
              <w:top w:val="single" w:sz="4" w:space="0" w:color="auto"/>
              <w:left w:val="single" w:sz="4" w:space="0" w:color="auto"/>
              <w:bottom w:val="single" w:sz="4" w:space="0" w:color="auto"/>
              <w:right w:val="single" w:sz="4" w:space="0" w:color="auto"/>
            </w:tcBorders>
            <w:shd w:val="clear" w:color="auto" w:fill="auto"/>
            <w:vAlign w:val="center"/>
          </w:tcPr>
          <w:p w14:paraId="4D661714" w14:textId="77777777" w:rsidR="004B3B82" w:rsidRPr="004C0B2B" w:rsidRDefault="004B3B82" w:rsidP="00CD3B05">
            <w:pPr>
              <w:jc w:val="both"/>
              <w:rPr>
                <w:rFonts w:ascii="Garamond" w:hAnsi="Garamond"/>
                <w:sz w:val="22"/>
                <w:szCs w:val="22"/>
                <w:lang w:eastAsia="en-US"/>
              </w:rPr>
            </w:pPr>
            <w:r w:rsidRPr="004C0B2B">
              <w:rPr>
                <w:rFonts w:ascii="Garamond" w:hAnsi="Garamond"/>
                <w:sz w:val="22"/>
                <w:szCs w:val="22"/>
                <w:lang w:eastAsia="en-US"/>
              </w:rPr>
              <w:t xml:space="preserve">№ _________ от ____________ </w:t>
            </w:r>
          </w:p>
          <w:p w14:paraId="60902F3C" w14:textId="77777777" w:rsidR="004B3B82" w:rsidRPr="004C0B2B" w:rsidRDefault="004B3B82" w:rsidP="00CD3B05">
            <w:pPr>
              <w:jc w:val="both"/>
              <w:rPr>
                <w:rFonts w:ascii="Garamond" w:hAnsi="Garamond"/>
                <w:sz w:val="22"/>
                <w:szCs w:val="22"/>
                <w:lang w:eastAsia="en-US"/>
              </w:rPr>
            </w:pPr>
            <w:r w:rsidRPr="004C0B2B">
              <w:rPr>
                <w:rFonts w:ascii="Garamond" w:hAnsi="Garamond"/>
                <w:sz w:val="18"/>
                <w:szCs w:val="18"/>
                <w:lang w:eastAsia="en-US"/>
              </w:rPr>
              <w:t>(</w:t>
            </w:r>
            <w:r w:rsidRPr="004C0B2B">
              <w:rPr>
                <w:rFonts w:ascii="Garamond" w:hAnsi="Garamond"/>
                <w:i/>
                <w:sz w:val="18"/>
                <w:szCs w:val="18"/>
                <w:lang w:eastAsia="en-US"/>
              </w:rPr>
              <w:t>указать реквизиты Акта о соответствии АИИС КУЭ)</w:t>
            </w:r>
          </w:p>
        </w:tc>
      </w:tr>
    </w:tbl>
    <w:p w14:paraId="04C9822F" w14:textId="77777777" w:rsidR="004B3B82" w:rsidRPr="004C0B2B" w:rsidRDefault="004B3B82" w:rsidP="00101F7C">
      <w:pPr>
        <w:autoSpaceDE w:val="0"/>
        <w:autoSpaceDN w:val="0"/>
        <w:adjustRightInd w:val="0"/>
        <w:spacing w:before="220"/>
        <w:jc w:val="both"/>
        <w:rPr>
          <w:rFonts w:ascii="Garamond" w:hAnsi="Garamond"/>
          <w:sz w:val="22"/>
          <w:szCs w:val="22"/>
          <w:lang w:eastAsia="en-US"/>
        </w:rPr>
      </w:pPr>
      <w:r w:rsidRPr="004C0B2B">
        <w:rPr>
          <w:rFonts w:ascii="Garamond" w:hAnsi="Garamond"/>
          <w:sz w:val="22"/>
          <w:szCs w:val="22"/>
          <w:lang w:eastAsia="en-US"/>
        </w:rPr>
        <w:t xml:space="preserve"> и подтверждает:</w:t>
      </w:r>
    </w:p>
    <w:p w14:paraId="4193FAF3" w14:textId="77777777" w:rsidR="004B3B82" w:rsidRPr="004C0B2B" w:rsidRDefault="004B3B82" w:rsidP="00101F7C">
      <w:pPr>
        <w:autoSpaceDE w:val="0"/>
        <w:autoSpaceDN w:val="0"/>
        <w:jc w:val="both"/>
        <w:rPr>
          <w:rFonts w:ascii="Garamond" w:hAnsi="Garamond"/>
          <w:sz w:val="22"/>
          <w:szCs w:val="22"/>
        </w:rPr>
      </w:pPr>
      <w:r w:rsidRPr="004C0B2B">
        <w:rPr>
          <w:rFonts w:ascii="Garamond" w:hAnsi="Garamond"/>
          <w:sz w:val="22"/>
          <w:szCs w:val="22"/>
        </w:rPr>
        <w:t>– наличие права использования АИИС КУЭ</w:t>
      </w:r>
      <w:r>
        <w:rPr>
          <w:rFonts w:ascii="Garamond" w:hAnsi="Garamond"/>
          <w:sz w:val="22"/>
          <w:szCs w:val="22"/>
        </w:rPr>
        <w:t xml:space="preserve"> </w:t>
      </w:r>
      <w:r w:rsidRPr="00D14D87">
        <w:rPr>
          <w:rFonts w:ascii="Garamond" w:hAnsi="Garamond"/>
          <w:sz w:val="22"/>
          <w:szCs w:val="22"/>
          <w:highlight w:val="yellow"/>
        </w:rPr>
        <w:t xml:space="preserve">и </w:t>
      </w:r>
      <w:r w:rsidRPr="00D14D87">
        <w:rPr>
          <w:rFonts w:ascii="Garamond" w:hAnsi="Garamond"/>
          <w:sz w:val="22"/>
          <w:szCs w:val="22"/>
          <w:highlight w:val="yellow"/>
          <w:lang w:eastAsia="en-US"/>
        </w:rPr>
        <w:t>документов в отношении АИИС КУЭ</w:t>
      </w:r>
      <w:r w:rsidRPr="004C0B2B">
        <w:rPr>
          <w:rFonts w:ascii="Garamond" w:hAnsi="Garamond"/>
          <w:sz w:val="22"/>
          <w:szCs w:val="22"/>
        </w:rPr>
        <w:t>, ранее использовавшейся прежним участником оптового рынка, и неизменность ее структуры;</w:t>
      </w:r>
    </w:p>
    <w:p w14:paraId="650F06C1" w14:textId="77777777" w:rsidR="004B3B82" w:rsidRPr="004C0B2B" w:rsidRDefault="004B3B82" w:rsidP="00101F7C">
      <w:pPr>
        <w:autoSpaceDE w:val="0"/>
        <w:autoSpaceDN w:val="0"/>
        <w:jc w:val="both"/>
        <w:rPr>
          <w:rFonts w:ascii="Garamond" w:hAnsi="Garamond"/>
          <w:sz w:val="22"/>
          <w:szCs w:val="22"/>
        </w:rPr>
      </w:pPr>
      <w:r w:rsidRPr="004C0B2B">
        <w:rPr>
          <w:rFonts w:ascii="Garamond" w:hAnsi="Garamond"/>
          <w:sz w:val="22"/>
          <w:szCs w:val="22"/>
        </w:rPr>
        <w:t>– наличие «</w:t>
      </w:r>
      <w:r w:rsidRPr="004C0B2B">
        <w:rPr>
          <w:rFonts w:ascii="Garamond" w:hAnsi="Garamond"/>
          <w:sz w:val="22"/>
          <w:szCs w:val="22"/>
          <w:lang w:val="en-US"/>
        </w:rPr>
        <w:t>area</w:t>
      </w:r>
      <w:r w:rsidRPr="004C0B2B">
        <w:rPr>
          <w:rFonts w:ascii="Garamond" w:hAnsi="Garamond"/>
          <w:sz w:val="22"/>
          <w:szCs w:val="22"/>
        </w:rPr>
        <w:t>» по составу точек измерений в ГТП правопреемника, соответствующей составу точек измерений, на которые был оформлен вышеуказанный Акт о соответствии АИИС КУЭ;</w:t>
      </w:r>
    </w:p>
    <w:p w14:paraId="0C830916" w14:textId="77777777" w:rsidR="004B3B82" w:rsidRPr="004C0B2B" w:rsidRDefault="004B3B82" w:rsidP="00101F7C">
      <w:pPr>
        <w:autoSpaceDE w:val="0"/>
        <w:autoSpaceDN w:val="0"/>
        <w:jc w:val="both"/>
        <w:rPr>
          <w:rFonts w:ascii="Garamond" w:hAnsi="Garamond"/>
          <w:sz w:val="22"/>
          <w:szCs w:val="22"/>
        </w:rPr>
      </w:pPr>
      <w:r w:rsidRPr="004C0B2B">
        <w:rPr>
          <w:rFonts w:ascii="Garamond" w:hAnsi="Garamond"/>
          <w:sz w:val="22"/>
          <w:szCs w:val="22"/>
        </w:rPr>
        <w:t>– соответствие АИИС КУЭ, ранее использовавшейся прежним участником оптового рынка, техническим требованиям оптового рынка электроэнергии (мощности) класса А.</w:t>
      </w:r>
    </w:p>
    <w:p w14:paraId="1A0044D8" w14:textId="77777777" w:rsidR="004B3B82" w:rsidRPr="004C0B2B" w:rsidRDefault="004B3B82" w:rsidP="00101F7C">
      <w:pPr>
        <w:autoSpaceDE w:val="0"/>
        <w:autoSpaceDN w:val="0"/>
        <w:adjustRightInd w:val="0"/>
        <w:jc w:val="both"/>
        <w:rPr>
          <w:rFonts w:ascii="Garamond" w:hAnsi="Garamond"/>
          <w:sz w:val="22"/>
          <w:szCs w:val="22"/>
          <w:lang w:eastAsia="en-US"/>
        </w:rPr>
      </w:pPr>
      <w:r w:rsidRPr="004C0B2B">
        <w:rPr>
          <w:rFonts w:ascii="Garamond" w:hAnsi="Garamond"/>
          <w:sz w:val="22"/>
          <w:szCs w:val="22"/>
          <w:lang w:eastAsia="en-US"/>
        </w:rPr>
        <w:t xml:space="preserve">Подтверждаю, что измерения электрической энергии (мощности) по точкам поставки, в отношении которых допускается использовать средства измерений, не включенные в АИИС КУЭ, выполняются с применением средств измерений утвержденного типа, прошедших поверку в соответствии с требованиями Федерального закона от 26.06.2008 г. № 102-ФЗ «Об обеспечении единства измерений» к измерениям, относящимся к сфере государственного регулирования обеспечения единства измерений </w:t>
      </w:r>
      <w:r w:rsidRPr="004C0B2B">
        <w:rPr>
          <w:rFonts w:ascii="Garamond" w:hAnsi="Garamond"/>
          <w:sz w:val="18"/>
          <w:szCs w:val="18"/>
        </w:rPr>
        <w:t>(</w:t>
      </w:r>
      <w:r w:rsidRPr="004C0B2B">
        <w:rPr>
          <w:rFonts w:ascii="Garamond" w:hAnsi="Garamond"/>
          <w:i/>
          <w:sz w:val="18"/>
          <w:szCs w:val="18"/>
        </w:rPr>
        <w:t>указывается при наличии средств измерений, не включенных в АИИС КУЭ</w:t>
      </w:r>
      <w:r w:rsidRPr="004C0B2B">
        <w:rPr>
          <w:rFonts w:ascii="Garamond" w:hAnsi="Garamond"/>
          <w:sz w:val="18"/>
          <w:szCs w:val="18"/>
        </w:rPr>
        <w:t>)</w:t>
      </w:r>
      <w:r w:rsidRPr="004C0B2B">
        <w:rPr>
          <w:rFonts w:ascii="Garamond" w:hAnsi="Garamond"/>
          <w:sz w:val="22"/>
          <w:szCs w:val="22"/>
          <w:lang w:eastAsia="en-US"/>
        </w:rPr>
        <w:t>.</w:t>
      </w:r>
    </w:p>
    <w:tbl>
      <w:tblPr>
        <w:tblW w:w="10003" w:type="dxa"/>
        <w:tblLook w:val="04A0" w:firstRow="1" w:lastRow="0" w:firstColumn="1" w:lastColumn="0" w:noHBand="0" w:noVBand="1"/>
      </w:tblPr>
      <w:tblGrid>
        <w:gridCol w:w="3224"/>
        <w:gridCol w:w="3556"/>
        <w:gridCol w:w="3223"/>
      </w:tblGrid>
      <w:tr w:rsidR="004B3B82" w:rsidRPr="004C0B2B" w14:paraId="223CB184" w14:textId="77777777" w:rsidTr="00CD3B05">
        <w:trPr>
          <w:trHeight w:val="665"/>
        </w:trPr>
        <w:tc>
          <w:tcPr>
            <w:tcW w:w="3224" w:type="dxa"/>
            <w:tcBorders>
              <w:bottom w:val="single" w:sz="4" w:space="0" w:color="auto"/>
            </w:tcBorders>
            <w:shd w:val="clear" w:color="auto" w:fill="auto"/>
            <w:vAlign w:val="center"/>
          </w:tcPr>
          <w:p w14:paraId="175DE09F" w14:textId="77777777" w:rsidR="004B3B82" w:rsidRPr="004C0B2B" w:rsidRDefault="004B3B82" w:rsidP="00CD3B05">
            <w:pPr>
              <w:jc w:val="center"/>
              <w:rPr>
                <w:rFonts w:ascii="Garamond" w:hAnsi="Garamond"/>
                <w:b/>
                <w:sz w:val="22"/>
                <w:szCs w:val="22"/>
                <w:lang w:eastAsia="en-US"/>
              </w:rPr>
            </w:pPr>
            <w:r w:rsidRPr="004C0B2B">
              <w:rPr>
                <w:rFonts w:ascii="Garamond" w:hAnsi="Garamond"/>
                <w:sz w:val="22"/>
                <w:szCs w:val="22"/>
              </w:rPr>
              <w:t xml:space="preserve"> </w:t>
            </w:r>
          </w:p>
        </w:tc>
        <w:tc>
          <w:tcPr>
            <w:tcW w:w="3556" w:type="dxa"/>
            <w:shd w:val="clear" w:color="auto" w:fill="auto"/>
            <w:vAlign w:val="center"/>
          </w:tcPr>
          <w:p w14:paraId="077EF88D" w14:textId="77777777" w:rsidR="004B3B82" w:rsidRPr="004C0B2B" w:rsidRDefault="004B3B82" w:rsidP="00CD3B05">
            <w:pPr>
              <w:jc w:val="center"/>
              <w:rPr>
                <w:rFonts w:ascii="Garamond" w:hAnsi="Garamond"/>
                <w:i/>
                <w:sz w:val="22"/>
                <w:szCs w:val="22"/>
                <w:lang w:eastAsia="en-US"/>
              </w:rPr>
            </w:pPr>
          </w:p>
        </w:tc>
        <w:tc>
          <w:tcPr>
            <w:tcW w:w="3223" w:type="dxa"/>
            <w:tcBorders>
              <w:bottom w:val="single" w:sz="4" w:space="0" w:color="auto"/>
            </w:tcBorders>
            <w:shd w:val="clear" w:color="auto" w:fill="auto"/>
            <w:vAlign w:val="center"/>
          </w:tcPr>
          <w:p w14:paraId="2D11E2F6" w14:textId="77777777" w:rsidR="004B3B82" w:rsidRPr="004C0B2B" w:rsidRDefault="004B3B82" w:rsidP="00CD3B05">
            <w:pPr>
              <w:jc w:val="center"/>
              <w:rPr>
                <w:rFonts w:ascii="Garamond" w:hAnsi="Garamond"/>
                <w:b/>
                <w:sz w:val="22"/>
                <w:szCs w:val="22"/>
                <w:lang w:eastAsia="en-US"/>
              </w:rPr>
            </w:pPr>
          </w:p>
        </w:tc>
      </w:tr>
      <w:tr w:rsidR="004B3B82" w:rsidRPr="004C0B2B" w14:paraId="518390E2" w14:textId="77777777" w:rsidTr="00CD3B05">
        <w:trPr>
          <w:trHeight w:val="665"/>
        </w:trPr>
        <w:tc>
          <w:tcPr>
            <w:tcW w:w="3224" w:type="dxa"/>
            <w:tcBorders>
              <w:top w:val="single" w:sz="4" w:space="0" w:color="auto"/>
            </w:tcBorders>
            <w:shd w:val="clear" w:color="auto" w:fill="auto"/>
            <w:vAlign w:val="center"/>
          </w:tcPr>
          <w:p w14:paraId="0D72C6A2" w14:textId="77777777" w:rsidR="004B3B82" w:rsidRPr="004C0B2B" w:rsidRDefault="004B3B82" w:rsidP="00CD3B05">
            <w:pPr>
              <w:jc w:val="center"/>
              <w:rPr>
                <w:rFonts w:ascii="Garamond" w:hAnsi="Garamond"/>
                <w:i/>
                <w:sz w:val="22"/>
                <w:szCs w:val="22"/>
                <w:lang w:eastAsia="en-US"/>
              </w:rPr>
            </w:pPr>
            <w:r w:rsidRPr="004C0B2B">
              <w:rPr>
                <w:rFonts w:ascii="Garamond" w:hAnsi="Garamond"/>
                <w:i/>
                <w:sz w:val="18"/>
                <w:szCs w:val="18"/>
                <w:lang w:eastAsia="en-US"/>
              </w:rPr>
              <w:t>(должность руководителя)</w:t>
            </w:r>
          </w:p>
        </w:tc>
        <w:tc>
          <w:tcPr>
            <w:tcW w:w="3556" w:type="dxa"/>
            <w:shd w:val="clear" w:color="auto" w:fill="auto"/>
            <w:vAlign w:val="center"/>
          </w:tcPr>
          <w:p w14:paraId="073AF8BE" w14:textId="77777777" w:rsidR="004B3B82" w:rsidRPr="004C0B2B" w:rsidRDefault="004B3B82" w:rsidP="00CD3B05">
            <w:pPr>
              <w:jc w:val="center"/>
              <w:rPr>
                <w:rFonts w:ascii="Garamond" w:hAnsi="Garamond"/>
                <w:i/>
                <w:sz w:val="22"/>
                <w:szCs w:val="22"/>
                <w:lang w:eastAsia="en-US"/>
              </w:rPr>
            </w:pPr>
          </w:p>
        </w:tc>
        <w:tc>
          <w:tcPr>
            <w:tcW w:w="3223" w:type="dxa"/>
            <w:tcBorders>
              <w:top w:val="single" w:sz="4" w:space="0" w:color="auto"/>
            </w:tcBorders>
            <w:shd w:val="clear" w:color="auto" w:fill="auto"/>
            <w:vAlign w:val="center"/>
          </w:tcPr>
          <w:p w14:paraId="7C6533DD" w14:textId="77777777" w:rsidR="004B3B82" w:rsidRPr="004C0B2B" w:rsidRDefault="004B3B82" w:rsidP="00CD3B05">
            <w:pPr>
              <w:jc w:val="center"/>
              <w:rPr>
                <w:rFonts w:ascii="Garamond" w:hAnsi="Garamond"/>
                <w:i/>
                <w:sz w:val="22"/>
                <w:szCs w:val="22"/>
                <w:lang w:eastAsia="en-US"/>
              </w:rPr>
            </w:pPr>
            <w:r w:rsidRPr="004C0B2B">
              <w:rPr>
                <w:rFonts w:ascii="Garamond" w:hAnsi="Garamond"/>
                <w:i/>
                <w:sz w:val="18"/>
                <w:szCs w:val="18"/>
                <w:lang w:eastAsia="en-US"/>
              </w:rPr>
              <w:t>(Ф. И. О.)</w:t>
            </w:r>
          </w:p>
        </w:tc>
      </w:tr>
    </w:tbl>
    <w:p w14:paraId="3F5A01A6" w14:textId="77777777" w:rsidR="004B3B82" w:rsidRPr="004C0B2B" w:rsidRDefault="004B3B82" w:rsidP="00101F7C">
      <w:pPr>
        <w:jc w:val="both"/>
        <w:rPr>
          <w:rFonts w:ascii="Garamond" w:hAnsi="Garamond"/>
          <w:b/>
          <w:bCs/>
          <w:lang w:eastAsia="en-US"/>
        </w:rPr>
      </w:pPr>
    </w:p>
    <w:p w14:paraId="7AFE0515" w14:textId="77777777" w:rsidR="004B3B82" w:rsidRPr="004C0B2B" w:rsidRDefault="004B3B82" w:rsidP="00101F7C">
      <w:pPr>
        <w:jc w:val="both"/>
        <w:rPr>
          <w:rFonts w:ascii="Garamond" w:hAnsi="Garamond"/>
          <w:b/>
          <w:bCs/>
          <w:lang w:eastAsia="en-US"/>
        </w:rPr>
      </w:pPr>
    </w:p>
    <w:p w14:paraId="7E15F747" w14:textId="77777777" w:rsidR="004B3B82" w:rsidRPr="004C0B2B" w:rsidRDefault="004B3B82" w:rsidP="00101F7C">
      <w:pPr>
        <w:jc w:val="both"/>
        <w:rPr>
          <w:rFonts w:ascii="Garamond" w:hAnsi="Garamond"/>
          <w:b/>
          <w:bCs/>
          <w:lang w:eastAsia="en-US"/>
        </w:rPr>
      </w:pPr>
    </w:p>
    <w:p w14:paraId="2BBC5A5A" w14:textId="77777777" w:rsidR="004B3B82" w:rsidRPr="004C0B2B" w:rsidRDefault="004B3B82" w:rsidP="00101F7C">
      <w:pPr>
        <w:jc w:val="both"/>
        <w:rPr>
          <w:rFonts w:ascii="Garamond" w:hAnsi="Garamond"/>
          <w:b/>
          <w:bCs/>
          <w:lang w:eastAsia="en-US"/>
        </w:rPr>
      </w:pPr>
    </w:p>
    <w:p w14:paraId="73E2F666" w14:textId="77777777" w:rsidR="004B3B82" w:rsidRPr="004C0B2B" w:rsidRDefault="004B3B82" w:rsidP="00101F7C">
      <w:pPr>
        <w:jc w:val="both"/>
        <w:rPr>
          <w:rFonts w:ascii="Garamond" w:hAnsi="Garamond"/>
          <w:b/>
          <w:bCs/>
          <w:lang w:eastAsia="en-US"/>
        </w:rPr>
      </w:pPr>
      <w:r w:rsidRPr="004C0B2B">
        <w:rPr>
          <w:rFonts w:ascii="Garamond" w:hAnsi="Garamond"/>
          <w:b/>
          <w:bCs/>
          <w:lang w:eastAsia="en-US"/>
        </w:rPr>
        <w:lastRenderedPageBreak/>
        <w:t>Примечания.</w:t>
      </w:r>
    </w:p>
    <w:p w14:paraId="6513A0BC" w14:textId="77777777" w:rsidR="004B3B82" w:rsidRPr="004C0B2B" w:rsidRDefault="004B3B82" w:rsidP="004B3B82">
      <w:pPr>
        <w:pStyle w:val="ac"/>
        <w:numPr>
          <w:ilvl w:val="0"/>
          <w:numId w:val="124"/>
        </w:numPr>
        <w:spacing w:before="160" w:after="160" w:line="259" w:lineRule="auto"/>
        <w:ind w:left="426" w:hanging="284"/>
        <w:jc w:val="both"/>
        <w:rPr>
          <w:rFonts w:ascii="Garamond" w:hAnsi="Garamond"/>
        </w:rPr>
      </w:pPr>
      <w:r w:rsidRPr="004C0B2B">
        <w:rPr>
          <w:rFonts w:ascii="Garamond" w:hAnsi="Garamond"/>
        </w:rPr>
        <w:t>Указать наименование и буквенный код сечения коммерческого учета или ГТП генерации, в отношении которого заявлено оформление Акта о соответствии АИИС КУЭ, например:</w:t>
      </w:r>
    </w:p>
    <w:p w14:paraId="3D0A4BE6" w14:textId="77777777" w:rsidR="004B3B82" w:rsidRPr="004C0B2B" w:rsidRDefault="004B3B82" w:rsidP="00101F7C">
      <w:pPr>
        <w:pStyle w:val="ac"/>
        <w:ind w:left="567" w:hanging="283"/>
        <w:jc w:val="both"/>
        <w:rPr>
          <w:rFonts w:ascii="Garamond" w:hAnsi="Garamond"/>
        </w:rPr>
      </w:pPr>
      <w:r w:rsidRPr="004C0B2B">
        <w:rPr>
          <w:rFonts w:ascii="Garamond" w:hAnsi="Garamond"/>
        </w:rPr>
        <w:t>ЗАО «СбыТ» (ОАО «Уралсталь») – ОАО «Энергосбыт Север» (ОАО «Северскэнергосбыт») (P</w:t>
      </w:r>
      <w:r w:rsidRPr="004C0B2B">
        <w:rPr>
          <w:rFonts w:ascii="Garamond" w:hAnsi="Garamond"/>
          <w:lang w:val="en-US"/>
        </w:rPr>
        <w:t>SFIEN</w:t>
      </w:r>
      <w:r w:rsidRPr="004C0B2B">
        <w:rPr>
          <w:rFonts w:ascii="Garamond" w:hAnsi="Garamond"/>
        </w:rPr>
        <w:t>27-PS</w:t>
      </w:r>
      <w:r w:rsidRPr="004C0B2B">
        <w:rPr>
          <w:rFonts w:ascii="Garamond" w:hAnsi="Garamond"/>
          <w:lang w:val="en-US"/>
        </w:rPr>
        <w:t>S</w:t>
      </w:r>
      <w:r w:rsidRPr="004C0B2B">
        <w:rPr>
          <w:rFonts w:ascii="Garamond" w:hAnsi="Garamond"/>
        </w:rPr>
        <w:t>ERDLE);</w:t>
      </w:r>
    </w:p>
    <w:p w14:paraId="4F0E9D35" w14:textId="77777777" w:rsidR="004B3B82" w:rsidRPr="004C0B2B" w:rsidRDefault="004B3B82" w:rsidP="00101F7C">
      <w:pPr>
        <w:pStyle w:val="ac"/>
        <w:ind w:left="567" w:hanging="283"/>
        <w:jc w:val="both"/>
        <w:rPr>
          <w:rFonts w:ascii="Garamond" w:hAnsi="Garamond"/>
        </w:rPr>
      </w:pPr>
      <w:r w:rsidRPr="004C0B2B">
        <w:rPr>
          <w:rFonts w:ascii="Garamond" w:hAnsi="Garamond"/>
        </w:rPr>
        <w:t>АО «Генерация» (Первая ТЭЦ) (</w:t>
      </w:r>
      <w:r w:rsidRPr="004C0B2B">
        <w:rPr>
          <w:rFonts w:ascii="Garamond" w:hAnsi="Garamond"/>
          <w:lang w:val="en-US"/>
        </w:rPr>
        <w:t>GOMSKE</w:t>
      </w:r>
      <w:r w:rsidRPr="004C0B2B">
        <w:rPr>
          <w:rFonts w:ascii="Garamond" w:hAnsi="Garamond"/>
        </w:rPr>
        <w:t>17).</w:t>
      </w:r>
    </w:p>
    <w:p w14:paraId="7EB1CE3F" w14:textId="77777777" w:rsidR="004B3B82" w:rsidRPr="004C0B2B" w:rsidRDefault="004B3B82" w:rsidP="004B3B82">
      <w:pPr>
        <w:pStyle w:val="ac"/>
        <w:numPr>
          <w:ilvl w:val="0"/>
          <w:numId w:val="124"/>
        </w:numPr>
        <w:spacing w:before="160" w:after="160" w:line="259" w:lineRule="auto"/>
        <w:ind w:left="426" w:hanging="284"/>
        <w:jc w:val="both"/>
        <w:rPr>
          <w:rFonts w:ascii="Garamond" w:hAnsi="Garamond"/>
        </w:rPr>
      </w:pPr>
      <w:r w:rsidRPr="004C0B2B">
        <w:rPr>
          <w:rFonts w:ascii="Garamond" w:hAnsi="Garamond"/>
        </w:rPr>
        <w:t>В качестве основания указывается:</w:t>
      </w:r>
    </w:p>
    <w:p w14:paraId="0642387B" w14:textId="77777777" w:rsidR="004B3B82" w:rsidRPr="004C0B2B" w:rsidRDefault="004B3B82" w:rsidP="004B3B82">
      <w:pPr>
        <w:pStyle w:val="ac"/>
        <w:numPr>
          <w:ilvl w:val="1"/>
          <w:numId w:val="125"/>
        </w:numPr>
        <w:autoSpaceDE w:val="0"/>
        <w:autoSpaceDN w:val="0"/>
        <w:spacing w:after="160" w:line="259" w:lineRule="auto"/>
        <w:ind w:left="567"/>
        <w:jc w:val="both"/>
        <w:rPr>
          <w:rFonts w:ascii="Garamond" w:hAnsi="Garamond"/>
        </w:rPr>
      </w:pPr>
      <w:r w:rsidRPr="004C0B2B">
        <w:rPr>
          <w:rFonts w:ascii="Garamond" w:hAnsi="Garamond"/>
        </w:rPr>
        <w:t>Сечение КУ / ГТП генерации с изменением ТП в соответствии с комплектом документов, представленных в КО с заявлением по форме 3, 4А, 4Б приложения 1 к Положению о реестре</w:t>
      </w:r>
      <w:r w:rsidRPr="004C0B2B">
        <w:t xml:space="preserve"> </w:t>
      </w:r>
      <w:r w:rsidRPr="004C0B2B">
        <w:rPr>
          <w:rFonts w:ascii="Garamond" w:hAnsi="Garamond"/>
        </w:rPr>
        <w:t>(выбрать нужное) вх. № ____ от ____ и заявлением по форме 3, 4В приложения 1 к Положению о реестре</w:t>
      </w:r>
      <w:r w:rsidRPr="004C0B2B">
        <w:t xml:space="preserve"> </w:t>
      </w:r>
      <w:r w:rsidRPr="004C0B2B">
        <w:rPr>
          <w:rFonts w:ascii="Garamond" w:hAnsi="Garamond"/>
        </w:rPr>
        <w:t xml:space="preserve">вх. № _________ от __________ в рамках исполнения обязанности по актуализации регистрационной информации согласно приложению 2 к Положению о реестре в отношении вышеуказанного сечения КУ / ГТП генерации (указывается в случае предоставления в составе документов ответной квитанции (макет 60001)) </w:t>
      </w:r>
      <w:r w:rsidRPr="004C0B2B">
        <w:rPr>
          <w:rFonts w:ascii="Garamond" w:hAnsi="Garamond"/>
          <w:i/>
        </w:rPr>
        <w:t>(указывается при выполнении условия об инициировании процедуры установления соответствия АИИС КУЭ согласно п. 3.3 Приложения № 11.3 к Положению о реестре – о наличии «area» по составу точек измерений в ГТП правопреемника, соответствующей составу точек измерений, на которые был оформлен Акт о соответствии АИИС КУЭ правопредшественника).</w:t>
      </w:r>
    </w:p>
    <w:p w14:paraId="357D883F" w14:textId="77777777" w:rsidR="004B3B82" w:rsidRPr="004C0B2B" w:rsidRDefault="004B3B82" w:rsidP="004B3B82">
      <w:pPr>
        <w:pStyle w:val="ac"/>
        <w:numPr>
          <w:ilvl w:val="1"/>
          <w:numId w:val="125"/>
        </w:numPr>
        <w:autoSpaceDE w:val="0"/>
        <w:autoSpaceDN w:val="0"/>
        <w:spacing w:after="160" w:line="259" w:lineRule="auto"/>
        <w:ind w:left="567"/>
        <w:jc w:val="both"/>
        <w:rPr>
          <w:rFonts w:ascii="Garamond" w:hAnsi="Garamond"/>
        </w:rPr>
      </w:pPr>
      <w:r w:rsidRPr="004C0B2B">
        <w:rPr>
          <w:rFonts w:ascii="Garamond" w:hAnsi="Garamond"/>
        </w:rPr>
        <w:t xml:space="preserve">Сечение КУ / ГТП генерации без изменения ТП в соответствии с комплектом документов, представленных в КО с заявлением по форме 3, 4В приложения 1 к Положению о реестре вх. № ______ от ______ в рамках исполнения обязанности по актуализации регистрационной информации согласно приложению 2 к Положению о реестре в отношении вышеуказанного сечения КУ / ГТП генерации (при наличии в составе документов ответной квитанции (макет 60001)) </w:t>
      </w:r>
      <w:r w:rsidRPr="004C0B2B">
        <w:rPr>
          <w:rFonts w:ascii="Garamond" w:hAnsi="Garamond"/>
          <w:i/>
        </w:rPr>
        <w:t>(указывается при выполнении условия об инициировании процедуры установления соответствия АИИС КУЭ согласно п. 3.3 Приложения № 11.3 к Положению о реестре – о наличии «area» по составу точек измерений в ГТП правопреемника, соответствующей составу точек измерений, на которые был оформлен Акт о соответствии АИИС КУЭ правопредшественника)</w:t>
      </w:r>
      <w:r w:rsidRPr="004C0B2B">
        <w:rPr>
          <w:rFonts w:ascii="Garamond" w:hAnsi="Garamond"/>
        </w:rPr>
        <w:t xml:space="preserve">. </w:t>
      </w:r>
    </w:p>
    <w:p w14:paraId="2BE0B041" w14:textId="77777777" w:rsidR="004B3B82" w:rsidRPr="004C0B2B" w:rsidRDefault="004B3B82" w:rsidP="004B3B82">
      <w:pPr>
        <w:pStyle w:val="ac"/>
        <w:numPr>
          <w:ilvl w:val="1"/>
          <w:numId w:val="125"/>
        </w:numPr>
        <w:autoSpaceDE w:val="0"/>
        <w:autoSpaceDN w:val="0"/>
        <w:spacing w:after="160" w:line="259" w:lineRule="auto"/>
        <w:ind w:left="567"/>
        <w:jc w:val="both"/>
        <w:rPr>
          <w:rFonts w:ascii="Garamond" w:hAnsi="Garamond"/>
        </w:rPr>
      </w:pPr>
      <w:r w:rsidRPr="004C0B2B">
        <w:rPr>
          <w:rFonts w:ascii="Garamond" w:hAnsi="Garamond"/>
        </w:rPr>
        <w:t>Действующий состав точек поставки и точек измерений подтвержден действующим ПСИ № ____ от ___.</w:t>
      </w:r>
    </w:p>
    <w:p w14:paraId="65D67F82" w14:textId="77777777" w:rsidR="004B3B82" w:rsidRPr="004C0B2B" w:rsidRDefault="004B3B82" w:rsidP="00101F7C">
      <w:pPr>
        <w:spacing w:after="160" w:line="259" w:lineRule="auto"/>
        <w:jc w:val="both"/>
        <w:rPr>
          <w:rFonts w:ascii="Garamond" w:hAnsi="Garamond"/>
        </w:rPr>
      </w:pPr>
    </w:p>
    <w:p w14:paraId="70E68C85" w14:textId="77777777" w:rsidR="004B3B82" w:rsidRPr="004C0B2B" w:rsidRDefault="004B3B82" w:rsidP="00101F7C">
      <w:pPr>
        <w:spacing w:after="160" w:line="259" w:lineRule="auto"/>
        <w:jc w:val="both"/>
        <w:rPr>
          <w:rFonts w:ascii="Garamond" w:hAnsi="Garamond"/>
        </w:rPr>
      </w:pPr>
    </w:p>
    <w:p w14:paraId="57A9B28A" w14:textId="77777777" w:rsidR="004B3B82" w:rsidRPr="004C0B2B" w:rsidRDefault="004B3B82" w:rsidP="00101F7C">
      <w:pPr>
        <w:jc w:val="center"/>
        <w:rPr>
          <w:rFonts w:ascii="Garamond" w:hAnsi="Garamond"/>
          <w:b/>
        </w:rPr>
      </w:pPr>
      <w:r w:rsidRPr="004C0B2B">
        <w:rPr>
          <w:rFonts w:ascii="Garamond" w:hAnsi="Garamond"/>
          <w:b/>
        </w:rPr>
        <w:br w:type="page"/>
      </w:r>
    </w:p>
    <w:p w14:paraId="24334B73" w14:textId="77777777" w:rsidR="004B3B82" w:rsidRPr="004C0B2B" w:rsidRDefault="004B3B82" w:rsidP="00101F7C">
      <w:pPr>
        <w:rPr>
          <w:rFonts w:ascii="Garamond" w:hAnsi="Garamond"/>
          <w:b/>
          <w:sz w:val="22"/>
          <w:szCs w:val="22"/>
        </w:rPr>
      </w:pPr>
      <w:r w:rsidRPr="004C0B2B">
        <w:rPr>
          <w:rFonts w:ascii="Garamond" w:hAnsi="Garamond"/>
          <w:b/>
          <w:sz w:val="22"/>
          <w:szCs w:val="22"/>
        </w:rPr>
        <w:lastRenderedPageBreak/>
        <w:t>Действующая редакция</w:t>
      </w:r>
    </w:p>
    <w:p w14:paraId="5EE24328" w14:textId="77777777" w:rsidR="004B3B82" w:rsidRPr="004C0B2B" w:rsidRDefault="004B3B82" w:rsidP="00101F7C">
      <w:pPr>
        <w:jc w:val="center"/>
        <w:rPr>
          <w:rFonts w:ascii="Garamond" w:hAnsi="Garamond"/>
          <w:b/>
          <w:sz w:val="22"/>
          <w:szCs w:val="22"/>
        </w:rPr>
      </w:pPr>
      <w:r w:rsidRPr="004C0B2B">
        <w:rPr>
          <w:rFonts w:ascii="Garamond" w:hAnsi="Garamond"/>
          <w:b/>
          <w:sz w:val="22"/>
          <w:szCs w:val="22"/>
        </w:rPr>
        <w:t>Форма 2</w:t>
      </w:r>
    </w:p>
    <w:p w14:paraId="29374134" w14:textId="77777777" w:rsidR="004B3B82" w:rsidRPr="004C0B2B" w:rsidRDefault="004B3B82" w:rsidP="00101F7C">
      <w:pPr>
        <w:rPr>
          <w:rFonts w:ascii="Garamond" w:hAnsi="Garamond"/>
          <w:sz w:val="22"/>
          <w:szCs w:val="22"/>
        </w:rPr>
      </w:pPr>
    </w:p>
    <w:p w14:paraId="47CD4267" w14:textId="77777777" w:rsidR="004B3B82" w:rsidRPr="004C0B2B" w:rsidRDefault="004B3B82" w:rsidP="00101F7C">
      <w:pPr>
        <w:rPr>
          <w:rFonts w:ascii="Garamond" w:hAnsi="Garamond"/>
          <w:sz w:val="22"/>
          <w:szCs w:val="22"/>
        </w:rPr>
      </w:pPr>
      <w:r w:rsidRPr="004C0B2B">
        <w:rPr>
          <w:rFonts w:ascii="Garamond" w:hAnsi="Garamond"/>
          <w:sz w:val="22"/>
          <w:szCs w:val="22"/>
        </w:rPr>
        <w:t xml:space="preserve">(на бланке заявителя) </w:t>
      </w:r>
      <w:r w:rsidRPr="004C0B2B">
        <w:rPr>
          <w:rFonts w:ascii="Garamond" w:hAnsi="Garamond"/>
          <w:sz w:val="22"/>
          <w:szCs w:val="22"/>
        </w:rPr>
        <w:tab/>
      </w:r>
    </w:p>
    <w:p w14:paraId="28795371" w14:textId="77777777" w:rsidR="004B3B82" w:rsidRPr="004C0B2B" w:rsidRDefault="004B3B82" w:rsidP="00101F7C">
      <w:pPr>
        <w:ind w:left="7371" w:right="-428"/>
        <w:jc w:val="both"/>
        <w:rPr>
          <w:rFonts w:ascii="Garamond" w:hAnsi="Garamond"/>
          <w:b/>
          <w:sz w:val="22"/>
          <w:szCs w:val="22"/>
          <w:lang w:eastAsia="en-US"/>
        </w:rPr>
      </w:pPr>
      <w:r w:rsidRPr="004C0B2B">
        <w:rPr>
          <w:rFonts w:ascii="Garamond" w:hAnsi="Garamond"/>
          <w:b/>
          <w:sz w:val="22"/>
          <w:szCs w:val="22"/>
          <w:lang w:eastAsia="en-US"/>
        </w:rPr>
        <w:t>Председателю Правления</w:t>
      </w:r>
    </w:p>
    <w:p w14:paraId="5182F0B7" w14:textId="77777777" w:rsidR="004B3B82" w:rsidRPr="004C0B2B" w:rsidRDefault="004B3B82" w:rsidP="00101F7C">
      <w:pPr>
        <w:ind w:left="7371" w:right="-428"/>
        <w:jc w:val="both"/>
        <w:rPr>
          <w:rFonts w:ascii="Garamond" w:hAnsi="Garamond"/>
          <w:b/>
          <w:sz w:val="22"/>
          <w:szCs w:val="22"/>
          <w:lang w:eastAsia="en-US"/>
        </w:rPr>
      </w:pPr>
      <w:r w:rsidRPr="004C0B2B">
        <w:rPr>
          <w:rFonts w:ascii="Garamond" w:hAnsi="Garamond"/>
          <w:b/>
          <w:sz w:val="22"/>
          <w:szCs w:val="22"/>
          <w:lang w:eastAsia="en-US"/>
        </w:rPr>
        <w:t>АО «АТС»</w:t>
      </w:r>
    </w:p>
    <w:p w14:paraId="27596E14" w14:textId="77777777" w:rsidR="004B3B82" w:rsidRPr="004C0B2B" w:rsidRDefault="004B3B82" w:rsidP="00101F7C">
      <w:pPr>
        <w:jc w:val="both"/>
        <w:rPr>
          <w:rFonts w:ascii="Garamond" w:hAnsi="Garamond"/>
          <w:sz w:val="22"/>
          <w:szCs w:val="22"/>
          <w:lang w:eastAsia="en-US"/>
        </w:rPr>
      </w:pPr>
      <w:r w:rsidRPr="004C0B2B">
        <w:rPr>
          <w:rFonts w:ascii="Garamond" w:hAnsi="Garamond"/>
          <w:sz w:val="22"/>
          <w:szCs w:val="22"/>
          <w:lang w:eastAsia="en-US"/>
        </w:rPr>
        <w:t>№ _____________________</w:t>
      </w:r>
    </w:p>
    <w:p w14:paraId="2CE0C7B0" w14:textId="77777777" w:rsidR="004B3B82" w:rsidRPr="004C0B2B" w:rsidRDefault="004B3B82" w:rsidP="00101F7C">
      <w:pPr>
        <w:jc w:val="both"/>
        <w:rPr>
          <w:rFonts w:ascii="Garamond" w:hAnsi="Garamond"/>
          <w:sz w:val="22"/>
          <w:szCs w:val="22"/>
          <w:lang w:eastAsia="en-US"/>
        </w:rPr>
      </w:pPr>
      <w:r w:rsidRPr="004C0B2B">
        <w:rPr>
          <w:rFonts w:ascii="Garamond" w:hAnsi="Garamond"/>
          <w:sz w:val="22"/>
          <w:szCs w:val="22"/>
          <w:lang w:eastAsia="en-US"/>
        </w:rPr>
        <w:t>«___» ___________ 20 ___ г.</w:t>
      </w:r>
    </w:p>
    <w:p w14:paraId="46597D49" w14:textId="77777777" w:rsidR="004B3B82" w:rsidRPr="004C0B2B" w:rsidRDefault="004B3B82" w:rsidP="00101F7C"/>
    <w:p w14:paraId="722824E5" w14:textId="77777777" w:rsidR="004B3B82" w:rsidRPr="004C0B2B" w:rsidRDefault="004B3B82" w:rsidP="00101F7C"/>
    <w:p w14:paraId="091C5B0F" w14:textId="77777777" w:rsidR="004B3B82" w:rsidRPr="004C0B2B" w:rsidRDefault="004B3B82" w:rsidP="00101F7C">
      <w:pPr>
        <w:jc w:val="center"/>
        <w:rPr>
          <w:rFonts w:ascii="Garamond" w:hAnsi="Garamond"/>
          <w:b/>
          <w:sz w:val="22"/>
          <w:szCs w:val="22"/>
          <w:lang w:eastAsia="en-US"/>
        </w:rPr>
      </w:pPr>
      <w:r w:rsidRPr="004C0B2B">
        <w:rPr>
          <w:rFonts w:ascii="Garamond" w:hAnsi="Garamond"/>
          <w:b/>
          <w:sz w:val="22"/>
          <w:szCs w:val="22"/>
          <w:lang w:eastAsia="en-US"/>
        </w:rPr>
        <w:t>ЗАЯВЛЕНИЕ</w:t>
      </w:r>
    </w:p>
    <w:p w14:paraId="1FDDF74A" w14:textId="77777777" w:rsidR="004B3B82" w:rsidRPr="004C0B2B" w:rsidRDefault="004B3B82" w:rsidP="00101F7C">
      <w:pPr>
        <w:jc w:val="center"/>
        <w:rPr>
          <w:rFonts w:ascii="Garamond" w:hAnsi="Garamond"/>
          <w:b/>
          <w:sz w:val="22"/>
          <w:szCs w:val="22"/>
          <w:lang w:eastAsia="en-US"/>
        </w:rPr>
      </w:pPr>
      <w:r w:rsidRPr="004C0B2B">
        <w:rPr>
          <w:rFonts w:ascii="Garamond" w:hAnsi="Garamond"/>
          <w:b/>
          <w:sz w:val="22"/>
          <w:szCs w:val="22"/>
          <w:lang w:eastAsia="en-US"/>
        </w:rPr>
        <w:t>об установлении соответствия системы коммерческого учета электрической энергии техническим требованиям оптового рынка электрической энергии и мощности</w:t>
      </w:r>
    </w:p>
    <w:p w14:paraId="21648523" w14:textId="77777777" w:rsidR="004B3B82" w:rsidRPr="004C0B2B" w:rsidRDefault="004B3B82" w:rsidP="00101F7C">
      <w:pPr>
        <w:ind w:firstLine="540"/>
        <w:jc w:val="both"/>
        <w:rPr>
          <w:rFonts w:ascii="Garamond" w:hAnsi="Garamond"/>
          <w:spacing w:val="-2"/>
          <w:sz w:val="22"/>
          <w:szCs w:val="22"/>
        </w:rPr>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02"/>
        <w:gridCol w:w="7058"/>
      </w:tblGrid>
      <w:tr w:rsidR="004B3B82" w:rsidRPr="004C0B2B" w14:paraId="3642C5CA" w14:textId="77777777" w:rsidTr="00CD3B05">
        <w:trPr>
          <w:trHeight w:val="421"/>
        </w:trPr>
        <w:tc>
          <w:tcPr>
            <w:tcW w:w="3002" w:type="dxa"/>
            <w:shd w:val="clear" w:color="auto" w:fill="D9D9D9"/>
            <w:vAlign w:val="center"/>
          </w:tcPr>
          <w:p w14:paraId="28544C7C" w14:textId="77777777" w:rsidR="004B3B82" w:rsidRPr="004C0B2B" w:rsidRDefault="004B3B82" w:rsidP="00CD3B05">
            <w:pPr>
              <w:jc w:val="both"/>
              <w:rPr>
                <w:rFonts w:ascii="Garamond" w:hAnsi="Garamond"/>
                <w:sz w:val="22"/>
                <w:szCs w:val="22"/>
                <w:lang w:eastAsia="en-US"/>
              </w:rPr>
            </w:pPr>
            <w:r w:rsidRPr="004C0B2B">
              <w:rPr>
                <w:rFonts w:ascii="Garamond" w:hAnsi="Garamond"/>
                <w:sz w:val="22"/>
                <w:szCs w:val="22"/>
                <w:lang w:eastAsia="en-US"/>
              </w:rPr>
              <w:t>Полное наименование заявителя</w:t>
            </w:r>
          </w:p>
        </w:tc>
        <w:tc>
          <w:tcPr>
            <w:tcW w:w="7058" w:type="dxa"/>
            <w:shd w:val="clear" w:color="auto" w:fill="auto"/>
            <w:vAlign w:val="center"/>
          </w:tcPr>
          <w:p w14:paraId="4506F070" w14:textId="77777777" w:rsidR="004B3B82" w:rsidRPr="004C0B2B" w:rsidRDefault="004B3B82" w:rsidP="00CD3B05">
            <w:pPr>
              <w:autoSpaceDE w:val="0"/>
              <w:autoSpaceDN w:val="0"/>
              <w:rPr>
                <w:rFonts w:ascii="Garamond" w:hAnsi="Garamond"/>
                <w:sz w:val="22"/>
                <w:szCs w:val="22"/>
                <w:lang w:eastAsia="en-US"/>
              </w:rPr>
            </w:pPr>
          </w:p>
        </w:tc>
      </w:tr>
      <w:tr w:rsidR="004B3B82" w:rsidRPr="004C0B2B" w14:paraId="428C8DC4" w14:textId="77777777" w:rsidTr="00CD3B05">
        <w:trPr>
          <w:trHeight w:val="340"/>
        </w:trPr>
        <w:tc>
          <w:tcPr>
            <w:tcW w:w="3002" w:type="dxa"/>
            <w:shd w:val="clear" w:color="auto" w:fill="D9D9D9"/>
            <w:vAlign w:val="center"/>
          </w:tcPr>
          <w:p w14:paraId="3AAAACB3" w14:textId="77777777" w:rsidR="004B3B82" w:rsidRPr="004C0B2B" w:rsidRDefault="004B3B82" w:rsidP="00CD3B05">
            <w:pPr>
              <w:jc w:val="both"/>
              <w:rPr>
                <w:rFonts w:ascii="Garamond" w:hAnsi="Garamond"/>
                <w:sz w:val="22"/>
                <w:szCs w:val="22"/>
                <w:lang w:eastAsia="en-US"/>
              </w:rPr>
            </w:pPr>
            <w:r w:rsidRPr="004C0B2B">
              <w:rPr>
                <w:rFonts w:ascii="Garamond" w:hAnsi="Garamond"/>
                <w:sz w:val="22"/>
                <w:szCs w:val="22"/>
                <w:lang w:eastAsia="en-US"/>
              </w:rPr>
              <w:t>Сокращенное наименование заявителя</w:t>
            </w:r>
          </w:p>
        </w:tc>
        <w:tc>
          <w:tcPr>
            <w:tcW w:w="7058" w:type="dxa"/>
            <w:shd w:val="clear" w:color="auto" w:fill="auto"/>
            <w:vAlign w:val="center"/>
          </w:tcPr>
          <w:p w14:paraId="40B03275" w14:textId="77777777" w:rsidR="004B3B82" w:rsidRPr="004C0B2B" w:rsidRDefault="004B3B82" w:rsidP="00CD3B05">
            <w:pPr>
              <w:jc w:val="both"/>
              <w:rPr>
                <w:rFonts w:ascii="Garamond" w:hAnsi="Garamond"/>
                <w:b/>
                <w:sz w:val="22"/>
                <w:szCs w:val="22"/>
                <w:lang w:eastAsia="en-US"/>
              </w:rPr>
            </w:pPr>
          </w:p>
        </w:tc>
      </w:tr>
    </w:tbl>
    <w:p w14:paraId="25277B2F" w14:textId="77777777" w:rsidR="004B3B82" w:rsidRPr="004C0B2B" w:rsidRDefault="004B3B82" w:rsidP="00101F7C">
      <w:pPr>
        <w:autoSpaceDE w:val="0"/>
        <w:autoSpaceDN w:val="0"/>
        <w:rPr>
          <w:rFonts w:ascii="Garamond" w:hAnsi="Garamond"/>
          <w:spacing w:val="-2"/>
          <w:sz w:val="22"/>
          <w:szCs w:val="22"/>
        </w:rPr>
      </w:pPr>
    </w:p>
    <w:p w14:paraId="76AD91E3" w14:textId="77777777" w:rsidR="004B3B82" w:rsidRPr="004C0B2B" w:rsidRDefault="004B3B82" w:rsidP="00101F7C">
      <w:pPr>
        <w:autoSpaceDE w:val="0"/>
        <w:autoSpaceDN w:val="0"/>
        <w:jc w:val="both"/>
        <w:rPr>
          <w:rFonts w:ascii="Garamond" w:hAnsi="Garamond"/>
          <w:sz w:val="22"/>
          <w:szCs w:val="22"/>
        </w:rPr>
      </w:pPr>
      <w:r w:rsidRPr="004C0B2B">
        <w:rPr>
          <w:rFonts w:ascii="Garamond" w:hAnsi="Garamond"/>
          <w:sz w:val="22"/>
          <w:szCs w:val="22"/>
          <w:lang w:eastAsia="en-US"/>
        </w:rPr>
        <w:t xml:space="preserve">выражает намерение </w:t>
      </w:r>
      <w:r w:rsidRPr="004C0B2B">
        <w:rPr>
          <w:rFonts w:ascii="Garamond" w:hAnsi="Garamond"/>
          <w:spacing w:val="-2"/>
          <w:sz w:val="22"/>
          <w:szCs w:val="22"/>
        </w:rPr>
        <w:t xml:space="preserve">установить соответствие системы коммерческого учета электроэнергии техническим требованиям оптового рынка электроэнергии (мощности) и оформить </w:t>
      </w:r>
      <w:r w:rsidRPr="004C0B2B">
        <w:rPr>
          <w:rFonts w:ascii="Garamond" w:hAnsi="Garamond"/>
          <w:sz w:val="22"/>
          <w:szCs w:val="22"/>
        </w:rPr>
        <w:t>Акт о соответствии системы коммерческого учета электрической энергии техническим требованиям оптового рынка электрической энергии и мощности в связи с истечением срока действия Акта о соответствии АИИС КУЭ и (или) оформлением нового свидетельства о поверке АИИС КУЭ в связи с изменением состава технических средств АИИС КУЭ</w:t>
      </w:r>
    </w:p>
    <w:p w14:paraId="7BC2AD2B" w14:textId="77777777" w:rsidR="004B3B82" w:rsidRPr="004C0B2B" w:rsidRDefault="004B3B82" w:rsidP="00101F7C">
      <w:pPr>
        <w:autoSpaceDE w:val="0"/>
        <w:autoSpaceDN w:val="0"/>
        <w:rPr>
          <w:rFonts w:ascii="Garamond" w:hAnsi="Garamond"/>
          <w:spacing w:val="-2"/>
          <w:sz w:val="22"/>
          <w:szCs w:val="22"/>
        </w:rPr>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04"/>
        <w:gridCol w:w="7056"/>
      </w:tblGrid>
      <w:tr w:rsidR="004B3B82" w:rsidRPr="004C0B2B" w14:paraId="781FC99B" w14:textId="77777777" w:rsidTr="00CD3B05">
        <w:trPr>
          <w:trHeight w:val="340"/>
        </w:trPr>
        <w:tc>
          <w:tcPr>
            <w:tcW w:w="3004" w:type="dxa"/>
            <w:shd w:val="clear" w:color="auto" w:fill="D9D9D9"/>
            <w:vAlign w:val="center"/>
          </w:tcPr>
          <w:p w14:paraId="767A46A0" w14:textId="77777777" w:rsidR="004B3B82" w:rsidRPr="004C0B2B" w:rsidRDefault="004B3B82" w:rsidP="00CD3B05">
            <w:pPr>
              <w:jc w:val="both"/>
              <w:rPr>
                <w:rFonts w:ascii="Garamond" w:hAnsi="Garamond"/>
                <w:sz w:val="22"/>
                <w:szCs w:val="22"/>
                <w:lang w:eastAsia="en-US"/>
              </w:rPr>
            </w:pPr>
            <w:r w:rsidRPr="004C0B2B">
              <w:rPr>
                <w:rFonts w:ascii="Garamond" w:hAnsi="Garamond"/>
                <w:sz w:val="22"/>
                <w:szCs w:val="22"/>
                <w:lang w:eastAsia="en-US"/>
              </w:rPr>
              <w:t>Наименование сечения КУ/ ГТП генерации</w:t>
            </w:r>
            <w:r w:rsidRPr="004C0B2B">
              <w:rPr>
                <w:rFonts w:ascii="Garamond" w:hAnsi="Garamond"/>
                <w:sz w:val="22"/>
                <w:szCs w:val="22"/>
                <w:vertAlign w:val="superscript"/>
                <w:lang w:eastAsia="en-US"/>
              </w:rPr>
              <w:t xml:space="preserve"> 1</w:t>
            </w:r>
          </w:p>
        </w:tc>
        <w:tc>
          <w:tcPr>
            <w:tcW w:w="7056" w:type="dxa"/>
            <w:shd w:val="clear" w:color="auto" w:fill="auto"/>
            <w:vAlign w:val="center"/>
          </w:tcPr>
          <w:p w14:paraId="4BF459A4" w14:textId="77777777" w:rsidR="004B3B82" w:rsidRPr="004C0B2B" w:rsidRDefault="004B3B82" w:rsidP="00CD3B05">
            <w:pPr>
              <w:jc w:val="both"/>
              <w:rPr>
                <w:rFonts w:ascii="Garamond" w:hAnsi="Garamond"/>
                <w:b/>
                <w:sz w:val="22"/>
                <w:szCs w:val="22"/>
                <w:lang w:eastAsia="en-US"/>
              </w:rPr>
            </w:pPr>
          </w:p>
        </w:tc>
      </w:tr>
      <w:tr w:rsidR="004B3B82" w:rsidRPr="004C0B2B" w14:paraId="7D8472F8" w14:textId="77777777" w:rsidTr="00CD3B05">
        <w:trPr>
          <w:trHeight w:val="340"/>
        </w:trPr>
        <w:tc>
          <w:tcPr>
            <w:tcW w:w="3004" w:type="dxa"/>
            <w:shd w:val="clear" w:color="auto" w:fill="D9D9D9"/>
            <w:vAlign w:val="center"/>
          </w:tcPr>
          <w:p w14:paraId="76864820" w14:textId="77777777" w:rsidR="004B3B82" w:rsidRPr="004C0B2B" w:rsidRDefault="004B3B82" w:rsidP="00CD3B05">
            <w:pPr>
              <w:jc w:val="both"/>
              <w:rPr>
                <w:rFonts w:ascii="Garamond" w:hAnsi="Garamond"/>
                <w:sz w:val="22"/>
                <w:szCs w:val="22"/>
                <w:lang w:eastAsia="en-US"/>
              </w:rPr>
            </w:pPr>
            <w:r w:rsidRPr="004C0B2B">
              <w:rPr>
                <w:rFonts w:ascii="Garamond" w:hAnsi="Garamond"/>
                <w:sz w:val="22"/>
                <w:szCs w:val="22"/>
                <w:lang w:eastAsia="en-US"/>
              </w:rPr>
              <w:t>Основание</w:t>
            </w:r>
          </w:p>
        </w:tc>
        <w:tc>
          <w:tcPr>
            <w:tcW w:w="7056" w:type="dxa"/>
            <w:shd w:val="clear" w:color="auto" w:fill="auto"/>
            <w:vAlign w:val="center"/>
          </w:tcPr>
          <w:p w14:paraId="1889E78B" w14:textId="77777777" w:rsidR="004B3B82" w:rsidRPr="004C0B2B" w:rsidRDefault="004B3B82" w:rsidP="00CD3B05">
            <w:pPr>
              <w:jc w:val="both"/>
              <w:rPr>
                <w:rFonts w:ascii="Garamond" w:hAnsi="Garamond"/>
                <w:b/>
                <w:sz w:val="22"/>
                <w:szCs w:val="22"/>
                <w:lang w:eastAsia="en-US"/>
              </w:rPr>
            </w:pPr>
            <w:r w:rsidRPr="004C0B2B">
              <w:rPr>
                <w:rFonts w:ascii="Garamond" w:hAnsi="Garamond"/>
                <w:sz w:val="22"/>
                <w:szCs w:val="22"/>
              </w:rPr>
              <w:t>Действующий состав точек поставки и точек измерений подтвержден действующим ПСИ № ___ от ______</w:t>
            </w:r>
          </w:p>
        </w:tc>
      </w:tr>
      <w:tr w:rsidR="004B3B82" w:rsidRPr="004C0B2B" w14:paraId="73E52EC3" w14:textId="77777777" w:rsidTr="00CD3B05">
        <w:trPr>
          <w:trHeight w:val="340"/>
        </w:trPr>
        <w:tc>
          <w:tcPr>
            <w:tcW w:w="3004" w:type="dxa"/>
            <w:tcBorders>
              <w:top w:val="single" w:sz="4" w:space="0" w:color="auto"/>
              <w:left w:val="single" w:sz="4" w:space="0" w:color="auto"/>
              <w:bottom w:val="single" w:sz="4" w:space="0" w:color="auto"/>
              <w:right w:val="single" w:sz="4" w:space="0" w:color="auto"/>
            </w:tcBorders>
            <w:shd w:val="clear" w:color="auto" w:fill="D9D9D9"/>
            <w:vAlign w:val="center"/>
          </w:tcPr>
          <w:p w14:paraId="5D3B8C21" w14:textId="77777777" w:rsidR="004B3B82" w:rsidRPr="004C0B2B" w:rsidRDefault="004B3B82" w:rsidP="00CD3B05">
            <w:pPr>
              <w:jc w:val="both"/>
              <w:rPr>
                <w:rFonts w:ascii="Garamond" w:hAnsi="Garamond"/>
                <w:sz w:val="22"/>
                <w:szCs w:val="22"/>
                <w:lang w:eastAsia="en-US"/>
              </w:rPr>
            </w:pPr>
            <w:r w:rsidRPr="004C0B2B">
              <w:rPr>
                <w:rFonts w:ascii="Garamond" w:hAnsi="Garamond"/>
                <w:sz w:val="22"/>
                <w:szCs w:val="22"/>
                <w:lang w:eastAsia="en-US"/>
              </w:rPr>
              <w:t>Реквизиты Акта о соответствии АИИС КУЭ класса А</w:t>
            </w:r>
          </w:p>
        </w:tc>
        <w:tc>
          <w:tcPr>
            <w:tcW w:w="7056" w:type="dxa"/>
            <w:tcBorders>
              <w:top w:val="single" w:sz="4" w:space="0" w:color="auto"/>
              <w:left w:val="single" w:sz="4" w:space="0" w:color="auto"/>
              <w:bottom w:val="single" w:sz="4" w:space="0" w:color="auto"/>
              <w:right w:val="single" w:sz="4" w:space="0" w:color="auto"/>
            </w:tcBorders>
            <w:shd w:val="clear" w:color="auto" w:fill="auto"/>
            <w:vAlign w:val="center"/>
          </w:tcPr>
          <w:p w14:paraId="507BA787" w14:textId="77777777" w:rsidR="004B3B82" w:rsidRPr="004C0B2B" w:rsidRDefault="004B3B82" w:rsidP="00CD3B05">
            <w:pPr>
              <w:jc w:val="both"/>
              <w:rPr>
                <w:rFonts w:ascii="Garamond" w:hAnsi="Garamond"/>
                <w:sz w:val="22"/>
                <w:szCs w:val="22"/>
                <w:u w:val="single"/>
                <w:lang w:eastAsia="en-US"/>
              </w:rPr>
            </w:pPr>
            <w:r w:rsidRPr="004C0B2B">
              <w:rPr>
                <w:rFonts w:ascii="Garamond" w:hAnsi="Garamond"/>
                <w:sz w:val="22"/>
                <w:szCs w:val="22"/>
                <w:lang w:eastAsia="en-US"/>
              </w:rPr>
              <w:t xml:space="preserve">№ _________ от _________, срок действия до ________   </w:t>
            </w:r>
            <w:r w:rsidRPr="004C0B2B">
              <w:rPr>
                <w:rFonts w:ascii="Garamond" w:hAnsi="Garamond"/>
                <w:sz w:val="22"/>
                <w:szCs w:val="22"/>
                <w:u w:val="single"/>
                <w:lang w:eastAsia="en-US"/>
              </w:rPr>
              <w:t xml:space="preserve">        </w:t>
            </w:r>
          </w:p>
          <w:p w14:paraId="32D6C235" w14:textId="77777777" w:rsidR="004B3B82" w:rsidRPr="004C0B2B" w:rsidRDefault="004B3B82" w:rsidP="00CD3B05">
            <w:pPr>
              <w:jc w:val="both"/>
              <w:rPr>
                <w:rFonts w:ascii="Garamond" w:hAnsi="Garamond"/>
                <w:sz w:val="22"/>
                <w:szCs w:val="22"/>
              </w:rPr>
            </w:pPr>
            <w:r w:rsidRPr="004C0B2B">
              <w:rPr>
                <w:rFonts w:ascii="Garamond" w:hAnsi="Garamond"/>
                <w:sz w:val="18"/>
                <w:szCs w:val="18"/>
                <w:lang w:eastAsia="en-US"/>
              </w:rPr>
              <w:t>(</w:t>
            </w:r>
            <w:r w:rsidRPr="004C0B2B">
              <w:rPr>
                <w:rFonts w:ascii="Garamond" w:hAnsi="Garamond"/>
                <w:i/>
                <w:sz w:val="18"/>
                <w:szCs w:val="18"/>
                <w:lang w:eastAsia="en-US"/>
              </w:rPr>
              <w:t>указать реквизиты и срок действия Акта о соответствии АИИС КУЭ)</w:t>
            </w:r>
          </w:p>
        </w:tc>
      </w:tr>
      <w:tr w:rsidR="004B3B82" w:rsidRPr="004C0B2B" w14:paraId="4EA0AA2E" w14:textId="77777777" w:rsidTr="00CD3B05">
        <w:trPr>
          <w:trHeight w:val="340"/>
        </w:trPr>
        <w:tc>
          <w:tcPr>
            <w:tcW w:w="10060"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3A3FE1EE" w14:textId="77777777" w:rsidR="004B3B82" w:rsidRPr="004C0B2B" w:rsidRDefault="004B3B82" w:rsidP="00CD3B05">
            <w:pPr>
              <w:spacing w:before="120" w:after="120"/>
              <w:jc w:val="both"/>
              <w:rPr>
                <w:rFonts w:ascii="Garamond" w:hAnsi="Garamond"/>
                <w:spacing w:val="-2"/>
                <w:sz w:val="22"/>
                <w:szCs w:val="22"/>
              </w:rPr>
            </w:pPr>
            <w:r w:rsidRPr="004C0B2B">
              <w:rPr>
                <w:rFonts w:ascii="Garamond" w:hAnsi="Garamond"/>
                <w:spacing w:val="-2"/>
                <w:sz w:val="22"/>
                <w:szCs w:val="22"/>
              </w:rPr>
              <w:t>Настоящим заявлением подтверждаю:</w:t>
            </w:r>
          </w:p>
          <w:p w14:paraId="3FCB414D" w14:textId="77777777" w:rsidR="004B3B82" w:rsidRPr="004C0B2B" w:rsidRDefault="004B3B82" w:rsidP="00CD3B05">
            <w:pPr>
              <w:spacing w:before="120" w:after="120"/>
              <w:jc w:val="both"/>
              <w:rPr>
                <w:rFonts w:ascii="Garamond" w:hAnsi="Garamond"/>
                <w:spacing w:val="-2"/>
                <w:sz w:val="22"/>
                <w:szCs w:val="22"/>
              </w:rPr>
            </w:pPr>
            <w:r w:rsidRPr="004C0B2B">
              <w:rPr>
                <w:rFonts w:ascii="Garamond" w:hAnsi="Garamond"/>
                <w:spacing w:val="-2"/>
                <w:sz w:val="22"/>
                <w:szCs w:val="22"/>
              </w:rPr>
              <w:t>– отсутствие изменений в свидетельстве об утверждении типа средства измерений АИИС КУЭ (описании типа средства измерений АИИС КУЭ), ранее предоставленном в КО</w:t>
            </w:r>
            <w:r w:rsidRPr="004C0B2B">
              <w:rPr>
                <w:rFonts w:ascii="Garamond" w:hAnsi="Garamond"/>
                <w:sz w:val="22"/>
                <w:szCs w:val="22"/>
              </w:rPr>
              <w:t xml:space="preserve"> в целях оформления вышеуказанного </w:t>
            </w:r>
            <w:r w:rsidRPr="004C0B2B">
              <w:rPr>
                <w:rFonts w:ascii="Garamond" w:hAnsi="Garamond"/>
                <w:spacing w:val="-2"/>
                <w:sz w:val="22"/>
                <w:szCs w:val="22"/>
              </w:rPr>
              <w:t>Акта о соответствии АИИС КУЭ;</w:t>
            </w:r>
          </w:p>
          <w:p w14:paraId="7394F8A4" w14:textId="77777777" w:rsidR="004B3B82" w:rsidRPr="004C0B2B" w:rsidRDefault="004B3B82" w:rsidP="00CD3B05">
            <w:pPr>
              <w:spacing w:before="120" w:after="120"/>
              <w:jc w:val="both"/>
              <w:rPr>
                <w:rFonts w:ascii="Garamond" w:hAnsi="Garamond"/>
                <w:spacing w:val="-2"/>
                <w:sz w:val="22"/>
                <w:szCs w:val="22"/>
              </w:rPr>
            </w:pPr>
            <w:r w:rsidRPr="004C0B2B">
              <w:rPr>
                <w:rFonts w:ascii="Garamond" w:hAnsi="Garamond"/>
                <w:spacing w:val="-2"/>
                <w:sz w:val="22"/>
                <w:szCs w:val="22"/>
              </w:rPr>
              <w:t xml:space="preserve">– соответствие </w:t>
            </w:r>
            <w:r w:rsidRPr="004C0B2B">
              <w:rPr>
                <w:rFonts w:ascii="Garamond" w:hAnsi="Garamond"/>
                <w:sz w:val="22"/>
                <w:szCs w:val="22"/>
              </w:rPr>
              <w:t xml:space="preserve">указанного </w:t>
            </w:r>
            <w:r w:rsidRPr="004C0B2B">
              <w:rPr>
                <w:rFonts w:ascii="Garamond" w:hAnsi="Garamond"/>
                <w:spacing w:val="-2"/>
                <w:sz w:val="22"/>
                <w:szCs w:val="22"/>
              </w:rPr>
              <w:t xml:space="preserve">Акта о соответствии АИИС КУЭ </w:t>
            </w:r>
            <w:r w:rsidRPr="004C0B2B">
              <w:rPr>
                <w:rFonts w:ascii="Garamond" w:hAnsi="Garamond"/>
                <w:sz w:val="22"/>
                <w:szCs w:val="22"/>
              </w:rPr>
              <w:t xml:space="preserve">составу точек поставки и точек измерений в соответствующем </w:t>
            </w:r>
            <w:r w:rsidRPr="004C0B2B">
              <w:rPr>
                <w:rFonts w:ascii="Garamond" w:hAnsi="Garamond"/>
                <w:spacing w:val="-2"/>
                <w:sz w:val="22"/>
                <w:szCs w:val="22"/>
              </w:rPr>
              <w:t>сечении коммерческого учета</w:t>
            </w:r>
            <w:r w:rsidRPr="004C0B2B">
              <w:rPr>
                <w:rFonts w:ascii="Garamond" w:hAnsi="Garamond"/>
                <w:sz w:val="22"/>
                <w:szCs w:val="22"/>
              </w:rPr>
              <w:t>;</w:t>
            </w:r>
          </w:p>
          <w:p w14:paraId="3513AB55" w14:textId="77777777" w:rsidR="004B3B82" w:rsidRPr="004C0B2B" w:rsidRDefault="004B3B82" w:rsidP="00CD3B05">
            <w:pPr>
              <w:spacing w:before="120" w:after="120"/>
              <w:jc w:val="both"/>
              <w:rPr>
                <w:rFonts w:ascii="Garamond" w:hAnsi="Garamond"/>
                <w:sz w:val="22"/>
                <w:szCs w:val="22"/>
              </w:rPr>
            </w:pPr>
            <w:r w:rsidRPr="004C0B2B">
              <w:rPr>
                <w:rFonts w:ascii="Garamond" w:hAnsi="Garamond"/>
                <w:spacing w:val="-2"/>
                <w:sz w:val="22"/>
                <w:szCs w:val="22"/>
              </w:rPr>
              <w:t>– и</w:t>
            </w:r>
            <w:r w:rsidRPr="004C0B2B">
              <w:rPr>
                <w:rFonts w:ascii="Garamond" w:hAnsi="Garamond"/>
                <w:sz w:val="22"/>
                <w:szCs w:val="22"/>
              </w:rPr>
              <w:t>змерения электрической энергии (мощности) по точкам поставки, в отношении которых допускается использовать средства измерений, не включенные в АИИС КУЭ, выполняются с применением средств измерений утвержденного типа, прошедших поверку в соответствии с требованиями Федерального закона от 26.06.2008 г. № 102-ФЗ «Об обеспечении единства измерений» к измерениям, относящимся к сфере государственного регулирования обеспечения единства измерений</w:t>
            </w:r>
            <w:r w:rsidRPr="004C0B2B">
              <w:rPr>
                <w:rFonts w:ascii="Garamond" w:hAnsi="Garamond"/>
                <w:sz w:val="18"/>
                <w:szCs w:val="18"/>
              </w:rPr>
              <w:t xml:space="preserve"> </w:t>
            </w:r>
            <w:r w:rsidRPr="004C0B2B">
              <w:rPr>
                <w:rFonts w:ascii="Garamond" w:hAnsi="Garamond"/>
                <w:i/>
                <w:sz w:val="18"/>
                <w:szCs w:val="18"/>
              </w:rPr>
              <w:t>(указывается при наличии средств измерений, не включенных в АИИС КУЭ).</w:t>
            </w:r>
          </w:p>
        </w:tc>
      </w:tr>
      <w:tr w:rsidR="004B3B82" w:rsidRPr="004C0B2B" w14:paraId="4786106D" w14:textId="77777777" w:rsidTr="00CD3B05">
        <w:trPr>
          <w:trHeight w:val="340"/>
        </w:trPr>
        <w:tc>
          <w:tcPr>
            <w:tcW w:w="3004" w:type="dxa"/>
            <w:tcBorders>
              <w:top w:val="single" w:sz="4" w:space="0" w:color="auto"/>
              <w:left w:val="single" w:sz="4" w:space="0" w:color="auto"/>
              <w:bottom w:val="single" w:sz="4" w:space="0" w:color="auto"/>
              <w:right w:val="single" w:sz="4" w:space="0" w:color="auto"/>
            </w:tcBorders>
            <w:shd w:val="clear" w:color="auto" w:fill="D9D9D9"/>
            <w:vAlign w:val="center"/>
          </w:tcPr>
          <w:p w14:paraId="04AD7970" w14:textId="77777777" w:rsidR="004B3B82" w:rsidRPr="004C0B2B" w:rsidRDefault="004B3B82" w:rsidP="00CD3B05">
            <w:pPr>
              <w:jc w:val="both"/>
              <w:rPr>
                <w:rFonts w:ascii="Garamond" w:hAnsi="Garamond"/>
                <w:sz w:val="22"/>
                <w:szCs w:val="22"/>
              </w:rPr>
            </w:pPr>
            <w:r w:rsidRPr="004C0B2B">
              <w:rPr>
                <w:rFonts w:ascii="Garamond" w:hAnsi="Garamond"/>
                <w:sz w:val="22"/>
                <w:szCs w:val="22"/>
              </w:rPr>
              <w:t xml:space="preserve">Информирую, что </w:t>
            </w:r>
          </w:p>
          <w:p w14:paraId="0E185F2F" w14:textId="77777777" w:rsidR="004B3B82" w:rsidRPr="004C0B2B" w:rsidRDefault="004B3B82" w:rsidP="00CD3B05">
            <w:pPr>
              <w:rPr>
                <w:rFonts w:ascii="Garamond" w:hAnsi="Garamond"/>
                <w:i/>
                <w:sz w:val="18"/>
                <w:szCs w:val="18"/>
              </w:rPr>
            </w:pPr>
            <w:r w:rsidRPr="004C0B2B">
              <w:rPr>
                <w:rFonts w:ascii="Garamond" w:hAnsi="Garamond"/>
                <w:i/>
                <w:sz w:val="18"/>
                <w:szCs w:val="18"/>
              </w:rPr>
              <w:t>(необходимо выбрать один из представленных вариантов)</w:t>
            </w:r>
          </w:p>
        </w:tc>
        <w:tc>
          <w:tcPr>
            <w:tcW w:w="7056" w:type="dxa"/>
            <w:tcBorders>
              <w:top w:val="single" w:sz="4" w:space="0" w:color="auto"/>
              <w:left w:val="single" w:sz="4" w:space="0" w:color="auto"/>
              <w:bottom w:val="single" w:sz="4" w:space="0" w:color="auto"/>
              <w:right w:val="single" w:sz="4" w:space="0" w:color="auto"/>
            </w:tcBorders>
            <w:shd w:val="clear" w:color="auto" w:fill="FFFFFF"/>
            <w:vAlign w:val="center"/>
          </w:tcPr>
          <w:p w14:paraId="580848F7" w14:textId="77777777" w:rsidR="004B3B82" w:rsidRPr="004C0B2B" w:rsidRDefault="004B3B82" w:rsidP="00101F7C">
            <w:pPr>
              <w:numPr>
                <w:ilvl w:val="0"/>
                <w:numId w:val="113"/>
              </w:numPr>
              <w:suppressAutoHyphens w:val="0"/>
              <w:autoSpaceDE w:val="0"/>
              <w:autoSpaceDN w:val="0"/>
              <w:rPr>
                <w:rFonts w:ascii="Garamond" w:hAnsi="Garamond"/>
                <w:sz w:val="22"/>
                <w:szCs w:val="22"/>
                <w:lang w:eastAsia="en-US"/>
              </w:rPr>
            </w:pPr>
            <w:r w:rsidRPr="004C0B2B">
              <w:rPr>
                <w:rFonts w:ascii="Garamond" w:hAnsi="Garamond"/>
                <w:b/>
                <w:sz w:val="22"/>
                <w:szCs w:val="22"/>
                <w:lang w:eastAsia="en-US"/>
              </w:rPr>
              <w:t>не использую</w:t>
            </w:r>
            <w:r w:rsidRPr="004C0B2B">
              <w:rPr>
                <w:rFonts w:ascii="Garamond" w:hAnsi="Garamond"/>
                <w:sz w:val="22"/>
                <w:szCs w:val="22"/>
                <w:lang w:eastAsia="en-US"/>
              </w:rPr>
              <w:t xml:space="preserve"> компоненты и (или) АИИС КУЭ, принадлежащие третьим лицам;</w:t>
            </w:r>
          </w:p>
          <w:p w14:paraId="50E42317" w14:textId="77777777" w:rsidR="004B3B82" w:rsidRPr="004C0B2B" w:rsidRDefault="004B3B82" w:rsidP="00101F7C">
            <w:pPr>
              <w:numPr>
                <w:ilvl w:val="0"/>
                <w:numId w:val="113"/>
              </w:numPr>
              <w:suppressAutoHyphens w:val="0"/>
              <w:autoSpaceDE w:val="0"/>
              <w:autoSpaceDN w:val="0"/>
              <w:rPr>
                <w:rFonts w:ascii="Garamond" w:hAnsi="Garamond"/>
                <w:sz w:val="22"/>
                <w:szCs w:val="22"/>
                <w:lang w:eastAsia="en-US"/>
              </w:rPr>
            </w:pPr>
            <w:r w:rsidRPr="004C0B2B">
              <w:rPr>
                <w:rFonts w:ascii="Garamond" w:hAnsi="Garamond"/>
                <w:b/>
                <w:sz w:val="22"/>
                <w:szCs w:val="22"/>
                <w:lang w:eastAsia="en-US"/>
              </w:rPr>
              <w:t>использую</w:t>
            </w:r>
            <w:r w:rsidRPr="004C0B2B">
              <w:rPr>
                <w:rFonts w:ascii="Garamond" w:hAnsi="Garamond"/>
                <w:sz w:val="22"/>
                <w:szCs w:val="22"/>
                <w:lang w:eastAsia="en-US"/>
              </w:rPr>
              <w:t xml:space="preserve"> компоненты и (или) АИИС КУЭ, принадлежащие третьим лицам </w:t>
            </w:r>
            <w:r w:rsidRPr="004C0B2B">
              <w:rPr>
                <w:rFonts w:ascii="Garamond" w:hAnsi="Garamond"/>
                <w:sz w:val="18"/>
                <w:szCs w:val="18"/>
                <w:lang w:eastAsia="en-US"/>
              </w:rPr>
              <w:t xml:space="preserve"> </w:t>
            </w:r>
          </w:p>
          <w:p w14:paraId="5B2310C1" w14:textId="77777777" w:rsidR="004B3B82" w:rsidRPr="004C0B2B" w:rsidRDefault="004B3B82" w:rsidP="00CD3B05">
            <w:pPr>
              <w:autoSpaceDE w:val="0"/>
              <w:autoSpaceDN w:val="0"/>
              <w:rPr>
                <w:rFonts w:ascii="Garamond" w:hAnsi="Garamond"/>
                <w:sz w:val="22"/>
                <w:szCs w:val="22"/>
                <w:u w:val="single"/>
                <w:lang w:eastAsia="en-US"/>
              </w:rPr>
            </w:pPr>
            <w:r w:rsidRPr="004C0B2B">
              <w:rPr>
                <w:rFonts w:ascii="Garamond" w:hAnsi="Garamond"/>
                <w:b/>
                <w:sz w:val="22"/>
                <w:szCs w:val="22"/>
                <w:u w:val="single"/>
                <w:lang w:eastAsia="en-US"/>
              </w:rPr>
              <w:t xml:space="preserve">                                                                                                                           </w:t>
            </w:r>
            <w:r w:rsidRPr="004C0B2B">
              <w:rPr>
                <w:rFonts w:ascii="Garamond" w:hAnsi="Garamond"/>
                <w:sz w:val="22"/>
                <w:szCs w:val="22"/>
                <w:u w:val="single"/>
                <w:lang w:eastAsia="en-US"/>
              </w:rPr>
              <w:t>,</w:t>
            </w:r>
          </w:p>
          <w:p w14:paraId="6B46AF6D" w14:textId="77777777" w:rsidR="004B3B82" w:rsidRPr="004C0B2B" w:rsidRDefault="004B3B82" w:rsidP="00CD3B05">
            <w:pPr>
              <w:autoSpaceDE w:val="0"/>
              <w:autoSpaceDN w:val="0"/>
              <w:rPr>
                <w:rFonts w:ascii="Garamond" w:hAnsi="Garamond"/>
                <w:i/>
                <w:sz w:val="18"/>
                <w:szCs w:val="18"/>
                <w:lang w:eastAsia="en-US"/>
              </w:rPr>
            </w:pPr>
            <w:r w:rsidRPr="004C0B2B">
              <w:rPr>
                <w:rFonts w:ascii="Garamond" w:hAnsi="Garamond"/>
                <w:i/>
                <w:sz w:val="18"/>
                <w:szCs w:val="18"/>
                <w:lang w:eastAsia="en-US"/>
              </w:rPr>
              <w:t>(полное наименование организации (-ий) с указанием организационно-правовой формы)</w:t>
            </w:r>
          </w:p>
          <w:p w14:paraId="11C4D758" w14:textId="77777777" w:rsidR="004B3B82" w:rsidRPr="004C0B2B" w:rsidRDefault="004B3B82" w:rsidP="00CD3B05">
            <w:pPr>
              <w:autoSpaceDE w:val="0"/>
              <w:autoSpaceDN w:val="0"/>
              <w:rPr>
                <w:rFonts w:ascii="Garamond" w:hAnsi="Garamond"/>
                <w:sz w:val="22"/>
                <w:szCs w:val="22"/>
                <w:lang w:eastAsia="en-US"/>
              </w:rPr>
            </w:pPr>
            <w:r w:rsidRPr="004C0B2B">
              <w:rPr>
                <w:rFonts w:ascii="Garamond" w:hAnsi="Garamond"/>
                <w:sz w:val="22"/>
                <w:szCs w:val="22"/>
                <w:lang w:eastAsia="en-US"/>
              </w:rPr>
              <w:t>а также подтверждаю, что отношения по использованию данных компонентов и (или) АИИС КУЭ урегулированы с указанными третьими лицами надлежащим образом.</w:t>
            </w:r>
          </w:p>
        </w:tc>
      </w:tr>
    </w:tbl>
    <w:p w14:paraId="7D310E0B" w14:textId="77777777" w:rsidR="004B3B82" w:rsidRPr="004C0B2B" w:rsidRDefault="004B3B82" w:rsidP="00101F7C">
      <w:pPr>
        <w:autoSpaceDE w:val="0"/>
        <w:autoSpaceDN w:val="0"/>
        <w:rPr>
          <w:rFonts w:ascii="Garamond" w:hAnsi="Garamond"/>
          <w:spacing w:val="-2"/>
          <w:sz w:val="22"/>
          <w:szCs w:val="22"/>
        </w:rPr>
      </w:pPr>
    </w:p>
    <w:p w14:paraId="5DF4C424" w14:textId="77777777" w:rsidR="004B3B82" w:rsidRPr="004C0B2B" w:rsidRDefault="004B3B82" w:rsidP="00101F7C">
      <w:pPr>
        <w:autoSpaceDE w:val="0"/>
        <w:autoSpaceDN w:val="0"/>
        <w:jc w:val="both"/>
        <w:rPr>
          <w:rFonts w:ascii="Garamond" w:hAnsi="Garamond"/>
          <w:bCs/>
          <w:i/>
          <w:sz w:val="22"/>
          <w:szCs w:val="22"/>
        </w:rPr>
      </w:pPr>
      <w:r w:rsidRPr="004C0B2B">
        <w:rPr>
          <w:rFonts w:ascii="Garamond" w:hAnsi="Garamond"/>
          <w:bCs/>
          <w:sz w:val="22"/>
          <w:szCs w:val="22"/>
        </w:rPr>
        <w:t xml:space="preserve">В случае если при установлении соответствия АИИС КУЭ КО будет выявлена неактуальность регистрационной информации в части несоответствия указанных в опросных листах (макет 90000) и в ПСИ </w:t>
      </w:r>
      <w:r w:rsidRPr="004C0B2B">
        <w:rPr>
          <w:rFonts w:ascii="Garamond" w:hAnsi="Garamond"/>
          <w:bCs/>
          <w:sz w:val="22"/>
          <w:szCs w:val="22"/>
        </w:rPr>
        <w:lastRenderedPageBreak/>
        <w:t>типов (модификаций) приборов учета / признака включения в АИИС КУЭ, необходимо выполнить действия для регистрации в КО в течение 60 календарных дней с даты направления КО письма о вышеуказанном несоответствии актуализированного ПСИ, оформленного в соответствии с требованиями регламентов оптового рынка</w:t>
      </w:r>
      <w:r w:rsidRPr="004C0B2B">
        <w:rPr>
          <w:rFonts w:ascii="Garamond" w:hAnsi="Garamond"/>
          <w:bCs/>
          <w:i/>
          <w:sz w:val="18"/>
          <w:szCs w:val="18"/>
        </w:rPr>
        <w:t xml:space="preserve"> (указывается для действующего состава точек поставки и точек измерений).</w:t>
      </w:r>
    </w:p>
    <w:p w14:paraId="12157492" w14:textId="77777777" w:rsidR="004B3B82" w:rsidRPr="004C0B2B" w:rsidRDefault="004B3B82" w:rsidP="00101F7C">
      <w:pPr>
        <w:jc w:val="center"/>
        <w:rPr>
          <w:rFonts w:ascii="Garamond" w:hAnsi="Garamond"/>
          <w:sz w:val="22"/>
          <w:szCs w:val="22"/>
        </w:rPr>
      </w:pPr>
    </w:p>
    <w:tbl>
      <w:tblPr>
        <w:tblW w:w="10003" w:type="dxa"/>
        <w:tblLook w:val="04A0" w:firstRow="1" w:lastRow="0" w:firstColumn="1" w:lastColumn="0" w:noHBand="0" w:noVBand="1"/>
      </w:tblPr>
      <w:tblGrid>
        <w:gridCol w:w="3224"/>
        <w:gridCol w:w="3556"/>
        <w:gridCol w:w="3223"/>
      </w:tblGrid>
      <w:tr w:rsidR="004B3B82" w:rsidRPr="004C0B2B" w14:paraId="71C62FAB" w14:textId="77777777" w:rsidTr="00CD3B05">
        <w:trPr>
          <w:trHeight w:val="665"/>
        </w:trPr>
        <w:tc>
          <w:tcPr>
            <w:tcW w:w="3224" w:type="dxa"/>
            <w:tcBorders>
              <w:top w:val="single" w:sz="4" w:space="0" w:color="auto"/>
            </w:tcBorders>
            <w:shd w:val="clear" w:color="auto" w:fill="auto"/>
            <w:vAlign w:val="center"/>
          </w:tcPr>
          <w:p w14:paraId="5C25B032" w14:textId="77777777" w:rsidR="004B3B82" w:rsidRPr="004C0B2B" w:rsidRDefault="004B3B82" w:rsidP="00CD3B05">
            <w:pPr>
              <w:jc w:val="center"/>
              <w:rPr>
                <w:rFonts w:ascii="Garamond" w:hAnsi="Garamond"/>
                <w:i/>
                <w:sz w:val="22"/>
                <w:szCs w:val="22"/>
                <w:lang w:eastAsia="en-US"/>
              </w:rPr>
            </w:pPr>
            <w:r w:rsidRPr="004C0B2B">
              <w:rPr>
                <w:rFonts w:ascii="Garamond" w:hAnsi="Garamond"/>
                <w:i/>
                <w:sz w:val="18"/>
                <w:szCs w:val="18"/>
                <w:lang w:eastAsia="en-US"/>
              </w:rPr>
              <w:t xml:space="preserve"> (должность руководителя)</w:t>
            </w:r>
          </w:p>
        </w:tc>
        <w:tc>
          <w:tcPr>
            <w:tcW w:w="3556" w:type="dxa"/>
            <w:shd w:val="clear" w:color="auto" w:fill="auto"/>
            <w:vAlign w:val="center"/>
          </w:tcPr>
          <w:p w14:paraId="2CE55FFB" w14:textId="77777777" w:rsidR="004B3B82" w:rsidRPr="004C0B2B" w:rsidRDefault="004B3B82" w:rsidP="00CD3B05">
            <w:pPr>
              <w:jc w:val="center"/>
              <w:rPr>
                <w:rFonts w:ascii="Garamond" w:hAnsi="Garamond"/>
                <w:i/>
                <w:sz w:val="22"/>
                <w:szCs w:val="22"/>
                <w:lang w:eastAsia="en-US"/>
              </w:rPr>
            </w:pPr>
          </w:p>
        </w:tc>
        <w:tc>
          <w:tcPr>
            <w:tcW w:w="3223" w:type="dxa"/>
            <w:tcBorders>
              <w:top w:val="single" w:sz="4" w:space="0" w:color="auto"/>
            </w:tcBorders>
            <w:shd w:val="clear" w:color="auto" w:fill="auto"/>
            <w:vAlign w:val="center"/>
          </w:tcPr>
          <w:p w14:paraId="769FF6A6" w14:textId="77777777" w:rsidR="004B3B82" w:rsidRPr="004C0B2B" w:rsidRDefault="004B3B82" w:rsidP="00CD3B05">
            <w:pPr>
              <w:jc w:val="center"/>
              <w:rPr>
                <w:rFonts w:ascii="Garamond" w:hAnsi="Garamond"/>
                <w:i/>
                <w:sz w:val="22"/>
                <w:szCs w:val="22"/>
                <w:lang w:eastAsia="en-US"/>
              </w:rPr>
            </w:pPr>
            <w:r w:rsidRPr="004C0B2B">
              <w:rPr>
                <w:rFonts w:ascii="Garamond" w:hAnsi="Garamond"/>
                <w:i/>
                <w:sz w:val="18"/>
                <w:szCs w:val="18"/>
                <w:lang w:eastAsia="en-US"/>
              </w:rPr>
              <w:t>(Ф. И. О.)</w:t>
            </w:r>
          </w:p>
        </w:tc>
      </w:tr>
    </w:tbl>
    <w:p w14:paraId="5B1FAC94" w14:textId="77777777" w:rsidR="004B3B82" w:rsidRPr="004C0B2B" w:rsidRDefault="004B3B82" w:rsidP="00101F7C">
      <w:pPr>
        <w:jc w:val="both"/>
        <w:rPr>
          <w:rFonts w:ascii="Garamond" w:hAnsi="Garamond"/>
          <w:b/>
          <w:bCs/>
          <w:lang w:eastAsia="en-US"/>
        </w:rPr>
      </w:pPr>
    </w:p>
    <w:p w14:paraId="692C9489" w14:textId="77777777" w:rsidR="004B3B82" w:rsidRPr="004C0B2B" w:rsidRDefault="004B3B82" w:rsidP="00101F7C">
      <w:pPr>
        <w:jc w:val="both"/>
        <w:rPr>
          <w:rFonts w:ascii="Garamond" w:hAnsi="Garamond"/>
          <w:b/>
          <w:bCs/>
          <w:lang w:eastAsia="en-US"/>
        </w:rPr>
      </w:pPr>
      <w:r w:rsidRPr="004C0B2B">
        <w:rPr>
          <w:rFonts w:ascii="Garamond" w:hAnsi="Garamond"/>
          <w:b/>
          <w:bCs/>
          <w:lang w:eastAsia="en-US"/>
        </w:rPr>
        <w:t>Примечание.</w:t>
      </w:r>
    </w:p>
    <w:p w14:paraId="6E4B45C0" w14:textId="77777777" w:rsidR="004B3B82" w:rsidRPr="004C0B2B" w:rsidRDefault="004B3B82" w:rsidP="004B3B82">
      <w:pPr>
        <w:pStyle w:val="ac"/>
        <w:numPr>
          <w:ilvl w:val="0"/>
          <w:numId w:val="116"/>
        </w:numPr>
        <w:spacing w:before="160" w:after="160" w:line="259" w:lineRule="auto"/>
        <w:ind w:left="284" w:hanging="284"/>
        <w:jc w:val="both"/>
        <w:rPr>
          <w:rFonts w:ascii="Garamond" w:hAnsi="Garamond"/>
        </w:rPr>
      </w:pPr>
      <w:r w:rsidRPr="004C0B2B">
        <w:rPr>
          <w:rFonts w:ascii="Garamond" w:hAnsi="Garamond"/>
        </w:rPr>
        <w:t>Указать наименование и буквенный код сечения коммерческого учета или ГТП генерации, например:</w:t>
      </w:r>
    </w:p>
    <w:p w14:paraId="58BFCBDD" w14:textId="77777777" w:rsidR="004B3B82" w:rsidRPr="004C0B2B" w:rsidRDefault="004B3B82" w:rsidP="00101F7C">
      <w:pPr>
        <w:pStyle w:val="ac"/>
        <w:ind w:left="284"/>
        <w:jc w:val="both"/>
        <w:rPr>
          <w:rFonts w:ascii="Garamond" w:hAnsi="Garamond"/>
        </w:rPr>
      </w:pPr>
      <w:r w:rsidRPr="004C0B2B">
        <w:rPr>
          <w:rFonts w:ascii="Garamond" w:hAnsi="Garamond"/>
        </w:rPr>
        <w:t>ЗАО «СбыТ» (ОАО «Уралсталь») – ОАО «Энергосбыт Север» (ОАО «Северскэнергосбыт») (P</w:t>
      </w:r>
      <w:r w:rsidRPr="004C0B2B">
        <w:rPr>
          <w:rFonts w:ascii="Garamond" w:hAnsi="Garamond"/>
          <w:lang w:val="en-US"/>
        </w:rPr>
        <w:t>SFIEN</w:t>
      </w:r>
      <w:r w:rsidRPr="004C0B2B">
        <w:rPr>
          <w:rFonts w:ascii="Garamond" w:hAnsi="Garamond"/>
        </w:rPr>
        <w:t>27-PS</w:t>
      </w:r>
      <w:r w:rsidRPr="004C0B2B">
        <w:rPr>
          <w:rFonts w:ascii="Garamond" w:hAnsi="Garamond"/>
          <w:lang w:val="en-US"/>
        </w:rPr>
        <w:t>S</w:t>
      </w:r>
      <w:r w:rsidRPr="004C0B2B">
        <w:rPr>
          <w:rFonts w:ascii="Garamond" w:hAnsi="Garamond"/>
        </w:rPr>
        <w:t>ERDLE);</w:t>
      </w:r>
    </w:p>
    <w:p w14:paraId="50FCB387" w14:textId="67C0A778" w:rsidR="004B3B82" w:rsidRPr="004C0B2B" w:rsidRDefault="004B3B82" w:rsidP="00101F7C">
      <w:pPr>
        <w:pStyle w:val="ac"/>
        <w:ind w:left="284"/>
        <w:jc w:val="both"/>
        <w:rPr>
          <w:rFonts w:ascii="Garamond" w:hAnsi="Garamond"/>
        </w:rPr>
      </w:pPr>
      <w:r w:rsidRPr="004C0B2B">
        <w:rPr>
          <w:rFonts w:ascii="Garamond" w:hAnsi="Garamond"/>
        </w:rPr>
        <w:t>ПАО «</w:t>
      </w:r>
      <w:r w:rsidRPr="004C0B2B">
        <w:rPr>
          <w:rFonts w:ascii="Garamond" w:hAnsi="Garamond"/>
          <w:lang w:eastAsia="en-US"/>
        </w:rPr>
        <w:t>Россети</w:t>
      </w:r>
      <w:r w:rsidRPr="004C0B2B">
        <w:rPr>
          <w:rFonts w:ascii="Garamond" w:hAnsi="Garamond"/>
        </w:rPr>
        <w:t>» (МЭС Северо-Запада (по сетям Республики Коми)) – ОАО «Энергосбыт Север»                                                (ОАО «Северскэнергосбыт») (FKOMIENE-PS</w:t>
      </w:r>
      <w:r w:rsidRPr="004C0B2B">
        <w:rPr>
          <w:rFonts w:ascii="Garamond" w:hAnsi="Garamond"/>
          <w:lang w:val="en-US"/>
        </w:rPr>
        <w:t>S</w:t>
      </w:r>
      <w:r w:rsidRPr="004C0B2B">
        <w:rPr>
          <w:rFonts w:ascii="Garamond" w:hAnsi="Garamond"/>
        </w:rPr>
        <w:t>ERDLE);</w:t>
      </w:r>
    </w:p>
    <w:p w14:paraId="09801E82" w14:textId="77777777" w:rsidR="004B3B82" w:rsidRPr="004C0B2B" w:rsidRDefault="004B3B82" w:rsidP="00101F7C">
      <w:pPr>
        <w:pStyle w:val="ac"/>
        <w:ind w:left="284"/>
        <w:jc w:val="both"/>
        <w:rPr>
          <w:rFonts w:ascii="Garamond" w:hAnsi="Garamond"/>
        </w:rPr>
      </w:pPr>
      <w:r w:rsidRPr="004C0B2B">
        <w:rPr>
          <w:rFonts w:ascii="Garamond" w:hAnsi="Garamond"/>
        </w:rPr>
        <w:t>АО «Генерация» (Первая ТЭЦ) (</w:t>
      </w:r>
      <w:r w:rsidRPr="004C0B2B">
        <w:rPr>
          <w:rFonts w:ascii="Garamond" w:hAnsi="Garamond"/>
          <w:lang w:val="en-US"/>
        </w:rPr>
        <w:t>GOMSKE</w:t>
      </w:r>
      <w:r w:rsidRPr="004C0B2B">
        <w:rPr>
          <w:rFonts w:ascii="Garamond" w:hAnsi="Garamond"/>
        </w:rPr>
        <w:t>17).</w:t>
      </w:r>
    </w:p>
    <w:p w14:paraId="131F1A40" w14:textId="77777777" w:rsidR="004B3B82" w:rsidRPr="004C0B2B" w:rsidRDefault="004B3B82" w:rsidP="00101F7C">
      <w:pPr>
        <w:spacing w:after="160" w:line="259" w:lineRule="auto"/>
        <w:jc w:val="both"/>
        <w:rPr>
          <w:rFonts w:ascii="Garamond" w:hAnsi="Garamond"/>
          <w:lang w:eastAsia="en-US"/>
        </w:rPr>
      </w:pPr>
    </w:p>
    <w:p w14:paraId="2B3EC57E" w14:textId="77777777" w:rsidR="004B3B82" w:rsidRPr="004C0B2B" w:rsidRDefault="004B3B82" w:rsidP="00101F7C">
      <w:pPr>
        <w:spacing w:after="160" w:line="259" w:lineRule="auto"/>
        <w:jc w:val="both"/>
        <w:rPr>
          <w:rFonts w:ascii="Garamond" w:hAnsi="Garamond"/>
          <w:lang w:eastAsia="en-US"/>
        </w:rPr>
      </w:pPr>
      <w:r w:rsidRPr="004C0B2B">
        <w:rPr>
          <w:rFonts w:ascii="Garamond" w:hAnsi="Garamond"/>
          <w:lang w:eastAsia="en-US"/>
        </w:rPr>
        <w:br w:type="page"/>
      </w:r>
    </w:p>
    <w:p w14:paraId="222B4E1D" w14:textId="77777777" w:rsidR="004B3B82" w:rsidRPr="004C0B2B" w:rsidRDefault="004B3B82" w:rsidP="00101F7C">
      <w:pPr>
        <w:rPr>
          <w:rFonts w:ascii="Garamond" w:hAnsi="Garamond"/>
          <w:b/>
          <w:sz w:val="22"/>
          <w:szCs w:val="22"/>
        </w:rPr>
      </w:pPr>
      <w:r w:rsidRPr="004C0B2B">
        <w:rPr>
          <w:rFonts w:ascii="Garamond" w:hAnsi="Garamond"/>
          <w:b/>
          <w:sz w:val="22"/>
          <w:szCs w:val="22"/>
        </w:rPr>
        <w:lastRenderedPageBreak/>
        <w:t>Предлагаемая редакция</w:t>
      </w:r>
    </w:p>
    <w:p w14:paraId="7260721E" w14:textId="77777777" w:rsidR="004B3B82" w:rsidRPr="004C0B2B" w:rsidRDefault="004B3B82" w:rsidP="00101F7C">
      <w:pPr>
        <w:jc w:val="center"/>
        <w:rPr>
          <w:rFonts w:ascii="Garamond" w:hAnsi="Garamond"/>
          <w:b/>
          <w:sz w:val="22"/>
          <w:szCs w:val="22"/>
        </w:rPr>
      </w:pPr>
      <w:r w:rsidRPr="004C0B2B">
        <w:rPr>
          <w:rFonts w:ascii="Garamond" w:hAnsi="Garamond"/>
          <w:b/>
          <w:sz w:val="22"/>
          <w:szCs w:val="22"/>
        </w:rPr>
        <w:t>Форма 2</w:t>
      </w:r>
    </w:p>
    <w:p w14:paraId="7906E2F4" w14:textId="77777777" w:rsidR="004B3B82" w:rsidRPr="004C0B2B" w:rsidRDefault="004B3B82" w:rsidP="00101F7C">
      <w:pPr>
        <w:rPr>
          <w:rFonts w:ascii="Garamond" w:hAnsi="Garamond"/>
          <w:sz w:val="22"/>
          <w:szCs w:val="22"/>
        </w:rPr>
      </w:pPr>
    </w:p>
    <w:p w14:paraId="183DA6CD" w14:textId="77777777" w:rsidR="004B3B82" w:rsidRPr="004C0B2B" w:rsidRDefault="004B3B82" w:rsidP="00101F7C">
      <w:pPr>
        <w:rPr>
          <w:rFonts w:ascii="Garamond" w:hAnsi="Garamond"/>
          <w:sz w:val="22"/>
          <w:szCs w:val="22"/>
        </w:rPr>
      </w:pPr>
      <w:r w:rsidRPr="004C0B2B">
        <w:rPr>
          <w:rFonts w:ascii="Garamond" w:hAnsi="Garamond"/>
          <w:sz w:val="22"/>
          <w:szCs w:val="22"/>
        </w:rPr>
        <w:t xml:space="preserve">(на бланке заявителя) </w:t>
      </w:r>
      <w:r w:rsidRPr="004C0B2B">
        <w:rPr>
          <w:rFonts w:ascii="Garamond" w:hAnsi="Garamond"/>
          <w:sz w:val="22"/>
          <w:szCs w:val="22"/>
        </w:rPr>
        <w:tab/>
      </w:r>
    </w:p>
    <w:p w14:paraId="1034B934" w14:textId="77777777" w:rsidR="004B3B82" w:rsidRPr="004C0B2B" w:rsidRDefault="004B3B82" w:rsidP="00101F7C">
      <w:pPr>
        <w:ind w:left="7371" w:right="-428"/>
        <w:jc w:val="both"/>
        <w:rPr>
          <w:rFonts w:ascii="Garamond" w:hAnsi="Garamond"/>
          <w:b/>
          <w:sz w:val="22"/>
          <w:szCs w:val="22"/>
          <w:lang w:eastAsia="en-US"/>
        </w:rPr>
      </w:pPr>
      <w:r w:rsidRPr="004C0B2B">
        <w:rPr>
          <w:rFonts w:ascii="Garamond" w:hAnsi="Garamond"/>
          <w:b/>
          <w:sz w:val="22"/>
          <w:szCs w:val="22"/>
          <w:lang w:eastAsia="en-US"/>
        </w:rPr>
        <w:t>Председателю Правления</w:t>
      </w:r>
    </w:p>
    <w:p w14:paraId="51B1B23E" w14:textId="77777777" w:rsidR="004B3B82" w:rsidRPr="004C0B2B" w:rsidRDefault="004B3B82" w:rsidP="00101F7C">
      <w:pPr>
        <w:ind w:left="7371" w:right="-428"/>
        <w:jc w:val="both"/>
        <w:rPr>
          <w:rFonts w:ascii="Garamond" w:hAnsi="Garamond"/>
          <w:b/>
          <w:sz w:val="22"/>
          <w:szCs w:val="22"/>
          <w:lang w:eastAsia="en-US"/>
        </w:rPr>
      </w:pPr>
      <w:r w:rsidRPr="004C0B2B">
        <w:rPr>
          <w:rFonts w:ascii="Garamond" w:hAnsi="Garamond"/>
          <w:b/>
          <w:sz w:val="22"/>
          <w:szCs w:val="22"/>
          <w:lang w:eastAsia="en-US"/>
        </w:rPr>
        <w:t>АО «АТС»</w:t>
      </w:r>
    </w:p>
    <w:p w14:paraId="290FD0C3" w14:textId="77777777" w:rsidR="004B3B82" w:rsidRPr="004C0B2B" w:rsidRDefault="004B3B82" w:rsidP="00101F7C">
      <w:pPr>
        <w:jc w:val="both"/>
        <w:rPr>
          <w:rFonts w:ascii="Garamond" w:hAnsi="Garamond"/>
          <w:sz w:val="22"/>
          <w:szCs w:val="22"/>
          <w:lang w:eastAsia="en-US"/>
        </w:rPr>
      </w:pPr>
      <w:r w:rsidRPr="004C0B2B">
        <w:rPr>
          <w:rFonts w:ascii="Garamond" w:hAnsi="Garamond"/>
          <w:sz w:val="22"/>
          <w:szCs w:val="22"/>
          <w:lang w:eastAsia="en-US"/>
        </w:rPr>
        <w:t>№ _____________________</w:t>
      </w:r>
    </w:p>
    <w:p w14:paraId="5EC89351" w14:textId="77777777" w:rsidR="004B3B82" w:rsidRPr="004C0B2B" w:rsidRDefault="004B3B82" w:rsidP="00101F7C">
      <w:pPr>
        <w:jc w:val="both"/>
        <w:rPr>
          <w:rFonts w:ascii="Garamond" w:hAnsi="Garamond"/>
          <w:sz w:val="22"/>
          <w:szCs w:val="22"/>
          <w:lang w:eastAsia="en-US"/>
        </w:rPr>
      </w:pPr>
      <w:r w:rsidRPr="004C0B2B">
        <w:rPr>
          <w:rFonts w:ascii="Garamond" w:hAnsi="Garamond"/>
          <w:sz w:val="22"/>
          <w:szCs w:val="22"/>
          <w:lang w:eastAsia="en-US"/>
        </w:rPr>
        <w:t>«___» ___________ 20 ___ г.</w:t>
      </w:r>
    </w:p>
    <w:p w14:paraId="4FC87965" w14:textId="77777777" w:rsidR="004B3B82" w:rsidRPr="004C0B2B" w:rsidRDefault="004B3B82" w:rsidP="00101F7C"/>
    <w:p w14:paraId="58E5F1E7" w14:textId="77777777" w:rsidR="004B3B82" w:rsidRPr="004C0B2B" w:rsidRDefault="004B3B82" w:rsidP="00101F7C"/>
    <w:p w14:paraId="087E1F6F" w14:textId="77777777" w:rsidR="004B3B82" w:rsidRPr="004C0B2B" w:rsidRDefault="004B3B82" w:rsidP="00101F7C">
      <w:pPr>
        <w:jc w:val="center"/>
        <w:rPr>
          <w:rFonts w:ascii="Garamond" w:hAnsi="Garamond"/>
          <w:b/>
          <w:sz w:val="22"/>
          <w:szCs w:val="22"/>
          <w:lang w:eastAsia="en-US"/>
        </w:rPr>
      </w:pPr>
      <w:r w:rsidRPr="004C0B2B">
        <w:rPr>
          <w:rFonts w:ascii="Garamond" w:hAnsi="Garamond"/>
          <w:b/>
          <w:sz w:val="22"/>
          <w:szCs w:val="22"/>
          <w:lang w:eastAsia="en-US"/>
        </w:rPr>
        <w:t>ЗАЯВЛЕНИЕ</w:t>
      </w:r>
    </w:p>
    <w:p w14:paraId="6988AA1B" w14:textId="77777777" w:rsidR="004B3B82" w:rsidRPr="004C0B2B" w:rsidRDefault="004B3B82" w:rsidP="00101F7C">
      <w:pPr>
        <w:jc w:val="center"/>
        <w:rPr>
          <w:rFonts w:ascii="Garamond" w:hAnsi="Garamond"/>
          <w:b/>
          <w:sz w:val="22"/>
          <w:szCs w:val="22"/>
          <w:lang w:eastAsia="en-US"/>
        </w:rPr>
      </w:pPr>
      <w:r w:rsidRPr="004C0B2B">
        <w:rPr>
          <w:rFonts w:ascii="Garamond" w:hAnsi="Garamond"/>
          <w:b/>
          <w:sz w:val="22"/>
          <w:szCs w:val="22"/>
          <w:lang w:eastAsia="en-US"/>
        </w:rPr>
        <w:t>об установлении соответствия системы коммерческого учета электрической энергии техническим требованиям оптового рынка электрической энергии и мощности</w:t>
      </w:r>
    </w:p>
    <w:p w14:paraId="3AF2C445" w14:textId="77777777" w:rsidR="004B3B82" w:rsidRPr="004C0B2B" w:rsidRDefault="004B3B82" w:rsidP="00101F7C">
      <w:pPr>
        <w:ind w:firstLine="540"/>
        <w:jc w:val="both"/>
        <w:rPr>
          <w:rFonts w:ascii="Garamond" w:hAnsi="Garamond"/>
          <w:spacing w:val="-2"/>
          <w:sz w:val="22"/>
          <w:szCs w:val="22"/>
        </w:rPr>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02"/>
        <w:gridCol w:w="7058"/>
      </w:tblGrid>
      <w:tr w:rsidR="004B3B82" w:rsidRPr="004C0B2B" w14:paraId="7195DF4C" w14:textId="77777777" w:rsidTr="00CD3B05">
        <w:trPr>
          <w:trHeight w:val="421"/>
        </w:trPr>
        <w:tc>
          <w:tcPr>
            <w:tcW w:w="3002" w:type="dxa"/>
            <w:shd w:val="clear" w:color="auto" w:fill="D9D9D9"/>
            <w:vAlign w:val="center"/>
          </w:tcPr>
          <w:p w14:paraId="0E606B94" w14:textId="77777777" w:rsidR="004B3B82" w:rsidRPr="004C0B2B" w:rsidRDefault="004B3B82" w:rsidP="00CD3B05">
            <w:pPr>
              <w:jc w:val="both"/>
              <w:rPr>
                <w:rFonts w:ascii="Garamond" w:hAnsi="Garamond"/>
                <w:sz w:val="22"/>
                <w:szCs w:val="22"/>
                <w:lang w:eastAsia="en-US"/>
              </w:rPr>
            </w:pPr>
            <w:r w:rsidRPr="004C0B2B">
              <w:rPr>
                <w:rFonts w:ascii="Garamond" w:hAnsi="Garamond"/>
                <w:sz w:val="22"/>
                <w:szCs w:val="22"/>
                <w:lang w:eastAsia="en-US"/>
              </w:rPr>
              <w:t>Полное наименование заявителя</w:t>
            </w:r>
          </w:p>
        </w:tc>
        <w:tc>
          <w:tcPr>
            <w:tcW w:w="7058" w:type="dxa"/>
            <w:shd w:val="clear" w:color="auto" w:fill="auto"/>
            <w:vAlign w:val="center"/>
          </w:tcPr>
          <w:p w14:paraId="240BBE72" w14:textId="77777777" w:rsidR="004B3B82" w:rsidRPr="004C0B2B" w:rsidRDefault="004B3B82" w:rsidP="00CD3B05">
            <w:pPr>
              <w:autoSpaceDE w:val="0"/>
              <w:autoSpaceDN w:val="0"/>
              <w:rPr>
                <w:rFonts w:ascii="Garamond" w:hAnsi="Garamond"/>
                <w:sz w:val="22"/>
                <w:szCs w:val="22"/>
                <w:lang w:eastAsia="en-US"/>
              </w:rPr>
            </w:pPr>
          </w:p>
        </w:tc>
      </w:tr>
      <w:tr w:rsidR="004B3B82" w:rsidRPr="004C0B2B" w14:paraId="1FF3E255" w14:textId="77777777" w:rsidTr="00CD3B05">
        <w:trPr>
          <w:trHeight w:val="340"/>
        </w:trPr>
        <w:tc>
          <w:tcPr>
            <w:tcW w:w="3002" w:type="dxa"/>
            <w:shd w:val="clear" w:color="auto" w:fill="D9D9D9"/>
            <w:vAlign w:val="center"/>
          </w:tcPr>
          <w:p w14:paraId="1DA4562E" w14:textId="77777777" w:rsidR="004B3B82" w:rsidRPr="004C0B2B" w:rsidRDefault="004B3B82" w:rsidP="00CD3B05">
            <w:pPr>
              <w:jc w:val="both"/>
              <w:rPr>
                <w:rFonts w:ascii="Garamond" w:hAnsi="Garamond"/>
                <w:sz w:val="22"/>
                <w:szCs w:val="22"/>
                <w:lang w:eastAsia="en-US"/>
              </w:rPr>
            </w:pPr>
            <w:r w:rsidRPr="004C0B2B">
              <w:rPr>
                <w:rFonts w:ascii="Garamond" w:hAnsi="Garamond"/>
                <w:sz w:val="22"/>
                <w:szCs w:val="22"/>
                <w:lang w:eastAsia="en-US"/>
              </w:rPr>
              <w:t>Сокращенное наименование заявителя</w:t>
            </w:r>
          </w:p>
        </w:tc>
        <w:tc>
          <w:tcPr>
            <w:tcW w:w="7058" w:type="dxa"/>
            <w:shd w:val="clear" w:color="auto" w:fill="auto"/>
            <w:vAlign w:val="center"/>
          </w:tcPr>
          <w:p w14:paraId="448AE805" w14:textId="77777777" w:rsidR="004B3B82" w:rsidRPr="004C0B2B" w:rsidRDefault="004B3B82" w:rsidP="00CD3B05">
            <w:pPr>
              <w:jc w:val="both"/>
              <w:rPr>
                <w:rFonts w:ascii="Garamond" w:hAnsi="Garamond"/>
                <w:b/>
                <w:sz w:val="22"/>
                <w:szCs w:val="22"/>
                <w:lang w:eastAsia="en-US"/>
              </w:rPr>
            </w:pPr>
          </w:p>
        </w:tc>
      </w:tr>
    </w:tbl>
    <w:p w14:paraId="6A3E9A89" w14:textId="77777777" w:rsidR="004B3B82" w:rsidRPr="004C0B2B" w:rsidRDefault="004B3B82" w:rsidP="00101F7C">
      <w:pPr>
        <w:autoSpaceDE w:val="0"/>
        <w:autoSpaceDN w:val="0"/>
        <w:rPr>
          <w:rFonts w:ascii="Garamond" w:hAnsi="Garamond"/>
          <w:spacing w:val="-2"/>
          <w:sz w:val="22"/>
          <w:szCs w:val="22"/>
        </w:rPr>
      </w:pPr>
    </w:p>
    <w:p w14:paraId="7EBB7ACB" w14:textId="77777777" w:rsidR="004B3B82" w:rsidRPr="004C0B2B" w:rsidRDefault="004B3B82" w:rsidP="00101F7C">
      <w:pPr>
        <w:autoSpaceDE w:val="0"/>
        <w:autoSpaceDN w:val="0"/>
        <w:jc w:val="both"/>
        <w:rPr>
          <w:rFonts w:ascii="Garamond" w:hAnsi="Garamond"/>
          <w:sz w:val="22"/>
          <w:szCs w:val="22"/>
        </w:rPr>
      </w:pPr>
      <w:r w:rsidRPr="004C0B2B">
        <w:rPr>
          <w:rFonts w:ascii="Garamond" w:hAnsi="Garamond"/>
          <w:sz w:val="22"/>
          <w:szCs w:val="22"/>
          <w:lang w:eastAsia="en-US"/>
        </w:rPr>
        <w:t xml:space="preserve">выражает намерение </w:t>
      </w:r>
      <w:r w:rsidRPr="004C0B2B">
        <w:rPr>
          <w:rFonts w:ascii="Garamond" w:hAnsi="Garamond"/>
          <w:spacing w:val="-2"/>
          <w:sz w:val="22"/>
          <w:szCs w:val="22"/>
        </w:rPr>
        <w:t xml:space="preserve">установить соответствие системы коммерческого учета электроэнергии техническим требованиям оптового рынка электроэнергии (мощности) и оформить </w:t>
      </w:r>
      <w:r w:rsidRPr="004C0B2B">
        <w:rPr>
          <w:rFonts w:ascii="Garamond" w:hAnsi="Garamond"/>
          <w:sz w:val="22"/>
          <w:szCs w:val="22"/>
        </w:rPr>
        <w:t>Акт о соответствии системы коммерческого учета электрической энергии техническим требованиям оптового рынка электрической энергии и мощности в связи с истечением срока действия Акта о соответствии АИИС КУЭ и (или) оформлением нового свидетельства о поверке АИИС КУЭ в связи с изменением состава технических средств АИИС КУЭ</w:t>
      </w:r>
    </w:p>
    <w:p w14:paraId="7962B5B4" w14:textId="77777777" w:rsidR="004B3B82" w:rsidRPr="004C0B2B" w:rsidRDefault="004B3B82" w:rsidP="00101F7C">
      <w:pPr>
        <w:autoSpaceDE w:val="0"/>
        <w:autoSpaceDN w:val="0"/>
        <w:rPr>
          <w:rFonts w:ascii="Garamond" w:hAnsi="Garamond"/>
          <w:spacing w:val="-2"/>
          <w:sz w:val="22"/>
          <w:szCs w:val="22"/>
        </w:rPr>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04"/>
        <w:gridCol w:w="7056"/>
      </w:tblGrid>
      <w:tr w:rsidR="004B3B82" w:rsidRPr="004C0B2B" w14:paraId="50489CCD" w14:textId="77777777" w:rsidTr="00CD3B05">
        <w:trPr>
          <w:trHeight w:val="340"/>
        </w:trPr>
        <w:tc>
          <w:tcPr>
            <w:tcW w:w="3004" w:type="dxa"/>
            <w:shd w:val="clear" w:color="auto" w:fill="D9D9D9"/>
            <w:vAlign w:val="center"/>
          </w:tcPr>
          <w:p w14:paraId="5AE1B340" w14:textId="77777777" w:rsidR="004B3B82" w:rsidRPr="004C0B2B" w:rsidRDefault="004B3B82" w:rsidP="00CD3B05">
            <w:pPr>
              <w:jc w:val="both"/>
              <w:rPr>
                <w:rFonts w:ascii="Garamond" w:hAnsi="Garamond"/>
                <w:sz w:val="22"/>
                <w:szCs w:val="22"/>
                <w:lang w:eastAsia="en-US"/>
              </w:rPr>
            </w:pPr>
            <w:r w:rsidRPr="004C0B2B">
              <w:rPr>
                <w:rFonts w:ascii="Garamond" w:hAnsi="Garamond"/>
                <w:sz w:val="22"/>
                <w:szCs w:val="22"/>
                <w:lang w:eastAsia="en-US"/>
              </w:rPr>
              <w:t>Наименование сечения КУ/ ГТП генерации</w:t>
            </w:r>
            <w:r w:rsidRPr="004C0B2B">
              <w:rPr>
                <w:rFonts w:ascii="Garamond" w:hAnsi="Garamond"/>
                <w:sz w:val="22"/>
                <w:szCs w:val="22"/>
                <w:vertAlign w:val="superscript"/>
                <w:lang w:eastAsia="en-US"/>
              </w:rPr>
              <w:t xml:space="preserve"> 1</w:t>
            </w:r>
          </w:p>
        </w:tc>
        <w:tc>
          <w:tcPr>
            <w:tcW w:w="7056" w:type="dxa"/>
            <w:shd w:val="clear" w:color="auto" w:fill="auto"/>
            <w:vAlign w:val="center"/>
          </w:tcPr>
          <w:p w14:paraId="1FA677A4" w14:textId="77777777" w:rsidR="004B3B82" w:rsidRPr="004C0B2B" w:rsidRDefault="004B3B82" w:rsidP="00CD3B05">
            <w:pPr>
              <w:jc w:val="both"/>
              <w:rPr>
                <w:rFonts w:ascii="Garamond" w:hAnsi="Garamond"/>
                <w:b/>
                <w:sz w:val="22"/>
                <w:szCs w:val="22"/>
                <w:lang w:eastAsia="en-US"/>
              </w:rPr>
            </w:pPr>
          </w:p>
        </w:tc>
      </w:tr>
      <w:tr w:rsidR="004B3B82" w:rsidRPr="004C0B2B" w14:paraId="00288E44" w14:textId="77777777" w:rsidTr="00CD3B05">
        <w:trPr>
          <w:trHeight w:val="340"/>
        </w:trPr>
        <w:tc>
          <w:tcPr>
            <w:tcW w:w="3004" w:type="dxa"/>
            <w:shd w:val="clear" w:color="auto" w:fill="D9D9D9"/>
            <w:vAlign w:val="center"/>
          </w:tcPr>
          <w:p w14:paraId="0CB45698" w14:textId="77777777" w:rsidR="004B3B82" w:rsidRPr="004C0B2B" w:rsidRDefault="004B3B82" w:rsidP="00CD3B05">
            <w:pPr>
              <w:jc w:val="both"/>
              <w:rPr>
                <w:rFonts w:ascii="Garamond" w:hAnsi="Garamond"/>
                <w:sz w:val="22"/>
                <w:szCs w:val="22"/>
                <w:lang w:eastAsia="en-US"/>
              </w:rPr>
            </w:pPr>
            <w:r w:rsidRPr="004C0B2B">
              <w:rPr>
                <w:rFonts w:ascii="Garamond" w:hAnsi="Garamond"/>
                <w:sz w:val="22"/>
                <w:szCs w:val="22"/>
                <w:lang w:eastAsia="en-US"/>
              </w:rPr>
              <w:t>Основание</w:t>
            </w:r>
          </w:p>
        </w:tc>
        <w:tc>
          <w:tcPr>
            <w:tcW w:w="7056" w:type="dxa"/>
            <w:shd w:val="clear" w:color="auto" w:fill="auto"/>
            <w:vAlign w:val="center"/>
          </w:tcPr>
          <w:p w14:paraId="7D6AAAD4" w14:textId="77777777" w:rsidR="004B3B82" w:rsidRPr="004C0B2B" w:rsidRDefault="004B3B82" w:rsidP="00CD3B05">
            <w:pPr>
              <w:jc w:val="both"/>
              <w:rPr>
                <w:rFonts w:ascii="Garamond" w:hAnsi="Garamond"/>
                <w:b/>
                <w:sz w:val="22"/>
                <w:szCs w:val="22"/>
                <w:lang w:eastAsia="en-US"/>
              </w:rPr>
            </w:pPr>
            <w:r w:rsidRPr="004C0B2B">
              <w:rPr>
                <w:rFonts w:ascii="Garamond" w:hAnsi="Garamond"/>
                <w:sz w:val="22"/>
                <w:szCs w:val="22"/>
              </w:rPr>
              <w:t>Действующий состав точек поставки и точек измерений подтвержден действующим ПСИ № ___ от ______</w:t>
            </w:r>
          </w:p>
        </w:tc>
      </w:tr>
      <w:tr w:rsidR="004B3B82" w:rsidRPr="004C0B2B" w14:paraId="47558779" w14:textId="77777777" w:rsidTr="00CD3B05">
        <w:trPr>
          <w:trHeight w:val="340"/>
        </w:trPr>
        <w:tc>
          <w:tcPr>
            <w:tcW w:w="3004" w:type="dxa"/>
            <w:tcBorders>
              <w:top w:val="single" w:sz="4" w:space="0" w:color="auto"/>
              <w:left w:val="single" w:sz="4" w:space="0" w:color="auto"/>
              <w:bottom w:val="single" w:sz="4" w:space="0" w:color="auto"/>
              <w:right w:val="single" w:sz="4" w:space="0" w:color="auto"/>
            </w:tcBorders>
            <w:shd w:val="clear" w:color="auto" w:fill="D9D9D9"/>
            <w:vAlign w:val="center"/>
          </w:tcPr>
          <w:p w14:paraId="2EE674EF" w14:textId="77777777" w:rsidR="004B3B82" w:rsidRPr="004C0B2B" w:rsidRDefault="004B3B82" w:rsidP="00CD3B05">
            <w:pPr>
              <w:jc w:val="both"/>
              <w:rPr>
                <w:rFonts w:ascii="Garamond" w:hAnsi="Garamond"/>
                <w:sz w:val="22"/>
                <w:szCs w:val="22"/>
                <w:lang w:eastAsia="en-US"/>
              </w:rPr>
            </w:pPr>
            <w:r w:rsidRPr="004C0B2B">
              <w:rPr>
                <w:rFonts w:ascii="Garamond" w:hAnsi="Garamond"/>
                <w:sz w:val="22"/>
                <w:szCs w:val="22"/>
                <w:lang w:eastAsia="en-US"/>
              </w:rPr>
              <w:t>Реквизиты Акта о соответствии АИИС КУЭ класса А</w:t>
            </w:r>
          </w:p>
        </w:tc>
        <w:tc>
          <w:tcPr>
            <w:tcW w:w="7056" w:type="dxa"/>
            <w:tcBorders>
              <w:top w:val="single" w:sz="4" w:space="0" w:color="auto"/>
              <w:left w:val="single" w:sz="4" w:space="0" w:color="auto"/>
              <w:bottom w:val="single" w:sz="4" w:space="0" w:color="auto"/>
              <w:right w:val="single" w:sz="4" w:space="0" w:color="auto"/>
            </w:tcBorders>
            <w:shd w:val="clear" w:color="auto" w:fill="auto"/>
            <w:vAlign w:val="center"/>
          </w:tcPr>
          <w:p w14:paraId="5A20D170" w14:textId="77777777" w:rsidR="004B3B82" w:rsidRPr="004C0B2B" w:rsidRDefault="004B3B82" w:rsidP="00CD3B05">
            <w:pPr>
              <w:jc w:val="both"/>
              <w:rPr>
                <w:rFonts w:ascii="Garamond" w:hAnsi="Garamond"/>
                <w:sz w:val="22"/>
                <w:szCs w:val="22"/>
                <w:u w:val="single"/>
                <w:lang w:eastAsia="en-US"/>
              </w:rPr>
            </w:pPr>
            <w:r w:rsidRPr="004C0B2B">
              <w:rPr>
                <w:rFonts w:ascii="Garamond" w:hAnsi="Garamond"/>
                <w:sz w:val="22"/>
                <w:szCs w:val="22"/>
                <w:lang w:eastAsia="en-US"/>
              </w:rPr>
              <w:t xml:space="preserve">№ _________ от _________, срок действия до ________   </w:t>
            </w:r>
            <w:r w:rsidRPr="004C0B2B">
              <w:rPr>
                <w:rFonts w:ascii="Garamond" w:hAnsi="Garamond"/>
                <w:sz w:val="22"/>
                <w:szCs w:val="22"/>
                <w:u w:val="single"/>
                <w:lang w:eastAsia="en-US"/>
              </w:rPr>
              <w:t xml:space="preserve">        </w:t>
            </w:r>
          </w:p>
          <w:p w14:paraId="380F8B08" w14:textId="77777777" w:rsidR="004B3B82" w:rsidRPr="004C0B2B" w:rsidRDefault="004B3B82" w:rsidP="00CD3B05">
            <w:pPr>
              <w:jc w:val="both"/>
              <w:rPr>
                <w:rFonts w:ascii="Garamond" w:hAnsi="Garamond"/>
                <w:sz w:val="22"/>
                <w:szCs w:val="22"/>
              </w:rPr>
            </w:pPr>
            <w:r w:rsidRPr="004C0B2B">
              <w:rPr>
                <w:rFonts w:ascii="Garamond" w:hAnsi="Garamond"/>
                <w:sz w:val="18"/>
                <w:szCs w:val="18"/>
                <w:lang w:eastAsia="en-US"/>
              </w:rPr>
              <w:t>(</w:t>
            </w:r>
            <w:r w:rsidRPr="004C0B2B">
              <w:rPr>
                <w:rFonts w:ascii="Garamond" w:hAnsi="Garamond"/>
                <w:i/>
                <w:sz w:val="18"/>
                <w:szCs w:val="18"/>
                <w:lang w:eastAsia="en-US"/>
              </w:rPr>
              <w:t>указать реквизиты и срок действия Акта о соответствии АИИС КУЭ)</w:t>
            </w:r>
          </w:p>
        </w:tc>
      </w:tr>
      <w:tr w:rsidR="004B3B82" w:rsidRPr="004C0B2B" w14:paraId="163E931C" w14:textId="77777777" w:rsidTr="00CD3B05">
        <w:trPr>
          <w:trHeight w:val="340"/>
        </w:trPr>
        <w:tc>
          <w:tcPr>
            <w:tcW w:w="10060"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373B176E" w14:textId="77777777" w:rsidR="004B3B82" w:rsidRPr="004C0B2B" w:rsidRDefault="004B3B82" w:rsidP="00CD3B05">
            <w:pPr>
              <w:spacing w:before="120" w:after="120"/>
              <w:jc w:val="both"/>
              <w:rPr>
                <w:rFonts w:ascii="Garamond" w:hAnsi="Garamond"/>
                <w:spacing w:val="-2"/>
                <w:sz w:val="22"/>
                <w:szCs w:val="22"/>
              </w:rPr>
            </w:pPr>
            <w:r w:rsidRPr="004C0B2B">
              <w:rPr>
                <w:rFonts w:ascii="Garamond" w:hAnsi="Garamond"/>
                <w:spacing w:val="-2"/>
                <w:sz w:val="22"/>
                <w:szCs w:val="22"/>
              </w:rPr>
              <w:t>Настоящим заявлением подтверждаю:</w:t>
            </w:r>
          </w:p>
          <w:p w14:paraId="70FEB511" w14:textId="77777777" w:rsidR="004B3B82" w:rsidRPr="004C0B2B" w:rsidRDefault="004B3B82" w:rsidP="00CD3B05">
            <w:pPr>
              <w:spacing w:before="120" w:after="120"/>
              <w:jc w:val="both"/>
              <w:rPr>
                <w:rFonts w:ascii="Garamond" w:hAnsi="Garamond"/>
                <w:spacing w:val="-2"/>
                <w:sz w:val="22"/>
                <w:szCs w:val="22"/>
              </w:rPr>
            </w:pPr>
            <w:r w:rsidRPr="004C0B2B">
              <w:rPr>
                <w:rFonts w:ascii="Garamond" w:hAnsi="Garamond"/>
                <w:spacing w:val="-2"/>
                <w:sz w:val="22"/>
                <w:szCs w:val="22"/>
              </w:rPr>
              <w:t>– отсутствие изменений в свидетельстве об утверждении типа средства измерений АИИС КУЭ (описании типа средства измерений АИИС КУЭ), ранее предоставленном в КО</w:t>
            </w:r>
            <w:r w:rsidRPr="004C0B2B">
              <w:rPr>
                <w:rFonts w:ascii="Garamond" w:hAnsi="Garamond"/>
                <w:sz w:val="22"/>
                <w:szCs w:val="22"/>
              </w:rPr>
              <w:t xml:space="preserve"> в целях оформления вышеуказанного </w:t>
            </w:r>
            <w:r w:rsidRPr="004C0B2B">
              <w:rPr>
                <w:rFonts w:ascii="Garamond" w:hAnsi="Garamond"/>
                <w:spacing w:val="-2"/>
                <w:sz w:val="22"/>
                <w:szCs w:val="22"/>
              </w:rPr>
              <w:t>Акта о соответствии АИИС КУЭ;</w:t>
            </w:r>
          </w:p>
          <w:p w14:paraId="767552C5" w14:textId="77777777" w:rsidR="004B3B82" w:rsidRPr="004C0B2B" w:rsidRDefault="004B3B82" w:rsidP="00CD3B05">
            <w:pPr>
              <w:spacing w:before="120" w:after="120"/>
              <w:jc w:val="both"/>
              <w:rPr>
                <w:rFonts w:ascii="Garamond" w:hAnsi="Garamond"/>
                <w:spacing w:val="-2"/>
                <w:sz w:val="22"/>
                <w:szCs w:val="22"/>
              </w:rPr>
            </w:pPr>
            <w:r w:rsidRPr="004C0B2B">
              <w:rPr>
                <w:rFonts w:ascii="Garamond" w:hAnsi="Garamond"/>
                <w:spacing w:val="-2"/>
                <w:sz w:val="22"/>
                <w:szCs w:val="22"/>
              </w:rPr>
              <w:t xml:space="preserve">– соответствие </w:t>
            </w:r>
            <w:r w:rsidRPr="004C0B2B">
              <w:rPr>
                <w:rFonts w:ascii="Garamond" w:hAnsi="Garamond"/>
                <w:sz w:val="22"/>
                <w:szCs w:val="22"/>
              </w:rPr>
              <w:t xml:space="preserve">указанного </w:t>
            </w:r>
            <w:r w:rsidRPr="004C0B2B">
              <w:rPr>
                <w:rFonts w:ascii="Garamond" w:hAnsi="Garamond"/>
                <w:spacing w:val="-2"/>
                <w:sz w:val="22"/>
                <w:szCs w:val="22"/>
              </w:rPr>
              <w:t xml:space="preserve">Акта о соответствии АИИС КУЭ </w:t>
            </w:r>
            <w:r w:rsidRPr="004C0B2B">
              <w:rPr>
                <w:rFonts w:ascii="Garamond" w:hAnsi="Garamond"/>
                <w:sz w:val="22"/>
                <w:szCs w:val="22"/>
              </w:rPr>
              <w:t xml:space="preserve">составу точек поставки и точек измерений в соответствующем </w:t>
            </w:r>
            <w:r w:rsidRPr="004C0B2B">
              <w:rPr>
                <w:rFonts w:ascii="Garamond" w:hAnsi="Garamond"/>
                <w:spacing w:val="-2"/>
                <w:sz w:val="22"/>
                <w:szCs w:val="22"/>
              </w:rPr>
              <w:t>сечении коммерческого учета</w:t>
            </w:r>
            <w:r w:rsidRPr="004C0B2B">
              <w:rPr>
                <w:rFonts w:ascii="Garamond" w:hAnsi="Garamond"/>
                <w:sz w:val="22"/>
                <w:szCs w:val="22"/>
              </w:rPr>
              <w:t>;</w:t>
            </w:r>
          </w:p>
          <w:p w14:paraId="0DF54AAD" w14:textId="77777777" w:rsidR="004B3B82" w:rsidRPr="004C0B2B" w:rsidRDefault="004B3B82" w:rsidP="00CD3B05">
            <w:pPr>
              <w:spacing w:before="120" w:after="120"/>
              <w:jc w:val="both"/>
              <w:rPr>
                <w:rFonts w:ascii="Garamond" w:hAnsi="Garamond"/>
                <w:sz w:val="22"/>
                <w:szCs w:val="22"/>
              </w:rPr>
            </w:pPr>
            <w:r w:rsidRPr="004C0B2B">
              <w:rPr>
                <w:rFonts w:ascii="Garamond" w:hAnsi="Garamond"/>
                <w:spacing w:val="-2"/>
                <w:sz w:val="22"/>
                <w:szCs w:val="22"/>
              </w:rPr>
              <w:t>– и</w:t>
            </w:r>
            <w:r w:rsidRPr="004C0B2B">
              <w:rPr>
                <w:rFonts w:ascii="Garamond" w:hAnsi="Garamond"/>
                <w:sz w:val="22"/>
                <w:szCs w:val="22"/>
              </w:rPr>
              <w:t>змерения электрической энергии (мощности) по точкам поставки, в отношении которых допускается использовать средства измерений, не включенные в АИИС КУЭ, выполняются с применением средств измерений утвержденного типа, прошедших поверку в соответствии с требованиями Федерального закона от 26.06.2008 г. № 102-ФЗ «Об обеспечении единства измерений» к измерениям, относящимся к сфере государственного регулирования обеспечения единства измерений</w:t>
            </w:r>
            <w:r w:rsidRPr="004C0B2B">
              <w:rPr>
                <w:rFonts w:ascii="Garamond" w:hAnsi="Garamond"/>
                <w:sz w:val="18"/>
                <w:szCs w:val="18"/>
              </w:rPr>
              <w:t xml:space="preserve"> </w:t>
            </w:r>
            <w:r w:rsidRPr="004C0B2B">
              <w:rPr>
                <w:rFonts w:ascii="Garamond" w:hAnsi="Garamond"/>
                <w:i/>
                <w:sz w:val="18"/>
                <w:szCs w:val="18"/>
              </w:rPr>
              <w:t>(указывается при наличии средств измерений, не включенных в АИИС КУЭ).</w:t>
            </w:r>
          </w:p>
        </w:tc>
      </w:tr>
      <w:tr w:rsidR="004B3B82" w:rsidRPr="004C0B2B" w14:paraId="0D218223" w14:textId="77777777" w:rsidTr="00CD3B05">
        <w:trPr>
          <w:trHeight w:val="340"/>
        </w:trPr>
        <w:tc>
          <w:tcPr>
            <w:tcW w:w="3004" w:type="dxa"/>
            <w:tcBorders>
              <w:top w:val="single" w:sz="4" w:space="0" w:color="auto"/>
              <w:left w:val="single" w:sz="4" w:space="0" w:color="auto"/>
              <w:bottom w:val="single" w:sz="4" w:space="0" w:color="auto"/>
              <w:right w:val="single" w:sz="4" w:space="0" w:color="auto"/>
            </w:tcBorders>
            <w:shd w:val="clear" w:color="auto" w:fill="D9D9D9"/>
            <w:vAlign w:val="center"/>
          </w:tcPr>
          <w:p w14:paraId="799E5EDA" w14:textId="77777777" w:rsidR="004B3B82" w:rsidRPr="004C0B2B" w:rsidRDefault="004B3B82" w:rsidP="00CD3B05">
            <w:pPr>
              <w:jc w:val="both"/>
              <w:rPr>
                <w:rFonts w:ascii="Garamond" w:hAnsi="Garamond"/>
                <w:sz w:val="22"/>
                <w:szCs w:val="22"/>
              </w:rPr>
            </w:pPr>
            <w:r w:rsidRPr="004C0B2B">
              <w:rPr>
                <w:rFonts w:ascii="Garamond" w:hAnsi="Garamond"/>
                <w:sz w:val="22"/>
                <w:szCs w:val="22"/>
              </w:rPr>
              <w:t xml:space="preserve">Информирую, что </w:t>
            </w:r>
          </w:p>
          <w:p w14:paraId="4BA9CE8D" w14:textId="77777777" w:rsidR="004B3B82" w:rsidRPr="004C0B2B" w:rsidRDefault="004B3B82" w:rsidP="00CD3B05">
            <w:pPr>
              <w:rPr>
                <w:rFonts w:ascii="Garamond" w:hAnsi="Garamond"/>
                <w:i/>
                <w:sz w:val="18"/>
                <w:szCs w:val="18"/>
              </w:rPr>
            </w:pPr>
            <w:r w:rsidRPr="004C0B2B">
              <w:rPr>
                <w:rFonts w:ascii="Garamond" w:hAnsi="Garamond"/>
                <w:i/>
                <w:sz w:val="18"/>
                <w:szCs w:val="18"/>
              </w:rPr>
              <w:t>(необходимо выбрать один из представленных вариантов)</w:t>
            </w:r>
          </w:p>
        </w:tc>
        <w:tc>
          <w:tcPr>
            <w:tcW w:w="7056" w:type="dxa"/>
            <w:tcBorders>
              <w:top w:val="single" w:sz="4" w:space="0" w:color="auto"/>
              <w:left w:val="single" w:sz="4" w:space="0" w:color="auto"/>
              <w:bottom w:val="single" w:sz="4" w:space="0" w:color="auto"/>
              <w:right w:val="single" w:sz="4" w:space="0" w:color="auto"/>
            </w:tcBorders>
            <w:shd w:val="clear" w:color="auto" w:fill="FFFFFF"/>
            <w:vAlign w:val="center"/>
          </w:tcPr>
          <w:p w14:paraId="4C65CCB7" w14:textId="082815D9" w:rsidR="004B3B82" w:rsidRPr="004C0B2B" w:rsidRDefault="004B3B82" w:rsidP="00101F7C">
            <w:pPr>
              <w:numPr>
                <w:ilvl w:val="0"/>
                <w:numId w:val="113"/>
              </w:numPr>
              <w:suppressAutoHyphens w:val="0"/>
              <w:autoSpaceDE w:val="0"/>
              <w:autoSpaceDN w:val="0"/>
              <w:rPr>
                <w:rFonts w:ascii="Garamond" w:hAnsi="Garamond"/>
                <w:sz w:val="22"/>
                <w:szCs w:val="22"/>
                <w:lang w:eastAsia="en-US"/>
              </w:rPr>
            </w:pPr>
            <w:r w:rsidRPr="004C0B2B">
              <w:rPr>
                <w:rFonts w:ascii="Garamond" w:hAnsi="Garamond"/>
                <w:b/>
                <w:sz w:val="22"/>
                <w:szCs w:val="22"/>
                <w:lang w:eastAsia="en-US"/>
              </w:rPr>
              <w:t>не использую</w:t>
            </w:r>
            <w:r w:rsidRPr="004C0B2B">
              <w:rPr>
                <w:rFonts w:ascii="Garamond" w:hAnsi="Garamond"/>
                <w:sz w:val="22"/>
                <w:szCs w:val="22"/>
                <w:lang w:eastAsia="en-US"/>
              </w:rPr>
              <w:t xml:space="preserve"> компоненты</w:t>
            </w:r>
            <w:r w:rsidR="005951D1" w:rsidRPr="005951D1">
              <w:rPr>
                <w:rFonts w:ascii="Garamond" w:hAnsi="Garamond"/>
                <w:sz w:val="22"/>
                <w:szCs w:val="22"/>
                <w:highlight w:val="yellow"/>
                <w:lang w:eastAsia="en-US"/>
              </w:rPr>
              <w:t>,</w:t>
            </w:r>
            <w:r w:rsidRPr="004C0B2B">
              <w:rPr>
                <w:rFonts w:ascii="Garamond" w:hAnsi="Garamond"/>
                <w:sz w:val="22"/>
                <w:szCs w:val="22"/>
                <w:lang w:eastAsia="en-US"/>
              </w:rPr>
              <w:t xml:space="preserve"> и (или) АИИС КУЭ</w:t>
            </w:r>
            <w:r w:rsidR="005951D1" w:rsidRPr="005951D1">
              <w:rPr>
                <w:rFonts w:ascii="Garamond" w:hAnsi="Garamond"/>
                <w:sz w:val="22"/>
                <w:szCs w:val="22"/>
                <w:highlight w:val="yellow"/>
                <w:lang w:eastAsia="en-US"/>
              </w:rPr>
              <w:t>,</w:t>
            </w:r>
            <w:r w:rsidRPr="005951D1">
              <w:rPr>
                <w:rFonts w:ascii="Garamond" w:hAnsi="Garamond"/>
                <w:sz w:val="22"/>
                <w:szCs w:val="22"/>
                <w:highlight w:val="yellow"/>
                <w:lang w:eastAsia="en-US"/>
              </w:rPr>
              <w:t xml:space="preserve"> </w:t>
            </w:r>
            <w:r w:rsidRPr="00D14D87">
              <w:rPr>
                <w:rFonts w:ascii="Garamond" w:hAnsi="Garamond"/>
                <w:sz w:val="22"/>
                <w:szCs w:val="22"/>
                <w:highlight w:val="yellow"/>
                <w:lang w:eastAsia="en-US"/>
              </w:rPr>
              <w:t xml:space="preserve">и (или) </w:t>
            </w:r>
            <w:r>
              <w:rPr>
                <w:rFonts w:ascii="Garamond" w:hAnsi="Garamond"/>
                <w:sz w:val="22"/>
                <w:szCs w:val="22"/>
                <w:highlight w:val="yellow"/>
                <w:lang w:eastAsia="en-US"/>
              </w:rPr>
              <w:t>документы</w:t>
            </w:r>
            <w:r w:rsidRPr="00D14D87">
              <w:rPr>
                <w:rFonts w:ascii="Garamond" w:hAnsi="Garamond"/>
                <w:sz w:val="22"/>
                <w:szCs w:val="22"/>
                <w:highlight w:val="yellow"/>
                <w:lang w:eastAsia="en-US"/>
              </w:rPr>
              <w:t xml:space="preserve"> в отношении АИИС КУЭ</w:t>
            </w:r>
            <w:r w:rsidRPr="004C0B2B">
              <w:rPr>
                <w:rFonts w:ascii="Garamond" w:hAnsi="Garamond"/>
                <w:sz w:val="22"/>
                <w:szCs w:val="22"/>
                <w:lang w:eastAsia="en-US"/>
              </w:rPr>
              <w:t>, принадлежащие третьим лицам;</w:t>
            </w:r>
          </w:p>
          <w:p w14:paraId="786B6BFB" w14:textId="44D8A18B" w:rsidR="004B3B82" w:rsidRPr="004C0B2B" w:rsidRDefault="004B3B82" w:rsidP="00101F7C">
            <w:pPr>
              <w:numPr>
                <w:ilvl w:val="0"/>
                <w:numId w:val="113"/>
              </w:numPr>
              <w:suppressAutoHyphens w:val="0"/>
              <w:autoSpaceDE w:val="0"/>
              <w:autoSpaceDN w:val="0"/>
              <w:rPr>
                <w:rFonts w:ascii="Garamond" w:hAnsi="Garamond"/>
                <w:sz w:val="22"/>
                <w:szCs w:val="22"/>
                <w:lang w:eastAsia="en-US"/>
              </w:rPr>
            </w:pPr>
            <w:r w:rsidRPr="004C0B2B">
              <w:rPr>
                <w:rFonts w:ascii="Garamond" w:hAnsi="Garamond"/>
                <w:b/>
                <w:sz w:val="22"/>
                <w:szCs w:val="22"/>
                <w:lang w:eastAsia="en-US"/>
              </w:rPr>
              <w:t>использую</w:t>
            </w:r>
            <w:r w:rsidRPr="004C0B2B">
              <w:rPr>
                <w:rFonts w:ascii="Garamond" w:hAnsi="Garamond"/>
                <w:sz w:val="22"/>
                <w:szCs w:val="22"/>
                <w:lang w:eastAsia="en-US"/>
              </w:rPr>
              <w:t xml:space="preserve"> компоненты</w:t>
            </w:r>
            <w:r w:rsidR="005951D1" w:rsidRPr="005951D1">
              <w:rPr>
                <w:rFonts w:ascii="Garamond" w:hAnsi="Garamond"/>
                <w:sz w:val="22"/>
                <w:szCs w:val="22"/>
                <w:highlight w:val="yellow"/>
                <w:lang w:eastAsia="en-US"/>
              </w:rPr>
              <w:t>,</w:t>
            </w:r>
            <w:r w:rsidRPr="004C0B2B">
              <w:rPr>
                <w:rFonts w:ascii="Garamond" w:hAnsi="Garamond"/>
                <w:sz w:val="22"/>
                <w:szCs w:val="22"/>
                <w:lang w:eastAsia="en-US"/>
              </w:rPr>
              <w:t xml:space="preserve"> и (или) АИИС КУЭ</w:t>
            </w:r>
            <w:r w:rsidR="005951D1" w:rsidRPr="005951D1">
              <w:rPr>
                <w:rFonts w:ascii="Garamond" w:hAnsi="Garamond"/>
                <w:sz w:val="22"/>
                <w:szCs w:val="22"/>
                <w:highlight w:val="yellow"/>
                <w:lang w:eastAsia="en-US"/>
              </w:rPr>
              <w:t>,</w:t>
            </w:r>
            <w:r w:rsidRPr="005951D1">
              <w:rPr>
                <w:rFonts w:ascii="Garamond" w:hAnsi="Garamond"/>
                <w:sz w:val="22"/>
                <w:szCs w:val="22"/>
                <w:highlight w:val="yellow"/>
                <w:lang w:eastAsia="en-US"/>
              </w:rPr>
              <w:t xml:space="preserve"> и</w:t>
            </w:r>
            <w:r w:rsidRPr="00D14D87">
              <w:rPr>
                <w:rFonts w:ascii="Garamond" w:hAnsi="Garamond"/>
                <w:sz w:val="22"/>
                <w:szCs w:val="22"/>
                <w:highlight w:val="yellow"/>
                <w:lang w:eastAsia="en-US"/>
              </w:rPr>
              <w:t xml:space="preserve"> (или) </w:t>
            </w:r>
            <w:r>
              <w:rPr>
                <w:rFonts w:ascii="Garamond" w:hAnsi="Garamond"/>
                <w:sz w:val="22"/>
                <w:szCs w:val="22"/>
                <w:highlight w:val="yellow"/>
                <w:lang w:eastAsia="en-US"/>
              </w:rPr>
              <w:t>документы в отношении АИИС КУЭ</w:t>
            </w:r>
            <w:r w:rsidRPr="004C0B2B">
              <w:rPr>
                <w:rFonts w:ascii="Garamond" w:hAnsi="Garamond"/>
                <w:sz w:val="22"/>
                <w:szCs w:val="22"/>
                <w:lang w:eastAsia="en-US"/>
              </w:rPr>
              <w:t xml:space="preserve">, принадлежащие третьим лицам </w:t>
            </w:r>
            <w:r w:rsidRPr="004C0B2B">
              <w:rPr>
                <w:rFonts w:ascii="Garamond" w:hAnsi="Garamond"/>
                <w:sz w:val="18"/>
                <w:szCs w:val="18"/>
                <w:lang w:eastAsia="en-US"/>
              </w:rPr>
              <w:t xml:space="preserve"> </w:t>
            </w:r>
          </w:p>
          <w:p w14:paraId="4C1A84C7" w14:textId="77777777" w:rsidR="004B3B82" w:rsidRPr="004C0B2B" w:rsidRDefault="004B3B82" w:rsidP="00CD3B05">
            <w:pPr>
              <w:autoSpaceDE w:val="0"/>
              <w:autoSpaceDN w:val="0"/>
              <w:rPr>
                <w:rFonts w:ascii="Garamond" w:hAnsi="Garamond"/>
                <w:sz w:val="22"/>
                <w:szCs w:val="22"/>
                <w:u w:val="single"/>
                <w:lang w:eastAsia="en-US"/>
              </w:rPr>
            </w:pPr>
            <w:r w:rsidRPr="004C0B2B">
              <w:rPr>
                <w:rFonts w:ascii="Garamond" w:hAnsi="Garamond"/>
                <w:b/>
                <w:sz w:val="22"/>
                <w:szCs w:val="22"/>
                <w:u w:val="single"/>
                <w:lang w:eastAsia="en-US"/>
              </w:rPr>
              <w:t xml:space="preserve">                                                                                                                           </w:t>
            </w:r>
            <w:r w:rsidRPr="004C0B2B">
              <w:rPr>
                <w:rFonts w:ascii="Garamond" w:hAnsi="Garamond"/>
                <w:sz w:val="22"/>
                <w:szCs w:val="22"/>
                <w:u w:val="single"/>
                <w:lang w:eastAsia="en-US"/>
              </w:rPr>
              <w:t>,</w:t>
            </w:r>
          </w:p>
          <w:p w14:paraId="3064A53A" w14:textId="77777777" w:rsidR="004B3B82" w:rsidRPr="004C0B2B" w:rsidRDefault="004B3B82" w:rsidP="00CD3B05">
            <w:pPr>
              <w:autoSpaceDE w:val="0"/>
              <w:autoSpaceDN w:val="0"/>
              <w:rPr>
                <w:rFonts w:ascii="Garamond" w:hAnsi="Garamond"/>
                <w:i/>
                <w:sz w:val="18"/>
                <w:szCs w:val="18"/>
                <w:lang w:eastAsia="en-US"/>
              </w:rPr>
            </w:pPr>
            <w:r w:rsidRPr="004C0B2B">
              <w:rPr>
                <w:rFonts w:ascii="Garamond" w:hAnsi="Garamond"/>
                <w:i/>
                <w:sz w:val="18"/>
                <w:szCs w:val="18"/>
                <w:lang w:eastAsia="en-US"/>
              </w:rPr>
              <w:t>(полное наименование организации (-ий) с указанием организационно-правовой формы)</w:t>
            </w:r>
          </w:p>
          <w:p w14:paraId="2023813B" w14:textId="55F8A4D9" w:rsidR="004B3B82" w:rsidRPr="004C0B2B" w:rsidRDefault="004B3B82" w:rsidP="006E6A56">
            <w:pPr>
              <w:autoSpaceDE w:val="0"/>
              <w:autoSpaceDN w:val="0"/>
              <w:rPr>
                <w:rFonts w:ascii="Garamond" w:hAnsi="Garamond"/>
                <w:sz w:val="22"/>
                <w:szCs w:val="22"/>
                <w:lang w:eastAsia="en-US"/>
              </w:rPr>
            </w:pPr>
            <w:r w:rsidRPr="004C0B2B">
              <w:rPr>
                <w:rFonts w:ascii="Garamond" w:hAnsi="Garamond"/>
                <w:sz w:val="22"/>
                <w:szCs w:val="22"/>
                <w:lang w:eastAsia="en-US"/>
              </w:rPr>
              <w:t>а также подтверждаю, что отношения по использованию данных компонентов</w:t>
            </w:r>
            <w:r w:rsidR="005951D1" w:rsidRPr="005951D1">
              <w:rPr>
                <w:rFonts w:ascii="Garamond" w:hAnsi="Garamond"/>
                <w:sz w:val="22"/>
                <w:szCs w:val="22"/>
                <w:highlight w:val="yellow"/>
                <w:lang w:eastAsia="en-US"/>
              </w:rPr>
              <w:t>,</w:t>
            </w:r>
            <w:r w:rsidRPr="004C0B2B">
              <w:rPr>
                <w:rFonts w:ascii="Garamond" w:hAnsi="Garamond"/>
                <w:sz w:val="22"/>
                <w:szCs w:val="22"/>
                <w:lang w:eastAsia="en-US"/>
              </w:rPr>
              <w:t xml:space="preserve"> и (или) АИИС КУЭ</w:t>
            </w:r>
            <w:r w:rsidR="005951D1" w:rsidRPr="005951D1">
              <w:rPr>
                <w:rFonts w:ascii="Garamond" w:hAnsi="Garamond"/>
                <w:sz w:val="22"/>
                <w:szCs w:val="22"/>
                <w:highlight w:val="yellow"/>
                <w:lang w:eastAsia="en-US"/>
              </w:rPr>
              <w:t>,</w:t>
            </w:r>
            <w:r w:rsidRPr="005951D1">
              <w:rPr>
                <w:rFonts w:ascii="Garamond" w:hAnsi="Garamond"/>
                <w:sz w:val="22"/>
                <w:szCs w:val="22"/>
                <w:highlight w:val="yellow"/>
                <w:lang w:eastAsia="en-US"/>
              </w:rPr>
              <w:t xml:space="preserve"> и</w:t>
            </w:r>
            <w:r w:rsidRPr="00D14D87">
              <w:rPr>
                <w:rFonts w:ascii="Garamond" w:hAnsi="Garamond"/>
                <w:sz w:val="22"/>
                <w:szCs w:val="22"/>
                <w:highlight w:val="yellow"/>
                <w:lang w:eastAsia="en-US"/>
              </w:rPr>
              <w:t xml:space="preserve"> (или) </w:t>
            </w:r>
            <w:r>
              <w:rPr>
                <w:rFonts w:ascii="Garamond" w:hAnsi="Garamond"/>
                <w:sz w:val="22"/>
                <w:szCs w:val="22"/>
                <w:highlight w:val="yellow"/>
                <w:lang w:eastAsia="en-US"/>
              </w:rPr>
              <w:t>документов в отношении АИИС КУЭ</w:t>
            </w:r>
            <w:r w:rsidRPr="004C0B2B">
              <w:rPr>
                <w:rFonts w:ascii="Garamond" w:hAnsi="Garamond"/>
                <w:sz w:val="22"/>
                <w:szCs w:val="22"/>
                <w:lang w:eastAsia="en-US"/>
              </w:rPr>
              <w:t xml:space="preserve"> урегулированы с указанными третьими лицами надлежащим образом.</w:t>
            </w:r>
          </w:p>
        </w:tc>
      </w:tr>
    </w:tbl>
    <w:p w14:paraId="598A3A0D" w14:textId="77777777" w:rsidR="004B3B82" w:rsidRPr="004C0B2B" w:rsidRDefault="004B3B82" w:rsidP="00101F7C">
      <w:pPr>
        <w:autoSpaceDE w:val="0"/>
        <w:autoSpaceDN w:val="0"/>
        <w:rPr>
          <w:rFonts w:ascii="Garamond" w:hAnsi="Garamond"/>
          <w:spacing w:val="-2"/>
          <w:sz w:val="22"/>
          <w:szCs w:val="22"/>
        </w:rPr>
      </w:pPr>
    </w:p>
    <w:p w14:paraId="26E1ED8D" w14:textId="77777777" w:rsidR="004B3B82" w:rsidRPr="004C0B2B" w:rsidRDefault="004B3B82" w:rsidP="00101F7C">
      <w:pPr>
        <w:autoSpaceDE w:val="0"/>
        <w:autoSpaceDN w:val="0"/>
        <w:jc w:val="both"/>
        <w:rPr>
          <w:rFonts w:ascii="Garamond" w:hAnsi="Garamond"/>
          <w:bCs/>
          <w:i/>
          <w:sz w:val="22"/>
          <w:szCs w:val="22"/>
        </w:rPr>
      </w:pPr>
      <w:r w:rsidRPr="004C0B2B">
        <w:rPr>
          <w:rFonts w:ascii="Garamond" w:hAnsi="Garamond"/>
          <w:bCs/>
          <w:sz w:val="22"/>
          <w:szCs w:val="22"/>
        </w:rPr>
        <w:lastRenderedPageBreak/>
        <w:t>В случае если при установлении соответствия АИИС КУЭ КО будет выявлена неактуальность регистрационной информации в части несоответствия указанных в опросных листах (макет 90000) и в ПСИ типов (модификаций) приборов учета / признака включения в АИИС КУЭ, необходимо выполнить действия для регистрации в КО в течение 60 календарных дней с даты направления КО письма о вышеуказанном несоответствии актуализированного ПСИ, оформленного в соответствии с требованиями регламентов оптового рынка</w:t>
      </w:r>
      <w:r w:rsidRPr="004C0B2B">
        <w:rPr>
          <w:rFonts w:ascii="Garamond" w:hAnsi="Garamond"/>
          <w:bCs/>
          <w:i/>
          <w:sz w:val="18"/>
          <w:szCs w:val="18"/>
        </w:rPr>
        <w:t xml:space="preserve"> (указывается для действующего состава точек поставки и точек измерений).</w:t>
      </w:r>
    </w:p>
    <w:p w14:paraId="4462F21F" w14:textId="77777777" w:rsidR="004B3B82" w:rsidRPr="004C0B2B" w:rsidRDefault="004B3B82" w:rsidP="00101F7C">
      <w:pPr>
        <w:jc w:val="center"/>
        <w:rPr>
          <w:rFonts w:ascii="Garamond" w:hAnsi="Garamond"/>
          <w:sz w:val="22"/>
          <w:szCs w:val="22"/>
        </w:rPr>
      </w:pPr>
    </w:p>
    <w:tbl>
      <w:tblPr>
        <w:tblW w:w="10003" w:type="dxa"/>
        <w:tblLook w:val="04A0" w:firstRow="1" w:lastRow="0" w:firstColumn="1" w:lastColumn="0" w:noHBand="0" w:noVBand="1"/>
      </w:tblPr>
      <w:tblGrid>
        <w:gridCol w:w="3224"/>
        <w:gridCol w:w="3556"/>
        <w:gridCol w:w="3223"/>
      </w:tblGrid>
      <w:tr w:rsidR="004B3B82" w:rsidRPr="004C0B2B" w14:paraId="21AD059C" w14:textId="77777777" w:rsidTr="00CD3B05">
        <w:trPr>
          <w:trHeight w:val="665"/>
        </w:trPr>
        <w:tc>
          <w:tcPr>
            <w:tcW w:w="3224" w:type="dxa"/>
            <w:tcBorders>
              <w:top w:val="single" w:sz="4" w:space="0" w:color="auto"/>
            </w:tcBorders>
            <w:shd w:val="clear" w:color="auto" w:fill="auto"/>
            <w:vAlign w:val="center"/>
          </w:tcPr>
          <w:p w14:paraId="22EF5612" w14:textId="77777777" w:rsidR="004B3B82" w:rsidRPr="004C0B2B" w:rsidRDefault="004B3B82" w:rsidP="00CD3B05">
            <w:pPr>
              <w:jc w:val="center"/>
              <w:rPr>
                <w:rFonts w:ascii="Garamond" w:hAnsi="Garamond"/>
                <w:i/>
                <w:sz w:val="22"/>
                <w:szCs w:val="22"/>
                <w:lang w:eastAsia="en-US"/>
              </w:rPr>
            </w:pPr>
            <w:r w:rsidRPr="004C0B2B">
              <w:rPr>
                <w:rFonts w:ascii="Garamond" w:hAnsi="Garamond"/>
                <w:i/>
                <w:sz w:val="18"/>
                <w:szCs w:val="18"/>
                <w:lang w:eastAsia="en-US"/>
              </w:rPr>
              <w:t xml:space="preserve"> (должность руководителя)</w:t>
            </w:r>
          </w:p>
        </w:tc>
        <w:tc>
          <w:tcPr>
            <w:tcW w:w="3556" w:type="dxa"/>
            <w:shd w:val="clear" w:color="auto" w:fill="auto"/>
            <w:vAlign w:val="center"/>
          </w:tcPr>
          <w:p w14:paraId="52C5BCF7" w14:textId="77777777" w:rsidR="004B3B82" w:rsidRPr="004C0B2B" w:rsidRDefault="004B3B82" w:rsidP="00CD3B05">
            <w:pPr>
              <w:jc w:val="center"/>
              <w:rPr>
                <w:rFonts w:ascii="Garamond" w:hAnsi="Garamond"/>
                <w:i/>
                <w:sz w:val="22"/>
                <w:szCs w:val="22"/>
                <w:lang w:eastAsia="en-US"/>
              </w:rPr>
            </w:pPr>
          </w:p>
        </w:tc>
        <w:tc>
          <w:tcPr>
            <w:tcW w:w="3223" w:type="dxa"/>
            <w:tcBorders>
              <w:top w:val="single" w:sz="4" w:space="0" w:color="auto"/>
            </w:tcBorders>
            <w:shd w:val="clear" w:color="auto" w:fill="auto"/>
            <w:vAlign w:val="center"/>
          </w:tcPr>
          <w:p w14:paraId="06EF3410" w14:textId="77777777" w:rsidR="004B3B82" w:rsidRPr="004C0B2B" w:rsidRDefault="004B3B82" w:rsidP="00CD3B05">
            <w:pPr>
              <w:jc w:val="center"/>
              <w:rPr>
                <w:rFonts w:ascii="Garamond" w:hAnsi="Garamond"/>
                <w:i/>
                <w:sz w:val="22"/>
                <w:szCs w:val="22"/>
                <w:lang w:eastAsia="en-US"/>
              </w:rPr>
            </w:pPr>
            <w:r w:rsidRPr="004C0B2B">
              <w:rPr>
                <w:rFonts w:ascii="Garamond" w:hAnsi="Garamond"/>
                <w:i/>
                <w:sz w:val="18"/>
                <w:szCs w:val="18"/>
                <w:lang w:eastAsia="en-US"/>
              </w:rPr>
              <w:t>(Ф. И. О.)</w:t>
            </w:r>
          </w:p>
        </w:tc>
      </w:tr>
    </w:tbl>
    <w:p w14:paraId="05BCE334" w14:textId="77777777" w:rsidR="004B3B82" w:rsidRPr="004C0B2B" w:rsidRDefault="004B3B82" w:rsidP="00101F7C">
      <w:pPr>
        <w:jc w:val="both"/>
        <w:rPr>
          <w:rFonts w:ascii="Garamond" w:hAnsi="Garamond"/>
          <w:b/>
          <w:bCs/>
          <w:lang w:eastAsia="en-US"/>
        </w:rPr>
      </w:pPr>
    </w:p>
    <w:p w14:paraId="3A64F7D7" w14:textId="77777777" w:rsidR="004B3B82" w:rsidRPr="004C0B2B" w:rsidRDefault="004B3B82" w:rsidP="00101F7C">
      <w:pPr>
        <w:jc w:val="both"/>
        <w:rPr>
          <w:rFonts w:ascii="Garamond" w:hAnsi="Garamond"/>
          <w:b/>
          <w:bCs/>
          <w:lang w:eastAsia="en-US"/>
        </w:rPr>
      </w:pPr>
      <w:r w:rsidRPr="004C0B2B">
        <w:rPr>
          <w:rFonts w:ascii="Garamond" w:hAnsi="Garamond"/>
          <w:b/>
          <w:bCs/>
          <w:lang w:eastAsia="en-US"/>
        </w:rPr>
        <w:t>Примечание.</w:t>
      </w:r>
    </w:p>
    <w:p w14:paraId="4E84C48D" w14:textId="77777777" w:rsidR="004B3B82" w:rsidRPr="004C0B2B" w:rsidRDefault="004B3B82" w:rsidP="004B3B82">
      <w:pPr>
        <w:pStyle w:val="ac"/>
        <w:numPr>
          <w:ilvl w:val="0"/>
          <w:numId w:val="126"/>
        </w:numPr>
        <w:spacing w:before="160" w:after="160" w:line="259" w:lineRule="auto"/>
        <w:ind w:left="284"/>
        <w:jc w:val="both"/>
        <w:rPr>
          <w:rFonts w:ascii="Garamond" w:hAnsi="Garamond"/>
        </w:rPr>
      </w:pPr>
      <w:r w:rsidRPr="004C0B2B">
        <w:rPr>
          <w:rFonts w:ascii="Garamond" w:hAnsi="Garamond"/>
        </w:rPr>
        <w:t>Указать наименование и буквенный код сечения коммерческого учета или ГТП генерации, например:</w:t>
      </w:r>
    </w:p>
    <w:p w14:paraId="56754012" w14:textId="77777777" w:rsidR="004B3B82" w:rsidRPr="004C0B2B" w:rsidRDefault="004B3B82" w:rsidP="00101F7C">
      <w:pPr>
        <w:pStyle w:val="ac"/>
        <w:ind w:left="284"/>
        <w:jc w:val="both"/>
        <w:rPr>
          <w:rFonts w:ascii="Garamond" w:hAnsi="Garamond"/>
        </w:rPr>
      </w:pPr>
      <w:r w:rsidRPr="004C0B2B">
        <w:rPr>
          <w:rFonts w:ascii="Garamond" w:hAnsi="Garamond"/>
        </w:rPr>
        <w:t>ЗАО «СбыТ» (ОАО «Уралсталь») – ОАО «Энергосбыт Север» (ОАО «Северскэнергосбыт») (P</w:t>
      </w:r>
      <w:r w:rsidRPr="004C0B2B">
        <w:rPr>
          <w:rFonts w:ascii="Garamond" w:hAnsi="Garamond"/>
          <w:lang w:val="en-US"/>
        </w:rPr>
        <w:t>SFIEN</w:t>
      </w:r>
      <w:r w:rsidRPr="004C0B2B">
        <w:rPr>
          <w:rFonts w:ascii="Garamond" w:hAnsi="Garamond"/>
        </w:rPr>
        <w:t>27-PS</w:t>
      </w:r>
      <w:r w:rsidRPr="004C0B2B">
        <w:rPr>
          <w:rFonts w:ascii="Garamond" w:hAnsi="Garamond"/>
          <w:lang w:val="en-US"/>
        </w:rPr>
        <w:t>S</w:t>
      </w:r>
      <w:r w:rsidRPr="004C0B2B">
        <w:rPr>
          <w:rFonts w:ascii="Garamond" w:hAnsi="Garamond"/>
        </w:rPr>
        <w:t>ERDLE);</w:t>
      </w:r>
    </w:p>
    <w:p w14:paraId="6B27CD20" w14:textId="3ADD4153" w:rsidR="004B3B82" w:rsidRPr="004C0B2B" w:rsidRDefault="004B3B82" w:rsidP="00101F7C">
      <w:pPr>
        <w:pStyle w:val="ac"/>
        <w:ind w:left="284"/>
        <w:jc w:val="both"/>
        <w:rPr>
          <w:rFonts w:ascii="Garamond" w:hAnsi="Garamond"/>
        </w:rPr>
      </w:pPr>
      <w:r w:rsidRPr="004C0B2B">
        <w:rPr>
          <w:rFonts w:ascii="Garamond" w:hAnsi="Garamond"/>
        </w:rPr>
        <w:t>ПАО «</w:t>
      </w:r>
      <w:r w:rsidRPr="004C0B2B">
        <w:rPr>
          <w:rFonts w:ascii="Garamond" w:hAnsi="Garamond"/>
          <w:lang w:eastAsia="en-US"/>
        </w:rPr>
        <w:t>Россети</w:t>
      </w:r>
      <w:r w:rsidRPr="004C0B2B">
        <w:rPr>
          <w:rFonts w:ascii="Garamond" w:hAnsi="Garamond"/>
        </w:rPr>
        <w:t>» (МЭС Северо-Запада (по сетям Республики Коми)) – ОАО «Энергосбыт Север»                                                (ОАО «Северскэнергосбыт») (FKOMIENE-PS</w:t>
      </w:r>
      <w:r w:rsidRPr="004C0B2B">
        <w:rPr>
          <w:rFonts w:ascii="Garamond" w:hAnsi="Garamond"/>
          <w:lang w:val="en-US"/>
        </w:rPr>
        <w:t>S</w:t>
      </w:r>
      <w:r w:rsidRPr="004C0B2B">
        <w:rPr>
          <w:rFonts w:ascii="Garamond" w:hAnsi="Garamond"/>
        </w:rPr>
        <w:t>ERDLE);</w:t>
      </w:r>
    </w:p>
    <w:p w14:paraId="70F5359D" w14:textId="77777777" w:rsidR="004B3B82" w:rsidRPr="004C0B2B" w:rsidRDefault="004B3B82" w:rsidP="00101F7C">
      <w:pPr>
        <w:pStyle w:val="ac"/>
        <w:ind w:left="284"/>
        <w:jc w:val="both"/>
        <w:rPr>
          <w:rFonts w:ascii="Garamond" w:hAnsi="Garamond"/>
        </w:rPr>
      </w:pPr>
      <w:r w:rsidRPr="004C0B2B">
        <w:rPr>
          <w:rFonts w:ascii="Garamond" w:hAnsi="Garamond"/>
        </w:rPr>
        <w:t>АО «Генерация» (Первая ТЭЦ) (</w:t>
      </w:r>
      <w:r w:rsidRPr="004C0B2B">
        <w:rPr>
          <w:rFonts w:ascii="Garamond" w:hAnsi="Garamond"/>
          <w:lang w:val="en-US"/>
        </w:rPr>
        <w:t>GOMSKE</w:t>
      </w:r>
      <w:r w:rsidRPr="004C0B2B">
        <w:rPr>
          <w:rFonts w:ascii="Garamond" w:hAnsi="Garamond"/>
        </w:rPr>
        <w:t>17).</w:t>
      </w:r>
    </w:p>
    <w:p w14:paraId="0A16C4F2" w14:textId="77777777" w:rsidR="004B3B82" w:rsidRPr="004C0B2B" w:rsidRDefault="004B3B82" w:rsidP="00101F7C">
      <w:pPr>
        <w:spacing w:after="160" w:line="259" w:lineRule="auto"/>
        <w:jc w:val="both"/>
        <w:rPr>
          <w:rFonts w:ascii="Garamond" w:hAnsi="Garamond"/>
          <w:lang w:eastAsia="en-US"/>
        </w:rPr>
      </w:pPr>
    </w:p>
    <w:p w14:paraId="268E2399" w14:textId="77777777" w:rsidR="004B3B82" w:rsidRPr="004C0B2B" w:rsidRDefault="004B3B82" w:rsidP="00101F7C">
      <w:pPr>
        <w:spacing w:after="160" w:line="259" w:lineRule="auto"/>
        <w:jc w:val="both"/>
        <w:rPr>
          <w:rFonts w:ascii="Garamond" w:hAnsi="Garamond"/>
          <w:lang w:eastAsia="en-US"/>
        </w:rPr>
      </w:pPr>
      <w:r w:rsidRPr="004C0B2B">
        <w:rPr>
          <w:rFonts w:ascii="Garamond" w:hAnsi="Garamond"/>
          <w:lang w:eastAsia="en-US"/>
        </w:rPr>
        <w:br w:type="page"/>
      </w:r>
    </w:p>
    <w:p w14:paraId="35F87A73" w14:textId="77777777" w:rsidR="004B3B82" w:rsidRPr="004C0B2B" w:rsidRDefault="004B3B82" w:rsidP="00101F7C">
      <w:pPr>
        <w:rPr>
          <w:rFonts w:ascii="Garamond" w:hAnsi="Garamond"/>
          <w:b/>
          <w:sz w:val="22"/>
          <w:szCs w:val="22"/>
        </w:rPr>
      </w:pPr>
      <w:r w:rsidRPr="004C0B2B">
        <w:rPr>
          <w:rFonts w:ascii="Garamond" w:hAnsi="Garamond"/>
          <w:b/>
          <w:sz w:val="22"/>
          <w:szCs w:val="22"/>
        </w:rPr>
        <w:lastRenderedPageBreak/>
        <w:t>Действующая редакция</w:t>
      </w:r>
    </w:p>
    <w:p w14:paraId="187E6DC3" w14:textId="77777777" w:rsidR="004B3B82" w:rsidRPr="004C0B2B" w:rsidRDefault="004B3B82" w:rsidP="00101F7C">
      <w:pPr>
        <w:jc w:val="center"/>
        <w:rPr>
          <w:rFonts w:ascii="Garamond" w:hAnsi="Garamond"/>
          <w:b/>
          <w:sz w:val="22"/>
          <w:szCs w:val="22"/>
        </w:rPr>
      </w:pPr>
      <w:r w:rsidRPr="004C0B2B">
        <w:rPr>
          <w:rFonts w:ascii="Garamond" w:hAnsi="Garamond"/>
          <w:b/>
          <w:sz w:val="22"/>
          <w:szCs w:val="22"/>
        </w:rPr>
        <w:t>Форма 3</w:t>
      </w:r>
    </w:p>
    <w:p w14:paraId="45459F77" w14:textId="77777777" w:rsidR="004B3B82" w:rsidRPr="004C0B2B" w:rsidRDefault="004B3B82" w:rsidP="00101F7C">
      <w:pPr>
        <w:autoSpaceDE w:val="0"/>
        <w:autoSpaceDN w:val="0"/>
        <w:rPr>
          <w:rFonts w:ascii="Garamond" w:hAnsi="Garamond"/>
          <w:sz w:val="22"/>
          <w:szCs w:val="22"/>
        </w:rPr>
      </w:pPr>
    </w:p>
    <w:p w14:paraId="1B0378F7" w14:textId="77777777" w:rsidR="004B3B82" w:rsidRPr="004C0B2B" w:rsidRDefault="004B3B82" w:rsidP="00101F7C">
      <w:pPr>
        <w:autoSpaceDE w:val="0"/>
        <w:autoSpaceDN w:val="0"/>
        <w:rPr>
          <w:rFonts w:ascii="Garamond" w:hAnsi="Garamond"/>
          <w:sz w:val="22"/>
          <w:szCs w:val="22"/>
        </w:rPr>
      </w:pPr>
      <w:r w:rsidRPr="004C0B2B">
        <w:rPr>
          <w:rFonts w:ascii="Garamond" w:hAnsi="Garamond"/>
          <w:sz w:val="22"/>
          <w:szCs w:val="22"/>
        </w:rPr>
        <w:t xml:space="preserve">(на бланке заявителя) </w:t>
      </w:r>
    </w:p>
    <w:p w14:paraId="6F44624F" w14:textId="77777777" w:rsidR="004B3B82" w:rsidRPr="004C0B2B" w:rsidRDefault="004B3B82" w:rsidP="00101F7C">
      <w:pPr>
        <w:ind w:left="7371" w:right="-428"/>
        <w:jc w:val="both"/>
        <w:rPr>
          <w:rFonts w:ascii="Garamond" w:hAnsi="Garamond"/>
          <w:b/>
          <w:sz w:val="22"/>
          <w:szCs w:val="22"/>
          <w:lang w:eastAsia="en-US"/>
        </w:rPr>
      </w:pPr>
      <w:r w:rsidRPr="004C0B2B">
        <w:rPr>
          <w:rFonts w:ascii="Garamond" w:hAnsi="Garamond"/>
          <w:b/>
          <w:sz w:val="22"/>
          <w:szCs w:val="22"/>
          <w:lang w:eastAsia="en-US"/>
        </w:rPr>
        <w:t>Председателю Правления</w:t>
      </w:r>
    </w:p>
    <w:p w14:paraId="2D7C74F3" w14:textId="77777777" w:rsidR="004B3B82" w:rsidRPr="004C0B2B" w:rsidRDefault="004B3B82" w:rsidP="00101F7C">
      <w:pPr>
        <w:ind w:left="7371" w:right="-428"/>
        <w:jc w:val="both"/>
        <w:rPr>
          <w:rFonts w:ascii="Garamond" w:hAnsi="Garamond"/>
          <w:b/>
          <w:sz w:val="22"/>
          <w:szCs w:val="22"/>
          <w:lang w:eastAsia="en-US"/>
        </w:rPr>
      </w:pPr>
      <w:r w:rsidRPr="004C0B2B">
        <w:rPr>
          <w:rFonts w:ascii="Garamond" w:hAnsi="Garamond"/>
          <w:b/>
          <w:sz w:val="22"/>
          <w:szCs w:val="22"/>
          <w:lang w:eastAsia="en-US"/>
        </w:rPr>
        <w:t>АО «АТС»</w:t>
      </w:r>
    </w:p>
    <w:p w14:paraId="1A9F58AF" w14:textId="77777777" w:rsidR="004B3B82" w:rsidRPr="004C0B2B" w:rsidRDefault="004B3B82" w:rsidP="00101F7C">
      <w:pPr>
        <w:jc w:val="both"/>
        <w:rPr>
          <w:rFonts w:ascii="Garamond" w:hAnsi="Garamond"/>
          <w:sz w:val="22"/>
          <w:szCs w:val="22"/>
          <w:lang w:eastAsia="en-US"/>
        </w:rPr>
      </w:pPr>
      <w:r w:rsidRPr="004C0B2B">
        <w:rPr>
          <w:rFonts w:ascii="Garamond" w:hAnsi="Garamond"/>
          <w:sz w:val="22"/>
          <w:szCs w:val="22"/>
          <w:lang w:eastAsia="en-US"/>
        </w:rPr>
        <w:t xml:space="preserve">№ _____________________ </w:t>
      </w:r>
    </w:p>
    <w:p w14:paraId="6E19F335" w14:textId="77777777" w:rsidR="004B3B82" w:rsidRPr="004C0B2B" w:rsidRDefault="004B3B82" w:rsidP="00101F7C">
      <w:pPr>
        <w:jc w:val="both"/>
        <w:rPr>
          <w:rFonts w:ascii="Garamond" w:hAnsi="Garamond"/>
          <w:sz w:val="22"/>
          <w:szCs w:val="22"/>
          <w:lang w:eastAsia="en-US"/>
        </w:rPr>
      </w:pPr>
      <w:r w:rsidRPr="004C0B2B">
        <w:rPr>
          <w:rFonts w:ascii="Garamond" w:hAnsi="Garamond"/>
          <w:sz w:val="22"/>
          <w:szCs w:val="22"/>
          <w:lang w:eastAsia="en-US"/>
        </w:rPr>
        <w:t>«___» ___________ 20 ___ г.</w:t>
      </w:r>
    </w:p>
    <w:p w14:paraId="74943CF3" w14:textId="77777777" w:rsidR="004B3B82" w:rsidRPr="004C0B2B" w:rsidRDefault="004B3B82" w:rsidP="00101F7C"/>
    <w:p w14:paraId="75F32A7D" w14:textId="77777777" w:rsidR="004B3B82" w:rsidRPr="004C0B2B" w:rsidRDefault="004B3B82" w:rsidP="00101F7C">
      <w:pPr>
        <w:jc w:val="center"/>
        <w:rPr>
          <w:rFonts w:ascii="Garamond" w:hAnsi="Garamond"/>
          <w:b/>
          <w:sz w:val="22"/>
          <w:szCs w:val="22"/>
          <w:lang w:eastAsia="en-US"/>
        </w:rPr>
      </w:pPr>
      <w:r w:rsidRPr="004C0B2B">
        <w:rPr>
          <w:rFonts w:ascii="Garamond" w:hAnsi="Garamond"/>
          <w:b/>
          <w:sz w:val="22"/>
          <w:szCs w:val="22"/>
          <w:lang w:eastAsia="en-US"/>
        </w:rPr>
        <w:t>ЗАЯВЛЕНИЕ</w:t>
      </w:r>
    </w:p>
    <w:p w14:paraId="0CB1F320" w14:textId="77777777" w:rsidR="004B3B82" w:rsidRPr="004C0B2B" w:rsidRDefault="004B3B82" w:rsidP="00101F7C">
      <w:pPr>
        <w:jc w:val="center"/>
        <w:rPr>
          <w:rFonts w:ascii="Garamond" w:hAnsi="Garamond"/>
          <w:b/>
          <w:sz w:val="22"/>
          <w:szCs w:val="22"/>
          <w:lang w:eastAsia="en-US"/>
        </w:rPr>
      </w:pPr>
      <w:r w:rsidRPr="004C0B2B">
        <w:rPr>
          <w:rFonts w:ascii="Garamond" w:hAnsi="Garamond"/>
          <w:b/>
          <w:sz w:val="22"/>
          <w:szCs w:val="22"/>
          <w:lang w:eastAsia="en-US"/>
        </w:rPr>
        <w:t>об установлении соответствия системы коммерческого учета электрической энергии техническим требованиям оптового рынка электрической энергии и мощности</w:t>
      </w:r>
    </w:p>
    <w:p w14:paraId="21C8D3E4" w14:textId="77777777" w:rsidR="004B3B82" w:rsidRPr="004C0B2B" w:rsidRDefault="004B3B82" w:rsidP="00101F7C"/>
    <w:tbl>
      <w:tblPr>
        <w:tblW w:w="100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02"/>
        <w:gridCol w:w="7058"/>
      </w:tblGrid>
      <w:tr w:rsidR="004B3B82" w:rsidRPr="004C0B2B" w14:paraId="38250F6B" w14:textId="77777777" w:rsidTr="00CD3B05">
        <w:trPr>
          <w:trHeight w:val="421"/>
        </w:trPr>
        <w:tc>
          <w:tcPr>
            <w:tcW w:w="3002" w:type="dxa"/>
            <w:shd w:val="clear" w:color="auto" w:fill="D9D9D9"/>
            <w:vAlign w:val="center"/>
          </w:tcPr>
          <w:p w14:paraId="30758D53" w14:textId="77777777" w:rsidR="004B3B82" w:rsidRPr="004C0B2B" w:rsidRDefault="004B3B82" w:rsidP="00CD3B05">
            <w:pPr>
              <w:jc w:val="both"/>
              <w:rPr>
                <w:rFonts w:ascii="Garamond" w:hAnsi="Garamond"/>
                <w:sz w:val="22"/>
                <w:szCs w:val="22"/>
                <w:lang w:eastAsia="en-US"/>
              </w:rPr>
            </w:pPr>
            <w:r w:rsidRPr="004C0B2B">
              <w:rPr>
                <w:rFonts w:ascii="Garamond" w:hAnsi="Garamond"/>
                <w:sz w:val="22"/>
                <w:szCs w:val="22"/>
                <w:lang w:eastAsia="en-US"/>
              </w:rPr>
              <w:t>Полное наименование заявителя</w:t>
            </w:r>
          </w:p>
        </w:tc>
        <w:tc>
          <w:tcPr>
            <w:tcW w:w="7058" w:type="dxa"/>
            <w:shd w:val="clear" w:color="auto" w:fill="auto"/>
            <w:vAlign w:val="center"/>
          </w:tcPr>
          <w:p w14:paraId="28BB652C" w14:textId="77777777" w:rsidR="004B3B82" w:rsidRPr="004C0B2B" w:rsidRDefault="004B3B82" w:rsidP="00CD3B05">
            <w:pPr>
              <w:autoSpaceDE w:val="0"/>
              <w:autoSpaceDN w:val="0"/>
              <w:rPr>
                <w:rFonts w:ascii="Garamond" w:hAnsi="Garamond"/>
                <w:sz w:val="22"/>
                <w:szCs w:val="22"/>
                <w:lang w:eastAsia="en-US"/>
              </w:rPr>
            </w:pPr>
          </w:p>
        </w:tc>
      </w:tr>
      <w:tr w:rsidR="004B3B82" w:rsidRPr="004C0B2B" w14:paraId="33CF9D35" w14:textId="77777777" w:rsidTr="00CD3B05">
        <w:trPr>
          <w:trHeight w:val="340"/>
        </w:trPr>
        <w:tc>
          <w:tcPr>
            <w:tcW w:w="3002" w:type="dxa"/>
            <w:shd w:val="clear" w:color="auto" w:fill="D9D9D9"/>
            <w:vAlign w:val="center"/>
          </w:tcPr>
          <w:p w14:paraId="00CD4BD3" w14:textId="77777777" w:rsidR="004B3B82" w:rsidRPr="004C0B2B" w:rsidRDefault="004B3B82" w:rsidP="00CD3B05">
            <w:pPr>
              <w:jc w:val="both"/>
              <w:rPr>
                <w:rFonts w:ascii="Garamond" w:hAnsi="Garamond"/>
                <w:sz w:val="22"/>
                <w:szCs w:val="22"/>
                <w:lang w:eastAsia="en-US"/>
              </w:rPr>
            </w:pPr>
            <w:r w:rsidRPr="004C0B2B">
              <w:rPr>
                <w:rFonts w:ascii="Garamond" w:hAnsi="Garamond"/>
                <w:sz w:val="22"/>
                <w:szCs w:val="22"/>
                <w:lang w:eastAsia="en-US"/>
              </w:rPr>
              <w:t>Сокращенное наименование заявителя</w:t>
            </w:r>
          </w:p>
        </w:tc>
        <w:tc>
          <w:tcPr>
            <w:tcW w:w="7058" w:type="dxa"/>
            <w:shd w:val="clear" w:color="auto" w:fill="auto"/>
            <w:vAlign w:val="center"/>
          </w:tcPr>
          <w:p w14:paraId="5EE289DC" w14:textId="77777777" w:rsidR="004B3B82" w:rsidRPr="004C0B2B" w:rsidRDefault="004B3B82" w:rsidP="00CD3B05">
            <w:pPr>
              <w:jc w:val="both"/>
              <w:rPr>
                <w:rFonts w:ascii="Garamond" w:hAnsi="Garamond"/>
                <w:b/>
                <w:sz w:val="22"/>
                <w:szCs w:val="22"/>
                <w:lang w:eastAsia="en-US"/>
              </w:rPr>
            </w:pPr>
          </w:p>
        </w:tc>
      </w:tr>
    </w:tbl>
    <w:p w14:paraId="3ECEC8DB" w14:textId="77777777" w:rsidR="004B3B82" w:rsidRPr="004C0B2B" w:rsidRDefault="004B3B82" w:rsidP="00101F7C">
      <w:pPr>
        <w:autoSpaceDE w:val="0"/>
        <w:autoSpaceDN w:val="0"/>
        <w:ind w:firstLine="540"/>
        <w:jc w:val="both"/>
        <w:rPr>
          <w:rFonts w:ascii="Garamond" w:hAnsi="Garamond"/>
          <w:spacing w:val="-2"/>
          <w:sz w:val="22"/>
          <w:szCs w:val="22"/>
        </w:rPr>
      </w:pPr>
    </w:p>
    <w:p w14:paraId="1DFC41CB" w14:textId="77777777" w:rsidR="004B3B82" w:rsidRPr="004C0B2B" w:rsidRDefault="004B3B82" w:rsidP="00101F7C">
      <w:pPr>
        <w:autoSpaceDE w:val="0"/>
        <w:autoSpaceDN w:val="0"/>
        <w:jc w:val="both"/>
        <w:rPr>
          <w:rFonts w:ascii="Garamond" w:hAnsi="Garamond"/>
          <w:sz w:val="22"/>
          <w:szCs w:val="22"/>
          <w:vertAlign w:val="superscript"/>
          <w:lang w:eastAsia="en-US"/>
        </w:rPr>
      </w:pPr>
      <w:r w:rsidRPr="004C0B2B">
        <w:rPr>
          <w:rFonts w:ascii="Garamond" w:hAnsi="Garamond"/>
          <w:spacing w:val="-2"/>
          <w:sz w:val="22"/>
          <w:szCs w:val="22"/>
        </w:rPr>
        <w:t xml:space="preserve">выражает намерение установить соответствие системы коммерческого учета электроэнергии техническим требованиям оптового рынка электроэнергии (мощности) и оформить </w:t>
      </w:r>
      <w:r w:rsidRPr="004C0B2B">
        <w:rPr>
          <w:rFonts w:ascii="Garamond" w:hAnsi="Garamond"/>
          <w:sz w:val="22"/>
          <w:szCs w:val="22"/>
        </w:rPr>
        <w:t>Акт о соответствии системы коммерческого учета электрической энергии техническим требованиям оптового рынка электрической энергии и мощности класса А</w:t>
      </w:r>
    </w:p>
    <w:p w14:paraId="7174C01E" w14:textId="77777777" w:rsidR="004B3B82" w:rsidRPr="004C0B2B" w:rsidRDefault="004B3B82" w:rsidP="00101F7C">
      <w:pPr>
        <w:autoSpaceDE w:val="0"/>
        <w:autoSpaceDN w:val="0"/>
        <w:jc w:val="both"/>
        <w:rPr>
          <w:rFonts w:ascii="Garamond" w:hAnsi="Garamond"/>
          <w:sz w:val="22"/>
          <w:szCs w:val="22"/>
          <w:vertAlign w:val="superscript"/>
          <w:lang w:eastAsia="en-US"/>
        </w:rPr>
      </w:pPr>
    </w:p>
    <w:tbl>
      <w:tblPr>
        <w:tblW w:w="10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03"/>
        <w:gridCol w:w="7062"/>
      </w:tblGrid>
      <w:tr w:rsidR="004B3B82" w:rsidRPr="004C0B2B" w14:paraId="3B027B00" w14:textId="77777777" w:rsidTr="00CD3B05">
        <w:trPr>
          <w:trHeight w:val="340"/>
        </w:trPr>
        <w:tc>
          <w:tcPr>
            <w:tcW w:w="3003" w:type="dxa"/>
            <w:shd w:val="clear" w:color="auto" w:fill="D9D9D9"/>
            <w:vAlign w:val="center"/>
          </w:tcPr>
          <w:p w14:paraId="26FB21A8" w14:textId="77777777" w:rsidR="004B3B82" w:rsidRPr="004C0B2B" w:rsidRDefault="004B3B82" w:rsidP="00CD3B05">
            <w:pPr>
              <w:jc w:val="both"/>
              <w:rPr>
                <w:rFonts w:ascii="Garamond" w:hAnsi="Garamond"/>
                <w:sz w:val="22"/>
                <w:szCs w:val="22"/>
                <w:lang w:eastAsia="en-US"/>
              </w:rPr>
            </w:pPr>
            <w:r w:rsidRPr="004C0B2B">
              <w:rPr>
                <w:rFonts w:ascii="Garamond" w:hAnsi="Garamond"/>
                <w:sz w:val="22"/>
                <w:szCs w:val="22"/>
                <w:lang w:eastAsia="en-US"/>
              </w:rPr>
              <w:t xml:space="preserve">Наименование сечения КУ / ГТП генерации </w:t>
            </w:r>
            <w:r w:rsidRPr="004C0B2B">
              <w:rPr>
                <w:rFonts w:ascii="Garamond" w:hAnsi="Garamond"/>
                <w:sz w:val="22"/>
                <w:szCs w:val="22"/>
                <w:vertAlign w:val="superscript"/>
                <w:lang w:eastAsia="en-US"/>
              </w:rPr>
              <w:t>1</w:t>
            </w:r>
          </w:p>
        </w:tc>
        <w:tc>
          <w:tcPr>
            <w:tcW w:w="7062" w:type="dxa"/>
            <w:shd w:val="clear" w:color="auto" w:fill="auto"/>
            <w:vAlign w:val="center"/>
          </w:tcPr>
          <w:p w14:paraId="0B46ED18" w14:textId="77777777" w:rsidR="004B3B82" w:rsidRPr="004C0B2B" w:rsidRDefault="004B3B82" w:rsidP="00CD3B05">
            <w:pPr>
              <w:jc w:val="both"/>
              <w:rPr>
                <w:rFonts w:ascii="Garamond" w:hAnsi="Garamond"/>
                <w:b/>
                <w:sz w:val="22"/>
                <w:szCs w:val="22"/>
                <w:lang w:eastAsia="en-US"/>
              </w:rPr>
            </w:pPr>
          </w:p>
        </w:tc>
      </w:tr>
      <w:tr w:rsidR="004B3B82" w:rsidRPr="004C0B2B" w14:paraId="5C3D7095" w14:textId="77777777" w:rsidTr="00CD3B05">
        <w:trPr>
          <w:trHeight w:val="340"/>
        </w:trPr>
        <w:tc>
          <w:tcPr>
            <w:tcW w:w="3003" w:type="dxa"/>
            <w:shd w:val="clear" w:color="auto" w:fill="D9D9D9"/>
            <w:vAlign w:val="center"/>
          </w:tcPr>
          <w:p w14:paraId="69357B33" w14:textId="77777777" w:rsidR="004B3B82" w:rsidRPr="004C0B2B" w:rsidRDefault="004B3B82" w:rsidP="00CD3B05">
            <w:pPr>
              <w:jc w:val="both"/>
              <w:rPr>
                <w:rFonts w:ascii="Garamond" w:hAnsi="Garamond"/>
                <w:sz w:val="22"/>
                <w:szCs w:val="22"/>
                <w:lang w:eastAsia="en-US"/>
              </w:rPr>
            </w:pPr>
            <w:r w:rsidRPr="004C0B2B">
              <w:rPr>
                <w:rFonts w:ascii="Garamond" w:hAnsi="Garamond"/>
                <w:sz w:val="22"/>
                <w:szCs w:val="22"/>
                <w:lang w:eastAsia="en-US"/>
              </w:rPr>
              <w:t xml:space="preserve">Основание </w:t>
            </w:r>
            <w:r w:rsidRPr="004C0B2B">
              <w:rPr>
                <w:rFonts w:ascii="Garamond" w:hAnsi="Garamond"/>
                <w:sz w:val="22"/>
                <w:szCs w:val="22"/>
                <w:vertAlign w:val="superscript"/>
                <w:lang w:eastAsia="en-US"/>
              </w:rPr>
              <w:t>2</w:t>
            </w:r>
          </w:p>
        </w:tc>
        <w:tc>
          <w:tcPr>
            <w:tcW w:w="7062" w:type="dxa"/>
            <w:shd w:val="clear" w:color="auto" w:fill="auto"/>
            <w:vAlign w:val="center"/>
          </w:tcPr>
          <w:p w14:paraId="43C44951" w14:textId="77777777" w:rsidR="004B3B82" w:rsidRPr="004C0B2B" w:rsidRDefault="004B3B82" w:rsidP="00CD3B05">
            <w:pPr>
              <w:jc w:val="both"/>
              <w:rPr>
                <w:rFonts w:ascii="Garamond" w:hAnsi="Garamond"/>
                <w:sz w:val="22"/>
                <w:szCs w:val="22"/>
                <w:lang w:eastAsia="en-US"/>
              </w:rPr>
            </w:pPr>
          </w:p>
        </w:tc>
      </w:tr>
      <w:tr w:rsidR="004B3B82" w:rsidRPr="004C0B2B" w14:paraId="5C2E7921" w14:textId="77777777" w:rsidTr="00CD3B05">
        <w:trPr>
          <w:trHeight w:val="340"/>
        </w:trPr>
        <w:tc>
          <w:tcPr>
            <w:tcW w:w="3003" w:type="dxa"/>
            <w:shd w:val="clear" w:color="auto" w:fill="D9D9D9"/>
            <w:vAlign w:val="center"/>
          </w:tcPr>
          <w:p w14:paraId="3C14DAE5" w14:textId="77777777" w:rsidR="004B3B82" w:rsidRPr="004C0B2B" w:rsidRDefault="004B3B82" w:rsidP="00CD3B05">
            <w:pPr>
              <w:jc w:val="both"/>
              <w:rPr>
                <w:rFonts w:ascii="Garamond" w:hAnsi="Garamond"/>
                <w:sz w:val="22"/>
                <w:szCs w:val="22"/>
                <w:lang w:eastAsia="en-US"/>
              </w:rPr>
            </w:pPr>
            <w:r w:rsidRPr="004C0B2B">
              <w:rPr>
                <w:rFonts w:ascii="Garamond" w:hAnsi="Garamond"/>
                <w:sz w:val="22"/>
                <w:szCs w:val="22"/>
              </w:rPr>
              <w:t xml:space="preserve">Реквизиты Акта о соответствии АИИС КУЭ класса </w:t>
            </w:r>
            <w:r w:rsidRPr="004C0B2B">
              <w:rPr>
                <w:rFonts w:ascii="Garamond" w:hAnsi="Garamond"/>
                <w:sz w:val="22"/>
                <w:szCs w:val="22"/>
                <w:lang w:val="en-US"/>
              </w:rPr>
              <w:t>N</w:t>
            </w:r>
          </w:p>
        </w:tc>
        <w:tc>
          <w:tcPr>
            <w:tcW w:w="7062" w:type="dxa"/>
            <w:shd w:val="clear" w:color="auto" w:fill="auto"/>
            <w:vAlign w:val="center"/>
          </w:tcPr>
          <w:p w14:paraId="071E6A12" w14:textId="77777777" w:rsidR="004B3B82" w:rsidRPr="004C0B2B" w:rsidRDefault="004B3B82" w:rsidP="00CD3B05">
            <w:pPr>
              <w:jc w:val="both"/>
              <w:rPr>
                <w:rFonts w:ascii="Garamond" w:hAnsi="Garamond"/>
                <w:sz w:val="22"/>
                <w:szCs w:val="22"/>
                <w:lang w:eastAsia="en-US"/>
              </w:rPr>
            </w:pPr>
            <w:r w:rsidRPr="004C0B2B">
              <w:rPr>
                <w:rFonts w:ascii="Garamond" w:hAnsi="Garamond"/>
                <w:sz w:val="22"/>
                <w:szCs w:val="22"/>
                <w:lang w:eastAsia="en-US"/>
              </w:rPr>
              <w:t xml:space="preserve">№ ____________ от ____________ </w:t>
            </w:r>
          </w:p>
          <w:p w14:paraId="34D7F714" w14:textId="77777777" w:rsidR="004B3B82" w:rsidRPr="004C0B2B" w:rsidRDefault="004B3B82" w:rsidP="00CD3B05">
            <w:pPr>
              <w:jc w:val="both"/>
              <w:rPr>
                <w:rFonts w:ascii="Garamond" w:hAnsi="Garamond"/>
                <w:sz w:val="22"/>
                <w:szCs w:val="22"/>
                <w:lang w:eastAsia="en-US"/>
              </w:rPr>
            </w:pPr>
            <w:r w:rsidRPr="004C0B2B">
              <w:rPr>
                <w:rFonts w:ascii="Garamond" w:hAnsi="Garamond"/>
                <w:sz w:val="18"/>
                <w:szCs w:val="18"/>
                <w:lang w:eastAsia="en-US"/>
              </w:rPr>
              <w:t>(</w:t>
            </w:r>
            <w:r w:rsidRPr="004C0B2B">
              <w:rPr>
                <w:rFonts w:ascii="Garamond" w:hAnsi="Garamond"/>
                <w:i/>
                <w:sz w:val="18"/>
                <w:szCs w:val="18"/>
                <w:lang w:eastAsia="en-US"/>
              </w:rPr>
              <w:t>указать реквизиты Акта о соответствии АИИС КУЭ)</w:t>
            </w:r>
            <w:r w:rsidRPr="004C0B2B">
              <w:rPr>
                <w:rFonts w:ascii="Garamond" w:hAnsi="Garamond"/>
                <w:sz w:val="22"/>
                <w:szCs w:val="22"/>
                <w:lang w:eastAsia="en-US"/>
              </w:rPr>
              <w:t xml:space="preserve">                           </w:t>
            </w:r>
          </w:p>
        </w:tc>
      </w:tr>
      <w:tr w:rsidR="004B3B82" w:rsidRPr="004C0B2B" w14:paraId="0DDEDC70" w14:textId="77777777" w:rsidTr="00CD3B05">
        <w:trPr>
          <w:trHeight w:val="340"/>
        </w:trPr>
        <w:tc>
          <w:tcPr>
            <w:tcW w:w="10065" w:type="dxa"/>
            <w:gridSpan w:val="2"/>
            <w:shd w:val="clear" w:color="auto" w:fill="D9D9D9"/>
            <w:vAlign w:val="center"/>
          </w:tcPr>
          <w:p w14:paraId="7DE9D009" w14:textId="77777777" w:rsidR="004B3B82" w:rsidRPr="004C0B2B" w:rsidRDefault="004B3B82" w:rsidP="00CD3B05">
            <w:pPr>
              <w:jc w:val="both"/>
              <w:rPr>
                <w:rFonts w:ascii="Garamond" w:hAnsi="Garamond"/>
                <w:sz w:val="22"/>
                <w:szCs w:val="22"/>
                <w:lang w:eastAsia="en-US"/>
              </w:rPr>
            </w:pPr>
            <w:r w:rsidRPr="004C0B2B">
              <w:rPr>
                <w:rFonts w:ascii="Garamond" w:hAnsi="Garamond"/>
                <w:sz w:val="22"/>
                <w:szCs w:val="22"/>
                <w:lang w:eastAsia="en-US"/>
              </w:rPr>
              <w:t>Заявляю о соответствии указанного Акта о соответствии АИИС КУЭ составу точек поставки и точек измерений в соответствующем сечении коммерческого учета.</w:t>
            </w:r>
          </w:p>
        </w:tc>
      </w:tr>
      <w:tr w:rsidR="004B3B82" w:rsidRPr="004C0B2B" w14:paraId="4A362DB3" w14:textId="77777777" w:rsidTr="00CD3B05">
        <w:trPr>
          <w:trHeight w:val="340"/>
        </w:trPr>
        <w:tc>
          <w:tcPr>
            <w:tcW w:w="3003" w:type="dxa"/>
            <w:shd w:val="clear" w:color="auto" w:fill="D9D9D9"/>
            <w:vAlign w:val="center"/>
          </w:tcPr>
          <w:p w14:paraId="39BB6F35" w14:textId="77777777" w:rsidR="004B3B82" w:rsidRPr="004C0B2B" w:rsidRDefault="004B3B82" w:rsidP="00CD3B05">
            <w:pPr>
              <w:jc w:val="both"/>
              <w:rPr>
                <w:rFonts w:ascii="Garamond" w:hAnsi="Garamond"/>
                <w:sz w:val="22"/>
                <w:szCs w:val="22"/>
              </w:rPr>
            </w:pPr>
            <w:r w:rsidRPr="004C0B2B">
              <w:rPr>
                <w:rFonts w:ascii="Garamond" w:hAnsi="Garamond"/>
                <w:sz w:val="22"/>
                <w:szCs w:val="22"/>
              </w:rPr>
              <w:t xml:space="preserve">Информирую, что </w:t>
            </w:r>
          </w:p>
          <w:p w14:paraId="66A618C5" w14:textId="77777777" w:rsidR="004B3B82" w:rsidRPr="004C0B2B" w:rsidRDefault="004B3B82" w:rsidP="00CD3B05">
            <w:pPr>
              <w:rPr>
                <w:rFonts w:ascii="Garamond" w:hAnsi="Garamond"/>
                <w:sz w:val="22"/>
                <w:szCs w:val="22"/>
                <w:lang w:eastAsia="en-US"/>
              </w:rPr>
            </w:pPr>
            <w:r w:rsidRPr="004C0B2B">
              <w:rPr>
                <w:rFonts w:ascii="Garamond" w:hAnsi="Garamond"/>
                <w:i/>
                <w:sz w:val="18"/>
                <w:szCs w:val="18"/>
              </w:rPr>
              <w:t>(необходимо выбрать один из представленных вариантов)</w:t>
            </w:r>
          </w:p>
        </w:tc>
        <w:tc>
          <w:tcPr>
            <w:tcW w:w="7062" w:type="dxa"/>
            <w:shd w:val="clear" w:color="auto" w:fill="auto"/>
            <w:vAlign w:val="center"/>
          </w:tcPr>
          <w:p w14:paraId="0D113993" w14:textId="77777777" w:rsidR="004B3B82" w:rsidRPr="004C0B2B" w:rsidRDefault="004B3B82" w:rsidP="00101F7C">
            <w:pPr>
              <w:numPr>
                <w:ilvl w:val="0"/>
                <w:numId w:val="113"/>
              </w:numPr>
              <w:suppressAutoHyphens w:val="0"/>
              <w:autoSpaceDE w:val="0"/>
              <w:autoSpaceDN w:val="0"/>
              <w:rPr>
                <w:rFonts w:ascii="Garamond" w:hAnsi="Garamond"/>
                <w:sz w:val="22"/>
                <w:szCs w:val="22"/>
                <w:lang w:eastAsia="en-US"/>
              </w:rPr>
            </w:pPr>
            <w:r w:rsidRPr="004C0B2B">
              <w:rPr>
                <w:rFonts w:ascii="Garamond" w:hAnsi="Garamond"/>
                <w:b/>
                <w:sz w:val="22"/>
                <w:szCs w:val="22"/>
                <w:lang w:eastAsia="en-US"/>
              </w:rPr>
              <w:t>не использую</w:t>
            </w:r>
            <w:r w:rsidRPr="004C0B2B">
              <w:rPr>
                <w:rFonts w:ascii="Garamond" w:hAnsi="Garamond"/>
                <w:sz w:val="22"/>
                <w:szCs w:val="22"/>
                <w:lang w:eastAsia="en-US"/>
              </w:rPr>
              <w:t xml:space="preserve"> компоненты и (или) АИИС КУЭ, принадлежащие третьим лицам;</w:t>
            </w:r>
          </w:p>
          <w:p w14:paraId="68DA877A" w14:textId="77777777" w:rsidR="004B3B82" w:rsidRPr="004C0B2B" w:rsidRDefault="004B3B82" w:rsidP="00101F7C">
            <w:pPr>
              <w:numPr>
                <w:ilvl w:val="0"/>
                <w:numId w:val="113"/>
              </w:numPr>
              <w:suppressAutoHyphens w:val="0"/>
              <w:autoSpaceDE w:val="0"/>
              <w:autoSpaceDN w:val="0"/>
              <w:rPr>
                <w:rFonts w:ascii="Garamond" w:hAnsi="Garamond"/>
                <w:sz w:val="22"/>
                <w:szCs w:val="22"/>
                <w:lang w:eastAsia="en-US"/>
              </w:rPr>
            </w:pPr>
            <w:r w:rsidRPr="004C0B2B">
              <w:rPr>
                <w:rFonts w:ascii="Garamond" w:hAnsi="Garamond"/>
                <w:b/>
                <w:sz w:val="22"/>
                <w:szCs w:val="22"/>
                <w:lang w:eastAsia="en-US"/>
              </w:rPr>
              <w:t>использую</w:t>
            </w:r>
            <w:r w:rsidRPr="004C0B2B">
              <w:rPr>
                <w:rFonts w:ascii="Garamond" w:hAnsi="Garamond"/>
                <w:sz w:val="22"/>
                <w:szCs w:val="22"/>
                <w:lang w:eastAsia="en-US"/>
              </w:rPr>
              <w:t xml:space="preserve"> компоненты и (или) АИИС КУЭ, принадлежащие третьим лицам </w:t>
            </w:r>
          </w:p>
          <w:p w14:paraId="228C53AD" w14:textId="77777777" w:rsidR="004B3B82" w:rsidRPr="004C0B2B" w:rsidRDefault="004B3B82" w:rsidP="00CD3B05">
            <w:pPr>
              <w:autoSpaceDE w:val="0"/>
              <w:autoSpaceDN w:val="0"/>
              <w:rPr>
                <w:rFonts w:ascii="Garamond" w:hAnsi="Garamond"/>
                <w:sz w:val="22"/>
                <w:szCs w:val="22"/>
                <w:u w:val="single"/>
                <w:lang w:eastAsia="en-US"/>
              </w:rPr>
            </w:pPr>
            <w:r w:rsidRPr="004C0B2B">
              <w:rPr>
                <w:rFonts w:ascii="Garamond" w:hAnsi="Garamond"/>
                <w:b/>
                <w:sz w:val="22"/>
                <w:szCs w:val="22"/>
                <w:u w:val="single"/>
                <w:lang w:eastAsia="en-US"/>
              </w:rPr>
              <w:t xml:space="preserve">                                                                                                                           </w:t>
            </w:r>
            <w:r w:rsidRPr="004C0B2B">
              <w:rPr>
                <w:rFonts w:ascii="Garamond" w:hAnsi="Garamond"/>
                <w:sz w:val="22"/>
                <w:szCs w:val="22"/>
                <w:u w:val="single"/>
                <w:lang w:eastAsia="en-US"/>
              </w:rPr>
              <w:t>,</w:t>
            </w:r>
          </w:p>
          <w:p w14:paraId="7C72CD17" w14:textId="77777777" w:rsidR="004B3B82" w:rsidRPr="004C0B2B" w:rsidRDefault="004B3B82" w:rsidP="00CD3B05">
            <w:pPr>
              <w:autoSpaceDE w:val="0"/>
              <w:autoSpaceDN w:val="0"/>
              <w:rPr>
                <w:rFonts w:ascii="Garamond" w:hAnsi="Garamond"/>
                <w:i/>
                <w:sz w:val="18"/>
                <w:szCs w:val="18"/>
                <w:lang w:eastAsia="en-US"/>
              </w:rPr>
            </w:pPr>
            <w:r w:rsidRPr="004C0B2B">
              <w:rPr>
                <w:rFonts w:ascii="Garamond" w:hAnsi="Garamond"/>
                <w:i/>
                <w:sz w:val="18"/>
                <w:szCs w:val="18"/>
                <w:lang w:eastAsia="en-US"/>
              </w:rPr>
              <w:t>(полное наименование организации (-ий) с указанием организационно-правовой формы)</w:t>
            </w:r>
          </w:p>
          <w:p w14:paraId="5B32E2DD" w14:textId="77777777" w:rsidR="004B3B82" w:rsidRPr="004C0B2B" w:rsidRDefault="004B3B82" w:rsidP="00CD3B05">
            <w:pPr>
              <w:autoSpaceDE w:val="0"/>
              <w:autoSpaceDN w:val="0"/>
              <w:rPr>
                <w:rFonts w:ascii="Garamond" w:hAnsi="Garamond"/>
                <w:sz w:val="22"/>
                <w:szCs w:val="22"/>
                <w:lang w:eastAsia="en-US"/>
              </w:rPr>
            </w:pPr>
            <w:r w:rsidRPr="004C0B2B">
              <w:rPr>
                <w:rFonts w:ascii="Garamond" w:hAnsi="Garamond"/>
                <w:sz w:val="22"/>
                <w:szCs w:val="22"/>
                <w:lang w:eastAsia="en-US"/>
              </w:rPr>
              <w:t>а также подтверждаю, что отношения по использованию данных компонентов и (или) АИИС КУЭ урегулированы с указанными третьими лицами надлежащим образом.</w:t>
            </w:r>
          </w:p>
        </w:tc>
      </w:tr>
    </w:tbl>
    <w:p w14:paraId="1B83F7B5" w14:textId="77777777" w:rsidR="004B3B82" w:rsidRPr="004C0B2B" w:rsidRDefault="004B3B82" w:rsidP="00101F7C">
      <w:pPr>
        <w:autoSpaceDE w:val="0"/>
        <w:autoSpaceDN w:val="0"/>
        <w:ind w:left="720" w:hanging="720"/>
        <w:jc w:val="both"/>
        <w:rPr>
          <w:rFonts w:ascii="Garamond" w:hAnsi="Garamond"/>
          <w:sz w:val="22"/>
          <w:szCs w:val="22"/>
        </w:rPr>
      </w:pPr>
    </w:p>
    <w:p w14:paraId="30C29FC4" w14:textId="77777777" w:rsidR="004B3B82" w:rsidRPr="004C0B2B" w:rsidRDefault="004B3B82" w:rsidP="00101F7C">
      <w:pPr>
        <w:autoSpaceDE w:val="0"/>
        <w:autoSpaceDN w:val="0"/>
        <w:spacing w:after="220"/>
        <w:jc w:val="both"/>
        <w:rPr>
          <w:rFonts w:ascii="Garamond" w:hAnsi="Garamond"/>
          <w:sz w:val="22"/>
          <w:szCs w:val="22"/>
          <w:lang w:eastAsia="en-US"/>
        </w:rPr>
      </w:pPr>
      <w:r w:rsidRPr="004C0B2B">
        <w:rPr>
          <w:rFonts w:ascii="Garamond" w:hAnsi="Garamond"/>
          <w:sz w:val="22"/>
          <w:szCs w:val="22"/>
        </w:rPr>
        <w:t xml:space="preserve">Подтверждаю, что измерения электрической энергии (мощности) по точкам поставки, в отношении которых допускается использовать средства измерений, не включенные в АИИС КУЭ, выполняются с применением средств измерений утвержденного типа, прошедших поверку в соответствии с требованиями Федерального закона от 26.06.2008 г. № 102-ФЗ «Об обеспечении единства измерений» к измерениям, относящимся к сфере государственного регулирования обеспечения единства измерений </w:t>
      </w:r>
      <w:r w:rsidRPr="004C0B2B">
        <w:rPr>
          <w:rFonts w:ascii="Garamond" w:hAnsi="Garamond"/>
          <w:sz w:val="18"/>
          <w:szCs w:val="18"/>
        </w:rPr>
        <w:t>(</w:t>
      </w:r>
      <w:r w:rsidRPr="004C0B2B">
        <w:rPr>
          <w:rFonts w:ascii="Garamond" w:hAnsi="Garamond"/>
          <w:i/>
          <w:sz w:val="18"/>
          <w:szCs w:val="18"/>
        </w:rPr>
        <w:t>указывается при наличии средств измерений, не включенных в АИИС КУЭ</w:t>
      </w:r>
      <w:r w:rsidRPr="004C0B2B">
        <w:rPr>
          <w:rFonts w:ascii="Garamond" w:hAnsi="Garamond"/>
          <w:sz w:val="18"/>
          <w:szCs w:val="18"/>
        </w:rPr>
        <w:t>)</w:t>
      </w:r>
      <w:r w:rsidRPr="004C0B2B">
        <w:rPr>
          <w:rFonts w:ascii="Garamond" w:hAnsi="Garamond"/>
          <w:sz w:val="22"/>
          <w:szCs w:val="22"/>
        </w:rPr>
        <w:t>.</w:t>
      </w:r>
    </w:p>
    <w:p w14:paraId="3577E0D8" w14:textId="77777777" w:rsidR="004B3B82" w:rsidRPr="004C0B2B" w:rsidRDefault="004B3B82" w:rsidP="00101F7C">
      <w:pPr>
        <w:autoSpaceDE w:val="0"/>
        <w:autoSpaceDN w:val="0"/>
        <w:jc w:val="both"/>
        <w:rPr>
          <w:rFonts w:ascii="Garamond" w:hAnsi="Garamond"/>
          <w:bCs/>
          <w:i/>
          <w:sz w:val="22"/>
          <w:szCs w:val="22"/>
        </w:rPr>
      </w:pPr>
      <w:r w:rsidRPr="004C0B2B">
        <w:rPr>
          <w:rFonts w:ascii="Garamond" w:hAnsi="Garamond"/>
          <w:bCs/>
          <w:sz w:val="22"/>
          <w:szCs w:val="22"/>
        </w:rPr>
        <w:t>В случае если при установлении соответствия АИИС КУЭ КО будет выявлена неактуальность регистрационной информации в части несоответствия указанных в опросных листах (макет 90000) и в ПСИ типов (модификаций) приборов учета / признака включения в АИИС КУЭ, необходимо выполнить действия для регистрации в КО в течение 60 календарных дней с даты направления КО письма о вышеуказанном несоответствии актуализированного ПСИ, оформленного в соответствии с требованиями регламентов оптового рынка</w:t>
      </w:r>
      <w:r w:rsidRPr="004C0B2B">
        <w:rPr>
          <w:rFonts w:ascii="Garamond" w:hAnsi="Garamond"/>
          <w:bCs/>
          <w:i/>
          <w:sz w:val="18"/>
          <w:szCs w:val="18"/>
        </w:rPr>
        <w:t xml:space="preserve"> (указывается для действующего состава точек поставки и точек измерений).</w:t>
      </w:r>
    </w:p>
    <w:p w14:paraId="52F9929D" w14:textId="77777777" w:rsidR="004B3B82" w:rsidRPr="004C0B2B" w:rsidRDefault="004B3B82" w:rsidP="00101F7C">
      <w:pPr>
        <w:jc w:val="both"/>
        <w:rPr>
          <w:rFonts w:ascii="Garamond" w:hAnsi="Garamond"/>
          <w:sz w:val="22"/>
          <w:szCs w:val="22"/>
          <w:lang w:eastAsia="en-US"/>
        </w:rPr>
      </w:pPr>
    </w:p>
    <w:p w14:paraId="4B7A6A33" w14:textId="77777777" w:rsidR="004B3B82" w:rsidRPr="004C0B2B" w:rsidRDefault="004B3B82" w:rsidP="00101F7C">
      <w:pPr>
        <w:jc w:val="both"/>
        <w:rPr>
          <w:rFonts w:ascii="Garamond" w:hAnsi="Garamond"/>
          <w:sz w:val="22"/>
          <w:szCs w:val="22"/>
          <w:lang w:eastAsia="en-US"/>
        </w:rPr>
      </w:pPr>
    </w:p>
    <w:tbl>
      <w:tblPr>
        <w:tblW w:w="10003" w:type="dxa"/>
        <w:tblLook w:val="04A0" w:firstRow="1" w:lastRow="0" w:firstColumn="1" w:lastColumn="0" w:noHBand="0" w:noVBand="1"/>
      </w:tblPr>
      <w:tblGrid>
        <w:gridCol w:w="3224"/>
        <w:gridCol w:w="3556"/>
        <w:gridCol w:w="3223"/>
      </w:tblGrid>
      <w:tr w:rsidR="004B3B82" w:rsidRPr="004C0B2B" w14:paraId="109E1D41" w14:textId="77777777" w:rsidTr="00CD3B05">
        <w:trPr>
          <w:trHeight w:val="243"/>
        </w:trPr>
        <w:tc>
          <w:tcPr>
            <w:tcW w:w="3224" w:type="dxa"/>
            <w:tcBorders>
              <w:top w:val="single" w:sz="4" w:space="0" w:color="auto"/>
            </w:tcBorders>
            <w:shd w:val="clear" w:color="auto" w:fill="auto"/>
            <w:vAlign w:val="center"/>
          </w:tcPr>
          <w:p w14:paraId="32490636" w14:textId="77777777" w:rsidR="004B3B82" w:rsidRPr="004C0B2B" w:rsidRDefault="004B3B82" w:rsidP="00CD3B05">
            <w:pPr>
              <w:jc w:val="center"/>
              <w:rPr>
                <w:rFonts w:ascii="Garamond" w:hAnsi="Garamond"/>
                <w:i/>
                <w:sz w:val="22"/>
                <w:szCs w:val="22"/>
                <w:lang w:eastAsia="en-US"/>
              </w:rPr>
            </w:pPr>
            <w:r w:rsidRPr="004C0B2B">
              <w:rPr>
                <w:rFonts w:ascii="Garamond" w:hAnsi="Garamond"/>
                <w:i/>
                <w:sz w:val="18"/>
                <w:szCs w:val="18"/>
                <w:lang w:eastAsia="en-US"/>
              </w:rPr>
              <w:t>(должность руководителя)</w:t>
            </w:r>
          </w:p>
        </w:tc>
        <w:tc>
          <w:tcPr>
            <w:tcW w:w="3556" w:type="dxa"/>
            <w:shd w:val="clear" w:color="auto" w:fill="auto"/>
            <w:vAlign w:val="center"/>
          </w:tcPr>
          <w:p w14:paraId="36801DBC" w14:textId="77777777" w:rsidR="004B3B82" w:rsidRPr="004C0B2B" w:rsidRDefault="004B3B82" w:rsidP="00CD3B05">
            <w:pPr>
              <w:jc w:val="center"/>
              <w:rPr>
                <w:rFonts w:ascii="Garamond" w:hAnsi="Garamond"/>
                <w:i/>
                <w:sz w:val="22"/>
                <w:szCs w:val="22"/>
                <w:lang w:eastAsia="en-US"/>
              </w:rPr>
            </w:pPr>
          </w:p>
        </w:tc>
        <w:tc>
          <w:tcPr>
            <w:tcW w:w="3223" w:type="dxa"/>
            <w:tcBorders>
              <w:top w:val="single" w:sz="4" w:space="0" w:color="auto"/>
            </w:tcBorders>
            <w:shd w:val="clear" w:color="auto" w:fill="auto"/>
            <w:vAlign w:val="center"/>
          </w:tcPr>
          <w:p w14:paraId="6C018026" w14:textId="77777777" w:rsidR="004B3B82" w:rsidRPr="004C0B2B" w:rsidRDefault="004B3B82" w:rsidP="00CD3B05">
            <w:pPr>
              <w:jc w:val="center"/>
              <w:rPr>
                <w:rFonts w:ascii="Garamond" w:hAnsi="Garamond"/>
                <w:i/>
                <w:sz w:val="22"/>
                <w:szCs w:val="22"/>
                <w:lang w:eastAsia="en-US"/>
              </w:rPr>
            </w:pPr>
            <w:r w:rsidRPr="004C0B2B">
              <w:rPr>
                <w:rFonts w:ascii="Garamond" w:hAnsi="Garamond"/>
                <w:i/>
                <w:sz w:val="18"/>
                <w:szCs w:val="18"/>
                <w:lang w:eastAsia="en-US"/>
              </w:rPr>
              <w:t>(Ф. И. О.)</w:t>
            </w:r>
          </w:p>
        </w:tc>
      </w:tr>
    </w:tbl>
    <w:p w14:paraId="1D5EAEE4" w14:textId="77777777" w:rsidR="00BC4FC4" w:rsidRDefault="00BC4FC4" w:rsidP="00101F7C">
      <w:pPr>
        <w:autoSpaceDE w:val="0"/>
        <w:autoSpaceDN w:val="0"/>
        <w:jc w:val="both"/>
        <w:rPr>
          <w:rFonts w:ascii="Garamond" w:hAnsi="Garamond"/>
          <w:b/>
          <w:bCs/>
          <w:lang w:eastAsia="en-US"/>
        </w:rPr>
      </w:pPr>
    </w:p>
    <w:p w14:paraId="6C162E62" w14:textId="77777777" w:rsidR="00BC4FC4" w:rsidRDefault="00BC4FC4" w:rsidP="00101F7C">
      <w:pPr>
        <w:autoSpaceDE w:val="0"/>
        <w:autoSpaceDN w:val="0"/>
        <w:jc w:val="both"/>
        <w:rPr>
          <w:rFonts w:ascii="Garamond" w:hAnsi="Garamond"/>
          <w:b/>
          <w:bCs/>
          <w:lang w:eastAsia="en-US"/>
        </w:rPr>
      </w:pPr>
    </w:p>
    <w:p w14:paraId="1CD50C60" w14:textId="170313AA" w:rsidR="004B3B82" w:rsidRPr="004C0B2B" w:rsidRDefault="004B3B82" w:rsidP="00101F7C">
      <w:pPr>
        <w:autoSpaceDE w:val="0"/>
        <w:autoSpaceDN w:val="0"/>
        <w:jc w:val="both"/>
        <w:rPr>
          <w:rFonts w:ascii="Garamond" w:hAnsi="Garamond"/>
          <w:b/>
          <w:bCs/>
          <w:lang w:eastAsia="en-US"/>
        </w:rPr>
      </w:pPr>
      <w:r w:rsidRPr="004C0B2B">
        <w:rPr>
          <w:rFonts w:ascii="Garamond" w:hAnsi="Garamond"/>
          <w:b/>
          <w:bCs/>
          <w:lang w:eastAsia="en-US"/>
        </w:rPr>
        <w:lastRenderedPageBreak/>
        <w:t>Примечания.</w:t>
      </w:r>
    </w:p>
    <w:p w14:paraId="34487679" w14:textId="77777777" w:rsidR="004B3B82" w:rsidRPr="004C0B2B" w:rsidRDefault="004B3B82" w:rsidP="004B3B82">
      <w:pPr>
        <w:pStyle w:val="ac"/>
        <w:numPr>
          <w:ilvl w:val="0"/>
          <w:numId w:val="117"/>
        </w:numPr>
        <w:spacing w:before="160" w:after="160" w:line="259" w:lineRule="auto"/>
        <w:ind w:left="284" w:hanging="284"/>
        <w:jc w:val="both"/>
        <w:rPr>
          <w:rFonts w:ascii="Garamond" w:hAnsi="Garamond"/>
        </w:rPr>
      </w:pPr>
      <w:r w:rsidRPr="004C0B2B">
        <w:rPr>
          <w:rFonts w:ascii="Garamond" w:hAnsi="Garamond"/>
        </w:rPr>
        <w:t>Указать наименование и буквенный код сечения коммерческого учета или ГТП генерации, например:</w:t>
      </w:r>
    </w:p>
    <w:p w14:paraId="5AF5D141" w14:textId="77777777" w:rsidR="004B3B82" w:rsidRPr="004C0B2B" w:rsidRDefault="004B3B82" w:rsidP="00101F7C">
      <w:pPr>
        <w:pStyle w:val="ac"/>
        <w:ind w:left="284"/>
        <w:jc w:val="both"/>
        <w:rPr>
          <w:rFonts w:ascii="Garamond" w:hAnsi="Garamond"/>
        </w:rPr>
      </w:pPr>
      <w:r w:rsidRPr="004C0B2B">
        <w:rPr>
          <w:rFonts w:ascii="Garamond" w:hAnsi="Garamond"/>
        </w:rPr>
        <w:t>ЗАО «СбыТ» (ОАО «Уралсталь») – ОАО «Энергосбыт Север» (ОАО «Северскэнергосбыт») (P</w:t>
      </w:r>
      <w:r w:rsidRPr="004C0B2B">
        <w:rPr>
          <w:rFonts w:ascii="Garamond" w:hAnsi="Garamond"/>
          <w:lang w:val="en-US"/>
        </w:rPr>
        <w:t>SFIEN</w:t>
      </w:r>
      <w:r w:rsidRPr="004C0B2B">
        <w:rPr>
          <w:rFonts w:ascii="Garamond" w:hAnsi="Garamond"/>
        </w:rPr>
        <w:t>27-PS</w:t>
      </w:r>
      <w:r w:rsidRPr="004C0B2B">
        <w:rPr>
          <w:rFonts w:ascii="Garamond" w:hAnsi="Garamond"/>
          <w:lang w:val="en-US"/>
        </w:rPr>
        <w:t>S</w:t>
      </w:r>
      <w:r w:rsidRPr="004C0B2B">
        <w:rPr>
          <w:rFonts w:ascii="Garamond" w:hAnsi="Garamond"/>
        </w:rPr>
        <w:t>ERDLE);</w:t>
      </w:r>
    </w:p>
    <w:p w14:paraId="23698787" w14:textId="75594DE5" w:rsidR="004B3B82" w:rsidRPr="004C0B2B" w:rsidRDefault="004B3B82" w:rsidP="00101F7C">
      <w:pPr>
        <w:pStyle w:val="ac"/>
        <w:ind w:left="284"/>
        <w:jc w:val="both"/>
        <w:rPr>
          <w:rFonts w:ascii="Garamond" w:hAnsi="Garamond"/>
        </w:rPr>
      </w:pPr>
      <w:r w:rsidRPr="004C0B2B">
        <w:rPr>
          <w:rFonts w:ascii="Garamond" w:hAnsi="Garamond"/>
        </w:rPr>
        <w:t>ПАО «</w:t>
      </w:r>
      <w:r w:rsidRPr="004C0B2B">
        <w:rPr>
          <w:rFonts w:ascii="Garamond" w:hAnsi="Garamond"/>
          <w:lang w:eastAsia="en-US"/>
        </w:rPr>
        <w:t>Россети</w:t>
      </w:r>
      <w:r w:rsidRPr="004C0B2B">
        <w:rPr>
          <w:rFonts w:ascii="Garamond" w:hAnsi="Garamond"/>
        </w:rPr>
        <w:t>» (МЭС Северо-Запада (по сетям Республики Коми)) – ОАО «Энергосбыт Север»                                               (ОАО «Северскэнергосбыт») (FKOMIENE-PS</w:t>
      </w:r>
      <w:r w:rsidRPr="004C0B2B">
        <w:rPr>
          <w:rFonts w:ascii="Garamond" w:hAnsi="Garamond"/>
          <w:lang w:val="en-US"/>
        </w:rPr>
        <w:t>S</w:t>
      </w:r>
      <w:r w:rsidRPr="004C0B2B">
        <w:rPr>
          <w:rFonts w:ascii="Garamond" w:hAnsi="Garamond"/>
        </w:rPr>
        <w:t>ERDLE);</w:t>
      </w:r>
    </w:p>
    <w:p w14:paraId="22810283" w14:textId="77777777" w:rsidR="004B3B82" w:rsidRPr="004C0B2B" w:rsidRDefault="004B3B82" w:rsidP="00101F7C">
      <w:pPr>
        <w:pStyle w:val="ac"/>
        <w:ind w:left="284"/>
        <w:jc w:val="both"/>
        <w:rPr>
          <w:rFonts w:ascii="Garamond" w:hAnsi="Garamond"/>
        </w:rPr>
      </w:pPr>
      <w:r w:rsidRPr="004C0B2B">
        <w:rPr>
          <w:rFonts w:ascii="Garamond" w:hAnsi="Garamond"/>
        </w:rPr>
        <w:t>АО «Генерация» (Первая ТЭЦ) (</w:t>
      </w:r>
      <w:r w:rsidRPr="004C0B2B">
        <w:rPr>
          <w:rFonts w:ascii="Garamond" w:hAnsi="Garamond"/>
          <w:lang w:val="en-US"/>
        </w:rPr>
        <w:t>GOMSKE</w:t>
      </w:r>
      <w:r w:rsidRPr="004C0B2B">
        <w:rPr>
          <w:rFonts w:ascii="Garamond" w:hAnsi="Garamond"/>
        </w:rPr>
        <w:t>17).</w:t>
      </w:r>
    </w:p>
    <w:p w14:paraId="4A4A2578" w14:textId="77777777" w:rsidR="004B3B82" w:rsidRPr="004C0B2B" w:rsidRDefault="004B3B82" w:rsidP="00101F7C">
      <w:pPr>
        <w:pStyle w:val="ac"/>
        <w:ind w:left="284" w:hanging="284"/>
        <w:rPr>
          <w:rFonts w:ascii="Garamond" w:hAnsi="Garamond"/>
        </w:rPr>
      </w:pPr>
      <w:r w:rsidRPr="004C0B2B">
        <w:rPr>
          <w:rFonts w:ascii="Garamond" w:hAnsi="Garamond"/>
        </w:rPr>
        <w:t>2.   В качестве основания указывается:</w:t>
      </w:r>
    </w:p>
    <w:p w14:paraId="198C4A2F" w14:textId="77777777" w:rsidR="004B3B82" w:rsidRPr="004C0B2B" w:rsidRDefault="004B3B82" w:rsidP="004B3B82">
      <w:pPr>
        <w:pStyle w:val="ac"/>
        <w:numPr>
          <w:ilvl w:val="1"/>
          <w:numId w:val="119"/>
        </w:numPr>
        <w:autoSpaceDE w:val="0"/>
        <w:autoSpaceDN w:val="0"/>
        <w:spacing w:after="160" w:line="259" w:lineRule="auto"/>
        <w:ind w:left="709" w:hanging="425"/>
        <w:jc w:val="both"/>
        <w:rPr>
          <w:rFonts w:ascii="Garamond" w:hAnsi="Garamond"/>
        </w:rPr>
      </w:pPr>
      <w:r w:rsidRPr="004C0B2B">
        <w:rPr>
          <w:rFonts w:ascii="Garamond" w:hAnsi="Garamond"/>
        </w:rPr>
        <w:t>Новое сечение КУ / ГТП генерации (cостав ТП и ТИ подтвержден ПСИ № ___ от ______) (указывается для сечения КУ / ГТП генерации, по которому (-ой) дата вступления в силу принятого решения о предоставлении права участия в торговле электрической энергий и (или) мощностью на ОРЭМ не наступила на дату регистрации КО заявления по форме 3).</w:t>
      </w:r>
    </w:p>
    <w:p w14:paraId="36069B88" w14:textId="77777777" w:rsidR="004B3B82" w:rsidRPr="004C0B2B" w:rsidRDefault="004B3B82" w:rsidP="004B3B82">
      <w:pPr>
        <w:pStyle w:val="ac"/>
        <w:numPr>
          <w:ilvl w:val="1"/>
          <w:numId w:val="119"/>
        </w:numPr>
        <w:autoSpaceDE w:val="0"/>
        <w:autoSpaceDN w:val="0"/>
        <w:spacing w:after="160" w:line="259" w:lineRule="auto"/>
        <w:ind w:left="709" w:hanging="425"/>
        <w:jc w:val="both"/>
        <w:rPr>
          <w:rFonts w:ascii="Garamond" w:hAnsi="Garamond"/>
        </w:rPr>
      </w:pPr>
      <w:r w:rsidRPr="004C0B2B">
        <w:rPr>
          <w:rFonts w:ascii="Garamond" w:hAnsi="Garamond"/>
        </w:rPr>
        <w:t>Действующий состав точек поставки и точек измерений подтвержден действующим ПСИ № ___ от ______.</w:t>
      </w:r>
    </w:p>
    <w:p w14:paraId="36897B8F" w14:textId="77777777" w:rsidR="004B3B82" w:rsidRPr="004C0B2B" w:rsidRDefault="004B3B82" w:rsidP="00101F7C">
      <w:pPr>
        <w:spacing w:after="160" w:line="259" w:lineRule="auto"/>
        <w:jc w:val="both"/>
        <w:rPr>
          <w:rFonts w:ascii="Garamond" w:hAnsi="Garamond"/>
          <w:lang w:eastAsia="en-US"/>
        </w:rPr>
      </w:pPr>
      <w:r w:rsidRPr="004C0B2B">
        <w:rPr>
          <w:rFonts w:ascii="Garamond" w:hAnsi="Garamond"/>
          <w:lang w:eastAsia="en-US"/>
        </w:rPr>
        <w:br w:type="page"/>
      </w:r>
    </w:p>
    <w:p w14:paraId="5355FDE8" w14:textId="77777777" w:rsidR="004B3B82" w:rsidRPr="004C0B2B" w:rsidRDefault="004B3B82" w:rsidP="00101F7C">
      <w:pPr>
        <w:rPr>
          <w:rFonts w:ascii="Garamond" w:hAnsi="Garamond"/>
          <w:b/>
          <w:sz w:val="22"/>
          <w:szCs w:val="22"/>
        </w:rPr>
      </w:pPr>
      <w:r w:rsidRPr="004C0B2B">
        <w:rPr>
          <w:rFonts w:ascii="Garamond" w:hAnsi="Garamond"/>
          <w:b/>
          <w:sz w:val="22"/>
          <w:szCs w:val="22"/>
        </w:rPr>
        <w:lastRenderedPageBreak/>
        <w:t>Предлагаемая редакция</w:t>
      </w:r>
    </w:p>
    <w:p w14:paraId="24FA88C5" w14:textId="77777777" w:rsidR="004B3B82" w:rsidRPr="004C0B2B" w:rsidRDefault="004B3B82" w:rsidP="00101F7C">
      <w:pPr>
        <w:jc w:val="center"/>
        <w:rPr>
          <w:rFonts w:ascii="Garamond" w:hAnsi="Garamond"/>
          <w:b/>
          <w:sz w:val="22"/>
          <w:szCs w:val="22"/>
        </w:rPr>
      </w:pPr>
      <w:r w:rsidRPr="004C0B2B">
        <w:rPr>
          <w:rFonts w:ascii="Garamond" w:hAnsi="Garamond"/>
          <w:b/>
          <w:sz w:val="22"/>
          <w:szCs w:val="22"/>
        </w:rPr>
        <w:t>Форма 3</w:t>
      </w:r>
    </w:p>
    <w:p w14:paraId="3A5DBF17" w14:textId="77777777" w:rsidR="004B3B82" w:rsidRPr="004C0B2B" w:rsidRDefault="004B3B82" w:rsidP="00101F7C">
      <w:pPr>
        <w:autoSpaceDE w:val="0"/>
        <w:autoSpaceDN w:val="0"/>
        <w:rPr>
          <w:rFonts w:ascii="Garamond" w:hAnsi="Garamond"/>
          <w:sz w:val="22"/>
          <w:szCs w:val="22"/>
        </w:rPr>
      </w:pPr>
    </w:p>
    <w:p w14:paraId="3978A0CF" w14:textId="77777777" w:rsidR="004B3B82" w:rsidRPr="004C0B2B" w:rsidRDefault="004B3B82" w:rsidP="00101F7C">
      <w:pPr>
        <w:autoSpaceDE w:val="0"/>
        <w:autoSpaceDN w:val="0"/>
        <w:rPr>
          <w:rFonts w:ascii="Garamond" w:hAnsi="Garamond"/>
          <w:sz w:val="22"/>
          <w:szCs w:val="22"/>
        </w:rPr>
      </w:pPr>
      <w:r w:rsidRPr="004C0B2B">
        <w:rPr>
          <w:rFonts w:ascii="Garamond" w:hAnsi="Garamond"/>
          <w:sz w:val="22"/>
          <w:szCs w:val="22"/>
        </w:rPr>
        <w:t xml:space="preserve">(на бланке заявителя) </w:t>
      </w:r>
    </w:p>
    <w:p w14:paraId="63BDFBAA" w14:textId="77777777" w:rsidR="004B3B82" w:rsidRPr="004C0B2B" w:rsidRDefault="004B3B82" w:rsidP="00101F7C">
      <w:pPr>
        <w:ind w:left="7371" w:right="-428"/>
        <w:jc w:val="both"/>
        <w:rPr>
          <w:rFonts w:ascii="Garamond" w:hAnsi="Garamond"/>
          <w:b/>
          <w:sz w:val="22"/>
          <w:szCs w:val="22"/>
          <w:lang w:eastAsia="en-US"/>
        </w:rPr>
      </w:pPr>
      <w:r w:rsidRPr="004C0B2B">
        <w:rPr>
          <w:rFonts w:ascii="Garamond" w:hAnsi="Garamond"/>
          <w:b/>
          <w:sz w:val="22"/>
          <w:szCs w:val="22"/>
          <w:lang w:eastAsia="en-US"/>
        </w:rPr>
        <w:t>Председателю Правления</w:t>
      </w:r>
    </w:p>
    <w:p w14:paraId="0A6C9A21" w14:textId="77777777" w:rsidR="004B3B82" w:rsidRPr="004C0B2B" w:rsidRDefault="004B3B82" w:rsidP="00101F7C">
      <w:pPr>
        <w:ind w:left="7371" w:right="-428"/>
        <w:jc w:val="both"/>
        <w:rPr>
          <w:rFonts w:ascii="Garamond" w:hAnsi="Garamond"/>
          <w:b/>
          <w:sz w:val="22"/>
          <w:szCs w:val="22"/>
          <w:lang w:eastAsia="en-US"/>
        </w:rPr>
      </w:pPr>
      <w:r w:rsidRPr="004C0B2B">
        <w:rPr>
          <w:rFonts w:ascii="Garamond" w:hAnsi="Garamond"/>
          <w:b/>
          <w:sz w:val="22"/>
          <w:szCs w:val="22"/>
          <w:lang w:eastAsia="en-US"/>
        </w:rPr>
        <w:t>АО «АТС»</w:t>
      </w:r>
    </w:p>
    <w:p w14:paraId="036190A6" w14:textId="77777777" w:rsidR="004B3B82" w:rsidRPr="004C0B2B" w:rsidRDefault="004B3B82" w:rsidP="00101F7C">
      <w:pPr>
        <w:jc w:val="both"/>
        <w:rPr>
          <w:rFonts w:ascii="Garamond" w:hAnsi="Garamond"/>
          <w:sz w:val="22"/>
          <w:szCs w:val="22"/>
          <w:lang w:eastAsia="en-US"/>
        </w:rPr>
      </w:pPr>
      <w:r w:rsidRPr="004C0B2B">
        <w:rPr>
          <w:rFonts w:ascii="Garamond" w:hAnsi="Garamond"/>
          <w:sz w:val="22"/>
          <w:szCs w:val="22"/>
          <w:lang w:eastAsia="en-US"/>
        </w:rPr>
        <w:t xml:space="preserve">№ _____________________ </w:t>
      </w:r>
    </w:p>
    <w:p w14:paraId="50F6EDAC" w14:textId="77777777" w:rsidR="004B3B82" w:rsidRPr="004C0B2B" w:rsidRDefault="004B3B82" w:rsidP="00101F7C">
      <w:pPr>
        <w:jc w:val="both"/>
        <w:rPr>
          <w:rFonts w:ascii="Garamond" w:hAnsi="Garamond"/>
          <w:sz w:val="22"/>
          <w:szCs w:val="22"/>
          <w:lang w:eastAsia="en-US"/>
        </w:rPr>
      </w:pPr>
      <w:r w:rsidRPr="004C0B2B">
        <w:rPr>
          <w:rFonts w:ascii="Garamond" w:hAnsi="Garamond"/>
          <w:sz w:val="22"/>
          <w:szCs w:val="22"/>
          <w:lang w:eastAsia="en-US"/>
        </w:rPr>
        <w:t>«___» ___________ 20 ___ г.</w:t>
      </w:r>
    </w:p>
    <w:p w14:paraId="2C08B042" w14:textId="77777777" w:rsidR="004B3B82" w:rsidRPr="004C0B2B" w:rsidRDefault="004B3B82" w:rsidP="00101F7C"/>
    <w:p w14:paraId="645EA679" w14:textId="77777777" w:rsidR="004B3B82" w:rsidRPr="004C0B2B" w:rsidRDefault="004B3B82" w:rsidP="00101F7C">
      <w:pPr>
        <w:jc w:val="center"/>
        <w:rPr>
          <w:rFonts w:ascii="Garamond" w:hAnsi="Garamond"/>
          <w:b/>
          <w:sz w:val="22"/>
          <w:szCs w:val="22"/>
          <w:lang w:eastAsia="en-US"/>
        </w:rPr>
      </w:pPr>
      <w:r w:rsidRPr="004C0B2B">
        <w:rPr>
          <w:rFonts w:ascii="Garamond" w:hAnsi="Garamond"/>
          <w:b/>
          <w:sz w:val="22"/>
          <w:szCs w:val="22"/>
          <w:lang w:eastAsia="en-US"/>
        </w:rPr>
        <w:t>ЗАЯВЛЕНИЕ</w:t>
      </w:r>
    </w:p>
    <w:p w14:paraId="1E254946" w14:textId="77777777" w:rsidR="004B3B82" w:rsidRPr="004C0B2B" w:rsidRDefault="004B3B82" w:rsidP="00101F7C">
      <w:pPr>
        <w:jc w:val="center"/>
        <w:rPr>
          <w:rFonts w:ascii="Garamond" w:hAnsi="Garamond"/>
          <w:b/>
          <w:sz w:val="22"/>
          <w:szCs w:val="22"/>
          <w:lang w:eastAsia="en-US"/>
        </w:rPr>
      </w:pPr>
      <w:r w:rsidRPr="004C0B2B">
        <w:rPr>
          <w:rFonts w:ascii="Garamond" w:hAnsi="Garamond"/>
          <w:b/>
          <w:sz w:val="22"/>
          <w:szCs w:val="22"/>
          <w:lang w:eastAsia="en-US"/>
        </w:rPr>
        <w:t>об установлении соответствия системы коммерческого учета электрической энергии техническим требованиям оптового рынка электрической энергии и мощности</w:t>
      </w:r>
    </w:p>
    <w:p w14:paraId="1778C9B0" w14:textId="77777777" w:rsidR="004B3B82" w:rsidRPr="004C0B2B" w:rsidRDefault="004B3B82" w:rsidP="00101F7C"/>
    <w:tbl>
      <w:tblPr>
        <w:tblW w:w="100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02"/>
        <w:gridCol w:w="7058"/>
      </w:tblGrid>
      <w:tr w:rsidR="004B3B82" w:rsidRPr="004C0B2B" w14:paraId="4E90BEA9" w14:textId="77777777" w:rsidTr="00CD3B05">
        <w:trPr>
          <w:trHeight w:val="421"/>
        </w:trPr>
        <w:tc>
          <w:tcPr>
            <w:tcW w:w="3002" w:type="dxa"/>
            <w:shd w:val="clear" w:color="auto" w:fill="D9D9D9"/>
            <w:vAlign w:val="center"/>
          </w:tcPr>
          <w:p w14:paraId="0FDE34D0" w14:textId="77777777" w:rsidR="004B3B82" w:rsidRPr="004C0B2B" w:rsidRDefault="004B3B82" w:rsidP="00CD3B05">
            <w:pPr>
              <w:jc w:val="both"/>
              <w:rPr>
                <w:rFonts w:ascii="Garamond" w:hAnsi="Garamond"/>
                <w:sz w:val="22"/>
                <w:szCs w:val="22"/>
                <w:lang w:eastAsia="en-US"/>
              </w:rPr>
            </w:pPr>
            <w:r w:rsidRPr="004C0B2B">
              <w:rPr>
                <w:rFonts w:ascii="Garamond" w:hAnsi="Garamond"/>
                <w:sz w:val="22"/>
                <w:szCs w:val="22"/>
                <w:lang w:eastAsia="en-US"/>
              </w:rPr>
              <w:t>Полное наименование заявителя</w:t>
            </w:r>
          </w:p>
        </w:tc>
        <w:tc>
          <w:tcPr>
            <w:tcW w:w="7058" w:type="dxa"/>
            <w:shd w:val="clear" w:color="auto" w:fill="auto"/>
            <w:vAlign w:val="center"/>
          </w:tcPr>
          <w:p w14:paraId="5A9CDB2A" w14:textId="77777777" w:rsidR="004B3B82" w:rsidRPr="004C0B2B" w:rsidRDefault="004B3B82" w:rsidP="00CD3B05">
            <w:pPr>
              <w:autoSpaceDE w:val="0"/>
              <w:autoSpaceDN w:val="0"/>
              <w:rPr>
                <w:rFonts w:ascii="Garamond" w:hAnsi="Garamond"/>
                <w:sz w:val="22"/>
                <w:szCs w:val="22"/>
                <w:lang w:eastAsia="en-US"/>
              </w:rPr>
            </w:pPr>
          </w:p>
        </w:tc>
      </w:tr>
      <w:tr w:rsidR="004B3B82" w:rsidRPr="004C0B2B" w14:paraId="595774AD" w14:textId="77777777" w:rsidTr="00CD3B05">
        <w:trPr>
          <w:trHeight w:val="340"/>
        </w:trPr>
        <w:tc>
          <w:tcPr>
            <w:tcW w:w="3002" w:type="dxa"/>
            <w:shd w:val="clear" w:color="auto" w:fill="D9D9D9"/>
            <w:vAlign w:val="center"/>
          </w:tcPr>
          <w:p w14:paraId="21EF4285" w14:textId="77777777" w:rsidR="004B3B82" w:rsidRPr="004C0B2B" w:rsidRDefault="004B3B82" w:rsidP="00CD3B05">
            <w:pPr>
              <w:jc w:val="both"/>
              <w:rPr>
                <w:rFonts w:ascii="Garamond" w:hAnsi="Garamond"/>
                <w:sz w:val="22"/>
                <w:szCs w:val="22"/>
                <w:lang w:eastAsia="en-US"/>
              </w:rPr>
            </w:pPr>
            <w:r w:rsidRPr="004C0B2B">
              <w:rPr>
                <w:rFonts w:ascii="Garamond" w:hAnsi="Garamond"/>
                <w:sz w:val="22"/>
                <w:szCs w:val="22"/>
                <w:lang w:eastAsia="en-US"/>
              </w:rPr>
              <w:t>Сокращенное наименование заявителя</w:t>
            </w:r>
          </w:p>
        </w:tc>
        <w:tc>
          <w:tcPr>
            <w:tcW w:w="7058" w:type="dxa"/>
            <w:shd w:val="clear" w:color="auto" w:fill="auto"/>
            <w:vAlign w:val="center"/>
          </w:tcPr>
          <w:p w14:paraId="72D7BC15" w14:textId="77777777" w:rsidR="004B3B82" w:rsidRPr="004C0B2B" w:rsidRDefault="004B3B82" w:rsidP="00CD3B05">
            <w:pPr>
              <w:jc w:val="both"/>
              <w:rPr>
                <w:rFonts w:ascii="Garamond" w:hAnsi="Garamond"/>
                <w:b/>
                <w:sz w:val="22"/>
                <w:szCs w:val="22"/>
                <w:lang w:eastAsia="en-US"/>
              </w:rPr>
            </w:pPr>
          </w:p>
        </w:tc>
      </w:tr>
    </w:tbl>
    <w:p w14:paraId="0B240537" w14:textId="77777777" w:rsidR="004B3B82" w:rsidRPr="004C0B2B" w:rsidRDefault="004B3B82" w:rsidP="00101F7C">
      <w:pPr>
        <w:autoSpaceDE w:val="0"/>
        <w:autoSpaceDN w:val="0"/>
        <w:ind w:firstLine="540"/>
        <w:jc w:val="both"/>
        <w:rPr>
          <w:rFonts w:ascii="Garamond" w:hAnsi="Garamond"/>
          <w:spacing w:val="-2"/>
          <w:sz w:val="22"/>
          <w:szCs w:val="22"/>
        </w:rPr>
      </w:pPr>
    </w:p>
    <w:p w14:paraId="7FE8C5D3" w14:textId="77777777" w:rsidR="004B3B82" w:rsidRPr="004C0B2B" w:rsidRDefault="004B3B82" w:rsidP="00101F7C">
      <w:pPr>
        <w:autoSpaceDE w:val="0"/>
        <w:autoSpaceDN w:val="0"/>
        <w:jc w:val="both"/>
        <w:rPr>
          <w:rFonts w:ascii="Garamond" w:hAnsi="Garamond"/>
          <w:sz w:val="22"/>
          <w:szCs w:val="22"/>
          <w:vertAlign w:val="superscript"/>
          <w:lang w:eastAsia="en-US"/>
        </w:rPr>
      </w:pPr>
      <w:r w:rsidRPr="004C0B2B">
        <w:rPr>
          <w:rFonts w:ascii="Garamond" w:hAnsi="Garamond"/>
          <w:spacing w:val="-2"/>
          <w:sz w:val="22"/>
          <w:szCs w:val="22"/>
        </w:rPr>
        <w:t xml:space="preserve">выражает намерение установить соответствие системы коммерческого учета электроэнергии техническим требованиям оптового рынка электроэнергии (мощности) и оформить </w:t>
      </w:r>
      <w:r w:rsidRPr="004C0B2B">
        <w:rPr>
          <w:rFonts w:ascii="Garamond" w:hAnsi="Garamond"/>
          <w:sz w:val="22"/>
          <w:szCs w:val="22"/>
        </w:rPr>
        <w:t>Акт о соответствии системы коммерческого учета электрической энергии техническим требованиям оптового рынка электрической энергии и мощности класса А</w:t>
      </w:r>
    </w:p>
    <w:p w14:paraId="1FFA2E5C" w14:textId="77777777" w:rsidR="004B3B82" w:rsidRPr="004C0B2B" w:rsidRDefault="004B3B82" w:rsidP="00101F7C">
      <w:pPr>
        <w:autoSpaceDE w:val="0"/>
        <w:autoSpaceDN w:val="0"/>
        <w:jc w:val="both"/>
        <w:rPr>
          <w:rFonts w:ascii="Garamond" w:hAnsi="Garamond"/>
          <w:sz w:val="22"/>
          <w:szCs w:val="22"/>
          <w:vertAlign w:val="superscript"/>
          <w:lang w:eastAsia="en-US"/>
        </w:rPr>
      </w:pPr>
    </w:p>
    <w:tbl>
      <w:tblPr>
        <w:tblW w:w="10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03"/>
        <w:gridCol w:w="7062"/>
      </w:tblGrid>
      <w:tr w:rsidR="004B3B82" w:rsidRPr="004C0B2B" w14:paraId="4D4468B6" w14:textId="77777777" w:rsidTr="00CD3B05">
        <w:trPr>
          <w:trHeight w:val="340"/>
        </w:trPr>
        <w:tc>
          <w:tcPr>
            <w:tcW w:w="3003" w:type="dxa"/>
            <w:shd w:val="clear" w:color="auto" w:fill="D9D9D9"/>
            <w:vAlign w:val="center"/>
          </w:tcPr>
          <w:p w14:paraId="5BD138E4" w14:textId="77777777" w:rsidR="004B3B82" w:rsidRPr="004C0B2B" w:rsidRDefault="004B3B82" w:rsidP="00CD3B05">
            <w:pPr>
              <w:jc w:val="both"/>
              <w:rPr>
                <w:rFonts w:ascii="Garamond" w:hAnsi="Garamond"/>
                <w:sz w:val="22"/>
                <w:szCs w:val="22"/>
                <w:lang w:eastAsia="en-US"/>
              </w:rPr>
            </w:pPr>
            <w:r w:rsidRPr="004C0B2B">
              <w:rPr>
                <w:rFonts w:ascii="Garamond" w:hAnsi="Garamond"/>
                <w:sz w:val="22"/>
                <w:szCs w:val="22"/>
                <w:lang w:eastAsia="en-US"/>
              </w:rPr>
              <w:t xml:space="preserve">Наименование сечения КУ / ГТП генерации </w:t>
            </w:r>
            <w:r w:rsidRPr="004C0B2B">
              <w:rPr>
                <w:rFonts w:ascii="Garamond" w:hAnsi="Garamond"/>
                <w:sz w:val="22"/>
                <w:szCs w:val="22"/>
                <w:vertAlign w:val="superscript"/>
                <w:lang w:eastAsia="en-US"/>
              </w:rPr>
              <w:t>1</w:t>
            </w:r>
          </w:p>
        </w:tc>
        <w:tc>
          <w:tcPr>
            <w:tcW w:w="7062" w:type="dxa"/>
            <w:shd w:val="clear" w:color="auto" w:fill="auto"/>
            <w:vAlign w:val="center"/>
          </w:tcPr>
          <w:p w14:paraId="048068E2" w14:textId="77777777" w:rsidR="004B3B82" w:rsidRPr="004C0B2B" w:rsidRDefault="004B3B82" w:rsidP="00CD3B05">
            <w:pPr>
              <w:jc w:val="both"/>
              <w:rPr>
                <w:rFonts w:ascii="Garamond" w:hAnsi="Garamond"/>
                <w:b/>
                <w:sz w:val="22"/>
                <w:szCs w:val="22"/>
                <w:lang w:eastAsia="en-US"/>
              </w:rPr>
            </w:pPr>
          </w:p>
        </w:tc>
      </w:tr>
      <w:tr w:rsidR="004B3B82" w:rsidRPr="004C0B2B" w14:paraId="1DB1E474" w14:textId="77777777" w:rsidTr="00CD3B05">
        <w:trPr>
          <w:trHeight w:val="340"/>
        </w:trPr>
        <w:tc>
          <w:tcPr>
            <w:tcW w:w="3003" w:type="dxa"/>
            <w:shd w:val="clear" w:color="auto" w:fill="D9D9D9"/>
            <w:vAlign w:val="center"/>
          </w:tcPr>
          <w:p w14:paraId="5471FA50" w14:textId="77777777" w:rsidR="004B3B82" w:rsidRPr="004C0B2B" w:rsidRDefault="004B3B82" w:rsidP="00CD3B05">
            <w:pPr>
              <w:jc w:val="both"/>
              <w:rPr>
                <w:rFonts w:ascii="Garamond" w:hAnsi="Garamond"/>
                <w:sz w:val="22"/>
                <w:szCs w:val="22"/>
                <w:lang w:eastAsia="en-US"/>
              </w:rPr>
            </w:pPr>
            <w:r w:rsidRPr="004C0B2B">
              <w:rPr>
                <w:rFonts w:ascii="Garamond" w:hAnsi="Garamond"/>
                <w:sz w:val="22"/>
                <w:szCs w:val="22"/>
                <w:lang w:eastAsia="en-US"/>
              </w:rPr>
              <w:t xml:space="preserve">Основание </w:t>
            </w:r>
            <w:r w:rsidRPr="004C0B2B">
              <w:rPr>
                <w:rFonts w:ascii="Garamond" w:hAnsi="Garamond"/>
                <w:sz w:val="22"/>
                <w:szCs w:val="22"/>
                <w:vertAlign w:val="superscript"/>
                <w:lang w:eastAsia="en-US"/>
              </w:rPr>
              <w:t>2</w:t>
            </w:r>
          </w:p>
        </w:tc>
        <w:tc>
          <w:tcPr>
            <w:tcW w:w="7062" w:type="dxa"/>
            <w:shd w:val="clear" w:color="auto" w:fill="auto"/>
            <w:vAlign w:val="center"/>
          </w:tcPr>
          <w:p w14:paraId="339CB3FE" w14:textId="77777777" w:rsidR="004B3B82" w:rsidRPr="004C0B2B" w:rsidRDefault="004B3B82" w:rsidP="00CD3B05">
            <w:pPr>
              <w:jc w:val="both"/>
              <w:rPr>
                <w:rFonts w:ascii="Garamond" w:hAnsi="Garamond"/>
                <w:sz w:val="22"/>
                <w:szCs w:val="22"/>
                <w:lang w:eastAsia="en-US"/>
              </w:rPr>
            </w:pPr>
          </w:p>
        </w:tc>
      </w:tr>
      <w:tr w:rsidR="004B3B82" w:rsidRPr="004C0B2B" w14:paraId="008EA504" w14:textId="77777777" w:rsidTr="00CD3B05">
        <w:trPr>
          <w:trHeight w:val="340"/>
        </w:trPr>
        <w:tc>
          <w:tcPr>
            <w:tcW w:w="3003" w:type="dxa"/>
            <w:shd w:val="clear" w:color="auto" w:fill="D9D9D9"/>
            <w:vAlign w:val="center"/>
          </w:tcPr>
          <w:p w14:paraId="4C95ED10" w14:textId="77777777" w:rsidR="004B3B82" w:rsidRPr="004C0B2B" w:rsidRDefault="004B3B82" w:rsidP="00CD3B05">
            <w:pPr>
              <w:jc w:val="both"/>
              <w:rPr>
                <w:rFonts w:ascii="Garamond" w:hAnsi="Garamond"/>
                <w:sz w:val="22"/>
                <w:szCs w:val="22"/>
                <w:lang w:eastAsia="en-US"/>
              </w:rPr>
            </w:pPr>
            <w:r w:rsidRPr="004C0B2B">
              <w:rPr>
                <w:rFonts w:ascii="Garamond" w:hAnsi="Garamond"/>
                <w:sz w:val="22"/>
                <w:szCs w:val="22"/>
              </w:rPr>
              <w:t xml:space="preserve">Реквизиты Акта о соответствии АИИС КУЭ класса </w:t>
            </w:r>
            <w:r w:rsidRPr="004C0B2B">
              <w:rPr>
                <w:rFonts w:ascii="Garamond" w:hAnsi="Garamond"/>
                <w:sz w:val="22"/>
                <w:szCs w:val="22"/>
                <w:lang w:val="en-US"/>
              </w:rPr>
              <w:t>N</w:t>
            </w:r>
          </w:p>
        </w:tc>
        <w:tc>
          <w:tcPr>
            <w:tcW w:w="7062" w:type="dxa"/>
            <w:shd w:val="clear" w:color="auto" w:fill="auto"/>
            <w:vAlign w:val="center"/>
          </w:tcPr>
          <w:p w14:paraId="2EB45E1F" w14:textId="77777777" w:rsidR="004B3B82" w:rsidRPr="004C0B2B" w:rsidRDefault="004B3B82" w:rsidP="00CD3B05">
            <w:pPr>
              <w:jc w:val="both"/>
              <w:rPr>
                <w:rFonts w:ascii="Garamond" w:hAnsi="Garamond"/>
                <w:sz w:val="22"/>
                <w:szCs w:val="22"/>
                <w:lang w:eastAsia="en-US"/>
              </w:rPr>
            </w:pPr>
            <w:r w:rsidRPr="004C0B2B">
              <w:rPr>
                <w:rFonts w:ascii="Garamond" w:hAnsi="Garamond"/>
                <w:sz w:val="22"/>
                <w:szCs w:val="22"/>
                <w:lang w:eastAsia="en-US"/>
              </w:rPr>
              <w:t xml:space="preserve">№ ____________ от ____________ </w:t>
            </w:r>
          </w:p>
          <w:p w14:paraId="588BA6E6" w14:textId="77777777" w:rsidR="004B3B82" w:rsidRPr="004C0B2B" w:rsidRDefault="004B3B82" w:rsidP="00CD3B05">
            <w:pPr>
              <w:jc w:val="both"/>
              <w:rPr>
                <w:rFonts w:ascii="Garamond" w:hAnsi="Garamond"/>
                <w:sz w:val="22"/>
                <w:szCs w:val="22"/>
                <w:lang w:eastAsia="en-US"/>
              </w:rPr>
            </w:pPr>
            <w:r w:rsidRPr="004C0B2B">
              <w:rPr>
                <w:rFonts w:ascii="Garamond" w:hAnsi="Garamond"/>
                <w:sz w:val="18"/>
                <w:szCs w:val="18"/>
                <w:lang w:eastAsia="en-US"/>
              </w:rPr>
              <w:t>(</w:t>
            </w:r>
            <w:r w:rsidRPr="004C0B2B">
              <w:rPr>
                <w:rFonts w:ascii="Garamond" w:hAnsi="Garamond"/>
                <w:i/>
                <w:sz w:val="18"/>
                <w:szCs w:val="18"/>
                <w:lang w:eastAsia="en-US"/>
              </w:rPr>
              <w:t>указать реквизиты Акта о соответствии АИИС КУЭ)</w:t>
            </w:r>
            <w:r w:rsidRPr="004C0B2B">
              <w:rPr>
                <w:rFonts w:ascii="Garamond" w:hAnsi="Garamond"/>
                <w:sz w:val="22"/>
                <w:szCs w:val="22"/>
                <w:lang w:eastAsia="en-US"/>
              </w:rPr>
              <w:t xml:space="preserve">                           </w:t>
            </w:r>
          </w:p>
        </w:tc>
      </w:tr>
      <w:tr w:rsidR="004B3B82" w:rsidRPr="004C0B2B" w14:paraId="457949FA" w14:textId="77777777" w:rsidTr="00CD3B05">
        <w:trPr>
          <w:trHeight w:val="340"/>
        </w:trPr>
        <w:tc>
          <w:tcPr>
            <w:tcW w:w="10065" w:type="dxa"/>
            <w:gridSpan w:val="2"/>
            <w:shd w:val="clear" w:color="auto" w:fill="D9D9D9"/>
            <w:vAlign w:val="center"/>
          </w:tcPr>
          <w:p w14:paraId="7B5D4DA9" w14:textId="77777777" w:rsidR="004B3B82" w:rsidRPr="004C0B2B" w:rsidRDefault="004B3B82" w:rsidP="00CD3B05">
            <w:pPr>
              <w:jc w:val="both"/>
              <w:rPr>
                <w:rFonts w:ascii="Garamond" w:hAnsi="Garamond"/>
                <w:sz w:val="22"/>
                <w:szCs w:val="22"/>
                <w:lang w:eastAsia="en-US"/>
              </w:rPr>
            </w:pPr>
            <w:r w:rsidRPr="004C0B2B">
              <w:rPr>
                <w:rFonts w:ascii="Garamond" w:hAnsi="Garamond"/>
                <w:sz w:val="22"/>
                <w:szCs w:val="22"/>
                <w:lang w:eastAsia="en-US"/>
              </w:rPr>
              <w:t>Заявляю о соответствии указанного Акта о соответствии АИИС КУЭ составу точек поставки и точек измерений в соответствующем сечении коммерческого учета.</w:t>
            </w:r>
          </w:p>
        </w:tc>
      </w:tr>
      <w:tr w:rsidR="004B3B82" w:rsidRPr="004C0B2B" w14:paraId="528C59D7" w14:textId="77777777" w:rsidTr="00CD3B05">
        <w:trPr>
          <w:trHeight w:val="340"/>
        </w:trPr>
        <w:tc>
          <w:tcPr>
            <w:tcW w:w="3003" w:type="dxa"/>
            <w:shd w:val="clear" w:color="auto" w:fill="D9D9D9"/>
            <w:vAlign w:val="center"/>
          </w:tcPr>
          <w:p w14:paraId="5917CB51" w14:textId="77777777" w:rsidR="004B3B82" w:rsidRPr="004C0B2B" w:rsidRDefault="004B3B82" w:rsidP="00CD3B05">
            <w:pPr>
              <w:jc w:val="both"/>
              <w:rPr>
                <w:rFonts w:ascii="Garamond" w:hAnsi="Garamond"/>
                <w:sz w:val="22"/>
                <w:szCs w:val="22"/>
              </w:rPr>
            </w:pPr>
            <w:r w:rsidRPr="004C0B2B">
              <w:rPr>
                <w:rFonts w:ascii="Garamond" w:hAnsi="Garamond"/>
                <w:sz w:val="22"/>
                <w:szCs w:val="22"/>
              </w:rPr>
              <w:t xml:space="preserve">Информирую, что </w:t>
            </w:r>
          </w:p>
          <w:p w14:paraId="00DFD7EB" w14:textId="77777777" w:rsidR="004B3B82" w:rsidRPr="004C0B2B" w:rsidRDefault="004B3B82" w:rsidP="00CD3B05">
            <w:pPr>
              <w:rPr>
                <w:rFonts w:ascii="Garamond" w:hAnsi="Garamond"/>
                <w:sz w:val="22"/>
                <w:szCs w:val="22"/>
                <w:lang w:eastAsia="en-US"/>
              </w:rPr>
            </w:pPr>
            <w:r w:rsidRPr="004C0B2B">
              <w:rPr>
                <w:rFonts w:ascii="Garamond" w:hAnsi="Garamond"/>
                <w:i/>
                <w:sz w:val="18"/>
                <w:szCs w:val="18"/>
              </w:rPr>
              <w:t>(необходимо выбрать один из представленных вариантов)</w:t>
            </w:r>
          </w:p>
        </w:tc>
        <w:tc>
          <w:tcPr>
            <w:tcW w:w="7062" w:type="dxa"/>
            <w:shd w:val="clear" w:color="auto" w:fill="auto"/>
            <w:vAlign w:val="center"/>
          </w:tcPr>
          <w:p w14:paraId="266AFEA8" w14:textId="4F37DDF0" w:rsidR="004B3B82" w:rsidRPr="004C0B2B" w:rsidRDefault="004B3B82" w:rsidP="00101F7C">
            <w:pPr>
              <w:numPr>
                <w:ilvl w:val="0"/>
                <w:numId w:val="113"/>
              </w:numPr>
              <w:suppressAutoHyphens w:val="0"/>
              <w:autoSpaceDE w:val="0"/>
              <w:autoSpaceDN w:val="0"/>
              <w:rPr>
                <w:rFonts w:ascii="Garamond" w:hAnsi="Garamond"/>
                <w:sz w:val="22"/>
                <w:szCs w:val="22"/>
                <w:lang w:eastAsia="en-US"/>
              </w:rPr>
            </w:pPr>
            <w:r w:rsidRPr="004C0B2B">
              <w:rPr>
                <w:rFonts w:ascii="Garamond" w:hAnsi="Garamond"/>
                <w:b/>
                <w:sz w:val="22"/>
                <w:szCs w:val="22"/>
                <w:lang w:eastAsia="en-US"/>
              </w:rPr>
              <w:t>не использую</w:t>
            </w:r>
            <w:r w:rsidRPr="004C0B2B">
              <w:rPr>
                <w:rFonts w:ascii="Garamond" w:hAnsi="Garamond"/>
                <w:sz w:val="22"/>
                <w:szCs w:val="22"/>
                <w:lang w:eastAsia="en-US"/>
              </w:rPr>
              <w:t xml:space="preserve"> компоненты</w:t>
            </w:r>
            <w:r w:rsidR="005951D1" w:rsidRPr="005951D1">
              <w:rPr>
                <w:rFonts w:ascii="Garamond" w:hAnsi="Garamond"/>
                <w:sz w:val="22"/>
                <w:szCs w:val="22"/>
                <w:highlight w:val="yellow"/>
                <w:lang w:eastAsia="en-US"/>
              </w:rPr>
              <w:t>,</w:t>
            </w:r>
            <w:r w:rsidRPr="004C0B2B">
              <w:rPr>
                <w:rFonts w:ascii="Garamond" w:hAnsi="Garamond"/>
                <w:sz w:val="22"/>
                <w:szCs w:val="22"/>
                <w:lang w:eastAsia="en-US"/>
              </w:rPr>
              <w:t xml:space="preserve"> и (или) АИИС КУЭ</w:t>
            </w:r>
            <w:r w:rsidR="005951D1" w:rsidRPr="005951D1">
              <w:rPr>
                <w:rFonts w:ascii="Garamond" w:hAnsi="Garamond"/>
                <w:sz w:val="22"/>
                <w:szCs w:val="22"/>
                <w:highlight w:val="yellow"/>
                <w:lang w:eastAsia="en-US"/>
              </w:rPr>
              <w:t>,</w:t>
            </w:r>
            <w:r w:rsidRPr="005951D1">
              <w:rPr>
                <w:rFonts w:ascii="Garamond" w:hAnsi="Garamond"/>
                <w:sz w:val="22"/>
                <w:szCs w:val="22"/>
                <w:highlight w:val="yellow"/>
                <w:lang w:eastAsia="en-US"/>
              </w:rPr>
              <w:t xml:space="preserve"> и</w:t>
            </w:r>
            <w:r w:rsidRPr="00D14D87">
              <w:rPr>
                <w:rFonts w:ascii="Garamond" w:hAnsi="Garamond"/>
                <w:sz w:val="22"/>
                <w:szCs w:val="22"/>
                <w:highlight w:val="yellow"/>
                <w:lang w:eastAsia="en-US"/>
              </w:rPr>
              <w:t xml:space="preserve"> (или) </w:t>
            </w:r>
            <w:r>
              <w:rPr>
                <w:rFonts w:ascii="Garamond" w:hAnsi="Garamond"/>
                <w:sz w:val="22"/>
                <w:szCs w:val="22"/>
                <w:highlight w:val="yellow"/>
                <w:lang w:eastAsia="en-US"/>
              </w:rPr>
              <w:t>документы</w:t>
            </w:r>
            <w:r w:rsidRPr="00D14D87">
              <w:rPr>
                <w:rFonts w:ascii="Garamond" w:hAnsi="Garamond"/>
                <w:sz w:val="22"/>
                <w:szCs w:val="22"/>
                <w:highlight w:val="yellow"/>
                <w:lang w:eastAsia="en-US"/>
              </w:rPr>
              <w:t xml:space="preserve"> в отношении АИИС КУЭ</w:t>
            </w:r>
            <w:r w:rsidRPr="004C0B2B">
              <w:rPr>
                <w:rFonts w:ascii="Garamond" w:hAnsi="Garamond"/>
                <w:sz w:val="22"/>
                <w:szCs w:val="22"/>
                <w:lang w:eastAsia="en-US"/>
              </w:rPr>
              <w:t>, принадлежащие третьим лицам;</w:t>
            </w:r>
          </w:p>
          <w:p w14:paraId="71B833EB" w14:textId="229F7459" w:rsidR="004B3B82" w:rsidRPr="004C0B2B" w:rsidRDefault="004B3B82" w:rsidP="00101F7C">
            <w:pPr>
              <w:numPr>
                <w:ilvl w:val="0"/>
                <w:numId w:val="113"/>
              </w:numPr>
              <w:suppressAutoHyphens w:val="0"/>
              <w:autoSpaceDE w:val="0"/>
              <w:autoSpaceDN w:val="0"/>
              <w:rPr>
                <w:rFonts w:ascii="Garamond" w:hAnsi="Garamond"/>
                <w:sz w:val="22"/>
                <w:szCs w:val="22"/>
                <w:lang w:eastAsia="en-US"/>
              </w:rPr>
            </w:pPr>
            <w:r w:rsidRPr="004C0B2B">
              <w:rPr>
                <w:rFonts w:ascii="Garamond" w:hAnsi="Garamond"/>
                <w:b/>
                <w:sz w:val="22"/>
                <w:szCs w:val="22"/>
                <w:lang w:eastAsia="en-US"/>
              </w:rPr>
              <w:t>использую</w:t>
            </w:r>
            <w:r w:rsidRPr="004C0B2B">
              <w:rPr>
                <w:rFonts w:ascii="Garamond" w:hAnsi="Garamond"/>
                <w:sz w:val="22"/>
                <w:szCs w:val="22"/>
                <w:lang w:eastAsia="en-US"/>
              </w:rPr>
              <w:t xml:space="preserve"> компоненты</w:t>
            </w:r>
            <w:r w:rsidR="005951D1" w:rsidRPr="005951D1">
              <w:rPr>
                <w:rFonts w:ascii="Garamond" w:hAnsi="Garamond"/>
                <w:sz w:val="22"/>
                <w:szCs w:val="22"/>
                <w:highlight w:val="yellow"/>
                <w:lang w:eastAsia="en-US"/>
              </w:rPr>
              <w:t>,</w:t>
            </w:r>
            <w:r w:rsidRPr="004C0B2B">
              <w:rPr>
                <w:rFonts w:ascii="Garamond" w:hAnsi="Garamond"/>
                <w:sz w:val="22"/>
                <w:szCs w:val="22"/>
                <w:lang w:eastAsia="en-US"/>
              </w:rPr>
              <w:t xml:space="preserve"> и (или) АИИС КУЭ</w:t>
            </w:r>
            <w:r w:rsidR="005951D1" w:rsidRPr="005951D1">
              <w:rPr>
                <w:rFonts w:ascii="Garamond" w:hAnsi="Garamond"/>
                <w:sz w:val="22"/>
                <w:szCs w:val="22"/>
                <w:highlight w:val="yellow"/>
                <w:lang w:eastAsia="en-US"/>
              </w:rPr>
              <w:t>,</w:t>
            </w:r>
            <w:r w:rsidRPr="005951D1">
              <w:rPr>
                <w:rFonts w:ascii="Garamond" w:hAnsi="Garamond"/>
                <w:sz w:val="22"/>
                <w:szCs w:val="22"/>
                <w:highlight w:val="yellow"/>
                <w:lang w:eastAsia="en-US"/>
              </w:rPr>
              <w:t xml:space="preserve"> и</w:t>
            </w:r>
            <w:r w:rsidRPr="00D14D87">
              <w:rPr>
                <w:rFonts w:ascii="Garamond" w:hAnsi="Garamond"/>
                <w:sz w:val="22"/>
                <w:szCs w:val="22"/>
                <w:highlight w:val="yellow"/>
                <w:lang w:eastAsia="en-US"/>
              </w:rPr>
              <w:t xml:space="preserve"> (или) </w:t>
            </w:r>
            <w:r>
              <w:rPr>
                <w:rFonts w:ascii="Garamond" w:hAnsi="Garamond"/>
                <w:sz w:val="22"/>
                <w:szCs w:val="22"/>
                <w:highlight w:val="yellow"/>
                <w:lang w:eastAsia="en-US"/>
              </w:rPr>
              <w:t>документы в отношении АИИС КУЭ</w:t>
            </w:r>
            <w:r w:rsidRPr="004C0B2B">
              <w:rPr>
                <w:rFonts w:ascii="Garamond" w:hAnsi="Garamond"/>
                <w:sz w:val="22"/>
                <w:szCs w:val="22"/>
                <w:lang w:eastAsia="en-US"/>
              </w:rPr>
              <w:t xml:space="preserve">, принадлежащие третьим лицам </w:t>
            </w:r>
          </w:p>
          <w:p w14:paraId="42ACAF40" w14:textId="77777777" w:rsidR="004B3B82" w:rsidRPr="004C0B2B" w:rsidRDefault="004B3B82" w:rsidP="00CD3B05">
            <w:pPr>
              <w:autoSpaceDE w:val="0"/>
              <w:autoSpaceDN w:val="0"/>
              <w:rPr>
                <w:rFonts w:ascii="Garamond" w:hAnsi="Garamond"/>
                <w:sz w:val="22"/>
                <w:szCs w:val="22"/>
                <w:u w:val="single"/>
                <w:lang w:eastAsia="en-US"/>
              </w:rPr>
            </w:pPr>
            <w:r w:rsidRPr="004C0B2B">
              <w:rPr>
                <w:rFonts w:ascii="Garamond" w:hAnsi="Garamond"/>
                <w:b/>
                <w:sz w:val="22"/>
                <w:szCs w:val="22"/>
                <w:u w:val="single"/>
                <w:lang w:eastAsia="en-US"/>
              </w:rPr>
              <w:t xml:space="preserve">                                                                                                                           </w:t>
            </w:r>
            <w:r w:rsidRPr="004C0B2B">
              <w:rPr>
                <w:rFonts w:ascii="Garamond" w:hAnsi="Garamond"/>
                <w:sz w:val="22"/>
                <w:szCs w:val="22"/>
                <w:u w:val="single"/>
                <w:lang w:eastAsia="en-US"/>
              </w:rPr>
              <w:t>,</w:t>
            </w:r>
          </w:p>
          <w:p w14:paraId="75CC09A1" w14:textId="77777777" w:rsidR="004B3B82" w:rsidRPr="004C0B2B" w:rsidRDefault="004B3B82" w:rsidP="00CD3B05">
            <w:pPr>
              <w:autoSpaceDE w:val="0"/>
              <w:autoSpaceDN w:val="0"/>
              <w:rPr>
                <w:rFonts w:ascii="Garamond" w:hAnsi="Garamond"/>
                <w:i/>
                <w:sz w:val="18"/>
                <w:szCs w:val="18"/>
                <w:lang w:eastAsia="en-US"/>
              </w:rPr>
            </w:pPr>
            <w:r w:rsidRPr="004C0B2B">
              <w:rPr>
                <w:rFonts w:ascii="Garamond" w:hAnsi="Garamond"/>
                <w:i/>
                <w:sz w:val="18"/>
                <w:szCs w:val="18"/>
                <w:lang w:eastAsia="en-US"/>
              </w:rPr>
              <w:t>(полное наименование организации (-ий) с указанием организационно-правовой формы)</w:t>
            </w:r>
          </w:p>
          <w:p w14:paraId="2F9A6E75" w14:textId="74055168" w:rsidR="004B3B82" w:rsidRPr="004C0B2B" w:rsidRDefault="004B3B82" w:rsidP="006E6A56">
            <w:pPr>
              <w:autoSpaceDE w:val="0"/>
              <w:autoSpaceDN w:val="0"/>
              <w:rPr>
                <w:rFonts w:ascii="Garamond" w:hAnsi="Garamond"/>
                <w:sz w:val="22"/>
                <w:szCs w:val="22"/>
                <w:lang w:eastAsia="en-US"/>
              </w:rPr>
            </w:pPr>
            <w:r w:rsidRPr="004C0B2B">
              <w:rPr>
                <w:rFonts w:ascii="Garamond" w:hAnsi="Garamond"/>
                <w:sz w:val="22"/>
                <w:szCs w:val="22"/>
                <w:lang w:eastAsia="en-US"/>
              </w:rPr>
              <w:t>а также подтверждаю, что отношения по использованию данных компонентов</w:t>
            </w:r>
            <w:r w:rsidR="005951D1" w:rsidRPr="005951D1">
              <w:rPr>
                <w:rFonts w:ascii="Garamond" w:hAnsi="Garamond"/>
                <w:sz w:val="22"/>
                <w:szCs w:val="22"/>
                <w:highlight w:val="yellow"/>
                <w:lang w:eastAsia="en-US"/>
              </w:rPr>
              <w:t>,</w:t>
            </w:r>
            <w:r w:rsidRPr="004C0B2B">
              <w:rPr>
                <w:rFonts w:ascii="Garamond" w:hAnsi="Garamond"/>
                <w:sz w:val="22"/>
                <w:szCs w:val="22"/>
                <w:lang w:eastAsia="en-US"/>
              </w:rPr>
              <w:t xml:space="preserve"> и (или) АИИС КУЭ</w:t>
            </w:r>
            <w:r w:rsidR="005951D1" w:rsidRPr="005951D1">
              <w:rPr>
                <w:rFonts w:ascii="Garamond" w:hAnsi="Garamond"/>
                <w:sz w:val="22"/>
                <w:szCs w:val="22"/>
                <w:highlight w:val="yellow"/>
                <w:lang w:eastAsia="en-US"/>
              </w:rPr>
              <w:t>,</w:t>
            </w:r>
            <w:r w:rsidRPr="005951D1">
              <w:rPr>
                <w:rFonts w:ascii="Garamond" w:hAnsi="Garamond"/>
                <w:sz w:val="22"/>
                <w:szCs w:val="22"/>
                <w:highlight w:val="yellow"/>
                <w:lang w:eastAsia="en-US"/>
              </w:rPr>
              <w:t xml:space="preserve"> и</w:t>
            </w:r>
            <w:r w:rsidRPr="00D14D87">
              <w:rPr>
                <w:rFonts w:ascii="Garamond" w:hAnsi="Garamond"/>
                <w:sz w:val="22"/>
                <w:szCs w:val="22"/>
                <w:highlight w:val="yellow"/>
                <w:lang w:eastAsia="en-US"/>
              </w:rPr>
              <w:t xml:space="preserve"> (или) </w:t>
            </w:r>
            <w:r>
              <w:rPr>
                <w:rFonts w:ascii="Garamond" w:hAnsi="Garamond"/>
                <w:sz w:val="22"/>
                <w:szCs w:val="22"/>
                <w:highlight w:val="yellow"/>
                <w:lang w:eastAsia="en-US"/>
              </w:rPr>
              <w:t>документов</w:t>
            </w:r>
            <w:r w:rsidRPr="00D14D87">
              <w:rPr>
                <w:rFonts w:ascii="Garamond" w:hAnsi="Garamond"/>
                <w:sz w:val="22"/>
                <w:szCs w:val="22"/>
                <w:highlight w:val="yellow"/>
                <w:lang w:eastAsia="en-US"/>
              </w:rPr>
              <w:t xml:space="preserve"> в отношении АИ</w:t>
            </w:r>
            <w:r>
              <w:rPr>
                <w:rFonts w:ascii="Garamond" w:hAnsi="Garamond"/>
                <w:sz w:val="22"/>
                <w:szCs w:val="22"/>
                <w:highlight w:val="yellow"/>
                <w:lang w:eastAsia="en-US"/>
              </w:rPr>
              <w:t>ИС КУЭ</w:t>
            </w:r>
            <w:r w:rsidRPr="004C0B2B">
              <w:rPr>
                <w:rFonts w:ascii="Garamond" w:hAnsi="Garamond"/>
                <w:sz w:val="22"/>
                <w:szCs w:val="22"/>
                <w:lang w:eastAsia="en-US"/>
              </w:rPr>
              <w:t xml:space="preserve"> урегулированы с указанными третьими лицами надлежащим образом.</w:t>
            </w:r>
          </w:p>
        </w:tc>
      </w:tr>
    </w:tbl>
    <w:p w14:paraId="6D5F770D" w14:textId="77777777" w:rsidR="004B3B82" w:rsidRPr="004C0B2B" w:rsidRDefault="004B3B82" w:rsidP="00101F7C">
      <w:pPr>
        <w:autoSpaceDE w:val="0"/>
        <w:autoSpaceDN w:val="0"/>
        <w:ind w:left="720" w:hanging="720"/>
        <w:jc w:val="both"/>
        <w:rPr>
          <w:rFonts w:ascii="Garamond" w:hAnsi="Garamond"/>
          <w:sz w:val="22"/>
          <w:szCs w:val="22"/>
        </w:rPr>
      </w:pPr>
    </w:p>
    <w:p w14:paraId="026727C9" w14:textId="77777777" w:rsidR="004B3B82" w:rsidRPr="004C0B2B" w:rsidRDefault="004B3B82" w:rsidP="00101F7C">
      <w:pPr>
        <w:autoSpaceDE w:val="0"/>
        <w:autoSpaceDN w:val="0"/>
        <w:spacing w:after="220"/>
        <w:jc w:val="both"/>
        <w:rPr>
          <w:rFonts w:ascii="Garamond" w:hAnsi="Garamond"/>
          <w:sz w:val="22"/>
          <w:szCs w:val="22"/>
          <w:lang w:eastAsia="en-US"/>
        </w:rPr>
      </w:pPr>
      <w:r w:rsidRPr="004C0B2B">
        <w:rPr>
          <w:rFonts w:ascii="Garamond" w:hAnsi="Garamond"/>
          <w:sz w:val="22"/>
          <w:szCs w:val="22"/>
        </w:rPr>
        <w:t xml:space="preserve">Подтверждаю, что измерения электрической энергии (мощности) по точкам поставки, в отношении которых допускается использовать средства измерений, не включенные в АИИС КУЭ, выполняются с применением средств измерений утвержденного типа, прошедших поверку в соответствии с требованиями Федерального закона от 26.06.2008 г. № 102-ФЗ «Об обеспечении единства измерений» к измерениям, относящимся к сфере государственного регулирования обеспечения единства измерений </w:t>
      </w:r>
      <w:r w:rsidRPr="004C0B2B">
        <w:rPr>
          <w:rFonts w:ascii="Garamond" w:hAnsi="Garamond"/>
          <w:sz w:val="18"/>
          <w:szCs w:val="18"/>
        </w:rPr>
        <w:t>(</w:t>
      </w:r>
      <w:r w:rsidRPr="004C0B2B">
        <w:rPr>
          <w:rFonts w:ascii="Garamond" w:hAnsi="Garamond"/>
          <w:i/>
          <w:sz w:val="18"/>
          <w:szCs w:val="18"/>
        </w:rPr>
        <w:t>указывается при наличии средств измерений, не включенных в АИИС КУЭ</w:t>
      </w:r>
      <w:r w:rsidRPr="004C0B2B">
        <w:rPr>
          <w:rFonts w:ascii="Garamond" w:hAnsi="Garamond"/>
          <w:sz w:val="18"/>
          <w:szCs w:val="18"/>
        </w:rPr>
        <w:t>)</w:t>
      </w:r>
      <w:r w:rsidRPr="004C0B2B">
        <w:rPr>
          <w:rFonts w:ascii="Garamond" w:hAnsi="Garamond"/>
          <w:sz w:val="22"/>
          <w:szCs w:val="22"/>
        </w:rPr>
        <w:t>.</w:t>
      </w:r>
    </w:p>
    <w:p w14:paraId="4A6DF973" w14:textId="77777777" w:rsidR="004B3B82" w:rsidRPr="004C0B2B" w:rsidRDefault="004B3B82" w:rsidP="00101F7C">
      <w:pPr>
        <w:autoSpaceDE w:val="0"/>
        <w:autoSpaceDN w:val="0"/>
        <w:jc w:val="both"/>
        <w:rPr>
          <w:rFonts w:ascii="Garamond" w:hAnsi="Garamond"/>
          <w:bCs/>
          <w:i/>
          <w:sz w:val="22"/>
          <w:szCs w:val="22"/>
        </w:rPr>
      </w:pPr>
      <w:r w:rsidRPr="004C0B2B">
        <w:rPr>
          <w:rFonts w:ascii="Garamond" w:hAnsi="Garamond"/>
          <w:bCs/>
          <w:sz w:val="22"/>
          <w:szCs w:val="22"/>
        </w:rPr>
        <w:t>В случае если при установлении соответствия АИИС КУЭ КО будет выявлена неактуальность регистрационной информации в части несоответствия указанных в опросных листах (макет 90000) и в ПСИ типов (модификаций) приборов учета / признака включения в АИИС КУЭ, необходимо выполнить действия для регистрации в КО в течение 60 календарных дней с даты направления КО письма о вышеуказанном несоответствии актуализированного ПСИ, оформленного в соответствии с требованиями регламентов оптового рынка</w:t>
      </w:r>
      <w:r w:rsidRPr="004C0B2B">
        <w:rPr>
          <w:rFonts w:ascii="Garamond" w:hAnsi="Garamond"/>
          <w:bCs/>
          <w:i/>
          <w:sz w:val="18"/>
          <w:szCs w:val="18"/>
        </w:rPr>
        <w:t xml:space="preserve"> (указывается для действующего состава точек поставки и точек измерений).</w:t>
      </w:r>
    </w:p>
    <w:p w14:paraId="780789CB" w14:textId="77777777" w:rsidR="004B3B82" w:rsidRPr="004C0B2B" w:rsidRDefault="004B3B82" w:rsidP="00101F7C">
      <w:pPr>
        <w:jc w:val="both"/>
        <w:rPr>
          <w:rFonts w:ascii="Garamond" w:hAnsi="Garamond"/>
          <w:sz w:val="22"/>
          <w:szCs w:val="22"/>
          <w:lang w:eastAsia="en-US"/>
        </w:rPr>
      </w:pPr>
    </w:p>
    <w:p w14:paraId="543E197F" w14:textId="77777777" w:rsidR="004B3B82" w:rsidRPr="004C0B2B" w:rsidRDefault="004B3B82" w:rsidP="00101F7C">
      <w:pPr>
        <w:jc w:val="both"/>
        <w:rPr>
          <w:rFonts w:ascii="Garamond" w:hAnsi="Garamond"/>
          <w:sz w:val="22"/>
          <w:szCs w:val="22"/>
          <w:lang w:eastAsia="en-US"/>
        </w:rPr>
      </w:pPr>
    </w:p>
    <w:tbl>
      <w:tblPr>
        <w:tblW w:w="10003" w:type="dxa"/>
        <w:tblLook w:val="04A0" w:firstRow="1" w:lastRow="0" w:firstColumn="1" w:lastColumn="0" w:noHBand="0" w:noVBand="1"/>
      </w:tblPr>
      <w:tblGrid>
        <w:gridCol w:w="3224"/>
        <w:gridCol w:w="3556"/>
        <w:gridCol w:w="3223"/>
      </w:tblGrid>
      <w:tr w:rsidR="004B3B82" w:rsidRPr="004C0B2B" w14:paraId="38A317BD" w14:textId="77777777" w:rsidTr="00CD3B05">
        <w:trPr>
          <w:trHeight w:val="243"/>
        </w:trPr>
        <w:tc>
          <w:tcPr>
            <w:tcW w:w="3224" w:type="dxa"/>
            <w:tcBorders>
              <w:top w:val="single" w:sz="4" w:space="0" w:color="auto"/>
            </w:tcBorders>
            <w:shd w:val="clear" w:color="auto" w:fill="auto"/>
            <w:vAlign w:val="center"/>
          </w:tcPr>
          <w:p w14:paraId="6D64F493" w14:textId="77777777" w:rsidR="004B3B82" w:rsidRPr="004C0B2B" w:rsidRDefault="004B3B82" w:rsidP="00CD3B05">
            <w:pPr>
              <w:jc w:val="center"/>
              <w:rPr>
                <w:rFonts w:ascii="Garamond" w:hAnsi="Garamond"/>
                <w:i/>
                <w:sz w:val="22"/>
                <w:szCs w:val="22"/>
                <w:lang w:eastAsia="en-US"/>
              </w:rPr>
            </w:pPr>
            <w:r w:rsidRPr="004C0B2B">
              <w:rPr>
                <w:rFonts w:ascii="Garamond" w:hAnsi="Garamond"/>
                <w:i/>
                <w:sz w:val="18"/>
                <w:szCs w:val="18"/>
                <w:lang w:eastAsia="en-US"/>
              </w:rPr>
              <w:t>(должность руководителя)</w:t>
            </w:r>
          </w:p>
        </w:tc>
        <w:tc>
          <w:tcPr>
            <w:tcW w:w="3556" w:type="dxa"/>
            <w:shd w:val="clear" w:color="auto" w:fill="auto"/>
            <w:vAlign w:val="center"/>
          </w:tcPr>
          <w:p w14:paraId="5507AAA1" w14:textId="77777777" w:rsidR="004B3B82" w:rsidRPr="004C0B2B" w:rsidRDefault="004B3B82" w:rsidP="00CD3B05">
            <w:pPr>
              <w:jc w:val="center"/>
              <w:rPr>
                <w:rFonts w:ascii="Garamond" w:hAnsi="Garamond"/>
                <w:i/>
                <w:sz w:val="22"/>
                <w:szCs w:val="22"/>
                <w:lang w:eastAsia="en-US"/>
              </w:rPr>
            </w:pPr>
          </w:p>
        </w:tc>
        <w:tc>
          <w:tcPr>
            <w:tcW w:w="3223" w:type="dxa"/>
            <w:tcBorders>
              <w:top w:val="single" w:sz="4" w:space="0" w:color="auto"/>
            </w:tcBorders>
            <w:shd w:val="clear" w:color="auto" w:fill="auto"/>
            <w:vAlign w:val="center"/>
          </w:tcPr>
          <w:p w14:paraId="2229CCD0" w14:textId="77777777" w:rsidR="004B3B82" w:rsidRPr="004C0B2B" w:rsidRDefault="004B3B82" w:rsidP="00CD3B05">
            <w:pPr>
              <w:jc w:val="center"/>
              <w:rPr>
                <w:rFonts w:ascii="Garamond" w:hAnsi="Garamond"/>
                <w:i/>
                <w:sz w:val="22"/>
                <w:szCs w:val="22"/>
                <w:lang w:eastAsia="en-US"/>
              </w:rPr>
            </w:pPr>
            <w:r w:rsidRPr="004C0B2B">
              <w:rPr>
                <w:rFonts w:ascii="Garamond" w:hAnsi="Garamond"/>
                <w:i/>
                <w:sz w:val="18"/>
                <w:szCs w:val="18"/>
                <w:lang w:eastAsia="en-US"/>
              </w:rPr>
              <w:t>(Ф. И. О.)</w:t>
            </w:r>
          </w:p>
        </w:tc>
      </w:tr>
    </w:tbl>
    <w:p w14:paraId="3C386C22" w14:textId="77777777" w:rsidR="006E6A56" w:rsidRDefault="006E6A56" w:rsidP="00101F7C">
      <w:pPr>
        <w:autoSpaceDE w:val="0"/>
        <w:autoSpaceDN w:val="0"/>
        <w:jc w:val="both"/>
        <w:rPr>
          <w:rFonts w:ascii="Garamond" w:hAnsi="Garamond"/>
          <w:b/>
          <w:bCs/>
          <w:lang w:eastAsia="en-US"/>
        </w:rPr>
      </w:pPr>
    </w:p>
    <w:p w14:paraId="63D26EC5" w14:textId="4F02DF2C" w:rsidR="004B3B82" w:rsidRPr="004C0B2B" w:rsidRDefault="004B3B82" w:rsidP="00101F7C">
      <w:pPr>
        <w:autoSpaceDE w:val="0"/>
        <w:autoSpaceDN w:val="0"/>
        <w:jc w:val="both"/>
        <w:rPr>
          <w:rFonts w:ascii="Garamond" w:hAnsi="Garamond"/>
          <w:b/>
          <w:bCs/>
          <w:lang w:eastAsia="en-US"/>
        </w:rPr>
      </w:pPr>
      <w:r w:rsidRPr="004C0B2B">
        <w:rPr>
          <w:rFonts w:ascii="Garamond" w:hAnsi="Garamond"/>
          <w:b/>
          <w:bCs/>
          <w:lang w:eastAsia="en-US"/>
        </w:rPr>
        <w:t>Примечания.</w:t>
      </w:r>
    </w:p>
    <w:p w14:paraId="1AF075DA" w14:textId="77777777" w:rsidR="004B3B82" w:rsidRPr="004C0B2B" w:rsidRDefault="004B3B82" w:rsidP="004B3B82">
      <w:pPr>
        <w:pStyle w:val="ac"/>
        <w:numPr>
          <w:ilvl w:val="0"/>
          <w:numId w:val="127"/>
        </w:numPr>
        <w:spacing w:before="160" w:after="160" w:line="259" w:lineRule="auto"/>
        <w:ind w:left="284"/>
        <w:jc w:val="both"/>
        <w:rPr>
          <w:rFonts w:ascii="Garamond" w:hAnsi="Garamond"/>
        </w:rPr>
      </w:pPr>
      <w:r w:rsidRPr="004C0B2B">
        <w:rPr>
          <w:rFonts w:ascii="Garamond" w:hAnsi="Garamond"/>
        </w:rPr>
        <w:t>Указать наименование и буквенный код сечения коммерческого учета или ГТП генерации, например:</w:t>
      </w:r>
    </w:p>
    <w:p w14:paraId="15E5F075" w14:textId="77777777" w:rsidR="004B3B82" w:rsidRPr="004C0B2B" w:rsidRDefault="004B3B82" w:rsidP="00101F7C">
      <w:pPr>
        <w:pStyle w:val="ac"/>
        <w:ind w:left="284"/>
        <w:jc w:val="both"/>
        <w:rPr>
          <w:rFonts w:ascii="Garamond" w:hAnsi="Garamond"/>
        </w:rPr>
      </w:pPr>
      <w:r w:rsidRPr="004C0B2B">
        <w:rPr>
          <w:rFonts w:ascii="Garamond" w:hAnsi="Garamond"/>
        </w:rPr>
        <w:t>ЗАО «СбыТ» (ОАО «Уралсталь») – ОАО «Энергосбыт Север» (ОАО «Северскэнергосбыт») (P</w:t>
      </w:r>
      <w:r w:rsidRPr="004C0B2B">
        <w:rPr>
          <w:rFonts w:ascii="Garamond" w:hAnsi="Garamond"/>
          <w:lang w:val="en-US"/>
        </w:rPr>
        <w:t>SFIEN</w:t>
      </w:r>
      <w:r w:rsidRPr="004C0B2B">
        <w:rPr>
          <w:rFonts w:ascii="Garamond" w:hAnsi="Garamond"/>
        </w:rPr>
        <w:t>27-PS</w:t>
      </w:r>
      <w:r w:rsidRPr="004C0B2B">
        <w:rPr>
          <w:rFonts w:ascii="Garamond" w:hAnsi="Garamond"/>
          <w:lang w:val="en-US"/>
        </w:rPr>
        <w:t>S</w:t>
      </w:r>
      <w:r w:rsidRPr="004C0B2B">
        <w:rPr>
          <w:rFonts w:ascii="Garamond" w:hAnsi="Garamond"/>
        </w:rPr>
        <w:t>ERDLE);</w:t>
      </w:r>
    </w:p>
    <w:p w14:paraId="31467E30" w14:textId="1FE2D4F1" w:rsidR="004B3B82" w:rsidRPr="004C0B2B" w:rsidRDefault="004B3B82" w:rsidP="00101F7C">
      <w:pPr>
        <w:pStyle w:val="ac"/>
        <w:ind w:left="284"/>
        <w:jc w:val="both"/>
        <w:rPr>
          <w:rFonts w:ascii="Garamond" w:hAnsi="Garamond"/>
        </w:rPr>
      </w:pPr>
      <w:r w:rsidRPr="004C0B2B">
        <w:rPr>
          <w:rFonts w:ascii="Garamond" w:hAnsi="Garamond"/>
        </w:rPr>
        <w:t>ПАО «</w:t>
      </w:r>
      <w:r w:rsidRPr="004C0B2B">
        <w:rPr>
          <w:rFonts w:ascii="Garamond" w:hAnsi="Garamond"/>
          <w:lang w:eastAsia="en-US"/>
        </w:rPr>
        <w:t>Россети</w:t>
      </w:r>
      <w:r w:rsidRPr="004C0B2B">
        <w:rPr>
          <w:rFonts w:ascii="Garamond" w:hAnsi="Garamond"/>
        </w:rPr>
        <w:t xml:space="preserve">» (МЭС Северо-Запада (по сетям Республики Коми)) – ОАО «Энергосбыт Север»                                               (ОАО </w:t>
      </w:r>
      <w:r w:rsidR="009B5F03">
        <w:rPr>
          <w:rFonts w:ascii="Garamond" w:hAnsi="Garamond"/>
        </w:rPr>
        <w:t>«Северскэнергосбыт») (FKOMIENE-</w:t>
      </w:r>
      <w:r w:rsidRPr="004C0B2B">
        <w:rPr>
          <w:rFonts w:ascii="Garamond" w:hAnsi="Garamond"/>
        </w:rPr>
        <w:t>PS</w:t>
      </w:r>
      <w:r w:rsidRPr="004C0B2B">
        <w:rPr>
          <w:rFonts w:ascii="Garamond" w:hAnsi="Garamond"/>
          <w:lang w:val="en-US"/>
        </w:rPr>
        <w:t>S</w:t>
      </w:r>
      <w:r w:rsidRPr="004C0B2B">
        <w:rPr>
          <w:rFonts w:ascii="Garamond" w:hAnsi="Garamond"/>
        </w:rPr>
        <w:t>ERDLE);</w:t>
      </w:r>
    </w:p>
    <w:p w14:paraId="7863CE6D" w14:textId="77777777" w:rsidR="004B3B82" w:rsidRPr="004C0B2B" w:rsidRDefault="004B3B82" w:rsidP="00101F7C">
      <w:pPr>
        <w:pStyle w:val="ac"/>
        <w:ind w:left="284"/>
        <w:jc w:val="both"/>
        <w:rPr>
          <w:rFonts w:ascii="Garamond" w:hAnsi="Garamond"/>
        </w:rPr>
      </w:pPr>
      <w:r w:rsidRPr="004C0B2B">
        <w:rPr>
          <w:rFonts w:ascii="Garamond" w:hAnsi="Garamond"/>
        </w:rPr>
        <w:t>АО «Генерация» (Первая ТЭЦ) (</w:t>
      </w:r>
      <w:r w:rsidRPr="004C0B2B">
        <w:rPr>
          <w:rFonts w:ascii="Garamond" w:hAnsi="Garamond"/>
          <w:lang w:val="en-US"/>
        </w:rPr>
        <w:t>GOMSKE</w:t>
      </w:r>
      <w:r w:rsidRPr="004C0B2B">
        <w:rPr>
          <w:rFonts w:ascii="Garamond" w:hAnsi="Garamond"/>
        </w:rPr>
        <w:t>17).</w:t>
      </w:r>
    </w:p>
    <w:p w14:paraId="27F32762" w14:textId="77777777" w:rsidR="004B3B82" w:rsidRPr="004C0B2B" w:rsidRDefault="004B3B82" w:rsidP="004B3B82">
      <w:pPr>
        <w:pStyle w:val="ac"/>
        <w:numPr>
          <w:ilvl w:val="0"/>
          <w:numId w:val="127"/>
        </w:numPr>
        <w:spacing w:before="160" w:after="160" w:line="259" w:lineRule="auto"/>
        <w:ind w:left="284"/>
        <w:jc w:val="both"/>
        <w:rPr>
          <w:rFonts w:ascii="Garamond" w:hAnsi="Garamond"/>
        </w:rPr>
      </w:pPr>
      <w:r w:rsidRPr="004C0B2B">
        <w:rPr>
          <w:rFonts w:ascii="Garamond" w:hAnsi="Garamond"/>
        </w:rPr>
        <w:t>В качестве основания указывается:</w:t>
      </w:r>
    </w:p>
    <w:p w14:paraId="363A90C7" w14:textId="77777777" w:rsidR="004B3B82" w:rsidRPr="004C0B2B" w:rsidRDefault="004B3B82" w:rsidP="004B3B82">
      <w:pPr>
        <w:pStyle w:val="ac"/>
        <w:numPr>
          <w:ilvl w:val="1"/>
          <w:numId w:val="128"/>
        </w:numPr>
        <w:autoSpaceDE w:val="0"/>
        <w:autoSpaceDN w:val="0"/>
        <w:spacing w:after="160" w:line="259" w:lineRule="auto"/>
        <w:ind w:left="709" w:hanging="425"/>
        <w:jc w:val="both"/>
        <w:rPr>
          <w:rFonts w:ascii="Garamond" w:hAnsi="Garamond"/>
        </w:rPr>
      </w:pPr>
      <w:r w:rsidRPr="004C0B2B">
        <w:rPr>
          <w:rFonts w:ascii="Garamond" w:hAnsi="Garamond"/>
        </w:rPr>
        <w:t>Новое сечение КУ / ГТП генерации (cостав ТП и ТИ подтвержден ПСИ № ___ от ______) (указывается для сечения КУ / ГТП генерации, по которому (-ой) дата вступления в силу принятого решения о предоставлении права участия в торговле электрической энергий и (или) мощностью на ОРЭМ не наступила на дату регистрации КО заявления по форме 3).</w:t>
      </w:r>
    </w:p>
    <w:p w14:paraId="7FD0E247" w14:textId="77777777" w:rsidR="004B3B82" w:rsidRPr="004C0B2B" w:rsidRDefault="004B3B82" w:rsidP="004B3B82">
      <w:pPr>
        <w:pStyle w:val="ac"/>
        <w:numPr>
          <w:ilvl w:val="1"/>
          <w:numId w:val="128"/>
        </w:numPr>
        <w:autoSpaceDE w:val="0"/>
        <w:autoSpaceDN w:val="0"/>
        <w:spacing w:after="160" w:line="259" w:lineRule="auto"/>
        <w:ind w:left="709" w:hanging="425"/>
        <w:jc w:val="both"/>
        <w:rPr>
          <w:rFonts w:ascii="Garamond" w:hAnsi="Garamond"/>
        </w:rPr>
      </w:pPr>
      <w:r w:rsidRPr="004C0B2B">
        <w:rPr>
          <w:rFonts w:ascii="Garamond" w:hAnsi="Garamond"/>
        </w:rPr>
        <w:t>Действующий состав точек поставки и точек измерений подтвержден действующим ПСИ № ___ от ______.</w:t>
      </w:r>
    </w:p>
    <w:p w14:paraId="0B85C2A5" w14:textId="77777777" w:rsidR="004B3B82" w:rsidRPr="004C0B2B" w:rsidRDefault="004B3B82" w:rsidP="00101F7C">
      <w:pPr>
        <w:spacing w:after="160" w:line="259" w:lineRule="auto"/>
        <w:jc w:val="both"/>
        <w:rPr>
          <w:rFonts w:ascii="Garamond" w:hAnsi="Garamond"/>
          <w:lang w:eastAsia="en-US"/>
        </w:rPr>
      </w:pPr>
    </w:p>
    <w:p w14:paraId="2588E95E" w14:textId="77777777" w:rsidR="004B3B82" w:rsidRPr="004C0B2B" w:rsidRDefault="004B3B82" w:rsidP="00101F7C">
      <w:pPr>
        <w:spacing w:after="160" w:line="259" w:lineRule="auto"/>
        <w:jc w:val="both"/>
        <w:rPr>
          <w:rFonts w:ascii="Garamond" w:hAnsi="Garamond"/>
          <w:lang w:eastAsia="en-US"/>
        </w:rPr>
      </w:pPr>
      <w:r w:rsidRPr="004C0B2B">
        <w:rPr>
          <w:rFonts w:ascii="Garamond" w:hAnsi="Garamond"/>
          <w:lang w:eastAsia="en-US"/>
        </w:rPr>
        <w:br w:type="page"/>
      </w:r>
    </w:p>
    <w:p w14:paraId="106D822F" w14:textId="77777777" w:rsidR="004B3B82" w:rsidRPr="004C0B2B" w:rsidRDefault="004B3B82" w:rsidP="00101F7C">
      <w:pPr>
        <w:rPr>
          <w:rFonts w:ascii="Garamond" w:hAnsi="Garamond"/>
          <w:b/>
          <w:sz w:val="22"/>
          <w:szCs w:val="22"/>
        </w:rPr>
      </w:pPr>
      <w:r w:rsidRPr="004C0B2B">
        <w:rPr>
          <w:rFonts w:ascii="Garamond" w:hAnsi="Garamond"/>
          <w:b/>
          <w:sz w:val="22"/>
          <w:szCs w:val="22"/>
        </w:rPr>
        <w:lastRenderedPageBreak/>
        <w:t>Действующая редакция</w:t>
      </w:r>
    </w:p>
    <w:p w14:paraId="5428000B" w14:textId="77777777" w:rsidR="004B3B82" w:rsidRPr="004C0B2B" w:rsidRDefault="004B3B82" w:rsidP="00101F7C">
      <w:pPr>
        <w:jc w:val="center"/>
        <w:rPr>
          <w:rFonts w:ascii="Garamond" w:hAnsi="Garamond"/>
          <w:b/>
          <w:sz w:val="22"/>
          <w:szCs w:val="22"/>
        </w:rPr>
      </w:pPr>
      <w:r w:rsidRPr="004C0B2B">
        <w:rPr>
          <w:rFonts w:ascii="Garamond" w:hAnsi="Garamond"/>
          <w:b/>
          <w:sz w:val="22"/>
          <w:szCs w:val="22"/>
        </w:rPr>
        <w:t>Форма 4</w:t>
      </w:r>
    </w:p>
    <w:p w14:paraId="1D967DF7" w14:textId="77777777" w:rsidR="004B3B82" w:rsidRPr="004C0B2B" w:rsidRDefault="004B3B82" w:rsidP="00101F7C">
      <w:pPr>
        <w:autoSpaceDE w:val="0"/>
        <w:autoSpaceDN w:val="0"/>
        <w:rPr>
          <w:rFonts w:ascii="Garamond" w:hAnsi="Garamond"/>
          <w:sz w:val="22"/>
          <w:szCs w:val="22"/>
        </w:rPr>
      </w:pPr>
      <w:r w:rsidRPr="004C0B2B">
        <w:rPr>
          <w:rFonts w:ascii="Garamond" w:hAnsi="Garamond"/>
          <w:sz w:val="22"/>
          <w:szCs w:val="22"/>
        </w:rPr>
        <w:t xml:space="preserve">(на бланке заявителя) </w:t>
      </w:r>
    </w:p>
    <w:p w14:paraId="316B29A6" w14:textId="77777777" w:rsidR="004B3B82" w:rsidRPr="004C0B2B" w:rsidRDefault="004B3B82" w:rsidP="00101F7C">
      <w:pPr>
        <w:autoSpaceDE w:val="0"/>
        <w:autoSpaceDN w:val="0"/>
        <w:rPr>
          <w:rFonts w:ascii="Garamond" w:hAnsi="Garamond"/>
          <w:sz w:val="22"/>
          <w:szCs w:val="22"/>
        </w:rPr>
      </w:pPr>
    </w:p>
    <w:p w14:paraId="772992A1" w14:textId="77777777" w:rsidR="004B3B82" w:rsidRPr="004C0B2B" w:rsidRDefault="004B3B82" w:rsidP="00101F7C">
      <w:pPr>
        <w:ind w:left="7371" w:right="-428"/>
        <w:jc w:val="both"/>
        <w:rPr>
          <w:rFonts w:ascii="Garamond" w:hAnsi="Garamond"/>
          <w:b/>
          <w:sz w:val="22"/>
          <w:szCs w:val="22"/>
          <w:lang w:eastAsia="en-US"/>
        </w:rPr>
      </w:pPr>
      <w:r w:rsidRPr="004C0B2B">
        <w:rPr>
          <w:rFonts w:ascii="Garamond" w:hAnsi="Garamond"/>
          <w:b/>
          <w:sz w:val="22"/>
          <w:szCs w:val="22"/>
          <w:lang w:eastAsia="en-US"/>
        </w:rPr>
        <w:t>Председателю Правления</w:t>
      </w:r>
    </w:p>
    <w:p w14:paraId="10EB15B7" w14:textId="77777777" w:rsidR="004B3B82" w:rsidRPr="004C0B2B" w:rsidRDefault="004B3B82" w:rsidP="00101F7C">
      <w:pPr>
        <w:ind w:left="7371" w:right="-428"/>
        <w:jc w:val="both"/>
        <w:rPr>
          <w:rFonts w:ascii="Garamond" w:hAnsi="Garamond"/>
          <w:b/>
          <w:sz w:val="22"/>
          <w:szCs w:val="22"/>
          <w:lang w:eastAsia="en-US"/>
        </w:rPr>
      </w:pPr>
      <w:r w:rsidRPr="004C0B2B">
        <w:rPr>
          <w:rFonts w:ascii="Garamond" w:hAnsi="Garamond"/>
          <w:b/>
          <w:sz w:val="22"/>
          <w:szCs w:val="22"/>
          <w:lang w:eastAsia="en-US"/>
        </w:rPr>
        <w:t>АО «АТС»</w:t>
      </w:r>
    </w:p>
    <w:p w14:paraId="25ACBE43" w14:textId="77777777" w:rsidR="004B3B82" w:rsidRPr="004C0B2B" w:rsidRDefault="004B3B82" w:rsidP="00101F7C">
      <w:pPr>
        <w:jc w:val="both"/>
        <w:rPr>
          <w:rFonts w:ascii="Garamond" w:hAnsi="Garamond"/>
          <w:sz w:val="22"/>
          <w:szCs w:val="22"/>
          <w:lang w:eastAsia="en-US"/>
        </w:rPr>
      </w:pPr>
      <w:r w:rsidRPr="004C0B2B">
        <w:rPr>
          <w:rFonts w:ascii="Garamond" w:hAnsi="Garamond"/>
          <w:sz w:val="22"/>
          <w:szCs w:val="22"/>
          <w:lang w:eastAsia="en-US"/>
        </w:rPr>
        <w:t xml:space="preserve">№ _____________________ </w:t>
      </w:r>
    </w:p>
    <w:p w14:paraId="6F0BCD54" w14:textId="77777777" w:rsidR="004B3B82" w:rsidRPr="004C0B2B" w:rsidRDefault="004B3B82" w:rsidP="00101F7C">
      <w:pPr>
        <w:jc w:val="both"/>
        <w:rPr>
          <w:rFonts w:ascii="Garamond" w:hAnsi="Garamond"/>
          <w:sz w:val="22"/>
          <w:szCs w:val="22"/>
          <w:lang w:eastAsia="en-US"/>
        </w:rPr>
      </w:pPr>
      <w:r w:rsidRPr="004C0B2B">
        <w:rPr>
          <w:rFonts w:ascii="Garamond" w:hAnsi="Garamond"/>
          <w:sz w:val="22"/>
          <w:szCs w:val="22"/>
          <w:lang w:eastAsia="en-US"/>
        </w:rPr>
        <w:t>«___» ___________ 20 ___ г.</w:t>
      </w:r>
    </w:p>
    <w:p w14:paraId="32D10A2D" w14:textId="77777777" w:rsidR="004B3B82" w:rsidRPr="004C0B2B" w:rsidRDefault="004B3B82" w:rsidP="00101F7C"/>
    <w:p w14:paraId="1880212A" w14:textId="77777777" w:rsidR="004B3B82" w:rsidRPr="004C0B2B" w:rsidRDefault="004B3B82" w:rsidP="00101F7C">
      <w:pPr>
        <w:jc w:val="center"/>
        <w:rPr>
          <w:rFonts w:ascii="Garamond" w:hAnsi="Garamond"/>
          <w:b/>
          <w:sz w:val="22"/>
          <w:szCs w:val="22"/>
          <w:lang w:eastAsia="en-US"/>
        </w:rPr>
      </w:pPr>
      <w:r w:rsidRPr="004C0B2B">
        <w:rPr>
          <w:rFonts w:ascii="Garamond" w:hAnsi="Garamond"/>
          <w:b/>
          <w:sz w:val="22"/>
          <w:szCs w:val="22"/>
          <w:lang w:eastAsia="en-US"/>
        </w:rPr>
        <w:t>ЗАЯВЛЕНИЕ</w:t>
      </w:r>
    </w:p>
    <w:p w14:paraId="0685004F" w14:textId="77777777" w:rsidR="004B3B82" w:rsidRPr="004C0B2B" w:rsidRDefault="004B3B82" w:rsidP="00101F7C">
      <w:pPr>
        <w:ind w:firstLine="540"/>
        <w:jc w:val="both"/>
        <w:rPr>
          <w:rFonts w:ascii="Garamond" w:hAnsi="Garamond"/>
          <w:b/>
          <w:sz w:val="22"/>
          <w:szCs w:val="22"/>
          <w:lang w:eastAsia="en-US"/>
        </w:rPr>
      </w:pPr>
      <w:r w:rsidRPr="004C0B2B">
        <w:rPr>
          <w:rFonts w:ascii="Garamond" w:hAnsi="Garamond"/>
          <w:spacing w:val="-2"/>
          <w:sz w:val="22"/>
          <w:szCs w:val="22"/>
        </w:rPr>
        <w:t xml:space="preserve"> </w:t>
      </w:r>
      <w:r w:rsidRPr="004C0B2B">
        <w:rPr>
          <w:rFonts w:ascii="Garamond" w:hAnsi="Garamond"/>
          <w:b/>
          <w:sz w:val="22"/>
          <w:szCs w:val="22"/>
          <w:lang w:eastAsia="en-US"/>
        </w:rPr>
        <w:t>об установлении соответствия системы коммерческого учета электрической энергии техническим требованиям оптового рынка электрической энергии и мощности</w:t>
      </w:r>
    </w:p>
    <w:p w14:paraId="37698515" w14:textId="77777777" w:rsidR="004B3B82" w:rsidRPr="004C0B2B" w:rsidRDefault="004B3B82" w:rsidP="00101F7C">
      <w:pPr>
        <w:autoSpaceDE w:val="0"/>
        <w:autoSpaceDN w:val="0"/>
        <w:rPr>
          <w:rFonts w:ascii="Garamond" w:hAnsi="Garamond"/>
          <w:spacing w:val="-2"/>
          <w:sz w:val="22"/>
          <w:szCs w:val="22"/>
        </w:rPr>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02"/>
        <w:gridCol w:w="7058"/>
      </w:tblGrid>
      <w:tr w:rsidR="004B3B82" w:rsidRPr="004C0B2B" w14:paraId="7E01C8B0" w14:textId="77777777" w:rsidTr="00CD3B05">
        <w:trPr>
          <w:trHeight w:val="421"/>
        </w:trPr>
        <w:tc>
          <w:tcPr>
            <w:tcW w:w="3002" w:type="dxa"/>
            <w:shd w:val="clear" w:color="auto" w:fill="D9D9D9"/>
            <w:vAlign w:val="center"/>
          </w:tcPr>
          <w:p w14:paraId="66233AD0" w14:textId="77777777" w:rsidR="004B3B82" w:rsidRPr="004C0B2B" w:rsidRDefault="004B3B82" w:rsidP="00CD3B05">
            <w:pPr>
              <w:jc w:val="both"/>
              <w:rPr>
                <w:rFonts w:ascii="Garamond" w:hAnsi="Garamond"/>
                <w:sz w:val="22"/>
                <w:szCs w:val="22"/>
                <w:lang w:eastAsia="en-US"/>
              </w:rPr>
            </w:pPr>
            <w:r w:rsidRPr="004C0B2B">
              <w:rPr>
                <w:rFonts w:ascii="Garamond" w:hAnsi="Garamond"/>
                <w:sz w:val="22"/>
                <w:szCs w:val="22"/>
                <w:lang w:eastAsia="en-US"/>
              </w:rPr>
              <w:t>Полное наименование заявителя</w:t>
            </w:r>
          </w:p>
        </w:tc>
        <w:tc>
          <w:tcPr>
            <w:tcW w:w="7058" w:type="dxa"/>
            <w:shd w:val="clear" w:color="auto" w:fill="auto"/>
            <w:vAlign w:val="center"/>
          </w:tcPr>
          <w:p w14:paraId="709422A3" w14:textId="77777777" w:rsidR="004B3B82" w:rsidRPr="004C0B2B" w:rsidRDefault="004B3B82" w:rsidP="00CD3B05">
            <w:pPr>
              <w:autoSpaceDE w:val="0"/>
              <w:autoSpaceDN w:val="0"/>
              <w:rPr>
                <w:rFonts w:ascii="Garamond" w:hAnsi="Garamond"/>
                <w:sz w:val="22"/>
                <w:szCs w:val="22"/>
                <w:lang w:eastAsia="en-US"/>
              </w:rPr>
            </w:pPr>
          </w:p>
        </w:tc>
      </w:tr>
      <w:tr w:rsidR="004B3B82" w:rsidRPr="004C0B2B" w14:paraId="4946EC02" w14:textId="77777777" w:rsidTr="00CD3B05">
        <w:trPr>
          <w:trHeight w:val="340"/>
        </w:trPr>
        <w:tc>
          <w:tcPr>
            <w:tcW w:w="3002" w:type="dxa"/>
            <w:shd w:val="clear" w:color="auto" w:fill="D9D9D9"/>
            <w:vAlign w:val="center"/>
          </w:tcPr>
          <w:p w14:paraId="257D0359" w14:textId="77777777" w:rsidR="004B3B82" w:rsidRPr="004C0B2B" w:rsidRDefault="004B3B82" w:rsidP="00CD3B05">
            <w:pPr>
              <w:jc w:val="both"/>
              <w:rPr>
                <w:rFonts w:ascii="Garamond" w:hAnsi="Garamond"/>
                <w:sz w:val="22"/>
                <w:szCs w:val="22"/>
                <w:lang w:eastAsia="en-US"/>
              </w:rPr>
            </w:pPr>
            <w:r w:rsidRPr="004C0B2B">
              <w:rPr>
                <w:rFonts w:ascii="Garamond" w:hAnsi="Garamond"/>
                <w:sz w:val="22"/>
                <w:szCs w:val="22"/>
                <w:lang w:eastAsia="en-US"/>
              </w:rPr>
              <w:t>Сокращенное наименование заявителя</w:t>
            </w:r>
          </w:p>
        </w:tc>
        <w:tc>
          <w:tcPr>
            <w:tcW w:w="7058" w:type="dxa"/>
            <w:shd w:val="clear" w:color="auto" w:fill="auto"/>
            <w:vAlign w:val="center"/>
          </w:tcPr>
          <w:p w14:paraId="47F6271A" w14:textId="77777777" w:rsidR="004B3B82" w:rsidRPr="004C0B2B" w:rsidRDefault="004B3B82" w:rsidP="00CD3B05">
            <w:pPr>
              <w:jc w:val="both"/>
              <w:rPr>
                <w:rFonts w:ascii="Garamond" w:hAnsi="Garamond"/>
                <w:b/>
                <w:sz w:val="22"/>
                <w:szCs w:val="22"/>
                <w:lang w:eastAsia="en-US"/>
              </w:rPr>
            </w:pPr>
          </w:p>
        </w:tc>
      </w:tr>
    </w:tbl>
    <w:p w14:paraId="40D8E138" w14:textId="77777777" w:rsidR="004B3B82" w:rsidRPr="004C0B2B" w:rsidRDefault="004B3B82" w:rsidP="00101F7C">
      <w:pPr>
        <w:autoSpaceDE w:val="0"/>
        <w:autoSpaceDN w:val="0"/>
        <w:jc w:val="both"/>
        <w:rPr>
          <w:rFonts w:ascii="Garamond" w:hAnsi="Garamond"/>
          <w:spacing w:val="-2"/>
          <w:sz w:val="22"/>
          <w:szCs w:val="22"/>
        </w:rPr>
      </w:pPr>
    </w:p>
    <w:p w14:paraId="5B44E8AD" w14:textId="77777777" w:rsidR="004B3B82" w:rsidRPr="004C0B2B" w:rsidRDefault="004B3B82" w:rsidP="00101F7C">
      <w:pPr>
        <w:autoSpaceDE w:val="0"/>
        <w:autoSpaceDN w:val="0"/>
        <w:jc w:val="both"/>
        <w:rPr>
          <w:rFonts w:ascii="Garamond" w:hAnsi="Garamond"/>
          <w:sz w:val="22"/>
          <w:szCs w:val="22"/>
          <w:vertAlign w:val="superscript"/>
          <w:lang w:eastAsia="en-US"/>
        </w:rPr>
      </w:pPr>
      <w:r w:rsidRPr="004C0B2B">
        <w:rPr>
          <w:rFonts w:ascii="Garamond" w:hAnsi="Garamond"/>
          <w:spacing w:val="-2"/>
          <w:sz w:val="22"/>
          <w:szCs w:val="22"/>
        </w:rPr>
        <w:t xml:space="preserve">выражает намерение установить соответствие системы коммерческого учета электроэнергии и оформить </w:t>
      </w:r>
      <w:r w:rsidRPr="004C0B2B">
        <w:rPr>
          <w:rFonts w:ascii="Garamond" w:hAnsi="Garamond"/>
          <w:sz w:val="22"/>
          <w:szCs w:val="22"/>
        </w:rPr>
        <w:t>Акт о соответствии системы коммерческого учета электрической энергии техническим требованиям оптового рынка электрической энергии и мощности</w:t>
      </w:r>
    </w:p>
    <w:p w14:paraId="7D9F0BB0" w14:textId="77777777" w:rsidR="004B3B82" w:rsidRPr="004C0B2B" w:rsidRDefault="004B3B82" w:rsidP="00101F7C">
      <w:pPr>
        <w:autoSpaceDE w:val="0"/>
        <w:autoSpaceDN w:val="0"/>
        <w:jc w:val="both"/>
        <w:rPr>
          <w:rFonts w:ascii="Garamond" w:hAnsi="Garamond"/>
          <w:sz w:val="22"/>
          <w:szCs w:val="22"/>
          <w:vertAlign w:val="superscript"/>
          <w:lang w:eastAsia="en-US"/>
        </w:rPr>
      </w:pPr>
    </w:p>
    <w:tbl>
      <w:tblPr>
        <w:tblW w:w="10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03"/>
        <w:gridCol w:w="7062"/>
      </w:tblGrid>
      <w:tr w:rsidR="004B3B82" w:rsidRPr="004C0B2B" w14:paraId="64EB3CAB" w14:textId="77777777" w:rsidTr="00CD3B05">
        <w:trPr>
          <w:trHeight w:val="340"/>
        </w:trPr>
        <w:tc>
          <w:tcPr>
            <w:tcW w:w="3003" w:type="dxa"/>
            <w:shd w:val="clear" w:color="auto" w:fill="D9D9D9"/>
            <w:vAlign w:val="center"/>
          </w:tcPr>
          <w:p w14:paraId="59904CC8" w14:textId="77777777" w:rsidR="004B3B82" w:rsidRPr="004C0B2B" w:rsidRDefault="004B3B82" w:rsidP="00CD3B05">
            <w:pPr>
              <w:jc w:val="both"/>
              <w:rPr>
                <w:rFonts w:ascii="Garamond" w:hAnsi="Garamond"/>
                <w:sz w:val="22"/>
                <w:szCs w:val="22"/>
                <w:lang w:eastAsia="en-US"/>
              </w:rPr>
            </w:pPr>
            <w:r w:rsidRPr="004C0B2B">
              <w:rPr>
                <w:rFonts w:ascii="Garamond" w:hAnsi="Garamond"/>
                <w:sz w:val="22"/>
                <w:szCs w:val="22"/>
                <w:lang w:eastAsia="en-US"/>
              </w:rPr>
              <w:t xml:space="preserve">Наименование сечения КУ / ГТП генерации </w:t>
            </w:r>
            <w:r w:rsidRPr="004C0B2B">
              <w:rPr>
                <w:rFonts w:ascii="Garamond" w:hAnsi="Garamond"/>
                <w:sz w:val="22"/>
                <w:szCs w:val="22"/>
                <w:vertAlign w:val="superscript"/>
                <w:lang w:eastAsia="en-US"/>
              </w:rPr>
              <w:t>1</w:t>
            </w:r>
          </w:p>
        </w:tc>
        <w:tc>
          <w:tcPr>
            <w:tcW w:w="7062" w:type="dxa"/>
            <w:shd w:val="clear" w:color="auto" w:fill="auto"/>
            <w:vAlign w:val="center"/>
          </w:tcPr>
          <w:p w14:paraId="0FDE7997" w14:textId="77777777" w:rsidR="004B3B82" w:rsidRPr="004C0B2B" w:rsidRDefault="004B3B82" w:rsidP="00CD3B05">
            <w:pPr>
              <w:jc w:val="both"/>
              <w:rPr>
                <w:rFonts w:ascii="Garamond" w:hAnsi="Garamond"/>
                <w:b/>
                <w:sz w:val="22"/>
                <w:szCs w:val="22"/>
                <w:lang w:eastAsia="en-US"/>
              </w:rPr>
            </w:pPr>
          </w:p>
        </w:tc>
      </w:tr>
      <w:tr w:rsidR="004B3B82" w:rsidRPr="004C0B2B" w14:paraId="5FBE1FFE" w14:textId="77777777" w:rsidTr="00CD3B05">
        <w:trPr>
          <w:trHeight w:val="340"/>
        </w:trPr>
        <w:tc>
          <w:tcPr>
            <w:tcW w:w="3003" w:type="dxa"/>
            <w:shd w:val="clear" w:color="auto" w:fill="D9D9D9"/>
            <w:vAlign w:val="center"/>
          </w:tcPr>
          <w:p w14:paraId="2F834968" w14:textId="77777777" w:rsidR="004B3B82" w:rsidRPr="004C0B2B" w:rsidRDefault="004B3B82" w:rsidP="00CD3B05">
            <w:pPr>
              <w:jc w:val="both"/>
              <w:rPr>
                <w:rFonts w:ascii="Garamond" w:hAnsi="Garamond"/>
                <w:sz w:val="22"/>
                <w:szCs w:val="22"/>
                <w:lang w:eastAsia="en-US"/>
              </w:rPr>
            </w:pPr>
            <w:r w:rsidRPr="004C0B2B">
              <w:rPr>
                <w:rFonts w:ascii="Garamond" w:hAnsi="Garamond"/>
                <w:sz w:val="22"/>
                <w:szCs w:val="22"/>
                <w:lang w:eastAsia="en-US"/>
              </w:rPr>
              <w:t xml:space="preserve">Основание </w:t>
            </w:r>
            <w:r w:rsidRPr="004C0B2B">
              <w:rPr>
                <w:rFonts w:ascii="Garamond" w:hAnsi="Garamond"/>
                <w:sz w:val="22"/>
                <w:szCs w:val="22"/>
                <w:vertAlign w:val="superscript"/>
                <w:lang w:eastAsia="en-US"/>
              </w:rPr>
              <w:t>2</w:t>
            </w:r>
          </w:p>
        </w:tc>
        <w:tc>
          <w:tcPr>
            <w:tcW w:w="7062" w:type="dxa"/>
            <w:shd w:val="clear" w:color="auto" w:fill="auto"/>
            <w:vAlign w:val="center"/>
          </w:tcPr>
          <w:p w14:paraId="5AA3FA17" w14:textId="77777777" w:rsidR="004B3B82" w:rsidRPr="004C0B2B" w:rsidRDefault="004B3B82" w:rsidP="00CD3B05">
            <w:pPr>
              <w:jc w:val="both"/>
              <w:rPr>
                <w:rFonts w:ascii="Garamond" w:hAnsi="Garamond"/>
                <w:b/>
                <w:sz w:val="22"/>
                <w:szCs w:val="22"/>
                <w:lang w:eastAsia="en-US"/>
              </w:rPr>
            </w:pPr>
          </w:p>
        </w:tc>
      </w:tr>
      <w:tr w:rsidR="004B3B82" w:rsidRPr="004C0B2B" w14:paraId="46D86771" w14:textId="77777777" w:rsidTr="00CD3B05">
        <w:trPr>
          <w:trHeight w:val="340"/>
        </w:trPr>
        <w:tc>
          <w:tcPr>
            <w:tcW w:w="3003" w:type="dxa"/>
            <w:shd w:val="clear" w:color="auto" w:fill="D9D9D9"/>
            <w:vAlign w:val="center"/>
          </w:tcPr>
          <w:p w14:paraId="1BDE32BC" w14:textId="77777777" w:rsidR="004B3B82" w:rsidRPr="004C0B2B" w:rsidRDefault="004B3B82" w:rsidP="00CD3B05">
            <w:pPr>
              <w:jc w:val="both"/>
              <w:rPr>
                <w:rFonts w:ascii="Garamond" w:hAnsi="Garamond"/>
                <w:sz w:val="22"/>
                <w:szCs w:val="22"/>
                <w:lang w:eastAsia="en-US"/>
              </w:rPr>
            </w:pPr>
            <w:r w:rsidRPr="004C0B2B">
              <w:rPr>
                <w:rFonts w:ascii="Garamond" w:hAnsi="Garamond"/>
                <w:sz w:val="22"/>
                <w:szCs w:val="22"/>
                <w:lang w:eastAsia="en-US"/>
              </w:rPr>
              <w:t xml:space="preserve">Краткое описание изменений </w:t>
            </w:r>
            <w:r w:rsidRPr="004C0B2B">
              <w:rPr>
                <w:rFonts w:ascii="Garamond" w:hAnsi="Garamond"/>
                <w:sz w:val="22"/>
                <w:szCs w:val="22"/>
                <w:vertAlign w:val="superscript"/>
                <w:lang w:eastAsia="en-US"/>
              </w:rPr>
              <w:t>3</w:t>
            </w:r>
          </w:p>
        </w:tc>
        <w:tc>
          <w:tcPr>
            <w:tcW w:w="7062" w:type="dxa"/>
            <w:shd w:val="clear" w:color="auto" w:fill="auto"/>
            <w:vAlign w:val="center"/>
          </w:tcPr>
          <w:p w14:paraId="364D1982" w14:textId="77777777" w:rsidR="004B3B82" w:rsidRPr="004C0B2B" w:rsidRDefault="004B3B82" w:rsidP="00CD3B05">
            <w:pPr>
              <w:jc w:val="both"/>
              <w:rPr>
                <w:rFonts w:ascii="Garamond" w:hAnsi="Garamond"/>
                <w:b/>
                <w:sz w:val="22"/>
                <w:szCs w:val="22"/>
                <w:lang w:eastAsia="en-US"/>
              </w:rPr>
            </w:pPr>
          </w:p>
        </w:tc>
      </w:tr>
      <w:tr w:rsidR="004B3B82" w:rsidRPr="004C0B2B" w14:paraId="04580B68" w14:textId="77777777" w:rsidTr="00CD3B05">
        <w:trPr>
          <w:trHeight w:val="340"/>
        </w:trPr>
        <w:tc>
          <w:tcPr>
            <w:tcW w:w="3003" w:type="dxa"/>
            <w:shd w:val="clear" w:color="auto" w:fill="D9D9D9"/>
            <w:vAlign w:val="center"/>
          </w:tcPr>
          <w:p w14:paraId="7705445F" w14:textId="77777777" w:rsidR="004B3B82" w:rsidRPr="004C0B2B" w:rsidRDefault="004B3B82" w:rsidP="00CD3B05">
            <w:pPr>
              <w:jc w:val="both"/>
              <w:rPr>
                <w:rFonts w:ascii="Garamond" w:hAnsi="Garamond"/>
                <w:sz w:val="22"/>
                <w:szCs w:val="22"/>
                <w:lang w:eastAsia="en-US"/>
              </w:rPr>
            </w:pPr>
            <w:r w:rsidRPr="004C0B2B">
              <w:rPr>
                <w:rFonts w:ascii="Garamond" w:hAnsi="Garamond"/>
                <w:sz w:val="22"/>
                <w:szCs w:val="22"/>
              </w:rPr>
              <w:t xml:space="preserve">Информирую, что в отношении всех точек измерений, включенных в АИИС КУЭ и входящих в </w:t>
            </w:r>
            <w:r w:rsidRPr="004C0B2B">
              <w:rPr>
                <w:rFonts w:ascii="Garamond" w:hAnsi="Garamond"/>
                <w:spacing w:val="-2"/>
                <w:sz w:val="22"/>
                <w:szCs w:val="22"/>
              </w:rPr>
              <w:t xml:space="preserve">сечение КУ / ГТП генерации, ранее </w:t>
            </w:r>
            <w:r w:rsidRPr="004C0B2B">
              <w:rPr>
                <w:rFonts w:ascii="Garamond" w:hAnsi="Garamond"/>
                <w:sz w:val="22"/>
                <w:szCs w:val="22"/>
              </w:rPr>
              <w:t>был (-и) оформлен (-ы) Акт (-ы) о соответствии АИИС КУЭ</w:t>
            </w:r>
          </w:p>
        </w:tc>
        <w:tc>
          <w:tcPr>
            <w:tcW w:w="7062" w:type="dxa"/>
            <w:shd w:val="clear" w:color="auto" w:fill="auto"/>
            <w:vAlign w:val="center"/>
          </w:tcPr>
          <w:p w14:paraId="201CE70D" w14:textId="77777777" w:rsidR="004B3B82" w:rsidRPr="004C0B2B" w:rsidRDefault="004B3B82" w:rsidP="00CD3B05">
            <w:pPr>
              <w:jc w:val="both"/>
              <w:rPr>
                <w:rFonts w:ascii="Garamond" w:hAnsi="Garamond"/>
                <w:sz w:val="22"/>
                <w:szCs w:val="22"/>
                <w:lang w:eastAsia="en-US"/>
              </w:rPr>
            </w:pPr>
            <w:r w:rsidRPr="004C0B2B">
              <w:rPr>
                <w:rFonts w:ascii="Garamond" w:hAnsi="Garamond"/>
                <w:sz w:val="22"/>
                <w:szCs w:val="22"/>
                <w:lang w:eastAsia="en-US"/>
              </w:rPr>
              <w:t xml:space="preserve">№ ___________ от ___________ класса ________,                                        </w:t>
            </w:r>
          </w:p>
          <w:p w14:paraId="0FD89EFD" w14:textId="77777777" w:rsidR="004B3B82" w:rsidRPr="004C0B2B" w:rsidRDefault="004B3B82" w:rsidP="00CD3B05">
            <w:pPr>
              <w:jc w:val="both"/>
              <w:rPr>
                <w:rFonts w:ascii="Garamond" w:hAnsi="Garamond"/>
                <w:b/>
                <w:sz w:val="22"/>
                <w:szCs w:val="22"/>
                <w:lang w:eastAsia="en-US"/>
              </w:rPr>
            </w:pPr>
            <w:r w:rsidRPr="004C0B2B">
              <w:rPr>
                <w:rFonts w:ascii="Garamond" w:hAnsi="Garamond"/>
                <w:sz w:val="18"/>
                <w:szCs w:val="18"/>
                <w:lang w:eastAsia="en-US"/>
              </w:rPr>
              <w:t>(</w:t>
            </w:r>
            <w:r w:rsidRPr="004C0B2B">
              <w:rPr>
                <w:rFonts w:ascii="Garamond" w:hAnsi="Garamond"/>
                <w:i/>
                <w:sz w:val="18"/>
                <w:szCs w:val="18"/>
                <w:lang w:eastAsia="en-US"/>
              </w:rPr>
              <w:t>указываются реквизиты и срок Акта (-ов) о соответствии АИИС КУЭ)</w:t>
            </w:r>
          </w:p>
        </w:tc>
      </w:tr>
      <w:tr w:rsidR="004B3B82" w:rsidRPr="004C0B2B" w14:paraId="4C181A75" w14:textId="77777777" w:rsidTr="00CD3B05">
        <w:trPr>
          <w:trHeight w:val="340"/>
        </w:trPr>
        <w:tc>
          <w:tcPr>
            <w:tcW w:w="3003" w:type="dxa"/>
            <w:shd w:val="clear" w:color="auto" w:fill="D9D9D9"/>
            <w:vAlign w:val="center"/>
          </w:tcPr>
          <w:p w14:paraId="40BA50CD" w14:textId="77777777" w:rsidR="004B3B82" w:rsidRPr="004C0B2B" w:rsidRDefault="004B3B82" w:rsidP="00CD3B05">
            <w:pPr>
              <w:jc w:val="both"/>
              <w:rPr>
                <w:rFonts w:ascii="Garamond" w:hAnsi="Garamond"/>
                <w:sz w:val="22"/>
                <w:szCs w:val="22"/>
              </w:rPr>
            </w:pPr>
            <w:r w:rsidRPr="004C0B2B">
              <w:rPr>
                <w:rFonts w:ascii="Garamond" w:hAnsi="Garamond"/>
                <w:sz w:val="22"/>
                <w:szCs w:val="22"/>
              </w:rPr>
              <w:t xml:space="preserve">Информирую, что </w:t>
            </w:r>
          </w:p>
          <w:p w14:paraId="46BA8EE8" w14:textId="77777777" w:rsidR="004B3B82" w:rsidRPr="004C0B2B" w:rsidRDefault="004B3B82" w:rsidP="00CD3B05">
            <w:pPr>
              <w:rPr>
                <w:rFonts w:ascii="Garamond" w:hAnsi="Garamond"/>
                <w:sz w:val="22"/>
                <w:szCs w:val="22"/>
                <w:lang w:eastAsia="en-US"/>
              </w:rPr>
            </w:pPr>
            <w:r w:rsidRPr="004C0B2B">
              <w:rPr>
                <w:rFonts w:ascii="Garamond" w:hAnsi="Garamond"/>
                <w:i/>
                <w:sz w:val="18"/>
                <w:szCs w:val="18"/>
              </w:rPr>
              <w:t>(необходимо выбрать один из представленных вариантов)</w:t>
            </w:r>
          </w:p>
        </w:tc>
        <w:tc>
          <w:tcPr>
            <w:tcW w:w="7062" w:type="dxa"/>
            <w:shd w:val="clear" w:color="auto" w:fill="auto"/>
            <w:vAlign w:val="center"/>
          </w:tcPr>
          <w:p w14:paraId="7E092A3A" w14:textId="77777777" w:rsidR="004B3B82" w:rsidRPr="004C0B2B" w:rsidRDefault="004B3B82" w:rsidP="00101F7C">
            <w:pPr>
              <w:numPr>
                <w:ilvl w:val="0"/>
                <w:numId w:val="113"/>
              </w:numPr>
              <w:suppressAutoHyphens w:val="0"/>
              <w:autoSpaceDE w:val="0"/>
              <w:autoSpaceDN w:val="0"/>
              <w:rPr>
                <w:rFonts w:ascii="Garamond" w:hAnsi="Garamond"/>
                <w:sz w:val="22"/>
                <w:szCs w:val="22"/>
                <w:lang w:eastAsia="en-US"/>
              </w:rPr>
            </w:pPr>
            <w:r w:rsidRPr="004C0B2B">
              <w:rPr>
                <w:rFonts w:ascii="Garamond" w:hAnsi="Garamond"/>
                <w:b/>
                <w:sz w:val="22"/>
                <w:szCs w:val="22"/>
                <w:lang w:eastAsia="en-US"/>
              </w:rPr>
              <w:t>не использую</w:t>
            </w:r>
            <w:r w:rsidRPr="004C0B2B">
              <w:rPr>
                <w:rFonts w:ascii="Garamond" w:hAnsi="Garamond"/>
                <w:sz w:val="22"/>
                <w:szCs w:val="22"/>
                <w:lang w:eastAsia="en-US"/>
              </w:rPr>
              <w:t xml:space="preserve"> компоненты и (или) АИИС КУЭ, принадлежащие третьим лицам;</w:t>
            </w:r>
          </w:p>
          <w:p w14:paraId="40A5EC01" w14:textId="77777777" w:rsidR="004B3B82" w:rsidRPr="004C0B2B" w:rsidRDefault="004B3B82" w:rsidP="00101F7C">
            <w:pPr>
              <w:numPr>
                <w:ilvl w:val="0"/>
                <w:numId w:val="113"/>
              </w:numPr>
              <w:suppressAutoHyphens w:val="0"/>
              <w:autoSpaceDE w:val="0"/>
              <w:autoSpaceDN w:val="0"/>
              <w:rPr>
                <w:rFonts w:ascii="Garamond" w:hAnsi="Garamond"/>
                <w:sz w:val="22"/>
                <w:szCs w:val="22"/>
                <w:lang w:eastAsia="en-US"/>
              </w:rPr>
            </w:pPr>
            <w:r w:rsidRPr="004C0B2B">
              <w:rPr>
                <w:rFonts w:ascii="Garamond" w:hAnsi="Garamond"/>
                <w:b/>
                <w:sz w:val="22"/>
                <w:szCs w:val="22"/>
                <w:lang w:eastAsia="en-US"/>
              </w:rPr>
              <w:t>использую</w:t>
            </w:r>
            <w:r w:rsidRPr="004C0B2B">
              <w:rPr>
                <w:rFonts w:ascii="Garamond" w:hAnsi="Garamond"/>
                <w:sz w:val="22"/>
                <w:szCs w:val="22"/>
                <w:lang w:eastAsia="en-US"/>
              </w:rPr>
              <w:t xml:space="preserve"> компоненты и (или) АИИС КУЭ, принадлежащие третьим лицам </w:t>
            </w:r>
          </w:p>
          <w:p w14:paraId="385BC2CC" w14:textId="77777777" w:rsidR="004B3B82" w:rsidRPr="004C0B2B" w:rsidRDefault="004B3B82" w:rsidP="00CD3B05">
            <w:pPr>
              <w:autoSpaceDE w:val="0"/>
              <w:autoSpaceDN w:val="0"/>
              <w:rPr>
                <w:rFonts w:ascii="Garamond" w:hAnsi="Garamond"/>
                <w:sz w:val="22"/>
                <w:szCs w:val="22"/>
                <w:u w:val="single"/>
                <w:lang w:eastAsia="en-US"/>
              </w:rPr>
            </w:pPr>
            <w:r w:rsidRPr="004C0B2B">
              <w:rPr>
                <w:rFonts w:ascii="Garamond" w:hAnsi="Garamond"/>
                <w:b/>
                <w:sz w:val="22"/>
                <w:szCs w:val="22"/>
                <w:u w:val="single"/>
                <w:lang w:eastAsia="en-US"/>
              </w:rPr>
              <w:t xml:space="preserve">                                                                                                                           </w:t>
            </w:r>
            <w:r w:rsidRPr="004C0B2B">
              <w:rPr>
                <w:rFonts w:ascii="Garamond" w:hAnsi="Garamond"/>
                <w:sz w:val="22"/>
                <w:szCs w:val="22"/>
                <w:u w:val="single"/>
                <w:lang w:eastAsia="en-US"/>
              </w:rPr>
              <w:t>,</w:t>
            </w:r>
          </w:p>
          <w:p w14:paraId="334CDD2F" w14:textId="77777777" w:rsidR="004B3B82" w:rsidRPr="004C0B2B" w:rsidRDefault="004B3B82" w:rsidP="00CD3B05">
            <w:pPr>
              <w:autoSpaceDE w:val="0"/>
              <w:autoSpaceDN w:val="0"/>
              <w:rPr>
                <w:rFonts w:ascii="Garamond" w:hAnsi="Garamond"/>
                <w:i/>
                <w:sz w:val="18"/>
                <w:szCs w:val="18"/>
                <w:lang w:eastAsia="en-US"/>
              </w:rPr>
            </w:pPr>
            <w:r w:rsidRPr="004C0B2B">
              <w:rPr>
                <w:rFonts w:ascii="Garamond" w:hAnsi="Garamond"/>
                <w:i/>
                <w:sz w:val="18"/>
                <w:szCs w:val="18"/>
                <w:lang w:eastAsia="en-US"/>
              </w:rPr>
              <w:t>(полное наименование организации (-ий) с указанием организационно-правовой формы)</w:t>
            </w:r>
          </w:p>
          <w:p w14:paraId="26CE1C15" w14:textId="77777777" w:rsidR="004B3B82" w:rsidRPr="004C0B2B" w:rsidRDefault="004B3B82" w:rsidP="00CD3B05">
            <w:pPr>
              <w:autoSpaceDE w:val="0"/>
              <w:autoSpaceDN w:val="0"/>
              <w:ind w:left="720"/>
              <w:rPr>
                <w:rFonts w:ascii="Garamond" w:hAnsi="Garamond"/>
                <w:sz w:val="22"/>
                <w:szCs w:val="22"/>
                <w:lang w:eastAsia="en-US"/>
              </w:rPr>
            </w:pPr>
            <w:r w:rsidRPr="004C0B2B">
              <w:rPr>
                <w:rFonts w:ascii="Garamond" w:hAnsi="Garamond"/>
                <w:sz w:val="22"/>
                <w:szCs w:val="22"/>
                <w:lang w:eastAsia="en-US"/>
              </w:rPr>
              <w:t>а также подтверждаю, что отношения по использованию данных компонентов и (или) АИИС КУЭ урегулированы с указанными третьими лицами надлежащим образом.</w:t>
            </w:r>
          </w:p>
        </w:tc>
      </w:tr>
    </w:tbl>
    <w:p w14:paraId="53BBE99F" w14:textId="77777777" w:rsidR="004B3B82" w:rsidRPr="004C0B2B" w:rsidRDefault="004B3B82" w:rsidP="00101F7C">
      <w:pPr>
        <w:autoSpaceDE w:val="0"/>
        <w:autoSpaceDN w:val="0"/>
        <w:rPr>
          <w:rFonts w:ascii="Garamond" w:hAnsi="Garamond"/>
          <w:sz w:val="22"/>
          <w:szCs w:val="22"/>
        </w:rPr>
      </w:pPr>
    </w:p>
    <w:p w14:paraId="6AFE60E9" w14:textId="77777777" w:rsidR="004B3B82" w:rsidRPr="004C0B2B" w:rsidRDefault="004B3B82" w:rsidP="00101F7C">
      <w:pPr>
        <w:autoSpaceDE w:val="0"/>
        <w:autoSpaceDN w:val="0"/>
        <w:spacing w:after="220"/>
        <w:rPr>
          <w:rFonts w:ascii="Garamond" w:hAnsi="Garamond"/>
          <w:sz w:val="22"/>
          <w:szCs w:val="22"/>
        </w:rPr>
      </w:pPr>
      <w:r w:rsidRPr="004C0B2B">
        <w:rPr>
          <w:rFonts w:ascii="Garamond" w:hAnsi="Garamond"/>
          <w:sz w:val="22"/>
          <w:szCs w:val="22"/>
        </w:rPr>
        <w:t xml:space="preserve">Подтверждаю, что измерения электрической энергии (мощности) по точкам поставки, в отношении которых допускается использовать средства измерений, не включенные в АИИС КУЭ, выполняются с применением средств измерений утвержденного типа, прошедших поверку в соответствии с требованиями Федерального закона от 26.06.2008 г. № 102-ФЗ «Об обеспечении единства измерений» к измерениям, относящимся к сфере государственного регулирования обеспечения единства измерений </w:t>
      </w:r>
      <w:r w:rsidRPr="004C0B2B">
        <w:rPr>
          <w:rFonts w:ascii="Garamond" w:hAnsi="Garamond"/>
          <w:sz w:val="18"/>
          <w:szCs w:val="18"/>
        </w:rPr>
        <w:t>(</w:t>
      </w:r>
      <w:r w:rsidRPr="004C0B2B">
        <w:rPr>
          <w:rFonts w:ascii="Garamond" w:hAnsi="Garamond"/>
          <w:i/>
          <w:sz w:val="18"/>
          <w:szCs w:val="18"/>
        </w:rPr>
        <w:t>указывается при наличии средств измерений, не включенных в АИИС КУЭ</w:t>
      </w:r>
      <w:r w:rsidRPr="004C0B2B">
        <w:rPr>
          <w:rFonts w:ascii="Garamond" w:hAnsi="Garamond"/>
          <w:sz w:val="18"/>
          <w:szCs w:val="18"/>
        </w:rPr>
        <w:t>)</w:t>
      </w:r>
      <w:r w:rsidRPr="004C0B2B">
        <w:rPr>
          <w:rFonts w:ascii="Garamond" w:hAnsi="Garamond"/>
          <w:sz w:val="22"/>
          <w:szCs w:val="22"/>
        </w:rPr>
        <w:t>.</w:t>
      </w:r>
    </w:p>
    <w:p w14:paraId="3BD8B6EB" w14:textId="77777777" w:rsidR="004B3B82" w:rsidRPr="004C0B2B" w:rsidRDefault="004B3B82" w:rsidP="00101F7C">
      <w:pPr>
        <w:autoSpaceDE w:val="0"/>
        <w:autoSpaceDN w:val="0"/>
        <w:jc w:val="both"/>
        <w:rPr>
          <w:rFonts w:ascii="Garamond" w:hAnsi="Garamond"/>
          <w:sz w:val="22"/>
          <w:szCs w:val="22"/>
        </w:rPr>
      </w:pPr>
      <w:r w:rsidRPr="004C0B2B">
        <w:rPr>
          <w:rFonts w:ascii="Garamond" w:hAnsi="Garamond"/>
          <w:sz w:val="22"/>
          <w:szCs w:val="22"/>
        </w:rPr>
        <w:t xml:space="preserve">В случае если при установлении соответствия АИИС КУЭ КО будет выявлена неактуальность регистрационной информации в части несоответствия указанных </w:t>
      </w:r>
      <w:r w:rsidRPr="004C0B2B">
        <w:rPr>
          <w:rFonts w:ascii="Garamond" w:hAnsi="Garamond"/>
          <w:bCs/>
          <w:sz w:val="22"/>
          <w:szCs w:val="22"/>
        </w:rPr>
        <w:t xml:space="preserve">в опросных листах (макет 90000) и в ПСИ типов (модификаций) </w:t>
      </w:r>
      <w:r w:rsidRPr="004C0B2B">
        <w:rPr>
          <w:rFonts w:ascii="Garamond" w:hAnsi="Garamond"/>
          <w:sz w:val="22"/>
          <w:szCs w:val="22"/>
        </w:rPr>
        <w:t xml:space="preserve">приборов учета / признака включения в АИИС КУЭ, необходимо выполнить действия для регистрации в КО в течение 60 календарных дней с даты направления КО письма о вышеуказанном несоответствии актуализированного ПСИ, оформленного в соответствии с требованиями регламентов оптового рынка </w:t>
      </w:r>
      <w:r w:rsidRPr="004C0B2B">
        <w:rPr>
          <w:rFonts w:ascii="Garamond" w:hAnsi="Garamond"/>
          <w:bCs/>
          <w:sz w:val="22"/>
          <w:szCs w:val="22"/>
        </w:rPr>
        <w:t>(</w:t>
      </w:r>
      <w:r w:rsidRPr="004C0B2B">
        <w:rPr>
          <w:rFonts w:ascii="Garamond" w:hAnsi="Garamond"/>
          <w:bCs/>
          <w:i/>
          <w:sz w:val="18"/>
          <w:szCs w:val="18"/>
        </w:rPr>
        <w:t>указывается для действующего состава точек поставки и точек измерений</w:t>
      </w:r>
      <w:r w:rsidRPr="004C0B2B">
        <w:rPr>
          <w:rFonts w:ascii="Garamond" w:hAnsi="Garamond"/>
          <w:bCs/>
          <w:i/>
          <w:sz w:val="22"/>
          <w:szCs w:val="22"/>
        </w:rPr>
        <w:t>)</w:t>
      </w:r>
      <w:r w:rsidRPr="004C0B2B">
        <w:rPr>
          <w:rFonts w:ascii="Garamond" w:hAnsi="Garamond"/>
          <w:sz w:val="22"/>
          <w:szCs w:val="22"/>
        </w:rPr>
        <w:t>.</w:t>
      </w:r>
    </w:p>
    <w:p w14:paraId="03EE1AFC" w14:textId="77777777" w:rsidR="004B3B82" w:rsidRPr="004C0B2B" w:rsidRDefault="004B3B82" w:rsidP="00101F7C">
      <w:pPr>
        <w:autoSpaceDE w:val="0"/>
        <w:autoSpaceDN w:val="0"/>
        <w:rPr>
          <w:rFonts w:ascii="Garamond" w:hAnsi="Garamond"/>
          <w:sz w:val="22"/>
          <w:szCs w:val="22"/>
        </w:rPr>
      </w:pPr>
    </w:p>
    <w:tbl>
      <w:tblPr>
        <w:tblW w:w="10003" w:type="dxa"/>
        <w:tblLook w:val="04A0" w:firstRow="1" w:lastRow="0" w:firstColumn="1" w:lastColumn="0" w:noHBand="0" w:noVBand="1"/>
      </w:tblPr>
      <w:tblGrid>
        <w:gridCol w:w="3224"/>
        <w:gridCol w:w="3556"/>
        <w:gridCol w:w="3223"/>
      </w:tblGrid>
      <w:tr w:rsidR="004B3B82" w:rsidRPr="004C0B2B" w14:paraId="3EE46E28" w14:textId="77777777" w:rsidTr="00CD3B05">
        <w:trPr>
          <w:trHeight w:val="665"/>
        </w:trPr>
        <w:tc>
          <w:tcPr>
            <w:tcW w:w="3224" w:type="dxa"/>
            <w:tcBorders>
              <w:top w:val="single" w:sz="4" w:space="0" w:color="auto"/>
            </w:tcBorders>
            <w:shd w:val="clear" w:color="auto" w:fill="auto"/>
            <w:vAlign w:val="center"/>
          </w:tcPr>
          <w:p w14:paraId="608DDF35" w14:textId="77777777" w:rsidR="004B3B82" w:rsidRPr="004C0B2B" w:rsidRDefault="004B3B82" w:rsidP="00CD3B05">
            <w:pPr>
              <w:jc w:val="center"/>
              <w:rPr>
                <w:rFonts w:ascii="Garamond" w:hAnsi="Garamond"/>
                <w:i/>
                <w:sz w:val="22"/>
                <w:szCs w:val="22"/>
                <w:lang w:eastAsia="en-US"/>
              </w:rPr>
            </w:pPr>
            <w:r w:rsidRPr="004C0B2B">
              <w:rPr>
                <w:rFonts w:ascii="Garamond" w:hAnsi="Garamond"/>
                <w:i/>
                <w:sz w:val="18"/>
                <w:szCs w:val="18"/>
                <w:lang w:eastAsia="en-US"/>
              </w:rPr>
              <w:lastRenderedPageBreak/>
              <w:t>(должность руководителя)</w:t>
            </w:r>
          </w:p>
        </w:tc>
        <w:tc>
          <w:tcPr>
            <w:tcW w:w="3556" w:type="dxa"/>
            <w:shd w:val="clear" w:color="auto" w:fill="auto"/>
            <w:vAlign w:val="center"/>
          </w:tcPr>
          <w:p w14:paraId="3DB8CDCB" w14:textId="77777777" w:rsidR="004B3B82" w:rsidRPr="004C0B2B" w:rsidRDefault="004B3B82" w:rsidP="00CD3B05">
            <w:pPr>
              <w:jc w:val="center"/>
              <w:rPr>
                <w:rFonts w:ascii="Garamond" w:hAnsi="Garamond"/>
                <w:i/>
                <w:sz w:val="22"/>
                <w:szCs w:val="22"/>
                <w:lang w:eastAsia="en-US"/>
              </w:rPr>
            </w:pPr>
          </w:p>
        </w:tc>
        <w:tc>
          <w:tcPr>
            <w:tcW w:w="3223" w:type="dxa"/>
            <w:tcBorders>
              <w:top w:val="single" w:sz="4" w:space="0" w:color="auto"/>
            </w:tcBorders>
            <w:shd w:val="clear" w:color="auto" w:fill="auto"/>
            <w:vAlign w:val="center"/>
          </w:tcPr>
          <w:p w14:paraId="75BBC0E8" w14:textId="77777777" w:rsidR="004B3B82" w:rsidRPr="004C0B2B" w:rsidRDefault="004B3B82" w:rsidP="00CD3B05">
            <w:pPr>
              <w:jc w:val="center"/>
              <w:rPr>
                <w:rFonts w:ascii="Garamond" w:hAnsi="Garamond"/>
                <w:i/>
                <w:sz w:val="22"/>
                <w:szCs w:val="22"/>
                <w:lang w:eastAsia="en-US"/>
              </w:rPr>
            </w:pPr>
            <w:r w:rsidRPr="004C0B2B">
              <w:rPr>
                <w:rFonts w:ascii="Garamond" w:hAnsi="Garamond"/>
                <w:i/>
                <w:sz w:val="18"/>
                <w:szCs w:val="18"/>
                <w:lang w:eastAsia="en-US"/>
              </w:rPr>
              <w:t>(Ф. И. О.)</w:t>
            </w:r>
          </w:p>
        </w:tc>
      </w:tr>
    </w:tbl>
    <w:p w14:paraId="5C62C155" w14:textId="77777777" w:rsidR="004B3B82" w:rsidRPr="004C0B2B" w:rsidRDefault="004B3B82" w:rsidP="00101F7C">
      <w:pPr>
        <w:jc w:val="both"/>
        <w:rPr>
          <w:rFonts w:ascii="Garamond" w:hAnsi="Garamond"/>
          <w:b/>
          <w:bCs/>
          <w:lang w:eastAsia="en-US"/>
        </w:rPr>
      </w:pPr>
    </w:p>
    <w:p w14:paraId="539FBAAF" w14:textId="77777777" w:rsidR="004B3B82" w:rsidRPr="004C0B2B" w:rsidRDefault="004B3B82" w:rsidP="00101F7C">
      <w:pPr>
        <w:jc w:val="both"/>
        <w:rPr>
          <w:rFonts w:ascii="Garamond" w:hAnsi="Garamond"/>
          <w:b/>
          <w:bCs/>
          <w:lang w:eastAsia="en-US"/>
        </w:rPr>
      </w:pPr>
      <w:r w:rsidRPr="004C0B2B">
        <w:rPr>
          <w:rFonts w:ascii="Garamond" w:hAnsi="Garamond"/>
          <w:b/>
          <w:bCs/>
          <w:lang w:eastAsia="en-US"/>
        </w:rPr>
        <w:t>Примечания.</w:t>
      </w:r>
    </w:p>
    <w:p w14:paraId="31C9BF7D" w14:textId="77777777" w:rsidR="004B3B82" w:rsidRPr="004C0B2B" w:rsidRDefault="004B3B82" w:rsidP="004B3B82">
      <w:pPr>
        <w:pStyle w:val="ac"/>
        <w:numPr>
          <w:ilvl w:val="0"/>
          <w:numId w:val="118"/>
        </w:numPr>
        <w:spacing w:before="160" w:after="160" w:line="259" w:lineRule="auto"/>
        <w:ind w:left="284" w:hanging="284"/>
        <w:jc w:val="both"/>
        <w:rPr>
          <w:rFonts w:ascii="Garamond" w:hAnsi="Garamond"/>
        </w:rPr>
      </w:pPr>
      <w:r w:rsidRPr="004C0B2B">
        <w:rPr>
          <w:rFonts w:ascii="Garamond" w:hAnsi="Garamond"/>
        </w:rPr>
        <w:t>Указать наименование и буквенный код сечения коммерческого учета или ГТП генерации, например:</w:t>
      </w:r>
    </w:p>
    <w:p w14:paraId="23C3F82D" w14:textId="77777777" w:rsidR="004B3B82" w:rsidRPr="004C0B2B" w:rsidRDefault="004B3B82" w:rsidP="00101F7C">
      <w:pPr>
        <w:pStyle w:val="ac"/>
        <w:ind w:left="284"/>
        <w:jc w:val="both"/>
        <w:rPr>
          <w:rFonts w:ascii="Garamond" w:hAnsi="Garamond"/>
        </w:rPr>
      </w:pPr>
      <w:r w:rsidRPr="004C0B2B">
        <w:rPr>
          <w:rFonts w:ascii="Garamond" w:hAnsi="Garamond"/>
        </w:rPr>
        <w:t>ЗАО «СбыТ» (ОАО «Уралсталь») – ОАО «Энергосбыт Север» (ОАО «Северскэнергосбыт») (P</w:t>
      </w:r>
      <w:r w:rsidRPr="004C0B2B">
        <w:rPr>
          <w:rFonts w:ascii="Garamond" w:hAnsi="Garamond"/>
          <w:lang w:val="en-US"/>
        </w:rPr>
        <w:t>SFIEN</w:t>
      </w:r>
      <w:r w:rsidRPr="004C0B2B">
        <w:rPr>
          <w:rFonts w:ascii="Garamond" w:hAnsi="Garamond"/>
        </w:rPr>
        <w:t>27-PS</w:t>
      </w:r>
      <w:r w:rsidRPr="004C0B2B">
        <w:rPr>
          <w:rFonts w:ascii="Garamond" w:hAnsi="Garamond"/>
          <w:lang w:val="en-US"/>
        </w:rPr>
        <w:t>S</w:t>
      </w:r>
      <w:r w:rsidRPr="004C0B2B">
        <w:rPr>
          <w:rFonts w:ascii="Garamond" w:hAnsi="Garamond"/>
        </w:rPr>
        <w:t>ERDLE);</w:t>
      </w:r>
    </w:p>
    <w:p w14:paraId="3014A10D" w14:textId="15F55A6C" w:rsidR="004B3B82" w:rsidRPr="004C0B2B" w:rsidRDefault="004B3B82" w:rsidP="00101F7C">
      <w:pPr>
        <w:pStyle w:val="ac"/>
        <w:ind w:left="284"/>
        <w:jc w:val="both"/>
        <w:rPr>
          <w:rFonts w:ascii="Garamond" w:hAnsi="Garamond"/>
        </w:rPr>
      </w:pPr>
      <w:r w:rsidRPr="004C0B2B">
        <w:rPr>
          <w:rFonts w:ascii="Garamond" w:hAnsi="Garamond"/>
        </w:rPr>
        <w:t>ПАО «</w:t>
      </w:r>
      <w:r w:rsidRPr="004C0B2B">
        <w:rPr>
          <w:rFonts w:ascii="Garamond" w:hAnsi="Garamond"/>
          <w:lang w:eastAsia="en-US"/>
        </w:rPr>
        <w:t>Россети</w:t>
      </w:r>
      <w:r w:rsidRPr="004C0B2B">
        <w:rPr>
          <w:rFonts w:ascii="Garamond" w:hAnsi="Garamond"/>
        </w:rPr>
        <w:t xml:space="preserve">» (МЭС Северо-Запада (по сетям Республики Коми)) – ОАО «Энергосбыт Север» (ОАО </w:t>
      </w:r>
      <w:r w:rsidR="009B5F03">
        <w:rPr>
          <w:rFonts w:ascii="Garamond" w:hAnsi="Garamond"/>
        </w:rPr>
        <w:t>«Северскэнергосбыт») (FKOMIENE-</w:t>
      </w:r>
      <w:r w:rsidRPr="004C0B2B">
        <w:rPr>
          <w:rFonts w:ascii="Garamond" w:hAnsi="Garamond"/>
        </w:rPr>
        <w:t>PS</w:t>
      </w:r>
      <w:r w:rsidRPr="004C0B2B">
        <w:rPr>
          <w:rFonts w:ascii="Garamond" w:hAnsi="Garamond"/>
          <w:lang w:val="en-US"/>
        </w:rPr>
        <w:t>S</w:t>
      </w:r>
      <w:r w:rsidRPr="004C0B2B">
        <w:rPr>
          <w:rFonts w:ascii="Garamond" w:hAnsi="Garamond"/>
        </w:rPr>
        <w:t>ERDLE);</w:t>
      </w:r>
    </w:p>
    <w:p w14:paraId="22734D3C" w14:textId="77777777" w:rsidR="004B3B82" w:rsidRPr="004C0B2B" w:rsidRDefault="004B3B82" w:rsidP="00101F7C">
      <w:pPr>
        <w:pStyle w:val="ac"/>
        <w:ind w:left="284"/>
        <w:jc w:val="both"/>
        <w:rPr>
          <w:rFonts w:ascii="Garamond" w:hAnsi="Garamond"/>
        </w:rPr>
      </w:pPr>
      <w:r w:rsidRPr="004C0B2B">
        <w:rPr>
          <w:rFonts w:ascii="Garamond" w:hAnsi="Garamond"/>
        </w:rPr>
        <w:t>АО «Генерация» (Первая ТЭЦ) (</w:t>
      </w:r>
      <w:r w:rsidRPr="004C0B2B">
        <w:rPr>
          <w:rFonts w:ascii="Garamond" w:hAnsi="Garamond"/>
          <w:lang w:val="en-US"/>
        </w:rPr>
        <w:t>GOMSKE</w:t>
      </w:r>
      <w:r w:rsidRPr="004C0B2B">
        <w:rPr>
          <w:rFonts w:ascii="Garamond" w:hAnsi="Garamond"/>
        </w:rPr>
        <w:t>17).</w:t>
      </w:r>
    </w:p>
    <w:p w14:paraId="3C66C4A6" w14:textId="77777777" w:rsidR="004B3B82" w:rsidRPr="004C0B2B" w:rsidRDefault="004B3B82" w:rsidP="004B3B82">
      <w:pPr>
        <w:pStyle w:val="ac"/>
        <w:numPr>
          <w:ilvl w:val="0"/>
          <w:numId w:val="118"/>
        </w:numPr>
        <w:spacing w:after="160" w:line="259" w:lineRule="auto"/>
        <w:ind w:left="284" w:hanging="284"/>
        <w:rPr>
          <w:rFonts w:ascii="Garamond" w:hAnsi="Garamond"/>
        </w:rPr>
      </w:pPr>
      <w:r w:rsidRPr="004C0B2B">
        <w:rPr>
          <w:rFonts w:ascii="Garamond" w:hAnsi="Garamond"/>
        </w:rPr>
        <w:t>В качестве основания указывается:</w:t>
      </w:r>
    </w:p>
    <w:p w14:paraId="4D92E394" w14:textId="77777777" w:rsidR="004B3B82" w:rsidRPr="004C0B2B" w:rsidRDefault="004B3B82" w:rsidP="004B3B82">
      <w:pPr>
        <w:pStyle w:val="ac"/>
        <w:numPr>
          <w:ilvl w:val="1"/>
          <w:numId w:val="118"/>
        </w:numPr>
        <w:autoSpaceDE w:val="0"/>
        <w:autoSpaceDN w:val="0"/>
        <w:spacing w:after="160" w:line="259" w:lineRule="auto"/>
        <w:ind w:left="567" w:hanging="283"/>
        <w:jc w:val="both"/>
        <w:rPr>
          <w:rFonts w:ascii="Garamond" w:hAnsi="Garamond"/>
        </w:rPr>
      </w:pPr>
      <w:r w:rsidRPr="004C0B2B">
        <w:rPr>
          <w:rFonts w:ascii="Garamond" w:hAnsi="Garamond"/>
        </w:rPr>
        <w:t>Новое сечение КУ / ГТП генерации в соответствии с комплектом документов, представленных в КО с заявлением по форме 3, 3Б, 3В, 4А, 4Б приложения 1 к Положению о реестре</w:t>
      </w:r>
      <w:r w:rsidRPr="004C0B2B">
        <w:t xml:space="preserve"> </w:t>
      </w:r>
      <w:r w:rsidRPr="004C0B2B">
        <w:rPr>
          <w:rFonts w:ascii="Garamond" w:hAnsi="Garamond"/>
        </w:rPr>
        <w:t>(выбрать нужное) вх. № ____ от ____ и заявлением по форме 4В приложения 1 к Положению о реестре</w:t>
      </w:r>
      <w:r w:rsidRPr="004C0B2B">
        <w:t xml:space="preserve"> </w:t>
      </w:r>
      <w:r w:rsidRPr="004C0B2B">
        <w:rPr>
          <w:rFonts w:ascii="Garamond" w:hAnsi="Garamond"/>
        </w:rPr>
        <w:t>вх. № _________ от __________ (указывается в случае предоставления в составе документов ответной квитанции (макет 60001)).</w:t>
      </w:r>
    </w:p>
    <w:p w14:paraId="1731855A" w14:textId="77777777" w:rsidR="004B3B82" w:rsidRPr="004C0B2B" w:rsidRDefault="004B3B82" w:rsidP="004B3B82">
      <w:pPr>
        <w:pStyle w:val="ac"/>
        <w:numPr>
          <w:ilvl w:val="1"/>
          <w:numId w:val="118"/>
        </w:numPr>
        <w:autoSpaceDE w:val="0"/>
        <w:autoSpaceDN w:val="0"/>
        <w:spacing w:after="160" w:line="259" w:lineRule="auto"/>
        <w:ind w:left="567" w:hanging="283"/>
        <w:jc w:val="both"/>
        <w:rPr>
          <w:rFonts w:ascii="Garamond" w:hAnsi="Garamond"/>
        </w:rPr>
      </w:pPr>
      <w:r w:rsidRPr="004C0B2B">
        <w:rPr>
          <w:rFonts w:ascii="Garamond" w:hAnsi="Garamond"/>
        </w:rPr>
        <w:t>Сечение КУ / ГТП генерации с изменением ТП в соответствии с комплектом документов, представленных в КО с заявлением по форме 3, 4А, 4Б приложения 1 к Положению о реестре</w:t>
      </w:r>
      <w:r w:rsidRPr="004C0B2B">
        <w:t xml:space="preserve"> </w:t>
      </w:r>
      <w:r w:rsidRPr="004C0B2B">
        <w:rPr>
          <w:rFonts w:ascii="Garamond" w:hAnsi="Garamond"/>
        </w:rPr>
        <w:t>(выбрать нужное) вх. № ____ от ____ и заявлением по форме 3, 4В приложения 1 к Положению о реестре</w:t>
      </w:r>
      <w:r w:rsidRPr="004C0B2B">
        <w:t xml:space="preserve"> </w:t>
      </w:r>
      <w:r w:rsidRPr="004C0B2B">
        <w:rPr>
          <w:rFonts w:ascii="Garamond" w:hAnsi="Garamond"/>
        </w:rPr>
        <w:t>вх. № _________ от __________ (указывается в случае предоставления в составе документов ответной квитанции (макет 60001)).</w:t>
      </w:r>
    </w:p>
    <w:p w14:paraId="61D58657" w14:textId="77777777" w:rsidR="004B3B82" w:rsidRPr="004C0B2B" w:rsidRDefault="004B3B82" w:rsidP="004B3B82">
      <w:pPr>
        <w:pStyle w:val="ac"/>
        <w:numPr>
          <w:ilvl w:val="1"/>
          <w:numId w:val="118"/>
        </w:numPr>
        <w:autoSpaceDE w:val="0"/>
        <w:autoSpaceDN w:val="0"/>
        <w:spacing w:after="160" w:line="259" w:lineRule="auto"/>
        <w:ind w:left="567" w:hanging="283"/>
        <w:jc w:val="both"/>
        <w:rPr>
          <w:rFonts w:ascii="Garamond" w:hAnsi="Garamond"/>
        </w:rPr>
      </w:pPr>
      <w:r w:rsidRPr="004C0B2B">
        <w:rPr>
          <w:rFonts w:ascii="Garamond" w:hAnsi="Garamond"/>
        </w:rPr>
        <w:t>Сечение КУ / ГТП генерации без изменения ТП в соответствии с комплектом документов, представленных в КО с заявлением по форме 3, 4В приложения 1 к Положению о реестре</w:t>
      </w:r>
      <w:r w:rsidRPr="004C0B2B">
        <w:t xml:space="preserve"> </w:t>
      </w:r>
      <w:r w:rsidRPr="004C0B2B">
        <w:rPr>
          <w:rFonts w:ascii="Garamond" w:hAnsi="Garamond"/>
        </w:rPr>
        <w:t xml:space="preserve">вх. № ______ от ______ (при наличии в составе документов ответной квитанции (макет 60001)). </w:t>
      </w:r>
    </w:p>
    <w:p w14:paraId="578F9DBB" w14:textId="77777777" w:rsidR="004B3B82" w:rsidRPr="004C0B2B" w:rsidRDefault="004B3B82" w:rsidP="004B3B82">
      <w:pPr>
        <w:pStyle w:val="ac"/>
        <w:numPr>
          <w:ilvl w:val="1"/>
          <w:numId w:val="118"/>
        </w:numPr>
        <w:autoSpaceDE w:val="0"/>
        <w:autoSpaceDN w:val="0"/>
        <w:spacing w:after="160" w:line="259" w:lineRule="auto"/>
        <w:ind w:left="567" w:hanging="283"/>
        <w:jc w:val="both"/>
        <w:rPr>
          <w:rFonts w:ascii="Garamond" w:hAnsi="Garamond"/>
        </w:rPr>
      </w:pPr>
      <w:r w:rsidRPr="004C0B2B">
        <w:rPr>
          <w:rFonts w:ascii="Garamond" w:hAnsi="Garamond"/>
        </w:rPr>
        <w:t>Действующий состав точек поставки и точек измерений подтвержден действующим ПСИ № ____ от ____ (</w:t>
      </w:r>
      <w:r w:rsidRPr="004C0B2B">
        <w:rPr>
          <w:rFonts w:ascii="Garamond" w:eastAsia="Calibri" w:hAnsi="Garamond"/>
        </w:rPr>
        <w:t xml:space="preserve">для случаев выполнения требований пп. 2.6.9, 4.2.3, 4.2.5, 4.4.1 Положения о реестре необходимо указать реквизиты ПСИ, представленного с заявлением по форме 19.4 </w:t>
      </w:r>
      <w:r w:rsidRPr="004C0B2B">
        <w:rPr>
          <w:rFonts w:ascii="Garamond" w:hAnsi="Garamond"/>
        </w:rPr>
        <w:t xml:space="preserve">приложения 1 к Положению о реестре). </w:t>
      </w:r>
    </w:p>
    <w:p w14:paraId="3BA2FEE1" w14:textId="77777777" w:rsidR="004B3B82" w:rsidRPr="004C0B2B" w:rsidRDefault="004B3B82" w:rsidP="004B3B82">
      <w:pPr>
        <w:pStyle w:val="ac"/>
        <w:numPr>
          <w:ilvl w:val="0"/>
          <w:numId w:val="118"/>
        </w:numPr>
        <w:spacing w:before="160" w:after="160" w:line="259" w:lineRule="auto"/>
        <w:ind w:left="284" w:hanging="284"/>
        <w:rPr>
          <w:rFonts w:ascii="Garamond" w:hAnsi="Garamond"/>
        </w:rPr>
      </w:pPr>
      <w:r w:rsidRPr="004C0B2B">
        <w:rPr>
          <w:rFonts w:ascii="Garamond" w:hAnsi="Garamond"/>
        </w:rPr>
        <w:t>В качестве краткого описания изменений указывается:</w:t>
      </w:r>
    </w:p>
    <w:p w14:paraId="7718BF73" w14:textId="77777777" w:rsidR="004B3B82" w:rsidRPr="004C0B2B" w:rsidRDefault="004B3B82" w:rsidP="004B3B82">
      <w:pPr>
        <w:pStyle w:val="ac"/>
        <w:numPr>
          <w:ilvl w:val="0"/>
          <w:numId w:val="114"/>
        </w:numPr>
        <w:spacing w:after="160" w:line="259" w:lineRule="auto"/>
        <w:ind w:hanging="76"/>
        <w:rPr>
          <w:rFonts w:ascii="Garamond" w:hAnsi="Garamond"/>
        </w:rPr>
      </w:pPr>
      <w:r w:rsidRPr="004C0B2B">
        <w:rPr>
          <w:rFonts w:ascii="Garamond" w:hAnsi="Garamond"/>
        </w:rPr>
        <w:t>уменьшение ТП (ТИ);</w:t>
      </w:r>
    </w:p>
    <w:p w14:paraId="0B758415" w14:textId="77777777" w:rsidR="004B3B82" w:rsidRPr="004C0B2B" w:rsidRDefault="004B3B82" w:rsidP="004B3B82">
      <w:pPr>
        <w:pStyle w:val="ac"/>
        <w:numPr>
          <w:ilvl w:val="0"/>
          <w:numId w:val="114"/>
        </w:numPr>
        <w:spacing w:after="160" w:line="259" w:lineRule="auto"/>
        <w:ind w:hanging="76"/>
        <w:rPr>
          <w:rFonts w:ascii="Garamond" w:hAnsi="Garamond"/>
        </w:rPr>
      </w:pPr>
      <w:r w:rsidRPr="004C0B2B">
        <w:rPr>
          <w:rFonts w:ascii="Garamond" w:hAnsi="Garamond"/>
        </w:rPr>
        <w:t>изменение наименования ранее зарегистрированной ГТП (сечения);</w:t>
      </w:r>
    </w:p>
    <w:p w14:paraId="3658E349" w14:textId="77777777" w:rsidR="004B3B82" w:rsidRPr="004C0B2B" w:rsidRDefault="004B3B82" w:rsidP="004B3B82">
      <w:pPr>
        <w:pStyle w:val="ac"/>
        <w:numPr>
          <w:ilvl w:val="0"/>
          <w:numId w:val="114"/>
        </w:numPr>
        <w:spacing w:after="160" w:line="259" w:lineRule="auto"/>
        <w:ind w:hanging="76"/>
        <w:rPr>
          <w:rFonts w:ascii="Garamond" w:hAnsi="Garamond"/>
        </w:rPr>
      </w:pPr>
      <w:r w:rsidRPr="004C0B2B">
        <w:rPr>
          <w:rFonts w:ascii="Garamond" w:hAnsi="Garamond"/>
        </w:rPr>
        <w:t>изменение количества малых ТП;</w:t>
      </w:r>
    </w:p>
    <w:p w14:paraId="0B143034" w14:textId="77777777" w:rsidR="004B3B82" w:rsidRPr="004C0B2B" w:rsidRDefault="004B3B82" w:rsidP="004B3B82">
      <w:pPr>
        <w:pStyle w:val="ac"/>
        <w:numPr>
          <w:ilvl w:val="0"/>
          <w:numId w:val="114"/>
        </w:numPr>
        <w:spacing w:after="160" w:line="259" w:lineRule="auto"/>
        <w:ind w:hanging="76"/>
        <w:rPr>
          <w:rFonts w:ascii="Garamond" w:hAnsi="Garamond"/>
        </w:rPr>
      </w:pPr>
      <w:r w:rsidRPr="004C0B2B">
        <w:rPr>
          <w:rFonts w:ascii="Garamond" w:hAnsi="Garamond"/>
        </w:rPr>
        <w:t>объединение сечений КУ / ГТП генерации;</w:t>
      </w:r>
    </w:p>
    <w:p w14:paraId="2089F5B6" w14:textId="77777777" w:rsidR="004B3B82" w:rsidRPr="004C0B2B" w:rsidRDefault="004B3B82" w:rsidP="004B3B82">
      <w:pPr>
        <w:pStyle w:val="ac"/>
        <w:numPr>
          <w:ilvl w:val="0"/>
          <w:numId w:val="114"/>
        </w:numPr>
        <w:autoSpaceDE w:val="0"/>
        <w:autoSpaceDN w:val="0"/>
        <w:spacing w:after="160" w:line="259" w:lineRule="auto"/>
        <w:ind w:hanging="76"/>
        <w:jc w:val="both"/>
        <w:rPr>
          <w:rFonts w:ascii="Garamond" w:hAnsi="Garamond"/>
        </w:rPr>
      </w:pPr>
      <w:r w:rsidRPr="004C0B2B">
        <w:rPr>
          <w:rFonts w:ascii="Garamond" w:hAnsi="Garamond"/>
        </w:rPr>
        <w:t>разделение сечения КУ / ГТП генерации;</w:t>
      </w:r>
    </w:p>
    <w:p w14:paraId="67A41125" w14:textId="77777777" w:rsidR="004B3B82" w:rsidRPr="004C0B2B" w:rsidRDefault="004B3B82" w:rsidP="004B3B82">
      <w:pPr>
        <w:pStyle w:val="ac"/>
        <w:numPr>
          <w:ilvl w:val="0"/>
          <w:numId w:val="114"/>
        </w:numPr>
        <w:autoSpaceDE w:val="0"/>
        <w:autoSpaceDN w:val="0"/>
        <w:spacing w:after="160" w:line="259" w:lineRule="auto"/>
        <w:ind w:hanging="76"/>
        <w:jc w:val="both"/>
        <w:rPr>
          <w:rFonts w:ascii="Garamond" w:hAnsi="Garamond"/>
        </w:rPr>
      </w:pPr>
      <w:r w:rsidRPr="004C0B2B">
        <w:rPr>
          <w:rFonts w:ascii="Garamond" w:hAnsi="Garamond"/>
        </w:rPr>
        <w:t>приведение наименований ТП и ТИ в соответствие требованиям Положения о реестре;</w:t>
      </w:r>
    </w:p>
    <w:p w14:paraId="1C32A3F7" w14:textId="77777777" w:rsidR="004B3B82" w:rsidRPr="004C0B2B" w:rsidRDefault="004B3B82" w:rsidP="004B3B82">
      <w:pPr>
        <w:pStyle w:val="ac"/>
        <w:numPr>
          <w:ilvl w:val="0"/>
          <w:numId w:val="114"/>
        </w:numPr>
        <w:autoSpaceDE w:val="0"/>
        <w:autoSpaceDN w:val="0"/>
        <w:spacing w:after="160" w:line="259" w:lineRule="auto"/>
        <w:ind w:hanging="76"/>
        <w:jc w:val="both"/>
        <w:rPr>
          <w:rFonts w:ascii="Garamond" w:hAnsi="Garamond"/>
        </w:rPr>
      </w:pPr>
      <w:r w:rsidRPr="004C0B2B">
        <w:rPr>
          <w:rFonts w:ascii="Garamond" w:hAnsi="Garamond"/>
        </w:rPr>
        <w:t>изменение алгоритма расчета величины сальдо перетоков электроэнергии в сечении коммерческого учета или алгоритма расчета величины произведенной электроэнергии в ГТП генерации;</w:t>
      </w:r>
    </w:p>
    <w:p w14:paraId="5DC9074E" w14:textId="77777777" w:rsidR="004B3B82" w:rsidRPr="004C0B2B" w:rsidRDefault="004B3B82" w:rsidP="004B3B82">
      <w:pPr>
        <w:pStyle w:val="ac"/>
        <w:numPr>
          <w:ilvl w:val="0"/>
          <w:numId w:val="114"/>
        </w:numPr>
        <w:autoSpaceDE w:val="0"/>
        <w:autoSpaceDN w:val="0"/>
        <w:spacing w:after="160" w:line="259" w:lineRule="auto"/>
        <w:ind w:hanging="76"/>
        <w:jc w:val="both"/>
        <w:rPr>
          <w:rFonts w:ascii="Garamond" w:hAnsi="Garamond"/>
        </w:rPr>
      </w:pPr>
      <w:r w:rsidRPr="004C0B2B">
        <w:rPr>
          <w:rFonts w:ascii="Garamond" w:hAnsi="Garamond"/>
        </w:rPr>
        <w:t>иное.</w:t>
      </w:r>
    </w:p>
    <w:p w14:paraId="042A2D9B" w14:textId="77777777" w:rsidR="004B3B82" w:rsidRPr="004C0B2B" w:rsidRDefault="004B3B82" w:rsidP="00101F7C">
      <w:pPr>
        <w:tabs>
          <w:tab w:val="left" w:pos="1320"/>
        </w:tabs>
        <w:autoSpaceDE w:val="0"/>
        <w:autoSpaceDN w:val="0"/>
        <w:spacing w:before="120" w:after="120"/>
        <w:ind w:firstLine="600"/>
        <w:jc w:val="both"/>
        <w:rPr>
          <w:rFonts w:ascii="Garamond" w:hAnsi="Garamond"/>
          <w:color w:val="000000"/>
          <w:sz w:val="22"/>
          <w:szCs w:val="22"/>
        </w:rPr>
      </w:pPr>
      <w:r w:rsidRPr="004C0B2B">
        <w:rPr>
          <w:rFonts w:ascii="Garamond" w:hAnsi="Garamond"/>
          <w:color w:val="000000"/>
          <w:sz w:val="22"/>
          <w:szCs w:val="22"/>
        </w:rPr>
        <w:br w:type="page"/>
      </w:r>
    </w:p>
    <w:p w14:paraId="612446DC" w14:textId="77777777" w:rsidR="004B3B82" w:rsidRPr="004C0B2B" w:rsidRDefault="004B3B82" w:rsidP="00101F7C">
      <w:pPr>
        <w:rPr>
          <w:rFonts w:ascii="Garamond" w:hAnsi="Garamond"/>
          <w:b/>
          <w:sz w:val="22"/>
          <w:szCs w:val="22"/>
        </w:rPr>
      </w:pPr>
      <w:r w:rsidRPr="004C0B2B">
        <w:rPr>
          <w:rFonts w:ascii="Garamond" w:hAnsi="Garamond"/>
          <w:b/>
          <w:sz w:val="22"/>
          <w:szCs w:val="22"/>
        </w:rPr>
        <w:lastRenderedPageBreak/>
        <w:t>Предлагаемая редакция</w:t>
      </w:r>
    </w:p>
    <w:p w14:paraId="47BF3E90" w14:textId="77777777" w:rsidR="004B3B82" w:rsidRPr="004C0B2B" w:rsidRDefault="004B3B82" w:rsidP="00101F7C">
      <w:pPr>
        <w:jc w:val="center"/>
        <w:rPr>
          <w:rFonts w:ascii="Garamond" w:hAnsi="Garamond"/>
          <w:b/>
          <w:sz w:val="22"/>
          <w:szCs w:val="22"/>
        </w:rPr>
      </w:pPr>
      <w:r w:rsidRPr="004C0B2B">
        <w:rPr>
          <w:rFonts w:ascii="Garamond" w:hAnsi="Garamond"/>
          <w:b/>
          <w:sz w:val="22"/>
          <w:szCs w:val="22"/>
        </w:rPr>
        <w:t>Форма 4</w:t>
      </w:r>
    </w:p>
    <w:p w14:paraId="0ECFEF96" w14:textId="77777777" w:rsidR="004B3B82" w:rsidRPr="004C0B2B" w:rsidRDefault="004B3B82" w:rsidP="00101F7C">
      <w:pPr>
        <w:autoSpaceDE w:val="0"/>
        <w:autoSpaceDN w:val="0"/>
        <w:rPr>
          <w:rFonts w:ascii="Garamond" w:hAnsi="Garamond"/>
          <w:sz w:val="22"/>
          <w:szCs w:val="22"/>
        </w:rPr>
      </w:pPr>
      <w:r w:rsidRPr="004C0B2B">
        <w:rPr>
          <w:rFonts w:ascii="Garamond" w:hAnsi="Garamond"/>
          <w:sz w:val="22"/>
          <w:szCs w:val="22"/>
        </w:rPr>
        <w:t xml:space="preserve">(на бланке заявителя) </w:t>
      </w:r>
    </w:p>
    <w:p w14:paraId="5A26F5BA" w14:textId="77777777" w:rsidR="004B3B82" w:rsidRPr="004C0B2B" w:rsidRDefault="004B3B82" w:rsidP="00101F7C">
      <w:pPr>
        <w:autoSpaceDE w:val="0"/>
        <w:autoSpaceDN w:val="0"/>
        <w:rPr>
          <w:rFonts w:ascii="Garamond" w:hAnsi="Garamond"/>
          <w:sz w:val="22"/>
          <w:szCs w:val="22"/>
        </w:rPr>
      </w:pPr>
    </w:p>
    <w:p w14:paraId="23ADCF2B" w14:textId="77777777" w:rsidR="004B3B82" w:rsidRPr="004C0B2B" w:rsidRDefault="004B3B82" w:rsidP="00101F7C">
      <w:pPr>
        <w:ind w:left="7371" w:right="-428"/>
        <w:jc w:val="both"/>
        <w:rPr>
          <w:rFonts w:ascii="Garamond" w:hAnsi="Garamond"/>
          <w:b/>
          <w:sz w:val="22"/>
          <w:szCs w:val="22"/>
          <w:lang w:eastAsia="en-US"/>
        </w:rPr>
      </w:pPr>
      <w:r w:rsidRPr="004C0B2B">
        <w:rPr>
          <w:rFonts w:ascii="Garamond" w:hAnsi="Garamond"/>
          <w:b/>
          <w:sz w:val="22"/>
          <w:szCs w:val="22"/>
          <w:lang w:eastAsia="en-US"/>
        </w:rPr>
        <w:t>Председателю Правления</w:t>
      </w:r>
    </w:p>
    <w:p w14:paraId="5DF15BFE" w14:textId="77777777" w:rsidR="004B3B82" w:rsidRPr="004C0B2B" w:rsidRDefault="004B3B82" w:rsidP="00101F7C">
      <w:pPr>
        <w:ind w:left="7371" w:right="-428"/>
        <w:jc w:val="both"/>
        <w:rPr>
          <w:rFonts w:ascii="Garamond" w:hAnsi="Garamond"/>
          <w:b/>
          <w:sz w:val="22"/>
          <w:szCs w:val="22"/>
          <w:lang w:eastAsia="en-US"/>
        </w:rPr>
      </w:pPr>
      <w:r w:rsidRPr="004C0B2B">
        <w:rPr>
          <w:rFonts w:ascii="Garamond" w:hAnsi="Garamond"/>
          <w:b/>
          <w:sz w:val="22"/>
          <w:szCs w:val="22"/>
          <w:lang w:eastAsia="en-US"/>
        </w:rPr>
        <w:t>АО «АТС»</w:t>
      </w:r>
    </w:p>
    <w:p w14:paraId="0F630208" w14:textId="77777777" w:rsidR="004B3B82" w:rsidRPr="004C0B2B" w:rsidRDefault="004B3B82" w:rsidP="00101F7C">
      <w:pPr>
        <w:jc w:val="both"/>
        <w:rPr>
          <w:rFonts w:ascii="Garamond" w:hAnsi="Garamond"/>
          <w:sz w:val="22"/>
          <w:szCs w:val="22"/>
          <w:lang w:eastAsia="en-US"/>
        </w:rPr>
      </w:pPr>
      <w:r w:rsidRPr="004C0B2B">
        <w:rPr>
          <w:rFonts w:ascii="Garamond" w:hAnsi="Garamond"/>
          <w:sz w:val="22"/>
          <w:szCs w:val="22"/>
          <w:lang w:eastAsia="en-US"/>
        </w:rPr>
        <w:t xml:space="preserve">№ _____________________ </w:t>
      </w:r>
    </w:p>
    <w:p w14:paraId="6451AFD1" w14:textId="77777777" w:rsidR="004B3B82" w:rsidRPr="004C0B2B" w:rsidRDefault="004B3B82" w:rsidP="00101F7C">
      <w:pPr>
        <w:jc w:val="both"/>
        <w:rPr>
          <w:rFonts w:ascii="Garamond" w:hAnsi="Garamond"/>
          <w:sz w:val="22"/>
          <w:szCs w:val="22"/>
          <w:lang w:eastAsia="en-US"/>
        </w:rPr>
      </w:pPr>
      <w:r w:rsidRPr="004C0B2B">
        <w:rPr>
          <w:rFonts w:ascii="Garamond" w:hAnsi="Garamond"/>
          <w:sz w:val="22"/>
          <w:szCs w:val="22"/>
          <w:lang w:eastAsia="en-US"/>
        </w:rPr>
        <w:t>«___» ___________ 20 ___ г.</w:t>
      </w:r>
    </w:p>
    <w:p w14:paraId="2CD2C6A2" w14:textId="77777777" w:rsidR="004B3B82" w:rsidRPr="004C0B2B" w:rsidRDefault="004B3B82" w:rsidP="00101F7C"/>
    <w:p w14:paraId="2D1B094C" w14:textId="77777777" w:rsidR="004B3B82" w:rsidRPr="004C0B2B" w:rsidRDefault="004B3B82" w:rsidP="00101F7C">
      <w:pPr>
        <w:jc w:val="center"/>
        <w:rPr>
          <w:rFonts w:ascii="Garamond" w:hAnsi="Garamond"/>
          <w:b/>
          <w:sz w:val="22"/>
          <w:szCs w:val="22"/>
          <w:lang w:eastAsia="en-US"/>
        </w:rPr>
      </w:pPr>
      <w:r w:rsidRPr="004C0B2B">
        <w:rPr>
          <w:rFonts w:ascii="Garamond" w:hAnsi="Garamond"/>
          <w:b/>
          <w:sz w:val="22"/>
          <w:szCs w:val="22"/>
          <w:lang w:eastAsia="en-US"/>
        </w:rPr>
        <w:t>ЗАЯВЛЕНИЕ</w:t>
      </w:r>
    </w:p>
    <w:p w14:paraId="0140774A" w14:textId="77777777" w:rsidR="004B3B82" w:rsidRPr="004C0B2B" w:rsidRDefault="004B3B82" w:rsidP="00101F7C">
      <w:pPr>
        <w:ind w:firstLine="540"/>
        <w:jc w:val="both"/>
        <w:rPr>
          <w:rFonts w:ascii="Garamond" w:hAnsi="Garamond"/>
          <w:b/>
          <w:sz w:val="22"/>
          <w:szCs w:val="22"/>
          <w:lang w:eastAsia="en-US"/>
        </w:rPr>
      </w:pPr>
      <w:r w:rsidRPr="004C0B2B">
        <w:rPr>
          <w:rFonts w:ascii="Garamond" w:hAnsi="Garamond"/>
          <w:spacing w:val="-2"/>
          <w:sz w:val="22"/>
          <w:szCs w:val="22"/>
        </w:rPr>
        <w:t xml:space="preserve"> </w:t>
      </w:r>
      <w:r w:rsidRPr="004C0B2B">
        <w:rPr>
          <w:rFonts w:ascii="Garamond" w:hAnsi="Garamond"/>
          <w:b/>
          <w:sz w:val="22"/>
          <w:szCs w:val="22"/>
          <w:lang w:eastAsia="en-US"/>
        </w:rPr>
        <w:t>об установлении соответствия системы коммерческого учета электрической энергии техническим требованиям оптового рынка электрической энергии и мощности</w:t>
      </w:r>
    </w:p>
    <w:p w14:paraId="212CFAB9" w14:textId="77777777" w:rsidR="004B3B82" w:rsidRPr="004C0B2B" w:rsidRDefault="004B3B82" w:rsidP="00101F7C">
      <w:pPr>
        <w:autoSpaceDE w:val="0"/>
        <w:autoSpaceDN w:val="0"/>
        <w:rPr>
          <w:rFonts w:ascii="Garamond" w:hAnsi="Garamond"/>
          <w:spacing w:val="-2"/>
          <w:sz w:val="22"/>
          <w:szCs w:val="22"/>
        </w:rPr>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02"/>
        <w:gridCol w:w="7058"/>
      </w:tblGrid>
      <w:tr w:rsidR="004B3B82" w:rsidRPr="004C0B2B" w14:paraId="1076F5CB" w14:textId="77777777" w:rsidTr="00CD3B05">
        <w:trPr>
          <w:trHeight w:val="421"/>
        </w:trPr>
        <w:tc>
          <w:tcPr>
            <w:tcW w:w="3002" w:type="dxa"/>
            <w:shd w:val="clear" w:color="auto" w:fill="D9D9D9"/>
            <w:vAlign w:val="center"/>
          </w:tcPr>
          <w:p w14:paraId="559B3E75" w14:textId="77777777" w:rsidR="004B3B82" w:rsidRPr="004C0B2B" w:rsidRDefault="004B3B82" w:rsidP="00CD3B05">
            <w:pPr>
              <w:jc w:val="both"/>
              <w:rPr>
                <w:rFonts w:ascii="Garamond" w:hAnsi="Garamond"/>
                <w:sz w:val="22"/>
                <w:szCs w:val="22"/>
                <w:lang w:eastAsia="en-US"/>
              </w:rPr>
            </w:pPr>
            <w:r w:rsidRPr="004C0B2B">
              <w:rPr>
                <w:rFonts w:ascii="Garamond" w:hAnsi="Garamond"/>
                <w:sz w:val="22"/>
                <w:szCs w:val="22"/>
                <w:lang w:eastAsia="en-US"/>
              </w:rPr>
              <w:t>Полное наименование заявителя</w:t>
            </w:r>
          </w:p>
        </w:tc>
        <w:tc>
          <w:tcPr>
            <w:tcW w:w="7058" w:type="dxa"/>
            <w:shd w:val="clear" w:color="auto" w:fill="auto"/>
            <w:vAlign w:val="center"/>
          </w:tcPr>
          <w:p w14:paraId="3FB7FD23" w14:textId="77777777" w:rsidR="004B3B82" w:rsidRPr="004C0B2B" w:rsidRDefault="004B3B82" w:rsidP="00CD3B05">
            <w:pPr>
              <w:autoSpaceDE w:val="0"/>
              <w:autoSpaceDN w:val="0"/>
              <w:rPr>
                <w:rFonts w:ascii="Garamond" w:hAnsi="Garamond"/>
                <w:sz w:val="22"/>
                <w:szCs w:val="22"/>
                <w:lang w:eastAsia="en-US"/>
              </w:rPr>
            </w:pPr>
          </w:p>
        </w:tc>
      </w:tr>
      <w:tr w:rsidR="004B3B82" w:rsidRPr="004C0B2B" w14:paraId="0BF4038B" w14:textId="77777777" w:rsidTr="00CD3B05">
        <w:trPr>
          <w:trHeight w:val="340"/>
        </w:trPr>
        <w:tc>
          <w:tcPr>
            <w:tcW w:w="3002" w:type="dxa"/>
            <w:shd w:val="clear" w:color="auto" w:fill="D9D9D9"/>
            <w:vAlign w:val="center"/>
          </w:tcPr>
          <w:p w14:paraId="3EC02A90" w14:textId="77777777" w:rsidR="004B3B82" w:rsidRPr="004C0B2B" w:rsidRDefault="004B3B82" w:rsidP="00CD3B05">
            <w:pPr>
              <w:jc w:val="both"/>
              <w:rPr>
                <w:rFonts w:ascii="Garamond" w:hAnsi="Garamond"/>
                <w:sz w:val="22"/>
                <w:szCs w:val="22"/>
                <w:lang w:eastAsia="en-US"/>
              </w:rPr>
            </w:pPr>
            <w:r w:rsidRPr="004C0B2B">
              <w:rPr>
                <w:rFonts w:ascii="Garamond" w:hAnsi="Garamond"/>
                <w:sz w:val="22"/>
                <w:szCs w:val="22"/>
                <w:lang w:eastAsia="en-US"/>
              </w:rPr>
              <w:t>Сокращенное наименование заявителя</w:t>
            </w:r>
          </w:p>
        </w:tc>
        <w:tc>
          <w:tcPr>
            <w:tcW w:w="7058" w:type="dxa"/>
            <w:shd w:val="clear" w:color="auto" w:fill="auto"/>
            <w:vAlign w:val="center"/>
          </w:tcPr>
          <w:p w14:paraId="6D2DAA88" w14:textId="77777777" w:rsidR="004B3B82" w:rsidRPr="004C0B2B" w:rsidRDefault="004B3B82" w:rsidP="00CD3B05">
            <w:pPr>
              <w:jc w:val="both"/>
              <w:rPr>
                <w:rFonts w:ascii="Garamond" w:hAnsi="Garamond"/>
                <w:b/>
                <w:sz w:val="22"/>
                <w:szCs w:val="22"/>
                <w:lang w:eastAsia="en-US"/>
              </w:rPr>
            </w:pPr>
          </w:p>
        </w:tc>
      </w:tr>
    </w:tbl>
    <w:p w14:paraId="2B38A0C6" w14:textId="77777777" w:rsidR="004B3B82" w:rsidRPr="004C0B2B" w:rsidRDefault="004B3B82" w:rsidP="00101F7C">
      <w:pPr>
        <w:autoSpaceDE w:val="0"/>
        <w:autoSpaceDN w:val="0"/>
        <w:jc w:val="both"/>
        <w:rPr>
          <w:rFonts w:ascii="Garamond" w:hAnsi="Garamond"/>
          <w:spacing w:val="-2"/>
          <w:sz w:val="22"/>
          <w:szCs w:val="22"/>
        </w:rPr>
      </w:pPr>
    </w:p>
    <w:p w14:paraId="367C8507" w14:textId="77777777" w:rsidR="004B3B82" w:rsidRPr="004C0B2B" w:rsidRDefault="004B3B82" w:rsidP="00101F7C">
      <w:pPr>
        <w:autoSpaceDE w:val="0"/>
        <w:autoSpaceDN w:val="0"/>
        <w:jc w:val="both"/>
        <w:rPr>
          <w:rFonts w:ascii="Garamond" w:hAnsi="Garamond"/>
          <w:sz w:val="22"/>
          <w:szCs w:val="22"/>
          <w:vertAlign w:val="superscript"/>
          <w:lang w:eastAsia="en-US"/>
        </w:rPr>
      </w:pPr>
      <w:r w:rsidRPr="004C0B2B">
        <w:rPr>
          <w:rFonts w:ascii="Garamond" w:hAnsi="Garamond"/>
          <w:spacing w:val="-2"/>
          <w:sz w:val="22"/>
          <w:szCs w:val="22"/>
        </w:rPr>
        <w:t xml:space="preserve">выражает намерение установить соответствие системы коммерческого учета электроэнергии и оформить </w:t>
      </w:r>
      <w:r w:rsidRPr="004C0B2B">
        <w:rPr>
          <w:rFonts w:ascii="Garamond" w:hAnsi="Garamond"/>
          <w:sz w:val="22"/>
          <w:szCs w:val="22"/>
        </w:rPr>
        <w:t>Акт о соответствии системы коммерческого учета электрической энергии техническим требованиям оптового рынка электрической энергии и мощности</w:t>
      </w:r>
    </w:p>
    <w:p w14:paraId="620820C0" w14:textId="77777777" w:rsidR="004B3B82" w:rsidRPr="004C0B2B" w:rsidRDefault="004B3B82" w:rsidP="00101F7C">
      <w:pPr>
        <w:autoSpaceDE w:val="0"/>
        <w:autoSpaceDN w:val="0"/>
        <w:jc w:val="both"/>
        <w:rPr>
          <w:rFonts w:ascii="Garamond" w:hAnsi="Garamond"/>
          <w:sz w:val="22"/>
          <w:szCs w:val="22"/>
          <w:vertAlign w:val="superscript"/>
          <w:lang w:eastAsia="en-US"/>
        </w:rPr>
      </w:pPr>
    </w:p>
    <w:tbl>
      <w:tblPr>
        <w:tblW w:w="10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03"/>
        <w:gridCol w:w="7062"/>
      </w:tblGrid>
      <w:tr w:rsidR="004B3B82" w:rsidRPr="004C0B2B" w14:paraId="055A435C" w14:textId="77777777" w:rsidTr="00CD3B05">
        <w:trPr>
          <w:trHeight w:val="340"/>
        </w:trPr>
        <w:tc>
          <w:tcPr>
            <w:tcW w:w="3003" w:type="dxa"/>
            <w:shd w:val="clear" w:color="auto" w:fill="D9D9D9"/>
            <w:vAlign w:val="center"/>
          </w:tcPr>
          <w:p w14:paraId="6CDD6354" w14:textId="77777777" w:rsidR="004B3B82" w:rsidRPr="004C0B2B" w:rsidRDefault="004B3B82" w:rsidP="00CD3B05">
            <w:pPr>
              <w:jc w:val="both"/>
              <w:rPr>
                <w:rFonts w:ascii="Garamond" w:hAnsi="Garamond"/>
                <w:sz w:val="22"/>
                <w:szCs w:val="22"/>
                <w:lang w:eastAsia="en-US"/>
              </w:rPr>
            </w:pPr>
            <w:r w:rsidRPr="004C0B2B">
              <w:rPr>
                <w:rFonts w:ascii="Garamond" w:hAnsi="Garamond"/>
                <w:sz w:val="22"/>
                <w:szCs w:val="22"/>
                <w:lang w:eastAsia="en-US"/>
              </w:rPr>
              <w:t xml:space="preserve">Наименование сечения КУ / ГТП генерации </w:t>
            </w:r>
            <w:r w:rsidRPr="004C0B2B">
              <w:rPr>
                <w:rFonts w:ascii="Garamond" w:hAnsi="Garamond"/>
                <w:sz w:val="22"/>
                <w:szCs w:val="22"/>
                <w:vertAlign w:val="superscript"/>
                <w:lang w:eastAsia="en-US"/>
              </w:rPr>
              <w:t>1</w:t>
            </w:r>
          </w:p>
        </w:tc>
        <w:tc>
          <w:tcPr>
            <w:tcW w:w="7062" w:type="dxa"/>
            <w:shd w:val="clear" w:color="auto" w:fill="auto"/>
            <w:vAlign w:val="center"/>
          </w:tcPr>
          <w:p w14:paraId="043877D8" w14:textId="77777777" w:rsidR="004B3B82" w:rsidRPr="004C0B2B" w:rsidRDefault="004B3B82" w:rsidP="00CD3B05">
            <w:pPr>
              <w:jc w:val="both"/>
              <w:rPr>
                <w:rFonts w:ascii="Garamond" w:hAnsi="Garamond"/>
                <w:b/>
                <w:sz w:val="22"/>
                <w:szCs w:val="22"/>
                <w:lang w:eastAsia="en-US"/>
              </w:rPr>
            </w:pPr>
          </w:p>
        </w:tc>
      </w:tr>
      <w:tr w:rsidR="004B3B82" w:rsidRPr="004C0B2B" w14:paraId="1A5BB273" w14:textId="77777777" w:rsidTr="00CD3B05">
        <w:trPr>
          <w:trHeight w:val="340"/>
        </w:trPr>
        <w:tc>
          <w:tcPr>
            <w:tcW w:w="3003" w:type="dxa"/>
            <w:shd w:val="clear" w:color="auto" w:fill="D9D9D9"/>
            <w:vAlign w:val="center"/>
          </w:tcPr>
          <w:p w14:paraId="72D6C223" w14:textId="77777777" w:rsidR="004B3B82" w:rsidRPr="004C0B2B" w:rsidRDefault="004B3B82" w:rsidP="00CD3B05">
            <w:pPr>
              <w:jc w:val="both"/>
              <w:rPr>
                <w:rFonts w:ascii="Garamond" w:hAnsi="Garamond"/>
                <w:sz w:val="22"/>
                <w:szCs w:val="22"/>
                <w:lang w:eastAsia="en-US"/>
              </w:rPr>
            </w:pPr>
            <w:r w:rsidRPr="004C0B2B">
              <w:rPr>
                <w:rFonts w:ascii="Garamond" w:hAnsi="Garamond"/>
                <w:sz w:val="22"/>
                <w:szCs w:val="22"/>
                <w:lang w:eastAsia="en-US"/>
              </w:rPr>
              <w:t xml:space="preserve">Основание </w:t>
            </w:r>
            <w:r w:rsidRPr="004C0B2B">
              <w:rPr>
                <w:rFonts w:ascii="Garamond" w:hAnsi="Garamond"/>
                <w:sz w:val="22"/>
                <w:szCs w:val="22"/>
                <w:vertAlign w:val="superscript"/>
                <w:lang w:eastAsia="en-US"/>
              </w:rPr>
              <w:t>2</w:t>
            </w:r>
          </w:p>
        </w:tc>
        <w:tc>
          <w:tcPr>
            <w:tcW w:w="7062" w:type="dxa"/>
            <w:shd w:val="clear" w:color="auto" w:fill="auto"/>
            <w:vAlign w:val="center"/>
          </w:tcPr>
          <w:p w14:paraId="33E2AEE1" w14:textId="77777777" w:rsidR="004B3B82" w:rsidRPr="004C0B2B" w:rsidRDefault="004B3B82" w:rsidP="00CD3B05">
            <w:pPr>
              <w:jc w:val="both"/>
              <w:rPr>
                <w:rFonts w:ascii="Garamond" w:hAnsi="Garamond"/>
                <w:b/>
                <w:sz w:val="22"/>
                <w:szCs w:val="22"/>
                <w:lang w:eastAsia="en-US"/>
              </w:rPr>
            </w:pPr>
          </w:p>
        </w:tc>
      </w:tr>
      <w:tr w:rsidR="004B3B82" w:rsidRPr="004C0B2B" w14:paraId="5ACF684F" w14:textId="77777777" w:rsidTr="00CD3B05">
        <w:trPr>
          <w:trHeight w:val="340"/>
        </w:trPr>
        <w:tc>
          <w:tcPr>
            <w:tcW w:w="3003" w:type="dxa"/>
            <w:shd w:val="clear" w:color="auto" w:fill="D9D9D9"/>
            <w:vAlign w:val="center"/>
          </w:tcPr>
          <w:p w14:paraId="4AD9AEE8" w14:textId="77777777" w:rsidR="004B3B82" w:rsidRPr="004C0B2B" w:rsidRDefault="004B3B82" w:rsidP="00CD3B05">
            <w:pPr>
              <w:jc w:val="both"/>
              <w:rPr>
                <w:rFonts w:ascii="Garamond" w:hAnsi="Garamond"/>
                <w:sz w:val="22"/>
                <w:szCs w:val="22"/>
                <w:lang w:eastAsia="en-US"/>
              </w:rPr>
            </w:pPr>
            <w:r w:rsidRPr="004C0B2B">
              <w:rPr>
                <w:rFonts w:ascii="Garamond" w:hAnsi="Garamond"/>
                <w:sz w:val="22"/>
                <w:szCs w:val="22"/>
                <w:lang w:eastAsia="en-US"/>
              </w:rPr>
              <w:t xml:space="preserve">Краткое описание изменений </w:t>
            </w:r>
            <w:r w:rsidRPr="004C0B2B">
              <w:rPr>
                <w:rFonts w:ascii="Garamond" w:hAnsi="Garamond"/>
                <w:sz w:val="22"/>
                <w:szCs w:val="22"/>
                <w:vertAlign w:val="superscript"/>
                <w:lang w:eastAsia="en-US"/>
              </w:rPr>
              <w:t>3</w:t>
            </w:r>
          </w:p>
        </w:tc>
        <w:tc>
          <w:tcPr>
            <w:tcW w:w="7062" w:type="dxa"/>
            <w:shd w:val="clear" w:color="auto" w:fill="auto"/>
            <w:vAlign w:val="center"/>
          </w:tcPr>
          <w:p w14:paraId="1C17DEEA" w14:textId="77777777" w:rsidR="004B3B82" w:rsidRPr="004C0B2B" w:rsidRDefault="004B3B82" w:rsidP="00CD3B05">
            <w:pPr>
              <w:jc w:val="both"/>
              <w:rPr>
                <w:rFonts w:ascii="Garamond" w:hAnsi="Garamond"/>
                <w:b/>
                <w:sz w:val="22"/>
                <w:szCs w:val="22"/>
                <w:lang w:eastAsia="en-US"/>
              </w:rPr>
            </w:pPr>
          </w:p>
        </w:tc>
      </w:tr>
      <w:tr w:rsidR="004B3B82" w:rsidRPr="004C0B2B" w14:paraId="24C9BC3C" w14:textId="77777777" w:rsidTr="00CD3B05">
        <w:trPr>
          <w:trHeight w:val="340"/>
        </w:trPr>
        <w:tc>
          <w:tcPr>
            <w:tcW w:w="3003" w:type="dxa"/>
            <w:shd w:val="clear" w:color="auto" w:fill="D9D9D9"/>
            <w:vAlign w:val="center"/>
          </w:tcPr>
          <w:p w14:paraId="61E18C78" w14:textId="77777777" w:rsidR="004B3B82" w:rsidRPr="004C0B2B" w:rsidRDefault="004B3B82" w:rsidP="00CD3B05">
            <w:pPr>
              <w:jc w:val="both"/>
              <w:rPr>
                <w:rFonts w:ascii="Garamond" w:hAnsi="Garamond"/>
                <w:sz w:val="22"/>
                <w:szCs w:val="22"/>
                <w:lang w:eastAsia="en-US"/>
              </w:rPr>
            </w:pPr>
            <w:r w:rsidRPr="004C0B2B">
              <w:rPr>
                <w:rFonts w:ascii="Garamond" w:hAnsi="Garamond"/>
                <w:sz w:val="22"/>
                <w:szCs w:val="22"/>
              </w:rPr>
              <w:t xml:space="preserve">Информирую, что в отношении всех точек измерений, включенных в АИИС КУЭ и входящих в </w:t>
            </w:r>
            <w:r w:rsidRPr="004C0B2B">
              <w:rPr>
                <w:rFonts w:ascii="Garamond" w:hAnsi="Garamond"/>
                <w:spacing w:val="-2"/>
                <w:sz w:val="22"/>
                <w:szCs w:val="22"/>
              </w:rPr>
              <w:t xml:space="preserve">сечение КУ / ГТП генерации, ранее </w:t>
            </w:r>
            <w:r w:rsidRPr="004C0B2B">
              <w:rPr>
                <w:rFonts w:ascii="Garamond" w:hAnsi="Garamond"/>
                <w:sz w:val="22"/>
                <w:szCs w:val="22"/>
              </w:rPr>
              <w:t>был (-и) оформлен (-ы) Акт (-ы) о соответствии АИИС КУЭ</w:t>
            </w:r>
          </w:p>
        </w:tc>
        <w:tc>
          <w:tcPr>
            <w:tcW w:w="7062" w:type="dxa"/>
            <w:shd w:val="clear" w:color="auto" w:fill="auto"/>
            <w:vAlign w:val="center"/>
          </w:tcPr>
          <w:p w14:paraId="24D6B568" w14:textId="77777777" w:rsidR="004B3B82" w:rsidRPr="004C0B2B" w:rsidRDefault="004B3B82" w:rsidP="00CD3B05">
            <w:pPr>
              <w:jc w:val="both"/>
              <w:rPr>
                <w:rFonts w:ascii="Garamond" w:hAnsi="Garamond"/>
                <w:sz w:val="22"/>
                <w:szCs w:val="22"/>
                <w:lang w:eastAsia="en-US"/>
              </w:rPr>
            </w:pPr>
            <w:r w:rsidRPr="004C0B2B">
              <w:rPr>
                <w:rFonts w:ascii="Garamond" w:hAnsi="Garamond"/>
                <w:sz w:val="22"/>
                <w:szCs w:val="22"/>
                <w:lang w:eastAsia="en-US"/>
              </w:rPr>
              <w:t xml:space="preserve">№ ___________ от ___________ класса ________,                                        </w:t>
            </w:r>
          </w:p>
          <w:p w14:paraId="5BFA1A24" w14:textId="77777777" w:rsidR="004B3B82" w:rsidRPr="004C0B2B" w:rsidRDefault="004B3B82" w:rsidP="00CD3B05">
            <w:pPr>
              <w:jc w:val="both"/>
              <w:rPr>
                <w:rFonts w:ascii="Garamond" w:hAnsi="Garamond"/>
                <w:b/>
                <w:sz w:val="22"/>
                <w:szCs w:val="22"/>
                <w:lang w:eastAsia="en-US"/>
              </w:rPr>
            </w:pPr>
            <w:r w:rsidRPr="004C0B2B">
              <w:rPr>
                <w:rFonts w:ascii="Garamond" w:hAnsi="Garamond"/>
                <w:sz w:val="18"/>
                <w:szCs w:val="18"/>
                <w:lang w:eastAsia="en-US"/>
              </w:rPr>
              <w:t>(</w:t>
            </w:r>
            <w:r w:rsidRPr="004C0B2B">
              <w:rPr>
                <w:rFonts w:ascii="Garamond" w:hAnsi="Garamond"/>
                <w:i/>
                <w:sz w:val="18"/>
                <w:szCs w:val="18"/>
                <w:lang w:eastAsia="en-US"/>
              </w:rPr>
              <w:t>указываются реквизиты и срок Акта (-ов) о соответствии АИИС КУЭ)</w:t>
            </w:r>
          </w:p>
        </w:tc>
      </w:tr>
      <w:tr w:rsidR="004B3B82" w:rsidRPr="004C0B2B" w14:paraId="13A7DBB1" w14:textId="77777777" w:rsidTr="00CD3B05">
        <w:trPr>
          <w:trHeight w:val="340"/>
        </w:trPr>
        <w:tc>
          <w:tcPr>
            <w:tcW w:w="3003" w:type="dxa"/>
            <w:shd w:val="clear" w:color="auto" w:fill="D9D9D9"/>
            <w:vAlign w:val="center"/>
          </w:tcPr>
          <w:p w14:paraId="6A470583" w14:textId="77777777" w:rsidR="004B3B82" w:rsidRPr="004C0B2B" w:rsidRDefault="004B3B82" w:rsidP="00CD3B05">
            <w:pPr>
              <w:jc w:val="both"/>
              <w:rPr>
                <w:rFonts w:ascii="Garamond" w:hAnsi="Garamond"/>
                <w:sz w:val="22"/>
                <w:szCs w:val="22"/>
              </w:rPr>
            </w:pPr>
            <w:r w:rsidRPr="004C0B2B">
              <w:rPr>
                <w:rFonts w:ascii="Garamond" w:hAnsi="Garamond"/>
                <w:sz w:val="22"/>
                <w:szCs w:val="22"/>
              </w:rPr>
              <w:t xml:space="preserve">Информирую, что </w:t>
            </w:r>
          </w:p>
          <w:p w14:paraId="41AB69E0" w14:textId="77777777" w:rsidR="004B3B82" w:rsidRPr="004C0B2B" w:rsidRDefault="004B3B82" w:rsidP="00CD3B05">
            <w:pPr>
              <w:rPr>
                <w:rFonts w:ascii="Garamond" w:hAnsi="Garamond"/>
                <w:sz w:val="22"/>
                <w:szCs w:val="22"/>
                <w:lang w:eastAsia="en-US"/>
              </w:rPr>
            </w:pPr>
            <w:r w:rsidRPr="004C0B2B">
              <w:rPr>
                <w:rFonts w:ascii="Garamond" w:hAnsi="Garamond"/>
                <w:i/>
                <w:sz w:val="18"/>
                <w:szCs w:val="18"/>
              </w:rPr>
              <w:t>(необходимо выбрать один из представленных вариантов)</w:t>
            </w:r>
          </w:p>
        </w:tc>
        <w:tc>
          <w:tcPr>
            <w:tcW w:w="7062" w:type="dxa"/>
            <w:shd w:val="clear" w:color="auto" w:fill="auto"/>
            <w:vAlign w:val="center"/>
          </w:tcPr>
          <w:p w14:paraId="680996CE" w14:textId="33FBD8B8" w:rsidR="004B3B82" w:rsidRPr="004C0B2B" w:rsidRDefault="004B3B82" w:rsidP="00101F7C">
            <w:pPr>
              <w:numPr>
                <w:ilvl w:val="0"/>
                <w:numId w:val="113"/>
              </w:numPr>
              <w:suppressAutoHyphens w:val="0"/>
              <w:autoSpaceDE w:val="0"/>
              <w:autoSpaceDN w:val="0"/>
              <w:rPr>
                <w:rFonts w:ascii="Garamond" w:hAnsi="Garamond"/>
                <w:sz w:val="22"/>
                <w:szCs w:val="22"/>
                <w:lang w:eastAsia="en-US"/>
              </w:rPr>
            </w:pPr>
            <w:r w:rsidRPr="004C0B2B">
              <w:rPr>
                <w:rFonts w:ascii="Garamond" w:hAnsi="Garamond"/>
                <w:b/>
                <w:sz w:val="22"/>
                <w:szCs w:val="22"/>
                <w:lang w:eastAsia="en-US"/>
              </w:rPr>
              <w:t>не использую</w:t>
            </w:r>
            <w:r w:rsidRPr="004C0B2B">
              <w:rPr>
                <w:rFonts w:ascii="Garamond" w:hAnsi="Garamond"/>
                <w:sz w:val="22"/>
                <w:szCs w:val="22"/>
                <w:lang w:eastAsia="en-US"/>
              </w:rPr>
              <w:t xml:space="preserve"> компоненты</w:t>
            </w:r>
            <w:r w:rsidR="005951D1" w:rsidRPr="005951D1">
              <w:rPr>
                <w:rFonts w:ascii="Garamond" w:hAnsi="Garamond"/>
                <w:sz w:val="22"/>
                <w:szCs w:val="22"/>
                <w:highlight w:val="yellow"/>
                <w:lang w:eastAsia="en-US"/>
              </w:rPr>
              <w:t>,</w:t>
            </w:r>
            <w:r w:rsidRPr="004C0B2B">
              <w:rPr>
                <w:rFonts w:ascii="Garamond" w:hAnsi="Garamond"/>
                <w:sz w:val="22"/>
                <w:szCs w:val="22"/>
                <w:lang w:eastAsia="en-US"/>
              </w:rPr>
              <w:t xml:space="preserve"> и (или) АИИС КУЭ</w:t>
            </w:r>
            <w:r w:rsidR="005951D1" w:rsidRPr="005951D1">
              <w:rPr>
                <w:rFonts w:ascii="Garamond" w:hAnsi="Garamond"/>
                <w:sz w:val="22"/>
                <w:szCs w:val="22"/>
                <w:highlight w:val="yellow"/>
                <w:lang w:eastAsia="en-US"/>
              </w:rPr>
              <w:t>,</w:t>
            </w:r>
            <w:r w:rsidRPr="005951D1">
              <w:rPr>
                <w:rFonts w:ascii="Garamond" w:hAnsi="Garamond"/>
                <w:sz w:val="22"/>
                <w:szCs w:val="22"/>
                <w:highlight w:val="yellow"/>
                <w:lang w:eastAsia="en-US"/>
              </w:rPr>
              <w:t xml:space="preserve"> и</w:t>
            </w:r>
            <w:r w:rsidRPr="00D14D87">
              <w:rPr>
                <w:rFonts w:ascii="Garamond" w:hAnsi="Garamond"/>
                <w:sz w:val="22"/>
                <w:szCs w:val="22"/>
                <w:highlight w:val="yellow"/>
                <w:lang w:eastAsia="en-US"/>
              </w:rPr>
              <w:t xml:space="preserve"> (или) </w:t>
            </w:r>
            <w:r>
              <w:rPr>
                <w:rFonts w:ascii="Garamond" w:hAnsi="Garamond"/>
                <w:sz w:val="22"/>
                <w:szCs w:val="22"/>
                <w:highlight w:val="yellow"/>
                <w:lang w:eastAsia="en-US"/>
              </w:rPr>
              <w:t>документы</w:t>
            </w:r>
            <w:r w:rsidRPr="00D14D87">
              <w:rPr>
                <w:rFonts w:ascii="Garamond" w:hAnsi="Garamond"/>
                <w:sz w:val="22"/>
                <w:szCs w:val="22"/>
                <w:highlight w:val="yellow"/>
                <w:lang w:eastAsia="en-US"/>
              </w:rPr>
              <w:t xml:space="preserve"> в отношении АИИС КУЭ</w:t>
            </w:r>
            <w:r w:rsidRPr="004C0B2B">
              <w:rPr>
                <w:rFonts w:ascii="Garamond" w:hAnsi="Garamond"/>
                <w:sz w:val="22"/>
                <w:szCs w:val="22"/>
                <w:lang w:eastAsia="en-US"/>
              </w:rPr>
              <w:t>, принадлежащие третьим лицам;</w:t>
            </w:r>
          </w:p>
          <w:p w14:paraId="52EB5445" w14:textId="3A5D1A7D" w:rsidR="004B3B82" w:rsidRPr="004C0B2B" w:rsidRDefault="004B3B82" w:rsidP="00101F7C">
            <w:pPr>
              <w:numPr>
                <w:ilvl w:val="0"/>
                <w:numId w:val="113"/>
              </w:numPr>
              <w:suppressAutoHyphens w:val="0"/>
              <w:autoSpaceDE w:val="0"/>
              <w:autoSpaceDN w:val="0"/>
              <w:rPr>
                <w:rFonts w:ascii="Garamond" w:hAnsi="Garamond"/>
                <w:sz w:val="22"/>
                <w:szCs w:val="22"/>
                <w:lang w:eastAsia="en-US"/>
              </w:rPr>
            </w:pPr>
            <w:r w:rsidRPr="004C0B2B">
              <w:rPr>
                <w:rFonts w:ascii="Garamond" w:hAnsi="Garamond"/>
                <w:b/>
                <w:sz w:val="22"/>
                <w:szCs w:val="22"/>
                <w:lang w:eastAsia="en-US"/>
              </w:rPr>
              <w:t>использую</w:t>
            </w:r>
            <w:r w:rsidRPr="004C0B2B">
              <w:rPr>
                <w:rFonts w:ascii="Garamond" w:hAnsi="Garamond"/>
                <w:sz w:val="22"/>
                <w:szCs w:val="22"/>
                <w:lang w:eastAsia="en-US"/>
              </w:rPr>
              <w:t xml:space="preserve"> компоненты</w:t>
            </w:r>
            <w:r w:rsidR="005951D1" w:rsidRPr="005951D1">
              <w:rPr>
                <w:rFonts w:ascii="Garamond" w:hAnsi="Garamond"/>
                <w:sz w:val="22"/>
                <w:szCs w:val="22"/>
                <w:highlight w:val="yellow"/>
                <w:lang w:eastAsia="en-US"/>
              </w:rPr>
              <w:t>,</w:t>
            </w:r>
            <w:r w:rsidRPr="004C0B2B">
              <w:rPr>
                <w:rFonts w:ascii="Garamond" w:hAnsi="Garamond"/>
                <w:sz w:val="22"/>
                <w:szCs w:val="22"/>
                <w:lang w:eastAsia="en-US"/>
              </w:rPr>
              <w:t xml:space="preserve"> и (или) АИИС КУЭ</w:t>
            </w:r>
            <w:r w:rsidR="005951D1" w:rsidRPr="005951D1">
              <w:rPr>
                <w:rFonts w:ascii="Garamond" w:hAnsi="Garamond"/>
                <w:sz w:val="22"/>
                <w:szCs w:val="22"/>
                <w:highlight w:val="yellow"/>
                <w:lang w:eastAsia="en-US"/>
              </w:rPr>
              <w:t>,</w:t>
            </w:r>
            <w:r w:rsidRPr="005951D1">
              <w:rPr>
                <w:rFonts w:ascii="Garamond" w:hAnsi="Garamond"/>
                <w:sz w:val="22"/>
                <w:szCs w:val="22"/>
                <w:highlight w:val="yellow"/>
                <w:lang w:eastAsia="en-US"/>
              </w:rPr>
              <w:t xml:space="preserve"> и</w:t>
            </w:r>
            <w:r w:rsidRPr="00D14D87">
              <w:rPr>
                <w:rFonts w:ascii="Garamond" w:hAnsi="Garamond"/>
                <w:sz w:val="22"/>
                <w:szCs w:val="22"/>
                <w:highlight w:val="yellow"/>
                <w:lang w:eastAsia="en-US"/>
              </w:rPr>
              <w:t xml:space="preserve"> (или) </w:t>
            </w:r>
            <w:r>
              <w:rPr>
                <w:rFonts w:ascii="Garamond" w:hAnsi="Garamond"/>
                <w:sz w:val="22"/>
                <w:szCs w:val="22"/>
                <w:highlight w:val="yellow"/>
                <w:lang w:eastAsia="en-US"/>
              </w:rPr>
              <w:t>документы в отношении АИИС КУЭ</w:t>
            </w:r>
            <w:r w:rsidRPr="004C0B2B">
              <w:rPr>
                <w:rFonts w:ascii="Garamond" w:hAnsi="Garamond"/>
                <w:sz w:val="22"/>
                <w:szCs w:val="22"/>
                <w:lang w:eastAsia="en-US"/>
              </w:rPr>
              <w:t xml:space="preserve">, принадлежащие третьим лицам </w:t>
            </w:r>
          </w:p>
          <w:p w14:paraId="290CC970" w14:textId="77777777" w:rsidR="004B3B82" w:rsidRPr="004C0B2B" w:rsidRDefault="004B3B82" w:rsidP="00CD3B05">
            <w:pPr>
              <w:autoSpaceDE w:val="0"/>
              <w:autoSpaceDN w:val="0"/>
              <w:rPr>
                <w:rFonts w:ascii="Garamond" w:hAnsi="Garamond"/>
                <w:sz w:val="22"/>
                <w:szCs w:val="22"/>
                <w:u w:val="single"/>
                <w:lang w:eastAsia="en-US"/>
              </w:rPr>
            </w:pPr>
            <w:r w:rsidRPr="004C0B2B">
              <w:rPr>
                <w:rFonts w:ascii="Garamond" w:hAnsi="Garamond"/>
                <w:b/>
                <w:sz w:val="22"/>
                <w:szCs w:val="22"/>
                <w:u w:val="single"/>
                <w:lang w:eastAsia="en-US"/>
              </w:rPr>
              <w:t xml:space="preserve">                                                                                                                           </w:t>
            </w:r>
            <w:r w:rsidRPr="004C0B2B">
              <w:rPr>
                <w:rFonts w:ascii="Garamond" w:hAnsi="Garamond"/>
                <w:sz w:val="22"/>
                <w:szCs w:val="22"/>
                <w:u w:val="single"/>
                <w:lang w:eastAsia="en-US"/>
              </w:rPr>
              <w:t>,</w:t>
            </w:r>
          </w:p>
          <w:p w14:paraId="6A989684" w14:textId="77777777" w:rsidR="004B3B82" w:rsidRPr="004C0B2B" w:rsidRDefault="004B3B82" w:rsidP="00CD3B05">
            <w:pPr>
              <w:autoSpaceDE w:val="0"/>
              <w:autoSpaceDN w:val="0"/>
              <w:rPr>
                <w:rFonts w:ascii="Garamond" w:hAnsi="Garamond"/>
                <w:i/>
                <w:sz w:val="18"/>
                <w:szCs w:val="18"/>
                <w:lang w:eastAsia="en-US"/>
              </w:rPr>
            </w:pPr>
            <w:r w:rsidRPr="004C0B2B">
              <w:rPr>
                <w:rFonts w:ascii="Garamond" w:hAnsi="Garamond"/>
                <w:i/>
                <w:sz w:val="18"/>
                <w:szCs w:val="18"/>
                <w:lang w:eastAsia="en-US"/>
              </w:rPr>
              <w:t>(полное наименование организации (-ий) с указанием организационно-правовой формы)</w:t>
            </w:r>
          </w:p>
          <w:p w14:paraId="7AD33512" w14:textId="65F35FEE" w:rsidR="004B3B82" w:rsidRPr="004C0B2B" w:rsidRDefault="004B3B82" w:rsidP="006E6A56">
            <w:pPr>
              <w:autoSpaceDE w:val="0"/>
              <w:autoSpaceDN w:val="0"/>
              <w:ind w:left="720"/>
              <w:rPr>
                <w:rFonts w:ascii="Garamond" w:hAnsi="Garamond"/>
                <w:sz w:val="22"/>
                <w:szCs w:val="22"/>
                <w:lang w:eastAsia="en-US"/>
              </w:rPr>
            </w:pPr>
            <w:r w:rsidRPr="004C0B2B">
              <w:rPr>
                <w:rFonts w:ascii="Garamond" w:hAnsi="Garamond"/>
                <w:sz w:val="22"/>
                <w:szCs w:val="22"/>
                <w:lang w:eastAsia="en-US"/>
              </w:rPr>
              <w:t>а также подтверждаю, что отношения по использованию данных компонентов</w:t>
            </w:r>
            <w:r w:rsidR="00001F6A" w:rsidRPr="00001F6A">
              <w:rPr>
                <w:rFonts w:ascii="Garamond" w:hAnsi="Garamond"/>
                <w:sz w:val="22"/>
                <w:szCs w:val="22"/>
                <w:highlight w:val="yellow"/>
                <w:lang w:eastAsia="en-US"/>
              </w:rPr>
              <w:t>,</w:t>
            </w:r>
            <w:r w:rsidRPr="004C0B2B">
              <w:rPr>
                <w:rFonts w:ascii="Garamond" w:hAnsi="Garamond"/>
                <w:sz w:val="22"/>
                <w:szCs w:val="22"/>
                <w:lang w:eastAsia="en-US"/>
              </w:rPr>
              <w:t xml:space="preserve"> и (или) АИИС КУЭ</w:t>
            </w:r>
            <w:r w:rsidR="00001F6A" w:rsidRPr="00001F6A">
              <w:rPr>
                <w:rFonts w:ascii="Garamond" w:hAnsi="Garamond"/>
                <w:sz w:val="22"/>
                <w:szCs w:val="22"/>
                <w:highlight w:val="yellow"/>
                <w:lang w:eastAsia="en-US"/>
              </w:rPr>
              <w:t>,</w:t>
            </w:r>
            <w:r w:rsidRPr="00001F6A">
              <w:rPr>
                <w:rFonts w:ascii="Garamond" w:hAnsi="Garamond"/>
                <w:sz w:val="22"/>
                <w:szCs w:val="22"/>
                <w:highlight w:val="yellow"/>
                <w:lang w:eastAsia="en-US"/>
              </w:rPr>
              <w:t xml:space="preserve"> и</w:t>
            </w:r>
            <w:r w:rsidRPr="00D14D87">
              <w:rPr>
                <w:rFonts w:ascii="Garamond" w:hAnsi="Garamond"/>
                <w:sz w:val="22"/>
                <w:szCs w:val="22"/>
                <w:highlight w:val="yellow"/>
                <w:lang w:eastAsia="en-US"/>
              </w:rPr>
              <w:t xml:space="preserve"> (или) </w:t>
            </w:r>
            <w:r>
              <w:rPr>
                <w:rFonts w:ascii="Garamond" w:hAnsi="Garamond"/>
                <w:sz w:val="22"/>
                <w:szCs w:val="22"/>
                <w:highlight w:val="yellow"/>
                <w:lang w:eastAsia="en-US"/>
              </w:rPr>
              <w:t>документов в отношении АИИС КУЭ</w:t>
            </w:r>
            <w:r w:rsidRPr="004C0B2B">
              <w:rPr>
                <w:rFonts w:ascii="Garamond" w:hAnsi="Garamond"/>
                <w:sz w:val="22"/>
                <w:szCs w:val="22"/>
                <w:lang w:eastAsia="en-US"/>
              </w:rPr>
              <w:t xml:space="preserve"> урегулированы с указанными третьими лицами надлежащим образом.</w:t>
            </w:r>
          </w:p>
        </w:tc>
      </w:tr>
    </w:tbl>
    <w:p w14:paraId="29A3DB5C" w14:textId="77777777" w:rsidR="004B3B82" w:rsidRPr="004C0B2B" w:rsidRDefault="004B3B82" w:rsidP="00101F7C">
      <w:pPr>
        <w:autoSpaceDE w:val="0"/>
        <w:autoSpaceDN w:val="0"/>
        <w:rPr>
          <w:rFonts w:ascii="Garamond" w:hAnsi="Garamond"/>
          <w:sz w:val="22"/>
          <w:szCs w:val="22"/>
        </w:rPr>
      </w:pPr>
    </w:p>
    <w:p w14:paraId="0E232BE5" w14:textId="77777777" w:rsidR="004B3B82" w:rsidRPr="004C0B2B" w:rsidRDefault="004B3B82" w:rsidP="00101F7C">
      <w:pPr>
        <w:autoSpaceDE w:val="0"/>
        <w:autoSpaceDN w:val="0"/>
        <w:spacing w:after="220"/>
        <w:rPr>
          <w:rFonts w:ascii="Garamond" w:hAnsi="Garamond"/>
          <w:sz w:val="22"/>
          <w:szCs w:val="22"/>
        </w:rPr>
      </w:pPr>
      <w:r w:rsidRPr="004C0B2B">
        <w:rPr>
          <w:rFonts w:ascii="Garamond" w:hAnsi="Garamond"/>
          <w:sz w:val="22"/>
          <w:szCs w:val="22"/>
        </w:rPr>
        <w:t xml:space="preserve">Подтверждаю, что измерения электрической энергии (мощности) по точкам поставки, в отношении которых допускается использовать средства измерений, не включенные в АИИС КУЭ, выполняются с применением средств измерений утвержденного типа, прошедших поверку в соответствии с требованиями Федерального закона от 26.06.2008 г. № 102-ФЗ «Об обеспечении единства измерений» к измерениям, относящимся к сфере государственного регулирования обеспечения единства измерений </w:t>
      </w:r>
      <w:r w:rsidRPr="004C0B2B">
        <w:rPr>
          <w:rFonts w:ascii="Garamond" w:hAnsi="Garamond"/>
          <w:sz w:val="18"/>
          <w:szCs w:val="18"/>
        </w:rPr>
        <w:t>(</w:t>
      </w:r>
      <w:r w:rsidRPr="004C0B2B">
        <w:rPr>
          <w:rFonts w:ascii="Garamond" w:hAnsi="Garamond"/>
          <w:i/>
          <w:sz w:val="18"/>
          <w:szCs w:val="18"/>
        </w:rPr>
        <w:t>указывается при наличии средств измерений, не включенных в АИИС КУЭ</w:t>
      </w:r>
      <w:r w:rsidRPr="004C0B2B">
        <w:rPr>
          <w:rFonts w:ascii="Garamond" w:hAnsi="Garamond"/>
          <w:sz w:val="18"/>
          <w:szCs w:val="18"/>
        </w:rPr>
        <w:t>)</w:t>
      </w:r>
      <w:r w:rsidRPr="004C0B2B">
        <w:rPr>
          <w:rFonts w:ascii="Garamond" w:hAnsi="Garamond"/>
          <w:sz w:val="22"/>
          <w:szCs w:val="22"/>
        </w:rPr>
        <w:t>.</w:t>
      </w:r>
    </w:p>
    <w:p w14:paraId="7657B100" w14:textId="77777777" w:rsidR="004B3B82" w:rsidRPr="004C0B2B" w:rsidRDefault="004B3B82" w:rsidP="00101F7C">
      <w:pPr>
        <w:autoSpaceDE w:val="0"/>
        <w:autoSpaceDN w:val="0"/>
        <w:jc w:val="both"/>
        <w:rPr>
          <w:rFonts w:ascii="Garamond" w:hAnsi="Garamond"/>
          <w:sz w:val="22"/>
          <w:szCs w:val="22"/>
        </w:rPr>
      </w:pPr>
      <w:r w:rsidRPr="004C0B2B">
        <w:rPr>
          <w:rFonts w:ascii="Garamond" w:hAnsi="Garamond"/>
          <w:sz w:val="22"/>
          <w:szCs w:val="22"/>
        </w:rPr>
        <w:t xml:space="preserve">В случае если при установлении соответствия АИИС КУЭ КО будет выявлена неактуальность регистрационной информации в части несоответствия указанных </w:t>
      </w:r>
      <w:r w:rsidRPr="004C0B2B">
        <w:rPr>
          <w:rFonts w:ascii="Garamond" w:hAnsi="Garamond"/>
          <w:bCs/>
          <w:sz w:val="22"/>
          <w:szCs w:val="22"/>
        </w:rPr>
        <w:t xml:space="preserve">в опросных листах (макет 90000) и в ПСИ типов (модификаций) </w:t>
      </w:r>
      <w:r w:rsidRPr="004C0B2B">
        <w:rPr>
          <w:rFonts w:ascii="Garamond" w:hAnsi="Garamond"/>
          <w:sz w:val="22"/>
          <w:szCs w:val="22"/>
        </w:rPr>
        <w:t xml:space="preserve">приборов учета / признака включения в АИИС КУЭ, необходимо выполнить действия для регистрации в КО в течение 60 календарных дней с даты направления КО письма о вышеуказанном несоответствии актуализированного ПСИ, оформленного в соответствии с требованиями регламентов оптового рынка </w:t>
      </w:r>
      <w:r w:rsidRPr="004C0B2B">
        <w:rPr>
          <w:rFonts w:ascii="Garamond" w:hAnsi="Garamond"/>
          <w:bCs/>
          <w:sz w:val="22"/>
          <w:szCs w:val="22"/>
        </w:rPr>
        <w:t>(</w:t>
      </w:r>
      <w:r w:rsidRPr="004C0B2B">
        <w:rPr>
          <w:rFonts w:ascii="Garamond" w:hAnsi="Garamond"/>
          <w:bCs/>
          <w:i/>
          <w:sz w:val="18"/>
          <w:szCs w:val="18"/>
        </w:rPr>
        <w:t>указывается для действующего состава точек поставки и точек измерений</w:t>
      </w:r>
      <w:r w:rsidRPr="004C0B2B">
        <w:rPr>
          <w:rFonts w:ascii="Garamond" w:hAnsi="Garamond"/>
          <w:bCs/>
          <w:i/>
          <w:sz w:val="22"/>
          <w:szCs w:val="22"/>
        </w:rPr>
        <w:t>)</w:t>
      </w:r>
      <w:r w:rsidRPr="004C0B2B">
        <w:rPr>
          <w:rFonts w:ascii="Garamond" w:hAnsi="Garamond"/>
          <w:sz w:val="22"/>
          <w:szCs w:val="22"/>
        </w:rPr>
        <w:t>.</w:t>
      </w:r>
    </w:p>
    <w:p w14:paraId="1D2E51C6" w14:textId="77777777" w:rsidR="004B3B82" w:rsidRPr="004C0B2B" w:rsidRDefault="004B3B82" w:rsidP="00101F7C">
      <w:pPr>
        <w:autoSpaceDE w:val="0"/>
        <w:autoSpaceDN w:val="0"/>
        <w:rPr>
          <w:rFonts w:ascii="Garamond" w:hAnsi="Garamond"/>
          <w:sz w:val="22"/>
          <w:szCs w:val="22"/>
        </w:rPr>
      </w:pPr>
    </w:p>
    <w:tbl>
      <w:tblPr>
        <w:tblW w:w="10003" w:type="dxa"/>
        <w:tblLook w:val="04A0" w:firstRow="1" w:lastRow="0" w:firstColumn="1" w:lastColumn="0" w:noHBand="0" w:noVBand="1"/>
      </w:tblPr>
      <w:tblGrid>
        <w:gridCol w:w="3224"/>
        <w:gridCol w:w="3556"/>
        <w:gridCol w:w="3223"/>
      </w:tblGrid>
      <w:tr w:rsidR="004B3B82" w:rsidRPr="004C0B2B" w14:paraId="490493A9" w14:textId="77777777" w:rsidTr="00CD3B05">
        <w:trPr>
          <w:trHeight w:val="665"/>
        </w:trPr>
        <w:tc>
          <w:tcPr>
            <w:tcW w:w="3224" w:type="dxa"/>
            <w:tcBorders>
              <w:top w:val="single" w:sz="4" w:space="0" w:color="auto"/>
            </w:tcBorders>
            <w:shd w:val="clear" w:color="auto" w:fill="auto"/>
            <w:vAlign w:val="center"/>
          </w:tcPr>
          <w:p w14:paraId="1503EDAD" w14:textId="77777777" w:rsidR="004B3B82" w:rsidRPr="004C0B2B" w:rsidRDefault="004B3B82" w:rsidP="00CD3B05">
            <w:pPr>
              <w:jc w:val="center"/>
              <w:rPr>
                <w:rFonts w:ascii="Garamond" w:hAnsi="Garamond"/>
                <w:i/>
                <w:sz w:val="22"/>
                <w:szCs w:val="22"/>
                <w:lang w:eastAsia="en-US"/>
              </w:rPr>
            </w:pPr>
            <w:r w:rsidRPr="004C0B2B">
              <w:rPr>
                <w:rFonts w:ascii="Garamond" w:hAnsi="Garamond"/>
                <w:i/>
                <w:sz w:val="18"/>
                <w:szCs w:val="18"/>
                <w:lang w:eastAsia="en-US"/>
              </w:rPr>
              <w:t>(должность руководителя)</w:t>
            </w:r>
          </w:p>
        </w:tc>
        <w:tc>
          <w:tcPr>
            <w:tcW w:w="3556" w:type="dxa"/>
            <w:shd w:val="clear" w:color="auto" w:fill="auto"/>
            <w:vAlign w:val="center"/>
          </w:tcPr>
          <w:p w14:paraId="52C1CA08" w14:textId="77777777" w:rsidR="004B3B82" w:rsidRPr="004C0B2B" w:rsidRDefault="004B3B82" w:rsidP="00CD3B05">
            <w:pPr>
              <w:jc w:val="center"/>
              <w:rPr>
                <w:rFonts w:ascii="Garamond" w:hAnsi="Garamond"/>
                <w:i/>
                <w:sz w:val="22"/>
                <w:szCs w:val="22"/>
                <w:lang w:eastAsia="en-US"/>
              </w:rPr>
            </w:pPr>
          </w:p>
        </w:tc>
        <w:tc>
          <w:tcPr>
            <w:tcW w:w="3223" w:type="dxa"/>
            <w:tcBorders>
              <w:top w:val="single" w:sz="4" w:space="0" w:color="auto"/>
            </w:tcBorders>
            <w:shd w:val="clear" w:color="auto" w:fill="auto"/>
            <w:vAlign w:val="center"/>
          </w:tcPr>
          <w:p w14:paraId="6F7079FB" w14:textId="77777777" w:rsidR="004B3B82" w:rsidRPr="004C0B2B" w:rsidRDefault="004B3B82" w:rsidP="00CD3B05">
            <w:pPr>
              <w:jc w:val="center"/>
              <w:rPr>
                <w:rFonts w:ascii="Garamond" w:hAnsi="Garamond"/>
                <w:i/>
                <w:sz w:val="22"/>
                <w:szCs w:val="22"/>
                <w:lang w:eastAsia="en-US"/>
              </w:rPr>
            </w:pPr>
            <w:r w:rsidRPr="004C0B2B">
              <w:rPr>
                <w:rFonts w:ascii="Garamond" w:hAnsi="Garamond"/>
                <w:i/>
                <w:sz w:val="18"/>
                <w:szCs w:val="18"/>
                <w:lang w:eastAsia="en-US"/>
              </w:rPr>
              <w:t>(Ф. И. О.)</w:t>
            </w:r>
          </w:p>
        </w:tc>
      </w:tr>
    </w:tbl>
    <w:p w14:paraId="4FA18F70" w14:textId="77777777" w:rsidR="004B3B82" w:rsidRPr="004C0B2B" w:rsidRDefault="004B3B82" w:rsidP="00101F7C">
      <w:pPr>
        <w:jc w:val="both"/>
        <w:rPr>
          <w:rFonts w:ascii="Garamond" w:hAnsi="Garamond"/>
          <w:b/>
          <w:bCs/>
          <w:lang w:eastAsia="en-US"/>
        </w:rPr>
      </w:pPr>
    </w:p>
    <w:p w14:paraId="04089BC0" w14:textId="77777777" w:rsidR="004B3B82" w:rsidRPr="004C0B2B" w:rsidRDefault="004B3B82" w:rsidP="00101F7C">
      <w:pPr>
        <w:jc w:val="both"/>
        <w:rPr>
          <w:rFonts w:ascii="Garamond" w:hAnsi="Garamond"/>
          <w:b/>
          <w:bCs/>
          <w:lang w:eastAsia="en-US"/>
        </w:rPr>
      </w:pPr>
      <w:r w:rsidRPr="004C0B2B">
        <w:rPr>
          <w:rFonts w:ascii="Garamond" w:hAnsi="Garamond"/>
          <w:b/>
          <w:bCs/>
          <w:lang w:eastAsia="en-US"/>
        </w:rPr>
        <w:t>Примечания.</w:t>
      </w:r>
    </w:p>
    <w:p w14:paraId="594BC2FB" w14:textId="77777777" w:rsidR="004B3B82" w:rsidRPr="004C0B2B" w:rsidRDefault="004B3B82" w:rsidP="004B3B82">
      <w:pPr>
        <w:pStyle w:val="ac"/>
        <w:numPr>
          <w:ilvl w:val="0"/>
          <w:numId w:val="129"/>
        </w:numPr>
        <w:spacing w:after="160" w:line="259" w:lineRule="auto"/>
        <w:ind w:left="284" w:hanging="284"/>
        <w:rPr>
          <w:rFonts w:ascii="Garamond" w:hAnsi="Garamond"/>
        </w:rPr>
      </w:pPr>
      <w:r w:rsidRPr="004C0B2B">
        <w:rPr>
          <w:rFonts w:ascii="Garamond" w:hAnsi="Garamond"/>
        </w:rPr>
        <w:t>Указать наименование и буквенный код сечения коммерческого учета или ГТП генерации, например:</w:t>
      </w:r>
    </w:p>
    <w:p w14:paraId="4A83F3CB" w14:textId="77777777" w:rsidR="004B3B82" w:rsidRPr="004C0B2B" w:rsidRDefault="004B3B82" w:rsidP="00101F7C">
      <w:pPr>
        <w:pStyle w:val="ac"/>
        <w:ind w:left="284"/>
        <w:jc w:val="both"/>
        <w:rPr>
          <w:rFonts w:ascii="Garamond" w:hAnsi="Garamond"/>
        </w:rPr>
      </w:pPr>
      <w:r w:rsidRPr="004C0B2B">
        <w:rPr>
          <w:rFonts w:ascii="Garamond" w:hAnsi="Garamond"/>
        </w:rPr>
        <w:t>ЗАО «СбыТ» (ОАО «Уралсталь») – ОАО «Энергосбыт Север» (ОАО «Северскэнергосбыт») (P</w:t>
      </w:r>
      <w:r w:rsidRPr="004C0B2B">
        <w:rPr>
          <w:rFonts w:ascii="Garamond" w:hAnsi="Garamond"/>
          <w:lang w:val="en-US"/>
        </w:rPr>
        <w:t>SFIEN</w:t>
      </w:r>
      <w:r w:rsidRPr="004C0B2B">
        <w:rPr>
          <w:rFonts w:ascii="Garamond" w:hAnsi="Garamond"/>
        </w:rPr>
        <w:t>27-PS</w:t>
      </w:r>
      <w:r w:rsidRPr="004C0B2B">
        <w:rPr>
          <w:rFonts w:ascii="Garamond" w:hAnsi="Garamond"/>
          <w:lang w:val="en-US"/>
        </w:rPr>
        <w:t>S</w:t>
      </w:r>
      <w:r w:rsidRPr="004C0B2B">
        <w:rPr>
          <w:rFonts w:ascii="Garamond" w:hAnsi="Garamond"/>
        </w:rPr>
        <w:t>ERDLE);</w:t>
      </w:r>
    </w:p>
    <w:p w14:paraId="432CA011" w14:textId="342D4C41" w:rsidR="004B3B82" w:rsidRPr="004C0B2B" w:rsidRDefault="004B3B82" w:rsidP="00101F7C">
      <w:pPr>
        <w:pStyle w:val="ac"/>
        <w:ind w:left="284"/>
        <w:jc w:val="both"/>
        <w:rPr>
          <w:rFonts w:ascii="Garamond" w:hAnsi="Garamond"/>
        </w:rPr>
      </w:pPr>
      <w:r w:rsidRPr="004C0B2B">
        <w:rPr>
          <w:rFonts w:ascii="Garamond" w:hAnsi="Garamond"/>
        </w:rPr>
        <w:t>ПАО «</w:t>
      </w:r>
      <w:r w:rsidRPr="004C0B2B">
        <w:rPr>
          <w:rFonts w:ascii="Garamond" w:hAnsi="Garamond"/>
          <w:lang w:eastAsia="en-US"/>
        </w:rPr>
        <w:t>Россети</w:t>
      </w:r>
      <w:r w:rsidRPr="004C0B2B">
        <w:rPr>
          <w:rFonts w:ascii="Garamond" w:hAnsi="Garamond"/>
        </w:rPr>
        <w:t>» (МЭС Северо-Запада (по сетям Республики Коми)) – ОАО «Энергосбыт Север» (ОАО «С</w:t>
      </w:r>
      <w:r w:rsidR="009B5F03">
        <w:rPr>
          <w:rFonts w:ascii="Garamond" w:hAnsi="Garamond"/>
        </w:rPr>
        <w:t>еверскэнергосбыт») (FKOMIENE-</w:t>
      </w:r>
      <w:r w:rsidRPr="004C0B2B">
        <w:rPr>
          <w:rFonts w:ascii="Garamond" w:hAnsi="Garamond"/>
        </w:rPr>
        <w:t>PS</w:t>
      </w:r>
      <w:r w:rsidRPr="004C0B2B">
        <w:rPr>
          <w:rFonts w:ascii="Garamond" w:hAnsi="Garamond"/>
          <w:lang w:val="en-US"/>
        </w:rPr>
        <w:t>S</w:t>
      </w:r>
      <w:r w:rsidRPr="004C0B2B">
        <w:rPr>
          <w:rFonts w:ascii="Garamond" w:hAnsi="Garamond"/>
        </w:rPr>
        <w:t>ERDLE);</w:t>
      </w:r>
    </w:p>
    <w:p w14:paraId="2205868B" w14:textId="77777777" w:rsidR="004B3B82" w:rsidRPr="004C0B2B" w:rsidRDefault="004B3B82" w:rsidP="00101F7C">
      <w:pPr>
        <w:pStyle w:val="ac"/>
        <w:ind w:left="284"/>
        <w:jc w:val="both"/>
        <w:rPr>
          <w:rFonts w:ascii="Garamond" w:hAnsi="Garamond"/>
        </w:rPr>
      </w:pPr>
      <w:r w:rsidRPr="004C0B2B">
        <w:rPr>
          <w:rFonts w:ascii="Garamond" w:hAnsi="Garamond"/>
        </w:rPr>
        <w:t>АО «Генерация» (Первая ТЭЦ) (</w:t>
      </w:r>
      <w:r w:rsidRPr="004C0B2B">
        <w:rPr>
          <w:rFonts w:ascii="Garamond" w:hAnsi="Garamond"/>
          <w:lang w:val="en-US"/>
        </w:rPr>
        <w:t>GOMSKE</w:t>
      </w:r>
      <w:r w:rsidRPr="004C0B2B">
        <w:rPr>
          <w:rFonts w:ascii="Garamond" w:hAnsi="Garamond"/>
        </w:rPr>
        <w:t>17).</w:t>
      </w:r>
    </w:p>
    <w:p w14:paraId="49073838" w14:textId="77777777" w:rsidR="004B3B82" w:rsidRPr="004C0B2B" w:rsidRDefault="004B3B82" w:rsidP="004B3B82">
      <w:pPr>
        <w:pStyle w:val="ac"/>
        <w:numPr>
          <w:ilvl w:val="0"/>
          <w:numId w:val="129"/>
        </w:numPr>
        <w:spacing w:after="160" w:line="259" w:lineRule="auto"/>
        <w:ind w:left="284" w:hanging="284"/>
        <w:rPr>
          <w:rFonts w:ascii="Garamond" w:hAnsi="Garamond"/>
        </w:rPr>
      </w:pPr>
      <w:r w:rsidRPr="004C0B2B">
        <w:rPr>
          <w:rFonts w:ascii="Garamond" w:hAnsi="Garamond"/>
        </w:rPr>
        <w:t>В качестве основания указывается:</w:t>
      </w:r>
    </w:p>
    <w:p w14:paraId="35049F40" w14:textId="77777777" w:rsidR="004B3B82" w:rsidRPr="004C0B2B" w:rsidRDefault="004B3B82" w:rsidP="004B3B82">
      <w:pPr>
        <w:pStyle w:val="ac"/>
        <w:numPr>
          <w:ilvl w:val="1"/>
          <w:numId w:val="129"/>
        </w:numPr>
        <w:autoSpaceDE w:val="0"/>
        <w:autoSpaceDN w:val="0"/>
        <w:spacing w:after="160" w:line="259" w:lineRule="auto"/>
        <w:ind w:left="567" w:hanging="283"/>
        <w:jc w:val="both"/>
        <w:rPr>
          <w:rFonts w:ascii="Garamond" w:hAnsi="Garamond"/>
        </w:rPr>
      </w:pPr>
      <w:r w:rsidRPr="004C0B2B">
        <w:rPr>
          <w:rFonts w:ascii="Garamond" w:hAnsi="Garamond"/>
        </w:rPr>
        <w:t>Новое сечение КУ / ГТП генерации в соответствии с комплектом документов, представленных в КО с заявлением по форме 3, 3Б, 3В, 4А, 4Б приложения 1 к Положению о реестре</w:t>
      </w:r>
      <w:r w:rsidRPr="004C0B2B">
        <w:t xml:space="preserve"> </w:t>
      </w:r>
      <w:r w:rsidRPr="004C0B2B">
        <w:rPr>
          <w:rFonts w:ascii="Garamond" w:hAnsi="Garamond"/>
        </w:rPr>
        <w:t>(выбрать нужное) вх. № ____ от ____ и заявлением по форме 4В приложения 1 к Положению о реестре</w:t>
      </w:r>
      <w:r w:rsidRPr="004C0B2B">
        <w:t xml:space="preserve"> </w:t>
      </w:r>
      <w:r w:rsidRPr="004C0B2B">
        <w:rPr>
          <w:rFonts w:ascii="Garamond" w:hAnsi="Garamond"/>
        </w:rPr>
        <w:t>вх. № _________ от __________ (указывается в случае предоставления в составе документов ответной квитанции (макет 60001)).</w:t>
      </w:r>
    </w:p>
    <w:p w14:paraId="0D5E2B1A" w14:textId="77777777" w:rsidR="004B3B82" w:rsidRPr="004C0B2B" w:rsidRDefault="004B3B82" w:rsidP="004B3B82">
      <w:pPr>
        <w:pStyle w:val="ac"/>
        <w:numPr>
          <w:ilvl w:val="1"/>
          <w:numId w:val="129"/>
        </w:numPr>
        <w:autoSpaceDE w:val="0"/>
        <w:autoSpaceDN w:val="0"/>
        <w:spacing w:after="160" w:line="259" w:lineRule="auto"/>
        <w:ind w:left="567" w:hanging="283"/>
        <w:jc w:val="both"/>
        <w:rPr>
          <w:rFonts w:ascii="Garamond" w:hAnsi="Garamond"/>
        </w:rPr>
      </w:pPr>
      <w:r w:rsidRPr="004C0B2B">
        <w:rPr>
          <w:rFonts w:ascii="Garamond" w:hAnsi="Garamond"/>
        </w:rPr>
        <w:t>Сечение КУ / ГТП генерации с изменением ТП в соответствии с комплектом документов, представленных в КО с заявлением по форме 3, 4А, 4Б приложения 1 к Положению о реестре</w:t>
      </w:r>
      <w:r w:rsidRPr="004C0B2B">
        <w:t xml:space="preserve"> </w:t>
      </w:r>
      <w:r w:rsidRPr="004C0B2B">
        <w:rPr>
          <w:rFonts w:ascii="Garamond" w:hAnsi="Garamond"/>
        </w:rPr>
        <w:t>(выбрать нужное) вх. № ____ от ____ и заявлением по форме 3, 4В приложения 1 к Положению о реестре</w:t>
      </w:r>
      <w:r w:rsidRPr="004C0B2B">
        <w:t xml:space="preserve"> </w:t>
      </w:r>
      <w:r w:rsidRPr="004C0B2B">
        <w:rPr>
          <w:rFonts w:ascii="Garamond" w:hAnsi="Garamond"/>
        </w:rPr>
        <w:t>вх. № _________ от __________ (указывается в случае предоставления в составе документов ответной квитанции (макет 60001)).</w:t>
      </w:r>
    </w:p>
    <w:p w14:paraId="70A8378B" w14:textId="77777777" w:rsidR="004B3B82" w:rsidRPr="004C0B2B" w:rsidRDefault="004B3B82" w:rsidP="004B3B82">
      <w:pPr>
        <w:pStyle w:val="ac"/>
        <w:numPr>
          <w:ilvl w:val="1"/>
          <w:numId w:val="129"/>
        </w:numPr>
        <w:autoSpaceDE w:val="0"/>
        <w:autoSpaceDN w:val="0"/>
        <w:spacing w:after="160" w:line="259" w:lineRule="auto"/>
        <w:ind w:left="567" w:hanging="283"/>
        <w:jc w:val="both"/>
        <w:rPr>
          <w:rFonts w:ascii="Garamond" w:hAnsi="Garamond"/>
        </w:rPr>
      </w:pPr>
      <w:r w:rsidRPr="004C0B2B">
        <w:rPr>
          <w:rFonts w:ascii="Garamond" w:hAnsi="Garamond"/>
        </w:rPr>
        <w:t>Сечение КУ / ГТП генерации без изменения ТП в соответствии с комплектом документов, представленных в КО с заявлением по форме 3, 4В приложения 1 к Положению о реестре</w:t>
      </w:r>
      <w:r w:rsidRPr="004C0B2B">
        <w:t xml:space="preserve"> </w:t>
      </w:r>
      <w:r w:rsidRPr="004C0B2B">
        <w:rPr>
          <w:rFonts w:ascii="Garamond" w:hAnsi="Garamond"/>
        </w:rPr>
        <w:t xml:space="preserve">вх. № ______ от ______ (при наличии в составе документов ответной квитанции (макет 60001)). </w:t>
      </w:r>
    </w:p>
    <w:p w14:paraId="0067CB0F" w14:textId="77777777" w:rsidR="004B3B82" w:rsidRPr="004C0B2B" w:rsidRDefault="004B3B82" w:rsidP="004B3B82">
      <w:pPr>
        <w:pStyle w:val="ac"/>
        <w:numPr>
          <w:ilvl w:val="1"/>
          <w:numId w:val="129"/>
        </w:numPr>
        <w:autoSpaceDE w:val="0"/>
        <w:autoSpaceDN w:val="0"/>
        <w:spacing w:after="160" w:line="259" w:lineRule="auto"/>
        <w:ind w:left="567" w:hanging="283"/>
        <w:jc w:val="both"/>
        <w:rPr>
          <w:rFonts w:ascii="Garamond" w:hAnsi="Garamond"/>
        </w:rPr>
      </w:pPr>
      <w:r w:rsidRPr="004C0B2B">
        <w:rPr>
          <w:rFonts w:ascii="Garamond" w:hAnsi="Garamond"/>
        </w:rPr>
        <w:t>Действующий состав точек поставки и точек измерений подтвержден действующим ПСИ № ____ от ____ (</w:t>
      </w:r>
      <w:r w:rsidRPr="004C0B2B">
        <w:rPr>
          <w:rFonts w:ascii="Garamond" w:eastAsia="Calibri" w:hAnsi="Garamond"/>
        </w:rPr>
        <w:t xml:space="preserve">для случаев выполнения требований пп. 2.6.9, 4.2.3, 4.2.5, 4.4.1 Положения о реестре необходимо указать реквизиты ПСИ, представленного с заявлением по форме 19.4 </w:t>
      </w:r>
      <w:r w:rsidRPr="004C0B2B">
        <w:rPr>
          <w:rFonts w:ascii="Garamond" w:hAnsi="Garamond"/>
        </w:rPr>
        <w:t xml:space="preserve">приложения 1 к Положению о реестре). </w:t>
      </w:r>
    </w:p>
    <w:p w14:paraId="734609D0" w14:textId="08094CA1" w:rsidR="00BB5F2A" w:rsidRPr="006F42DA" w:rsidRDefault="00BB5F2A" w:rsidP="00BB5F2A">
      <w:pPr>
        <w:pStyle w:val="ac"/>
        <w:numPr>
          <w:ilvl w:val="1"/>
          <w:numId w:val="129"/>
        </w:numPr>
        <w:autoSpaceDE w:val="0"/>
        <w:autoSpaceDN w:val="0"/>
        <w:spacing w:after="160" w:line="259" w:lineRule="auto"/>
        <w:ind w:left="567" w:hanging="283"/>
        <w:jc w:val="both"/>
        <w:rPr>
          <w:rFonts w:ascii="Garamond" w:hAnsi="Garamond"/>
        </w:rPr>
      </w:pPr>
      <w:r w:rsidRPr="00BB5F2A">
        <w:rPr>
          <w:rFonts w:ascii="Garamond" w:hAnsi="Garamond"/>
          <w:highlight w:val="yellow"/>
        </w:rPr>
        <w:t>Действующий с даты</w:t>
      </w:r>
      <w:r w:rsidR="006E6A56">
        <w:rPr>
          <w:rFonts w:ascii="Garamond" w:hAnsi="Garamond"/>
          <w:highlight w:val="yellow"/>
        </w:rPr>
        <w:t xml:space="preserve"> </w:t>
      </w:r>
      <w:r w:rsidRPr="00BB5F2A">
        <w:rPr>
          <w:rFonts w:ascii="Garamond" w:hAnsi="Garamond"/>
          <w:highlight w:val="yellow"/>
        </w:rPr>
        <w:t>_______</w:t>
      </w:r>
      <w:r w:rsidR="006E6A56">
        <w:rPr>
          <w:rFonts w:ascii="Garamond" w:hAnsi="Garamond"/>
          <w:highlight w:val="yellow"/>
        </w:rPr>
        <w:t xml:space="preserve"> </w:t>
      </w:r>
      <w:r w:rsidRPr="00BB5F2A">
        <w:rPr>
          <w:rFonts w:ascii="Garamond" w:hAnsi="Garamond"/>
          <w:highlight w:val="yellow"/>
        </w:rPr>
        <w:t xml:space="preserve">(указать дату введения ПСИ в действие) состав точек поставки и точек измерений подтвержден ПСИ № </w:t>
      </w:r>
      <w:r w:rsidRPr="006F42DA">
        <w:rPr>
          <w:rFonts w:ascii="Garamond" w:hAnsi="Garamond"/>
          <w:highlight w:val="yellow"/>
        </w:rPr>
        <w:t>____ от ____ (</w:t>
      </w:r>
      <w:r>
        <w:rPr>
          <w:rFonts w:ascii="Garamond" w:eastAsia="Calibri" w:hAnsi="Garamond"/>
          <w:highlight w:val="yellow"/>
        </w:rPr>
        <w:t xml:space="preserve">указать ПСИ </w:t>
      </w:r>
      <w:r>
        <w:rPr>
          <w:rFonts w:ascii="Garamond" w:hAnsi="Garamond"/>
          <w:highlight w:val="yellow"/>
        </w:rPr>
        <w:t>из уведомления КО</w:t>
      </w:r>
      <w:r>
        <w:rPr>
          <w:rFonts w:ascii="Garamond" w:eastAsia="Calibri" w:hAnsi="Garamond"/>
          <w:highlight w:val="yellow"/>
        </w:rPr>
        <w:t xml:space="preserve"> о предоставлении права участия или о введении данного ПСИ в действие).</w:t>
      </w:r>
      <w:r w:rsidRPr="006F42DA">
        <w:rPr>
          <w:rFonts w:ascii="Garamond" w:eastAsia="Calibri" w:hAnsi="Garamond"/>
          <w:highlight w:val="yellow"/>
        </w:rPr>
        <w:t xml:space="preserve">  </w:t>
      </w:r>
    </w:p>
    <w:p w14:paraId="28E59FCB" w14:textId="77777777" w:rsidR="004B3B82" w:rsidRPr="004C0B2B" w:rsidRDefault="004B3B82" w:rsidP="004B3B82">
      <w:pPr>
        <w:pStyle w:val="ac"/>
        <w:numPr>
          <w:ilvl w:val="0"/>
          <w:numId w:val="129"/>
        </w:numPr>
        <w:spacing w:before="160" w:after="160" w:line="259" w:lineRule="auto"/>
        <w:ind w:left="284" w:hanging="284"/>
        <w:rPr>
          <w:rFonts w:ascii="Garamond" w:hAnsi="Garamond"/>
        </w:rPr>
      </w:pPr>
      <w:r w:rsidRPr="004C0B2B">
        <w:rPr>
          <w:rFonts w:ascii="Garamond" w:hAnsi="Garamond"/>
        </w:rPr>
        <w:t>В качестве краткого описания изменений указывается:</w:t>
      </w:r>
    </w:p>
    <w:p w14:paraId="0C300212" w14:textId="77777777" w:rsidR="004B3B82" w:rsidRPr="004C0B2B" w:rsidRDefault="004B3B82" w:rsidP="004B3B82">
      <w:pPr>
        <w:pStyle w:val="ac"/>
        <w:numPr>
          <w:ilvl w:val="0"/>
          <w:numId w:val="114"/>
        </w:numPr>
        <w:spacing w:after="160" w:line="259" w:lineRule="auto"/>
        <w:ind w:hanging="76"/>
        <w:rPr>
          <w:rFonts w:ascii="Garamond" w:hAnsi="Garamond"/>
        </w:rPr>
      </w:pPr>
      <w:r w:rsidRPr="004C0B2B">
        <w:rPr>
          <w:rFonts w:ascii="Garamond" w:hAnsi="Garamond"/>
        </w:rPr>
        <w:t>уменьшение ТП (ТИ);</w:t>
      </w:r>
    </w:p>
    <w:p w14:paraId="28CC2DCE" w14:textId="77777777" w:rsidR="004B3B82" w:rsidRPr="004C0B2B" w:rsidRDefault="004B3B82" w:rsidP="004B3B82">
      <w:pPr>
        <w:pStyle w:val="ac"/>
        <w:numPr>
          <w:ilvl w:val="0"/>
          <w:numId w:val="114"/>
        </w:numPr>
        <w:spacing w:after="160" w:line="259" w:lineRule="auto"/>
        <w:ind w:hanging="76"/>
        <w:rPr>
          <w:rFonts w:ascii="Garamond" w:hAnsi="Garamond"/>
        </w:rPr>
      </w:pPr>
      <w:r w:rsidRPr="004C0B2B">
        <w:rPr>
          <w:rFonts w:ascii="Garamond" w:hAnsi="Garamond"/>
        </w:rPr>
        <w:t>изменение наименования ранее зарегистрированной ГТП (сечения);</w:t>
      </w:r>
    </w:p>
    <w:p w14:paraId="3C05F354" w14:textId="77777777" w:rsidR="004B3B82" w:rsidRPr="004C0B2B" w:rsidRDefault="004B3B82" w:rsidP="004B3B82">
      <w:pPr>
        <w:pStyle w:val="ac"/>
        <w:numPr>
          <w:ilvl w:val="0"/>
          <w:numId w:val="114"/>
        </w:numPr>
        <w:spacing w:after="160" w:line="259" w:lineRule="auto"/>
        <w:ind w:hanging="76"/>
        <w:rPr>
          <w:rFonts w:ascii="Garamond" w:hAnsi="Garamond"/>
        </w:rPr>
      </w:pPr>
      <w:r w:rsidRPr="004C0B2B">
        <w:rPr>
          <w:rFonts w:ascii="Garamond" w:hAnsi="Garamond"/>
        </w:rPr>
        <w:t>изменение количества малых ТП;</w:t>
      </w:r>
    </w:p>
    <w:p w14:paraId="4B54BFE5" w14:textId="77777777" w:rsidR="004B3B82" w:rsidRPr="004C0B2B" w:rsidRDefault="004B3B82" w:rsidP="004B3B82">
      <w:pPr>
        <w:pStyle w:val="ac"/>
        <w:numPr>
          <w:ilvl w:val="0"/>
          <w:numId w:val="114"/>
        </w:numPr>
        <w:spacing w:after="160" w:line="259" w:lineRule="auto"/>
        <w:ind w:hanging="76"/>
        <w:rPr>
          <w:rFonts w:ascii="Garamond" w:hAnsi="Garamond"/>
        </w:rPr>
      </w:pPr>
      <w:r w:rsidRPr="004C0B2B">
        <w:rPr>
          <w:rFonts w:ascii="Garamond" w:hAnsi="Garamond"/>
        </w:rPr>
        <w:t>объединение сечений КУ / ГТП генерации;</w:t>
      </w:r>
    </w:p>
    <w:p w14:paraId="0D52A0FE" w14:textId="77777777" w:rsidR="004B3B82" w:rsidRPr="004C0B2B" w:rsidRDefault="004B3B82" w:rsidP="004B3B82">
      <w:pPr>
        <w:pStyle w:val="ac"/>
        <w:numPr>
          <w:ilvl w:val="0"/>
          <w:numId w:val="114"/>
        </w:numPr>
        <w:autoSpaceDE w:val="0"/>
        <w:autoSpaceDN w:val="0"/>
        <w:spacing w:after="160" w:line="259" w:lineRule="auto"/>
        <w:ind w:hanging="76"/>
        <w:jc w:val="both"/>
        <w:rPr>
          <w:rFonts w:ascii="Garamond" w:hAnsi="Garamond"/>
        </w:rPr>
      </w:pPr>
      <w:r w:rsidRPr="004C0B2B">
        <w:rPr>
          <w:rFonts w:ascii="Garamond" w:hAnsi="Garamond"/>
        </w:rPr>
        <w:t>разделение сечения КУ / ГТП генерации;</w:t>
      </w:r>
    </w:p>
    <w:p w14:paraId="35F6D9DC" w14:textId="77777777" w:rsidR="004B3B82" w:rsidRPr="004C0B2B" w:rsidRDefault="004B3B82" w:rsidP="004B3B82">
      <w:pPr>
        <w:pStyle w:val="ac"/>
        <w:numPr>
          <w:ilvl w:val="0"/>
          <w:numId w:val="114"/>
        </w:numPr>
        <w:autoSpaceDE w:val="0"/>
        <w:autoSpaceDN w:val="0"/>
        <w:spacing w:after="160" w:line="259" w:lineRule="auto"/>
        <w:ind w:hanging="76"/>
        <w:jc w:val="both"/>
        <w:rPr>
          <w:rFonts w:ascii="Garamond" w:hAnsi="Garamond"/>
        </w:rPr>
      </w:pPr>
      <w:r w:rsidRPr="004C0B2B">
        <w:rPr>
          <w:rFonts w:ascii="Garamond" w:hAnsi="Garamond"/>
        </w:rPr>
        <w:t>приведение наименований ТП и ТИ в соответствие требованиям Положения о реестре;</w:t>
      </w:r>
    </w:p>
    <w:p w14:paraId="5A109F7E" w14:textId="77777777" w:rsidR="004B3B82" w:rsidRPr="004C0B2B" w:rsidRDefault="004B3B82" w:rsidP="004B3B82">
      <w:pPr>
        <w:pStyle w:val="ac"/>
        <w:numPr>
          <w:ilvl w:val="0"/>
          <w:numId w:val="114"/>
        </w:numPr>
        <w:autoSpaceDE w:val="0"/>
        <w:autoSpaceDN w:val="0"/>
        <w:spacing w:after="160" w:line="259" w:lineRule="auto"/>
        <w:ind w:hanging="76"/>
        <w:jc w:val="both"/>
        <w:rPr>
          <w:rFonts w:ascii="Garamond" w:hAnsi="Garamond"/>
        </w:rPr>
      </w:pPr>
      <w:r w:rsidRPr="004C0B2B">
        <w:rPr>
          <w:rFonts w:ascii="Garamond" w:hAnsi="Garamond"/>
        </w:rPr>
        <w:t>изменение алгоритма расчета величины сальдо перетоков электроэнергии в сечении коммерческого учета или алгоритма расчета величины произведенной электроэнергии в ГТП генерации;</w:t>
      </w:r>
    </w:p>
    <w:p w14:paraId="4AC3850E" w14:textId="77777777" w:rsidR="004B3B82" w:rsidRPr="004C0B2B" w:rsidRDefault="004B3B82" w:rsidP="004B3B82">
      <w:pPr>
        <w:pStyle w:val="ac"/>
        <w:numPr>
          <w:ilvl w:val="0"/>
          <w:numId w:val="114"/>
        </w:numPr>
        <w:autoSpaceDE w:val="0"/>
        <w:autoSpaceDN w:val="0"/>
        <w:spacing w:after="160" w:line="259" w:lineRule="auto"/>
        <w:ind w:hanging="76"/>
        <w:jc w:val="both"/>
        <w:rPr>
          <w:rFonts w:ascii="Garamond" w:hAnsi="Garamond"/>
        </w:rPr>
      </w:pPr>
      <w:r w:rsidRPr="004C0B2B">
        <w:rPr>
          <w:rFonts w:ascii="Garamond" w:hAnsi="Garamond"/>
        </w:rPr>
        <w:t>иное.</w:t>
      </w:r>
    </w:p>
    <w:p w14:paraId="49D45396" w14:textId="77777777" w:rsidR="004B3B82" w:rsidRDefault="004B3B82" w:rsidP="00101F7C">
      <w:pPr>
        <w:tabs>
          <w:tab w:val="left" w:pos="1320"/>
        </w:tabs>
        <w:autoSpaceDE w:val="0"/>
        <w:autoSpaceDN w:val="0"/>
        <w:spacing w:before="120" w:after="120"/>
        <w:ind w:firstLine="600"/>
        <w:jc w:val="both"/>
        <w:rPr>
          <w:rFonts w:ascii="Garamond" w:hAnsi="Garamond"/>
          <w:color w:val="000000"/>
          <w:sz w:val="22"/>
          <w:szCs w:val="22"/>
        </w:rPr>
      </w:pPr>
      <w:r>
        <w:rPr>
          <w:rFonts w:ascii="Garamond" w:hAnsi="Garamond"/>
          <w:color w:val="000000"/>
          <w:sz w:val="22"/>
          <w:szCs w:val="22"/>
        </w:rPr>
        <w:br w:type="page"/>
      </w:r>
    </w:p>
    <w:p w14:paraId="719771BD" w14:textId="77777777" w:rsidR="004B3B82" w:rsidRPr="00D522B5" w:rsidRDefault="004B3B82" w:rsidP="00101F7C">
      <w:pPr>
        <w:ind w:left="360"/>
        <w:rPr>
          <w:rFonts w:hAnsi="Garamond"/>
          <w:b/>
          <w:bCs/>
          <w:sz w:val="22"/>
          <w:szCs w:val="22"/>
        </w:rPr>
      </w:pPr>
      <w:r w:rsidRPr="00D522B5">
        <w:rPr>
          <w:rFonts w:hAnsi="Garamond"/>
          <w:b/>
          <w:bCs/>
          <w:sz w:val="22"/>
          <w:szCs w:val="22"/>
        </w:rPr>
        <w:lastRenderedPageBreak/>
        <w:t>Действующая</w:t>
      </w:r>
      <w:r w:rsidRPr="00D522B5">
        <w:rPr>
          <w:rFonts w:hAnsi="Garamond"/>
          <w:b/>
          <w:bCs/>
          <w:sz w:val="22"/>
          <w:szCs w:val="22"/>
        </w:rPr>
        <w:t xml:space="preserve"> </w:t>
      </w:r>
      <w:r w:rsidRPr="00D522B5">
        <w:rPr>
          <w:rFonts w:hAnsi="Garamond"/>
          <w:b/>
          <w:bCs/>
          <w:sz w:val="22"/>
          <w:szCs w:val="22"/>
        </w:rPr>
        <w:t>редакция</w:t>
      </w:r>
    </w:p>
    <w:p w14:paraId="59F34E1A" w14:textId="77777777" w:rsidR="004B3B82" w:rsidRDefault="004B3B82" w:rsidP="00101F7C">
      <w:pPr>
        <w:ind w:left="360"/>
        <w:jc w:val="right"/>
        <w:rPr>
          <w:rFonts w:ascii="Garamond" w:eastAsia="Garamond" w:hAnsi="Garamond" w:cs="Garamond"/>
          <w:b/>
          <w:bCs/>
          <w:sz w:val="22"/>
          <w:szCs w:val="22"/>
        </w:rPr>
      </w:pPr>
      <w:r>
        <w:rPr>
          <w:rFonts w:hAnsi="Garamond"/>
          <w:b/>
          <w:bCs/>
          <w:sz w:val="22"/>
          <w:szCs w:val="22"/>
        </w:rPr>
        <w:t>Таблица</w:t>
      </w:r>
      <w:r>
        <w:rPr>
          <w:rFonts w:hAnsi="Garamond"/>
          <w:b/>
          <w:bCs/>
          <w:sz w:val="22"/>
          <w:szCs w:val="22"/>
        </w:rPr>
        <w:t xml:space="preserve"> </w:t>
      </w:r>
      <w:r>
        <w:rPr>
          <w:rFonts w:ascii="Garamond"/>
          <w:b/>
          <w:bCs/>
          <w:sz w:val="22"/>
          <w:szCs w:val="22"/>
        </w:rPr>
        <w:t>2</w:t>
      </w:r>
    </w:p>
    <w:p w14:paraId="660831C1" w14:textId="77777777" w:rsidR="004B3B82" w:rsidRDefault="004B3B82" w:rsidP="00101F7C">
      <w:pPr>
        <w:jc w:val="right"/>
        <w:rPr>
          <w:rFonts w:ascii="Garamond" w:eastAsia="Garamond" w:hAnsi="Garamond" w:cs="Garamond"/>
          <w:b/>
          <w:bCs/>
          <w:sz w:val="22"/>
          <w:szCs w:val="22"/>
        </w:rPr>
      </w:pPr>
    </w:p>
    <w:p w14:paraId="6369B20C" w14:textId="77777777" w:rsidR="004B3B82" w:rsidRDefault="004B3B82" w:rsidP="00101F7C">
      <w:pPr>
        <w:jc w:val="center"/>
        <w:rPr>
          <w:rFonts w:ascii="Garamond" w:eastAsia="Garamond" w:hAnsi="Garamond" w:cs="Garamond"/>
          <w:b/>
          <w:bCs/>
          <w:sz w:val="22"/>
          <w:szCs w:val="22"/>
        </w:rPr>
      </w:pPr>
      <w:r>
        <w:rPr>
          <w:rFonts w:hAnsi="Garamond"/>
          <w:b/>
          <w:bCs/>
          <w:sz w:val="22"/>
          <w:szCs w:val="22"/>
        </w:rPr>
        <w:t>Перечень</w:t>
      </w:r>
      <w:r>
        <w:rPr>
          <w:rFonts w:hAnsi="Garamond"/>
          <w:b/>
          <w:bCs/>
          <w:sz w:val="22"/>
          <w:szCs w:val="22"/>
        </w:rPr>
        <w:t xml:space="preserve"> </w:t>
      </w:r>
      <w:r>
        <w:rPr>
          <w:rFonts w:hAnsi="Garamond"/>
          <w:b/>
          <w:bCs/>
          <w:sz w:val="22"/>
          <w:szCs w:val="22"/>
        </w:rPr>
        <w:t>документов</w:t>
      </w:r>
      <w:r>
        <w:rPr>
          <w:rFonts w:ascii="Garamond"/>
          <w:b/>
          <w:bCs/>
          <w:sz w:val="22"/>
          <w:szCs w:val="22"/>
        </w:rPr>
        <w:t xml:space="preserve">, </w:t>
      </w:r>
      <w:r>
        <w:rPr>
          <w:rFonts w:hAnsi="Garamond"/>
          <w:b/>
          <w:bCs/>
          <w:sz w:val="22"/>
          <w:szCs w:val="22"/>
        </w:rPr>
        <w:t>необходимых</w:t>
      </w:r>
      <w:r>
        <w:rPr>
          <w:rFonts w:hAnsi="Garamond"/>
          <w:b/>
          <w:bCs/>
          <w:sz w:val="22"/>
          <w:szCs w:val="22"/>
        </w:rPr>
        <w:t xml:space="preserve"> </w:t>
      </w:r>
      <w:r>
        <w:rPr>
          <w:rFonts w:hAnsi="Garamond"/>
          <w:b/>
          <w:bCs/>
          <w:sz w:val="22"/>
          <w:szCs w:val="22"/>
        </w:rPr>
        <w:t>для</w:t>
      </w:r>
      <w:r>
        <w:rPr>
          <w:rFonts w:hAnsi="Garamond"/>
          <w:b/>
          <w:bCs/>
          <w:sz w:val="22"/>
          <w:szCs w:val="22"/>
        </w:rPr>
        <w:t xml:space="preserve"> </w:t>
      </w:r>
      <w:r>
        <w:rPr>
          <w:rFonts w:hAnsi="Garamond"/>
          <w:b/>
          <w:bCs/>
          <w:sz w:val="22"/>
          <w:szCs w:val="22"/>
        </w:rPr>
        <w:t>проведения</w:t>
      </w:r>
      <w:r>
        <w:rPr>
          <w:rFonts w:hAnsi="Garamond"/>
          <w:b/>
          <w:bCs/>
          <w:sz w:val="22"/>
          <w:szCs w:val="22"/>
        </w:rPr>
        <w:t xml:space="preserve"> </w:t>
      </w:r>
      <w:r>
        <w:rPr>
          <w:rFonts w:hAnsi="Garamond"/>
          <w:b/>
          <w:bCs/>
          <w:sz w:val="22"/>
          <w:szCs w:val="22"/>
        </w:rPr>
        <w:t>процедуры</w:t>
      </w:r>
      <w:r>
        <w:rPr>
          <w:rFonts w:hAnsi="Garamond"/>
          <w:b/>
          <w:bCs/>
          <w:sz w:val="22"/>
          <w:szCs w:val="22"/>
        </w:rPr>
        <w:t xml:space="preserve"> </w:t>
      </w:r>
      <w:r>
        <w:rPr>
          <w:rFonts w:hAnsi="Garamond"/>
          <w:b/>
          <w:bCs/>
          <w:sz w:val="22"/>
          <w:szCs w:val="22"/>
        </w:rPr>
        <w:t>установления</w:t>
      </w:r>
      <w:r>
        <w:rPr>
          <w:rFonts w:hAnsi="Garamond"/>
          <w:b/>
          <w:bCs/>
          <w:sz w:val="22"/>
          <w:szCs w:val="22"/>
        </w:rPr>
        <w:t xml:space="preserve"> </w:t>
      </w:r>
      <w:r>
        <w:rPr>
          <w:rFonts w:hAnsi="Garamond"/>
          <w:b/>
          <w:bCs/>
          <w:sz w:val="22"/>
          <w:szCs w:val="22"/>
        </w:rPr>
        <w:t>соответствия</w:t>
      </w:r>
      <w:r>
        <w:rPr>
          <w:rFonts w:hAnsi="Garamond"/>
          <w:b/>
          <w:bCs/>
          <w:sz w:val="22"/>
          <w:szCs w:val="22"/>
        </w:rPr>
        <w:t xml:space="preserve"> </w:t>
      </w:r>
      <w:r>
        <w:rPr>
          <w:rFonts w:hAnsi="Garamond"/>
          <w:b/>
          <w:bCs/>
          <w:sz w:val="22"/>
          <w:szCs w:val="22"/>
        </w:rPr>
        <w:t>АИИС</w:t>
      </w:r>
      <w:r>
        <w:rPr>
          <w:rFonts w:hAnsi="Garamond"/>
          <w:b/>
          <w:bCs/>
          <w:sz w:val="22"/>
          <w:szCs w:val="22"/>
        </w:rPr>
        <w:t xml:space="preserve"> </w:t>
      </w:r>
      <w:r>
        <w:rPr>
          <w:rFonts w:hAnsi="Garamond"/>
          <w:b/>
          <w:bCs/>
          <w:sz w:val="22"/>
          <w:szCs w:val="22"/>
        </w:rPr>
        <w:t>КУЭ</w:t>
      </w:r>
      <w:r>
        <w:rPr>
          <w:rFonts w:hAnsi="Garamond"/>
          <w:b/>
          <w:bCs/>
          <w:sz w:val="22"/>
          <w:szCs w:val="22"/>
        </w:rPr>
        <w:t xml:space="preserve"> </w:t>
      </w:r>
      <w:r>
        <w:rPr>
          <w:rFonts w:hAnsi="Garamond"/>
          <w:b/>
          <w:bCs/>
          <w:sz w:val="22"/>
          <w:szCs w:val="22"/>
        </w:rPr>
        <w:t>техническим</w:t>
      </w:r>
      <w:r>
        <w:rPr>
          <w:rFonts w:hAnsi="Garamond"/>
          <w:b/>
          <w:bCs/>
          <w:sz w:val="22"/>
          <w:szCs w:val="22"/>
        </w:rPr>
        <w:t xml:space="preserve"> </w:t>
      </w:r>
      <w:r>
        <w:rPr>
          <w:rFonts w:hAnsi="Garamond"/>
          <w:b/>
          <w:bCs/>
          <w:sz w:val="22"/>
          <w:szCs w:val="22"/>
        </w:rPr>
        <w:t>требованиям</w:t>
      </w:r>
      <w:r>
        <w:rPr>
          <w:rFonts w:hAnsi="Garamond"/>
          <w:b/>
          <w:bCs/>
          <w:sz w:val="22"/>
          <w:szCs w:val="22"/>
        </w:rPr>
        <w:t xml:space="preserve"> </w:t>
      </w:r>
      <w:r>
        <w:rPr>
          <w:rFonts w:hAnsi="Garamond"/>
          <w:b/>
          <w:bCs/>
          <w:sz w:val="22"/>
          <w:szCs w:val="22"/>
        </w:rPr>
        <w:t>оптового</w:t>
      </w:r>
      <w:r>
        <w:rPr>
          <w:rFonts w:hAnsi="Garamond"/>
          <w:b/>
          <w:bCs/>
          <w:sz w:val="22"/>
          <w:szCs w:val="22"/>
        </w:rPr>
        <w:t xml:space="preserve"> </w:t>
      </w:r>
      <w:r>
        <w:rPr>
          <w:rFonts w:hAnsi="Garamond"/>
          <w:b/>
          <w:bCs/>
          <w:sz w:val="22"/>
          <w:szCs w:val="22"/>
        </w:rPr>
        <w:t>рынка</w:t>
      </w:r>
      <w:r>
        <w:rPr>
          <w:rFonts w:hAnsi="Garamond"/>
          <w:b/>
          <w:bCs/>
          <w:sz w:val="22"/>
          <w:szCs w:val="22"/>
        </w:rPr>
        <w:t xml:space="preserve"> </w:t>
      </w:r>
      <w:r>
        <w:rPr>
          <w:rFonts w:hAnsi="Garamond"/>
          <w:b/>
          <w:bCs/>
          <w:sz w:val="22"/>
          <w:szCs w:val="22"/>
        </w:rPr>
        <w:t>электрической</w:t>
      </w:r>
      <w:r>
        <w:rPr>
          <w:rFonts w:hAnsi="Garamond"/>
          <w:b/>
          <w:bCs/>
          <w:sz w:val="22"/>
          <w:szCs w:val="22"/>
        </w:rPr>
        <w:t xml:space="preserve"> </w:t>
      </w:r>
      <w:r>
        <w:rPr>
          <w:rFonts w:hAnsi="Garamond"/>
          <w:b/>
          <w:bCs/>
          <w:sz w:val="22"/>
          <w:szCs w:val="22"/>
        </w:rPr>
        <w:t>энергии</w:t>
      </w:r>
      <w:r>
        <w:rPr>
          <w:rFonts w:hAnsi="Garamond"/>
          <w:b/>
          <w:bCs/>
          <w:sz w:val="22"/>
          <w:szCs w:val="22"/>
        </w:rPr>
        <w:t xml:space="preserve"> </w:t>
      </w:r>
      <w:r>
        <w:rPr>
          <w:rFonts w:hAnsi="Garamond"/>
          <w:b/>
          <w:bCs/>
          <w:sz w:val="22"/>
          <w:szCs w:val="22"/>
        </w:rPr>
        <w:t>и</w:t>
      </w:r>
      <w:r>
        <w:rPr>
          <w:rFonts w:hAnsi="Garamond"/>
          <w:b/>
          <w:bCs/>
          <w:sz w:val="22"/>
          <w:szCs w:val="22"/>
        </w:rPr>
        <w:t xml:space="preserve"> </w:t>
      </w:r>
      <w:r>
        <w:rPr>
          <w:rFonts w:hAnsi="Garamond"/>
          <w:b/>
          <w:bCs/>
          <w:sz w:val="22"/>
          <w:szCs w:val="22"/>
        </w:rPr>
        <w:t>мощности</w:t>
      </w:r>
    </w:p>
    <w:p w14:paraId="68E056A4" w14:textId="77777777" w:rsidR="004B3B82" w:rsidRDefault="004B3B82" w:rsidP="00101F7C">
      <w:pPr>
        <w:jc w:val="center"/>
        <w:rPr>
          <w:rFonts w:ascii="Garamond" w:eastAsia="Garamond" w:hAnsi="Garamond" w:cs="Garamond"/>
          <w:b/>
          <w:bCs/>
          <w:sz w:val="22"/>
          <w:szCs w:val="22"/>
        </w:rPr>
      </w:pPr>
    </w:p>
    <w:tbl>
      <w:tblPr>
        <w:tblW w:w="9582" w:type="dxa"/>
        <w:tblInd w:w="27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left w:w="0" w:type="dxa"/>
          <w:right w:w="0" w:type="dxa"/>
        </w:tblCellMar>
        <w:tblLook w:val="04A0" w:firstRow="1" w:lastRow="0" w:firstColumn="1" w:lastColumn="0" w:noHBand="0" w:noVBand="1"/>
      </w:tblPr>
      <w:tblGrid>
        <w:gridCol w:w="648"/>
        <w:gridCol w:w="4626"/>
        <w:gridCol w:w="2447"/>
        <w:gridCol w:w="1011"/>
        <w:gridCol w:w="850"/>
      </w:tblGrid>
      <w:tr w:rsidR="004B3B82" w:rsidRPr="001E6C98" w14:paraId="7195C8A9" w14:textId="77777777" w:rsidTr="00CD3B05">
        <w:trPr>
          <w:trHeight w:val="970"/>
        </w:trPr>
        <w:tc>
          <w:tcPr>
            <w:tcW w:w="648"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168BB15" w14:textId="77777777" w:rsidR="004B3B82" w:rsidRPr="001E6C98" w:rsidRDefault="004B3B82" w:rsidP="00CD3B05">
            <w:pPr>
              <w:jc w:val="center"/>
              <w:rPr>
                <w:rFonts w:ascii="Garamond" w:eastAsia="Garamond" w:hAnsi="Garamond" w:cs="Garamond"/>
                <w:b/>
                <w:bCs/>
                <w:sz w:val="22"/>
                <w:szCs w:val="22"/>
              </w:rPr>
            </w:pPr>
            <w:r w:rsidRPr="001E6C98">
              <w:rPr>
                <w:rFonts w:ascii="Garamond" w:hAnsi="Garamond"/>
                <w:b/>
                <w:bCs/>
                <w:sz w:val="22"/>
                <w:szCs w:val="22"/>
              </w:rPr>
              <w:t>№</w:t>
            </w:r>
          </w:p>
          <w:p w14:paraId="29DDBE84" w14:textId="77777777" w:rsidR="004B3B82" w:rsidRPr="001E6C98" w:rsidRDefault="004B3B82" w:rsidP="00CD3B05">
            <w:pPr>
              <w:jc w:val="center"/>
              <w:rPr>
                <w:rFonts w:ascii="Garamond" w:hAnsi="Garamond"/>
                <w:sz w:val="22"/>
                <w:szCs w:val="22"/>
              </w:rPr>
            </w:pPr>
            <w:r w:rsidRPr="001E6C98">
              <w:rPr>
                <w:rFonts w:ascii="Garamond" w:hAnsi="Garamond"/>
                <w:b/>
                <w:bCs/>
                <w:sz w:val="22"/>
                <w:szCs w:val="22"/>
              </w:rPr>
              <w:t>п/п</w:t>
            </w:r>
          </w:p>
        </w:tc>
        <w:tc>
          <w:tcPr>
            <w:tcW w:w="4626"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AE29609" w14:textId="77777777" w:rsidR="004B3B82" w:rsidRPr="001E6C98" w:rsidRDefault="004B3B82" w:rsidP="00CD3B05">
            <w:pPr>
              <w:jc w:val="center"/>
              <w:rPr>
                <w:rFonts w:ascii="Garamond" w:hAnsi="Garamond"/>
                <w:sz w:val="22"/>
                <w:szCs w:val="22"/>
              </w:rPr>
            </w:pPr>
            <w:r w:rsidRPr="001E6C98">
              <w:rPr>
                <w:rFonts w:ascii="Garamond" w:hAnsi="Garamond"/>
                <w:b/>
                <w:bCs/>
                <w:sz w:val="22"/>
                <w:szCs w:val="22"/>
              </w:rPr>
              <w:t>Наименование документа</w:t>
            </w:r>
          </w:p>
        </w:tc>
        <w:tc>
          <w:tcPr>
            <w:tcW w:w="2447"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1A2B292" w14:textId="77777777" w:rsidR="004B3B82" w:rsidRPr="001E6C98" w:rsidRDefault="004B3B82" w:rsidP="00CD3B05">
            <w:pPr>
              <w:jc w:val="center"/>
              <w:rPr>
                <w:rFonts w:ascii="Garamond" w:hAnsi="Garamond"/>
                <w:sz w:val="22"/>
                <w:szCs w:val="22"/>
              </w:rPr>
            </w:pPr>
            <w:r w:rsidRPr="001E6C98">
              <w:rPr>
                <w:rFonts w:ascii="Garamond" w:hAnsi="Garamond"/>
                <w:b/>
                <w:bCs/>
                <w:sz w:val="22"/>
                <w:szCs w:val="22"/>
              </w:rPr>
              <w:t>Код формы в соответствии с Правилами ЭДО СЭД КО (материальный носитель, веб-интерфейс)</w:t>
            </w:r>
          </w:p>
        </w:tc>
        <w:tc>
          <w:tcPr>
            <w:tcW w:w="1861"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9A95E5B" w14:textId="77777777" w:rsidR="004B3B82" w:rsidRPr="001E6C98" w:rsidRDefault="004B3B82" w:rsidP="00CD3B05">
            <w:pPr>
              <w:jc w:val="center"/>
              <w:rPr>
                <w:rFonts w:ascii="Garamond" w:hAnsi="Garamond"/>
                <w:sz w:val="22"/>
                <w:szCs w:val="22"/>
              </w:rPr>
            </w:pPr>
            <w:r w:rsidRPr="001E6C98">
              <w:rPr>
                <w:rFonts w:ascii="Garamond" w:hAnsi="Garamond"/>
                <w:b/>
                <w:bCs/>
                <w:sz w:val="22"/>
                <w:szCs w:val="22"/>
              </w:rPr>
              <w:t>Обязательность предоставления в зависимости от класса АИИС КУЭ</w:t>
            </w:r>
          </w:p>
        </w:tc>
      </w:tr>
      <w:tr w:rsidR="004B3B82" w:rsidRPr="001E6C98" w14:paraId="612D18C6" w14:textId="77777777" w:rsidTr="00CD3B05">
        <w:trPr>
          <w:trHeight w:val="560"/>
        </w:trPr>
        <w:tc>
          <w:tcPr>
            <w:tcW w:w="648" w:type="dxa"/>
            <w:vMerge/>
            <w:tcBorders>
              <w:top w:val="single" w:sz="4" w:space="0" w:color="000000"/>
              <w:left w:val="single" w:sz="4" w:space="0" w:color="000000"/>
              <w:bottom w:val="single" w:sz="4" w:space="0" w:color="000000"/>
              <w:right w:val="single" w:sz="4" w:space="0" w:color="000000"/>
            </w:tcBorders>
            <w:shd w:val="clear" w:color="auto" w:fill="auto"/>
          </w:tcPr>
          <w:p w14:paraId="1A3FE220" w14:textId="77777777" w:rsidR="004B3B82" w:rsidRPr="001E6C98" w:rsidRDefault="004B3B82" w:rsidP="00CD3B05">
            <w:pPr>
              <w:rPr>
                <w:rFonts w:ascii="Garamond" w:hAnsi="Garamond"/>
                <w:sz w:val="22"/>
                <w:szCs w:val="22"/>
              </w:rPr>
            </w:pPr>
          </w:p>
        </w:tc>
        <w:tc>
          <w:tcPr>
            <w:tcW w:w="4626" w:type="dxa"/>
            <w:vMerge/>
            <w:tcBorders>
              <w:top w:val="single" w:sz="4" w:space="0" w:color="000000"/>
              <w:left w:val="single" w:sz="4" w:space="0" w:color="000000"/>
              <w:bottom w:val="single" w:sz="4" w:space="0" w:color="000000"/>
              <w:right w:val="single" w:sz="4" w:space="0" w:color="000000"/>
            </w:tcBorders>
            <w:shd w:val="clear" w:color="auto" w:fill="auto"/>
          </w:tcPr>
          <w:p w14:paraId="1FD29A4D" w14:textId="77777777" w:rsidR="004B3B82" w:rsidRPr="001E6C98" w:rsidRDefault="004B3B82" w:rsidP="00CD3B05">
            <w:pPr>
              <w:rPr>
                <w:rFonts w:ascii="Garamond" w:hAnsi="Garamond"/>
                <w:sz w:val="22"/>
                <w:szCs w:val="22"/>
              </w:rPr>
            </w:pPr>
          </w:p>
        </w:tc>
        <w:tc>
          <w:tcPr>
            <w:tcW w:w="2447" w:type="dxa"/>
            <w:vMerge/>
            <w:tcBorders>
              <w:top w:val="single" w:sz="4" w:space="0" w:color="000000"/>
              <w:left w:val="single" w:sz="4" w:space="0" w:color="000000"/>
              <w:bottom w:val="single" w:sz="4" w:space="0" w:color="000000"/>
              <w:right w:val="single" w:sz="4" w:space="0" w:color="000000"/>
            </w:tcBorders>
            <w:shd w:val="clear" w:color="auto" w:fill="auto"/>
          </w:tcPr>
          <w:p w14:paraId="6D764A0C" w14:textId="77777777" w:rsidR="004B3B82" w:rsidRPr="001E6C98" w:rsidRDefault="004B3B82" w:rsidP="00CD3B05">
            <w:pPr>
              <w:rPr>
                <w:rFonts w:ascii="Garamond" w:hAnsi="Garamond"/>
                <w:sz w:val="22"/>
                <w:szCs w:val="22"/>
              </w:rPr>
            </w:pPr>
          </w:p>
        </w:tc>
        <w:tc>
          <w:tcPr>
            <w:tcW w:w="101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E039289" w14:textId="77777777" w:rsidR="004B3B82" w:rsidRPr="001E6C98" w:rsidRDefault="004B3B82" w:rsidP="00CD3B05">
            <w:pPr>
              <w:jc w:val="center"/>
              <w:rPr>
                <w:rFonts w:ascii="Garamond" w:hAnsi="Garamond"/>
                <w:sz w:val="22"/>
                <w:szCs w:val="22"/>
              </w:rPr>
            </w:pPr>
            <w:r w:rsidRPr="001E6C98">
              <w:rPr>
                <w:rFonts w:ascii="Garamond" w:hAnsi="Garamond"/>
                <w:b/>
                <w:bCs/>
                <w:sz w:val="22"/>
                <w:szCs w:val="22"/>
              </w:rPr>
              <w:t>А</w:t>
            </w:r>
          </w:p>
        </w:tc>
        <w:tc>
          <w:tcPr>
            <w:tcW w:w="8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A198C6E" w14:textId="77777777" w:rsidR="004B3B82" w:rsidRPr="001E6C98" w:rsidRDefault="004B3B82" w:rsidP="00CD3B05">
            <w:pPr>
              <w:jc w:val="center"/>
              <w:rPr>
                <w:rFonts w:ascii="Garamond" w:hAnsi="Garamond"/>
                <w:sz w:val="22"/>
                <w:szCs w:val="22"/>
              </w:rPr>
            </w:pPr>
            <w:r w:rsidRPr="001E6C98">
              <w:rPr>
                <w:rFonts w:ascii="Garamond" w:hAnsi="Garamond"/>
                <w:b/>
                <w:bCs/>
                <w:sz w:val="22"/>
                <w:szCs w:val="22"/>
                <w:lang w:val="en-US"/>
              </w:rPr>
              <w:t>N</w:t>
            </w:r>
          </w:p>
        </w:tc>
      </w:tr>
      <w:tr w:rsidR="004B3B82" w:rsidRPr="001E6C98" w14:paraId="120FE9FC" w14:textId="77777777" w:rsidTr="00CD3B05">
        <w:trPr>
          <w:trHeight w:val="492"/>
        </w:trPr>
        <w:tc>
          <w:tcPr>
            <w:tcW w:w="64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A1C4258" w14:textId="77777777" w:rsidR="004B3B82" w:rsidRPr="001E6C98" w:rsidRDefault="004B3B82" w:rsidP="00CD3B05">
            <w:pPr>
              <w:jc w:val="center"/>
              <w:rPr>
                <w:rFonts w:ascii="Garamond" w:hAnsi="Garamond"/>
                <w:sz w:val="22"/>
                <w:szCs w:val="22"/>
              </w:rPr>
            </w:pPr>
            <w:r w:rsidRPr="001E6C98">
              <w:rPr>
                <w:rFonts w:ascii="Garamond" w:hAnsi="Garamond"/>
                <w:sz w:val="22"/>
                <w:szCs w:val="22"/>
              </w:rPr>
              <w:t>1</w:t>
            </w:r>
          </w:p>
        </w:tc>
        <w:tc>
          <w:tcPr>
            <w:tcW w:w="4626"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vAlign w:val="center"/>
          </w:tcPr>
          <w:p w14:paraId="4929D859" w14:textId="77777777" w:rsidR="004B3B82" w:rsidRPr="001E6C98" w:rsidRDefault="004B3B82" w:rsidP="00CD3B05">
            <w:pPr>
              <w:rPr>
                <w:rFonts w:ascii="Garamond" w:hAnsi="Garamond"/>
                <w:sz w:val="22"/>
                <w:szCs w:val="22"/>
              </w:rPr>
            </w:pPr>
            <w:r w:rsidRPr="001E6C98">
              <w:rPr>
                <w:rFonts w:ascii="Garamond" w:hAnsi="Garamond"/>
                <w:sz w:val="22"/>
                <w:szCs w:val="22"/>
              </w:rPr>
              <w:t>Ответная квитанция (макет 90001) (см. п. 7 примечаний)</w:t>
            </w:r>
          </w:p>
        </w:tc>
        <w:tc>
          <w:tcPr>
            <w:tcW w:w="2447"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vAlign w:val="center"/>
          </w:tcPr>
          <w:p w14:paraId="655DB8E1" w14:textId="77777777" w:rsidR="004B3B82" w:rsidRPr="001E6C98" w:rsidRDefault="004B3B82" w:rsidP="00CD3B05">
            <w:pPr>
              <w:jc w:val="center"/>
              <w:rPr>
                <w:rFonts w:ascii="Garamond" w:hAnsi="Garamond"/>
                <w:sz w:val="22"/>
                <w:szCs w:val="22"/>
              </w:rPr>
            </w:pPr>
            <w:r w:rsidRPr="001E6C98">
              <w:rPr>
                <w:rFonts w:ascii="Garamond" w:hAnsi="Garamond"/>
                <w:sz w:val="22"/>
                <w:szCs w:val="22"/>
              </w:rPr>
              <w:t>90001</w:t>
            </w:r>
            <w:r w:rsidRPr="001E6C98">
              <w:rPr>
                <w:rFonts w:ascii="Garamond" w:hAnsi="Garamond"/>
                <w:sz w:val="22"/>
                <w:szCs w:val="22"/>
                <w:lang w:val="en-US"/>
              </w:rPr>
              <w:t>_MED</w:t>
            </w:r>
            <w:r w:rsidRPr="001E6C98">
              <w:rPr>
                <w:rFonts w:ascii="Garamond" w:hAnsi="Garamond"/>
                <w:sz w:val="22"/>
                <w:szCs w:val="22"/>
              </w:rPr>
              <w:t>,</w:t>
            </w:r>
          </w:p>
          <w:p w14:paraId="578A74D1" w14:textId="77777777" w:rsidR="004B3B82" w:rsidRPr="001E6C98" w:rsidRDefault="004B3B82" w:rsidP="00CD3B05">
            <w:pPr>
              <w:jc w:val="center"/>
              <w:rPr>
                <w:rFonts w:ascii="Garamond" w:hAnsi="Garamond"/>
                <w:sz w:val="22"/>
                <w:szCs w:val="22"/>
                <w:lang w:val="en-US"/>
              </w:rPr>
            </w:pPr>
            <w:r w:rsidRPr="001E6C98">
              <w:rPr>
                <w:rFonts w:ascii="Garamond" w:hAnsi="Garamond"/>
                <w:sz w:val="22"/>
                <w:szCs w:val="22"/>
              </w:rPr>
              <w:t>90001</w:t>
            </w:r>
            <w:r w:rsidRPr="001E6C98">
              <w:rPr>
                <w:rFonts w:ascii="Garamond" w:hAnsi="Garamond"/>
                <w:sz w:val="22"/>
                <w:szCs w:val="22"/>
                <w:lang w:val="en-US"/>
              </w:rPr>
              <w:t>_WEB</w:t>
            </w:r>
          </w:p>
        </w:tc>
        <w:tc>
          <w:tcPr>
            <w:tcW w:w="101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5B05109" w14:textId="77777777" w:rsidR="004B3B82" w:rsidRPr="001E6C98" w:rsidRDefault="004B3B82" w:rsidP="00CD3B05">
            <w:pPr>
              <w:jc w:val="center"/>
              <w:rPr>
                <w:rFonts w:ascii="Garamond" w:hAnsi="Garamond"/>
                <w:sz w:val="22"/>
                <w:szCs w:val="22"/>
              </w:rPr>
            </w:pPr>
            <w:r w:rsidRPr="001E6C98">
              <w:rPr>
                <w:rFonts w:ascii="Garamond" w:hAnsi="Garamond"/>
                <w:b/>
                <w:bCs/>
                <w:sz w:val="22"/>
                <w:szCs w:val="22"/>
              </w:rPr>
              <w:t>Да</w:t>
            </w:r>
          </w:p>
        </w:tc>
        <w:tc>
          <w:tcPr>
            <w:tcW w:w="8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821C1AE" w14:textId="77777777" w:rsidR="004B3B82" w:rsidRPr="001E6C98" w:rsidRDefault="004B3B82" w:rsidP="00CD3B05">
            <w:pPr>
              <w:jc w:val="center"/>
              <w:rPr>
                <w:rFonts w:ascii="Garamond" w:hAnsi="Garamond"/>
                <w:sz w:val="22"/>
                <w:szCs w:val="22"/>
              </w:rPr>
            </w:pPr>
            <w:r w:rsidRPr="001E6C98">
              <w:rPr>
                <w:rFonts w:ascii="Garamond" w:hAnsi="Garamond"/>
                <w:b/>
                <w:bCs/>
                <w:sz w:val="22"/>
                <w:szCs w:val="22"/>
              </w:rPr>
              <w:t>Да</w:t>
            </w:r>
          </w:p>
        </w:tc>
      </w:tr>
      <w:tr w:rsidR="004B3B82" w:rsidRPr="001E6C98" w14:paraId="65A5E875" w14:textId="77777777" w:rsidTr="00CD3B05">
        <w:trPr>
          <w:trHeight w:val="721"/>
        </w:trPr>
        <w:tc>
          <w:tcPr>
            <w:tcW w:w="64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7901DC0" w14:textId="77777777" w:rsidR="004B3B82" w:rsidRPr="001E6C98" w:rsidRDefault="004B3B82" w:rsidP="00CD3B05">
            <w:pPr>
              <w:jc w:val="center"/>
              <w:rPr>
                <w:rFonts w:ascii="Garamond" w:hAnsi="Garamond"/>
                <w:sz w:val="22"/>
                <w:szCs w:val="22"/>
              </w:rPr>
            </w:pPr>
            <w:r w:rsidRPr="001E6C98">
              <w:rPr>
                <w:rFonts w:ascii="Garamond" w:hAnsi="Garamond"/>
                <w:sz w:val="22"/>
                <w:szCs w:val="22"/>
              </w:rPr>
              <w:t>2</w:t>
            </w:r>
          </w:p>
        </w:tc>
        <w:tc>
          <w:tcPr>
            <w:tcW w:w="46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ED200E1" w14:textId="77777777" w:rsidR="004B3B82" w:rsidRPr="001E6C98" w:rsidRDefault="004B3B82" w:rsidP="00CD3B05">
            <w:pPr>
              <w:rPr>
                <w:rFonts w:ascii="Garamond" w:hAnsi="Garamond"/>
                <w:sz w:val="22"/>
                <w:szCs w:val="22"/>
              </w:rPr>
            </w:pPr>
            <w:r w:rsidRPr="001E6C98">
              <w:rPr>
                <w:rFonts w:ascii="Garamond" w:hAnsi="Garamond"/>
                <w:sz w:val="22"/>
                <w:szCs w:val="22"/>
              </w:rPr>
              <w:t>Свидетельство (сертификат) об утверждении типа средств измерений АИИС КУЭ с приложением описания типа средства измерений (см. п. 3 примечаний)</w:t>
            </w:r>
          </w:p>
        </w:tc>
        <w:tc>
          <w:tcPr>
            <w:tcW w:w="244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9787F13" w14:textId="77777777" w:rsidR="004B3B82" w:rsidRPr="000E318F" w:rsidRDefault="004B3B82" w:rsidP="00CD3B05">
            <w:pPr>
              <w:jc w:val="center"/>
              <w:rPr>
                <w:rFonts w:ascii="Garamond" w:eastAsia="Garamond" w:hAnsi="Garamond" w:cs="Garamond"/>
                <w:sz w:val="22"/>
                <w:szCs w:val="22"/>
                <w:lang w:val="en-US"/>
              </w:rPr>
            </w:pPr>
            <w:r w:rsidRPr="001E6C98">
              <w:rPr>
                <w:rFonts w:ascii="Garamond" w:hAnsi="Garamond"/>
                <w:sz w:val="22"/>
                <w:szCs w:val="22"/>
                <w:lang w:val="en-US"/>
              </w:rPr>
              <w:t>US_UTV_TIPA_MED</w:t>
            </w:r>
            <w:r w:rsidRPr="000E318F">
              <w:rPr>
                <w:rFonts w:ascii="Garamond" w:hAnsi="Garamond"/>
                <w:sz w:val="22"/>
                <w:szCs w:val="22"/>
                <w:lang w:val="en-US"/>
              </w:rPr>
              <w:t>,</w:t>
            </w:r>
          </w:p>
          <w:p w14:paraId="3EAFAC62" w14:textId="77777777" w:rsidR="004B3B82" w:rsidRPr="001E6C98" w:rsidRDefault="004B3B82" w:rsidP="00CD3B05">
            <w:pPr>
              <w:jc w:val="center"/>
              <w:rPr>
                <w:rFonts w:ascii="Garamond" w:hAnsi="Garamond"/>
                <w:sz w:val="22"/>
                <w:szCs w:val="22"/>
                <w:lang w:val="en-US"/>
              </w:rPr>
            </w:pPr>
            <w:r w:rsidRPr="001E6C98">
              <w:rPr>
                <w:rFonts w:ascii="Garamond" w:hAnsi="Garamond"/>
                <w:sz w:val="22"/>
                <w:szCs w:val="22"/>
                <w:lang w:val="en-US"/>
              </w:rPr>
              <w:t>US_ UTV_TIPA _WEB</w:t>
            </w:r>
          </w:p>
        </w:tc>
        <w:tc>
          <w:tcPr>
            <w:tcW w:w="101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474F315" w14:textId="77777777" w:rsidR="004B3B82" w:rsidRPr="001E6C98" w:rsidRDefault="004B3B82" w:rsidP="00CD3B05">
            <w:pPr>
              <w:jc w:val="center"/>
              <w:rPr>
                <w:rFonts w:ascii="Garamond" w:hAnsi="Garamond"/>
                <w:sz w:val="22"/>
                <w:szCs w:val="22"/>
              </w:rPr>
            </w:pPr>
            <w:r w:rsidRPr="001E6C98">
              <w:rPr>
                <w:rFonts w:ascii="Garamond" w:hAnsi="Garamond"/>
                <w:b/>
                <w:bCs/>
                <w:sz w:val="22"/>
                <w:szCs w:val="22"/>
              </w:rPr>
              <w:t>Да</w:t>
            </w:r>
          </w:p>
        </w:tc>
        <w:tc>
          <w:tcPr>
            <w:tcW w:w="8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59E5168" w14:textId="77777777" w:rsidR="004B3B82" w:rsidRPr="001E6C98" w:rsidRDefault="004B3B82" w:rsidP="00CD3B05">
            <w:pPr>
              <w:jc w:val="center"/>
              <w:rPr>
                <w:rFonts w:ascii="Garamond" w:hAnsi="Garamond"/>
                <w:sz w:val="22"/>
                <w:szCs w:val="22"/>
              </w:rPr>
            </w:pPr>
            <w:r w:rsidRPr="001E6C98">
              <w:rPr>
                <w:rFonts w:ascii="Garamond" w:hAnsi="Garamond"/>
                <w:b/>
                <w:bCs/>
                <w:sz w:val="22"/>
                <w:szCs w:val="22"/>
              </w:rPr>
              <w:t>Нет</w:t>
            </w:r>
          </w:p>
        </w:tc>
      </w:tr>
      <w:tr w:rsidR="004B3B82" w:rsidRPr="001E6C98" w14:paraId="79CD114C" w14:textId="77777777" w:rsidTr="00CD3B05">
        <w:trPr>
          <w:trHeight w:val="656"/>
        </w:trPr>
        <w:tc>
          <w:tcPr>
            <w:tcW w:w="64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8D3BD00" w14:textId="77777777" w:rsidR="004B3B82" w:rsidRPr="001E6C98" w:rsidRDefault="004B3B82" w:rsidP="00CD3B05">
            <w:pPr>
              <w:jc w:val="center"/>
              <w:rPr>
                <w:rFonts w:ascii="Garamond" w:hAnsi="Garamond"/>
                <w:sz w:val="22"/>
                <w:szCs w:val="22"/>
              </w:rPr>
            </w:pPr>
            <w:r w:rsidRPr="001E6C98">
              <w:rPr>
                <w:rFonts w:ascii="Garamond" w:hAnsi="Garamond"/>
                <w:sz w:val="22"/>
                <w:szCs w:val="22"/>
              </w:rPr>
              <w:t>3</w:t>
            </w:r>
          </w:p>
        </w:tc>
        <w:tc>
          <w:tcPr>
            <w:tcW w:w="46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E068370" w14:textId="77777777" w:rsidR="004B3B82" w:rsidRPr="001E6C98" w:rsidRDefault="004B3B82" w:rsidP="00CD3B05">
            <w:pPr>
              <w:rPr>
                <w:rFonts w:ascii="Garamond" w:hAnsi="Garamond"/>
                <w:sz w:val="22"/>
                <w:szCs w:val="22"/>
              </w:rPr>
            </w:pPr>
            <w:r w:rsidRPr="001E6C98">
              <w:rPr>
                <w:rFonts w:ascii="Garamond" w:hAnsi="Garamond"/>
                <w:sz w:val="22"/>
                <w:szCs w:val="22"/>
              </w:rPr>
              <w:t>Свидетельство о поверке АИИС КУЭ с приложением перечня измерительных каналов (см. п. 4 примечаний)</w:t>
            </w:r>
          </w:p>
        </w:tc>
        <w:tc>
          <w:tcPr>
            <w:tcW w:w="244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AED42BE" w14:textId="77777777" w:rsidR="004B3B82" w:rsidRPr="000E318F" w:rsidRDefault="004B3B82" w:rsidP="00CD3B05">
            <w:pPr>
              <w:jc w:val="center"/>
              <w:rPr>
                <w:rFonts w:ascii="Garamond" w:eastAsia="Garamond" w:hAnsi="Garamond" w:cs="Garamond"/>
                <w:sz w:val="22"/>
                <w:szCs w:val="22"/>
                <w:lang w:val="en-US"/>
              </w:rPr>
            </w:pPr>
            <w:r w:rsidRPr="001E6C98">
              <w:rPr>
                <w:rFonts w:ascii="Garamond" w:hAnsi="Garamond"/>
                <w:sz w:val="22"/>
                <w:szCs w:val="22"/>
                <w:lang w:val="en-US"/>
              </w:rPr>
              <w:t>US_POVERKA_MED</w:t>
            </w:r>
            <w:r w:rsidRPr="000E318F">
              <w:rPr>
                <w:rFonts w:ascii="Garamond" w:hAnsi="Garamond"/>
                <w:sz w:val="22"/>
                <w:szCs w:val="22"/>
                <w:lang w:val="en-US"/>
              </w:rPr>
              <w:t>,</w:t>
            </w:r>
          </w:p>
          <w:p w14:paraId="3B2651CF" w14:textId="77777777" w:rsidR="004B3B82" w:rsidRPr="001E6C98" w:rsidRDefault="004B3B82" w:rsidP="00CD3B05">
            <w:pPr>
              <w:jc w:val="center"/>
              <w:rPr>
                <w:rFonts w:ascii="Garamond" w:hAnsi="Garamond"/>
                <w:sz w:val="22"/>
                <w:szCs w:val="22"/>
                <w:lang w:val="en-US"/>
              </w:rPr>
            </w:pPr>
            <w:r w:rsidRPr="001E6C98">
              <w:rPr>
                <w:rFonts w:ascii="Garamond" w:hAnsi="Garamond"/>
                <w:sz w:val="22"/>
                <w:szCs w:val="22"/>
                <w:lang w:val="en-US"/>
              </w:rPr>
              <w:t>US_POVERKA_WEB</w:t>
            </w:r>
          </w:p>
        </w:tc>
        <w:tc>
          <w:tcPr>
            <w:tcW w:w="101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81D436C" w14:textId="77777777" w:rsidR="004B3B82" w:rsidRPr="001E6C98" w:rsidRDefault="004B3B82" w:rsidP="00CD3B05">
            <w:pPr>
              <w:jc w:val="center"/>
              <w:rPr>
                <w:rFonts w:ascii="Garamond" w:hAnsi="Garamond"/>
                <w:sz w:val="22"/>
                <w:szCs w:val="22"/>
              </w:rPr>
            </w:pPr>
            <w:r w:rsidRPr="001E6C98">
              <w:rPr>
                <w:rFonts w:ascii="Garamond" w:hAnsi="Garamond"/>
                <w:b/>
                <w:bCs/>
                <w:sz w:val="22"/>
                <w:szCs w:val="22"/>
              </w:rPr>
              <w:t>Да</w:t>
            </w:r>
          </w:p>
        </w:tc>
        <w:tc>
          <w:tcPr>
            <w:tcW w:w="8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5B05C2E" w14:textId="77777777" w:rsidR="004B3B82" w:rsidRPr="001E6C98" w:rsidRDefault="004B3B82" w:rsidP="00CD3B05">
            <w:pPr>
              <w:jc w:val="center"/>
              <w:rPr>
                <w:rFonts w:ascii="Garamond" w:hAnsi="Garamond"/>
                <w:sz w:val="22"/>
                <w:szCs w:val="22"/>
              </w:rPr>
            </w:pPr>
            <w:r w:rsidRPr="001E6C98">
              <w:rPr>
                <w:rFonts w:ascii="Garamond" w:hAnsi="Garamond"/>
                <w:b/>
                <w:bCs/>
                <w:sz w:val="22"/>
                <w:szCs w:val="22"/>
              </w:rPr>
              <w:t>Нет</w:t>
            </w:r>
          </w:p>
        </w:tc>
      </w:tr>
      <w:tr w:rsidR="004B3B82" w:rsidRPr="001E6C98" w14:paraId="6AC8BD62" w14:textId="77777777" w:rsidTr="00CD3B05">
        <w:trPr>
          <w:trHeight w:val="916"/>
        </w:trPr>
        <w:tc>
          <w:tcPr>
            <w:tcW w:w="64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B1D807A" w14:textId="77777777" w:rsidR="004B3B82" w:rsidRPr="001E6C98" w:rsidRDefault="004B3B82" w:rsidP="00CD3B05">
            <w:pPr>
              <w:jc w:val="center"/>
              <w:rPr>
                <w:rFonts w:ascii="Garamond" w:hAnsi="Garamond"/>
                <w:sz w:val="22"/>
                <w:szCs w:val="22"/>
              </w:rPr>
            </w:pPr>
            <w:r w:rsidRPr="001E6C98">
              <w:rPr>
                <w:rFonts w:ascii="Garamond" w:hAnsi="Garamond"/>
                <w:sz w:val="22"/>
                <w:szCs w:val="22"/>
              </w:rPr>
              <w:t>4</w:t>
            </w:r>
          </w:p>
        </w:tc>
        <w:tc>
          <w:tcPr>
            <w:tcW w:w="46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5D6A981" w14:textId="77777777" w:rsidR="004B3B82" w:rsidRPr="001E6C98" w:rsidRDefault="004B3B82" w:rsidP="00CD3B05">
            <w:pPr>
              <w:rPr>
                <w:rFonts w:ascii="Garamond" w:hAnsi="Garamond"/>
                <w:sz w:val="22"/>
                <w:szCs w:val="22"/>
              </w:rPr>
            </w:pPr>
            <w:r w:rsidRPr="001E6C98">
              <w:rPr>
                <w:rFonts w:ascii="Garamond" w:hAnsi="Garamond"/>
                <w:sz w:val="22"/>
                <w:szCs w:val="22"/>
              </w:rPr>
              <w:t xml:space="preserve">Свидетельство о поверке (паспорт-формуляр с отметкой о поверке) </w:t>
            </w:r>
            <w:r w:rsidRPr="004D729C">
              <w:rPr>
                <w:rFonts w:ascii="Garamond" w:hAnsi="Garamond"/>
                <w:sz w:val="22"/>
                <w:szCs w:val="22"/>
                <w:highlight w:val="yellow"/>
              </w:rPr>
              <w:t>счетчиков электрической энергии</w:t>
            </w:r>
          </w:p>
        </w:tc>
        <w:tc>
          <w:tcPr>
            <w:tcW w:w="244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73183E4" w14:textId="77777777" w:rsidR="004B3B82" w:rsidRPr="00D522B5" w:rsidRDefault="004B3B82" w:rsidP="00CD3B05">
            <w:pPr>
              <w:jc w:val="center"/>
              <w:rPr>
                <w:rFonts w:ascii="Garamond" w:eastAsia="Garamond" w:hAnsi="Garamond" w:cs="Garamond"/>
                <w:sz w:val="22"/>
                <w:szCs w:val="22"/>
                <w:highlight w:val="yellow"/>
                <w:lang w:val="en-US"/>
              </w:rPr>
            </w:pPr>
            <w:r w:rsidRPr="00D522B5">
              <w:rPr>
                <w:rFonts w:ascii="Garamond" w:hAnsi="Garamond"/>
                <w:sz w:val="22"/>
                <w:szCs w:val="22"/>
                <w:highlight w:val="yellow"/>
                <w:lang w:val="en-US"/>
              </w:rPr>
              <w:t>US_POVERKA_MED,</w:t>
            </w:r>
          </w:p>
          <w:p w14:paraId="219DAD5A" w14:textId="77777777" w:rsidR="004B3B82" w:rsidRPr="00D522B5" w:rsidRDefault="004B3B82" w:rsidP="00CD3B05">
            <w:pPr>
              <w:jc w:val="center"/>
              <w:rPr>
                <w:rFonts w:ascii="Garamond" w:hAnsi="Garamond"/>
                <w:sz w:val="22"/>
                <w:szCs w:val="22"/>
                <w:highlight w:val="yellow"/>
                <w:lang w:val="en-US"/>
              </w:rPr>
            </w:pPr>
            <w:r w:rsidRPr="00D522B5">
              <w:rPr>
                <w:rFonts w:ascii="Garamond" w:hAnsi="Garamond"/>
                <w:sz w:val="22"/>
                <w:szCs w:val="22"/>
                <w:highlight w:val="yellow"/>
                <w:lang w:val="en-US"/>
              </w:rPr>
              <w:t>US_POVERKA_WEB</w:t>
            </w:r>
          </w:p>
        </w:tc>
        <w:tc>
          <w:tcPr>
            <w:tcW w:w="101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9102246" w14:textId="77777777" w:rsidR="004B3B82" w:rsidRPr="001E6C98" w:rsidRDefault="004B3B82" w:rsidP="00CD3B05">
            <w:pPr>
              <w:jc w:val="center"/>
              <w:rPr>
                <w:rFonts w:ascii="Garamond" w:hAnsi="Garamond"/>
                <w:b/>
                <w:bCs/>
                <w:sz w:val="22"/>
                <w:szCs w:val="22"/>
              </w:rPr>
            </w:pPr>
            <w:r w:rsidRPr="001E6C98">
              <w:rPr>
                <w:rFonts w:ascii="Garamond" w:hAnsi="Garamond"/>
                <w:b/>
                <w:bCs/>
                <w:sz w:val="22"/>
                <w:szCs w:val="22"/>
              </w:rPr>
              <w:t>Да</w:t>
            </w:r>
          </w:p>
          <w:p w14:paraId="3AFFA355" w14:textId="77777777" w:rsidR="004B3B82" w:rsidRPr="001E6C98" w:rsidRDefault="004B3B82" w:rsidP="00CD3B05">
            <w:pPr>
              <w:jc w:val="center"/>
              <w:rPr>
                <w:rFonts w:ascii="Garamond" w:hAnsi="Garamond"/>
                <w:b/>
                <w:bCs/>
                <w:sz w:val="22"/>
                <w:szCs w:val="22"/>
              </w:rPr>
            </w:pPr>
            <w:r w:rsidRPr="001E6C98">
              <w:rPr>
                <w:rFonts w:ascii="Garamond" w:hAnsi="Garamond"/>
                <w:b/>
                <w:bCs/>
                <w:sz w:val="22"/>
                <w:szCs w:val="22"/>
              </w:rPr>
              <w:t>(см. п. 6 примечаний)</w:t>
            </w:r>
          </w:p>
        </w:tc>
        <w:tc>
          <w:tcPr>
            <w:tcW w:w="8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C29CDCA" w14:textId="77777777" w:rsidR="004B3B82" w:rsidRPr="001E6C98" w:rsidRDefault="004B3B82" w:rsidP="00CD3B05">
            <w:pPr>
              <w:jc w:val="center"/>
              <w:rPr>
                <w:rFonts w:ascii="Garamond" w:hAnsi="Garamond"/>
                <w:b/>
                <w:bCs/>
                <w:sz w:val="22"/>
                <w:szCs w:val="22"/>
              </w:rPr>
            </w:pPr>
            <w:r w:rsidRPr="001E6C98">
              <w:rPr>
                <w:rFonts w:ascii="Garamond" w:hAnsi="Garamond"/>
                <w:b/>
                <w:bCs/>
                <w:sz w:val="22"/>
                <w:szCs w:val="22"/>
              </w:rPr>
              <w:t>Да</w:t>
            </w:r>
          </w:p>
        </w:tc>
      </w:tr>
      <w:tr w:rsidR="004B3B82" w:rsidRPr="001E6C98" w14:paraId="23954113" w14:textId="77777777" w:rsidTr="00CD3B05">
        <w:trPr>
          <w:trHeight w:val="585"/>
        </w:trPr>
        <w:tc>
          <w:tcPr>
            <w:tcW w:w="64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216544F" w14:textId="77777777" w:rsidR="004B3B82" w:rsidRPr="001E6C98" w:rsidRDefault="004B3B82" w:rsidP="00CD3B05">
            <w:pPr>
              <w:jc w:val="center"/>
              <w:rPr>
                <w:rFonts w:ascii="Garamond" w:hAnsi="Garamond"/>
                <w:sz w:val="22"/>
                <w:szCs w:val="22"/>
              </w:rPr>
            </w:pPr>
            <w:r w:rsidRPr="001E6C98">
              <w:rPr>
                <w:rFonts w:ascii="Garamond" w:hAnsi="Garamond"/>
                <w:sz w:val="22"/>
                <w:szCs w:val="22"/>
              </w:rPr>
              <w:t>5</w:t>
            </w:r>
          </w:p>
        </w:tc>
        <w:tc>
          <w:tcPr>
            <w:tcW w:w="46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DAD3058" w14:textId="77777777" w:rsidR="004B3B82" w:rsidRPr="001E6C98" w:rsidRDefault="004B3B82" w:rsidP="00CD3B05">
            <w:pPr>
              <w:rPr>
                <w:rFonts w:ascii="Garamond" w:hAnsi="Garamond"/>
                <w:sz w:val="22"/>
                <w:szCs w:val="22"/>
                <w:vertAlign w:val="superscript"/>
              </w:rPr>
            </w:pPr>
            <w:r w:rsidRPr="001E6C98">
              <w:rPr>
                <w:rFonts w:ascii="Garamond" w:hAnsi="Garamond"/>
                <w:sz w:val="22"/>
                <w:szCs w:val="22"/>
              </w:rPr>
              <w:t>Паспорта-протоколы на ИИК в составе АИИС КУЭ или акты допуска прибора учета в эксплуатацию (см. пп. 2, 6 примечаний)</w:t>
            </w:r>
          </w:p>
        </w:tc>
        <w:tc>
          <w:tcPr>
            <w:tcW w:w="244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8246B0D" w14:textId="77777777" w:rsidR="004B3B82" w:rsidRPr="000E318F" w:rsidRDefault="004B3B82" w:rsidP="00CD3B05">
            <w:pPr>
              <w:jc w:val="center"/>
              <w:rPr>
                <w:rFonts w:ascii="Garamond" w:eastAsia="Garamond" w:hAnsi="Garamond" w:cs="Garamond"/>
                <w:sz w:val="22"/>
                <w:szCs w:val="22"/>
                <w:u w:color="FF0000"/>
                <w:lang w:val="en-US"/>
              </w:rPr>
            </w:pPr>
            <w:r w:rsidRPr="001E6C98">
              <w:rPr>
                <w:rFonts w:ascii="Garamond" w:hAnsi="Garamond"/>
                <w:sz w:val="22"/>
                <w:szCs w:val="22"/>
                <w:u w:color="FF0000"/>
                <w:lang w:val="en-US"/>
              </w:rPr>
              <w:t>US</w:t>
            </w:r>
            <w:r w:rsidRPr="000E318F">
              <w:rPr>
                <w:rFonts w:ascii="Garamond" w:hAnsi="Garamond"/>
                <w:sz w:val="22"/>
                <w:szCs w:val="22"/>
                <w:u w:color="FF0000"/>
                <w:lang w:val="en-US"/>
              </w:rPr>
              <w:t>_</w:t>
            </w:r>
            <w:r w:rsidRPr="001E6C98">
              <w:rPr>
                <w:rFonts w:ascii="Garamond" w:hAnsi="Garamond"/>
                <w:sz w:val="22"/>
                <w:szCs w:val="22"/>
                <w:u w:color="FF0000"/>
                <w:lang w:val="en-US"/>
              </w:rPr>
              <w:t>PASP</w:t>
            </w:r>
            <w:r w:rsidRPr="000E318F">
              <w:rPr>
                <w:rFonts w:ascii="Garamond" w:hAnsi="Garamond"/>
                <w:sz w:val="22"/>
                <w:szCs w:val="22"/>
                <w:u w:color="FF0000"/>
                <w:lang w:val="en-US"/>
              </w:rPr>
              <w:t>_</w:t>
            </w:r>
            <w:r w:rsidRPr="001E6C98">
              <w:rPr>
                <w:rFonts w:ascii="Garamond" w:hAnsi="Garamond"/>
                <w:sz w:val="22"/>
                <w:szCs w:val="22"/>
                <w:u w:color="FF0000"/>
                <w:lang w:val="en-US"/>
              </w:rPr>
              <w:t>PROT</w:t>
            </w:r>
            <w:r w:rsidRPr="000E318F">
              <w:rPr>
                <w:rFonts w:ascii="Garamond" w:hAnsi="Garamond"/>
                <w:sz w:val="22"/>
                <w:szCs w:val="22"/>
                <w:u w:color="FF0000"/>
                <w:lang w:val="en-US"/>
              </w:rPr>
              <w:t>_</w:t>
            </w:r>
            <w:r w:rsidRPr="001E6C98">
              <w:rPr>
                <w:rFonts w:ascii="Garamond" w:hAnsi="Garamond"/>
                <w:sz w:val="22"/>
                <w:szCs w:val="22"/>
                <w:u w:color="FF0000"/>
                <w:lang w:val="en-US"/>
              </w:rPr>
              <w:t>MED</w:t>
            </w:r>
            <w:r w:rsidRPr="000E318F">
              <w:rPr>
                <w:rFonts w:ascii="Garamond" w:hAnsi="Garamond"/>
                <w:sz w:val="22"/>
                <w:szCs w:val="22"/>
                <w:u w:color="FF0000"/>
                <w:lang w:val="en-US"/>
              </w:rPr>
              <w:t>,</w:t>
            </w:r>
          </w:p>
          <w:p w14:paraId="482B8559" w14:textId="77777777" w:rsidR="004B3B82" w:rsidRPr="000E318F" w:rsidRDefault="004B3B82" w:rsidP="00CD3B05">
            <w:pPr>
              <w:jc w:val="center"/>
              <w:rPr>
                <w:rFonts w:ascii="Garamond" w:hAnsi="Garamond"/>
                <w:sz w:val="22"/>
                <w:szCs w:val="22"/>
                <w:lang w:val="en-US"/>
              </w:rPr>
            </w:pPr>
            <w:r w:rsidRPr="001E6C98">
              <w:rPr>
                <w:rFonts w:ascii="Garamond" w:hAnsi="Garamond"/>
                <w:sz w:val="22"/>
                <w:szCs w:val="22"/>
                <w:u w:color="FF0000"/>
                <w:lang w:val="en-US"/>
              </w:rPr>
              <w:t>US</w:t>
            </w:r>
            <w:r w:rsidRPr="000E318F">
              <w:rPr>
                <w:rFonts w:ascii="Garamond" w:hAnsi="Garamond"/>
                <w:sz w:val="22"/>
                <w:szCs w:val="22"/>
                <w:u w:color="FF0000"/>
                <w:lang w:val="en-US"/>
              </w:rPr>
              <w:t>_</w:t>
            </w:r>
            <w:r w:rsidRPr="001E6C98">
              <w:rPr>
                <w:rFonts w:ascii="Garamond" w:hAnsi="Garamond"/>
                <w:sz w:val="22"/>
                <w:szCs w:val="22"/>
                <w:u w:color="FF0000"/>
                <w:lang w:val="en-US"/>
              </w:rPr>
              <w:t>PASP</w:t>
            </w:r>
            <w:r w:rsidRPr="000E318F">
              <w:rPr>
                <w:rFonts w:ascii="Garamond" w:hAnsi="Garamond"/>
                <w:sz w:val="22"/>
                <w:szCs w:val="22"/>
                <w:u w:color="FF0000"/>
                <w:lang w:val="en-US"/>
              </w:rPr>
              <w:t>_</w:t>
            </w:r>
            <w:r w:rsidRPr="001E6C98">
              <w:rPr>
                <w:rFonts w:ascii="Garamond" w:hAnsi="Garamond"/>
                <w:sz w:val="22"/>
                <w:szCs w:val="22"/>
                <w:u w:color="FF0000"/>
                <w:lang w:val="en-US"/>
              </w:rPr>
              <w:t>PROT</w:t>
            </w:r>
            <w:r w:rsidRPr="000E318F">
              <w:rPr>
                <w:rFonts w:ascii="Garamond" w:hAnsi="Garamond"/>
                <w:sz w:val="22"/>
                <w:szCs w:val="22"/>
                <w:u w:color="FF0000"/>
                <w:lang w:val="en-US"/>
              </w:rPr>
              <w:t>_</w:t>
            </w:r>
            <w:r w:rsidRPr="001E6C98">
              <w:rPr>
                <w:rFonts w:ascii="Garamond" w:hAnsi="Garamond"/>
                <w:sz w:val="22"/>
                <w:szCs w:val="22"/>
                <w:u w:color="FF0000"/>
                <w:lang w:val="en-US"/>
              </w:rPr>
              <w:t>WEB</w:t>
            </w:r>
          </w:p>
        </w:tc>
        <w:tc>
          <w:tcPr>
            <w:tcW w:w="101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8A786F1" w14:textId="77777777" w:rsidR="004B3B82" w:rsidRPr="001E6C98" w:rsidRDefault="004B3B82" w:rsidP="00CD3B05">
            <w:pPr>
              <w:jc w:val="center"/>
              <w:rPr>
                <w:rFonts w:ascii="Garamond" w:hAnsi="Garamond"/>
                <w:b/>
                <w:bCs/>
                <w:sz w:val="22"/>
                <w:szCs w:val="22"/>
              </w:rPr>
            </w:pPr>
            <w:r w:rsidRPr="001E6C98">
              <w:rPr>
                <w:rFonts w:ascii="Garamond" w:hAnsi="Garamond"/>
                <w:b/>
                <w:bCs/>
                <w:sz w:val="22"/>
                <w:szCs w:val="22"/>
              </w:rPr>
              <w:t>Да</w:t>
            </w:r>
          </w:p>
          <w:p w14:paraId="5DF09CB2" w14:textId="77777777" w:rsidR="004B3B82" w:rsidRPr="001E6C98" w:rsidRDefault="004B3B82" w:rsidP="00CD3B05">
            <w:pPr>
              <w:jc w:val="center"/>
              <w:rPr>
                <w:rFonts w:ascii="Garamond" w:hAnsi="Garamond"/>
                <w:sz w:val="22"/>
                <w:szCs w:val="22"/>
              </w:rPr>
            </w:pPr>
            <w:r w:rsidRPr="001E6C98">
              <w:rPr>
                <w:rFonts w:ascii="Garamond" w:hAnsi="Garamond"/>
                <w:b/>
                <w:bCs/>
                <w:sz w:val="22"/>
                <w:szCs w:val="22"/>
              </w:rPr>
              <w:t>(см. п. 6 примечаний)</w:t>
            </w:r>
          </w:p>
        </w:tc>
        <w:tc>
          <w:tcPr>
            <w:tcW w:w="8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2B84E00" w14:textId="77777777" w:rsidR="004B3B82" w:rsidRPr="001E6C98" w:rsidRDefault="004B3B82" w:rsidP="00CD3B05">
            <w:pPr>
              <w:jc w:val="center"/>
              <w:rPr>
                <w:rFonts w:ascii="Garamond" w:hAnsi="Garamond"/>
                <w:sz w:val="22"/>
                <w:szCs w:val="22"/>
              </w:rPr>
            </w:pPr>
            <w:r w:rsidRPr="001E6C98">
              <w:rPr>
                <w:rFonts w:ascii="Garamond" w:hAnsi="Garamond"/>
                <w:b/>
                <w:bCs/>
                <w:sz w:val="22"/>
                <w:szCs w:val="22"/>
              </w:rPr>
              <w:t>Да (см. п. 2 примечаний)</w:t>
            </w:r>
          </w:p>
        </w:tc>
      </w:tr>
      <w:tr w:rsidR="004B3B82" w:rsidRPr="001E6C98" w14:paraId="7127634A" w14:textId="77777777" w:rsidTr="00CD3B05">
        <w:trPr>
          <w:trHeight w:val="1017"/>
        </w:trPr>
        <w:tc>
          <w:tcPr>
            <w:tcW w:w="64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FEE3F1C" w14:textId="77777777" w:rsidR="004B3B82" w:rsidRPr="001E6C98" w:rsidRDefault="004B3B82" w:rsidP="00CD3B05">
            <w:pPr>
              <w:jc w:val="center"/>
              <w:rPr>
                <w:rFonts w:ascii="Garamond" w:hAnsi="Garamond"/>
                <w:sz w:val="22"/>
                <w:szCs w:val="22"/>
              </w:rPr>
            </w:pPr>
            <w:r w:rsidRPr="001E6C98">
              <w:rPr>
                <w:rFonts w:ascii="Garamond" w:hAnsi="Garamond"/>
                <w:sz w:val="22"/>
                <w:szCs w:val="22"/>
              </w:rPr>
              <w:t>6</w:t>
            </w:r>
          </w:p>
        </w:tc>
        <w:tc>
          <w:tcPr>
            <w:tcW w:w="46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1F7DA67" w14:textId="77777777" w:rsidR="004B3B82" w:rsidRPr="001E6C98" w:rsidRDefault="004B3B82" w:rsidP="00CD3B05">
            <w:pPr>
              <w:rPr>
                <w:rFonts w:ascii="Garamond" w:hAnsi="Garamond"/>
                <w:sz w:val="22"/>
                <w:szCs w:val="22"/>
              </w:rPr>
            </w:pPr>
            <w:r w:rsidRPr="001E6C98">
              <w:rPr>
                <w:rFonts w:ascii="Garamond" w:hAnsi="Garamond"/>
                <w:sz w:val="22"/>
                <w:szCs w:val="22"/>
              </w:rPr>
              <w:t>Технические акты о внесенных изменениях</w:t>
            </w:r>
            <w:r w:rsidRPr="001E6C98">
              <w:rPr>
                <w:rFonts w:ascii="Garamond" w:hAnsi="Garamond"/>
                <w:sz w:val="22"/>
                <w:szCs w:val="22"/>
                <w:vertAlign w:val="superscript"/>
              </w:rPr>
              <w:t xml:space="preserve"> </w:t>
            </w:r>
            <w:r w:rsidRPr="001E6C98">
              <w:rPr>
                <w:rFonts w:ascii="Garamond" w:hAnsi="Garamond"/>
                <w:sz w:val="22"/>
                <w:szCs w:val="22"/>
              </w:rPr>
              <w:t>(см. п. 5 примечаний)</w:t>
            </w:r>
          </w:p>
        </w:tc>
        <w:tc>
          <w:tcPr>
            <w:tcW w:w="244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C829B53" w14:textId="77777777" w:rsidR="004B3B82" w:rsidRPr="001E6C98" w:rsidRDefault="004B3B82" w:rsidP="00CD3B05">
            <w:pPr>
              <w:jc w:val="center"/>
              <w:rPr>
                <w:rFonts w:ascii="Garamond" w:eastAsia="Garamond" w:hAnsi="Garamond" w:cs="Garamond"/>
                <w:sz w:val="22"/>
                <w:szCs w:val="22"/>
                <w:u w:color="FF0000"/>
                <w:lang w:val="en-US"/>
              </w:rPr>
            </w:pPr>
            <w:r w:rsidRPr="001E6C98">
              <w:rPr>
                <w:rFonts w:ascii="Garamond" w:hAnsi="Garamond"/>
                <w:sz w:val="22"/>
                <w:szCs w:val="22"/>
                <w:u w:color="FF0000"/>
                <w:lang w:val="en-US"/>
              </w:rPr>
              <w:t>US_AKT_ZAM_MED,</w:t>
            </w:r>
          </w:p>
          <w:p w14:paraId="398DAD4C" w14:textId="77777777" w:rsidR="004B3B82" w:rsidRPr="000E318F" w:rsidRDefault="004B3B82" w:rsidP="00CD3B05">
            <w:pPr>
              <w:jc w:val="center"/>
              <w:rPr>
                <w:rFonts w:ascii="Garamond" w:hAnsi="Garamond"/>
                <w:sz w:val="22"/>
                <w:szCs w:val="22"/>
                <w:u w:color="FF0000"/>
                <w:lang w:val="en-US"/>
              </w:rPr>
            </w:pPr>
            <w:r w:rsidRPr="001E6C98">
              <w:rPr>
                <w:rFonts w:ascii="Garamond" w:hAnsi="Garamond"/>
                <w:sz w:val="22"/>
                <w:szCs w:val="22"/>
                <w:u w:color="FF0000"/>
                <w:lang w:val="en-US"/>
              </w:rPr>
              <w:t>US_AKT_ZAM_WEB</w:t>
            </w:r>
          </w:p>
        </w:tc>
        <w:tc>
          <w:tcPr>
            <w:tcW w:w="101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B3E170D" w14:textId="77777777" w:rsidR="004B3B82" w:rsidRPr="001E6C98" w:rsidRDefault="004B3B82" w:rsidP="00CD3B05">
            <w:pPr>
              <w:jc w:val="center"/>
              <w:rPr>
                <w:rFonts w:ascii="Garamond" w:hAnsi="Garamond"/>
                <w:b/>
                <w:bCs/>
                <w:sz w:val="22"/>
                <w:szCs w:val="22"/>
              </w:rPr>
            </w:pPr>
            <w:r w:rsidRPr="001E6C98">
              <w:rPr>
                <w:rFonts w:ascii="Garamond" w:hAnsi="Garamond"/>
                <w:b/>
                <w:bCs/>
                <w:sz w:val="22"/>
                <w:szCs w:val="22"/>
              </w:rPr>
              <w:t>Да (см. п. 5 примечаний)</w:t>
            </w:r>
          </w:p>
        </w:tc>
        <w:tc>
          <w:tcPr>
            <w:tcW w:w="8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8070A6A" w14:textId="77777777" w:rsidR="004B3B82" w:rsidRPr="001E6C98" w:rsidRDefault="004B3B82" w:rsidP="00CD3B05">
            <w:pPr>
              <w:jc w:val="center"/>
              <w:rPr>
                <w:rFonts w:ascii="Garamond" w:hAnsi="Garamond"/>
                <w:b/>
                <w:bCs/>
                <w:sz w:val="22"/>
                <w:szCs w:val="22"/>
              </w:rPr>
            </w:pPr>
            <w:r w:rsidRPr="001E6C98">
              <w:rPr>
                <w:rFonts w:ascii="Garamond" w:hAnsi="Garamond"/>
                <w:b/>
                <w:bCs/>
                <w:sz w:val="22"/>
                <w:szCs w:val="22"/>
              </w:rPr>
              <w:t>Нет</w:t>
            </w:r>
          </w:p>
        </w:tc>
      </w:tr>
    </w:tbl>
    <w:p w14:paraId="0F190579" w14:textId="77777777" w:rsidR="004B3B82" w:rsidRDefault="004B3B82" w:rsidP="00101F7C">
      <w:pPr>
        <w:tabs>
          <w:tab w:val="left" w:pos="5670"/>
        </w:tabs>
        <w:jc w:val="both"/>
        <w:rPr>
          <w:rFonts w:ascii="Garamond" w:eastAsia="Garamond" w:hAnsi="Garamond" w:cs="Garamond"/>
          <w:sz w:val="22"/>
          <w:szCs w:val="22"/>
          <w:shd w:val="clear" w:color="auto" w:fill="FFFF00"/>
        </w:rPr>
      </w:pPr>
    </w:p>
    <w:p w14:paraId="4DF3A289" w14:textId="77777777" w:rsidR="004B3B82" w:rsidRPr="00B327DD" w:rsidRDefault="004B3B82" w:rsidP="00101F7C">
      <w:pPr>
        <w:rPr>
          <w:rFonts w:ascii="Garamond" w:hAnsi="Garamond"/>
          <w:sz w:val="22"/>
          <w:szCs w:val="22"/>
        </w:rPr>
      </w:pPr>
      <w:r w:rsidRPr="00B327DD">
        <w:rPr>
          <w:rFonts w:ascii="Garamond" w:hAnsi="Garamond"/>
          <w:i/>
          <w:sz w:val="22"/>
          <w:szCs w:val="22"/>
        </w:rPr>
        <w:t>Примечания</w:t>
      </w:r>
      <w:r>
        <w:rPr>
          <w:rFonts w:ascii="Garamond" w:hAnsi="Garamond"/>
          <w:sz w:val="22"/>
          <w:szCs w:val="22"/>
        </w:rPr>
        <w:t>.</w:t>
      </w:r>
    </w:p>
    <w:p w14:paraId="16AF48B9" w14:textId="77777777" w:rsidR="004B3B82" w:rsidRPr="00033CB1" w:rsidRDefault="004B3B82" w:rsidP="00101F7C">
      <w:pPr>
        <w:suppressAutoHyphens w:val="0"/>
        <w:ind w:left="720"/>
        <w:jc w:val="both"/>
        <w:rPr>
          <w:rFonts w:ascii="Garamond" w:hAnsi="Garamond" w:cs="Courier New"/>
          <w:sz w:val="22"/>
          <w:szCs w:val="22"/>
        </w:rPr>
      </w:pPr>
      <w:r>
        <w:rPr>
          <w:rFonts w:ascii="Garamond" w:hAnsi="Garamond"/>
          <w:sz w:val="22"/>
          <w:szCs w:val="22"/>
        </w:rPr>
        <w:t>…</w:t>
      </w:r>
    </w:p>
    <w:p w14:paraId="5D85AAB6" w14:textId="77777777" w:rsidR="004B3B82" w:rsidRPr="00033CB1" w:rsidRDefault="004B3B82" w:rsidP="004B3B82">
      <w:pPr>
        <w:numPr>
          <w:ilvl w:val="0"/>
          <w:numId w:val="130"/>
        </w:numPr>
        <w:suppressAutoHyphens w:val="0"/>
        <w:jc w:val="both"/>
        <w:rPr>
          <w:rFonts w:ascii="Garamond" w:hAnsi="Garamond" w:cs="Courier New"/>
          <w:sz w:val="22"/>
          <w:szCs w:val="22"/>
        </w:rPr>
      </w:pPr>
      <w:r w:rsidRPr="00033CB1">
        <w:rPr>
          <w:rFonts w:ascii="Garamond" w:hAnsi="Garamond"/>
          <w:sz w:val="22"/>
          <w:szCs w:val="22"/>
        </w:rPr>
        <w:t>Субъект оптового рынка (з</w:t>
      </w:r>
      <w:r w:rsidRPr="00033CB1">
        <w:rPr>
          <w:rFonts w:ascii="Garamond" w:hAnsi="Garamond" w:cs="Courier New"/>
          <w:sz w:val="22"/>
          <w:szCs w:val="22"/>
        </w:rPr>
        <w:t>аявитель) оформляет в произвольной форме технический акт о внесенных изменениях в АИИС КУЭ (утвержденную как средство измерений единичного производства) и обеспечивает его подписание руководителем или уполномоченным им лицом в случаях:</w:t>
      </w:r>
    </w:p>
    <w:p w14:paraId="6BF2E939" w14:textId="77777777" w:rsidR="004B3B82" w:rsidRPr="00033CB1" w:rsidRDefault="004B3B82" w:rsidP="004B3B82">
      <w:pPr>
        <w:pStyle w:val="af6"/>
        <w:numPr>
          <w:ilvl w:val="0"/>
          <w:numId w:val="122"/>
        </w:numPr>
        <w:tabs>
          <w:tab w:val="left" w:pos="1276"/>
        </w:tabs>
        <w:ind w:left="1276" w:hanging="425"/>
        <w:rPr>
          <w:rFonts w:ascii="Garamond" w:hAnsi="Garamond"/>
          <w:sz w:val="22"/>
          <w:szCs w:val="22"/>
          <w:lang w:val="ru-RU"/>
        </w:rPr>
      </w:pPr>
      <w:r w:rsidRPr="00033CB1">
        <w:rPr>
          <w:rFonts w:ascii="Garamond" w:hAnsi="Garamond"/>
          <w:sz w:val="22"/>
          <w:szCs w:val="22"/>
          <w:lang w:val="ru-RU"/>
        </w:rPr>
        <w:t>изменения наименований измерительных каналов АИИС КУЭ без изменения местоположения ИИК;</w:t>
      </w:r>
    </w:p>
    <w:p w14:paraId="60EA1921" w14:textId="77777777" w:rsidR="004B3B82" w:rsidRPr="00033CB1" w:rsidRDefault="004B3B82" w:rsidP="004B3B82">
      <w:pPr>
        <w:pStyle w:val="af6"/>
        <w:numPr>
          <w:ilvl w:val="0"/>
          <w:numId w:val="122"/>
        </w:numPr>
        <w:tabs>
          <w:tab w:val="left" w:pos="1276"/>
        </w:tabs>
        <w:ind w:left="1276" w:hanging="425"/>
        <w:rPr>
          <w:rFonts w:ascii="Garamond" w:hAnsi="Garamond"/>
          <w:sz w:val="22"/>
          <w:szCs w:val="22"/>
          <w:lang w:val="ru-RU"/>
        </w:rPr>
      </w:pPr>
      <w:r w:rsidRPr="00033CB1">
        <w:rPr>
          <w:rFonts w:ascii="Garamond" w:hAnsi="Garamond"/>
          <w:sz w:val="22"/>
          <w:szCs w:val="22"/>
          <w:lang w:val="ru-RU"/>
        </w:rPr>
        <w:t xml:space="preserve">замены измерительных компонентов (трансформаторов тока, трансформаторов напряжения, </w:t>
      </w:r>
      <w:r w:rsidRPr="003C6156">
        <w:rPr>
          <w:rFonts w:ascii="Garamond" w:hAnsi="Garamond"/>
          <w:sz w:val="22"/>
          <w:szCs w:val="22"/>
          <w:highlight w:val="yellow"/>
          <w:lang w:val="ru-RU"/>
        </w:rPr>
        <w:t>счетчиков электрической энергии</w:t>
      </w:r>
      <w:r w:rsidRPr="00033CB1">
        <w:rPr>
          <w:rFonts w:ascii="Garamond" w:hAnsi="Garamond"/>
          <w:sz w:val="22"/>
          <w:szCs w:val="22"/>
          <w:lang w:val="ru-RU"/>
        </w:rPr>
        <w:t>) на аналогичные измерительные компоненты утвержденных типов с классом точности не хуже указанного в описании типа средства измерений АИИС КУЭ при условии, что метрологические характеристики ИИК, указанные в описании типа средства измерений АИИС КУЭ, соответствуют требованиям п. 3.2.2 Приложения № 11.1 к Положению о реестре;</w:t>
      </w:r>
    </w:p>
    <w:p w14:paraId="0FD2F6B6" w14:textId="77777777" w:rsidR="004B3B82" w:rsidRDefault="004B3B82" w:rsidP="00101F7C">
      <w:pPr>
        <w:suppressAutoHyphens w:val="0"/>
        <w:ind w:left="720"/>
        <w:jc w:val="both"/>
        <w:rPr>
          <w:rFonts w:ascii="Garamond" w:hAnsi="Garamond"/>
          <w:sz w:val="22"/>
          <w:szCs w:val="22"/>
        </w:rPr>
      </w:pPr>
      <w:r>
        <w:rPr>
          <w:rFonts w:ascii="Garamond" w:hAnsi="Garamond"/>
          <w:i/>
          <w:sz w:val="22"/>
          <w:szCs w:val="22"/>
        </w:rPr>
        <w:t>…</w:t>
      </w:r>
    </w:p>
    <w:p w14:paraId="2B4F50ED" w14:textId="77777777" w:rsidR="004B3B82" w:rsidRDefault="004B3B82" w:rsidP="00101F7C">
      <w:pPr>
        <w:suppressAutoHyphens w:val="0"/>
        <w:ind w:left="720"/>
        <w:jc w:val="both"/>
        <w:rPr>
          <w:rFonts w:ascii="Garamond" w:hAnsi="Garamond"/>
          <w:sz w:val="22"/>
          <w:szCs w:val="22"/>
        </w:rPr>
      </w:pPr>
      <w:r>
        <w:rPr>
          <w:rFonts w:ascii="Garamond" w:hAnsi="Garamond"/>
          <w:sz w:val="22"/>
          <w:szCs w:val="22"/>
        </w:rPr>
        <w:br w:type="page"/>
      </w:r>
    </w:p>
    <w:p w14:paraId="1CE05F67" w14:textId="77777777" w:rsidR="004B3B82" w:rsidRPr="00D522B5" w:rsidRDefault="004B3B82" w:rsidP="00101F7C">
      <w:pPr>
        <w:ind w:left="360"/>
        <w:rPr>
          <w:rFonts w:hAnsi="Garamond"/>
          <w:b/>
          <w:bCs/>
          <w:sz w:val="22"/>
          <w:szCs w:val="22"/>
        </w:rPr>
      </w:pPr>
      <w:r>
        <w:rPr>
          <w:rFonts w:hAnsi="Garamond"/>
          <w:b/>
          <w:bCs/>
          <w:sz w:val="22"/>
          <w:szCs w:val="22"/>
        </w:rPr>
        <w:lastRenderedPageBreak/>
        <w:t>Представленная</w:t>
      </w:r>
      <w:r w:rsidRPr="00D522B5">
        <w:rPr>
          <w:rFonts w:hAnsi="Garamond"/>
          <w:b/>
          <w:bCs/>
          <w:sz w:val="22"/>
          <w:szCs w:val="22"/>
        </w:rPr>
        <w:t xml:space="preserve"> </w:t>
      </w:r>
      <w:r w:rsidRPr="00D522B5">
        <w:rPr>
          <w:rFonts w:hAnsi="Garamond"/>
          <w:b/>
          <w:bCs/>
          <w:sz w:val="22"/>
          <w:szCs w:val="22"/>
        </w:rPr>
        <w:t>редакция</w:t>
      </w:r>
    </w:p>
    <w:p w14:paraId="66B8BAF2" w14:textId="77777777" w:rsidR="004B3B82" w:rsidRDefault="004B3B82" w:rsidP="00101F7C">
      <w:pPr>
        <w:ind w:left="360"/>
        <w:jc w:val="right"/>
        <w:rPr>
          <w:rFonts w:ascii="Garamond" w:eastAsia="Garamond" w:hAnsi="Garamond" w:cs="Garamond"/>
          <w:b/>
          <w:bCs/>
          <w:sz w:val="22"/>
          <w:szCs w:val="22"/>
        </w:rPr>
      </w:pPr>
      <w:r>
        <w:rPr>
          <w:rFonts w:hAnsi="Garamond"/>
          <w:b/>
          <w:bCs/>
          <w:sz w:val="22"/>
          <w:szCs w:val="22"/>
        </w:rPr>
        <w:t>Таблица</w:t>
      </w:r>
      <w:r>
        <w:rPr>
          <w:rFonts w:hAnsi="Garamond"/>
          <w:b/>
          <w:bCs/>
          <w:sz w:val="22"/>
          <w:szCs w:val="22"/>
        </w:rPr>
        <w:t xml:space="preserve"> </w:t>
      </w:r>
      <w:r>
        <w:rPr>
          <w:rFonts w:ascii="Garamond"/>
          <w:b/>
          <w:bCs/>
          <w:sz w:val="22"/>
          <w:szCs w:val="22"/>
        </w:rPr>
        <w:t>2</w:t>
      </w:r>
    </w:p>
    <w:p w14:paraId="57E8CF86" w14:textId="77777777" w:rsidR="004B3B82" w:rsidRDefault="004B3B82" w:rsidP="00101F7C">
      <w:pPr>
        <w:jc w:val="right"/>
        <w:rPr>
          <w:rFonts w:ascii="Garamond" w:eastAsia="Garamond" w:hAnsi="Garamond" w:cs="Garamond"/>
          <w:b/>
          <w:bCs/>
          <w:sz w:val="22"/>
          <w:szCs w:val="22"/>
        </w:rPr>
      </w:pPr>
    </w:p>
    <w:p w14:paraId="196E19F4" w14:textId="77777777" w:rsidR="004B3B82" w:rsidRDefault="004B3B82" w:rsidP="00101F7C">
      <w:pPr>
        <w:jc w:val="center"/>
        <w:rPr>
          <w:rFonts w:ascii="Garamond" w:eastAsia="Garamond" w:hAnsi="Garamond" w:cs="Garamond"/>
          <w:b/>
          <w:bCs/>
          <w:sz w:val="22"/>
          <w:szCs w:val="22"/>
        </w:rPr>
      </w:pPr>
      <w:r>
        <w:rPr>
          <w:rFonts w:hAnsi="Garamond"/>
          <w:b/>
          <w:bCs/>
          <w:sz w:val="22"/>
          <w:szCs w:val="22"/>
        </w:rPr>
        <w:t>Перечень</w:t>
      </w:r>
      <w:r>
        <w:rPr>
          <w:rFonts w:hAnsi="Garamond"/>
          <w:b/>
          <w:bCs/>
          <w:sz w:val="22"/>
          <w:szCs w:val="22"/>
        </w:rPr>
        <w:t xml:space="preserve"> </w:t>
      </w:r>
      <w:r>
        <w:rPr>
          <w:rFonts w:hAnsi="Garamond"/>
          <w:b/>
          <w:bCs/>
          <w:sz w:val="22"/>
          <w:szCs w:val="22"/>
        </w:rPr>
        <w:t>документов</w:t>
      </w:r>
      <w:r>
        <w:rPr>
          <w:rFonts w:ascii="Garamond"/>
          <w:b/>
          <w:bCs/>
          <w:sz w:val="22"/>
          <w:szCs w:val="22"/>
        </w:rPr>
        <w:t xml:space="preserve">, </w:t>
      </w:r>
      <w:r>
        <w:rPr>
          <w:rFonts w:hAnsi="Garamond"/>
          <w:b/>
          <w:bCs/>
          <w:sz w:val="22"/>
          <w:szCs w:val="22"/>
        </w:rPr>
        <w:t>необходимых</w:t>
      </w:r>
      <w:r>
        <w:rPr>
          <w:rFonts w:hAnsi="Garamond"/>
          <w:b/>
          <w:bCs/>
          <w:sz w:val="22"/>
          <w:szCs w:val="22"/>
        </w:rPr>
        <w:t xml:space="preserve"> </w:t>
      </w:r>
      <w:r>
        <w:rPr>
          <w:rFonts w:hAnsi="Garamond"/>
          <w:b/>
          <w:bCs/>
          <w:sz w:val="22"/>
          <w:szCs w:val="22"/>
        </w:rPr>
        <w:t>для</w:t>
      </w:r>
      <w:r>
        <w:rPr>
          <w:rFonts w:hAnsi="Garamond"/>
          <w:b/>
          <w:bCs/>
          <w:sz w:val="22"/>
          <w:szCs w:val="22"/>
        </w:rPr>
        <w:t xml:space="preserve"> </w:t>
      </w:r>
      <w:r>
        <w:rPr>
          <w:rFonts w:hAnsi="Garamond"/>
          <w:b/>
          <w:bCs/>
          <w:sz w:val="22"/>
          <w:szCs w:val="22"/>
        </w:rPr>
        <w:t>проведения</w:t>
      </w:r>
      <w:r>
        <w:rPr>
          <w:rFonts w:hAnsi="Garamond"/>
          <w:b/>
          <w:bCs/>
          <w:sz w:val="22"/>
          <w:szCs w:val="22"/>
        </w:rPr>
        <w:t xml:space="preserve"> </w:t>
      </w:r>
      <w:r>
        <w:rPr>
          <w:rFonts w:hAnsi="Garamond"/>
          <w:b/>
          <w:bCs/>
          <w:sz w:val="22"/>
          <w:szCs w:val="22"/>
        </w:rPr>
        <w:t>процедуры</w:t>
      </w:r>
      <w:r>
        <w:rPr>
          <w:rFonts w:hAnsi="Garamond"/>
          <w:b/>
          <w:bCs/>
          <w:sz w:val="22"/>
          <w:szCs w:val="22"/>
        </w:rPr>
        <w:t xml:space="preserve"> </w:t>
      </w:r>
      <w:r>
        <w:rPr>
          <w:rFonts w:hAnsi="Garamond"/>
          <w:b/>
          <w:bCs/>
          <w:sz w:val="22"/>
          <w:szCs w:val="22"/>
        </w:rPr>
        <w:t>установления</w:t>
      </w:r>
      <w:r>
        <w:rPr>
          <w:rFonts w:hAnsi="Garamond"/>
          <w:b/>
          <w:bCs/>
          <w:sz w:val="22"/>
          <w:szCs w:val="22"/>
        </w:rPr>
        <w:t xml:space="preserve"> </w:t>
      </w:r>
      <w:r>
        <w:rPr>
          <w:rFonts w:hAnsi="Garamond"/>
          <w:b/>
          <w:bCs/>
          <w:sz w:val="22"/>
          <w:szCs w:val="22"/>
        </w:rPr>
        <w:t>соответствия</w:t>
      </w:r>
      <w:r>
        <w:rPr>
          <w:rFonts w:hAnsi="Garamond"/>
          <w:b/>
          <w:bCs/>
          <w:sz w:val="22"/>
          <w:szCs w:val="22"/>
        </w:rPr>
        <w:t xml:space="preserve"> </w:t>
      </w:r>
      <w:r>
        <w:rPr>
          <w:rFonts w:hAnsi="Garamond"/>
          <w:b/>
          <w:bCs/>
          <w:sz w:val="22"/>
          <w:szCs w:val="22"/>
        </w:rPr>
        <w:t>АИИС</w:t>
      </w:r>
      <w:r>
        <w:rPr>
          <w:rFonts w:hAnsi="Garamond"/>
          <w:b/>
          <w:bCs/>
          <w:sz w:val="22"/>
          <w:szCs w:val="22"/>
        </w:rPr>
        <w:t xml:space="preserve"> </w:t>
      </w:r>
      <w:r>
        <w:rPr>
          <w:rFonts w:hAnsi="Garamond"/>
          <w:b/>
          <w:bCs/>
          <w:sz w:val="22"/>
          <w:szCs w:val="22"/>
        </w:rPr>
        <w:t>КУЭ</w:t>
      </w:r>
      <w:r>
        <w:rPr>
          <w:rFonts w:hAnsi="Garamond"/>
          <w:b/>
          <w:bCs/>
          <w:sz w:val="22"/>
          <w:szCs w:val="22"/>
        </w:rPr>
        <w:t xml:space="preserve"> </w:t>
      </w:r>
      <w:r>
        <w:rPr>
          <w:rFonts w:hAnsi="Garamond"/>
          <w:b/>
          <w:bCs/>
          <w:sz w:val="22"/>
          <w:szCs w:val="22"/>
        </w:rPr>
        <w:t>техническим</w:t>
      </w:r>
      <w:r>
        <w:rPr>
          <w:rFonts w:hAnsi="Garamond"/>
          <w:b/>
          <w:bCs/>
          <w:sz w:val="22"/>
          <w:szCs w:val="22"/>
        </w:rPr>
        <w:t xml:space="preserve"> </w:t>
      </w:r>
      <w:r>
        <w:rPr>
          <w:rFonts w:hAnsi="Garamond"/>
          <w:b/>
          <w:bCs/>
          <w:sz w:val="22"/>
          <w:szCs w:val="22"/>
        </w:rPr>
        <w:t>требованиям</w:t>
      </w:r>
      <w:r>
        <w:rPr>
          <w:rFonts w:hAnsi="Garamond"/>
          <w:b/>
          <w:bCs/>
          <w:sz w:val="22"/>
          <w:szCs w:val="22"/>
        </w:rPr>
        <w:t xml:space="preserve"> </w:t>
      </w:r>
      <w:r>
        <w:rPr>
          <w:rFonts w:hAnsi="Garamond"/>
          <w:b/>
          <w:bCs/>
          <w:sz w:val="22"/>
          <w:szCs w:val="22"/>
        </w:rPr>
        <w:t>оптового</w:t>
      </w:r>
      <w:r>
        <w:rPr>
          <w:rFonts w:hAnsi="Garamond"/>
          <w:b/>
          <w:bCs/>
          <w:sz w:val="22"/>
          <w:szCs w:val="22"/>
        </w:rPr>
        <w:t xml:space="preserve"> </w:t>
      </w:r>
      <w:r>
        <w:rPr>
          <w:rFonts w:hAnsi="Garamond"/>
          <w:b/>
          <w:bCs/>
          <w:sz w:val="22"/>
          <w:szCs w:val="22"/>
        </w:rPr>
        <w:t>рынка</w:t>
      </w:r>
      <w:r>
        <w:rPr>
          <w:rFonts w:hAnsi="Garamond"/>
          <w:b/>
          <w:bCs/>
          <w:sz w:val="22"/>
          <w:szCs w:val="22"/>
        </w:rPr>
        <w:t xml:space="preserve"> </w:t>
      </w:r>
      <w:r>
        <w:rPr>
          <w:rFonts w:hAnsi="Garamond"/>
          <w:b/>
          <w:bCs/>
          <w:sz w:val="22"/>
          <w:szCs w:val="22"/>
        </w:rPr>
        <w:t>электрической</w:t>
      </w:r>
      <w:r>
        <w:rPr>
          <w:rFonts w:hAnsi="Garamond"/>
          <w:b/>
          <w:bCs/>
          <w:sz w:val="22"/>
          <w:szCs w:val="22"/>
        </w:rPr>
        <w:t xml:space="preserve"> </w:t>
      </w:r>
      <w:r>
        <w:rPr>
          <w:rFonts w:hAnsi="Garamond"/>
          <w:b/>
          <w:bCs/>
          <w:sz w:val="22"/>
          <w:szCs w:val="22"/>
        </w:rPr>
        <w:t>энергии</w:t>
      </w:r>
      <w:r>
        <w:rPr>
          <w:rFonts w:hAnsi="Garamond"/>
          <w:b/>
          <w:bCs/>
          <w:sz w:val="22"/>
          <w:szCs w:val="22"/>
        </w:rPr>
        <w:t xml:space="preserve"> </w:t>
      </w:r>
      <w:r>
        <w:rPr>
          <w:rFonts w:hAnsi="Garamond"/>
          <w:b/>
          <w:bCs/>
          <w:sz w:val="22"/>
          <w:szCs w:val="22"/>
        </w:rPr>
        <w:t>и</w:t>
      </w:r>
      <w:r>
        <w:rPr>
          <w:rFonts w:hAnsi="Garamond"/>
          <w:b/>
          <w:bCs/>
          <w:sz w:val="22"/>
          <w:szCs w:val="22"/>
        </w:rPr>
        <w:t xml:space="preserve"> </w:t>
      </w:r>
      <w:r>
        <w:rPr>
          <w:rFonts w:hAnsi="Garamond"/>
          <w:b/>
          <w:bCs/>
          <w:sz w:val="22"/>
          <w:szCs w:val="22"/>
        </w:rPr>
        <w:t>мощности</w:t>
      </w:r>
    </w:p>
    <w:p w14:paraId="2FE66A0D" w14:textId="77777777" w:rsidR="004B3B82" w:rsidRDefault="004B3B82" w:rsidP="00101F7C">
      <w:pPr>
        <w:jc w:val="center"/>
        <w:rPr>
          <w:rFonts w:ascii="Garamond" w:eastAsia="Garamond" w:hAnsi="Garamond" w:cs="Garamond"/>
          <w:b/>
          <w:bCs/>
          <w:sz w:val="22"/>
          <w:szCs w:val="22"/>
        </w:rPr>
      </w:pPr>
    </w:p>
    <w:tbl>
      <w:tblPr>
        <w:tblW w:w="9582" w:type="dxa"/>
        <w:tblInd w:w="27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left w:w="0" w:type="dxa"/>
          <w:right w:w="0" w:type="dxa"/>
        </w:tblCellMar>
        <w:tblLook w:val="04A0" w:firstRow="1" w:lastRow="0" w:firstColumn="1" w:lastColumn="0" w:noHBand="0" w:noVBand="1"/>
      </w:tblPr>
      <w:tblGrid>
        <w:gridCol w:w="648"/>
        <w:gridCol w:w="4626"/>
        <w:gridCol w:w="2447"/>
        <w:gridCol w:w="1011"/>
        <w:gridCol w:w="850"/>
      </w:tblGrid>
      <w:tr w:rsidR="004B3B82" w:rsidRPr="001E6C98" w14:paraId="3B2EA140" w14:textId="77777777" w:rsidTr="00CD3B05">
        <w:trPr>
          <w:trHeight w:val="970"/>
        </w:trPr>
        <w:tc>
          <w:tcPr>
            <w:tcW w:w="648"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57F4858" w14:textId="77777777" w:rsidR="004B3B82" w:rsidRPr="001E6C98" w:rsidRDefault="004B3B82" w:rsidP="00CD3B05">
            <w:pPr>
              <w:jc w:val="center"/>
              <w:rPr>
                <w:rFonts w:ascii="Garamond" w:eastAsia="Garamond" w:hAnsi="Garamond" w:cs="Garamond"/>
                <w:b/>
                <w:bCs/>
                <w:sz w:val="22"/>
                <w:szCs w:val="22"/>
              </w:rPr>
            </w:pPr>
            <w:r w:rsidRPr="001E6C98">
              <w:rPr>
                <w:rFonts w:ascii="Garamond" w:hAnsi="Garamond"/>
                <w:b/>
                <w:bCs/>
                <w:sz w:val="22"/>
                <w:szCs w:val="22"/>
              </w:rPr>
              <w:t>№</w:t>
            </w:r>
          </w:p>
          <w:p w14:paraId="6F0726B7" w14:textId="77777777" w:rsidR="004B3B82" w:rsidRPr="001E6C98" w:rsidRDefault="004B3B82" w:rsidP="00CD3B05">
            <w:pPr>
              <w:jc w:val="center"/>
              <w:rPr>
                <w:rFonts w:ascii="Garamond" w:hAnsi="Garamond"/>
                <w:sz w:val="22"/>
                <w:szCs w:val="22"/>
              </w:rPr>
            </w:pPr>
            <w:r w:rsidRPr="001E6C98">
              <w:rPr>
                <w:rFonts w:ascii="Garamond" w:hAnsi="Garamond"/>
                <w:b/>
                <w:bCs/>
                <w:sz w:val="22"/>
                <w:szCs w:val="22"/>
              </w:rPr>
              <w:t>п/п</w:t>
            </w:r>
          </w:p>
        </w:tc>
        <w:tc>
          <w:tcPr>
            <w:tcW w:w="4626"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0653704" w14:textId="77777777" w:rsidR="004B3B82" w:rsidRPr="001E6C98" w:rsidRDefault="004B3B82" w:rsidP="00CD3B05">
            <w:pPr>
              <w:jc w:val="center"/>
              <w:rPr>
                <w:rFonts w:ascii="Garamond" w:hAnsi="Garamond"/>
                <w:sz w:val="22"/>
                <w:szCs w:val="22"/>
              </w:rPr>
            </w:pPr>
            <w:r w:rsidRPr="001E6C98">
              <w:rPr>
                <w:rFonts w:ascii="Garamond" w:hAnsi="Garamond"/>
                <w:b/>
                <w:bCs/>
                <w:sz w:val="22"/>
                <w:szCs w:val="22"/>
              </w:rPr>
              <w:t>Наименование документа</w:t>
            </w:r>
          </w:p>
        </w:tc>
        <w:tc>
          <w:tcPr>
            <w:tcW w:w="2447"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5FC43BC" w14:textId="77777777" w:rsidR="004B3B82" w:rsidRPr="001E6C98" w:rsidRDefault="004B3B82" w:rsidP="00CD3B05">
            <w:pPr>
              <w:jc w:val="center"/>
              <w:rPr>
                <w:rFonts w:ascii="Garamond" w:hAnsi="Garamond"/>
                <w:sz w:val="22"/>
                <w:szCs w:val="22"/>
              </w:rPr>
            </w:pPr>
            <w:r w:rsidRPr="001E6C98">
              <w:rPr>
                <w:rFonts w:ascii="Garamond" w:hAnsi="Garamond"/>
                <w:b/>
                <w:bCs/>
                <w:sz w:val="22"/>
                <w:szCs w:val="22"/>
              </w:rPr>
              <w:t>Код формы в соответствии с Правилами ЭДО СЭД КО (материальный носитель, веб-интерфейс)</w:t>
            </w:r>
          </w:p>
        </w:tc>
        <w:tc>
          <w:tcPr>
            <w:tcW w:w="1861"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9BF4E60" w14:textId="77777777" w:rsidR="004B3B82" w:rsidRPr="001E6C98" w:rsidRDefault="004B3B82" w:rsidP="00CD3B05">
            <w:pPr>
              <w:jc w:val="center"/>
              <w:rPr>
                <w:rFonts w:ascii="Garamond" w:hAnsi="Garamond"/>
                <w:sz w:val="22"/>
                <w:szCs w:val="22"/>
              </w:rPr>
            </w:pPr>
            <w:r w:rsidRPr="001E6C98">
              <w:rPr>
                <w:rFonts w:ascii="Garamond" w:hAnsi="Garamond"/>
                <w:b/>
                <w:bCs/>
                <w:sz w:val="22"/>
                <w:szCs w:val="22"/>
              </w:rPr>
              <w:t>Обязательность предоставления в зависимости от класса АИИС КУЭ</w:t>
            </w:r>
          </w:p>
        </w:tc>
      </w:tr>
      <w:tr w:rsidR="004B3B82" w:rsidRPr="001E6C98" w14:paraId="65C6ECFC" w14:textId="77777777" w:rsidTr="00CD3B05">
        <w:trPr>
          <w:trHeight w:val="560"/>
        </w:trPr>
        <w:tc>
          <w:tcPr>
            <w:tcW w:w="648" w:type="dxa"/>
            <w:vMerge/>
            <w:tcBorders>
              <w:top w:val="single" w:sz="4" w:space="0" w:color="000000"/>
              <w:left w:val="single" w:sz="4" w:space="0" w:color="000000"/>
              <w:bottom w:val="single" w:sz="4" w:space="0" w:color="000000"/>
              <w:right w:val="single" w:sz="4" w:space="0" w:color="000000"/>
            </w:tcBorders>
            <w:shd w:val="clear" w:color="auto" w:fill="auto"/>
          </w:tcPr>
          <w:p w14:paraId="06ECEF24" w14:textId="77777777" w:rsidR="004B3B82" w:rsidRPr="001E6C98" w:rsidRDefault="004B3B82" w:rsidP="00CD3B05">
            <w:pPr>
              <w:rPr>
                <w:rFonts w:ascii="Garamond" w:hAnsi="Garamond"/>
                <w:sz w:val="22"/>
                <w:szCs w:val="22"/>
              </w:rPr>
            </w:pPr>
          </w:p>
        </w:tc>
        <w:tc>
          <w:tcPr>
            <w:tcW w:w="4626" w:type="dxa"/>
            <w:vMerge/>
            <w:tcBorders>
              <w:top w:val="single" w:sz="4" w:space="0" w:color="000000"/>
              <w:left w:val="single" w:sz="4" w:space="0" w:color="000000"/>
              <w:bottom w:val="single" w:sz="4" w:space="0" w:color="000000"/>
              <w:right w:val="single" w:sz="4" w:space="0" w:color="000000"/>
            </w:tcBorders>
            <w:shd w:val="clear" w:color="auto" w:fill="auto"/>
          </w:tcPr>
          <w:p w14:paraId="4A9EF837" w14:textId="77777777" w:rsidR="004B3B82" w:rsidRPr="001E6C98" w:rsidRDefault="004B3B82" w:rsidP="00CD3B05">
            <w:pPr>
              <w:rPr>
                <w:rFonts w:ascii="Garamond" w:hAnsi="Garamond"/>
                <w:sz w:val="22"/>
                <w:szCs w:val="22"/>
              </w:rPr>
            </w:pPr>
          </w:p>
        </w:tc>
        <w:tc>
          <w:tcPr>
            <w:tcW w:w="2447" w:type="dxa"/>
            <w:vMerge/>
            <w:tcBorders>
              <w:top w:val="single" w:sz="4" w:space="0" w:color="000000"/>
              <w:left w:val="single" w:sz="4" w:space="0" w:color="000000"/>
              <w:bottom w:val="single" w:sz="4" w:space="0" w:color="000000"/>
              <w:right w:val="single" w:sz="4" w:space="0" w:color="000000"/>
            </w:tcBorders>
            <w:shd w:val="clear" w:color="auto" w:fill="auto"/>
          </w:tcPr>
          <w:p w14:paraId="4FA54267" w14:textId="77777777" w:rsidR="004B3B82" w:rsidRPr="001E6C98" w:rsidRDefault="004B3B82" w:rsidP="00CD3B05">
            <w:pPr>
              <w:rPr>
                <w:rFonts w:ascii="Garamond" w:hAnsi="Garamond"/>
                <w:sz w:val="22"/>
                <w:szCs w:val="22"/>
              </w:rPr>
            </w:pPr>
          </w:p>
        </w:tc>
        <w:tc>
          <w:tcPr>
            <w:tcW w:w="101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1F13CE4" w14:textId="77777777" w:rsidR="004B3B82" w:rsidRPr="001E6C98" w:rsidRDefault="004B3B82" w:rsidP="00CD3B05">
            <w:pPr>
              <w:jc w:val="center"/>
              <w:rPr>
                <w:rFonts w:ascii="Garamond" w:hAnsi="Garamond"/>
                <w:sz w:val="22"/>
                <w:szCs w:val="22"/>
              </w:rPr>
            </w:pPr>
            <w:r w:rsidRPr="001E6C98">
              <w:rPr>
                <w:rFonts w:ascii="Garamond" w:hAnsi="Garamond"/>
                <w:b/>
                <w:bCs/>
                <w:sz w:val="22"/>
                <w:szCs w:val="22"/>
              </w:rPr>
              <w:t>А</w:t>
            </w:r>
          </w:p>
        </w:tc>
        <w:tc>
          <w:tcPr>
            <w:tcW w:w="8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EB9B7A3" w14:textId="77777777" w:rsidR="004B3B82" w:rsidRPr="001E6C98" w:rsidRDefault="004B3B82" w:rsidP="00CD3B05">
            <w:pPr>
              <w:jc w:val="center"/>
              <w:rPr>
                <w:rFonts w:ascii="Garamond" w:hAnsi="Garamond"/>
                <w:sz w:val="22"/>
                <w:szCs w:val="22"/>
              </w:rPr>
            </w:pPr>
            <w:r w:rsidRPr="001E6C98">
              <w:rPr>
                <w:rFonts w:ascii="Garamond" w:hAnsi="Garamond"/>
                <w:b/>
                <w:bCs/>
                <w:sz w:val="22"/>
                <w:szCs w:val="22"/>
                <w:lang w:val="en-US"/>
              </w:rPr>
              <w:t>N</w:t>
            </w:r>
          </w:p>
        </w:tc>
      </w:tr>
      <w:tr w:rsidR="004B3B82" w:rsidRPr="001E6C98" w14:paraId="5036777E" w14:textId="77777777" w:rsidTr="00CD3B05">
        <w:trPr>
          <w:trHeight w:val="492"/>
        </w:trPr>
        <w:tc>
          <w:tcPr>
            <w:tcW w:w="64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B7E7AA8" w14:textId="77777777" w:rsidR="004B3B82" w:rsidRPr="001E6C98" w:rsidRDefault="004B3B82" w:rsidP="00CD3B05">
            <w:pPr>
              <w:jc w:val="center"/>
              <w:rPr>
                <w:rFonts w:ascii="Garamond" w:hAnsi="Garamond"/>
                <w:sz w:val="22"/>
                <w:szCs w:val="22"/>
              </w:rPr>
            </w:pPr>
            <w:r w:rsidRPr="001E6C98">
              <w:rPr>
                <w:rFonts w:ascii="Garamond" w:hAnsi="Garamond"/>
                <w:sz w:val="22"/>
                <w:szCs w:val="22"/>
              </w:rPr>
              <w:t>1</w:t>
            </w:r>
          </w:p>
        </w:tc>
        <w:tc>
          <w:tcPr>
            <w:tcW w:w="4626"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vAlign w:val="center"/>
          </w:tcPr>
          <w:p w14:paraId="5E344337" w14:textId="77777777" w:rsidR="004B3B82" w:rsidRPr="001E6C98" w:rsidRDefault="004B3B82" w:rsidP="00CD3B05">
            <w:pPr>
              <w:rPr>
                <w:rFonts w:ascii="Garamond" w:hAnsi="Garamond"/>
                <w:sz w:val="22"/>
                <w:szCs w:val="22"/>
              </w:rPr>
            </w:pPr>
            <w:r w:rsidRPr="001E6C98">
              <w:rPr>
                <w:rFonts w:ascii="Garamond" w:hAnsi="Garamond"/>
                <w:sz w:val="22"/>
                <w:szCs w:val="22"/>
              </w:rPr>
              <w:t>Ответная квитанция (макет 90001) (см. п. 7 примечаний)</w:t>
            </w:r>
          </w:p>
        </w:tc>
        <w:tc>
          <w:tcPr>
            <w:tcW w:w="2447"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vAlign w:val="center"/>
          </w:tcPr>
          <w:p w14:paraId="16037A10" w14:textId="77777777" w:rsidR="004B3B82" w:rsidRPr="001E6C98" w:rsidRDefault="004B3B82" w:rsidP="00CD3B05">
            <w:pPr>
              <w:jc w:val="center"/>
              <w:rPr>
                <w:rFonts w:ascii="Garamond" w:hAnsi="Garamond"/>
                <w:sz w:val="22"/>
                <w:szCs w:val="22"/>
              </w:rPr>
            </w:pPr>
            <w:r w:rsidRPr="001E6C98">
              <w:rPr>
                <w:rFonts w:ascii="Garamond" w:hAnsi="Garamond"/>
                <w:sz w:val="22"/>
                <w:szCs w:val="22"/>
              </w:rPr>
              <w:t>90001</w:t>
            </w:r>
            <w:r w:rsidRPr="001E6C98">
              <w:rPr>
                <w:rFonts w:ascii="Garamond" w:hAnsi="Garamond"/>
                <w:sz w:val="22"/>
                <w:szCs w:val="22"/>
                <w:lang w:val="en-US"/>
              </w:rPr>
              <w:t>_MED</w:t>
            </w:r>
            <w:r w:rsidRPr="001E6C98">
              <w:rPr>
                <w:rFonts w:ascii="Garamond" w:hAnsi="Garamond"/>
                <w:sz w:val="22"/>
                <w:szCs w:val="22"/>
              </w:rPr>
              <w:t>,</w:t>
            </w:r>
          </w:p>
          <w:p w14:paraId="1E6E6C90" w14:textId="77777777" w:rsidR="004B3B82" w:rsidRPr="001E6C98" w:rsidRDefault="004B3B82" w:rsidP="00CD3B05">
            <w:pPr>
              <w:jc w:val="center"/>
              <w:rPr>
                <w:rFonts w:ascii="Garamond" w:hAnsi="Garamond"/>
                <w:sz w:val="22"/>
                <w:szCs w:val="22"/>
                <w:lang w:val="en-US"/>
              </w:rPr>
            </w:pPr>
            <w:r w:rsidRPr="001E6C98">
              <w:rPr>
                <w:rFonts w:ascii="Garamond" w:hAnsi="Garamond"/>
                <w:sz w:val="22"/>
                <w:szCs w:val="22"/>
              </w:rPr>
              <w:t>90001</w:t>
            </w:r>
            <w:r w:rsidRPr="001E6C98">
              <w:rPr>
                <w:rFonts w:ascii="Garamond" w:hAnsi="Garamond"/>
                <w:sz w:val="22"/>
                <w:szCs w:val="22"/>
                <w:lang w:val="en-US"/>
              </w:rPr>
              <w:t>_WEB</w:t>
            </w:r>
          </w:p>
        </w:tc>
        <w:tc>
          <w:tcPr>
            <w:tcW w:w="101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D47A55C" w14:textId="77777777" w:rsidR="004B3B82" w:rsidRPr="001E6C98" w:rsidRDefault="004B3B82" w:rsidP="00CD3B05">
            <w:pPr>
              <w:jc w:val="center"/>
              <w:rPr>
                <w:rFonts w:ascii="Garamond" w:hAnsi="Garamond"/>
                <w:sz w:val="22"/>
                <w:szCs w:val="22"/>
              </w:rPr>
            </w:pPr>
            <w:r w:rsidRPr="001E6C98">
              <w:rPr>
                <w:rFonts w:ascii="Garamond" w:hAnsi="Garamond"/>
                <w:b/>
                <w:bCs/>
                <w:sz w:val="22"/>
                <w:szCs w:val="22"/>
              </w:rPr>
              <w:t>Да</w:t>
            </w:r>
          </w:p>
        </w:tc>
        <w:tc>
          <w:tcPr>
            <w:tcW w:w="8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09F741F" w14:textId="77777777" w:rsidR="004B3B82" w:rsidRPr="001E6C98" w:rsidRDefault="004B3B82" w:rsidP="00CD3B05">
            <w:pPr>
              <w:jc w:val="center"/>
              <w:rPr>
                <w:rFonts w:ascii="Garamond" w:hAnsi="Garamond"/>
                <w:sz w:val="22"/>
                <w:szCs w:val="22"/>
              </w:rPr>
            </w:pPr>
            <w:r w:rsidRPr="001E6C98">
              <w:rPr>
                <w:rFonts w:ascii="Garamond" w:hAnsi="Garamond"/>
                <w:b/>
                <w:bCs/>
                <w:sz w:val="22"/>
                <w:szCs w:val="22"/>
              </w:rPr>
              <w:t>Да</w:t>
            </w:r>
          </w:p>
        </w:tc>
      </w:tr>
      <w:tr w:rsidR="004B3B82" w:rsidRPr="001E6C98" w14:paraId="5C1D734B" w14:textId="77777777" w:rsidTr="00CD3B05">
        <w:trPr>
          <w:trHeight w:val="721"/>
        </w:trPr>
        <w:tc>
          <w:tcPr>
            <w:tcW w:w="64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492F962" w14:textId="77777777" w:rsidR="004B3B82" w:rsidRPr="001E6C98" w:rsidRDefault="004B3B82" w:rsidP="00CD3B05">
            <w:pPr>
              <w:jc w:val="center"/>
              <w:rPr>
                <w:rFonts w:ascii="Garamond" w:hAnsi="Garamond"/>
                <w:sz w:val="22"/>
                <w:szCs w:val="22"/>
              </w:rPr>
            </w:pPr>
            <w:r w:rsidRPr="001E6C98">
              <w:rPr>
                <w:rFonts w:ascii="Garamond" w:hAnsi="Garamond"/>
                <w:sz w:val="22"/>
                <w:szCs w:val="22"/>
              </w:rPr>
              <w:t>2</w:t>
            </w:r>
          </w:p>
        </w:tc>
        <w:tc>
          <w:tcPr>
            <w:tcW w:w="46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57611ED" w14:textId="77777777" w:rsidR="004B3B82" w:rsidRPr="001E6C98" w:rsidRDefault="004B3B82" w:rsidP="00CD3B05">
            <w:pPr>
              <w:rPr>
                <w:rFonts w:ascii="Garamond" w:hAnsi="Garamond"/>
                <w:sz w:val="22"/>
                <w:szCs w:val="22"/>
              </w:rPr>
            </w:pPr>
            <w:r w:rsidRPr="001E6C98">
              <w:rPr>
                <w:rFonts w:ascii="Garamond" w:hAnsi="Garamond"/>
                <w:sz w:val="22"/>
                <w:szCs w:val="22"/>
              </w:rPr>
              <w:t>Свидетельство (сертификат) об утверждении типа средств измерений АИИС КУЭ с приложением описания типа средства измерений (см. п. 3 примечаний)</w:t>
            </w:r>
          </w:p>
        </w:tc>
        <w:tc>
          <w:tcPr>
            <w:tcW w:w="244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D9A6519" w14:textId="77777777" w:rsidR="004B3B82" w:rsidRPr="000E318F" w:rsidRDefault="004B3B82" w:rsidP="00CD3B05">
            <w:pPr>
              <w:jc w:val="center"/>
              <w:rPr>
                <w:rFonts w:ascii="Garamond" w:eastAsia="Garamond" w:hAnsi="Garamond" w:cs="Garamond"/>
                <w:sz w:val="22"/>
                <w:szCs w:val="22"/>
                <w:lang w:val="en-US"/>
              </w:rPr>
            </w:pPr>
            <w:r w:rsidRPr="001E6C98">
              <w:rPr>
                <w:rFonts w:ascii="Garamond" w:hAnsi="Garamond"/>
                <w:sz w:val="22"/>
                <w:szCs w:val="22"/>
                <w:lang w:val="en-US"/>
              </w:rPr>
              <w:t>US_UTV_TIPA_MED</w:t>
            </w:r>
            <w:r w:rsidRPr="000E318F">
              <w:rPr>
                <w:rFonts w:ascii="Garamond" w:hAnsi="Garamond"/>
                <w:sz w:val="22"/>
                <w:szCs w:val="22"/>
                <w:lang w:val="en-US"/>
              </w:rPr>
              <w:t>,</w:t>
            </w:r>
          </w:p>
          <w:p w14:paraId="67254C2B" w14:textId="77777777" w:rsidR="004B3B82" w:rsidRPr="001E6C98" w:rsidRDefault="004B3B82" w:rsidP="00CD3B05">
            <w:pPr>
              <w:jc w:val="center"/>
              <w:rPr>
                <w:rFonts w:ascii="Garamond" w:hAnsi="Garamond"/>
                <w:sz w:val="22"/>
                <w:szCs w:val="22"/>
                <w:lang w:val="en-US"/>
              </w:rPr>
            </w:pPr>
            <w:r w:rsidRPr="001E6C98">
              <w:rPr>
                <w:rFonts w:ascii="Garamond" w:hAnsi="Garamond"/>
                <w:sz w:val="22"/>
                <w:szCs w:val="22"/>
                <w:lang w:val="en-US"/>
              </w:rPr>
              <w:t>US_ UTV_TIPA _WEB</w:t>
            </w:r>
          </w:p>
        </w:tc>
        <w:tc>
          <w:tcPr>
            <w:tcW w:w="101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CE7F087" w14:textId="77777777" w:rsidR="004B3B82" w:rsidRPr="001E6C98" w:rsidRDefault="004B3B82" w:rsidP="00CD3B05">
            <w:pPr>
              <w:jc w:val="center"/>
              <w:rPr>
                <w:rFonts w:ascii="Garamond" w:hAnsi="Garamond"/>
                <w:sz w:val="22"/>
                <w:szCs w:val="22"/>
              </w:rPr>
            </w:pPr>
            <w:r w:rsidRPr="001E6C98">
              <w:rPr>
                <w:rFonts w:ascii="Garamond" w:hAnsi="Garamond"/>
                <w:b/>
                <w:bCs/>
                <w:sz w:val="22"/>
                <w:szCs w:val="22"/>
              </w:rPr>
              <w:t>Да</w:t>
            </w:r>
          </w:p>
        </w:tc>
        <w:tc>
          <w:tcPr>
            <w:tcW w:w="8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9033BE5" w14:textId="77777777" w:rsidR="004B3B82" w:rsidRPr="001E6C98" w:rsidRDefault="004B3B82" w:rsidP="00CD3B05">
            <w:pPr>
              <w:jc w:val="center"/>
              <w:rPr>
                <w:rFonts w:ascii="Garamond" w:hAnsi="Garamond"/>
                <w:sz w:val="22"/>
                <w:szCs w:val="22"/>
              </w:rPr>
            </w:pPr>
            <w:r w:rsidRPr="001E6C98">
              <w:rPr>
                <w:rFonts w:ascii="Garamond" w:hAnsi="Garamond"/>
                <w:b/>
                <w:bCs/>
                <w:sz w:val="22"/>
                <w:szCs w:val="22"/>
              </w:rPr>
              <w:t>Нет</w:t>
            </w:r>
          </w:p>
        </w:tc>
      </w:tr>
      <w:tr w:rsidR="004B3B82" w:rsidRPr="001E6C98" w14:paraId="1CCAE29A" w14:textId="77777777" w:rsidTr="00CD3B05">
        <w:trPr>
          <w:trHeight w:val="656"/>
        </w:trPr>
        <w:tc>
          <w:tcPr>
            <w:tcW w:w="64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0DCD970" w14:textId="77777777" w:rsidR="004B3B82" w:rsidRPr="001E6C98" w:rsidRDefault="004B3B82" w:rsidP="00CD3B05">
            <w:pPr>
              <w:jc w:val="center"/>
              <w:rPr>
                <w:rFonts w:ascii="Garamond" w:hAnsi="Garamond"/>
                <w:sz w:val="22"/>
                <w:szCs w:val="22"/>
              </w:rPr>
            </w:pPr>
            <w:r w:rsidRPr="001E6C98">
              <w:rPr>
                <w:rFonts w:ascii="Garamond" w:hAnsi="Garamond"/>
                <w:sz w:val="22"/>
                <w:szCs w:val="22"/>
              </w:rPr>
              <w:t>3</w:t>
            </w:r>
          </w:p>
        </w:tc>
        <w:tc>
          <w:tcPr>
            <w:tcW w:w="46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38E8BAE" w14:textId="77777777" w:rsidR="004B3B82" w:rsidRPr="001E6C98" w:rsidRDefault="004B3B82" w:rsidP="00CD3B05">
            <w:pPr>
              <w:rPr>
                <w:rFonts w:ascii="Garamond" w:hAnsi="Garamond"/>
                <w:sz w:val="22"/>
                <w:szCs w:val="22"/>
              </w:rPr>
            </w:pPr>
            <w:r w:rsidRPr="001E6C98">
              <w:rPr>
                <w:rFonts w:ascii="Garamond" w:hAnsi="Garamond"/>
                <w:sz w:val="22"/>
                <w:szCs w:val="22"/>
              </w:rPr>
              <w:t>Свидетельство о поверке АИИС КУЭ с приложением перечня измерительных каналов (см. п. 4 примечаний)</w:t>
            </w:r>
          </w:p>
        </w:tc>
        <w:tc>
          <w:tcPr>
            <w:tcW w:w="244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E9184EC" w14:textId="77777777" w:rsidR="004B3B82" w:rsidRPr="000E318F" w:rsidRDefault="004B3B82" w:rsidP="00CD3B05">
            <w:pPr>
              <w:jc w:val="center"/>
              <w:rPr>
                <w:rFonts w:ascii="Garamond" w:eastAsia="Garamond" w:hAnsi="Garamond" w:cs="Garamond"/>
                <w:sz w:val="22"/>
                <w:szCs w:val="22"/>
                <w:lang w:val="en-US"/>
              </w:rPr>
            </w:pPr>
            <w:r w:rsidRPr="001E6C98">
              <w:rPr>
                <w:rFonts w:ascii="Garamond" w:hAnsi="Garamond"/>
                <w:sz w:val="22"/>
                <w:szCs w:val="22"/>
                <w:lang w:val="en-US"/>
              </w:rPr>
              <w:t>US_POVERKA_MED</w:t>
            </w:r>
            <w:r w:rsidRPr="000E318F">
              <w:rPr>
                <w:rFonts w:ascii="Garamond" w:hAnsi="Garamond"/>
                <w:sz w:val="22"/>
                <w:szCs w:val="22"/>
                <w:lang w:val="en-US"/>
              </w:rPr>
              <w:t>,</w:t>
            </w:r>
          </w:p>
          <w:p w14:paraId="5FA55575" w14:textId="77777777" w:rsidR="004B3B82" w:rsidRPr="001E6C98" w:rsidRDefault="004B3B82" w:rsidP="00CD3B05">
            <w:pPr>
              <w:jc w:val="center"/>
              <w:rPr>
                <w:rFonts w:ascii="Garamond" w:hAnsi="Garamond"/>
                <w:sz w:val="22"/>
                <w:szCs w:val="22"/>
                <w:lang w:val="en-US"/>
              </w:rPr>
            </w:pPr>
            <w:r w:rsidRPr="001E6C98">
              <w:rPr>
                <w:rFonts w:ascii="Garamond" w:hAnsi="Garamond"/>
                <w:sz w:val="22"/>
                <w:szCs w:val="22"/>
                <w:lang w:val="en-US"/>
              </w:rPr>
              <w:t>US_POVERKA_WEB</w:t>
            </w:r>
          </w:p>
        </w:tc>
        <w:tc>
          <w:tcPr>
            <w:tcW w:w="101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4CC4FEE" w14:textId="77777777" w:rsidR="004B3B82" w:rsidRPr="001E6C98" w:rsidRDefault="004B3B82" w:rsidP="00CD3B05">
            <w:pPr>
              <w:jc w:val="center"/>
              <w:rPr>
                <w:rFonts w:ascii="Garamond" w:hAnsi="Garamond"/>
                <w:sz w:val="22"/>
                <w:szCs w:val="22"/>
              </w:rPr>
            </w:pPr>
            <w:r w:rsidRPr="001E6C98">
              <w:rPr>
                <w:rFonts w:ascii="Garamond" w:hAnsi="Garamond"/>
                <w:b/>
                <w:bCs/>
                <w:sz w:val="22"/>
                <w:szCs w:val="22"/>
              </w:rPr>
              <w:t>Да</w:t>
            </w:r>
          </w:p>
        </w:tc>
        <w:tc>
          <w:tcPr>
            <w:tcW w:w="8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D2342EB" w14:textId="77777777" w:rsidR="004B3B82" w:rsidRPr="001E6C98" w:rsidRDefault="004B3B82" w:rsidP="00CD3B05">
            <w:pPr>
              <w:jc w:val="center"/>
              <w:rPr>
                <w:rFonts w:ascii="Garamond" w:hAnsi="Garamond"/>
                <w:sz w:val="22"/>
                <w:szCs w:val="22"/>
              </w:rPr>
            </w:pPr>
            <w:r w:rsidRPr="001E6C98">
              <w:rPr>
                <w:rFonts w:ascii="Garamond" w:hAnsi="Garamond"/>
                <w:b/>
                <w:bCs/>
                <w:sz w:val="22"/>
                <w:szCs w:val="22"/>
              </w:rPr>
              <w:t>Нет</w:t>
            </w:r>
          </w:p>
        </w:tc>
      </w:tr>
      <w:tr w:rsidR="004B3B82" w:rsidRPr="001E6C98" w14:paraId="3649DAF7" w14:textId="77777777" w:rsidTr="00CD3B05">
        <w:trPr>
          <w:trHeight w:val="916"/>
        </w:trPr>
        <w:tc>
          <w:tcPr>
            <w:tcW w:w="64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E63EE63" w14:textId="77777777" w:rsidR="004B3B82" w:rsidRPr="001E6C98" w:rsidRDefault="004B3B82" w:rsidP="00CD3B05">
            <w:pPr>
              <w:jc w:val="center"/>
              <w:rPr>
                <w:rFonts w:ascii="Garamond" w:hAnsi="Garamond"/>
                <w:sz w:val="22"/>
                <w:szCs w:val="22"/>
              </w:rPr>
            </w:pPr>
            <w:r w:rsidRPr="001E6C98">
              <w:rPr>
                <w:rFonts w:ascii="Garamond" w:hAnsi="Garamond"/>
                <w:sz w:val="22"/>
                <w:szCs w:val="22"/>
              </w:rPr>
              <w:t>4</w:t>
            </w:r>
          </w:p>
        </w:tc>
        <w:tc>
          <w:tcPr>
            <w:tcW w:w="46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ABD0788" w14:textId="77777777" w:rsidR="004B3B82" w:rsidRPr="001E6C98" w:rsidRDefault="004B3B82" w:rsidP="00CD3B05">
            <w:pPr>
              <w:rPr>
                <w:rFonts w:ascii="Garamond" w:hAnsi="Garamond"/>
                <w:sz w:val="22"/>
                <w:szCs w:val="22"/>
              </w:rPr>
            </w:pPr>
            <w:r w:rsidRPr="001E6C98">
              <w:rPr>
                <w:rFonts w:ascii="Garamond" w:hAnsi="Garamond"/>
                <w:sz w:val="22"/>
                <w:szCs w:val="22"/>
              </w:rPr>
              <w:t xml:space="preserve">Свидетельство о поверке (паспорт-формуляр с отметкой о поверке) </w:t>
            </w:r>
            <w:r>
              <w:rPr>
                <w:rFonts w:ascii="Garamond" w:hAnsi="Garamond"/>
                <w:sz w:val="22"/>
                <w:szCs w:val="22"/>
                <w:highlight w:val="yellow"/>
              </w:rPr>
              <w:t>прибора</w:t>
            </w:r>
            <w:r w:rsidRPr="004D729C">
              <w:rPr>
                <w:rFonts w:ascii="Garamond" w:hAnsi="Garamond"/>
                <w:sz w:val="22"/>
                <w:szCs w:val="22"/>
                <w:highlight w:val="yellow"/>
              </w:rPr>
              <w:t xml:space="preserve"> учета</w:t>
            </w:r>
          </w:p>
        </w:tc>
        <w:tc>
          <w:tcPr>
            <w:tcW w:w="244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0D6D5C1" w14:textId="77777777" w:rsidR="004B3B82" w:rsidRPr="00F662CD" w:rsidRDefault="004B3B82" w:rsidP="00CD3B05">
            <w:pPr>
              <w:jc w:val="center"/>
              <w:rPr>
                <w:rFonts w:ascii="Garamond" w:eastAsia="Garamond" w:hAnsi="Garamond" w:cs="Garamond"/>
                <w:sz w:val="22"/>
                <w:szCs w:val="22"/>
                <w:highlight w:val="yellow"/>
                <w:lang w:val="en-US"/>
              </w:rPr>
            </w:pPr>
            <w:r w:rsidRPr="00F662CD">
              <w:rPr>
                <w:rFonts w:ascii="Garamond" w:hAnsi="Garamond"/>
                <w:sz w:val="22"/>
                <w:szCs w:val="22"/>
                <w:highlight w:val="yellow"/>
                <w:lang w:val="en-US"/>
              </w:rPr>
              <w:t>US_POVERKA_DEVICE_MED,</w:t>
            </w:r>
          </w:p>
          <w:p w14:paraId="5CD335C9" w14:textId="77777777" w:rsidR="004B3B82" w:rsidRPr="00D522B5" w:rsidRDefault="004B3B82" w:rsidP="00CD3B05">
            <w:pPr>
              <w:jc w:val="center"/>
              <w:rPr>
                <w:rFonts w:ascii="Garamond" w:hAnsi="Garamond"/>
                <w:sz w:val="22"/>
                <w:szCs w:val="22"/>
                <w:highlight w:val="yellow"/>
                <w:lang w:val="en-US"/>
              </w:rPr>
            </w:pPr>
            <w:r w:rsidRPr="00F662CD">
              <w:rPr>
                <w:rFonts w:ascii="Garamond" w:hAnsi="Garamond"/>
                <w:sz w:val="22"/>
                <w:szCs w:val="22"/>
                <w:highlight w:val="yellow"/>
                <w:lang w:val="en-US"/>
              </w:rPr>
              <w:t>US_POVERKA_DEVICE_WEB</w:t>
            </w:r>
          </w:p>
        </w:tc>
        <w:tc>
          <w:tcPr>
            <w:tcW w:w="101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DC356B5" w14:textId="77777777" w:rsidR="004B3B82" w:rsidRPr="001E6C98" w:rsidRDefault="004B3B82" w:rsidP="00CD3B05">
            <w:pPr>
              <w:jc w:val="center"/>
              <w:rPr>
                <w:rFonts w:ascii="Garamond" w:hAnsi="Garamond"/>
                <w:b/>
                <w:bCs/>
                <w:sz w:val="22"/>
                <w:szCs w:val="22"/>
              </w:rPr>
            </w:pPr>
            <w:r w:rsidRPr="001E6C98">
              <w:rPr>
                <w:rFonts w:ascii="Garamond" w:hAnsi="Garamond"/>
                <w:b/>
                <w:bCs/>
                <w:sz w:val="22"/>
                <w:szCs w:val="22"/>
              </w:rPr>
              <w:t>Да</w:t>
            </w:r>
          </w:p>
          <w:p w14:paraId="39E22CCE" w14:textId="77777777" w:rsidR="004B3B82" w:rsidRPr="001E6C98" w:rsidRDefault="004B3B82" w:rsidP="00CD3B05">
            <w:pPr>
              <w:jc w:val="center"/>
              <w:rPr>
                <w:rFonts w:ascii="Garamond" w:hAnsi="Garamond"/>
                <w:b/>
                <w:bCs/>
                <w:sz w:val="22"/>
                <w:szCs w:val="22"/>
              </w:rPr>
            </w:pPr>
            <w:r w:rsidRPr="001E6C98">
              <w:rPr>
                <w:rFonts w:ascii="Garamond" w:hAnsi="Garamond"/>
                <w:b/>
                <w:bCs/>
                <w:sz w:val="22"/>
                <w:szCs w:val="22"/>
              </w:rPr>
              <w:t>(см. п. 6 примечаний)</w:t>
            </w:r>
          </w:p>
        </w:tc>
        <w:tc>
          <w:tcPr>
            <w:tcW w:w="8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4DDA684" w14:textId="77777777" w:rsidR="004B3B82" w:rsidRPr="001E6C98" w:rsidRDefault="004B3B82" w:rsidP="00CD3B05">
            <w:pPr>
              <w:jc w:val="center"/>
              <w:rPr>
                <w:rFonts w:ascii="Garamond" w:hAnsi="Garamond"/>
                <w:b/>
                <w:bCs/>
                <w:sz w:val="22"/>
                <w:szCs w:val="22"/>
              </w:rPr>
            </w:pPr>
            <w:r w:rsidRPr="001E6C98">
              <w:rPr>
                <w:rFonts w:ascii="Garamond" w:hAnsi="Garamond"/>
                <w:b/>
                <w:bCs/>
                <w:sz w:val="22"/>
                <w:szCs w:val="22"/>
              </w:rPr>
              <w:t>Да</w:t>
            </w:r>
          </w:p>
        </w:tc>
      </w:tr>
      <w:tr w:rsidR="004B3B82" w:rsidRPr="001E6C98" w14:paraId="728F4F4B" w14:textId="77777777" w:rsidTr="00CD3B05">
        <w:trPr>
          <w:trHeight w:val="585"/>
        </w:trPr>
        <w:tc>
          <w:tcPr>
            <w:tcW w:w="64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A61F45F" w14:textId="77777777" w:rsidR="004B3B82" w:rsidRPr="001E6C98" w:rsidRDefault="004B3B82" w:rsidP="00CD3B05">
            <w:pPr>
              <w:jc w:val="center"/>
              <w:rPr>
                <w:rFonts w:ascii="Garamond" w:hAnsi="Garamond"/>
                <w:sz w:val="22"/>
                <w:szCs w:val="22"/>
              </w:rPr>
            </w:pPr>
            <w:r w:rsidRPr="001E6C98">
              <w:rPr>
                <w:rFonts w:ascii="Garamond" w:hAnsi="Garamond"/>
                <w:sz w:val="22"/>
                <w:szCs w:val="22"/>
              </w:rPr>
              <w:t>5</w:t>
            </w:r>
          </w:p>
        </w:tc>
        <w:tc>
          <w:tcPr>
            <w:tcW w:w="46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AE8B4A8" w14:textId="77777777" w:rsidR="004B3B82" w:rsidRPr="001E6C98" w:rsidRDefault="004B3B82" w:rsidP="00CD3B05">
            <w:pPr>
              <w:rPr>
                <w:rFonts w:ascii="Garamond" w:hAnsi="Garamond"/>
                <w:sz w:val="22"/>
                <w:szCs w:val="22"/>
                <w:vertAlign w:val="superscript"/>
              </w:rPr>
            </w:pPr>
            <w:r w:rsidRPr="001E6C98">
              <w:rPr>
                <w:rFonts w:ascii="Garamond" w:hAnsi="Garamond"/>
                <w:sz w:val="22"/>
                <w:szCs w:val="22"/>
              </w:rPr>
              <w:t>Паспорта-протоколы на ИИК в составе АИИС КУЭ или акты допуска прибора учета в эксплуатацию (см. пп. 2, 6 примечаний)</w:t>
            </w:r>
          </w:p>
        </w:tc>
        <w:tc>
          <w:tcPr>
            <w:tcW w:w="244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C676A32" w14:textId="77777777" w:rsidR="004B3B82" w:rsidRPr="000E318F" w:rsidRDefault="004B3B82" w:rsidP="00CD3B05">
            <w:pPr>
              <w:jc w:val="center"/>
              <w:rPr>
                <w:rFonts w:ascii="Garamond" w:eastAsia="Garamond" w:hAnsi="Garamond" w:cs="Garamond"/>
                <w:sz w:val="22"/>
                <w:szCs w:val="22"/>
                <w:u w:color="FF0000"/>
                <w:lang w:val="en-US"/>
              </w:rPr>
            </w:pPr>
            <w:r w:rsidRPr="001E6C98">
              <w:rPr>
                <w:rFonts w:ascii="Garamond" w:hAnsi="Garamond"/>
                <w:sz w:val="22"/>
                <w:szCs w:val="22"/>
                <w:u w:color="FF0000"/>
                <w:lang w:val="en-US"/>
              </w:rPr>
              <w:t>US</w:t>
            </w:r>
            <w:r w:rsidRPr="000E318F">
              <w:rPr>
                <w:rFonts w:ascii="Garamond" w:hAnsi="Garamond"/>
                <w:sz w:val="22"/>
                <w:szCs w:val="22"/>
                <w:u w:color="FF0000"/>
                <w:lang w:val="en-US"/>
              </w:rPr>
              <w:t>_</w:t>
            </w:r>
            <w:r w:rsidRPr="001E6C98">
              <w:rPr>
                <w:rFonts w:ascii="Garamond" w:hAnsi="Garamond"/>
                <w:sz w:val="22"/>
                <w:szCs w:val="22"/>
                <w:u w:color="FF0000"/>
                <w:lang w:val="en-US"/>
              </w:rPr>
              <w:t>PASP</w:t>
            </w:r>
            <w:r w:rsidRPr="000E318F">
              <w:rPr>
                <w:rFonts w:ascii="Garamond" w:hAnsi="Garamond"/>
                <w:sz w:val="22"/>
                <w:szCs w:val="22"/>
                <w:u w:color="FF0000"/>
                <w:lang w:val="en-US"/>
              </w:rPr>
              <w:t>_</w:t>
            </w:r>
            <w:r w:rsidRPr="001E6C98">
              <w:rPr>
                <w:rFonts w:ascii="Garamond" w:hAnsi="Garamond"/>
                <w:sz w:val="22"/>
                <w:szCs w:val="22"/>
                <w:u w:color="FF0000"/>
                <w:lang w:val="en-US"/>
              </w:rPr>
              <w:t>PROT</w:t>
            </w:r>
            <w:r w:rsidRPr="000E318F">
              <w:rPr>
                <w:rFonts w:ascii="Garamond" w:hAnsi="Garamond"/>
                <w:sz w:val="22"/>
                <w:szCs w:val="22"/>
                <w:u w:color="FF0000"/>
                <w:lang w:val="en-US"/>
              </w:rPr>
              <w:t>_</w:t>
            </w:r>
            <w:r w:rsidRPr="001E6C98">
              <w:rPr>
                <w:rFonts w:ascii="Garamond" w:hAnsi="Garamond"/>
                <w:sz w:val="22"/>
                <w:szCs w:val="22"/>
                <w:u w:color="FF0000"/>
                <w:lang w:val="en-US"/>
              </w:rPr>
              <w:t>MED</w:t>
            </w:r>
            <w:r w:rsidRPr="000E318F">
              <w:rPr>
                <w:rFonts w:ascii="Garamond" w:hAnsi="Garamond"/>
                <w:sz w:val="22"/>
                <w:szCs w:val="22"/>
                <w:u w:color="FF0000"/>
                <w:lang w:val="en-US"/>
              </w:rPr>
              <w:t>,</w:t>
            </w:r>
          </w:p>
          <w:p w14:paraId="6661DFD8" w14:textId="77777777" w:rsidR="004B3B82" w:rsidRPr="000E318F" w:rsidRDefault="004B3B82" w:rsidP="00CD3B05">
            <w:pPr>
              <w:jc w:val="center"/>
              <w:rPr>
                <w:rFonts w:ascii="Garamond" w:hAnsi="Garamond"/>
                <w:sz w:val="22"/>
                <w:szCs w:val="22"/>
                <w:lang w:val="en-US"/>
              </w:rPr>
            </w:pPr>
            <w:r w:rsidRPr="001E6C98">
              <w:rPr>
                <w:rFonts w:ascii="Garamond" w:hAnsi="Garamond"/>
                <w:sz w:val="22"/>
                <w:szCs w:val="22"/>
                <w:u w:color="FF0000"/>
                <w:lang w:val="en-US"/>
              </w:rPr>
              <w:t>US</w:t>
            </w:r>
            <w:r w:rsidRPr="000E318F">
              <w:rPr>
                <w:rFonts w:ascii="Garamond" w:hAnsi="Garamond"/>
                <w:sz w:val="22"/>
                <w:szCs w:val="22"/>
                <w:u w:color="FF0000"/>
                <w:lang w:val="en-US"/>
              </w:rPr>
              <w:t>_</w:t>
            </w:r>
            <w:r w:rsidRPr="001E6C98">
              <w:rPr>
                <w:rFonts w:ascii="Garamond" w:hAnsi="Garamond"/>
                <w:sz w:val="22"/>
                <w:szCs w:val="22"/>
                <w:u w:color="FF0000"/>
                <w:lang w:val="en-US"/>
              </w:rPr>
              <w:t>PASP</w:t>
            </w:r>
            <w:r w:rsidRPr="000E318F">
              <w:rPr>
                <w:rFonts w:ascii="Garamond" w:hAnsi="Garamond"/>
                <w:sz w:val="22"/>
                <w:szCs w:val="22"/>
                <w:u w:color="FF0000"/>
                <w:lang w:val="en-US"/>
              </w:rPr>
              <w:t>_</w:t>
            </w:r>
            <w:r w:rsidRPr="001E6C98">
              <w:rPr>
                <w:rFonts w:ascii="Garamond" w:hAnsi="Garamond"/>
                <w:sz w:val="22"/>
                <w:szCs w:val="22"/>
                <w:u w:color="FF0000"/>
                <w:lang w:val="en-US"/>
              </w:rPr>
              <w:t>PROT</w:t>
            </w:r>
            <w:r w:rsidRPr="000E318F">
              <w:rPr>
                <w:rFonts w:ascii="Garamond" w:hAnsi="Garamond"/>
                <w:sz w:val="22"/>
                <w:szCs w:val="22"/>
                <w:u w:color="FF0000"/>
                <w:lang w:val="en-US"/>
              </w:rPr>
              <w:t>_</w:t>
            </w:r>
            <w:r w:rsidRPr="001E6C98">
              <w:rPr>
                <w:rFonts w:ascii="Garamond" w:hAnsi="Garamond"/>
                <w:sz w:val="22"/>
                <w:szCs w:val="22"/>
                <w:u w:color="FF0000"/>
                <w:lang w:val="en-US"/>
              </w:rPr>
              <w:t>WEB</w:t>
            </w:r>
          </w:p>
        </w:tc>
        <w:tc>
          <w:tcPr>
            <w:tcW w:w="101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3D55FF2" w14:textId="77777777" w:rsidR="004B3B82" w:rsidRPr="001E6C98" w:rsidRDefault="004B3B82" w:rsidP="00CD3B05">
            <w:pPr>
              <w:jc w:val="center"/>
              <w:rPr>
                <w:rFonts w:ascii="Garamond" w:hAnsi="Garamond"/>
                <w:b/>
                <w:bCs/>
                <w:sz w:val="22"/>
                <w:szCs w:val="22"/>
              </w:rPr>
            </w:pPr>
            <w:r w:rsidRPr="001E6C98">
              <w:rPr>
                <w:rFonts w:ascii="Garamond" w:hAnsi="Garamond"/>
                <w:b/>
                <w:bCs/>
                <w:sz w:val="22"/>
                <w:szCs w:val="22"/>
              </w:rPr>
              <w:t>Да</w:t>
            </w:r>
          </w:p>
          <w:p w14:paraId="3BCEB822" w14:textId="77777777" w:rsidR="004B3B82" w:rsidRPr="001E6C98" w:rsidRDefault="004B3B82" w:rsidP="00CD3B05">
            <w:pPr>
              <w:jc w:val="center"/>
              <w:rPr>
                <w:rFonts w:ascii="Garamond" w:hAnsi="Garamond"/>
                <w:sz w:val="22"/>
                <w:szCs w:val="22"/>
              </w:rPr>
            </w:pPr>
            <w:r w:rsidRPr="001E6C98">
              <w:rPr>
                <w:rFonts w:ascii="Garamond" w:hAnsi="Garamond"/>
                <w:b/>
                <w:bCs/>
                <w:sz w:val="22"/>
                <w:szCs w:val="22"/>
              </w:rPr>
              <w:t>(см. п. 6 примечаний)</w:t>
            </w:r>
          </w:p>
        </w:tc>
        <w:tc>
          <w:tcPr>
            <w:tcW w:w="8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47AB570" w14:textId="77777777" w:rsidR="004B3B82" w:rsidRPr="001E6C98" w:rsidRDefault="004B3B82" w:rsidP="00CD3B05">
            <w:pPr>
              <w:jc w:val="center"/>
              <w:rPr>
                <w:rFonts w:ascii="Garamond" w:hAnsi="Garamond"/>
                <w:sz w:val="22"/>
                <w:szCs w:val="22"/>
              </w:rPr>
            </w:pPr>
            <w:r w:rsidRPr="001E6C98">
              <w:rPr>
                <w:rFonts w:ascii="Garamond" w:hAnsi="Garamond"/>
                <w:b/>
                <w:bCs/>
                <w:sz w:val="22"/>
                <w:szCs w:val="22"/>
              </w:rPr>
              <w:t>Да (см. п. 2 примечаний)</w:t>
            </w:r>
          </w:p>
        </w:tc>
      </w:tr>
      <w:tr w:rsidR="004B3B82" w:rsidRPr="001E6C98" w14:paraId="1A8F4A65" w14:textId="77777777" w:rsidTr="00CD3B05">
        <w:trPr>
          <w:trHeight w:val="1017"/>
        </w:trPr>
        <w:tc>
          <w:tcPr>
            <w:tcW w:w="64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EE1E6A1" w14:textId="77777777" w:rsidR="004B3B82" w:rsidRPr="001E6C98" w:rsidRDefault="004B3B82" w:rsidP="00CD3B05">
            <w:pPr>
              <w:jc w:val="center"/>
              <w:rPr>
                <w:rFonts w:ascii="Garamond" w:hAnsi="Garamond"/>
                <w:sz w:val="22"/>
                <w:szCs w:val="22"/>
              </w:rPr>
            </w:pPr>
            <w:r w:rsidRPr="001E6C98">
              <w:rPr>
                <w:rFonts w:ascii="Garamond" w:hAnsi="Garamond"/>
                <w:sz w:val="22"/>
                <w:szCs w:val="22"/>
              </w:rPr>
              <w:t>6</w:t>
            </w:r>
          </w:p>
        </w:tc>
        <w:tc>
          <w:tcPr>
            <w:tcW w:w="46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B59AE64" w14:textId="77777777" w:rsidR="004B3B82" w:rsidRPr="001E6C98" w:rsidRDefault="004B3B82" w:rsidP="00CD3B05">
            <w:pPr>
              <w:rPr>
                <w:rFonts w:ascii="Garamond" w:hAnsi="Garamond"/>
                <w:sz w:val="22"/>
                <w:szCs w:val="22"/>
              </w:rPr>
            </w:pPr>
            <w:r w:rsidRPr="001E6C98">
              <w:rPr>
                <w:rFonts w:ascii="Garamond" w:hAnsi="Garamond"/>
                <w:sz w:val="22"/>
                <w:szCs w:val="22"/>
              </w:rPr>
              <w:t>Технические акты о внесенных изменениях</w:t>
            </w:r>
            <w:r w:rsidRPr="001E6C98">
              <w:rPr>
                <w:rFonts w:ascii="Garamond" w:hAnsi="Garamond"/>
                <w:sz w:val="22"/>
                <w:szCs w:val="22"/>
                <w:vertAlign w:val="superscript"/>
              </w:rPr>
              <w:t xml:space="preserve"> </w:t>
            </w:r>
            <w:r w:rsidRPr="001E6C98">
              <w:rPr>
                <w:rFonts w:ascii="Garamond" w:hAnsi="Garamond"/>
                <w:sz w:val="22"/>
                <w:szCs w:val="22"/>
              </w:rPr>
              <w:t>(см. п. 5 примечаний)</w:t>
            </w:r>
          </w:p>
        </w:tc>
        <w:tc>
          <w:tcPr>
            <w:tcW w:w="244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A840E90" w14:textId="77777777" w:rsidR="004B3B82" w:rsidRPr="001E6C98" w:rsidRDefault="004B3B82" w:rsidP="00CD3B05">
            <w:pPr>
              <w:jc w:val="center"/>
              <w:rPr>
                <w:rFonts w:ascii="Garamond" w:eastAsia="Garamond" w:hAnsi="Garamond" w:cs="Garamond"/>
                <w:sz w:val="22"/>
                <w:szCs w:val="22"/>
                <w:u w:color="FF0000"/>
                <w:lang w:val="en-US"/>
              </w:rPr>
            </w:pPr>
            <w:r w:rsidRPr="001E6C98">
              <w:rPr>
                <w:rFonts w:ascii="Garamond" w:hAnsi="Garamond"/>
                <w:sz w:val="22"/>
                <w:szCs w:val="22"/>
                <w:u w:color="FF0000"/>
                <w:lang w:val="en-US"/>
              </w:rPr>
              <w:t>US_AKT_ZAM_MED,</w:t>
            </w:r>
          </w:p>
          <w:p w14:paraId="372F9B28" w14:textId="77777777" w:rsidR="004B3B82" w:rsidRPr="000E318F" w:rsidRDefault="004B3B82" w:rsidP="00CD3B05">
            <w:pPr>
              <w:jc w:val="center"/>
              <w:rPr>
                <w:rFonts w:ascii="Garamond" w:hAnsi="Garamond"/>
                <w:sz w:val="22"/>
                <w:szCs w:val="22"/>
                <w:u w:color="FF0000"/>
                <w:lang w:val="en-US"/>
              </w:rPr>
            </w:pPr>
            <w:r w:rsidRPr="001E6C98">
              <w:rPr>
                <w:rFonts w:ascii="Garamond" w:hAnsi="Garamond"/>
                <w:sz w:val="22"/>
                <w:szCs w:val="22"/>
                <w:u w:color="FF0000"/>
                <w:lang w:val="en-US"/>
              </w:rPr>
              <w:t>US_AKT_ZAM_WEB</w:t>
            </w:r>
          </w:p>
        </w:tc>
        <w:tc>
          <w:tcPr>
            <w:tcW w:w="101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860164A" w14:textId="77777777" w:rsidR="004B3B82" w:rsidRPr="001E6C98" w:rsidRDefault="004B3B82" w:rsidP="00CD3B05">
            <w:pPr>
              <w:jc w:val="center"/>
              <w:rPr>
                <w:rFonts w:ascii="Garamond" w:hAnsi="Garamond"/>
                <w:b/>
                <w:bCs/>
                <w:sz w:val="22"/>
                <w:szCs w:val="22"/>
              </w:rPr>
            </w:pPr>
            <w:r w:rsidRPr="001E6C98">
              <w:rPr>
                <w:rFonts w:ascii="Garamond" w:hAnsi="Garamond"/>
                <w:b/>
                <w:bCs/>
                <w:sz w:val="22"/>
                <w:szCs w:val="22"/>
              </w:rPr>
              <w:t>Да (см. п. 5 примечаний)</w:t>
            </w:r>
          </w:p>
        </w:tc>
        <w:tc>
          <w:tcPr>
            <w:tcW w:w="8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943D6AB" w14:textId="77777777" w:rsidR="004B3B82" w:rsidRPr="001E6C98" w:rsidRDefault="004B3B82" w:rsidP="00CD3B05">
            <w:pPr>
              <w:jc w:val="center"/>
              <w:rPr>
                <w:rFonts w:ascii="Garamond" w:hAnsi="Garamond"/>
                <w:b/>
                <w:bCs/>
                <w:sz w:val="22"/>
                <w:szCs w:val="22"/>
              </w:rPr>
            </w:pPr>
            <w:r w:rsidRPr="001E6C98">
              <w:rPr>
                <w:rFonts w:ascii="Garamond" w:hAnsi="Garamond"/>
                <w:b/>
                <w:bCs/>
                <w:sz w:val="22"/>
                <w:szCs w:val="22"/>
              </w:rPr>
              <w:t>Нет</w:t>
            </w:r>
          </w:p>
        </w:tc>
      </w:tr>
    </w:tbl>
    <w:p w14:paraId="0625CA3B" w14:textId="77777777" w:rsidR="004B3B82" w:rsidRDefault="004B3B82" w:rsidP="00101F7C">
      <w:pPr>
        <w:tabs>
          <w:tab w:val="left" w:pos="5670"/>
        </w:tabs>
        <w:jc w:val="both"/>
        <w:rPr>
          <w:rFonts w:ascii="Garamond" w:eastAsia="Garamond" w:hAnsi="Garamond" w:cs="Garamond"/>
          <w:sz w:val="22"/>
          <w:szCs w:val="22"/>
          <w:shd w:val="clear" w:color="auto" w:fill="FFFF00"/>
        </w:rPr>
      </w:pPr>
    </w:p>
    <w:p w14:paraId="72CBDC1F" w14:textId="77777777" w:rsidR="004B3B82" w:rsidRPr="00B327DD" w:rsidRDefault="004B3B82" w:rsidP="00101F7C">
      <w:pPr>
        <w:rPr>
          <w:rFonts w:ascii="Garamond" w:hAnsi="Garamond"/>
          <w:sz w:val="22"/>
          <w:szCs w:val="22"/>
        </w:rPr>
      </w:pPr>
      <w:r w:rsidRPr="00B327DD">
        <w:rPr>
          <w:rFonts w:ascii="Garamond" w:hAnsi="Garamond"/>
          <w:i/>
          <w:sz w:val="22"/>
          <w:szCs w:val="22"/>
        </w:rPr>
        <w:t>Примечания</w:t>
      </w:r>
      <w:r>
        <w:rPr>
          <w:rFonts w:ascii="Garamond" w:hAnsi="Garamond"/>
          <w:sz w:val="22"/>
          <w:szCs w:val="22"/>
        </w:rPr>
        <w:t>.</w:t>
      </w:r>
    </w:p>
    <w:p w14:paraId="11C8954A" w14:textId="77777777" w:rsidR="004B3B82" w:rsidRPr="00033CB1" w:rsidRDefault="004B3B82" w:rsidP="00101F7C">
      <w:pPr>
        <w:suppressAutoHyphens w:val="0"/>
        <w:ind w:left="720"/>
        <w:jc w:val="both"/>
        <w:rPr>
          <w:rFonts w:ascii="Garamond" w:hAnsi="Garamond" w:cs="Courier New"/>
          <w:sz w:val="22"/>
          <w:szCs w:val="22"/>
        </w:rPr>
      </w:pPr>
      <w:r>
        <w:rPr>
          <w:rFonts w:ascii="Garamond" w:hAnsi="Garamond"/>
          <w:sz w:val="22"/>
          <w:szCs w:val="22"/>
        </w:rPr>
        <w:t>…</w:t>
      </w:r>
    </w:p>
    <w:p w14:paraId="5713ED75" w14:textId="77777777" w:rsidR="004B3B82" w:rsidRPr="00033CB1" w:rsidRDefault="004B3B82" w:rsidP="004B3B82">
      <w:pPr>
        <w:numPr>
          <w:ilvl w:val="0"/>
          <w:numId w:val="131"/>
        </w:numPr>
        <w:suppressAutoHyphens w:val="0"/>
        <w:jc w:val="both"/>
        <w:rPr>
          <w:rFonts w:ascii="Garamond" w:hAnsi="Garamond" w:cs="Courier New"/>
          <w:sz w:val="22"/>
          <w:szCs w:val="22"/>
        </w:rPr>
      </w:pPr>
      <w:r w:rsidRPr="00033CB1">
        <w:rPr>
          <w:rFonts w:ascii="Garamond" w:hAnsi="Garamond"/>
          <w:sz w:val="22"/>
          <w:szCs w:val="22"/>
        </w:rPr>
        <w:t>Субъект оптового рынка (з</w:t>
      </w:r>
      <w:r w:rsidRPr="00033CB1">
        <w:rPr>
          <w:rFonts w:ascii="Garamond" w:hAnsi="Garamond" w:cs="Courier New"/>
          <w:sz w:val="22"/>
          <w:szCs w:val="22"/>
        </w:rPr>
        <w:t>аявитель) оформляет в произвольной форме технический акт о внесенных изменениях в АИИС КУЭ (утвержденную как средство измерений единичного производства) и обеспечивает его подписание руководителем или уполномоченным им лицом в случаях:</w:t>
      </w:r>
    </w:p>
    <w:p w14:paraId="32897679" w14:textId="77777777" w:rsidR="004B3B82" w:rsidRPr="00033CB1" w:rsidRDefault="004B3B82" w:rsidP="004B3B82">
      <w:pPr>
        <w:pStyle w:val="af6"/>
        <w:numPr>
          <w:ilvl w:val="0"/>
          <w:numId w:val="122"/>
        </w:numPr>
        <w:tabs>
          <w:tab w:val="left" w:pos="1276"/>
        </w:tabs>
        <w:ind w:left="1276" w:hanging="425"/>
        <w:rPr>
          <w:rFonts w:ascii="Garamond" w:hAnsi="Garamond"/>
          <w:sz w:val="22"/>
          <w:szCs w:val="22"/>
          <w:lang w:val="ru-RU"/>
        </w:rPr>
      </w:pPr>
      <w:r w:rsidRPr="00033CB1">
        <w:rPr>
          <w:rFonts w:ascii="Garamond" w:hAnsi="Garamond"/>
          <w:sz w:val="22"/>
          <w:szCs w:val="22"/>
          <w:lang w:val="ru-RU"/>
        </w:rPr>
        <w:t>изменения наименований измерительных каналов АИИС КУЭ без изменения местоположения ИИК;</w:t>
      </w:r>
    </w:p>
    <w:p w14:paraId="5E92D90C" w14:textId="77777777" w:rsidR="004B3B82" w:rsidRPr="00033CB1" w:rsidRDefault="004B3B82" w:rsidP="004B3B82">
      <w:pPr>
        <w:pStyle w:val="af6"/>
        <w:numPr>
          <w:ilvl w:val="0"/>
          <w:numId w:val="122"/>
        </w:numPr>
        <w:tabs>
          <w:tab w:val="left" w:pos="1276"/>
        </w:tabs>
        <w:ind w:left="1276" w:hanging="425"/>
        <w:rPr>
          <w:rFonts w:ascii="Garamond" w:hAnsi="Garamond"/>
          <w:sz w:val="22"/>
          <w:szCs w:val="22"/>
          <w:lang w:val="ru-RU"/>
        </w:rPr>
      </w:pPr>
      <w:r w:rsidRPr="00033CB1">
        <w:rPr>
          <w:rFonts w:ascii="Garamond" w:hAnsi="Garamond"/>
          <w:sz w:val="22"/>
          <w:szCs w:val="22"/>
          <w:lang w:val="ru-RU"/>
        </w:rPr>
        <w:t xml:space="preserve">замены измерительных компонентов (трансформаторов тока, трансформаторов напряжения, </w:t>
      </w:r>
      <w:r w:rsidRPr="003C6156">
        <w:rPr>
          <w:rFonts w:ascii="Garamond" w:hAnsi="Garamond"/>
          <w:sz w:val="22"/>
          <w:szCs w:val="22"/>
          <w:highlight w:val="yellow"/>
          <w:lang w:val="ru-RU"/>
        </w:rPr>
        <w:t>приборов учета</w:t>
      </w:r>
      <w:r w:rsidRPr="00033CB1">
        <w:rPr>
          <w:rFonts w:ascii="Garamond" w:hAnsi="Garamond"/>
          <w:sz w:val="22"/>
          <w:szCs w:val="22"/>
          <w:lang w:val="ru-RU"/>
        </w:rPr>
        <w:t>) на аналогичные измерительные компоненты утвержденных типов с классом точности не хуже указанного в описании типа средства измерений АИИС КУЭ при условии, что метрологические характеристики ИИК, указанные в описании типа средства измерений АИИС КУЭ, соответствуют требованиям п. 3.2.2 Приложения № 11.1 к Положению о реестре;</w:t>
      </w:r>
    </w:p>
    <w:p w14:paraId="429D7A13" w14:textId="77777777" w:rsidR="004B3B82" w:rsidRDefault="004B3B82" w:rsidP="00101F7C">
      <w:pPr>
        <w:suppressAutoHyphens w:val="0"/>
        <w:ind w:left="720"/>
        <w:jc w:val="both"/>
        <w:rPr>
          <w:rFonts w:ascii="Garamond" w:hAnsi="Garamond"/>
          <w:sz w:val="22"/>
          <w:szCs w:val="22"/>
        </w:rPr>
      </w:pPr>
      <w:r>
        <w:rPr>
          <w:rFonts w:ascii="Garamond" w:hAnsi="Garamond"/>
          <w:i/>
          <w:sz w:val="22"/>
          <w:szCs w:val="22"/>
        </w:rPr>
        <w:t>…</w:t>
      </w:r>
    </w:p>
    <w:p w14:paraId="2E610724" w14:textId="77777777" w:rsidR="004B3B82" w:rsidRDefault="004B3B82" w:rsidP="00101F7C">
      <w:pPr>
        <w:suppressAutoHyphens w:val="0"/>
        <w:ind w:left="720"/>
        <w:jc w:val="both"/>
        <w:rPr>
          <w:rFonts w:ascii="Garamond" w:hAnsi="Garamond"/>
          <w:i/>
          <w:sz w:val="22"/>
          <w:szCs w:val="22"/>
        </w:rPr>
      </w:pPr>
      <w:r>
        <w:rPr>
          <w:rFonts w:ascii="Garamond" w:hAnsi="Garamond"/>
          <w:i/>
          <w:sz w:val="22"/>
          <w:szCs w:val="22"/>
        </w:rPr>
        <w:br w:type="page"/>
      </w:r>
    </w:p>
    <w:p w14:paraId="5B5BBA8E" w14:textId="77777777" w:rsidR="004B3B82" w:rsidRPr="005C63E5" w:rsidRDefault="004B3B82" w:rsidP="00101F7C">
      <w:pPr>
        <w:suppressAutoHyphens w:val="0"/>
        <w:ind w:left="284"/>
        <w:rPr>
          <w:rFonts w:ascii="Garamond" w:hAnsi="Garamond"/>
          <w:b/>
          <w:sz w:val="22"/>
          <w:szCs w:val="22"/>
        </w:rPr>
      </w:pPr>
      <w:r w:rsidRPr="005C63E5">
        <w:rPr>
          <w:rFonts w:ascii="Garamond" w:hAnsi="Garamond"/>
          <w:b/>
          <w:sz w:val="22"/>
          <w:szCs w:val="22"/>
        </w:rPr>
        <w:lastRenderedPageBreak/>
        <w:t>Действующая редакция</w:t>
      </w:r>
    </w:p>
    <w:p w14:paraId="6910C88D" w14:textId="77777777" w:rsidR="004B3B82" w:rsidRDefault="004B3B82" w:rsidP="00101F7C">
      <w:pPr>
        <w:suppressAutoHyphens w:val="0"/>
        <w:ind w:left="709"/>
        <w:jc w:val="right"/>
        <w:rPr>
          <w:rFonts w:ascii="Garamond" w:hAnsi="Garamond"/>
          <w:b/>
          <w:sz w:val="22"/>
          <w:szCs w:val="22"/>
        </w:rPr>
      </w:pPr>
      <w:r>
        <w:rPr>
          <w:rFonts w:ascii="Garamond" w:hAnsi="Garamond"/>
          <w:b/>
          <w:sz w:val="22"/>
          <w:szCs w:val="22"/>
        </w:rPr>
        <w:t>П</w:t>
      </w:r>
      <w:r w:rsidRPr="003A2EF4">
        <w:rPr>
          <w:rFonts w:ascii="Garamond" w:hAnsi="Garamond"/>
          <w:b/>
          <w:sz w:val="22"/>
          <w:szCs w:val="22"/>
        </w:rPr>
        <w:t xml:space="preserve">риложение </w:t>
      </w:r>
      <w:r>
        <w:rPr>
          <w:rFonts w:ascii="Garamond" w:hAnsi="Garamond"/>
          <w:b/>
          <w:sz w:val="22"/>
          <w:szCs w:val="22"/>
        </w:rPr>
        <w:t>2</w:t>
      </w:r>
    </w:p>
    <w:p w14:paraId="43EAC9CD" w14:textId="77777777" w:rsidR="004B3B82" w:rsidRDefault="004B3B82" w:rsidP="00101F7C">
      <w:pPr>
        <w:jc w:val="right"/>
        <w:rPr>
          <w:rFonts w:ascii="Garamond"/>
          <w:b/>
          <w:bCs/>
          <w:sz w:val="22"/>
          <w:szCs w:val="22"/>
        </w:rPr>
      </w:pPr>
      <w:bookmarkStart w:id="103" w:name="_Toc63137843"/>
      <w:bookmarkStart w:id="104" w:name="_Toc63767681"/>
      <w:r>
        <w:rPr>
          <w:rFonts w:hAnsi="Garamond"/>
          <w:b/>
          <w:bCs/>
          <w:sz w:val="22"/>
          <w:szCs w:val="22"/>
        </w:rPr>
        <w:t>Таблица</w:t>
      </w:r>
      <w:r>
        <w:rPr>
          <w:rFonts w:hAnsi="Garamond"/>
          <w:b/>
          <w:bCs/>
          <w:sz w:val="22"/>
          <w:szCs w:val="22"/>
        </w:rPr>
        <w:t xml:space="preserve"> </w:t>
      </w:r>
      <w:r w:rsidRPr="00723CC8">
        <w:rPr>
          <w:rFonts w:ascii="Garamond"/>
          <w:b/>
          <w:bCs/>
          <w:sz w:val="22"/>
          <w:szCs w:val="22"/>
        </w:rPr>
        <w:t>1</w:t>
      </w:r>
    </w:p>
    <w:p w14:paraId="214C8BA0" w14:textId="77777777" w:rsidR="004B3B82" w:rsidRDefault="004B3B82" w:rsidP="00101F7C">
      <w:pPr>
        <w:jc w:val="right"/>
        <w:rPr>
          <w:rFonts w:ascii="Garamond" w:eastAsia="Garamond" w:hAnsi="Garamond" w:cs="Garamond"/>
          <w:b/>
          <w:bCs/>
          <w:sz w:val="22"/>
          <w:szCs w:val="22"/>
        </w:rPr>
      </w:pPr>
    </w:p>
    <w:p w14:paraId="10953DEA" w14:textId="77777777" w:rsidR="004B3B82" w:rsidRDefault="004B3B82" w:rsidP="00101F7C">
      <w:pPr>
        <w:jc w:val="center"/>
        <w:rPr>
          <w:rFonts w:ascii="Garamond" w:eastAsia="Garamond" w:hAnsi="Garamond" w:cs="Garamond"/>
          <w:b/>
          <w:bCs/>
          <w:sz w:val="22"/>
          <w:szCs w:val="22"/>
        </w:rPr>
      </w:pPr>
      <w:r>
        <w:rPr>
          <w:rFonts w:hAnsi="Garamond"/>
          <w:b/>
          <w:bCs/>
          <w:sz w:val="22"/>
          <w:szCs w:val="22"/>
        </w:rPr>
        <w:t>Перечень</w:t>
      </w:r>
      <w:r>
        <w:rPr>
          <w:rFonts w:hAnsi="Garamond"/>
          <w:b/>
          <w:bCs/>
          <w:sz w:val="22"/>
          <w:szCs w:val="22"/>
        </w:rPr>
        <w:t xml:space="preserve"> </w:t>
      </w:r>
      <w:r>
        <w:rPr>
          <w:rFonts w:hAnsi="Garamond"/>
          <w:b/>
          <w:bCs/>
          <w:sz w:val="22"/>
          <w:szCs w:val="22"/>
        </w:rPr>
        <w:t>параметров</w:t>
      </w:r>
      <w:r>
        <w:rPr>
          <w:rFonts w:ascii="Garamond"/>
          <w:b/>
          <w:bCs/>
          <w:sz w:val="22"/>
          <w:szCs w:val="22"/>
        </w:rPr>
        <w:t xml:space="preserve">, </w:t>
      </w:r>
      <w:r>
        <w:rPr>
          <w:rFonts w:hAnsi="Garamond"/>
          <w:b/>
          <w:bCs/>
          <w:sz w:val="22"/>
          <w:szCs w:val="22"/>
        </w:rPr>
        <w:t>проверяемых</w:t>
      </w:r>
      <w:r>
        <w:rPr>
          <w:rFonts w:hAnsi="Garamond"/>
          <w:b/>
          <w:bCs/>
          <w:sz w:val="22"/>
          <w:szCs w:val="22"/>
        </w:rPr>
        <w:t xml:space="preserve"> </w:t>
      </w:r>
      <w:r>
        <w:rPr>
          <w:rFonts w:hAnsi="Garamond"/>
          <w:b/>
          <w:bCs/>
          <w:sz w:val="22"/>
          <w:szCs w:val="22"/>
        </w:rPr>
        <w:t>при</w:t>
      </w:r>
      <w:r>
        <w:rPr>
          <w:rFonts w:hAnsi="Garamond"/>
          <w:b/>
          <w:bCs/>
          <w:sz w:val="22"/>
          <w:szCs w:val="22"/>
        </w:rPr>
        <w:t xml:space="preserve"> </w:t>
      </w:r>
      <w:r>
        <w:rPr>
          <w:rFonts w:hAnsi="Garamond"/>
          <w:b/>
          <w:bCs/>
          <w:sz w:val="22"/>
          <w:szCs w:val="22"/>
        </w:rPr>
        <w:t>установлении</w:t>
      </w:r>
      <w:r>
        <w:rPr>
          <w:rFonts w:hAnsi="Garamond"/>
          <w:b/>
          <w:bCs/>
          <w:sz w:val="22"/>
          <w:szCs w:val="22"/>
        </w:rPr>
        <w:t xml:space="preserve"> </w:t>
      </w:r>
      <w:r>
        <w:rPr>
          <w:rFonts w:hAnsi="Garamond"/>
          <w:b/>
          <w:bCs/>
          <w:sz w:val="22"/>
          <w:szCs w:val="22"/>
        </w:rPr>
        <w:t>соответствия</w:t>
      </w:r>
      <w:r>
        <w:rPr>
          <w:rFonts w:hAnsi="Garamond"/>
          <w:b/>
          <w:bCs/>
          <w:sz w:val="22"/>
          <w:szCs w:val="22"/>
        </w:rPr>
        <w:t xml:space="preserve"> </w:t>
      </w:r>
      <w:r>
        <w:rPr>
          <w:rFonts w:hAnsi="Garamond"/>
          <w:b/>
          <w:bCs/>
          <w:sz w:val="22"/>
          <w:szCs w:val="22"/>
        </w:rPr>
        <w:t>АИИС</w:t>
      </w:r>
      <w:r>
        <w:rPr>
          <w:rFonts w:hAnsi="Garamond"/>
          <w:b/>
          <w:bCs/>
          <w:sz w:val="22"/>
          <w:szCs w:val="22"/>
        </w:rPr>
        <w:t xml:space="preserve"> </w:t>
      </w:r>
      <w:r>
        <w:rPr>
          <w:rFonts w:hAnsi="Garamond"/>
          <w:b/>
          <w:bCs/>
          <w:sz w:val="22"/>
          <w:szCs w:val="22"/>
        </w:rPr>
        <w:t>КУЭ</w:t>
      </w:r>
      <w:r>
        <w:rPr>
          <w:rFonts w:hAnsi="Garamond"/>
          <w:b/>
          <w:bCs/>
          <w:sz w:val="22"/>
          <w:szCs w:val="22"/>
        </w:rPr>
        <w:t xml:space="preserve"> </w:t>
      </w:r>
      <w:r>
        <w:rPr>
          <w:rFonts w:hAnsi="Garamond"/>
          <w:b/>
          <w:bCs/>
          <w:sz w:val="22"/>
          <w:szCs w:val="22"/>
        </w:rPr>
        <w:t>техническим</w:t>
      </w:r>
      <w:r>
        <w:rPr>
          <w:rFonts w:hAnsi="Garamond"/>
          <w:b/>
          <w:bCs/>
          <w:sz w:val="22"/>
          <w:szCs w:val="22"/>
        </w:rPr>
        <w:t xml:space="preserve"> </w:t>
      </w:r>
      <w:r>
        <w:rPr>
          <w:rFonts w:hAnsi="Garamond"/>
          <w:b/>
          <w:bCs/>
          <w:sz w:val="22"/>
          <w:szCs w:val="22"/>
        </w:rPr>
        <w:t>требованиям</w:t>
      </w:r>
      <w:r>
        <w:rPr>
          <w:rFonts w:hAnsi="Garamond"/>
          <w:b/>
          <w:bCs/>
          <w:sz w:val="22"/>
          <w:szCs w:val="22"/>
        </w:rPr>
        <w:t xml:space="preserve"> </w:t>
      </w:r>
      <w:r w:rsidRPr="00744E5C">
        <w:rPr>
          <w:rFonts w:hAnsi="Garamond"/>
          <w:b/>
          <w:bCs/>
          <w:sz w:val="22"/>
          <w:szCs w:val="22"/>
          <w:highlight w:val="yellow"/>
        </w:rPr>
        <w:t>ОРЭМ</w:t>
      </w:r>
      <w:r w:rsidRPr="00744E5C">
        <w:rPr>
          <w:rFonts w:hAnsi="Garamond"/>
          <w:b/>
          <w:bCs/>
          <w:sz w:val="22"/>
          <w:szCs w:val="22"/>
          <w:highlight w:val="yellow"/>
        </w:rPr>
        <w:t xml:space="preserve"> </w:t>
      </w:r>
      <w:r w:rsidRPr="00744E5C">
        <w:rPr>
          <w:rFonts w:hAnsi="Garamond"/>
          <w:b/>
          <w:bCs/>
          <w:sz w:val="22"/>
          <w:szCs w:val="22"/>
          <w:highlight w:val="yellow"/>
        </w:rPr>
        <w:t>согласно</w:t>
      </w:r>
      <w:r w:rsidRPr="00744E5C">
        <w:rPr>
          <w:rFonts w:hAnsi="Garamond"/>
          <w:b/>
          <w:bCs/>
          <w:sz w:val="22"/>
          <w:szCs w:val="22"/>
          <w:highlight w:val="yellow"/>
        </w:rPr>
        <w:t xml:space="preserve"> </w:t>
      </w:r>
      <w:r w:rsidRPr="00744E5C">
        <w:rPr>
          <w:rFonts w:hAnsi="Garamond"/>
          <w:b/>
          <w:bCs/>
          <w:sz w:val="22"/>
          <w:szCs w:val="22"/>
          <w:highlight w:val="yellow"/>
        </w:rPr>
        <w:t>заявленному</w:t>
      </w:r>
      <w:r w:rsidRPr="00744E5C">
        <w:rPr>
          <w:rFonts w:hAnsi="Garamond"/>
          <w:b/>
          <w:bCs/>
          <w:sz w:val="22"/>
          <w:szCs w:val="22"/>
          <w:highlight w:val="yellow"/>
        </w:rPr>
        <w:t xml:space="preserve"> </w:t>
      </w:r>
      <w:r w:rsidRPr="00744E5C">
        <w:rPr>
          <w:rFonts w:hAnsi="Garamond"/>
          <w:b/>
          <w:bCs/>
          <w:sz w:val="22"/>
          <w:szCs w:val="22"/>
          <w:highlight w:val="yellow"/>
        </w:rPr>
        <w:t>классу</w:t>
      </w:r>
      <w:r w:rsidRPr="00744E5C">
        <w:rPr>
          <w:rFonts w:hAnsi="Garamond"/>
          <w:b/>
          <w:bCs/>
          <w:sz w:val="22"/>
          <w:szCs w:val="22"/>
          <w:highlight w:val="yellow"/>
        </w:rPr>
        <w:t xml:space="preserve"> </w:t>
      </w:r>
      <w:r w:rsidRPr="00744E5C">
        <w:rPr>
          <w:rFonts w:hAnsi="Garamond"/>
          <w:b/>
          <w:bCs/>
          <w:sz w:val="22"/>
          <w:szCs w:val="22"/>
          <w:highlight w:val="yellow"/>
        </w:rPr>
        <w:t>АИИС</w:t>
      </w:r>
      <w:r w:rsidRPr="00744E5C">
        <w:rPr>
          <w:rFonts w:hAnsi="Garamond"/>
          <w:b/>
          <w:bCs/>
          <w:sz w:val="22"/>
          <w:szCs w:val="22"/>
          <w:highlight w:val="yellow"/>
        </w:rPr>
        <w:t xml:space="preserve"> </w:t>
      </w:r>
      <w:r w:rsidRPr="00744E5C">
        <w:rPr>
          <w:rFonts w:hAnsi="Garamond"/>
          <w:b/>
          <w:bCs/>
          <w:sz w:val="22"/>
          <w:szCs w:val="22"/>
          <w:highlight w:val="yellow"/>
        </w:rPr>
        <w:t>КУЭ</w:t>
      </w:r>
    </w:p>
    <w:p w14:paraId="4874E3BE" w14:textId="77777777" w:rsidR="004B3B82" w:rsidRDefault="004B3B82" w:rsidP="00101F7C">
      <w:pPr>
        <w:widowControl w:val="0"/>
        <w:jc w:val="center"/>
        <w:rPr>
          <w:rFonts w:ascii="Garamond" w:eastAsia="Garamond" w:hAnsi="Garamond" w:cs="Garamond"/>
          <w:b/>
          <w:bCs/>
          <w:sz w:val="22"/>
          <w:szCs w:val="22"/>
        </w:rPr>
      </w:pPr>
    </w:p>
    <w:tbl>
      <w:tblPr>
        <w:tblW w:w="9723" w:type="dxa"/>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shd w:val="clear" w:color="auto" w:fill="BDC0BF"/>
        <w:tblLayout w:type="fixed"/>
        <w:tblCellMar>
          <w:left w:w="0" w:type="dxa"/>
          <w:right w:w="0" w:type="dxa"/>
        </w:tblCellMar>
        <w:tblLook w:val="04A0" w:firstRow="1" w:lastRow="0" w:firstColumn="1" w:lastColumn="0" w:noHBand="0" w:noVBand="1"/>
      </w:tblPr>
      <w:tblGrid>
        <w:gridCol w:w="498"/>
        <w:gridCol w:w="912"/>
        <w:gridCol w:w="5751"/>
        <w:gridCol w:w="1362"/>
        <w:gridCol w:w="1200"/>
      </w:tblGrid>
      <w:tr w:rsidR="004B3B82" w14:paraId="71184525" w14:textId="77777777" w:rsidTr="00CD3B05">
        <w:trPr>
          <w:trHeight w:val="730"/>
          <w:tblHeader/>
          <w:jc w:val="center"/>
        </w:trPr>
        <w:tc>
          <w:tcPr>
            <w:tcW w:w="498"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751D088" w14:textId="77777777" w:rsidR="004B3B82" w:rsidRPr="004D7191" w:rsidRDefault="004B3B82" w:rsidP="00CD3B05">
            <w:pPr>
              <w:jc w:val="center"/>
              <w:rPr>
                <w:rFonts w:ascii="Garamond" w:eastAsia="Garamond" w:hAnsi="Garamond" w:cs="Garamond"/>
                <w:b/>
                <w:bCs/>
              </w:rPr>
            </w:pPr>
            <w:r w:rsidRPr="004D7191">
              <w:rPr>
                <w:rFonts w:hAnsi="Garamond"/>
                <w:b/>
                <w:bCs/>
              </w:rPr>
              <w:t>№</w:t>
            </w:r>
          </w:p>
          <w:p w14:paraId="28B9C973" w14:textId="77777777" w:rsidR="004B3B82" w:rsidRDefault="004B3B82" w:rsidP="00CD3B05">
            <w:pPr>
              <w:jc w:val="center"/>
            </w:pPr>
            <w:r w:rsidRPr="004D7191">
              <w:rPr>
                <w:rFonts w:hAnsi="Garamond"/>
                <w:b/>
                <w:bCs/>
              </w:rPr>
              <w:t>п</w:t>
            </w:r>
            <w:r w:rsidRPr="004D7191">
              <w:rPr>
                <w:rFonts w:ascii="Garamond"/>
                <w:b/>
                <w:bCs/>
              </w:rPr>
              <w:t>/</w:t>
            </w:r>
            <w:r w:rsidRPr="004D7191">
              <w:rPr>
                <w:rFonts w:hAnsi="Garamond"/>
                <w:b/>
                <w:bCs/>
              </w:rPr>
              <w:t>п</w:t>
            </w:r>
          </w:p>
        </w:tc>
        <w:tc>
          <w:tcPr>
            <w:tcW w:w="912"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A7204A9" w14:textId="77777777" w:rsidR="004B3B82" w:rsidRDefault="004B3B82" w:rsidP="00CD3B05">
            <w:pPr>
              <w:jc w:val="center"/>
            </w:pPr>
            <w:r>
              <w:rPr>
                <w:rFonts w:hAnsi="Garamond"/>
                <w:b/>
                <w:bCs/>
              </w:rPr>
              <w:t>Обозначение</w:t>
            </w:r>
            <w:r>
              <w:rPr>
                <w:rFonts w:hAnsi="Garamond"/>
                <w:b/>
                <w:bCs/>
              </w:rPr>
              <w:t xml:space="preserve"> </w:t>
            </w:r>
            <w:r>
              <w:rPr>
                <w:rFonts w:hAnsi="Garamond"/>
                <w:b/>
                <w:bCs/>
              </w:rPr>
              <w:t>п</w:t>
            </w:r>
            <w:r w:rsidRPr="004D7191">
              <w:rPr>
                <w:rFonts w:hAnsi="Garamond"/>
                <w:b/>
                <w:bCs/>
              </w:rPr>
              <w:t>арам</w:t>
            </w:r>
            <w:r w:rsidRPr="00A064A9">
              <w:rPr>
                <w:rFonts w:hAnsi="Garamond"/>
                <w:b/>
                <w:bCs/>
              </w:rPr>
              <w:t>етр</w:t>
            </w:r>
            <w:r>
              <w:rPr>
                <w:rFonts w:hAnsi="Garamond"/>
                <w:b/>
                <w:bCs/>
              </w:rPr>
              <w:t>а</w:t>
            </w:r>
          </w:p>
        </w:tc>
        <w:tc>
          <w:tcPr>
            <w:tcW w:w="5751"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329B6F8" w14:textId="77777777" w:rsidR="004B3B82" w:rsidRDefault="004B3B82" w:rsidP="00CD3B05">
            <w:pPr>
              <w:jc w:val="center"/>
            </w:pPr>
            <w:r w:rsidRPr="004D7191">
              <w:rPr>
                <w:rFonts w:hAnsi="Garamond"/>
                <w:b/>
                <w:bCs/>
              </w:rPr>
              <w:t>Наименование</w:t>
            </w:r>
            <w:r w:rsidRPr="004D7191">
              <w:rPr>
                <w:rFonts w:hAnsi="Garamond"/>
                <w:b/>
                <w:bCs/>
              </w:rPr>
              <w:t xml:space="preserve"> </w:t>
            </w:r>
            <w:r w:rsidRPr="004D7191">
              <w:rPr>
                <w:rFonts w:hAnsi="Garamond"/>
                <w:b/>
                <w:bCs/>
              </w:rPr>
              <w:t>параметра</w:t>
            </w:r>
          </w:p>
        </w:tc>
        <w:tc>
          <w:tcPr>
            <w:tcW w:w="2562"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25CE709" w14:textId="77777777" w:rsidR="004B3B82" w:rsidRPr="004D7191" w:rsidRDefault="004B3B82" w:rsidP="00CD3B05">
            <w:pPr>
              <w:jc w:val="center"/>
              <w:rPr>
                <w:rFonts w:hAnsi="Garamond"/>
                <w:b/>
                <w:bCs/>
                <w:sz w:val="16"/>
                <w:szCs w:val="16"/>
              </w:rPr>
            </w:pPr>
            <w:r w:rsidRPr="00033E1A">
              <w:rPr>
                <w:rFonts w:hAnsi="Garamond"/>
                <w:b/>
                <w:bCs/>
                <w:sz w:val="16"/>
                <w:szCs w:val="16"/>
              </w:rPr>
              <w:t>Необходимость</w:t>
            </w:r>
            <w:r w:rsidRPr="00033E1A">
              <w:rPr>
                <w:rFonts w:hAnsi="Garamond"/>
                <w:b/>
                <w:bCs/>
                <w:sz w:val="16"/>
                <w:szCs w:val="16"/>
              </w:rPr>
              <w:t xml:space="preserve"> </w:t>
            </w:r>
            <w:r w:rsidRPr="00033E1A">
              <w:rPr>
                <w:rFonts w:ascii="Garamond" w:hAnsi="Garamond"/>
                <w:b/>
                <w:bCs/>
                <w:sz w:val="16"/>
                <w:szCs w:val="16"/>
              </w:rPr>
              <w:t xml:space="preserve">проверки </w:t>
            </w:r>
            <w:r w:rsidRPr="00033E1A">
              <w:rPr>
                <w:rFonts w:hAnsi="Garamond"/>
                <w:b/>
                <w:bCs/>
                <w:sz w:val="16"/>
                <w:szCs w:val="16"/>
              </w:rPr>
              <w:t>системы</w:t>
            </w:r>
            <w:r w:rsidRPr="00033E1A">
              <w:rPr>
                <w:rFonts w:hAnsi="Garamond"/>
                <w:b/>
                <w:bCs/>
                <w:sz w:val="16"/>
                <w:szCs w:val="16"/>
              </w:rPr>
              <w:t xml:space="preserve"> </w:t>
            </w:r>
            <w:r w:rsidRPr="00033E1A">
              <w:rPr>
                <w:rFonts w:hAnsi="Garamond"/>
                <w:b/>
                <w:bCs/>
                <w:sz w:val="16"/>
                <w:szCs w:val="16"/>
              </w:rPr>
              <w:t>по</w:t>
            </w:r>
            <w:r w:rsidRPr="00033E1A">
              <w:rPr>
                <w:rFonts w:hAnsi="Garamond"/>
                <w:b/>
                <w:bCs/>
                <w:sz w:val="16"/>
                <w:szCs w:val="16"/>
              </w:rPr>
              <w:t xml:space="preserve"> </w:t>
            </w:r>
            <w:r w:rsidRPr="00033E1A">
              <w:rPr>
                <w:rFonts w:hAnsi="Garamond"/>
                <w:b/>
                <w:bCs/>
                <w:sz w:val="16"/>
                <w:szCs w:val="16"/>
              </w:rPr>
              <w:t>конкретному</w:t>
            </w:r>
            <w:r w:rsidRPr="00033E1A">
              <w:rPr>
                <w:rFonts w:hAnsi="Garamond"/>
                <w:b/>
                <w:bCs/>
                <w:sz w:val="16"/>
                <w:szCs w:val="16"/>
              </w:rPr>
              <w:t xml:space="preserve"> </w:t>
            </w:r>
            <w:r w:rsidRPr="00033E1A">
              <w:rPr>
                <w:rFonts w:hAnsi="Garamond"/>
                <w:b/>
                <w:bCs/>
                <w:sz w:val="16"/>
                <w:szCs w:val="16"/>
              </w:rPr>
              <w:t>параметру</w:t>
            </w:r>
            <w:r w:rsidRPr="00033E1A">
              <w:rPr>
                <w:rFonts w:hAnsi="Garamond"/>
                <w:b/>
                <w:bCs/>
                <w:sz w:val="16"/>
                <w:szCs w:val="16"/>
              </w:rPr>
              <w:t xml:space="preserve"> </w:t>
            </w:r>
            <w:r w:rsidRPr="00033E1A">
              <w:rPr>
                <w:rFonts w:hAnsi="Garamond"/>
                <w:b/>
                <w:bCs/>
                <w:sz w:val="16"/>
                <w:szCs w:val="16"/>
              </w:rPr>
              <w:t>в</w:t>
            </w:r>
            <w:r w:rsidRPr="00033E1A">
              <w:rPr>
                <w:rFonts w:hAnsi="Garamond"/>
                <w:b/>
                <w:bCs/>
                <w:sz w:val="16"/>
                <w:szCs w:val="16"/>
              </w:rPr>
              <w:t xml:space="preserve"> </w:t>
            </w:r>
            <w:r w:rsidRPr="00033E1A">
              <w:rPr>
                <w:rFonts w:hAnsi="Garamond"/>
                <w:b/>
                <w:bCs/>
                <w:sz w:val="16"/>
                <w:szCs w:val="16"/>
              </w:rPr>
              <w:t>зависимости</w:t>
            </w:r>
            <w:r w:rsidRPr="004D7191">
              <w:rPr>
                <w:rFonts w:hAnsi="Garamond"/>
                <w:b/>
                <w:bCs/>
                <w:sz w:val="16"/>
                <w:szCs w:val="16"/>
              </w:rPr>
              <w:t xml:space="preserve"> </w:t>
            </w:r>
            <w:r w:rsidRPr="004D7191">
              <w:rPr>
                <w:rFonts w:hAnsi="Garamond"/>
                <w:b/>
                <w:bCs/>
                <w:sz w:val="16"/>
                <w:szCs w:val="16"/>
              </w:rPr>
              <w:t>от</w:t>
            </w:r>
            <w:r w:rsidRPr="004D7191">
              <w:rPr>
                <w:rFonts w:hAnsi="Garamond"/>
                <w:b/>
                <w:bCs/>
                <w:sz w:val="16"/>
                <w:szCs w:val="16"/>
              </w:rPr>
              <w:t xml:space="preserve"> </w:t>
            </w:r>
            <w:r w:rsidRPr="004D7191">
              <w:rPr>
                <w:rFonts w:hAnsi="Garamond"/>
                <w:b/>
                <w:bCs/>
                <w:sz w:val="16"/>
                <w:szCs w:val="16"/>
              </w:rPr>
              <w:t>класса</w:t>
            </w:r>
            <w:r w:rsidRPr="004D7191">
              <w:rPr>
                <w:rFonts w:hAnsi="Garamond"/>
                <w:b/>
                <w:bCs/>
                <w:sz w:val="16"/>
                <w:szCs w:val="16"/>
              </w:rPr>
              <w:t xml:space="preserve"> </w:t>
            </w:r>
            <w:r w:rsidRPr="004D7191">
              <w:rPr>
                <w:rFonts w:hAnsi="Garamond"/>
                <w:b/>
                <w:bCs/>
                <w:sz w:val="16"/>
                <w:szCs w:val="16"/>
              </w:rPr>
              <w:t>соответствия</w:t>
            </w:r>
            <w:r w:rsidRPr="004D7191">
              <w:rPr>
                <w:rFonts w:hAnsi="Garamond"/>
                <w:b/>
                <w:bCs/>
                <w:sz w:val="16"/>
                <w:szCs w:val="16"/>
              </w:rPr>
              <w:t xml:space="preserve"> </w:t>
            </w:r>
            <w:r w:rsidRPr="004D7191">
              <w:rPr>
                <w:rFonts w:hAnsi="Garamond"/>
                <w:b/>
                <w:bCs/>
                <w:sz w:val="16"/>
                <w:szCs w:val="16"/>
              </w:rPr>
              <w:t>АИИС</w:t>
            </w:r>
            <w:r w:rsidRPr="004D7191">
              <w:rPr>
                <w:rFonts w:hAnsi="Garamond"/>
                <w:b/>
                <w:bCs/>
                <w:sz w:val="16"/>
                <w:szCs w:val="16"/>
              </w:rPr>
              <w:t xml:space="preserve"> </w:t>
            </w:r>
            <w:r w:rsidRPr="004D7191">
              <w:rPr>
                <w:rFonts w:hAnsi="Garamond"/>
                <w:b/>
                <w:bCs/>
                <w:sz w:val="16"/>
                <w:szCs w:val="16"/>
              </w:rPr>
              <w:t>КУЭ</w:t>
            </w:r>
          </w:p>
        </w:tc>
      </w:tr>
      <w:tr w:rsidR="004B3B82" w14:paraId="63152001" w14:textId="77777777" w:rsidTr="00CD3B05">
        <w:trPr>
          <w:trHeight w:val="250"/>
          <w:tblHeader/>
          <w:jc w:val="center"/>
        </w:trPr>
        <w:tc>
          <w:tcPr>
            <w:tcW w:w="498" w:type="dxa"/>
            <w:vMerge/>
            <w:tcBorders>
              <w:top w:val="single" w:sz="4" w:space="0" w:color="000000"/>
              <w:left w:val="single" w:sz="4" w:space="0" w:color="000000"/>
              <w:bottom w:val="single" w:sz="4" w:space="0" w:color="000000"/>
              <w:right w:val="single" w:sz="4" w:space="0" w:color="000000"/>
            </w:tcBorders>
            <w:shd w:val="clear" w:color="auto" w:fill="auto"/>
          </w:tcPr>
          <w:p w14:paraId="4B219D8B" w14:textId="77777777" w:rsidR="004B3B82" w:rsidRDefault="004B3B82" w:rsidP="00CD3B05"/>
        </w:tc>
        <w:tc>
          <w:tcPr>
            <w:tcW w:w="912" w:type="dxa"/>
            <w:vMerge/>
            <w:tcBorders>
              <w:top w:val="single" w:sz="4" w:space="0" w:color="000000"/>
              <w:left w:val="single" w:sz="4" w:space="0" w:color="000000"/>
              <w:bottom w:val="single" w:sz="4" w:space="0" w:color="000000"/>
              <w:right w:val="single" w:sz="4" w:space="0" w:color="000000"/>
            </w:tcBorders>
            <w:shd w:val="clear" w:color="auto" w:fill="auto"/>
          </w:tcPr>
          <w:p w14:paraId="63A5B622" w14:textId="77777777" w:rsidR="004B3B82" w:rsidRDefault="004B3B82" w:rsidP="00CD3B05"/>
        </w:tc>
        <w:tc>
          <w:tcPr>
            <w:tcW w:w="5751" w:type="dxa"/>
            <w:vMerge/>
            <w:tcBorders>
              <w:top w:val="single" w:sz="4" w:space="0" w:color="000000"/>
              <w:left w:val="single" w:sz="4" w:space="0" w:color="000000"/>
              <w:bottom w:val="single" w:sz="4" w:space="0" w:color="000000"/>
              <w:right w:val="single" w:sz="4" w:space="0" w:color="000000"/>
            </w:tcBorders>
            <w:shd w:val="clear" w:color="auto" w:fill="auto"/>
          </w:tcPr>
          <w:p w14:paraId="674931FB" w14:textId="77777777" w:rsidR="004B3B82" w:rsidRDefault="004B3B82" w:rsidP="00CD3B05"/>
        </w:tc>
        <w:tc>
          <w:tcPr>
            <w:tcW w:w="1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E0F5F25" w14:textId="77777777" w:rsidR="004B3B82" w:rsidRDefault="004B3B82" w:rsidP="00CD3B05">
            <w:pPr>
              <w:jc w:val="center"/>
            </w:pPr>
            <w:r w:rsidRPr="004D7191">
              <w:rPr>
                <w:rFonts w:hAnsi="Garamond"/>
                <w:b/>
                <w:bCs/>
              </w:rPr>
              <w:t>А</w:t>
            </w:r>
          </w:p>
        </w:tc>
        <w:tc>
          <w:tcPr>
            <w:tcW w:w="1200" w:type="dxa"/>
            <w:tcBorders>
              <w:top w:val="single" w:sz="4" w:space="0" w:color="000000"/>
              <w:left w:val="single" w:sz="4" w:space="0" w:color="000000"/>
              <w:bottom w:val="single" w:sz="4" w:space="0" w:color="000000"/>
              <w:right w:val="single" w:sz="4" w:space="0" w:color="000000"/>
            </w:tcBorders>
            <w:vAlign w:val="center"/>
          </w:tcPr>
          <w:p w14:paraId="2EC1FD09" w14:textId="77777777" w:rsidR="004B3B82" w:rsidRPr="004D7191" w:rsidRDefault="004B3B82" w:rsidP="00CD3B05">
            <w:pPr>
              <w:jc w:val="center"/>
              <w:rPr>
                <w:rFonts w:hAnsi="Garamond"/>
                <w:b/>
                <w:bCs/>
              </w:rPr>
            </w:pPr>
            <w:r w:rsidRPr="004D7191">
              <w:rPr>
                <w:rFonts w:ascii="Garamond"/>
                <w:b/>
                <w:bCs/>
                <w:lang w:val="en-US"/>
              </w:rPr>
              <w:t>N</w:t>
            </w:r>
          </w:p>
        </w:tc>
      </w:tr>
      <w:tr w:rsidR="004B3B82" w14:paraId="6A7C8F02" w14:textId="77777777" w:rsidTr="00CD3B05">
        <w:trPr>
          <w:trHeight w:val="250"/>
          <w:jc w:val="center"/>
        </w:trPr>
        <w:tc>
          <w:tcPr>
            <w:tcW w:w="4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C79A91F" w14:textId="77777777" w:rsidR="004B3B82" w:rsidRDefault="004B3B82" w:rsidP="00CD3B05"/>
        </w:tc>
        <w:tc>
          <w:tcPr>
            <w:tcW w:w="91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259CD2D" w14:textId="77777777" w:rsidR="004B3B82" w:rsidRDefault="004B3B82" w:rsidP="00CD3B05"/>
        </w:tc>
        <w:tc>
          <w:tcPr>
            <w:tcW w:w="57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A20F2B0" w14:textId="77777777" w:rsidR="004B3B82" w:rsidRDefault="004B3B82" w:rsidP="00CD3B05">
            <w:r>
              <w:rPr>
                <w:rFonts w:ascii="Garamond"/>
                <w:b/>
                <w:bCs/>
              </w:rPr>
              <w:t>1</w:t>
            </w:r>
            <w:r w:rsidRPr="004D7191">
              <w:rPr>
                <w:rFonts w:ascii="Garamond"/>
                <w:b/>
                <w:bCs/>
              </w:rPr>
              <w:t xml:space="preserve">. </w:t>
            </w:r>
            <w:r w:rsidRPr="004D7191">
              <w:rPr>
                <w:rFonts w:hAnsi="Garamond"/>
                <w:b/>
                <w:bCs/>
              </w:rPr>
              <w:t>ЗАЩИЩЕННОСТЬ</w:t>
            </w:r>
          </w:p>
        </w:tc>
        <w:tc>
          <w:tcPr>
            <w:tcW w:w="1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D0B44C0" w14:textId="77777777" w:rsidR="004B3B82" w:rsidRDefault="004B3B82" w:rsidP="00CD3B05"/>
        </w:tc>
        <w:tc>
          <w:tcPr>
            <w:tcW w:w="1200" w:type="dxa"/>
            <w:tcBorders>
              <w:top w:val="single" w:sz="4" w:space="0" w:color="000000"/>
              <w:left w:val="single" w:sz="4" w:space="0" w:color="000000"/>
              <w:bottom w:val="single" w:sz="4" w:space="0" w:color="000000"/>
              <w:right w:val="single" w:sz="4" w:space="0" w:color="000000"/>
            </w:tcBorders>
          </w:tcPr>
          <w:p w14:paraId="04592211" w14:textId="77777777" w:rsidR="004B3B82" w:rsidRDefault="004B3B82" w:rsidP="00CD3B05"/>
        </w:tc>
      </w:tr>
      <w:tr w:rsidR="004B3B82" w14:paraId="7116239E" w14:textId="77777777" w:rsidTr="00CD3B05">
        <w:trPr>
          <w:trHeight w:val="490"/>
          <w:jc w:val="center"/>
        </w:trPr>
        <w:tc>
          <w:tcPr>
            <w:tcW w:w="4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7873FB4" w14:textId="77777777" w:rsidR="004B3B82" w:rsidRPr="007B5E5A" w:rsidRDefault="004B3B82" w:rsidP="00CD3B05">
            <w:pPr>
              <w:jc w:val="center"/>
              <w:rPr>
                <w:rFonts w:ascii="Garamond" w:hAnsi="Garamond"/>
              </w:rPr>
            </w:pPr>
            <w:r w:rsidRPr="007B5E5A">
              <w:rPr>
                <w:rFonts w:ascii="Garamond" w:hAnsi="Garamond"/>
              </w:rPr>
              <w:t>1</w:t>
            </w:r>
          </w:p>
        </w:tc>
        <w:tc>
          <w:tcPr>
            <w:tcW w:w="91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AA3BF86" w14:textId="77777777" w:rsidR="004B3B82" w:rsidRPr="0057513B" w:rsidRDefault="004B3B82" w:rsidP="00CD3B05">
            <w:pPr>
              <w:jc w:val="center"/>
            </w:pPr>
            <w:r w:rsidRPr="0057513B">
              <w:rPr>
                <w:rFonts w:hAnsi="Garamond"/>
              </w:rPr>
              <w:t>П</w:t>
            </w:r>
            <w:r w:rsidRPr="0057513B">
              <w:rPr>
                <w:rFonts w:hAnsi="Garamond"/>
                <w:vertAlign w:val="subscript"/>
              </w:rPr>
              <w:t>З</w:t>
            </w:r>
            <w:r w:rsidRPr="0057513B">
              <w:rPr>
                <w:rFonts w:ascii="Garamond"/>
                <w:vertAlign w:val="subscript"/>
              </w:rPr>
              <w:t>13</w:t>
            </w:r>
          </w:p>
        </w:tc>
        <w:tc>
          <w:tcPr>
            <w:tcW w:w="57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F73711" w14:textId="77777777" w:rsidR="004B3B82" w:rsidRDefault="004B3B82" w:rsidP="00CD3B05">
            <w:pPr>
              <w:ind w:left="34"/>
            </w:pPr>
            <w:r w:rsidRPr="004D7191">
              <w:rPr>
                <w:rFonts w:hAnsi="Garamond"/>
              </w:rPr>
              <w:t>Защита</w:t>
            </w:r>
            <w:r w:rsidRPr="004D7191">
              <w:rPr>
                <w:rFonts w:hAnsi="Garamond"/>
              </w:rPr>
              <w:t xml:space="preserve"> </w:t>
            </w:r>
            <w:r w:rsidRPr="004D7191">
              <w:rPr>
                <w:rFonts w:hAnsi="Garamond"/>
              </w:rPr>
              <w:t>информации</w:t>
            </w:r>
            <w:r w:rsidRPr="004D7191">
              <w:rPr>
                <w:rFonts w:hAnsi="Garamond"/>
              </w:rPr>
              <w:t xml:space="preserve"> </w:t>
            </w:r>
            <w:r w:rsidRPr="004D7191">
              <w:rPr>
                <w:rFonts w:hAnsi="Garamond"/>
              </w:rPr>
              <w:t>на</w:t>
            </w:r>
            <w:r w:rsidRPr="004D7191">
              <w:rPr>
                <w:rFonts w:hAnsi="Garamond"/>
              </w:rPr>
              <w:t xml:space="preserve"> </w:t>
            </w:r>
            <w:r w:rsidRPr="004D7191">
              <w:rPr>
                <w:rFonts w:hAnsi="Garamond"/>
              </w:rPr>
              <w:t>программном</w:t>
            </w:r>
            <w:r w:rsidRPr="004D7191">
              <w:rPr>
                <w:rFonts w:hAnsi="Garamond"/>
              </w:rPr>
              <w:t xml:space="preserve"> </w:t>
            </w:r>
            <w:r w:rsidRPr="004D7191">
              <w:rPr>
                <w:rFonts w:hAnsi="Garamond"/>
              </w:rPr>
              <w:t>уровне</w:t>
            </w:r>
            <w:r w:rsidRPr="004D7191">
              <w:rPr>
                <w:rFonts w:hAnsi="Garamond"/>
              </w:rPr>
              <w:t xml:space="preserve"> </w:t>
            </w:r>
            <w:r w:rsidRPr="004D7191">
              <w:rPr>
                <w:rFonts w:hAnsi="Garamond"/>
              </w:rPr>
              <w:t>при</w:t>
            </w:r>
            <w:r w:rsidRPr="004D7191">
              <w:rPr>
                <w:rFonts w:hAnsi="Garamond"/>
              </w:rPr>
              <w:t xml:space="preserve"> </w:t>
            </w:r>
            <w:r w:rsidRPr="004D7191">
              <w:rPr>
                <w:rFonts w:hAnsi="Garamond"/>
              </w:rPr>
              <w:t>параметрировании</w:t>
            </w:r>
            <w:r w:rsidRPr="004D7191">
              <w:rPr>
                <w:rFonts w:hAnsi="Garamond"/>
              </w:rPr>
              <w:t xml:space="preserve"> </w:t>
            </w:r>
            <w:r w:rsidRPr="004D7191">
              <w:rPr>
                <w:rFonts w:hAnsi="Garamond"/>
              </w:rPr>
              <w:t>–</w:t>
            </w:r>
            <w:r w:rsidRPr="004D7191">
              <w:rPr>
                <w:rFonts w:hAnsi="Garamond"/>
              </w:rPr>
              <w:t xml:space="preserve"> </w:t>
            </w:r>
            <w:r w:rsidRPr="004D7191">
              <w:rPr>
                <w:rFonts w:hAnsi="Garamond"/>
              </w:rPr>
              <w:t>установка</w:t>
            </w:r>
            <w:r w:rsidRPr="004D7191">
              <w:rPr>
                <w:rFonts w:hAnsi="Garamond"/>
              </w:rPr>
              <w:t xml:space="preserve"> </w:t>
            </w:r>
            <w:r w:rsidRPr="004D7191">
              <w:rPr>
                <w:rFonts w:hAnsi="Garamond"/>
              </w:rPr>
              <w:t>пароля</w:t>
            </w:r>
            <w:r w:rsidRPr="004D7191">
              <w:rPr>
                <w:rFonts w:hAnsi="Garamond"/>
              </w:rPr>
              <w:t xml:space="preserve"> </w:t>
            </w:r>
            <w:r w:rsidRPr="004D7191">
              <w:rPr>
                <w:rFonts w:hAnsi="Garamond"/>
              </w:rPr>
              <w:t>на</w:t>
            </w:r>
            <w:r w:rsidRPr="004D7191">
              <w:rPr>
                <w:rFonts w:hAnsi="Garamond"/>
              </w:rPr>
              <w:t xml:space="preserve"> </w:t>
            </w:r>
            <w:r w:rsidRPr="005D1011">
              <w:rPr>
                <w:rFonts w:hAnsi="Garamond"/>
                <w:highlight w:val="yellow"/>
              </w:rPr>
              <w:t>счетчик</w:t>
            </w:r>
          </w:p>
        </w:tc>
        <w:tc>
          <w:tcPr>
            <w:tcW w:w="1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5087AA4" w14:textId="77777777" w:rsidR="004B3B82" w:rsidRDefault="004B3B82" w:rsidP="00CD3B05">
            <w:pPr>
              <w:jc w:val="center"/>
            </w:pPr>
            <w:r w:rsidRPr="004D7191">
              <w:rPr>
                <w:rFonts w:hAnsi="Garamond"/>
              </w:rPr>
              <w:t>Да</w:t>
            </w:r>
          </w:p>
        </w:tc>
        <w:tc>
          <w:tcPr>
            <w:tcW w:w="1200" w:type="dxa"/>
            <w:tcBorders>
              <w:top w:val="single" w:sz="4" w:space="0" w:color="000000"/>
              <w:left w:val="single" w:sz="4" w:space="0" w:color="000000"/>
              <w:bottom w:val="single" w:sz="4" w:space="0" w:color="000000"/>
              <w:right w:val="single" w:sz="4" w:space="0" w:color="000000"/>
            </w:tcBorders>
            <w:vAlign w:val="center"/>
          </w:tcPr>
          <w:p w14:paraId="2155BBE6" w14:textId="77777777" w:rsidR="004B3B82" w:rsidRDefault="004B3B82" w:rsidP="00CD3B05">
            <w:pPr>
              <w:jc w:val="center"/>
            </w:pPr>
            <w:r w:rsidRPr="004D7191">
              <w:rPr>
                <w:rFonts w:hAnsi="Garamond"/>
              </w:rPr>
              <w:t>Да</w:t>
            </w:r>
          </w:p>
        </w:tc>
      </w:tr>
      <w:tr w:rsidR="004B3B82" w14:paraId="2D3825BD" w14:textId="77777777" w:rsidTr="00CD3B05">
        <w:trPr>
          <w:trHeight w:val="490"/>
          <w:jc w:val="center"/>
        </w:trPr>
        <w:tc>
          <w:tcPr>
            <w:tcW w:w="4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9616605" w14:textId="77777777" w:rsidR="004B3B82" w:rsidRPr="007B5E5A" w:rsidRDefault="004B3B82" w:rsidP="00CD3B05">
            <w:pPr>
              <w:jc w:val="center"/>
              <w:rPr>
                <w:rFonts w:ascii="Garamond" w:hAnsi="Garamond"/>
              </w:rPr>
            </w:pPr>
            <w:r w:rsidRPr="007B5E5A">
              <w:rPr>
                <w:rFonts w:ascii="Garamond" w:hAnsi="Garamond"/>
              </w:rPr>
              <w:t>2</w:t>
            </w:r>
          </w:p>
        </w:tc>
        <w:tc>
          <w:tcPr>
            <w:tcW w:w="91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893D750" w14:textId="77777777" w:rsidR="004B3B82" w:rsidRPr="0057513B" w:rsidRDefault="004B3B82" w:rsidP="00CD3B05">
            <w:pPr>
              <w:jc w:val="center"/>
            </w:pPr>
            <w:r w:rsidRPr="0057513B">
              <w:rPr>
                <w:rFonts w:hAnsi="Garamond"/>
              </w:rPr>
              <w:t>П</w:t>
            </w:r>
            <w:r w:rsidRPr="0057513B">
              <w:rPr>
                <w:rFonts w:hAnsi="Garamond"/>
                <w:vertAlign w:val="subscript"/>
              </w:rPr>
              <w:t>З</w:t>
            </w:r>
            <w:r w:rsidRPr="0057513B">
              <w:rPr>
                <w:rFonts w:ascii="Garamond"/>
                <w:vertAlign w:val="subscript"/>
              </w:rPr>
              <w:t>14</w:t>
            </w:r>
          </w:p>
        </w:tc>
        <w:tc>
          <w:tcPr>
            <w:tcW w:w="57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AB7D787" w14:textId="77777777" w:rsidR="004B3B82" w:rsidRDefault="004B3B82" w:rsidP="00CD3B05">
            <w:pPr>
              <w:ind w:left="34"/>
            </w:pPr>
            <w:r w:rsidRPr="004D7191">
              <w:rPr>
                <w:rFonts w:hAnsi="Garamond"/>
              </w:rPr>
              <w:t>Защита</w:t>
            </w:r>
            <w:r w:rsidRPr="004D7191">
              <w:rPr>
                <w:rFonts w:hAnsi="Garamond"/>
              </w:rPr>
              <w:t xml:space="preserve"> </w:t>
            </w:r>
            <w:r w:rsidRPr="004D7191">
              <w:rPr>
                <w:rFonts w:hAnsi="Garamond"/>
              </w:rPr>
              <w:t>информации</w:t>
            </w:r>
            <w:r w:rsidRPr="004D7191">
              <w:rPr>
                <w:rFonts w:hAnsi="Garamond"/>
              </w:rPr>
              <w:t xml:space="preserve"> </w:t>
            </w:r>
            <w:r w:rsidRPr="004D7191">
              <w:rPr>
                <w:rFonts w:hAnsi="Garamond"/>
              </w:rPr>
              <w:t>на</w:t>
            </w:r>
            <w:r w:rsidRPr="004D7191">
              <w:rPr>
                <w:rFonts w:hAnsi="Garamond"/>
              </w:rPr>
              <w:t xml:space="preserve"> </w:t>
            </w:r>
            <w:r w:rsidRPr="004D7191">
              <w:rPr>
                <w:rFonts w:hAnsi="Garamond"/>
              </w:rPr>
              <w:t>программном</w:t>
            </w:r>
            <w:r w:rsidRPr="004D7191">
              <w:rPr>
                <w:rFonts w:hAnsi="Garamond"/>
              </w:rPr>
              <w:t xml:space="preserve"> </w:t>
            </w:r>
            <w:r w:rsidRPr="004D7191">
              <w:rPr>
                <w:rFonts w:hAnsi="Garamond"/>
              </w:rPr>
              <w:t>уровне</w:t>
            </w:r>
            <w:r w:rsidRPr="004D7191">
              <w:rPr>
                <w:rFonts w:hAnsi="Garamond"/>
              </w:rPr>
              <w:t xml:space="preserve"> </w:t>
            </w:r>
            <w:r w:rsidRPr="004D7191">
              <w:rPr>
                <w:rFonts w:hAnsi="Garamond"/>
              </w:rPr>
              <w:t>при</w:t>
            </w:r>
            <w:r w:rsidRPr="004D7191">
              <w:rPr>
                <w:rFonts w:hAnsi="Garamond"/>
              </w:rPr>
              <w:t xml:space="preserve"> </w:t>
            </w:r>
            <w:r w:rsidRPr="004D7191">
              <w:rPr>
                <w:rFonts w:hAnsi="Garamond"/>
              </w:rPr>
              <w:t>параметрировании</w:t>
            </w:r>
            <w:r w:rsidRPr="004D7191">
              <w:rPr>
                <w:rFonts w:hAnsi="Garamond"/>
              </w:rPr>
              <w:t xml:space="preserve"> </w:t>
            </w:r>
            <w:r w:rsidRPr="004D7191">
              <w:rPr>
                <w:rFonts w:hAnsi="Garamond"/>
              </w:rPr>
              <w:t>–</w:t>
            </w:r>
            <w:r w:rsidRPr="004D7191">
              <w:rPr>
                <w:rFonts w:hAnsi="Garamond"/>
              </w:rPr>
              <w:t xml:space="preserve"> </w:t>
            </w:r>
            <w:r w:rsidRPr="004D7191">
              <w:rPr>
                <w:rFonts w:hAnsi="Garamond"/>
              </w:rPr>
              <w:t>установка</w:t>
            </w:r>
            <w:r w:rsidRPr="004D7191">
              <w:rPr>
                <w:rFonts w:hAnsi="Garamond"/>
              </w:rPr>
              <w:t xml:space="preserve"> </w:t>
            </w:r>
            <w:r w:rsidRPr="004D7191">
              <w:rPr>
                <w:rFonts w:hAnsi="Garamond"/>
              </w:rPr>
              <w:t>пароля</w:t>
            </w:r>
            <w:r w:rsidRPr="004D7191">
              <w:rPr>
                <w:rFonts w:hAnsi="Garamond"/>
              </w:rPr>
              <w:t xml:space="preserve"> </w:t>
            </w:r>
            <w:r w:rsidRPr="004D7191">
              <w:rPr>
                <w:rFonts w:hAnsi="Garamond"/>
              </w:rPr>
              <w:t>на</w:t>
            </w:r>
            <w:r w:rsidRPr="004D7191">
              <w:rPr>
                <w:rFonts w:hAnsi="Garamond"/>
              </w:rPr>
              <w:t xml:space="preserve"> </w:t>
            </w:r>
            <w:r w:rsidRPr="004D7191">
              <w:rPr>
                <w:rFonts w:hAnsi="Garamond"/>
              </w:rPr>
              <w:t>УСПД</w:t>
            </w:r>
          </w:p>
        </w:tc>
        <w:tc>
          <w:tcPr>
            <w:tcW w:w="1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9D42A1E" w14:textId="77777777" w:rsidR="004B3B82" w:rsidRDefault="004B3B82" w:rsidP="00CD3B05">
            <w:pPr>
              <w:jc w:val="center"/>
            </w:pPr>
            <w:r w:rsidRPr="004D7191">
              <w:rPr>
                <w:rFonts w:hAnsi="Garamond"/>
              </w:rPr>
              <w:t>Да</w:t>
            </w:r>
          </w:p>
        </w:tc>
        <w:tc>
          <w:tcPr>
            <w:tcW w:w="1200" w:type="dxa"/>
            <w:tcBorders>
              <w:top w:val="single" w:sz="4" w:space="0" w:color="000000"/>
              <w:left w:val="single" w:sz="4" w:space="0" w:color="000000"/>
              <w:bottom w:val="single" w:sz="4" w:space="0" w:color="000000"/>
              <w:right w:val="single" w:sz="4" w:space="0" w:color="000000"/>
            </w:tcBorders>
            <w:vAlign w:val="center"/>
          </w:tcPr>
          <w:p w14:paraId="2B606CBC" w14:textId="77777777" w:rsidR="004B3B82" w:rsidRDefault="004B3B82" w:rsidP="00CD3B05">
            <w:pPr>
              <w:jc w:val="center"/>
            </w:pPr>
            <w:r w:rsidRPr="004D7191">
              <w:rPr>
                <w:rFonts w:hAnsi="Garamond"/>
              </w:rPr>
              <w:t>Да</w:t>
            </w:r>
          </w:p>
        </w:tc>
      </w:tr>
      <w:tr w:rsidR="004B3B82" w14:paraId="54847333" w14:textId="77777777" w:rsidTr="00CD3B05">
        <w:trPr>
          <w:trHeight w:val="490"/>
          <w:jc w:val="center"/>
        </w:trPr>
        <w:tc>
          <w:tcPr>
            <w:tcW w:w="4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E0C9B66" w14:textId="77777777" w:rsidR="004B3B82" w:rsidRPr="007B5E5A" w:rsidRDefault="004B3B82" w:rsidP="00CD3B05">
            <w:pPr>
              <w:jc w:val="center"/>
              <w:rPr>
                <w:rFonts w:ascii="Garamond" w:hAnsi="Garamond"/>
              </w:rPr>
            </w:pPr>
            <w:r w:rsidRPr="007B5E5A">
              <w:rPr>
                <w:rFonts w:ascii="Garamond" w:hAnsi="Garamond"/>
              </w:rPr>
              <w:t>3</w:t>
            </w:r>
          </w:p>
        </w:tc>
        <w:tc>
          <w:tcPr>
            <w:tcW w:w="91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4B28CCC" w14:textId="77777777" w:rsidR="004B3B82" w:rsidRPr="0057513B" w:rsidRDefault="004B3B82" w:rsidP="00CD3B05">
            <w:pPr>
              <w:jc w:val="center"/>
            </w:pPr>
            <w:r w:rsidRPr="0057513B">
              <w:rPr>
                <w:rFonts w:hAnsi="Garamond"/>
              </w:rPr>
              <w:t>П</w:t>
            </w:r>
            <w:r w:rsidRPr="0057513B">
              <w:rPr>
                <w:rFonts w:hAnsi="Garamond"/>
                <w:vertAlign w:val="subscript"/>
              </w:rPr>
              <w:t>З</w:t>
            </w:r>
            <w:r w:rsidRPr="0057513B">
              <w:rPr>
                <w:rFonts w:ascii="Garamond"/>
                <w:vertAlign w:val="subscript"/>
              </w:rPr>
              <w:t>15</w:t>
            </w:r>
          </w:p>
        </w:tc>
        <w:tc>
          <w:tcPr>
            <w:tcW w:w="57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0D0216F" w14:textId="77777777" w:rsidR="004B3B82" w:rsidRDefault="004B3B82" w:rsidP="00CD3B05">
            <w:pPr>
              <w:ind w:left="34"/>
            </w:pPr>
            <w:r w:rsidRPr="004D7191">
              <w:rPr>
                <w:rFonts w:hAnsi="Garamond"/>
              </w:rPr>
              <w:t>Защита</w:t>
            </w:r>
            <w:r w:rsidRPr="004D7191">
              <w:rPr>
                <w:rFonts w:hAnsi="Garamond"/>
              </w:rPr>
              <w:t xml:space="preserve"> </w:t>
            </w:r>
            <w:r w:rsidRPr="004D7191">
              <w:rPr>
                <w:rFonts w:hAnsi="Garamond"/>
              </w:rPr>
              <w:t>информации</w:t>
            </w:r>
            <w:r w:rsidRPr="004D7191">
              <w:rPr>
                <w:rFonts w:hAnsi="Garamond"/>
              </w:rPr>
              <w:t xml:space="preserve"> </w:t>
            </w:r>
            <w:r w:rsidRPr="004D7191">
              <w:rPr>
                <w:rFonts w:hAnsi="Garamond"/>
              </w:rPr>
              <w:t>на</w:t>
            </w:r>
            <w:r w:rsidRPr="004D7191">
              <w:rPr>
                <w:rFonts w:hAnsi="Garamond"/>
              </w:rPr>
              <w:t xml:space="preserve"> </w:t>
            </w:r>
            <w:r w:rsidRPr="004D7191">
              <w:rPr>
                <w:rFonts w:hAnsi="Garamond"/>
              </w:rPr>
              <w:t>программном</w:t>
            </w:r>
            <w:r w:rsidRPr="004D7191">
              <w:rPr>
                <w:rFonts w:hAnsi="Garamond"/>
              </w:rPr>
              <w:t xml:space="preserve"> </w:t>
            </w:r>
            <w:r w:rsidRPr="004D7191">
              <w:rPr>
                <w:rFonts w:hAnsi="Garamond"/>
              </w:rPr>
              <w:t>уровне</w:t>
            </w:r>
            <w:r w:rsidRPr="004D7191">
              <w:rPr>
                <w:rFonts w:hAnsi="Garamond"/>
              </w:rPr>
              <w:t xml:space="preserve"> </w:t>
            </w:r>
            <w:r w:rsidRPr="004D7191">
              <w:rPr>
                <w:rFonts w:hAnsi="Garamond"/>
              </w:rPr>
              <w:t>при</w:t>
            </w:r>
            <w:r w:rsidRPr="004D7191">
              <w:rPr>
                <w:rFonts w:hAnsi="Garamond"/>
              </w:rPr>
              <w:t xml:space="preserve"> </w:t>
            </w:r>
            <w:r w:rsidRPr="004D7191">
              <w:rPr>
                <w:rFonts w:hAnsi="Garamond"/>
              </w:rPr>
              <w:t>параметрировании</w:t>
            </w:r>
            <w:r w:rsidRPr="004D7191">
              <w:rPr>
                <w:rFonts w:hAnsi="Garamond"/>
              </w:rPr>
              <w:t xml:space="preserve"> </w:t>
            </w:r>
            <w:r w:rsidRPr="004D7191">
              <w:rPr>
                <w:rFonts w:hAnsi="Garamond"/>
              </w:rPr>
              <w:t>–</w:t>
            </w:r>
            <w:r w:rsidRPr="004D7191">
              <w:rPr>
                <w:rFonts w:hAnsi="Garamond"/>
              </w:rPr>
              <w:t xml:space="preserve"> </w:t>
            </w:r>
            <w:r w:rsidRPr="004D7191">
              <w:rPr>
                <w:rFonts w:hAnsi="Garamond"/>
              </w:rPr>
              <w:t>установка</w:t>
            </w:r>
            <w:r w:rsidRPr="004D7191">
              <w:rPr>
                <w:rFonts w:hAnsi="Garamond"/>
              </w:rPr>
              <w:t xml:space="preserve"> </w:t>
            </w:r>
            <w:r w:rsidRPr="004D7191">
              <w:rPr>
                <w:rFonts w:hAnsi="Garamond"/>
              </w:rPr>
              <w:t>пароля</w:t>
            </w:r>
            <w:r w:rsidRPr="004D7191">
              <w:rPr>
                <w:rFonts w:hAnsi="Garamond"/>
              </w:rPr>
              <w:t xml:space="preserve"> </w:t>
            </w:r>
            <w:r w:rsidRPr="004D7191">
              <w:rPr>
                <w:rFonts w:hAnsi="Garamond"/>
              </w:rPr>
              <w:t>на</w:t>
            </w:r>
            <w:r w:rsidRPr="004D7191">
              <w:rPr>
                <w:rFonts w:hAnsi="Garamond"/>
              </w:rPr>
              <w:t xml:space="preserve"> </w:t>
            </w:r>
            <w:r w:rsidRPr="004D7191">
              <w:rPr>
                <w:rFonts w:hAnsi="Garamond"/>
              </w:rPr>
              <w:t>сервер</w:t>
            </w:r>
          </w:p>
        </w:tc>
        <w:tc>
          <w:tcPr>
            <w:tcW w:w="1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B9F896B" w14:textId="77777777" w:rsidR="004B3B82" w:rsidRDefault="004B3B82" w:rsidP="00CD3B05">
            <w:pPr>
              <w:jc w:val="center"/>
            </w:pPr>
            <w:r w:rsidRPr="004D7191">
              <w:rPr>
                <w:rFonts w:hAnsi="Garamond"/>
              </w:rPr>
              <w:t>Да</w:t>
            </w:r>
          </w:p>
        </w:tc>
        <w:tc>
          <w:tcPr>
            <w:tcW w:w="1200" w:type="dxa"/>
            <w:tcBorders>
              <w:top w:val="single" w:sz="4" w:space="0" w:color="000000"/>
              <w:left w:val="single" w:sz="4" w:space="0" w:color="000000"/>
              <w:bottom w:val="single" w:sz="4" w:space="0" w:color="000000"/>
              <w:right w:val="single" w:sz="4" w:space="0" w:color="000000"/>
            </w:tcBorders>
            <w:vAlign w:val="center"/>
          </w:tcPr>
          <w:p w14:paraId="3267D5DE" w14:textId="77777777" w:rsidR="004B3B82" w:rsidRDefault="004B3B82" w:rsidP="00CD3B05">
            <w:pPr>
              <w:jc w:val="center"/>
            </w:pPr>
            <w:r w:rsidRPr="004D7191">
              <w:rPr>
                <w:rFonts w:hAnsi="Garamond"/>
              </w:rPr>
              <w:t>Да</w:t>
            </w:r>
          </w:p>
        </w:tc>
      </w:tr>
      <w:tr w:rsidR="004B3B82" w14:paraId="0491AC38" w14:textId="77777777" w:rsidTr="00CD3B05">
        <w:trPr>
          <w:trHeight w:val="250"/>
          <w:jc w:val="center"/>
        </w:trPr>
        <w:tc>
          <w:tcPr>
            <w:tcW w:w="4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844454A" w14:textId="77777777" w:rsidR="004B3B82" w:rsidRPr="007B5E5A" w:rsidRDefault="004B3B82" w:rsidP="00CD3B05">
            <w:pPr>
              <w:jc w:val="center"/>
              <w:rPr>
                <w:rFonts w:ascii="Garamond" w:hAnsi="Garamond"/>
              </w:rPr>
            </w:pPr>
          </w:p>
        </w:tc>
        <w:tc>
          <w:tcPr>
            <w:tcW w:w="91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E2318F2" w14:textId="77777777" w:rsidR="004B3B82" w:rsidRPr="0057513B" w:rsidRDefault="004B3B82" w:rsidP="00CD3B05"/>
        </w:tc>
        <w:tc>
          <w:tcPr>
            <w:tcW w:w="57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380FFDD" w14:textId="77777777" w:rsidR="004B3B82" w:rsidRDefault="004B3B82" w:rsidP="00CD3B05">
            <w:r>
              <w:rPr>
                <w:rFonts w:ascii="Garamond"/>
                <w:b/>
                <w:bCs/>
              </w:rPr>
              <w:t>2</w:t>
            </w:r>
            <w:r w:rsidRPr="004D7191">
              <w:rPr>
                <w:rFonts w:ascii="Garamond"/>
                <w:b/>
                <w:bCs/>
              </w:rPr>
              <w:t xml:space="preserve">. </w:t>
            </w:r>
            <w:r w:rsidRPr="004D7191">
              <w:rPr>
                <w:rFonts w:hAnsi="Garamond"/>
                <w:b/>
                <w:bCs/>
              </w:rPr>
              <w:t>ФУНКЦИОНАЛЬНАЯ</w:t>
            </w:r>
            <w:r w:rsidRPr="004D7191">
              <w:rPr>
                <w:rFonts w:hAnsi="Garamond"/>
                <w:b/>
                <w:bCs/>
              </w:rPr>
              <w:t xml:space="preserve"> </w:t>
            </w:r>
            <w:r w:rsidRPr="004D7191">
              <w:rPr>
                <w:rFonts w:hAnsi="Garamond"/>
                <w:b/>
                <w:bCs/>
              </w:rPr>
              <w:t>ПОЛНОТА</w:t>
            </w:r>
          </w:p>
        </w:tc>
        <w:tc>
          <w:tcPr>
            <w:tcW w:w="1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6E4962F" w14:textId="77777777" w:rsidR="004B3B82" w:rsidRDefault="004B3B82" w:rsidP="00CD3B05"/>
        </w:tc>
        <w:tc>
          <w:tcPr>
            <w:tcW w:w="1200" w:type="dxa"/>
            <w:tcBorders>
              <w:top w:val="single" w:sz="4" w:space="0" w:color="000000"/>
              <w:left w:val="single" w:sz="4" w:space="0" w:color="000000"/>
              <w:bottom w:val="single" w:sz="4" w:space="0" w:color="000000"/>
              <w:right w:val="single" w:sz="4" w:space="0" w:color="000000"/>
            </w:tcBorders>
          </w:tcPr>
          <w:p w14:paraId="5A6234D5" w14:textId="77777777" w:rsidR="004B3B82" w:rsidRDefault="004B3B82" w:rsidP="00CD3B05"/>
        </w:tc>
      </w:tr>
      <w:tr w:rsidR="004B3B82" w:rsidRPr="00200E4D" w14:paraId="3CE014E5" w14:textId="77777777" w:rsidTr="00CD3B05">
        <w:trPr>
          <w:trHeight w:val="250"/>
          <w:jc w:val="center"/>
        </w:trPr>
        <w:tc>
          <w:tcPr>
            <w:tcW w:w="4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38895D7" w14:textId="77777777" w:rsidR="004B3B82" w:rsidRPr="007B5E5A" w:rsidRDefault="004B3B82" w:rsidP="00CD3B05">
            <w:pPr>
              <w:jc w:val="center"/>
              <w:rPr>
                <w:rFonts w:ascii="Garamond" w:hAnsi="Garamond"/>
              </w:rPr>
            </w:pPr>
            <w:r w:rsidRPr="007B5E5A">
              <w:rPr>
                <w:rFonts w:ascii="Garamond" w:hAnsi="Garamond"/>
              </w:rPr>
              <w:t>4</w:t>
            </w:r>
          </w:p>
        </w:tc>
        <w:tc>
          <w:tcPr>
            <w:tcW w:w="91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9E94D79" w14:textId="77777777" w:rsidR="004B3B82" w:rsidRPr="0057513B" w:rsidRDefault="004B3B82" w:rsidP="00CD3B05">
            <w:pPr>
              <w:jc w:val="center"/>
            </w:pPr>
            <w:r w:rsidRPr="0057513B">
              <w:rPr>
                <w:rFonts w:hAnsi="Garamond"/>
              </w:rPr>
              <w:t>П</w:t>
            </w:r>
            <w:r w:rsidRPr="0057513B">
              <w:rPr>
                <w:rFonts w:hAnsi="Garamond"/>
                <w:vertAlign w:val="subscript"/>
              </w:rPr>
              <w:t>Ф</w:t>
            </w:r>
            <w:r w:rsidRPr="0057513B">
              <w:rPr>
                <w:rFonts w:ascii="Garamond"/>
                <w:vertAlign w:val="subscript"/>
              </w:rPr>
              <w:t>2</w:t>
            </w:r>
          </w:p>
        </w:tc>
        <w:tc>
          <w:tcPr>
            <w:tcW w:w="57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64DD1CE" w14:textId="77777777" w:rsidR="004B3B82" w:rsidRPr="00200E4D" w:rsidRDefault="004B3B82" w:rsidP="00CD3B05">
            <w:pPr>
              <w:ind w:left="34"/>
            </w:pPr>
            <w:r w:rsidRPr="00200E4D">
              <w:rPr>
                <w:rFonts w:hAnsi="Garamond"/>
              </w:rPr>
              <w:t>Измерение</w:t>
            </w:r>
            <w:r w:rsidRPr="00200E4D">
              <w:rPr>
                <w:rFonts w:hAnsi="Garamond"/>
              </w:rPr>
              <w:t xml:space="preserve"> </w:t>
            </w:r>
            <w:r w:rsidRPr="00200E4D">
              <w:rPr>
                <w:rFonts w:hAnsi="Garamond"/>
              </w:rPr>
              <w:t>приращений</w:t>
            </w:r>
            <w:r w:rsidRPr="00200E4D">
              <w:rPr>
                <w:rFonts w:hAnsi="Garamond"/>
              </w:rPr>
              <w:t xml:space="preserve"> </w:t>
            </w:r>
            <w:r w:rsidRPr="00200E4D">
              <w:rPr>
                <w:rFonts w:hAnsi="Garamond"/>
              </w:rPr>
              <w:t>электроэнергии</w:t>
            </w:r>
          </w:p>
        </w:tc>
        <w:tc>
          <w:tcPr>
            <w:tcW w:w="1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276A42E" w14:textId="77777777" w:rsidR="004B3B82" w:rsidRPr="00200E4D" w:rsidRDefault="004B3B82" w:rsidP="00CD3B05">
            <w:pPr>
              <w:jc w:val="center"/>
            </w:pPr>
            <w:r w:rsidRPr="00200E4D">
              <w:rPr>
                <w:rFonts w:hAnsi="Garamond"/>
              </w:rPr>
              <w:t>Да</w:t>
            </w:r>
          </w:p>
        </w:tc>
        <w:tc>
          <w:tcPr>
            <w:tcW w:w="1200" w:type="dxa"/>
            <w:tcBorders>
              <w:top w:val="single" w:sz="4" w:space="0" w:color="000000"/>
              <w:left w:val="single" w:sz="4" w:space="0" w:color="000000"/>
              <w:bottom w:val="single" w:sz="4" w:space="0" w:color="000000"/>
              <w:right w:val="single" w:sz="4" w:space="0" w:color="000000"/>
            </w:tcBorders>
          </w:tcPr>
          <w:p w14:paraId="1C85321C" w14:textId="77777777" w:rsidR="004B3B82" w:rsidRPr="00200E4D" w:rsidRDefault="004B3B82" w:rsidP="00CD3B05">
            <w:pPr>
              <w:jc w:val="center"/>
              <w:rPr>
                <w:rFonts w:hAnsi="Garamond"/>
              </w:rPr>
            </w:pPr>
            <w:r w:rsidRPr="00200E4D">
              <w:rPr>
                <w:rFonts w:hAnsi="Garamond"/>
              </w:rPr>
              <w:t>Да</w:t>
            </w:r>
          </w:p>
        </w:tc>
      </w:tr>
      <w:tr w:rsidR="004B3B82" w14:paraId="1490D6F4" w14:textId="77777777" w:rsidTr="00CD3B05">
        <w:trPr>
          <w:trHeight w:val="250"/>
          <w:jc w:val="center"/>
        </w:trPr>
        <w:tc>
          <w:tcPr>
            <w:tcW w:w="4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B8E72EC" w14:textId="77777777" w:rsidR="004B3B82" w:rsidRPr="007B5E5A" w:rsidRDefault="004B3B82" w:rsidP="00CD3B05">
            <w:pPr>
              <w:jc w:val="center"/>
              <w:rPr>
                <w:rFonts w:ascii="Garamond" w:hAnsi="Garamond"/>
              </w:rPr>
            </w:pPr>
            <w:r w:rsidRPr="007B5E5A">
              <w:rPr>
                <w:rFonts w:ascii="Garamond" w:hAnsi="Garamond"/>
              </w:rPr>
              <w:t>5</w:t>
            </w:r>
          </w:p>
        </w:tc>
        <w:tc>
          <w:tcPr>
            <w:tcW w:w="91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2DBD0DB" w14:textId="77777777" w:rsidR="004B3B82" w:rsidRPr="0057513B" w:rsidRDefault="004B3B82" w:rsidP="00CD3B05">
            <w:pPr>
              <w:jc w:val="center"/>
            </w:pPr>
            <w:r w:rsidRPr="0057513B">
              <w:rPr>
                <w:rFonts w:hAnsi="Garamond"/>
              </w:rPr>
              <w:t>П</w:t>
            </w:r>
            <w:r w:rsidRPr="0057513B">
              <w:rPr>
                <w:rFonts w:hAnsi="Garamond"/>
                <w:vertAlign w:val="subscript"/>
              </w:rPr>
              <w:t>Ф</w:t>
            </w:r>
            <w:r w:rsidRPr="0057513B">
              <w:rPr>
                <w:rFonts w:ascii="Garamond"/>
                <w:vertAlign w:val="subscript"/>
              </w:rPr>
              <w:t>4</w:t>
            </w:r>
          </w:p>
        </w:tc>
        <w:tc>
          <w:tcPr>
            <w:tcW w:w="57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E8249E" w14:textId="77777777" w:rsidR="004B3B82" w:rsidRPr="00200E4D" w:rsidRDefault="004B3B82" w:rsidP="00CD3B05">
            <w:pPr>
              <w:ind w:left="34"/>
            </w:pPr>
            <w:r w:rsidRPr="00200E4D">
              <w:rPr>
                <w:rFonts w:hAnsi="Garamond"/>
              </w:rPr>
              <w:t>Измерение</w:t>
            </w:r>
            <w:r w:rsidRPr="00200E4D">
              <w:rPr>
                <w:rFonts w:hAnsi="Garamond"/>
              </w:rPr>
              <w:t xml:space="preserve"> </w:t>
            </w:r>
            <w:r w:rsidRPr="00200E4D">
              <w:rPr>
                <w:rFonts w:hAnsi="Garamond"/>
              </w:rPr>
              <w:t>времени</w:t>
            </w:r>
            <w:r w:rsidRPr="00200E4D">
              <w:rPr>
                <w:rFonts w:hAnsi="Garamond"/>
              </w:rPr>
              <w:t xml:space="preserve"> </w:t>
            </w:r>
            <w:r w:rsidRPr="00200E4D">
              <w:rPr>
                <w:rFonts w:hAnsi="Garamond"/>
              </w:rPr>
              <w:t>и</w:t>
            </w:r>
            <w:r w:rsidRPr="00200E4D">
              <w:rPr>
                <w:rFonts w:hAnsi="Garamond"/>
              </w:rPr>
              <w:t xml:space="preserve"> </w:t>
            </w:r>
            <w:r w:rsidRPr="00200E4D">
              <w:rPr>
                <w:rFonts w:hAnsi="Garamond"/>
              </w:rPr>
              <w:t>интервалов</w:t>
            </w:r>
            <w:r w:rsidRPr="00200E4D">
              <w:rPr>
                <w:rFonts w:hAnsi="Garamond"/>
              </w:rPr>
              <w:t xml:space="preserve"> </w:t>
            </w:r>
            <w:r w:rsidRPr="00200E4D">
              <w:rPr>
                <w:rFonts w:hAnsi="Garamond"/>
              </w:rPr>
              <w:t>времени</w:t>
            </w:r>
          </w:p>
        </w:tc>
        <w:tc>
          <w:tcPr>
            <w:tcW w:w="1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5D1B10B" w14:textId="77777777" w:rsidR="004B3B82" w:rsidRPr="006E3BEB" w:rsidRDefault="004B3B82" w:rsidP="00CD3B05">
            <w:pPr>
              <w:jc w:val="center"/>
            </w:pPr>
            <w:r w:rsidRPr="006E3BEB">
              <w:rPr>
                <w:rFonts w:hAnsi="Garamond"/>
              </w:rPr>
              <w:t>Да</w:t>
            </w:r>
            <w:r w:rsidRPr="006E3BEB">
              <w:rPr>
                <w:rFonts w:hAnsi="Garamond"/>
              </w:rPr>
              <w:t xml:space="preserve"> </w:t>
            </w:r>
            <w:r w:rsidRPr="006E3BEB">
              <w:rPr>
                <w:rFonts w:ascii="Garamond" w:hAnsi="Garamond"/>
              </w:rPr>
              <w:t>(см. примечание)</w:t>
            </w:r>
          </w:p>
        </w:tc>
        <w:tc>
          <w:tcPr>
            <w:tcW w:w="1200" w:type="dxa"/>
            <w:tcBorders>
              <w:top w:val="single" w:sz="4" w:space="0" w:color="000000"/>
              <w:left w:val="single" w:sz="4" w:space="0" w:color="000000"/>
              <w:bottom w:val="single" w:sz="4" w:space="0" w:color="000000"/>
              <w:right w:val="single" w:sz="4" w:space="0" w:color="000000"/>
            </w:tcBorders>
          </w:tcPr>
          <w:p w14:paraId="2881BF33" w14:textId="77777777" w:rsidR="004B3B82" w:rsidRPr="004D7191" w:rsidRDefault="004B3B82" w:rsidP="00CD3B05">
            <w:pPr>
              <w:jc w:val="center"/>
              <w:rPr>
                <w:rFonts w:hAnsi="Garamond"/>
              </w:rPr>
            </w:pPr>
            <w:r w:rsidRPr="00200E4D">
              <w:rPr>
                <w:rFonts w:hAnsi="Garamond"/>
                <w:lang w:val="en-US"/>
              </w:rPr>
              <w:t>Нет</w:t>
            </w:r>
          </w:p>
        </w:tc>
      </w:tr>
      <w:tr w:rsidR="004B3B82" w14:paraId="0EA714F6" w14:textId="77777777" w:rsidTr="00CD3B05">
        <w:trPr>
          <w:trHeight w:val="250"/>
          <w:jc w:val="center"/>
        </w:trPr>
        <w:tc>
          <w:tcPr>
            <w:tcW w:w="4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39316CD" w14:textId="77777777" w:rsidR="004B3B82" w:rsidRPr="007B5E5A" w:rsidRDefault="004B3B82" w:rsidP="00CD3B05">
            <w:pPr>
              <w:jc w:val="center"/>
              <w:rPr>
                <w:rFonts w:ascii="Garamond" w:hAnsi="Garamond"/>
              </w:rPr>
            </w:pPr>
            <w:r w:rsidRPr="007B5E5A">
              <w:rPr>
                <w:rFonts w:ascii="Garamond" w:hAnsi="Garamond"/>
              </w:rPr>
              <w:t>6</w:t>
            </w:r>
          </w:p>
        </w:tc>
        <w:tc>
          <w:tcPr>
            <w:tcW w:w="91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CDE66E1" w14:textId="77777777" w:rsidR="004B3B82" w:rsidRPr="0057513B" w:rsidRDefault="004B3B82" w:rsidP="00CD3B05">
            <w:pPr>
              <w:jc w:val="center"/>
            </w:pPr>
            <w:r w:rsidRPr="0057513B">
              <w:rPr>
                <w:rFonts w:hAnsi="Garamond"/>
              </w:rPr>
              <w:t>П</w:t>
            </w:r>
            <w:r w:rsidRPr="0057513B">
              <w:rPr>
                <w:rFonts w:hAnsi="Garamond"/>
                <w:vertAlign w:val="subscript"/>
              </w:rPr>
              <w:t>Ф</w:t>
            </w:r>
            <w:r w:rsidRPr="0057513B">
              <w:rPr>
                <w:rFonts w:ascii="Garamond"/>
                <w:vertAlign w:val="subscript"/>
              </w:rPr>
              <w:t>7</w:t>
            </w:r>
          </w:p>
        </w:tc>
        <w:tc>
          <w:tcPr>
            <w:tcW w:w="57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B1D8640" w14:textId="77777777" w:rsidR="004B3B82" w:rsidRDefault="004B3B82" w:rsidP="00CD3B05">
            <w:pPr>
              <w:ind w:left="34"/>
            </w:pPr>
            <w:r w:rsidRPr="004D7191">
              <w:rPr>
                <w:rFonts w:hAnsi="Garamond"/>
              </w:rPr>
              <w:t>Допустимый</w:t>
            </w:r>
            <w:r w:rsidRPr="004D7191">
              <w:rPr>
                <w:rFonts w:hAnsi="Garamond"/>
              </w:rPr>
              <w:t xml:space="preserve"> </w:t>
            </w:r>
            <w:r w:rsidRPr="004D7191">
              <w:rPr>
                <w:rFonts w:hAnsi="Garamond"/>
              </w:rPr>
              <w:t>класс</w:t>
            </w:r>
            <w:r w:rsidRPr="004D7191">
              <w:rPr>
                <w:rFonts w:hAnsi="Garamond"/>
              </w:rPr>
              <w:t xml:space="preserve"> </w:t>
            </w:r>
            <w:r w:rsidRPr="004D7191">
              <w:rPr>
                <w:rFonts w:hAnsi="Garamond"/>
              </w:rPr>
              <w:t>точности</w:t>
            </w:r>
            <w:r w:rsidRPr="004D7191">
              <w:rPr>
                <w:rFonts w:hAnsi="Garamond"/>
              </w:rPr>
              <w:t xml:space="preserve"> </w:t>
            </w:r>
            <w:r w:rsidRPr="004D7191">
              <w:rPr>
                <w:rFonts w:hAnsi="Garamond"/>
              </w:rPr>
              <w:t>трансформаторов</w:t>
            </w:r>
            <w:r w:rsidRPr="004D7191">
              <w:rPr>
                <w:rFonts w:hAnsi="Garamond"/>
              </w:rPr>
              <w:t xml:space="preserve"> </w:t>
            </w:r>
            <w:r w:rsidRPr="004D7191">
              <w:rPr>
                <w:rFonts w:hAnsi="Garamond"/>
              </w:rPr>
              <w:t>тока</w:t>
            </w:r>
          </w:p>
        </w:tc>
        <w:tc>
          <w:tcPr>
            <w:tcW w:w="1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6B42E26" w14:textId="77777777" w:rsidR="004B3B82" w:rsidRPr="006E3BEB" w:rsidRDefault="004B3B82" w:rsidP="00CD3B05">
            <w:pPr>
              <w:jc w:val="center"/>
            </w:pPr>
            <w:r w:rsidRPr="006E3BEB">
              <w:rPr>
                <w:rFonts w:hAnsi="Garamond"/>
              </w:rPr>
              <w:t>Да</w:t>
            </w:r>
          </w:p>
        </w:tc>
        <w:tc>
          <w:tcPr>
            <w:tcW w:w="1200" w:type="dxa"/>
            <w:tcBorders>
              <w:top w:val="single" w:sz="4" w:space="0" w:color="000000"/>
              <w:left w:val="single" w:sz="4" w:space="0" w:color="000000"/>
              <w:bottom w:val="single" w:sz="4" w:space="0" w:color="000000"/>
              <w:right w:val="single" w:sz="4" w:space="0" w:color="000000"/>
            </w:tcBorders>
          </w:tcPr>
          <w:p w14:paraId="095B4D09" w14:textId="77777777" w:rsidR="004B3B82" w:rsidRPr="00101630" w:rsidRDefault="004B3B82" w:rsidP="00CD3B05">
            <w:pPr>
              <w:jc w:val="center"/>
              <w:rPr>
                <w:rFonts w:hAnsi="Garamond"/>
              </w:rPr>
            </w:pPr>
            <w:r>
              <w:rPr>
                <w:rFonts w:hAnsi="Garamond"/>
                <w:lang w:val="en-US"/>
              </w:rPr>
              <w:t>Нет</w:t>
            </w:r>
          </w:p>
        </w:tc>
      </w:tr>
      <w:tr w:rsidR="004B3B82" w14:paraId="187D2741" w14:textId="77777777" w:rsidTr="00CD3B05">
        <w:trPr>
          <w:trHeight w:val="250"/>
          <w:jc w:val="center"/>
        </w:trPr>
        <w:tc>
          <w:tcPr>
            <w:tcW w:w="4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ADBC7CE" w14:textId="77777777" w:rsidR="004B3B82" w:rsidRPr="007B5E5A" w:rsidRDefault="004B3B82" w:rsidP="00CD3B05">
            <w:pPr>
              <w:jc w:val="center"/>
              <w:rPr>
                <w:rFonts w:ascii="Garamond" w:hAnsi="Garamond"/>
              </w:rPr>
            </w:pPr>
            <w:r w:rsidRPr="007B5E5A">
              <w:rPr>
                <w:rFonts w:ascii="Garamond" w:hAnsi="Garamond"/>
              </w:rPr>
              <w:t>7</w:t>
            </w:r>
          </w:p>
        </w:tc>
        <w:tc>
          <w:tcPr>
            <w:tcW w:w="91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C8D0AA5" w14:textId="77777777" w:rsidR="004B3B82" w:rsidRPr="0057513B" w:rsidRDefault="004B3B82" w:rsidP="00CD3B05">
            <w:pPr>
              <w:jc w:val="center"/>
            </w:pPr>
            <w:r w:rsidRPr="0057513B">
              <w:rPr>
                <w:rFonts w:hAnsi="Garamond"/>
              </w:rPr>
              <w:t>П</w:t>
            </w:r>
            <w:r w:rsidRPr="0057513B">
              <w:rPr>
                <w:rFonts w:hAnsi="Garamond"/>
                <w:vertAlign w:val="subscript"/>
              </w:rPr>
              <w:t>Ф</w:t>
            </w:r>
            <w:r w:rsidRPr="0057513B">
              <w:rPr>
                <w:rFonts w:ascii="Garamond"/>
                <w:vertAlign w:val="subscript"/>
              </w:rPr>
              <w:t>8</w:t>
            </w:r>
          </w:p>
        </w:tc>
        <w:tc>
          <w:tcPr>
            <w:tcW w:w="57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9DE297D" w14:textId="77777777" w:rsidR="004B3B82" w:rsidRDefault="004B3B82" w:rsidP="00CD3B05">
            <w:pPr>
              <w:ind w:left="34"/>
            </w:pPr>
            <w:r w:rsidRPr="004D7191">
              <w:rPr>
                <w:rFonts w:hAnsi="Garamond"/>
              </w:rPr>
              <w:t>Допустимый</w:t>
            </w:r>
            <w:r w:rsidRPr="004D7191">
              <w:rPr>
                <w:rFonts w:hAnsi="Garamond"/>
              </w:rPr>
              <w:t xml:space="preserve"> </w:t>
            </w:r>
            <w:r w:rsidRPr="004D7191">
              <w:rPr>
                <w:rFonts w:hAnsi="Garamond"/>
              </w:rPr>
              <w:t>класс</w:t>
            </w:r>
            <w:r w:rsidRPr="004D7191">
              <w:rPr>
                <w:rFonts w:hAnsi="Garamond"/>
              </w:rPr>
              <w:t xml:space="preserve"> </w:t>
            </w:r>
            <w:r w:rsidRPr="004D7191">
              <w:rPr>
                <w:rFonts w:hAnsi="Garamond"/>
              </w:rPr>
              <w:t>точности</w:t>
            </w:r>
            <w:r w:rsidRPr="004D7191">
              <w:rPr>
                <w:rFonts w:hAnsi="Garamond"/>
              </w:rPr>
              <w:t xml:space="preserve"> </w:t>
            </w:r>
            <w:r w:rsidRPr="004D7191">
              <w:rPr>
                <w:rFonts w:hAnsi="Garamond"/>
              </w:rPr>
              <w:t>трансформаторов</w:t>
            </w:r>
            <w:r w:rsidRPr="004D7191">
              <w:rPr>
                <w:rFonts w:hAnsi="Garamond"/>
              </w:rPr>
              <w:t xml:space="preserve"> </w:t>
            </w:r>
            <w:r w:rsidRPr="004D7191">
              <w:rPr>
                <w:rFonts w:hAnsi="Garamond"/>
              </w:rPr>
              <w:t>напряжения</w:t>
            </w:r>
          </w:p>
        </w:tc>
        <w:tc>
          <w:tcPr>
            <w:tcW w:w="1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AEAA08B" w14:textId="77777777" w:rsidR="004B3B82" w:rsidRDefault="004B3B82" w:rsidP="00CD3B05">
            <w:pPr>
              <w:jc w:val="center"/>
            </w:pPr>
            <w:r w:rsidRPr="004D7191">
              <w:rPr>
                <w:rFonts w:hAnsi="Garamond"/>
              </w:rPr>
              <w:t>Да</w:t>
            </w:r>
          </w:p>
        </w:tc>
        <w:tc>
          <w:tcPr>
            <w:tcW w:w="1200" w:type="dxa"/>
            <w:tcBorders>
              <w:top w:val="single" w:sz="4" w:space="0" w:color="000000"/>
              <w:left w:val="single" w:sz="4" w:space="0" w:color="000000"/>
              <w:bottom w:val="single" w:sz="4" w:space="0" w:color="000000"/>
              <w:right w:val="single" w:sz="4" w:space="0" w:color="000000"/>
            </w:tcBorders>
            <w:vAlign w:val="center"/>
          </w:tcPr>
          <w:p w14:paraId="661D98D6" w14:textId="77777777" w:rsidR="004B3B82" w:rsidRPr="008B6A1C" w:rsidRDefault="004B3B82" w:rsidP="00CD3B05">
            <w:pPr>
              <w:jc w:val="center"/>
              <w:rPr>
                <w:rFonts w:hAnsi="Garamond"/>
              </w:rPr>
            </w:pPr>
            <w:r>
              <w:rPr>
                <w:rFonts w:hAnsi="Garamond"/>
              </w:rPr>
              <w:t>Нет</w:t>
            </w:r>
          </w:p>
        </w:tc>
      </w:tr>
      <w:tr w:rsidR="004B3B82" w14:paraId="04565972" w14:textId="77777777" w:rsidTr="00CD3B05">
        <w:trPr>
          <w:trHeight w:val="250"/>
          <w:jc w:val="center"/>
        </w:trPr>
        <w:tc>
          <w:tcPr>
            <w:tcW w:w="4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457B677" w14:textId="77777777" w:rsidR="004B3B82" w:rsidRPr="007B5E5A" w:rsidRDefault="004B3B82" w:rsidP="00CD3B05">
            <w:pPr>
              <w:jc w:val="center"/>
              <w:rPr>
                <w:rFonts w:ascii="Garamond" w:hAnsi="Garamond"/>
              </w:rPr>
            </w:pPr>
            <w:r w:rsidRPr="007B5E5A">
              <w:rPr>
                <w:rFonts w:ascii="Garamond" w:hAnsi="Garamond"/>
              </w:rPr>
              <w:t>8</w:t>
            </w:r>
          </w:p>
        </w:tc>
        <w:tc>
          <w:tcPr>
            <w:tcW w:w="91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3FFC282" w14:textId="77777777" w:rsidR="004B3B82" w:rsidRPr="0057513B" w:rsidRDefault="004B3B82" w:rsidP="00CD3B05">
            <w:pPr>
              <w:jc w:val="center"/>
            </w:pPr>
            <w:r w:rsidRPr="0057513B">
              <w:rPr>
                <w:rFonts w:hAnsi="Garamond"/>
              </w:rPr>
              <w:t>П</w:t>
            </w:r>
            <w:r w:rsidRPr="0057513B">
              <w:rPr>
                <w:rFonts w:hAnsi="Garamond"/>
                <w:vertAlign w:val="subscript"/>
              </w:rPr>
              <w:t>Ф</w:t>
            </w:r>
            <w:r w:rsidRPr="0057513B">
              <w:rPr>
                <w:rFonts w:ascii="Garamond"/>
                <w:vertAlign w:val="subscript"/>
              </w:rPr>
              <w:t>9</w:t>
            </w:r>
          </w:p>
        </w:tc>
        <w:tc>
          <w:tcPr>
            <w:tcW w:w="57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5D5AF73" w14:textId="77777777" w:rsidR="004B3B82" w:rsidRDefault="004B3B82" w:rsidP="00CD3B05">
            <w:pPr>
              <w:ind w:left="34"/>
            </w:pPr>
            <w:r w:rsidRPr="004D7191">
              <w:rPr>
                <w:rFonts w:hAnsi="Garamond"/>
              </w:rPr>
              <w:t>Допустимый</w:t>
            </w:r>
            <w:r w:rsidRPr="004D7191">
              <w:rPr>
                <w:rFonts w:hAnsi="Garamond"/>
              </w:rPr>
              <w:t xml:space="preserve"> </w:t>
            </w:r>
            <w:r w:rsidRPr="004D7191">
              <w:rPr>
                <w:rFonts w:hAnsi="Garamond"/>
              </w:rPr>
              <w:t>класс</w:t>
            </w:r>
            <w:r w:rsidRPr="004D7191">
              <w:rPr>
                <w:rFonts w:hAnsi="Garamond"/>
              </w:rPr>
              <w:t xml:space="preserve"> </w:t>
            </w:r>
            <w:r w:rsidRPr="004D7191">
              <w:rPr>
                <w:rFonts w:hAnsi="Garamond"/>
              </w:rPr>
              <w:t>точности</w:t>
            </w:r>
            <w:r w:rsidRPr="004D7191">
              <w:rPr>
                <w:rFonts w:hAnsi="Garamond"/>
              </w:rPr>
              <w:t xml:space="preserve"> </w:t>
            </w:r>
            <w:r w:rsidRPr="005D1011">
              <w:rPr>
                <w:rFonts w:hAnsi="Garamond"/>
                <w:highlight w:val="yellow"/>
              </w:rPr>
              <w:t>электросчетчиков</w:t>
            </w:r>
          </w:p>
        </w:tc>
        <w:tc>
          <w:tcPr>
            <w:tcW w:w="1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1B8876C" w14:textId="77777777" w:rsidR="004B3B82" w:rsidRDefault="004B3B82" w:rsidP="00CD3B05">
            <w:pPr>
              <w:jc w:val="center"/>
            </w:pPr>
            <w:r w:rsidRPr="004D7191">
              <w:rPr>
                <w:rFonts w:hAnsi="Garamond"/>
              </w:rPr>
              <w:t>Да</w:t>
            </w:r>
          </w:p>
        </w:tc>
        <w:tc>
          <w:tcPr>
            <w:tcW w:w="1200" w:type="dxa"/>
            <w:tcBorders>
              <w:top w:val="single" w:sz="4" w:space="0" w:color="000000"/>
              <w:left w:val="single" w:sz="4" w:space="0" w:color="000000"/>
              <w:bottom w:val="single" w:sz="4" w:space="0" w:color="000000"/>
              <w:right w:val="single" w:sz="4" w:space="0" w:color="000000"/>
            </w:tcBorders>
          </w:tcPr>
          <w:p w14:paraId="4F30205C" w14:textId="77777777" w:rsidR="004B3B82" w:rsidRPr="004D7191" w:rsidRDefault="004B3B82" w:rsidP="00CD3B05">
            <w:pPr>
              <w:jc w:val="center"/>
              <w:rPr>
                <w:rFonts w:hAnsi="Garamond"/>
              </w:rPr>
            </w:pPr>
            <w:r>
              <w:rPr>
                <w:rFonts w:hAnsi="Garamond"/>
              </w:rPr>
              <w:t>Да</w:t>
            </w:r>
          </w:p>
        </w:tc>
      </w:tr>
      <w:tr w:rsidR="004B3B82" w14:paraId="4645F19A" w14:textId="77777777" w:rsidTr="00CD3B05">
        <w:trPr>
          <w:trHeight w:val="250"/>
          <w:jc w:val="center"/>
        </w:trPr>
        <w:tc>
          <w:tcPr>
            <w:tcW w:w="4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FB20CBA" w14:textId="77777777" w:rsidR="004B3B82" w:rsidRPr="007B5E5A" w:rsidRDefault="004B3B82" w:rsidP="00CD3B05">
            <w:pPr>
              <w:jc w:val="center"/>
              <w:rPr>
                <w:rFonts w:ascii="Garamond" w:hAnsi="Garamond"/>
              </w:rPr>
            </w:pPr>
            <w:r w:rsidRPr="007B5E5A">
              <w:rPr>
                <w:rFonts w:ascii="Garamond" w:hAnsi="Garamond"/>
              </w:rPr>
              <w:t>9</w:t>
            </w:r>
          </w:p>
        </w:tc>
        <w:tc>
          <w:tcPr>
            <w:tcW w:w="91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C9F431D" w14:textId="77777777" w:rsidR="004B3B82" w:rsidRPr="0057513B" w:rsidRDefault="004B3B82" w:rsidP="00CD3B05">
            <w:pPr>
              <w:jc w:val="center"/>
            </w:pPr>
            <w:r w:rsidRPr="0057513B">
              <w:rPr>
                <w:rFonts w:hAnsi="Garamond"/>
              </w:rPr>
              <w:t>П</w:t>
            </w:r>
            <w:r w:rsidRPr="0057513B">
              <w:rPr>
                <w:rFonts w:hAnsi="Garamond"/>
                <w:vertAlign w:val="subscript"/>
              </w:rPr>
              <w:t>Ф</w:t>
            </w:r>
            <w:r w:rsidRPr="0057513B">
              <w:rPr>
                <w:rFonts w:ascii="Garamond"/>
                <w:vertAlign w:val="subscript"/>
              </w:rPr>
              <w:t>10</w:t>
            </w:r>
          </w:p>
        </w:tc>
        <w:tc>
          <w:tcPr>
            <w:tcW w:w="57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4DEA001" w14:textId="77777777" w:rsidR="004B3B82" w:rsidRDefault="004B3B82" w:rsidP="00CD3B05">
            <w:pPr>
              <w:ind w:left="34"/>
            </w:pPr>
            <w:r w:rsidRPr="004D7191">
              <w:rPr>
                <w:rFonts w:hAnsi="Garamond"/>
              </w:rPr>
              <w:t>Коррекция</w:t>
            </w:r>
            <w:r w:rsidRPr="004D7191">
              <w:rPr>
                <w:rFonts w:ascii="Garamond"/>
              </w:rPr>
              <w:t>/</w:t>
            </w:r>
            <w:r w:rsidRPr="004D7191">
              <w:rPr>
                <w:rFonts w:hAnsi="Garamond"/>
              </w:rPr>
              <w:t>синхронизация</w:t>
            </w:r>
            <w:r w:rsidRPr="004D7191">
              <w:rPr>
                <w:rFonts w:hAnsi="Garamond"/>
              </w:rPr>
              <w:t xml:space="preserve"> </w:t>
            </w:r>
            <w:r w:rsidRPr="004D7191">
              <w:rPr>
                <w:rFonts w:hAnsi="Garamond"/>
              </w:rPr>
              <w:t>времени</w:t>
            </w:r>
            <w:r w:rsidRPr="004D7191">
              <w:rPr>
                <w:rFonts w:hAnsi="Garamond"/>
              </w:rPr>
              <w:t xml:space="preserve"> </w:t>
            </w:r>
            <w:r w:rsidRPr="004D7191">
              <w:rPr>
                <w:rFonts w:hAnsi="Garamond"/>
              </w:rPr>
              <w:t>в</w:t>
            </w:r>
            <w:r w:rsidRPr="004D7191">
              <w:rPr>
                <w:rFonts w:hAnsi="Garamond"/>
              </w:rPr>
              <w:t xml:space="preserve"> </w:t>
            </w:r>
            <w:r w:rsidRPr="004D7191">
              <w:rPr>
                <w:rFonts w:hAnsi="Garamond"/>
              </w:rPr>
              <w:t>ИИК</w:t>
            </w:r>
            <w:r w:rsidRPr="004D7191">
              <w:rPr>
                <w:rFonts w:ascii="Garamond"/>
              </w:rPr>
              <w:t xml:space="preserve">, </w:t>
            </w:r>
            <w:r w:rsidRPr="004D7191">
              <w:rPr>
                <w:rFonts w:hAnsi="Garamond"/>
              </w:rPr>
              <w:t>ИВКЭ</w:t>
            </w:r>
            <w:r w:rsidRPr="004D7191">
              <w:rPr>
                <w:rFonts w:hAnsi="Garamond"/>
              </w:rPr>
              <w:t xml:space="preserve"> </w:t>
            </w:r>
            <w:r w:rsidRPr="004D7191">
              <w:rPr>
                <w:rFonts w:hAnsi="Garamond"/>
              </w:rPr>
              <w:t>и</w:t>
            </w:r>
            <w:r w:rsidRPr="004D7191">
              <w:rPr>
                <w:rFonts w:hAnsi="Garamond"/>
              </w:rPr>
              <w:t xml:space="preserve"> </w:t>
            </w:r>
            <w:r w:rsidRPr="004D7191">
              <w:rPr>
                <w:rFonts w:hAnsi="Garamond"/>
              </w:rPr>
              <w:t>ИВК</w:t>
            </w:r>
          </w:p>
        </w:tc>
        <w:tc>
          <w:tcPr>
            <w:tcW w:w="1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BAD1290" w14:textId="77777777" w:rsidR="004B3B82" w:rsidRDefault="004B3B82" w:rsidP="00CD3B05">
            <w:pPr>
              <w:jc w:val="center"/>
            </w:pPr>
            <w:r w:rsidRPr="004D7191">
              <w:rPr>
                <w:rFonts w:hAnsi="Garamond"/>
              </w:rPr>
              <w:t>Да</w:t>
            </w:r>
          </w:p>
        </w:tc>
        <w:tc>
          <w:tcPr>
            <w:tcW w:w="1200" w:type="dxa"/>
            <w:tcBorders>
              <w:top w:val="single" w:sz="4" w:space="0" w:color="000000"/>
              <w:left w:val="single" w:sz="4" w:space="0" w:color="000000"/>
              <w:bottom w:val="single" w:sz="4" w:space="0" w:color="000000"/>
              <w:right w:val="single" w:sz="4" w:space="0" w:color="000000"/>
            </w:tcBorders>
          </w:tcPr>
          <w:p w14:paraId="19AE141A" w14:textId="77777777" w:rsidR="004B3B82" w:rsidRPr="004D7191" w:rsidRDefault="004B3B82" w:rsidP="00CD3B05">
            <w:pPr>
              <w:jc w:val="center"/>
              <w:rPr>
                <w:rFonts w:hAnsi="Garamond"/>
              </w:rPr>
            </w:pPr>
            <w:r>
              <w:rPr>
                <w:rFonts w:hAnsi="Garamond"/>
              </w:rPr>
              <w:t>Да</w:t>
            </w:r>
          </w:p>
        </w:tc>
      </w:tr>
      <w:tr w:rsidR="004B3B82" w14:paraId="552365DE" w14:textId="77777777" w:rsidTr="00CD3B05">
        <w:trPr>
          <w:trHeight w:val="250"/>
          <w:jc w:val="center"/>
        </w:trPr>
        <w:tc>
          <w:tcPr>
            <w:tcW w:w="4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45277B7" w14:textId="77777777" w:rsidR="004B3B82" w:rsidRPr="007B5E5A" w:rsidRDefault="004B3B82" w:rsidP="00CD3B05">
            <w:pPr>
              <w:jc w:val="center"/>
              <w:rPr>
                <w:rFonts w:ascii="Garamond" w:hAnsi="Garamond"/>
              </w:rPr>
            </w:pPr>
            <w:r w:rsidRPr="007B5E5A">
              <w:rPr>
                <w:rFonts w:ascii="Garamond" w:hAnsi="Garamond"/>
              </w:rPr>
              <w:t>10</w:t>
            </w:r>
          </w:p>
        </w:tc>
        <w:tc>
          <w:tcPr>
            <w:tcW w:w="91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AC767FE" w14:textId="77777777" w:rsidR="004B3B82" w:rsidRPr="0057513B" w:rsidRDefault="004B3B82" w:rsidP="00CD3B05">
            <w:pPr>
              <w:jc w:val="center"/>
            </w:pPr>
            <w:r w:rsidRPr="0057513B">
              <w:rPr>
                <w:rFonts w:hAnsi="Garamond"/>
              </w:rPr>
              <w:t>П</w:t>
            </w:r>
            <w:r w:rsidRPr="0057513B">
              <w:rPr>
                <w:rFonts w:hAnsi="Garamond"/>
                <w:vertAlign w:val="subscript"/>
              </w:rPr>
              <w:t>Ф</w:t>
            </w:r>
            <w:r w:rsidRPr="0057513B">
              <w:rPr>
                <w:rFonts w:ascii="Garamond"/>
                <w:vertAlign w:val="subscript"/>
              </w:rPr>
              <w:t>11</w:t>
            </w:r>
          </w:p>
        </w:tc>
        <w:tc>
          <w:tcPr>
            <w:tcW w:w="57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EED642B" w14:textId="77777777" w:rsidR="004B3B82" w:rsidRDefault="004B3B82" w:rsidP="00CD3B05">
            <w:pPr>
              <w:ind w:left="34"/>
            </w:pPr>
            <w:r w:rsidRPr="004D7191">
              <w:rPr>
                <w:rFonts w:hAnsi="Garamond"/>
              </w:rPr>
              <w:t>Сбор</w:t>
            </w:r>
            <w:r w:rsidRPr="004D7191">
              <w:rPr>
                <w:rFonts w:hAnsi="Garamond"/>
              </w:rPr>
              <w:t xml:space="preserve"> </w:t>
            </w:r>
            <w:r w:rsidRPr="004D7191">
              <w:rPr>
                <w:rFonts w:hAnsi="Garamond"/>
              </w:rPr>
              <w:t>информации</w:t>
            </w:r>
            <w:r w:rsidRPr="004D7191">
              <w:rPr>
                <w:rFonts w:hAnsi="Garamond"/>
              </w:rPr>
              <w:t xml:space="preserve"> </w:t>
            </w:r>
            <w:r w:rsidRPr="004D7191">
              <w:rPr>
                <w:rFonts w:hAnsi="Garamond"/>
              </w:rPr>
              <w:t>о</w:t>
            </w:r>
            <w:r w:rsidRPr="004D7191">
              <w:rPr>
                <w:rFonts w:hAnsi="Garamond"/>
              </w:rPr>
              <w:t xml:space="preserve"> </w:t>
            </w:r>
            <w:r w:rsidRPr="004D7191">
              <w:rPr>
                <w:rFonts w:hAnsi="Garamond"/>
              </w:rPr>
              <w:t>состояниях</w:t>
            </w:r>
            <w:r w:rsidRPr="004D7191">
              <w:rPr>
                <w:rFonts w:hAnsi="Garamond"/>
              </w:rPr>
              <w:t xml:space="preserve"> </w:t>
            </w:r>
            <w:r w:rsidRPr="004D7191">
              <w:rPr>
                <w:rFonts w:hAnsi="Garamond"/>
              </w:rPr>
              <w:t>средств</w:t>
            </w:r>
            <w:r w:rsidRPr="004D7191">
              <w:rPr>
                <w:rFonts w:hAnsi="Garamond"/>
              </w:rPr>
              <w:t xml:space="preserve"> </w:t>
            </w:r>
            <w:r w:rsidRPr="004D7191">
              <w:rPr>
                <w:rFonts w:hAnsi="Garamond"/>
              </w:rPr>
              <w:t>измерений</w:t>
            </w:r>
          </w:p>
        </w:tc>
        <w:tc>
          <w:tcPr>
            <w:tcW w:w="1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428D136" w14:textId="77777777" w:rsidR="004B3B82" w:rsidRDefault="004B3B82" w:rsidP="00CD3B05">
            <w:pPr>
              <w:jc w:val="center"/>
            </w:pPr>
            <w:r w:rsidRPr="004D7191">
              <w:rPr>
                <w:rFonts w:hAnsi="Garamond"/>
              </w:rPr>
              <w:t>Да</w:t>
            </w:r>
          </w:p>
        </w:tc>
        <w:tc>
          <w:tcPr>
            <w:tcW w:w="1200" w:type="dxa"/>
            <w:tcBorders>
              <w:top w:val="single" w:sz="4" w:space="0" w:color="000000"/>
              <w:left w:val="single" w:sz="4" w:space="0" w:color="000000"/>
              <w:bottom w:val="single" w:sz="4" w:space="0" w:color="000000"/>
              <w:right w:val="single" w:sz="4" w:space="0" w:color="000000"/>
            </w:tcBorders>
          </w:tcPr>
          <w:p w14:paraId="5CEEEDBD" w14:textId="77777777" w:rsidR="004B3B82" w:rsidRPr="004D7191" w:rsidRDefault="004B3B82" w:rsidP="00CD3B05">
            <w:pPr>
              <w:jc w:val="center"/>
              <w:rPr>
                <w:rFonts w:hAnsi="Garamond"/>
              </w:rPr>
            </w:pPr>
            <w:r>
              <w:rPr>
                <w:rFonts w:hAnsi="Garamond"/>
              </w:rPr>
              <w:t>Да</w:t>
            </w:r>
          </w:p>
        </w:tc>
      </w:tr>
      <w:tr w:rsidR="004B3B82" w14:paraId="7341149E" w14:textId="77777777" w:rsidTr="00CD3B05">
        <w:trPr>
          <w:trHeight w:val="250"/>
          <w:jc w:val="center"/>
        </w:trPr>
        <w:tc>
          <w:tcPr>
            <w:tcW w:w="4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A07D94E" w14:textId="77777777" w:rsidR="004B3B82" w:rsidRPr="007B5E5A" w:rsidRDefault="004B3B82" w:rsidP="00CD3B05">
            <w:pPr>
              <w:jc w:val="center"/>
              <w:rPr>
                <w:rFonts w:ascii="Garamond" w:hAnsi="Garamond"/>
              </w:rPr>
            </w:pPr>
            <w:r w:rsidRPr="007B5E5A">
              <w:rPr>
                <w:rFonts w:ascii="Garamond" w:hAnsi="Garamond"/>
              </w:rPr>
              <w:t>11</w:t>
            </w:r>
          </w:p>
        </w:tc>
        <w:tc>
          <w:tcPr>
            <w:tcW w:w="91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A284F24" w14:textId="77777777" w:rsidR="004B3B82" w:rsidRPr="0057513B" w:rsidRDefault="004B3B82" w:rsidP="00CD3B05">
            <w:pPr>
              <w:jc w:val="center"/>
            </w:pPr>
            <w:r w:rsidRPr="0057513B">
              <w:rPr>
                <w:rFonts w:hAnsi="Garamond"/>
              </w:rPr>
              <w:t>П</w:t>
            </w:r>
            <w:r w:rsidRPr="0057513B">
              <w:rPr>
                <w:rFonts w:hAnsi="Garamond"/>
                <w:vertAlign w:val="subscript"/>
              </w:rPr>
              <w:t>Ф</w:t>
            </w:r>
            <w:r w:rsidRPr="0057513B">
              <w:rPr>
                <w:rFonts w:ascii="Garamond"/>
                <w:vertAlign w:val="subscript"/>
              </w:rPr>
              <w:t>13</w:t>
            </w:r>
          </w:p>
        </w:tc>
        <w:tc>
          <w:tcPr>
            <w:tcW w:w="57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770EEB1" w14:textId="77777777" w:rsidR="004B3B82" w:rsidRDefault="004B3B82" w:rsidP="00CD3B05">
            <w:pPr>
              <w:ind w:left="34"/>
            </w:pPr>
            <w:r w:rsidRPr="004D7191">
              <w:rPr>
                <w:rFonts w:hAnsi="Garamond"/>
              </w:rPr>
              <w:t>Сбор</w:t>
            </w:r>
            <w:r w:rsidRPr="004D7191">
              <w:rPr>
                <w:rFonts w:hAnsi="Garamond"/>
              </w:rPr>
              <w:t xml:space="preserve"> </w:t>
            </w:r>
            <w:r w:rsidRPr="004D7191">
              <w:rPr>
                <w:rFonts w:hAnsi="Garamond"/>
              </w:rPr>
              <w:t>результатов</w:t>
            </w:r>
            <w:r w:rsidRPr="004D7191">
              <w:rPr>
                <w:rFonts w:hAnsi="Garamond"/>
              </w:rPr>
              <w:t xml:space="preserve"> </w:t>
            </w:r>
            <w:r w:rsidRPr="004D7191">
              <w:rPr>
                <w:rFonts w:hAnsi="Garamond"/>
              </w:rPr>
              <w:t>измерений</w:t>
            </w:r>
          </w:p>
        </w:tc>
        <w:tc>
          <w:tcPr>
            <w:tcW w:w="1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281FB9A" w14:textId="77777777" w:rsidR="004B3B82" w:rsidRDefault="004B3B82" w:rsidP="00CD3B05">
            <w:pPr>
              <w:jc w:val="center"/>
            </w:pPr>
            <w:r w:rsidRPr="004D7191">
              <w:rPr>
                <w:rFonts w:hAnsi="Garamond"/>
              </w:rPr>
              <w:t>Да</w:t>
            </w:r>
          </w:p>
        </w:tc>
        <w:tc>
          <w:tcPr>
            <w:tcW w:w="1200" w:type="dxa"/>
            <w:tcBorders>
              <w:top w:val="single" w:sz="4" w:space="0" w:color="000000"/>
              <w:left w:val="single" w:sz="4" w:space="0" w:color="000000"/>
              <w:bottom w:val="single" w:sz="4" w:space="0" w:color="000000"/>
              <w:right w:val="single" w:sz="4" w:space="0" w:color="000000"/>
            </w:tcBorders>
          </w:tcPr>
          <w:p w14:paraId="7F9E3415" w14:textId="77777777" w:rsidR="004B3B82" w:rsidRPr="004D7191" w:rsidRDefault="004B3B82" w:rsidP="00CD3B05">
            <w:pPr>
              <w:jc w:val="center"/>
              <w:rPr>
                <w:rFonts w:hAnsi="Garamond"/>
              </w:rPr>
            </w:pPr>
            <w:r>
              <w:rPr>
                <w:rFonts w:hAnsi="Garamond"/>
              </w:rPr>
              <w:t>Да</w:t>
            </w:r>
          </w:p>
        </w:tc>
      </w:tr>
      <w:tr w:rsidR="004B3B82" w14:paraId="27863E91" w14:textId="77777777" w:rsidTr="00CD3B05">
        <w:trPr>
          <w:trHeight w:val="250"/>
          <w:jc w:val="center"/>
        </w:trPr>
        <w:tc>
          <w:tcPr>
            <w:tcW w:w="4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2C0EF81" w14:textId="77777777" w:rsidR="004B3B82" w:rsidRPr="007B5E5A" w:rsidRDefault="004B3B82" w:rsidP="00CD3B05">
            <w:pPr>
              <w:jc w:val="center"/>
              <w:rPr>
                <w:rFonts w:ascii="Garamond" w:hAnsi="Garamond"/>
              </w:rPr>
            </w:pPr>
            <w:r w:rsidRPr="007B5E5A">
              <w:rPr>
                <w:rFonts w:ascii="Garamond" w:hAnsi="Garamond"/>
              </w:rPr>
              <w:t>12</w:t>
            </w:r>
          </w:p>
        </w:tc>
        <w:tc>
          <w:tcPr>
            <w:tcW w:w="91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EB0F650" w14:textId="77777777" w:rsidR="004B3B82" w:rsidRPr="0057513B" w:rsidRDefault="004B3B82" w:rsidP="00CD3B05">
            <w:pPr>
              <w:jc w:val="center"/>
            </w:pPr>
            <w:r w:rsidRPr="0057513B">
              <w:rPr>
                <w:rFonts w:hAnsi="Garamond"/>
              </w:rPr>
              <w:t>П</w:t>
            </w:r>
            <w:r w:rsidRPr="0057513B">
              <w:rPr>
                <w:rFonts w:hAnsi="Garamond"/>
                <w:vertAlign w:val="subscript"/>
              </w:rPr>
              <w:t>Ф</w:t>
            </w:r>
            <w:r w:rsidRPr="0057513B">
              <w:rPr>
                <w:rFonts w:ascii="Garamond"/>
                <w:vertAlign w:val="subscript"/>
              </w:rPr>
              <w:t>16</w:t>
            </w:r>
          </w:p>
        </w:tc>
        <w:tc>
          <w:tcPr>
            <w:tcW w:w="57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5E63BB8" w14:textId="77777777" w:rsidR="004B3B82" w:rsidRDefault="004B3B82" w:rsidP="00CD3B05">
            <w:pPr>
              <w:ind w:left="34"/>
            </w:pPr>
            <w:r w:rsidRPr="004D7191">
              <w:rPr>
                <w:rFonts w:hAnsi="Garamond"/>
              </w:rPr>
              <w:t>Цикличность</w:t>
            </w:r>
            <w:r w:rsidRPr="004D7191">
              <w:rPr>
                <w:rFonts w:hAnsi="Garamond"/>
              </w:rPr>
              <w:t xml:space="preserve"> </w:t>
            </w:r>
            <w:r w:rsidRPr="004D7191">
              <w:rPr>
                <w:rFonts w:hAnsi="Garamond"/>
              </w:rPr>
              <w:t>измерений</w:t>
            </w:r>
            <w:r w:rsidRPr="004D7191">
              <w:rPr>
                <w:rFonts w:hAnsi="Garamond"/>
              </w:rPr>
              <w:t xml:space="preserve"> </w:t>
            </w:r>
            <w:r w:rsidRPr="004D7191">
              <w:rPr>
                <w:rFonts w:hAnsi="Garamond"/>
              </w:rPr>
              <w:t>приращений</w:t>
            </w:r>
            <w:r w:rsidRPr="004D7191">
              <w:rPr>
                <w:rFonts w:hAnsi="Garamond"/>
              </w:rPr>
              <w:t xml:space="preserve"> </w:t>
            </w:r>
            <w:r w:rsidRPr="004D7191">
              <w:rPr>
                <w:rFonts w:hAnsi="Garamond"/>
              </w:rPr>
              <w:t>электроэнергии</w:t>
            </w:r>
            <w:r w:rsidRPr="004D7191">
              <w:rPr>
                <w:rFonts w:hAnsi="Garamond"/>
              </w:rPr>
              <w:t xml:space="preserve"> </w:t>
            </w:r>
            <w:r w:rsidRPr="004D7191">
              <w:rPr>
                <w:rFonts w:hAnsi="Garamond"/>
              </w:rPr>
              <w:t>–</w:t>
            </w:r>
            <w:r w:rsidRPr="004D7191">
              <w:rPr>
                <w:rFonts w:hAnsi="Garamond"/>
              </w:rPr>
              <w:t xml:space="preserve"> </w:t>
            </w:r>
            <w:r w:rsidRPr="004D7191">
              <w:rPr>
                <w:rFonts w:ascii="Garamond"/>
              </w:rPr>
              <w:t xml:space="preserve">30 </w:t>
            </w:r>
            <w:r w:rsidRPr="004D7191">
              <w:rPr>
                <w:rFonts w:hAnsi="Garamond"/>
              </w:rPr>
              <w:t>минут</w:t>
            </w:r>
          </w:p>
        </w:tc>
        <w:tc>
          <w:tcPr>
            <w:tcW w:w="1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C8DE7D3" w14:textId="77777777" w:rsidR="004B3B82" w:rsidRDefault="004B3B82" w:rsidP="00CD3B05">
            <w:pPr>
              <w:jc w:val="center"/>
            </w:pPr>
            <w:r w:rsidRPr="004D7191">
              <w:rPr>
                <w:rFonts w:hAnsi="Garamond"/>
              </w:rPr>
              <w:t>Да</w:t>
            </w:r>
          </w:p>
        </w:tc>
        <w:tc>
          <w:tcPr>
            <w:tcW w:w="1200" w:type="dxa"/>
            <w:tcBorders>
              <w:top w:val="single" w:sz="4" w:space="0" w:color="000000"/>
              <w:left w:val="single" w:sz="4" w:space="0" w:color="000000"/>
              <w:bottom w:val="single" w:sz="4" w:space="0" w:color="000000"/>
              <w:right w:val="single" w:sz="4" w:space="0" w:color="000000"/>
            </w:tcBorders>
            <w:vAlign w:val="center"/>
          </w:tcPr>
          <w:p w14:paraId="5B03454B" w14:textId="77777777" w:rsidR="004B3B82" w:rsidRPr="004D7191" w:rsidRDefault="004B3B82" w:rsidP="00CD3B05">
            <w:pPr>
              <w:jc w:val="center"/>
              <w:rPr>
                <w:rFonts w:hAnsi="Garamond"/>
              </w:rPr>
            </w:pPr>
            <w:r>
              <w:rPr>
                <w:rFonts w:hAnsi="Garamond"/>
              </w:rPr>
              <w:t>Да</w:t>
            </w:r>
          </w:p>
        </w:tc>
      </w:tr>
      <w:tr w:rsidR="004B3B82" w14:paraId="203E00BC" w14:textId="77777777" w:rsidTr="00CD3B05">
        <w:trPr>
          <w:trHeight w:val="250"/>
          <w:jc w:val="center"/>
        </w:trPr>
        <w:tc>
          <w:tcPr>
            <w:tcW w:w="4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41AFEDD" w14:textId="77777777" w:rsidR="004B3B82" w:rsidRPr="007B5E5A" w:rsidRDefault="004B3B82" w:rsidP="00CD3B05">
            <w:pPr>
              <w:jc w:val="center"/>
              <w:rPr>
                <w:rFonts w:ascii="Garamond" w:hAnsi="Garamond"/>
              </w:rPr>
            </w:pPr>
            <w:r w:rsidRPr="007B5E5A">
              <w:rPr>
                <w:rFonts w:ascii="Garamond" w:hAnsi="Garamond"/>
              </w:rPr>
              <w:t>13</w:t>
            </w:r>
          </w:p>
        </w:tc>
        <w:tc>
          <w:tcPr>
            <w:tcW w:w="91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AB05B58" w14:textId="77777777" w:rsidR="004B3B82" w:rsidRPr="0057513B" w:rsidRDefault="004B3B82" w:rsidP="00CD3B05">
            <w:pPr>
              <w:jc w:val="center"/>
            </w:pPr>
            <w:r w:rsidRPr="0057513B">
              <w:rPr>
                <w:rFonts w:hAnsi="Garamond"/>
              </w:rPr>
              <w:t>П</w:t>
            </w:r>
            <w:r w:rsidRPr="0057513B">
              <w:rPr>
                <w:rFonts w:hAnsi="Garamond"/>
                <w:vertAlign w:val="subscript"/>
              </w:rPr>
              <w:t>Ф</w:t>
            </w:r>
            <w:r w:rsidRPr="0057513B">
              <w:rPr>
                <w:rFonts w:ascii="Garamond"/>
                <w:vertAlign w:val="subscript"/>
              </w:rPr>
              <w:t>24</w:t>
            </w:r>
          </w:p>
        </w:tc>
        <w:tc>
          <w:tcPr>
            <w:tcW w:w="57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AD30DC" w14:textId="77777777" w:rsidR="004B3B82" w:rsidRDefault="004B3B82" w:rsidP="00CD3B05">
            <w:pPr>
              <w:ind w:left="34"/>
            </w:pPr>
            <w:r w:rsidRPr="004D7191">
              <w:rPr>
                <w:rFonts w:hAnsi="Garamond"/>
              </w:rPr>
              <w:t>Цикличность</w:t>
            </w:r>
            <w:r w:rsidRPr="004D7191">
              <w:rPr>
                <w:rFonts w:hAnsi="Garamond"/>
              </w:rPr>
              <w:t xml:space="preserve"> </w:t>
            </w:r>
            <w:r w:rsidRPr="004D7191">
              <w:rPr>
                <w:rFonts w:hAnsi="Garamond"/>
              </w:rPr>
              <w:t>сбора</w:t>
            </w:r>
            <w:r w:rsidRPr="004D7191">
              <w:rPr>
                <w:rFonts w:hAnsi="Garamond"/>
              </w:rPr>
              <w:t xml:space="preserve"> </w:t>
            </w:r>
            <w:r w:rsidRPr="004D7191">
              <w:rPr>
                <w:rFonts w:hAnsi="Garamond"/>
              </w:rPr>
              <w:t>информации</w:t>
            </w:r>
            <w:r w:rsidRPr="004D7191">
              <w:rPr>
                <w:rFonts w:hAnsi="Garamond"/>
              </w:rPr>
              <w:t xml:space="preserve"> </w:t>
            </w:r>
            <w:r w:rsidRPr="004D7191">
              <w:rPr>
                <w:rFonts w:hAnsi="Garamond"/>
              </w:rPr>
              <w:t>–</w:t>
            </w:r>
            <w:r w:rsidRPr="004D7191">
              <w:rPr>
                <w:rFonts w:hAnsi="Garamond"/>
              </w:rPr>
              <w:t xml:space="preserve"> </w:t>
            </w:r>
            <w:r w:rsidRPr="004D7191">
              <w:rPr>
                <w:rFonts w:ascii="Garamond"/>
              </w:rPr>
              <w:t xml:space="preserve">1 </w:t>
            </w:r>
            <w:r w:rsidRPr="004D7191">
              <w:rPr>
                <w:rFonts w:hAnsi="Garamond"/>
              </w:rPr>
              <w:t>раз</w:t>
            </w:r>
            <w:r w:rsidRPr="004D7191">
              <w:rPr>
                <w:rFonts w:hAnsi="Garamond"/>
              </w:rPr>
              <w:t xml:space="preserve"> </w:t>
            </w:r>
            <w:r w:rsidRPr="004D7191">
              <w:rPr>
                <w:rFonts w:hAnsi="Garamond"/>
              </w:rPr>
              <w:t>в</w:t>
            </w:r>
            <w:r w:rsidRPr="004D7191">
              <w:rPr>
                <w:rFonts w:hAnsi="Garamond"/>
              </w:rPr>
              <w:t xml:space="preserve"> </w:t>
            </w:r>
            <w:r w:rsidRPr="004D7191">
              <w:rPr>
                <w:rFonts w:hAnsi="Garamond"/>
              </w:rPr>
              <w:t>сутки</w:t>
            </w:r>
          </w:p>
        </w:tc>
        <w:tc>
          <w:tcPr>
            <w:tcW w:w="1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138455C" w14:textId="77777777" w:rsidR="004B3B82" w:rsidRDefault="004B3B82" w:rsidP="00CD3B05">
            <w:pPr>
              <w:jc w:val="center"/>
            </w:pPr>
            <w:r w:rsidRPr="004D7191">
              <w:rPr>
                <w:rFonts w:hAnsi="Garamond"/>
              </w:rPr>
              <w:t>Да</w:t>
            </w:r>
          </w:p>
        </w:tc>
        <w:tc>
          <w:tcPr>
            <w:tcW w:w="1200" w:type="dxa"/>
            <w:tcBorders>
              <w:top w:val="single" w:sz="4" w:space="0" w:color="000000"/>
              <w:left w:val="single" w:sz="4" w:space="0" w:color="000000"/>
              <w:bottom w:val="single" w:sz="4" w:space="0" w:color="000000"/>
              <w:right w:val="single" w:sz="4" w:space="0" w:color="000000"/>
            </w:tcBorders>
          </w:tcPr>
          <w:p w14:paraId="26C9A14E" w14:textId="77777777" w:rsidR="004B3B82" w:rsidRPr="004D7191" w:rsidRDefault="004B3B82" w:rsidP="00CD3B05">
            <w:pPr>
              <w:jc w:val="center"/>
              <w:rPr>
                <w:rFonts w:hAnsi="Garamond"/>
              </w:rPr>
            </w:pPr>
            <w:r>
              <w:rPr>
                <w:rFonts w:hAnsi="Garamond"/>
              </w:rPr>
              <w:t>Да</w:t>
            </w:r>
          </w:p>
        </w:tc>
      </w:tr>
      <w:tr w:rsidR="004B3B82" w14:paraId="751EBE5B" w14:textId="77777777" w:rsidTr="00CD3B05">
        <w:trPr>
          <w:trHeight w:val="250"/>
          <w:jc w:val="center"/>
        </w:trPr>
        <w:tc>
          <w:tcPr>
            <w:tcW w:w="4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5AEE625" w14:textId="77777777" w:rsidR="004B3B82" w:rsidRPr="007B5E5A" w:rsidRDefault="004B3B82" w:rsidP="00CD3B05">
            <w:pPr>
              <w:jc w:val="center"/>
              <w:rPr>
                <w:rFonts w:ascii="Garamond" w:hAnsi="Garamond"/>
              </w:rPr>
            </w:pPr>
            <w:r w:rsidRPr="007B5E5A">
              <w:rPr>
                <w:rFonts w:ascii="Garamond" w:hAnsi="Garamond"/>
              </w:rPr>
              <w:t>14</w:t>
            </w:r>
          </w:p>
        </w:tc>
        <w:tc>
          <w:tcPr>
            <w:tcW w:w="91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1BFD59C" w14:textId="77777777" w:rsidR="004B3B82" w:rsidRPr="0057513B" w:rsidRDefault="004B3B82" w:rsidP="00CD3B05">
            <w:pPr>
              <w:jc w:val="center"/>
            </w:pPr>
            <w:r w:rsidRPr="0057513B">
              <w:rPr>
                <w:rFonts w:hAnsi="Garamond"/>
              </w:rPr>
              <w:t>П</w:t>
            </w:r>
            <w:r w:rsidRPr="0057513B">
              <w:rPr>
                <w:rFonts w:hAnsi="Garamond"/>
                <w:vertAlign w:val="subscript"/>
              </w:rPr>
              <w:t>Ф</w:t>
            </w:r>
            <w:r w:rsidRPr="0057513B">
              <w:rPr>
                <w:rFonts w:ascii="Garamond"/>
                <w:vertAlign w:val="subscript"/>
              </w:rPr>
              <w:t>28</w:t>
            </w:r>
          </w:p>
        </w:tc>
        <w:tc>
          <w:tcPr>
            <w:tcW w:w="57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72960A" w14:textId="77777777" w:rsidR="004B3B82" w:rsidRPr="0057513B" w:rsidRDefault="004B3B82" w:rsidP="00CD3B05">
            <w:pPr>
              <w:ind w:left="34"/>
              <w:rPr>
                <w:rFonts w:hAnsi="Garamond"/>
              </w:rPr>
            </w:pPr>
            <w:r w:rsidRPr="0057513B">
              <w:rPr>
                <w:rFonts w:hAnsi="Garamond"/>
              </w:rPr>
              <w:t>Предоставление</w:t>
            </w:r>
            <w:r w:rsidRPr="0057513B">
              <w:rPr>
                <w:rFonts w:hAnsi="Garamond"/>
              </w:rPr>
              <w:t xml:space="preserve"> </w:t>
            </w:r>
            <w:r w:rsidRPr="0057513B">
              <w:rPr>
                <w:rFonts w:hAnsi="Garamond"/>
              </w:rPr>
              <w:t>в</w:t>
            </w:r>
            <w:r w:rsidRPr="0057513B">
              <w:rPr>
                <w:rFonts w:hAnsi="Garamond"/>
              </w:rPr>
              <w:t xml:space="preserve"> </w:t>
            </w:r>
            <w:r w:rsidRPr="0057513B">
              <w:rPr>
                <w:rFonts w:hAnsi="Garamond"/>
              </w:rPr>
              <w:t>ПАК</w:t>
            </w:r>
            <w:r w:rsidRPr="0057513B">
              <w:rPr>
                <w:rFonts w:hAnsi="Garamond"/>
              </w:rPr>
              <w:t xml:space="preserve"> </w:t>
            </w:r>
            <w:r w:rsidRPr="0057513B">
              <w:rPr>
                <w:rFonts w:hAnsi="Garamond"/>
              </w:rPr>
              <w:t>КО</w:t>
            </w:r>
            <w:r w:rsidRPr="0057513B">
              <w:rPr>
                <w:rFonts w:hAnsi="Garamond"/>
              </w:rPr>
              <w:t xml:space="preserve"> </w:t>
            </w:r>
            <w:r w:rsidRPr="0057513B">
              <w:rPr>
                <w:rFonts w:hAnsi="Garamond"/>
              </w:rPr>
              <w:t>результатов</w:t>
            </w:r>
            <w:r w:rsidRPr="0057513B">
              <w:rPr>
                <w:rFonts w:hAnsi="Garamond"/>
              </w:rPr>
              <w:t xml:space="preserve"> </w:t>
            </w:r>
            <w:r w:rsidRPr="0057513B">
              <w:rPr>
                <w:rFonts w:hAnsi="Garamond"/>
              </w:rPr>
              <w:t>измерений</w:t>
            </w:r>
            <w:r w:rsidRPr="0057513B">
              <w:rPr>
                <w:rFonts w:hAnsi="Garamond"/>
              </w:rPr>
              <w:t xml:space="preserve"> </w:t>
            </w:r>
            <w:r w:rsidRPr="0057513B">
              <w:rPr>
                <w:rFonts w:hAnsi="Garamond"/>
              </w:rPr>
              <w:t>с</w:t>
            </w:r>
            <w:r w:rsidRPr="0057513B">
              <w:rPr>
                <w:rFonts w:hAnsi="Garamond"/>
              </w:rPr>
              <w:t xml:space="preserve"> </w:t>
            </w:r>
            <w:r w:rsidRPr="0057513B">
              <w:rPr>
                <w:rFonts w:hAnsi="Garamond"/>
              </w:rPr>
              <w:t>обеспечением</w:t>
            </w:r>
            <w:r w:rsidRPr="0057513B">
              <w:rPr>
                <w:rFonts w:hAnsi="Garamond"/>
              </w:rPr>
              <w:t xml:space="preserve"> </w:t>
            </w:r>
            <w:r w:rsidRPr="0057513B">
              <w:rPr>
                <w:rFonts w:hAnsi="Garamond"/>
              </w:rPr>
              <w:t>защиты</w:t>
            </w:r>
            <w:r w:rsidRPr="0057513B">
              <w:rPr>
                <w:rFonts w:hAnsi="Garamond"/>
              </w:rPr>
              <w:t xml:space="preserve"> </w:t>
            </w:r>
            <w:r w:rsidRPr="0057513B">
              <w:rPr>
                <w:rFonts w:hAnsi="Garamond"/>
              </w:rPr>
              <w:t>информации</w:t>
            </w:r>
            <w:r w:rsidRPr="0057513B">
              <w:rPr>
                <w:rFonts w:hAnsi="Garamond"/>
              </w:rPr>
              <w:t xml:space="preserve"> </w:t>
            </w:r>
            <w:r w:rsidRPr="0057513B">
              <w:rPr>
                <w:rFonts w:hAnsi="Garamond"/>
              </w:rPr>
              <w:t>на</w:t>
            </w:r>
            <w:r w:rsidRPr="0057513B">
              <w:rPr>
                <w:rFonts w:hAnsi="Garamond"/>
              </w:rPr>
              <w:t xml:space="preserve"> </w:t>
            </w:r>
            <w:r w:rsidRPr="0057513B">
              <w:rPr>
                <w:rFonts w:hAnsi="Garamond"/>
              </w:rPr>
              <w:t>программном</w:t>
            </w:r>
            <w:r w:rsidRPr="0057513B">
              <w:rPr>
                <w:rFonts w:hAnsi="Garamond"/>
              </w:rPr>
              <w:t xml:space="preserve"> </w:t>
            </w:r>
            <w:r w:rsidRPr="0057513B">
              <w:rPr>
                <w:rFonts w:hAnsi="Garamond"/>
              </w:rPr>
              <w:t>уровне</w:t>
            </w:r>
            <w:r w:rsidRPr="0057513B">
              <w:rPr>
                <w:rFonts w:hAnsi="Garamond"/>
              </w:rPr>
              <w:t xml:space="preserve"> (</w:t>
            </w:r>
            <w:r w:rsidRPr="0057513B">
              <w:rPr>
                <w:rFonts w:hAnsi="Garamond"/>
              </w:rPr>
              <w:t>ЭП</w:t>
            </w:r>
            <w:r w:rsidRPr="0057513B">
              <w:rPr>
                <w:rFonts w:hAnsi="Garamond"/>
              </w:rPr>
              <w:t>)</w:t>
            </w:r>
          </w:p>
        </w:tc>
        <w:tc>
          <w:tcPr>
            <w:tcW w:w="1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1F2EBB3" w14:textId="77777777" w:rsidR="004B3B82" w:rsidRDefault="004B3B82" w:rsidP="00CD3B05">
            <w:pPr>
              <w:jc w:val="center"/>
            </w:pPr>
            <w:r w:rsidRPr="004D7191">
              <w:rPr>
                <w:rFonts w:hAnsi="Garamond"/>
              </w:rPr>
              <w:t>Да</w:t>
            </w:r>
          </w:p>
        </w:tc>
        <w:tc>
          <w:tcPr>
            <w:tcW w:w="1200" w:type="dxa"/>
            <w:tcBorders>
              <w:top w:val="single" w:sz="4" w:space="0" w:color="000000"/>
              <w:left w:val="single" w:sz="4" w:space="0" w:color="000000"/>
              <w:bottom w:val="single" w:sz="4" w:space="0" w:color="000000"/>
              <w:right w:val="single" w:sz="4" w:space="0" w:color="000000"/>
            </w:tcBorders>
            <w:vAlign w:val="center"/>
          </w:tcPr>
          <w:p w14:paraId="3F492BB6" w14:textId="77777777" w:rsidR="004B3B82" w:rsidRPr="004D7191" w:rsidRDefault="004B3B82" w:rsidP="00CD3B05">
            <w:pPr>
              <w:jc w:val="center"/>
              <w:rPr>
                <w:rFonts w:hAnsi="Garamond"/>
              </w:rPr>
            </w:pPr>
            <w:r>
              <w:rPr>
                <w:rFonts w:hAnsi="Garamond"/>
              </w:rPr>
              <w:t>Да</w:t>
            </w:r>
          </w:p>
        </w:tc>
      </w:tr>
      <w:tr w:rsidR="004B3B82" w:rsidRPr="003235B2" w14:paraId="3CDF6BAD" w14:textId="77777777" w:rsidTr="00CD3B05">
        <w:trPr>
          <w:trHeight w:val="496"/>
          <w:jc w:val="center"/>
        </w:trPr>
        <w:tc>
          <w:tcPr>
            <w:tcW w:w="4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7798FB6" w14:textId="77777777" w:rsidR="004B3B82" w:rsidRPr="003235B2" w:rsidRDefault="004B3B82" w:rsidP="00CD3B05">
            <w:pPr>
              <w:jc w:val="center"/>
              <w:rPr>
                <w:rFonts w:ascii="Garamond" w:hAnsi="Garamond"/>
              </w:rPr>
            </w:pPr>
            <w:r w:rsidRPr="003235B2">
              <w:rPr>
                <w:rFonts w:ascii="Garamond" w:hAnsi="Garamond"/>
              </w:rPr>
              <w:t>15</w:t>
            </w:r>
          </w:p>
        </w:tc>
        <w:tc>
          <w:tcPr>
            <w:tcW w:w="91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D8B0D43" w14:textId="77777777" w:rsidR="004B3B82" w:rsidRPr="003235B2" w:rsidRDefault="004B3B82" w:rsidP="00CD3B05">
            <w:pPr>
              <w:jc w:val="center"/>
            </w:pPr>
            <w:r w:rsidRPr="003235B2">
              <w:rPr>
                <w:rFonts w:hAnsi="Garamond"/>
              </w:rPr>
              <w:t>П</w:t>
            </w:r>
            <w:r w:rsidRPr="003235B2">
              <w:rPr>
                <w:rFonts w:hAnsi="Garamond"/>
                <w:vertAlign w:val="subscript"/>
              </w:rPr>
              <w:t>Ф</w:t>
            </w:r>
            <w:r w:rsidRPr="003235B2">
              <w:rPr>
                <w:rFonts w:ascii="Garamond"/>
                <w:vertAlign w:val="subscript"/>
              </w:rPr>
              <w:t>32</w:t>
            </w:r>
          </w:p>
        </w:tc>
        <w:tc>
          <w:tcPr>
            <w:tcW w:w="57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A889C81" w14:textId="77777777" w:rsidR="004B3B82" w:rsidRPr="003235B2" w:rsidRDefault="004B3B82" w:rsidP="00CD3B05">
            <w:pPr>
              <w:ind w:left="34"/>
              <w:rPr>
                <w:rFonts w:hAnsi="Garamond"/>
              </w:rPr>
            </w:pPr>
            <w:r w:rsidRPr="003235B2">
              <w:rPr>
                <w:rFonts w:hAnsi="Garamond"/>
              </w:rPr>
              <w:t>Дистанционный</w:t>
            </w:r>
            <w:r w:rsidRPr="003235B2">
              <w:rPr>
                <w:rFonts w:hAnsi="Garamond"/>
              </w:rPr>
              <w:t xml:space="preserve"> </w:t>
            </w:r>
            <w:r w:rsidRPr="003235B2">
              <w:rPr>
                <w:rFonts w:hAnsi="Garamond"/>
              </w:rPr>
              <w:t>доступ</w:t>
            </w:r>
            <w:r w:rsidRPr="003235B2">
              <w:rPr>
                <w:rFonts w:hAnsi="Garamond"/>
              </w:rPr>
              <w:t xml:space="preserve"> </w:t>
            </w:r>
            <w:r w:rsidRPr="003235B2">
              <w:rPr>
                <w:rFonts w:hAnsi="Garamond"/>
              </w:rPr>
              <w:t>к</w:t>
            </w:r>
            <w:r w:rsidRPr="003235B2">
              <w:rPr>
                <w:rFonts w:hAnsi="Garamond"/>
              </w:rPr>
              <w:t xml:space="preserve"> </w:t>
            </w:r>
            <w:r w:rsidRPr="003235B2">
              <w:rPr>
                <w:rFonts w:hAnsi="Garamond"/>
              </w:rPr>
              <w:t>АИИС</w:t>
            </w:r>
            <w:r w:rsidRPr="003235B2">
              <w:rPr>
                <w:rFonts w:hAnsi="Garamond"/>
              </w:rPr>
              <w:t xml:space="preserve"> </w:t>
            </w:r>
            <w:r w:rsidRPr="003235B2">
              <w:rPr>
                <w:rFonts w:hAnsi="Garamond"/>
              </w:rPr>
              <w:t>КУЭ</w:t>
            </w:r>
            <w:r w:rsidRPr="003235B2">
              <w:rPr>
                <w:rFonts w:hAnsi="Garamond"/>
              </w:rPr>
              <w:t xml:space="preserve"> </w:t>
            </w:r>
            <w:r w:rsidRPr="003235B2">
              <w:rPr>
                <w:rFonts w:hAnsi="Garamond"/>
              </w:rPr>
              <w:t>для</w:t>
            </w:r>
            <w:r w:rsidRPr="003235B2">
              <w:rPr>
                <w:rFonts w:hAnsi="Garamond"/>
              </w:rPr>
              <w:t xml:space="preserve"> </w:t>
            </w:r>
            <w:r w:rsidRPr="003235B2">
              <w:rPr>
                <w:rFonts w:hAnsi="Garamond"/>
              </w:rPr>
              <w:t>контроля</w:t>
            </w:r>
            <w:r w:rsidRPr="003235B2">
              <w:rPr>
                <w:rFonts w:hAnsi="Garamond"/>
              </w:rPr>
              <w:t xml:space="preserve"> </w:t>
            </w:r>
            <w:r w:rsidRPr="003235B2">
              <w:rPr>
                <w:rFonts w:hAnsi="Garamond"/>
              </w:rPr>
              <w:t>со</w:t>
            </w:r>
            <w:r w:rsidRPr="003235B2">
              <w:rPr>
                <w:rFonts w:hAnsi="Garamond"/>
              </w:rPr>
              <w:t xml:space="preserve"> </w:t>
            </w:r>
            <w:r w:rsidRPr="003235B2">
              <w:rPr>
                <w:rFonts w:hAnsi="Garamond"/>
              </w:rPr>
              <w:t>стороны</w:t>
            </w:r>
            <w:r w:rsidRPr="003235B2">
              <w:rPr>
                <w:rFonts w:hAnsi="Garamond"/>
              </w:rPr>
              <w:t xml:space="preserve"> </w:t>
            </w:r>
            <w:r w:rsidRPr="003235B2">
              <w:rPr>
                <w:rFonts w:hAnsi="Garamond"/>
              </w:rPr>
              <w:t>КО</w:t>
            </w:r>
          </w:p>
        </w:tc>
        <w:tc>
          <w:tcPr>
            <w:tcW w:w="1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5E8E08D" w14:textId="77777777" w:rsidR="004B3B82" w:rsidRPr="003235B2" w:rsidRDefault="004B3B82" w:rsidP="00CD3B05">
            <w:pPr>
              <w:jc w:val="center"/>
              <w:rPr>
                <w:rFonts w:hAnsi="Garamond"/>
              </w:rPr>
            </w:pPr>
            <w:r w:rsidRPr="003235B2">
              <w:rPr>
                <w:rFonts w:hAnsi="Garamond"/>
              </w:rPr>
              <w:t>Да</w:t>
            </w:r>
          </w:p>
        </w:tc>
        <w:tc>
          <w:tcPr>
            <w:tcW w:w="1200" w:type="dxa"/>
            <w:tcBorders>
              <w:top w:val="single" w:sz="4" w:space="0" w:color="000000"/>
              <w:left w:val="single" w:sz="4" w:space="0" w:color="000000"/>
              <w:bottom w:val="single" w:sz="4" w:space="0" w:color="000000"/>
              <w:right w:val="single" w:sz="4" w:space="0" w:color="000000"/>
            </w:tcBorders>
            <w:vAlign w:val="center"/>
          </w:tcPr>
          <w:p w14:paraId="21FB32FA" w14:textId="77777777" w:rsidR="004B3B82" w:rsidRPr="003235B2" w:rsidRDefault="004B3B82" w:rsidP="00CD3B05">
            <w:pPr>
              <w:jc w:val="center"/>
              <w:rPr>
                <w:rFonts w:hAnsi="Garamond"/>
              </w:rPr>
            </w:pPr>
            <w:r w:rsidRPr="003235B2">
              <w:rPr>
                <w:rFonts w:hAnsi="Garamond"/>
              </w:rPr>
              <w:t>Да</w:t>
            </w:r>
          </w:p>
        </w:tc>
      </w:tr>
      <w:tr w:rsidR="004B3B82" w:rsidRPr="003235B2" w14:paraId="6EE633DB" w14:textId="77777777" w:rsidTr="00CD3B05">
        <w:trPr>
          <w:trHeight w:val="250"/>
          <w:jc w:val="center"/>
        </w:trPr>
        <w:tc>
          <w:tcPr>
            <w:tcW w:w="4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23290EE" w14:textId="77777777" w:rsidR="004B3B82" w:rsidRPr="003235B2" w:rsidRDefault="004B3B82" w:rsidP="00CD3B05">
            <w:pPr>
              <w:jc w:val="center"/>
              <w:rPr>
                <w:rFonts w:ascii="Garamond" w:hAnsi="Garamond"/>
              </w:rPr>
            </w:pPr>
            <w:r w:rsidRPr="003235B2">
              <w:rPr>
                <w:rFonts w:ascii="Garamond" w:hAnsi="Garamond"/>
              </w:rPr>
              <w:t>16</w:t>
            </w:r>
          </w:p>
        </w:tc>
        <w:tc>
          <w:tcPr>
            <w:tcW w:w="91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8EEE66F" w14:textId="77777777" w:rsidR="004B3B82" w:rsidRPr="003235B2" w:rsidRDefault="004B3B82" w:rsidP="00CD3B05">
            <w:pPr>
              <w:jc w:val="center"/>
            </w:pPr>
            <w:r w:rsidRPr="003235B2">
              <w:rPr>
                <w:rFonts w:hAnsi="Garamond"/>
              </w:rPr>
              <w:t>П</w:t>
            </w:r>
            <w:r w:rsidRPr="003235B2">
              <w:rPr>
                <w:rFonts w:hAnsi="Garamond"/>
                <w:vertAlign w:val="subscript"/>
              </w:rPr>
              <w:t>Ф</w:t>
            </w:r>
            <w:r w:rsidRPr="003235B2">
              <w:rPr>
                <w:rFonts w:ascii="Garamond"/>
                <w:vertAlign w:val="subscript"/>
              </w:rPr>
              <w:t>40</w:t>
            </w:r>
          </w:p>
        </w:tc>
        <w:tc>
          <w:tcPr>
            <w:tcW w:w="57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00B005A" w14:textId="77777777" w:rsidR="004B3B82" w:rsidRPr="003235B2" w:rsidRDefault="004B3B82" w:rsidP="00CD3B05">
            <w:pPr>
              <w:ind w:left="34"/>
            </w:pPr>
            <w:r w:rsidRPr="003235B2">
              <w:rPr>
                <w:rFonts w:hAnsi="Garamond"/>
              </w:rPr>
              <w:t>Глубина</w:t>
            </w:r>
            <w:r w:rsidRPr="003235B2">
              <w:rPr>
                <w:rFonts w:hAnsi="Garamond"/>
              </w:rPr>
              <w:t xml:space="preserve"> </w:t>
            </w:r>
            <w:r w:rsidRPr="003235B2">
              <w:rPr>
                <w:rFonts w:hAnsi="Garamond"/>
              </w:rPr>
              <w:t>хранения</w:t>
            </w:r>
            <w:r w:rsidRPr="003235B2">
              <w:rPr>
                <w:rFonts w:hAnsi="Garamond"/>
              </w:rPr>
              <w:t xml:space="preserve"> </w:t>
            </w:r>
            <w:r w:rsidRPr="003235B2">
              <w:rPr>
                <w:rFonts w:hAnsi="Garamond"/>
              </w:rPr>
              <w:t>информации</w:t>
            </w:r>
            <w:r w:rsidRPr="003235B2">
              <w:rPr>
                <w:rFonts w:hAnsi="Garamond"/>
              </w:rPr>
              <w:t xml:space="preserve"> </w:t>
            </w:r>
            <w:r w:rsidRPr="003235B2">
              <w:rPr>
                <w:rFonts w:ascii="Garamond"/>
              </w:rPr>
              <w:t>(</w:t>
            </w:r>
            <w:r w:rsidRPr="003235B2">
              <w:rPr>
                <w:rFonts w:hAnsi="Garamond"/>
              </w:rPr>
              <w:t>профиля</w:t>
            </w:r>
            <w:r w:rsidRPr="003235B2">
              <w:rPr>
                <w:rFonts w:ascii="Garamond"/>
              </w:rPr>
              <w:t xml:space="preserve">) </w:t>
            </w:r>
            <w:r w:rsidRPr="003235B2">
              <w:rPr>
                <w:rFonts w:hAnsi="Garamond"/>
              </w:rPr>
              <w:t>в</w:t>
            </w:r>
            <w:r w:rsidRPr="003235B2">
              <w:rPr>
                <w:rFonts w:hAnsi="Garamond"/>
              </w:rPr>
              <w:t xml:space="preserve"> </w:t>
            </w:r>
            <w:r w:rsidRPr="003235B2">
              <w:rPr>
                <w:rFonts w:hAnsi="Garamond"/>
              </w:rPr>
              <w:t>ИИК</w:t>
            </w:r>
          </w:p>
        </w:tc>
        <w:tc>
          <w:tcPr>
            <w:tcW w:w="1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1192FE0" w14:textId="77777777" w:rsidR="004B3B82" w:rsidRPr="003235B2" w:rsidRDefault="004B3B82" w:rsidP="00CD3B05">
            <w:pPr>
              <w:jc w:val="center"/>
            </w:pPr>
            <w:r w:rsidRPr="003235B2">
              <w:rPr>
                <w:rFonts w:hAnsi="Garamond"/>
              </w:rPr>
              <w:t>Да</w:t>
            </w:r>
          </w:p>
        </w:tc>
        <w:tc>
          <w:tcPr>
            <w:tcW w:w="1200" w:type="dxa"/>
            <w:tcBorders>
              <w:top w:val="single" w:sz="4" w:space="0" w:color="000000"/>
              <w:left w:val="single" w:sz="4" w:space="0" w:color="000000"/>
              <w:bottom w:val="single" w:sz="4" w:space="0" w:color="000000"/>
              <w:right w:val="single" w:sz="4" w:space="0" w:color="000000"/>
            </w:tcBorders>
          </w:tcPr>
          <w:p w14:paraId="0E4E5A2D" w14:textId="77777777" w:rsidR="004B3B82" w:rsidRPr="003235B2" w:rsidRDefault="004B3B82" w:rsidP="00CD3B05">
            <w:pPr>
              <w:jc w:val="center"/>
              <w:rPr>
                <w:rFonts w:hAnsi="Garamond"/>
              </w:rPr>
            </w:pPr>
            <w:r w:rsidRPr="003235B2">
              <w:rPr>
                <w:rFonts w:hAnsi="Garamond"/>
              </w:rPr>
              <w:t>Да</w:t>
            </w:r>
          </w:p>
        </w:tc>
      </w:tr>
      <w:tr w:rsidR="004B3B82" w:rsidRPr="003235B2" w14:paraId="216278DA" w14:textId="77777777" w:rsidTr="00CD3B05">
        <w:trPr>
          <w:trHeight w:val="250"/>
          <w:jc w:val="center"/>
        </w:trPr>
        <w:tc>
          <w:tcPr>
            <w:tcW w:w="4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0604BA7" w14:textId="77777777" w:rsidR="004B3B82" w:rsidRPr="003235B2" w:rsidRDefault="004B3B82" w:rsidP="00CD3B05">
            <w:pPr>
              <w:jc w:val="center"/>
              <w:rPr>
                <w:rFonts w:ascii="Garamond" w:hAnsi="Garamond"/>
              </w:rPr>
            </w:pPr>
            <w:r w:rsidRPr="003235B2">
              <w:rPr>
                <w:rFonts w:ascii="Garamond" w:hAnsi="Garamond"/>
              </w:rPr>
              <w:t>17</w:t>
            </w:r>
          </w:p>
        </w:tc>
        <w:tc>
          <w:tcPr>
            <w:tcW w:w="91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942F924" w14:textId="77777777" w:rsidR="004B3B82" w:rsidRPr="003235B2" w:rsidRDefault="004B3B82" w:rsidP="00CD3B05">
            <w:pPr>
              <w:jc w:val="center"/>
            </w:pPr>
            <w:r w:rsidRPr="003235B2">
              <w:rPr>
                <w:rFonts w:hAnsi="Garamond"/>
              </w:rPr>
              <w:t>П</w:t>
            </w:r>
            <w:r w:rsidRPr="003235B2">
              <w:rPr>
                <w:rFonts w:hAnsi="Garamond"/>
                <w:vertAlign w:val="subscript"/>
              </w:rPr>
              <w:t>Ф</w:t>
            </w:r>
            <w:r w:rsidRPr="003235B2">
              <w:rPr>
                <w:rFonts w:ascii="Garamond"/>
                <w:vertAlign w:val="subscript"/>
              </w:rPr>
              <w:t>41</w:t>
            </w:r>
          </w:p>
        </w:tc>
        <w:tc>
          <w:tcPr>
            <w:tcW w:w="57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5CD21C" w14:textId="77777777" w:rsidR="004B3B82" w:rsidRPr="003235B2" w:rsidRDefault="004B3B82" w:rsidP="00CD3B05">
            <w:pPr>
              <w:ind w:left="34"/>
            </w:pPr>
            <w:r w:rsidRPr="003235B2">
              <w:rPr>
                <w:rFonts w:hAnsi="Garamond"/>
              </w:rPr>
              <w:t>Глубина</w:t>
            </w:r>
            <w:r w:rsidRPr="003235B2">
              <w:rPr>
                <w:rFonts w:hAnsi="Garamond"/>
              </w:rPr>
              <w:t xml:space="preserve"> </w:t>
            </w:r>
            <w:r w:rsidRPr="003235B2">
              <w:rPr>
                <w:rFonts w:hAnsi="Garamond"/>
              </w:rPr>
              <w:t>хранения</w:t>
            </w:r>
            <w:r w:rsidRPr="003235B2">
              <w:rPr>
                <w:rFonts w:hAnsi="Garamond"/>
              </w:rPr>
              <w:t xml:space="preserve"> </w:t>
            </w:r>
            <w:r w:rsidRPr="003235B2">
              <w:rPr>
                <w:rFonts w:hAnsi="Garamond"/>
              </w:rPr>
              <w:t>информации</w:t>
            </w:r>
            <w:r w:rsidRPr="003235B2">
              <w:rPr>
                <w:rFonts w:hAnsi="Garamond"/>
              </w:rPr>
              <w:t xml:space="preserve"> </w:t>
            </w:r>
            <w:r w:rsidRPr="003235B2">
              <w:rPr>
                <w:rFonts w:ascii="Garamond"/>
              </w:rPr>
              <w:t>(</w:t>
            </w:r>
            <w:r w:rsidRPr="003235B2">
              <w:rPr>
                <w:rFonts w:hAnsi="Garamond"/>
              </w:rPr>
              <w:t>профиля</w:t>
            </w:r>
            <w:r w:rsidRPr="003235B2">
              <w:rPr>
                <w:rFonts w:ascii="Garamond"/>
              </w:rPr>
              <w:t xml:space="preserve">) </w:t>
            </w:r>
            <w:r w:rsidRPr="003235B2">
              <w:rPr>
                <w:rFonts w:hAnsi="Garamond"/>
              </w:rPr>
              <w:t>в</w:t>
            </w:r>
            <w:r w:rsidRPr="003235B2">
              <w:rPr>
                <w:rFonts w:hAnsi="Garamond"/>
              </w:rPr>
              <w:t xml:space="preserve"> </w:t>
            </w:r>
            <w:r w:rsidRPr="003235B2">
              <w:rPr>
                <w:rFonts w:hAnsi="Garamond"/>
              </w:rPr>
              <w:t>ИВКЭ</w:t>
            </w:r>
          </w:p>
        </w:tc>
        <w:tc>
          <w:tcPr>
            <w:tcW w:w="1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8F57BEC" w14:textId="77777777" w:rsidR="004B3B82" w:rsidRPr="003235B2" w:rsidRDefault="004B3B82" w:rsidP="00CD3B05">
            <w:pPr>
              <w:jc w:val="center"/>
            </w:pPr>
            <w:r w:rsidRPr="003235B2">
              <w:rPr>
                <w:rFonts w:hAnsi="Garamond"/>
              </w:rPr>
              <w:t>Да</w:t>
            </w:r>
          </w:p>
        </w:tc>
        <w:tc>
          <w:tcPr>
            <w:tcW w:w="1200" w:type="dxa"/>
            <w:tcBorders>
              <w:top w:val="single" w:sz="4" w:space="0" w:color="000000"/>
              <w:left w:val="single" w:sz="4" w:space="0" w:color="000000"/>
              <w:bottom w:val="single" w:sz="4" w:space="0" w:color="000000"/>
              <w:right w:val="single" w:sz="4" w:space="0" w:color="000000"/>
            </w:tcBorders>
          </w:tcPr>
          <w:p w14:paraId="7CA00165" w14:textId="77777777" w:rsidR="004B3B82" w:rsidRPr="003235B2" w:rsidRDefault="004B3B82" w:rsidP="00CD3B05">
            <w:pPr>
              <w:jc w:val="center"/>
              <w:rPr>
                <w:rFonts w:hAnsi="Garamond"/>
              </w:rPr>
            </w:pPr>
            <w:r w:rsidRPr="003235B2">
              <w:rPr>
                <w:rFonts w:hAnsi="Garamond"/>
              </w:rPr>
              <w:t>Да</w:t>
            </w:r>
          </w:p>
        </w:tc>
      </w:tr>
      <w:tr w:rsidR="004B3B82" w:rsidRPr="003235B2" w14:paraId="7B1C4A11" w14:textId="77777777" w:rsidTr="00CD3B05">
        <w:trPr>
          <w:trHeight w:val="250"/>
          <w:jc w:val="center"/>
        </w:trPr>
        <w:tc>
          <w:tcPr>
            <w:tcW w:w="4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9C31218" w14:textId="77777777" w:rsidR="004B3B82" w:rsidRPr="003235B2" w:rsidRDefault="004B3B82" w:rsidP="00CD3B05">
            <w:pPr>
              <w:jc w:val="center"/>
              <w:rPr>
                <w:rFonts w:ascii="Garamond" w:hAnsi="Garamond"/>
              </w:rPr>
            </w:pPr>
            <w:r w:rsidRPr="003235B2">
              <w:rPr>
                <w:rFonts w:ascii="Garamond" w:hAnsi="Garamond"/>
              </w:rPr>
              <w:t>18</w:t>
            </w:r>
          </w:p>
        </w:tc>
        <w:tc>
          <w:tcPr>
            <w:tcW w:w="91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B9A06D3" w14:textId="77777777" w:rsidR="004B3B82" w:rsidRPr="003235B2" w:rsidRDefault="004B3B82" w:rsidP="00CD3B05">
            <w:pPr>
              <w:jc w:val="center"/>
            </w:pPr>
            <w:r w:rsidRPr="003235B2">
              <w:rPr>
                <w:rFonts w:hAnsi="Garamond"/>
              </w:rPr>
              <w:t>П</w:t>
            </w:r>
            <w:r w:rsidRPr="003235B2">
              <w:rPr>
                <w:rFonts w:hAnsi="Garamond"/>
                <w:vertAlign w:val="subscript"/>
              </w:rPr>
              <w:t>Ф</w:t>
            </w:r>
            <w:r w:rsidRPr="003235B2">
              <w:rPr>
                <w:rFonts w:ascii="Garamond"/>
                <w:vertAlign w:val="subscript"/>
              </w:rPr>
              <w:t>42</w:t>
            </w:r>
          </w:p>
        </w:tc>
        <w:tc>
          <w:tcPr>
            <w:tcW w:w="57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F0499E7" w14:textId="77777777" w:rsidR="004B3B82" w:rsidRPr="003235B2" w:rsidRDefault="004B3B82" w:rsidP="00CD3B05">
            <w:pPr>
              <w:ind w:left="34"/>
            </w:pPr>
            <w:r w:rsidRPr="003235B2">
              <w:rPr>
                <w:rFonts w:hAnsi="Garamond"/>
              </w:rPr>
              <w:t>Глубина</w:t>
            </w:r>
            <w:r w:rsidRPr="003235B2">
              <w:rPr>
                <w:rFonts w:hAnsi="Garamond"/>
              </w:rPr>
              <w:t xml:space="preserve"> </w:t>
            </w:r>
            <w:r w:rsidRPr="003235B2">
              <w:rPr>
                <w:rFonts w:hAnsi="Garamond"/>
              </w:rPr>
              <w:t>хранения</w:t>
            </w:r>
            <w:r w:rsidRPr="003235B2">
              <w:rPr>
                <w:rFonts w:hAnsi="Garamond"/>
              </w:rPr>
              <w:t xml:space="preserve"> </w:t>
            </w:r>
            <w:r w:rsidRPr="003235B2">
              <w:rPr>
                <w:rFonts w:hAnsi="Garamond"/>
              </w:rPr>
              <w:t>информации</w:t>
            </w:r>
            <w:r w:rsidRPr="003235B2">
              <w:rPr>
                <w:rFonts w:hAnsi="Garamond"/>
              </w:rPr>
              <w:t xml:space="preserve"> </w:t>
            </w:r>
            <w:r w:rsidRPr="003235B2">
              <w:rPr>
                <w:rFonts w:hAnsi="Garamond"/>
              </w:rPr>
              <w:t>в</w:t>
            </w:r>
            <w:r w:rsidRPr="003235B2">
              <w:rPr>
                <w:rFonts w:hAnsi="Garamond"/>
              </w:rPr>
              <w:t xml:space="preserve"> </w:t>
            </w:r>
            <w:r w:rsidRPr="003235B2">
              <w:rPr>
                <w:rFonts w:hAnsi="Garamond"/>
              </w:rPr>
              <w:t>ИВК</w:t>
            </w:r>
          </w:p>
        </w:tc>
        <w:tc>
          <w:tcPr>
            <w:tcW w:w="1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E91172B" w14:textId="77777777" w:rsidR="004B3B82" w:rsidRPr="003235B2" w:rsidRDefault="004B3B82" w:rsidP="00CD3B05">
            <w:pPr>
              <w:jc w:val="center"/>
            </w:pPr>
            <w:r w:rsidRPr="003235B2">
              <w:rPr>
                <w:rFonts w:hAnsi="Garamond"/>
              </w:rPr>
              <w:t>Да</w:t>
            </w:r>
          </w:p>
        </w:tc>
        <w:tc>
          <w:tcPr>
            <w:tcW w:w="1200" w:type="dxa"/>
            <w:tcBorders>
              <w:top w:val="single" w:sz="4" w:space="0" w:color="000000"/>
              <w:left w:val="single" w:sz="4" w:space="0" w:color="000000"/>
              <w:bottom w:val="single" w:sz="4" w:space="0" w:color="000000"/>
              <w:right w:val="single" w:sz="4" w:space="0" w:color="000000"/>
            </w:tcBorders>
          </w:tcPr>
          <w:p w14:paraId="1F32CE2D" w14:textId="77777777" w:rsidR="004B3B82" w:rsidRPr="003235B2" w:rsidRDefault="004B3B82" w:rsidP="00CD3B05">
            <w:pPr>
              <w:jc w:val="center"/>
              <w:rPr>
                <w:rFonts w:hAnsi="Garamond"/>
              </w:rPr>
            </w:pPr>
            <w:r w:rsidRPr="003235B2">
              <w:rPr>
                <w:rFonts w:hAnsi="Garamond"/>
              </w:rPr>
              <w:t>Да</w:t>
            </w:r>
          </w:p>
        </w:tc>
      </w:tr>
      <w:tr w:rsidR="004B3B82" w:rsidRPr="003235B2" w14:paraId="760A1407" w14:textId="77777777" w:rsidTr="00CD3B05">
        <w:trPr>
          <w:trHeight w:val="250"/>
          <w:jc w:val="center"/>
        </w:trPr>
        <w:tc>
          <w:tcPr>
            <w:tcW w:w="7161"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7527773" w14:textId="77777777" w:rsidR="004B3B82" w:rsidRPr="003235B2" w:rsidRDefault="004B3B82" w:rsidP="00CD3B05">
            <w:pPr>
              <w:ind w:left="34"/>
            </w:pPr>
            <w:r w:rsidRPr="003235B2">
              <w:rPr>
                <w:rFonts w:hAnsi="Garamond"/>
                <w:b/>
                <w:bCs/>
              </w:rPr>
              <w:t>Всего</w:t>
            </w:r>
            <w:r w:rsidRPr="003235B2">
              <w:rPr>
                <w:rFonts w:hAnsi="Garamond"/>
                <w:b/>
                <w:bCs/>
              </w:rPr>
              <w:t xml:space="preserve"> </w:t>
            </w:r>
            <w:r w:rsidRPr="003235B2">
              <w:rPr>
                <w:rFonts w:hAnsi="Garamond"/>
                <w:b/>
                <w:bCs/>
              </w:rPr>
              <w:t>параметров</w:t>
            </w:r>
            <w:r w:rsidRPr="00D051E8">
              <w:rPr>
                <w:rFonts w:ascii="Garamond"/>
                <w:b/>
                <w:bCs/>
                <w:highlight w:val="yellow"/>
              </w:rPr>
              <w:t xml:space="preserve">, </w:t>
            </w:r>
            <w:r w:rsidRPr="00D051E8">
              <w:rPr>
                <w:rFonts w:hAnsi="Garamond"/>
                <w:b/>
                <w:bCs/>
                <w:highlight w:val="yellow"/>
              </w:rPr>
              <w:t>проверяемых</w:t>
            </w:r>
            <w:r w:rsidRPr="00D051E8">
              <w:rPr>
                <w:rFonts w:hAnsi="Garamond"/>
                <w:b/>
                <w:bCs/>
                <w:highlight w:val="yellow"/>
              </w:rPr>
              <w:t xml:space="preserve"> </w:t>
            </w:r>
            <w:r w:rsidRPr="00D051E8">
              <w:rPr>
                <w:rFonts w:hAnsi="Garamond"/>
                <w:b/>
                <w:bCs/>
                <w:highlight w:val="yellow"/>
              </w:rPr>
              <w:t>при</w:t>
            </w:r>
            <w:r w:rsidRPr="00D051E8">
              <w:rPr>
                <w:rFonts w:hAnsi="Garamond"/>
                <w:b/>
                <w:bCs/>
                <w:highlight w:val="yellow"/>
              </w:rPr>
              <w:t xml:space="preserve"> </w:t>
            </w:r>
            <w:r w:rsidRPr="00D051E8">
              <w:rPr>
                <w:rFonts w:ascii="Garamond" w:hAnsi="Garamond"/>
                <w:b/>
                <w:bCs/>
                <w:highlight w:val="yellow"/>
              </w:rPr>
              <w:t xml:space="preserve">установлении соответствия </w:t>
            </w:r>
            <w:r w:rsidRPr="00D051E8">
              <w:rPr>
                <w:rFonts w:hAnsi="Garamond"/>
                <w:b/>
                <w:bCs/>
                <w:highlight w:val="yellow"/>
              </w:rPr>
              <w:t>АИИС</w:t>
            </w:r>
            <w:r w:rsidRPr="00D051E8">
              <w:rPr>
                <w:rFonts w:hAnsi="Garamond"/>
                <w:b/>
                <w:bCs/>
                <w:highlight w:val="yellow"/>
              </w:rPr>
              <w:t xml:space="preserve"> </w:t>
            </w:r>
            <w:r w:rsidRPr="00D051E8">
              <w:rPr>
                <w:rFonts w:hAnsi="Garamond"/>
                <w:b/>
                <w:bCs/>
                <w:highlight w:val="yellow"/>
              </w:rPr>
              <w:t>КУЭ</w:t>
            </w:r>
            <w:r w:rsidRPr="003235B2">
              <w:rPr>
                <w:rFonts w:ascii="Garamond"/>
                <w:b/>
                <w:bCs/>
              </w:rPr>
              <w:t>:</w:t>
            </w:r>
          </w:p>
        </w:tc>
        <w:tc>
          <w:tcPr>
            <w:tcW w:w="1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1BD2144" w14:textId="77777777" w:rsidR="004B3B82" w:rsidRPr="003235B2" w:rsidRDefault="004B3B82" w:rsidP="00CD3B05">
            <w:pPr>
              <w:jc w:val="center"/>
            </w:pPr>
            <w:r w:rsidRPr="003235B2">
              <w:rPr>
                <w:rFonts w:ascii="Garamond"/>
                <w:b/>
                <w:bCs/>
              </w:rPr>
              <w:t>18</w:t>
            </w:r>
          </w:p>
        </w:tc>
        <w:tc>
          <w:tcPr>
            <w:tcW w:w="1200" w:type="dxa"/>
            <w:tcBorders>
              <w:top w:val="single" w:sz="4" w:space="0" w:color="000000"/>
              <w:left w:val="single" w:sz="4" w:space="0" w:color="000000"/>
              <w:bottom w:val="single" w:sz="4" w:space="0" w:color="000000"/>
              <w:right w:val="single" w:sz="4" w:space="0" w:color="000000"/>
            </w:tcBorders>
          </w:tcPr>
          <w:p w14:paraId="4FB1E0CE" w14:textId="77777777" w:rsidR="004B3B82" w:rsidRPr="003235B2" w:rsidRDefault="004B3B82" w:rsidP="00CD3B05">
            <w:pPr>
              <w:jc w:val="center"/>
              <w:rPr>
                <w:rFonts w:ascii="Garamond" w:hAnsi="Garamond"/>
                <w:b/>
              </w:rPr>
            </w:pPr>
            <w:r w:rsidRPr="003235B2">
              <w:rPr>
                <w:rFonts w:ascii="Garamond" w:hAnsi="Garamond"/>
                <w:b/>
              </w:rPr>
              <w:t>15</w:t>
            </w:r>
          </w:p>
        </w:tc>
      </w:tr>
    </w:tbl>
    <w:p w14:paraId="7BAF558A" w14:textId="77777777" w:rsidR="004B3B82" w:rsidRPr="003235B2" w:rsidRDefault="004B3B82" w:rsidP="00101F7C">
      <w:pPr>
        <w:jc w:val="both"/>
        <w:rPr>
          <w:rFonts w:ascii="Garamond" w:hAnsi="Garamond"/>
          <w:i/>
        </w:rPr>
      </w:pPr>
    </w:p>
    <w:p w14:paraId="107178DC" w14:textId="77777777" w:rsidR="004B3B82" w:rsidRPr="005F754A" w:rsidRDefault="004B3B82" w:rsidP="00101F7C">
      <w:pPr>
        <w:jc w:val="both"/>
        <w:rPr>
          <w:rFonts w:ascii="Garamond" w:hAnsi="Garamond"/>
        </w:rPr>
      </w:pPr>
      <w:r w:rsidRPr="003235B2">
        <w:rPr>
          <w:rFonts w:ascii="Garamond" w:hAnsi="Garamond"/>
          <w:i/>
        </w:rPr>
        <w:t>Примечание</w:t>
      </w:r>
      <w:r w:rsidRPr="003235B2">
        <w:rPr>
          <w:rFonts w:ascii="Garamond" w:hAnsi="Garamond"/>
        </w:rPr>
        <w:t>. При установлении соответствия АИИС КУЭ техническим требованиям оптового рынка в случаях, предусмотренных п. 1.2.1 настоящего Порядка, параметр не проверяется в отношении технического устройства без измерительной функции.</w:t>
      </w:r>
    </w:p>
    <w:p w14:paraId="6C364EC9" w14:textId="77777777" w:rsidR="004B3B82" w:rsidRDefault="004B3B82" w:rsidP="00101F7C">
      <w:pPr>
        <w:jc w:val="right"/>
        <w:rPr>
          <w:rFonts w:ascii="Garamond" w:hAnsi="Garamond"/>
        </w:rPr>
      </w:pPr>
      <w:r>
        <w:rPr>
          <w:rFonts w:ascii="Garamond" w:hAnsi="Garamond"/>
        </w:rPr>
        <w:br w:type="page"/>
      </w:r>
    </w:p>
    <w:p w14:paraId="7A795E11" w14:textId="77777777" w:rsidR="004B3B82" w:rsidRPr="005C63E5" w:rsidRDefault="004B3B82" w:rsidP="00101F7C">
      <w:pPr>
        <w:suppressAutoHyphens w:val="0"/>
        <w:ind w:left="284"/>
        <w:rPr>
          <w:rFonts w:ascii="Garamond" w:hAnsi="Garamond"/>
          <w:b/>
          <w:sz w:val="22"/>
          <w:szCs w:val="22"/>
        </w:rPr>
      </w:pPr>
      <w:r>
        <w:rPr>
          <w:rFonts w:ascii="Garamond" w:hAnsi="Garamond"/>
          <w:b/>
          <w:sz w:val="22"/>
          <w:szCs w:val="22"/>
        </w:rPr>
        <w:lastRenderedPageBreak/>
        <w:t>Предлагаемая</w:t>
      </w:r>
      <w:r w:rsidRPr="005C63E5">
        <w:rPr>
          <w:rFonts w:ascii="Garamond" w:hAnsi="Garamond"/>
          <w:b/>
          <w:sz w:val="22"/>
          <w:szCs w:val="22"/>
        </w:rPr>
        <w:t xml:space="preserve"> редакция</w:t>
      </w:r>
    </w:p>
    <w:p w14:paraId="1D1AA57E" w14:textId="77777777" w:rsidR="004B3B82" w:rsidRDefault="004B3B82" w:rsidP="00101F7C">
      <w:pPr>
        <w:suppressAutoHyphens w:val="0"/>
        <w:ind w:left="709"/>
        <w:jc w:val="right"/>
        <w:rPr>
          <w:rFonts w:ascii="Garamond" w:hAnsi="Garamond"/>
          <w:b/>
          <w:sz w:val="22"/>
          <w:szCs w:val="22"/>
        </w:rPr>
      </w:pPr>
      <w:r>
        <w:rPr>
          <w:rFonts w:ascii="Garamond" w:hAnsi="Garamond"/>
          <w:b/>
          <w:sz w:val="22"/>
          <w:szCs w:val="22"/>
        </w:rPr>
        <w:t>П</w:t>
      </w:r>
      <w:r w:rsidRPr="003A2EF4">
        <w:rPr>
          <w:rFonts w:ascii="Garamond" w:hAnsi="Garamond"/>
          <w:b/>
          <w:sz w:val="22"/>
          <w:szCs w:val="22"/>
        </w:rPr>
        <w:t xml:space="preserve">риложение </w:t>
      </w:r>
      <w:r>
        <w:rPr>
          <w:rFonts w:ascii="Garamond" w:hAnsi="Garamond"/>
          <w:b/>
          <w:sz w:val="22"/>
          <w:szCs w:val="22"/>
        </w:rPr>
        <w:t>2</w:t>
      </w:r>
    </w:p>
    <w:p w14:paraId="224B9B3B" w14:textId="77777777" w:rsidR="004B3B82" w:rsidRDefault="004B3B82" w:rsidP="00101F7C">
      <w:pPr>
        <w:jc w:val="right"/>
        <w:rPr>
          <w:rFonts w:ascii="Garamond"/>
          <w:b/>
          <w:bCs/>
          <w:sz w:val="22"/>
          <w:szCs w:val="22"/>
        </w:rPr>
      </w:pPr>
      <w:r>
        <w:rPr>
          <w:rFonts w:hAnsi="Garamond"/>
          <w:b/>
          <w:bCs/>
          <w:sz w:val="22"/>
          <w:szCs w:val="22"/>
        </w:rPr>
        <w:t>Таблица</w:t>
      </w:r>
      <w:r>
        <w:rPr>
          <w:rFonts w:hAnsi="Garamond"/>
          <w:b/>
          <w:bCs/>
          <w:sz w:val="22"/>
          <w:szCs w:val="22"/>
        </w:rPr>
        <w:t xml:space="preserve"> </w:t>
      </w:r>
      <w:r w:rsidRPr="00723CC8">
        <w:rPr>
          <w:rFonts w:ascii="Garamond"/>
          <w:b/>
          <w:bCs/>
          <w:sz w:val="22"/>
          <w:szCs w:val="22"/>
        </w:rPr>
        <w:t>1</w:t>
      </w:r>
    </w:p>
    <w:p w14:paraId="498EF2B6" w14:textId="77777777" w:rsidR="004B3B82" w:rsidRDefault="004B3B82" w:rsidP="00101F7C">
      <w:pPr>
        <w:jc w:val="right"/>
        <w:rPr>
          <w:rFonts w:ascii="Garamond" w:eastAsia="Garamond" w:hAnsi="Garamond" w:cs="Garamond"/>
          <w:b/>
          <w:bCs/>
          <w:sz w:val="22"/>
          <w:szCs w:val="22"/>
        </w:rPr>
      </w:pPr>
    </w:p>
    <w:p w14:paraId="0C020683" w14:textId="77777777" w:rsidR="004B3B82" w:rsidRDefault="004B3B82" w:rsidP="00101F7C">
      <w:pPr>
        <w:jc w:val="center"/>
        <w:rPr>
          <w:rFonts w:ascii="Garamond" w:eastAsia="Garamond" w:hAnsi="Garamond" w:cs="Garamond"/>
          <w:b/>
          <w:bCs/>
          <w:sz w:val="22"/>
          <w:szCs w:val="22"/>
        </w:rPr>
      </w:pPr>
      <w:r>
        <w:rPr>
          <w:rFonts w:hAnsi="Garamond"/>
          <w:b/>
          <w:bCs/>
          <w:sz w:val="22"/>
          <w:szCs w:val="22"/>
        </w:rPr>
        <w:t>Перечень</w:t>
      </w:r>
      <w:r>
        <w:rPr>
          <w:rFonts w:hAnsi="Garamond"/>
          <w:b/>
          <w:bCs/>
          <w:sz w:val="22"/>
          <w:szCs w:val="22"/>
        </w:rPr>
        <w:t xml:space="preserve"> </w:t>
      </w:r>
      <w:r>
        <w:rPr>
          <w:rFonts w:hAnsi="Garamond"/>
          <w:b/>
          <w:bCs/>
          <w:sz w:val="22"/>
          <w:szCs w:val="22"/>
        </w:rPr>
        <w:t>параметров</w:t>
      </w:r>
      <w:r>
        <w:rPr>
          <w:rFonts w:ascii="Garamond"/>
          <w:b/>
          <w:bCs/>
          <w:sz w:val="22"/>
          <w:szCs w:val="22"/>
        </w:rPr>
        <w:t xml:space="preserve">, </w:t>
      </w:r>
      <w:r>
        <w:rPr>
          <w:rFonts w:hAnsi="Garamond"/>
          <w:b/>
          <w:bCs/>
          <w:sz w:val="22"/>
          <w:szCs w:val="22"/>
        </w:rPr>
        <w:t>проверяемых</w:t>
      </w:r>
      <w:r>
        <w:rPr>
          <w:rFonts w:hAnsi="Garamond"/>
          <w:b/>
          <w:bCs/>
          <w:sz w:val="22"/>
          <w:szCs w:val="22"/>
        </w:rPr>
        <w:t xml:space="preserve"> </w:t>
      </w:r>
      <w:r>
        <w:rPr>
          <w:rFonts w:hAnsi="Garamond"/>
          <w:b/>
          <w:bCs/>
          <w:sz w:val="22"/>
          <w:szCs w:val="22"/>
        </w:rPr>
        <w:t>при</w:t>
      </w:r>
      <w:r>
        <w:rPr>
          <w:rFonts w:hAnsi="Garamond"/>
          <w:b/>
          <w:bCs/>
          <w:sz w:val="22"/>
          <w:szCs w:val="22"/>
        </w:rPr>
        <w:t xml:space="preserve"> </w:t>
      </w:r>
      <w:r>
        <w:rPr>
          <w:rFonts w:hAnsi="Garamond"/>
          <w:b/>
          <w:bCs/>
          <w:sz w:val="22"/>
          <w:szCs w:val="22"/>
        </w:rPr>
        <w:t>установлении</w:t>
      </w:r>
      <w:r>
        <w:rPr>
          <w:rFonts w:hAnsi="Garamond"/>
          <w:b/>
          <w:bCs/>
          <w:sz w:val="22"/>
          <w:szCs w:val="22"/>
        </w:rPr>
        <w:t xml:space="preserve"> </w:t>
      </w:r>
      <w:r>
        <w:rPr>
          <w:rFonts w:hAnsi="Garamond"/>
          <w:b/>
          <w:bCs/>
          <w:sz w:val="22"/>
          <w:szCs w:val="22"/>
        </w:rPr>
        <w:t>соответствия</w:t>
      </w:r>
      <w:r>
        <w:rPr>
          <w:rFonts w:hAnsi="Garamond"/>
          <w:b/>
          <w:bCs/>
          <w:sz w:val="22"/>
          <w:szCs w:val="22"/>
        </w:rPr>
        <w:t xml:space="preserve"> </w:t>
      </w:r>
      <w:r>
        <w:rPr>
          <w:rFonts w:hAnsi="Garamond"/>
          <w:b/>
          <w:bCs/>
          <w:sz w:val="22"/>
          <w:szCs w:val="22"/>
        </w:rPr>
        <w:t>АИИС</w:t>
      </w:r>
      <w:r>
        <w:rPr>
          <w:rFonts w:hAnsi="Garamond"/>
          <w:b/>
          <w:bCs/>
          <w:sz w:val="22"/>
          <w:szCs w:val="22"/>
        </w:rPr>
        <w:t xml:space="preserve"> </w:t>
      </w:r>
      <w:r>
        <w:rPr>
          <w:rFonts w:hAnsi="Garamond"/>
          <w:b/>
          <w:bCs/>
          <w:sz w:val="22"/>
          <w:szCs w:val="22"/>
        </w:rPr>
        <w:t>КУЭ</w:t>
      </w:r>
      <w:r>
        <w:rPr>
          <w:rFonts w:hAnsi="Garamond"/>
          <w:b/>
          <w:bCs/>
          <w:sz w:val="22"/>
          <w:szCs w:val="22"/>
        </w:rPr>
        <w:t xml:space="preserve"> </w:t>
      </w:r>
      <w:r>
        <w:rPr>
          <w:rFonts w:hAnsi="Garamond"/>
          <w:b/>
          <w:bCs/>
          <w:sz w:val="22"/>
          <w:szCs w:val="22"/>
        </w:rPr>
        <w:t>техническим</w:t>
      </w:r>
      <w:r>
        <w:rPr>
          <w:rFonts w:hAnsi="Garamond"/>
          <w:b/>
          <w:bCs/>
          <w:sz w:val="22"/>
          <w:szCs w:val="22"/>
        </w:rPr>
        <w:t xml:space="preserve"> </w:t>
      </w:r>
      <w:r>
        <w:rPr>
          <w:rFonts w:hAnsi="Garamond"/>
          <w:b/>
          <w:bCs/>
          <w:sz w:val="22"/>
          <w:szCs w:val="22"/>
        </w:rPr>
        <w:t>требованиям</w:t>
      </w:r>
      <w:r>
        <w:rPr>
          <w:rFonts w:hAnsi="Garamond"/>
          <w:b/>
          <w:bCs/>
          <w:sz w:val="22"/>
          <w:szCs w:val="22"/>
        </w:rPr>
        <w:t xml:space="preserve"> </w:t>
      </w:r>
      <w:r w:rsidRPr="00744E5C">
        <w:rPr>
          <w:rFonts w:hAnsi="Garamond"/>
          <w:b/>
          <w:bCs/>
          <w:sz w:val="22"/>
          <w:szCs w:val="22"/>
          <w:highlight w:val="yellow"/>
        </w:rPr>
        <w:t>оптового</w:t>
      </w:r>
      <w:r w:rsidRPr="00744E5C">
        <w:rPr>
          <w:rFonts w:hAnsi="Garamond"/>
          <w:b/>
          <w:bCs/>
          <w:sz w:val="22"/>
          <w:szCs w:val="22"/>
          <w:highlight w:val="yellow"/>
        </w:rPr>
        <w:t xml:space="preserve"> </w:t>
      </w:r>
      <w:r w:rsidRPr="00744E5C">
        <w:rPr>
          <w:rFonts w:hAnsi="Garamond"/>
          <w:b/>
          <w:bCs/>
          <w:sz w:val="22"/>
          <w:szCs w:val="22"/>
          <w:highlight w:val="yellow"/>
        </w:rPr>
        <w:t>рынка</w:t>
      </w:r>
      <w:r w:rsidRPr="00744E5C">
        <w:rPr>
          <w:rFonts w:hAnsi="Garamond"/>
          <w:b/>
          <w:bCs/>
          <w:sz w:val="22"/>
          <w:szCs w:val="22"/>
          <w:highlight w:val="yellow"/>
        </w:rPr>
        <w:t xml:space="preserve"> </w:t>
      </w:r>
      <w:r w:rsidRPr="00744E5C">
        <w:rPr>
          <w:rFonts w:hAnsi="Garamond"/>
          <w:b/>
          <w:bCs/>
          <w:sz w:val="22"/>
          <w:szCs w:val="22"/>
          <w:highlight w:val="yellow"/>
        </w:rPr>
        <w:t>и</w:t>
      </w:r>
      <w:r w:rsidRPr="00744E5C">
        <w:rPr>
          <w:rFonts w:hAnsi="Garamond"/>
          <w:b/>
          <w:bCs/>
          <w:sz w:val="22"/>
          <w:szCs w:val="22"/>
          <w:highlight w:val="yellow"/>
        </w:rPr>
        <w:t xml:space="preserve"> </w:t>
      </w:r>
      <w:r>
        <w:rPr>
          <w:rFonts w:hAnsi="Garamond"/>
          <w:b/>
          <w:bCs/>
          <w:sz w:val="22"/>
          <w:szCs w:val="22"/>
          <w:highlight w:val="yellow"/>
        </w:rPr>
        <w:t>при</w:t>
      </w:r>
      <w:r>
        <w:rPr>
          <w:rFonts w:hAnsi="Garamond"/>
          <w:b/>
          <w:bCs/>
          <w:sz w:val="22"/>
          <w:szCs w:val="22"/>
          <w:highlight w:val="yellow"/>
        </w:rPr>
        <w:t xml:space="preserve"> </w:t>
      </w:r>
      <w:r w:rsidRPr="00744E5C">
        <w:rPr>
          <w:rFonts w:hAnsi="Garamond"/>
          <w:b/>
          <w:bCs/>
          <w:sz w:val="22"/>
          <w:szCs w:val="22"/>
          <w:highlight w:val="yellow"/>
        </w:rPr>
        <w:t>проведении</w:t>
      </w:r>
      <w:r w:rsidRPr="00744E5C">
        <w:rPr>
          <w:rFonts w:hAnsi="Garamond"/>
          <w:b/>
          <w:bCs/>
          <w:sz w:val="22"/>
          <w:szCs w:val="22"/>
          <w:highlight w:val="yellow"/>
        </w:rPr>
        <w:t xml:space="preserve"> </w:t>
      </w:r>
      <w:r w:rsidRPr="00744E5C">
        <w:rPr>
          <w:rFonts w:hAnsi="Garamond"/>
          <w:b/>
          <w:bCs/>
          <w:sz w:val="22"/>
          <w:szCs w:val="22"/>
          <w:highlight w:val="yellow"/>
        </w:rPr>
        <w:t>процедуры</w:t>
      </w:r>
      <w:r w:rsidRPr="00744E5C">
        <w:rPr>
          <w:rFonts w:hAnsi="Garamond"/>
          <w:b/>
          <w:bCs/>
          <w:sz w:val="22"/>
          <w:szCs w:val="22"/>
          <w:highlight w:val="yellow"/>
        </w:rPr>
        <w:t xml:space="preserve"> </w:t>
      </w:r>
      <w:r w:rsidRPr="00744E5C">
        <w:rPr>
          <w:rFonts w:hAnsi="Garamond"/>
          <w:b/>
          <w:bCs/>
          <w:sz w:val="22"/>
          <w:szCs w:val="22"/>
          <w:highlight w:val="yellow"/>
        </w:rPr>
        <w:t>подтверждения</w:t>
      </w:r>
      <w:r w:rsidRPr="00744E5C">
        <w:rPr>
          <w:rFonts w:hAnsi="Garamond"/>
          <w:b/>
          <w:bCs/>
          <w:sz w:val="22"/>
          <w:szCs w:val="22"/>
          <w:highlight w:val="yellow"/>
        </w:rPr>
        <w:t xml:space="preserve"> </w:t>
      </w:r>
      <w:r w:rsidRPr="00744E5C">
        <w:rPr>
          <w:rFonts w:hAnsi="Garamond"/>
          <w:b/>
          <w:bCs/>
          <w:sz w:val="22"/>
          <w:szCs w:val="22"/>
          <w:highlight w:val="yellow"/>
        </w:rPr>
        <w:t>соответствия</w:t>
      </w:r>
      <w:r w:rsidRPr="00744E5C">
        <w:rPr>
          <w:rFonts w:hAnsi="Garamond"/>
          <w:b/>
          <w:bCs/>
          <w:sz w:val="22"/>
          <w:szCs w:val="22"/>
          <w:highlight w:val="yellow"/>
        </w:rPr>
        <w:t xml:space="preserve"> </w:t>
      </w:r>
      <w:r w:rsidRPr="00744E5C">
        <w:rPr>
          <w:rFonts w:hAnsi="Garamond"/>
          <w:b/>
          <w:bCs/>
          <w:sz w:val="22"/>
          <w:szCs w:val="22"/>
          <w:highlight w:val="yellow"/>
        </w:rPr>
        <w:t>системы</w:t>
      </w:r>
      <w:r w:rsidRPr="00744E5C">
        <w:rPr>
          <w:rFonts w:hAnsi="Garamond"/>
          <w:b/>
          <w:bCs/>
          <w:sz w:val="22"/>
          <w:szCs w:val="22"/>
          <w:highlight w:val="yellow"/>
        </w:rPr>
        <w:t xml:space="preserve"> </w:t>
      </w:r>
      <w:r w:rsidRPr="00744E5C">
        <w:rPr>
          <w:rFonts w:hAnsi="Garamond"/>
          <w:b/>
          <w:bCs/>
          <w:sz w:val="22"/>
          <w:szCs w:val="22"/>
          <w:highlight w:val="yellow"/>
        </w:rPr>
        <w:t>учета</w:t>
      </w:r>
      <w:r w:rsidRPr="00744E5C">
        <w:rPr>
          <w:rFonts w:hAnsi="Garamond"/>
          <w:b/>
          <w:bCs/>
          <w:sz w:val="22"/>
          <w:szCs w:val="22"/>
          <w:highlight w:val="yellow"/>
        </w:rPr>
        <w:t xml:space="preserve"> </w:t>
      </w:r>
      <w:r>
        <w:rPr>
          <w:rFonts w:hAnsi="Garamond"/>
          <w:b/>
          <w:bCs/>
          <w:sz w:val="22"/>
          <w:szCs w:val="22"/>
          <w:highlight w:val="yellow"/>
        </w:rPr>
        <w:t>агрегатора</w:t>
      </w:r>
      <w:r>
        <w:rPr>
          <w:rFonts w:hAnsi="Garamond"/>
          <w:b/>
          <w:bCs/>
          <w:sz w:val="22"/>
          <w:szCs w:val="22"/>
          <w:highlight w:val="yellow"/>
        </w:rPr>
        <w:t xml:space="preserve"> </w:t>
      </w:r>
      <w:r w:rsidRPr="00744E5C">
        <w:rPr>
          <w:rFonts w:hAnsi="Garamond"/>
          <w:b/>
          <w:bCs/>
          <w:sz w:val="22"/>
          <w:szCs w:val="22"/>
          <w:highlight w:val="yellow"/>
        </w:rPr>
        <w:t>техническим</w:t>
      </w:r>
      <w:r w:rsidRPr="00744E5C">
        <w:rPr>
          <w:rFonts w:hAnsi="Garamond"/>
          <w:b/>
          <w:bCs/>
          <w:sz w:val="22"/>
          <w:szCs w:val="22"/>
          <w:highlight w:val="yellow"/>
        </w:rPr>
        <w:t xml:space="preserve"> </w:t>
      </w:r>
      <w:r w:rsidRPr="00744E5C">
        <w:rPr>
          <w:rFonts w:hAnsi="Garamond"/>
          <w:b/>
          <w:bCs/>
          <w:sz w:val="22"/>
          <w:szCs w:val="22"/>
          <w:highlight w:val="yellow"/>
        </w:rPr>
        <w:t>требованиям</w:t>
      </w:r>
      <w:r w:rsidRPr="00744E5C">
        <w:rPr>
          <w:rFonts w:hAnsi="Garamond"/>
          <w:b/>
          <w:bCs/>
          <w:sz w:val="22"/>
          <w:szCs w:val="22"/>
          <w:highlight w:val="yellow"/>
        </w:rPr>
        <w:t xml:space="preserve"> </w:t>
      </w:r>
      <w:r w:rsidRPr="00744E5C">
        <w:rPr>
          <w:rFonts w:hAnsi="Garamond"/>
          <w:b/>
          <w:bCs/>
          <w:sz w:val="22"/>
          <w:szCs w:val="22"/>
          <w:highlight w:val="yellow"/>
        </w:rPr>
        <w:t>оптового</w:t>
      </w:r>
      <w:r w:rsidRPr="00744E5C">
        <w:rPr>
          <w:rFonts w:hAnsi="Garamond"/>
          <w:b/>
          <w:bCs/>
          <w:sz w:val="22"/>
          <w:szCs w:val="22"/>
          <w:highlight w:val="yellow"/>
        </w:rPr>
        <w:t xml:space="preserve"> </w:t>
      </w:r>
      <w:r w:rsidRPr="002A4567">
        <w:rPr>
          <w:rFonts w:hAnsi="Garamond"/>
          <w:b/>
          <w:bCs/>
          <w:sz w:val="22"/>
          <w:szCs w:val="22"/>
          <w:highlight w:val="yellow"/>
        </w:rPr>
        <w:t>рынка</w:t>
      </w:r>
      <w:r w:rsidRPr="00002C8A">
        <w:rPr>
          <w:rFonts w:hAnsi="Garamond"/>
          <w:b/>
          <w:bCs/>
          <w:sz w:val="22"/>
          <w:szCs w:val="22"/>
          <w:highlight w:val="yellow"/>
        </w:rPr>
        <w:t xml:space="preserve"> </w:t>
      </w:r>
    </w:p>
    <w:p w14:paraId="44C093A0" w14:textId="77777777" w:rsidR="004B3B82" w:rsidRDefault="004B3B82" w:rsidP="00101F7C">
      <w:pPr>
        <w:widowControl w:val="0"/>
        <w:jc w:val="center"/>
        <w:rPr>
          <w:rFonts w:ascii="Garamond" w:eastAsia="Garamond" w:hAnsi="Garamond" w:cs="Garamond"/>
          <w:b/>
          <w:bCs/>
          <w:sz w:val="22"/>
          <w:szCs w:val="22"/>
        </w:rPr>
      </w:pPr>
    </w:p>
    <w:tbl>
      <w:tblPr>
        <w:tblW w:w="4713" w:type="pct"/>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shd w:val="clear" w:color="auto" w:fill="BDC0BF"/>
        <w:tblCellMar>
          <w:left w:w="0" w:type="dxa"/>
          <w:right w:w="0" w:type="dxa"/>
        </w:tblCellMar>
        <w:tblLook w:val="04A0" w:firstRow="1" w:lastRow="0" w:firstColumn="1" w:lastColumn="0" w:noHBand="0" w:noVBand="1"/>
      </w:tblPr>
      <w:tblGrid>
        <w:gridCol w:w="504"/>
        <w:gridCol w:w="1355"/>
        <w:gridCol w:w="4134"/>
        <w:gridCol w:w="1223"/>
        <w:gridCol w:w="855"/>
        <w:gridCol w:w="1137"/>
      </w:tblGrid>
      <w:tr w:rsidR="004B3B82" w14:paraId="743854AD" w14:textId="77777777" w:rsidTr="00CD3B05">
        <w:trPr>
          <w:trHeight w:val="1200"/>
          <w:tblHeader/>
          <w:jc w:val="center"/>
        </w:trPr>
        <w:tc>
          <w:tcPr>
            <w:tcW w:w="274" w:type="pct"/>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AEC3845" w14:textId="77777777" w:rsidR="004B3B82" w:rsidRPr="004D7191" w:rsidRDefault="004B3B82" w:rsidP="00CD3B05">
            <w:pPr>
              <w:jc w:val="center"/>
              <w:rPr>
                <w:rFonts w:ascii="Garamond" w:eastAsia="Garamond" w:hAnsi="Garamond" w:cs="Garamond"/>
                <w:b/>
                <w:bCs/>
              </w:rPr>
            </w:pPr>
            <w:r w:rsidRPr="004D7191">
              <w:rPr>
                <w:rFonts w:hAnsi="Garamond"/>
                <w:b/>
                <w:bCs/>
              </w:rPr>
              <w:t>№</w:t>
            </w:r>
          </w:p>
          <w:p w14:paraId="43376C0F" w14:textId="77777777" w:rsidR="004B3B82" w:rsidRDefault="004B3B82" w:rsidP="00CD3B05">
            <w:pPr>
              <w:jc w:val="center"/>
            </w:pPr>
            <w:r w:rsidRPr="004D7191">
              <w:rPr>
                <w:rFonts w:hAnsi="Garamond"/>
                <w:b/>
                <w:bCs/>
              </w:rPr>
              <w:t>п</w:t>
            </w:r>
            <w:r w:rsidRPr="004D7191">
              <w:rPr>
                <w:rFonts w:ascii="Garamond"/>
                <w:b/>
                <w:bCs/>
              </w:rPr>
              <w:t>/</w:t>
            </w:r>
            <w:r w:rsidRPr="004D7191">
              <w:rPr>
                <w:rFonts w:hAnsi="Garamond"/>
                <w:b/>
                <w:bCs/>
              </w:rPr>
              <w:t>п</w:t>
            </w:r>
          </w:p>
        </w:tc>
        <w:tc>
          <w:tcPr>
            <w:tcW w:w="736" w:type="pct"/>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0394FBE" w14:textId="77777777" w:rsidR="004B3B82" w:rsidRDefault="004B3B82" w:rsidP="00CD3B05">
            <w:pPr>
              <w:jc w:val="center"/>
            </w:pPr>
            <w:r>
              <w:rPr>
                <w:rFonts w:hAnsi="Garamond"/>
                <w:b/>
                <w:bCs/>
              </w:rPr>
              <w:t>Обозначение</w:t>
            </w:r>
            <w:r>
              <w:rPr>
                <w:rFonts w:hAnsi="Garamond"/>
                <w:b/>
                <w:bCs/>
              </w:rPr>
              <w:t xml:space="preserve"> </w:t>
            </w:r>
            <w:r>
              <w:rPr>
                <w:rFonts w:hAnsi="Garamond"/>
                <w:b/>
                <w:bCs/>
              </w:rPr>
              <w:t>п</w:t>
            </w:r>
            <w:r w:rsidRPr="004D7191">
              <w:rPr>
                <w:rFonts w:hAnsi="Garamond"/>
                <w:b/>
                <w:bCs/>
              </w:rPr>
              <w:t>арам</w:t>
            </w:r>
            <w:r w:rsidRPr="00A064A9">
              <w:rPr>
                <w:rFonts w:hAnsi="Garamond"/>
                <w:b/>
                <w:bCs/>
              </w:rPr>
              <w:t>етр</w:t>
            </w:r>
            <w:r>
              <w:rPr>
                <w:rFonts w:hAnsi="Garamond"/>
                <w:b/>
                <w:bCs/>
              </w:rPr>
              <w:t>а</w:t>
            </w:r>
          </w:p>
        </w:tc>
        <w:tc>
          <w:tcPr>
            <w:tcW w:w="2245" w:type="pct"/>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1B5131F" w14:textId="77777777" w:rsidR="004B3B82" w:rsidRDefault="004B3B82" w:rsidP="00CD3B05">
            <w:pPr>
              <w:jc w:val="center"/>
            </w:pPr>
            <w:r w:rsidRPr="004D7191">
              <w:rPr>
                <w:rFonts w:hAnsi="Garamond"/>
                <w:b/>
                <w:bCs/>
              </w:rPr>
              <w:t>Наименование</w:t>
            </w:r>
            <w:r w:rsidRPr="004D7191">
              <w:rPr>
                <w:rFonts w:hAnsi="Garamond"/>
                <w:b/>
                <w:bCs/>
              </w:rPr>
              <w:t xml:space="preserve"> </w:t>
            </w:r>
            <w:r w:rsidRPr="004D7191">
              <w:rPr>
                <w:rFonts w:hAnsi="Garamond"/>
                <w:b/>
                <w:bCs/>
              </w:rPr>
              <w:t>параметра</w:t>
            </w:r>
          </w:p>
        </w:tc>
        <w:tc>
          <w:tcPr>
            <w:tcW w:w="1128" w:type="pct"/>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AAB8A11" w14:textId="77777777" w:rsidR="004B3B82" w:rsidRPr="004D7191" w:rsidRDefault="004B3B82" w:rsidP="00CD3B05">
            <w:pPr>
              <w:jc w:val="center"/>
              <w:rPr>
                <w:rFonts w:hAnsi="Garamond"/>
                <w:b/>
                <w:bCs/>
                <w:sz w:val="16"/>
                <w:szCs w:val="16"/>
              </w:rPr>
            </w:pPr>
            <w:r w:rsidRPr="00033E1A">
              <w:rPr>
                <w:rFonts w:hAnsi="Garamond"/>
                <w:b/>
                <w:bCs/>
                <w:sz w:val="16"/>
                <w:szCs w:val="16"/>
              </w:rPr>
              <w:t>Необходимость</w:t>
            </w:r>
            <w:r w:rsidRPr="00033E1A">
              <w:rPr>
                <w:rFonts w:hAnsi="Garamond"/>
                <w:b/>
                <w:bCs/>
                <w:sz w:val="16"/>
                <w:szCs w:val="16"/>
              </w:rPr>
              <w:t xml:space="preserve"> </w:t>
            </w:r>
            <w:r w:rsidRPr="00033E1A">
              <w:rPr>
                <w:rFonts w:ascii="Garamond" w:hAnsi="Garamond"/>
                <w:b/>
                <w:bCs/>
                <w:sz w:val="16"/>
                <w:szCs w:val="16"/>
              </w:rPr>
              <w:t xml:space="preserve">проверки </w:t>
            </w:r>
            <w:r w:rsidRPr="00033E1A">
              <w:rPr>
                <w:rFonts w:hAnsi="Garamond"/>
                <w:b/>
                <w:bCs/>
                <w:sz w:val="16"/>
                <w:szCs w:val="16"/>
              </w:rPr>
              <w:t>системы</w:t>
            </w:r>
            <w:r w:rsidRPr="00033E1A">
              <w:rPr>
                <w:rFonts w:hAnsi="Garamond"/>
                <w:b/>
                <w:bCs/>
                <w:sz w:val="16"/>
                <w:szCs w:val="16"/>
              </w:rPr>
              <w:t xml:space="preserve"> </w:t>
            </w:r>
            <w:r w:rsidRPr="00033E1A">
              <w:rPr>
                <w:rFonts w:hAnsi="Garamond"/>
                <w:b/>
                <w:bCs/>
                <w:sz w:val="16"/>
                <w:szCs w:val="16"/>
              </w:rPr>
              <w:t>по</w:t>
            </w:r>
            <w:r w:rsidRPr="00033E1A">
              <w:rPr>
                <w:rFonts w:hAnsi="Garamond"/>
                <w:b/>
                <w:bCs/>
                <w:sz w:val="16"/>
                <w:szCs w:val="16"/>
              </w:rPr>
              <w:t xml:space="preserve"> </w:t>
            </w:r>
            <w:r w:rsidRPr="00033E1A">
              <w:rPr>
                <w:rFonts w:hAnsi="Garamond"/>
                <w:b/>
                <w:bCs/>
                <w:sz w:val="16"/>
                <w:szCs w:val="16"/>
              </w:rPr>
              <w:t>конкретному</w:t>
            </w:r>
            <w:r w:rsidRPr="00033E1A">
              <w:rPr>
                <w:rFonts w:hAnsi="Garamond"/>
                <w:b/>
                <w:bCs/>
                <w:sz w:val="16"/>
                <w:szCs w:val="16"/>
              </w:rPr>
              <w:t xml:space="preserve"> </w:t>
            </w:r>
            <w:r w:rsidRPr="00033E1A">
              <w:rPr>
                <w:rFonts w:hAnsi="Garamond"/>
                <w:b/>
                <w:bCs/>
                <w:sz w:val="16"/>
                <w:szCs w:val="16"/>
              </w:rPr>
              <w:t>параметру</w:t>
            </w:r>
            <w:r w:rsidRPr="00033E1A">
              <w:rPr>
                <w:rFonts w:hAnsi="Garamond"/>
                <w:b/>
                <w:bCs/>
                <w:sz w:val="16"/>
                <w:szCs w:val="16"/>
              </w:rPr>
              <w:t xml:space="preserve"> </w:t>
            </w:r>
            <w:r w:rsidRPr="00033E1A">
              <w:rPr>
                <w:rFonts w:hAnsi="Garamond"/>
                <w:b/>
                <w:bCs/>
                <w:sz w:val="16"/>
                <w:szCs w:val="16"/>
              </w:rPr>
              <w:t>в</w:t>
            </w:r>
            <w:r w:rsidRPr="00033E1A">
              <w:rPr>
                <w:rFonts w:hAnsi="Garamond"/>
                <w:b/>
                <w:bCs/>
                <w:sz w:val="16"/>
                <w:szCs w:val="16"/>
              </w:rPr>
              <w:t xml:space="preserve"> </w:t>
            </w:r>
            <w:r w:rsidRPr="00033E1A">
              <w:rPr>
                <w:rFonts w:hAnsi="Garamond"/>
                <w:b/>
                <w:bCs/>
                <w:sz w:val="16"/>
                <w:szCs w:val="16"/>
              </w:rPr>
              <w:t>зависимости</w:t>
            </w:r>
            <w:r w:rsidRPr="004D7191">
              <w:rPr>
                <w:rFonts w:hAnsi="Garamond"/>
                <w:b/>
                <w:bCs/>
                <w:sz w:val="16"/>
                <w:szCs w:val="16"/>
              </w:rPr>
              <w:t xml:space="preserve"> </w:t>
            </w:r>
            <w:r w:rsidRPr="004D7191">
              <w:rPr>
                <w:rFonts w:hAnsi="Garamond"/>
                <w:b/>
                <w:bCs/>
                <w:sz w:val="16"/>
                <w:szCs w:val="16"/>
              </w:rPr>
              <w:t>от</w:t>
            </w:r>
            <w:r w:rsidRPr="004D7191">
              <w:rPr>
                <w:rFonts w:hAnsi="Garamond"/>
                <w:b/>
                <w:bCs/>
                <w:sz w:val="16"/>
                <w:szCs w:val="16"/>
              </w:rPr>
              <w:t xml:space="preserve"> </w:t>
            </w:r>
            <w:r w:rsidRPr="004D7191">
              <w:rPr>
                <w:rFonts w:hAnsi="Garamond"/>
                <w:b/>
                <w:bCs/>
                <w:sz w:val="16"/>
                <w:szCs w:val="16"/>
              </w:rPr>
              <w:t>класса</w:t>
            </w:r>
            <w:r w:rsidRPr="004D7191">
              <w:rPr>
                <w:rFonts w:hAnsi="Garamond"/>
                <w:b/>
                <w:bCs/>
                <w:sz w:val="16"/>
                <w:szCs w:val="16"/>
              </w:rPr>
              <w:t xml:space="preserve"> </w:t>
            </w:r>
            <w:r w:rsidRPr="004D7191">
              <w:rPr>
                <w:rFonts w:hAnsi="Garamond"/>
                <w:b/>
                <w:bCs/>
                <w:sz w:val="16"/>
                <w:szCs w:val="16"/>
              </w:rPr>
              <w:t>соответствия</w:t>
            </w:r>
            <w:r w:rsidRPr="004D7191">
              <w:rPr>
                <w:rFonts w:hAnsi="Garamond"/>
                <w:b/>
                <w:bCs/>
                <w:sz w:val="16"/>
                <w:szCs w:val="16"/>
              </w:rPr>
              <w:t xml:space="preserve"> </w:t>
            </w:r>
            <w:r w:rsidRPr="004D7191">
              <w:rPr>
                <w:rFonts w:hAnsi="Garamond"/>
                <w:b/>
                <w:bCs/>
                <w:sz w:val="16"/>
                <w:szCs w:val="16"/>
              </w:rPr>
              <w:t>АИИС</w:t>
            </w:r>
            <w:r w:rsidRPr="004D7191">
              <w:rPr>
                <w:rFonts w:hAnsi="Garamond"/>
                <w:b/>
                <w:bCs/>
                <w:sz w:val="16"/>
                <w:szCs w:val="16"/>
              </w:rPr>
              <w:t xml:space="preserve"> </w:t>
            </w:r>
            <w:r w:rsidRPr="004D7191">
              <w:rPr>
                <w:rFonts w:hAnsi="Garamond"/>
                <w:b/>
                <w:bCs/>
                <w:sz w:val="16"/>
                <w:szCs w:val="16"/>
              </w:rPr>
              <w:t>КУЭ</w:t>
            </w:r>
          </w:p>
        </w:tc>
        <w:tc>
          <w:tcPr>
            <w:tcW w:w="617" w:type="pct"/>
            <w:vMerge w:val="restart"/>
            <w:tcBorders>
              <w:top w:val="single" w:sz="4" w:space="0" w:color="000000"/>
              <w:left w:val="single" w:sz="4" w:space="0" w:color="000000"/>
              <w:right w:val="single" w:sz="4" w:space="0" w:color="000000"/>
            </w:tcBorders>
            <w:vAlign w:val="center"/>
          </w:tcPr>
          <w:p w14:paraId="31DC871E" w14:textId="77777777" w:rsidR="004B3B82" w:rsidRPr="003235B2" w:rsidRDefault="004B3B82" w:rsidP="00E31AE6">
            <w:pPr>
              <w:jc w:val="center"/>
              <w:rPr>
                <w:rFonts w:hAnsi="Garamond"/>
                <w:b/>
                <w:bCs/>
                <w:sz w:val="16"/>
                <w:szCs w:val="16"/>
                <w:highlight w:val="yellow"/>
              </w:rPr>
            </w:pPr>
            <w:r w:rsidRPr="003235B2">
              <w:rPr>
                <w:rFonts w:hAnsi="Garamond"/>
                <w:b/>
                <w:bCs/>
                <w:sz w:val="16"/>
                <w:szCs w:val="16"/>
                <w:highlight w:val="yellow"/>
              </w:rPr>
              <w:t>Необходимость</w:t>
            </w:r>
            <w:r w:rsidRPr="003235B2">
              <w:rPr>
                <w:rFonts w:hAnsi="Garamond"/>
                <w:b/>
                <w:bCs/>
                <w:sz w:val="16"/>
                <w:szCs w:val="16"/>
                <w:highlight w:val="yellow"/>
              </w:rPr>
              <w:t xml:space="preserve"> </w:t>
            </w:r>
            <w:r w:rsidRPr="003235B2">
              <w:rPr>
                <w:rFonts w:hAnsi="Garamond"/>
                <w:b/>
                <w:bCs/>
                <w:sz w:val="16"/>
                <w:szCs w:val="16"/>
                <w:highlight w:val="yellow"/>
              </w:rPr>
              <w:t>проверки</w:t>
            </w:r>
            <w:r w:rsidRPr="003235B2">
              <w:rPr>
                <w:rFonts w:hAnsi="Garamond"/>
                <w:b/>
                <w:bCs/>
                <w:sz w:val="16"/>
                <w:szCs w:val="16"/>
                <w:highlight w:val="yellow"/>
              </w:rPr>
              <w:t xml:space="preserve"> </w:t>
            </w:r>
            <w:r w:rsidRPr="003235B2">
              <w:rPr>
                <w:rFonts w:hAnsi="Garamond"/>
                <w:b/>
                <w:bCs/>
                <w:sz w:val="16"/>
                <w:szCs w:val="16"/>
                <w:highlight w:val="yellow"/>
              </w:rPr>
              <w:t>системы</w:t>
            </w:r>
            <w:r>
              <w:rPr>
                <w:rFonts w:hAnsi="Garamond"/>
                <w:b/>
                <w:bCs/>
                <w:sz w:val="16"/>
                <w:szCs w:val="16"/>
                <w:highlight w:val="yellow"/>
              </w:rPr>
              <w:t xml:space="preserve"> </w:t>
            </w:r>
            <w:r>
              <w:rPr>
                <w:rFonts w:hAnsi="Garamond"/>
                <w:b/>
                <w:bCs/>
                <w:sz w:val="16"/>
                <w:szCs w:val="16"/>
                <w:highlight w:val="yellow"/>
              </w:rPr>
              <w:t>учета</w:t>
            </w:r>
            <w:r>
              <w:rPr>
                <w:rFonts w:hAnsi="Garamond"/>
                <w:b/>
                <w:bCs/>
                <w:sz w:val="16"/>
                <w:szCs w:val="16"/>
                <w:highlight w:val="yellow"/>
              </w:rPr>
              <w:t xml:space="preserve"> </w:t>
            </w:r>
            <w:r>
              <w:rPr>
                <w:rFonts w:hAnsi="Garamond"/>
                <w:b/>
                <w:bCs/>
                <w:sz w:val="16"/>
                <w:szCs w:val="16"/>
                <w:highlight w:val="yellow"/>
              </w:rPr>
              <w:t>агрегатора</w:t>
            </w:r>
            <w:r>
              <w:rPr>
                <w:rFonts w:hAnsi="Garamond"/>
                <w:b/>
                <w:bCs/>
                <w:sz w:val="16"/>
                <w:szCs w:val="16"/>
                <w:highlight w:val="yellow"/>
              </w:rPr>
              <w:t xml:space="preserve"> </w:t>
            </w:r>
            <w:r>
              <w:rPr>
                <w:rFonts w:hAnsi="Garamond"/>
                <w:b/>
                <w:bCs/>
                <w:sz w:val="16"/>
                <w:szCs w:val="16"/>
                <w:highlight w:val="yellow"/>
              </w:rPr>
              <w:t>по</w:t>
            </w:r>
            <w:r>
              <w:rPr>
                <w:rFonts w:hAnsi="Garamond"/>
                <w:b/>
                <w:bCs/>
                <w:sz w:val="16"/>
                <w:szCs w:val="16"/>
                <w:highlight w:val="yellow"/>
              </w:rPr>
              <w:t xml:space="preserve"> </w:t>
            </w:r>
            <w:r>
              <w:rPr>
                <w:rFonts w:hAnsi="Garamond"/>
                <w:b/>
                <w:bCs/>
                <w:sz w:val="16"/>
                <w:szCs w:val="16"/>
                <w:highlight w:val="yellow"/>
              </w:rPr>
              <w:t>конкретному</w:t>
            </w:r>
            <w:r>
              <w:rPr>
                <w:rFonts w:hAnsi="Garamond"/>
                <w:b/>
                <w:bCs/>
                <w:sz w:val="16"/>
                <w:szCs w:val="16"/>
                <w:highlight w:val="yellow"/>
              </w:rPr>
              <w:t xml:space="preserve"> </w:t>
            </w:r>
            <w:r>
              <w:rPr>
                <w:rFonts w:hAnsi="Garamond"/>
                <w:b/>
                <w:bCs/>
                <w:sz w:val="16"/>
                <w:szCs w:val="16"/>
                <w:highlight w:val="yellow"/>
              </w:rPr>
              <w:t>параметру</w:t>
            </w:r>
          </w:p>
        </w:tc>
      </w:tr>
      <w:tr w:rsidR="004B3B82" w14:paraId="45F4EC04" w14:textId="77777777" w:rsidTr="00CD3B05">
        <w:trPr>
          <w:trHeight w:val="250"/>
          <w:tblHeader/>
          <w:jc w:val="center"/>
        </w:trPr>
        <w:tc>
          <w:tcPr>
            <w:tcW w:w="274" w:type="pct"/>
            <w:vMerge/>
            <w:tcBorders>
              <w:top w:val="single" w:sz="4" w:space="0" w:color="000000"/>
              <w:left w:val="single" w:sz="4" w:space="0" w:color="000000"/>
              <w:bottom w:val="single" w:sz="4" w:space="0" w:color="000000"/>
              <w:right w:val="single" w:sz="4" w:space="0" w:color="000000"/>
            </w:tcBorders>
            <w:shd w:val="clear" w:color="auto" w:fill="auto"/>
          </w:tcPr>
          <w:p w14:paraId="30155554" w14:textId="77777777" w:rsidR="004B3B82" w:rsidRDefault="004B3B82" w:rsidP="00CD3B05"/>
        </w:tc>
        <w:tc>
          <w:tcPr>
            <w:tcW w:w="736" w:type="pct"/>
            <w:vMerge/>
            <w:tcBorders>
              <w:top w:val="single" w:sz="4" w:space="0" w:color="000000"/>
              <w:left w:val="single" w:sz="4" w:space="0" w:color="000000"/>
              <w:bottom w:val="single" w:sz="4" w:space="0" w:color="000000"/>
              <w:right w:val="single" w:sz="4" w:space="0" w:color="000000"/>
            </w:tcBorders>
            <w:shd w:val="clear" w:color="auto" w:fill="auto"/>
          </w:tcPr>
          <w:p w14:paraId="3D774152" w14:textId="77777777" w:rsidR="004B3B82" w:rsidRDefault="004B3B82" w:rsidP="00CD3B05"/>
        </w:tc>
        <w:tc>
          <w:tcPr>
            <w:tcW w:w="2245" w:type="pct"/>
            <w:vMerge/>
            <w:tcBorders>
              <w:top w:val="single" w:sz="4" w:space="0" w:color="000000"/>
              <w:left w:val="single" w:sz="4" w:space="0" w:color="000000"/>
              <w:bottom w:val="single" w:sz="4" w:space="0" w:color="000000"/>
              <w:right w:val="single" w:sz="4" w:space="0" w:color="000000"/>
            </w:tcBorders>
            <w:shd w:val="clear" w:color="auto" w:fill="auto"/>
          </w:tcPr>
          <w:p w14:paraId="2311BD69" w14:textId="77777777" w:rsidR="004B3B82" w:rsidRDefault="004B3B82" w:rsidP="00CD3B05"/>
        </w:tc>
        <w:tc>
          <w:tcPr>
            <w:tcW w:w="66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A9C17B8" w14:textId="77777777" w:rsidR="004B3B82" w:rsidRDefault="004B3B82" w:rsidP="00CD3B05">
            <w:pPr>
              <w:jc w:val="center"/>
            </w:pPr>
            <w:r w:rsidRPr="004D7191">
              <w:rPr>
                <w:rFonts w:hAnsi="Garamond"/>
                <w:b/>
                <w:bCs/>
              </w:rPr>
              <w:t>А</w:t>
            </w:r>
          </w:p>
        </w:tc>
        <w:tc>
          <w:tcPr>
            <w:tcW w:w="464" w:type="pct"/>
            <w:tcBorders>
              <w:top w:val="single" w:sz="4" w:space="0" w:color="000000"/>
              <w:left w:val="single" w:sz="4" w:space="0" w:color="000000"/>
              <w:bottom w:val="single" w:sz="4" w:space="0" w:color="000000"/>
              <w:right w:val="single" w:sz="4" w:space="0" w:color="000000"/>
            </w:tcBorders>
            <w:vAlign w:val="center"/>
          </w:tcPr>
          <w:p w14:paraId="5146DEFC" w14:textId="77777777" w:rsidR="004B3B82" w:rsidRPr="004D7191" w:rsidRDefault="004B3B82" w:rsidP="00CD3B05">
            <w:pPr>
              <w:jc w:val="center"/>
              <w:rPr>
                <w:rFonts w:hAnsi="Garamond"/>
                <w:b/>
                <w:bCs/>
              </w:rPr>
            </w:pPr>
            <w:r w:rsidRPr="004D7191">
              <w:rPr>
                <w:rFonts w:ascii="Garamond"/>
                <w:b/>
                <w:bCs/>
                <w:lang w:val="en-US"/>
              </w:rPr>
              <w:t>N</w:t>
            </w:r>
          </w:p>
        </w:tc>
        <w:tc>
          <w:tcPr>
            <w:tcW w:w="617" w:type="pct"/>
            <w:vMerge/>
            <w:tcBorders>
              <w:left w:val="single" w:sz="4" w:space="0" w:color="000000"/>
              <w:bottom w:val="single" w:sz="4" w:space="0" w:color="000000"/>
              <w:right w:val="single" w:sz="4" w:space="0" w:color="000000"/>
            </w:tcBorders>
            <w:vAlign w:val="center"/>
          </w:tcPr>
          <w:p w14:paraId="26E54E2D" w14:textId="77777777" w:rsidR="004B3B82" w:rsidRPr="003235B2" w:rsidRDefault="004B3B82" w:rsidP="00CD3B05">
            <w:pPr>
              <w:jc w:val="center"/>
              <w:rPr>
                <w:rFonts w:ascii="Garamond"/>
                <w:b/>
                <w:bCs/>
                <w:highlight w:val="yellow"/>
                <w:lang w:val="en-US"/>
              </w:rPr>
            </w:pPr>
          </w:p>
        </w:tc>
      </w:tr>
      <w:tr w:rsidR="004B3B82" w14:paraId="73C1F092" w14:textId="77777777" w:rsidTr="00CD3B05">
        <w:trPr>
          <w:trHeight w:val="250"/>
          <w:jc w:val="center"/>
        </w:trPr>
        <w:tc>
          <w:tcPr>
            <w:tcW w:w="27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00F1CDC" w14:textId="77777777" w:rsidR="004B3B82" w:rsidRDefault="004B3B82" w:rsidP="00CD3B05"/>
        </w:tc>
        <w:tc>
          <w:tcPr>
            <w:tcW w:w="736"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ED301BC" w14:textId="77777777" w:rsidR="004B3B82" w:rsidRDefault="004B3B82" w:rsidP="00CD3B05"/>
        </w:tc>
        <w:tc>
          <w:tcPr>
            <w:tcW w:w="224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FF64CA8" w14:textId="77777777" w:rsidR="004B3B82" w:rsidRDefault="004B3B82" w:rsidP="00CD3B05">
            <w:r>
              <w:rPr>
                <w:rFonts w:ascii="Garamond"/>
                <w:b/>
                <w:bCs/>
              </w:rPr>
              <w:t>1</w:t>
            </w:r>
            <w:r w:rsidRPr="004D7191">
              <w:rPr>
                <w:rFonts w:ascii="Garamond"/>
                <w:b/>
                <w:bCs/>
              </w:rPr>
              <w:t xml:space="preserve">. </w:t>
            </w:r>
            <w:r w:rsidRPr="004D7191">
              <w:rPr>
                <w:rFonts w:hAnsi="Garamond"/>
                <w:b/>
                <w:bCs/>
              </w:rPr>
              <w:t>ЗАЩИЩЕННОСТЬ</w:t>
            </w:r>
          </w:p>
        </w:tc>
        <w:tc>
          <w:tcPr>
            <w:tcW w:w="66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6E7AE2F" w14:textId="77777777" w:rsidR="004B3B82" w:rsidRDefault="004B3B82" w:rsidP="00CD3B05">
            <w:pPr>
              <w:jc w:val="center"/>
            </w:pPr>
          </w:p>
        </w:tc>
        <w:tc>
          <w:tcPr>
            <w:tcW w:w="464" w:type="pct"/>
            <w:tcBorders>
              <w:top w:val="single" w:sz="4" w:space="0" w:color="000000"/>
              <w:left w:val="single" w:sz="4" w:space="0" w:color="000000"/>
              <w:bottom w:val="single" w:sz="4" w:space="0" w:color="000000"/>
              <w:right w:val="single" w:sz="4" w:space="0" w:color="000000"/>
            </w:tcBorders>
            <w:vAlign w:val="center"/>
          </w:tcPr>
          <w:p w14:paraId="61122327" w14:textId="77777777" w:rsidR="004B3B82" w:rsidRDefault="004B3B82" w:rsidP="00CD3B05">
            <w:pPr>
              <w:jc w:val="center"/>
            </w:pPr>
          </w:p>
        </w:tc>
        <w:tc>
          <w:tcPr>
            <w:tcW w:w="617" w:type="pct"/>
            <w:tcBorders>
              <w:top w:val="single" w:sz="4" w:space="0" w:color="000000"/>
              <w:left w:val="single" w:sz="4" w:space="0" w:color="000000"/>
              <w:bottom w:val="single" w:sz="4" w:space="0" w:color="000000"/>
              <w:right w:val="single" w:sz="4" w:space="0" w:color="000000"/>
            </w:tcBorders>
            <w:vAlign w:val="center"/>
          </w:tcPr>
          <w:p w14:paraId="0FDB8675" w14:textId="77777777" w:rsidR="004B3B82" w:rsidRPr="003235B2" w:rsidRDefault="004B3B82" w:rsidP="00CD3B05">
            <w:pPr>
              <w:jc w:val="center"/>
              <w:rPr>
                <w:highlight w:val="yellow"/>
              </w:rPr>
            </w:pPr>
          </w:p>
        </w:tc>
      </w:tr>
      <w:tr w:rsidR="004B3B82" w14:paraId="455DA269" w14:textId="77777777" w:rsidTr="00CD3B05">
        <w:trPr>
          <w:trHeight w:val="490"/>
          <w:jc w:val="center"/>
        </w:trPr>
        <w:tc>
          <w:tcPr>
            <w:tcW w:w="27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2370879" w14:textId="77777777" w:rsidR="004B3B82" w:rsidRPr="007B5E5A" w:rsidRDefault="004B3B82" w:rsidP="00CD3B05">
            <w:pPr>
              <w:jc w:val="center"/>
              <w:rPr>
                <w:rFonts w:ascii="Garamond" w:hAnsi="Garamond"/>
              </w:rPr>
            </w:pPr>
            <w:r w:rsidRPr="007B5E5A">
              <w:rPr>
                <w:rFonts w:ascii="Garamond" w:hAnsi="Garamond"/>
              </w:rPr>
              <w:t>1</w:t>
            </w:r>
          </w:p>
        </w:tc>
        <w:tc>
          <w:tcPr>
            <w:tcW w:w="736"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44CF87A" w14:textId="77777777" w:rsidR="004B3B82" w:rsidRPr="0057513B" w:rsidRDefault="004B3B82" w:rsidP="00CD3B05">
            <w:pPr>
              <w:jc w:val="center"/>
            </w:pPr>
            <w:r w:rsidRPr="0057513B">
              <w:rPr>
                <w:rFonts w:hAnsi="Garamond"/>
              </w:rPr>
              <w:t>П</w:t>
            </w:r>
            <w:r w:rsidRPr="0057513B">
              <w:rPr>
                <w:rFonts w:hAnsi="Garamond"/>
                <w:vertAlign w:val="subscript"/>
              </w:rPr>
              <w:t>З</w:t>
            </w:r>
            <w:r w:rsidRPr="0057513B">
              <w:rPr>
                <w:rFonts w:ascii="Garamond"/>
                <w:vertAlign w:val="subscript"/>
              </w:rPr>
              <w:t>13</w:t>
            </w:r>
          </w:p>
        </w:tc>
        <w:tc>
          <w:tcPr>
            <w:tcW w:w="224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E53729" w14:textId="77777777" w:rsidR="004B3B82" w:rsidRDefault="004B3B82" w:rsidP="00CD3B05">
            <w:pPr>
              <w:ind w:left="34"/>
            </w:pPr>
            <w:r w:rsidRPr="004D7191">
              <w:rPr>
                <w:rFonts w:hAnsi="Garamond"/>
              </w:rPr>
              <w:t>Защита</w:t>
            </w:r>
            <w:r w:rsidRPr="004D7191">
              <w:rPr>
                <w:rFonts w:hAnsi="Garamond"/>
              </w:rPr>
              <w:t xml:space="preserve"> </w:t>
            </w:r>
            <w:r w:rsidRPr="004D7191">
              <w:rPr>
                <w:rFonts w:hAnsi="Garamond"/>
              </w:rPr>
              <w:t>информации</w:t>
            </w:r>
            <w:r w:rsidRPr="004D7191">
              <w:rPr>
                <w:rFonts w:hAnsi="Garamond"/>
              </w:rPr>
              <w:t xml:space="preserve"> </w:t>
            </w:r>
            <w:r w:rsidRPr="004D7191">
              <w:rPr>
                <w:rFonts w:hAnsi="Garamond"/>
              </w:rPr>
              <w:t>на</w:t>
            </w:r>
            <w:r w:rsidRPr="004D7191">
              <w:rPr>
                <w:rFonts w:hAnsi="Garamond"/>
              </w:rPr>
              <w:t xml:space="preserve"> </w:t>
            </w:r>
            <w:r w:rsidRPr="004D7191">
              <w:rPr>
                <w:rFonts w:hAnsi="Garamond"/>
              </w:rPr>
              <w:t>программном</w:t>
            </w:r>
            <w:r w:rsidRPr="004D7191">
              <w:rPr>
                <w:rFonts w:hAnsi="Garamond"/>
              </w:rPr>
              <w:t xml:space="preserve"> </w:t>
            </w:r>
            <w:r w:rsidRPr="004D7191">
              <w:rPr>
                <w:rFonts w:hAnsi="Garamond"/>
              </w:rPr>
              <w:t>уровне</w:t>
            </w:r>
            <w:r w:rsidRPr="004D7191">
              <w:rPr>
                <w:rFonts w:hAnsi="Garamond"/>
              </w:rPr>
              <w:t xml:space="preserve"> </w:t>
            </w:r>
            <w:r w:rsidRPr="004D7191">
              <w:rPr>
                <w:rFonts w:hAnsi="Garamond"/>
              </w:rPr>
              <w:t>при</w:t>
            </w:r>
            <w:r w:rsidRPr="004D7191">
              <w:rPr>
                <w:rFonts w:hAnsi="Garamond"/>
              </w:rPr>
              <w:t xml:space="preserve"> </w:t>
            </w:r>
            <w:r w:rsidRPr="004D7191">
              <w:rPr>
                <w:rFonts w:hAnsi="Garamond"/>
              </w:rPr>
              <w:t>параметрировании</w:t>
            </w:r>
            <w:r w:rsidRPr="004D7191">
              <w:rPr>
                <w:rFonts w:hAnsi="Garamond"/>
              </w:rPr>
              <w:t xml:space="preserve"> </w:t>
            </w:r>
            <w:r w:rsidRPr="004D7191">
              <w:rPr>
                <w:rFonts w:hAnsi="Garamond"/>
              </w:rPr>
              <w:t>–</w:t>
            </w:r>
            <w:r w:rsidRPr="004D7191">
              <w:rPr>
                <w:rFonts w:hAnsi="Garamond"/>
              </w:rPr>
              <w:t xml:space="preserve"> </w:t>
            </w:r>
            <w:r w:rsidRPr="004D7191">
              <w:rPr>
                <w:rFonts w:hAnsi="Garamond"/>
              </w:rPr>
              <w:t>установка</w:t>
            </w:r>
            <w:r w:rsidRPr="004D7191">
              <w:rPr>
                <w:rFonts w:hAnsi="Garamond"/>
              </w:rPr>
              <w:t xml:space="preserve"> </w:t>
            </w:r>
            <w:r w:rsidRPr="004D7191">
              <w:rPr>
                <w:rFonts w:hAnsi="Garamond"/>
              </w:rPr>
              <w:t>пароля</w:t>
            </w:r>
            <w:r w:rsidRPr="004D7191">
              <w:rPr>
                <w:rFonts w:hAnsi="Garamond"/>
              </w:rPr>
              <w:t xml:space="preserve"> </w:t>
            </w:r>
            <w:r w:rsidRPr="004D7191">
              <w:rPr>
                <w:rFonts w:hAnsi="Garamond"/>
              </w:rPr>
              <w:t>на</w:t>
            </w:r>
            <w:r w:rsidRPr="004D7191">
              <w:rPr>
                <w:rFonts w:hAnsi="Garamond"/>
              </w:rPr>
              <w:t xml:space="preserve"> </w:t>
            </w:r>
            <w:r w:rsidRPr="005D1011">
              <w:rPr>
                <w:rFonts w:hAnsi="Garamond"/>
                <w:highlight w:val="yellow"/>
              </w:rPr>
              <w:t>прибор</w:t>
            </w:r>
            <w:r w:rsidRPr="005D1011">
              <w:rPr>
                <w:rFonts w:hAnsi="Garamond"/>
                <w:highlight w:val="yellow"/>
              </w:rPr>
              <w:t xml:space="preserve"> </w:t>
            </w:r>
            <w:r w:rsidRPr="005D1011">
              <w:rPr>
                <w:rFonts w:hAnsi="Garamond"/>
                <w:highlight w:val="yellow"/>
              </w:rPr>
              <w:t>учета</w:t>
            </w:r>
          </w:p>
        </w:tc>
        <w:tc>
          <w:tcPr>
            <w:tcW w:w="66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F820DBE" w14:textId="77777777" w:rsidR="004B3B82" w:rsidRDefault="004B3B82" w:rsidP="00CD3B05">
            <w:pPr>
              <w:jc w:val="center"/>
            </w:pPr>
            <w:r w:rsidRPr="004D7191">
              <w:rPr>
                <w:rFonts w:hAnsi="Garamond"/>
              </w:rPr>
              <w:t>Да</w:t>
            </w:r>
          </w:p>
        </w:tc>
        <w:tc>
          <w:tcPr>
            <w:tcW w:w="464" w:type="pct"/>
            <w:tcBorders>
              <w:top w:val="single" w:sz="4" w:space="0" w:color="000000"/>
              <w:left w:val="single" w:sz="4" w:space="0" w:color="000000"/>
              <w:bottom w:val="single" w:sz="4" w:space="0" w:color="000000"/>
              <w:right w:val="single" w:sz="4" w:space="0" w:color="000000"/>
            </w:tcBorders>
            <w:vAlign w:val="center"/>
          </w:tcPr>
          <w:p w14:paraId="0B55F071" w14:textId="77777777" w:rsidR="004B3B82" w:rsidRDefault="004B3B82" w:rsidP="00CD3B05">
            <w:pPr>
              <w:jc w:val="center"/>
            </w:pPr>
            <w:r w:rsidRPr="004D7191">
              <w:rPr>
                <w:rFonts w:hAnsi="Garamond"/>
              </w:rPr>
              <w:t>Да</w:t>
            </w:r>
          </w:p>
        </w:tc>
        <w:tc>
          <w:tcPr>
            <w:tcW w:w="617" w:type="pct"/>
            <w:tcBorders>
              <w:top w:val="single" w:sz="4" w:space="0" w:color="000000"/>
              <w:left w:val="single" w:sz="4" w:space="0" w:color="000000"/>
              <w:bottom w:val="single" w:sz="4" w:space="0" w:color="000000"/>
              <w:right w:val="single" w:sz="4" w:space="0" w:color="000000"/>
            </w:tcBorders>
            <w:vAlign w:val="center"/>
          </w:tcPr>
          <w:p w14:paraId="7AF5DE49" w14:textId="77777777" w:rsidR="004B3B82" w:rsidRPr="003235B2" w:rsidRDefault="004B3B82" w:rsidP="00CD3B05">
            <w:pPr>
              <w:jc w:val="center"/>
              <w:rPr>
                <w:rFonts w:hAnsi="Garamond"/>
                <w:highlight w:val="yellow"/>
              </w:rPr>
            </w:pPr>
            <w:r w:rsidRPr="003235B2">
              <w:rPr>
                <w:rFonts w:hAnsi="Garamond"/>
                <w:highlight w:val="yellow"/>
              </w:rPr>
              <w:t>Да</w:t>
            </w:r>
          </w:p>
        </w:tc>
      </w:tr>
      <w:tr w:rsidR="004B3B82" w14:paraId="2242D8BF" w14:textId="77777777" w:rsidTr="00CD3B05">
        <w:trPr>
          <w:trHeight w:val="490"/>
          <w:jc w:val="center"/>
        </w:trPr>
        <w:tc>
          <w:tcPr>
            <w:tcW w:w="27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42C74C8" w14:textId="77777777" w:rsidR="004B3B82" w:rsidRPr="007B5E5A" w:rsidRDefault="004B3B82" w:rsidP="00CD3B05">
            <w:pPr>
              <w:jc w:val="center"/>
              <w:rPr>
                <w:rFonts w:ascii="Garamond" w:hAnsi="Garamond"/>
              </w:rPr>
            </w:pPr>
            <w:r w:rsidRPr="007B5E5A">
              <w:rPr>
                <w:rFonts w:ascii="Garamond" w:hAnsi="Garamond"/>
              </w:rPr>
              <w:t>2</w:t>
            </w:r>
          </w:p>
        </w:tc>
        <w:tc>
          <w:tcPr>
            <w:tcW w:w="736"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888DFF2" w14:textId="77777777" w:rsidR="004B3B82" w:rsidRPr="0057513B" w:rsidRDefault="004B3B82" w:rsidP="00CD3B05">
            <w:pPr>
              <w:jc w:val="center"/>
            </w:pPr>
            <w:r w:rsidRPr="0057513B">
              <w:rPr>
                <w:rFonts w:hAnsi="Garamond"/>
              </w:rPr>
              <w:t>П</w:t>
            </w:r>
            <w:r w:rsidRPr="0057513B">
              <w:rPr>
                <w:rFonts w:hAnsi="Garamond"/>
                <w:vertAlign w:val="subscript"/>
              </w:rPr>
              <w:t>З</w:t>
            </w:r>
            <w:r w:rsidRPr="0057513B">
              <w:rPr>
                <w:rFonts w:ascii="Garamond"/>
                <w:vertAlign w:val="subscript"/>
              </w:rPr>
              <w:t>14</w:t>
            </w:r>
          </w:p>
        </w:tc>
        <w:tc>
          <w:tcPr>
            <w:tcW w:w="224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603FEBD" w14:textId="77777777" w:rsidR="004B3B82" w:rsidRDefault="004B3B82" w:rsidP="00CD3B05">
            <w:pPr>
              <w:ind w:left="34"/>
            </w:pPr>
            <w:r w:rsidRPr="004D7191">
              <w:rPr>
                <w:rFonts w:hAnsi="Garamond"/>
              </w:rPr>
              <w:t>Защита</w:t>
            </w:r>
            <w:r w:rsidRPr="004D7191">
              <w:rPr>
                <w:rFonts w:hAnsi="Garamond"/>
              </w:rPr>
              <w:t xml:space="preserve"> </w:t>
            </w:r>
            <w:r w:rsidRPr="004D7191">
              <w:rPr>
                <w:rFonts w:hAnsi="Garamond"/>
              </w:rPr>
              <w:t>информации</w:t>
            </w:r>
            <w:r w:rsidRPr="004D7191">
              <w:rPr>
                <w:rFonts w:hAnsi="Garamond"/>
              </w:rPr>
              <w:t xml:space="preserve"> </w:t>
            </w:r>
            <w:r w:rsidRPr="004D7191">
              <w:rPr>
                <w:rFonts w:hAnsi="Garamond"/>
              </w:rPr>
              <w:t>на</w:t>
            </w:r>
            <w:r w:rsidRPr="004D7191">
              <w:rPr>
                <w:rFonts w:hAnsi="Garamond"/>
              </w:rPr>
              <w:t xml:space="preserve"> </w:t>
            </w:r>
            <w:r w:rsidRPr="004D7191">
              <w:rPr>
                <w:rFonts w:hAnsi="Garamond"/>
              </w:rPr>
              <w:t>программном</w:t>
            </w:r>
            <w:r w:rsidRPr="004D7191">
              <w:rPr>
                <w:rFonts w:hAnsi="Garamond"/>
              </w:rPr>
              <w:t xml:space="preserve"> </w:t>
            </w:r>
            <w:r w:rsidRPr="004D7191">
              <w:rPr>
                <w:rFonts w:hAnsi="Garamond"/>
              </w:rPr>
              <w:t>уровне</w:t>
            </w:r>
            <w:r w:rsidRPr="004D7191">
              <w:rPr>
                <w:rFonts w:hAnsi="Garamond"/>
              </w:rPr>
              <w:t xml:space="preserve"> </w:t>
            </w:r>
            <w:r w:rsidRPr="004D7191">
              <w:rPr>
                <w:rFonts w:hAnsi="Garamond"/>
              </w:rPr>
              <w:t>при</w:t>
            </w:r>
            <w:r w:rsidRPr="004D7191">
              <w:rPr>
                <w:rFonts w:hAnsi="Garamond"/>
              </w:rPr>
              <w:t xml:space="preserve"> </w:t>
            </w:r>
            <w:r w:rsidRPr="004D7191">
              <w:rPr>
                <w:rFonts w:hAnsi="Garamond"/>
              </w:rPr>
              <w:t>параметрировании</w:t>
            </w:r>
            <w:r w:rsidRPr="004D7191">
              <w:rPr>
                <w:rFonts w:hAnsi="Garamond"/>
              </w:rPr>
              <w:t xml:space="preserve"> </w:t>
            </w:r>
            <w:r w:rsidRPr="004D7191">
              <w:rPr>
                <w:rFonts w:hAnsi="Garamond"/>
              </w:rPr>
              <w:t>–</w:t>
            </w:r>
            <w:r w:rsidRPr="004D7191">
              <w:rPr>
                <w:rFonts w:hAnsi="Garamond"/>
              </w:rPr>
              <w:t xml:space="preserve"> </w:t>
            </w:r>
            <w:r w:rsidRPr="004D7191">
              <w:rPr>
                <w:rFonts w:hAnsi="Garamond"/>
              </w:rPr>
              <w:t>установка</w:t>
            </w:r>
            <w:r w:rsidRPr="004D7191">
              <w:rPr>
                <w:rFonts w:hAnsi="Garamond"/>
              </w:rPr>
              <w:t xml:space="preserve"> </w:t>
            </w:r>
            <w:r w:rsidRPr="004D7191">
              <w:rPr>
                <w:rFonts w:hAnsi="Garamond"/>
              </w:rPr>
              <w:t>пароля</w:t>
            </w:r>
            <w:r w:rsidRPr="004D7191">
              <w:rPr>
                <w:rFonts w:hAnsi="Garamond"/>
              </w:rPr>
              <w:t xml:space="preserve"> </w:t>
            </w:r>
            <w:r w:rsidRPr="004D7191">
              <w:rPr>
                <w:rFonts w:hAnsi="Garamond"/>
              </w:rPr>
              <w:t>на</w:t>
            </w:r>
            <w:r w:rsidRPr="004D7191">
              <w:rPr>
                <w:rFonts w:hAnsi="Garamond"/>
              </w:rPr>
              <w:t xml:space="preserve"> </w:t>
            </w:r>
            <w:r w:rsidRPr="004D7191">
              <w:rPr>
                <w:rFonts w:hAnsi="Garamond"/>
              </w:rPr>
              <w:t>УСПД</w:t>
            </w:r>
          </w:p>
        </w:tc>
        <w:tc>
          <w:tcPr>
            <w:tcW w:w="66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2505881" w14:textId="77777777" w:rsidR="004B3B82" w:rsidRDefault="004B3B82" w:rsidP="00CD3B05">
            <w:pPr>
              <w:jc w:val="center"/>
            </w:pPr>
            <w:r w:rsidRPr="004D7191">
              <w:rPr>
                <w:rFonts w:hAnsi="Garamond"/>
              </w:rPr>
              <w:t>Да</w:t>
            </w:r>
          </w:p>
        </w:tc>
        <w:tc>
          <w:tcPr>
            <w:tcW w:w="464" w:type="pct"/>
            <w:tcBorders>
              <w:top w:val="single" w:sz="4" w:space="0" w:color="000000"/>
              <w:left w:val="single" w:sz="4" w:space="0" w:color="000000"/>
              <w:bottom w:val="single" w:sz="4" w:space="0" w:color="000000"/>
              <w:right w:val="single" w:sz="4" w:space="0" w:color="000000"/>
            </w:tcBorders>
            <w:vAlign w:val="center"/>
          </w:tcPr>
          <w:p w14:paraId="5F5FF70C" w14:textId="77777777" w:rsidR="004B3B82" w:rsidRDefault="004B3B82" w:rsidP="00CD3B05">
            <w:pPr>
              <w:jc w:val="center"/>
            </w:pPr>
            <w:r w:rsidRPr="004D7191">
              <w:rPr>
                <w:rFonts w:hAnsi="Garamond"/>
              </w:rPr>
              <w:t>Да</w:t>
            </w:r>
          </w:p>
        </w:tc>
        <w:tc>
          <w:tcPr>
            <w:tcW w:w="617" w:type="pct"/>
            <w:tcBorders>
              <w:top w:val="single" w:sz="4" w:space="0" w:color="000000"/>
              <w:left w:val="single" w:sz="4" w:space="0" w:color="000000"/>
              <w:bottom w:val="single" w:sz="4" w:space="0" w:color="000000"/>
              <w:right w:val="single" w:sz="4" w:space="0" w:color="000000"/>
            </w:tcBorders>
            <w:vAlign w:val="center"/>
          </w:tcPr>
          <w:p w14:paraId="7F956B50" w14:textId="77777777" w:rsidR="004B3B82" w:rsidRPr="003235B2" w:rsidRDefault="004B3B82" w:rsidP="00CD3B05">
            <w:pPr>
              <w:jc w:val="center"/>
              <w:rPr>
                <w:rFonts w:hAnsi="Garamond"/>
                <w:highlight w:val="yellow"/>
              </w:rPr>
            </w:pPr>
            <w:r w:rsidRPr="003235B2">
              <w:rPr>
                <w:rFonts w:hAnsi="Garamond"/>
                <w:highlight w:val="yellow"/>
                <w:lang w:val="en-US"/>
              </w:rPr>
              <w:t>Нет</w:t>
            </w:r>
          </w:p>
        </w:tc>
      </w:tr>
      <w:tr w:rsidR="004B3B82" w14:paraId="16C62A57" w14:textId="77777777" w:rsidTr="00CD3B05">
        <w:trPr>
          <w:trHeight w:val="490"/>
          <w:jc w:val="center"/>
        </w:trPr>
        <w:tc>
          <w:tcPr>
            <w:tcW w:w="27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981D473" w14:textId="77777777" w:rsidR="004B3B82" w:rsidRPr="007B5E5A" w:rsidRDefault="004B3B82" w:rsidP="00CD3B05">
            <w:pPr>
              <w:jc w:val="center"/>
              <w:rPr>
                <w:rFonts w:ascii="Garamond" w:hAnsi="Garamond"/>
              </w:rPr>
            </w:pPr>
            <w:r w:rsidRPr="007B5E5A">
              <w:rPr>
                <w:rFonts w:ascii="Garamond" w:hAnsi="Garamond"/>
              </w:rPr>
              <w:t>3</w:t>
            </w:r>
          </w:p>
        </w:tc>
        <w:tc>
          <w:tcPr>
            <w:tcW w:w="736"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4C04168" w14:textId="77777777" w:rsidR="004B3B82" w:rsidRPr="0057513B" w:rsidRDefault="004B3B82" w:rsidP="00CD3B05">
            <w:pPr>
              <w:jc w:val="center"/>
            </w:pPr>
            <w:r w:rsidRPr="0057513B">
              <w:rPr>
                <w:rFonts w:hAnsi="Garamond"/>
              </w:rPr>
              <w:t>П</w:t>
            </w:r>
            <w:r w:rsidRPr="0057513B">
              <w:rPr>
                <w:rFonts w:hAnsi="Garamond"/>
                <w:vertAlign w:val="subscript"/>
              </w:rPr>
              <w:t>З</w:t>
            </w:r>
            <w:r w:rsidRPr="0057513B">
              <w:rPr>
                <w:rFonts w:ascii="Garamond"/>
                <w:vertAlign w:val="subscript"/>
              </w:rPr>
              <w:t>15</w:t>
            </w:r>
          </w:p>
        </w:tc>
        <w:tc>
          <w:tcPr>
            <w:tcW w:w="224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E99EF8C" w14:textId="77777777" w:rsidR="004B3B82" w:rsidRDefault="004B3B82" w:rsidP="00CD3B05">
            <w:pPr>
              <w:ind w:left="34"/>
            </w:pPr>
            <w:r w:rsidRPr="004D7191">
              <w:rPr>
                <w:rFonts w:hAnsi="Garamond"/>
              </w:rPr>
              <w:t>Защита</w:t>
            </w:r>
            <w:r w:rsidRPr="004D7191">
              <w:rPr>
                <w:rFonts w:hAnsi="Garamond"/>
              </w:rPr>
              <w:t xml:space="preserve"> </w:t>
            </w:r>
            <w:r w:rsidRPr="004D7191">
              <w:rPr>
                <w:rFonts w:hAnsi="Garamond"/>
              </w:rPr>
              <w:t>информации</w:t>
            </w:r>
            <w:r w:rsidRPr="004D7191">
              <w:rPr>
                <w:rFonts w:hAnsi="Garamond"/>
              </w:rPr>
              <w:t xml:space="preserve"> </w:t>
            </w:r>
            <w:r w:rsidRPr="004D7191">
              <w:rPr>
                <w:rFonts w:hAnsi="Garamond"/>
              </w:rPr>
              <w:t>на</w:t>
            </w:r>
            <w:r w:rsidRPr="004D7191">
              <w:rPr>
                <w:rFonts w:hAnsi="Garamond"/>
              </w:rPr>
              <w:t xml:space="preserve"> </w:t>
            </w:r>
            <w:r w:rsidRPr="004D7191">
              <w:rPr>
                <w:rFonts w:hAnsi="Garamond"/>
              </w:rPr>
              <w:t>программном</w:t>
            </w:r>
            <w:r w:rsidRPr="004D7191">
              <w:rPr>
                <w:rFonts w:hAnsi="Garamond"/>
              </w:rPr>
              <w:t xml:space="preserve"> </w:t>
            </w:r>
            <w:r w:rsidRPr="004D7191">
              <w:rPr>
                <w:rFonts w:hAnsi="Garamond"/>
              </w:rPr>
              <w:t>уровне</w:t>
            </w:r>
            <w:r w:rsidRPr="004D7191">
              <w:rPr>
                <w:rFonts w:hAnsi="Garamond"/>
              </w:rPr>
              <w:t xml:space="preserve"> </w:t>
            </w:r>
            <w:r w:rsidRPr="004D7191">
              <w:rPr>
                <w:rFonts w:hAnsi="Garamond"/>
              </w:rPr>
              <w:t>при</w:t>
            </w:r>
            <w:r w:rsidRPr="004D7191">
              <w:rPr>
                <w:rFonts w:hAnsi="Garamond"/>
              </w:rPr>
              <w:t xml:space="preserve"> </w:t>
            </w:r>
            <w:r w:rsidRPr="004D7191">
              <w:rPr>
                <w:rFonts w:hAnsi="Garamond"/>
              </w:rPr>
              <w:t>параметрировании</w:t>
            </w:r>
            <w:r w:rsidRPr="004D7191">
              <w:rPr>
                <w:rFonts w:hAnsi="Garamond"/>
              </w:rPr>
              <w:t xml:space="preserve"> </w:t>
            </w:r>
            <w:r w:rsidRPr="004D7191">
              <w:rPr>
                <w:rFonts w:hAnsi="Garamond"/>
              </w:rPr>
              <w:t>–</w:t>
            </w:r>
            <w:r w:rsidRPr="004D7191">
              <w:rPr>
                <w:rFonts w:hAnsi="Garamond"/>
              </w:rPr>
              <w:t xml:space="preserve"> </w:t>
            </w:r>
            <w:r w:rsidRPr="004D7191">
              <w:rPr>
                <w:rFonts w:hAnsi="Garamond"/>
              </w:rPr>
              <w:t>установка</w:t>
            </w:r>
            <w:r w:rsidRPr="004D7191">
              <w:rPr>
                <w:rFonts w:hAnsi="Garamond"/>
              </w:rPr>
              <w:t xml:space="preserve"> </w:t>
            </w:r>
            <w:r w:rsidRPr="004D7191">
              <w:rPr>
                <w:rFonts w:hAnsi="Garamond"/>
              </w:rPr>
              <w:t>пароля</w:t>
            </w:r>
            <w:r w:rsidRPr="004D7191">
              <w:rPr>
                <w:rFonts w:hAnsi="Garamond"/>
              </w:rPr>
              <w:t xml:space="preserve"> </w:t>
            </w:r>
            <w:r w:rsidRPr="004D7191">
              <w:rPr>
                <w:rFonts w:hAnsi="Garamond"/>
              </w:rPr>
              <w:t>на</w:t>
            </w:r>
            <w:r w:rsidRPr="004D7191">
              <w:rPr>
                <w:rFonts w:hAnsi="Garamond"/>
              </w:rPr>
              <w:t xml:space="preserve"> </w:t>
            </w:r>
            <w:r w:rsidRPr="004D7191">
              <w:rPr>
                <w:rFonts w:hAnsi="Garamond"/>
              </w:rPr>
              <w:t>сервер</w:t>
            </w:r>
          </w:p>
        </w:tc>
        <w:tc>
          <w:tcPr>
            <w:tcW w:w="66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287B39C" w14:textId="77777777" w:rsidR="004B3B82" w:rsidRDefault="004B3B82" w:rsidP="00CD3B05">
            <w:pPr>
              <w:jc w:val="center"/>
            </w:pPr>
            <w:r w:rsidRPr="004D7191">
              <w:rPr>
                <w:rFonts w:hAnsi="Garamond"/>
              </w:rPr>
              <w:t>Да</w:t>
            </w:r>
          </w:p>
        </w:tc>
        <w:tc>
          <w:tcPr>
            <w:tcW w:w="464" w:type="pct"/>
            <w:tcBorders>
              <w:top w:val="single" w:sz="4" w:space="0" w:color="000000"/>
              <w:left w:val="single" w:sz="4" w:space="0" w:color="000000"/>
              <w:bottom w:val="single" w:sz="4" w:space="0" w:color="000000"/>
              <w:right w:val="single" w:sz="4" w:space="0" w:color="000000"/>
            </w:tcBorders>
            <w:vAlign w:val="center"/>
          </w:tcPr>
          <w:p w14:paraId="3B025B23" w14:textId="77777777" w:rsidR="004B3B82" w:rsidRDefault="004B3B82" w:rsidP="00CD3B05">
            <w:pPr>
              <w:jc w:val="center"/>
            </w:pPr>
            <w:r w:rsidRPr="004D7191">
              <w:rPr>
                <w:rFonts w:hAnsi="Garamond"/>
              </w:rPr>
              <w:t>Да</w:t>
            </w:r>
          </w:p>
        </w:tc>
        <w:tc>
          <w:tcPr>
            <w:tcW w:w="617" w:type="pct"/>
            <w:tcBorders>
              <w:top w:val="single" w:sz="4" w:space="0" w:color="000000"/>
              <w:left w:val="single" w:sz="4" w:space="0" w:color="000000"/>
              <w:bottom w:val="single" w:sz="4" w:space="0" w:color="000000"/>
              <w:right w:val="single" w:sz="4" w:space="0" w:color="000000"/>
            </w:tcBorders>
            <w:vAlign w:val="center"/>
          </w:tcPr>
          <w:p w14:paraId="646F2408" w14:textId="77777777" w:rsidR="004B3B82" w:rsidRPr="003235B2" w:rsidRDefault="004B3B82" w:rsidP="00CD3B05">
            <w:pPr>
              <w:jc w:val="center"/>
              <w:rPr>
                <w:rFonts w:hAnsi="Garamond"/>
                <w:highlight w:val="yellow"/>
              </w:rPr>
            </w:pPr>
            <w:r w:rsidRPr="003235B2">
              <w:rPr>
                <w:rFonts w:hAnsi="Garamond"/>
                <w:highlight w:val="yellow"/>
                <w:lang w:val="en-US"/>
              </w:rPr>
              <w:t>Нет</w:t>
            </w:r>
          </w:p>
        </w:tc>
      </w:tr>
      <w:tr w:rsidR="004B3B82" w14:paraId="5AA2443B" w14:textId="77777777" w:rsidTr="00CD3B05">
        <w:trPr>
          <w:trHeight w:val="250"/>
          <w:jc w:val="center"/>
        </w:trPr>
        <w:tc>
          <w:tcPr>
            <w:tcW w:w="27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B530081" w14:textId="77777777" w:rsidR="004B3B82" w:rsidRPr="007B5E5A" w:rsidRDefault="004B3B82" w:rsidP="00CD3B05">
            <w:pPr>
              <w:jc w:val="center"/>
              <w:rPr>
                <w:rFonts w:ascii="Garamond" w:hAnsi="Garamond"/>
              </w:rPr>
            </w:pPr>
          </w:p>
        </w:tc>
        <w:tc>
          <w:tcPr>
            <w:tcW w:w="736"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A4737D8" w14:textId="77777777" w:rsidR="004B3B82" w:rsidRPr="0057513B" w:rsidRDefault="004B3B82" w:rsidP="00CD3B05"/>
        </w:tc>
        <w:tc>
          <w:tcPr>
            <w:tcW w:w="224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9363149" w14:textId="77777777" w:rsidR="004B3B82" w:rsidRDefault="004B3B82" w:rsidP="00CD3B05">
            <w:r>
              <w:rPr>
                <w:rFonts w:ascii="Garamond"/>
                <w:b/>
                <w:bCs/>
              </w:rPr>
              <w:t>2</w:t>
            </w:r>
            <w:r w:rsidRPr="004D7191">
              <w:rPr>
                <w:rFonts w:ascii="Garamond"/>
                <w:b/>
                <w:bCs/>
              </w:rPr>
              <w:t xml:space="preserve">. </w:t>
            </w:r>
            <w:r w:rsidRPr="004D7191">
              <w:rPr>
                <w:rFonts w:hAnsi="Garamond"/>
                <w:b/>
                <w:bCs/>
              </w:rPr>
              <w:t>ФУНКЦИОНАЛЬНАЯ</w:t>
            </w:r>
            <w:r w:rsidRPr="004D7191">
              <w:rPr>
                <w:rFonts w:hAnsi="Garamond"/>
                <w:b/>
                <w:bCs/>
              </w:rPr>
              <w:t xml:space="preserve"> </w:t>
            </w:r>
            <w:r w:rsidRPr="004D7191">
              <w:rPr>
                <w:rFonts w:hAnsi="Garamond"/>
                <w:b/>
                <w:bCs/>
              </w:rPr>
              <w:t>ПОЛНОТА</w:t>
            </w:r>
          </w:p>
        </w:tc>
        <w:tc>
          <w:tcPr>
            <w:tcW w:w="66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F0D92DD" w14:textId="77777777" w:rsidR="004B3B82" w:rsidRDefault="004B3B82" w:rsidP="00CD3B05">
            <w:pPr>
              <w:jc w:val="center"/>
            </w:pPr>
          </w:p>
        </w:tc>
        <w:tc>
          <w:tcPr>
            <w:tcW w:w="464" w:type="pct"/>
            <w:tcBorders>
              <w:top w:val="single" w:sz="4" w:space="0" w:color="000000"/>
              <w:left w:val="single" w:sz="4" w:space="0" w:color="000000"/>
              <w:bottom w:val="single" w:sz="4" w:space="0" w:color="000000"/>
              <w:right w:val="single" w:sz="4" w:space="0" w:color="000000"/>
            </w:tcBorders>
            <w:vAlign w:val="center"/>
          </w:tcPr>
          <w:p w14:paraId="66C7FDDA" w14:textId="77777777" w:rsidR="004B3B82" w:rsidRDefault="004B3B82" w:rsidP="00CD3B05">
            <w:pPr>
              <w:jc w:val="center"/>
            </w:pPr>
          </w:p>
        </w:tc>
        <w:tc>
          <w:tcPr>
            <w:tcW w:w="617" w:type="pct"/>
            <w:tcBorders>
              <w:top w:val="single" w:sz="4" w:space="0" w:color="000000"/>
              <w:left w:val="single" w:sz="4" w:space="0" w:color="000000"/>
              <w:bottom w:val="single" w:sz="4" w:space="0" w:color="000000"/>
              <w:right w:val="single" w:sz="4" w:space="0" w:color="000000"/>
            </w:tcBorders>
            <w:vAlign w:val="center"/>
          </w:tcPr>
          <w:p w14:paraId="21627EAC" w14:textId="77777777" w:rsidR="004B3B82" w:rsidRPr="003235B2" w:rsidRDefault="004B3B82" w:rsidP="00CD3B05">
            <w:pPr>
              <w:jc w:val="center"/>
              <w:rPr>
                <w:highlight w:val="yellow"/>
              </w:rPr>
            </w:pPr>
          </w:p>
        </w:tc>
      </w:tr>
      <w:tr w:rsidR="004B3B82" w:rsidRPr="00200E4D" w14:paraId="7279D759" w14:textId="77777777" w:rsidTr="00CD3B05">
        <w:trPr>
          <w:trHeight w:val="250"/>
          <w:jc w:val="center"/>
        </w:trPr>
        <w:tc>
          <w:tcPr>
            <w:tcW w:w="27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E206AAB" w14:textId="77777777" w:rsidR="004B3B82" w:rsidRPr="007B5E5A" w:rsidRDefault="004B3B82" w:rsidP="00CD3B05">
            <w:pPr>
              <w:jc w:val="center"/>
              <w:rPr>
                <w:rFonts w:ascii="Garamond" w:hAnsi="Garamond"/>
              </w:rPr>
            </w:pPr>
            <w:r w:rsidRPr="007B5E5A">
              <w:rPr>
                <w:rFonts w:ascii="Garamond" w:hAnsi="Garamond"/>
              </w:rPr>
              <w:t>4</w:t>
            </w:r>
          </w:p>
        </w:tc>
        <w:tc>
          <w:tcPr>
            <w:tcW w:w="736"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CA8F6CA" w14:textId="77777777" w:rsidR="004B3B82" w:rsidRPr="0057513B" w:rsidRDefault="004B3B82" w:rsidP="00CD3B05">
            <w:pPr>
              <w:jc w:val="center"/>
            </w:pPr>
            <w:r w:rsidRPr="0057513B">
              <w:rPr>
                <w:rFonts w:hAnsi="Garamond"/>
              </w:rPr>
              <w:t>П</w:t>
            </w:r>
            <w:r w:rsidRPr="0057513B">
              <w:rPr>
                <w:rFonts w:hAnsi="Garamond"/>
                <w:vertAlign w:val="subscript"/>
              </w:rPr>
              <w:t>Ф</w:t>
            </w:r>
            <w:r w:rsidRPr="0057513B">
              <w:rPr>
                <w:rFonts w:ascii="Garamond"/>
                <w:vertAlign w:val="subscript"/>
              </w:rPr>
              <w:t>2</w:t>
            </w:r>
          </w:p>
        </w:tc>
        <w:tc>
          <w:tcPr>
            <w:tcW w:w="224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1086F6" w14:textId="77777777" w:rsidR="004B3B82" w:rsidRPr="00200E4D" w:rsidRDefault="004B3B82" w:rsidP="00CD3B05">
            <w:pPr>
              <w:ind w:left="34"/>
            </w:pPr>
            <w:r w:rsidRPr="00200E4D">
              <w:rPr>
                <w:rFonts w:hAnsi="Garamond"/>
              </w:rPr>
              <w:t>Измерение</w:t>
            </w:r>
            <w:r w:rsidRPr="00200E4D">
              <w:rPr>
                <w:rFonts w:hAnsi="Garamond"/>
              </w:rPr>
              <w:t xml:space="preserve"> </w:t>
            </w:r>
            <w:r w:rsidRPr="00200E4D">
              <w:rPr>
                <w:rFonts w:hAnsi="Garamond"/>
              </w:rPr>
              <w:t>приращений</w:t>
            </w:r>
            <w:r w:rsidRPr="00200E4D">
              <w:rPr>
                <w:rFonts w:hAnsi="Garamond"/>
              </w:rPr>
              <w:t xml:space="preserve"> </w:t>
            </w:r>
            <w:r w:rsidRPr="00200E4D">
              <w:rPr>
                <w:rFonts w:hAnsi="Garamond"/>
              </w:rPr>
              <w:t>электроэнергии</w:t>
            </w:r>
          </w:p>
        </w:tc>
        <w:tc>
          <w:tcPr>
            <w:tcW w:w="66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A167490" w14:textId="77777777" w:rsidR="004B3B82" w:rsidRPr="00200E4D" w:rsidRDefault="004B3B82" w:rsidP="00CD3B05">
            <w:pPr>
              <w:jc w:val="center"/>
            </w:pPr>
            <w:r w:rsidRPr="00200E4D">
              <w:rPr>
                <w:rFonts w:hAnsi="Garamond"/>
              </w:rPr>
              <w:t>Да</w:t>
            </w:r>
          </w:p>
        </w:tc>
        <w:tc>
          <w:tcPr>
            <w:tcW w:w="464" w:type="pct"/>
            <w:tcBorders>
              <w:top w:val="single" w:sz="4" w:space="0" w:color="000000"/>
              <w:left w:val="single" w:sz="4" w:space="0" w:color="000000"/>
              <w:bottom w:val="single" w:sz="4" w:space="0" w:color="000000"/>
              <w:right w:val="single" w:sz="4" w:space="0" w:color="000000"/>
            </w:tcBorders>
            <w:vAlign w:val="center"/>
          </w:tcPr>
          <w:p w14:paraId="7A82B969" w14:textId="77777777" w:rsidR="004B3B82" w:rsidRPr="00200E4D" w:rsidRDefault="004B3B82" w:rsidP="00CD3B05">
            <w:pPr>
              <w:jc w:val="center"/>
              <w:rPr>
                <w:rFonts w:hAnsi="Garamond"/>
              </w:rPr>
            </w:pPr>
            <w:r w:rsidRPr="00200E4D">
              <w:rPr>
                <w:rFonts w:hAnsi="Garamond"/>
              </w:rPr>
              <w:t>Да</w:t>
            </w:r>
          </w:p>
        </w:tc>
        <w:tc>
          <w:tcPr>
            <w:tcW w:w="617" w:type="pct"/>
            <w:tcBorders>
              <w:top w:val="single" w:sz="4" w:space="0" w:color="000000"/>
              <w:left w:val="single" w:sz="4" w:space="0" w:color="000000"/>
              <w:bottom w:val="single" w:sz="4" w:space="0" w:color="000000"/>
              <w:right w:val="single" w:sz="4" w:space="0" w:color="000000"/>
            </w:tcBorders>
            <w:vAlign w:val="center"/>
          </w:tcPr>
          <w:p w14:paraId="040FF014" w14:textId="77777777" w:rsidR="004B3B82" w:rsidRPr="003235B2" w:rsidRDefault="004B3B82" w:rsidP="00CD3B05">
            <w:pPr>
              <w:jc w:val="center"/>
              <w:rPr>
                <w:rFonts w:hAnsi="Garamond"/>
                <w:highlight w:val="yellow"/>
              </w:rPr>
            </w:pPr>
            <w:r w:rsidRPr="003235B2">
              <w:rPr>
                <w:rFonts w:hAnsi="Garamond"/>
                <w:highlight w:val="yellow"/>
              </w:rPr>
              <w:t>Да</w:t>
            </w:r>
          </w:p>
        </w:tc>
      </w:tr>
      <w:tr w:rsidR="004B3B82" w14:paraId="2766427F" w14:textId="77777777" w:rsidTr="00CD3B05">
        <w:trPr>
          <w:trHeight w:val="250"/>
          <w:jc w:val="center"/>
        </w:trPr>
        <w:tc>
          <w:tcPr>
            <w:tcW w:w="27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747785A" w14:textId="77777777" w:rsidR="004B3B82" w:rsidRPr="007B5E5A" w:rsidRDefault="004B3B82" w:rsidP="00CD3B05">
            <w:pPr>
              <w:jc w:val="center"/>
              <w:rPr>
                <w:rFonts w:ascii="Garamond" w:hAnsi="Garamond"/>
              </w:rPr>
            </w:pPr>
            <w:r w:rsidRPr="007B5E5A">
              <w:rPr>
                <w:rFonts w:ascii="Garamond" w:hAnsi="Garamond"/>
              </w:rPr>
              <w:t>5</w:t>
            </w:r>
          </w:p>
        </w:tc>
        <w:tc>
          <w:tcPr>
            <w:tcW w:w="736"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BE0FAD3" w14:textId="77777777" w:rsidR="004B3B82" w:rsidRPr="0057513B" w:rsidRDefault="004B3B82" w:rsidP="00CD3B05">
            <w:pPr>
              <w:jc w:val="center"/>
            </w:pPr>
            <w:r w:rsidRPr="0057513B">
              <w:rPr>
                <w:rFonts w:hAnsi="Garamond"/>
              </w:rPr>
              <w:t>П</w:t>
            </w:r>
            <w:r w:rsidRPr="0057513B">
              <w:rPr>
                <w:rFonts w:hAnsi="Garamond"/>
                <w:vertAlign w:val="subscript"/>
              </w:rPr>
              <w:t>Ф</w:t>
            </w:r>
            <w:r w:rsidRPr="0057513B">
              <w:rPr>
                <w:rFonts w:ascii="Garamond"/>
                <w:vertAlign w:val="subscript"/>
              </w:rPr>
              <w:t>4</w:t>
            </w:r>
          </w:p>
        </w:tc>
        <w:tc>
          <w:tcPr>
            <w:tcW w:w="224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1033A3C" w14:textId="77777777" w:rsidR="004B3B82" w:rsidRPr="00200E4D" w:rsidRDefault="004B3B82" w:rsidP="00CD3B05">
            <w:pPr>
              <w:ind w:left="34"/>
            </w:pPr>
            <w:r w:rsidRPr="00200E4D">
              <w:rPr>
                <w:rFonts w:hAnsi="Garamond"/>
              </w:rPr>
              <w:t>Измерение</w:t>
            </w:r>
            <w:r w:rsidRPr="00200E4D">
              <w:rPr>
                <w:rFonts w:hAnsi="Garamond"/>
              </w:rPr>
              <w:t xml:space="preserve"> </w:t>
            </w:r>
            <w:r w:rsidRPr="00200E4D">
              <w:rPr>
                <w:rFonts w:hAnsi="Garamond"/>
              </w:rPr>
              <w:t>времени</w:t>
            </w:r>
            <w:r w:rsidRPr="00200E4D">
              <w:rPr>
                <w:rFonts w:hAnsi="Garamond"/>
              </w:rPr>
              <w:t xml:space="preserve"> </w:t>
            </w:r>
            <w:r w:rsidRPr="00200E4D">
              <w:rPr>
                <w:rFonts w:hAnsi="Garamond"/>
              </w:rPr>
              <w:t>и</w:t>
            </w:r>
            <w:r w:rsidRPr="00200E4D">
              <w:rPr>
                <w:rFonts w:hAnsi="Garamond"/>
              </w:rPr>
              <w:t xml:space="preserve"> </w:t>
            </w:r>
            <w:r w:rsidRPr="00200E4D">
              <w:rPr>
                <w:rFonts w:hAnsi="Garamond"/>
              </w:rPr>
              <w:t>интервалов</w:t>
            </w:r>
            <w:r w:rsidRPr="00200E4D">
              <w:rPr>
                <w:rFonts w:hAnsi="Garamond"/>
              </w:rPr>
              <w:t xml:space="preserve"> </w:t>
            </w:r>
            <w:r w:rsidRPr="00200E4D">
              <w:rPr>
                <w:rFonts w:hAnsi="Garamond"/>
              </w:rPr>
              <w:t>времени</w:t>
            </w:r>
          </w:p>
        </w:tc>
        <w:tc>
          <w:tcPr>
            <w:tcW w:w="66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3DDD183" w14:textId="77777777" w:rsidR="004B3B82" w:rsidRPr="006E3BEB" w:rsidRDefault="004B3B82" w:rsidP="00CD3B05">
            <w:pPr>
              <w:jc w:val="center"/>
            </w:pPr>
            <w:r w:rsidRPr="006E3BEB">
              <w:rPr>
                <w:rFonts w:hAnsi="Garamond"/>
              </w:rPr>
              <w:t>Да</w:t>
            </w:r>
            <w:r w:rsidRPr="006E3BEB">
              <w:rPr>
                <w:rFonts w:hAnsi="Garamond"/>
              </w:rPr>
              <w:t xml:space="preserve"> </w:t>
            </w:r>
            <w:r w:rsidRPr="006E3BEB">
              <w:rPr>
                <w:rFonts w:ascii="Garamond" w:hAnsi="Garamond"/>
              </w:rPr>
              <w:t>(см. примечание)</w:t>
            </w:r>
          </w:p>
        </w:tc>
        <w:tc>
          <w:tcPr>
            <w:tcW w:w="464" w:type="pct"/>
            <w:tcBorders>
              <w:top w:val="single" w:sz="4" w:space="0" w:color="000000"/>
              <w:left w:val="single" w:sz="4" w:space="0" w:color="000000"/>
              <w:bottom w:val="single" w:sz="4" w:space="0" w:color="000000"/>
              <w:right w:val="single" w:sz="4" w:space="0" w:color="000000"/>
            </w:tcBorders>
            <w:vAlign w:val="center"/>
          </w:tcPr>
          <w:p w14:paraId="3FBB4D88" w14:textId="77777777" w:rsidR="004B3B82" w:rsidRPr="004D7191" w:rsidRDefault="004B3B82" w:rsidP="00CD3B05">
            <w:pPr>
              <w:jc w:val="center"/>
              <w:rPr>
                <w:rFonts w:hAnsi="Garamond"/>
              </w:rPr>
            </w:pPr>
            <w:r w:rsidRPr="00200E4D">
              <w:rPr>
                <w:rFonts w:hAnsi="Garamond"/>
                <w:lang w:val="en-US"/>
              </w:rPr>
              <w:t>Нет</w:t>
            </w:r>
          </w:p>
        </w:tc>
        <w:tc>
          <w:tcPr>
            <w:tcW w:w="617" w:type="pct"/>
            <w:tcBorders>
              <w:top w:val="single" w:sz="4" w:space="0" w:color="000000"/>
              <w:left w:val="single" w:sz="4" w:space="0" w:color="000000"/>
              <w:bottom w:val="single" w:sz="4" w:space="0" w:color="000000"/>
              <w:right w:val="single" w:sz="4" w:space="0" w:color="000000"/>
            </w:tcBorders>
            <w:vAlign w:val="center"/>
          </w:tcPr>
          <w:p w14:paraId="0F9A2410" w14:textId="77777777" w:rsidR="004B3B82" w:rsidRPr="003235B2" w:rsidRDefault="004B3B82" w:rsidP="00CD3B05">
            <w:pPr>
              <w:jc w:val="center"/>
              <w:rPr>
                <w:rFonts w:hAnsi="Garamond"/>
                <w:highlight w:val="yellow"/>
                <w:lang w:val="en-US"/>
              </w:rPr>
            </w:pPr>
            <w:r w:rsidRPr="003235B2">
              <w:rPr>
                <w:rFonts w:hAnsi="Garamond"/>
                <w:highlight w:val="yellow"/>
                <w:lang w:val="en-US"/>
              </w:rPr>
              <w:t>Нет</w:t>
            </w:r>
          </w:p>
        </w:tc>
      </w:tr>
      <w:tr w:rsidR="004B3B82" w14:paraId="16A2C3AA" w14:textId="77777777" w:rsidTr="00CD3B05">
        <w:trPr>
          <w:trHeight w:val="250"/>
          <w:jc w:val="center"/>
        </w:trPr>
        <w:tc>
          <w:tcPr>
            <w:tcW w:w="27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911BCF5" w14:textId="77777777" w:rsidR="004B3B82" w:rsidRPr="007B5E5A" w:rsidRDefault="004B3B82" w:rsidP="00CD3B05">
            <w:pPr>
              <w:jc w:val="center"/>
              <w:rPr>
                <w:rFonts w:ascii="Garamond" w:hAnsi="Garamond"/>
              </w:rPr>
            </w:pPr>
            <w:r w:rsidRPr="007B5E5A">
              <w:rPr>
                <w:rFonts w:ascii="Garamond" w:hAnsi="Garamond"/>
              </w:rPr>
              <w:t>6</w:t>
            </w:r>
          </w:p>
        </w:tc>
        <w:tc>
          <w:tcPr>
            <w:tcW w:w="736"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88ACD08" w14:textId="77777777" w:rsidR="004B3B82" w:rsidRPr="0057513B" w:rsidRDefault="004B3B82" w:rsidP="00CD3B05">
            <w:pPr>
              <w:jc w:val="center"/>
            </w:pPr>
            <w:r w:rsidRPr="0057513B">
              <w:rPr>
                <w:rFonts w:hAnsi="Garamond"/>
              </w:rPr>
              <w:t>П</w:t>
            </w:r>
            <w:r w:rsidRPr="0057513B">
              <w:rPr>
                <w:rFonts w:hAnsi="Garamond"/>
                <w:vertAlign w:val="subscript"/>
              </w:rPr>
              <w:t>Ф</w:t>
            </w:r>
            <w:r w:rsidRPr="0057513B">
              <w:rPr>
                <w:rFonts w:ascii="Garamond"/>
                <w:vertAlign w:val="subscript"/>
              </w:rPr>
              <w:t>7</w:t>
            </w:r>
          </w:p>
        </w:tc>
        <w:tc>
          <w:tcPr>
            <w:tcW w:w="224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FE8976D" w14:textId="77777777" w:rsidR="004B3B82" w:rsidRDefault="004B3B82" w:rsidP="00CD3B05">
            <w:pPr>
              <w:ind w:left="34"/>
            </w:pPr>
            <w:r w:rsidRPr="004D7191">
              <w:rPr>
                <w:rFonts w:hAnsi="Garamond"/>
              </w:rPr>
              <w:t>Допустимый</w:t>
            </w:r>
            <w:r w:rsidRPr="004D7191">
              <w:rPr>
                <w:rFonts w:hAnsi="Garamond"/>
              </w:rPr>
              <w:t xml:space="preserve"> </w:t>
            </w:r>
            <w:r w:rsidRPr="004D7191">
              <w:rPr>
                <w:rFonts w:hAnsi="Garamond"/>
              </w:rPr>
              <w:t>класс</w:t>
            </w:r>
            <w:r w:rsidRPr="004D7191">
              <w:rPr>
                <w:rFonts w:hAnsi="Garamond"/>
              </w:rPr>
              <w:t xml:space="preserve"> </w:t>
            </w:r>
            <w:r w:rsidRPr="004D7191">
              <w:rPr>
                <w:rFonts w:hAnsi="Garamond"/>
              </w:rPr>
              <w:t>точности</w:t>
            </w:r>
            <w:r w:rsidRPr="004D7191">
              <w:rPr>
                <w:rFonts w:hAnsi="Garamond"/>
              </w:rPr>
              <w:t xml:space="preserve"> </w:t>
            </w:r>
            <w:r w:rsidRPr="004D7191">
              <w:rPr>
                <w:rFonts w:hAnsi="Garamond"/>
              </w:rPr>
              <w:t>трансформаторов</w:t>
            </w:r>
            <w:r w:rsidRPr="004D7191">
              <w:rPr>
                <w:rFonts w:hAnsi="Garamond"/>
              </w:rPr>
              <w:t xml:space="preserve"> </w:t>
            </w:r>
            <w:r w:rsidRPr="004D7191">
              <w:rPr>
                <w:rFonts w:hAnsi="Garamond"/>
              </w:rPr>
              <w:t>тока</w:t>
            </w:r>
          </w:p>
        </w:tc>
        <w:tc>
          <w:tcPr>
            <w:tcW w:w="66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9062389" w14:textId="77777777" w:rsidR="004B3B82" w:rsidRPr="006E3BEB" w:rsidRDefault="004B3B82" w:rsidP="00CD3B05">
            <w:pPr>
              <w:jc w:val="center"/>
            </w:pPr>
            <w:r w:rsidRPr="006E3BEB">
              <w:rPr>
                <w:rFonts w:hAnsi="Garamond"/>
              </w:rPr>
              <w:t>Да</w:t>
            </w:r>
          </w:p>
        </w:tc>
        <w:tc>
          <w:tcPr>
            <w:tcW w:w="464" w:type="pct"/>
            <w:tcBorders>
              <w:top w:val="single" w:sz="4" w:space="0" w:color="000000"/>
              <w:left w:val="single" w:sz="4" w:space="0" w:color="000000"/>
              <w:bottom w:val="single" w:sz="4" w:space="0" w:color="000000"/>
              <w:right w:val="single" w:sz="4" w:space="0" w:color="000000"/>
            </w:tcBorders>
            <w:vAlign w:val="center"/>
          </w:tcPr>
          <w:p w14:paraId="7B8E3108" w14:textId="77777777" w:rsidR="004B3B82" w:rsidRPr="00101630" w:rsidRDefault="004B3B82" w:rsidP="00CD3B05">
            <w:pPr>
              <w:jc w:val="center"/>
              <w:rPr>
                <w:rFonts w:hAnsi="Garamond"/>
              </w:rPr>
            </w:pPr>
            <w:r>
              <w:rPr>
                <w:rFonts w:hAnsi="Garamond"/>
                <w:lang w:val="en-US"/>
              </w:rPr>
              <w:t>Нет</w:t>
            </w:r>
          </w:p>
        </w:tc>
        <w:tc>
          <w:tcPr>
            <w:tcW w:w="617" w:type="pct"/>
            <w:tcBorders>
              <w:top w:val="single" w:sz="4" w:space="0" w:color="000000"/>
              <w:left w:val="single" w:sz="4" w:space="0" w:color="000000"/>
              <w:bottom w:val="single" w:sz="4" w:space="0" w:color="000000"/>
              <w:right w:val="single" w:sz="4" w:space="0" w:color="000000"/>
            </w:tcBorders>
            <w:vAlign w:val="center"/>
          </w:tcPr>
          <w:p w14:paraId="18FC0043" w14:textId="77777777" w:rsidR="004B3B82" w:rsidRPr="003235B2" w:rsidRDefault="004B3B82" w:rsidP="00CD3B05">
            <w:pPr>
              <w:jc w:val="center"/>
              <w:rPr>
                <w:rFonts w:hAnsi="Garamond"/>
                <w:highlight w:val="yellow"/>
                <w:lang w:val="en-US"/>
              </w:rPr>
            </w:pPr>
            <w:r w:rsidRPr="003235B2">
              <w:rPr>
                <w:rFonts w:hAnsi="Garamond"/>
                <w:highlight w:val="yellow"/>
                <w:lang w:val="en-US"/>
              </w:rPr>
              <w:t>Нет</w:t>
            </w:r>
          </w:p>
        </w:tc>
      </w:tr>
      <w:tr w:rsidR="004B3B82" w14:paraId="34C4C5EC" w14:textId="77777777" w:rsidTr="00CD3B05">
        <w:trPr>
          <w:trHeight w:val="250"/>
          <w:jc w:val="center"/>
        </w:trPr>
        <w:tc>
          <w:tcPr>
            <w:tcW w:w="27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D390282" w14:textId="77777777" w:rsidR="004B3B82" w:rsidRPr="007B5E5A" w:rsidRDefault="004B3B82" w:rsidP="00CD3B05">
            <w:pPr>
              <w:jc w:val="center"/>
              <w:rPr>
                <w:rFonts w:ascii="Garamond" w:hAnsi="Garamond"/>
              </w:rPr>
            </w:pPr>
            <w:r w:rsidRPr="007B5E5A">
              <w:rPr>
                <w:rFonts w:ascii="Garamond" w:hAnsi="Garamond"/>
              </w:rPr>
              <w:t>7</w:t>
            </w:r>
          </w:p>
        </w:tc>
        <w:tc>
          <w:tcPr>
            <w:tcW w:w="736"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F222672" w14:textId="77777777" w:rsidR="004B3B82" w:rsidRPr="0057513B" w:rsidRDefault="004B3B82" w:rsidP="00CD3B05">
            <w:pPr>
              <w:jc w:val="center"/>
            </w:pPr>
            <w:r w:rsidRPr="0057513B">
              <w:rPr>
                <w:rFonts w:hAnsi="Garamond"/>
              </w:rPr>
              <w:t>П</w:t>
            </w:r>
            <w:r w:rsidRPr="0057513B">
              <w:rPr>
                <w:rFonts w:hAnsi="Garamond"/>
                <w:vertAlign w:val="subscript"/>
              </w:rPr>
              <w:t>Ф</w:t>
            </w:r>
            <w:r w:rsidRPr="0057513B">
              <w:rPr>
                <w:rFonts w:ascii="Garamond"/>
                <w:vertAlign w:val="subscript"/>
              </w:rPr>
              <w:t>8</w:t>
            </w:r>
          </w:p>
        </w:tc>
        <w:tc>
          <w:tcPr>
            <w:tcW w:w="224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C29A893" w14:textId="77777777" w:rsidR="004B3B82" w:rsidRDefault="004B3B82" w:rsidP="00CD3B05">
            <w:pPr>
              <w:ind w:left="34"/>
            </w:pPr>
            <w:r w:rsidRPr="004D7191">
              <w:rPr>
                <w:rFonts w:hAnsi="Garamond"/>
              </w:rPr>
              <w:t>Допустимый</w:t>
            </w:r>
            <w:r w:rsidRPr="004D7191">
              <w:rPr>
                <w:rFonts w:hAnsi="Garamond"/>
              </w:rPr>
              <w:t xml:space="preserve"> </w:t>
            </w:r>
            <w:r w:rsidRPr="004D7191">
              <w:rPr>
                <w:rFonts w:hAnsi="Garamond"/>
              </w:rPr>
              <w:t>класс</w:t>
            </w:r>
            <w:r w:rsidRPr="004D7191">
              <w:rPr>
                <w:rFonts w:hAnsi="Garamond"/>
              </w:rPr>
              <w:t xml:space="preserve"> </w:t>
            </w:r>
            <w:r w:rsidRPr="004D7191">
              <w:rPr>
                <w:rFonts w:hAnsi="Garamond"/>
              </w:rPr>
              <w:t>точности</w:t>
            </w:r>
            <w:r w:rsidRPr="004D7191">
              <w:rPr>
                <w:rFonts w:hAnsi="Garamond"/>
              </w:rPr>
              <w:t xml:space="preserve"> </w:t>
            </w:r>
            <w:r w:rsidRPr="004D7191">
              <w:rPr>
                <w:rFonts w:hAnsi="Garamond"/>
              </w:rPr>
              <w:t>трансформаторов</w:t>
            </w:r>
            <w:r w:rsidRPr="004D7191">
              <w:rPr>
                <w:rFonts w:hAnsi="Garamond"/>
              </w:rPr>
              <w:t xml:space="preserve"> </w:t>
            </w:r>
            <w:r w:rsidRPr="004D7191">
              <w:rPr>
                <w:rFonts w:hAnsi="Garamond"/>
              </w:rPr>
              <w:t>напряжения</w:t>
            </w:r>
          </w:p>
        </w:tc>
        <w:tc>
          <w:tcPr>
            <w:tcW w:w="66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534DBFA" w14:textId="77777777" w:rsidR="004B3B82" w:rsidRDefault="004B3B82" w:rsidP="00CD3B05">
            <w:pPr>
              <w:jc w:val="center"/>
            </w:pPr>
            <w:r w:rsidRPr="004D7191">
              <w:rPr>
                <w:rFonts w:hAnsi="Garamond"/>
              </w:rPr>
              <w:t>Да</w:t>
            </w:r>
          </w:p>
        </w:tc>
        <w:tc>
          <w:tcPr>
            <w:tcW w:w="464" w:type="pct"/>
            <w:tcBorders>
              <w:top w:val="single" w:sz="4" w:space="0" w:color="000000"/>
              <w:left w:val="single" w:sz="4" w:space="0" w:color="000000"/>
              <w:bottom w:val="single" w:sz="4" w:space="0" w:color="000000"/>
              <w:right w:val="single" w:sz="4" w:space="0" w:color="000000"/>
            </w:tcBorders>
            <w:vAlign w:val="center"/>
          </w:tcPr>
          <w:p w14:paraId="67E7F815" w14:textId="77777777" w:rsidR="004B3B82" w:rsidRPr="008B6A1C" w:rsidRDefault="004B3B82" w:rsidP="00CD3B05">
            <w:pPr>
              <w:jc w:val="center"/>
              <w:rPr>
                <w:rFonts w:hAnsi="Garamond"/>
              </w:rPr>
            </w:pPr>
            <w:r>
              <w:rPr>
                <w:rFonts w:hAnsi="Garamond"/>
              </w:rPr>
              <w:t>Нет</w:t>
            </w:r>
          </w:p>
        </w:tc>
        <w:tc>
          <w:tcPr>
            <w:tcW w:w="617" w:type="pct"/>
            <w:tcBorders>
              <w:top w:val="single" w:sz="4" w:space="0" w:color="000000"/>
              <w:left w:val="single" w:sz="4" w:space="0" w:color="000000"/>
              <w:bottom w:val="single" w:sz="4" w:space="0" w:color="000000"/>
              <w:right w:val="single" w:sz="4" w:space="0" w:color="000000"/>
            </w:tcBorders>
            <w:vAlign w:val="center"/>
          </w:tcPr>
          <w:p w14:paraId="49253DE8" w14:textId="77777777" w:rsidR="004B3B82" w:rsidRPr="003235B2" w:rsidRDefault="004B3B82" w:rsidP="00CD3B05">
            <w:pPr>
              <w:jc w:val="center"/>
              <w:rPr>
                <w:rFonts w:hAnsi="Garamond"/>
                <w:highlight w:val="yellow"/>
              </w:rPr>
            </w:pPr>
            <w:r w:rsidRPr="003235B2">
              <w:rPr>
                <w:rFonts w:hAnsi="Garamond"/>
                <w:highlight w:val="yellow"/>
                <w:lang w:val="en-US"/>
              </w:rPr>
              <w:t>Нет</w:t>
            </w:r>
          </w:p>
        </w:tc>
      </w:tr>
      <w:tr w:rsidR="004B3B82" w14:paraId="43AD1C8C" w14:textId="77777777" w:rsidTr="00CD3B05">
        <w:trPr>
          <w:trHeight w:val="250"/>
          <w:jc w:val="center"/>
        </w:trPr>
        <w:tc>
          <w:tcPr>
            <w:tcW w:w="27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BE9C400" w14:textId="77777777" w:rsidR="004B3B82" w:rsidRPr="007B5E5A" w:rsidRDefault="004B3B82" w:rsidP="00CD3B05">
            <w:pPr>
              <w:jc w:val="center"/>
              <w:rPr>
                <w:rFonts w:ascii="Garamond" w:hAnsi="Garamond"/>
              </w:rPr>
            </w:pPr>
            <w:r w:rsidRPr="007B5E5A">
              <w:rPr>
                <w:rFonts w:ascii="Garamond" w:hAnsi="Garamond"/>
              </w:rPr>
              <w:t>8</w:t>
            </w:r>
          </w:p>
        </w:tc>
        <w:tc>
          <w:tcPr>
            <w:tcW w:w="736"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21128F6" w14:textId="77777777" w:rsidR="004B3B82" w:rsidRPr="0057513B" w:rsidRDefault="004B3B82" w:rsidP="00CD3B05">
            <w:pPr>
              <w:jc w:val="center"/>
            </w:pPr>
            <w:r w:rsidRPr="0057513B">
              <w:rPr>
                <w:rFonts w:hAnsi="Garamond"/>
              </w:rPr>
              <w:t>П</w:t>
            </w:r>
            <w:r w:rsidRPr="0057513B">
              <w:rPr>
                <w:rFonts w:hAnsi="Garamond"/>
                <w:vertAlign w:val="subscript"/>
              </w:rPr>
              <w:t>Ф</w:t>
            </w:r>
            <w:r w:rsidRPr="0057513B">
              <w:rPr>
                <w:rFonts w:ascii="Garamond"/>
                <w:vertAlign w:val="subscript"/>
              </w:rPr>
              <w:t>9</w:t>
            </w:r>
          </w:p>
        </w:tc>
        <w:tc>
          <w:tcPr>
            <w:tcW w:w="224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75D5409" w14:textId="77777777" w:rsidR="004B3B82" w:rsidRDefault="004B3B82" w:rsidP="00CD3B05">
            <w:pPr>
              <w:ind w:left="34"/>
            </w:pPr>
            <w:r w:rsidRPr="004D7191">
              <w:rPr>
                <w:rFonts w:hAnsi="Garamond"/>
              </w:rPr>
              <w:t>Допустимый</w:t>
            </w:r>
            <w:r w:rsidRPr="004D7191">
              <w:rPr>
                <w:rFonts w:hAnsi="Garamond"/>
              </w:rPr>
              <w:t xml:space="preserve"> </w:t>
            </w:r>
            <w:r w:rsidRPr="004D7191">
              <w:rPr>
                <w:rFonts w:hAnsi="Garamond"/>
              </w:rPr>
              <w:t>класс</w:t>
            </w:r>
            <w:r w:rsidRPr="004D7191">
              <w:rPr>
                <w:rFonts w:hAnsi="Garamond"/>
              </w:rPr>
              <w:t xml:space="preserve"> </w:t>
            </w:r>
            <w:r w:rsidRPr="004D7191">
              <w:rPr>
                <w:rFonts w:hAnsi="Garamond"/>
              </w:rPr>
              <w:t>точности</w:t>
            </w:r>
            <w:r>
              <w:rPr>
                <w:rFonts w:hAnsi="Garamond"/>
              </w:rPr>
              <w:t xml:space="preserve"> </w:t>
            </w:r>
            <w:r w:rsidRPr="00B83154">
              <w:rPr>
                <w:rFonts w:hAnsi="Garamond"/>
                <w:highlight w:val="yellow"/>
              </w:rPr>
              <w:t>прибора</w:t>
            </w:r>
            <w:r w:rsidRPr="00B83154">
              <w:rPr>
                <w:rFonts w:hAnsi="Garamond"/>
                <w:highlight w:val="yellow"/>
              </w:rPr>
              <w:t xml:space="preserve"> </w:t>
            </w:r>
            <w:r w:rsidRPr="00B83154">
              <w:rPr>
                <w:rFonts w:hAnsi="Garamond"/>
                <w:highlight w:val="yellow"/>
              </w:rPr>
              <w:t>учета</w:t>
            </w:r>
          </w:p>
        </w:tc>
        <w:tc>
          <w:tcPr>
            <w:tcW w:w="66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26DC1F9" w14:textId="77777777" w:rsidR="004B3B82" w:rsidRDefault="004B3B82" w:rsidP="00CD3B05">
            <w:pPr>
              <w:jc w:val="center"/>
            </w:pPr>
            <w:r w:rsidRPr="004D7191">
              <w:rPr>
                <w:rFonts w:hAnsi="Garamond"/>
              </w:rPr>
              <w:t>Да</w:t>
            </w:r>
          </w:p>
        </w:tc>
        <w:tc>
          <w:tcPr>
            <w:tcW w:w="464" w:type="pct"/>
            <w:tcBorders>
              <w:top w:val="single" w:sz="4" w:space="0" w:color="000000"/>
              <w:left w:val="single" w:sz="4" w:space="0" w:color="000000"/>
              <w:bottom w:val="single" w:sz="4" w:space="0" w:color="000000"/>
              <w:right w:val="single" w:sz="4" w:space="0" w:color="000000"/>
            </w:tcBorders>
            <w:vAlign w:val="center"/>
          </w:tcPr>
          <w:p w14:paraId="57B74C17" w14:textId="77777777" w:rsidR="004B3B82" w:rsidRPr="004D7191" w:rsidRDefault="004B3B82" w:rsidP="00CD3B05">
            <w:pPr>
              <w:jc w:val="center"/>
              <w:rPr>
                <w:rFonts w:hAnsi="Garamond"/>
              </w:rPr>
            </w:pPr>
            <w:r>
              <w:rPr>
                <w:rFonts w:hAnsi="Garamond"/>
              </w:rPr>
              <w:t>Да</w:t>
            </w:r>
          </w:p>
        </w:tc>
        <w:tc>
          <w:tcPr>
            <w:tcW w:w="617" w:type="pct"/>
            <w:tcBorders>
              <w:top w:val="single" w:sz="4" w:space="0" w:color="000000"/>
              <w:left w:val="single" w:sz="4" w:space="0" w:color="000000"/>
              <w:bottom w:val="single" w:sz="4" w:space="0" w:color="000000"/>
              <w:right w:val="single" w:sz="4" w:space="0" w:color="000000"/>
            </w:tcBorders>
            <w:vAlign w:val="center"/>
          </w:tcPr>
          <w:p w14:paraId="2DEEF801" w14:textId="77777777" w:rsidR="004B3B82" w:rsidRPr="003235B2" w:rsidRDefault="004B3B82" w:rsidP="00CD3B05">
            <w:pPr>
              <w:jc w:val="center"/>
              <w:rPr>
                <w:rFonts w:hAnsi="Garamond"/>
                <w:highlight w:val="yellow"/>
              </w:rPr>
            </w:pPr>
            <w:r w:rsidRPr="003235B2">
              <w:rPr>
                <w:rFonts w:hAnsi="Garamond"/>
                <w:highlight w:val="yellow"/>
              </w:rPr>
              <w:t>Да</w:t>
            </w:r>
          </w:p>
        </w:tc>
      </w:tr>
      <w:tr w:rsidR="004B3B82" w14:paraId="41286336" w14:textId="77777777" w:rsidTr="00CD3B05">
        <w:trPr>
          <w:trHeight w:val="250"/>
          <w:jc w:val="center"/>
        </w:trPr>
        <w:tc>
          <w:tcPr>
            <w:tcW w:w="27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32D0D0F" w14:textId="77777777" w:rsidR="004B3B82" w:rsidRPr="007B5E5A" w:rsidRDefault="004B3B82" w:rsidP="00CD3B05">
            <w:pPr>
              <w:jc w:val="center"/>
              <w:rPr>
                <w:rFonts w:ascii="Garamond" w:hAnsi="Garamond"/>
              </w:rPr>
            </w:pPr>
            <w:r w:rsidRPr="007B5E5A">
              <w:rPr>
                <w:rFonts w:ascii="Garamond" w:hAnsi="Garamond"/>
              </w:rPr>
              <w:t>9</w:t>
            </w:r>
          </w:p>
        </w:tc>
        <w:tc>
          <w:tcPr>
            <w:tcW w:w="736"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25AEF5C" w14:textId="77777777" w:rsidR="004B3B82" w:rsidRPr="0057513B" w:rsidRDefault="004B3B82" w:rsidP="00CD3B05">
            <w:pPr>
              <w:jc w:val="center"/>
            </w:pPr>
            <w:r w:rsidRPr="0057513B">
              <w:rPr>
                <w:rFonts w:hAnsi="Garamond"/>
              </w:rPr>
              <w:t>П</w:t>
            </w:r>
            <w:r w:rsidRPr="0057513B">
              <w:rPr>
                <w:rFonts w:hAnsi="Garamond"/>
                <w:vertAlign w:val="subscript"/>
              </w:rPr>
              <w:t>Ф</w:t>
            </w:r>
            <w:r w:rsidRPr="0057513B">
              <w:rPr>
                <w:rFonts w:ascii="Garamond"/>
                <w:vertAlign w:val="subscript"/>
              </w:rPr>
              <w:t>10</w:t>
            </w:r>
          </w:p>
        </w:tc>
        <w:tc>
          <w:tcPr>
            <w:tcW w:w="224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59D8061" w14:textId="77777777" w:rsidR="004B3B82" w:rsidRDefault="004B3B82" w:rsidP="00CD3B05">
            <w:pPr>
              <w:ind w:left="34"/>
            </w:pPr>
            <w:r w:rsidRPr="004D7191">
              <w:rPr>
                <w:rFonts w:hAnsi="Garamond"/>
              </w:rPr>
              <w:t>Коррекция</w:t>
            </w:r>
            <w:r w:rsidRPr="004D7191">
              <w:rPr>
                <w:rFonts w:ascii="Garamond"/>
              </w:rPr>
              <w:t>/</w:t>
            </w:r>
            <w:r w:rsidRPr="004D7191">
              <w:rPr>
                <w:rFonts w:hAnsi="Garamond"/>
              </w:rPr>
              <w:t>синхронизация</w:t>
            </w:r>
            <w:r w:rsidRPr="004D7191">
              <w:rPr>
                <w:rFonts w:hAnsi="Garamond"/>
              </w:rPr>
              <w:t xml:space="preserve"> </w:t>
            </w:r>
            <w:r w:rsidRPr="004D7191">
              <w:rPr>
                <w:rFonts w:hAnsi="Garamond"/>
              </w:rPr>
              <w:t>времени</w:t>
            </w:r>
            <w:r w:rsidRPr="004D7191">
              <w:rPr>
                <w:rFonts w:hAnsi="Garamond"/>
              </w:rPr>
              <w:t xml:space="preserve"> </w:t>
            </w:r>
            <w:r w:rsidRPr="004D7191">
              <w:rPr>
                <w:rFonts w:hAnsi="Garamond"/>
              </w:rPr>
              <w:t>в</w:t>
            </w:r>
            <w:r w:rsidRPr="004D7191">
              <w:rPr>
                <w:rFonts w:hAnsi="Garamond"/>
              </w:rPr>
              <w:t xml:space="preserve"> </w:t>
            </w:r>
            <w:r w:rsidRPr="004D7191">
              <w:rPr>
                <w:rFonts w:hAnsi="Garamond"/>
              </w:rPr>
              <w:t>ИИК</w:t>
            </w:r>
            <w:r w:rsidRPr="004D7191">
              <w:rPr>
                <w:rFonts w:ascii="Garamond"/>
              </w:rPr>
              <w:t xml:space="preserve">, </w:t>
            </w:r>
            <w:r w:rsidRPr="004D7191">
              <w:rPr>
                <w:rFonts w:hAnsi="Garamond"/>
              </w:rPr>
              <w:t>ИВКЭ</w:t>
            </w:r>
            <w:r w:rsidRPr="004D7191">
              <w:rPr>
                <w:rFonts w:hAnsi="Garamond"/>
              </w:rPr>
              <w:t xml:space="preserve"> </w:t>
            </w:r>
            <w:r w:rsidRPr="004D7191">
              <w:rPr>
                <w:rFonts w:hAnsi="Garamond"/>
              </w:rPr>
              <w:t>и</w:t>
            </w:r>
            <w:r w:rsidRPr="004D7191">
              <w:rPr>
                <w:rFonts w:hAnsi="Garamond"/>
              </w:rPr>
              <w:t xml:space="preserve"> </w:t>
            </w:r>
            <w:r w:rsidRPr="004D7191">
              <w:rPr>
                <w:rFonts w:hAnsi="Garamond"/>
              </w:rPr>
              <w:t>ИВК</w:t>
            </w:r>
          </w:p>
        </w:tc>
        <w:tc>
          <w:tcPr>
            <w:tcW w:w="66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652C88E" w14:textId="77777777" w:rsidR="004B3B82" w:rsidRDefault="004B3B82" w:rsidP="00CD3B05">
            <w:pPr>
              <w:jc w:val="center"/>
            </w:pPr>
            <w:r w:rsidRPr="004D7191">
              <w:rPr>
                <w:rFonts w:hAnsi="Garamond"/>
              </w:rPr>
              <w:t>Да</w:t>
            </w:r>
          </w:p>
        </w:tc>
        <w:tc>
          <w:tcPr>
            <w:tcW w:w="464" w:type="pct"/>
            <w:tcBorders>
              <w:top w:val="single" w:sz="4" w:space="0" w:color="000000"/>
              <w:left w:val="single" w:sz="4" w:space="0" w:color="000000"/>
              <w:bottom w:val="single" w:sz="4" w:space="0" w:color="000000"/>
              <w:right w:val="single" w:sz="4" w:space="0" w:color="000000"/>
            </w:tcBorders>
            <w:vAlign w:val="center"/>
          </w:tcPr>
          <w:p w14:paraId="30E4B5B8" w14:textId="77777777" w:rsidR="004B3B82" w:rsidRPr="004D7191" w:rsidRDefault="004B3B82" w:rsidP="00CD3B05">
            <w:pPr>
              <w:jc w:val="center"/>
              <w:rPr>
                <w:rFonts w:hAnsi="Garamond"/>
              </w:rPr>
            </w:pPr>
            <w:r>
              <w:rPr>
                <w:rFonts w:hAnsi="Garamond"/>
              </w:rPr>
              <w:t>Да</w:t>
            </w:r>
          </w:p>
        </w:tc>
        <w:tc>
          <w:tcPr>
            <w:tcW w:w="617" w:type="pct"/>
            <w:tcBorders>
              <w:top w:val="single" w:sz="4" w:space="0" w:color="000000"/>
              <w:left w:val="single" w:sz="4" w:space="0" w:color="000000"/>
              <w:bottom w:val="single" w:sz="4" w:space="0" w:color="000000"/>
              <w:right w:val="single" w:sz="4" w:space="0" w:color="000000"/>
            </w:tcBorders>
            <w:vAlign w:val="center"/>
          </w:tcPr>
          <w:p w14:paraId="511C2E48" w14:textId="77777777" w:rsidR="004B3B82" w:rsidRPr="003235B2" w:rsidRDefault="004B3B82" w:rsidP="00CD3B05">
            <w:pPr>
              <w:jc w:val="center"/>
              <w:rPr>
                <w:rFonts w:hAnsi="Garamond"/>
                <w:highlight w:val="yellow"/>
              </w:rPr>
            </w:pPr>
            <w:r w:rsidRPr="003235B2">
              <w:rPr>
                <w:rFonts w:hAnsi="Garamond"/>
                <w:highlight w:val="yellow"/>
              </w:rPr>
              <w:t>Да</w:t>
            </w:r>
          </w:p>
        </w:tc>
      </w:tr>
      <w:tr w:rsidR="004B3B82" w14:paraId="0D0D55DE" w14:textId="77777777" w:rsidTr="00CD3B05">
        <w:trPr>
          <w:trHeight w:val="250"/>
          <w:jc w:val="center"/>
        </w:trPr>
        <w:tc>
          <w:tcPr>
            <w:tcW w:w="27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572ED67" w14:textId="77777777" w:rsidR="004B3B82" w:rsidRPr="007B5E5A" w:rsidRDefault="004B3B82" w:rsidP="00CD3B05">
            <w:pPr>
              <w:jc w:val="center"/>
              <w:rPr>
                <w:rFonts w:ascii="Garamond" w:hAnsi="Garamond"/>
              </w:rPr>
            </w:pPr>
            <w:r w:rsidRPr="007B5E5A">
              <w:rPr>
                <w:rFonts w:ascii="Garamond" w:hAnsi="Garamond"/>
              </w:rPr>
              <w:t>10</w:t>
            </w:r>
          </w:p>
        </w:tc>
        <w:tc>
          <w:tcPr>
            <w:tcW w:w="736"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50A59A3" w14:textId="77777777" w:rsidR="004B3B82" w:rsidRPr="0057513B" w:rsidRDefault="004B3B82" w:rsidP="00CD3B05">
            <w:pPr>
              <w:jc w:val="center"/>
            </w:pPr>
            <w:r w:rsidRPr="0057513B">
              <w:rPr>
                <w:rFonts w:hAnsi="Garamond"/>
              </w:rPr>
              <w:t>П</w:t>
            </w:r>
            <w:r w:rsidRPr="0057513B">
              <w:rPr>
                <w:rFonts w:hAnsi="Garamond"/>
                <w:vertAlign w:val="subscript"/>
              </w:rPr>
              <w:t>Ф</w:t>
            </w:r>
            <w:r w:rsidRPr="0057513B">
              <w:rPr>
                <w:rFonts w:ascii="Garamond"/>
                <w:vertAlign w:val="subscript"/>
              </w:rPr>
              <w:t>11</w:t>
            </w:r>
          </w:p>
        </w:tc>
        <w:tc>
          <w:tcPr>
            <w:tcW w:w="224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1DBE85" w14:textId="77777777" w:rsidR="004B3B82" w:rsidRDefault="004B3B82" w:rsidP="00CD3B05">
            <w:pPr>
              <w:ind w:left="34"/>
            </w:pPr>
            <w:r w:rsidRPr="004D7191">
              <w:rPr>
                <w:rFonts w:hAnsi="Garamond"/>
              </w:rPr>
              <w:t>Сбор</w:t>
            </w:r>
            <w:r w:rsidRPr="004D7191">
              <w:rPr>
                <w:rFonts w:hAnsi="Garamond"/>
              </w:rPr>
              <w:t xml:space="preserve"> </w:t>
            </w:r>
            <w:r w:rsidRPr="004D7191">
              <w:rPr>
                <w:rFonts w:hAnsi="Garamond"/>
              </w:rPr>
              <w:t>информации</w:t>
            </w:r>
            <w:r w:rsidRPr="004D7191">
              <w:rPr>
                <w:rFonts w:hAnsi="Garamond"/>
              </w:rPr>
              <w:t xml:space="preserve"> </w:t>
            </w:r>
            <w:r w:rsidRPr="004D7191">
              <w:rPr>
                <w:rFonts w:hAnsi="Garamond"/>
              </w:rPr>
              <w:t>о</w:t>
            </w:r>
            <w:r w:rsidRPr="004D7191">
              <w:rPr>
                <w:rFonts w:hAnsi="Garamond"/>
              </w:rPr>
              <w:t xml:space="preserve"> </w:t>
            </w:r>
            <w:r w:rsidRPr="004D7191">
              <w:rPr>
                <w:rFonts w:hAnsi="Garamond"/>
              </w:rPr>
              <w:t>состояниях</w:t>
            </w:r>
            <w:r w:rsidRPr="004D7191">
              <w:rPr>
                <w:rFonts w:hAnsi="Garamond"/>
              </w:rPr>
              <w:t xml:space="preserve"> </w:t>
            </w:r>
            <w:r w:rsidRPr="004D7191">
              <w:rPr>
                <w:rFonts w:hAnsi="Garamond"/>
              </w:rPr>
              <w:t>средств</w:t>
            </w:r>
            <w:r w:rsidRPr="004D7191">
              <w:rPr>
                <w:rFonts w:hAnsi="Garamond"/>
              </w:rPr>
              <w:t xml:space="preserve"> </w:t>
            </w:r>
            <w:r w:rsidRPr="004D7191">
              <w:rPr>
                <w:rFonts w:hAnsi="Garamond"/>
              </w:rPr>
              <w:t>измерений</w:t>
            </w:r>
          </w:p>
        </w:tc>
        <w:tc>
          <w:tcPr>
            <w:tcW w:w="66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522DB44" w14:textId="77777777" w:rsidR="004B3B82" w:rsidRDefault="004B3B82" w:rsidP="00CD3B05">
            <w:pPr>
              <w:jc w:val="center"/>
            </w:pPr>
            <w:r w:rsidRPr="004D7191">
              <w:rPr>
                <w:rFonts w:hAnsi="Garamond"/>
              </w:rPr>
              <w:t>Да</w:t>
            </w:r>
          </w:p>
        </w:tc>
        <w:tc>
          <w:tcPr>
            <w:tcW w:w="464" w:type="pct"/>
            <w:tcBorders>
              <w:top w:val="single" w:sz="4" w:space="0" w:color="000000"/>
              <w:left w:val="single" w:sz="4" w:space="0" w:color="000000"/>
              <w:bottom w:val="single" w:sz="4" w:space="0" w:color="000000"/>
              <w:right w:val="single" w:sz="4" w:space="0" w:color="000000"/>
            </w:tcBorders>
            <w:vAlign w:val="center"/>
          </w:tcPr>
          <w:p w14:paraId="0542AF93" w14:textId="77777777" w:rsidR="004B3B82" w:rsidRPr="004D7191" w:rsidRDefault="004B3B82" w:rsidP="00CD3B05">
            <w:pPr>
              <w:jc w:val="center"/>
              <w:rPr>
                <w:rFonts w:hAnsi="Garamond"/>
              </w:rPr>
            </w:pPr>
            <w:r>
              <w:rPr>
                <w:rFonts w:hAnsi="Garamond"/>
              </w:rPr>
              <w:t>Да</w:t>
            </w:r>
          </w:p>
        </w:tc>
        <w:tc>
          <w:tcPr>
            <w:tcW w:w="617" w:type="pct"/>
            <w:tcBorders>
              <w:top w:val="single" w:sz="4" w:space="0" w:color="000000"/>
              <w:left w:val="single" w:sz="4" w:space="0" w:color="000000"/>
              <w:bottom w:val="single" w:sz="4" w:space="0" w:color="000000"/>
              <w:right w:val="single" w:sz="4" w:space="0" w:color="000000"/>
            </w:tcBorders>
            <w:vAlign w:val="center"/>
          </w:tcPr>
          <w:p w14:paraId="6A565525" w14:textId="77777777" w:rsidR="004B3B82" w:rsidRPr="003235B2" w:rsidRDefault="004B3B82" w:rsidP="00E31AE6">
            <w:pPr>
              <w:jc w:val="center"/>
              <w:rPr>
                <w:rFonts w:hAnsi="Garamond"/>
                <w:highlight w:val="yellow"/>
              </w:rPr>
            </w:pPr>
            <w:r>
              <w:rPr>
                <w:rFonts w:hAnsi="Garamond"/>
                <w:highlight w:val="yellow"/>
              </w:rPr>
              <w:t>Да</w:t>
            </w:r>
          </w:p>
        </w:tc>
      </w:tr>
      <w:tr w:rsidR="004B3B82" w14:paraId="1BBA1336" w14:textId="77777777" w:rsidTr="00CD3B05">
        <w:trPr>
          <w:trHeight w:val="250"/>
          <w:jc w:val="center"/>
        </w:trPr>
        <w:tc>
          <w:tcPr>
            <w:tcW w:w="27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3A3EEED" w14:textId="77777777" w:rsidR="004B3B82" w:rsidRPr="007B5E5A" w:rsidRDefault="004B3B82" w:rsidP="00CD3B05">
            <w:pPr>
              <w:jc w:val="center"/>
              <w:rPr>
                <w:rFonts w:ascii="Garamond" w:hAnsi="Garamond"/>
              </w:rPr>
            </w:pPr>
            <w:r w:rsidRPr="007B5E5A">
              <w:rPr>
                <w:rFonts w:ascii="Garamond" w:hAnsi="Garamond"/>
              </w:rPr>
              <w:t>11</w:t>
            </w:r>
          </w:p>
        </w:tc>
        <w:tc>
          <w:tcPr>
            <w:tcW w:w="736"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311ECAA" w14:textId="77777777" w:rsidR="004B3B82" w:rsidRPr="0057513B" w:rsidRDefault="004B3B82" w:rsidP="00CD3B05">
            <w:pPr>
              <w:jc w:val="center"/>
            </w:pPr>
            <w:r w:rsidRPr="0057513B">
              <w:rPr>
                <w:rFonts w:hAnsi="Garamond"/>
              </w:rPr>
              <w:t>П</w:t>
            </w:r>
            <w:r w:rsidRPr="0057513B">
              <w:rPr>
                <w:rFonts w:hAnsi="Garamond"/>
                <w:vertAlign w:val="subscript"/>
              </w:rPr>
              <w:t>Ф</w:t>
            </w:r>
            <w:r w:rsidRPr="0057513B">
              <w:rPr>
                <w:rFonts w:ascii="Garamond"/>
                <w:vertAlign w:val="subscript"/>
              </w:rPr>
              <w:t>13</w:t>
            </w:r>
          </w:p>
        </w:tc>
        <w:tc>
          <w:tcPr>
            <w:tcW w:w="224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1B1052E" w14:textId="77777777" w:rsidR="004B3B82" w:rsidRDefault="004B3B82" w:rsidP="00CD3B05">
            <w:pPr>
              <w:ind w:left="34"/>
            </w:pPr>
            <w:r w:rsidRPr="004D7191">
              <w:rPr>
                <w:rFonts w:hAnsi="Garamond"/>
              </w:rPr>
              <w:t>Сбор</w:t>
            </w:r>
            <w:r w:rsidRPr="004D7191">
              <w:rPr>
                <w:rFonts w:hAnsi="Garamond"/>
              </w:rPr>
              <w:t xml:space="preserve"> </w:t>
            </w:r>
            <w:r w:rsidRPr="004D7191">
              <w:rPr>
                <w:rFonts w:hAnsi="Garamond"/>
              </w:rPr>
              <w:t>результатов</w:t>
            </w:r>
            <w:r w:rsidRPr="004D7191">
              <w:rPr>
                <w:rFonts w:hAnsi="Garamond"/>
              </w:rPr>
              <w:t xml:space="preserve"> </w:t>
            </w:r>
            <w:r w:rsidRPr="004D7191">
              <w:rPr>
                <w:rFonts w:hAnsi="Garamond"/>
              </w:rPr>
              <w:t>измерений</w:t>
            </w:r>
          </w:p>
        </w:tc>
        <w:tc>
          <w:tcPr>
            <w:tcW w:w="66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F20A43B" w14:textId="77777777" w:rsidR="004B3B82" w:rsidRDefault="004B3B82" w:rsidP="00CD3B05">
            <w:pPr>
              <w:jc w:val="center"/>
            </w:pPr>
            <w:r w:rsidRPr="004D7191">
              <w:rPr>
                <w:rFonts w:hAnsi="Garamond"/>
              </w:rPr>
              <w:t>Да</w:t>
            </w:r>
          </w:p>
        </w:tc>
        <w:tc>
          <w:tcPr>
            <w:tcW w:w="464" w:type="pct"/>
            <w:tcBorders>
              <w:top w:val="single" w:sz="4" w:space="0" w:color="000000"/>
              <w:left w:val="single" w:sz="4" w:space="0" w:color="000000"/>
              <w:bottom w:val="single" w:sz="4" w:space="0" w:color="000000"/>
              <w:right w:val="single" w:sz="4" w:space="0" w:color="000000"/>
            </w:tcBorders>
            <w:vAlign w:val="center"/>
          </w:tcPr>
          <w:p w14:paraId="12494247" w14:textId="77777777" w:rsidR="004B3B82" w:rsidRPr="004D7191" w:rsidRDefault="004B3B82" w:rsidP="00CD3B05">
            <w:pPr>
              <w:jc w:val="center"/>
              <w:rPr>
                <w:rFonts w:hAnsi="Garamond"/>
              </w:rPr>
            </w:pPr>
            <w:r>
              <w:rPr>
                <w:rFonts w:hAnsi="Garamond"/>
              </w:rPr>
              <w:t>Да</w:t>
            </w:r>
          </w:p>
        </w:tc>
        <w:tc>
          <w:tcPr>
            <w:tcW w:w="617" w:type="pct"/>
            <w:tcBorders>
              <w:top w:val="single" w:sz="4" w:space="0" w:color="000000"/>
              <w:left w:val="single" w:sz="4" w:space="0" w:color="000000"/>
              <w:bottom w:val="single" w:sz="4" w:space="0" w:color="000000"/>
              <w:right w:val="single" w:sz="4" w:space="0" w:color="000000"/>
            </w:tcBorders>
            <w:vAlign w:val="center"/>
          </w:tcPr>
          <w:p w14:paraId="1F806547" w14:textId="77777777" w:rsidR="004B3B82" w:rsidRPr="003235B2" w:rsidRDefault="004B3B82" w:rsidP="00CD3B05">
            <w:pPr>
              <w:jc w:val="center"/>
              <w:rPr>
                <w:rFonts w:hAnsi="Garamond"/>
                <w:highlight w:val="yellow"/>
              </w:rPr>
            </w:pPr>
            <w:r w:rsidRPr="003235B2">
              <w:rPr>
                <w:rFonts w:hAnsi="Garamond"/>
                <w:highlight w:val="yellow"/>
              </w:rPr>
              <w:t>Да</w:t>
            </w:r>
          </w:p>
        </w:tc>
      </w:tr>
      <w:tr w:rsidR="004B3B82" w14:paraId="0730C4D8" w14:textId="77777777" w:rsidTr="00CD3B05">
        <w:trPr>
          <w:trHeight w:val="250"/>
          <w:jc w:val="center"/>
        </w:trPr>
        <w:tc>
          <w:tcPr>
            <w:tcW w:w="27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C7FBDDB" w14:textId="77777777" w:rsidR="004B3B82" w:rsidRPr="007B5E5A" w:rsidRDefault="004B3B82" w:rsidP="00CD3B05">
            <w:pPr>
              <w:jc w:val="center"/>
              <w:rPr>
                <w:rFonts w:ascii="Garamond" w:hAnsi="Garamond"/>
              </w:rPr>
            </w:pPr>
            <w:r w:rsidRPr="007B5E5A">
              <w:rPr>
                <w:rFonts w:ascii="Garamond" w:hAnsi="Garamond"/>
              </w:rPr>
              <w:t>12</w:t>
            </w:r>
          </w:p>
        </w:tc>
        <w:tc>
          <w:tcPr>
            <w:tcW w:w="736"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BA36016" w14:textId="77777777" w:rsidR="004B3B82" w:rsidRPr="0057513B" w:rsidRDefault="004B3B82" w:rsidP="00CD3B05">
            <w:pPr>
              <w:jc w:val="center"/>
            </w:pPr>
            <w:r w:rsidRPr="0057513B">
              <w:rPr>
                <w:rFonts w:hAnsi="Garamond"/>
              </w:rPr>
              <w:t>П</w:t>
            </w:r>
            <w:r w:rsidRPr="0057513B">
              <w:rPr>
                <w:rFonts w:hAnsi="Garamond"/>
                <w:vertAlign w:val="subscript"/>
              </w:rPr>
              <w:t>Ф</w:t>
            </w:r>
            <w:r w:rsidRPr="0057513B">
              <w:rPr>
                <w:rFonts w:ascii="Garamond"/>
                <w:vertAlign w:val="subscript"/>
              </w:rPr>
              <w:t>16</w:t>
            </w:r>
          </w:p>
        </w:tc>
        <w:tc>
          <w:tcPr>
            <w:tcW w:w="224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5AA0A8E" w14:textId="77777777" w:rsidR="004B3B82" w:rsidRDefault="004B3B82" w:rsidP="00CD3B05">
            <w:pPr>
              <w:ind w:left="34"/>
            </w:pPr>
            <w:r w:rsidRPr="004D7191">
              <w:rPr>
                <w:rFonts w:hAnsi="Garamond"/>
              </w:rPr>
              <w:t>Цикличность</w:t>
            </w:r>
            <w:r w:rsidRPr="004D7191">
              <w:rPr>
                <w:rFonts w:hAnsi="Garamond"/>
              </w:rPr>
              <w:t xml:space="preserve"> </w:t>
            </w:r>
            <w:r w:rsidRPr="004D7191">
              <w:rPr>
                <w:rFonts w:hAnsi="Garamond"/>
              </w:rPr>
              <w:t>измерений</w:t>
            </w:r>
            <w:r w:rsidRPr="004D7191">
              <w:rPr>
                <w:rFonts w:hAnsi="Garamond"/>
              </w:rPr>
              <w:t xml:space="preserve"> </w:t>
            </w:r>
            <w:r w:rsidRPr="004D7191">
              <w:rPr>
                <w:rFonts w:hAnsi="Garamond"/>
              </w:rPr>
              <w:t>приращений</w:t>
            </w:r>
            <w:r w:rsidRPr="004D7191">
              <w:rPr>
                <w:rFonts w:hAnsi="Garamond"/>
              </w:rPr>
              <w:t xml:space="preserve"> </w:t>
            </w:r>
            <w:r w:rsidRPr="004D7191">
              <w:rPr>
                <w:rFonts w:hAnsi="Garamond"/>
              </w:rPr>
              <w:t>электроэнергии</w:t>
            </w:r>
            <w:r w:rsidRPr="004D7191">
              <w:rPr>
                <w:rFonts w:hAnsi="Garamond"/>
              </w:rPr>
              <w:t xml:space="preserve"> </w:t>
            </w:r>
            <w:r w:rsidRPr="004D7191">
              <w:rPr>
                <w:rFonts w:hAnsi="Garamond"/>
              </w:rPr>
              <w:t>–</w:t>
            </w:r>
            <w:r w:rsidRPr="004D7191">
              <w:rPr>
                <w:rFonts w:hAnsi="Garamond"/>
              </w:rPr>
              <w:t xml:space="preserve"> </w:t>
            </w:r>
            <w:r w:rsidRPr="004D7191">
              <w:rPr>
                <w:rFonts w:ascii="Garamond"/>
              </w:rPr>
              <w:t xml:space="preserve">30 </w:t>
            </w:r>
            <w:r w:rsidRPr="004D7191">
              <w:rPr>
                <w:rFonts w:hAnsi="Garamond"/>
              </w:rPr>
              <w:t>минут</w:t>
            </w:r>
          </w:p>
        </w:tc>
        <w:tc>
          <w:tcPr>
            <w:tcW w:w="66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763A5E8" w14:textId="77777777" w:rsidR="004B3B82" w:rsidRDefault="004B3B82" w:rsidP="00CD3B05">
            <w:pPr>
              <w:jc w:val="center"/>
            </w:pPr>
            <w:r w:rsidRPr="004D7191">
              <w:rPr>
                <w:rFonts w:hAnsi="Garamond"/>
              </w:rPr>
              <w:t>Да</w:t>
            </w:r>
          </w:p>
        </w:tc>
        <w:tc>
          <w:tcPr>
            <w:tcW w:w="464" w:type="pct"/>
            <w:tcBorders>
              <w:top w:val="single" w:sz="4" w:space="0" w:color="000000"/>
              <w:left w:val="single" w:sz="4" w:space="0" w:color="000000"/>
              <w:bottom w:val="single" w:sz="4" w:space="0" w:color="000000"/>
              <w:right w:val="single" w:sz="4" w:space="0" w:color="000000"/>
            </w:tcBorders>
            <w:vAlign w:val="center"/>
          </w:tcPr>
          <w:p w14:paraId="14E0713A" w14:textId="77777777" w:rsidR="004B3B82" w:rsidRPr="004D7191" w:rsidRDefault="004B3B82" w:rsidP="00CD3B05">
            <w:pPr>
              <w:jc w:val="center"/>
              <w:rPr>
                <w:rFonts w:hAnsi="Garamond"/>
              </w:rPr>
            </w:pPr>
            <w:r>
              <w:rPr>
                <w:rFonts w:hAnsi="Garamond"/>
              </w:rPr>
              <w:t>Да</w:t>
            </w:r>
          </w:p>
        </w:tc>
        <w:tc>
          <w:tcPr>
            <w:tcW w:w="617" w:type="pct"/>
            <w:tcBorders>
              <w:top w:val="single" w:sz="4" w:space="0" w:color="000000"/>
              <w:left w:val="single" w:sz="4" w:space="0" w:color="000000"/>
              <w:bottom w:val="single" w:sz="4" w:space="0" w:color="000000"/>
              <w:right w:val="single" w:sz="4" w:space="0" w:color="000000"/>
            </w:tcBorders>
            <w:vAlign w:val="center"/>
          </w:tcPr>
          <w:p w14:paraId="01647D8A" w14:textId="77777777" w:rsidR="004B3B82" w:rsidRPr="003235B2" w:rsidRDefault="004B3B82" w:rsidP="00CD3B05">
            <w:pPr>
              <w:jc w:val="center"/>
              <w:rPr>
                <w:rFonts w:hAnsi="Garamond"/>
                <w:highlight w:val="yellow"/>
              </w:rPr>
            </w:pPr>
            <w:r w:rsidRPr="003235B2">
              <w:rPr>
                <w:rFonts w:hAnsi="Garamond"/>
                <w:highlight w:val="yellow"/>
              </w:rPr>
              <w:t>Да</w:t>
            </w:r>
          </w:p>
        </w:tc>
      </w:tr>
      <w:tr w:rsidR="004B3B82" w14:paraId="22618DF4" w14:textId="77777777" w:rsidTr="00CD3B05">
        <w:trPr>
          <w:trHeight w:val="250"/>
          <w:jc w:val="center"/>
        </w:trPr>
        <w:tc>
          <w:tcPr>
            <w:tcW w:w="27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4FC3E4D" w14:textId="77777777" w:rsidR="004B3B82" w:rsidRPr="007B5E5A" w:rsidRDefault="004B3B82" w:rsidP="00CD3B05">
            <w:pPr>
              <w:jc w:val="center"/>
              <w:rPr>
                <w:rFonts w:ascii="Garamond" w:hAnsi="Garamond"/>
              </w:rPr>
            </w:pPr>
            <w:r w:rsidRPr="007B5E5A">
              <w:rPr>
                <w:rFonts w:ascii="Garamond" w:hAnsi="Garamond"/>
              </w:rPr>
              <w:t>13</w:t>
            </w:r>
          </w:p>
        </w:tc>
        <w:tc>
          <w:tcPr>
            <w:tcW w:w="736"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BEEFF48" w14:textId="77777777" w:rsidR="004B3B82" w:rsidRPr="0057513B" w:rsidRDefault="004B3B82" w:rsidP="00CD3B05">
            <w:pPr>
              <w:jc w:val="center"/>
            </w:pPr>
            <w:r w:rsidRPr="0057513B">
              <w:rPr>
                <w:rFonts w:hAnsi="Garamond"/>
              </w:rPr>
              <w:t>П</w:t>
            </w:r>
            <w:r w:rsidRPr="0057513B">
              <w:rPr>
                <w:rFonts w:hAnsi="Garamond"/>
                <w:vertAlign w:val="subscript"/>
              </w:rPr>
              <w:t>Ф</w:t>
            </w:r>
            <w:r w:rsidRPr="0057513B">
              <w:rPr>
                <w:rFonts w:ascii="Garamond"/>
                <w:vertAlign w:val="subscript"/>
              </w:rPr>
              <w:t>24</w:t>
            </w:r>
          </w:p>
        </w:tc>
        <w:tc>
          <w:tcPr>
            <w:tcW w:w="224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AC42D38" w14:textId="77777777" w:rsidR="004B3B82" w:rsidRDefault="004B3B82" w:rsidP="00CD3B05">
            <w:pPr>
              <w:ind w:left="34"/>
            </w:pPr>
            <w:r w:rsidRPr="004D7191">
              <w:rPr>
                <w:rFonts w:hAnsi="Garamond"/>
              </w:rPr>
              <w:t>Цикличность</w:t>
            </w:r>
            <w:r w:rsidRPr="004D7191">
              <w:rPr>
                <w:rFonts w:hAnsi="Garamond"/>
              </w:rPr>
              <w:t xml:space="preserve"> </w:t>
            </w:r>
            <w:r w:rsidRPr="004D7191">
              <w:rPr>
                <w:rFonts w:hAnsi="Garamond"/>
              </w:rPr>
              <w:t>сбора</w:t>
            </w:r>
            <w:r w:rsidRPr="004D7191">
              <w:rPr>
                <w:rFonts w:hAnsi="Garamond"/>
              </w:rPr>
              <w:t xml:space="preserve"> </w:t>
            </w:r>
            <w:r w:rsidRPr="004D7191">
              <w:rPr>
                <w:rFonts w:hAnsi="Garamond"/>
              </w:rPr>
              <w:t>информации</w:t>
            </w:r>
            <w:r w:rsidRPr="004D7191">
              <w:rPr>
                <w:rFonts w:hAnsi="Garamond"/>
              </w:rPr>
              <w:t xml:space="preserve"> </w:t>
            </w:r>
            <w:r w:rsidRPr="004D7191">
              <w:rPr>
                <w:rFonts w:hAnsi="Garamond"/>
              </w:rPr>
              <w:t>–</w:t>
            </w:r>
            <w:r w:rsidRPr="004D7191">
              <w:rPr>
                <w:rFonts w:hAnsi="Garamond"/>
              </w:rPr>
              <w:t xml:space="preserve"> </w:t>
            </w:r>
            <w:r w:rsidRPr="004D7191">
              <w:rPr>
                <w:rFonts w:ascii="Garamond"/>
              </w:rPr>
              <w:t xml:space="preserve">1 </w:t>
            </w:r>
            <w:r w:rsidRPr="004D7191">
              <w:rPr>
                <w:rFonts w:hAnsi="Garamond"/>
              </w:rPr>
              <w:t>раз</w:t>
            </w:r>
            <w:r w:rsidRPr="004D7191">
              <w:rPr>
                <w:rFonts w:hAnsi="Garamond"/>
              </w:rPr>
              <w:t xml:space="preserve"> </w:t>
            </w:r>
            <w:r w:rsidRPr="004D7191">
              <w:rPr>
                <w:rFonts w:hAnsi="Garamond"/>
              </w:rPr>
              <w:t>в</w:t>
            </w:r>
            <w:r w:rsidRPr="004D7191">
              <w:rPr>
                <w:rFonts w:hAnsi="Garamond"/>
              </w:rPr>
              <w:t xml:space="preserve"> </w:t>
            </w:r>
            <w:r w:rsidRPr="004D7191">
              <w:rPr>
                <w:rFonts w:hAnsi="Garamond"/>
              </w:rPr>
              <w:t>сутки</w:t>
            </w:r>
          </w:p>
        </w:tc>
        <w:tc>
          <w:tcPr>
            <w:tcW w:w="66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307A2CD" w14:textId="77777777" w:rsidR="004B3B82" w:rsidRDefault="004B3B82" w:rsidP="00CD3B05">
            <w:pPr>
              <w:jc w:val="center"/>
            </w:pPr>
            <w:r w:rsidRPr="004D7191">
              <w:rPr>
                <w:rFonts w:hAnsi="Garamond"/>
              </w:rPr>
              <w:t>Да</w:t>
            </w:r>
          </w:p>
        </w:tc>
        <w:tc>
          <w:tcPr>
            <w:tcW w:w="464" w:type="pct"/>
            <w:tcBorders>
              <w:top w:val="single" w:sz="4" w:space="0" w:color="000000"/>
              <w:left w:val="single" w:sz="4" w:space="0" w:color="000000"/>
              <w:bottom w:val="single" w:sz="4" w:space="0" w:color="000000"/>
              <w:right w:val="single" w:sz="4" w:space="0" w:color="000000"/>
            </w:tcBorders>
            <w:vAlign w:val="center"/>
          </w:tcPr>
          <w:p w14:paraId="56FD43B3" w14:textId="77777777" w:rsidR="004B3B82" w:rsidRPr="004D7191" w:rsidRDefault="004B3B82" w:rsidP="00CD3B05">
            <w:pPr>
              <w:jc w:val="center"/>
              <w:rPr>
                <w:rFonts w:hAnsi="Garamond"/>
              </w:rPr>
            </w:pPr>
            <w:r>
              <w:rPr>
                <w:rFonts w:hAnsi="Garamond"/>
              </w:rPr>
              <w:t>Да</w:t>
            </w:r>
          </w:p>
        </w:tc>
        <w:tc>
          <w:tcPr>
            <w:tcW w:w="617" w:type="pct"/>
            <w:tcBorders>
              <w:top w:val="single" w:sz="4" w:space="0" w:color="000000"/>
              <w:left w:val="single" w:sz="4" w:space="0" w:color="000000"/>
              <w:bottom w:val="single" w:sz="4" w:space="0" w:color="000000"/>
              <w:right w:val="single" w:sz="4" w:space="0" w:color="000000"/>
            </w:tcBorders>
            <w:vAlign w:val="center"/>
          </w:tcPr>
          <w:p w14:paraId="4D1B10D5" w14:textId="77777777" w:rsidR="004B3B82" w:rsidRPr="003235B2" w:rsidRDefault="004B3B82" w:rsidP="00E31AE6">
            <w:pPr>
              <w:jc w:val="center"/>
              <w:rPr>
                <w:rFonts w:hAnsi="Garamond"/>
                <w:highlight w:val="yellow"/>
              </w:rPr>
            </w:pPr>
            <w:r>
              <w:rPr>
                <w:rFonts w:hAnsi="Garamond"/>
                <w:highlight w:val="yellow"/>
              </w:rPr>
              <w:t>Да</w:t>
            </w:r>
          </w:p>
        </w:tc>
      </w:tr>
      <w:tr w:rsidR="004B3B82" w:rsidRPr="003235B2" w14:paraId="6C100D54" w14:textId="77777777" w:rsidTr="00CD3B05">
        <w:trPr>
          <w:trHeight w:val="250"/>
          <w:jc w:val="center"/>
        </w:trPr>
        <w:tc>
          <w:tcPr>
            <w:tcW w:w="27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38F8390" w14:textId="77777777" w:rsidR="004B3B82" w:rsidRPr="003235B2" w:rsidRDefault="004B3B82" w:rsidP="00CD3B05">
            <w:pPr>
              <w:jc w:val="center"/>
              <w:rPr>
                <w:rFonts w:ascii="Garamond" w:hAnsi="Garamond"/>
              </w:rPr>
            </w:pPr>
            <w:r w:rsidRPr="003235B2">
              <w:rPr>
                <w:rFonts w:ascii="Garamond" w:hAnsi="Garamond"/>
              </w:rPr>
              <w:t>14</w:t>
            </w:r>
          </w:p>
        </w:tc>
        <w:tc>
          <w:tcPr>
            <w:tcW w:w="736"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3B6EE74" w14:textId="77777777" w:rsidR="004B3B82" w:rsidRPr="003235B2" w:rsidRDefault="004B3B82" w:rsidP="00CD3B05">
            <w:pPr>
              <w:jc w:val="center"/>
            </w:pPr>
            <w:r w:rsidRPr="003235B2">
              <w:rPr>
                <w:rFonts w:hAnsi="Garamond"/>
              </w:rPr>
              <w:t>П</w:t>
            </w:r>
            <w:r w:rsidRPr="003235B2">
              <w:rPr>
                <w:rFonts w:hAnsi="Garamond"/>
                <w:vertAlign w:val="subscript"/>
              </w:rPr>
              <w:t>Ф</w:t>
            </w:r>
            <w:r w:rsidRPr="003235B2">
              <w:rPr>
                <w:rFonts w:ascii="Garamond"/>
                <w:vertAlign w:val="subscript"/>
              </w:rPr>
              <w:t>28</w:t>
            </w:r>
          </w:p>
        </w:tc>
        <w:tc>
          <w:tcPr>
            <w:tcW w:w="224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BE68207" w14:textId="77777777" w:rsidR="004B3B82" w:rsidRPr="003235B2" w:rsidRDefault="004B3B82" w:rsidP="00CD3B05">
            <w:pPr>
              <w:ind w:left="34"/>
              <w:rPr>
                <w:rFonts w:hAnsi="Garamond"/>
              </w:rPr>
            </w:pPr>
            <w:r w:rsidRPr="003235B2">
              <w:rPr>
                <w:rFonts w:hAnsi="Garamond"/>
              </w:rPr>
              <w:t>Предоставление</w:t>
            </w:r>
            <w:r w:rsidRPr="003235B2">
              <w:rPr>
                <w:rFonts w:hAnsi="Garamond"/>
              </w:rPr>
              <w:t xml:space="preserve"> </w:t>
            </w:r>
            <w:r w:rsidRPr="003235B2">
              <w:rPr>
                <w:rFonts w:hAnsi="Garamond"/>
              </w:rPr>
              <w:t>в</w:t>
            </w:r>
            <w:r w:rsidRPr="003235B2">
              <w:rPr>
                <w:rFonts w:hAnsi="Garamond"/>
              </w:rPr>
              <w:t xml:space="preserve"> </w:t>
            </w:r>
            <w:r w:rsidRPr="003235B2">
              <w:rPr>
                <w:rFonts w:hAnsi="Garamond"/>
              </w:rPr>
              <w:t>ПАК</w:t>
            </w:r>
            <w:r w:rsidRPr="003235B2">
              <w:rPr>
                <w:rFonts w:hAnsi="Garamond"/>
              </w:rPr>
              <w:t xml:space="preserve"> </w:t>
            </w:r>
            <w:r w:rsidRPr="003235B2">
              <w:rPr>
                <w:rFonts w:hAnsi="Garamond"/>
              </w:rPr>
              <w:t>КО</w:t>
            </w:r>
            <w:r w:rsidRPr="003235B2">
              <w:rPr>
                <w:rFonts w:hAnsi="Garamond"/>
              </w:rPr>
              <w:t xml:space="preserve"> </w:t>
            </w:r>
            <w:r w:rsidRPr="003235B2">
              <w:rPr>
                <w:rFonts w:hAnsi="Garamond"/>
              </w:rPr>
              <w:t>результатов</w:t>
            </w:r>
            <w:r w:rsidRPr="003235B2">
              <w:rPr>
                <w:rFonts w:hAnsi="Garamond"/>
              </w:rPr>
              <w:t xml:space="preserve"> </w:t>
            </w:r>
            <w:r w:rsidRPr="003235B2">
              <w:rPr>
                <w:rFonts w:hAnsi="Garamond"/>
              </w:rPr>
              <w:t>измерений</w:t>
            </w:r>
            <w:r w:rsidRPr="003235B2">
              <w:rPr>
                <w:rFonts w:hAnsi="Garamond"/>
              </w:rPr>
              <w:t xml:space="preserve"> </w:t>
            </w:r>
            <w:r w:rsidRPr="003235B2">
              <w:rPr>
                <w:rFonts w:hAnsi="Garamond"/>
              </w:rPr>
              <w:t>с</w:t>
            </w:r>
            <w:r w:rsidRPr="003235B2">
              <w:rPr>
                <w:rFonts w:hAnsi="Garamond"/>
              </w:rPr>
              <w:t xml:space="preserve"> </w:t>
            </w:r>
            <w:r w:rsidRPr="003235B2">
              <w:rPr>
                <w:rFonts w:hAnsi="Garamond"/>
              </w:rPr>
              <w:t>обеспечением</w:t>
            </w:r>
            <w:r w:rsidRPr="003235B2">
              <w:rPr>
                <w:rFonts w:hAnsi="Garamond"/>
              </w:rPr>
              <w:t xml:space="preserve"> </w:t>
            </w:r>
            <w:r w:rsidRPr="003235B2">
              <w:rPr>
                <w:rFonts w:hAnsi="Garamond"/>
              </w:rPr>
              <w:t>защиты</w:t>
            </w:r>
            <w:r w:rsidRPr="003235B2">
              <w:rPr>
                <w:rFonts w:hAnsi="Garamond"/>
              </w:rPr>
              <w:t xml:space="preserve"> </w:t>
            </w:r>
            <w:r w:rsidRPr="003235B2">
              <w:rPr>
                <w:rFonts w:hAnsi="Garamond"/>
              </w:rPr>
              <w:t>информации</w:t>
            </w:r>
            <w:r w:rsidRPr="003235B2">
              <w:rPr>
                <w:rFonts w:hAnsi="Garamond"/>
              </w:rPr>
              <w:t xml:space="preserve"> </w:t>
            </w:r>
            <w:r w:rsidRPr="003235B2">
              <w:rPr>
                <w:rFonts w:hAnsi="Garamond"/>
              </w:rPr>
              <w:t>на</w:t>
            </w:r>
            <w:r w:rsidRPr="003235B2">
              <w:rPr>
                <w:rFonts w:hAnsi="Garamond"/>
              </w:rPr>
              <w:t xml:space="preserve"> </w:t>
            </w:r>
            <w:r w:rsidRPr="003235B2">
              <w:rPr>
                <w:rFonts w:hAnsi="Garamond"/>
              </w:rPr>
              <w:t>программном</w:t>
            </w:r>
            <w:r w:rsidRPr="003235B2">
              <w:rPr>
                <w:rFonts w:hAnsi="Garamond"/>
              </w:rPr>
              <w:t xml:space="preserve"> </w:t>
            </w:r>
            <w:r w:rsidRPr="003235B2">
              <w:rPr>
                <w:rFonts w:hAnsi="Garamond"/>
              </w:rPr>
              <w:t>уровне</w:t>
            </w:r>
            <w:r w:rsidRPr="003235B2">
              <w:rPr>
                <w:rFonts w:hAnsi="Garamond"/>
              </w:rPr>
              <w:t xml:space="preserve"> (</w:t>
            </w:r>
            <w:r w:rsidRPr="003235B2">
              <w:rPr>
                <w:rFonts w:hAnsi="Garamond"/>
              </w:rPr>
              <w:t>ЭП</w:t>
            </w:r>
            <w:r w:rsidRPr="003235B2">
              <w:rPr>
                <w:rFonts w:hAnsi="Garamond"/>
              </w:rPr>
              <w:t>)</w:t>
            </w:r>
          </w:p>
        </w:tc>
        <w:tc>
          <w:tcPr>
            <w:tcW w:w="66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5170E9F" w14:textId="77777777" w:rsidR="004B3B82" w:rsidRPr="003235B2" w:rsidRDefault="004B3B82" w:rsidP="00CD3B05">
            <w:pPr>
              <w:jc w:val="center"/>
            </w:pPr>
            <w:r w:rsidRPr="003235B2">
              <w:rPr>
                <w:rFonts w:hAnsi="Garamond"/>
              </w:rPr>
              <w:t>Да</w:t>
            </w:r>
          </w:p>
        </w:tc>
        <w:tc>
          <w:tcPr>
            <w:tcW w:w="464" w:type="pct"/>
            <w:tcBorders>
              <w:top w:val="single" w:sz="4" w:space="0" w:color="000000"/>
              <w:left w:val="single" w:sz="4" w:space="0" w:color="000000"/>
              <w:bottom w:val="single" w:sz="4" w:space="0" w:color="000000"/>
              <w:right w:val="single" w:sz="4" w:space="0" w:color="000000"/>
            </w:tcBorders>
            <w:vAlign w:val="center"/>
          </w:tcPr>
          <w:p w14:paraId="1098DFED" w14:textId="77777777" w:rsidR="004B3B82" w:rsidRPr="003235B2" w:rsidRDefault="004B3B82" w:rsidP="00CD3B05">
            <w:pPr>
              <w:jc w:val="center"/>
              <w:rPr>
                <w:rFonts w:hAnsi="Garamond"/>
              </w:rPr>
            </w:pPr>
            <w:r w:rsidRPr="003235B2">
              <w:rPr>
                <w:rFonts w:hAnsi="Garamond"/>
              </w:rPr>
              <w:t>Да</w:t>
            </w:r>
          </w:p>
        </w:tc>
        <w:tc>
          <w:tcPr>
            <w:tcW w:w="617" w:type="pct"/>
            <w:tcBorders>
              <w:top w:val="single" w:sz="4" w:space="0" w:color="000000"/>
              <w:left w:val="single" w:sz="4" w:space="0" w:color="000000"/>
              <w:bottom w:val="single" w:sz="4" w:space="0" w:color="000000"/>
              <w:right w:val="single" w:sz="4" w:space="0" w:color="000000"/>
            </w:tcBorders>
            <w:vAlign w:val="center"/>
          </w:tcPr>
          <w:p w14:paraId="53D34BCE" w14:textId="77777777" w:rsidR="004B3B82" w:rsidRPr="003235B2" w:rsidRDefault="004B3B82" w:rsidP="00CD3B05">
            <w:pPr>
              <w:jc w:val="center"/>
              <w:rPr>
                <w:rFonts w:hAnsi="Garamond"/>
                <w:highlight w:val="yellow"/>
              </w:rPr>
            </w:pPr>
            <w:r w:rsidRPr="003235B2">
              <w:rPr>
                <w:rFonts w:hAnsi="Garamond"/>
                <w:highlight w:val="yellow"/>
              </w:rPr>
              <w:t>Да</w:t>
            </w:r>
          </w:p>
        </w:tc>
      </w:tr>
      <w:tr w:rsidR="004B3B82" w:rsidRPr="003235B2" w14:paraId="35465B48" w14:textId="77777777" w:rsidTr="00CD3B05">
        <w:trPr>
          <w:trHeight w:val="496"/>
          <w:jc w:val="center"/>
        </w:trPr>
        <w:tc>
          <w:tcPr>
            <w:tcW w:w="27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EDC3425" w14:textId="77777777" w:rsidR="004B3B82" w:rsidRPr="003235B2" w:rsidRDefault="004B3B82" w:rsidP="00CD3B05">
            <w:pPr>
              <w:jc w:val="center"/>
              <w:rPr>
                <w:rFonts w:ascii="Garamond" w:hAnsi="Garamond"/>
              </w:rPr>
            </w:pPr>
            <w:r w:rsidRPr="003235B2">
              <w:rPr>
                <w:rFonts w:ascii="Garamond" w:hAnsi="Garamond"/>
              </w:rPr>
              <w:t>15</w:t>
            </w:r>
          </w:p>
        </w:tc>
        <w:tc>
          <w:tcPr>
            <w:tcW w:w="736"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0C9472F" w14:textId="77777777" w:rsidR="004B3B82" w:rsidRPr="003235B2" w:rsidRDefault="004B3B82" w:rsidP="00CD3B05">
            <w:pPr>
              <w:jc w:val="center"/>
            </w:pPr>
            <w:r w:rsidRPr="003235B2">
              <w:rPr>
                <w:rFonts w:hAnsi="Garamond"/>
              </w:rPr>
              <w:t>П</w:t>
            </w:r>
            <w:r w:rsidRPr="003235B2">
              <w:rPr>
                <w:rFonts w:hAnsi="Garamond"/>
                <w:vertAlign w:val="subscript"/>
              </w:rPr>
              <w:t>Ф</w:t>
            </w:r>
            <w:r w:rsidRPr="003235B2">
              <w:rPr>
                <w:rFonts w:ascii="Garamond"/>
                <w:vertAlign w:val="subscript"/>
              </w:rPr>
              <w:t>32</w:t>
            </w:r>
          </w:p>
        </w:tc>
        <w:tc>
          <w:tcPr>
            <w:tcW w:w="224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4BCA473" w14:textId="77777777" w:rsidR="004B3B82" w:rsidRPr="003235B2" w:rsidRDefault="004B3B82" w:rsidP="00CD3B05">
            <w:pPr>
              <w:ind w:left="34"/>
              <w:rPr>
                <w:rFonts w:hAnsi="Garamond"/>
              </w:rPr>
            </w:pPr>
            <w:r w:rsidRPr="003235B2">
              <w:rPr>
                <w:rFonts w:hAnsi="Garamond"/>
              </w:rPr>
              <w:t>Дистанционный</w:t>
            </w:r>
            <w:r w:rsidRPr="003235B2">
              <w:rPr>
                <w:rFonts w:hAnsi="Garamond"/>
              </w:rPr>
              <w:t xml:space="preserve"> </w:t>
            </w:r>
            <w:r w:rsidRPr="003235B2">
              <w:rPr>
                <w:rFonts w:hAnsi="Garamond"/>
              </w:rPr>
              <w:t>доступ</w:t>
            </w:r>
            <w:r w:rsidRPr="003235B2">
              <w:rPr>
                <w:rFonts w:hAnsi="Garamond"/>
              </w:rPr>
              <w:t xml:space="preserve"> </w:t>
            </w:r>
            <w:r w:rsidRPr="003235B2">
              <w:rPr>
                <w:rFonts w:hAnsi="Garamond"/>
              </w:rPr>
              <w:t>к</w:t>
            </w:r>
            <w:r w:rsidRPr="003235B2">
              <w:rPr>
                <w:rFonts w:hAnsi="Garamond"/>
              </w:rPr>
              <w:t xml:space="preserve"> </w:t>
            </w:r>
            <w:r w:rsidRPr="003235B2">
              <w:rPr>
                <w:rFonts w:hAnsi="Garamond"/>
              </w:rPr>
              <w:t>АИИС</w:t>
            </w:r>
            <w:r w:rsidRPr="003235B2">
              <w:rPr>
                <w:rFonts w:hAnsi="Garamond"/>
              </w:rPr>
              <w:t xml:space="preserve"> </w:t>
            </w:r>
            <w:r w:rsidRPr="003235B2">
              <w:rPr>
                <w:rFonts w:hAnsi="Garamond"/>
              </w:rPr>
              <w:t>КУЭ</w:t>
            </w:r>
            <w:r w:rsidRPr="003235B2">
              <w:rPr>
                <w:rFonts w:hAnsi="Garamond"/>
              </w:rPr>
              <w:t xml:space="preserve"> </w:t>
            </w:r>
            <w:r w:rsidRPr="003235B2">
              <w:rPr>
                <w:rFonts w:hAnsi="Garamond"/>
              </w:rPr>
              <w:t>для</w:t>
            </w:r>
            <w:r w:rsidRPr="003235B2">
              <w:rPr>
                <w:rFonts w:hAnsi="Garamond"/>
              </w:rPr>
              <w:t xml:space="preserve"> </w:t>
            </w:r>
            <w:r w:rsidRPr="003235B2">
              <w:rPr>
                <w:rFonts w:hAnsi="Garamond"/>
              </w:rPr>
              <w:t>контроля</w:t>
            </w:r>
            <w:r w:rsidRPr="003235B2">
              <w:rPr>
                <w:rFonts w:hAnsi="Garamond"/>
              </w:rPr>
              <w:t xml:space="preserve"> </w:t>
            </w:r>
            <w:r w:rsidRPr="003235B2">
              <w:rPr>
                <w:rFonts w:hAnsi="Garamond"/>
              </w:rPr>
              <w:t>со</w:t>
            </w:r>
            <w:r w:rsidRPr="003235B2">
              <w:rPr>
                <w:rFonts w:hAnsi="Garamond"/>
              </w:rPr>
              <w:t xml:space="preserve"> </w:t>
            </w:r>
            <w:r w:rsidRPr="003235B2">
              <w:rPr>
                <w:rFonts w:hAnsi="Garamond"/>
              </w:rPr>
              <w:t>стороны</w:t>
            </w:r>
            <w:r w:rsidRPr="003235B2">
              <w:rPr>
                <w:rFonts w:hAnsi="Garamond"/>
              </w:rPr>
              <w:t xml:space="preserve"> </w:t>
            </w:r>
            <w:r w:rsidRPr="003235B2">
              <w:rPr>
                <w:rFonts w:hAnsi="Garamond"/>
              </w:rPr>
              <w:t>КО</w:t>
            </w:r>
          </w:p>
        </w:tc>
        <w:tc>
          <w:tcPr>
            <w:tcW w:w="66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3FDA978" w14:textId="77777777" w:rsidR="004B3B82" w:rsidRPr="003235B2" w:rsidRDefault="004B3B82" w:rsidP="00CD3B05">
            <w:pPr>
              <w:jc w:val="center"/>
              <w:rPr>
                <w:rFonts w:hAnsi="Garamond"/>
              </w:rPr>
            </w:pPr>
            <w:r w:rsidRPr="003235B2">
              <w:rPr>
                <w:rFonts w:hAnsi="Garamond"/>
              </w:rPr>
              <w:t>Да</w:t>
            </w:r>
          </w:p>
        </w:tc>
        <w:tc>
          <w:tcPr>
            <w:tcW w:w="464" w:type="pct"/>
            <w:tcBorders>
              <w:top w:val="single" w:sz="4" w:space="0" w:color="000000"/>
              <w:left w:val="single" w:sz="4" w:space="0" w:color="000000"/>
              <w:bottom w:val="single" w:sz="4" w:space="0" w:color="000000"/>
              <w:right w:val="single" w:sz="4" w:space="0" w:color="000000"/>
            </w:tcBorders>
            <w:vAlign w:val="center"/>
          </w:tcPr>
          <w:p w14:paraId="255B2455" w14:textId="77777777" w:rsidR="004B3B82" w:rsidRPr="003235B2" w:rsidRDefault="004B3B82" w:rsidP="00CD3B05">
            <w:pPr>
              <w:jc w:val="center"/>
              <w:rPr>
                <w:rFonts w:hAnsi="Garamond"/>
              </w:rPr>
            </w:pPr>
            <w:r w:rsidRPr="003235B2">
              <w:rPr>
                <w:rFonts w:hAnsi="Garamond"/>
              </w:rPr>
              <w:t>Да</w:t>
            </w:r>
          </w:p>
        </w:tc>
        <w:tc>
          <w:tcPr>
            <w:tcW w:w="617" w:type="pct"/>
            <w:tcBorders>
              <w:top w:val="single" w:sz="4" w:space="0" w:color="000000"/>
              <w:left w:val="single" w:sz="4" w:space="0" w:color="000000"/>
              <w:bottom w:val="single" w:sz="4" w:space="0" w:color="000000"/>
              <w:right w:val="single" w:sz="4" w:space="0" w:color="000000"/>
            </w:tcBorders>
            <w:vAlign w:val="center"/>
          </w:tcPr>
          <w:p w14:paraId="348D8C26" w14:textId="77777777" w:rsidR="004B3B82" w:rsidRPr="003235B2" w:rsidRDefault="004B3B82" w:rsidP="00CD3B05">
            <w:pPr>
              <w:jc w:val="center"/>
              <w:rPr>
                <w:rFonts w:hAnsi="Garamond"/>
                <w:highlight w:val="yellow"/>
              </w:rPr>
            </w:pPr>
            <w:r w:rsidRPr="003235B2">
              <w:rPr>
                <w:rFonts w:hAnsi="Garamond"/>
                <w:highlight w:val="yellow"/>
              </w:rPr>
              <w:t>Да</w:t>
            </w:r>
          </w:p>
        </w:tc>
      </w:tr>
      <w:tr w:rsidR="004B3B82" w:rsidRPr="003235B2" w14:paraId="511B0480" w14:textId="77777777" w:rsidTr="00CD3B05">
        <w:trPr>
          <w:trHeight w:val="250"/>
          <w:jc w:val="center"/>
        </w:trPr>
        <w:tc>
          <w:tcPr>
            <w:tcW w:w="27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728ABF3" w14:textId="77777777" w:rsidR="004B3B82" w:rsidRPr="003235B2" w:rsidRDefault="004B3B82" w:rsidP="00CD3B05">
            <w:pPr>
              <w:jc w:val="center"/>
              <w:rPr>
                <w:rFonts w:ascii="Garamond" w:hAnsi="Garamond"/>
              </w:rPr>
            </w:pPr>
            <w:r w:rsidRPr="003235B2">
              <w:rPr>
                <w:rFonts w:ascii="Garamond" w:hAnsi="Garamond"/>
              </w:rPr>
              <w:t>16</w:t>
            </w:r>
          </w:p>
        </w:tc>
        <w:tc>
          <w:tcPr>
            <w:tcW w:w="736"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E597E78" w14:textId="77777777" w:rsidR="004B3B82" w:rsidRPr="003235B2" w:rsidRDefault="004B3B82" w:rsidP="00CD3B05">
            <w:pPr>
              <w:jc w:val="center"/>
            </w:pPr>
            <w:r w:rsidRPr="003235B2">
              <w:rPr>
                <w:rFonts w:hAnsi="Garamond"/>
              </w:rPr>
              <w:t>П</w:t>
            </w:r>
            <w:r w:rsidRPr="003235B2">
              <w:rPr>
                <w:rFonts w:hAnsi="Garamond"/>
                <w:vertAlign w:val="subscript"/>
              </w:rPr>
              <w:t>Ф</w:t>
            </w:r>
            <w:r w:rsidRPr="003235B2">
              <w:rPr>
                <w:rFonts w:ascii="Garamond"/>
                <w:vertAlign w:val="subscript"/>
              </w:rPr>
              <w:t>40</w:t>
            </w:r>
          </w:p>
        </w:tc>
        <w:tc>
          <w:tcPr>
            <w:tcW w:w="224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A55785D" w14:textId="77777777" w:rsidR="004B3B82" w:rsidRPr="003235B2" w:rsidRDefault="004B3B82" w:rsidP="00CD3B05">
            <w:pPr>
              <w:ind w:left="34"/>
            </w:pPr>
            <w:r w:rsidRPr="003235B2">
              <w:rPr>
                <w:rFonts w:hAnsi="Garamond"/>
              </w:rPr>
              <w:t>Глубина</w:t>
            </w:r>
            <w:r w:rsidRPr="003235B2">
              <w:rPr>
                <w:rFonts w:hAnsi="Garamond"/>
              </w:rPr>
              <w:t xml:space="preserve"> </w:t>
            </w:r>
            <w:r w:rsidRPr="003235B2">
              <w:rPr>
                <w:rFonts w:hAnsi="Garamond"/>
              </w:rPr>
              <w:t>хранения</w:t>
            </w:r>
            <w:r w:rsidRPr="003235B2">
              <w:rPr>
                <w:rFonts w:hAnsi="Garamond"/>
              </w:rPr>
              <w:t xml:space="preserve"> </w:t>
            </w:r>
            <w:r w:rsidRPr="003235B2">
              <w:rPr>
                <w:rFonts w:hAnsi="Garamond"/>
              </w:rPr>
              <w:t>информации</w:t>
            </w:r>
            <w:r w:rsidRPr="003235B2">
              <w:rPr>
                <w:rFonts w:hAnsi="Garamond"/>
              </w:rPr>
              <w:t xml:space="preserve"> </w:t>
            </w:r>
            <w:r w:rsidRPr="003235B2">
              <w:rPr>
                <w:rFonts w:ascii="Garamond"/>
              </w:rPr>
              <w:t>(</w:t>
            </w:r>
            <w:r w:rsidRPr="003235B2">
              <w:rPr>
                <w:rFonts w:hAnsi="Garamond"/>
              </w:rPr>
              <w:t>профиля</w:t>
            </w:r>
            <w:r w:rsidRPr="003235B2">
              <w:rPr>
                <w:rFonts w:ascii="Garamond"/>
              </w:rPr>
              <w:t xml:space="preserve">) </w:t>
            </w:r>
            <w:r w:rsidRPr="003235B2">
              <w:rPr>
                <w:rFonts w:hAnsi="Garamond"/>
              </w:rPr>
              <w:t>в</w:t>
            </w:r>
            <w:r w:rsidRPr="003235B2">
              <w:rPr>
                <w:rFonts w:hAnsi="Garamond"/>
              </w:rPr>
              <w:t xml:space="preserve"> </w:t>
            </w:r>
            <w:r w:rsidRPr="003235B2">
              <w:rPr>
                <w:rFonts w:hAnsi="Garamond"/>
              </w:rPr>
              <w:t>ИИК</w:t>
            </w:r>
          </w:p>
        </w:tc>
        <w:tc>
          <w:tcPr>
            <w:tcW w:w="66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BF77F85" w14:textId="77777777" w:rsidR="004B3B82" w:rsidRPr="003235B2" w:rsidRDefault="004B3B82" w:rsidP="00CD3B05">
            <w:pPr>
              <w:jc w:val="center"/>
            </w:pPr>
            <w:r w:rsidRPr="003235B2">
              <w:rPr>
                <w:rFonts w:hAnsi="Garamond"/>
              </w:rPr>
              <w:t>Да</w:t>
            </w:r>
          </w:p>
        </w:tc>
        <w:tc>
          <w:tcPr>
            <w:tcW w:w="464" w:type="pct"/>
            <w:tcBorders>
              <w:top w:val="single" w:sz="4" w:space="0" w:color="000000"/>
              <w:left w:val="single" w:sz="4" w:space="0" w:color="000000"/>
              <w:bottom w:val="single" w:sz="4" w:space="0" w:color="000000"/>
              <w:right w:val="single" w:sz="4" w:space="0" w:color="000000"/>
            </w:tcBorders>
            <w:vAlign w:val="center"/>
          </w:tcPr>
          <w:p w14:paraId="10E3F533" w14:textId="77777777" w:rsidR="004B3B82" w:rsidRPr="003235B2" w:rsidRDefault="004B3B82" w:rsidP="00CD3B05">
            <w:pPr>
              <w:jc w:val="center"/>
              <w:rPr>
                <w:rFonts w:hAnsi="Garamond"/>
              </w:rPr>
            </w:pPr>
            <w:r w:rsidRPr="003235B2">
              <w:rPr>
                <w:rFonts w:hAnsi="Garamond"/>
              </w:rPr>
              <w:t>Да</w:t>
            </w:r>
          </w:p>
        </w:tc>
        <w:tc>
          <w:tcPr>
            <w:tcW w:w="617" w:type="pct"/>
            <w:tcBorders>
              <w:top w:val="single" w:sz="4" w:space="0" w:color="000000"/>
              <w:left w:val="single" w:sz="4" w:space="0" w:color="000000"/>
              <w:bottom w:val="single" w:sz="4" w:space="0" w:color="000000"/>
              <w:right w:val="single" w:sz="4" w:space="0" w:color="000000"/>
            </w:tcBorders>
            <w:vAlign w:val="center"/>
          </w:tcPr>
          <w:p w14:paraId="14425DF4" w14:textId="77777777" w:rsidR="004B3B82" w:rsidRPr="003235B2" w:rsidRDefault="004B3B82" w:rsidP="00CD3B05">
            <w:pPr>
              <w:jc w:val="center"/>
              <w:rPr>
                <w:rFonts w:hAnsi="Garamond"/>
                <w:highlight w:val="yellow"/>
              </w:rPr>
            </w:pPr>
            <w:r w:rsidRPr="003235B2">
              <w:rPr>
                <w:rFonts w:hAnsi="Garamond"/>
                <w:highlight w:val="yellow"/>
              </w:rPr>
              <w:t>Да</w:t>
            </w:r>
          </w:p>
        </w:tc>
      </w:tr>
      <w:tr w:rsidR="004B3B82" w:rsidRPr="003235B2" w14:paraId="7F29D4B5" w14:textId="77777777" w:rsidTr="00CD3B05">
        <w:trPr>
          <w:trHeight w:val="250"/>
          <w:jc w:val="center"/>
        </w:trPr>
        <w:tc>
          <w:tcPr>
            <w:tcW w:w="27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4887872" w14:textId="77777777" w:rsidR="004B3B82" w:rsidRPr="003235B2" w:rsidRDefault="004B3B82" w:rsidP="00CD3B05">
            <w:pPr>
              <w:jc w:val="center"/>
              <w:rPr>
                <w:rFonts w:ascii="Garamond" w:hAnsi="Garamond"/>
              </w:rPr>
            </w:pPr>
            <w:r w:rsidRPr="003235B2">
              <w:rPr>
                <w:rFonts w:ascii="Garamond" w:hAnsi="Garamond"/>
              </w:rPr>
              <w:lastRenderedPageBreak/>
              <w:t>17</w:t>
            </w:r>
          </w:p>
        </w:tc>
        <w:tc>
          <w:tcPr>
            <w:tcW w:w="736"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2816E00" w14:textId="77777777" w:rsidR="004B3B82" w:rsidRPr="003235B2" w:rsidRDefault="004B3B82" w:rsidP="00CD3B05">
            <w:pPr>
              <w:jc w:val="center"/>
            </w:pPr>
            <w:r w:rsidRPr="003235B2">
              <w:rPr>
                <w:rFonts w:hAnsi="Garamond"/>
              </w:rPr>
              <w:t>П</w:t>
            </w:r>
            <w:r w:rsidRPr="003235B2">
              <w:rPr>
                <w:rFonts w:hAnsi="Garamond"/>
                <w:vertAlign w:val="subscript"/>
              </w:rPr>
              <w:t>Ф</w:t>
            </w:r>
            <w:r w:rsidRPr="003235B2">
              <w:rPr>
                <w:rFonts w:ascii="Garamond"/>
                <w:vertAlign w:val="subscript"/>
              </w:rPr>
              <w:t>41</w:t>
            </w:r>
          </w:p>
        </w:tc>
        <w:tc>
          <w:tcPr>
            <w:tcW w:w="224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A65E5DE" w14:textId="77777777" w:rsidR="004B3B82" w:rsidRPr="003235B2" w:rsidRDefault="004B3B82" w:rsidP="00CD3B05">
            <w:pPr>
              <w:ind w:left="34"/>
            </w:pPr>
            <w:r w:rsidRPr="003235B2">
              <w:rPr>
                <w:rFonts w:hAnsi="Garamond"/>
              </w:rPr>
              <w:t>Глубина</w:t>
            </w:r>
            <w:r w:rsidRPr="003235B2">
              <w:rPr>
                <w:rFonts w:hAnsi="Garamond"/>
              </w:rPr>
              <w:t xml:space="preserve"> </w:t>
            </w:r>
            <w:r w:rsidRPr="003235B2">
              <w:rPr>
                <w:rFonts w:hAnsi="Garamond"/>
              </w:rPr>
              <w:t>хранения</w:t>
            </w:r>
            <w:r w:rsidRPr="003235B2">
              <w:rPr>
                <w:rFonts w:hAnsi="Garamond"/>
              </w:rPr>
              <w:t xml:space="preserve"> </w:t>
            </w:r>
            <w:r w:rsidRPr="003235B2">
              <w:rPr>
                <w:rFonts w:hAnsi="Garamond"/>
              </w:rPr>
              <w:t>информации</w:t>
            </w:r>
            <w:r w:rsidRPr="003235B2">
              <w:rPr>
                <w:rFonts w:hAnsi="Garamond"/>
              </w:rPr>
              <w:t xml:space="preserve"> </w:t>
            </w:r>
            <w:r w:rsidRPr="003235B2">
              <w:rPr>
                <w:rFonts w:ascii="Garamond"/>
              </w:rPr>
              <w:t>(</w:t>
            </w:r>
            <w:r w:rsidRPr="003235B2">
              <w:rPr>
                <w:rFonts w:hAnsi="Garamond"/>
              </w:rPr>
              <w:t>профиля</w:t>
            </w:r>
            <w:r w:rsidRPr="003235B2">
              <w:rPr>
                <w:rFonts w:ascii="Garamond"/>
              </w:rPr>
              <w:t xml:space="preserve">) </w:t>
            </w:r>
            <w:r w:rsidRPr="003235B2">
              <w:rPr>
                <w:rFonts w:hAnsi="Garamond"/>
              </w:rPr>
              <w:t>в</w:t>
            </w:r>
            <w:r w:rsidRPr="003235B2">
              <w:rPr>
                <w:rFonts w:hAnsi="Garamond"/>
              </w:rPr>
              <w:t xml:space="preserve"> </w:t>
            </w:r>
            <w:r w:rsidRPr="003235B2">
              <w:rPr>
                <w:rFonts w:hAnsi="Garamond"/>
              </w:rPr>
              <w:t>ИВКЭ</w:t>
            </w:r>
          </w:p>
        </w:tc>
        <w:tc>
          <w:tcPr>
            <w:tcW w:w="66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23056C1" w14:textId="77777777" w:rsidR="004B3B82" w:rsidRPr="003235B2" w:rsidRDefault="004B3B82" w:rsidP="00CD3B05">
            <w:pPr>
              <w:jc w:val="center"/>
            </w:pPr>
            <w:r w:rsidRPr="003235B2">
              <w:rPr>
                <w:rFonts w:hAnsi="Garamond"/>
              </w:rPr>
              <w:t>Да</w:t>
            </w:r>
          </w:p>
        </w:tc>
        <w:tc>
          <w:tcPr>
            <w:tcW w:w="464" w:type="pct"/>
            <w:tcBorders>
              <w:top w:val="single" w:sz="4" w:space="0" w:color="000000"/>
              <w:left w:val="single" w:sz="4" w:space="0" w:color="000000"/>
              <w:bottom w:val="single" w:sz="4" w:space="0" w:color="000000"/>
              <w:right w:val="single" w:sz="4" w:space="0" w:color="000000"/>
            </w:tcBorders>
            <w:vAlign w:val="center"/>
          </w:tcPr>
          <w:p w14:paraId="537D1389" w14:textId="77777777" w:rsidR="004B3B82" w:rsidRPr="003235B2" w:rsidRDefault="004B3B82" w:rsidP="00CD3B05">
            <w:pPr>
              <w:jc w:val="center"/>
              <w:rPr>
                <w:rFonts w:hAnsi="Garamond"/>
              </w:rPr>
            </w:pPr>
            <w:r w:rsidRPr="003235B2">
              <w:rPr>
                <w:rFonts w:hAnsi="Garamond"/>
              </w:rPr>
              <w:t>Да</w:t>
            </w:r>
          </w:p>
        </w:tc>
        <w:tc>
          <w:tcPr>
            <w:tcW w:w="617" w:type="pct"/>
            <w:tcBorders>
              <w:top w:val="single" w:sz="4" w:space="0" w:color="000000"/>
              <w:left w:val="single" w:sz="4" w:space="0" w:color="000000"/>
              <w:bottom w:val="single" w:sz="4" w:space="0" w:color="000000"/>
              <w:right w:val="single" w:sz="4" w:space="0" w:color="000000"/>
            </w:tcBorders>
            <w:vAlign w:val="center"/>
          </w:tcPr>
          <w:p w14:paraId="00635E6B" w14:textId="77777777" w:rsidR="004B3B82" w:rsidRPr="003235B2" w:rsidRDefault="004B3B82" w:rsidP="00CD3B05">
            <w:pPr>
              <w:jc w:val="center"/>
              <w:rPr>
                <w:rFonts w:hAnsi="Garamond"/>
                <w:highlight w:val="yellow"/>
              </w:rPr>
            </w:pPr>
            <w:r w:rsidRPr="003235B2">
              <w:rPr>
                <w:rFonts w:hAnsi="Garamond"/>
                <w:highlight w:val="yellow"/>
                <w:lang w:val="en-US"/>
              </w:rPr>
              <w:t>Нет</w:t>
            </w:r>
          </w:p>
        </w:tc>
      </w:tr>
      <w:tr w:rsidR="004B3B82" w:rsidRPr="003235B2" w14:paraId="06CAA1FE" w14:textId="77777777" w:rsidTr="00CD3B05">
        <w:trPr>
          <w:trHeight w:val="250"/>
          <w:jc w:val="center"/>
        </w:trPr>
        <w:tc>
          <w:tcPr>
            <w:tcW w:w="27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2D2198C" w14:textId="77777777" w:rsidR="004B3B82" w:rsidRPr="003235B2" w:rsidRDefault="004B3B82" w:rsidP="00CD3B05">
            <w:pPr>
              <w:jc w:val="center"/>
              <w:rPr>
                <w:rFonts w:ascii="Garamond" w:hAnsi="Garamond"/>
              </w:rPr>
            </w:pPr>
            <w:r w:rsidRPr="003235B2">
              <w:rPr>
                <w:rFonts w:ascii="Garamond" w:hAnsi="Garamond"/>
              </w:rPr>
              <w:t>18</w:t>
            </w:r>
          </w:p>
        </w:tc>
        <w:tc>
          <w:tcPr>
            <w:tcW w:w="736"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12AC00A" w14:textId="77777777" w:rsidR="004B3B82" w:rsidRPr="003235B2" w:rsidRDefault="004B3B82" w:rsidP="00CD3B05">
            <w:pPr>
              <w:jc w:val="center"/>
            </w:pPr>
            <w:r w:rsidRPr="003235B2">
              <w:rPr>
                <w:rFonts w:hAnsi="Garamond"/>
              </w:rPr>
              <w:t>П</w:t>
            </w:r>
            <w:r w:rsidRPr="003235B2">
              <w:rPr>
                <w:rFonts w:hAnsi="Garamond"/>
                <w:vertAlign w:val="subscript"/>
              </w:rPr>
              <w:t>Ф</w:t>
            </w:r>
            <w:r w:rsidRPr="003235B2">
              <w:rPr>
                <w:rFonts w:ascii="Garamond"/>
                <w:vertAlign w:val="subscript"/>
              </w:rPr>
              <w:t>42</w:t>
            </w:r>
          </w:p>
        </w:tc>
        <w:tc>
          <w:tcPr>
            <w:tcW w:w="224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016119B" w14:textId="77777777" w:rsidR="004B3B82" w:rsidRPr="003235B2" w:rsidRDefault="004B3B82" w:rsidP="00CD3B05">
            <w:pPr>
              <w:ind w:left="34"/>
            </w:pPr>
            <w:r w:rsidRPr="003235B2">
              <w:rPr>
                <w:rFonts w:hAnsi="Garamond"/>
              </w:rPr>
              <w:t>Глубина</w:t>
            </w:r>
            <w:r w:rsidRPr="003235B2">
              <w:rPr>
                <w:rFonts w:hAnsi="Garamond"/>
              </w:rPr>
              <w:t xml:space="preserve"> </w:t>
            </w:r>
            <w:r w:rsidRPr="003235B2">
              <w:rPr>
                <w:rFonts w:hAnsi="Garamond"/>
              </w:rPr>
              <w:t>хранения</w:t>
            </w:r>
            <w:r w:rsidRPr="003235B2">
              <w:rPr>
                <w:rFonts w:hAnsi="Garamond"/>
              </w:rPr>
              <w:t xml:space="preserve"> </w:t>
            </w:r>
            <w:r w:rsidRPr="003235B2">
              <w:rPr>
                <w:rFonts w:hAnsi="Garamond"/>
              </w:rPr>
              <w:t>информации</w:t>
            </w:r>
            <w:r w:rsidRPr="003235B2">
              <w:rPr>
                <w:rFonts w:hAnsi="Garamond"/>
              </w:rPr>
              <w:t xml:space="preserve"> </w:t>
            </w:r>
            <w:r w:rsidRPr="003235B2">
              <w:rPr>
                <w:rFonts w:hAnsi="Garamond"/>
              </w:rPr>
              <w:t>в</w:t>
            </w:r>
            <w:r w:rsidRPr="003235B2">
              <w:rPr>
                <w:rFonts w:hAnsi="Garamond"/>
              </w:rPr>
              <w:t xml:space="preserve"> </w:t>
            </w:r>
            <w:r w:rsidRPr="003235B2">
              <w:rPr>
                <w:rFonts w:hAnsi="Garamond"/>
              </w:rPr>
              <w:t>ИВК</w:t>
            </w:r>
          </w:p>
        </w:tc>
        <w:tc>
          <w:tcPr>
            <w:tcW w:w="66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9AE4D37" w14:textId="77777777" w:rsidR="004B3B82" w:rsidRPr="003235B2" w:rsidRDefault="004B3B82" w:rsidP="00CD3B05">
            <w:pPr>
              <w:jc w:val="center"/>
            </w:pPr>
            <w:r w:rsidRPr="003235B2">
              <w:rPr>
                <w:rFonts w:hAnsi="Garamond"/>
              </w:rPr>
              <w:t>Да</w:t>
            </w:r>
          </w:p>
        </w:tc>
        <w:tc>
          <w:tcPr>
            <w:tcW w:w="464" w:type="pct"/>
            <w:tcBorders>
              <w:top w:val="single" w:sz="4" w:space="0" w:color="000000"/>
              <w:left w:val="single" w:sz="4" w:space="0" w:color="000000"/>
              <w:bottom w:val="single" w:sz="4" w:space="0" w:color="000000"/>
              <w:right w:val="single" w:sz="4" w:space="0" w:color="000000"/>
            </w:tcBorders>
            <w:vAlign w:val="center"/>
          </w:tcPr>
          <w:p w14:paraId="4ED4EBA8" w14:textId="77777777" w:rsidR="004B3B82" w:rsidRPr="003235B2" w:rsidRDefault="004B3B82" w:rsidP="00CD3B05">
            <w:pPr>
              <w:jc w:val="center"/>
              <w:rPr>
                <w:rFonts w:hAnsi="Garamond"/>
              </w:rPr>
            </w:pPr>
            <w:r w:rsidRPr="003235B2">
              <w:rPr>
                <w:rFonts w:hAnsi="Garamond"/>
              </w:rPr>
              <w:t>Да</w:t>
            </w:r>
          </w:p>
        </w:tc>
        <w:tc>
          <w:tcPr>
            <w:tcW w:w="617" w:type="pct"/>
            <w:tcBorders>
              <w:top w:val="single" w:sz="4" w:space="0" w:color="000000"/>
              <w:left w:val="single" w:sz="4" w:space="0" w:color="000000"/>
              <w:bottom w:val="single" w:sz="4" w:space="0" w:color="000000"/>
              <w:right w:val="single" w:sz="4" w:space="0" w:color="000000"/>
            </w:tcBorders>
            <w:vAlign w:val="center"/>
          </w:tcPr>
          <w:p w14:paraId="59615A1B" w14:textId="77777777" w:rsidR="004B3B82" w:rsidRPr="003235B2" w:rsidRDefault="004B3B82" w:rsidP="00CD3B05">
            <w:pPr>
              <w:jc w:val="center"/>
              <w:rPr>
                <w:rFonts w:hAnsi="Garamond"/>
                <w:highlight w:val="yellow"/>
              </w:rPr>
            </w:pPr>
            <w:r w:rsidRPr="003235B2">
              <w:rPr>
                <w:rFonts w:hAnsi="Garamond"/>
                <w:highlight w:val="yellow"/>
              </w:rPr>
              <w:t>Да</w:t>
            </w:r>
          </w:p>
        </w:tc>
      </w:tr>
      <w:tr w:rsidR="004B3B82" w:rsidRPr="003235B2" w14:paraId="2E3C52C6" w14:textId="77777777" w:rsidTr="00CD3B05">
        <w:trPr>
          <w:trHeight w:val="250"/>
          <w:jc w:val="center"/>
        </w:trPr>
        <w:tc>
          <w:tcPr>
            <w:tcW w:w="3254" w:type="pct"/>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6B53B22" w14:textId="77777777" w:rsidR="004B3B82" w:rsidRPr="003235B2" w:rsidRDefault="004B3B82" w:rsidP="00CD3B05">
            <w:pPr>
              <w:ind w:left="34"/>
            </w:pPr>
            <w:r w:rsidRPr="003235B2">
              <w:rPr>
                <w:rFonts w:hAnsi="Garamond"/>
                <w:b/>
                <w:bCs/>
              </w:rPr>
              <w:t>Всего</w:t>
            </w:r>
            <w:r w:rsidRPr="003235B2">
              <w:rPr>
                <w:rFonts w:hAnsi="Garamond"/>
                <w:b/>
                <w:bCs/>
              </w:rPr>
              <w:t xml:space="preserve"> </w:t>
            </w:r>
            <w:r w:rsidRPr="00D051E8">
              <w:rPr>
                <w:rFonts w:hAnsi="Garamond"/>
                <w:b/>
                <w:bCs/>
                <w:highlight w:val="yellow"/>
              </w:rPr>
              <w:t>проверяемых</w:t>
            </w:r>
            <w:r>
              <w:rPr>
                <w:rFonts w:hAnsi="Garamond"/>
                <w:b/>
                <w:bCs/>
              </w:rPr>
              <w:t xml:space="preserve"> </w:t>
            </w:r>
            <w:r w:rsidRPr="003235B2">
              <w:rPr>
                <w:rFonts w:hAnsi="Garamond"/>
                <w:b/>
                <w:bCs/>
              </w:rPr>
              <w:t>параметров</w:t>
            </w:r>
            <w:r w:rsidRPr="003235B2">
              <w:rPr>
                <w:rFonts w:ascii="Garamond"/>
                <w:b/>
                <w:bCs/>
              </w:rPr>
              <w:t>:</w:t>
            </w:r>
          </w:p>
        </w:tc>
        <w:tc>
          <w:tcPr>
            <w:tcW w:w="66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1AA4120" w14:textId="77777777" w:rsidR="004B3B82" w:rsidRPr="003235B2" w:rsidRDefault="004B3B82" w:rsidP="00CD3B05">
            <w:pPr>
              <w:jc w:val="center"/>
            </w:pPr>
            <w:r w:rsidRPr="003235B2">
              <w:rPr>
                <w:rFonts w:ascii="Garamond"/>
                <w:b/>
                <w:bCs/>
              </w:rPr>
              <w:t>18</w:t>
            </w:r>
          </w:p>
        </w:tc>
        <w:tc>
          <w:tcPr>
            <w:tcW w:w="464" w:type="pct"/>
            <w:tcBorders>
              <w:top w:val="single" w:sz="4" w:space="0" w:color="000000"/>
              <w:left w:val="single" w:sz="4" w:space="0" w:color="000000"/>
              <w:bottom w:val="single" w:sz="4" w:space="0" w:color="000000"/>
              <w:right w:val="single" w:sz="4" w:space="0" w:color="000000"/>
            </w:tcBorders>
            <w:vAlign w:val="center"/>
          </w:tcPr>
          <w:p w14:paraId="4B911DD3" w14:textId="77777777" w:rsidR="004B3B82" w:rsidRPr="003235B2" w:rsidRDefault="004B3B82" w:rsidP="00CD3B05">
            <w:pPr>
              <w:jc w:val="center"/>
              <w:rPr>
                <w:rFonts w:ascii="Garamond" w:hAnsi="Garamond"/>
                <w:b/>
              </w:rPr>
            </w:pPr>
            <w:r w:rsidRPr="003235B2">
              <w:rPr>
                <w:rFonts w:ascii="Garamond" w:hAnsi="Garamond"/>
                <w:b/>
              </w:rPr>
              <w:t>15</w:t>
            </w:r>
          </w:p>
        </w:tc>
        <w:tc>
          <w:tcPr>
            <w:tcW w:w="617" w:type="pct"/>
            <w:tcBorders>
              <w:top w:val="single" w:sz="4" w:space="0" w:color="000000"/>
              <w:left w:val="single" w:sz="4" w:space="0" w:color="000000"/>
              <w:bottom w:val="single" w:sz="4" w:space="0" w:color="000000"/>
              <w:right w:val="single" w:sz="4" w:space="0" w:color="000000"/>
            </w:tcBorders>
            <w:vAlign w:val="center"/>
          </w:tcPr>
          <w:p w14:paraId="19320025" w14:textId="77777777" w:rsidR="004B3B82" w:rsidRPr="003235B2" w:rsidRDefault="004B3B82" w:rsidP="00E31AE6">
            <w:pPr>
              <w:jc w:val="center"/>
              <w:rPr>
                <w:rFonts w:ascii="Garamond" w:hAnsi="Garamond"/>
                <w:b/>
                <w:highlight w:val="yellow"/>
              </w:rPr>
            </w:pPr>
            <w:r>
              <w:rPr>
                <w:rFonts w:ascii="Garamond" w:hAnsi="Garamond"/>
                <w:b/>
                <w:highlight w:val="yellow"/>
              </w:rPr>
              <w:t>12</w:t>
            </w:r>
          </w:p>
        </w:tc>
      </w:tr>
    </w:tbl>
    <w:p w14:paraId="5B404CC5" w14:textId="77777777" w:rsidR="004B3B82" w:rsidRPr="003235B2" w:rsidRDefault="004B3B82" w:rsidP="00101F7C">
      <w:pPr>
        <w:jc w:val="both"/>
        <w:rPr>
          <w:rFonts w:ascii="Garamond" w:hAnsi="Garamond"/>
          <w:i/>
        </w:rPr>
      </w:pPr>
    </w:p>
    <w:p w14:paraId="4CCE0F69" w14:textId="77777777" w:rsidR="004B3B82" w:rsidRPr="005F754A" w:rsidRDefault="004B3B82" w:rsidP="00101F7C">
      <w:pPr>
        <w:jc w:val="both"/>
        <w:rPr>
          <w:rFonts w:ascii="Garamond" w:hAnsi="Garamond"/>
        </w:rPr>
      </w:pPr>
      <w:r w:rsidRPr="003235B2">
        <w:rPr>
          <w:rFonts w:ascii="Garamond" w:hAnsi="Garamond"/>
          <w:i/>
        </w:rPr>
        <w:t>Примечание</w:t>
      </w:r>
      <w:r w:rsidRPr="003235B2">
        <w:rPr>
          <w:rFonts w:ascii="Garamond" w:hAnsi="Garamond"/>
        </w:rPr>
        <w:t>. При установлении соответствия АИИС КУЭ техническим требованиям оптового рынка в случаях, предусмотренных п. 1.2.1 настоящего Порядка, параметр не проверяется в отношении технического устройства без</w:t>
      </w:r>
      <w:r w:rsidRPr="006E3BEB">
        <w:rPr>
          <w:rFonts w:ascii="Garamond" w:hAnsi="Garamond"/>
        </w:rPr>
        <w:t xml:space="preserve"> измерительной функции.</w:t>
      </w:r>
    </w:p>
    <w:p w14:paraId="183213ED" w14:textId="77777777" w:rsidR="004B3B82" w:rsidRDefault="004B3B82" w:rsidP="00101F7C">
      <w:pPr>
        <w:jc w:val="right"/>
        <w:rPr>
          <w:rFonts w:ascii="Garamond" w:hAnsi="Garamond"/>
        </w:rPr>
      </w:pPr>
    </w:p>
    <w:p w14:paraId="54332A56" w14:textId="77777777" w:rsidR="004B3B82" w:rsidRPr="005C63E5" w:rsidRDefault="004B3B82" w:rsidP="00101F7C">
      <w:pPr>
        <w:rPr>
          <w:rFonts w:hAnsi="Garamond"/>
          <w:b/>
          <w:bCs/>
          <w:sz w:val="22"/>
          <w:szCs w:val="22"/>
        </w:rPr>
      </w:pPr>
      <w:r w:rsidRPr="005F754A">
        <w:rPr>
          <w:rFonts w:ascii="Garamond" w:hAnsi="Garamond"/>
        </w:rPr>
        <w:br w:type="page"/>
      </w:r>
      <w:r w:rsidRPr="005C63E5">
        <w:rPr>
          <w:rFonts w:hAnsi="Garamond"/>
          <w:b/>
          <w:bCs/>
          <w:sz w:val="22"/>
          <w:szCs w:val="22"/>
        </w:rPr>
        <w:lastRenderedPageBreak/>
        <w:t>Действующая</w:t>
      </w:r>
      <w:r w:rsidRPr="005C63E5">
        <w:rPr>
          <w:rFonts w:hAnsi="Garamond"/>
          <w:b/>
          <w:bCs/>
          <w:sz w:val="22"/>
          <w:szCs w:val="22"/>
        </w:rPr>
        <w:t xml:space="preserve"> </w:t>
      </w:r>
      <w:r w:rsidRPr="005C63E5">
        <w:rPr>
          <w:rFonts w:hAnsi="Garamond"/>
          <w:b/>
          <w:bCs/>
          <w:sz w:val="22"/>
          <w:szCs w:val="22"/>
        </w:rPr>
        <w:t>редакция</w:t>
      </w:r>
    </w:p>
    <w:p w14:paraId="49EC0AC5" w14:textId="77777777" w:rsidR="004B3B82" w:rsidRDefault="004B3B82" w:rsidP="00101F7C">
      <w:pPr>
        <w:jc w:val="right"/>
        <w:rPr>
          <w:rFonts w:ascii="Garamond" w:eastAsia="Garamond" w:hAnsi="Garamond" w:cs="Garamond"/>
          <w:b/>
          <w:bCs/>
          <w:sz w:val="22"/>
          <w:szCs w:val="22"/>
        </w:rPr>
      </w:pPr>
      <w:r>
        <w:rPr>
          <w:rFonts w:hAnsi="Garamond"/>
          <w:b/>
          <w:bCs/>
          <w:sz w:val="22"/>
          <w:szCs w:val="22"/>
        </w:rPr>
        <w:t>Таблица</w:t>
      </w:r>
      <w:r>
        <w:rPr>
          <w:rFonts w:hAnsi="Garamond"/>
          <w:b/>
          <w:bCs/>
          <w:sz w:val="22"/>
          <w:szCs w:val="22"/>
        </w:rPr>
        <w:t xml:space="preserve"> </w:t>
      </w:r>
      <w:r w:rsidRPr="0021352A">
        <w:rPr>
          <w:rFonts w:ascii="Garamond"/>
          <w:b/>
          <w:bCs/>
          <w:sz w:val="22"/>
          <w:szCs w:val="22"/>
        </w:rPr>
        <w:t>2</w:t>
      </w:r>
    </w:p>
    <w:p w14:paraId="7F66061F" w14:textId="77777777" w:rsidR="004B3B82" w:rsidRDefault="004B3B82" w:rsidP="00101F7C">
      <w:pPr>
        <w:jc w:val="center"/>
        <w:rPr>
          <w:rFonts w:ascii="Garamond" w:eastAsia="Garamond" w:hAnsi="Garamond" w:cs="Garamond"/>
          <w:b/>
          <w:bCs/>
          <w:sz w:val="22"/>
          <w:szCs w:val="22"/>
        </w:rPr>
      </w:pPr>
    </w:p>
    <w:p w14:paraId="0805DC4F" w14:textId="77777777" w:rsidR="004B3B82" w:rsidRDefault="004B3B82" w:rsidP="00101F7C">
      <w:pPr>
        <w:jc w:val="center"/>
        <w:rPr>
          <w:rFonts w:ascii="Garamond" w:eastAsia="Garamond" w:hAnsi="Garamond" w:cs="Garamond"/>
          <w:b/>
          <w:bCs/>
          <w:sz w:val="22"/>
          <w:szCs w:val="22"/>
        </w:rPr>
      </w:pPr>
      <w:r>
        <w:rPr>
          <w:rFonts w:hAnsi="Garamond"/>
          <w:b/>
          <w:bCs/>
          <w:sz w:val="22"/>
          <w:szCs w:val="22"/>
        </w:rPr>
        <w:t>Разделение</w:t>
      </w:r>
      <w:r>
        <w:rPr>
          <w:rFonts w:hAnsi="Garamond"/>
          <w:b/>
          <w:bCs/>
          <w:sz w:val="22"/>
          <w:szCs w:val="22"/>
        </w:rPr>
        <w:t xml:space="preserve"> </w:t>
      </w:r>
      <w:r>
        <w:rPr>
          <w:rFonts w:hAnsi="Garamond"/>
          <w:b/>
          <w:bCs/>
          <w:sz w:val="22"/>
          <w:szCs w:val="22"/>
        </w:rPr>
        <w:t>параметров</w:t>
      </w:r>
      <w:r>
        <w:rPr>
          <w:rFonts w:hAnsi="Garamond"/>
          <w:b/>
          <w:bCs/>
          <w:sz w:val="22"/>
          <w:szCs w:val="22"/>
        </w:rPr>
        <w:t xml:space="preserve"> </w:t>
      </w:r>
      <w:r>
        <w:rPr>
          <w:rFonts w:hAnsi="Garamond"/>
          <w:b/>
          <w:bCs/>
          <w:sz w:val="22"/>
          <w:szCs w:val="22"/>
        </w:rPr>
        <w:t>по</w:t>
      </w:r>
      <w:r>
        <w:rPr>
          <w:rFonts w:hAnsi="Garamond"/>
          <w:b/>
          <w:bCs/>
          <w:sz w:val="22"/>
          <w:szCs w:val="22"/>
        </w:rPr>
        <w:t xml:space="preserve"> </w:t>
      </w:r>
      <w:r>
        <w:rPr>
          <w:rFonts w:hAnsi="Garamond"/>
          <w:b/>
          <w:bCs/>
          <w:sz w:val="22"/>
          <w:szCs w:val="22"/>
        </w:rPr>
        <w:t>виду</w:t>
      </w:r>
      <w:r>
        <w:rPr>
          <w:rFonts w:hAnsi="Garamond"/>
          <w:b/>
          <w:bCs/>
          <w:sz w:val="22"/>
          <w:szCs w:val="22"/>
        </w:rPr>
        <w:t xml:space="preserve"> </w:t>
      </w:r>
      <w:r>
        <w:rPr>
          <w:rFonts w:hAnsi="Garamond"/>
          <w:b/>
          <w:bCs/>
          <w:sz w:val="22"/>
          <w:szCs w:val="22"/>
        </w:rPr>
        <w:t>проводимых</w:t>
      </w:r>
      <w:r>
        <w:rPr>
          <w:rFonts w:hAnsi="Garamond"/>
          <w:b/>
          <w:bCs/>
          <w:sz w:val="22"/>
          <w:szCs w:val="22"/>
        </w:rPr>
        <w:t xml:space="preserve"> </w:t>
      </w:r>
      <w:r>
        <w:rPr>
          <w:rFonts w:hAnsi="Garamond"/>
          <w:b/>
          <w:bCs/>
          <w:sz w:val="22"/>
          <w:szCs w:val="22"/>
        </w:rPr>
        <w:t>процедур</w:t>
      </w:r>
      <w:r>
        <w:rPr>
          <w:rFonts w:hAnsi="Garamond"/>
          <w:b/>
          <w:bCs/>
          <w:sz w:val="22"/>
          <w:szCs w:val="22"/>
        </w:rPr>
        <w:t xml:space="preserve"> </w:t>
      </w:r>
      <w:r w:rsidRPr="00B83154">
        <w:rPr>
          <w:rFonts w:hAnsi="Garamond"/>
          <w:b/>
          <w:bCs/>
          <w:sz w:val="22"/>
          <w:szCs w:val="22"/>
          <w:highlight w:val="yellow"/>
        </w:rPr>
        <w:t>по</w:t>
      </w:r>
      <w:r w:rsidRPr="00B83154">
        <w:rPr>
          <w:rFonts w:hAnsi="Garamond"/>
          <w:b/>
          <w:bCs/>
          <w:sz w:val="22"/>
          <w:szCs w:val="22"/>
          <w:highlight w:val="yellow"/>
        </w:rPr>
        <w:t xml:space="preserve"> </w:t>
      </w:r>
      <w:r w:rsidRPr="00B83154">
        <w:rPr>
          <w:rFonts w:hAnsi="Garamond"/>
          <w:b/>
          <w:bCs/>
          <w:sz w:val="22"/>
          <w:szCs w:val="22"/>
          <w:highlight w:val="yellow"/>
        </w:rPr>
        <w:t>установлению</w:t>
      </w:r>
      <w:r w:rsidRPr="00B83154">
        <w:rPr>
          <w:rFonts w:hAnsi="Garamond"/>
          <w:b/>
          <w:bCs/>
          <w:sz w:val="22"/>
          <w:szCs w:val="22"/>
          <w:highlight w:val="yellow"/>
        </w:rPr>
        <w:t xml:space="preserve"> </w:t>
      </w:r>
      <w:r w:rsidRPr="00B83154">
        <w:rPr>
          <w:rFonts w:hAnsi="Garamond"/>
          <w:b/>
          <w:bCs/>
          <w:sz w:val="22"/>
          <w:szCs w:val="22"/>
          <w:highlight w:val="yellow"/>
        </w:rPr>
        <w:t>соответствия</w:t>
      </w:r>
      <w:r w:rsidRPr="00B83154">
        <w:rPr>
          <w:rFonts w:hAnsi="Garamond"/>
          <w:b/>
          <w:bCs/>
          <w:sz w:val="22"/>
          <w:szCs w:val="22"/>
          <w:highlight w:val="yellow"/>
        </w:rPr>
        <w:t xml:space="preserve"> </w:t>
      </w:r>
      <w:r w:rsidRPr="00B83154">
        <w:rPr>
          <w:rFonts w:hAnsi="Garamond"/>
          <w:b/>
          <w:bCs/>
          <w:sz w:val="22"/>
          <w:szCs w:val="22"/>
          <w:highlight w:val="yellow"/>
        </w:rPr>
        <w:t>АИИС</w:t>
      </w:r>
      <w:r w:rsidRPr="00B83154">
        <w:rPr>
          <w:rFonts w:hAnsi="Garamond"/>
          <w:b/>
          <w:bCs/>
          <w:sz w:val="22"/>
          <w:szCs w:val="22"/>
          <w:highlight w:val="yellow"/>
        </w:rPr>
        <w:t xml:space="preserve"> </w:t>
      </w:r>
      <w:r w:rsidRPr="00B83154">
        <w:rPr>
          <w:rFonts w:hAnsi="Garamond"/>
          <w:b/>
          <w:bCs/>
          <w:sz w:val="22"/>
          <w:szCs w:val="22"/>
          <w:highlight w:val="yellow"/>
        </w:rPr>
        <w:t>КУЭ</w:t>
      </w:r>
      <w:r w:rsidRPr="00B83154">
        <w:rPr>
          <w:rFonts w:hAnsi="Garamond"/>
          <w:b/>
          <w:bCs/>
          <w:sz w:val="22"/>
          <w:szCs w:val="22"/>
          <w:highlight w:val="yellow"/>
        </w:rPr>
        <w:t xml:space="preserve"> </w:t>
      </w:r>
      <w:r w:rsidRPr="00B83154">
        <w:rPr>
          <w:rFonts w:hAnsi="Garamond"/>
          <w:b/>
          <w:bCs/>
          <w:sz w:val="22"/>
          <w:szCs w:val="22"/>
          <w:highlight w:val="yellow"/>
        </w:rPr>
        <w:t>техническим</w:t>
      </w:r>
      <w:r w:rsidRPr="00B83154">
        <w:rPr>
          <w:rFonts w:hAnsi="Garamond"/>
          <w:b/>
          <w:bCs/>
          <w:sz w:val="22"/>
          <w:szCs w:val="22"/>
          <w:highlight w:val="yellow"/>
        </w:rPr>
        <w:t xml:space="preserve"> </w:t>
      </w:r>
      <w:r w:rsidRPr="00B83154">
        <w:rPr>
          <w:rFonts w:hAnsi="Garamond"/>
          <w:b/>
          <w:bCs/>
          <w:sz w:val="22"/>
          <w:szCs w:val="22"/>
          <w:highlight w:val="yellow"/>
        </w:rPr>
        <w:t>требованиям</w:t>
      </w:r>
      <w:r w:rsidRPr="00B83154">
        <w:rPr>
          <w:rFonts w:hAnsi="Garamond"/>
          <w:b/>
          <w:bCs/>
          <w:sz w:val="22"/>
          <w:szCs w:val="22"/>
          <w:highlight w:val="yellow"/>
        </w:rPr>
        <w:t xml:space="preserve"> </w:t>
      </w:r>
      <w:r w:rsidRPr="00B83154">
        <w:rPr>
          <w:rFonts w:hAnsi="Garamond"/>
          <w:b/>
          <w:bCs/>
          <w:sz w:val="22"/>
          <w:szCs w:val="22"/>
          <w:highlight w:val="yellow"/>
        </w:rPr>
        <w:t>ОРЭМ</w:t>
      </w:r>
    </w:p>
    <w:p w14:paraId="63E17EB7" w14:textId="77777777" w:rsidR="004B3B82" w:rsidRDefault="004B3B82" w:rsidP="00101F7C">
      <w:pPr>
        <w:widowControl w:val="0"/>
        <w:rPr>
          <w:rFonts w:ascii="Garamond" w:eastAsia="Garamond" w:hAnsi="Garamond" w:cs="Garamond"/>
          <w:b/>
          <w:bCs/>
          <w:sz w:val="22"/>
          <w:szCs w:val="22"/>
        </w:rPr>
      </w:pPr>
    </w:p>
    <w:tbl>
      <w:tblPr>
        <w:tblW w:w="9692"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shd w:val="clear" w:color="auto" w:fill="BDC0BF"/>
        <w:tblLayout w:type="fixed"/>
        <w:tblCellMar>
          <w:left w:w="0" w:type="dxa"/>
          <w:right w:w="0" w:type="dxa"/>
        </w:tblCellMar>
        <w:tblLook w:val="04A0" w:firstRow="1" w:lastRow="0" w:firstColumn="1" w:lastColumn="0" w:noHBand="0" w:noVBand="1"/>
      </w:tblPr>
      <w:tblGrid>
        <w:gridCol w:w="568"/>
        <w:gridCol w:w="708"/>
        <w:gridCol w:w="2832"/>
        <w:gridCol w:w="1019"/>
        <w:gridCol w:w="959"/>
        <w:gridCol w:w="849"/>
        <w:gridCol w:w="751"/>
        <w:gridCol w:w="991"/>
        <w:gridCol w:w="1015"/>
      </w:tblGrid>
      <w:tr w:rsidR="004B3B82" w14:paraId="5C8F63AD" w14:textId="77777777" w:rsidTr="00CD3B05">
        <w:trPr>
          <w:trHeight w:val="970"/>
          <w:tblHeader/>
        </w:trPr>
        <w:tc>
          <w:tcPr>
            <w:tcW w:w="5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CC71F46" w14:textId="77777777" w:rsidR="004B3B82" w:rsidRPr="004D7191" w:rsidRDefault="004B3B82" w:rsidP="00CD3B05">
            <w:pPr>
              <w:jc w:val="center"/>
              <w:rPr>
                <w:rFonts w:ascii="Garamond" w:eastAsia="Garamond" w:hAnsi="Garamond" w:cs="Garamond"/>
                <w:b/>
                <w:bCs/>
              </w:rPr>
            </w:pPr>
            <w:r w:rsidRPr="004D7191">
              <w:rPr>
                <w:rFonts w:hAnsi="Garamond"/>
                <w:b/>
                <w:bCs/>
              </w:rPr>
              <w:t>№</w:t>
            </w:r>
          </w:p>
          <w:p w14:paraId="5E07B6BD" w14:textId="77777777" w:rsidR="004B3B82" w:rsidRDefault="004B3B82" w:rsidP="00CD3B05">
            <w:pPr>
              <w:jc w:val="center"/>
            </w:pPr>
            <w:r w:rsidRPr="004D7191">
              <w:rPr>
                <w:rFonts w:hAnsi="Garamond"/>
                <w:b/>
                <w:bCs/>
              </w:rPr>
              <w:t>п</w:t>
            </w:r>
            <w:r w:rsidRPr="004D7191">
              <w:rPr>
                <w:rFonts w:ascii="Garamond"/>
                <w:b/>
                <w:bCs/>
              </w:rPr>
              <w:t>/</w:t>
            </w:r>
            <w:r w:rsidRPr="004D7191">
              <w:rPr>
                <w:rFonts w:hAnsi="Garamond"/>
                <w:b/>
                <w:bCs/>
              </w:rPr>
              <w:t>п</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8FA6998" w14:textId="77777777" w:rsidR="004B3B82" w:rsidRDefault="004B3B82" w:rsidP="00CD3B05">
            <w:pPr>
              <w:jc w:val="center"/>
            </w:pPr>
            <w:r>
              <w:rPr>
                <w:rFonts w:hAnsi="Garamond"/>
                <w:b/>
                <w:bCs/>
              </w:rPr>
              <w:t>Обозначение</w:t>
            </w:r>
            <w:r>
              <w:rPr>
                <w:rFonts w:hAnsi="Garamond"/>
                <w:b/>
                <w:bCs/>
              </w:rPr>
              <w:t xml:space="preserve"> </w:t>
            </w:r>
            <w:r>
              <w:rPr>
                <w:rFonts w:hAnsi="Garamond"/>
                <w:b/>
                <w:bCs/>
              </w:rPr>
              <w:t>п</w:t>
            </w:r>
            <w:r w:rsidRPr="004D7191">
              <w:rPr>
                <w:rFonts w:hAnsi="Garamond"/>
                <w:b/>
                <w:bCs/>
              </w:rPr>
              <w:t>арам</w:t>
            </w:r>
            <w:r w:rsidRPr="00A064A9">
              <w:rPr>
                <w:rFonts w:hAnsi="Garamond"/>
                <w:b/>
                <w:bCs/>
              </w:rPr>
              <w:t>етр</w:t>
            </w:r>
            <w:r>
              <w:rPr>
                <w:rFonts w:hAnsi="Garamond"/>
                <w:b/>
                <w:bCs/>
              </w:rPr>
              <w:t>а</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9B1CC80" w14:textId="77777777" w:rsidR="004B3B82" w:rsidRDefault="004B3B82" w:rsidP="00CD3B05">
            <w:pPr>
              <w:jc w:val="center"/>
            </w:pPr>
            <w:r w:rsidRPr="004D7191">
              <w:rPr>
                <w:rFonts w:hAnsi="Garamond"/>
                <w:b/>
                <w:bCs/>
              </w:rPr>
              <w:t>Наименование</w:t>
            </w:r>
            <w:r w:rsidRPr="004D7191">
              <w:rPr>
                <w:rFonts w:hAnsi="Garamond"/>
                <w:b/>
                <w:bCs/>
              </w:rPr>
              <w:t xml:space="preserve"> </w:t>
            </w:r>
            <w:r w:rsidRPr="004D7191">
              <w:rPr>
                <w:rFonts w:hAnsi="Garamond"/>
                <w:b/>
                <w:bCs/>
              </w:rPr>
              <w:t>параметра</w:t>
            </w:r>
          </w:p>
        </w:tc>
        <w:tc>
          <w:tcPr>
            <w:tcW w:w="1980"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4FF33FF" w14:textId="77777777" w:rsidR="004B3B82" w:rsidRDefault="004B3B82" w:rsidP="00CD3B05">
            <w:pPr>
              <w:jc w:val="center"/>
            </w:pPr>
            <w:r w:rsidRPr="004D7191">
              <w:rPr>
                <w:rFonts w:hAnsi="Garamond"/>
                <w:b/>
                <w:bCs/>
              </w:rPr>
              <w:t>Техническая</w:t>
            </w:r>
            <w:r w:rsidRPr="004D7191">
              <w:rPr>
                <w:rFonts w:hAnsi="Garamond"/>
                <w:b/>
                <w:bCs/>
              </w:rPr>
              <w:t xml:space="preserve"> </w:t>
            </w:r>
            <w:r w:rsidRPr="004D7191">
              <w:rPr>
                <w:rFonts w:hAnsi="Garamond"/>
                <w:b/>
                <w:bCs/>
              </w:rPr>
              <w:t>экспертиза</w:t>
            </w:r>
          </w:p>
        </w:tc>
        <w:tc>
          <w:tcPr>
            <w:tcW w:w="1592"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D7AB440" w14:textId="77777777" w:rsidR="004B3B82" w:rsidRDefault="004B3B82" w:rsidP="00CD3B05">
            <w:pPr>
              <w:jc w:val="center"/>
            </w:pPr>
            <w:r>
              <w:rPr>
                <w:rFonts w:hAnsi="Garamond"/>
                <w:b/>
                <w:bCs/>
              </w:rPr>
              <w:t>И</w:t>
            </w:r>
            <w:r w:rsidRPr="004D7191">
              <w:rPr>
                <w:rFonts w:hAnsi="Garamond"/>
                <w:b/>
                <w:bCs/>
              </w:rPr>
              <w:t>спытания</w:t>
            </w:r>
          </w:p>
        </w:tc>
        <w:tc>
          <w:tcPr>
            <w:tcW w:w="2008"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761C354" w14:textId="77777777" w:rsidR="004B3B82" w:rsidRPr="00D57399" w:rsidRDefault="004B3B82" w:rsidP="00CD3B05">
            <w:pPr>
              <w:jc w:val="center"/>
              <w:rPr>
                <w:rFonts w:hAnsi="Garamond"/>
                <w:b/>
                <w:bCs/>
              </w:rPr>
            </w:pPr>
            <w:r>
              <w:rPr>
                <w:rFonts w:hAnsi="Garamond"/>
                <w:b/>
                <w:bCs/>
              </w:rPr>
              <w:t>Проверка</w:t>
            </w:r>
            <w:r w:rsidRPr="00B41A44">
              <w:rPr>
                <w:rFonts w:hAnsi="Garamond"/>
                <w:b/>
                <w:bCs/>
              </w:rPr>
              <w:t xml:space="preserve"> </w:t>
            </w:r>
            <w:r w:rsidRPr="0033727E">
              <w:rPr>
                <w:rFonts w:hAnsi="Garamond"/>
                <w:b/>
                <w:bCs/>
              </w:rPr>
              <w:t>передачи</w:t>
            </w:r>
            <w:r w:rsidRPr="0033727E">
              <w:rPr>
                <w:rFonts w:hAnsi="Garamond"/>
                <w:b/>
                <w:bCs/>
              </w:rPr>
              <w:t xml:space="preserve"> </w:t>
            </w:r>
            <w:r w:rsidRPr="0033727E">
              <w:rPr>
                <w:rFonts w:hAnsi="Garamond"/>
                <w:b/>
                <w:bCs/>
              </w:rPr>
              <w:t>результатов</w:t>
            </w:r>
            <w:r w:rsidRPr="0033727E">
              <w:rPr>
                <w:rFonts w:hAnsi="Garamond"/>
                <w:b/>
                <w:bCs/>
              </w:rPr>
              <w:t xml:space="preserve"> </w:t>
            </w:r>
            <w:r w:rsidRPr="0033727E">
              <w:rPr>
                <w:rFonts w:hAnsi="Garamond"/>
                <w:b/>
                <w:bCs/>
              </w:rPr>
              <w:t>измерений</w:t>
            </w:r>
            <w:r w:rsidRPr="0033727E">
              <w:rPr>
                <w:rFonts w:hAnsi="Garamond"/>
                <w:b/>
                <w:bCs/>
              </w:rPr>
              <w:t xml:space="preserve"> </w:t>
            </w:r>
            <w:r w:rsidRPr="0033727E">
              <w:rPr>
                <w:rFonts w:hAnsi="Garamond"/>
                <w:b/>
                <w:bCs/>
              </w:rPr>
              <w:t>от</w:t>
            </w:r>
            <w:r w:rsidRPr="0033727E">
              <w:rPr>
                <w:rFonts w:hAnsi="Garamond"/>
                <w:b/>
                <w:bCs/>
              </w:rPr>
              <w:t xml:space="preserve"> </w:t>
            </w:r>
            <w:r w:rsidRPr="0033727E">
              <w:rPr>
                <w:rFonts w:hAnsi="Garamond"/>
                <w:b/>
                <w:bCs/>
              </w:rPr>
              <w:t>АИИС</w:t>
            </w:r>
            <w:r w:rsidRPr="0033727E">
              <w:rPr>
                <w:rFonts w:hAnsi="Garamond"/>
                <w:b/>
                <w:bCs/>
              </w:rPr>
              <w:t xml:space="preserve"> </w:t>
            </w:r>
            <w:r w:rsidRPr="0033727E">
              <w:rPr>
                <w:rFonts w:hAnsi="Garamond"/>
                <w:b/>
                <w:bCs/>
              </w:rPr>
              <w:t>КУЭ</w:t>
            </w:r>
            <w:r w:rsidRPr="0033727E">
              <w:rPr>
                <w:rFonts w:hAnsi="Garamond"/>
                <w:b/>
                <w:bCs/>
              </w:rPr>
              <w:t xml:space="preserve"> </w:t>
            </w:r>
            <w:r w:rsidRPr="0033727E">
              <w:rPr>
                <w:rFonts w:hAnsi="Garamond"/>
                <w:b/>
                <w:bCs/>
              </w:rPr>
              <w:t>в</w:t>
            </w:r>
            <w:r w:rsidRPr="0033727E">
              <w:rPr>
                <w:rFonts w:hAnsi="Garamond"/>
                <w:b/>
                <w:bCs/>
              </w:rPr>
              <w:t xml:space="preserve"> </w:t>
            </w:r>
            <w:r w:rsidRPr="0033727E">
              <w:rPr>
                <w:rFonts w:hAnsi="Garamond"/>
                <w:b/>
                <w:bCs/>
              </w:rPr>
              <w:t>ПАК</w:t>
            </w:r>
            <w:r w:rsidRPr="0033727E">
              <w:rPr>
                <w:rFonts w:hAnsi="Garamond"/>
                <w:b/>
                <w:bCs/>
              </w:rPr>
              <w:t xml:space="preserve"> </w:t>
            </w:r>
            <w:r w:rsidRPr="0033727E">
              <w:rPr>
                <w:rFonts w:hAnsi="Garamond"/>
                <w:b/>
                <w:bCs/>
              </w:rPr>
              <w:t>КО</w:t>
            </w:r>
          </w:p>
        </w:tc>
      </w:tr>
      <w:tr w:rsidR="004B3B82" w14:paraId="7D893043" w14:textId="77777777" w:rsidTr="00CD3B05">
        <w:trPr>
          <w:trHeight w:val="250"/>
          <w:tblHeader/>
        </w:trPr>
        <w:tc>
          <w:tcPr>
            <w:tcW w:w="5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3EFCED9" w14:textId="77777777" w:rsidR="004B3B82" w:rsidRDefault="004B3B82" w:rsidP="00CD3B05"/>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1DF1CFF" w14:textId="77777777" w:rsidR="004B3B82" w:rsidRDefault="004B3B82" w:rsidP="00CD3B05"/>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7682507" w14:textId="77777777" w:rsidR="004B3B82" w:rsidRDefault="004B3B82" w:rsidP="00CD3B05"/>
        </w:tc>
        <w:tc>
          <w:tcPr>
            <w:tcW w:w="102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1612E79" w14:textId="77777777" w:rsidR="004B3B82" w:rsidRDefault="004B3B82" w:rsidP="00CD3B05">
            <w:pPr>
              <w:jc w:val="center"/>
            </w:pPr>
            <w:r w:rsidRPr="004D7191">
              <w:rPr>
                <w:rFonts w:hAnsi="Garamond"/>
                <w:b/>
                <w:bCs/>
              </w:rPr>
              <w:t>А</w:t>
            </w:r>
          </w:p>
        </w:tc>
        <w:tc>
          <w:tcPr>
            <w:tcW w:w="9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840A2E3" w14:textId="77777777" w:rsidR="004B3B82" w:rsidRDefault="004B3B82" w:rsidP="00CD3B05">
            <w:pPr>
              <w:jc w:val="center"/>
            </w:pPr>
            <w:r w:rsidRPr="004D7191">
              <w:rPr>
                <w:rFonts w:ascii="Garamond"/>
                <w:b/>
                <w:bCs/>
                <w:lang w:val="en-US"/>
              </w:rPr>
              <w:t>N</w:t>
            </w:r>
          </w:p>
        </w:tc>
        <w:tc>
          <w:tcPr>
            <w:tcW w:w="8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2B5AA84" w14:textId="77777777" w:rsidR="004B3B82" w:rsidRDefault="004B3B82" w:rsidP="00CD3B05">
            <w:pPr>
              <w:jc w:val="center"/>
            </w:pPr>
            <w:r w:rsidRPr="004D7191">
              <w:rPr>
                <w:rFonts w:hAnsi="Garamond"/>
                <w:b/>
                <w:bCs/>
              </w:rPr>
              <w:t>А</w:t>
            </w:r>
          </w:p>
        </w:tc>
        <w:tc>
          <w:tcPr>
            <w:tcW w:w="74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E5B71CE" w14:textId="77777777" w:rsidR="004B3B82" w:rsidRDefault="004B3B82" w:rsidP="00CD3B05">
            <w:pPr>
              <w:jc w:val="center"/>
            </w:pPr>
            <w:r w:rsidRPr="004D7191">
              <w:rPr>
                <w:rFonts w:ascii="Garamond"/>
                <w:b/>
                <w:bCs/>
                <w:lang w:val="en-US"/>
              </w:rPr>
              <w:t>N</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529BC62" w14:textId="77777777" w:rsidR="004B3B82" w:rsidRDefault="004B3B82" w:rsidP="00CD3B05">
            <w:pPr>
              <w:jc w:val="center"/>
            </w:pPr>
            <w:r w:rsidRPr="004D7191">
              <w:rPr>
                <w:rFonts w:hAnsi="Garamond"/>
                <w:b/>
                <w:bCs/>
              </w:rPr>
              <w:t>А</w:t>
            </w:r>
          </w:p>
        </w:tc>
        <w:tc>
          <w:tcPr>
            <w:tcW w:w="10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D2CDF8E" w14:textId="77777777" w:rsidR="004B3B82" w:rsidRDefault="004B3B82" w:rsidP="00CD3B05">
            <w:pPr>
              <w:jc w:val="center"/>
            </w:pPr>
            <w:r w:rsidRPr="004D7191">
              <w:rPr>
                <w:rFonts w:ascii="Garamond"/>
                <w:b/>
                <w:bCs/>
                <w:lang w:val="en-US"/>
              </w:rPr>
              <w:t>N</w:t>
            </w:r>
          </w:p>
        </w:tc>
      </w:tr>
      <w:tr w:rsidR="004B3B82" w14:paraId="44E28176" w14:textId="77777777" w:rsidTr="00CD3B05">
        <w:trPr>
          <w:trHeight w:val="250"/>
        </w:trPr>
        <w:tc>
          <w:tcPr>
            <w:tcW w:w="5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30D66D7" w14:textId="77777777" w:rsidR="004B3B82" w:rsidRDefault="004B3B82" w:rsidP="00CD3B05"/>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42EFA2F" w14:textId="77777777" w:rsidR="004B3B82" w:rsidRDefault="004B3B82" w:rsidP="00CD3B05"/>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94099C5" w14:textId="77777777" w:rsidR="004B3B82" w:rsidRDefault="004B3B82" w:rsidP="00CD3B05">
            <w:r>
              <w:rPr>
                <w:rFonts w:ascii="Garamond"/>
                <w:b/>
                <w:bCs/>
              </w:rPr>
              <w:t>1</w:t>
            </w:r>
            <w:r w:rsidRPr="004D7191">
              <w:rPr>
                <w:rFonts w:ascii="Garamond"/>
                <w:b/>
                <w:bCs/>
              </w:rPr>
              <w:t xml:space="preserve">. </w:t>
            </w:r>
            <w:r w:rsidRPr="004D7191">
              <w:rPr>
                <w:rFonts w:hAnsi="Garamond"/>
                <w:b/>
                <w:bCs/>
              </w:rPr>
              <w:t>ЗАЩИЩЕННОСТЬ</w:t>
            </w:r>
          </w:p>
        </w:tc>
        <w:tc>
          <w:tcPr>
            <w:tcW w:w="102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E57D2FC" w14:textId="77777777" w:rsidR="004B3B82" w:rsidRDefault="004B3B82" w:rsidP="00CD3B05">
            <w:pPr>
              <w:jc w:val="center"/>
            </w:pPr>
          </w:p>
        </w:tc>
        <w:tc>
          <w:tcPr>
            <w:tcW w:w="9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A460521" w14:textId="77777777" w:rsidR="004B3B82" w:rsidRDefault="004B3B82" w:rsidP="00CD3B05">
            <w:pPr>
              <w:jc w:val="center"/>
            </w:pPr>
          </w:p>
        </w:tc>
        <w:tc>
          <w:tcPr>
            <w:tcW w:w="8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B3FBF4C" w14:textId="77777777" w:rsidR="004B3B82" w:rsidRDefault="004B3B82" w:rsidP="00CD3B05">
            <w:pPr>
              <w:jc w:val="center"/>
            </w:pPr>
          </w:p>
        </w:tc>
        <w:tc>
          <w:tcPr>
            <w:tcW w:w="74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79A8732" w14:textId="77777777" w:rsidR="004B3B82" w:rsidRDefault="004B3B82" w:rsidP="00CD3B05">
            <w:pPr>
              <w:jc w:val="center"/>
            </w:pP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E417907" w14:textId="77777777" w:rsidR="004B3B82" w:rsidRDefault="004B3B82" w:rsidP="00CD3B05">
            <w:pPr>
              <w:jc w:val="center"/>
            </w:pPr>
          </w:p>
        </w:tc>
        <w:tc>
          <w:tcPr>
            <w:tcW w:w="10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0CD0917" w14:textId="77777777" w:rsidR="004B3B82" w:rsidRDefault="004B3B82" w:rsidP="00CD3B05">
            <w:pPr>
              <w:jc w:val="center"/>
            </w:pPr>
          </w:p>
        </w:tc>
      </w:tr>
      <w:tr w:rsidR="004B3B82" w14:paraId="415A8E09" w14:textId="77777777" w:rsidTr="00CD3B05">
        <w:trPr>
          <w:trHeight w:val="753"/>
        </w:trPr>
        <w:tc>
          <w:tcPr>
            <w:tcW w:w="5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08D57FF" w14:textId="77777777" w:rsidR="004B3B82" w:rsidRPr="006F22AB" w:rsidRDefault="004B3B82" w:rsidP="00CD3B05">
            <w:pPr>
              <w:jc w:val="center"/>
              <w:rPr>
                <w:rFonts w:ascii="Garamond" w:hAnsi="Garamond"/>
              </w:rPr>
            </w:pPr>
            <w:r>
              <w:rPr>
                <w:rFonts w:ascii="Garamond" w:hAnsi="Garamond"/>
              </w:rPr>
              <w:t>1</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9759A19" w14:textId="77777777" w:rsidR="004B3B82" w:rsidRDefault="004B3B82" w:rsidP="00CD3B05">
            <w:pPr>
              <w:jc w:val="center"/>
            </w:pPr>
            <w:r w:rsidRPr="004D7191">
              <w:rPr>
                <w:rFonts w:hAnsi="Garamond"/>
              </w:rPr>
              <w:t>П</w:t>
            </w:r>
            <w:r w:rsidRPr="004D7191">
              <w:rPr>
                <w:rFonts w:hAnsi="Garamond"/>
                <w:vertAlign w:val="subscript"/>
              </w:rPr>
              <w:t>З</w:t>
            </w:r>
            <w:r w:rsidRPr="004D7191">
              <w:rPr>
                <w:rFonts w:ascii="Garamond"/>
                <w:vertAlign w:val="subscript"/>
              </w:rPr>
              <w:t>13</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FA556FE" w14:textId="77777777" w:rsidR="004B3B82" w:rsidRDefault="004B3B82" w:rsidP="00CD3B05">
            <w:pPr>
              <w:ind w:left="34"/>
            </w:pPr>
            <w:r w:rsidRPr="004D7191">
              <w:rPr>
                <w:rFonts w:hAnsi="Garamond"/>
              </w:rPr>
              <w:t>Защита</w:t>
            </w:r>
            <w:r w:rsidRPr="004D7191">
              <w:rPr>
                <w:rFonts w:hAnsi="Garamond"/>
              </w:rPr>
              <w:t xml:space="preserve"> </w:t>
            </w:r>
            <w:r w:rsidRPr="004D7191">
              <w:rPr>
                <w:rFonts w:hAnsi="Garamond"/>
              </w:rPr>
              <w:t>информации</w:t>
            </w:r>
            <w:r w:rsidRPr="004D7191">
              <w:rPr>
                <w:rFonts w:hAnsi="Garamond"/>
              </w:rPr>
              <w:t xml:space="preserve"> </w:t>
            </w:r>
            <w:r w:rsidRPr="004D7191">
              <w:rPr>
                <w:rFonts w:hAnsi="Garamond"/>
              </w:rPr>
              <w:t>на</w:t>
            </w:r>
            <w:r w:rsidRPr="004D7191">
              <w:rPr>
                <w:rFonts w:hAnsi="Garamond"/>
                <w:lang w:val="en-US"/>
              </w:rPr>
              <w:t> </w:t>
            </w:r>
            <w:r w:rsidRPr="004D7191">
              <w:rPr>
                <w:rFonts w:hAnsi="Garamond"/>
              </w:rPr>
              <w:t>программном</w:t>
            </w:r>
            <w:r w:rsidRPr="004D7191">
              <w:rPr>
                <w:rFonts w:hAnsi="Garamond"/>
              </w:rPr>
              <w:t xml:space="preserve"> </w:t>
            </w:r>
            <w:r w:rsidRPr="004D7191">
              <w:rPr>
                <w:rFonts w:hAnsi="Garamond"/>
              </w:rPr>
              <w:t>уровне</w:t>
            </w:r>
            <w:r w:rsidRPr="004D7191">
              <w:rPr>
                <w:rFonts w:hAnsi="Garamond"/>
              </w:rPr>
              <w:t xml:space="preserve"> </w:t>
            </w:r>
            <w:r w:rsidRPr="004D7191">
              <w:rPr>
                <w:rFonts w:hAnsi="Garamond"/>
              </w:rPr>
              <w:t>при</w:t>
            </w:r>
            <w:r w:rsidRPr="004D7191">
              <w:rPr>
                <w:rFonts w:hAnsi="Garamond"/>
                <w:lang w:val="en-US"/>
              </w:rPr>
              <w:t> </w:t>
            </w:r>
            <w:r w:rsidRPr="004D7191">
              <w:rPr>
                <w:rFonts w:hAnsi="Garamond"/>
              </w:rPr>
              <w:t>параметрировании</w:t>
            </w:r>
            <w:r w:rsidRPr="004D7191">
              <w:rPr>
                <w:rFonts w:hAnsi="Garamond"/>
              </w:rPr>
              <w:t xml:space="preserve"> </w:t>
            </w:r>
            <w:r w:rsidRPr="004D7191">
              <w:rPr>
                <w:rFonts w:hAnsi="Garamond"/>
              </w:rPr>
              <w:t>–</w:t>
            </w:r>
            <w:r w:rsidRPr="004D7191">
              <w:rPr>
                <w:rFonts w:hAnsi="Garamond"/>
              </w:rPr>
              <w:t xml:space="preserve"> </w:t>
            </w:r>
            <w:r w:rsidRPr="004D7191">
              <w:rPr>
                <w:rFonts w:hAnsi="Garamond"/>
              </w:rPr>
              <w:t>установка</w:t>
            </w:r>
            <w:r w:rsidRPr="004D7191">
              <w:rPr>
                <w:rFonts w:hAnsi="Garamond"/>
              </w:rPr>
              <w:t xml:space="preserve"> </w:t>
            </w:r>
            <w:r w:rsidRPr="004D7191">
              <w:rPr>
                <w:rFonts w:hAnsi="Garamond"/>
              </w:rPr>
              <w:t>пароля</w:t>
            </w:r>
            <w:r w:rsidRPr="004D7191">
              <w:rPr>
                <w:rFonts w:hAnsi="Garamond"/>
              </w:rPr>
              <w:t xml:space="preserve"> </w:t>
            </w:r>
            <w:r w:rsidRPr="004D7191">
              <w:rPr>
                <w:rFonts w:hAnsi="Garamond"/>
              </w:rPr>
              <w:t>на</w:t>
            </w:r>
            <w:r w:rsidRPr="004D7191">
              <w:rPr>
                <w:rFonts w:hAnsi="Garamond"/>
              </w:rPr>
              <w:t xml:space="preserve"> </w:t>
            </w:r>
            <w:r w:rsidRPr="00B83154">
              <w:rPr>
                <w:rFonts w:hAnsi="Garamond"/>
                <w:highlight w:val="yellow"/>
              </w:rPr>
              <w:t>счетчик</w:t>
            </w:r>
          </w:p>
        </w:tc>
        <w:tc>
          <w:tcPr>
            <w:tcW w:w="102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5074B08" w14:textId="77777777" w:rsidR="004B3B82" w:rsidRDefault="004B3B82" w:rsidP="00CD3B05">
            <w:pPr>
              <w:jc w:val="center"/>
            </w:pPr>
          </w:p>
        </w:tc>
        <w:tc>
          <w:tcPr>
            <w:tcW w:w="9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3D63605" w14:textId="77777777" w:rsidR="004B3B82" w:rsidRDefault="004B3B82" w:rsidP="00CD3B05">
            <w:pPr>
              <w:jc w:val="center"/>
            </w:pPr>
          </w:p>
        </w:tc>
        <w:tc>
          <w:tcPr>
            <w:tcW w:w="8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BE31590" w14:textId="77777777" w:rsidR="004B3B82" w:rsidRDefault="004B3B82" w:rsidP="00CD3B05">
            <w:pPr>
              <w:jc w:val="center"/>
            </w:pPr>
            <w:r w:rsidRPr="004D7191">
              <w:rPr>
                <w:rFonts w:hAnsi="Garamond"/>
              </w:rPr>
              <w:t>Да</w:t>
            </w:r>
          </w:p>
        </w:tc>
        <w:tc>
          <w:tcPr>
            <w:tcW w:w="74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1BF148B" w14:textId="77777777" w:rsidR="004B3B82" w:rsidRDefault="004B3B82" w:rsidP="00CD3B05">
            <w:pPr>
              <w:jc w:val="center"/>
            </w:pPr>
            <w:r w:rsidRPr="004D7191">
              <w:rPr>
                <w:rFonts w:hAnsi="Garamond"/>
              </w:rPr>
              <w:t>Да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A841386" w14:textId="77777777" w:rsidR="004B3B82" w:rsidRDefault="004B3B82" w:rsidP="00CD3B05">
            <w:pPr>
              <w:jc w:val="center"/>
            </w:pPr>
          </w:p>
        </w:tc>
        <w:tc>
          <w:tcPr>
            <w:tcW w:w="10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7EE05A0" w14:textId="77777777" w:rsidR="004B3B82" w:rsidRDefault="004B3B82" w:rsidP="00CD3B05">
            <w:pPr>
              <w:jc w:val="center"/>
            </w:pPr>
          </w:p>
        </w:tc>
      </w:tr>
      <w:tr w:rsidR="004B3B82" w14:paraId="5DAF10C4" w14:textId="77777777" w:rsidTr="00CD3B05">
        <w:trPr>
          <w:trHeight w:val="589"/>
        </w:trPr>
        <w:tc>
          <w:tcPr>
            <w:tcW w:w="5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A07D0FA" w14:textId="77777777" w:rsidR="004B3B82" w:rsidRPr="006F22AB" w:rsidRDefault="004B3B82" w:rsidP="00CD3B05">
            <w:pPr>
              <w:jc w:val="center"/>
              <w:rPr>
                <w:rFonts w:ascii="Garamond" w:hAnsi="Garamond"/>
              </w:rPr>
            </w:pPr>
            <w:r>
              <w:rPr>
                <w:rFonts w:ascii="Garamond" w:hAnsi="Garamond"/>
              </w:rPr>
              <w:t>2</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8E8DB44" w14:textId="77777777" w:rsidR="004B3B82" w:rsidRDefault="004B3B82" w:rsidP="00CD3B05">
            <w:pPr>
              <w:jc w:val="center"/>
            </w:pPr>
            <w:r w:rsidRPr="004D7191">
              <w:rPr>
                <w:rFonts w:hAnsi="Garamond"/>
              </w:rPr>
              <w:t>П</w:t>
            </w:r>
            <w:r w:rsidRPr="004D7191">
              <w:rPr>
                <w:rFonts w:hAnsi="Garamond"/>
                <w:vertAlign w:val="subscript"/>
              </w:rPr>
              <w:t>З</w:t>
            </w:r>
            <w:r w:rsidRPr="004D7191">
              <w:rPr>
                <w:rFonts w:ascii="Garamond"/>
                <w:vertAlign w:val="subscript"/>
              </w:rPr>
              <w:t>14</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8308E62" w14:textId="77777777" w:rsidR="004B3B82" w:rsidRDefault="004B3B82" w:rsidP="00CD3B05">
            <w:pPr>
              <w:ind w:left="34"/>
            </w:pPr>
            <w:r w:rsidRPr="004D7191">
              <w:rPr>
                <w:rFonts w:hAnsi="Garamond"/>
              </w:rPr>
              <w:t>Защита</w:t>
            </w:r>
            <w:r w:rsidRPr="004D7191">
              <w:rPr>
                <w:rFonts w:hAnsi="Garamond"/>
              </w:rPr>
              <w:t xml:space="preserve"> </w:t>
            </w:r>
            <w:r w:rsidRPr="004D7191">
              <w:rPr>
                <w:rFonts w:hAnsi="Garamond"/>
              </w:rPr>
              <w:t>информации</w:t>
            </w:r>
            <w:r w:rsidRPr="004D7191">
              <w:rPr>
                <w:rFonts w:hAnsi="Garamond"/>
              </w:rPr>
              <w:t xml:space="preserve"> </w:t>
            </w:r>
            <w:r w:rsidRPr="004D7191">
              <w:rPr>
                <w:rFonts w:hAnsi="Garamond"/>
              </w:rPr>
              <w:t>на</w:t>
            </w:r>
            <w:r w:rsidRPr="004D7191">
              <w:rPr>
                <w:rFonts w:hAnsi="Garamond"/>
              </w:rPr>
              <w:t xml:space="preserve"> </w:t>
            </w:r>
            <w:r w:rsidRPr="004D7191">
              <w:rPr>
                <w:rFonts w:hAnsi="Garamond"/>
              </w:rPr>
              <w:t>программном</w:t>
            </w:r>
            <w:r w:rsidRPr="004D7191">
              <w:rPr>
                <w:rFonts w:hAnsi="Garamond"/>
              </w:rPr>
              <w:t xml:space="preserve"> </w:t>
            </w:r>
            <w:r w:rsidRPr="004D7191">
              <w:rPr>
                <w:rFonts w:hAnsi="Garamond"/>
              </w:rPr>
              <w:t>уровне</w:t>
            </w:r>
            <w:r w:rsidRPr="004D7191">
              <w:rPr>
                <w:rFonts w:hAnsi="Garamond"/>
              </w:rPr>
              <w:t xml:space="preserve"> </w:t>
            </w:r>
            <w:r w:rsidRPr="004D7191">
              <w:rPr>
                <w:rFonts w:hAnsi="Garamond"/>
              </w:rPr>
              <w:t>при</w:t>
            </w:r>
            <w:r w:rsidRPr="004D7191">
              <w:rPr>
                <w:rFonts w:hAnsi="Garamond"/>
              </w:rPr>
              <w:t xml:space="preserve"> </w:t>
            </w:r>
            <w:r w:rsidRPr="004D7191">
              <w:rPr>
                <w:rFonts w:hAnsi="Garamond"/>
              </w:rPr>
              <w:t>параметрировании</w:t>
            </w:r>
            <w:r w:rsidRPr="004D7191">
              <w:rPr>
                <w:rFonts w:hAnsi="Garamond"/>
              </w:rPr>
              <w:t xml:space="preserve"> </w:t>
            </w:r>
            <w:r>
              <w:rPr>
                <w:rFonts w:ascii="Garamond"/>
              </w:rPr>
              <w:t>–</w:t>
            </w:r>
            <w:r w:rsidRPr="004D7191">
              <w:rPr>
                <w:rFonts w:ascii="Garamond"/>
              </w:rPr>
              <w:t xml:space="preserve"> </w:t>
            </w:r>
            <w:r w:rsidRPr="004D7191">
              <w:rPr>
                <w:rFonts w:hAnsi="Garamond"/>
              </w:rPr>
              <w:t>установка</w:t>
            </w:r>
            <w:r w:rsidRPr="004D7191">
              <w:rPr>
                <w:rFonts w:hAnsi="Garamond"/>
              </w:rPr>
              <w:t xml:space="preserve"> </w:t>
            </w:r>
            <w:r w:rsidRPr="004D7191">
              <w:rPr>
                <w:rFonts w:hAnsi="Garamond"/>
              </w:rPr>
              <w:t>пароля</w:t>
            </w:r>
            <w:r w:rsidRPr="004D7191">
              <w:rPr>
                <w:rFonts w:hAnsi="Garamond"/>
              </w:rPr>
              <w:t xml:space="preserve"> </w:t>
            </w:r>
            <w:r w:rsidRPr="004D7191">
              <w:rPr>
                <w:rFonts w:hAnsi="Garamond"/>
              </w:rPr>
              <w:t>на</w:t>
            </w:r>
            <w:r w:rsidRPr="004D7191">
              <w:rPr>
                <w:rFonts w:hAnsi="Garamond"/>
              </w:rPr>
              <w:t xml:space="preserve"> </w:t>
            </w:r>
            <w:r w:rsidRPr="004D7191">
              <w:rPr>
                <w:rFonts w:hAnsi="Garamond"/>
              </w:rPr>
              <w:t>УСПД</w:t>
            </w:r>
          </w:p>
        </w:tc>
        <w:tc>
          <w:tcPr>
            <w:tcW w:w="102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9D2EE70" w14:textId="77777777" w:rsidR="004B3B82" w:rsidRDefault="004B3B82" w:rsidP="00CD3B05">
            <w:pPr>
              <w:jc w:val="center"/>
            </w:pPr>
          </w:p>
        </w:tc>
        <w:tc>
          <w:tcPr>
            <w:tcW w:w="9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C12184D" w14:textId="77777777" w:rsidR="004B3B82" w:rsidRDefault="004B3B82" w:rsidP="00CD3B05">
            <w:pPr>
              <w:jc w:val="center"/>
            </w:pPr>
          </w:p>
        </w:tc>
        <w:tc>
          <w:tcPr>
            <w:tcW w:w="8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D3B251B" w14:textId="77777777" w:rsidR="004B3B82" w:rsidRDefault="004B3B82" w:rsidP="00CD3B05">
            <w:pPr>
              <w:jc w:val="center"/>
            </w:pPr>
            <w:r w:rsidRPr="004D7191">
              <w:rPr>
                <w:rFonts w:hAnsi="Garamond"/>
              </w:rPr>
              <w:t>Да</w:t>
            </w:r>
          </w:p>
        </w:tc>
        <w:tc>
          <w:tcPr>
            <w:tcW w:w="74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10B3C34" w14:textId="77777777" w:rsidR="004B3B82" w:rsidRDefault="004B3B82" w:rsidP="00CD3B05">
            <w:pPr>
              <w:jc w:val="center"/>
            </w:pPr>
            <w:r w:rsidRPr="004D7191">
              <w:rPr>
                <w:rFonts w:hAnsi="Garamond"/>
              </w:rPr>
              <w:t>Да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7113DA1" w14:textId="77777777" w:rsidR="004B3B82" w:rsidRDefault="004B3B82" w:rsidP="00CD3B05">
            <w:pPr>
              <w:jc w:val="center"/>
            </w:pPr>
          </w:p>
        </w:tc>
        <w:tc>
          <w:tcPr>
            <w:tcW w:w="10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B761FCE" w14:textId="77777777" w:rsidR="004B3B82" w:rsidRDefault="004B3B82" w:rsidP="00CD3B05">
            <w:pPr>
              <w:jc w:val="center"/>
            </w:pPr>
          </w:p>
        </w:tc>
      </w:tr>
      <w:tr w:rsidR="004B3B82" w14:paraId="5BCC478A" w14:textId="77777777" w:rsidTr="00CD3B05">
        <w:trPr>
          <w:trHeight w:val="757"/>
        </w:trPr>
        <w:tc>
          <w:tcPr>
            <w:tcW w:w="5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0231927" w14:textId="77777777" w:rsidR="004B3B82" w:rsidRPr="006F22AB" w:rsidRDefault="004B3B82" w:rsidP="00CD3B05">
            <w:pPr>
              <w:jc w:val="center"/>
              <w:rPr>
                <w:rFonts w:ascii="Garamond" w:hAnsi="Garamond"/>
              </w:rPr>
            </w:pPr>
            <w:r>
              <w:rPr>
                <w:rFonts w:ascii="Garamond" w:hAnsi="Garamond"/>
              </w:rPr>
              <w:t>3</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D88C0DC" w14:textId="77777777" w:rsidR="004B3B82" w:rsidRDefault="004B3B82" w:rsidP="00CD3B05">
            <w:pPr>
              <w:jc w:val="center"/>
            </w:pPr>
            <w:r w:rsidRPr="004D7191">
              <w:rPr>
                <w:rFonts w:hAnsi="Garamond"/>
              </w:rPr>
              <w:t>П</w:t>
            </w:r>
            <w:r w:rsidRPr="004D7191">
              <w:rPr>
                <w:rFonts w:hAnsi="Garamond"/>
                <w:vertAlign w:val="subscript"/>
              </w:rPr>
              <w:t>З</w:t>
            </w:r>
            <w:r w:rsidRPr="004D7191">
              <w:rPr>
                <w:rFonts w:ascii="Garamond"/>
                <w:vertAlign w:val="subscript"/>
              </w:rPr>
              <w:t>15</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25BB402" w14:textId="77777777" w:rsidR="004B3B82" w:rsidRDefault="004B3B82" w:rsidP="00CD3B05">
            <w:pPr>
              <w:ind w:left="34"/>
            </w:pPr>
            <w:r w:rsidRPr="004D7191">
              <w:rPr>
                <w:rFonts w:hAnsi="Garamond"/>
              </w:rPr>
              <w:t>Защита</w:t>
            </w:r>
            <w:r w:rsidRPr="004D7191">
              <w:rPr>
                <w:rFonts w:hAnsi="Garamond"/>
              </w:rPr>
              <w:t xml:space="preserve"> </w:t>
            </w:r>
            <w:r w:rsidRPr="004D7191">
              <w:rPr>
                <w:rFonts w:hAnsi="Garamond"/>
              </w:rPr>
              <w:t>информации</w:t>
            </w:r>
            <w:r w:rsidRPr="004D7191">
              <w:rPr>
                <w:rFonts w:hAnsi="Garamond"/>
              </w:rPr>
              <w:t xml:space="preserve"> </w:t>
            </w:r>
            <w:r w:rsidRPr="004D7191">
              <w:rPr>
                <w:rFonts w:hAnsi="Garamond"/>
              </w:rPr>
              <w:t>на</w:t>
            </w:r>
            <w:r w:rsidRPr="004D7191">
              <w:rPr>
                <w:rFonts w:hAnsi="Garamond"/>
                <w:lang w:val="en-US"/>
              </w:rPr>
              <w:t> </w:t>
            </w:r>
            <w:r w:rsidRPr="004D7191">
              <w:rPr>
                <w:rFonts w:hAnsi="Garamond"/>
              </w:rPr>
              <w:t>программном</w:t>
            </w:r>
            <w:r w:rsidRPr="004D7191">
              <w:rPr>
                <w:rFonts w:hAnsi="Garamond"/>
              </w:rPr>
              <w:t xml:space="preserve"> </w:t>
            </w:r>
            <w:r w:rsidRPr="004D7191">
              <w:rPr>
                <w:rFonts w:hAnsi="Garamond"/>
              </w:rPr>
              <w:t>уровне</w:t>
            </w:r>
            <w:r w:rsidRPr="004D7191">
              <w:rPr>
                <w:rFonts w:hAnsi="Garamond"/>
              </w:rPr>
              <w:t xml:space="preserve"> </w:t>
            </w:r>
            <w:r w:rsidRPr="004D7191">
              <w:rPr>
                <w:rFonts w:hAnsi="Garamond"/>
              </w:rPr>
              <w:t>при</w:t>
            </w:r>
            <w:r w:rsidRPr="004D7191">
              <w:rPr>
                <w:rFonts w:hAnsi="Garamond"/>
                <w:lang w:val="en-US"/>
              </w:rPr>
              <w:t> </w:t>
            </w:r>
            <w:r w:rsidRPr="004D7191">
              <w:rPr>
                <w:rFonts w:hAnsi="Garamond"/>
              </w:rPr>
              <w:t>параметрировании</w:t>
            </w:r>
            <w:r w:rsidRPr="004D7191">
              <w:rPr>
                <w:rFonts w:hAnsi="Garamond"/>
              </w:rPr>
              <w:t xml:space="preserve"> </w:t>
            </w:r>
            <w:r w:rsidRPr="004D7191">
              <w:rPr>
                <w:rFonts w:hAnsi="Garamond"/>
              </w:rPr>
              <w:t>–</w:t>
            </w:r>
            <w:r w:rsidRPr="004D7191">
              <w:rPr>
                <w:rFonts w:hAnsi="Garamond"/>
              </w:rPr>
              <w:t xml:space="preserve"> </w:t>
            </w:r>
            <w:r w:rsidRPr="004D7191">
              <w:rPr>
                <w:rFonts w:hAnsi="Garamond"/>
              </w:rPr>
              <w:t>установка</w:t>
            </w:r>
            <w:r w:rsidRPr="004D7191">
              <w:rPr>
                <w:rFonts w:hAnsi="Garamond"/>
              </w:rPr>
              <w:t xml:space="preserve"> </w:t>
            </w:r>
            <w:r w:rsidRPr="004D7191">
              <w:rPr>
                <w:rFonts w:hAnsi="Garamond"/>
              </w:rPr>
              <w:t>пароля</w:t>
            </w:r>
            <w:r w:rsidRPr="004D7191">
              <w:rPr>
                <w:rFonts w:hAnsi="Garamond"/>
              </w:rPr>
              <w:t xml:space="preserve"> </w:t>
            </w:r>
            <w:r w:rsidRPr="004D7191">
              <w:rPr>
                <w:rFonts w:hAnsi="Garamond"/>
              </w:rPr>
              <w:t>на</w:t>
            </w:r>
            <w:r w:rsidRPr="004D7191">
              <w:rPr>
                <w:rFonts w:hAnsi="Garamond"/>
              </w:rPr>
              <w:t xml:space="preserve"> </w:t>
            </w:r>
            <w:r w:rsidRPr="004D7191">
              <w:rPr>
                <w:rFonts w:hAnsi="Garamond"/>
              </w:rPr>
              <w:t>сервер</w:t>
            </w:r>
          </w:p>
        </w:tc>
        <w:tc>
          <w:tcPr>
            <w:tcW w:w="102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3155C6A" w14:textId="77777777" w:rsidR="004B3B82" w:rsidRDefault="004B3B82" w:rsidP="00CD3B05">
            <w:pPr>
              <w:jc w:val="center"/>
            </w:pPr>
          </w:p>
        </w:tc>
        <w:tc>
          <w:tcPr>
            <w:tcW w:w="9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586FE04" w14:textId="77777777" w:rsidR="004B3B82" w:rsidRDefault="004B3B82" w:rsidP="00CD3B05">
            <w:pPr>
              <w:jc w:val="center"/>
            </w:pPr>
          </w:p>
        </w:tc>
        <w:tc>
          <w:tcPr>
            <w:tcW w:w="8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6CBB014" w14:textId="77777777" w:rsidR="004B3B82" w:rsidRDefault="004B3B82" w:rsidP="00CD3B05">
            <w:pPr>
              <w:jc w:val="center"/>
            </w:pPr>
            <w:r w:rsidRPr="004D7191">
              <w:rPr>
                <w:rFonts w:hAnsi="Garamond"/>
              </w:rPr>
              <w:t>Да</w:t>
            </w:r>
          </w:p>
        </w:tc>
        <w:tc>
          <w:tcPr>
            <w:tcW w:w="74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F2EB3D4" w14:textId="77777777" w:rsidR="004B3B82" w:rsidRDefault="004B3B82" w:rsidP="00CD3B05">
            <w:pPr>
              <w:jc w:val="center"/>
            </w:pPr>
            <w:r w:rsidRPr="004D7191">
              <w:rPr>
                <w:rFonts w:hAnsi="Garamond"/>
              </w:rPr>
              <w:t>Да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DB58735" w14:textId="77777777" w:rsidR="004B3B82" w:rsidRDefault="004B3B82" w:rsidP="00CD3B05">
            <w:pPr>
              <w:jc w:val="center"/>
            </w:pPr>
          </w:p>
        </w:tc>
        <w:tc>
          <w:tcPr>
            <w:tcW w:w="10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810E921" w14:textId="77777777" w:rsidR="004B3B82" w:rsidRDefault="004B3B82" w:rsidP="00CD3B05">
            <w:pPr>
              <w:jc w:val="center"/>
            </w:pPr>
          </w:p>
        </w:tc>
      </w:tr>
      <w:tr w:rsidR="004B3B82" w14:paraId="439312C6" w14:textId="77777777" w:rsidTr="00CD3B05">
        <w:trPr>
          <w:trHeight w:val="406"/>
        </w:trPr>
        <w:tc>
          <w:tcPr>
            <w:tcW w:w="5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6E16DF2" w14:textId="77777777" w:rsidR="004B3B82" w:rsidRPr="006F22AB" w:rsidRDefault="004B3B82" w:rsidP="00CD3B05">
            <w:pPr>
              <w:jc w:val="center"/>
              <w:rPr>
                <w:rFonts w:ascii="Garamond" w:hAnsi="Garamond"/>
              </w:rPr>
            </w:pP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143BD92" w14:textId="77777777" w:rsidR="004B3B82" w:rsidRDefault="004B3B82" w:rsidP="00CD3B05"/>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ECC7005" w14:textId="77777777" w:rsidR="004B3B82" w:rsidRDefault="004B3B82" w:rsidP="00CD3B05">
            <w:r>
              <w:rPr>
                <w:rFonts w:ascii="Garamond"/>
                <w:b/>
                <w:bCs/>
              </w:rPr>
              <w:t>2</w:t>
            </w:r>
            <w:r w:rsidRPr="004D7191">
              <w:rPr>
                <w:rFonts w:ascii="Garamond"/>
                <w:b/>
                <w:bCs/>
              </w:rPr>
              <w:t xml:space="preserve">. </w:t>
            </w:r>
            <w:r w:rsidRPr="004D7191">
              <w:rPr>
                <w:rFonts w:hAnsi="Garamond"/>
                <w:b/>
                <w:bCs/>
              </w:rPr>
              <w:t>ФУНКЦИОНАЛЬНАЯ</w:t>
            </w:r>
            <w:r w:rsidRPr="004D7191">
              <w:rPr>
                <w:rFonts w:hAnsi="Garamond"/>
                <w:b/>
                <w:bCs/>
              </w:rPr>
              <w:t xml:space="preserve"> </w:t>
            </w:r>
            <w:r w:rsidRPr="004D7191">
              <w:rPr>
                <w:rFonts w:hAnsi="Garamond"/>
                <w:b/>
                <w:bCs/>
              </w:rPr>
              <w:t>ПОЛНОТА</w:t>
            </w:r>
          </w:p>
        </w:tc>
        <w:tc>
          <w:tcPr>
            <w:tcW w:w="102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3F22B75" w14:textId="77777777" w:rsidR="004B3B82" w:rsidRDefault="004B3B82" w:rsidP="00CD3B05">
            <w:pPr>
              <w:jc w:val="center"/>
            </w:pPr>
          </w:p>
        </w:tc>
        <w:tc>
          <w:tcPr>
            <w:tcW w:w="9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C7A17D3" w14:textId="77777777" w:rsidR="004B3B82" w:rsidRDefault="004B3B82" w:rsidP="00CD3B05">
            <w:pPr>
              <w:jc w:val="center"/>
            </w:pPr>
          </w:p>
        </w:tc>
        <w:tc>
          <w:tcPr>
            <w:tcW w:w="8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2F0B7EA" w14:textId="77777777" w:rsidR="004B3B82" w:rsidRDefault="004B3B82" w:rsidP="00CD3B05">
            <w:pPr>
              <w:jc w:val="center"/>
            </w:pPr>
          </w:p>
        </w:tc>
        <w:tc>
          <w:tcPr>
            <w:tcW w:w="74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7CC8A09" w14:textId="77777777" w:rsidR="004B3B82" w:rsidRDefault="004B3B82" w:rsidP="00CD3B05">
            <w:pPr>
              <w:jc w:val="center"/>
            </w:pP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CD8690B" w14:textId="77777777" w:rsidR="004B3B82" w:rsidRDefault="004B3B82" w:rsidP="00CD3B05">
            <w:pPr>
              <w:jc w:val="center"/>
            </w:pPr>
          </w:p>
        </w:tc>
        <w:tc>
          <w:tcPr>
            <w:tcW w:w="10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5428271" w14:textId="77777777" w:rsidR="004B3B82" w:rsidRDefault="004B3B82" w:rsidP="00CD3B05">
            <w:pPr>
              <w:jc w:val="center"/>
            </w:pPr>
          </w:p>
        </w:tc>
      </w:tr>
      <w:tr w:rsidR="004B3B82" w14:paraId="14A34895" w14:textId="77777777" w:rsidTr="00CD3B05">
        <w:trPr>
          <w:trHeight w:val="461"/>
        </w:trPr>
        <w:tc>
          <w:tcPr>
            <w:tcW w:w="5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C441B14" w14:textId="77777777" w:rsidR="004B3B82" w:rsidRPr="00200E4D" w:rsidRDefault="004B3B82" w:rsidP="00CD3B05">
            <w:pPr>
              <w:jc w:val="center"/>
              <w:rPr>
                <w:rFonts w:ascii="Garamond" w:hAnsi="Garamond"/>
              </w:rPr>
            </w:pPr>
            <w:r>
              <w:rPr>
                <w:rFonts w:ascii="Garamond" w:hAnsi="Garamond"/>
              </w:rPr>
              <w:t>4</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BCFD6B5" w14:textId="77777777" w:rsidR="004B3B82" w:rsidRPr="00200E4D" w:rsidRDefault="004B3B82" w:rsidP="00CD3B05">
            <w:pPr>
              <w:jc w:val="center"/>
            </w:pPr>
            <w:r w:rsidRPr="00200E4D">
              <w:rPr>
                <w:rFonts w:hAnsi="Garamond"/>
              </w:rPr>
              <w:t>П</w:t>
            </w:r>
            <w:r w:rsidRPr="00200E4D">
              <w:rPr>
                <w:rFonts w:hAnsi="Garamond"/>
                <w:vertAlign w:val="subscript"/>
              </w:rPr>
              <w:t>Ф</w:t>
            </w:r>
            <w:r w:rsidRPr="00200E4D">
              <w:rPr>
                <w:rFonts w:ascii="Garamond"/>
                <w:vertAlign w:val="subscript"/>
              </w:rPr>
              <w:t>2</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F6CD51D" w14:textId="77777777" w:rsidR="004B3B82" w:rsidRPr="00200E4D" w:rsidRDefault="004B3B82" w:rsidP="00CD3B05">
            <w:pPr>
              <w:ind w:left="34"/>
            </w:pPr>
            <w:r w:rsidRPr="00200E4D">
              <w:rPr>
                <w:rFonts w:hAnsi="Garamond"/>
              </w:rPr>
              <w:t>Измерение</w:t>
            </w:r>
            <w:r w:rsidRPr="00200E4D">
              <w:rPr>
                <w:rFonts w:hAnsi="Garamond"/>
              </w:rPr>
              <w:t xml:space="preserve"> </w:t>
            </w:r>
            <w:r w:rsidRPr="00200E4D">
              <w:rPr>
                <w:rFonts w:hAnsi="Garamond"/>
              </w:rPr>
              <w:t>приращений</w:t>
            </w:r>
            <w:r w:rsidRPr="00200E4D">
              <w:rPr>
                <w:rFonts w:hAnsi="Garamond"/>
              </w:rPr>
              <w:t xml:space="preserve"> </w:t>
            </w:r>
            <w:r w:rsidRPr="00200E4D">
              <w:rPr>
                <w:rFonts w:hAnsi="Garamond"/>
              </w:rPr>
              <w:t>электроэнергии</w:t>
            </w:r>
          </w:p>
        </w:tc>
        <w:tc>
          <w:tcPr>
            <w:tcW w:w="102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D38A0F0" w14:textId="77777777" w:rsidR="004B3B82" w:rsidRPr="00200E4D" w:rsidRDefault="004B3B82" w:rsidP="00CD3B05">
            <w:pPr>
              <w:jc w:val="center"/>
            </w:pPr>
            <w:r w:rsidRPr="00200E4D">
              <w:rPr>
                <w:rFonts w:hAnsi="Garamond"/>
              </w:rPr>
              <w:t>Да</w:t>
            </w:r>
          </w:p>
        </w:tc>
        <w:tc>
          <w:tcPr>
            <w:tcW w:w="9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082E424" w14:textId="77777777" w:rsidR="004B3B82" w:rsidRPr="00200E4D" w:rsidRDefault="004B3B82" w:rsidP="00CD3B05">
            <w:pPr>
              <w:jc w:val="center"/>
            </w:pPr>
            <w:r w:rsidRPr="00200E4D">
              <w:rPr>
                <w:rFonts w:hAnsi="Garamond"/>
              </w:rPr>
              <w:t>Да</w:t>
            </w:r>
          </w:p>
        </w:tc>
        <w:tc>
          <w:tcPr>
            <w:tcW w:w="8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8770175" w14:textId="77777777" w:rsidR="004B3B82" w:rsidRPr="00200E4D" w:rsidRDefault="004B3B82" w:rsidP="00CD3B05">
            <w:pPr>
              <w:jc w:val="center"/>
            </w:pPr>
          </w:p>
        </w:tc>
        <w:tc>
          <w:tcPr>
            <w:tcW w:w="74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87FD12C" w14:textId="77777777" w:rsidR="004B3B82" w:rsidRDefault="004B3B82" w:rsidP="00CD3B05">
            <w:pPr>
              <w:jc w:val="center"/>
            </w:pP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A8885DD" w14:textId="77777777" w:rsidR="004B3B82" w:rsidRDefault="004B3B82" w:rsidP="00CD3B05">
            <w:pPr>
              <w:jc w:val="center"/>
            </w:pPr>
          </w:p>
        </w:tc>
        <w:tc>
          <w:tcPr>
            <w:tcW w:w="10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28432F2" w14:textId="77777777" w:rsidR="004B3B82" w:rsidRDefault="004B3B82" w:rsidP="00CD3B05">
            <w:pPr>
              <w:jc w:val="center"/>
            </w:pPr>
          </w:p>
        </w:tc>
      </w:tr>
      <w:tr w:rsidR="004B3B82" w14:paraId="118A7ECF" w14:textId="77777777" w:rsidTr="00CD3B05">
        <w:trPr>
          <w:trHeight w:val="371"/>
        </w:trPr>
        <w:tc>
          <w:tcPr>
            <w:tcW w:w="5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724275D" w14:textId="77777777" w:rsidR="004B3B82" w:rsidRPr="006F22AB" w:rsidRDefault="004B3B82" w:rsidP="00CD3B05">
            <w:pPr>
              <w:jc w:val="center"/>
              <w:rPr>
                <w:rFonts w:ascii="Garamond" w:hAnsi="Garamond"/>
              </w:rPr>
            </w:pPr>
            <w:r>
              <w:rPr>
                <w:rFonts w:ascii="Garamond" w:hAnsi="Garamond"/>
              </w:rPr>
              <w:t>5</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106ED35" w14:textId="77777777" w:rsidR="004B3B82" w:rsidRDefault="004B3B82" w:rsidP="00CD3B05">
            <w:pPr>
              <w:jc w:val="center"/>
            </w:pPr>
            <w:r w:rsidRPr="004D7191">
              <w:rPr>
                <w:rFonts w:hAnsi="Garamond"/>
              </w:rPr>
              <w:t>П</w:t>
            </w:r>
            <w:r w:rsidRPr="004D7191">
              <w:rPr>
                <w:rFonts w:hAnsi="Garamond"/>
                <w:vertAlign w:val="subscript"/>
              </w:rPr>
              <w:t>Ф</w:t>
            </w:r>
            <w:r w:rsidRPr="004D7191">
              <w:rPr>
                <w:rFonts w:ascii="Garamond"/>
                <w:vertAlign w:val="subscript"/>
              </w:rPr>
              <w:t>4</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1C6DC9A" w14:textId="77777777" w:rsidR="004B3B82" w:rsidRPr="006E3BEB" w:rsidRDefault="004B3B82" w:rsidP="00CD3B05">
            <w:pPr>
              <w:ind w:left="34"/>
            </w:pPr>
            <w:r w:rsidRPr="006E3BEB">
              <w:rPr>
                <w:rFonts w:hAnsi="Garamond"/>
              </w:rPr>
              <w:t>Измерение</w:t>
            </w:r>
            <w:r w:rsidRPr="006E3BEB">
              <w:rPr>
                <w:rFonts w:hAnsi="Garamond"/>
              </w:rPr>
              <w:t xml:space="preserve"> </w:t>
            </w:r>
            <w:r w:rsidRPr="006E3BEB">
              <w:rPr>
                <w:rFonts w:hAnsi="Garamond"/>
              </w:rPr>
              <w:t>времени</w:t>
            </w:r>
            <w:r w:rsidRPr="006E3BEB">
              <w:rPr>
                <w:rFonts w:hAnsi="Garamond"/>
              </w:rPr>
              <w:t xml:space="preserve"> </w:t>
            </w:r>
            <w:r w:rsidRPr="006E3BEB">
              <w:rPr>
                <w:rFonts w:hAnsi="Garamond"/>
              </w:rPr>
              <w:t>и</w:t>
            </w:r>
            <w:r w:rsidRPr="006E3BEB">
              <w:rPr>
                <w:rFonts w:hAnsi="Garamond"/>
              </w:rPr>
              <w:t xml:space="preserve"> </w:t>
            </w:r>
            <w:r w:rsidRPr="006E3BEB">
              <w:rPr>
                <w:rFonts w:hAnsi="Garamond"/>
              </w:rPr>
              <w:t>интервалов</w:t>
            </w:r>
            <w:r w:rsidRPr="006E3BEB">
              <w:rPr>
                <w:rFonts w:hAnsi="Garamond"/>
              </w:rPr>
              <w:t xml:space="preserve"> </w:t>
            </w:r>
            <w:r w:rsidRPr="006E3BEB">
              <w:rPr>
                <w:rFonts w:hAnsi="Garamond"/>
              </w:rPr>
              <w:t>времени</w:t>
            </w:r>
          </w:p>
        </w:tc>
        <w:tc>
          <w:tcPr>
            <w:tcW w:w="102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509CB52" w14:textId="77777777" w:rsidR="004B3B82" w:rsidRPr="006E3BEB" w:rsidRDefault="004B3B82" w:rsidP="00CD3B05">
            <w:pPr>
              <w:jc w:val="center"/>
            </w:pPr>
            <w:r w:rsidRPr="006E3BEB">
              <w:rPr>
                <w:rFonts w:hAnsi="Garamond"/>
              </w:rPr>
              <w:t>Да</w:t>
            </w:r>
            <w:r w:rsidRPr="006E3BEB">
              <w:rPr>
                <w:rFonts w:hAnsi="Garamond"/>
              </w:rPr>
              <w:t xml:space="preserve"> </w:t>
            </w:r>
            <w:r w:rsidRPr="006E3BEB">
              <w:rPr>
                <w:rFonts w:ascii="Garamond" w:hAnsi="Garamond"/>
              </w:rPr>
              <w:t>(см. примечание)</w:t>
            </w:r>
          </w:p>
        </w:tc>
        <w:tc>
          <w:tcPr>
            <w:tcW w:w="9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3C9FEA7" w14:textId="77777777" w:rsidR="004B3B82" w:rsidRPr="006E3BEB" w:rsidRDefault="004B3B82" w:rsidP="00CD3B05">
            <w:pPr>
              <w:jc w:val="center"/>
            </w:pPr>
          </w:p>
        </w:tc>
        <w:tc>
          <w:tcPr>
            <w:tcW w:w="8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73B1BCB" w14:textId="77777777" w:rsidR="004B3B82" w:rsidRDefault="004B3B82" w:rsidP="00CD3B05">
            <w:pPr>
              <w:jc w:val="center"/>
            </w:pPr>
          </w:p>
        </w:tc>
        <w:tc>
          <w:tcPr>
            <w:tcW w:w="74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1A60D64" w14:textId="77777777" w:rsidR="004B3B82" w:rsidRDefault="004B3B82" w:rsidP="00CD3B05">
            <w:pPr>
              <w:jc w:val="center"/>
            </w:pP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A5C9C95" w14:textId="77777777" w:rsidR="004B3B82" w:rsidRDefault="004B3B82" w:rsidP="00CD3B05">
            <w:pPr>
              <w:jc w:val="center"/>
            </w:pPr>
          </w:p>
        </w:tc>
        <w:tc>
          <w:tcPr>
            <w:tcW w:w="10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DEFBF4C" w14:textId="77777777" w:rsidR="004B3B82" w:rsidRDefault="004B3B82" w:rsidP="00CD3B05">
            <w:pPr>
              <w:jc w:val="center"/>
            </w:pPr>
          </w:p>
        </w:tc>
      </w:tr>
      <w:tr w:rsidR="004B3B82" w14:paraId="5819E78D" w14:textId="77777777" w:rsidTr="00CD3B05">
        <w:trPr>
          <w:trHeight w:val="295"/>
        </w:trPr>
        <w:tc>
          <w:tcPr>
            <w:tcW w:w="5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92F8785" w14:textId="77777777" w:rsidR="004B3B82" w:rsidRPr="006F22AB" w:rsidRDefault="004B3B82" w:rsidP="00CD3B05">
            <w:pPr>
              <w:jc w:val="center"/>
              <w:rPr>
                <w:rFonts w:ascii="Garamond" w:hAnsi="Garamond"/>
              </w:rPr>
            </w:pPr>
            <w:r>
              <w:rPr>
                <w:rFonts w:ascii="Garamond" w:hAnsi="Garamond"/>
              </w:rPr>
              <w:t>6</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F6EB541" w14:textId="77777777" w:rsidR="004B3B82" w:rsidRDefault="004B3B82" w:rsidP="00CD3B05">
            <w:pPr>
              <w:jc w:val="center"/>
            </w:pPr>
            <w:r w:rsidRPr="004D7191">
              <w:rPr>
                <w:rFonts w:hAnsi="Garamond"/>
              </w:rPr>
              <w:t>П</w:t>
            </w:r>
            <w:r w:rsidRPr="004D7191">
              <w:rPr>
                <w:rFonts w:hAnsi="Garamond"/>
                <w:vertAlign w:val="subscript"/>
              </w:rPr>
              <w:t>Ф</w:t>
            </w:r>
            <w:r w:rsidRPr="004D7191">
              <w:rPr>
                <w:rFonts w:ascii="Garamond"/>
                <w:vertAlign w:val="subscript"/>
              </w:rPr>
              <w:t>7</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52C8ACE" w14:textId="77777777" w:rsidR="004B3B82" w:rsidRDefault="004B3B82" w:rsidP="00CD3B05">
            <w:pPr>
              <w:ind w:left="34"/>
            </w:pPr>
            <w:r w:rsidRPr="004D7191">
              <w:rPr>
                <w:rFonts w:hAnsi="Garamond"/>
              </w:rPr>
              <w:t>Допустимый</w:t>
            </w:r>
            <w:r w:rsidRPr="004D7191">
              <w:rPr>
                <w:rFonts w:hAnsi="Garamond"/>
              </w:rPr>
              <w:t xml:space="preserve"> </w:t>
            </w:r>
            <w:r w:rsidRPr="004D7191">
              <w:rPr>
                <w:rFonts w:hAnsi="Garamond"/>
              </w:rPr>
              <w:t>класс</w:t>
            </w:r>
            <w:r w:rsidRPr="004D7191">
              <w:rPr>
                <w:rFonts w:hAnsi="Garamond"/>
              </w:rPr>
              <w:t xml:space="preserve"> </w:t>
            </w:r>
            <w:r w:rsidRPr="004D7191">
              <w:rPr>
                <w:rFonts w:hAnsi="Garamond"/>
              </w:rPr>
              <w:t>точности</w:t>
            </w:r>
            <w:r w:rsidRPr="004D7191">
              <w:rPr>
                <w:rFonts w:hAnsi="Garamond"/>
              </w:rPr>
              <w:t xml:space="preserve"> </w:t>
            </w:r>
            <w:r w:rsidRPr="004D7191">
              <w:rPr>
                <w:rFonts w:hAnsi="Garamond"/>
              </w:rPr>
              <w:t>трансформаторов</w:t>
            </w:r>
            <w:r w:rsidRPr="004D7191">
              <w:rPr>
                <w:rFonts w:hAnsi="Garamond"/>
              </w:rPr>
              <w:t xml:space="preserve"> </w:t>
            </w:r>
            <w:r w:rsidRPr="004D7191">
              <w:rPr>
                <w:rFonts w:hAnsi="Garamond"/>
              </w:rPr>
              <w:t>тока</w:t>
            </w:r>
          </w:p>
        </w:tc>
        <w:tc>
          <w:tcPr>
            <w:tcW w:w="102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8D5D4FB" w14:textId="77777777" w:rsidR="004B3B82" w:rsidRDefault="004B3B82" w:rsidP="00CD3B05">
            <w:pPr>
              <w:jc w:val="center"/>
            </w:pPr>
            <w:r w:rsidRPr="004D7191">
              <w:rPr>
                <w:rFonts w:hAnsi="Garamond"/>
              </w:rPr>
              <w:t>Да</w:t>
            </w:r>
          </w:p>
        </w:tc>
        <w:tc>
          <w:tcPr>
            <w:tcW w:w="9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E587A5A" w14:textId="77777777" w:rsidR="004B3B82" w:rsidRDefault="004B3B82" w:rsidP="00CD3B05">
            <w:pPr>
              <w:jc w:val="center"/>
            </w:pPr>
          </w:p>
        </w:tc>
        <w:tc>
          <w:tcPr>
            <w:tcW w:w="8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35A8805" w14:textId="77777777" w:rsidR="004B3B82" w:rsidRDefault="004B3B82" w:rsidP="00CD3B05">
            <w:pPr>
              <w:jc w:val="center"/>
            </w:pPr>
          </w:p>
        </w:tc>
        <w:tc>
          <w:tcPr>
            <w:tcW w:w="74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320D992" w14:textId="77777777" w:rsidR="004B3B82" w:rsidRDefault="004B3B82" w:rsidP="00CD3B05">
            <w:pPr>
              <w:jc w:val="center"/>
            </w:pP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E4780E4" w14:textId="77777777" w:rsidR="004B3B82" w:rsidRDefault="004B3B82" w:rsidP="00CD3B05">
            <w:pPr>
              <w:jc w:val="center"/>
            </w:pPr>
          </w:p>
        </w:tc>
        <w:tc>
          <w:tcPr>
            <w:tcW w:w="10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8289646" w14:textId="77777777" w:rsidR="004B3B82" w:rsidRDefault="004B3B82" w:rsidP="00CD3B05">
            <w:pPr>
              <w:jc w:val="center"/>
            </w:pPr>
          </w:p>
        </w:tc>
      </w:tr>
      <w:tr w:rsidR="004B3B82" w14:paraId="20A4C590" w14:textId="77777777" w:rsidTr="00CD3B05">
        <w:trPr>
          <w:trHeight w:val="490"/>
        </w:trPr>
        <w:tc>
          <w:tcPr>
            <w:tcW w:w="5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4D4EA2E" w14:textId="77777777" w:rsidR="004B3B82" w:rsidRPr="006F22AB" w:rsidRDefault="004B3B82" w:rsidP="00CD3B05">
            <w:pPr>
              <w:jc w:val="center"/>
              <w:rPr>
                <w:rFonts w:ascii="Garamond" w:hAnsi="Garamond"/>
              </w:rPr>
            </w:pPr>
            <w:r>
              <w:rPr>
                <w:rFonts w:ascii="Garamond" w:hAnsi="Garamond"/>
              </w:rPr>
              <w:t>7</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728DE60" w14:textId="77777777" w:rsidR="004B3B82" w:rsidRDefault="004B3B82" w:rsidP="00CD3B05">
            <w:pPr>
              <w:jc w:val="center"/>
            </w:pPr>
            <w:r w:rsidRPr="004D7191">
              <w:rPr>
                <w:rFonts w:hAnsi="Garamond"/>
              </w:rPr>
              <w:t>П</w:t>
            </w:r>
            <w:r w:rsidRPr="004D7191">
              <w:rPr>
                <w:rFonts w:hAnsi="Garamond"/>
                <w:vertAlign w:val="subscript"/>
              </w:rPr>
              <w:t>Ф</w:t>
            </w:r>
            <w:r w:rsidRPr="004D7191">
              <w:rPr>
                <w:rFonts w:ascii="Garamond"/>
                <w:vertAlign w:val="subscript"/>
              </w:rPr>
              <w:t>8</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E7BF7F" w14:textId="77777777" w:rsidR="004B3B82" w:rsidRDefault="004B3B82" w:rsidP="00CD3B05">
            <w:pPr>
              <w:ind w:left="34"/>
            </w:pPr>
            <w:r w:rsidRPr="004D7191">
              <w:rPr>
                <w:rFonts w:hAnsi="Garamond"/>
              </w:rPr>
              <w:t>Допустимый</w:t>
            </w:r>
            <w:r w:rsidRPr="004D7191">
              <w:rPr>
                <w:rFonts w:hAnsi="Garamond"/>
              </w:rPr>
              <w:t xml:space="preserve"> </w:t>
            </w:r>
            <w:r w:rsidRPr="004D7191">
              <w:rPr>
                <w:rFonts w:hAnsi="Garamond"/>
              </w:rPr>
              <w:t>класс</w:t>
            </w:r>
            <w:r w:rsidRPr="004D7191">
              <w:rPr>
                <w:rFonts w:hAnsi="Garamond"/>
              </w:rPr>
              <w:t xml:space="preserve"> </w:t>
            </w:r>
            <w:r w:rsidRPr="004D7191">
              <w:rPr>
                <w:rFonts w:hAnsi="Garamond"/>
              </w:rPr>
              <w:t>точности</w:t>
            </w:r>
            <w:r w:rsidRPr="004D7191">
              <w:rPr>
                <w:rFonts w:hAnsi="Garamond"/>
              </w:rPr>
              <w:t xml:space="preserve"> </w:t>
            </w:r>
            <w:r w:rsidRPr="004D7191">
              <w:rPr>
                <w:rFonts w:hAnsi="Garamond"/>
              </w:rPr>
              <w:t>трансформаторов</w:t>
            </w:r>
            <w:r w:rsidRPr="004D7191">
              <w:rPr>
                <w:rFonts w:hAnsi="Garamond"/>
              </w:rPr>
              <w:t xml:space="preserve"> </w:t>
            </w:r>
            <w:r w:rsidRPr="004D7191">
              <w:rPr>
                <w:rFonts w:hAnsi="Garamond"/>
              </w:rPr>
              <w:t>напряжения</w:t>
            </w:r>
          </w:p>
        </w:tc>
        <w:tc>
          <w:tcPr>
            <w:tcW w:w="102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6AA54F0" w14:textId="77777777" w:rsidR="004B3B82" w:rsidRDefault="004B3B82" w:rsidP="00CD3B05">
            <w:pPr>
              <w:jc w:val="center"/>
            </w:pPr>
            <w:r w:rsidRPr="004D7191">
              <w:rPr>
                <w:rFonts w:hAnsi="Garamond"/>
              </w:rPr>
              <w:t>Да</w:t>
            </w:r>
          </w:p>
        </w:tc>
        <w:tc>
          <w:tcPr>
            <w:tcW w:w="9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F8940F2" w14:textId="77777777" w:rsidR="004B3B82" w:rsidRDefault="004B3B82" w:rsidP="00CD3B05">
            <w:pPr>
              <w:jc w:val="center"/>
            </w:pPr>
          </w:p>
        </w:tc>
        <w:tc>
          <w:tcPr>
            <w:tcW w:w="8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F8D61DF" w14:textId="77777777" w:rsidR="004B3B82" w:rsidRDefault="004B3B82" w:rsidP="00CD3B05">
            <w:pPr>
              <w:jc w:val="center"/>
            </w:pPr>
          </w:p>
        </w:tc>
        <w:tc>
          <w:tcPr>
            <w:tcW w:w="74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DF09FAC" w14:textId="77777777" w:rsidR="004B3B82" w:rsidRDefault="004B3B82" w:rsidP="00CD3B05">
            <w:pPr>
              <w:jc w:val="center"/>
            </w:pP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32A6666" w14:textId="77777777" w:rsidR="004B3B82" w:rsidRDefault="004B3B82" w:rsidP="00CD3B05">
            <w:pPr>
              <w:jc w:val="center"/>
            </w:pPr>
          </w:p>
        </w:tc>
        <w:tc>
          <w:tcPr>
            <w:tcW w:w="10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CA71386" w14:textId="77777777" w:rsidR="004B3B82" w:rsidRDefault="004B3B82" w:rsidP="00CD3B05">
            <w:pPr>
              <w:jc w:val="center"/>
            </w:pPr>
          </w:p>
        </w:tc>
      </w:tr>
      <w:tr w:rsidR="004B3B82" w14:paraId="6C674182" w14:textId="77777777" w:rsidTr="00CD3B05">
        <w:trPr>
          <w:trHeight w:val="490"/>
        </w:trPr>
        <w:tc>
          <w:tcPr>
            <w:tcW w:w="5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C3BDC88" w14:textId="77777777" w:rsidR="004B3B82" w:rsidRPr="006F22AB" w:rsidRDefault="004B3B82" w:rsidP="00CD3B05">
            <w:pPr>
              <w:jc w:val="center"/>
              <w:rPr>
                <w:rFonts w:ascii="Garamond" w:hAnsi="Garamond"/>
              </w:rPr>
            </w:pPr>
            <w:r>
              <w:rPr>
                <w:rFonts w:ascii="Garamond" w:hAnsi="Garamond"/>
              </w:rPr>
              <w:t>8</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F884896" w14:textId="77777777" w:rsidR="004B3B82" w:rsidRDefault="004B3B82" w:rsidP="00CD3B05">
            <w:pPr>
              <w:jc w:val="center"/>
            </w:pPr>
            <w:r w:rsidRPr="004D7191">
              <w:rPr>
                <w:rFonts w:hAnsi="Garamond"/>
              </w:rPr>
              <w:t>П</w:t>
            </w:r>
            <w:r w:rsidRPr="004D7191">
              <w:rPr>
                <w:rFonts w:hAnsi="Garamond"/>
                <w:vertAlign w:val="subscript"/>
              </w:rPr>
              <w:t>Ф</w:t>
            </w:r>
            <w:r w:rsidRPr="004D7191">
              <w:rPr>
                <w:rFonts w:ascii="Garamond"/>
                <w:vertAlign w:val="subscript"/>
              </w:rPr>
              <w:t>9</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A559402" w14:textId="77777777" w:rsidR="004B3B82" w:rsidRDefault="004B3B82" w:rsidP="00CD3B05">
            <w:pPr>
              <w:ind w:left="34"/>
            </w:pPr>
            <w:r w:rsidRPr="004D7191">
              <w:rPr>
                <w:rFonts w:hAnsi="Garamond"/>
              </w:rPr>
              <w:t>Допустимый</w:t>
            </w:r>
            <w:r w:rsidRPr="004D7191">
              <w:rPr>
                <w:rFonts w:hAnsi="Garamond"/>
              </w:rPr>
              <w:t xml:space="preserve"> </w:t>
            </w:r>
            <w:r w:rsidRPr="004D7191">
              <w:rPr>
                <w:rFonts w:hAnsi="Garamond"/>
              </w:rPr>
              <w:t>класс</w:t>
            </w:r>
            <w:r w:rsidRPr="004D7191">
              <w:rPr>
                <w:rFonts w:hAnsi="Garamond"/>
              </w:rPr>
              <w:t xml:space="preserve"> </w:t>
            </w:r>
            <w:r w:rsidRPr="004D7191">
              <w:rPr>
                <w:rFonts w:hAnsi="Garamond"/>
              </w:rPr>
              <w:t>точности</w:t>
            </w:r>
            <w:r w:rsidRPr="004D7191">
              <w:rPr>
                <w:rFonts w:hAnsi="Garamond"/>
              </w:rPr>
              <w:t xml:space="preserve"> </w:t>
            </w:r>
            <w:r w:rsidRPr="00B83154">
              <w:rPr>
                <w:rFonts w:hAnsi="Garamond"/>
                <w:highlight w:val="yellow"/>
              </w:rPr>
              <w:t>электросчетчиков</w:t>
            </w:r>
          </w:p>
        </w:tc>
        <w:tc>
          <w:tcPr>
            <w:tcW w:w="102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01BF1B0" w14:textId="77777777" w:rsidR="004B3B82" w:rsidRDefault="004B3B82" w:rsidP="00CD3B05">
            <w:pPr>
              <w:jc w:val="center"/>
            </w:pPr>
            <w:r w:rsidRPr="004D7191">
              <w:rPr>
                <w:rFonts w:hAnsi="Garamond"/>
              </w:rPr>
              <w:t>Да</w:t>
            </w:r>
          </w:p>
        </w:tc>
        <w:tc>
          <w:tcPr>
            <w:tcW w:w="9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B13A210" w14:textId="77777777" w:rsidR="004B3B82" w:rsidRDefault="004B3B82" w:rsidP="00CD3B05">
            <w:pPr>
              <w:jc w:val="center"/>
            </w:pPr>
            <w:r w:rsidRPr="004D7191">
              <w:rPr>
                <w:rFonts w:hAnsi="Garamond"/>
              </w:rPr>
              <w:t>Да</w:t>
            </w:r>
          </w:p>
        </w:tc>
        <w:tc>
          <w:tcPr>
            <w:tcW w:w="8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B3D1156" w14:textId="77777777" w:rsidR="004B3B82" w:rsidRDefault="004B3B82" w:rsidP="00CD3B05">
            <w:pPr>
              <w:jc w:val="center"/>
            </w:pPr>
          </w:p>
        </w:tc>
        <w:tc>
          <w:tcPr>
            <w:tcW w:w="74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0CEEA16" w14:textId="77777777" w:rsidR="004B3B82" w:rsidRDefault="004B3B82" w:rsidP="00CD3B05">
            <w:pPr>
              <w:jc w:val="center"/>
            </w:pP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CF6F94E" w14:textId="77777777" w:rsidR="004B3B82" w:rsidRDefault="004B3B82" w:rsidP="00CD3B05">
            <w:pPr>
              <w:jc w:val="center"/>
            </w:pPr>
          </w:p>
        </w:tc>
        <w:tc>
          <w:tcPr>
            <w:tcW w:w="10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9C6D85D" w14:textId="77777777" w:rsidR="004B3B82" w:rsidRDefault="004B3B82" w:rsidP="00CD3B05">
            <w:pPr>
              <w:jc w:val="center"/>
            </w:pPr>
          </w:p>
        </w:tc>
      </w:tr>
      <w:tr w:rsidR="004B3B82" w14:paraId="2DD3C918" w14:textId="77777777" w:rsidTr="00CD3B05">
        <w:trPr>
          <w:trHeight w:val="490"/>
        </w:trPr>
        <w:tc>
          <w:tcPr>
            <w:tcW w:w="5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04918F4" w14:textId="77777777" w:rsidR="004B3B82" w:rsidRPr="006F22AB" w:rsidRDefault="004B3B82" w:rsidP="00CD3B05">
            <w:pPr>
              <w:jc w:val="center"/>
              <w:rPr>
                <w:rFonts w:ascii="Garamond" w:hAnsi="Garamond"/>
              </w:rPr>
            </w:pPr>
            <w:r>
              <w:rPr>
                <w:rFonts w:ascii="Garamond" w:hAnsi="Garamond"/>
              </w:rPr>
              <w:t>9</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F4F24E1" w14:textId="77777777" w:rsidR="004B3B82" w:rsidRDefault="004B3B82" w:rsidP="00CD3B05">
            <w:pPr>
              <w:jc w:val="center"/>
            </w:pPr>
            <w:r w:rsidRPr="004D7191">
              <w:rPr>
                <w:rFonts w:hAnsi="Garamond"/>
              </w:rPr>
              <w:t>П</w:t>
            </w:r>
            <w:r w:rsidRPr="004D7191">
              <w:rPr>
                <w:rFonts w:hAnsi="Garamond"/>
                <w:vertAlign w:val="subscript"/>
              </w:rPr>
              <w:t>Ф</w:t>
            </w:r>
            <w:r w:rsidRPr="004D7191">
              <w:rPr>
                <w:rFonts w:ascii="Garamond"/>
                <w:vertAlign w:val="subscript"/>
              </w:rPr>
              <w:t>10</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A469638" w14:textId="77777777" w:rsidR="004B3B82" w:rsidRDefault="004B3B82" w:rsidP="00CD3B05">
            <w:pPr>
              <w:ind w:left="34"/>
            </w:pPr>
            <w:r w:rsidRPr="004D7191">
              <w:rPr>
                <w:rFonts w:hAnsi="Garamond"/>
              </w:rPr>
              <w:t>Коррекция</w:t>
            </w:r>
            <w:r w:rsidRPr="004D7191">
              <w:rPr>
                <w:rFonts w:ascii="Garamond"/>
              </w:rPr>
              <w:t>/</w:t>
            </w:r>
            <w:r w:rsidRPr="004D7191">
              <w:rPr>
                <w:rFonts w:hAnsi="Garamond"/>
              </w:rPr>
              <w:t>синхронизация</w:t>
            </w:r>
            <w:r w:rsidRPr="004D7191">
              <w:rPr>
                <w:rFonts w:hAnsi="Garamond"/>
              </w:rPr>
              <w:t xml:space="preserve"> </w:t>
            </w:r>
            <w:r w:rsidRPr="004D7191">
              <w:rPr>
                <w:rFonts w:hAnsi="Garamond"/>
              </w:rPr>
              <w:t>времени</w:t>
            </w:r>
            <w:r w:rsidRPr="004D7191">
              <w:rPr>
                <w:rFonts w:hAnsi="Garamond"/>
              </w:rPr>
              <w:t xml:space="preserve"> </w:t>
            </w:r>
            <w:r w:rsidRPr="004D7191">
              <w:rPr>
                <w:rFonts w:hAnsi="Garamond"/>
              </w:rPr>
              <w:t>в</w:t>
            </w:r>
            <w:r w:rsidRPr="004D7191">
              <w:rPr>
                <w:rFonts w:hAnsi="Garamond"/>
              </w:rPr>
              <w:t xml:space="preserve"> </w:t>
            </w:r>
            <w:r w:rsidRPr="004D7191">
              <w:rPr>
                <w:rFonts w:hAnsi="Garamond"/>
              </w:rPr>
              <w:t>ИИК</w:t>
            </w:r>
            <w:r w:rsidRPr="004D7191">
              <w:rPr>
                <w:rFonts w:ascii="Garamond"/>
              </w:rPr>
              <w:t xml:space="preserve">, </w:t>
            </w:r>
            <w:r w:rsidRPr="004D7191">
              <w:rPr>
                <w:rFonts w:hAnsi="Garamond"/>
              </w:rPr>
              <w:t>ИВКЭ</w:t>
            </w:r>
            <w:r w:rsidRPr="004D7191">
              <w:rPr>
                <w:rFonts w:hAnsi="Garamond"/>
              </w:rPr>
              <w:t xml:space="preserve"> </w:t>
            </w:r>
            <w:r w:rsidRPr="004D7191">
              <w:rPr>
                <w:rFonts w:hAnsi="Garamond"/>
              </w:rPr>
              <w:t>и</w:t>
            </w:r>
            <w:r w:rsidRPr="004D7191">
              <w:rPr>
                <w:rFonts w:hAnsi="Garamond"/>
              </w:rPr>
              <w:t xml:space="preserve"> </w:t>
            </w:r>
            <w:r w:rsidRPr="004D7191">
              <w:rPr>
                <w:rFonts w:hAnsi="Garamond"/>
              </w:rPr>
              <w:t>ИВК</w:t>
            </w:r>
          </w:p>
        </w:tc>
        <w:tc>
          <w:tcPr>
            <w:tcW w:w="102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0FDAAF3" w14:textId="77777777" w:rsidR="004B3B82" w:rsidRDefault="004B3B82" w:rsidP="00CD3B05">
            <w:pPr>
              <w:jc w:val="center"/>
            </w:pPr>
          </w:p>
        </w:tc>
        <w:tc>
          <w:tcPr>
            <w:tcW w:w="9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E94067D" w14:textId="77777777" w:rsidR="004B3B82" w:rsidRDefault="004B3B82" w:rsidP="00CD3B05">
            <w:pPr>
              <w:jc w:val="center"/>
            </w:pPr>
          </w:p>
        </w:tc>
        <w:tc>
          <w:tcPr>
            <w:tcW w:w="8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FC9DDEC" w14:textId="77777777" w:rsidR="004B3B82" w:rsidRDefault="004B3B82" w:rsidP="00CD3B05">
            <w:pPr>
              <w:jc w:val="center"/>
            </w:pPr>
            <w:r w:rsidRPr="004D7191">
              <w:rPr>
                <w:rFonts w:hAnsi="Garamond"/>
              </w:rPr>
              <w:t>Да</w:t>
            </w:r>
          </w:p>
        </w:tc>
        <w:tc>
          <w:tcPr>
            <w:tcW w:w="74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E5391E2" w14:textId="77777777" w:rsidR="004B3B82" w:rsidRDefault="004B3B82" w:rsidP="00CD3B05">
            <w:pPr>
              <w:jc w:val="center"/>
            </w:pPr>
            <w:r w:rsidRPr="004D7191">
              <w:rPr>
                <w:rFonts w:hAnsi="Garamond"/>
              </w:rPr>
              <w:t>Да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7105B59" w14:textId="77777777" w:rsidR="004B3B82" w:rsidRDefault="004B3B82" w:rsidP="00CD3B05">
            <w:pPr>
              <w:jc w:val="center"/>
            </w:pPr>
          </w:p>
        </w:tc>
        <w:tc>
          <w:tcPr>
            <w:tcW w:w="10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98D53C7" w14:textId="77777777" w:rsidR="004B3B82" w:rsidRDefault="004B3B82" w:rsidP="00CD3B05">
            <w:pPr>
              <w:jc w:val="center"/>
            </w:pPr>
          </w:p>
        </w:tc>
      </w:tr>
      <w:tr w:rsidR="004B3B82" w14:paraId="5F3D92F5" w14:textId="77777777" w:rsidTr="00CD3B05">
        <w:trPr>
          <w:trHeight w:val="490"/>
        </w:trPr>
        <w:tc>
          <w:tcPr>
            <w:tcW w:w="5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0D6625B" w14:textId="77777777" w:rsidR="004B3B82" w:rsidRPr="006F22AB" w:rsidRDefault="004B3B82" w:rsidP="00CD3B05">
            <w:pPr>
              <w:jc w:val="center"/>
              <w:rPr>
                <w:rFonts w:ascii="Garamond" w:hAnsi="Garamond"/>
              </w:rPr>
            </w:pPr>
            <w:r>
              <w:rPr>
                <w:rFonts w:ascii="Garamond" w:hAnsi="Garamond"/>
              </w:rPr>
              <w:t>10</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B87FF39" w14:textId="77777777" w:rsidR="004B3B82" w:rsidRDefault="004B3B82" w:rsidP="00CD3B05">
            <w:pPr>
              <w:jc w:val="center"/>
            </w:pPr>
            <w:r w:rsidRPr="004D7191">
              <w:rPr>
                <w:rFonts w:hAnsi="Garamond"/>
              </w:rPr>
              <w:t>П</w:t>
            </w:r>
            <w:r w:rsidRPr="004D7191">
              <w:rPr>
                <w:rFonts w:hAnsi="Garamond"/>
                <w:vertAlign w:val="subscript"/>
              </w:rPr>
              <w:t>Ф</w:t>
            </w:r>
            <w:r w:rsidRPr="004D7191">
              <w:rPr>
                <w:rFonts w:ascii="Garamond"/>
                <w:vertAlign w:val="subscript"/>
              </w:rPr>
              <w:t>11</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B56F019" w14:textId="77777777" w:rsidR="004B3B82" w:rsidRDefault="004B3B82" w:rsidP="00CD3B05">
            <w:pPr>
              <w:ind w:left="34"/>
            </w:pPr>
            <w:r w:rsidRPr="004D7191">
              <w:rPr>
                <w:rFonts w:hAnsi="Garamond"/>
              </w:rPr>
              <w:t>Сбор</w:t>
            </w:r>
            <w:r w:rsidRPr="004D7191">
              <w:rPr>
                <w:rFonts w:hAnsi="Garamond"/>
              </w:rPr>
              <w:t xml:space="preserve"> </w:t>
            </w:r>
            <w:r w:rsidRPr="004D7191">
              <w:rPr>
                <w:rFonts w:hAnsi="Garamond"/>
              </w:rPr>
              <w:t>информации</w:t>
            </w:r>
            <w:r w:rsidRPr="004D7191">
              <w:rPr>
                <w:rFonts w:hAnsi="Garamond"/>
              </w:rPr>
              <w:t xml:space="preserve"> </w:t>
            </w:r>
            <w:r w:rsidRPr="004D7191">
              <w:rPr>
                <w:rFonts w:hAnsi="Garamond"/>
              </w:rPr>
              <w:t>о</w:t>
            </w:r>
            <w:r w:rsidRPr="004D7191">
              <w:rPr>
                <w:rFonts w:hAnsi="Garamond"/>
              </w:rPr>
              <w:t xml:space="preserve"> </w:t>
            </w:r>
            <w:r w:rsidRPr="004D7191">
              <w:rPr>
                <w:rFonts w:hAnsi="Garamond"/>
              </w:rPr>
              <w:t>состояниях</w:t>
            </w:r>
            <w:r w:rsidRPr="004D7191">
              <w:rPr>
                <w:rFonts w:hAnsi="Garamond"/>
              </w:rPr>
              <w:t xml:space="preserve"> </w:t>
            </w:r>
            <w:r w:rsidRPr="004D7191">
              <w:rPr>
                <w:rFonts w:hAnsi="Garamond"/>
              </w:rPr>
              <w:t>средств</w:t>
            </w:r>
            <w:r w:rsidRPr="004D7191">
              <w:rPr>
                <w:rFonts w:hAnsi="Garamond"/>
              </w:rPr>
              <w:t xml:space="preserve"> </w:t>
            </w:r>
            <w:r w:rsidRPr="004D7191">
              <w:rPr>
                <w:rFonts w:hAnsi="Garamond"/>
              </w:rPr>
              <w:t>измерений</w:t>
            </w:r>
          </w:p>
        </w:tc>
        <w:tc>
          <w:tcPr>
            <w:tcW w:w="102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145A002" w14:textId="77777777" w:rsidR="004B3B82" w:rsidRDefault="004B3B82" w:rsidP="00CD3B05">
            <w:pPr>
              <w:jc w:val="center"/>
            </w:pPr>
          </w:p>
        </w:tc>
        <w:tc>
          <w:tcPr>
            <w:tcW w:w="9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7185E05" w14:textId="77777777" w:rsidR="004B3B82" w:rsidRDefault="004B3B82" w:rsidP="00CD3B05">
            <w:pPr>
              <w:jc w:val="center"/>
            </w:pPr>
          </w:p>
        </w:tc>
        <w:tc>
          <w:tcPr>
            <w:tcW w:w="8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CDBB1DF" w14:textId="77777777" w:rsidR="004B3B82" w:rsidRDefault="004B3B82" w:rsidP="00CD3B05">
            <w:pPr>
              <w:jc w:val="center"/>
            </w:pPr>
            <w:r w:rsidRPr="004D7191">
              <w:rPr>
                <w:rFonts w:hAnsi="Garamond"/>
              </w:rPr>
              <w:t>Да</w:t>
            </w:r>
          </w:p>
        </w:tc>
        <w:tc>
          <w:tcPr>
            <w:tcW w:w="74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3437980" w14:textId="77777777" w:rsidR="004B3B82" w:rsidRDefault="004B3B82" w:rsidP="00CD3B05">
            <w:pPr>
              <w:jc w:val="center"/>
            </w:pPr>
            <w:r w:rsidRPr="004D7191">
              <w:rPr>
                <w:rFonts w:hAnsi="Garamond"/>
              </w:rPr>
              <w:t>Да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E98F3E6" w14:textId="77777777" w:rsidR="004B3B82" w:rsidRDefault="004B3B82" w:rsidP="00CD3B05">
            <w:pPr>
              <w:jc w:val="center"/>
            </w:pPr>
          </w:p>
        </w:tc>
        <w:tc>
          <w:tcPr>
            <w:tcW w:w="10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CD19493" w14:textId="77777777" w:rsidR="004B3B82" w:rsidRDefault="004B3B82" w:rsidP="00CD3B05">
            <w:pPr>
              <w:jc w:val="center"/>
            </w:pPr>
          </w:p>
        </w:tc>
      </w:tr>
      <w:tr w:rsidR="004B3B82" w14:paraId="11A000B2" w14:textId="77777777" w:rsidTr="00CD3B05">
        <w:trPr>
          <w:trHeight w:val="250"/>
        </w:trPr>
        <w:tc>
          <w:tcPr>
            <w:tcW w:w="5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83BACC0" w14:textId="77777777" w:rsidR="004B3B82" w:rsidRPr="006F22AB" w:rsidRDefault="004B3B82" w:rsidP="00CD3B05">
            <w:pPr>
              <w:jc w:val="center"/>
              <w:rPr>
                <w:rFonts w:ascii="Garamond" w:hAnsi="Garamond"/>
              </w:rPr>
            </w:pPr>
            <w:r w:rsidRPr="006F22AB">
              <w:rPr>
                <w:rFonts w:ascii="Garamond" w:hAnsi="Garamond"/>
              </w:rPr>
              <w:t>1</w:t>
            </w:r>
            <w:r>
              <w:rPr>
                <w:rFonts w:ascii="Garamond" w:hAnsi="Garamond"/>
              </w:rPr>
              <w:t>1</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45F233C" w14:textId="77777777" w:rsidR="004B3B82" w:rsidRDefault="004B3B82" w:rsidP="00CD3B05">
            <w:pPr>
              <w:jc w:val="center"/>
            </w:pPr>
            <w:r w:rsidRPr="004D7191">
              <w:rPr>
                <w:rFonts w:hAnsi="Garamond"/>
              </w:rPr>
              <w:t>П</w:t>
            </w:r>
            <w:r w:rsidRPr="004D7191">
              <w:rPr>
                <w:rFonts w:hAnsi="Garamond"/>
                <w:vertAlign w:val="subscript"/>
              </w:rPr>
              <w:t>Ф</w:t>
            </w:r>
            <w:r w:rsidRPr="004D7191">
              <w:rPr>
                <w:rFonts w:ascii="Garamond"/>
                <w:vertAlign w:val="subscript"/>
              </w:rPr>
              <w:t>13</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0D77456" w14:textId="77777777" w:rsidR="004B3B82" w:rsidRDefault="004B3B82" w:rsidP="00CD3B05">
            <w:pPr>
              <w:ind w:left="34"/>
            </w:pPr>
            <w:r w:rsidRPr="004D7191">
              <w:rPr>
                <w:rFonts w:hAnsi="Garamond"/>
              </w:rPr>
              <w:t>Сбор</w:t>
            </w:r>
            <w:r w:rsidRPr="004D7191">
              <w:rPr>
                <w:rFonts w:hAnsi="Garamond"/>
              </w:rPr>
              <w:t xml:space="preserve"> </w:t>
            </w:r>
            <w:r w:rsidRPr="004D7191">
              <w:rPr>
                <w:rFonts w:hAnsi="Garamond"/>
              </w:rPr>
              <w:t>результатов</w:t>
            </w:r>
            <w:r w:rsidRPr="004D7191">
              <w:rPr>
                <w:rFonts w:hAnsi="Garamond"/>
              </w:rPr>
              <w:t xml:space="preserve"> </w:t>
            </w:r>
            <w:r w:rsidRPr="004D7191">
              <w:rPr>
                <w:rFonts w:hAnsi="Garamond"/>
              </w:rPr>
              <w:t>измерений</w:t>
            </w:r>
          </w:p>
        </w:tc>
        <w:tc>
          <w:tcPr>
            <w:tcW w:w="102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496E247" w14:textId="77777777" w:rsidR="004B3B82" w:rsidRDefault="004B3B82" w:rsidP="00CD3B05">
            <w:pPr>
              <w:jc w:val="center"/>
            </w:pPr>
          </w:p>
        </w:tc>
        <w:tc>
          <w:tcPr>
            <w:tcW w:w="9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B73B23B" w14:textId="77777777" w:rsidR="004B3B82" w:rsidRDefault="004B3B82" w:rsidP="00CD3B05">
            <w:pPr>
              <w:jc w:val="center"/>
            </w:pPr>
          </w:p>
        </w:tc>
        <w:tc>
          <w:tcPr>
            <w:tcW w:w="8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08965C4" w14:textId="77777777" w:rsidR="004B3B82" w:rsidRDefault="004B3B82" w:rsidP="00CD3B05">
            <w:pPr>
              <w:jc w:val="center"/>
            </w:pPr>
            <w:r w:rsidRPr="004D7191">
              <w:rPr>
                <w:rFonts w:hAnsi="Garamond"/>
              </w:rPr>
              <w:t>Да</w:t>
            </w:r>
          </w:p>
        </w:tc>
        <w:tc>
          <w:tcPr>
            <w:tcW w:w="74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211CBFF" w14:textId="77777777" w:rsidR="004B3B82" w:rsidRDefault="004B3B82" w:rsidP="00CD3B05">
            <w:pPr>
              <w:jc w:val="center"/>
            </w:pPr>
            <w:r w:rsidRPr="004D7191">
              <w:rPr>
                <w:rFonts w:hAnsi="Garamond"/>
              </w:rPr>
              <w:t>Да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FCBCD87" w14:textId="77777777" w:rsidR="004B3B82" w:rsidRDefault="004B3B82" w:rsidP="00CD3B05">
            <w:pPr>
              <w:jc w:val="center"/>
            </w:pPr>
          </w:p>
        </w:tc>
        <w:tc>
          <w:tcPr>
            <w:tcW w:w="10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8989BDA" w14:textId="77777777" w:rsidR="004B3B82" w:rsidRDefault="004B3B82" w:rsidP="00CD3B05">
            <w:pPr>
              <w:jc w:val="center"/>
            </w:pPr>
          </w:p>
        </w:tc>
      </w:tr>
      <w:tr w:rsidR="004B3B82" w14:paraId="0934D1AB" w14:textId="77777777" w:rsidTr="00CD3B05">
        <w:trPr>
          <w:trHeight w:val="531"/>
        </w:trPr>
        <w:tc>
          <w:tcPr>
            <w:tcW w:w="5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24761F0" w14:textId="77777777" w:rsidR="004B3B82" w:rsidRPr="006F22AB" w:rsidRDefault="004B3B82" w:rsidP="00CD3B05">
            <w:pPr>
              <w:jc w:val="center"/>
              <w:rPr>
                <w:rFonts w:ascii="Garamond" w:hAnsi="Garamond"/>
              </w:rPr>
            </w:pPr>
            <w:r w:rsidRPr="006F22AB">
              <w:rPr>
                <w:rFonts w:ascii="Garamond" w:hAnsi="Garamond"/>
              </w:rPr>
              <w:t>1</w:t>
            </w:r>
            <w:r>
              <w:rPr>
                <w:rFonts w:ascii="Garamond" w:hAnsi="Garamond"/>
              </w:rPr>
              <w:t>2</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78513A5" w14:textId="77777777" w:rsidR="004B3B82" w:rsidRDefault="004B3B82" w:rsidP="00CD3B05">
            <w:pPr>
              <w:jc w:val="center"/>
            </w:pPr>
            <w:r w:rsidRPr="004D7191">
              <w:rPr>
                <w:rFonts w:hAnsi="Garamond"/>
              </w:rPr>
              <w:t>П</w:t>
            </w:r>
            <w:r w:rsidRPr="004D7191">
              <w:rPr>
                <w:rFonts w:hAnsi="Garamond"/>
                <w:vertAlign w:val="subscript"/>
              </w:rPr>
              <w:t>Ф</w:t>
            </w:r>
            <w:r w:rsidRPr="004D7191">
              <w:rPr>
                <w:rFonts w:ascii="Garamond"/>
                <w:vertAlign w:val="subscript"/>
              </w:rPr>
              <w:t>16</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4F8A84" w14:textId="77777777" w:rsidR="004B3B82" w:rsidRDefault="004B3B82" w:rsidP="00CD3B05">
            <w:pPr>
              <w:ind w:left="34"/>
            </w:pPr>
            <w:r w:rsidRPr="004D7191">
              <w:rPr>
                <w:rFonts w:hAnsi="Garamond"/>
              </w:rPr>
              <w:t>Цикличность</w:t>
            </w:r>
            <w:r w:rsidRPr="004D7191">
              <w:rPr>
                <w:rFonts w:hAnsi="Garamond"/>
              </w:rPr>
              <w:t xml:space="preserve"> </w:t>
            </w:r>
            <w:r w:rsidRPr="004D7191">
              <w:rPr>
                <w:rFonts w:hAnsi="Garamond"/>
              </w:rPr>
              <w:t>измерений</w:t>
            </w:r>
            <w:r w:rsidRPr="004D7191">
              <w:rPr>
                <w:rFonts w:hAnsi="Garamond"/>
              </w:rPr>
              <w:t xml:space="preserve"> </w:t>
            </w:r>
            <w:r w:rsidRPr="004D7191">
              <w:rPr>
                <w:rFonts w:hAnsi="Garamond"/>
              </w:rPr>
              <w:t>приращений</w:t>
            </w:r>
            <w:r w:rsidRPr="004D7191">
              <w:rPr>
                <w:rFonts w:hAnsi="Garamond"/>
              </w:rPr>
              <w:t xml:space="preserve"> </w:t>
            </w:r>
            <w:r w:rsidRPr="004D7191">
              <w:rPr>
                <w:rFonts w:hAnsi="Garamond"/>
              </w:rPr>
              <w:t>электроэнергии</w:t>
            </w:r>
            <w:r w:rsidRPr="004D7191">
              <w:rPr>
                <w:rFonts w:hAnsi="Garamond"/>
              </w:rPr>
              <w:t xml:space="preserve"> </w:t>
            </w:r>
            <w:r w:rsidRPr="004D7191">
              <w:rPr>
                <w:rFonts w:hAnsi="Garamond"/>
              </w:rPr>
              <w:t>–</w:t>
            </w:r>
            <w:r w:rsidRPr="004D7191">
              <w:rPr>
                <w:rFonts w:hAnsi="Garamond"/>
              </w:rPr>
              <w:t xml:space="preserve"> </w:t>
            </w:r>
            <w:r w:rsidRPr="004D7191">
              <w:rPr>
                <w:rFonts w:ascii="Garamond"/>
              </w:rPr>
              <w:t xml:space="preserve">30 </w:t>
            </w:r>
            <w:r w:rsidRPr="004D7191">
              <w:rPr>
                <w:rFonts w:hAnsi="Garamond"/>
              </w:rPr>
              <w:t>минут</w:t>
            </w:r>
          </w:p>
        </w:tc>
        <w:tc>
          <w:tcPr>
            <w:tcW w:w="102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181C12C" w14:textId="77777777" w:rsidR="004B3B82" w:rsidRDefault="004B3B82" w:rsidP="00CD3B05">
            <w:pPr>
              <w:jc w:val="center"/>
            </w:pPr>
          </w:p>
        </w:tc>
        <w:tc>
          <w:tcPr>
            <w:tcW w:w="9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9DC78F3" w14:textId="77777777" w:rsidR="004B3B82" w:rsidRDefault="004B3B82" w:rsidP="00CD3B05">
            <w:pPr>
              <w:jc w:val="center"/>
            </w:pPr>
          </w:p>
        </w:tc>
        <w:tc>
          <w:tcPr>
            <w:tcW w:w="8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A18AC16" w14:textId="77777777" w:rsidR="004B3B82" w:rsidRDefault="004B3B82" w:rsidP="00CD3B05">
            <w:pPr>
              <w:jc w:val="center"/>
            </w:pPr>
            <w:r w:rsidRPr="004D7191">
              <w:rPr>
                <w:rFonts w:hAnsi="Garamond"/>
              </w:rPr>
              <w:t>Да</w:t>
            </w:r>
          </w:p>
        </w:tc>
        <w:tc>
          <w:tcPr>
            <w:tcW w:w="74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F8EAF78" w14:textId="77777777" w:rsidR="004B3B82" w:rsidRDefault="004B3B82" w:rsidP="00CD3B05">
            <w:pPr>
              <w:jc w:val="center"/>
            </w:pPr>
            <w:r w:rsidRPr="004D7191">
              <w:rPr>
                <w:rFonts w:hAnsi="Garamond"/>
              </w:rPr>
              <w:t>Да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FEE6284" w14:textId="77777777" w:rsidR="004B3B82" w:rsidRDefault="004B3B82" w:rsidP="00CD3B05">
            <w:pPr>
              <w:jc w:val="center"/>
            </w:pPr>
          </w:p>
        </w:tc>
        <w:tc>
          <w:tcPr>
            <w:tcW w:w="10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7462636" w14:textId="77777777" w:rsidR="004B3B82" w:rsidRDefault="004B3B82" w:rsidP="00CD3B05">
            <w:pPr>
              <w:jc w:val="center"/>
            </w:pPr>
          </w:p>
        </w:tc>
      </w:tr>
      <w:tr w:rsidR="004B3B82" w14:paraId="297DC736" w14:textId="77777777" w:rsidTr="00CD3B05">
        <w:trPr>
          <w:trHeight w:val="490"/>
        </w:trPr>
        <w:tc>
          <w:tcPr>
            <w:tcW w:w="5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A5C3DC0" w14:textId="77777777" w:rsidR="004B3B82" w:rsidRPr="006F22AB" w:rsidRDefault="004B3B82" w:rsidP="00CD3B05">
            <w:pPr>
              <w:jc w:val="center"/>
              <w:rPr>
                <w:rFonts w:ascii="Garamond" w:hAnsi="Garamond"/>
              </w:rPr>
            </w:pPr>
            <w:r w:rsidRPr="006F22AB">
              <w:rPr>
                <w:rFonts w:ascii="Garamond" w:hAnsi="Garamond"/>
              </w:rPr>
              <w:t>1</w:t>
            </w:r>
            <w:r>
              <w:rPr>
                <w:rFonts w:ascii="Garamond" w:hAnsi="Garamond"/>
              </w:rPr>
              <w:t>3</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FB9C42B" w14:textId="77777777" w:rsidR="004B3B82" w:rsidRPr="007B5E5A" w:rsidRDefault="004B3B82" w:rsidP="00CD3B05">
            <w:pPr>
              <w:jc w:val="center"/>
            </w:pPr>
            <w:r w:rsidRPr="007B5E5A">
              <w:rPr>
                <w:rFonts w:hAnsi="Garamond"/>
              </w:rPr>
              <w:t>П</w:t>
            </w:r>
            <w:r w:rsidRPr="007B5E5A">
              <w:rPr>
                <w:rFonts w:hAnsi="Garamond"/>
                <w:vertAlign w:val="subscript"/>
              </w:rPr>
              <w:t>Ф</w:t>
            </w:r>
            <w:r w:rsidRPr="007B5E5A">
              <w:rPr>
                <w:rFonts w:ascii="Garamond"/>
                <w:vertAlign w:val="subscript"/>
              </w:rPr>
              <w:t>24</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4A78229" w14:textId="77777777" w:rsidR="004B3B82" w:rsidRPr="007B5E5A" w:rsidRDefault="004B3B82" w:rsidP="00CD3B05">
            <w:pPr>
              <w:ind w:left="34"/>
            </w:pPr>
            <w:r w:rsidRPr="007B5E5A">
              <w:rPr>
                <w:rFonts w:hAnsi="Garamond"/>
              </w:rPr>
              <w:t>Цикличность</w:t>
            </w:r>
            <w:r w:rsidRPr="007B5E5A">
              <w:rPr>
                <w:rFonts w:hAnsi="Garamond"/>
              </w:rPr>
              <w:t xml:space="preserve"> </w:t>
            </w:r>
            <w:r w:rsidRPr="007B5E5A">
              <w:rPr>
                <w:rFonts w:hAnsi="Garamond"/>
              </w:rPr>
              <w:t>сбора</w:t>
            </w:r>
            <w:r w:rsidRPr="007B5E5A">
              <w:rPr>
                <w:rFonts w:hAnsi="Garamond"/>
              </w:rPr>
              <w:t xml:space="preserve"> </w:t>
            </w:r>
            <w:r w:rsidRPr="007B5E5A">
              <w:rPr>
                <w:rFonts w:hAnsi="Garamond"/>
              </w:rPr>
              <w:t>информации</w:t>
            </w:r>
            <w:r w:rsidRPr="007B5E5A">
              <w:rPr>
                <w:rFonts w:hAnsi="Garamond"/>
              </w:rPr>
              <w:t xml:space="preserve"> </w:t>
            </w:r>
            <w:r w:rsidRPr="007B5E5A">
              <w:rPr>
                <w:rFonts w:hAnsi="Garamond"/>
              </w:rPr>
              <w:t>–</w:t>
            </w:r>
            <w:r w:rsidRPr="007B5E5A">
              <w:rPr>
                <w:rFonts w:hAnsi="Garamond"/>
              </w:rPr>
              <w:t xml:space="preserve"> </w:t>
            </w:r>
            <w:r w:rsidRPr="007B5E5A">
              <w:rPr>
                <w:rFonts w:ascii="Garamond"/>
              </w:rPr>
              <w:t xml:space="preserve">1 </w:t>
            </w:r>
            <w:r w:rsidRPr="007B5E5A">
              <w:rPr>
                <w:rFonts w:hAnsi="Garamond"/>
              </w:rPr>
              <w:t>раз</w:t>
            </w:r>
            <w:r w:rsidRPr="007B5E5A">
              <w:rPr>
                <w:rFonts w:hAnsi="Garamond"/>
              </w:rPr>
              <w:t xml:space="preserve"> </w:t>
            </w:r>
            <w:r w:rsidRPr="007B5E5A">
              <w:rPr>
                <w:rFonts w:hAnsi="Garamond"/>
              </w:rPr>
              <w:t>в</w:t>
            </w:r>
            <w:r w:rsidRPr="007B5E5A">
              <w:rPr>
                <w:rFonts w:hAnsi="Garamond"/>
              </w:rPr>
              <w:t xml:space="preserve"> </w:t>
            </w:r>
            <w:r w:rsidRPr="007B5E5A">
              <w:rPr>
                <w:rFonts w:hAnsi="Garamond"/>
              </w:rPr>
              <w:t>сутки</w:t>
            </w:r>
          </w:p>
        </w:tc>
        <w:tc>
          <w:tcPr>
            <w:tcW w:w="102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9391EE2" w14:textId="77777777" w:rsidR="004B3B82" w:rsidRPr="007B5E5A" w:rsidRDefault="004B3B82" w:rsidP="00CD3B05">
            <w:pPr>
              <w:jc w:val="center"/>
            </w:pPr>
          </w:p>
        </w:tc>
        <w:tc>
          <w:tcPr>
            <w:tcW w:w="9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F62A296" w14:textId="77777777" w:rsidR="004B3B82" w:rsidRPr="007B5E5A" w:rsidRDefault="004B3B82" w:rsidP="00CD3B05">
            <w:pPr>
              <w:jc w:val="center"/>
            </w:pPr>
          </w:p>
        </w:tc>
        <w:tc>
          <w:tcPr>
            <w:tcW w:w="8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6043034" w14:textId="77777777" w:rsidR="004B3B82" w:rsidRPr="007B5E5A" w:rsidRDefault="004B3B82" w:rsidP="00CD3B05">
            <w:pPr>
              <w:jc w:val="center"/>
            </w:pPr>
            <w:r w:rsidRPr="007B5E5A">
              <w:rPr>
                <w:rFonts w:hAnsi="Garamond"/>
              </w:rPr>
              <w:t>Да</w:t>
            </w:r>
          </w:p>
        </w:tc>
        <w:tc>
          <w:tcPr>
            <w:tcW w:w="74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9BA2152" w14:textId="77777777" w:rsidR="004B3B82" w:rsidRPr="007B5E5A" w:rsidRDefault="004B3B82" w:rsidP="00CD3B05">
            <w:pPr>
              <w:jc w:val="center"/>
            </w:pPr>
            <w:r w:rsidRPr="007B5E5A">
              <w:rPr>
                <w:rFonts w:hAnsi="Garamond"/>
              </w:rPr>
              <w:t>Да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49D05F5" w14:textId="77777777" w:rsidR="004B3B82" w:rsidRPr="007B5E5A" w:rsidRDefault="004B3B82" w:rsidP="00CD3B05">
            <w:pPr>
              <w:jc w:val="center"/>
            </w:pPr>
          </w:p>
        </w:tc>
        <w:tc>
          <w:tcPr>
            <w:tcW w:w="10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6FA4033" w14:textId="77777777" w:rsidR="004B3B82" w:rsidRDefault="004B3B82" w:rsidP="00CD3B05">
            <w:pPr>
              <w:jc w:val="center"/>
            </w:pPr>
          </w:p>
        </w:tc>
      </w:tr>
      <w:tr w:rsidR="004B3B82" w14:paraId="0BD2AF09" w14:textId="77777777" w:rsidTr="00CD3B05">
        <w:trPr>
          <w:trHeight w:val="490"/>
        </w:trPr>
        <w:tc>
          <w:tcPr>
            <w:tcW w:w="5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9501E8F" w14:textId="77777777" w:rsidR="004B3B82" w:rsidRPr="006F22AB" w:rsidRDefault="004B3B82" w:rsidP="00CD3B05">
            <w:pPr>
              <w:jc w:val="center"/>
              <w:rPr>
                <w:rFonts w:ascii="Garamond" w:hAnsi="Garamond"/>
              </w:rPr>
            </w:pPr>
            <w:r w:rsidRPr="006F22AB">
              <w:rPr>
                <w:rFonts w:ascii="Garamond" w:hAnsi="Garamond"/>
              </w:rPr>
              <w:t>1</w:t>
            </w:r>
            <w:r>
              <w:rPr>
                <w:rFonts w:ascii="Garamond" w:hAnsi="Garamond"/>
              </w:rPr>
              <w:t>4</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1B139C6" w14:textId="77777777" w:rsidR="004B3B82" w:rsidRPr="007B5E5A" w:rsidRDefault="004B3B82" w:rsidP="00CD3B05">
            <w:pPr>
              <w:jc w:val="center"/>
            </w:pPr>
            <w:r w:rsidRPr="007B5E5A">
              <w:rPr>
                <w:rFonts w:ascii="Garamond"/>
              </w:rPr>
              <w:t>П</w:t>
            </w:r>
            <w:r w:rsidRPr="007B5E5A">
              <w:rPr>
                <w:rFonts w:ascii="Garamond"/>
                <w:vertAlign w:val="subscript"/>
              </w:rPr>
              <w:t>Ф</w:t>
            </w:r>
            <w:r w:rsidRPr="007B5E5A">
              <w:rPr>
                <w:rFonts w:ascii="Garamond"/>
                <w:vertAlign w:val="subscript"/>
              </w:rPr>
              <w:t>28</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7025B5D" w14:textId="77777777" w:rsidR="004B3B82" w:rsidRPr="007B5E5A" w:rsidRDefault="004B3B82" w:rsidP="00CD3B05">
            <w:pPr>
              <w:ind w:left="34"/>
            </w:pPr>
            <w:r w:rsidRPr="0057513B">
              <w:rPr>
                <w:rFonts w:hAnsi="Garamond"/>
                <w:bCs/>
              </w:rPr>
              <w:t>Предоставление</w:t>
            </w:r>
            <w:r w:rsidRPr="0057513B">
              <w:rPr>
                <w:rFonts w:hAnsi="Garamond"/>
                <w:bCs/>
              </w:rPr>
              <w:t xml:space="preserve"> </w:t>
            </w:r>
            <w:r w:rsidRPr="0057513B">
              <w:rPr>
                <w:rFonts w:hAnsi="Garamond"/>
                <w:bCs/>
              </w:rPr>
              <w:t>в</w:t>
            </w:r>
            <w:r w:rsidRPr="0057513B">
              <w:rPr>
                <w:rFonts w:hAnsi="Garamond"/>
                <w:bCs/>
              </w:rPr>
              <w:t xml:space="preserve"> </w:t>
            </w:r>
            <w:r w:rsidRPr="0057513B">
              <w:rPr>
                <w:rFonts w:hAnsi="Garamond"/>
                <w:bCs/>
              </w:rPr>
              <w:t>ПАК</w:t>
            </w:r>
            <w:r w:rsidRPr="0057513B">
              <w:rPr>
                <w:rFonts w:hAnsi="Garamond"/>
                <w:bCs/>
              </w:rPr>
              <w:t xml:space="preserve"> </w:t>
            </w:r>
            <w:r w:rsidRPr="0057513B">
              <w:rPr>
                <w:rFonts w:hAnsi="Garamond"/>
                <w:bCs/>
              </w:rPr>
              <w:t>КО</w:t>
            </w:r>
            <w:r w:rsidRPr="0057513B">
              <w:rPr>
                <w:rFonts w:hAnsi="Garamond"/>
                <w:bCs/>
              </w:rPr>
              <w:t xml:space="preserve"> </w:t>
            </w:r>
            <w:r w:rsidRPr="0057513B">
              <w:rPr>
                <w:rFonts w:hAnsi="Garamond"/>
                <w:bCs/>
              </w:rPr>
              <w:t>результатов</w:t>
            </w:r>
            <w:r w:rsidRPr="0057513B">
              <w:rPr>
                <w:rFonts w:hAnsi="Garamond"/>
                <w:bCs/>
              </w:rPr>
              <w:t xml:space="preserve"> </w:t>
            </w:r>
            <w:r w:rsidRPr="0057513B">
              <w:rPr>
                <w:rFonts w:hAnsi="Garamond"/>
                <w:bCs/>
              </w:rPr>
              <w:t>измерений</w:t>
            </w:r>
            <w:r w:rsidRPr="0057513B">
              <w:rPr>
                <w:rFonts w:hAnsi="Garamond"/>
                <w:bCs/>
              </w:rPr>
              <w:t xml:space="preserve"> </w:t>
            </w:r>
            <w:r w:rsidRPr="0057513B">
              <w:rPr>
                <w:rFonts w:hAnsi="Garamond"/>
                <w:bCs/>
              </w:rPr>
              <w:t>с</w:t>
            </w:r>
            <w:r w:rsidRPr="0057513B">
              <w:rPr>
                <w:rFonts w:hAnsi="Garamond"/>
                <w:bCs/>
              </w:rPr>
              <w:t xml:space="preserve"> </w:t>
            </w:r>
            <w:r w:rsidRPr="0057513B">
              <w:rPr>
                <w:rFonts w:hAnsi="Garamond"/>
                <w:bCs/>
              </w:rPr>
              <w:lastRenderedPageBreak/>
              <w:t>обеспечением</w:t>
            </w:r>
            <w:r w:rsidRPr="0057513B">
              <w:rPr>
                <w:rFonts w:hAnsi="Garamond"/>
                <w:bCs/>
              </w:rPr>
              <w:t xml:space="preserve"> </w:t>
            </w:r>
            <w:r w:rsidRPr="0057513B">
              <w:rPr>
                <w:rFonts w:hAnsi="Garamond"/>
                <w:bCs/>
              </w:rPr>
              <w:t>защиты</w:t>
            </w:r>
            <w:r w:rsidRPr="0057513B">
              <w:rPr>
                <w:rFonts w:hAnsi="Garamond"/>
                <w:bCs/>
              </w:rPr>
              <w:t xml:space="preserve"> </w:t>
            </w:r>
            <w:r w:rsidRPr="0057513B">
              <w:rPr>
                <w:rFonts w:hAnsi="Garamond"/>
                <w:bCs/>
              </w:rPr>
              <w:t>информации</w:t>
            </w:r>
            <w:r w:rsidRPr="0057513B">
              <w:rPr>
                <w:rFonts w:hAnsi="Garamond"/>
                <w:bCs/>
              </w:rPr>
              <w:t xml:space="preserve"> </w:t>
            </w:r>
            <w:r w:rsidRPr="0057513B">
              <w:rPr>
                <w:rFonts w:hAnsi="Garamond"/>
                <w:bCs/>
              </w:rPr>
              <w:t>на</w:t>
            </w:r>
            <w:r w:rsidRPr="0057513B">
              <w:rPr>
                <w:rFonts w:hAnsi="Garamond"/>
                <w:bCs/>
              </w:rPr>
              <w:t xml:space="preserve"> </w:t>
            </w:r>
            <w:r w:rsidRPr="0057513B">
              <w:rPr>
                <w:rFonts w:hAnsi="Garamond"/>
                <w:bCs/>
              </w:rPr>
              <w:t>программном</w:t>
            </w:r>
            <w:r w:rsidRPr="0057513B">
              <w:rPr>
                <w:rFonts w:hAnsi="Garamond"/>
                <w:bCs/>
              </w:rPr>
              <w:t xml:space="preserve"> </w:t>
            </w:r>
            <w:r w:rsidRPr="0057513B">
              <w:rPr>
                <w:rFonts w:hAnsi="Garamond"/>
                <w:bCs/>
              </w:rPr>
              <w:t>уровне</w:t>
            </w:r>
            <w:r w:rsidRPr="0057513B">
              <w:rPr>
                <w:rFonts w:hAnsi="Garamond"/>
                <w:bCs/>
              </w:rPr>
              <w:t xml:space="preserve"> (</w:t>
            </w:r>
            <w:r w:rsidRPr="0057513B">
              <w:rPr>
                <w:rFonts w:hAnsi="Garamond"/>
                <w:bCs/>
              </w:rPr>
              <w:t>ЭП</w:t>
            </w:r>
            <w:r w:rsidRPr="0057513B">
              <w:rPr>
                <w:rFonts w:hAnsi="Garamond"/>
                <w:bCs/>
              </w:rPr>
              <w:t>)</w:t>
            </w:r>
          </w:p>
        </w:tc>
        <w:tc>
          <w:tcPr>
            <w:tcW w:w="102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077D121" w14:textId="77777777" w:rsidR="004B3B82" w:rsidRPr="007B5E5A" w:rsidRDefault="004B3B82" w:rsidP="00CD3B05">
            <w:pPr>
              <w:jc w:val="center"/>
            </w:pPr>
          </w:p>
        </w:tc>
        <w:tc>
          <w:tcPr>
            <w:tcW w:w="9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F9ED0BB" w14:textId="77777777" w:rsidR="004B3B82" w:rsidRPr="007B5E5A" w:rsidRDefault="004B3B82" w:rsidP="00CD3B05">
            <w:pPr>
              <w:jc w:val="center"/>
            </w:pPr>
          </w:p>
        </w:tc>
        <w:tc>
          <w:tcPr>
            <w:tcW w:w="8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ABA6595" w14:textId="77777777" w:rsidR="004B3B82" w:rsidRPr="007B5E5A" w:rsidRDefault="004B3B82" w:rsidP="00CD3B05">
            <w:pPr>
              <w:jc w:val="center"/>
            </w:pPr>
          </w:p>
        </w:tc>
        <w:tc>
          <w:tcPr>
            <w:tcW w:w="75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BD7E230" w14:textId="77777777" w:rsidR="004B3B82" w:rsidRPr="007B5E5A" w:rsidRDefault="004B3B82" w:rsidP="00CD3B05">
            <w:pPr>
              <w:jc w:val="center"/>
            </w:pP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40D3C34" w14:textId="77777777" w:rsidR="004B3B82" w:rsidRPr="007B5E5A" w:rsidRDefault="004B3B82" w:rsidP="00CD3B05">
            <w:pPr>
              <w:jc w:val="center"/>
            </w:pPr>
            <w:r w:rsidRPr="007B5E5A">
              <w:rPr>
                <w:rFonts w:hAnsi="Garamond"/>
              </w:rPr>
              <w:t>Да</w:t>
            </w:r>
          </w:p>
        </w:tc>
        <w:tc>
          <w:tcPr>
            <w:tcW w:w="10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ACB7EF8" w14:textId="77777777" w:rsidR="004B3B82" w:rsidRPr="007B5E5A" w:rsidRDefault="004B3B82" w:rsidP="00CD3B05">
            <w:pPr>
              <w:jc w:val="center"/>
            </w:pPr>
            <w:r w:rsidRPr="007B5E5A">
              <w:rPr>
                <w:rFonts w:hAnsi="Garamond"/>
              </w:rPr>
              <w:t>Да</w:t>
            </w:r>
          </w:p>
        </w:tc>
      </w:tr>
      <w:tr w:rsidR="004B3B82" w14:paraId="0CC0E9D1" w14:textId="77777777" w:rsidTr="00CD3B05">
        <w:trPr>
          <w:trHeight w:val="490"/>
        </w:trPr>
        <w:tc>
          <w:tcPr>
            <w:tcW w:w="5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C91B5ED" w14:textId="77777777" w:rsidR="004B3B82" w:rsidRPr="006F22AB" w:rsidRDefault="004B3B82" w:rsidP="00CD3B05">
            <w:pPr>
              <w:jc w:val="center"/>
              <w:rPr>
                <w:rFonts w:ascii="Garamond" w:hAnsi="Garamond"/>
              </w:rPr>
            </w:pPr>
            <w:r>
              <w:rPr>
                <w:rFonts w:ascii="Garamond" w:hAnsi="Garamond"/>
              </w:rPr>
              <w:t>15</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CFD0DC7" w14:textId="77777777" w:rsidR="004B3B82" w:rsidRPr="007B5E5A" w:rsidRDefault="004B3B82" w:rsidP="00CD3B05">
            <w:pPr>
              <w:jc w:val="center"/>
            </w:pPr>
            <w:r w:rsidRPr="007B5E5A">
              <w:rPr>
                <w:rFonts w:hAnsi="Garamond"/>
              </w:rPr>
              <w:t>П</w:t>
            </w:r>
            <w:r w:rsidRPr="007B5E5A">
              <w:rPr>
                <w:rFonts w:hAnsi="Garamond"/>
                <w:vertAlign w:val="subscript"/>
              </w:rPr>
              <w:t>Ф</w:t>
            </w:r>
            <w:r w:rsidRPr="007B5E5A">
              <w:rPr>
                <w:rFonts w:ascii="Garamond"/>
                <w:vertAlign w:val="subscript"/>
              </w:rPr>
              <w:t>32</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3066C7A" w14:textId="77777777" w:rsidR="004B3B82" w:rsidRPr="0057513B" w:rsidRDefault="004B3B82" w:rsidP="00CD3B05">
            <w:pPr>
              <w:ind w:left="34"/>
            </w:pPr>
            <w:r>
              <w:rPr>
                <w:rFonts w:hAnsi="Garamond"/>
                <w:bCs/>
              </w:rPr>
              <w:t>Д</w:t>
            </w:r>
            <w:r w:rsidRPr="0057513B">
              <w:rPr>
                <w:rFonts w:hAnsi="Garamond"/>
                <w:bCs/>
              </w:rPr>
              <w:t>истанционн</w:t>
            </w:r>
            <w:r>
              <w:rPr>
                <w:rFonts w:hAnsi="Garamond"/>
                <w:bCs/>
              </w:rPr>
              <w:t>ый</w:t>
            </w:r>
            <w:r w:rsidRPr="0057513B">
              <w:rPr>
                <w:rFonts w:hAnsi="Garamond"/>
                <w:bCs/>
              </w:rPr>
              <w:t xml:space="preserve"> </w:t>
            </w:r>
            <w:r w:rsidRPr="0057513B">
              <w:rPr>
                <w:rFonts w:hAnsi="Garamond"/>
                <w:bCs/>
              </w:rPr>
              <w:t>доступ</w:t>
            </w:r>
            <w:r w:rsidRPr="0057513B">
              <w:rPr>
                <w:rFonts w:hAnsi="Garamond"/>
                <w:bCs/>
              </w:rPr>
              <w:t xml:space="preserve"> </w:t>
            </w:r>
            <w:r w:rsidRPr="0057513B">
              <w:rPr>
                <w:rFonts w:hAnsi="Garamond"/>
                <w:bCs/>
              </w:rPr>
              <w:t>к</w:t>
            </w:r>
            <w:r w:rsidRPr="0057513B">
              <w:rPr>
                <w:rFonts w:hAnsi="Garamond"/>
                <w:bCs/>
              </w:rPr>
              <w:t xml:space="preserve"> </w:t>
            </w:r>
            <w:r w:rsidRPr="0057513B">
              <w:rPr>
                <w:rFonts w:hAnsi="Garamond"/>
                <w:bCs/>
              </w:rPr>
              <w:t>АИИС</w:t>
            </w:r>
            <w:r w:rsidRPr="0057513B">
              <w:rPr>
                <w:rFonts w:hAnsi="Garamond"/>
                <w:bCs/>
              </w:rPr>
              <w:t xml:space="preserve"> </w:t>
            </w:r>
            <w:r w:rsidRPr="0057513B">
              <w:rPr>
                <w:rFonts w:hAnsi="Garamond"/>
                <w:bCs/>
              </w:rPr>
              <w:t>КУЭ</w:t>
            </w:r>
            <w:r w:rsidRPr="0057513B">
              <w:rPr>
                <w:rFonts w:hAnsi="Garamond"/>
                <w:bCs/>
              </w:rPr>
              <w:t xml:space="preserve"> </w:t>
            </w:r>
            <w:r w:rsidRPr="0057513B">
              <w:rPr>
                <w:rFonts w:hAnsi="Garamond"/>
                <w:bCs/>
              </w:rPr>
              <w:t>для</w:t>
            </w:r>
            <w:r w:rsidRPr="0057513B">
              <w:rPr>
                <w:rFonts w:hAnsi="Garamond"/>
                <w:bCs/>
              </w:rPr>
              <w:t xml:space="preserve"> </w:t>
            </w:r>
            <w:r w:rsidRPr="0057513B">
              <w:rPr>
                <w:rFonts w:hAnsi="Garamond"/>
                <w:bCs/>
              </w:rPr>
              <w:t>контроля</w:t>
            </w:r>
            <w:r w:rsidRPr="0057513B">
              <w:rPr>
                <w:rFonts w:hAnsi="Garamond"/>
                <w:bCs/>
              </w:rPr>
              <w:t xml:space="preserve"> </w:t>
            </w:r>
            <w:r w:rsidRPr="0057513B">
              <w:rPr>
                <w:rFonts w:hAnsi="Garamond"/>
                <w:bCs/>
              </w:rPr>
              <w:t>со</w:t>
            </w:r>
            <w:r w:rsidRPr="0057513B">
              <w:rPr>
                <w:rFonts w:hAnsi="Garamond"/>
                <w:bCs/>
              </w:rPr>
              <w:t xml:space="preserve"> </w:t>
            </w:r>
            <w:r w:rsidRPr="0057513B">
              <w:rPr>
                <w:rFonts w:hAnsi="Garamond"/>
                <w:bCs/>
              </w:rPr>
              <w:t>стороны</w:t>
            </w:r>
            <w:r w:rsidRPr="0057513B">
              <w:rPr>
                <w:rFonts w:hAnsi="Garamond"/>
                <w:bCs/>
              </w:rPr>
              <w:t xml:space="preserve"> </w:t>
            </w:r>
            <w:r w:rsidRPr="0057513B">
              <w:rPr>
                <w:rFonts w:hAnsi="Garamond"/>
                <w:bCs/>
              </w:rPr>
              <w:t>КО</w:t>
            </w:r>
          </w:p>
        </w:tc>
        <w:tc>
          <w:tcPr>
            <w:tcW w:w="102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87C4E6C" w14:textId="77777777" w:rsidR="004B3B82" w:rsidRPr="007B5E5A" w:rsidRDefault="004B3B82" w:rsidP="00CD3B05">
            <w:pPr>
              <w:jc w:val="center"/>
            </w:pPr>
          </w:p>
        </w:tc>
        <w:tc>
          <w:tcPr>
            <w:tcW w:w="9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3D977BB" w14:textId="77777777" w:rsidR="004B3B82" w:rsidRPr="007B5E5A" w:rsidRDefault="004B3B82" w:rsidP="00CD3B05">
            <w:pPr>
              <w:jc w:val="center"/>
            </w:pPr>
          </w:p>
        </w:tc>
        <w:tc>
          <w:tcPr>
            <w:tcW w:w="8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8D2E307" w14:textId="77777777" w:rsidR="004B3B82" w:rsidRPr="007B5E5A" w:rsidRDefault="004B3B82" w:rsidP="00CD3B05">
            <w:pPr>
              <w:jc w:val="center"/>
              <w:rPr>
                <w:rFonts w:hAnsi="Garamond"/>
              </w:rPr>
            </w:pPr>
            <w:r w:rsidRPr="007B5E5A">
              <w:rPr>
                <w:rFonts w:hAnsi="Garamond"/>
              </w:rPr>
              <w:t>Да</w:t>
            </w:r>
          </w:p>
        </w:tc>
        <w:tc>
          <w:tcPr>
            <w:tcW w:w="75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D5C4FD2" w14:textId="77777777" w:rsidR="004B3B82" w:rsidRPr="007B5E5A" w:rsidRDefault="004B3B82" w:rsidP="00CD3B05">
            <w:pPr>
              <w:jc w:val="center"/>
              <w:rPr>
                <w:rFonts w:hAnsi="Garamond"/>
              </w:rPr>
            </w:pPr>
            <w:r w:rsidRPr="007B5E5A">
              <w:rPr>
                <w:rFonts w:hAnsi="Garamond"/>
              </w:rPr>
              <w:t>Да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96F01AF" w14:textId="77777777" w:rsidR="004B3B82" w:rsidRPr="007B5E5A" w:rsidRDefault="004B3B82" w:rsidP="00CD3B05">
            <w:pPr>
              <w:jc w:val="center"/>
            </w:pPr>
          </w:p>
        </w:tc>
        <w:tc>
          <w:tcPr>
            <w:tcW w:w="10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2A05A9B" w14:textId="77777777" w:rsidR="004B3B82" w:rsidRPr="007B5E5A" w:rsidRDefault="004B3B82" w:rsidP="00CD3B05">
            <w:pPr>
              <w:jc w:val="center"/>
            </w:pPr>
          </w:p>
        </w:tc>
      </w:tr>
      <w:tr w:rsidR="004B3B82" w14:paraId="6BAFEDD2" w14:textId="77777777" w:rsidTr="00CD3B05">
        <w:trPr>
          <w:trHeight w:val="447"/>
        </w:trPr>
        <w:tc>
          <w:tcPr>
            <w:tcW w:w="5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FD6B3FE" w14:textId="77777777" w:rsidR="004B3B82" w:rsidRPr="006F22AB" w:rsidRDefault="004B3B82" w:rsidP="00CD3B05">
            <w:pPr>
              <w:jc w:val="center"/>
              <w:rPr>
                <w:rFonts w:ascii="Garamond" w:hAnsi="Garamond"/>
              </w:rPr>
            </w:pPr>
            <w:r>
              <w:rPr>
                <w:rFonts w:ascii="Garamond" w:hAnsi="Garamond"/>
              </w:rPr>
              <w:t>16</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AC3F289" w14:textId="77777777" w:rsidR="004B3B82" w:rsidRDefault="004B3B82" w:rsidP="00CD3B05">
            <w:pPr>
              <w:jc w:val="center"/>
            </w:pPr>
            <w:r w:rsidRPr="004D7191">
              <w:rPr>
                <w:rFonts w:hAnsi="Garamond"/>
              </w:rPr>
              <w:t>П</w:t>
            </w:r>
            <w:r w:rsidRPr="004D7191">
              <w:rPr>
                <w:rFonts w:hAnsi="Garamond"/>
                <w:vertAlign w:val="subscript"/>
              </w:rPr>
              <w:t>Ф</w:t>
            </w:r>
            <w:r w:rsidRPr="004D7191">
              <w:rPr>
                <w:rFonts w:ascii="Garamond"/>
                <w:vertAlign w:val="subscript"/>
              </w:rPr>
              <w:t>40</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3C54C0" w14:textId="77777777" w:rsidR="004B3B82" w:rsidRDefault="004B3B82" w:rsidP="00CD3B05">
            <w:pPr>
              <w:ind w:left="34"/>
            </w:pPr>
            <w:r w:rsidRPr="004D7191">
              <w:rPr>
                <w:rFonts w:hAnsi="Garamond"/>
              </w:rPr>
              <w:t>Глубина</w:t>
            </w:r>
            <w:r w:rsidRPr="004D7191">
              <w:rPr>
                <w:rFonts w:hAnsi="Garamond"/>
              </w:rPr>
              <w:t xml:space="preserve"> </w:t>
            </w:r>
            <w:r w:rsidRPr="004D7191">
              <w:rPr>
                <w:rFonts w:hAnsi="Garamond"/>
              </w:rPr>
              <w:t>хранения</w:t>
            </w:r>
            <w:r w:rsidRPr="004D7191">
              <w:rPr>
                <w:rFonts w:hAnsi="Garamond"/>
              </w:rPr>
              <w:t xml:space="preserve"> </w:t>
            </w:r>
            <w:r w:rsidRPr="004D7191">
              <w:rPr>
                <w:rFonts w:hAnsi="Garamond"/>
              </w:rPr>
              <w:t>информации</w:t>
            </w:r>
            <w:r w:rsidRPr="004D7191">
              <w:rPr>
                <w:rFonts w:hAnsi="Garamond"/>
              </w:rPr>
              <w:t xml:space="preserve"> </w:t>
            </w:r>
            <w:r w:rsidRPr="004D7191">
              <w:rPr>
                <w:rFonts w:ascii="Garamond"/>
              </w:rPr>
              <w:t>(</w:t>
            </w:r>
            <w:r w:rsidRPr="004D7191">
              <w:rPr>
                <w:rFonts w:hAnsi="Garamond"/>
              </w:rPr>
              <w:t>профиля</w:t>
            </w:r>
            <w:r w:rsidRPr="004D7191">
              <w:rPr>
                <w:rFonts w:ascii="Garamond"/>
              </w:rPr>
              <w:t xml:space="preserve">) </w:t>
            </w:r>
            <w:r w:rsidRPr="004D7191">
              <w:rPr>
                <w:rFonts w:hAnsi="Garamond"/>
              </w:rPr>
              <w:t>в</w:t>
            </w:r>
            <w:r w:rsidRPr="004D7191">
              <w:rPr>
                <w:rFonts w:hAnsi="Garamond"/>
              </w:rPr>
              <w:t xml:space="preserve"> </w:t>
            </w:r>
            <w:r w:rsidRPr="004D7191">
              <w:rPr>
                <w:rFonts w:hAnsi="Garamond"/>
              </w:rPr>
              <w:t>ИИК</w:t>
            </w:r>
          </w:p>
        </w:tc>
        <w:tc>
          <w:tcPr>
            <w:tcW w:w="102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78C2191" w14:textId="77777777" w:rsidR="004B3B82" w:rsidRDefault="004B3B82" w:rsidP="00CD3B05">
            <w:pPr>
              <w:jc w:val="center"/>
            </w:pPr>
          </w:p>
        </w:tc>
        <w:tc>
          <w:tcPr>
            <w:tcW w:w="9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5F08D05" w14:textId="77777777" w:rsidR="004B3B82" w:rsidRDefault="004B3B82" w:rsidP="00CD3B05">
            <w:pPr>
              <w:jc w:val="center"/>
            </w:pPr>
          </w:p>
        </w:tc>
        <w:tc>
          <w:tcPr>
            <w:tcW w:w="8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85ECE62" w14:textId="77777777" w:rsidR="004B3B82" w:rsidRDefault="004B3B82" w:rsidP="00CD3B05">
            <w:pPr>
              <w:jc w:val="center"/>
            </w:pPr>
            <w:r w:rsidRPr="004D7191">
              <w:rPr>
                <w:rFonts w:hAnsi="Garamond"/>
              </w:rPr>
              <w:t>Да</w:t>
            </w:r>
          </w:p>
        </w:tc>
        <w:tc>
          <w:tcPr>
            <w:tcW w:w="75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8207014" w14:textId="77777777" w:rsidR="004B3B82" w:rsidRDefault="004B3B82" w:rsidP="00CD3B05">
            <w:pPr>
              <w:jc w:val="center"/>
            </w:pPr>
            <w:r w:rsidRPr="004D7191">
              <w:rPr>
                <w:rFonts w:hAnsi="Garamond"/>
              </w:rPr>
              <w:t>Да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F786703" w14:textId="77777777" w:rsidR="004B3B82" w:rsidRDefault="004B3B82" w:rsidP="00CD3B05">
            <w:pPr>
              <w:jc w:val="center"/>
            </w:pPr>
          </w:p>
        </w:tc>
        <w:tc>
          <w:tcPr>
            <w:tcW w:w="10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914BD53" w14:textId="77777777" w:rsidR="004B3B82" w:rsidRDefault="004B3B82" w:rsidP="00CD3B05">
            <w:pPr>
              <w:jc w:val="center"/>
            </w:pPr>
          </w:p>
        </w:tc>
      </w:tr>
      <w:tr w:rsidR="004B3B82" w14:paraId="6F174797" w14:textId="77777777" w:rsidTr="00CD3B05">
        <w:trPr>
          <w:trHeight w:val="730"/>
        </w:trPr>
        <w:tc>
          <w:tcPr>
            <w:tcW w:w="5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74374DE" w14:textId="77777777" w:rsidR="004B3B82" w:rsidRPr="006F22AB" w:rsidRDefault="004B3B82" w:rsidP="00CD3B05">
            <w:pPr>
              <w:jc w:val="center"/>
              <w:rPr>
                <w:rFonts w:ascii="Garamond" w:hAnsi="Garamond"/>
              </w:rPr>
            </w:pPr>
            <w:r>
              <w:rPr>
                <w:rFonts w:ascii="Garamond" w:hAnsi="Garamond"/>
              </w:rPr>
              <w:t>17</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1E751EC" w14:textId="77777777" w:rsidR="004B3B82" w:rsidRDefault="004B3B82" w:rsidP="00CD3B05">
            <w:pPr>
              <w:jc w:val="center"/>
            </w:pPr>
            <w:r w:rsidRPr="004D7191">
              <w:rPr>
                <w:rFonts w:hAnsi="Garamond"/>
              </w:rPr>
              <w:t>П</w:t>
            </w:r>
            <w:r w:rsidRPr="004D7191">
              <w:rPr>
                <w:rFonts w:hAnsi="Garamond"/>
                <w:vertAlign w:val="subscript"/>
              </w:rPr>
              <w:t>Ф</w:t>
            </w:r>
            <w:r w:rsidRPr="004D7191">
              <w:rPr>
                <w:rFonts w:ascii="Garamond"/>
                <w:vertAlign w:val="subscript"/>
              </w:rPr>
              <w:t>41</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23EAC71" w14:textId="77777777" w:rsidR="004B3B82" w:rsidRDefault="004B3B82" w:rsidP="00CD3B05">
            <w:pPr>
              <w:ind w:left="34"/>
            </w:pPr>
            <w:r w:rsidRPr="004D7191">
              <w:rPr>
                <w:rFonts w:hAnsi="Garamond"/>
              </w:rPr>
              <w:t>Глубина</w:t>
            </w:r>
            <w:r w:rsidRPr="004D7191">
              <w:rPr>
                <w:rFonts w:hAnsi="Garamond"/>
              </w:rPr>
              <w:t xml:space="preserve"> </w:t>
            </w:r>
            <w:r w:rsidRPr="004D7191">
              <w:rPr>
                <w:rFonts w:hAnsi="Garamond"/>
              </w:rPr>
              <w:t>хранения</w:t>
            </w:r>
            <w:r w:rsidRPr="004D7191">
              <w:rPr>
                <w:rFonts w:hAnsi="Garamond"/>
              </w:rPr>
              <w:t xml:space="preserve"> </w:t>
            </w:r>
            <w:r w:rsidRPr="004D7191">
              <w:rPr>
                <w:rFonts w:hAnsi="Garamond"/>
              </w:rPr>
              <w:t>информации</w:t>
            </w:r>
            <w:r w:rsidRPr="004D7191">
              <w:rPr>
                <w:rFonts w:hAnsi="Garamond"/>
              </w:rPr>
              <w:t xml:space="preserve"> </w:t>
            </w:r>
            <w:r w:rsidRPr="004D7191">
              <w:rPr>
                <w:rFonts w:ascii="Garamond"/>
              </w:rPr>
              <w:t>(</w:t>
            </w:r>
            <w:r w:rsidRPr="004D7191">
              <w:rPr>
                <w:rFonts w:hAnsi="Garamond"/>
              </w:rPr>
              <w:t>профиля</w:t>
            </w:r>
            <w:r w:rsidRPr="004D7191">
              <w:rPr>
                <w:rFonts w:ascii="Garamond"/>
              </w:rPr>
              <w:t xml:space="preserve">) </w:t>
            </w:r>
            <w:r w:rsidRPr="004D7191">
              <w:rPr>
                <w:rFonts w:hAnsi="Garamond"/>
              </w:rPr>
              <w:t>в</w:t>
            </w:r>
            <w:r w:rsidRPr="004D7191">
              <w:rPr>
                <w:rFonts w:hAnsi="Garamond"/>
              </w:rPr>
              <w:t xml:space="preserve"> </w:t>
            </w:r>
            <w:r w:rsidRPr="004D7191">
              <w:rPr>
                <w:rFonts w:hAnsi="Garamond"/>
              </w:rPr>
              <w:t>ИВКЭ</w:t>
            </w:r>
          </w:p>
        </w:tc>
        <w:tc>
          <w:tcPr>
            <w:tcW w:w="102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96A3F7F" w14:textId="77777777" w:rsidR="004B3B82" w:rsidRDefault="004B3B82" w:rsidP="00CD3B05">
            <w:pPr>
              <w:jc w:val="center"/>
            </w:pPr>
          </w:p>
        </w:tc>
        <w:tc>
          <w:tcPr>
            <w:tcW w:w="9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C12B9CF" w14:textId="77777777" w:rsidR="004B3B82" w:rsidRDefault="004B3B82" w:rsidP="00CD3B05">
            <w:pPr>
              <w:jc w:val="center"/>
            </w:pPr>
          </w:p>
        </w:tc>
        <w:tc>
          <w:tcPr>
            <w:tcW w:w="8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56F2FC3" w14:textId="77777777" w:rsidR="004B3B82" w:rsidRDefault="004B3B82" w:rsidP="00CD3B05">
            <w:pPr>
              <w:jc w:val="center"/>
            </w:pPr>
            <w:r w:rsidRPr="004D7191">
              <w:rPr>
                <w:rFonts w:hAnsi="Garamond"/>
              </w:rPr>
              <w:t>Да</w:t>
            </w:r>
          </w:p>
        </w:tc>
        <w:tc>
          <w:tcPr>
            <w:tcW w:w="75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5882588" w14:textId="77777777" w:rsidR="004B3B82" w:rsidRDefault="004B3B82" w:rsidP="00CD3B05">
            <w:pPr>
              <w:jc w:val="center"/>
            </w:pPr>
            <w:r w:rsidRPr="004D7191">
              <w:rPr>
                <w:rFonts w:hAnsi="Garamond"/>
              </w:rPr>
              <w:t>Да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3149624" w14:textId="77777777" w:rsidR="004B3B82" w:rsidRDefault="004B3B82" w:rsidP="00CD3B05">
            <w:pPr>
              <w:jc w:val="center"/>
            </w:pPr>
          </w:p>
        </w:tc>
        <w:tc>
          <w:tcPr>
            <w:tcW w:w="10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7D0C4B7" w14:textId="77777777" w:rsidR="004B3B82" w:rsidRDefault="004B3B82" w:rsidP="00CD3B05">
            <w:pPr>
              <w:jc w:val="center"/>
            </w:pPr>
          </w:p>
        </w:tc>
      </w:tr>
      <w:tr w:rsidR="004B3B82" w14:paraId="2DB27E09" w14:textId="77777777" w:rsidTr="00CD3B05">
        <w:trPr>
          <w:trHeight w:val="490"/>
        </w:trPr>
        <w:tc>
          <w:tcPr>
            <w:tcW w:w="5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B226503" w14:textId="77777777" w:rsidR="004B3B82" w:rsidRPr="006F22AB" w:rsidRDefault="004B3B82" w:rsidP="00CD3B05">
            <w:pPr>
              <w:jc w:val="center"/>
              <w:rPr>
                <w:rFonts w:ascii="Garamond" w:hAnsi="Garamond"/>
              </w:rPr>
            </w:pPr>
            <w:r>
              <w:rPr>
                <w:rFonts w:ascii="Garamond" w:hAnsi="Garamond"/>
              </w:rPr>
              <w:t>18</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18A195B" w14:textId="77777777" w:rsidR="004B3B82" w:rsidRDefault="004B3B82" w:rsidP="00CD3B05">
            <w:pPr>
              <w:jc w:val="center"/>
            </w:pPr>
            <w:r w:rsidRPr="004D7191">
              <w:rPr>
                <w:rFonts w:hAnsi="Garamond"/>
              </w:rPr>
              <w:t>П</w:t>
            </w:r>
            <w:r w:rsidRPr="004D7191">
              <w:rPr>
                <w:rFonts w:hAnsi="Garamond"/>
                <w:vertAlign w:val="subscript"/>
              </w:rPr>
              <w:t>Ф</w:t>
            </w:r>
            <w:r w:rsidRPr="004D7191">
              <w:rPr>
                <w:rFonts w:ascii="Garamond"/>
                <w:vertAlign w:val="subscript"/>
              </w:rPr>
              <w:t>42</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9FB75E0" w14:textId="77777777" w:rsidR="004B3B82" w:rsidRDefault="004B3B82" w:rsidP="00CD3B05">
            <w:pPr>
              <w:ind w:left="34"/>
            </w:pPr>
            <w:r w:rsidRPr="004D7191">
              <w:rPr>
                <w:rFonts w:hAnsi="Garamond"/>
              </w:rPr>
              <w:t>Глубина</w:t>
            </w:r>
            <w:r w:rsidRPr="004D7191">
              <w:rPr>
                <w:rFonts w:hAnsi="Garamond"/>
              </w:rPr>
              <w:t xml:space="preserve"> </w:t>
            </w:r>
            <w:r w:rsidRPr="004D7191">
              <w:rPr>
                <w:rFonts w:hAnsi="Garamond"/>
              </w:rPr>
              <w:t>хранения</w:t>
            </w:r>
            <w:r w:rsidRPr="004D7191">
              <w:rPr>
                <w:rFonts w:hAnsi="Garamond"/>
              </w:rPr>
              <w:t xml:space="preserve"> </w:t>
            </w:r>
            <w:r w:rsidRPr="004D7191">
              <w:rPr>
                <w:rFonts w:hAnsi="Garamond"/>
              </w:rPr>
              <w:t>информации</w:t>
            </w:r>
            <w:r w:rsidRPr="004D7191">
              <w:rPr>
                <w:rFonts w:hAnsi="Garamond"/>
              </w:rPr>
              <w:t xml:space="preserve"> </w:t>
            </w:r>
            <w:r w:rsidRPr="004D7191">
              <w:rPr>
                <w:rFonts w:hAnsi="Garamond"/>
              </w:rPr>
              <w:t>в</w:t>
            </w:r>
            <w:r w:rsidRPr="004D7191">
              <w:rPr>
                <w:rFonts w:hAnsi="Garamond"/>
                <w:lang w:val="en-US"/>
              </w:rPr>
              <w:t> </w:t>
            </w:r>
            <w:r w:rsidRPr="004D7191">
              <w:rPr>
                <w:rFonts w:hAnsi="Garamond"/>
              </w:rPr>
              <w:t>ИВК</w:t>
            </w:r>
          </w:p>
        </w:tc>
        <w:tc>
          <w:tcPr>
            <w:tcW w:w="102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EE5E698" w14:textId="77777777" w:rsidR="004B3B82" w:rsidRDefault="004B3B82" w:rsidP="00CD3B05">
            <w:pPr>
              <w:jc w:val="center"/>
            </w:pPr>
          </w:p>
        </w:tc>
        <w:tc>
          <w:tcPr>
            <w:tcW w:w="9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4CC355A" w14:textId="77777777" w:rsidR="004B3B82" w:rsidRDefault="004B3B82" w:rsidP="00CD3B05">
            <w:pPr>
              <w:jc w:val="center"/>
            </w:pPr>
          </w:p>
        </w:tc>
        <w:tc>
          <w:tcPr>
            <w:tcW w:w="8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9279943" w14:textId="77777777" w:rsidR="004B3B82" w:rsidRDefault="004B3B82" w:rsidP="00CD3B05">
            <w:pPr>
              <w:jc w:val="center"/>
            </w:pPr>
            <w:r w:rsidRPr="004D7191">
              <w:rPr>
                <w:rFonts w:hAnsi="Garamond"/>
              </w:rPr>
              <w:t>Да</w:t>
            </w:r>
          </w:p>
        </w:tc>
        <w:tc>
          <w:tcPr>
            <w:tcW w:w="75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F2F5177" w14:textId="77777777" w:rsidR="004B3B82" w:rsidRDefault="004B3B82" w:rsidP="00CD3B05">
            <w:pPr>
              <w:jc w:val="center"/>
            </w:pPr>
            <w:r w:rsidRPr="004D7191">
              <w:rPr>
                <w:rFonts w:hAnsi="Garamond"/>
              </w:rPr>
              <w:t>Да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5552FEC" w14:textId="77777777" w:rsidR="004B3B82" w:rsidRDefault="004B3B82" w:rsidP="00CD3B05">
            <w:pPr>
              <w:jc w:val="center"/>
            </w:pPr>
          </w:p>
        </w:tc>
        <w:tc>
          <w:tcPr>
            <w:tcW w:w="10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01C6DF1" w14:textId="77777777" w:rsidR="004B3B82" w:rsidRDefault="004B3B82" w:rsidP="00CD3B05">
            <w:pPr>
              <w:jc w:val="center"/>
            </w:pPr>
          </w:p>
        </w:tc>
      </w:tr>
      <w:tr w:rsidR="004B3B82" w:rsidRPr="00200E4D" w14:paraId="530806D9" w14:textId="77777777" w:rsidTr="00CD3B05">
        <w:trPr>
          <w:trHeight w:val="490"/>
        </w:trPr>
        <w:tc>
          <w:tcPr>
            <w:tcW w:w="4112"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399DDB0" w14:textId="77777777" w:rsidR="004B3B82" w:rsidRPr="00200E4D" w:rsidRDefault="004B3B82" w:rsidP="00CD3B05">
            <w:pPr>
              <w:ind w:left="34"/>
            </w:pPr>
            <w:r w:rsidRPr="00200E4D">
              <w:rPr>
                <w:rFonts w:hAnsi="Garamond"/>
                <w:b/>
                <w:bCs/>
              </w:rPr>
              <w:t>Всего</w:t>
            </w:r>
            <w:r w:rsidRPr="00200E4D">
              <w:rPr>
                <w:rFonts w:hAnsi="Garamond"/>
                <w:b/>
                <w:bCs/>
              </w:rPr>
              <w:t xml:space="preserve"> </w:t>
            </w:r>
            <w:r w:rsidRPr="00B13261">
              <w:rPr>
                <w:rFonts w:hAnsi="Garamond"/>
                <w:b/>
                <w:bCs/>
              </w:rPr>
              <w:t>параметров</w:t>
            </w:r>
            <w:r w:rsidRPr="00B83154">
              <w:rPr>
                <w:rFonts w:ascii="Garamond"/>
                <w:b/>
                <w:bCs/>
                <w:highlight w:val="yellow"/>
              </w:rPr>
              <w:t xml:space="preserve">, </w:t>
            </w:r>
            <w:r w:rsidRPr="00B83154">
              <w:rPr>
                <w:rFonts w:hAnsi="Garamond"/>
                <w:b/>
                <w:bCs/>
                <w:highlight w:val="yellow"/>
              </w:rPr>
              <w:t>проверяемых</w:t>
            </w:r>
            <w:r w:rsidRPr="00B83154">
              <w:rPr>
                <w:rFonts w:hAnsi="Garamond"/>
                <w:b/>
                <w:bCs/>
                <w:highlight w:val="yellow"/>
              </w:rPr>
              <w:t xml:space="preserve"> </w:t>
            </w:r>
            <w:r w:rsidRPr="00B83154">
              <w:rPr>
                <w:rFonts w:hAnsi="Garamond"/>
                <w:b/>
                <w:bCs/>
                <w:highlight w:val="yellow"/>
              </w:rPr>
              <w:t>при</w:t>
            </w:r>
            <w:r w:rsidRPr="00B83154">
              <w:rPr>
                <w:rFonts w:hAnsi="Garamond"/>
                <w:b/>
                <w:bCs/>
                <w:highlight w:val="yellow"/>
                <w:lang w:val="en-US"/>
              </w:rPr>
              <w:t> </w:t>
            </w:r>
            <w:r w:rsidRPr="00B83154">
              <w:rPr>
                <w:rFonts w:ascii="Garamond" w:hAnsi="Garamond"/>
                <w:b/>
                <w:bCs/>
                <w:highlight w:val="yellow"/>
              </w:rPr>
              <w:t xml:space="preserve">установлении соответствия </w:t>
            </w:r>
            <w:r w:rsidRPr="00B83154">
              <w:rPr>
                <w:rFonts w:hAnsi="Garamond"/>
                <w:b/>
                <w:bCs/>
                <w:highlight w:val="yellow"/>
              </w:rPr>
              <w:t>АИИС</w:t>
            </w:r>
            <w:r w:rsidRPr="00B83154">
              <w:rPr>
                <w:rFonts w:hAnsi="Garamond"/>
                <w:b/>
                <w:bCs/>
                <w:highlight w:val="yellow"/>
              </w:rPr>
              <w:t xml:space="preserve"> </w:t>
            </w:r>
            <w:r w:rsidRPr="00B83154">
              <w:rPr>
                <w:rFonts w:hAnsi="Garamond"/>
                <w:b/>
                <w:bCs/>
                <w:highlight w:val="yellow"/>
              </w:rPr>
              <w:t>КУЭ</w:t>
            </w:r>
            <w:r w:rsidRPr="00B13261">
              <w:rPr>
                <w:rFonts w:ascii="Garamond"/>
                <w:b/>
                <w:bCs/>
              </w:rPr>
              <w:t>:</w:t>
            </w:r>
          </w:p>
        </w:tc>
        <w:tc>
          <w:tcPr>
            <w:tcW w:w="102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0DA682E" w14:textId="77777777" w:rsidR="004B3B82" w:rsidRPr="00200E4D" w:rsidRDefault="004B3B82" w:rsidP="00CD3B05">
            <w:pPr>
              <w:jc w:val="center"/>
            </w:pPr>
            <w:r>
              <w:rPr>
                <w:rFonts w:ascii="Garamond"/>
                <w:b/>
                <w:bCs/>
              </w:rPr>
              <w:t>5</w:t>
            </w:r>
          </w:p>
        </w:tc>
        <w:tc>
          <w:tcPr>
            <w:tcW w:w="9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5DB6BE0" w14:textId="77777777" w:rsidR="004B3B82" w:rsidRPr="00200E4D" w:rsidRDefault="004B3B82" w:rsidP="00CD3B05">
            <w:pPr>
              <w:jc w:val="center"/>
            </w:pPr>
            <w:r>
              <w:rPr>
                <w:rFonts w:ascii="Garamond"/>
                <w:b/>
                <w:bCs/>
              </w:rPr>
              <w:t>2</w:t>
            </w:r>
          </w:p>
        </w:tc>
        <w:tc>
          <w:tcPr>
            <w:tcW w:w="8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DC64EF0" w14:textId="77777777" w:rsidR="004B3B82" w:rsidRPr="00200E4D" w:rsidRDefault="004B3B82" w:rsidP="00CD3B05">
            <w:pPr>
              <w:jc w:val="center"/>
            </w:pPr>
            <w:r w:rsidRPr="00200E4D">
              <w:rPr>
                <w:rFonts w:ascii="Garamond"/>
                <w:b/>
                <w:bCs/>
              </w:rPr>
              <w:t>12</w:t>
            </w:r>
          </w:p>
        </w:tc>
        <w:tc>
          <w:tcPr>
            <w:tcW w:w="75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BCF0982" w14:textId="77777777" w:rsidR="004B3B82" w:rsidRPr="00200E4D" w:rsidRDefault="004B3B82" w:rsidP="00CD3B05">
            <w:pPr>
              <w:jc w:val="center"/>
            </w:pPr>
            <w:r w:rsidRPr="00200E4D">
              <w:rPr>
                <w:rFonts w:ascii="Garamond"/>
                <w:b/>
                <w:bCs/>
              </w:rPr>
              <w:t>12</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0AC7C2C" w14:textId="77777777" w:rsidR="004B3B82" w:rsidRPr="00200E4D" w:rsidRDefault="004B3B82" w:rsidP="00CD3B05">
            <w:pPr>
              <w:jc w:val="center"/>
            </w:pPr>
            <w:r>
              <w:rPr>
                <w:rFonts w:ascii="Garamond"/>
                <w:b/>
                <w:bCs/>
              </w:rPr>
              <w:t>1</w:t>
            </w:r>
          </w:p>
        </w:tc>
        <w:tc>
          <w:tcPr>
            <w:tcW w:w="10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4246374" w14:textId="77777777" w:rsidR="004B3B82" w:rsidRPr="00200E4D" w:rsidRDefault="004B3B82" w:rsidP="00CD3B05">
            <w:pPr>
              <w:jc w:val="center"/>
            </w:pPr>
            <w:r>
              <w:rPr>
                <w:rFonts w:ascii="Garamond"/>
                <w:b/>
                <w:bCs/>
              </w:rPr>
              <w:t>1</w:t>
            </w:r>
          </w:p>
        </w:tc>
      </w:tr>
    </w:tbl>
    <w:p w14:paraId="75FB8507" w14:textId="77777777" w:rsidR="004B3B82" w:rsidRDefault="004B3B82" w:rsidP="00101F7C">
      <w:pPr>
        <w:widowControl w:val="0"/>
        <w:rPr>
          <w:rFonts w:ascii="Garamond" w:eastAsia="Garamond" w:hAnsi="Garamond" w:cs="Garamond"/>
          <w:b/>
          <w:bCs/>
          <w:sz w:val="22"/>
          <w:szCs w:val="22"/>
        </w:rPr>
      </w:pPr>
    </w:p>
    <w:p w14:paraId="4D2B4159" w14:textId="77777777" w:rsidR="004B3B82" w:rsidRDefault="004B3B82" w:rsidP="00101F7C">
      <w:pPr>
        <w:rPr>
          <w:rFonts w:ascii="Garamond" w:hAnsi="Garamond"/>
        </w:rPr>
      </w:pPr>
      <w:r w:rsidRPr="00B83154">
        <w:rPr>
          <w:rFonts w:ascii="Garamond" w:hAnsi="Garamond"/>
          <w:i/>
        </w:rPr>
        <w:t>Примечание</w:t>
      </w:r>
      <w:r w:rsidRPr="00B83154">
        <w:rPr>
          <w:rFonts w:ascii="Garamond" w:hAnsi="Garamond"/>
        </w:rPr>
        <w:t>. При установлении соответствия АИИС КУЭ техническим требованиям оптового рынка в случаях,</w:t>
      </w:r>
      <w:r w:rsidRPr="006E3BEB">
        <w:rPr>
          <w:rFonts w:ascii="Garamond" w:hAnsi="Garamond"/>
        </w:rPr>
        <w:t xml:space="preserve"> предусмотренных п. 1.2.1 настоящего Порядка, параметр не проверяется в отношении технического устройства без измерительной функции.</w:t>
      </w:r>
    </w:p>
    <w:p w14:paraId="0F76CB14" w14:textId="77777777" w:rsidR="004B3B82" w:rsidRDefault="004B3B82" w:rsidP="00101F7C">
      <w:pPr>
        <w:rPr>
          <w:rFonts w:ascii="Garamond" w:hAnsi="Garamond"/>
        </w:rPr>
      </w:pPr>
    </w:p>
    <w:p w14:paraId="5B596647" w14:textId="77777777" w:rsidR="004B3B82" w:rsidRDefault="004B3B82" w:rsidP="00101F7C">
      <w:pPr>
        <w:rPr>
          <w:rFonts w:ascii="Garamond" w:hAnsi="Garamond"/>
        </w:rPr>
        <w:sectPr w:rsidR="004B3B82" w:rsidSect="00CD3B05">
          <w:pgSz w:w="11906" w:h="16838"/>
          <w:pgMar w:top="964" w:right="851" w:bottom="964" w:left="1276" w:header="709" w:footer="709" w:gutter="0"/>
          <w:cols w:space="708"/>
          <w:docGrid w:linePitch="360"/>
        </w:sectPr>
      </w:pPr>
    </w:p>
    <w:p w14:paraId="42B4D7C8" w14:textId="77777777" w:rsidR="004B3B82" w:rsidRPr="005C63E5" w:rsidRDefault="004B3B82" w:rsidP="00101F7C">
      <w:pPr>
        <w:rPr>
          <w:rFonts w:hAnsi="Garamond"/>
          <w:b/>
          <w:bCs/>
          <w:sz w:val="22"/>
          <w:szCs w:val="22"/>
        </w:rPr>
      </w:pPr>
      <w:r>
        <w:rPr>
          <w:rFonts w:hAnsi="Garamond"/>
          <w:b/>
          <w:bCs/>
          <w:sz w:val="22"/>
          <w:szCs w:val="22"/>
        </w:rPr>
        <w:lastRenderedPageBreak/>
        <w:t>Предлагаемая</w:t>
      </w:r>
      <w:r>
        <w:rPr>
          <w:rFonts w:hAnsi="Garamond"/>
          <w:b/>
          <w:bCs/>
          <w:sz w:val="22"/>
          <w:szCs w:val="22"/>
        </w:rPr>
        <w:t xml:space="preserve"> </w:t>
      </w:r>
      <w:r w:rsidRPr="005C63E5">
        <w:rPr>
          <w:rFonts w:hAnsi="Garamond"/>
          <w:b/>
          <w:bCs/>
          <w:sz w:val="22"/>
          <w:szCs w:val="22"/>
        </w:rPr>
        <w:t>редакция</w:t>
      </w:r>
    </w:p>
    <w:p w14:paraId="2EC6F54A" w14:textId="77777777" w:rsidR="004B3B82" w:rsidRDefault="004B3B82" w:rsidP="00101F7C">
      <w:pPr>
        <w:jc w:val="right"/>
        <w:rPr>
          <w:rFonts w:ascii="Garamond" w:eastAsia="Garamond" w:hAnsi="Garamond" w:cs="Garamond"/>
          <w:b/>
          <w:bCs/>
          <w:sz w:val="22"/>
          <w:szCs w:val="22"/>
        </w:rPr>
      </w:pPr>
      <w:r>
        <w:rPr>
          <w:rFonts w:hAnsi="Garamond"/>
          <w:b/>
          <w:bCs/>
          <w:sz w:val="22"/>
          <w:szCs w:val="22"/>
        </w:rPr>
        <w:t>Таблица</w:t>
      </w:r>
      <w:r>
        <w:rPr>
          <w:rFonts w:hAnsi="Garamond"/>
          <w:b/>
          <w:bCs/>
          <w:sz w:val="22"/>
          <w:szCs w:val="22"/>
        </w:rPr>
        <w:t xml:space="preserve"> </w:t>
      </w:r>
      <w:r w:rsidRPr="0021352A">
        <w:rPr>
          <w:rFonts w:ascii="Garamond"/>
          <w:b/>
          <w:bCs/>
          <w:sz w:val="22"/>
          <w:szCs w:val="22"/>
        </w:rPr>
        <w:t>2</w:t>
      </w:r>
    </w:p>
    <w:p w14:paraId="21BCE55C" w14:textId="77777777" w:rsidR="004B3B82" w:rsidRDefault="004B3B82" w:rsidP="00101F7C">
      <w:pPr>
        <w:jc w:val="center"/>
        <w:rPr>
          <w:rFonts w:ascii="Garamond" w:eastAsia="Garamond" w:hAnsi="Garamond" w:cs="Garamond"/>
          <w:b/>
          <w:bCs/>
          <w:sz w:val="22"/>
          <w:szCs w:val="22"/>
        </w:rPr>
      </w:pPr>
    </w:p>
    <w:p w14:paraId="66B7CD37" w14:textId="77777777" w:rsidR="004B3B82" w:rsidRDefault="004B3B82" w:rsidP="00101F7C">
      <w:pPr>
        <w:jc w:val="center"/>
        <w:rPr>
          <w:rFonts w:ascii="Garamond" w:eastAsia="Garamond" w:hAnsi="Garamond" w:cs="Garamond"/>
          <w:b/>
          <w:bCs/>
          <w:sz w:val="22"/>
          <w:szCs w:val="22"/>
        </w:rPr>
      </w:pPr>
      <w:r>
        <w:rPr>
          <w:rFonts w:hAnsi="Garamond"/>
          <w:b/>
          <w:bCs/>
          <w:sz w:val="22"/>
          <w:szCs w:val="22"/>
        </w:rPr>
        <w:t>Разделение</w:t>
      </w:r>
      <w:r>
        <w:rPr>
          <w:rFonts w:hAnsi="Garamond"/>
          <w:b/>
          <w:bCs/>
          <w:sz w:val="22"/>
          <w:szCs w:val="22"/>
        </w:rPr>
        <w:t xml:space="preserve"> </w:t>
      </w:r>
      <w:r>
        <w:rPr>
          <w:rFonts w:hAnsi="Garamond"/>
          <w:b/>
          <w:bCs/>
          <w:sz w:val="22"/>
          <w:szCs w:val="22"/>
        </w:rPr>
        <w:t>параметров</w:t>
      </w:r>
      <w:r>
        <w:rPr>
          <w:rFonts w:hAnsi="Garamond"/>
          <w:b/>
          <w:bCs/>
          <w:sz w:val="22"/>
          <w:szCs w:val="22"/>
        </w:rPr>
        <w:t xml:space="preserve"> </w:t>
      </w:r>
      <w:r>
        <w:rPr>
          <w:rFonts w:hAnsi="Garamond"/>
          <w:b/>
          <w:bCs/>
          <w:sz w:val="22"/>
          <w:szCs w:val="22"/>
        </w:rPr>
        <w:t>по</w:t>
      </w:r>
      <w:r>
        <w:rPr>
          <w:rFonts w:hAnsi="Garamond"/>
          <w:b/>
          <w:bCs/>
          <w:sz w:val="22"/>
          <w:szCs w:val="22"/>
        </w:rPr>
        <w:t xml:space="preserve"> </w:t>
      </w:r>
      <w:r>
        <w:rPr>
          <w:rFonts w:hAnsi="Garamond"/>
          <w:b/>
          <w:bCs/>
          <w:sz w:val="22"/>
          <w:szCs w:val="22"/>
        </w:rPr>
        <w:t>виду</w:t>
      </w:r>
      <w:r>
        <w:rPr>
          <w:rFonts w:hAnsi="Garamond"/>
          <w:b/>
          <w:bCs/>
          <w:sz w:val="22"/>
          <w:szCs w:val="22"/>
        </w:rPr>
        <w:t xml:space="preserve"> </w:t>
      </w:r>
      <w:r>
        <w:rPr>
          <w:rFonts w:hAnsi="Garamond"/>
          <w:b/>
          <w:bCs/>
          <w:sz w:val="22"/>
          <w:szCs w:val="22"/>
        </w:rPr>
        <w:t>проводимых</w:t>
      </w:r>
      <w:r>
        <w:rPr>
          <w:rFonts w:hAnsi="Garamond"/>
          <w:b/>
          <w:bCs/>
          <w:sz w:val="22"/>
          <w:szCs w:val="22"/>
        </w:rPr>
        <w:t xml:space="preserve"> </w:t>
      </w:r>
      <w:r>
        <w:rPr>
          <w:rFonts w:hAnsi="Garamond"/>
          <w:b/>
          <w:bCs/>
          <w:sz w:val="22"/>
          <w:szCs w:val="22"/>
        </w:rPr>
        <w:t>процедур</w:t>
      </w:r>
    </w:p>
    <w:p w14:paraId="3448AC2B" w14:textId="77777777" w:rsidR="004B3B82" w:rsidRDefault="004B3B82" w:rsidP="00101F7C">
      <w:pPr>
        <w:widowControl w:val="0"/>
        <w:rPr>
          <w:rFonts w:ascii="Garamond" w:eastAsia="Garamond" w:hAnsi="Garamond" w:cs="Garamond"/>
          <w:b/>
          <w:bCs/>
          <w:sz w:val="22"/>
          <w:szCs w:val="22"/>
        </w:rPr>
      </w:pPr>
    </w:p>
    <w:tbl>
      <w:tblPr>
        <w:tblW w:w="14913"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shd w:val="clear" w:color="auto" w:fill="BDC0BF"/>
        <w:tblLayout w:type="fixed"/>
        <w:tblCellMar>
          <w:left w:w="0" w:type="dxa"/>
          <w:right w:w="0" w:type="dxa"/>
        </w:tblCellMar>
        <w:tblLook w:val="04A0" w:firstRow="1" w:lastRow="0" w:firstColumn="1" w:lastColumn="0" w:noHBand="0" w:noVBand="1"/>
      </w:tblPr>
      <w:tblGrid>
        <w:gridCol w:w="568"/>
        <w:gridCol w:w="709"/>
        <w:gridCol w:w="2833"/>
        <w:gridCol w:w="1019"/>
        <w:gridCol w:w="850"/>
        <w:gridCol w:w="958"/>
        <w:gridCol w:w="752"/>
        <w:gridCol w:w="991"/>
        <w:gridCol w:w="1558"/>
        <w:gridCol w:w="1558"/>
        <w:gridCol w:w="1275"/>
        <w:gridCol w:w="1842"/>
      </w:tblGrid>
      <w:tr w:rsidR="004B3B82" w14:paraId="18EE6991" w14:textId="77777777" w:rsidTr="00CD3B05">
        <w:trPr>
          <w:trHeight w:val="295"/>
          <w:tblHeader/>
        </w:trPr>
        <w:tc>
          <w:tcPr>
            <w:tcW w:w="568" w:type="dxa"/>
            <w:vMerge w:val="restart"/>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vAlign w:val="center"/>
          </w:tcPr>
          <w:p w14:paraId="6301CAC1" w14:textId="77777777" w:rsidR="004B3B82" w:rsidRPr="004D7191" w:rsidRDefault="004B3B82" w:rsidP="00CD3B05">
            <w:pPr>
              <w:jc w:val="center"/>
              <w:rPr>
                <w:rFonts w:ascii="Garamond" w:eastAsia="Garamond" w:hAnsi="Garamond" w:cs="Garamond"/>
                <w:b/>
                <w:bCs/>
              </w:rPr>
            </w:pPr>
            <w:r w:rsidRPr="004D7191">
              <w:rPr>
                <w:rFonts w:hAnsi="Garamond"/>
                <w:b/>
                <w:bCs/>
              </w:rPr>
              <w:t>№</w:t>
            </w:r>
          </w:p>
          <w:p w14:paraId="56CC45D9" w14:textId="77777777" w:rsidR="004B3B82" w:rsidRPr="004D7191" w:rsidRDefault="004B3B82" w:rsidP="00CD3B05">
            <w:pPr>
              <w:jc w:val="center"/>
              <w:rPr>
                <w:rFonts w:hAnsi="Garamond"/>
                <w:b/>
                <w:bCs/>
              </w:rPr>
            </w:pPr>
            <w:r w:rsidRPr="004D7191">
              <w:rPr>
                <w:rFonts w:hAnsi="Garamond"/>
                <w:b/>
                <w:bCs/>
              </w:rPr>
              <w:t>п</w:t>
            </w:r>
            <w:r w:rsidRPr="004D7191">
              <w:rPr>
                <w:rFonts w:ascii="Garamond"/>
                <w:b/>
                <w:bCs/>
              </w:rPr>
              <w:t>/</w:t>
            </w:r>
            <w:r w:rsidRPr="004D7191">
              <w:rPr>
                <w:rFonts w:hAnsi="Garamond"/>
                <w:b/>
                <w:bCs/>
              </w:rPr>
              <w:t>п</w:t>
            </w:r>
          </w:p>
        </w:tc>
        <w:tc>
          <w:tcPr>
            <w:tcW w:w="709" w:type="dxa"/>
            <w:vMerge w:val="restart"/>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vAlign w:val="center"/>
          </w:tcPr>
          <w:p w14:paraId="75A079B5" w14:textId="77777777" w:rsidR="004B3B82" w:rsidRDefault="004B3B82" w:rsidP="00CD3B05">
            <w:pPr>
              <w:jc w:val="center"/>
              <w:rPr>
                <w:rFonts w:hAnsi="Garamond"/>
                <w:b/>
                <w:bCs/>
              </w:rPr>
            </w:pPr>
            <w:r>
              <w:rPr>
                <w:rFonts w:hAnsi="Garamond"/>
                <w:b/>
                <w:bCs/>
              </w:rPr>
              <w:t>Обозначение</w:t>
            </w:r>
            <w:r>
              <w:rPr>
                <w:rFonts w:hAnsi="Garamond"/>
                <w:b/>
                <w:bCs/>
              </w:rPr>
              <w:t xml:space="preserve"> </w:t>
            </w:r>
            <w:r>
              <w:rPr>
                <w:rFonts w:hAnsi="Garamond"/>
                <w:b/>
                <w:bCs/>
              </w:rPr>
              <w:t>п</w:t>
            </w:r>
            <w:r w:rsidRPr="004D7191">
              <w:rPr>
                <w:rFonts w:hAnsi="Garamond"/>
                <w:b/>
                <w:bCs/>
              </w:rPr>
              <w:t>арам</w:t>
            </w:r>
            <w:r w:rsidRPr="00A064A9">
              <w:rPr>
                <w:rFonts w:hAnsi="Garamond"/>
                <w:b/>
                <w:bCs/>
              </w:rPr>
              <w:t>етр</w:t>
            </w:r>
            <w:r>
              <w:rPr>
                <w:rFonts w:hAnsi="Garamond"/>
                <w:b/>
                <w:bCs/>
              </w:rPr>
              <w:t>а</w:t>
            </w:r>
          </w:p>
        </w:tc>
        <w:tc>
          <w:tcPr>
            <w:tcW w:w="2835" w:type="dxa"/>
            <w:vMerge w:val="restart"/>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vAlign w:val="center"/>
          </w:tcPr>
          <w:p w14:paraId="286A19D4" w14:textId="77777777" w:rsidR="004B3B82" w:rsidRPr="004D7191" w:rsidRDefault="004B3B82" w:rsidP="00CD3B05">
            <w:pPr>
              <w:jc w:val="center"/>
              <w:rPr>
                <w:rFonts w:hAnsi="Garamond"/>
                <w:b/>
                <w:bCs/>
              </w:rPr>
            </w:pPr>
            <w:r w:rsidRPr="004D7191">
              <w:rPr>
                <w:rFonts w:hAnsi="Garamond"/>
                <w:b/>
                <w:bCs/>
              </w:rPr>
              <w:t>Наименование</w:t>
            </w:r>
            <w:r w:rsidRPr="004D7191">
              <w:rPr>
                <w:rFonts w:hAnsi="Garamond"/>
                <w:b/>
                <w:bCs/>
              </w:rPr>
              <w:t xml:space="preserve"> </w:t>
            </w:r>
            <w:r w:rsidRPr="004D7191">
              <w:rPr>
                <w:rFonts w:hAnsi="Garamond"/>
                <w:b/>
                <w:bCs/>
              </w:rPr>
              <w:t>параметра</w:t>
            </w:r>
          </w:p>
        </w:tc>
        <w:tc>
          <w:tcPr>
            <w:tcW w:w="6123" w:type="dxa"/>
            <w:gridSpan w:val="6"/>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96DA446" w14:textId="77777777" w:rsidR="004B3B82" w:rsidRDefault="004B3B82" w:rsidP="00CD3B05">
            <w:pPr>
              <w:jc w:val="center"/>
              <w:rPr>
                <w:rFonts w:hAnsi="Garamond"/>
                <w:b/>
                <w:bCs/>
              </w:rPr>
            </w:pPr>
            <w:r w:rsidRPr="00B83154">
              <w:rPr>
                <w:rFonts w:hAnsi="Garamond"/>
                <w:b/>
                <w:bCs/>
                <w:highlight w:val="yellow"/>
              </w:rPr>
              <w:t>Процедура</w:t>
            </w:r>
            <w:r w:rsidRPr="00B83154">
              <w:rPr>
                <w:rFonts w:hAnsi="Garamond"/>
                <w:b/>
                <w:bCs/>
                <w:highlight w:val="yellow"/>
              </w:rPr>
              <w:t xml:space="preserve"> </w:t>
            </w:r>
            <w:r w:rsidRPr="00B83154">
              <w:rPr>
                <w:rFonts w:hAnsi="Garamond"/>
                <w:b/>
                <w:bCs/>
                <w:highlight w:val="yellow"/>
              </w:rPr>
              <w:t>установления</w:t>
            </w:r>
            <w:r w:rsidRPr="00B83154">
              <w:rPr>
                <w:rFonts w:hAnsi="Garamond"/>
                <w:b/>
                <w:bCs/>
                <w:highlight w:val="yellow"/>
              </w:rPr>
              <w:t xml:space="preserve"> </w:t>
            </w:r>
            <w:r w:rsidRPr="00B83154">
              <w:rPr>
                <w:rFonts w:hAnsi="Garamond"/>
                <w:b/>
                <w:bCs/>
                <w:highlight w:val="yellow"/>
              </w:rPr>
              <w:t>соответствия</w:t>
            </w:r>
            <w:r w:rsidRPr="00B83154">
              <w:rPr>
                <w:rFonts w:hAnsi="Garamond"/>
                <w:b/>
                <w:bCs/>
                <w:highlight w:val="yellow"/>
              </w:rPr>
              <w:t xml:space="preserve"> </w:t>
            </w:r>
            <w:r w:rsidRPr="00B83154">
              <w:rPr>
                <w:rFonts w:hAnsi="Garamond"/>
                <w:b/>
                <w:bCs/>
                <w:highlight w:val="yellow"/>
              </w:rPr>
              <w:t>АИИС</w:t>
            </w:r>
            <w:r w:rsidRPr="00B83154">
              <w:rPr>
                <w:rFonts w:hAnsi="Garamond"/>
                <w:b/>
                <w:bCs/>
                <w:highlight w:val="yellow"/>
              </w:rPr>
              <w:t xml:space="preserve"> </w:t>
            </w:r>
            <w:r w:rsidRPr="0076674D">
              <w:rPr>
                <w:rFonts w:hAnsi="Garamond"/>
                <w:b/>
                <w:bCs/>
                <w:highlight w:val="yellow"/>
              </w:rPr>
              <w:t>КУЭ</w:t>
            </w:r>
            <w:r w:rsidRPr="0076674D">
              <w:rPr>
                <w:rFonts w:hAnsi="Garamond"/>
                <w:b/>
                <w:bCs/>
                <w:highlight w:val="yellow"/>
              </w:rPr>
              <w:t xml:space="preserve"> </w:t>
            </w:r>
            <w:r w:rsidRPr="0076674D">
              <w:rPr>
                <w:rFonts w:hAnsi="Garamond"/>
                <w:b/>
                <w:bCs/>
                <w:highlight w:val="yellow"/>
              </w:rPr>
              <w:t>техническим</w:t>
            </w:r>
            <w:r w:rsidRPr="0076674D">
              <w:rPr>
                <w:rFonts w:hAnsi="Garamond"/>
                <w:b/>
                <w:bCs/>
                <w:highlight w:val="yellow"/>
              </w:rPr>
              <w:t xml:space="preserve"> </w:t>
            </w:r>
            <w:r w:rsidRPr="0076674D">
              <w:rPr>
                <w:rFonts w:hAnsi="Garamond"/>
                <w:b/>
                <w:bCs/>
                <w:highlight w:val="yellow"/>
              </w:rPr>
              <w:t>требованиям</w:t>
            </w:r>
            <w:r w:rsidRPr="0076674D">
              <w:rPr>
                <w:rFonts w:hAnsi="Garamond"/>
                <w:b/>
                <w:bCs/>
                <w:highlight w:val="yellow"/>
              </w:rPr>
              <w:t xml:space="preserve"> </w:t>
            </w:r>
            <w:r w:rsidRPr="0076674D">
              <w:rPr>
                <w:rFonts w:hAnsi="Garamond"/>
                <w:b/>
                <w:bCs/>
                <w:highlight w:val="yellow"/>
              </w:rPr>
              <w:t>оптового</w:t>
            </w:r>
            <w:r w:rsidRPr="0076674D">
              <w:rPr>
                <w:rFonts w:hAnsi="Garamond"/>
                <w:b/>
                <w:bCs/>
                <w:highlight w:val="yellow"/>
              </w:rPr>
              <w:t xml:space="preserve"> </w:t>
            </w:r>
            <w:r w:rsidRPr="0076674D">
              <w:rPr>
                <w:rFonts w:hAnsi="Garamond"/>
                <w:b/>
                <w:bCs/>
                <w:highlight w:val="yellow"/>
              </w:rPr>
              <w:t>рынка</w:t>
            </w:r>
          </w:p>
        </w:tc>
        <w:tc>
          <w:tcPr>
            <w:tcW w:w="4678" w:type="dxa"/>
            <w:gridSpan w:val="3"/>
            <w:tcBorders>
              <w:top w:val="single" w:sz="4" w:space="0" w:color="000000"/>
              <w:left w:val="single" w:sz="4" w:space="0" w:color="000000"/>
              <w:bottom w:val="single" w:sz="4" w:space="0" w:color="000000"/>
              <w:right w:val="single" w:sz="4" w:space="0" w:color="000000"/>
            </w:tcBorders>
            <w:vAlign w:val="center"/>
          </w:tcPr>
          <w:p w14:paraId="4E43C521" w14:textId="77777777" w:rsidR="004B3B82" w:rsidRPr="00B83154" w:rsidRDefault="004B3B82" w:rsidP="00E31AE6">
            <w:pPr>
              <w:jc w:val="center"/>
              <w:rPr>
                <w:rFonts w:hAnsi="Garamond"/>
                <w:b/>
                <w:bCs/>
                <w:highlight w:val="yellow"/>
              </w:rPr>
            </w:pPr>
            <w:r w:rsidRPr="00B83154">
              <w:rPr>
                <w:rFonts w:hAnsi="Garamond"/>
                <w:b/>
                <w:bCs/>
                <w:highlight w:val="yellow"/>
              </w:rPr>
              <w:t>Процедура</w:t>
            </w:r>
            <w:r w:rsidRPr="00B83154">
              <w:rPr>
                <w:rFonts w:hAnsi="Garamond"/>
                <w:b/>
                <w:bCs/>
                <w:highlight w:val="yellow"/>
              </w:rPr>
              <w:t xml:space="preserve"> </w:t>
            </w:r>
            <w:r>
              <w:rPr>
                <w:rFonts w:hAnsi="Garamond"/>
                <w:b/>
                <w:bCs/>
                <w:highlight w:val="yellow"/>
              </w:rPr>
              <w:t>подтверждения</w:t>
            </w:r>
            <w:r>
              <w:rPr>
                <w:rFonts w:hAnsi="Garamond"/>
                <w:b/>
                <w:bCs/>
                <w:highlight w:val="yellow"/>
              </w:rPr>
              <w:t xml:space="preserve"> </w:t>
            </w:r>
            <w:r>
              <w:rPr>
                <w:rFonts w:hAnsi="Garamond"/>
                <w:b/>
                <w:bCs/>
                <w:highlight w:val="yellow"/>
              </w:rPr>
              <w:t>соответствия</w:t>
            </w:r>
            <w:r>
              <w:rPr>
                <w:rFonts w:hAnsi="Garamond"/>
                <w:b/>
                <w:bCs/>
                <w:highlight w:val="yellow"/>
              </w:rPr>
              <w:t xml:space="preserve"> </w:t>
            </w:r>
            <w:r>
              <w:rPr>
                <w:rFonts w:hAnsi="Garamond"/>
                <w:b/>
                <w:bCs/>
                <w:highlight w:val="yellow"/>
              </w:rPr>
              <w:t>системы</w:t>
            </w:r>
            <w:r>
              <w:rPr>
                <w:rFonts w:hAnsi="Garamond"/>
                <w:b/>
                <w:bCs/>
                <w:highlight w:val="yellow"/>
              </w:rPr>
              <w:t xml:space="preserve"> </w:t>
            </w:r>
            <w:r>
              <w:rPr>
                <w:rFonts w:hAnsi="Garamond"/>
                <w:b/>
                <w:bCs/>
                <w:highlight w:val="yellow"/>
              </w:rPr>
              <w:t>учета</w:t>
            </w:r>
            <w:r>
              <w:rPr>
                <w:rFonts w:hAnsi="Garamond"/>
                <w:b/>
                <w:bCs/>
                <w:highlight w:val="yellow"/>
              </w:rPr>
              <w:t xml:space="preserve"> </w:t>
            </w:r>
            <w:r>
              <w:rPr>
                <w:rFonts w:hAnsi="Garamond"/>
                <w:b/>
                <w:bCs/>
                <w:highlight w:val="yellow"/>
              </w:rPr>
              <w:t>агрегатора</w:t>
            </w:r>
            <w:r>
              <w:rPr>
                <w:rFonts w:hAnsi="Garamond"/>
                <w:b/>
                <w:bCs/>
                <w:highlight w:val="yellow"/>
              </w:rPr>
              <w:t xml:space="preserve"> </w:t>
            </w:r>
            <w:r>
              <w:rPr>
                <w:rFonts w:hAnsi="Garamond"/>
                <w:b/>
                <w:bCs/>
                <w:highlight w:val="yellow"/>
              </w:rPr>
              <w:t>техническим</w:t>
            </w:r>
            <w:r>
              <w:rPr>
                <w:rFonts w:hAnsi="Garamond"/>
                <w:b/>
                <w:bCs/>
                <w:highlight w:val="yellow"/>
              </w:rPr>
              <w:t xml:space="preserve"> </w:t>
            </w:r>
            <w:r>
              <w:rPr>
                <w:rFonts w:hAnsi="Garamond"/>
                <w:b/>
                <w:bCs/>
                <w:highlight w:val="yellow"/>
              </w:rPr>
              <w:t>требованиям</w:t>
            </w:r>
            <w:r>
              <w:rPr>
                <w:rFonts w:hAnsi="Garamond"/>
                <w:b/>
                <w:bCs/>
                <w:highlight w:val="yellow"/>
              </w:rPr>
              <w:t xml:space="preserve"> </w:t>
            </w:r>
            <w:r>
              <w:rPr>
                <w:rFonts w:hAnsi="Garamond"/>
                <w:b/>
                <w:bCs/>
                <w:highlight w:val="yellow"/>
              </w:rPr>
              <w:t>оптового</w:t>
            </w:r>
            <w:r>
              <w:rPr>
                <w:rFonts w:hAnsi="Garamond"/>
                <w:b/>
                <w:bCs/>
                <w:highlight w:val="yellow"/>
              </w:rPr>
              <w:t xml:space="preserve"> </w:t>
            </w:r>
            <w:r>
              <w:rPr>
                <w:rFonts w:hAnsi="Garamond"/>
                <w:b/>
                <w:bCs/>
                <w:highlight w:val="yellow"/>
              </w:rPr>
              <w:t>рынка</w:t>
            </w:r>
          </w:p>
        </w:tc>
      </w:tr>
      <w:tr w:rsidR="004B3B82" w14:paraId="0DCA050A" w14:textId="77777777" w:rsidTr="00CD3B05">
        <w:trPr>
          <w:trHeight w:val="1001"/>
          <w:tblHeader/>
        </w:trPr>
        <w:tc>
          <w:tcPr>
            <w:tcW w:w="568" w:type="dxa"/>
            <w:vMerge/>
            <w:tcBorders>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D54ACB5" w14:textId="77777777" w:rsidR="004B3B82" w:rsidRDefault="004B3B82" w:rsidP="00CD3B05">
            <w:pPr>
              <w:jc w:val="center"/>
            </w:pPr>
          </w:p>
        </w:tc>
        <w:tc>
          <w:tcPr>
            <w:tcW w:w="709" w:type="dxa"/>
            <w:vMerge/>
            <w:tcBorders>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47244BE" w14:textId="77777777" w:rsidR="004B3B82" w:rsidRDefault="004B3B82" w:rsidP="00CD3B05">
            <w:pPr>
              <w:jc w:val="center"/>
            </w:pPr>
          </w:p>
        </w:tc>
        <w:tc>
          <w:tcPr>
            <w:tcW w:w="2835" w:type="dxa"/>
            <w:vMerge/>
            <w:tcBorders>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EC3EE36" w14:textId="77777777" w:rsidR="004B3B82" w:rsidRDefault="004B3B82" w:rsidP="00CD3B05">
            <w:pPr>
              <w:jc w:val="center"/>
            </w:pPr>
          </w:p>
        </w:tc>
        <w:tc>
          <w:tcPr>
            <w:tcW w:w="1871"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D966882" w14:textId="77777777" w:rsidR="004B3B82" w:rsidRDefault="004B3B82" w:rsidP="00CD3B05">
            <w:pPr>
              <w:jc w:val="center"/>
            </w:pPr>
            <w:r w:rsidRPr="004D7191">
              <w:rPr>
                <w:rFonts w:hAnsi="Garamond"/>
                <w:b/>
                <w:bCs/>
              </w:rPr>
              <w:t>Техническая</w:t>
            </w:r>
            <w:r w:rsidRPr="004D7191">
              <w:rPr>
                <w:rFonts w:hAnsi="Garamond"/>
                <w:b/>
                <w:bCs/>
              </w:rPr>
              <w:t xml:space="preserve"> </w:t>
            </w:r>
            <w:r w:rsidRPr="004D7191">
              <w:rPr>
                <w:rFonts w:hAnsi="Garamond"/>
                <w:b/>
                <w:bCs/>
              </w:rPr>
              <w:t>экспертиза</w:t>
            </w:r>
          </w:p>
        </w:tc>
        <w:tc>
          <w:tcPr>
            <w:tcW w:w="1701"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E34035D" w14:textId="77777777" w:rsidR="004B3B82" w:rsidRDefault="004B3B82" w:rsidP="00CD3B05">
            <w:pPr>
              <w:jc w:val="center"/>
            </w:pPr>
            <w:r>
              <w:rPr>
                <w:rFonts w:hAnsi="Garamond"/>
                <w:b/>
                <w:bCs/>
              </w:rPr>
              <w:t>И</w:t>
            </w:r>
            <w:r w:rsidRPr="004D7191">
              <w:rPr>
                <w:rFonts w:hAnsi="Garamond"/>
                <w:b/>
                <w:bCs/>
              </w:rPr>
              <w:t>спытания</w:t>
            </w:r>
          </w:p>
        </w:tc>
        <w:tc>
          <w:tcPr>
            <w:tcW w:w="2551"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C71F335" w14:textId="77777777" w:rsidR="004B3B82" w:rsidRPr="00D57399" w:rsidRDefault="004B3B82" w:rsidP="00CD3B05">
            <w:pPr>
              <w:jc w:val="center"/>
              <w:rPr>
                <w:rFonts w:hAnsi="Garamond"/>
                <w:b/>
                <w:bCs/>
              </w:rPr>
            </w:pPr>
            <w:r>
              <w:rPr>
                <w:rFonts w:hAnsi="Garamond"/>
                <w:b/>
                <w:bCs/>
              </w:rPr>
              <w:t>Проверка</w:t>
            </w:r>
            <w:r w:rsidRPr="00B41A44">
              <w:rPr>
                <w:rFonts w:hAnsi="Garamond"/>
                <w:b/>
                <w:bCs/>
              </w:rPr>
              <w:t xml:space="preserve"> </w:t>
            </w:r>
            <w:r w:rsidRPr="0033727E">
              <w:rPr>
                <w:rFonts w:hAnsi="Garamond"/>
                <w:b/>
                <w:bCs/>
              </w:rPr>
              <w:t>передачи</w:t>
            </w:r>
            <w:r w:rsidRPr="0033727E">
              <w:rPr>
                <w:rFonts w:hAnsi="Garamond"/>
                <w:b/>
                <w:bCs/>
              </w:rPr>
              <w:t xml:space="preserve"> </w:t>
            </w:r>
            <w:r w:rsidRPr="0033727E">
              <w:rPr>
                <w:rFonts w:hAnsi="Garamond"/>
                <w:b/>
                <w:bCs/>
              </w:rPr>
              <w:t>результатов</w:t>
            </w:r>
            <w:r w:rsidRPr="0033727E">
              <w:rPr>
                <w:rFonts w:hAnsi="Garamond"/>
                <w:b/>
                <w:bCs/>
              </w:rPr>
              <w:t xml:space="preserve"> </w:t>
            </w:r>
            <w:r w:rsidRPr="0033727E">
              <w:rPr>
                <w:rFonts w:hAnsi="Garamond"/>
                <w:b/>
                <w:bCs/>
              </w:rPr>
              <w:t>измерений</w:t>
            </w:r>
            <w:r w:rsidRPr="0033727E">
              <w:rPr>
                <w:rFonts w:hAnsi="Garamond"/>
                <w:b/>
                <w:bCs/>
              </w:rPr>
              <w:t xml:space="preserve"> </w:t>
            </w:r>
            <w:r w:rsidRPr="0033727E">
              <w:rPr>
                <w:rFonts w:hAnsi="Garamond"/>
                <w:b/>
                <w:bCs/>
              </w:rPr>
              <w:t>от</w:t>
            </w:r>
            <w:r w:rsidRPr="0033727E">
              <w:rPr>
                <w:rFonts w:hAnsi="Garamond"/>
                <w:b/>
                <w:bCs/>
              </w:rPr>
              <w:t xml:space="preserve"> </w:t>
            </w:r>
            <w:r w:rsidRPr="0033727E">
              <w:rPr>
                <w:rFonts w:hAnsi="Garamond"/>
                <w:b/>
                <w:bCs/>
              </w:rPr>
              <w:t>АИИС</w:t>
            </w:r>
            <w:r w:rsidRPr="0033727E">
              <w:rPr>
                <w:rFonts w:hAnsi="Garamond"/>
                <w:b/>
                <w:bCs/>
              </w:rPr>
              <w:t xml:space="preserve"> </w:t>
            </w:r>
            <w:r w:rsidRPr="0033727E">
              <w:rPr>
                <w:rFonts w:hAnsi="Garamond"/>
                <w:b/>
                <w:bCs/>
              </w:rPr>
              <w:t>КУЭ</w:t>
            </w:r>
            <w:r w:rsidRPr="0033727E">
              <w:rPr>
                <w:rFonts w:hAnsi="Garamond"/>
                <w:b/>
                <w:bCs/>
              </w:rPr>
              <w:t xml:space="preserve"> </w:t>
            </w:r>
            <w:r w:rsidRPr="0033727E">
              <w:rPr>
                <w:rFonts w:hAnsi="Garamond"/>
                <w:b/>
                <w:bCs/>
              </w:rPr>
              <w:t>в</w:t>
            </w:r>
            <w:r w:rsidRPr="0033727E">
              <w:rPr>
                <w:rFonts w:hAnsi="Garamond"/>
                <w:b/>
                <w:bCs/>
              </w:rPr>
              <w:t xml:space="preserve"> </w:t>
            </w:r>
            <w:r w:rsidRPr="0033727E">
              <w:rPr>
                <w:rFonts w:hAnsi="Garamond"/>
                <w:b/>
                <w:bCs/>
              </w:rPr>
              <w:t>ПАК</w:t>
            </w:r>
            <w:r w:rsidRPr="0033727E">
              <w:rPr>
                <w:rFonts w:hAnsi="Garamond"/>
                <w:b/>
                <w:bCs/>
              </w:rPr>
              <w:t xml:space="preserve"> </w:t>
            </w:r>
            <w:r w:rsidRPr="0033727E">
              <w:rPr>
                <w:rFonts w:hAnsi="Garamond"/>
                <w:b/>
                <w:bCs/>
              </w:rPr>
              <w:t>КО</w:t>
            </w:r>
          </w:p>
        </w:tc>
        <w:tc>
          <w:tcPr>
            <w:tcW w:w="1559" w:type="dxa"/>
            <w:vMerge w:val="restart"/>
            <w:tcBorders>
              <w:top w:val="single" w:sz="4" w:space="0" w:color="000000"/>
              <w:left w:val="single" w:sz="4" w:space="0" w:color="000000"/>
              <w:right w:val="single" w:sz="4" w:space="0" w:color="000000"/>
            </w:tcBorders>
            <w:vAlign w:val="center"/>
          </w:tcPr>
          <w:p w14:paraId="2A8C0BCD" w14:textId="77777777" w:rsidR="004B3B82" w:rsidRPr="00B83154" w:rsidRDefault="004B3B82" w:rsidP="00CD3B05">
            <w:pPr>
              <w:jc w:val="center"/>
              <w:rPr>
                <w:rFonts w:hAnsi="Garamond"/>
                <w:b/>
                <w:bCs/>
                <w:highlight w:val="yellow"/>
              </w:rPr>
            </w:pPr>
            <w:r>
              <w:rPr>
                <w:rFonts w:hAnsi="Garamond"/>
                <w:b/>
                <w:bCs/>
                <w:highlight w:val="yellow"/>
              </w:rPr>
              <w:t>Проверка</w:t>
            </w:r>
            <w:r>
              <w:rPr>
                <w:rFonts w:hAnsi="Garamond"/>
                <w:b/>
                <w:bCs/>
                <w:highlight w:val="yellow"/>
              </w:rPr>
              <w:t xml:space="preserve"> </w:t>
            </w:r>
            <w:r>
              <w:rPr>
                <w:rFonts w:hAnsi="Garamond"/>
                <w:b/>
                <w:bCs/>
                <w:highlight w:val="yellow"/>
              </w:rPr>
              <w:t>выполнения</w:t>
            </w:r>
            <w:r>
              <w:rPr>
                <w:rFonts w:hAnsi="Garamond"/>
                <w:b/>
                <w:bCs/>
                <w:highlight w:val="yellow"/>
              </w:rPr>
              <w:t xml:space="preserve"> </w:t>
            </w:r>
            <w:r>
              <w:rPr>
                <w:rFonts w:hAnsi="Garamond"/>
                <w:b/>
                <w:bCs/>
                <w:highlight w:val="yellow"/>
              </w:rPr>
              <w:t>системой</w:t>
            </w:r>
            <w:r>
              <w:rPr>
                <w:rFonts w:hAnsi="Garamond"/>
                <w:b/>
                <w:bCs/>
                <w:highlight w:val="yellow"/>
              </w:rPr>
              <w:t xml:space="preserve"> </w:t>
            </w:r>
            <w:r>
              <w:rPr>
                <w:rFonts w:hAnsi="Garamond"/>
                <w:b/>
                <w:bCs/>
                <w:highlight w:val="yellow"/>
              </w:rPr>
              <w:t>учета</w:t>
            </w:r>
            <w:r>
              <w:rPr>
                <w:rFonts w:hAnsi="Garamond"/>
                <w:b/>
                <w:bCs/>
                <w:highlight w:val="yellow"/>
              </w:rPr>
              <w:t xml:space="preserve"> </w:t>
            </w:r>
            <w:r>
              <w:rPr>
                <w:rFonts w:hAnsi="Garamond"/>
                <w:b/>
                <w:bCs/>
                <w:highlight w:val="yellow"/>
              </w:rPr>
              <w:t>технических</w:t>
            </w:r>
            <w:r>
              <w:rPr>
                <w:rFonts w:hAnsi="Garamond"/>
                <w:b/>
                <w:bCs/>
                <w:highlight w:val="yellow"/>
              </w:rPr>
              <w:t xml:space="preserve"> </w:t>
            </w:r>
            <w:r>
              <w:rPr>
                <w:rFonts w:hAnsi="Garamond"/>
                <w:b/>
                <w:bCs/>
                <w:highlight w:val="yellow"/>
              </w:rPr>
              <w:t>требований</w:t>
            </w:r>
            <w:r>
              <w:rPr>
                <w:rFonts w:hAnsi="Garamond"/>
                <w:b/>
                <w:bCs/>
                <w:highlight w:val="yellow"/>
              </w:rPr>
              <w:t xml:space="preserve"> </w:t>
            </w:r>
            <w:r>
              <w:rPr>
                <w:rFonts w:hAnsi="Garamond"/>
                <w:b/>
                <w:bCs/>
                <w:highlight w:val="yellow"/>
              </w:rPr>
              <w:t>оптового</w:t>
            </w:r>
            <w:r>
              <w:rPr>
                <w:rFonts w:hAnsi="Garamond"/>
                <w:b/>
                <w:bCs/>
                <w:highlight w:val="yellow"/>
              </w:rPr>
              <w:t xml:space="preserve"> </w:t>
            </w:r>
            <w:r>
              <w:rPr>
                <w:rFonts w:hAnsi="Garamond"/>
                <w:b/>
                <w:bCs/>
                <w:highlight w:val="yellow"/>
              </w:rPr>
              <w:t>рынка</w:t>
            </w:r>
          </w:p>
        </w:tc>
        <w:tc>
          <w:tcPr>
            <w:tcW w:w="1276" w:type="dxa"/>
            <w:vMerge w:val="restart"/>
            <w:tcBorders>
              <w:top w:val="single" w:sz="4" w:space="0" w:color="000000"/>
              <w:left w:val="single" w:sz="4" w:space="0" w:color="000000"/>
              <w:right w:val="single" w:sz="4" w:space="0" w:color="000000"/>
            </w:tcBorders>
            <w:vAlign w:val="center"/>
          </w:tcPr>
          <w:p w14:paraId="59AD7F41" w14:textId="77777777" w:rsidR="004B3B82" w:rsidRPr="00B83154" w:rsidRDefault="004B3B82" w:rsidP="00CD3B05">
            <w:pPr>
              <w:jc w:val="center"/>
              <w:rPr>
                <w:rFonts w:hAnsi="Garamond"/>
                <w:b/>
                <w:bCs/>
                <w:highlight w:val="yellow"/>
              </w:rPr>
            </w:pPr>
            <w:r w:rsidRPr="00B83154">
              <w:rPr>
                <w:rFonts w:hAnsi="Garamond"/>
                <w:b/>
                <w:bCs/>
                <w:highlight w:val="yellow"/>
              </w:rPr>
              <w:t>Испытания</w:t>
            </w:r>
          </w:p>
        </w:tc>
        <w:tc>
          <w:tcPr>
            <w:tcW w:w="1843" w:type="dxa"/>
            <w:vMerge w:val="restart"/>
            <w:tcBorders>
              <w:top w:val="single" w:sz="4" w:space="0" w:color="000000"/>
              <w:left w:val="single" w:sz="4" w:space="0" w:color="000000"/>
              <w:right w:val="single" w:sz="4" w:space="0" w:color="000000"/>
            </w:tcBorders>
            <w:vAlign w:val="center"/>
          </w:tcPr>
          <w:p w14:paraId="6FF7BAE6" w14:textId="77777777" w:rsidR="004B3B82" w:rsidRPr="00B83154" w:rsidRDefault="004B3B82" w:rsidP="00CD3B05">
            <w:pPr>
              <w:jc w:val="center"/>
              <w:rPr>
                <w:rFonts w:hAnsi="Garamond"/>
                <w:b/>
                <w:bCs/>
                <w:highlight w:val="yellow"/>
              </w:rPr>
            </w:pPr>
            <w:r w:rsidRPr="00B83154">
              <w:rPr>
                <w:rFonts w:hAnsi="Garamond"/>
                <w:b/>
                <w:bCs/>
                <w:highlight w:val="yellow"/>
              </w:rPr>
              <w:t>Проверка</w:t>
            </w:r>
            <w:r w:rsidRPr="00B83154">
              <w:rPr>
                <w:rFonts w:hAnsi="Garamond"/>
                <w:b/>
                <w:bCs/>
                <w:highlight w:val="yellow"/>
              </w:rPr>
              <w:t xml:space="preserve"> </w:t>
            </w:r>
            <w:r w:rsidRPr="00B83154">
              <w:rPr>
                <w:rFonts w:hAnsi="Garamond"/>
                <w:b/>
                <w:bCs/>
                <w:highlight w:val="yellow"/>
              </w:rPr>
              <w:t>передачи</w:t>
            </w:r>
            <w:r w:rsidRPr="00B83154">
              <w:rPr>
                <w:rFonts w:hAnsi="Garamond"/>
                <w:b/>
                <w:bCs/>
                <w:highlight w:val="yellow"/>
              </w:rPr>
              <w:t xml:space="preserve"> </w:t>
            </w:r>
            <w:r w:rsidRPr="00B83154">
              <w:rPr>
                <w:rFonts w:hAnsi="Garamond"/>
                <w:b/>
                <w:bCs/>
                <w:highlight w:val="yellow"/>
              </w:rPr>
              <w:t>результатов</w:t>
            </w:r>
            <w:r w:rsidRPr="00B83154">
              <w:rPr>
                <w:rFonts w:hAnsi="Garamond"/>
                <w:b/>
                <w:bCs/>
                <w:highlight w:val="yellow"/>
              </w:rPr>
              <w:t xml:space="preserve"> </w:t>
            </w:r>
            <w:r w:rsidRPr="00B83154">
              <w:rPr>
                <w:rFonts w:hAnsi="Garamond"/>
                <w:b/>
                <w:bCs/>
                <w:highlight w:val="yellow"/>
              </w:rPr>
              <w:t>измерений</w:t>
            </w:r>
            <w:r w:rsidRPr="00B83154">
              <w:rPr>
                <w:rFonts w:hAnsi="Garamond"/>
                <w:b/>
                <w:bCs/>
                <w:highlight w:val="yellow"/>
              </w:rPr>
              <w:t xml:space="preserve"> </w:t>
            </w:r>
            <w:r w:rsidRPr="00B83154">
              <w:rPr>
                <w:rFonts w:hAnsi="Garamond"/>
                <w:b/>
                <w:bCs/>
                <w:highlight w:val="yellow"/>
              </w:rPr>
              <w:t>от</w:t>
            </w:r>
            <w:r w:rsidRPr="00B83154">
              <w:rPr>
                <w:rFonts w:hAnsi="Garamond"/>
                <w:b/>
                <w:bCs/>
                <w:highlight w:val="yellow"/>
              </w:rPr>
              <w:t xml:space="preserve"> </w:t>
            </w:r>
            <w:r w:rsidRPr="00B83154">
              <w:rPr>
                <w:rFonts w:hAnsi="Garamond"/>
                <w:b/>
                <w:bCs/>
                <w:highlight w:val="yellow"/>
              </w:rPr>
              <w:t>системы</w:t>
            </w:r>
            <w:r w:rsidRPr="00B83154">
              <w:rPr>
                <w:rFonts w:hAnsi="Garamond"/>
                <w:b/>
                <w:bCs/>
                <w:highlight w:val="yellow"/>
              </w:rPr>
              <w:t xml:space="preserve"> </w:t>
            </w:r>
            <w:r w:rsidRPr="00B83154">
              <w:rPr>
                <w:rFonts w:hAnsi="Garamond"/>
                <w:b/>
                <w:bCs/>
                <w:highlight w:val="yellow"/>
              </w:rPr>
              <w:t>учета</w:t>
            </w:r>
            <w:r w:rsidRPr="00B83154">
              <w:rPr>
                <w:rFonts w:hAnsi="Garamond"/>
                <w:b/>
                <w:bCs/>
                <w:highlight w:val="yellow"/>
              </w:rPr>
              <w:t xml:space="preserve"> </w:t>
            </w:r>
            <w:r w:rsidRPr="00B83154">
              <w:rPr>
                <w:rFonts w:hAnsi="Garamond"/>
                <w:b/>
                <w:bCs/>
                <w:highlight w:val="yellow"/>
              </w:rPr>
              <w:t>в</w:t>
            </w:r>
            <w:r w:rsidRPr="00B83154">
              <w:rPr>
                <w:rFonts w:hAnsi="Garamond"/>
                <w:b/>
                <w:bCs/>
                <w:highlight w:val="yellow"/>
              </w:rPr>
              <w:t xml:space="preserve"> </w:t>
            </w:r>
            <w:r w:rsidRPr="00B83154">
              <w:rPr>
                <w:rFonts w:hAnsi="Garamond"/>
                <w:b/>
                <w:bCs/>
                <w:highlight w:val="yellow"/>
              </w:rPr>
              <w:t>ПАК</w:t>
            </w:r>
            <w:r w:rsidRPr="00B83154">
              <w:rPr>
                <w:rFonts w:hAnsi="Garamond"/>
                <w:b/>
                <w:bCs/>
                <w:highlight w:val="yellow"/>
              </w:rPr>
              <w:t xml:space="preserve"> </w:t>
            </w:r>
            <w:r w:rsidRPr="00B83154">
              <w:rPr>
                <w:rFonts w:hAnsi="Garamond"/>
                <w:b/>
                <w:bCs/>
                <w:highlight w:val="yellow"/>
              </w:rPr>
              <w:t>КО</w:t>
            </w:r>
          </w:p>
        </w:tc>
      </w:tr>
      <w:tr w:rsidR="004B3B82" w14:paraId="14065469" w14:textId="77777777" w:rsidTr="00CD3B05">
        <w:trPr>
          <w:trHeight w:val="250"/>
          <w:tblHeader/>
        </w:trPr>
        <w:tc>
          <w:tcPr>
            <w:tcW w:w="5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A30114C" w14:textId="77777777" w:rsidR="004B3B82" w:rsidRDefault="004B3B82" w:rsidP="00CD3B05"/>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1146115" w14:textId="77777777" w:rsidR="004B3B82" w:rsidRDefault="004B3B82" w:rsidP="00CD3B05"/>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5DD3F9D" w14:textId="77777777" w:rsidR="004B3B82" w:rsidRDefault="004B3B82" w:rsidP="00CD3B05"/>
        </w:tc>
        <w:tc>
          <w:tcPr>
            <w:tcW w:w="102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3DE53D5" w14:textId="77777777" w:rsidR="004B3B82" w:rsidRDefault="004B3B82" w:rsidP="00CD3B05">
            <w:pPr>
              <w:jc w:val="center"/>
            </w:pPr>
            <w:r w:rsidRPr="004D7191">
              <w:rPr>
                <w:rFonts w:hAnsi="Garamond"/>
                <w:b/>
                <w:bCs/>
              </w:rPr>
              <w:t>А</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342FE81" w14:textId="77777777" w:rsidR="004B3B82" w:rsidRDefault="004B3B82" w:rsidP="00CD3B05">
            <w:pPr>
              <w:jc w:val="center"/>
            </w:pPr>
            <w:r w:rsidRPr="004D7191">
              <w:rPr>
                <w:rFonts w:ascii="Garamond"/>
                <w:b/>
                <w:bCs/>
                <w:lang w:val="en-US"/>
              </w:rPr>
              <w:t>N</w:t>
            </w:r>
          </w:p>
        </w:tc>
        <w:tc>
          <w:tcPr>
            <w:tcW w:w="9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C2A5277" w14:textId="77777777" w:rsidR="004B3B82" w:rsidRDefault="004B3B82" w:rsidP="00CD3B05">
            <w:pPr>
              <w:jc w:val="center"/>
            </w:pPr>
            <w:r w:rsidRPr="004D7191">
              <w:rPr>
                <w:rFonts w:hAnsi="Garamond"/>
                <w:b/>
                <w:bCs/>
              </w:rPr>
              <w:t>А</w:t>
            </w:r>
          </w:p>
        </w:tc>
        <w:tc>
          <w:tcPr>
            <w:tcW w:w="74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EAA4A2A" w14:textId="77777777" w:rsidR="004B3B82" w:rsidRDefault="004B3B82" w:rsidP="00CD3B05">
            <w:pPr>
              <w:jc w:val="center"/>
            </w:pPr>
            <w:r w:rsidRPr="004D7191">
              <w:rPr>
                <w:rFonts w:ascii="Garamond"/>
                <w:b/>
                <w:bCs/>
                <w:lang w:val="en-US"/>
              </w:rPr>
              <w:t>N</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5EC0A2A" w14:textId="77777777" w:rsidR="004B3B82" w:rsidRDefault="004B3B82" w:rsidP="00CD3B05">
            <w:pPr>
              <w:jc w:val="center"/>
            </w:pPr>
            <w:r w:rsidRPr="004D7191">
              <w:rPr>
                <w:rFonts w:hAnsi="Garamond"/>
                <w:b/>
                <w:bCs/>
              </w:rPr>
              <w:t>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B4EF673" w14:textId="77777777" w:rsidR="004B3B82" w:rsidRDefault="004B3B82" w:rsidP="00CD3B05">
            <w:pPr>
              <w:jc w:val="center"/>
            </w:pPr>
            <w:r w:rsidRPr="004D7191">
              <w:rPr>
                <w:rFonts w:ascii="Garamond"/>
                <w:b/>
                <w:bCs/>
                <w:lang w:val="en-US"/>
              </w:rPr>
              <w:t>N</w:t>
            </w:r>
          </w:p>
        </w:tc>
        <w:tc>
          <w:tcPr>
            <w:tcW w:w="1559" w:type="dxa"/>
            <w:vMerge/>
            <w:tcBorders>
              <w:left w:val="single" w:sz="4" w:space="0" w:color="000000"/>
              <w:bottom w:val="single" w:sz="4" w:space="0" w:color="000000"/>
              <w:right w:val="single" w:sz="4" w:space="0" w:color="000000"/>
            </w:tcBorders>
            <w:vAlign w:val="center"/>
          </w:tcPr>
          <w:p w14:paraId="1F518A19" w14:textId="77777777" w:rsidR="004B3B82" w:rsidRPr="00B83154" w:rsidRDefault="004B3B82" w:rsidP="00CD3B05">
            <w:pPr>
              <w:jc w:val="center"/>
              <w:rPr>
                <w:rFonts w:ascii="Garamond"/>
                <w:b/>
                <w:bCs/>
                <w:highlight w:val="yellow"/>
                <w:lang w:val="en-US"/>
              </w:rPr>
            </w:pPr>
          </w:p>
        </w:tc>
        <w:tc>
          <w:tcPr>
            <w:tcW w:w="1276" w:type="dxa"/>
            <w:vMerge/>
            <w:tcBorders>
              <w:left w:val="single" w:sz="4" w:space="0" w:color="000000"/>
              <w:bottom w:val="single" w:sz="4" w:space="0" w:color="000000"/>
              <w:right w:val="single" w:sz="4" w:space="0" w:color="000000"/>
            </w:tcBorders>
            <w:vAlign w:val="center"/>
          </w:tcPr>
          <w:p w14:paraId="162B9F5A" w14:textId="77777777" w:rsidR="004B3B82" w:rsidRPr="00B83154" w:rsidRDefault="004B3B82" w:rsidP="00CD3B05">
            <w:pPr>
              <w:jc w:val="center"/>
              <w:rPr>
                <w:rFonts w:ascii="Garamond"/>
                <w:b/>
                <w:bCs/>
                <w:highlight w:val="yellow"/>
                <w:lang w:val="en-US"/>
              </w:rPr>
            </w:pPr>
          </w:p>
        </w:tc>
        <w:tc>
          <w:tcPr>
            <w:tcW w:w="1843" w:type="dxa"/>
            <w:vMerge/>
            <w:tcBorders>
              <w:left w:val="single" w:sz="4" w:space="0" w:color="000000"/>
              <w:bottom w:val="single" w:sz="4" w:space="0" w:color="000000"/>
              <w:right w:val="single" w:sz="4" w:space="0" w:color="000000"/>
            </w:tcBorders>
            <w:vAlign w:val="center"/>
          </w:tcPr>
          <w:p w14:paraId="228CF100" w14:textId="77777777" w:rsidR="004B3B82" w:rsidRPr="00B83154" w:rsidRDefault="004B3B82" w:rsidP="00CD3B05">
            <w:pPr>
              <w:jc w:val="center"/>
              <w:rPr>
                <w:rFonts w:ascii="Garamond"/>
                <w:b/>
                <w:bCs/>
                <w:highlight w:val="yellow"/>
                <w:lang w:val="en-US"/>
              </w:rPr>
            </w:pPr>
          </w:p>
        </w:tc>
      </w:tr>
      <w:tr w:rsidR="004B3B82" w14:paraId="47E70357" w14:textId="77777777" w:rsidTr="00CD3B05">
        <w:trPr>
          <w:trHeight w:val="250"/>
        </w:trPr>
        <w:tc>
          <w:tcPr>
            <w:tcW w:w="5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1E0F797" w14:textId="77777777" w:rsidR="004B3B82" w:rsidRDefault="004B3B82" w:rsidP="00CD3B05"/>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E874594" w14:textId="77777777" w:rsidR="004B3B82" w:rsidRDefault="004B3B82" w:rsidP="00CD3B05"/>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8523EB" w14:textId="77777777" w:rsidR="004B3B82" w:rsidRDefault="004B3B82" w:rsidP="00CD3B05">
            <w:r>
              <w:rPr>
                <w:rFonts w:ascii="Garamond"/>
                <w:b/>
                <w:bCs/>
              </w:rPr>
              <w:t>1</w:t>
            </w:r>
            <w:r w:rsidRPr="004D7191">
              <w:rPr>
                <w:rFonts w:ascii="Garamond"/>
                <w:b/>
                <w:bCs/>
              </w:rPr>
              <w:t xml:space="preserve">. </w:t>
            </w:r>
            <w:r w:rsidRPr="004D7191">
              <w:rPr>
                <w:rFonts w:hAnsi="Garamond"/>
                <w:b/>
                <w:bCs/>
              </w:rPr>
              <w:t>ЗАЩИЩЕННОСТЬ</w:t>
            </w:r>
          </w:p>
        </w:tc>
        <w:tc>
          <w:tcPr>
            <w:tcW w:w="102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CBFD074" w14:textId="77777777" w:rsidR="004B3B82" w:rsidRDefault="004B3B82" w:rsidP="00CD3B05">
            <w:pPr>
              <w:jc w:val="center"/>
            </w:pP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5ACC311" w14:textId="77777777" w:rsidR="004B3B82" w:rsidRDefault="004B3B82" w:rsidP="00CD3B05">
            <w:pPr>
              <w:jc w:val="center"/>
            </w:pPr>
          </w:p>
        </w:tc>
        <w:tc>
          <w:tcPr>
            <w:tcW w:w="9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FC41D3F" w14:textId="77777777" w:rsidR="004B3B82" w:rsidRDefault="004B3B82" w:rsidP="00CD3B05">
            <w:pPr>
              <w:jc w:val="center"/>
            </w:pPr>
          </w:p>
        </w:tc>
        <w:tc>
          <w:tcPr>
            <w:tcW w:w="74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1A2CAF6" w14:textId="77777777" w:rsidR="004B3B82" w:rsidRDefault="004B3B82" w:rsidP="00CD3B05">
            <w:pPr>
              <w:jc w:val="center"/>
            </w:pP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D51075F" w14:textId="77777777" w:rsidR="004B3B82" w:rsidRDefault="004B3B82" w:rsidP="00CD3B05">
            <w:pPr>
              <w:jc w:val="cente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894B6B5" w14:textId="77777777" w:rsidR="004B3B82" w:rsidRDefault="004B3B82" w:rsidP="00CD3B05">
            <w:pPr>
              <w:jc w:val="center"/>
            </w:pPr>
          </w:p>
        </w:tc>
        <w:tc>
          <w:tcPr>
            <w:tcW w:w="1559" w:type="dxa"/>
            <w:tcBorders>
              <w:top w:val="single" w:sz="4" w:space="0" w:color="000000"/>
              <w:left w:val="single" w:sz="4" w:space="0" w:color="000000"/>
              <w:bottom w:val="single" w:sz="4" w:space="0" w:color="000000"/>
              <w:right w:val="single" w:sz="4" w:space="0" w:color="000000"/>
            </w:tcBorders>
            <w:vAlign w:val="center"/>
          </w:tcPr>
          <w:p w14:paraId="3C320683" w14:textId="77777777" w:rsidR="004B3B82" w:rsidRPr="00B83154" w:rsidRDefault="004B3B82" w:rsidP="00CD3B05">
            <w:pPr>
              <w:jc w:val="center"/>
              <w:rPr>
                <w:highlight w:val="yellow"/>
              </w:rPr>
            </w:pPr>
          </w:p>
        </w:tc>
        <w:tc>
          <w:tcPr>
            <w:tcW w:w="1276" w:type="dxa"/>
            <w:tcBorders>
              <w:top w:val="single" w:sz="4" w:space="0" w:color="000000"/>
              <w:left w:val="single" w:sz="4" w:space="0" w:color="000000"/>
              <w:bottom w:val="single" w:sz="4" w:space="0" w:color="000000"/>
              <w:right w:val="single" w:sz="4" w:space="0" w:color="000000"/>
            </w:tcBorders>
            <w:vAlign w:val="center"/>
          </w:tcPr>
          <w:p w14:paraId="66309160" w14:textId="77777777" w:rsidR="004B3B82" w:rsidRPr="00B83154" w:rsidRDefault="004B3B82" w:rsidP="00CD3B05">
            <w:pPr>
              <w:jc w:val="center"/>
              <w:rPr>
                <w:highlight w:val="yellow"/>
              </w:rPr>
            </w:pPr>
          </w:p>
        </w:tc>
        <w:tc>
          <w:tcPr>
            <w:tcW w:w="1843" w:type="dxa"/>
            <w:tcBorders>
              <w:top w:val="single" w:sz="4" w:space="0" w:color="000000"/>
              <w:left w:val="single" w:sz="4" w:space="0" w:color="000000"/>
              <w:bottom w:val="single" w:sz="4" w:space="0" w:color="000000"/>
              <w:right w:val="single" w:sz="4" w:space="0" w:color="000000"/>
            </w:tcBorders>
            <w:vAlign w:val="center"/>
          </w:tcPr>
          <w:p w14:paraId="7045FC25" w14:textId="77777777" w:rsidR="004B3B82" w:rsidRPr="00B83154" w:rsidRDefault="004B3B82" w:rsidP="00CD3B05">
            <w:pPr>
              <w:jc w:val="center"/>
              <w:rPr>
                <w:highlight w:val="yellow"/>
              </w:rPr>
            </w:pPr>
          </w:p>
        </w:tc>
      </w:tr>
      <w:tr w:rsidR="004B3B82" w14:paraId="4552A06B" w14:textId="77777777" w:rsidTr="00CD3B05">
        <w:trPr>
          <w:trHeight w:val="753"/>
        </w:trPr>
        <w:tc>
          <w:tcPr>
            <w:tcW w:w="5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477E9AA" w14:textId="77777777" w:rsidR="004B3B82" w:rsidRPr="006F22AB" w:rsidRDefault="004B3B82" w:rsidP="00CD3B05">
            <w:pPr>
              <w:jc w:val="center"/>
              <w:rPr>
                <w:rFonts w:ascii="Garamond" w:hAnsi="Garamond"/>
              </w:rPr>
            </w:pPr>
            <w:r>
              <w:rPr>
                <w:rFonts w:ascii="Garamond" w:hAnsi="Garamond"/>
              </w:rPr>
              <w:t>1</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74BD60F" w14:textId="77777777" w:rsidR="004B3B82" w:rsidRDefault="004B3B82" w:rsidP="00CD3B05">
            <w:pPr>
              <w:jc w:val="center"/>
            </w:pPr>
            <w:r w:rsidRPr="004D7191">
              <w:rPr>
                <w:rFonts w:hAnsi="Garamond"/>
              </w:rPr>
              <w:t>П</w:t>
            </w:r>
            <w:r w:rsidRPr="004D7191">
              <w:rPr>
                <w:rFonts w:hAnsi="Garamond"/>
                <w:vertAlign w:val="subscript"/>
              </w:rPr>
              <w:t>З</w:t>
            </w:r>
            <w:r w:rsidRPr="004D7191">
              <w:rPr>
                <w:rFonts w:ascii="Garamond"/>
                <w:vertAlign w:val="subscript"/>
              </w:rPr>
              <w:t>13</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35FB2E1" w14:textId="77777777" w:rsidR="004B3B82" w:rsidRDefault="004B3B82" w:rsidP="00CD3B05">
            <w:pPr>
              <w:ind w:left="34"/>
            </w:pPr>
            <w:r w:rsidRPr="004D7191">
              <w:rPr>
                <w:rFonts w:hAnsi="Garamond"/>
              </w:rPr>
              <w:t>Защита</w:t>
            </w:r>
            <w:r w:rsidRPr="004D7191">
              <w:rPr>
                <w:rFonts w:hAnsi="Garamond"/>
              </w:rPr>
              <w:t xml:space="preserve"> </w:t>
            </w:r>
            <w:r w:rsidRPr="004D7191">
              <w:rPr>
                <w:rFonts w:hAnsi="Garamond"/>
              </w:rPr>
              <w:t>информации</w:t>
            </w:r>
            <w:r w:rsidRPr="004D7191">
              <w:rPr>
                <w:rFonts w:hAnsi="Garamond"/>
              </w:rPr>
              <w:t xml:space="preserve"> </w:t>
            </w:r>
            <w:r w:rsidRPr="004D7191">
              <w:rPr>
                <w:rFonts w:hAnsi="Garamond"/>
              </w:rPr>
              <w:t>на</w:t>
            </w:r>
            <w:r w:rsidRPr="004D7191">
              <w:rPr>
                <w:rFonts w:hAnsi="Garamond"/>
                <w:lang w:val="en-US"/>
              </w:rPr>
              <w:t> </w:t>
            </w:r>
            <w:r w:rsidRPr="004D7191">
              <w:rPr>
                <w:rFonts w:hAnsi="Garamond"/>
              </w:rPr>
              <w:t>программном</w:t>
            </w:r>
            <w:r w:rsidRPr="004D7191">
              <w:rPr>
                <w:rFonts w:hAnsi="Garamond"/>
              </w:rPr>
              <w:t xml:space="preserve"> </w:t>
            </w:r>
            <w:r w:rsidRPr="004D7191">
              <w:rPr>
                <w:rFonts w:hAnsi="Garamond"/>
              </w:rPr>
              <w:t>уровне</w:t>
            </w:r>
            <w:r w:rsidRPr="004D7191">
              <w:rPr>
                <w:rFonts w:hAnsi="Garamond"/>
              </w:rPr>
              <w:t xml:space="preserve"> </w:t>
            </w:r>
            <w:r w:rsidRPr="004D7191">
              <w:rPr>
                <w:rFonts w:hAnsi="Garamond"/>
              </w:rPr>
              <w:t>при</w:t>
            </w:r>
            <w:r w:rsidRPr="004D7191">
              <w:rPr>
                <w:rFonts w:hAnsi="Garamond"/>
                <w:lang w:val="en-US"/>
              </w:rPr>
              <w:t> </w:t>
            </w:r>
            <w:r w:rsidRPr="004D7191">
              <w:rPr>
                <w:rFonts w:hAnsi="Garamond"/>
              </w:rPr>
              <w:t>параметрировании</w:t>
            </w:r>
            <w:r w:rsidRPr="004D7191">
              <w:rPr>
                <w:rFonts w:hAnsi="Garamond"/>
              </w:rPr>
              <w:t xml:space="preserve"> </w:t>
            </w:r>
            <w:r w:rsidRPr="004D7191">
              <w:rPr>
                <w:rFonts w:hAnsi="Garamond"/>
              </w:rPr>
              <w:t>–</w:t>
            </w:r>
            <w:r w:rsidRPr="004D7191">
              <w:rPr>
                <w:rFonts w:hAnsi="Garamond"/>
              </w:rPr>
              <w:t xml:space="preserve"> </w:t>
            </w:r>
            <w:r w:rsidRPr="004D7191">
              <w:rPr>
                <w:rFonts w:hAnsi="Garamond"/>
              </w:rPr>
              <w:t>установка</w:t>
            </w:r>
            <w:r w:rsidRPr="004D7191">
              <w:rPr>
                <w:rFonts w:hAnsi="Garamond"/>
              </w:rPr>
              <w:t xml:space="preserve"> </w:t>
            </w:r>
            <w:r w:rsidRPr="004D7191">
              <w:rPr>
                <w:rFonts w:hAnsi="Garamond"/>
              </w:rPr>
              <w:t>пароля</w:t>
            </w:r>
            <w:r w:rsidRPr="004D7191">
              <w:rPr>
                <w:rFonts w:hAnsi="Garamond"/>
              </w:rPr>
              <w:t xml:space="preserve"> </w:t>
            </w:r>
            <w:r w:rsidRPr="004D7191">
              <w:rPr>
                <w:rFonts w:hAnsi="Garamond"/>
              </w:rPr>
              <w:t>на</w:t>
            </w:r>
            <w:r w:rsidRPr="004D7191">
              <w:rPr>
                <w:rFonts w:hAnsi="Garamond"/>
              </w:rPr>
              <w:t xml:space="preserve"> </w:t>
            </w:r>
            <w:r w:rsidRPr="00B83154">
              <w:rPr>
                <w:rFonts w:hAnsi="Garamond"/>
                <w:highlight w:val="yellow"/>
              </w:rPr>
              <w:t>прибор</w:t>
            </w:r>
            <w:r w:rsidRPr="00B83154">
              <w:rPr>
                <w:rFonts w:hAnsi="Garamond"/>
                <w:highlight w:val="yellow"/>
              </w:rPr>
              <w:t xml:space="preserve"> </w:t>
            </w:r>
            <w:r w:rsidRPr="00B83154">
              <w:rPr>
                <w:rFonts w:hAnsi="Garamond"/>
                <w:highlight w:val="yellow"/>
              </w:rPr>
              <w:t>учета</w:t>
            </w:r>
          </w:p>
        </w:tc>
        <w:tc>
          <w:tcPr>
            <w:tcW w:w="102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95E0269" w14:textId="77777777" w:rsidR="004B3B82" w:rsidRDefault="004B3B82" w:rsidP="00CD3B05">
            <w:pPr>
              <w:jc w:val="center"/>
            </w:pP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68F311C" w14:textId="77777777" w:rsidR="004B3B82" w:rsidRDefault="004B3B82" w:rsidP="00CD3B05">
            <w:pPr>
              <w:jc w:val="center"/>
            </w:pPr>
          </w:p>
        </w:tc>
        <w:tc>
          <w:tcPr>
            <w:tcW w:w="9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E5BFD80" w14:textId="77777777" w:rsidR="004B3B82" w:rsidRDefault="004B3B82" w:rsidP="00CD3B05">
            <w:pPr>
              <w:jc w:val="center"/>
            </w:pPr>
            <w:r w:rsidRPr="004D7191">
              <w:rPr>
                <w:rFonts w:hAnsi="Garamond"/>
              </w:rPr>
              <w:t>Да</w:t>
            </w:r>
          </w:p>
        </w:tc>
        <w:tc>
          <w:tcPr>
            <w:tcW w:w="74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A18FAEE" w14:textId="77777777" w:rsidR="004B3B82" w:rsidRDefault="004B3B82" w:rsidP="00CD3B05">
            <w:pPr>
              <w:jc w:val="center"/>
            </w:pPr>
            <w:r w:rsidRPr="004D7191">
              <w:rPr>
                <w:rFonts w:hAnsi="Garamond"/>
              </w:rPr>
              <w:t>Да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B5F57CD" w14:textId="77777777" w:rsidR="004B3B82" w:rsidRDefault="004B3B82" w:rsidP="00CD3B05">
            <w:pPr>
              <w:jc w:val="cente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3B8170E" w14:textId="77777777" w:rsidR="004B3B82" w:rsidRDefault="004B3B82" w:rsidP="00CD3B05">
            <w:pPr>
              <w:jc w:val="center"/>
            </w:pPr>
          </w:p>
        </w:tc>
        <w:tc>
          <w:tcPr>
            <w:tcW w:w="1559" w:type="dxa"/>
            <w:tcBorders>
              <w:top w:val="single" w:sz="4" w:space="0" w:color="000000"/>
              <w:left w:val="single" w:sz="4" w:space="0" w:color="000000"/>
              <w:bottom w:val="single" w:sz="4" w:space="0" w:color="000000"/>
              <w:right w:val="single" w:sz="4" w:space="0" w:color="000000"/>
            </w:tcBorders>
            <w:vAlign w:val="center"/>
          </w:tcPr>
          <w:p w14:paraId="28596E25" w14:textId="77777777" w:rsidR="004B3B82" w:rsidRPr="00B83154" w:rsidRDefault="004B3B82" w:rsidP="00CD3B05">
            <w:pPr>
              <w:jc w:val="center"/>
              <w:rPr>
                <w:highlight w:val="yellow"/>
              </w:rPr>
            </w:pPr>
          </w:p>
        </w:tc>
        <w:tc>
          <w:tcPr>
            <w:tcW w:w="1276" w:type="dxa"/>
            <w:tcBorders>
              <w:top w:val="single" w:sz="4" w:space="0" w:color="000000"/>
              <w:left w:val="single" w:sz="4" w:space="0" w:color="000000"/>
              <w:bottom w:val="single" w:sz="4" w:space="0" w:color="000000"/>
              <w:right w:val="single" w:sz="4" w:space="0" w:color="000000"/>
            </w:tcBorders>
            <w:vAlign w:val="center"/>
          </w:tcPr>
          <w:p w14:paraId="09E3572A" w14:textId="77777777" w:rsidR="004B3B82" w:rsidRPr="00B83154" w:rsidRDefault="004B3B82" w:rsidP="00CD3B05">
            <w:pPr>
              <w:jc w:val="center"/>
              <w:rPr>
                <w:highlight w:val="yellow"/>
              </w:rPr>
            </w:pPr>
            <w:r w:rsidRPr="00B83154">
              <w:rPr>
                <w:rFonts w:hAnsi="Garamond"/>
                <w:highlight w:val="yellow"/>
              </w:rPr>
              <w:t>Да</w:t>
            </w:r>
          </w:p>
        </w:tc>
        <w:tc>
          <w:tcPr>
            <w:tcW w:w="1843" w:type="dxa"/>
            <w:tcBorders>
              <w:top w:val="single" w:sz="4" w:space="0" w:color="000000"/>
              <w:left w:val="single" w:sz="4" w:space="0" w:color="000000"/>
              <w:bottom w:val="single" w:sz="4" w:space="0" w:color="000000"/>
              <w:right w:val="single" w:sz="4" w:space="0" w:color="000000"/>
            </w:tcBorders>
            <w:vAlign w:val="center"/>
          </w:tcPr>
          <w:p w14:paraId="719391F0" w14:textId="77777777" w:rsidR="004B3B82" w:rsidRPr="00B83154" w:rsidRDefault="004B3B82" w:rsidP="00CD3B05">
            <w:pPr>
              <w:jc w:val="center"/>
              <w:rPr>
                <w:highlight w:val="yellow"/>
              </w:rPr>
            </w:pPr>
          </w:p>
        </w:tc>
      </w:tr>
      <w:tr w:rsidR="004B3B82" w14:paraId="739CFE78" w14:textId="77777777" w:rsidTr="00CD3B05">
        <w:trPr>
          <w:trHeight w:val="589"/>
        </w:trPr>
        <w:tc>
          <w:tcPr>
            <w:tcW w:w="5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DE10902" w14:textId="77777777" w:rsidR="004B3B82" w:rsidRPr="006F22AB" w:rsidRDefault="004B3B82" w:rsidP="00CD3B05">
            <w:pPr>
              <w:jc w:val="center"/>
              <w:rPr>
                <w:rFonts w:ascii="Garamond" w:hAnsi="Garamond"/>
              </w:rPr>
            </w:pPr>
            <w:r>
              <w:rPr>
                <w:rFonts w:ascii="Garamond" w:hAnsi="Garamond"/>
              </w:rPr>
              <w:t>2</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D2346EE" w14:textId="77777777" w:rsidR="004B3B82" w:rsidRDefault="004B3B82" w:rsidP="00CD3B05">
            <w:pPr>
              <w:jc w:val="center"/>
            </w:pPr>
            <w:r w:rsidRPr="004D7191">
              <w:rPr>
                <w:rFonts w:hAnsi="Garamond"/>
              </w:rPr>
              <w:t>П</w:t>
            </w:r>
            <w:r w:rsidRPr="004D7191">
              <w:rPr>
                <w:rFonts w:hAnsi="Garamond"/>
                <w:vertAlign w:val="subscript"/>
              </w:rPr>
              <w:t>З</w:t>
            </w:r>
            <w:r w:rsidRPr="004D7191">
              <w:rPr>
                <w:rFonts w:ascii="Garamond"/>
                <w:vertAlign w:val="subscript"/>
              </w:rPr>
              <w:t>14</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D64CA97" w14:textId="77777777" w:rsidR="004B3B82" w:rsidRDefault="004B3B82" w:rsidP="00CD3B05">
            <w:pPr>
              <w:ind w:left="34"/>
            </w:pPr>
            <w:r w:rsidRPr="004D7191">
              <w:rPr>
                <w:rFonts w:hAnsi="Garamond"/>
              </w:rPr>
              <w:t>Защита</w:t>
            </w:r>
            <w:r w:rsidRPr="004D7191">
              <w:rPr>
                <w:rFonts w:hAnsi="Garamond"/>
              </w:rPr>
              <w:t xml:space="preserve"> </w:t>
            </w:r>
            <w:r w:rsidRPr="004D7191">
              <w:rPr>
                <w:rFonts w:hAnsi="Garamond"/>
              </w:rPr>
              <w:t>информации</w:t>
            </w:r>
            <w:r w:rsidRPr="004D7191">
              <w:rPr>
                <w:rFonts w:hAnsi="Garamond"/>
              </w:rPr>
              <w:t xml:space="preserve"> </w:t>
            </w:r>
            <w:r w:rsidRPr="004D7191">
              <w:rPr>
                <w:rFonts w:hAnsi="Garamond"/>
              </w:rPr>
              <w:t>на</w:t>
            </w:r>
            <w:r w:rsidRPr="004D7191">
              <w:rPr>
                <w:rFonts w:hAnsi="Garamond"/>
              </w:rPr>
              <w:t xml:space="preserve"> </w:t>
            </w:r>
            <w:r w:rsidRPr="004D7191">
              <w:rPr>
                <w:rFonts w:hAnsi="Garamond"/>
              </w:rPr>
              <w:t>программном</w:t>
            </w:r>
            <w:r w:rsidRPr="004D7191">
              <w:rPr>
                <w:rFonts w:hAnsi="Garamond"/>
              </w:rPr>
              <w:t xml:space="preserve"> </w:t>
            </w:r>
            <w:r w:rsidRPr="004D7191">
              <w:rPr>
                <w:rFonts w:hAnsi="Garamond"/>
              </w:rPr>
              <w:t>уровне</w:t>
            </w:r>
            <w:r w:rsidRPr="004D7191">
              <w:rPr>
                <w:rFonts w:hAnsi="Garamond"/>
              </w:rPr>
              <w:t xml:space="preserve"> </w:t>
            </w:r>
            <w:r w:rsidRPr="004D7191">
              <w:rPr>
                <w:rFonts w:hAnsi="Garamond"/>
              </w:rPr>
              <w:t>при</w:t>
            </w:r>
            <w:r w:rsidRPr="004D7191">
              <w:rPr>
                <w:rFonts w:hAnsi="Garamond"/>
              </w:rPr>
              <w:t xml:space="preserve"> </w:t>
            </w:r>
            <w:r w:rsidRPr="004D7191">
              <w:rPr>
                <w:rFonts w:hAnsi="Garamond"/>
              </w:rPr>
              <w:t>параметрировании</w:t>
            </w:r>
            <w:r w:rsidRPr="004D7191">
              <w:rPr>
                <w:rFonts w:hAnsi="Garamond"/>
              </w:rPr>
              <w:t xml:space="preserve"> </w:t>
            </w:r>
            <w:r>
              <w:rPr>
                <w:rFonts w:ascii="Garamond"/>
              </w:rPr>
              <w:t>–</w:t>
            </w:r>
            <w:r w:rsidRPr="004D7191">
              <w:rPr>
                <w:rFonts w:ascii="Garamond"/>
              </w:rPr>
              <w:t xml:space="preserve"> </w:t>
            </w:r>
            <w:r w:rsidRPr="004D7191">
              <w:rPr>
                <w:rFonts w:hAnsi="Garamond"/>
              </w:rPr>
              <w:t>установка</w:t>
            </w:r>
            <w:r w:rsidRPr="004D7191">
              <w:rPr>
                <w:rFonts w:hAnsi="Garamond"/>
              </w:rPr>
              <w:t xml:space="preserve"> </w:t>
            </w:r>
            <w:r w:rsidRPr="004D7191">
              <w:rPr>
                <w:rFonts w:hAnsi="Garamond"/>
              </w:rPr>
              <w:t>пароля</w:t>
            </w:r>
            <w:r w:rsidRPr="004D7191">
              <w:rPr>
                <w:rFonts w:hAnsi="Garamond"/>
              </w:rPr>
              <w:t xml:space="preserve"> </w:t>
            </w:r>
            <w:r w:rsidRPr="004D7191">
              <w:rPr>
                <w:rFonts w:hAnsi="Garamond"/>
              </w:rPr>
              <w:t>на</w:t>
            </w:r>
            <w:r w:rsidRPr="004D7191">
              <w:rPr>
                <w:rFonts w:hAnsi="Garamond"/>
              </w:rPr>
              <w:t xml:space="preserve"> </w:t>
            </w:r>
            <w:r w:rsidRPr="004D7191">
              <w:rPr>
                <w:rFonts w:hAnsi="Garamond"/>
              </w:rPr>
              <w:t>УСПД</w:t>
            </w:r>
          </w:p>
        </w:tc>
        <w:tc>
          <w:tcPr>
            <w:tcW w:w="102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EBCCA30" w14:textId="77777777" w:rsidR="004B3B82" w:rsidRDefault="004B3B82" w:rsidP="00CD3B05">
            <w:pPr>
              <w:jc w:val="center"/>
            </w:pP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BA56A47" w14:textId="77777777" w:rsidR="004B3B82" w:rsidRDefault="004B3B82" w:rsidP="00CD3B05">
            <w:pPr>
              <w:jc w:val="center"/>
            </w:pPr>
          </w:p>
        </w:tc>
        <w:tc>
          <w:tcPr>
            <w:tcW w:w="9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3EB13A3" w14:textId="77777777" w:rsidR="004B3B82" w:rsidRDefault="004B3B82" w:rsidP="00CD3B05">
            <w:pPr>
              <w:jc w:val="center"/>
            </w:pPr>
            <w:r w:rsidRPr="004D7191">
              <w:rPr>
                <w:rFonts w:hAnsi="Garamond"/>
              </w:rPr>
              <w:t>Да</w:t>
            </w:r>
          </w:p>
        </w:tc>
        <w:tc>
          <w:tcPr>
            <w:tcW w:w="74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C5D3925" w14:textId="77777777" w:rsidR="004B3B82" w:rsidRDefault="004B3B82" w:rsidP="00CD3B05">
            <w:pPr>
              <w:jc w:val="center"/>
            </w:pPr>
            <w:r w:rsidRPr="004D7191">
              <w:rPr>
                <w:rFonts w:hAnsi="Garamond"/>
              </w:rPr>
              <w:t>Да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F660D9F" w14:textId="77777777" w:rsidR="004B3B82" w:rsidRDefault="004B3B82" w:rsidP="00CD3B05">
            <w:pPr>
              <w:jc w:val="cente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92543AF" w14:textId="77777777" w:rsidR="004B3B82" w:rsidRDefault="004B3B82" w:rsidP="00CD3B05">
            <w:pPr>
              <w:jc w:val="center"/>
            </w:pPr>
          </w:p>
        </w:tc>
        <w:tc>
          <w:tcPr>
            <w:tcW w:w="1559" w:type="dxa"/>
            <w:tcBorders>
              <w:top w:val="single" w:sz="4" w:space="0" w:color="000000"/>
              <w:left w:val="single" w:sz="4" w:space="0" w:color="000000"/>
              <w:bottom w:val="single" w:sz="4" w:space="0" w:color="000000"/>
              <w:right w:val="single" w:sz="4" w:space="0" w:color="000000"/>
            </w:tcBorders>
            <w:vAlign w:val="center"/>
          </w:tcPr>
          <w:p w14:paraId="05A26FE3" w14:textId="77777777" w:rsidR="004B3B82" w:rsidRPr="00B83154" w:rsidRDefault="004B3B82" w:rsidP="00CD3B05">
            <w:pPr>
              <w:jc w:val="center"/>
              <w:rPr>
                <w:highlight w:val="yellow"/>
              </w:rPr>
            </w:pPr>
          </w:p>
        </w:tc>
        <w:tc>
          <w:tcPr>
            <w:tcW w:w="1276" w:type="dxa"/>
            <w:tcBorders>
              <w:top w:val="single" w:sz="4" w:space="0" w:color="000000"/>
              <w:left w:val="single" w:sz="4" w:space="0" w:color="000000"/>
              <w:bottom w:val="single" w:sz="4" w:space="0" w:color="000000"/>
              <w:right w:val="single" w:sz="4" w:space="0" w:color="000000"/>
            </w:tcBorders>
            <w:vAlign w:val="center"/>
          </w:tcPr>
          <w:p w14:paraId="43AB0CBD" w14:textId="77777777" w:rsidR="004B3B82" w:rsidRPr="00B83154" w:rsidRDefault="004B3B82" w:rsidP="00CD3B05">
            <w:pPr>
              <w:jc w:val="center"/>
              <w:rPr>
                <w:highlight w:val="yellow"/>
              </w:rPr>
            </w:pPr>
          </w:p>
        </w:tc>
        <w:tc>
          <w:tcPr>
            <w:tcW w:w="1843" w:type="dxa"/>
            <w:tcBorders>
              <w:top w:val="single" w:sz="4" w:space="0" w:color="000000"/>
              <w:left w:val="single" w:sz="4" w:space="0" w:color="000000"/>
              <w:bottom w:val="single" w:sz="4" w:space="0" w:color="000000"/>
              <w:right w:val="single" w:sz="4" w:space="0" w:color="000000"/>
            </w:tcBorders>
            <w:vAlign w:val="center"/>
          </w:tcPr>
          <w:p w14:paraId="14148E1F" w14:textId="77777777" w:rsidR="004B3B82" w:rsidRPr="00B83154" w:rsidRDefault="004B3B82" w:rsidP="00CD3B05">
            <w:pPr>
              <w:jc w:val="center"/>
              <w:rPr>
                <w:highlight w:val="yellow"/>
              </w:rPr>
            </w:pPr>
          </w:p>
        </w:tc>
      </w:tr>
      <w:tr w:rsidR="004B3B82" w14:paraId="1750984C" w14:textId="77777777" w:rsidTr="00CD3B05">
        <w:trPr>
          <w:trHeight w:val="757"/>
        </w:trPr>
        <w:tc>
          <w:tcPr>
            <w:tcW w:w="5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8DB3F2C" w14:textId="77777777" w:rsidR="004B3B82" w:rsidRPr="006F22AB" w:rsidRDefault="004B3B82" w:rsidP="00CD3B05">
            <w:pPr>
              <w:jc w:val="center"/>
              <w:rPr>
                <w:rFonts w:ascii="Garamond" w:hAnsi="Garamond"/>
              </w:rPr>
            </w:pPr>
            <w:r>
              <w:rPr>
                <w:rFonts w:ascii="Garamond" w:hAnsi="Garamond"/>
              </w:rPr>
              <w:t>3</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E13654F" w14:textId="77777777" w:rsidR="004B3B82" w:rsidRDefault="004B3B82" w:rsidP="00CD3B05">
            <w:pPr>
              <w:jc w:val="center"/>
            </w:pPr>
            <w:r w:rsidRPr="004D7191">
              <w:rPr>
                <w:rFonts w:hAnsi="Garamond"/>
              </w:rPr>
              <w:t>П</w:t>
            </w:r>
            <w:r w:rsidRPr="004D7191">
              <w:rPr>
                <w:rFonts w:hAnsi="Garamond"/>
                <w:vertAlign w:val="subscript"/>
              </w:rPr>
              <w:t>З</w:t>
            </w:r>
            <w:r w:rsidRPr="004D7191">
              <w:rPr>
                <w:rFonts w:ascii="Garamond"/>
                <w:vertAlign w:val="subscript"/>
              </w:rPr>
              <w:t>15</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92257E0" w14:textId="77777777" w:rsidR="004B3B82" w:rsidRDefault="004B3B82" w:rsidP="00CD3B05">
            <w:pPr>
              <w:ind w:left="34"/>
            </w:pPr>
            <w:r w:rsidRPr="004D7191">
              <w:rPr>
                <w:rFonts w:hAnsi="Garamond"/>
              </w:rPr>
              <w:t>Защита</w:t>
            </w:r>
            <w:r w:rsidRPr="004D7191">
              <w:rPr>
                <w:rFonts w:hAnsi="Garamond"/>
              </w:rPr>
              <w:t xml:space="preserve"> </w:t>
            </w:r>
            <w:r w:rsidRPr="004D7191">
              <w:rPr>
                <w:rFonts w:hAnsi="Garamond"/>
              </w:rPr>
              <w:t>информации</w:t>
            </w:r>
            <w:r w:rsidRPr="004D7191">
              <w:rPr>
                <w:rFonts w:hAnsi="Garamond"/>
              </w:rPr>
              <w:t xml:space="preserve"> </w:t>
            </w:r>
            <w:r w:rsidRPr="004D7191">
              <w:rPr>
                <w:rFonts w:hAnsi="Garamond"/>
              </w:rPr>
              <w:t>на</w:t>
            </w:r>
            <w:r w:rsidRPr="004D7191">
              <w:rPr>
                <w:rFonts w:hAnsi="Garamond"/>
                <w:lang w:val="en-US"/>
              </w:rPr>
              <w:t> </w:t>
            </w:r>
            <w:r w:rsidRPr="004D7191">
              <w:rPr>
                <w:rFonts w:hAnsi="Garamond"/>
              </w:rPr>
              <w:t>программном</w:t>
            </w:r>
            <w:r w:rsidRPr="004D7191">
              <w:rPr>
                <w:rFonts w:hAnsi="Garamond"/>
              </w:rPr>
              <w:t xml:space="preserve"> </w:t>
            </w:r>
            <w:r w:rsidRPr="004D7191">
              <w:rPr>
                <w:rFonts w:hAnsi="Garamond"/>
              </w:rPr>
              <w:t>уровне</w:t>
            </w:r>
            <w:r w:rsidRPr="004D7191">
              <w:rPr>
                <w:rFonts w:hAnsi="Garamond"/>
              </w:rPr>
              <w:t xml:space="preserve"> </w:t>
            </w:r>
            <w:r w:rsidRPr="004D7191">
              <w:rPr>
                <w:rFonts w:hAnsi="Garamond"/>
              </w:rPr>
              <w:t>при</w:t>
            </w:r>
            <w:r w:rsidRPr="004D7191">
              <w:rPr>
                <w:rFonts w:hAnsi="Garamond"/>
                <w:lang w:val="en-US"/>
              </w:rPr>
              <w:t> </w:t>
            </w:r>
            <w:r w:rsidRPr="004D7191">
              <w:rPr>
                <w:rFonts w:hAnsi="Garamond"/>
              </w:rPr>
              <w:t>параметрировании</w:t>
            </w:r>
            <w:r w:rsidRPr="004D7191">
              <w:rPr>
                <w:rFonts w:hAnsi="Garamond"/>
              </w:rPr>
              <w:t xml:space="preserve"> </w:t>
            </w:r>
            <w:r w:rsidRPr="004D7191">
              <w:rPr>
                <w:rFonts w:hAnsi="Garamond"/>
              </w:rPr>
              <w:t>–</w:t>
            </w:r>
            <w:r w:rsidRPr="004D7191">
              <w:rPr>
                <w:rFonts w:hAnsi="Garamond"/>
              </w:rPr>
              <w:t xml:space="preserve"> </w:t>
            </w:r>
            <w:r w:rsidRPr="004D7191">
              <w:rPr>
                <w:rFonts w:hAnsi="Garamond"/>
              </w:rPr>
              <w:t>установка</w:t>
            </w:r>
            <w:r w:rsidRPr="004D7191">
              <w:rPr>
                <w:rFonts w:hAnsi="Garamond"/>
              </w:rPr>
              <w:t xml:space="preserve"> </w:t>
            </w:r>
            <w:r w:rsidRPr="004D7191">
              <w:rPr>
                <w:rFonts w:hAnsi="Garamond"/>
              </w:rPr>
              <w:t>пароля</w:t>
            </w:r>
            <w:r w:rsidRPr="004D7191">
              <w:rPr>
                <w:rFonts w:hAnsi="Garamond"/>
              </w:rPr>
              <w:t xml:space="preserve"> </w:t>
            </w:r>
            <w:r w:rsidRPr="004D7191">
              <w:rPr>
                <w:rFonts w:hAnsi="Garamond"/>
              </w:rPr>
              <w:t>на</w:t>
            </w:r>
            <w:r w:rsidRPr="004D7191">
              <w:rPr>
                <w:rFonts w:hAnsi="Garamond"/>
              </w:rPr>
              <w:t xml:space="preserve"> </w:t>
            </w:r>
            <w:r w:rsidRPr="004D7191">
              <w:rPr>
                <w:rFonts w:hAnsi="Garamond"/>
              </w:rPr>
              <w:t>сервер</w:t>
            </w:r>
          </w:p>
        </w:tc>
        <w:tc>
          <w:tcPr>
            <w:tcW w:w="102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591ED7E" w14:textId="77777777" w:rsidR="004B3B82" w:rsidRDefault="004B3B82" w:rsidP="00CD3B05">
            <w:pPr>
              <w:jc w:val="center"/>
            </w:pP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A50A854" w14:textId="77777777" w:rsidR="004B3B82" w:rsidRDefault="004B3B82" w:rsidP="00CD3B05">
            <w:pPr>
              <w:jc w:val="center"/>
            </w:pPr>
          </w:p>
        </w:tc>
        <w:tc>
          <w:tcPr>
            <w:tcW w:w="9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3568924" w14:textId="77777777" w:rsidR="004B3B82" w:rsidRDefault="004B3B82" w:rsidP="00CD3B05">
            <w:pPr>
              <w:jc w:val="center"/>
            </w:pPr>
            <w:r w:rsidRPr="004D7191">
              <w:rPr>
                <w:rFonts w:hAnsi="Garamond"/>
              </w:rPr>
              <w:t>Да</w:t>
            </w:r>
          </w:p>
        </w:tc>
        <w:tc>
          <w:tcPr>
            <w:tcW w:w="74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9D7EFC2" w14:textId="77777777" w:rsidR="004B3B82" w:rsidRDefault="004B3B82" w:rsidP="00CD3B05">
            <w:pPr>
              <w:jc w:val="center"/>
            </w:pPr>
            <w:r w:rsidRPr="004D7191">
              <w:rPr>
                <w:rFonts w:hAnsi="Garamond"/>
              </w:rPr>
              <w:t>Да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C15E2D4" w14:textId="77777777" w:rsidR="004B3B82" w:rsidRDefault="004B3B82" w:rsidP="00CD3B05">
            <w:pPr>
              <w:jc w:val="cente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EABDAE0" w14:textId="77777777" w:rsidR="004B3B82" w:rsidRDefault="004B3B82" w:rsidP="00CD3B05">
            <w:pPr>
              <w:jc w:val="center"/>
            </w:pPr>
          </w:p>
        </w:tc>
        <w:tc>
          <w:tcPr>
            <w:tcW w:w="1559" w:type="dxa"/>
            <w:tcBorders>
              <w:top w:val="single" w:sz="4" w:space="0" w:color="000000"/>
              <w:left w:val="single" w:sz="4" w:space="0" w:color="000000"/>
              <w:bottom w:val="single" w:sz="4" w:space="0" w:color="000000"/>
              <w:right w:val="single" w:sz="4" w:space="0" w:color="000000"/>
            </w:tcBorders>
            <w:vAlign w:val="center"/>
          </w:tcPr>
          <w:p w14:paraId="41F88097" w14:textId="77777777" w:rsidR="004B3B82" w:rsidRPr="00B83154" w:rsidRDefault="004B3B82" w:rsidP="00CD3B05">
            <w:pPr>
              <w:jc w:val="center"/>
              <w:rPr>
                <w:highlight w:val="yellow"/>
              </w:rPr>
            </w:pPr>
          </w:p>
        </w:tc>
        <w:tc>
          <w:tcPr>
            <w:tcW w:w="1276" w:type="dxa"/>
            <w:tcBorders>
              <w:top w:val="single" w:sz="4" w:space="0" w:color="000000"/>
              <w:left w:val="single" w:sz="4" w:space="0" w:color="000000"/>
              <w:bottom w:val="single" w:sz="4" w:space="0" w:color="000000"/>
              <w:right w:val="single" w:sz="4" w:space="0" w:color="000000"/>
            </w:tcBorders>
            <w:vAlign w:val="center"/>
          </w:tcPr>
          <w:p w14:paraId="756A0A0D" w14:textId="77777777" w:rsidR="004B3B82" w:rsidRPr="00B83154" w:rsidRDefault="004B3B82" w:rsidP="00CD3B05">
            <w:pPr>
              <w:jc w:val="center"/>
              <w:rPr>
                <w:highlight w:val="yellow"/>
              </w:rPr>
            </w:pPr>
          </w:p>
        </w:tc>
        <w:tc>
          <w:tcPr>
            <w:tcW w:w="1843" w:type="dxa"/>
            <w:tcBorders>
              <w:top w:val="single" w:sz="4" w:space="0" w:color="000000"/>
              <w:left w:val="single" w:sz="4" w:space="0" w:color="000000"/>
              <w:bottom w:val="single" w:sz="4" w:space="0" w:color="000000"/>
              <w:right w:val="single" w:sz="4" w:space="0" w:color="000000"/>
            </w:tcBorders>
            <w:vAlign w:val="center"/>
          </w:tcPr>
          <w:p w14:paraId="001095D4" w14:textId="77777777" w:rsidR="004B3B82" w:rsidRPr="00B83154" w:rsidRDefault="004B3B82" w:rsidP="00CD3B05">
            <w:pPr>
              <w:jc w:val="center"/>
              <w:rPr>
                <w:highlight w:val="yellow"/>
              </w:rPr>
            </w:pPr>
          </w:p>
        </w:tc>
      </w:tr>
      <w:tr w:rsidR="004B3B82" w14:paraId="526B8C56" w14:textId="77777777" w:rsidTr="00CD3B05">
        <w:trPr>
          <w:trHeight w:val="406"/>
        </w:trPr>
        <w:tc>
          <w:tcPr>
            <w:tcW w:w="5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9EF4A85" w14:textId="77777777" w:rsidR="004B3B82" w:rsidRPr="006F22AB" w:rsidRDefault="004B3B82" w:rsidP="00CD3B05">
            <w:pPr>
              <w:jc w:val="center"/>
              <w:rPr>
                <w:rFonts w:ascii="Garamond" w:hAnsi="Garamond"/>
              </w:rPr>
            </w:pP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C0A8636" w14:textId="77777777" w:rsidR="004B3B82" w:rsidRDefault="004B3B82" w:rsidP="00CD3B05"/>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CB883E" w14:textId="77777777" w:rsidR="004B3B82" w:rsidRDefault="004B3B82" w:rsidP="00CD3B05">
            <w:r>
              <w:rPr>
                <w:rFonts w:ascii="Garamond"/>
                <w:b/>
                <w:bCs/>
              </w:rPr>
              <w:t>2</w:t>
            </w:r>
            <w:r w:rsidRPr="004D7191">
              <w:rPr>
                <w:rFonts w:ascii="Garamond"/>
                <w:b/>
                <w:bCs/>
              </w:rPr>
              <w:t xml:space="preserve">. </w:t>
            </w:r>
            <w:r w:rsidRPr="004D7191">
              <w:rPr>
                <w:rFonts w:hAnsi="Garamond"/>
                <w:b/>
                <w:bCs/>
              </w:rPr>
              <w:t>ФУНКЦИОНАЛЬНАЯ</w:t>
            </w:r>
            <w:r w:rsidRPr="004D7191">
              <w:rPr>
                <w:rFonts w:hAnsi="Garamond"/>
                <w:b/>
                <w:bCs/>
              </w:rPr>
              <w:t xml:space="preserve"> </w:t>
            </w:r>
            <w:r w:rsidRPr="004D7191">
              <w:rPr>
                <w:rFonts w:hAnsi="Garamond"/>
                <w:b/>
                <w:bCs/>
              </w:rPr>
              <w:t>ПОЛНОТА</w:t>
            </w:r>
          </w:p>
        </w:tc>
        <w:tc>
          <w:tcPr>
            <w:tcW w:w="102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D36BD37" w14:textId="77777777" w:rsidR="004B3B82" w:rsidRDefault="004B3B82" w:rsidP="00CD3B05">
            <w:pPr>
              <w:jc w:val="center"/>
            </w:pP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805C936" w14:textId="77777777" w:rsidR="004B3B82" w:rsidRDefault="004B3B82" w:rsidP="00CD3B05">
            <w:pPr>
              <w:jc w:val="center"/>
            </w:pPr>
          </w:p>
        </w:tc>
        <w:tc>
          <w:tcPr>
            <w:tcW w:w="9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104FB8D" w14:textId="77777777" w:rsidR="004B3B82" w:rsidRDefault="004B3B82" w:rsidP="00CD3B05">
            <w:pPr>
              <w:jc w:val="center"/>
            </w:pPr>
          </w:p>
        </w:tc>
        <w:tc>
          <w:tcPr>
            <w:tcW w:w="74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7332F61" w14:textId="77777777" w:rsidR="004B3B82" w:rsidRDefault="004B3B82" w:rsidP="00CD3B05">
            <w:pPr>
              <w:jc w:val="center"/>
            </w:pP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1AD904E" w14:textId="77777777" w:rsidR="004B3B82" w:rsidRDefault="004B3B82" w:rsidP="00CD3B05">
            <w:pPr>
              <w:jc w:val="cente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A85C1BF" w14:textId="77777777" w:rsidR="004B3B82" w:rsidRDefault="004B3B82" w:rsidP="00CD3B05">
            <w:pPr>
              <w:jc w:val="center"/>
            </w:pPr>
          </w:p>
        </w:tc>
        <w:tc>
          <w:tcPr>
            <w:tcW w:w="1559" w:type="dxa"/>
            <w:tcBorders>
              <w:top w:val="single" w:sz="4" w:space="0" w:color="000000"/>
              <w:left w:val="single" w:sz="4" w:space="0" w:color="000000"/>
              <w:bottom w:val="single" w:sz="4" w:space="0" w:color="000000"/>
              <w:right w:val="single" w:sz="4" w:space="0" w:color="000000"/>
            </w:tcBorders>
            <w:vAlign w:val="center"/>
          </w:tcPr>
          <w:p w14:paraId="7866AC2E" w14:textId="77777777" w:rsidR="004B3B82" w:rsidRPr="00B83154" w:rsidRDefault="004B3B82" w:rsidP="00CD3B05">
            <w:pPr>
              <w:jc w:val="center"/>
              <w:rPr>
                <w:highlight w:val="yellow"/>
              </w:rPr>
            </w:pPr>
          </w:p>
        </w:tc>
        <w:tc>
          <w:tcPr>
            <w:tcW w:w="1276" w:type="dxa"/>
            <w:tcBorders>
              <w:top w:val="single" w:sz="4" w:space="0" w:color="000000"/>
              <w:left w:val="single" w:sz="4" w:space="0" w:color="000000"/>
              <w:bottom w:val="single" w:sz="4" w:space="0" w:color="000000"/>
              <w:right w:val="single" w:sz="4" w:space="0" w:color="000000"/>
            </w:tcBorders>
            <w:vAlign w:val="center"/>
          </w:tcPr>
          <w:p w14:paraId="15E851EE" w14:textId="77777777" w:rsidR="004B3B82" w:rsidRPr="00B83154" w:rsidRDefault="004B3B82" w:rsidP="00CD3B05">
            <w:pPr>
              <w:jc w:val="center"/>
              <w:rPr>
                <w:highlight w:val="yellow"/>
              </w:rPr>
            </w:pPr>
          </w:p>
        </w:tc>
        <w:tc>
          <w:tcPr>
            <w:tcW w:w="1843" w:type="dxa"/>
            <w:tcBorders>
              <w:top w:val="single" w:sz="4" w:space="0" w:color="000000"/>
              <w:left w:val="single" w:sz="4" w:space="0" w:color="000000"/>
              <w:bottom w:val="single" w:sz="4" w:space="0" w:color="000000"/>
              <w:right w:val="single" w:sz="4" w:space="0" w:color="000000"/>
            </w:tcBorders>
            <w:vAlign w:val="center"/>
          </w:tcPr>
          <w:p w14:paraId="0C9BDCA0" w14:textId="77777777" w:rsidR="004B3B82" w:rsidRPr="00B83154" w:rsidRDefault="004B3B82" w:rsidP="00CD3B05">
            <w:pPr>
              <w:jc w:val="center"/>
              <w:rPr>
                <w:highlight w:val="yellow"/>
              </w:rPr>
            </w:pPr>
          </w:p>
        </w:tc>
      </w:tr>
      <w:tr w:rsidR="004B3B82" w14:paraId="0945A3F8" w14:textId="77777777" w:rsidTr="00CD3B05">
        <w:trPr>
          <w:trHeight w:val="461"/>
        </w:trPr>
        <w:tc>
          <w:tcPr>
            <w:tcW w:w="5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2F3B183" w14:textId="77777777" w:rsidR="004B3B82" w:rsidRPr="00200E4D" w:rsidRDefault="004B3B82" w:rsidP="00CD3B05">
            <w:pPr>
              <w:jc w:val="center"/>
              <w:rPr>
                <w:rFonts w:ascii="Garamond" w:hAnsi="Garamond"/>
              </w:rPr>
            </w:pPr>
            <w:r>
              <w:rPr>
                <w:rFonts w:ascii="Garamond" w:hAnsi="Garamond"/>
              </w:rPr>
              <w:t>4</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9EDA224" w14:textId="77777777" w:rsidR="004B3B82" w:rsidRPr="00200E4D" w:rsidRDefault="004B3B82" w:rsidP="00CD3B05">
            <w:pPr>
              <w:jc w:val="center"/>
            </w:pPr>
            <w:r w:rsidRPr="00200E4D">
              <w:rPr>
                <w:rFonts w:hAnsi="Garamond"/>
              </w:rPr>
              <w:t>П</w:t>
            </w:r>
            <w:r w:rsidRPr="00200E4D">
              <w:rPr>
                <w:rFonts w:hAnsi="Garamond"/>
                <w:vertAlign w:val="subscript"/>
              </w:rPr>
              <w:t>Ф</w:t>
            </w:r>
            <w:r w:rsidRPr="00200E4D">
              <w:rPr>
                <w:rFonts w:ascii="Garamond"/>
                <w:vertAlign w:val="subscript"/>
              </w:rPr>
              <w:t>2</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7217B9" w14:textId="77777777" w:rsidR="004B3B82" w:rsidRPr="00200E4D" w:rsidRDefault="004B3B82" w:rsidP="00CD3B05">
            <w:pPr>
              <w:ind w:left="34"/>
            </w:pPr>
            <w:r w:rsidRPr="00200E4D">
              <w:rPr>
                <w:rFonts w:hAnsi="Garamond"/>
              </w:rPr>
              <w:t>Измерение</w:t>
            </w:r>
            <w:r w:rsidRPr="00200E4D">
              <w:rPr>
                <w:rFonts w:hAnsi="Garamond"/>
              </w:rPr>
              <w:t xml:space="preserve"> </w:t>
            </w:r>
            <w:r w:rsidRPr="00200E4D">
              <w:rPr>
                <w:rFonts w:hAnsi="Garamond"/>
              </w:rPr>
              <w:t>приращений</w:t>
            </w:r>
            <w:r w:rsidRPr="00200E4D">
              <w:rPr>
                <w:rFonts w:hAnsi="Garamond"/>
              </w:rPr>
              <w:t xml:space="preserve"> </w:t>
            </w:r>
            <w:r w:rsidRPr="00200E4D">
              <w:rPr>
                <w:rFonts w:hAnsi="Garamond"/>
              </w:rPr>
              <w:t>электроэнергии</w:t>
            </w:r>
          </w:p>
        </w:tc>
        <w:tc>
          <w:tcPr>
            <w:tcW w:w="102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004DA1E" w14:textId="77777777" w:rsidR="004B3B82" w:rsidRPr="00200E4D" w:rsidRDefault="004B3B82" w:rsidP="00CD3B05">
            <w:pPr>
              <w:jc w:val="center"/>
            </w:pPr>
            <w:r w:rsidRPr="00200E4D">
              <w:rPr>
                <w:rFonts w:hAnsi="Garamond"/>
              </w:rPr>
              <w:t>Да</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530766F" w14:textId="77777777" w:rsidR="004B3B82" w:rsidRPr="00200E4D" w:rsidRDefault="004B3B82" w:rsidP="00CD3B05">
            <w:pPr>
              <w:jc w:val="center"/>
            </w:pPr>
            <w:r w:rsidRPr="00200E4D">
              <w:rPr>
                <w:rFonts w:hAnsi="Garamond"/>
              </w:rPr>
              <w:t>Да</w:t>
            </w:r>
          </w:p>
        </w:tc>
        <w:tc>
          <w:tcPr>
            <w:tcW w:w="9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F3C4961" w14:textId="77777777" w:rsidR="004B3B82" w:rsidRPr="00200E4D" w:rsidRDefault="004B3B82" w:rsidP="00CD3B05">
            <w:pPr>
              <w:jc w:val="center"/>
            </w:pPr>
          </w:p>
        </w:tc>
        <w:tc>
          <w:tcPr>
            <w:tcW w:w="74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6D7EBE6" w14:textId="77777777" w:rsidR="004B3B82" w:rsidRDefault="004B3B82" w:rsidP="00CD3B05">
            <w:pPr>
              <w:jc w:val="center"/>
            </w:pP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481B258" w14:textId="77777777" w:rsidR="004B3B82" w:rsidRDefault="004B3B82" w:rsidP="00CD3B05">
            <w:pPr>
              <w:jc w:val="cente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EA3A100" w14:textId="77777777" w:rsidR="004B3B82" w:rsidRDefault="004B3B82" w:rsidP="00CD3B05">
            <w:pPr>
              <w:jc w:val="center"/>
            </w:pPr>
          </w:p>
        </w:tc>
        <w:tc>
          <w:tcPr>
            <w:tcW w:w="1559" w:type="dxa"/>
            <w:tcBorders>
              <w:top w:val="single" w:sz="4" w:space="0" w:color="000000"/>
              <w:left w:val="single" w:sz="4" w:space="0" w:color="000000"/>
              <w:bottom w:val="single" w:sz="4" w:space="0" w:color="000000"/>
              <w:right w:val="single" w:sz="4" w:space="0" w:color="000000"/>
            </w:tcBorders>
            <w:vAlign w:val="center"/>
          </w:tcPr>
          <w:p w14:paraId="16645E56" w14:textId="77777777" w:rsidR="004B3B82" w:rsidRPr="00B83154" w:rsidRDefault="004B3B82" w:rsidP="00CD3B05">
            <w:pPr>
              <w:jc w:val="center"/>
              <w:rPr>
                <w:highlight w:val="yellow"/>
              </w:rPr>
            </w:pPr>
            <w:r w:rsidRPr="00B83154">
              <w:rPr>
                <w:rFonts w:hAnsi="Garamond"/>
                <w:highlight w:val="yellow"/>
              </w:rPr>
              <w:t>Да</w:t>
            </w:r>
          </w:p>
        </w:tc>
        <w:tc>
          <w:tcPr>
            <w:tcW w:w="1276" w:type="dxa"/>
            <w:tcBorders>
              <w:top w:val="single" w:sz="4" w:space="0" w:color="000000"/>
              <w:left w:val="single" w:sz="4" w:space="0" w:color="000000"/>
              <w:bottom w:val="single" w:sz="4" w:space="0" w:color="000000"/>
              <w:right w:val="single" w:sz="4" w:space="0" w:color="000000"/>
            </w:tcBorders>
            <w:vAlign w:val="center"/>
          </w:tcPr>
          <w:p w14:paraId="2383BAEC" w14:textId="77777777" w:rsidR="004B3B82" w:rsidRPr="00B83154" w:rsidRDefault="004B3B82" w:rsidP="00CD3B05">
            <w:pPr>
              <w:jc w:val="center"/>
              <w:rPr>
                <w:highlight w:val="yellow"/>
              </w:rPr>
            </w:pPr>
          </w:p>
        </w:tc>
        <w:tc>
          <w:tcPr>
            <w:tcW w:w="1843" w:type="dxa"/>
            <w:tcBorders>
              <w:top w:val="single" w:sz="4" w:space="0" w:color="000000"/>
              <w:left w:val="single" w:sz="4" w:space="0" w:color="000000"/>
              <w:bottom w:val="single" w:sz="4" w:space="0" w:color="000000"/>
              <w:right w:val="single" w:sz="4" w:space="0" w:color="000000"/>
            </w:tcBorders>
            <w:vAlign w:val="center"/>
          </w:tcPr>
          <w:p w14:paraId="0FA6B39F" w14:textId="77777777" w:rsidR="004B3B82" w:rsidRPr="00B83154" w:rsidRDefault="004B3B82" w:rsidP="00CD3B05">
            <w:pPr>
              <w:jc w:val="center"/>
              <w:rPr>
                <w:highlight w:val="yellow"/>
              </w:rPr>
            </w:pPr>
          </w:p>
        </w:tc>
      </w:tr>
      <w:tr w:rsidR="004B3B82" w14:paraId="5679105F" w14:textId="77777777" w:rsidTr="00CD3B05">
        <w:trPr>
          <w:trHeight w:val="371"/>
        </w:trPr>
        <w:tc>
          <w:tcPr>
            <w:tcW w:w="5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FB02654" w14:textId="77777777" w:rsidR="004B3B82" w:rsidRPr="006F22AB" w:rsidRDefault="004B3B82" w:rsidP="00CD3B05">
            <w:pPr>
              <w:jc w:val="center"/>
              <w:rPr>
                <w:rFonts w:ascii="Garamond" w:hAnsi="Garamond"/>
              </w:rPr>
            </w:pPr>
            <w:r>
              <w:rPr>
                <w:rFonts w:ascii="Garamond" w:hAnsi="Garamond"/>
              </w:rPr>
              <w:t>5</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3BB3810" w14:textId="77777777" w:rsidR="004B3B82" w:rsidRDefault="004B3B82" w:rsidP="00CD3B05">
            <w:pPr>
              <w:jc w:val="center"/>
            </w:pPr>
            <w:r w:rsidRPr="004D7191">
              <w:rPr>
                <w:rFonts w:hAnsi="Garamond"/>
              </w:rPr>
              <w:t>П</w:t>
            </w:r>
            <w:r w:rsidRPr="004D7191">
              <w:rPr>
                <w:rFonts w:hAnsi="Garamond"/>
                <w:vertAlign w:val="subscript"/>
              </w:rPr>
              <w:t>Ф</w:t>
            </w:r>
            <w:r w:rsidRPr="004D7191">
              <w:rPr>
                <w:rFonts w:ascii="Garamond"/>
                <w:vertAlign w:val="subscript"/>
              </w:rPr>
              <w:t>4</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628598" w14:textId="77777777" w:rsidR="004B3B82" w:rsidRPr="006E3BEB" w:rsidRDefault="004B3B82" w:rsidP="00CD3B05">
            <w:pPr>
              <w:ind w:left="34"/>
            </w:pPr>
            <w:r w:rsidRPr="006E3BEB">
              <w:rPr>
                <w:rFonts w:hAnsi="Garamond"/>
              </w:rPr>
              <w:t>Измерение</w:t>
            </w:r>
            <w:r w:rsidRPr="006E3BEB">
              <w:rPr>
                <w:rFonts w:hAnsi="Garamond"/>
              </w:rPr>
              <w:t xml:space="preserve"> </w:t>
            </w:r>
            <w:r w:rsidRPr="006E3BEB">
              <w:rPr>
                <w:rFonts w:hAnsi="Garamond"/>
              </w:rPr>
              <w:t>времени</w:t>
            </w:r>
            <w:r w:rsidRPr="006E3BEB">
              <w:rPr>
                <w:rFonts w:hAnsi="Garamond"/>
              </w:rPr>
              <w:t xml:space="preserve"> </w:t>
            </w:r>
            <w:r w:rsidRPr="006E3BEB">
              <w:rPr>
                <w:rFonts w:hAnsi="Garamond"/>
              </w:rPr>
              <w:t>и</w:t>
            </w:r>
            <w:r w:rsidRPr="006E3BEB">
              <w:rPr>
                <w:rFonts w:hAnsi="Garamond"/>
              </w:rPr>
              <w:t xml:space="preserve"> </w:t>
            </w:r>
            <w:r w:rsidRPr="006E3BEB">
              <w:rPr>
                <w:rFonts w:hAnsi="Garamond"/>
              </w:rPr>
              <w:t>интервалов</w:t>
            </w:r>
            <w:r w:rsidRPr="006E3BEB">
              <w:rPr>
                <w:rFonts w:hAnsi="Garamond"/>
              </w:rPr>
              <w:t xml:space="preserve"> </w:t>
            </w:r>
            <w:r w:rsidRPr="006E3BEB">
              <w:rPr>
                <w:rFonts w:hAnsi="Garamond"/>
              </w:rPr>
              <w:t>времени</w:t>
            </w:r>
          </w:p>
        </w:tc>
        <w:tc>
          <w:tcPr>
            <w:tcW w:w="102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EABF282" w14:textId="77777777" w:rsidR="004B3B82" w:rsidRPr="006E3BEB" w:rsidRDefault="004B3B82" w:rsidP="00CD3B05">
            <w:pPr>
              <w:jc w:val="center"/>
            </w:pPr>
            <w:r w:rsidRPr="006E3BEB">
              <w:rPr>
                <w:rFonts w:hAnsi="Garamond"/>
              </w:rPr>
              <w:t>Да</w:t>
            </w:r>
            <w:r w:rsidRPr="006E3BEB">
              <w:rPr>
                <w:rFonts w:hAnsi="Garamond"/>
              </w:rPr>
              <w:t xml:space="preserve"> </w:t>
            </w:r>
            <w:r w:rsidRPr="006E3BEB">
              <w:rPr>
                <w:rFonts w:ascii="Garamond" w:hAnsi="Garamond"/>
              </w:rPr>
              <w:t>(см. примечание)</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5833A59" w14:textId="77777777" w:rsidR="004B3B82" w:rsidRPr="006E3BEB" w:rsidRDefault="004B3B82" w:rsidP="00CD3B05">
            <w:pPr>
              <w:jc w:val="center"/>
            </w:pPr>
          </w:p>
        </w:tc>
        <w:tc>
          <w:tcPr>
            <w:tcW w:w="9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6622900" w14:textId="77777777" w:rsidR="004B3B82" w:rsidRDefault="004B3B82" w:rsidP="00CD3B05">
            <w:pPr>
              <w:jc w:val="center"/>
            </w:pPr>
          </w:p>
        </w:tc>
        <w:tc>
          <w:tcPr>
            <w:tcW w:w="74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ECB8F1B" w14:textId="77777777" w:rsidR="004B3B82" w:rsidRDefault="004B3B82" w:rsidP="00CD3B05">
            <w:pPr>
              <w:jc w:val="center"/>
            </w:pP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23E0228" w14:textId="77777777" w:rsidR="004B3B82" w:rsidRDefault="004B3B82" w:rsidP="00CD3B05">
            <w:pPr>
              <w:jc w:val="cente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FE5A267" w14:textId="77777777" w:rsidR="004B3B82" w:rsidRDefault="004B3B82" w:rsidP="00CD3B05">
            <w:pPr>
              <w:jc w:val="center"/>
            </w:pPr>
          </w:p>
        </w:tc>
        <w:tc>
          <w:tcPr>
            <w:tcW w:w="1559" w:type="dxa"/>
            <w:tcBorders>
              <w:top w:val="single" w:sz="4" w:space="0" w:color="000000"/>
              <w:left w:val="single" w:sz="4" w:space="0" w:color="000000"/>
              <w:bottom w:val="single" w:sz="4" w:space="0" w:color="000000"/>
              <w:right w:val="single" w:sz="4" w:space="0" w:color="000000"/>
            </w:tcBorders>
            <w:vAlign w:val="center"/>
          </w:tcPr>
          <w:p w14:paraId="27943C82" w14:textId="77777777" w:rsidR="004B3B82" w:rsidRPr="00B83154" w:rsidRDefault="004B3B82" w:rsidP="00CD3B05">
            <w:pPr>
              <w:jc w:val="center"/>
              <w:rPr>
                <w:highlight w:val="yellow"/>
              </w:rPr>
            </w:pPr>
          </w:p>
        </w:tc>
        <w:tc>
          <w:tcPr>
            <w:tcW w:w="1276" w:type="dxa"/>
            <w:tcBorders>
              <w:top w:val="single" w:sz="4" w:space="0" w:color="000000"/>
              <w:left w:val="single" w:sz="4" w:space="0" w:color="000000"/>
              <w:bottom w:val="single" w:sz="4" w:space="0" w:color="000000"/>
              <w:right w:val="single" w:sz="4" w:space="0" w:color="000000"/>
            </w:tcBorders>
            <w:vAlign w:val="center"/>
          </w:tcPr>
          <w:p w14:paraId="7CE22110" w14:textId="77777777" w:rsidR="004B3B82" w:rsidRPr="00B83154" w:rsidRDefault="004B3B82" w:rsidP="00CD3B05">
            <w:pPr>
              <w:jc w:val="center"/>
              <w:rPr>
                <w:highlight w:val="yellow"/>
              </w:rPr>
            </w:pPr>
          </w:p>
        </w:tc>
        <w:tc>
          <w:tcPr>
            <w:tcW w:w="1843" w:type="dxa"/>
            <w:tcBorders>
              <w:top w:val="single" w:sz="4" w:space="0" w:color="000000"/>
              <w:left w:val="single" w:sz="4" w:space="0" w:color="000000"/>
              <w:bottom w:val="single" w:sz="4" w:space="0" w:color="000000"/>
              <w:right w:val="single" w:sz="4" w:space="0" w:color="000000"/>
            </w:tcBorders>
            <w:vAlign w:val="center"/>
          </w:tcPr>
          <w:p w14:paraId="0A1B5ADA" w14:textId="77777777" w:rsidR="004B3B82" w:rsidRPr="00B83154" w:rsidRDefault="004B3B82" w:rsidP="00CD3B05">
            <w:pPr>
              <w:jc w:val="center"/>
              <w:rPr>
                <w:highlight w:val="yellow"/>
              </w:rPr>
            </w:pPr>
          </w:p>
        </w:tc>
      </w:tr>
      <w:tr w:rsidR="004B3B82" w14:paraId="05398374" w14:textId="77777777" w:rsidTr="00CD3B05">
        <w:trPr>
          <w:trHeight w:val="295"/>
        </w:trPr>
        <w:tc>
          <w:tcPr>
            <w:tcW w:w="5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D75E8AC" w14:textId="77777777" w:rsidR="004B3B82" w:rsidRPr="006F22AB" w:rsidRDefault="004B3B82" w:rsidP="00CD3B05">
            <w:pPr>
              <w:jc w:val="center"/>
              <w:rPr>
                <w:rFonts w:ascii="Garamond" w:hAnsi="Garamond"/>
              </w:rPr>
            </w:pPr>
            <w:r>
              <w:rPr>
                <w:rFonts w:ascii="Garamond" w:hAnsi="Garamond"/>
              </w:rPr>
              <w:lastRenderedPageBreak/>
              <w:t>6</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F6BF85C" w14:textId="77777777" w:rsidR="004B3B82" w:rsidRDefault="004B3B82" w:rsidP="00CD3B05">
            <w:pPr>
              <w:jc w:val="center"/>
            </w:pPr>
            <w:r w:rsidRPr="004D7191">
              <w:rPr>
                <w:rFonts w:hAnsi="Garamond"/>
              </w:rPr>
              <w:t>П</w:t>
            </w:r>
            <w:r w:rsidRPr="004D7191">
              <w:rPr>
                <w:rFonts w:hAnsi="Garamond"/>
                <w:vertAlign w:val="subscript"/>
              </w:rPr>
              <w:t>Ф</w:t>
            </w:r>
            <w:r w:rsidRPr="004D7191">
              <w:rPr>
                <w:rFonts w:ascii="Garamond"/>
                <w:vertAlign w:val="subscript"/>
              </w:rPr>
              <w:t>7</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C23AE39" w14:textId="77777777" w:rsidR="004B3B82" w:rsidRDefault="004B3B82" w:rsidP="00CD3B05">
            <w:pPr>
              <w:ind w:left="34"/>
            </w:pPr>
            <w:r w:rsidRPr="004D7191">
              <w:rPr>
                <w:rFonts w:hAnsi="Garamond"/>
              </w:rPr>
              <w:t>Допустимый</w:t>
            </w:r>
            <w:r w:rsidRPr="004D7191">
              <w:rPr>
                <w:rFonts w:hAnsi="Garamond"/>
              </w:rPr>
              <w:t xml:space="preserve"> </w:t>
            </w:r>
            <w:r w:rsidRPr="004D7191">
              <w:rPr>
                <w:rFonts w:hAnsi="Garamond"/>
              </w:rPr>
              <w:t>класс</w:t>
            </w:r>
            <w:r w:rsidRPr="004D7191">
              <w:rPr>
                <w:rFonts w:hAnsi="Garamond"/>
              </w:rPr>
              <w:t xml:space="preserve"> </w:t>
            </w:r>
            <w:r w:rsidRPr="004D7191">
              <w:rPr>
                <w:rFonts w:hAnsi="Garamond"/>
              </w:rPr>
              <w:t>точности</w:t>
            </w:r>
            <w:r w:rsidRPr="004D7191">
              <w:rPr>
                <w:rFonts w:hAnsi="Garamond"/>
              </w:rPr>
              <w:t xml:space="preserve"> </w:t>
            </w:r>
            <w:r w:rsidRPr="004D7191">
              <w:rPr>
                <w:rFonts w:hAnsi="Garamond"/>
              </w:rPr>
              <w:t>трансформаторов</w:t>
            </w:r>
            <w:r w:rsidRPr="004D7191">
              <w:rPr>
                <w:rFonts w:hAnsi="Garamond"/>
              </w:rPr>
              <w:t xml:space="preserve"> </w:t>
            </w:r>
            <w:r w:rsidRPr="004D7191">
              <w:rPr>
                <w:rFonts w:hAnsi="Garamond"/>
              </w:rPr>
              <w:t>тока</w:t>
            </w:r>
          </w:p>
        </w:tc>
        <w:tc>
          <w:tcPr>
            <w:tcW w:w="102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FDFA183" w14:textId="77777777" w:rsidR="004B3B82" w:rsidRDefault="004B3B82" w:rsidP="00CD3B05">
            <w:pPr>
              <w:jc w:val="center"/>
            </w:pPr>
            <w:r w:rsidRPr="004D7191">
              <w:rPr>
                <w:rFonts w:hAnsi="Garamond"/>
              </w:rPr>
              <w:t>Да</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1441282" w14:textId="77777777" w:rsidR="004B3B82" w:rsidRDefault="004B3B82" w:rsidP="00CD3B05">
            <w:pPr>
              <w:jc w:val="center"/>
            </w:pPr>
          </w:p>
        </w:tc>
        <w:tc>
          <w:tcPr>
            <w:tcW w:w="9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B86B8A1" w14:textId="77777777" w:rsidR="004B3B82" w:rsidRDefault="004B3B82" w:rsidP="00CD3B05">
            <w:pPr>
              <w:jc w:val="center"/>
            </w:pPr>
          </w:p>
        </w:tc>
        <w:tc>
          <w:tcPr>
            <w:tcW w:w="74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A65C332" w14:textId="77777777" w:rsidR="004B3B82" w:rsidRDefault="004B3B82" w:rsidP="00CD3B05">
            <w:pPr>
              <w:jc w:val="center"/>
            </w:pP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CFE0C4F" w14:textId="77777777" w:rsidR="004B3B82" w:rsidRDefault="004B3B82" w:rsidP="00CD3B05">
            <w:pPr>
              <w:jc w:val="cente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92B26EA" w14:textId="77777777" w:rsidR="004B3B82" w:rsidRDefault="004B3B82" w:rsidP="00CD3B05">
            <w:pPr>
              <w:jc w:val="center"/>
            </w:pPr>
          </w:p>
        </w:tc>
        <w:tc>
          <w:tcPr>
            <w:tcW w:w="1559" w:type="dxa"/>
            <w:tcBorders>
              <w:top w:val="single" w:sz="4" w:space="0" w:color="000000"/>
              <w:left w:val="single" w:sz="4" w:space="0" w:color="000000"/>
              <w:bottom w:val="single" w:sz="4" w:space="0" w:color="000000"/>
              <w:right w:val="single" w:sz="4" w:space="0" w:color="000000"/>
            </w:tcBorders>
            <w:vAlign w:val="center"/>
          </w:tcPr>
          <w:p w14:paraId="4780AE5B" w14:textId="77777777" w:rsidR="004B3B82" w:rsidRPr="00B83154" w:rsidRDefault="004B3B82" w:rsidP="00CD3B05">
            <w:pPr>
              <w:jc w:val="center"/>
              <w:rPr>
                <w:highlight w:val="yellow"/>
              </w:rPr>
            </w:pPr>
          </w:p>
        </w:tc>
        <w:tc>
          <w:tcPr>
            <w:tcW w:w="1276" w:type="dxa"/>
            <w:tcBorders>
              <w:top w:val="single" w:sz="4" w:space="0" w:color="000000"/>
              <w:left w:val="single" w:sz="4" w:space="0" w:color="000000"/>
              <w:bottom w:val="single" w:sz="4" w:space="0" w:color="000000"/>
              <w:right w:val="single" w:sz="4" w:space="0" w:color="000000"/>
            </w:tcBorders>
            <w:vAlign w:val="center"/>
          </w:tcPr>
          <w:p w14:paraId="2EADC09C" w14:textId="77777777" w:rsidR="004B3B82" w:rsidRPr="00B83154" w:rsidRDefault="004B3B82" w:rsidP="00CD3B05">
            <w:pPr>
              <w:jc w:val="center"/>
              <w:rPr>
                <w:highlight w:val="yellow"/>
              </w:rPr>
            </w:pPr>
          </w:p>
        </w:tc>
        <w:tc>
          <w:tcPr>
            <w:tcW w:w="1843" w:type="dxa"/>
            <w:tcBorders>
              <w:top w:val="single" w:sz="4" w:space="0" w:color="000000"/>
              <w:left w:val="single" w:sz="4" w:space="0" w:color="000000"/>
              <w:bottom w:val="single" w:sz="4" w:space="0" w:color="000000"/>
              <w:right w:val="single" w:sz="4" w:space="0" w:color="000000"/>
            </w:tcBorders>
            <w:vAlign w:val="center"/>
          </w:tcPr>
          <w:p w14:paraId="5AC2FB8F" w14:textId="77777777" w:rsidR="004B3B82" w:rsidRPr="00B83154" w:rsidRDefault="004B3B82" w:rsidP="00CD3B05">
            <w:pPr>
              <w:jc w:val="center"/>
              <w:rPr>
                <w:highlight w:val="yellow"/>
              </w:rPr>
            </w:pPr>
          </w:p>
        </w:tc>
      </w:tr>
      <w:tr w:rsidR="004B3B82" w14:paraId="7F1D3FF7" w14:textId="77777777" w:rsidTr="00CD3B05">
        <w:trPr>
          <w:trHeight w:val="490"/>
        </w:trPr>
        <w:tc>
          <w:tcPr>
            <w:tcW w:w="5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A74BF34" w14:textId="77777777" w:rsidR="004B3B82" w:rsidRPr="006F22AB" w:rsidRDefault="004B3B82" w:rsidP="00CD3B05">
            <w:pPr>
              <w:jc w:val="center"/>
              <w:rPr>
                <w:rFonts w:ascii="Garamond" w:hAnsi="Garamond"/>
              </w:rPr>
            </w:pPr>
            <w:r>
              <w:rPr>
                <w:rFonts w:ascii="Garamond" w:hAnsi="Garamond"/>
              </w:rPr>
              <w:t>7</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BD7DAFF" w14:textId="77777777" w:rsidR="004B3B82" w:rsidRDefault="004B3B82" w:rsidP="00CD3B05">
            <w:pPr>
              <w:jc w:val="center"/>
            </w:pPr>
            <w:r w:rsidRPr="004D7191">
              <w:rPr>
                <w:rFonts w:hAnsi="Garamond"/>
              </w:rPr>
              <w:t>П</w:t>
            </w:r>
            <w:r w:rsidRPr="004D7191">
              <w:rPr>
                <w:rFonts w:hAnsi="Garamond"/>
                <w:vertAlign w:val="subscript"/>
              </w:rPr>
              <w:t>Ф</w:t>
            </w:r>
            <w:r w:rsidRPr="004D7191">
              <w:rPr>
                <w:rFonts w:ascii="Garamond"/>
                <w:vertAlign w:val="subscript"/>
              </w:rPr>
              <w:t>8</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2F94FD0" w14:textId="77777777" w:rsidR="004B3B82" w:rsidRDefault="004B3B82" w:rsidP="00CD3B05">
            <w:pPr>
              <w:ind w:left="34"/>
            </w:pPr>
            <w:r w:rsidRPr="004D7191">
              <w:rPr>
                <w:rFonts w:hAnsi="Garamond"/>
              </w:rPr>
              <w:t>Допустимый</w:t>
            </w:r>
            <w:r w:rsidRPr="004D7191">
              <w:rPr>
                <w:rFonts w:hAnsi="Garamond"/>
              </w:rPr>
              <w:t xml:space="preserve"> </w:t>
            </w:r>
            <w:r w:rsidRPr="004D7191">
              <w:rPr>
                <w:rFonts w:hAnsi="Garamond"/>
              </w:rPr>
              <w:t>класс</w:t>
            </w:r>
            <w:r w:rsidRPr="004D7191">
              <w:rPr>
                <w:rFonts w:hAnsi="Garamond"/>
              </w:rPr>
              <w:t xml:space="preserve"> </w:t>
            </w:r>
            <w:r w:rsidRPr="004D7191">
              <w:rPr>
                <w:rFonts w:hAnsi="Garamond"/>
              </w:rPr>
              <w:t>точности</w:t>
            </w:r>
            <w:r w:rsidRPr="004D7191">
              <w:rPr>
                <w:rFonts w:hAnsi="Garamond"/>
              </w:rPr>
              <w:t xml:space="preserve"> </w:t>
            </w:r>
            <w:r w:rsidRPr="004D7191">
              <w:rPr>
                <w:rFonts w:hAnsi="Garamond"/>
              </w:rPr>
              <w:t>трансформаторов</w:t>
            </w:r>
            <w:r w:rsidRPr="004D7191">
              <w:rPr>
                <w:rFonts w:hAnsi="Garamond"/>
              </w:rPr>
              <w:t xml:space="preserve"> </w:t>
            </w:r>
            <w:r w:rsidRPr="004D7191">
              <w:rPr>
                <w:rFonts w:hAnsi="Garamond"/>
              </w:rPr>
              <w:t>напряжения</w:t>
            </w:r>
          </w:p>
        </w:tc>
        <w:tc>
          <w:tcPr>
            <w:tcW w:w="102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177BCFA" w14:textId="77777777" w:rsidR="004B3B82" w:rsidRDefault="004B3B82" w:rsidP="00CD3B05">
            <w:pPr>
              <w:jc w:val="center"/>
            </w:pPr>
            <w:r w:rsidRPr="004D7191">
              <w:rPr>
                <w:rFonts w:hAnsi="Garamond"/>
              </w:rPr>
              <w:t>Да</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9997134" w14:textId="77777777" w:rsidR="004B3B82" w:rsidRDefault="004B3B82" w:rsidP="00CD3B05">
            <w:pPr>
              <w:jc w:val="center"/>
            </w:pPr>
          </w:p>
        </w:tc>
        <w:tc>
          <w:tcPr>
            <w:tcW w:w="9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E989C13" w14:textId="77777777" w:rsidR="004B3B82" w:rsidRDefault="004B3B82" w:rsidP="00CD3B05">
            <w:pPr>
              <w:jc w:val="center"/>
            </w:pPr>
          </w:p>
        </w:tc>
        <w:tc>
          <w:tcPr>
            <w:tcW w:w="74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FA869FB" w14:textId="77777777" w:rsidR="004B3B82" w:rsidRDefault="004B3B82" w:rsidP="00CD3B05">
            <w:pPr>
              <w:jc w:val="center"/>
            </w:pP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AF69D4D" w14:textId="77777777" w:rsidR="004B3B82" w:rsidRDefault="004B3B82" w:rsidP="00CD3B05">
            <w:pPr>
              <w:jc w:val="cente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1FD41A7" w14:textId="77777777" w:rsidR="004B3B82" w:rsidRDefault="004B3B82" w:rsidP="00CD3B05">
            <w:pPr>
              <w:jc w:val="center"/>
            </w:pPr>
          </w:p>
        </w:tc>
        <w:tc>
          <w:tcPr>
            <w:tcW w:w="1559" w:type="dxa"/>
            <w:tcBorders>
              <w:top w:val="single" w:sz="4" w:space="0" w:color="000000"/>
              <w:left w:val="single" w:sz="4" w:space="0" w:color="000000"/>
              <w:bottom w:val="single" w:sz="4" w:space="0" w:color="000000"/>
              <w:right w:val="single" w:sz="4" w:space="0" w:color="000000"/>
            </w:tcBorders>
            <w:vAlign w:val="center"/>
          </w:tcPr>
          <w:p w14:paraId="5BCC83BA" w14:textId="77777777" w:rsidR="004B3B82" w:rsidRPr="00B83154" w:rsidRDefault="004B3B82" w:rsidP="00CD3B05">
            <w:pPr>
              <w:jc w:val="center"/>
              <w:rPr>
                <w:highlight w:val="yellow"/>
              </w:rPr>
            </w:pPr>
          </w:p>
        </w:tc>
        <w:tc>
          <w:tcPr>
            <w:tcW w:w="1276" w:type="dxa"/>
            <w:tcBorders>
              <w:top w:val="single" w:sz="4" w:space="0" w:color="000000"/>
              <w:left w:val="single" w:sz="4" w:space="0" w:color="000000"/>
              <w:bottom w:val="single" w:sz="4" w:space="0" w:color="000000"/>
              <w:right w:val="single" w:sz="4" w:space="0" w:color="000000"/>
            </w:tcBorders>
            <w:vAlign w:val="center"/>
          </w:tcPr>
          <w:p w14:paraId="4FE64B2A" w14:textId="77777777" w:rsidR="004B3B82" w:rsidRPr="00B83154" w:rsidRDefault="004B3B82" w:rsidP="00CD3B05">
            <w:pPr>
              <w:jc w:val="center"/>
              <w:rPr>
                <w:highlight w:val="yellow"/>
              </w:rPr>
            </w:pPr>
          </w:p>
        </w:tc>
        <w:tc>
          <w:tcPr>
            <w:tcW w:w="1843" w:type="dxa"/>
            <w:tcBorders>
              <w:top w:val="single" w:sz="4" w:space="0" w:color="000000"/>
              <w:left w:val="single" w:sz="4" w:space="0" w:color="000000"/>
              <w:bottom w:val="single" w:sz="4" w:space="0" w:color="000000"/>
              <w:right w:val="single" w:sz="4" w:space="0" w:color="000000"/>
            </w:tcBorders>
            <w:vAlign w:val="center"/>
          </w:tcPr>
          <w:p w14:paraId="50DE66DE" w14:textId="77777777" w:rsidR="004B3B82" w:rsidRPr="00B83154" w:rsidRDefault="004B3B82" w:rsidP="00CD3B05">
            <w:pPr>
              <w:jc w:val="center"/>
              <w:rPr>
                <w:highlight w:val="yellow"/>
              </w:rPr>
            </w:pPr>
          </w:p>
        </w:tc>
      </w:tr>
      <w:tr w:rsidR="004B3B82" w14:paraId="7AD4CB79" w14:textId="77777777" w:rsidTr="00CD3B05">
        <w:trPr>
          <w:trHeight w:val="490"/>
        </w:trPr>
        <w:tc>
          <w:tcPr>
            <w:tcW w:w="5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02BE776" w14:textId="77777777" w:rsidR="004B3B82" w:rsidRPr="006F22AB" w:rsidRDefault="004B3B82" w:rsidP="00CD3B05">
            <w:pPr>
              <w:jc w:val="center"/>
              <w:rPr>
                <w:rFonts w:ascii="Garamond" w:hAnsi="Garamond"/>
              </w:rPr>
            </w:pPr>
            <w:r>
              <w:rPr>
                <w:rFonts w:ascii="Garamond" w:hAnsi="Garamond"/>
              </w:rPr>
              <w:t>8</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F5B4FBD" w14:textId="77777777" w:rsidR="004B3B82" w:rsidRDefault="004B3B82" w:rsidP="00CD3B05">
            <w:pPr>
              <w:jc w:val="center"/>
            </w:pPr>
            <w:r w:rsidRPr="004D7191">
              <w:rPr>
                <w:rFonts w:hAnsi="Garamond"/>
              </w:rPr>
              <w:t>П</w:t>
            </w:r>
            <w:r w:rsidRPr="004D7191">
              <w:rPr>
                <w:rFonts w:hAnsi="Garamond"/>
                <w:vertAlign w:val="subscript"/>
              </w:rPr>
              <w:t>Ф</w:t>
            </w:r>
            <w:r w:rsidRPr="004D7191">
              <w:rPr>
                <w:rFonts w:ascii="Garamond"/>
                <w:vertAlign w:val="subscript"/>
              </w:rPr>
              <w:t>9</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D0EF680" w14:textId="77777777" w:rsidR="004B3B82" w:rsidRDefault="004B3B82" w:rsidP="00CD3B05">
            <w:pPr>
              <w:ind w:left="34"/>
            </w:pPr>
            <w:r w:rsidRPr="004D7191">
              <w:rPr>
                <w:rFonts w:hAnsi="Garamond"/>
              </w:rPr>
              <w:t>Допустимый</w:t>
            </w:r>
            <w:r w:rsidRPr="004D7191">
              <w:rPr>
                <w:rFonts w:hAnsi="Garamond"/>
              </w:rPr>
              <w:t xml:space="preserve"> </w:t>
            </w:r>
            <w:r w:rsidRPr="004D7191">
              <w:rPr>
                <w:rFonts w:hAnsi="Garamond"/>
              </w:rPr>
              <w:t>класс</w:t>
            </w:r>
            <w:r w:rsidRPr="004D7191">
              <w:rPr>
                <w:rFonts w:hAnsi="Garamond"/>
              </w:rPr>
              <w:t xml:space="preserve"> </w:t>
            </w:r>
            <w:r w:rsidRPr="004D7191">
              <w:rPr>
                <w:rFonts w:hAnsi="Garamond"/>
              </w:rPr>
              <w:t>точности</w:t>
            </w:r>
            <w:r w:rsidRPr="004D7191">
              <w:rPr>
                <w:rFonts w:hAnsi="Garamond"/>
              </w:rPr>
              <w:t xml:space="preserve"> </w:t>
            </w:r>
            <w:r w:rsidRPr="00B83154">
              <w:rPr>
                <w:rFonts w:hAnsi="Garamond"/>
                <w:highlight w:val="yellow"/>
              </w:rPr>
              <w:t>прибора</w:t>
            </w:r>
            <w:r w:rsidRPr="00B83154">
              <w:rPr>
                <w:rFonts w:hAnsi="Garamond"/>
                <w:highlight w:val="yellow"/>
              </w:rPr>
              <w:t xml:space="preserve"> </w:t>
            </w:r>
            <w:r w:rsidRPr="00B83154">
              <w:rPr>
                <w:rFonts w:hAnsi="Garamond"/>
                <w:highlight w:val="yellow"/>
              </w:rPr>
              <w:t>учета</w:t>
            </w:r>
          </w:p>
        </w:tc>
        <w:tc>
          <w:tcPr>
            <w:tcW w:w="102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2137B78" w14:textId="77777777" w:rsidR="004B3B82" w:rsidRDefault="004B3B82" w:rsidP="00CD3B05">
            <w:pPr>
              <w:jc w:val="center"/>
            </w:pPr>
            <w:r w:rsidRPr="004D7191">
              <w:rPr>
                <w:rFonts w:hAnsi="Garamond"/>
              </w:rPr>
              <w:t>Да</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07484E3" w14:textId="77777777" w:rsidR="004B3B82" w:rsidRDefault="004B3B82" w:rsidP="00CD3B05">
            <w:pPr>
              <w:jc w:val="center"/>
            </w:pPr>
            <w:r w:rsidRPr="004D7191">
              <w:rPr>
                <w:rFonts w:hAnsi="Garamond"/>
              </w:rPr>
              <w:t>Да</w:t>
            </w:r>
          </w:p>
        </w:tc>
        <w:tc>
          <w:tcPr>
            <w:tcW w:w="9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11AA739" w14:textId="77777777" w:rsidR="004B3B82" w:rsidRDefault="004B3B82" w:rsidP="00CD3B05">
            <w:pPr>
              <w:jc w:val="center"/>
            </w:pPr>
          </w:p>
        </w:tc>
        <w:tc>
          <w:tcPr>
            <w:tcW w:w="74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68DF65F" w14:textId="77777777" w:rsidR="004B3B82" w:rsidRDefault="004B3B82" w:rsidP="00CD3B05">
            <w:pPr>
              <w:jc w:val="center"/>
            </w:pP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F31767C" w14:textId="77777777" w:rsidR="004B3B82" w:rsidRDefault="004B3B82" w:rsidP="00CD3B05">
            <w:pPr>
              <w:jc w:val="cente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79B5EA5" w14:textId="77777777" w:rsidR="004B3B82" w:rsidRDefault="004B3B82" w:rsidP="00CD3B05">
            <w:pPr>
              <w:jc w:val="center"/>
            </w:pPr>
          </w:p>
        </w:tc>
        <w:tc>
          <w:tcPr>
            <w:tcW w:w="1559" w:type="dxa"/>
            <w:tcBorders>
              <w:top w:val="single" w:sz="4" w:space="0" w:color="000000"/>
              <w:left w:val="single" w:sz="4" w:space="0" w:color="000000"/>
              <w:bottom w:val="single" w:sz="4" w:space="0" w:color="000000"/>
              <w:right w:val="single" w:sz="4" w:space="0" w:color="000000"/>
            </w:tcBorders>
            <w:vAlign w:val="center"/>
          </w:tcPr>
          <w:p w14:paraId="5E8AB37C" w14:textId="77777777" w:rsidR="004B3B82" w:rsidRPr="00B83154" w:rsidRDefault="004B3B82" w:rsidP="00CD3B05">
            <w:pPr>
              <w:jc w:val="center"/>
              <w:rPr>
                <w:highlight w:val="yellow"/>
              </w:rPr>
            </w:pPr>
            <w:r w:rsidRPr="00B83154">
              <w:rPr>
                <w:rFonts w:hAnsi="Garamond"/>
                <w:highlight w:val="yellow"/>
              </w:rPr>
              <w:t>Да</w:t>
            </w:r>
          </w:p>
        </w:tc>
        <w:tc>
          <w:tcPr>
            <w:tcW w:w="1276" w:type="dxa"/>
            <w:tcBorders>
              <w:top w:val="single" w:sz="4" w:space="0" w:color="000000"/>
              <w:left w:val="single" w:sz="4" w:space="0" w:color="000000"/>
              <w:bottom w:val="single" w:sz="4" w:space="0" w:color="000000"/>
              <w:right w:val="single" w:sz="4" w:space="0" w:color="000000"/>
            </w:tcBorders>
            <w:vAlign w:val="center"/>
          </w:tcPr>
          <w:p w14:paraId="0A148A32" w14:textId="77777777" w:rsidR="004B3B82" w:rsidRPr="00B83154" w:rsidRDefault="004B3B82" w:rsidP="00CD3B05">
            <w:pPr>
              <w:jc w:val="center"/>
              <w:rPr>
                <w:highlight w:val="yellow"/>
              </w:rPr>
            </w:pPr>
          </w:p>
        </w:tc>
        <w:tc>
          <w:tcPr>
            <w:tcW w:w="1843" w:type="dxa"/>
            <w:tcBorders>
              <w:top w:val="single" w:sz="4" w:space="0" w:color="000000"/>
              <w:left w:val="single" w:sz="4" w:space="0" w:color="000000"/>
              <w:bottom w:val="single" w:sz="4" w:space="0" w:color="000000"/>
              <w:right w:val="single" w:sz="4" w:space="0" w:color="000000"/>
            </w:tcBorders>
            <w:vAlign w:val="center"/>
          </w:tcPr>
          <w:p w14:paraId="51065417" w14:textId="77777777" w:rsidR="004B3B82" w:rsidRPr="00B83154" w:rsidRDefault="004B3B82" w:rsidP="00CD3B05">
            <w:pPr>
              <w:jc w:val="center"/>
              <w:rPr>
                <w:highlight w:val="yellow"/>
              </w:rPr>
            </w:pPr>
          </w:p>
        </w:tc>
      </w:tr>
      <w:tr w:rsidR="004B3B82" w14:paraId="421B2F51" w14:textId="77777777" w:rsidTr="00CD3B05">
        <w:trPr>
          <w:trHeight w:val="490"/>
        </w:trPr>
        <w:tc>
          <w:tcPr>
            <w:tcW w:w="5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08EC7FC" w14:textId="77777777" w:rsidR="004B3B82" w:rsidRPr="006F22AB" w:rsidRDefault="004B3B82" w:rsidP="00CD3B05">
            <w:pPr>
              <w:jc w:val="center"/>
              <w:rPr>
                <w:rFonts w:ascii="Garamond" w:hAnsi="Garamond"/>
              </w:rPr>
            </w:pPr>
            <w:r>
              <w:rPr>
                <w:rFonts w:ascii="Garamond" w:hAnsi="Garamond"/>
              </w:rPr>
              <w:t>9</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09ADF19" w14:textId="77777777" w:rsidR="004B3B82" w:rsidRDefault="004B3B82" w:rsidP="00CD3B05">
            <w:pPr>
              <w:jc w:val="center"/>
            </w:pPr>
            <w:r w:rsidRPr="004D7191">
              <w:rPr>
                <w:rFonts w:hAnsi="Garamond"/>
              </w:rPr>
              <w:t>П</w:t>
            </w:r>
            <w:r w:rsidRPr="004D7191">
              <w:rPr>
                <w:rFonts w:hAnsi="Garamond"/>
                <w:vertAlign w:val="subscript"/>
              </w:rPr>
              <w:t>Ф</w:t>
            </w:r>
            <w:r w:rsidRPr="004D7191">
              <w:rPr>
                <w:rFonts w:ascii="Garamond"/>
                <w:vertAlign w:val="subscript"/>
              </w:rPr>
              <w:t>10</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06D7FAD" w14:textId="77777777" w:rsidR="004B3B82" w:rsidRDefault="004B3B82" w:rsidP="00CD3B05">
            <w:pPr>
              <w:ind w:left="34"/>
            </w:pPr>
            <w:r w:rsidRPr="004D7191">
              <w:rPr>
                <w:rFonts w:hAnsi="Garamond"/>
              </w:rPr>
              <w:t>Коррекция</w:t>
            </w:r>
            <w:r w:rsidRPr="004D7191">
              <w:rPr>
                <w:rFonts w:ascii="Garamond"/>
              </w:rPr>
              <w:t>/</w:t>
            </w:r>
            <w:r w:rsidRPr="004D7191">
              <w:rPr>
                <w:rFonts w:hAnsi="Garamond"/>
              </w:rPr>
              <w:t>синхронизация</w:t>
            </w:r>
            <w:r w:rsidRPr="004D7191">
              <w:rPr>
                <w:rFonts w:hAnsi="Garamond"/>
              </w:rPr>
              <w:t xml:space="preserve"> </w:t>
            </w:r>
            <w:r w:rsidRPr="004D7191">
              <w:rPr>
                <w:rFonts w:hAnsi="Garamond"/>
              </w:rPr>
              <w:t>времени</w:t>
            </w:r>
            <w:r w:rsidRPr="004D7191">
              <w:rPr>
                <w:rFonts w:hAnsi="Garamond"/>
              </w:rPr>
              <w:t xml:space="preserve"> </w:t>
            </w:r>
            <w:r w:rsidRPr="004D7191">
              <w:rPr>
                <w:rFonts w:hAnsi="Garamond"/>
              </w:rPr>
              <w:t>в</w:t>
            </w:r>
            <w:r w:rsidRPr="004D7191">
              <w:rPr>
                <w:rFonts w:hAnsi="Garamond"/>
              </w:rPr>
              <w:t xml:space="preserve"> </w:t>
            </w:r>
            <w:r w:rsidRPr="004D7191">
              <w:rPr>
                <w:rFonts w:hAnsi="Garamond"/>
              </w:rPr>
              <w:t>ИИК</w:t>
            </w:r>
            <w:r w:rsidRPr="004D7191">
              <w:rPr>
                <w:rFonts w:ascii="Garamond"/>
              </w:rPr>
              <w:t xml:space="preserve">, </w:t>
            </w:r>
            <w:r w:rsidRPr="004D7191">
              <w:rPr>
                <w:rFonts w:hAnsi="Garamond"/>
              </w:rPr>
              <w:t>ИВКЭ</w:t>
            </w:r>
            <w:r w:rsidRPr="004D7191">
              <w:rPr>
                <w:rFonts w:hAnsi="Garamond"/>
              </w:rPr>
              <w:t xml:space="preserve"> </w:t>
            </w:r>
            <w:r w:rsidRPr="004D7191">
              <w:rPr>
                <w:rFonts w:hAnsi="Garamond"/>
              </w:rPr>
              <w:t>и</w:t>
            </w:r>
            <w:r w:rsidRPr="004D7191">
              <w:rPr>
                <w:rFonts w:hAnsi="Garamond"/>
              </w:rPr>
              <w:t xml:space="preserve"> </w:t>
            </w:r>
            <w:r w:rsidRPr="004D7191">
              <w:rPr>
                <w:rFonts w:hAnsi="Garamond"/>
              </w:rPr>
              <w:t>ИВК</w:t>
            </w:r>
          </w:p>
        </w:tc>
        <w:tc>
          <w:tcPr>
            <w:tcW w:w="102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3C7CF2A" w14:textId="77777777" w:rsidR="004B3B82" w:rsidRDefault="004B3B82" w:rsidP="00CD3B05">
            <w:pPr>
              <w:jc w:val="center"/>
            </w:pP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3634464" w14:textId="77777777" w:rsidR="004B3B82" w:rsidRDefault="004B3B82" w:rsidP="00CD3B05">
            <w:pPr>
              <w:jc w:val="center"/>
            </w:pPr>
          </w:p>
        </w:tc>
        <w:tc>
          <w:tcPr>
            <w:tcW w:w="9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2438AC4" w14:textId="77777777" w:rsidR="004B3B82" w:rsidRDefault="004B3B82" w:rsidP="00CD3B05">
            <w:pPr>
              <w:jc w:val="center"/>
            </w:pPr>
            <w:r w:rsidRPr="004D7191">
              <w:rPr>
                <w:rFonts w:hAnsi="Garamond"/>
              </w:rPr>
              <w:t>Да</w:t>
            </w:r>
          </w:p>
        </w:tc>
        <w:tc>
          <w:tcPr>
            <w:tcW w:w="74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42F6443" w14:textId="77777777" w:rsidR="004B3B82" w:rsidRDefault="004B3B82" w:rsidP="00CD3B05">
            <w:pPr>
              <w:jc w:val="center"/>
            </w:pPr>
            <w:r w:rsidRPr="004D7191">
              <w:rPr>
                <w:rFonts w:hAnsi="Garamond"/>
              </w:rPr>
              <w:t>Да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92616C3" w14:textId="77777777" w:rsidR="004B3B82" w:rsidRDefault="004B3B82" w:rsidP="00CD3B05">
            <w:pPr>
              <w:jc w:val="cente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5440810" w14:textId="77777777" w:rsidR="004B3B82" w:rsidRDefault="004B3B82" w:rsidP="00CD3B05">
            <w:pPr>
              <w:jc w:val="center"/>
            </w:pPr>
          </w:p>
        </w:tc>
        <w:tc>
          <w:tcPr>
            <w:tcW w:w="1559" w:type="dxa"/>
            <w:tcBorders>
              <w:top w:val="single" w:sz="4" w:space="0" w:color="000000"/>
              <w:left w:val="single" w:sz="4" w:space="0" w:color="000000"/>
              <w:bottom w:val="single" w:sz="4" w:space="0" w:color="000000"/>
              <w:right w:val="single" w:sz="4" w:space="0" w:color="000000"/>
            </w:tcBorders>
            <w:vAlign w:val="center"/>
          </w:tcPr>
          <w:p w14:paraId="0DF623C2" w14:textId="77777777" w:rsidR="004B3B82" w:rsidRPr="00B83154" w:rsidRDefault="004B3B82" w:rsidP="00CD3B05">
            <w:pPr>
              <w:jc w:val="center"/>
              <w:rPr>
                <w:highlight w:val="yellow"/>
              </w:rPr>
            </w:pPr>
          </w:p>
        </w:tc>
        <w:tc>
          <w:tcPr>
            <w:tcW w:w="1276" w:type="dxa"/>
            <w:tcBorders>
              <w:top w:val="single" w:sz="4" w:space="0" w:color="000000"/>
              <w:left w:val="single" w:sz="4" w:space="0" w:color="000000"/>
              <w:bottom w:val="single" w:sz="4" w:space="0" w:color="000000"/>
              <w:right w:val="single" w:sz="4" w:space="0" w:color="000000"/>
            </w:tcBorders>
            <w:vAlign w:val="center"/>
          </w:tcPr>
          <w:p w14:paraId="36C68A11" w14:textId="77777777" w:rsidR="004B3B82" w:rsidRPr="00B83154" w:rsidRDefault="004B3B82" w:rsidP="00CD3B05">
            <w:pPr>
              <w:jc w:val="center"/>
              <w:rPr>
                <w:highlight w:val="yellow"/>
              </w:rPr>
            </w:pPr>
            <w:r w:rsidRPr="00B83154">
              <w:rPr>
                <w:rFonts w:hAnsi="Garamond"/>
                <w:highlight w:val="yellow"/>
              </w:rPr>
              <w:t>Да</w:t>
            </w:r>
          </w:p>
        </w:tc>
        <w:tc>
          <w:tcPr>
            <w:tcW w:w="1843" w:type="dxa"/>
            <w:tcBorders>
              <w:top w:val="single" w:sz="4" w:space="0" w:color="000000"/>
              <w:left w:val="single" w:sz="4" w:space="0" w:color="000000"/>
              <w:bottom w:val="single" w:sz="4" w:space="0" w:color="000000"/>
              <w:right w:val="single" w:sz="4" w:space="0" w:color="000000"/>
            </w:tcBorders>
            <w:vAlign w:val="center"/>
          </w:tcPr>
          <w:p w14:paraId="79AB77AD" w14:textId="77777777" w:rsidR="004B3B82" w:rsidRPr="00B83154" w:rsidRDefault="004B3B82" w:rsidP="00CD3B05">
            <w:pPr>
              <w:jc w:val="center"/>
              <w:rPr>
                <w:highlight w:val="yellow"/>
              </w:rPr>
            </w:pPr>
          </w:p>
        </w:tc>
      </w:tr>
      <w:tr w:rsidR="004B3B82" w14:paraId="391827C0" w14:textId="77777777" w:rsidTr="00CD3B05">
        <w:trPr>
          <w:trHeight w:val="490"/>
        </w:trPr>
        <w:tc>
          <w:tcPr>
            <w:tcW w:w="5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7F31FDA" w14:textId="77777777" w:rsidR="004B3B82" w:rsidRPr="006F22AB" w:rsidRDefault="004B3B82" w:rsidP="00E31AE6">
            <w:pPr>
              <w:jc w:val="center"/>
              <w:rPr>
                <w:rFonts w:ascii="Garamond" w:hAnsi="Garamond"/>
              </w:rPr>
            </w:pPr>
            <w:r>
              <w:rPr>
                <w:rFonts w:ascii="Garamond" w:hAnsi="Garamond"/>
              </w:rPr>
              <w:t>10</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519B77A" w14:textId="77777777" w:rsidR="004B3B82" w:rsidRDefault="004B3B82" w:rsidP="00E31AE6">
            <w:pPr>
              <w:jc w:val="center"/>
            </w:pPr>
            <w:r w:rsidRPr="004D7191">
              <w:rPr>
                <w:rFonts w:hAnsi="Garamond"/>
              </w:rPr>
              <w:t>П</w:t>
            </w:r>
            <w:r w:rsidRPr="004D7191">
              <w:rPr>
                <w:rFonts w:hAnsi="Garamond"/>
                <w:vertAlign w:val="subscript"/>
              </w:rPr>
              <w:t>Ф</w:t>
            </w:r>
            <w:r w:rsidRPr="004D7191">
              <w:rPr>
                <w:rFonts w:ascii="Garamond"/>
                <w:vertAlign w:val="subscript"/>
              </w:rPr>
              <w:t>11</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6A08F86" w14:textId="77777777" w:rsidR="004B3B82" w:rsidRDefault="004B3B82" w:rsidP="00E31AE6">
            <w:pPr>
              <w:ind w:left="34"/>
            </w:pPr>
            <w:r w:rsidRPr="004D7191">
              <w:rPr>
                <w:rFonts w:hAnsi="Garamond"/>
              </w:rPr>
              <w:t>Сбор</w:t>
            </w:r>
            <w:r w:rsidRPr="004D7191">
              <w:rPr>
                <w:rFonts w:hAnsi="Garamond"/>
              </w:rPr>
              <w:t xml:space="preserve"> </w:t>
            </w:r>
            <w:r w:rsidRPr="004D7191">
              <w:rPr>
                <w:rFonts w:hAnsi="Garamond"/>
              </w:rPr>
              <w:t>информации</w:t>
            </w:r>
            <w:r w:rsidRPr="004D7191">
              <w:rPr>
                <w:rFonts w:hAnsi="Garamond"/>
              </w:rPr>
              <w:t xml:space="preserve"> </w:t>
            </w:r>
            <w:r w:rsidRPr="004D7191">
              <w:rPr>
                <w:rFonts w:hAnsi="Garamond"/>
              </w:rPr>
              <w:t>о</w:t>
            </w:r>
            <w:r w:rsidRPr="004D7191">
              <w:rPr>
                <w:rFonts w:hAnsi="Garamond"/>
              </w:rPr>
              <w:t xml:space="preserve"> </w:t>
            </w:r>
            <w:r w:rsidRPr="004D7191">
              <w:rPr>
                <w:rFonts w:hAnsi="Garamond"/>
              </w:rPr>
              <w:t>состояниях</w:t>
            </w:r>
            <w:r w:rsidRPr="004D7191">
              <w:rPr>
                <w:rFonts w:hAnsi="Garamond"/>
              </w:rPr>
              <w:t xml:space="preserve"> </w:t>
            </w:r>
            <w:r w:rsidRPr="004D7191">
              <w:rPr>
                <w:rFonts w:hAnsi="Garamond"/>
              </w:rPr>
              <w:t>средств</w:t>
            </w:r>
            <w:r w:rsidRPr="004D7191">
              <w:rPr>
                <w:rFonts w:hAnsi="Garamond"/>
              </w:rPr>
              <w:t xml:space="preserve"> </w:t>
            </w:r>
            <w:r w:rsidRPr="004D7191">
              <w:rPr>
                <w:rFonts w:hAnsi="Garamond"/>
              </w:rPr>
              <w:t>измерений</w:t>
            </w:r>
          </w:p>
        </w:tc>
        <w:tc>
          <w:tcPr>
            <w:tcW w:w="102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8AED71A" w14:textId="77777777" w:rsidR="004B3B82" w:rsidRDefault="004B3B82" w:rsidP="00E31AE6">
            <w:pPr>
              <w:jc w:val="center"/>
            </w:pP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67EEEF6" w14:textId="77777777" w:rsidR="004B3B82" w:rsidRDefault="004B3B82" w:rsidP="00E31AE6">
            <w:pPr>
              <w:jc w:val="center"/>
            </w:pPr>
          </w:p>
        </w:tc>
        <w:tc>
          <w:tcPr>
            <w:tcW w:w="9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EA2507E" w14:textId="77777777" w:rsidR="004B3B82" w:rsidRDefault="004B3B82" w:rsidP="00E31AE6">
            <w:pPr>
              <w:jc w:val="center"/>
            </w:pPr>
            <w:r w:rsidRPr="004D7191">
              <w:rPr>
                <w:rFonts w:hAnsi="Garamond"/>
              </w:rPr>
              <w:t>Да</w:t>
            </w:r>
          </w:p>
        </w:tc>
        <w:tc>
          <w:tcPr>
            <w:tcW w:w="74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3F6FF2A" w14:textId="77777777" w:rsidR="004B3B82" w:rsidRDefault="004B3B82" w:rsidP="00E31AE6">
            <w:pPr>
              <w:jc w:val="center"/>
            </w:pPr>
            <w:r w:rsidRPr="004D7191">
              <w:rPr>
                <w:rFonts w:hAnsi="Garamond"/>
              </w:rPr>
              <w:t>Да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5A7BECF" w14:textId="77777777" w:rsidR="004B3B82" w:rsidRDefault="004B3B82" w:rsidP="00E31AE6">
            <w:pPr>
              <w:jc w:val="cente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F4FC8CB" w14:textId="77777777" w:rsidR="004B3B82" w:rsidRDefault="004B3B82" w:rsidP="00E31AE6">
            <w:pPr>
              <w:jc w:val="center"/>
            </w:pPr>
          </w:p>
        </w:tc>
        <w:tc>
          <w:tcPr>
            <w:tcW w:w="1559" w:type="dxa"/>
            <w:tcBorders>
              <w:top w:val="single" w:sz="4" w:space="0" w:color="000000"/>
              <w:left w:val="single" w:sz="4" w:space="0" w:color="000000"/>
              <w:bottom w:val="single" w:sz="4" w:space="0" w:color="000000"/>
              <w:right w:val="single" w:sz="4" w:space="0" w:color="000000"/>
            </w:tcBorders>
            <w:vAlign w:val="center"/>
          </w:tcPr>
          <w:p w14:paraId="22D6D310" w14:textId="77777777" w:rsidR="004B3B82" w:rsidRPr="00B83154" w:rsidRDefault="004B3B82" w:rsidP="00E31AE6">
            <w:pPr>
              <w:jc w:val="center"/>
              <w:rPr>
                <w:highlight w:val="yellow"/>
              </w:rPr>
            </w:pPr>
          </w:p>
        </w:tc>
        <w:tc>
          <w:tcPr>
            <w:tcW w:w="1276" w:type="dxa"/>
            <w:tcBorders>
              <w:top w:val="single" w:sz="4" w:space="0" w:color="000000"/>
              <w:left w:val="single" w:sz="4" w:space="0" w:color="000000"/>
              <w:bottom w:val="single" w:sz="4" w:space="0" w:color="000000"/>
              <w:right w:val="single" w:sz="4" w:space="0" w:color="000000"/>
            </w:tcBorders>
            <w:vAlign w:val="center"/>
          </w:tcPr>
          <w:p w14:paraId="266BD2F3" w14:textId="77777777" w:rsidR="004B3B82" w:rsidRPr="00B83154" w:rsidRDefault="004B3B82" w:rsidP="00E31AE6">
            <w:pPr>
              <w:jc w:val="center"/>
              <w:rPr>
                <w:highlight w:val="yellow"/>
              </w:rPr>
            </w:pPr>
            <w:r w:rsidRPr="00B83154">
              <w:rPr>
                <w:rFonts w:hAnsi="Garamond"/>
                <w:highlight w:val="yellow"/>
              </w:rPr>
              <w:t>Да</w:t>
            </w:r>
          </w:p>
        </w:tc>
        <w:tc>
          <w:tcPr>
            <w:tcW w:w="1843" w:type="dxa"/>
            <w:tcBorders>
              <w:top w:val="single" w:sz="4" w:space="0" w:color="000000"/>
              <w:left w:val="single" w:sz="4" w:space="0" w:color="000000"/>
              <w:bottom w:val="single" w:sz="4" w:space="0" w:color="000000"/>
              <w:right w:val="single" w:sz="4" w:space="0" w:color="000000"/>
            </w:tcBorders>
            <w:vAlign w:val="center"/>
          </w:tcPr>
          <w:p w14:paraId="1188685B" w14:textId="77777777" w:rsidR="004B3B82" w:rsidRPr="00B83154" w:rsidRDefault="004B3B82" w:rsidP="00E31AE6">
            <w:pPr>
              <w:jc w:val="center"/>
              <w:rPr>
                <w:highlight w:val="yellow"/>
              </w:rPr>
            </w:pPr>
          </w:p>
        </w:tc>
      </w:tr>
      <w:tr w:rsidR="004B3B82" w14:paraId="421EA602" w14:textId="77777777" w:rsidTr="00CD3B05">
        <w:trPr>
          <w:trHeight w:val="250"/>
        </w:trPr>
        <w:tc>
          <w:tcPr>
            <w:tcW w:w="5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EB9CF88" w14:textId="77777777" w:rsidR="004B3B82" w:rsidRPr="006F22AB" w:rsidRDefault="004B3B82" w:rsidP="00E31AE6">
            <w:pPr>
              <w:jc w:val="center"/>
              <w:rPr>
                <w:rFonts w:ascii="Garamond" w:hAnsi="Garamond"/>
              </w:rPr>
            </w:pPr>
            <w:r w:rsidRPr="006F22AB">
              <w:rPr>
                <w:rFonts w:ascii="Garamond" w:hAnsi="Garamond"/>
              </w:rPr>
              <w:t>1</w:t>
            </w:r>
            <w:r>
              <w:rPr>
                <w:rFonts w:ascii="Garamond" w:hAnsi="Garamond"/>
              </w:rPr>
              <w:t>1</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95B8BFD" w14:textId="77777777" w:rsidR="004B3B82" w:rsidRDefault="004B3B82" w:rsidP="00E31AE6">
            <w:pPr>
              <w:jc w:val="center"/>
            </w:pPr>
            <w:r w:rsidRPr="004D7191">
              <w:rPr>
                <w:rFonts w:hAnsi="Garamond"/>
              </w:rPr>
              <w:t>П</w:t>
            </w:r>
            <w:r w:rsidRPr="004D7191">
              <w:rPr>
                <w:rFonts w:hAnsi="Garamond"/>
                <w:vertAlign w:val="subscript"/>
              </w:rPr>
              <w:t>Ф</w:t>
            </w:r>
            <w:r w:rsidRPr="004D7191">
              <w:rPr>
                <w:rFonts w:ascii="Garamond"/>
                <w:vertAlign w:val="subscript"/>
              </w:rPr>
              <w:t>13</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8166537" w14:textId="77777777" w:rsidR="004B3B82" w:rsidRDefault="004B3B82" w:rsidP="00E31AE6">
            <w:pPr>
              <w:ind w:left="34"/>
            </w:pPr>
            <w:r w:rsidRPr="004D7191">
              <w:rPr>
                <w:rFonts w:hAnsi="Garamond"/>
              </w:rPr>
              <w:t>Сбор</w:t>
            </w:r>
            <w:r w:rsidRPr="004D7191">
              <w:rPr>
                <w:rFonts w:hAnsi="Garamond"/>
              </w:rPr>
              <w:t xml:space="preserve"> </w:t>
            </w:r>
            <w:r w:rsidRPr="004D7191">
              <w:rPr>
                <w:rFonts w:hAnsi="Garamond"/>
              </w:rPr>
              <w:t>результатов</w:t>
            </w:r>
            <w:r w:rsidRPr="004D7191">
              <w:rPr>
                <w:rFonts w:hAnsi="Garamond"/>
              </w:rPr>
              <w:t xml:space="preserve"> </w:t>
            </w:r>
            <w:r w:rsidRPr="004D7191">
              <w:rPr>
                <w:rFonts w:hAnsi="Garamond"/>
              </w:rPr>
              <w:t>измерений</w:t>
            </w:r>
          </w:p>
        </w:tc>
        <w:tc>
          <w:tcPr>
            <w:tcW w:w="102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E35D5EF" w14:textId="77777777" w:rsidR="004B3B82" w:rsidRDefault="004B3B82" w:rsidP="00E31AE6">
            <w:pPr>
              <w:jc w:val="center"/>
            </w:pP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25CFB7B" w14:textId="77777777" w:rsidR="004B3B82" w:rsidRDefault="004B3B82" w:rsidP="00E31AE6">
            <w:pPr>
              <w:jc w:val="center"/>
            </w:pPr>
          </w:p>
        </w:tc>
        <w:tc>
          <w:tcPr>
            <w:tcW w:w="9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428665E" w14:textId="77777777" w:rsidR="004B3B82" w:rsidRDefault="004B3B82" w:rsidP="00E31AE6">
            <w:pPr>
              <w:jc w:val="center"/>
            </w:pPr>
            <w:r w:rsidRPr="004D7191">
              <w:rPr>
                <w:rFonts w:hAnsi="Garamond"/>
              </w:rPr>
              <w:t>Да</w:t>
            </w:r>
          </w:p>
        </w:tc>
        <w:tc>
          <w:tcPr>
            <w:tcW w:w="74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CEBDEF8" w14:textId="77777777" w:rsidR="004B3B82" w:rsidRDefault="004B3B82" w:rsidP="00E31AE6">
            <w:pPr>
              <w:jc w:val="center"/>
            </w:pPr>
            <w:r w:rsidRPr="004D7191">
              <w:rPr>
                <w:rFonts w:hAnsi="Garamond"/>
              </w:rPr>
              <w:t>Да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FD59A20" w14:textId="77777777" w:rsidR="004B3B82" w:rsidRDefault="004B3B82" w:rsidP="00E31AE6">
            <w:pPr>
              <w:jc w:val="cente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08682C8" w14:textId="77777777" w:rsidR="004B3B82" w:rsidRDefault="004B3B82" w:rsidP="00E31AE6">
            <w:pPr>
              <w:jc w:val="center"/>
            </w:pPr>
          </w:p>
        </w:tc>
        <w:tc>
          <w:tcPr>
            <w:tcW w:w="1559" w:type="dxa"/>
            <w:tcBorders>
              <w:top w:val="single" w:sz="4" w:space="0" w:color="000000"/>
              <w:left w:val="single" w:sz="4" w:space="0" w:color="000000"/>
              <w:bottom w:val="single" w:sz="4" w:space="0" w:color="000000"/>
              <w:right w:val="single" w:sz="4" w:space="0" w:color="000000"/>
            </w:tcBorders>
            <w:vAlign w:val="center"/>
          </w:tcPr>
          <w:p w14:paraId="23542599" w14:textId="77777777" w:rsidR="004B3B82" w:rsidRPr="00B83154" w:rsidRDefault="004B3B82" w:rsidP="00E31AE6">
            <w:pPr>
              <w:jc w:val="center"/>
              <w:rPr>
                <w:highlight w:val="yellow"/>
              </w:rPr>
            </w:pPr>
          </w:p>
        </w:tc>
        <w:tc>
          <w:tcPr>
            <w:tcW w:w="1276" w:type="dxa"/>
            <w:tcBorders>
              <w:top w:val="single" w:sz="4" w:space="0" w:color="000000"/>
              <w:left w:val="single" w:sz="4" w:space="0" w:color="000000"/>
              <w:bottom w:val="single" w:sz="4" w:space="0" w:color="000000"/>
              <w:right w:val="single" w:sz="4" w:space="0" w:color="000000"/>
            </w:tcBorders>
            <w:vAlign w:val="center"/>
          </w:tcPr>
          <w:p w14:paraId="6E332A7B" w14:textId="77777777" w:rsidR="004B3B82" w:rsidRPr="00B83154" w:rsidRDefault="004B3B82" w:rsidP="00E31AE6">
            <w:pPr>
              <w:jc w:val="center"/>
              <w:rPr>
                <w:highlight w:val="yellow"/>
              </w:rPr>
            </w:pPr>
            <w:r w:rsidRPr="00B83154">
              <w:rPr>
                <w:rFonts w:hAnsi="Garamond"/>
                <w:highlight w:val="yellow"/>
              </w:rPr>
              <w:t>Да</w:t>
            </w:r>
          </w:p>
        </w:tc>
        <w:tc>
          <w:tcPr>
            <w:tcW w:w="1843" w:type="dxa"/>
            <w:tcBorders>
              <w:top w:val="single" w:sz="4" w:space="0" w:color="000000"/>
              <w:left w:val="single" w:sz="4" w:space="0" w:color="000000"/>
              <w:bottom w:val="single" w:sz="4" w:space="0" w:color="000000"/>
              <w:right w:val="single" w:sz="4" w:space="0" w:color="000000"/>
            </w:tcBorders>
            <w:vAlign w:val="center"/>
          </w:tcPr>
          <w:p w14:paraId="3BF1B0F6" w14:textId="77777777" w:rsidR="004B3B82" w:rsidRPr="00B83154" w:rsidRDefault="004B3B82" w:rsidP="00E31AE6">
            <w:pPr>
              <w:jc w:val="center"/>
              <w:rPr>
                <w:highlight w:val="yellow"/>
              </w:rPr>
            </w:pPr>
          </w:p>
        </w:tc>
      </w:tr>
      <w:tr w:rsidR="004B3B82" w14:paraId="288C5C0E" w14:textId="77777777" w:rsidTr="00CD3B05">
        <w:trPr>
          <w:trHeight w:val="531"/>
        </w:trPr>
        <w:tc>
          <w:tcPr>
            <w:tcW w:w="5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CD36FFF" w14:textId="77777777" w:rsidR="004B3B82" w:rsidRPr="006F22AB" w:rsidRDefault="004B3B82" w:rsidP="00E31AE6">
            <w:pPr>
              <w:jc w:val="center"/>
              <w:rPr>
                <w:rFonts w:ascii="Garamond" w:hAnsi="Garamond"/>
              </w:rPr>
            </w:pPr>
            <w:r w:rsidRPr="006F22AB">
              <w:rPr>
                <w:rFonts w:ascii="Garamond" w:hAnsi="Garamond"/>
              </w:rPr>
              <w:t>1</w:t>
            </w:r>
            <w:r>
              <w:rPr>
                <w:rFonts w:ascii="Garamond" w:hAnsi="Garamond"/>
              </w:rPr>
              <w:t>2</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67C583D" w14:textId="77777777" w:rsidR="004B3B82" w:rsidRDefault="004B3B82" w:rsidP="00E31AE6">
            <w:pPr>
              <w:jc w:val="center"/>
            </w:pPr>
            <w:r w:rsidRPr="004D7191">
              <w:rPr>
                <w:rFonts w:hAnsi="Garamond"/>
              </w:rPr>
              <w:t>П</w:t>
            </w:r>
            <w:r w:rsidRPr="004D7191">
              <w:rPr>
                <w:rFonts w:hAnsi="Garamond"/>
                <w:vertAlign w:val="subscript"/>
              </w:rPr>
              <w:t>Ф</w:t>
            </w:r>
            <w:r w:rsidRPr="004D7191">
              <w:rPr>
                <w:rFonts w:ascii="Garamond"/>
                <w:vertAlign w:val="subscript"/>
              </w:rPr>
              <w:t>16</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B51E465" w14:textId="77777777" w:rsidR="004B3B82" w:rsidRDefault="004B3B82" w:rsidP="00E31AE6">
            <w:pPr>
              <w:ind w:left="34"/>
            </w:pPr>
            <w:r w:rsidRPr="004D7191">
              <w:rPr>
                <w:rFonts w:hAnsi="Garamond"/>
              </w:rPr>
              <w:t>Цикличность</w:t>
            </w:r>
            <w:r w:rsidRPr="004D7191">
              <w:rPr>
                <w:rFonts w:hAnsi="Garamond"/>
              </w:rPr>
              <w:t xml:space="preserve"> </w:t>
            </w:r>
            <w:r w:rsidRPr="004D7191">
              <w:rPr>
                <w:rFonts w:hAnsi="Garamond"/>
              </w:rPr>
              <w:t>измерений</w:t>
            </w:r>
            <w:r w:rsidRPr="004D7191">
              <w:rPr>
                <w:rFonts w:hAnsi="Garamond"/>
              </w:rPr>
              <w:t xml:space="preserve"> </w:t>
            </w:r>
            <w:r w:rsidRPr="004D7191">
              <w:rPr>
                <w:rFonts w:hAnsi="Garamond"/>
              </w:rPr>
              <w:t>приращений</w:t>
            </w:r>
            <w:r w:rsidRPr="004D7191">
              <w:rPr>
                <w:rFonts w:hAnsi="Garamond"/>
              </w:rPr>
              <w:t xml:space="preserve"> </w:t>
            </w:r>
            <w:r w:rsidRPr="004D7191">
              <w:rPr>
                <w:rFonts w:hAnsi="Garamond"/>
              </w:rPr>
              <w:t>электроэнергии</w:t>
            </w:r>
            <w:r w:rsidRPr="004D7191">
              <w:rPr>
                <w:rFonts w:hAnsi="Garamond"/>
              </w:rPr>
              <w:t xml:space="preserve"> </w:t>
            </w:r>
            <w:r w:rsidRPr="004D7191">
              <w:rPr>
                <w:rFonts w:hAnsi="Garamond"/>
              </w:rPr>
              <w:t>–</w:t>
            </w:r>
            <w:r w:rsidRPr="004D7191">
              <w:rPr>
                <w:rFonts w:hAnsi="Garamond"/>
              </w:rPr>
              <w:t xml:space="preserve"> </w:t>
            </w:r>
            <w:r w:rsidRPr="004D7191">
              <w:rPr>
                <w:rFonts w:ascii="Garamond"/>
              </w:rPr>
              <w:t xml:space="preserve">30 </w:t>
            </w:r>
            <w:r w:rsidRPr="004D7191">
              <w:rPr>
                <w:rFonts w:hAnsi="Garamond"/>
              </w:rPr>
              <w:t>минут</w:t>
            </w:r>
          </w:p>
        </w:tc>
        <w:tc>
          <w:tcPr>
            <w:tcW w:w="102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FB3AE0F" w14:textId="77777777" w:rsidR="004B3B82" w:rsidRDefault="004B3B82" w:rsidP="00E31AE6">
            <w:pPr>
              <w:jc w:val="center"/>
            </w:pP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B297E92" w14:textId="77777777" w:rsidR="004B3B82" w:rsidRDefault="004B3B82" w:rsidP="00E31AE6">
            <w:pPr>
              <w:jc w:val="center"/>
            </w:pPr>
          </w:p>
        </w:tc>
        <w:tc>
          <w:tcPr>
            <w:tcW w:w="9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1E96A19" w14:textId="77777777" w:rsidR="004B3B82" w:rsidRDefault="004B3B82" w:rsidP="00E31AE6">
            <w:pPr>
              <w:jc w:val="center"/>
            </w:pPr>
            <w:r w:rsidRPr="004D7191">
              <w:rPr>
                <w:rFonts w:hAnsi="Garamond"/>
              </w:rPr>
              <w:t>Да</w:t>
            </w:r>
          </w:p>
        </w:tc>
        <w:tc>
          <w:tcPr>
            <w:tcW w:w="74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29830BA" w14:textId="77777777" w:rsidR="004B3B82" w:rsidRDefault="004B3B82" w:rsidP="00E31AE6">
            <w:pPr>
              <w:jc w:val="center"/>
            </w:pPr>
            <w:r w:rsidRPr="004D7191">
              <w:rPr>
                <w:rFonts w:hAnsi="Garamond"/>
              </w:rPr>
              <w:t>Да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3921BEC" w14:textId="77777777" w:rsidR="004B3B82" w:rsidRDefault="004B3B82" w:rsidP="00E31AE6">
            <w:pPr>
              <w:jc w:val="cente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7460A18" w14:textId="77777777" w:rsidR="004B3B82" w:rsidRDefault="004B3B82" w:rsidP="00E31AE6">
            <w:pPr>
              <w:jc w:val="center"/>
            </w:pPr>
          </w:p>
        </w:tc>
        <w:tc>
          <w:tcPr>
            <w:tcW w:w="1559" w:type="dxa"/>
            <w:tcBorders>
              <w:top w:val="single" w:sz="4" w:space="0" w:color="000000"/>
              <w:left w:val="single" w:sz="4" w:space="0" w:color="000000"/>
              <w:bottom w:val="single" w:sz="4" w:space="0" w:color="000000"/>
              <w:right w:val="single" w:sz="4" w:space="0" w:color="000000"/>
            </w:tcBorders>
            <w:vAlign w:val="center"/>
          </w:tcPr>
          <w:p w14:paraId="34FE20FF" w14:textId="77777777" w:rsidR="004B3B82" w:rsidRPr="00B83154" w:rsidRDefault="004B3B82" w:rsidP="00E31AE6">
            <w:pPr>
              <w:jc w:val="center"/>
              <w:rPr>
                <w:highlight w:val="yellow"/>
              </w:rPr>
            </w:pPr>
          </w:p>
        </w:tc>
        <w:tc>
          <w:tcPr>
            <w:tcW w:w="1276" w:type="dxa"/>
            <w:tcBorders>
              <w:top w:val="single" w:sz="4" w:space="0" w:color="000000"/>
              <w:left w:val="single" w:sz="4" w:space="0" w:color="000000"/>
              <w:bottom w:val="single" w:sz="4" w:space="0" w:color="000000"/>
              <w:right w:val="single" w:sz="4" w:space="0" w:color="000000"/>
            </w:tcBorders>
            <w:vAlign w:val="center"/>
          </w:tcPr>
          <w:p w14:paraId="1444AE28" w14:textId="77777777" w:rsidR="004B3B82" w:rsidRPr="00B83154" w:rsidRDefault="004B3B82" w:rsidP="00E31AE6">
            <w:pPr>
              <w:jc w:val="center"/>
              <w:rPr>
                <w:highlight w:val="yellow"/>
              </w:rPr>
            </w:pPr>
            <w:r w:rsidRPr="00B83154">
              <w:rPr>
                <w:rFonts w:hAnsi="Garamond"/>
                <w:highlight w:val="yellow"/>
              </w:rPr>
              <w:t>Да</w:t>
            </w:r>
          </w:p>
        </w:tc>
        <w:tc>
          <w:tcPr>
            <w:tcW w:w="1843" w:type="dxa"/>
            <w:tcBorders>
              <w:top w:val="single" w:sz="4" w:space="0" w:color="000000"/>
              <w:left w:val="single" w:sz="4" w:space="0" w:color="000000"/>
              <w:bottom w:val="single" w:sz="4" w:space="0" w:color="000000"/>
              <w:right w:val="single" w:sz="4" w:space="0" w:color="000000"/>
            </w:tcBorders>
            <w:vAlign w:val="center"/>
          </w:tcPr>
          <w:p w14:paraId="29D9EE01" w14:textId="77777777" w:rsidR="004B3B82" w:rsidRPr="00B83154" w:rsidRDefault="004B3B82" w:rsidP="00E31AE6">
            <w:pPr>
              <w:jc w:val="center"/>
              <w:rPr>
                <w:highlight w:val="yellow"/>
              </w:rPr>
            </w:pPr>
          </w:p>
        </w:tc>
      </w:tr>
      <w:tr w:rsidR="004B3B82" w14:paraId="4713DDA6" w14:textId="77777777" w:rsidTr="00CD3B05">
        <w:trPr>
          <w:trHeight w:val="490"/>
        </w:trPr>
        <w:tc>
          <w:tcPr>
            <w:tcW w:w="5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BB447B3" w14:textId="77777777" w:rsidR="004B3B82" w:rsidRPr="006F22AB" w:rsidRDefault="004B3B82" w:rsidP="00E31AE6">
            <w:pPr>
              <w:jc w:val="center"/>
              <w:rPr>
                <w:rFonts w:ascii="Garamond" w:hAnsi="Garamond"/>
              </w:rPr>
            </w:pPr>
            <w:r w:rsidRPr="006F22AB">
              <w:rPr>
                <w:rFonts w:ascii="Garamond" w:hAnsi="Garamond"/>
              </w:rPr>
              <w:t>1</w:t>
            </w:r>
            <w:r>
              <w:rPr>
                <w:rFonts w:ascii="Garamond" w:hAnsi="Garamond"/>
              </w:rPr>
              <w:t>3</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E2F63DC" w14:textId="77777777" w:rsidR="004B3B82" w:rsidRPr="007B5E5A" w:rsidRDefault="004B3B82" w:rsidP="00E31AE6">
            <w:pPr>
              <w:jc w:val="center"/>
            </w:pPr>
            <w:r w:rsidRPr="007B5E5A">
              <w:rPr>
                <w:rFonts w:hAnsi="Garamond"/>
              </w:rPr>
              <w:t>П</w:t>
            </w:r>
            <w:r w:rsidRPr="007B5E5A">
              <w:rPr>
                <w:rFonts w:hAnsi="Garamond"/>
                <w:vertAlign w:val="subscript"/>
              </w:rPr>
              <w:t>Ф</w:t>
            </w:r>
            <w:r w:rsidRPr="007B5E5A">
              <w:rPr>
                <w:rFonts w:ascii="Garamond"/>
                <w:vertAlign w:val="subscript"/>
              </w:rPr>
              <w:t>24</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B16D3DA" w14:textId="77777777" w:rsidR="004B3B82" w:rsidRPr="007B5E5A" w:rsidRDefault="004B3B82" w:rsidP="00E31AE6">
            <w:pPr>
              <w:ind w:left="34"/>
            </w:pPr>
            <w:r w:rsidRPr="007B5E5A">
              <w:rPr>
                <w:rFonts w:hAnsi="Garamond"/>
              </w:rPr>
              <w:t>Цикличность</w:t>
            </w:r>
            <w:r w:rsidRPr="007B5E5A">
              <w:rPr>
                <w:rFonts w:hAnsi="Garamond"/>
              </w:rPr>
              <w:t xml:space="preserve"> </w:t>
            </w:r>
            <w:r w:rsidRPr="007B5E5A">
              <w:rPr>
                <w:rFonts w:hAnsi="Garamond"/>
              </w:rPr>
              <w:t>сбора</w:t>
            </w:r>
            <w:r w:rsidRPr="007B5E5A">
              <w:rPr>
                <w:rFonts w:hAnsi="Garamond"/>
              </w:rPr>
              <w:t xml:space="preserve"> </w:t>
            </w:r>
            <w:r w:rsidRPr="007B5E5A">
              <w:rPr>
                <w:rFonts w:hAnsi="Garamond"/>
              </w:rPr>
              <w:t>информации</w:t>
            </w:r>
            <w:r w:rsidRPr="007B5E5A">
              <w:rPr>
                <w:rFonts w:hAnsi="Garamond"/>
              </w:rPr>
              <w:t xml:space="preserve"> </w:t>
            </w:r>
            <w:r w:rsidRPr="007B5E5A">
              <w:rPr>
                <w:rFonts w:hAnsi="Garamond"/>
              </w:rPr>
              <w:t>–</w:t>
            </w:r>
            <w:r w:rsidRPr="007B5E5A">
              <w:rPr>
                <w:rFonts w:hAnsi="Garamond"/>
              </w:rPr>
              <w:t xml:space="preserve"> </w:t>
            </w:r>
            <w:r w:rsidRPr="007B5E5A">
              <w:rPr>
                <w:rFonts w:ascii="Garamond"/>
              </w:rPr>
              <w:t xml:space="preserve">1 </w:t>
            </w:r>
            <w:r w:rsidRPr="007B5E5A">
              <w:rPr>
                <w:rFonts w:hAnsi="Garamond"/>
              </w:rPr>
              <w:t>раз</w:t>
            </w:r>
            <w:r w:rsidRPr="007B5E5A">
              <w:rPr>
                <w:rFonts w:hAnsi="Garamond"/>
              </w:rPr>
              <w:t xml:space="preserve"> </w:t>
            </w:r>
            <w:r w:rsidRPr="007B5E5A">
              <w:rPr>
                <w:rFonts w:hAnsi="Garamond"/>
              </w:rPr>
              <w:t>в</w:t>
            </w:r>
            <w:r w:rsidRPr="007B5E5A">
              <w:rPr>
                <w:rFonts w:hAnsi="Garamond"/>
              </w:rPr>
              <w:t xml:space="preserve"> </w:t>
            </w:r>
            <w:r w:rsidRPr="007B5E5A">
              <w:rPr>
                <w:rFonts w:hAnsi="Garamond"/>
              </w:rPr>
              <w:t>сутки</w:t>
            </w:r>
          </w:p>
        </w:tc>
        <w:tc>
          <w:tcPr>
            <w:tcW w:w="102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5CA1F5E" w14:textId="77777777" w:rsidR="004B3B82" w:rsidRPr="007B5E5A" w:rsidRDefault="004B3B82" w:rsidP="00E31AE6">
            <w:pPr>
              <w:jc w:val="center"/>
            </w:pP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6225CCC" w14:textId="77777777" w:rsidR="004B3B82" w:rsidRPr="007B5E5A" w:rsidRDefault="004B3B82" w:rsidP="00E31AE6">
            <w:pPr>
              <w:jc w:val="center"/>
            </w:pPr>
          </w:p>
        </w:tc>
        <w:tc>
          <w:tcPr>
            <w:tcW w:w="9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F4EDD7E" w14:textId="77777777" w:rsidR="004B3B82" w:rsidRPr="007B5E5A" w:rsidRDefault="004B3B82" w:rsidP="00E31AE6">
            <w:pPr>
              <w:jc w:val="center"/>
            </w:pPr>
            <w:r w:rsidRPr="007B5E5A">
              <w:rPr>
                <w:rFonts w:hAnsi="Garamond"/>
              </w:rPr>
              <w:t>Да</w:t>
            </w:r>
          </w:p>
        </w:tc>
        <w:tc>
          <w:tcPr>
            <w:tcW w:w="74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F940D62" w14:textId="77777777" w:rsidR="004B3B82" w:rsidRPr="007B5E5A" w:rsidRDefault="004B3B82" w:rsidP="00E31AE6">
            <w:pPr>
              <w:jc w:val="center"/>
            </w:pPr>
            <w:r w:rsidRPr="007B5E5A">
              <w:rPr>
                <w:rFonts w:hAnsi="Garamond"/>
              </w:rPr>
              <w:t>Да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DD21D94" w14:textId="77777777" w:rsidR="004B3B82" w:rsidRPr="007B5E5A" w:rsidRDefault="004B3B82" w:rsidP="00E31AE6">
            <w:pPr>
              <w:jc w:val="cente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0C57A5A" w14:textId="77777777" w:rsidR="004B3B82" w:rsidRDefault="004B3B82" w:rsidP="00E31AE6">
            <w:pPr>
              <w:jc w:val="center"/>
            </w:pPr>
          </w:p>
        </w:tc>
        <w:tc>
          <w:tcPr>
            <w:tcW w:w="1559" w:type="dxa"/>
            <w:tcBorders>
              <w:top w:val="single" w:sz="4" w:space="0" w:color="000000"/>
              <w:left w:val="single" w:sz="4" w:space="0" w:color="000000"/>
              <w:bottom w:val="single" w:sz="4" w:space="0" w:color="000000"/>
              <w:right w:val="single" w:sz="4" w:space="0" w:color="000000"/>
            </w:tcBorders>
            <w:vAlign w:val="center"/>
          </w:tcPr>
          <w:p w14:paraId="42F3A264" w14:textId="77777777" w:rsidR="004B3B82" w:rsidRPr="00B83154" w:rsidRDefault="004B3B82" w:rsidP="00E31AE6">
            <w:pPr>
              <w:jc w:val="center"/>
              <w:rPr>
                <w:highlight w:val="yellow"/>
              </w:rPr>
            </w:pPr>
          </w:p>
        </w:tc>
        <w:tc>
          <w:tcPr>
            <w:tcW w:w="1276" w:type="dxa"/>
            <w:tcBorders>
              <w:top w:val="single" w:sz="4" w:space="0" w:color="000000"/>
              <w:left w:val="single" w:sz="4" w:space="0" w:color="000000"/>
              <w:bottom w:val="single" w:sz="4" w:space="0" w:color="000000"/>
              <w:right w:val="single" w:sz="4" w:space="0" w:color="000000"/>
            </w:tcBorders>
            <w:vAlign w:val="center"/>
          </w:tcPr>
          <w:p w14:paraId="17A9AC0D" w14:textId="77777777" w:rsidR="004B3B82" w:rsidRPr="00B83154" w:rsidRDefault="004B3B82" w:rsidP="00E31AE6">
            <w:pPr>
              <w:jc w:val="center"/>
              <w:rPr>
                <w:highlight w:val="yellow"/>
              </w:rPr>
            </w:pPr>
            <w:r w:rsidRPr="00B83154">
              <w:rPr>
                <w:rFonts w:hAnsi="Garamond"/>
                <w:highlight w:val="yellow"/>
              </w:rPr>
              <w:t>Да</w:t>
            </w:r>
          </w:p>
        </w:tc>
        <w:tc>
          <w:tcPr>
            <w:tcW w:w="1843" w:type="dxa"/>
            <w:tcBorders>
              <w:top w:val="single" w:sz="4" w:space="0" w:color="000000"/>
              <w:left w:val="single" w:sz="4" w:space="0" w:color="000000"/>
              <w:bottom w:val="single" w:sz="4" w:space="0" w:color="000000"/>
              <w:right w:val="single" w:sz="4" w:space="0" w:color="000000"/>
            </w:tcBorders>
            <w:vAlign w:val="center"/>
          </w:tcPr>
          <w:p w14:paraId="633A1A67" w14:textId="77777777" w:rsidR="004B3B82" w:rsidRPr="00B83154" w:rsidRDefault="004B3B82" w:rsidP="00E31AE6">
            <w:pPr>
              <w:jc w:val="center"/>
              <w:rPr>
                <w:highlight w:val="yellow"/>
              </w:rPr>
            </w:pPr>
          </w:p>
        </w:tc>
      </w:tr>
      <w:tr w:rsidR="004B3B82" w14:paraId="10ED1BB0" w14:textId="77777777" w:rsidTr="00CD3B05">
        <w:trPr>
          <w:trHeight w:val="490"/>
        </w:trPr>
        <w:tc>
          <w:tcPr>
            <w:tcW w:w="5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02B0949" w14:textId="77777777" w:rsidR="004B3B82" w:rsidRPr="006F22AB" w:rsidRDefault="004B3B82" w:rsidP="00E31AE6">
            <w:pPr>
              <w:jc w:val="center"/>
              <w:rPr>
                <w:rFonts w:ascii="Garamond" w:hAnsi="Garamond"/>
              </w:rPr>
            </w:pPr>
            <w:r w:rsidRPr="006F22AB">
              <w:rPr>
                <w:rFonts w:ascii="Garamond" w:hAnsi="Garamond"/>
              </w:rPr>
              <w:t>1</w:t>
            </w:r>
            <w:r>
              <w:rPr>
                <w:rFonts w:ascii="Garamond" w:hAnsi="Garamond"/>
              </w:rPr>
              <w:t>4</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E102982" w14:textId="77777777" w:rsidR="004B3B82" w:rsidRPr="007B5E5A" w:rsidRDefault="004B3B82" w:rsidP="00E31AE6">
            <w:pPr>
              <w:jc w:val="center"/>
            </w:pPr>
            <w:r w:rsidRPr="00B83154">
              <w:rPr>
                <w:rFonts w:hAnsi="Garamond"/>
              </w:rPr>
              <w:t>П</w:t>
            </w:r>
            <w:r w:rsidRPr="00B83154">
              <w:rPr>
                <w:rFonts w:hAnsi="Garamond"/>
                <w:vertAlign w:val="subscript"/>
              </w:rPr>
              <w:t>Ф</w:t>
            </w:r>
            <w:r w:rsidRPr="00B83154">
              <w:rPr>
                <w:rFonts w:hAnsi="Garamond"/>
                <w:vertAlign w:val="subscript"/>
              </w:rPr>
              <w:t>28</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D1540F5" w14:textId="77777777" w:rsidR="004B3B82" w:rsidRPr="007B5E5A" w:rsidRDefault="004B3B82" w:rsidP="00E31AE6">
            <w:pPr>
              <w:ind w:left="34"/>
            </w:pPr>
            <w:r w:rsidRPr="0057513B">
              <w:rPr>
                <w:rFonts w:hAnsi="Garamond"/>
                <w:bCs/>
              </w:rPr>
              <w:t>Предоставление</w:t>
            </w:r>
            <w:r w:rsidRPr="0057513B">
              <w:rPr>
                <w:rFonts w:hAnsi="Garamond"/>
                <w:bCs/>
              </w:rPr>
              <w:t xml:space="preserve"> </w:t>
            </w:r>
            <w:r w:rsidRPr="0057513B">
              <w:rPr>
                <w:rFonts w:hAnsi="Garamond"/>
                <w:bCs/>
              </w:rPr>
              <w:t>в</w:t>
            </w:r>
            <w:r w:rsidRPr="0057513B">
              <w:rPr>
                <w:rFonts w:hAnsi="Garamond"/>
                <w:bCs/>
              </w:rPr>
              <w:t xml:space="preserve"> </w:t>
            </w:r>
            <w:r w:rsidRPr="0057513B">
              <w:rPr>
                <w:rFonts w:hAnsi="Garamond"/>
                <w:bCs/>
              </w:rPr>
              <w:t>ПАК</w:t>
            </w:r>
            <w:r w:rsidRPr="0057513B">
              <w:rPr>
                <w:rFonts w:hAnsi="Garamond"/>
                <w:bCs/>
              </w:rPr>
              <w:t xml:space="preserve"> </w:t>
            </w:r>
            <w:r w:rsidRPr="0057513B">
              <w:rPr>
                <w:rFonts w:hAnsi="Garamond"/>
                <w:bCs/>
              </w:rPr>
              <w:t>КО</w:t>
            </w:r>
            <w:r w:rsidRPr="0057513B">
              <w:rPr>
                <w:rFonts w:hAnsi="Garamond"/>
                <w:bCs/>
              </w:rPr>
              <w:t xml:space="preserve"> </w:t>
            </w:r>
            <w:r w:rsidRPr="0057513B">
              <w:rPr>
                <w:rFonts w:hAnsi="Garamond"/>
                <w:bCs/>
              </w:rPr>
              <w:t>результатов</w:t>
            </w:r>
            <w:r w:rsidRPr="0057513B">
              <w:rPr>
                <w:rFonts w:hAnsi="Garamond"/>
                <w:bCs/>
              </w:rPr>
              <w:t xml:space="preserve"> </w:t>
            </w:r>
            <w:r w:rsidRPr="0057513B">
              <w:rPr>
                <w:rFonts w:hAnsi="Garamond"/>
                <w:bCs/>
              </w:rPr>
              <w:t>измерений</w:t>
            </w:r>
            <w:r w:rsidRPr="0057513B">
              <w:rPr>
                <w:rFonts w:hAnsi="Garamond"/>
                <w:bCs/>
              </w:rPr>
              <w:t xml:space="preserve"> </w:t>
            </w:r>
            <w:r w:rsidRPr="0057513B">
              <w:rPr>
                <w:rFonts w:hAnsi="Garamond"/>
                <w:bCs/>
              </w:rPr>
              <w:t>с</w:t>
            </w:r>
            <w:r w:rsidRPr="0057513B">
              <w:rPr>
                <w:rFonts w:hAnsi="Garamond"/>
                <w:bCs/>
              </w:rPr>
              <w:t xml:space="preserve"> </w:t>
            </w:r>
            <w:r w:rsidRPr="0057513B">
              <w:rPr>
                <w:rFonts w:hAnsi="Garamond"/>
                <w:bCs/>
              </w:rPr>
              <w:t>обеспечением</w:t>
            </w:r>
            <w:r w:rsidRPr="0057513B">
              <w:rPr>
                <w:rFonts w:hAnsi="Garamond"/>
                <w:bCs/>
              </w:rPr>
              <w:t xml:space="preserve"> </w:t>
            </w:r>
            <w:r w:rsidRPr="0057513B">
              <w:rPr>
                <w:rFonts w:hAnsi="Garamond"/>
                <w:bCs/>
              </w:rPr>
              <w:t>защиты</w:t>
            </w:r>
            <w:r w:rsidRPr="0057513B">
              <w:rPr>
                <w:rFonts w:hAnsi="Garamond"/>
                <w:bCs/>
              </w:rPr>
              <w:t xml:space="preserve"> </w:t>
            </w:r>
            <w:r w:rsidRPr="0057513B">
              <w:rPr>
                <w:rFonts w:hAnsi="Garamond"/>
                <w:bCs/>
              </w:rPr>
              <w:t>информации</w:t>
            </w:r>
            <w:r w:rsidRPr="0057513B">
              <w:rPr>
                <w:rFonts w:hAnsi="Garamond"/>
                <w:bCs/>
              </w:rPr>
              <w:t xml:space="preserve"> </w:t>
            </w:r>
            <w:r w:rsidRPr="0057513B">
              <w:rPr>
                <w:rFonts w:hAnsi="Garamond"/>
                <w:bCs/>
              </w:rPr>
              <w:t>на</w:t>
            </w:r>
            <w:r w:rsidRPr="0057513B">
              <w:rPr>
                <w:rFonts w:hAnsi="Garamond"/>
                <w:bCs/>
              </w:rPr>
              <w:t xml:space="preserve"> </w:t>
            </w:r>
            <w:r w:rsidRPr="0057513B">
              <w:rPr>
                <w:rFonts w:hAnsi="Garamond"/>
                <w:bCs/>
              </w:rPr>
              <w:t>программном</w:t>
            </w:r>
            <w:r w:rsidRPr="0057513B">
              <w:rPr>
                <w:rFonts w:hAnsi="Garamond"/>
                <w:bCs/>
              </w:rPr>
              <w:t xml:space="preserve"> </w:t>
            </w:r>
            <w:r w:rsidRPr="0057513B">
              <w:rPr>
                <w:rFonts w:hAnsi="Garamond"/>
                <w:bCs/>
              </w:rPr>
              <w:t>уровне</w:t>
            </w:r>
            <w:r w:rsidRPr="0057513B">
              <w:rPr>
                <w:rFonts w:hAnsi="Garamond"/>
                <w:bCs/>
              </w:rPr>
              <w:t xml:space="preserve"> (</w:t>
            </w:r>
            <w:r w:rsidRPr="0057513B">
              <w:rPr>
                <w:rFonts w:hAnsi="Garamond"/>
                <w:bCs/>
              </w:rPr>
              <w:t>ЭП</w:t>
            </w:r>
            <w:r w:rsidRPr="0057513B">
              <w:rPr>
                <w:rFonts w:hAnsi="Garamond"/>
                <w:bCs/>
              </w:rPr>
              <w:t>)</w:t>
            </w:r>
          </w:p>
        </w:tc>
        <w:tc>
          <w:tcPr>
            <w:tcW w:w="102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369E407" w14:textId="77777777" w:rsidR="004B3B82" w:rsidRPr="007B5E5A" w:rsidRDefault="004B3B82" w:rsidP="00E31AE6">
            <w:pPr>
              <w:jc w:val="center"/>
            </w:pP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05D9F1D" w14:textId="77777777" w:rsidR="004B3B82" w:rsidRPr="007B5E5A" w:rsidRDefault="004B3B82" w:rsidP="00E31AE6">
            <w:pPr>
              <w:jc w:val="center"/>
            </w:pPr>
          </w:p>
        </w:tc>
        <w:tc>
          <w:tcPr>
            <w:tcW w:w="9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2ADC25A" w14:textId="77777777" w:rsidR="004B3B82" w:rsidRPr="007B5E5A" w:rsidRDefault="004B3B82" w:rsidP="00E31AE6">
            <w:pPr>
              <w:jc w:val="center"/>
            </w:pPr>
          </w:p>
        </w:tc>
        <w:tc>
          <w:tcPr>
            <w:tcW w:w="75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F05AD9E" w14:textId="77777777" w:rsidR="004B3B82" w:rsidRPr="007B5E5A" w:rsidRDefault="004B3B82" w:rsidP="00E31AE6">
            <w:pPr>
              <w:jc w:val="center"/>
            </w:pP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7E27419" w14:textId="77777777" w:rsidR="004B3B82" w:rsidRPr="007B5E5A" w:rsidRDefault="004B3B82" w:rsidP="00E31AE6">
            <w:pPr>
              <w:jc w:val="center"/>
            </w:pPr>
            <w:r w:rsidRPr="007B5E5A">
              <w:rPr>
                <w:rFonts w:hAnsi="Garamond"/>
              </w:rPr>
              <w:t>Да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58C938F" w14:textId="77777777" w:rsidR="004B3B82" w:rsidRPr="007B5E5A" w:rsidRDefault="004B3B82" w:rsidP="00E31AE6">
            <w:pPr>
              <w:jc w:val="center"/>
            </w:pPr>
            <w:r w:rsidRPr="007B5E5A">
              <w:rPr>
                <w:rFonts w:hAnsi="Garamond"/>
              </w:rPr>
              <w:t>Да</w:t>
            </w:r>
          </w:p>
        </w:tc>
        <w:tc>
          <w:tcPr>
            <w:tcW w:w="1559" w:type="dxa"/>
            <w:tcBorders>
              <w:top w:val="single" w:sz="4" w:space="0" w:color="000000"/>
              <w:left w:val="single" w:sz="4" w:space="0" w:color="000000"/>
              <w:bottom w:val="single" w:sz="4" w:space="0" w:color="000000"/>
              <w:right w:val="single" w:sz="4" w:space="0" w:color="000000"/>
            </w:tcBorders>
            <w:vAlign w:val="center"/>
          </w:tcPr>
          <w:p w14:paraId="5D05C2CB" w14:textId="77777777" w:rsidR="004B3B82" w:rsidRPr="00B83154" w:rsidRDefault="004B3B82" w:rsidP="00E31AE6">
            <w:pPr>
              <w:jc w:val="center"/>
              <w:rPr>
                <w:rFonts w:hAnsi="Garamond"/>
                <w:highlight w:val="yellow"/>
              </w:rPr>
            </w:pPr>
          </w:p>
        </w:tc>
        <w:tc>
          <w:tcPr>
            <w:tcW w:w="1276" w:type="dxa"/>
            <w:tcBorders>
              <w:top w:val="single" w:sz="4" w:space="0" w:color="000000"/>
              <w:left w:val="single" w:sz="4" w:space="0" w:color="000000"/>
              <w:bottom w:val="single" w:sz="4" w:space="0" w:color="000000"/>
              <w:right w:val="single" w:sz="4" w:space="0" w:color="000000"/>
            </w:tcBorders>
            <w:vAlign w:val="center"/>
          </w:tcPr>
          <w:p w14:paraId="410ECA86" w14:textId="77777777" w:rsidR="004B3B82" w:rsidRPr="00B83154" w:rsidRDefault="004B3B82" w:rsidP="00E31AE6">
            <w:pPr>
              <w:jc w:val="center"/>
              <w:rPr>
                <w:rFonts w:hAnsi="Garamond"/>
                <w:highlight w:val="yellow"/>
              </w:rPr>
            </w:pPr>
          </w:p>
        </w:tc>
        <w:tc>
          <w:tcPr>
            <w:tcW w:w="1843" w:type="dxa"/>
            <w:tcBorders>
              <w:top w:val="single" w:sz="4" w:space="0" w:color="000000"/>
              <w:left w:val="single" w:sz="4" w:space="0" w:color="000000"/>
              <w:bottom w:val="single" w:sz="4" w:space="0" w:color="000000"/>
              <w:right w:val="single" w:sz="4" w:space="0" w:color="000000"/>
            </w:tcBorders>
            <w:vAlign w:val="center"/>
          </w:tcPr>
          <w:p w14:paraId="6F7C5C48" w14:textId="77777777" w:rsidR="004B3B82" w:rsidRPr="00B83154" w:rsidRDefault="004B3B82" w:rsidP="00E31AE6">
            <w:pPr>
              <w:jc w:val="center"/>
              <w:rPr>
                <w:rFonts w:hAnsi="Garamond"/>
                <w:highlight w:val="yellow"/>
              </w:rPr>
            </w:pPr>
            <w:r w:rsidRPr="00B83154">
              <w:rPr>
                <w:rFonts w:hAnsi="Garamond"/>
                <w:highlight w:val="yellow"/>
              </w:rPr>
              <w:t>Да</w:t>
            </w:r>
          </w:p>
        </w:tc>
      </w:tr>
      <w:tr w:rsidR="004B3B82" w14:paraId="12FBB060" w14:textId="77777777" w:rsidTr="00CD3B05">
        <w:trPr>
          <w:trHeight w:val="490"/>
        </w:trPr>
        <w:tc>
          <w:tcPr>
            <w:tcW w:w="5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34BE735" w14:textId="77777777" w:rsidR="004B3B82" w:rsidRPr="006F22AB" w:rsidRDefault="004B3B82" w:rsidP="00E31AE6">
            <w:pPr>
              <w:jc w:val="center"/>
              <w:rPr>
                <w:rFonts w:ascii="Garamond" w:hAnsi="Garamond"/>
              </w:rPr>
            </w:pPr>
            <w:r>
              <w:rPr>
                <w:rFonts w:ascii="Garamond" w:hAnsi="Garamond"/>
              </w:rPr>
              <w:lastRenderedPageBreak/>
              <w:t>15</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1F1C5E7" w14:textId="77777777" w:rsidR="004B3B82" w:rsidRPr="007B5E5A" w:rsidRDefault="004B3B82" w:rsidP="00E31AE6">
            <w:pPr>
              <w:jc w:val="center"/>
            </w:pPr>
            <w:r w:rsidRPr="007B5E5A">
              <w:rPr>
                <w:rFonts w:hAnsi="Garamond"/>
              </w:rPr>
              <w:t>П</w:t>
            </w:r>
            <w:r w:rsidRPr="007B5E5A">
              <w:rPr>
                <w:rFonts w:hAnsi="Garamond"/>
                <w:vertAlign w:val="subscript"/>
              </w:rPr>
              <w:t>Ф</w:t>
            </w:r>
            <w:r w:rsidRPr="007B5E5A">
              <w:rPr>
                <w:rFonts w:ascii="Garamond"/>
                <w:vertAlign w:val="subscript"/>
              </w:rPr>
              <w:t>32</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3420D40" w14:textId="77777777" w:rsidR="004B3B82" w:rsidRPr="0057513B" w:rsidRDefault="004B3B82" w:rsidP="00E31AE6">
            <w:pPr>
              <w:ind w:left="34"/>
            </w:pPr>
            <w:r>
              <w:rPr>
                <w:rFonts w:hAnsi="Garamond"/>
                <w:bCs/>
              </w:rPr>
              <w:t>Д</w:t>
            </w:r>
            <w:r w:rsidRPr="0057513B">
              <w:rPr>
                <w:rFonts w:hAnsi="Garamond"/>
                <w:bCs/>
              </w:rPr>
              <w:t>истанционн</w:t>
            </w:r>
            <w:r>
              <w:rPr>
                <w:rFonts w:hAnsi="Garamond"/>
                <w:bCs/>
              </w:rPr>
              <w:t>ый</w:t>
            </w:r>
            <w:r w:rsidRPr="0057513B">
              <w:rPr>
                <w:rFonts w:hAnsi="Garamond"/>
                <w:bCs/>
              </w:rPr>
              <w:t xml:space="preserve"> </w:t>
            </w:r>
            <w:r w:rsidRPr="0057513B">
              <w:rPr>
                <w:rFonts w:hAnsi="Garamond"/>
                <w:bCs/>
              </w:rPr>
              <w:t>доступ</w:t>
            </w:r>
            <w:r w:rsidRPr="0057513B">
              <w:rPr>
                <w:rFonts w:hAnsi="Garamond"/>
                <w:bCs/>
              </w:rPr>
              <w:t xml:space="preserve"> </w:t>
            </w:r>
            <w:r w:rsidRPr="0057513B">
              <w:rPr>
                <w:rFonts w:hAnsi="Garamond"/>
                <w:bCs/>
              </w:rPr>
              <w:t>к</w:t>
            </w:r>
            <w:r w:rsidRPr="0057513B">
              <w:rPr>
                <w:rFonts w:hAnsi="Garamond"/>
                <w:bCs/>
              </w:rPr>
              <w:t xml:space="preserve"> </w:t>
            </w:r>
            <w:r w:rsidRPr="0057513B">
              <w:rPr>
                <w:rFonts w:hAnsi="Garamond"/>
                <w:bCs/>
              </w:rPr>
              <w:t>АИИС</w:t>
            </w:r>
            <w:r w:rsidRPr="0057513B">
              <w:rPr>
                <w:rFonts w:hAnsi="Garamond"/>
                <w:bCs/>
              </w:rPr>
              <w:t xml:space="preserve"> </w:t>
            </w:r>
            <w:r w:rsidRPr="0057513B">
              <w:rPr>
                <w:rFonts w:hAnsi="Garamond"/>
                <w:bCs/>
              </w:rPr>
              <w:t>КУЭ</w:t>
            </w:r>
            <w:r w:rsidRPr="0057513B">
              <w:rPr>
                <w:rFonts w:hAnsi="Garamond"/>
                <w:bCs/>
              </w:rPr>
              <w:t xml:space="preserve"> </w:t>
            </w:r>
            <w:r w:rsidRPr="0057513B">
              <w:rPr>
                <w:rFonts w:hAnsi="Garamond"/>
                <w:bCs/>
              </w:rPr>
              <w:t>для</w:t>
            </w:r>
            <w:r w:rsidRPr="0057513B">
              <w:rPr>
                <w:rFonts w:hAnsi="Garamond"/>
                <w:bCs/>
              </w:rPr>
              <w:t xml:space="preserve"> </w:t>
            </w:r>
            <w:r w:rsidRPr="0057513B">
              <w:rPr>
                <w:rFonts w:hAnsi="Garamond"/>
                <w:bCs/>
              </w:rPr>
              <w:t>контроля</w:t>
            </w:r>
            <w:r w:rsidRPr="0057513B">
              <w:rPr>
                <w:rFonts w:hAnsi="Garamond"/>
                <w:bCs/>
              </w:rPr>
              <w:t xml:space="preserve"> </w:t>
            </w:r>
            <w:r w:rsidRPr="0057513B">
              <w:rPr>
                <w:rFonts w:hAnsi="Garamond"/>
                <w:bCs/>
              </w:rPr>
              <w:t>со</w:t>
            </w:r>
            <w:r w:rsidRPr="0057513B">
              <w:rPr>
                <w:rFonts w:hAnsi="Garamond"/>
                <w:bCs/>
              </w:rPr>
              <w:t xml:space="preserve"> </w:t>
            </w:r>
            <w:r w:rsidRPr="0057513B">
              <w:rPr>
                <w:rFonts w:hAnsi="Garamond"/>
                <w:bCs/>
              </w:rPr>
              <w:t>стороны</w:t>
            </w:r>
            <w:r w:rsidRPr="0057513B">
              <w:rPr>
                <w:rFonts w:hAnsi="Garamond"/>
                <w:bCs/>
              </w:rPr>
              <w:t xml:space="preserve"> </w:t>
            </w:r>
            <w:r w:rsidRPr="0057513B">
              <w:rPr>
                <w:rFonts w:hAnsi="Garamond"/>
                <w:bCs/>
              </w:rPr>
              <w:t>КО</w:t>
            </w:r>
          </w:p>
        </w:tc>
        <w:tc>
          <w:tcPr>
            <w:tcW w:w="102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8034464" w14:textId="77777777" w:rsidR="004B3B82" w:rsidRPr="007B5E5A" w:rsidRDefault="004B3B82" w:rsidP="00E31AE6">
            <w:pPr>
              <w:jc w:val="center"/>
            </w:pP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06378C9" w14:textId="77777777" w:rsidR="004B3B82" w:rsidRPr="007B5E5A" w:rsidRDefault="004B3B82" w:rsidP="00E31AE6">
            <w:pPr>
              <w:jc w:val="center"/>
            </w:pPr>
          </w:p>
        </w:tc>
        <w:tc>
          <w:tcPr>
            <w:tcW w:w="9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31D834C" w14:textId="77777777" w:rsidR="004B3B82" w:rsidRPr="007B5E5A" w:rsidRDefault="004B3B82" w:rsidP="00E31AE6">
            <w:pPr>
              <w:jc w:val="center"/>
              <w:rPr>
                <w:rFonts w:hAnsi="Garamond"/>
              </w:rPr>
            </w:pPr>
            <w:r w:rsidRPr="007B5E5A">
              <w:rPr>
                <w:rFonts w:hAnsi="Garamond"/>
              </w:rPr>
              <w:t>Да</w:t>
            </w:r>
          </w:p>
        </w:tc>
        <w:tc>
          <w:tcPr>
            <w:tcW w:w="75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E42D100" w14:textId="77777777" w:rsidR="004B3B82" w:rsidRPr="007B5E5A" w:rsidRDefault="004B3B82" w:rsidP="00E31AE6">
            <w:pPr>
              <w:jc w:val="center"/>
              <w:rPr>
                <w:rFonts w:hAnsi="Garamond"/>
              </w:rPr>
            </w:pPr>
            <w:r w:rsidRPr="007B5E5A">
              <w:rPr>
                <w:rFonts w:hAnsi="Garamond"/>
              </w:rPr>
              <w:t>Да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458D766" w14:textId="77777777" w:rsidR="004B3B82" w:rsidRPr="007B5E5A" w:rsidRDefault="004B3B82" w:rsidP="00E31AE6">
            <w:pPr>
              <w:jc w:val="cente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F4C3B33" w14:textId="77777777" w:rsidR="004B3B82" w:rsidRPr="007B5E5A" w:rsidRDefault="004B3B82" w:rsidP="00E31AE6">
            <w:pPr>
              <w:jc w:val="center"/>
            </w:pPr>
          </w:p>
        </w:tc>
        <w:tc>
          <w:tcPr>
            <w:tcW w:w="1559" w:type="dxa"/>
            <w:tcBorders>
              <w:top w:val="single" w:sz="4" w:space="0" w:color="000000"/>
              <w:left w:val="single" w:sz="4" w:space="0" w:color="000000"/>
              <w:bottom w:val="single" w:sz="4" w:space="0" w:color="000000"/>
              <w:right w:val="single" w:sz="4" w:space="0" w:color="000000"/>
            </w:tcBorders>
            <w:vAlign w:val="center"/>
          </w:tcPr>
          <w:p w14:paraId="4A87D085" w14:textId="77777777" w:rsidR="004B3B82" w:rsidRPr="00B83154" w:rsidRDefault="004B3B82" w:rsidP="00E31AE6">
            <w:pPr>
              <w:jc w:val="center"/>
              <w:rPr>
                <w:highlight w:val="yellow"/>
              </w:rPr>
            </w:pPr>
          </w:p>
        </w:tc>
        <w:tc>
          <w:tcPr>
            <w:tcW w:w="1276" w:type="dxa"/>
            <w:tcBorders>
              <w:top w:val="single" w:sz="4" w:space="0" w:color="000000"/>
              <w:left w:val="single" w:sz="4" w:space="0" w:color="000000"/>
              <w:bottom w:val="single" w:sz="4" w:space="0" w:color="000000"/>
              <w:right w:val="single" w:sz="4" w:space="0" w:color="000000"/>
            </w:tcBorders>
            <w:vAlign w:val="center"/>
          </w:tcPr>
          <w:p w14:paraId="5757529C" w14:textId="77777777" w:rsidR="004B3B82" w:rsidRPr="00B83154" w:rsidRDefault="004B3B82" w:rsidP="00E31AE6">
            <w:pPr>
              <w:jc w:val="center"/>
              <w:rPr>
                <w:highlight w:val="yellow"/>
              </w:rPr>
            </w:pPr>
            <w:r w:rsidRPr="00B83154">
              <w:rPr>
                <w:rFonts w:hAnsi="Garamond"/>
                <w:highlight w:val="yellow"/>
              </w:rPr>
              <w:t>Да</w:t>
            </w:r>
          </w:p>
        </w:tc>
        <w:tc>
          <w:tcPr>
            <w:tcW w:w="1843" w:type="dxa"/>
            <w:tcBorders>
              <w:top w:val="single" w:sz="4" w:space="0" w:color="000000"/>
              <w:left w:val="single" w:sz="4" w:space="0" w:color="000000"/>
              <w:bottom w:val="single" w:sz="4" w:space="0" w:color="000000"/>
              <w:right w:val="single" w:sz="4" w:space="0" w:color="000000"/>
            </w:tcBorders>
            <w:vAlign w:val="center"/>
          </w:tcPr>
          <w:p w14:paraId="4C0911C6" w14:textId="77777777" w:rsidR="004B3B82" w:rsidRPr="00B83154" w:rsidRDefault="004B3B82" w:rsidP="00E31AE6">
            <w:pPr>
              <w:jc w:val="center"/>
              <w:rPr>
                <w:highlight w:val="yellow"/>
              </w:rPr>
            </w:pPr>
          </w:p>
        </w:tc>
      </w:tr>
      <w:tr w:rsidR="004B3B82" w14:paraId="06C7DAE5" w14:textId="77777777" w:rsidTr="00CD3B05">
        <w:trPr>
          <w:trHeight w:val="447"/>
        </w:trPr>
        <w:tc>
          <w:tcPr>
            <w:tcW w:w="5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CAA0560" w14:textId="77777777" w:rsidR="004B3B82" w:rsidRPr="006F22AB" w:rsidRDefault="004B3B82" w:rsidP="00E31AE6">
            <w:pPr>
              <w:jc w:val="center"/>
              <w:rPr>
                <w:rFonts w:ascii="Garamond" w:hAnsi="Garamond"/>
              </w:rPr>
            </w:pPr>
            <w:r>
              <w:rPr>
                <w:rFonts w:ascii="Garamond" w:hAnsi="Garamond"/>
              </w:rPr>
              <w:t>16</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19D1E0D" w14:textId="77777777" w:rsidR="004B3B82" w:rsidRDefault="004B3B82" w:rsidP="00E31AE6">
            <w:pPr>
              <w:jc w:val="center"/>
            </w:pPr>
            <w:r w:rsidRPr="004D7191">
              <w:rPr>
                <w:rFonts w:hAnsi="Garamond"/>
              </w:rPr>
              <w:t>П</w:t>
            </w:r>
            <w:r w:rsidRPr="004D7191">
              <w:rPr>
                <w:rFonts w:hAnsi="Garamond"/>
                <w:vertAlign w:val="subscript"/>
              </w:rPr>
              <w:t>Ф</w:t>
            </w:r>
            <w:r w:rsidRPr="004D7191">
              <w:rPr>
                <w:rFonts w:ascii="Garamond"/>
                <w:vertAlign w:val="subscript"/>
              </w:rPr>
              <w:t>40</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3969AF7" w14:textId="77777777" w:rsidR="004B3B82" w:rsidRDefault="004B3B82" w:rsidP="00E31AE6">
            <w:pPr>
              <w:ind w:left="34"/>
            </w:pPr>
            <w:r w:rsidRPr="004D7191">
              <w:rPr>
                <w:rFonts w:hAnsi="Garamond"/>
              </w:rPr>
              <w:t>Глубина</w:t>
            </w:r>
            <w:r w:rsidRPr="004D7191">
              <w:rPr>
                <w:rFonts w:hAnsi="Garamond"/>
              </w:rPr>
              <w:t xml:space="preserve"> </w:t>
            </w:r>
            <w:r w:rsidRPr="004D7191">
              <w:rPr>
                <w:rFonts w:hAnsi="Garamond"/>
              </w:rPr>
              <w:t>хранения</w:t>
            </w:r>
            <w:r w:rsidRPr="004D7191">
              <w:rPr>
                <w:rFonts w:hAnsi="Garamond"/>
              </w:rPr>
              <w:t xml:space="preserve"> </w:t>
            </w:r>
            <w:r w:rsidRPr="004D7191">
              <w:rPr>
                <w:rFonts w:hAnsi="Garamond"/>
              </w:rPr>
              <w:t>информации</w:t>
            </w:r>
            <w:r w:rsidRPr="004D7191">
              <w:rPr>
                <w:rFonts w:hAnsi="Garamond"/>
              </w:rPr>
              <w:t xml:space="preserve"> </w:t>
            </w:r>
            <w:r w:rsidRPr="004D7191">
              <w:rPr>
                <w:rFonts w:ascii="Garamond"/>
              </w:rPr>
              <w:t>(</w:t>
            </w:r>
            <w:r w:rsidRPr="004D7191">
              <w:rPr>
                <w:rFonts w:hAnsi="Garamond"/>
              </w:rPr>
              <w:t>профиля</w:t>
            </w:r>
            <w:r w:rsidRPr="004D7191">
              <w:rPr>
                <w:rFonts w:ascii="Garamond"/>
              </w:rPr>
              <w:t xml:space="preserve">) </w:t>
            </w:r>
            <w:r w:rsidRPr="004D7191">
              <w:rPr>
                <w:rFonts w:hAnsi="Garamond"/>
              </w:rPr>
              <w:t>в</w:t>
            </w:r>
            <w:r w:rsidRPr="004D7191">
              <w:rPr>
                <w:rFonts w:hAnsi="Garamond"/>
              </w:rPr>
              <w:t xml:space="preserve"> </w:t>
            </w:r>
            <w:r w:rsidRPr="004D7191">
              <w:rPr>
                <w:rFonts w:hAnsi="Garamond"/>
              </w:rPr>
              <w:t>ИИК</w:t>
            </w:r>
          </w:p>
        </w:tc>
        <w:tc>
          <w:tcPr>
            <w:tcW w:w="102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3C398B9" w14:textId="77777777" w:rsidR="004B3B82" w:rsidRDefault="004B3B82" w:rsidP="00E31AE6">
            <w:pPr>
              <w:jc w:val="center"/>
            </w:pP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1C6CFE0" w14:textId="77777777" w:rsidR="004B3B82" w:rsidRDefault="004B3B82" w:rsidP="00E31AE6">
            <w:pPr>
              <w:jc w:val="center"/>
            </w:pPr>
          </w:p>
        </w:tc>
        <w:tc>
          <w:tcPr>
            <w:tcW w:w="9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32196BA" w14:textId="77777777" w:rsidR="004B3B82" w:rsidRDefault="004B3B82" w:rsidP="00E31AE6">
            <w:pPr>
              <w:jc w:val="center"/>
            </w:pPr>
            <w:r w:rsidRPr="004D7191">
              <w:rPr>
                <w:rFonts w:hAnsi="Garamond"/>
              </w:rPr>
              <w:t>Да</w:t>
            </w:r>
          </w:p>
        </w:tc>
        <w:tc>
          <w:tcPr>
            <w:tcW w:w="75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AA00296" w14:textId="77777777" w:rsidR="004B3B82" w:rsidRDefault="004B3B82" w:rsidP="00E31AE6">
            <w:pPr>
              <w:jc w:val="center"/>
            </w:pPr>
            <w:r w:rsidRPr="004D7191">
              <w:rPr>
                <w:rFonts w:hAnsi="Garamond"/>
              </w:rPr>
              <w:t>Да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79003FF" w14:textId="77777777" w:rsidR="004B3B82" w:rsidRDefault="004B3B82" w:rsidP="00E31AE6">
            <w:pPr>
              <w:jc w:val="cente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AF60D66" w14:textId="77777777" w:rsidR="004B3B82" w:rsidRDefault="004B3B82" w:rsidP="00E31AE6">
            <w:pPr>
              <w:jc w:val="center"/>
            </w:pPr>
          </w:p>
        </w:tc>
        <w:tc>
          <w:tcPr>
            <w:tcW w:w="1559" w:type="dxa"/>
            <w:tcBorders>
              <w:top w:val="single" w:sz="4" w:space="0" w:color="000000"/>
              <w:left w:val="single" w:sz="4" w:space="0" w:color="000000"/>
              <w:bottom w:val="single" w:sz="4" w:space="0" w:color="000000"/>
              <w:right w:val="single" w:sz="4" w:space="0" w:color="000000"/>
            </w:tcBorders>
            <w:vAlign w:val="center"/>
          </w:tcPr>
          <w:p w14:paraId="2C6CF200" w14:textId="77777777" w:rsidR="004B3B82" w:rsidRPr="00B83154" w:rsidRDefault="004B3B82" w:rsidP="00E31AE6">
            <w:pPr>
              <w:jc w:val="center"/>
              <w:rPr>
                <w:highlight w:val="yellow"/>
              </w:rPr>
            </w:pPr>
          </w:p>
        </w:tc>
        <w:tc>
          <w:tcPr>
            <w:tcW w:w="1276" w:type="dxa"/>
            <w:tcBorders>
              <w:top w:val="single" w:sz="4" w:space="0" w:color="000000"/>
              <w:left w:val="single" w:sz="4" w:space="0" w:color="000000"/>
              <w:bottom w:val="single" w:sz="4" w:space="0" w:color="000000"/>
              <w:right w:val="single" w:sz="4" w:space="0" w:color="000000"/>
            </w:tcBorders>
            <w:vAlign w:val="center"/>
          </w:tcPr>
          <w:p w14:paraId="6A8CABB6" w14:textId="77777777" w:rsidR="004B3B82" w:rsidRPr="00B83154" w:rsidRDefault="004B3B82" w:rsidP="00E31AE6">
            <w:pPr>
              <w:jc w:val="center"/>
              <w:rPr>
                <w:highlight w:val="yellow"/>
              </w:rPr>
            </w:pPr>
            <w:r w:rsidRPr="00B83154">
              <w:rPr>
                <w:rFonts w:hAnsi="Garamond"/>
                <w:highlight w:val="yellow"/>
              </w:rPr>
              <w:t>Да</w:t>
            </w:r>
          </w:p>
        </w:tc>
        <w:tc>
          <w:tcPr>
            <w:tcW w:w="1843" w:type="dxa"/>
            <w:tcBorders>
              <w:top w:val="single" w:sz="4" w:space="0" w:color="000000"/>
              <w:left w:val="single" w:sz="4" w:space="0" w:color="000000"/>
              <w:bottom w:val="single" w:sz="4" w:space="0" w:color="000000"/>
              <w:right w:val="single" w:sz="4" w:space="0" w:color="000000"/>
            </w:tcBorders>
            <w:vAlign w:val="center"/>
          </w:tcPr>
          <w:p w14:paraId="31A44A6C" w14:textId="77777777" w:rsidR="004B3B82" w:rsidRPr="00B83154" w:rsidRDefault="004B3B82" w:rsidP="00E31AE6">
            <w:pPr>
              <w:jc w:val="center"/>
              <w:rPr>
                <w:highlight w:val="yellow"/>
              </w:rPr>
            </w:pPr>
          </w:p>
        </w:tc>
      </w:tr>
      <w:tr w:rsidR="004B3B82" w14:paraId="39672D36" w14:textId="77777777" w:rsidTr="00CD3B05">
        <w:trPr>
          <w:trHeight w:val="730"/>
        </w:trPr>
        <w:tc>
          <w:tcPr>
            <w:tcW w:w="5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C252582" w14:textId="77777777" w:rsidR="004B3B82" w:rsidRPr="006F22AB" w:rsidRDefault="004B3B82" w:rsidP="00E31AE6">
            <w:pPr>
              <w:jc w:val="center"/>
              <w:rPr>
                <w:rFonts w:ascii="Garamond" w:hAnsi="Garamond"/>
              </w:rPr>
            </w:pPr>
            <w:r>
              <w:rPr>
                <w:rFonts w:ascii="Garamond" w:hAnsi="Garamond"/>
              </w:rPr>
              <w:t>17</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81CCD68" w14:textId="77777777" w:rsidR="004B3B82" w:rsidRDefault="004B3B82" w:rsidP="00E31AE6">
            <w:pPr>
              <w:jc w:val="center"/>
            </w:pPr>
            <w:r w:rsidRPr="004D7191">
              <w:rPr>
                <w:rFonts w:hAnsi="Garamond"/>
              </w:rPr>
              <w:t>П</w:t>
            </w:r>
            <w:r w:rsidRPr="004D7191">
              <w:rPr>
                <w:rFonts w:hAnsi="Garamond"/>
                <w:vertAlign w:val="subscript"/>
              </w:rPr>
              <w:t>Ф</w:t>
            </w:r>
            <w:r w:rsidRPr="004D7191">
              <w:rPr>
                <w:rFonts w:ascii="Garamond"/>
                <w:vertAlign w:val="subscript"/>
              </w:rPr>
              <w:t>41</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400FF2D" w14:textId="77777777" w:rsidR="004B3B82" w:rsidRDefault="004B3B82" w:rsidP="00E31AE6">
            <w:pPr>
              <w:ind w:left="34"/>
            </w:pPr>
            <w:r w:rsidRPr="004D7191">
              <w:rPr>
                <w:rFonts w:hAnsi="Garamond"/>
              </w:rPr>
              <w:t>Глубина</w:t>
            </w:r>
            <w:r w:rsidRPr="004D7191">
              <w:rPr>
                <w:rFonts w:hAnsi="Garamond"/>
              </w:rPr>
              <w:t xml:space="preserve"> </w:t>
            </w:r>
            <w:r w:rsidRPr="004D7191">
              <w:rPr>
                <w:rFonts w:hAnsi="Garamond"/>
              </w:rPr>
              <w:t>хранения</w:t>
            </w:r>
            <w:r w:rsidRPr="004D7191">
              <w:rPr>
                <w:rFonts w:hAnsi="Garamond"/>
              </w:rPr>
              <w:t xml:space="preserve"> </w:t>
            </w:r>
            <w:r w:rsidRPr="004D7191">
              <w:rPr>
                <w:rFonts w:hAnsi="Garamond"/>
              </w:rPr>
              <w:t>информации</w:t>
            </w:r>
            <w:r w:rsidRPr="004D7191">
              <w:rPr>
                <w:rFonts w:hAnsi="Garamond"/>
              </w:rPr>
              <w:t xml:space="preserve"> </w:t>
            </w:r>
            <w:r w:rsidRPr="004D7191">
              <w:rPr>
                <w:rFonts w:ascii="Garamond"/>
              </w:rPr>
              <w:t>(</w:t>
            </w:r>
            <w:r w:rsidRPr="004D7191">
              <w:rPr>
                <w:rFonts w:hAnsi="Garamond"/>
              </w:rPr>
              <w:t>профиля</w:t>
            </w:r>
            <w:r w:rsidRPr="004D7191">
              <w:rPr>
                <w:rFonts w:ascii="Garamond"/>
              </w:rPr>
              <w:t xml:space="preserve">) </w:t>
            </w:r>
            <w:r w:rsidRPr="004D7191">
              <w:rPr>
                <w:rFonts w:hAnsi="Garamond"/>
              </w:rPr>
              <w:t>в</w:t>
            </w:r>
            <w:r w:rsidRPr="004D7191">
              <w:rPr>
                <w:rFonts w:hAnsi="Garamond"/>
              </w:rPr>
              <w:t xml:space="preserve"> </w:t>
            </w:r>
            <w:r w:rsidRPr="004D7191">
              <w:rPr>
                <w:rFonts w:hAnsi="Garamond"/>
              </w:rPr>
              <w:t>ИВКЭ</w:t>
            </w:r>
          </w:p>
        </w:tc>
        <w:tc>
          <w:tcPr>
            <w:tcW w:w="102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54A2682" w14:textId="77777777" w:rsidR="004B3B82" w:rsidRDefault="004B3B82" w:rsidP="00E31AE6">
            <w:pPr>
              <w:jc w:val="center"/>
            </w:pP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8B415CD" w14:textId="77777777" w:rsidR="004B3B82" w:rsidRDefault="004B3B82" w:rsidP="00E31AE6">
            <w:pPr>
              <w:jc w:val="center"/>
            </w:pPr>
          </w:p>
        </w:tc>
        <w:tc>
          <w:tcPr>
            <w:tcW w:w="9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FB54BBD" w14:textId="77777777" w:rsidR="004B3B82" w:rsidRDefault="004B3B82" w:rsidP="00E31AE6">
            <w:pPr>
              <w:jc w:val="center"/>
            </w:pPr>
            <w:r w:rsidRPr="004D7191">
              <w:rPr>
                <w:rFonts w:hAnsi="Garamond"/>
              </w:rPr>
              <w:t>Да</w:t>
            </w:r>
          </w:p>
        </w:tc>
        <w:tc>
          <w:tcPr>
            <w:tcW w:w="75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9276BA6" w14:textId="77777777" w:rsidR="004B3B82" w:rsidRDefault="004B3B82" w:rsidP="00E31AE6">
            <w:pPr>
              <w:jc w:val="center"/>
            </w:pPr>
            <w:r w:rsidRPr="004D7191">
              <w:rPr>
                <w:rFonts w:hAnsi="Garamond"/>
              </w:rPr>
              <w:t>Да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8599EE9" w14:textId="77777777" w:rsidR="004B3B82" w:rsidRDefault="004B3B82" w:rsidP="00E31AE6">
            <w:pPr>
              <w:jc w:val="cente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1324829" w14:textId="77777777" w:rsidR="004B3B82" w:rsidRDefault="004B3B82" w:rsidP="00E31AE6">
            <w:pPr>
              <w:jc w:val="center"/>
            </w:pPr>
          </w:p>
        </w:tc>
        <w:tc>
          <w:tcPr>
            <w:tcW w:w="1559" w:type="dxa"/>
            <w:tcBorders>
              <w:top w:val="single" w:sz="4" w:space="0" w:color="000000"/>
              <w:left w:val="single" w:sz="4" w:space="0" w:color="000000"/>
              <w:bottom w:val="single" w:sz="4" w:space="0" w:color="000000"/>
              <w:right w:val="single" w:sz="4" w:space="0" w:color="000000"/>
            </w:tcBorders>
            <w:vAlign w:val="center"/>
          </w:tcPr>
          <w:p w14:paraId="0106F583" w14:textId="77777777" w:rsidR="004B3B82" w:rsidRPr="00B83154" w:rsidRDefault="004B3B82" w:rsidP="00E31AE6">
            <w:pPr>
              <w:jc w:val="center"/>
              <w:rPr>
                <w:highlight w:val="yellow"/>
              </w:rPr>
            </w:pPr>
          </w:p>
        </w:tc>
        <w:tc>
          <w:tcPr>
            <w:tcW w:w="1276" w:type="dxa"/>
            <w:tcBorders>
              <w:top w:val="single" w:sz="4" w:space="0" w:color="000000"/>
              <w:left w:val="single" w:sz="4" w:space="0" w:color="000000"/>
              <w:bottom w:val="single" w:sz="4" w:space="0" w:color="000000"/>
              <w:right w:val="single" w:sz="4" w:space="0" w:color="000000"/>
            </w:tcBorders>
            <w:vAlign w:val="center"/>
          </w:tcPr>
          <w:p w14:paraId="030540F1" w14:textId="77777777" w:rsidR="004B3B82" w:rsidRPr="00B83154" w:rsidRDefault="004B3B82" w:rsidP="00E31AE6">
            <w:pPr>
              <w:jc w:val="center"/>
              <w:rPr>
                <w:highlight w:val="yellow"/>
              </w:rPr>
            </w:pPr>
          </w:p>
        </w:tc>
        <w:tc>
          <w:tcPr>
            <w:tcW w:w="1843" w:type="dxa"/>
            <w:tcBorders>
              <w:top w:val="single" w:sz="4" w:space="0" w:color="000000"/>
              <w:left w:val="single" w:sz="4" w:space="0" w:color="000000"/>
              <w:bottom w:val="single" w:sz="4" w:space="0" w:color="000000"/>
              <w:right w:val="single" w:sz="4" w:space="0" w:color="000000"/>
            </w:tcBorders>
            <w:vAlign w:val="center"/>
          </w:tcPr>
          <w:p w14:paraId="7B990BD0" w14:textId="77777777" w:rsidR="004B3B82" w:rsidRPr="00B83154" w:rsidRDefault="004B3B82" w:rsidP="00E31AE6">
            <w:pPr>
              <w:jc w:val="center"/>
              <w:rPr>
                <w:highlight w:val="yellow"/>
              </w:rPr>
            </w:pPr>
          </w:p>
        </w:tc>
      </w:tr>
      <w:tr w:rsidR="004B3B82" w14:paraId="2031F12D" w14:textId="77777777" w:rsidTr="00CD3B05">
        <w:trPr>
          <w:trHeight w:val="490"/>
        </w:trPr>
        <w:tc>
          <w:tcPr>
            <w:tcW w:w="5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63E3AB9" w14:textId="77777777" w:rsidR="004B3B82" w:rsidRPr="006F22AB" w:rsidRDefault="004B3B82" w:rsidP="00E31AE6">
            <w:pPr>
              <w:jc w:val="center"/>
              <w:rPr>
                <w:rFonts w:ascii="Garamond" w:hAnsi="Garamond"/>
              </w:rPr>
            </w:pPr>
            <w:r>
              <w:rPr>
                <w:rFonts w:ascii="Garamond" w:hAnsi="Garamond"/>
              </w:rPr>
              <w:t>18</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C5F9755" w14:textId="77777777" w:rsidR="004B3B82" w:rsidRDefault="004B3B82" w:rsidP="00E31AE6">
            <w:pPr>
              <w:jc w:val="center"/>
            </w:pPr>
            <w:r w:rsidRPr="004D7191">
              <w:rPr>
                <w:rFonts w:hAnsi="Garamond"/>
              </w:rPr>
              <w:t>П</w:t>
            </w:r>
            <w:r w:rsidRPr="004D7191">
              <w:rPr>
                <w:rFonts w:hAnsi="Garamond"/>
                <w:vertAlign w:val="subscript"/>
              </w:rPr>
              <w:t>Ф</w:t>
            </w:r>
            <w:r w:rsidRPr="004D7191">
              <w:rPr>
                <w:rFonts w:ascii="Garamond"/>
                <w:vertAlign w:val="subscript"/>
              </w:rPr>
              <w:t>42</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3D86B2" w14:textId="77777777" w:rsidR="004B3B82" w:rsidRDefault="004B3B82" w:rsidP="00E31AE6">
            <w:pPr>
              <w:ind w:left="34"/>
            </w:pPr>
            <w:r w:rsidRPr="004D7191">
              <w:rPr>
                <w:rFonts w:hAnsi="Garamond"/>
              </w:rPr>
              <w:t>Глубина</w:t>
            </w:r>
            <w:r w:rsidRPr="004D7191">
              <w:rPr>
                <w:rFonts w:hAnsi="Garamond"/>
              </w:rPr>
              <w:t xml:space="preserve"> </w:t>
            </w:r>
            <w:r w:rsidRPr="004D7191">
              <w:rPr>
                <w:rFonts w:hAnsi="Garamond"/>
              </w:rPr>
              <w:t>хранения</w:t>
            </w:r>
            <w:r w:rsidRPr="004D7191">
              <w:rPr>
                <w:rFonts w:hAnsi="Garamond"/>
              </w:rPr>
              <w:t xml:space="preserve"> </w:t>
            </w:r>
            <w:r w:rsidRPr="004D7191">
              <w:rPr>
                <w:rFonts w:hAnsi="Garamond"/>
              </w:rPr>
              <w:t>информации</w:t>
            </w:r>
            <w:r w:rsidRPr="004D7191">
              <w:rPr>
                <w:rFonts w:hAnsi="Garamond"/>
              </w:rPr>
              <w:t xml:space="preserve"> </w:t>
            </w:r>
            <w:r w:rsidRPr="004D7191">
              <w:rPr>
                <w:rFonts w:hAnsi="Garamond"/>
              </w:rPr>
              <w:t>в</w:t>
            </w:r>
            <w:r w:rsidRPr="004D7191">
              <w:rPr>
                <w:rFonts w:hAnsi="Garamond"/>
                <w:lang w:val="en-US"/>
              </w:rPr>
              <w:t> </w:t>
            </w:r>
            <w:r w:rsidRPr="004D7191">
              <w:rPr>
                <w:rFonts w:hAnsi="Garamond"/>
              </w:rPr>
              <w:t>ИВК</w:t>
            </w:r>
          </w:p>
        </w:tc>
        <w:tc>
          <w:tcPr>
            <w:tcW w:w="102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5654D4F" w14:textId="77777777" w:rsidR="004B3B82" w:rsidRDefault="004B3B82" w:rsidP="00E31AE6">
            <w:pPr>
              <w:jc w:val="center"/>
            </w:pP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A537FBB" w14:textId="77777777" w:rsidR="004B3B82" w:rsidRDefault="004B3B82" w:rsidP="00E31AE6">
            <w:pPr>
              <w:jc w:val="center"/>
            </w:pPr>
          </w:p>
        </w:tc>
        <w:tc>
          <w:tcPr>
            <w:tcW w:w="9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057ECF9" w14:textId="77777777" w:rsidR="004B3B82" w:rsidRDefault="004B3B82" w:rsidP="00E31AE6">
            <w:pPr>
              <w:jc w:val="center"/>
            </w:pPr>
            <w:r w:rsidRPr="004D7191">
              <w:rPr>
                <w:rFonts w:hAnsi="Garamond"/>
              </w:rPr>
              <w:t>Да</w:t>
            </w:r>
          </w:p>
        </w:tc>
        <w:tc>
          <w:tcPr>
            <w:tcW w:w="75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82ABD3D" w14:textId="77777777" w:rsidR="004B3B82" w:rsidRDefault="004B3B82" w:rsidP="00E31AE6">
            <w:pPr>
              <w:jc w:val="center"/>
            </w:pPr>
            <w:r w:rsidRPr="004D7191">
              <w:rPr>
                <w:rFonts w:hAnsi="Garamond"/>
              </w:rPr>
              <w:t>Да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AAA8A27" w14:textId="77777777" w:rsidR="004B3B82" w:rsidRDefault="004B3B82" w:rsidP="00E31AE6">
            <w:pPr>
              <w:jc w:val="cente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B82CE77" w14:textId="77777777" w:rsidR="004B3B82" w:rsidRDefault="004B3B82" w:rsidP="00E31AE6">
            <w:pPr>
              <w:jc w:val="center"/>
            </w:pPr>
          </w:p>
        </w:tc>
        <w:tc>
          <w:tcPr>
            <w:tcW w:w="1559" w:type="dxa"/>
            <w:tcBorders>
              <w:top w:val="single" w:sz="4" w:space="0" w:color="000000"/>
              <w:left w:val="single" w:sz="4" w:space="0" w:color="000000"/>
              <w:bottom w:val="single" w:sz="4" w:space="0" w:color="000000"/>
              <w:right w:val="single" w:sz="4" w:space="0" w:color="000000"/>
            </w:tcBorders>
            <w:vAlign w:val="center"/>
          </w:tcPr>
          <w:p w14:paraId="24376BF8" w14:textId="77777777" w:rsidR="004B3B82" w:rsidRPr="00B83154" w:rsidRDefault="004B3B82" w:rsidP="00E31AE6">
            <w:pPr>
              <w:jc w:val="center"/>
              <w:rPr>
                <w:highlight w:val="yellow"/>
              </w:rPr>
            </w:pPr>
          </w:p>
        </w:tc>
        <w:tc>
          <w:tcPr>
            <w:tcW w:w="1276" w:type="dxa"/>
            <w:tcBorders>
              <w:top w:val="single" w:sz="4" w:space="0" w:color="000000"/>
              <w:left w:val="single" w:sz="4" w:space="0" w:color="000000"/>
              <w:bottom w:val="single" w:sz="4" w:space="0" w:color="000000"/>
              <w:right w:val="single" w:sz="4" w:space="0" w:color="000000"/>
            </w:tcBorders>
            <w:vAlign w:val="center"/>
          </w:tcPr>
          <w:p w14:paraId="7D35E088" w14:textId="77777777" w:rsidR="004B3B82" w:rsidRPr="00B83154" w:rsidRDefault="004B3B82" w:rsidP="00E31AE6">
            <w:pPr>
              <w:jc w:val="center"/>
              <w:rPr>
                <w:highlight w:val="yellow"/>
              </w:rPr>
            </w:pPr>
            <w:r w:rsidRPr="00B83154">
              <w:rPr>
                <w:rFonts w:hAnsi="Garamond"/>
                <w:highlight w:val="yellow"/>
              </w:rPr>
              <w:t>Да</w:t>
            </w:r>
          </w:p>
        </w:tc>
        <w:tc>
          <w:tcPr>
            <w:tcW w:w="1843" w:type="dxa"/>
            <w:tcBorders>
              <w:top w:val="single" w:sz="4" w:space="0" w:color="000000"/>
              <w:left w:val="single" w:sz="4" w:space="0" w:color="000000"/>
              <w:bottom w:val="single" w:sz="4" w:space="0" w:color="000000"/>
              <w:right w:val="single" w:sz="4" w:space="0" w:color="000000"/>
            </w:tcBorders>
            <w:vAlign w:val="center"/>
          </w:tcPr>
          <w:p w14:paraId="16F3C0A3" w14:textId="77777777" w:rsidR="004B3B82" w:rsidRPr="00B83154" w:rsidRDefault="004B3B82" w:rsidP="00E31AE6">
            <w:pPr>
              <w:jc w:val="center"/>
              <w:rPr>
                <w:highlight w:val="yellow"/>
              </w:rPr>
            </w:pPr>
          </w:p>
        </w:tc>
      </w:tr>
      <w:tr w:rsidR="004B3B82" w:rsidRPr="00200E4D" w14:paraId="4BCD41BB" w14:textId="77777777" w:rsidTr="00CD3B05">
        <w:trPr>
          <w:trHeight w:val="490"/>
        </w:trPr>
        <w:tc>
          <w:tcPr>
            <w:tcW w:w="4112"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6FE1B86" w14:textId="77777777" w:rsidR="004B3B82" w:rsidRPr="00200E4D" w:rsidRDefault="004B3B82" w:rsidP="00E31AE6">
            <w:pPr>
              <w:ind w:left="34"/>
            </w:pPr>
            <w:r w:rsidRPr="00200E4D">
              <w:rPr>
                <w:rFonts w:hAnsi="Garamond"/>
                <w:b/>
                <w:bCs/>
              </w:rPr>
              <w:t>Всего</w:t>
            </w:r>
            <w:r w:rsidRPr="00200E4D">
              <w:rPr>
                <w:rFonts w:hAnsi="Garamond"/>
                <w:b/>
                <w:bCs/>
              </w:rPr>
              <w:t xml:space="preserve"> </w:t>
            </w:r>
            <w:r w:rsidRPr="00F76D34">
              <w:rPr>
                <w:rFonts w:hAnsi="Garamond"/>
                <w:b/>
                <w:bCs/>
                <w:highlight w:val="yellow"/>
              </w:rPr>
              <w:t>проверяемых</w:t>
            </w:r>
            <w:r>
              <w:rPr>
                <w:rFonts w:hAnsi="Garamond"/>
                <w:b/>
                <w:bCs/>
              </w:rPr>
              <w:t xml:space="preserve"> </w:t>
            </w:r>
            <w:r w:rsidRPr="00B13261">
              <w:rPr>
                <w:rFonts w:hAnsi="Garamond"/>
                <w:b/>
                <w:bCs/>
              </w:rPr>
              <w:t>параметров</w:t>
            </w:r>
            <w:r w:rsidRPr="00B13261">
              <w:rPr>
                <w:rFonts w:ascii="Garamond"/>
                <w:b/>
                <w:bCs/>
              </w:rPr>
              <w:t>:</w:t>
            </w:r>
          </w:p>
        </w:tc>
        <w:tc>
          <w:tcPr>
            <w:tcW w:w="102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D72A4CB" w14:textId="77777777" w:rsidR="004B3B82" w:rsidRPr="00200E4D" w:rsidRDefault="004B3B82" w:rsidP="00E31AE6">
            <w:pPr>
              <w:jc w:val="center"/>
            </w:pPr>
            <w:r>
              <w:rPr>
                <w:rFonts w:ascii="Garamond"/>
                <w:b/>
                <w:bCs/>
              </w:rPr>
              <w:t>5</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228D3AA" w14:textId="77777777" w:rsidR="004B3B82" w:rsidRPr="00200E4D" w:rsidRDefault="004B3B82" w:rsidP="00E31AE6">
            <w:pPr>
              <w:jc w:val="center"/>
            </w:pPr>
            <w:r>
              <w:rPr>
                <w:rFonts w:ascii="Garamond"/>
                <w:b/>
                <w:bCs/>
              </w:rPr>
              <w:t>2</w:t>
            </w:r>
          </w:p>
        </w:tc>
        <w:tc>
          <w:tcPr>
            <w:tcW w:w="9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34D0B62" w14:textId="77777777" w:rsidR="004B3B82" w:rsidRPr="00200E4D" w:rsidRDefault="004B3B82" w:rsidP="00E31AE6">
            <w:pPr>
              <w:jc w:val="center"/>
            </w:pPr>
            <w:r w:rsidRPr="00200E4D">
              <w:rPr>
                <w:rFonts w:ascii="Garamond"/>
                <w:b/>
                <w:bCs/>
              </w:rPr>
              <w:t>12</w:t>
            </w:r>
          </w:p>
        </w:tc>
        <w:tc>
          <w:tcPr>
            <w:tcW w:w="75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DBA7449" w14:textId="77777777" w:rsidR="004B3B82" w:rsidRPr="00200E4D" w:rsidRDefault="004B3B82" w:rsidP="00E31AE6">
            <w:pPr>
              <w:jc w:val="center"/>
            </w:pPr>
            <w:r w:rsidRPr="00200E4D">
              <w:rPr>
                <w:rFonts w:ascii="Garamond"/>
                <w:b/>
                <w:bCs/>
              </w:rPr>
              <w:t>12</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50BEB82" w14:textId="77777777" w:rsidR="004B3B82" w:rsidRPr="00200E4D" w:rsidRDefault="004B3B82" w:rsidP="00E31AE6">
            <w:pPr>
              <w:jc w:val="center"/>
            </w:pPr>
            <w:r>
              <w:rPr>
                <w:rFonts w:ascii="Garamond"/>
                <w:b/>
                <w:bCs/>
              </w:rPr>
              <w:t>1</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556D603" w14:textId="77777777" w:rsidR="004B3B82" w:rsidRPr="00200E4D" w:rsidRDefault="004B3B82" w:rsidP="00E31AE6">
            <w:pPr>
              <w:jc w:val="center"/>
            </w:pPr>
            <w:r>
              <w:rPr>
                <w:rFonts w:ascii="Garamond"/>
                <w:b/>
                <w:bCs/>
              </w:rPr>
              <w:t>1</w:t>
            </w:r>
          </w:p>
        </w:tc>
        <w:tc>
          <w:tcPr>
            <w:tcW w:w="1559" w:type="dxa"/>
            <w:tcBorders>
              <w:top w:val="single" w:sz="4" w:space="0" w:color="000000"/>
              <w:left w:val="single" w:sz="4" w:space="0" w:color="000000"/>
              <w:bottom w:val="single" w:sz="4" w:space="0" w:color="000000"/>
              <w:right w:val="single" w:sz="4" w:space="0" w:color="000000"/>
            </w:tcBorders>
            <w:vAlign w:val="center"/>
          </w:tcPr>
          <w:p w14:paraId="3F5CE743" w14:textId="77777777" w:rsidR="004B3B82" w:rsidRPr="00B83154" w:rsidRDefault="004B3B82" w:rsidP="00E31AE6">
            <w:pPr>
              <w:jc w:val="center"/>
              <w:rPr>
                <w:rFonts w:ascii="Garamond"/>
                <w:b/>
                <w:bCs/>
                <w:highlight w:val="yellow"/>
              </w:rPr>
            </w:pPr>
            <w:r w:rsidRPr="00B83154">
              <w:rPr>
                <w:rFonts w:ascii="Garamond"/>
                <w:b/>
                <w:bCs/>
                <w:highlight w:val="yellow"/>
              </w:rPr>
              <w:t>2</w:t>
            </w:r>
          </w:p>
        </w:tc>
        <w:tc>
          <w:tcPr>
            <w:tcW w:w="1276" w:type="dxa"/>
            <w:tcBorders>
              <w:top w:val="single" w:sz="4" w:space="0" w:color="000000"/>
              <w:left w:val="single" w:sz="4" w:space="0" w:color="000000"/>
              <w:bottom w:val="single" w:sz="4" w:space="0" w:color="000000"/>
              <w:right w:val="single" w:sz="4" w:space="0" w:color="000000"/>
            </w:tcBorders>
            <w:vAlign w:val="center"/>
          </w:tcPr>
          <w:p w14:paraId="6A20DBB1" w14:textId="77777777" w:rsidR="004B3B82" w:rsidRPr="00B83154" w:rsidRDefault="004B3B82" w:rsidP="00E31AE6">
            <w:pPr>
              <w:jc w:val="center"/>
              <w:rPr>
                <w:rFonts w:ascii="Garamond"/>
                <w:b/>
                <w:bCs/>
                <w:highlight w:val="yellow"/>
              </w:rPr>
            </w:pPr>
            <w:r>
              <w:rPr>
                <w:rFonts w:ascii="Garamond"/>
                <w:b/>
                <w:bCs/>
                <w:highlight w:val="yellow"/>
              </w:rPr>
              <w:t>9</w:t>
            </w:r>
          </w:p>
        </w:tc>
        <w:tc>
          <w:tcPr>
            <w:tcW w:w="1843" w:type="dxa"/>
            <w:tcBorders>
              <w:top w:val="single" w:sz="4" w:space="0" w:color="000000"/>
              <w:left w:val="single" w:sz="4" w:space="0" w:color="000000"/>
              <w:bottom w:val="single" w:sz="4" w:space="0" w:color="000000"/>
              <w:right w:val="single" w:sz="4" w:space="0" w:color="000000"/>
            </w:tcBorders>
            <w:vAlign w:val="center"/>
          </w:tcPr>
          <w:p w14:paraId="0998F3CA" w14:textId="77777777" w:rsidR="004B3B82" w:rsidRPr="00B83154" w:rsidRDefault="004B3B82" w:rsidP="00E31AE6">
            <w:pPr>
              <w:jc w:val="center"/>
              <w:rPr>
                <w:rFonts w:ascii="Garamond"/>
                <w:b/>
                <w:bCs/>
                <w:highlight w:val="yellow"/>
              </w:rPr>
            </w:pPr>
            <w:r w:rsidRPr="00B83154">
              <w:rPr>
                <w:rFonts w:ascii="Garamond"/>
                <w:b/>
                <w:bCs/>
                <w:highlight w:val="yellow"/>
              </w:rPr>
              <w:t>1</w:t>
            </w:r>
          </w:p>
        </w:tc>
      </w:tr>
    </w:tbl>
    <w:p w14:paraId="1C5F895D" w14:textId="77777777" w:rsidR="004B3B82" w:rsidRDefault="004B3B82" w:rsidP="00101F7C">
      <w:pPr>
        <w:widowControl w:val="0"/>
        <w:rPr>
          <w:rFonts w:ascii="Garamond" w:eastAsia="Garamond" w:hAnsi="Garamond" w:cs="Garamond"/>
          <w:b/>
          <w:bCs/>
          <w:sz w:val="22"/>
          <w:szCs w:val="22"/>
        </w:rPr>
      </w:pPr>
    </w:p>
    <w:p w14:paraId="182573E1" w14:textId="77777777" w:rsidR="004B3B82" w:rsidRDefault="004B3B82" w:rsidP="00101F7C">
      <w:pPr>
        <w:rPr>
          <w:rFonts w:ascii="Garamond" w:hAnsi="Garamond"/>
        </w:rPr>
      </w:pPr>
      <w:r w:rsidRPr="00B83154">
        <w:rPr>
          <w:rFonts w:ascii="Garamond" w:hAnsi="Garamond"/>
          <w:i/>
        </w:rPr>
        <w:t>Примечание</w:t>
      </w:r>
      <w:r w:rsidRPr="00B83154">
        <w:rPr>
          <w:rFonts w:ascii="Garamond" w:hAnsi="Garamond"/>
        </w:rPr>
        <w:t>. При установлении соответствия АИИС КУЭ техническим требованиям оптового рынка в случаях,</w:t>
      </w:r>
      <w:r w:rsidRPr="006E3BEB">
        <w:rPr>
          <w:rFonts w:ascii="Garamond" w:hAnsi="Garamond"/>
        </w:rPr>
        <w:t xml:space="preserve"> предусмотренных п. 1.2.1 настоящего Порядка, параметр не проверяется в отношении технического устройства без измерительной функции.</w:t>
      </w:r>
    </w:p>
    <w:p w14:paraId="6FDB2FF7" w14:textId="77777777" w:rsidR="004B3B82" w:rsidRDefault="004B3B82" w:rsidP="00101F7C">
      <w:pPr>
        <w:rPr>
          <w:rFonts w:ascii="Garamond" w:hAnsi="Garamond"/>
        </w:rPr>
      </w:pPr>
    </w:p>
    <w:p w14:paraId="46CBFD88" w14:textId="77777777" w:rsidR="004B3B82" w:rsidRDefault="004B3B82" w:rsidP="00101F7C">
      <w:pPr>
        <w:rPr>
          <w:rFonts w:ascii="Garamond" w:eastAsia="Garamond" w:hAnsi="Garamond" w:cs="Garamond"/>
          <w:sz w:val="22"/>
          <w:szCs w:val="22"/>
        </w:rPr>
        <w:sectPr w:rsidR="004B3B82" w:rsidSect="00CD3B05">
          <w:pgSz w:w="16838" w:h="11906" w:orient="landscape"/>
          <w:pgMar w:top="1276" w:right="964" w:bottom="851" w:left="964" w:header="709" w:footer="709" w:gutter="0"/>
          <w:cols w:space="708"/>
          <w:docGrid w:linePitch="360"/>
        </w:sectPr>
      </w:pPr>
    </w:p>
    <w:p w14:paraId="1ACA2C57" w14:textId="77777777" w:rsidR="004B3B82" w:rsidRPr="005C63E5" w:rsidRDefault="004B3B82" w:rsidP="00101F7C">
      <w:pPr>
        <w:rPr>
          <w:rFonts w:ascii="Garamond" w:eastAsia="Garamond" w:hAnsi="Garamond" w:cs="Garamond"/>
          <w:b/>
          <w:sz w:val="22"/>
          <w:szCs w:val="22"/>
        </w:rPr>
      </w:pPr>
      <w:r w:rsidRPr="005C63E5">
        <w:rPr>
          <w:rFonts w:ascii="Garamond" w:eastAsia="Garamond" w:hAnsi="Garamond" w:cs="Garamond"/>
          <w:b/>
          <w:sz w:val="22"/>
          <w:szCs w:val="22"/>
        </w:rPr>
        <w:lastRenderedPageBreak/>
        <w:t>Действующая редакция</w:t>
      </w:r>
    </w:p>
    <w:p w14:paraId="5913C897" w14:textId="77777777" w:rsidR="004B3B82" w:rsidRPr="005F754A" w:rsidRDefault="004B3B82" w:rsidP="00101F7C">
      <w:pPr>
        <w:jc w:val="right"/>
        <w:rPr>
          <w:rFonts w:ascii="Garamond" w:eastAsia="Garamond" w:hAnsi="Garamond" w:cs="Garamond"/>
          <w:b/>
          <w:bCs/>
          <w:sz w:val="22"/>
          <w:szCs w:val="22"/>
        </w:rPr>
      </w:pPr>
      <w:r w:rsidRPr="005F754A">
        <w:rPr>
          <w:rFonts w:ascii="Garamond" w:hAnsi="Garamond"/>
          <w:b/>
          <w:bCs/>
          <w:sz w:val="22"/>
          <w:szCs w:val="22"/>
        </w:rPr>
        <w:t>Таблица 3</w:t>
      </w:r>
    </w:p>
    <w:p w14:paraId="67033187" w14:textId="77777777" w:rsidR="004B3B82" w:rsidRPr="005F754A" w:rsidRDefault="004B3B82" w:rsidP="00101F7C">
      <w:pPr>
        <w:jc w:val="center"/>
        <w:rPr>
          <w:rFonts w:ascii="Garamond" w:eastAsia="Garamond" w:hAnsi="Garamond" w:cs="Garamond"/>
          <w:b/>
          <w:bCs/>
          <w:sz w:val="22"/>
          <w:szCs w:val="22"/>
        </w:rPr>
      </w:pPr>
    </w:p>
    <w:p w14:paraId="008FFEBC" w14:textId="5C9D4958" w:rsidR="004B3B82" w:rsidRPr="005F754A" w:rsidRDefault="004B3B82" w:rsidP="00101F7C">
      <w:pPr>
        <w:jc w:val="center"/>
        <w:rPr>
          <w:rFonts w:ascii="Garamond" w:eastAsia="Garamond" w:hAnsi="Garamond" w:cs="Garamond"/>
          <w:b/>
          <w:bCs/>
          <w:sz w:val="22"/>
          <w:szCs w:val="22"/>
        </w:rPr>
      </w:pPr>
      <w:r w:rsidRPr="005F754A">
        <w:rPr>
          <w:rFonts w:ascii="Garamond" w:hAnsi="Garamond"/>
          <w:b/>
          <w:bCs/>
          <w:sz w:val="22"/>
          <w:szCs w:val="22"/>
        </w:rPr>
        <w:t>Требования к проведению КО технической экспертизы документации, предоставленной в целях установления соответствия АИИС КУЭ</w:t>
      </w:r>
      <w:r w:rsidR="009B5F03">
        <w:rPr>
          <w:rFonts w:ascii="Garamond" w:hAnsi="Garamond"/>
          <w:b/>
          <w:bCs/>
          <w:sz w:val="22"/>
          <w:szCs w:val="22"/>
        </w:rPr>
        <w:t xml:space="preserve"> </w:t>
      </w:r>
    </w:p>
    <w:p w14:paraId="2F2C1AFC" w14:textId="77777777" w:rsidR="004B3B82" w:rsidRPr="005F754A" w:rsidRDefault="004B3B82" w:rsidP="00101F7C">
      <w:pPr>
        <w:widowControl w:val="0"/>
        <w:jc w:val="right"/>
        <w:rPr>
          <w:rFonts w:ascii="Garamond" w:eastAsia="Garamond" w:hAnsi="Garamond" w:cs="Garamond"/>
          <w:b/>
          <w:bCs/>
          <w:sz w:val="22"/>
          <w:szCs w:val="22"/>
        </w:rPr>
      </w:pPr>
    </w:p>
    <w:tbl>
      <w:tblPr>
        <w:tblW w:w="9924" w:type="dxa"/>
        <w:jc w:val="righ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shd w:val="clear" w:color="auto" w:fill="BDC0BF"/>
        <w:tblLayout w:type="fixed"/>
        <w:tblCellMar>
          <w:left w:w="0" w:type="dxa"/>
          <w:right w:w="0" w:type="dxa"/>
        </w:tblCellMar>
        <w:tblLook w:val="04A0" w:firstRow="1" w:lastRow="0" w:firstColumn="1" w:lastColumn="0" w:noHBand="0" w:noVBand="1"/>
      </w:tblPr>
      <w:tblGrid>
        <w:gridCol w:w="567"/>
        <w:gridCol w:w="1568"/>
        <w:gridCol w:w="7789"/>
      </w:tblGrid>
      <w:tr w:rsidR="004B3B82" w:rsidRPr="005F754A" w14:paraId="0D1CCDBC" w14:textId="77777777" w:rsidTr="00CD3B05">
        <w:trPr>
          <w:trHeight w:val="1210"/>
          <w:tblHeader/>
          <w:jc w:val="right"/>
        </w:trPr>
        <w:tc>
          <w:tcPr>
            <w:tcW w:w="567" w:type="dxa"/>
            <w:tcBorders>
              <w:top w:val="single" w:sz="4" w:space="0" w:color="000000"/>
              <w:left w:val="single" w:sz="4" w:space="0" w:color="000000"/>
              <w:bottom w:val="single" w:sz="4" w:space="0" w:color="000000"/>
              <w:right w:val="single" w:sz="4" w:space="0" w:color="000000"/>
            </w:tcBorders>
            <w:shd w:val="clear" w:color="auto" w:fill="BFBFBF"/>
            <w:tcMar>
              <w:top w:w="80" w:type="dxa"/>
              <w:left w:w="80" w:type="dxa"/>
              <w:bottom w:w="80" w:type="dxa"/>
              <w:right w:w="80" w:type="dxa"/>
            </w:tcMar>
            <w:vAlign w:val="center"/>
          </w:tcPr>
          <w:p w14:paraId="4A14013A" w14:textId="77777777" w:rsidR="004B3B82" w:rsidRPr="005F754A" w:rsidRDefault="004B3B82" w:rsidP="00CD3B05">
            <w:pPr>
              <w:tabs>
                <w:tab w:val="left" w:pos="176"/>
              </w:tabs>
              <w:jc w:val="center"/>
              <w:rPr>
                <w:rFonts w:ascii="Garamond" w:eastAsia="Garamond" w:hAnsi="Garamond" w:cs="Garamond"/>
                <w:b/>
                <w:bCs/>
              </w:rPr>
            </w:pPr>
            <w:r w:rsidRPr="005F754A">
              <w:rPr>
                <w:rFonts w:ascii="Garamond" w:hAnsi="Garamond"/>
                <w:b/>
                <w:bCs/>
              </w:rPr>
              <w:t>№</w:t>
            </w:r>
          </w:p>
          <w:p w14:paraId="7C7FDE94" w14:textId="77777777" w:rsidR="004B3B82" w:rsidRPr="005F754A" w:rsidRDefault="004B3B82" w:rsidP="00CD3B05">
            <w:pPr>
              <w:tabs>
                <w:tab w:val="left" w:pos="176"/>
              </w:tabs>
              <w:jc w:val="center"/>
              <w:rPr>
                <w:rFonts w:ascii="Garamond" w:hAnsi="Garamond"/>
              </w:rPr>
            </w:pPr>
            <w:r w:rsidRPr="005F754A">
              <w:rPr>
                <w:rFonts w:ascii="Garamond" w:hAnsi="Garamond"/>
                <w:b/>
                <w:bCs/>
              </w:rPr>
              <w:t>п/п</w:t>
            </w:r>
          </w:p>
        </w:tc>
        <w:tc>
          <w:tcPr>
            <w:tcW w:w="1568" w:type="dxa"/>
            <w:tcBorders>
              <w:top w:val="single" w:sz="4" w:space="0" w:color="000000"/>
              <w:left w:val="single" w:sz="4" w:space="0" w:color="000000"/>
              <w:bottom w:val="single" w:sz="4" w:space="0" w:color="000000"/>
              <w:right w:val="single" w:sz="4" w:space="0" w:color="000000"/>
            </w:tcBorders>
            <w:shd w:val="clear" w:color="auto" w:fill="BFBFBF"/>
            <w:tcMar>
              <w:top w:w="80" w:type="dxa"/>
              <w:left w:w="80" w:type="dxa"/>
              <w:bottom w:w="80" w:type="dxa"/>
              <w:right w:w="80" w:type="dxa"/>
            </w:tcMar>
            <w:vAlign w:val="center"/>
          </w:tcPr>
          <w:p w14:paraId="508AC774" w14:textId="77777777" w:rsidR="004B3B82" w:rsidRDefault="004B3B82" w:rsidP="00CD3B05">
            <w:pPr>
              <w:jc w:val="center"/>
              <w:rPr>
                <w:rFonts w:ascii="Garamond" w:hAnsi="Garamond"/>
                <w:b/>
                <w:bCs/>
              </w:rPr>
            </w:pPr>
            <w:r>
              <w:rPr>
                <w:rFonts w:hAnsi="Garamond"/>
                <w:b/>
                <w:bCs/>
              </w:rPr>
              <w:t>Обозначение</w:t>
            </w:r>
            <w:r>
              <w:rPr>
                <w:rFonts w:hAnsi="Garamond"/>
                <w:b/>
                <w:bCs/>
              </w:rPr>
              <w:t xml:space="preserve"> </w:t>
            </w:r>
            <w:r>
              <w:rPr>
                <w:rFonts w:hAnsi="Garamond"/>
                <w:b/>
                <w:bCs/>
              </w:rPr>
              <w:t>п</w:t>
            </w:r>
            <w:r w:rsidRPr="004D7191">
              <w:rPr>
                <w:rFonts w:hAnsi="Garamond"/>
                <w:b/>
                <w:bCs/>
              </w:rPr>
              <w:t>арам</w:t>
            </w:r>
            <w:r w:rsidRPr="00A064A9">
              <w:rPr>
                <w:rFonts w:hAnsi="Garamond"/>
                <w:b/>
                <w:bCs/>
              </w:rPr>
              <w:t>етр</w:t>
            </w:r>
            <w:r>
              <w:rPr>
                <w:rFonts w:hAnsi="Garamond"/>
                <w:b/>
                <w:bCs/>
              </w:rPr>
              <w:t>а</w:t>
            </w:r>
            <w:r w:rsidRPr="005F754A">
              <w:rPr>
                <w:rFonts w:ascii="Garamond" w:hAnsi="Garamond"/>
                <w:b/>
                <w:bCs/>
              </w:rPr>
              <w:t xml:space="preserve"> </w:t>
            </w:r>
          </w:p>
          <w:p w14:paraId="7712985C" w14:textId="77777777" w:rsidR="004B3B82" w:rsidRPr="008E7205" w:rsidRDefault="004B3B82" w:rsidP="00CD3B05">
            <w:pPr>
              <w:jc w:val="center"/>
              <w:rPr>
                <w:rFonts w:ascii="Garamond" w:hAnsi="Garamond"/>
                <w:sz w:val="18"/>
                <w:szCs w:val="18"/>
              </w:rPr>
            </w:pPr>
            <w:r w:rsidRPr="008E7205">
              <w:rPr>
                <w:rFonts w:ascii="Garamond" w:hAnsi="Garamond"/>
                <w:bCs/>
                <w:sz w:val="18"/>
                <w:szCs w:val="18"/>
              </w:rPr>
              <w:t>(</w:t>
            </w:r>
            <w:r>
              <w:rPr>
                <w:rFonts w:ascii="Garamond" w:hAnsi="Garamond"/>
                <w:bCs/>
                <w:sz w:val="18"/>
                <w:szCs w:val="18"/>
              </w:rPr>
              <w:t xml:space="preserve">номер </w:t>
            </w:r>
            <w:r w:rsidRPr="008E7205">
              <w:rPr>
                <w:rFonts w:ascii="Garamond" w:hAnsi="Garamond"/>
                <w:bCs/>
                <w:sz w:val="18"/>
                <w:szCs w:val="18"/>
              </w:rPr>
              <w:t>пункт</w:t>
            </w:r>
            <w:r>
              <w:rPr>
                <w:rFonts w:ascii="Garamond" w:hAnsi="Garamond"/>
                <w:bCs/>
                <w:sz w:val="18"/>
                <w:szCs w:val="18"/>
              </w:rPr>
              <w:t>а</w:t>
            </w:r>
            <w:r w:rsidRPr="008E7205">
              <w:rPr>
                <w:rFonts w:ascii="Garamond" w:hAnsi="Garamond"/>
                <w:bCs/>
                <w:sz w:val="18"/>
                <w:szCs w:val="18"/>
              </w:rPr>
              <w:t xml:space="preserve"> согласно Приложению № 11.1 к </w:t>
            </w:r>
            <w:r w:rsidRPr="008E7205">
              <w:rPr>
                <w:rFonts w:ascii="Garamond" w:hAnsi="Garamond"/>
                <w:bCs/>
                <w:i/>
                <w:sz w:val="18"/>
                <w:szCs w:val="18"/>
              </w:rPr>
              <w:t>Положению о реестре</w:t>
            </w:r>
            <w:r w:rsidRPr="008E7205">
              <w:rPr>
                <w:rFonts w:ascii="Garamond" w:hAnsi="Garamond"/>
                <w:bCs/>
                <w:sz w:val="18"/>
                <w:szCs w:val="18"/>
              </w:rPr>
              <w:t xml:space="preserve">) </w:t>
            </w:r>
          </w:p>
        </w:tc>
        <w:tc>
          <w:tcPr>
            <w:tcW w:w="7789" w:type="dxa"/>
            <w:tcBorders>
              <w:top w:val="single" w:sz="4" w:space="0" w:color="000000"/>
              <w:left w:val="single" w:sz="4" w:space="0" w:color="000000"/>
              <w:bottom w:val="single" w:sz="4" w:space="0" w:color="000000"/>
              <w:right w:val="single" w:sz="4" w:space="0" w:color="000000"/>
            </w:tcBorders>
            <w:shd w:val="clear" w:color="auto" w:fill="BFBFBF"/>
            <w:tcMar>
              <w:top w:w="80" w:type="dxa"/>
              <w:left w:w="80" w:type="dxa"/>
              <w:bottom w:w="80" w:type="dxa"/>
              <w:right w:w="80" w:type="dxa"/>
            </w:tcMar>
            <w:vAlign w:val="center"/>
          </w:tcPr>
          <w:p w14:paraId="1F6BFEDB" w14:textId="77777777" w:rsidR="004B3B82" w:rsidRPr="005F754A" w:rsidRDefault="004B3B82" w:rsidP="00CD3B05">
            <w:pPr>
              <w:jc w:val="center"/>
              <w:rPr>
                <w:rFonts w:ascii="Garamond" w:hAnsi="Garamond"/>
              </w:rPr>
            </w:pPr>
            <w:r w:rsidRPr="005F754A">
              <w:rPr>
                <w:rFonts w:ascii="Garamond" w:hAnsi="Garamond"/>
                <w:b/>
                <w:bCs/>
              </w:rPr>
              <w:t>Наименование параметра</w:t>
            </w:r>
            <w:r w:rsidRPr="000D0141">
              <w:rPr>
                <w:rFonts w:ascii="Garamond" w:hAnsi="Garamond"/>
                <w:b/>
                <w:bCs/>
              </w:rPr>
              <w:t xml:space="preserve"> </w:t>
            </w:r>
            <w:r w:rsidRPr="005F754A">
              <w:rPr>
                <w:rFonts w:ascii="Garamond" w:hAnsi="Garamond"/>
                <w:b/>
                <w:bCs/>
              </w:rPr>
              <w:t>/</w:t>
            </w:r>
            <w:r w:rsidRPr="000D0141">
              <w:rPr>
                <w:rFonts w:ascii="Garamond" w:hAnsi="Garamond"/>
                <w:b/>
                <w:bCs/>
              </w:rPr>
              <w:t xml:space="preserve"> </w:t>
            </w:r>
            <w:r w:rsidRPr="005F754A">
              <w:rPr>
                <w:rFonts w:ascii="Garamond" w:hAnsi="Garamond"/>
                <w:b/>
                <w:bCs/>
              </w:rPr>
              <w:t>требование к порядку проведения экспертизы</w:t>
            </w:r>
          </w:p>
        </w:tc>
      </w:tr>
      <w:tr w:rsidR="004B3B82" w:rsidRPr="000D5747" w14:paraId="16C4F955" w14:textId="77777777" w:rsidTr="00CD3B05">
        <w:tblPrEx>
          <w:shd w:val="clear" w:color="auto" w:fill="auto"/>
        </w:tblPrEx>
        <w:trPr>
          <w:trHeight w:val="250"/>
          <w:jc w:val="right"/>
        </w:trPr>
        <w:tc>
          <w:tcPr>
            <w:tcW w:w="567" w:type="dxa"/>
            <w:tcBorders>
              <w:top w:val="single" w:sz="4" w:space="0" w:color="000000"/>
              <w:left w:val="single" w:sz="4" w:space="0" w:color="000000"/>
              <w:bottom w:val="single" w:sz="4" w:space="0" w:color="000000"/>
              <w:right w:val="single" w:sz="4" w:space="0" w:color="000000"/>
            </w:tcBorders>
            <w:shd w:val="clear" w:color="auto" w:fill="BFBFBF"/>
            <w:tcMar>
              <w:top w:w="80" w:type="dxa"/>
              <w:left w:w="80" w:type="dxa"/>
              <w:bottom w:w="80" w:type="dxa"/>
              <w:right w:w="80" w:type="dxa"/>
            </w:tcMar>
            <w:vAlign w:val="center"/>
          </w:tcPr>
          <w:p w14:paraId="250D654A" w14:textId="77777777" w:rsidR="004B3B82" w:rsidRPr="000D5747" w:rsidRDefault="004B3B82" w:rsidP="00CD3B05">
            <w:pPr>
              <w:jc w:val="center"/>
              <w:rPr>
                <w:rFonts w:ascii="Garamond" w:hAnsi="Garamond"/>
              </w:rPr>
            </w:pPr>
            <w:r w:rsidRPr="000D5747">
              <w:rPr>
                <w:rFonts w:ascii="Garamond" w:hAnsi="Garamond"/>
              </w:rPr>
              <w:t>1</w:t>
            </w:r>
          </w:p>
        </w:tc>
        <w:tc>
          <w:tcPr>
            <w:tcW w:w="1568" w:type="dxa"/>
            <w:tcBorders>
              <w:top w:val="single" w:sz="4" w:space="0" w:color="000000"/>
              <w:left w:val="single" w:sz="4" w:space="0" w:color="000000"/>
              <w:bottom w:val="single" w:sz="4" w:space="0" w:color="000000"/>
              <w:right w:val="single" w:sz="4" w:space="0" w:color="000000"/>
            </w:tcBorders>
            <w:shd w:val="clear" w:color="auto" w:fill="BFBFBF"/>
            <w:tcMar>
              <w:top w:w="80" w:type="dxa"/>
              <w:left w:w="80" w:type="dxa"/>
              <w:bottom w:w="80" w:type="dxa"/>
              <w:right w:w="80" w:type="dxa"/>
            </w:tcMar>
            <w:vAlign w:val="center"/>
          </w:tcPr>
          <w:p w14:paraId="0DF38002" w14:textId="77777777" w:rsidR="004B3B82" w:rsidRPr="000D5747" w:rsidRDefault="004B3B82" w:rsidP="00CD3B05">
            <w:pPr>
              <w:jc w:val="center"/>
              <w:rPr>
                <w:rFonts w:ascii="Garamond" w:hAnsi="Garamond"/>
                <w:b/>
                <w:bCs/>
              </w:rPr>
            </w:pPr>
            <w:r w:rsidRPr="000D5747">
              <w:rPr>
                <w:rFonts w:ascii="Garamond" w:hAnsi="Garamond"/>
                <w:b/>
                <w:bCs/>
              </w:rPr>
              <w:t>–</w:t>
            </w:r>
          </w:p>
        </w:tc>
        <w:tc>
          <w:tcPr>
            <w:tcW w:w="7789" w:type="dxa"/>
            <w:tcBorders>
              <w:top w:val="single" w:sz="4" w:space="0" w:color="000000"/>
              <w:left w:val="single" w:sz="4" w:space="0" w:color="000000"/>
              <w:bottom w:val="single" w:sz="4" w:space="0" w:color="000000"/>
              <w:right w:val="single" w:sz="4" w:space="0" w:color="000000"/>
            </w:tcBorders>
            <w:shd w:val="clear" w:color="auto" w:fill="BFBFBF"/>
            <w:tcMar>
              <w:top w:w="80" w:type="dxa"/>
              <w:left w:w="80" w:type="dxa"/>
              <w:bottom w:w="80" w:type="dxa"/>
              <w:right w:w="80" w:type="dxa"/>
            </w:tcMar>
          </w:tcPr>
          <w:p w14:paraId="51828213" w14:textId="77777777" w:rsidR="004B3B82" w:rsidRPr="000D5747" w:rsidRDefault="004B3B82" w:rsidP="00CD3B05">
            <w:pPr>
              <w:rPr>
                <w:rFonts w:ascii="Garamond" w:hAnsi="Garamond"/>
                <w:b/>
                <w:bCs/>
              </w:rPr>
            </w:pPr>
            <w:r w:rsidRPr="000D5747">
              <w:rPr>
                <w:rFonts w:ascii="Garamond" w:hAnsi="Garamond"/>
                <w:b/>
                <w:bCs/>
              </w:rPr>
              <w:t xml:space="preserve">Проверка соответствия </w:t>
            </w:r>
            <w:r w:rsidRPr="007945A6">
              <w:rPr>
                <w:rFonts w:ascii="Garamond" w:hAnsi="Garamond"/>
                <w:b/>
                <w:bCs/>
                <w:highlight w:val="yellow"/>
              </w:rPr>
              <w:t>состава ИИК точек измерений АИИС КУЭ составу точек измерений в сечении</w:t>
            </w:r>
            <w:r w:rsidRPr="007945A6">
              <w:rPr>
                <w:rFonts w:ascii="Garamond" w:hAnsi="Garamond"/>
                <w:b/>
                <w:spacing w:val="-2"/>
                <w:highlight w:val="yellow"/>
              </w:rPr>
              <w:t xml:space="preserve"> коммерческого учета</w:t>
            </w:r>
            <w:r w:rsidRPr="002B490C">
              <w:rPr>
                <w:rFonts w:ascii="Garamond" w:hAnsi="Garamond"/>
                <w:b/>
                <w:spacing w:val="-2"/>
              </w:rPr>
              <w:t xml:space="preserve">. Проверка на наличие </w:t>
            </w:r>
            <w:r w:rsidRPr="001E130A">
              <w:rPr>
                <w:rFonts w:ascii="Garamond" w:hAnsi="Garamond"/>
                <w:b/>
                <w:spacing w:val="-2"/>
                <w:highlight w:val="yellow"/>
              </w:rPr>
              <w:t>счетчиков</w:t>
            </w:r>
            <w:r w:rsidRPr="002B490C">
              <w:rPr>
                <w:rFonts w:ascii="Garamond" w:hAnsi="Garamond"/>
                <w:b/>
                <w:spacing w:val="-2"/>
              </w:rPr>
              <w:t>, которые не фиксируют время и дату пропадания и восстановления напряжения по каждой фазе</w:t>
            </w:r>
          </w:p>
        </w:tc>
      </w:tr>
      <w:tr w:rsidR="004B3B82" w:rsidRPr="000D5747" w14:paraId="12A75DCF" w14:textId="77777777" w:rsidTr="00CD3B05">
        <w:tblPrEx>
          <w:shd w:val="clear" w:color="auto" w:fill="auto"/>
        </w:tblPrEx>
        <w:trPr>
          <w:trHeight w:val="250"/>
          <w:jc w:val="right"/>
        </w:trPr>
        <w:tc>
          <w:tcPr>
            <w:tcW w:w="567" w:type="dxa"/>
            <w:tcBorders>
              <w:top w:val="single" w:sz="4" w:space="0" w:color="000000"/>
              <w:left w:val="single" w:sz="4" w:space="0" w:color="000000"/>
              <w:bottom w:val="single" w:sz="4" w:space="0" w:color="000000"/>
              <w:right w:val="single" w:sz="4" w:space="0" w:color="000000"/>
            </w:tcBorders>
            <w:shd w:val="clear" w:color="auto" w:fill="FFFF00"/>
            <w:tcMar>
              <w:top w:w="80" w:type="dxa"/>
              <w:left w:w="80" w:type="dxa"/>
              <w:bottom w:w="80" w:type="dxa"/>
              <w:right w:w="80" w:type="dxa"/>
            </w:tcMar>
            <w:vAlign w:val="center"/>
          </w:tcPr>
          <w:p w14:paraId="1D9DF0F9" w14:textId="77777777" w:rsidR="004B3B82" w:rsidRPr="000D5747" w:rsidRDefault="004B3B82" w:rsidP="00CD3B05">
            <w:pPr>
              <w:rPr>
                <w:rFonts w:ascii="Garamond" w:hAnsi="Garamond"/>
              </w:rPr>
            </w:pPr>
          </w:p>
        </w:tc>
        <w:tc>
          <w:tcPr>
            <w:tcW w:w="1568" w:type="dxa"/>
            <w:tcBorders>
              <w:top w:val="single" w:sz="4" w:space="0" w:color="000000"/>
              <w:left w:val="single" w:sz="4" w:space="0" w:color="000000"/>
              <w:bottom w:val="single" w:sz="4" w:space="0" w:color="000000"/>
              <w:right w:val="single" w:sz="4" w:space="0" w:color="000000"/>
            </w:tcBorders>
            <w:shd w:val="clear" w:color="auto" w:fill="FFFF00"/>
            <w:tcMar>
              <w:top w:w="80" w:type="dxa"/>
              <w:left w:w="80" w:type="dxa"/>
              <w:bottom w:w="80" w:type="dxa"/>
              <w:right w:w="80" w:type="dxa"/>
            </w:tcMar>
            <w:vAlign w:val="center"/>
          </w:tcPr>
          <w:p w14:paraId="4F3231AF" w14:textId="77777777" w:rsidR="004B3B82" w:rsidRPr="000D5747" w:rsidRDefault="004B3B82" w:rsidP="00CD3B05">
            <w:pPr>
              <w:jc w:val="center"/>
              <w:rPr>
                <w:rFonts w:ascii="Garamond" w:hAnsi="Garamond"/>
              </w:rPr>
            </w:pPr>
            <w:r w:rsidRPr="000D5747">
              <w:rPr>
                <w:rFonts w:ascii="Garamond" w:hAnsi="Garamond"/>
                <w:b/>
                <w:bCs/>
              </w:rPr>
              <w:t>Компоненты</w:t>
            </w:r>
          </w:p>
        </w:tc>
        <w:tc>
          <w:tcPr>
            <w:tcW w:w="7789" w:type="dxa"/>
            <w:tcBorders>
              <w:top w:val="single" w:sz="4" w:space="0" w:color="000000"/>
              <w:left w:val="single" w:sz="4" w:space="0" w:color="000000"/>
              <w:bottom w:val="single" w:sz="4" w:space="0" w:color="000000"/>
              <w:right w:val="single" w:sz="4" w:space="0" w:color="000000"/>
            </w:tcBorders>
            <w:shd w:val="clear" w:color="auto" w:fill="FFFF00"/>
            <w:tcMar>
              <w:top w:w="80" w:type="dxa"/>
              <w:left w:w="80" w:type="dxa"/>
              <w:bottom w:w="80" w:type="dxa"/>
              <w:right w:w="80" w:type="dxa"/>
            </w:tcMar>
          </w:tcPr>
          <w:p w14:paraId="53A8ED60" w14:textId="77777777" w:rsidR="004B3B82" w:rsidRPr="000D5747" w:rsidRDefault="004B3B82" w:rsidP="00CD3B05">
            <w:pPr>
              <w:rPr>
                <w:rFonts w:ascii="Garamond" w:hAnsi="Garamond"/>
              </w:rPr>
            </w:pPr>
            <w:r w:rsidRPr="000D5747">
              <w:rPr>
                <w:rFonts w:ascii="Garamond" w:hAnsi="Garamond"/>
              </w:rPr>
              <w:t xml:space="preserve">ИИК – </w:t>
            </w:r>
            <w:r w:rsidRPr="00A60411">
              <w:rPr>
                <w:rFonts w:ascii="Garamond" w:hAnsi="Garamond"/>
                <w:highlight w:val="green"/>
              </w:rPr>
              <w:t>счетчики электрической энергии</w:t>
            </w:r>
            <w:r w:rsidRPr="000D5747">
              <w:rPr>
                <w:rFonts w:ascii="Garamond" w:hAnsi="Garamond"/>
              </w:rPr>
              <w:t xml:space="preserve">, измерительные трансформаторы тока и напряжения (далее – </w:t>
            </w:r>
            <w:r w:rsidRPr="001E130A">
              <w:rPr>
                <w:rFonts w:ascii="Garamond" w:hAnsi="Garamond"/>
                <w:highlight w:val="green"/>
              </w:rPr>
              <w:t>счетчик</w:t>
            </w:r>
            <w:r w:rsidRPr="000D5747">
              <w:rPr>
                <w:rFonts w:ascii="Garamond" w:hAnsi="Garamond"/>
              </w:rPr>
              <w:t>, ТТ, ТН)</w:t>
            </w:r>
          </w:p>
        </w:tc>
      </w:tr>
      <w:tr w:rsidR="004B3B82" w:rsidRPr="00F33116" w14:paraId="5A3AA21D" w14:textId="77777777" w:rsidTr="00CD3B05">
        <w:tblPrEx>
          <w:shd w:val="clear" w:color="auto" w:fill="auto"/>
        </w:tblPrEx>
        <w:trPr>
          <w:trHeight w:val="989"/>
          <w:jc w:val="right"/>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9C69130" w14:textId="77777777" w:rsidR="004B3B82" w:rsidRPr="000D5747" w:rsidRDefault="004B3B82" w:rsidP="00CD3B05">
            <w:pPr>
              <w:rPr>
                <w:rFonts w:ascii="Garamond" w:hAnsi="Garamond"/>
              </w:rPr>
            </w:pPr>
          </w:p>
        </w:tc>
        <w:tc>
          <w:tcPr>
            <w:tcW w:w="15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1BCA0C1" w14:textId="77777777" w:rsidR="004B3B82" w:rsidRPr="00F33116" w:rsidRDefault="004B3B82" w:rsidP="00CD3B05">
            <w:pPr>
              <w:jc w:val="center"/>
              <w:rPr>
                <w:rFonts w:ascii="Garamond" w:hAnsi="Garamond"/>
              </w:rPr>
            </w:pPr>
            <w:r w:rsidRPr="00F33116">
              <w:rPr>
                <w:rFonts w:ascii="Garamond" w:hAnsi="Garamond"/>
                <w:b/>
                <w:bCs/>
              </w:rPr>
              <w:t>Действия</w:t>
            </w:r>
          </w:p>
        </w:tc>
        <w:tc>
          <w:tcPr>
            <w:tcW w:w="778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6FB614" w14:textId="77777777" w:rsidR="004B3B82" w:rsidRPr="007E44F3" w:rsidRDefault="004B3B82" w:rsidP="00CD3B05">
            <w:pPr>
              <w:pStyle w:val="ac"/>
              <w:tabs>
                <w:tab w:val="left" w:pos="1440"/>
              </w:tabs>
              <w:ind w:left="0"/>
              <w:jc w:val="both"/>
              <w:rPr>
                <w:rFonts w:ascii="Garamond" w:hAnsi="Garamond"/>
              </w:rPr>
            </w:pPr>
            <w:r w:rsidRPr="007E44F3">
              <w:rPr>
                <w:rFonts w:ascii="Garamond" w:hAnsi="Garamond"/>
              </w:rPr>
              <w:t>Производится идентификация и соотнесение точек измерений (ИИК), указанных в опросных листах (макет 90000), с точками измерений (ИИК), закодированными КО, а также указанными в перечне средств измерений для целей коммерческого учета (ПСИ в макетах 60002, 60090).</w:t>
            </w:r>
          </w:p>
          <w:p w14:paraId="34A8C5F4" w14:textId="77777777" w:rsidR="004B3B82" w:rsidRPr="007E44F3" w:rsidRDefault="004B3B82" w:rsidP="00CD3B05">
            <w:pPr>
              <w:pStyle w:val="ac"/>
              <w:tabs>
                <w:tab w:val="left" w:pos="1440"/>
              </w:tabs>
              <w:ind w:left="0"/>
              <w:jc w:val="both"/>
              <w:rPr>
                <w:rFonts w:ascii="Garamond" w:hAnsi="Garamond"/>
              </w:rPr>
            </w:pPr>
            <w:r w:rsidRPr="0070300B">
              <w:rPr>
                <w:rFonts w:ascii="Garamond" w:hAnsi="Garamond"/>
              </w:rPr>
              <w:t xml:space="preserve">Производится идентификация и соотнесение точек измерений (ИИК), указанных в опросных листах (макет 90000) и закодированных КО с признаком включения в АИИС КУЭ, с точками измерений (ИИК), указанными в описании типа средств измерений АИИС КУЭ и (или) свидетельстве о поверке АИИС КУЭ с приложением перечня измерительных каналов либо паспортах-протоколах, актах допуска прибора учета в эксплуатацию, свидетельствах о поверке </w:t>
            </w:r>
            <w:r w:rsidRPr="00A60411">
              <w:rPr>
                <w:rFonts w:ascii="Garamond" w:hAnsi="Garamond"/>
                <w:highlight w:val="yellow"/>
              </w:rPr>
              <w:t>счетчиков</w:t>
            </w:r>
            <w:r w:rsidRPr="0070300B">
              <w:rPr>
                <w:rFonts w:ascii="Garamond" w:hAnsi="Garamond"/>
              </w:rPr>
              <w:t xml:space="preserve"> (в случае оформления Акта АИИС КУЭ класса </w:t>
            </w:r>
            <w:r w:rsidRPr="0070300B">
              <w:rPr>
                <w:rFonts w:ascii="Garamond" w:hAnsi="Garamond"/>
                <w:lang w:val="en-US"/>
              </w:rPr>
              <w:t>N</w:t>
            </w:r>
            <w:r w:rsidRPr="0070300B">
              <w:rPr>
                <w:rFonts w:ascii="Garamond" w:hAnsi="Garamond"/>
              </w:rPr>
              <w:t xml:space="preserve"> и в случаях, предусмотренных п. 1.2.1 настоящего Порядка).</w:t>
            </w:r>
          </w:p>
          <w:p w14:paraId="49BEED51" w14:textId="77777777" w:rsidR="004B3B82" w:rsidRPr="007E44F3" w:rsidRDefault="004B3B82" w:rsidP="00CD3B05">
            <w:pPr>
              <w:pStyle w:val="ac"/>
              <w:tabs>
                <w:tab w:val="left" w:pos="1440"/>
              </w:tabs>
              <w:ind w:left="0"/>
              <w:jc w:val="both"/>
              <w:rPr>
                <w:rFonts w:ascii="Garamond" w:hAnsi="Garamond"/>
              </w:rPr>
            </w:pPr>
            <w:r w:rsidRPr="007E44F3">
              <w:rPr>
                <w:rFonts w:ascii="Garamond" w:hAnsi="Garamond"/>
              </w:rPr>
              <w:t>Производится соотнесение свидетельства (сертификата) об утверждении типа средств измерений АИИС КУЭ (с приложением описания типа средств измерений АИИС КУЭ) и (или) свидетельства о поверке АИИС КУЭ (с приложением перечня измерительных каналов) с опубликованными соответствующими документами в Федеральном информационном фонде по обеспечению единства измерений.</w:t>
            </w:r>
          </w:p>
          <w:p w14:paraId="3CA327CC" w14:textId="77777777" w:rsidR="004B3B82" w:rsidRPr="007E44F3" w:rsidRDefault="004B3B82" w:rsidP="00CD3B05">
            <w:pPr>
              <w:pStyle w:val="ac"/>
              <w:tabs>
                <w:tab w:val="left" w:pos="1440"/>
              </w:tabs>
              <w:ind w:left="0"/>
              <w:jc w:val="both"/>
              <w:rPr>
                <w:rFonts w:ascii="Garamond" w:eastAsia="Garamond" w:hAnsi="Garamond" w:cs="Garamond"/>
              </w:rPr>
            </w:pPr>
            <w:r w:rsidRPr="007E44F3">
              <w:rPr>
                <w:rFonts w:ascii="Garamond" w:hAnsi="Garamond"/>
              </w:rPr>
              <w:t xml:space="preserve">Производится проверка описаний типа средств измерений в составе АИИС КУЭ на предмет наличия в АИИС КУЭ </w:t>
            </w:r>
            <w:r w:rsidRPr="00A60411">
              <w:rPr>
                <w:rFonts w:ascii="Garamond" w:hAnsi="Garamond"/>
                <w:highlight w:val="yellow"/>
              </w:rPr>
              <w:t>счетчиков</w:t>
            </w:r>
            <w:r w:rsidRPr="007E44F3">
              <w:rPr>
                <w:rFonts w:ascii="Garamond" w:hAnsi="Garamond"/>
              </w:rPr>
              <w:t>, которые не фиксируют время и дату пропадания и восстановления напряжения по каждой фазе.</w:t>
            </w:r>
          </w:p>
        </w:tc>
      </w:tr>
      <w:tr w:rsidR="004B3B82" w:rsidRPr="00F33116" w14:paraId="386E527F" w14:textId="77777777" w:rsidTr="00CD3B05">
        <w:tblPrEx>
          <w:shd w:val="clear" w:color="auto" w:fill="auto"/>
        </w:tblPrEx>
        <w:trPr>
          <w:trHeight w:val="69"/>
          <w:jc w:val="right"/>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66A06AF" w14:textId="77777777" w:rsidR="004B3B82" w:rsidRPr="00F33116" w:rsidRDefault="004B3B82" w:rsidP="00CD3B05">
            <w:pPr>
              <w:rPr>
                <w:rFonts w:ascii="Garamond" w:hAnsi="Garamond"/>
              </w:rPr>
            </w:pPr>
          </w:p>
        </w:tc>
        <w:tc>
          <w:tcPr>
            <w:tcW w:w="15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C8F1A5F" w14:textId="77777777" w:rsidR="004B3B82" w:rsidRPr="00F33116" w:rsidRDefault="004B3B82" w:rsidP="00CD3B05">
            <w:pPr>
              <w:jc w:val="center"/>
              <w:rPr>
                <w:rFonts w:ascii="Garamond" w:hAnsi="Garamond"/>
              </w:rPr>
            </w:pPr>
            <w:r w:rsidRPr="00F33116">
              <w:rPr>
                <w:rFonts w:ascii="Garamond" w:hAnsi="Garamond"/>
                <w:b/>
                <w:bCs/>
              </w:rPr>
              <w:t>Критерии</w:t>
            </w:r>
          </w:p>
        </w:tc>
        <w:tc>
          <w:tcPr>
            <w:tcW w:w="778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8F3B490" w14:textId="77777777" w:rsidR="004B3B82" w:rsidRPr="007E44F3" w:rsidRDefault="004B3B82" w:rsidP="00CD3B05">
            <w:pPr>
              <w:pStyle w:val="37"/>
              <w:tabs>
                <w:tab w:val="left" w:pos="1440"/>
              </w:tabs>
              <w:spacing w:after="0" w:line="240" w:lineRule="auto"/>
              <w:ind w:left="0"/>
              <w:jc w:val="both"/>
              <w:rPr>
                <w:rFonts w:ascii="Garamond" w:hAnsi="Garamond"/>
                <w:sz w:val="20"/>
                <w:szCs w:val="20"/>
              </w:rPr>
            </w:pPr>
            <w:r w:rsidRPr="007E44F3">
              <w:rPr>
                <w:rFonts w:ascii="Garamond" w:hAnsi="Garamond"/>
                <w:sz w:val="20"/>
                <w:szCs w:val="20"/>
              </w:rPr>
              <w:t>Точки измерений, указанные в опросных листах (макет 90000), соответствуют данным, содержащимся в закодированной КО «</w:t>
            </w:r>
            <w:r w:rsidRPr="007E44F3">
              <w:rPr>
                <w:rFonts w:ascii="Garamond" w:hAnsi="Garamond"/>
                <w:sz w:val="20"/>
                <w:szCs w:val="20"/>
                <w:lang w:val="en-US"/>
              </w:rPr>
              <w:t>area</w:t>
            </w:r>
            <w:r w:rsidRPr="007E44F3">
              <w:rPr>
                <w:rFonts w:ascii="Garamond" w:hAnsi="Garamond"/>
                <w:sz w:val="20"/>
                <w:szCs w:val="20"/>
              </w:rPr>
              <w:t>» и ПСИ.</w:t>
            </w:r>
          </w:p>
          <w:p w14:paraId="5862AA23" w14:textId="77777777" w:rsidR="004B3B82" w:rsidRPr="007E44F3" w:rsidRDefault="004B3B82" w:rsidP="00CD3B05">
            <w:pPr>
              <w:pStyle w:val="37"/>
              <w:tabs>
                <w:tab w:val="left" w:pos="1440"/>
              </w:tabs>
              <w:spacing w:after="0" w:line="240" w:lineRule="auto"/>
              <w:ind w:left="0"/>
              <w:jc w:val="both"/>
              <w:rPr>
                <w:rFonts w:ascii="Garamond" w:hAnsi="Garamond"/>
                <w:sz w:val="20"/>
                <w:szCs w:val="20"/>
              </w:rPr>
            </w:pPr>
            <w:r w:rsidRPr="00DA7D75">
              <w:rPr>
                <w:rFonts w:ascii="Garamond" w:hAnsi="Garamond"/>
                <w:sz w:val="20"/>
                <w:szCs w:val="20"/>
              </w:rPr>
              <w:t xml:space="preserve">Точки измерений (ИИК), включенные в АИИС КУЭ и указанные в опросных листах (макет 90000), закодированы КО (с признаком включения в АИИС КУЭ) и содержатся в описании типа средств измерений и (или) свидетельстве о поверке АИИС КУЭ с приложением перечня измерительных каналов либо в паспортах-протоколах, актах допуска прибора учета в эксплуатацию, свидетельствах о поверке </w:t>
            </w:r>
            <w:r w:rsidRPr="00A60411">
              <w:rPr>
                <w:rFonts w:ascii="Garamond" w:hAnsi="Garamond"/>
                <w:sz w:val="20"/>
                <w:szCs w:val="20"/>
                <w:highlight w:val="yellow"/>
              </w:rPr>
              <w:t>счетчиков</w:t>
            </w:r>
            <w:r w:rsidRPr="00DA7D75">
              <w:rPr>
                <w:rFonts w:ascii="Garamond" w:hAnsi="Garamond"/>
                <w:sz w:val="20"/>
                <w:szCs w:val="20"/>
              </w:rPr>
              <w:t xml:space="preserve"> (в случае оформления Акта АИИС КУЭ класса </w:t>
            </w:r>
            <w:r w:rsidRPr="00DA7D75">
              <w:rPr>
                <w:rFonts w:ascii="Garamond" w:hAnsi="Garamond"/>
                <w:sz w:val="20"/>
                <w:szCs w:val="20"/>
                <w:lang w:val="en-US"/>
              </w:rPr>
              <w:t>N</w:t>
            </w:r>
            <w:r w:rsidRPr="00DA7D75">
              <w:rPr>
                <w:rFonts w:ascii="Garamond" w:hAnsi="Garamond"/>
                <w:sz w:val="20"/>
                <w:szCs w:val="20"/>
              </w:rPr>
              <w:t xml:space="preserve"> и в случаях, предусмотренных п. 1.2.1 настоящего Порядка).</w:t>
            </w:r>
          </w:p>
          <w:p w14:paraId="5C25F8E6" w14:textId="77777777" w:rsidR="004B3B82" w:rsidRPr="007E44F3" w:rsidRDefault="004B3B82" w:rsidP="00CD3B05">
            <w:pPr>
              <w:pStyle w:val="ac"/>
              <w:tabs>
                <w:tab w:val="left" w:pos="1440"/>
              </w:tabs>
              <w:ind w:left="0"/>
              <w:jc w:val="both"/>
              <w:rPr>
                <w:rFonts w:ascii="Garamond" w:hAnsi="Garamond"/>
              </w:rPr>
            </w:pPr>
            <w:r w:rsidRPr="007E44F3">
              <w:rPr>
                <w:rFonts w:ascii="Garamond" w:hAnsi="Garamond"/>
              </w:rPr>
              <w:t>В случае несоответствия точек измерений, указанных в опросных листах (макет 90000), точкам измерений, указанным в ПСИ (в случае, когда ПСИ сформирован в макете 60090), в части типов (модификаций) приборов учета / признака включения в АИИС КУЭ (при установлении соответствия АИИС КУЭ по действующему составу точек поставки и точек измерений) критерий считается выполненным, при этом заявителю и смежному по соответствующему сечению коммерческого учета субъекту в срок не более 2 (двух) рабочих дней с даты регистрации заключения о соответствии технической документации направляется уведомление о вышеуказанном несоответствии и предъявляется требование по актуализации ПСИ в соответствии с требованиями п. 2.7.7 Положения о реестре.</w:t>
            </w:r>
          </w:p>
          <w:p w14:paraId="37CA76E2" w14:textId="77777777" w:rsidR="004B3B82" w:rsidRPr="007E44F3" w:rsidRDefault="004B3B82" w:rsidP="00CD3B05">
            <w:pPr>
              <w:pStyle w:val="ac"/>
              <w:tabs>
                <w:tab w:val="left" w:pos="1440"/>
              </w:tabs>
              <w:ind w:left="0"/>
              <w:jc w:val="both"/>
              <w:rPr>
                <w:rFonts w:ascii="Garamond" w:hAnsi="Garamond"/>
              </w:rPr>
            </w:pPr>
            <w:r w:rsidRPr="007E44F3">
              <w:rPr>
                <w:rFonts w:ascii="Garamond" w:hAnsi="Garamond"/>
              </w:rPr>
              <w:t>Предоставленные в рамках комплекта документов свидетельство (сертификат) об утверждении типа средств измерений АИИС КУЭ с приложением описания типа средств измерений и (или) свидетельство о поверке АИИС КУЭ с приложением перечня измерительных каналов соответствуют опубликованным документам в Федеральном информационном фонде по обеспечению единства измерений.</w:t>
            </w:r>
          </w:p>
          <w:p w14:paraId="6D3F8215" w14:textId="77777777" w:rsidR="004B3B82" w:rsidRPr="007E44F3" w:rsidRDefault="004B3B82" w:rsidP="00CD3B05">
            <w:pPr>
              <w:pStyle w:val="ac"/>
              <w:tabs>
                <w:tab w:val="left" w:pos="1440"/>
              </w:tabs>
              <w:ind w:left="0"/>
              <w:jc w:val="both"/>
              <w:rPr>
                <w:rFonts w:ascii="Garamond" w:eastAsia="Garamond" w:hAnsi="Garamond" w:cs="Garamond"/>
              </w:rPr>
            </w:pPr>
            <w:r w:rsidRPr="007E44F3">
              <w:rPr>
                <w:rFonts w:ascii="Garamond" w:hAnsi="Garamond"/>
              </w:rPr>
              <w:lastRenderedPageBreak/>
              <w:t xml:space="preserve">В случае наличия в АИИС КУЭ хотя бы одного </w:t>
            </w:r>
            <w:r w:rsidRPr="00A60411">
              <w:rPr>
                <w:rFonts w:ascii="Garamond" w:hAnsi="Garamond"/>
                <w:highlight w:val="yellow"/>
              </w:rPr>
              <w:t>счетчика</w:t>
            </w:r>
            <w:r w:rsidRPr="007E44F3">
              <w:rPr>
                <w:rFonts w:ascii="Garamond" w:hAnsi="Garamond"/>
              </w:rPr>
              <w:t>, который не фиксирует время и дату пропадания и восстановления напряжения по каждой фазе, при оформлении в отношении данной АИИС КУЭ Акта о соответствии АИИС КУЭ применяются требования абзаца 5 п. 2.7.1 настоящего Порядка или абзаца 2 п. 2.7.2 настоящего Порядка (для класса N).</w:t>
            </w:r>
          </w:p>
        </w:tc>
      </w:tr>
      <w:tr w:rsidR="004B3B82" w:rsidRPr="00F33116" w14:paraId="5F95CF1D" w14:textId="77777777" w:rsidTr="00CD3B05">
        <w:tblPrEx>
          <w:shd w:val="clear" w:color="auto" w:fill="auto"/>
        </w:tblPrEx>
        <w:trPr>
          <w:trHeight w:val="105"/>
          <w:jc w:val="right"/>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B5F9724" w14:textId="77777777" w:rsidR="004B3B82" w:rsidRPr="00F33116" w:rsidRDefault="004B3B82" w:rsidP="00CD3B05">
            <w:pPr>
              <w:rPr>
                <w:rFonts w:ascii="Garamond" w:hAnsi="Garamond"/>
              </w:rPr>
            </w:pPr>
          </w:p>
        </w:tc>
        <w:tc>
          <w:tcPr>
            <w:tcW w:w="15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D364B72" w14:textId="77777777" w:rsidR="004B3B82" w:rsidRPr="00F33116" w:rsidRDefault="004B3B82" w:rsidP="00CD3B05">
            <w:pPr>
              <w:jc w:val="center"/>
              <w:rPr>
                <w:rFonts w:ascii="Garamond" w:hAnsi="Garamond"/>
              </w:rPr>
            </w:pPr>
            <w:r w:rsidRPr="00F33116">
              <w:rPr>
                <w:rFonts w:ascii="Garamond" w:hAnsi="Garamond"/>
                <w:b/>
                <w:bCs/>
              </w:rPr>
              <w:t>Эксперты</w:t>
            </w:r>
          </w:p>
        </w:tc>
        <w:tc>
          <w:tcPr>
            <w:tcW w:w="778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6F9288F" w14:textId="77777777" w:rsidR="004B3B82" w:rsidRPr="007E44F3" w:rsidRDefault="004B3B82" w:rsidP="00CD3B05">
            <w:pPr>
              <w:pStyle w:val="ac"/>
              <w:tabs>
                <w:tab w:val="left" w:pos="317"/>
              </w:tabs>
              <w:ind w:left="0"/>
              <w:jc w:val="both"/>
              <w:rPr>
                <w:rFonts w:ascii="Garamond" w:hAnsi="Garamond"/>
              </w:rPr>
            </w:pPr>
            <w:r w:rsidRPr="007E44F3">
              <w:rPr>
                <w:rFonts w:ascii="Garamond" w:hAnsi="Garamond"/>
              </w:rPr>
              <w:t xml:space="preserve">Представители КО </w:t>
            </w:r>
          </w:p>
        </w:tc>
      </w:tr>
      <w:tr w:rsidR="004B3B82" w:rsidRPr="000D5747" w14:paraId="02D5A64C" w14:textId="77777777" w:rsidTr="00CD3B05">
        <w:tblPrEx>
          <w:shd w:val="clear" w:color="auto" w:fill="auto"/>
        </w:tblPrEx>
        <w:trPr>
          <w:trHeight w:val="61"/>
          <w:jc w:val="right"/>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1376B39" w14:textId="77777777" w:rsidR="004B3B82" w:rsidRPr="00F33116" w:rsidRDefault="004B3B82" w:rsidP="00CD3B05">
            <w:pPr>
              <w:rPr>
                <w:rFonts w:ascii="Garamond" w:hAnsi="Garamond"/>
              </w:rPr>
            </w:pPr>
          </w:p>
        </w:tc>
        <w:tc>
          <w:tcPr>
            <w:tcW w:w="15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6191B76" w14:textId="77777777" w:rsidR="004B3B82" w:rsidRPr="00F33116" w:rsidRDefault="004B3B82" w:rsidP="00CD3B05">
            <w:pPr>
              <w:jc w:val="center"/>
              <w:rPr>
                <w:rFonts w:ascii="Garamond" w:hAnsi="Garamond"/>
              </w:rPr>
            </w:pPr>
            <w:r w:rsidRPr="00F33116">
              <w:rPr>
                <w:rFonts w:ascii="Garamond" w:hAnsi="Garamond"/>
                <w:b/>
                <w:bCs/>
              </w:rPr>
              <w:t>Документация</w:t>
            </w:r>
          </w:p>
        </w:tc>
        <w:tc>
          <w:tcPr>
            <w:tcW w:w="778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C3F48B8" w14:textId="77777777" w:rsidR="004B3B82" w:rsidRPr="007E44F3" w:rsidRDefault="004B3B82" w:rsidP="00CD3B05">
            <w:pPr>
              <w:pStyle w:val="ac"/>
              <w:tabs>
                <w:tab w:val="left" w:pos="317"/>
              </w:tabs>
              <w:ind w:left="0"/>
              <w:jc w:val="both"/>
              <w:rPr>
                <w:rFonts w:ascii="Garamond" w:hAnsi="Garamond"/>
              </w:rPr>
            </w:pPr>
            <w:r w:rsidRPr="00702018">
              <w:rPr>
                <w:rFonts w:ascii="Garamond" w:hAnsi="Garamond"/>
                <w:highlight w:val="yellow"/>
              </w:rPr>
              <w:t>Д</w:t>
            </w:r>
            <w:r w:rsidRPr="007E44F3">
              <w:rPr>
                <w:rFonts w:ascii="Garamond" w:hAnsi="Garamond"/>
              </w:rPr>
              <w:t>окументация в соответствии с таблицей 2 приложения 1 настоящего Порядка, представленная для установления соответствия АИИС КУЭ и ПСИ</w:t>
            </w:r>
          </w:p>
        </w:tc>
      </w:tr>
      <w:tr w:rsidR="004B3B82" w:rsidRPr="000D5747" w14:paraId="4DFD4694" w14:textId="77777777" w:rsidTr="00CD3B05">
        <w:tblPrEx>
          <w:shd w:val="clear" w:color="auto" w:fill="auto"/>
        </w:tblPrEx>
        <w:trPr>
          <w:trHeight w:val="250"/>
          <w:jc w:val="right"/>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95950DA" w14:textId="77777777" w:rsidR="004B3B82" w:rsidRPr="000D5747" w:rsidRDefault="004B3B82" w:rsidP="00CD3B05">
            <w:pPr>
              <w:rPr>
                <w:rFonts w:ascii="Garamond" w:hAnsi="Garamond"/>
              </w:rPr>
            </w:pPr>
          </w:p>
        </w:tc>
        <w:tc>
          <w:tcPr>
            <w:tcW w:w="15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27FB195" w14:textId="77777777" w:rsidR="004B3B82" w:rsidRPr="000D5747" w:rsidRDefault="004B3B82" w:rsidP="00CD3B05">
            <w:pPr>
              <w:rPr>
                <w:rFonts w:ascii="Garamond" w:hAnsi="Garamond"/>
              </w:rPr>
            </w:pPr>
          </w:p>
        </w:tc>
        <w:tc>
          <w:tcPr>
            <w:tcW w:w="778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7CC91AD" w14:textId="77777777" w:rsidR="004B3B82" w:rsidRPr="000D5747" w:rsidRDefault="004B3B82" w:rsidP="00CD3B05">
            <w:pPr>
              <w:rPr>
                <w:rFonts w:ascii="Garamond" w:hAnsi="Garamond"/>
              </w:rPr>
            </w:pPr>
            <w:r w:rsidRPr="000D5747">
              <w:rPr>
                <w:rFonts w:ascii="Garamond" w:hAnsi="Garamond"/>
                <w:b/>
                <w:bCs/>
              </w:rPr>
              <w:t>2. ФУНКЦИОНАЛЬНАЯ ПОЛНОТА</w:t>
            </w:r>
          </w:p>
        </w:tc>
      </w:tr>
      <w:tr w:rsidR="004B3B82" w:rsidRPr="000D5747" w14:paraId="431BF944" w14:textId="77777777" w:rsidTr="00CD3B05">
        <w:tblPrEx>
          <w:shd w:val="clear" w:color="auto" w:fill="auto"/>
        </w:tblPrEx>
        <w:trPr>
          <w:trHeight w:val="250"/>
          <w:jc w:val="right"/>
        </w:trPr>
        <w:tc>
          <w:tcPr>
            <w:tcW w:w="567" w:type="dxa"/>
            <w:tcBorders>
              <w:top w:val="single" w:sz="4" w:space="0" w:color="000000"/>
              <w:left w:val="single" w:sz="4" w:space="0" w:color="000000"/>
              <w:bottom w:val="single" w:sz="4" w:space="0" w:color="000000"/>
              <w:right w:val="single" w:sz="4" w:space="0" w:color="000000"/>
            </w:tcBorders>
            <w:shd w:val="clear" w:color="auto" w:fill="BFBFBF"/>
            <w:tcMar>
              <w:top w:w="80" w:type="dxa"/>
              <w:left w:w="80" w:type="dxa"/>
              <w:bottom w:w="80" w:type="dxa"/>
              <w:right w:w="80" w:type="dxa"/>
            </w:tcMar>
            <w:vAlign w:val="center"/>
          </w:tcPr>
          <w:p w14:paraId="08898678" w14:textId="77777777" w:rsidR="004B3B82" w:rsidRPr="000D5747" w:rsidRDefault="004B3B82" w:rsidP="00CD3B05">
            <w:pPr>
              <w:jc w:val="center"/>
              <w:rPr>
                <w:rFonts w:ascii="Garamond" w:hAnsi="Garamond"/>
              </w:rPr>
            </w:pPr>
            <w:r w:rsidRPr="000D5747">
              <w:rPr>
                <w:rFonts w:ascii="Garamond" w:hAnsi="Garamond"/>
              </w:rPr>
              <w:t>2</w:t>
            </w:r>
          </w:p>
        </w:tc>
        <w:tc>
          <w:tcPr>
            <w:tcW w:w="1568" w:type="dxa"/>
            <w:tcBorders>
              <w:top w:val="single" w:sz="4" w:space="0" w:color="000000"/>
              <w:left w:val="single" w:sz="4" w:space="0" w:color="000000"/>
              <w:bottom w:val="single" w:sz="4" w:space="0" w:color="000000"/>
              <w:right w:val="single" w:sz="4" w:space="0" w:color="000000"/>
            </w:tcBorders>
            <w:shd w:val="clear" w:color="auto" w:fill="BFBFBF"/>
            <w:tcMar>
              <w:top w:w="80" w:type="dxa"/>
              <w:left w:w="80" w:type="dxa"/>
              <w:bottom w:w="80" w:type="dxa"/>
              <w:right w:w="80" w:type="dxa"/>
            </w:tcMar>
            <w:vAlign w:val="center"/>
          </w:tcPr>
          <w:p w14:paraId="1EF84FE2" w14:textId="77777777" w:rsidR="004B3B82" w:rsidRPr="000D5747" w:rsidRDefault="004B3B82" w:rsidP="00CD3B05">
            <w:pPr>
              <w:jc w:val="center"/>
              <w:rPr>
                <w:rFonts w:ascii="Garamond" w:hAnsi="Garamond"/>
                <w:b/>
                <w:bCs/>
                <w:vertAlign w:val="subscript"/>
              </w:rPr>
            </w:pPr>
            <w:r w:rsidRPr="000D5747">
              <w:rPr>
                <w:rFonts w:ascii="Garamond" w:hAnsi="Garamond"/>
                <w:b/>
                <w:bCs/>
              </w:rPr>
              <w:t>П</w:t>
            </w:r>
            <w:r w:rsidRPr="000D5747">
              <w:rPr>
                <w:rFonts w:ascii="Garamond" w:hAnsi="Garamond"/>
                <w:b/>
                <w:bCs/>
                <w:vertAlign w:val="subscript"/>
              </w:rPr>
              <w:t xml:space="preserve">Ф2 </w:t>
            </w:r>
          </w:p>
          <w:p w14:paraId="371D63F9" w14:textId="77777777" w:rsidR="004B3B82" w:rsidRPr="000D5747" w:rsidRDefault="004B3B82" w:rsidP="00CD3B05">
            <w:pPr>
              <w:jc w:val="center"/>
              <w:rPr>
                <w:rFonts w:ascii="Garamond" w:hAnsi="Garamond"/>
              </w:rPr>
            </w:pPr>
            <w:r w:rsidRPr="000D5747">
              <w:rPr>
                <w:rFonts w:ascii="Garamond" w:hAnsi="Garamond"/>
                <w:bCs/>
              </w:rPr>
              <w:t>(пп. 2.1.</w:t>
            </w:r>
            <w:r w:rsidRPr="000D5747">
              <w:rPr>
                <w:rFonts w:ascii="Garamond" w:hAnsi="Garamond"/>
                <w:bCs/>
                <w:lang w:val="en-US"/>
              </w:rPr>
              <w:t>1</w:t>
            </w:r>
            <w:r w:rsidRPr="000D5747">
              <w:rPr>
                <w:rFonts w:ascii="Garamond" w:hAnsi="Garamond"/>
                <w:bCs/>
              </w:rPr>
              <w:t>, 3.1.1)</w:t>
            </w:r>
          </w:p>
        </w:tc>
        <w:tc>
          <w:tcPr>
            <w:tcW w:w="7789" w:type="dxa"/>
            <w:tcBorders>
              <w:top w:val="single" w:sz="4" w:space="0" w:color="000000"/>
              <w:left w:val="single" w:sz="4" w:space="0" w:color="000000"/>
              <w:bottom w:val="single" w:sz="4" w:space="0" w:color="000000"/>
              <w:right w:val="single" w:sz="4" w:space="0" w:color="000000"/>
            </w:tcBorders>
            <w:shd w:val="clear" w:color="auto" w:fill="BFBFBF"/>
            <w:tcMar>
              <w:top w:w="80" w:type="dxa"/>
              <w:left w:w="80" w:type="dxa"/>
              <w:bottom w:w="80" w:type="dxa"/>
              <w:right w:w="80" w:type="dxa"/>
            </w:tcMar>
          </w:tcPr>
          <w:p w14:paraId="7D911D3F" w14:textId="77777777" w:rsidR="004B3B82" w:rsidRPr="000D5747" w:rsidRDefault="004B3B82" w:rsidP="00CD3B05">
            <w:pPr>
              <w:rPr>
                <w:rFonts w:ascii="Garamond" w:hAnsi="Garamond"/>
              </w:rPr>
            </w:pPr>
            <w:r w:rsidRPr="000D5747">
              <w:rPr>
                <w:rFonts w:ascii="Garamond" w:hAnsi="Garamond"/>
                <w:b/>
                <w:bCs/>
              </w:rPr>
              <w:t>Измерение приращений электроэнергии</w:t>
            </w:r>
          </w:p>
        </w:tc>
      </w:tr>
      <w:tr w:rsidR="004B3B82" w:rsidRPr="000D5747" w14:paraId="59417B7D" w14:textId="77777777" w:rsidTr="00CD3B05">
        <w:tblPrEx>
          <w:shd w:val="clear" w:color="auto" w:fill="auto"/>
        </w:tblPrEx>
        <w:trPr>
          <w:trHeight w:val="250"/>
          <w:jc w:val="right"/>
        </w:trPr>
        <w:tc>
          <w:tcPr>
            <w:tcW w:w="567" w:type="dxa"/>
            <w:tcBorders>
              <w:top w:val="single" w:sz="4" w:space="0" w:color="000000"/>
              <w:left w:val="single" w:sz="4" w:space="0" w:color="000000"/>
              <w:bottom w:val="single" w:sz="4" w:space="0" w:color="000000"/>
              <w:right w:val="single" w:sz="4" w:space="0" w:color="000000"/>
            </w:tcBorders>
            <w:shd w:val="clear" w:color="auto" w:fill="FFFF00"/>
            <w:tcMar>
              <w:top w:w="80" w:type="dxa"/>
              <w:left w:w="80" w:type="dxa"/>
              <w:bottom w:w="80" w:type="dxa"/>
              <w:right w:w="80" w:type="dxa"/>
            </w:tcMar>
            <w:vAlign w:val="center"/>
          </w:tcPr>
          <w:p w14:paraId="23367774" w14:textId="77777777" w:rsidR="004B3B82" w:rsidRPr="000D5747" w:rsidRDefault="004B3B82" w:rsidP="00CD3B05">
            <w:pPr>
              <w:rPr>
                <w:rFonts w:ascii="Garamond" w:hAnsi="Garamond"/>
              </w:rPr>
            </w:pPr>
          </w:p>
        </w:tc>
        <w:tc>
          <w:tcPr>
            <w:tcW w:w="1568" w:type="dxa"/>
            <w:tcBorders>
              <w:top w:val="single" w:sz="4" w:space="0" w:color="000000"/>
              <w:left w:val="single" w:sz="4" w:space="0" w:color="000000"/>
              <w:bottom w:val="single" w:sz="4" w:space="0" w:color="000000"/>
              <w:right w:val="single" w:sz="4" w:space="0" w:color="000000"/>
            </w:tcBorders>
            <w:shd w:val="clear" w:color="auto" w:fill="FFFF00"/>
            <w:tcMar>
              <w:top w:w="80" w:type="dxa"/>
              <w:left w:w="80" w:type="dxa"/>
              <w:bottom w:w="80" w:type="dxa"/>
              <w:right w:w="80" w:type="dxa"/>
            </w:tcMar>
            <w:vAlign w:val="center"/>
          </w:tcPr>
          <w:p w14:paraId="7B915722" w14:textId="77777777" w:rsidR="004B3B82" w:rsidRPr="000D5747" w:rsidRDefault="004B3B82" w:rsidP="00CD3B05">
            <w:pPr>
              <w:jc w:val="center"/>
              <w:rPr>
                <w:rFonts w:ascii="Garamond" w:hAnsi="Garamond"/>
              </w:rPr>
            </w:pPr>
            <w:r w:rsidRPr="000D5747">
              <w:rPr>
                <w:rFonts w:ascii="Garamond" w:hAnsi="Garamond"/>
                <w:b/>
                <w:bCs/>
              </w:rPr>
              <w:t>Компоненты</w:t>
            </w:r>
          </w:p>
        </w:tc>
        <w:tc>
          <w:tcPr>
            <w:tcW w:w="7789" w:type="dxa"/>
            <w:tcBorders>
              <w:top w:val="single" w:sz="4" w:space="0" w:color="000000"/>
              <w:left w:val="single" w:sz="4" w:space="0" w:color="000000"/>
              <w:bottom w:val="single" w:sz="4" w:space="0" w:color="000000"/>
              <w:right w:val="single" w:sz="4" w:space="0" w:color="000000"/>
            </w:tcBorders>
            <w:shd w:val="clear" w:color="auto" w:fill="FFFF00"/>
            <w:tcMar>
              <w:top w:w="80" w:type="dxa"/>
              <w:left w:w="80" w:type="dxa"/>
              <w:bottom w:w="80" w:type="dxa"/>
              <w:right w:w="80" w:type="dxa"/>
            </w:tcMar>
          </w:tcPr>
          <w:p w14:paraId="11C8A3D2" w14:textId="77777777" w:rsidR="004B3B82" w:rsidRPr="000D5747" w:rsidRDefault="004B3B82" w:rsidP="00CD3B05">
            <w:pPr>
              <w:rPr>
                <w:rFonts w:ascii="Garamond" w:hAnsi="Garamond"/>
              </w:rPr>
            </w:pPr>
            <w:r w:rsidRPr="000D5747">
              <w:rPr>
                <w:rFonts w:ascii="Garamond" w:hAnsi="Garamond"/>
              </w:rPr>
              <w:t xml:space="preserve">ИИК, ИВКЭ, ИВК </w:t>
            </w:r>
          </w:p>
        </w:tc>
      </w:tr>
      <w:tr w:rsidR="004B3B82" w:rsidRPr="000D5747" w14:paraId="4E872414" w14:textId="77777777" w:rsidTr="00CD3B05">
        <w:tblPrEx>
          <w:shd w:val="clear" w:color="auto" w:fill="auto"/>
        </w:tblPrEx>
        <w:trPr>
          <w:trHeight w:val="970"/>
          <w:jc w:val="right"/>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02B6033" w14:textId="77777777" w:rsidR="004B3B82" w:rsidRPr="000D5747" w:rsidRDefault="004B3B82" w:rsidP="00CD3B05">
            <w:pPr>
              <w:rPr>
                <w:rFonts w:ascii="Garamond" w:hAnsi="Garamond"/>
              </w:rPr>
            </w:pPr>
          </w:p>
        </w:tc>
        <w:tc>
          <w:tcPr>
            <w:tcW w:w="15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B164CAF" w14:textId="77777777" w:rsidR="004B3B82" w:rsidRPr="000D5747" w:rsidRDefault="004B3B82" w:rsidP="00CD3B05">
            <w:pPr>
              <w:jc w:val="center"/>
              <w:rPr>
                <w:rFonts w:ascii="Garamond" w:hAnsi="Garamond"/>
              </w:rPr>
            </w:pPr>
            <w:r w:rsidRPr="000D5747">
              <w:rPr>
                <w:rFonts w:ascii="Garamond" w:hAnsi="Garamond"/>
                <w:b/>
                <w:bCs/>
              </w:rPr>
              <w:t>Действия</w:t>
            </w:r>
          </w:p>
        </w:tc>
        <w:tc>
          <w:tcPr>
            <w:tcW w:w="778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188AC58" w14:textId="77777777" w:rsidR="004B3B82" w:rsidRPr="00450EB3" w:rsidRDefault="004B3B82" w:rsidP="00CD3B05">
            <w:pPr>
              <w:pStyle w:val="ac"/>
              <w:numPr>
                <w:ilvl w:val="6"/>
                <w:numId w:val="38"/>
              </w:numPr>
              <w:pBdr>
                <w:top w:val="nil"/>
                <w:left w:val="nil"/>
                <w:bottom w:val="nil"/>
                <w:right w:val="nil"/>
                <w:between w:val="nil"/>
                <w:bar w:val="nil"/>
              </w:pBdr>
              <w:tabs>
                <w:tab w:val="left" w:pos="274"/>
              </w:tabs>
              <w:ind w:left="266" w:hanging="266"/>
              <w:jc w:val="both"/>
              <w:rPr>
                <w:rFonts w:ascii="Garamond" w:hAnsi="Garamond"/>
              </w:rPr>
            </w:pPr>
            <w:r w:rsidRPr="000D5747">
              <w:rPr>
                <w:rFonts w:ascii="Garamond" w:hAnsi="Garamond"/>
              </w:rPr>
              <w:t xml:space="preserve">В описании типа средства измерений АИИС КУЭ проверяется соответствие перечня функциональных </w:t>
            </w:r>
            <w:r w:rsidRPr="00450EB3">
              <w:rPr>
                <w:rFonts w:ascii="Garamond" w:hAnsi="Garamond"/>
              </w:rPr>
              <w:t>возможностей АИИС КУЭ Техническим требованиям ОРЭМ (пп. 2.1.1, 3.1.1 Приложения № 11.1 к Положению о реестре) в части возможности измерения 30-минутных приращений электрической энергии (получасовых интегрированных профилей мощности).</w:t>
            </w:r>
          </w:p>
          <w:p w14:paraId="73486C7B" w14:textId="77777777" w:rsidR="004B3B82" w:rsidRPr="007D0ADC" w:rsidRDefault="004B3B82" w:rsidP="00CD3B05">
            <w:pPr>
              <w:pStyle w:val="ac"/>
              <w:numPr>
                <w:ilvl w:val="6"/>
                <w:numId w:val="38"/>
              </w:numPr>
              <w:pBdr>
                <w:top w:val="nil"/>
                <w:left w:val="nil"/>
                <w:bottom w:val="nil"/>
                <w:right w:val="nil"/>
                <w:between w:val="nil"/>
                <w:bar w:val="nil"/>
              </w:pBdr>
              <w:tabs>
                <w:tab w:val="left" w:pos="274"/>
              </w:tabs>
              <w:ind w:left="266" w:hanging="266"/>
              <w:jc w:val="both"/>
              <w:rPr>
                <w:rFonts w:ascii="Garamond" w:hAnsi="Garamond"/>
              </w:rPr>
            </w:pPr>
            <w:r w:rsidRPr="00450EB3">
              <w:rPr>
                <w:rFonts w:ascii="Garamond" w:hAnsi="Garamond"/>
              </w:rPr>
              <w:t xml:space="preserve">Проверяется наличие действующего </w:t>
            </w:r>
            <w:r w:rsidRPr="007D0ADC">
              <w:rPr>
                <w:rFonts w:ascii="Garamond" w:hAnsi="Garamond"/>
              </w:rPr>
              <w:t xml:space="preserve">свидетельства о поверке АИИС КУЭ (свидетельства о поверке </w:t>
            </w:r>
            <w:r w:rsidRPr="00A60411">
              <w:rPr>
                <w:rFonts w:ascii="Garamond" w:hAnsi="Garamond"/>
                <w:highlight w:val="yellow"/>
              </w:rPr>
              <w:t>счетчика (-ов) электрической энергии</w:t>
            </w:r>
            <w:r w:rsidRPr="007D0ADC">
              <w:rPr>
                <w:rFonts w:ascii="Garamond" w:hAnsi="Garamond"/>
              </w:rPr>
              <w:t>).</w:t>
            </w:r>
          </w:p>
          <w:p w14:paraId="3C769396" w14:textId="77777777" w:rsidR="004B3B82" w:rsidRPr="007D0ADC" w:rsidRDefault="004B3B82" w:rsidP="00CD3B05">
            <w:pPr>
              <w:pStyle w:val="ac"/>
              <w:numPr>
                <w:ilvl w:val="6"/>
                <w:numId w:val="38"/>
              </w:numPr>
              <w:ind w:left="332" w:hanging="332"/>
              <w:rPr>
                <w:rFonts w:ascii="Garamond" w:hAnsi="Garamond"/>
              </w:rPr>
            </w:pPr>
            <w:r w:rsidRPr="007D0ADC">
              <w:rPr>
                <w:rFonts w:ascii="Garamond" w:hAnsi="Garamond"/>
              </w:rPr>
              <w:t>Для класса N проверяется наличие в паспортах-протоколах ИИК в составе АИИС КУЭ:</w:t>
            </w:r>
          </w:p>
          <w:p w14:paraId="2C08ABE6" w14:textId="77777777" w:rsidR="004B3B82" w:rsidRPr="00450EB3" w:rsidRDefault="004B3B82" w:rsidP="00101F7C">
            <w:pPr>
              <w:pStyle w:val="ac"/>
              <w:numPr>
                <w:ilvl w:val="0"/>
                <w:numId w:val="111"/>
              </w:numPr>
              <w:ind w:left="512" w:hanging="360"/>
              <w:jc w:val="both"/>
              <w:rPr>
                <w:rFonts w:ascii="Garamond" w:hAnsi="Garamond"/>
              </w:rPr>
            </w:pPr>
            <w:r w:rsidRPr="007D0ADC">
              <w:rPr>
                <w:rFonts w:ascii="Garamond" w:hAnsi="Garamond"/>
              </w:rPr>
              <w:t>данных об утверждении типа всех средств</w:t>
            </w:r>
            <w:r w:rsidRPr="00450EB3">
              <w:rPr>
                <w:rFonts w:ascii="Garamond" w:hAnsi="Garamond"/>
              </w:rPr>
              <w:t xml:space="preserve"> измерений в составе ИИК и указания в Описании типа средства измерений </w:t>
            </w:r>
            <w:r w:rsidRPr="00A60411">
              <w:rPr>
                <w:rFonts w:ascii="Garamond" w:hAnsi="Garamond"/>
                <w:highlight w:val="yellow"/>
              </w:rPr>
              <w:t>счетчиков электрической энергии</w:t>
            </w:r>
            <w:r w:rsidRPr="00450EB3">
              <w:rPr>
                <w:rFonts w:ascii="Garamond" w:hAnsi="Garamond"/>
              </w:rPr>
              <w:t xml:space="preserve"> возможности проведения измерений величин приращения электроэнергии согласно Техническим требованиям ОРЭМ (пп. 2.1.1, 3.1.1 Приложения № 11.1 к Положению о реестре);</w:t>
            </w:r>
          </w:p>
          <w:p w14:paraId="63B75831" w14:textId="77777777" w:rsidR="004B3B82" w:rsidRPr="00450EB3" w:rsidRDefault="004B3B82" w:rsidP="00101F7C">
            <w:pPr>
              <w:pStyle w:val="ac"/>
              <w:numPr>
                <w:ilvl w:val="0"/>
                <w:numId w:val="111"/>
              </w:numPr>
              <w:ind w:left="512" w:hanging="360"/>
              <w:jc w:val="both"/>
              <w:rPr>
                <w:rFonts w:ascii="Garamond" w:hAnsi="Garamond"/>
              </w:rPr>
            </w:pPr>
            <w:r w:rsidRPr="00450EB3">
              <w:rPr>
                <w:rFonts w:ascii="Garamond" w:hAnsi="Garamond"/>
              </w:rPr>
              <w:t xml:space="preserve">показателей фактической нагрузки измерительных трансформаторов согласно требованиям ГОСТ </w:t>
            </w:r>
            <w:r w:rsidRPr="00A60411">
              <w:rPr>
                <w:rFonts w:ascii="Garamond" w:hAnsi="Garamond"/>
                <w:highlight w:val="yellow"/>
              </w:rPr>
              <w:t>(приложение 1 к Приложению № 11.1 Положения о реестре)</w:t>
            </w:r>
            <w:r w:rsidRPr="00450EB3">
              <w:rPr>
                <w:rFonts w:ascii="Garamond" w:hAnsi="Garamond"/>
              </w:rPr>
              <w:t xml:space="preserve"> (требования данного пункта применяются только к аналоговым измерительным трансформаторам);</w:t>
            </w:r>
          </w:p>
          <w:p w14:paraId="0BBF2E24" w14:textId="77777777" w:rsidR="004B3B82" w:rsidRDefault="004B3B82" w:rsidP="00101F7C">
            <w:pPr>
              <w:pStyle w:val="ac"/>
              <w:numPr>
                <w:ilvl w:val="0"/>
                <w:numId w:val="111"/>
              </w:numPr>
              <w:ind w:left="512" w:hanging="360"/>
              <w:jc w:val="both"/>
              <w:rPr>
                <w:rFonts w:ascii="Garamond" w:hAnsi="Garamond"/>
              </w:rPr>
            </w:pPr>
            <w:r w:rsidRPr="00450EB3">
              <w:rPr>
                <w:rFonts w:ascii="Garamond" w:hAnsi="Garamond"/>
              </w:rPr>
              <w:t xml:space="preserve">величины падения напряжения в цепи «трансформатор напряжения – </w:t>
            </w:r>
            <w:r w:rsidRPr="00A60411">
              <w:rPr>
                <w:rFonts w:ascii="Garamond" w:hAnsi="Garamond"/>
                <w:highlight w:val="yellow"/>
              </w:rPr>
              <w:t>электросчетчик</w:t>
            </w:r>
            <w:r w:rsidRPr="00450EB3">
              <w:rPr>
                <w:rFonts w:ascii="Garamond" w:hAnsi="Garamond"/>
              </w:rPr>
              <w:t>» на соответствие Техническим требованиям ОРЭМ (п. 3.3.1 Приложения № 11.1 к Положению о реестре) (требования</w:t>
            </w:r>
            <w:r w:rsidRPr="00230AE0">
              <w:rPr>
                <w:rFonts w:ascii="Garamond" w:hAnsi="Garamond"/>
              </w:rPr>
              <w:t xml:space="preserve"> данного пункта применяются только к вторичным аналоговым измерительным цепям).</w:t>
            </w:r>
          </w:p>
          <w:p w14:paraId="4059C27E" w14:textId="77777777" w:rsidR="004B3B82" w:rsidRPr="000D5747" w:rsidRDefault="004B3B82" w:rsidP="00CD3B05">
            <w:pPr>
              <w:pStyle w:val="ac"/>
              <w:numPr>
                <w:ilvl w:val="6"/>
                <w:numId w:val="38"/>
              </w:numPr>
              <w:ind w:left="332" w:hanging="332"/>
              <w:jc w:val="both"/>
              <w:rPr>
                <w:rFonts w:ascii="Garamond" w:hAnsi="Garamond"/>
              </w:rPr>
            </w:pPr>
            <w:r w:rsidRPr="007D0ADC">
              <w:rPr>
                <w:rFonts w:ascii="Garamond" w:hAnsi="Garamond"/>
              </w:rPr>
              <w:t xml:space="preserve">В случаях, предусмотренных п. 1.2.1 настоящего Порядка, проверяется наличие в актах допуска приборов учета в эксплуатацию или паспортах-протоколах данных об утвержденном типе всех средств измерений в составе ИИК и указания в соответствующих описаниях типа </w:t>
            </w:r>
            <w:r w:rsidRPr="00A60411">
              <w:rPr>
                <w:rFonts w:ascii="Garamond" w:hAnsi="Garamond"/>
                <w:highlight w:val="yellow"/>
              </w:rPr>
              <w:t>счетчиков электрической энергии</w:t>
            </w:r>
            <w:r w:rsidRPr="007D0ADC">
              <w:rPr>
                <w:rFonts w:ascii="Garamond" w:hAnsi="Garamond"/>
              </w:rPr>
              <w:t xml:space="preserve"> возможности проведения измерений величин приращения электроэнергии согласно Техническим требованиям ОРЭМ (пп. 2.1.1, 3.1.1 Приложения № 11.1 к Положению о реестре).</w:t>
            </w:r>
          </w:p>
        </w:tc>
      </w:tr>
      <w:tr w:rsidR="004B3B82" w:rsidRPr="000D5747" w14:paraId="28914400" w14:textId="77777777" w:rsidTr="00CD3B05">
        <w:tblPrEx>
          <w:shd w:val="clear" w:color="auto" w:fill="auto"/>
        </w:tblPrEx>
        <w:trPr>
          <w:trHeight w:val="970"/>
          <w:jc w:val="right"/>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17FF7F8" w14:textId="77777777" w:rsidR="004B3B82" w:rsidRPr="000D5747" w:rsidRDefault="004B3B82" w:rsidP="00CD3B05">
            <w:pPr>
              <w:rPr>
                <w:rFonts w:ascii="Garamond" w:hAnsi="Garamond"/>
              </w:rPr>
            </w:pPr>
          </w:p>
        </w:tc>
        <w:tc>
          <w:tcPr>
            <w:tcW w:w="15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558C3BB" w14:textId="77777777" w:rsidR="004B3B82" w:rsidRPr="000D5747" w:rsidRDefault="004B3B82" w:rsidP="00CD3B05">
            <w:pPr>
              <w:jc w:val="center"/>
              <w:rPr>
                <w:rFonts w:ascii="Garamond" w:hAnsi="Garamond"/>
              </w:rPr>
            </w:pPr>
            <w:r w:rsidRPr="000D5747">
              <w:rPr>
                <w:rFonts w:ascii="Garamond" w:hAnsi="Garamond"/>
                <w:b/>
                <w:bCs/>
              </w:rPr>
              <w:t>Критерии</w:t>
            </w:r>
          </w:p>
        </w:tc>
        <w:tc>
          <w:tcPr>
            <w:tcW w:w="778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959A039" w14:textId="77777777" w:rsidR="004B3B82" w:rsidRPr="007D0ADC" w:rsidRDefault="004B3B82" w:rsidP="00101F7C">
            <w:pPr>
              <w:pStyle w:val="ac"/>
              <w:numPr>
                <w:ilvl w:val="1"/>
                <w:numId w:val="111"/>
              </w:numPr>
              <w:pBdr>
                <w:top w:val="nil"/>
                <w:left w:val="nil"/>
                <w:bottom w:val="nil"/>
                <w:right w:val="nil"/>
                <w:between w:val="nil"/>
                <w:bar w:val="nil"/>
              </w:pBdr>
              <w:tabs>
                <w:tab w:val="left" w:pos="274"/>
              </w:tabs>
              <w:ind w:left="332" w:hanging="332"/>
              <w:jc w:val="both"/>
              <w:rPr>
                <w:rFonts w:ascii="Garamond" w:hAnsi="Garamond"/>
              </w:rPr>
            </w:pPr>
            <w:r w:rsidRPr="000D5747">
              <w:rPr>
                <w:rFonts w:ascii="Garamond" w:hAnsi="Garamond"/>
              </w:rPr>
              <w:t xml:space="preserve"> Описание типа средства измерений АИИС КУЭ подтверждает возможность выполнения АИИС КУЭ измерений 30-минутных приращений электрической энергии согласно </w:t>
            </w:r>
            <w:r w:rsidRPr="007D0ADC">
              <w:rPr>
                <w:rFonts w:ascii="Garamond" w:hAnsi="Garamond"/>
              </w:rPr>
              <w:t>Техническим требованиям ОРЭМ.</w:t>
            </w:r>
          </w:p>
          <w:p w14:paraId="4E646287" w14:textId="77777777" w:rsidR="004B3B82" w:rsidRPr="007D0ADC" w:rsidRDefault="004B3B82" w:rsidP="00101F7C">
            <w:pPr>
              <w:pStyle w:val="ac"/>
              <w:numPr>
                <w:ilvl w:val="1"/>
                <w:numId w:val="111"/>
              </w:numPr>
              <w:pBdr>
                <w:top w:val="nil"/>
                <w:left w:val="nil"/>
                <w:bottom w:val="nil"/>
                <w:right w:val="nil"/>
                <w:between w:val="nil"/>
                <w:bar w:val="nil"/>
              </w:pBdr>
              <w:tabs>
                <w:tab w:val="left" w:pos="274"/>
              </w:tabs>
              <w:ind w:left="332" w:hanging="332"/>
              <w:jc w:val="both"/>
              <w:rPr>
                <w:rFonts w:ascii="Garamond" w:hAnsi="Garamond"/>
              </w:rPr>
            </w:pPr>
            <w:r w:rsidRPr="007D0ADC">
              <w:rPr>
                <w:rFonts w:ascii="Garamond" w:hAnsi="Garamond"/>
              </w:rPr>
              <w:t xml:space="preserve">Наличие действующего свидетельства о поверке АИИС КУЭ (свидетельства о поверке </w:t>
            </w:r>
            <w:r w:rsidRPr="00A60411">
              <w:rPr>
                <w:rFonts w:ascii="Garamond" w:hAnsi="Garamond"/>
                <w:highlight w:val="yellow"/>
              </w:rPr>
              <w:t>счетчика (-ов) электрической энергии</w:t>
            </w:r>
            <w:r w:rsidRPr="007D0ADC">
              <w:rPr>
                <w:rFonts w:ascii="Garamond" w:hAnsi="Garamond"/>
              </w:rPr>
              <w:t>).</w:t>
            </w:r>
          </w:p>
          <w:p w14:paraId="7C24BB3E" w14:textId="77777777" w:rsidR="004B3B82" w:rsidRPr="007D0ADC" w:rsidRDefault="004B3B82" w:rsidP="00101F7C">
            <w:pPr>
              <w:pStyle w:val="ac"/>
              <w:numPr>
                <w:ilvl w:val="1"/>
                <w:numId w:val="111"/>
              </w:numPr>
              <w:pBdr>
                <w:top w:val="nil"/>
                <w:left w:val="nil"/>
                <w:bottom w:val="nil"/>
                <w:right w:val="nil"/>
                <w:between w:val="nil"/>
                <w:bar w:val="nil"/>
              </w:pBdr>
              <w:tabs>
                <w:tab w:val="left" w:pos="274"/>
              </w:tabs>
              <w:ind w:left="332" w:hanging="332"/>
              <w:jc w:val="both"/>
              <w:rPr>
                <w:rFonts w:ascii="Garamond" w:hAnsi="Garamond"/>
              </w:rPr>
            </w:pPr>
            <w:r w:rsidRPr="007D0ADC">
              <w:rPr>
                <w:rFonts w:ascii="Garamond" w:hAnsi="Garamond"/>
              </w:rPr>
              <w:t>Для класса N паспорта-протоколы на ИИК в составе АИИС КУЭ содержат данные:</w:t>
            </w:r>
          </w:p>
          <w:p w14:paraId="28303070" w14:textId="77777777" w:rsidR="004B3B82" w:rsidRPr="000D5747" w:rsidRDefault="004B3B82" w:rsidP="00101F7C">
            <w:pPr>
              <w:numPr>
                <w:ilvl w:val="0"/>
                <w:numId w:val="112"/>
              </w:numPr>
              <w:pBdr>
                <w:top w:val="nil"/>
                <w:left w:val="nil"/>
                <w:bottom w:val="nil"/>
                <w:right w:val="nil"/>
                <w:between w:val="nil"/>
                <w:bar w:val="nil"/>
              </w:pBdr>
              <w:tabs>
                <w:tab w:val="left" w:pos="274"/>
              </w:tabs>
              <w:suppressAutoHyphens w:val="0"/>
              <w:jc w:val="both"/>
              <w:rPr>
                <w:rFonts w:ascii="Garamond" w:hAnsi="Garamond"/>
              </w:rPr>
            </w:pPr>
            <w:r w:rsidRPr="007D0ADC">
              <w:rPr>
                <w:rFonts w:ascii="Garamond" w:hAnsi="Garamond"/>
              </w:rPr>
              <w:t>об утверждении типа всех средств измерений в составе ИИК, Описание типа средства измерений</w:t>
            </w:r>
            <w:r w:rsidRPr="000D5747">
              <w:rPr>
                <w:rFonts w:ascii="Garamond" w:hAnsi="Garamond"/>
              </w:rPr>
              <w:t xml:space="preserve"> </w:t>
            </w:r>
            <w:r w:rsidRPr="00A60411">
              <w:rPr>
                <w:rFonts w:ascii="Garamond" w:hAnsi="Garamond"/>
                <w:highlight w:val="yellow"/>
              </w:rPr>
              <w:t>счетчиков электрической энергии</w:t>
            </w:r>
            <w:r w:rsidRPr="000D5747">
              <w:rPr>
                <w:rFonts w:ascii="Garamond" w:hAnsi="Garamond"/>
              </w:rPr>
              <w:t xml:space="preserve"> содержит сведения о проведении измерений величин приращения электроэнергии согласно Техническим требованиям ОРЭМ;</w:t>
            </w:r>
          </w:p>
          <w:p w14:paraId="5BBEF65A" w14:textId="77777777" w:rsidR="004B3B82" w:rsidRPr="000D5747" w:rsidRDefault="004B3B82" w:rsidP="00101F7C">
            <w:pPr>
              <w:numPr>
                <w:ilvl w:val="0"/>
                <w:numId w:val="112"/>
              </w:numPr>
              <w:pBdr>
                <w:top w:val="nil"/>
                <w:left w:val="nil"/>
                <w:bottom w:val="nil"/>
                <w:right w:val="nil"/>
                <w:between w:val="nil"/>
                <w:bar w:val="nil"/>
              </w:pBdr>
              <w:tabs>
                <w:tab w:val="left" w:pos="274"/>
              </w:tabs>
              <w:suppressAutoHyphens w:val="0"/>
              <w:jc w:val="both"/>
              <w:rPr>
                <w:rFonts w:ascii="Garamond" w:hAnsi="Garamond"/>
              </w:rPr>
            </w:pPr>
            <w:r w:rsidRPr="000D5747">
              <w:rPr>
                <w:rFonts w:ascii="Garamond" w:hAnsi="Garamond"/>
              </w:rPr>
              <w:t>о показателях фактической нагрузки измерительных трансформаторов, соответствующих требованиям ГОСТ;</w:t>
            </w:r>
          </w:p>
          <w:p w14:paraId="47FDC757" w14:textId="77777777" w:rsidR="004B3B82" w:rsidRDefault="004B3B82" w:rsidP="00101F7C">
            <w:pPr>
              <w:numPr>
                <w:ilvl w:val="0"/>
                <w:numId w:val="112"/>
              </w:numPr>
              <w:pBdr>
                <w:top w:val="nil"/>
                <w:left w:val="nil"/>
                <w:bottom w:val="nil"/>
                <w:right w:val="nil"/>
                <w:between w:val="nil"/>
                <w:bar w:val="nil"/>
              </w:pBdr>
              <w:tabs>
                <w:tab w:val="left" w:pos="274"/>
              </w:tabs>
              <w:suppressAutoHyphens w:val="0"/>
              <w:jc w:val="both"/>
              <w:rPr>
                <w:rFonts w:ascii="Garamond" w:hAnsi="Garamond"/>
              </w:rPr>
            </w:pPr>
            <w:r w:rsidRPr="000D5747">
              <w:rPr>
                <w:rFonts w:ascii="Garamond" w:hAnsi="Garamond"/>
              </w:rPr>
              <w:lastRenderedPageBreak/>
              <w:t xml:space="preserve">о величине падения напряжения в цепи «трансформатор напряжения – </w:t>
            </w:r>
            <w:r w:rsidRPr="00A60411">
              <w:rPr>
                <w:rFonts w:ascii="Garamond" w:hAnsi="Garamond"/>
                <w:highlight w:val="yellow"/>
              </w:rPr>
              <w:t>электросчетчик</w:t>
            </w:r>
            <w:r w:rsidRPr="000D5747">
              <w:rPr>
                <w:rFonts w:ascii="Garamond" w:hAnsi="Garamond"/>
              </w:rPr>
              <w:t>», соответствующей Техническим требованиям ОРЭМ.</w:t>
            </w:r>
          </w:p>
          <w:p w14:paraId="6DD53CFA" w14:textId="77777777" w:rsidR="004B3B82" w:rsidRPr="000D5747" w:rsidRDefault="004B3B82" w:rsidP="00101F7C">
            <w:pPr>
              <w:pStyle w:val="ac"/>
              <w:numPr>
                <w:ilvl w:val="1"/>
                <w:numId w:val="111"/>
              </w:numPr>
              <w:pBdr>
                <w:top w:val="nil"/>
                <w:left w:val="nil"/>
                <w:bottom w:val="nil"/>
                <w:right w:val="nil"/>
                <w:between w:val="nil"/>
                <w:bar w:val="nil"/>
              </w:pBdr>
              <w:tabs>
                <w:tab w:val="left" w:pos="274"/>
              </w:tabs>
              <w:ind w:left="332" w:hanging="332"/>
              <w:jc w:val="both"/>
              <w:rPr>
                <w:rFonts w:ascii="Garamond" w:hAnsi="Garamond"/>
              </w:rPr>
            </w:pPr>
            <w:r w:rsidRPr="007D0ADC">
              <w:rPr>
                <w:rFonts w:ascii="Garamond" w:hAnsi="Garamond"/>
              </w:rPr>
              <w:t xml:space="preserve">В случаях, предусмотренных п. 1.2.1 настоящего Порядка, акты допуска приборов учета в эксплуатацию или паспорта-протоколы содержат данные об утвержденном типе всех средств измерений в составе ИИК и при этом в соответствующих описаниях типа </w:t>
            </w:r>
            <w:r w:rsidRPr="00A60411">
              <w:rPr>
                <w:rFonts w:ascii="Garamond" w:hAnsi="Garamond"/>
                <w:highlight w:val="yellow"/>
              </w:rPr>
              <w:t>счетчиков электрической энергии</w:t>
            </w:r>
            <w:r w:rsidRPr="007D0ADC">
              <w:rPr>
                <w:rFonts w:ascii="Garamond" w:hAnsi="Garamond"/>
              </w:rPr>
              <w:t xml:space="preserve"> указана возможность проведения измерений величин приращения электроэнергии согласно Техническим требованиям ОРЭМ (пп. 2.1.1, 3.1.1 Приложения № 11.1 к Положению о реестре).</w:t>
            </w:r>
          </w:p>
        </w:tc>
      </w:tr>
      <w:tr w:rsidR="004B3B82" w:rsidRPr="000D5747" w14:paraId="7ACE6064" w14:textId="77777777" w:rsidTr="00CD3B05">
        <w:tblPrEx>
          <w:shd w:val="clear" w:color="auto" w:fill="auto"/>
        </w:tblPrEx>
        <w:trPr>
          <w:trHeight w:val="322"/>
          <w:jc w:val="right"/>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7EA6D2B" w14:textId="77777777" w:rsidR="004B3B82" w:rsidRPr="000D5747" w:rsidRDefault="004B3B82" w:rsidP="00CD3B05">
            <w:pPr>
              <w:rPr>
                <w:rFonts w:ascii="Garamond" w:hAnsi="Garamond"/>
              </w:rPr>
            </w:pPr>
          </w:p>
        </w:tc>
        <w:tc>
          <w:tcPr>
            <w:tcW w:w="15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76AFB2A" w14:textId="77777777" w:rsidR="004B3B82" w:rsidRPr="000D5747" w:rsidRDefault="004B3B82" w:rsidP="00CD3B05">
            <w:pPr>
              <w:jc w:val="center"/>
              <w:rPr>
                <w:rFonts w:ascii="Garamond" w:hAnsi="Garamond"/>
              </w:rPr>
            </w:pPr>
            <w:r w:rsidRPr="000D5747">
              <w:rPr>
                <w:rFonts w:ascii="Garamond" w:hAnsi="Garamond"/>
                <w:b/>
                <w:bCs/>
              </w:rPr>
              <w:t>Эксперты</w:t>
            </w:r>
          </w:p>
        </w:tc>
        <w:tc>
          <w:tcPr>
            <w:tcW w:w="778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E324D5A" w14:textId="77777777" w:rsidR="004B3B82" w:rsidRPr="000D5747" w:rsidRDefault="004B3B82" w:rsidP="00CD3B05">
            <w:pPr>
              <w:pStyle w:val="ac"/>
              <w:tabs>
                <w:tab w:val="left" w:pos="1440"/>
              </w:tabs>
              <w:ind w:left="0"/>
              <w:jc w:val="both"/>
              <w:rPr>
                <w:rFonts w:ascii="Garamond" w:eastAsia="Garamond" w:hAnsi="Garamond" w:cs="Garamond"/>
              </w:rPr>
            </w:pPr>
            <w:r w:rsidRPr="000D5747">
              <w:rPr>
                <w:rFonts w:ascii="Garamond" w:hAnsi="Garamond"/>
              </w:rPr>
              <w:t xml:space="preserve">Представители КО </w:t>
            </w:r>
          </w:p>
        </w:tc>
      </w:tr>
      <w:tr w:rsidR="004B3B82" w:rsidRPr="000D5747" w14:paraId="34071077" w14:textId="77777777" w:rsidTr="00CD3B05">
        <w:tblPrEx>
          <w:shd w:val="clear" w:color="auto" w:fill="auto"/>
        </w:tblPrEx>
        <w:trPr>
          <w:trHeight w:val="250"/>
          <w:jc w:val="right"/>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A54CF57" w14:textId="77777777" w:rsidR="004B3B82" w:rsidRPr="000D5747" w:rsidRDefault="004B3B82" w:rsidP="00CD3B05">
            <w:pPr>
              <w:rPr>
                <w:rFonts w:ascii="Garamond" w:hAnsi="Garamond"/>
              </w:rPr>
            </w:pPr>
          </w:p>
        </w:tc>
        <w:tc>
          <w:tcPr>
            <w:tcW w:w="15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2A335EB" w14:textId="77777777" w:rsidR="004B3B82" w:rsidRPr="000D5747" w:rsidRDefault="004B3B82" w:rsidP="00CD3B05">
            <w:pPr>
              <w:jc w:val="center"/>
              <w:rPr>
                <w:rFonts w:ascii="Garamond" w:hAnsi="Garamond"/>
              </w:rPr>
            </w:pPr>
            <w:r w:rsidRPr="000D5747">
              <w:rPr>
                <w:rFonts w:ascii="Garamond" w:hAnsi="Garamond"/>
                <w:b/>
                <w:bCs/>
              </w:rPr>
              <w:t>Документация</w:t>
            </w:r>
          </w:p>
        </w:tc>
        <w:tc>
          <w:tcPr>
            <w:tcW w:w="778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A582EC5" w14:textId="77777777" w:rsidR="004B3B82" w:rsidRPr="00072687" w:rsidRDefault="004B3B82" w:rsidP="00CD3B05">
            <w:pPr>
              <w:rPr>
                <w:rFonts w:ascii="Garamond" w:hAnsi="Garamond"/>
              </w:rPr>
            </w:pPr>
            <w:r w:rsidRPr="007945A6">
              <w:rPr>
                <w:rFonts w:ascii="Garamond" w:hAnsi="Garamond"/>
                <w:highlight w:val="yellow"/>
              </w:rPr>
              <w:t>Д</w:t>
            </w:r>
            <w:r w:rsidRPr="00072687">
              <w:rPr>
                <w:rFonts w:ascii="Garamond" w:hAnsi="Garamond"/>
              </w:rPr>
              <w:t>окументация в соответствии с таблицей 2 приложения 1 к настоящему Порядку, представленная для установления соответствия АИИС КУЭ</w:t>
            </w:r>
          </w:p>
        </w:tc>
      </w:tr>
      <w:tr w:rsidR="004B3B82" w:rsidRPr="000D5747" w14:paraId="78D83A60" w14:textId="77777777" w:rsidTr="00CD3B05">
        <w:tblPrEx>
          <w:shd w:val="clear" w:color="auto" w:fill="auto"/>
        </w:tblPrEx>
        <w:trPr>
          <w:trHeight w:val="250"/>
          <w:jc w:val="right"/>
        </w:trPr>
        <w:tc>
          <w:tcPr>
            <w:tcW w:w="567" w:type="dxa"/>
            <w:tcBorders>
              <w:top w:val="single" w:sz="4" w:space="0" w:color="000000"/>
              <w:left w:val="single" w:sz="4" w:space="0" w:color="000000"/>
              <w:bottom w:val="single" w:sz="4" w:space="0" w:color="000000"/>
              <w:right w:val="single" w:sz="4" w:space="0" w:color="000000"/>
            </w:tcBorders>
            <w:shd w:val="clear" w:color="auto" w:fill="BFBFBF"/>
            <w:tcMar>
              <w:top w:w="80" w:type="dxa"/>
              <w:left w:w="80" w:type="dxa"/>
              <w:bottom w:w="80" w:type="dxa"/>
              <w:right w:w="80" w:type="dxa"/>
            </w:tcMar>
            <w:vAlign w:val="center"/>
          </w:tcPr>
          <w:p w14:paraId="0E0F67FF" w14:textId="77777777" w:rsidR="004B3B82" w:rsidRPr="000D5747" w:rsidRDefault="004B3B82" w:rsidP="00CD3B05">
            <w:pPr>
              <w:jc w:val="center"/>
              <w:rPr>
                <w:rFonts w:ascii="Garamond" w:hAnsi="Garamond"/>
              </w:rPr>
            </w:pPr>
            <w:r w:rsidRPr="000D5747">
              <w:rPr>
                <w:rFonts w:ascii="Garamond" w:hAnsi="Garamond"/>
              </w:rPr>
              <w:t>3</w:t>
            </w:r>
          </w:p>
        </w:tc>
        <w:tc>
          <w:tcPr>
            <w:tcW w:w="1568" w:type="dxa"/>
            <w:tcBorders>
              <w:top w:val="single" w:sz="4" w:space="0" w:color="000000"/>
              <w:left w:val="single" w:sz="4" w:space="0" w:color="000000"/>
              <w:bottom w:val="single" w:sz="4" w:space="0" w:color="000000"/>
              <w:right w:val="single" w:sz="4" w:space="0" w:color="000000"/>
            </w:tcBorders>
            <w:shd w:val="clear" w:color="auto" w:fill="BFBFBF"/>
            <w:tcMar>
              <w:top w:w="80" w:type="dxa"/>
              <w:left w:w="80" w:type="dxa"/>
              <w:bottom w:w="80" w:type="dxa"/>
              <w:right w:w="80" w:type="dxa"/>
            </w:tcMar>
            <w:vAlign w:val="center"/>
          </w:tcPr>
          <w:p w14:paraId="00154F0C" w14:textId="77777777" w:rsidR="004B3B82" w:rsidRPr="000D5747" w:rsidRDefault="004B3B82" w:rsidP="00CD3B05">
            <w:pPr>
              <w:jc w:val="center"/>
              <w:rPr>
                <w:rFonts w:ascii="Garamond" w:hAnsi="Garamond"/>
                <w:b/>
                <w:bCs/>
                <w:vertAlign w:val="subscript"/>
              </w:rPr>
            </w:pPr>
            <w:r w:rsidRPr="000D5747">
              <w:rPr>
                <w:rFonts w:ascii="Garamond" w:hAnsi="Garamond"/>
                <w:b/>
                <w:bCs/>
              </w:rPr>
              <w:t>П</w:t>
            </w:r>
            <w:r w:rsidRPr="000D5747">
              <w:rPr>
                <w:rFonts w:ascii="Garamond" w:hAnsi="Garamond"/>
                <w:b/>
                <w:bCs/>
                <w:vertAlign w:val="subscript"/>
              </w:rPr>
              <w:t xml:space="preserve">Ф4 </w:t>
            </w:r>
          </w:p>
          <w:p w14:paraId="4C8635AF" w14:textId="77777777" w:rsidR="004B3B82" w:rsidRPr="000D5747" w:rsidRDefault="004B3B82" w:rsidP="00CD3B05">
            <w:pPr>
              <w:jc w:val="center"/>
              <w:rPr>
                <w:rFonts w:ascii="Garamond" w:hAnsi="Garamond"/>
              </w:rPr>
            </w:pPr>
            <w:r w:rsidRPr="000D5747">
              <w:rPr>
                <w:rFonts w:ascii="Garamond" w:hAnsi="Garamond"/>
                <w:bCs/>
              </w:rPr>
              <w:t>(п. 2.3)</w:t>
            </w:r>
          </w:p>
        </w:tc>
        <w:tc>
          <w:tcPr>
            <w:tcW w:w="7789" w:type="dxa"/>
            <w:tcBorders>
              <w:top w:val="single" w:sz="4" w:space="0" w:color="000000"/>
              <w:left w:val="single" w:sz="4" w:space="0" w:color="000000"/>
              <w:bottom w:val="single" w:sz="4" w:space="0" w:color="000000"/>
              <w:right w:val="single" w:sz="4" w:space="0" w:color="000000"/>
            </w:tcBorders>
            <w:shd w:val="clear" w:color="auto" w:fill="BFBFBF"/>
            <w:tcMar>
              <w:top w:w="80" w:type="dxa"/>
              <w:left w:w="80" w:type="dxa"/>
              <w:bottom w:w="80" w:type="dxa"/>
              <w:right w:w="80" w:type="dxa"/>
            </w:tcMar>
          </w:tcPr>
          <w:p w14:paraId="53C64880" w14:textId="77777777" w:rsidR="004B3B82" w:rsidRPr="000D5747" w:rsidRDefault="004B3B82" w:rsidP="00CD3B05">
            <w:pPr>
              <w:rPr>
                <w:rFonts w:ascii="Garamond" w:hAnsi="Garamond"/>
              </w:rPr>
            </w:pPr>
            <w:r w:rsidRPr="000D5747">
              <w:rPr>
                <w:rFonts w:ascii="Garamond" w:hAnsi="Garamond"/>
                <w:b/>
                <w:bCs/>
              </w:rPr>
              <w:t>Измерение времени и интервалов времени</w:t>
            </w:r>
          </w:p>
        </w:tc>
      </w:tr>
      <w:tr w:rsidR="004B3B82" w:rsidRPr="000D5747" w14:paraId="1AD7822C" w14:textId="77777777" w:rsidTr="00CD3B05">
        <w:tblPrEx>
          <w:shd w:val="clear" w:color="auto" w:fill="auto"/>
        </w:tblPrEx>
        <w:trPr>
          <w:trHeight w:val="207"/>
          <w:jc w:val="right"/>
        </w:trPr>
        <w:tc>
          <w:tcPr>
            <w:tcW w:w="567" w:type="dxa"/>
            <w:tcBorders>
              <w:top w:val="single" w:sz="4" w:space="0" w:color="000000"/>
              <w:left w:val="single" w:sz="4" w:space="0" w:color="000000"/>
              <w:bottom w:val="single" w:sz="4" w:space="0" w:color="000000"/>
              <w:right w:val="single" w:sz="4" w:space="0" w:color="000000"/>
            </w:tcBorders>
            <w:shd w:val="clear" w:color="auto" w:fill="FFFF00"/>
            <w:tcMar>
              <w:top w:w="80" w:type="dxa"/>
              <w:left w:w="80" w:type="dxa"/>
              <w:bottom w:w="80" w:type="dxa"/>
              <w:right w:w="80" w:type="dxa"/>
            </w:tcMar>
            <w:vAlign w:val="center"/>
          </w:tcPr>
          <w:p w14:paraId="1A4479F3" w14:textId="77777777" w:rsidR="004B3B82" w:rsidRPr="000D5747" w:rsidRDefault="004B3B82" w:rsidP="00CD3B05">
            <w:pPr>
              <w:rPr>
                <w:rFonts w:ascii="Garamond" w:hAnsi="Garamond"/>
              </w:rPr>
            </w:pPr>
          </w:p>
        </w:tc>
        <w:tc>
          <w:tcPr>
            <w:tcW w:w="1568" w:type="dxa"/>
            <w:tcBorders>
              <w:top w:val="single" w:sz="4" w:space="0" w:color="000000"/>
              <w:left w:val="single" w:sz="4" w:space="0" w:color="000000"/>
              <w:bottom w:val="single" w:sz="4" w:space="0" w:color="000000"/>
              <w:right w:val="single" w:sz="4" w:space="0" w:color="000000"/>
            </w:tcBorders>
            <w:shd w:val="clear" w:color="auto" w:fill="FFFF00"/>
            <w:tcMar>
              <w:top w:w="80" w:type="dxa"/>
              <w:left w:w="80" w:type="dxa"/>
              <w:bottom w:w="80" w:type="dxa"/>
              <w:right w:w="80" w:type="dxa"/>
            </w:tcMar>
            <w:vAlign w:val="center"/>
          </w:tcPr>
          <w:p w14:paraId="50072988" w14:textId="77777777" w:rsidR="004B3B82" w:rsidRPr="000D5747" w:rsidRDefault="004B3B82" w:rsidP="00CD3B05">
            <w:pPr>
              <w:jc w:val="center"/>
              <w:rPr>
                <w:rFonts w:ascii="Garamond" w:hAnsi="Garamond"/>
              </w:rPr>
            </w:pPr>
            <w:r w:rsidRPr="000D5747">
              <w:rPr>
                <w:rFonts w:ascii="Garamond" w:hAnsi="Garamond"/>
                <w:b/>
                <w:bCs/>
              </w:rPr>
              <w:t>Компоненты</w:t>
            </w:r>
          </w:p>
        </w:tc>
        <w:tc>
          <w:tcPr>
            <w:tcW w:w="7789" w:type="dxa"/>
            <w:tcBorders>
              <w:top w:val="single" w:sz="4" w:space="0" w:color="000000"/>
              <w:left w:val="single" w:sz="4" w:space="0" w:color="000000"/>
              <w:bottom w:val="single" w:sz="4" w:space="0" w:color="000000"/>
              <w:right w:val="single" w:sz="4" w:space="0" w:color="000000"/>
            </w:tcBorders>
            <w:shd w:val="clear" w:color="auto" w:fill="FFFF00"/>
            <w:tcMar>
              <w:top w:w="80" w:type="dxa"/>
              <w:left w:w="80" w:type="dxa"/>
              <w:bottom w:w="80" w:type="dxa"/>
              <w:right w:w="80" w:type="dxa"/>
            </w:tcMar>
          </w:tcPr>
          <w:p w14:paraId="3DD12078" w14:textId="77777777" w:rsidR="004B3B82" w:rsidRPr="000D5747" w:rsidRDefault="004B3B82" w:rsidP="00CD3B05">
            <w:pPr>
              <w:rPr>
                <w:rFonts w:ascii="Garamond" w:hAnsi="Garamond"/>
              </w:rPr>
            </w:pPr>
            <w:r w:rsidRPr="000D5747">
              <w:rPr>
                <w:rFonts w:ascii="Garamond" w:hAnsi="Garamond"/>
              </w:rPr>
              <w:t>СОЕВ</w:t>
            </w:r>
          </w:p>
        </w:tc>
      </w:tr>
      <w:tr w:rsidR="004B3B82" w:rsidRPr="000D5747" w14:paraId="6EA9DC32" w14:textId="77777777" w:rsidTr="00CD3B05">
        <w:trPr>
          <w:trHeight w:val="641"/>
          <w:jc w:val="right"/>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8A99F02" w14:textId="77777777" w:rsidR="004B3B82" w:rsidRPr="000D5747" w:rsidRDefault="004B3B82" w:rsidP="00CD3B05">
            <w:pPr>
              <w:rPr>
                <w:rFonts w:ascii="Garamond" w:hAnsi="Garamond"/>
              </w:rPr>
            </w:pPr>
          </w:p>
        </w:tc>
        <w:tc>
          <w:tcPr>
            <w:tcW w:w="15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E46056F" w14:textId="77777777" w:rsidR="004B3B82" w:rsidRPr="000D5747" w:rsidRDefault="004B3B82" w:rsidP="00CD3B05">
            <w:pPr>
              <w:jc w:val="center"/>
              <w:rPr>
                <w:rFonts w:ascii="Garamond" w:hAnsi="Garamond"/>
              </w:rPr>
            </w:pPr>
            <w:r w:rsidRPr="000D5747">
              <w:rPr>
                <w:rFonts w:ascii="Garamond" w:hAnsi="Garamond"/>
                <w:b/>
                <w:bCs/>
              </w:rPr>
              <w:t>Действия</w:t>
            </w:r>
          </w:p>
        </w:tc>
        <w:tc>
          <w:tcPr>
            <w:tcW w:w="778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F4B813D" w14:textId="77777777" w:rsidR="004B3B82" w:rsidRPr="000D5747" w:rsidRDefault="004B3B82" w:rsidP="00CD3B05">
            <w:pPr>
              <w:pStyle w:val="ac"/>
              <w:tabs>
                <w:tab w:val="left" w:pos="1440"/>
              </w:tabs>
              <w:ind w:left="0"/>
              <w:jc w:val="both"/>
              <w:rPr>
                <w:rFonts w:ascii="Garamond" w:eastAsia="Garamond" w:hAnsi="Garamond" w:cs="Garamond"/>
              </w:rPr>
            </w:pPr>
            <w:r w:rsidRPr="000D5747">
              <w:rPr>
                <w:rFonts w:ascii="Garamond" w:hAnsi="Garamond"/>
              </w:rPr>
              <w:t xml:space="preserve">В описании типа средства измерений АИИС КУЭ </w:t>
            </w:r>
            <w:r w:rsidRPr="00450EB3">
              <w:rPr>
                <w:rFonts w:ascii="Garamond" w:hAnsi="Garamond"/>
              </w:rPr>
              <w:t>проверяется наличие и соответствие Техническим требованиям ОРЭМ (п. 2.3 Приложения № 11.1 к Положению о реестре) функциональной возможности измерения времени в АИИС</w:t>
            </w:r>
            <w:r w:rsidRPr="000D5747">
              <w:rPr>
                <w:rFonts w:ascii="Garamond" w:hAnsi="Garamond"/>
              </w:rPr>
              <w:t xml:space="preserve"> КУЭ.</w:t>
            </w:r>
          </w:p>
        </w:tc>
      </w:tr>
      <w:tr w:rsidR="004B3B82" w:rsidRPr="000D5747" w14:paraId="746C82E9" w14:textId="77777777" w:rsidTr="00CD3B05">
        <w:trPr>
          <w:trHeight w:val="1060"/>
          <w:jc w:val="right"/>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5715E9B" w14:textId="77777777" w:rsidR="004B3B82" w:rsidRPr="000D5747" w:rsidRDefault="004B3B82" w:rsidP="00CD3B05">
            <w:pPr>
              <w:rPr>
                <w:rFonts w:ascii="Garamond" w:hAnsi="Garamond"/>
              </w:rPr>
            </w:pPr>
          </w:p>
        </w:tc>
        <w:tc>
          <w:tcPr>
            <w:tcW w:w="15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9471E46" w14:textId="77777777" w:rsidR="004B3B82" w:rsidRPr="000D5747" w:rsidRDefault="004B3B82" w:rsidP="00CD3B05">
            <w:pPr>
              <w:jc w:val="center"/>
              <w:rPr>
                <w:rFonts w:ascii="Garamond" w:hAnsi="Garamond"/>
              </w:rPr>
            </w:pPr>
            <w:r w:rsidRPr="000D5747">
              <w:rPr>
                <w:rFonts w:ascii="Garamond" w:hAnsi="Garamond"/>
                <w:b/>
                <w:bCs/>
              </w:rPr>
              <w:t>Критерии</w:t>
            </w:r>
          </w:p>
        </w:tc>
        <w:tc>
          <w:tcPr>
            <w:tcW w:w="778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614595" w14:textId="77777777" w:rsidR="004B3B82" w:rsidRPr="000D5747" w:rsidRDefault="004B3B82" w:rsidP="00CD3B05">
            <w:pPr>
              <w:pStyle w:val="ac"/>
              <w:numPr>
                <w:ilvl w:val="0"/>
                <w:numId w:val="63"/>
              </w:numPr>
              <w:pBdr>
                <w:top w:val="nil"/>
                <w:left w:val="nil"/>
                <w:bottom w:val="nil"/>
                <w:right w:val="nil"/>
                <w:between w:val="nil"/>
                <w:bar w:val="nil"/>
              </w:pBdr>
              <w:tabs>
                <w:tab w:val="clear" w:pos="317"/>
                <w:tab w:val="num" w:pos="380"/>
                <w:tab w:val="left" w:pos="1440"/>
              </w:tabs>
              <w:ind w:left="380" w:hanging="380"/>
              <w:jc w:val="both"/>
              <w:rPr>
                <w:rFonts w:ascii="Garamond" w:eastAsia="Garamond" w:hAnsi="Garamond" w:cs="Garamond"/>
              </w:rPr>
            </w:pPr>
            <w:r w:rsidRPr="000D5747">
              <w:rPr>
                <w:rFonts w:ascii="Garamond" w:hAnsi="Garamond"/>
              </w:rPr>
              <w:t>Соответствие сведений о возможности измерения времени в Описании типа средства измерений АИИС КУЭ Техническим требованиям ОРЭМ.</w:t>
            </w:r>
          </w:p>
          <w:p w14:paraId="76B76361" w14:textId="77777777" w:rsidR="004B3B82" w:rsidRPr="000D5747" w:rsidRDefault="004B3B82" w:rsidP="00CD3B05">
            <w:pPr>
              <w:pStyle w:val="ac"/>
              <w:numPr>
                <w:ilvl w:val="0"/>
                <w:numId w:val="63"/>
              </w:numPr>
              <w:pBdr>
                <w:top w:val="nil"/>
                <w:left w:val="nil"/>
                <w:bottom w:val="nil"/>
                <w:right w:val="nil"/>
                <w:between w:val="nil"/>
                <w:bar w:val="nil"/>
              </w:pBdr>
              <w:tabs>
                <w:tab w:val="clear" w:pos="317"/>
                <w:tab w:val="num" w:pos="380"/>
                <w:tab w:val="left" w:pos="1440"/>
              </w:tabs>
              <w:ind w:left="380" w:hanging="380"/>
              <w:jc w:val="both"/>
              <w:rPr>
                <w:rFonts w:ascii="Garamond" w:eastAsia="Garamond" w:hAnsi="Garamond" w:cs="Garamond"/>
              </w:rPr>
            </w:pPr>
            <w:r w:rsidRPr="000D5747">
              <w:rPr>
                <w:rFonts w:ascii="Garamond" w:hAnsi="Garamond"/>
              </w:rPr>
              <w:t xml:space="preserve">Точность измерения времени СОЕВ (УССВ, таймеры времени </w:t>
            </w:r>
            <w:r w:rsidRPr="00A60411">
              <w:rPr>
                <w:rFonts w:ascii="Garamond" w:hAnsi="Garamond"/>
                <w:highlight w:val="yellow"/>
              </w:rPr>
              <w:t>счетчиков</w:t>
            </w:r>
            <w:r w:rsidRPr="000D5747">
              <w:rPr>
                <w:rFonts w:ascii="Garamond" w:hAnsi="Garamond"/>
              </w:rPr>
              <w:t>, УСПД и серверов) согласно Описанию типа средства измерений АИИС КУЭ</w:t>
            </w:r>
            <w:r w:rsidRPr="000D5747" w:rsidDel="00B108BD">
              <w:rPr>
                <w:rFonts w:ascii="Garamond" w:hAnsi="Garamond"/>
              </w:rPr>
              <w:t xml:space="preserve"> </w:t>
            </w:r>
            <w:r w:rsidRPr="000D5747">
              <w:rPr>
                <w:rFonts w:ascii="Garamond" w:hAnsi="Garamond"/>
              </w:rPr>
              <w:t>не хуже ±5 с/сутки.</w:t>
            </w:r>
          </w:p>
        </w:tc>
      </w:tr>
      <w:tr w:rsidR="004B3B82" w:rsidRPr="000D5747" w14:paraId="7C38E605" w14:textId="77777777" w:rsidTr="00CD3B05">
        <w:tblPrEx>
          <w:shd w:val="clear" w:color="auto" w:fill="auto"/>
        </w:tblPrEx>
        <w:trPr>
          <w:trHeight w:val="106"/>
          <w:jc w:val="right"/>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1E71C76" w14:textId="77777777" w:rsidR="004B3B82" w:rsidRPr="000D5747" w:rsidRDefault="004B3B82" w:rsidP="00CD3B05">
            <w:pPr>
              <w:rPr>
                <w:rFonts w:ascii="Garamond" w:hAnsi="Garamond"/>
              </w:rPr>
            </w:pPr>
          </w:p>
        </w:tc>
        <w:tc>
          <w:tcPr>
            <w:tcW w:w="15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A3B7911" w14:textId="77777777" w:rsidR="004B3B82" w:rsidRPr="000D5747" w:rsidRDefault="004B3B82" w:rsidP="00CD3B05">
            <w:pPr>
              <w:jc w:val="center"/>
              <w:rPr>
                <w:rFonts w:ascii="Garamond" w:hAnsi="Garamond"/>
              </w:rPr>
            </w:pPr>
            <w:r w:rsidRPr="000D5747">
              <w:rPr>
                <w:rFonts w:ascii="Garamond" w:hAnsi="Garamond"/>
                <w:b/>
                <w:bCs/>
              </w:rPr>
              <w:t>Эксперты</w:t>
            </w:r>
          </w:p>
        </w:tc>
        <w:tc>
          <w:tcPr>
            <w:tcW w:w="778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6A03C5E" w14:textId="77777777" w:rsidR="004B3B82" w:rsidRPr="000D5747" w:rsidRDefault="004B3B82" w:rsidP="00CD3B05">
            <w:pPr>
              <w:pStyle w:val="ac"/>
              <w:tabs>
                <w:tab w:val="left" w:pos="1440"/>
              </w:tabs>
              <w:ind w:left="0"/>
              <w:jc w:val="both"/>
              <w:rPr>
                <w:rFonts w:ascii="Garamond" w:eastAsia="Garamond" w:hAnsi="Garamond" w:cs="Garamond"/>
              </w:rPr>
            </w:pPr>
            <w:r w:rsidRPr="000D5747">
              <w:rPr>
                <w:rFonts w:ascii="Garamond" w:hAnsi="Garamond"/>
              </w:rPr>
              <w:t xml:space="preserve">Представители КО </w:t>
            </w:r>
          </w:p>
        </w:tc>
      </w:tr>
      <w:tr w:rsidR="004B3B82" w:rsidRPr="000D5747" w14:paraId="0926F326" w14:textId="77777777" w:rsidTr="00CD3B05">
        <w:tblPrEx>
          <w:shd w:val="clear" w:color="auto" w:fill="auto"/>
        </w:tblPrEx>
        <w:trPr>
          <w:trHeight w:val="250"/>
          <w:jc w:val="right"/>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DDD4208" w14:textId="77777777" w:rsidR="004B3B82" w:rsidRPr="000D5747" w:rsidRDefault="004B3B82" w:rsidP="00CD3B05">
            <w:pPr>
              <w:rPr>
                <w:rFonts w:ascii="Garamond" w:hAnsi="Garamond"/>
              </w:rPr>
            </w:pPr>
          </w:p>
        </w:tc>
        <w:tc>
          <w:tcPr>
            <w:tcW w:w="15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C3AFC42" w14:textId="77777777" w:rsidR="004B3B82" w:rsidRPr="000D5747" w:rsidRDefault="004B3B82" w:rsidP="00CD3B05">
            <w:pPr>
              <w:jc w:val="center"/>
              <w:rPr>
                <w:rFonts w:ascii="Garamond" w:hAnsi="Garamond"/>
              </w:rPr>
            </w:pPr>
            <w:r w:rsidRPr="000D5747">
              <w:rPr>
                <w:rFonts w:ascii="Garamond" w:hAnsi="Garamond"/>
                <w:b/>
                <w:bCs/>
              </w:rPr>
              <w:t>Документация</w:t>
            </w:r>
          </w:p>
        </w:tc>
        <w:tc>
          <w:tcPr>
            <w:tcW w:w="778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DEC312B" w14:textId="77777777" w:rsidR="004B3B82" w:rsidRPr="000D5747" w:rsidRDefault="004B3B82" w:rsidP="00CD3B05">
            <w:pPr>
              <w:rPr>
                <w:rFonts w:ascii="Garamond" w:hAnsi="Garamond"/>
              </w:rPr>
            </w:pPr>
            <w:r w:rsidRPr="00072687">
              <w:rPr>
                <w:rFonts w:ascii="Garamond" w:hAnsi="Garamond"/>
              </w:rPr>
              <w:t>Документация в соответствии с таблицей 2 приложения 1 к настоящему Порядку, представленная для установления соответствия АИИС КУЭ</w:t>
            </w:r>
          </w:p>
        </w:tc>
      </w:tr>
      <w:tr w:rsidR="004B3B82" w:rsidRPr="000D5747" w14:paraId="48F3CB6C" w14:textId="77777777" w:rsidTr="00CD3B05">
        <w:tblPrEx>
          <w:shd w:val="clear" w:color="auto" w:fill="auto"/>
        </w:tblPrEx>
        <w:trPr>
          <w:trHeight w:val="250"/>
          <w:jc w:val="right"/>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64AB8F2" w14:textId="77777777" w:rsidR="004B3B82" w:rsidRPr="000D5747" w:rsidRDefault="004B3B82" w:rsidP="00CD3B05">
            <w:pPr>
              <w:rPr>
                <w:rFonts w:ascii="Garamond" w:hAnsi="Garamond"/>
              </w:rPr>
            </w:pPr>
            <w:r>
              <w:rPr>
                <w:rFonts w:ascii="Garamond" w:hAnsi="Garamond"/>
              </w:rPr>
              <w:t>…</w:t>
            </w:r>
          </w:p>
        </w:tc>
        <w:tc>
          <w:tcPr>
            <w:tcW w:w="15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BA5E1F8" w14:textId="77777777" w:rsidR="004B3B82" w:rsidRPr="000D5747" w:rsidRDefault="004B3B82" w:rsidP="00CD3B05">
            <w:pPr>
              <w:jc w:val="center"/>
              <w:rPr>
                <w:rFonts w:ascii="Garamond" w:hAnsi="Garamond"/>
                <w:b/>
                <w:bCs/>
              </w:rPr>
            </w:pPr>
            <w:r>
              <w:rPr>
                <w:rFonts w:ascii="Garamond" w:hAnsi="Garamond"/>
              </w:rPr>
              <w:t>…</w:t>
            </w:r>
          </w:p>
        </w:tc>
        <w:tc>
          <w:tcPr>
            <w:tcW w:w="778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5DAE0ED" w14:textId="77777777" w:rsidR="004B3B82" w:rsidRPr="00072687" w:rsidRDefault="004B3B82" w:rsidP="00CD3B05">
            <w:pPr>
              <w:rPr>
                <w:rFonts w:ascii="Garamond" w:hAnsi="Garamond"/>
              </w:rPr>
            </w:pPr>
            <w:r>
              <w:rPr>
                <w:rFonts w:ascii="Garamond" w:hAnsi="Garamond"/>
              </w:rPr>
              <w:t>…</w:t>
            </w:r>
          </w:p>
        </w:tc>
      </w:tr>
      <w:tr w:rsidR="004B3B82" w:rsidRPr="000D5747" w14:paraId="57862536" w14:textId="77777777" w:rsidTr="00CD3B05">
        <w:tblPrEx>
          <w:shd w:val="clear" w:color="auto" w:fill="auto"/>
        </w:tblPrEx>
        <w:trPr>
          <w:trHeight w:val="250"/>
          <w:jc w:val="right"/>
        </w:trPr>
        <w:tc>
          <w:tcPr>
            <w:tcW w:w="567" w:type="dxa"/>
            <w:tcBorders>
              <w:top w:val="single" w:sz="4" w:space="0" w:color="000000"/>
              <w:left w:val="single" w:sz="4" w:space="0" w:color="000000"/>
              <w:bottom w:val="single" w:sz="4" w:space="0" w:color="000000"/>
              <w:right w:val="single" w:sz="4" w:space="0" w:color="000000"/>
            </w:tcBorders>
            <w:shd w:val="clear" w:color="auto" w:fill="BFBFBF"/>
            <w:tcMar>
              <w:top w:w="80" w:type="dxa"/>
              <w:left w:w="80" w:type="dxa"/>
              <w:bottom w:w="80" w:type="dxa"/>
              <w:right w:w="80" w:type="dxa"/>
            </w:tcMar>
            <w:vAlign w:val="center"/>
          </w:tcPr>
          <w:p w14:paraId="4BCFDA95" w14:textId="77777777" w:rsidR="004B3B82" w:rsidRPr="000D5747" w:rsidRDefault="004B3B82" w:rsidP="00CD3B05">
            <w:pPr>
              <w:jc w:val="center"/>
              <w:rPr>
                <w:rFonts w:ascii="Garamond" w:hAnsi="Garamond"/>
              </w:rPr>
            </w:pPr>
            <w:r w:rsidRPr="000D5747">
              <w:rPr>
                <w:rFonts w:ascii="Garamond" w:hAnsi="Garamond"/>
              </w:rPr>
              <w:t>6</w:t>
            </w:r>
          </w:p>
        </w:tc>
        <w:tc>
          <w:tcPr>
            <w:tcW w:w="1568" w:type="dxa"/>
            <w:tcBorders>
              <w:top w:val="single" w:sz="4" w:space="0" w:color="000000"/>
              <w:left w:val="single" w:sz="4" w:space="0" w:color="000000"/>
              <w:bottom w:val="single" w:sz="4" w:space="0" w:color="000000"/>
              <w:right w:val="single" w:sz="4" w:space="0" w:color="000000"/>
            </w:tcBorders>
            <w:shd w:val="clear" w:color="auto" w:fill="BFBFBF"/>
            <w:tcMar>
              <w:top w:w="80" w:type="dxa"/>
              <w:left w:w="80" w:type="dxa"/>
              <w:bottom w:w="80" w:type="dxa"/>
              <w:right w:w="80" w:type="dxa"/>
            </w:tcMar>
            <w:vAlign w:val="center"/>
          </w:tcPr>
          <w:p w14:paraId="000152A3" w14:textId="77777777" w:rsidR="004B3B82" w:rsidRPr="000D5747" w:rsidRDefault="004B3B82" w:rsidP="00CD3B05">
            <w:pPr>
              <w:jc w:val="center"/>
              <w:rPr>
                <w:rFonts w:ascii="Garamond" w:hAnsi="Garamond"/>
                <w:b/>
                <w:bCs/>
                <w:vertAlign w:val="subscript"/>
              </w:rPr>
            </w:pPr>
            <w:r w:rsidRPr="000D5747">
              <w:rPr>
                <w:rFonts w:ascii="Garamond" w:hAnsi="Garamond"/>
                <w:b/>
                <w:bCs/>
              </w:rPr>
              <w:t>П</w:t>
            </w:r>
            <w:r w:rsidRPr="000D5747">
              <w:rPr>
                <w:rFonts w:ascii="Garamond" w:hAnsi="Garamond"/>
                <w:b/>
                <w:bCs/>
                <w:vertAlign w:val="subscript"/>
              </w:rPr>
              <w:t>Ф9</w:t>
            </w:r>
          </w:p>
          <w:p w14:paraId="4DCBD5C9" w14:textId="77777777" w:rsidR="004B3B82" w:rsidRPr="000D5747" w:rsidRDefault="004B3B82" w:rsidP="00CD3B05">
            <w:pPr>
              <w:jc w:val="center"/>
              <w:rPr>
                <w:rFonts w:ascii="Garamond" w:hAnsi="Garamond"/>
              </w:rPr>
            </w:pPr>
            <w:r w:rsidRPr="000D5747">
              <w:rPr>
                <w:rFonts w:ascii="Garamond" w:hAnsi="Garamond"/>
                <w:bCs/>
              </w:rPr>
              <w:t>(п. 3.4.1)</w:t>
            </w:r>
          </w:p>
        </w:tc>
        <w:tc>
          <w:tcPr>
            <w:tcW w:w="7789" w:type="dxa"/>
            <w:tcBorders>
              <w:top w:val="single" w:sz="4" w:space="0" w:color="000000"/>
              <w:left w:val="single" w:sz="4" w:space="0" w:color="000000"/>
              <w:bottom w:val="single" w:sz="4" w:space="0" w:color="000000"/>
              <w:right w:val="single" w:sz="4" w:space="0" w:color="000000"/>
            </w:tcBorders>
            <w:shd w:val="clear" w:color="auto" w:fill="BFBFBF"/>
            <w:tcMar>
              <w:top w:w="80" w:type="dxa"/>
              <w:left w:w="80" w:type="dxa"/>
              <w:bottom w:w="80" w:type="dxa"/>
              <w:right w:w="80" w:type="dxa"/>
            </w:tcMar>
          </w:tcPr>
          <w:p w14:paraId="1FD55E0F" w14:textId="77777777" w:rsidR="004B3B82" w:rsidRPr="000D5747" w:rsidRDefault="004B3B82" w:rsidP="00CD3B05">
            <w:pPr>
              <w:rPr>
                <w:rFonts w:ascii="Garamond" w:hAnsi="Garamond"/>
              </w:rPr>
            </w:pPr>
            <w:r w:rsidRPr="000D5747">
              <w:rPr>
                <w:rFonts w:ascii="Garamond" w:hAnsi="Garamond"/>
                <w:b/>
                <w:bCs/>
              </w:rPr>
              <w:t xml:space="preserve">Допустимый класс точности </w:t>
            </w:r>
            <w:r w:rsidRPr="00A60411">
              <w:rPr>
                <w:rFonts w:ascii="Garamond" w:hAnsi="Garamond"/>
                <w:b/>
                <w:bCs/>
                <w:highlight w:val="yellow"/>
              </w:rPr>
              <w:t>электросчетчиков</w:t>
            </w:r>
          </w:p>
        </w:tc>
      </w:tr>
      <w:tr w:rsidR="004B3B82" w:rsidRPr="000D5747" w14:paraId="13FFFBB4" w14:textId="77777777" w:rsidTr="00CD3B05">
        <w:tblPrEx>
          <w:shd w:val="clear" w:color="auto" w:fill="auto"/>
        </w:tblPrEx>
        <w:trPr>
          <w:trHeight w:val="250"/>
          <w:jc w:val="right"/>
        </w:trPr>
        <w:tc>
          <w:tcPr>
            <w:tcW w:w="567" w:type="dxa"/>
            <w:tcBorders>
              <w:top w:val="single" w:sz="4" w:space="0" w:color="000000"/>
              <w:left w:val="single" w:sz="4" w:space="0" w:color="000000"/>
              <w:bottom w:val="single" w:sz="4" w:space="0" w:color="000000"/>
              <w:right w:val="single" w:sz="4" w:space="0" w:color="000000"/>
            </w:tcBorders>
            <w:shd w:val="clear" w:color="auto" w:fill="FFFF00"/>
            <w:tcMar>
              <w:top w:w="80" w:type="dxa"/>
              <w:left w:w="80" w:type="dxa"/>
              <w:bottom w:w="80" w:type="dxa"/>
              <w:right w:w="80" w:type="dxa"/>
            </w:tcMar>
            <w:vAlign w:val="center"/>
          </w:tcPr>
          <w:p w14:paraId="504E788F" w14:textId="77777777" w:rsidR="004B3B82" w:rsidRPr="000D5747" w:rsidRDefault="004B3B82" w:rsidP="00CD3B05">
            <w:pPr>
              <w:rPr>
                <w:rFonts w:ascii="Garamond" w:hAnsi="Garamond"/>
              </w:rPr>
            </w:pPr>
          </w:p>
        </w:tc>
        <w:tc>
          <w:tcPr>
            <w:tcW w:w="1568" w:type="dxa"/>
            <w:tcBorders>
              <w:top w:val="single" w:sz="4" w:space="0" w:color="000000"/>
              <w:left w:val="single" w:sz="4" w:space="0" w:color="000000"/>
              <w:bottom w:val="single" w:sz="4" w:space="0" w:color="000000"/>
              <w:right w:val="single" w:sz="4" w:space="0" w:color="000000"/>
            </w:tcBorders>
            <w:shd w:val="clear" w:color="auto" w:fill="FFFF00"/>
            <w:tcMar>
              <w:top w:w="80" w:type="dxa"/>
              <w:left w:w="80" w:type="dxa"/>
              <w:bottom w:w="80" w:type="dxa"/>
              <w:right w:w="80" w:type="dxa"/>
            </w:tcMar>
            <w:vAlign w:val="center"/>
          </w:tcPr>
          <w:p w14:paraId="6D73EE06" w14:textId="77777777" w:rsidR="004B3B82" w:rsidRPr="000D5747" w:rsidRDefault="004B3B82" w:rsidP="00CD3B05">
            <w:pPr>
              <w:jc w:val="center"/>
              <w:rPr>
                <w:rFonts w:ascii="Garamond" w:hAnsi="Garamond"/>
              </w:rPr>
            </w:pPr>
            <w:r w:rsidRPr="000D5747">
              <w:rPr>
                <w:rFonts w:ascii="Garamond" w:hAnsi="Garamond"/>
                <w:b/>
                <w:bCs/>
              </w:rPr>
              <w:t>Компоненты</w:t>
            </w:r>
          </w:p>
        </w:tc>
        <w:tc>
          <w:tcPr>
            <w:tcW w:w="7789" w:type="dxa"/>
            <w:tcBorders>
              <w:top w:val="single" w:sz="4" w:space="0" w:color="000000"/>
              <w:left w:val="single" w:sz="4" w:space="0" w:color="000000"/>
              <w:bottom w:val="single" w:sz="4" w:space="0" w:color="000000"/>
              <w:right w:val="single" w:sz="4" w:space="0" w:color="000000"/>
            </w:tcBorders>
            <w:shd w:val="clear" w:color="auto" w:fill="FFFF00"/>
            <w:tcMar>
              <w:top w:w="80" w:type="dxa"/>
              <w:left w:w="80" w:type="dxa"/>
              <w:bottom w:w="80" w:type="dxa"/>
              <w:right w:w="80" w:type="dxa"/>
            </w:tcMar>
          </w:tcPr>
          <w:p w14:paraId="137F417C" w14:textId="77777777" w:rsidR="004B3B82" w:rsidRPr="000D5747" w:rsidRDefault="004B3B82" w:rsidP="00CD3B05">
            <w:pPr>
              <w:rPr>
                <w:rFonts w:ascii="Garamond" w:hAnsi="Garamond"/>
              </w:rPr>
            </w:pPr>
            <w:r w:rsidRPr="000D5747">
              <w:rPr>
                <w:rFonts w:ascii="Garamond" w:hAnsi="Garamond"/>
              </w:rPr>
              <w:t xml:space="preserve">ИИК – </w:t>
            </w:r>
            <w:r w:rsidRPr="00A60411">
              <w:rPr>
                <w:rFonts w:ascii="Garamond" w:hAnsi="Garamond"/>
                <w:highlight w:val="green"/>
              </w:rPr>
              <w:t>счетчики</w:t>
            </w:r>
          </w:p>
        </w:tc>
      </w:tr>
      <w:tr w:rsidR="004B3B82" w:rsidRPr="000D5747" w14:paraId="1750A052" w14:textId="77777777" w:rsidTr="00CD3B05">
        <w:tblPrEx>
          <w:shd w:val="clear" w:color="auto" w:fill="auto"/>
        </w:tblPrEx>
        <w:trPr>
          <w:trHeight w:val="285"/>
          <w:jc w:val="right"/>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E67F112" w14:textId="77777777" w:rsidR="004B3B82" w:rsidRPr="000D5747" w:rsidRDefault="004B3B82" w:rsidP="00CD3B05">
            <w:pPr>
              <w:rPr>
                <w:rFonts w:ascii="Garamond" w:hAnsi="Garamond"/>
              </w:rPr>
            </w:pPr>
          </w:p>
        </w:tc>
        <w:tc>
          <w:tcPr>
            <w:tcW w:w="15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49820B8" w14:textId="77777777" w:rsidR="004B3B82" w:rsidRPr="000D5747" w:rsidRDefault="004B3B82" w:rsidP="00CD3B05">
            <w:pPr>
              <w:jc w:val="center"/>
              <w:rPr>
                <w:rFonts w:ascii="Garamond" w:hAnsi="Garamond"/>
              </w:rPr>
            </w:pPr>
            <w:r w:rsidRPr="000D5747">
              <w:rPr>
                <w:rFonts w:ascii="Garamond" w:hAnsi="Garamond"/>
                <w:b/>
                <w:bCs/>
              </w:rPr>
              <w:t>Действия</w:t>
            </w:r>
          </w:p>
        </w:tc>
        <w:tc>
          <w:tcPr>
            <w:tcW w:w="778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2C233C" w14:textId="77777777" w:rsidR="004B3B82" w:rsidRPr="000D5747" w:rsidRDefault="004B3B82" w:rsidP="00CD3B05">
            <w:pPr>
              <w:pStyle w:val="ac"/>
              <w:tabs>
                <w:tab w:val="left" w:pos="1440"/>
              </w:tabs>
              <w:ind w:left="0"/>
              <w:jc w:val="both"/>
              <w:rPr>
                <w:rFonts w:ascii="Garamond" w:hAnsi="Garamond"/>
              </w:rPr>
            </w:pPr>
            <w:r w:rsidRPr="000D5747">
              <w:rPr>
                <w:rFonts w:ascii="Garamond" w:hAnsi="Garamond"/>
              </w:rPr>
              <w:t xml:space="preserve">Проверяется соответствие классов точности </w:t>
            </w:r>
            <w:r w:rsidRPr="00A60411">
              <w:rPr>
                <w:rFonts w:ascii="Garamond" w:hAnsi="Garamond"/>
                <w:highlight w:val="yellow"/>
              </w:rPr>
              <w:t>счетчиков</w:t>
            </w:r>
            <w:r w:rsidRPr="000D5747">
              <w:rPr>
                <w:rFonts w:ascii="Garamond" w:hAnsi="Garamond"/>
              </w:rPr>
              <w:t>, входящих в ИИК АИИС КУЭ, Техническим требованиям ОРЭМ (п. 3.4.1 Приложения № </w:t>
            </w:r>
            <w:r w:rsidRPr="00450EB3">
              <w:rPr>
                <w:rFonts w:ascii="Garamond" w:hAnsi="Garamond"/>
              </w:rPr>
              <w:t>11.1 к Положению о реестре).</w:t>
            </w:r>
          </w:p>
        </w:tc>
      </w:tr>
      <w:tr w:rsidR="004B3B82" w:rsidRPr="000D5747" w14:paraId="1FEF320F" w14:textId="77777777" w:rsidTr="00CD3B05">
        <w:tblPrEx>
          <w:shd w:val="clear" w:color="auto" w:fill="auto"/>
        </w:tblPrEx>
        <w:trPr>
          <w:trHeight w:val="555"/>
          <w:jc w:val="right"/>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B233672" w14:textId="77777777" w:rsidR="004B3B82" w:rsidRPr="000D5747" w:rsidRDefault="004B3B82" w:rsidP="00CD3B05">
            <w:pPr>
              <w:rPr>
                <w:rFonts w:ascii="Garamond" w:hAnsi="Garamond"/>
              </w:rPr>
            </w:pPr>
          </w:p>
        </w:tc>
        <w:tc>
          <w:tcPr>
            <w:tcW w:w="15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0EC5FEB" w14:textId="77777777" w:rsidR="004B3B82" w:rsidRPr="000D5747" w:rsidRDefault="004B3B82" w:rsidP="00CD3B05">
            <w:pPr>
              <w:jc w:val="center"/>
              <w:rPr>
                <w:rFonts w:ascii="Garamond" w:hAnsi="Garamond"/>
              </w:rPr>
            </w:pPr>
            <w:r w:rsidRPr="000D5747">
              <w:rPr>
                <w:rFonts w:ascii="Garamond" w:hAnsi="Garamond"/>
                <w:b/>
                <w:bCs/>
              </w:rPr>
              <w:t>Критерии</w:t>
            </w:r>
          </w:p>
        </w:tc>
        <w:tc>
          <w:tcPr>
            <w:tcW w:w="778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728B686" w14:textId="77777777" w:rsidR="004B3B82" w:rsidRPr="007D0ADC" w:rsidRDefault="004B3B82" w:rsidP="00CD3B05">
            <w:pPr>
              <w:pStyle w:val="ac"/>
              <w:tabs>
                <w:tab w:val="left" w:pos="1440"/>
              </w:tabs>
              <w:ind w:left="0"/>
              <w:jc w:val="both"/>
              <w:rPr>
                <w:rFonts w:ascii="Garamond" w:eastAsia="Garamond" w:hAnsi="Garamond" w:cs="Garamond"/>
              </w:rPr>
            </w:pPr>
            <w:r w:rsidRPr="007D0ADC">
              <w:rPr>
                <w:rFonts w:ascii="Garamond" w:hAnsi="Garamond"/>
              </w:rPr>
              <w:t xml:space="preserve">Соответствие классов точности </w:t>
            </w:r>
            <w:r w:rsidRPr="00A60411">
              <w:rPr>
                <w:rFonts w:ascii="Garamond" w:hAnsi="Garamond"/>
                <w:highlight w:val="yellow"/>
              </w:rPr>
              <w:t>счетчиков</w:t>
            </w:r>
            <w:r w:rsidRPr="007D0ADC">
              <w:rPr>
                <w:rFonts w:ascii="Garamond" w:hAnsi="Garamond"/>
              </w:rPr>
              <w:t xml:space="preserve">, входящих в АИИС КУЭ согласно свидетельствам о поверке и Описанию типа (для класса N и в случаях, предусмотренных п. 1.2.1 настоящего Порядка – согласно свидетельствам о поверке (паспортам) </w:t>
            </w:r>
            <w:r w:rsidRPr="00A60411">
              <w:rPr>
                <w:rFonts w:ascii="Garamond" w:hAnsi="Garamond"/>
                <w:highlight w:val="yellow"/>
              </w:rPr>
              <w:t>счетчиков</w:t>
            </w:r>
            <w:r w:rsidRPr="007D0ADC">
              <w:rPr>
                <w:rFonts w:ascii="Garamond" w:hAnsi="Garamond"/>
              </w:rPr>
              <w:t>), Техническим требованиям ОРЭМ.</w:t>
            </w:r>
          </w:p>
        </w:tc>
      </w:tr>
      <w:tr w:rsidR="004B3B82" w:rsidRPr="000D5747" w14:paraId="246C8626" w14:textId="77777777" w:rsidTr="00CD3B05">
        <w:tblPrEx>
          <w:shd w:val="clear" w:color="auto" w:fill="auto"/>
        </w:tblPrEx>
        <w:trPr>
          <w:trHeight w:val="200"/>
          <w:jc w:val="right"/>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6603B32" w14:textId="77777777" w:rsidR="004B3B82" w:rsidRPr="000D5747" w:rsidRDefault="004B3B82" w:rsidP="00CD3B05">
            <w:pPr>
              <w:rPr>
                <w:rFonts w:ascii="Garamond" w:hAnsi="Garamond"/>
              </w:rPr>
            </w:pPr>
          </w:p>
        </w:tc>
        <w:tc>
          <w:tcPr>
            <w:tcW w:w="15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4CBCD86" w14:textId="77777777" w:rsidR="004B3B82" w:rsidRPr="000D5747" w:rsidRDefault="004B3B82" w:rsidP="00CD3B05">
            <w:pPr>
              <w:jc w:val="center"/>
              <w:rPr>
                <w:rFonts w:ascii="Garamond" w:hAnsi="Garamond"/>
              </w:rPr>
            </w:pPr>
            <w:r w:rsidRPr="000D5747">
              <w:rPr>
                <w:rFonts w:ascii="Garamond" w:hAnsi="Garamond"/>
                <w:b/>
                <w:bCs/>
              </w:rPr>
              <w:t>Эксперты</w:t>
            </w:r>
          </w:p>
        </w:tc>
        <w:tc>
          <w:tcPr>
            <w:tcW w:w="778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99857C9" w14:textId="77777777" w:rsidR="004B3B82" w:rsidRPr="000D5747" w:rsidRDefault="004B3B82" w:rsidP="00CD3B05">
            <w:pPr>
              <w:pStyle w:val="ac"/>
              <w:tabs>
                <w:tab w:val="left" w:pos="1440"/>
              </w:tabs>
              <w:ind w:left="0"/>
              <w:jc w:val="both"/>
              <w:rPr>
                <w:rFonts w:ascii="Garamond" w:eastAsia="Garamond" w:hAnsi="Garamond" w:cs="Garamond"/>
              </w:rPr>
            </w:pPr>
            <w:r w:rsidRPr="000D5747">
              <w:rPr>
                <w:rFonts w:ascii="Garamond" w:hAnsi="Garamond"/>
              </w:rPr>
              <w:t xml:space="preserve">Представители КО </w:t>
            </w:r>
          </w:p>
        </w:tc>
      </w:tr>
      <w:tr w:rsidR="004B3B82" w:rsidRPr="000D5747" w14:paraId="59025485" w14:textId="77777777" w:rsidTr="00CD3B05">
        <w:tblPrEx>
          <w:shd w:val="clear" w:color="auto" w:fill="auto"/>
        </w:tblPrEx>
        <w:trPr>
          <w:trHeight w:val="250"/>
          <w:jc w:val="right"/>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2632842" w14:textId="77777777" w:rsidR="004B3B82" w:rsidRPr="000D5747" w:rsidRDefault="004B3B82" w:rsidP="00CD3B05">
            <w:pPr>
              <w:rPr>
                <w:rFonts w:ascii="Garamond" w:hAnsi="Garamond"/>
              </w:rPr>
            </w:pPr>
          </w:p>
        </w:tc>
        <w:tc>
          <w:tcPr>
            <w:tcW w:w="15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10C5E9D" w14:textId="77777777" w:rsidR="004B3B82" w:rsidRPr="000D5747" w:rsidRDefault="004B3B82" w:rsidP="00CD3B05">
            <w:pPr>
              <w:jc w:val="center"/>
              <w:rPr>
                <w:rFonts w:ascii="Garamond" w:hAnsi="Garamond"/>
              </w:rPr>
            </w:pPr>
            <w:r w:rsidRPr="000D5747">
              <w:rPr>
                <w:rFonts w:ascii="Garamond" w:hAnsi="Garamond"/>
                <w:b/>
                <w:bCs/>
              </w:rPr>
              <w:t>Документация</w:t>
            </w:r>
          </w:p>
        </w:tc>
        <w:tc>
          <w:tcPr>
            <w:tcW w:w="778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296A9F1" w14:textId="77777777" w:rsidR="004B3B82" w:rsidRPr="000D5747" w:rsidRDefault="004B3B82" w:rsidP="00CD3B05">
            <w:pPr>
              <w:rPr>
                <w:rFonts w:ascii="Garamond" w:hAnsi="Garamond"/>
              </w:rPr>
            </w:pPr>
            <w:r w:rsidRPr="007945A6">
              <w:rPr>
                <w:rFonts w:ascii="Garamond" w:hAnsi="Garamond"/>
                <w:highlight w:val="yellow"/>
              </w:rPr>
              <w:t>Д</w:t>
            </w:r>
            <w:r w:rsidRPr="00072687">
              <w:rPr>
                <w:rFonts w:ascii="Garamond" w:hAnsi="Garamond"/>
              </w:rPr>
              <w:t>окументация в соответствии с таблицей 2 приложения 1 к настоящему Порядку, представленная для установления соответствия АИИС КУЭ</w:t>
            </w:r>
          </w:p>
        </w:tc>
      </w:tr>
    </w:tbl>
    <w:p w14:paraId="49716794" w14:textId="77777777" w:rsidR="004B3B82" w:rsidRPr="005F754A" w:rsidRDefault="004B3B82" w:rsidP="00101F7C">
      <w:pPr>
        <w:widowControl w:val="0"/>
        <w:jc w:val="right"/>
        <w:rPr>
          <w:rFonts w:ascii="Garamond" w:eastAsia="Garamond" w:hAnsi="Garamond" w:cs="Garamond"/>
          <w:b/>
          <w:bCs/>
          <w:sz w:val="22"/>
          <w:szCs w:val="22"/>
        </w:rPr>
      </w:pPr>
    </w:p>
    <w:p w14:paraId="1E9F7CDF" w14:textId="77777777" w:rsidR="004B3B82" w:rsidRDefault="004B3B82" w:rsidP="00101F7C">
      <w:pPr>
        <w:rPr>
          <w:rFonts w:ascii="Garamond" w:eastAsia="Garamond" w:hAnsi="Garamond" w:cs="Garamond"/>
          <w:sz w:val="22"/>
          <w:szCs w:val="22"/>
        </w:rPr>
      </w:pPr>
      <w:r>
        <w:rPr>
          <w:rFonts w:ascii="Garamond" w:eastAsia="Garamond" w:hAnsi="Garamond" w:cs="Garamond"/>
          <w:sz w:val="22"/>
          <w:szCs w:val="22"/>
        </w:rPr>
        <w:br w:type="page"/>
      </w:r>
    </w:p>
    <w:p w14:paraId="67864443" w14:textId="77777777" w:rsidR="004B3B82" w:rsidRPr="005C63E5" w:rsidRDefault="004B3B82" w:rsidP="00101F7C">
      <w:pPr>
        <w:rPr>
          <w:rFonts w:ascii="Garamond" w:eastAsia="Garamond" w:hAnsi="Garamond" w:cs="Garamond"/>
          <w:b/>
          <w:sz w:val="22"/>
          <w:szCs w:val="22"/>
        </w:rPr>
      </w:pPr>
      <w:r>
        <w:rPr>
          <w:rFonts w:ascii="Garamond" w:eastAsia="Garamond" w:hAnsi="Garamond" w:cs="Garamond"/>
          <w:b/>
          <w:sz w:val="22"/>
          <w:szCs w:val="22"/>
        </w:rPr>
        <w:lastRenderedPageBreak/>
        <w:t>Предлагаемая</w:t>
      </w:r>
      <w:r w:rsidRPr="005C63E5">
        <w:rPr>
          <w:rFonts w:ascii="Garamond" w:eastAsia="Garamond" w:hAnsi="Garamond" w:cs="Garamond"/>
          <w:b/>
          <w:sz w:val="22"/>
          <w:szCs w:val="22"/>
        </w:rPr>
        <w:t xml:space="preserve"> редакция</w:t>
      </w:r>
    </w:p>
    <w:p w14:paraId="24F5A299" w14:textId="77777777" w:rsidR="004B3B82" w:rsidRPr="005F754A" w:rsidRDefault="004B3B82" w:rsidP="00101F7C">
      <w:pPr>
        <w:jc w:val="right"/>
        <w:rPr>
          <w:rFonts w:ascii="Garamond" w:eastAsia="Garamond" w:hAnsi="Garamond" w:cs="Garamond"/>
          <w:b/>
          <w:bCs/>
          <w:sz w:val="22"/>
          <w:szCs w:val="22"/>
        </w:rPr>
      </w:pPr>
      <w:r w:rsidRPr="005F754A">
        <w:rPr>
          <w:rFonts w:ascii="Garamond" w:hAnsi="Garamond"/>
          <w:b/>
          <w:bCs/>
          <w:sz w:val="22"/>
          <w:szCs w:val="22"/>
        </w:rPr>
        <w:t>Таблица 3</w:t>
      </w:r>
    </w:p>
    <w:p w14:paraId="7E6B7C67" w14:textId="77777777" w:rsidR="004B3B82" w:rsidRPr="005F754A" w:rsidRDefault="004B3B82" w:rsidP="00101F7C">
      <w:pPr>
        <w:jc w:val="center"/>
        <w:rPr>
          <w:rFonts w:ascii="Garamond" w:eastAsia="Garamond" w:hAnsi="Garamond" w:cs="Garamond"/>
          <w:b/>
          <w:bCs/>
          <w:sz w:val="22"/>
          <w:szCs w:val="22"/>
        </w:rPr>
      </w:pPr>
    </w:p>
    <w:p w14:paraId="7C907DCA" w14:textId="1D1282A5" w:rsidR="004B3B82" w:rsidRPr="005F754A" w:rsidRDefault="004B3B82" w:rsidP="00101F7C">
      <w:pPr>
        <w:jc w:val="center"/>
        <w:rPr>
          <w:rFonts w:ascii="Garamond" w:eastAsia="Garamond" w:hAnsi="Garamond" w:cs="Garamond"/>
          <w:b/>
          <w:bCs/>
          <w:sz w:val="22"/>
          <w:szCs w:val="22"/>
        </w:rPr>
      </w:pPr>
      <w:r w:rsidRPr="005F754A">
        <w:rPr>
          <w:rFonts w:ascii="Garamond" w:hAnsi="Garamond"/>
          <w:b/>
          <w:bCs/>
          <w:sz w:val="22"/>
          <w:szCs w:val="22"/>
        </w:rPr>
        <w:t>Требования к проведению КО технической экспертизы документации, предоставленной в целях установления соответствия АИИС КУЭ</w:t>
      </w:r>
      <w:r w:rsidRPr="00A60411">
        <w:rPr>
          <w:rFonts w:ascii="Garamond" w:hAnsi="Garamond"/>
          <w:b/>
          <w:bCs/>
          <w:sz w:val="22"/>
          <w:szCs w:val="22"/>
          <w:highlight w:val="yellow"/>
        </w:rPr>
        <w:t xml:space="preserve">, а также к проведению КО проверки выполнения </w:t>
      </w:r>
      <w:r>
        <w:rPr>
          <w:rFonts w:ascii="Garamond" w:hAnsi="Garamond"/>
          <w:b/>
          <w:bCs/>
          <w:sz w:val="22"/>
          <w:szCs w:val="22"/>
          <w:highlight w:val="yellow"/>
        </w:rPr>
        <w:t xml:space="preserve">системой учета </w:t>
      </w:r>
      <w:r w:rsidRPr="00A60411">
        <w:rPr>
          <w:rFonts w:ascii="Garamond" w:hAnsi="Garamond"/>
          <w:b/>
          <w:bCs/>
          <w:sz w:val="22"/>
          <w:szCs w:val="22"/>
          <w:highlight w:val="yellow"/>
        </w:rPr>
        <w:t>технических требований оптового рынка по объекту регулирования</w:t>
      </w:r>
      <w:r w:rsidR="009B5F03">
        <w:rPr>
          <w:rFonts w:ascii="Garamond" w:hAnsi="Garamond"/>
          <w:b/>
          <w:bCs/>
          <w:sz w:val="22"/>
          <w:szCs w:val="22"/>
        </w:rPr>
        <w:t xml:space="preserve"> </w:t>
      </w:r>
    </w:p>
    <w:p w14:paraId="4E36B0AF" w14:textId="77777777" w:rsidR="004B3B82" w:rsidRPr="005F754A" w:rsidRDefault="004B3B82" w:rsidP="00101F7C">
      <w:pPr>
        <w:widowControl w:val="0"/>
        <w:jc w:val="right"/>
        <w:rPr>
          <w:rFonts w:ascii="Garamond" w:eastAsia="Garamond" w:hAnsi="Garamond" w:cs="Garamond"/>
          <w:b/>
          <w:bCs/>
          <w:sz w:val="22"/>
          <w:szCs w:val="22"/>
        </w:rPr>
      </w:pPr>
    </w:p>
    <w:tbl>
      <w:tblPr>
        <w:tblW w:w="9924" w:type="dxa"/>
        <w:jc w:val="righ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shd w:val="clear" w:color="auto" w:fill="BDC0BF"/>
        <w:tblLayout w:type="fixed"/>
        <w:tblCellMar>
          <w:left w:w="0" w:type="dxa"/>
          <w:right w:w="0" w:type="dxa"/>
        </w:tblCellMar>
        <w:tblLook w:val="04A0" w:firstRow="1" w:lastRow="0" w:firstColumn="1" w:lastColumn="0" w:noHBand="0" w:noVBand="1"/>
      </w:tblPr>
      <w:tblGrid>
        <w:gridCol w:w="567"/>
        <w:gridCol w:w="1568"/>
        <w:gridCol w:w="7789"/>
      </w:tblGrid>
      <w:tr w:rsidR="004B3B82" w:rsidRPr="005F754A" w14:paraId="379D3C20" w14:textId="77777777" w:rsidTr="00CD3B05">
        <w:trPr>
          <w:trHeight w:val="1210"/>
          <w:tblHeader/>
          <w:jc w:val="right"/>
        </w:trPr>
        <w:tc>
          <w:tcPr>
            <w:tcW w:w="567" w:type="dxa"/>
            <w:tcBorders>
              <w:top w:val="single" w:sz="4" w:space="0" w:color="000000"/>
              <w:left w:val="single" w:sz="4" w:space="0" w:color="000000"/>
              <w:bottom w:val="single" w:sz="4" w:space="0" w:color="000000"/>
              <w:right w:val="single" w:sz="4" w:space="0" w:color="000000"/>
            </w:tcBorders>
            <w:shd w:val="clear" w:color="auto" w:fill="BFBFBF"/>
            <w:tcMar>
              <w:top w:w="80" w:type="dxa"/>
              <w:left w:w="80" w:type="dxa"/>
              <w:bottom w:w="80" w:type="dxa"/>
              <w:right w:w="80" w:type="dxa"/>
            </w:tcMar>
            <w:vAlign w:val="center"/>
          </w:tcPr>
          <w:p w14:paraId="2324FE9F" w14:textId="77777777" w:rsidR="004B3B82" w:rsidRPr="005F754A" w:rsidRDefault="004B3B82" w:rsidP="00CD3B05">
            <w:pPr>
              <w:tabs>
                <w:tab w:val="left" w:pos="176"/>
              </w:tabs>
              <w:jc w:val="center"/>
              <w:rPr>
                <w:rFonts w:ascii="Garamond" w:eastAsia="Garamond" w:hAnsi="Garamond" w:cs="Garamond"/>
                <w:b/>
                <w:bCs/>
              </w:rPr>
            </w:pPr>
            <w:r w:rsidRPr="005F754A">
              <w:rPr>
                <w:rFonts w:ascii="Garamond" w:hAnsi="Garamond"/>
                <w:b/>
                <w:bCs/>
              </w:rPr>
              <w:t>№</w:t>
            </w:r>
          </w:p>
          <w:p w14:paraId="5D48D374" w14:textId="77777777" w:rsidR="004B3B82" w:rsidRPr="005F754A" w:rsidRDefault="004B3B82" w:rsidP="00CD3B05">
            <w:pPr>
              <w:tabs>
                <w:tab w:val="left" w:pos="176"/>
              </w:tabs>
              <w:jc w:val="center"/>
              <w:rPr>
                <w:rFonts w:ascii="Garamond" w:hAnsi="Garamond"/>
              </w:rPr>
            </w:pPr>
            <w:r w:rsidRPr="005F754A">
              <w:rPr>
                <w:rFonts w:ascii="Garamond" w:hAnsi="Garamond"/>
                <w:b/>
                <w:bCs/>
              </w:rPr>
              <w:t>п/п</w:t>
            </w:r>
          </w:p>
        </w:tc>
        <w:tc>
          <w:tcPr>
            <w:tcW w:w="1568" w:type="dxa"/>
            <w:tcBorders>
              <w:top w:val="single" w:sz="4" w:space="0" w:color="000000"/>
              <w:left w:val="single" w:sz="4" w:space="0" w:color="000000"/>
              <w:bottom w:val="single" w:sz="4" w:space="0" w:color="000000"/>
              <w:right w:val="single" w:sz="4" w:space="0" w:color="000000"/>
            </w:tcBorders>
            <w:shd w:val="clear" w:color="auto" w:fill="BFBFBF"/>
            <w:tcMar>
              <w:top w:w="80" w:type="dxa"/>
              <w:left w:w="80" w:type="dxa"/>
              <w:bottom w:w="80" w:type="dxa"/>
              <w:right w:w="80" w:type="dxa"/>
            </w:tcMar>
            <w:vAlign w:val="center"/>
          </w:tcPr>
          <w:p w14:paraId="4DE50419" w14:textId="77777777" w:rsidR="004B3B82" w:rsidRDefault="004B3B82" w:rsidP="00CD3B05">
            <w:pPr>
              <w:jc w:val="center"/>
              <w:rPr>
                <w:rFonts w:ascii="Garamond" w:hAnsi="Garamond"/>
                <w:b/>
                <w:bCs/>
              </w:rPr>
            </w:pPr>
            <w:r>
              <w:rPr>
                <w:rFonts w:hAnsi="Garamond"/>
                <w:b/>
                <w:bCs/>
              </w:rPr>
              <w:t>Обозначение</w:t>
            </w:r>
            <w:r>
              <w:rPr>
                <w:rFonts w:hAnsi="Garamond"/>
                <w:b/>
                <w:bCs/>
              </w:rPr>
              <w:t xml:space="preserve"> </w:t>
            </w:r>
            <w:r>
              <w:rPr>
                <w:rFonts w:hAnsi="Garamond"/>
                <w:b/>
                <w:bCs/>
              </w:rPr>
              <w:t>п</w:t>
            </w:r>
            <w:r w:rsidRPr="004D7191">
              <w:rPr>
                <w:rFonts w:hAnsi="Garamond"/>
                <w:b/>
                <w:bCs/>
              </w:rPr>
              <w:t>арам</w:t>
            </w:r>
            <w:r w:rsidRPr="00A064A9">
              <w:rPr>
                <w:rFonts w:hAnsi="Garamond"/>
                <w:b/>
                <w:bCs/>
              </w:rPr>
              <w:t>етр</w:t>
            </w:r>
            <w:r>
              <w:rPr>
                <w:rFonts w:hAnsi="Garamond"/>
                <w:b/>
                <w:bCs/>
              </w:rPr>
              <w:t>а</w:t>
            </w:r>
            <w:r w:rsidRPr="005F754A">
              <w:rPr>
                <w:rFonts w:ascii="Garamond" w:hAnsi="Garamond"/>
                <w:b/>
                <w:bCs/>
              </w:rPr>
              <w:t xml:space="preserve"> </w:t>
            </w:r>
          </w:p>
          <w:p w14:paraId="65DB0FB1" w14:textId="77777777" w:rsidR="004B3B82" w:rsidRPr="008E7205" w:rsidRDefault="004B3B82" w:rsidP="00CD3B05">
            <w:pPr>
              <w:jc w:val="center"/>
              <w:rPr>
                <w:rFonts w:ascii="Garamond" w:hAnsi="Garamond"/>
                <w:sz w:val="18"/>
                <w:szCs w:val="18"/>
              </w:rPr>
            </w:pPr>
            <w:r w:rsidRPr="008E7205">
              <w:rPr>
                <w:rFonts w:ascii="Garamond" w:hAnsi="Garamond"/>
                <w:bCs/>
                <w:sz w:val="18"/>
                <w:szCs w:val="18"/>
              </w:rPr>
              <w:t>(</w:t>
            </w:r>
            <w:r>
              <w:rPr>
                <w:rFonts w:ascii="Garamond" w:hAnsi="Garamond"/>
                <w:bCs/>
                <w:sz w:val="18"/>
                <w:szCs w:val="18"/>
              </w:rPr>
              <w:t xml:space="preserve">номер </w:t>
            </w:r>
            <w:r w:rsidRPr="008E7205">
              <w:rPr>
                <w:rFonts w:ascii="Garamond" w:hAnsi="Garamond"/>
                <w:bCs/>
                <w:sz w:val="18"/>
                <w:szCs w:val="18"/>
              </w:rPr>
              <w:t>пункт</w:t>
            </w:r>
            <w:r>
              <w:rPr>
                <w:rFonts w:ascii="Garamond" w:hAnsi="Garamond"/>
                <w:bCs/>
                <w:sz w:val="18"/>
                <w:szCs w:val="18"/>
              </w:rPr>
              <w:t>а</w:t>
            </w:r>
            <w:r w:rsidRPr="008E7205">
              <w:rPr>
                <w:rFonts w:ascii="Garamond" w:hAnsi="Garamond"/>
                <w:bCs/>
                <w:sz w:val="18"/>
                <w:szCs w:val="18"/>
              </w:rPr>
              <w:t xml:space="preserve"> согласно Приложению № 11.1 к </w:t>
            </w:r>
            <w:r w:rsidRPr="008E7205">
              <w:rPr>
                <w:rFonts w:ascii="Garamond" w:hAnsi="Garamond"/>
                <w:bCs/>
                <w:i/>
                <w:sz w:val="18"/>
                <w:szCs w:val="18"/>
              </w:rPr>
              <w:t>Положению о реестре</w:t>
            </w:r>
            <w:r w:rsidRPr="008E7205">
              <w:rPr>
                <w:rFonts w:ascii="Garamond" w:hAnsi="Garamond"/>
                <w:bCs/>
                <w:sz w:val="18"/>
                <w:szCs w:val="18"/>
              </w:rPr>
              <w:t xml:space="preserve">) </w:t>
            </w:r>
          </w:p>
        </w:tc>
        <w:tc>
          <w:tcPr>
            <w:tcW w:w="7789" w:type="dxa"/>
            <w:tcBorders>
              <w:top w:val="single" w:sz="4" w:space="0" w:color="000000"/>
              <w:left w:val="single" w:sz="4" w:space="0" w:color="000000"/>
              <w:bottom w:val="single" w:sz="4" w:space="0" w:color="000000"/>
              <w:right w:val="single" w:sz="4" w:space="0" w:color="000000"/>
            </w:tcBorders>
            <w:shd w:val="clear" w:color="auto" w:fill="BFBFBF"/>
            <w:tcMar>
              <w:top w:w="80" w:type="dxa"/>
              <w:left w:w="80" w:type="dxa"/>
              <w:bottom w:w="80" w:type="dxa"/>
              <w:right w:w="80" w:type="dxa"/>
            </w:tcMar>
            <w:vAlign w:val="center"/>
          </w:tcPr>
          <w:p w14:paraId="1FF5E6A0" w14:textId="77777777" w:rsidR="004B3B82" w:rsidRPr="005F754A" w:rsidRDefault="004B3B82" w:rsidP="00CD3B05">
            <w:pPr>
              <w:jc w:val="center"/>
              <w:rPr>
                <w:rFonts w:ascii="Garamond" w:hAnsi="Garamond"/>
              </w:rPr>
            </w:pPr>
            <w:r w:rsidRPr="005F754A">
              <w:rPr>
                <w:rFonts w:ascii="Garamond" w:hAnsi="Garamond"/>
                <w:b/>
                <w:bCs/>
              </w:rPr>
              <w:t>Наименование параметра</w:t>
            </w:r>
            <w:r w:rsidRPr="000D0141">
              <w:rPr>
                <w:rFonts w:ascii="Garamond" w:hAnsi="Garamond"/>
                <w:b/>
                <w:bCs/>
              </w:rPr>
              <w:t xml:space="preserve"> </w:t>
            </w:r>
            <w:r w:rsidRPr="005F754A">
              <w:rPr>
                <w:rFonts w:ascii="Garamond" w:hAnsi="Garamond"/>
                <w:b/>
                <w:bCs/>
              </w:rPr>
              <w:t>/</w:t>
            </w:r>
            <w:r w:rsidRPr="000D0141">
              <w:rPr>
                <w:rFonts w:ascii="Garamond" w:hAnsi="Garamond"/>
                <w:b/>
                <w:bCs/>
              </w:rPr>
              <w:t xml:space="preserve"> </w:t>
            </w:r>
            <w:r w:rsidRPr="005F754A">
              <w:rPr>
                <w:rFonts w:ascii="Garamond" w:hAnsi="Garamond"/>
                <w:b/>
                <w:bCs/>
              </w:rPr>
              <w:t>требование к порядку проведения экспертизы</w:t>
            </w:r>
          </w:p>
        </w:tc>
      </w:tr>
      <w:tr w:rsidR="004B3B82" w:rsidRPr="000D5747" w14:paraId="2952D102" w14:textId="77777777" w:rsidTr="00CD3B05">
        <w:tblPrEx>
          <w:shd w:val="clear" w:color="auto" w:fill="auto"/>
        </w:tblPrEx>
        <w:trPr>
          <w:trHeight w:val="250"/>
          <w:jc w:val="right"/>
        </w:trPr>
        <w:tc>
          <w:tcPr>
            <w:tcW w:w="567" w:type="dxa"/>
            <w:tcBorders>
              <w:top w:val="single" w:sz="4" w:space="0" w:color="000000"/>
              <w:left w:val="single" w:sz="4" w:space="0" w:color="000000"/>
              <w:bottom w:val="single" w:sz="4" w:space="0" w:color="000000"/>
              <w:right w:val="single" w:sz="4" w:space="0" w:color="000000"/>
            </w:tcBorders>
            <w:shd w:val="clear" w:color="auto" w:fill="BFBFBF"/>
            <w:tcMar>
              <w:top w:w="80" w:type="dxa"/>
              <w:left w:w="80" w:type="dxa"/>
              <w:bottom w:w="80" w:type="dxa"/>
              <w:right w:w="80" w:type="dxa"/>
            </w:tcMar>
            <w:vAlign w:val="center"/>
          </w:tcPr>
          <w:p w14:paraId="261873B7" w14:textId="77777777" w:rsidR="004B3B82" w:rsidRPr="000D5747" w:rsidRDefault="004B3B82" w:rsidP="00CD3B05">
            <w:pPr>
              <w:jc w:val="center"/>
              <w:rPr>
                <w:rFonts w:ascii="Garamond" w:hAnsi="Garamond"/>
              </w:rPr>
            </w:pPr>
            <w:r w:rsidRPr="000D5747">
              <w:rPr>
                <w:rFonts w:ascii="Garamond" w:hAnsi="Garamond"/>
              </w:rPr>
              <w:t>1</w:t>
            </w:r>
          </w:p>
        </w:tc>
        <w:tc>
          <w:tcPr>
            <w:tcW w:w="1568" w:type="dxa"/>
            <w:tcBorders>
              <w:top w:val="single" w:sz="4" w:space="0" w:color="000000"/>
              <w:left w:val="single" w:sz="4" w:space="0" w:color="000000"/>
              <w:bottom w:val="single" w:sz="4" w:space="0" w:color="000000"/>
              <w:right w:val="single" w:sz="4" w:space="0" w:color="000000"/>
            </w:tcBorders>
            <w:shd w:val="clear" w:color="auto" w:fill="BFBFBF"/>
            <w:tcMar>
              <w:top w:w="80" w:type="dxa"/>
              <w:left w:w="80" w:type="dxa"/>
              <w:bottom w:w="80" w:type="dxa"/>
              <w:right w:w="80" w:type="dxa"/>
            </w:tcMar>
            <w:vAlign w:val="center"/>
          </w:tcPr>
          <w:p w14:paraId="131BF007" w14:textId="77777777" w:rsidR="004B3B82" w:rsidRPr="000D5747" w:rsidRDefault="004B3B82" w:rsidP="00CD3B05">
            <w:pPr>
              <w:jc w:val="center"/>
              <w:rPr>
                <w:rFonts w:ascii="Garamond" w:hAnsi="Garamond"/>
                <w:b/>
                <w:bCs/>
              </w:rPr>
            </w:pPr>
            <w:r w:rsidRPr="000D5747">
              <w:rPr>
                <w:rFonts w:ascii="Garamond" w:hAnsi="Garamond"/>
                <w:b/>
                <w:bCs/>
              </w:rPr>
              <w:t>–</w:t>
            </w:r>
          </w:p>
        </w:tc>
        <w:tc>
          <w:tcPr>
            <w:tcW w:w="7789" w:type="dxa"/>
            <w:tcBorders>
              <w:top w:val="single" w:sz="4" w:space="0" w:color="000000"/>
              <w:left w:val="single" w:sz="4" w:space="0" w:color="000000"/>
              <w:bottom w:val="single" w:sz="4" w:space="0" w:color="000000"/>
              <w:right w:val="single" w:sz="4" w:space="0" w:color="000000"/>
            </w:tcBorders>
            <w:shd w:val="clear" w:color="auto" w:fill="BFBFBF"/>
            <w:tcMar>
              <w:top w:w="80" w:type="dxa"/>
              <w:left w:w="80" w:type="dxa"/>
              <w:bottom w:w="80" w:type="dxa"/>
              <w:right w:w="80" w:type="dxa"/>
            </w:tcMar>
          </w:tcPr>
          <w:p w14:paraId="31D3E707" w14:textId="77777777" w:rsidR="004B3B82" w:rsidRPr="000D5747" w:rsidRDefault="004B3B82" w:rsidP="00CD3B05">
            <w:pPr>
              <w:rPr>
                <w:rFonts w:ascii="Garamond" w:hAnsi="Garamond"/>
                <w:b/>
                <w:bCs/>
              </w:rPr>
            </w:pPr>
            <w:r w:rsidRPr="007945A6">
              <w:rPr>
                <w:rFonts w:ascii="Garamond" w:hAnsi="Garamond"/>
                <w:b/>
                <w:bCs/>
              </w:rPr>
              <w:t xml:space="preserve">Проверка соответствия </w:t>
            </w:r>
            <w:r w:rsidRPr="007945A6">
              <w:rPr>
                <w:rFonts w:ascii="Garamond" w:hAnsi="Garamond"/>
                <w:b/>
                <w:bCs/>
                <w:highlight w:val="yellow"/>
              </w:rPr>
              <w:t>заявляемого состава точек измерений</w:t>
            </w:r>
            <w:r w:rsidRPr="002B490C">
              <w:rPr>
                <w:rFonts w:ascii="Garamond" w:hAnsi="Garamond"/>
                <w:b/>
                <w:spacing w:val="-2"/>
              </w:rPr>
              <w:t xml:space="preserve">. Проверка на наличие </w:t>
            </w:r>
            <w:r w:rsidRPr="001E130A">
              <w:rPr>
                <w:rFonts w:ascii="Garamond" w:hAnsi="Garamond"/>
                <w:b/>
                <w:spacing w:val="-2"/>
                <w:highlight w:val="yellow"/>
              </w:rPr>
              <w:t>приборов учета</w:t>
            </w:r>
            <w:r w:rsidRPr="002B490C">
              <w:rPr>
                <w:rFonts w:ascii="Garamond" w:hAnsi="Garamond"/>
                <w:b/>
                <w:spacing w:val="-2"/>
              </w:rPr>
              <w:t>, которые не фиксируют время и дату пропадания и восстановления напряжения по каждой фазе</w:t>
            </w:r>
          </w:p>
        </w:tc>
      </w:tr>
      <w:tr w:rsidR="004B3B82" w:rsidRPr="000D5747" w14:paraId="1B4B78DD" w14:textId="77777777" w:rsidTr="00CD3B05">
        <w:tblPrEx>
          <w:shd w:val="clear" w:color="auto" w:fill="auto"/>
        </w:tblPrEx>
        <w:trPr>
          <w:trHeight w:val="250"/>
          <w:jc w:val="right"/>
        </w:trPr>
        <w:tc>
          <w:tcPr>
            <w:tcW w:w="567" w:type="dxa"/>
            <w:tcBorders>
              <w:top w:val="single" w:sz="4" w:space="0" w:color="000000"/>
              <w:left w:val="single" w:sz="4" w:space="0" w:color="000000"/>
              <w:bottom w:val="single" w:sz="4" w:space="0" w:color="000000"/>
              <w:right w:val="single" w:sz="4" w:space="0" w:color="000000"/>
            </w:tcBorders>
            <w:shd w:val="clear" w:color="auto" w:fill="FFFF00"/>
            <w:tcMar>
              <w:top w:w="80" w:type="dxa"/>
              <w:left w:w="80" w:type="dxa"/>
              <w:bottom w:w="80" w:type="dxa"/>
              <w:right w:w="80" w:type="dxa"/>
            </w:tcMar>
            <w:vAlign w:val="center"/>
          </w:tcPr>
          <w:p w14:paraId="69290EEB" w14:textId="77777777" w:rsidR="004B3B82" w:rsidRPr="000D5747" w:rsidRDefault="004B3B82" w:rsidP="00CD3B05">
            <w:pPr>
              <w:rPr>
                <w:rFonts w:ascii="Garamond" w:hAnsi="Garamond"/>
              </w:rPr>
            </w:pPr>
          </w:p>
        </w:tc>
        <w:tc>
          <w:tcPr>
            <w:tcW w:w="1568" w:type="dxa"/>
            <w:tcBorders>
              <w:top w:val="single" w:sz="4" w:space="0" w:color="000000"/>
              <w:left w:val="single" w:sz="4" w:space="0" w:color="000000"/>
              <w:bottom w:val="single" w:sz="4" w:space="0" w:color="000000"/>
              <w:right w:val="single" w:sz="4" w:space="0" w:color="000000"/>
            </w:tcBorders>
            <w:shd w:val="clear" w:color="auto" w:fill="FFFF00"/>
            <w:tcMar>
              <w:top w:w="80" w:type="dxa"/>
              <w:left w:w="80" w:type="dxa"/>
              <w:bottom w:w="80" w:type="dxa"/>
              <w:right w:w="80" w:type="dxa"/>
            </w:tcMar>
            <w:vAlign w:val="center"/>
          </w:tcPr>
          <w:p w14:paraId="672E3B5D" w14:textId="77777777" w:rsidR="004B3B82" w:rsidRPr="000D5747" w:rsidRDefault="004B3B82" w:rsidP="00CD3B05">
            <w:pPr>
              <w:jc w:val="center"/>
              <w:rPr>
                <w:rFonts w:ascii="Garamond" w:hAnsi="Garamond"/>
              </w:rPr>
            </w:pPr>
            <w:r w:rsidRPr="000D5747">
              <w:rPr>
                <w:rFonts w:ascii="Garamond" w:hAnsi="Garamond"/>
                <w:b/>
                <w:bCs/>
              </w:rPr>
              <w:t>Компоненты</w:t>
            </w:r>
          </w:p>
        </w:tc>
        <w:tc>
          <w:tcPr>
            <w:tcW w:w="7789" w:type="dxa"/>
            <w:tcBorders>
              <w:top w:val="single" w:sz="4" w:space="0" w:color="000000"/>
              <w:left w:val="single" w:sz="4" w:space="0" w:color="000000"/>
              <w:bottom w:val="single" w:sz="4" w:space="0" w:color="000000"/>
              <w:right w:val="single" w:sz="4" w:space="0" w:color="000000"/>
            </w:tcBorders>
            <w:shd w:val="clear" w:color="auto" w:fill="FFFF00"/>
            <w:tcMar>
              <w:top w:w="80" w:type="dxa"/>
              <w:left w:w="80" w:type="dxa"/>
              <w:bottom w:w="80" w:type="dxa"/>
              <w:right w:w="80" w:type="dxa"/>
            </w:tcMar>
          </w:tcPr>
          <w:p w14:paraId="73A8517F" w14:textId="77777777" w:rsidR="004B3B82" w:rsidRPr="000D5747" w:rsidRDefault="004B3B82" w:rsidP="00CD3B05">
            <w:pPr>
              <w:rPr>
                <w:rFonts w:ascii="Garamond" w:hAnsi="Garamond"/>
              </w:rPr>
            </w:pPr>
            <w:r w:rsidRPr="000D5747">
              <w:rPr>
                <w:rFonts w:ascii="Garamond" w:hAnsi="Garamond"/>
              </w:rPr>
              <w:t xml:space="preserve">ИИК – </w:t>
            </w:r>
            <w:r w:rsidRPr="001E130A">
              <w:rPr>
                <w:rFonts w:ascii="Garamond" w:hAnsi="Garamond"/>
                <w:highlight w:val="green"/>
              </w:rPr>
              <w:t>приборы учета</w:t>
            </w:r>
            <w:r w:rsidRPr="000D5747">
              <w:rPr>
                <w:rFonts w:ascii="Garamond" w:hAnsi="Garamond"/>
              </w:rPr>
              <w:t xml:space="preserve">, измерительные трансформаторы тока и напряжения (далее – </w:t>
            </w:r>
            <w:r w:rsidRPr="001E130A">
              <w:rPr>
                <w:rFonts w:ascii="Garamond" w:hAnsi="Garamond"/>
                <w:highlight w:val="green"/>
              </w:rPr>
              <w:t>прибор учета</w:t>
            </w:r>
            <w:r w:rsidRPr="000D5747">
              <w:rPr>
                <w:rFonts w:ascii="Garamond" w:hAnsi="Garamond"/>
              </w:rPr>
              <w:t>, ТТ, ТН)</w:t>
            </w:r>
          </w:p>
        </w:tc>
      </w:tr>
      <w:tr w:rsidR="004B3B82" w:rsidRPr="00F33116" w14:paraId="3085923B" w14:textId="77777777" w:rsidTr="00CD3B05">
        <w:tblPrEx>
          <w:shd w:val="clear" w:color="auto" w:fill="auto"/>
        </w:tblPrEx>
        <w:trPr>
          <w:trHeight w:val="989"/>
          <w:jc w:val="right"/>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9687659" w14:textId="77777777" w:rsidR="004B3B82" w:rsidRPr="000D5747" w:rsidRDefault="004B3B82" w:rsidP="00CD3B05">
            <w:pPr>
              <w:rPr>
                <w:rFonts w:ascii="Garamond" w:hAnsi="Garamond"/>
              </w:rPr>
            </w:pPr>
          </w:p>
        </w:tc>
        <w:tc>
          <w:tcPr>
            <w:tcW w:w="15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79119C8" w14:textId="77777777" w:rsidR="004B3B82" w:rsidRPr="00F33116" w:rsidRDefault="004B3B82" w:rsidP="00CD3B05">
            <w:pPr>
              <w:jc w:val="center"/>
              <w:rPr>
                <w:rFonts w:ascii="Garamond" w:hAnsi="Garamond"/>
              </w:rPr>
            </w:pPr>
            <w:r w:rsidRPr="00F33116">
              <w:rPr>
                <w:rFonts w:ascii="Garamond" w:hAnsi="Garamond"/>
                <w:b/>
                <w:bCs/>
              </w:rPr>
              <w:t>Действия</w:t>
            </w:r>
          </w:p>
        </w:tc>
        <w:tc>
          <w:tcPr>
            <w:tcW w:w="778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4970B9D" w14:textId="77777777" w:rsidR="004B3B82" w:rsidRPr="001E130A" w:rsidRDefault="004B3B82" w:rsidP="004B3B82">
            <w:pPr>
              <w:pStyle w:val="ac"/>
              <w:numPr>
                <w:ilvl w:val="3"/>
                <w:numId w:val="132"/>
              </w:numPr>
              <w:tabs>
                <w:tab w:val="clear" w:pos="2820"/>
                <w:tab w:val="left" w:pos="194"/>
              </w:tabs>
              <w:ind w:left="0" w:firstLine="0"/>
              <w:jc w:val="both"/>
              <w:rPr>
                <w:rFonts w:ascii="Garamond" w:hAnsi="Garamond"/>
                <w:highlight w:val="yellow"/>
              </w:rPr>
            </w:pPr>
            <w:r w:rsidRPr="0081004D">
              <w:rPr>
                <w:rFonts w:ascii="Garamond" w:hAnsi="Garamond"/>
                <w:highlight w:val="yellow"/>
              </w:rPr>
              <w:t xml:space="preserve">При проведении </w:t>
            </w:r>
            <w:r>
              <w:rPr>
                <w:rFonts w:ascii="Garamond" w:hAnsi="Garamond"/>
                <w:highlight w:val="yellow"/>
              </w:rPr>
              <w:t>процедуры</w:t>
            </w:r>
            <w:r w:rsidRPr="0081004D">
              <w:rPr>
                <w:rFonts w:ascii="Garamond" w:hAnsi="Garamond"/>
                <w:highlight w:val="yellow"/>
              </w:rPr>
              <w:t xml:space="preserve"> установления соответствия АИИС КУЭ</w:t>
            </w:r>
            <w:r w:rsidRPr="001E130A">
              <w:rPr>
                <w:rFonts w:ascii="Garamond" w:hAnsi="Garamond"/>
                <w:highlight w:val="yellow"/>
              </w:rPr>
              <w:t>:</w:t>
            </w:r>
          </w:p>
          <w:p w14:paraId="01A5468D" w14:textId="77777777" w:rsidR="004B3B82" w:rsidRPr="007E44F3" w:rsidRDefault="004B3B82" w:rsidP="00CD3B05">
            <w:pPr>
              <w:pStyle w:val="ac"/>
              <w:tabs>
                <w:tab w:val="left" w:pos="1440"/>
              </w:tabs>
              <w:ind w:left="0"/>
              <w:jc w:val="both"/>
              <w:rPr>
                <w:rFonts w:ascii="Garamond" w:hAnsi="Garamond"/>
              </w:rPr>
            </w:pPr>
            <w:r w:rsidRPr="007E44F3">
              <w:rPr>
                <w:rFonts w:ascii="Garamond" w:hAnsi="Garamond"/>
              </w:rPr>
              <w:t>Производится идентификация и соотнесение точек измерений (ИИК), указанных в опросных листах (макет 90000), с точками измерений (ИИК), закодированными КО, а также указанными в перечне средств измерений для целей коммерческого учета (ПСИ в макетах 60002, 60090).</w:t>
            </w:r>
          </w:p>
          <w:p w14:paraId="3C9051C2" w14:textId="77777777" w:rsidR="004B3B82" w:rsidRPr="007E44F3" w:rsidRDefault="004B3B82" w:rsidP="00CD3B05">
            <w:pPr>
              <w:pStyle w:val="ac"/>
              <w:tabs>
                <w:tab w:val="left" w:pos="1440"/>
              </w:tabs>
              <w:ind w:left="0"/>
              <w:jc w:val="both"/>
              <w:rPr>
                <w:rFonts w:ascii="Garamond" w:hAnsi="Garamond"/>
              </w:rPr>
            </w:pPr>
            <w:r w:rsidRPr="0070300B">
              <w:rPr>
                <w:rFonts w:ascii="Garamond" w:hAnsi="Garamond"/>
              </w:rPr>
              <w:t xml:space="preserve">Производится идентификация и соотнесение точек измерений (ИИК), указанных в опросных листах (макет 90000) и закодированных КО с признаком включения в АИИС КУЭ, с точками измерений (ИИК), указанными в описании типа средств измерений АИИС КУЭ и (или) свидетельстве о поверке АИИС КУЭ с приложением перечня измерительных каналов либо паспортах-протоколах, актах допуска прибора учета в эксплуатацию, свидетельствах о поверке </w:t>
            </w:r>
            <w:r w:rsidRPr="001E130A">
              <w:rPr>
                <w:rFonts w:ascii="Garamond" w:hAnsi="Garamond"/>
                <w:highlight w:val="yellow"/>
              </w:rPr>
              <w:t>приборов учета</w:t>
            </w:r>
            <w:r w:rsidRPr="0070300B">
              <w:rPr>
                <w:rFonts w:ascii="Garamond" w:hAnsi="Garamond"/>
              </w:rPr>
              <w:t xml:space="preserve"> (в случае оформления Акта </w:t>
            </w:r>
            <w:r w:rsidRPr="001E130A">
              <w:rPr>
                <w:rFonts w:ascii="Garamond" w:hAnsi="Garamond"/>
                <w:highlight w:val="yellow"/>
              </w:rPr>
              <w:t>о соответствии</w:t>
            </w:r>
            <w:r>
              <w:rPr>
                <w:rFonts w:ascii="Garamond" w:hAnsi="Garamond"/>
              </w:rPr>
              <w:t xml:space="preserve"> </w:t>
            </w:r>
            <w:r w:rsidRPr="0070300B">
              <w:rPr>
                <w:rFonts w:ascii="Garamond" w:hAnsi="Garamond"/>
              </w:rPr>
              <w:t xml:space="preserve">АИИС КУЭ класса </w:t>
            </w:r>
            <w:r w:rsidRPr="0070300B">
              <w:rPr>
                <w:rFonts w:ascii="Garamond" w:hAnsi="Garamond"/>
                <w:lang w:val="en-US"/>
              </w:rPr>
              <w:t>N</w:t>
            </w:r>
            <w:r w:rsidRPr="0070300B">
              <w:rPr>
                <w:rFonts w:ascii="Garamond" w:hAnsi="Garamond"/>
              </w:rPr>
              <w:t xml:space="preserve"> и в случаях, предусмотренных п. 1.2.1 настоящего Порядка).</w:t>
            </w:r>
          </w:p>
          <w:p w14:paraId="079D64B6" w14:textId="77777777" w:rsidR="004B3B82" w:rsidRPr="007E44F3" w:rsidRDefault="004B3B82" w:rsidP="00CD3B05">
            <w:pPr>
              <w:pStyle w:val="ac"/>
              <w:tabs>
                <w:tab w:val="left" w:pos="1440"/>
              </w:tabs>
              <w:ind w:left="0"/>
              <w:jc w:val="both"/>
              <w:rPr>
                <w:rFonts w:ascii="Garamond" w:hAnsi="Garamond"/>
              </w:rPr>
            </w:pPr>
            <w:r w:rsidRPr="007E44F3">
              <w:rPr>
                <w:rFonts w:ascii="Garamond" w:hAnsi="Garamond"/>
              </w:rPr>
              <w:t>Производится соотнесение свидетельства (сертификата) об утверждении типа средств измерений АИИС КУЭ (с приложением описания типа средств измерений АИИС КУЭ) и (или) свидетельства о поверке АИИС КУЭ (с приложением перечня измерительных каналов) с опубликованными соответствующими документами в Федеральном информационном фонде по обеспечению единства измерений.</w:t>
            </w:r>
          </w:p>
          <w:p w14:paraId="3C2D41E8" w14:textId="77777777" w:rsidR="004B3B82" w:rsidRDefault="004B3B82" w:rsidP="00CD3B05">
            <w:pPr>
              <w:pStyle w:val="ac"/>
              <w:tabs>
                <w:tab w:val="left" w:pos="1440"/>
              </w:tabs>
              <w:ind w:left="0"/>
              <w:jc w:val="both"/>
              <w:rPr>
                <w:rFonts w:ascii="Garamond" w:hAnsi="Garamond"/>
              </w:rPr>
            </w:pPr>
            <w:r w:rsidRPr="007E44F3">
              <w:rPr>
                <w:rFonts w:ascii="Garamond" w:hAnsi="Garamond"/>
              </w:rPr>
              <w:t xml:space="preserve">Производится проверка описаний типа средств измерений в составе АИИС КУЭ на предмет наличия в АИИС КУЭ </w:t>
            </w:r>
            <w:r w:rsidRPr="001E130A">
              <w:rPr>
                <w:rFonts w:ascii="Garamond" w:hAnsi="Garamond"/>
                <w:highlight w:val="yellow"/>
              </w:rPr>
              <w:t>приборов учета</w:t>
            </w:r>
            <w:r w:rsidRPr="007E44F3">
              <w:rPr>
                <w:rFonts w:ascii="Garamond" w:hAnsi="Garamond"/>
              </w:rPr>
              <w:t>, которые не фиксируют время и дату пропадания и восстановления напряжения по каждой фазе.</w:t>
            </w:r>
          </w:p>
          <w:p w14:paraId="2F462611" w14:textId="77777777" w:rsidR="004B3B82" w:rsidRDefault="004B3B82" w:rsidP="00CD3B05">
            <w:pPr>
              <w:pStyle w:val="ac"/>
              <w:tabs>
                <w:tab w:val="left" w:pos="1440"/>
              </w:tabs>
              <w:ind w:left="0"/>
              <w:jc w:val="both"/>
              <w:rPr>
                <w:rFonts w:ascii="Garamond" w:hAnsi="Garamond"/>
              </w:rPr>
            </w:pPr>
          </w:p>
          <w:p w14:paraId="312F2A46" w14:textId="77777777" w:rsidR="004B3B82" w:rsidRPr="001E130A" w:rsidRDefault="004B3B82" w:rsidP="004B3B82">
            <w:pPr>
              <w:pStyle w:val="ac"/>
              <w:numPr>
                <w:ilvl w:val="3"/>
                <w:numId w:val="132"/>
              </w:numPr>
              <w:tabs>
                <w:tab w:val="clear" w:pos="2820"/>
                <w:tab w:val="left" w:pos="194"/>
              </w:tabs>
              <w:ind w:left="0" w:firstLine="0"/>
              <w:jc w:val="both"/>
              <w:rPr>
                <w:rFonts w:ascii="Garamond" w:hAnsi="Garamond"/>
                <w:highlight w:val="yellow"/>
              </w:rPr>
            </w:pPr>
            <w:r w:rsidRPr="007945A6">
              <w:rPr>
                <w:rFonts w:ascii="Garamond" w:hAnsi="Garamond"/>
                <w:highlight w:val="yellow"/>
              </w:rPr>
              <w:t xml:space="preserve">При проведении </w:t>
            </w:r>
            <w:r>
              <w:rPr>
                <w:rFonts w:ascii="Garamond" w:hAnsi="Garamond"/>
                <w:highlight w:val="yellow"/>
              </w:rPr>
              <w:t>процедуры подтверждения соответствия</w:t>
            </w:r>
            <w:r w:rsidRPr="007945A6">
              <w:rPr>
                <w:rFonts w:ascii="Garamond" w:hAnsi="Garamond"/>
                <w:highlight w:val="yellow"/>
              </w:rPr>
              <w:t xml:space="preserve"> </w:t>
            </w:r>
            <w:r>
              <w:rPr>
                <w:rFonts w:ascii="Garamond" w:hAnsi="Garamond"/>
                <w:highlight w:val="yellow"/>
              </w:rPr>
              <w:t>системы учета агрегатора техническим требованиям оптового рынка:</w:t>
            </w:r>
          </w:p>
          <w:p w14:paraId="79759FEF" w14:textId="77777777" w:rsidR="004B3B82" w:rsidRPr="007E44F3" w:rsidRDefault="004B3B82" w:rsidP="00CD3B05">
            <w:pPr>
              <w:pStyle w:val="ac"/>
              <w:tabs>
                <w:tab w:val="left" w:pos="1440"/>
              </w:tabs>
              <w:ind w:left="0"/>
              <w:jc w:val="both"/>
              <w:rPr>
                <w:rFonts w:ascii="Garamond" w:eastAsia="Garamond" w:hAnsi="Garamond" w:cs="Garamond"/>
              </w:rPr>
            </w:pPr>
            <w:r w:rsidRPr="00D50147">
              <w:rPr>
                <w:rFonts w:ascii="Garamond" w:hAnsi="Garamond"/>
                <w:highlight w:val="yellow"/>
              </w:rPr>
              <w:t xml:space="preserve">Производится проверка описаний типа приборов учета на предмет наличия в </w:t>
            </w:r>
            <w:r>
              <w:rPr>
                <w:rFonts w:ascii="Garamond" w:hAnsi="Garamond"/>
                <w:highlight w:val="yellow"/>
              </w:rPr>
              <w:t xml:space="preserve">составе </w:t>
            </w:r>
            <w:r w:rsidRPr="00D50147">
              <w:rPr>
                <w:rFonts w:ascii="Garamond" w:hAnsi="Garamond"/>
                <w:highlight w:val="yellow"/>
              </w:rPr>
              <w:t>совокупности СИ и ТУ приборов учета, которые не фиксируют время и дату пропадания и восстановления напряжения по каждой фазе.</w:t>
            </w:r>
          </w:p>
        </w:tc>
      </w:tr>
      <w:tr w:rsidR="004B3B82" w:rsidRPr="00F33116" w14:paraId="096C0FE4" w14:textId="77777777" w:rsidTr="00CD3B05">
        <w:tblPrEx>
          <w:shd w:val="clear" w:color="auto" w:fill="auto"/>
        </w:tblPrEx>
        <w:trPr>
          <w:trHeight w:val="69"/>
          <w:jc w:val="right"/>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F47A566" w14:textId="77777777" w:rsidR="004B3B82" w:rsidRPr="00F33116" w:rsidRDefault="004B3B82" w:rsidP="00CD3B05">
            <w:pPr>
              <w:rPr>
                <w:rFonts w:ascii="Garamond" w:hAnsi="Garamond"/>
              </w:rPr>
            </w:pPr>
          </w:p>
        </w:tc>
        <w:tc>
          <w:tcPr>
            <w:tcW w:w="15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AA0E3DD" w14:textId="77777777" w:rsidR="004B3B82" w:rsidRPr="00F33116" w:rsidRDefault="004B3B82" w:rsidP="00CD3B05">
            <w:pPr>
              <w:jc w:val="center"/>
              <w:rPr>
                <w:rFonts w:ascii="Garamond" w:hAnsi="Garamond"/>
              </w:rPr>
            </w:pPr>
            <w:r w:rsidRPr="00F33116">
              <w:rPr>
                <w:rFonts w:ascii="Garamond" w:hAnsi="Garamond"/>
                <w:b/>
                <w:bCs/>
              </w:rPr>
              <w:t>Критерии</w:t>
            </w:r>
          </w:p>
        </w:tc>
        <w:tc>
          <w:tcPr>
            <w:tcW w:w="778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9527CC4" w14:textId="5FC6F4BB" w:rsidR="004B3B82" w:rsidRPr="00994C34" w:rsidRDefault="00045B99" w:rsidP="004B3B82">
            <w:pPr>
              <w:pStyle w:val="ac"/>
              <w:numPr>
                <w:ilvl w:val="3"/>
                <w:numId w:val="189"/>
              </w:numPr>
              <w:tabs>
                <w:tab w:val="left" w:pos="163"/>
              </w:tabs>
              <w:ind w:left="0" w:firstLine="0"/>
              <w:jc w:val="both"/>
              <w:rPr>
                <w:rFonts w:ascii="Garamond" w:hAnsi="Garamond"/>
                <w:highlight w:val="yellow"/>
              </w:rPr>
            </w:pPr>
            <w:r>
              <w:rPr>
                <w:rFonts w:ascii="Garamond" w:hAnsi="Garamond"/>
                <w:highlight w:val="yellow"/>
              </w:rPr>
              <w:t xml:space="preserve"> </w:t>
            </w:r>
            <w:r w:rsidR="004B3B82" w:rsidRPr="0081004D">
              <w:rPr>
                <w:rFonts w:ascii="Garamond" w:hAnsi="Garamond"/>
                <w:highlight w:val="yellow"/>
              </w:rPr>
              <w:t xml:space="preserve">При проведении </w:t>
            </w:r>
            <w:r w:rsidR="004B3B82">
              <w:rPr>
                <w:rFonts w:ascii="Garamond" w:hAnsi="Garamond"/>
                <w:highlight w:val="yellow"/>
              </w:rPr>
              <w:t>процедуры</w:t>
            </w:r>
            <w:r w:rsidR="004B3B82" w:rsidRPr="0081004D">
              <w:rPr>
                <w:rFonts w:ascii="Garamond" w:hAnsi="Garamond"/>
                <w:highlight w:val="yellow"/>
              </w:rPr>
              <w:t xml:space="preserve"> установления соответствия АИИС КУЭ</w:t>
            </w:r>
            <w:r w:rsidR="004B3B82" w:rsidRPr="00994C34">
              <w:rPr>
                <w:rFonts w:ascii="Garamond" w:hAnsi="Garamond"/>
                <w:highlight w:val="yellow"/>
              </w:rPr>
              <w:t>:</w:t>
            </w:r>
          </w:p>
          <w:p w14:paraId="0C8918C3" w14:textId="77777777" w:rsidR="004B3B82" w:rsidRPr="007E44F3" w:rsidRDefault="004B3B82" w:rsidP="00CD3B05">
            <w:pPr>
              <w:pStyle w:val="37"/>
              <w:tabs>
                <w:tab w:val="left" w:pos="1440"/>
              </w:tabs>
              <w:spacing w:after="0" w:line="240" w:lineRule="auto"/>
              <w:ind w:left="0"/>
              <w:jc w:val="both"/>
              <w:rPr>
                <w:rFonts w:ascii="Garamond" w:hAnsi="Garamond"/>
                <w:sz w:val="20"/>
                <w:szCs w:val="20"/>
              </w:rPr>
            </w:pPr>
            <w:r w:rsidRPr="007E44F3">
              <w:rPr>
                <w:rFonts w:ascii="Garamond" w:hAnsi="Garamond"/>
                <w:sz w:val="20"/>
                <w:szCs w:val="20"/>
              </w:rPr>
              <w:t>Точки измерений, указанные в опросных листах (макет 90000), соответствуют данным, содержащимся в закодированной КО «</w:t>
            </w:r>
            <w:r w:rsidRPr="007E44F3">
              <w:rPr>
                <w:rFonts w:ascii="Garamond" w:hAnsi="Garamond"/>
                <w:sz w:val="20"/>
                <w:szCs w:val="20"/>
                <w:lang w:val="en-US"/>
              </w:rPr>
              <w:t>area</w:t>
            </w:r>
            <w:r w:rsidRPr="007E44F3">
              <w:rPr>
                <w:rFonts w:ascii="Garamond" w:hAnsi="Garamond"/>
                <w:sz w:val="20"/>
                <w:szCs w:val="20"/>
              </w:rPr>
              <w:t>» и ПСИ.</w:t>
            </w:r>
          </w:p>
          <w:p w14:paraId="0287B51B" w14:textId="77777777" w:rsidR="004B3B82" w:rsidRPr="007E44F3" w:rsidRDefault="004B3B82" w:rsidP="00CD3B05">
            <w:pPr>
              <w:pStyle w:val="37"/>
              <w:tabs>
                <w:tab w:val="left" w:pos="1440"/>
              </w:tabs>
              <w:spacing w:after="0" w:line="240" w:lineRule="auto"/>
              <w:ind w:left="0"/>
              <w:jc w:val="both"/>
              <w:rPr>
                <w:rFonts w:ascii="Garamond" w:hAnsi="Garamond"/>
                <w:sz w:val="20"/>
                <w:szCs w:val="20"/>
              </w:rPr>
            </w:pPr>
            <w:r w:rsidRPr="00DA7D75">
              <w:rPr>
                <w:rFonts w:ascii="Garamond" w:hAnsi="Garamond"/>
                <w:sz w:val="20"/>
                <w:szCs w:val="20"/>
              </w:rPr>
              <w:t xml:space="preserve">Точки измерений (ИИК), включенные в АИИС КУЭ и указанные в опросных листах (макет 90000), закодированы КО (с признаком включения в АИИС КУЭ) и содержатся в описании типа средств измерений и (или) свидетельстве о поверке АИИС КУЭ с приложением перечня измерительных каналов либо в паспортах-протоколах, актах допуска прибора учета в эксплуатацию, свидетельствах о поверке </w:t>
            </w:r>
            <w:r w:rsidRPr="001E130A">
              <w:rPr>
                <w:rFonts w:ascii="Garamond" w:hAnsi="Garamond"/>
                <w:sz w:val="20"/>
                <w:szCs w:val="20"/>
                <w:highlight w:val="yellow"/>
              </w:rPr>
              <w:t>приборов учета</w:t>
            </w:r>
            <w:r>
              <w:rPr>
                <w:rFonts w:ascii="Garamond" w:hAnsi="Garamond"/>
                <w:sz w:val="20"/>
                <w:szCs w:val="20"/>
              </w:rPr>
              <w:t xml:space="preserve"> </w:t>
            </w:r>
            <w:r w:rsidRPr="00DA7D75">
              <w:rPr>
                <w:rFonts w:ascii="Garamond" w:hAnsi="Garamond"/>
                <w:sz w:val="20"/>
                <w:szCs w:val="20"/>
              </w:rPr>
              <w:t xml:space="preserve">(в случае оформления Акта </w:t>
            </w:r>
            <w:r w:rsidRPr="001E130A">
              <w:rPr>
                <w:rFonts w:ascii="Garamond" w:hAnsi="Garamond"/>
                <w:sz w:val="20"/>
                <w:szCs w:val="20"/>
                <w:highlight w:val="yellow"/>
              </w:rPr>
              <w:t>о соответствии</w:t>
            </w:r>
            <w:r>
              <w:rPr>
                <w:rFonts w:ascii="Garamond" w:hAnsi="Garamond"/>
                <w:sz w:val="20"/>
                <w:szCs w:val="20"/>
              </w:rPr>
              <w:t xml:space="preserve"> </w:t>
            </w:r>
            <w:r w:rsidRPr="00DA7D75">
              <w:rPr>
                <w:rFonts w:ascii="Garamond" w:hAnsi="Garamond"/>
                <w:sz w:val="20"/>
                <w:szCs w:val="20"/>
              </w:rPr>
              <w:t xml:space="preserve">АИИС КУЭ класса </w:t>
            </w:r>
            <w:r w:rsidRPr="00DA7D75">
              <w:rPr>
                <w:rFonts w:ascii="Garamond" w:hAnsi="Garamond"/>
                <w:sz w:val="20"/>
                <w:szCs w:val="20"/>
                <w:lang w:val="en-US"/>
              </w:rPr>
              <w:t>N</w:t>
            </w:r>
            <w:r w:rsidRPr="00DA7D75">
              <w:rPr>
                <w:rFonts w:ascii="Garamond" w:hAnsi="Garamond"/>
                <w:sz w:val="20"/>
                <w:szCs w:val="20"/>
              </w:rPr>
              <w:t xml:space="preserve"> и в случаях, предусмотренных п. 1.2.1 настоящего Порядка).</w:t>
            </w:r>
          </w:p>
          <w:p w14:paraId="2B3B6C21" w14:textId="77777777" w:rsidR="004B3B82" w:rsidRPr="007E44F3" w:rsidRDefault="004B3B82" w:rsidP="00CD3B05">
            <w:pPr>
              <w:pStyle w:val="ac"/>
              <w:tabs>
                <w:tab w:val="left" w:pos="1440"/>
              </w:tabs>
              <w:ind w:left="0"/>
              <w:jc w:val="both"/>
              <w:rPr>
                <w:rFonts w:ascii="Garamond" w:hAnsi="Garamond"/>
              </w:rPr>
            </w:pPr>
            <w:r w:rsidRPr="007E44F3">
              <w:rPr>
                <w:rFonts w:ascii="Garamond" w:hAnsi="Garamond"/>
              </w:rPr>
              <w:t xml:space="preserve">В случае несоответствия точек измерений, указанных в опросных листах (макет 90000), точкам измерений, указанным в ПСИ (в случае, когда ПСИ сформирован в макете 60090), в части типов (модификаций) приборов учета / признака включения в АИИС КУЭ (при установлении соответствия АИИС КУЭ по действующему составу точек поставки и точек измерений) критерий считается выполненным, при этом заявителю и смежному по соответствующему сечению коммерческого учета субъекту в срок не более 2 (двух) рабочих </w:t>
            </w:r>
            <w:r w:rsidRPr="007E44F3">
              <w:rPr>
                <w:rFonts w:ascii="Garamond" w:hAnsi="Garamond"/>
              </w:rPr>
              <w:lastRenderedPageBreak/>
              <w:t>дней с даты регистрации заключения о соответствии технической документации направляется уведомление о вышеуказанном несоответствии и предъявляется требование по актуализации ПСИ в соответствии с требованиями п. 2.7.7 Положения о реестре.</w:t>
            </w:r>
          </w:p>
          <w:p w14:paraId="21B004FC" w14:textId="77777777" w:rsidR="004B3B82" w:rsidRPr="007E44F3" w:rsidRDefault="004B3B82" w:rsidP="00CD3B05">
            <w:pPr>
              <w:pStyle w:val="ac"/>
              <w:tabs>
                <w:tab w:val="left" w:pos="1440"/>
              </w:tabs>
              <w:ind w:left="0"/>
              <w:jc w:val="both"/>
              <w:rPr>
                <w:rFonts w:ascii="Garamond" w:hAnsi="Garamond"/>
              </w:rPr>
            </w:pPr>
            <w:r w:rsidRPr="007E44F3">
              <w:rPr>
                <w:rFonts w:ascii="Garamond" w:hAnsi="Garamond"/>
              </w:rPr>
              <w:t>Предоставленные в рамках комплекта документов свидетельство (сертификат) об утверждении типа средств измерений АИИС КУЭ с приложением описания типа средств измерений и (или) свидетельство о поверке АИИС КУЭ с приложением перечня измерительных каналов соответствуют опубликованным документам в Федеральном информационном фонде по обеспечению единства измерений.</w:t>
            </w:r>
          </w:p>
          <w:p w14:paraId="78BBFD9A" w14:textId="77777777" w:rsidR="004B3B82" w:rsidRDefault="004B3B82" w:rsidP="00CD3B05">
            <w:pPr>
              <w:pStyle w:val="ac"/>
              <w:tabs>
                <w:tab w:val="left" w:pos="1440"/>
              </w:tabs>
              <w:ind w:left="0"/>
              <w:jc w:val="both"/>
              <w:rPr>
                <w:rFonts w:ascii="Garamond" w:hAnsi="Garamond"/>
              </w:rPr>
            </w:pPr>
            <w:r w:rsidRPr="007E44F3">
              <w:rPr>
                <w:rFonts w:ascii="Garamond" w:hAnsi="Garamond"/>
              </w:rPr>
              <w:t xml:space="preserve">В случае наличия в АИИС КУЭ хотя бы одного </w:t>
            </w:r>
            <w:r w:rsidRPr="001E130A">
              <w:rPr>
                <w:rFonts w:ascii="Garamond" w:hAnsi="Garamond"/>
                <w:highlight w:val="yellow"/>
              </w:rPr>
              <w:t>прибора учета</w:t>
            </w:r>
            <w:r w:rsidRPr="007E44F3">
              <w:rPr>
                <w:rFonts w:ascii="Garamond" w:hAnsi="Garamond"/>
              </w:rPr>
              <w:t>, который не фиксирует время и дату пропадания и восстановления напряжения по каждой фазе, при оформлении в отношении данной АИИС КУЭ Акта о соответствии АИИС КУЭ применяются требования абзаца 5 п. 2.7.1 настоящего Порядка или абзаца 2 п. 2.7.2 настоящего Порядка (для класса N).</w:t>
            </w:r>
          </w:p>
          <w:p w14:paraId="5EFCF6C7" w14:textId="77777777" w:rsidR="004B3B82" w:rsidRDefault="004B3B82" w:rsidP="00CD3B05">
            <w:pPr>
              <w:pStyle w:val="ac"/>
              <w:tabs>
                <w:tab w:val="left" w:pos="1440"/>
              </w:tabs>
              <w:ind w:left="0"/>
              <w:jc w:val="both"/>
              <w:rPr>
                <w:rFonts w:ascii="Garamond" w:hAnsi="Garamond"/>
              </w:rPr>
            </w:pPr>
          </w:p>
          <w:p w14:paraId="2994179F" w14:textId="72C5EDDB" w:rsidR="004B3B82" w:rsidRPr="00994C34" w:rsidRDefault="00045B99" w:rsidP="004B3B82">
            <w:pPr>
              <w:pStyle w:val="ac"/>
              <w:numPr>
                <w:ilvl w:val="3"/>
                <w:numId w:val="189"/>
              </w:numPr>
              <w:tabs>
                <w:tab w:val="left" w:pos="163"/>
              </w:tabs>
              <w:ind w:left="0" w:firstLine="0"/>
              <w:jc w:val="both"/>
              <w:rPr>
                <w:rFonts w:ascii="Garamond" w:hAnsi="Garamond"/>
                <w:highlight w:val="yellow"/>
              </w:rPr>
            </w:pPr>
            <w:r>
              <w:rPr>
                <w:rFonts w:ascii="Garamond" w:hAnsi="Garamond"/>
                <w:highlight w:val="yellow"/>
              </w:rPr>
              <w:t xml:space="preserve"> </w:t>
            </w:r>
            <w:r w:rsidR="004B3B82" w:rsidRPr="007945A6">
              <w:rPr>
                <w:rFonts w:ascii="Garamond" w:hAnsi="Garamond"/>
                <w:highlight w:val="yellow"/>
              </w:rPr>
              <w:t xml:space="preserve">При проведении </w:t>
            </w:r>
            <w:r w:rsidR="004B3B82">
              <w:rPr>
                <w:rFonts w:ascii="Garamond" w:hAnsi="Garamond"/>
                <w:highlight w:val="yellow"/>
              </w:rPr>
              <w:t>процедуры подтверждения соответствия</w:t>
            </w:r>
            <w:r w:rsidR="004B3B82" w:rsidRPr="007945A6">
              <w:rPr>
                <w:rFonts w:ascii="Garamond" w:hAnsi="Garamond"/>
                <w:highlight w:val="yellow"/>
              </w:rPr>
              <w:t xml:space="preserve"> </w:t>
            </w:r>
            <w:r w:rsidR="004B3B82">
              <w:rPr>
                <w:rFonts w:ascii="Garamond" w:hAnsi="Garamond"/>
                <w:highlight w:val="yellow"/>
              </w:rPr>
              <w:t>системы учета агрегатора техническим требованиям оптового рынка</w:t>
            </w:r>
            <w:r w:rsidR="004B3B82" w:rsidRPr="00994C34">
              <w:rPr>
                <w:rFonts w:ascii="Garamond" w:hAnsi="Garamond"/>
                <w:highlight w:val="yellow"/>
              </w:rPr>
              <w:t>:</w:t>
            </w:r>
          </w:p>
          <w:p w14:paraId="315AF4BF" w14:textId="77777777" w:rsidR="004B3B82" w:rsidRPr="00994C34" w:rsidRDefault="004B3B82" w:rsidP="009E2C12">
            <w:pPr>
              <w:pStyle w:val="ac"/>
              <w:tabs>
                <w:tab w:val="left" w:pos="1440"/>
              </w:tabs>
              <w:ind w:left="0"/>
              <w:jc w:val="both"/>
              <w:rPr>
                <w:rFonts w:ascii="Garamond" w:hAnsi="Garamond"/>
                <w:color w:val="FF0000"/>
              </w:rPr>
            </w:pPr>
            <w:r w:rsidRPr="00994C34">
              <w:rPr>
                <w:rFonts w:ascii="Garamond" w:hAnsi="Garamond"/>
                <w:highlight w:val="yellow"/>
              </w:rPr>
              <w:t>В случае наличия в</w:t>
            </w:r>
            <w:r>
              <w:rPr>
                <w:rFonts w:ascii="Garamond" w:hAnsi="Garamond"/>
                <w:highlight w:val="yellow"/>
              </w:rPr>
              <w:t xml:space="preserve"> составе</w:t>
            </w:r>
            <w:r w:rsidRPr="00994C34">
              <w:rPr>
                <w:rFonts w:ascii="Garamond" w:hAnsi="Garamond"/>
                <w:highlight w:val="yellow"/>
              </w:rPr>
              <w:t xml:space="preserve"> совокупности СИ и ТУ хотя бы одного прибора учета, который не фиксирует время и дату пропадания и восстановления напряжения по </w:t>
            </w:r>
            <w:r w:rsidRPr="00702018">
              <w:rPr>
                <w:rFonts w:ascii="Garamond" w:hAnsi="Garamond"/>
                <w:highlight w:val="yellow"/>
              </w:rPr>
              <w:t xml:space="preserve">каждой фазе, при расчете срока </w:t>
            </w:r>
            <w:r w:rsidRPr="0076491C">
              <w:rPr>
                <w:rFonts w:ascii="Garamond" w:hAnsi="Garamond" w:cs="Times New Roman"/>
                <w:highlight w:val="yellow"/>
              </w:rPr>
              <w:t>подтверждения соответствия системы учета электроэнергии техническим требованиям оптового рынка</w:t>
            </w:r>
            <w:r w:rsidRPr="00702018">
              <w:rPr>
                <w:rFonts w:ascii="Garamond" w:hAnsi="Garamond"/>
                <w:highlight w:val="yellow"/>
              </w:rPr>
              <w:t xml:space="preserve"> применяются требования </w:t>
            </w:r>
            <w:r w:rsidRPr="00B906A7">
              <w:rPr>
                <w:rFonts w:ascii="Garamond" w:hAnsi="Garamond"/>
                <w:highlight w:val="yellow"/>
              </w:rPr>
              <w:t xml:space="preserve">п. </w:t>
            </w:r>
            <w:r w:rsidR="009E2C12">
              <w:rPr>
                <w:rFonts w:ascii="Garamond" w:hAnsi="Garamond"/>
                <w:highlight w:val="yellow"/>
              </w:rPr>
              <w:t>3</w:t>
            </w:r>
            <w:r w:rsidRPr="00B906A7">
              <w:rPr>
                <w:rFonts w:ascii="Garamond" w:hAnsi="Garamond"/>
                <w:highlight w:val="yellow"/>
              </w:rPr>
              <w:t xml:space="preserve">.8.5 приложения 9 </w:t>
            </w:r>
            <w:r>
              <w:rPr>
                <w:rFonts w:ascii="Garamond" w:hAnsi="Garamond"/>
                <w:highlight w:val="yellow"/>
              </w:rPr>
              <w:t xml:space="preserve">к </w:t>
            </w:r>
            <w:r w:rsidRPr="00702018">
              <w:rPr>
                <w:rFonts w:ascii="Garamond" w:hAnsi="Garamond"/>
                <w:highlight w:val="yellow"/>
              </w:rPr>
              <w:t>Положени</w:t>
            </w:r>
            <w:r>
              <w:rPr>
                <w:rFonts w:ascii="Garamond" w:hAnsi="Garamond"/>
                <w:highlight w:val="yellow"/>
              </w:rPr>
              <w:t>ю</w:t>
            </w:r>
            <w:r w:rsidRPr="00702018">
              <w:rPr>
                <w:rFonts w:ascii="Garamond" w:hAnsi="Garamond"/>
                <w:highlight w:val="yellow"/>
              </w:rPr>
              <w:t xml:space="preserve"> о реестре.</w:t>
            </w:r>
          </w:p>
        </w:tc>
      </w:tr>
      <w:tr w:rsidR="004B3B82" w:rsidRPr="00F33116" w14:paraId="69C4C15E" w14:textId="77777777" w:rsidTr="00CD3B05">
        <w:tblPrEx>
          <w:shd w:val="clear" w:color="auto" w:fill="auto"/>
        </w:tblPrEx>
        <w:trPr>
          <w:trHeight w:val="105"/>
          <w:jc w:val="right"/>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1AA62C4" w14:textId="77777777" w:rsidR="004B3B82" w:rsidRPr="00F33116" w:rsidRDefault="004B3B82" w:rsidP="00CD3B05">
            <w:pPr>
              <w:rPr>
                <w:rFonts w:ascii="Garamond" w:hAnsi="Garamond"/>
              </w:rPr>
            </w:pPr>
          </w:p>
        </w:tc>
        <w:tc>
          <w:tcPr>
            <w:tcW w:w="15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09BB0E0" w14:textId="77777777" w:rsidR="004B3B82" w:rsidRPr="00F33116" w:rsidRDefault="004B3B82" w:rsidP="00CD3B05">
            <w:pPr>
              <w:jc w:val="center"/>
              <w:rPr>
                <w:rFonts w:ascii="Garamond" w:hAnsi="Garamond"/>
              </w:rPr>
            </w:pPr>
            <w:r w:rsidRPr="00F33116">
              <w:rPr>
                <w:rFonts w:ascii="Garamond" w:hAnsi="Garamond"/>
                <w:b/>
                <w:bCs/>
              </w:rPr>
              <w:t>Эксперты</w:t>
            </w:r>
          </w:p>
        </w:tc>
        <w:tc>
          <w:tcPr>
            <w:tcW w:w="778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FDD59A3" w14:textId="77777777" w:rsidR="004B3B82" w:rsidRPr="007E44F3" w:rsidRDefault="004B3B82" w:rsidP="00CD3B05">
            <w:pPr>
              <w:pStyle w:val="ac"/>
              <w:tabs>
                <w:tab w:val="left" w:pos="317"/>
              </w:tabs>
              <w:ind w:left="0"/>
              <w:jc w:val="both"/>
              <w:rPr>
                <w:rFonts w:ascii="Garamond" w:hAnsi="Garamond"/>
              </w:rPr>
            </w:pPr>
            <w:r w:rsidRPr="007E44F3">
              <w:rPr>
                <w:rFonts w:ascii="Garamond" w:hAnsi="Garamond"/>
              </w:rPr>
              <w:t xml:space="preserve">Представители КО </w:t>
            </w:r>
          </w:p>
        </w:tc>
      </w:tr>
      <w:tr w:rsidR="004B3B82" w:rsidRPr="000D5747" w14:paraId="280DB4BE" w14:textId="77777777" w:rsidTr="00CD3B05">
        <w:tblPrEx>
          <w:shd w:val="clear" w:color="auto" w:fill="auto"/>
        </w:tblPrEx>
        <w:trPr>
          <w:trHeight w:val="61"/>
          <w:jc w:val="right"/>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C3B166E" w14:textId="77777777" w:rsidR="004B3B82" w:rsidRPr="00F33116" w:rsidRDefault="004B3B82" w:rsidP="00CD3B05">
            <w:pPr>
              <w:rPr>
                <w:rFonts w:ascii="Garamond" w:hAnsi="Garamond"/>
              </w:rPr>
            </w:pPr>
          </w:p>
        </w:tc>
        <w:tc>
          <w:tcPr>
            <w:tcW w:w="15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1D8474A" w14:textId="77777777" w:rsidR="004B3B82" w:rsidRPr="00F33116" w:rsidRDefault="004B3B82" w:rsidP="00CD3B05">
            <w:pPr>
              <w:jc w:val="center"/>
              <w:rPr>
                <w:rFonts w:ascii="Garamond" w:hAnsi="Garamond"/>
              </w:rPr>
            </w:pPr>
            <w:r w:rsidRPr="00F33116">
              <w:rPr>
                <w:rFonts w:ascii="Garamond" w:hAnsi="Garamond"/>
                <w:b/>
                <w:bCs/>
              </w:rPr>
              <w:t>Документация</w:t>
            </w:r>
          </w:p>
        </w:tc>
        <w:tc>
          <w:tcPr>
            <w:tcW w:w="778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133A6BE" w14:textId="77777777" w:rsidR="004B3B82" w:rsidRPr="0081004D" w:rsidRDefault="004B3B82" w:rsidP="004B3B82">
            <w:pPr>
              <w:pStyle w:val="ac"/>
              <w:numPr>
                <w:ilvl w:val="0"/>
                <w:numId w:val="136"/>
              </w:numPr>
              <w:tabs>
                <w:tab w:val="left" w:pos="317"/>
              </w:tabs>
              <w:ind w:left="52" w:firstLine="0"/>
              <w:jc w:val="both"/>
              <w:rPr>
                <w:rFonts w:ascii="Garamond" w:hAnsi="Garamond"/>
                <w:highlight w:val="yellow"/>
              </w:rPr>
            </w:pPr>
            <w:r w:rsidRPr="0081004D">
              <w:rPr>
                <w:rFonts w:ascii="Garamond" w:hAnsi="Garamond"/>
                <w:highlight w:val="yellow"/>
              </w:rPr>
              <w:t>При проведении технической экспертизы документации, предоставленной в целях установления соответствия АИИС КУЭ</w:t>
            </w:r>
            <w:r>
              <w:rPr>
                <w:rFonts w:ascii="Garamond" w:hAnsi="Garamond"/>
                <w:highlight w:val="yellow"/>
              </w:rPr>
              <w:t>:</w:t>
            </w:r>
            <w:r w:rsidRPr="0081004D">
              <w:rPr>
                <w:rFonts w:ascii="Garamond" w:hAnsi="Garamond"/>
                <w:highlight w:val="yellow"/>
              </w:rPr>
              <w:t xml:space="preserve"> д</w:t>
            </w:r>
            <w:r w:rsidRPr="0081004D">
              <w:rPr>
                <w:rFonts w:ascii="Garamond" w:hAnsi="Garamond"/>
              </w:rPr>
              <w:t>окументация в соответствии с таблицей 2 приложения 1 настоящего Порядка, представленная для установления соответствия АИИС КУЭ</w:t>
            </w:r>
            <w:r w:rsidRPr="0081004D">
              <w:rPr>
                <w:rFonts w:ascii="Garamond" w:hAnsi="Garamond"/>
                <w:highlight w:val="yellow"/>
              </w:rPr>
              <w:t>,</w:t>
            </w:r>
            <w:r w:rsidRPr="0081004D">
              <w:rPr>
                <w:rFonts w:ascii="Garamond" w:hAnsi="Garamond"/>
              </w:rPr>
              <w:t xml:space="preserve"> и ПСИ</w:t>
            </w:r>
            <w:r w:rsidRPr="0081004D">
              <w:rPr>
                <w:rFonts w:ascii="Garamond" w:hAnsi="Garamond"/>
                <w:highlight w:val="yellow"/>
              </w:rPr>
              <w:t>.</w:t>
            </w:r>
          </w:p>
          <w:p w14:paraId="55909E17" w14:textId="77777777" w:rsidR="004B3B82" w:rsidRPr="0081004D" w:rsidRDefault="004B3B82" w:rsidP="004B3B82">
            <w:pPr>
              <w:pStyle w:val="ac"/>
              <w:numPr>
                <w:ilvl w:val="0"/>
                <w:numId w:val="136"/>
              </w:numPr>
              <w:tabs>
                <w:tab w:val="left" w:pos="317"/>
              </w:tabs>
              <w:ind w:left="52" w:firstLine="0"/>
              <w:jc w:val="both"/>
              <w:rPr>
                <w:rFonts w:ascii="Garamond" w:hAnsi="Garamond"/>
                <w:highlight w:val="yellow"/>
              </w:rPr>
            </w:pPr>
            <w:r w:rsidRPr="007945A6">
              <w:rPr>
                <w:rFonts w:ascii="Garamond" w:hAnsi="Garamond"/>
                <w:highlight w:val="yellow"/>
              </w:rPr>
              <w:t xml:space="preserve">При проведении </w:t>
            </w:r>
            <w:r>
              <w:rPr>
                <w:rFonts w:ascii="Garamond" w:hAnsi="Garamond"/>
                <w:highlight w:val="yellow"/>
              </w:rPr>
              <w:t>процедуры подтверждения соответствия</w:t>
            </w:r>
            <w:r w:rsidRPr="007945A6">
              <w:rPr>
                <w:rFonts w:ascii="Garamond" w:hAnsi="Garamond"/>
                <w:highlight w:val="yellow"/>
              </w:rPr>
              <w:t xml:space="preserve"> </w:t>
            </w:r>
            <w:r>
              <w:rPr>
                <w:rFonts w:ascii="Garamond" w:hAnsi="Garamond"/>
                <w:highlight w:val="yellow"/>
              </w:rPr>
              <w:t>системы учета агрегатора техническим требованиям оптового рынка:</w:t>
            </w:r>
            <w:r w:rsidRPr="0081004D">
              <w:rPr>
                <w:rFonts w:ascii="Garamond" w:hAnsi="Garamond"/>
                <w:highlight w:val="yellow"/>
              </w:rPr>
              <w:t xml:space="preserve"> ПСИ.</w:t>
            </w:r>
          </w:p>
        </w:tc>
      </w:tr>
      <w:tr w:rsidR="004B3B82" w:rsidRPr="000D5747" w14:paraId="46D18237" w14:textId="77777777" w:rsidTr="00CD3B05">
        <w:tblPrEx>
          <w:shd w:val="clear" w:color="auto" w:fill="auto"/>
        </w:tblPrEx>
        <w:trPr>
          <w:trHeight w:val="250"/>
          <w:jc w:val="right"/>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0DBB571" w14:textId="77777777" w:rsidR="004B3B82" w:rsidRPr="000D5747" w:rsidRDefault="004B3B82" w:rsidP="00CD3B05">
            <w:pPr>
              <w:rPr>
                <w:rFonts w:ascii="Garamond" w:hAnsi="Garamond"/>
              </w:rPr>
            </w:pPr>
          </w:p>
        </w:tc>
        <w:tc>
          <w:tcPr>
            <w:tcW w:w="15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7CC7069" w14:textId="77777777" w:rsidR="004B3B82" w:rsidRPr="000D5747" w:rsidRDefault="004B3B82" w:rsidP="00CD3B05">
            <w:pPr>
              <w:rPr>
                <w:rFonts w:ascii="Garamond" w:hAnsi="Garamond"/>
              </w:rPr>
            </w:pPr>
          </w:p>
        </w:tc>
        <w:tc>
          <w:tcPr>
            <w:tcW w:w="778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016D78" w14:textId="77777777" w:rsidR="004B3B82" w:rsidRPr="000D5747" w:rsidRDefault="004B3B82" w:rsidP="00CD3B05">
            <w:pPr>
              <w:rPr>
                <w:rFonts w:ascii="Garamond" w:hAnsi="Garamond"/>
              </w:rPr>
            </w:pPr>
            <w:r w:rsidRPr="000D5747">
              <w:rPr>
                <w:rFonts w:ascii="Garamond" w:hAnsi="Garamond"/>
                <w:b/>
                <w:bCs/>
              </w:rPr>
              <w:t>2. ФУНКЦИОНАЛЬНАЯ ПОЛНОТА</w:t>
            </w:r>
          </w:p>
        </w:tc>
      </w:tr>
      <w:tr w:rsidR="004B3B82" w:rsidRPr="000D5747" w14:paraId="056D6039" w14:textId="77777777" w:rsidTr="00CD3B05">
        <w:tblPrEx>
          <w:shd w:val="clear" w:color="auto" w:fill="auto"/>
        </w:tblPrEx>
        <w:trPr>
          <w:trHeight w:val="250"/>
          <w:jc w:val="right"/>
        </w:trPr>
        <w:tc>
          <w:tcPr>
            <w:tcW w:w="567" w:type="dxa"/>
            <w:tcBorders>
              <w:top w:val="single" w:sz="4" w:space="0" w:color="000000"/>
              <w:left w:val="single" w:sz="4" w:space="0" w:color="000000"/>
              <w:bottom w:val="single" w:sz="4" w:space="0" w:color="000000"/>
              <w:right w:val="single" w:sz="4" w:space="0" w:color="000000"/>
            </w:tcBorders>
            <w:shd w:val="clear" w:color="auto" w:fill="BFBFBF"/>
            <w:tcMar>
              <w:top w:w="80" w:type="dxa"/>
              <w:left w:w="80" w:type="dxa"/>
              <w:bottom w:w="80" w:type="dxa"/>
              <w:right w:w="80" w:type="dxa"/>
            </w:tcMar>
            <w:vAlign w:val="center"/>
          </w:tcPr>
          <w:p w14:paraId="6E7D47ED" w14:textId="77777777" w:rsidR="004B3B82" w:rsidRPr="000D5747" w:rsidRDefault="004B3B82" w:rsidP="00CD3B05">
            <w:pPr>
              <w:jc w:val="center"/>
              <w:rPr>
                <w:rFonts w:ascii="Garamond" w:hAnsi="Garamond"/>
              </w:rPr>
            </w:pPr>
            <w:r w:rsidRPr="000D5747">
              <w:rPr>
                <w:rFonts w:ascii="Garamond" w:hAnsi="Garamond"/>
              </w:rPr>
              <w:t>2</w:t>
            </w:r>
          </w:p>
        </w:tc>
        <w:tc>
          <w:tcPr>
            <w:tcW w:w="1568" w:type="dxa"/>
            <w:tcBorders>
              <w:top w:val="single" w:sz="4" w:space="0" w:color="000000"/>
              <w:left w:val="single" w:sz="4" w:space="0" w:color="000000"/>
              <w:bottom w:val="single" w:sz="4" w:space="0" w:color="000000"/>
              <w:right w:val="single" w:sz="4" w:space="0" w:color="000000"/>
            </w:tcBorders>
            <w:shd w:val="clear" w:color="auto" w:fill="BFBFBF"/>
            <w:tcMar>
              <w:top w:w="80" w:type="dxa"/>
              <w:left w:w="80" w:type="dxa"/>
              <w:bottom w:w="80" w:type="dxa"/>
              <w:right w:w="80" w:type="dxa"/>
            </w:tcMar>
            <w:vAlign w:val="center"/>
          </w:tcPr>
          <w:p w14:paraId="573D4808" w14:textId="77777777" w:rsidR="004B3B82" w:rsidRPr="000D5747" w:rsidRDefault="004B3B82" w:rsidP="00CD3B05">
            <w:pPr>
              <w:jc w:val="center"/>
              <w:rPr>
                <w:rFonts w:ascii="Garamond" w:hAnsi="Garamond"/>
                <w:b/>
                <w:bCs/>
                <w:vertAlign w:val="subscript"/>
              </w:rPr>
            </w:pPr>
            <w:r w:rsidRPr="000D5747">
              <w:rPr>
                <w:rFonts w:ascii="Garamond" w:hAnsi="Garamond"/>
                <w:b/>
                <w:bCs/>
              </w:rPr>
              <w:t>П</w:t>
            </w:r>
            <w:r w:rsidRPr="000D5747">
              <w:rPr>
                <w:rFonts w:ascii="Garamond" w:hAnsi="Garamond"/>
                <w:b/>
                <w:bCs/>
                <w:vertAlign w:val="subscript"/>
              </w:rPr>
              <w:t xml:space="preserve">Ф2 </w:t>
            </w:r>
          </w:p>
          <w:p w14:paraId="65013B56" w14:textId="77777777" w:rsidR="004B3B82" w:rsidRPr="000D5747" w:rsidRDefault="004B3B82" w:rsidP="00CD3B05">
            <w:pPr>
              <w:jc w:val="center"/>
              <w:rPr>
                <w:rFonts w:ascii="Garamond" w:hAnsi="Garamond"/>
              </w:rPr>
            </w:pPr>
            <w:r w:rsidRPr="000D5747">
              <w:rPr>
                <w:rFonts w:ascii="Garamond" w:hAnsi="Garamond"/>
                <w:bCs/>
              </w:rPr>
              <w:t>(пп. 2.1.</w:t>
            </w:r>
            <w:r w:rsidRPr="000D5747">
              <w:rPr>
                <w:rFonts w:ascii="Garamond" w:hAnsi="Garamond"/>
                <w:bCs/>
                <w:lang w:val="en-US"/>
              </w:rPr>
              <w:t>1</w:t>
            </w:r>
            <w:r w:rsidRPr="000D5747">
              <w:rPr>
                <w:rFonts w:ascii="Garamond" w:hAnsi="Garamond"/>
                <w:bCs/>
              </w:rPr>
              <w:t>, 3.1.1)</w:t>
            </w:r>
          </w:p>
        </w:tc>
        <w:tc>
          <w:tcPr>
            <w:tcW w:w="7789" w:type="dxa"/>
            <w:tcBorders>
              <w:top w:val="single" w:sz="4" w:space="0" w:color="000000"/>
              <w:left w:val="single" w:sz="4" w:space="0" w:color="000000"/>
              <w:bottom w:val="single" w:sz="4" w:space="0" w:color="000000"/>
              <w:right w:val="single" w:sz="4" w:space="0" w:color="000000"/>
            </w:tcBorders>
            <w:shd w:val="clear" w:color="auto" w:fill="BFBFBF"/>
            <w:tcMar>
              <w:top w:w="80" w:type="dxa"/>
              <w:left w:w="80" w:type="dxa"/>
              <w:bottom w:w="80" w:type="dxa"/>
              <w:right w:w="80" w:type="dxa"/>
            </w:tcMar>
          </w:tcPr>
          <w:p w14:paraId="7B4E49AD" w14:textId="77777777" w:rsidR="004B3B82" w:rsidRPr="000D5747" w:rsidRDefault="004B3B82" w:rsidP="00CD3B05">
            <w:pPr>
              <w:rPr>
                <w:rFonts w:ascii="Garamond" w:hAnsi="Garamond"/>
              </w:rPr>
            </w:pPr>
            <w:r w:rsidRPr="000D5747">
              <w:rPr>
                <w:rFonts w:ascii="Garamond" w:hAnsi="Garamond"/>
                <w:b/>
                <w:bCs/>
              </w:rPr>
              <w:t>Измерение приращений электроэнергии</w:t>
            </w:r>
          </w:p>
        </w:tc>
      </w:tr>
      <w:tr w:rsidR="004B3B82" w:rsidRPr="000D5747" w14:paraId="7175BCB1" w14:textId="77777777" w:rsidTr="00CD3B05">
        <w:tblPrEx>
          <w:shd w:val="clear" w:color="auto" w:fill="auto"/>
        </w:tblPrEx>
        <w:trPr>
          <w:trHeight w:val="250"/>
          <w:jc w:val="right"/>
        </w:trPr>
        <w:tc>
          <w:tcPr>
            <w:tcW w:w="567" w:type="dxa"/>
            <w:tcBorders>
              <w:top w:val="single" w:sz="4" w:space="0" w:color="000000"/>
              <w:left w:val="single" w:sz="4" w:space="0" w:color="000000"/>
              <w:bottom w:val="single" w:sz="4" w:space="0" w:color="000000"/>
              <w:right w:val="single" w:sz="4" w:space="0" w:color="000000"/>
            </w:tcBorders>
            <w:shd w:val="clear" w:color="auto" w:fill="FFFF00"/>
            <w:tcMar>
              <w:top w:w="80" w:type="dxa"/>
              <w:left w:w="80" w:type="dxa"/>
              <w:bottom w:w="80" w:type="dxa"/>
              <w:right w:w="80" w:type="dxa"/>
            </w:tcMar>
            <w:vAlign w:val="center"/>
          </w:tcPr>
          <w:p w14:paraId="50110D40" w14:textId="77777777" w:rsidR="004B3B82" w:rsidRPr="000D5747" w:rsidRDefault="004B3B82" w:rsidP="00CD3B05">
            <w:pPr>
              <w:rPr>
                <w:rFonts w:ascii="Garamond" w:hAnsi="Garamond"/>
              </w:rPr>
            </w:pPr>
          </w:p>
        </w:tc>
        <w:tc>
          <w:tcPr>
            <w:tcW w:w="1568" w:type="dxa"/>
            <w:tcBorders>
              <w:top w:val="single" w:sz="4" w:space="0" w:color="000000"/>
              <w:left w:val="single" w:sz="4" w:space="0" w:color="000000"/>
              <w:bottom w:val="single" w:sz="4" w:space="0" w:color="000000"/>
              <w:right w:val="single" w:sz="4" w:space="0" w:color="000000"/>
            </w:tcBorders>
            <w:shd w:val="clear" w:color="auto" w:fill="FFFF00"/>
            <w:tcMar>
              <w:top w:w="80" w:type="dxa"/>
              <w:left w:w="80" w:type="dxa"/>
              <w:bottom w:w="80" w:type="dxa"/>
              <w:right w:w="80" w:type="dxa"/>
            </w:tcMar>
            <w:vAlign w:val="center"/>
          </w:tcPr>
          <w:p w14:paraId="39361FF9" w14:textId="77777777" w:rsidR="004B3B82" w:rsidRPr="000D5747" w:rsidRDefault="004B3B82" w:rsidP="00CD3B05">
            <w:pPr>
              <w:jc w:val="center"/>
              <w:rPr>
                <w:rFonts w:ascii="Garamond" w:hAnsi="Garamond"/>
              </w:rPr>
            </w:pPr>
            <w:r w:rsidRPr="000D5747">
              <w:rPr>
                <w:rFonts w:ascii="Garamond" w:hAnsi="Garamond"/>
                <w:b/>
                <w:bCs/>
              </w:rPr>
              <w:t>Компоненты</w:t>
            </w:r>
          </w:p>
        </w:tc>
        <w:tc>
          <w:tcPr>
            <w:tcW w:w="7789" w:type="dxa"/>
            <w:tcBorders>
              <w:top w:val="single" w:sz="4" w:space="0" w:color="000000"/>
              <w:left w:val="single" w:sz="4" w:space="0" w:color="000000"/>
              <w:bottom w:val="single" w:sz="4" w:space="0" w:color="000000"/>
              <w:right w:val="single" w:sz="4" w:space="0" w:color="000000"/>
            </w:tcBorders>
            <w:shd w:val="clear" w:color="auto" w:fill="FFFF00"/>
            <w:tcMar>
              <w:top w:w="80" w:type="dxa"/>
              <w:left w:w="80" w:type="dxa"/>
              <w:bottom w:w="80" w:type="dxa"/>
              <w:right w:w="80" w:type="dxa"/>
            </w:tcMar>
          </w:tcPr>
          <w:p w14:paraId="6C75777C" w14:textId="77777777" w:rsidR="004B3B82" w:rsidRPr="000D5747" w:rsidRDefault="004B3B82" w:rsidP="00CD3B05">
            <w:pPr>
              <w:rPr>
                <w:rFonts w:ascii="Garamond" w:hAnsi="Garamond"/>
              </w:rPr>
            </w:pPr>
            <w:r w:rsidRPr="000D5747">
              <w:rPr>
                <w:rFonts w:ascii="Garamond" w:hAnsi="Garamond"/>
              </w:rPr>
              <w:t xml:space="preserve">ИИК, ИВКЭ, ИВК </w:t>
            </w:r>
          </w:p>
        </w:tc>
      </w:tr>
      <w:tr w:rsidR="004B3B82" w:rsidRPr="000D5747" w14:paraId="0A4308E5" w14:textId="77777777" w:rsidTr="00CD3B05">
        <w:tblPrEx>
          <w:shd w:val="clear" w:color="auto" w:fill="auto"/>
        </w:tblPrEx>
        <w:trPr>
          <w:trHeight w:val="970"/>
          <w:jc w:val="right"/>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CD4BAD3" w14:textId="77777777" w:rsidR="004B3B82" w:rsidRPr="000D5747" w:rsidRDefault="004B3B82" w:rsidP="00CD3B05">
            <w:pPr>
              <w:rPr>
                <w:rFonts w:ascii="Garamond" w:hAnsi="Garamond"/>
              </w:rPr>
            </w:pPr>
          </w:p>
        </w:tc>
        <w:tc>
          <w:tcPr>
            <w:tcW w:w="15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810197B" w14:textId="77777777" w:rsidR="004B3B82" w:rsidRPr="000D5747" w:rsidRDefault="004B3B82" w:rsidP="00CD3B05">
            <w:pPr>
              <w:jc w:val="center"/>
              <w:rPr>
                <w:rFonts w:ascii="Garamond" w:hAnsi="Garamond"/>
              </w:rPr>
            </w:pPr>
            <w:r w:rsidRPr="000D5747">
              <w:rPr>
                <w:rFonts w:ascii="Garamond" w:hAnsi="Garamond"/>
                <w:b/>
                <w:bCs/>
              </w:rPr>
              <w:t>Действия</w:t>
            </w:r>
          </w:p>
        </w:tc>
        <w:tc>
          <w:tcPr>
            <w:tcW w:w="778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CAE3B95" w14:textId="77777777" w:rsidR="004B3B82" w:rsidRPr="00B779C7" w:rsidRDefault="004B3B82" w:rsidP="004B3B82">
            <w:pPr>
              <w:pStyle w:val="ac"/>
              <w:numPr>
                <w:ilvl w:val="3"/>
                <w:numId w:val="137"/>
              </w:numPr>
              <w:tabs>
                <w:tab w:val="clear" w:pos="2820"/>
                <w:tab w:val="left" w:pos="52"/>
                <w:tab w:val="left" w:pos="191"/>
              </w:tabs>
              <w:ind w:left="52" w:firstLine="0"/>
              <w:jc w:val="both"/>
              <w:rPr>
                <w:rFonts w:ascii="Garamond" w:hAnsi="Garamond"/>
              </w:rPr>
            </w:pPr>
            <w:r w:rsidRPr="0081004D">
              <w:rPr>
                <w:rFonts w:ascii="Garamond" w:hAnsi="Garamond"/>
                <w:highlight w:val="yellow"/>
              </w:rPr>
              <w:t xml:space="preserve">При проведении </w:t>
            </w:r>
            <w:r>
              <w:rPr>
                <w:rFonts w:ascii="Garamond" w:hAnsi="Garamond"/>
                <w:highlight w:val="yellow"/>
              </w:rPr>
              <w:t>процедуры</w:t>
            </w:r>
            <w:r w:rsidRPr="0081004D">
              <w:rPr>
                <w:rFonts w:ascii="Garamond" w:hAnsi="Garamond"/>
                <w:highlight w:val="yellow"/>
              </w:rPr>
              <w:t xml:space="preserve"> установления соответствия АИИС КУЭ</w:t>
            </w:r>
            <w:r w:rsidRPr="001E130A">
              <w:rPr>
                <w:rFonts w:ascii="Garamond" w:hAnsi="Garamond"/>
                <w:highlight w:val="yellow"/>
              </w:rPr>
              <w:t>:</w:t>
            </w:r>
          </w:p>
          <w:p w14:paraId="033089F1" w14:textId="77777777" w:rsidR="004B3B82" w:rsidRPr="00450EB3" w:rsidRDefault="004B3B82" w:rsidP="004B3B82">
            <w:pPr>
              <w:pStyle w:val="ac"/>
              <w:numPr>
                <w:ilvl w:val="6"/>
                <w:numId w:val="134"/>
              </w:numPr>
              <w:pBdr>
                <w:top w:val="nil"/>
                <w:left w:val="nil"/>
                <w:bottom w:val="nil"/>
                <w:right w:val="nil"/>
                <w:between w:val="nil"/>
                <w:bar w:val="nil"/>
              </w:pBdr>
              <w:tabs>
                <w:tab w:val="left" w:pos="475"/>
              </w:tabs>
              <w:ind w:left="266" w:hanging="217"/>
              <w:jc w:val="both"/>
              <w:rPr>
                <w:rFonts w:ascii="Garamond" w:hAnsi="Garamond"/>
              </w:rPr>
            </w:pPr>
            <w:r w:rsidRPr="000D5747">
              <w:rPr>
                <w:rFonts w:ascii="Garamond" w:hAnsi="Garamond"/>
              </w:rPr>
              <w:t xml:space="preserve">В описании типа средства измерений АИИС КУЭ проверяется соответствие перечня функциональных </w:t>
            </w:r>
            <w:r w:rsidRPr="00450EB3">
              <w:rPr>
                <w:rFonts w:ascii="Garamond" w:hAnsi="Garamond"/>
              </w:rPr>
              <w:t>возможностей АИИС КУЭ Техническим требованиям ОРЭМ (пп. 2.1.1, 3.1.1 Приложения № 11.1 к Положению о реестре) в части возможности измерения 30-минутных приращений электрической энергии (получасовых интегрированных профилей мощности).</w:t>
            </w:r>
          </w:p>
          <w:p w14:paraId="7828889C" w14:textId="77777777" w:rsidR="004B3B82" w:rsidRPr="007D0ADC" w:rsidRDefault="004B3B82" w:rsidP="004B3B82">
            <w:pPr>
              <w:pStyle w:val="ac"/>
              <w:numPr>
                <w:ilvl w:val="6"/>
                <w:numId w:val="134"/>
              </w:numPr>
              <w:pBdr>
                <w:top w:val="nil"/>
                <w:left w:val="nil"/>
                <w:bottom w:val="nil"/>
                <w:right w:val="nil"/>
                <w:between w:val="nil"/>
                <w:bar w:val="nil"/>
              </w:pBdr>
              <w:tabs>
                <w:tab w:val="left" w:pos="475"/>
              </w:tabs>
              <w:ind w:left="266" w:hanging="217"/>
              <w:jc w:val="both"/>
              <w:rPr>
                <w:rFonts w:ascii="Garamond" w:hAnsi="Garamond"/>
              </w:rPr>
            </w:pPr>
            <w:r w:rsidRPr="00450EB3">
              <w:rPr>
                <w:rFonts w:ascii="Garamond" w:hAnsi="Garamond"/>
              </w:rPr>
              <w:t xml:space="preserve">Проверяется наличие действующего </w:t>
            </w:r>
            <w:r w:rsidRPr="007D0ADC">
              <w:rPr>
                <w:rFonts w:ascii="Garamond" w:hAnsi="Garamond"/>
              </w:rPr>
              <w:t xml:space="preserve">свидетельства о поверке АИИС КУЭ (свидетельства о поверке </w:t>
            </w:r>
            <w:r w:rsidRPr="0081004D">
              <w:rPr>
                <w:rFonts w:ascii="Garamond" w:hAnsi="Garamond"/>
                <w:highlight w:val="yellow"/>
              </w:rPr>
              <w:t>приборов учета</w:t>
            </w:r>
            <w:r w:rsidRPr="007D0ADC">
              <w:rPr>
                <w:rFonts w:ascii="Garamond" w:hAnsi="Garamond"/>
              </w:rPr>
              <w:t>).</w:t>
            </w:r>
          </w:p>
          <w:p w14:paraId="460DD35E" w14:textId="77777777" w:rsidR="004B3B82" w:rsidRPr="007D0ADC" w:rsidRDefault="004B3B82" w:rsidP="004B3B82">
            <w:pPr>
              <w:pStyle w:val="ac"/>
              <w:numPr>
                <w:ilvl w:val="6"/>
                <w:numId w:val="134"/>
              </w:numPr>
              <w:tabs>
                <w:tab w:val="left" w:pos="475"/>
              </w:tabs>
              <w:ind w:left="266" w:hanging="217"/>
              <w:rPr>
                <w:rFonts w:ascii="Garamond" w:hAnsi="Garamond"/>
              </w:rPr>
            </w:pPr>
            <w:r w:rsidRPr="007D0ADC">
              <w:rPr>
                <w:rFonts w:ascii="Garamond" w:hAnsi="Garamond"/>
              </w:rPr>
              <w:t>Для класса N проверяется наличие в паспортах-протоколах ИИК в составе АИИС КУЭ:</w:t>
            </w:r>
          </w:p>
          <w:p w14:paraId="1B728FF2" w14:textId="77777777" w:rsidR="004B3B82" w:rsidRPr="00450EB3" w:rsidRDefault="004B3B82" w:rsidP="004B3B82">
            <w:pPr>
              <w:pStyle w:val="ac"/>
              <w:numPr>
                <w:ilvl w:val="0"/>
                <w:numId w:val="135"/>
              </w:numPr>
              <w:ind w:left="512" w:hanging="360"/>
              <w:jc w:val="both"/>
              <w:rPr>
                <w:rFonts w:ascii="Garamond" w:hAnsi="Garamond"/>
              </w:rPr>
            </w:pPr>
            <w:r w:rsidRPr="007D0ADC">
              <w:rPr>
                <w:rFonts w:ascii="Garamond" w:hAnsi="Garamond"/>
              </w:rPr>
              <w:t>данных об утверждении типа всех средств</w:t>
            </w:r>
            <w:r w:rsidRPr="00450EB3">
              <w:rPr>
                <w:rFonts w:ascii="Garamond" w:hAnsi="Garamond"/>
              </w:rPr>
              <w:t xml:space="preserve"> измерений в составе ИИК и указания в Описании типа средства измерений </w:t>
            </w:r>
            <w:r w:rsidRPr="0081004D">
              <w:rPr>
                <w:rFonts w:ascii="Garamond" w:hAnsi="Garamond"/>
                <w:highlight w:val="yellow"/>
              </w:rPr>
              <w:t>приборов учета</w:t>
            </w:r>
            <w:r w:rsidRPr="00450EB3">
              <w:rPr>
                <w:rFonts w:ascii="Garamond" w:hAnsi="Garamond"/>
              </w:rPr>
              <w:t xml:space="preserve"> возможности проведения измерений величин приращения электроэнергии согласно Техническим требованиям ОРЭМ (пп. 2.1.1, 3.1.1 Приложения № 11.1 к Положению о реестре);</w:t>
            </w:r>
          </w:p>
          <w:p w14:paraId="150905BE" w14:textId="77777777" w:rsidR="004B3B82" w:rsidRPr="00450EB3" w:rsidRDefault="004B3B82" w:rsidP="004B3B82">
            <w:pPr>
              <w:pStyle w:val="ac"/>
              <w:numPr>
                <w:ilvl w:val="0"/>
                <w:numId w:val="135"/>
              </w:numPr>
              <w:ind w:left="512" w:hanging="360"/>
              <w:jc w:val="both"/>
              <w:rPr>
                <w:rFonts w:ascii="Garamond" w:hAnsi="Garamond"/>
              </w:rPr>
            </w:pPr>
            <w:r w:rsidRPr="00450EB3">
              <w:rPr>
                <w:rFonts w:ascii="Garamond" w:hAnsi="Garamond"/>
              </w:rPr>
              <w:t>показателей фактической нагрузки измерительных трансформаторов согласно требованиям ГОСТ</w:t>
            </w:r>
            <w:r w:rsidRPr="0081004D">
              <w:rPr>
                <w:rFonts w:ascii="Garamond" w:hAnsi="Garamond"/>
                <w:highlight w:val="yellow"/>
              </w:rPr>
              <w:t>, установленных при утверждении типа средства измерений</w:t>
            </w:r>
            <w:r w:rsidRPr="00450EB3">
              <w:rPr>
                <w:rFonts w:ascii="Garamond" w:hAnsi="Garamond"/>
              </w:rPr>
              <w:t xml:space="preserve"> (требования данного пункта применяются только к аналоговым измерительным трансформаторам);</w:t>
            </w:r>
          </w:p>
          <w:p w14:paraId="162E00CD" w14:textId="77777777" w:rsidR="004B3B82" w:rsidRDefault="004B3B82" w:rsidP="004B3B82">
            <w:pPr>
              <w:pStyle w:val="ac"/>
              <w:numPr>
                <w:ilvl w:val="0"/>
                <w:numId w:val="135"/>
              </w:numPr>
              <w:ind w:left="512" w:hanging="360"/>
              <w:jc w:val="both"/>
              <w:rPr>
                <w:rFonts w:ascii="Garamond" w:hAnsi="Garamond"/>
              </w:rPr>
            </w:pPr>
            <w:r w:rsidRPr="00450EB3">
              <w:rPr>
                <w:rFonts w:ascii="Garamond" w:hAnsi="Garamond"/>
              </w:rPr>
              <w:t xml:space="preserve">величины падения напряжения в цепи «трансформатор напряжения – </w:t>
            </w:r>
            <w:r w:rsidRPr="0081004D">
              <w:rPr>
                <w:rFonts w:ascii="Garamond" w:hAnsi="Garamond"/>
                <w:highlight w:val="yellow"/>
              </w:rPr>
              <w:t>прибор учета</w:t>
            </w:r>
            <w:r w:rsidRPr="00450EB3">
              <w:rPr>
                <w:rFonts w:ascii="Garamond" w:hAnsi="Garamond"/>
              </w:rPr>
              <w:t xml:space="preserve">» на соответствие Техническим требованиям ОРЭМ (п. 3.3.1 Приложения № 11.1 к </w:t>
            </w:r>
            <w:r w:rsidRPr="00450EB3">
              <w:rPr>
                <w:rFonts w:ascii="Garamond" w:hAnsi="Garamond"/>
              </w:rPr>
              <w:lastRenderedPageBreak/>
              <w:t>Положению о реестре) (требования</w:t>
            </w:r>
            <w:r w:rsidRPr="00230AE0">
              <w:rPr>
                <w:rFonts w:ascii="Garamond" w:hAnsi="Garamond"/>
              </w:rPr>
              <w:t xml:space="preserve"> данного пункта применяются только к вторичным аналоговым измерительным цепям).</w:t>
            </w:r>
          </w:p>
          <w:p w14:paraId="7DE1637A" w14:textId="77777777" w:rsidR="004B3B82" w:rsidRDefault="004B3B82" w:rsidP="004B3B82">
            <w:pPr>
              <w:pStyle w:val="ac"/>
              <w:numPr>
                <w:ilvl w:val="6"/>
                <w:numId w:val="134"/>
              </w:numPr>
              <w:ind w:left="332" w:hanging="283"/>
              <w:jc w:val="both"/>
              <w:rPr>
                <w:rFonts w:ascii="Garamond" w:hAnsi="Garamond"/>
              </w:rPr>
            </w:pPr>
            <w:r w:rsidRPr="007D0ADC">
              <w:rPr>
                <w:rFonts w:ascii="Garamond" w:hAnsi="Garamond"/>
              </w:rPr>
              <w:t xml:space="preserve">В случаях, предусмотренных п. 1.2.1 настоящего Порядка, проверяется наличие в актах допуска приборов учета в эксплуатацию или паспортах-протоколах данных об утвержденном типе всех средств измерений в составе ИИК и указания в соответствующих описаниях типа </w:t>
            </w:r>
            <w:r w:rsidRPr="0081004D">
              <w:rPr>
                <w:rFonts w:ascii="Garamond" w:hAnsi="Garamond"/>
                <w:highlight w:val="yellow"/>
              </w:rPr>
              <w:t>приборов учета</w:t>
            </w:r>
            <w:r w:rsidRPr="007D0ADC">
              <w:rPr>
                <w:rFonts w:ascii="Garamond" w:hAnsi="Garamond"/>
              </w:rPr>
              <w:t xml:space="preserve"> возможности проведения измерений величин приращения электроэнергии согласно Техническим требованиям ОРЭМ (пп. 2.1.1, 3.1.1 Приложения № 11.1 к Положению о реестре).</w:t>
            </w:r>
          </w:p>
          <w:p w14:paraId="4AB24990" w14:textId="77777777" w:rsidR="004B3B82" w:rsidRDefault="004B3B82" w:rsidP="00CD3B05">
            <w:pPr>
              <w:jc w:val="both"/>
              <w:rPr>
                <w:rFonts w:ascii="Garamond" w:hAnsi="Garamond"/>
              </w:rPr>
            </w:pPr>
          </w:p>
          <w:p w14:paraId="34BCF819" w14:textId="77777777" w:rsidR="004B3B82" w:rsidRPr="00B228B2" w:rsidRDefault="004B3B82" w:rsidP="004B3B82">
            <w:pPr>
              <w:pStyle w:val="ac"/>
              <w:numPr>
                <w:ilvl w:val="3"/>
                <w:numId w:val="137"/>
              </w:numPr>
              <w:tabs>
                <w:tab w:val="clear" w:pos="2820"/>
                <w:tab w:val="left" w:pos="163"/>
                <w:tab w:val="num" w:pos="194"/>
              </w:tabs>
              <w:ind w:left="52" w:firstLine="0"/>
              <w:jc w:val="both"/>
              <w:rPr>
                <w:rFonts w:ascii="Garamond" w:hAnsi="Garamond"/>
                <w:highlight w:val="yellow"/>
              </w:rPr>
            </w:pPr>
            <w:r w:rsidRPr="007945A6">
              <w:rPr>
                <w:rFonts w:ascii="Garamond" w:hAnsi="Garamond"/>
                <w:highlight w:val="yellow"/>
              </w:rPr>
              <w:t xml:space="preserve">При проведении </w:t>
            </w:r>
            <w:r>
              <w:rPr>
                <w:rFonts w:ascii="Garamond" w:hAnsi="Garamond"/>
                <w:highlight w:val="yellow"/>
              </w:rPr>
              <w:t>процедуры подтверждения соответствия</w:t>
            </w:r>
            <w:r w:rsidRPr="007945A6">
              <w:rPr>
                <w:rFonts w:ascii="Garamond" w:hAnsi="Garamond"/>
                <w:highlight w:val="yellow"/>
              </w:rPr>
              <w:t xml:space="preserve"> </w:t>
            </w:r>
            <w:r>
              <w:rPr>
                <w:rFonts w:ascii="Garamond" w:hAnsi="Garamond"/>
                <w:highlight w:val="yellow"/>
              </w:rPr>
              <w:t>системы учета агрегатора техническим требованиям оптового рынка</w:t>
            </w:r>
            <w:r w:rsidRPr="00B228B2">
              <w:rPr>
                <w:rFonts w:ascii="Garamond" w:hAnsi="Garamond"/>
                <w:highlight w:val="yellow"/>
              </w:rPr>
              <w:t>:</w:t>
            </w:r>
          </w:p>
          <w:p w14:paraId="5086A84E" w14:textId="77777777" w:rsidR="004B3B82" w:rsidRDefault="004B3B82" w:rsidP="004B3B82">
            <w:pPr>
              <w:pStyle w:val="ac"/>
              <w:numPr>
                <w:ilvl w:val="6"/>
                <w:numId w:val="139"/>
              </w:numPr>
              <w:ind w:left="336" w:hanging="284"/>
              <w:jc w:val="both"/>
              <w:rPr>
                <w:rFonts w:ascii="Garamond" w:hAnsi="Garamond"/>
                <w:highlight w:val="yellow"/>
              </w:rPr>
            </w:pPr>
            <w:r w:rsidRPr="00B228B2">
              <w:rPr>
                <w:rFonts w:ascii="Garamond" w:hAnsi="Garamond"/>
                <w:highlight w:val="yellow"/>
              </w:rPr>
              <w:t>Проверяется указание в описании типа прибора учета возможности проведения измерений величин приращения электроэнергии согласно Техническим требованиям ОРЭМ (пп. 2.1.1, 3.1.1 Приложения № 11.1 к Положению о реестре).</w:t>
            </w:r>
          </w:p>
          <w:p w14:paraId="58F38E47" w14:textId="77777777" w:rsidR="004B3B82" w:rsidRDefault="004B3B82" w:rsidP="004B3B82">
            <w:pPr>
              <w:pStyle w:val="ac"/>
              <w:numPr>
                <w:ilvl w:val="6"/>
                <w:numId w:val="139"/>
              </w:numPr>
              <w:ind w:left="336" w:hanging="284"/>
              <w:jc w:val="both"/>
              <w:rPr>
                <w:rFonts w:ascii="Garamond" w:hAnsi="Garamond"/>
                <w:highlight w:val="yellow"/>
              </w:rPr>
            </w:pPr>
            <w:r>
              <w:rPr>
                <w:rFonts w:ascii="Garamond" w:hAnsi="Garamond"/>
                <w:highlight w:val="yellow"/>
              </w:rPr>
              <w:t>Проверяется наличие действующего свидетельства о поверке прибора учета.</w:t>
            </w:r>
          </w:p>
          <w:p w14:paraId="12A620BF" w14:textId="77777777" w:rsidR="004B3B82" w:rsidRPr="00B228B2" w:rsidRDefault="004B3B82" w:rsidP="004B3B82">
            <w:pPr>
              <w:pStyle w:val="ac"/>
              <w:numPr>
                <w:ilvl w:val="6"/>
                <w:numId w:val="139"/>
              </w:numPr>
              <w:ind w:left="336" w:hanging="284"/>
              <w:jc w:val="both"/>
              <w:rPr>
                <w:rFonts w:ascii="Garamond" w:hAnsi="Garamond"/>
                <w:highlight w:val="yellow"/>
              </w:rPr>
            </w:pPr>
            <w:r w:rsidRPr="00B228B2">
              <w:rPr>
                <w:rFonts w:ascii="Garamond" w:hAnsi="Garamond"/>
                <w:highlight w:val="yellow"/>
              </w:rPr>
              <w:t>Производится соотнесение информации по прибору учета, указанной в ПСИ, с информаций, опубликованной в Федеральном информационном фонде по обеспечению единства измерений.</w:t>
            </w:r>
          </w:p>
        </w:tc>
      </w:tr>
      <w:tr w:rsidR="004B3B82" w:rsidRPr="000D5747" w14:paraId="796F149D" w14:textId="77777777" w:rsidTr="00CD3B05">
        <w:tblPrEx>
          <w:shd w:val="clear" w:color="auto" w:fill="auto"/>
        </w:tblPrEx>
        <w:trPr>
          <w:trHeight w:val="970"/>
          <w:jc w:val="right"/>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8B8F3EF" w14:textId="77777777" w:rsidR="004B3B82" w:rsidRPr="000D5747" w:rsidRDefault="004B3B82" w:rsidP="00CD3B05">
            <w:pPr>
              <w:rPr>
                <w:rFonts w:ascii="Garamond" w:hAnsi="Garamond"/>
              </w:rPr>
            </w:pPr>
          </w:p>
        </w:tc>
        <w:tc>
          <w:tcPr>
            <w:tcW w:w="15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A73013F" w14:textId="77777777" w:rsidR="004B3B82" w:rsidRPr="000D5747" w:rsidRDefault="004B3B82" w:rsidP="00CD3B05">
            <w:pPr>
              <w:jc w:val="center"/>
              <w:rPr>
                <w:rFonts w:ascii="Garamond" w:hAnsi="Garamond"/>
              </w:rPr>
            </w:pPr>
            <w:r w:rsidRPr="000D5747">
              <w:rPr>
                <w:rFonts w:ascii="Garamond" w:hAnsi="Garamond"/>
                <w:b/>
                <w:bCs/>
              </w:rPr>
              <w:t>Критерии</w:t>
            </w:r>
          </w:p>
        </w:tc>
        <w:tc>
          <w:tcPr>
            <w:tcW w:w="778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903BD88" w14:textId="77777777" w:rsidR="004B3B82" w:rsidRPr="00F92216" w:rsidRDefault="004B3B82" w:rsidP="004B3B82">
            <w:pPr>
              <w:pStyle w:val="ac"/>
              <w:numPr>
                <w:ilvl w:val="3"/>
                <w:numId w:val="140"/>
              </w:numPr>
              <w:tabs>
                <w:tab w:val="clear" w:pos="2820"/>
                <w:tab w:val="left" w:pos="336"/>
                <w:tab w:val="num" w:pos="3029"/>
              </w:tabs>
              <w:ind w:left="52" w:firstLine="0"/>
              <w:jc w:val="both"/>
              <w:rPr>
                <w:rFonts w:ascii="Garamond" w:hAnsi="Garamond"/>
                <w:highlight w:val="yellow"/>
              </w:rPr>
            </w:pPr>
            <w:r w:rsidRPr="0081004D">
              <w:rPr>
                <w:rFonts w:ascii="Garamond" w:hAnsi="Garamond"/>
                <w:highlight w:val="yellow"/>
              </w:rPr>
              <w:t xml:space="preserve">При проведении </w:t>
            </w:r>
            <w:r>
              <w:rPr>
                <w:rFonts w:ascii="Garamond" w:hAnsi="Garamond"/>
                <w:highlight w:val="yellow"/>
              </w:rPr>
              <w:t>процедуры</w:t>
            </w:r>
            <w:r w:rsidRPr="0081004D">
              <w:rPr>
                <w:rFonts w:ascii="Garamond" w:hAnsi="Garamond"/>
                <w:highlight w:val="yellow"/>
              </w:rPr>
              <w:t xml:space="preserve"> установления соответствия АИИС КУЭ</w:t>
            </w:r>
            <w:r w:rsidRPr="00994C34">
              <w:rPr>
                <w:rFonts w:ascii="Garamond" w:hAnsi="Garamond"/>
                <w:highlight w:val="yellow"/>
              </w:rPr>
              <w:t>:</w:t>
            </w:r>
            <w:r w:rsidRPr="00F92216">
              <w:rPr>
                <w:rFonts w:ascii="Garamond" w:hAnsi="Garamond"/>
              </w:rPr>
              <w:t xml:space="preserve"> </w:t>
            </w:r>
          </w:p>
          <w:p w14:paraId="0F8AD6C3" w14:textId="77777777" w:rsidR="004B3B82" w:rsidRPr="007D0ADC" w:rsidRDefault="004B3B82" w:rsidP="004B3B82">
            <w:pPr>
              <w:pStyle w:val="ac"/>
              <w:numPr>
                <w:ilvl w:val="1"/>
                <w:numId w:val="135"/>
              </w:numPr>
              <w:pBdr>
                <w:top w:val="nil"/>
                <w:left w:val="nil"/>
                <w:bottom w:val="nil"/>
                <w:right w:val="nil"/>
                <w:between w:val="nil"/>
                <w:bar w:val="nil"/>
              </w:pBdr>
              <w:tabs>
                <w:tab w:val="left" w:pos="333"/>
              </w:tabs>
              <w:ind w:left="332" w:hanging="283"/>
              <w:jc w:val="both"/>
              <w:rPr>
                <w:rFonts w:ascii="Garamond" w:hAnsi="Garamond"/>
              </w:rPr>
            </w:pPr>
            <w:r w:rsidRPr="000D5747">
              <w:rPr>
                <w:rFonts w:ascii="Garamond" w:hAnsi="Garamond"/>
              </w:rPr>
              <w:t xml:space="preserve">Описание типа средства измерений АИИС КУЭ подтверждает возможность выполнения АИИС КУЭ измерений 30-минутных приращений электрической энергии согласно </w:t>
            </w:r>
            <w:r w:rsidRPr="007D0ADC">
              <w:rPr>
                <w:rFonts w:ascii="Garamond" w:hAnsi="Garamond"/>
              </w:rPr>
              <w:t>Техническим требованиям ОРЭМ.</w:t>
            </w:r>
          </w:p>
          <w:p w14:paraId="5C5DADD6" w14:textId="77777777" w:rsidR="004B3B82" w:rsidRPr="007D0ADC" w:rsidRDefault="004B3B82" w:rsidP="004B3B82">
            <w:pPr>
              <w:pStyle w:val="ac"/>
              <w:numPr>
                <w:ilvl w:val="1"/>
                <w:numId w:val="135"/>
              </w:numPr>
              <w:pBdr>
                <w:top w:val="nil"/>
                <w:left w:val="nil"/>
                <w:bottom w:val="nil"/>
                <w:right w:val="nil"/>
                <w:between w:val="nil"/>
                <w:bar w:val="nil"/>
              </w:pBdr>
              <w:tabs>
                <w:tab w:val="left" w:pos="333"/>
              </w:tabs>
              <w:ind w:left="332" w:hanging="283"/>
              <w:jc w:val="both"/>
              <w:rPr>
                <w:rFonts w:ascii="Garamond" w:hAnsi="Garamond"/>
              </w:rPr>
            </w:pPr>
            <w:r w:rsidRPr="007D0ADC">
              <w:rPr>
                <w:rFonts w:ascii="Garamond" w:hAnsi="Garamond"/>
              </w:rPr>
              <w:t xml:space="preserve">Наличие действующего свидетельства о поверке АИИС КУЭ (свидетельства о поверке </w:t>
            </w:r>
            <w:r w:rsidRPr="0081004D">
              <w:rPr>
                <w:rFonts w:ascii="Garamond" w:hAnsi="Garamond"/>
                <w:highlight w:val="yellow"/>
              </w:rPr>
              <w:t>приборов учета</w:t>
            </w:r>
            <w:r w:rsidRPr="007D0ADC">
              <w:rPr>
                <w:rFonts w:ascii="Garamond" w:hAnsi="Garamond"/>
              </w:rPr>
              <w:t>).</w:t>
            </w:r>
          </w:p>
          <w:p w14:paraId="10E2D106" w14:textId="77777777" w:rsidR="004B3B82" w:rsidRPr="007D0ADC" w:rsidRDefault="004B3B82" w:rsidP="004B3B82">
            <w:pPr>
              <w:pStyle w:val="ac"/>
              <w:numPr>
                <w:ilvl w:val="1"/>
                <w:numId w:val="135"/>
              </w:numPr>
              <w:pBdr>
                <w:top w:val="nil"/>
                <w:left w:val="nil"/>
                <w:bottom w:val="nil"/>
                <w:right w:val="nil"/>
                <w:between w:val="nil"/>
                <w:bar w:val="nil"/>
              </w:pBdr>
              <w:tabs>
                <w:tab w:val="left" w:pos="333"/>
              </w:tabs>
              <w:ind w:left="332" w:hanging="283"/>
              <w:jc w:val="both"/>
              <w:rPr>
                <w:rFonts w:ascii="Garamond" w:hAnsi="Garamond"/>
              </w:rPr>
            </w:pPr>
            <w:r w:rsidRPr="007D0ADC">
              <w:rPr>
                <w:rFonts w:ascii="Garamond" w:hAnsi="Garamond"/>
              </w:rPr>
              <w:t>Для класса N паспорта-протоколы на ИИК в составе АИИС КУЭ содержат данные:</w:t>
            </w:r>
          </w:p>
          <w:p w14:paraId="68798455" w14:textId="77777777" w:rsidR="004B3B82" w:rsidRPr="000D5747" w:rsidRDefault="004B3B82" w:rsidP="004B3B82">
            <w:pPr>
              <w:numPr>
                <w:ilvl w:val="0"/>
                <w:numId w:val="141"/>
              </w:numPr>
              <w:pBdr>
                <w:top w:val="nil"/>
                <w:left w:val="nil"/>
                <w:bottom w:val="nil"/>
                <w:right w:val="nil"/>
                <w:between w:val="nil"/>
                <w:bar w:val="nil"/>
              </w:pBdr>
              <w:tabs>
                <w:tab w:val="left" w:pos="274"/>
              </w:tabs>
              <w:suppressAutoHyphens w:val="0"/>
              <w:jc w:val="both"/>
              <w:rPr>
                <w:rFonts w:ascii="Garamond" w:hAnsi="Garamond"/>
              </w:rPr>
            </w:pPr>
            <w:r w:rsidRPr="007D0ADC">
              <w:rPr>
                <w:rFonts w:ascii="Garamond" w:hAnsi="Garamond"/>
              </w:rPr>
              <w:t>об утверждении типа всех средств измерений в составе ИИК, Описание типа средства измерений</w:t>
            </w:r>
            <w:r w:rsidRPr="000D5747">
              <w:rPr>
                <w:rFonts w:ascii="Garamond" w:hAnsi="Garamond"/>
              </w:rPr>
              <w:t xml:space="preserve"> </w:t>
            </w:r>
            <w:r w:rsidRPr="0081004D">
              <w:rPr>
                <w:rFonts w:ascii="Garamond" w:hAnsi="Garamond"/>
                <w:highlight w:val="yellow"/>
              </w:rPr>
              <w:t>приборов учета</w:t>
            </w:r>
            <w:r w:rsidRPr="000D5747">
              <w:rPr>
                <w:rFonts w:ascii="Garamond" w:hAnsi="Garamond"/>
              </w:rPr>
              <w:t xml:space="preserve"> содержит сведения о проведении измерений величин приращения электроэнергии согласно Техническим требованиям ОРЭМ;</w:t>
            </w:r>
          </w:p>
          <w:p w14:paraId="18D690B7" w14:textId="77777777" w:rsidR="004B3B82" w:rsidRPr="000D5747" w:rsidRDefault="004B3B82" w:rsidP="004B3B82">
            <w:pPr>
              <w:numPr>
                <w:ilvl w:val="0"/>
                <w:numId w:val="141"/>
              </w:numPr>
              <w:pBdr>
                <w:top w:val="nil"/>
                <w:left w:val="nil"/>
                <w:bottom w:val="nil"/>
                <w:right w:val="nil"/>
                <w:between w:val="nil"/>
                <w:bar w:val="nil"/>
              </w:pBdr>
              <w:tabs>
                <w:tab w:val="left" w:pos="274"/>
              </w:tabs>
              <w:suppressAutoHyphens w:val="0"/>
              <w:jc w:val="both"/>
              <w:rPr>
                <w:rFonts w:ascii="Garamond" w:hAnsi="Garamond"/>
              </w:rPr>
            </w:pPr>
            <w:r w:rsidRPr="000D5747">
              <w:rPr>
                <w:rFonts w:ascii="Garamond" w:hAnsi="Garamond"/>
              </w:rPr>
              <w:t>о показателях фактической нагрузки измерительных трансформаторов, соответствующих требованиям ГОСТ;</w:t>
            </w:r>
          </w:p>
          <w:p w14:paraId="7A7A7C2B" w14:textId="77777777" w:rsidR="004B3B82" w:rsidRDefault="004B3B82" w:rsidP="004B3B82">
            <w:pPr>
              <w:numPr>
                <w:ilvl w:val="0"/>
                <w:numId w:val="141"/>
              </w:numPr>
              <w:pBdr>
                <w:top w:val="nil"/>
                <w:left w:val="nil"/>
                <w:bottom w:val="nil"/>
                <w:right w:val="nil"/>
                <w:between w:val="nil"/>
                <w:bar w:val="nil"/>
              </w:pBdr>
              <w:tabs>
                <w:tab w:val="left" w:pos="274"/>
              </w:tabs>
              <w:suppressAutoHyphens w:val="0"/>
              <w:jc w:val="both"/>
              <w:rPr>
                <w:rFonts w:ascii="Garamond" w:hAnsi="Garamond"/>
              </w:rPr>
            </w:pPr>
            <w:r w:rsidRPr="000D5747">
              <w:rPr>
                <w:rFonts w:ascii="Garamond" w:hAnsi="Garamond"/>
              </w:rPr>
              <w:t xml:space="preserve">о величине падения напряжения в цепи «трансформатор напряжения – </w:t>
            </w:r>
            <w:r w:rsidRPr="0081004D">
              <w:rPr>
                <w:rFonts w:ascii="Garamond" w:hAnsi="Garamond"/>
                <w:highlight w:val="yellow"/>
              </w:rPr>
              <w:t>прибор учета</w:t>
            </w:r>
            <w:r w:rsidRPr="000D5747">
              <w:rPr>
                <w:rFonts w:ascii="Garamond" w:hAnsi="Garamond"/>
              </w:rPr>
              <w:t>», соответствующей Техническим требованиям ОРЭМ.</w:t>
            </w:r>
          </w:p>
          <w:p w14:paraId="47FA6698" w14:textId="77777777" w:rsidR="004B3B82" w:rsidRDefault="004B3B82" w:rsidP="004B3B82">
            <w:pPr>
              <w:pStyle w:val="ac"/>
              <w:numPr>
                <w:ilvl w:val="1"/>
                <w:numId w:val="135"/>
              </w:numPr>
              <w:pBdr>
                <w:top w:val="nil"/>
                <w:left w:val="nil"/>
                <w:bottom w:val="nil"/>
                <w:right w:val="nil"/>
                <w:between w:val="nil"/>
                <w:bar w:val="nil"/>
              </w:pBdr>
              <w:tabs>
                <w:tab w:val="left" w:pos="333"/>
              </w:tabs>
              <w:ind w:left="332" w:hanging="283"/>
              <w:jc w:val="both"/>
              <w:rPr>
                <w:rFonts w:ascii="Garamond" w:hAnsi="Garamond"/>
              </w:rPr>
            </w:pPr>
            <w:r w:rsidRPr="007D0ADC">
              <w:rPr>
                <w:rFonts w:ascii="Garamond" w:hAnsi="Garamond"/>
              </w:rPr>
              <w:t xml:space="preserve">В случаях, предусмотренных п. 1.2.1 настоящего Порядка, акты допуска приборов учета в эксплуатацию или паспорта-протоколы содержат данные об утвержденном типе всех средств измерений в составе ИИК и при этом в соответствующих описаниях типа </w:t>
            </w:r>
            <w:r w:rsidRPr="0081004D">
              <w:rPr>
                <w:rFonts w:ascii="Garamond" w:hAnsi="Garamond"/>
                <w:highlight w:val="yellow"/>
              </w:rPr>
              <w:t>приборов учета</w:t>
            </w:r>
            <w:r w:rsidRPr="007D0ADC">
              <w:rPr>
                <w:rFonts w:ascii="Garamond" w:hAnsi="Garamond"/>
              </w:rPr>
              <w:t xml:space="preserve"> указана возможность проведения измерений величин приращения электроэнергии согласно Техническим требованиям ОРЭМ (пп. 2.1.1, 3.1.1 Приложения № 11.1 к Положению о реестре).</w:t>
            </w:r>
          </w:p>
          <w:p w14:paraId="6C3EC17D" w14:textId="77777777" w:rsidR="004B3B82" w:rsidRDefault="004B3B82" w:rsidP="00CD3B05">
            <w:pPr>
              <w:pBdr>
                <w:top w:val="nil"/>
                <w:left w:val="nil"/>
                <w:bottom w:val="nil"/>
                <w:right w:val="nil"/>
                <w:between w:val="nil"/>
                <w:bar w:val="nil"/>
              </w:pBdr>
              <w:tabs>
                <w:tab w:val="left" w:pos="274"/>
              </w:tabs>
              <w:jc w:val="both"/>
              <w:rPr>
                <w:rFonts w:ascii="Garamond" w:hAnsi="Garamond"/>
              </w:rPr>
            </w:pPr>
          </w:p>
          <w:p w14:paraId="3E91C44F" w14:textId="77777777" w:rsidR="004B3B82" w:rsidRDefault="004B3B82" w:rsidP="004B3B82">
            <w:pPr>
              <w:pStyle w:val="ac"/>
              <w:numPr>
                <w:ilvl w:val="3"/>
                <w:numId w:val="140"/>
              </w:numPr>
              <w:tabs>
                <w:tab w:val="clear" w:pos="2820"/>
                <w:tab w:val="left" w:pos="336"/>
                <w:tab w:val="num" w:pos="3029"/>
              </w:tabs>
              <w:ind w:left="52" w:firstLine="0"/>
              <w:jc w:val="both"/>
              <w:rPr>
                <w:rFonts w:ascii="Garamond" w:hAnsi="Garamond"/>
                <w:highlight w:val="yellow"/>
              </w:rPr>
            </w:pPr>
            <w:r w:rsidRPr="007945A6">
              <w:rPr>
                <w:rFonts w:ascii="Garamond" w:hAnsi="Garamond"/>
                <w:highlight w:val="yellow"/>
              </w:rPr>
              <w:t xml:space="preserve">При проведении </w:t>
            </w:r>
            <w:r>
              <w:rPr>
                <w:rFonts w:ascii="Garamond" w:hAnsi="Garamond"/>
                <w:highlight w:val="yellow"/>
              </w:rPr>
              <w:t>процедуры подтверждения соответствия</w:t>
            </w:r>
            <w:r w:rsidRPr="007945A6">
              <w:rPr>
                <w:rFonts w:ascii="Garamond" w:hAnsi="Garamond"/>
                <w:highlight w:val="yellow"/>
              </w:rPr>
              <w:t xml:space="preserve"> </w:t>
            </w:r>
            <w:r>
              <w:rPr>
                <w:rFonts w:ascii="Garamond" w:hAnsi="Garamond"/>
                <w:highlight w:val="yellow"/>
              </w:rPr>
              <w:t>системы учета агрегатора техническим требованиям оптового рынка</w:t>
            </w:r>
            <w:r w:rsidRPr="00994C34">
              <w:rPr>
                <w:rFonts w:ascii="Garamond" w:hAnsi="Garamond"/>
                <w:highlight w:val="yellow"/>
              </w:rPr>
              <w:t>:</w:t>
            </w:r>
          </w:p>
          <w:p w14:paraId="7924D3C0" w14:textId="77777777" w:rsidR="004B3B82" w:rsidRPr="00B228B2" w:rsidRDefault="004B3B82" w:rsidP="004B3B82">
            <w:pPr>
              <w:pStyle w:val="ac"/>
              <w:numPr>
                <w:ilvl w:val="6"/>
                <w:numId w:val="142"/>
              </w:numPr>
              <w:ind w:left="336" w:hanging="284"/>
              <w:jc w:val="both"/>
              <w:rPr>
                <w:rFonts w:ascii="Garamond" w:hAnsi="Garamond"/>
                <w:highlight w:val="yellow"/>
              </w:rPr>
            </w:pPr>
            <w:r w:rsidRPr="00B228B2">
              <w:rPr>
                <w:rFonts w:ascii="Garamond" w:hAnsi="Garamond"/>
                <w:highlight w:val="yellow"/>
              </w:rPr>
              <w:t>В описании типа приборов учета указана возможность проведения измерений величин приращения электроэнергии согласно Техническим требованиям ОРЭМ (пп. 2.1.1, 3.1.1 Приложения № 11.1 к Положению о реестре).</w:t>
            </w:r>
          </w:p>
          <w:p w14:paraId="14DC70C7" w14:textId="5E30280F" w:rsidR="004B3B82" w:rsidRPr="008B6F3F" w:rsidRDefault="004B3B82" w:rsidP="004B3B82">
            <w:pPr>
              <w:pStyle w:val="ac"/>
              <w:numPr>
                <w:ilvl w:val="6"/>
                <w:numId w:val="142"/>
              </w:numPr>
              <w:ind w:left="336" w:hanging="284"/>
              <w:jc w:val="both"/>
              <w:rPr>
                <w:rFonts w:ascii="Garamond" w:hAnsi="Garamond"/>
                <w:highlight w:val="yellow"/>
              </w:rPr>
            </w:pPr>
            <w:r w:rsidRPr="00B228B2">
              <w:rPr>
                <w:rFonts w:ascii="Garamond" w:hAnsi="Garamond"/>
                <w:highlight w:val="yellow"/>
              </w:rPr>
              <w:t xml:space="preserve">В </w:t>
            </w:r>
            <w:r>
              <w:rPr>
                <w:rFonts w:ascii="Garamond" w:hAnsi="Garamond"/>
                <w:highlight w:val="yellow"/>
              </w:rPr>
              <w:t xml:space="preserve">соответствии со сведениями, указанными в </w:t>
            </w:r>
            <w:r w:rsidRPr="00B228B2">
              <w:rPr>
                <w:rFonts w:ascii="Garamond" w:hAnsi="Garamond"/>
                <w:highlight w:val="yellow"/>
              </w:rPr>
              <w:t>ПСИ</w:t>
            </w:r>
            <w:r>
              <w:rPr>
                <w:rFonts w:ascii="Garamond" w:hAnsi="Garamond"/>
                <w:highlight w:val="yellow"/>
              </w:rPr>
              <w:t>,</w:t>
            </w:r>
            <w:r w:rsidRPr="00B228B2">
              <w:rPr>
                <w:rFonts w:ascii="Garamond" w:hAnsi="Garamond"/>
                <w:highlight w:val="yellow"/>
              </w:rPr>
              <w:t xml:space="preserve"> для каждого прибора учета </w:t>
            </w:r>
            <w:r>
              <w:rPr>
                <w:rFonts w:ascii="Garamond" w:hAnsi="Garamond"/>
                <w:highlight w:val="yellow"/>
              </w:rPr>
              <w:t xml:space="preserve">срок действия свидетельства о </w:t>
            </w:r>
            <w:r w:rsidRPr="008B6F3F">
              <w:rPr>
                <w:rFonts w:ascii="Garamond" w:hAnsi="Garamond"/>
                <w:highlight w:val="yellow"/>
              </w:rPr>
              <w:t>поверке</w:t>
            </w:r>
            <w:r w:rsidR="00784BE5" w:rsidRPr="008B6F3F">
              <w:rPr>
                <w:rFonts w:ascii="Garamond" w:hAnsi="Garamond"/>
                <w:highlight w:val="yellow"/>
              </w:rPr>
              <w:t xml:space="preserve"> истекает не менее чем через 90 (девяносто) календарных дней на дату завершения проверки, предусмотренной п. 3.8.1 приложения 9 к Положению о реестре</w:t>
            </w:r>
            <w:r w:rsidRPr="008B6F3F">
              <w:rPr>
                <w:rFonts w:ascii="Garamond" w:hAnsi="Garamond"/>
                <w:highlight w:val="yellow"/>
              </w:rPr>
              <w:t>.</w:t>
            </w:r>
          </w:p>
          <w:p w14:paraId="67DF37DD" w14:textId="77777777" w:rsidR="004B3B82" w:rsidRPr="00B228B2" w:rsidRDefault="004B3B82" w:rsidP="004B3B82">
            <w:pPr>
              <w:pStyle w:val="ac"/>
              <w:numPr>
                <w:ilvl w:val="6"/>
                <w:numId w:val="142"/>
              </w:numPr>
              <w:ind w:left="336" w:hanging="284"/>
              <w:jc w:val="both"/>
              <w:rPr>
                <w:rFonts w:ascii="Garamond" w:hAnsi="Garamond"/>
                <w:highlight w:val="yellow"/>
              </w:rPr>
            </w:pPr>
            <w:r w:rsidRPr="00B228B2">
              <w:rPr>
                <w:rFonts w:ascii="Garamond" w:hAnsi="Garamond"/>
                <w:highlight w:val="yellow"/>
              </w:rPr>
              <w:t>Опубликованная информация в Федеральном информационном фонде по обеспечению единства измерений соответствует информации о приборе учета, указанной в ПСИ</w:t>
            </w:r>
            <w:r>
              <w:rPr>
                <w:rFonts w:ascii="Garamond" w:hAnsi="Garamond"/>
                <w:highlight w:val="yellow"/>
              </w:rPr>
              <w:t>, в том числе в части срока действия свидетельства о поверке прибора учета</w:t>
            </w:r>
            <w:r w:rsidRPr="00B228B2">
              <w:rPr>
                <w:rFonts w:ascii="Garamond" w:hAnsi="Garamond"/>
                <w:highlight w:val="yellow"/>
              </w:rPr>
              <w:t>.</w:t>
            </w:r>
          </w:p>
        </w:tc>
      </w:tr>
      <w:tr w:rsidR="004B3B82" w:rsidRPr="000D5747" w14:paraId="5CD923A7" w14:textId="77777777" w:rsidTr="00CD3B05">
        <w:tblPrEx>
          <w:shd w:val="clear" w:color="auto" w:fill="auto"/>
        </w:tblPrEx>
        <w:trPr>
          <w:trHeight w:val="322"/>
          <w:jc w:val="right"/>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576CA7D" w14:textId="77777777" w:rsidR="004B3B82" w:rsidRPr="000D5747" w:rsidRDefault="004B3B82" w:rsidP="00CD3B05">
            <w:pPr>
              <w:rPr>
                <w:rFonts w:ascii="Garamond" w:hAnsi="Garamond"/>
              </w:rPr>
            </w:pPr>
          </w:p>
        </w:tc>
        <w:tc>
          <w:tcPr>
            <w:tcW w:w="15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942F634" w14:textId="77777777" w:rsidR="004B3B82" w:rsidRPr="000D5747" w:rsidRDefault="004B3B82" w:rsidP="00CD3B05">
            <w:pPr>
              <w:jc w:val="center"/>
              <w:rPr>
                <w:rFonts w:ascii="Garamond" w:hAnsi="Garamond"/>
              </w:rPr>
            </w:pPr>
            <w:r w:rsidRPr="000D5747">
              <w:rPr>
                <w:rFonts w:ascii="Garamond" w:hAnsi="Garamond"/>
                <w:b/>
                <w:bCs/>
              </w:rPr>
              <w:t>Эксперты</w:t>
            </w:r>
          </w:p>
        </w:tc>
        <w:tc>
          <w:tcPr>
            <w:tcW w:w="778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8EBE5BC" w14:textId="77777777" w:rsidR="004B3B82" w:rsidRPr="000D5747" w:rsidRDefault="004B3B82" w:rsidP="00CD3B05">
            <w:pPr>
              <w:pStyle w:val="ac"/>
              <w:tabs>
                <w:tab w:val="left" w:pos="1440"/>
              </w:tabs>
              <w:ind w:left="0"/>
              <w:jc w:val="both"/>
              <w:rPr>
                <w:rFonts w:ascii="Garamond" w:eastAsia="Garamond" w:hAnsi="Garamond" w:cs="Garamond"/>
              </w:rPr>
            </w:pPr>
            <w:r w:rsidRPr="000D5747">
              <w:rPr>
                <w:rFonts w:ascii="Garamond" w:hAnsi="Garamond"/>
              </w:rPr>
              <w:t xml:space="preserve">Представители КО </w:t>
            </w:r>
          </w:p>
        </w:tc>
      </w:tr>
      <w:tr w:rsidR="004B3B82" w:rsidRPr="000D5747" w14:paraId="2BDFC0BC" w14:textId="77777777" w:rsidTr="00CD3B05">
        <w:tblPrEx>
          <w:shd w:val="clear" w:color="auto" w:fill="auto"/>
        </w:tblPrEx>
        <w:trPr>
          <w:trHeight w:val="250"/>
          <w:jc w:val="right"/>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139AD04" w14:textId="77777777" w:rsidR="004B3B82" w:rsidRPr="000D5747" w:rsidRDefault="004B3B82" w:rsidP="00CD3B05">
            <w:pPr>
              <w:rPr>
                <w:rFonts w:ascii="Garamond" w:hAnsi="Garamond"/>
              </w:rPr>
            </w:pPr>
          </w:p>
        </w:tc>
        <w:tc>
          <w:tcPr>
            <w:tcW w:w="15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CAF22C8" w14:textId="77777777" w:rsidR="004B3B82" w:rsidRPr="000D5747" w:rsidRDefault="004B3B82" w:rsidP="00CD3B05">
            <w:pPr>
              <w:jc w:val="center"/>
              <w:rPr>
                <w:rFonts w:ascii="Garamond" w:hAnsi="Garamond"/>
              </w:rPr>
            </w:pPr>
            <w:r w:rsidRPr="000D5747">
              <w:rPr>
                <w:rFonts w:ascii="Garamond" w:hAnsi="Garamond"/>
                <w:b/>
                <w:bCs/>
              </w:rPr>
              <w:t>Документация</w:t>
            </w:r>
          </w:p>
        </w:tc>
        <w:tc>
          <w:tcPr>
            <w:tcW w:w="778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5D63291" w14:textId="77777777" w:rsidR="004B3B82" w:rsidRDefault="004B3B82" w:rsidP="004B3B82">
            <w:pPr>
              <w:pStyle w:val="ac"/>
              <w:numPr>
                <w:ilvl w:val="0"/>
                <w:numId w:val="138"/>
              </w:numPr>
              <w:tabs>
                <w:tab w:val="left" w:pos="317"/>
              </w:tabs>
              <w:ind w:left="52" w:firstLine="0"/>
              <w:jc w:val="both"/>
              <w:rPr>
                <w:rFonts w:ascii="Garamond" w:hAnsi="Garamond"/>
                <w:highlight w:val="yellow"/>
              </w:rPr>
            </w:pPr>
            <w:r w:rsidRPr="0081004D">
              <w:rPr>
                <w:rFonts w:ascii="Garamond" w:hAnsi="Garamond"/>
                <w:highlight w:val="yellow"/>
              </w:rPr>
              <w:t xml:space="preserve">При проведении </w:t>
            </w:r>
            <w:r>
              <w:rPr>
                <w:rFonts w:ascii="Garamond" w:hAnsi="Garamond"/>
                <w:highlight w:val="yellow"/>
              </w:rPr>
              <w:t>процедуры</w:t>
            </w:r>
            <w:r w:rsidRPr="0081004D">
              <w:rPr>
                <w:rFonts w:ascii="Garamond" w:hAnsi="Garamond"/>
                <w:highlight w:val="yellow"/>
              </w:rPr>
              <w:t xml:space="preserve"> установления соответствия АИИС КУЭ</w:t>
            </w:r>
            <w:r>
              <w:rPr>
                <w:rFonts w:ascii="Garamond" w:hAnsi="Garamond"/>
                <w:highlight w:val="yellow"/>
              </w:rPr>
              <w:t>:</w:t>
            </w:r>
            <w:r w:rsidRPr="0081004D">
              <w:rPr>
                <w:rFonts w:ascii="Garamond" w:hAnsi="Garamond"/>
                <w:highlight w:val="yellow"/>
              </w:rPr>
              <w:t xml:space="preserve"> д</w:t>
            </w:r>
            <w:r w:rsidRPr="0081004D">
              <w:rPr>
                <w:rFonts w:ascii="Garamond" w:hAnsi="Garamond"/>
              </w:rPr>
              <w:t>окументация в соответствии с таблицей 2 приложения 1 настоящего Порядка, представленная для установления соответствия АИИС КУЭ</w:t>
            </w:r>
            <w:r w:rsidRPr="007945A6">
              <w:rPr>
                <w:rFonts w:ascii="Garamond" w:hAnsi="Garamond"/>
                <w:highlight w:val="yellow"/>
              </w:rPr>
              <w:t>.</w:t>
            </w:r>
          </w:p>
          <w:p w14:paraId="555EAB55" w14:textId="77777777" w:rsidR="004B3B82" w:rsidRPr="00FD6E16" w:rsidRDefault="004B3B82" w:rsidP="004B3B82">
            <w:pPr>
              <w:pStyle w:val="ac"/>
              <w:numPr>
                <w:ilvl w:val="0"/>
                <w:numId w:val="138"/>
              </w:numPr>
              <w:tabs>
                <w:tab w:val="left" w:pos="317"/>
              </w:tabs>
              <w:ind w:left="52" w:firstLine="0"/>
              <w:jc w:val="both"/>
              <w:rPr>
                <w:rFonts w:ascii="Garamond" w:hAnsi="Garamond"/>
                <w:highlight w:val="yellow"/>
              </w:rPr>
            </w:pPr>
            <w:r w:rsidRPr="007945A6">
              <w:rPr>
                <w:rFonts w:ascii="Garamond" w:hAnsi="Garamond"/>
                <w:highlight w:val="yellow"/>
              </w:rPr>
              <w:t xml:space="preserve">При проведении </w:t>
            </w:r>
            <w:r>
              <w:rPr>
                <w:rFonts w:ascii="Garamond" w:hAnsi="Garamond"/>
                <w:highlight w:val="yellow"/>
              </w:rPr>
              <w:t>процедуры подтверждения соответствия</w:t>
            </w:r>
            <w:r w:rsidRPr="007945A6">
              <w:rPr>
                <w:rFonts w:ascii="Garamond" w:hAnsi="Garamond"/>
                <w:highlight w:val="yellow"/>
              </w:rPr>
              <w:t xml:space="preserve"> </w:t>
            </w:r>
            <w:r>
              <w:rPr>
                <w:rFonts w:ascii="Garamond" w:hAnsi="Garamond"/>
                <w:highlight w:val="yellow"/>
              </w:rPr>
              <w:t>системы учета агрегатора техническим требованиям оптового рынка:</w:t>
            </w:r>
            <w:r w:rsidRPr="00FD6E16">
              <w:rPr>
                <w:rFonts w:ascii="Garamond" w:hAnsi="Garamond"/>
                <w:highlight w:val="yellow"/>
              </w:rPr>
              <w:t xml:space="preserve"> ПСИ.</w:t>
            </w:r>
          </w:p>
        </w:tc>
      </w:tr>
      <w:tr w:rsidR="004B3B82" w:rsidRPr="000D5747" w14:paraId="12B59B78" w14:textId="77777777" w:rsidTr="00CD3B05">
        <w:tblPrEx>
          <w:shd w:val="clear" w:color="auto" w:fill="auto"/>
        </w:tblPrEx>
        <w:trPr>
          <w:trHeight w:val="250"/>
          <w:jc w:val="right"/>
        </w:trPr>
        <w:tc>
          <w:tcPr>
            <w:tcW w:w="567" w:type="dxa"/>
            <w:tcBorders>
              <w:top w:val="single" w:sz="4" w:space="0" w:color="000000"/>
              <w:left w:val="single" w:sz="4" w:space="0" w:color="000000"/>
              <w:bottom w:val="single" w:sz="4" w:space="0" w:color="000000"/>
              <w:right w:val="single" w:sz="4" w:space="0" w:color="000000"/>
            </w:tcBorders>
            <w:shd w:val="clear" w:color="auto" w:fill="BFBFBF"/>
            <w:tcMar>
              <w:top w:w="80" w:type="dxa"/>
              <w:left w:w="80" w:type="dxa"/>
              <w:bottom w:w="80" w:type="dxa"/>
              <w:right w:w="80" w:type="dxa"/>
            </w:tcMar>
            <w:vAlign w:val="center"/>
          </w:tcPr>
          <w:p w14:paraId="41F1B281" w14:textId="77777777" w:rsidR="004B3B82" w:rsidRPr="000D5747" w:rsidRDefault="004B3B82" w:rsidP="00CD3B05">
            <w:pPr>
              <w:jc w:val="center"/>
              <w:rPr>
                <w:rFonts w:ascii="Garamond" w:hAnsi="Garamond"/>
              </w:rPr>
            </w:pPr>
            <w:r w:rsidRPr="000D5747">
              <w:rPr>
                <w:rFonts w:ascii="Garamond" w:hAnsi="Garamond"/>
              </w:rPr>
              <w:t>3</w:t>
            </w:r>
          </w:p>
        </w:tc>
        <w:tc>
          <w:tcPr>
            <w:tcW w:w="1568" w:type="dxa"/>
            <w:tcBorders>
              <w:top w:val="single" w:sz="4" w:space="0" w:color="000000"/>
              <w:left w:val="single" w:sz="4" w:space="0" w:color="000000"/>
              <w:bottom w:val="single" w:sz="4" w:space="0" w:color="000000"/>
              <w:right w:val="single" w:sz="4" w:space="0" w:color="000000"/>
            </w:tcBorders>
            <w:shd w:val="clear" w:color="auto" w:fill="BFBFBF"/>
            <w:tcMar>
              <w:top w:w="80" w:type="dxa"/>
              <w:left w:w="80" w:type="dxa"/>
              <w:bottom w:w="80" w:type="dxa"/>
              <w:right w:w="80" w:type="dxa"/>
            </w:tcMar>
            <w:vAlign w:val="center"/>
          </w:tcPr>
          <w:p w14:paraId="7059E044" w14:textId="77777777" w:rsidR="004B3B82" w:rsidRPr="000D5747" w:rsidRDefault="004B3B82" w:rsidP="00CD3B05">
            <w:pPr>
              <w:jc w:val="center"/>
              <w:rPr>
                <w:rFonts w:ascii="Garamond" w:hAnsi="Garamond"/>
                <w:b/>
                <w:bCs/>
                <w:vertAlign w:val="subscript"/>
              </w:rPr>
            </w:pPr>
            <w:r w:rsidRPr="000D5747">
              <w:rPr>
                <w:rFonts w:ascii="Garamond" w:hAnsi="Garamond"/>
                <w:b/>
                <w:bCs/>
              </w:rPr>
              <w:t>П</w:t>
            </w:r>
            <w:r w:rsidRPr="000D5747">
              <w:rPr>
                <w:rFonts w:ascii="Garamond" w:hAnsi="Garamond"/>
                <w:b/>
                <w:bCs/>
                <w:vertAlign w:val="subscript"/>
              </w:rPr>
              <w:t xml:space="preserve">Ф4 </w:t>
            </w:r>
          </w:p>
          <w:p w14:paraId="42FD9600" w14:textId="77777777" w:rsidR="004B3B82" w:rsidRPr="000D5747" w:rsidRDefault="004B3B82" w:rsidP="00CD3B05">
            <w:pPr>
              <w:jc w:val="center"/>
              <w:rPr>
                <w:rFonts w:ascii="Garamond" w:hAnsi="Garamond"/>
              </w:rPr>
            </w:pPr>
            <w:r w:rsidRPr="000D5747">
              <w:rPr>
                <w:rFonts w:ascii="Garamond" w:hAnsi="Garamond"/>
                <w:bCs/>
              </w:rPr>
              <w:t>(п. 2.3)</w:t>
            </w:r>
          </w:p>
        </w:tc>
        <w:tc>
          <w:tcPr>
            <w:tcW w:w="7789" w:type="dxa"/>
            <w:tcBorders>
              <w:top w:val="single" w:sz="4" w:space="0" w:color="000000"/>
              <w:left w:val="single" w:sz="4" w:space="0" w:color="000000"/>
              <w:bottom w:val="single" w:sz="4" w:space="0" w:color="000000"/>
              <w:right w:val="single" w:sz="4" w:space="0" w:color="000000"/>
            </w:tcBorders>
            <w:shd w:val="clear" w:color="auto" w:fill="BFBFBF"/>
            <w:tcMar>
              <w:top w:w="80" w:type="dxa"/>
              <w:left w:w="80" w:type="dxa"/>
              <w:bottom w:w="80" w:type="dxa"/>
              <w:right w:w="80" w:type="dxa"/>
            </w:tcMar>
          </w:tcPr>
          <w:p w14:paraId="15705D3D" w14:textId="77777777" w:rsidR="004B3B82" w:rsidRPr="000D5747" w:rsidRDefault="004B3B82" w:rsidP="00CD3B05">
            <w:pPr>
              <w:rPr>
                <w:rFonts w:ascii="Garamond" w:hAnsi="Garamond"/>
              </w:rPr>
            </w:pPr>
            <w:r w:rsidRPr="000D5747">
              <w:rPr>
                <w:rFonts w:ascii="Garamond" w:hAnsi="Garamond"/>
                <w:b/>
                <w:bCs/>
              </w:rPr>
              <w:t>Измерение времени и интервалов времени</w:t>
            </w:r>
          </w:p>
        </w:tc>
      </w:tr>
      <w:tr w:rsidR="004B3B82" w:rsidRPr="000D5747" w14:paraId="5EC3FC62" w14:textId="77777777" w:rsidTr="00CD3B05">
        <w:tblPrEx>
          <w:shd w:val="clear" w:color="auto" w:fill="auto"/>
        </w:tblPrEx>
        <w:trPr>
          <w:trHeight w:val="207"/>
          <w:jc w:val="right"/>
        </w:trPr>
        <w:tc>
          <w:tcPr>
            <w:tcW w:w="567" w:type="dxa"/>
            <w:tcBorders>
              <w:top w:val="single" w:sz="4" w:space="0" w:color="000000"/>
              <w:left w:val="single" w:sz="4" w:space="0" w:color="000000"/>
              <w:bottom w:val="single" w:sz="4" w:space="0" w:color="000000"/>
              <w:right w:val="single" w:sz="4" w:space="0" w:color="000000"/>
            </w:tcBorders>
            <w:shd w:val="clear" w:color="auto" w:fill="FFFF00"/>
            <w:tcMar>
              <w:top w:w="80" w:type="dxa"/>
              <w:left w:w="80" w:type="dxa"/>
              <w:bottom w:w="80" w:type="dxa"/>
              <w:right w:w="80" w:type="dxa"/>
            </w:tcMar>
            <w:vAlign w:val="center"/>
          </w:tcPr>
          <w:p w14:paraId="5C1A07CF" w14:textId="77777777" w:rsidR="004B3B82" w:rsidRPr="000D5747" w:rsidRDefault="004B3B82" w:rsidP="00CD3B05">
            <w:pPr>
              <w:rPr>
                <w:rFonts w:ascii="Garamond" w:hAnsi="Garamond"/>
              </w:rPr>
            </w:pPr>
          </w:p>
        </w:tc>
        <w:tc>
          <w:tcPr>
            <w:tcW w:w="1568" w:type="dxa"/>
            <w:tcBorders>
              <w:top w:val="single" w:sz="4" w:space="0" w:color="000000"/>
              <w:left w:val="single" w:sz="4" w:space="0" w:color="000000"/>
              <w:bottom w:val="single" w:sz="4" w:space="0" w:color="000000"/>
              <w:right w:val="single" w:sz="4" w:space="0" w:color="000000"/>
            </w:tcBorders>
            <w:shd w:val="clear" w:color="auto" w:fill="FFFF00"/>
            <w:tcMar>
              <w:top w:w="80" w:type="dxa"/>
              <w:left w:w="80" w:type="dxa"/>
              <w:bottom w:w="80" w:type="dxa"/>
              <w:right w:w="80" w:type="dxa"/>
            </w:tcMar>
            <w:vAlign w:val="center"/>
          </w:tcPr>
          <w:p w14:paraId="6DAA7965" w14:textId="77777777" w:rsidR="004B3B82" w:rsidRPr="000D5747" w:rsidRDefault="004B3B82" w:rsidP="00CD3B05">
            <w:pPr>
              <w:jc w:val="center"/>
              <w:rPr>
                <w:rFonts w:ascii="Garamond" w:hAnsi="Garamond"/>
              </w:rPr>
            </w:pPr>
            <w:r w:rsidRPr="000D5747">
              <w:rPr>
                <w:rFonts w:ascii="Garamond" w:hAnsi="Garamond"/>
                <w:b/>
                <w:bCs/>
              </w:rPr>
              <w:t>Компоненты</w:t>
            </w:r>
          </w:p>
        </w:tc>
        <w:tc>
          <w:tcPr>
            <w:tcW w:w="7789" w:type="dxa"/>
            <w:tcBorders>
              <w:top w:val="single" w:sz="4" w:space="0" w:color="000000"/>
              <w:left w:val="single" w:sz="4" w:space="0" w:color="000000"/>
              <w:bottom w:val="single" w:sz="4" w:space="0" w:color="000000"/>
              <w:right w:val="single" w:sz="4" w:space="0" w:color="000000"/>
            </w:tcBorders>
            <w:shd w:val="clear" w:color="auto" w:fill="FFFF00"/>
            <w:tcMar>
              <w:top w:w="80" w:type="dxa"/>
              <w:left w:w="80" w:type="dxa"/>
              <w:bottom w:w="80" w:type="dxa"/>
              <w:right w:w="80" w:type="dxa"/>
            </w:tcMar>
          </w:tcPr>
          <w:p w14:paraId="400018CB" w14:textId="77777777" w:rsidR="004B3B82" w:rsidRPr="000D5747" w:rsidRDefault="004B3B82" w:rsidP="00CD3B05">
            <w:pPr>
              <w:rPr>
                <w:rFonts w:ascii="Garamond" w:hAnsi="Garamond"/>
              </w:rPr>
            </w:pPr>
            <w:r w:rsidRPr="000D5747">
              <w:rPr>
                <w:rFonts w:ascii="Garamond" w:hAnsi="Garamond"/>
              </w:rPr>
              <w:t>СОЕВ</w:t>
            </w:r>
          </w:p>
        </w:tc>
      </w:tr>
      <w:tr w:rsidR="004B3B82" w:rsidRPr="000D5747" w14:paraId="7D103A40" w14:textId="77777777" w:rsidTr="00CD3B05">
        <w:trPr>
          <w:trHeight w:val="641"/>
          <w:jc w:val="right"/>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FB6373C" w14:textId="77777777" w:rsidR="004B3B82" w:rsidRPr="000D5747" w:rsidRDefault="004B3B82" w:rsidP="00CD3B05">
            <w:pPr>
              <w:rPr>
                <w:rFonts w:ascii="Garamond" w:hAnsi="Garamond"/>
              </w:rPr>
            </w:pPr>
          </w:p>
        </w:tc>
        <w:tc>
          <w:tcPr>
            <w:tcW w:w="15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C71C766" w14:textId="77777777" w:rsidR="004B3B82" w:rsidRPr="000D5747" w:rsidRDefault="004B3B82" w:rsidP="00CD3B05">
            <w:pPr>
              <w:jc w:val="center"/>
              <w:rPr>
                <w:rFonts w:ascii="Garamond" w:hAnsi="Garamond"/>
              </w:rPr>
            </w:pPr>
            <w:r w:rsidRPr="000D5747">
              <w:rPr>
                <w:rFonts w:ascii="Garamond" w:hAnsi="Garamond"/>
                <w:b/>
                <w:bCs/>
              </w:rPr>
              <w:t>Действия</w:t>
            </w:r>
          </w:p>
        </w:tc>
        <w:tc>
          <w:tcPr>
            <w:tcW w:w="778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3FB5C4A" w14:textId="77777777" w:rsidR="004B3B82" w:rsidRPr="000D5747" w:rsidRDefault="004B3B82" w:rsidP="00CD3B05">
            <w:pPr>
              <w:pStyle w:val="ac"/>
              <w:tabs>
                <w:tab w:val="left" w:pos="1440"/>
              </w:tabs>
              <w:ind w:left="0"/>
              <w:jc w:val="both"/>
              <w:rPr>
                <w:rFonts w:ascii="Garamond" w:eastAsia="Garamond" w:hAnsi="Garamond" w:cs="Garamond"/>
              </w:rPr>
            </w:pPr>
            <w:r w:rsidRPr="000D5747">
              <w:rPr>
                <w:rFonts w:ascii="Garamond" w:hAnsi="Garamond"/>
              </w:rPr>
              <w:t xml:space="preserve">В описании типа средства измерений АИИС КУЭ </w:t>
            </w:r>
            <w:r w:rsidRPr="00450EB3">
              <w:rPr>
                <w:rFonts w:ascii="Garamond" w:hAnsi="Garamond"/>
              </w:rPr>
              <w:t>проверяется наличие и соответствие Техническим требованиям ОРЭМ (п. 2.3 Приложения № 11.1 к Положению о реестре) функциональной возможности измерения времени в АИИС</w:t>
            </w:r>
            <w:r w:rsidRPr="000D5747">
              <w:rPr>
                <w:rFonts w:ascii="Garamond" w:hAnsi="Garamond"/>
              </w:rPr>
              <w:t xml:space="preserve"> КУЭ.</w:t>
            </w:r>
          </w:p>
        </w:tc>
      </w:tr>
      <w:tr w:rsidR="004B3B82" w:rsidRPr="000D5747" w14:paraId="0576799D" w14:textId="77777777" w:rsidTr="00CD3B05">
        <w:trPr>
          <w:trHeight w:val="1060"/>
          <w:jc w:val="right"/>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297B25E" w14:textId="77777777" w:rsidR="004B3B82" w:rsidRPr="000D5747" w:rsidRDefault="004B3B82" w:rsidP="00CD3B05">
            <w:pPr>
              <w:rPr>
                <w:rFonts w:ascii="Garamond" w:hAnsi="Garamond"/>
              </w:rPr>
            </w:pPr>
          </w:p>
        </w:tc>
        <w:tc>
          <w:tcPr>
            <w:tcW w:w="15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0A2A993" w14:textId="77777777" w:rsidR="004B3B82" w:rsidRPr="000D5747" w:rsidRDefault="004B3B82" w:rsidP="00CD3B05">
            <w:pPr>
              <w:jc w:val="center"/>
              <w:rPr>
                <w:rFonts w:ascii="Garamond" w:hAnsi="Garamond"/>
              </w:rPr>
            </w:pPr>
            <w:r w:rsidRPr="000D5747">
              <w:rPr>
                <w:rFonts w:ascii="Garamond" w:hAnsi="Garamond"/>
                <w:b/>
                <w:bCs/>
              </w:rPr>
              <w:t>Критерии</w:t>
            </w:r>
          </w:p>
        </w:tc>
        <w:tc>
          <w:tcPr>
            <w:tcW w:w="778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B5035C2" w14:textId="77777777" w:rsidR="004B3B82" w:rsidRPr="000D5747" w:rsidRDefault="004B3B82" w:rsidP="004B3B82">
            <w:pPr>
              <w:pStyle w:val="ac"/>
              <w:numPr>
                <w:ilvl w:val="0"/>
                <w:numId w:val="133"/>
              </w:numPr>
              <w:pBdr>
                <w:top w:val="nil"/>
                <w:left w:val="nil"/>
                <w:bottom w:val="nil"/>
                <w:right w:val="nil"/>
                <w:between w:val="nil"/>
                <w:bar w:val="nil"/>
              </w:pBdr>
              <w:tabs>
                <w:tab w:val="left" w:pos="1440"/>
              </w:tabs>
              <w:ind w:left="380" w:hanging="380"/>
              <w:jc w:val="both"/>
              <w:rPr>
                <w:rFonts w:ascii="Garamond" w:eastAsia="Garamond" w:hAnsi="Garamond" w:cs="Garamond"/>
              </w:rPr>
            </w:pPr>
            <w:r w:rsidRPr="000D5747">
              <w:rPr>
                <w:rFonts w:ascii="Garamond" w:hAnsi="Garamond"/>
              </w:rPr>
              <w:t>Соответствие сведений о возможности измерения времени в Описании типа средства измерений АИИС КУЭ Техническим требованиям ОРЭМ.</w:t>
            </w:r>
          </w:p>
          <w:p w14:paraId="0F2B26A6" w14:textId="77777777" w:rsidR="004B3B82" w:rsidRPr="000D5747" w:rsidRDefault="004B3B82" w:rsidP="004B3B82">
            <w:pPr>
              <w:pStyle w:val="ac"/>
              <w:numPr>
                <w:ilvl w:val="0"/>
                <w:numId w:val="133"/>
              </w:numPr>
              <w:pBdr>
                <w:top w:val="nil"/>
                <w:left w:val="nil"/>
                <w:bottom w:val="nil"/>
                <w:right w:val="nil"/>
                <w:between w:val="nil"/>
                <w:bar w:val="nil"/>
              </w:pBdr>
              <w:tabs>
                <w:tab w:val="left" w:pos="1440"/>
              </w:tabs>
              <w:ind w:left="380" w:hanging="380"/>
              <w:jc w:val="both"/>
              <w:rPr>
                <w:rFonts w:ascii="Garamond" w:eastAsia="Garamond" w:hAnsi="Garamond" w:cs="Garamond"/>
              </w:rPr>
            </w:pPr>
            <w:r w:rsidRPr="000D5747">
              <w:rPr>
                <w:rFonts w:ascii="Garamond" w:hAnsi="Garamond"/>
              </w:rPr>
              <w:t xml:space="preserve">Точность измерения времени СОЕВ (УССВ, таймеры времени </w:t>
            </w:r>
            <w:r w:rsidRPr="00B228B2">
              <w:rPr>
                <w:rFonts w:ascii="Garamond" w:hAnsi="Garamond"/>
                <w:highlight w:val="yellow"/>
              </w:rPr>
              <w:t>прибора учета</w:t>
            </w:r>
            <w:r w:rsidRPr="000D5747">
              <w:rPr>
                <w:rFonts w:ascii="Garamond" w:hAnsi="Garamond"/>
              </w:rPr>
              <w:t>, УСПД и серверов) согласно Описанию типа средства измерений АИИС КУЭ</w:t>
            </w:r>
            <w:r w:rsidRPr="000D5747" w:rsidDel="00B108BD">
              <w:rPr>
                <w:rFonts w:ascii="Garamond" w:hAnsi="Garamond"/>
              </w:rPr>
              <w:t xml:space="preserve"> </w:t>
            </w:r>
            <w:r w:rsidRPr="000D5747">
              <w:rPr>
                <w:rFonts w:ascii="Garamond" w:hAnsi="Garamond"/>
              </w:rPr>
              <w:t>не хуже ±5 с/сутки.</w:t>
            </w:r>
          </w:p>
        </w:tc>
      </w:tr>
      <w:tr w:rsidR="004B3B82" w:rsidRPr="000D5747" w14:paraId="501D2252" w14:textId="77777777" w:rsidTr="00CD3B05">
        <w:tblPrEx>
          <w:shd w:val="clear" w:color="auto" w:fill="auto"/>
        </w:tblPrEx>
        <w:trPr>
          <w:trHeight w:val="106"/>
          <w:jc w:val="right"/>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D241E34" w14:textId="77777777" w:rsidR="004B3B82" w:rsidRPr="000D5747" w:rsidRDefault="004B3B82" w:rsidP="00CD3B05">
            <w:pPr>
              <w:rPr>
                <w:rFonts w:ascii="Garamond" w:hAnsi="Garamond"/>
              </w:rPr>
            </w:pPr>
          </w:p>
        </w:tc>
        <w:tc>
          <w:tcPr>
            <w:tcW w:w="15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DA78422" w14:textId="77777777" w:rsidR="004B3B82" w:rsidRPr="000D5747" w:rsidRDefault="004B3B82" w:rsidP="00CD3B05">
            <w:pPr>
              <w:jc w:val="center"/>
              <w:rPr>
                <w:rFonts w:ascii="Garamond" w:hAnsi="Garamond"/>
              </w:rPr>
            </w:pPr>
            <w:r w:rsidRPr="000D5747">
              <w:rPr>
                <w:rFonts w:ascii="Garamond" w:hAnsi="Garamond"/>
                <w:b/>
                <w:bCs/>
              </w:rPr>
              <w:t>Эксперты</w:t>
            </w:r>
          </w:p>
        </w:tc>
        <w:tc>
          <w:tcPr>
            <w:tcW w:w="778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E8504FC" w14:textId="77777777" w:rsidR="004B3B82" w:rsidRPr="000D5747" w:rsidRDefault="004B3B82" w:rsidP="00CD3B05">
            <w:pPr>
              <w:pStyle w:val="ac"/>
              <w:tabs>
                <w:tab w:val="left" w:pos="1440"/>
              </w:tabs>
              <w:ind w:left="0"/>
              <w:jc w:val="both"/>
              <w:rPr>
                <w:rFonts w:ascii="Garamond" w:eastAsia="Garamond" w:hAnsi="Garamond" w:cs="Garamond"/>
              </w:rPr>
            </w:pPr>
            <w:r w:rsidRPr="000D5747">
              <w:rPr>
                <w:rFonts w:ascii="Garamond" w:hAnsi="Garamond"/>
              </w:rPr>
              <w:t xml:space="preserve">Представители КО </w:t>
            </w:r>
          </w:p>
        </w:tc>
      </w:tr>
      <w:tr w:rsidR="004B3B82" w:rsidRPr="000D5747" w14:paraId="3D38C731" w14:textId="77777777" w:rsidTr="00CD3B05">
        <w:tblPrEx>
          <w:shd w:val="clear" w:color="auto" w:fill="auto"/>
        </w:tblPrEx>
        <w:trPr>
          <w:trHeight w:val="250"/>
          <w:jc w:val="right"/>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8BA777D" w14:textId="77777777" w:rsidR="004B3B82" w:rsidRPr="000D5747" w:rsidRDefault="004B3B82" w:rsidP="00CD3B05">
            <w:pPr>
              <w:rPr>
                <w:rFonts w:ascii="Garamond" w:hAnsi="Garamond"/>
              </w:rPr>
            </w:pPr>
          </w:p>
        </w:tc>
        <w:tc>
          <w:tcPr>
            <w:tcW w:w="15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486A5C3" w14:textId="77777777" w:rsidR="004B3B82" w:rsidRPr="000D5747" w:rsidRDefault="004B3B82" w:rsidP="00CD3B05">
            <w:pPr>
              <w:jc w:val="center"/>
              <w:rPr>
                <w:rFonts w:ascii="Garamond" w:hAnsi="Garamond"/>
              </w:rPr>
            </w:pPr>
            <w:r w:rsidRPr="000D5747">
              <w:rPr>
                <w:rFonts w:ascii="Garamond" w:hAnsi="Garamond"/>
                <w:b/>
                <w:bCs/>
              </w:rPr>
              <w:t>Документация</w:t>
            </w:r>
          </w:p>
        </w:tc>
        <w:tc>
          <w:tcPr>
            <w:tcW w:w="778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C92223F" w14:textId="77777777" w:rsidR="004B3B82" w:rsidRPr="000D5747" w:rsidRDefault="004B3B82" w:rsidP="00CD3B05">
            <w:pPr>
              <w:rPr>
                <w:rFonts w:ascii="Garamond" w:hAnsi="Garamond"/>
              </w:rPr>
            </w:pPr>
            <w:r w:rsidRPr="00072687">
              <w:rPr>
                <w:rFonts w:ascii="Garamond" w:hAnsi="Garamond"/>
              </w:rPr>
              <w:t>Документация в соответствии с таблицей 2 приложения 1 к настоящему Порядку, представленная для установления соответствия АИИС КУЭ</w:t>
            </w:r>
          </w:p>
        </w:tc>
      </w:tr>
      <w:tr w:rsidR="004B3B82" w:rsidRPr="000D5747" w14:paraId="3668EE7E" w14:textId="77777777" w:rsidTr="00CD3B05">
        <w:tblPrEx>
          <w:shd w:val="clear" w:color="auto" w:fill="auto"/>
        </w:tblPrEx>
        <w:trPr>
          <w:trHeight w:val="250"/>
          <w:jc w:val="right"/>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63E89D4" w14:textId="77777777" w:rsidR="004B3B82" w:rsidRPr="000D5747" w:rsidRDefault="004B3B82" w:rsidP="00CD3B05">
            <w:pPr>
              <w:rPr>
                <w:rFonts w:ascii="Garamond" w:hAnsi="Garamond"/>
              </w:rPr>
            </w:pPr>
            <w:r>
              <w:rPr>
                <w:rFonts w:ascii="Garamond" w:hAnsi="Garamond"/>
              </w:rPr>
              <w:t>…</w:t>
            </w:r>
          </w:p>
        </w:tc>
        <w:tc>
          <w:tcPr>
            <w:tcW w:w="15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83A5A7D" w14:textId="77777777" w:rsidR="004B3B82" w:rsidRPr="000D5747" w:rsidRDefault="004B3B82" w:rsidP="00CD3B05">
            <w:pPr>
              <w:jc w:val="center"/>
              <w:rPr>
                <w:rFonts w:ascii="Garamond" w:hAnsi="Garamond"/>
                <w:b/>
                <w:bCs/>
              </w:rPr>
            </w:pPr>
            <w:r>
              <w:rPr>
                <w:rFonts w:ascii="Garamond" w:hAnsi="Garamond"/>
              </w:rPr>
              <w:t>…</w:t>
            </w:r>
          </w:p>
        </w:tc>
        <w:tc>
          <w:tcPr>
            <w:tcW w:w="778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1AE4A66" w14:textId="77777777" w:rsidR="004B3B82" w:rsidRPr="00072687" w:rsidRDefault="004B3B82" w:rsidP="00CD3B05">
            <w:pPr>
              <w:rPr>
                <w:rFonts w:ascii="Garamond" w:hAnsi="Garamond"/>
              </w:rPr>
            </w:pPr>
            <w:r>
              <w:rPr>
                <w:rFonts w:ascii="Garamond" w:hAnsi="Garamond"/>
              </w:rPr>
              <w:t>…</w:t>
            </w:r>
          </w:p>
        </w:tc>
      </w:tr>
      <w:tr w:rsidR="004B3B82" w:rsidRPr="000D5747" w14:paraId="21F057C4" w14:textId="77777777" w:rsidTr="00CD3B05">
        <w:tblPrEx>
          <w:shd w:val="clear" w:color="auto" w:fill="auto"/>
        </w:tblPrEx>
        <w:trPr>
          <w:trHeight w:val="250"/>
          <w:jc w:val="right"/>
        </w:trPr>
        <w:tc>
          <w:tcPr>
            <w:tcW w:w="567" w:type="dxa"/>
            <w:tcBorders>
              <w:top w:val="single" w:sz="4" w:space="0" w:color="000000"/>
              <w:left w:val="single" w:sz="4" w:space="0" w:color="000000"/>
              <w:bottom w:val="single" w:sz="4" w:space="0" w:color="000000"/>
              <w:right w:val="single" w:sz="4" w:space="0" w:color="000000"/>
            </w:tcBorders>
            <w:shd w:val="clear" w:color="auto" w:fill="BFBFBF"/>
            <w:tcMar>
              <w:top w:w="80" w:type="dxa"/>
              <w:left w:w="80" w:type="dxa"/>
              <w:bottom w:w="80" w:type="dxa"/>
              <w:right w:w="80" w:type="dxa"/>
            </w:tcMar>
            <w:vAlign w:val="center"/>
          </w:tcPr>
          <w:p w14:paraId="72921D87" w14:textId="77777777" w:rsidR="004B3B82" w:rsidRPr="000D5747" w:rsidRDefault="004B3B82" w:rsidP="00CD3B05">
            <w:pPr>
              <w:jc w:val="center"/>
              <w:rPr>
                <w:rFonts w:ascii="Garamond" w:hAnsi="Garamond"/>
              </w:rPr>
            </w:pPr>
            <w:r w:rsidRPr="000D5747">
              <w:rPr>
                <w:rFonts w:ascii="Garamond" w:hAnsi="Garamond"/>
              </w:rPr>
              <w:t>6</w:t>
            </w:r>
          </w:p>
        </w:tc>
        <w:tc>
          <w:tcPr>
            <w:tcW w:w="1568" w:type="dxa"/>
            <w:tcBorders>
              <w:top w:val="single" w:sz="4" w:space="0" w:color="000000"/>
              <w:left w:val="single" w:sz="4" w:space="0" w:color="000000"/>
              <w:bottom w:val="single" w:sz="4" w:space="0" w:color="000000"/>
              <w:right w:val="single" w:sz="4" w:space="0" w:color="000000"/>
            </w:tcBorders>
            <w:shd w:val="clear" w:color="auto" w:fill="BFBFBF"/>
            <w:tcMar>
              <w:top w:w="80" w:type="dxa"/>
              <w:left w:w="80" w:type="dxa"/>
              <w:bottom w:w="80" w:type="dxa"/>
              <w:right w:w="80" w:type="dxa"/>
            </w:tcMar>
            <w:vAlign w:val="center"/>
          </w:tcPr>
          <w:p w14:paraId="6A83C85D" w14:textId="77777777" w:rsidR="004B3B82" w:rsidRPr="000D5747" w:rsidRDefault="004B3B82" w:rsidP="00CD3B05">
            <w:pPr>
              <w:jc w:val="center"/>
              <w:rPr>
                <w:rFonts w:ascii="Garamond" w:hAnsi="Garamond"/>
                <w:b/>
                <w:bCs/>
                <w:vertAlign w:val="subscript"/>
              </w:rPr>
            </w:pPr>
            <w:r w:rsidRPr="000D5747">
              <w:rPr>
                <w:rFonts w:ascii="Garamond" w:hAnsi="Garamond"/>
                <w:b/>
                <w:bCs/>
              </w:rPr>
              <w:t>П</w:t>
            </w:r>
            <w:r w:rsidRPr="000D5747">
              <w:rPr>
                <w:rFonts w:ascii="Garamond" w:hAnsi="Garamond"/>
                <w:b/>
                <w:bCs/>
                <w:vertAlign w:val="subscript"/>
              </w:rPr>
              <w:t>Ф9</w:t>
            </w:r>
          </w:p>
          <w:p w14:paraId="5CAA8F98" w14:textId="77777777" w:rsidR="004B3B82" w:rsidRPr="000D5747" w:rsidRDefault="004B3B82" w:rsidP="00CD3B05">
            <w:pPr>
              <w:jc w:val="center"/>
              <w:rPr>
                <w:rFonts w:ascii="Garamond" w:hAnsi="Garamond"/>
              </w:rPr>
            </w:pPr>
            <w:r w:rsidRPr="000D5747">
              <w:rPr>
                <w:rFonts w:ascii="Garamond" w:hAnsi="Garamond"/>
                <w:bCs/>
              </w:rPr>
              <w:t>(п. 3.4.1)</w:t>
            </w:r>
          </w:p>
        </w:tc>
        <w:tc>
          <w:tcPr>
            <w:tcW w:w="7789" w:type="dxa"/>
            <w:tcBorders>
              <w:top w:val="single" w:sz="4" w:space="0" w:color="000000"/>
              <w:left w:val="single" w:sz="4" w:space="0" w:color="000000"/>
              <w:bottom w:val="single" w:sz="4" w:space="0" w:color="000000"/>
              <w:right w:val="single" w:sz="4" w:space="0" w:color="000000"/>
            </w:tcBorders>
            <w:shd w:val="clear" w:color="auto" w:fill="BFBFBF"/>
            <w:tcMar>
              <w:top w:w="80" w:type="dxa"/>
              <w:left w:w="80" w:type="dxa"/>
              <w:bottom w:w="80" w:type="dxa"/>
              <w:right w:w="80" w:type="dxa"/>
            </w:tcMar>
          </w:tcPr>
          <w:p w14:paraId="1653A512" w14:textId="77777777" w:rsidR="004B3B82" w:rsidRPr="000D5747" w:rsidRDefault="004B3B82" w:rsidP="00CD3B05">
            <w:pPr>
              <w:rPr>
                <w:rFonts w:ascii="Garamond" w:hAnsi="Garamond"/>
              </w:rPr>
            </w:pPr>
            <w:r w:rsidRPr="000D5747">
              <w:rPr>
                <w:rFonts w:ascii="Garamond" w:hAnsi="Garamond"/>
                <w:b/>
                <w:bCs/>
              </w:rPr>
              <w:t xml:space="preserve">Допустимый класс точности </w:t>
            </w:r>
            <w:r w:rsidRPr="00C41196">
              <w:rPr>
                <w:rFonts w:ascii="Garamond" w:hAnsi="Garamond"/>
                <w:b/>
                <w:bCs/>
                <w:highlight w:val="yellow"/>
              </w:rPr>
              <w:t>прибора учета</w:t>
            </w:r>
          </w:p>
        </w:tc>
      </w:tr>
      <w:tr w:rsidR="004B3B82" w:rsidRPr="000D5747" w14:paraId="0D565EA8" w14:textId="77777777" w:rsidTr="00CD3B05">
        <w:tblPrEx>
          <w:shd w:val="clear" w:color="auto" w:fill="auto"/>
        </w:tblPrEx>
        <w:trPr>
          <w:trHeight w:val="250"/>
          <w:jc w:val="right"/>
        </w:trPr>
        <w:tc>
          <w:tcPr>
            <w:tcW w:w="567" w:type="dxa"/>
            <w:tcBorders>
              <w:top w:val="single" w:sz="4" w:space="0" w:color="000000"/>
              <w:left w:val="single" w:sz="4" w:space="0" w:color="000000"/>
              <w:bottom w:val="single" w:sz="4" w:space="0" w:color="000000"/>
              <w:right w:val="single" w:sz="4" w:space="0" w:color="000000"/>
            </w:tcBorders>
            <w:shd w:val="clear" w:color="auto" w:fill="FFFF00"/>
            <w:tcMar>
              <w:top w:w="80" w:type="dxa"/>
              <w:left w:w="80" w:type="dxa"/>
              <w:bottom w:w="80" w:type="dxa"/>
              <w:right w:w="80" w:type="dxa"/>
            </w:tcMar>
            <w:vAlign w:val="center"/>
          </w:tcPr>
          <w:p w14:paraId="1C63C4D6" w14:textId="77777777" w:rsidR="004B3B82" w:rsidRPr="000D5747" w:rsidRDefault="004B3B82" w:rsidP="00CD3B05">
            <w:pPr>
              <w:rPr>
                <w:rFonts w:ascii="Garamond" w:hAnsi="Garamond"/>
              </w:rPr>
            </w:pPr>
          </w:p>
        </w:tc>
        <w:tc>
          <w:tcPr>
            <w:tcW w:w="1568" w:type="dxa"/>
            <w:tcBorders>
              <w:top w:val="single" w:sz="4" w:space="0" w:color="000000"/>
              <w:left w:val="single" w:sz="4" w:space="0" w:color="000000"/>
              <w:bottom w:val="single" w:sz="4" w:space="0" w:color="000000"/>
              <w:right w:val="single" w:sz="4" w:space="0" w:color="000000"/>
            </w:tcBorders>
            <w:shd w:val="clear" w:color="auto" w:fill="FFFF00"/>
            <w:tcMar>
              <w:top w:w="80" w:type="dxa"/>
              <w:left w:w="80" w:type="dxa"/>
              <w:bottom w:w="80" w:type="dxa"/>
              <w:right w:w="80" w:type="dxa"/>
            </w:tcMar>
            <w:vAlign w:val="center"/>
          </w:tcPr>
          <w:p w14:paraId="3A82F5EC" w14:textId="77777777" w:rsidR="004B3B82" w:rsidRPr="000D5747" w:rsidRDefault="004B3B82" w:rsidP="00CD3B05">
            <w:pPr>
              <w:jc w:val="center"/>
              <w:rPr>
                <w:rFonts w:ascii="Garamond" w:hAnsi="Garamond"/>
              </w:rPr>
            </w:pPr>
            <w:r w:rsidRPr="000D5747">
              <w:rPr>
                <w:rFonts w:ascii="Garamond" w:hAnsi="Garamond"/>
                <w:b/>
                <w:bCs/>
              </w:rPr>
              <w:t>Компоненты</w:t>
            </w:r>
          </w:p>
        </w:tc>
        <w:tc>
          <w:tcPr>
            <w:tcW w:w="7789" w:type="dxa"/>
            <w:tcBorders>
              <w:top w:val="single" w:sz="4" w:space="0" w:color="000000"/>
              <w:left w:val="single" w:sz="4" w:space="0" w:color="000000"/>
              <w:bottom w:val="single" w:sz="4" w:space="0" w:color="000000"/>
              <w:right w:val="single" w:sz="4" w:space="0" w:color="000000"/>
            </w:tcBorders>
            <w:shd w:val="clear" w:color="auto" w:fill="FFFF00"/>
            <w:tcMar>
              <w:top w:w="80" w:type="dxa"/>
              <w:left w:w="80" w:type="dxa"/>
              <w:bottom w:w="80" w:type="dxa"/>
              <w:right w:w="80" w:type="dxa"/>
            </w:tcMar>
          </w:tcPr>
          <w:p w14:paraId="4D2130B5" w14:textId="77777777" w:rsidR="004B3B82" w:rsidRPr="000D5747" w:rsidRDefault="004B3B82" w:rsidP="00CD3B05">
            <w:pPr>
              <w:rPr>
                <w:rFonts w:ascii="Garamond" w:hAnsi="Garamond"/>
              </w:rPr>
            </w:pPr>
            <w:r w:rsidRPr="000D5747">
              <w:rPr>
                <w:rFonts w:ascii="Garamond" w:hAnsi="Garamond"/>
              </w:rPr>
              <w:t xml:space="preserve">ИИК – </w:t>
            </w:r>
            <w:r>
              <w:rPr>
                <w:rFonts w:ascii="Garamond" w:hAnsi="Garamond"/>
                <w:highlight w:val="green"/>
              </w:rPr>
              <w:t>прибор учета</w:t>
            </w:r>
          </w:p>
        </w:tc>
      </w:tr>
      <w:tr w:rsidR="004B3B82" w:rsidRPr="000D5747" w14:paraId="009A0D47" w14:textId="77777777" w:rsidTr="00CD3B05">
        <w:tblPrEx>
          <w:shd w:val="clear" w:color="auto" w:fill="auto"/>
        </w:tblPrEx>
        <w:trPr>
          <w:trHeight w:val="285"/>
          <w:jc w:val="right"/>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57A10C6" w14:textId="77777777" w:rsidR="004B3B82" w:rsidRPr="000D5747" w:rsidRDefault="004B3B82" w:rsidP="00CD3B05">
            <w:pPr>
              <w:rPr>
                <w:rFonts w:ascii="Garamond" w:hAnsi="Garamond"/>
              </w:rPr>
            </w:pPr>
          </w:p>
        </w:tc>
        <w:tc>
          <w:tcPr>
            <w:tcW w:w="15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6E2492D" w14:textId="77777777" w:rsidR="004B3B82" w:rsidRPr="000D5747" w:rsidRDefault="004B3B82" w:rsidP="00CD3B05">
            <w:pPr>
              <w:jc w:val="center"/>
              <w:rPr>
                <w:rFonts w:ascii="Garamond" w:hAnsi="Garamond"/>
              </w:rPr>
            </w:pPr>
            <w:r w:rsidRPr="000D5747">
              <w:rPr>
                <w:rFonts w:ascii="Garamond" w:hAnsi="Garamond"/>
                <w:b/>
                <w:bCs/>
              </w:rPr>
              <w:t>Действия</w:t>
            </w:r>
          </w:p>
        </w:tc>
        <w:tc>
          <w:tcPr>
            <w:tcW w:w="778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21E4DF7" w14:textId="77777777" w:rsidR="004B3B82" w:rsidRPr="001E130A" w:rsidRDefault="004B3B82" w:rsidP="004B3B82">
            <w:pPr>
              <w:pStyle w:val="ac"/>
              <w:numPr>
                <w:ilvl w:val="3"/>
                <w:numId w:val="144"/>
              </w:numPr>
              <w:tabs>
                <w:tab w:val="clear" w:pos="2820"/>
                <w:tab w:val="left" w:pos="163"/>
                <w:tab w:val="left" w:pos="336"/>
                <w:tab w:val="num" w:pos="3029"/>
              </w:tabs>
              <w:ind w:left="52" w:firstLine="15"/>
              <w:jc w:val="both"/>
              <w:rPr>
                <w:rFonts w:ascii="Garamond" w:hAnsi="Garamond"/>
                <w:highlight w:val="yellow"/>
              </w:rPr>
            </w:pPr>
            <w:r w:rsidRPr="0081004D">
              <w:rPr>
                <w:rFonts w:ascii="Garamond" w:hAnsi="Garamond"/>
                <w:highlight w:val="yellow"/>
              </w:rPr>
              <w:t xml:space="preserve">При проведении </w:t>
            </w:r>
            <w:r>
              <w:rPr>
                <w:rFonts w:ascii="Garamond" w:hAnsi="Garamond"/>
                <w:highlight w:val="yellow"/>
              </w:rPr>
              <w:t>процедуры</w:t>
            </w:r>
            <w:r w:rsidRPr="0081004D">
              <w:rPr>
                <w:rFonts w:ascii="Garamond" w:hAnsi="Garamond"/>
                <w:highlight w:val="yellow"/>
              </w:rPr>
              <w:t xml:space="preserve"> установления соответствия АИИС КУЭ</w:t>
            </w:r>
            <w:r w:rsidRPr="001E130A">
              <w:rPr>
                <w:rFonts w:ascii="Garamond" w:hAnsi="Garamond"/>
                <w:highlight w:val="yellow"/>
              </w:rPr>
              <w:t>:</w:t>
            </w:r>
          </w:p>
          <w:p w14:paraId="3FA1D812" w14:textId="77777777" w:rsidR="004B3B82" w:rsidRDefault="004B3B82" w:rsidP="00CD3B05">
            <w:pPr>
              <w:pStyle w:val="ac"/>
              <w:tabs>
                <w:tab w:val="left" w:pos="1440"/>
              </w:tabs>
              <w:ind w:left="52"/>
              <w:jc w:val="both"/>
              <w:rPr>
                <w:rFonts w:ascii="Garamond" w:hAnsi="Garamond"/>
              </w:rPr>
            </w:pPr>
            <w:r w:rsidRPr="000D5747">
              <w:rPr>
                <w:rFonts w:ascii="Garamond" w:hAnsi="Garamond"/>
              </w:rPr>
              <w:t xml:space="preserve">Проверяется соответствие классов точности </w:t>
            </w:r>
            <w:r w:rsidRPr="00C41196">
              <w:rPr>
                <w:rFonts w:ascii="Garamond" w:hAnsi="Garamond"/>
                <w:highlight w:val="yellow"/>
              </w:rPr>
              <w:t>приборов учета</w:t>
            </w:r>
            <w:r w:rsidRPr="000D5747">
              <w:rPr>
                <w:rFonts w:ascii="Garamond" w:hAnsi="Garamond"/>
              </w:rPr>
              <w:t>, входящих в ИИК АИИС КУЭ, Техническим требованиям ОРЭМ (п. 3.4.1 Приложения № </w:t>
            </w:r>
            <w:r w:rsidRPr="00450EB3">
              <w:rPr>
                <w:rFonts w:ascii="Garamond" w:hAnsi="Garamond"/>
              </w:rPr>
              <w:t>11.1 к Положению о реестре).</w:t>
            </w:r>
          </w:p>
          <w:p w14:paraId="3EEAEE20" w14:textId="77777777" w:rsidR="004B3B82" w:rsidRDefault="004B3B82" w:rsidP="00CD3B05">
            <w:pPr>
              <w:pStyle w:val="ac"/>
              <w:tabs>
                <w:tab w:val="left" w:pos="1440"/>
              </w:tabs>
              <w:ind w:left="0"/>
              <w:jc w:val="both"/>
              <w:rPr>
                <w:rFonts w:ascii="Garamond" w:hAnsi="Garamond"/>
              </w:rPr>
            </w:pPr>
          </w:p>
          <w:p w14:paraId="55BE1552" w14:textId="77777777" w:rsidR="004B3B82" w:rsidRPr="00953D71" w:rsidRDefault="004B3B82" w:rsidP="004B3B82">
            <w:pPr>
              <w:pStyle w:val="ac"/>
              <w:numPr>
                <w:ilvl w:val="3"/>
                <w:numId w:val="144"/>
              </w:numPr>
              <w:tabs>
                <w:tab w:val="clear" w:pos="2820"/>
                <w:tab w:val="left" w:pos="163"/>
                <w:tab w:val="left" w:pos="336"/>
                <w:tab w:val="num" w:pos="3029"/>
              </w:tabs>
              <w:ind w:left="52" w:firstLine="15"/>
              <w:jc w:val="both"/>
              <w:rPr>
                <w:rFonts w:ascii="Garamond" w:hAnsi="Garamond"/>
                <w:highlight w:val="yellow"/>
              </w:rPr>
            </w:pPr>
            <w:r w:rsidRPr="007945A6">
              <w:rPr>
                <w:rFonts w:ascii="Garamond" w:hAnsi="Garamond"/>
                <w:highlight w:val="yellow"/>
              </w:rPr>
              <w:t xml:space="preserve">При проведении </w:t>
            </w:r>
            <w:r>
              <w:rPr>
                <w:rFonts w:ascii="Garamond" w:hAnsi="Garamond"/>
                <w:highlight w:val="yellow"/>
              </w:rPr>
              <w:t>процедуры подтверждения соответствия</w:t>
            </w:r>
            <w:r w:rsidRPr="007945A6">
              <w:rPr>
                <w:rFonts w:ascii="Garamond" w:hAnsi="Garamond"/>
                <w:highlight w:val="yellow"/>
              </w:rPr>
              <w:t xml:space="preserve"> </w:t>
            </w:r>
            <w:r>
              <w:rPr>
                <w:rFonts w:ascii="Garamond" w:hAnsi="Garamond"/>
                <w:highlight w:val="yellow"/>
              </w:rPr>
              <w:t>системы учета агрегатора техническим требованиям оптового рынка</w:t>
            </w:r>
            <w:r w:rsidRPr="00953D71">
              <w:rPr>
                <w:rFonts w:ascii="Garamond" w:hAnsi="Garamond"/>
                <w:highlight w:val="yellow"/>
              </w:rPr>
              <w:t>:</w:t>
            </w:r>
          </w:p>
          <w:p w14:paraId="7844C081" w14:textId="77777777" w:rsidR="004B3B82" w:rsidRPr="000D5747" w:rsidRDefault="004B3B82" w:rsidP="00CD3B05">
            <w:pPr>
              <w:pStyle w:val="ac"/>
              <w:tabs>
                <w:tab w:val="left" w:pos="1440"/>
              </w:tabs>
              <w:ind w:left="52"/>
              <w:jc w:val="both"/>
              <w:rPr>
                <w:rFonts w:ascii="Garamond" w:hAnsi="Garamond"/>
              </w:rPr>
            </w:pPr>
            <w:r w:rsidRPr="00953D71">
              <w:rPr>
                <w:rFonts w:ascii="Garamond" w:hAnsi="Garamond"/>
                <w:highlight w:val="yellow"/>
              </w:rPr>
              <w:t>Проверяется соответствие классов точности приборов учета, входящих в совокупность СИ и ТУ,</w:t>
            </w:r>
            <w:r>
              <w:rPr>
                <w:rFonts w:ascii="Garamond" w:hAnsi="Garamond"/>
                <w:highlight w:val="yellow"/>
              </w:rPr>
              <w:t xml:space="preserve"> согласно описаниям типа приборов учета,</w:t>
            </w:r>
            <w:r w:rsidRPr="00953D71">
              <w:rPr>
                <w:rFonts w:ascii="Garamond" w:hAnsi="Garamond"/>
                <w:highlight w:val="yellow"/>
              </w:rPr>
              <w:t xml:space="preserve"> Техническим требованиям ОРЭМ (п. 3.4.1 Приложения № 11.1 к Положению о реестре).</w:t>
            </w:r>
          </w:p>
        </w:tc>
      </w:tr>
      <w:tr w:rsidR="004B3B82" w:rsidRPr="000D5747" w14:paraId="049AF7A2" w14:textId="77777777" w:rsidTr="00CD3B05">
        <w:tblPrEx>
          <w:shd w:val="clear" w:color="auto" w:fill="auto"/>
        </w:tblPrEx>
        <w:trPr>
          <w:trHeight w:val="555"/>
          <w:jc w:val="right"/>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0FC0C60" w14:textId="77777777" w:rsidR="004B3B82" w:rsidRPr="000D5747" w:rsidRDefault="004B3B82" w:rsidP="00CD3B05">
            <w:pPr>
              <w:rPr>
                <w:rFonts w:ascii="Garamond" w:hAnsi="Garamond"/>
              </w:rPr>
            </w:pPr>
          </w:p>
        </w:tc>
        <w:tc>
          <w:tcPr>
            <w:tcW w:w="15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0737F77" w14:textId="77777777" w:rsidR="004B3B82" w:rsidRPr="000D5747" w:rsidRDefault="004B3B82" w:rsidP="00CD3B05">
            <w:pPr>
              <w:jc w:val="center"/>
              <w:rPr>
                <w:rFonts w:ascii="Garamond" w:hAnsi="Garamond"/>
              </w:rPr>
            </w:pPr>
            <w:r w:rsidRPr="000D5747">
              <w:rPr>
                <w:rFonts w:ascii="Garamond" w:hAnsi="Garamond"/>
                <w:b/>
                <w:bCs/>
              </w:rPr>
              <w:t>Критерии</w:t>
            </w:r>
          </w:p>
        </w:tc>
        <w:tc>
          <w:tcPr>
            <w:tcW w:w="778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EDCD3C" w14:textId="77777777" w:rsidR="004B3B82" w:rsidRPr="00F9554D" w:rsidRDefault="004B3B82" w:rsidP="004B3B82">
            <w:pPr>
              <w:pStyle w:val="ac"/>
              <w:numPr>
                <w:ilvl w:val="3"/>
                <w:numId w:val="145"/>
              </w:numPr>
              <w:tabs>
                <w:tab w:val="clear" w:pos="2820"/>
                <w:tab w:val="left" w:pos="163"/>
                <w:tab w:val="left" w:pos="336"/>
                <w:tab w:val="num" w:pos="3029"/>
              </w:tabs>
              <w:ind w:left="52" w:firstLine="15"/>
              <w:jc w:val="both"/>
              <w:rPr>
                <w:rFonts w:ascii="Garamond" w:hAnsi="Garamond"/>
                <w:highlight w:val="yellow"/>
              </w:rPr>
            </w:pPr>
            <w:r w:rsidRPr="0081004D">
              <w:rPr>
                <w:rFonts w:ascii="Garamond" w:hAnsi="Garamond"/>
                <w:highlight w:val="yellow"/>
              </w:rPr>
              <w:t xml:space="preserve">При проведении </w:t>
            </w:r>
            <w:r>
              <w:rPr>
                <w:rFonts w:ascii="Garamond" w:hAnsi="Garamond"/>
                <w:highlight w:val="yellow"/>
              </w:rPr>
              <w:t>процедуры</w:t>
            </w:r>
            <w:r w:rsidRPr="0081004D">
              <w:rPr>
                <w:rFonts w:ascii="Garamond" w:hAnsi="Garamond"/>
                <w:highlight w:val="yellow"/>
              </w:rPr>
              <w:t xml:space="preserve"> установления соответствия АИИС КУЭ</w:t>
            </w:r>
            <w:r w:rsidRPr="00994C34">
              <w:rPr>
                <w:rFonts w:ascii="Garamond" w:hAnsi="Garamond"/>
                <w:highlight w:val="yellow"/>
              </w:rPr>
              <w:t>:</w:t>
            </w:r>
          </w:p>
          <w:p w14:paraId="32E76697" w14:textId="77777777" w:rsidR="004B3B82" w:rsidRPr="00F9554D" w:rsidRDefault="004B3B82" w:rsidP="00CD3B05">
            <w:pPr>
              <w:pStyle w:val="ac"/>
              <w:tabs>
                <w:tab w:val="left" w:pos="163"/>
                <w:tab w:val="left" w:pos="336"/>
              </w:tabs>
              <w:ind w:left="67"/>
              <w:jc w:val="both"/>
              <w:rPr>
                <w:rFonts w:ascii="Garamond" w:hAnsi="Garamond"/>
                <w:highlight w:val="yellow"/>
              </w:rPr>
            </w:pPr>
            <w:r w:rsidRPr="00F9554D">
              <w:rPr>
                <w:rFonts w:ascii="Garamond" w:hAnsi="Garamond"/>
              </w:rPr>
              <w:t xml:space="preserve">Соответствие классов точности </w:t>
            </w:r>
            <w:r w:rsidRPr="00F9554D">
              <w:rPr>
                <w:rFonts w:ascii="Garamond" w:hAnsi="Garamond"/>
                <w:highlight w:val="yellow"/>
              </w:rPr>
              <w:t>приборов учета</w:t>
            </w:r>
            <w:r w:rsidRPr="00F9554D">
              <w:rPr>
                <w:rFonts w:ascii="Garamond" w:hAnsi="Garamond"/>
              </w:rPr>
              <w:t xml:space="preserve">, входящих в АИИС КУЭ согласно свидетельствам о поверке и Описанию типа (для класса N и в случаях, предусмотренных п. 1.2.1 настоящего Порядка – согласно свидетельствам о поверке (паспортам) </w:t>
            </w:r>
            <w:r w:rsidRPr="00F9554D">
              <w:rPr>
                <w:rFonts w:ascii="Garamond" w:hAnsi="Garamond"/>
                <w:highlight w:val="yellow"/>
              </w:rPr>
              <w:t>приборов учета</w:t>
            </w:r>
            <w:r w:rsidRPr="00F9554D">
              <w:rPr>
                <w:rFonts w:ascii="Garamond" w:hAnsi="Garamond"/>
              </w:rPr>
              <w:t>), Техническим требованиям ОРЭМ.</w:t>
            </w:r>
          </w:p>
          <w:p w14:paraId="725788FE" w14:textId="77777777" w:rsidR="004B3B82" w:rsidRDefault="004B3B82" w:rsidP="00CD3B05">
            <w:pPr>
              <w:pStyle w:val="ac"/>
              <w:tabs>
                <w:tab w:val="left" w:pos="1440"/>
              </w:tabs>
              <w:ind w:left="0"/>
              <w:jc w:val="both"/>
              <w:rPr>
                <w:rFonts w:ascii="Garamond" w:hAnsi="Garamond"/>
              </w:rPr>
            </w:pPr>
          </w:p>
          <w:p w14:paraId="232F65D2" w14:textId="77777777" w:rsidR="004B3B82" w:rsidRPr="00F9554D" w:rsidRDefault="004B3B82" w:rsidP="004B3B82">
            <w:pPr>
              <w:pStyle w:val="ac"/>
              <w:numPr>
                <w:ilvl w:val="3"/>
                <w:numId w:val="145"/>
              </w:numPr>
              <w:tabs>
                <w:tab w:val="clear" w:pos="2820"/>
                <w:tab w:val="left" w:pos="163"/>
                <w:tab w:val="left" w:pos="336"/>
                <w:tab w:val="num" w:pos="3029"/>
              </w:tabs>
              <w:ind w:left="52" w:firstLine="15"/>
              <w:jc w:val="both"/>
              <w:rPr>
                <w:rFonts w:ascii="Garamond" w:hAnsi="Garamond"/>
                <w:highlight w:val="yellow"/>
              </w:rPr>
            </w:pPr>
            <w:r w:rsidRPr="007945A6">
              <w:rPr>
                <w:rFonts w:ascii="Garamond" w:hAnsi="Garamond"/>
                <w:highlight w:val="yellow"/>
              </w:rPr>
              <w:t xml:space="preserve">При проведении </w:t>
            </w:r>
            <w:r>
              <w:rPr>
                <w:rFonts w:ascii="Garamond" w:hAnsi="Garamond"/>
                <w:highlight w:val="yellow"/>
              </w:rPr>
              <w:t>процедуры подтверждения соответствия</w:t>
            </w:r>
            <w:r w:rsidRPr="007945A6">
              <w:rPr>
                <w:rFonts w:ascii="Garamond" w:hAnsi="Garamond"/>
                <w:highlight w:val="yellow"/>
              </w:rPr>
              <w:t xml:space="preserve"> </w:t>
            </w:r>
            <w:r>
              <w:rPr>
                <w:rFonts w:ascii="Garamond" w:hAnsi="Garamond"/>
                <w:highlight w:val="yellow"/>
              </w:rPr>
              <w:t>системы учета агрегатора техническим требованиям оптового рынка</w:t>
            </w:r>
            <w:r w:rsidRPr="00F9554D">
              <w:rPr>
                <w:rFonts w:ascii="Garamond" w:hAnsi="Garamond"/>
                <w:highlight w:val="yellow"/>
              </w:rPr>
              <w:t>:</w:t>
            </w:r>
          </w:p>
          <w:p w14:paraId="6C61F257" w14:textId="77777777" w:rsidR="004B3B82" w:rsidRPr="007D0ADC" w:rsidRDefault="004B3B82" w:rsidP="00CD3B05">
            <w:pPr>
              <w:pStyle w:val="ac"/>
              <w:tabs>
                <w:tab w:val="left" w:pos="163"/>
                <w:tab w:val="left" w:pos="336"/>
              </w:tabs>
              <w:ind w:left="67"/>
              <w:jc w:val="both"/>
              <w:rPr>
                <w:rFonts w:ascii="Garamond" w:eastAsia="Garamond" w:hAnsi="Garamond" w:cs="Garamond"/>
              </w:rPr>
            </w:pPr>
            <w:r w:rsidRPr="00F9554D">
              <w:rPr>
                <w:rFonts w:ascii="Garamond" w:hAnsi="Garamond"/>
                <w:highlight w:val="yellow"/>
              </w:rPr>
              <w:t>Соответствие классов точности приборов учета, входящих в совокупность СИ и ТУ, Техническим требованиям ОРЭМ.</w:t>
            </w:r>
          </w:p>
        </w:tc>
      </w:tr>
      <w:tr w:rsidR="004B3B82" w:rsidRPr="000D5747" w14:paraId="5CF12BEB" w14:textId="77777777" w:rsidTr="00CD3B05">
        <w:tblPrEx>
          <w:shd w:val="clear" w:color="auto" w:fill="auto"/>
        </w:tblPrEx>
        <w:trPr>
          <w:trHeight w:val="200"/>
          <w:jc w:val="right"/>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81AB76D" w14:textId="77777777" w:rsidR="004B3B82" w:rsidRPr="000D5747" w:rsidRDefault="004B3B82" w:rsidP="00CD3B05">
            <w:pPr>
              <w:rPr>
                <w:rFonts w:ascii="Garamond" w:hAnsi="Garamond"/>
              </w:rPr>
            </w:pPr>
          </w:p>
        </w:tc>
        <w:tc>
          <w:tcPr>
            <w:tcW w:w="15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3FBA591" w14:textId="77777777" w:rsidR="004B3B82" w:rsidRPr="000D5747" w:rsidRDefault="004B3B82" w:rsidP="00CD3B05">
            <w:pPr>
              <w:jc w:val="center"/>
              <w:rPr>
                <w:rFonts w:ascii="Garamond" w:hAnsi="Garamond"/>
              </w:rPr>
            </w:pPr>
            <w:r w:rsidRPr="000D5747">
              <w:rPr>
                <w:rFonts w:ascii="Garamond" w:hAnsi="Garamond"/>
                <w:b/>
                <w:bCs/>
              </w:rPr>
              <w:t>Эксперты</w:t>
            </w:r>
          </w:p>
        </w:tc>
        <w:tc>
          <w:tcPr>
            <w:tcW w:w="778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80B84C4" w14:textId="77777777" w:rsidR="004B3B82" w:rsidRPr="000D5747" w:rsidRDefault="004B3B82" w:rsidP="00CD3B05">
            <w:pPr>
              <w:pStyle w:val="ac"/>
              <w:tabs>
                <w:tab w:val="left" w:pos="1440"/>
              </w:tabs>
              <w:ind w:left="0"/>
              <w:jc w:val="both"/>
              <w:rPr>
                <w:rFonts w:ascii="Garamond" w:eastAsia="Garamond" w:hAnsi="Garamond" w:cs="Garamond"/>
              </w:rPr>
            </w:pPr>
            <w:r w:rsidRPr="000D5747">
              <w:rPr>
                <w:rFonts w:ascii="Garamond" w:hAnsi="Garamond"/>
              </w:rPr>
              <w:t xml:space="preserve">Представители КО </w:t>
            </w:r>
          </w:p>
        </w:tc>
      </w:tr>
      <w:tr w:rsidR="004B3B82" w:rsidRPr="000D5747" w14:paraId="3032D098" w14:textId="77777777" w:rsidTr="00CD3B05">
        <w:tblPrEx>
          <w:shd w:val="clear" w:color="auto" w:fill="auto"/>
        </w:tblPrEx>
        <w:trPr>
          <w:trHeight w:val="250"/>
          <w:jc w:val="right"/>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B2EB29C" w14:textId="77777777" w:rsidR="004B3B82" w:rsidRPr="000D5747" w:rsidRDefault="004B3B82" w:rsidP="00CD3B05">
            <w:pPr>
              <w:rPr>
                <w:rFonts w:ascii="Garamond" w:hAnsi="Garamond"/>
              </w:rPr>
            </w:pPr>
          </w:p>
        </w:tc>
        <w:tc>
          <w:tcPr>
            <w:tcW w:w="15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986D527" w14:textId="77777777" w:rsidR="004B3B82" w:rsidRPr="000D5747" w:rsidRDefault="004B3B82" w:rsidP="00CD3B05">
            <w:pPr>
              <w:jc w:val="center"/>
              <w:rPr>
                <w:rFonts w:ascii="Garamond" w:hAnsi="Garamond"/>
              </w:rPr>
            </w:pPr>
            <w:r w:rsidRPr="000D5747">
              <w:rPr>
                <w:rFonts w:ascii="Garamond" w:hAnsi="Garamond"/>
                <w:b/>
                <w:bCs/>
              </w:rPr>
              <w:t>Документация</w:t>
            </w:r>
          </w:p>
        </w:tc>
        <w:tc>
          <w:tcPr>
            <w:tcW w:w="778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4AC01C7" w14:textId="77777777" w:rsidR="004B3B82" w:rsidRDefault="004B3B82" w:rsidP="004B3B82">
            <w:pPr>
              <w:pStyle w:val="ac"/>
              <w:numPr>
                <w:ilvl w:val="0"/>
                <w:numId w:val="143"/>
              </w:numPr>
              <w:tabs>
                <w:tab w:val="left" w:pos="317"/>
              </w:tabs>
              <w:ind w:left="43" w:firstLine="0"/>
              <w:jc w:val="both"/>
              <w:rPr>
                <w:rFonts w:ascii="Garamond" w:hAnsi="Garamond"/>
                <w:highlight w:val="yellow"/>
              </w:rPr>
            </w:pPr>
            <w:r w:rsidRPr="0081004D">
              <w:rPr>
                <w:rFonts w:ascii="Garamond" w:hAnsi="Garamond"/>
                <w:highlight w:val="yellow"/>
              </w:rPr>
              <w:t xml:space="preserve">При проведении </w:t>
            </w:r>
            <w:r>
              <w:rPr>
                <w:rFonts w:ascii="Garamond" w:hAnsi="Garamond"/>
                <w:highlight w:val="yellow"/>
              </w:rPr>
              <w:t>процедуры</w:t>
            </w:r>
            <w:r w:rsidRPr="0081004D">
              <w:rPr>
                <w:rFonts w:ascii="Garamond" w:hAnsi="Garamond"/>
                <w:highlight w:val="yellow"/>
              </w:rPr>
              <w:t xml:space="preserve"> установления соответствия АИИС КУЭ</w:t>
            </w:r>
            <w:r>
              <w:rPr>
                <w:rFonts w:ascii="Garamond" w:hAnsi="Garamond"/>
                <w:highlight w:val="yellow"/>
              </w:rPr>
              <w:t>:</w:t>
            </w:r>
            <w:r w:rsidRPr="0081004D">
              <w:rPr>
                <w:rFonts w:ascii="Garamond" w:hAnsi="Garamond"/>
                <w:highlight w:val="yellow"/>
              </w:rPr>
              <w:t xml:space="preserve"> д</w:t>
            </w:r>
            <w:r w:rsidRPr="0081004D">
              <w:rPr>
                <w:rFonts w:ascii="Garamond" w:hAnsi="Garamond"/>
              </w:rPr>
              <w:t>окументация в соответствии с таблицей 2 приложения 1 настоящего Порядка, представленная для установления соответствия АИИС КУЭ</w:t>
            </w:r>
            <w:r>
              <w:rPr>
                <w:rFonts w:ascii="Garamond" w:hAnsi="Garamond"/>
                <w:highlight w:val="yellow"/>
              </w:rPr>
              <w:t>.</w:t>
            </w:r>
          </w:p>
          <w:p w14:paraId="55CCE324" w14:textId="77777777" w:rsidR="004B3B82" w:rsidRPr="007945A6" w:rsidRDefault="004B3B82" w:rsidP="004B3B82">
            <w:pPr>
              <w:pStyle w:val="ac"/>
              <w:numPr>
                <w:ilvl w:val="0"/>
                <w:numId w:val="143"/>
              </w:numPr>
              <w:tabs>
                <w:tab w:val="left" w:pos="317"/>
              </w:tabs>
              <w:ind w:left="52" w:firstLine="0"/>
              <w:jc w:val="both"/>
              <w:rPr>
                <w:rFonts w:ascii="Garamond" w:hAnsi="Garamond"/>
                <w:highlight w:val="yellow"/>
              </w:rPr>
            </w:pPr>
            <w:r w:rsidRPr="007945A6">
              <w:rPr>
                <w:rFonts w:ascii="Garamond" w:hAnsi="Garamond"/>
                <w:highlight w:val="yellow"/>
              </w:rPr>
              <w:lastRenderedPageBreak/>
              <w:t xml:space="preserve">При проведении </w:t>
            </w:r>
            <w:r>
              <w:rPr>
                <w:rFonts w:ascii="Garamond" w:hAnsi="Garamond"/>
                <w:highlight w:val="yellow"/>
              </w:rPr>
              <w:t>процедуры подтверждения соответствия</w:t>
            </w:r>
            <w:r w:rsidRPr="007945A6">
              <w:rPr>
                <w:rFonts w:ascii="Garamond" w:hAnsi="Garamond"/>
                <w:highlight w:val="yellow"/>
              </w:rPr>
              <w:t xml:space="preserve"> </w:t>
            </w:r>
            <w:r>
              <w:rPr>
                <w:rFonts w:ascii="Garamond" w:hAnsi="Garamond"/>
                <w:highlight w:val="yellow"/>
              </w:rPr>
              <w:t>системы учета агрегатора техническим требованиям оптового рынка: ПСИ</w:t>
            </w:r>
            <w:r w:rsidRPr="007945A6">
              <w:rPr>
                <w:rFonts w:ascii="Garamond" w:hAnsi="Garamond"/>
                <w:highlight w:val="yellow"/>
              </w:rPr>
              <w:t>.</w:t>
            </w:r>
          </w:p>
        </w:tc>
      </w:tr>
    </w:tbl>
    <w:p w14:paraId="28791C01" w14:textId="77777777" w:rsidR="004B3B82" w:rsidRPr="005F754A" w:rsidRDefault="004B3B82" w:rsidP="00101F7C">
      <w:pPr>
        <w:widowControl w:val="0"/>
        <w:jc w:val="right"/>
        <w:rPr>
          <w:rFonts w:ascii="Garamond" w:eastAsia="Garamond" w:hAnsi="Garamond" w:cs="Garamond"/>
          <w:b/>
          <w:bCs/>
          <w:sz w:val="22"/>
          <w:szCs w:val="22"/>
        </w:rPr>
      </w:pPr>
    </w:p>
    <w:p w14:paraId="49342276" w14:textId="77777777" w:rsidR="004B3B82" w:rsidRPr="005F754A" w:rsidRDefault="004B3B82" w:rsidP="00101F7C">
      <w:pPr>
        <w:rPr>
          <w:rFonts w:ascii="Garamond" w:eastAsia="Garamond" w:hAnsi="Garamond" w:cs="Garamond"/>
          <w:sz w:val="22"/>
          <w:szCs w:val="22"/>
        </w:rPr>
      </w:pPr>
    </w:p>
    <w:p w14:paraId="701AE95F" w14:textId="77777777" w:rsidR="004B3B82" w:rsidRPr="005F754A" w:rsidRDefault="004B3B82" w:rsidP="00101F7C">
      <w:pPr>
        <w:rPr>
          <w:rFonts w:ascii="Garamond" w:eastAsia="Garamond" w:hAnsi="Garamond" w:cs="Garamond"/>
          <w:sz w:val="22"/>
          <w:szCs w:val="22"/>
        </w:rPr>
      </w:pPr>
    </w:p>
    <w:p w14:paraId="5377DFEA" w14:textId="77777777" w:rsidR="004B3B82" w:rsidRPr="005C63E5" w:rsidRDefault="004B3B82" w:rsidP="00101F7C">
      <w:pPr>
        <w:rPr>
          <w:rFonts w:ascii="Garamond" w:eastAsia="Garamond" w:hAnsi="Garamond" w:cs="Garamond"/>
          <w:b/>
          <w:sz w:val="22"/>
          <w:szCs w:val="22"/>
        </w:rPr>
      </w:pPr>
      <w:r w:rsidRPr="005F754A">
        <w:rPr>
          <w:rFonts w:ascii="Garamond" w:eastAsia="Garamond" w:hAnsi="Garamond" w:cs="Garamond"/>
          <w:sz w:val="22"/>
          <w:szCs w:val="22"/>
        </w:rPr>
        <w:br w:type="page"/>
      </w:r>
      <w:r w:rsidRPr="005C63E5">
        <w:rPr>
          <w:rFonts w:ascii="Garamond" w:eastAsia="Garamond" w:hAnsi="Garamond" w:cs="Garamond"/>
          <w:b/>
          <w:sz w:val="22"/>
          <w:szCs w:val="22"/>
        </w:rPr>
        <w:lastRenderedPageBreak/>
        <w:t>Действующая редакция</w:t>
      </w:r>
    </w:p>
    <w:p w14:paraId="38D5FE55" w14:textId="77777777" w:rsidR="004B3B82" w:rsidRPr="005F754A" w:rsidRDefault="004B3B82" w:rsidP="00101F7C">
      <w:pPr>
        <w:jc w:val="right"/>
        <w:rPr>
          <w:rFonts w:ascii="Garamond" w:eastAsia="Garamond" w:hAnsi="Garamond" w:cs="Garamond"/>
          <w:b/>
          <w:bCs/>
          <w:sz w:val="22"/>
          <w:szCs w:val="22"/>
        </w:rPr>
      </w:pPr>
      <w:r w:rsidRPr="001D764F">
        <w:rPr>
          <w:rFonts w:ascii="Garamond" w:hAnsi="Garamond"/>
          <w:b/>
          <w:bCs/>
          <w:sz w:val="22"/>
          <w:szCs w:val="22"/>
        </w:rPr>
        <w:t>Таблица 4</w:t>
      </w:r>
    </w:p>
    <w:p w14:paraId="048AD30E" w14:textId="77777777" w:rsidR="004B3B82" w:rsidRPr="005F754A" w:rsidRDefault="004B3B82" w:rsidP="00101F7C">
      <w:pPr>
        <w:jc w:val="center"/>
        <w:rPr>
          <w:rFonts w:ascii="Garamond" w:eastAsia="Garamond" w:hAnsi="Garamond" w:cs="Garamond"/>
          <w:b/>
          <w:bCs/>
          <w:sz w:val="22"/>
          <w:szCs w:val="22"/>
        </w:rPr>
      </w:pPr>
    </w:p>
    <w:p w14:paraId="5CCF8132" w14:textId="77777777" w:rsidR="004B3B82" w:rsidRPr="005F754A" w:rsidRDefault="004B3B82" w:rsidP="00101F7C">
      <w:pPr>
        <w:jc w:val="center"/>
        <w:rPr>
          <w:rFonts w:ascii="Garamond" w:eastAsia="Garamond" w:hAnsi="Garamond" w:cs="Garamond"/>
          <w:b/>
          <w:bCs/>
          <w:sz w:val="22"/>
          <w:szCs w:val="22"/>
        </w:rPr>
      </w:pPr>
      <w:r w:rsidRPr="001D764F">
        <w:rPr>
          <w:rFonts w:ascii="Garamond" w:hAnsi="Garamond"/>
          <w:b/>
          <w:bCs/>
          <w:sz w:val="22"/>
          <w:szCs w:val="22"/>
        </w:rPr>
        <w:t>Программа и методика проверки параметра, подтверждающ</w:t>
      </w:r>
      <w:r>
        <w:rPr>
          <w:rFonts w:ascii="Garamond" w:hAnsi="Garamond"/>
          <w:b/>
          <w:bCs/>
          <w:sz w:val="22"/>
          <w:szCs w:val="22"/>
        </w:rPr>
        <w:t xml:space="preserve">его передачу </w:t>
      </w:r>
      <w:r w:rsidRPr="00F1382F">
        <w:rPr>
          <w:rFonts w:ascii="Garamond" w:hAnsi="Garamond"/>
          <w:b/>
          <w:bCs/>
          <w:sz w:val="22"/>
          <w:szCs w:val="22"/>
          <w:highlight w:val="yellow"/>
        </w:rPr>
        <w:t>данных</w:t>
      </w:r>
      <w:r>
        <w:rPr>
          <w:rFonts w:ascii="Garamond" w:hAnsi="Garamond"/>
          <w:b/>
          <w:bCs/>
          <w:sz w:val="22"/>
          <w:szCs w:val="22"/>
        </w:rPr>
        <w:t xml:space="preserve"> измерений в </w:t>
      </w:r>
      <w:r w:rsidRPr="001D764F">
        <w:rPr>
          <w:rFonts w:ascii="Garamond" w:hAnsi="Garamond"/>
          <w:b/>
          <w:bCs/>
          <w:sz w:val="22"/>
          <w:szCs w:val="22"/>
        </w:rPr>
        <w:t>ПАК КО</w:t>
      </w:r>
    </w:p>
    <w:p w14:paraId="1F9C5573" w14:textId="77777777" w:rsidR="004B3B82" w:rsidRPr="005F754A" w:rsidRDefault="004B3B82" w:rsidP="00101F7C">
      <w:pPr>
        <w:widowControl w:val="0"/>
        <w:jc w:val="right"/>
        <w:rPr>
          <w:rFonts w:ascii="Garamond" w:eastAsia="Garamond" w:hAnsi="Garamond" w:cs="Garamond"/>
          <w:b/>
          <w:bCs/>
          <w:sz w:val="22"/>
          <w:szCs w:val="22"/>
        </w:rPr>
      </w:pPr>
    </w:p>
    <w:tbl>
      <w:tblPr>
        <w:tblW w:w="9924" w:type="dxa"/>
        <w:jc w:val="righ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shd w:val="clear" w:color="auto" w:fill="BDC0BF"/>
        <w:tblLayout w:type="fixed"/>
        <w:tblCellMar>
          <w:left w:w="0" w:type="dxa"/>
          <w:right w:w="0" w:type="dxa"/>
        </w:tblCellMar>
        <w:tblLook w:val="04A0" w:firstRow="1" w:lastRow="0" w:firstColumn="1" w:lastColumn="0" w:noHBand="0" w:noVBand="1"/>
      </w:tblPr>
      <w:tblGrid>
        <w:gridCol w:w="567"/>
        <w:gridCol w:w="1560"/>
        <w:gridCol w:w="7797"/>
      </w:tblGrid>
      <w:tr w:rsidR="004B3B82" w:rsidRPr="001D764F" w14:paraId="148AED6C" w14:textId="77777777" w:rsidTr="00CD3B05">
        <w:trPr>
          <w:trHeight w:val="1180"/>
          <w:tblHeader/>
          <w:jc w:val="right"/>
        </w:trPr>
        <w:tc>
          <w:tcPr>
            <w:tcW w:w="567" w:type="dxa"/>
            <w:tcBorders>
              <w:top w:val="single" w:sz="4" w:space="0" w:color="000000"/>
              <w:left w:val="single" w:sz="4" w:space="0" w:color="000000"/>
              <w:bottom w:val="single" w:sz="4" w:space="0" w:color="000000"/>
              <w:right w:val="single" w:sz="4" w:space="0" w:color="000000"/>
            </w:tcBorders>
            <w:shd w:val="clear" w:color="auto" w:fill="BFBFBF"/>
            <w:tcMar>
              <w:top w:w="80" w:type="dxa"/>
              <w:left w:w="80" w:type="dxa"/>
              <w:bottom w:w="80" w:type="dxa"/>
              <w:right w:w="80" w:type="dxa"/>
            </w:tcMar>
            <w:vAlign w:val="center"/>
          </w:tcPr>
          <w:p w14:paraId="4B86E109" w14:textId="77777777" w:rsidR="004B3B82" w:rsidRPr="005F754A" w:rsidRDefault="004B3B82" w:rsidP="00CD3B05">
            <w:pPr>
              <w:tabs>
                <w:tab w:val="left" w:pos="176"/>
              </w:tabs>
              <w:jc w:val="center"/>
              <w:rPr>
                <w:rFonts w:ascii="Garamond" w:eastAsia="Garamond" w:hAnsi="Garamond" w:cs="Garamond"/>
                <w:b/>
                <w:bCs/>
              </w:rPr>
            </w:pPr>
            <w:r w:rsidRPr="001D764F">
              <w:rPr>
                <w:rFonts w:ascii="Garamond" w:hAnsi="Garamond"/>
                <w:b/>
                <w:bCs/>
              </w:rPr>
              <w:t>№</w:t>
            </w:r>
          </w:p>
          <w:p w14:paraId="10740252" w14:textId="77777777" w:rsidR="004B3B82" w:rsidRPr="001D764F" w:rsidRDefault="004B3B82" w:rsidP="00CD3B05">
            <w:pPr>
              <w:tabs>
                <w:tab w:val="left" w:pos="176"/>
              </w:tabs>
              <w:jc w:val="center"/>
              <w:rPr>
                <w:rFonts w:ascii="Garamond" w:hAnsi="Garamond"/>
              </w:rPr>
            </w:pPr>
            <w:r w:rsidRPr="001D764F">
              <w:rPr>
                <w:rFonts w:ascii="Garamond" w:hAnsi="Garamond"/>
                <w:b/>
                <w:bCs/>
              </w:rPr>
              <w:t>п/п</w:t>
            </w:r>
          </w:p>
        </w:tc>
        <w:tc>
          <w:tcPr>
            <w:tcW w:w="1560" w:type="dxa"/>
            <w:tcBorders>
              <w:top w:val="single" w:sz="4" w:space="0" w:color="000000"/>
              <w:left w:val="single" w:sz="4" w:space="0" w:color="000000"/>
              <w:bottom w:val="single" w:sz="4" w:space="0" w:color="000000"/>
              <w:right w:val="single" w:sz="4" w:space="0" w:color="000000"/>
            </w:tcBorders>
            <w:shd w:val="clear" w:color="auto" w:fill="BFBFBF"/>
            <w:tcMar>
              <w:top w:w="80" w:type="dxa"/>
              <w:left w:w="80" w:type="dxa"/>
              <w:bottom w:w="80" w:type="dxa"/>
              <w:right w:w="80" w:type="dxa"/>
            </w:tcMar>
            <w:vAlign w:val="center"/>
          </w:tcPr>
          <w:p w14:paraId="4D89B46B" w14:textId="77777777" w:rsidR="004B3B82" w:rsidRPr="001D764F" w:rsidRDefault="004B3B82" w:rsidP="00CD3B05">
            <w:pPr>
              <w:jc w:val="center"/>
              <w:rPr>
                <w:rFonts w:ascii="Garamond" w:hAnsi="Garamond"/>
              </w:rPr>
            </w:pPr>
            <w:r>
              <w:rPr>
                <w:rFonts w:hAnsi="Garamond"/>
                <w:b/>
                <w:bCs/>
              </w:rPr>
              <w:t>Обозначение</w:t>
            </w:r>
            <w:r>
              <w:rPr>
                <w:rFonts w:hAnsi="Garamond"/>
                <w:b/>
                <w:bCs/>
              </w:rPr>
              <w:t xml:space="preserve"> </w:t>
            </w:r>
            <w:r>
              <w:rPr>
                <w:rFonts w:hAnsi="Garamond"/>
                <w:b/>
                <w:bCs/>
              </w:rPr>
              <w:t>п</w:t>
            </w:r>
            <w:r w:rsidRPr="004D7191">
              <w:rPr>
                <w:rFonts w:hAnsi="Garamond"/>
                <w:b/>
                <w:bCs/>
              </w:rPr>
              <w:t>арам</w:t>
            </w:r>
            <w:r w:rsidRPr="00A064A9">
              <w:rPr>
                <w:rFonts w:hAnsi="Garamond"/>
                <w:b/>
                <w:bCs/>
              </w:rPr>
              <w:t>етр</w:t>
            </w:r>
            <w:r>
              <w:rPr>
                <w:rFonts w:hAnsi="Garamond"/>
                <w:b/>
                <w:bCs/>
              </w:rPr>
              <w:t>а</w:t>
            </w:r>
            <w:r w:rsidRPr="001D764F">
              <w:rPr>
                <w:rFonts w:ascii="Garamond" w:hAnsi="Garamond"/>
                <w:b/>
                <w:bCs/>
              </w:rPr>
              <w:t xml:space="preserve"> </w:t>
            </w:r>
            <w:r w:rsidRPr="006163C1">
              <w:rPr>
                <w:rFonts w:ascii="Garamond" w:hAnsi="Garamond"/>
                <w:bCs/>
                <w:sz w:val="18"/>
                <w:szCs w:val="18"/>
              </w:rPr>
              <w:t xml:space="preserve">(номер пункта согласно Приложению № 11.1 к </w:t>
            </w:r>
            <w:r w:rsidRPr="006163C1">
              <w:rPr>
                <w:rFonts w:ascii="Garamond" w:hAnsi="Garamond"/>
                <w:bCs/>
                <w:i/>
                <w:sz w:val="18"/>
                <w:szCs w:val="18"/>
              </w:rPr>
              <w:t>Положению о реестре</w:t>
            </w:r>
            <w:r w:rsidRPr="006163C1">
              <w:rPr>
                <w:rFonts w:ascii="Garamond" w:hAnsi="Garamond"/>
                <w:bCs/>
                <w:sz w:val="18"/>
                <w:szCs w:val="18"/>
              </w:rPr>
              <w:t>)</w:t>
            </w:r>
            <w:r>
              <w:rPr>
                <w:rFonts w:ascii="Garamond" w:hAnsi="Garamond"/>
                <w:bCs/>
                <w:sz w:val="16"/>
                <w:szCs w:val="16"/>
              </w:rPr>
              <w:t xml:space="preserve"> </w:t>
            </w:r>
          </w:p>
        </w:tc>
        <w:tc>
          <w:tcPr>
            <w:tcW w:w="7797" w:type="dxa"/>
            <w:tcBorders>
              <w:top w:val="single" w:sz="4" w:space="0" w:color="000000"/>
              <w:left w:val="single" w:sz="4" w:space="0" w:color="000000"/>
              <w:bottom w:val="single" w:sz="4" w:space="0" w:color="000000"/>
              <w:right w:val="single" w:sz="4" w:space="0" w:color="000000"/>
            </w:tcBorders>
            <w:shd w:val="clear" w:color="auto" w:fill="BFBFBF"/>
            <w:tcMar>
              <w:top w:w="80" w:type="dxa"/>
              <w:left w:w="80" w:type="dxa"/>
              <w:bottom w:w="80" w:type="dxa"/>
              <w:right w:w="80" w:type="dxa"/>
            </w:tcMar>
            <w:vAlign w:val="center"/>
          </w:tcPr>
          <w:p w14:paraId="36DB424A" w14:textId="77777777" w:rsidR="004B3B82" w:rsidRPr="001D764F" w:rsidRDefault="004B3B82" w:rsidP="00CD3B05">
            <w:pPr>
              <w:jc w:val="center"/>
              <w:rPr>
                <w:rFonts w:ascii="Garamond" w:hAnsi="Garamond"/>
              </w:rPr>
            </w:pPr>
            <w:r w:rsidRPr="001D764F">
              <w:rPr>
                <w:rFonts w:ascii="Garamond" w:hAnsi="Garamond"/>
                <w:b/>
                <w:bCs/>
              </w:rPr>
              <w:t>Наименование параметра</w:t>
            </w:r>
            <w:r>
              <w:rPr>
                <w:rFonts w:ascii="Garamond" w:hAnsi="Garamond"/>
                <w:b/>
                <w:bCs/>
              </w:rPr>
              <w:t xml:space="preserve"> </w:t>
            </w:r>
            <w:r w:rsidRPr="001D764F">
              <w:rPr>
                <w:rFonts w:ascii="Garamond" w:hAnsi="Garamond"/>
                <w:b/>
                <w:bCs/>
              </w:rPr>
              <w:t>/</w:t>
            </w:r>
            <w:r>
              <w:rPr>
                <w:rFonts w:ascii="Garamond" w:hAnsi="Garamond"/>
                <w:b/>
                <w:bCs/>
              </w:rPr>
              <w:t xml:space="preserve"> </w:t>
            </w:r>
            <w:r w:rsidRPr="001D764F">
              <w:rPr>
                <w:rFonts w:ascii="Garamond" w:hAnsi="Garamond"/>
                <w:b/>
                <w:bCs/>
              </w:rPr>
              <w:t>требование к порядку и методике проверки</w:t>
            </w:r>
          </w:p>
        </w:tc>
      </w:tr>
      <w:tr w:rsidR="004B3B82" w:rsidRPr="001D764F" w14:paraId="177686E9" w14:textId="77777777" w:rsidTr="00CD3B05">
        <w:tblPrEx>
          <w:shd w:val="clear" w:color="auto" w:fill="auto"/>
        </w:tblPrEx>
        <w:trPr>
          <w:trHeight w:val="250"/>
          <w:jc w:val="right"/>
        </w:trPr>
        <w:tc>
          <w:tcPr>
            <w:tcW w:w="567" w:type="dxa"/>
            <w:tcBorders>
              <w:top w:val="single" w:sz="4" w:space="0" w:color="000000"/>
              <w:left w:val="single" w:sz="4" w:space="0" w:color="000000"/>
              <w:bottom w:val="single" w:sz="4" w:space="0" w:color="000000"/>
              <w:right w:val="single" w:sz="4" w:space="0" w:color="000000"/>
            </w:tcBorders>
            <w:shd w:val="clear" w:color="auto" w:fill="BFBFBF"/>
            <w:tcMar>
              <w:top w:w="80" w:type="dxa"/>
              <w:left w:w="80" w:type="dxa"/>
              <w:bottom w:w="80" w:type="dxa"/>
              <w:right w:w="80" w:type="dxa"/>
            </w:tcMar>
            <w:vAlign w:val="center"/>
          </w:tcPr>
          <w:p w14:paraId="30C30839" w14:textId="77777777" w:rsidR="004B3B82" w:rsidRPr="005F754A" w:rsidRDefault="004B3B82" w:rsidP="00CD3B05">
            <w:pPr>
              <w:jc w:val="center"/>
              <w:rPr>
                <w:rFonts w:ascii="Garamond" w:hAnsi="Garamond"/>
              </w:rPr>
            </w:pPr>
            <w:r w:rsidRPr="005F754A">
              <w:rPr>
                <w:rFonts w:ascii="Garamond" w:hAnsi="Garamond"/>
              </w:rPr>
              <w:t>1</w:t>
            </w:r>
          </w:p>
        </w:tc>
        <w:tc>
          <w:tcPr>
            <w:tcW w:w="1560" w:type="dxa"/>
            <w:tcBorders>
              <w:top w:val="single" w:sz="4" w:space="0" w:color="000000"/>
              <w:left w:val="single" w:sz="4" w:space="0" w:color="000000"/>
              <w:bottom w:val="single" w:sz="4" w:space="0" w:color="000000"/>
              <w:right w:val="single" w:sz="4" w:space="0" w:color="000000"/>
            </w:tcBorders>
            <w:shd w:val="clear" w:color="auto" w:fill="BFBFBF"/>
            <w:tcMar>
              <w:top w:w="80" w:type="dxa"/>
              <w:left w:w="80" w:type="dxa"/>
              <w:bottom w:w="80" w:type="dxa"/>
              <w:right w:w="80" w:type="dxa"/>
            </w:tcMar>
            <w:vAlign w:val="center"/>
          </w:tcPr>
          <w:p w14:paraId="451F5131" w14:textId="77777777" w:rsidR="004B3B82" w:rsidRPr="001D764F" w:rsidRDefault="004B3B82" w:rsidP="00CD3B05">
            <w:pPr>
              <w:jc w:val="center"/>
              <w:rPr>
                <w:rFonts w:ascii="Garamond" w:hAnsi="Garamond"/>
                <w:b/>
                <w:bCs/>
                <w:vertAlign w:val="subscript"/>
              </w:rPr>
            </w:pPr>
            <w:r w:rsidRPr="001D764F">
              <w:rPr>
                <w:rFonts w:ascii="Garamond" w:hAnsi="Garamond"/>
                <w:b/>
                <w:bCs/>
              </w:rPr>
              <w:t>П</w:t>
            </w:r>
            <w:r w:rsidRPr="001D764F">
              <w:rPr>
                <w:rFonts w:ascii="Garamond" w:hAnsi="Garamond"/>
                <w:b/>
                <w:bCs/>
                <w:vertAlign w:val="subscript"/>
              </w:rPr>
              <w:t>Ф28</w:t>
            </w:r>
          </w:p>
          <w:p w14:paraId="5D7AA083" w14:textId="77777777" w:rsidR="004B3B82" w:rsidRPr="001D764F" w:rsidRDefault="004B3B82" w:rsidP="00CD3B05">
            <w:pPr>
              <w:jc w:val="center"/>
              <w:rPr>
                <w:rFonts w:ascii="Garamond" w:hAnsi="Garamond"/>
              </w:rPr>
            </w:pPr>
            <w:r w:rsidRPr="001D764F">
              <w:rPr>
                <w:rFonts w:ascii="Garamond" w:hAnsi="Garamond"/>
                <w:bCs/>
              </w:rPr>
              <w:t>(п.</w:t>
            </w:r>
            <w:r>
              <w:rPr>
                <w:rFonts w:ascii="Garamond" w:hAnsi="Garamond"/>
                <w:bCs/>
              </w:rPr>
              <w:t xml:space="preserve"> </w:t>
            </w:r>
            <w:r w:rsidRPr="001D764F">
              <w:rPr>
                <w:rFonts w:ascii="Garamond" w:hAnsi="Garamond"/>
                <w:bCs/>
              </w:rPr>
              <w:t>5.1.</w:t>
            </w:r>
            <w:r w:rsidRPr="00836622">
              <w:rPr>
                <w:rFonts w:ascii="Garamond" w:hAnsi="Garamond"/>
                <w:bCs/>
                <w:highlight w:val="yellow"/>
              </w:rPr>
              <w:t>8</w:t>
            </w:r>
            <w:r w:rsidRPr="001D764F">
              <w:rPr>
                <w:rFonts w:ascii="Garamond" w:hAnsi="Garamond"/>
                <w:bCs/>
              </w:rPr>
              <w:t>)</w:t>
            </w:r>
          </w:p>
        </w:tc>
        <w:tc>
          <w:tcPr>
            <w:tcW w:w="7797" w:type="dxa"/>
            <w:tcBorders>
              <w:top w:val="single" w:sz="4" w:space="0" w:color="000000"/>
              <w:left w:val="single" w:sz="4" w:space="0" w:color="000000"/>
              <w:bottom w:val="single" w:sz="4" w:space="0" w:color="000000"/>
              <w:right w:val="single" w:sz="4" w:space="0" w:color="000000"/>
            </w:tcBorders>
            <w:shd w:val="clear" w:color="auto" w:fill="BFBFBF"/>
            <w:tcMar>
              <w:top w:w="80" w:type="dxa"/>
              <w:left w:w="80" w:type="dxa"/>
              <w:bottom w:w="80" w:type="dxa"/>
              <w:right w:w="80" w:type="dxa"/>
            </w:tcMar>
          </w:tcPr>
          <w:p w14:paraId="446CA804" w14:textId="77777777" w:rsidR="004B3B82" w:rsidRPr="001D764F" w:rsidRDefault="004B3B82" w:rsidP="00CD3B05">
            <w:pPr>
              <w:rPr>
                <w:rFonts w:ascii="Garamond" w:hAnsi="Garamond"/>
              </w:rPr>
            </w:pPr>
            <w:r w:rsidRPr="001D764F">
              <w:rPr>
                <w:rFonts w:ascii="Garamond" w:hAnsi="Garamond"/>
                <w:b/>
                <w:bCs/>
              </w:rPr>
              <w:t>Предоставление в ПАК КО результатов измерений с обеспечением защиты информации на программном уровне (ЭП)</w:t>
            </w:r>
          </w:p>
        </w:tc>
      </w:tr>
      <w:tr w:rsidR="004B3B82" w:rsidRPr="001D764F" w14:paraId="0DEC8A33" w14:textId="77777777" w:rsidTr="00CD3B05">
        <w:tblPrEx>
          <w:shd w:val="clear" w:color="auto" w:fill="auto"/>
        </w:tblPrEx>
        <w:trPr>
          <w:trHeight w:val="250"/>
          <w:jc w:val="right"/>
        </w:trPr>
        <w:tc>
          <w:tcPr>
            <w:tcW w:w="567" w:type="dxa"/>
            <w:tcBorders>
              <w:top w:val="single" w:sz="4" w:space="0" w:color="000000"/>
              <w:left w:val="single" w:sz="4" w:space="0" w:color="000000"/>
              <w:bottom w:val="single" w:sz="4" w:space="0" w:color="000000"/>
              <w:right w:val="single" w:sz="4" w:space="0" w:color="000000"/>
            </w:tcBorders>
            <w:shd w:val="clear" w:color="auto" w:fill="E5B8B7"/>
            <w:tcMar>
              <w:top w:w="80" w:type="dxa"/>
              <w:left w:w="80" w:type="dxa"/>
              <w:bottom w:w="80" w:type="dxa"/>
              <w:right w:w="80" w:type="dxa"/>
            </w:tcMar>
            <w:vAlign w:val="center"/>
          </w:tcPr>
          <w:p w14:paraId="392249E0" w14:textId="77777777" w:rsidR="004B3B82" w:rsidRPr="001D764F" w:rsidRDefault="004B3B82" w:rsidP="00CD3B05">
            <w:pPr>
              <w:rPr>
                <w:rFonts w:ascii="Garamond" w:hAnsi="Garamond"/>
              </w:rPr>
            </w:pPr>
          </w:p>
        </w:tc>
        <w:tc>
          <w:tcPr>
            <w:tcW w:w="1560" w:type="dxa"/>
            <w:tcBorders>
              <w:top w:val="single" w:sz="4" w:space="0" w:color="000000"/>
              <w:left w:val="single" w:sz="4" w:space="0" w:color="000000"/>
              <w:bottom w:val="single" w:sz="4" w:space="0" w:color="000000"/>
              <w:right w:val="single" w:sz="4" w:space="0" w:color="000000"/>
            </w:tcBorders>
            <w:shd w:val="clear" w:color="auto" w:fill="E5B8B7"/>
            <w:tcMar>
              <w:top w:w="80" w:type="dxa"/>
              <w:left w:w="80" w:type="dxa"/>
              <w:bottom w:w="80" w:type="dxa"/>
              <w:right w:w="80" w:type="dxa"/>
            </w:tcMar>
            <w:vAlign w:val="center"/>
          </w:tcPr>
          <w:p w14:paraId="7378D6CF" w14:textId="77777777" w:rsidR="004B3B82" w:rsidRPr="001D764F" w:rsidRDefault="004B3B82" w:rsidP="00CD3B05">
            <w:pPr>
              <w:jc w:val="center"/>
              <w:rPr>
                <w:rFonts w:ascii="Garamond" w:hAnsi="Garamond"/>
              </w:rPr>
            </w:pPr>
            <w:r w:rsidRPr="001D764F">
              <w:rPr>
                <w:rFonts w:ascii="Garamond" w:hAnsi="Garamond"/>
                <w:b/>
                <w:bCs/>
              </w:rPr>
              <w:t>Компоненты</w:t>
            </w:r>
          </w:p>
        </w:tc>
        <w:tc>
          <w:tcPr>
            <w:tcW w:w="7797" w:type="dxa"/>
            <w:tcBorders>
              <w:top w:val="single" w:sz="4" w:space="0" w:color="000000"/>
              <w:left w:val="single" w:sz="4" w:space="0" w:color="000000"/>
              <w:bottom w:val="single" w:sz="4" w:space="0" w:color="000000"/>
              <w:right w:val="single" w:sz="4" w:space="0" w:color="000000"/>
            </w:tcBorders>
            <w:shd w:val="clear" w:color="auto" w:fill="E5B8B7"/>
            <w:tcMar>
              <w:top w:w="80" w:type="dxa"/>
              <w:left w:w="80" w:type="dxa"/>
              <w:bottom w:w="80" w:type="dxa"/>
              <w:right w:w="80" w:type="dxa"/>
            </w:tcMar>
          </w:tcPr>
          <w:p w14:paraId="7DD5CB7E" w14:textId="77777777" w:rsidR="004B3B82" w:rsidRPr="000D5747" w:rsidRDefault="004B3B82" w:rsidP="00CD3B05">
            <w:pPr>
              <w:jc w:val="both"/>
              <w:rPr>
                <w:rFonts w:ascii="Garamond" w:hAnsi="Garamond"/>
              </w:rPr>
            </w:pPr>
            <w:r w:rsidRPr="000D5747">
              <w:rPr>
                <w:rFonts w:ascii="Garamond" w:hAnsi="Garamond"/>
              </w:rPr>
              <w:t>ИВК АИИС КУЭ – сервер (АРМ). Место установки оборудования ИВК</w:t>
            </w:r>
          </w:p>
        </w:tc>
      </w:tr>
      <w:tr w:rsidR="004B3B82" w:rsidRPr="001D764F" w14:paraId="184D5A9B" w14:textId="77777777" w:rsidTr="00CD3B05">
        <w:tblPrEx>
          <w:shd w:val="clear" w:color="auto" w:fill="auto"/>
        </w:tblPrEx>
        <w:trPr>
          <w:trHeight w:val="1930"/>
          <w:jc w:val="right"/>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67E8FE2" w14:textId="77777777" w:rsidR="004B3B82" w:rsidRPr="001D764F" w:rsidRDefault="004B3B82" w:rsidP="00CD3B05">
            <w:pPr>
              <w:rPr>
                <w:rFonts w:ascii="Garamond" w:hAnsi="Garamond"/>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062A447" w14:textId="77777777" w:rsidR="004B3B82" w:rsidRPr="001D764F" w:rsidRDefault="004B3B82" w:rsidP="00CD3B05">
            <w:pPr>
              <w:jc w:val="center"/>
              <w:rPr>
                <w:rFonts w:ascii="Garamond" w:hAnsi="Garamond"/>
              </w:rPr>
            </w:pPr>
            <w:r w:rsidRPr="001D764F">
              <w:rPr>
                <w:rFonts w:ascii="Garamond" w:hAnsi="Garamond"/>
                <w:b/>
                <w:bCs/>
              </w:rPr>
              <w:t>Действия</w:t>
            </w:r>
          </w:p>
        </w:tc>
        <w:tc>
          <w:tcPr>
            <w:tcW w:w="779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344DCBB" w14:textId="77777777" w:rsidR="004B3B82" w:rsidRPr="007D0ADC" w:rsidRDefault="004B3B82" w:rsidP="00101F7C">
            <w:pPr>
              <w:numPr>
                <w:ilvl w:val="0"/>
                <w:numId w:val="109"/>
              </w:numPr>
              <w:pBdr>
                <w:top w:val="nil"/>
                <w:left w:val="nil"/>
                <w:bottom w:val="nil"/>
                <w:right w:val="nil"/>
                <w:between w:val="nil"/>
                <w:bar w:val="nil"/>
              </w:pBdr>
              <w:suppressAutoHyphens w:val="0"/>
              <w:jc w:val="both"/>
              <w:rPr>
                <w:rFonts w:ascii="Garamond" w:eastAsia="Garamond" w:hAnsi="Garamond" w:cs="Garamond"/>
              </w:rPr>
            </w:pPr>
            <w:r w:rsidRPr="007D0ADC">
              <w:rPr>
                <w:rFonts w:ascii="Garamond" w:hAnsi="Garamond"/>
              </w:rPr>
              <w:t>Проверяется передача по электронной почте и прием в ПАК КО XML-файлов формата 80020:</w:t>
            </w:r>
          </w:p>
          <w:p w14:paraId="63D4E0D4" w14:textId="77777777" w:rsidR="004B3B82" w:rsidRPr="007D0ADC" w:rsidRDefault="004B3B82" w:rsidP="00CD3B05">
            <w:pPr>
              <w:pBdr>
                <w:top w:val="nil"/>
                <w:left w:val="nil"/>
                <w:bottom w:val="nil"/>
                <w:right w:val="nil"/>
                <w:between w:val="nil"/>
                <w:bar w:val="nil"/>
              </w:pBdr>
              <w:ind w:left="255"/>
              <w:jc w:val="both"/>
              <w:rPr>
                <w:rFonts w:ascii="Garamond" w:hAnsi="Garamond"/>
              </w:rPr>
            </w:pPr>
            <w:r w:rsidRPr="007D0ADC">
              <w:rPr>
                <w:rFonts w:ascii="Garamond" w:hAnsi="Garamond"/>
              </w:rPr>
              <w:t xml:space="preserve">– содержащих результаты измерений со статусом «коммерческая информация» непрерывно, не менее чем за </w:t>
            </w:r>
            <w:r>
              <w:rPr>
                <w:rFonts w:ascii="Garamond" w:hAnsi="Garamond"/>
              </w:rPr>
              <w:t>6</w:t>
            </w:r>
            <w:r w:rsidRPr="007D0ADC">
              <w:rPr>
                <w:rFonts w:ascii="Garamond" w:hAnsi="Garamond"/>
              </w:rPr>
              <w:t xml:space="preserve"> (</w:t>
            </w:r>
            <w:r>
              <w:rPr>
                <w:rFonts w:ascii="Garamond" w:hAnsi="Garamond"/>
              </w:rPr>
              <w:t>шесть</w:t>
            </w:r>
            <w:r w:rsidRPr="007D0ADC">
              <w:rPr>
                <w:rFonts w:ascii="Garamond" w:hAnsi="Garamond"/>
              </w:rPr>
              <w:t>) календарных дней (для случаев, предусмотренных п. 4.1.1.1 Положения о реестре и п. 1.2.1 настоящего Порядка, 3 (три) календарных дня), переданных в соответствии с требованиями Приложения № 11.1.1 к Положению о реестре, к дате проведения проверки;</w:t>
            </w:r>
          </w:p>
          <w:p w14:paraId="78C206A5" w14:textId="77777777" w:rsidR="004B3B82" w:rsidRPr="007D0ADC" w:rsidRDefault="004B3B82" w:rsidP="00CD3B05">
            <w:pPr>
              <w:pBdr>
                <w:top w:val="nil"/>
                <w:left w:val="nil"/>
                <w:bottom w:val="nil"/>
                <w:right w:val="nil"/>
                <w:between w:val="nil"/>
                <w:bar w:val="nil"/>
              </w:pBdr>
              <w:ind w:left="255"/>
              <w:jc w:val="both"/>
              <w:rPr>
                <w:rFonts w:ascii="Garamond" w:eastAsia="Garamond" w:hAnsi="Garamond" w:cs="Garamond"/>
              </w:rPr>
            </w:pPr>
            <w:r w:rsidRPr="007D0ADC">
              <w:rPr>
                <w:rFonts w:ascii="Garamond" w:hAnsi="Garamond"/>
              </w:rPr>
              <w:t>– с подтверждением ЭП организации в соответствии с Соглашением о применении электронной подписи в торговой системе оптового рынка (Приложение № Д 7 к Договору о присоединении к торговой системе оптового рынка).</w:t>
            </w:r>
          </w:p>
          <w:p w14:paraId="4685DBC8" w14:textId="77777777" w:rsidR="004B3B82" w:rsidRPr="007D0ADC" w:rsidRDefault="004B3B82" w:rsidP="00101F7C">
            <w:pPr>
              <w:numPr>
                <w:ilvl w:val="0"/>
                <w:numId w:val="109"/>
              </w:numPr>
              <w:pBdr>
                <w:top w:val="nil"/>
                <w:left w:val="nil"/>
                <w:bottom w:val="nil"/>
                <w:right w:val="nil"/>
                <w:between w:val="nil"/>
                <w:bar w:val="nil"/>
              </w:pBdr>
              <w:suppressAutoHyphens w:val="0"/>
              <w:jc w:val="both"/>
              <w:rPr>
                <w:rFonts w:ascii="Garamond" w:hAnsi="Garamond"/>
              </w:rPr>
            </w:pPr>
            <w:r w:rsidRPr="007D0ADC">
              <w:rPr>
                <w:rFonts w:ascii="Garamond" w:hAnsi="Garamond"/>
              </w:rPr>
              <w:t xml:space="preserve">Производится контроль отправки от КО ответного сообщения (XML-файл формата 80021) о приеме и обработке </w:t>
            </w:r>
            <w:r w:rsidRPr="007D0ADC">
              <w:rPr>
                <w:rFonts w:ascii="Garamond" w:hAnsi="Garamond"/>
                <w:lang w:val="en-US"/>
              </w:rPr>
              <w:t>XML</w:t>
            </w:r>
            <w:r w:rsidRPr="007D0ADC">
              <w:rPr>
                <w:rFonts w:ascii="Garamond" w:hAnsi="Garamond"/>
              </w:rPr>
              <w:t>-файлов формата 80020.</w:t>
            </w:r>
          </w:p>
        </w:tc>
      </w:tr>
      <w:tr w:rsidR="004B3B82" w:rsidRPr="0058630D" w14:paraId="0A1EAF71" w14:textId="77777777" w:rsidTr="00CD3B05">
        <w:tblPrEx>
          <w:shd w:val="clear" w:color="auto" w:fill="auto"/>
        </w:tblPrEx>
        <w:trPr>
          <w:trHeight w:val="1450"/>
          <w:jc w:val="right"/>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A99A2B4" w14:textId="77777777" w:rsidR="004B3B82" w:rsidRPr="001D764F" w:rsidRDefault="004B3B82" w:rsidP="00CD3B05">
            <w:pPr>
              <w:rPr>
                <w:rFonts w:ascii="Garamond" w:hAnsi="Garamond"/>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303CEA6" w14:textId="77777777" w:rsidR="004B3B82" w:rsidRPr="001D764F" w:rsidRDefault="004B3B82" w:rsidP="00CD3B05">
            <w:pPr>
              <w:jc w:val="center"/>
              <w:rPr>
                <w:rFonts w:ascii="Garamond" w:hAnsi="Garamond"/>
              </w:rPr>
            </w:pPr>
            <w:r w:rsidRPr="001D764F">
              <w:rPr>
                <w:rFonts w:ascii="Garamond" w:hAnsi="Garamond"/>
                <w:b/>
                <w:bCs/>
              </w:rPr>
              <w:t>Критерии</w:t>
            </w:r>
          </w:p>
        </w:tc>
        <w:tc>
          <w:tcPr>
            <w:tcW w:w="779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41B886D" w14:textId="77777777" w:rsidR="004B3B82" w:rsidRPr="007D0ADC" w:rsidRDefault="004B3B82" w:rsidP="00101F7C">
            <w:pPr>
              <w:numPr>
                <w:ilvl w:val="0"/>
                <w:numId w:val="110"/>
              </w:numPr>
              <w:pBdr>
                <w:top w:val="nil"/>
                <w:left w:val="nil"/>
                <w:bottom w:val="nil"/>
                <w:right w:val="nil"/>
                <w:between w:val="nil"/>
                <w:bar w:val="nil"/>
              </w:pBdr>
              <w:suppressAutoHyphens w:val="0"/>
              <w:jc w:val="both"/>
              <w:rPr>
                <w:rFonts w:ascii="Garamond" w:eastAsia="Garamond" w:hAnsi="Garamond" w:cs="Garamond"/>
              </w:rPr>
            </w:pPr>
            <w:r w:rsidRPr="007D0ADC">
              <w:rPr>
                <w:rFonts w:ascii="Garamond" w:hAnsi="Garamond"/>
              </w:rPr>
              <w:t>Фактический прием XML-файлов формата 80020 по электронной почте в ПАК КО с подтверждением ЭП.</w:t>
            </w:r>
          </w:p>
          <w:p w14:paraId="0F4D9A70" w14:textId="77777777" w:rsidR="004B3B82" w:rsidRPr="007D0ADC" w:rsidRDefault="004B3B82" w:rsidP="00101F7C">
            <w:pPr>
              <w:numPr>
                <w:ilvl w:val="0"/>
                <w:numId w:val="110"/>
              </w:numPr>
              <w:pBdr>
                <w:top w:val="nil"/>
                <w:left w:val="nil"/>
                <w:bottom w:val="nil"/>
                <w:right w:val="nil"/>
                <w:between w:val="nil"/>
                <w:bar w:val="nil"/>
              </w:pBdr>
              <w:suppressAutoHyphens w:val="0"/>
              <w:jc w:val="both"/>
              <w:rPr>
                <w:rFonts w:ascii="Garamond" w:eastAsia="Garamond" w:hAnsi="Garamond" w:cs="Garamond"/>
              </w:rPr>
            </w:pPr>
            <w:r w:rsidRPr="007D0ADC">
              <w:rPr>
                <w:rFonts w:ascii="Garamond" w:hAnsi="Garamond"/>
              </w:rPr>
              <w:t>Фактическая передача по электронной почте и прием результатов измерений (</w:t>
            </w:r>
            <w:r w:rsidRPr="007D0ADC">
              <w:rPr>
                <w:rFonts w:ascii="Garamond" w:hAnsi="Garamond"/>
                <w:lang w:val="en-US"/>
              </w:rPr>
              <w:t>XML</w:t>
            </w:r>
            <w:r w:rsidRPr="007D0ADC">
              <w:rPr>
                <w:rFonts w:ascii="Garamond" w:hAnsi="Garamond"/>
              </w:rPr>
              <w:t xml:space="preserve">-файлы в формате 80020) в ПАК КО со статусом «коммерческая информация» непрерывно, не менее чем за </w:t>
            </w:r>
            <w:r>
              <w:rPr>
                <w:rFonts w:ascii="Garamond" w:hAnsi="Garamond"/>
              </w:rPr>
              <w:t>6</w:t>
            </w:r>
            <w:r w:rsidRPr="007D0ADC">
              <w:rPr>
                <w:rFonts w:ascii="Garamond" w:hAnsi="Garamond"/>
              </w:rPr>
              <w:t xml:space="preserve"> (</w:t>
            </w:r>
            <w:r>
              <w:rPr>
                <w:rFonts w:ascii="Garamond" w:hAnsi="Garamond"/>
              </w:rPr>
              <w:t>шесть</w:t>
            </w:r>
            <w:r w:rsidRPr="007D0ADC">
              <w:rPr>
                <w:rFonts w:ascii="Garamond" w:hAnsi="Garamond"/>
              </w:rPr>
              <w:t>) календарных дней к дате проведения проверки (для случаев, предусмотренных п. 4.1.1.1 Положения о реестре и п. 1.2.1 настоящего Порядка, 3 (три) календарных дня).</w:t>
            </w:r>
          </w:p>
          <w:p w14:paraId="2F2A7030" w14:textId="77777777" w:rsidR="004B3B82" w:rsidRPr="007D0ADC" w:rsidRDefault="004B3B82" w:rsidP="00101F7C">
            <w:pPr>
              <w:numPr>
                <w:ilvl w:val="0"/>
                <w:numId w:val="110"/>
              </w:numPr>
              <w:pBdr>
                <w:top w:val="nil"/>
                <w:left w:val="nil"/>
                <w:bottom w:val="nil"/>
                <w:right w:val="nil"/>
                <w:between w:val="nil"/>
                <w:bar w:val="nil"/>
              </w:pBdr>
              <w:suppressAutoHyphens w:val="0"/>
              <w:jc w:val="both"/>
              <w:rPr>
                <w:rFonts w:ascii="Garamond" w:eastAsia="Garamond" w:hAnsi="Garamond" w:cs="Garamond"/>
              </w:rPr>
            </w:pPr>
            <w:r w:rsidRPr="007D0ADC">
              <w:rPr>
                <w:rFonts w:ascii="Garamond" w:hAnsi="Garamond"/>
              </w:rPr>
              <w:t>Отсутствие в ответных сообщениях (XML-файлы в формате 80021) от КО уведомлений об ошибках, в том числе связанных с ЭП.</w:t>
            </w:r>
          </w:p>
        </w:tc>
      </w:tr>
      <w:tr w:rsidR="004B3B82" w:rsidRPr="0058630D" w14:paraId="5DDFD85C" w14:textId="77777777" w:rsidTr="00CD3B05">
        <w:tblPrEx>
          <w:shd w:val="clear" w:color="auto" w:fill="auto"/>
        </w:tblPrEx>
        <w:trPr>
          <w:trHeight w:val="217"/>
          <w:jc w:val="right"/>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63D38E6" w14:textId="77777777" w:rsidR="004B3B82" w:rsidRPr="0058630D" w:rsidRDefault="004B3B82" w:rsidP="00CD3B05">
            <w:pPr>
              <w:rPr>
                <w:rFonts w:ascii="Garamond" w:hAnsi="Garamond"/>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5BCA7E6" w14:textId="77777777" w:rsidR="004B3B82" w:rsidRPr="001D764F" w:rsidRDefault="004B3B82" w:rsidP="00CD3B05">
            <w:pPr>
              <w:jc w:val="center"/>
              <w:rPr>
                <w:rFonts w:ascii="Garamond" w:hAnsi="Garamond"/>
              </w:rPr>
            </w:pPr>
            <w:r w:rsidRPr="001D764F">
              <w:rPr>
                <w:rFonts w:ascii="Garamond" w:hAnsi="Garamond"/>
                <w:b/>
                <w:bCs/>
              </w:rPr>
              <w:t>Эксперты</w:t>
            </w:r>
          </w:p>
        </w:tc>
        <w:tc>
          <w:tcPr>
            <w:tcW w:w="779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181DBF3" w14:textId="77777777" w:rsidR="004B3B82" w:rsidRPr="005F754A" w:rsidRDefault="004B3B82" w:rsidP="00CD3B05">
            <w:pPr>
              <w:pBdr>
                <w:top w:val="nil"/>
                <w:left w:val="nil"/>
                <w:bottom w:val="nil"/>
                <w:right w:val="nil"/>
                <w:between w:val="nil"/>
                <w:bar w:val="nil"/>
              </w:pBdr>
              <w:tabs>
                <w:tab w:val="left" w:pos="1440"/>
              </w:tabs>
              <w:jc w:val="both"/>
              <w:rPr>
                <w:rFonts w:ascii="Garamond" w:eastAsia="Garamond" w:hAnsi="Garamond" w:cs="Garamond"/>
              </w:rPr>
            </w:pPr>
            <w:r w:rsidRPr="001D764F">
              <w:rPr>
                <w:rFonts w:ascii="Garamond" w:hAnsi="Garamond"/>
              </w:rPr>
              <w:t>Представители КО</w:t>
            </w:r>
          </w:p>
        </w:tc>
      </w:tr>
      <w:tr w:rsidR="004B3B82" w:rsidRPr="001D764F" w14:paraId="64BE7FE3" w14:textId="77777777" w:rsidTr="00CD3B05">
        <w:tblPrEx>
          <w:shd w:val="clear" w:color="auto" w:fill="auto"/>
        </w:tblPrEx>
        <w:trPr>
          <w:trHeight w:val="250"/>
          <w:jc w:val="right"/>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F7C2E84" w14:textId="77777777" w:rsidR="004B3B82" w:rsidRPr="0058630D" w:rsidRDefault="004B3B82" w:rsidP="00CD3B05">
            <w:pPr>
              <w:rPr>
                <w:rFonts w:ascii="Garamond" w:hAnsi="Garamond"/>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A1169C7" w14:textId="77777777" w:rsidR="004B3B82" w:rsidRPr="001D764F" w:rsidRDefault="004B3B82" w:rsidP="00CD3B05">
            <w:pPr>
              <w:jc w:val="center"/>
              <w:rPr>
                <w:rFonts w:ascii="Garamond" w:hAnsi="Garamond"/>
              </w:rPr>
            </w:pPr>
            <w:r w:rsidRPr="001D764F">
              <w:rPr>
                <w:rFonts w:ascii="Garamond" w:hAnsi="Garamond"/>
                <w:b/>
                <w:bCs/>
              </w:rPr>
              <w:t>Документация</w:t>
            </w:r>
          </w:p>
        </w:tc>
        <w:tc>
          <w:tcPr>
            <w:tcW w:w="779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13B974" w14:textId="77777777" w:rsidR="004B3B82" w:rsidRPr="001D764F" w:rsidRDefault="004B3B82" w:rsidP="00CD3B05">
            <w:pPr>
              <w:rPr>
                <w:rFonts w:ascii="Garamond" w:hAnsi="Garamond"/>
              </w:rPr>
            </w:pPr>
            <w:r>
              <w:rPr>
                <w:rFonts w:ascii="Garamond" w:hAnsi="Garamond"/>
              </w:rPr>
              <w:t>–</w:t>
            </w:r>
          </w:p>
        </w:tc>
      </w:tr>
    </w:tbl>
    <w:p w14:paraId="7B3D251E" w14:textId="77777777" w:rsidR="004B3B82" w:rsidRDefault="004B3B82" w:rsidP="00101F7C">
      <w:pPr>
        <w:jc w:val="right"/>
        <w:rPr>
          <w:rFonts w:ascii="Garamond" w:eastAsia="Garamond" w:hAnsi="Garamond" w:cs="Garamond"/>
          <w:b/>
          <w:bCs/>
          <w:sz w:val="22"/>
          <w:szCs w:val="22"/>
        </w:rPr>
      </w:pPr>
      <w:r>
        <w:rPr>
          <w:rFonts w:ascii="Garamond" w:eastAsia="Garamond" w:hAnsi="Garamond" w:cs="Garamond"/>
          <w:b/>
          <w:bCs/>
          <w:sz w:val="22"/>
          <w:szCs w:val="22"/>
        </w:rPr>
        <w:br w:type="page"/>
      </w:r>
    </w:p>
    <w:p w14:paraId="73C5E130" w14:textId="77777777" w:rsidR="004B3B82" w:rsidRPr="005C63E5" w:rsidRDefault="004B3B82" w:rsidP="00101F7C">
      <w:pPr>
        <w:rPr>
          <w:rFonts w:ascii="Garamond" w:eastAsia="Garamond" w:hAnsi="Garamond" w:cs="Garamond"/>
          <w:b/>
          <w:sz w:val="22"/>
          <w:szCs w:val="22"/>
        </w:rPr>
      </w:pPr>
      <w:r>
        <w:rPr>
          <w:rFonts w:ascii="Garamond" w:eastAsia="Garamond" w:hAnsi="Garamond" w:cs="Garamond"/>
          <w:b/>
          <w:sz w:val="22"/>
          <w:szCs w:val="22"/>
        </w:rPr>
        <w:lastRenderedPageBreak/>
        <w:t xml:space="preserve">Предлагаемая </w:t>
      </w:r>
      <w:r w:rsidRPr="005C63E5">
        <w:rPr>
          <w:rFonts w:ascii="Garamond" w:eastAsia="Garamond" w:hAnsi="Garamond" w:cs="Garamond"/>
          <w:b/>
          <w:sz w:val="22"/>
          <w:szCs w:val="22"/>
        </w:rPr>
        <w:t>редакция</w:t>
      </w:r>
    </w:p>
    <w:p w14:paraId="095CE0DB" w14:textId="77777777" w:rsidR="004B3B82" w:rsidRPr="005F754A" w:rsidRDefault="004B3B82" w:rsidP="00101F7C">
      <w:pPr>
        <w:jc w:val="right"/>
        <w:rPr>
          <w:rFonts w:ascii="Garamond" w:eastAsia="Garamond" w:hAnsi="Garamond" w:cs="Garamond"/>
          <w:b/>
          <w:bCs/>
          <w:sz w:val="22"/>
          <w:szCs w:val="22"/>
        </w:rPr>
      </w:pPr>
      <w:r w:rsidRPr="001D764F">
        <w:rPr>
          <w:rFonts w:ascii="Garamond" w:hAnsi="Garamond"/>
          <w:b/>
          <w:bCs/>
          <w:sz w:val="22"/>
          <w:szCs w:val="22"/>
        </w:rPr>
        <w:t>Таблица 4</w:t>
      </w:r>
    </w:p>
    <w:p w14:paraId="4B2AF31F" w14:textId="77777777" w:rsidR="004B3B82" w:rsidRPr="005F754A" w:rsidRDefault="004B3B82" w:rsidP="00101F7C">
      <w:pPr>
        <w:jc w:val="center"/>
        <w:rPr>
          <w:rFonts w:ascii="Garamond" w:eastAsia="Garamond" w:hAnsi="Garamond" w:cs="Garamond"/>
          <w:b/>
          <w:bCs/>
          <w:sz w:val="22"/>
          <w:szCs w:val="22"/>
        </w:rPr>
      </w:pPr>
    </w:p>
    <w:p w14:paraId="49BDC3A1" w14:textId="77777777" w:rsidR="004B3B82" w:rsidRPr="005F754A" w:rsidRDefault="004B3B82" w:rsidP="00101F7C">
      <w:pPr>
        <w:jc w:val="center"/>
        <w:rPr>
          <w:rFonts w:ascii="Garamond" w:eastAsia="Garamond" w:hAnsi="Garamond" w:cs="Garamond"/>
          <w:b/>
          <w:bCs/>
          <w:sz w:val="22"/>
          <w:szCs w:val="22"/>
        </w:rPr>
      </w:pPr>
      <w:r w:rsidRPr="001D764F">
        <w:rPr>
          <w:rFonts w:ascii="Garamond" w:hAnsi="Garamond"/>
          <w:b/>
          <w:bCs/>
          <w:sz w:val="22"/>
          <w:szCs w:val="22"/>
        </w:rPr>
        <w:t>Программа и методика проверки параметра, подтверждающ</w:t>
      </w:r>
      <w:r>
        <w:rPr>
          <w:rFonts w:ascii="Garamond" w:hAnsi="Garamond"/>
          <w:b/>
          <w:bCs/>
          <w:sz w:val="22"/>
          <w:szCs w:val="22"/>
        </w:rPr>
        <w:t xml:space="preserve">его передачу </w:t>
      </w:r>
      <w:r w:rsidRPr="00F1382F">
        <w:rPr>
          <w:rFonts w:ascii="Garamond" w:hAnsi="Garamond"/>
          <w:b/>
          <w:bCs/>
          <w:sz w:val="22"/>
          <w:szCs w:val="22"/>
          <w:highlight w:val="yellow"/>
        </w:rPr>
        <w:t>результатов</w:t>
      </w:r>
      <w:r>
        <w:rPr>
          <w:rFonts w:ascii="Garamond" w:hAnsi="Garamond"/>
          <w:b/>
          <w:bCs/>
          <w:sz w:val="22"/>
          <w:szCs w:val="22"/>
        </w:rPr>
        <w:t xml:space="preserve"> измерений в </w:t>
      </w:r>
      <w:r w:rsidRPr="001D764F">
        <w:rPr>
          <w:rFonts w:ascii="Garamond" w:hAnsi="Garamond"/>
          <w:b/>
          <w:bCs/>
          <w:sz w:val="22"/>
          <w:szCs w:val="22"/>
        </w:rPr>
        <w:t>ПАК КО</w:t>
      </w:r>
    </w:p>
    <w:p w14:paraId="1006C963" w14:textId="77777777" w:rsidR="004B3B82" w:rsidRPr="005F754A" w:rsidRDefault="004B3B82" w:rsidP="00101F7C">
      <w:pPr>
        <w:widowControl w:val="0"/>
        <w:jc w:val="right"/>
        <w:rPr>
          <w:rFonts w:ascii="Garamond" w:eastAsia="Garamond" w:hAnsi="Garamond" w:cs="Garamond"/>
          <w:b/>
          <w:bCs/>
          <w:sz w:val="22"/>
          <w:szCs w:val="22"/>
        </w:rPr>
      </w:pPr>
    </w:p>
    <w:tbl>
      <w:tblPr>
        <w:tblW w:w="9924" w:type="dxa"/>
        <w:jc w:val="righ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shd w:val="clear" w:color="auto" w:fill="BDC0BF"/>
        <w:tblLayout w:type="fixed"/>
        <w:tblCellMar>
          <w:left w:w="0" w:type="dxa"/>
          <w:right w:w="0" w:type="dxa"/>
        </w:tblCellMar>
        <w:tblLook w:val="04A0" w:firstRow="1" w:lastRow="0" w:firstColumn="1" w:lastColumn="0" w:noHBand="0" w:noVBand="1"/>
      </w:tblPr>
      <w:tblGrid>
        <w:gridCol w:w="567"/>
        <w:gridCol w:w="1560"/>
        <w:gridCol w:w="7797"/>
      </w:tblGrid>
      <w:tr w:rsidR="004B3B82" w:rsidRPr="001D764F" w14:paraId="446C2594" w14:textId="77777777" w:rsidTr="00CD3B05">
        <w:trPr>
          <w:trHeight w:val="1180"/>
          <w:tblHeader/>
          <w:jc w:val="right"/>
        </w:trPr>
        <w:tc>
          <w:tcPr>
            <w:tcW w:w="567" w:type="dxa"/>
            <w:tcBorders>
              <w:top w:val="single" w:sz="4" w:space="0" w:color="000000"/>
              <w:left w:val="single" w:sz="4" w:space="0" w:color="000000"/>
              <w:bottom w:val="single" w:sz="4" w:space="0" w:color="000000"/>
              <w:right w:val="single" w:sz="4" w:space="0" w:color="000000"/>
            </w:tcBorders>
            <w:shd w:val="clear" w:color="auto" w:fill="BFBFBF"/>
            <w:tcMar>
              <w:top w:w="80" w:type="dxa"/>
              <w:left w:w="80" w:type="dxa"/>
              <w:bottom w:w="80" w:type="dxa"/>
              <w:right w:w="80" w:type="dxa"/>
            </w:tcMar>
            <w:vAlign w:val="center"/>
          </w:tcPr>
          <w:p w14:paraId="6F68A2E5" w14:textId="77777777" w:rsidR="004B3B82" w:rsidRPr="005F754A" w:rsidRDefault="004B3B82" w:rsidP="00CD3B05">
            <w:pPr>
              <w:tabs>
                <w:tab w:val="left" w:pos="176"/>
              </w:tabs>
              <w:jc w:val="center"/>
              <w:rPr>
                <w:rFonts w:ascii="Garamond" w:eastAsia="Garamond" w:hAnsi="Garamond" w:cs="Garamond"/>
                <w:b/>
                <w:bCs/>
              </w:rPr>
            </w:pPr>
            <w:r w:rsidRPr="001D764F">
              <w:rPr>
                <w:rFonts w:ascii="Garamond" w:hAnsi="Garamond"/>
                <w:b/>
                <w:bCs/>
              </w:rPr>
              <w:t>№</w:t>
            </w:r>
          </w:p>
          <w:p w14:paraId="1C3E136B" w14:textId="77777777" w:rsidR="004B3B82" w:rsidRPr="001D764F" w:rsidRDefault="004B3B82" w:rsidP="00CD3B05">
            <w:pPr>
              <w:tabs>
                <w:tab w:val="left" w:pos="176"/>
              </w:tabs>
              <w:jc w:val="center"/>
              <w:rPr>
                <w:rFonts w:ascii="Garamond" w:hAnsi="Garamond"/>
              </w:rPr>
            </w:pPr>
            <w:r w:rsidRPr="001D764F">
              <w:rPr>
                <w:rFonts w:ascii="Garamond" w:hAnsi="Garamond"/>
                <w:b/>
                <w:bCs/>
              </w:rPr>
              <w:t>п/п</w:t>
            </w:r>
          </w:p>
        </w:tc>
        <w:tc>
          <w:tcPr>
            <w:tcW w:w="1560" w:type="dxa"/>
            <w:tcBorders>
              <w:top w:val="single" w:sz="4" w:space="0" w:color="000000"/>
              <w:left w:val="single" w:sz="4" w:space="0" w:color="000000"/>
              <w:bottom w:val="single" w:sz="4" w:space="0" w:color="000000"/>
              <w:right w:val="single" w:sz="4" w:space="0" w:color="000000"/>
            </w:tcBorders>
            <w:shd w:val="clear" w:color="auto" w:fill="BFBFBF"/>
            <w:tcMar>
              <w:top w:w="80" w:type="dxa"/>
              <w:left w:w="80" w:type="dxa"/>
              <w:bottom w:w="80" w:type="dxa"/>
              <w:right w:w="80" w:type="dxa"/>
            </w:tcMar>
            <w:vAlign w:val="center"/>
          </w:tcPr>
          <w:p w14:paraId="147BBCD3" w14:textId="77777777" w:rsidR="004B3B82" w:rsidRPr="001D764F" w:rsidRDefault="004B3B82" w:rsidP="00CD3B05">
            <w:pPr>
              <w:jc w:val="center"/>
              <w:rPr>
                <w:rFonts w:ascii="Garamond" w:hAnsi="Garamond"/>
              </w:rPr>
            </w:pPr>
            <w:r>
              <w:rPr>
                <w:rFonts w:hAnsi="Garamond"/>
                <w:b/>
                <w:bCs/>
              </w:rPr>
              <w:t>Обозначение</w:t>
            </w:r>
            <w:r>
              <w:rPr>
                <w:rFonts w:hAnsi="Garamond"/>
                <w:b/>
                <w:bCs/>
              </w:rPr>
              <w:t xml:space="preserve"> </w:t>
            </w:r>
            <w:r>
              <w:rPr>
                <w:rFonts w:hAnsi="Garamond"/>
                <w:b/>
                <w:bCs/>
              </w:rPr>
              <w:t>п</w:t>
            </w:r>
            <w:r w:rsidRPr="004D7191">
              <w:rPr>
                <w:rFonts w:hAnsi="Garamond"/>
                <w:b/>
                <w:bCs/>
              </w:rPr>
              <w:t>арам</w:t>
            </w:r>
            <w:r w:rsidRPr="00A064A9">
              <w:rPr>
                <w:rFonts w:hAnsi="Garamond"/>
                <w:b/>
                <w:bCs/>
              </w:rPr>
              <w:t>етр</w:t>
            </w:r>
            <w:r>
              <w:rPr>
                <w:rFonts w:hAnsi="Garamond"/>
                <w:b/>
                <w:bCs/>
              </w:rPr>
              <w:t>а</w:t>
            </w:r>
            <w:r w:rsidRPr="001D764F">
              <w:rPr>
                <w:rFonts w:ascii="Garamond" w:hAnsi="Garamond"/>
                <w:b/>
                <w:bCs/>
              </w:rPr>
              <w:t xml:space="preserve"> </w:t>
            </w:r>
            <w:r w:rsidRPr="006163C1">
              <w:rPr>
                <w:rFonts w:ascii="Garamond" w:hAnsi="Garamond"/>
                <w:bCs/>
                <w:sz w:val="18"/>
                <w:szCs w:val="18"/>
              </w:rPr>
              <w:t xml:space="preserve">(номер пункта согласно Приложению № 11.1 к </w:t>
            </w:r>
            <w:r w:rsidRPr="006163C1">
              <w:rPr>
                <w:rFonts w:ascii="Garamond" w:hAnsi="Garamond"/>
                <w:bCs/>
                <w:i/>
                <w:sz w:val="18"/>
                <w:szCs w:val="18"/>
              </w:rPr>
              <w:t>Положению о реестре</w:t>
            </w:r>
            <w:r w:rsidRPr="006163C1">
              <w:rPr>
                <w:rFonts w:ascii="Garamond" w:hAnsi="Garamond"/>
                <w:bCs/>
                <w:sz w:val="18"/>
                <w:szCs w:val="18"/>
              </w:rPr>
              <w:t>)</w:t>
            </w:r>
            <w:r>
              <w:rPr>
                <w:rFonts w:ascii="Garamond" w:hAnsi="Garamond"/>
                <w:bCs/>
                <w:sz w:val="16"/>
                <w:szCs w:val="16"/>
              </w:rPr>
              <w:t xml:space="preserve"> </w:t>
            </w:r>
          </w:p>
        </w:tc>
        <w:tc>
          <w:tcPr>
            <w:tcW w:w="7797" w:type="dxa"/>
            <w:tcBorders>
              <w:top w:val="single" w:sz="4" w:space="0" w:color="000000"/>
              <w:left w:val="single" w:sz="4" w:space="0" w:color="000000"/>
              <w:bottom w:val="single" w:sz="4" w:space="0" w:color="000000"/>
              <w:right w:val="single" w:sz="4" w:space="0" w:color="000000"/>
            </w:tcBorders>
            <w:shd w:val="clear" w:color="auto" w:fill="BFBFBF"/>
            <w:tcMar>
              <w:top w:w="80" w:type="dxa"/>
              <w:left w:w="80" w:type="dxa"/>
              <w:bottom w:w="80" w:type="dxa"/>
              <w:right w:w="80" w:type="dxa"/>
            </w:tcMar>
            <w:vAlign w:val="center"/>
          </w:tcPr>
          <w:p w14:paraId="6A07B308" w14:textId="77777777" w:rsidR="004B3B82" w:rsidRPr="001D764F" w:rsidRDefault="004B3B82" w:rsidP="00CD3B05">
            <w:pPr>
              <w:jc w:val="center"/>
              <w:rPr>
                <w:rFonts w:ascii="Garamond" w:hAnsi="Garamond"/>
              </w:rPr>
            </w:pPr>
            <w:r w:rsidRPr="001D764F">
              <w:rPr>
                <w:rFonts w:ascii="Garamond" w:hAnsi="Garamond"/>
                <w:b/>
                <w:bCs/>
              </w:rPr>
              <w:t>Наименование параметра</w:t>
            </w:r>
            <w:r>
              <w:rPr>
                <w:rFonts w:ascii="Garamond" w:hAnsi="Garamond"/>
                <w:b/>
                <w:bCs/>
              </w:rPr>
              <w:t xml:space="preserve"> </w:t>
            </w:r>
            <w:r w:rsidRPr="001D764F">
              <w:rPr>
                <w:rFonts w:ascii="Garamond" w:hAnsi="Garamond"/>
                <w:b/>
                <w:bCs/>
              </w:rPr>
              <w:t>/</w:t>
            </w:r>
            <w:r>
              <w:rPr>
                <w:rFonts w:ascii="Garamond" w:hAnsi="Garamond"/>
                <w:b/>
                <w:bCs/>
              </w:rPr>
              <w:t xml:space="preserve"> </w:t>
            </w:r>
            <w:r w:rsidRPr="001D764F">
              <w:rPr>
                <w:rFonts w:ascii="Garamond" w:hAnsi="Garamond"/>
                <w:b/>
                <w:bCs/>
              </w:rPr>
              <w:t>требование к порядку и методике проверки</w:t>
            </w:r>
          </w:p>
        </w:tc>
      </w:tr>
      <w:tr w:rsidR="004B3B82" w:rsidRPr="001D764F" w14:paraId="4DCEB490" w14:textId="77777777" w:rsidTr="00CD3B05">
        <w:tblPrEx>
          <w:shd w:val="clear" w:color="auto" w:fill="auto"/>
        </w:tblPrEx>
        <w:trPr>
          <w:trHeight w:val="250"/>
          <w:jc w:val="right"/>
        </w:trPr>
        <w:tc>
          <w:tcPr>
            <w:tcW w:w="567" w:type="dxa"/>
            <w:tcBorders>
              <w:top w:val="single" w:sz="4" w:space="0" w:color="000000"/>
              <w:left w:val="single" w:sz="4" w:space="0" w:color="000000"/>
              <w:bottom w:val="single" w:sz="4" w:space="0" w:color="000000"/>
              <w:right w:val="single" w:sz="4" w:space="0" w:color="000000"/>
            </w:tcBorders>
            <w:shd w:val="clear" w:color="auto" w:fill="BFBFBF"/>
            <w:tcMar>
              <w:top w:w="80" w:type="dxa"/>
              <w:left w:w="80" w:type="dxa"/>
              <w:bottom w:w="80" w:type="dxa"/>
              <w:right w:w="80" w:type="dxa"/>
            </w:tcMar>
            <w:vAlign w:val="center"/>
          </w:tcPr>
          <w:p w14:paraId="03EA7948" w14:textId="77777777" w:rsidR="004B3B82" w:rsidRPr="005F754A" w:rsidRDefault="004B3B82" w:rsidP="00CD3B05">
            <w:pPr>
              <w:jc w:val="center"/>
              <w:rPr>
                <w:rFonts w:ascii="Garamond" w:hAnsi="Garamond"/>
              </w:rPr>
            </w:pPr>
            <w:r w:rsidRPr="005F754A">
              <w:rPr>
                <w:rFonts w:ascii="Garamond" w:hAnsi="Garamond"/>
              </w:rPr>
              <w:t>1</w:t>
            </w:r>
          </w:p>
        </w:tc>
        <w:tc>
          <w:tcPr>
            <w:tcW w:w="1560" w:type="dxa"/>
            <w:tcBorders>
              <w:top w:val="single" w:sz="4" w:space="0" w:color="000000"/>
              <w:left w:val="single" w:sz="4" w:space="0" w:color="000000"/>
              <w:bottom w:val="single" w:sz="4" w:space="0" w:color="000000"/>
              <w:right w:val="single" w:sz="4" w:space="0" w:color="000000"/>
            </w:tcBorders>
            <w:shd w:val="clear" w:color="auto" w:fill="BFBFBF"/>
            <w:tcMar>
              <w:top w:w="80" w:type="dxa"/>
              <w:left w:w="80" w:type="dxa"/>
              <w:bottom w:w="80" w:type="dxa"/>
              <w:right w:w="80" w:type="dxa"/>
            </w:tcMar>
            <w:vAlign w:val="center"/>
          </w:tcPr>
          <w:p w14:paraId="553B82D1" w14:textId="77777777" w:rsidR="004B3B82" w:rsidRPr="001D764F" w:rsidRDefault="004B3B82" w:rsidP="00CD3B05">
            <w:pPr>
              <w:jc w:val="center"/>
              <w:rPr>
                <w:rFonts w:ascii="Garamond" w:hAnsi="Garamond"/>
                <w:b/>
                <w:bCs/>
                <w:vertAlign w:val="subscript"/>
              </w:rPr>
            </w:pPr>
            <w:r w:rsidRPr="001D764F">
              <w:rPr>
                <w:rFonts w:ascii="Garamond" w:hAnsi="Garamond"/>
                <w:b/>
                <w:bCs/>
              </w:rPr>
              <w:t>П</w:t>
            </w:r>
            <w:r w:rsidRPr="001D764F">
              <w:rPr>
                <w:rFonts w:ascii="Garamond" w:hAnsi="Garamond"/>
                <w:b/>
                <w:bCs/>
                <w:vertAlign w:val="subscript"/>
              </w:rPr>
              <w:t>Ф28</w:t>
            </w:r>
          </w:p>
          <w:p w14:paraId="67166696" w14:textId="77777777" w:rsidR="004B3B82" w:rsidRPr="001D764F" w:rsidRDefault="004B3B82" w:rsidP="00CD3B05">
            <w:pPr>
              <w:jc w:val="center"/>
              <w:rPr>
                <w:rFonts w:ascii="Garamond" w:hAnsi="Garamond"/>
              </w:rPr>
            </w:pPr>
            <w:r w:rsidRPr="001D764F">
              <w:rPr>
                <w:rFonts w:ascii="Garamond" w:hAnsi="Garamond"/>
                <w:bCs/>
              </w:rPr>
              <w:t>(п.</w:t>
            </w:r>
            <w:r>
              <w:rPr>
                <w:rFonts w:ascii="Garamond" w:hAnsi="Garamond"/>
                <w:bCs/>
              </w:rPr>
              <w:t xml:space="preserve"> </w:t>
            </w:r>
            <w:r w:rsidRPr="001D764F">
              <w:rPr>
                <w:rFonts w:ascii="Garamond" w:hAnsi="Garamond"/>
                <w:bCs/>
              </w:rPr>
              <w:t>5.1.</w:t>
            </w:r>
            <w:r w:rsidRPr="00836622">
              <w:rPr>
                <w:rFonts w:ascii="Garamond" w:hAnsi="Garamond"/>
                <w:bCs/>
                <w:highlight w:val="yellow"/>
              </w:rPr>
              <w:t>7</w:t>
            </w:r>
            <w:r w:rsidRPr="001D764F">
              <w:rPr>
                <w:rFonts w:ascii="Garamond" w:hAnsi="Garamond"/>
                <w:bCs/>
              </w:rPr>
              <w:t>)</w:t>
            </w:r>
          </w:p>
        </w:tc>
        <w:tc>
          <w:tcPr>
            <w:tcW w:w="7797" w:type="dxa"/>
            <w:tcBorders>
              <w:top w:val="single" w:sz="4" w:space="0" w:color="000000"/>
              <w:left w:val="single" w:sz="4" w:space="0" w:color="000000"/>
              <w:bottom w:val="single" w:sz="4" w:space="0" w:color="000000"/>
              <w:right w:val="single" w:sz="4" w:space="0" w:color="000000"/>
            </w:tcBorders>
            <w:shd w:val="clear" w:color="auto" w:fill="BFBFBF"/>
            <w:tcMar>
              <w:top w:w="80" w:type="dxa"/>
              <w:left w:w="80" w:type="dxa"/>
              <w:bottom w:w="80" w:type="dxa"/>
              <w:right w:w="80" w:type="dxa"/>
            </w:tcMar>
          </w:tcPr>
          <w:p w14:paraId="616A8073" w14:textId="77777777" w:rsidR="004B3B82" w:rsidRPr="001D764F" w:rsidRDefault="004B3B82" w:rsidP="00CD3B05">
            <w:pPr>
              <w:rPr>
                <w:rFonts w:ascii="Garamond" w:hAnsi="Garamond"/>
              </w:rPr>
            </w:pPr>
            <w:r w:rsidRPr="001D764F">
              <w:rPr>
                <w:rFonts w:ascii="Garamond" w:hAnsi="Garamond"/>
                <w:b/>
                <w:bCs/>
              </w:rPr>
              <w:t>Предоставление в ПАК КО результатов измерений с обеспечением защиты информации на программном уровне (ЭП)</w:t>
            </w:r>
          </w:p>
        </w:tc>
      </w:tr>
      <w:tr w:rsidR="004B3B82" w:rsidRPr="001D764F" w14:paraId="486A7A16" w14:textId="77777777" w:rsidTr="00CD3B05">
        <w:tblPrEx>
          <w:shd w:val="clear" w:color="auto" w:fill="auto"/>
        </w:tblPrEx>
        <w:trPr>
          <w:trHeight w:val="250"/>
          <w:jc w:val="right"/>
        </w:trPr>
        <w:tc>
          <w:tcPr>
            <w:tcW w:w="567" w:type="dxa"/>
            <w:tcBorders>
              <w:top w:val="single" w:sz="4" w:space="0" w:color="000000"/>
              <w:left w:val="single" w:sz="4" w:space="0" w:color="000000"/>
              <w:bottom w:val="single" w:sz="4" w:space="0" w:color="000000"/>
              <w:right w:val="single" w:sz="4" w:space="0" w:color="000000"/>
            </w:tcBorders>
            <w:shd w:val="clear" w:color="auto" w:fill="E5B8B7"/>
            <w:tcMar>
              <w:top w:w="80" w:type="dxa"/>
              <w:left w:w="80" w:type="dxa"/>
              <w:bottom w:w="80" w:type="dxa"/>
              <w:right w:w="80" w:type="dxa"/>
            </w:tcMar>
            <w:vAlign w:val="center"/>
          </w:tcPr>
          <w:p w14:paraId="0DF1CAA9" w14:textId="77777777" w:rsidR="004B3B82" w:rsidRPr="001D764F" w:rsidRDefault="004B3B82" w:rsidP="00CD3B05">
            <w:pPr>
              <w:rPr>
                <w:rFonts w:ascii="Garamond" w:hAnsi="Garamond"/>
              </w:rPr>
            </w:pPr>
          </w:p>
        </w:tc>
        <w:tc>
          <w:tcPr>
            <w:tcW w:w="1560" w:type="dxa"/>
            <w:tcBorders>
              <w:top w:val="single" w:sz="4" w:space="0" w:color="000000"/>
              <w:left w:val="single" w:sz="4" w:space="0" w:color="000000"/>
              <w:bottom w:val="single" w:sz="4" w:space="0" w:color="000000"/>
              <w:right w:val="single" w:sz="4" w:space="0" w:color="000000"/>
            </w:tcBorders>
            <w:shd w:val="clear" w:color="auto" w:fill="E5B8B7"/>
            <w:tcMar>
              <w:top w:w="80" w:type="dxa"/>
              <w:left w:w="80" w:type="dxa"/>
              <w:bottom w:w="80" w:type="dxa"/>
              <w:right w:w="80" w:type="dxa"/>
            </w:tcMar>
            <w:vAlign w:val="center"/>
          </w:tcPr>
          <w:p w14:paraId="0FF880C7" w14:textId="77777777" w:rsidR="004B3B82" w:rsidRPr="001D764F" w:rsidRDefault="004B3B82" w:rsidP="00CD3B05">
            <w:pPr>
              <w:jc w:val="center"/>
              <w:rPr>
                <w:rFonts w:ascii="Garamond" w:hAnsi="Garamond"/>
              </w:rPr>
            </w:pPr>
            <w:r w:rsidRPr="001D764F">
              <w:rPr>
                <w:rFonts w:ascii="Garamond" w:hAnsi="Garamond"/>
                <w:b/>
                <w:bCs/>
              </w:rPr>
              <w:t>Компоненты</w:t>
            </w:r>
          </w:p>
        </w:tc>
        <w:tc>
          <w:tcPr>
            <w:tcW w:w="7797" w:type="dxa"/>
            <w:tcBorders>
              <w:top w:val="single" w:sz="4" w:space="0" w:color="000000"/>
              <w:left w:val="single" w:sz="4" w:space="0" w:color="000000"/>
              <w:bottom w:val="single" w:sz="4" w:space="0" w:color="000000"/>
              <w:right w:val="single" w:sz="4" w:space="0" w:color="000000"/>
            </w:tcBorders>
            <w:shd w:val="clear" w:color="auto" w:fill="E5B8B7"/>
            <w:tcMar>
              <w:top w:w="80" w:type="dxa"/>
              <w:left w:w="80" w:type="dxa"/>
              <w:bottom w:w="80" w:type="dxa"/>
              <w:right w:w="80" w:type="dxa"/>
            </w:tcMar>
          </w:tcPr>
          <w:p w14:paraId="4B70FB6E" w14:textId="77777777" w:rsidR="004B3B82" w:rsidRPr="000D5747" w:rsidRDefault="004B3B82" w:rsidP="00CD3B05">
            <w:pPr>
              <w:jc w:val="both"/>
              <w:rPr>
                <w:rFonts w:ascii="Garamond" w:hAnsi="Garamond"/>
              </w:rPr>
            </w:pPr>
            <w:r w:rsidRPr="000D5747">
              <w:rPr>
                <w:rFonts w:ascii="Garamond" w:hAnsi="Garamond"/>
              </w:rPr>
              <w:t>ИВК АИИС КУЭ – сервер (АРМ). Место установки оборудования ИВК</w:t>
            </w:r>
          </w:p>
        </w:tc>
      </w:tr>
      <w:tr w:rsidR="004B3B82" w:rsidRPr="001D764F" w14:paraId="1383CB2F" w14:textId="77777777" w:rsidTr="00CD3B05">
        <w:tblPrEx>
          <w:shd w:val="clear" w:color="auto" w:fill="auto"/>
        </w:tblPrEx>
        <w:trPr>
          <w:trHeight w:val="1930"/>
          <w:jc w:val="right"/>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7DA70A4" w14:textId="77777777" w:rsidR="004B3B82" w:rsidRPr="001D764F" w:rsidRDefault="004B3B82" w:rsidP="00CD3B05">
            <w:pPr>
              <w:rPr>
                <w:rFonts w:ascii="Garamond" w:hAnsi="Garamond"/>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2200477" w14:textId="77777777" w:rsidR="004B3B82" w:rsidRPr="001D764F" w:rsidRDefault="004B3B82" w:rsidP="00CD3B05">
            <w:pPr>
              <w:jc w:val="center"/>
              <w:rPr>
                <w:rFonts w:ascii="Garamond" w:hAnsi="Garamond"/>
              </w:rPr>
            </w:pPr>
            <w:r w:rsidRPr="001D764F">
              <w:rPr>
                <w:rFonts w:ascii="Garamond" w:hAnsi="Garamond"/>
                <w:b/>
                <w:bCs/>
              </w:rPr>
              <w:t>Действия</w:t>
            </w:r>
          </w:p>
        </w:tc>
        <w:tc>
          <w:tcPr>
            <w:tcW w:w="779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1582E9C" w14:textId="77777777" w:rsidR="004B3B82" w:rsidRPr="00C96EC6" w:rsidRDefault="004B3B82" w:rsidP="004B3B82">
            <w:pPr>
              <w:pStyle w:val="ac"/>
              <w:numPr>
                <w:ilvl w:val="0"/>
                <w:numId w:val="146"/>
              </w:numPr>
              <w:pBdr>
                <w:top w:val="nil"/>
                <w:left w:val="nil"/>
                <w:bottom w:val="nil"/>
                <w:right w:val="nil"/>
                <w:between w:val="nil"/>
                <w:bar w:val="nil"/>
              </w:pBdr>
              <w:tabs>
                <w:tab w:val="left" w:pos="340"/>
              </w:tabs>
              <w:jc w:val="both"/>
              <w:rPr>
                <w:rFonts w:ascii="Garamond" w:eastAsia="Garamond" w:hAnsi="Garamond" w:cs="Garamond"/>
                <w:highlight w:val="yellow"/>
              </w:rPr>
            </w:pPr>
            <w:r w:rsidRPr="00C96EC6">
              <w:rPr>
                <w:rFonts w:ascii="Garamond" w:hAnsi="Garamond"/>
                <w:highlight w:val="yellow"/>
              </w:rPr>
              <w:t>При проведении процедуры установления соответствия АИИС КУЭ:</w:t>
            </w:r>
          </w:p>
          <w:p w14:paraId="1F00E74C" w14:textId="77777777" w:rsidR="004B3B82" w:rsidRPr="00C96EC6" w:rsidRDefault="004B3B82" w:rsidP="004B3B82">
            <w:pPr>
              <w:numPr>
                <w:ilvl w:val="0"/>
                <w:numId w:val="194"/>
              </w:numPr>
              <w:pBdr>
                <w:top w:val="nil"/>
                <w:left w:val="nil"/>
                <w:bottom w:val="nil"/>
                <w:right w:val="nil"/>
                <w:between w:val="nil"/>
                <w:bar w:val="nil"/>
              </w:pBdr>
              <w:suppressAutoHyphens w:val="0"/>
              <w:ind w:left="198" w:firstLine="0"/>
              <w:jc w:val="both"/>
              <w:rPr>
                <w:rFonts w:ascii="Garamond" w:eastAsia="Garamond" w:hAnsi="Garamond" w:cs="Garamond"/>
              </w:rPr>
            </w:pPr>
            <w:r w:rsidRPr="00C96EC6">
              <w:rPr>
                <w:rFonts w:ascii="Garamond" w:hAnsi="Garamond"/>
              </w:rPr>
              <w:t xml:space="preserve"> Проверяется передача по электронной почте и прием в ПАК КО XML-файлов формата 80020:</w:t>
            </w:r>
          </w:p>
          <w:p w14:paraId="00B6132C" w14:textId="77777777" w:rsidR="004B3B82" w:rsidRPr="00C96EC6" w:rsidRDefault="004B3B82" w:rsidP="00640271">
            <w:pPr>
              <w:pStyle w:val="ac"/>
              <w:pBdr>
                <w:top w:val="nil"/>
                <w:left w:val="nil"/>
                <w:bottom w:val="nil"/>
                <w:right w:val="nil"/>
                <w:between w:val="nil"/>
                <w:bar w:val="nil"/>
              </w:pBdr>
              <w:ind w:left="198"/>
              <w:jc w:val="both"/>
              <w:rPr>
                <w:rFonts w:ascii="Garamond" w:hAnsi="Garamond"/>
              </w:rPr>
            </w:pPr>
            <w:r w:rsidRPr="00C96EC6">
              <w:rPr>
                <w:rFonts w:ascii="Garamond" w:hAnsi="Garamond"/>
              </w:rPr>
              <w:t>– содержащих результаты измерений со статусом «коммерческая информация» непрерывно, не менее чем за 6 (шесть) календарных дней (для случаев, предусмотренных п. 4.1.1.1 Положения о реестре и п. 1.2.1 настоящего Порядка, 3 (три) календарных дня), переданных в соответствии с требованиями Приложения № 11.1.1 к Положению о реестре, к дате проведения проверки;</w:t>
            </w:r>
          </w:p>
          <w:p w14:paraId="640A3A2D" w14:textId="77777777" w:rsidR="004B3B82" w:rsidRPr="00C96EC6" w:rsidRDefault="004B3B82" w:rsidP="00640271">
            <w:pPr>
              <w:pStyle w:val="ac"/>
              <w:pBdr>
                <w:top w:val="nil"/>
                <w:left w:val="nil"/>
                <w:bottom w:val="nil"/>
                <w:right w:val="nil"/>
                <w:between w:val="nil"/>
                <w:bar w:val="nil"/>
              </w:pBdr>
              <w:ind w:left="198"/>
              <w:jc w:val="both"/>
              <w:rPr>
                <w:rFonts w:ascii="Garamond" w:eastAsia="Garamond" w:hAnsi="Garamond" w:cs="Garamond"/>
              </w:rPr>
            </w:pPr>
            <w:r w:rsidRPr="00C96EC6">
              <w:rPr>
                <w:rFonts w:ascii="Garamond" w:hAnsi="Garamond"/>
              </w:rPr>
              <w:t>– с подтверждением ЭП организации в соответствии с Соглашением о применении электронной подписи в торговой системе оптового рынка (Приложение № Д 7 к Договору о присоединении к торговой системе оптового рынка).</w:t>
            </w:r>
          </w:p>
          <w:p w14:paraId="7766BD37" w14:textId="77777777" w:rsidR="004B3B82" w:rsidRDefault="004B3B82" w:rsidP="004B3B82">
            <w:pPr>
              <w:pStyle w:val="ac"/>
              <w:numPr>
                <w:ilvl w:val="0"/>
                <w:numId w:val="194"/>
              </w:numPr>
              <w:pBdr>
                <w:top w:val="nil"/>
                <w:left w:val="nil"/>
                <w:bottom w:val="nil"/>
                <w:right w:val="nil"/>
                <w:between w:val="nil"/>
                <w:bar w:val="nil"/>
              </w:pBdr>
              <w:ind w:left="198" w:firstLine="0"/>
              <w:jc w:val="both"/>
              <w:rPr>
                <w:rFonts w:ascii="Garamond" w:hAnsi="Garamond"/>
              </w:rPr>
            </w:pPr>
            <w:r w:rsidRPr="00C96EC6">
              <w:rPr>
                <w:rFonts w:ascii="Garamond" w:hAnsi="Garamond"/>
              </w:rPr>
              <w:t xml:space="preserve"> Производится контроль отправки от КО ответного сообщения (XML-файл формата 80021) о приеме и обработке </w:t>
            </w:r>
            <w:r w:rsidRPr="00C96EC6">
              <w:rPr>
                <w:rFonts w:ascii="Garamond" w:hAnsi="Garamond"/>
                <w:lang w:val="en-US"/>
              </w:rPr>
              <w:t>XML</w:t>
            </w:r>
            <w:r w:rsidRPr="00C96EC6">
              <w:rPr>
                <w:rFonts w:ascii="Garamond" w:hAnsi="Garamond"/>
              </w:rPr>
              <w:t>-файлов формата 80020.</w:t>
            </w:r>
          </w:p>
          <w:p w14:paraId="3B75EFBA" w14:textId="77777777" w:rsidR="004B3B82" w:rsidRPr="00C96EC6" w:rsidRDefault="004B3B82" w:rsidP="00E31AE6">
            <w:pPr>
              <w:pStyle w:val="ac"/>
              <w:pBdr>
                <w:top w:val="nil"/>
                <w:left w:val="nil"/>
                <w:bottom w:val="nil"/>
                <w:right w:val="nil"/>
                <w:between w:val="nil"/>
                <w:bar w:val="nil"/>
              </w:pBdr>
              <w:ind w:left="198"/>
              <w:jc w:val="both"/>
              <w:rPr>
                <w:rFonts w:ascii="Garamond" w:hAnsi="Garamond"/>
              </w:rPr>
            </w:pPr>
          </w:p>
          <w:p w14:paraId="367A7914" w14:textId="15D25024" w:rsidR="004B3B82" w:rsidRPr="00C96EC6" w:rsidRDefault="004B3B82" w:rsidP="009E2C12">
            <w:pPr>
              <w:pStyle w:val="ac"/>
              <w:numPr>
                <w:ilvl w:val="0"/>
                <w:numId w:val="146"/>
              </w:numPr>
              <w:pBdr>
                <w:top w:val="nil"/>
                <w:left w:val="nil"/>
                <w:bottom w:val="nil"/>
                <w:right w:val="nil"/>
                <w:between w:val="nil"/>
                <w:bar w:val="nil"/>
              </w:pBdr>
              <w:jc w:val="both"/>
              <w:rPr>
                <w:rFonts w:ascii="Garamond" w:hAnsi="Garamond"/>
                <w:highlight w:val="yellow"/>
              </w:rPr>
            </w:pPr>
            <w:r w:rsidRPr="00C96EC6">
              <w:rPr>
                <w:rFonts w:ascii="Garamond" w:hAnsi="Garamond"/>
                <w:highlight w:val="yellow"/>
              </w:rPr>
              <w:t xml:space="preserve">При проведении процедуры подтверждения соответствия системы учета агрегатора техническим требованиям оптового рынка выполняются действия, </w:t>
            </w:r>
            <w:r w:rsidR="005F1B95">
              <w:rPr>
                <w:rFonts w:ascii="Garamond" w:hAnsi="Garamond"/>
                <w:highlight w:val="yellow"/>
              </w:rPr>
              <w:t>предусмотренные п. </w:t>
            </w:r>
            <w:r w:rsidR="009E2C12">
              <w:rPr>
                <w:rFonts w:ascii="Garamond" w:hAnsi="Garamond"/>
                <w:highlight w:val="yellow"/>
              </w:rPr>
              <w:t>3</w:t>
            </w:r>
            <w:r w:rsidRPr="00F92216">
              <w:rPr>
                <w:rFonts w:ascii="Garamond" w:hAnsi="Garamond"/>
                <w:highlight w:val="yellow"/>
              </w:rPr>
              <w:t>.7.1 приложения 9 к Положению о реестре.</w:t>
            </w:r>
          </w:p>
        </w:tc>
      </w:tr>
      <w:tr w:rsidR="004B3B82" w:rsidRPr="0058630D" w14:paraId="3C32DBF7" w14:textId="77777777" w:rsidTr="00CD3B05">
        <w:tblPrEx>
          <w:shd w:val="clear" w:color="auto" w:fill="auto"/>
        </w:tblPrEx>
        <w:trPr>
          <w:trHeight w:val="1450"/>
          <w:jc w:val="right"/>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2169886" w14:textId="77777777" w:rsidR="004B3B82" w:rsidRPr="001D764F" w:rsidRDefault="004B3B82" w:rsidP="00CD3B05">
            <w:pPr>
              <w:rPr>
                <w:rFonts w:ascii="Garamond" w:hAnsi="Garamond"/>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7E62D56" w14:textId="77777777" w:rsidR="004B3B82" w:rsidRPr="001D764F" w:rsidRDefault="004B3B82" w:rsidP="00CD3B05">
            <w:pPr>
              <w:jc w:val="center"/>
              <w:rPr>
                <w:rFonts w:ascii="Garamond" w:hAnsi="Garamond"/>
              </w:rPr>
            </w:pPr>
            <w:r w:rsidRPr="001D764F">
              <w:rPr>
                <w:rFonts w:ascii="Garamond" w:hAnsi="Garamond"/>
                <w:b/>
                <w:bCs/>
              </w:rPr>
              <w:t>Критерии</w:t>
            </w:r>
          </w:p>
        </w:tc>
        <w:tc>
          <w:tcPr>
            <w:tcW w:w="779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4662238" w14:textId="77777777" w:rsidR="004B3B82" w:rsidRPr="00C6668F" w:rsidRDefault="004B3B82" w:rsidP="004B3B82">
            <w:pPr>
              <w:pStyle w:val="ac"/>
              <w:numPr>
                <w:ilvl w:val="0"/>
                <w:numId w:val="147"/>
              </w:numPr>
              <w:pBdr>
                <w:top w:val="nil"/>
                <w:left w:val="nil"/>
                <w:bottom w:val="nil"/>
                <w:right w:val="nil"/>
                <w:between w:val="nil"/>
                <w:bar w:val="nil"/>
              </w:pBdr>
              <w:jc w:val="both"/>
              <w:rPr>
                <w:rFonts w:ascii="Garamond" w:eastAsia="Garamond" w:hAnsi="Garamond" w:cs="Garamond"/>
                <w:highlight w:val="yellow"/>
              </w:rPr>
            </w:pPr>
            <w:r w:rsidRPr="00C6668F">
              <w:rPr>
                <w:rFonts w:ascii="Garamond" w:hAnsi="Garamond"/>
                <w:highlight w:val="yellow"/>
              </w:rPr>
              <w:t>При проведении процедуры установления соответствия АИИС КУЭ:</w:t>
            </w:r>
          </w:p>
          <w:p w14:paraId="6D3BA06C" w14:textId="77777777" w:rsidR="004B3B82" w:rsidRPr="00C6668F" w:rsidRDefault="004B3B82" w:rsidP="004B3B82">
            <w:pPr>
              <w:pStyle w:val="ac"/>
              <w:numPr>
                <w:ilvl w:val="0"/>
                <w:numId w:val="195"/>
              </w:numPr>
              <w:pBdr>
                <w:top w:val="nil"/>
                <w:left w:val="nil"/>
                <w:bottom w:val="nil"/>
                <w:right w:val="nil"/>
                <w:between w:val="nil"/>
                <w:bar w:val="nil"/>
              </w:pBdr>
              <w:jc w:val="both"/>
              <w:rPr>
                <w:rFonts w:ascii="Garamond" w:eastAsia="Garamond" w:hAnsi="Garamond" w:cs="Garamond"/>
              </w:rPr>
            </w:pPr>
            <w:r w:rsidRPr="00C6668F">
              <w:rPr>
                <w:rFonts w:ascii="Garamond" w:hAnsi="Garamond"/>
              </w:rPr>
              <w:t>Фактический прием XML-файлов формата 80020 по электронной почте в ПАК КО с подтверждением ЭП.</w:t>
            </w:r>
          </w:p>
          <w:p w14:paraId="23864686" w14:textId="77777777" w:rsidR="004B3B82" w:rsidRPr="00C6668F" w:rsidRDefault="004B3B82" w:rsidP="004B3B82">
            <w:pPr>
              <w:pStyle w:val="ac"/>
              <w:numPr>
                <w:ilvl w:val="0"/>
                <w:numId w:val="195"/>
              </w:numPr>
              <w:pBdr>
                <w:top w:val="nil"/>
                <w:left w:val="nil"/>
                <w:bottom w:val="nil"/>
                <w:right w:val="nil"/>
                <w:between w:val="nil"/>
                <w:bar w:val="nil"/>
              </w:pBdr>
              <w:jc w:val="both"/>
              <w:rPr>
                <w:rFonts w:ascii="Garamond" w:eastAsia="Garamond" w:hAnsi="Garamond" w:cs="Garamond"/>
              </w:rPr>
            </w:pPr>
            <w:r w:rsidRPr="00C6668F">
              <w:rPr>
                <w:rFonts w:ascii="Garamond" w:hAnsi="Garamond"/>
              </w:rPr>
              <w:t>Фактическая передача по электронной почте и прием результатов измерений (</w:t>
            </w:r>
            <w:r w:rsidRPr="00C6668F">
              <w:rPr>
                <w:rFonts w:ascii="Garamond" w:hAnsi="Garamond"/>
                <w:lang w:val="en-US"/>
              </w:rPr>
              <w:t>XML</w:t>
            </w:r>
            <w:r w:rsidRPr="00C6668F">
              <w:rPr>
                <w:rFonts w:ascii="Garamond" w:hAnsi="Garamond"/>
              </w:rPr>
              <w:t>-файлы в формате 80020) в ПАК КО со статусом «коммерческая информация» непрерывно, не менее чем за 6 (шесть) календарных дней к дате проведения проверки (для случаев, предусмотренных п. 4.1.1.1 Положения о реестре и п. 1.2.1 настоящего Порядка, 3 (три) календарных дня).</w:t>
            </w:r>
          </w:p>
          <w:p w14:paraId="714C3CBF" w14:textId="77777777" w:rsidR="004B3B82" w:rsidRPr="004037D8" w:rsidRDefault="004B3B82" w:rsidP="004B3B82">
            <w:pPr>
              <w:pStyle w:val="ac"/>
              <w:numPr>
                <w:ilvl w:val="0"/>
                <w:numId w:val="195"/>
              </w:numPr>
              <w:pBdr>
                <w:top w:val="nil"/>
                <w:left w:val="nil"/>
                <w:bottom w:val="nil"/>
                <w:right w:val="nil"/>
                <w:between w:val="nil"/>
                <w:bar w:val="nil"/>
              </w:pBdr>
              <w:jc w:val="both"/>
              <w:rPr>
                <w:rFonts w:ascii="Garamond" w:eastAsia="Garamond" w:hAnsi="Garamond" w:cs="Garamond"/>
              </w:rPr>
            </w:pPr>
            <w:r w:rsidRPr="00C6668F">
              <w:rPr>
                <w:rFonts w:ascii="Garamond" w:hAnsi="Garamond"/>
              </w:rPr>
              <w:t>Отсутствие в ответных сообщениях (XML-файлы в формате 80021) от КО уведомлений об ошибках, в том числе связанных с ЭП.</w:t>
            </w:r>
          </w:p>
          <w:p w14:paraId="14C362D3" w14:textId="77777777" w:rsidR="004B3B82" w:rsidRPr="00C6668F" w:rsidRDefault="004B3B82" w:rsidP="00E31AE6">
            <w:pPr>
              <w:pStyle w:val="ac"/>
              <w:pBdr>
                <w:top w:val="nil"/>
                <w:left w:val="nil"/>
                <w:bottom w:val="nil"/>
                <w:right w:val="nil"/>
                <w:between w:val="nil"/>
                <w:bar w:val="nil"/>
              </w:pBdr>
              <w:ind w:left="255"/>
              <w:jc w:val="both"/>
              <w:rPr>
                <w:rFonts w:ascii="Garamond" w:eastAsia="Garamond" w:hAnsi="Garamond" w:cs="Garamond"/>
              </w:rPr>
            </w:pPr>
          </w:p>
          <w:p w14:paraId="26B300CF" w14:textId="77777777" w:rsidR="004B3B82" w:rsidRPr="00C6668F" w:rsidRDefault="004B3B82" w:rsidP="009E2C12">
            <w:pPr>
              <w:numPr>
                <w:ilvl w:val="0"/>
                <w:numId w:val="147"/>
              </w:numPr>
              <w:pBdr>
                <w:top w:val="nil"/>
                <w:left w:val="nil"/>
                <w:bottom w:val="nil"/>
                <w:right w:val="nil"/>
                <w:between w:val="nil"/>
                <w:bar w:val="nil"/>
              </w:pBdr>
              <w:suppressAutoHyphens w:val="0"/>
              <w:jc w:val="both"/>
              <w:rPr>
                <w:rFonts w:ascii="Garamond" w:eastAsia="Garamond" w:hAnsi="Garamond" w:cs="Garamond"/>
                <w:highlight w:val="yellow"/>
              </w:rPr>
            </w:pPr>
            <w:r w:rsidRPr="00C6668F">
              <w:rPr>
                <w:rFonts w:ascii="Garamond" w:hAnsi="Garamond"/>
                <w:highlight w:val="yellow"/>
              </w:rPr>
              <w:t xml:space="preserve">При проведении процедуры подтверждения соответствия системы учета агрегатора техническим требованиям </w:t>
            </w:r>
            <w:r w:rsidRPr="009C30AB">
              <w:rPr>
                <w:rFonts w:ascii="Garamond" w:hAnsi="Garamond"/>
                <w:highlight w:val="yellow"/>
              </w:rPr>
              <w:t>оптового рынка выполнен</w:t>
            </w:r>
            <w:r w:rsidRPr="002E77A6">
              <w:rPr>
                <w:rFonts w:ascii="Garamond" w:hAnsi="Garamond"/>
                <w:highlight w:val="yellow"/>
              </w:rPr>
              <w:t xml:space="preserve">ы требования п. </w:t>
            </w:r>
            <w:r w:rsidR="009E2C12">
              <w:rPr>
                <w:rFonts w:ascii="Garamond" w:hAnsi="Garamond"/>
                <w:highlight w:val="yellow"/>
              </w:rPr>
              <w:t>3</w:t>
            </w:r>
            <w:r w:rsidRPr="002E77A6">
              <w:rPr>
                <w:rFonts w:ascii="Garamond" w:hAnsi="Garamond"/>
                <w:highlight w:val="yellow"/>
              </w:rPr>
              <w:t xml:space="preserve">.7.1 приложения 9 </w:t>
            </w:r>
            <w:r w:rsidRPr="009C30AB">
              <w:rPr>
                <w:rFonts w:ascii="Garamond" w:hAnsi="Garamond"/>
                <w:highlight w:val="yellow"/>
              </w:rPr>
              <w:t>к Положению о реестре.</w:t>
            </w:r>
          </w:p>
        </w:tc>
      </w:tr>
      <w:tr w:rsidR="004B3B82" w:rsidRPr="0058630D" w14:paraId="0416EDBD" w14:textId="77777777" w:rsidTr="00CD3B05">
        <w:tblPrEx>
          <w:shd w:val="clear" w:color="auto" w:fill="auto"/>
        </w:tblPrEx>
        <w:trPr>
          <w:trHeight w:val="217"/>
          <w:jc w:val="right"/>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62D799C" w14:textId="77777777" w:rsidR="004B3B82" w:rsidRPr="0058630D" w:rsidRDefault="004B3B82" w:rsidP="00CD3B05">
            <w:pPr>
              <w:rPr>
                <w:rFonts w:ascii="Garamond" w:hAnsi="Garamond"/>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99F1836" w14:textId="77777777" w:rsidR="004B3B82" w:rsidRPr="001D764F" w:rsidRDefault="004B3B82" w:rsidP="00CD3B05">
            <w:pPr>
              <w:jc w:val="center"/>
              <w:rPr>
                <w:rFonts w:ascii="Garamond" w:hAnsi="Garamond"/>
              </w:rPr>
            </w:pPr>
            <w:r w:rsidRPr="001D764F">
              <w:rPr>
                <w:rFonts w:ascii="Garamond" w:hAnsi="Garamond"/>
                <w:b/>
                <w:bCs/>
              </w:rPr>
              <w:t>Эксперты</w:t>
            </w:r>
          </w:p>
        </w:tc>
        <w:tc>
          <w:tcPr>
            <w:tcW w:w="779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7708E7C" w14:textId="77777777" w:rsidR="004B3B82" w:rsidRPr="005F754A" w:rsidRDefault="004B3B82" w:rsidP="00CD3B05">
            <w:pPr>
              <w:pBdr>
                <w:top w:val="nil"/>
                <w:left w:val="nil"/>
                <w:bottom w:val="nil"/>
                <w:right w:val="nil"/>
                <w:between w:val="nil"/>
                <w:bar w:val="nil"/>
              </w:pBdr>
              <w:tabs>
                <w:tab w:val="left" w:pos="1440"/>
              </w:tabs>
              <w:jc w:val="both"/>
              <w:rPr>
                <w:rFonts w:ascii="Garamond" w:eastAsia="Garamond" w:hAnsi="Garamond" w:cs="Garamond"/>
              </w:rPr>
            </w:pPr>
            <w:r w:rsidRPr="001D764F">
              <w:rPr>
                <w:rFonts w:ascii="Garamond" w:hAnsi="Garamond"/>
              </w:rPr>
              <w:t>Представители КО</w:t>
            </w:r>
          </w:p>
        </w:tc>
      </w:tr>
      <w:tr w:rsidR="004B3B82" w:rsidRPr="001D764F" w14:paraId="0FD2AC01" w14:textId="77777777" w:rsidTr="00CD3B05">
        <w:tblPrEx>
          <w:shd w:val="clear" w:color="auto" w:fill="auto"/>
        </w:tblPrEx>
        <w:trPr>
          <w:trHeight w:val="250"/>
          <w:jc w:val="right"/>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EAB1218" w14:textId="77777777" w:rsidR="004B3B82" w:rsidRPr="0058630D" w:rsidRDefault="004B3B82" w:rsidP="00CD3B05">
            <w:pPr>
              <w:rPr>
                <w:rFonts w:ascii="Garamond" w:hAnsi="Garamond"/>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3E229E5" w14:textId="77777777" w:rsidR="004B3B82" w:rsidRPr="001D764F" w:rsidRDefault="004B3B82" w:rsidP="00CD3B05">
            <w:pPr>
              <w:jc w:val="center"/>
              <w:rPr>
                <w:rFonts w:ascii="Garamond" w:hAnsi="Garamond"/>
              </w:rPr>
            </w:pPr>
            <w:r w:rsidRPr="001D764F">
              <w:rPr>
                <w:rFonts w:ascii="Garamond" w:hAnsi="Garamond"/>
                <w:b/>
                <w:bCs/>
              </w:rPr>
              <w:t>Документация</w:t>
            </w:r>
          </w:p>
        </w:tc>
        <w:tc>
          <w:tcPr>
            <w:tcW w:w="779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66DDD62" w14:textId="77777777" w:rsidR="004B3B82" w:rsidRPr="001D764F" w:rsidRDefault="004B3B82" w:rsidP="00CD3B05">
            <w:pPr>
              <w:rPr>
                <w:rFonts w:ascii="Garamond" w:hAnsi="Garamond"/>
              </w:rPr>
            </w:pPr>
            <w:r>
              <w:rPr>
                <w:rFonts w:ascii="Garamond" w:hAnsi="Garamond"/>
              </w:rPr>
              <w:t>–</w:t>
            </w:r>
          </w:p>
        </w:tc>
      </w:tr>
    </w:tbl>
    <w:p w14:paraId="201D6D12" w14:textId="77777777" w:rsidR="004B3B82" w:rsidRPr="005F754A" w:rsidRDefault="004B3B82" w:rsidP="00101F7C">
      <w:pPr>
        <w:jc w:val="right"/>
        <w:rPr>
          <w:rFonts w:ascii="Garamond" w:eastAsia="Garamond" w:hAnsi="Garamond" w:cs="Garamond"/>
          <w:b/>
          <w:bCs/>
          <w:sz w:val="22"/>
          <w:szCs w:val="22"/>
        </w:rPr>
      </w:pPr>
    </w:p>
    <w:p w14:paraId="23EE02B0" w14:textId="77777777" w:rsidR="004B3B82" w:rsidRDefault="004B3B82" w:rsidP="00101F7C">
      <w:pPr>
        <w:rPr>
          <w:rFonts w:ascii="Garamond" w:eastAsia="Garamond" w:hAnsi="Garamond" w:cs="Garamond"/>
          <w:b/>
          <w:bCs/>
          <w:sz w:val="22"/>
          <w:szCs w:val="22"/>
        </w:rPr>
      </w:pPr>
      <w:r w:rsidRPr="005F754A">
        <w:rPr>
          <w:rFonts w:ascii="Garamond" w:eastAsia="Garamond" w:hAnsi="Garamond" w:cs="Garamond"/>
          <w:b/>
          <w:bCs/>
          <w:sz w:val="22"/>
          <w:szCs w:val="22"/>
        </w:rPr>
        <w:br w:type="page"/>
      </w:r>
      <w:r>
        <w:rPr>
          <w:rFonts w:ascii="Garamond" w:eastAsia="Garamond" w:hAnsi="Garamond" w:cs="Garamond"/>
          <w:b/>
          <w:bCs/>
          <w:sz w:val="22"/>
          <w:szCs w:val="22"/>
        </w:rPr>
        <w:lastRenderedPageBreak/>
        <w:t>Действующая редакция</w:t>
      </w:r>
    </w:p>
    <w:p w14:paraId="7CE9E7C9" w14:textId="77777777" w:rsidR="004B3B82" w:rsidRPr="005F754A" w:rsidRDefault="004B3B82" w:rsidP="00101F7C">
      <w:pPr>
        <w:jc w:val="right"/>
        <w:rPr>
          <w:rFonts w:ascii="Garamond" w:eastAsia="Garamond" w:hAnsi="Garamond" w:cs="Garamond"/>
          <w:b/>
          <w:bCs/>
          <w:sz w:val="22"/>
          <w:szCs w:val="22"/>
        </w:rPr>
      </w:pPr>
      <w:r w:rsidRPr="001D764F">
        <w:rPr>
          <w:rFonts w:ascii="Garamond" w:hAnsi="Garamond"/>
          <w:b/>
          <w:bCs/>
          <w:sz w:val="22"/>
          <w:szCs w:val="22"/>
        </w:rPr>
        <w:t>Таблица 5</w:t>
      </w:r>
    </w:p>
    <w:p w14:paraId="346DFFA8" w14:textId="77777777" w:rsidR="004B3B82" w:rsidRPr="005F754A" w:rsidRDefault="004B3B82" w:rsidP="00101F7C">
      <w:pPr>
        <w:jc w:val="center"/>
        <w:rPr>
          <w:rFonts w:ascii="Garamond" w:eastAsia="Garamond" w:hAnsi="Garamond" w:cs="Garamond"/>
          <w:b/>
          <w:bCs/>
          <w:sz w:val="22"/>
          <w:szCs w:val="22"/>
        </w:rPr>
      </w:pPr>
    </w:p>
    <w:p w14:paraId="7AF5B0C3" w14:textId="77777777" w:rsidR="004B3B82" w:rsidRPr="005F754A" w:rsidRDefault="004B3B82" w:rsidP="00101F7C">
      <w:pPr>
        <w:jc w:val="center"/>
        <w:rPr>
          <w:rFonts w:ascii="Garamond" w:eastAsia="Garamond" w:hAnsi="Garamond" w:cs="Garamond"/>
          <w:b/>
          <w:bCs/>
          <w:sz w:val="22"/>
          <w:szCs w:val="22"/>
        </w:rPr>
      </w:pPr>
      <w:r w:rsidRPr="001D764F">
        <w:rPr>
          <w:rFonts w:ascii="Garamond" w:hAnsi="Garamond"/>
          <w:b/>
          <w:bCs/>
          <w:sz w:val="22"/>
          <w:szCs w:val="22"/>
        </w:rPr>
        <w:t xml:space="preserve">Программа и методика испытаний </w:t>
      </w:r>
      <w:r w:rsidRPr="00F56BC1">
        <w:rPr>
          <w:rFonts w:ascii="Garamond" w:hAnsi="Garamond"/>
          <w:b/>
          <w:bCs/>
          <w:sz w:val="22"/>
          <w:szCs w:val="22"/>
          <w:highlight w:val="yellow"/>
        </w:rPr>
        <w:t>АИИС КУЭ</w:t>
      </w:r>
    </w:p>
    <w:p w14:paraId="3E8B15C9" w14:textId="77777777" w:rsidR="004B3B82" w:rsidRPr="005F754A" w:rsidRDefault="004B3B82" w:rsidP="00101F7C">
      <w:pPr>
        <w:widowControl w:val="0"/>
        <w:jc w:val="right"/>
        <w:rPr>
          <w:rFonts w:ascii="Garamond" w:eastAsia="Garamond" w:hAnsi="Garamond" w:cs="Garamond"/>
          <w:b/>
          <w:bCs/>
          <w:sz w:val="22"/>
          <w:szCs w:val="22"/>
        </w:rPr>
      </w:pPr>
    </w:p>
    <w:tbl>
      <w:tblPr>
        <w:tblW w:w="9924" w:type="dxa"/>
        <w:jc w:val="righ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shd w:val="clear" w:color="auto" w:fill="BDC0BF"/>
        <w:tblLayout w:type="fixed"/>
        <w:tblCellMar>
          <w:left w:w="0" w:type="dxa"/>
          <w:right w:w="0" w:type="dxa"/>
        </w:tblCellMar>
        <w:tblLook w:val="04A0" w:firstRow="1" w:lastRow="0" w:firstColumn="1" w:lastColumn="0" w:noHBand="0" w:noVBand="1"/>
      </w:tblPr>
      <w:tblGrid>
        <w:gridCol w:w="567"/>
        <w:gridCol w:w="1560"/>
        <w:gridCol w:w="7797"/>
      </w:tblGrid>
      <w:tr w:rsidR="004B3B82" w:rsidRPr="001D764F" w14:paraId="61F45FC0" w14:textId="77777777" w:rsidTr="00CD3B05">
        <w:trPr>
          <w:trHeight w:val="1266"/>
          <w:tblHeader/>
          <w:jc w:val="right"/>
        </w:trPr>
        <w:tc>
          <w:tcPr>
            <w:tcW w:w="567" w:type="dxa"/>
            <w:tcBorders>
              <w:top w:val="single" w:sz="4" w:space="0" w:color="000000"/>
              <w:left w:val="single" w:sz="4" w:space="0" w:color="000000"/>
              <w:bottom w:val="single" w:sz="4" w:space="0" w:color="000000"/>
              <w:right w:val="single" w:sz="4" w:space="0" w:color="000000"/>
            </w:tcBorders>
            <w:shd w:val="clear" w:color="auto" w:fill="BFBFBF"/>
            <w:tcMar>
              <w:top w:w="80" w:type="dxa"/>
              <w:left w:w="80" w:type="dxa"/>
              <w:bottom w:w="80" w:type="dxa"/>
              <w:right w:w="80" w:type="dxa"/>
            </w:tcMar>
            <w:vAlign w:val="center"/>
          </w:tcPr>
          <w:p w14:paraId="78CF9E0D" w14:textId="77777777" w:rsidR="004B3B82" w:rsidRPr="005F754A" w:rsidRDefault="004B3B82" w:rsidP="00CD3B05">
            <w:pPr>
              <w:tabs>
                <w:tab w:val="left" w:pos="176"/>
              </w:tabs>
              <w:jc w:val="center"/>
              <w:rPr>
                <w:rFonts w:ascii="Garamond" w:eastAsia="Garamond" w:hAnsi="Garamond" w:cs="Garamond"/>
                <w:b/>
                <w:bCs/>
              </w:rPr>
            </w:pPr>
            <w:r w:rsidRPr="001D764F">
              <w:rPr>
                <w:rFonts w:ascii="Garamond" w:hAnsi="Garamond"/>
                <w:b/>
                <w:bCs/>
              </w:rPr>
              <w:t>№</w:t>
            </w:r>
          </w:p>
          <w:p w14:paraId="4FEF575A" w14:textId="77777777" w:rsidR="004B3B82" w:rsidRPr="001D764F" w:rsidRDefault="004B3B82" w:rsidP="00CD3B05">
            <w:pPr>
              <w:tabs>
                <w:tab w:val="left" w:pos="176"/>
              </w:tabs>
              <w:jc w:val="center"/>
              <w:rPr>
                <w:rFonts w:ascii="Garamond" w:hAnsi="Garamond"/>
              </w:rPr>
            </w:pPr>
            <w:r w:rsidRPr="001D764F">
              <w:rPr>
                <w:rFonts w:ascii="Garamond" w:hAnsi="Garamond"/>
                <w:b/>
                <w:bCs/>
              </w:rPr>
              <w:t>п</w:t>
            </w:r>
            <w:r w:rsidRPr="005F754A">
              <w:rPr>
                <w:rFonts w:ascii="Garamond" w:hAnsi="Garamond"/>
                <w:b/>
                <w:bCs/>
              </w:rPr>
              <w:t>/п</w:t>
            </w:r>
          </w:p>
        </w:tc>
        <w:tc>
          <w:tcPr>
            <w:tcW w:w="1560" w:type="dxa"/>
            <w:tcBorders>
              <w:top w:val="single" w:sz="4" w:space="0" w:color="000000"/>
              <w:left w:val="single" w:sz="4" w:space="0" w:color="000000"/>
              <w:bottom w:val="single" w:sz="4" w:space="0" w:color="000000"/>
              <w:right w:val="single" w:sz="4" w:space="0" w:color="000000"/>
            </w:tcBorders>
            <w:shd w:val="clear" w:color="auto" w:fill="BFBFBF"/>
            <w:tcMar>
              <w:top w:w="80" w:type="dxa"/>
              <w:left w:w="80" w:type="dxa"/>
              <w:bottom w:w="80" w:type="dxa"/>
              <w:right w:w="80" w:type="dxa"/>
            </w:tcMar>
            <w:vAlign w:val="center"/>
          </w:tcPr>
          <w:p w14:paraId="2BF6F0A3" w14:textId="77777777" w:rsidR="004B3B82" w:rsidRPr="005F754A" w:rsidRDefault="004B3B82" w:rsidP="00CD3B05">
            <w:pPr>
              <w:jc w:val="center"/>
              <w:rPr>
                <w:rFonts w:ascii="Garamond" w:hAnsi="Garamond"/>
              </w:rPr>
            </w:pPr>
            <w:r>
              <w:rPr>
                <w:rFonts w:hAnsi="Garamond"/>
                <w:b/>
                <w:bCs/>
              </w:rPr>
              <w:t>Обозначение</w:t>
            </w:r>
            <w:r>
              <w:rPr>
                <w:rFonts w:hAnsi="Garamond"/>
                <w:b/>
                <w:bCs/>
              </w:rPr>
              <w:t xml:space="preserve"> </w:t>
            </w:r>
            <w:r>
              <w:rPr>
                <w:rFonts w:hAnsi="Garamond"/>
                <w:b/>
                <w:bCs/>
              </w:rPr>
              <w:t>п</w:t>
            </w:r>
            <w:r w:rsidRPr="004D7191">
              <w:rPr>
                <w:rFonts w:hAnsi="Garamond"/>
                <w:b/>
                <w:bCs/>
              </w:rPr>
              <w:t>арам</w:t>
            </w:r>
            <w:r w:rsidRPr="00A064A9">
              <w:rPr>
                <w:rFonts w:hAnsi="Garamond"/>
                <w:b/>
                <w:bCs/>
              </w:rPr>
              <w:t>етр</w:t>
            </w:r>
            <w:r>
              <w:rPr>
                <w:rFonts w:hAnsi="Garamond"/>
                <w:b/>
                <w:bCs/>
              </w:rPr>
              <w:t>а</w:t>
            </w:r>
            <w:r w:rsidRPr="001D764F">
              <w:rPr>
                <w:rFonts w:ascii="Garamond" w:hAnsi="Garamond"/>
                <w:b/>
                <w:bCs/>
              </w:rPr>
              <w:t xml:space="preserve"> </w:t>
            </w:r>
            <w:r w:rsidRPr="006163C1">
              <w:rPr>
                <w:rFonts w:ascii="Garamond" w:hAnsi="Garamond"/>
                <w:bCs/>
                <w:sz w:val="18"/>
                <w:szCs w:val="18"/>
              </w:rPr>
              <w:t xml:space="preserve">(номер пункта согласно Приложению № 11.1 к </w:t>
            </w:r>
            <w:r w:rsidRPr="006163C1">
              <w:rPr>
                <w:rFonts w:ascii="Garamond" w:hAnsi="Garamond"/>
                <w:bCs/>
                <w:i/>
                <w:sz w:val="18"/>
                <w:szCs w:val="18"/>
              </w:rPr>
              <w:t>Положению о реестре</w:t>
            </w:r>
            <w:r w:rsidRPr="006163C1">
              <w:rPr>
                <w:rFonts w:ascii="Garamond" w:hAnsi="Garamond"/>
                <w:bCs/>
                <w:sz w:val="18"/>
                <w:szCs w:val="18"/>
              </w:rPr>
              <w:t>)</w:t>
            </w:r>
          </w:p>
        </w:tc>
        <w:tc>
          <w:tcPr>
            <w:tcW w:w="7797" w:type="dxa"/>
            <w:tcBorders>
              <w:top w:val="single" w:sz="4" w:space="0" w:color="000000"/>
              <w:left w:val="single" w:sz="4" w:space="0" w:color="000000"/>
              <w:bottom w:val="single" w:sz="4" w:space="0" w:color="000000"/>
              <w:right w:val="single" w:sz="4" w:space="0" w:color="000000"/>
            </w:tcBorders>
            <w:shd w:val="clear" w:color="auto" w:fill="BFBFBF"/>
            <w:tcMar>
              <w:top w:w="80" w:type="dxa"/>
              <w:left w:w="80" w:type="dxa"/>
              <w:bottom w:w="80" w:type="dxa"/>
              <w:right w:w="80" w:type="dxa"/>
            </w:tcMar>
            <w:vAlign w:val="center"/>
          </w:tcPr>
          <w:p w14:paraId="3B7A67FE" w14:textId="77777777" w:rsidR="004B3B82" w:rsidRPr="001D764F" w:rsidRDefault="004B3B82" w:rsidP="00CD3B05">
            <w:pPr>
              <w:jc w:val="center"/>
              <w:rPr>
                <w:rFonts w:ascii="Garamond" w:hAnsi="Garamond"/>
              </w:rPr>
            </w:pPr>
            <w:r w:rsidRPr="001D764F">
              <w:rPr>
                <w:rFonts w:ascii="Garamond" w:hAnsi="Garamond"/>
                <w:b/>
                <w:bCs/>
              </w:rPr>
              <w:t>Наименование параметра</w:t>
            </w:r>
            <w:r>
              <w:rPr>
                <w:rFonts w:ascii="Garamond" w:hAnsi="Garamond"/>
                <w:b/>
                <w:bCs/>
              </w:rPr>
              <w:t xml:space="preserve"> </w:t>
            </w:r>
            <w:r w:rsidRPr="001D764F">
              <w:rPr>
                <w:rFonts w:ascii="Garamond" w:hAnsi="Garamond"/>
                <w:b/>
                <w:bCs/>
              </w:rPr>
              <w:t>/</w:t>
            </w:r>
            <w:r>
              <w:rPr>
                <w:rFonts w:ascii="Garamond" w:hAnsi="Garamond"/>
                <w:b/>
                <w:bCs/>
              </w:rPr>
              <w:t xml:space="preserve"> </w:t>
            </w:r>
            <w:r w:rsidRPr="001D764F">
              <w:rPr>
                <w:rFonts w:ascii="Garamond" w:hAnsi="Garamond"/>
                <w:b/>
                <w:bCs/>
              </w:rPr>
              <w:t>требование к порядку и методике испытаний</w:t>
            </w:r>
          </w:p>
        </w:tc>
      </w:tr>
      <w:tr w:rsidR="004B3B82" w:rsidRPr="007D4C5F" w14:paraId="7E66CCA3" w14:textId="77777777" w:rsidTr="00CD3B05">
        <w:trPr>
          <w:trHeight w:val="242"/>
          <w:jc w:val="right"/>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70A38D7" w14:textId="77777777" w:rsidR="004B3B82" w:rsidRPr="007D4C5F" w:rsidRDefault="004B3B82" w:rsidP="00CD3B05">
            <w:pPr>
              <w:rPr>
                <w:rFonts w:ascii="Garamond" w:hAnsi="Garamond"/>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E33861E" w14:textId="77777777" w:rsidR="004B3B82" w:rsidRPr="007D4C5F" w:rsidRDefault="004B3B82" w:rsidP="00CD3B05">
            <w:pPr>
              <w:rPr>
                <w:rFonts w:ascii="Garamond" w:hAnsi="Garamond"/>
              </w:rPr>
            </w:pPr>
          </w:p>
        </w:tc>
        <w:tc>
          <w:tcPr>
            <w:tcW w:w="779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AD0A08" w14:textId="77777777" w:rsidR="004B3B82" w:rsidRPr="007D4C5F" w:rsidRDefault="004B3B82" w:rsidP="00CD3B05">
            <w:pPr>
              <w:rPr>
                <w:rFonts w:ascii="Garamond" w:hAnsi="Garamond"/>
              </w:rPr>
            </w:pPr>
            <w:r w:rsidRPr="007D4C5F">
              <w:rPr>
                <w:rFonts w:ascii="Garamond" w:hAnsi="Garamond"/>
                <w:b/>
                <w:bCs/>
              </w:rPr>
              <w:t>1. ЗАЩИЩЕННОСТЬ</w:t>
            </w:r>
          </w:p>
        </w:tc>
      </w:tr>
      <w:tr w:rsidR="004B3B82" w:rsidRPr="007D4C5F" w14:paraId="77824670" w14:textId="77777777" w:rsidTr="00CD3B05">
        <w:tblPrEx>
          <w:shd w:val="clear" w:color="auto" w:fill="auto"/>
        </w:tblPrEx>
        <w:trPr>
          <w:trHeight w:val="490"/>
          <w:jc w:val="right"/>
        </w:trPr>
        <w:tc>
          <w:tcPr>
            <w:tcW w:w="567" w:type="dxa"/>
            <w:tcBorders>
              <w:top w:val="single" w:sz="4" w:space="0" w:color="000000"/>
              <w:left w:val="single" w:sz="4" w:space="0" w:color="000000"/>
              <w:bottom w:val="single" w:sz="4" w:space="0" w:color="000000"/>
              <w:right w:val="single" w:sz="4" w:space="0" w:color="000000"/>
            </w:tcBorders>
            <w:shd w:val="clear" w:color="auto" w:fill="BFBFBF"/>
            <w:tcMar>
              <w:top w:w="80" w:type="dxa"/>
              <w:left w:w="80" w:type="dxa"/>
              <w:bottom w:w="80" w:type="dxa"/>
              <w:right w:w="80" w:type="dxa"/>
            </w:tcMar>
            <w:vAlign w:val="center"/>
          </w:tcPr>
          <w:p w14:paraId="48C5939B" w14:textId="77777777" w:rsidR="004B3B82" w:rsidRPr="007D4C5F" w:rsidRDefault="004B3B82" w:rsidP="00CD3B05">
            <w:pPr>
              <w:jc w:val="center"/>
              <w:rPr>
                <w:rFonts w:ascii="Garamond" w:hAnsi="Garamond"/>
              </w:rPr>
            </w:pPr>
            <w:r w:rsidRPr="007D4C5F">
              <w:rPr>
                <w:rFonts w:ascii="Garamond" w:hAnsi="Garamond"/>
              </w:rPr>
              <w:t>1</w:t>
            </w:r>
          </w:p>
        </w:tc>
        <w:tc>
          <w:tcPr>
            <w:tcW w:w="1560" w:type="dxa"/>
            <w:tcBorders>
              <w:top w:val="single" w:sz="4" w:space="0" w:color="000000"/>
              <w:left w:val="single" w:sz="4" w:space="0" w:color="000000"/>
              <w:bottom w:val="single" w:sz="4" w:space="0" w:color="000000"/>
              <w:right w:val="single" w:sz="4" w:space="0" w:color="000000"/>
            </w:tcBorders>
            <w:shd w:val="clear" w:color="auto" w:fill="BFBFBF"/>
            <w:tcMar>
              <w:top w:w="80" w:type="dxa"/>
              <w:left w:w="80" w:type="dxa"/>
              <w:bottom w:w="80" w:type="dxa"/>
              <w:right w:w="80" w:type="dxa"/>
            </w:tcMar>
            <w:vAlign w:val="center"/>
          </w:tcPr>
          <w:p w14:paraId="5EBC8E07" w14:textId="77777777" w:rsidR="004B3B82" w:rsidRPr="007D4C5F" w:rsidRDefault="004B3B82" w:rsidP="00CD3B05">
            <w:pPr>
              <w:jc w:val="center"/>
              <w:rPr>
                <w:rFonts w:ascii="Garamond" w:hAnsi="Garamond"/>
                <w:b/>
                <w:bCs/>
                <w:vertAlign w:val="subscript"/>
              </w:rPr>
            </w:pPr>
            <w:r w:rsidRPr="007D4C5F">
              <w:rPr>
                <w:rFonts w:ascii="Garamond" w:hAnsi="Garamond"/>
                <w:b/>
                <w:bCs/>
              </w:rPr>
              <w:t>П</w:t>
            </w:r>
            <w:r w:rsidRPr="007D4C5F">
              <w:rPr>
                <w:rFonts w:ascii="Garamond" w:hAnsi="Garamond"/>
                <w:b/>
                <w:bCs/>
                <w:vertAlign w:val="subscript"/>
              </w:rPr>
              <w:t>З13</w:t>
            </w:r>
          </w:p>
          <w:p w14:paraId="02A191E4" w14:textId="77777777" w:rsidR="004B3B82" w:rsidRPr="007D4C5F" w:rsidRDefault="004B3B82" w:rsidP="00CD3B05">
            <w:pPr>
              <w:jc w:val="center"/>
              <w:rPr>
                <w:rFonts w:ascii="Garamond" w:hAnsi="Garamond"/>
              </w:rPr>
            </w:pPr>
            <w:r w:rsidRPr="007D4C5F">
              <w:rPr>
                <w:rFonts w:ascii="Garamond" w:hAnsi="Garamond"/>
                <w:bCs/>
              </w:rPr>
              <w:t>(п. 3.4.6)</w:t>
            </w:r>
          </w:p>
        </w:tc>
        <w:tc>
          <w:tcPr>
            <w:tcW w:w="7797" w:type="dxa"/>
            <w:tcBorders>
              <w:top w:val="single" w:sz="4" w:space="0" w:color="000000"/>
              <w:left w:val="single" w:sz="4" w:space="0" w:color="000000"/>
              <w:bottom w:val="single" w:sz="4" w:space="0" w:color="000000"/>
              <w:right w:val="single" w:sz="4" w:space="0" w:color="000000"/>
            </w:tcBorders>
            <w:shd w:val="clear" w:color="auto" w:fill="BFBFBF"/>
            <w:tcMar>
              <w:top w:w="80" w:type="dxa"/>
              <w:left w:w="80" w:type="dxa"/>
              <w:bottom w:w="80" w:type="dxa"/>
              <w:right w:w="80" w:type="dxa"/>
            </w:tcMar>
          </w:tcPr>
          <w:p w14:paraId="0B668829" w14:textId="77777777" w:rsidR="004B3B82" w:rsidRPr="007D4C5F" w:rsidRDefault="004B3B82" w:rsidP="00CD3B05">
            <w:pPr>
              <w:rPr>
                <w:rFonts w:ascii="Garamond" w:hAnsi="Garamond"/>
              </w:rPr>
            </w:pPr>
            <w:r w:rsidRPr="007D4C5F">
              <w:rPr>
                <w:rFonts w:ascii="Garamond" w:hAnsi="Garamond"/>
                <w:b/>
                <w:bCs/>
              </w:rPr>
              <w:t xml:space="preserve">Защита информации на программном уровне при параметрировании – установка пароля на </w:t>
            </w:r>
            <w:r w:rsidRPr="005C63E5">
              <w:rPr>
                <w:rFonts w:ascii="Garamond" w:hAnsi="Garamond"/>
                <w:b/>
                <w:bCs/>
                <w:highlight w:val="yellow"/>
              </w:rPr>
              <w:t>счетчик</w:t>
            </w:r>
          </w:p>
        </w:tc>
      </w:tr>
      <w:tr w:rsidR="004B3B82" w:rsidRPr="007D4C5F" w14:paraId="2D224A71" w14:textId="77777777" w:rsidTr="00CD3B05">
        <w:tblPrEx>
          <w:shd w:val="clear" w:color="auto" w:fill="auto"/>
        </w:tblPrEx>
        <w:trPr>
          <w:trHeight w:val="250"/>
          <w:jc w:val="right"/>
        </w:trPr>
        <w:tc>
          <w:tcPr>
            <w:tcW w:w="567" w:type="dxa"/>
            <w:tcBorders>
              <w:top w:val="single" w:sz="4" w:space="0" w:color="000000"/>
              <w:left w:val="single" w:sz="4" w:space="0" w:color="000000"/>
              <w:bottom w:val="single" w:sz="4" w:space="0" w:color="000000"/>
              <w:right w:val="single" w:sz="4" w:space="0" w:color="000000"/>
            </w:tcBorders>
            <w:shd w:val="clear" w:color="auto" w:fill="92D050"/>
            <w:tcMar>
              <w:top w:w="80" w:type="dxa"/>
              <w:left w:w="80" w:type="dxa"/>
              <w:bottom w:w="80" w:type="dxa"/>
              <w:right w:w="80" w:type="dxa"/>
            </w:tcMar>
            <w:vAlign w:val="center"/>
          </w:tcPr>
          <w:p w14:paraId="5BD53AB3" w14:textId="77777777" w:rsidR="004B3B82" w:rsidRPr="007D4C5F" w:rsidRDefault="004B3B82" w:rsidP="00CD3B05">
            <w:pPr>
              <w:rPr>
                <w:rFonts w:ascii="Garamond" w:hAnsi="Garamond"/>
              </w:rPr>
            </w:pPr>
          </w:p>
        </w:tc>
        <w:tc>
          <w:tcPr>
            <w:tcW w:w="1560" w:type="dxa"/>
            <w:tcBorders>
              <w:top w:val="single" w:sz="4" w:space="0" w:color="000000"/>
              <w:left w:val="single" w:sz="4" w:space="0" w:color="000000"/>
              <w:bottom w:val="single" w:sz="4" w:space="0" w:color="000000"/>
              <w:right w:val="single" w:sz="4" w:space="0" w:color="000000"/>
            </w:tcBorders>
            <w:shd w:val="clear" w:color="auto" w:fill="92D050"/>
            <w:tcMar>
              <w:top w:w="80" w:type="dxa"/>
              <w:left w:w="80" w:type="dxa"/>
              <w:bottom w:w="80" w:type="dxa"/>
              <w:right w:w="80" w:type="dxa"/>
            </w:tcMar>
            <w:vAlign w:val="center"/>
          </w:tcPr>
          <w:p w14:paraId="1E39D80B" w14:textId="77777777" w:rsidR="004B3B82" w:rsidRPr="007D4C5F" w:rsidRDefault="004B3B82" w:rsidP="00CD3B05">
            <w:pPr>
              <w:jc w:val="center"/>
              <w:rPr>
                <w:rFonts w:ascii="Garamond" w:hAnsi="Garamond"/>
              </w:rPr>
            </w:pPr>
            <w:r w:rsidRPr="007D4C5F">
              <w:rPr>
                <w:rFonts w:ascii="Garamond" w:hAnsi="Garamond"/>
                <w:b/>
                <w:bCs/>
              </w:rPr>
              <w:t>Компоненты</w:t>
            </w:r>
          </w:p>
        </w:tc>
        <w:tc>
          <w:tcPr>
            <w:tcW w:w="7797" w:type="dxa"/>
            <w:tcBorders>
              <w:top w:val="single" w:sz="4" w:space="0" w:color="000000"/>
              <w:left w:val="single" w:sz="4" w:space="0" w:color="000000"/>
              <w:bottom w:val="single" w:sz="4" w:space="0" w:color="000000"/>
              <w:right w:val="single" w:sz="4" w:space="0" w:color="000000"/>
            </w:tcBorders>
            <w:shd w:val="clear" w:color="auto" w:fill="92D050"/>
            <w:tcMar>
              <w:top w:w="80" w:type="dxa"/>
              <w:left w:w="80" w:type="dxa"/>
              <w:bottom w:w="80" w:type="dxa"/>
              <w:right w:w="80" w:type="dxa"/>
            </w:tcMar>
          </w:tcPr>
          <w:p w14:paraId="2C21F0DE" w14:textId="77777777" w:rsidR="004B3B82" w:rsidRPr="007D4C5F" w:rsidRDefault="004B3B82" w:rsidP="00CD3B05">
            <w:pPr>
              <w:rPr>
                <w:rFonts w:ascii="Garamond" w:hAnsi="Garamond"/>
              </w:rPr>
            </w:pPr>
            <w:r w:rsidRPr="007D4C5F">
              <w:rPr>
                <w:rFonts w:ascii="Garamond" w:hAnsi="Garamond"/>
              </w:rPr>
              <w:t xml:space="preserve">ИИК – </w:t>
            </w:r>
            <w:r w:rsidRPr="005C63E5">
              <w:rPr>
                <w:rFonts w:ascii="Garamond" w:hAnsi="Garamond"/>
                <w:highlight w:val="yellow"/>
              </w:rPr>
              <w:t>счетчики</w:t>
            </w:r>
            <w:r w:rsidRPr="007D4C5F">
              <w:rPr>
                <w:rFonts w:ascii="Garamond" w:hAnsi="Garamond"/>
              </w:rPr>
              <w:t xml:space="preserve"> </w:t>
            </w:r>
          </w:p>
        </w:tc>
      </w:tr>
      <w:tr w:rsidR="004B3B82" w:rsidRPr="007D4C5F" w14:paraId="6082BA1C" w14:textId="77777777" w:rsidTr="00CD3B05">
        <w:tblPrEx>
          <w:shd w:val="clear" w:color="auto" w:fill="auto"/>
        </w:tblPrEx>
        <w:trPr>
          <w:trHeight w:val="1956"/>
          <w:jc w:val="right"/>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78EAA12" w14:textId="77777777" w:rsidR="004B3B82" w:rsidRPr="007D4C5F" w:rsidRDefault="004B3B82" w:rsidP="00CD3B05">
            <w:pPr>
              <w:rPr>
                <w:rFonts w:ascii="Garamond" w:hAnsi="Garamond"/>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71F1FEC" w14:textId="77777777" w:rsidR="004B3B82" w:rsidRPr="007D4C5F" w:rsidRDefault="004B3B82" w:rsidP="00CD3B05">
            <w:pPr>
              <w:jc w:val="center"/>
              <w:rPr>
                <w:rFonts w:ascii="Garamond" w:hAnsi="Garamond"/>
              </w:rPr>
            </w:pPr>
            <w:r w:rsidRPr="007D4C5F">
              <w:rPr>
                <w:rFonts w:ascii="Garamond" w:hAnsi="Garamond"/>
                <w:b/>
                <w:bCs/>
              </w:rPr>
              <w:t>Действия</w:t>
            </w:r>
          </w:p>
        </w:tc>
        <w:tc>
          <w:tcPr>
            <w:tcW w:w="779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0188117" w14:textId="77777777" w:rsidR="004B3B82" w:rsidRPr="007D4C5F" w:rsidRDefault="004B3B82" w:rsidP="00CD3B05">
            <w:pPr>
              <w:pStyle w:val="ac"/>
              <w:numPr>
                <w:ilvl w:val="0"/>
                <w:numId w:val="16"/>
              </w:numPr>
              <w:pBdr>
                <w:top w:val="nil"/>
                <w:left w:val="nil"/>
                <w:bottom w:val="nil"/>
                <w:right w:val="nil"/>
                <w:between w:val="nil"/>
                <w:bar w:val="nil"/>
              </w:pBdr>
              <w:tabs>
                <w:tab w:val="clear" w:pos="317"/>
                <w:tab w:val="num" w:pos="380"/>
                <w:tab w:val="left" w:pos="1440"/>
              </w:tabs>
              <w:ind w:left="380" w:hanging="380"/>
              <w:jc w:val="both"/>
              <w:rPr>
                <w:rFonts w:ascii="Garamond" w:eastAsia="Garamond" w:hAnsi="Garamond" w:cs="Garamond"/>
              </w:rPr>
            </w:pPr>
            <w:r w:rsidRPr="007D4C5F">
              <w:rPr>
                <w:rFonts w:ascii="Garamond" w:hAnsi="Garamond"/>
              </w:rPr>
              <w:t>С помощью стандартных средств операционной системы или специализированного ПО удаленного доступа и администрирования устанавливается интернет-соединение с удаленным рабочим столом сервера ИВК АИИС КУЭ.</w:t>
            </w:r>
          </w:p>
          <w:p w14:paraId="271D3FD3" w14:textId="77777777" w:rsidR="004B3B82" w:rsidRPr="007D4C5F" w:rsidRDefault="004B3B82" w:rsidP="00CD3B05">
            <w:pPr>
              <w:pStyle w:val="ac"/>
              <w:numPr>
                <w:ilvl w:val="0"/>
                <w:numId w:val="16"/>
              </w:numPr>
              <w:pBdr>
                <w:top w:val="nil"/>
                <w:left w:val="nil"/>
                <w:bottom w:val="nil"/>
                <w:right w:val="nil"/>
                <w:between w:val="nil"/>
                <w:bar w:val="nil"/>
              </w:pBdr>
              <w:tabs>
                <w:tab w:val="clear" w:pos="317"/>
                <w:tab w:val="num" w:pos="380"/>
                <w:tab w:val="left" w:pos="1440"/>
              </w:tabs>
              <w:ind w:left="380" w:hanging="380"/>
              <w:jc w:val="both"/>
              <w:rPr>
                <w:rFonts w:ascii="Garamond" w:eastAsia="Garamond" w:hAnsi="Garamond" w:cs="Garamond"/>
              </w:rPr>
            </w:pPr>
            <w:r w:rsidRPr="007D4C5F">
              <w:rPr>
                <w:rFonts w:ascii="Garamond" w:hAnsi="Garamond"/>
              </w:rPr>
              <w:t xml:space="preserve">При отсутствии в АИИС КУЭ уровня ИВКЭ (двухуровневая система) с помощью специализированного ПО конфигурирования </w:t>
            </w:r>
            <w:r w:rsidRPr="00F56BC1">
              <w:rPr>
                <w:rFonts w:ascii="Garamond" w:hAnsi="Garamond"/>
                <w:highlight w:val="yellow"/>
              </w:rPr>
              <w:t>счетчиков</w:t>
            </w:r>
            <w:r w:rsidRPr="007D4C5F">
              <w:rPr>
                <w:rFonts w:ascii="Garamond" w:hAnsi="Garamond"/>
              </w:rPr>
              <w:t xml:space="preserve">, установленного на сервере (АРМ) ИВК, посредством удаленного доступа устанавливается связь </w:t>
            </w:r>
            <w:r w:rsidRPr="00F56BC1">
              <w:rPr>
                <w:rFonts w:ascii="Garamond" w:hAnsi="Garamond"/>
                <w:highlight w:val="yellow"/>
              </w:rPr>
              <w:t>со счетчиком</w:t>
            </w:r>
            <w:r w:rsidRPr="007D4C5F">
              <w:rPr>
                <w:rFonts w:ascii="Garamond" w:hAnsi="Garamond"/>
              </w:rPr>
              <w:t xml:space="preserve"> с заведомо ложным паролем для его параметрирования. </w:t>
            </w:r>
          </w:p>
          <w:p w14:paraId="28264DC8" w14:textId="77777777" w:rsidR="004B3B82" w:rsidRPr="007D4C5F" w:rsidRDefault="004B3B82" w:rsidP="00CD3B05">
            <w:pPr>
              <w:pStyle w:val="ac"/>
              <w:numPr>
                <w:ilvl w:val="0"/>
                <w:numId w:val="16"/>
              </w:numPr>
              <w:pBdr>
                <w:top w:val="nil"/>
                <w:left w:val="nil"/>
                <w:bottom w:val="nil"/>
                <w:right w:val="nil"/>
                <w:between w:val="nil"/>
                <w:bar w:val="nil"/>
              </w:pBdr>
              <w:tabs>
                <w:tab w:val="clear" w:pos="317"/>
                <w:tab w:val="num" w:pos="380"/>
                <w:tab w:val="left" w:pos="1440"/>
              </w:tabs>
              <w:ind w:left="380" w:hanging="380"/>
              <w:jc w:val="both"/>
              <w:rPr>
                <w:rFonts w:ascii="Garamond" w:eastAsia="Garamond" w:hAnsi="Garamond" w:cs="Garamond"/>
              </w:rPr>
            </w:pPr>
            <w:r w:rsidRPr="007D4C5F">
              <w:rPr>
                <w:rFonts w:ascii="Garamond" w:hAnsi="Garamond"/>
              </w:rPr>
              <w:t xml:space="preserve">При наличии в АИИС КУЭ уровня ИВКЭ (трехуровневая система) допускается установить ложный пароль </w:t>
            </w:r>
            <w:r w:rsidRPr="00F56BC1">
              <w:rPr>
                <w:rFonts w:ascii="Garamond" w:hAnsi="Garamond"/>
                <w:highlight w:val="yellow"/>
              </w:rPr>
              <w:t>счетчика</w:t>
            </w:r>
            <w:r w:rsidRPr="007D4C5F">
              <w:rPr>
                <w:rFonts w:ascii="Garamond" w:hAnsi="Garamond"/>
              </w:rPr>
              <w:t xml:space="preserve"> в параметрах опроса </w:t>
            </w:r>
            <w:r w:rsidRPr="00F56BC1">
              <w:rPr>
                <w:rFonts w:ascii="Garamond" w:hAnsi="Garamond"/>
                <w:highlight w:val="yellow"/>
              </w:rPr>
              <w:t>счетчика</w:t>
            </w:r>
            <w:r w:rsidRPr="007D4C5F">
              <w:rPr>
                <w:rFonts w:ascii="Garamond" w:hAnsi="Garamond"/>
              </w:rPr>
              <w:t xml:space="preserve"> в УСПД.</w:t>
            </w:r>
          </w:p>
        </w:tc>
      </w:tr>
      <w:tr w:rsidR="004B3B82" w:rsidRPr="007D4C5F" w14:paraId="20995CC7" w14:textId="77777777" w:rsidTr="00CD3B05">
        <w:tblPrEx>
          <w:shd w:val="clear" w:color="auto" w:fill="auto"/>
        </w:tblPrEx>
        <w:trPr>
          <w:trHeight w:val="316"/>
          <w:jc w:val="right"/>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22AB6D1" w14:textId="77777777" w:rsidR="004B3B82" w:rsidRPr="007D4C5F" w:rsidRDefault="004B3B82" w:rsidP="00CD3B05">
            <w:pPr>
              <w:rPr>
                <w:rFonts w:ascii="Garamond" w:hAnsi="Garamond"/>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BB41FF5" w14:textId="77777777" w:rsidR="004B3B82" w:rsidRPr="007D4C5F" w:rsidRDefault="004B3B82" w:rsidP="00CD3B05">
            <w:pPr>
              <w:jc w:val="center"/>
              <w:rPr>
                <w:rFonts w:ascii="Garamond" w:hAnsi="Garamond"/>
              </w:rPr>
            </w:pPr>
            <w:r w:rsidRPr="007D4C5F">
              <w:rPr>
                <w:rFonts w:ascii="Garamond" w:hAnsi="Garamond"/>
                <w:b/>
                <w:bCs/>
              </w:rPr>
              <w:t>Критерии</w:t>
            </w:r>
          </w:p>
        </w:tc>
        <w:tc>
          <w:tcPr>
            <w:tcW w:w="779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83ABE0B" w14:textId="77777777" w:rsidR="004B3B82" w:rsidRPr="007D4C5F" w:rsidRDefault="004B3B82" w:rsidP="00CD3B05">
            <w:pPr>
              <w:pStyle w:val="ac"/>
              <w:tabs>
                <w:tab w:val="left" w:pos="317"/>
              </w:tabs>
              <w:ind w:left="0"/>
              <w:jc w:val="both"/>
              <w:rPr>
                <w:rFonts w:ascii="Garamond" w:hAnsi="Garamond"/>
              </w:rPr>
            </w:pPr>
            <w:r w:rsidRPr="007D4C5F">
              <w:rPr>
                <w:rFonts w:ascii="Garamond" w:hAnsi="Garamond"/>
              </w:rPr>
              <w:t xml:space="preserve">При попытке установить связь </w:t>
            </w:r>
            <w:r w:rsidRPr="00F56BC1">
              <w:rPr>
                <w:rFonts w:ascii="Garamond" w:hAnsi="Garamond"/>
                <w:highlight w:val="yellow"/>
              </w:rPr>
              <w:t>со счетчиками</w:t>
            </w:r>
            <w:r w:rsidRPr="007D4C5F">
              <w:rPr>
                <w:rFonts w:ascii="Garamond" w:hAnsi="Garamond"/>
              </w:rPr>
              <w:t xml:space="preserve"> с заведомо ложными паролями с целью параметрирования и считывания данных – отказано в доступе.</w:t>
            </w:r>
          </w:p>
        </w:tc>
      </w:tr>
      <w:tr w:rsidR="004B3B82" w:rsidRPr="007D4C5F" w14:paraId="2F51A581" w14:textId="77777777" w:rsidTr="00CD3B05">
        <w:trPr>
          <w:trHeight w:val="583"/>
          <w:jc w:val="right"/>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688FB49" w14:textId="77777777" w:rsidR="004B3B82" w:rsidRPr="007D4C5F" w:rsidRDefault="004B3B82" w:rsidP="00CD3B05">
            <w:pPr>
              <w:rPr>
                <w:rFonts w:ascii="Garamond" w:hAnsi="Garamond"/>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01CF3D0" w14:textId="77777777" w:rsidR="004B3B82" w:rsidRPr="007D4C5F" w:rsidRDefault="004B3B82" w:rsidP="00CD3B05">
            <w:pPr>
              <w:jc w:val="center"/>
              <w:rPr>
                <w:rFonts w:ascii="Garamond" w:hAnsi="Garamond"/>
              </w:rPr>
            </w:pPr>
            <w:r w:rsidRPr="007D4C5F">
              <w:rPr>
                <w:rFonts w:ascii="Garamond" w:hAnsi="Garamond"/>
                <w:b/>
                <w:bCs/>
              </w:rPr>
              <w:t>Испытатели</w:t>
            </w:r>
          </w:p>
        </w:tc>
        <w:tc>
          <w:tcPr>
            <w:tcW w:w="779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1C259AA" w14:textId="77777777" w:rsidR="004B3B82" w:rsidRPr="007D4C5F" w:rsidRDefault="004B3B82" w:rsidP="00CD3B05">
            <w:pPr>
              <w:pStyle w:val="ac"/>
              <w:numPr>
                <w:ilvl w:val="0"/>
                <w:numId w:val="17"/>
              </w:numPr>
              <w:pBdr>
                <w:top w:val="nil"/>
                <w:left w:val="nil"/>
                <w:bottom w:val="nil"/>
                <w:right w:val="nil"/>
                <w:between w:val="nil"/>
                <w:bar w:val="nil"/>
              </w:pBdr>
              <w:tabs>
                <w:tab w:val="clear" w:pos="317"/>
                <w:tab w:val="num" w:pos="380"/>
                <w:tab w:val="left" w:pos="1440"/>
              </w:tabs>
              <w:ind w:left="380" w:hanging="380"/>
              <w:jc w:val="both"/>
              <w:rPr>
                <w:rFonts w:ascii="Garamond" w:eastAsia="Garamond" w:hAnsi="Garamond" w:cs="Garamond"/>
              </w:rPr>
            </w:pPr>
            <w:r w:rsidRPr="007D4C5F">
              <w:rPr>
                <w:rFonts w:ascii="Garamond" w:hAnsi="Garamond"/>
              </w:rPr>
              <w:t>Представители КО.</w:t>
            </w:r>
          </w:p>
          <w:p w14:paraId="07F6A634" w14:textId="77777777" w:rsidR="004B3B82" w:rsidRPr="007D4C5F" w:rsidRDefault="004B3B82" w:rsidP="00CD3B05">
            <w:pPr>
              <w:pStyle w:val="ac"/>
              <w:numPr>
                <w:ilvl w:val="0"/>
                <w:numId w:val="17"/>
              </w:numPr>
              <w:pBdr>
                <w:top w:val="nil"/>
                <w:left w:val="nil"/>
                <w:bottom w:val="nil"/>
                <w:right w:val="nil"/>
                <w:between w:val="nil"/>
                <w:bar w:val="nil"/>
              </w:pBdr>
              <w:tabs>
                <w:tab w:val="clear" w:pos="317"/>
                <w:tab w:val="num" w:pos="380"/>
                <w:tab w:val="left" w:pos="1440"/>
              </w:tabs>
              <w:ind w:left="380" w:hanging="380"/>
              <w:jc w:val="both"/>
              <w:rPr>
                <w:rFonts w:ascii="Garamond" w:eastAsia="Garamond" w:hAnsi="Garamond" w:cs="Garamond"/>
              </w:rPr>
            </w:pPr>
            <w:r w:rsidRPr="007D4C5F">
              <w:rPr>
                <w:rFonts w:ascii="Garamond" w:hAnsi="Garamond"/>
              </w:rPr>
              <w:t>Представители заявителя</w:t>
            </w:r>
            <w:r w:rsidRPr="007D4C5F">
              <w:rPr>
                <w:rFonts w:ascii="Garamond" w:eastAsia="Garamond" w:hAnsi="Garamond" w:cs="Garamond"/>
              </w:rPr>
              <w:t>.</w:t>
            </w:r>
          </w:p>
          <w:p w14:paraId="1C52CB65" w14:textId="77777777" w:rsidR="004B3B82" w:rsidRPr="007D4C5F" w:rsidRDefault="004B3B82" w:rsidP="00CD3B05">
            <w:pPr>
              <w:pStyle w:val="ac"/>
              <w:numPr>
                <w:ilvl w:val="0"/>
                <w:numId w:val="17"/>
              </w:numPr>
              <w:pBdr>
                <w:top w:val="nil"/>
                <w:left w:val="nil"/>
                <w:bottom w:val="nil"/>
                <w:right w:val="nil"/>
                <w:between w:val="nil"/>
                <w:bar w:val="nil"/>
              </w:pBdr>
              <w:tabs>
                <w:tab w:val="clear" w:pos="317"/>
                <w:tab w:val="num" w:pos="380"/>
                <w:tab w:val="left" w:pos="1440"/>
              </w:tabs>
              <w:ind w:left="380" w:hanging="380"/>
              <w:jc w:val="both"/>
              <w:rPr>
                <w:rFonts w:ascii="Garamond" w:eastAsia="Garamond" w:hAnsi="Garamond" w:cs="Garamond"/>
              </w:rPr>
            </w:pPr>
            <w:r w:rsidRPr="007D4C5F">
              <w:rPr>
                <w:rFonts w:ascii="Garamond" w:hAnsi="Garamond"/>
              </w:rPr>
              <w:t>Представители смежного субъекта (при участии в испытаниях).</w:t>
            </w:r>
          </w:p>
        </w:tc>
      </w:tr>
      <w:tr w:rsidR="004B3B82" w:rsidRPr="007D4C5F" w14:paraId="7CCACA3E" w14:textId="77777777" w:rsidTr="00CD3B05">
        <w:tblPrEx>
          <w:shd w:val="clear" w:color="auto" w:fill="auto"/>
        </w:tblPrEx>
        <w:trPr>
          <w:trHeight w:val="250"/>
          <w:jc w:val="right"/>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A470819" w14:textId="77777777" w:rsidR="004B3B82" w:rsidRPr="007D4C5F" w:rsidRDefault="004B3B82" w:rsidP="00CD3B05">
            <w:pPr>
              <w:rPr>
                <w:rFonts w:ascii="Garamond" w:hAnsi="Garamond"/>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20E96CD" w14:textId="77777777" w:rsidR="004B3B82" w:rsidRPr="007D4C5F" w:rsidRDefault="004B3B82" w:rsidP="00CD3B05">
            <w:pPr>
              <w:jc w:val="center"/>
              <w:rPr>
                <w:rFonts w:ascii="Garamond" w:hAnsi="Garamond"/>
              </w:rPr>
            </w:pPr>
            <w:r w:rsidRPr="007D4C5F">
              <w:rPr>
                <w:rFonts w:ascii="Garamond" w:hAnsi="Garamond"/>
                <w:b/>
                <w:bCs/>
              </w:rPr>
              <w:t>Документация</w:t>
            </w:r>
          </w:p>
        </w:tc>
        <w:tc>
          <w:tcPr>
            <w:tcW w:w="779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BC09A5" w14:textId="77777777" w:rsidR="004B3B82" w:rsidRPr="007D4C5F" w:rsidRDefault="004B3B82" w:rsidP="00CD3B05">
            <w:pPr>
              <w:rPr>
                <w:rFonts w:ascii="Garamond" w:hAnsi="Garamond"/>
              </w:rPr>
            </w:pPr>
            <w:r w:rsidRPr="00F56BC1">
              <w:rPr>
                <w:rFonts w:ascii="Garamond" w:hAnsi="Garamond"/>
                <w:highlight w:val="yellow"/>
              </w:rPr>
              <w:t>Д</w:t>
            </w:r>
            <w:r w:rsidRPr="00072687">
              <w:rPr>
                <w:rFonts w:ascii="Garamond" w:hAnsi="Garamond"/>
              </w:rPr>
              <w:t>окументация в соответствии с таблицей 2 приложения 1 к настоящему Порядку, представленная для установления соответствия АИИС КУЭ</w:t>
            </w:r>
          </w:p>
        </w:tc>
      </w:tr>
      <w:tr w:rsidR="004B3B82" w:rsidRPr="007D4C5F" w14:paraId="1ECAD250" w14:textId="77777777" w:rsidTr="00CD3B05">
        <w:tblPrEx>
          <w:shd w:val="clear" w:color="auto" w:fill="auto"/>
        </w:tblPrEx>
        <w:trPr>
          <w:trHeight w:val="490"/>
          <w:jc w:val="right"/>
        </w:trPr>
        <w:tc>
          <w:tcPr>
            <w:tcW w:w="567" w:type="dxa"/>
            <w:tcBorders>
              <w:top w:val="single" w:sz="4" w:space="0" w:color="000000"/>
              <w:left w:val="single" w:sz="4" w:space="0" w:color="000000"/>
              <w:bottom w:val="single" w:sz="4" w:space="0" w:color="000000"/>
              <w:right w:val="single" w:sz="4" w:space="0" w:color="000000"/>
            </w:tcBorders>
            <w:shd w:val="clear" w:color="auto" w:fill="BFBFBF"/>
            <w:tcMar>
              <w:top w:w="80" w:type="dxa"/>
              <w:left w:w="80" w:type="dxa"/>
              <w:bottom w:w="80" w:type="dxa"/>
              <w:right w:w="80" w:type="dxa"/>
            </w:tcMar>
            <w:vAlign w:val="center"/>
          </w:tcPr>
          <w:p w14:paraId="0ABD9B6C" w14:textId="77777777" w:rsidR="004B3B82" w:rsidRPr="007D4C5F" w:rsidRDefault="004B3B82" w:rsidP="00CD3B05">
            <w:pPr>
              <w:jc w:val="center"/>
              <w:rPr>
                <w:rFonts w:ascii="Garamond" w:hAnsi="Garamond"/>
              </w:rPr>
            </w:pPr>
            <w:r w:rsidRPr="007D4C5F">
              <w:rPr>
                <w:rFonts w:ascii="Garamond" w:hAnsi="Garamond"/>
              </w:rPr>
              <w:t>2</w:t>
            </w:r>
          </w:p>
        </w:tc>
        <w:tc>
          <w:tcPr>
            <w:tcW w:w="1560" w:type="dxa"/>
            <w:tcBorders>
              <w:top w:val="single" w:sz="4" w:space="0" w:color="000000"/>
              <w:left w:val="single" w:sz="4" w:space="0" w:color="000000"/>
              <w:bottom w:val="single" w:sz="4" w:space="0" w:color="000000"/>
              <w:right w:val="single" w:sz="4" w:space="0" w:color="000000"/>
            </w:tcBorders>
            <w:shd w:val="clear" w:color="auto" w:fill="BFBFBF"/>
            <w:tcMar>
              <w:top w:w="80" w:type="dxa"/>
              <w:left w:w="80" w:type="dxa"/>
              <w:bottom w:w="80" w:type="dxa"/>
              <w:right w:w="80" w:type="dxa"/>
            </w:tcMar>
            <w:vAlign w:val="center"/>
          </w:tcPr>
          <w:p w14:paraId="27002B1E" w14:textId="77777777" w:rsidR="004B3B82" w:rsidRPr="007D4C5F" w:rsidRDefault="004B3B82" w:rsidP="00CD3B05">
            <w:pPr>
              <w:jc w:val="center"/>
              <w:rPr>
                <w:rFonts w:ascii="Garamond" w:hAnsi="Garamond"/>
                <w:b/>
                <w:bCs/>
                <w:vertAlign w:val="subscript"/>
              </w:rPr>
            </w:pPr>
            <w:r w:rsidRPr="007D4C5F">
              <w:rPr>
                <w:rFonts w:ascii="Garamond" w:hAnsi="Garamond"/>
                <w:b/>
                <w:bCs/>
              </w:rPr>
              <w:t>П</w:t>
            </w:r>
            <w:r w:rsidRPr="007D4C5F">
              <w:rPr>
                <w:rFonts w:ascii="Garamond" w:hAnsi="Garamond"/>
                <w:b/>
                <w:bCs/>
                <w:vertAlign w:val="subscript"/>
              </w:rPr>
              <w:t>З14</w:t>
            </w:r>
          </w:p>
          <w:p w14:paraId="4C82F02B" w14:textId="77777777" w:rsidR="004B3B82" w:rsidRPr="007D4C5F" w:rsidRDefault="004B3B82" w:rsidP="00CD3B05">
            <w:pPr>
              <w:jc w:val="center"/>
              <w:rPr>
                <w:rFonts w:ascii="Garamond" w:hAnsi="Garamond"/>
              </w:rPr>
            </w:pPr>
            <w:r w:rsidRPr="007D4C5F">
              <w:rPr>
                <w:rFonts w:ascii="Garamond" w:hAnsi="Garamond"/>
                <w:bCs/>
              </w:rPr>
              <w:t>(п. 4.</w:t>
            </w:r>
            <w:r w:rsidRPr="00F56BC1">
              <w:rPr>
                <w:rFonts w:ascii="Garamond" w:hAnsi="Garamond"/>
                <w:bCs/>
                <w:highlight w:val="yellow"/>
              </w:rPr>
              <w:t>6</w:t>
            </w:r>
            <w:r w:rsidRPr="007D4C5F">
              <w:rPr>
                <w:rFonts w:ascii="Garamond" w:hAnsi="Garamond"/>
                <w:bCs/>
              </w:rPr>
              <w:t>)</w:t>
            </w:r>
          </w:p>
        </w:tc>
        <w:tc>
          <w:tcPr>
            <w:tcW w:w="7797" w:type="dxa"/>
            <w:tcBorders>
              <w:top w:val="single" w:sz="4" w:space="0" w:color="000000"/>
              <w:left w:val="single" w:sz="4" w:space="0" w:color="000000"/>
              <w:bottom w:val="single" w:sz="4" w:space="0" w:color="000000"/>
              <w:right w:val="single" w:sz="4" w:space="0" w:color="000000"/>
            </w:tcBorders>
            <w:shd w:val="clear" w:color="auto" w:fill="BFBFBF"/>
            <w:tcMar>
              <w:top w:w="80" w:type="dxa"/>
              <w:left w:w="80" w:type="dxa"/>
              <w:bottom w:w="80" w:type="dxa"/>
              <w:right w:w="80" w:type="dxa"/>
            </w:tcMar>
          </w:tcPr>
          <w:p w14:paraId="56448C65" w14:textId="77777777" w:rsidR="004B3B82" w:rsidRPr="007D4C5F" w:rsidRDefault="004B3B82" w:rsidP="00CD3B05">
            <w:pPr>
              <w:rPr>
                <w:rFonts w:ascii="Garamond" w:hAnsi="Garamond"/>
              </w:rPr>
            </w:pPr>
            <w:r w:rsidRPr="007D4C5F">
              <w:rPr>
                <w:rFonts w:ascii="Garamond" w:hAnsi="Garamond"/>
                <w:b/>
                <w:bCs/>
              </w:rPr>
              <w:t>Защита информации на программном уровне при параметрировании – установка пароля на УСПД</w:t>
            </w:r>
          </w:p>
        </w:tc>
      </w:tr>
      <w:tr w:rsidR="004B3B82" w:rsidRPr="007D4C5F" w14:paraId="4FE7FA1A" w14:textId="77777777" w:rsidTr="00CD3B05">
        <w:tblPrEx>
          <w:shd w:val="clear" w:color="auto" w:fill="auto"/>
        </w:tblPrEx>
        <w:trPr>
          <w:trHeight w:val="250"/>
          <w:jc w:val="right"/>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5F315CF" w14:textId="77777777" w:rsidR="004B3B82" w:rsidRPr="007D4C5F" w:rsidRDefault="004B3B82" w:rsidP="00CD3B05">
            <w:pPr>
              <w:rPr>
                <w:rFonts w:ascii="Garamond" w:hAnsi="Garamond"/>
              </w:rPr>
            </w:pPr>
            <w:r>
              <w:rPr>
                <w:rFonts w:ascii="Garamond" w:hAnsi="Garamond"/>
              </w:rPr>
              <w:t>…</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998A2BB" w14:textId="77777777" w:rsidR="004B3B82" w:rsidRPr="007D4C5F" w:rsidRDefault="004B3B82" w:rsidP="00CD3B05">
            <w:pPr>
              <w:jc w:val="center"/>
              <w:rPr>
                <w:rFonts w:ascii="Garamond" w:hAnsi="Garamond"/>
              </w:rPr>
            </w:pPr>
            <w:r>
              <w:rPr>
                <w:rFonts w:ascii="Garamond" w:hAnsi="Garamond"/>
              </w:rPr>
              <w:t>…</w:t>
            </w:r>
          </w:p>
        </w:tc>
        <w:tc>
          <w:tcPr>
            <w:tcW w:w="779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FA7B56E" w14:textId="77777777" w:rsidR="004B3B82" w:rsidRPr="007D4C5F" w:rsidRDefault="004B3B82" w:rsidP="00CD3B05">
            <w:pPr>
              <w:rPr>
                <w:rFonts w:ascii="Garamond" w:hAnsi="Garamond"/>
              </w:rPr>
            </w:pPr>
            <w:r>
              <w:rPr>
                <w:rFonts w:ascii="Garamond" w:hAnsi="Garamond"/>
              </w:rPr>
              <w:t>…</w:t>
            </w:r>
          </w:p>
        </w:tc>
      </w:tr>
      <w:tr w:rsidR="004B3B82" w:rsidRPr="007D4C5F" w14:paraId="0352637F" w14:textId="77777777" w:rsidTr="00CD3B05">
        <w:tblPrEx>
          <w:shd w:val="clear" w:color="auto" w:fill="auto"/>
        </w:tblPrEx>
        <w:trPr>
          <w:trHeight w:val="490"/>
          <w:jc w:val="right"/>
        </w:trPr>
        <w:tc>
          <w:tcPr>
            <w:tcW w:w="567" w:type="dxa"/>
            <w:tcBorders>
              <w:top w:val="single" w:sz="4" w:space="0" w:color="000000"/>
              <w:left w:val="single" w:sz="4" w:space="0" w:color="000000"/>
              <w:bottom w:val="single" w:sz="4" w:space="0" w:color="000000"/>
              <w:right w:val="single" w:sz="4" w:space="0" w:color="000000"/>
            </w:tcBorders>
            <w:shd w:val="clear" w:color="auto" w:fill="BFBFBF"/>
            <w:tcMar>
              <w:top w:w="80" w:type="dxa"/>
              <w:left w:w="80" w:type="dxa"/>
              <w:bottom w:w="80" w:type="dxa"/>
              <w:right w:w="80" w:type="dxa"/>
            </w:tcMar>
            <w:vAlign w:val="center"/>
          </w:tcPr>
          <w:p w14:paraId="117299AE" w14:textId="77777777" w:rsidR="004B3B82" w:rsidRPr="007D4C5F" w:rsidRDefault="004B3B82" w:rsidP="00CD3B05">
            <w:pPr>
              <w:jc w:val="center"/>
              <w:rPr>
                <w:rFonts w:ascii="Garamond" w:hAnsi="Garamond"/>
              </w:rPr>
            </w:pPr>
            <w:r w:rsidRPr="007D4C5F">
              <w:rPr>
                <w:rFonts w:ascii="Garamond" w:hAnsi="Garamond"/>
              </w:rPr>
              <w:t>3</w:t>
            </w:r>
          </w:p>
        </w:tc>
        <w:tc>
          <w:tcPr>
            <w:tcW w:w="1560" w:type="dxa"/>
            <w:tcBorders>
              <w:top w:val="single" w:sz="4" w:space="0" w:color="000000"/>
              <w:left w:val="single" w:sz="4" w:space="0" w:color="000000"/>
              <w:bottom w:val="single" w:sz="4" w:space="0" w:color="000000"/>
              <w:right w:val="single" w:sz="4" w:space="0" w:color="000000"/>
            </w:tcBorders>
            <w:shd w:val="clear" w:color="auto" w:fill="BFBFBF"/>
            <w:tcMar>
              <w:top w:w="80" w:type="dxa"/>
              <w:left w:w="80" w:type="dxa"/>
              <w:bottom w:w="80" w:type="dxa"/>
              <w:right w:w="80" w:type="dxa"/>
            </w:tcMar>
            <w:vAlign w:val="center"/>
          </w:tcPr>
          <w:p w14:paraId="747E60B4" w14:textId="77777777" w:rsidR="004B3B82" w:rsidRPr="007D4C5F" w:rsidRDefault="004B3B82" w:rsidP="00CD3B05">
            <w:pPr>
              <w:jc w:val="center"/>
              <w:rPr>
                <w:rFonts w:ascii="Garamond" w:hAnsi="Garamond"/>
                <w:b/>
                <w:bCs/>
                <w:vertAlign w:val="subscript"/>
              </w:rPr>
            </w:pPr>
            <w:r w:rsidRPr="007D4C5F">
              <w:rPr>
                <w:rFonts w:ascii="Garamond" w:hAnsi="Garamond"/>
                <w:b/>
                <w:bCs/>
              </w:rPr>
              <w:t>П</w:t>
            </w:r>
            <w:r w:rsidRPr="007D4C5F">
              <w:rPr>
                <w:rFonts w:ascii="Garamond" w:hAnsi="Garamond"/>
                <w:b/>
                <w:bCs/>
                <w:vertAlign w:val="subscript"/>
              </w:rPr>
              <w:t>З15</w:t>
            </w:r>
          </w:p>
          <w:p w14:paraId="2F50D7F2" w14:textId="77777777" w:rsidR="004B3B82" w:rsidRPr="007D4C5F" w:rsidRDefault="004B3B82" w:rsidP="00CD3B05">
            <w:pPr>
              <w:jc w:val="center"/>
              <w:rPr>
                <w:rFonts w:ascii="Garamond" w:hAnsi="Garamond"/>
              </w:rPr>
            </w:pPr>
            <w:r w:rsidRPr="007D4C5F">
              <w:rPr>
                <w:rFonts w:ascii="Garamond" w:hAnsi="Garamond"/>
                <w:bCs/>
              </w:rPr>
              <w:t>(п. 5.1.</w:t>
            </w:r>
            <w:r w:rsidRPr="00F56BC1">
              <w:rPr>
                <w:rFonts w:ascii="Garamond" w:hAnsi="Garamond"/>
                <w:bCs/>
                <w:highlight w:val="yellow"/>
              </w:rPr>
              <w:t>11</w:t>
            </w:r>
            <w:r w:rsidRPr="007D4C5F">
              <w:rPr>
                <w:rFonts w:ascii="Garamond" w:hAnsi="Garamond"/>
                <w:bCs/>
              </w:rPr>
              <w:t>)</w:t>
            </w:r>
          </w:p>
        </w:tc>
        <w:tc>
          <w:tcPr>
            <w:tcW w:w="7797" w:type="dxa"/>
            <w:tcBorders>
              <w:top w:val="single" w:sz="4" w:space="0" w:color="000000"/>
              <w:left w:val="single" w:sz="4" w:space="0" w:color="000000"/>
              <w:bottom w:val="single" w:sz="4" w:space="0" w:color="000000"/>
              <w:right w:val="single" w:sz="4" w:space="0" w:color="000000"/>
            </w:tcBorders>
            <w:shd w:val="clear" w:color="auto" w:fill="BFBFBF"/>
            <w:tcMar>
              <w:top w:w="80" w:type="dxa"/>
              <w:left w:w="80" w:type="dxa"/>
              <w:bottom w:w="80" w:type="dxa"/>
              <w:right w:w="80" w:type="dxa"/>
            </w:tcMar>
          </w:tcPr>
          <w:p w14:paraId="4B7930CF" w14:textId="77777777" w:rsidR="004B3B82" w:rsidRPr="007D4C5F" w:rsidRDefault="004B3B82" w:rsidP="00CD3B05">
            <w:pPr>
              <w:rPr>
                <w:rFonts w:ascii="Garamond" w:hAnsi="Garamond"/>
              </w:rPr>
            </w:pPr>
            <w:r w:rsidRPr="007D4C5F">
              <w:rPr>
                <w:rFonts w:ascii="Garamond" w:hAnsi="Garamond"/>
                <w:b/>
                <w:bCs/>
              </w:rPr>
              <w:t>Защита информации на программном уровне при параметрировании – установка пароля на сервер</w:t>
            </w:r>
          </w:p>
        </w:tc>
      </w:tr>
      <w:tr w:rsidR="004B3B82" w:rsidRPr="007D4C5F" w14:paraId="5F8BA408" w14:textId="77777777" w:rsidTr="00CD3B05">
        <w:tblPrEx>
          <w:shd w:val="clear" w:color="auto" w:fill="auto"/>
        </w:tblPrEx>
        <w:trPr>
          <w:trHeight w:val="250"/>
          <w:jc w:val="right"/>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ABFC101" w14:textId="77777777" w:rsidR="004B3B82" w:rsidRPr="007D4C5F" w:rsidRDefault="004B3B82" w:rsidP="00CD3B05">
            <w:pPr>
              <w:rPr>
                <w:rFonts w:ascii="Garamond" w:hAnsi="Garamond"/>
              </w:rPr>
            </w:pPr>
            <w:r>
              <w:rPr>
                <w:rFonts w:ascii="Garamond" w:hAnsi="Garamond"/>
              </w:rPr>
              <w:t>…</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95BE9E0" w14:textId="77777777" w:rsidR="004B3B82" w:rsidRPr="007D4C5F" w:rsidRDefault="004B3B82" w:rsidP="00CD3B05">
            <w:pPr>
              <w:jc w:val="center"/>
              <w:rPr>
                <w:rFonts w:ascii="Garamond" w:hAnsi="Garamond"/>
              </w:rPr>
            </w:pPr>
            <w:r>
              <w:rPr>
                <w:rFonts w:ascii="Garamond" w:hAnsi="Garamond"/>
              </w:rPr>
              <w:t>…</w:t>
            </w:r>
          </w:p>
        </w:tc>
        <w:tc>
          <w:tcPr>
            <w:tcW w:w="779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6283525" w14:textId="77777777" w:rsidR="004B3B82" w:rsidRPr="007D4C5F" w:rsidRDefault="004B3B82" w:rsidP="00CD3B05">
            <w:pPr>
              <w:rPr>
                <w:rFonts w:ascii="Garamond" w:hAnsi="Garamond"/>
              </w:rPr>
            </w:pPr>
            <w:r>
              <w:rPr>
                <w:rFonts w:ascii="Garamond" w:hAnsi="Garamond"/>
              </w:rPr>
              <w:t>…</w:t>
            </w:r>
          </w:p>
        </w:tc>
      </w:tr>
      <w:tr w:rsidR="004B3B82" w:rsidRPr="007D4C5F" w14:paraId="3764CA8F" w14:textId="77777777" w:rsidTr="00CD3B05">
        <w:tblPrEx>
          <w:shd w:val="clear" w:color="auto" w:fill="auto"/>
        </w:tblPrEx>
        <w:trPr>
          <w:trHeight w:val="250"/>
          <w:jc w:val="right"/>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B20ADB6" w14:textId="77777777" w:rsidR="004B3B82" w:rsidRPr="007D4C5F" w:rsidRDefault="004B3B82" w:rsidP="00CD3B05">
            <w:pPr>
              <w:rPr>
                <w:rFonts w:ascii="Garamond" w:hAnsi="Garamond"/>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FB4DAAE" w14:textId="77777777" w:rsidR="004B3B82" w:rsidRPr="007D4C5F" w:rsidRDefault="004B3B82" w:rsidP="00CD3B05">
            <w:pPr>
              <w:rPr>
                <w:rFonts w:ascii="Garamond" w:hAnsi="Garamond"/>
              </w:rPr>
            </w:pPr>
          </w:p>
        </w:tc>
        <w:tc>
          <w:tcPr>
            <w:tcW w:w="779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83654EC" w14:textId="77777777" w:rsidR="004B3B82" w:rsidRPr="007D4C5F" w:rsidRDefault="004B3B82" w:rsidP="00CD3B05">
            <w:pPr>
              <w:rPr>
                <w:rFonts w:ascii="Garamond" w:hAnsi="Garamond"/>
              </w:rPr>
            </w:pPr>
            <w:r w:rsidRPr="007D4C5F">
              <w:rPr>
                <w:rFonts w:ascii="Garamond" w:hAnsi="Garamond"/>
                <w:b/>
                <w:bCs/>
              </w:rPr>
              <w:t>2. ФУНКЦИОНАЛЬНАЯ ПОЛНОТА</w:t>
            </w:r>
          </w:p>
        </w:tc>
      </w:tr>
      <w:tr w:rsidR="004B3B82" w:rsidRPr="007D4C5F" w14:paraId="002BD563" w14:textId="77777777" w:rsidTr="00CD3B05">
        <w:tblPrEx>
          <w:shd w:val="clear" w:color="auto" w:fill="auto"/>
        </w:tblPrEx>
        <w:trPr>
          <w:trHeight w:val="250"/>
          <w:jc w:val="right"/>
        </w:trPr>
        <w:tc>
          <w:tcPr>
            <w:tcW w:w="567" w:type="dxa"/>
            <w:tcBorders>
              <w:top w:val="single" w:sz="4" w:space="0" w:color="000000"/>
              <w:left w:val="single" w:sz="4" w:space="0" w:color="000000"/>
              <w:bottom w:val="single" w:sz="4" w:space="0" w:color="000000"/>
              <w:right w:val="single" w:sz="4" w:space="0" w:color="000000"/>
            </w:tcBorders>
            <w:shd w:val="clear" w:color="auto" w:fill="BFBFBF"/>
            <w:tcMar>
              <w:top w:w="80" w:type="dxa"/>
              <w:left w:w="80" w:type="dxa"/>
              <w:bottom w:w="80" w:type="dxa"/>
              <w:right w:w="80" w:type="dxa"/>
            </w:tcMar>
            <w:vAlign w:val="center"/>
          </w:tcPr>
          <w:p w14:paraId="30BBAE36" w14:textId="77777777" w:rsidR="004B3B82" w:rsidRPr="007D4C5F" w:rsidRDefault="004B3B82" w:rsidP="00CD3B05">
            <w:pPr>
              <w:jc w:val="center"/>
              <w:rPr>
                <w:rFonts w:ascii="Garamond" w:hAnsi="Garamond"/>
              </w:rPr>
            </w:pPr>
            <w:r w:rsidRPr="007D4C5F">
              <w:rPr>
                <w:rFonts w:ascii="Garamond" w:hAnsi="Garamond"/>
              </w:rPr>
              <w:t>4</w:t>
            </w:r>
          </w:p>
        </w:tc>
        <w:tc>
          <w:tcPr>
            <w:tcW w:w="1560" w:type="dxa"/>
            <w:tcBorders>
              <w:top w:val="single" w:sz="4" w:space="0" w:color="000000"/>
              <w:left w:val="single" w:sz="4" w:space="0" w:color="000000"/>
              <w:bottom w:val="single" w:sz="4" w:space="0" w:color="000000"/>
              <w:right w:val="single" w:sz="4" w:space="0" w:color="000000"/>
            </w:tcBorders>
            <w:shd w:val="clear" w:color="auto" w:fill="BFBFBF"/>
            <w:tcMar>
              <w:top w:w="80" w:type="dxa"/>
              <w:left w:w="80" w:type="dxa"/>
              <w:bottom w:w="80" w:type="dxa"/>
              <w:right w:w="80" w:type="dxa"/>
            </w:tcMar>
            <w:vAlign w:val="center"/>
          </w:tcPr>
          <w:p w14:paraId="2B17146D" w14:textId="77777777" w:rsidR="004B3B82" w:rsidRPr="007D4C5F" w:rsidRDefault="004B3B82" w:rsidP="00CD3B05">
            <w:pPr>
              <w:jc w:val="center"/>
              <w:rPr>
                <w:rFonts w:ascii="Garamond" w:hAnsi="Garamond"/>
                <w:b/>
                <w:bCs/>
                <w:vertAlign w:val="subscript"/>
              </w:rPr>
            </w:pPr>
            <w:r w:rsidRPr="007D4C5F">
              <w:rPr>
                <w:rFonts w:ascii="Garamond" w:hAnsi="Garamond"/>
                <w:b/>
                <w:bCs/>
              </w:rPr>
              <w:t>П</w:t>
            </w:r>
            <w:r w:rsidRPr="007D4C5F">
              <w:rPr>
                <w:rFonts w:ascii="Garamond" w:hAnsi="Garamond"/>
                <w:b/>
                <w:bCs/>
                <w:vertAlign w:val="subscript"/>
              </w:rPr>
              <w:t>Ф10</w:t>
            </w:r>
          </w:p>
          <w:p w14:paraId="2F776607" w14:textId="77777777" w:rsidR="004B3B82" w:rsidRPr="007D4C5F" w:rsidRDefault="004B3B82" w:rsidP="00CD3B05">
            <w:pPr>
              <w:jc w:val="center"/>
              <w:rPr>
                <w:rFonts w:ascii="Garamond" w:hAnsi="Garamond"/>
              </w:rPr>
            </w:pPr>
            <w:r w:rsidRPr="007D4C5F">
              <w:rPr>
                <w:rFonts w:ascii="Garamond" w:hAnsi="Garamond"/>
                <w:bCs/>
              </w:rPr>
              <w:t>(пп. 3.4.4, 4.1.8, 4.3, 5.1.5)</w:t>
            </w:r>
          </w:p>
        </w:tc>
        <w:tc>
          <w:tcPr>
            <w:tcW w:w="7797" w:type="dxa"/>
            <w:tcBorders>
              <w:top w:val="single" w:sz="4" w:space="0" w:color="000000"/>
              <w:left w:val="single" w:sz="4" w:space="0" w:color="000000"/>
              <w:bottom w:val="single" w:sz="4" w:space="0" w:color="000000"/>
              <w:right w:val="single" w:sz="4" w:space="0" w:color="000000"/>
            </w:tcBorders>
            <w:shd w:val="clear" w:color="auto" w:fill="BFBFBF"/>
            <w:tcMar>
              <w:top w:w="80" w:type="dxa"/>
              <w:left w:w="80" w:type="dxa"/>
              <w:bottom w:w="80" w:type="dxa"/>
              <w:right w:w="80" w:type="dxa"/>
            </w:tcMar>
          </w:tcPr>
          <w:p w14:paraId="1291D883" w14:textId="77777777" w:rsidR="004B3B82" w:rsidRPr="007D4C5F" w:rsidRDefault="004B3B82" w:rsidP="00CD3B05">
            <w:pPr>
              <w:rPr>
                <w:rFonts w:ascii="Garamond" w:hAnsi="Garamond"/>
              </w:rPr>
            </w:pPr>
            <w:r w:rsidRPr="007D4C5F">
              <w:rPr>
                <w:rFonts w:ascii="Garamond" w:hAnsi="Garamond"/>
                <w:b/>
                <w:bCs/>
              </w:rPr>
              <w:t>Коррекция/синхронизация времени в ИИК, ИВКЭ и ИВК</w:t>
            </w:r>
          </w:p>
        </w:tc>
      </w:tr>
      <w:tr w:rsidR="004B3B82" w:rsidRPr="007D4C5F" w14:paraId="081DD9C9" w14:textId="77777777" w:rsidTr="00CD3B05">
        <w:tblPrEx>
          <w:shd w:val="clear" w:color="auto" w:fill="auto"/>
        </w:tblPrEx>
        <w:trPr>
          <w:trHeight w:val="250"/>
          <w:jc w:val="right"/>
        </w:trPr>
        <w:tc>
          <w:tcPr>
            <w:tcW w:w="567" w:type="dxa"/>
            <w:tcBorders>
              <w:top w:val="single" w:sz="4" w:space="0" w:color="000000"/>
              <w:left w:val="single" w:sz="4" w:space="0" w:color="000000"/>
              <w:bottom w:val="single" w:sz="4" w:space="0" w:color="000000"/>
              <w:right w:val="single" w:sz="4" w:space="0" w:color="000000"/>
            </w:tcBorders>
            <w:shd w:val="clear" w:color="auto" w:fill="92D050"/>
            <w:tcMar>
              <w:top w:w="80" w:type="dxa"/>
              <w:left w:w="80" w:type="dxa"/>
              <w:bottom w:w="80" w:type="dxa"/>
              <w:right w:w="80" w:type="dxa"/>
            </w:tcMar>
            <w:vAlign w:val="center"/>
          </w:tcPr>
          <w:p w14:paraId="2CA5E87E" w14:textId="77777777" w:rsidR="004B3B82" w:rsidRPr="007D4C5F" w:rsidRDefault="004B3B82" w:rsidP="00CD3B05">
            <w:pPr>
              <w:rPr>
                <w:rFonts w:ascii="Garamond" w:hAnsi="Garamond"/>
              </w:rPr>
            </w:pPr>
          </w:p>
        </w:tc>
        <w:tc>
          <w:tcPr>
            <w:tcW w:w="1560" w:type="dxa"/>
            <w:tcBorders>
              <w:top w:val="single" w:sz="4" w:space="0" w:color="000000"/>
              <w:left w:val="single" w:sz="4" w:space="0" w:color="000000"/>
              <w:bottom w:val="single" w:sz="4" w:space="0" w:color="000000"/>
              <w:right w:val="single" w:sz="4" w:space="0" w:color="000000"/>
            </w:tcBorders>
            <w:shd w:val="clear" w:color="auto" w:fill="92D050"/>
            <w:tcMar>
              <w:top w:w="80" w:type="dxa"/>
              <w:left w:w="80" w:type="dxa"/>
              <w:bottom w:w="80" w:type="dxa"/>
              <w:right w:w="80" w:type="dxa"/>
            </w:tcMar>
            <w:vAlign w:val="center"/>
          </w:tcPr>
          <w:p w14:paraId="73D50615" w14:textId="77777777" w:rsidR="004B3B82" w:rsidRPr="007D4C5F" w:rsidRDefault="004B3B82" w:rsidP="00CD3B05">
            <w:pPr>
              <w:jc w:val="center"/>
              <w:rPr>
                <w:rFonts w:ascii="Garamond" w:hAnsi="Garamond"/>
              </w:rPr>
            </w:pPr>
            <w:r w:rsidRPr="007D4C5F">
              <w:rPr>
                <w:rFonts w:ascii="Garamond" w:hAnsi="Garamond"/>
                <w:b/>
                <w:bCs/>
              </w:rPr>
              <w:t>Компоненты</w:t>
            </w:r>
          </w:p>
        </w:tc>
        <w:tc>
          <w:tcPr>
            <w:tcW w:w="7797" w:type="dxa"/>
            <w:tcBorders>
              <w:top w:val="single" w:sz="4" w:space="0" w:color="000000"/>
              <w:left w:val="single" w:sz="4" w:space="0" w:color="000000"/>
              <w:bottom w:val="single" w:sz="4" w:space="0" w:color="000000"/>
              <w:right w:val="single" w:sz="4" w:space="0" w:color="000000"/>
            </w:tcBorders>
            <w:shd w:val="clear" w:color="auto" w:fill="92D050"/>
            <w:tcMar>
              <w:top w:w="80" w:type="dxa"/>
              <w:left w:w="80" w:type="dxa"/>
              <w:bottom w:w="80" w:type="dxa"/>
              <w:right w:w="80" w:type="dxa"/>
            </w:tcMar>
          </w:tcPr>
          <w:p w14:paraId="4E5759D3" w14:textId="77777777" w:rsidR="004B3B82" w:rsidRPr="007D4C5F" w:rsidRDefault="004B3B82" w:rsidP="00CD3B05">
            <w:pPr>
              <w:rPr>
                <w:rFonts w:ascii="Garamond" w:hAnsi="Garamond"/>
              </w:rPr>
            </w:pPr>
            <w:r w:rsidRPr="007D4C5F">
              <w:rPr>
                <w:rFonts w:ascii="Garamond" w:hAnsi="Garamond"/>
              </w:rPr>
              <w:t xml:space="preserve">ИИК – </w:t>
            </w:r>
            <w:r w:rsidRPr="00F56BC1">
              <w:rPr>
                <w:rFonts w:ascii="Garamond" w:hAnsi="Garamond"/>
                <w:highlight w:val="yellow"/>
              </w:rPr>
              <w:t>счетчики</w:t>
            </w:r>
            <w:r w:rsidRPr="007D4C5F">
              <w:rPr>
                <w:rFonts w:ascii="Garamond" w:hAnsi="Garamond"/>
              </w:rPr>
              <w:t xml:space="preserve">, ИВКЭ – УСПД/сервер, ИВК – УСПД и (или) сервер </w:t>
            </w:r>
          </w:p>
        </w:tc>
      </w:tr>
      <w:tr w:rsidR="004B3B82" w:rsidRPr="007D4C5F" w14:paraId="44E2CA6B" w14:textId="77777777" w:rsidTr="00CD3B05">
        <w:trPr>
          <w:trHeight w:val="2214"/>
          <w:jc w:val="right"/>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C38973C" w14:textId="77777777" w:rsidR="004B3B82" w:rsidRPr="007D4C5F" w:rsidRDefault="004B3B82" w:rsidP="00CD3B05">
            <w:pPr>
              <w:rPr>
                <w:rFonts w:ascii="Garamond" w:hAnsi="Garamond"/>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20EC0E0" w14:textId="77777777" w:rsidR="004B3B82" w:rsidRPr="007D4C5F" w:rsidRDefault="004B3B82" w:rsidP="00CD3B05">
            <w:pPr>
              <w:jc w:val="center"/>
              <w:rPr>
                <w:rFonts w:ascii="Garamond" w:hAnsi="Garamond"/>
              </w:rPr>
            </w:pPr>
            <w:r w:rsidRPr="007D4C5F">
              <w:rPr>
                <w:rFonts w:ascii="Garamond" w:hAnsi="Garamond"/>
                <w:b/>
                <w:bCs/>
              </w:rPr>
              <w:t>Действия</w:t>
            </w:r>
          </w:p>
        </w:tc>
        <w:tc>
          <w:tcPr>
            <w:tcW w:w="779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B0A1064" w14:textId="77777777" w:rsidR="004B3B82" w:rsidRPr="00B44491" w:rsidRDefault="004B3B82" w:rsidP="00CD3B05">
            <w:pPr>
              <w:pStyle w:val="ac"/>
              <w:numPr>
                <w:ilvl w:val="0"/>
                <w:numId w:val="4"/>
              </w:numPr>
              <w:pBdr>
                <w:top w:val="nil"/>
                <w:left w:val="nil"/>
                <w:bottom w:val="nil"/>
                <w:right w:val="nil"/>
                <w:between w:val="nil"/>
                <w:bar w:val="nil"/>
              </w:pBdr>
              <w:tabs>
                <w:tab w:val="clear" w:pos="284"/>
                <w:tab w:val="num" w:pos="374"/>
                <w:tab w:val="left" w:pos="1440"/>
              </w:tabs>
              <w:ind w:left="341" w:hanging="308"/>
              <w:jc w:val="both"/>
              <w:rPr>
                <w:rFonts w:ascii="Garamond" w:eastAsia="Garamond" w:hAnsi="Garamond" w:cs="Garamond"/>
              </w:rPr>
            </w:pPr>
            <w:r w:rsidRPr="00B44491">
              <w:rPr>
                <w:rFonts w:ascii="Garamond" w:hAnsi="Garamond"/>
              </w:rPr>
              <w:t>С помощью стандартных средств операционной системы или специализированного ПО удаленного доступа и администрирования устанавливается интернет-соединение с удаленным рабочим столом сервера (АРМ) ИВК АИИС КУЭ.</w:t>
            </w:r>
          </w:p>
          <w:p w14:paraId="3C239CF4" w14:textId="77777777" w:rsidR="004B3B82" w:rsidRPr="00B44491" w:rsidRDefault="004B3B82" w:rsidP="00CD3B05">
            <w:pPr>
              <w:pStyle w:val="ac"/>
              <w:numPr>
                <w:ilvl w:val="0"/>
                <w:numId w:val="4"/>
              </w:numPr>
              <w:pBdr>
                <w:top w:val="nil"/>
                <w:left w:val="nil"/>
                <w:bottom w:val="nil"/>
                <w:right w:val="nil"/>
                <w:between w:val="nil"/>
                <w:bar w:val="nil"/>
              </w:pBdr>
              <w:tabs>
                <w:tab w:val="clear" w:pos="284"/>
                <w:tab w:val="num" w:pos="374"/>
                <w:tab w:val="left" w:pos="1440"/>
              </w:tabs>
              <w:ind w:left="341" w:hanging="308"/>
              <w:jc w:val="both"/>
              <w:rPr>
                <w:rFonts w:ascii="Garamond" w:eastAsia="Garamond" w:hAnsi="Garamond" w:cs="Garamond"/>
              </w:rPr>
            </w:pPr>
            <w:r w:rsidRPr="00B44491">
              <w:rPr>
                <w:rFonts w:ascii="Garamond" w:hAnsi="Garamond"/>
              </w:rPr>
              <w:t xml:space="preserve">Удаленно с сервера (АРМ) ИВК с помощью специализированного ПО производится контроль: </w:t>
            </w:r>
          </w:p>
          <w:p w14:paraId="3D490133" w14:textId="77777777" w:rsidR="004B3B82" w:rsidRPr="00B44491" w:rsidRDefault="004B3B82" w:rsidP="00CD3B05">
            <w:pPr>
              <w:pStyle w:val="ac"/>
              <w:ind w:left="341"/>
              <w:jc w:val="both"/>
              <w:rPr>
                <w:rFonts w:ascii="Garamond" w:eastAsia="Garamond" w:hAnsi="Garamond" w:cs="Garamond"/>
              </w:rPr>
            </w:pPr>
            <w:r w:rsidRPr="00B44491">
              <w:rPr>
                <w:rFonts w:ascii="Garamond" w:hAnsi="Garamond"/>
              </w:rPr>
              <w:t xml:space="preserve">1) параметров настроек коррекции (синхронизации) времени часов, работающих в составе СОЕВ, с автоматической коррекцией (синхронизацией) времени; </w:t>
            </w:r>
          </w:p>
          <w:p w14:paraId="34BFE316" w14:textId="77777777" w:rsidR="004B3B82" w:rsidRPr="00B44491" w:rsidRDefault="004B3B82" w:rsidP="00CD3B05">
            <w:pPr>
              <w:pStyle w:val="ac"/>
              <w:ind w:left="400"/>
              <w:jc w:val="both"/>
              <w:rPr>
                <w:rFonts w:ascii="Garamond" w:hAnsi="Garamond"/>
              </w:rPr>
            </w:pPr>
            <w:r w:rsidRPr="00B44491">
              <w:rPr>
                <w:rFonts w:ascii="Garamond" w:hAnsi="Garamond"/>
              </w:rPr>
              <w:t xml:space="preserve">2) записей в «журналах событий» </w:t>
            </w:r>
            <w:r w:rsidRPr="00F56BC1">
              <w:rPr>
                <w:rFonts w:ascii="Garamond" w:hAnsi="Garamond"/>
                <w:highlight w:val="yellow"/>
              </w:rPr>
              <w:t>счетчиков</w:t>
            </w:r>
            <w:r w:rsidRPr="00B44491">
              <w:rPr>
                <w:rFonts w:ascii="Garamond" w:hAnsi="Garamond"/>
              </w:rPr>
              <w:t>, УСПД и серверов ИВК о фактах коррекции времени с обязательной фиксацией времени до и после коррекции или величины коррекции времени, на которую было скорректировано устройство;</w:t>
            </w:r>
          </w:p>
          <w:p w14:paraId="40778980" w14:textId="77777777" w:rsidR="004B3B82" w:rsidRPr="00B44491" w:rsidRDefault="004B3B82" w:rsidP="00CD3B05">
            <w:pPr>
              <w:pStyle w:val="ac"/>
              <w:ind w:left="400"/>
              <w:jc w:val="both"/>
              <w:rPr>
                <w:rFonts w:ascii="Garamond" w:hAnsi="Garamond"/>
              </w:rPr>
            </w:pPr>
            <w:r w:rsidRPr="00B44491">
              <w:rPr>
                <w:rFonts w:ascii="Garamond" w:hAnsi="Garamond"/>
              </w:rPr>
              <w:t xml:space="preserve">3) разницы времени </w:t>
            </w:r>
            <w:r w:rsidRPr="00F56BC1">
              <w:rPr>
                <w:rFonts w:ascii="Garamond" w:hAnsi="Garamond"/>
                <w:highlight w:val="yellow"/>
              </w:rPr>
              <w:t>счетчиков</w:t>
            </w:r>
            <w:r w:rsidRPr="00B44491">
              <w:rPr>
                <w:rFonts w:ascii="Garamond" w:hAnsi="Garamond"/>
              </w:rPr>
              <w:t>, УСПД и серверов ИВК при сравнении с эталонным временем Российской Федерации с учетом часовых поясов (в случаях, предусмотренных п. 1.2.1 настоящего Порядка).</w:t>
            </w:r>
          </w:p>
        </w:tc>
      </w:tr>
      <w:tr w:rsidR="004B3B82" w:rsidRPr="007D4C5F" w14:paraId="5D1FE99B" w14:textId="77777777" w:rsidTr="00CD3B05">
        <w:tblPrEx>
          <w:shd w:val="clear" w:color="auto" w:fill="auto"/>
        </w:tblPrEx>
        <w:trPr>
          <w:trHeight w:val="490"/>
          <w:jc w:val="right"/>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B7C3952" w14:textId="77777777" w:rsidR="004B3B82" w:rsidRPr="007D4C5F" w:rsidRDefault="004B3B82" w:rsidP="00CD3B05">
            <w:pPr>
              <w:rPr>
                <w:rFonts w:ascii="Garamond" w:hAnsi="Garamond"/>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7AFDF72" w14:textId="77777777" w:rsidR="004B3B82" w:rsidRPr="007D4C5F" w:rsidRDefault="004B3B82" w:rsidP="00CD3B05">
            <w:pPr>
              <w:jc w:val="center"/>
              <w:rPr>
                <w:rFonts w:ascii="Garamond" w:hAnsi="Garamond"/>
              </w:rPr>
            </w:pPr>
            <w:r w:rsidRPr="007D4C5F">
              <w:rPr>
                <w:rFonts w:ascii="Garamond" w:hAnsi="Garamond"/>
                <w:b/>
                <w:bCs/>
              </w:rPr>
              <w:t>Критерии</w:t>
            </w:r>
          </w:p>
        </w:tc>
        <w:tc>
          <w:tcPr>
            <w:tcW w:w="779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11BFE65" w14:textId="77777777" w:rsidR="004B3B82" w:rsidRPr="007D4C5F" w:rsidRDefault="004B3B82" w:rsidP="00CD3B05">
            <w:pPr>
              <w:pStyle w:val="ac"/>
              <w:numPr>
                <w:ilvl w:val="3"/>
                <w:numId w:val="4"/>
              </w:numPr>
              <w:tabs>
                <w:tab w:val="clear" w:pos="2820"/>
                <w:tab w:val="left" w:pos="317"/>
              </w:tabs>
              <w:ind w:left="340" w:hanging="284"/>
              <w:jc w:val="both"/>
              <w:rPr>
                <w:rFonts w:ascii="Garamond" w:hAnsi="Garamond"/>
              </w:rPr>
            </w:pPr>
            <w:r w:rsidRPr="007D4C5F">
              <w:rPr>
                <w:rFonts w:ascii="Garamond" w:hAnsi="Garamond"/>
              </w:rPr>
              <w:t xml:space="preserve">Параметры настроек АИИС КУЭ обеспечивают точность хода часов, работающих в составе СОЕВ, с автоматической коррекцией (синхронизацией) не хуже </w:t>
            </w:r>
            <w:r w:rsidRPr="007D4C5F">
              <w:rPr>
                <w:rFonts w:ascii="Garamond" w:hAnsi="Garamond"/>
              </w:rPr>
              <w:sym w:font="Symbol" w:char="F0B1"/>
            </w:r>
            <w:r w:rsidRPr="007D4C5F">
              <w:rPr>
                <w:rFonts w:ascii="Garamond" w:hAnsi="Garamond"/>
              </w:rPr>
              <w:t>5,0 с/сут</w:t>
            </w:r>
            <w:r w:rsidRPr="00EB2E2B">
              <w:rPr>
                <w:rFonts w:ascii="Garamond" w:hAnsi="Garamond"/>
                <w:highlight w:val="yellow"/>
              </w:rPr>
              <w:t>)</w:t>
            </w:r>
            <w:r w:rsidRPr="007D4C5F">
              <w:rPr>
                <w:rFonts w:ascii="Garamond" w:hAnsi="Garamond"/>
              </w:rPr>
              <w:t>.</w:t>
            </w:r>
          </w:p>
          <w:p w14:paraId="19FB2469" w14:textId="77777777" w:rsidR="004B3B82" w:rsidRDefault="004B3B82" w:rsidP="00CD3B05">
            <w:pPr>
              <w:pStyle w:val="ac"/>
              <w:numPr>
                <w:ilvl w:val="3"/>
                <w:numId w:val="4"/>
              </w:numPr>
              <w:tabs>
                <w:tab w:val="left" w:pos="317"/>
              </w:tabs>
              <w:ind w:hanging="2764"/>
              <w:jc w:val="both"/>
              <w:rPr>
                <w:rFonts w:ascii="Garamond" w:hAnsi="Garamond"/>
              </w:rPr>
            </w:pPr>
            <w:r w:rsidRPr="007D4C5F">
              <w:rPr>
                <w:rFonts w:ascii="Garamond" w:hAnsi="Garamond"/>
              </w:rPr>
              <w:t>Наличие в «журналах событий» фактов коррекции времени не более ±5 с.</w:t>
            </w:r>
          </w:p>
          <w:p w14:paraId="52B0A111" w14:textId="77777777" w:rsidR="004B3B82" w:rsidRPr="007D4C5F" w:rsidRDefault="004B3B82" w:rsidP="00CD3B05">
            <w:pPr>
              <w:pStyle w:val="ac"/>
              <w:numPr>
                <w:ilvl w:val="3"/>
                <w:numId w:val="4"/>
              </w:numPr>
              <w:tabs>
                <w:tab w:val="clear" w:pos="2820"/>
                <w:tab w:val="left" w:pos="317"/>
              </w:tabs>
              <w:ind w:left="340" w:hanging="284"/>
              <w:jc w:val="both"/>
              <w:rPr>
                <w:rFonts w:ascii="Garamond" w:hAnsi="Garamond"/>
              </w:rPr>
            </w:pPr>
            <w:r w:rsidRPr="00B44491">
              <w:rPr>
                <w:rFonts w:ascii="Garamond" w:hAnsi="Garamond"/>
              </w:rPr>
              <w:t xml:space="preserve">Разница времени </w:t>
            </w:r>
            <w:r w:rsidRPr="00F56BC1">
              <w:rPr>
                <w:rFonts w:ascii="Garamond" w:hAnsi="Garamond"/>
                <w:highlight w:val="yellow"/>
              </w:rPr>
              <w:t>счетчиков</w:t>
            </w:r>
            <w:r w:rsidRPr="00B44491">
              <w:rPr>
                <w:rFonts w:ascii="Garamond" w:hAnsi="Garamond"/>
              </w:rPr>
              <w:t>, УСПД и серверов ИВК при сравнении с эталонным временем Российской Федерации с учетом часовых поясов составляет не более ±5 с (в случаях, предусмотренных п. 1.2.1 настоящего Порядка)</w:t>
            </w:r>
            <w:r>
              <w:rPr>
                <w:rFonts w:ascii="Garamond" w:hAnsi="Garamond"/>
              </w:rPr>
              <w:t>.</w:t>
            </w:r>
          </w:p>
        </w:tc>
      </w:tr>
      <w:tr w:rsidR="004B3B82" w:rsidRPr="007D4C5F" w14:paraId="1C9C611A" w14:textId="77777777" w:rsidTr="00CD3B05">
        <w:trPr>
          <w:trHeight w:val="515"/>
          <w:jc w:val="right"/>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C51D6BF" w14:textId="77777777" w:rsidR="004B3B82" w:rsidRPr="007D4C5F" w:rsidRDefault="004B3B82" w:rsidP="00CD3B05">
            <w:pPr>
              <w:rPr>
                <w:rFonts w:ascii="Garamond" w:hAnsi="Garamond"/>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AA82564" w14:textId="77777777" w:rsidR="004B3B82" w:rsidRPr="007D4C5F" w:rsidRDefault="004B3B82" w:rsidP="00CD3B05">
            <w:pPr>
              <w:jc w:val="center"/>
              <w:rPr>
                <w:rFonts w:ascii="Garamond" w:hAnsi="Garamond"/>
              </w:rPr>
            </w:pPr>
            <w:r w:rsidRPr="007D4C5F">
              <w:rPr>
                <w:rFonts w:ascii="Garamond" w:hAnsi="Garamond"/>
                <w:b/>
                <w:bCs/>
              </w:rPr>
              <w:t>Испытатели</w:t>
            </w:r>
          </w:p>
        </w:tc>
        <w:tc>
          <w:tcPr>
            <w:tcW w:w="779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FAF5C85" w14:textId="77777777" w:rsidR="004B3B82" w:rsidRPr="007D4C5F" w:rsidRDefault="004B3B82" w:rsidP="00CD3B05">
            <w:pPr>
              <w:pStyle w:val="ac"/>
              <w:numPr>
                <w:ilvl w:val="0"/>
                <w:numId w:val="21"/>
              </w:numPr>
              <w:pBdr>
                <w:top w:val="nil"/>
                <w:left w:val="nil"/>
                <w:bottom w:val="nil"/>
                <w:right w:val="nil"/>
                <w:between w:val="nil"/>
                <w:bar w:val="nil"/>
              </w:pBdr>
              <w:tabs>
                <w:tab w:val="clear" w:pos="317"/>
                <w:tab w:val="num" w:pos="380"/>
                <w:tab w:val="left" w:pos="1440"/>
              </w:tabs>
              <w:ind w:left="380" w:hanging="380"/>
              <w:jc w:val="both"/>
              <w:rPr>
                <w:rFonts w:ascii="Garamond" w:eastAsia="Garamond" w:hAnsi="Garamond" w:cs="Garamond"/>
              </w:rPr>
            </w:pPr>
            <w:r w:rsidRPr="007D4C5F">
              <w:rPr>
                <w:rFonts w:ascii="Garamond" w:hAnsi="Garamond"/>
              </w:rPr>
              <w:t>Представители КО.</w:t>
            </w:r>
          </w:p>
          <w:p w14:paraId="057D4970" w14:textId="77777777" w:rsidR="004B3B82" w:rsidRPr="007D4C5F" w:rsidRDefault="004B3B82" w:rsidP="00CD3B05">
            <w:pPr>
              <w:pStyle w:val="ac"/>
              <w:numPr>
                <w:ilvl w:val="0"/>
                <w:numId w:val="21"/>
              </w:numPr>
              <w:pBdr>
                <w:top w:val="nil"/>
                <w:left w:val="nil"/>
                <w:bottom w:val="nil"/>
                <w:right w:val="nil"/>
                <w:between w:val="nil"/>
                <w:bar w:val="nil"/>
              </w:pBdr>
              <w:tabs>
                <w:tab w:val="clear" w:pos="317"/>
                <w:tab w:val="num" w:pos="380"/>
                <w:tab w:val="left" w:pos="1440"/>
              </w:tabs>
              <w:ind w:left="380" w:hanging="380"/>
              <w:jc w:val="both"/>
              <w:rPr>
                <w:rFonts w:ascii="Garamond" w:eastAsia="Garamond" w:hAnsi="Garamond" w:cs="Garamond"/>
              </w:rPr>
            </w:pPr>
            <w:r w:rsidRPr="007D4C5F">
              <w:rPr>
                <w:rFonts w:ascii="Garamond" w:hAnsi="Garamond"/>
              </w:rPr>
              <w:t>Представители заявителя</w:t>
            </w:r>
            <w:r w:rsidRPr="007D4C5F">
              <w:rPr>
                <w:rFonts w:ascii="Garamond" w:eastAsia="Garamond" w:hAnsi="Garamond" w:cs="Garamond"/>
              </w:rPr>
              <w:t>.</w:t>
            </w:r>
          </w:p>
          <w:p w14:paraId="32770F8D" w14:textId="77777777" w:rsidR="004B3B82" w:rsidRPr="007D4C5F" w:rsidRDefault="004B3B82" w:rsidP="00CD3B05">
            <w:pPr>
              <w:pStyle w:val="ac"/>
              <w:numPr>
                <w:ilvl w:val="0"/>
                <w:numId w:val="21"/>
              </w:numPr>
              <w:pBdr>
                <w:top w:val="nil"/>
                <w:left w:val="nil"/>
                <w:bottom w:val="nil"/>
                <w:right w:val="nil"/>
                <w:between w:val="nil"/>
                <w:bar w:val="nil"/>
              </w:pBdr>
              <w:tabs>
                <w:tab w:val="clear" w:pos="317"/>
                <w:tab w:val="num" w:pos="380"/>
                <w:tab w:val="left" w:pos="1440"/>
              </w:tabs>
              <w:ind w:left="380" w:hanging="380"/>
              <w:jc w:val="both"/>
              <w:rPr>
                <w:rFonts w:ascii="Garamond" w:eastAsia="Garamond" w:hAnsi="Garamond" w:cs="Garamond"/>
              </w:rPr>
            </w:pPr>
            <w:r w:rsidRPr="007D4C5F">
              <w:rPr>
                <w:rFonts w:ascii="Garamond" w:hAnsi="Garamond"/>
              </w:rPr>
              <w:t>Представители смежного субъекта (при участии в испытаниях).</w:t>
            </w:r>
          </w:p>
        </w:tc>
      </w:tr>
      <w:tr w:rsidR="004B3B82" w:rsidRPr="007D4C5F" w14:paraId="3BA10EED" w14:textId="77777777" w:rsidTr="00CD3B05">
        <w:tblPrEx>
          <w:shd w:val="clear" w:color="auto" w:fill="auto"/>
        </w:tblPrEx>
        <w:trPr>
          <w:trHeight w:val="250"/>
          <w:jc w:val="right"/>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645E3DC" w14:textId="77777777" w:rsidR="004B3B82" w:rsidRPr="007D4C5F" w:rsidRDefault="004B3B82" w:rsidP="00CD3B05">
            <w:pPr>
              <w:rPr>
                <w:rFonts w:ascii="Garamond" w:hAnsi="Garamond"/>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243385A" w14:textId="77777777" w:rsidR="004B3B82" w:rsidRPr="007D4C5F" w:rsidRDefault="004B3B82" w:rsidP="00CD3B05">
            <w:pPr>
              <w:jc w:val="center"/>
              <w:rPr>
                <w:rFonts w:ascii="Garamond" w:hAnsi="Garamond"/>
              </w:rPr>
            </w:pPr>
            <w:r w:rsidRPr="007D4C5F">
              <w:rPr>
                <w:rFonts w:ascii="Garamond" w:hAnsi="Garamond"/>
                <w:b/>
                <w:bCs/>
              </w:rPr>
              <w:t>Документы</w:t>
            </w:r>
          </w:p>
        </w:tc>
        <w:tc>
          <w:tcPr>
            <w:tcW w:w="779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D5AED5" w14:textId="77777777" w:rsidR="004B3B82" w:rsidRPr="007D4C5F" w:rsidRDefault="004B3B82" w:rsidP="00CD3B05">
            <w:pPr>
              <w:rPr>
                <w:rFonts w:ascii="Garamond" w:hAnsi="Garamond"/>
              </w:rPr>
            </w:pPr>
            <w:r w:rsidRPr="00F56BC1">
              <w:rPr>
                <w:rFonts w:ascii="Garamond" w:hAnsi="Garamond"/>
                <w:highlight w:val="yellow"/>
              </w:rPr>
              <w:t>Д</w:t>
            </w:r>
            <w:r w:rsidRPr="00072687">
              <w:rPr>
                <w:rFonts w:ascii="Garamond" w:hAnsi="Garamond"/>
              </w:rPr>
              <w:t>окументация в соответствии с таблицей 2 приложения 1 к настоящему Порядку, представленная для установления соответствия АИИС КУЭ</w:t>
            </w:r>
          </w:p>
        </w:tc>
      </w:tr>
      <w:tr w:rsidR="004B3B82" w:rsidRPr="007D4C5F" w14:paraId="2300643F" w14:textId="77777777" w:rsidTr="00CD3B05">
        <w:tblPrEx>
          <w:shd w:val="clear" w:color="auto" w:fill="auto"/>
        </w:tblPrEx>
        <w:trPr>
          <w:trHeight w:val="250"/>
          <w:jc w:val="right"/>
        </w:trPr>
        <w:tc>
          <w:tcPr>
            <w:tcW w:w="567" w:type="dxa"/>
            <w:tcBorders>
              <w:top w:val="single" w:sz="4" w:space="0" w:color="000000"/>
              <w:left w:val="single" w:sz="4" w:space="0" w:color="000000"/>
              <w:bottom w:val="single" w:sz="4" w:space="0" w:color="000000"/>
              <w:right w:val="single" w:sz="4" w:space="0" w:color="000000"/>
            </w:tcBorders>
            <w:shd w:val="clear" w:color="auto" w:fill="BFBFBF"/>
            <w:tcMar>
              <w:top w:w="80" w:type="dxa"/>
              <w:left w:w="80" w:type="dxa"/>
              <w:bottom w:w="80" w:type="dxa"/>
              <w:right w:w="80" w:type="dxa"/>
            </w:tcMar>
            <w:vAlign w:val="center"/>
          </w:tcPr>
          <w:p w14:paraId="2CC66301" w14:textId="77777777" w:rsidR="004B3B82" w:rsidRPr="007D4C5F" w:rsidRDefault="004B3B82" w:rsidP="00CD3B05">
            <w:pPr>
              <w:jc w:val="center"/>
              <w:rPr>
                <w:rFonts w:ascii="Garamond" w:hAnsi="Garamond"/>
              </w:rPr>
            </w:pPr>
            <w:r w:rsidRPr="007D4C5F">
              <w:rPr>
                <w:rFonts w:ascii="Garamond" w:hAnsi="Garamond"/>
              </w:rPr>
              <w:t>5</w:t>
            </w:r>
          </w:p>
        </w:tc>
        <w:tc>
          <w:tcPr>
            <w:tcW w:w="1560" w:type="dxa"/>
            <w:tcBorders>
              <w:top w:val="single" w:sz="4" w:space="0" w:color="000000"/>
              <w:left w:val="single" w:sz="4" w:space="0" w:color="000000"/>
              <w:bottom w:val="single" w:sz="4" w:space="0" w:color="000000"/>
              <w:right w:val="single" w:sz="4" w:space="0" w:color="000000"/>
            </w:tcBorders>
            <w:shd w:val="clear" w:color="auto" w:fill="BFBFBF"/>
            <w:tcMar>
              <w:top w:w="80" w:type="dxa"/>
              <w:left w:w="80" w:type="dxa"/>
              <w:bottom w:w="80" w:type="dxa"/>
              <w:right w:w="80" w:type="dxa"/>
            </w:tcMar>
            <w:vAlign w:val="center"/>
          </w:tcPr>
          <w:p w14:paraId="51D0ED16" w14:textId="77777777" w:rsidR="004B3B82" w:rsidRPr="007D4C5F" w:rsidRDefault="004B3B82" w:rsidP="00CD3B05">
            <w:pPr>
              <w:jc w:val="center"/>
              <w:rPr>
                <w:rFonts w:ascii="Garamond" w:hAnsi="Garamond"/>
                <w:b/>
                <w:bCs/>
                <w:vertAlign w:val="subscript"/>
              </w:rPr>
            </w:pPr>
            <w:r w:rsidRPr="007D4C5F">
              <w:rPr>
                <w:rFonts w:ascii="Garamond" w:hAnsi="Garamond"/>
                <w:b/>
                <w:bCs/>
              </w:rPr>
              <w:t>П</w:t>
            </w:r>
            <w:r w:rsidRPr="007D4C5F">
              <w:rPr>
                <w:rFonts w:ascii="Garamond" w:hAnsi="Garamond"/>
                <w:b/>
                <w:bCs/>
                <w:vertAlign w:val="subscript"/>
              </w:rPr>
              <w:t>Ф11</w:t>
            </w:r>
          </w:p>
          <w:p w14:paraId="57244905" w14:textId="77777777" w:rsidR="004B3B82" w:rsidRPr="007D4C5F" w:rsidRDefault="004B3B82" w:rsidP="00CD3B05">
            <w:pPr>
              <w:jc w:val="center"/>
              <w:rPr>
                <w:rFonts w:ascii="Garamond" w:hAnsi="Garamond"/>
              </w:rPr>
            </w:pPr>
            <w:r w:rsidRPr="007D4C5F">
              <w:rPr>
                <w:rFonts w:ascii="Garamond" w:hAnsi="Garamond"/>
                <w:bCs/>
              </w:rPr>
              <w:t>(п. 5.1.2)</w:t>
            </w:r>
          </w:p>
        </w:tc>
        <w:tc>
          <w:tcPr>
            <w:tcW w:w="7797" w:type="dxa"/>
            <w:tcBorders>
              <w:top w:val="single" w:sz="4" w:space="0" w:color="000000"/>
              <w:left w:val="single" w:sz="4" w:space="0" w:color="000000"/>
              <w:bottom w:val="single" w:sz="4" w:space="0" w:color="000000"/>
              <w:right w:val="single" w:sz="4" w:space="0" w:color="000000"/>
            </w:tcBorders>
            <w:shd w:val="clear" w:color="auto" w:fill="BFBFBF"/>
            <w:tcMar>
              <w:top w:w="80" w:type="dxa"/>
              <w:left w:w="80" w:type="dxa"/>
              <w:bottom w:w="80" w:type="dxa"/>
              <w:right w:w="80" w:type="dxa"/>
            </w:tcMar>
          </w:tcPr>
          <w:p w14:paraId="26123177" w14:textId="77777777" w:rsidR="004B3B82" w:rsidRPr="007D4C5F" w:rsidRDefault="004B3B82" w:rsidP="00CD3B05">
            <w:pPr>
              <w:rPr>
                <w:rFonts w:ascii="Garamond" w:hAnsi="Garamond"/>
              </w:rPr>
            </w:pPr>
            <w:r w:rsidRPr="007D4C5F">
              <w:rPr>
                <w:rFonts w:ascii="Garamond" w:hAnsi="Garamond"/>
                <w:b/>
                <w:bCs/>
              </w:rPr>
              <w:t>Сбор информации о состояниях средств измерений</w:t>
            </w:r>
          </w:p>
        </w:tc>
      </w:tr>
      <w:tr w:rsidR="004B3B82" w:rsidRPr="007D4C5F" w14:paraId="6519500D" w14:textId="77777777" w:rsidTr="00CD3B05">
        <w:tblPrEx>
          <w:shd w:val="clear" w:color="auto" w:fill="auto"/>
        </w:tblPrEx>
        <w:trPr>
          <w:trHeight w:val="250"/>
          <w:jc w:val="right"/>
        </w:trPr>
        <w:tc>
          <w:tcPr>
            <w:tcW w:w="567" w:type="dxa"/>
            <w:tcBorders>
              <w:top w:val="single" w:sz="4" w:space="0" w:color="000000"/>
              <w:left w:val="single" w:sz="4" w:space="0" w:color="000000"/>
              <w:bottom w:val="single" w:sz="4" w:space="0" w:color="000000"/>
              <w:right w:val="single" w:sz="4" w:space="0" w:color="000000"/>
            </w:tcBorders>
            <w:shd w:val="clear" w:color="auto" w:fill="92D050"/>
            <w:tcMar>
              <w:top w:w="80" w:type="dxa"/>
              <w:left w:w="80" w:type="dxa"/>
              <w:bottom w:w="80" w:type="dxa"/>
              <w:right w:w="80" w:type="dxa"/>
            </w:tcMar>
            <w:vAlign w:val="center"/>
          </w:tcPr>
          <w:p w14:paraId="61127956" w14:textId="77777777" w:rsidR="004B3B82" w:rsidRPr="007D4C5F" w:rsidRDefault="004B3B82" w:rsidP="00CD3B05">
            <w:pPr>
              <w:rPr>
                <w:rFonts w:ascii="Garamond" w:hAnsi="Garamond"/>
              </w:rPr>
            </w:pPr>
          </w:p>
        </w:tc>
        <w:tc>
          <w:tcPr>
            <w:tcW w:w="1560" w:type="dxa"/>
            <w:tcBorders>
              <w:top w:val="single" w:sz="4" w:space="0" w:color="000000"/>
              <w:left w:val="single" w:sz="4" w:space="0" w:color="000000"/>
              <w:bottom w:val="single" w:sz="4" w:space="0" w:color="000000"/>
              <w:right w:val="single" w:sz="4" w:space="0" w:color="000000"/>
            </w:tcBorders>
            <w:shd w:val="clear" w:color="auto" w:fill="92D050"/>
            <w:tcMar>
              <w:top w:w="80" w:type="dxa"/>
              <w:left w:w="80" w:type="dxa"/>
              <w:bottom w:w="80" w:type="dxa"/>
              <w:right w:w="80" w:type="dxa"/>
            </w:tcMar>
            <w:vAlign w:val="center"/>
          </w:tcPr>
          <w:p w14:paraId="1CC5B7C7" w14:textId="77777777" w:rsidR="004B3B82" w:rsidRPr="007D4C5F" w:rsidRDefault="004B3B82" w:rsidP="00CD3B05">
            <w:pPr>
              <w:jc w:val="center"/>
              <w:rPr>
                <w:rFonts w:ascii="Garamond" w:hAnsi="Garamond"/>
              </w:rPr>
            </w:pPr>
            <w:r w:rsidRPr="007D4C5F">
              <w:rPr>
                <w:rFonts w:ascii="Garamond" w:hAnsi="Garamond"/>
                <w:b/>
                <w:bCs/>
              </w:rPr>
              <w:t>Компоненты</w:t>
            </w:r>
          </w:p>
        </w:tc>
        <w:tc>
          <w:tcPr>
            <w:tcW w:w="7797" w:type="dxa"/>
            <w:tcBorders>
              <w:top w:val="single" w:sz="4" w:space="0" w:color="000000"/>
              <w:left w:val="single" w:sz="4" w:space="0" w:color="000000"/>
              <w:bottom w:val="single" w:sz="4" w:space="0" w:color="000000"/>
              <w:right w:val="single" w:sz="4" w:space="0" w:color="000000"/>
            </w:tcBorders>
            <w:shd w:val="clear" w:color="auto" w:fill="92D050"/>
            <w:tcMar>
              <w:top w:w="80" w:type="dxa"/>
              <w:left w:w="80" w:type="dxa"/>
              <w:bottom w:w="80" w:type="dxa"/>
              <w:right w:w="80" w:type="dxa"/>
            </w:tcMar>
          </w:tcPr>
          <w:p w14:paraId="68281778" w14:textId="77777777" w:rsidR="004B3B82" w:rsidRPr="007D4C5F" w:rsidRDefault="004B3B82" w:rsidP="00CD3B05">
            <w:pPr>
              <w:rPr>
                <w:rFonts w:ascii="Garamond" w:hAnsi="Garamond"/>
              </w:rPr>
            </w:pPr>
            <w:r w:rsidRPr="007D4C5F">
              <w:rPr>
                <w:rFonts w:ascii="Garamond" w:hAnsi="Garamond"/>
              </w:rPr>
              <w:t xml:space="preserve">ИВК – сервер </w:t>
            </w:r>
          </w:p>
        </w:tc>
      </w:tr>
      <w:tr w:rsidR="004B3B82" w:rsidRPr="007D4C5F" w14:paraId="68439A48" w14:textId="77777777" w:rsidTr="00CD3B05">
        <w:tblPrEx>
          <w:shd w:val="clear" w:color="auto" w:fill="auto"/>
        </w:tblPrEx>
        <w:trPr>
          <w:trHeight w:val="1085"/>
          <w:jc w:val="right"/>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720ED6C" w14:textId="77777777" w:rsidR="004B3B82" w:rsidRPr="007D4C5F" w:rsidRDefault="004B3B82" w:rsidP="00CD3B05">
            <w:pPr>
              <w:rPr>
                <w:rFonts w:ascii="Garamond" w:hAnsi="Garamond"/>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54114E2" w14:textId="77777777" w:rsidR="004B3B82" w:rsidRPr="007D4C5F" w:rsidRDefault="004B3B82" w:rsidP="00CD3B05">
            <w:pPr>
              <w:jc w:val="center"/>
              <w:rPr>
                <w:rFonts w:ascii="Garamond" w:hAnsi="Garamond"/>
              </w:rPr>
            </w:pPr>
            <w:r w:rsidRPr="007D4C5F">
              <w:rPr>
                <w:rFonts w:ascii="Garamond" w:hAnsi="Garamond"/>
                <w:b/>
                <w:bCs/>
              </w:rPr>
              <w:t>Действия</w:t>
            </w:r>
          </w:p>
        </w:tc>
        <w:tc>
          <w:tcPr>
            <w:tcW w:w="779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CB1B57" w14:textId="77777777" w:rsidR="004B3B82" w:rsidRPr="007D4C5F" w:rsidRDefault="004B3B82" w:rsidP="00CD3B05">
            <w:pPr>
              <w:pStyle w:val="ac"/>
              <w:numPr>
                <w:ilvl w:val="0"/>
                <w:numId w:val="22"/>
              </w:numPr>
              <w:pBdr>
                <w:top w:val="nil"/>
                <w:left w:val="nil"/>
                <w:bottom w:val="nil"/>
                <w:right w:val="nil"/>
                <w:between w:val="nil"/>
                <w:bar w:val="nil"/>
              </w:pBdr>
              <w:tabs>
                <w:tab w:val="clear" w:pos="317"/>
                <w:tab w:val="num" w:pos="380"/>
                <w:tab w:val="left" w:pos="1440"/>
              </w:tabs>
              <w:ind w:left="380" w:hanging="380"/>
              <w:jc w:val="both"/>
              <w:rPr>
                <w:rFonts w:ascii="Garamond" w:eastAsia="Garamond" w:hAnsi="Garamond" w:cs="Garamond"/>
              </w:rPr>
            </w:pPr>
            <w:r w:rsidRPr="007D4C5F">
              <w:rPr>
                <w:rFonts w:ascii="Garamond" w:hAnsi="Garamond"/>
              </w:rPr>
              <w:t>С помощью стандартных средств операционной системы или специализированного ПО удаленного доступа и администрирования устанавливается интернет-соединение с удаленным рабочим столом сервера ИВК АИИС КУЭ.</w:t>
            </w:r>
          </w:p>
          <w:p w14:paraId="66E48808" w14:textId="77777777" w:rsidR="004B3B82" w:rsidRPr="007D4C5F" w:rsidRDefault="004B3B82" w:rsidP="00CD3B05">
            <w:pPr>
              <w:pStyle w:val="ac"/>
              <w:numPr>
                <w:ilvl w:val="0"/>
                <w:numId w:val="22"/>
              </w:numPr>
              <w:pBdr>
                <w:top w:val="nil"/>
                <w:left w:val="nil"/>
                <w:bottom w:val="nil"/>
                <w:right w:val="nil"/>
                <w:between w:val="nil"/>
                <w:bar w:val="nil"/>
              </w:pBdr>
              <w:tabs>
                <w:tab w:val="clear" w:pos="317"/>
                <w:tab w:val="num" w:pos="380"/>
                <w:tab w:val="left" w:pos="1440"/>
              </w:tabs>
              <w:ind w:left="380" w:hanging="380"/>
              <w:jc w:val="both"/>
              <w:rPr>
                <w:rFonts w:ascii="Garamond" w:eastAsia="Garamond" w:hAnsi="Garamond" w:cs="Garamond"/>
              </w:rPr>
            </w:pPr>
            <w:r w:rsidRPr="007D4C5F">
              <w:rPr>
                <w:rFonts w:ascii="Garamond" w:hAnsi="Garamond"/>
              </w:rPr>
              <w:t xml:space="preserve">С помощью специализированного ПО ИВК производится контроль наличия в БД АИИС КУЭ состояний средств измерений («журналов событий» </w:t>
            </w:r>
            <w:r w:rsidRPr="00F56BC1">
              <w:rPr>
                <w:rFonts w:ascii="Garamond" w:hAnsi="Garamond"/>
                <w:highlight w:val="yellow"/>
              </w:rPr>
              <w:t>счетчиков</w:t>
            </w:r>
            <w:r w:rsidRPr="007D4C5F">
              <w:rPr>
                <w:rFonts w:ascii="Garamond" w:hAnsi="Garamond"/>
              </w:rPr>
              <w:t xml:space="preserve"> по всем измерительным каналам, включенным в АИИС КУЭ, «журналов событий» УСПД и сервера ИВКЭ и ИВК АИИС КУЭ).</w:t>
            </w:r>
          </w:p>
        </w:tc>
      </w:tr>
      <w:tr w:rsidR="004B3B82" w:rsidRPr="007D4C5F" w14:paraId="767E3DF4" w14:textId="77777777" w:rsidTr="00CD3B05">
        <w:tblPrEx>
          <w:shd w:val="clear" w:color="auto" w:fill="auto"/>
        </w:tblPrEx>
        <w:trPr>
          <w:trHeight w:val="238"/>
          <w:jc w:val="right"/>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482B445" w14:textId="77777777" w:rsidR="004B3B82" w:rsidRPr="007D4C5F" w:rsidRDefault="004B3B82" w:rsidP="00CD3B05">
            <w:pPr>
              <w:rPr>
                <w:rFonts w:ascii="Garamond" w:hAnsi="Garamond"/>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54A7510" w14:textId="77777777" w:rsidR="004B3B82" w:rsidRPr="007D4C5F" w:rsidRDefault="004B3B82" w:rsidP="00CD3B05">
            <w:pPr>
              <w:jc w:val="center"/>
              <w:rPr>
                <w:rFonts w:ascii="Garamond" w:hAnsi="Garamond"/>
              </w:rPr>
            </w:pPr>
            <w:r w:rsidRPr="007D4C5F">
              <w:rPr>
                <w:rFonts w:ascii="Garamond" w:hAnsi="Garamond"/>
                <w:b/>
                <w:bCs/>
              </w:rPr>
              <w:t>Критерии</w:t>
            </w:r>
          </w:p>
        </w:tc>
        <w:tc>
          <w:tcPr>
            <w:tcW w:w="779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479B0EB" w14:textId="77777777" w:rsidR="004B3B82" w:rsidRPr="002B490C" w:rsidRDefault="004B3B82" w:rsidP="00CD3B05">
            <w:pPr>
              <w:rPr>
                <w:rFonts w:ascii="Garamond" w:hAnsi="Garamond"/>
              </w:rPr>
            </w:pPr>
            <w:r w:rsidRPr="002B490C">
              <w:rPr>
                <w:rFonts w:ascii="Garamond" w:hAnsi="Garamond"/>
              </w:rPr>
              <w:t xml:space="preserve">Фактическое соответствие «журналов событий» </w:t>
            </w:r>
            <w:r w:rsidRPr="00F56BC1">
              <w:rPr>
                <w:rFonts w:ascii="Garamond" w:hAnsi="Garamond"/>
                <w:highlight w:val="yellow"/>
              </w:rPr>
              <w:t>счетчиков</w:t>
            </w:r>
            <w:r w:rsidRPr="002B490C">
              <w:rPr>
                <w:rFonts w:ascii="Garamond" w:hAnsi="Garamond"/>
              </w:rPr>
              <w:t>, УСПД, сервера АИИС КУЭ.</w:t>
            </w:r>
          </w:p>
          <w:p w14:paraId="3B84F380" w14:textId="77777777" w:rsidR="004B3B82" w:rsidRPr="007D4C5F" w:rsidRDefault="004B3B82" w:rsidP="00CD3B05">
            <w:pPr>
              <w:jc w:val="both"/>
              <w:rPr>
                <w:rFonts w:ascii="Garamond" w:hAnsi="Garamond"/>
              </w:rPr>
            </w:pPr>
            <w:r w:rsidRPr="002B490C">
              <w:rPr>
                <w:rFonts w:ascii="Garamond" w:hAnsi="Garamond"/>
              </w:rPr>
              <w:t xml:space="preserve">В случае если «журнал событий» хотя бы одного </w:t>
            </w:r>
            <w:r w:rsidRPr="00F56BC1">
              <w:rPr>
                <w:rFonts w:ascii="Garamond" w:hAnsi="Garamond"/>
                <w:highlight w:val="yellow"/>
              </w:rPr>
              <w:t>счетчика</w:t>
            </w:r>
            <w:r w:rsidRPr="002B490C">
              <w:rPr>
                <w:rFonts w:ascii="Garamond" w:hAnsi="Garamond"/>
              </w:rPr>
              <w:t>, включенного в АИИС КУЭ, не фиксирует время и дату пропадания и восстановления напряжения по каждой фазе, при оформлении в отношении данной АИИС КУЭ Акта о соответствии АИИС КУЭ применяются требования абзаца 3 п. 2.7.1 настоящего Порядка.</w:t>
            </w:r>
          </w:p>
        </w:tc>
      </w:tr>
      <w:tr w:rsidR="004B3B82" w:rsidRPr="007D4C5F" w14:paraId="6D4602A5" w14:textId="77777777" w:rsidTr="00E31AE6">
        <w:tblPrEx>
          <w:shd w:val="clear" w:color="auto" w:fill="auto"/>
        </w:tblPrEx>
        <w:trPr>
          <w:trHeight w:val="250"/>
          <w:jc w:val="right"/>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41BAC47" w14:textId="77777777" w:rsidR="004B3B82" w:rsidRDefault="004B3B82" w:rsidP="00E31AE6">
            <w:pPr>
              <w:rPr>
                <w:rFonts w:ascii="Garamond" w:hAnsi="Garamond"/>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4AD1CB4" w14:textId="77777777" w:rsidR="004B3B82" w:rsidRDefault="004B3B82" w:rsidP="00E31AE6">
            <w:pPr>
              <w:jc w:val="center"/>
              <w:rPr>
                <w:rFonts w:ascii="Garamond" w:hAnsi="Garamond"/>
              </w:rPr>
            </w:pPr>
            <w:r w:rsidRPr="007D4C5F">
              <w:rPr>
                <w:rFonts w:ascii="Garamond" w:hAnsi="Garamond"/>
                <w:b/>
                <w:bCs/>
              </w:rPr>
              <w:t>Испытатели</w:t>
            </w:r>
          </w:p>
        </w:tc>
        <w:tc>
          <w:tcPr>
            <w:tcW w:w="779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032D100" w14:textId="77777777" w:rsidR="004B3B82" w:rsidRPr="007D4C5F" w:rsidRDefault="004B3B82" w:rsidP="00E31AE6">
            <w:pPr>
              <w:pStyle w:val="ac"/>
              <w:numPr>
                <w:ilvl w:val="0"/>
                <w:numId w:val="23"/>
              </w:numPr>
              <w:pBdr>
                <w:top w:val="nil"/>
                <w:left w:val="nil"/>
                <w:bottom w:val="nil"/>
                <w:right w:val="nil"/>
                <w:between w:val="nil"/>
                <w:bar w:val="nil"/>
              </w:pBdr>
              <w:tabs>
                <w:tab w:val="left" w:pos="1440"/>
              </w:tabs>
              <w:ind w:left="380" w:hanging="380"/>
              <w:jc w:val="both"/>
              <w:rPr>
                <w:rFonts w:ascii="Garamond" w:eastAsia="Garamond" w:hAnsi="Garamond" w:cs="Garamond"/>
              </w:rPr>
            </w:pPr>
            <w:r w:rsidRPr="007D4C5F">
              <w:rPr>
                <w:rFonts w:ascii="Garamond" w:hAnsi="Garamond"/>
              </w:rPr>
              <w:t>Представители КО.</w:t>
            </w:r>
          </w:p>
          <w:p w14:paraId="4888BBE6" w14:textId="77777777" w:rsidR="004B3B82" w:rsidRDefault="004B3B82" w:rsidP="00E31AE6">
            <w:pPr>
              <w:pStyle w:val="ac"/>
              <w:numPr>
                <w:ilvl w:val="0"/>
                <w:numId w:val="23"/>
              </w:numPr>
              <w:pBdr>
                <w:top w:val="nil"/>
                <w:left w:val="nil"/>
                <w:bottom w:val="nil"/>
                <w:right w:val="nil"/>
                <w:between w:val="nil"/>
                <w:bar w:val="nil"/>
              </w:pBdr>
              <w:tabs>
                <w:tab w:val="left" w:pos="1440"/>
              </w:tabs>
              <w:ind w:left="380" w:hanging="380"/>
              <w:jc w:val="both"/>
              <w:rPr>
                <w:rFonts w:ascii="Garamond" w:eastAsia="Garamond" w:hAnsi="Garamond" w:cs="Garamond"/>
              </w:rPr>
            </w:pPr>
            <w:r w:rsidRPr="007D4C5F">
              <w:rPr>
                <w:rFonts w:ascii="Garamond" w:hAnsi="Garamond"/>
              </w:rPr>
              <w:t>Представители заявителя</w:t>
            </w:r>
            <w:r w:rsidRPr="007D4C5F">
              <w:rPr>
                <w:rFonts w:ascii="Garamond" w:eastAsia="Garamond" w:hAnsi="Garamond" w:cs="Garamond"/>
              </w:rPr>
              <w:t>.</w:t>
            </w:r>
          </w:p>
          <w:p w14:paraId="409D4AA9" w14:textId="77777777" w:rsidR="004B3B82" w:rsidRPr="00AD541A" w:rsidRDefault="004B3B82" w:rsidP="00E31AE6">
            <w:pPr>
              <w:pStyle w:val="ac"/>
              <w:numPr>
                <w:ilvl w:val="0"/>
                <w:numId w:val="23"/>
              </w:numPr>
              <w:pBdr>
                <w:top w:val="nil"/>
                <w:left w:val="nil"/>
                <w:bottom w:val="nil"/>
                <w:right w:val="nil"/>
                <w:between w:val="nil"/>
                <w:bar w:val="nil"/>
              </w:pBdr>
              <w:tabs>
                <w:tab w:val="left" w:pos="1440"/>
              </w:tabs>
              <w:ind w:left="380" w:hanging="380"/>
              <w:jc w:val="both"/>
              <w:rPr>
                <w:rFonts w:ascii="Garamond" w:eastAsia="Garamond" w:hAnsi="Garamond" w:cs="Garamond"/>
              </w:rPr>
            </w:pPr>
            <w:r w:rsidRPr="00AD541A">
              <w:rPr>
                <w:rFonts w:ascii="Garamond" w:hAnsi="Garamond"/>
              </w:rPr>
              <w:t>Представители смежного субъекта (при участии в испытаниях).</w:t>
            </w:r>
          </w:p>
        </w:tc>
      </w:tr>
      <w:tr w:rsidR="004B3B82" w:rsidRPr="007D4C5F" w14:paraId="2F276079" w14:textId="77777777" w:rsidTr="00E31AE6">
        <w:tblPrEx>
          <w:shd w:val="clear" w:color="auto" w:fill="auto"/>
        </w:tblPrEx>
        <w:trPr>
          <w:trHeight w:val="250"/>
          <w:jc w:val="right"/>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1E05832" w14:textId="77777777" w:rsidR="004B3B82" w:rsidRPr="007D4C5F" w:rsidRDefault="004B3B82" w:rsidP="00E31AE6">
            <w:pPr>
              <w:rPr>
                <w:rFonts w:ascii="Garamond" w:hAnsi="Garamond"/>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6A45181" w14:textId="77777777" w:rsidR="004B3B82" w:rsidRPr="007D4C5F" w:rsidRDefault="004B3B82" w:rsidP="00E31AE6">
            <w:pPr>
              <w:jc w:val="center"/>
              <w:rPr>
                <w:rFonts w:ascii="Garamond" w:hAnsi="Garamond"/>
              </w:rPr>
            </w:pPr>
            <w:r w:rsidRPr="007D4C5F">
              <w:rPr>
                <w:rFonts w:ascii="Garamond" w:hAnsi="Garamond"/>
                <w:b/>
                <w:bCs/>
              </w:rPr>
              <w:t>Документация</w:t>
            </w:r>
          </w:p>
        </w:tc>
        <w:tc>
          <w:tcPr>
            <w:tcW w:w="779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D78572" w14:textId="77777777" w:rsidR="004B3B82" w:rsidRPr="007D4C5F" w:rsidRDefault="004B3B82" w:rsidP="00E31AE6">
            <w:pPr>
              <w:rPr>
                <w:rFonts w:ascii="Garamond" w:hAnsi="Garamond"/>
              </w:rPr>
            </w:pPr>
            <w:r w:rsidRPr="007E6D30">
              <w:rPr>
                <w:rFonts w:ascii="Garamond" w:hAnsi="Garamond"/>
                <w:highlight w:val="yellow"/>
              </w:rPr>
              <w:t>Д</w:t>
            </w:r>
            <w:r w:rsidRPr="00072687">
              <w:rPr>
                <w:rFonts w:ascii="Garamond" w:hAnsi="Garamond"/>
              </w:rPr>
              <w:t>окументация в соответствии с таблицей 2 приложения 1 к настоящему Порядку, представленная для установления соответствия АИИС КУЭ</w:t>
            </w:r>
          </w:p>
        </w:tc>
      </w:tr>
      <w:tr w:rsidR="004B3B82" w:rsidRPr="007D4C5F" w14:paraId="20D48F07" w14:textId="77777777" w:rsidTr="00CD3B05">
        <w:tblPrEx>
          <w:shd w:val="clear" w:color="auto" w:fill="auto"/>
        </w:tblPrEx>
        <w:trPr>
          <w:trHeight w:val="250"/>
          <w:jc w:val="right"/>
        </w:trPr>
        <w:tc>
          <w:tcPr>
            <w:tcW w:w="567" w:type="dxa"/>
            <w:tcBorders>
              <w:top w:val="single" w:sz="4" w:space="0" w:color="000000"/>
              <w:left w:val="single" w:sz="4" w:space="0" w:color="000000"/>
              <w:bottom w:val="single" w:sz="4" w:space="0" w:color="000000"/>
              <w:right w:val="single" w:sz="4" w:space="0" w:color="000000"/>
            </w:tcBorders>
            <w:shd w:val="clear" w:color="auto" w:fill="BFBFBF"/>
            <w:tcMar>
              <w:top w:w="80" w:type="dxa"/>
              <w:left w:w="80" w:type="dxa"/>
              <w:bottom w:w="80" w:type="dxa"/>
              <w:right w:w="80" w:type="dxa"/>
            </w:tcMar>
            <w:vAlign w:val="center"/>
          </w:tcPr>
          <w:p w14:paraId="14ACD7AE" w14:textId="77777777" w:rsidR="004B3B82" w:rsidRPr="007D4C5F" w:rsidRDefault="004B3B82" w:rsidP="00CD3B05">
            <w:pPr>
              <w:jc w:val="center"/>
              <w:rPr>
                <w:rFonts w:ascii="Garamond" w:hAnsi="Garamond"/>
              </w:rPr>
            </w:pPr>
            <w:r w:rsidRPr="007D4C5F">
              <w:rPr>
                <w:rFonts w:ascii="Garamond" w:hAnsi="Garamond"/>
              </w:rPr>
              <w:t>6</w:t>
            </w:r>
          </w:p>
        </w:tc>
        <w:tc>
          <w:tcPr>
            <w:tcW w:w="1560" w:type="dxa"/>
            <w:tcBorders>
              <w:top w:val="single" w:sz="4" w:space="0" w:color="000000"/>
              <w:left w:val="single" w:sz="4" w:space="0" w:color="000000"/>
              <w:bottom w:val="single" w:sz="4" w:space="0" w:color="000000"/>
              <w:right w:val="single" w:sz="4" w:space="0" w:color="000000"/>
            </w:tcBorders>
            <w:shd w:val="clear" w:color="auto" w:fill="BFBFBF"/>
            <w:tcMar>
              <w:top w:w="80" w:type="dxa"/>
              <w:left w:w="80" w:type="dxa"/>
              <w:bottom w:w="80" w:type="dxa"/>
              <w:right w:w="80" w:type="dxa"/>
            </w:tcMar>
            <w:vAlign w:val="center"/>
          </w:tcPr>
          <w:p w14:paraId="45DAD9E5" w14:textId="77777777" w:rsidR="004B3B82" w:rsidRPr="007D4C5F" w:rsidRDefault="004B3B82" w:rsidP="00CD3B05">
            <w:pPr>
              <w:jc w:val="center"/>
              <w:rPr>
                <w:rFonts w:ascii="Garamond" w:hAnsi="Garamond"/>
                <w:b/>
                <w:bCs/>
                <w:vertAlign w:val="subscript"/>
              </w:rPr>
            </w:pPr>
            <w:r w:rsidRPr="007D4C5F">
              <w:rPr>
                <w:rFonts w:ascii="Garamond" w:hAnsi="Garamond"/>
                <w:b/>
                <w:bCs/>
              </w:rPr>
              <w:t>П</w:t>
            </w:r>
            <w:r w:rsidRPr="007D4C5F">
              <w:rPr>
                <w:rFonts w:ascii="Garamond" w:hAnsi="Garamond"/>
                <w:b/>
                <w:bCs/>
                <w:vertAlign w:val="subscript"/>
              </w:rPr>
              <w:t>Ф13</w:t>
            </w:r>
          </w:p>
          <w:p w14:paraId="77E5FC0E" w14:textId="77777777" w:rsidR="004B3B82" w:rsidRPr="007D4C5F" w:rsidRDefault="004B3B82" w:rsidP="00CD3B05">
            <w:pPr>
              <w:jc w:val="center"/>
              <w:rPr>
                <w:rFonts w:ascii="Garamond" w:hAnsi="Garamond"/>
              </w:rPr>
            </w:pPr>
            <w:r w:rsidRPr="007D4C5F">
              <w:rPr>
                <w:rFonts w:ascii="Garamond" w:hAnsi="Garamond"/>
                <w:bCs/>
              </w:rPr>
              <w:t>(п. 5.1.1)</w:t>
            </w:r>
          </w:p>
        </w:tc>
        <w:tc>
          <w:tcPr>
            <w:tcW w:w="7797" w:type="dxa"/>
            <w:tcBorders>
              <w:top w:val="single" w:sz="4" w:space="0" w:color="000000"/>
              <w:left w:val="single" w:sz="4" w:space="0" w:color="000000"/>
              <w:bottom w:val="single" w:sz="4" w:space="0" w:color="000000"/>
              <w:right w:val="single" w:sz="4" w:space="0" w:color="000000"/>
            </w:tcBorders>
            <w:shd w:val="clear" w:color="auto" w:fill="BFBFBF"/>
            <w:tcMar>
              <w:top w:w="80" w:type="dxa"/>
              <w:left w:w="80" w:type="dxa"/>
              <w:bottom w:w="80" w:type="dxa"/>
              <w:right w:w="80" w:type="dxa"/>
            </w:tcMar>
          </w:tcPr>
          <w:p w14:paraId="4D03AB6F" w14:textId="77777777" w:rsidR="004B3B82" w:rsidRPr="007D4C5F" w:rsidRDefault="004B3B82" w:rsidP="00CD3B05">
            <w:pPr>
              <w:rPr>
                <w:rFonts w:ascii="Garamond" w:hAnsi="Garamond"/>
              </w:rPr>
            </w:pPr>
            <w:r w:rsidRPr="007D4C5F">
              <w:rPr>
                <w:rFonts w:ascii="Garamond" w:hAnsi="Garamond"/>
                <w:b/>
                <w:bCs/>
              </w:rPr>
              <w:t>Сбор результатов измерений</w:t>
            </w:r>
          </w:p>
        </w:tc>
      </w:tr>
      <w:tr w:rsidR="004B3B82" w:rsidRPr="007D4C5F" w14:paraId="30CC9836" w14:textId="77777777" w:rsidTr="00CD3B05">
        <w:tblPrEx>
          <w:shd w:val="clear" w:color="auto" w:fill="auto"/>
        </w:tblPrEx>
        <w:trPr>
          <w:trHeight w:val="250"/>
          <w:jc w:val="right"/>
        </w:trPr>
        <w:tc>
          <w:tcPr>
            <w:tcW w:w="567" w:type="dxa"/>
            <w:tcBorders>
              <w:top w:val="single" w:sz="4" w:space="0" w:color="000000"/>
              <w:left w:val="single" w:sz="4" w:space="0" w:color="000000"/>
              <w:bottom w:val="single" w:sz="4" w:space="0" w:color="000000"/>
              <w:right w:val="single" w:sz="4" w:space="0" w:color="000000"/>
            </w:tcBorders>
            <w:shd w:val="clear" w:color="auto" w:fill="92D050"/>
            <w:tcMar>
              <w:top w:w="80" w:type="dxa"/>
              <w:left w:w="80" w:type="dxa"/>
              <w:bottom w:w="80" w:type="dxa"/>
              <w:right w:w="80" w:type="dxa"/>
            </w:tcMar>
            <w:vAlign w:val="center"/>
          </w:tcPr>
          <w:p w14:paraId="157FC0E2" w14:textId="77777777" w:rsidR="004B3B82" w:rsidRPr="007D4C5F" w:rsidRDefault="004B3B82" w:rsidP="00CD3B05">
            <w:pPr>
              <w:rPr>
                <w:rFonts w:ascii="Garamond" w:hAnsi="Garamond"/>
              </w:rPr>
            </w:pPr>
          </w:p>
        </w:tc>
        <w:tc>
          <w:tcPr>
            <w:tcW w:w="1560" w:type="dxa"/>
            <w:tcBorders>
              <w:top w:val="single" w:sz="4" w:space="0" w:color="000000"/>
              <w:left w:val="single" w:sz="4" w:space="0" w:color="000000"/>
              <w:bottom w:val="single" w:sz="4" w:space="0" w:color="000000"/>
              <w:right w:val="single" w:sz="4" w:space="0" w:color="000000"/>
            </w:tcBorders>
            <w:shd w:val="clear" w:color="auto" w:fill="92D050"/>
            <w:tcMar>
              <w:top w:w="80" w:type="dxa"/>
              <w:left w:w="80" w:type="dxa"/>
              <w:bottom w:w="80" w:type="dxa"/>
              <w:right w:w="80" w:type="dxa"/>
            </w:tcMar>
            <w:vAlign w:val="center"/>
          </w:tcPr>
          <w:p w14:paraId="61176090" w14:textId="77777777" w:rsidR="004B3B82" w:rsidRPr="007D4C5F" w:rsidRDefault="004B3B82" w:rsidP="00CD3B05">
            <w:pPr>
              <w:jc w:val="center"/>
              <w:rPr>
                <w:rFonts w:ascii="Garamond" w:hAnsi="Garamond"/>
              </w:rPr>
            </w:pPr>
            <w:r w:rsidRPr="007D4C5F">
              <w:rPr>
                <w:rFonts w:ascii="Garamond" w:hAnsi="Garamond"/>
                <w:b/>
                <w:bCs/>
              </w:rPr>
              <w:t>Компоненты</w:t>
            </w:r>
          </w:p>
        </w:tc>
        <w:tc>
          <w:tcPr>
            <w:tcW w:w="7797" w:type="dxa"/>
            <w:tcBorders>
              <w:top w:val="single" w:sz="4" w:space="0" w:color="000000"/>
              <w:left w:val="single" w:sz="4" w:space="0" w:color="000000"/>
              <w:bottom w:val="single" w:sz="4" w:space="0" w:color="000000"/>
              <w:right w:val="single" w:sz="4" w:space="0" w:color="000000"/>
            </w:tcBorders>
            <w:shd w:val="clear" w:color="auto" w:fill="92D050"/>
            <w:tcMar>
              <w:top w:w="80" w:type="dxa"/>
              <w:left w:w="80" w:type="dxa"/>
              <w:bottom w:w="80" w:type="dxa"/>
              <w:right w:w="80" w:type="dxa"/>
            </w:tcMar>
          </w:tcPr>
          <w:p w14:paraId="58E05292" w14:textId="77777777" w:rsidR="004B3B82" w:rsidRPr="007D4C5F" w:rsidRDefault="004B3B82" w:rsidP="00CD3B05">
            <w:pPr>
              <w:rPr>
                <w:rFonts w:ascii="Garamond" w:hAnsi="Garamond"/>
              </w:rPr>
            </w:pPr>
            <w:r w:rsidRPr="007D4C5F">
              <w:rPr>
                <w:rFonts w:ascii="Garamond" w:hAnsi="Garamond"/>
              </w:rPr>
              <w:t xml:space="preserve">ИВК – сервер </w:t>
            </w:r>
          </w:p>
        </w:tc>
      </w:tr>
      <w:tr w:rsidR="004B3B82" w:rsidRPr="007D4C5F" w14:paraId="3EF318C3" w14:textId="77777777" w:rsidTr="00CD3B05">
        <w:tblPrEx>
          <w:shd w:val="clear" w:color="auto" w:fill="auto"/>
        </w:tblPrEx>
        <w:trPr>
          <w:trHeight w:val="4090"/>
          <w:jc w:val="right"/>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3F81C0C" w14:textId="77777777" w:rsidR="004B3B82" w:rsidRPr="007D4C5F" w:rsidRDefault="004B3B82" w:rsidP="00CD3B05">
            <w:pPr>
              <w:rPr>
                <w:rFonts w:ascii="Garamond" w:hAnsi="Garamond"/>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058B653" w14:textId="77777777" w:rsidR="004B3B82" w:rsidRPr="007D4C5F" w:rsidRDefault="004B3B82" w:rsidP="00CD3B05">
            <w:pPr>
              <w:jc w:val="center"/>
              <w:rPr>
                <w:rFonts w:ascii="Garamond" w:hAnsi="Garamond"/>
              </w:rPr>
            </w:pPr>
            <w:r w:rsidRPr="007D4C5F">
              <w:rPr>
                <w:rFonts w:ascii="Garamond" w:hAnsi="Garamond"/>
                <w:b/>
                <w:bCs/>
              </w:rPr>
              <w:t>Действия</w:t>
            </w:r>
          </w:p>
        </w:tc>
        <w:tc>
          <w:tcPr>
            <w:tcW w:w="779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657704E" w14:textId="77777777" w:rsidR="004B3B82" w:rsidRPr="007D4C5F" w:rsidRDefault="004B3B82" w:rsidP="00CD3B05">
            <w:pPr>
              <w:pStyle w:val="ac"/>
              <w:numPr>
                <w:ilvl w:val="0"/>
                <w:numId w:val="2"/>
              </w:numPr>
              <w:pBdr>
                <w:top w:val="nil"/>
                <w:left w:val="nil"/>
                <w:bottom w:val="nil"/>
                <w:right w:val="nil"/>
                <w:between w:val="nil"/>
                <w:bar w:val="nil"/>
              </w:pBdr>
              <w:tabs>
                <w:tab w:val="clear" w:pos="317"/>
                <w:tab w:val="num" w:pos="380"/>
                <w:tab w:val="left" w:pos="1440"/>
              </w:tabs>
              <w:ind w:left="380" w:hanging="380"/>
              <w:jc w:val="both"/>
              <w:rPr>
                <w:rFonts w:ascii="Garamond" w:eastAsia="Garamond" w:hAnsi="Garamond" w:cs="Garamond"/>
              </w:rPr>
            </w:pPr>
            <w:r w:rsidRPr="007D4C5F">
              <w:rPr>
                <w:rFonts w:ascii="Garamond" w:hAnsi="Garamond"/>
              </w:rPr>
              <w:t>С помощью стандартных средств операционной системы или специализированного ПО удаленного доступа и администрирования устанавливается интернет-соединение с удаленным рабочим столом сервера ИВК АИИС КУЭ.</w:t>
            </w:r>
          </w:p>
          <w:p w14:paraId="137C5E98" w14:textId="77777777" w:rsidR="004B3B82" w:rsidRPr="007D4C5F" w:rsidRDefault="004B3B82" w:rsidP="00CD3B05">
            <w:pPr>
              <w:pStyle w:val="ac"/>
              <w:numPr>
                <w:ilvl w:val="0"/>
                <w:numId w:val="2"/>
              </w:numPr>
              <w:pBdr>
                <w:top w:val="nil"/>
                <w:left w:val="nil"/>
                <w:bottom w:val="nil"/>
                <w:right w:val="nil"/>
                <w:between w:val="nil"/>
                <w:bar w:val="nil"/>
              </w:pBdr>
              <w:tabs>
                <w:tab w:val="clear" w:pos="317"/>
                <w:tab w:val="num" w:pos="380"/>
                <w:tab w:val="left" w:pos="1440"/>
              </w:tabs>
              <w:ind w:left="380" w:hanging="380"/>
              <w:jc w:val="both"/>
              <w:rPr>
                <w:rFonts w:ascii="Garamond" w:eastAsia="Garamond" w:hAnsi="Garamond" w:cs="Garamond"/>
              </w:rPr>
            </w:pPr>
            <w:r w:rsidRPr="007D4C5F">
              <w:rPr>
                <w:rFonts w:ascii="Garamond" w:hAnsi="Garamond"/>
              </w:rPr>
              <w:t>На сервере ИВК АИИС КУЭ заявителя формируется XML-файл (формат 80020), содержащий результаты измерений за прошедшие сутки, и направляется с ЭП в ПАК КО.</w:t>
            </w:r>
          </w:p>
          <w:p w14:paraId="2545A33E" w14:textId="77777777" w:rsidR="004B3B82" w:rsidRPr="00B44491" w:rsidRDefault="004B3B82" w:rsidP="00CD3B05">
            <w:pPr>
              <w:pStyle w:val="ac"/>
              <w:numPr>
                <w:ilvl w:val="0"/>
                <w:numId w:val="2"/>
              </w:numPr>
              <w:pBdr>
                <w:top w:val="nil"/>
                <w:left w:val="nil"/>
                <w:bottom w:val="nil"/>
                <w:right w:val="nil"/>
                <w:between w:val="nil"/>
                <w:bar w:val="nil"/>
              </w:pBdr>
              <w:tabs>
                <w:tab w:val="clear" w:pos="317"/>
                <w:tab w:val="num" w:pos="380"/>
                <w:tab w:val="left" w:pos="1440"/>
              </w:tabs>
              <w:ind w:left="380" w:hanging="380"/>
              <w:jc w:val="both"/>
              <w:rPr>
                <w:rFonts w:ascii="Garamond" w:eastAsia="Garamond" w:hAnsi="Garamond" w:cs="Garamond"/>
              </w:rPr>
            </w:pPr>
            <w:r w:rsidRPr="007D4C5F">
              <w:rPr>
                <w:rFonts w:ascii="Garamond" w:hAnsi="Garamond"/>
              </w:rPr>
              <w:t xml:space="preserve">Проверяется взаимное </w:t>
            </w:r>
            <w:r w:rsidRPr="00B44491">
              <w:rPr>
                <w:rFonts w:ascii="Garamond" w:hAnsi="Garamond"/>
              </w:rPr>
              <w:t>соответствие сведений, содержащихся в документах, представленных в соответствии с таблицей 2 приложения 1 к настоящему Порядку, и АИИС КУЭ (компонентов АИИС КУЭ), представленной на испытания.</w:t>
            </w:r>
          </w:p>
          <w:p w14:paraId="7B9459EF" w14:textId="77777777" w:rsidR="004B3B82" w:rsidRPr="00B44491" w:rsidRDefault="004B3B82" w:rsidP="00CD3B05">
            <w:pPr>
              <w:pStyle w:val="ac"/>
              <w:numPr>
                <w:ilvl w:val="0"/>
                <w:numId w:val="2"/>
              </w:numPr>
              <w:pBdr>
                <w:top w:val="nil"/>
                <w:left w:val="nil"/>
                <w:bottom w:val="nil"/>
                <w:right w:val="nil"/>
                <w:between w:val="nil"/>
                <w:bar w:val="nil"/>
              </w:pBdr>
              <w:tabs>
                <w:tab w:val="clear" w:pos="317"/>
                <w:tab w:val="num" w:pos="380"/>
                <w:tab w:val="left" w:pos="1440"/>
              </w:tabs>
              <w:ind w:left="380" w:hanging="380"/>
              <w:jc w:val="both"/>
              <w:rPr>
                <w:rFonts w:ascii="Garamond" w:hAnsi="Garamond"/>
                <w:shd w:val="clear" w:color="auto" w:fill="FFFF00"/>
              </w:rPr>
            </w:pPr>
            <w:r w:rsidRPr="00B44491">
              <w:rPr>
                <w:rFonts w:ascii="Garamond" w:hAnsi="Garamond"/>
              </w:rPr>
              <w:t xml:space="preserve">Производится сверка параметров ИИК (коэффициенты трансформации ТТ, ТН) в </w:t>
            </w:r>
            <w:r w:rsidRPr="00F56BC1">
              <w:rPr>
                <w:rFonts w:ascii="Garamond" w:hAnsi="Garamond"/>
                <w:highlight w:val="yellow"/>
              </w:rPr>
              <w:t>счетчике</w:t>
            </w:r>
            <w:r w:rsidRPr="00B44491">
              <w:rPr>
                <w:rFonts w:ascii="Garamond" w:hAnsi="Garamond"/>
              </w:rPr>
              <w:t xml:space="preserve">, УСПД, ПО БД ИВК с описанием типа, свидетельством о поверке АИИС КУЭ либо паспортами-протоколами, актами допуска прибора учета в эксплуатацию, свидетельствами о поверке </w:t>
            </w:r>
            <w:r w:rsidRPr="00F56BC1">
              <w:rPr>
                <w:rFonts w:ascii="Garamond" w:hAnsi="Garamond"/>
                <w:highlight w:val="yellow"/>
              </w:rPr>
              <w:t>счетчиков</w:t>
            </w:r>
            <w:r w:rsidRPr="00B44491">
              <w:rPr>
                <w:rFonts w:ascii="Garamond" w:hAnsi="Garamond"/>
              </w:rPr>
              <w:t xml:space="preserve"> (при оформлении актов о соответствии АИИС КУЭ класса </w:t>
            </w:r>
            <w:r w:rsidRPr="00B44491">
              <w:rPr>
                <w:rFonts w:ascii="Garamond" w:hAnsi="Garamond"/>
                <w:lang w:val="en-US"/>
              </w:rPr>
              <w:t>N</w:t>
            </w:r>
            <w:r w:rsidRPr="00B44491">
              <w:rPr>
                <w:rFonts w:ascii="Garamond" w:hAnsi="Garamond"/>
              </w:rPr>
              <w:t xml:space="preserve"> и в случаях, предусмотренных п. 1.2.1 настоящего Порядка).</w:t>
            </w:r>
            <w:r w:rsidRPr="00B44491">
              <w:rPr>
                <w:rFonts w:ascii="Garamond" w:hAnsi="Garamond"/>
                <w:shd w:val="clear" w:color="auto" w:fill="FFFF00"/>
              </w:rPr>
              <w:t xml:space="preserve"> </w:t>
            </w:r>
          </w:p>
          <w:p w14:paraId="054B32EB" w14:textId="77777777" w:rsidR="004B3B82" w:rsidRPr="00B44491" w:rsidRDefault="004B3B82" w:rsidP="00CD3B05">
            <w:pPr>
              <w:pStyle w:val="ac"/>
              <w:numPr>
                <w:ilvl w:val="0"/>
                <w:numId w:val="2"/>
              </w:numPr>
              <w:pBdr>
                <w:top w:val="nil"/>
                <w:left w:val="nil"/>
                <w:bottom w:val="nil"/>
                <w:right w:val="nil"/>
                <w:between w:val="nil"/>
                <w:bar w:val="nil"/>
              </w:pBdr>
              <w:tabs>
                <w:tab w:val="clear" w:pos="317"/>
                <w:tab w:val="num" w:pos="380"/>
                <w:tab w:val="left" w:pos="1440"/>
              </w:tabs>
              <w:ind w:left="380" w:hanging="380"/>
              <w:jc w:val="both"/>
              <w:rPr>
                <w:rFonts w:ascii="Garamond" w:eastAsia="Garamond" w:hAnsi="Garamond" w:cs="Garamond"/>
              </w:rPr>
            </w:pPr>
            <w:r w:rsidRPr="00B44491">
              <w:rPr>
                <w:rFonts w:ascii="Garamond" w:hAnsi="Garamond"/>
              </w:rPr>
              <w:t>Производится выборочная сверка идентичности следующих данных:</w:t>
            </w:r>
          </w:p>
          <w:p w14:paraId="30ED160C" w14:textId="77777777" w:rsidR="004B3B82" w:rsidRPr="007D4C5F" w:rsidRDefault="004B3B82" w:rsidP="00101F7C">
            <w:pPr>
              <w:pStyle w:val="ac"/>
              <w:numPr>
                <w:ilvl w:val="0"/>
                <w:numId w:val="107"/>
              </w:numPr>
              <w:pBdr>
                <w:top w:val="nil"/>
                <w:left w:val="nil"/>
                <w:bottom w:val="nil"/>
                <w:right w:val="nil"/>
                <w:between w:val="nil"/>
                <w:bar w:val="nil"/>
              </w:pBdr>
              <w:tabs>
                <w:tab w:val="left" w:pos="699"/>
              </w:tabs>
              <w:ind w:left="699" w:hanging="319"/>
              <w:jc w:val="both"/>
              <w:rPr>
                <w:rFonts w:ascii="Garamond" w:hAnsi="Garamond"/>
                <w:shd w:val="clear" w:color="auto" w:fill="FFFF00"/>
              </w:rPr>
            </w:pPr>
            <w:r w:rsidRPr="00B44491">
              <w:rPr>
                <w:rFonts w:ascii="Garamond" w:hAnsi="Garamond"/>
              </w:rPr>
              <w:t>результатов измерений</w:t>
            </w:r>
            <w:r w:rsidRPr="007D4C5F">
              <w:rPr>
                <w:rFonts w:ascii="Garamond" w:hAnsi="Garamond"/>
              </w:rPr>
              <w:t xml:space="preserve">, хранящихся в </w:t>
            </w:r>
            <w:r w:rsidRPr="00F56BC1">
              <w:rPr>
                <w:rFonts w:ascii="Garamond" w:hAnsi="Garamond"/>
                <w:highlight w:val="yellow"/>
              </w:rPr>
              <w:t>счетчиках</w:t>
            </w:r>
            <w:r w:rsidRPr="007D4C5F">
              <w:rPr>
                <w:rFonts w:ascii="Garamond" w:hAnsi="Garamond"/>
              </w:rPr>
              <w:t>, с учетом коэффициентов трансформации ТТ, ТН;</w:t>
            </w:r>
          </w:p>
          <w:p w14:paraId="12739870" w14:textId="77777777" w:rsidR="004B3B82" w:rsidRPr="007D4C5F" w:rsidRDefault="004B3B82" w:rsidP="00101F7C">
            <w:pPr>
              <w:pStyle w:val="ac"/>
              <w:numPr>
                <w:ilvl w:val="0"/>
                <w:numId w:val="107"/>
              </w:numPr>
              <w:pBdr>
                <w:top w:val="nil"/>
                <w:left w:val="nil"/>
                <w:bottom w:val="nil"/>
                <w:right w:val="nil"/>
                <w:between w:val="nil"/>
                <w:bar w:val="nil"/>
              </w:pBdr>
              <w:tabs>
                <w:tab w:val="left" w:pos="699"/>
              </w:tabs>
              <w:ind w:left="699" w:hanging="319"/>
              <w:jc w:val="both"/>
              <w:rPr>
                <w:rFonts w:ascii="Garamond" w:hAnsi="Garamond"/>
                <w:shd w:val="clear" w:color="auto" w:fill="FFFF00"/>
              </w:rPr>
            </w:pPr>
            <w:r w:rsidRPr="007D4C5F">
              <w:rPr>
                <w:rFonts w:ascii="Garamond" w:hAnsi="Garamond"/>
              </w:rPr>
              <w:t>результатов измерений, хранящихся в УСПД (ИВКЭ), с учетом коэффициентов трансформации ТТ, ТН;</w:t>
            </w:r>
          </w:p>
          <w:p w14:paraId="77ABBE80" w14:textId="77777777" w:rsidR="004B3B82" w:rsidRPr="007D4C5F" w:rsidRDefault="004B3B82" w:rsidP="00101F7C">
            <w:pPr>
              <w:pStyle w:val="ac"/>
              <w:numPr>
                <w:ilvl w:val="0"/>
                <w:numId w:val="107"/>
              </w:numPr>
              <w:pBdr>
                <w:top w:val="nil"/>
                <w:left w:val="nil"/>
                <w:bottom w:val="nil"/>
                <w:right w:val="nil"/>
                <w:between w:val="nil"/>
                <w:bar w:val="nil"/>
              </w:pBdr>
              <w:tabs>
                <w:tab w:val="left" w:pos="699"/>
              </w:tabs>
              <w:ind w:left="699" w:hanging="319"/>
              <w:jc w:val="both"/>
              <w:rPr>
                <w:rFonts w:ascii="Garamond" w:hAnsi="Garamond"/>
                <w:shd w:val="clear" w:color="auto" w:fill="FFFF00"/>
              </w:rPr>
            </w:pPr>
            <w:r w:rsidRPr="007D4C5F">
              <w:rPr>
                <w:rFonts w:ascii="Garamond" w:hAnsi="Garamond"/>
              </w:rPr>
              <w:t>результатов измерений, хранящихся в БД ИВК, с учетом коэффициентов трансформации ТТ, ТН;</w:t>
            </w:r>
          </w:p>
          <w:p w14:paraId="12B82F16" w14:textId="77777777" w:rsidR="004B3B82" w:rsidRPr="007D4C5F" w:rsidRDefault="004B3B82" w:rsidP="00101F7C">
            <w:pPr>
              <w:pStyle w:val="ac"/>
              <w:numPr>
                <w:ilvl w:val="0"/>
                <w:numId w:val="107"/>
              </w:numPr>
              <w:pBdr>
                <w:top w:val="nil"/>
                <w:left w:val="nil"/>
                <w:bottom w:val="nil"/>
                <w:right w:val="nil"/>
                <w:between w:val="nil"/>
                <w:bar w:val="nil"/>
              </w:pBdr>
              <w:tabs>
                <w:tab w:val="left" w:pos="699"/>
              </w:tabs>
              <w:ind w:left="699" w:hanging="319"/>
              <w:jc w:val="both"/>
              <w:rPr>
                <w:rFonts w:ascii="Garamond" w:hAnsi="Garamond"/>
                <w:shd w:val="clear" w:color="auto" w:fill="FFFF00"/>
              </w:rPr>
            </w:pPr>
            <w:r w:rsidRPr="007D4C5F">
              <w:rPr>
                <w:rFonts w:ascii="Garamond" w:hAnsi="Garamond"/>
              </w:rPr>
              <w:t xml:space="preserve">результатов измерений, полученных от заявителя в </w:t>
            </w:r>
            <w:r w:rsidRPr="007D4C5F">
              <w:rPr>
                <w:rFonts w:ascii="Garamond" w:hAnsi="Garamond"/>
                <w:lang w:val="en-US"/>
              </w:rPr>
              <w:t>XML</w:t>
            </w:r>
            <w:r w:rsidRPr="007D4C5F">
              <w:rPr>
                <w:rFonts w:ascii="Garamond" w:hAnsi="Garamond"/>
              </w:rPr>
              <w:t>-файлах (формат 80020) в ПАК КО.</w:t>
            </w:r>
          </w:p>
        </w:tc>
      </w:tr>
      <w:tr w:rsidR="004B3B82" w:rsidRPr="007D4C5F" w14:paraId="1BB876DE" w14:textId="77777777" w:rsidTr="00CD3B05">
        <w:tblPrEx>
          <w:shd w:val="clear" w:color="auto" w:fill="auto"/>
        </w:tblPrEx>
        <w:trPr>
          <w:trHeight w:val="1210"/>
          <w:jc w:val="right"/>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F09CC68" w14:textId="77777777" w:rsidR="004B3B82" w:rsidRPr="007D4C5F" w:rsidRDefault="004B3B82" w:rsidP="00CD3B05">
            <w:pPr>
              <w:rPr>
                <w:rFonts w:ascii="Garamond" w:hAnsi="Garamond"/>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5F363EA" w14:textId="77777777" w:rsidR="004B3B82" w:rsidRPr="007D4C5F" w:rsidRDefault="004B3B82" w:rsidP="00CD3B05">
            <w:pPr>
              <w:jc w:val="center"/>
              <w:rPr>
                <w:rFonts w:ascii="Garamond" w:hAnsi="Garamond"/>
              </w:rPr>
            </w:pPr>
            <w:r w:rsidRPr="007D4C5F">
              <w:rPr>
                <w:rFonts w:ascii="Garamond" w:hAnsi="Garamond"/>
                <w:b/>
                <w:bCs/>
              </w:rPr>
              <w:t>Критерии</w:t>
            </w:r>
          </w:p>
        </w:tc>
        <w:tc>
          <w:tcPr>
            <w:tcW w:w="779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4CA8F9" w14:textId="77777777" w:rsidR="004B3B82" w:rsidRPr="007D4C5F" w:rsidRDefault="004B3B82" w:rsidP="00101F7C">
            <w:pPr>
              <w:pStyle w:val="ac"/>
              <w:numPr>
                <w:ilvl w:val="0"/>
                <w:numId w:val="108"/>
              </w:numPr>
              <w:pBdr>
                <w:top w:val="nil"/>
                <w:left w:val="nil"/>
                <w:bottom w:val="nil"/>
                <w:right w:val="nil"/>
                <w:between w:val="nil"/>
                <w:bar w:val="nil"/>
              </w:pBdr>
              <w:tabs>
                <w:tab w:val="left" w:pos="1440"/>
              </w:tabs>
              <w:jc w:val="both"/>
              <w:rPr>
                <w:rFonts w:ascii="Garamond" w:hAnsi="Garamond"/>
              </w:rPr>
            </w:pPr>
            <w:r w:rsidRPr="007D4C5F">
              <w:rPr>
                <w:rFonts w:ascii="Garamond" w:hAnsi="Garamond"/>
              </w:rPr>
              <w:t xml:space="preserve">Отсутствие в ответных сообщениях (формат 80021) от КО уведомлений об ошибках. </w:t>
            </w:r>
          </w:p>
          <w:p w14:paraId="48FB55A9" w14:textId="77777777" w:rsidR="004B3B82" w:rsidRPr="007D4C5F" w:rsidRDefault="004B3B82" w:rsidP="00101F7C">
            <w:pPr>
              <w:pStyle w:val="ac"/>
              <w:numPr>
                <w:ilvl w:val="0"/>
                <w:numId w:val="108"/>
              </w:numPr>
              <w:pBdr>
                <w:top w:val="nil"/>
                <w:left w:val="nil"/>
                <w:bottom w:val="nil"/>
                <w:right w:val="nil"/>
                <w:between w:val="nil"/>
                <w:bar w:val="nil"/>
              </w:pBdr>
              <w:tabs>
                <w:tab w:val="left" w:pos="1440"/>
              </w:tabs>
              <w:jc w:val="both"/>
              <w:rPr>
                <w:rFonts w:ascii="Garamond" w:hAnsi="Garamond"/>
              </w:rPr>
            </w:pPr>
            <w:r w:rsidRPr="007D4C5F">
              <w:rPr>
                <w:rFonts w:ascii="Garamond" w:hAnsi="Garamond"/>
              </w:rPr>
              <w:t>Параметры ИИК соответствуют представленной документации.</w:t>
            </w:r>
          </w:p>
          <w:p w14:paraId="6D12223D" w14:textId="77777777" w:rsidR="004B3B82" w:rsidRPr="007D4C5F" w:rsidRDefault="004B3B82" w:rsidP="00101F7C">
            <w:pPr>
              <w:pStyle w:val="ac"/>
              <w:numPr>
                <w:ilvl w:val="0"/>
                <w:numId w:val="108"/>
              </w:numPr>
              <w:pBdr>
                <w:top w:val="nil"/>
                <w:left w:val="nil"/>
                <w:bottom w:val="nil"/>
                <w:right w:val="nil"/>
                <w:between w:val="nil"/>
                <w:bar w:val="nil"/>
              </w:pBdr>
              <w:tabs>
                <w:tab w:val="left" w:pos="1440"/>
              </w:tabs>
              <w:jc w:val="both"/>
              <w:rPr>
                <w:rFonts w:ascii="Garamond" w:hAnsi="Garamond"/>
              </w:rPr>
            </w:pPr>
            <w:r w:rsidRPr="007D4C5F">
              <w:rPr>
                <w:rFonts w:ascii="Garamond" w:hAnsi="Garamond"/>
              </w:rPr>
              <w:t xml:space="preserve">Идентичность результатов измерений, хранящихся в </w:t>
            </w:r>
            <w:r w:rsidRPr="00F56BC1">
              <w:rPr>
                <w:rFonts w:ascii="Garamond" w:hAnsi="Garamond"/>
                <w:highlight w:val="yellow"/>
              </w:rPr>
              <w:t>счетчиках</w:t>
            </w:r>
            <w:r w:rsidRPr="007D4C5F">
              <w:rPr>
                <w:rFonts w:ascii="Garamond" w:hAnsi="Garamond"/>
              </w:rPr>
              <w:t>, УСПД (ИВКЭ), БД ИВК, ПАК КО</w:t>
            </w:r>
            <w:r>
              <w:rPr>
                <w:rFonts w:ascii="Garamond" w:hAnsi="Garamond"/>
              </w:rPr>
              <w:t xml:space="preserve"> </w:t>
            </w:r>
            <w:r w:rsidRPr="00F040C0">
              <w:rPr>
                <w:rFonts w:ascii="Garamond" w:hAnsi="Garamond"/>
              </w:rPr>
              <w:t>(по точке измерений на обходном выключателе проверка выполняется в отношении измерительных каналов, соответствующих измерительным каналам, закодированным КО для замещаемой точки измерений)</w:t>
            </w:r>
            <w:r w:rsidRPr="007D4C5F">
              <w:rPr>
                <w:rFonts w:ascii="Garamond" w:hAnsi="Garamond"/>
              </w:rPr>
              <w:t>.</w:t>
            </w:r>
          </w:p>
          <w:p w14:paraId="6BB862F0" w14:textId="77777777" w:rsidR="004B3B82" w:rsidRPr="007D4C5F" w:rsidRDefault="004B3B82" w:rsidP="00101F7C">
            <w:pPr>
              <w:pStyle w:val="ac"/>
              <w:numPr>
                <w:ilvl w:val="0"/>
                <w:numId w:val="108"/>
              </w:numPr>
              <w:rPr>
                <w:rFonts w:ascii="Garamond" w:hAnsi="Garamond" w:cs="Tahoma"/>
              </w:rPr>
            </w:pPr>
            <w:r w:rsidRPr="007D4C5F">
              <w:rPr>
                <w:rFonts w:ascii="Garamond" w:hAnsi="Garamond" w:cs="Tahoma"/>
              </w:rPr>
              <w:t xml:space="preserve">АИИС КУЭ соответствует документации, представленной в КО для проведения процедуры установления соответствия. </w:t>
            </w:r>
          </w:p>
        </w:tc>
      </w:tr>
      <w:tr w:rsidR="004B3B82" w:rsidRPr="007D4C5F" w14:paraId="25A8C6FC" w14:textId="77777777" w:rsidTr="00CD3B05">
        <w:tblPrEx>
          <w:shd w:val="clear" w:color="auto" w:fill="auto"/>
        </w:tblPrEx>
        <w:trPr>
          <w:trHeight w:val="730"/>
          <w:jc w:val="right"/>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EB4E8DC" w14:textId="77777777" w:rsidR="004B3B82" w:rsidRPr="007D4C5F" w:rsidRDefault="004B3B82" w:rsidP="00CD3B05">
            <w:pPr>
              <w:rPr>
                <w:rFonts w:ascii="Garamond" w:hAnsi="Garamond"/>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D55FAF7" w14:textId="77777777" w:rsidR="004B3B82" w:rsidRPr="007D4C5F" w:rsidRDefault="004B3B82" w:rsidP="00CD3B05">
            <w:pPr>
              <w:jc w:val="center"/>
              <w:rPr>
                <w:rFonts w:ascii="Garamond" w:hAnsi="Garamond"/>
              </w:rPr>
            </w:pPr>
            <w:r w:rsidRPr="007D4C5F">
              <w:rPr>
                <w:rFonts w:ascii="Garamond" w:hAnsi="Garamond"/>
                <w:b/>
                <w:bCs/>
              </w:rPr>
              <w:t>Испытатели</w:t>
            </w:r>
          </w:p>
        </w:tc>
        <w:tc>
          <w:tcPr>
            <w:tcW w:w="779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689B4A9" w14:textId="77777777" w:rsidR="004B3B82" w:rsidRPr="007D4C5F" w:rsidRDefault="004B3B82" w:rsidP="00CD3B05">
            <w:pPr>
              <w:pStyle w:val="ac"/>
              <w:numPr>
                <w:ilvl w:val="0"/>
                <w:numId w:val="3"/>
              </w:numPr>
              <w:pBdr>
                <w:top w:val="nil"/>
                <w:left w:val="nil"/>
                <w:bottom w:val="nil"/>
                <w:right w:val="nil"/>
                <w:between w:val="nil"/>
                <w:bar w:val="nil"/>
              </w:pBdr>
              <w:tabs>
                <w:tab w:val="clear" w:pos="317"/>
                <w:tab w:val="num" w:pos="380"/>
                <w:tab w:val="left" w:pos="1440"/>
              </w:tabs>
              <w:ind w:left="380" w:hanging="380"/>
              <w:jc w:val="both"/>
              <w:rPr>
                <w:rFonts w:ascii="Garamond" w:eastAsia="Garamond" w:hAnsi="Garamond" w:cs="Garamond"/>
              </w:rPr>
            </w:pPr>
            <w:r w:rsidRPr="007D4C5F">
              <w:rPr>
                <w:rFonts w:ascii="Garamond" w:hAnsi="Garamond"/>
              </w:rPr>
              <w:t>Представители КО.</w:t>
            </w:r>
          </w:p>
          <w:p w14:paraId="1BE4BCEB" w14:textId="77777777" w:rsidR="004B3B82" w:rsidRPr="007D4C5F" w:rsidRDefault="004B3B82" w:rsidP="00CD3B05">
            <w:pPr>
              <w:pStyle w:val="ac"/>
              <w:numPr>
                <w:ilvl w:val="0"/>
                <w:numId w:val="3"/>
              </w:numPr>
              <w:pBdr>
                <w:top w:val="nil"/>
                <w:left w:val="nil"/>
                <w:bottom w:val="nil"/>
                <w:right w:val="nil"/>
                <w:between w:val="nil"/>
                <w:bar w:val="nil"/>
              </w:pBdr>
              <w:tabs>
                <w:tab w:val="clear" w:pos="317"/>
                <w:tab w:val="num" w:pos="380"/>
                <w:tab w:val="left" w:pos="1440"/>
              </w:tabs>
              <w:ind w:left="380" w:hanging="380"/>
              <w:jc w:val="both"/>
              <w:rPr>
                <w:rFonts w:ascii="Garamond" w:eastAsia="Garamond" w:hAnsi="Garamond" w:cs="Garamond"/>
              </w:rPr>
            </w:pPr>
            <w:r w:rsidRPr="007D4C5F">
              <w:rPr>
                <w:rFonts w:ascii="Garamond" w:hAnsi="Garamond"/>
              </w:rPr>
              <w:t>Представители заявителя</w:t>
            </w:r>
            <w:r w:rsidRPr="007D4C5F">
              <w:rPr>
                <w:rFonts w:ascii="Garamond" w:eastAsia="Garamond" w:hAnsi="Garamond" w:cs="Garamond"/>
              </w:rPr>
              <w:t>.</w:t>
            </w:r>
          </w:p>
          <w:p w14:paraId="31305139" w14:textId="77777777" w:rsidR="004B3B82" w:rsidRPr="007D4C5F" w:rsidRDefault="004B3B82" w:rsidP="00CD3B05">
            <w:pPr>
              <w:pStyle w:val="ac"/>
              <w:numPr>
                <w:ilvl w:val="0"/>
                <w:numId w:val="3"/>
              </w:numPr>
              <w:pBdr>
                <w:top w:val="nil"/>
                <w:left w:val="nil"/>
                <w:bottom w:val="nil"/>
                <w:right w:val="nil"/>
                <w:between w:val="nil"/>
                <w:bar w:val="nil"/>
              </w:pBdr>
              <w:tabs>
                <w:tab w:val="clear" w:pos="317"/>
                <w:tab w:val="num" w:pos="380"/>
                <w:tab w:val="left" w:pos="1440"/>
              </w:tabs>
              <w:ind w:left="380" w:hanging="380"/>
              <w:jc w:val="both"/>
              <w:rPr>
                <w:rFonts w:ascii="Garamond" w:eastAsia="Garamond" w:hAnsi="Garamond" w:cs="Garamond"/>
              </w:rPr>
            </w:pPr>
            <w:r w:rsidRPr="007D4C5F">
              <w:rPr>
                <w:rFonts w:ascii="Garamond" w:hAnsi="Garamond"/>
              </w:rPr>
              <w:t>Представители смежного субъекта (при участии в испытаниях).</w:t>
            </w:r>
          </w:p>
        </w:tc>
      </w:tr>
      <w:tr w:rsidR="004B3B82" w:rsidRPr="007D4C5F" w14:paraId="3C6016F8" w14:textId="77777777" w:rsidTr="00CD3B05">
        <w:tblPrEx>
          <w:shd w:val="clear" w:color="auto" w:fill="auto"/>
        </w:tblPrEx>
        <w:trPr>
          <w:trHeight w:val="250"/>
          <w:jc w:val="right"/>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6E66BC4" w14:textId="77777777" w:rsidR="004B3B82" w:rsidRPr="007D4C5F" w:rsidRDefault="004B3B82" w:rsidP="00CD3B05">
            <w:pPr>
              <w:rPr>
                <w:rFonts w:ascii="Garamond" w:hAnsi="Garamond"/>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0C11D36" w14:textId="77777777" w:rsidR="004B3B82" w:rsidRPr="007D4C5F" w:rsidRDefault="004B3B82" w:rsidP="00CD3B05">
            <w:pPr>
              <w:jc w:val="center"/>
              <w:rPr>
                <w:rFonts w:ascii="Garamond" w:hAnsi="Garamond"/>
              </w:rPr>
            </w:pPr>
            <w:r w:rsidRPr="007D4C5F">
              <w:rPr>
                <w:rFonts w:ascii="Garamond" w:hAnsi="Garamond"/>
                <w:b/>
                <w:bCs/>
              </w:rPr>
              <w:t>Документация</w:t>
            </w:r>
          </w:p>
        </w:tc>
        <w:tc>
          <w:tcPr>
            <w:tcW w:w="779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8A86BE" w14:textId="77777777" w:rsidR="004B3B82" w:rsidRPr="007D4C5F" w:rsidRDefault="004B3B82" w:rsidP="00CD3B05">
            <w:pPr>
              <w:rPr>
                <w:rFonts w:ascii="Garamond" w:hAnsi="Garamond"/>
              </w:rPr>
            </w:pPr>
            <w:r w:rsidRPr="00F56BC1">
              <w:rPr>
                <w:rFonts w:ascii="Garamond" w:hAnsi="Garamond"/>
                <w:highlight w:val="yellow"/>
              </w:rPr>
              <w:t>Д</w:t>
            </w:r>
            <w:r w:rsidRPr="00072687">
              <w:rPr>
                <w:rFonts w:ascii="Garamond" w:hAnsi="Garamond"/>
              </w:rPr>
              <w:t>окументация в соответствии с таблицей 2 приложения 1 к настоящему Порядку, представленная для установления соответствия АИИС КУЭ</w:t>
            </w:r>
          </w:p>
        </w:tc>
      </w:tr>
      <w:tr w:rsidR="004B3B82" w:rsidRPr="007D4C5F" w14:paraId="712DD5BD" w14:textId="77777777" w:rsidTr="00CD3B05">
        <w:tblPrEx>
          <w:shd w:val="clear" w:color="auto" w:fill="auto"/>
        </w:tblPrEx>
        <w:trPr>
          <w:trHeight w:val="250"/>
          <w:jc w:val="right"/>
        </w:trPr>
        <w:tc>
          <w:tcPr>
            <w:tcW w:w="567" w:type="dxa"/>
            <w:tcBorders>
              <w:top w:val="single" w:sz="4" w:space="0" w:color="000000"/>
              <w:left w:val="single" w:sz="4" w:space="0" w:color="000000"/>
              <w:bottom w:val="single" w:sz="4" w:space="0" w:color="000000"/>
              <w:right w:val="single" w:sz="4" w:space="0" w:color="000000"/>
            </w:tcBorders>
            <w:shd w:val="clear" w:color="auto" w:fill="BFBFBF"/>
            <w:tcMar>
              <w:top w:w="80" w:type="dxa"/>
              <w:left w:w="80" w:type="dxa"/>
              <w:bottom w:w="80" w:type="dxa"/>
              <w:right w:w="80" w:type="dxa"/>
            </w:tcMar>
            <w:vAlign w:val="center"/>
          </w:tcPr>
          <w:p w14:paraId="4D5DE9F5" w14:textId="77777777" w:rsidR="004B3B82" w:rsidRPr="007D4C5F" w:rsidRDefault="004B3B82" w:rsidP="00CD3B05">
            <w:pPr>
              <w:jc w:val="center"/>
              <w:rPr>
                <w:rFonts w:ascii="Garamond" w:hAnsi="Garamond"/>
              </w:rPr>
            </w:pPr>
            <w:r w:rsidRPr="007D4C5F">
              <w:rPr>
                <w:rFonts w:ascii="Garamond" w:hAnsi="Garamond"/>
              </w:rPr>
              <w:t>7</w:t>
            </w:r>
          </w:p>
        </w:tc>
        <w:tc>
          <w:tcPr>
            <w:tcW w:w="1560" w:type="dxa"/>
            <w:tcBorders>
              <w:top w:val="single" w:sz="4" w:space="0" w:color="000000"/>
              <w:left w:val="single" w:sz="4" w:space="0" w:color="000000"/>
              <w:bottom w:val="single" w:sz="4" w:space="0" w:color="000000"/>
              <w:right w:val="single" w:sz="4" w:space="0" w:color="000000"/>
            </w:tcBorders>
            <w:shd w:val="clear" w:color="auto" w:fill="BFBFBF"/>
            <w:tcMar>
              <w:top w:w="80" w:type="dxa"/>
              <w:left w:w="80" w:type="dxa"/>
              <w:bottom w:w="80" w:type="dxa"/>
              <w:right w:w="80" w:type="dxa"/>
            </w:tcMar>
            <w:vAlign w:val="center"/>
          </w:tcPr>
          <w:p w14:paraId="26E528E2" w14:textId="77777777" w:rsidR="004B3B82" w:rsidRPr="007D4C5F" w:rsidRDefault="004B3B82" w:rsidP="00CD3B05">
            <w:pPr>
              <w:jc w:val="center"/>
              <w:rPr>
                <w:rFonts w:ascii="Garamond" w:hAnsi="Garamond"/>
                <w:b/>
                <w:bCs/>
                <w:vertAlign w:val="subscript"/>
              </w:rPr>
            </w:pPr>
            <w:r w:rsidRPr="007D4C5F">
              <w:rPr>
                <w:rFonts w:ascii="Garamond" w:hAnsi="Garamond"/>
                <w:b/>
                <w:bCs/>
              </w:rPr>
              <w:t>П</w:t>
            </w:r>
            <w:r w:rsidRPr="007D4C5F">
              <w:rPr>
                <w:rFonts w:ascii="Garamond" w:hAnsi="Garamond"/>
                <w:b/>
                <w:bCs/>
                <w:vertAlign w:val="subscript"/>
              </w:rPr>
              <w:t>Ф16</w:t>
            </w:r>
          </w:p>
          <w:p w14:paraId="405E2784" w14:textId="77777777" w:rsidR="004B3B82" w:rsidRPr="007D4C5F" w:rsidRDefault="004B3B82" w:rsidP="00CD3B05">
            <w:pPr>
              <w:jc w:val="center"/>
              <w:rPr>
                <w:rFonts w:ascii="Garamond" w:hAnsi="Garamond"/>
              </w:rPr>
            </w:pPr>
            <w:r w:rsidRPr="007D4C5F">
              <w:rPr>
                <w:rFonts w:ascii="Garamond" w:hAnsi="Garamond"/>
                <w:bCs/>
              </w:rPr>
              <w:t>(пп. 2.1.1, 3.4.3)</w:t>
            </w:r>
          </w:p>
        </w:tc>
        <w:tc>
          <w:tcPr>
            <w:tcW w:w="7797" w:type="dxa"/>
            <w:tcBorders>
              <w:top w:val="single" w:sz="4" w:space="0" w:color="000000"/>
              <w:left w:val="single" w:sz="4" w:space="0" w:color="000000"/>
              <w:bottom w:val="single" w:sz="4" w:space="0" w:color="000000"/>
              <w:right w:val="single" w:sz="4" w:space="0" w:color="000000"/>
            </w:tcBorders>
            <w:shd w:val="clear" w:color="auto" w:fill="BFBFBF"/>
            <w:tcMar>
              <w:top w:w="80" w:type="dxa"/>
              <w:left w:w="80" w:type="dxa"/>
              <w:bottom w:w="80" w:type="dxa"/>
              <w:right w:w="80" w:type="dxa"/>
            </w:tcMar>
          </w:tcPr>
          <w:p w14:paraId="771EBC61" w14:textId="77777777" w:rsidR="004B3B82" w:rsidRPr="007D4C5F" w:rsidRDefault="004B3B82" w:rsidP="00CD3B05">
            <w:pPr>
              <w:rPr>
                <w:rFonts w:ascii="Garamond" w:hAnsi="Garamond"/>
              </w:rPr>
            </w:pPr>
            <w:r w:rsidRPr="007D4C5F">
              <w:rPr>
                <w:rFonts w:ascii="Garamond" w:hAnsi="Garamond"/>
                <w:b/>
                <w:bCs/>
              </w:rPr>
              <w:t>Цикличность измерений приращений электроэнергии – 30 минут</w:t>
            </w:r>
          </w:p>
        </w:tc>
      </w:tr>
      <w:tr w:rsidR="004B3B82" w:rsidRPr="007D4C5F" w14:paraId="02561E86" w14:textId="77777777" w:rsidTr="00CD3B05">
        <w:tblPrEx>
          <w:shd w:val="clear" w:color="auto" w:fill="auto"/>
        </w:tblPrEx>
        <w:trPr>
          <w:trHeight w:val="250"/>
          <w:jc w:val="right"/>
        </w:trPr>
        <w:tc>
          <w:tcPr>
            <w:tcW w:w="567" w:type="dxa"/>
            <w:tcBorders>
              <w:top w:val="single" w:sz="4" w:space="0" w:color="000000"/>
              <w:left w:val="single" w:sz="4" w:space="0" w:color="000000"/>
              <w:bottom w:val="single" w:sz="4" w:space="0" w:color="000000"/>
              <w:right w:val="single" w:sz="4" w:space="0" w:color="000000"/>
            </w:tcBorders>
            <w:shd w:val="clear" w:color="auto" w:fill="92D050"/>
            <w:tcMar>
              <w:top w:w="80" w:type="dxa"/>
              <w:left w:w="80" w:type="dxa"/>
              <w:bottom w:w="80" w:type="dxa"/>
              <w:right w:w="80" w:type="dxa"/>
            </w:tcMar>
            <w:vAlign w:val="center"/>
          </w:tcPr>
          <w:p w14:paraId="066DA149" w14:textId="77777777" w:rsidR="004B3B82" w:rsidRPr="007D4C5F" w:rsidRDefault="004B3B82" w:rsidP="00CD3B05">
            <w:pPr>
              <w:rPr>
                <w:rFonts w:ascii="Garamond" w:hAnsi="Garamond"/>
              </w:rPr>
            </w:pPr>
          </w:p>
        </w:tc>
        <w:tc>
          <w:tcPr>
            <w:tcW w:w="1560" w:type="dxa"/>
            <w:tcBorders>
              <w:top w:val="single" w:sz="4" w:space="0" w:color="000000"/>
              <w:left w:val="single" w:sz="4" w:space="0" w:color="000000"/>
              <w:bottom w:val="single" w:sz="4" w:space="0" w:color="000000"/>
              <w:right w:val="single" w:sz="4" w:space="0" w:color="000000"/>
            </w:tcBorders>
            <w:shd w:val="clear" w:color="auto" w:fill="92D050"/>
            <w:tcMar>
              <w:top w:w="80" w:type="dxa"/>
              <w:left w:w="80" w:type="dxa"/>
              <w:bottom w:w="80" w:type="dxa"/>
              <w:right w:w="80" w:type="dxa"/>
            </w:tcMar>
            <w:vAlign w:val="center"/>
          </w:tcPr>
          <w:p w14:paraId="36D1171B" w14:textId="77777777" w:rsidR="004B3B82" w:rsidRPr="007D4C5F" w:rsidRDefault="004B3B82" w:rsidP="00CD3B05">
            <w:pPr>
              <w:jc w:val="center"/>
              <w:rPr>
                <w:rFonts w:ascii="Garamond" w:hAnsi="Garamond"/>
              </w:rPr>
            </w:pPr>
            <w:r w:rsidRPr="007D4C5F">
              <w:rPr>
                <w:rFonts w:ascii="Garamond" w:hAnsi="Garamond"/>
                <w:b/>
                <w:bCs/>
              </w:rPr>
              <w:t>Компоненты</w:t>
            </w:r>
          </w:p>
        </w:tc>
        <w:tc>
          <w:tcPr>
            <w:tcW w:w="7797" w:type="dxa"/>
            <w:tcBorders>
              <w:top w:val="single" w:sz="4" w:space="0" w:color="000000"/>
              <w:left w:val="single" w:sz="4" w:space="0" w:color="000000"/>
              <w:bottom w:val="single" w:sz="4" w:space="0" w:color="000000"/>
              <w:right w:val="single" w:sz="4" w:space="0" w:color="000000"/>
            </w:tcBorders>
            <w:shd w:val="clear" w:color="auto" w:fill="92D050"/>
            <w:tcMar>
              <w:top w:w="80" w:type="dxa"/>
              <w:left w:w="80" w:type="dxa"/>
              <w:bottom w:w="80" w:type="dxa"/>
              <w:right w:w="80" w:type="dxa"/>
            </w:tcMar>
          </w:tcPr>
          <w:p w14:paraId="0E703962" w14:textId="77777777" w:rsidR="004B3B82" w:rsidRPr="007D4C5F" w:rsidRDefault="004B3B82" w:rsidP="00CD3B05">
            <w:pPr>
              <w:rPr>
                <w:rFonts w:ascii="Garamond" w:hAnsi="Garamond"/>
              </w:rPr>
            </w:pPr>
            <w:r w:rsidRPr="007D4C5F">
              <w:rPr>
                <w:rFonts w:ascii="Garamond" w:hAnsi="Garamond"/>
              </w:rPr>
              <w:t xml:space="preserve">ИИК – </w:t>
            </w:r>
            <w:r w:rsidRPr="00F56BC1">
              <w:rPr>
                <w:rFonts w:ascii="Garamond" w:hAnsi="Garamond"/>
                <w:highlight w:val="yellow"/>
              </w:rPr>
              <w:t>счетчики</w:t>
            </w:r>
            <w:r w:rsidRPr="007D4C5F">
              <w:rPr>
                <w:rFonts w:ascii="Garamond" w:hAnsi="Garamond"/>
              </w:rPr>
              <w:t xml:space="preserve"> </w:t>
            </w:r>
          </w:p>
        </w:tc>
      </w:tr>
      <w:tr w:rsidR="004B3B82" w:rsidRPr="007D4C5F" w14:paraId="432265E8" w14:textId="77777777" w:rsidTr="00CD3B05">
        <w:tblPrEx>
          <w:shd w:val="clear" w:color="auto" w:fill="auto"/>
        </w:tblPrEx>
        <w:trPr>
          <w:trHeight w:val="1641"/>
          <w:jc w:val="right"/>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CDDBDD1" w14:textId="77777777" w:rsidR="004B3B82" w:rsidRPr="007D4C5F" w:rsidRDefault="004B3B82" w:rsidP="00CD3B05">
            <w:pPr>
              <w:rPr>
                <w:rFonts w:ascii="Garamond" w:hAnsi="Garamond"/>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1C7CB2E" w14:textId="77777777" w:rsidR="004B3B82" w:rsidRPr="007D4C5F" w:rsidRDefault="004B3B82" w:rsidP="00CD3B05">
            <w:pPr>
              <w:jc w:val="center"/>
              <w:rPr>
                <w:rFonts w:ascii="Garamond" w:hAnsi="Garamond"/>
              </w:rPr>
            </w:pPr>
            <w:r w:rsidRPr="007D4C5F">
              <w:rPr>
                <w:rFonts w:ascii="Garamond" w:hAnsi="Garamond"/>
                <w:b/>
                <w:bCs/>
              </w:rPr>
              <w:t>Действия</w:t>
            </w:r>
          </w:p>
        </w:tc>
        <w:tc>
          <w:tcPr>
            <w:tcW w:w="779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8CA5C6F" w14:textId="77777777" w:rsidR="004B3B82" w:rsidRPr="007D4C5F" w:rsidRDefault="004B3B82" w:rsidP="00CD3B05">
            <w:pPr>
              <w:pStyle w:val="ac"/>
              <w:numPr>
                <w:ilvl w:val="0"/>
                <w:numId w:val="24"/>
              </w:numPr>
              <w:pBdr>
                <w:top w:val="nil"/>
                <w:left w:val="nil"/>
                <w:bottom w:val="nil"/>
                <w:right w:val="nil"/>
                <w:between w:val="nil"/>
                <w:bar w:val="nil"/>
              </w:pBdr>
              <w:tabs>
                <w:tab w:val="clear" w:pos="317"/>
                <w:tab w:val="num" w:pos="380"/>
                <w:tab w:val="left" w:pos="1440"/>
              </w:tabs>
              <w:ind w:left="380" w:hanging="380"/>
              <w:jc w:val="both"/>
              <w:rPr>
                <w:rFonts w:ascii="Garamond" w:eastAsia="Garamond" w:hAnsi="Garamond" w:cs="Garamond"/>
              </w:rPr>
            </w:pPr>
            <w:r w:rsidRPr="007D4C5F">
              <w:rPr>
                <w:rFonts w:ascii="Garamond" w:hAnsi="Garamond"/>
              </w:rPr>
              <w:t xml:space="preserve">С помощью стандартных средств операционной системы или специализированного ПО удаленного доступа и администрирования устанавливается интернет-соединение с удаленным рабочим столом сервера ИВК </w:t>
            </w:r>
            <w:r w:rsidRPr="002875DF">
              <w:rPr>
                <w:rFonts w:ascii="Garamond" w:hAnsi="Garamond"/>
              </w:rPr>
              <w:t>АИИС КУЭ.</w:t>
            </w:r>
          </w:p>
          <w:p w14:paraId="5648D50E" w14:textId="77777777" w:rsidR="004B3B82" w:rsidRPr="007D4C5F" w:rsidRDefault="004B3B82" w:rsidP="00CD3B05">
            <w:pPr>
              <w:pStyle w:val="ac"/>
              <w:numPr>
                <w:ilvl w:val="0"/>
                <w:numId w:val="24"/>
              </w:numPr>
              <w:pBdr>
                <w:top w:val="nil"/>
                <w:left w:val="nil"/>
                <w:bottom w:val="nil"/>
                <w:right w:val="nil"/>
                <w:between w:val="nil"/>
                <w:bar w:val="nil"/>
              </w:pBdr>
              <w:tabs>
                <w:tab w:val="left" w:pos="1440"/>
              </w:tabs>
              <w:jc w:val="both"/>
              <w:rPr>
                <w:rFonts w:ascii="Garamond" w:eastAsia="Garamond" w:hAnsi="Garamond" w:cs="Garamond"/>
              </w:rPr>
            </w:pPr>
            <w:r w:rsidRPr="007D4C5F">
              <w:rPr>
                <w:rFonts w:ascii="Garamond" w:hAnsi="Garamond"/>
              </w:rPr>
              <w:t xml:space="preserve">С помощью специализированного ПО, установленного на сервере (АРМ) ИВК, посредством удаленного доступа устанавливается связь </w:t>
            </w:r>
            <w:r w:rsidRPr="00F56BC1">
              <w:rPr>
                <w:rFonts w:ascii="Garamond" w:hAnsi="Garamond"/>
                <w:highlight w:val="yellow"/>
              </w:rPr>
              <w:t>со счетчиками</w:t>
            </w:r>
            <w:r w:rsidRPr="007D4C5F">
              <w:rPr>
                <w:rFonts w:ascii="Garamond" w:hAnsi="Garamond"/>
              </w:rPr>
              <w:t xml:space="preserve"> и производится проверка параметров настройки времени интегрирования мощности и контроль наличия в памяти </w:t>
            </w:r>
            <w:r w:rsidRPr="00F56BC1">
              <w:rPr>
                <w:rFonts w:ascii="Garamond" w:hAnsi="Garamond"/>
                <w:highlight w:val="yellow"/>
              </w:rPr>
              <w:t>счетчика</w:t>
            </w:r>
            <w:r w:rsidRPr="007D4C5F">
              <w:rPr>
                <w:rFonts w:ascii="Garamond" w:hAnsi="Garamond"/>
              </w:rPr>
              <w:t xml:space="preserve"> 30-минутных приращений электр</w:t>
            </w:r>
            <w:r w:rsidRPr="001074A1">
              <w:rPr>
                <w:rFonts w:ascii="Garamond" w:hAnsi="Garamond"/>
                <w:highlight w:val="yellow"/>
              </w:rPr>
              <w:t>ической</w:t>
            </w:r>
            <w:r w:rsidRPr="007D4C5F">
              <w:rPr>
                <w:rFonts w:ascii="Garamond" w:hAnsi="Garamond"/>
              </w:rPr>
              <w:t xml:space="preserve"> энергии (получасовых интегрированных профилей мощности).</w:t>
            </w:r>
          </w:p>
        </w:tc>
      </w:tr>
      <w:tr w:rsidR="004B3B82" w:rsidRPr="007D4C5F" w14:paraId="51BA6CF6" w14:textId="77777777" w:rsidTr="00CD3B05">
        <w:tblPrEx>
          <w:shd w:val="clear" w:color="auto" w:fill="auto"/>
        </w:tblPrEx>
        <w:trPr>
          <w:trHeight w:val="1210"/>
          <w:jc w:val="right"/>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9AC5DBC" w14:textId="77777777" w:rsidR="004B3B82" w:rsidRPr="007D4C5F" w:rsidRDefault="004B3B82" w:rsidP="00CD3B05">
            <w:pPr>
              <w:rPr>
                <w:rFonts w:ascii="Garamond" w:hAnsi="Garamond"/>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494B0B8" w14:textId="77777777" w:rsidR="004B3B82" w:rsidRPr="007D4C5F" w:rsidRDefault="004B3B82" w:rsidP="00CD3B05">
            <w:pPr>
              <w:jc w:val="center"/>
              <w:rPr>
                <w:rFonts w:ascii="Garamond" w:hAnsi="Garamond"/>
              </w:rPr>
            </w:pPr>
            <w:r w:rsidRPr="007D4C5F">
              <w:rPr>
                <w:rFonts w:ascii="Garamond" w:hAnsi="Garamond"/>
                <w:b/>
                <w:bCs/>
              </w:rPr>
              <w:t>Критерии</w:t>
            </w:r>
          </w:p>
        </w:tc>
        <w:tc>
          <w:tcPr>
            <w:tcW w:w="779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4C37E4" w14:textId="77777777" w:rsidR="004B3B82" w:rsidRPr="007D4C5F" w:rsidRDefault="004B3B82" w:rsidP="00CD3B05">
            <w:pPr>
              <w:pStyle w:val="ac"/>
              <w:numPr>
                <w:ilvl w:val="0"/>
                <w:numId w:val="25"/>
              </w:numPr>
              <w:pBdr>
                <w:top w:val="nil"/>
                <w:left w:val="nil"/>
                <w:bottom w:val="nil"/>
                <w:right w:val="nil"/>
                <w:between w:val="nil"/>
                <w:bar w:val="nil"/>
              </w:pBdr>
              <w:tabs>
                <w:tab w:val="left" w:pos="1440"/>
              </w:tabs>
              <w:jc w:val="both"/>
              <w:rPr>
                <w:rFonts w:ascii="Garamond" w:hAnsi="Garamond"/>
              </w:rPr>
            </w:pPr>
            <w:r w:rsidRPr="007D4C5F">
              <w:rPr>
                <w:rFonts w:ascii="Garamond" w:hAnsi="Garamond"/>
              </w:rPr>
              <w:t xml:space="preserve">Параметры настройки времени интегрирования мощности </w:t>
            </w:r>
            <w:r w:rsidRPr="00F56BC1">
              <w:rPr>
                <w:rFonts w:ascii="Garamond" w:hAnsi="Garamond"/>
                <w:highlight w:val="yellow"/>
              </w:rPr>
              <w:t>счетчиков</w:t>
            </w:r>
            <w:r w:rsidRPr="007D4C5F">
              <w:rPr>
                <w:rFonts w:ascii="Garamond" w:hAnsi="Garamond"/>
              </w:rPr>
              <w:t xml:space="preserve"> обеспечивают измерение 30-минутных приращений электр</w:t>
            </w:r>
            <w:r w:rsidRPr="001074A1">
              <w:rPr>
                <w:rFonts w:ascii="Garamond" w:hAnsi="Garamond"/>
                <w:highlight w:val="yellow"/>
              </w:rPr>
              <w:t>ической</w:t>
            </w:r>
            <w:r w:rsidRPr="007D4C5F">
              <w:rPr>
                <w:rFonts w:ascii="Garamond" w:hAnsi="Garamond"/>
              </w:rPr>
              <w:t xml:space="preserve"> энергии (получасовых интегрированных профилей мощности) для одного из профилей.</w:t>
            </w:r>
          </w:p>
          <w:p w14:paraId="220916BF" w14:textId="77777777" w:rsidR="004B3B82" w:rsidRPr="007D4C5F" w:rsidRDefault="004B3B82" w:rsidP="00CD3B05">
            <w:pPr>
              <w:pStyle w:val="ac"/>
              <w:numPr>
                <w:ilvl w:val="0"/>
                <w:numId w:val="25"/>
              </w:numPr>
              <w:pBdr>
                <w:top w:val="nil"/>
                <w:left w:val="nil"/>
                <w:bottom w:val="nil"/>
                <w:right w:val="nil"/>
                <w:between w:val="nil"/>
                <w:bar w:val="nil"/>
              </w:pBdr>
              <w:tabs>
                <w:tab w:val="left" w:pos="1440"/>
              </w:tabs>
              <w:jc w:val="both"/>
              <w:rPr>
                <w:rFonts w:ascii="Garamond" w:eastAsia="Garamond" w:hAnsi="Garamond" w:cs="Garamond"/>
              </w:rPr>
            </w:pPr>
            <w:r w:rsidRPr="007D4C5F">
              <w:rPr>
                <w:rFonts w:ascii="Garamond" w:hAnsi="Garamond"/>
              </w:rPr>
              <w:t xml:space="preserve">Фактическое наличие в памяти </w:t>
            </w:r>
            <w:r w:rsidRPr="00F56BC1">
              <w:rPr>
                <w:rFonts w:ascii="Garamond" w:hAnsi="Garamond"/>
                <w:highlight w:val="yellow"/>
              </w:rPr>
              <w:t>счетчиков</w:t>
            </w:r>
            <w:r w:rsidRPr="007D4C5F">
              <w:rPr>
                <w:rFonts w:ascii="Garamond" w:hAnsi="Garamond"/>
              </w:rPr>
              <w:t xml:space="preserve"> 30-минутных приращений электр</w:t>
            </w:r>
            <w:r w:rsidRPr="001074A1">
              <w:rPr>
                <w:rFonts w:ascii="Garamond" w:hAnsi="Garamond"/>
                <w:highlight w:val="yellow"/>
              </w:rPr>
              <w:t>ической</w:t>
            </w:r>
            <w:r w:rsidRPr="007D4C5F">
              <w:rPr>
                <w:rFonts w:ascii="Garamond" w:hAnsi="Garamond"/>
              </w:rPr>
              <w:t xml:space="preserve"> энергии (получасовых интегрированных профилей мощности).</w:t>
            </w:r>
          </w:p>
        </w:tc>
      </w:tr>
      <w:tr w:rsidR="004B3B82" w:rsidRPr="007D4C5F" w14:paraId="72EEF7BF" w14:textId="77777777" w:rsidTr="00CD3B05">
        <w:tblPrEx>
          <w:shd w:val="clear" w:color="auto" w:fill="auto"/>
        </w:tblPrEx>
        <w:trPr>
          <w:trHeight w:val="730"/>
          <w:jc w:val="right"/>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7F2EF75" w14:textId="77777777" w:rsidR="004B3B82" w:rsidRPr="007D4C5F" w:rsidRDefault="004B3B82" w:rsidP="00CD3B05">
            <w:pPr>
              <w:rPr>
                <w:rFonts w:ascii="Garamond" w:hAnsi="Garamond"/>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DD95064" w14:textId="77777777" w:rsidR="004B3B82" w:rsidRPr="007D4C5F" w:rsidRDefault="004B3B82" w:rsidP="00CD3B05">
            <w:pPr>
              <w:jc w:val="center"/>
              <w:rPr>
                <w:rFonts w:ascii="Garamond" w:hAnsi="Garamond"/>
              </w:rPr>
            </w:pPr>
            <w:r w:rsidRPr="007D4C5F">
              <w:rPr>
                <w:rFonts w:ascii="Garamond" w:hAnsi="Garamond"/>
                <w:b/>
                <w:bCs/>
              </w:rPr>
              <w:t>Испытатели</w:t>
            </w:r>
          </w:p>
        </w:tc>
        <w:tc>
          <w:tcPr>
            <w:tcW w:w="779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4EDF3F4" w14:textId="77777777" w:rsidR="004B3B82" w:rsidRPr="007D4C5F" w:rsidRDefault="004B3B82" w:rsidP="00CD3B05">
            <w:pPr>
              <w:pStyle w:val="ac"/>
              <w:numPr>
                <w:ilvl w:val="0"/>
                <w:numId w:val="26"/>
              </w:numPr>
              <w:pBdr>
                <w:top w:val="nil"/>
                <w:left w:val="nil"/>
                <w:bottom w:val="nil"/>
                <w:right w:val="nil"/>
                <w:between w:val="nil"/>
                <w:bar w:val="nil"/>
              </w:pBdr>
              <w:tabs>
                <w:tab w:val="clear" w:pos="317"/>
                <w:tab w:val="num" w:pos="380"/>
                <w:tab w:val="left" w:pos="1440"/>
              </w:tabs>
              <w:ind w:left="380" w:hanging="380"/>
              <w:jc w:val="both"/>
              <w:rPr>
                <w:rFonts w:ascii="Garamond" w:eastAsia="Garamond" w:hAnsi="Garamond" w:cs="Garamond"/>
              </w:rPr>
            </w:pPr>
            <w:r w:rsidRPr="007D4C5F">
              <w:rPr>
                <w:rFonts w:ascii="Garamond" w:hAnsi="Garamond"/>
              </w:rPr>
              <w:t>Представители КО.</w:t>
            </w:r>
          </w:p>
          <w:p w14:paraId="47B4B97F" w14:textId="77777777" w:rsidR="004B3B82" w:rsidRPr="007D4C5F" w:rsidRDefault="004B3B82" w:rsidP="00CD3B05">
            <w:pPr>
              <w:pStyle w:val="ac"/>
              <w:numPr>
                <w:ilvl w:val="0"/>
                <w:numId w:val="26"/>
              </w:numPr>
              <w:pBdr>
                <w:top w:val="nil"/>
                <w:left w:val="nil"/>
                <w:bottom w:val="nil"/>
                <w:right w:val="nil"/>
                <w:between w:val="nil"/>
                <w:bar w:val="nil"/>
              </w:pBdr>
              <w:tabs>
                <w:tab w:val="clear" w:pos="317"/>
                <w:tab w:val="num" w:pos="380"/>
                <w:tab w:val="left" w:pos="1440"/>
              </w:tabs>
              <w:ind w:left="380" w:hanging="380"/>
              <w:jc w:val="both"/>
              <w:rPr>
                <w:rFonts w:ascii="Garamond" w:eastAsia="Garamond" w:hAnsi="Garamond" w:cs="Garamond"/>
              </w:rPr>
            </w:pPr>
            <w:r w:rsidRPr="007D4C5F">
              <w:rPr>
                <w:rFonts w:ascii="Garamond" w:hAnsi="Garamond"/>
              </w:rPr>
              <w:t>Представители заявителя</w:t>
            </w:r>
            <w:r w:rsidRPr="007D4C5F">
              <w:rPr>
                <w:rFonts w:ascii="Garamond" w:eastAsia="Garamond" w:hAnsi="Garamond" w:cs="Garamond"/>
              </w:rPr>
              <w:t>.</w:t>
            </w:r>
          </w:p>
          <w:p w14:paraId="7B3D1F84" w14:textId="77777777" w:rsidR="004B3B82" w:rsidRPr="007D4C5F" w:rsidRDefault="004B3B82" w:rsidP="00CD3B05">
            <w:pPr>
              <w:pStyle w:val="ac"/>
              <w:numPr>
                <w:ilvl w:val="0"/>
                <w:numId w:val="26"/>
              </w:numPr>
              <w:pBdr>
                <w:top w:val="nil"/>
                <w:left w:val="nil"/>
                <w:bottom w:val="nil"/>
                <w:right w:val="nil"/>
                <w:between w:val="nil"/>
                <w:bar w:val="nil"/>
              </w:pBdr>
              <w:tabs>
                <w:tab w:val="clear" w:pos="317"/>
                <w:tab w:val="num" w:pos="380"/>
                <w:tab w:val="left" w:pos="1440"/>
              </w:tabs>
              <w:ind w:left="380" w:hanging="380"/>
              <w:jc w:val="both"/>
              <w:rPr>
                <w:rFonts w:ascii="Garamond" w:eastAsia="Garamond" w:hAnsi="Garamond" w:cs="Garamond"/>
              </w:rPr>
            </w:pPr>
            <w:r w:rsidRPr="007D4C5F">
              <w:rPr>
                <w:rFonts w:ascii="Garamond" w:hAnsi="Garamond"/>
              </w:rPr>
              <w:t>Представители смежного субъекта (при участии в испытаниях).</w:t>
            </w:r>
          </w:p>
        </w:tc>
      </w:tr>
      <w:tr w:rsidR="004B3B82" w:rsidRPr="007D4C5F" w14:paraId="158607AE" w14:textId="77777777" w:rsidTr="00CD3B05">
        <w:tblPrEx>
          <w:shd w:val="clear" w:color="auto" w:fill="auto"/>
        </w:tblPrEx>
        <w:trPr>
          <w:trHeight w:val="250"/>
          <w:jc w:val="right"/>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4A350B3" w14:textId="77777777" w:rsidR="004B3B82" w:rsidRPr="007D4C5F" w:rsidRDefault="004B3B82" w:rsidP="00CD3B05">
            <w:pPr>
              <w:rPr>
                <w:rFonts w:ascii="Garamond" w:hAnsi="Garamond"/>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85BB5AD" w14:textId="77777777" w:rsidR="004B3B82" w:rsidRPr="007D4C5F" w:rsidRDefault="004B3B82" w:rsidP="00CD3B05">
            <w:pPr>
              <w:jc w:val="center"/>
              <w:rPr>
                <w:rFonts w:ascii="Garamond" w:hAnsi="Garamond"/>
              </w:rPr>
            </w:pPr>
            <w:r w:rsidRPr="007D4C5F">
              <w:rPr>
                <w:rFonts w:ascii="Garamond" w:hAnsi="Garamond"/>
                <w:b/>
                <w:bCs/>
              </w:rPr>
              <w:t>Документация</w:t>
            </w:r>
          </w:p>
        </w:tc>
        <w:tc>
          <w:tcPr>
            <w:tcW w:w="779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1556EBD" w14:textId="77777777" w:rsidR="004B3B82" w:rsidRPr="007D4C5F" w:rsidRDefault="004B3B82" w:rsidP="00CD3B05">
            <w:pPr>
              <w:rPr>
                <w:rFonts w:ascii="Garamond" w:hAnsi="Garamond"/>
              </w:rPr>
            </w:pPr>
            <w:r w:rsidRPr="00F56BC1">
              <w:rPr>
                <w:rFonts w:ascii="Garamond" w:hAnsi="Garamond"/>
                <w:highlight w:val="yellow"/>
              </w:rPr>
              <w:t>Д</w:t>
            </w:r>
            <w:r w:rsidRPr="00072687">
              <w:rPr>
                <w:rFonts w:ascii="Garamond" w:hAnsi="Garamond"/>
              </w:rPr>
              <w:t>окументация в соответствии с таблицей 2 приложения 1 к настоящему Порядку, представленная для установления соответствия АИИС КУЭ</w:t>
            </w:r>
          </w:p>
        </w:tc>
      </w:tr>
      <w:tr w:rsidR="004B3B82" w:rsidRPr="007D4C5F" w14:paraId="7FDE54FF" w14:textId="77777777" w:rsidTr="00CD3B05">
        <w:tblPrEx>
          <w:shd w:val="clear" w:color="auto" w:fill="auto"/>
        </w:tblPrEx>
        <w:trPr>
          <w:trHeight w:val="250"/>
          <w:jc w:val="right"/>
        </w:trPr>
        <w:tc>
          <w:tcPr>
            <w:tcW w:w="567" w:type="dxa"/>
            <w:tcBorders>
              <w:top w:val="single" w:sz="4" w:space="0" w:color="000000"/>
              <w:left w:val="single" w:sz="4" w:space="0" w:color="000000"/>
              <w:bottom w:val="single" w:sz="4" w:space="0" w:color="000000"/>
              <w:right w:val="single" w:sz="4" w:space="0" w:color="000000"/>
            </w:tcBorders>
            <w:shd w:val="clear" w:color="auto" w:fill="BFBFBF"/>
            <w:tcMar>
              <w:top w:w="80" w:type="dxa"/>
              <w:left w:w="80" w:type="dxa"/>
              <w:bottom w:w="80" w:type="dxa"/>
              <w:right w:w="80" w:type="dxa"/>
            </w:tcMar>
            <w:vAlign w:val="center"/>
          </w:tcPr>
          <w:p w14:paraId="51E14878" w14:textId="77777777" w:rsidR="004B3B82" w:rsidRPr="007D4C5F" w:rsidRDefault="004B3B82" w:rsidP="00CD3B05">
            <w:pPr>
              <w:jc w:val="center"/>
              <w:rPr>
                <w:rFonts w:ascii="Garamond" w:hAnsi="Garamond"/>
              </w:rPr>
            </w:pPr>
            <w:r w:rsidRPr="007D4C5F">
              <w:rPr>
                <w:rFonts w:ascii="Garamond" w:hAnsi="Garamond"/>
              </w:rPr>
              <w:t>8</w:t>
            </w:r>
          </w:p>
        </w:tc>
        <w:tc>
          <w:tcPr>
            <w:tcW w:w="1560" w:type="dxa"/>
            <w:tcBorders>
              <w:top w:val="single" w:sz="4" w:space="0" w:color="000000"/>
              <w:left w:val="single" w:sz="4" w:space="0" w:color="000000"/>
              <w:bottom w:val="single" w:sz="4" w:space="0" w:color="000000"/>
              <w:right w:val="single" w:sz="4" w:space="0" w:color="000000"/>
            </w:tcBorders>
            <w:shd w:val="clear" w:color="auto" w:fill="BFBFBF"/>
            <w:tcMar>
              <w:top w:w="80" w:type="dxa"/>
              <w:left w:w="80" w:type="dxa"/>
              <w:bottom w:w="80" w:type="dxa"/>
              <w:right w:w="80" w:type="dxa"/>
            </w:tcMar>
            <w:vAlign w:val="center"/>
          </w:tcPr>
          <w:p w14:paraId="4AA60E84" w14:textId="77777777" w:rsidR="004B3B82" w:rsidRPr="007D4C5F" w:rsidRDefault="004B3B82" w:rsidP="00CD3B05">
            <w:pPr>
              <w:jc w:val="center"/>
              <w:rPr>
                <w:rFonts w:ascii="Garamond" w:hAnsi="Garamond"/>
                <w:b/>
                <w:bCs/>
                <w:vertAlign w:val="subscript"/>
              </w:rPr>
            </w:pPr>
            <w:r w:rsidRPr="007D4C5F">
              <w:rPr>
                <w:rFonts w:ascii="Garamond" w:hAnsi="Garamond"/>
                <w:b/>
                <w:bCs/>
              </w:rPr>
              <w:t>П</w:t>
            </w:r>
            <w:r w:rsidRPr="007D4C5F">
              <w:rPr>
                <w:rFonts w:ascii="Garamond" w:hAnsi="Garamond"/>
                <w:b/>
                <w:bCs/>
                <w:vertAlign w:val="subscript"/>
              </w:rPr>
              <w:t>Ф24</w:t>
            </w:r>
          </w:p>
          <w:p w14:paraId="5F87BF82" w14:textId="77777777" w:rsidR="004B3B82" w:rsidRPr="007D4C5F" w:rsidRDefault="004B3B82" w:rsidP="00CD3B05">
            <w:pPr>
              <w:jc w:val="center"/>
              <w:rPr>
                <w:rFonts w:ascii="Garamond" w:hAnsi="Garamond"/>
              </w:rPr>
            </w:pPr>
            <w:r w:rsidRPr="007D4C5F">
              <w:rPr>
                <w:rFonts w:ascii="Garamond" w:hAnsi="Garamond"/>
                <w:bCs/>
              </w:rPr>
              <w:t>(п. 2.1.</w:t>
            </w:r>
            <w:r w:rsidRPr="00F56BC1">
              <w:rPr>
                <w:rFonts w:ascii="Garamond" w:hAnsi="Garamond"/>
                <w:bCs/>
                <w:highlight w:val="yellow"/>
              </w:rPr>
              <w:t>4</w:t>
            </w:r>
            <w:r w:rsidRPr="007D4C5F">
              <w:rPr>
                <w:rFonts w:ascii="Garamond" w:hAnsi="Garamond"/>
                <w:bCs/>
              </w:rPr>
              <w:t>)</w:t>
            </w:r>
          </w:p>
        </w:tc>
        <w:tc>
          <w:tcPr>
            <w:tcW w:w="7797" w:type="dxa"/>
            <w:tcBorders>
              <w:top w:val="single" w:sz="4" w:space="0" w:color="000000"/>
              <w:left w:val="single" w:sz="4" w:space="0" w:color="000000"/>
              <w:bottom w:val="single" w:sz="4" w:space="0" w:color="000000"/>
              <w:right w:val="single" w:sz="4" w:space="0" w:color="000000"/>
            </w:tcBorders>
            <w:shd w:val="clear" w:color="auto" w:fill="BFBFBF"/>
            <w:tcMar>
              <w:top w:w="80" w:type="dxa"/>
              <w:left w:w="80" w:type="dxa"/>
              <w:bottom w:w="80" w:type="dxa"/>
              <w:right w:w="80" w:type="dxa"/>
            </w:tcMar>
          </w:tcPr>
          <w:p w14:paraId="75CACB18" w14:textId="77777777" w:rsidR="004B3B82" w:rsidRPr="007D4C5F" w:rsidRDefault="004B3B82" w:rsidP="00CD3B05">
            <w:pPr>
              <w:rPr>
                <w:rFonts w:ascii="Garamond" w:hAnsi="Garamond"/>
              </w:rPr>
            </w:pPr>
            <w:r w:rsidRPr="007D4C5F">
              <w:rPr>
                <w:rFonts w:ascii="Garamond" w:hAnsi="Garamond"/>
                <w:b/>
                <w:bCs/>
              </w:rPr>
              <w:t>Цикличность сбора информации – 1 раз в сутки</w:t>
            </w:r>
          </w:p>
        </w:tc>
      </w:tr>
      <w:tr w:rsidR="004B3B82" w:rsidRPr="007D4C5F" w14:paraId="797FA4DE" w14:textId="77777777" w:rsidTr="00CD3B05">
        <w:tblPrEx>
          <w:shd w:val="clear" w:color="auto" w:fill="auto"/>
        </w:tblPrEx>
        <w:trPr>
          <w:trHeight w:val="250"/>
          <w:jc w:val="right"/>
        </w:trPr>
        <w:tc>
          <w:tcPr>
            <w:tcW w:w="567" w:type="dxa"/>
            <w:tcBorders>
              <w:top w:val="single" w:sz="4" w:space="0" w:color="000000"/>
              <w:left w:val="single" w:sz="4" w:space="0" w:color="000000"/>
              <w:bottom w:val="single" w:sz="4" w:space="0" w:color="000000"/>
              <w:right w:val="single" w:sz="4" w:space="0" w:color="000000"/>
            </w:tcBorders>
            <w:shd w:val="clear" w:color="auto" w:fill="92D050"/>
            <w:tcMar>
              <w:top w:w="80" w:type="dxa"/>
              <w:left w:w="80" w:type="dxa"/>
              <w:bottom w:w="80" w:type="dxa"/>
              <w:right w:w="80" w:type="dxa"/>
            </w:tcMar>
            <w:vAlign w:val="center"/>
          </w:tcPr>
          <w:p w14:paraId="0F6FAF74" w14:textId="77777777" w:rsidR="004B3B82" w:rsidRPr="007D4C5F" w:rsidRDefault="004B3B82" w:rsidP="00CD3B05">
            <w:pPr>
              <w:rPr>
                <w:rFonts w:ascii="Garamond" w:hAnsi="Garamond"/>
              </w:rPr>
            </w:pPr>
          </w:p>
        </w:tc>
        <w:tc>
          <w:tcPr>
            <w:tcW w:w="1560" w:type="dxa"/>
            <w:tcBorders>
              <w:top w:val="single" w:sz="4" w:space="0" w:color="000000"/>
              <w:left w:val="single" w:sz="4" w:space="0" w:color="000000"/>
              <w:bottom w:val="single" w:sz="4" w:space="0" w:color="000000"/>
              <w:right w:val="single" w:sz="4" w:space="0" w:color="000000"/>
            </w:tcBorders>
            <w:shd w:val="clear" w:color="auto" w:fill="92D050"/>
            <w:tcMar>
              <w:top w:w="80" w:type="dxa"/>
              <w:left w:w="80" w:type="dxa"/>
              <w:bottom w:w="80" w:type="dxa"/>
              <w:right w:w="80" w:type="dxa"/>
            </w:tcMar>
            <w:vAlign w:val="center"/>
          </w:tcPr>
          <w:p w14:paraId="4AAAAF82" w14:textId="77777777" w:rsidR="004B3B82" w:rsidRPr="007D4C5F" w:rsidRDefault="004B3B82" w:rsidP="00CD3B05">
            <w:pPr>
              <w:jc w:val="center"/>
              <w:rPr>
                <w:rFonts w:ascii="Garamond" w:hAnsi="Garamond"/>
              </w:rPr>
            </w:pPr>
            <w:r w:rsidRPr="007D4C5F">
              <w:rPr>
                <w:rFonts w:ascii="Garamond" w:hAnsi="Garamond"/>
                <w:b/>
                <w:bCs/>
              </w:rPr>
              <w:t>Компоненты</w:t>
            </w:r>
          </w:p>
        </w:tc>
        <w:tc>
          <w:tcPr>
            <w:tcW w:w="7797" w:type="dxa"/>
            <w:tcBorders>
              <w:top w:val="single" w:sz="4" w:space="0" w:color="000000"/>
              <w:left w:val="single" w:sz="4" w:space="0" w:color="000000"/>
              <w:bottom w:val="single" w:sz="4" w:space="0" w:color="000000"/>
              <w:right w:val="single" w:sz="4" w:space="0" w:color="000000"/>
            </w:tcBorders>
            <w:shd w:val="clear" w:color="auto" w:fill="92D050"/>
            <w:tcMar>
              <w:top w:w="80" w:type="dxa"/>
              <w:left w:w="80" w:type="dxa"/>
              <w:bottom w:w="80" w:type="dxa"/>
              <w:right w:w="80" w:type="dxa"/>
            </w:tcMar>
          </w:tcPr>
          <w:p w14:paraId="111BFB2D" w14:textId="77777777" w:rsidR="004B3B82" w:rsidRPr="007D4C5F" w:rsidRDefault="004B3B82" w:rsidP="00CD3B05">
            <w:pPr>
              <w:jc w:val="both"/>
              <w:rPr>
                <w:rFonts w:ascii="Garamond" w:hAnsi="Garamond"/>
              </w:rPr>
            </w:pPr>
            <w:r w:rsidRPr="007D4C5F">
              <w:rPr>
                <w:rFonts w:ascii="Garamond" w:hAnsi="Garamond"/>
              </w:rPr>
              <w:t xml:space="preserve">ИВК – УСПД и (или) сервер </w:t>
            </w:r>
          </w:p>
        </w:tc>
      </w:tr>
      <w:tr w:rsidR="004B3B82" w:rsidRPr="007D4C5F" w14:paraId="3A9AE94B" w14:textId="77777777" w:rsidTr="00CD3B05">
        <w:tblPrEx>
          <w:shd w:val="clear" w:color="auto" w:fill="auto"/>
        </w:tblPrEx>
        <w:trPr>
          <w:trHeight w:val="1673"/>
          <w:jc w:val="right"/>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0E4C958" w14:textId="77777777" w:rsidR="004B3B82" w:rsidRPr="007D4C5F" w:rsidRDefault="004B3B82" w:rsidP="00CD3B05">
            <w:pPr>
              <w:rPr>
                <w:rFonts w:ascii="Garamond" w:hAnsi="Garamond"/>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40CEFA3" w14:textId="77777777" w:rsidR="004B3B82" w:rsidRPr="007D4C5F" w:rsidRDefault="004B3B82" w:rsidP="00CD3B05">
            <w:pPr>
              <w:jc w:val="center"/>
              <w:rPr>
                <w:rFonts w:ascii="Garamond" w:hAnsi="Garamond"/>
              </w:rPr>
            </w:pPr>
            <w:r w:rsidRPr="007D4C5F">
              <w:rPr>
                <w:rFonts w:ascii="Garamond" w:hAnsi="Garamond"/>
                <w:b/>
                <w:bCs/>
              </w:rPr>
              <w:t>Действия</w:t>
            </w:r>
          </w:p>
        </w:tc>
        <w:tc>
          <w:tcPr>
            <w:tcW w:w="779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F5222AD" w14:textId="77777777" w:rsidR="004B3B82" w:rsidRPr="007D4C5F" w:rsidRDefault="004B3B82" w:rsidP="00CD3B05">
            <w:pPr>
              <w:pStyle w:val="ac"/>
              <w:numPr>
                <w:ilvl w:val="0"/>
                <w:numId w:val="27"/>
              </w:numPr>
              <w:pBdr>
                <w:top w:val="nil"/>
                <w:left w:val="nil"/>
                <w:bottom w:val="nil"/>
                <w:right w:val="nil"/>
                <w:between w:val="nil"/>
                <w:bar w:val="nil"/>
              </w:pBdr>
              <w:tabs>
                <w:tab w:val="clear" w:pos="317"/>
                <w:tab w:val="num" w:pos="380"/>
                <w:tab w:val="left" w:pos="1440"/>
              </w:tabs>
              <w:ind w:left="380" w:hanging="380"/>
              <w:jc w:val="both"/>
              <w:rPr>
                <w:rFonts w:ascii="Garamond" w:eastAsia="Garamond" w:hAnsi="Garamond" w:cs="Garamond"/>
              </w:rPr>
            </w:pPr>
            <w:r w:rsidRPr="007D4C5F">
              <w:rPr>
                <w:rFonts w:ascii="Garamond" w:hAnsi="Garamond"/>
              </w:rPr>
              <w:t>С помощью стандартных средств операционной системы или специализированного ПО удаленного доступа и администрирования устанавливается интернет-соединение с удаленным рабочим столом сервера ИВК АИИС КУЭ.</w:t>
            </w:r>
          </w:p>
          <w:p w14:paraId="5D08EDE2" w14:textId="77777777" w:rsidR="004B3B82" w:rsidRPr="007D4C5F" w:rsidRDefault="004B3B82" w:rsidP="00CD3B05">
            <w:pPr>
              <w:pStyle w:val="ac"/>
              <w:numPr>
                <w:ilvl w:val="0"/>
                <w:numId w:val="27"/>
              </w:numPr>
              <w:pBdr>
                <w:top w:val="nil"/>
                <w:left w:val="nil"/>
                <w:bottom w:val="nil"/>
                <w:right w:val="nil"/>
                <w:between w:val="nil"/>
                <w:bar w:val="nil"/>
              </w:pBdr>
              <w:tabs>
                <w:tab w:val="clear" w:pos="317"/>
                <w:tab w:val="num" w:pos="380"/>
                <w:tab w:val="left" w:pos="1440"/>
              </w:tabs>
              <w:ind w:left="380" w:hanging="380"/>
              <w:jc w:val="both"/>
              <w:rPr>
                <w:rFonts w:ascii="Garamond" w:eastAsia="Garamond" w:hAnsi="Garamond" w:cs="Garamond"/>
              </w:rPr>
            </w:pPr>
            <w:r w:rsidRPr="007D4C5F">
              <w:rPr>
                <w:rFonts w:ascii="Garamond" w:hAnsi="Garamond"/>
              </w:rPr>
              <w:t xml:space="preserve">С помощью специализированного ПО ИВК производится контроль параметров настройки цикличности сбора в ИВК АИИС КУЭ информации (получасовых интегрированных профилей мощности по всем измерительным каналам </w:t>
            </w:r>
            <w:r w:rsidRPr="00F56BC1">
              <w:rPr>
                <w:rFonts w:ascii="Garamond" w:hAnsi="Garamond"/>
                <w:highlight w:val="yellow"/>
              </w:rPr>
              <w:t>счетчиков</w:t>
            </w:r>
            <w:r w:rsidRPr="007D4C5F">
              <w:rPr>
                <w:rFonts w:ascii="Garamond" w:hAnsi="Garamond"/>
              </w:rPr>
              <w:t>, включенных в АИИС КУЭ, и их «журналов событий», «журналов событий» УСПД ИВКЭ и сервера ИВК АИИС КУЭ).</w:t>
            </w:r>
          </w:p>
        </w:tc>
      </w:tr>
      <w:tr w:rsidR="004B3B82" w:rsidRPr="007D4C5F" w14:paraId="5B9B4560" w14:textId="77777777" w:rsidTr="00E31AE6">
        <w:tblPrEx>
          <w:shd w:val="clear" w:color="auto" w:fill="auto"/>
        </w:tblPrEx>
        <w:trPr>
          <w:trHeight w:val="250"/>
          <w:jc w:val="right"/>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3F4B531" w14:textId="77777777" w:rsidR="004B3B82" w:rsidRPr="007D4C5F" w:rsidRDefault="004B3B82" w:rsidP="00E31AE6">
            <w:pPr>
              <w:rPr>
                <w:rFonts w:ascii="Garamond" w:hAnsi="Garamond"/>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DD7F590" w14:textId="77777777" w:rsidR="004B3B82" w:rsidRPr="007D4C5F" w:rsidRDefault="004B3B82" w:rsidP="00E31AE6">
            <w:pPr>
              <w:jc w:val="center"/>
              <w:rPr>
                <w:rFonts w:ascii="Garamond" w:hAnsi="Garamond"/>
              </w:rPr>
            </w:pPr>
            <w:r w:rsidRPr="007D4C5F">
              <w:rPr>
                <w:rFonts w:ascii="Garamond" w:hAnsi="Garamond"/>
                <w:b/>
                <w:bCs/>
              </w:rPr>
              <w:t>Критерии</w:t>
            </w:r>
          </w:p>
        </w:tc>
        <w:tc>
          <w:tcPr>
            <w:tcW w:w="779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0F46A35" w14:textId="77777777" w:rsidR="004B3B82" w:rsidRPr="007D4C5F" w:rsidRDefault="004B3B82" w:rsidP="00E31AE6">
            <w:pPr>
              <w:rPr>
                <w:rFonts w:ascii="Garamond" w:hAnsi="Garamond"/>
              </w:rPr>
            </w:pPr>
            <w:r w:rsidRPr="007D4C5F">
              <w:rPr>
                <w:rFonts w:ascii="Garamond" w:hAnsi="Garamond"/>
              </w:rPr>
              <w:t>Заданный интервал (цикличность) опроса УСПД / сервером ИВК технических средств нижестоящих уровней АИИС КУЭ составляет не реже 1 раза в сутки.</w:t>
            </w:r>
          </w:p>
        </w:tc>
      </w:tr>
      <w:tr w:rsidR="004B3B82" w:rsidRPr="007D4C5F" w14:paraId="7B586015" w14:textId="77777777" w:rsidTr="00E31AE6">
        <w:tblPrEx>
          <w:shd w:val="clear" w:color="auto" w:fill="auto"/>
        </w:tblPrEx>
        <w:trPr>
          <w:trHeight w:val="250"/>
          <w:jc w:val="right"/>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EC150B5" w14:textId="77777777" w:rsidR="004B3B82" w:rsidRPr="007D4C5F" w:rsidRDefault="004B3B82" w:rsidP="00E31AE6">
            <w:pPr>
              <w:rPr>
                <w:rFonts w:ascii="Garamond" w:hAnsi="Garamond"/>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94231FC" w14:textId="77777777" w:rsidR="004B3B82" w:rsidRPr="007D4C5F" w:rsidRDefault="004B3B82" w:rsidP="00E31AE6">
            <w:pPr>
              <w:jc w:val="center"/>
              <w:rPr>
                <w:rFonts w:ascii="Garamond" w:hAnsi="Garamond"/>
              </w:rPr>
            </w:pPr>
            <w:r w:rsidRPr="007D4C5F">
              <w:rPr>
                <w:rFonts w:ascii="Garamond" w:hAnsi="Garamond"/>
                <w:b/>
                <w:bCs/>
              </w:rPr>
              <w:t>Испытатели</w:t>
            </w:r>
          </w:p>
        </w:tc>
        <w:tc>
          <w:tcPr>
            <w:tcW w:w="779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B843855" w14:textId="77777777" w:rsidR="004B3B82" w:rsidRPr="007D4C5F" w:rsidRDefault="004B3B82" w:rsidP="00E31AE6">
            <w:pPr>
              <w:pStyle w:val="ac"/>
              <w:numPr>
                <w:ilvl w:val="0"/>
                <w:numId w:val="28"/>
              </w:numPr>
              <w:pBdr>
                <w:top w:val="nil"/>
                <w:left w:val="nil"/>
                <w:bottom w:val="nil"/>
                <w:right w:val="nil"/>
                <w:between w:val="nil"/>
                <w:bar w:val="nil"/>
              </w:pBdr>
              <w:tabs>
                <w:tab w:val="left" w:pos="1440"/>
              </w:tabs>
              <w:ind w:left="380" w:hanging="380"/>
              <w:jc w:val="both"/>
              <w:rPr>
                <w:rFonts w:ascii="Garamond" w:eastAsia="Garamond" w:hAnsi="Garamond" w:cs="Garamond"/>
              </w:rPr>
            </w:pPr>
            <w:r w:rsidRPr="007D4C5F">
              <w:rPr>
                <w:rFonts w:ascii="Garamond" w:hAnsi="Garamond"/>
              </w:rPr>
              <w:t>Представители КО.</w:t>
            </w:r>
          </w:p>
          <w:p w14:paraId="2A720007" w14:textId="77777777" w:rsidR="004B3B82" w:rsidRDefault="004B3B82" w:rsidP="00E31AE6">
            <w:pPr>
              <w:pStyle w:val="ac"/>
              <w:numPr>
                <w:ilvl w:val="0"/>
                <w:numId w:val="28"/>
              </w:numPr>
              <w:pBdr>
                <w:top w:val="nil"/>
                <w:left w:val="nil"/>
                <w:bottom w:val="nil"/>
                <w:right w:val="nil"/>
                <w:between w:val="nil"/>
                <w:bar w:val="nil"/>
              </w:pBdr>
              <w:tabs>
                <w:tab w:val="left" w:pos="1440"/>
              </w:tabs>
              <w:ind w:left="380" w:hanging="380"/>
              <w:jc w:val="both"/>
              <w:rPr>
                <w:rFonts w:ascii="Garamond" w:eastAsia="Garamond" w:hAnsi="Garamond" w:cs="Garamond"/>
              </w:rPr>
            </w:pPr>
            <w:r w:rsidRPr="007D4C5F">
              <w:rPr>
                <w:rFonts w:ascii="Garamond" w:hAnsi="Garamond"/>
              </w:rPr>
              <w:t>Представители заявителя</w:t>
            </w:r>
            <w:r w:rsidRPr="007D4C5F">
              <w:rPr>
                <w:rFonts w:ascii="Garamond" w:eastAsia="Garamond" w:hAnsi="Garamond" w:cs="Garamond"/>
              </w:rPr>
              <w:t>.</w:t>
            </w:r>
          </w:p>
          <w:p w14:paraId="7277DCA3" w14:textId="77777777" w:rsidR="004B3B82" w:rsidRPr="00AD541A" w:rsidRDefault="004B3B82" w:rsidP="00E31AE6">
            <w:pPr>
              <w:pStyle w:val="ac"/>
              <w:numPr>
                <w:ilvl w:val="0"/>
                <w:numId w:val="28"/>
              </w:numPr>
              <w:pBdr>
                <w:top w:val="nil"/>
                <w:left w:val="nil"/>
                <w:bottom w:val="nil"/>
                <w:right w:val="nil"/>
                <w:between w:val="nil"/>
                <w:bar w:val="nil"/>
              </w:pBdr>
              <w:tabs>
                <w:tab w:val="left" w:pos="1440"/>
              </w:tabs>
              <w:ind w:left="380" w:hanging="380"/>
              <w:jc w:val="both"/>
              <w:rPr>
                <w:rFonts w:ascii="Garamond" w:eastAsia="Garamond" w:hAnsi="Garamond" w:cs="Garamond"/>
              </w:rPr>
            </w:pPr>
            <w:r w:rsidRPr="00AD541A">
              <w:rPr>
                <w:rFonts w:ascii="Garamond" w:hAnsi="Garamond"/>
              </w:rPr>
              <w:t>Представители смежного субъекта (при участии в испытаниях).</w:t>
            </w:r>
          </w:p>
        </w:tc>
      </w:tr>
      <w:tr w:rsidR="004B3B82" w:rsidRPr="007D4C5F" w14:paraId="0680A5CA" w14:textId="77777777" w:rsidTr="00E31AE6">
        <w:tblPrEx>
          <w:shd w:val="clear" w:color="auto" w:fill="auto"/>
        </w:tblPrEx>
        <w:trPr>
          <w:trHeight w:val="250"/>
          <w:jc w:val="right"/>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86B0409" w14:textId="77777777" w:rsidR="004B3B82" w:rsidRPr="007D4C5F" w:rsidRDefault="004B3B82" w:rsidP="00E31AE6">
            <w:pPr>
              <w:rPr>
                <w:rFonts w:ascii="Garamond" w:hAnsi="Garamond"/>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C86913C" w14:textId="77777777" w:rsidR="004B3B82" w:rsidRPr="007D4C5F" w:rsidRDefault="004B3B82" w:rsidP="00E31AE6">
            <w:pPr>
              <w:jc w:val="center"/>
              <w:rPr>
                <w:rFonts w:ascii="Garamond" w:hAnsi="Garamond"/>
              </w:rPr>
            </w:pPr>
            <w:r w:rsidRPr="007D4C5F">
              <w:rPr>
                <w:rFonts w:ascii="Garamond" w:hAnsi="Garamond"/>
                <w:b/>
                <w:bCs/>
              </w:rPr>
              <w:t>Документация</w:t>
            </w:r>
          </w:p>
        </w:tc>
        <w:tc>
          <w:tcPr>
            <w:tcW w:w="779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17E549C" w14:textId="77777777" w:rsidR="004B3B82" w:rsidRPr="007D4C5F" w:rsidRDefault="004B3B82" w:rsidP="00E31AE6">
            <w:pPr>
              <w:rPr>
                <w:rFonts w:ascii="Garamond" w:hAnsi="Garamond"/>
              </w:rPr>
            </w:pPr>
            <w:r w:rsidRPr="007E6D30">
              <w:rPr>
                <w:rFonts w:ascii="Garamond" w:hAnsi="Garamond"/>
                <w:highlight w:val="yellow"/>
              </w:rPr>
              <w:t>Д</w:t>
            </w:r>
            <w:r w:rsidRPr="00072687">
              <w:rPr>
                <w:rFonts w:ascii="Garamond" w:hAnsi="Garamond"/>
              </w:rPr>
              <w:t>окументация в соответствии с таблицей 2 приложения 1 к настоящему Порядку, представленная для установления соответствия АИИС КУЭ</w:t>
            </w:r>
          </w:p>
        </w:tc>
      </w:tr>
      <w:tr w:rsidR="004B3B82" w:rsidRPr="007D4C5F" w14:paraId="5AAC493B" w14:textId="77777777" w:rsidTr="00CD3B05">
        <w:tblPrEx>
          <w:shd w:val="clear" w:color="auto" w:fill="auto"/>
        </w:tblPrEx>
        <w:trPr>
          <w:trHeight w:val="250"/>
          <w:jc w:val="right"/>
        </w:trPr>
        <w:tc>
          <w:tcPr>
            <w:tcW w:w="567" w:type="dxa"/>
            <w:tcBorders>
              <w:top w:val="single" w:sz="4" w:space="0" w:color="000000"/>
              <w:left w:val="single" w:sz="4" w:space="0" w:color="000000"/>
              <w:bottom w:val="single" w:sz="4" w:space="0" w:color="000000"/>
              <w:right w:val="single" w:sz="4" w:space="0" w:color="000000"/>
            </w:tcBorders>
            <w:shd w:val="clear" w:color="auto" w:fill="BFBFBF"/>
            <w:tcMar>
              <w:top w:w="80" w:type="dxa"/>
              <w:left w:w="80" w:type="dxa"/>
              <w:bottom w:w="80" w:type="dxa"/>
              <w:right w:w="80" w:type="dxa"/>
            </w:tcMar>
            <w:vAlign w:val="center"/>
          </w:tcPr>
          <w:p w14:paraId="1064E3F1" w14:textId="77777777" w:rsidR="004B3B82" w:rsidRPr="007D4C5F" w:rsidRDefault="004B3B82" w:rsidP="00CD3B05">
            <w:pPr>
              <w:jc w:val="center"/>
              <w:rPr>
                <w:rFonts w:ascii="Garamond" w:hAnsi="Garamond"/>
                <w:lang w:val="en-US"/>
              </w:rPr>
            </w:pPr>
            <w:r w:rsidRPr="007D4C5F">
              <w:rPr>
                <w:rFonts w:ascii="Garamond" w:hAnsi="Garamond"/>
                <w:lang w:val="en-US"/>
              </w:rPr>
              <w:t>9</w:t>
            </w:r>
          </w:p>
        </w:tc>
        <w:tc>
          <w:tcPr>
            <w:tcW w:w="1560" w:type="dxa"/>
            <w:tcBorders>
              <w:top w:val="single" w:sz="4" w:space="0" w:color="000000"/>
              <w:left w:val="single" w:sz="4" w:space="0" w:color="000000"/>
              <w:bottom w:val="single" w:sz="4" w:space="0" w:color="000000"/>
              <w:right w:val="single" w:sz="4" w:space="0" w:color="000000"/>
            </w:tcBorders>
            <w:shd w:val="clear" w:color="auto" w:fill="BFBFBF"/>
            <w:tcMar>
              <w:top w:w="80" w:type="dxa"/>
              <w:left w:w="80" w:type="dxa"/>
              <w:bottom w:w="80" w:type="dxa"/>
              <w:right w:w="80" w:type="dxa"/>
            </w:tcMar>
            <w:vAlign w:val="center"/>
          </w:tcPr>
          <w:p w14:paraId="098958D0" w14:textId="77777777" w:rsidR="004B3B82" w:rsidRPr="007D4C5F" w:rsidRDefault="004B3B82" w:rsidP="00CD3B05">
            <w:pPr>
              <w:jc w:val="center"/>
              <w:rPr>
                <w:rFonts w:ascii="Garamond" w:hAnsi="Garamond"/>
                <w:b/>
                <w:bCs/>
                <w:vertAlign w:val="subscript"/>
              </w:rPr>
            </w:pPr>
            <w:r w:rsidRPr="007D4C5F">
              <w:rPr>
                <w:rFonts w:ascii="Garamond" w:hAnsi="Garamond"/>
                <w:b/>
                <w:bCs/>
              </w:rPr>
              <w:t>П</w:t>
            </w:r>
            <w:r w:rsidRPr="007D4C5F">
              <w:rPr>
                <w:rFonts w:ascii="Garamond" w:hAnsi="Garamond"/>
                <w:b/>
                <w:bCs/>
                <w:vertAlign w:val="subscript"/>
              </w:rPr>
              <w:t>Ф32</w:t>
            </w:r>
          </w:p>
          <w:p w14:paraId="7520E93E" w14:textId="77777777" w:rsidR="004B3B82" w:rsidRPr="007D4C5F" w:rsidRDefault="004B3B82" w:rsidP="00CD3B05">
            <w:pPr>
              <w:jc w:val="center"/>
              <w:rPr>
                <w:rFonts w:ascii="Garamond" w:hAnsi="Garamond"/>
              </w:rPr>
            </w:pPr>
            <w:r w:rsidRPr="007D4C5F">
              <w:rPr>
                <w:rFonts w:ascii="Garamond" w:hAnsi="Garamond"/>
                <w:bCs/>
              </w:rPr>
              <w:t>(пп. 2.1.</w:t>
            </w:r>
            <w:r w:rsidRPr="00C25DDB">
              <w:rPr>
                <w:rFonts w:ascii="Garamond" w:hAnsi="Garamond"/>
                <w:bCs/>
                <w:highlight w:val="yellow"/>
              </w:rPr>
              <w:t>8</w:t>
            </w:r>
            <w:r w:rsidRPr="007D4C5F">
              <w:rPr>
                <w:rFonts w:ascii="Garamond" w:hAnsi="Garamond"/>
                <w:bCs/>
              </w:rPr>
              <w:t>, 5.3)</w:t>
            </w:r>
          </w:p>
        </w:tc>
        <w:tc>
          <w:tcPr>
            <w:tcW w:w="7797" w:type="dxa"/>
            <w:tcBorders>
              <w:top w:val="single" w:sz="4" w:space="0" w:color="000000"/>
              <w:left w:val="single" w:sz="4" w:space="0" w:color="000000"/>
              <w:bottom w:val="single" w:sz="4" w:space="0" w:color="000000"/>
              <w:right w:val="single" w:sz="4" w:space="0" w:color="000000"/>
            </w:tcBorders>
            <w:shd w:val="clear" w:color="auto" w:fill="BFBFBF"/>
            <w:tcMar>
              <w:top w:w="80" w:type="dxa"/>
              <w:left w:w="80" w:type="dxa"/>
              <w:bottom w:w="80" w:type="dxa"/>
              <w:right w:w="80" w:type="dxa"/>
            </w:tcMar>
          </w:tcPr>
          <w:p w14:paraId="0AA0ECE2" w14:textId="77777777" w:rsidR="004B3B82" w:rsidRPr="007D4C5F" w:rsidRDefault="004B3B82" w:rsidP="00CD3B05">
            <w:pPr>
              <w:rPr>
                <w:rFonts w:ascii="Garamond" w:hAnsi="Garamond"/>
              </w:rPr>
            </w:pPr>
            <w:r w:rsidRPr="007D4C5F">
              <w:rPr>
                <w:rFonts w:ascii="Garamond" w:hAnsi="Garamond"/>
                <w:b/>
                <w:bCs/>
              </w:rPr>
              <w:t>Дистанционный доступ к АИИС КУЭ для контроля со стороны КО</w:t>
            </w:r>
          </w:p>
        </w:tc>
      </w:tr>
      <w:tr w:rsidR="004B3B82" w:rsidRPr="007D4C5F" w14:paraId="56456520" w14:textId="77777777" w:rsidTr="00CD3B05">
        <w:tblPrEx>
          <w:shd w:val="clear" w:color="auto" w:fill="auto"/>
        </w:tblPrEx>
        <w:trPr>
          <w:trHeight w:val="250"/>
          <w:jc w:val="right"/>
        </w:trPr>
        <w:tc>
          <w:tcPr>
            <w:tcW w:w="567" w:type="dxa"/>
            <w:tcBorders>
              <w:top w:val="single" w:sz="4" w:space="0" w:color="000000"/>
              <w:left w:val="single" w:sz="4" w:space="0" w:color="000000"/>
              <w:bottom w:val="single" w:sz="4" w:space="0" w:color="000000"/>
              <w:right w:val="single" w:sz="4" w:space="0" w:color="000000"/>
            </w:tcBorders>
            <w:shd w:val="clear" w:color="auto" w:fill="92D050"/>
            <w:tcMar>
              <w:top w:w="80" w:type="dxa"/>
              <w:left w:w="80" w:type="dxa"/>
              <w:bottom w:w="80" w:type="dxa"/>
              <w:right w:w="80" w:type="dxa"/>
            </w:tcMar>
            <w:vAlign w:val="center"/>
          </w:tcPr>
          <w:p w14:paraId="1E823FF1" w14:textId="77777777" w:rsidR="004B3B82" w:rsidRPr="007D4C5F" w:rsidRDefault="004B3B82" w:rsidP="00CD3B05">
            <w:pPr>
              <w:rPr>
                <w:rFonts w:ascii="Garamond" w:hAnsi="Garamond"/>
              </w:rPr>
            </w:pPr>
          </w:p>
        </w:tc>
        <w:tc>
          <w:tcPr>
            <w:tcW w:w="1560" w:type="dxa"/>
            <w:tcBorders>
              <w:top w:val="single" w:sz="4" w:space="0" w:color="000000"/>
              <w:left w:val="single" w:sz="4" w:space="0" w:color="000000"/>
              <w:bottom w:val="single" w:sz="4" w:space="0" w:color="000000"/>
              <w:right w:val="single" w:sz="4" w:space="0" w:color="000000"/>
            </w:tcBorders>
            <w:shd w:val="clear" w:color="auto" w:fill="92D050"/>
            <w:tcMar>
              <w:top w:w="80" w:type="dxa"/>
              <w:left w:w="80" w:type="dxa"/>
              <w:bottom w:w="80" w:type="dxa"/>
              <w:right w:w="80" w:type="dxa"/>
            </w:tcMar>
            <w:vAlign w:val="center"/>
          </w:tcPr>
          <w:p w14:paraId="05DBBC6C" w14:textId="77777777" w:rsidR="004B3B82" w:rsidRPr="007D4C5F" w:rsidRDefault="004B3B82" w:rsidP="00CD3B05">
            <w:pPr>
              <w:jc w:val="center"/>
              <w:rPr>
                <w:rFonts w:ascii="Garamond" w:hAnsi="Garamond"/>
              </w:rPr>
            </w:pPr>
            <w:r w:rsidRPr="007D4C5F">
              <w:rPr>
                <w:rFonts w:ascii="Garamond" w:hAnsi="Garamond"/>
                <w:b/>
                <w:bCs/>
              </w:rPr>
              <w:t>Компоненты</w:t>
            </w:r>
          </w:p>
        </w:tc>
        <w:tc>
          <w:tcPr>
            <w:tcW w:w="7797" w:type="dxa"/>
            <w:tcBorders>
              <w:top w:val="single" w:sz="4" w:space="0" w:color="000000"/>
              <w:left w:val="single" w:sz="4" w:space="0" w:color="000000"/>
              <w:bottom w:val="single" w:sz="4" w:space="0" w:color="000000"/>
              <w:right w:val="single" w:sz="4" w:space="0" w:color="000000"/>
            </w:tcBorders>
            <w:shd w:val="clear" w:color="auto" w:fill="92D050"/>
            <w:tcMar>
              <w:top w:w="80" w:type="dxa"/>
              <w:left w:w="80" w:type="dxa"/>
              <w:bottom w:w="80" w:type="dxa"/>
              <w:right w:w="80" w:type="dxa"/>
            </w:tcMar>
          </w:tcPr>
          <w:p w14:paraId="59D833BB" w14:textId="77777777" w:rsidR="004B3B82" w:rsidRPr="007D4C5F" w:rsidRDefault="004B3B82" w:rsidP="00CD3B05">
            <w:pPr>
              <w:jc w:val="both"/>
              <w:rPr>
                <w:rFonts w:ascii="Garamond" w:hAnsi="Garamond"/>
              </w:rPr>
            </w:pPr>
            <w:r w:rsidRPr="007D4C5F">
              <w:rPr>
                <w:rFonts w:ascii="Garamond" w:hAnsi="Garamond"/>
              </w:rPr>
              <w:t>ИИК, ИВКЭ, ИВК</w:t>
            </w:r>
          </w:p>
        </w:tc>
      </w:tr>
      <w:tr w:rsidR="004B3B82" w:rsidRPr="007D4C5F" w14:paraId="1ADFC272" w14:textId="77777777" w:rsidTr="00CD3B05">
        <w:tblPrEx>
          <w:shd w:val="clear" w:color="auto" w:fill="auto"/>
        </w:tblPrEx>
        <w:trPr>
          <w:trHeight w:val="234"/>
          <w:jc w:val="right"/>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F454E72" w14:textId="77777777" w:rsidR="004B3B82" w:rsidRPr="007D4C5F" w:rsidRDefault="004B3B82" w:rsidP="00CD3B05">
            <w:pPr>
              <w:rPr>
                <w:rFonts w:ascii="Garamond" w:hAnsi="Garamond"/>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0DF52BD" w14:textId="77777777" w:rsidR="004B3B82" w:rsidRPr="007D4C5F" w:rsidRDefault="004B3B82" w:rsidP="00CD3B05">
            <w:pPr>
              <w:jc w:val="center"/>
              <w:rPr>
                <w:rFonts w:ascii="Garamond" w:hAnsi="Garamond"/>
              </w:rPr>
            </w:pPr>
            <w:r w:rsidRPr="007D4C5F">
              <w:rPr>
                <w:rFonts w:ascii="Garamond" w:hAnsi="Garamond"/>
                <w:b/>
                <w:bCs/>
              </w:rPr>
              <w:t>Действия</w:t>
            </w:r>
          </w:p>
        </w:tc>
        <w:tc>
          <w:tcPr>
            <w:tcW w:w="779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2760901" w14:textId="77777777" w:rsidR="004B3B82" w:rsidRPr="007D4C5F" w:rsidRDefault="004B3B82" w:rsidP="00CD3B05">
            <w:pPr>
              <w:pStyle w:val="ac"/>
              <w:numPr>
                <w:ilvl w:val="0"/>
                <w:numId w:val="29"/>
              </w:numPr>
              <w:pBdr>
                <w:top w:val="nil"/>
                <w:left w:val="nil"/>
                <w:bottom w:val="nil"/>
                <w:right w:val="nil"/>
                <w:between w:val="nil"/>
                <w:bar w:val="nil"/>
              </w:pBdr>
              <w:tabs>
                <w:tab w:val="clear" w:pos="317"/>
                <w:tab w:val="num" w:pos="380"/>
                <w:tab w:val="num" w:pos="416"/>
                <w:tab w:val="left" w:pos="1440"/>
              </w:tabs>
              <w:ind w:left="380" w:hanging="380"/>
              <w:jc w:val="both"/>
              <w:rPr>
                <w:rFonts w:ascii="Garamond" w:eastAsia="Garamond" w:hAnsi="Garamond" w:cs="Garamond"/>
              </w:rPr>
            </w:pPr>
            <w:r w:rsidRPr="007D4C5F">
              <w:rPr>
                <w:rFonts w:ascii="Garamond" w:hAnsi="Garamond"/>
              </w:rPr>
              <w:t>С помощью стандартных средств операционной системы или специализированного ПО удаленного доступа и администрирования устанавливается интернет-соединение с удаленным рабочим столом сервера (АРМ) ИВК АИИС КУЭ.</w:t>
            </w:r>
          </w:p>
          <w:p w14:paraId="35445E3B" w14:textId="77777777" w:rsidR="004B3B82" w:rsidRPr="007D4C5F" w:rsidRDefault="004B3B82" w:rsidP="00CD3B05">
            <w:pPr>
              <w:pStyle w:val="ac"/>
              <w:numPr>
                <w:ilvl w:val="0"/>
                <w:numId w:val="29"/>
              </w:numPr>
              <w:pBdr>
                <w:top w:val="nil"/>
                <w:left w:val="nil"/>
                <w:bottom w:val="nil"/>
                <w:right w:val="nil"/>
                <w:between w:val="nil"/>
                <w:bar w:val="nil"/>
              </w:pBdr>
              <w:tabs>
                <w:tab w:val="clear" w:pos="317"/>
                <w:tab w:val="num" w:pos="380"/>
                <w:tab w:val="left" w:pos="1440"/>
              </w:tabs>
              <w:ind w:left="380" w:hanging="380"/>
              <w:jc w:val="both"/>
              <w:rPr>
                <w:rFonts w:ascii="Garamond" w:eastAsia="Garamond" w:hAnsi="Garamond" w:cs="Garamond"/>
              </w:rPr>
            </w:pPr>
            <w:r w:rsidRPr="007D4C5F">
              <w:rPr>
                <w:rFonts w:ascii="Garamond" w:hAnsi="Garamond"/>
              </w:rPr>
              <w:t xml:space="preserve">Производится выборочное считывание данных из памяти </w:t>
            </w:r>
            <w:r w:rsidRPr="00C25DDB">
              <w:rPr>
                <w:rFonts w:ascii="Garamond" w:hAnsi="Garamond"/>
                <w:highlight w:val="yellow"/>
              </w:rPr>
              <w:t>счетчиков</w:t>
            </w:r>
            <w:r w:rsidRPr="007D4C5F">
              <w:rPr>
                <w:rFonts w:ascii="Garamond" w:hAnsi="Garamond"/>
              </w:rPr>
              <w:t xml:space="preserve">, УСПД и сервера (получасовых интегрированных профилей мощности по измерительным каналам </w:t>
            </w:r>
            <w:r w:rsidRPr="00C25DDB">
              <w:rPr>
                <w:rFonts w:ascii="Garamond" w:hAnsi="Garamond"/>
                <w:highlight w:val="yellow"/>
              </w:rPr>
              <w:t>счетчиков</w:t>
            </w:r>
            <w:r w:rsidRPr="007D4C5F">
              <w:rPr>
                <w:rFonts w:ascii="Garamond" w:hAnsi="Garamond"/>
              </w:rPr>
              <w:t xml:space="preserve">, включенных в АИИС КУЭ, и их «журналов событий», «журналов событий» УСПД ИВКЭ и сервера ИВК </w:t>
            </w:r>
            <w:r w:rsidRPr="002875DF">
              <w:rPr>
                <w:rFonts w:ascii="Garamond" w:hAnsi="Garamond"/>
                <w:highlight w:val="yellow"/>
              </w:rPr>
              <w:t>АИИС КУЭ</w:t>
            </w:r>
            <w:r w:rsidRPr="007D4C5F">
              <w:rPr>
                <w:rFonts w:ascii="Garamond" w:hAnsi="Garamond"/>
              </w:rPr>
              <w:t>).</w:t>
            </w:r>
          </w:p>
        </w:tc>
      </w:tr>
      <w:tr w:rsidR="004B3B82" w:rsidRPr="0058630D" w14:paraId="193AC090" w14:textId="77777777" w:rsidTr="00CD3B05">
        <w:tblPrEx>
          <w:shd w:val="clear" w:color="auto" w:fill="auto"/>
        </w:tblPrEx>
        <w:trPr>
          <w:trHeight w:val="970"/>
          <w:jc w:val="right"/>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5334E0F" w14:textId="77777777" w:rsidR="004B3B82" w:rsidRPr="0058630D" w:rsidRDefault="004B3B82" w:rsidP="00CD3B05">
            <w:pPr>
              <w:rPr>
                <w:rFonts w:ascii="Garamond" w:hAnsi="Garamond"/>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C46433A" w14:textId="77777777" w:rsidR="004B3B82" w:rsidRPr="004B7F48" w:rsidRDefault="004B3B82" w:rsidP="00CD3B05">
            <w:pPr>
              <w:jc w:val="center"/>
              <w:rPr>
                <w:rFonts w:ascii="Garamond" w:hAnsi="Garamond"/>
              </w:rPr>
            </w:pPr>
            <w:r w:rsidRPr="00FC535A">
              <w:rPr>
                <w:rFonts w:ascii="Garamond" w:hAnsi="Garamond"/>
                <w:b/>
                <w:bCs/>
              </w:rPr>
              <w:t>Критерии</w:t>
            </w:r>
          </w:p>
        </w:tc>
        <w:tc>
          <w:tcPr>
            <w:tcW w:w="779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E8E0799" w14:textId="77777777" w:rsidR="004B3B82" w:rsidRPr="00415C9E" w:rsidRDefault="004B3B82" w:rsidP="00CD3B05">
            <w:pPr>
              <w:pStyle w:val="ac"/>
              <w:numPr>
                <w:ilvl w:val="0"/>
                <w:numId w:val="30"/>
              </w:numPr>
              <w:pBdr>
                <w:top w:val="nil"/>
                <w:left w:val="nil"/>
                <w:bottom w:val="nil"/>
                <w:right w:val="nil"/>
                <w:between w:val="nil"/>
                <w:bar w:val="nil"/>
              </w:pBdr>
              <w:tabs>
                <w:tab w:val="clear" w:pos="317"/>
                <w:tab w:val="num" w:pos="380"/>
                <w:tab w:val="left" w:pos="1440"/>
              </w:tabs>
              <w:ind w:left="380" w:hanging="380"/>
              <w:jc w:val="both"/>
              <w:rPr>
                <w:rFonts w:ascii="Garamond" w:eastAsia="Garamond" w:hAnsi="Garamond" w:cs="Garamond"/>
              </w:rPr>
            </w:pPr>
            <w:r w:rsidRPr="00415C9E">
              <w:rPr>
                <w:rFonts w:ascii="Garamond" w:hAnsi="Garamond"/>
              </w:rPr>
              <w:t>В момент первичного установления соответствия АИИС КУЭ при наличии дистанционного доступа до всех компонентов АИИС КУЭ параметр подтверждается автоматически.</w:t>
            </w:r>
          </w:p>
          <w:p w14:paraId="09C6586B" w14:textId="77777777" w:rsidR="004B3B82" w:rsidRPr="00415C9E" w:rsidRDefault="004B3B82" w:rsidP="00CD3B05">
            <w:pPr>
              <w:pStyle w:val="ac"/>
              <w:numPr>
                <w:ilvl w:val="0"/>
                <w:numId w:val="30"/>
              </w:numPr>
              <w:pBdr>
                <w:top w:val="nil"/>
                <w:left w:val="nil"/>
                <w:bottom w:val="nil"/>
                <w:right w:val="nil"/>
                <w:between w:val="nil"/>
                <w:bar w:val="nil"/>
              </w:pBdr>
              <w:tabs>
                <w:tab w:val="clear" w:pos="317"/>
                <w:tab w:val="num" w:pos="380"/>
                <w:tab w:val="left" w:pos="1440"/>
              </w:tabs>
              <w:ind w:left="380" w:hanging="380"/>
              <w:jc w:val="both"/>
              <w:rPr>
                <w:rFonts w:ascii="Garamond" w:eastAsia="Garamond" w:hAnsi="Garamond" w:cs="Garamond"/>
              </w:rPr>
            </w:pPr>
            <w:r w:rsidRPr="00415C9E">
              <w:rPr>
                <w:rFonts w:ascii="Garamond" w:hAnsi="Garamond"/>
              </w:rPr>
              <w:t>В течение срока действия Акта о соответствии АИИС КУЭ техническим требованиям ОРЭМ заявитель обязан по письменному запросу КО в течение 5 (пяти) рабочих дней предоставить дистанционный доступ до всех компонентов АИИС КУЭ и направить уполномоченного представителя для проведения проверки.</w:t>
            </w:r>
          </w:p>
        </w:tc>
      </w:tr>
      <w:tr w:rsidR="004B3B82" w:rsidRPr="0058630D" w14:paraId="3FD0B801" w14:textId="77777777" w:rsidTr="00CD3B05">
        <w:tblPrEx>
          <w:shd w:val="clear" w:color="auto" w:fill="auto"/>
        </w:tblPrEx>
        <w:trPr>
          <w:trHeight w:val="730"/>
          <w:jc w:val="right"/>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DFA16EC" w14:textId="77777777" w:rsidR="004B3B82" w:rsidRPr="0058630D" w:rsidRDefault="004B3B82" w:rsidP="00CD3B05">
            <w:pPr>
              <w:rPr>
                <w:rFonts w:ascii="Garamond" w:hAnsi="Garamond"/>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E4E47ED" w14:textId="77777777" w:rsidR="004B3B82" w:rsidRPr="004B7F48" w:rsidRDefault="004B3B82" w:rsidP="00CD3B05">
            <w:pPr>
              <w:jc w:val="center"/>
              <w:rPr>
                <w:rFonts w:ascii="Garamond" w:hAnsi="Garamond"/>
              </w:rPr>
            </w:pPr>
            <w:r w:rsidRPr="004B7F48">
              <w:rPr>
                <w:rFonts w:ascii="Garamond" w:hAnsi="Garamond"/>
                <w:b/>
                <w:bCs/>
              </w:rPr>
              <w:t>Испытатели</w:t>
            </w:r>
          </w:p>
        </w:tc>
        <w:tc>
          <w:tcPr>
            <w:tcW w:w="779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C2A5A64" w14:textId="77777777" w:rsidR="004B3B82" w:rsidRPr="00415C9E" w:rsidRDefault="004B3B82" w:rsidP="00CD3B05">
            <w:pPr>
              <w:pStyle w:val="ac"/>
              <w:numPr>
                <w:ilvl w:val="0"/>
                <w:numId w:val="31"/>
              </w:numPr>
              <w:pBdr>
                <w:top w:val="nil"/>
                <w:left w:val="nil"/>
                <w:bottom w:val="nil"/>
                <w:right w:val="nil"/>
                <w:between w:val="nil"/>
                <w:bar w:val="nil"/>
              </w:pBdr>
              <w:tabs>
                <w:tab w:val="clear" w:pos="317"/>
                <w:tab w:val="num" w:pos="380"/>
                <w:tab w:val="left" w:pos="1440"/>
              </w:tabs>
              <w:ind w:left="380" w:hanging="380"/>
              <w:jc w:val="both"/>
              <w:rPr>
                <w:rFonts w:ascii="Garamond" w:eastAsia="Garamond" w:hAnsi="Garamond" w:cs="Garamond"/>
              </w:rPr>
            </w:pPr>
            <w:r w:rsidRPr="00415C9E">
              <w:rPr>
                <w:rFonts w:ascii="Garamond" w:hAnsi="Garamond"/>
              </w:rPr>
              <w:t>Представители КО.</w:t>
            </w:r>
          </w:p>
          <w:p w14:paraId="1FDA7B95" w14:textId="77777777" w:rsidR="004B3B82" w:rsidRPr="00415C9E" w:rsidRDefault="004B3B82" w:rsidP="00CD3B05">
            <w:pPr>
              <w:pStyle w:val="ac"/>
              <w:numPr>
                <w:ilvl w:val="0"/>
                <w:numId w:val="31"/>
              </w:numPr>
              <w:pBdr>
                <w:top w:val="nil"/>
                <w:left w:val="nil"/>
                <w:bottom w:val="nil"/>
                <w:right w:val="nil"/>
                <w:between w:val="nil"/>
                <w:bar w:val="nil"/>
              </w:pBdr>
              <w:tabs>
                <w:tab w:val="clear" w:pos="317"/>
                <w:tab w:val="num" w:pos="380"/>
                <w:tab w:val="left" w:pos="1440"/>
              </w:tabs>
              <w:ind w:left="380" w:hanging="380"/>
              <w:jc w:val="both"/>
              <w:rPr>
                <w:rFonts w:ascii="Garamond" w:eastAsia="Garamond" w:hAnsi="Garamond" w:cs="Garamond"/>
              </w:rPr>
            </w:pPr>
            <w:r w:rsidRPr="00415C9E">
              <w:rPr>
                <w:rFonts w:ascii="Garamond" w:hAnsi="Garamond"/>
              </w:rPr>
              <w:t>Представители заявителя</w:t>
            </w:r>
            <w:r w:rsidRPr="00415C9E">
              <w:rPr>
                <w:rFonts w:ascii="Garamond" w:eastAsia="Garamond" w:hAnsi="Garamond" w:cs="Garamond"/>
              </w:rPr>
              <w:t>.</w:t>
            </w:r>
          </w:p>
          <w:p w14:paraId="1BC3C106" w14:textId="77777777" w:rsidR="004B3B82" w:rsidRPr="00415C9E" w:rsidRDefault="004B3B82" w:rsidP="00CD3B05">
            <w:pPr>
              <w:pStyle w:val="ac"/>
              <w:numPr>
                <w:ilvl w:val="0"/>
                <w:numId w:val="31"/>
              </w:numPr>
              <w:pBdr>
                <w:top w:val="nil"/>
                <w:left w:val="nil"/>
                <w:bottom w:val="nil"/>
                <w:right w:val="nil"/>
                <w:between w:val="nil"/>
                <w:bar w:val="nil"/>
              </w:pBdr>
              <w:tabs>
                <w:tab w:val="clear" w:pos="317"/>
                <w:tab w:val="num" w:pos="380"/>
                <w:tab w:val="left" w:pos="1440"/>
              </w:tabs>
              <w:ind w:left="380" w:hanging="380"/>
              <w:jc w:val="both"/>
              <w:rPr>
                <w:rFonts w:ascii="Garamond" w:eastAsia="Garamond" w:hAnsi="Garamond" w:cs="Garamond"/>
              </w:rPr>
            </w:pPr>
            <w:r w:rsidRPr="00415C9E">
              <w:rPr>
                <w:rFonts w:ascii="Garamond" w:hAnsi="Garamond"/>
              </w:rPr>
              <w:t>Представители смежного субъекта (при участии в испытаниях).</w:t>
            </w:r>
          </w:p>
        </w:tc>
      </w:tr>
      <w:tr w:rsidR="004B3B82" w:rsidRPr="004B7F48" w14:paraId="13862A80" w14:textId="77777777" w:rsidTr="00CD3B05">
        <w:tblPrEx>
          <w:shd w:val="clear" w:color="auto" w:fill="auto"/>
        </w:tblPrEx>
        <w:trPr>
          <w:trHeight w:val="250"/>
          <w:jc w:val="right"/>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52FDA60" w14:textId="77777777" w:rsidR="004B3B82" w:rsidRPr="0058630D" w:rsidRDefault="004B3B82" w:rsidP="00CD3B05">
            <w:pPr>
              <w:rPr>
                <w:rFonts w:ascii="Garamond" w:hAnsi="Garamond"/>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7D970D0" w14:textId="77777777" w:rsidR="004B3B82" w:rsidRPr="004B7F48" w:rsidRDefault="004B3B82" w:rsidP="00CD3B05">
            <w:pPr>
              <w:jc w:val="center"/>
              <w:rPr>
                <w:rFonts w:ascii="Garamond" w:hAnsi="Garamond"/>
              </w:rPr>
            </w:pPr>
            <w:r w:rsidRPr="004B7F48">
              <w:rPr>
                <w:rFonts w:ascii="Garamond" w:hAnsi="Garamond"/>
                <w:b/>
                <w:bCs/>
              </w:rPr>
              <w:t>Документы</w:t>
            </w:r>
          </w:p>
        </w:tc>
        <w:tc>
          <w:tcPr>
            <w:tcW w:w="779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BC9B088" w14:textId="77777777" w:rsidR="004B3B82" w:rsidRPr="00415C9E" w:rsidRDefault="004B3B82" w:rsidP="00CD3B05">
            <w:pPr>
              <w:rPr>
                <w:rFonts w:ascii="Garamond" w:hAnsi="Garamond"/>
              </w:rPr>
            </w:pPr>
            <w:r w:rsidRPr="00226E4C">
              <w:rPr>
                <w:rFonts w:ascii="Garamond" w:hAnsi="Garamond"/>
                <w:highlight w:val="yellow"/>
              </w:rPr>
              <w:t>Д</w:t>
            </w:r>
            <w:r w:rsidRPr="00072687">
              <w:rPr>
                <w:rFonts w:ascii="Garamond" w:hAnsi="Garamond"/>
              </w:rPr>
              <w:t>окументация в соответствии с таблицей 2 приложения 1 к настоящему Порядку, представленная для установления соответствия АИИС КУЭ</w:t>
            </w:r>
          </w:p>
        </w:tc>
      </w:tr>
      <w:tr w:rsidR="004B3B82" w:rsidRPr="004B7F48" w14:paraId="0827A545" w14:textId="77777777" w:rsidTr="00CD3B05">
        <w:tblPrEx>
          <w:shd w:val="clear" w:color="auto" w:fill="auto"/>
        </w:tblPrEx>
        <w:trPr>
          <w:trHeight w:val="250"/>
          <w:jc w:val="right"/>
        </w:trPr>
        <w:tc>
          <w:tcPr>
            <w:tcW w:w="567" w:type="dxa"/>
            <w:tcBorders>
              <w:top w:val="single" w:sz="4" w:space="0" w:color="000000"/>
              <w:left w:val="single" w:sz="4" w:space="0" w:color="000000"/>
              <w:bottom w:val="single" w:sz="4" w:space="0" w:color="000000"/>
              <w:right w:val="single" w:sz="4" w:space="0" w:color="000000"/>
            </w:tcBorders>
            <w:shd w:val="clear" w:color="auto" w:fill="BFBFBF"/>
            <w:tcMar>
              <w:top w:w="80" w:type="dxa"/>
              <w:left w:w="80" w:type="dxa"/>
              <w:bottom w:w="80" w:type="dxa"/>
              <w:right w:w="80" w:type="dxa"/>
            </w:tcMar>
            <w:vAlign w:val="center"/>
          </w:tcPr>
          <w:p w14:paraId="1D1922DB" w14:textId="77777777" w:rsidR="004B3B82" w:rsidRPr="00FC535A" w:rsidRDefault="004B3B82" w:rsidP="00CD3B05">
            <w:pPr>
              <w:jc w:val="center"/>
              <w:rPr>
                <w:rFonts w:ascii="Garamond" w:hAnsi="Garamond"/>
                <w:lang w:val="en-US"/>
              </w:rPr>
            </w:pPr>
            <w:r w:rsidRPr="005F754A">
              <w:rPr>
                <w:rFonts w:ascii="Garamond" w:hAnsi="Garamond"/>
                <w:lang w:val="en-US"/>
              </w:rPr>
              <w:t>10</w:t>
            </w:r>
          </w:p>
        </w:tc>
        <w:tc>
          <w:tcPr>
            <w:tcW w:w="1560" w:type="dxa"/>
            <w:tcBorders>
              <w:top w:val="single" w:sz="4" w:space="0" w:color="000000"/>
              <w:left w:val="single" w:sz="4" w:space="0" w:color="000000"/>
              <w:bottom w:val="single" w:sz="4" w:space="0" w:color="000000"/>
              <w:right w:val="single" w:sz="4" w:space="0" w:color="000000"/>
            </w:tcBorders>
            <w:shd w:val="clear" w:color="auto" w:fill="BFBFBF"/>
            <w:tcMar>
              <w:top w:w="80" w:type="dxa"/>
              <w:left w:w="80" w:type="dxa"/>
              <w:bottom w:w="80" w:type="dxa"/>
              <w:right w:w="80" w:type="dxa"/>
            </w:tcMar>
            <w:vAlign w:val="center"/>
          </w:tcPr>
          <w:p w14:paraId="685AE16E" w14:textId="77777777" w:rsidR="004B3B82" w:rsidRPr="00FC535A" w:rsidRDefault="004B3B82" w:rsidP="00CD3B05">
            <w:pPr>
              <w:jc w:val="center"/>
              <w:rPr>
                <w:rFonts w:ascii="Garamond" w:hAnsi="Garamond"/>
                <w:b/>
                <w:bCs/>
                <w:vertAlign w:val="subscript"/>
              </w:rPr>
            </w:pPr>
            <w:r w:rsidRPr="00FC535A">
              <w:rPr>
                <w:rFonts w:ascii="Garamond" w:hAnsi="Garamond"/>
                <w:b/>
                <w:bCs/>
              </w:rPr>
              <w:t>П</w:t>
            </w:r>
            <w:r w:rsidRPr="00FC535A">
              <w:rPr>
                <w:rFonts w:ascii="Garamond" w:hAnsi="Garamond"/>
                <w:b/>
                <w:bCs/>
                <w:vertAlign w:val="subscript"/>
              </w:rPr>
              <w:t>Ф40</w:t>
            </w:r>
          </w:p>
          <w:p w14:paraId="018729CF" w14:textId="77777777" w:rsidR="004B3B82" w:rsidRPr="004B7F48" w:rsidRDefault="004B3B82" w:rsidP="00CD3B05">
            <w:pPr>
              <w:jc w:val="center"/>
              <w:rPr>
                <w:rFonts w:ascii="Garamond" w:hAnsi="Garamond"/>
              </w:rPr>
            </w:pPr>
            <w:r w:rsidRPr="00FC535A">
              <w:rPr>
                <w:rFonts w:ascii="Garamond" w:hAnsi="Garamond"/>
                <w:bCs/>
              </w:rPr>
              <w:t>(п.</w:t>
            </w:r>
            <w:r>
              <w:rPr>
                <w:rFonts w:ascii="Garamond" w:hAnsi="Garamond"/>
                <w:bCs/>
              </w:rPr>
              <w:t xml:space="preserve"> </w:t>
            </w:r>
            <w:r w:rsidRPr="00FC535A">
              <w:rPr>
                <w:rFonts w:ascii="Garamond" w:hAnsi="Garamond"/>
                <w:bCs/>
              </w:rPr>
              <w:t>3.4.3)</w:t>
            </w:r>
          </w:p>
        </w:tc>
        <w:tc>
          <w:tcPr>
            <w:tcW w:w="7797" w:type="dxa"/>
            <w:tcBorders>
              <w:top w:val="single" w:sz="4" w:space="0" w:color="000000"/>
              <w:left w:val="single" w:sz="4" w:space="0" w:color="000000"/>
              <w:bottom w:val="single" w:sz="4" w:space="0" w:color="000000"/>
              <w:right w:val="single" w:sz="4" w:space="0" w:color="000000"/>
            </w:tcBorders>
            <w:shd w:val="clear" w:color="auto" w:fill="BFBFBF"/>
            <w:tcMar>
              <w:top w:w="80" w:type="dxa"/>
              <w:left w:w="80" w:type="dxa"/>
              <w:bottom w:w="80" w:type="dxa"/>
              <w:right w:w="80" w:type="dxa"/>
            </w:tcMar>
          </w:tcPr>
          <w:p w14:paraId="395B8C71" w14:textId="77777777" w:rsidR="004B3B82" w:rsidRPr="00415C9E" w:rsidRDefault="004B3B82" w:rsidP="00CD3B05">
            <w:pPr>
              <w:rPr>
                <w:rFonts w:ascii="Garamond" w:hAnsi="Garamond"/>
              </w:rPr>
            </w:pPr>
            <w:r w:rsidRPr="00415C9E">
              <w:rPr>
                <w:rFonts w:ascii="Garamond" w:hAnsi="Garamond"/>
                <w:b/>
                <w:bCs/>
              </w:rPr>
              <w:t>Глубина хранения информации (профиля) в ИИК</w:t>
            </w:r>
          </w:p>
        </w:tc>
      </w:tr>
      <w:tr w:rsidR="004B3B82" w:rsidRPr="00FC535A" w14:paraId="444CAC94" w14:textId="77777777" w:rsidTr="00CD3B05">
        <w:tblPrEx>
          <w:shd w:val="clear" w:color="auto" w:fill="auto"/>
        </w:tblPrEx>
        <w:trPr>
          <w:trHeight w:val="250"/>
          <w:jc w:val="right"/>
        </w:trPr>
        <w:tc>
          <w:tcPr>
            <w:tcW w:w="567" w:type="dxa"/>
            <w:tcBorders>
              <w:top w:val="single" w:sz="4" w:space="0" w:color="000000"/>
              <w:left w:val="single" w:sz="4" w:space="0" w:color="000000"/>
              <w:bottom w:val="single" w:sz="4" w:space="0" w:color="000000"/>
              <w:right w:val="single" w:sz="4" w:space="0" w:color="000000"/>
            </w:tcBorders>
            <w:shd w:val="clear" w:color="auto" w:fill="92D050"/>
            <w:tcMar>
              <w:top w:w="80" w:type="dxa"/>
              <w:left w:w="80" w:type="dxa"/>
              <w:bottom w:w="80" w:type="dxa"/>
              <w:right w:w="80" w:type="dxa"/>
            </w:tcMar>
            <w:vAlign w:val="center"/>
          </w:tcPr>
          <w:p w14:paraId="73FBFB51" w14:textId="77777777" w:rsidR="004B3B82" w:rsidRPr="004B7F48" w:rsidRDefault="004B3B82" w:rsidP="00CD3B05">
            <w:pPr>
              <w:rPr>
                <w:rFonts w:ascii="Garamond" w:hAnsi="Garamond"/>
              </w:rPr>
            </w:pPr>
          </w:p>
        </w:tc>
        <w:tc>
          <w:tcPr>
            <w:tcW w:w="1560" w:type="dxa"/>
            <w:tcBorders>
              <w:top w:val="single" w:sz="4" w:space="0" w:color="000000"/>
              <w:left w:val="single" w:sz="4" w:space="0" w:color="000000"/>
              <w:bottom w:val="single" w:sz="4" w:space="0" w:color="000000"/>
              <w:right w:val="single" w:sz="4" w:space="0" w:color="000000"/>
            </w:tcBorders>
            <w:shd w:val="clear" w:color="auto" w:fill="92D050"/>
            <w:tcMar>
              <w:top w:w="80" w:type="dxa"/>
              <w:left w:w="80" w:type="dxa"/>
              <w:bottom w:w="80" w:type="dxa"/>
              <w:right w:w="80" w:type="dxa"/>
            </w:tcMar>
            <w:vAlign w:val="center"/>
          </w:tcPr>
          <w:p w14:paraId="24E5358F" w14:textId="77777777" w:rsidR="004B3B82" w:rsidRPr="004B7F48" w:rsidRDefault="004B3B82" w:rsidP="00CD3B05">
            <w:pPr>
              <w:jc w:val="center"/>
              <w:rPr>
                <w:rFonts w:ascii="Garamond" w:hAnsi="Garamond"/>
              </w:rPr>
            </w:pPr>
            <w:r w:rsidRPr="00FC535A">
              <w:rPr>
                <w:rFonts w:ascii="Garamond" w:hAnsi="Garamond"/>
                <w:b/>
                <w:bCs/>
              </w:rPr>
              <w:t>Компоненты</w:t>
            </w:r>
          </w:p>
        </w:tc>
        <w:tc>
          <w:tcPr>
            <w:tcW w:w="7797" w:type="dxa"/>
            <w:tcBorders>
              <w:top w:val="single" w:sz="4" w:space="0" w:color="000000"/>
              <w:left w:val="single" w:sz="4" w:space="0" w:color="000000"/>
              <w:bottom w:val="single" w:sz="4" w:space="0" w:color="000000"/>
              <w:right w:val="single" w:sz="4" w:space="0" w:color="000000"/>
            </w:tcBorders>
            <w:shd w:val="clear" w:color="auto" w:fill="92D050"/>
            <w:tcMar>
              <w:top w:w="80" w:type="dxa"/>
              <w:left w:w="80" w:type="dxa"/>
              <w:bottom w:w="80" w:type="dxa"/>
              <w:right w:w="80" w:type="dxa"/>
            </w:tcMar>
          </w:tcPr>
          <w:p w14:paraId="08446E6B" w14:textId="77777777" w:rsidR="004B3B82" w:rsidRPr="00415C9E" w:rsidRDefault="004B3B82" w:rsidP="00CD3B05">
            <w:pPr>
              <w:rPr>
                <w:rFonts w:ascii="Garamond" w:hAnsi="Garamond"/>
              </w:rPr>
            </w:pPr>
            <w:r w:rsidRPr="00415C9E">
              <w:rPr>
                <w:rFonts w:ascii="Garamond" w:hAnsi="Garamond"/>
              </w:rPr>
              <w:t xml:space="preserve">ИИК – </w:t>
            </w:r>
            <w:r w:rsidRPr="00C25DDB">
              <w:rPr>
                <w:rFonts w:ascii="Garamond" w:hAnsi="Garamond"/>
                <w:highlight w:val="yellow"/>
              </w:rPr>
              <w:t>счетчики</w:t>
            </w:r>
            <w:r w:rsidRPr="00415C9E">
              <w:rPr>
                <w:rFonts w:ascii="Garamond" w:hAnsi="Garamond"/>
              </w:rPr>
              <w:t xml:space="preserve"> </w:t>
            </w:r>
          </w:p>
        </w:tc>
      </w:tr>
      <w:tr w:rsidR="004B3B82" w:rsidRPr="0058630D" w14:paraId="76124D9A" w14:textId="77777777" w:rsidTr="00CD3B05">
        <w:trPr>
          <w:trHeight w:val="1657"/>
          <w:jc w:val="right"/>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C857BF6" w14:textId="77777777" w:rsidR="004B3B82" w:rsidRPr="00FC535A" w:rsidRDefault="004B3B82" w:rsidP="00CD3B05">
            <w:pPr>
              <w:rPr>
                <w:rFonts w:ascii="Garamond" w:hAnsi="Garamond"/>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7F1702C" w14:textId="77777777" w:rsidR="004B3B82" w:rsidRPr="00FC535A" w:rsidRDefault="004B3B82" w:rsidP="00CD3B05">
            <w:pPr>
              <w:jc w:val="center"/>
              <w:rPr>
                <w:rFonts w:ascii="Garamond" w:hAnsi="Garamond"/>
              </w:rPr>
            </w:pPr>
            <w:r w:rsidRPr="00FC535A">
              <w:rPr>
                <w:rFonts w:ascii="Garamond" w:hAnsi="Garamond"/>
                <w:b/>
                <w:bCs/>
              </w:rPr>
              <w:t>Действия</w:t>
            </w:r>
          </w:p>
        </w:tc>
        <w:tc>
          <w:tcPr>
            <w:tcW w:w="779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691FBA" w14:textId="77777777" w:rsidR="004B3B82" w:rsidRPr="00415C9E" w:rsidRDefault="004B3B82" w:rsidP="00CD3B05">
            <w:pPr>
              <w:pStyle w:val="ac"/>
              <w:numPr>
                <w:ilvl w:val="0"/>
                <w:numId w:val="32"/>
              </w:numPr>
              <w:pBdr>
                <w:top w:val="nil"/>
                <w:left w:val="nil"/>
                <w:bottom w:val="nil"/>
                <w:right w:val="nil"/>
                <w:between w:val="nil"/>
                <w:bar w:val="nil"/>
              </w:pBdr>
              <w:tabs>
                <w:tab w:val="clear" w:pos="317"/>
                <w:tab w:val="num" w:pos="380"/>
                <w:tab w:val="left" w:pos="1440"/>
              </w:tabs>
              <w:ind w:left="380" w:hanging="380"/>
              <w:jc w:val="both"/>
              <w:rPr>
                <w:rFonts w:ascii="Garamond" w:eastAsia="Garamond" w:hAnsi="Garamond" w:cs="Garamond"/>
              </w:rPr>
            </w:pPr>
            <w:r w:rsidRPr="00415C9E">
              <w:rPr>
                <w:rFonts w:ascii="Garamond" w:hAnsi="Garamond"/>
              </w:rPr>
              <w:t>С помощью стандартных средств операционной системы или специализированного ПО удаленного доступа и администрирования устанавливается интернет-соединение с удаленным рабочим столом сервера ИВК АИИС КУЭ.</w:t>
            </w:r>
          </w:p>
          <w:p w14:paraId="0FF2F0F3" w14:textId="77777777" w:rsidR="004B3B82" w:rsidRPr="00415C9E" w:rsidRDefault="004B3B82" w:rsidP="00CD3B05">
            <w:pPr>
              <w:pStyle w:val="ac"/>
              <w:numPr>
                <w:ilvl w:val="0"/>
                <w:numId w:val="32"/>
              </w:numPr>
              <w:pBdr>
                <w:top w:val="nil"/>
                <w:left w:val="nil"/>
                <w:bottom w:val="nil"/>
                <w:right w:val="nil"/>
                <w:between w:val="nil"/>
                <w:bar w:val="nil"/>
              </w:pBdr>
              <w:tabs>
                <w:tab w:val="clear" w:pos="317"/>
                <w:tab w:val="num" w:pos="380"/>
                <w:tab w:val="left" w:pos="1440"/>
              </w:tabs>
              <w:ind w:left="380" w:hanging="380"/>
              <w:jc w:val="both"/>
              <w:rPr>
                <w:rFonts w:ascii="Garamond" w:eastAsia="Garamond" w:hAnsi="Garamond" w:cs="Garamond"/>
              </w:rPr>
            </w:pPr>
            <w:r w:rsidRPr="00415C9E">
              <w:rPr>
                <w:rFonts w:ascii="Garamond" w:hAnsi="Garamond"/>
              </w:rPr>
              <w:t xml:space="preserve">С помощью специализированного ПО, установленного на сервере (АРМ) ИВК, посредством удаленного доступа устанавливается связь </w:t>
            </w:r>
            <w:r w:rsidRPr="00C25DDB">
              <w:rPr>
                <w:rFonts w:ascii="Garamond" w:hAnsi="Garamond"/>
                <w:highlight w:val="yellow"/>
              </w:rPr>
              <w:t>со счетчиками</w:t>
            </w:r>
            <w:r w:rsidRPr="00415C9E">
              <w:rPr>
                <w:rFonts w:ascii="Garamond" w:hAnsi="Garamond"/>
              </w:rPr>
              <w:t xml:space="preserve"> и производится считывание получасовых интегрированных профилей мощности за интервал времени</w:t>
            </w:r>
            <w:r>
              <w:rPr>
                <w:rFonts w:ascii="Garamond" w:hAnsi="Garamond"/>
              </w:rPr>
              <w:t>,</w:t>
            </w:r>
            <w:r w:rsidRPr="00415C9E">
              <w:rPr>
                <w:rFonts w:ascii="Garamond" w:hAnsi="Garamond"/>
              </w:rPr>
              <w:t xml:space="preserve"> не превышающий требований п. 3.4.3 Приложения № 11.1 к Положению о реестре</w:t>
            </w:r>
            <w:r>
              <w:rPr>
                <w:rFonts w:ascii="Garamond" w:hAnsi="Garamond"/>
              </w:rPr>
              <w:t>,</w:t>
            </w:r>
            <w:r w:rsidRPr="00415C9E">
              <w:rPr>
                <w:rFonts w:ascii="Garamond" w:hAnsi="Garamond"/>
                <w:i/>
              </w:rPr>
              <w:t xml:space="preserve"> </w:t>
            </w:r>
            <w:r w:rsidRPr="00415C9E">
              <w:rPr>
                <w:rFonts w:ascii="Garamond" w:hAnsi="Garamond"/>
              </w:rPr>
              <w:t xml:space="preserve">по выборочным измерительным каналам </w:t>
            </w:r>
            <w:r w:rsidRPr="005D67F9">
              <w:rPr>
                <w:rFonts w:ascii="Garamond" w:hAnsi="Garamond"/>
                <w:highlight w:val="yellow"/>
              </w:rPr>
              <w:t>АИИС КУЭ</w:t>
            </w:r>
            <w:r w:rsidRPr="00415C9E">
              <w:rPr>
                <w:rFonts w:ascii="Garamond" w:hAnsi="Garamond"/>
              </w:rPr>
              <w:t>.</w:t>
            </w:r>
          </w:p>
        </w:tc>
      </w:tr>
      <w:tr w:rsidR="004B3B82" w:rsidRPr="00FC535A" w14:paraId="66CEE69B" w14:textId="77777777" w:rsidTr="00CD3B05">
        <w:trPr>
          <w:trHeight w:val="1388"/>
          <w:jc w:val="right"/>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737F70B" w14:textId="77777777" w:rsidR="004B3B82" w:rsidRPr="0058630D" w:rsidRDefault="004B3B82" w:rsidP="00CD3B05">
            <w:pPr>
              <w:rPr>
                <w:rFonts w:ascii="Garamond" w:hAnsi="Garamond"/>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90D42A0" w14:textId="77777777" w:rsidR="004B3B82" w:rsidRPr="00FC535A" w:rsidRDefault="004B3B82" w:rsidP="00CD3B05">
            <w:pPr>
              <w:jc w:val="center"/>
              <w:rPr>
                <w:rFonts w:ascii="Garamond" w:hAnsi="Garamond"/>
              </w:rPr>
            </w:pPr>
            <w:r w:rsidRPr="00FC535A">
              <w:rPr>
                <w:rFonts w:ascii="Garamond" w:hAnsi="Garamond"/>
                <w:b/>
                <w:bCs/>
              </w:rPr>
              <w:t>Критерии</w:t>
            </w:r>
          </w:p>
        </w:tc>
        <w:tc>
          <w:tcPr>
            <w:tcW w:w="779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C1E7F8" w14:textId="77777777" w:rsidR="004B3B82" w:rsidRPr="00415C9E" w:rsidRDefault="004B3B82" w:rsidP="00CD3B05">
            <w:pPr>
              <w:pStyle w:val="ac"/>
              <w:tabs>
                <w:tab w:val="left" w:pos="317"/>
              </w:tabs>
              <w:ind w:left="0"/>
              <w:jc w:val="both"/>
              <w:rPr>
                <w:rFonts w:ascii="Garamond" w:eastAsia="Garamond" w:hAnsi="Garamond" w:cs="Garamond"/>
              </w:rPr>
            </w:pPr>
            <w:r w:rsidRPr="00FC535A">
              <w:rPr>
                <w:rFonts w:ascii="Garamond" w:hAnsi="Garamond"/>
              </w:rPr>
              <w:t xml:space="preserve">Фактическое наличие в памяти </w:t>
            </w:r>
            <w:r w:rsidRPr="00C25DDB">
              <w:rPr>
                <w:rFonts w:ascii="Garamond" w:hAnsi="Garamond"/>
                <w:highlight w:val="yellow"/>
              </w:rPr>
              <w:t>счетчиков</w:t>
            </w:r>
            <w:r w:rsidRPr="00FC535A">
              <w:rPr>
                <w:rFonts w:ascii="Garamond" w:hAnsi="Garamond"/>
              </w:rPr>
              <w:t xml:space="preserve"> 30-минутных приращений электр</w:t>
            </w:r>
            <w:r w:rsidRPr="005D67F9">
              <w:rPr>
                <w:rFonts w:ascii="Garamond" w:hAnsi="Garamond"/>
                <w:highlight w:val="yellow"/>
              </w:rPr>
              <w:t>ической</w:t>
            </w:r>
            <w:r w:rsidRPr="00FC535A">
              <w:rPr>
                <w:rFonts w:ascii="Garamond" w:hAnsi="Garamond"/>
              </w:rPr>
              <w:t xml:space="preserve"> энергии (получасовых интегрированных профилей мощности) за интервал времени</w:t>
            </w:r>
            <w:r>
              <w:rPr>
                <w:rFonts w:ascii="Garamond" w:hAnsi="Garamond"/>
              </w:rPr>
              <w:t>,</w:t>
            </w:r>
            <w:r w:rsidRPr="00FC535A">
              <w:rPr>
                <w:rFonts w:ascii="Garamond" w:hAnsi="Garamond"/>
              </w:rPr>
              <w:t xml:space="preserve"> соответствующий требованиям п.</w:t>
            </w:r>
            <w:r>
              <w:rPr>
                <w:rFonts w:ascii="Garamond" w:hAnsi="Garamond"/>
              </w:rPr>
              <w:t xml:space="preserve"> </w:t>
            </w:r>
            <w:r w:rsidRPr="00FC535A">
              <w:rPr>
                <w:rFonts w:ascii="Garamond" w:hAnsi="Garamond"/>
              </w:rPr>
              <w:t xml:space="preserve">3.4.3 </w:t>
            </w:r>
            <w:r>
              <w:rPr>
                <w:rFonts w:ascii="Garamond" w:hAnsi="Garamond"/>
              </w:rPr>
              <w:t>П</w:t>
            </w:r>
            <w:r w:rsidRPr="00FC535A">
              <w:rPr>
                <w:rFonts w:ascii="Garamond" w:hAnsi="Garamond"/>
              </w:rPr>
              <w:t xml:space="preserve">риложения </w:t>
            </w:r>
            <w:r>
              <w:rPr>
                <w:rFonts w:ascii="Garamond" w:hAnsi="Garamond"/>
              </w:rPr>
              <w:t xml:space="preserve">№ </w:t>
            </w:r>
            <w:r w:rsidRPr="00FC535A">
              <w:rPr>
                <w:rFonts w:ascii="Garamond" w:hAnsi="Garamond"/>
              </w:rPr>
              <w:t xml:space="preserve">11.1 к </w:t>
            </w:r>
            <w:r w:rsidRPr="00415C9E">
              <w:rPr>
                <w:rFonts w:ascii="Garamond" w:hAnsi="Garamond"/>
              </w:rPr>
              <w:t>Положению о реестре</w:t>
            </w:r>
            <w:r>
              <w:rPr>
                <w:rFonts w:ascii="Garamond" w:hAnsi="Garamond"/>
              </w:rPr>
              <w:t>,</w:t>
            </w:r>
            <w:r w:rsidRPr="00415C9E">
              <w:rPr>
                <w:rFonts w:ascii="Garamond" w:hAnsi="Garamond"/>
              </w:rPr>
              <w:t xml:space="preserve"> по выборочным измерительным каналам.</w:t>
            </w:r>
          </w:p>
          <w:p w14:paraId="05ECC1AE" w14:textId="77777777" w:rsidR="004B3B82" w:rsidRPr="00F07D7F" w:rsidRDefault="004B3B82" w:rsidP="00CD3B05">
            <w:pPr>
              <w:pStyle w:val="ac"/>
              <w:tabs>
                <w:tab w:val="left" w:pos="317"/>
              </w:tabs>
              <w:ind w:left="33"/>
              <w:jc w:val="both"/>
              <w:rPr>
                <w:rFonts w:ascii="Garamond" w:hAnsi="Garamond"/>
                <w:sz w:val="18"/>
                <w:szCs w:val="18"/>
              </w:rPr>
            </w:pPr>
            <w:r w:rsidRPr="00F07D7F">
              <w:rPr>
                <w:rFonts w:ascii="Garamond" w:hAnsi="Garamond"/>
                <w:i/>
                <w:sz w:val="18"/>
                <w:szCs w:val="18"/>
              </w:rPr>
              <w:t>Примечание</w:t>
            </w:r>
            <w:r w:rsidRPr="00F07D7F">
              <w:rPr>
                <w:rFonts w:ascii="Garamond" w:hAnsi="Garamond"/>
                <w:sz w:val="18"/>
                <w:szCs w:val="18"/>
              </w:rPr>
              <w:t xml:space="preserve">. В случае работы </w:t>
            </w:r>
            <w:r w:rsidRPr="00C25DDB">
              <w:rPr>
                <w:rFonts w:ascii="Garamond" w:hAnsi="Garamond"/>
                <w:sz w:val="18"/>
                <w:szCs w:val="18"/>
                <w:highlight w:val="yellow"/>
              </w:rPr>
              <w:t>счетчика</w:t>
            </w:r>
            <w:r w:rsidRPr="00F07D7F">
              <w:rPr>
                <w:rFonts w:ascii="Garamond" w:hAnsi="Garamond"/>
                <w:sz w:val="18"/>
                <w:szCs w:val="18"/>
              </w:rPr>
              <w:t xml:space="preserve"> в составе ИИК АИИС КУЭ менее времени, указанного в п. 3.4.3 Приложения № 11.1 к Положению о реестре, соответствие устанавливается на основании сведений о глубине хранения получасовых интегрированных профилей мощности в представленной на испытание документации (Описание типа средства измерений, руководство по эксплуатации </w:t>
            </w:r>
            <w:r w:rsidRPr="00C25DDB">
              <w:rPr>
                <w:rFonts w:ascii="Garamond" w:hAnsi="Garamond"/>
                <w:sz w:val="18"/>
                <w:szCs w:val="18"/>
                <w:highlight w:val="yellow"/>
              </w:rPr>
              <w:t>счетчика</w:t>
            </w:r>
            <w:r w:rsidRPr="00F07D7F">
              <w:rPr>
                <w:rFonts w:ascii="Garamond" w:hAnsi="Garamond"/>
                <w:sz w:val="18"/>
                <w:szCs w:val="18"/>
              </w:rPr>
              <w:t xml:space="preserve"> и т.п.).</w:t>
            </w:r>
          </w:p>
        </w:tc>
      </w:tr>
      <w:tr w:rsidR="004B3B82" w:rsidRPr="0058630D" w14:paraId="199F8A76" w14:textId="77777777" w:rsidTr="00CD3B05">
        <w:trPr>
          <w:trHeight w:val="531"/>
          <w:jc w:val="right"/>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A71C391" w14:textId="77777777" w:rsidR="004B3B82" w:rsidRPr="00FC535A" w:rsidRDefault="004B3B82" w:rsidP="00CD3B05">
            <w:pPr>
              <w:rPr>
                <w:rFonts w:ascii="Garamond" w:hAnsi="Garamond"/>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96863CC" w14:textId="77777777" w:rsidR="004B3B82" w:rsidRPr="001D764F" w:rsidRDefault="004B3B82" w:rsidP="00CD3B05">
            <w:pPr>
              <w:jc w:val="center"/>
              <w:rPr>
                <w:rFonts w:ascii="Garamond" w:hAnsi="Garamond"/>
              </w:rPr>
            </w:pPr>
            <w:r w:rsidRPr="001D764F">
              <w:rPr>
                <w:rFonts w:ascii="Garamond" w:hAnsi="Garamond"/>
                <w:b/>
                <w:bCs/>
              </w:rPr>
              <w:t>Испытатели</w:t>
            </w:r>
          </w:p>
        </w:tc>
        <w:tc>
          <w:tcPr>
            <w:tcW w:w="779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4C965F2" w14:textId="77777777" w:rsidR="004B3B82" w:rsidRPr="00415C9E" w:rsidRDefault="004B3B82" w:rsidP="00CD3B05">
            <w:pPr>
              <w:pStyle w:val="ac"/>
              <w:numPr>
                <w:ilvl w:val="0"/>
                <w:numId w:val="33"/>
              </w:numPr>
              <w:pBdr>
                <w:top w:val="nil"/>
                <w:left w:val="nil"/>
                <w:bottom w:val="nil"/>
                <w:right w:val="nil"/>
                <w:between w:val="nil"/>
                <w:bar w:val="nil"/>
              </w:pBdr>
              <w:tabs>
                <w:tab w:val="clear" w:pos="317"/>
                <w:tab w:val="num" w:pos="380"/>
                <w:tab w:val="left" w:pos="1440"/>
              </w:tabs>
              <w:ind w:left="380" w:hanging="380"/>
              <w:jc w:val="both"/>
              <w:rPr>
                <w:rFonts w:ascii="Garamond" w:eastAsia="Garamond" w:hAnsi="Garamond" w:cs="Garamond"/>
              </w:rPr>
            </w:pPr>
            <w:r w:rsidRPr="00415C9E">
              <w:rPr>
                <w:rFonts w:ascii="Garamond" w:hAnsi="Garamond"/>
              </w:rPr>
              <w:t>Представители КО.</w:t>
            </w:r>
          </w:p>
          <w:p w14:paraId="1D58D0C7" w14:textId="77777777" w:rsidR="004B3B82" w:rsidRPr="00415C9E" w:rsidRDefault="004B3B82" w:rsidP="00CD3B05">
            <w:pPr>
              <w:pStyle w:val="ac"/>
              <w:numPr>
                <w:ilvl w:val="0"/>
                <w:numId w:val="33"/>
              </w:numPr>
              <w:pBdr>
                <w:top w:val="nil"/>
                <w:left w:val="nil"/>
                <w:bottom w:val="nil"/>
                <w:right w:val="nil"/>
                <w:between w:val="nil"/>
                <w:bar w:val="nil"/>
              </w:pBdr>
              <w:tabs>
                <w:tab w:val="clear" w:pos="317"/>
                <w:tab w:val="num" w:pos="380"/>
                <w:tab w:val="left" w:pos="1440"/>
              </w:tabs>
              <w:ind w:left="380" w:hanging="380"/>
              <w:jc w:val="both"/>
              <w:rPr>
                <w:rFonts w:ascii="Garamond" w:eastAsia="Garamond" w:hAnsi="Garamond" w:cs="Garamond"/>
              </w:rPr>
            </w:pPr>
            <w:r w:rsidRPr="00415C9E">
              <w:rPr>
                <w:rFonts w:ascii="Garamond" w:hAnsi="Garamond"/>
              </w:rPr>
              <w:t>Представители заявителя</w:t>
            </w:r>
            <w:r w:rsidRPr="00415C9E">
              <w:rPr>
                <w:rFonts w:ascii="Garamond" w:eastAsia="Garamond" w:hAnsi="Garamond" w:cs="Garamond"/>
              </w:rPr>
              <w:t>.</w:t>
            </w:r>
          </w:p>
          <w:p w14:paraId="734E304A" w14:textId="77777777" w:rsidR="004B3B82" w:rsidRPr="00415C9E" w:rsidRDefault="004B3B82" w:rsidP="00CD3B05">
            <w:pPr>
              <w:pStyle w:val="ac"/>
              <w:numPr>
                <w:ilvl w:val="0"/>
                <w:numId w:val="33"/>
              </w:numPr>
              <w:pBdr>
                <w:top w:val="nil"/>
                <w:left w:val="nil"/>
                <w:bottom w:val="nil"/>
                <w:right w:val="nil"/>
                <w:between w:val="nil"/>
                <w:bar w:val="nil"/>
              </w:pBdr>
              <w:tabs>
                <w:tab w:val="clear" w:pos="317"/>
                <w:tab w:val="num" w:pos="380"/>
                <w:tab w:val="left" w:pos="1440"/>
              </w:tabs>
              <w:ind w:left="380" w:hanging="380"/>
              <w:jc w:val="both"/>
              <w:rPr>
                <w:rFonts w:ascii="Garamond" w:eastAsia="Garamond" w:hAnsi="Garamond" w:cs="Garamond"/>
              </w:rPr>
            </w:pPr>
            <w:r w:rsidRPr="00415C9E">
              <w:rPr>
                <w:rFonts w:ascii="Garamond" w:hAnsi="Garamond"/>
              </w:rPr>
              <w:t>Представители смежного субъекта (при участии в испытаниях).</w:t>
            </w:r>
          </w:p>
        </w:tc>
      </w:tr>
      <w:tr w:rsidR="004B3B82" w:rsidRPr="001D764F" w14:paraId="62F14D43" w14:textId="77777777" w:rsidTr="00CD3B05">
        <w:tblPrEx>
          <w:shd w:val="clear" w:color="auto" w:fill="auto"/>
        </w:tblPrEx>
        <w:trPr>
          <w:trHeight w:val="250"/>
          <w:jc w:val="right"/>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88F82D9" w14:textId="77777777" w:rsidR="004B3B82" w:rsidRPr="0058630D" w:rsidRDefault="004B3B82" w:rsidP="00CD3B05">
            <w:pPr>
              <w:rPr>
                <w:rFonts w:ascii="Garamond" w:hAnsi="Garamond"/>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49B783A" w14:textId="77777777" w:rsidR="004B3B82" w:rsidRPr="001D764F" w:rsidRDefault="004B3B82" w:rsidP="00CD3B05">
            <w:pPr>
              <w:jc w:val="center"/>
              <w:rPr>
                <w:rFonts w:ascii="Garamond" w:hAnsi="Garamond"/>
              </w:rPr>
            </w:pPr>
            <w:r w:rsidRPr="001D764F">
              <w:rPr>
                <w:rFonts w:ascii="Garamond" w:hAnsi="Garamond"/>
                <w:b/>
                <w:bCs/>
              </w:rPr>
              <w:t>Документация</w:t>
            </w:r>
          </w:p>
        </w:tc>
        <w:tc>
          <w:tcPr>
            <w:tcW w:w="779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602827" w14:textId="77777777" w:rsidR="004B3B82" w:rsidRPr="00415C9E" w:rsidRDefault="004B3B82" w:rsidP="00CD3B05">
            <w:pPr>
              <w:rPr>
                <w:rFonts w:ascii="Garamond" w:hAnsi="Garamond"/>
              </w:rPr>
            </w:pPr>
            <w:r w:rsidRPr="00C25DDB">
              <w:rPr>
                <w:rFonts w:ascii="Garamond" w:hAnsi="Garamond"/>
                <w:highlight w:val="yellow"/>
              </w:rPr>
              <w:t>Д</w:t>
            </w:r>
            <w:r w:rsidRPr="00072687">
              <w:rPr>
                <w:rFonts w:ascii="Garamond" w:hAnsi="Garamond"/>
              </w:rPr>
              <w:t>окументация в соответствии с таблицей 2 приложения 1 к настоящему Порядку, представленная для установления соответствия АИИС КУЭ</w:t>
            </w:r>
          </w:p>
        </w:tc>
      </w:tr>
      <w:tr w:rsidR="004B3B82" w:rsidRPr="001D764F" w14:paraId="3B4D4BD0" w14:textId="77777777" w:rsidTr="00CD3B05">
        <w:tblPrEx>
          <w:shd w:val="clear" w:color="auto" w:fill="auto"/>
        </w:tblPrEx>
        <w:trPr>
          <w:trHeight w:val="250"/>
          <w:jc w:val="right"/>
        </w:trPr>
        <w:tc>
          <w:tcPr>
            <w:tcW w:w="567" w:type="dxa"/>
            <w:tcBorders>
              <w:top w:val="single" w:sz="4" w:space="0" w:color="000000"/>
              <w:left w:val="single" w:sz="4" w:space="0" w:color="000000"/>
              <w:bottom w:val="single" w:sz="4" w:space="0" w:color="000000"/>
              <w:right w:val="single" w:sz="4" w:space="0" w:color="000000"/>
            </w:tcBorders>
            <w:shd w:val="clear" w:color="auto" w:fill="BFBFBF"/>
            <w:tcMar>
              <w:top w:w="80" w:type="dxa"/>
              <w:left w:w="80" w:type="dxa"/>
              <w:bottom w:w="80" w:type="dxa"/>
              <w:right w:w="80" w:type="dxa"/>
            </w:tcMar>
            <w:vAlign w:val="center"/>
          </w:tcPr>
          <w:p w14:paraId="5E2DEF29" w14:textId="77777777" w:rsidR="004B3B82" w:rsidRPr="001D764F" w:rsidRDefault="004B3B82" w:rsidP="00CD3B05">
            <w:pPr>
              <w:jc w:val="center"/>
              <w:rPr>
                <w:rFonts w:ascii="Garamond" w:hAnsi="Garamond"/>
                <w:lang w:val="en-US"/>
              </w:rPr>
            </w:pPr>
            <w:r w:rsidRPr="005F754A">
              <w:rPr>
                <w:rFonts w:ascii="Garamond" w:hAnsi="Garamond"/>
                <w:lang w:val="en-US"/>
              </w:rPr>
              <w:t>11</w:t>
            </w:r>
          </w:p>
        </w:tc>
        <w:tc>
          <w:tcPr>
            <w:tcW w:w="1560" w:type="dxa"/>
            <w:tcBorders>
              <w:top w:val="single" w:sz="4" w:space="0" w:color="000000"/>
              <w:left w:val="single" w:sz="4" w:space="0" w:color="000000"/>
              <w:bottom w:val="single" w:sz="4" w:space="0" w:color="000000"/>
              <w:right w:val="single" w:sz="4" w:space="0" w:color="000000"/>
            </w:tcBorders>
            <w:shd w:val="clear" w:color="auto" w:fill="BFBFBF"/>
            <w:tcMar>
              <w:top w:w="80" w:type="dxa"/>
              <w:left w:w="80" w:type="dxa"/>
              <w:bottom w:w="80" w:type="dxa"/>
              <w:right w:w="80" w:type="dxa"/>
            </w:tcMar>
            <w:vAlign w:val="center"/>
          </w:tcPr>
          <w:p w14:paraId="233CE059" w14:textId="77777777" w:rsidR="004B3B82" w:rsidRPr="001D764F" w:rsidRDefault="004B3B82" w:rsidP="00CD3B05">
            <w:pPr>
              <w:jc w:val="center"/>
              <w:rPr>
                <w:rFonts w:ascii="Garamond" w:hAnsi="Garamond"/>
                <w:b/>
                <w:bCs/>
                <w:vertAlign w:val="subscript"/>
              </w:rPr>
            </w:pPr>
            <w:r w:rsidRPr="001D764F">
              <w:rPr>
                <w:rFonts w:ascii="Garamond" w:hAnsi="Garamond"/>
                <w:b/>
                <w:bCs/>
              </w:rPr>
              <w:t>П</w:t>
            </w:r>
            <w:r w:rsidRPr="001D764F">
              <w:rPr>
                <w:rFonts w:ascii="Garamond" w:hAnsi="Garamond"/>
                <w:b/>
                <w:bCs/>
                <w:vertAlign w:val="subscript"/>
              </w:rPr>
              <w:t>Ф41</w:t>
            </w:r>
          </w:p>
          <w:p w14:paraId="717771BF" w14:textId="77777777" w:rsidR="004B3B82" w:rsidRPr="001D764F" w:rsidRDefault="004B3B82" w:rsidP="00CD3B05">
            <w:pPr>
              <w:jc w:val="center"/>
              <w:rPr>
                <w:rFonts w:ascii="Garamond" w:hAnsi="Garamond"/>
              </w:rPr>
            </w:pPr>
            <w:r w:rsidRPr="001D764F">
              <w:rPr>
                <w:rFonts w:ascii="Garamond" w:hAnsi="Garamond"/>
                <w:bCs/>
              </w:rPr>
              <w:t>(п.</w:t>
            </w:r>
            <w:r>
              <w:rPr>
                <w:rFonts w:ascii="Garamond" w:hAnsi="Garamond"/>
                <w:bCs/>
              </w:rPr>
              <w:t xml:space="preserve"> </w:t>
            </w:r>
            <w:r w:rsidRPr="001D764F">
              <w:rPr>
                <w:rFonts w:ascii="Garamond" w:hAnsi="Garamond"/>
                <w:bCs/>
              </w:rPr>
              <w:t>4.4)</w:t>
            </w:r>
          </w:p>
        </w:tc>
        <w:tc>
          <w:tcPr>
            <w:tcW w:w="7797" w:type="dxa"/>
            <w:tcBorders>
              <w:top w:val="single" w:sz="4" w:space="0" w:color="000000"/>
              <w:left w:val="single" w:sz="4" w:space="0" w:color="000000"/>
              <w:bottom w:val="single" w:sz="4" w:space="0" w:color="000000"/>
              <w:right w:val="single" w:sz="4" w:space="0" w:color="000000"/>
            </w:tcBorders>
            <w:shd w:val="clear" w:color="auto" w:fill="BFBFBF"/>
            <w:tcMar>
              <w:top w:w="80" w:type="dxa"/>
              <w:left w:w="80" w:type="dxa"/>
              <w:bottom w:w="80" w:type="dxa"/>
              <w:right w:w="80" w:type="dxa"/>
            </w:tcMar>
          </w:tcPr>
          <w:p w14:paraId="0E53AE2A" w14:textId="77777777" w:rsidR="004B3B82" w:rsidRPr="00415C9E" w:rsidRDefault="004B3B82" w:rsidP="00CD3B05">
            <w:pPr>
              <w:rPr>
                <w:rFonts w:ascii="Garamond" w:hAnsi="Garamond"/>
              </w:rPr>
            </w:pPr>
            <w:r w:rsidRPr="00415C9E">
              <w:rPr>
                <w:rFonts w:ascii="Garamond" w:hAnsi="Garamond"/>
                <w:b/>
                <w:bCs/>
              </w:rPr>
              <w:t>Глубина хранения информации (профиля) в ИВКЭ</w:t>
            </w:r>
          </w:p>
        </w:tc>
      </w:tr>
      <w:tr w:rsidR="004B3B82" w:rsidRPr="001D764F" w14:paraId="29971DD6" w14:textId="77777777" w:rsidTr="00CD3B05">
        <w:tblPrEx>
          <w:shd w:val="clear" w:color="auto" w:fill="auto"/>
        </w:tblPrEx>
        <w:trPr>
          <w:trHeight w:val="250"/>
          <w:jc w:val="right"/>
        </w:trPr>
        <w:tc>
          <w:tcPr>
            <w:tcW w:w="567" w:type="dxa"/>
            <w:tcBorders>
              <w:top w:val="single" w:sz="4" w:space="0" w:color="000000"/>
              <w:left w:val="single" w:sz="4" w:space="0" w:color="000000"/>
              <w:bottom w:val="single" w:sz="4" w:space="0" w:color="000000"/>
              <w:right w:val="single" w:sz="4" w:space="0" w:color="000000"/>
            </w:tcBorders>
            <w:shd w:val="clear" w:color="auto" w:fill="92D050"/>
            <w:tcMar>
              <w:top w:w="80" w:type="dxa"/>
              <w:left w:w="80" w:type="dxa"/>
              <w:bottom w:w="80" w:type="dxa"/>
              <w:right w:w="80" w:type="dxa"/>
            </w:tcMar>
            <w:vAlign w:val="center"/>
          </w:tcPr>
          <w:p w14:paraId="1F623A23" w14:textId="77777777" w:rsidR="004B3B82" w:rsidRPr="001D764F" w:rsidRDefault="004B3B82" w:rsidP="00CD3B05">
            <w:pPr>
              <w:rPr>
                <w:rFonts w:ascii="Garamond" w:hAnsi="Garamond"/>
              </w:rPr>
            </w:pPr>
          </w:p>
        </w:tc>
        <w:tc>
          <w:tcPr>
            <w:tcW w:w="1560" w:type="dxa"/>
            <w:tcBorders>
              <w:top w:val="single" w:sz="4" w:space="0" w:color="000000"/>
              <w:left w:val="single" w:sz="4" w:space="0" w:color="000000"/>
              <w:bottom w:val="single" w:sz="4" w:space="0" w:color="000000"/>
              <w:right w:val="single" w:sz="4" w:space="0" w:color="000000"/>
            </w:tcBorders>
            <w:shd w:val="clear" w:color="auto" w:fill="92D050"/>
            <w:tcMar>
              <w:top w:w="80" w:type="dxa"/>
              <w:left w:w="80" w:type="dxa"/>
              <w:bottom w:w="80" w:type="dxa"/>
              <w:right w:w="80" w:type="dxa"/>
            </w:tcMar>
            <w:vAlign w:val="center"/>
          </w:tcPr>
          <w:p w14:paraId="165D26CF" w14:textId="77777777" w:rsidR="004B3B82" w:rsidRPr="001D764F" w:rsidRDefault="004B3B82" w:rsidP="00CD3B05">
            <w:pPr>
              <w:jc w:val="center"/>
              <w:rPr>
                <w:rFonts w:ascii="Garamond" w:hAnsi="Garamond"/>
              </w:rPr>
            </w:pPr>
            <w:r w:rsidRPr="001D764F">
              <w:rPr>
                <w:rFonts w:ascii="Garamond" w:hAnsi="Garamond"/>
                <w:b/>
                <w:bCs/>
              </w:rPr>
              <w:t>Компоненты</w:t>
            </w:r>
          </w:p>
        </w:tc>
        <w:tc>
          <w:tcPr>
            <w:tcW w:w="7797" w:type="dxa"/>
            <w:tcBorders>
              <w:top w:val="single" w:sz="4" w:space="0" w:color="000000"/>
              <w:left w:val="single" w:sz="4" w:space="0" w:color="000000"/>
              <w:bottom w:val="single" w:sz="4" w:space="0" w:color="000000"/>
              <w:right w:val="single" w:sz="4" w:space="0" w:color="000000"/>
            </w:tcBorders>
            <w:shd w:val="clear" w:color="auto" w:fill="92D050"/>
            <w:tcMar>
              <w:top w:w="80" w:type="dxa"/>
              <w:left w:w="80" w:type="dxa"/>
              <w:bottom w:w="80" w:type="dxa"/>
              <w:right w:w="80" w:type="dxa"/>
            </w:tcMar>
          </w:tcPr>
          <w:p w14:paraId="0EA6A1BA" w14:textId="77777777" w:rsidR="004B3B82" w:rsidRPr="00415C9E" w:rsidRDefault="004B3B82" w:rsidP="00CD3B05">
            <w:pPr>
              <w:rPr>
                <w:rFonts w:ascii="Garamond" w:hAnsi="Garamond"/>
              </w:rPr>
            </w:pPr>
            <w:r w:rsidRPr="00415C9E">
              <w:rPr>
                <w:rFonts w:ascii="Garamond" w:hAnsi="Garamond"/>
              </w:rPr>
              <w:t xml:space="preserve">ИВКЭ – УСПД/сервер </w:t>
            </w:r>
          </w:p>
        </w:tc>
      </w:tr>
      <w:tr w:rsidR="004B3B82" w:rsidRPr="0058630D" w14:paraId="4BA6B6E6" w14:textId="77777777" w:rsidTr="00CD3B05">
        <w:tblPrEx>
          <w:shd w:val="clear" w:color="auto" w:fill="auto"/>
        </w:tblPrEx>
        <w:trPr>
          <w:trHeight w:val="54"/>
          <w:jc w:val="right"/>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560563D" w14:textId="77777777" w:rsidR="004B3B82" w:rsidRPr="001D764F" w:rsidRDefault="004B3B82" w:rsidP="00CD3B05">
            <w:pPr>
              <w:rPr>
                <w:rFonts w:ascii="Garamond" w:hAnsi="Garamond"/>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BD91E2D" w14:textId="77777777" w:rsidR="004B3B82" w:rsidRPr="001D764F" w:rsidRDefault="004B3B82" w:rsidP="00CD3B05">
            <w:pPr>
              <w:jc w:val="center"/>
              <w:rPr>
                <w:rFonts w:ascii="Garamond" w:hAnsi="Garamond"/>
              </w:rPr>
            </w:pPr>
            <w:r w:rsidRPr="001D764F">
              <w:rPr>
                <w:rFonts w:ascii="Garamond" w:hAnsi="Garamond"/>
                <w:b/>
                <w:bCs/>
              </w:rPr>
              <w:t>Действия</w:t>
            </w:r>
          </w:p>
        </w:tc>
        <w:tc>
          <w:tcPr>
            <w:tcW w:w="779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3679125" w14:textId="77777777" w:rsidR="004B3B82" w:rsidRPr="00415C9E" w:rsidRDefault="004B3B82" w:rsidP="00CD3B05">
            <w:pPr>
              <w:pStyle w:val="ac"/>
              <w:numPr>
                <w:ilvl w:val="0"/>
                <w:numId w:val="34"/>
              </w:numPr>
              <w:pBdr>
                <w:top w:val="nil"/>
                <w:left w:val="nil"/>
                <w:bottom w:val="nil"/>
                <w:right w:val="nil"/>
                <w:between w:val="nil"/>
                <w:bar w:val="nil"/>
              </w:pBdr>
              <w:tabs>
                <w:tab w:val="clear" w:pos="317"/>
                <w:tab w:val="num" w:pos="280"/>
                <w:tab w:val="left" w:pos="1440"/>
              </w:tabs>
              <w:ind w:left="280" w:hanging="280"/>
              <w:jc w:val="both"/>
              <w:rPr>
                <w:rFonts w:ascii="Garamond" w:eastAsia="Garamond" w:hAnsi="Garamond" w:cs="Garamond"/>
              </w:rPr>
            </w:pPr>
            <w:r w:rsidRPr="00415C9E">
              <w:rPr>
                <w:rFonts w:ascii="Garamond" w:hAnsi="Garamond"/>
              </w:rPr>
              <w:t>С помощью стандартных средств операционной системы или специализированного ПО удаленного доступа и администрирования устанавливается интернет-соединение с удаленным рабочим столом сервера ИВК АИИС КУЭ.</w:t>
            </w:r>
          </w:p>
          <w:p w14:paraId="47380864" w14:textId="77777777" w:rsidR="004B3B82" w:rsidRPr="00415C9E" w:rsidRDefault="004B3B82" w:rsidP="00CD3B05">
            <w:pPr>
              <w:pStyle w:val="ac"/>
              <w:numPr>
                <w:ilvl w:val="0"/>
                <w:numId w:val="34"/>
              </w:numPr>
              <w:pBdr>
                <w:top w:val="nil"/>
                <w:left w:val="nil"/>
                <w:bottom w:val="nil"/>
                <w:right w:val="nil"/>
                <w:between w:val="nil"/>
                <w:bar w:val="nil"/>
              </w:pBdr>
              <w:tabs>
                <w:tab w:val="left" w:pos="1440"/>
              </w:tabs>
              <w:jc w:val="both"/>
              <w:rPr>
                <w:rFonts w:ascii="Garamond" w:eastAsia="Garamond" w:hAnsi="Garamond" w:cs="Garamond"/>
              </w:rPr>
            </w:pPr>
            <w:r w:rsidRPr="00415C9E">
              <w:rPr>
                <w:rFonts w:ascii="Garamond" w:hAnsi="Garamond"/>
              </w:rPr>
              <w:t>С помощью специализированного ПО, установленного на сервере (АРМ) ИВК, посредством удаленного доступа устанавливается связь с УСПД и производится считывание 30-минутных приращений электр</w:t>
            </w:r>
            <w:r w:rsidRPr="005D67F9">
              <w:rPr>
                <w:rFonts w:ascii="Garamond" w:hAnsi="Garamond"/>
                <w:highlight w:val="yellow"/>
              </w:rPr>
              <w:t>ической</w:t>
            </w:r>
            <w:r w:rsidRPr="00415C9E">
              <w:rPr>
                <w:rFonts w:ascii="Garamond" w:hAnsi="Garamond"/>
              </w:rPr>
              <w:t xml:space="preserve"> энергии (получасовых интегрированных профилей мощности) за интервал времени, не превышающий требований п. 4.4 Приложения № 11.1 к Положению о реестре</w:t>
            </w:r>
            <w:r>
              <w:rPr>
                <w:rFonts w:ascii="Garamond" w:hAnsi="Garamond"/>
              </w:rPr>
              <w:t>,</w:t>
            </w:r>
            <w:r w:rsidRPr="00415C9E">
              <w:rPr>
                <w:rFonts w:ascii="Garamond" w:hAnsi="Garamond"/>
              </w:rPr>
              <w:t xml:space="preserve"> по всем измерительным каналам подключенных к УСПД </w:t>
            </w:r>
            <w:r w:rsidRPr="00C25DDB">
              <w:rPr>
                <w:rFonts w:ascii="Garamond" w:hAnsi="Garamond"/>
                <w:highlight w:val="yellow"/>
              </w:rPr>
              <w:t>счетчиков</w:t>
            </w:r>
            <w:r w:rsidRPr="00415C9E">
              <w:rPr>
                <w:rFonts w:ascii="Garamond" w:hAnsi="Garamond"/>
              </w:rPr>
              <w:t>.</w:t>
            </w:r>
          </w:p>
        </w:tc>
      </w:tr>
      <w:tr w:rsidR="004B3B82" w:rsidRPr="00FC535A" w14:paraId="17DC3CE4" w14:textId="77777777" w:rsidTr="00CD3B05">
        <w:tblPrEx>
          <w:shd w:val="clear" w:color="auto" w:fill="auto"/>
        </w:tblPrEx>
        <w:trPr>
          <w:trHeight w:val="1587"/>
          <w:jc w:val="right"/>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5C375D6" w14:textId="77777777" w:rsidR="004B3B82" w:rsidRPr="0058630D" w:rsidRDefault="004B3B82" w:rsidP="00CD3B05">
            <w:pPr>
              <w:rPr>
                <w:rFonts w:ascii="Garamond" w:hAnsi="Garamond"/>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68C7C3E" w14:textId="77777777" w:rsidR="004B3B82" w:rsidRPr="001D764F" w:rsidRDefault="004B3B82" w:rsidP="00CD3B05">
            <w:pPr>
              <w:jc w:val="center"/>
              <w:rPr>
                <w:rFonts w:ascii="Garamond" w:hAnsi="Garamond"/>
              </w:rPr>
            </w:pPr>
            <w:r w:rsidRPr="00FC535A">
              <w:rPr>
                <w:rFonts w:ascii="Garamond" w:hAnsi="Garamond"/>
                <w:b/>
                <w:bCs/>
              </w:rPr>
              <w:t>Критерии</w:t>
            </w:r>
          </w:p>
        </w:tc>
        <w:tc>
          <w:tcPr>
            <w:tcW w:w="779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68726C6" w14:textId="77777777" w:rsidR="004B3B82" w:rsidRPr="00415C9E" w:rsidRDefault="004B3B82" w:rsidP="00CD3B05">
            <w:pPr>
              <w:pStyle w:val="ac"/>
              <w:tabs>
                <w:tab w:val="left" w:pos="317"/>
              </w:tabs>
              <w:ind w:left="0"/>
              <w:jc w:val="both"/>
              <w:rPr>
                <w:rFonts w:ascii="Garamond" w:eastAsia="Garamond" w:hAnsi="Garamond" w:cs="Garamond"/>
              </w:rPr>
            </w:pPr>
            <w:r w:rsidRPr="00415C9E">
              <w:rPr>
                <w:rFonts w:ascii="Garamond" w:hAnsi="Garamond"/>
              </w:rPr>
              <w:t>Фактическое наличие в памяти УСПД 30-минутных приращений электр</w:t>
            </w:r>
            <w:r w:rsidRPr="005D67F9">
              <w:rPr>
                <w:rFonts w:ascii="Garamond" w:hAnsi="Garamond"/>
                <w:highlight w:val="yellow"/>
              </w:rPr>
              <w:t>ической</w:t>
            </w:r>
            <w:r w:rsidRPr="00415C9E">
              <w:rPr>
                <w:rFonts w:ascii="Garamond" w:hAnsi="Garamond"/>
              </w:rPr>
              <w:t xml:space="preserve"> энергии (получасовых интегрированных профилей мощности) за интервал времени, соответствующий требованиям п. 4.4 Приложения № 11.1 к Положению о реестре</w:t>
            </w:r>
            <w:r>
              <w:rPr>
                <w:rFonts w:ascii="Garamond" w:hAnsi="Garamond"/>
              </w:rPr>
              <w:t>,</w:t>
            </w:r>
            <w:r w:rsidRPr="00415C9E">
              <w:rPr>
                <w:rFonts w:ascii="Garamond" w:hAnsi="Garamond"/>
              </w:rPr>
              <w:t xml:space="preserve"> по всем измерительным каналам </w:t>
            </w:r>
            <w:r w:rsidRPr="00C25DDB">
              <w:rPr>
                <w:rFonts w:ascii="Garamond" w:hAnsi="Garamond"/>
                <w:highlight w:val="yellow"/>
              </w:rPr>
              <w:t>счетчиков</w:t>
            </w:r>
            <w:r w:rsidRPr="00415C9E">
              <w:rPr>
                <w:rFonts w:ascii="Garamond" w:hAnsi="Garamond"/>
              </w:rPr>
              <w:t>, подключенных к УСПД.</w:t>
            </w:r>
          </w:p>
          <w:p w14:paraId="59E74202" w14:textId="77777777" w:rsidR="004B3B82" w:rsidRPr="00060658" w:rsidRDefault="004B3B82" w:rsidP="00CD3B05">
            <w:pPr>
              <w:pStyle w:val="ac"/>
              <w:tabs>
                <w:tab w:val="left" w:pos="317"/>
              </w:tabs>
              <w:ind w:left="0"/>
              <w:jc w:val="both"/>
              <w:rPr>
                <w:rFonts w:ascii="Garamond" w:hAnsi="Garamond"/>
                <w:sz w:val="18"/>
                <w:szCs w:val="18"/>
              </w:rPr>
            </w:pPr>
            <w:r w:rsidRPr="00060658">
              <w:rPr>
                <w:rFonts w:ascii="Garamond" w:hAnsi="Garamond"/>
                <w:i/>
                <w:sz w:val="18"/>
                <w:szCs w:val="18"/>
              </w:rPr>
              <w:t>Примечание</w:t>
            </w:r>
            <w:r w:rsidRPr="00060658">
              <w:rPr>
                <w:rFonts w:ascii="Garamond" w:hAnsi="Garamond"/>
                <w:sz w:val="18"/>
                <w:szCs w:val="18"/>
              </w:rPr>
              <w:t>. В случае работы УСПД в составе ИИК АИИС КУЭ менее времени, указанного в п. 4.4 Приложения № 11.1 к Положению о реестре, соответствие устанавливается на основании сведений о глубине хранения в УСПД получасовых интегрированных профилей мощности в представленной на испытание документации (Описание типа средства измерений, руководство по эксплуатации УСПД и т.п.).</w:t>
            </w:r>
          </w:p>
        </w:tc>
      </w:tr>
      <w:tr w:rsidR="004B3B82" w:rsidRPr="001D764F" w14:paraId="68461D6D" w14:textId="77777777" w:rsidTr="00CD3B05">
        <w:tblPrEx>
          <w:shd w:val="clear" w:color="auto" w:fill="auto"/>
        </w:tblPrEx>
        <w:trPr>
          <w:trHeight w:val="250"/>
          <w:jc w:val="right"/>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718BB76" w14:textId="77777777" w:rsidR="004B3B82" w:rsidRPr="0058630D" w:rsidRDefault="004B3B82" w:rsidP="00CD3B05">
            <w:pPr>
              <w:rPr>
                <w:rFonts w:ascii="Garamond" w:hAnsi="Garamond"/>
              </w:rPr>
            </w:pPr>
            <w:r>
              <w:rPr>
                <w:rFonts w:ascii="Garamond" w:hAnsi="Garamond"/>
              </w:rPr>
              <w:t>…</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ADC8665" w14:textId="77777777" w:rsidR="004B3B82" w:rsidRPr="001D764F" w:rsidRDefault="004B3B82" w:rsidP="00CD3B05">
            <w:pPr>
              <w:jc w:val="center"/>
              <w:rPr>
                <w:rFonts w:ascii="Garamond" w:hAnsi="Garamond"/>
              </w:rPr>
            </w:pPr>
            <w:r>
              <w:rPr>
                <w:rFonts w:ascii="Garamond" w:hAnsi="Garamond"/>
              </w:rPr>
              <w:t>…</w:t>
            </w:r>
          </w:p>
        </w:tc>
        <w:tc>
          <w:tcPr>
            <w:tcW w:w="779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91C9327" w14:textId="77777777" w:rsidR="004B3B82" w:rsidRPr="00415C9E" w:rsidRDefault="004B3B82" w:rsidP="00CD3B05">
            <w:pPr>
              <w:rPr>
                <w:rFonts w:ascii="Garamond" w:hAnsi="Garamond"/>
              </w:rPr>
            </w:pPr>
            <w:r>
              <w:rPr>
                <w:rFonts w:ascii="Garamond" w:hAnsi="Garamond"/>
              </w:rPr>
              <w:t>…</w:t>
            </w:r>
          </w:p>
        </w:tc>
      </w:tr>
      <w:tr w:rsidR="004B3B82" w:rsidRPr="001D764F" w14:paraId="118BFF57" w14:textId="77777777" w:rsidTr="00CD3B05">
        <w:tblPrEx>
          <w:shd w:val="clear" w:color="auto" w:fill="auto"/>
        </w:tblPrEx>
        <w:trPr>
          <w:trHeight w:val="250"/>
          <w:jc w:val="right"/>
        </w:trPr>
        <w:tc>
          <w:tcPr>
            <w:tcW w:w="567" w:type="dxa"/>
            <w:tcBorders>
              <w:top w:val="single" w:sz="4" w:space="0" w:color="000000"/>
              <w:left w:val="single" w:sz="4" w:space="0" w:color="000000"/>
              <w:bottom w:val="single" w:sz="4" w:space="0" w:color="000000"/>
              <w:right w:val="single" w:sz="4" w:space="0" w:color="000000"/>
            </w:tcBorders>
            <w:shd w:val="clear" w:color="auto" w:fill="BFBFBF"/>
            <w:tcMar>
              <w:top w:w="80" w:type="dxa"/>
              <w:left w:w="80" w:type="dxa"/>
              <w:bottom w:w="80" w:type="dxa"/>
              <w:right w:w="80" w:type="dxa"/>
            </w:tcMar>
            <w:vAlign w:val="center"/>
          </w:tcPr>
          <w:p w14:paraId="64E3CBC4" w14:textId="77777777" w:rsidR="004B3B82" w:rsidRPr="001D764F" w:rsidRDefault="004B3B82" w:rsidP="00CD3B05">
            <w:pPr>
              <w:jc w:val="center"/>
              <w:rPr>
                <w:rFonts w:ascii="Garamond" w:hAnsi="Garamond"/>
                <w:lang w:val="en-US"/>
              </w:rPr>
            </w:pPr>
            <w:r w:rsidRPr="005F754A">
              <w:rPr>
                <w:rFonts w:ascii="Garamond" w:hAnsi="Garamond"/>
                <w:lang w:val="en-US"/>
              </w:rPr>
              <w:t>12</w:t>
            </w:r>
          </w:p>
        </w:tc>
        <w:tc>
          <w:tcPr>
            <w:tcW w:w="1560" w:type="dxa"/>
            <w:tcBorders>
              <w:top w:val="single" w:sz="4" w:space="0" w:color="000000"/>
              <w:left w:val="single" w:sz="4" w:space="0" w:color="000000"/>
              <w:bottom w:val="single" w:sz="4" w:space="0" w:color="000000"/>
              <w:right w:val="single" w:sz="4" w:space="0" w:color="000000"/>
            </w:tcBorders>
            <w:shd w:val="clear" w:color="auto" w:fill="BFBFBF"/>
            <w:tcMar>
              <w:top w:w="80" w:type="dxa"/>
              <w:left w:w="80" w:type="dxa"/>
              <w:bottom w:w="80" w:type="dxa"/>
              <w:right w:w="80" w:type="dxa"/>
            </w:tcMar>
            <w:vAlign w:val="center"/>
          </w:tcPr>
          <w:p w14:paraId="120D10FF" w14:textId="77777777" w:rsidR="004B3B82" w:rsidRPr="001D764F" w:rsidRDefault="004B3B82" w:rsidP="00CD3B05">
            <w:pPr>
              <w:jc w:val="center"/>
              <w:rPr>
                <w:rFonts w:ascii="Garamond" w:hAnsi="Garamond"/>
                <w:b/>
                <w:bCs/>
                <w:vertAlign w:val="subscript"/>
              </w:rPr>
            </w:pPr>
            <w:r w:rsidRPr="001D764F">
              <w:rPr>
                <w:rFonts w:ascii="Garamond" w:hAnsi="Garamond"/>
                <w:b/>
                <w:bCs/>
              </w:rPr>
              <w:t>П</w:t>
            </w:r>
            <w:r w:rsidRPr="001D764F">
              <w:rPr>
                <w:rFonts w:ascii="Garamond" w:hAnsi="Garamond"/>
                <w:b/>
                <w:bCs/>
                <w:vertAlign w:val="subscript"/>
              </w:rPr>
              <w:t>Ф42</w:t>
            </w:r>
          </w:p>
          <w:p w14:paraId="1A51C49B" w14:textId="77777777" w:rsidR="004B3B82" w:rsidRPr="001D764F" w:rsidRDefault="004B3B82" w:rsidP="00CD3B05">
            <w:pPr>
              <w:jc w:val="center"/>
              <w:rPr>
                <w:rFonts w:ascii="Garamond" w:hAnsi="Garamond"/>
              </w:rPr>
            </w:pPr>
            <w:r w:rsidRPr="001D764F">
              <w:rPr>
                <w:rFonts w:ascii="Garamond" w:hAnsi="Garamond"/>
                <w:bCs/>
              </w:rPr>
              <w:t>(п.</w:t>
            </w:r>
            <w:r>
              <w:rPr>
                <w:rFonts w:ascii="Garamond" w:hAnsi="Garamond"/>
                <w:bCs/>
              </w:rPr>
              <w:t xml:space="preserve"> </w:t>
            </w:r>
            <w:r w:rsidRPr="001D764F">
              <w:rPr>
                <w:rFonts w:ascii="Garamond" w:hAnsi="Garamond"/>
                <w:bCs/>
              </w:rPr>
              <w:t>5.1.3)</w:t>
            </w:r>
          </w:p>
        </w:tc>
        <w:tc>
          <w:tcPr>
            <w:tcW w:w="7797" w:type="dxa"/>
            <w:tcBorders>
              <w:top w:val="single" w:sz="4" w:space="0" w:color="000000"/>
              <w:left w:val="single" w:sz="4" w:space="0" w:color="000000"/>
              <w:bottom w:val="single" w:sz="4" w:space="0" w:color="000000"/>
              <w:right w:val="single" w:sz="4" w:space="0" w:color="000000"/>
            </w:tcBorders>
            <w:shd w:val="clear" w:color="auto" w:fill="BFBFBF"/>
            <w:tcMar>
              <w:top w:w="80" w:type="dxa"/>
              <w:left w:w="80" w:type="dxa"/>
              <w:bottom w:w="80" w:type="dxa"/>
              <w:right w:w="80" w:type="dxa"/>
            </w:tcMar>
          </w:tcPr>
          <w:p w14:paraId="4DF02A1A" w14:textId="77777777" w:rsidR="004B3B82" w:rsidRPr="00415C9E" w:rsidRDefault="004B3B82" w:rsidP="00CD3B05">
            <w:pPr>
              <w:rPr>
                <w:rFonts w:ascii="Garamond" w:hAnsi="Garamond"/>
              </w:rPr>
            </w:pPr>
            <w:r w:rsidRPr="00415C9E">
              <w:rPr>
                <w:rFonts w:ascii="Garamond" w:hAnsi="Garamond"/>
                <w:b/>
                <w:bCs/>
              </w:rPr>
              <w:t>Глубина хранения информации в ИВК</w:t>
            </w:r>
          </w:p>
        </w:tc>
      </w:tr>
      <w:tr w:rsidR="004B3B82" w:rsidRPr="00FC535A" w14:paraId="416FDAB4" w14:textId="77777777" w:rsidTr="00CD3B05">
        <w:tblPrEx>
          <w:shd w:val="clear" w:color="auto" w:fill="auto"/>
        </w:tblPrEx>
        <w:trPr>
          <w:trHeight w:val="250"/>
          <w:jc w:val="right"/>
        </w:trPr>
        <w:tc>
          <w:tcPr>
            <w:tcW w:w="567" w:type="dxa"/>
            <w:tcBorders>
              <w:top w:val="single" w:sz="4" w:space="0" w:color="000000"/>
              <w:left w:val="single" w:sz="4" w:space="0" w:color="000000"/>
              <w:bottom w:val="single" w:sz="4" w:space="0" w:color="000000"/>
              <w:right w:val="single" w:sz="4" w:space="0" w:color="000000"/>
            </w:tcBorders>
            <w:shd w:val="clear" w:color="auto" w:fill="92D050"/>
            <w:tcMar>
              <w:top w:w="80" w:type="dxa"/>
              <w:left w:w="80" w:type="dxa"/>
              <w:bottom w:w="80" w:type="dxa"/>
              <w:right w:w="80" w:type="dxa"/>
            </w:tcMar>
            <w:vAlign w:val="center"/>
          </w:tcPr>
          <w:p w14:paraId="42CF628E" w14:textId="77777777" w:rsidR="004B3B82" w:rsidRPr="001D764F" w:rsidRDefault="004B3B82" w:rsidP="00CD3B05">
            <w:pPr>
              <w:rPr>
                <w:rFonts w:ascii="Garamond" w:hAnsi="Garamond"/>
              </w:rPr>
            </w:pPr>
          </w:p>
        </w:tc>
        <w:tc>
          <w:tcPr>
            <w:tcW w:w="1560" w:type="dxa"/>
            <w:tcBorders>
              <w:top w:val="single" w:sz="4" w:space="0" w:color="000000"/>
              <w:left w:val="single" w:sz="4" w:space="0" w:color="000000"/>
              <w:bottom w:val="single" w:sz="4" w:space="0" w:color="000000"/>
              <w:right w:val="single" w:sz="4" w:space="0" w:color="000000"/>
            </w:tcBorders>
            <w:shd w:val="clear" w:color="auto" w:fill="92D050"/>
            <w:tcMar>
              <w:top w:w="80" w:type="dxa"/>
              <w:left w:w="80" w:type="dxa"/>
              <w:bottom w:w="80" w:type="dxa"/>
              <w:right w:w="80" w:type="dxa"/>
            </w:tcMar>
            <w:vAlign w:val="center"/>
          </w:tcPr>
          <w:p w14:paraId="2904B309" w14:textId="77777777" w:rsidR="004B3B82" w:rsidRPr="001D764F" w:rsidRDefault="004B3B82" w:rsidP="00CD3B05">
            <w:pPr>
              <w:jc w:val="center"/>
              <w:rPr>
                <w:rFonts w:ascii="Garamond" w:hAnsi="Garamond"/>
              </w:rPr>
            </w:pPr>
            <w:r w:rsidRPr="00FC535A">
              <w:rPr>
                <w:rFonts w:ascii="Garamond" w:hAnsi="Garamond"/>
                <w:b/>
                <w:bCs/>
              </w:rPr>
              <w:t>Компоненты</w:t>
            </w:r>
          </w:p>
        </w:tc>
        <w:tc>
          <w:tcPr>
            <w:tcW w:w="7797" w:type="dxa"/>
            <w:tcBorders>
              <w:top w:val="single" w:sz="4" w:space="0" w:color="000000"/>
              <w:left w:val="single" w:sz="4" w:space="0" w:color="000000"/>
              <w:bottom w:val="single" w:sz="4" w:space="0" w:color="000000"/>
              <w:right w:val="single" w:sz="4" w:space="0" w:color="000000"/>
            </w:tcBorders>
            <w:shd w:val="clear" w:color="auto" w:fill="92D050"/>
            <w:tcMar>
              <w:top w:w="80" w:type="dxa"/>
              <w:left w:w="80" w:type="dxa"/>
              <w:bottom w:w="80" w:type="dxa"/>
              <w:right w:w="80" w:type="dxa"/>
            </w:tcMar>
          </w:tcPr>
          <w:p w14:paraId="345524C1" w14:textId="77777777" w:rsidR="004B3B82" w:rsidRPr="00415C9E" w:rsidRDefault="004B3B82" w:rsidP="00CD3B05">
            <w:pPr>
              <w:rPr>
                <w:rFonts w:ascii="Garamond" w:hAnsi="Garamond"/>
              </w:rPr>
            </w:pPr>
            <w:r w:rsidRPr="00415C9E">
              <w:rPr>
                <w:rFonts w:ascii="Garamond" w:hAnsi="Garamond"/>
              </w:rPr>
              <w:t xml:space="preserve">ИВК – сервер </w:t>
            </w:r>
          </w:p>
        </w:tc>
      </w:tr>
      <w:tr w:rsidR="004B3B82" w:rsidRPr="0058630D" w14:paraId="7017D2B8" w14:textId="77777777" w:rsidTr="00CD3B05">
        <w:tblPrEx>
          <w:shd w:val="clear" w:color="auto" w:fill="auto"/>
        </w:tblPrEx>
        <w:trPr>
          <w:trHeight w:val="1707"/>
          <w:jc w:val="right"/>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B25F604" w14:textId="77777777" w:rsidR="004B3B82" w:rsidRPr="00FC535A" w:rsidRDefault="004B3B82" w:rsidP="00CD3B05">
            <w:pPr>
              <w:rPr>
                <w:rFonts w:ascii="Garamond" w:hAnsi="Garamond"/>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A5BF45B" w14:textId="77777777" w:rsidR="004B3B82" w:rsidRPr="00FC535A" w:rsidRDefault="004B3B82" w:rsidP="00CD3B05">
            <w:pPr>
              <w:jc w:val="center"/>
              <w:rPr>
                <w:rFonts w:ascii="Garamond" w:hAnsi="Garamond"/>
              </w:rPr>
            </w:pPr>
            <w:r w:rsidRPr="00FC535A">
              <w:rPr>
                <w:rFonts w:ascii="Garamond" w:hAnsi="Garamond"/>
                <w:b/>
                <w:bCs/>
              </w:rPr>
              <w:t>Действия</w:t>
            </w:r>
          </w:p>
        </w:tc>
        <w:tc>
          <w:tcPr>
            <w:tcW w:w="779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4BA3F78" w14:textId="77777777" w:rsidR="004B3B82" w:rsidRPr="00415C9E" w:rsidRDefault="004B3B82" w:rsidP="00CD3B05">
            <w:pPr>
              <w:pStyle w:val="ac"/>
              <w:numPr>
                <w:ilvl w:val="0"/>
                <w:numId w:val="36"/>
              </w:numPr>
              <w:pBdr>
                <w:top w:val="nil"/>
                <w:left w:val="nil"/>
                <w:bottom w:val="nil"/>
                <w:right w:val="nil"/>
                <w:between w:val="nil"/>
                <w:bar w:val="nil"/>
              </w:pBdr>
              <w:tabs>
                <w:tab w:val="clear" w:pos="317"/>
                <w:tab w:val="num" w:pos="280"/>
                <w:tab w:val="left" w:pos="1440"/>
              </w:tabs>
              <w:ind w:left="280" w:hanging="280"/>
              <w:jc w:val="both"/>
              <w:rPr>
                <w:rFonts w:ascii="Garamond" w:eastAsia="Garamond" w:hAnsi="Garamond" w:cs="Garamond"/>
              </w:rPr>
            </w:pPr>
            <w:r w:rsidRPr="00415C9E">
              <w:rPr>
                <w:rFonts w:ascii="Garamond" w:hAnsi="Garamond"/>
              </w:rPr>
              <w:t>С помощью стандартных средств операционной системы или специализированного ПО удаленного доступа и администрирования устанавливается интернет-соединение с удаленным рабочим столом сервера ИВК АИИС КУЭ.</w:t>
            </w:r>
          </w:p>
          <w:p w14:paraId="6821B489" w14:textId="77777777" w:rsidR="004B3B82" w:rsidRPr="00415C9E" w:rsidRDefault="004B3B82" w:rsidP="00CD3B05">
            <w:pPr>
              <w:pStyle w:val="ac"/>
              <w:numPr>
                <w:ilvl w:val="0"/>
                <w:numId w:val="36"/>
              </w:numPr>
              <w:pBdr>
                <w:top w:val="nil"/>
                <w:left w:val="nil"/>
                <w:bottom w:val="nil"/>
                <w:right w:val="nil"/>
                <w:between w:val="nil"/>
                <w:bar w:val="nil"/>
              </w:pBdr>
              <w:tabs>
                <w:tab w:val="num" w:pos="280"/>
                <w:tab w:val="left" w:pos="1440"/>
              </w:tabs>
              <w:jc w:val="both"/>
              <w:rPr>
                <w:rFonts w:ascii="Garamond" w:eastAsia="Garamond" w:hAnsi="Garamond" w:cs="Garamond"/>
              </w:rPr>
            </w:pPr>
            <w:r w:rsidRPr="00415C9E">
              <w:rPr>
                <w:rFonts w:ascii="Garamond" w:hAnsi="Garamond"/>
              </w:rPr>
              <w:t>С помощью специализированного ПО ИВК производится контроль наличия и хранения в БД АИИС КУЭ 30-минутных приращений электр</w:t>
            </w:r>
            <w:r w:rsidRPr="005D67F9">
              <w:rPr>
                <w:rFonts w:ascii="Garamond" w:hAnsi="Garamond"/>
                <w:highlight w:val="yellow"/>
              </w:rPr>
              <w:t>ической</w:t>
            </w:r>
            <w:r w:rsidRPr="00415C9E">
              <w:rPr>
                <w:rFonts w:ascii="Garamond" w:hAnsi="Garamond"/>
              </w:rPr>
              <w:t xml:space="preserve"> энергии (получасовых интегрированных профилей мощности) по всем измерительным каналам </w:t>
            </w:r>
            <w:r w:rsidRPr="00C25DDB">
              <w:rPr>
                <w:rFonts w:ascii="Garamond" w:hAnsi="Garamond"/>
                <w:highlight w:val="yellow"/>
              </w:rPr>
              <w:t>счетчиков</w:t>
            </w:r>
            <w:r w:rsidRPr="00415C9E">
              <w:rPr>
                <w:rFonts w:ascii="Garamond" w:hAnsi="Garamond"/>
              </w:rPr>
              <w:t xml:space="preserve">, включенных в АИИС КУЭ, их «журналов событий», «журналов событий» УСПД ИВКЭ и сервера ИВК </w:t>
            </w:r>
            <w:r w:rsidRPr="005D67F9">
              <w:rPr>
                <w:rFonts w:ascii="Garamond" w:hAnsi="Garamond"/>
                <w:highlight w:val="yellow"/>
              </w:rPr>
              <w:t>АИИС КУЭ</w:t>
            </w:r>
            <w:r w:rsidRPr="00415C9E">
              <w:rPr>
                <w:rFonts w:ascii="Garamond" w:hAnsi="Garamond"/>
              </w:rPr>
              <w:t>.</w:t>
            </w:r>
          </w:p>
        </w:tc>
      </w:tr>
      <w:tr w:rsidR="004B3B82" w:rsidRPr="005F754A" w14:paraId="05B88343" w14:textId="77777777" w:rsidTr="00CD3B05">
        <w:tblPrEx>
          <w:shd w:val="clear" w:color="auto" w:fill="auto"/>
        </w:tblPrEx>
        <w:trPr>
          <w:trHeight w:val="994"/>
          <w:jc w:val="right"/>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CFBCCB6" w14:textId="77777777" w:rsidR="004B3B82" w:rsidRPr="0058630D" w:rsidRDefault="004B3B82" w:rsidP="00CD3B05">
            <w:pPr>
              <w:rPr>
                <w:rFonts w:ascii="Garamond" w:hAnsi="Garamond"/>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2E9434D" w14:textId="77777777" w:rsidR="004B3B82" w:rsidRPr="005F754A" w:rsidRDefault="004B3B82" w:rsidP="00CD3B05">
            <w:pPr>
              <w:jc w:val="center"/>
              <w:rPr>
                <w:rFonts w:ascii="Garamond" w:hAnsi="Garamond"/>
              </w:rPr>
            </w:pPr>
            <w:r w:rsidRPr="005F754A">
              <w:rPr>
                <w:rFonts w:ascii="Garamond" w:hAnsi="Garamond"/>
                <w:b/>
                <w:bCs/>
              </w:rPr>
              <w:t>Критерии</w:t>
            </w:r>
          </w:p>
        </w:tc>
        <w:tc>
          <w:tcPr>
            <w:tcW w:w="779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9C7AB01" w14:textId="77777777" w:rsidR="004B3B82" w:rsidRPr="005F754A" w:rsidRDefault="004B3B82" w:rsidP="00CD3B05">
            <w:pPr>
              <w:pStyle w:val="ac"/>
              <w:tabs>
                <w:tab w:val="left" w:pos="317"/>
              </w:tabs>
              <w:ind w:left="0"/>
              <w:jc w:val="both"/>
              <w:rPr>
                <w:rFonts w:ascii="Garamond" w:eastAsia="Garamond" w:hAnsi="Garamond" w:cs="Garamond"/>
              </w:rPr>
            </w:pPr>
            <w:r w:rsidRPr="005F754A">
              <w:rPr>
                <w:rFonts w:ascii="Garamond" w:hAnsi="Garamond"/>
              </w:rPr>
              <w:t>Фактическое наличие в БД АИИС КУЭ указанного перечня информации за прошедшие 3</w:t>
            </w:r>
            <w:r w:rsidRPr="00C25DDB">
              <w:rPr>
                <w:rFonts w:ascii="Garamond" w:hAnsi="Garamond"/>
                <w:highlight w:val="yellow"/>
              </w:rPr>
              <w:t>,5</w:t>
            </w:r>
            <w:r w:rsidRPr="005F754A">
              <w:rPr>
                <w:rFonts w:ascii="Garamond" w:hAnsi="Garamond"/>
              </w:rPr>
              <w:t xml:space="preserve"> года.</w:t>
            </w:r>
          </w:p>
          <w:p w14:paraId="4BF80A86" w14:textId="77777777" w:rsidR="004B3B82" w:rsidRPr="00060658" w:rsidRDefault="004B3B82" w:rsidP="00CD3B05">
            <w:pPr>
              <w:pStyle w:val="ac"/>
              <w:tabs>
                <w:tab w:val="left" w:pos="317"/>
              </w:tabs>
              <w:ind w:left="33" w:hanging="33"/>
              <w:jc w:val="both"/>
              <w:rPr>
                <w:rFonts w:ascii="Garamond" w:hAnsi="Garamond"/>
                <w:sz w:val="18"/>
                <w:szCs w:val="18"/>
              </w:rPr>
            </w:pPr>
            <w:r w:rsidRPr="00060658">
              <w:rPr>
                <w:rFonts w:ascii="Garamond" w:hAnsi="Garamond"/>
                <w:i/>
                <w:sz w:val="18"/>
                <w:szCs w:val="18"/>
              </w:rPr>
              <w:t>Примечание</w:t>
            </w:r>
            <w:r w:rsidRPr="00060658">
              <w:rPr>
                <w:rFonts w:ascii="Garamond" w:hAnsi="Garamond"/>
                <w:sz w:val="18"/>
                <w:szCs w:val="18"/>
              </w:rPr>
              <w:t>. В случае работы АИИС КУЭ менее 3</w:t>
            </w:r>
            <w:r w:rsidRPr="00C25DDB">
              <w:rPr>
                <w:rFonts w:ascii="Garamond" w:hAnsi="Garamond"/>
                <w:sz w:val="18"/>
                <w:szCs w:val="18"/>
                <w:highlight w:val="yellow"/>
              </w:rPr>
              <w:t>,5</w:t>
            </w:r>
            <w:r w:rsidRPr="00060658">
              <w:rPr>
                <w:rFonts w:ascii="Garamond" w:hAnsi="Garamond"/>
                <w:sz w:val="18"/>
                <w:szCs w:val="18"/>
              </w:rPr>
              <w:t xml:space="preserve"> лет соответствие устанавливается методом соотнесения размера свободного дискового пространства сервера ИВК с расчетным значением приращения БД за период времени 3</w:t>
            </w:r>
            <w:r w:rsidRPr="00C25DDB">
              <w:rPr>
                <w:rFonts w:ascii="Garamond" w:hAnsi="Garamond"/>
                <w:sz w:val="18"/>
                <w:szCs w:val="18"/>
                <w:highlight w:val="yellow"/>
              </w:rPr>
              <w:t>,5</w:t>
            </w:r>
            <w:r w:rsidRPr="00060658">
              <w:rPr>
                <w:rFonts w:ascii="Garamond" w:hAnsi="Garamond"/>
                <w:sz w:val="18"/>
                <w:szCs w:val="18"/>
              </w:rPr>
              <w:t xml:space="preserve"> года согласно представленной документации.</w:t>
            </w:r>
          </w:p>
        </w:tc>
      </w:tr>
      <w:tr w:rsidR="004B3B82" w:rsidRPr="0058630D" w14:paraId="280559E6" w14:textId="77777777" w:rsidTr="00CD3B05">
        <w:tblPrEx>
          <w:shd w:val="clear" w:color="auto" w:fill="auto"/>
        </w:tblPrEx>
        <w:trPr>
          <w:trHeight w:val="732"/>
          <w:jc w:val="right"/>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29046E2" w14:textId="77777777" w:rsidR="004B3B82" w:rsidRPr="005F754A" w:rsidRDefault="004B3B82" w:rsidP="00CD3B05">
            <w:pPr>
              <w:rPr>
                <w:rFonts w:ascii="Garamond" w:hAnsi="Garamond"/>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3FBFFA7" w14:textId="77777777" w:rsidR="004B3B82" w:rsidRPr="005F754A" w:rsidRDefault="004B3B82" w:rsidP="00CD3B05">
            <w:pPr>
              <w:jc w:val="center"/>
              <w:rPr>
                <w:rFonts w:ascii="Garamond" w:hAnsi="Garamond"/>
              </w:rPr>
            </w:pPr>
            <w:r w:rsidRPr="005F754A">
              <w:rPr>
                <w:rFonts w:ascii="Garamond" w:hAnsi="Garamond"/>
                <w:b/>
                <w:bCs/>
              </w:rPr>
              <w:t>Испытатели</w:t>
            </w:r>
          </w:p>
        </w:tc>
        <w:tc>
          <w:tcPr>
            <w:tcW w:w="779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58B824F" w14:textId="77777777" w:rsidR="004B3B82" w:rsidRPr="00415C9E" w:rsidRDefault="004B3B82" w:rsidP="00CD3B05">
            <w:pPr>
              <w:pStyle w:val="ac"/>
              <w:numPr>
                <w:ilvl w:val="0"/>
                <w:numId w:val="37"/>
              </w:numPr>
              <w:pBdr>
                <w:top w:val="nil"/>
                <w:left w:val="nil"/>
                <w:bottom w:val="nil"/>
                <w:right w:val="nil"/>
                <w:between w:val="nil"/>
                <w:bar w:val="nil"/>
              </w:pBdr>
              <w:tabs>
                <w:tab w:val="clear" w:pos="317"/>
                <w:tab w:val="num" w:pos="380"/>
                <w:tab w:val="left" w:pos="1440"/>
              </w:tabs>
              <w:ind w:left="380" w:hanging="380"/>
              <w:jc w:val="both"/>
              <w:rPr>
                <w:rFonts w:ascii="Garamond" w:eastAsia="Garamond" w:hAnsi="Garamond" w:cs="Garamond"/>
              </w:rPr>
            </w:pPr>
            <w:r w:rsidRPr="00415C9E">
              <w:rPr>
                <w:rFonts w:ascii="Garamond" w:hAnsi="Garamond"/>
              </w:rPr>
              <w:t>Представители КО.</w:t>
            </w:r>
          </w:p>
          <w:p w14:paraId="4412E5F8" w14:textId="77777777" w:rsidR="004B3B82" w:rsidRPr="00415C9E" w:rsidRDefault="004B3B82" w:rsidP="00CD3B05">
            <w:pPr>
              <w:pStyle w:val="ac"/>
              <w:numPr>
                <w:ilvl w:val="0"/>
                <w:numId w:val="37"/>
              </w:numPr>
              <w:pBdr>
                <w:top w:val="nil"/>
                <w:left w:val="nil"/>
                <w:bottom w:val="nil"/>
                <w:right w:val="nil"/>
                <w:between w:val="nil"/>
                <w:bar w:val="nil"/>
              </w:pBdr>
              <w:tabs>
                <w:tab w:val="clear" w:pos="317"/>
                <w:tab w:val="num" w:pos="380"/>
                <w:tab w:val="left" w:pos="1440"/>
              </w:tabs>
              <w:ind w:left="380" w:hanging="380"/>
              <w:jc w:val="both"/>
              <w:rPr>
                <w:rFonts w:ascii="Garamond" w:eastAsia="Garamond" w:hAnsi="Garamond" w:cs="Garamond"/>
              </w:rPr>
            </w:pPr>
            <w:r w:rsidRPr="00415C9E">
              <w:rPr>
                <w:rFonts w:ascii="Garamond" w:hAnsi="Garamond"/>
              </w:rPr>
              <w:t>Представители заявителя</w:t>
            </w:r>
            <w:r w:rsidRPr="00415C9E">
              <w:rPr>
                <w:rFonts w:ascii="Garamond" w:eastAsia="Garamond" w:hAnsi="Garamond" w:cs="Garamond"/>
              </w:rPr>
              <w:t>.</w:t>
            </w:r>
          </w:p>
          <w:p w14:paraId="240D29B2" w14:textId="77777777" w:rsidR="004B3B82" w:rsidRPr="00415C9E" w:rsidRDefault="004B3B82" w:rsidP="00CD3B05">
            <w:pPr>
              <w:pStyle w:val="ac"/>
              <w:numPr>
                <w:ilvl w:val="0"/>
                <w:numId w:val="37"/>
              </w:numPr>
              <w:pBdr>
                <w:top w:val="nil"/>
                <w:left w:val="nil"/>
                <w:bottom w:val="nil"/>
                <w:right w:val="nil"/>
                <w:between w:val="nil"/>
                <w:bar w:val="nil"/>
              </w:pBdr>
              <w:tabs>
                <w:tab w:val="clear" w:pos="317"/>
                <w:tab w:val="num" w:pos="380"/>
                <w:tab w:val="left" w:pos="1440"/>
              </w:tabs>
              <w:ind w:left="380" w:hanging="380"/>
              <w:jc w:val="both"/>
              <w:rPr>
                <w:rFonts w:ascii="Garamond" w:eastAsia="Garamond" w:hAnsi="Garamond" w:cs="Garamond"/>
              </w:rPr>
            </w:pPr>
            <w:r w:rsidRPr="00415C9E">
              <w:rPr>
                <w:rFonts w:ascii="Garamond" w:hAnsi="Garamond"/>
              </w:rPr>
              <w:t>Представители смежного субъекта (при участии в испытаниях).</w:t>
            </w:r>
          </w:p>
        </w:tc>
      </w:tr>
      <w:tr w:rsidR="004B3B82" w:rsidRPr="005F754A" w14:paraId="2E02060B" w14:textId="77777777" w:rsidTr="00CD3B05">
        <w:tblPrEx>
          <w:shd w:val="clear" w:color="auto" w:fill="auto"/>
        </w:tblPrEx>
        <w:trPr>
          <w:trHeight w:val="250"/>
          <w:jc w:val="right"/>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05683ED" w14:textId="77777777" w:rsidR="004B3B82" w:rsidRPr="0058630D" w:rsidRDefault="004B3B82" w:rsidP="00CD3B05">
            <w:pPr>
              <w:rPr>
                <w:rFonts w:ascii="Garamond" w:hAnsi="Garamond"/>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20FFDDA" w14:textId="77777777" w:rsidR="004B3B82" w:rsidRPr="005F754A" w:rsidRDefault="004B3B82" w:rsidP="00CD3B05">
            <w:pPr>
              <w:jc w:val="center"/>
              <w:rPr>
                <w:rFonts w:ascii="Garamond" w:hAnsi="Garamond"/>
              </w:rPr>
            </w:pPr>
            <w:r w:rsidRPr="005F754A">
              <w:rPr>
                <w:rFonts w:ascii="Garamond" w:hAnsi="Garamond"/>
                <w:b/>
                <w:bCs/>
              </w:rPr>
              <w:t>Документация</w:t>
            </w:r>
          </w:p>
        </w:tc>
        <w:tc>
          <w:tcPr>
            <w:tcW w:w="779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8A7D9E" w14:textId="77777777" w:rsidR="004B3B82" w:rsidRPr="00415C9E" w:rsidRDefault="004B3B82" w:rsidP="00CD3B05">
            <w:pPr>
              <w:rPr>
                <w:rFonts w:ascii="Garamond" w:hAnsi="Garamond"/>
              </w:rPr>
            </w:pPr>
            <w:r w:rsidRPr="00C25DDB">
              <w:rPr>
                <w:rFonts w:ascii="Garamond" w:hAnsi="Garamond"/>
                <w:highlight w:val="yellow"/>
              </w:rPr>
              <w:t>Д</w:t>
            </w:r>
            <w:r w:rsidRPr="00072687">
              <w:rPr>
                <w:rFonts w:ascii="Garamond" w:hAnsi="Garamond"/>
              </w:rPr>
              <w:t>окументация в соответствии с таблицей 2 приложения 1 к настоящему Порядку, представленная для установления соответствия АИИС КУЭ</w:t>
            </w:r>
          </w:p>
        </w:tc>
      </w:tr>
    </w:tbl>
    <w:p w14:paraId="1EAEA05A" w14:textId="77777777" w:rsidR="004B3B82" w:rsidRDefault="004B3B82" w:rsidP="00101F7C">
      <w:pPr>
        <w:rPr>
          <w:rFonts w:ascii="Garamond" w:eastAsia="Garamond" w:hAnsi="Garamond" w:cs="Garamond"/>
          <w:i/>
        </w:rPr>
      </w:pPr>
    </w:p>
    <w:p w14:paraId="2C4A53B2" w14:textId="77777777" w:rsidR="004B3B82" w:rsidRDefault="004B3B82" w:rsidP="00101F7C">
      <w:pPr>
        <w:rPr>
          <w:rFonts w:ascii="Garamond" w:eastAsia="Garamond" w:hAnsi="Garamond" w:cs="Garamond"/>
        </w:rPr>
      </w:pPr>
      <w:r w:rsidRPr="00B779C7">
        <w:rPr>
          <w:rFonts w:ascii="Garamond" w:eastAsia="Garamond" w:hAnsi="Garamond" w:cs="Garamond"/>
          <w:i/>
          <w:highlight w:val="yellow"/>
        </w:rPr>
        <w:t xml:space="preserve">Примечание. </w:t>
      </w:r>
      <w:r w:rsidRPr="00B779C7">
        <w:rPr>
          <w:rFonts w:ascii="Garamond" w:eastAsia="Garamond" w:hAnsi="Garamond" w:cs="Garamond"/>
          <w:highlight w:val="yellow"/>
        </w:rPr>
        <w:t>При проведении испытаний КО производится сравнение фактического состава АИИС КУЭ с документацией, представленной в КО для проведения процедуры установления соответствия.</w:t>
      </w:r>
      <w:r w:rsidRPr="00060658">
        <w:rPr>
          <w:rFonts w:ascii="Garamond" w:eastAsia="Garamond" w:hAnsi="Garamond" w:cs="Garamond"/>
        </w:rPr>
        <w:t xml:space="preserve"> </w:t>
      </w:r>
    </w:p>
    <w:p w14:paraId="3A799394" w14:textId="77777777" w:rsidR="004B3B82" w:rsidRDefault="004B3B82" w:rsidP="00101F7C">
      <w:pPr>
        <w:rPr>
          <w:rFonts w:ascii="Garamond" w:eastAsia="Garamond" w:hAnsi="Garamond" w:cs="Garamond"/>
        </w:rPr>
      </w:pPr>
      <w:r>
        <w:rPr>
          <w:rFonts w:ascii="Garamond" w:eastAsia="Garamond" w:hAnsi="Garamond" w:cs="Garamond"/>
        </w:rPr>
        <w:br w:type="page"/>
      </w:r>
    </w:p>
    <w:p w14:paraId="651F6C48" w14:textId="77777777" w:rsidR="004B3B82" w:rsidRDefault="004B3B82" w:rsidP="00101F7C">
      <w:pPr>
        <w:rPr>
          <w:rFonts w:ascii="Garamond" w:eastAsia="Garamond" w:hAnsi="Garamond" w:cs="Garamond"/>
          <w:b/>
          <w:bCs/>
          <w:sz w:val="22"/>
          <w:szCs w:val="22"/>
        </w:rPr>
      </w:pPr>
      <w:r>
        <w:rPr>
          <w:rFonts w:ascii="Garamond" w:eastAsia="Garamond" w:hAnsi="Garamond" w:cs="Garamond"/>
          <w:b/>
          <w:bCs/>
          <w:sz w:val="22"/>
          <w:szCs w:val="22"/>
        </w:rPr>
        <w:lastRenderedPageBreak/>
        <w:t>Предлагаемая редакция</w:t>
      </w:r>
    </w:p>
    <w:p w14:paraId="0189E5FE" w14:textId="77777777" w:rsidR="004B3B82" w:rsidRPr="005F754A" w:rsidRDefault="004B3B82" w:rsidP="00101F7C">
      <w:pPr>
        <w:jc w:val="right"/>
        <w:rPr>
          <w:rFonts w:ascii="Garamond" w:eastAsia="Garamond" w:hAnsi="Garamond" w:cs="Garamond"/>
          <w:b/>
          <w:bCs/>
          <w:sz w:val="22"/>
          <w:szCs w:val="22"/>
        </w:rPr>
      </w:pPr>
      <w:r w:rsidRPr="001D764F">
        <w:rPr>
          <w:rFonts w:ascii="Garamond" w:hAnsi="Garamond"/>
          <w:b/>
          <w:bCs/>
          <w:sz w:val="22"/>
          <w:szCs w:val="22"/>
        </w:rPr>
        <w:t>Таблица 5</w:t>
      </w:r>
    </w:p>
    <w:p w14:paraId="224900F7" w14:textId="77777777" w:rsidR="004B3B82" w:rsidRPr="005F754A" w:rsidRDefault="004B3B82" w:rsidP="00101F7C">
      <w:pPr>
        <w:jc w:val="center"/>
        <w:rPr>
          <w:rFonts w:ascii="Garamond" w:eastAsia="Garamond" w:hAnsi="Garamond" w:cs="Garamond"/>
          <w:b/>
          <w:bCs/>
          <w:sz w:val="22"/>
          <w:szCs w:val="22"/>
        </w:rPr>
      </w:pPr>
    </w:p>
    <w:p w14:paraId="65B6C657" w14:textId="77777777" w:rsidR="004B3B82" w:rsidRPr="005F754A" w:rsidRDefault="004B3B82" w:rsidP="00101F7C">
      <w:pPr>
        <w:jc w:val="center"/>
        <w:rPr>
          <w:rFonts w:ascii="Garamond" w:eastAsia="Garamond" w:hAnsi="Garamond" w:cs="Garamond"/>
          <w:b/>
          <w:bCs/>
          <w:sz w:val="22"/>
          <w:szCs w:val="22"/>
        </w:rPr>
      </w:pPr>
      <w:r w:rsidRPr="001D764F">
        <w:rPr>
          <w:rFonts w:ascii="Garamond" w:hAnsi="Garamond"/>
          <w:b/>
          <w:bCs/>
          <w:sz w:val="22"/>
          <w:szCs w:val="22"/>
        </w:rPr>
        <w:t xml:space="preserve">Программа и методика испытаний </w:t>
      </w:r>
      <w:r w:rsidRPr="00FF63FB">
        <w:rPr>
          <w:rFonts w:ascii="Garamond" w:hAnsi="Garamond"/>
          <w:b/>
          <w:bCs/>
          <w:sz w:val="22"/>
          <w:szCs w:val="22"/>
          <w:highlight w:val="yellow"/>
        </w:rPr>
        <w:t>систем учета</w:t>
      </w:r>
    </w:p>
    <w:p w14:paraId="2FE3EF4E" w14:textId="77777777" w:rsidR="004B3B82" w:rsidRPr="005F754A" w:rsidRDefault="004B3B82" w:rsidP="00101F7C">
      <w:pPr>
        <w:widowControl w:val="0"/>
        <w:jc w:val="right"/>
        <w:rPr>
          <w:rFonts w:ascii="Garamond" w:eastAsia="Garamond" w:hAnsi="Garamond" w:cs="Garamond"/>
          <w:b/>
          <w:bCs/>
          <w:sz w:val="22"/>
          <w:szCs w:val="22"/>
        </w:rPr>
      </w:pPr>
    </w:p>
    <w:tbl>
      <w:tblPr>
        <w:tblW w:w="9924" w:type="dxa"/>
        <w:jc w:val="righ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shd w:val="clear" w:color="auto" w:fill="BDC0BF"/>
        <w:tblLayout w:type="fixed"/>
        <w:tblCellMar>
          <w:left w:w="0" w:type="dxa"/>
          <w:right w:w="0" w:type="dxa"/>
        </w:tblCellMar>
        <w:tblLook w:val="04A0" w:firstRow="1" w:lastRow="0" w:firstColumn="1" w:lastColumn="0" w:noHBand="0" w:noVBand="1"/>
      </w:tblPr>
      <w:tblGrid>
        <w:gridCol w:w="567"/>
        <w:gridCol w:w="1560"/>
        <w:gridCol w:w="7797"/>
      </w:tblGrid>
      <w:tr w:rsidR="004B3B82" w:rsidRPr="001D764F" w14:paraId="7E6F4E13" w14:textId="77777777" w:rsidTr="00CD3B05">
        <w:trPr>
          <w:trHeight w:val="1266"/>
          <w:tblHeader/>
          <w:jc w:val="right"/>
        </w:trPr>
        <w:tc>
          <w:tcPr>
            <w:tcW w:w="567" w:type="dxa"/>
            <w:tcBorders>
              <w:top w:val="single" w:sz="4" w:space="0" w:color="000000"/>
              <w:left w:val="single" w:sz="4" w:space="0" w:color="000000"/>
              <w:bottom w:val="single" w:sz="4" w:space="0" w:color="000000"/>
              <w:right w:val="single" w:sz="4" w:space="0" w:color="000000"/>
            </w:tcBorders>
            <w:shd w:val="clear" w:color="auto" w:fill="BFBFBF"/>
            <w:tcMar>
              <w:top w:w="80" w:type="dxa"/>
              <w:left w:w="80" w:type="dxa"/>
              <w:bottom w:w="80" w:type="dxa"/>
              <w:right w:w="80" w:type="dxa"/>
            </w:tcMar>
            <w:vAlign w:val="center"/>
          </w:tcPr>
          <w:p w14:paraId="56605083" w14:textId="77777777" w:rsidR="004B3B82" w:rsidRPr="005F754A" w:rsidRDefault="004B3B82" w:rsidP="00CD3B05">
            <w:pPr>
              <w:tabs>
                <w:tab w:val="left" w:pos="176"/>
              </w:tabs>
              <w:jc w:val="center"/>
              <w:rPr>
                <w:rFonts w:ascii="Garamond" w:eastAsia="Garamond" w:hAnsi="Garamond" w:cs="Garamond"/>
                <w:b/>
                <w:bCs/>
              </w:rPr>
            </w:pPr>
            <w:r w:rsidRPr="001D764F">
              <w:rPr>
                <w:rFonts w:ascii="Garamond" w:hAnsi="Garamond"/>
                <w:b/>
                <w:bCs/>
              </w:rPr>
              <w:t>№</w:t>
            </w:r>
          </w:p>
          <w:p w14:paraId="47FD8EE0" w14:textId="77777777" w:rsidR="004B3B82" w:rsidRPr="001D764F" w:rsidRDefault="004B3B82" w:rsidP="00CD3B05">
            <w:pPr>
              <w:tabs>
                <w:tab w:val="left" w:pos="176"/>
              </w:tabs>
              <w:jc w:val="center"/>
              <w:rPr>
                <w:rFonts w:ascii="Garamond" w:hAnsi="Garamond"/>
              </w:rPr>
            </w:pPr>
            <w:r w:rsidRPr="001D764F">
              <w:rPr>
                <w:rFonts w:ascii="Garamond" w:hAnsi="Garamond"/>
                <w:b/>
                <w:bCs/>
              </w:rPr>
              <w:t>п</w:t>
            </w:r>
            <w:r w:rsidRPr="005F754A">
              <w:rPr>
                <w:rFonts w:ascii="Garamond" w:hAnsi="Garamond"/>
                <w:b/>
                <w:bCs/>
              </w:rPr>
              <w:t>/п</w:t>
            </w:r>
          </w:p>
        </w:tc>
        <w:tc>
          <w:tcPr>
            <w:tcW w:w="1560" w:type="dxa"/>
            <w:tcBorders>
              <w:top w:val="single" w:sz="4" w:space="0" w:color="000000"/>
              <w:left w:val="single" w:sz="4" w:space="0" w:color="000000"/>
              <w:bottom w:val="single" w:sz="4" w:space="0" w:color="000000"/>
              <w:right w:val="single" w:sz="4" w:space="0" w:color="000000"/>
            </w:tcBorders>
            <w:shd w:val="clear" w:color="auto" w:fill="BFBFBF"/>
            <w:tcMar>
              <w:top w:w="80" w:type="dxa"/>
              <w:left w:w="80" w:type="dxa"/>
              <w:bottom w:w="80" w:type="dxa"/>
              <w:right w:w="80" w:type="dxa"/>
            </w:tcMar>
            <w:vAlign w:val="center"/>
          </w:tcPr>
          <w:p w14:paraId="655F06AF" w14:textId="77777777" w:rsidR="004B3B82" w:rsidRPr="005F754A" w:rsidRDefault="004B3B82" w:rsidP="00CD3B05">
            <w:pPr>
              <w:jc w:val="center"/>
              <w:rPr>
                <w:rFonts w:ascii="Garamond" w:hAnsi="Garamond"/>
              </w:rPr>
            </w:pPr>
            <w:r>
              <w:rPr>
                <w:rFonts w:hAnsi="Garamond"/>
                <w:b/>
                <w:bCs/>
              </w:rPr>
              <w:t>Обозначение</w:t>
            </w:r>
            <w:r>
              <w:rPr>
                <w:rFonts w:hAnsi="Garamond"/>
                <w:b/>
                <w:bCs/>
              </w:rPr>
              <w:t xml:space="preserve"> </w:t>
            </w:r>
            <w:r>
              <w:rPr>
                <w:rFonts w:hAnsi="Garamond"/>
                <w:b/>
                <w:bCs/>
              </w:rPr>
              <w:t>п</w:t>
            </w:r>
            <w:r w:rsidRPr="004D7191">
              <w:rPr>
                <w:rFonts w:hAnsi="Garamond"/>
                <w:b/>
                <w:bCs/>
              </w:rPr>
              <w:t>арам</w:t>
            </w:r>
            <w:r w:rsidRPr="00A064A9">
              <w:rPr>
                <w:rFonts w:hAnsi="Garamond"/>
                <w:b/>
                <w:bCs/>
              </w:rPr>
              <w:t>етр</w:t>
            </w:r>
            <w:r>
              <w:rPr>
                <w:rFonts w:hAnsi="Garamond"/>
                <w:b/>
                <w:bCs/>
              </w:rPr>
              <w:t>а</w:t>
            </w:r>
            <w:r w:rsidRPr="001D764F">
              <w:rPr>
                <w:rFonts w:ascii="Garamond" w:hAnsi="Garamond"/>
                <w:b/>
                <w:bCs/>
              </w:rPr>
              <w:t xml:space="preserve"> </w:t>
            </w:r>
            <w:r w:rsidRPr="006163C1">
              <w:rPr>
                <w:rFonts w:ascii="Garamond" w:hAnsi="Garamond"/>
                <w:bCs/>
                <w:sz w:val="18"/>
                <w:szCs w:val="18"/>
              </w:rPr>
              <w:t xml:space="preserve">(номер пункта согласно Приложению № 11.1 к </w:t>
            </w:r>
            <w:r w:rsidRPr="006163C1">
              <w:rPr>
                <w:rFonts w:ascii="Garamond" w:hAnsi="Garamond"/>
                <w:bCs/>
                <w:i/>
                <w:sz w:val="18"/>
                <w:szCs w:val="18"/>
              </w:rPr>
              <w:t>Положению о реестре</w:t>
            </w:r>
            <w:r w:rsidRPr="006163C1">
              <w:rPr>
                <w:rFonts w:ascii="Garamond" w:hAnsi="Garamond"/>
                <w:bCs/>
                <w:sz w:val="18"/>
                <w:szCs w:val="18"/>
              </w:rPr>
              <w:t>)</w:t>
            </w:r>
          </w:p>
        </w:tc>
        <w:tc>
          <w:tcPr>
            <w:tcW w:w="7797" w:type="dxa"/>
            <w:tcBorders>
              <w:top w:val="single" w:sz="4" w:space="0" w:color="000000"/>
              <w:left w:val="single" w:sz="4" w:space="0" w:color="000000"/>
              <w:bottom w:val="single" w:sz="4" w:space="0" w:color="000000"/>
              <w:right w:val="single" w:sz="4" w:space="0" w:color="000000"/>
            </w:tcBorders>
            <w:shd w:val="clear" w:color="auto" w:fill="BFBFBF"/>
            <w:tcMar>
              <w:top w:w="80" w:type="dxa"/>
              <w:left w:w="80" w:type="dxa"/>
              <w:bottom w:w="80" w:type="dxa"/>
              <w:right w:w="80" w:type="dxa"/>
            </w:tcMar>
            <w:vAlign w:val="center"/>
          </w:tcPr>
          <w:p w14:paraId="09904337" w14:textId="77777777" w:rsidR="004B3B82" w:rsidRPr="001D764F" w:rsidRDefault="004B3B82" w:rsidP="00CD3B05">
            <w:pPr>
              <w:jc w:val="center"/>
              <w:rPr>
                <w:rFonts w:ascii="Garamond" w:hAnsi="Garamond"/>
              </w:rPr>
            </w:pPr>
            <w:r w:rsidRPr="001D764F">
              <w:rPr>
                <w:rFonts w:ascii="Garamond" w:hAnsi="Garamond"/>
                <w:b/>
                <w:bCs/>
              </w:rPr>
              <w:t>Наименование параметра</w:t>
            </w:r>
            <w:r>
              <w:rPr>
                <w:rFonts w:ascii="Garamond" w:hAnsi="Garamond"/>
                <w:b/>
                <w:bCs/>
              </w:rPr>
              <w:t xml:space="preserve"> </w:t>
            </w:r>
            <w:r w:rsidRPr="001D764F">
              <w:rPr>
                <w:rFonts w:ascii="Garamond" w:hAnsi="Garamond"/>
                <w:b/>
                <w:bCs/>
              </w:rPr>
              <w:t>/</w:t>
            </w:r>
            <w:r>
              <w:rPr>
                <w:rFonts w:ascii="Garamond" w:hAnsi="Garamond"/>
                <w:b/>
                <w:bCs/>
              </w:rPr>
              <w:t xml:space="preserve"> </w:t>
            </w:r>
            <w:r w:rsidRPr="001D764F">
              <w:rPr>
                <w:rFonts w:ascii="Garamond" w:hAnsi="Garamond"/>
                <w:b/>
                <w:bCs/>
              </w:rPr>
              <w:t>требование к порядку и методике испытаний</w:t>
            </w:r>
          </w:p>
        </w:tc>
      </w:tr>
      <w:tr w:rsidR="004B3B82" w:rsidRPr="007D4C5F" w14:paraId="3FDB0BC8" w14:textId="77777777" w:rsidTr="00CD3B05">
        <w:trPr>
          <w:trHeight w:val="242"/>
          <w:jc w:val="right"/>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F13187B" w14:textId="77777777" w:rsidR="004B3B82" w:rsidRPr="007D4C5F" w:rsidRDefault="004B3B82" w:rsidP="00CD3B05">
            <w:pPr>
              <w:rPr>
                <w:rFonts w:ascii="Garamond" w:hAnsi="Garamond"/>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A9ED79C" w14:textId="77777777" w:rsidR="004B3B82" w:rsidRPr="007D4C5F" w:rsidRDefault="004B3B82" w:rsidP="00CD3B05">
            <w:pPr>
              <w:rPr>
                <w:rFonts w:ascii="Garamond" w:hAnsi="Garamond"/>
              </w:rPr>
            </w:pPr>
          </w:p>
        </w:tc>
        <w:tc>
          <w:tcPr>
            <w:tcW w:w="779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AC26CF6" w14:textId="77777777" w:rsidR="004B3B82" w:rsidRPr="007D4C5F" w:rsidRDefault="004B3B82" w:rsidP="00CD3B05">
            <w:pPr>
              <w:rPr>
                <w:rFonts w:ascii="Garamond" w:hAnsi="Garamond"/>
              </w:rPr>
            </w:pPr>
            <w:r w:rsidRPr="007D4C5F">
              <w:rPr>
                <w:rFonts w:ascii="Garamond" w:hAnsi="Garamond"/>
                <w:b/>
                <w:bCs/>
              </w:rPr>
              <w:t>1. ЗАЩИЩЕННОСТЬ</w:t>
            </w:r>
          </w:p>
        </w:tc>
      </w:tr>
      <w:tr w:rsidR="004B3B82" w:rsidRPr="007D4C5F" w14:paraId="4BB5C262" w14:textId="77777777" w:rsidTr="00CD3B05">
        <w:tblPrEx>
          <w:shd w:val="clear" w:color="auto" w:fill="auto"/>
        </w:tblPrEx>
        <w:trPr>
          <w:trHeight w:val="490"/>
          <w:jc w:val="right"/>
        </w:trPr>
        <w:tc>
          <w:tcPr>
            <w:tcW w:w="567" w:type="dxa"/>
            <w:tcBorders>
              <w:top w:val="single" w:sz="4" w:space="0" w:color="000000"/>
              <w:left w:val="single" w:sz="4" w:space="0" w:color="000000"/>
              <w:bottom w:val="single" w:sz="4" w:space="0" w:color="000000"/>
              <w:right w:val="single" w:sz="4" w:space="0" w:color="000000"/>
            </w:tcBorders>
            <w:shd w:val="clear" w:color="auto" w:fill="BFBFBF"/>
            <w:tcMar>
              <w:top w:w="80" w:type="dxa"/>
              <w:left w:w="80" w:type="dxa"/>
              <w:bottom w:w="80" w:type="dxa"/>
              <w:right w:w="80" w:type="dxa"/>
            </w:tcMar>
            <w:vAlign w:val="center"/>
          </w:tcPr>
          <w:p w14:paraId="515FDF82" w14:textId="77777777" w:rsidR="004B3B82" w:rsidRPr="007D4C5F" w:rsidRDefault="004B3B82" w:rsidP="00CD3B05">
            <w:pPr>
              <w:jc w:val="center"/>
              <w:rPr>
                <w:rFonts w:ascii="Garamond" w:hAnsi="Garamond"/>
              </w:rPr>
            </w:pPr>
            <w:r w:rsidRPr="007D4C5F">
              <w:rPr>
                <w:rFonts w:ascii="Garamond" w:hAnsi="Garamond"/>
              </w:rPr>
              <w:t>1</w:t>
            </w:r>
          </w:p>
        </w:tc>
        <w:tc>
          <w:tcPr>
            <w:tcW w:w="1560" w:type="dxa"/>
            <w:tcBorders>
              <w:top w:val="single" w:sz="4" w:space="0" w:color="000000"/>
              <w:left w:val="single" w:sz="4" w:space="0" w:color="000000"/>
              <w:bottom w:val="single" w:sz="4" w:space="0" w:color="000000"/>
              <w:right w:val="single" w:sz="4" w:space="0" w:color="000000"/>
            </w:tcBorders>
            <w:shd w:val="clear" w:color="auto" w:fill="BFBFBF"/>
            <w:tcMar>
              <w:top w:w="80" w:type="dxa"/>
              <w:left w:w="80" w:type="dxa"/>
              <w:bottom w:w="80" w:type="dxa"/>
              <w:right w:w="80" w:type="dxa"/>
            </w:tcMar>
            <w:vAlign w:val="center"/>
          </w:tcPr>
          <w:p w14:paraId="660E4E9F" w14:textId="77777777" w:rsidR="004B3B82" w:rsidRPr="007D4C5F" w:rsidRDefault="004B3B82" w:rsidP="00CD3B05">
            <w:pPr>
              <w:jc w:val="center"/>
              <w:rPr>
                <w:rFonts w:ascii="Garamond" w:hAnsi="Garamond"/>
                <w:b/>
                <w:bCs/>
                <w:vertAlign w:val="subscript"/>
              </w:rPr>
            </w:pPr>
            <w:r w:rsidRPr="007D4C5F">
              <w:rPr>
                <w:rFonts w:ascii="Garamond" w:hAnsi="Garamond"/>
                <w:b/>
                <w:bCs/>
              </w:rPr>
              <w:t>П</w:t>
            </w:r>
            <w:r w:rsidRPr="007D4C5F">
              <w:rPr>
                <w:rFonts w:ascii="Garamond" w:hAnsi="Garamond"/>
                <w:b/>
                <w:bCs/>
                <w:vertAlign w:val="subscript"/>
              </w:rPr>
              <w:t>З13</w:t>
            </w:r>
          </w:p>
          <w:p w14:paraId="4DEB2624" w14:textId="77777777" w:rsidR="004B3B82" w:rsidRPr="007D4C5F" w:rsidRDefault="004B3B82" w:rsidP="00CD3B05">
            <w:pPr>
              <w:jc w:val="center"/>
              <w:rPr>
                <w:rFonts w:ascii="Garamond" w:hAnsi="Garamond"/>
              </w:rPr>
            </w:pPr>
            <w:r w:rsidRPr="007D4C5F">
              <w:rPr>
                <w:rFonts w:ascii="Garamond" w:hAnsi="Garamond"/>
                <w:bCs/>
              </w:rPr>
              <w:t>(п. 3.4.6)</w:t>
            </w:r>
          </w:p>
        </w:tc>
        <w:tc>
          <w:tcPr>
            <w:tcW w:w="7797" w:type="dxa"/>
            <w:tcBorders>
              <w:top w:val="single" w:sz="4" w:space="0" w:color="000000"/>
              <w:left w:val="single" w:sz="4" w:space="0" w:color="000000"/>
              <w:bottom w:val="single" w:sz="4" w:space="0" w:color="000000"/>
              <w:right w:val="single" w:sz="4" w:space="0" w:color="000000"/>
            </w:tcBorders>
            <w:shd w:val="clear" w:color="auto" w:fill="BFBFBF"/>
            <w:tcMar>
              <w:top w:w="80" w:type="dxa"/>
              <w:left w:w="80" w:type="dxa"/>
              <w:bottom w:w="80" w:type="dxa"/>
              <w:right w:w="80" w:type="dxa"/>
            </w:tcMar>
          </w:tcPr>
          <w:p w14:paraId="512320FF" w14:textId="77777777" w:rsidR="004B3B82" w:rsidRPr="007D4C5F" w:rsidRDefault="004B3B82" w:rsidP="00CD3B05">
            <w:pPr>
              <w:rPr>
                <w:rFonts w:ascii="Garamond" w:hAnsi="Garamond"/>
              </w:rPr>
            </w:pPr>
            <w:r w:rsidRPr="007D4C5F">
              <w:rPr>
                <w:rFonts w:ascii="Garamond" w:hAnsi="Garamond"/>
                <w:b/>
                <w:bCs/>
              </w:rPr>
              <w:t xml:space="preserve">Защита информации на программном уровне при параметрировании – установка пароля на </w:t>
            </w:r>
            <w:r>
              <w:rPr>
                <w:rFonts w:ascii="Garamond" w:hAnsi="Garamond"/>
                <w:b/>
                <w:bCs/>
                <w:highlight w:val="yellow"/>
              </w:rPr>
              <w:t>прибор учета</w:t>
            </w:r>
          </w:p>
        </w:tc>
      </w:tr>
      <w:tr w:rsidR="004B3B82" w:rsidRPr="007D4C5F" w14:paraId="76138990" w14:textId="77777777" w:rsidTr="00CD3B05">
        <w:tblPrEx>
          <w:shd w:val="clear" w:color="auto" w:fill="auto"/>
        </w:tblPrEx>
        <w:trPr>
          <w:trHeight w:val="250"/>
          <w:jc w:val="right"/>
        </w:trPr>
        <w:tc>
          <w:tcPr>
            <w:tcW w:w="567" w:type="dxa"/>
            <w:tcBorders>
              <w:top w:val="single" w:sz="4" w:space="0" w:color="000000"/>
              <w:left w:val="single" w:sz="4" w:space="0" w:color="000000"/>
              <w:bottom w:val="single" w:sz="4" w:space="0" w:color="000000"/>
              <w:right w:val="single" w:sz="4" w:space="0" w:color="000000"/>
            </w:tcBorders>
            <w:shd w:val="clear" w:color="auto" w:fill="92D050"/>
            <w:tcMar>
              <w:top w:w="80" w:type="dxa"/>
              <w:left w:w="80" w:type="dxa"/>
              <w:bottom w:w="80" w:type="dxa"/>
              <w:right w:w="80" w:type="dxa"/>
            </w:tcMar>
            <w:vAlign w:val="center"/>
          </w:tcPr>
          <w:p w14:paraId="16EF0B16" w14:textId="77777777" w:rsidR="004B3B82" w:rsidRPr="007D4C5F" w:rsidRDefault="004B3B82" w:rsidP="00CD3B05">
            <w:pPr>
              <w:rPr>
                <w:rFonts w:ascii="Garamond" w:hAnsi="Garamond"/>
              </w:rPr>
            </w:pPr>
          </w:p>
        </w:tc>
        <w:tc>
          <w:tcPr>
            <w:tcW w:w="1560" w:type="dxa"/>
            <w:tcBorders>
              <w:top w:val="single" w:sz="4" w:space="0" w:color="000000"/>
              <w:left w:val="single" w:sz="4" w:space="0" w:color="000000"/>
              <w:bottom w:val="single" w:sz="4" w:space="0" w:color="000000"/>
              <w:right w:val="single" w:sz="4" w:space="0" w:color="000000"/>
            </w:tcBorders>
            <w:shd w:val="clear" w:color="auto" w:fill="92D050"/>
            <w:tcMar>
              <w:top w:w="80" w:type="dxa"/>
              <w:left w:w="80" w:type="dxa"/>
              <w:bottom w:w="80" w:type="dxa"/>
              <w:right w:w="80" w:type="dxa"/>
            </w:tcMar>
            <w:vAlign w:val="center"/>
          </w:tcPr>
          <w:p w14:paraId="6B890A87" w14:textId="77777777" w:rsidR="004B3B82" w:rsidRPr="007D4C5F" w:rsidRDefault="004B3B82" w:rsidP="00CD3B05">
            <w:pPr>
              <w:jc w:val="center"/>
              <w:rPr>
                <w:rFonts w:ascii="Garamond" w:hAnsi="Garamond"/>
              </w:rPr>
            </w:pPr>
            <w:r w:rsidRPr="007D4C5F">
              <w:rPr>
                <w:rFonts w:ascii="Garamond" w:hAnsi="Garamond"/>
                <w:b/>
                <w:bCs/>
              </w:rPr>
              <w:t>Компоненты</w:t>
            </w:r>
          </w:p>
        </w:tc>
        <w:tc>
          <w:tcPr>
            <w:tcW w:w="7797" w:type="dxa"/>
            <w:tcBorders>
              <w:top w:val="single" w:sz="4" w:space="0" w:color="000000"/>
              <w:left w:val="single" w:sz="4" w:space="0" w:color="000000"/>
              <w:bottom w:val="single" w:sz="4" w:space="0" w:color="000000"/>
              <w:right w:val="single" w:sz="4" w:space="0" w:color="000000"/>
            </w:tcBorders>
            <w:shd w:val="clear" w:color="auto" w:fill="92D050"/>
            <w:tcMar>
              <w:top w:w="80" w:type="dxa"/>
              <w:left w:w="80" w:type="dxa"/>
              <w:bottom w:w="80" w:type="dxa"/>
              <w:right w:w="80" w:type="dxa"/>
            </w:tcMar>
          </w:tcPr>
          <w:p w14:paraId="0365DE73" w14:textId="77777777" w:rsidR="004B3B82" w:rsidRPr="007D4C5F" w:rsidRDefault="004B3B82" w:rsidP="00CD3B05">
            <w:pPr>
              <w:rPr>
                <w:rFonts w:ascii="Garamond" w:hAnsi="Garamond"/>
              </w:rPr>
            </w:pPr>
            <w:r w:rsidRPr="007D4C5F">
              <w:rPr>
                <w:rFonts w:ascii="Garamond" w:hAnsi="Garamond"/>
              </w:rPr>
              <w:t xml:space="preserve">ИИК – </w:t>
            </w:r>
            <w:r>
              <w:rPr>
                <w:rFonts w:ascii="Garamond" w:hAnsi="Garamond"/>
                <w:highlight w:val="yellow"/>
              </w:rPr>
              <w:t>прибор учета</w:t>
            </w:r>
          </w:p>
        </w:tc>
      </w:tr>
      <w:tr w:rsidR="004B3B82" w:rsidRPr="007D4C5F" w14:paraId="374CF7D0" w14:textId="77777777" w:rsidTr="00CD3B05">
        <w:tblPrEx>
          <w:shd w:val="clear" w:color="auto" w:fill="auto"/>
        </w:tblPrEx>
        <w:trPr>
          <w:trHeight w:val="1956"/>
          <w:jc w:val="right"/>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6914475" w14:textId="77777777" w:rsidR="004B3B82" w:rsidRPr="007D4C5F" w:rsidRDefault="004B3B82" w:rsidP="00CD3B05">
            <w:pPr>
              <w:rPr>
                <w:rFonts w:ascii="Garamond" w:hAnsi="Garamond"/>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DFC331D" w14:textId="77777777" w:rsidR="004B3B82" w:rsidRPr="007D4C5F" w:rsidRDefault="004B3B82" w:rsidP="00CD3B05">
            <w:pPr>
              <w:jc w:val="center"/>
              <w:rPr>
                <w:rFonts w:ascii="Garamond" w:hAnsi="Garamond"/>
              </w:rPr>
            </w:pPr>
            <w:r w:rsidRPr="007D4C5F">
              <w:rPr>
                <w:rFonts w:ascii="Garamond" w:hAnsi="Garamond"/>
                <w:b/>
                <w:bCs/>
              </w:rPr>
              <w:t>Действия</w:t>
            </w:r>
          </w:p>
        </w:tc>
        <w:tc>
          <w:tcPr>
            <w:tcW w:w="779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F41CDFA" w14:textId="77777777" w:rsidR="004B3B82" w:rsidRPr="00C6668F" w:rsidRDefault="004B3B82" w:rsidP="004B3B82">
            <w:pPr>
              <w:pStyle w:val="ac"/>
              <w:numPr>
                <w:ilvl w:val="0"/>
                <w:numId w:val="148"/>
              </w:numPr>
              <w:pBdr>
                <w:top w:val="nil"/>
                <w:left w:val="nil"/>
                <w:bottom w:val="nil"/>
                <w:right w:val="nil"/>
                <w:between w:val="nil"/>
                <w:bar w:val="nil"/>
              </w:pBdr>
              <w:tabs>
                <w:tab w:val="left" w:pos="317"/>
              </w:tabs>
              <w:ind w:left="52" w:firstLine="0"/>
              <w:jc w:val="both"/>
              <w:rPr>
                <w:rFonts w:ascii="Garamond" w:hAnsi="Garamond"/>
                <w:highlight w:val="yellow"/>
              </w:rPr>
            </w:pPr>
            <w:r w:rsidRPr="00C6668F">
              <w:rPr>
                <w:rFonts w:ascii="Garamond" w:hAnsi="Garamond"/>
                <w:highlight w:val="yellow"/>
              </w:rPr>
              <w:t>При проведении процедуры установления соответствия АИИС КУЭ:</w:t>
            </w:r>
          </w:p>
          <w:p w14:paraId="1A87E622" w14:textId="77777777" w:rsidR="004B3B82" w:rsidRPr="00C6668F" w:rsidRDefault="004B3B82" w:rsidP="004B3B82">
            <w:pPr>
              <w:pStyle w:val="ac"/>
              <w:numPr>
                <w:ilvl w:val="0"/>
                <w:numId w:val="149"/>
              </w:numPr>
              <w:pBdr>
                <w:top w:val="nil"/>
                <w:left w:val="nil"/>
                <w:bottom w:val="nil"/>
                <w:right w:val="nil"/>
                <w:between w:val="nil"/>
                <w:bar w:val="nil"/>
              </w:pBdr>
              <w:tabs>
                <w:tab w:val="left" w:pos="1440"/>
              </w:tabs>
              <w:ind w:hanging="264"/>
              <w:jc w:val="both"/>
              <w:rPr>
                <w:rFonts w:ascii="Garamond" w:eastAsia="Garamond" w:hAnsi="Garamond" w:cs="Garamond"/>
              </w:rPr>
            </w:pPr>
            <w:r w:rsidRPr="00C6668F">
              <w:rPr>
                <w:rFonts w:ascii="Garamond" w:hAnsi="Garamond"/>
              </w:rPr>
              <w:t>С помощью стандартных средств операционной системы или специализированного ПО удаленного доступа и администрирования устанавливается интернет-соединение с удаленным рабочим столом сервера ИВК АИИС КУЭ.</w:t>
            </w:r>
          </w:p>
          <w:p w14:paraId="6A9478FF" w14:textId="77777777" w:rsidR="004B3B82" w:rsidRPr="00C6668F" w:rsidRDefault="004B3B82" w:rsidP="004B3B82">
            <w:pPr>
              <w:pStyle w:val="ac"/>
              <w:numPr>
                <w:ilvl w:val="0"/>
                <w:numId w:val="149"/>
              </w:numPr>
              <w:pBdr>
                <w:top w:val="nil"/>
                <w:left w:val="nil"/>
                <w:bottom w:val="nil"/>
                <w:right w:val="nil"/>
                <w:between w:val="nil"/>
                <w:bar w:val="nil"/>
              </w:pBdr>
              <w:tabs>
                <w:tab w:val="left" w:pos="1440"/>
              </w:tabs>
              <w:ind w:hanging="264"/>
              <w:jc w:val="both"/>
              <w:rPr>
                <w:rFonts w:ascii="Garamond" w:eastAsia="Garamond" w:hAnsi="Garamond" w:cs="Garamond"/>
              </w:rPr>
            </w:pPr>
            <w:r w:rsidRPr="00C6668F">
              <w:rPr>
                <w:rFonts w:ascii="Garamond" w:hAnsi="Garamond"/>
              </w:rPr>
              <w:t xml:space="preserve">При отсутствии в АИИС КУЭ уровня ИВКЭ (двухуровневая система) с помощью специализированного ПО конфигурирования </w:t>
            </w:r>
            <w:r w:rsidRPr="008D7F3F">
              <w:rPr>
                <w:rFonts w:ascii="Garamond" w:hAnsi="Garamond"/>
                <w:highlight w:val="yellow"/>
              </w:rPr>
              <w:t>приборов учета</w:t>
            </w:r>
            <w:r w:rsidRPr="00C6668F">
              <w:rPr>
                <w:rFonts w:ascii="Garamond" w:hAnsi="Garamond"/>
              </w:rPr>
              <w:t xml:space="preserve">, установленного на сервере (АРМ) ИВК, посредством удаленного доступа устанавливается связь </w:t>
            </w:r>
            <w:r w:rsidRPr="008D7F3F">
              <w:rPr>
                <w:rFonts w:ascii="Garamond" w:hAnsi="Garamond"/>
                <w:highlight w:val="yellow"/>
              </w:rPr>
              <w:t>с прибором учета</w:t>
            </w:r>
            <w:r w:rsidRPr="00C6668F">
              <w:rPr>
                <w:rFonts w:ascii="Garamond" w:hAnsi="Garamond"/>
              </w:rPr>
              <w:t xml:space="preserve"> с заведомо ложным паролем для его параметрирования. </w:t>
            </w:r>
          </w:p>
          <w:p w14:paraId="5CF2B5E3" w14:textId="77777777" w:rsidR="004B3B82" w:rsidRPr="00C6668F" w:rsidRDefault="004B3B82" w:rsidP="004B3B82">
            <w:pPr>
              <w:pStyle w:val="ac"/>
              <w:numPr>
                <w:ilvl w:val="0"/>
                <w:numId w:val="149"/>
              </w:numPr>
              <w:pBdr>
                <w:top w:val="nil"/>
                <w:left w:val="nil"/>
                <w:bottom w:val="nil"/>
                <w:right w:val="nil"/>
                <w:between w:val="nil"/>
                <w:bar w:val="nil"/>
              </w:pBdr>
              <w:tabs>
                <w:tab w:val="left" w:pos="1440"/>
              </w:tabs>
              <w:ind w:hanging="264"/>
              <w:jc w:val="both"/>
              <w:rPr>
                <w:rFonts w:ascii="Garamond" w:eastAsia="Garamond" w:hAnsi="Garamond" w:cs="Garamond"/>
              </w:rPr>
            </w:pPr>
            <w:r w:rsidRPr="00C6668F">
              <w:rPr>
                <w:rFonts w:ascii="Garamond" w:hAnsi="Garamond"/>
              </w:rPr>
              <w:t xml:space="preserve">При наличии в АИИС КУЭ уровня ИВКЭ (трехуровневая система) допускается установить ложный пароль </w:t>
            </w:r>
            <w:r w:rsidRPr="008D7F3F">
              <w:rPr>
                <w:rFonts w:ascii="Garamond" w:hAnsi="Garamond"/>
                <w:highlight w:val="yellow"/>
              </w:rPr>
              <w:t>прибора учета</w:t>
            </w:r>
            <w:r w:rsidRPr="00C6668F">
              <w:rPr>
                <w:rFonts w:ascii="Garamond" w:hAnsi="Garamond"/>
              </w:rPr>
              <w:t xml:space="preserve"> в параметрах опроса </w:t>
            </w:r>
            <w:r w:rsidRPr="008D7F3F">
              <w:rPr>
                <w:rFonts w:ascii="Garamond" w:hAnsi="Garamond"/>
                <w:highlight w:val="yellow"/>
              </w:rPr>
              <w:t>прибора учета</w:t>
            </w:r>
            <w:r w:rsidRPr="00C6668F">
              <w:rPr>
                <w:rFonts w:ascii="Garamond" w:hAnsi="Garamond"/>
              </w:rPr>
              <w:t xml:space="preserve"> в УСПД.</w:t>
            </w:r>
          </w:p>
          <w:p w14:paraId="6638AAD7" w14:textId="77777777" w:rsidR="004B3B82" w:rsidRPr="00C6668F" w:rsidRDefault="004B3B82" w:rsidP="00E31AE6">
            <w:pPr>
              <w:pBdr>
                <w:top w:val="nil"/>
                <w:left w:val="nil"/>
                <w:bottom w:val="nil"/>
                <w:right w:val="nil"/>
                <w:between w:val="nil"/>
                <w:bar w:val="nil"/>
              </w:pBdr>
              <w:tabs>
                <w:tab w:val="left" w:pos="1440"/>
              </w:tabs>
              <w:jc w:val="both"/>
              <w:rPr>
                <w:rFonts w:ascii="Garamond" w:eastAsia="Garamond" w:hAnsi="Garamond" w:cs="Garamond"/>
                <w:highlight w:val="yellow"/>
              </w:rPr>
            </w:pPr>
          </w:p>
          <w:p w14:paraId="26FEF118" w14:textId="77777777" w:rsidR="004B3B82" w:rsidRPr="00C6668F" w:rsidRDefault="004B3B82" w:rsidP="004B3B82">
            <w:pPr>
              <w:pStyle w:val="ac"/>
              <w:numPr>
                <w:ilvl w:val="0"/>
                <w:numId w:val="148"/>
              </w:numPr>
              <w:pBdr>
                <w:top w:val="nil"/>
                <w:left w:val="nil"/>
                <w:bottom w:val="nil"/>
                <w:right w:val="nil"/>
                <w:between w:val="nil"/>
                <w:bar w:val="nil"/>
              </w:pBdr>
              <w:tabs>
                <w:tab w:val="left" w:pos="317"/>
              </w:tabs>
              <w:ind w:left="52" w:firstLine="0"/>
              <w:jc w:val="both"/>
              <w:rPr>
                <w:rFonts w:ascii="Garamond" w:eastAsia="Garamond" w:hAnsi="Garamond" w:cs="Garamond"/>
                <w:highlight w:val="yellow"/>
              </w:rPr>
            </w:pPr>
            <w:r w:rsidRPr="00C6668F">
              <w:rPr>
                <w:rFonts w:ascii="Garamond" w:hAnsi="Garamond"/>
                <w:highlight w:val="yellow"/>
              </w:rPr>
              <w:t>При проведении процедуры подтверждения соответствия системы учета агрегатора техническим требованиям оптового рынка:</w:t>
            </w:r>
          </w:p>
          <w:p w14:paraId="1D73EA48" w14:textId="77777777" w:rsidR="004B3B82" w:rsidRPr="00C6668F" w:rsidRDefault="004B3B82" w:rsidP="004B3B82">
            <w:pPr>
              <w:pStyle w:val="ac"/>
              <w:numPr>
                <w:ilvl w:val="0"/>
                <w:numId w:val="198"/>
              </w:numPr>
              <w:pBdr>
                <w:top w:val="nil"/>
                <w:left w:val="nil"/>
                <w:bottom w:val="nil"/>
                <w:right w:val="nil"/>
                <w:between w:val="nil"/>
                <w:bar w:val="nil"/>
              </w:pBdr>
              <w:tabs>
                <w:tab w:val="left" w:pos="1440"/>
              </w:tabs>
              <w:ind w:hanging="264"/>
              <w:jc w:val="both"/>
              <w:rPr>
                <w:rFonts w:ascii="Garamond" w:eastAsia="Garamond" w:hAnsi="Garamond" w:cs="Garamond"/>
                <w:highlight w:val="yellow"/>
              </w:rPr>
            </w:pPr>
            <w:r w:rsidRPr="00C6668F">
              <w:rPr>
                <w:rFonts w:ascii="Garamond" w:hAnsi="Garamond"/>
                <w:highlight w:val="yellow"/>
              </w:rPr>
              <w:t>С помощью стандартных средств операционной системы или специализированного ПО удаленного доступа и администрирования устанавливается интернет-соединение с удаленным рабочим столом сервера ИВК совокупности СИ и ТУ.</w:t>
            </w:r>
          </w:p>
          <w:p w14:paraId="02EF875B" w14:textId="273F190A" w:rsidR="004B3B82" w:rsidRPr="00C6668F" w:rsidRDefault="004B3B82" w:rsidP="004B3B82">
            <w:pPr>
              <w:pStyle w:val="ac"/>
              <w:numPr>
                <w:ilvl w:val="0"/>
                <w:numId w:val="198"/>
              </w:numPr>
              <w:pBdr>
                <w:top w:val="nil"/>
                <w:left w:val="nil"/>
                <w:bottom w:val="nil"/>
                <w:right w:val="nil"/>
                <w:between w:val="nil"/>
                <w:bar w:val="nil"/>
              </w:pBdr>
              <w:tabs>
                <w:tab w:val="left" w:pos="1440"/>
              </w:tabs>
              <w:ind w:hanging="264"/>
              <w:jc w:val="both"/>
              <w:rPr>
                <w:rFonts w:ascii="Garamond" w:hAnsi="Garamond"/>
                <w:highlight w:val="yellow"/>
              </w:rPr>
            </w:pPr>
            <w:r w:rsidRPr="00C6668F">
              <w:rPr>
                <w:rFonts w:ascii="Garamond" w:hAnsi="Garamond"/>
                <w:highlight w:val="yellow"/>
              </w:rPr>
              <w:t>При отсутствии в совокупности СИ и ТУ уровня ИВКЭ (</w:t>
            </w:r>
            <w:r>
              <w:rPr>
                <w:rFonts w:ascii="Garamond" w:hAnsi="Garamond"/>
                <w:highlight w:val="yellow"/>
              </w:rPr>
              <w:t>в том числе в случае</w:t>
            </w:r>
            <w:r w:rsidR="005F1B95">
              <w:rPr>
                <w:rFonts w:ascii="Garamond" w:hAnsi="Garamond"/>
                <w:highlight w:val="yellow"/>
              </w:rPr>
              <w:t>,</w:t>
            </w:r>
            <w:r>
              <w:rPr>
                <w:rFonts w:ascii="Garamond" w:hAnsi="Garamond"/>
                <w:highlight w:val="yellow"/>
              </w:rPr>
              <w:t xml:space="preserve"> если уровень ИВКЭ не выполняет </w:t>
            </w:r>
            <w:r w:rsidRPr="00C6668F">
              <w:rPr>
                <w:rFonts w:ascii="Garamond" w:hAnsi="Garamond"/>
                <w:highlight w:val="yellow"/>
              </w:rPr>
              <w:t xml:space="preserve">функции преобразования результатов измерений с учетом коэффициентов трансформации измерительных трансформаторов) с помощью специализированного ПО конфигурирования приборов учета, установленного на сервере (АРМ) ИВК, посредством удаленного доступа устанавливается связь с прибором учета с заведомо ложным паролем для его параметрирования. </w:t>
            </w:r>
          </w:p>
          <w:p w14:paraId="3A284E34" w14:textId="77777777" w:rsidR="004B3B82" w:rsidRPr="00C6668F" w:rsidRDefault="004B3B82" w:rsidP="004B3B82">
            <w:pPr>
              <w:pStyle w:val="ac"/>
              <w:numPr>
                <w:ilvl w:val="0"/>
                <w:numId w:val="198"/>
              </w:numPr>
              <w:pBdr>
                <w:top w:val="nil"/>
                <w:left w:val="nil"/>
                <w:bottom w:val="nil"/>
                <w:right w:val="nil"/>
                <w:between w:val="nil"/>
                <w:bar w:val="nil"/>
              </w:pBdr>
              <w:ind w:hanging="264"/>
              <w:jc w:val="both"/>
              <w:rPr>
                <w:rFonts w:ascii="Garamond" w:eastAsia="Garamond" w:hAnsi="Garamond" w:cs="Garamond"/>
                <w:highlight w:val="yellow"/>
              </w:rPr>
            </w:pPr>
            <w:r w:rsidRPr="00C6668F">
              <w:rPr>
                <w:rFonts w:ascii="Garamond" w:hAnsi="Garamond"/>
                <w:highlight w:val="yellow"/>
              </w:rPr>
              <w:t>При наличии в совокупности СИ и ТУ уровня ИВКЭ допускается установить ложный пароль прибора учета в параметрах опроса прибора учета в УСПД.</w:t>
            </w:r>
          </w:p>
        </w:tc>
      </w:tr>
      <w:tr w:rsidR="004B3B82" w:rsidRPr="007D4C5F" w14:paraId="23376D3E" w14:textId="77777777" w:rsidTr="00CD3B05">
        <w:tblPrEx>
          <w:shd w:val="clear" w:color="auto" w:fill="auto"/>
        </w:tblPrEx>
        <w:trPr>
          <w:trHeight w:val="316"/>
          <w:jc w:val="right"/>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ECBA5A8" w14:textId="77777777" w:rsidR="004B3B82" w:rsidRPr="007D4C5F" w:rsidRDefault="004B3B82" w:rsidP="00CD3B05">
            <w:pPr>
              <w:rPr>
                <w:rFonts w:ascii="Garamond" w:hAnsi="Garamond"/>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59ECF43" w14:textId="77777777" w:rsidR="004B3B82" w:rsidRPr="007D4C5F" w:rsidRDefault="004B3B82" w:rsidP="00CD3B05">
            <w:pPr>
              <w:jc w:val="center"/>
              <w:rPr>
                <w:rFonts w:ascii="Garamond" w:hAnsi="Garamond"/>
              </w:rPr>
            </w:pPr>
            <w:r w:rsidRPr="007D4C5F">
              <w:rPr>
                <w:rFonts w:ascii="Garamond" w:hAnsi="Garamond"/>
                <w:b/>
                <w:bCs/>
              </w:rPr>
              <w:t>Критерии</w:t>
            </w:r>
          </w:p>
        </w:tc>
        <w:tc>
          <w:tcPr>
            <w:tcW w:w="779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81FDC7" w14:textId="77777777" w:rsidR="004B3B82" w:rsidRPr="00C6668F" w:rsidRDefault="004B3B82" w:rsidP="004B3B82">
            <w:pPr>
              <w:pStyle w:val="ac"/>
              <w:numPr>
                <w:ilvl w:val="0"/>
                <w:numId w:val="200"/>
              </w:numPr>
              <w:pBdr>
                <w:top w:val="nil"/>
                <w:left w:val="nil"/>
                <w:bottom w:val="nil"/>
                <w:right w:val="nil"/>
                <w:between w:val="nil"/>
                <w:bar w:val="nil"/>
              </w:pBdr>
              <w:tabs>
                <w:tab w:val="left" w:pos="317"/>
              </w:tabs>
              <w:ind w:left="52" w:firstLine="0"/>
              <w:jc w:val="both"/>
              <w:rPr>
                <w:rFonts w:ascii="Garamond" w:hAnsi="Garamond"/>
                <w:highlight w:val="yellow"/>
              </w:rPr>
            </w:pPr>
            <w:r w:rsidRPr="00C6668F">
              <w:rPr>
                <w:rFonts w:ascii="Garamond" w:hAnsi="Garamond"/>
                <w:highlight w:val="yellow"/>
              </w:rPr>
              <w:t>При проведении процедуры установления соответствия АИИС КУЭ:</w:t>
            </w:r>
          </w:p>
          <w:p w14:paraId="6DF19D39" w14:textId="77777777" w:rsidR="004B3B82" w:rsidRDefault="004B3B82" w:rsidP="00E31AE6">
            <w:pPr>
              <w:pStyle w:val="ac"/>
              <w:tabs>
                <w:tab w:val="left" w:pos="317"/>
              </w:tabs>
              <w:ind w:left="55"/>
              <w:jc w:val="both"/>
              <w:rPr>
                <w:rFonts w:ascii="Garamond" w:hAnsi="Garamond"/>
              </w:rPr>
            </w:pPr>
            <w:r w:rsidRPr="007D4C5F">
              <w:rPr>
                <w:rFonts w:ascii="Garamond" w:hAnsi="Garamond"/>
              </w:rPr>
              <w:t xml:space="preserve">При попытке установить связь </w:t>
            </w:r>
            <w:r>
              <w:rPr>
                <w:rFonts w:ascii="Garamond" w:hAnsi="Garamond"/>
                <w:highlight w:val="yellow"/>
              </w:rPr>
              <w:t>с приборами учета</w:t>
            </w:r>
            <w:r w:rsidRPr="007D4C5F">
              <w:rPr>
                <w:rFonts w:ascii="Garamond" w:hAnsi="Garamond"/>
              </w:rPr>
              <w:t xml:space="preserve"> с заведомо ложными паролями с целью параметрирования и считывания данных – отказано в доступе.</w:t>
            </w:r>
          </w:p>
          <w:p w14:paraId="69297D0E" w14:textId="77777777" w:rsidR="004B3B82" w:rsidRDefault="004B3B82" w:rsidP="00CD3B05">
            <w:pPr>
              <w:pStyle w:val="ac"/>
              <w:tabs>
                <w:tab w:val="left" w:pos="317"/>
              </w:tabs>
              <w:ind w:left="0"/>
              <w:jc w:val="both"/>
              <w:rPr>
                <w:rFonts w:ascii="Garamond" w:hAnsi="Garamond"/>
              </w:rPr>
            </w:pPr>
          </w:p>
          <w:p w14:paraId="77AF6AE8" w14:textId="77777777" w:rsidR="004B3B82" w:rsidRPr="00AD541A" w:rsidRDefault="004B3B82" w:rsidP="004B3B82">
            <w:pPr>
              <w:pStyle w:val="ac"/>
              <w:numPr>
                <w:ilvl w:val="0"/>
                <w:numId w:val="200"/>
              </w:numPr>
              <w:pBdr>
                <w:top w:val="nil"/>
                <w:left w:val="nil"/>
                <w:bottom w:val="nil"/>
                <w:right w:val="nil"/>
                <w:between w:val="nil"/>
                <w:bar w:val="nil"/>
              </w:pBdr>
              <w:tabs>
                <w:tab w:val="left" w:pos="317"/>
              </w:tabs>
              <w:ind w:left="52" w:firstLine="0"/>
              <w:jc w:val="both"/>
              <w:rPr>
                <w:rFonts w:ascii="Garamond" w:hAnsi="Garamond"/>
                <w:highlight w:val="yellow"/>
              </w:rPr>
            </w:pPr>
            <w:r w:rsidRPr="00AD541A">
              <w:rPr>
                <w:rFonts w:ascii="Garamond" w:hAnsi="Garamond"/>
                <w:highlight w:val="yellow"/>
              </w:rPr>
              <w:t>При проведении процедуры подтверждения соответствия системы учета агрегатора техническим требованиям оптового рынка:</w:t>
            </w:r>
          </w:p>
          <w:p w14:paraId="1FA54AE8" w14:textId="77777777" w:rsidR="004B3B82" w:rsidRPr="007D4C5F" w:rsidRDefault="004B3B82" w:rsidP="00E31AE6">
            <w:pPr>
              <w:pStyle w:val="ac"/>
              <w:tabs>
                <w:tab w:val="left" w:pos="317"/>
              </w:tabs>
              <w:ind w:left="55"/>
              <w:jc w:val="both"/>
              <w:rPr>
                <w:rFonts w:ascii="Garamond" w:hAnsi="Garamond"/>
              </w:rPr>
            </w:pPr>
            <w:r w:rsidRPr="00AD541A">
              <w:rPr>
                <w:rFonts w:ascii="Garamond" w:hAnsi="Garamond"/>
                <w:highlight w:val="yellow"/>
              </w:rPr>
              <w:t>При попытке установить связь с приборами учета с заведомо ложными паролями с целью параметрирования и считывания данных – отказано в доступе.</w:t>
            </w:r>
          </w:p>
        </w:tc>
      </w:tr>
      <w:tr w:rsidR="004B3B82" w:rsidRPr="007D4C5F" w14:paraId="50059459" w14:textId="77777777" w:rsidTr="00CD3B05">
        <w:trPr>
          <w:trHeight w:val="583"/>
          <w:jc w:val="right"/>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0669787" w14:textId="77777777" w:rsidR="004B3B82" w:rsidRPr="007D4C5F" w:rsidRDefault="004B3B82" w:rsidP="00CD3B05">
            <w:pPr>
              <w:rPr>
                <w:rFonts w:ascii="Garamond" w:hAnsi="Garamond"/>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ACFCBC5" w14:textId="77777777" w:rsidR="004B3B82" w:rsidRPr="007D4C5F" w:rsidRDefault="004B3B82" w:rsidP="00CD3B05">
            <w:pPr>
              <w:jc w:val="center"/>
              <w:rPr>
                <w:rFonts w:ascii="Garamond" w:hAnsi="Garamond"/>
              </w:rPr>
            </w:pPr>
            <w:r w:rsidRPr="007D4C5F">
              <w:rPr>
                <w:rFonts w:ascii="Garamond" w:hAnsi="Garamond"/>
                <w:b/>
                <w:bCs/>
              </w:rPr>
              <w:t>Испытатели</w:t>
            </w:r>
          </w:p>
        </w:tc>
        <w:tc>
          <w:tcPr>
            <w:tcW w:w="779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C9011C" w14:textId="77777777" w:rsidR="004B3B82" w:rsidRPr="007D4C5F" w:rsidRDefault="004B3B82" w:rsidP="004B3B82">
            <w:pPr>
              <w:pStyle w:val="ac"/>
              <w:numPr>
                <w:ilvl w:val="0"/>
                <w:numId w:val="150"/>
              </w:numPr>
              <w:pBdr>
                <w:top w:val="nil"/>
                <w:left w:val="nil"/>
                <w:bottom w:val="nil"/>
                <w:right w:val="nil"/>
                <w:between w:val="nil"/>
                <w:bar w:val="nil"/>
              </w:pBdr>
              <w:tabs>
                <w:tab w:val="left" w:pos="1440"/>
              </w:tabs>
              <w:jc w:val="both"/>
              <w:rPr>
                <w:rFonts w:ascii="Garamond" w:eastAsia="Garamond" w:hAnsi="Garamond" w:cs="Garamond"/>
              </w:rPr>
            </w:pPr>
            <w:r w:rsidRPr="007D4C5F">
              <w:rPr>
                <w:rFonts w:ascii="Garamond" w:hAnsi="Garamond"/>
              </w:rPr>
              <w:t>Представители КО.</w:t>
            </w:r>
          </w:p>
          <w:p w14:paraId="2A3C6005" w14:textId="77777777" w:rsidR="004B3B82" w:rsidRDefault="004B3B82" w:rsidP="004B3B82">
            <w:pPr>
              <w:pStyle w:val="ac"/>
              <w:numPr>
                <w:ilvl w:val="0"/>
                <w:numId w:val="150"/>
              </w:numPr>
              <w:pBdr>
                <w:top w:val="nil"/>
                <w:left w:val="nil"/>
                <w:bottom w:val="nil"/>
                <w:right w:val="nil"/>
                <w:between w:val="nil"/>
                <w:bar w:val="nil"/>
              </w:pBdr>
              <w:tabs>
                <w:tab w:val="left" w:pos="1440"/>
              </w:tabs>
              <w:ind w:left="380" w:hanging="380"/>
              <w:jc w:val="both"/>
              <w:rPr>
                <w:rFonts w:ascii="Garamond" w:eastAsia="Garamond" w:hAnsi="Garamond" w:cs="Garamond"/>
              </w:rPr>
            </w:pPr>
            <w:r w:rsidRPr="007D4C5F">
              <w:rPr>
                <w:rFonts w:ascii="Garamond" w:hAnsi="Garamond"/>
              </w:rPr>
              <w:t>Представители заявителя</w:t>
            </w:r>
            <w:r w:rsidRPr="007D4C5F">
              <w:rPr>
                <w:rFonts w:ascii="Garamond" w:eastAsia="Garamond" w:hAnsi="Garamond" w:cs="Garamond"/>
              </w:rPr>
              <w:t>.</w:t>
            </w:r>
          </w:p>
          <w:p w14:paraId="693C7947" w14:textId="03A9E966" w:rsidR="004B3B82" w:rsidRPr="004926D3" w:rsidRDefault="004B3B82" w:rsidP="004B3B82">
            <w:pPr>
              <w:pStyle w:val="ac"/>
              <w:numPr>
                <w:ilvl w:val="0"/>
                <w:numId w:val="150"/>
              </w:numPr>
              <w:pBdr>
                <w:top w:val="nil"/>
                <w:left w:val="nil"/>
                <w:bottom w:val="nil"/>
                <w:right w:val="nil"/>
                <w:between w:val="nil"/>
                <w:bar w:val="nil"/>
              </w:pBdr>
              <w:tabs>
                <w:tab w:val="left" w:pos="1440"/>
              </w:tabs>
              <w:ind w:left="380" w:hanging="380"/>
              <w:jc w:val="both"/>
              <w:rPr>
                <w:rFonts w:ascii="Garamond" w:eastAsia="Garamond" w:hAnsi="Garamond" w:cs="Garamond"/>
              </w:rPr>
            </w:pPr>
            <w:r w:rsidRPr="004926D3">
              <w:rPr>
                <w:rFonts w:ascii="Garamond" w:hAnsi="Garamond"/>
              </w:rPr>
              <w:t xml:space="preserve">Представители смежного субъекта (при участии в испытаниях </w:t>
            </w:r>
            <w:r w:rsidRPr="004926D3">
              <w:rPr>
                <w:rFonts w:ascii="Garamond" w:hAnsi="Garamond"/>
                <w:highlight w:val="yellow"/>
              </w:rPr>
              <w:t>в рамках процедуры установления соответс</w:t>
            </w:r>
            <w:r w:rsidR="00880EA3">
              <w:rPr>
                <w:rFonts w:ascii="Garamond" w:hAnsi="Garamond"/>
                <w:highlight w:val="yellow"/>
              </w:rPr>
              <w:t>т</w:t>
            </w:r>
            <w:r w:rsidRPr="004926D3">
              <w:rPr>
                <w:rFonts w:ascii="Garamond" w:hAnsi="Garamond"/>
                <w:highlight w:val="yellow"/>
              </w:rPr>
              <w:t>вия АИИС КУЭ</w:t>
            </w:r>
            <w:r w:rsidRPr="004926D3">
              <w:rPr>
                <w:rFonts w:ascii="Garamond" w:hAnsi="Garamond"/>
              </w:rPr>
              <w:t>).</w:t>
            </w:r>
          </w:p>
        </w:tc>
      </w:tr>
      <w:tr w:rsidR="004B3B82" w:rsidRPr="007D4C5F" w14:paraId="442B7518" w14:textId="77777777" w:rsidTr="00CD3B05">
        <w:tblPrEx>
          <w:shd w:val="clear" w:color="auto" w:fill="auto"/>
        </w:tblPrEx>
        <w:trPr>
          <w:trHeight w:val="250"/>
          <w:jc w:val="right"/>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1190855" w14:textId="77777777" w:rsidR="004B3B82" w:rsidRPr="007D4C5F" w:rsidRDefault="004B3B82" w:rsidP="00CD3B05">
            <w:pPr>
              <w:rPr>
                <w:rFonts w:ascii="Garamond" w:hAnsi="Garamond"/>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8614ADE" w14:textId="77777777" w:rsidR="004B3B82" w:rsidRPr="007D4C5F" w:rsidRDefault="004B3B82" w:rsidP="00CD3B05">
            <w:pPr>
              <w:jc w:val="center"/>
              <w:rPr>
                <w:rFonts w:ascii="Garamond" w:hAnsi="Garamond"/>
              </w:rPr>
            </w:pPr>
            <w:r w:rsidRPr="007D4C5F">
              <w:rPr>
                <w:rFonts w:ascii="Garamond" w:hAnsi="Garamond"/>
                <w:b/>
                <w:bCs/>
              </w:rPr>
              <w:t>Документация</w:t>
            </w:r>
          </w:p>
        </w:tc>
        <w:tc>
          <w:tcPr>
            <w:tcW w:w="779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7820404" w14:textId="77777777" w:rsidR="004B3B82" w:rsidRDefault="004B3B82" w:rsidP="004B3B82">
            <w:pPr>
              <w:pStyle w:val="ac"/>
              <w:numPr>
                <w:ilvl w:val="0"/>
                <w:numId w:val="199"/>
              </w:numPr>
              <w:tabs>
                <w:tab w:val="left" w:pos="317"/>
              </w:tabs>
              <w:ind w:left="52" w:firstLine="0"/>
              <w:jc w:val="both"/>
              <w:rPr>
                <w:rFonts w:ascii="Garamond" w:hAnsi="Garamond"/>
                <w:highlight w:val="yellow"/>
              </w:rPr>
            </w:pPr>
            <w:r w:rsidRPr="0081004D">
              <w:rPr>
                <w:rFonts w:ascii="Garamond" w:hAnsi="Garamond"/>
                <w:highlight w:val="yellow"/>
              </w:rPr>
              <w:t xml:space="preserve">При проведении </w:t>
            </w:r>
            <w:r>
              <w:rPr>
                <w:rFonts w:ascii="Garamond" w:hAnsi="Garamond"/>
                <w:highlight w:val="yellow"/>
              </w:rPr>
              <w:t>процедуры</w:t>
            </w:r>
            <w:r w:rsidRPr="0081004D">
              <w:rPr>
                <w:rFonts w:ascii="Garamond" w:hAnsi="Garamond"/>
                <w:highlight w:val="yellow"/>
              </w:rPr>
              <w:t xml:space="preserve"> установления соответствия АИИС КУЭ</w:t>
            </w:r>
            <w:r>
              <w:rPr>
                <w:rFonts w:ascii="Garamond" w:hAnsi="Garamond"/>
                <w:highlight w:val="yellow"/>
              </w:rPr>
              <w:t>:</w:t>
            </w:r>
            <w:r w:rsidRPr="0081004D">
              <w:rPr>
                <w:rFonts w:ascii="Garamond" w:hAnsi="Garamond"/>
                <w:highlight w:val="yellow"/>
              </w:rPr>
              <w:t xml:space="preserve"> </w:t>
            </w:r>
            <w:r w:rsidRPr="00FF63FB">
              <w:rPr>
                <w:rFonts w:ascii="Garamond" w:hAnsi="Garamond"/>
                <w:highlight w:val="yellow"/>
              </w:rPr>
              <w:t>д</w:t>
            </w:r>
            <w:r w:rsidRPr="00FF7CE9">
              <w:rPr>
                <w:rFonts w:ascii="Garamond" w:hAnsi="Garamond"/>
              </w:rPr>
              <w:t>окументация в соответствии с таблицей 2 приложения 1 настоящего Порядка, представленная для установления соответствия АИИС КУЭ.</w:t>
            </w:r>
          </w:p>
          <w:p w14:paraId="21E0B278" w14:textId="77777777" w:rsidR="004B3B82" w:rsidRPr="00424795" w:rsidRDefault="004B3B82" w:rsidP="004B3B82">
            <w:pPr>
              <w:pStyle w:val="ac"/>
              <w:numPr>
                <w:ilvl w:val="0"/>
                <w:numId w:val="199"/>
              </w:numPr>
              <w:tabs>
                <w:tab w:val="left" w:pos="317"/>
              </w:tabs>
              <w:ind w:left="52" w:firstLine="0"/>
              <w:jc w:val="both"/>
              <w:rPr>
                <w:rFonts w:ascii="Garamond" w:hAnsi="Garamond"/>
                <w:highlight w:val="yellow"/>
              </w:rPr>
            </w:pPr>
            <w:r w:rsidRPr="00424795">
              <w:rPr>
                <w:rFonts w:ascii="Garamond" w:hAnsi="Garamond"/>
                <w:highlight w:val="yellow"/>
              </w:rPr>
              <w:t xml:space="preserve">При проведении процедуры подтверждения соответствия системы учета </w:t>
            </w:r>
            <w:r>
              <w:rPr>
                <w:rFonts w:ascii="Garamond" w:hAnsi="Garamond"/>
                <w:highlight w:val="yellow"/>
              </w:rPr>
              <w:t xml:space="preserve">агрегатора </w:t>
            </w:r>
            <w:r w:rsidRPr="00424795">
              <w:rPr>
                <w:rFonts w:ascii="Garamond" w:hAnsi="Garamond"/>
                <w:highlight w:val="yellow"/>
              </w:rPr>
              <w:t>техническим требованиям оптового рынка: ПСИ.</w:t>
            </w:r>
          </w:p>
        </w:tc>
      </w:tr>
      <w:tr w:rsidR="004B3B82" w:rsidRPr="007D4C5F" w14:paraId="308861AE" w14:textId="77777777" w:rsidTr="00CD3B05">
        <w:tblPrEx>
          <w:shd w:val="clear" w:color="auto" w:fill="auto"/>
        </w:tblPrEx>
        <w:trPr>
          <w:trHeight w:val="490"/>
          <w:jc w:val="right"/>
        </w:trPr>
        <w:tc>
          <w:tcPr>
            <w:tcW w:w="567" w:type="dxa"/>
            <w:tcBorders>
              <w:top w:val="single" w:sz="4" w:space="0" w:color="000000"/>
              <w:left w:val="single" w:sz="4" w:space="0" w:color="000000"/>
              <w:bottom w:val="single" w:sz="4" w:space="0" w:color="000000"/>
              <w:right w:val="single" w:sz="4" w:space="0" w:color="000000"/>
            </w:tcBorders>
            <w:shd w:val="clear" w:color="auto" w:fill="BFBFBF"/>
            <w:tcMar>
              <w:top w:w="80" w:type="dxa"/>
              <w:left w:w="80" w:type="dxa"/>
              <w:bottom w:w="80" w:type="dxa"/>
              <w:right w:w="80" w:type="dxa"/>
            </w:tcMar>
            <w:vAlign w:val="center"/>
          </w:tcPr>
          <w:p w14:paraId="5237E8D8" w14:textId="77777777" w:rsidR="004B3B82" w:rsidRPr="007D4C5F" w:rsidRDefault="004B3B82" w:rsidP="00CD3B05">
            <w:pPr>
              <w:jc w:val="center"/>
              <w:rPr>
                <w:rFonts w:ascii="Garamond" w:hAnsi="Garamond"/>
              </w:rPr>
            </w:pPr>
            <w:r w:rsidRPr="007D4C5F">
              <w:rPr>
                <w:rFonts w:ascii="Garamond" w:hAnsi="Garamond"/>
              </w:rPr>
              <w:lastRenderedPageBreak/>
              <w:t>2</w:t>
            </w:r>
          </w:p>
        </w:tc>
        <w:tc>
          <w:tcPr>
            <w:tcW w:w="1560" w:type="dxa"/>
            <w:tcBorders>
              <w:top w:val="single" w:sz="4" w:space="0" w:color="000000"/>
              <w:left w:val="single" w:sz="4" w:space="0" w:color="000000"/>
              <w:bottom w:val="single" w:sz="4" w:space="0" w:color="000000"/>
              <w:right w:val="single" w:sz="4" w:space="0" w:color="000000"/>
            </w:tcBorders>
            <w:shd w:val="clear" w:color="auto" w:fill="BFBFBF"/>
            <w:tcMar>
              <w:top w:w="80" w:type="dxa"/>
              <w:left w:w="80" w:type="dxa"/>
              <w:bottom w:w="80" w:type="dxa"/>
              <w:right w:w="80" w:type="dxa"/>
            </w:tcMar>
            <w:vAlign w:val="center"/>
          </w:tcPr>
          <w:p w14:paraId="45EC791D" w14:textId="77777777" w:rsidR="004B3B82" w:rsidRPr="007D4C5F" w:rsidRDefault="004B3B82" w:rsidP="00CD3B05">
            <w:pPr>
              <w:jc w:val="center"/>
              <w:rPr>
                <w:rFonts w:ascii="Garamond" w:hAnsi="Garamond"/>
                <w:b/>
                <w:bCs/>
                <w:vertAlign w:val="subscript"/>
              </w:rPr>
            </w:pPr>
            <w:r w:rsidRPr="007D4C5F">
              <w:rPr>
                <w:rFonts w:ascii="Garamond" w:hAnsi="Garamond"/>
                <w:b/>
                <w:bCs/>
              </w:rPr>
              <w:t>П</w:t>
            </w:r>
            <w:r w:rsidRPr="007D4C5F">
              <w:rPr>
                <w:rFonts w:ascii="Garamond" w:hAnsi="Garamond"/>
                <w:b/>
                <w:bCs/>
                <w:vertAlign w:val="subscript"/>
              </w:rPr>
              <w:t>З14</w:t>
            </w:r>
          </w:p>
          <w:p w14:paraId="1BEF34CA" w14:textId="77777777" w:rsidR="004B3B82" w:rsidRPr="007D4C5F" w:rsidRDefault="004B3B82" w:rsidP="00CD3B05">
            <w:pPr>
              <w:jc w:val="center"/>
              <w:rPr>
                <w:rFonts w:ascii="Garamond" w:hAnsi="Garamond"/>
              </w:rPr>
            </w:pPr>
            <w:r w:rsidRPr="007D4C5F">
              <w:rPr>
                <w:rFonts w:ascii="Garamond" w:hAnsi="Garamond"/>
                <w:bCs/>
              </w:rPr>
              <w:t>(п. 4.</w:t>
            </w:r>
            <w:r>
              <w:rPr>
                <w:rFonts w:ascii="Garamond" w:hAnsi="Garamond"/>
                <w:bCs/>
                <w:highlight w:val="yellow"/>
              </w:rPr>
              <w:t>1.7</w:t>
            </w:r>
            <w:r w:rsidRPr="007D4C5F">
              <w:rPr>
                <w:rFonts w:ascii="Garamond" w:hAnsi="Garamond"/>
                <w:bCs/>
              </w:rPr>
              <w:t>)</w:t>
            </w:r>
          </w:p>
        </w:tc>
        <w:tc>
          <w:tcPr>
            <w:tcW w:w="7797" w:type="dxa"/>
            <w:tcBorders>
              <w:top w:val="single" w:sz="4" w:space="0" w:color="000000"/>
              <w:left w:val="single" w:sz="4" w:space="0" w:color="000000"/>
              <w:bottom w:val="single" w:sz="4" w:space="0" w:color="000000"/>
              <w:right w:val="single" w:sz="4" w:space="0" w:color="000000"/>
            </w:tcBorders>
            <w:shd w:val="clear" w:color="auto" w:fill="BFBFBF"/>
            <w:tcMar>
              <w:top w:w="80" w:type="dxa"/>
              <w:left w:w="80" w:type="dxa"/>
              <w:bottom w:w="80" w:type="dxa"/>
              <w:right w:w="80" w:type="dxa"/>
            </w:tcMar>
          </w:tcPr>
          <w:p w14:paraId="42C8E866" w14:textId="77777777" w:rsidR="004B3B82" w:rsidRPr="007D4C5F" w:rsidRDefault="004B3B82" w:rsidP="00CD3B05">
            <w:pPr>
              <w:rPr>
                <w:rFonts w:ascii="Garamond" w:hAnsi="Garamond"/>
              </w:rPr>
            </w:pPr>
            <w:r w:rsidRPr="007D4C5F">
              <w:rPr>
                <w:rFonts w:ascii="Garamond" w:hAnsi="Garamond"/>
                <w:b/>
                <w:bCs/>
              </w:rPr>
              <w:t>Защита информации на программном уровне при параметрировании – установка пароля на УСПД</w:t>
            </w:r>
          </w:p>
        </w:tc>
      </w:tr>
      <w:tr w:rsidR="004B3B82" w:rsidRPr="007D4C5F" w14:paraId="3A93FC03" w14:textId="77777777" w:rsidTr="00CD3B05">
        <w:tblPrEx>
          <w:shd w:val="clear" w:color="auto" w:fill="auto"/>
        </w:tblPrEx>
        <w:trPr>
          <w:trHeight w:val="250"/>
          <w:jc w:val="right"/>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B1814C4" w14:textId="77777777" w:rsidR="004B3B82" w:rsidRPr="007D4C5F" w:rsidRDefault="004B3B82" w:rsidP="00CD3B05">
            <w:pPr>
              <w:rPr>
                <w:rFonts w:ascii="Garamond" w:hAnsi="Garamond"/>
              </w:rPr>
            </w:pPr>
            <w:r>
              <w:rPr>
                <w:rFonts w:ascii="Garamond" w:hAnsi="Garamond"/>
              </w:rPr>
              <w:t>…</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5E1AB1F" w14:textId="77777777" w:rsidR="004B3B82" w:rsidRPr="007D4C5F" w:rsidRDefault="004B3B82" w:rsidP="00CD3B05">
            <w:pPr>
              <w:jc w:val="center"/>
              <w:rPr>
                <w:rFonts w:ascii="Garamond" w:hAnsi="Garamond"/>
              </w:rPr>
            </w:pPr>
            <w:r>
              <w:rPr>
                <w:rFonts w:ascii="Garamond" w:hAnsi="Garamond"/>
              </w:rPr>
              <w:t>…</w:t>
            </w:r>
          </w:p>
        </w:tc>
        <w:tc>
          <w:tcPr>
            <w:tcW w:w="779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D6EB149" w14:textId="77777777" w:rsidR="004B3B82" w:rsidRPr="007D4C5F" w:rsidRDefault="004B3B82" w:rsidP="00CD3B05">
            <w:pPr>
              <w:rPr>
                <w:rFonts w:ascii="Garamond" w:hAnsi="Garamond"/>
              </w:rPr>
            </w:pPr>
            <w:r>
              <w:rPr>
                <w:rFonts w:ascii="Garamond" w:hAnsi="Garamond"/>
              </w:rPr>
              <w:t>…</w:t>
            </w:r>
          </w:p>
        </w:tc>
      </w:tr>
      <w:tr w:rsidR="004B3B82" w:rsidRPr="007D4C5F" w14:paraId="5C57C053" w14:textId="77777777" w:rsidTr="00CD3B05">
        <w:tblPrEx>
          <w:shd w:val="clear" w:color="auto" w:fill="auto"/>
        </w:tblPrEx>
        <w:trPr>
          <w:trHeight w:val="490"/>
          <w:jc w:val="right"/>
        </w:trPr>
        <w:tc>
          <w:tcPr>
            <w:tcW w:w="567" w:type="dxa"/>
            <w:tcBorders>
              <w:top w:val="single" w:sz="4" w:space="0" w:color="000000"/>
              <w:left w:val="single" w:sz="4" w:space="0" w:color="000000"/>
              <w:bottom w:val="single" w:sz="4" w:space="0" w:color="000000"/>
              <w:right w:val="single" w:sz="4" w:space="0" w:color="000000"/>
            </w:tcBorders>
            <w:shd w:val="clear" w:color="auto" w:fill="BFBFBF"/>
            <w:tcMar>
              <w:top w:w="80" w:type="dxa"/>
              <w:left w:w="80" w:type="dxa"/>
              <w:bottom w:w="80" w:type="dxa"/>
              <w:right w:w="80" w:type="dxa"/>
            </w:tcMar>
            <w:vAlign w:val="center"/>
          </w:tcPr>
          <w:p w14:paraId="5A37C54C" w14:textId="77777777" w:rsidR="004B3B82" w:rsidRPr="007D4C5F" w:rsidRDefault="004B3B82" w:rsidP="00CD3B05">
            <w:pPr>
              <w:jc w:val="center"/>
              <w:rPr>
                <w:rFonts w:ascii="Garamond" w:hAnsi="Garamond"/>
              </w:rPr>
            </w:pPr>
            <w:r w:rsidRPr="007D4C5F">
              <w:rPr>
                <w:rFonts w:ascii="Garamond" w:hAnsi="Garamond"/>
              </w:rPr>
              <w:t>3</w:t>
            </w:r>
          </w:p>
        </w:tc>
        <w:tc>
          <w:tcPr>
            <w:tcW w:w="1560" w:type="dxa"/>
            <w:tcBorders>
              <w:top w:val="single" w:sz="4" w:space="0" w:color="000000"/>
              <w:left w:val="single" w:sz="4" w:space="0" w:color="000000"/>
              <w:bottom w:val="single" w:sz="4" w:space="0" w:color="000000"/>
              <w:right w:val="single" w:sz="4" w:space="0" w:color="000000"/>
            </w:tcBorders>
            <w:shd w:val="clear" w:color="auto" w:fill="BFBFBF"/>
            <w:tcMar>
              <w:top w:w="80" w:type="dxa"/>
              <w:left w:w="80" w:type="dxa"/>
              <w:bottom w:w="80" w:type="dxa"/>
              <w:right w:w="80" w:type="dxa"/>
            </w:tcMar>
            <w:vAlign w:val="center"/>
          </w:tcPr>
          <w:p w14:paraId="2898D605" w14:textId="77777777" w:rsidR="004B3B82" w:rsidRPr="007D4C5F" w:rsidRDefault="004B3B82" w:rsidP="00CD3B05">
            <w:pPr>
              <w:jc w:val="center"/>
              <w:rPr>
                <w:rFonts w:ascii="Garamond" w:hAnsi="Garamond"/>
                <w:b/>
                <w:bCs/>
                <w:vertAlign w:val="subscript"/>
              </w:rPr>
            </w:pPr>
            <w:r w:rsidRPr="007D4C5F">
              <w:rPr>
                <w:rFonts w:ascii="Garamond" w:hAnsi="Garamond"/>
                <w:b/>
                <w:bCs/>
              </w:rPr>
              <w:t>П</w:t>
            </w:r>
            <w:r w:rsidRPr="007D4C5F">
              <w:rPr>
                <w:rFonts w:ascii="Garamond" w:hAnsi="Garamond"/>
                <w:b/>
                <w:bCs/>
                <w:vertAlign w:val="subscript"/>
              </w:rPr>
              <w:t>З15</w:t>
            </w:r>
          </w:p>
          <w:p w14:paraId="0A573664" w14:textId="77777777" w:rsidR="004B3B82" w:rsidRPr="007D4C5F" w:rsidRDefault="004B3B82" w:rsidP="00CD3B05">
            <w:pPr>
              <w:jc w:val="center"/>
              <w:rPr>
                <w:rFonts w:ascii="Garamond" w:hAnsi="Garamond"/>
              </w:rPr>
            </w:pPr>
            <w:r w:rsidRPr="007D4C5F">
              <w:rPr>
                <w:rFonts w:ascii="Garamond" w:hAnsi="Garamond"/>
                <w:bCs/>
              </w:rPr>
              <w:t>(п. 5.1.</w:t>
            </w:r>
            <w:r w:rsidRPr="00F56BC1">
              <w:rPr>
                <w:rFonts w:ascii="Garamond" w:hAnsi="Garamond"/>
                <w:bCs/>
                <w:highlight w:val="yellow"/>
              </w:rPr>
              <w:t>1</w:t>
            </w:r>
            <w:r>
              <w:rPr>
                <w:rFonts w:ascii="Garamond" w:hAnsi="Garamond"/>
                <w:bCs/>
                <w:highlight w:val="yellow"/>
              </w:rPr>
              <w:t>0</w:t>
            </w:r>
            <w:r w:rsidRPr="007D4C5F">
              <w:rPr>
                <w:rFonts w:ascii="Garamond" w:hAnsi="Garamond"/>
                <w:bCs/>
              </w:rPr>
              <w:t>)</w:t>
            </w:r>
          </w:p>
        </w:tc>
        <w:tc>
          <w:tcPr>
            <w:tcW w:w="7797" w:type="dxa"/>
            <w:tcBorders>
              <w:top w:val="single" w:sz="4" w:space="0" w:color="000000"/>
              <w:left w:val="single" w:sz="4" w:space="0" w:color="000000"/>
              <w:bottom w:val="single" w:sz="4" w:space="0" w:color="000000"/>
              <w:right w:val="single" w:sz="4" w:space="0" w:color="000000"/>
            </w:tcBorders>
            <w:shd w:val="clear" w:color="auto" w:fill="BFBFBF"/>
            <w:tcMar>
              <w:top w:w="80" w:type="dxa"/>
              <w:left w:w="80" w:type="dxa"/>
              <w:bottom w:w="80" w:type="dxa"/>
              <w:right w:w="80" w:type="dxa"/>
            </w:tcMar>
          </w:tcPr>
          <w:p w14:paraId="4ECE5320" w14:textId="77777777" w:rsidR="004B3B82" w:rsidRPr="007D4C5F" w:rsidRDefault="004B3B82" w:rsidP="00CD3B05">
            <w:pPr>
              <w:rPr>
                <w:rFonts w:ascii="Garamond" w:hAnsi="Garamond"/>
              </w:rPr>
            </w:pPr>
            <w:r w:rsidRPr="007D4C5F">
              <w:rPr>
                <w:rFonts w:ascii="Garamond" w:hAnsi="Garamond"/>
                <w:b/>
                <w:bCs/>
              </w:rPr>
              <w:t>Защита информации на программном уровне при параметрировании – установка пароля на сервер</w:t>
            </w:r>
          </w:p>
        </w:tc>
      </w:tr>
      <w:tr w:rsidR="004B3B82" w:rsidRPr="007D4C5F" w14:paraId="17DDD313" w14:textId="77777777" w:rsidTr="00CD3B05">
        <w:tblPrEx>
          <w:shd w:val="clear" w:color="auto" w:fill="auto"/>
        </w:tblPrEx>
        <w:trPr>
          <w:trHeight w:val="250"/>
          <w:jc w:val="right"/>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D7A17DB" w14:textId="77777777" w:rsidR="004B3B82" w:rsidRPr="007D4C5F" w:rsidRDefault="004B3B82" w:rsidP="00CD3B05">
            <w:pPr>
              <w:rPr>
                <w:rFonts w:ascii="Garamond" w:hAnsi="Garamond"/>
              </w:rPr>
            </w:pPr>
            <w:r>
              <w:rPr>
                <w:rFonts w:ascii="Garamond" w:hAnsi="Garamond"/>
              </w:rPr>
              <w:t>…</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FF1EF05" w14:textId="77777777" w:rsidR="004B3B82" w:rsidRPr="007D4C5F" w:rsidRDefault="004B3B82" w:rsidP="00CD3B05">
            <w:pPr>
              <w:jc w:val="center"/>
              <w:rPr>
                <w:rFonts w:ascii="Garamond" w:hAnsi="Garamond"/>
              </w:rPr>
            </w:pPr>
            <w:r>
              <w:rPr>
                <w:rFonts w:ascii="Garamond" w:hAnsi="Garamond"/>
              </w:rPr>
              <w:t>…</w:t>
            </w:r>
          </w:p>
        </w:tc>
        <w:tc>
          <w:tcPr>
            <w:tcW w:w="779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F6B7114" w14:textId="77777777" w:rsidR="004B3B82" w:rsidRPr="007D4C5F" w:rsidRDefault="004B3B82" w:rsidP="00CD3B05">
            <w:pPr>
              <w:rPr>
                <w:rFonts w:ascii="Garamond" w:hAnsi="Garamond"/>
              </w:rPr>
            </w:pPr>
            <w:r>
              <w:rPr>
                <w:rFonts w:ascii="Garamond" w:hAnsi="Garamond"/>
              </w:rPr>
              <w:t>…</w:t>
            </w:r>
          </w:p>
        </w:tc>
      </w:tr>
      <w:tr w:rsidR="004B3B82" w:rsidRPr="007D4C5F" w14:paraId="295C5805" w14:textId="77777777" w:rsidTr="00CD3B05">
        <w:tblPrEx>
          <w:shd w:val="clear" w:color="auto" w:fill="auto"/>
        </w:tblPrEx>
        <w:trPr>
          <w:trHeight w:val="250"/>
          <w:jc w:val="right"/>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3F74C55" w14:textId="77777777" w:rsidR="004B3B82" w:rsidRPr="007D4C5F" w:rsidRDefault="004B3B82" w:rsidP="00CD3B05">
            <w:pPr>
              <w:rPr>
                <w:rFonts w:ascii="Garamond" w:hAnsi="Garamond"/>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13816D9" w14:textId="77777777" w:rsidR="004B3B82" w:rsidRPr="007D4C5F" w:rsidRDefault="004B3B82" w:rsidP="00CD3B05">
            <w:pPr>
              <w:rPr>
                <w:rFonts w:ascii="Garamond" w:hAnsi="Garamond"/>
              </w:rPr>
            </w:pPr>
          </w:p>
        </w:tc>
        <w:tc>
          <w:tcPr>
            <w:tcW w:w="779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FD13EA0" w14:textId="77777777" w:rsidR="004B3B82" w:rsidRPr="007D4C5F" w:rsidRDefault="004B3B82" w:rsidP="00CD3B05">
            <w:pPr>
              <w:rPr>
                <w:rFonts w:ascii="Garamond" w:hAnsi="Garamond"/>
              </w:rPr>
            </w:pPr>
            <w:r w:rsidRPr="007D4C5F">
              <w:rPr>
                <w:rFonts w:ascii="Garamond" w:hAnsi="Garamond"/>
                <w:b/>
                <w:bCs/>
              </w:rPr>
              <w:t>2. ФУНКЦИОНАЛЬНАЯ ПОЛНОТА</w:t>
            </w:r>
          </w:p>
        </w:tc>
      </w:tr>
      <w:tr w:rsidR="004B3B82" w:rsidRPr="007D4C5F" w14:paraId="7C6BD71A" w14:textId="77777777" w:rsidTr="00CD3B05">
        <w:tblPrEx>
          <w:shd w:val="clear" w:color="auto" w:fill="auto"/>
        </w:tblPrEx>
        <w:trPr>
          <w:trHeight w:val="250"/>
          <w:jc w:val="right"/>
        </w:trPr>
        <w:tc>
          <w:tcPr>
            <w:tcW w:w="567" w:type="dxa"/>
            <w:tcBorders>
              <w:top w:val="single" w:sz="4" w:space="0" w:color="000000"/>
              <w:left w:val="single" w:sz="4" w:space="0" w:color="000000"/>
              <w:bottom w:val="single" w:sz="4" w:space="0" w:color="000000"/>
              <w:right w:val="single" w:sz="4" w:space="0" w:color="000000"/>
            </w:tcBorders>
            <w:shd w:val="clear" w:color="auto" w:fill="BFBFBF"/>
            <w:tcMar>
              <w:top w:w="80" w:type="dxa"/>
              <w:left w:w="80" w:type="dxa"/>
              <w:bottom w:w="80" w:type="dxa"/>
              <w:right w:w="80" w:type="dxa"/>
            </w:tcMar>
            <w:vAlign w:val="center"/>
          </w:tcPr>
          <w:p w14:paraId="56A96DC4" w14:textId="77777777" w:rsidR="004B3B82" w:rsidRPr="007D4C5F" w:rsidRDefault="004B3B82" w:rsidP="00CD3B05">
            <w:pPr>
              <w:jc w:val="center"/>
              <w:rPr>
                <w:rFonts w:ascii="Garamond" w:hAnsi="Garamond"/>
              </w:rPr>
            </w:pPr>
            <w:r w:rsidRPr="007D4C5F">
              <w:rPr>
                <w:rFonts w:ascii="Garamond" w:hAnsi="Garamond"/>
              </w:rPr>
              <w:t>4</w:t>
            </w:r>
          </w:p>
        </w:tc>
        <w:tc>
          <w:tcPr>
            <w:tcW w:w="1560" w:type="dxa"/>
            <w:tcBorders>
              <w:top w:val="single" w:sz="4" w:space="0" w:color="000000"/>
              <w:left w:val="single" w:sz="4" w:space="0" w:color="000000"/>
              <w:bottom w:val="single" w:sz="4" w:space="0" w:color="000000"/>
              <w:right w:val="single" w:sz="4" w:space="0" w:color="000000"/>
            </w:tcBorders>
            <w:shd w:val="clear" w:color="auto" w:fill="BFBFBF"/>
            <w:tcMar>
              <w:top w:w="80" w:type="dxa"/>
              <w:left w:w="80" w:type="dxa"/>
              <w:bottom w:w="80" w:type="dxa"/>
              <w:right w:w="80" w:type="dxa"/>
            </w:tcMar>
            <w:vAlign w:val="center"/>
          </w:tcPr>
          <w:p w14:paraId="3CE4C9A7" w14:textId="77777777" w:rsidR="004B3B82" w:rsidRPr="007D4C5F" w:rsidRDefault="004B3B82" w:rsidP="00CD3B05">
            <w:pPr>
              <w:jc w:val="center"/>
              <w:rPr>
                <w:rFonts w:ascii="Garamond" w:hAnsi="Garamond"/>
                <w:b/>
                <w:bCs/>
                <w:vertAlign w:val="subscript"/>
              </w:rPr>
            </w:pPr>
            <w:r w:rsidRPr="007D4C5F">
              <w:rPr>
                <w:rFonts w:ascii="Garamond" w:hAnsi="Garamond"/>
                <w:b/>
                <w:bCs/>
              </w:rPr>
              <w:t>П</w:t>
            </w:r>
            <w:r w:rsidRPr="007D4C5F">
              <w:rPr>
                <w:rFonts w:ascii="Garamond" w:hAnsi="Garamond"/>
                <w:b/>
                <w:bCs/>
                <w:vertAlign w:val="subscript"/>
              </w:rPr>
              <w:t>Ф10</w:t>
            </w:r>
          </w:p>
          <w:p w14:paraId="3018D027" w14:textId="77777777" w:rsidR="004B3B82" w:rsidRPr="007D4C5F" w:rsidRDefault="004B3B82" w:rsidP="00CD3B05">
            <w:pPr>
              <w:jc w:val="center"/>
              <w:rPr>
                <w:rFonts w:ascii="Garamond" w:hAnsi="Garamond"/>
              </w:rPr>
            </w:pPr>
            <w:r w:rsidRPr="007D4C5F">
              <w:rPr>
                <w:rFonts w:ascii="Garamond" w:hAnsi="Garamond"/>
                <w:bCs/>
              </w:rPr>
              <w:t>(пп. 3.4.4, 4.1.8, 4.3, 5.1.5</w:t>
            </w:r>
            <w:r w:rsidRPr="00424795">
              <w:rPr>
                <w:rFonts w:ascii="Garamond" w:hAnsi="Garamond"/>
                <w:bCs/>
                <w:highlight w:val="yellow"/>
              </w:rPr>
              <w:t>, 5.1.6</w:t>
            </w:r>
            <w:r w:rsidRPr="007D4C5F">
              <w:rPr>
                <w:rFonts w:ascii="Garamond" w:hAnsi="Garamond"/>
                <w:bCs/>
              </w:rPr>
              <w:t>)</w:t>
            </w:r>
          </w:p>
        </w:tc>
        <w:tc>
          <w:tcPr>
            <w:tcW w:w="7797" w:type="dxa"/>
            <w:tcBorders>
              <w:top w:val="single" w:sz="4" w:space="0" w:color="000000"/>
              <w:left w:val="single" w:sz="4" w:space="0" w:color="000000"/>
              <w:bottom w:val="single" w:sz="4" w:space="0" w:color="000000"/>
              <w:right w:val="single" w:sz="4" w:space="0" w:color="000000"/>
            </w:tcBorders>
            <w:shd w:val="clear" w:color="auto" w:fill="BFBFBF"/>
            <w:tcMar>
              <w:top w:w="80" w:type="dxa"/>
              <w:left w:w="80" w:type="dxa"/>
              <w:bottom w:w="80" w:type="dxa"/>
              <w:right w:w="80" w:type="dxa"/>
            </w:tcMar>
          </w:tcPr>
          <w:p w14:paraId="42F642C2" w14:textId="77777777" w:rsidR="004B3B82" w:rsidRPr="007D4C5F" w:rsidRDefault="004B3B82" w:rsidP="00CD3B05">
            <w:pPr>
              <w:rPr>
                <w:rFonts w:ascii="Garamond" w:hAnsi="Garamond"/>
              </w:rPr>
            </w:pPr>
            <w:r w:rsidRPr="007D4C5F">
              <w:rPr>
                <w:rFonts w:ascii="Garamond" w:hAnsi="Garamond"/>
                <w:b/>
                <w:bCs/>
              </w:rPr>
              <w:t>Коррекция/синхронизация времени в ИИК, ИВКЭ и ИВК</w:t>
            </w:r>
          </w:p>
        </w:tc>
      </w:tr>
      <w:tr w:rsidR="004B3B82" w:rsidRPr="007D4C5F" w14:paraId="55718FCF" w14:textId="77777777" w:rsidTr="00CD3B05">
        <w:tblPrEx>
          <w:shd w:val="clear" w:color="auto" w:fill="auto"/>
        </w:tblPrEx>
        <w:trPr>
          <w:trHeight w:val="250"/>
          <w:jc w:val="right"/>
        </w:trPr>
        <w:tc>
          <w:tcPr>
            <w:tcW w:w="567" w:type="dxa"/>
            <w:tcBorders>
              <w:top w:val="single" w:sz="4" w:space="0" w:color="000000"/>
              <w:left w:val="single" w:sz="4" w:space="0" w:color="000000"/>
              <w:bottom w:val="single" w:sz="4" w:space="0" w:color="000000"/>
              <w:right w:val="single" w:sz="4" w:space="0" w:color="000000"/>
            </w:tcBorders>
            <w:shd w:val="clear" w:color="auto" w:fill="92D050"/>
            <w:tcMar>
              <w:top w:w="80" w:type="dxa"/>
              <w:left w:w="80" w:type="dxa"/>
              <w:bottom w:w="80" w:type="dxa"/>
              <w:right w:w="80" w:type="dxa"/>
            </w:tcMar>
            <w:vAlign w:val="center"/>
          </w:tcPr>
          <w:p w14:paraId="5027FD5A" w14:textId="77777777" w:rsidR="004B3B82" w:rsidRPr="007D4C5F" w:rsidRDefault="004B3B82" w:rsidP="00CD3B05">
            <w:pPr>
              <w:rPr>
                <w:rFonts w:ascii="Garamond" w:hAnsi="Garamond"/>
              </w:rPr>
            </w:pPr>
          </w:p>
        </w:tc>
        <w:tc>
          <w:tcPr>
            <w:tcW w:w="1560" w:type="dxa"/>
            <w:tcBorders>
              <w:top w:val="single" w:sz="4" w:space="0" w:color="000000"/>
              <w:left w:val="single" w:sz="4" w:space="0" w:color="000000"/>
              <w:bottom w:val="single" w:sz="4" w:space="0" w:color="000000"/>
              <w:right w:val="single" w:sz="4" w:space="0" w:color="000000"/>
            </w:tcBorders>
            <w:shd w:val="clear" w:color="auto" w:fill="92D050"/>
            <w:tcMar>
              <w:top w:w="80" w:type="dxa"/>
              <w:left w:w="80" w:type="dxa"/>
              <w:bottom w:w="80" w:type="dxa"/>
              <w:right w:w="80" w:type="dxa"/>
            </w:tcMar>
            <w:vAlign w:val="center"/>
          </w:tcPr>
          <w:p w14:paraId="292F37BE" w14:textId="77777777" w:rsidR="004B3B82" w:rsidRPr="007D4C5F" w:rsidRDefault="004B3B82" w:rsidP="00CD3B05">
            <w:pPr>
              <w:jc w:val="center"/>
              <w:rPr>
                <w:rFonts w:ascii="Garamond" w:hAnsi="Garamond"/>
              </w:rPr>
            </w:pPr>
            <w:r w:rsidRPr="007D4C5F">
              <w:rPr>
                <w:rFonts w:ascii="Garamond" w:hAnsi="Garamond"/>
                <w:b/>
                <w:bCs/>
              </w:rPr>
              <w:t>Компоненты</w:t>
            </w:r>
          </w:p>
        </w:tc>
        <w:tc>
          <w:tcPr>
            <w:tcW w:w="7797" w:type="dxa"/>
            <w:tcBorders>
              <w:top w:val="single" w:sz="4" w:space="0" w:color="000000"/>
              <w:left w:val="single" w:sz="4" w:space="0" w:color="000000"/>
              <w:bottom w:val="single" w:sz="4" w:space="0" w:color="000000"/>
              <w:right w:val="single" w:sz="4" w:space="0" w:color="000000"/>
            </w:tcBorders>
            <w:shd w:val="clear" w:color="auto" w:fill="92D050"/>
            <w:tcMar>
              <w:top w:w="80" w:type="dxa"/>
              <w:left w:w="80" w:type="dxa"/>
              <w:bottom w:w="80" w:type="dxa"/>
              <w:right w:w="80" w:type="dxa"/>
            </w:tcMar>
          </w:tcPr>
          <w:p w14:paraId="137A49E5" w14:textId="77777777" w:rsidR="004B3B82" w:rsidRPr="007D4C5F" w:rsidRDefault="004B3B82" w:rsidP="00CD3B05">
            <w:pPr>
              <w:rPr>
                <w:rFonts w:ascii="Garamond" w:hAnsi="Garamond"/>
              </w:rPr>
            </w:pPr>
            <w:r w:rsidRPr="007D4C5F">
              <w:rPr>
                <w:rFonts w:ascii="Garamond" w:hAnsi="Garamond"/>
              </w:rPr>
              <w:t xml:space="preserve">ИИК – </w:t>
            </w:r>
            <w:r>
              <w:rPr>
                <w:rFonts w:ascii="Garamond" w:hAnsi="Garamond"/>
                <w:highlight w:val="yellow"/>
              </w:rPr>
              <w:t>прибор учета</w:t>
            </w:r>
            <w:r w:rsidRPr="007D4C5F">
              <w:rPr>
                <w:rFonts w:ascii="Garamond" w:hAnsi="Garamond"/>
              </w:rPr>
              <w:t xml:space="preserve">, ИВКЭ – УСПД/сервер, ИВК – УСПД и (или) сервер </w:t>
            </w:r>
          </w:p>
        </w:tc>
      </w:tr>
      <w:tr w:rsidR="004B3B82" w:rsidRPr="007D4C5F" w14:paraId="165597A3" w14:textId="77777777" w:rsidTr="00CD3B05">
        <w:trPr>
          <w:trHeight w:val="2214"/>
          <w:jc w:val="right"/>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0A6EC31" w14:textId="77777777" w:rsidR="004B3B82" w:rsidRPr="007D4C5F" w:rsidRDefault="004B3B82" w:rsidP="00CD3B05">
            <w:pPr>
              <w:rPr>
                <w:rFonts w:ascii="Garamond" w:hAnsi="Garamond"/>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EBFCE2C" w14:textId="77777777" w:rsidR="004B3B82" w:rsidRPr="007D4C5F" w:rsidRDefault="004B3B82" w:rsidP="00CD3B05">
            <w:pPr>
              <w:jc w:val="center"/>
              <w:rPr>
                <w:rFonts w:ascii="Garamond" w:hAnsi="Garamond"/>
              </w:rPr>
            </w:pPr>
            <w:r w:rsidRPr="007D4C5F">
              <w:rPr>
                <w:rFonts w:ascii="Garamond" w:hAnsi="Garamond"/>
                <w:b/>
                <w:bCs/>
              </w:rPr>
              <w:t>Действия</w:t>
            </w:r>
          </w:p>
        </w:tc>
        <w:tc>
          <w:tcPr>
            <w:tcW w:w="779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F553492" w14:textId="77777777" w:rsidR="004B3B82" w:rsidRPr="003A1C39" w:rsidRDefault="004B3B82" w:rsidP="004B3B82">
            <w:pPr>
              <w:pStyle w:val="ac"/>
              <w:numPr>
                <w:ilvl w:val="0"/>
                <w:numId w:val="201"/>
              </w:numPr>
              <w:pBdr>
                <w:top w:val="nil"/>
                <w:left w:val="nil"/>
                <w:bottom w:val="nil"/>
                <w:right w:val="nil"/>
                <w:between w:val="nil"/>
                <w:bar w:val="nil"/>
              </w:pBdr>
              <w:tabs>
                <w:tab w:val="left" w:pos="317"/>
              </w:tabs>
              <w:ind w:left="52" w:firstLine="0"/>
              <w:jc w:val="both"/>
              <w:rPr>
                <w:rFonts w:ascii="Garamond" w:hAnsi="Garamond"/>
                <w:highlight w:val="yellow"/>
              </w:rPr>
            </w:pPr>
            <w:r w:rsidRPr="00C6668F">
              <w:rPr>
                <w:rFonts w:ascii="Garamond" w:hAnsi="Garamond"/>
                <w:highlight w:val="yellow"/>
              </w:rPr>
              <w:t>При проведении процедуры установления соответствия АИИС КУЭ:</w:t>
            </w:r>
          </w:p>
          <w:p w14:paraId="42CE8810" w14:textId="77777777" w:rsidR="004B3B82" w:rsidRPr="00EB2E2B" w:rsidRDefault="004B3B82" w:rsidP="004B3B82">
            <w:pPr>
              <w:pStyle w:val="ac"/>
              <w:numPr>
                <w:ilvl w:val="0"/>
                <w:numId w:val="151"/>
              </w:numPr>
              <w:pBdr>
                <w:top w:val="nil"/>
                <w:left w:val="nil"/>
                <w:bottom w:val="nil"/>
                <w:right w:val="nil"/>
                <w:between w:val="nil"/>
                <w:bar w:val="nil"/>
              </w:pBdr>
              <w:tabs>
                <w:tab w:val="left" w:pos="1440"/>
              </w:tabs>
              <w:ind w:hanging="231"/>
              <w:jc w:val="both"/>
              <w:rPr>
                <w:rFonts w:ascii="Garamond" w:eastAsia="Garamond" w:hAnsi="Garamond" w:cs="Garamond"/>
              </w:rPr>
            </w:pPr>
            <w:r w:rsidRPr="00B44491">
              <w:rPr>
                <w:rFonts w:ascii="Garamond" w:hAnsi="Garamond"/>
              </w:rPr>
              <w:t>С помощью стандартных средств операционной системы или специализированного ПО удаленного доступа и администрирования устанавливается интернет-соединение с удаленным рабочим столом сервера (АРМ) ИВК АИИС КУЭ.</w:t>
            </w:r>
          </w:p>
          <w:p w14:paraId="0846A6D5" w14:textId="77777777" w:rsidR="004B3B82" w:rsidRPr="00EB2E2B" w:rsidRDefault="004B3B82" w:rsidP="004B3B82">
            <w:pPr>
              <w:pStyle w:val="ac"/>
              <w:numPr>
                <w:ilvl w:val="0"/>
                <w:numId w:val="151"/>
              </w:numPr>
              <w:pBdr>
                <w:top w:val="nil"/>
                <w:left w:val="nil"/>
                <w:bottom w:val="nil"/>
                <w:right w:val="nil"/>
                <w:between w:val="nil"/>
                <w:bar w:val="nil"/>
              </w:pBdr>
              <w:tabs>
                <w:tab w:val="left" w:pos="1440"/>
              </w:tabs>
              <w:ind w:hanging="231"/>
              <w:jc w:val="both"/>
              <w:rPr>
                <w:rFonts w:ascii="Garamond" w:eastAsia="Garamond" w:hAnsi="Garamond" w:cs="Garamond"/>
              </w:rPr>
            </w:pPr>
            <w:r w:rsidRPr="00EB2E2B">
              <w:rPr>
                <w:rFonts w:ascii="Garamond" w:hAnsi="Garamond"/>
              </w:rPr>
              <w:t xml:space="preserve">Удаленно с сервера (АРМ) ИВК с помощью специализированного ПО производится контроль: </w:t>
            </w:r>
          </w:p>
          <w:p w14:paraId="197AE4C4" w14:textId="77777777" w:rsidR="004B3B82" w:rsidRDefault="004B3B82" w:rsidP="00CD3B05">
            <w:pPr>
              <w:pStyle w:val="ac"/>
              <w:ind w:left="341"/>
              <w:jc w:val="both"/>
              <w:rPr>
                <w:rFonts w:ascii="Garamond" w:hAnsi="Garamond"/>
              </w:rPr>
            </w:pPr>
            <w:r w:rsidRPr="00B44491">
              <w:rPr>
                <w:rFonts w:ascii="Garamond" w:hAnsi="Garamond"/>
              </w:rPr>
              <w:t xml:space="preserve">1) параметров настроек коррекции (синхронизации) времени часов, работающих в составе СОЕВ, с автоматической коррекцией (синхронизацией) времени; </w:t>
            </w:r>
          </w:p>
          <w:p w14:paraId="1AA6ED33" w14:textId="77777777" w:rsidR="004B3B82" w:rsidRDefault="004B3B82" w:rsidP="00CD3B05">
            <w:pPr>
              <w:pStyle w:val="ac"/>
              <w:ind w:left="341"/>
              <w:jc w:val="both"/>
              <w:rPr>
                <w:rFonts w:ascii="Garamond" w:hAnsi="Garamond"/>
              </w:rPr>
            </w:pPr>
            <w:r w:rsidRPr="00EB2E2B">
              <w:rPr>
                <w:rFonts w:ascii="Garamond" w:hAnsi="Garamond"/>
              </w:rPr>
              <w:t xml:space="preserve">2) записей в «журналах событий» </w:t>
            </w:r>
            <w:r w:rsidRPr="00EB2E2B">
              <w:rPr>
                <w:rFonts w:ascii="Garamond" w:hAnsi="Garamond"/>
                <w:highlight w:val="yellow"/>
              </w:rPr>
              <w:t>приборов учета</w:t>
            </w:r>
            <w:r w:rsidRPr="00EB2E2B">
              <w:rPr>
                <w:rFonts w:ascii="Garamond" w:hAnsi="Garamond"/>
              </w:rPr>
              <w:t>, УСПД и серверов ИВК о фактах коррекции времени с обязательной фиксацией времени до и после коррекции или величины коррекции времени, на которую было скорректировано устройство;</w:t>
            </w:r>
          </w:p>
          <w:p w14:paraId="10E687A2" w14:textId="77777777" w:rsidR="004B3B82" w:rsidRDefault="004B3B82" w:rsidP="00CD3B05">
            <w:pPr>
              <w:pStyle w:val="ac"/>
              <w:ind w:left="341"/>
              <w:jc w:val="both"/>
              <w:rPr>
                <w:rFonts w:ascii="Garamond" w:hAnsi="Garamond"/>
              </w:rPr>
            </w:pPr>
            <w:r w:rsidRPr="00EB2E2B">
              <w:rPr>
                <w:rFonts w:ascii="Garamond" w:hAnsi="Garamond"/>
              </w:rPr>
              <w:t xml:space="preserve">3) разницы времени </w:t>
            </w:r>
            <w:r w:rsidRPr="00EB2E2B">
              <w:rPr>
                <w:rFonts w:ascii="Garamond" w:hAnsi="Garamond"/>
                <w:highlight w:val="yellow"/>
              </w:rPr>
              <w:t>приборов учета</w:t>
            </w:r>
            <w:r w:rsidRPr="00EB2E2B">
              <w:rPr>
                <w:rFonts w:ascii="Garamond" w:hAnsi="Garamond"/>
              </w:rPr>
              <w:t>, УСПД и серверов ИВК при сравнении с эталонным временем Российской Федерации с учетом часовых поясов (в случаях, предусмотренных п. 1.2.1 настоящего Порядка).</w:t>
            </w:r>
          </w:p>
          <w:p w14:paraId="76EE1DFA" w14:textId="77777777" w:rsidR="004B3B82" w:rsidRDefault="004B3B82" w:rsidP="00CD3B05">
            <w:pPr>
              <w:pStyle w:val="ac"/>
              <w:ind w:left="341"/>
              <w:jc w:val="both"/>
              <w:rPr>
                <w:rFonts w:ascii="Garamond" w:hAnsi="Garamond"/>
              </w:rPr>
            </w:pPr>
          </w:p>
          <w:p w14:paraId="2800EEA4" w14:textId="77777777" w:rsidR="004B3B82" w:rsidRPr="003A1C39" w:rsidRDefault="004B3B82" w:rsidP="004B3B82">
            <w:pPr>
              <w:pStyle w:val="ac"/>
              <w:numPr>
                <w:ilvl w:val="0"/>
                <w:numId w:val="201"/>
              </w:numPr>
              <w:pBdr>
                <w:top w:val="nil"/>
                <w:left w:val="nil"/>
                <w:bottom w:val="nil"/>
                <w:right w:val="nil"/>
                <w:between w:val="nil"/>
                <w:bar w:val="nil"/>
              </w:pBdr>
              <w:tabs>
                <w:tab w:val="left" w:pos="317"/>
              </w:tabs>
              <w:ind w:left="52" w:firstLine="0"/>
              <w:jc w:val="both"/>
              <w:rPr>
                <w:rFonts w:ascii="Garamond" w:hAnsi="Garamond"/>
                <w:highlight w:val="yellow"/>
              </w:rPr>
            </w:pPr>
            <w:r w:rsidRPr="003A1C39">
              <w:rPr>
                <w:rFonts w:ascii="Garamond" w:hAnsi="Garamond"/>
                <w:highlight w:val="yellow"/>
              </w:rPr>
              <w:t>При проведении процедуры подтверждения соответствия системы учета агрегатора техническим требованиям оптового рынка:</w:t>
            </w:r>
          </w:p>
          <w:p w14:paraId="46CFD5EE" w14:textId="77777777" w:rsidR="004B3B82" w:rsidRPr="003A1C39" w:rsidRDefault="004B3B82" w:rsidP="004B3B82">
            <w:pPr>
              <w:pStyle w:val="ac"/>
              <w:numPr>
                <w:ilvl w:val="0"/>
                <w:numId w:val="202"/>
              </w:numPr>
              <w:pBdr>
                <w:top w:val="nil"/>
                <w:left w:val="nil"/>
                <w:bottom w:val="nil"/>
                <w:right w:val="nil"/>
                <w:between w:val="nil"/>
                <w:bar w:val="nil"/>
              </w:pBdr>
              <w:tabs>
                <w:tab w:val="left" w:pos="1440"/>
              </w:tabs>
              <w:ind w:hanging="231"/>
              <w:jc w:val="both"/>
              <w:rPr>
                <w:rFonts w:ascii="Garamond" w:eastAsia="Garamond" w:hAnsi="Garamond" w:cs="Garamond"/>
                <w:highlight w:val="yellow"/>
              </w:rPr>
            </w:pPr>
            <w:r w:rsidRPr="003A1C39">
              <w:rPr>
                <w:rFonts w:ascii="Garamond" w:hAnsi="Garamond"/>
                <w:highlight w:val="yellow"/>
              </w:rPr>
              <w:t>С помощью стандартных средств операционной системы или специализированного ПО удаленного доступа и администрирования устанавливается интернет-соединение с удаленным рабочим столом сервера (АРМ) ИВК совокупности СИ и ТУ.</w:t>
            </w:r>
          </w:p>
          <w:p w14:paraId="2E4EE8D3" w14:textId="77777777" w:rsidR="004B3B82" w:rsidRPr="003A1C39" w:rsidRDefault="004B3B82" w:rsidP="004B3B82">
            <w:pPr>
              <w:pStyle w:val="ac"/>
              <w:numPr>
                <w:ilvl w:val="0"/>
                <w:numId w:val="202"/>
              </w:numPr>
              <w:pBdr>
                <w:top w:val="nil"/>
                <w:left w:val="nil"/>
                <w:bottom w:val="nil"/>
                <w:right w:val="nil"/>
                <w:between w:val="nil"/>
                <w:bar w:val="nil"/>
              </w:pBdr>
              <w:tabs>
                <w:tab w:val="left" w:pos="1440"/>
              </w:tabs>
              <w:ind w:hanging="231"/>
              <w:jc w:val="both"/>
              <w:rPr>
                <w:rFonts w:ascii="Garamond" w:eastAsia="Garamond" w:hAnsi="Garamond" w:cs="Garamond"/>
                <w:highlight w:val="yellow"/>
              </w:rPr>
            </w:pPr>
            <w:r w:rsidRPr="003A1C39">
              <w:rPr>
                <w:rFonts w:ascii="Garamond" w:hAnsi="Garamond"/>
                <w:highlight w:val="yellow"/>
              </w:rPr>
              <w:t xml:space="preserve">Удаленно с сервера (АРМ) ИВК с помощью специализированного ПО производится контроль: </w:t>
            </w:r>
          </w:p>
          <w:p w14:paraId="2446A691" w14:textId="77777777" w:rsidR="004B3B82" w:rsidRPr="003A1C39" w:rsidRDefault="004B3B82" w:rsidP="00E31AE6">
            <w:pPr>
              <w:pStyle w:val="ac"/>
              <w:ind w:left="348"/>
              <w:jc w:val="both"/>
              <w:rPr>
                <w:rFonts w:ascii="Garamond" w:hAnsi="Garamond"/>
                <w:highlight w:val="yellow"/>
              </w:rPr>
            </w:pPr>
            <w:r w:rsidRPr="003A1C39">
              <w:rPr>
                <w:rFonts w:ascii="Garamond" w:hAnsi="Garamond"/>
                <w:highlight w:val="yellow"/>
              </w:rPr>
              <w:t xml:space="preserve">1) параметров </w:t>
            </w:r>
            <w:r w:rsidRPr="007D3A41">
              <w:rPr>
                <w:rFonts w:ascii="Garamond" w:hAnsi="Garamond"/>
                <w:highlight w:val="yellow"/>
              </w:rPr>
              <w:t xml:space="preserve">настроек коррекции (синхронизации) времени часов в составе совокупности СИ и ТУ; </w:t>
            </w:r>
          </w:p>
          <w:p w14:paraId="4570E031" w14:textId="77777777" w:rsidR="004B3B82" w:rsidRPr="0088397E" w:rsidRDefault="004B3B82" w:rsidP="00E31AE6">
            <w:pPr>
              <w:pStyle w:val="ac"/>
              <w:ind w:left="348"/>
              <w:jc w:val="both"/>
              <w:rPr>
                <w:rFonts w:ascii="Garamond" w:hAnsi="Garamond"/>
                <w:highlight w:val="yellow"/>
              </w:rPr>
            </w:pPr>
            <w:r w:rsidRPr="003A1C39">
              <w:rPr>
                <w:rFonts w:ascii="Garamond" w:hAnsi="Garamond"/>
                <w:highlight w:val="yellow"/>
              </w:rPr>
              <w:t xml:space="preserve">2) записей в «журналах событий» приборов учета, УСПД </w:t>
            </w:r>
            <w:r w:rsidRPr="00C6668F">
              <w:rPr>
                <w:rFonts w:ascii="Garamond" w:hAnsi="Garamond"/>
                <w:highlight w:val="yellow"/>
              </w:rPr>
              <w:t>(</w:t>
            </w:r>
            <w:r>
              <w:rPr>
                <w:rFonts w:ascii="Garamond" w:hAnsi="Garamond"/>
                <w:highlight w:val="yellow"/>
              </w:rPr>
              <w:t xml:space="preserve">в случае если уровень ИВКЭ выполняет </w:t>
            </w:r>
            <w:r w:rsidRPr="00C6668F">
              <w:rPr>
                <w:rFonts w:ascii="Garamond" w:hAnsi="Garamond"/>
                <w:highlight w:val="yellow"/>
              </w:rPr>
              <w:t xml:space="preserve">функции преобразования результатов измерений с учетом коэффициентов трансформации измерительных трансформаторов) </w:t>
            </w:r>
            <w:r w:rsidRPr="003A1C39">
              <w:rPr>
                <w:rFonts w:ascii="Garamond" w:hAnsi="Garamond"/>
                <w:highlight w:val="yellow"/>
              </w:rPr>
              <w:t>и серверов ИВК о фактах коррекции времени с обязательной фиксацией времени до и после коррекции или величины коррекции времени, на которую было скорректировано устройство</w:t>
            </w:r>
            <w:r w:rsidRPr="00DD0D8B">
              <w:rPr>
                <w:rFonts w:ascii="Garamond" w:hAnsi="Garamond"/>
                <w:highlight w:val="yellow"/>
              </w:rPr>
              <w:t>.</w:t>
            </w:r>
          </w:p>
        </w:tc>
      </w:tr>
      <w:tr w:rsidR="004B3B82" w:rsidRPr="007D4C5F" w14:paraId="74301B3B" w14:textId="77777777" w:rsidTr="00CD3B05">
        <w:tblPrEx>
          <w:shd w:val="clear" w:color="auto" w:fill="auto"/>
        </w:tblPrEx>
        <w:trPr>
          <w:trHeight w:val="490"/>
          <w:jc w:val="right"/>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CA707E7" w14:textId="77777777" w:rsidR="004B3B82" w:rsidRPr="007D4C5F" w:rsidRDefault="004B3B82" w:rsidP="00CD3B05">
            <w:pPr>
              <w:rPr>
                <w:rFonts w:ascii="Garamond" w:hAnsi="Garamond"/>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EE711E4" w14:textId="77777777" w:rsidR="004B3B82" w:rsidRPr="007D4C5F" w:rsidRDefault="004B3B82" w:rsidP="00CD3B05">
            <w:pPr>
              <w:jc w:val="center"/>
              <w:rPr>
                <w:rFonts w:ascii="Garamond" w:hAnsi="Garamond"/>
              </w:rPr>
            </w:pPr>
            <w:r w:rsidRPr="007D4C5F">
              <w:rPr>
                <w:rFonts w:ascii="Garamond" w:hAnsi="Garamond"/>
                <w:b/>
                <w:bCs/>
              </w:rPr>
              <w:t>Критерии</w:t>
            </w:r>
          </w:p>
        </w:tc>
        <w:tc>
          <w:tcPr>
            <w:tcW w:w="779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1A64419" w14:textId="77777777" w:rsidR="004B3B82" w:rsidRPr="003A1C39" w:rsidRDefault="004B3B82" w:rsidP="004B3B82">
            <w:pPr>
              <w:pStyle w:val="ac"/>
              <w:numPr>
                <w:ilvl w:val="0"/>
                <w:numId w:val="204"/>
              </w:numPr>
              <w:pBdr>
                <w:top w:val="nil"/>
                <w:left w:val="nil"/>
                <w:bottom w:val="nil"/>
                <w:right w:val="nil"/>
                <w:between w:val="nil"/>
                <w:bar w:val="nil"/>
              </w:pBdr>
              <w:tabs>
                <w:tab w:val="left" w:pos="317"/>
              </w:tabs>
              <w:ind w:left="52" w:firstLine="0"/>
              <w:jc w:val="both"/>
              <w:rPr>
                <w:rFonts w:ascii="Garamond" w:hAnsi="Garamond"/>
                <w:highlight w:val="yellow"/>
              </w:rPr>
            </w:pPr>
            <w:r w:rsidRPr="00C6668F">
              <w:rPr>
                <w:rFonts w:ascii="Garamond" w:hAnsi="Garamond"/>
                <w:highlight w:val="yellow"/>
              </w:rPr>
              <w:t>При проведении процедуры установления соответствия АИИС КУЭ:</w:t>
            </w:r>
          </w:p>
          <w:p w14:paraId="428F5EFB" w14:textId="77777777" w:rsidR="004B3B82" w:rsidRDefault="004B3B82" w:rsidP="004B3B82">
            <w:pPr>
              <w:pStyle w:val="ac"/>
              <w:numPr>
                <w:ilvl w:val="0"/>
                <w:numId w:val="203"/>
              </w:numPr>
              <w:tabs>
                <w:tab w:val="left" w:pos="484"/>
              </w:tabs>
              <w:ind w:left="342" w:hanging="284"/>
              <w:jc w:val="both"/>
              <w:rPr>
                <w:rFonts w:ascii="Garamond" w:hAnsi="Garamond"/>
              </w:rPr>
            </w:pPr>
            <w:r w:rsidRPr="007D4C5F">
              <w:rPr>
                <w:rFonts w:ascii="Garamond" w:hAnsi="Garamond"/>
              </w:rPr>
              <w:t xml:space="preserve">Параметры настроек АИИС КУЭ обеспечивают точность хода часов, работающих в составе СОЕВ, с автоматической коррекцией (синхронизацией) не хуже </w:t>
            </w:r>
            <w:r w:rsidRPr="007D4C5F">
              <w:rPr>
                <w:rFonts w:ascii="Garamond" w:hAnsi="Garamond"/>
              </w:rPr>
              <w:sym w:font="Symbol" w:char="F0B1"/>
            </w:r>
            <w:r w:rsidRPr="007D4C5F">
              <w:rPr>
                <w:rFonts w:ascii="Garamond" w:hAnsi="Garamond"/>
              </w:rPr>
              <w:t>5,0 с/сут.</w:t>
            </w:r>
          </w:p>
          <w:p w14:paraId="113B8C3E" w14:textId="77777777" w:rsidR="004B3B82" w:rsidRDefault="004B3B82" w:rsidP="004B3B82">
            <w:pPr>
              <w:pStyle w:val="ac"/>
              <w:numPr>
                <w:ilvl w:val="0"/>
                <w:numId w:val="203"/>
              </w:numPr>
              <w:tabs>
                <w:tab w:val="left" w:pos="484"/>
              </w:tabs>
              <w:ind w:left="342" w:hanging="284"/>
              <w:jc w:val="both"/>
              <w:rPr>
                <w:rFonts w:ascii="Garamond" w:hAnsi="Garamond"/>
              </w:rPr>
            </w:pPr>
            <w:r w:rsidRPr="00DD0D8B">
              <w:rPr>
                <w:rFonts w:ascii="Garamond" w:hAnsi="Garamond"/>
              </w:rPr>
              <w:t>Наличие в «журналах событий» фактов коррекции времени не более ±5 с.</w:t>
            </w:r>
          </w:p>
          <w:p w14:paraId="347FDDD2" w14:textId="77777777" w:rsidR="004B3B82" w:rsidRDefault="004B3B82" w:rsidP="004B3B82">
            <w:pPr>
              <w:pStyle w:val="ac"/>
              <w:numPr>
                <w:ilvl w:val="0"/>
                <w:numId w:val="203"/>
              </w:numPr>
              <w:tabs>
                <w:tab w:val="left" w:pos="484"/>
              </w:tabs>
              <w:ind w:left="342" w:hanging="284"/>
              <w:jc w:val="both"/>
              <w:rPr>
                <w:rFonts w:ascii="Garamond" w:hAnsi="Garamond"/>
              </w:rPr>
            </w:pPr>
            <w:r w:rsidRPr="00DD0D8B">
              <w:rPr>
                <w:rFonts w:ascii="Garamond" w:hAnsi="Garamond"/>
              </w:rPr>
              <w:t xml:space="preserve">Разница времени </w:t>
            </w:r>
            <w:r w:rsidRPr="00DD0D8B">
              <w:rPr>
                <w:rFonts w:ascii="Garamond" w:hAnsi="Garamond"/>
                <w:highlight w:val="yellow"/>
              </w:rPr>
              <w:t>приборов учета</w:t>
            </w:r>
            <w:r w:rsidRPr="00DD0D8B">
              <w:rPr>
                <w:rFonts w:ascii="Garamond" w:hAnsi="Garamond"/>
              </w:rPr>
              <w:t>, УСПД и серверов ИВК при сравнении с эталонным временем Российской Федерации с учетом часовых поясов составляет не более ±5 с (в случаях, предусмотренных п. 1.2.1 настоящего Порядка).</w:t>
            </w:r>
          </w:p>
          <w:p w14:paraId="286D9D14" w14:textId="77777777" w:rsidR="004B3B82" w:rsidRDefault="004B3B82" w:rsidP="00E31AE6">
            <w:pPr>
              <w:pStyle w:val="ac"/>
              <w:tabs>
                <w:tab w:val="left" w:pos="484"/>
              </w:tabs>
              <w:ind w:left="342"/>
              <w:jc w:val="both"/>
              <w:rPr>
                <w:rFonts w:ascii="Garamond" w:hAnsi="Garamond"/>
              </w:rPr>
            </w:pPr>
          </w:p>
          <w:p w14:paraId="102FCF4D" w14:textId="77777777" w:rsidR="004B3B82" w:rsidRPr="0088397E" w:rsidRDefault="004B3B82" w:rsidP="004B3B82">
            <w:pPr>
              <w:pStyle w:val="ac"/>
              <w:numPr>
                <w:ilvl w:val="0"/>
                <w:numId w:val="204"/>
              </w:numPr>
              <w:pBdr>
                <w:top w:val="nil"/>
                <w:left w:val="nil"/>
                <w:bottom w:val="nil"/>
                <w:right w:val="nil"/>
                <w:between w:val="nil"/>
                <w:bar w:val="nil"/>
              </w:pBdr>
              <w:tabs>
                <w:tab w:val="left" w:pos="317"/>
              </w:tabs>
              <w:ind w:left="52" w:firstLine="0"/>
              <w:jc w:val="both"/>
              <w:rPr>
                <w:rFonts w:ascii="Garamond" w:hAnsi="Garamond"/>
                <w:highlight w:val="yellow"/>
              </w:rPr>
            </w:pPr>
            <w:r w:rsidRPr="003A1C39">
              <w:rPr>
                <w:rFonts w:ascii="Garamond" w:hAnsi="Garamond"/>
                <w:highlight w:val="yellow"/>
              </w:rPr>
              <w:t xml:space="preserve">При </w:t>
            </w:r>
            <w:r w:rsidRPr="0088397E">
              <w:rPr>
                <w:rFonts w:ascii="Garamond" w:hAnsi="Garamond"/>
                <w:highlight w:val="yellow"/>
              </w:rPr>
              <w:t>проведении процедуры подтверждения соответствия системы учета агрегатора техническим требованиям оптового рынка:</w:t>
            </w:r>
          </w:p>
          <w:p w14:paraId="153077F2" w14:textId="77777777" w:rsidR="004B3B82" w:rsidRPr="0088397E" w:rsidRDefault="004B3B82" w:rsidP="004B3B82">
            <w:pPr>
              <w:pStyle w:val="ac"/>
              <w:numPr>
                <w:ilvl w:val="0"/>
                <w:numId w:val="205"/>
              </w:numPr>
              <w:tabs>
                <w:tab w:val="left" w:pos="484"/>
              </w:tabs>
              <w:ind w:left="342" w:hanging="284"/>
              <w:jc w:val="both"/>
              <w:rPr>
                <w:rFonts w:ascii="Garamond" w:hAnsi="Garamond"/>
                <w:highlight w:val="yellow"/>
              </w:rPr>
            </w:pPr>
            <w:r>
              <w:rPr>
                <w:rFonts w:ascii="Garamond" w:hAnsi="Garamond"/>
                <w:highlight w:val="yellow"/>
              </w:rPr>
              <w:lastRenderedPageBreak/>
              <w:t>С</w:t>
            </w:r>
            <w:r w:rsidRPr="001E18F4">
              <w:rPr>
                <w:rFonts w:ascii="Garamond" w:hAnsi="Garamond"/>
                <w:highlight w:val="yellow"/>
              </w:rPr>
              <w:t>овокупност</w:t>
            </w:r>
            <w:r>
              <w:rPr>
                <w:rFonts w:ascii="Garamond" w:hAnsi="Garamond"/>
                <w:highlight w:val="yellow"/>
              </w:rPr>
              <w:t>ь</w:t>
            </w:r>
            <w:r w:rsidRPr="001E18F4">
              <w:rPr>
                <w:rFonts w:ascii="Garamond" w:hAnsi="Garamond"/>
                <w:highlight w:val="yellow"/>
              </w:rPr>
              <w:t xml:space="preserve"> </w:t>
            </w:r>
            <w:r w:rsidRPr="00EB2E2B">
              <w:rPr>
                <w:rFonts w:ascii="Garamond" w:hAnsi="Garamond"/>
                <w:highlight w:val="yellow"/>
              </w:rPr>
              <w:t xml:space="preserve">СИ и ТУ </w:t>
            </w:r>
            <w:r w:rsidRPr="0088397E">
              <w:rPr>
                <w:rFonts w:ascii="Garamond" w:hAnsi="Garamond"/>
                <w:highlight w:val="yellow"/>
              </w:rPr>
              <w:t>обеспечива</w:t>
            </w:r>
            <w:r>
              <w:rPr>
                <w:rFonts w:ascii="Garamond" w:hAnsi="Garamond"/>
                <w:highlight w:val="yellow"/>
              </w:rPr>
              <w:t>е</w:t>
            </w:r>
            <w:r w:rsidRPr="0088397E">
              <w:rPr>
                <w:rFonts w:ascii="Garamond" w:hAnsi="Garamond"/>
                <w:highlight w:val="yellow"/>
              </w:rPr>
              <w:t xml:space="preserve">т </w:t>
            </w:r>
            <w:r>
              <w:rPr>
                <w:rFonts w:ascii="Garamond" w:hAnsi="Garamond"/>
                <w:highlight w:val="yellow"/>
              </w:rPr>
              <w:t xml:space="preserve">синхронизацию времени от источника точного времени и автоматическую коррекцию на всех уровнях с </w:t>
            </w:r>
            <w:r w:rsidRPr="0088397E">
              <w:rPr>
                <w:rFonts w:ascii="Garamond" w:hAnsi="Garamond"/>
                <w:highlight w:val="yellow"/>
              </w:rPr>
              <w:t>точность</w:t>
            </w:r>
            <w:r>
              <w:rPr>
                <w:rFonts w:ascii="Garamond" w:hAnsi="Garamond"/>
                <w:highlight w:val="yellow"/>
              </w:rPr>
              <w:t>ю</w:t>
            </w:r>
            <w:r w:rsidRPr="0088397E">
              <w:rPr>
                <w:rFonts w:ascii="Garamond" w:hAnsi="Garamond"/>
                <w:highlight w:val="yellow"/>
              </w:rPr>
              <w:t xml:space="preserve"> не хуже </w:t>
            </w:r>
            <w:r w:rsidRPr="0088397E">
              <w:rPr>
                <w:highlight w:val="yellow"/>
              </w:rPr>
              <w:sym w:font="Symbol" w:char="F0B1"/>
            </w:r>
            <w:r>
              <w:rPr>
                <w:highlight w:val="yellow"/>
              </w:rPr>
              <w:t xml:space="preserve"> </w:t>
            </w:r>
            <w:r w:rsidRPr="0088397E">
              <w:rPr>
                <w:rFonts w:ascii="Garamond" w:hAnsi="Garamond"/>
                <w:highlight w:val="yellow"/>
              </w:rPr>
              <w:t>5,0 с/сут.</w:t>
            </w:r>
          </w:p>
          <w:p w14:paraId="7F763083" w14:textId="77777777" w:rsidR="004B3B82" w:rsidRPr="0088397E" w:rsidRDefault="004B3B82" w:rsidP="004B3B82">
            <w:pPr>
              <w:pStyle w:val="ac"/>
              <w:numPr>
                <w:ilvl w:val="0"/>
                <w:numId w:val="205"/>
              </w:numPr>
              <w:tabs>
                <w:tab w:val="left" w:pos="484"/>
              </w:tabs>
              <w:ind w:left="342" w:hanging="284"/>
              <w:jc w:val="both"/>
              <w:rPr>
                <w:rFonts w:ascii="Garamond" w:hAnsi="Garamond"/>
              </w:rPr>
            </w:pPr>
            <w:r w:rsidRPr="0088397E">
              <w:rPr>
                <w:rFonts w:ascii="Garamond" w:hAnsi="Garamond"/>
                <w:highlight w:val="yellow"/>
              </w:rPr>
              <w:t>Наличие в «журналах событий» фактов коррекции времени не более ±5 с.</w:t>
            </w:r>
          </w:p>
        </w:tc>
      </w:tr>
      <w:tr w:rsidR="004B3B82" w:rsidRPr="007D4C5F" w14:paraId="7BFAB302" w14:textId="77777777" w:rsidTr="00CD3B05">
        <w:trPr>
          <w:trHeight w:val="515"/>
          <w:jc w:val="right"/>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4919A32" w14:textId="77777777" w:rsidR="004B3B82" w:rsidRPr="007D4C5F" w:rsidRDefault="004B3B82" w:rsidP="00CD3B05">
            <w:pPr>
              <w:rPr>
                <w:rFonts w:ascii="Garamond" w:hAnsi="Garamond"/>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0D5626F" w14:textId="77777777" w:rsidR="004B3B82" w:rsidRPr="007D4C5F" w:rsidRDefault="004B3B82" w:rsidP="00CD3B05">
            <w:pPr>
              <w:jc w:val="center"/>
              <w:rPr>
                <w:rFonts w:ascii="Garamond" w:hAnsi="Garamond"/>
              </w:rPr>
            </w:pPr>
            <w:r w:rsidRPr="007D4C5F">
              <w:rPr>
                <w:rFonts w:ascii="Garamond" w:hAnsi="Garamond"/>
                <w:b/>
                <w:bCs/>
              </w:rPr>
              <w:t>Испытатели</w:t>
            </w:r>
          </w:p>
        </w:tc>
        <w:tc>
          <w:tcPr>
            <w:tcW w:w="779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2DEFF3" w14:textId="77777777" w:rsidR="004B3B82" w:rsidRPr="007D4C5F" w:rsidRDefault="004B3B82" w:rsidP="004B3B82">
            <w:pPr>
              <w:pStyle w:val="ac"/>
              <w:numPr>
                <w:ilvl w:val="0"/>
                <w:numId w:val="152"/>
              </w:numPr>
              <w:pBdr>
                <w:top w:val="nil"/>
                <w:left w:val="nil"/>
                <w:bottom w:val="nil"/>
                <w:right w:val="nil"/>
                <w:between w:val="nil"/>
                <w:bar w:val="nil"/>
              </w:pBdr>
              <w:tabs>
                <w:tab w:val="left" w:pos="1440"/>
              </w:tabs>
              <w:jc w:val="both"/>
              <w:rPr>
                <w:rFonts w:ascii="Garamond" w:eastAsia="Garamond" w:hAnsi="Garamond" w:cs="Garamond"/>
              </w:rPr>
            </w:pPr>
            <w:r w:rsidRPr="007D4C5F">
              <w:rPr>
                <w:rFonts w:ascii="Garamond" w:hAnsi="Garamond"/>
              </w:rPr>
              <w:t>Представители КО.</w:t>
            </w:r>
          </w:p>
          <w:p w14:paraId="2E5B1CE3" w14:textId="77777777" w:rsidR="004B3B82" w:rsidRPr="007D4C5F" w:rsidRDefault="004B3B82" w:rsidP="004B3B82">
            <w:pPr>
              <w:pStyle w:val="ac"/>
              <w:numPr>
                <w:ilvl w:val="0"/>
                <w:numId w:val="152"/>
              </w:numPr>
              <w:pBdr>
                <w:top w:val="nil"/>
                <w:left w:val="nil"/>
                <w:bottom w:val="nil"/>
                <w:right w:val="nil"/>
                <w:between w:val="nil"/>
                <w:bar w:val="nil"/>
              </w:pBdr>
              <w:tabs>
                <w:tab w:val="left" w:pos="1440"/>
              </w:tabs>
              <w:ind w:left="380" w:hanging="380"/>
              <w:jc w:val="both"/>
              <w:rPr>
                <w:rFonts w:ascii="Garamond" w:eastAsia="Garamond" w:hAnsi="Garamond" w:cs="Garamond"/>
              </w:rPr>
            </w:pPr>
            <w:r w:rsidRPr="007D4C5F">
              <w:rPr>
                <w:rFonts w:ascii="Garamond" w:hAnsi="Garamond"/>
              </w:rPr>
              <w:t>Представители заявителя</w:t>
            </w:r>
            <w:r w:rsidRPr="007D4C5F">
              <w:rPr>
                <w:rFonts w:ascii="Garamond" w:eastAsia="Garamond" w:hAnsi="Garamond" w:cs="Garamond"/>
              </w:rPr>
              <w:t>.</w:t>
            </w:r>
          </w:p>
          <w:p w14:paraId="7870019C" w14:textId="40824BF6" w:rsidR="004B3B82" w:rsidRPr="007D4C5F" w:rsidRDefault="004B3B82" w:rsidP="004B3B82">
            <w:pPr>
              <w:pStyle w:val="ac"/>
              <w:numPr>
                <w:ilvl w:val="0"/>
                <w:numId w:val="152"/>
              </w:numPr>
              <w:pBdr>
                <w:top w:val="nil"/>
                <w:left w:val="nil"/>
                <w:bottom w:val="nil"/>
                <w:right w:val="nil"/>
                <w:between w:val="nil"/>
                <w:bar w:val="nil"/>
              </w:pBdr>
              <w:tabs>
                <w:tab w:val="left" w:pos="1440"/>
              </w:tabs>
              <w:ind w:left="380" w:hanging="380"/>
              <w:jc w:val="both"/>
              <w:rPr>
                <w:rFonts w:ascii="Garamond" w:eastAsia="Garamond" w:hAnsi="Garamond" w:cs="Garamond"/>
              </w:rPr>
            </w:pPr>
            <w:r w:rsidRPr="007D4C5F">
              <w:rPr>
                <w:rFonts w:ascii="Garamond" w:hAnsi="Garamond"/>
              </w:rPr>
              <w:t>Представители смежного субъекта (при участии в испытаниях</w:t>
            </w:r>
            <w:r>
              <w:rPr>
                <w:rFonts w:ascii="Garamond" w:hAnsi="Garamond"/>
              </w:rPr>
              <w:t xml:space="preserve"> </w:t>
            </w:r>
            <w:r w:rsidRPr="00424795">
              <w:rPr>
                <w:rFonts w:ascii="Garamond" w:hAnsi="Garamond"/>
                <w:highlight w:val="yellow"/>
              </w:rPr>
              <w:t>в рамках процедуры установления соответс</w:t>
            </w:r>
            <w:r w:rsidR="00880EA3">
              <w:rPr>
                <w:rFonts w:ascii="Garamond" w:hAnsi="Garamond"/>
                <w:highlight w:val="yellow"/>
              </w:rPr>
              <w:t>т</w:t>
            </w:r>
            <w:r w:rsidRPr="00424795">
              <w:rPr>
                <w:rFonts w:ascii="Garamond" w:hAnsi="Garamond"/>
                <w:highlight w:val="yellow"/>
              </w:rPr>
              <w:t>вия АИИС КУЭ</w:t>
            </w:r>
            <w:r w:rsidRPr="007D4C5F">
              <w:rPr>
                <w:rFonts w:ascii="Garamond" w:hAnsi="Garamond"/>
              </w:rPr>
              <w:t>).</w:t>
            </w:r>
          </w:p>
        </w:tc>
      </w:tr>
      <w:tr w:rsidR="004B3B82" w:rsidRPr="007D4C5F" w14:paraId="44D056E3" w14:textId="77777777" w:rsidTr="00CD3B05">
        <w:tblPrEx>
          <w:shd w:val="clear" w:color="auto" w:fill="auto"/>
        </w:tblPrEx>
        <w:trPr>
          <w:trHeight w:val="250"/>
          <w:jc w:val="right"/>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BB23EF3" w14:textId="77777777" w:rsidR="004B3B82" w:rsidRPr="007D4C5F" w:rsidRDefault="004B3B82" w:rsidP="00CD3B05">
            <w:pPr>
              <w:rPr>
                <w:rFonts w:ascii="Garamond" w:hAnsi="Garamond"/>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025C76B" w14:textId="77777777" w:rsidR="004B3B82" w:rsidRPr="007D4C5F" w:rsidRDefault="004B3B82" w:rsidP="00CD3B05">
            <w:pPr>
              <w:jc w:val="center"/>
              <w:rPr>
                <w:rFonts w:ascii="Garamond" w:hAnsi="Garamond"/>
              </w:rPr>
            </w:pPr>
            <w:r w:rsidRPr="007D4C5F">
              <w:rPr>
                <w:rFonts w:ascii="Garamond" w:hAnsi="Garamond"/>
                <w:b/>
                <w:bCs/>
              </w:rPr>
              <w:t>Документы</w:t>
            </w:r>
          </w:p>
        </w:tc>
        <w:tc>
          <w:tcPr>
            <w:tcW w:w="779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460373A" w14:textId="77777777" w:rsidR="004B3B82" w:rsidRDefault="004B3B82" w:rsidP="004B3B82">
            <w:pPr>
              <w:pStyle w:val="ac"/>
              <w:numPr>
                <w:ilvl w:val="0"/>
                <w:numId w:val="153"/>
              </w:numPr>
              <w:tabs>
                <w:tab w:val="left" w:pos="317"/>
              </w:tabs>
              <w:ind w:left="52" w:firstLine="0"/>
              <w:jc w:val="both"/>
              <w:rPr>
                <w:rFonts w:ascii="Garamond" w:hAnsi="Garamond"/>
                <w:highlight w:val="yellow"/>
              </w:rPr>
            </w:pPr>
            <w:r w:rsidRPr="0081004D">
              <w:rPr>
                <w:rFonts w:ascii="Garamond" w:hAnsi="Garamond"/>
                <w:highlight w:val="yellow"/>
              </w:rPr>
              <w:t xml:space="preserve">При проведении </w:t>
            </w:r>
            <w:r>
              <w:rPr>
                <w:rFonts w:ascii="Garamond" w:hAnsi="Garamond"/>
                <w:highlight w:val="yellow"/>
              </w:rPr>
              <w:t>процедуры</w:t>
            </w:r>
            <w:r w:rsidRPr="0081004D">
              <w:rPr>
                <w:rFonts w:ascii="Garamond" w:hAnsi="Garamond"/>
                <w:highlight w:val="yellow"/>
              </w:rPr>
              <w:t xml:space="preserve"> установления соответствия АИИС КУЭ</w:t>
            </w:r>
            <w:r>
              <w:rPr>
                <w:rFonts w:ascii="Garamond" w:hAnsi="Garamond"/>
                <w:highlight w:val="yellow"/>
              </w:rPr>
              <w:t>:</w:t>
            </w:r>
            <w:r w:rsidRPr="0081004D">
              <w:rPr>
                <w:rFonts w:ascii="Garamond" w:hAnsi="Garamond"/>
                <w:highlight w:val="yellow"/>
              </w:rPr>
              <w:t xml:space="preserve"> </w:t>
            </w:r>
            <w:r w:rsidRPr="00FF63FB">
              <w:rPr>
                <w:rFonts w:ascii="Garamond" w:hAnsi="Garamond"/>
                <w:highlight w:val="yellow"/>
              </w:rPr>
              <w:t>д</w:t>
            </w:r>
            <w:r w:rsidRPr="00424795">
              <w:rPr>
                <w:rFonts w:ascii="Garamond" w:hAnsi="Garamond"/>
              </w:rPr>
              <w:t>окументация в соответствии с таблицей 2 приложения 1 настоящего Порядка, представленная для установления соответствия АИИС КУЭ</w:t>
            </w:r>
            <w:r>
              <w:rPr>
                <w:rFonts w:ascii="Garamond" w:hAnsi="Garamond"/>
                <w:highlight w:val="yellow"/>
              </w:rPr>
              <w:t>.</w:t>
            </w:r>
          </w:p>
          <w:p w14:paraId="1A33805E" w14:textId="77777777" w:rsidR="004B3B82" w:rsidRPr="00424795" w:rsidRDefault="004B3B82" w:rsidP="004B3B82">
            <w:pPr>
              <w:pStyle w:val="ac"/>
              <w:numPr>
                <w:ilvl w:val="0"/>
                <w:numId w:val="153"/>
              </w:numPr>
              <w:tabs>
                <w:tab w:val="left" w:pos="317"/>
              </w:tabs>
              <w:ind w:left="52" w:firstLine="0"/>
              <w:jc w:val="both"/>
              <w:rPr>
                <w:rFonts w:ascii="Garamond" w:hAnsi="Garamond"/>
                <w:highlight w:val="yellow"/>
              </w:rPr>
            </w:pPr>
            <w:r w:rsidRPr="00424795">
              <w:rPr>
                <w:rFonts w:ascii="Garamond" w:hAnsi="Garamond"/>
                <w:highlight w:val="yellow"/>
              </w:rPr>
              <w:t xml:space="preserve">При проведении процедуры подтверждения соответствия системы учета </w:t>
            </w:r>
            <w:r>
              <w:rPr>
                <w:rFonts w:ascii="Garamond" w:hAnsi="Garamond"/>
                <w:highlight w:val="yellow"/>
              </w:rPr>
              <w:t xml:space="preserve">агрегатора </w:t>
            </w:r>
            <w:r w:rsidRPr="00424795">
              <w:rPr>
                <w:rFonts w:ascii="Garamond" w:hAnsi="Garamond"/>
                <w:highlight w:val="yellow"/>
              </w:rPr>
              <w:t>техническим требованиям оптового рынка: ПСИ.</w:t>
            </w:r>
          </w:p>
        </w:tc>
      </w:tr>
      <w:tr w:rsidR="004B3B82" w:rsidRPr="007D4C5F" w14:paraId="41B8C071" w14:textId="77777777" w:rsidTr="00CD3B05">
        <w:tblPrEx>
          <w:shd w:val="clear" w:color="auto" w:fill="auto"/>
        </w:tblPrEx>
        <w:trPr>
          <w:trHeight w:val="250"/>
          <w:jc w:val="right"/>
        </w:trPr>
        <w:tc>
          <w:tcPr>
            <w:tcW w:w="567" w:type="dxa"/>
            <w:tcBorders>
              <w:top w:val="single" w:sz="4" w:space="0" w:color="000000"/>
              <w:left w:val="single" w:sz="4" w:space="0" w:color="000000"/>
              <w:bottom w:val="single" w:sz="4" w:space="0" w:color="000000"/>
              <w:right w:val="single" w:sz="4" w:space="0" w:color="000000"/>
            </w:tcBorders>
            <w:shd w:val="clear" w:color="auto" w:fill="BFBFBF"/>
            <w:tcMar>
              <w:top w:w="80" w:type="dxa"/>
              <w:left w:w="80" w:type="dxa"/>
              <w:bottom w:w="80" w:type="dxa"/>
              <w:right w:w="80" w:type="dxa"/>
            </w:tcMar>
            <w:vAlign w:val="center"/>
          </w:tcPr>
          <w:p w14:paraId="07A219E9" w14:textId="77777777" w:rsidR="004B3B82" w:rsidRPr="007D4C5F" w:rsidRDefault="004B3B82" w:rsidP="00CD3B05">
            <w:pPr>
              <w:jc w:val="center"/>
              <w:rPr>
                <w:rFonts w:ascii="Garamond" w:hAnsi="Garamond"/>
              </w:rPr>
            </w:pPr>
            <w:r w:rsidRPr="007D4C5F">
              <w:rPr>
                <w:rFonts w:ascii="Garamond" w:hAnsi="Garamond"/>
              </w:rPr>
              <w:t>5</w:t>
            </w:r>
          </w:p>
        </w:tc>
        <w:tc>
          <w:tcPr>
            <w:tcW w:w="1560" w:type="dxa"/>
            <w:tcBorders>
              <w:top w:val="single" w:sz="4" w:space="0" w:color="000000"/>
              <w:left w:val="single" w:sz="4" w:space="0" w:color="000000"/>
              <w:bottom w:val="single" w:sz="4" w:space="0" w:color="000000"/>
              <w:right w:val="single" w:sz="4" w:space="0" w:color="000000"/>
            </w:tcBorders>
            <w:shd w:val="clear" w:color="auto" w:fill="BFBFBF"/>
            <w:tcMar>
              <w:top w:w="80" w:type="dxa"/>
              <w:left w:w="80" w:type="dxa"/>
              <w:bottom w:w="80" w:type="dxa"/>
              <w:right w:w="80" w:type="dxa"/>
            </w:tcMar>
            <w:vAlign w:val="center"/>
          </w:tcPr>
          <w:p w14:paraId="70C8B225" w14:textId="77777777" w:rsidR="004B3B82" w:rsidRPr="007D4C5F" w:rsidRDefault="004B3B82" w:rsidP="00CD3B05">
            <w:pPr>
              <w:jc w:val="center"/>
              <w:rPr>
                <w:rFonts w:ascii="Garamond" w:hAnsi="Garamond"/>
                <w:b/>
                <w:bCs/>
                <w:vertAlign w:val="subscript"/>
              </w:rPr>
            </w:pPr>
            <w:r w:rsidRPr="007D4C5F">
              <w:rPr>
                <w:rFonts w:ascii="Garamond" w:hAnsi="Garamond"/>
                <w:b/>
                <w:bCs/>
              </w:rPr>
              <w:t>П</w:t>
            </w:r>
            <w:r w:rsidRPr="007D4C5F">
              <w:rPr>
                <w:rFonts w:ascii="Garamond" w:hAnsi="Garamond"/>
                <w:b/>
                <w:bCs/>
                <w:vertAlign w:val="subscript"/>
              </w:rPr>
              <w:t>Ф11</w:t>
            </w:r>
          </w:p>
          <w:p w14:paraId="5E671F9D" w14:textId="77777777" w:rsidR="004B3B82" w:rsidRPr="007D4C5F" w:rsidRDefault="004B3B82" w:rsidP="00CD3B05">
            <w:pPr>
              <w:jc w:val="center"/>
              <w:rPr>
                <w:rFonts w:ascii="Garamond" w:hAnsi="Garamond"/>
              </w:rPr>
            </w:pPr>
            <w:r w:rsidRPr="007D4C5F">
              <w:rPr>
                <w:rFonts w:ascii="Garamond" w:hAnsi="Garamond"/>
                <w:bCs/>
              </w:rPr>
              <w:t>(п. 5.1.2)</w:t>
            </w:r>
          </w:p>
        </w:tc>
        <w:tc>
          <w:tcPr>
            <w:tcW w:w="7797" w:type="dxa"/>
            <w:tcBorders>
              <w:top w:val="single" w:sz="4" w:space="0" w:color="000000"/>
              <w:left w:val="single" w:sz="4" w:space="0" w:color="000000"/>
              <w:bottom w:val="single" w:sz="4" w:space="0" w:color="000000"/>
              <w:right w:val="single" w:sz="4" w:space="0" w:color="000000"/>
            </w:tcBorders>
            <w:shd w:val="clear" w:color="auto" w:fill="BFBFBF"/>
            <w:tcMar>
              <w:top w:w="80" w:type="dxa"/>
              <w:left w:w="80" w:type="dxa"/>
              <w:bottom w:w="80" w:type="dxa"/>
              <w:right w:w="80" w:type="dxa"/>
            </w:tcMar>
          </w:tcPr>
          <w:p w14:paraId="3534B2B6" w14:textId="77777777" w:rsidR="004B3B82" w:rsidRPr="007D4C5F" w:rsidRDefault="004B3B82" w:rsidP="00CD3B05">
            <w:pPr>
              <w:rPr>
                <w:rFonts w:ascii="Garamond" w:hAnsi="Garamond"/>
              </w:rPr>
            </w:pPr>
            <w:r w:rsidRPr="007D4C5F">
              <w:rPr>
                <w:rFonts w:ascii="Garamond" w:hAnsi="Garamond"/>
                <w:b/>
                <w:bCs/>
              </w:rPr>
              <w:t>Сбор информации о состояниях средств измерений</w:t>
            </w:r>
          </w:p>
        </w:tc>
      </w:tr>
      <w:tr w:rsidR="004B3B82" w:rsidRPr="007D4C5F" w14:paraId="08C7EADC" w14:textId="77777777" w:rsidTr="00CD3B05">
        <w:tblPrEx>
          <w:shd w:val="clear" w:color="auto" w:fill="auto"/>
        </w:tblPrEx>
        <w:trPr>
          <w:trHeight w:val="250"/>
          <w:jc w:val="right"/>
        </w:trPr>
        <w:tc>
          <w:tcPr>
            <w:tcW w:w="567" w:type="dxa"/>
            <w:tcBorders>
              <w:top w:val="single" w:sz="4" w:space="0" w:color="000000"/>
              <w:left w:val="single" w:sz="4" w:space="0" w:color="000000"/>
              <w:bottom w:val="single" w:sz="4" w:space="0" w:color="000000"/>
              <w:right w:val="single" w:sz="4" w:space="0" w:color="000000"/>
            </w:tcBorders>
            <w:shd w:val="clear" w:color="auto" w:fill="92D050"/>
            <w:tcMar>
              <w:top w:w="80" w:type="dxa"/>
              <w:left w:w="80" w:type="dxa"/>
              <w:bottom w:w="80" w:type="dxa"/>
              <w:right w:w="80" w:type="dxa"/>
            </w:tcMar>
            <w:vAlign w:val="center"/>
          </w:tcPr>
          <w:p w14:paraId="67BB7E19" w14:textId="77777777" w:rsidR="004B3B82" w:rsidRPr="007D4C5F" w:rsidRDefault="004B3B82" w:rsidP="00CD3B05">
            <w:pPr>
              <w:rPr>
                <w:rFonts w:ascii="Garamond" w:hAnsi="Garamond"/>
              </w:rPr>
            </w:pPr>
          </w:p>
        </w:tc>
        <w:tc>
          <w:tcPr>
            <w:tcW w:w="1560" w:type="dxa"/>
            <w:tcBorders>
              <w:top w:val="single" w:sz="4" w:space="0" w:color="000000"/>
              <w:left w:val="single" w:sz="4" w:space="0" w:color="000000"/>
              <w:bottom w:val="single" w:sz="4" w:space="0" w:color="000000"/>
              <w:right w:val="single" w:sz="4" w:space="0" w:color="000000"/>
            </w:tcBorders>
            <w:shd w:val="clear" w:color="auto" w:fill="92D050"/>
            <w:tcMar>
              <w:top w:w="80" w:type="dxa"/>
              <w:left w:w="80" w:type="dxa"/>
              <w:bottom w:w="80" w:type="dxa"/>
              <w:right w:w="80" w:type="dxa"/>
            </w:tcMar>
            <w:vAlign w:val="center"/>
          </w:tcPr>
          <w:p w14:paraId="1EE17720" w14:textId="77777777" w:rsidR="004B3B82" w:rsidRPr="007D4C5F" w:rsidRDefault="004B3B82" w:rsidP="00CD3B05">
            <w:pPr>
              <w:jc w:val="center"/>
              <w:rPr>
                <w:rFonts w:ascii="Garamond" w:hAnsi="Garamond"/>
              </w:rPr>
            </w:pPr>
            <w:r w:rsidRPr="007D4C5F">
              <w:rPr>
                <w:rFonts w:ascii="Garamond" w:hAnsi="Garamond"/>
                <w:b/>
                <w:bCs/>
              </w:rPr>
              <w:t>Компоненты</w:t>
            </w:r>
          </w:p>
        </w:tc>
        <w:tc>
          <w:tcPr>
            <w:tcW w:w="7797" w:type="dxa"/>
            <w:tcBorders>
              <w:top w:val="single" w:sz="4" w:space="0" w:color="000000"/>
              <w:left w:val="single" w:sz="4" w:space="0" w:color="000000"/>
              <w:bottom w:val="single" w:sz="4" w:space="0" w:color="000000"/>
              <w:right w:val="single" w:sz="4" w:space="0" w:color="000000"/>
            </w:tcBorders>
            <w:shd w:val="clear" w:color="auto" w:fill="92D050"/>
            <w:tcMar>
              <w:top w:w="80" w:type="dxa"/>
              <w:left w:w="80" w:type="dxa"/>
              <w:bottom w:w="80" w:type="dxa"/>
              <w:right w:w="80" w:type="dxa"/>
            </w:tcMar>
          </w:tcPr>
          <w:p w14:paraId="4AA3CBA2" w14:textId="77777777" w:rsidR="004B3B82" w:rsidRPr="007D4C5F" w:rsidRDefault="004B3B82" w:rsidP="00CD3B05">
            <w:pPr>
              <w:rPr>
                <w:rFonts w:ascii="Garamond" w:hAnsi="Garamond"/>
              </w:rPr>
            </w:pPr>
            <w:r w:rsidRPr="007D4C5F">
              <w:rPr>
                <w:rFonts w:ascii="Garamond" w:hAnsi="Garamond"/>
              </w:rPr>
              <w:t xml:space="preserve">ИВК – сервер </w:t>
            </w:r>
          </w:p>
        </w:tc>
      </w:tr>
      <w:tr w:rsidR="004B3B82" w:rsidRPr="007D4C5F" w14:paraId="75AE0CB6" w14:textId="77777777" w:rsidTr="00CD3B05">
        <w:tblPrEx>
          <w:shd w:val="clear" w:color="auto" w:fill="auto"/>
        </w:tblPrEx>
        <w:trPr>
          <w:trHeight w:val="1085"/>
          <w:jc w:val="right"/>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889A7B3" w14:textId="77777777" w:rsidR="004B3B82" w:rsidRPr="007D4C5F" w:rsidRDefault="004B3B82" w:rsidP="00CD3B05">
            <w:pPr>
              <w:rPr>
                <w:rFonts w:ascii="Garamond" w:hAnsi="Garamond"/>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3F37D8E" w14:textId="77777777" w:rsidR="004B3B82" w:rsidRPr="007D4C5F" w:rsidRDefault="004B3B82" w:rsidP="00CD3B05">
            <w:pPr>
              <w:jc w:val="center"/>
              <w:rPr>
                <w:rFonts w:ascii="Garamond" w:hAnsi="Garamond"/>
              </w:rPr>
            </w:pPr>
            <w:r w:rsidRPr="007D4C5F">
              <w:rPr>
                <w:rFonts w:ascii="Garamond" w:hAnsi="Garamond"/>
                <w:b/>
                <w:bCs/>
              </w:rPr>
              <w:t>Действия</w:t>
            </w:r>
          </w:p>
        </w:tc>
        <w:tc>
          <w:tcPr>
            <w:tcW w:w="779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F24906B" w14:textId="77777777" w:rsidR="004B3B82" w:rsidRPr="003A1C39" w:rsidRDefault="004B3B82" w:rsidP="004B3B82">
            <w:pPr>
              <w:pStyle w:val="ac"/>
              <w:numPr>
                <w:ilvl w:val="0"/>
                <w:numId w:val="207"/>
              </w:numPr>
              <w:pBdr>
                <w:top w:val="nil"/>
                <w:left w:val="nil"/>
                <w:bottom w:val="nil"/>
                <w:right w:val="nil"/>
                <w:between w:val="nil"/>
                <w:bar w:val="nil"/>
              </w:pBdr>
              <w:tabs>
                <w:tab w:val="left" w:pos="317"/>
              </w:tabs>
              <w:ind w:left="52" w:firstLine="0"/>
              <w:jc w:val="both"/>
              <w:rPr>
                <w:rFonts w:ascii="Garamond" w:hAnsi="Garamond"/>
                <w:highlight w:val="yellow"/>
              </w:rPr>
            </w:pPr>
            <w:r w:rsidRPr="00C6668F">
              <w:rPr>
                <w:rFonts w:ascii="Garamond" w:hAnsi="Garamond"/>
                <w:highlight w:val="yellow"/>
              </w:rPr>
              <w:t>При проведении процедуры установления соответствия АИИС КУЭ:</w:t>
            </w:r>
          </w:p>
          <w:p w14:paraId="78C53EEC" w14:textId="77777777" w:rsidR="004B3B82" w:rsidRPr="00EB2E2B" w:rsidRDefault="004B3B82" w:rsidP="004B3B82">
            <w:pPr>
              <w:pStyle w:val="ac"/>
              <w:numPr>
                <w:ilvl w:val="0"/>
                <w:numId w:val="154"/>
              </w:numPr>
              <w:pBdr>
                <w:top w:val="nil"/>
                <w:left w:val="nil"/>
                <w:bottom w:val="nil"/>
                <w:right w:val="nil"/>
                <w:between w:val="nil"/>
                <w:bar w:val="nil"/>
              </w:pBdr>
              <w:tabs>
                <w:tab w:val="left" w:pos="1440"/>
              </w:tabs>
              <w:ind w:hanging="259"/>
              <w:jc w:val="both"/>
              <w:rPr>
                <w:rFonts w:ascii="Garamond" w:eastAsia="Garamond" w:hAnsi="Garamond" w:cs="Garamond"/>
              </w:rPr>
            </w:pPr>
            <w:r w:rsidRPr="007D4C5F">
              <w:rPr>
                <w:rFonts w:ascii="Garamond" w:hAnsi="Garamond"/>
              </w:rPr>
              <w:t>С помощью стандартных средств операционной системы или специализированного ПО удаленного доступа и администрирования устанавливается интернет-соединение с удаленным рабочим столом сервера ИВК АИИС КУЭ.</w:t>
            </w:r>
          </w:p>
          <w:p w14:paraId="420BCCB6" w14:textId="77777777" w:rsidR="004B3B82" w:rsidRPr="00613970" w:rsidRDefault="004B3B82" w:rsidP="004B3B82">
            <w:pPr>
              <w:pStyle w:val="ac"/>
              <w:numPr>
                <w:ilvl w:val="0"/>
                <w:numId w:val="154"/>
              </w:numPr>
              <w:pBdr>
                <w:top w:val="nil"/>
                <w:left w:val="nil"/>
                <w:bottom w:val="nil"/>
                <w:right w:val="nil"/>
                <w:between w:val="nil"/>
                <w:bar w:val="nil"/>
              </w:pBdr>
              <w:tabs>
                <w:tab w:val="left" w:pos="1440"/>
              </w:tabs>
              <w:ind w:hanging="259"/>
              <w:jc w:val="both"/>
              <w:rPr>
                <w:rFonts w:ascii="Garamond" w:eastAsia="Garamond" w:hAnsi="Garamond" w:cs="Garamond"/>
              </w:rPr>
            </w:pPr>
            <w:r w:rsidRPr="00EB2E2B">
              <w:rPr>
                <w:rFonts w:ascii="Garamond" w:hAnsi="Garamond"/>
              </w:rPr>
              <w:t xml:space="preserve">С помощью специализированного ПО ИВК производится контроль наличия в БД АИИС КУЭ состояний средств измерений («журналов событий» </w:t>
            </w:r>
            <w:r w:rsidRPr="00EB2E2B">
              <w:rPr>
                <w:rFonts w:ascii="Garamond" w:hAnsi="Garamond"/>
                <w:highlight w:val="yellow"/>
              </w:rPr>
              <w:t>приборов учета</w:t>
            </w:r>
            <w:r w:rsidRPr="00EB2E2B">
              <w:rPr>
                <w:rFonts w:ascii="Garamond" w:hAnsi="Garamond"/>
              </w:rPr>
              <w:t xml:space="preserve"> по всем измерительным каналам, включенным в АИИС КУЭ, «журналов событий» УСПД и сервера ИВКЭ и ИВК АИИС КУЭ).</w:t>
            </w:r>
          </w:p>
          <w:p w14:paraId="59B92806" w14:textId="77777777" w:rsidR="004B3B82" w:rsidRDefault="004B3B82" w:rsidP="00E31AE6">
            <w:pPr>
              <w:pStyle w:val="ac"/>
              <w:pBdr>
                <w:top w:val="nil"/>
                <w:left w:val="nil"/>
                <w:bottom w:val="nil"/>
                <w:right w:val="nil"/>
                <w:between w:val="nil"/>
                <w:bar w:val="nil"/>
              </w:pBdr>
              <w:tabs>
                <w:tab w:val="left" w:pos="1440"/>
              </w:tabs>
              <w:ind w:left="317"/>
              <w:jc w:val="both"/>
              <w:rPr>
                <w:rFonts w:ascii="Garamond" w:eastAsia="Garamond" w:hAnsi="Garamond" w:cs="Garamond"/>
              </w:rPr>
            </w:pPr>
          </w:p>
          <w:p w14:paraId="2F415A14" w14:textId="77777777" w:rsidR="004B3B82" w:rsidRPr="00613970" w:rsidRDefault="004B3B82" w:rsidP="004B3B82">
            <w:pPr>
              <w:pStyle w:val="ac"/>
              <w:numPr>
                <w:ilvl w:val="0"/>
                <w:numId w:val="207"/>
              </w:numPr>
              <w:pBdr>
                <w:top w:val="nil"/>
                <w:left w:val="nil"/>
                <w:bottom w:val="nil"/>
                <w:right w:val="nil"/>
                <w:between w:val="nil"/>
                <w:bar w:val="nil"/>
              </w:pBdr>
              <w:tabs>
                <w:tab w:val="left" w:pos="317"/>
              </w:tabs>
              <w:ind w:left="52" w:firstLine="0"/>
              <w:jc w:val="both"/>
              <w:rPr>
                <w:rFonts w:ascii="Garamond" w:hAnsi="Garamond"/>
                <w:highlight w:val="yellow"/>
              </w:rPr>
            </w:pPr>
            <w:r w:rsidRPr="00613970">
              <w:rPr>
                <w:rFonts w:ascii="Garamond" w:hAnsi="Garamond"/>
                <w:highlight w:val="yellow"/>
              </w:rPr>
              <w:t>При проведении процедуры подтверждения соответствия системы учета агрегатора техническим требованиям оптового рынка:</w:t>
            </w:r>
          </w:p>
          <w:p w14:paraId="79297A51" w14:textId="77777777" w:rsidR="004B3B82" w:rsidRPr="00613970" w:rsidRDefault="004B3B82" w:rsidP="004B3B82">
            <w:pPr>
              <w:pStyle w:val="ac"/>
              <w:numPr>
                <w:ilvl w:val="0"/>
                <w:numId w:val="208"/>
              </w:numPr>
              <w:pBdr>
                <w:top w:val="nil"/>
                <w:left w:val="nil"/>
                <w:bottom w:val="nil"/>
                <w:right w:val="nil"/>
                <w:between w:val="nil"/>
                <w:bar w:val="nil"/>
              </w:pBdr>
              <w:tabs>
                <w:tab w:val="left" w:pos="1440"/>
              </w:tabs>
              <w:ind w:left="342" w:hanging="284"/>
              <w:jc w:val="both"/>
              <w:rPr>
                <w:rFonts w:ascii="Garamond" w:eastAsia="Garamond" w:hAnsi="Garamond" w:cs="Garamond"/>
                <w:highlight w:val="yellow"/>
              </w:rPr>
            </w:pPr>
            <w:r w:rsidRPr="00613970">
              <w:rPr>
                <w:rFonts w:ascii="Garamond" w:hAnsi="Garamond"/>
                <w:highlight w:val="yellow"/>
              </w:rPr>
              <w:t xml:space="preserve">С помощью стандартных средств операционной системы или специализированного ПО удаленного доступа и администрирования устанавливается интернет-соединение с удаленным рабочим столом сервера ИВК </w:t>
            </w:r>
            <w:r>
              <w:rPr>
                <w:rFonts w:ascii="Garamond" w:hAnsi="Garamond"/>
                <w:highlight w:val="yellow"/>
              </w:rPr>
              <w:t>совокупности СИ и ТУ</w:t>
            </w:r>
            <w:r w:rsidRPr="00613970">
              <w:rPr>
                <w:rFonts w:ascii="Garamond" w:hAnsi="Garamond"/>
                <w:highlight w:val="yellow"/>
              </w:rPr>
              <w:t>.</w:t>
            </w:r>
          </w:p>
          <w:p w14:paraId="47467973" w14:textId="77777777" w:rsidR="004B3B82" w:rsidRPr="00613970" w:rsidRDefault="004B3B82" w:rsidP="004B3B82">
            <w:pPr>
              <w:pStyle w:val="ac"/>
              <w:numPr>
                <w:ilvl w:val="0"/>
                <w:numId w:val="208"/>
              </w:numPr>
              <w:pBdr>
                <w:top w:val="nil"/>
                <w:left w:val="nil"/>
                <w:bottom w:val="nil"/>
                <w:right w:val="nil"/>
                <w:between w:val="nil"/>
                <w:bar w:val="nil"/>
              </w:pBdr>
              <w:tabs>
                <w:tab w:val="left" w:pos="1440"/>
              </w:tabs>
              <w:ind w:left="342" w:hanging="284"/>
              <w:jc w:val="both"/>
              <w:rPr>
                <w:rFonts w:ascii="Garamond" w:eastAsia="Garamond" w:hAnsi="Garamond" w:cs="Garamond"/>
                <w:highlight w:val="yellow"/>
              </w:rPr>
            </w:pPr>
            <w:r w:rsidRPr="00613970">
              <w:rPr>
                <w:rFonts w:ascii="Garamond" w:hAnsi="Garamond"/>
                <w:highlight w:val="yellow"/>
              </w:rPr>
              <w:t>С помощью специализированного ПО ИВК производится контроль наличия в БД</w:t>
            </w:r>
            <w:r>
              <w:rPr>
                <w:rFonts w:ascii="Garamond" w:hAnsi="Garamond"/>
                <w:highlight w:val="yellow"/>
              </w:rPr>
              <w:t xml:space="preserve"> ИВК</w:t>
            </w:r>
            <w:r w:rsidRPr="00613970">
              <w:rPr>
                <w:rFonts w:ascii="Garamond" w:hAnsi="Garamond"/>
                <w:highlight w:val="yellow"/>
              </w:rPr>
              <w:t xml:space="preserve"> состояний средств измерений («журналов событий» приборов учета по всем </w:t>
            </w:r>
            <w:r>
              <w:rPr>
                <w:rFonts w:ascii="Garamond" w:hAnsi="Garamond"/>
                <w:highlight w:val="yellow"/>
              </w:rPr>
              <w:t>точкам измерений в составе объекта регулирования</w:t>
            </w:r>
            <w:r w:rsidRPr="00613970">
              <w:rPr>
                <w:rFonts w:ascii="Garamond" w:hAnsi="Garamond"/>
                <w:highlight w:val="yellow"/>
              </w:rPr>
              <w:t xml:space="preserve">, «журналов событий» УСПД </w:t>
            </w:r>
            <w:r w:rsidRPr="00C6668F">
              <w:rPr>
                <w:rFonts w:ascii="Garamond" w:hAnsi="Garamond"/>
                <w:highlight w:val="yellow"/>
              </w:rPr>
              <w:t>(</w:t>
            </w:r>
            <w:r>
              <w:rPr>
                <w:rFonts w:ascii="Garamond" w:hAnsi="Garamond"/>
                <w:highlight w:val="yellow"/>
              </w:rPr>
              <w:t xml:space="preserve">в случае если уровень ИВКЭ выполняет </w:t>
            </w:r>
            <w:r w:rsidRPr="00C6668F">
              <w:rPr>
                <w:rFonts w:ascii="Garamond" w:hAnsi="Garamond"/>
                <w:highlight w:val="yellow"/>
              </w:rPr>
              <w:t>функции преобразования результатов измерений с учетом коэффициентов трансформации измерительных трансформаторов)</w:t>
            </w:r>
            <w:r>
              <w:rPr>
                <w:rFonts w:ascii="Garamond" w:hAnsi="Garamond"/>
                <w:highlight w:val="yellow"/>
              </w:rPr>
              <w:t xml:space="preserve"> </w:t>
            </w:r>
            <w:r w:rsidRPr="00613970">
              <w:rPr>
                <w:rFonts w:ascii="Garamond" w:hAnsi="Garamond"/>
                <w:highlight w:val="yellow"/>
              </w:rPr>
              <w:t>и сервера ИВК).</w:t>
            </w:r>
          </w:p>
        </w:tc>
      </w:tr>
      <w:tr w:rsidR="004B3B82" w:rsidRPr="007D4C5F" w14:paraId="12B39FB5" w14:textId="77777777" w:rsidTr="00CD3B05">
        <w:tblPrEx>
          <w:shd w:val="clear" w:color="auto" w:fill="auto"/>
        </w:tblPrEx>
        <w:trPr>
          <w:trHeight w:val="238"/>
          <w:jc w:val="right"/>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12A9D73" w14:textId="77777777" w:rsidR="004B3B82" w:rsidRPr="007D4C5F" w:rsidRDefault="004B3B82" w:rsidP="00CD3B05">
            <w:pPr>
              <w:rPr>
                <w:rFonts w:ascii="Garamond" w:hAnsi="Garamond"/>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AE71E04" w14:textId="77777777" w:rsidR="004B3B82" w:rsidRPr="007D4C5F" w:rsidRDefault="004B3B82" w:rsidP="00CD3B05">
            <w:pPr>
              <w:jc w:val="center"/>
              <w:rPr>
                <w:rFonts w:ascii="Garamond" w:hAnsi="Garamond"/>
              </w:rPr>
            </w:pPr>
            <w:r w:rsidRPr="007D4C5F">
              <w:rPr>
                <w:rFonts w:ascii="Garamond" w:hAnsi="Garamond"/>
                <w:b/>
                <w:bCs/>
              </w:rPr>
              <w:t>Критерии</w:t>
            </w:r>
          </w:p>
        </w:tc>
        <w:tc>
          <w:tcPr>
            <w:tcW w:w="779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F77661B" w14:textId="77777777" w:rsidR="004B3B82" w:rsidRPr="003A1C39" w:rsidRDefault="004B3B82" w:rsidP="004B3B82">
            <w:pPr>
              <w:pStyle w:val="ac"/>
              <w:numPr>
                <w:ilvl w:val="0"/>
                <w:numId w:val="209"/>
              </w:numPr>
              <w:pBdr>
                <w:top w:val="nil"/>
                <w:left w:val="nil"/>
                <w:bottom w:val="nil"/>
                <w:right w:val="nil"/>
                <w:between w:val="nil"/>
                <w:bar w:val="nil"/>
              </w:pBdr>
              <w:tabs>
                <w:tab w:val="left" w:pos="317"/>
              </w:tabs>
              <w:ind w:left="52" w:firstLine="0"/>
              <w:jc w:val="both"/>
              <w:rPr>
                <w:rFonts w:ascii="Garamond" w:hAnsi="Garamond"/>
                <w:highlight w:val="yellow"/>
              </w:rPr>
            </w:pPr>
            <w:r w:rsidRPr="00C6668F">
              <w:rPr>
                <w:rFonts w:ascii="Garamond" w:hAnsi="Garamond"/>
                <w:highlight w:val="yellow"/>
              </w:rPr>
              <w:t>При проведении процедуры установления соответствия АИИС КУЭ:</w:t>
            </w:r>
          </w:p>
          <w:p w14:paraId="4294EDCE" w14:textId="77777777" w:rsidR="004B3B82" w:rsidRPr="002B490C" w:rsidRDefault="004B3B82" w:rsidP="00E31AE6">
            <w:pPr>
              <w:ind w:left="58"/>
              <w:rPr>
                <w:rFonts w:ascii="Garamond" w:hAnsi="Garamond"/>
              </w:rPr>
            </w:pPr>
            <w:r w:rsidRPr="002B490C">
              <w:rPr>
                <w:rFonts w:ascii="Garamond" w:hAnsi="Garamond"/>
              </w:rPr>
              <w:t xml:space="preserve">Фактическое соответствие «журналов событий» </w:t>
            </w:r>
            <w:r>
              <w:rPr>
                <w:rFonts w:ascii="Garamond" w:hAnsi="Garamond"/>
                <w:highlight w:val="yellow"/>
              </w:rPr>
              <w:t>приборов учета</w:t>
            </w:r>
            <w:r w:rsidRPr="002B490C">
              <w:rPr>
                <w:rFonts w:ascii="Garamond" w:hAnsi="Garamond"/>
              </w:rPr>
              <w:t>, УСПД, сервера АИИС КУЭ.</w:t>
            </w:r>
          </w:p>
          <w:p w14:paraId="6673C310" w14:textId="77777777" w:rsidR="004B3B82" w:rsidRDefault="004B3B82" w:rsidP="00E31AE6">
            <w:pPr>
              <w:ind w:left="58"/>
              <w:jc w:val="both"/>
              <w:rPr>
                <w:rFonts w:ascii="Garamond" w:hAnsi="Garamond"/>
              </w:rPr>
            </w:pPr>
            <w:r w:rsidRPr="002B490C">
              <w:rPr>
                <w:rFonts w:ascii="Garamond" w:hAnsi="Garamond"/>
              </w:rPr>
              <w:t xml:space="preserve">В случае если «журнал событий» хотя бы одного </w:t>
            </w:r>
            <w:r>
              <w:rPr>
                <w:rFonts w:ascii="Garamond" w:hAnsi="Garamond"/>
                <w:highlight w:val="yellow"/>
              </w:rPr>
              <w:t>прибора учета</w:t>
            </w:r>
            <w:r w:rsidRPr="002B490C">
              <w:rPr>
                <w:rFonts w:ascii="Garamond" w:hAnsi="Garamond"/>
              </w:rPr>
              <w:t>, включенного в АИИС КУЭ, не фиксирует время и дату пропадания и восстановления напряжения по каждой фазе, при оформлении в отношении данной АИИС КУЭ Акта о соответствии АИИС КУЭ применяются требования абзаца 3 п. 2.7.1 настоящего Порядка.</w:t>
            </w:r>
          </w:p>
          <w:p w14:paraId="020F24BE" w14:textId="77777777" w:rsidR="004B3B82" w:rsidRDefault="004B3B82" w:rsidP="00CD3B05">
            <w:pPr>
              <w:jc w:val="both"/>
              <w:rPr>
                <w:rFonts w:ascii="Garamond" w:hAnsi="Garamond"/>
              </w:rPr>
            </w:pPr>
          </w:p>
          <w:p w14:paraId="1A013E07" w14:textId="77777777" w:rsidR="004B3B82" w:rsidRPr="00BA693C" w:rsidRDefault="004B3B82" w:rsidP="004B3B82">
            <w:pPr>
              <w:pStyle w:val="ac"/>
              <w:numPr>
                <w:ilvl w:val="0"/>
                <w:numId w:val="209"/>
              </w:numPr>
              <w:pBdr>
                <w:top w:val="nil"/>
                <w:left w:val="nil"/>
                <w:bottom w:val="nil"/>
                <w:right w:val="nil"/>
                <w:between w:val="nil"/>
                <w:bar w:val="nil"/>
              </w:pBdr>
              <w:tabs>
                <w:tab w:val="left" w:pos="317"/>
              </w:tabs>
              <w:ind w:left="52" w:firstLine="0"/>
              <w:jc w:val="both"/>
              <w:rPr>
                <w:rFonts w:ascii="Garamond" w:hAnsi="Garamond"/>
                <w:highlight w:val="yellow"/>
              </w:rPr>
            </w:pPr>
            <w:r w:rsidRPr="00BA693C">
              <w:rPr>
                <w:rFonts w:ascii="Garamond" w:hAnsi="Garamond"/>
                <w:highlight w:val="yellow"/>
              </w:rPr>
              <w:t>При проведении процедуры подтверждения соответствия системы учета агрегатора техническим требованиям оптового рынка:</w:t>
            </w:r>
          </w:p>
          <w:p w14:paraId="3CB56471" w14:textId="77777777" w:rsidR="004B3B82" w:rsidRPr="00BA693C" w:rsidRDefault="004B3B82" w:rsidP="00E31AE6">
            <w:pPr>
              <w:ind w:left="58"/>
              <w:jc w:val="both"/>
              <w:rPr>
                <w:rFonts w:ascii="Garamond" w:hAnsi="Garamond"/>
                <w:highlight w:val="yellow"/>
              </w:rPr>
            </w:pPr>
            <w:r w:rsidRPr="00BA693C">
              <w:rPr>
                <w:rFonts w:ascii="Garamond" w:hAnsi="Garamond"/>
                <w:highlight w:val="yellow"/>
              </w:rPr>
              <w:t xml:space="preserve">Фактическое соответствие «журналов событий» приборов учета, УСПД, </w:t>
            </w:r>
            <w:r>
              <w:rPr>
                <w:rFonts w:ascii="Garamond" w:hAnsi="Garamond"/>
                <w:highlight w:val="yellow"/>
              </w:rPr>
              <w:t>сервера ИВК</w:t>
            </w:r>
            <w:r w:rsidRPr="00BA693C">
              <w:rPr>
                <w:rFonts w:ascii="Garamond" w:hAnsi="Garamond"/>
                <w:highlight w:val="yellow"/>
              </w:rPr>
              <w:t>.</w:t>
            </w:r>
          </w:p>
          <w:p w14:paraId="15DB21FD" w14:textId="77777777" w:rsidR="004B3B82" w:rsidRPr="007D4C5F" w:rsidRDefault="004B3B82" w:rsidP="009E2C12">
            <w:pPr>
              <w:ind w:left="58"/>
              <w:jc w:val="both"/>
              <w:rPr>
                <w:rFonts w:ascii="Garamond" w:hAnsi="Garamond"/>
              </w:rPr>
            </w:pPr>
            <w:r w:rsidRPr="00BA693C">
              <w:rPr>
                <w:rFonts w:ascii="Garamond" w:hAnsi="Garamond"/>
                <w:highlight w:val="yellow"/>
              </w:rPr>
              <w:t xml:space="preserve">В случае если «журнал событий» хотя бы одного прибора учета не фиксирует время и дату пропадания и восстановления напряжения по каждой фазе, </w:t>
            </w:r>
            <w:r w:rsidRPr="00702018">
              <w:rPr>
                <w:rFonts w:ascii="Garamond" w:hAnsi="Garamond"/>
                <w:highlight w:val="yellow"/>
              </w:rPr>
              <w:t xml:space="preserve">при расчете срока </w:t>
            </w:r>
            <w:r w:rsidRPr="0076491C">
              <w:rPr>
                <w:rFonts w:ascii="Garamond" w:hAnsi="Garamond" w:cs="Times New Roman"/>
                <w:highlight w:val="yellow"/>
              </w:rPr>
              <w:t>подтверждения соответствия системы учета электроэнергии техническим требованиям оптового рынка</w:t>
            </w:r>
            <w:r w:rsidRPr="00702018">
              <w:rPr>
                <w:rFonts w:ascii="Garamond" w:hAnsi="Garamond"/>
                <w:highlight w:val="yellow"/>
              </w:rPr>
              <w:t xml:space="preserve"> применяются требования </w:t>
            </w:r>
            <w:r w:rsidRPr="00B906A7">
              <w:rPr>
                <w:rFonts w:ascii="Garamond" w:hAnsi="Garamond"/>
                <w:highlight w:val="yellow"/>
              </w:rPr>
              <w:t xml:space="preserve">п. </w:t>
            </w:r>
            <w:r w:rsidR="009E2C12">
              <w:rPr>
                <w:rFonts w:ascii="Garamond" w:hAnsi="Garamond"/>
                <w:highlight w:val="yellow"/>
              </w:rPr>
              <w:t>3</w:t>
            </w:r>
            <w:r w:rsidRPr="00B906A7">
              <w:rPr>
                <w:rFonts w:ascii="Garamond" w:hAnsi="Garamond"/>
                <w:highlight w:val="yellow"/>
              </w:rPr>
              <w:t xml:space="preserve">.8.5 приложения 9 </w:t>
            </w:r>
            <w:r>
              <w:rPr>
                <w:rFonts w:ascii="Garamond" w:hAnsi="Garamond"/>
                <w:highlight w:val="yellow"/>
              </w:rPr>
              <w:t xml:space="preserve">к </w:t>
            </w:r>
            <w:r w:rsidRPr="00702018">
              <w:rPr>
                <w:rFonts w:ascii="Garamond" w:hAnsi="Garamond"/>
                <w:highlight w:val="yellow"/>
              </w:rPr>
              <w:t>Положени</w:t>
            </w:r>
            <w:r>
              <w:rPr>
                <w:rFonts w:ascii="Garamond" w:hAnsi="Garamond"/>
                <w:highlight w:val="yellow"/>
              </w:rPr>
              <w:t>ю</w:t>
            </w:r>
            <w:r w:rsidRPr="00702018">
              <w:rPr>
                <w:rFonts w:ascii="Garamond" w:hAnsi="Garamond"/>
                <w:highlight w:val="yellow"/>
              </w:rPr>
              <w:t xml:space="preserve"> о реестре</w:t>
            </w:r>
            <w:r w:rsidRPr="00BA693C">
              <w:rPr>
                <w:rFonts w:ascii="Garamond" w:hAnsi="Garamond"/>
                <w:highlight w:val="yellow"/>
              </w:rPr>
              <w:t>.</w:t>
            </w:r>
          </w:p>
        </w:tc>
      </w:tr>
      <w:tr w:rsidR="004B3B82" w:rsidRPr="007D4C5F" w14:paraId="28FDD6E2" w14:textId="77777777" w:rsidTr="00E31AE6">
        <w:tblPrEx>
          <w:shd w:val="clear" w:color="auto" w:fill="auto"/>
        </w:tblPrEx>
        <w:trPr>
          <w:trHeight w:val="250"/>
          <w:jc w:val="right"/>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002B075" w14:textId="77777777" w:rsidR="004B3B82" w:rsidRPr="007D4C5F" w:rsidRDefault="004B3B82" w:rsidP="00E31AE6">
            <w:pPr>
              <w:rPr>
                <w:rFonts w:ascii="Garamond" w:hAnsi="Garamond"/>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23839D7" w14:textId="77777777" w:rsidR="004B3B82" w:rsidRPr="007D4C5F" w:rsidRDefault="004B3B82" w:rsidP="00E31AE6">
            <w:pPr>
              <w:jc w:val="center"/>
              <w:rPr>
                <w:rFonts w:ascii="Garamond" w:hAnsi="Garamond"/>
              </w:rPr>
            </w:pPr>
            <w:r w:rsidRPr="007D4C5F">
              <w:rPr>
                <w:rFonts w:ascii="Garamond" w:hAnsi="Garamond"/>
                <w:b/>
                <w:bCs/>
              </w:rPr>
              <w:t>Испытатели</w:t>
            </w:r>
          </w:p>
        </w:tc>
        <w:tc>
          <w:tcPr>
            <w:tcW w:w="779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20FD5EE" w14:textId="77777777" w:rsidR="004B3B82" w:rsidRPr="007D4C5F" w:rsidRDefault="004B3B82" w:rsidP="004B3B82">
            <w:pPr>
              <w:pStyle w:val="ac"/>
              <w:numPr>
                <w:ilvl w:val="0"/>
                <w:numId w:val="206"/>
              </w:numPr>
              <w:pBdr>
                <w:top w:val="nil"/>
                <w:left w:val="nil"/>
                <w:bottom w:val="nil"/>
                <w:right w:val="nil"/>
                <w:between w:val="nil"/>
                <w:bar w:val="nil"/>
              </w:pBdr>
              <w:tabs>
                <w:tab w:val="left" w:pos="1440"/>
              </w:tabs>
              <w:jc w:val="both"/>
              <w:rPr>
                <w:rFonts w:ascii="Garamond" w:eastAsia="Garamond" w:hAnsi="Garamond" w:cs="Garamond"/>
              </w:rPr>
            </w:pPr>
            <w:r w:rsidRPr="007D4C5F">
              <w:rPr>
                <w:rFonts w:ascii="Garamond" w:hAnsi="Garamond"/>
              </w:rPr>
              <w:t>Представители КО.</w:t>
            </w:r>
          </w:p>
          <w:p w14:paraId="448EE9B9" w14:textId="77777777" w:rsidR="004B3B82" w:rsidRDefault="004B3B82" w:rsidP="004B3B82">
            <w:pPr>
              <w:pStyle w:val="ac"/>
              <w:numPr>
                <w:ilvl w:val="0"/>
                <w:numId w:val="206"/>
              </w:numPr>
              <w:pBdr>
                <w:top w:val="nil"/>
                <w:left w:val="nil"/>
                <w:bottom w:val="nil"/>
                <w:right w:val="nil"/>
                <w:between w:val="nil"/>
                <w:bar w:val="nil"/>
              </w:pBdr>
              <w:tabs>
                <w:tab w:val="left" w:pos="1440"/>
              </w:tabs>
              <w:ind w:left="380" w:hanging="380"/>
              <w:jc w:val="both"/>
              <w:rPr>
                <w:rFonts w:ascii="Garamond" w:eastAsia="Garamond" w:hAnsi="Garamond" w:cs="Garamond"/>
              </w:rPr>
            </w:pPr>
            <w:r w:rsidRPr="007D4C5F">
              <w:rPr>
                <w:rFonts w:ascii="Garamond" w:hAnsi="Garamond"/>
              </w:rPr>
              <w:t>Представители заявителя</w:t>
            </w:r>
            <w:r w:rsidRPr="007D4C5F">
              <w:rPr>
                <w:rFonts w:ascii="Garamond" w:eastAsia="Garamond" w:hAnsi="Garamond" w:cs="Garamond"/>
              </w:rPr>
              <w:t>.</w:t>
            </w:r>
          </w:p>
          <w:p w14:paraId="39A92504" w14:textId="4380250D" w:rsidR="004B3B82" w:rsidRPr="0088397E" w:rsidRDefault="004B3B82" w:rsidP="004B3B82">
            <w:pPr>
              <w:pStyle w:val="ac"/>
              <w:numPr>
                <w:ilvl w:val="0"/>
                <w:numId w:val="206"/>
              </w:numPr>
              <w:pBdr>
                <w:top w:val="nil"/>
                <w:left w:val="nil"/>
                <w:bottom w:val="nil"/>
                <w:right w:val="nil"/>
                <w:between w:val="nil"/>
                <w:bar w:val="nil"/>
              </w:pBdr>
              <w:tabs>
                <w:tab w:val="left" w:pos="1440"/>
              </w:tabs>
              <w:ind w:left="380" w:hanging="380"/>
              <w:jc w:val="both"/>
              <w:rPr>
                <w:rFonts w:ascii="Garamond" w:eastAsia="Garamond" w:hAnsi="Garamond" w:cs="Garamond"/>
              </w:rPr>
            </w:pPr>
            <w:r w:rsidRPr="0088397E">
              <w:rPr>
                <w:rFonts w:ascii="Garamond" w:hAnsi="Garamond"/>
              </w:rPr>
              <w:lastRenderedPageBreak/>
              <w:t>Представители смежного субъекта (при участии в испытаниях</w:t>
            </w:r>
            <w:r>
              <w:rPr>
                <w:rFonts w:ascii="Garamond" w:hAnsi="Garamond"/>
              </w:rPr>
              <w:t xml:space="preserve"> </w:t>
            </w:r>
            <w:r w:rsidRPr="00424795">
              <w:rPr>
                <w:rFonts w:ascii="Garamond" w:hAnsi="Garamond"/>
                <w:highlight w:val="yellow"/>
              </w:rPr>
              <w:t>в рамках процедуры установления соответс</w:t>
            </w:r>
            <w:r w:rsidR="00CA5034">
              <w:rPr>
                <w:rFonts w:ascii="Garamond" w:hAnsi="Garamond"/>
                <w:highlight w:val="yellow"/>
              </w:rPr>
              <w:t>т</w:t>
            </w:r>
            <w:r w:rsidRPr="00424795">
              <w:rPr>
                <w:rFonts w:ascii="Garamond" w:hAnsi="Garamond"/>
                <w:highlight w:val="yellow"/>
              </w:rPr>
              <w:t>вия АИИС КУЭ</w:t>
            </w:r>
            <w:r w:rsidRPr="0088397E">
              <w:rPr>
                <w:rFonts w:ascii="Garamond" w:hAnsi="Garamond"/>
              </w:rPr>
              <w:t>).</w:t>
            </w:r>
          </w:p>
        </w:tc>
      </w:tr>
      <w:tr w:rsidR="004B3B82" w:rsidRPr="007D4C5F" w14:paraId="5A889A2F" w14:textId="77777777" w:rsidTr="00E31AE6">
        <w:tblPrEx>
          <w:shd w:val="clear" w:color="auto" w:fill="auto"/>
        </w:tblPrEx>
        <w:trPr>
          <w:trHeight w:val="250"/>
          <w:jc w:val="right"/>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D295A12" w14:textId="77777777" w:rsidR="004B3B82" w:rsidRPr="007D4C5F" w:rsidRDefault="004B3B82" w:rsidP="00E31AE6">
            <w:pPr>
              <w:rPr>
                <w:rFonts w:ascii="Garamond" w:hAnsi="Garamond"/>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6712055" w14:textId="77777777" w:rsidR="004B3B82" w:rsidRPr="007D4C5F" w:rsidRDefault="004B3B82" w:rsidP="00E31AE6">
            <w:pPr>
              <w:jc w:val="center"/>
              <w:rPr>
                <w:rFonts w:ascii="Garamond" w:hAnsi="Garamond"/>
              </w:rPr>
            </w:pPr>
            <w:r w:rsidRPr="007D4C5F">
              <w:rPr>
                <w:rFonts w:ascii="Garamond" w:hAnsi="Garamond"/>
                <w:b/>
                <w:bCs/>
              </w:rPr>
              <w:t>Документация</w:t>
            </w:r>
          </w:p>
        </w:tc>
        <w:tc>
          <w:tcPr>
            <w:tcW w:w="779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CF234C5" w14:textId="77777777" w:rsidR="004B3B82" w:rsidRPr="00C2444B" w:rsidRDefault="004B3B82" w:rsidP="004B3B82">
            <w:pPr>
              <w:pStyle w:val="ac"/>
              <w:numPr>
                <w:ilvl w:val="0"/>
                <w:numId w:val="175"/>
              </w:numPr>
              <w:tabs>
                <w:tab w:val="left" w:pos="317"/>
              </w:tabs>
              <w:ind w:left="336"/>
              <w:jc w:val="both"/>
              <w:rPr>
                <w:rFonts w:ascii="Garamond" w:hAnsi="Garamond"/>
                <w:highlight w:val="yellow"/>
              </w:rPr>
            </w:pPr>
            <w:r w:rsidRPr="00C2444B">
              <w:rPr>
                <w:rFonts w:ascii="Garamond" w:hAnsi="Garamond"/>
                <w:highlight w:val="yellow"/>
              </w:rPr>
              <w:t>При проведении процедуры установления соответствия АИИС КУЭ: д</w:t>
            </w:r>
            <w:r w:rsidRPr="00C2444B">
              <w:rPr>
                <w:rFonts w:ascii="Garamond" w:hAnsi="Garamond"/>
              </w:rPr>
              <w:t>окументация в соответствии с таблицей 2 приложения 1 настоящего Порядка, представленная для установления соответствия АИИС КУЭ</w:t>
            </w:r>
            <w:r w:rsidRPr="00C2444B">
              <w:rPr>
                <w:rFonts w:ascii="Garamond" w:hAnsi="Garamond"/>
                <w:highlight w:val="yellow"/>
              </w:rPr>
              <w:t>.</w:t>
            </w:r>
          </w:p>
          <w:p w14:paraId="52DF45E1" w14:textId="77777777" w:rsidR="004B3B82" w:rsidRPr="00C2444B" w:rsidRDefault="004B3B82" w:rsidP="004B3B82">
            <w:pPr>
              <w:pStyle w:val="ac"/>
              <w:numPr>
                <w:ilvl w:val="0"/>
                <w:numId w:val="175"/>
              </w:numPr>
              <w:tabs>
                <w:tab w:val="left" w:pos="317"/>
              </w:tabs>
              <w:ind w:left="336"/>
              <w:jc w:val="both"/>
              <w:rPr>
                <w:rFonts w:ascii="Garamond" w:hAnsi="Garamond"/>
                <w:highlight w:val="yellow"/>
              </w:rPr>
            </w:pPr>
            <w:r w:rsidRPr="00C2444B">
              <w:rPr>
                <w:rFonts w:ascii="Garamond" w:hAnsi="Garamond"/>
                <w:highlight w:val="yellow"/>
              </w:rPr>
              <w:t>При проведении процедуры подтверждения соответствия системы учета агрегатора техническим требованиям оптового рынка: ПСИ.</w:t>
            </w:r>
          </w:p>
        </w:tc>
      </w:tr>
      <w:tr w:rsidR="004B3B82" w:rsidRPr="007D4C5F" w14:paraId="6D19E27F" w14:textId="77777777" w:rsidTr="00CD3B05">
        <w:tblPrEx>
          <w:shd w:val="clear" w:color="auto" w:fill="auto"/>
        </w:tblPrEx>
        <w:trPr>
          <w:trHeight w:val="250"/>
          <w:jc w:val="right"/>
        </w:trPr>
        <w:tc>
          <w:tcPr>
            <w:tcW w:w="567" w:type="dxa"/>
            <w:tcBorders>
              <w:top w:val="single" w:sz="4" w:space="0" w:color="000000"/>
              <w:left w:val="single" w:sz="4" w:space="0" w:color="000000"/>
              <w:bottom w:val="single" w:sz="4" w:space="0" w:color="000000"/>
              <w:right w:val="single" w:sz="4" w:space="0" w:color="000000"/>
            </w:tcBorders>
            <w:shd w:val="clear" w:color="auto" w:fill="BFBFBF"/>
            <w:tcMar>
              <w:top w:w="80" w:type="dxa"/>
              <w:left w:w="80" w:type="dxa"/>
              <w:bottom w:w="80" w:type="dxa"/>
              <w:right w:w="80" w:type="dxa"/>
            </w:tcMar>
            <w:vAlign w:val="center"/>
          </w:tcPr>
          <w:p w14:paraId="458FE7EC" w14:textId="77777777" w:rsidR="004B3B82" w:rsidRPr="007D4C5F" w:rsidRDefault="004B3B82" w:rsidP="00CD3B05">
            <w:pPr>
              <w:jc w:val="center"/>
              <w:rPr>
                <w:rFonts w:ascii="Garamond" w:hAnsi="Garamond"/>
              </w:rPr>
            </w:pPr>
            <w:r w:rsidRPr="007D4C5F">
              <w:rPr>
                <w:rFonts w:ascii="Garamond" w:hAnsi="Garamond"/>
              </w:rPr>
              <w:t>6</w:t>
            </w:r>
          </w:p>
        </w:tc>
        <w:tc>
          <w:tcPr>
            <w:tcW w:w="1560" w:type="dxa"/>
            <w:tcBorders>
              <w:top w:val="single" w:sz="4" w:space="0" w:color="000000"/>
              <w:left w:val="single" w:sz="4" w:space="0" w:color="000000"/>
              <w:bottom w:val="single" w:sz="4" w:space="0" w:color="000000"/>
              <w:right w:val="single" w:sz="4" w:space="0" w:color="000000"/>
            </w:tcBorders>
            <w:shd w:val="clear" w:color="auto" w:fill="BFBFBF"/>
            <w:tcMar>
              <w:top w:w="80" w:type="dxa"/>
              <w:left w:w="80" w:type="dxa"/>
              <w:bottom w:w="80" w:type="dxa"/>
              <w:right w:w="80" w:type="dxa"/>
            </w:tcMar>
            <w:vAlign w:val="center"/>
          </w:tcPr>
          <w:p w14:paraId="3CC12353" w14:textId="77777777" w:rsidR="004B3B82" w:rsidRPr="007D4C5F" w:rsidRDefault="004B3B82" w:rsidP="00CD3B05">
            <w:pPr>
              <w:jc w:val="center"/>
              <w:rPr>
                <w:rFonts w:ascii="Garamond" w:hAnsi="Garamond"/>
                <w:b/>
                <w:bCs/>
                <w:vertAlign w:val="subscript"/>
              </w:rPr>
            </w:pPr>
            <w:r w:rsidRPr="007D4C5F">
              <w:rPr>
                <w:rFonts w:ascii="Garamond" w:hAnsi="Garamond"/>
                <w:b/>
                <w:bCs/>
              </w:rPr>
              <w:t>П</w:t>
            </w:r>
            <w:r w:rsidRPr="007D4C5F">
              <w:rPr>
                <w:rFonts w:ascii="Garamond" w:hAnsi="Garamond"/>
                <w:b/>
                <w:bCs/>
                <w:vertAlign w:val="subscript"/>
              </w:rPr>
              <w:t>Ф13</w:t>
            </w:r>
          </w:p>
          <w:p w14:paraId="5874F1C8" w14:textId="77777777" w:rsidR="004B3B82" w:rsidRPr="007D4C5F" w:rsidRDefault="004B3B82" w:rsidP="00CD3B05">
            <w:pPr>
              <w:jc w:val="center"/>
              <w:rPr>
                <w:rFonts w:ascii="Garamond" w:hAnsi="Garamond"/>
              </w:rPr>
            </w:pPr>
            <w:r w:rsidRPr="007D4C5F">
              <w:rPr>
                <w:rFonts w:ascii="Garamond" w:hAnsi="Garamond"/>
                <w:bCs/>
              </w:rPr>
              <w:t>(п. 5.1.1)</w:t>
            </w:r>
          </w:p>
        </w:tc>
        <w:tc>
          <w:tcPr>
            <w:tcW w:w="7797" w:type="dxa"/>
            <w:tcBorders>
              <w:top w:val="single" w:sz="4" w:space="0" w:color="000000"/>
              <w:left w:val="single" w:sz="4" w:space="0" w:color="000000"/>
              <w:bottom w:val="single" w:sz="4" w:space="0" w:color="000000"/>
              <w:right w:val="single" w:sz="4" w:space="0" w:color="000000"/>
            </w:tcBorders>
            <w:shd w:val="clear" w:color="auto" w:fill="BFBFBF"/>
            <w:tcMar>
              <w:top w:w="80" w:type="dxa"/>
              <w:left w:w="80" w:type="dxa"/>
              <w:bottom w:w="80" w:type="dxa"/>
              <w:right w:w="80" w:type="dxa"/>
            </w:tcMar>
          </w:tcPr>
          <w:p w14:paraId="196C5C33" w14:textId="77777777" w:rsidR="004B3B82" w:rsidRPr="007D4C5F" w:rsidRDefault="004B3B82" w:rsidP="00CD3B05">
            <w:pPr>
              <w:rPr>
                <w:rFonts w:ascii="Garamond" w:hAnsi="Garamond"/>
              </w:rPr>
            </w:pPr>
            <w:r w:rsidRPr="007D4C5F">
              <w:rPr>
                <w:rFonts w:ascii="Garamond" w:hAnsi="Garamond"/>
                <w:b/>
                <w:bCs/>
              </w:rPr>
              <w:t>Сбор результатов измерений</w:t>
            </w:r>
          </w:p>
        </w:tc>
      </w:tr>
      <w:tr w:rsidR="004B3B82" w:rsidRPr="007D4C5F" w14:paraId="20D68B97" w14:textId="77777777" w:rsidTr="00CD3B05">
        <w:tblPrEx>
          <w:shd w:val="clear" w:color="auto" w:fill="auto"/>
        </w:tblPrEx>
        <w:trPr>
          <w:trHeight w:val="250"/>
          <w:jc w:val="right"/>
        </w:trPr>
        <w:tc>
          <w:tcPr>
            <w:tcW w:w="567" w:type="dxa"/>
            <w:tcBorders>
              <w:top w:val="single" w:sz="4" w:space="0" w:color="000000"/>
              <w:left w:val="single" w:sz="4" w:space="0" w:color="000000"/>
              <w:bottom w:val="single" w:sz="4" w:space="0" w:color="000000"/>
              <w:right w:val="single" w:sz="4" w:space="0" w:color="000000"/>
            </w:tcBorders>
            <w:shd w:val="clear" w:color="auto" w:fill="92D050"/>
            <w:tcMar>
              <w:top w:w="80" w:type="dxa"/>
              <w:left w:w="80" w:type="dxa"/>
              <w:bottom w:w="80" w:type="dxa"/>
              <w:right w:w="80" w:type="dxa"/>
            </w:tcMar>
            <w:vAlign w:val="center"/>
          </w:tcPr>
          <w:p w14:paraId="15131767" w14:textId="77777777" w:rsidR="004B3B82" w:rsidRPr="007D4C5F" w:rsidRDefault="004B3B82" w:rsidP="00CD3B05">
            <w:pPr>
              <w:rPr>
                <w:rFonts w:ascii="Garamond" w:hAnsi="Garamond"/>
              </w:rPr>
            </w:pPr>
          </w:p>
        </w:tc>
        <w:tc>
          <w:tcPr>
            <w:tcW w:w="1560" w:type="dxa"/>
            <w:tcBorders>
              <w:top w:val="single" w:sz="4" w:space="0" w:color="000000"/>
              <w:left w:val="single" w:sz="4" w:space="0" w:color="000000"/>
              <w:bottom w:val="single" w:sz="4" w:space="0" w:color="000000"/>
              <w:right w:val="single" w:sz="4" w:space="0" w:color="000000"/>
            </w:tcBorders>
            <w:shd w:val="clear" w:color="auto" w:fill="92D050"/>
            <w:tcMar>
              <w:top w:w="80" w:type="dxa"/>
              <w:left w:w="80" w:type="dxa"/>
              <w:bottom w:w="80" w:type="dxa"/>
              <w:right w:w="80" w:type="dxa"/>
            </w:tcMar>
            <w:vAlign w:val="center"/>
          </w:tcPr>
          <w:p w14:paraId="1875883D" w14:textId="77777777" w:rsidR="004B3B82" w:rsidRPr="007D4C5F" w:rsidRDefault="004B3B82" w:rsidP="00CD3B05">
            <w:pPr>
              <w:jc w:val="center"/>
              <w:rPr>
                <w:rFonts w:ascii="Garamond" w:hAnsi="Garamond"/>
              </w:rPr>
            </w:pPr>
            <w:r w:rsidRPr="007D4C5F">
              <w:rPr>
                <w:rFonts w:ascii="Garamond" w:hAnsi="Garamond"/>
                <w:b/>
                <w:bCs/>
              </w:rPr>
              <w:t>Компоненты</w:t>
            </w:r>
          </w:p>
        </w:tc>
        <w:tc>
          <w:tcPr>
            <w:tcW w:w="7797" w:type="dxa"/>
            <w:tcBorders>
              <w:top w:val="single" w:sz="4" w:space="0" w:color="000000"/>
              <w:left w:val="single" w:sz="4" w:space="0" w:color="000000"/>
              <w:bottom w:val="single" w:sz="4" w:space="0" w:color="000000"/>
              <w:right w:val="single" w:sz="4" w:space="0" w:color="000000"/>
            </w:tcBorders>
            <w:shd w:val="clear" w:color="auto" w:fill="92D050"/>
            <w:tcMar>
              <w:top w:w="80" w:type="dxa"/>
              <w:left w:w="80" w:type="dxa"/>
              <w:bottom w:w="80" w:type="dxa"/>
              <w:right w:w="80" w:type="dxa"/>
            </w:tcMar>
          </w:tcPr>
          <w:p w14:paraId="6FF83A04" w14:textId="77777777" w:rsidR="004B3B82" w:rsidRPr="007D4C5F" w:rsidRDefault="004B3B82" w:rsidP="00CD3B05">
            <w:pPr>
              <w:rPr>
                <w:rFonts w:ascii="Garamond" w:hAnsi="Garamond"/>
              </w:rPr>
            </w:pPr>
            <w:r w:rsidRPr="007D4C5F">
              <w:rPr>
                <w:rFonts w:ascii="Garamond" w:hAnsi="Garamond"/>
              </w:rPr>
              <w:t xml:space="preserve">ИВК – сервер </w:t>
            </w:r>
          </w:p>
        </w:tc>
      </w:tr>
      <w:tr w:rsidR="004B3B82" w:rsidRPr="007D4C5F" w14:paraId="1ED3809B" w14:textId="77777777" w:rsidTr="00E31AE6">
        <w:tblPrEx>
          <w:shd w:val="clear" w:color="auto" w:fill="auto"/>
        </w:tblPrEx>
        <w:trPr>
          <w:jc w:val="right"/>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1B5D521" w14:textId="77777777" w:rsidR="004B3B82" w:rsidRPr="007D4C5F" w:rsidRDefault="004B3B82" w:rsidP="00CD3B05">
            <w:pPr>
              <w:rPr>
                <w:rFonts w:ascii="Garamond" w:hAnsi="Garamond"/>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7BE3273" w14:textId="77777777" w:rsidR="004B3B82" w:rsidRPr="007D4C5F" w:rsidRDefault="004B3B82" w:rsidP="00CD3B05">
            <w:pPr>
              <w:jc w:val="center"/>
              <w:rPr>
                <w:rFonts w:ascii="Garamond" w:hAnsi="Garamond"/>
              </w:rPr>
            </w:pPr>
            <w:r w:rsidRPr="007D4C5F">
              <w:rPr>
                <w:rFonts w:ascii="Garamond" w:hAnsi="Garamond"/>
                <w:b/>
                <w:bCs/>
              </w:rPr>
              <w:t>Действия</w:t>
            </w:r>
          </w:p>
        </w:tc>
        <w:tc>
          <w:tcPr>
            <w:tcW w:w="779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6A228FC" w14:textId="77777777" w:rsidR="004B3B82" w:rsidRPr="003B2DA6" w:rsidRDefault="004B3B82" w:rsidP="004B3B82">
            <w:pPr>
              <w:pStyle w:val="ac"/>
              <w:numPr>
                <w:ilvl w:val="0"/>
                <w:numId w:val="210"/>
              </w:numPr>
              <w:pBdr>
                <w:top w:val="nil"/>
                <w:left w:val="nil"/>
                <w:bottom w:val="nil"/>
                <w:right w:val="nil"/>
                <w:between w:val="nil"/>
                <w:bar w:val="nil"/>
              </w:pBdr>
              <w:tabs>
                <w:tab w:val="left" w:pos="317"/>
              </w:tabs>
              <w:ind w:left="337"/>
              <w:jc w:val="both"/>
              <w:rPr>
                <w:rFonts w:ascii="Garamond" w:hAnsi="Garamond"/>
                <w:highlight w:val="yellow"/>
              </w:rPr>
            </w:pPr>
            <w:r w:rsidRPr="0081004D">
              <w:rPr>
                <w:rFonts w:ascii="Garamond" w:hAnsi="Garamond"/>
                <w:highlight w:val="yellow"/>
              </w:rPr>
              <w:t xml:space="preserve">При проведении </w:t>
            </w:r>
            <w:r>
              <w:rPr>
                <w:rFonts w:ascii="Garamond" w:hAnsi="Garamond"/>
                <w:highlight w:val="yellow"/>
              </w:rPr>
              <w:t>процедуры</w:t>
            </w:r>
            <w:r w:rsidRPr="0081004D">
              <w:rPr>
                <w:rFonts w:ascii="Garamond" w:hAnsi="Garamond"/>
                <w:highlight w:val="yellow"/>
              </w:rPr>
              <w:t xml:space="preserve"> установления соответствия АИИС КУЭ</w:t>
            </w:r>
            <w:r>
              <w:rPr>
                <w:rFonts w:ascii="Garamond" w:hAnsi="Garamond"/>
                <w:highlight w:val="yellow"/>
              </w:rPr>
              <w:t>:</w:t>
            </w:r>
          </w:p>
          <w:p w14:paraId="460B4920" w14:textId="77777777" w:rsidR="004B3B82" w:rsidRPr="00EB2E2B" w:rsidRDefault="004B3B82" w:rsidP="004B3B82">
            <w:pPr>
              <w:pStyle w:val="ac"/>
              <w:numPr>
                <w:ilvl w:val="0"/>
                <w:numId w:val="174"/>
              </w:numPr>
              <w:pBdr>
                <w:top w:val="nil"/>
                <w:left w:val="nil"/>
                <w:bottom w:val="nil"/>
                <w:right w:val="nil"/>
                <w:between w:val="nil"/>
                <w:bar w:val="nil"/>
              </w:pBdr>
              <w:tabs>
                <w:tab w:val="left" w:pos="1440"/>
              </w:tabs>
              <w:jc w:val="both"/>
              <w:rPr>
                <w:rFonts w:ascii="Garamond" w:eastAsia="Garamond" w:hAnsi="Garamond" w:cs="Garamond"/>
              </w:rPr>
            </w:pPr>
            <w:r w:rsidRPr="007D4C5F">
              <w:rPr>
                <w:rFonts w:ascii="Garamond" w:hAnsi="Garamond"/>
              </w:rPr>
              <w:t>С помощью стандартных средств операционной системы или специализированного ПО удаленного доступа и администрирования устанавливается интернет-соединение с удаленным рабочим столом сервера ИВК АИИС КУЭ.</w:t>
            </w:r>
          </w:p>
          <w:p w14:paraId="3A013AF3" w14:textId="77777777" w:rsidR="004B3B82" w:rsidRPr="00EB2E2B" w:rsidRDefault="004B3B82" w:rsidP="004B3B82">
            <w:pPr>
              <w:pStyle w:val="ac"/>
              <w:numPr>
                <w:ilvl w:val="0"/>
                <w:numId w:val="174"/>
              </w:numPr>
              <w:pBdr>
                <w:top w:val="nil"/>
                <w:left w:val="nil"/>
                <w:bottom w:val="nil"/>
                <w:right w:val="nil"/>
                <w:between w:val="nil"/>
                <w:bar w:val="nil"/>
              </w:pBdr>
              <w:tabs>
                <w:tab w:val="left" w:pos="1440"/>
              </w:tabs>
              <w:jc w:val="both"/>
              <w:rPr>
                <w:rFonts w:ascii="Garamond" w:eastAsia="Garamond" w:hAnsi="Garamond" w:cs="Garamond"/>
              </w:rPr>
            </w:pPr>
            <w:r w:rsidRPr="00EB2E2B">
              <w:rPr>
                <w:rFonts w:ascii="Garamond" w:hAnsi="Garamond"/>
              </w:rPr>
              <w:t>На сервере ИВК АИИС КУЭ заявителя формируется XML-файл (формат 80020), содержащий результаты измерений за прошедшие сутки, и направляется с ЭП в ПАК КО.</w:t>
            </w:r>
          </w:p>
          <w:p w14:paraId="5C3F4C73" w14:textId="77777777" w:rsidR="004B3B82" w:rsidRPr="00EB2E2B" w:rsidRDefault="004B3B82" w:rsidP="004B3B82">
            <w:pPr>
              <w:pStyle w:val="ac"/>
              <w:numPr>
                <w:ilvl w:val="0"/>
                <w:numId w:val="174"/>
              </w:numPr>
              <w:pBdr>
                <w:top w:val="nil"/>
                <w:left w:val="nil"/>
                <w:bottom w:val="nil"/>
                <w:right w:val="nil"/>
                <w:between w:val="nil"/>
                <w:bar w:val="nil"/>
              </w:pBdr>
              <w:tabs>
                <w:tab w:val="left" w:pos="1440"/>
              </w:tabs>
              <w:jc w:val="both"/>
              <w:rPr>
                <w:rFonts w:ascii="Garamond" w:eastAsia="Garamond" w:hAnsi="Garamond" w:cs="Garamond"/>
              </w:rPr>
            </w:pPr>
            <w:r w:rsidRPr="00EB2E2B">
              <w:rPr>
                <w:rFonts w:ascii="Garamond" w:hAnsi="Garamond"/>
              </w:rPr>
              <w:t>Проверяется взаимное соответствие сведений, содержащихся в документах, представленных в соответствии с таблицей 2 приложения 1 к настоящему Порядку, и АИИС КУЭ (компонентов АИИС КУЭ)</w:t>
            </w:r>
            <w:r>
              <w:rPr>
                <w:rFonts w:ascii="Garamond" w:hAnsi="Garamond"/>
              </w:rPr>
              <w:t xml:space="preserve">, </w:t>
            </w:r>
            <w:r w:rsidRPr="00EB2E2B">
              <w:rPr>
                <w:rFonts w:ascii="Garamond" w:hAnsi="Garamond"/>
              </w:rPr>
              <w:t>представленной на испытания.</w:t>
            </w:r>
          </w:p>
          <w:p w14:paraId="0364BF42" w14:textId="77777777" w:rsidR="004B3B82" w:rsidRPr="00EB2E2B" w:rsidRDefault="004B3B82" w:rsidP="004B3B82">
            <w:pPr>
              <w:pStyle w:val="ac"/>
              <w:numPr>
                <w:ilvl w:val="0"/>
                <w:numId w:val="174"/>
              </w:numPr>
              <w:pBdr>
                <w:top w:val="nil"/>
                <w:left w:val="nil"/>
                <w:bottom w:val="nil"/>
                <w:right w:val="nil"/>
                <w:between w:val="nil"/>
                <w:bar w:val="nil"/>
              </w:pBdr>
              <w:tabs>
                <w:tab w:val="left" w:pos="1440"/>
              </w:tabs>
              <w:jc w:val="both"/>
              <w:rPr>
                <w:rFonts w:ascii="Garamond" w:eastAsia="Garamond" w:hAnsi="Garamond" w:cs="Garamond"/>
              </w:rPr>
            </w:pPr>
            <w:r w:rsidRPr="00EB2E2B">
              <w:rPr>
                <w:rFonts w:ascii="Garamond" w:hAnsi="Garamond"/>
              </w:rPr>
              <w:t xml:space="preserve">Производится сверка параметров ИИК (коэффициенты трансформации ТТ, ТН) в </w:t>
            </w:r>
            <w:r w:rsidRPr="00EB2E2B">
              <w:rPr>
                <w:rFonts w:ascii="Garamond" w:hAnsi="Garamond"/>
                <w:highlight w:val="yellow"/>
              </w:rPr>
              <w:t>приборе учета</w:t>
            </w:r>
            <w:r w:rsidRPr="00EB2E2B">
              <w:rPr>
                <w:rFonts w:ascii="Garamond" w:hAnsi="Garamond"/>
              </w:rPr>
              <w:t xml:space="preserve">, УСПД, ПО БД ИВК с описанием типа, свидетельством о поверке АИИС КУЭ либо паспортами-протоколами, актами допуска прибора учета в эксплуатацию, свидетельствами о поверке </w:t>
            </w:r>
            <w:r w:rsidRPr="00EB2E2B">
              <w:rPr>
                <w:rFonts w:ascii="Garamond" w:hAnsi="Garamond"/>
                <w:highlight w:val="yellow"/>
              </w:rPr>
              <w:t xml:space="preserve">приборов учета </w:t>
            </w:r>
            <w:r w:rsidRPr="00EB2E2B">
              <w:rPr>
                <w:rFonts w:ascii="Garamond" w:hAnsi="Garamond"/>
              </w:rPr>
              <w:t xml:space="preserve">(при оформлении актов о соответствии АИИС КУЭ класса </w:t>
            </w:r>
            <w:r w:rsidRPr="00EB2E2B">
              <w:rPr>
                <w:rFonts w:ascii="Garamond" w:hAnsi="Garamond"/>
                <w:lang w:val="en-US"/>
              </w:rPr>
              <w:t>N</w:t>
            </w:r>
            <w:r w:rsidRPr="00EB2E2B">
              <w:rPr>
                <w:rFonts w:ascii="Garamond" w:hAnsi="Garamond"/>
              </w:rPr>
              <w:t xml:space="preserve"> и в случаях, предусмотренных п. 1.2.1 настоящего Порядка).</w:t>
            </w:r>
            <w:r w:rsidRPr="00EB2E2B">
              <w:rPr>
                <w:rFonts w:ascii="Garamond" w:hAnsi="Garamond"/>
                <w:shd w:val="clear" w:color="auto" w:fill="FFFF00"/>
              </w:rPr>
              <w:t xml:space="preserve"> </w:t>
            </w:r>
          </w:p>
          <w:p w14:paraId="4B09F488" w14:textId="77777777" w:rsidR="004B3B82" w:rsidRPr="00EB2E2B" w:rsidRDefault="004B3B82" w:rsidP="004B3B82">
            <w:pPr>
              <w:pStyle w:val="ac"/>
              <w:numPr>
                <w:ilvl w:val="0"/>
                <w:numId w:val="174"/>
              </w:numPr>
              <w:pBdr>
                <w:top w:val="nil"/>
                <w:left w:val="nil"/>
                <w:bottom w:val="nil"/>
                <w:right w:val="nil"/>
                <w:between w:val="nil"/>
                <w:bar w:val="nil"/>
              </w:pBdr>
              <w:tabs>
                <w:tab w:val="left" w:pos="1440"/>
              </w:tabs>
              <w:jc w:val="both"/>
              <w:rPr>
                <w:rFonts w:ascii="Garamond" w:eastAsia="Garamond" w:hAnsi="Garamond" w:cs="Garamond"/>
              </w:rPr>
            </w:pPr>
            <w:r w:rsidRPr="00EB2E2B">
              <w:rPr>
                <w:rFonts w:ascii="Garamond" w:hAnsi="Garamond"/>
              </w:rPr>
              <w:t>Производится выборочная сверка идентичности следующих данных:</w:t>
            </w:r>
          </w:p>
          <w:p w14:paraId="57F6F007" w14:textId="77777777" w:rsidR="004B3B82" w:rsidRPr="004926D3" w:rsidRDefault="004B3B82" w:rsidP="004B3B82">
            <w:pPr>
              <w:pStyle w:val="ac"/>
              <w:numPr>
                <w:ilvl w:val="0"/>
                <w:numId w:val="192"/>
              </w:numPr>
              <w:pBdr>
                <w:top w:val="nil"/>
                <w:left w:val="nil"/>
                <w:bottom w:val="nil"/>
                <w:right w:val="nil"/>
                <w:between w:val="nil"/>
                <w:bar w:val="nil"/>
              </w:pBdr>
              <w:tabs>
                <w:tab w:val="left" w:pos="699"/>
              </w:tabs>
              <w:jc w:val="both"/>
              <w:rPr>
                <w:rFonts w:ascii="Garamond" w:hAnsi="Garamond"/>
                <w:shd w:val="clear" w:color="auto" w:fill="FFFF00"/>
              </w:rPr>
            </w:pPr>
            <w:r w:rsidRPr="00B44491">
              <w:rPr>
                <w:rFonts w:ascii="Garamond" w:hAnsi="Garamond"/>
              </w:rPr>
              <w:t>результатов измерений</w:t>
            </w:r>
            <w:r w:rsidRPr="007D4C5F">
              <w:rPr>
                <w:rFonts w:ascii="Garamond" w:hAnsi="Garamond"/>
              </w:rPr>
              <w:t xml:space="preserve">, хранящихся в </w:t>
            </w:r>
            <w:r>
              <w:rPr>
                <w:rFonts w:ascii="Garamond" w:hAnsi="Garamond"/>
                <w:highlight w:val="yellow"/>
              </w:rPr>
              <w:t>приборах учета</w:t>
            </w:r>
            <w:r w:rsidRPr="007D4C5F">
              <w:rPr>
                <w:rFonts w:ascii="Garamond" w:hAnsi="Garamond"/>
              </w:rPr>
              <w:t>, с учетом коэффициентов трансформации ТТ, ТН;</w:t>
            </w:r>
          </w:p>
          <w:p w14:paraId="37632897" w14:textId="77777777" w:rsidR="004B3B82" w:rsidRPr="004926D3" w:rsidRDefault="004B3B82" w:rsidP="004B3B82">
            <w:pPr>
              <w:pStyle w:val="ac"/>
              <w:numPr>
                <w:ilvl w:val="0"/>
                <w:numId w:val="192"/>
              </w:numPr>
              <w:pBdr>
                <w:top w:val="nil"/>
                <w:left w:val="nil"/>
                <w:bottom w:val="nil"/>
                <w:right w:val="nil"/>
                <w:between w:val="nil"/>
                <w:bar w:val="nil"/>
              </w:pBdr>
              <w:tabs>
                <w:tab w:val="left" w:pos="699"/>
              </w:tabs>
              <w:jc w:val="both"/>
              <w:rPr>
                <w:rFonts w:ascii="Garamond" w:hAnsi="Garamond"/>
                <w:shd w:val="clear" w:color="auto" w:fill="FFFF00"/>
              </w:rPr>
            </w:pPr>
            <w:r w:rsidRPr="004926D3">
              <w:rPr>
                <w:rFonts w:ascii="Garamond" w:hAnsi="Garamond"/>
              </w:rPr>
              <w:t>результатов измерений, хранящихся в УСПД (ИВКЭ), с учетом коэффициентов трансформации ТТ, ТН;</w:t>
            </w:r>
          </w:p>
          <w:p w14:paraId="7218FFD8" w14:textId="77777777" w:rsidR="004B3B82" w:rsidRPr="004926D3" w:rsidRDefault="004B3B82" w:rsidP="004B3B82">
            <w:pPr>
              <w:pStyle w:val="ac"/>
              <w:numPr>
                <w:ilvl w:val="0"/>
                <w:numId w:val="192"/>
              </w:numPr>
              <w:pBdr>
                <w:top w:val="nil"/>
                <w:left w:val="nil"/>
                <w:bottom w:val="nil"/>
                <w:right w:val="nil"/>
                <w:between w:val="nil"/>
                <w:bar w:val="nil"/>
              </w:pBdr>
              <w:tabs>
                <w:tab w:val="left" w:pos="699"/>
              </w:tabs>
              <w:jc w:val="both"/>
              <w:rPr>
                <w:rFonts w:ascii="Garamond" w:hAnsi="Garamond"/>
                <w:shd w:val="clear" w:color="auto" w:fill="FFFF00"/>
              </w:rPr>
            </w:pPr>
            <w:r w:rsidRPr="004926D3">
              <w:rPr>
                <w:rFonts w:ascii="Garamond" w:hAnsi="Garamond"/>
              </w:rPr>
              <w:t>результатов измерений, хранящихся в БД ИВК, с учетом коэффициентов трансформации ТТ, ТН;</w:t>
            </w:r>
          </w:p>
          <w:p w14:paraId="441BFD40" w14:textId="77777777" w:rsidR="004B3B82" w:rsidRPr="004926D3" w:rsidRDefault="004B3B82" w:rsidP="004B3B82">
            <w:pPr>
              <w:pStyle w:val="ac"/>
              <w:numPr>
                <w:ilvl w:val="0"/>
                <w:numId w:val="192"/>
              </w:numPr>
              <w:pBdr>
                <w:top w:val="nil"/>
                <w:left w:val="nil"/>
                <w:bottom w:val="nil"/>
                <w:right w:val="nil"/>
                <w:between w:val="nil"/>
                <w:bar w:val="nil"/>
              </w:pBdr>
              <w:tabs>
                <w:tab w:val="left" w:pos="699"/>
              </w:tabs>
              <w:jc w:val="both"/>
              <w:rPr>
                <w:rFonts w:ascii="Garamond" w:hAnsi="Garamond"/>
                <w:shd w:val="clear" w:color="auto" w:fill="FFFF00"/>
              </w:rPr>
            </w:pPr>
            <w:r w:rsidRPr="004926D3">
              <w:rPr>
                <w:rFonts w:ascii="Garamond" w:hAnsi="Garamond"/>
              </w:rPr>
              <w:t xml:space="preserve">результатов измерений, полученных от заявителя в </w:t>
            </w:r>
            <w:r w:rsidRPr="004926D3">
              <w:rPr>
                <w:rFonts w:ascii="Garamond" w:hAnsi="Garamond"/>
                <w:lang w:val="en-US"/>
              </w:rPr>
              <w:t>XML</w:t>
            </w:r>
            <w:r w:rsidRPr="004926D3">
              <w:rPr>
                <w:rFonts w:ascii="Garamond" w:hAnsi="Garamond"/>
              </w:rPr>
              <w:t>-файлах (формат 80020) в ПАК КО.</w:t>
            </w:r>
          </w:p>
          <w:p w14:paraId="00CF5CCA" w14:textId="77777777" w:rsidR="004B3B82" w:rsidRDefault="004B3B82" w:rsidP="00CD3B05">
            <w:pPr>
              <w:pStyle w:val="ac"/>
              <w:pBdr>
                <w:top w:val="nil"/>
                <w:left w:val="nil"/>
                <w:bottom w:val="nil"/>
                <w:right w:val="nil"/>
                <w:between w:val="nil"/>
                <w:bar w:val="nil"/>
              </w:pBdr>
              <w:tabs>
                <w:tab w:val="left" w:pos="317"/>
              </w:tabs>
              <w:ind w:left="336"/>
              <w:jc w:val="both"/>
              <w:rPr>
                <w:rFonts w:ascii="Garamond" w:hAnsi="Garamond"/>
                <w:highlight w:val="yellow"/>
              </w:rPr>
            </w:pPr>
          </w:p>
          <w:p w14:paraId="2E27715F" w14:textId="77777777" w:rsidR="004B3B82" w:rsidRPr="00C464DE" w:rsidRDefault="004B3B82" w:rsidP="004B3B82">
            <w:pPr>
              <w:pStyle w:val="ac"/>
              <w:numPr>
                <w:ilvl w:val="0"/>
                <w:numId w:val="210"/>
              </w:numPr>
              <w:pBdr>
                <w:top w:val="nil"/>
                <w:left w:val="nil"/>
                <w:bottom w:val="nil"/>
                <w:right w:val="nil"/>
                <w:between w:val="nil"/>
                <w:bar w:val="nil"/>
              </w:pBdr>
              <w:tabs>
                <w:tab w:val="left" w:pos="317"/>
              </w:tabs>
              <w:ind w:left="336"/>
              <w:jc w:val="both"/>
              <w:rPr>
                <w:rFonts w:ascii="Garamond" w:hAnsi="Garamond"/>
                <w:highlight w:val="yellow"/>
              </w:rPr>
            </w:pPr>
            <w:r w:rsidRPr="00424795">
              <w:rPr>
                <w:rFonts w:ascii="Garamond" w:hAnsi="Garamond"/>
                <w:highlight w:val="yellow"/>
              </w:rPr>
              <w:t xml:space="preserve">При проведении процедуры подтверждения соответствия системы учета </w:t>
            </w:r>
            <w:r>
              <w:rPr>
                <w:rFonts w:ascii="Garamond" w:hAnsi="Garamond"/>
                <w:highlight w:val="yellow"/>
              </w:rPr>
              <w:t xml:space="preserve">агрегатора </w:t>
            </w:r>
            <w:r w:rsidRPr="00424795">
              <w:rPr>
                <w:rFonts w:ascii="Garamond" w:hAnsi="Garamond"/>
                <w:highlight w:val="yellow"/>
              </w:rPr>
              <w:t xml:space="preserve">техническим </w:t>
            </w:r>
            <w:r w:rsidRPr="00C464DE">
              <w:rPr>
                <w:rFonts w:ascii="Garamond" w:hAnsi="Garamond"/>
                <w:highlight w:val="yellow"/>
              </w:rPr>
              <w:t>требованиям оптового рынка</w:t>
            </w:r>
            <w:r>
              <w:rPr>
                <w:rFonts w:ascii="Garamond" w:hAnsi="Garamond"/>
                <w:highlight w:val="yellow"/>
              </w:rPr>
              <w:t>:</w:t>
            </w:r>
          </w:p>
          <w:p w14:paraId="3A352800" w14:textId="77777777" w:rsidR="004B3B82" w:rsidRPr="00C464DE" w:rsidRDefault="004B3B82" w:rsidP="004B3B82">
            <w:pPr>
              <w:pStyle w:val="ac"/>
              <w:numPr>
                <w:ilvl w:val="0"/>
                <w:numId w:val="190"/>
              </w:numPr>
              <w:pBdr>
                <w:top w:val="nil"/>
                <w:left w:val="nil"/>
                <w:bottom w:val="nil"/>
                <w:right w:val="nil"/>
                <w:between w:val="nil"/>
                <w:bar w:val="nil"/>
              </w:pBdr>
              <w:tabs>
                <w:tab w:val="left" w:pos="1440"/>
              </w:tabs>
              <w:jc w:val="both"/>
              <w:rPr>
                <w:rFonts w:ascii="Garamond" w:eastAsia="Garamond" w:hAnsi="Garamond" w:cs="Garamond"/>
                <w:highlight w:val="yellow"/>
              </w:rPr>
            </w:pPr>
            <w:r w:rsidRPr="00C464DE">
              <w:rPr>
                <w:rFonts w:ascii="Garamond" w:hAnsi="Garamond"/>
                <w:highlight w:val="yellow"/>
              </w:rPr>
              <w:t>С помощью стандартных средств операционной системы или специализированного ПО удаленного доступа и администрирования устанавливается интернет-соединение с удаленным рабочим столом сервера ИВК совокупности СИ и ТУ.</w:t>
            </w:r>
          </w:p>
          <w:p w14:paraId="244C48DA" w14:textId="77777777" w:rsidR="004B3B82" w:rsidRPr="00C464DE" w:rsidRDefault="004B3B82" w:rsidP="004B3B82">
            <w:pPr>
              <w:pStyle w:val="ac"/>
              <w:numPr>
                <w:ilvl w:val="0"/>
                <w:numId w:val="190"/>
              </w:numPr>
              <w:pBdr>
                <w:top w:val="nil"/>
                <w:left w:val="nil"/>
                <w:bottom w:val="nil"/>
                <w:right w:val="nil"/>
                <w:between w:val="nil"/>
                <w:bar w:val="nil"/>
              </w:pBdr>
              <w:tabs>
                <w:tab w:val="left" w:pos="1440"/>
              </w:tabs>
              <w:jc w:val="both"/>
              <w:rPr>
                <w:rFonts w:ascii="Garamond" w:eastAsia="Garamond" w:hAnsi="Garamond" w:cs="Garamond"/>
                <w:highlight w:val="yellow"/>
              </w:rPr>
            </w:pPr>
            <w:r w:rsidRPr="00C464DE">
              <w:rPr>
                <w:rFonts w:ascii="Garamond" w:hAnsi="Garamond"/>
                <w:highlight w:val="yellow"/>
              </w:rPr>
              <w:t>На сервере ИВК совокупности СИ и ТУ заявителя формируется XML-файл (формат 20020), содержащий результаты измерений за прошедшие сутки, и направляется с ЭП в ПАК КО.</w:t>
            </w:r>
          </w:p>
          <w:p w14:paraId="1D93A1DF" w14:textId="77777777" w:rsidR="004B3B82" w:rsidRPr="00B779C7" w:rsidRDefault="004B3B82" w:rsidP="004B3B82">
            <w:pPr>
              <w:pStyle w:val="ac"/>
              <w:numPr>
                <w:ilvl w:val="0"/>
                <w:numId w:val="190"/>
              </w:numPr>
              <w:pBdr>
                <w:top w:val="nil"/>
                <w:left w:val="nil"/>
                <w:bottom w:val="nil"/>
                <w:right w:val="nil"/>
                <w:between w:val="nil"/>
                <w:bar w:val="nil"/>
              </w:pBdr>
              <w:tabs>
                <w:tab w:val="left" w:pos="1440"/>
              </w:tabs>
              <w:jc w:val="both"/>
              <w:rPr>
                <w:rFonts w:ascii="Garamond" w:eastAsia="Garamond" w:hAnsi="Garamond" w:cs="Garamond"/>
                <w:highlight w:val="yellow"/>
              </w:rPr>
            </w:pPr>
            <w:r w:rsidRPr="00C464DE">
              <w:rPr>
                <w:rFonts w:ascii="Garamond" w:hAnsi="Garamond"/>
                <w:highlight w:val="yellow"/>
              </w:rPr>
              <w:t>Проверяется взаимное соответствие сведений, содержащихся в ПСИ и совокупности СИ и ТУ.</w:t>
            </w:r>
          </w:p>
          <w:p w14:paraId="43B5B736" w14:textId="77777777" w:rsidR="004B3B82" w:rsidRPr="00B779C7" w:rsidRDefault="004B3B82" w:rsidP="004B3B82">
            <w:pPr>
              <w:pStyle w:val="ac"/>
              <w:numPr>
                <w:ilvl w:val="0"/>
                <w:numId w:val="190"/>
              </w:numPr>
              <w:pBdr>
                <w:top w:val="nil"/>
                <w:left w:val="nil"/>
                <w:bottom w:val="nil"/>
                <w:right w:val="nil"/>
                <w:between w:val="nil"/>
                <w:bar w:val="nil"/>
              </w:pBdr>
              <w:tabs>
                <w:tab w:val="left" w:pos="1440"/>
              </w:tabs>
              <w:jc w:val="both"/>
              <w:rPr>
                <w:rFonts w:ascii="Garamond" w:eastAsia="Garamond" w:hAnsi="Garamond" w:cs="Garamond"/>
                <w:highlight w:val="yellow"/>
              </w:rPr>
            </w:pPr>
            <w:r w:rsidRPr="00B779C7">
              <w:rPr>
                <w:rFonts w:ascii="Garamond" w:hAnsi="Garamond"/>
                <w:highlight w:val="yellow"/>
              </w:rPr>
              <w:t xml:space="preserve">Производится сверка параметров ИИК (коэффициенты трансформации ТТ, ТН) в </w:t>
            </w:r>
            <w:r w:rsidRPr="004926D3">
              <w:rPr>
                <w:rFonts w:ascii="Garamond" w:hAnsi="Garamond"/>
                <w:highlight w:val="yellow"/>
              </w:rPr>
              <w:t>приборе учета</w:t>
            </w:r>
            <w:r w:rsidRPr="00B779C7">
              <w:rPr>
                <w:rFonts w:ascii="Garamond" w:hAnsi="Garamond"/>
                <w:highlight w:val="yellow"/>
              </w:rPr>
              <w:t>, УСПД, ПО БД ИВК, с информацией, указанной в макетах 20020.</w:t>
            </w:r>
            <w:r w:rsidRPr="00B779C7">
              <w:rPr>
                <w:rFonts w:ascii="Garamond" w:hAnsi="Garamond"/>
                <w:highlight w:val="yellow"/>
                <w:shd w:val="clear" w:color="auto" w:fill="FFFF00"/>
              </w:rPr>
              <w:t xml:space="preserve"> </w:t>
            </w:r>
          </w:p>
          <w:p w14:paraId="2D426C3C" w14:textId="77777777" w:rsidR="004B3B82" w:rsidRPr="00C464DE" w:rsidRDefault="004B3B82" w:rsidP="004B3B82">
            <w:pPr>
              <w:pStyle w:val="ac"/>
              <w:numPr>
                <w:ilvl w:val="0"/>
                <w:numId w:val="190"/>
              </w:numPr>
              <w:pBdr>
                <w:top w:val="nil"/>
                <w:left w:val="nil"/>
                <w:bottom w:val="nil"/>
                <w:right w:val="nil"/>
                <w:between w:val="nil"/>
                <w:bar w:val="nil"/>
              </w:pBdr>
              <w:tabs>
                <w:tab w:val="left" w:pos="1440"/>
              </w:tabs>
              <w:jc w:val="both"/>
              <w:rPr>
                <w:rFonts w:ascii="Garamond" w:eastAsia="Garamond" w:hAnsi="Garamond" w:cs="Garamond"/>
                <w:highlight w:val="yellow"/>
              </w:rPr>
            </w:pPr>
            <w:r w:rsidRPr="00C464DE">
              <w:rPr>
                <w:rFonts w:ascii="Garamond" w:hAnsi="Garamond"/>
                <w:highlight w:val="yellow"/>
              </w:rPr>
              <w:t>Производится сверка идентичности следующих данных:</w:t>
            </w:r>
          </w:p>
          <w:p w14:paraId="683EF690" w14:textId="77777777" w:rsidR="004B3B82" w:rsidRPr="004926D3" w:rsidRDefault="004B3B82" w:rsidP="004B3B82">
            <w:pPr>
              <w:pStyle w:val="ac"/>
              <w:numPr>
                <w:ilvl w:val="0"/>
                <w:numId w:val="193"/>
              </w:numPr>
              <w:pBdr>
                <w:top w:val="nil"/>
                <w:left w:val="nil"/>
                <w:bottom w:val="nil"/>
                <w:right w:val="nil"/>
                <w:between w:val="nil"/>
                <w:bar w:val="nil"/>
              </w:pBdr>
              <w:tabs>
                <w:tab w:val="left" w:pos="699"/>
              </w:tabs>
              <w:jc w:val="both"/>
              <w:rPr>
                <w:rFonts w:ascii="Garamond" w:hAnsi="Garamond"/>
                <w:highlight w:val="yellow"/>
              </w:rPr>
            </w:pPr>
            <w:r w:rsidRPr="004926D3">
              <w:rPr>
                <w:rFonts w:ascii="Garamond" w:hAnsi="Garamond"/>
                <w:highlight w:val="yellow"/>
              </w:rPr>
              <w:t>результатов измерений, хранящихся в приборах учета, с учетом коэффициентов трансформации ТТ, ТН;</w:t>
            </w:r>
          </w:p>
          <w:p w14:paraId="5285D810" w14:textId="77777777" w:rsidR="004B3B82" w:rsidRPr="004926D3" w:rsidRDefault="004B3B82" w:rsidP="004B3B82">
            <w:pPr>
              <w:pStyle w:val="ac"/>
              <w:numPr>
                <w:ilvl w:val="0"/>
                <w:numId w:val="193"/>
              </w:numPr>
              <w:pBdr>
                <w:top w:val="nil"/>
                <w:left w:val="nil"/>
                <w:bottom w:val="nil"/>
                <w:right w:val="nil"/>
                <w:between w:val="nil"/>
                <w:bar w:val="nil"/>
              </w:pBdr>
              <w:tabs>
                <w:tab w:val="left" w:pos="699"/>
              </w:tabs>
              <w:jc w:val="both"/>
              <w:rPr>
                <w:rFonts w:ascii="Garamond" w:hAnsi="Garamond"/>
                <w:highlight w:val="yellow"/>
              </w:rPr>
            </w:pPr>
            <w:r w:rsidRPr="004926D3">
              <w:rPr>
                <w:rFonts w:ascii="Garamond" w:hAnsi="Garamond"/>
                <w:highlight w:val="yellow"/>
              </w:rPr>
              <w:t>результатов измерений, хранящихся в УСПД (ИВКЭ), с учетом коэффициентов трансформации ТТ, ТН;</w:t>
            </w:r>
          </w:p>
          <w:p w14:paraId="73BED146" w14:textId="77777777" w:rsidR="004B3B82" w:rsidRPr="004926D3" w:rsidRDefault="004B3B82" w:rsidP="004B3B82">
            <w:pPr>
              <w:pStyle w:val="ac"/>
              <w:numPr>
                <w:ilvl w:val="0"/>
                <w:numId w:val="193"/>
              </w:numPr>
              <w:pBdr>
                <w:top w:val="nil"/>
                <w:left w:val="nil"/>
                <w:bottom w:val="nil"/>
                <w:right w:val="nil"/>
                <w:between w:val="nil"/>
                <w:bar w:val="nil"/>
              </w:pBdr>
              <w:tabs>
                <w:tab w:val="left" w:pos="699"/>
              </w:tabs>
              <w:jc w:val="both"/>
              <w:rPr>
                <w:rFonts w:ascii="Garamond" w:hAnsi="Garamond"/>
                <w:highlight w:val="yellow"/>
              </w:rPr>
            </w:pPr>
            <w:r w:rsidRPr="004926D3">
              <w:rPr>
                <w:rFonts w:ascii="Garamond" w:hAnsi="Garamond"/>
                <w:highlight w:val="yellow"/>
              </w:rPr>
              <w:t>результатов измерений, хранящихся в БД ИВК, с учетом коэффициентов трансформации ТТ, ТН;</w:t>
            </w:r>
          </w:p>
          <w:p w14:paraId="7A6F671B" w14:textId="77777777" w:rsidR="004B3B82" w:rsidRPr="00C464DE" w:rsidRDefault="004B3B82" w:rsidP="004B3B82">
            <w:pPr>
              <w:pStyle w:val="ac"/>
              <w:numPr>
                <w:ilvl w:val="0"/>
                <w:numId w:val="193"/>
              </w:numPr>
              <w:pBdr>
                <w:top w:val="nil"/>
                <w:left w:val="nil"/>
                <w:bottom w:val="nil"/>
                <w:right w:val="nil"/>
                <w:between w:val="nil"/>
                <w:bar w:val="nil"/>
              </w:pBdr>
              <w:tabs>
                <w:tab w:val="left" w:pos="699"/>
              </w:tabs>
              <w:jc w:val="both"/>
              <w:rPr>
                <w:rFonts w:ascii="Garamond" w:hAnsi="Garamond"/>
                <w:highlight w:val="yellow"/>
                <w:shd w:val="clear" w:color="auto" w:fill="FFFF00"/>
              </w:rPr>
            </w:pPr>
            <w:r w:rsidRPr="004926D3">
              <w:rPr>
                <w:rFonts w:ascii="Garamond" w:hAnsi="Garamond"/>
                <w:highlight w:val="yellow"/>
              </w:rPr>
              <w:lastRenderedPageBreak/>
              <w:t>результатов измерений, полученных от заявителя в XML-файлах (формат 20020) в ПАК КО.</w:t>
            </w:r>
          </w:p>
        </w:tc>
      </w:tr>
      <w:tr w:rsidR="004B3B82" w:rsidRPr="007D4C5F" w14:paraId="315AEDB7" w14:textId="77777777" w:rsidTr="00CD3B05">
        <w:tblPrEx>
          <w:shd w:val="clear" w:color="auto" w:fill="auto"/>
        </w:tblPrEx>
        <w:trPr>
          <w:trHeight w:val="1210"/>
          <w:jc w:val="right"/>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2F96F49" w14:textId="77777777" w:rsidR="004B3B82" w:rsidRPr="007D4C5F" w:rsidRDefault="004B3B82" w:rsidP="00CD3B05">
            <w:pPr>
              <w:rPr>
                <w:rFonts w:ascii="Garamond" w:hAnsi="Garamond"/>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62F071B" w14:textId="77777777" w:rsidR="004B3B82" w:rsidRPr="007D4C5F" w:rsidRDefault="004B3B82" w:rsidP="00CD3B05">
            <w:pPr>
              <w:jc w:val="center"/>
              <w:rPr>
                <w:rFonts w:ascii="Garamond" w:hAnsi="Garamond"/>
              </w:rPr>
            </w:pPr>
            <w:r w:rsidRPr="007D4C5F">
              <w:rPr>
                <w:rFonts w:ascii="Garamond" w:hAnsi="Garamond"/>
                <w:b/>
                <w:bCs/>
              </w:rPr>
              <w:t>Критерии</w:t>
            </w:r>
          </w:p>
        </w:tc>
        <w:tc>
          <w:tcPr>
            <w:tcW w:w="779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306A80" w14:textId="77777777" w:rsidR="004B3B82" w:rsidRPr="003B2DA6" w:rsidRDefault="004B3B82" w:rsidP="004B3B82">
            <w:pPr>
              <w:pStyle w:val="ac"/>
              <w:numPr>
                <w:ilvl w:val="0"/>
                <w:numId w:val="191"/>
              </w:numPr>
              <w:pBdr>
                <w:top w:val="nil"/>
                <w:left w:val="nil"/>
                <w:bottom w:val="nil"/>
                <w:right w:val="nil"/>
                <w:between w:val="nil"/>
                <w:bar w:val="nil"/>
              </w:pBdr>
              <w:tabs>
                <w:tab w:val="left" w:pos="317"/>
              </w:tabs>
              <w:ind w:left="336"/>
              <w:jc w:val="both"/>
              <w:rPr>
                <w:rFonts w:ascii="Garamond" w:hAnsi="Garamond"/>
                <w:highlight w:val="yellow"/>
              </w:rPr>
            </w:pPr>
            <w:r w:rsidRPr="0081004D">
              <w:rPr>
                <w:rFonts w:ascii="Garamond" w:hAnsi="Garamond"/>
                <w:highlight w:val="yellow"/>
              </w:rPr>
              <w:t xml:space="preserve">При проведении </w:t>
            </w:r>
            <w:r>
              <w:rPr>
                <w:rFonts w:ascii="Garamond" w:hAnsi="Garamond"/>
                <w:highlight w:val="yellow"/>
              </w:rPr>
              <w:t>процедуры</w:t>
            </w:r>
            <w:r w:rsidRPr="0081004D">
              <w:rPr>
                <w:rFonts w:ascii="Garamond" w:hAnsi="Garamond"/>
                <w:highlight w:val="yellow"/>
              </w:rPr>
              <w:t xml:space="preserve"> установления соответствия АИИС КУЭ</w:t>
            </w:r>
            <w:r>
              <w:rPr>
                <w:rFonts w:ascii="Garamond" w:hAnsi="Garamond"/>
                <w:highlight w:val="yellow"/>
              </w:rPr>
              <w:t>:</w:t>
            </w:r>
          </w:p>
          <w:p w14:paraId="5D72AC94" w14:textId="77777777" w:rsidR="004B3B82" w:rsidRDefault="004B3B82" w:rsidP="00CD3B05">
            <w:pPr>
              <w:pStyle w:val="ac"/>
              <w:pBdr>
                <w:top w:val="nil"/>
                <w:left w:val="nil"/>
                <w:bottom w:val="nil"/>
                <w:right w:val="nil"/>
                <w:between w:val="nil"/>
                <w:bar w:val="nil"/>
              </w:pBdr>
              <w:tabs>
                <w:tab w:val="left" w:pos="1440"/>
              </w:tabs>
              <w:ind w:left="317"/>
              <w:jc w:val="both"/>
              <w:rPr>
                <w:rFonts w:ascii="Garamond" w:hAnsi="Garamond"/>
              </w:rPr>
            </w:pPr>
          </w:p>
          <w:p w14:paraId="1353A22E" w14:textId="77777777" w:rsidR="004B3B82" w:rsidRPr="007D4C5F" w:rsidRDefault="004B3B82" w:rsidP="004B3B82">
            <w:pPr>
              <w:pStyle w:val="ac"/>
              <w:numPr>
                <w:ilvl w:val="0"/>
                <w:numId w:val="155"/>
              </w:numPr>
              <w:pBdr>
                <w:top w:val="nil"/>
                <w:left w:val="nil"/>
                <w:bottom w:val="nil"/>
                <w:right w:val="nil"/>
                <w:between w:val="nil"/>
                <w:bar w:val="nil"/>
              </w:pBdr>
              <w:tabs>
                <w:tab w:val="left" w:pos="1440"/>
              </w:tabs>
              <w:jc w:val="both"/>
              <w:rPr>
                <w:rFonts w:ascii="Garamond" w:hAnsi="Garamond"/>
              </w:rPr>
            </w:pPr>
            <w:r w:rsidRPr="007D4C5F">
              <w:rPr>
                <w:rFonts w:ascii="Garamond" w:hAnsi="Garamond"/>
              </w:rPr>
              <w:t xml:space="preserve">Отсутствие в ответных сообщениях (формат 80021) от КО уведомлений об ошибках. </w:t>
            </w:r>
          </w:p>
          <w:p w14:paraId="0A816E38" w14:textId="77777777" w:rsidR="004B3B82" w:rsidRPr="007D4C5F" w:rsidRDefault="004B3B82" w:rsidP="004B3B82">
            <w:pPr>
              <w:pStyle w:val="ac"/>
              <w:numPr>
                <w:ilvl w:val="0"/>
                <w:numId w:val="155"/>
              </w:numPr>
              <w:pBdr>
                <w:top w:val="nil"/>
                <w:left w:val="nil"/>
                <w:bottom w:val="nil"/>
                <w:right w:val="nil"/>
                <w:between w:val="nil"/>
                <w:bar w:val="nil"/>
              </w:pBdr>
              <w:tabs>
                <w:tab w:val="left" w:pos="1440"/>
              </w:tabs>
              <w:jc w:val="both"/>
              <w:rPr>
                <w:rFonts w:ascii="Garamond" w:hAnsi="Garamond"/>
              </w:rPr>
            </w:pPr>
            <w:r w:rsidRPr="007D4C5F">
              <w:rPr>
                <w:rFonts w:ascii="Garamond" w:hAnsi="Garamond"/>
              </w:rPr>
              <w:t>Параметры ИИК соответствуют представленной документации.</w:t>
            </w:r>
          </w:p>
          <w:p w14:paraId="226E13F7" w14:textId="77777777" w:rsidR="004B3B82" w:rsidRPr="007D4C5F" w:rsidRDefault="004B3B82" w:rsidP="004B3B82">
            <w:pPr>
              <w:pStyle w:val="ac"/>
              <w:numPr>
                <w:ilvl w:val="0"/>
                <w:numId w:val="155"/>
              </w:numPr>
              <w:pBdr>
                <w:top w:val="nil"/>
                <w:left w:val="nil"/>
                <w:bottom w:val="nil"/>
                <w:right w:val="nil"/>
                <w:between w:val="nil"/>
                <w:bar w:val="nil"/>
              </w:pBdr>
              <w:tabs>
                <w:tab w:val="left" w:pos="1440"/>
              </w:tabs>
              <w:jc w:val="both"/>
              <w:rPr>
                <w:rFonts w:ascii="Garamond" w:hAnsi="Garamond"/>
              </w:rPr>
            </w:pPr>
            <w:r w:rsidRPr="007D4C5F">
              <w:rPr>
                <w:rFonts w:ascii="Garamond" w:hAnsi="Garamond"/>
              </w:rPr>
              <w:t xml:space="preserve">Идентичность результатов измерений, хранящихся в </w:t>
            </w:r>
            <w:r>
              <w:rPr>
                <w:rFonts w:ascii="Garamond" w:hAnsi="Garamond"/>
                <w:highlight w:val="yellow"/>
              </w:rPr>
              <w:t>приборах учета</w:t>
            </w:r>
            <w:r w:rsidRPr="007D4C5F">
              <w:rPr>
                <w:rFonts w:ascii="Garamond" w:hAnsi="Garamond"/>
              </w:rPr>
              <w:t>, УСПД (ИВКЭ), БД ИВК, ПАК КО</w:t>
            </w:r>
            <w:r>
              <w:rPr>
                <w:rFonts w:ascii="Garamond" w:hAnsi="Garamond"/>
              </w:rPr>
              <w:t xml:space="preserve"> </w:t>
            </w:r>
            <w:r w:rsidRPr="00F040C0">
              <w:rPr>
                <w:rFonts w:ascii="Garamond" w:hAnsi="Garamond"/>
              </w:rPr>
              <w:t>(по точке измерений на обходном выключателе проверка выполняется в отношении измерительных каналов, соответствующих измерительным каналам, закодированным КО для замещаемой точки измерений)</w:t>
            </w:r>
            <w:r w:rsidRPr="007D4C5F">
              <w:rPr>
                <w:rFonts w:ascii="Garamond" w:hAnsi="Garamond"/>
              </w:rPr>
              <w:t>.</w:t>
            </w:r>
          </w:p>
          <w:p w14:paraId="7400B85A" w14:textId="77777777" w:rsidR="004B3B82" w:rsidRDefault="004B3B82" w:rsidP="004B3B82">
            <w:pPr>
              <w:pStyle w:val="ac"/>
              <w:numPr>
                <w:ilvl w:val="0"/>
                <w:numId w:val="155"/>
              </w:numPr>
              <w:jc w:val="both"/>
              <w:rPr>
                <w:rFonts w:ascii="Garamond" w:hAnsi="Garamond" w:cs="Tahoma"/>
              </w:rPr>
            </w:pPr>
            <w:r w:rsidRPr="007D4C5F">
              <w:rPr>
                <w:rFonts w:ascii="Garamond" w:hAnsi="Garamond" w:cs="Tahoma"/>
              </w:rPr>
              <w:t xml:space="preserve">АИИС КУЭ соответствует документации, представленной в КО для проведения процедуры установления соответствия. </w:t>
            </w:r>
          </w:p>
          <w:p w14:paraId="5AAD5BCA" w14:textId="77777777" w:rsidR="004B3B82" w:rsidRDefault="004B3B82" w:rsidP="00CD3B05">
            <w:pPr>
              <w:rPr>
                <w:rFonts w:ascii="Garamond" w:hAnsi="Garamond" w:cs="Tahoma"/>
              </w:rPr>
            </w:pPr>
          </w:p>
          <w:p w14:paraId="47A74167" w14:textId="77777777" w:rsidR="004B3B82" w:rsidRPr="00C464DE" w:rsidRDefault="004B3B82" w:rsidP="004B3B82">
            <w:pPr>
              <w:pStyle w:val="ac"/>
              <w:numPr>
                <w:ilvl w:val="0"/>
                <w:numId w:val="191"/>
              </w:numPr>
              <w:pBdr>
                <w:top w:val="nil"/>
                <w:left w:val="nil"/>
                <w:bottom w:val="nil"/>
                <w:right w:val="nil"/>
                <w:between w:val="nil"/>
                <w:bar w:val="nil"/>
              </w:pBdr>
              <w:tabs>
                <w:tab w:val="left" w:pos="317"/>
              </w:tabs>
              <w:ind w:left="336"/>
              <w:jc w:val="both"/>
              <w:rPr>
                <w:rFonts w:ascii="Garamond" w:hAnsi="Garamond"/>
                <w:highlight w:val="yellow"/>
              </w:rPr>
            </w:pPr>
            <w:r w:rsidRPr="00424795">
              <w:rPr>
                <w:rFonts w:ascii="Garamond" w:hAnsi="Garamond"/>
                <w:highlight w:val="yellow"/>
              </w:rPr>
              <w:t xml:space="preserve">При проведении процедуры подтверждения соответствия системы учета </w:t>
            </w:r>
            <w:r>
              <w:rPr>
                <w:rFonts w:ascii="Garamond" w:hAnsi="Garamond"/>
                <w:highlight w:val="yellow"/>
              </w:rPr>
              <w:t xml:space="preserve">агрегатора </w:t>
            </w:r>
            <w:r w:rsidRPr="00424795">
              <w:rPr>
                <w:rFonts w:ascii="Garamond" w:hAnsi="Garamond"/>
                <w:highlight w:val="yellow"/>
              </w:rPr>
              <w:t xml:space="preserve">техническим </w:t>
            </w:r>
            <w:r w:rsidRPr="00C464DE">
              <w:rPr>
                <w:rFonts w:ascii="Garamond" w:hAnsi="Garamond"/>
                <w:highlight w:val="yellow"/>
              </w:rPr>
              <w:t>требованиям оптового рынка:</w:t>
            </w:r>
          </w:p>
          <w:p w14:paraId="7684F145" w14:textId="77777777" w:rsidR="004B3B82" w:rsidRPr="007E3045" w:rsidRDefault="004B3B82" w:rsidP="004B3B82">
            <w:pPr>
              <w:pStyle w:val="ac"/>
              <w:numPr>
                <w:ilvl w:val="0"/>
                <w:numId w:val="176"/>
              </w:numPr>
              <w:pBdr>
                <w:top w:val="nil"/>
                <w:left w:val="nil"/>
                <w:bottom w:val="nil"/>
                <w:right w:val="nil"/>
                <w:between w:val="nil"/>
                <w:bar w:val="nil"/>
              </w:pBdr>
              <w:tabs>
                <w:tab w:val="left" w:pos="1440"/>
              </w:tabs>
              <w:jc w:val="both"/>
              <w:rPr>
                <w:rFonts w:ascii="Garamond" w:hAnsi="Garamond"/>
                <w:highlight w:val="yellow"/>
              </w:rPr>
            </w:pPr>
            <w:r w:rsidRPr="007E3045">
              <w:rPr>
                <w:rFonts w:ascii="Garamond" w:hAnsi="Garamond"/>
                <w:highlight w:val="yellow"/>
              </w:rPr>
              <w:t xml:space="preserve">Отсутствие в ответных сообщениях (формат 20021) от КО уведомлений об ошибках. </w:t>
            </w:r>
          </w:p>
          <w:p w14:paraId="6528D0A3" w14:textId="77777777" w:rsidR="004B3B82" w:rsidRPr="007E3045" w:rsidRDefault="004B3B82" w:rsidP="004B3B82">
            <w:pPr>
              <w:pStyle w:val="ac"/>
              <w:numPr>
                <w:ilvl w:val="0"/>
                <w:numId w:val="176"/>
              </w:numPr>
              <w:pBdr>
                <w:top w:val="nil"/>
                <w:left w:val="nil"/>
                <w:bottom w:val="nil"/>
                <w:right w:val="nil"/>
                <w:between w:val="nil"/>
                <w:bar w:val="nil"/>
              </w:pBdr>
              <w:tabs>
                <w:tab w:val="left" w:pos="1440"/>
              </w:tabs>
              <w:jc w:val="both"/>
              <w:rPr>
                <w:rFonts w:ascii="Garamond" w:hAnsi="Garamond"/>
                <w:highlight w:val="yellow"/>
              </w:rPr>
            </w:pPr>
            <w:r w:rsidRPr="00B779C7">
              <w:rPr>
                <w:rFonts w:ascii="Garamond" w:hAnsi="Garamond"/>
                <w:highlight w:val="yellow"/>
              </w:rPr>
              <w:t>Параметры ИИК соответствуют информации, указанной в макетах 20020.</w:t>
            </w:r>
          </w:p>
          <w:p w14:paraId="69D8DEB2" w14:textId="77777777" w:rsidR="004B3B82" w:rsidRDefault="004B3B82" w:rsidP="004B3B82">
            <w:pPr>
              <w:pStyle w:val="ac"/>
              <w:numPr>
                <w:ilvl w:val="0"/>
                <w:numId w:val="176"/>
              </w:numPr>
              <w:pBdr>
                <w:top w:val="nil"/>
                <w:left w:val="nil"/>
                <w:bottom w:val="nil"/>
                <w:right w:val="nil"/>
                <w:between w:val="nil"/>
                <w:bar w:val="nil"/>
              </w:pBdr>
              <w:tabs>
                <w:tab w:val="left" w:pos="1440"/>
              </w:tabs>
              <w:jc w:val="both"/>
              <w:rPr>
                <w:rFonts w:ascii="Garamond" w:hAnsi="Garamond"/>
                <w:highlight w:val="yellow"/>
              </w:rPr>
            </w:pPr>
            <w:r w:rsidRPr="00C464DE">
              <w:rPr>
                <w:rFonts w:ascii="Garamond" w:hAnsi="Garamond"/>
                <w:highlight w:val="yellow"/>
              </w:rPr>
              <w:t>Идентичность результатов измерений, хранящихся в приборах учета, УСПД (ИВКЭ), БД ИВК, ПАК КО (по точке измерений на обходном выключателе проверка выполняется в отношении измерительных каналов, соответствующих измерительным каналам, закодированным КО для замещаемой точки измерений).</w:t>
            </w:r>
          </w:p>
          <w:p w14:paraId="3FE43891" w14:textId="77777777" w:rsidR="004B3B82" w:rsidRPr="00C464DE" w:rsidRDefault="004B3B82" w:rsidP="004B3B82">
            <w:pPr>
              <w:pStyle w:val="ac"/>
              <w:numPr>
                <w:ilvl w:val="0"/>
                <w:numId w:val="176"/>
              </w:numPr>
              <w:pBdr>
                <w:top w:val="nil"/>
                <w:left w:val="nil"/>
                <w:bottom w:val="nil"/>
                <w:right w:val="nil"/>
                <w:between w:val="nil"/>
                <w:bar w:val="nil"/>
              </w:pBdr>
              <w:tabs>
                <w:tab w:val="left" w:pos="1440"/>
              </w:tabs>
              <w:jc w:val="both"/>
              <w:rPr>
                <w:rFonts w:ascii="Garamond" w:hAnsi="Garamond"/>
                <w:highlight w:val="yellow"/>
              </w:rPr>
            </w:pPr>
            <w:r w:rsidRPr="00C464DE">
              <w:rPr>
                <w:rFonts w:ascii="Garamond" w:hAnsi="Garamond" w:cs="Tahoma"/>
                <w:highlight w:val="yellow"/>
              </w:rPr>
              <w:t xml:space="preserve">Информация о приборах учета в совокупности СИ и ТУ соответствует ПСИ. </w:t>
            </w:r>
          </w:p>
        </w:tc>
      </w:tr>
      <w:tr w:rsidR="004B3B82" w:rsidRPr="007D4C5F" w14:paraId="1FBF639C" w14:textId="77777777" w:rsidTr="00CD3B05">
        <w:tblPrEx>
          <w:shd w:val="clear" w:color="auto" w:fill="auto"/>
        </w:tblPrEx>
        <w:trPr>
          <w:trHeight w:val="730"/>
          <w:jc w:val="right"/>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85E538F" w14:textId="77777777" w:rsidR="004B3B82" w:rsidRPr="007D4C5F" w:rsidRDefault="004B3B82" w:rsidP="00CD3B05">
            <w:pPr>
              <w:rPr>
                <w:rFonts w:ascii="Garamond" w:hAnsi="Garamond"/>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5B852C4" w14:textId="77777777" w:rsidR="004B3B82" w:rsidRPr="007D4C5F" w:rsidRDefault="004B3B82" w:rsidP="00CD3B05">
            <w:pPr>
              <w:jc w:val="center"/>
              <w:rPr>
                <w:rFonts w:ascii="Garamond" w:hAnsi="Garamond"/>
              </w:rPr>
            </w:pPr>
            <w:r w:rsidRPr="007D4C5F">
              <w:rPr>
                <w:rFonts w:ascii="Garamond" w:hAnsi="Garamond"/>
                <w:b/>
                <w:bCs/>
              </w:rPr>
              <w:t>Испытатели</w:t>
            </w:r>
          </w:p>
        </w:tc>
        <w:tc>
          <w:tcPr>
            <w:tcW w:w="779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B4BFD6D" w14:textId="77777777" w:rsidR="004B3B82" w:rsidRPr="007D4C5F" w:rsidRDefault="004B3B82" w:rsidP="004B3B82">
            <w:pPr>
              <w:pStyle w:val="ac"/>
              <w:numPr>
                <w:ilvl w:val="0"/>
                <w:numId w:val="156"/>
              </w:numPr>
              <w:pBdr>
                <w:top w:val="nil"/>
                <w:left w:val="nil"/>
                <w:bottom w:val="nil"/>
                <w:right w:val="nil"/>
                <w:between w:val="nil"/>
                <w:bar w:val="nil"/>
              </w:pBdr>
              <w:tabs>
                <w:tab w:val="left" w:pos="1440"/>
              </w:tabs>
              <w:jc w:val="both"/>
              <w:rPr>
                <w:rFonts w:ascii="Garamond" w:eastAsia="Garamond" w:hAnsi="Garamond" w:cs="Garamond"/>
              </w:rPr>
            </w:pPr>
            <w:r w:rsidRPr="007D4C5F">
              <w:rPr>
                <w:rFonts w:ascii="Garamond" w:hAnsi="Garamond"/>
              </w:rPr>
              <w:t>Представители КО.</w:t>
            </w:r>
          </w:p>
          <w:p w14:paraId="1D45F85F" w14:textId="77777777" w:rsidR="004B3B82" w:rsidRPr="007D4C5F" w:rsidRDefault="004B3B82" w:rsidP="004B3B82">
            <w:pPr>
              <w:pStyle w:val="ac"/>
              <w:numPr>
                <w:ilvl w:val="0"/>
                <w:numId w:val="156"/>
              </w:numPr>
              <w:pBdr>
                <w:top w:val="nil"/>
                <w:left w:val="nil"/>
                <w:bottom w:val="nil"/>
                <w:right w:val="nil"/>
                <w:between w:val="nil"/>
                <w:bar w:val="nil"/>
              </w:pBdr>
              <w:tabs>
                <w:tab w:val="left" w:pos="1440"/>
              </w:tabs>
              <w:ind w:left="380" w:hanging="380"/>
              <w:jc w:val="both"/>
              <w:rPr>
                <w:rFonts w:ascii="Garamond" w:eastAsia="Garamond" w:hAnsi="Garamond" w:cs="Garamond"/>
              </w:rPr>
            </w:pPr>
            <w:r w:rsidRPr="007D4C5F">
              <w:rPr>
                <w:rFonts w:ascii="Garamond" w:hAnsi="Garamond"/>
              </w:rPr>
              <w:t>Представители заявителя</w:t>
            </w:r>
            <w:r w:rsidRPr="007D4C5F">
              <w:rPr>
                <w:rFonts w:ascii="Garamond" w:eastAsia="Garamond" w:hAnsi="Garamond" w:cs="Garamond"/>
              </w:rPr>
              <w:t>.</w:t>
            </w:r>
          </w:p>
          <w:p w14:paraId="205609B7" w14:textId="103ADD9D" w:rsidR="004B3B82" w:rsidRPr="007D4C5F" w:rsidRDefault="004B3B82" w:rsidP="004B3B82">
            <w:pPr>
              <w:pStyle w:val="ac"/>
              <w:numPr>
                <w:ilvl w:val="0"/>
                <w:numId w:val="156"/>
              </w:numPr>
              <w:pBdr>
                <w:top w:val="nil"/>
                <w:left w:val="nil"/>
                <w:bottom w:val="nil"/>
                <w:right w:val="nil"/>
                <w:between w:val="nil"/>
                <w:bar w:val="nil"/>
              </w:pBdr>
              <w:tabs>
                <w:tab w:val="left" w:pos="1440"/>
              </w:tabs>
              <w:ind w:left="380" w:hanging="380"/>
              <w:jc w:val="both"/>
              <w:rPr>
                <w:rFonts w:ascii="Garamond" w:eastAsia="Garamond" w:hAnsi="Garamond" w:cs="Garamond"/>
              </w:rPr>
            </w:pPr>
            <w:r w:rsidRPr="007D4C5F">
              <w:rPr>
                <w:rFonts w:ascii="Garamond" w:hAnsi="Garamond"/>
              </w:rPr>
              <w:t>Представители смежного субъекта (при участии в испытаниях</w:t>
            </w:r>
            <w:r w:rsidRPr="00424795">
              <w:rPr>
                <w:rFonts w:ascii="Garamond" w:hAnsi="Garamond"/>
                <w:highlight w:val="yellow"/>
              </w:rPr>
              <w:t xml:space="preserve"> в рамках процедуры установления соответс</w:t>
            </w:r>
            <w:r w:rsidR="001B3CED">
              <w:rPr>
                <w:rFonts w:ascii="Garamond" w:hAnsi="Garamond"/>
                <w:highlight w:val="yellow"/>
              </w:rPr>
              <w:t>т</w:t>
            </w:r>
            <w:r w:rsidRPr="00424795">
              <w:rPr>
                <w:rFonts w:ascii="Garamond" w:hAnsi="Garamond"/>
                <w:highlight w:val="yellow"/>
              </w:rPr>
              <w:t>вия АИИС КУЭ</w:t>
            </w:r>
            <w:r w:rsidRPr="007D4C5F">
              <w:rPr>
                <w:rFonts w:ascii="Garamond" w:hAnsi="Garamond"/>
              </w:rPr>
              <w:t>).</w:t>
            </w:r>
          </w:p>
        </w:tc>
      </w:tr>
      <w:tr w:rsidR="004B3B82" w:rsidRPr="007D4C5F" w14:paraId="0C0B6353" w14:textId="77777777" w:rsidTr="00CD3B05">
        <w:tblPrEx>
          <w:shd w:val="clear" w:color="auto" w:fill="auto"/>
        </w:tblPrEx>
        <w:trPr>
          <w:trHeight w:val="250"/>
          <w:jc w:val="right"/>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C5D1F02" w14:textId="77777777" w:rsidR="004B3B82" w:rsidRPr="007D4C5F" w:rsidRDefault="004B3B82" w:rsidP="00CD3B05">
            <w:pPr>
              <w:rPr>
                <w:rFonts w:ascii="Garamond" w:hAnsi="Garamond"/>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B7B4034" w14:textId="77777777" w:rsidR="004B3B82" w:rsidRPr="007D4C5F" w:rsidRDefault="004B3B82" w:rsidP="00CD3B05">
            <w:pPr>
              <w:jc w:val="center"/>
              <w:rPr>
                <w:rFonts w:ascii="Garamond" w:hAnsi="Garamond"/>
              </w:rPr>
            </w:pPr>
            <w:r w:rsidRPr="007D4C5F">
              <w:rPr>
                <w:rFonts w:ascii="Garamond" w:hAnsi="Garamond"/>
                <w:b/>
                <w:bCs/>
              </w:rPr>
              <w:t>Документация</w:t>
            </w:r>
          </w:p>
        </w:tc>
        <w:tc>
          <w:tcPr>
            <w:tcW w:w="779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25AF8BC" w14:textId="77777777" w:rsidR="004B3B82" w:rsidRDefault="004B3B82" w:rsidP="004B3B82">
            <w:pPr>
              <w:pStyle w:val="ac"/>
              <w:numPr>
                <w:ilvl w:val="0"/>
                <w:numId w:val="157"/>
              </w:numPr>
              <w:tabs>
                <w:tab w:val="left" w:pos="317"/>
              </w:tabs>
              <w:ind w:left="52" w:firstLine="0"/>
              <w:jc w:val="both"/>
              <w:rPr>
                <w:rFonts w:ascii="Garamond" w:hAnsi="Garamond"/>
                <w:highlight w:val="yellow"/>
              </w:rPr>
            </w:pPr>
            <w:r w:rsidRPr="0081004D">
              <w:rPr>
                <w:rFonts w:ascii="Garamond" w:hAnsi="Garamond"/>
                <w:highlight w:val="yellow"/>
              </w:rPr>
              <w:t xml:space="preserve">При проведении </w:t>
            </w:r>
            <w:r>
              <w:rPr>
                <w:rFonts w:ascii="Garamond" w:hAnsi="Garamond"/>
                <w:highlight w:val="yellow"/>
              </w:rPr>
              <w:t>процедуры</w:t>
            </w:r>
            <w:r w:rsidRPr="0081004D">
              <w:rPr>
                <w:rFonts w:ascii="Garamond" w:hAnsi="Garamond"/>
                <w:highlight w:val="yellow"/>
              </w:rPr>
              <w:t xml:space="preserve"> установления соответствия АИИС КУЭ</w:t>
            </w:r>
            <w:r>
              <w:rPr>
                <w:rFonts w:ascii="Garamond" w:hAnsi="Garamond"/>
                <w:highlight w:val="yellow"/>
              </w:rPr>
              <w:t>:</w:t>
            </w:r>
            <w:r w:rsidRPr="0081004D">
              <w:rPr>
                <w:rFonts w:ascii="Garamond" w:hAnsi="Garamond"/>
                <w:highlight w:val="yellow"/>
              </w:rPr>
              <w:t xml:space="preserve"> </w:t>
            </w:r>
            <w:r w:rsidRPr="00FF63FB">
              <w:rPr>
                <w:rFonts w:ascii="Garamond" w:hAnsi="Garamond"/>
                <w:highlight w:val="yellow"/>
              </w:rPr>
              <w:t>д</w:t>
            </w:r>
            <w:r w:rsidRPr="00424795">
              <w:rPr>
                <w:rFonts w:ascii="Garamond" w:hAnsi="Garamond"/>
              </w:rPr>
              <w:t>окументация в соответствии с таблицей 2 приложения 1 настоящего Порядка, представленная для установления соответствия АИИС КУЭ</w:t>
            </w:r>
            <w:r>
              <w:rPr>
                <w:rFonts w:ascii="Garamond" w:hAnsi="Garamond"/>
                <w:highlight w:val="yellow"/>
              </w:rPr>
              <w:t>.</w:t>
            </w:r>
          </w:p>
          <w:p w14:paraId="2705293A" w14:textId="77777777" w:rsidR="004B3B82" w:rsidRPr="00424795" w:rsidRDefault="004B3B82" w:rsidP="004B3B82">
            <w:pPr>
              <w:pStyle w:val="ac"/>
              <w:numPr>
                <w:ilvl w:val="0"/>
                <w:numId w:val="157"/>
              </w:numPr>
              <w:tabs>
                <w:tab w:val="left" w:pos="317"/>
              </w:tabs>
              <w:ind w:left="52" w:firstLine="0"/>
              <w:jc w:val="both"/>
              <w:rPr>
                <w:rFonts w:ascii="Garamond" w:hAnsi="Garamond"/>
                <w:highlight w:val="yellow"/>
              </w:rPr>
            </w:pPr>
            <w:r w:rsidRPr="00424795">
              <w:rPr>
                <w:rFonts w:ascii="Garamond" w:hAnsi="Garamond"/>
                <w:highlight w:val="yellow"/>
              </w:rPr>
              <w:t xml:space="preserve">При проведении процедуры подтверждения соответствия системы учета </w:t>
            </w:r>
            <w:r>
              <w:rPr>
                <w:rFonts w:ascii="Garamond" w:hAnsi="Garamond"/>
                <w:highlight w:val="yellow"/>
              </w:rPr>
              <w:t xml:space="preserve">агрегатора </w:t>
            </w:r>
            <w:r w:rsidRPr="00424795">
              <w:rPr>
                <w:rFonts w:ascii="Garamond" w:hAnsi="Garamond"/>
                <w:highlight w:val="yellow"/>
              </w:rPr>
              <w:t>техническим требованиям оптового рынка: ПСИ.</w:t>
            </w:r>
          </w:p>
        </w:tc>
      </w:tr>
      <w:tr w:rsidR="004B3B82" w:rsidRPr="007D4C5F" w14:paraId="2063C36F" w14:textId="77777777" w:rsidTr="00CD3B05">
        <w:tblPrEx>
          <w:shd w:val="clear" w:color="auto" w:fill="auto"/>
        </w:tblPrEx>
        <w:trPr>
          <w:trHeight w:val="250"/>
          <w:jc w:val="right"/>
        </w:trPr>
        <w:tc>
          <w:tcPr>
            <w:tcW w:w="567" w:type="dxa"/>
            <w:tcBorders>
              <w:top w:val="single" w:sz="4" w:space="0" w:color="000000"/>
              <w:left w:val="single" w:sz="4" w:space="0" w:color="000000"/>
              <w:bottom w:val="single" w:sz="4" w:space="0" w:color="000000"/>
              <w:right w:val="single" w:sz="4" w:space="0" w:color="000000"/>
            </w:tcBorders>
            <w:shd w:val="clear" w:color="auto" w:fill="BFBFBF"/>
            <w:tcMar>
              <w:top w:w="80" w:type="dxa"/>
              <w:left w:w="80" w:type="dxa"/>
              <w:bottom w:w="80" w:type="dxa"/>
              <w:right w:w="80" w:type="dxa"/>
            </w:tcMar>
            <w:vAlign w:val="center"/>
          </w:tcPr>
          <w:p w14:paraId="2BEE250B" w14:textId="77777777" w:rsidR="004B3B82" w:rsidRPr="007D4C5F" w:rsidRDefault="004B3B82" w:rsidP="00CD3B05">
            <w:pPr>
              <w:jc w:val="center"/>
              <w:rPr>
                <w:rFonts w:ascii="Garamond" w:hAnsi="Garamond"/>
              </w:rPr>
            </w:pPr>
            <w:r w:rsidRPr="007D4C5F">
              <w:rPr>
                <w:rFonts w:ascii="Garamond" w:hAnsi="Garamond"/>
              </w:rPr>
              <w:t>7</w:t>
            </w:r>
          </w:p>
        </w:tc>
        <w:tc>
          <w:tcPr>
            <w:tcW w:w="1560" w:type="dxa"/>
            <w:tcBorders>
              <w:top w:val="single" w:sz="4" w:space="0" w:color="000000"/>
              <w:left w:val="single" w:sz="4" w:space="0" w:color="000000"/>
              <w:bottom w:val="single" w:sz="4" w:space="0" w:color="000000"/>
              <w:right w:val="single" w:sz="4" w:space="0" w:color="000000"/>
            </w:tcBorders>
            <w:shd w:val="clear" w:color="auto" w:fill="BFBFBF"/>
            <w:tcMar>
              <w:top w:w="80" w:type="dxa"/>
              <w:left w:w="80" w:type="dxa"/>
              <w:bottom w:w="80" w:type="dxa"/>
              <w:right w:w="80" w:type="dxa"/>
            </w:tcMar>
            <w:vAlign w:val="center"/>
          </w:tcPr>
          <w:p w14:paraId="6A0FF22E" w14:textId="77777777" w:rsidR="004B3B82" w:rsidRPr="007D4C5F" w:rsidRDefault="004B3B82" w:rsidP="00CD3B05">
            <w:pPr>
              <w:jc w:val="center"/>
              <w:rPr>
                <w:rFonts w:ascii="Garamond" w:hAnsi="Garamond"/>
                <w:b/>
                <w:bCs/>
                <w:vertAlign w:val="subscript"/>
              </w:rPr>
            </w:pPr>
            <w:r w:rsidRPr="007D4C5F">
              <w:rPr>
                <w:rFonts w:ascii="Garamond" w:hAnsi="Garamond"/>
                <w:b/>
                <w:bCs/>
              </w:rPr>
              <w:t>П</w:t>
            </w:r>
            <w:r w:rsidRPr="007D4C5F">
              <w:rPr>
                <w:rFonts w:ascii="Garamond" w:hAnsi="Garamond"/>
                <w:b/>
                <w:bCs/>
                <w:vertAlign w:val="subscript"/>
              </w:rPr>
              <w:t>Ф16</w:t>
            </w:r>
          </w:p>
          <w:p w14:paraId="00CAD117" w14:textId="77777777" w:rsidR="004B3B82" w:rsidRPr="007D4C5F" w:rsidRDefault="004B3B82" w:rsidP="00CD3B05">
            <w:pPr>
              <w:jc w:val="center"/>
              <w:rPr>
                <w:rFonts w:ascii="Garamond" w:hAnsi="Garamond"/>
              </w:rPr>
            </w:pPr>
            <w:r w:rsidRPr="007D4C5F">
              <w:rPr>
                <w:rFonts w:ascii="Garamond" w:hAnsi="Garamond"/>
                <w:bCs/>
              </w:rPr>
              <w:t>(пп. 2.1.1, 3.4.3)</w:t>
            </w:r>
          </w:p>
        </w:tc>
        <w:tc>
          <w:tcPr>
            <w:tcW w:w="7797" w:type="dxa"/>
            <w:tcBorders>
              <w:top w:val="single" w:sz="4" w:space="0" w:color="000000"/>
              <w:left w:val="single" w:sz="4" w:space="0" w:color="000000"/>
              <w:bottom w:val="single" w:sz="4" w:space="0" w:color="000000"/>
              <w:right w:val="single" w:sz="4" w:space="0" w:color="000000"/>
            </w:tcBorders>
            <w:shd w:val="clear" w:color="auto" w:fill="BFBFBF"/>
            <w:tcMar>
              <w:top w:w="80" w:type="dxa"/>
              <w:left w:w="80" w:type="dxa"/>
              <w:bottom w:w="80" w:type="dxa"/>
              <w:right w:w="80" w:type="dxa"/>
            </w:tcMar>
          </w:tcPr>
          <w:p w14:paraId="7FC414ED" w14:textId="77777777" w:rsidR="004B3B82" w:rsidRPr="007D4C5F" w:rsidRDefault="004B3B82" w:rsidP="00CD3B05">
            <w:pPr>
              <w:rPr>
                <w:rFonts w:ascii="Garamond" w:hAnsi="Garamond"/>
              </w:rPr>
            </w:pPr>
            <w:r w:rsidRPr="007D4C5F">
              <w:rPr>
                <w:rFonts w:ascii="Garamond" w:hAnsi="Garamond"/>
                <w:b/>
                <w:bCs/>
              </w:rPr>
              <w:t>Цикличность измерений приращений электроэнергии – 30 минут</w:t>
            </w:r>
          </w:p>
        </w:tc>
      </w:tr>
      <w:tr w:rsidR="004B3B82" w:rsidRPr="007D4C5F" w14:paraId="6C9360CD" w14:textId="77777777" w:rsidTr="00CD3B05">
        <w:tblPrEx>
          <w:shd w:val="clear" w:color="auto" w:fill="auto"/>
        </w:tblPrEx>
        <w:trPr>
          <w:trHeight w:val="250"/>
          <w:jc w:val="right"/>
        </w:trPr>
        <w:tc>
          <w:tcPr>
            <w:tcW w:w="567" w:type="dxa"/>
            <w:tcBorders>
              <w:top w:val="single" w:sz="4" w:space="0" w:color="000000"/>
              <w:left w:val="single" w:sz="4" w:space="0" w:color="000000"/>
              <w:bottom w:val="single" w:sz="4" w:space="0" w:color="000000"/>
              <w:right w:val="single" w:sz="4" w:space="0" w:color="000000"/>
            </w:tcBorders>
            <w:shd w:val="clear" w:color="auto" w:fill="92D050"/>
            <w:tcMar>
              <w:top w:w="80" w:type="dxa"/>
              <w:left w:w="80" w:type="dxa"/>
              <w:bottom w:w="80" w:type="dxa"/>
              <w:right w:w="80" w:type="dxa"/>
            </w:tcMar>
            <w:vAlign w:val="center"/>
          </w:tcPr>
          <w:p w14:paraId="2E4D3797" w14:textId="77777777" w:rsidR="004B3B82" w:rsidRPr="007D4C5F" w:rsidRDefault="004B3B82" w:rsidP="00CD3B05">
            <w:pPr>
              <w:rPr>
                <w:rFonts w:ascii="Garamond" w:hAnsi="Garamond"/>
              </w:rPr>
            </w:pPr>
          </w:p>
        </w:tc>
        <w:tc>
          <w:tcPr>
            <w:tcW w:w="1560" w:type="dxa"/>
            <w:tcBorders>
              <w:top w:val="single" w:sz="4" w:space="0" w:color="000000"/>
              <w:left w:val="single" w:sz="4" w:space="0" w:color="000000"/>
              <w:bottom w:val="single" w:sz="4" w:space="0" w:color="000000"/>
              <w:right w:val="single" w:sz="4" w:space="0" w:color="000000"/>
            </w:tcBorders>
            <w:shd w:val="clear" w:color="auto" w:fill="92D050"/>
            <w:tcMar>
              <w:top w:w="80" w:type="dxa"/>
              <w:left w:w="80" w:type="dxa"/>
              <w:bottom w:w="80" w:type="dxa"/>
              <w:right w:w="80" w:type="dxa"/>
            </w:tcMar>
            <w:vAlign w:val="center"/>
          </w:tcPr>
          <w:p w14:paraId="635A7385" w14:textId="77777777" w:rsidR="004B3B82" w:rsidRPr="007D4C5F" w:rsidRDefault="004B3B82" w:rsidP="00CD3B05">
            <w:pPr>
              <w:jc w:val="center"/>
              <w:rPr>
                <w:rFonts w:ascii="Garamond" w:hAnsi="Garamond"/>
              </w:rPr>
            </w:pPr>
            <w:r w:rsidRPr="007D4C5F">
              <w:rPr>
                <w:rFonts w:ascii="Garamond" w:hAnsi="Garamond"/>
                <w:b/>
                <w:bCs/>
              </w:rPr>
              <w:t>Компоненты</w:t>
            </w:r>
          </w:p>
        </w:tc>
        <w:tc>
          <w:tcPr>
            <w:tcW w:w="7797" w:type="dxa"/>
            <w:tcBorders>
              <w:top w:val="single" w:sz="4" w:space="0" w:color="000000"/>
              <w:left w:val="single" w:sz="4" w:space="0" w:color="000000"/>
              <w:bottom w:val="single" w:sz="4" w:space="0" w:color="000000"/>
              <w:right w:val="single" w:sz="4" w:space="0" w:color="000000"/>
            </w:tcBorders>
            <w:shd w:val="clear" w:color="auto" w:fill="92D050"/>
            <w:tcMar>
              <w:top w:w="80" w:type="dxa"/>
              <w:left w:w="80" w:type="dxa"/>
              <w:bottom w:w="80" w:type="dxa"/>
              <w:right w:w="80" w:type="dxa"/>
            </w:tcMar>
          </w:tcPr>
          <w:p w14:paraId="200EA317" w14:textId="77777777" w:rsidR="004B3B82" w:rsidRPr="007D4C5F" w:rsidRDefault="004B3B82" w:rsidP="00CD3B05">
            <w:pPr>
              <w:rPr>
                <w:rFonts w:ascii="Garamond" w:hAnsi="Garamond"/>
              </w:rPr>
            </w:pPr>
            <w:r w:rsidRPr="007D4C5F">
              <w:rPr>
                <w:rFonts w:ascii="Garamond" w:hAnsi="Garamond"/>
              </w:rPr>
              <w:t xml:space="preserve">ИИК – </w:t>
            </w:r>
            <w:r>
              <w:rPr>
                <w:rFonts w:ascii="Garamond" w:hAnsi="Garamond"/>
                <w:highlight w:val="yellow"/>
              </w:rPr>
              <w:t>прибор учета</w:t>
            </w:r>
          </w:p>
        </w:tc>
      </w:tr>
      <w:tr w:rsidR="004B3B82" w:rsidRPr="007D4C5F" w14:paraId="16FEF74A" w14:textId="77777777" w:rsidTr="00E31AE6">
        <w:tblPrEx>
          <w:shd w:val="clear" w:color="auto" w:fill="auto"/>
        </w:tblPrEx>
        <w:trPr>
          <w:jc w:val="right"/>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CF58232" w14:textId="77777777" w:rsidR="004B3B82" w:rsidRPr="007D4C5F" w:rsidRDefault="004B3B82" w:rsidP="00CD3B05">
            <w:pPr>
              <w:rPr>
                <w:rFonts w:ascii="Garamond" w:hAnsi="Garamond"/>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1909D65" w14:textId="77777777" w:rsidR="004B3B82" w:rsidRPr="007D4C5F" w:rsidRDefault="004B3B82" w:rsidP="00CD3B05">
            <w:pPr>
              <w:jc w:val="center"/>
              <w:rPr>
                <w:rFonts w:ascii="Garamond" w:hAnsi="Garamond"/>
              </w:rPr>
            </w:pPr>
            <w:r w:rsidRPr="007D4C5F">
              <w:rPr>
                <w:rFonts w:ascii="Garamond" w:hAnsi="Garamond"/>
                <w:b/>
                <w:bCs/>
              </w:rPr>
              <w:t>Действия</w:t>
            </w:r>
          </w:p>
        </w:tc>
        <w:tc>
          <w:tcPr>
            <w:tcW w:w="779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3F2EE74" w14:textId="77777777" w:rsidR="004B3B82" w:rsidRPr="003B2DA6" w:rsidRDefault="004B3B82" w:rsidP="004B3B82">
            <w:pPr>
              <w:pStyle w:val="ac"/>
              <w:numPr>
                <w:ilvl w:val="0"/>
                <w:numId w:val="211"/>
              </w:numPr>
              <w:pBdr>
                <w:top w:val="nil"/>
                <w:left w:val="nil"/>
                <w:bottom w:val="nil"/>
                <w:right w:val="nil"/>
                <w:between w:val="nil"/>
                <w:bar w:val="nil"/>
              </w:pBdr>
              <w:tabs>
                <w:tab w:val="left" w:pos="317"/>
              </w:tabs>
              <w:ind w:left="336" w:hanging="281"/>
              <w:jc w:val="both"/>
              <w:rPr>
                <w:rFonts w:ascii="Garamond" w:hAnsi="Garamond"/>
                <w:highlight w:val="yellow"/>
              </w:rPr>
            </w:pPr>
            <w:r w:rsidRPr="0081004D">
              <w:rPr>
                <w:rFonts w:ascii="Garamond" w:hAnsi="Garamond"/>
                <w:highlight w:val="yellow"/>
              </w:rPr>
              <w:t xml:space="preserve">При проведении </w:t>
            </w:r>
            <w:r>
              <w:rPr>
                <w:rFonts w:ascii="Garamond" w:hAnsi="Garamond"/>
                <w:highlight w:val="yellow"/>
              </w:rPr>
              <w:t>процедуры</w:t>
            </w:r>
            <w:r w:rsidRPr="0081004D">
              <w:rPr>
                <w:rFonts w:ascii="Garamond" w:hAnsi="Garamond"/>
                <w:highlight w:val="yellow"/>
              </w:rPr>
              <w:t xml:space="preserve"> установления соответствия АИИС КУЭ</w:t>
            </w:r>
            <w:r>
              <w:rPr>
                <w:rFonts w:ascii="Garamond" w:hAnsi="Garamond"/>
                <w:highlight w:val="yellow"/>
              </w:rPr>
              <w:t>:</w:t>
            </w:r>
          </w:p>
          <w:p w14:paraId="59B2ABE9" w14:textId="77777777" w:rsidR="004B3B82" w:rsidRPr="007D4C5F" w:rsidRDefault="004B3B82" w:rsidP="004B3B82">
            <w:pPr>
              <w:pStyle w:val="ac"/>
              <w:numPr>
                <w:ilvl w:val="0"/>
                <w:numId w:val="158"/>
              </w:numPr>
              <w:pBdr>
                <w:top w:val="nil"/>
                <w:left w:val="nil"/>
                <w:bottom w:val="nil"/>
                <w:right w:val="nil"/>
                <w:between w:val="nil"/>
                <w:bar w:val="nil"/>
              </w:pBdr>
              <w:tabs>
                <w:tab w:val="left" w:pos="1440"/>
              </w:tabs>
              <w:ind w:hanging="262"/>
              <w:jc w:val="both"/>
              <w:rPr>
                <w:rFonts w:ascii="Garamond" w:eastAsia="Garamond" w:hAnsi="Garamond" w:cs="Garamond"/>
              </w:rPr>
            </w:pPr>
            <w:r w:rsidRPr="007D4C5F">
              <w:rPr>
                <w:rFonts w:ascii="Garamond" w:hAnsi="Garamond"/>
              </w:rPr>
              <w:t>С помощью стандартных средств операционной системы или специализированного ПО удаленного доступа и администрирования устанавливается интернет-соединение с удаленным рабочим столом сервера ИВК</w:t>
            </w:r>
            <w:r>
              <w:rPr>
                <w:rFonts w:ascii="Garamond" w:hAnsi="Garamond"/>
              </w:rPr>
              <w:t xml:space="preserve"> АИИС КУЭ</w:t>
            </w:r>
            <w:r w:rsidRPr="007D4C5F">
              <w:rPr>
                <w:rFonts w:ascii="Garamond" w:hAnsi="Garamond"/>
              </w:rPr>
              <w:t>.</w:t>
            </w:r>
          </w:p>
          <w:p w14:paraId="3679E655" w14:textId="77777777" w:rsidR="004B3B82" w:rsidRPr="006F7B6C" w:rsidRDefault="004B3B82" w:rsidP="004B3B82">
            <w:pPr>
              <w:pStyle w:val="ac"/>
              <w:numPr>
                <w:ilvl w:val="0"/>
                <w:numId w:val="158"/>
              </w:numPr>
              <w:pBdr>
                <w:top w:val="nil"/>
                <w:left w:val="nil"/>
                <w:bottom w:val="nil"/>
                <w:right w:val="nil"/>
                <w:between w:val="nil"/>
                <w:bar w:val="nil"/>
              </w:pBdr>
              <w:tabs>
                <w:tab w:val="left" w:pos="1440"/>
              </w:tabs>
              <w:ind w:hanging="262"/>
              <w:jc w:val="both"/>
              <w:rPr>
                <w:rFonts w:ascii="Garamond" w:eastAsia="Garamond" w:hAnsi="Garamond" w:cs="Garamond"/>
              </w:rPr>
            </w:pPr>
            <w:r w:rsidRPr="007D4C5F">
              <w:rPr>
                <w:rFonts w:ascii="Garamond" w:hAnsi="Garamond"/>
              </w:rPr>
              <w:t xml:space="preserve">С помощью специализированного ПО, установленного на сервере (АРМ) ИВК, посредством удаленного доступа устанавливается связь </w:t>
            </w:r>
            <w:r>
              <w:rPr>
                <w:rFonts w:ascii="Garamond" w:hAnsi="Garamond"/>
                <w:highlight w:val="yellow"/>
              </w:rPr>
              <w:t>с приборами учета</w:t>
            </w:r>
            <w:r w:rsidRPr="007D4C5F">
              <w:rPr>
                <w:rFonts w:ascii="Garamond" w:hAnsi="Garamond"/>
              </w:rPr>
              <w:t xml:space="preserve"> и производится проверка параметров настройки времени интегрирования мощности и контроль наличия в памяти </w:t>
            </w:r>
            <w:r>
              <w:rPr>
                <w:rFonts w:ascii="Garamond" w:hAnsi="Garamond"/>
                <w:highlight w:val="yellow"/>
              </w:rPr>
              <w:t>прибора учета</w:t>
            </w:r>
            <w:r w:rsidRPr="007D4C5F">
              <w:rPr>
                <w:rFonts w:ascii="Garamond" w:hAnsi="Garamond"/>
              </w:rPr>
              <w:t xml:space="preserve"> 30-минутных приращений электр</w:t>
            </w:r>
            <w:r w:rsidRPr="001074A1">
              <w:rPr>
                <w:rFonts w:ascii="Garamond" w:hAnsi="Garamond"/>
                <w:highlight w:val="yellow"/>
              </w:rPr>
              <w:t>о</w:t>
            </w:r>
            <w:r w:rsidRPr="007D4C5F">
              <w:rPr>
                <w:rFonts w:ascii="Garamond" w:hAnsi="Garamond"/>
              </w:rPr>
              <w:t>энергии (получасовых интегрированных профилей мощности).</w:t>
            </w:r>
          </w:p>
          <w:p w14:paraId="7D8618CD" w14:textId="77777777" w:rsidR="004B3B82" w:rsidRDefault="004B3B82" w:rsidP="00E31AE6">
            <w:pPr>
              <w:pStyle w:val="ac"/>
              <w:pBdr>
                <w:top w:val="nil"/>
                <w:left w:val="nil"/>
                <w:bottom w:val="nil"/>
                <w:right w:val="nil"/>
                <w:between w:val="nil"/>
                <w:bar w:val="nil"/>
              </w:pBdr>
              <w:tabs>
                <w:tab w:val="left" w:pos="1440"/>
              </w:tabs>
              <w:ind w:left="317"/>
              <w:jc w:val="both"/>
              <w:rPr>
                <w:rFonts w:ascii="Garamond" w:hAnsi="Garamond"/>
              </w:rPr>
            </w:pPr>
          </w:p>
          <w:p w14:paraId="1C726D15" w14:textId="77777777" w:rsidR="004B3B82" w:rsidRPr="00C464DE" w:rsidRDefault="004B3B82" w:rsidP="004B3B82">
            <w:pPr>
              <w:pStyle w:val="ac"/>
              <w:numPr>
                <w:ilvl w:val="0"/>
                <w:numId w:val="211"/>
              </w:numPr>
              <w:pBdr>
                <w:top w:val="nil"/>
                <w:left w:val="nil"/>
                <w:bottom w:val="nil"/>
                <w:right w:val="nil"/>
                <w:between w:val="nil"/>
                <w:bar w:val="nil"/>
              </w:pBdr>
              <w:tabs>
                <w:tab w:val="left" w:pos="317"/>
              </w:tabs>
              <w:ind w:left="336" w:hanging="281"/>
              <w:jc w:val="both"/>
              <w:rPr>
                <w:rFonts w:ascii="Garamond" w:hAnsi="Garamond"/>
                <w:highlight w:val="yellow"/>
              </w:rPr>
            </w:pPr>
            <w:r w:rsidRPr="00424795">
              <w:rPr>
                <w:rFonts w:ascii="Garamond" w:hAnsi="Garamond"/>
                <w:highlight w:val="yellow"/>
              </w:rPr>
              <w:t xml:space="preserve">При проведении процедуры подтверждения соответствия системы учета </w:t>
            </w:r>
            <w:r>
              <w:rPr>
                <w:rFonts w:ascii="Garamond" w:hAnsi="Garamond"/>
                <w:highlight w:val="yellow"/>
              </w:rPr>
              <w:t xml:space="preserve">агрегатора </w:t>
            </w:r>
            <w:r w:rsidRPr="00424795">
              <w:rPr>
                <w:rFonts w:ascii="Garamond" w:hAnsi="Garamond"/>
                <w:highlight w:val="yellow"/>
              </w:rPr>
              <w:t xml:space="preserve">техническим </w:t>
            </w:r>
            <w:r w:rsidRPr="00C464DE">
              <w:rPr>
                <w:rFonts w:ascii="Garamond" w:hAnsi="Garamond"/>
                <w:highlight w:val="yellow"/>
              </w:rPr>
              <w:t>требованиям оптового рынка:</w:t>
            </w:r>
          </w:p>
          <w:p w14:paraId="6CCF74CD" w14:textId="77777777" w:rsidR="004B3B82" w:rsidRPr="006F7B6C" w:rsidRDefault="004B3B82" w:rsidP="004B3B82">
            <w:pPr>
              <w:pStyle w:val="ac"/>
              <w:numPr>
                <w:ilvl w:val="0"/>
                <w:numId w:val="212"/>
              </w:numPr>
              <w:pBdr>
                <w:top w:val="nil"/>
                <w:left w:val="nil"/>
                <w:bottom w:val="nil"/>
                <w:right w:val="nil"/>
                <w:between w:val="nil"/>
                <w:bar w:val="nil"/>
              </w:pBdr>
              <w:tabs>
                <w:tab w:val="left" w:pos="1440"/>
              </w:tabs>
              <w:ind w:hanging="262"/>
              <w:jc w:val="both"/>
              <w:rPr>
                <w:rFonts w:ascii="Garamond" w:eastAsia="Garamond" w:hAnsi="Garamond" w:cs="Garamond"/>
                <w:highlight w:val="yellow"/>
              </w:rPr>
            </w:pPr>
            <w:r w:rsidRPr="006F7B6C">
              <w:rPr>
                <w:rFonts w:ascii="Garamond" w:hAnsi="Garamond"/>
                <w:highlight w:val="yellow"/>
              </w:rPr>
              <w:t xml:space="preserve">С помощью стандартных средств операционной системы или специализированного ПО удаленного доступа и администрирования устанавливается интернет-соединение с удаленным рабочим столом сервера ИВК </w:t>
            </w:r>
            <w:r w:rsidRPr="006F7B6C">
              <w:rPr>
                <w:rFonts w:ascii="Garamond" w:hAnsi="Garamond" w:cs="Tahoma"/>
                <w:highlight w:val="yellow"/>
              </w:rPr>
              <w:t>совокупност</w:t>
            </w:r>
            <w:r>
              <w:rPr>
                <w:rFonts w:ascii="Garamond" w:hAnsi="Garamond" w:cs="Tahoma"/>
                <w:highlight w:val="yellow"/>
              </w:rPr>
              <w:t>и</w:t>
            </w:r>
            <w:r w:rsidRPr="006F7B6C">
              <w:rPr>
                <w:rFonts w:ascii="Garamond" w:hAnsi="Garamond" w:cs="Tahoma"/>
                <w:highlight w:val="yellow"/>
              </w:rPr>
              <w:t xml:space="preserve"> СИ и ТУ</w:t>
            </w:r>
            <w:r w:rsidRPr="006F7B6C">
              <w:rPr>
                <w:rFonts w:ascii="Garamond" w:hAnsi="Garamond"/>
                <w:highlight w:val="yellow"/>
              </w:rPr>
              <w:t>.</w:t>
            </w:r>
          </w:p>
          <w:p w14:paraId="6DC0C2D2" w14:textId="77777777" w:rsidR="004B3B82" w:rsidRPr="006F7B6C" w:rsidRDefault="004B3B82" w:rsidP="004B3B82">
            <w:pPr>
              <w:pStyle w:val="ac"/>
              <w:numPr>
                <w:ilvl w:val="0"/>
                <w:numId w:val="212"/>
              </w:numPr>
              <w:pBdr>
                <w:top w:val="nil"/>
                <w:left w:val="nil"/>
                <w:bottom w:val="nil"/>
                <w:right w:val="nil"/>
                <w:between w:val="nil"/>
                <w:bar w:val="nil"/>
              </w:pBdr>
              <w:tabs>
                <w:tab w:val="left" w:pos="1440"/>
              </w:tabs>
              <w:ind w:hanging="262"/>
              <w:jc w:val="both"/>
              <w:rPr>
                <w:rFonts w:ascii="Garamond" w:eastAsia="Garamond" w:hAnsi="Garamond" w:cs="Garamond"/>
                <w:highlight w:val="yellow"/>
              </w:rPr>
            </w:pPr>
            <w:r w:rsidRPr="006F7B6C">
              <w:rPr>
                <w:rFonts w:ascii="Garamond" w:hAnsi="Garamond"/>
                <w:highlight w:val="yellow"/>
              </w:rPr>
              <w:t xml:space="preserve">С помощью специализированного ПО, установленного на сервере (АРМ) ИВК, посредством удаленного доступа устанавливается связь с приборами учета и производится проверка параметров настройки времени интегрирования мощности и </w:t>
            </w:r>
            <w:r w:rsidRPr="006F7B6C">
              <w:rPr>
                <w:rFonts w:ascii="Garamond" w:hAnsi="Garamond"/>
                <w:highlight w:val="yellow"/>
              </w:rPr>
              <w:lastRenderedPageBreak/>
              <w:t>контроль наличия в памяти прибора учета 30-минутных приращений электроэнергии (получасовых интегрированных профилей мощности).</w:t>
            </w:r>
          </w:p>
        </w:tc>
      </w:tr>
      <w:tr w:rsidR="004B3B82" w:rsidRPr="007D4C5F" w14:paraId="4A9DA3A5" w14:textId="77777777" w:rsidTr="00CD3B05">
        <w:tblPrEx>
          <w:shd w:val="clear" w:color="auto" w:fill="auto"/>
        </w:tblPrEx>
        <w:trPr>
          <w:trHeight w:val="1210"/>
          <w:jc w:val="right"/>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E61953E" w14:textId="77777777" w:rsidR="004B3B82" w:rsidRPr="007D4C5F" w:rsidRDefault="004B3B82" w:rsidP="00CD3B05">
            <w:pPr>
              <w:rPr>
                <w:rFonts w:ascii="Garamond" w:hAnsi="Garamond"/>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0A750AE" w14:textId="77777777" w:rsidR="004B3B82" w:rsidRPr="007D4C5F" w:rsidRDefault="004B3B82" w:rsidP="00CD3B05">
            <w:pPr>
              <w:jc w:val="center"/>
              <w:rPr>
                <w:rFonts w:ascii="Garamond" w:hAnsi="Garamond"/>
              </w:rPr>
            </w:pPr>
            <w:r w:rsidRPr="007D4C5F">
              <w:rPr>
                <w:rFonts w:ascii="Garamond" w:hAnsi="Garamond"/>
                <w:b/>
                <w:bCs/>
              </w:rPr>
              <w:t>Критерии</w:t>
            </w:r>
          </w:p>
        </w:tc>
        <w:tc>
          <w:tcPr>
            <w:tcW w:w="779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DCEDEED" w14:textId="77777777" w:rsidR="004B3B82" w:rsidRPr="00072D31" w:rsidRDefault="004B3B82" w:rsidP="004B3B82">
            <w:pPr>
              <w:pStyle w:val="ac"/>
              <w:numPr>
                <w:ilvl w:val="0"/>
                <w:numId w:val="213"/>
              </w:numPr>
              <w:pBdr>
                <w:top w:val="nil"/>
                <w:left w:val="nil"/>
                <w:bottom w:val="nil"/>
                <w:right w:val="nil"/>
                <w:between w:val="nil"/>
                <w:bar w:val="nil"/>
              </w:pBdr>
              <w:tabs>
                <w:tab w:val="left" w:pos="317"/>
                <w:tab w:val="left" w:pos="1440"/>
              </w:tabs>
              <w:ind w:left="317" w:hanging="262"/>
              <w:jc w:val="both"/>
              <w:rPr>
                <w:rFonts w:ascii="Garamond" w:hAnsi="Garamond"/>
              </w:rPr>
            </w:pPr>
            <w:r w:rsidRPr="00072D31">
              <w:rPr>
                <w:rFonts w:ascii="Garamond" w:hAnsi="Garamond"/>
                <w:highlight w:val="yellow"/>
              </w:rPr>
              <w:t>При проведении процедуры установления соответствия АИИС КУЭ:</w:t>
            </w:r>
          </w:p>
          <w:p w14:paraId="044B2163" w14:textId="77777777" w:rsidR="004B3B82" w:rsidRPr="007D4C5F" w:rsidRDefault="004B3B82" w:rsidP="004B3B82">
            <w:pPr>
              <w:pStyle w:val="ac"/>
              <w:numPr>
                <w:ilvl w:val="0"/>
                <w:numId w:val="159"/>
              </w:numPr>
              <w:pBdr>
                <w:top w:val="nil"/>
                <w:left w:val="nil"/>
                <w:bottom w:val="nil"/>
                <w:right w:val="nil"/>
                <w:between w:val="nil"/>
                <w:bar w:val="nil"/>
              </w:pBdr>
              <w:tabs>
                <w:tab w:val="left" w:pos="1440"/>
              </w:tabs>
              <w:ind w:hanging="262"/>
              <w:jc w:val="both"/>
              <w:rPr>
                <w:rFonts w:ascii="Garamond" w:hAnsi="Garamond"/>
              </w:rPr>
            </w:pPr>
            <w:r w:rsidRPr="007D4C5F">
              <w:rPr>
                <w:rFonts w:ascii="Garamond" w:hAnsi="Garamond"/>
              </w:rPr>
              <w:t xml:space="preserve">Параметры настройки времени интегрирования мощности </w:t>
            </w:r>
            <w:r>
              <w:rPr>
                <w:rFonts w:ascii="Garamond" w:hAnsi="Garamond"/>
                <w:highlight w:val="yellow"/>
              </w:rPr>
              <w:t>приборов учета</w:t>
            </w:r>
            <w:r w:rsidRPr="007D4C5F">
              <w:rPr>
                <w:rFonts w:ascii="Garamond" w:hAnsi="Garamond"/>
              </w:rPr>
              <w:t xml:space="preserve"> обеспечивают измерение 30-минутных приращений электр</w:t>
            </w:r>
            <w:r w:rsidRPr="001074A1">
              <w:rPr>
                <w:rFonts w:ascii="Garamond" w:hAnsi="Garamond"/>
                <w:highlight w:val="yellow"/>
              </w:rPr>
              <w:t>о</w:t>
            </w:r>
            <w:r w:rsidRPr="007D4C5F">
              <w:rPr>
                <w:rFonts w:ascii="Garamond" w:hAnsi="Garamond"/>
              </w:rPr>
              <w:t>энергии (получасовых интегрированных профилей мощности) для одного из профилей.</w:t>
            </w:r>
          </w:p>
          <w:p w14:paraId="514C8D09" w14:textId="77777777" w:rsidR="004B3B82" w:rsidRPr="00072D31" w:rsidRDefault="004B3B82" w:rsidP="004B3B82">
            <w:pPr>
              <w:pStyle w:val="ac"/>
              <w:numPr>
                <w:ilvl w:val="0"/>
                <w:numId w:val="159"/>
              </w:numPr>
              <w:pBdr>
                <w:top w:val="nil"/>
                <w:left w:val="nil"/>
                <w:bottom w:val="nil"/>
                <w:right w:val="nil"/>
                <w:between w:val="nil"/>
                <w:bar w:val="nil"/>
              </w:pBdr>
              <w:tabs>
                <w:tab w:val="left" w:pos="1440"/>
              </w:tabs>
              <w:ind w:hanging="262"/>
              <w:jc w:val="both"/>
              <w:rPr>
                <w:rFonts w:ascii="Garamond" w:eastAsia="Garamond" w:hAnsi="Garamond" w:cs="Garamond"/>
              </w:rPr>
            </w:pPr>
            <w:r w:rsidRPr="007D4C5F">
              <w:rPr>
                <w:rFonts w:ascii="Garamond" w:hAnsi="Garamond"/>
              </w:rPr>
              <w:t xml:space="preserve">Фактическое наличие в памяти </w:t>
            </w:r>
            <w:r>
              <w:rPr>
                <w:rFonts w:ascii="Garamond" w:hAnsi="Garamond"/>
                <w:highlight w:val="yellow"/>
              </w:rPr>
              <w:t>приборов учета</w:t>
            </w:r>
            <w:r w:rsidRPr="007D4C5F">
              <w:rPr>
                <w:rFonts w:ascii="Garamond" w:hAnsi="Garamond"/>
              </w:rPr>
              <w:t xml:space="preserve"> 30-минутных приращений электр</w:t>
            </w:r>
            <w:r w:rsidRPr="001074A1">
              <w:rPr>
                <w:rFonts w:ascii="Garamond" w:hAnsi="Garamond"/>
                <w:highlight w:val="yellow"/>
              </w:rPr>
              <w:t>о</w:t>
            </w:r>
            <w:r w:rsidRPr="007D4C5F">
              <w:rPr>
                <w:rFonts w:ascii="Garamond" w:hAnsi="Garamond"/>
              </w:rPr>
              <w:t>энергии (получасовых интегрированных профилей мощности).</w:t>
            </w:r>
          </w:p>
          <w:p w14:paraId="00CB6359" w14:textId="77777777" w:rsidR="004B3B82" w:rsidRDefault="004B3B82" w:rsidP="00E31AE6">
            <w:pPr>
              <w:pStyle w:val="ac"/>
              <w:pBdr>
                <w:top w:val="nil"/>
                <w:left w:val="nil"/>
                <w:bottom w:val="nil"/>
                <w:right w:val="nil"/>
                <w:between w:val="nil"/>
                <w:bar w:val="nil"/>
              </w:pBdr>
              <w:tabs>
                <w:tab w:val="left" w:pos="1440"/>
              </w:tabs>
              <w:ind w:left="317"/>
              <w:jc w:val="both"/>
              <w:rPr>
                <w:rFonts w:ascii="Garamond" w:hAnsi="Garamond"/>
              </w:rPr>
            </w:pPr>
          </w:p>
          <w:p w14:paraId="15AEEEFA" w14:textId="77777777" w:rsidR="004B3B82" w:rsidRPr="00072D31" w:rsidRDefault="004B3B82" w:rsidP="004B3B82">
            <w:pPr>
              <w:pStyle w:val="ac"/>
              <w:numPr>
                <w:ilvl w:val="0"/>
                <w:numId w:val="213"/>
              </w:numPr>
              <w:pBdr>
                <w:top w:val="nil"/>
                <w:left w:val="nil"/>
                <w:bottom w:val="nil"/>
                <w:right w:val="nil"/>
                <w:between w:val="nil"/>
                <w:bar w:val="nil"/>
              </w:pBdr>
              <w:tabs>
                <w:tab w:val="left" w:pos="317"/>
                <w:tab w:val="left" w:pos="1440"/>
              </w:tabs>
              <w:ind w:left="317" w:hanging="281"/>
              <w:jc w:val="both"/>
              <w:rPr>
                <w:rFonts w:ascii="Garamond" w:eastAsia="Garamond" w:hAnsi="Garamond" w:cs="Garamond"/>
                <w:highlight w:val="yellow"/>
              </w:rPr>
            </w:pPr>
            <w:r w:rsidRPr="00072D31">
              <w:rPr>
                <w:rFonts w:ascii="Garamond" w:hAnsi="Garamond"/>
                <w:highlight w:val="yellow"/>
              </w:rPr>
              <w:t>При проведении процедуры подтверждения соответствия системы учета агрегатора техническим требованиям оптового рынка:</w:t>
            </w:r>
          </w:p>
          <w:p w14:paraId="7312B5A6" w14:textId="77777777" w:rsidR="004B3B82" w:rsidRPr="00072D31" w:rsidRDefault="004B3B82" w:rsidP="004B3B82">
            <w:pPr>
              <w:pStyle w:val="ac"/>
              <w:numPr>
                <w:ilvl w:val="0"/>
                <w:numId w:val="214"/>
              </w:numPr>
              <w:pBdr>
                <w:top w:val="nil"/>
                <w:left w:val="nil"/>
                <w:bottom w:val="nil"/>
                <w:right w:val="nil"/>
                <w:between w:val="nil"/>
                <w:bar w:val="nil"/>
              </w:pBdr>
              <w:tabs>
                <w:tab w:val="left" w:pos="1440"/>
              </w:tabs>
              <w:ind w:hanging="262"/>
              <w:jc w:val="both"/>
              <w:rPr>
                <w:rFonts w:ascii="Garamond" w:hAnsi="Garamond"/>
                <w:highlight w:val="yellow"/>
              </w:rPr>
            </w:pPr>
            <w:r w:rsidRPr="00072D31">
              <w:rPr>
                <w:rFonts w:ascii="Garamond" w:hAnsi="Garamond"/>
                <w:highlight w:val="yellow"/>
              </w:rPr>
              <w:t>Параметры настройки времени интегрирования мощности приборов учета обеспечивают измерение 30-минутных приращений электроэнергии (получасовых интегрированных профилей мощности) для одного из профилей.</w:t>
            </w:r>
          </w:p>
          <w:p w14:paraId="2FCF9BED" w14:textId="77777777" w:rsidR="004B3B82" w:rsidRPr="00072D31" w:rsidRDefault="004B3B82" w:rsidP="004B3B82">
            <w:pPr>
              <w:pStyle w:val="ac"/>
              <w:numPr>
                <w:ilvl w:val="0"/>
                <w:numId w:val="214"/>
              </w:numPr>
              <w:pBdr>
                <w:top w:val="nil"/>
                <w:left w:val="nil"/>
                <w:bottom w:val="nil"/>
                <w:right w:val="nil"/>
                <w:between w:val="nil"/>
                <w:bar w:val="nil"/>
              </w:pBdr>
              <w:tabs>
                <w:tab w:val="left" w:pos="1440"/>
              </w:tabs>
              <w:ind w:hanging="262"/>
              <w:jc w:val="both"/>
              <w:rPr>
                <w:rFonts w:ascii="Garamond" w:eastAsia="Garamond" w:hAnsi="Garamond" w:cs="Garamond"/>
                <w:highlight w:val="yellow"/>
              </w:rPr>
            </w:pPr>
            <w:r w:rsidRPr="00072D31">
              <w:rPr>
                <w:rFonts w:ascii="Garamond" w:hAnsi="Garamond"/>
                <w:highlight w:val="yellow"/>
              </w:rPr>
              <w:t>Фактическое наличие в памяти приборов учета 30-минутных приращений электроэнергии (получасовых интегрированных профилей мощности).</w:t>
            </w:r>
          </w:p>
        </w:tc>
      </w:tr>
      <w:tr w:rsidR="004B3B82" w:rsidRPr="007D4C5F" w14:paraId="0C5ED889" w14:textId="77777777" w:rsidTr="00CD3B05">
        <w:tblPrEx>
          <w:shd w:val="clear" w:color="auto" w:fill="auto"/>
        </w:tblPrEx>
        <w:trPr>
          <w:trHeight w:val="730"/>
          <w:jc w:val="right"/>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C9BD4E6" w14:textId="77777777" w:rsidR="004B3B82" w:rsidRPr="007D4C5F" w:rsidRDefault="004B3B82" w:rsidP="00CD3B05">
            <w:pPr>
              <w:rPr>
                <w:rFonts w:ascii="Garamond" w:hAnsi="Garamond"/>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1433ADF" w14:textId="77777777" w:rsidR="004B3B82" w:rsidRPr="007D4C5F" w:rsidRDefault="004B3B82" w:rsidP="00CD3B05">
            <w:pPr>
              <w:jc w:val="center"/>
              <w:rPr>
                <w:rFonts w:ascii="Garamond" w:hAnsi="Garamond"/>
              </w:rPr>
            </w:pPr>
            <w:r w:rsidRPr="007D4C5F">
              <w:rPr>
                <w:rFonts w:ascii="Garamond" w:hAnsi="Garamond"/>
                <w:b/>
                <w:bCs/>
              </w:rPr>
              <w:t>Испытатели</w:t>
            </w:r>
          </w:p>
        </w:tc>
        <w:tc>
          <w:tcPr>
            <w:tcW w:w="779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B364325" w14:textId="77777777" w:rsidR="004B3B82" w:rsidRPr="007D4C5F" w:rsidRDefault="004B3B82" w:rsidP="004B3B82">
            <w:pPr>
              <w:pStyle w:val="ac"/>
              <w:numPr>
                <w:ilvl w:val="0"/>
                <w:numId w:val="160"/>
              </w:numPr>
              <w:pBdr>
                <w:top w:val="nil"/>
                <w:left w:val="nil"/>
                <w:bottom w:val="nil"/>
                <w:right w:val="nil"/>
                <w:between w:val="nil"/>
                <w:bar w:val="nil"/>
              </w:pBdr>
              <w:tabs>
                <w:tab w:val="left" w:pos="1440"/>
              </w:tabs>
              <w:jc w:val="both"/>
              <w:rPr>
                <w:rFonts w:ascii="Garamond" w:eastAsia="Garamond" w:hAnsi="Garamond" w:cs="Garamond"/>
              </w:rPr>
            </w:pPr>
            <w:r w:rsidRPr="007D4C5F">
              <w:rPr>
                <w:rFonts w:ascii="Garamond" w:hAnsi="Garamond"/>
              </w:rPr>
              <w:t>Представители КО.</w:t>
            </w:r>
          </w:p>
          <w:p w14:paraId="5BBABCE1" w14:textId="77777777" w:rsidR="004B3B82" w:rsidRPr="007D4C5F" w:rsidRDefault="004B3B82" w:rsidP="004B3B82">
            <w:pPr>
              <w:pStyle w:val="ac"/>
              <w:numPr>
                <w:ilvl w:val="0"/>
                <w:numId w:val="160"/>
              </w:numPr>
              <w:pBdr>
                <w:top w:val="nil"/>
                <w:left w:val="nil"/>
                <w:bottom w:val="nil"/>
                <w:right w:val="nil"/>
                <w:between w:val="nil"/>
                <w:bar w:val="nil"/>
              </w:pBdr>
              <w:tabs>
                <w:tab w:val="left" w:pos="1440"/>
              </w:tabs>
              <w:ind w:left="380" w:hanging="380"/>
              <w:jc w:val="both"/>
              <w:rPr>
                <w:rFonts w:ascii="Garamond" w:eastAsia="Garamond" w:hAnsi="Garamond" w:cs="Garamond"/>
              </w:rPr>
            </w:pPr>
            <w:r w:rsidRPr="007D4C5F">
              <w:rPr>
                <w:rFonts w:ascii="Garamond" w:hAnsi="Garamond"/>
              </w:rPr>
              <w:t>Представители заявителя</w:t>
            </w:r>
            <w:r w:rsidRPr="007D4C5F">
              <w:rPr>
                <w:rFonts w:ascii="Garamond" w:eastAsia="Garamond" w:hAnsi="Garamond" w:cs="Garamond"/>
              </w:rPr>
              <w:t>.</w:t>
            </w:r>
          </w:p>
          <w:p w14:paraId="25ECE6CC" w14:textId="31B86266" w:rsidR="004B3B82" w:rsidRPr="007D4C5F" w:rsidRDefault="004B3B82" w:rsidP="004B3B82">
            <w:pPr>
              <w:pStyle w:val="ac"/>
              <w:numPr>
                <w:ilvl w:val="0"/>
                <w:numId w:val="160"/>
              </w:numPr>
              <w:pBdr>
                <w:top w:val="nil"/>
                <w:left w:val="nil"/>
                <w:bottom w:val="nil"/>
                <w:right w:val="nil"/>
                <w:between w:val="nil"/>
                <w:bar w:val="nil"/>
              </w:pBdr>
              <w:tabs>
                <w:tab w:val="left" w:pos="1440"/>
              </w:tabs>
              <w:ind w:left="380" w:hanging="380"/>
              <w:jc w:val="both"/>
              <w:rPr>
                <w:rFonts w:ascii="Garamond" w:eastAsia="Garamond" w:hAnsi="Garamond" w:cs="Garamond"/>
              </w:rPr>
            </w:pPr>
            <w:r w:rsidRPr="007D4C5F">
              <w:rPr>
                <w:rFonts w:ascii="Garamond" w:hAnsi="Garamond"/>
              </w:rPr>
              <w:t>Представители смежного субъекта (при участии в испытаниях</w:t>
            </w:r>
            <w:r>
              <w:rPr>
                <w:rFonts w:ascii="Garamond" w:hAnsi="Garamond"/>
              </w:rPr>
              <w:t xml:space="preserve"> </w:t>
            </w:r>
            <w:r w:rsidRPr="00424795">
              <w:rPr>
                <w:rFonts w:ascii="Garamond" w:hAnsi="Garamond"/>
                <w:highlight w:val="yellow"/>
              </w:rPr>
              <w:t xml:space="preserve">в рамках процедуры установления </w:t>
            </w:r>
            <w:r w:rsidR="001B3CED" w:rsidRPr="00424795">
              <w:rPr>
                <w:rFonts w:ascii="Garamond" w:hAnsi="Garamond"/>
                <w:highlight w:val="yellow"/>
              </w:rPr>
              <w:t>соответствия</w:t>
            </w:r>
            <w:r w:rsidRPr="00424795">
              <w:rPr>
                <w:rFonts w:ascii="Garamond" w:hAnsi="Garamond"/>
                <w:highlight w:val="yellow"/>
              </w:rPr>
              <w:t xml:space="preserve"> АИИС КУЭ</w:t>
            </w:r>
            <w:r w:rsidRPr="007D4C5F">
              <w:rPr>
                <w:rFonts w:ascii="Garamond" w:hAnsi="Garamond"/>
              </w:rPr>
              <w:t>).</w:t>
            </w:r>
          </w:p>
        </w:tc>
      </w:tr>
      <w:tr w:rsidR="004B3B82" w:rsidRPr="007D4C5F" w14:paraId="04D93EC7" w14:textId="77777777" w:rsidTr="00CD3B05">
        <w:tblPrEx>
          <w:shd w:val="clear" w:color="auto" w:fill="auto"/>
        </w:tblPrEx>
        <w:trPr>
          <w:trHeight w:val="250"/>
          <w:jc w:val="right"/>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DA5AAA1" w14:textId="77777777" w:rsidR="004B3B82" w:rsidRPr="007D4C5F" w:rsidRDefault="004B3B82" w:rsidP="00CD3B05">
            <w:pPr>
              <w:rPr>
                <w:rFonts w:ascii="Garamond" w:hAnsi="Garamond"/>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78FB86E" w14:textId="77777777" w:rsidR="004B3B82" w:rsidRPr="007D4C5F" w:rsidRDefault="004B3B82" w:rsidP="00CD3B05">
            <w:pPr>
              <w:jc w:val="center"/>
              <w:rPr>
                <w:rFonts w:ascii="Garamond" w:hAnsi="Garamond"/>
              </w:rPr>
            </w:pPr>
            <w:r w:rsidRPr="007D4C5F">
              <w:rPr>
                <w:rFonts w:ascii="Garamond" w:hAnsi="Garamond"/>
                <w:b/>
                <w:bCs/>
              </w:rPr>
              <w:t>Документация</w:t>
            </w:r>
          </w:p>
        </w:tc>
        <w:tc>
          <w:tcPr>
            <w:tcW w:w="779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FA33AE9" w14:textId="77777777" w:rsidR="004B3B82" w:rsidRDefault="004B3B82" w:rsidP="004B3B82">
            <w:pPr>
              <w:pStyle w:val="ac"/>
              <w:numPr>
                <w:ilvl w:val="0"/>
                <w:numId w:val="161"/>
              </w:numPr>
              <w:tabs>
                <w:tab w:val="left" w:pos="317"/>
              </w:tabs>
              <w:ind w:left="52" w:firstLine="0"/>
              <w:jc w:val="both"/>
              <w:rPr>
                <w:rFonts w:ascii="Garamond" w:hAnsi="Garamond"/>
                <w:highlight w:val="yellow"/>
              </w:rPr>
            </w:pPr>
            <w:r w:rsidRPr="0081004D">
              <w:rPr>
                <w:rFonts w:ascii="Garamond" w:hAnsi="Garamond"/>
                <w:highlight w:val="yellow"/>
              </w:rPr>
              <w:t xml:space="preserve">При проведении </w:t>
            </w:r>
            <w:r>
              <w:rPr>
                <w:rFonts w:ascii="Garamond" w:hAnsi="Garamond"/>
                <w:highlight w:val="yellow"/>
              </w:rPr>
              <w:t>процедуры</w:t>
            </w:r>
            <w:r w:rsidRPr="0081004D">
              <w:rPr>
                <w:rFonts w:ascii="Garamond" w:hAnsi="Garamond"/>
                <w:highlight w:val="yellow"/>
              </w:rPr>
              <w:t xml:space="preserve"> установления соответствия АИИС КУЭ</w:t>
            </w:r>
            <w:r>
              <w:rPr>
                <w:rFonts w:ascii="Garamond" w:hAnsi="Garamond"/>
                <w:highlight w:val="yellow"/>
              </w:rPr>
              <w:t>:</w:t>
            </w:r>
            <w:r w:rsidRPr="0081004D">
              <w:rPr>
                <w:rFonts w:ascii="Garamond" w:hAnsi="Garamond"/>
                <w:highlight w:val="yellow"/>
              </w:rPr>
              <w:t xml:space="preserve"> </w:t>
            </w:r>
            <w:r w:rsidRPr="00FF63FB">
              <w:rPr>
                <w:rFonts w:ascii="Garamond" w:hAnsi="Garamond"/>
                <w:highlight w:val="yellow"/>
              </w:rPr>
              <w:t>д</w:t>
            </w:r>
            <w:r w:rsidRPr="00424795">
              <w:rPr>
                <w:rFonts w:ascii="Garamond" w:hAnsi="Garamond"/>
              </w:rPr>
              <w:t>окументация в соответствии с таблицей 2 приложения 1 настоящего Порядка, представленная для установления соответствия АИИС КУЭ</w:t>
            </w:r>
            <w:r>
              <w:rPr>
                <w:rFonts w:ascii="Garamond" w:hAnsi="Garamond"/>
                <w:highlight w:val="yellow"/>
              </w:rPr>
              <w:t>.</w:t>
            </w:r>
          </w:p>
          <w:p w14:paraId="6417EC83" w14:textId="77777777" w:rsidR="004B3B82" w:rsidRPr="00424795" w:rsidRDefault="004B3B82" w:rsidP="004B3B82">
            <w:pPr>
              <w:pStyle w:val="ac"/>
              <w:numPr>
                <w:ilvl w:val="0"/>
                <w:numId w:val="161"/>
              </w:numPr>
              <w:tabs>
                <w:tab w:val="left" w:pos="317"/>
              </w:tabs>
              <w:ind w:left="52" w:firstLine="0"/>
              <w:jc w:val="both"/>
              <w:rPr>
                <w:rFonts w:ascii="Garamond" w:hAnsi="Garamond"/>
                <w:highlight w:val="yellow"/>
              </w:rPr>
            </w:pPr>
            <w:r w:rsidRPr="00424795">
              <w:rPr>
                <w:rFonts w:ascii="Garamond" w:hAnsi="Garamond"/>
                <w:highlight w:val="yellow"/>
              </w:rPr>
              <w:t xml:space="preserve">При проведении процедуры подтверждения соответствия системы учета </w:t>
            </w:r>
            <w:r>
              <w:rPr>
                <w:rFonts w:ascii="Garamond" w:hAnsi="Garamond"/>
                <w:highlight w:val="yellow"/>
              </w:rPr>
              <w:t xml:space="preserve">агрегатора </w:t>
            </w:r>
            <w:r w:rsidRPr="00424795">
              <w:rPr>
                <w:rFonts w:ascii="Garamond" w:hAnsi="Garamond"/>
                <w:highlight w:val="yellow"/>
              </w:rPr>
              <w:t>техническим требованиям оптового рынка: ПСИ.</w:t>
            </w:r>
          </w:p>
        </w:tc>
      </w:tr>
      <w:tr w:rsidR="004B3B82" w:rsidRPr="007D4C5F" w14:paraId="3112AAAC" w14:textId="77777777" w:rsidTr="00CD3B05">
        <w:tblPrEx>
          <w:shd w:val="clear" w:color="auto" w:fill="auto"/>
        </w:tblPrEx>
        <w:trPr>
          <w:trHeight w:val="250"/>
          <w:jc w:val="right"/>
        </w:trPr>
        <w:tc>
          <w:tcPr>
            <w:tcW w:w="567" w:type="dxa"/>
            <w:tcBorders>
              <w:top w:val="single" w:sz="4" w:space="0" w:color="000000"/>
              <w:left w:val="single" w:sz="4" w:space="0" w:color="000000"/>
              <w:bottom w:val="single" w:sz="4" w:space="0" w:color="000000"/>
              <w:right w:val="single" w:sz="4" w:space="0" w:color="000000"/>
            </w:tcBorders>
            <w:shd w:val="clear" w:color="auto" w:fill="BFBFBF"/>
            <w:tcMar>
              <w:top w:w="80" w:type="dxa"/>
              <w:left w:w="80" w:type="dxa"/>
              <w:bottom w:w="80" w:type="dxa"/>
              <w:right w:w="80" w:type="dxa"/>
            </w:tcMar>
            <w:vAlign w:val="center"/>
          </w:tcPr>
          <w:p w14:paraId="1D49FBF6" w14:textId="77777777" w:rsidR="004B3B82" w:rsidRPr="007D4C5F" w:rsidRDefault="004B3B82" w:rsidP="00CD3B05">
            <w:pPr>
              <w:jc w:val="center"/>
              <w:rPr>
                <w:rFonts w:ascii="Garamond" w:hAnsi="Garamond"/>
              </w:rPr>
            </w:pPr>
            <w:r w:rsidRPr="007D4C5F">
              <w:rPr>
                <w:rFonts w:ascii="Garamond" w:hAnsi="Garamond"/>
              </w:rPr>
              <w:t>8</w:t>
            </w:r>
          </w:p>
        </w:tc>
        <w:tc>
          <w:tcPr>
            <w:tcW w:w="1560" w:type="dxa"/>
            <w:tcBorders>
              <w:top w:val="single" w:sz="4" w:space="0" w:color="000000"/>
              <w:left w:val="single" w:sz="4" w:space="0" w:color="000000"/>
              <w:bottom w:val="single" w:sz="4" w:space="0" w:color="000000"/>
              <w:right w:val="single" w:sz="4" w:space="0" w:color="000000"/>
            </w:tcBorders>
            <w:shd w:val="clear" w:color="auto" w:fill="BFBFBF"/>
            <w:tcMar>
              <w:top w:w="80" w:type="dxa"/>
              <w:left w:w="80" w:type="dxa"/>
              <w:bottom w:w="80" w:type="dxa"/>
              <w:right w:w="80" w:type="dxa"/>
            </w:tcMar>
            <w:vAlign w:val="center"/>
          </w:tcPr>
          <w:p w14:paraId="3A53D187" w14:textId="77777777" w:rsidR="004B3B82" w:rsidRPr="007D4C5F" w:rsidRDefault="004B3B82" w:rsidP="00CD3B05">
            <w:pPr>
              <w:jc w:val="center"/>
              <w:rPr>
                <w:rFonts w:ascii="Garamond" w:hAnsi="Garamond"/>
                <w:b/>
                <w:bCs/>
                <w:vertAlign w:val="subscript"/>
              </w:rPr>
            </w:pPr>
            <w:r w:rsidRPr="007D4C5F">
              <w:rPr>
                <w:rFonts w:ascii="Garamond" w:hAnsi="Garamond"/>
                <w:b/>
                <w:bCs/>
              </w:rPr>
              <w:t>П</w:t>
            </w:r>
            <w:r w:rsidRPr="007D4C5F">
              <w:rPr>
                <w:rFonts w:ascii="Garamond" w:hAnsi="Garamond"/>
                <w:b/>
                <w:bCs/>
                <w:vertAlign w:val="subscript"/>
              </w:rPr>
              <w:t>Ф24</w:t>
            </w:r>
          </w:p>
          <w:p w14:paraId="3C99F49F" w14:textId="77777777" w:rsidR="004B3B82" w:rsidRPr="007D4C5F" w:rsidRDefault="004B3B82" w:rsidP="00CD3B05">
            <w:pPr>
              <w:jc w:val="center"/>
              <w:rPr>
                <w:rFonts w:ascii="Garamond" w:hAnsi="Garamond"/>
              </w:rPr>
            </w:pPr>
            <w:r w:rsidRPr="007D4C5F">
              <w:rPr>
                <w:rFonts w:ascii="Garamond" w:hAnsi="Garamond"/>
                <w:bCs/>
              </w:rPr>
              <w:t>(п. 2.1.</w:t>
            </w:r>
            <w:r>
              <w:rPr>
                <w:rFonts w:ascii="Garamond" w:hAnsi="Garamond"/>
                <w:bCs/>
                <w:highlight w:val="yellow"/>
              </w:rPr>
              <w:t>5</w:t>
            </w:r>
            <w:r w:rsidRPr="007D4C5F">
              <w:rPr>
                <w:rFonts w:ascii="Garamond" w:hAnsi="Garamond"/>
                <w:bCs/>
              </w:rPr>
              <w:t>)</w:t>
            </w:r>
          </w:p>
        </w:tc>
        <w:tc>
          <w:tcPr>
            <w:tcW w:w="7797" w:type="dxa"/>
            <w:tcBorders>
              <w:top w:val="single" w:sz="4" w:space="0" w:color="000000"/>
              <w:left w:val="single" w:sz="4" w:space="0" w:color="000000"/>
              <w:bottom w:val="single" w:sz="4" w:space="0" w:color="000000"/>
              <w:right w:val="single" w:sz="4" w:space="0" w:color="000000"/>
            </w:tcBorders>
            <w:shd w:val="clear" w:color="auto" w:fill="BFBFBF"/>
            <w:tcMar>
              <w:top w:w="80" w:type="dxa"/>
              <w:left w:w="80" w:type="dxa"/>
              <w:bottom w:w="80" w:type="dxa"/>
              <w:right w:w="80" w:type="dxa"/>
            </w:tcMar>
          </w:tcPr>
          <w:p w14:paraId="794A43A9" w14:textId="77777777" w:rsidR="004B3B82" w:rsidRPr="007D4C5F" w:rsidRDefault="004B3B82" w:rsidP="00CD3B05">
            <w:pPr>
              <w:rPr>
                <w:rFonts w:ascii="Garamond" w:hAnsi="Garamond"/>
              </w:rPr>
            </w:pPr>
            <w:r w:rsidRPr="007D4C5F">
              <w:rPr>
                <w:rFonts w:ascii="Garamond" w:hAnsi="Garamond"/>
                <w:b/>
                <w:bCs/>
              </w:rPr>
              <w:t>Цикличность сбора информации – 1 раз в сутки</w:t>
            </w:r>
          </w:p>
        </w:tc>
      </w:tr>
      <w:tr w:rsidR="004B3B82" w:rsidRPr="007D4C5F" w14:paraId="3175FBFA" w14:textId="77777777" w:rsidTr="00CD3B05">
        <w:tblPrEx>
          <w:shd w:val="clear" w:color="auto" w:fill="auto"/>
        </w:tblPrEx>
        <w:trPr>
          <w:trHeight w:val="250"/>
          <w:jc w:val="right"/>
        </w:trPr>
        <w:tc>
          <w:tcPr>
            <w:tcW w:w="567" w:type="dxa"/>
            <w:tcBorders>
              <w:top w:val="single" w:sz="4" w:space="0" w:color="000000"/>
              <w:left w:val="single" w:sz="4" w:space="0" w:color="000000"/>
              <w:bottom w:val="single" w:sz="4" w:space="0" w:color="000000"/>
              <w:right w:val="single" w:sz="4" w:space="0" w:color="000000"/>
            </w:tcBorders>
            <w:shd w:val="clear" w:color="auto" w:fill="92D050"/>
            <w:tcMar>
              <w:top w:w="80" w:type="dxa"/>
              <w:left w:w="80" w:type="dxa"/>
              <w:bottom w:w="80" w:type="dxa"/>
              <w:right w:w="80" w:type="dxa"/>
            </w:tcMar>
            <w:vAlign w:val="center"/>
          </w:tcPr>
          <w:p w14:paraId="342A6120" w14:textId="77777777" w:rsidR="004B3B82" w:rsidRPr="007D4C5F" w:rsidRDefault="004B3B82" w:rsidP="00CD3B05">
            <w:pPr>
              <w:rPr>
                <w:rFonts w:ascii="Garamond" w:hAnsi="Garamond"/>
              </w:rPr>
            </w:pPr>
          </w:p>
        </w:tc>
        <w:tc>
          <w:tcPr>
            <w:tcW w:w="1560" w:type="dxa"/>
            <w:tcBorders>
              <w:top w:val="single" w:sz="4" w:space="0" w:color="000000"/>
              <w:left w:val="single" w:sz="4" w:space="0" w:color="000000"/>
              <w:bottom w:val="single" w:sz="4" w:space="0" w:color="000000"/>
              <w:right w:val="single" w:sz="4" w:space="0" w:color="000000"/>
            </w:tcBorders>
            <w:shd w:val="clear" w:color="auto" w:fill="92D050"/>
            <w:tcMar>
              <w:top w:w="80" w:type="dxa"/>
              <w:left w:w="80" w:type="dxa"/>
              <w:bottom w:w="80" w:type="dxa"/>
              <w:right w:w="80" w:type="dxa"/>
            </w:tcMar>
            <w:vAlign w:val="center"/>
          </w:tcPr>
          <w:p w14:paraId="58DCDDE4" w14:textId="77777777" w:rsidR="004B3B82" w:rsidRPr="007D4C5F" w:rsidRDefault="004B3B82" w:rsidP="00CD3B05">
            <w:pPr>
              <w:jc w:val="center"/>
              <w:rPr>
                <w:rFonts w:ascii="Garamond" w:hAnsi="Garamond"/>
              </w:rPr>
            </w:pPr>
            <w:r w:rsidRPr="007D4C5F">
              <w:rPr>
                <w:rFonts w:ascii="Garamond" w:hAnsi="Garamond"/>
                <w:b/>
                <w:bCs/>
              </w:rPr>
              <w:t>Компоненты</w:t>
            </w:r>
          </w:p>
        </w:tc>
        <w:tc>
          <w:tcPr>
            <w:tcW w:w="7797" w:type="dxa"/>
            <w:tcBorders>
              <w:top w:val="single" w:sz="4" w:space="0" w:color="000000"/>
              <w:left w:val="single" w:sz="4" w:space="0" w:color="000000"/>
              <w:bottom w:val="single" w:sz="4" w:space="0" w:color="000000"/>
              <w:right w:val="single" w:sz="4" w:space="0" w:color="000000"/>
            </w:tcBorders>
            <w:shd w:val="clear" w:color="auto" w:fill="92D050"/>
            <w:tcMar>
              <w:top w:w="80" w:type="dxa"/>
              <w:left w:w="80" w:type="dxa"/>
              <w:bottom w:w="80" w:type="dxa"/>
              <w:right w:w="80" w:type="dxa"/>
            </w:tcMar>
          </w:tcPr>
          <w:p w14:paraId="2C3968CB" w14:textId="77777777" w:rsidR="004B3B82" w:rsidRPr="007D4C5F" w:rsidRDefault="004B3B82" w:rsidP="00CD3B05">
            <w:pPr>
              <w:jc w:val="both"/>
              <w:rPr>
                <w:rFonts w:ascii="Garamond" w:hAnsi="Garamond"/>
              </w:rPr>
            </w:pPr>
            <w:r w:rsidRPr="007D4C5F">
              <w:rPr>
                <w:rFonts w:ascii="Garamond" w:hAnsi="Garamond"/>
              </w:rPr>
              <w:t xml:space="preserve">ИВК – УСПД и (или) сервер </w:t>
            </w:r>
          </w:p>
        </w:tc>
      </w:tr>
      <w:tr w:rsidR="004B3B82" w:rsidRPr="007D4C5F" w14:paraId="0A82624A" w14:textId="77777777" w:rsidTr="00E31AE6">
        <w:tblPrEx>
          <w:shd w:val="clear" w:color="auto" w:fill="auto"/>
        </w:tblPrEx>
        <w:trPr>
          <w:jc w:val="right"/>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650838F" w14:textId="77777777" w:rsidR="004B3B82" w:rsidRPr="007D4C5F" w:rsidRDefault="004B3B82" w:rsidP="00CD3B05">
            <w:pPr>
              <w:rPr>
                <w:rFonts w:ascii="Garamond" w:hAnsi="Garamond"/>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9D3C158" w14:textId="77777777" w:rsidR="004B3B82" w:rsidRPr="007D4C5F" w:rsidRDefault="004B3B82" w:rsidP="00CD3B05">
            <w:pPr>
              <w:jc w:val="center"/>
              <w:rPr>
                <w:rFonts w:ascii="Garamond" w:hAnsi="Garamond"/>
              </w:rPr>
            </w:pPr>
            <w:r w:rsidRPr="007D4C5F">
              <w:rPr>
                <w:rFonts w:ascii="Garamond" w:hAnsi="Garamond"/>
                <w:b/>
                <w:bCs/>
              </w:rPr>
              <w:t>Действия</w:t>
            </w:r>
          </w:p>
        </w:tc>
        <w:tc>
          <w:tcPr>
            <w:tcW w:w="779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BAD0FE1" w14:textId="77777777" w:rsidR="004B3B82" w:rsidRPr="00072D31" w:rsidRDefault="004B3B82" w:rsidP="004B3B82">
            <w:pPr>
              <w:pStyle w:val="ac"/>
              <w:numPr>
                <w:ilvl w:val="0"/>
                <w:numId w:val="217"/>
              </w:numPr>
              <w:pBdr>
                <w:top w:val="nil"/>
                <w:left w:val="nil"/>
                <w:bottom w:val="nil"/>
                <w:right w:val="nil"/>
                <w:between w:val="nil"/>
                <w:bar w:val="nil"/>
              </w:pBdr>
              <w:tabs>
                <w:tab w:val="left" w:pos="317"/>
                <w:tab w:val="left" w:pos="1440"/>
              </w:tabs>
              <w:ind w:left="317" w:hanging="262"/>
              <w:jc w:val="both"/>
              <w:rPr>
                <w:rFonts w:ascii="Garamond" w:eastAsia="Garamond" w:hAnsi="Garamond" w:cs="Garamond"/>
              </w:rPr>
            </w:pPr>
            <w:r w:rsidRPr="00072D31">
              <w:rPr>
                <w:rFonts w:ascii="Garamond" w:hAnsi="Garamond"/>
                <w:highlight w:val="yellow"/>
              </w:rPr>
              <w:t>При проведении процедуры установления соответствия АИИС КУЭ:</w:t>
            </w:r>
          </w:p>
          <w:p w14:paraId="79470C71" w14:textId="77777777" w:rsidR="004B3B82" w:rsidRPr="00072D31" w:rsidRDefault="004B3B82" w:rsidP="004B3B82">
            <w:pPr>
              <w:pStyle w:val="ac"/>
              <w:numPr>
                <w:ilvl w:val="0"/>
                <w:numId w:val="162"/>
              </w:numPr>
              <w:pBdr>
                <w:top w:val="nil"/>
                <w:left w:val="nil"/>
                <w:bottom w:val="nil"/>
                <w:right w:val="nil"/>
                <w:between w:val="nil"/>
                <w:bar w:val="nil"/>
              </w:pBdr>
              <w:tabs>
                <w:tab w:val="left" w:pos="1440"/>
              </w:tabs>
              <w:ind w:hanging="262"/>
              <w:jc w:val="both"/>
              <w:rPr>
                <w:rFonts w:ascii="Garamond" w:eastAsia="Garamond" w:hAnsi="Garamond" w:cs="Garamond"/>
              </w:rPr>
            </w:pPr>
            <w:r w:rsidRPr="007D4C5F">
              <w:rPr>
                <w:rFonts w:ascii="Garamond" w:hAnsi="Garamond"/>
              </w:rPr>
              <w:t>С помощью стандартных средств операционной системы или специализированного ПО удаленного доступа и администрирования устанавливается интернет-соединение с удаленным рабочим столом сервера ИВК АИИС КУЭ.</w:t>
            </w:r>
          </w:p>
          <w:p w14:paraId="35B545DC" w14:textId="77777777" w:rsidR="004B3B82" w:rsidRPr="00072D31" w:rsidRDefault="004B3B82" w:rsidP="004B3B82">
            <w:pPr>
              <w:pStyle w:val="ac"/>
              <w:numPr>
                <w:ilvl w:val="0"/>
                <w:numId w:val="162"/>
              </w:numPr>
              <w:pBdr>
                <w:top w:val="nil"/>
                <w:left w:val="nil"/>
                <w:bottom w:val="nil"/>
                <w:right w:val="nil"/>
                <w:between w:val="nil"/>
                <w:bar w:val="nil"/>
              </w:pBdr>
              <w:tabs>
                <w:tab w:val="left" w:pos="1440"/>
              </w:tabs>
              <w:ind w:hanging="262"/>
              <w:jc w:val="both"/>
              <w:rPr>
                <w:rFonts w:ascii="Garamond" w:eastAsia="Garamond" w:hAnsi="Garamond" w:cs="Garamond"/>
              </w:rPr>
            </w:pPr>
            <w:r w:rsidRPr="00072D31">
              <w:rPr>
                <w:rFonts w:ascii="Garamond" w:hAnsi="Garamond"/>
              </w:rPr>
              <w:t xml:space="preserve">С помощью специализированного ПО ИВК производится контроль параметров настройки цикличности сбора в ИВК АИИС КУЭ информации (получасовых интегрированных профилей мощности по всем измерительным каналам </w:t>
            </w:r>
            <w:r w:rsidRPr="00072D31">
              <w:rPr>
                <w:rFonts w:ascii="Garamond" w:hAnsi="Garamond"/>
                <w:highlight w:val="yellow"/>
              </w:rPr>
              <w:t>приборов учета</w:t>
            </w:r>
            <w:r w:rsidRPr="00072D31">
              <w:rPr>
                <w:rFonts w:ascii="Garamond" w:hAnsi="Garamond"/>
              </w:rPr>
              <w:t>, включенных в АИИС КУЭ, и их «журналов событий», «журналов событий» УСПД ИВКЭ и сервера ИВК АИИС КУЭ).</w:t>
            </w:r>
          </w:p>
          <w:p w14:paraId="0645D7AD" w14:textId="77777777" w:rsidR="004B3B82" w:rsidRDefault="004B3B82" w:rsidP="00E31AE6">
            <w:pPr>
              <w:pStyle w:val="ac"/>
              <w:pBdr>
                <w:top w:val="nil"/>
                <w:left w:val="nil"/>
                <w:bottom w:val="nil"/>
                <w:right w:val="nil"/>
                <w:between w:val="nil"/>
                <w:bar w:val="nil"/>
              </w:pBdr>
              <w:tabs>
                <w:tab w:val="left" w:pos="1440"/>
              </w:tabs>
              <w:ind w:left="380"/>
              <w:jc w:val="both"/>
              <w:rPr>
                <w:rFonts w:ascii="Garamond" w:hAnsi="Garamond"/>
              </w:rPr>
            </w:pPr>
          </w:p>
          <w:p w14:paraId="406FB7A7" w14:textId="77777777" w:rsidR="004B3B82" w:rsidRPr="00072D31" w:rsidRDefault="004B3B82" w:rsidP="004B3B82">
            <w:pPr>
              <w:pStyle w:val="ac"/>
              <w:numPr>
                <w:ilvl w:val="0"/>
                <w:numId w:val="217"/>
              </w:numPr>
              <w:pBdr>
                <w:top w:val="nil"/>
                <w:left w:val="nil"/>
                <w:bottom w:val="nil"/>
                <w:right w:val="nil"/>
                <w:between w:val="nil"/>
                <w:bar w:val="nil"/>
              </w:pBdr>
              <w:tabs>
                <w:tab w:val="left" w:pos="317"/>
                <w:tab w:val="left" w:pos="1440"/>
              </w:tabs>
              <w:ind w:left="317" w:hanging="262"/>
              <w:jc w:val="both"/>
              <w:rPr>
                <w:rFonts w:ascii="Garamond" w:hAnsi="Garamond"/>
                <w:highlight w:val="yellow"/>
              </w:rPr>
            </w:pPr>
            <w:r w:rsidRPr="00072D31">
              <w:rPr>
                <w:rFonts w:ascii="Garamond" w:hAnsi="Garamond"/>
                <w:highlight w:val="yellow"/>
              </w:rPr>
              <w:t>При проведении процедуры подтверждения соответствия системы учета агрегатора техническим требованиям оптового рынка:</w:t>
            </w:r>
          </w:p>
          <w:p w14:paraId="18E5572A" w14:textId="77777777" w:rsidR="004B3B82" w:rsidRPr="00072D31" w:rsidRDefault="004B3B82" w:rsidP="004B3B82">
            <w:pPr>
              <w:pStyle w:val="ac"/>
              <w:numPr>
                <w:ilvl w:val="0"/>
                <w:numId w:val="218"/>
              </w:numPr>
              <w:pBdr>
                <w:top w:val="nil"/>
                <w:left w:val="nil"/>
                <w:bottom w:val="nil"/>
                <w:right w:val="nil"/>
                <w:between w:val="nil"/>
                <w:bar w:val="nil"/>
              </w:pBdr>
              <w:tabs>
                <w:tab w:val="left" w:pos="1440"/>
              </w:tabs>
              <w:ind w:hanging="262"/>
              <w:jc w:val="both"/>
              <w:rPr>
                <w:rFonts w:ascii="Garamond" w:eastAsia="Garamond" w:hAnsi="Garamond" w:cs="Garamond"/>
                <w:highlight w:val="yellow"/>
              </w:rPr>
            </w:pPr>
            <w:r w:rsidRPr="00072D31">
              <w:rPr>
                <w:rFonts w:ascii="Garamond" w:hAnsi="Garamond"/>
                <w:highlight w:val="yellow"/>
              </w:rPr>
              <w:t xml:space="preserve">С помощью стандартных средств операционной системы или специализированного ПО удаленного доступа и администрирования устанавливается интернет-соединение с удаленным рабочим столом сервера ИВК </w:t>
            </w:r>
            <w:r>
              <w:rPr>
                <w:rFonts w:ascii="Garamond" w:hAnsi="Garamond"/>
                <w:highlight w:val="yellow"/>
              </w:rPr>
              <w:t>совокупности СИ и ТУ</w:t>
            </w:r>
            <w:r w:rsidRPr="00072D31">
              <w:rPr>
                <w:rFonts w:ascii="Garamond" w:hAnsi="Garamond"/>
                <w:highlight w:val="yellow"/>
              </w:rPr>
              <w:t>.</w:t>
            </w:r>
          </w:p>
          <w:p w14:paraId="314DA367" w14:textId="055F8117" w:rsidR="004B3B82" w:rsidRPr="00072D31" w:rsidRDefault="004B3B82" w:rsidP="00AA6BD3">
            <w:pPr>
              <w:pStyle w:val="ac"/>
              <w:numPr>
                <w:ilvl w:val="0"/>
                <w:numId w:val="218"/>
              </w:numPr>
              <w:pBdr>
                <w:top w:val="nil"/>
                <w:left w:val="nil"/>
                <w:bottom w:val="nil"/>
                <w:right w:val="nil"/>
                <w:between w:val="nil"/>
                <w:bar w:val="nil"/>
              </w:pBdr>
              <w:tabs>
                <w:tab w:val="left" w:pos="1440"/>
              </w:tabs>
              <w:ind w:hanging="262"/>
              <w:jc w:val="both"/>
              <w:rPr>
                <w:rFonts w:ascii="Garamond" w:eastAsia="Garamond" w:hAnsi="Garamond" w:cs="Garamond"/>
                <w:highlight w:val="yellow"/>
              </w:rPr>
            </w:pPr>
            <w:r w:rsidRPr="00072D31">
              <w:rPr>
                <w:rFonts w:ascii="Garamond" w:hAnsi="Garamond"/>
                <w:highlight w:val="yellow"/>
              </w:rPr>
              <w:t xml:space="preserve">С помощью специализированного ПО ИВК производится контроль параметров настройки цикличности сбора в ИВК информации (получасовых интегрированных профилей мощности по всем </w:t>
            </w:r>
            <w:r>
              <w:rPr>
                <w:rFonts w:ascii="Garamond" w:hAnsi="Garamond"/>
                <w:highlight w:val="yellow"/>
              </w:rPr>
              <w:t>точкам измерений в составе объекта регулирования</w:t>
            </w:r>
            <w:r w:rsidRPr="00072D31">
              <w:rPr>
                <w:rFonts w:ascii="Garamond" w:hAnsi="Garamond"/>
                <w:highlight w:val="yellow"/>
              </w:rPr>
              <w:t xml:space="preserve"> и их «журналов событий», «журналов событий» УСПД и сервера ИВК).</w:t>
            </w:r>
          </w:p>
        </w:tc>
      </w:tr>
      <w:tr w:rsidR="004B3B82" w:rsidRPr="007D4C5F" w14:paraId="2A200ECD" w14:textId="77777777" w:rsidTr="00E31AE6">
        <w:tblPrEx>
          <w:shd w:val="clear" w:color="auto" w:fill="auto"/>
        </w:tblPrEx>
        <w:trPr>
          <w:trHeight w:val="250"/>
          <w:jc w:val="right"/>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7016961" w14:textId="77777777" w:rsidR="004B3B82" w:rsidRPr="007D4C5F" w:rsidRDefault="004B3B82" w:rsidP="00E31AE6">
            <w:pPr>
              <w:rPr>
                <w:rFonts w:ascii="Garamond" w:hAnsi="Garamond"/>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C34866E" w14:textId="77777777" w:rsidR="004B3B82" w:rsidRPr="007D4C5F" w:rsidRDefault="004B3B82" w:rsidP="00E31AE6">
            <w:pPr>
              <w:jc w:val="center"/>
              <w:rPr>
                <w:rFonts w:ascii="Garamond" w:hAnsi="Garamond"/>
              </w:rPr>
            </w:pPr>
            <w:r w:rsidRPr="007D4C5F">
              <w:rPr>
                <w:rFonts w:ascii="Garamond" w:hAnsi="Garamond"/>
                <w:b/>
                <w:bCs/>
              </w:rPr>
              <w:t>Критерии</w:t>
            </w:r>
          </w:p>
        </w:tc>
        <w:tc>
          <w:tcPr>
            <w:tcW w:w="779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615FBC9" w14:textId="77777777" w:rsidR="004B3B82" w:rsidRPr="00D4589B" w:rsidRDefault="004B3B82" w:rsidP="004B3B82">
            <w:pPr>
              <w:pStyle w:val="ac"/>
              <w:numPr>
                <w:ilvl w:val="0"/>
                <w:numId w:val="219"/>
              </w:numPr>
              <w:pBdr>
                <w:top w:val="nil"/>
                <w:left w:val="nil"/>
                <w:bottom w:val="nil"/>
                <w:right w:val="nil"/>
                <w:between w:val="nil"/>
                <w:bar w:val="nil"/>
              </w:pBdr>
              <w:tabs>
                <w:tab w:val="left" w:pos="317"/>
                <w:tab w:val="left" w:pos="1440"/>
              </w:tabs>
              <w:ind w:left="317" w:hanging="262"/>
              <w:jc w:val="both"/>
              <w:rPr>
                <w:rFonts w:ascii="Garamond" w:hAnsi="Garamond"/>
                <w:highlight w:val="yellow"/>
              </w:rPr>
            </w:pPr>
            <w:r w:rsidRPr="00072D31">
              <w:rPr>
                <w:rFonts w:ascii="Garamond" w:hAnsi="Garamond"/>
                <w:highlight w:val="yellow"/>
              </w:rPr>
              <w:t>При проведении процедуры установления соответствия АИИС КУЭ:</w:t>
            </w:r>
          </w:p>
          <w:p w14:paraId="34690EFC" w14:textId="77777777" w:rsidR="004B3B82" w:rsidRDefault="004B3B82" w:rsidP="00E31AE6">
            <w:pPr>
              <w:ind w:left="339"/>
              <w:rPr>
                <w:rFonts w:ascii="Garamond" w:hAnsi="Garamond"/>
              </w:rPr>
            </w:pPr>
            <w:r w:rsidRPr="007D4C5F">
              <w:rPr>
                <w:rFonts w:ascii="Garamond" w:hAnsi="Garamond"/>
              </w:rPr>
              <w:t>Заданный интервал (цикличность) опроса УСПД / сервером ИВК технических средств нижестоящих уровней АИИС КУЭ составляет не реже 1 раза в сутки.</w:t>
            </w:r>
          </w:p>
          <w:p w14:paraId="3D709F88" w14:textId="77777777" w:rsidR="004B3B82" w:rsidRDefault="004B3B82" w:rsidP="00E31AE6">
            <w:pPr>
              <w:rPr>
                <w:rFonts w:ascii="Garamond" w:hAnsi="Garamond"/>
              </w:rPr>
            </w:pPr>
          </w:p>
          <w:p w14:paraId="24A4F0E9" w14:textId="77777777" w:rsidR="004B3B82" w:rsidRPr="00D4589B" w:rsidRDefault="004B3B82" w:rsidP="004B3B82">
            <w:pPr>
              <w:pStyle w:val="ac"/>
              <w:numPr>
                <w:ilvl w:val="0"/>
                <w:numId w:val="219"/>
              </w:numPr>
              <w:pBdr>
                <w:top w:val="nil"/>
                <w:left w:val="nil"/>
                <w:bottom w:val="nil"/>
                <w:right w:val="nil"/>
                <w:between w:val="nil"/>
                <w:bar w:val="nil"/>
              </w:pBdr>
              <w:tabs>
                <w:tab w:val="left" w:pos="317"/>
                <w:tab w:val="left" w:pos="1440"/>
              </w:tabs>
              <w:ind w:left="317" w:hanging="262"/>
              <w:jc w:val="both"/>
              <w:rPr>
                <w:rFonts w:ascii="Garamond" w:hAnsi="Garamond"/>
                <w:highlight w:val="yellow"/>
              </w:rPr>
            </w:pPr>
            <w:r w:rsidRPr="00072D31">
              <w:rPr>
                <w:rFonts w:ascii="Garamond" w:hAnsi="Garamond"/>
                <w:highlight w:val="yellow"/>
              </w:rPr>
              <w:lastRenderedPageBreak/>
              <w:t xml:space="preserve">При проведении процедуры подтверждения соответствия системы учета агрегатора </w:t>
            </w:r>
            <w:r w:rsidRPr="00D4589B">
              <w:rPr>
                <w:rFonts w:ascii="Garamond" w:hAnsi="Garamond"/>
                <w:highlight w:val="yellow"/>
              </w:rPr>
              <w:t>техническим требованиям оптового рынка:</w:t>
            </w:r>
          </w:p>
          <w:p w14:paraId="66BADF94" w14:textId="77777777" w:rsidR="004B3B82" w:rsidRPr="007D4C5F" w:rsidRDefault="004B3B82" w:rsidP="00E31AE6">
            <w:pPr>
              <w:ind w:left="339"/>
              <w:jc w:val="both"/>
              <w:rPr>
                <w:rFonts w:ascii="Garamond" w:hAnsi="Garamond"/>
              </w:rPr>
            </w:pPr>
            <w:r w:rsidRPr="00D4589B">
              <w:rPr>
                <w:rFonts w:ascii="Garamond" w:hAnsi="Garamond"/>
                <w:highlight w:val="yellow"/>
              </w:rPr>
              <w:t xml:space="preserve">Заданный интервал (цикличность) опроса УСПД </w:t>
            </w:r>
            <w:r>
              <w:rPr>
                <w:rFonts w:ascii="Garamond" w:hAnsi="Garamond"/>
                <w:highlight w:val="yellow"/>
              </w:rPr>
              <w:t xml:space="preserve">(в случае если уровень ИВКЭ выполняет </w:t>
            </w:r>
            <w:r w:rsidRPr="00C6668F">
              <w:rPr>
                <w:rFonts w:ascii="Garamond" w:hAnsi="Garamond"/>
                <w:highlight w:val="yellow"/>
              </w:rPr>
              <w:t>функции преобразования результатов измерений с учетом коэффициентов трансформации измерительных трансформаторов</w:t>
            </w:r>
            <w:r>
              <w:rPr>
                <w:rFonts w:ascii="Garamond" w:hAnsi="Garamond"/>
                <w:highlight w:val="yellow"/>
              </w:rPr>
              <w:t>)</w:t>
            </w:r>
            <w:r w:rsidRPr="00D4589B">
              <w:rPr>
                <w:rFonts w:ascii="Garamond" w:hAnsi="Garamond"/>
                <w:highlight w:val="yellow"/>
              </w:rPr>
              <w:t xml:space="preserve"> / сервером ИВК технических средств нижестоящих уровней </w:t>
            </w:r>
            <w:r>
              <w:rPr>
                <w:rFonts w:ascii="Garamond" w:hAnsi="Garamond"/>
                <w:highlight w:val="yellow"/>
              </w:rPr>
              <w:t>совокупности СИ и ТУ</w:t>
            </w:r>
            <w:r w:rsidRPr="00D4589B">
              <w:rPr>
                <w:rFonts w:ascii="Garamond" w:hAnsi="Garamond"/>
                <w:highlight w:val="yellow"/>
              </w:rPr>
              <w:t xml:space="preserve"> составляет не реже 1 раза в сутки.</w:t>
            </w:r>
          </w:p>
        </w:tc>
      </w:tr>
      <w:tr w:rsidR="004B3B82" w:rsidRPr="007D4C5F" w14:paraId="44A5E9E7" w14:textId="77777777" w:rsidTr="00E31AE6">
        <w:tblPrEx>
          <w:shd w:val="clear" w:color="auto" w:fill="auto"/>
        </w:tblPrEx>
        <w:trPr>
          <w:trHeight w:val="250"/>
          <w:jc w:val="right"/>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AE4A6BD" w14:textId="77777777" w:rsidR="004B3B82" w:rsidRPr="007D4C5F" w:rsidRDefault="004B3B82" w:rsidP="00E31AE6">
            <w:pPr>
              <w:rPr>
                <w:rFonts w:ascii="Garamond" w:hAnsi="Garamond"/>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0DD7974" w14:textId="77777777" w:rsidR="004B3B82" w:rsidRPr="007D4C5F" w:rsidRDefault="004B3B82" w:rsidP="00E31AE6">
            <w:pPr>
              <w:jc w:val="center"/>
              <w:rPr>
                <w:rFonts w:ascii="Garamond" w:hAnsi="Garamond"/>
              </w:rPr>
            </w:pPr>
            <w:r w:rsidRPr="007D4C5F">
              <w:rPr>
                <w:rFonts w:ascii="Garamond" w:hAnsi="Garamond"/>
                <w:b/>
                <w:bCs/>
              </w:rPr>
              <w:t>Испытатели</w:t>
            </w:r>
          </w:p>
        </w:tc>
        <w:tc>
          <w:tcPr>
            <w:tcW w:w="779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8913FB" w14:textId="77777777" w:rsidR="004B3B82" w:rsidRPr="007D4C5F" w:rsidRDefault="004B3B82" w:rsidP="004B3B82">
            <w:pPr>
              <w:pStyle w:val="ac"/>
              <w:numPr>
                <w:ilvl w:val="0"/>
                <w:numId w:val="215"/>
              </w:numPr>
              <w:pBdr>
                <w:top w:val="nil"/>
                <w:left w:val="nil"/>
                <w:bottom w:val="nil"/>
                <w:right w:val="nil"/>
                <w:between w:val="nil"/>
                <w:bar w:val="nil"/>
              </w:pBdr>
              <w:tabs>
                <w:tab w:val="left" w:pos="1440"/>
              </w:tabs>
              <w:jc w:val="both"/>
              <w:rPr>
                <w:rFonts w:ascii="Garamond" w:eastAsia="Garamond" w:hAnsi="Garamond" w:cs="Garamond"/>
              </w:rPr>
            </w:pPr>
            <w:r w:rsidRPr="007D4C5F">
              <w:rPr>
                <w:rFonts w:ascii="Garamond" w:hAnsi="Garamond"/>
              </w:rPr>
              <w:t>Представители КО.</w:t>
            </w:r>
          </w:p>
          <w:p w14:paraId="04D070E9" w14:textId="77777777" w:rsidR="004B3B82" w:rsidRDefault="004B3B82" w:rsidP="004B3B82">
            <w:pPr>
              <w:pStyle w:val="ac"/>
              <w:numPr>
                <w:ilvl w:val="0"/>
                <w:numId w:val="215"/>
              </w:numPr>
              <w:pBdr>
                <w:top w:val="nil"/>
                <w:left w:val="nil"/>
                <w:bottom w:val="nil"/>
                <w:right w:val="nil"/>
                <w:between w:val="nil"/>
                <w:bar w:val="nil"/>
              </w:pBdr>
              <w:tabs>
                <w:tab w:val="left" w:pos="1440"/>
              </w:tabs>
              <w:ind w:left="380" w:hanging="380"/>
              <w:jc w:val="both"/>
              <w:rPr>
                <w:rFonts w:ascii="Garamond" w:eastAsia="Garamond" w:hAnsi="Garamond" w:cs="Garamond"/>
              </w:rPr>
            </w:pPr>
            <w:r w:rsidRPr="007D4C5F">
              <w:rPr>
                <w:rFonts w:ascii="Garamond" w:hAnsi="Garamond"/>
              </w:rPr>
              <w:t>Представители заявителя</w:t>
            </w:r>
            <w:r w:rsidRPr="007D4C5F">
              <w:rPr>
                <w:rFonts w:ascii="Garamond" w:eastAsia="Garamond" w:hAnsi="Garamond" w:cs="Garamond"/>
              </w:rPr>
              <w:t>.</w:t>
            </w:r>
          </w:p>
          <w:p w14:paraId="4B883D56" w14:textId="68D78DB1" w:rsidR="004B3B82" w:rsidRPr="00072D31" w:rsidRDefault="004B3B82" w:rsidP="004B3B82">
            <w:pPr>
              <w:pStyle w:val="ac"/>
              <w:numPr>
                <w:ilvl w:val="0"/>
                <w:numId w:val="215"/>
              </w:numPr>
              <w:pBdr>
                <w:top w:val="nil"/>
                <w:left w:val="nil"/>
                <w:bottom w:val="nil"/>
                <w:right w:val="nil"/>
                <w:between w:val="nil"/>
                <w:bar w:val="nil"/>
              </w:pBdr>
              <w:tabs>
                <w:tab w:val="left" w:pos="1440"/>
              </w:tabs>
              <w:ind w:left="380" w:hanging="380"/>
              <w:jc w:val="both"/>
              <w:rPr>
                <w:rFonts w:ascii="Garamond" w:eastAsia="Garamond" w:hAnsi="Garamond" w:cs="Garamond"/>
              </w:rPr>
            </w:pPr>
            <w:r w:rsidRPr="00072D31">
              <w:rPr>
                <w:rFonts w:ascii="Garamond" w:hAnsi="Garamond"/>
              </w:rPr>
              <w:t xml:space="preserve">Представители смежного субъекта (при участии в испытаниях </w:t>
            </w:r>
            <w:r w:rsidRPr="00072D31">
              <w:rPr>
                <w:rFonts w:ascii="Garamond" w:hAnsi="Garamond"/>
                <w:highlight w:val="yellow"/>
              </w:rPr>
              <w:t xml:space="preserve">в рамках процедуры установления </w:t>
            </w:r>
            <w:r w:rsidR="001B3CED" w:rsidRPr="00072D31">
              <w:rPr>
                <w:rFonts w:ascii="Garamond" w:hAnsi="Garamond"/>
                <w:highlight w:val="yellow"/>
              </w:rPr>
              <w:t>соответствия</w:t>
            </w:r>
            <w:r w:rsidRPr="00072D31">
              <w:rPr>
                <w:rFonts w:ascii="Garamond" w:hAnsi="Garamond"/>
                <w:highlight w:val="yellow"/>
              </w:rPr>
              <w:t xml:space="preserve"> АИИС КУЭ</w:t>
            </w:r>
            <w:r w:rsidRPr="00072D31">
              <w:rPr>
                <w:rFonts w:ascii="Garamond" w:hAnsi="Garamond"/>
              </w:rPr>
              <w:t>).</w:t>
            </w:r>
          </w:p>
        </w:tc>
      </w:tr>
      <w:tr w:rsidR="004B3B82" w:rsidRPr="007D4C5F" w14:paraId="638EB6AC" w14:textId="77777777" w:rsidTr="00E31AE6">
        <w:tblPrEx>
          <w:shd w:val="clear" w:color="auto" w:fill="auto"/>
        </w:tblPrEx>
        <w:trPr>
          <w:trHeight w:val="250"/>
          <w:jc w:val="right"/>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C0B1EB5" w14:textId="77777777" w:rsidR="004B3B82" w:rsidRPr="007D4C5F" w:rsidRDefault="004B3B82" w:rsidP="00E31AE6">
            <w:pPr>
              <w:rPr>
                <w:rFonts w:ascii="Garamond" w:hAnsi="Garamond"/>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1A5CCC9" w14:textId="77777777" w:rsidR="004B3B82" w:rsidRPr="007D4C5F" w:rsidRDefault="004B3B82" w:rsidP="00E31AE6">
            <w:pPr>
              <w:jc w:val="center"/>
              <w:rPr>
                <w:rFonts w:ascii="Garamond" w:hAnsi="Garamond"/>
              </w:rPr>
            </w:pPr>
            <w:r w:rsidRPr="007D4C5F">
              <w:rPr>
                <w:rFonts w:ascii="Garamond" w:hAnsi="Garamond"/>
                <w:b/>
                <w:bCs/>
              </w:rPr>
              <w:t>Документация</w:t>
            </w:r>
          </w:p>
        </w:tc>
        <w:tc>
          <w:tcPr>
            <w:tcW w:w="779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0AE1C5B" w14:textId="77777777" w:rsidR="004B3B82" w:rsidRDefault="004B3B82" w:rsidP="004B3B82">
            <w:pPr>
              <w:pStyle w:val="ac"/>
              <w:numPr>
                <w:ilvl w:val="0"/>
                <w:numId w:val="216"/>
              </w:numPr>
              <w:ind w:left="197" w:hanging="197"/>
              <w:jc w:val="both"/>
              <w:rPr>
                <w:rFonts w:ascii="Garamond" w:hAnsi="Garamond"/>
                <w:highlight w:val="yellow"/>
              </w:rPr>
            </w:pPr>
            <w:r w:rsidRPr="0081004D">
              <w:rPr>
                <w:rFonts w:ascii="Garamond" w:hAnsi="Garamond"/>
                <w:highlight w:val="yellow"/>
              </w:rPr>
              <w:t xml:space="preserve">При проведении </w:t>
            </w:r>
            <w:r>
              <w:rPr>
                <w:rFonts w:ascii="Garamond" w:hAnsi="Garamond"/>
                <w:highlight w:val="yellow"/>
              </w:rPr>
              <w:t>процедуры</w:t>
            </w:r>
            <w:r w:rsidRPr="0081004D">
              <w:rPr>
                <w:rFonts w:ascii="Garamond" w:hAnsi="Garamond"/>
                <w:highlight w:val="yellow"/>
              </w:rPr>
              <w:t xml:space="preserve"> установления соответствия АИИС КУЭ</w:t>
            </w:r>
            <w:r>
              <w:rPr>
                <w:rFonts w:ascii="Garamond" w:hAnsi="Garamond"/>
                <w:highlight w:val="yellow"/>
              </w:rPr>
              <w:t>:</w:t>
            </w:r>
            <w:r w:rsidRPr="0081004D">
              <w:rPr>
                <w:rFonts w:ascii="Garamond" w:hAnsi="Garamond"/>
                <w:highlight w:val="yellow"/>
              </w:rPr>
              <w:t xml:space="preserve"> </w:t>
            </w:r>
            <w:r w:rsidRPr="00FF63FB">
              <w:rPr>
                <w:rFonts w:ascii="Garamond" w:hAnsi="Garamond"/>
                <w:highlight w:val="yellow"/>
              </w:rPr>
              <w:t>д</w:t>
            </w:r>
            <w:r w:rsidRPr="00424795">
              <w:rPr>
                <w:rFonts w:ascii="Garamond" w:hAnsi="Garamond"/>
              </w:rPr>
              <w:t>окументация в соответствии с таблицей 2 приложения 1 настоящего Порядка, представленная для установления соответствия АИИС КУЭ</w:t>
            </w:r>
            <w:r>
              <w:rPr>
                <w:rFonts w:ascii="Garamond" w:hAnsi="Garamond"/>
                <w:highlight w:val="yellow"/>
              </w:rPr>
              <w:t>.</w:t>
            </w:r>
          </w:p>
          <w:p w14:paraId="028280AA" w14:textId="77777777" w:rsidR="004B3B82" w:rsidRPr="00072D31" w:rsidRDefault="004B3B82" w:rsidP="004B3B82">
            <w:pPr>
              <w:pStyle w:val="ac"/>
              <w:numPr>
                <w:ilvl w:val="0"/>
                <w:numId w:val="216"/>
              </w:numPr>
              <w:ind w:left="197" w:hanging="197"/>
              <w:jc w:val="both"/>
              <w:rPr>
                <w:rFonts w:ascii="Garamond" w:hAnsi="Garamond"/>
                <w:highlight w:val="yellow"/>
              </w:rPr>
            </w:pPr>
            <w:r w:rsidRPr="00072D31">
              <w:rPr>
                <w:rFonts w:ascii="Garamond" w:hAnsi="Garamond"/>
                <w:highlight w:val="yellow"/>
              </w:rPr>
              <w:t>При проведении процедуры подтверждения соответствия системы учета агрегатора техническим требованиям оптового рынка: ПСИ.</w:t>
            </w:r>
          </w:p>
        </w:tc>
      </w:tr>
      <w:tr w:rsidR="004B3B82" w:rsidRPr="007D4C5F" w14:paraId="3DD855F2" w14:textId="77777777" w:rsidTr="00CD3B05">
        <w:tblPrEx>
          <w:shd w:val="clear" w:color="auto" w:fill="auto"/>
        </w:tblPrEx>
        <w:trPr>
          <w:trHeight w:val="250"/>
          <w:jc w:val="right"/>
        </w:trPr>
        <w:tc>
          <w:tcPr>
            <w:tcW w:w="567" w:type="dxa"/>
            <w:tcBorders>
              <w:top w:val="single" w:sz="4" w:space="0" w:color="000000"/>
              <w:left w:val="single" w:sz="4" w:space="0" w:color="000000"/>
              <w:bottom w:val="single" w:sz="4" w:space="0" w:color="000000"/>
              <w:right w:val="single" w:sz="4" w:space="0" w:color="000000"/>
            </w:tcBorders>
            <w:shd w:val="clear" w:color="auto" w:fill="BFBFBF"/>
            <w:tcMar>
              <w:top w:w="80" w:type="dxa"/>
              <w:left w:w="80" w:type="dxa"/>
              <w:bottom w:w="80" w:type="dxa"/>
              <w:right w:w="80" w:type="dxa"/>
            </w:tcMar>
            <w:vAlign w:val="center"/>
          </w:tcPr>
          <w:p w14:paraId="7502D82C" w14:textId="77777777" w:rsidR="004B3B82" w:rsidRPr="007D4C5F" w:rsidRDefault="004B3B82" w:rsidP="00CD3B05">
            <w:pPr>
              <w:jc w:val="center"/>
              <w:rPr>
                <w:rFonts w:ascii="Garamond" w:hAnsi="Garamond"/>
                <w:lang w:val="en-US"/>
              </w:rPr>
            </w:pPr>
            <w:r w:rsidRPr="007D4C5F">
              <w:rPr>
                <w:rFonts w:ascii="Garamond" w:hAnsi="Garamond"/>
                <w:lang w:val="en-US"/>
              </w:rPr>
              <w:t>9</w:t>
            </w:r>
          </w:p>
        </w:tc>
        <w:tc>
          <w:tcPr>
            <w:tcW w:w="1560" w:type="dxa"/>
            <w:tcBorders>
              <w:top w:val="single" w:sz="4" w:space="0" w:color="000000"/>
              <w:left w:val="single" w:sz="4" w:space="0" w:color="000000"/>
              <w:bottom w:val="single" w:sz="4" w:space="0" w:color="000000"/>
              <w:right w:val="single" w:sz="4" w:space="0" w:color="000000"/>
            </w:tcBorders>
            <w:shd w:val="clear" w:color="auto" w:fill="BFBFBF"/>
            <w:tcMar>
              <w:top w:w="80" w:type="dxa"/>
              <w:left w:w="80" w:type="dxa"/>
              <w:bottom w:w="80" w:type="dxa"/>
              <w:right w:w="80" w:type="dxa"/>
            </w:tcMar>
            <w:vAlign w:val="center"/>
          </w:tcPr>
          <w:p w14:paraId="092C1237" w14:textId="77777777" w:rsidR="004B3B82" w:rsidRPr="007D4C5F" w:rsidRDefault="004B3B82" w:rsidP="00CD3B05">
            <w:pPr>
              <w:jc w:val="center"/>
              <w:rPr>
                <w:rFonts w:ascii="Garamond" w:hAnsi="Garamond"/>
                <w:b/>
                <w:bCs/>
                <w:vertAlign w:val="subscript"/>
              </w:rPr>
            </w:pPr>
            <w:r w:rsidRPr="007D4C5F">
              <w:rPr>
                <w:rFonts w:ascii="Garamond" w:hAnsi="Garamond"/>
                <w:b/>
                <w:bCs/>
              </w:rPr>
              <w:t>П</w:t>
            </w:r>
            <w:r w:rsidRPr="007D4C5F">
              <w:rPr>
                <w:rFonts w:ascii="Garamond" w:hAnsi="Garamond"/>
                <w:b/>
                <w:bCs/>
                <w:vertAlign w:val="subscript"/>
              </w:rPr>
              <w:t>Ф32</w:t>
            </w:r>
          </w:p>
          <w:p w14:paraId="7AC36FC4" w14:textId="77777777" w:rsidR="004B3B82" w:rsidRPr="007D4C5F" w:rsidRDefault="004B3B82" w:rsidP="00CD3B05">
            <w:pPr>
              <w:jc w:val="center"/>
              <w:rPr>
                <w:rFonts w:ascii="Garamond" w:hAnsi="Garamond"/>
              </w:rPr>
            </w:pPr>
            <w:r w:rsidRPr="007D4C5F">
              <w:rPr>
                <w:rFonts w:ascii="Garamond" w:hAnsi="Garamond"/>
                <w:bCs/>
              </w:rPr>
              <w:t>(пп. 2.1.</w:t>
            </w:r>
            <w:r w:rsidRPr="00226E4C">
              <w:rPr>
                <w:rFonts w:ascii="Garamond" w:hAnsi="Garamond"/>
                <w:bCs/>
                <w:highlight w:val="yellow"/>
              </w:rPr>
              <w:t>9</w:t>
            </w:r>
            <w:r w:rsidRPr="007D4C5F">
              <w:rPr>
                <w:rFonts w:ascii="Garamond" w:hAnsi="Garamond"/>
                <w:bCs/>
              </w:rPr>
              <w:t>, 5.3)</w:t>
            </w:r>
          </w:p>
        </w:tc>
        <w:tc>
          <w:tcPr>
            <w:tcW w:w="7797" w:type="dxa"/>
            <w:tcBorders>
              <w:top w:val="single" w:sz="4" w:space="0" w:color="000000"/>
              <w:left w:val="single" w:sz="4" w:space="0" w:color="000000"/>
              <w:bottom w:val="single" w:sz="4" w:space="0" w:color="000000"/>
              <w:right w:val="single" w:sz="4" w:space="0" w:color="000000"/>
            </w:tcBorders>
            <w:shd w:val="clear" w:color="auto" w:fill="BFBFBF"/>
            <w:tcMar>
              <w:top w:w="80" w:type="dxa"/>
              <w:left w:w="80" w:type="dxa"/>
              <w:bottom w:w="80" w:type="dxa"/>
              <w:right w:w="80" w:type="dxa"/>
            </w:tcMar>
          </w:tcPr>
          <w:p w14:paraId="36A39D5A" w14:textId="77777777" w:rsidR="004B3B82" w:rsidRPr="007D4C5F" w:rsidRDefault="004B3B82" w:rsidP="00CD3B05">
            <w:pPr>
              <w:rPr>
                <w:rFonts w:ascii="Garamond" w:hAnsi="Garamond"/>
              </w:rPr>
            </w:pPr>
            <w:r w:rsidRPr="007D4C5F">
              <w:rPr>
                <w:rFonts w:ascii="Garamond" w:hAnsi="Garamond"/>
                <w:b/>
                <w:bCs/>
              </w:rPr>
              <w:t>Дистанционный доступ к АИИС КУЭ для контроля со стороны КО</w:t>
            </w:r>
          </w:p>
        </w:tc>
      </w:tr>
      <w:tr w:rsidR="004B3B82" w:rsidRPr="007D4C5F" w14:paraId="699EBD50" w14:textId="77777777" w:rsidTr="00CD3B05">
        <w:tblPrEx>
          <w:shd w:val="clear" w:color="auto" w:fill="auto"/>
        </w:tblPrEx>
        <w:trPr>
          <w:trHeight w:val="250"/>
          <w:jc w:val="right"/>
        </w:trPr>
        <w:tc>
          <w:tcPr>
            <w:tcW w:w="567" w:type="dxa"/>
            <w:tcBorders>
              <w:top w:val="single" w:sz="4" w:space="0" w:color="000000"/>
              <w:left w:val="single" w:sz="4" w:space="0" w:color="000000"/>
              <w:bottom w:val="single" w:sz="4" w:space="0" w:color="000000"/>
              <w:right w:val="single" w:sz="4" w:space="0" w:color="000000"/>
            </w:tcBorders>
            <w:shd w:val="clear" w:color="auto" w:fill="92D050"/>
            <w:tcMar>
              <w:top w:w="80" w:type="dxa"/>
              <w:left w:w="80" w:type="dxa"/>
              <w:bottom w:w="80" w:type="dxa"/>
              <w:right w:w="80" w:type="dxa"/>
            </w:tcMar>
            <w:vAlign w:val="center"/>
          </w:tcPr>
          <w:p w14:paraId="2F65ECFF" w14:textId="77777777" w:rsidR="004B3B82" w:rsidRPr="007D4C5F" w:rsidRDefault="004B3B82" w:rsidP="00CD3B05">
            <w:pPr>
              <w:rPr>
                <w:rFonts w:ascii="Garamond" w:hAnsi="Garamond"/>
              </w:rPr>
            </w:pPr>
          </w:p>
        </w:tc>
        <w:tc>
          <w:tcPr>
            <w:tcW w:w="1560" w:type="dxa"/>
            <w:tcBorders>
              <w:top w:val="single" w:sz="4" w:space="0" w:color="000000"/>
              <w:left w:val="single" w:sz="4" w:space="0" w:color="000000"/>
              <w:bottom w:val="single" w:sz="4" w:space="0" w:color="000000"/>
              <w:right w:val="single" w:sz="4" w:space="0" w:color="000000"/>
            </w:tcBorders>
            <w:shd w:val="clear" w:color="auto" w:fill="92D050"/>
            <w:tcMar>
              <w:top w:w="80" w:type="dxa"/>
              <w:left w:w="80" w:type="dxa"/>
              <w:bottom w:w="80" w:type="dxa"/>
              <w:right w:w="80" w:type="dxa"/>
            </w:tcMar>
            <w:vAlign w:val="center"/>
          </w:tcPr>
          <w:p w14:paraId="7441C26F" w14:textId="77777777" w:rsidR="004B3B82" w:rsidRPr="007D4C5F" w:rsidRDefault="004B3B82" w:rsidP="00CD3B05">
            <w:pPr>
              <w:jc w:val="center"/>
              <w:rPr>
                <w:rFonts w:ascii="Garamond" w:hAnsi="Garamond"/>
              </w:rPr>
            </w:pPr>
            <w:r w:rsidRPr="007D4C5F">
              <w:rPr>
                <w:rFonts w:ascii="Garamond" w:hAnsi="Garamond"/>
                <w:b/>
                <w:bCs/>
              </w:rPr>
              <w:t>Компоненты</w:t>
            </w:r>
          </w:p>
        </w:tc>
        <w:tc>
          <w:tcPr>
            <w:tcW w:w="7797" w:type="dxa"/>
            <w:tcBorders>
              <w:top w:val="single" w:sz="4" w:space="0" w:color="000000"/>
              <w:left w:val="single" w:sz="4" w:space="0" w:color="000000"/>
              <w:bottom w:val="single" w:sz="4" w:space="0" w:color="000000"/>
              <w:right w:val="single" w:sz="4" w:space="0" w:color="000000"/>
            </w:tcBorders>
            <w:shd w:val="clear" w:color="auto" w:fill="92D050"/>
            <w:tcMar>
              <w:top w:w="80" w:type="dxa"/>
              <w:left w:w="80" w:type="dxa"/>
              <w:bottom w:w="80" w:type="dxa"/>
              <w:right w:w="80" w:type="dxa"/>
            </w:tcMar>
          </w:tcPr>
          <w:p w14:paraId="19CD0753" w14:textId="77777777" w:rsidR="004B3B82" w:rsidRPr="007D4C5F" w:rsidRDefault="004B3B82" w:rsidP="00CD3B05">
            <w:pPr>
              <w:jc w:val="both"/>
              <w:rPr>
                <w:rFonts w:ascii="Garamond" w:hAnsi="Garamond"/>
              </w:rPr>
            </w:pPr>
            <w:r w:rsidRPr="007D4C5F">
              <w:rPr>
                <w:rFonts w:ascii="Garamond" w:hAnsi="Garamond"/>
              </w:rPr>
              <w:t>ИИК, ИВКЭ, ИВК</w:t>
            </w:r>
          </w:p>
        </w:tc>
      </w:tr>
      <w:tr w:rsidR="004B3B82" w:rsidRPr="007D4C5F" w14:paraId="0CE81154" w14:textId="77777777" w:rsidTr="00CD3B05">
        <w:tblPrEx>
          <w:shd w:val="clear" w:color="auto" w:fill="auto"/>
        </w:tblPrEx>
        <w:trPr>
          <w:trHeight w:val="234"/>
          <w:jc w:val="right"/>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9D18ED1" w14:textId="77777777" w:rsidR="004B3B82" w:rsidRPr="007D4C5F" w:rsidRDefault="004B3B82" w:rsidP="00CD3B05">
            <w:pPr>
              <w:rPr>
                <w:rFonts w:ascii="Garamond" w:hAnsi="Garamond"/>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76098DB" w14:textId="77777777" w:rsidR="004B3B82" w:rsidRPr="007D4C5F" w:rsidRDefault="004B3B82" w:rsidP="00CD3B05">
            <w:pPr>
              <w:jc w:val="center"/>
              <w:rPr>
                <w:rFonts w:ascii="Garamond" w:hAnsi="Garamond"/>
              </w:rPr>
            </w:pPr>
            <w:r w:rsidRPr="007D4C5F">
              <w:rPr>
                <w:rFonts w:ascii="Garamond" w:hAnsi="Garamond"/>
                <w:b/>
                <w:bCs/>
              </w:rPr>
              <w:t>Действия</w:t>
            </w:r>
          </w:p>
        </w:tc>
        <w:tc>
          <w:tcPr>
            <w:tcW w:w="779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FD4D47C" w14:textId="77777777" w:rsidR="004B3B82" w:rsidRPr="00185D61" w:rsidRDefault="004B3B82" w:rsidP="004B3B82">
            <w:pPr>
              <w:pStyle w:val="ac"/>
              <w:numPr>
                <w:ilvl w:val="0"/>
                <w:numId w:val="220"/>
              </w:numPr>
              <w:pBdr>
                <w:top w:val="nil"/>
                <w:left w:val="nil"/>
                <w:bottom w:val="nil"/>
                <w:right w:val="nil"/>
                <w:between w:val="nil"/>
                <w:bar w:val="nil"/>
              </w:pBdr>
              <w:tabs>
                <w:tab w:val="left" w:pos="317"/>
                <w:tab w:val="left" w:pos="1440"/>
              </w:tabs>
              <w:ind w:left="317" w:hanging="262"/>
              <w:jc w:val="both"/>
              <w:rPr>
                <w:rFonts w:ascii="Garamond" w:hAnsi="Garamond"/>
                <w:highlight w:val="yellow"/>
              </w:rPr>
            </w:pPr>
            <w:r w:rsidRPr="00072D31">
              <w:rPr>
                <w:rFonts w:ascii="Garamond" w:hAnsi="Garamond"/>
                <w:highlight w:val="yellow"/>
              </w:rPr>
              <w:t>При проведении процедуры установления соответствия АИИС КУЭ:</w:t>
            </w:r>
          </w:p>
          <w:p w14:paraId="02E88B77" w14:textId="77777777" w:rsidR="004B3B82" w:rsidRPr="001074A1" w:rsidRDefault="004B3B82" w:rsidP="004B3B82">
            <w:pPr>
              <w:pStyle w:val="ac"/>
              <w:numPr>
                <w:ilvl w:val="0"/>
                <w:numId w:val="163"/>
              </w:numPr>
              <w:pBdr>
                <w:top w:val="nil"/>
                <w:left w:val="nil"/>
                <w:bottom w:val="nil"/>
                <w:right w:val="nil"/>
                <w:between w:val="nil"/>
                <w:bar w:val="nil"/>
              </w:pBdr>
              <w:tabs>
                <w:tab w:val="num" w:pos="416"/>
                <w:tab w:val="left" w:pos="1440"/>
              </w:tabs>
              <w:ind w:hanging="262"/>
              <w:jc w:val="both"/>
              <w:rPr>
                <w:rFonts w:ascii="Garamond" w:eastAsia="Garamond" w:hAnsi="Garamond" w:cs="Garamond"/>
              </w:rPr>
            </w:pPr>
            <w:r w:rsidRPr="007D4C5F">
              <w:rPr>
                <w:rFonts w:ascii="Garamond" w:hAnsi="Garamond"/>
              </w:rPr>
              <w:t>С помощью стандартных средств операционной системы или специализированного ПО удаленного доступа и администрирования устанавливается интернет-соединение с удаленным рабочим столом сервера (АРМ) ИВК АИИС КУЭ.</w:t>
            </w:r>
          </w:p>
          <w:p w14:paraId="2E3B15B8" w14:textId="77777777" w:rsidR="004B3B82" w:rsidRPr="00185D61" w:rsidRDefault="004B3B82" w:rsidP="004B3B82">
            <w:pPr>
              <w:pStyle w:val="ac"/>
              <w:numPr>
                <w:ilvl w:val="0"/>
                <w:numId w:val="163"/>
              </w:numPr>
              <w:pBdr>
                <w:top w:val="nil"/>
                <w:left w:val="nil"/>
                <w:bottom w:val="nil"/>
                <w:right w:val="nil"/>
                <w:between w:val="nil"/>
                <w:bar w:val="nil"/>
              </w:pBdr>
              <w:tabs>
                <w:tab w:val="num" w:pos="416"/>
                <w:tab w:val="left" w:pos="1440"/>
              </w:tabs>
              <w:ind w:hanging="262"/>
              <w:jc w:val="both"/>
              <w:rPr>
                <w:rFonts w:ascii="Garamond" w:eastAsia="Garamond" w:hAnsi="Garamond" w:cs="Garamond"/>
              </w:rPr>
            </w:pPr>
            <w:r w:rsidRPr="001074A1">
              <w:rPr>
                <w:rFonts w:ascii="Garamond" w:hAnsi="Garamond"/>
              </w:rPr>
              <w:t xml:space="preserve">Производится выборочное считывание данных из памяти </w:t>
            </w:r>
            <w:r w:rsidRPr="001074A1">
              <w:rPr>
                <w:rFonts w:ascii="Garamond" w:hAnsi="Garamond"/>
                <w:highlight w:val="yellow"/>
              </w:rPr>
              <w:t>приборов учета</w:t>
            </w:r>
            <w:r w:rsidRPr="001074A1">
              <w:rPr>
                <w:rFonts w:ascii="Garamond" w:hAnsi="Garamond"/>
              </w:rPr>
              <w:t xml:space="preserve">, УСПД и сервера (получасовых интегрированных профилей мощности по измерительным каналам </w:t>
            </w:r>
            <w:r w:rsidRPr="001074A1">
              <w:rPr>
                <w:rFonts w:ascii="Garamond" w:hAnsi="Garamond"/>
                <w:highlight w:val="yellow"/>
              </w:rPr>
              <w:t>приборов учета</w:t>
            </w:r>
            <w:r w:rsidRPr="001074A1">
              <w:rPr>
                <w:rFonts w:ascii="Garamond" w:hAnsi="Garamond"/>
              </w:rPr>
              <w:t>, включенных в АИИС КУЭ, и их «журналов событий», «журналов событий» УСПД ИВКЭ и сервера ИВК).</w:t>
            </w:r>
          </w:p>
          <w:p w14:paraId="2BBD043F" w14:textId="77777777" w:rsidR="004B3B82" w:rsidRDefault="004B3B82" w:rsidP="00E31AE6">
            <w:pPr>
              <w:pStyle w:val="ac"/>
              <w:pBdr>
                <w:top w:val="nil"/>
                <w:left w:val="nil"/>
                <w:bottom w:val="nil"/>
                <w:right w:val="nil"/>
                <w:between w:val="nil"/>
                <w:bar w:val="nil"/>
              </w:pBdr>
              <w:tabs>
                <w:tab w:val="num" w:pos="416"/>
                <w:tab w:val="left" w:pos="1440"/>
              </w:tabs>
              <w:ind w:left="317"/>
              <w:jc w:val="both"/>
              <w:rPr>
                <w:rFonts w:ascii="Garamond" w:hAnsi="Garamond"/>
              </w:rPr>
            </w:pPr>
          </w:p>
          <w:p w14:paraId="0D58AB8C" w14:textId="77777777" w:rsidR="004B3B82" w:rsidRPr="00185D61" w:rsidRDefault="004B3B82" w:rsidP="004B3B82">
            <w:pPr>
              <w:pStyle w:val="ac"/>
              <w:numPr>
                <w:ilvl w:val="0"/>
                <w:numId w:val="220"/>
              </w:numPr>
              <w:pBdr>
                <w:top w:val="nil"/>
                <w:left w:val="nil"/>
                <w:bottom w:val="nil"/>
                <w:right w:val="nil"/>
                <w:between w:val="nil"/>
                <w:bar w:val="nil"/>
              </w:pBdr>
              <w:tabs>
                <w:tab w:val="left" w:pos="317"/>
                <w:tab w:val="left" w:pos="1440"/>
              </w:tabs>
              <w:ind w:left="317" w:hanging="262"/>
              <w:jc w:val="both"/>
              <w:rPr>
                <w:rFonts w:ascii="Garamond" w:hAnsi="Garamond"/>
                <w:highlight w:val="yellow"/>
              </w:rPr>
            </w:pPr>
            <w:r w:rsidRPr="00072D31">
              <w:rPr>
                <w:rFonts w:ascii="Garamond" w:hAnsi="Garamond"/>
                <w:highlight w:val="yellow"/>
              </w:rPr>
              <w:t xml:space="preserve">При проведении процедуры подтверждения соответствия системы учета агрегатора </w:t>
            </w:r>
            <w:r w:rsidRPr="00185D61">
              <w:rPr>
                <w:rFonts w:ascii="Garamond" w:hAnsi="Garamond"/>
                <w:highlight w:val="yellow"/>
              </w:rPr>
              <w:t>техническим требованиям оптового рынка:</w:t>
            </w:r>
          </w:p>
          <w:p w14:paraId="1DB9D85A" w14:textId="77777777" w:rsidR="004B3B82" w:rsidRPr="00185D61" w:rsidRDefault="004B3B82" w:rsidP="004B3B82">
            <w:pPr>
              <w:pStyle w:val="ac"/>
              <w:numPr>
                <w:ilvl w:val="0"/>
                <w:numId w:val="221"/>
              </w:numPr>
              <w:pBdr>
                <w:top w:val="nil"/>
                <w:left w:val="nil"/>
                <w:bottom w:val="nil"/>
                <w:right w:val="nil"/>
                <w:between w:val="nil"/>
                <w:bar w:val="nil"/>
              </w:pBdr>
              <w:tabs>
                <w:tab w:val="num" w:pos="416"/>
                <w:tab w:val="left" w:pos="1440"/>
              </w:tabs>
              <w:ind w:hanging="262"/>
              <w:jc w:val="both"/>
              <w:rPr>
                <w:rFonts w:ascii="Garamond" w:eastAsia="Garamond" w:hAnsi="Garamond" w:cs="Garamond"/>
                <w:highlight w:val="yellow"/>
              </w:rPr>
            </w:pPr>
            <w:r w:rsidRPr="00185D61">
              <w:rPr>
                <w:rFonts w:ascii="Garamond" w:hAnsi="Garamond"/>
                <w:highlight w:val="yellow"/>
              </w:rPr>
              <w:t xml:space="preserve">С помощью стандартных средств операционной системы или специализированного ПО удаленного доступа и администрирования устанавливается интернет-соединение с удаленным рабочим столом сервера (АРМ) ИВК </w:t>
            </w:r>
            <w:r w:rsidRPr="00185D61">
              <w:rPr>
                <w:rFonts w:ascii="Garamond" w:hAnsi="Garamond" w:cs="Tahoma"/>
                <w:highlight w:val="yellow"/>
              </w:rPr>
              <w:t>совокупност</w:t>
            </w:r>
            <w:r>
              <w:rPr>
                <w:rFonts w:ascii="Garamond" w:hAnsi="Garamond" w:cs="Tahoma"/>
                <w:highlight w:val="yellow"/>
              </w:rPr>
              <w:t>и</w:t>
            </w:r>
            <w:r w:rsidRPr="00185D61">
              <w:rPr>
                <w:rFonts w:ascii="Garamond" w:hAnsi="Garamond" w:cs="Tahoma"/>
                <w:highlight w:val="yellow"/>
              </w:rPr>
              <w:t xml:space="preserve"> СИ и ТУ</w:t>
            </w:r>
            <w:r w:rsidRPr="00185D61">
              <w:rPr>
                <w:rFonts w:ascii="Garamond" w:hAnsi="Garamond"/>
                <w:highlight w:val="yellow"/>
              </w:rPr>
              <w:t>.</w:t>
            </w:r>
          </w:p>
          <w:p w14:paraId="7DADBAE6" w14:textId="77777777" w:rsidR="004B3B82" w:rsidRPr="001074A1" w:rsidRDefault="004B3B82" w:rsidP="004B3B82">
            <w:pPr>
              <w:pStyle w:val="ac"/>
              <w:numPr>
                <w:ilvl w:val="0"/>
                <w:numId w:val="221"/>
              </w:numPr>
              <w:pBdr>
                <w:top w:val="nil"/>
                <w:left w:val="nil"/>
                <w:bottom w:val="nil"/>
                <w:right w:val="nil"/>
                <w:between w:val="nil"/>
                <w:bar w:val="nil"/>
              </w:pBdr>
              <w:tabs>
                <w:tab w:val="num" w:pos="416"/>
                <w:tab w:val="left" w:pos="1440"/>
              </w:tabs>
              <w:ind w:hanging="262"/>
              <w:jc w:val="both"/>
              <w:rPr>
                <w:rFonts w:ascii="Garamond" w:eastAsia="Garamond" w:hAnsi="Garamond" w:cs="Garamond"/>
              </w:rPr>
            </w:pPr>
            <w:r w:rsidRPr="00185D61">
              <w:rPr>
                <w:rFonts w:ascii="Garamond" w:hAnsi="Garamond"/>
                <w:highlight w:val="yellow"/>
              </w:rPr>
              <w:t>Производится выборочное считывание данных из памяти приборов учета, УСПД</w:t>
            </w:r>
            <w:r>
              <w:rPr>
                <w:rFonts w:ascii="Garamond" w:hAnsi="Garamond"/>
                <w:highlight w:val="yellow"/>
              </w:rPr>
              <w:t xml:space="preserve"> (в случае если уровень ИВКЭ выполняет </w:t>
            </w:r>
            <w:r w:rsidRPr="00C6668F">
              <w:rPr>
                <w:rFonts w:ascii="Garamond" w:hAnsi="Garamond"/>
                <w:highlight w:val="yellow"/>
              </w:rPr>
              <w:t>функции преобразования результатов измерений с учетом коэффициентов трансформации измерительных трансформаторов</w:t>
            </w:r>
            <w:r>
              <w:rPr>
                <w:rFonts w:ascii="Garamond" w:hAnsi="Garamond"/>
                <w:highlight w:val="yellow"/>
              </w:rPr>
              <w:t>)</w:t>
            </w:r>
            <w:r w:rsidRPr="00185D61">
              <w:rPr>
                <w:rFonts w:ascii="Garamond" w:hAnsi="Garamond"/>
                <w:highlight w:val="yellow"/>
              </w:rPr>
              <w:t xml:space="preserve"> и сервера (получасовых интегрированных профилей мощности по </w:t>
            </w:r>
            <w:r>
              <w:rPr>
                <w:rFonts w:ascii="Garamond" w:hAnsi="Garamond"/>
                <w:highlight w:val="yellow"/>
              </w:rPr>
              <w:t>всем точкам измерений в составе объекта регулирования</w:t>
            </w:r>
            <w:r w:rsidRPr="00185D61">
              <w:rPr>
                <w:rFonts w:ascii="Garamond" w:hAnsi="Garamond"/>
                <w:highlight w:val="yellow"/>
              </w:rPr>
              <w:t>, их «журналов событий», «журналов событий» УСПД и сервера ИВК).</w:t>
            </w:r>
          </w:p>
        </w:tc>
      </w:tr>
      <w:tr w:rsidR="004B3B82" w:rsidRPr="0058630D" w14:paraId="60256665" w14:textId="77777777" w:rsidTr="00CD3B05">
        <w:tblPrEx>
          <w:shd w:val="clear" w:color="auto" w:fill="auto"/>
        </w:tblPrEx>
        <w:trPr>
          <w:trHeight w:val="970"/>
          <w:jc w:val="right"/>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DED7C16" w14:textId="77777777" w:rsidR="004B3B82" w:rsidRPr="0058630D" w:rsidRDefault="004B3B82" w:rsidP="00CD3B05">
            <w:pPr>
              <w:rPr>
                <w:rFonts w:ascii="Garamond" w:hAnsi="Garamond"/>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ABE3726" w14:textId="77777777" w:rsidR="004B3B82" w:rsidRPr="004B7F48" w:rsidRDefault="004B3B82" w:rsidP="00CD3B05">
            <w:pPr>
              <w:jc w:val="center"/>
              <w:rPr>
                <w:rFonts w:ascii="Garamond" w:hAnsi="Garamond"/>
              </w:rPr>
            </w:pPr>
            <w:r w:rsidRPr="00FC535A">
              <w:rPr>
                <w:rFonts w:ascii="Garamond" w:hAnsi="Garamond"/>
                <w:b/>
                <w:bCs/>
              </w:rPr>
              <w:t>Критерии</w:t>
            </w:r>
          </w:p>
        </w:tc>
        <w:tc>
          <w:tcPr>
            <w:tcW w:w="779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E56A0DE" w14:textId="77777777" w:rsidR="004B3B82" w:rsidRPr="002875DF" w:rsidRDefault="004B3B82" w:rsidP="004B3B82">
            <w:pPr>
              <w:pStyle w:val="ac"/>
              <w:numPr>
                <w:ilvl w:val="0"/>
                <w:numId w:val="177"/>
              </w:numPr>
              <w:pBdr>
                <w:top w:val="nil"/>
                <w:left w:val="nil"/>
                <w:bottom w:val="nil"/>
                <w:right w:val="nil"/>
                <w:between w:val="nil"/>
                <w:bar w:val="nil"/>
              </w:pBdr>
              <w:tabs>
                <w:tab w:val="left" w:pos="317"/>
              </w:tabs>
              <w:ind w:left="52" w:hanging="52"/>
              <w:jc w:val="both"/>
              <w:rPr>
                <w:rFonts w:ascii="Garamond" w:hAnsi="Garamond"/>
                <w:highlight w:val="yellow"/>
              </w:rPr>
            </w:pPr>
            <w:r w:rsidRPr="002875DF">
              <w:rPr>
                <w:rFonts w:ascii="Garamond" w:hAnsi="Garamond"/>
                <w:highlight w:val="yellow"/>
              </w:rPr>
              <w:t>При проведении процедуры установления соответствия АИИС КУЭ:</w:t>
            </w:r>
          </w:p>
          <w:p w14:paraId="6C664C59" w14:textId="77777777" w:rsidR="004B3B82" w:rsidRPr="002875DF" w:rsidRDefault="004B3B82" w:rsidP="004B3B82">
            <w:pPr>
              <w:pStyle w:val="ac"/>
              <w:numPr>
                <w:ilvl w:val="0"/>
                <w:numId w:val="164"/>
              </w:numPr>
              <w:pBdr>
                <w:top w:val="nil"/>
                <w:left w:val="nil"/>
                <w:bottom w:val="nil"/>
                <w:right w:val="nil"/>
                <w:between w:val="nil"/>
                <w:bar w:val="nil"/>
              </w:pBdr>
              <w:tabs>
                <w:tab w:val="left" w:pos="1440"/>
              </w:tabs>
              <w:jc w:val="both"/>
              <w:rPr>
                <w:rFonts w:ascii="Garamond" w:eastAsia="Garamond" w:hAnsi="Garamond" w:cs="Garamond"/>
              </w:rPr>
            </w:pPr>
            <w:r w:rsidRPr="002875DF">
              <w:rPr>
                <w:rFonts w:ascii="Garamond" w:hAnsi="Garamond"/>
              </w:rPr>
              <w:t>В момент первичного установления соответствия АИИС КУЭ при наличии дистанционного доступа до всех компонентов АИИС КУЭ параметр подтверждается автоматически.</w:t>
            </w:r>
          </w:p>
          <w:p w14:paraId="2B8BDB29" w14:textId="77777777" w:rsidR="004B3B82" w:rsidRPr="002875DF" w:rsidRDefault="004B3B82" w:rsidP="004B3B82">
            <w:pPr>
              <w:pStyle w:val="ac"/>
              <w:numPr>
                <w:ilvl w:val="0"/>
                <w:numId w:val="164"/>
              </w:numPr>
              <w:pBdr>
                <w:top w:val="nil"/>
                <w:left w:val="nil"/>
                <w:bottom w:val="nil"/>
                <w:right w:val="nil"/>
                <w:between w:val="nil"/>
                <w:bar w:val="nil"/>
              </w:pBdr>
              <w:tabs>
                <w:tab w:val="left" w:pos="1440"/>
              </w:tabs>
              <w:jc w:val="both"/>
              <w:rPr>
                <w:rFonts w:ascii="Garamond" w:eastAsia="Garamond" w:hAnsi="Garamond" w:cs="Garamond"/>
              </w:rPr>
            </w:pPr>
            <w:r w:rsidRPr="002875DF">
              <w:rPr>
                <w:rFonts w:ascii="Garamond" w:hAnsi="Garamond"/>
              </w:rPr>
              <w:t>В течение срока действия Акта о соответствии АИИС КУЭ техническим требованиям ОРЭМ заявитель обязан по письменному запросу КО в течение 5 (пяти) рабочих дней предоставить дистанционный доступ до всех компонентов АИИС КУЭ и направить уполномоченного представителя для проведения проверки.</w:t>
            </w:r>
          </w:p>
          <w:p w14:paraId="2F636BDE" w14:textId="77777777" w:rsidR="004B3B82" w:rsidRPr="002875DF" w:rsidRDefault="004B3B82" w:rsidP="00CD3B05">
            <w:pPr>
              <w:pStyle w:val="ac"/>
              <w:pBdr>
                <w:top w:val="nil"/>
                <w:left w:val="nil"/>
                <w:bottom w:val="nil"/>
                <w:right w:val="nil"/>
                <w:between w:val="nil"/>
                <w:bar w:val="nil"/>
              </w:pBdr>
              <w:tabs>
                <w:tab w:val="left" w:pos="1440"/>
              </w:tabs>
              <w:ind w:left="317"/>
              <w:jc w:val="both"/>
              <w:rPr>
                <w:rFonts w:ascii="Garamond" w:hAnsi="Garamond"/>
                <w:highlight w:val="yellow"/>
              </w:rPr>
            </w:pPr>
          </w:p>
          <w:p w14:paraId="142DF16D" w14:textId="77777777" w:rsidR="004B3B82" w:rsidRPr="002875DF" w:rsidRDefault="004B3B82" w:rsidP="004B3B82">
            <w:pPr>
              <w:pStyle w:val="ac"/>
              <w:numPr>
                <w:ilvl w:val="0"/>
                <w:numId w:val="177"/>
              </w:numPr>
              <w:pBdr>
                <w:top w:val="nil"/>
                <w:left w:val="nil"/>
                <w:bottom w:val="nil"/>
                <w:right w:val="nil"/>
                <w:between w:val="nil"/>
                <w:bar w:val="nil"/>
              </w:pBdr>
              <w:tabs>
                <w:tab w:val="left" w:pos="317"/>
              </w:tabs>
              <w:ind w:left="52" w:hanging="52"/>
              <w:jc w:val="both"/>
              <w:rPr>
                <w:rFonts w:ascii="Garamond" w:eastAsia="Garamond" w:hAnsi="Garamond" w:cs="Garamond"/>
                <w:highlight w:val="yellow"/>
              </w:rPr>
            </w:pPr>
            <w:r w:rsidRPr="002875DF">
              <w:rPr>
                <w:rFonts w:ascii="Garamond" w:hAnsi="Garamond"/>
                <w:highlight w:val="yellow"/>
              </w:rPr>
              <w:t xml:space="preserve">При проведении процедуры подтверждения соответствия системы учета </w:t>
            </w:r>
            <w:r>
              <w:rPr>
                <w:rFonts w:ascii="Garamond" w:hAnsi="Garamond"/>
                <w:highlight w:val="yellow"/>
              </w:rPr>
              <w:t xml:space="preserve">агрегатора </w:t>
            </w:r>
            <w:r w:rsidRPr="002875DF">
              <w:rPr>
                <w:rFonts w:ascii="Garamond" w:hAnsi="Garamond"/>
                <w:highlight w:val="yellow"/>
              </w:rPr>
              <w:t>техническим требованиям оптовог</w:t>
            </w:r>
            <w:r>
              <w:rPr>
                <w:rFonts w:ascii="Garamond" w:hAnsi="Garamond"/>
                <w:highlight w:val="yellow"/>
              </w:rPr>
              <w:t>о рынка:</w:t>
            </w:r>
          </w:p>
          <w:p w14:paraId="4193AAE7" w14:textId="77777777" w:rsidR="004B3B82" w:rsidRPr="002875DF" w:rsidRDefault="004B3B82" w:rsidP="004B3B82">
            <w:pPr>
              <w:pStyle w:val="ac"/>
              <w:numPr>
                <w:ilvl w:val="0"/>
                <w:numId w:val="178"/>
              </w:numPr>
              <w:pBdr>
                <w:top w:val="nil"/>
                <w:left w:val="nil"/>
                <w:bottom w:val="nil"/>
                <w:right w:val="nil"/>
                <w:between w:val="nil"/>
                <w:bar w:val="nil"/>
              </w:pBdr>
              <w:tabs>
                <w:tab w:val="left" w:pos="1440"/>
              </w:tabs>
              <w:jc w:val="both"/>
              <w:rPr>
                <w:rFonts w:ascii="Garamond" w:eastAsia="Garamond" w:hAnsi="Garamond" w:cs="Garamond"/>
                <w:highlight w:val="yellow"/>
              </w:rPr>
            </w:pPr>
            <w:r w:rsidRPr="002875DF">
              <w:rPr>
                <w:rFonts w:ascii="Garamond" w:hAnsi="Garamond"/>
                <w:highlight w:val="yellow"/>
              </w:rPr>
              <w:t>В момент первичного подтверждения соответствия системы учета техническим требованиям оптового рынка</w:t>
            </w:r>
            <w:r>
              <w:rPr>
                <w:rFonts w:ascii="Garamond" w:hAnsi="Garamond"/>
                <w:highlight w:val="yellow"/>
              </w:rPr>
              <w:t xml:space="preserve"> по</w:t>
            </w:r>
            <w:r w:rsidRPr="002875DF">
              <w:rPr>
                <w:rFonts w:ascii="Garamond" w:hAnsi="Garamond"/>
                <w:highlight w:val="yellow"/>
              </w:rPr>
              <w:t xml:space="preserve"> объект</w:t>
            </w:r>
            <w:r>
              <w:rPr>
                <w:rFonts w:ascii="Garamond" w:hAnsi="Garamond"/>
                <w:highlight w:val="yellow"/>
              </w:rPr>
              <w:t>у</w:t>
            </w:r>
            <w:r w:rsidRPr="002875DF">
              <w:rPr>
                <w:rFonts w:ascii="Garamond" w:hAnsi="Garamond"/>
                <w:highlight w:val="yellow"/>
              </w:rPr>
              <w:t xml:space="preserve"> регулирования при наличии дистанционного </w:t>
            </w:r>
            <w:r w:rsidRPr="002875DF">
              <w:rPr>
                <w:rFonts w:ascii="Garamond" w:hAnsi="Garamond"/>
                <w:highlight w:val="yellow"/>
              </w:rPr>
              <w:lastRenderedPageBreak/>
              <w:t>доступа до всех компонентов совокупности СИ и ТУ параметр подтверждается автоматически.</w:t>
            </w:r>
          </w:p>
          <w:p w14:paraId="5910449F" w14:textId="77777777" w:rsidR="004B3B82" w:rsidRPr="002875DF" w:rsidRDefault="004B3B82" w:rsidP="004B3B82">
            <w:pPr>
              <w:pStyle w:val="ac"/>
              <w:numPr>
                <w:ilvl w:val="0"/>
                <w:numId w:val="178"/>
              </w:numPr>
              <w:pBdr>
                <w:top w:val="nil"/>
                <w:left w:val="nil"/>
                <w:bottom w:val="nil"/>
                <w:right w:val="nil"/>
                <w:between w:val="nil"/>
                <w:bar w:val="nil"/>
              </w:pBdr>
              <w:tabs>
                <w:tab w:val="left" w:pos="317"/>
                <w:tab w:val="left" w:pos="1440"/>
              </w:tabs>
              <w:jc w:val="both"/>
              <w:rPr>
                <w:rFonts w:ascii="Garamond" w:eastAsia="Garamond" w:hAnsi="Garamond" w:cs="Garamond"/>
                <w:highlight w:val="yellow"/>
              </w:rPr>
            </w:pPr>
            <w:r w:rsidRPr="002875DF">
              <w:rPr>
                <w:rFonts w:ascii="Garamond" w:hAnsi="Garamond"/>
                <w:highlight w:val="yellow"/>
              </w:rPr>
              <w:t xml:space="preserve">В течение срока </w:t>
            </w:r>
            <w:r w:rsidRPr="004B7A35">
              <w:rPr>
                <w:rFonts w:ascii="Garamond" w:hAnsi="Garamond" w:cs="Times New Roman"/>
                <w:highlight w:val="yellow"/>
              </w:rPr>
              <w:t>подтверждения соответствия системы учета электроэнергии техническим требованиям оптового рынка</w:t>
            </w:r>
            <w:r>
              <w:rPr>
                <w:rFonts w:ascii="Garamond" w:hAnsi="Garamond" w:cs="Times New Roman"/>
                <w:highlight w:val="yellow"/>
              </w:rPr>
              <w:t xml:space="preserve"> </w:t>
            </w:r>
            <w:r w:rsidRPr="002875DF">
              <w:rPr>
                <w:rFonts w:ascii="Garamond" w:hAnsi="Garamond"/>
                <w:highlight w:val="yellow"/>
              </w:rPr>
              <w:t>по объекту регулирования заявитель обязан по письменному запросу КО в течение 5 (пяти) рабочих дней предоставить дистанционный доступ до всех компонентов совокупности СИ и ТУ и направить уполномоченного представителя для проведения проверки.</w:t>
            </w:r>
          </w:p>
        </w:tc>
      </w:tr>
      <w:tr w:rsidR="004B3B82" w:rsidRPr="0058630D" w14:paraId="20F8BA2C" w14:textId="77777777" w:rsidTr="00CD3B05">
        <w:tblPrEx>
          <w:shd w:val="clear" w:color="auto" w:fill="auto"/>
        </w:tblPrEx>
        <w:trPr>
          <w:trHeight w:val="730"/>
          <w:jc w:val="right"/>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5D61A58" w14:textId="77777777" w:rsidR="004B3B82" w:rsidRPr="0058630D" w:rsidRDefault="004B3B82" w:rsidP="00CD3B05">
            <w:pPr>
              <w:rPr>
                <w:rFonts w:ascii="Garamond" w:hAnsi="Garamond"/>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1BD59CA" w14:textId="77777777" w:rsidR="004B3B82" w:rsidRPr="004B7F48" w:rsidRDefault="004B3B82" w:rsidP="00CD3B05">
            <w:pPr>
              <w:jc w:val="center"/>
              <w:rPr>
                <w:rFonts w:ascii="Garamond" w:hAnsi="Garamond"/>
              </w:rPr>
            </w:pPr>
            <w:r w:rsidRPr="004B7F48">
              <w:rPr>
                <w:rFonts w:ascii="Garamond" w:hAnsi="Garamond"/>
                <w:b/>
                <w:bCs/>
              </w:rPr>
              <w:t>Испытатели</w:t>
            </w:r>
          </w:p>
        </w:tc>
        <w:tc>
          <w:tcPr>
            <w:tcW w:w="779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2A8095" w14:textId="77777777" w:rsidR="004B3B82" w:rsidRPr="00415C9E" w:rsidRDefault="004B3B82" w:rsidP="004B3B82">
            <w:pPr>
              <w:pStyle w:val="ac"/>
              <w:numPr>
                <w:ilvl w:val="0"/>
                <w:numId w:val="165"/>
              </w:numPr>
              <w:pBdr>
                <w:top w:val="nil"/>
                <w:left w:val="nil"/>
                <w:bottom w:val="nil"/>
                <w:right w:val="nil"/>
                <w:between w:val="nil"/>
                <w:bar w:val="nil"/>
              </w:pBdr>
              <w:tabs>
                <w:tab w:val="left" w:pos="1440"/>
              </w:tabs>
              <w:jc w:val="both"/>
              <w:rPr>
                <w:rFonts w:ascii="Garamond" w:eastAsia="Garamond" w:hAnsi="Garamond" w:cs="Garamond"/>
              </w:rPr>
            </w:pPr>
            <w:r w:rsidRPr="00415C9E">
              <w:rPr>
                <w:rFonts w:ascii="Garamond" w:hAnsi="Garamond"/>
              </w:rPr>
              <w:t>Представители КО.</w:t>
            </w:r>
          </w:p>
          <w:p w14:paraId="4193CB0A" w14:textId="77777777" w:rsidR="004B3B82" w:rsidRPr="00415C9E" w:rsidRDefault="004B3B82" w:rsidP="004B3B82">
            <w:pPr>
              <w:pStyle w:val="ac"/>
              <w:numPr>
                <w:ilvl w:val="0"/>
                <w:numId w:val="165"/>
              </w:numPr>
              <w:pBdr>
                <w:top w:val="nil"/>
                <w:left w:val="nil"/>
                <w:bottom w:val="nil"/>
                <w:right w:val="nil"/>
                <w:between w:val="nil"/>
                <w:bar w:val="nil"/>
              </w:pBdr>
              <w:tabs>
                <w:tab w:val="left" w:pos="1440"/>
              </w:tabs>
              <w:ind w:left="380" w:hanging="380"/>
              <w:jc w:val="both"/>
              <w:rPr>
                <w:rFonts w:ascii="Garamond" w:eastAsia="Garamond" w:hAnsi="Garamond" w:cs="Garamond"/>
              </w:rPr>
            </w:pPr>
            <w:r w:rsidRPr="00415C9E">
              <w:rPr>
                <w:rFonts w:ascii="Garamond" w:hAnsi="Garamond"/>
              </w:rPr>
              <w:t>Представители заявителя</w:t>
            </w:r>
            <w:r w:rsidRPr="00415C9E">
              <w:rPr>
                <w:rFonts w:ascii="Garamond" w:eastAsia="Garamond" w:hAnsi="Garamond" w:cs="Garamond"/>
              </w:rPr>
              <w:t>.</w:t>
            </w:r>
          </w:p>
          <w:p w14:paraId="5DE12296" w14:textId="2BC6A7C8" w:rsidR="004B3B82" w:rsidRPr="00415C9E" w:rsidRDefault="004B3B82" w:rsidP="004B3B82">
            <w:pPr>
              <w:pStyle w:val="ac"/>
              <w:numPr>
                <w:ilvl w:val="0"/>
                <w:numId w:val="165"/>
              </w:numPr>
              <w:pBdr>
                <w:top w:val="nil"/>
                <w:left w:val="nil"/>
                <w:bottom w:val="nil"/>
                <w:right w:val="nil"/>
                <w:between w:val="nil"/>
                <w:bar w:val="nil"/>
              </w:pBdr>
              <w:tabs>
                <w:tab w:val="left" w:pos="1440"/>
              </w:tabs>
              <w:ind w:left="380" w:hanging="380"/>
              <w:jc w:val="both"/>
              <w:rPr>
                <w:rFonts w:ascii="Garamond" w:eastAsia="Garamond" w:hAnsi="Garamond" w:cs="Garamond"/>
              </w:rPr>
            </w:pPr>
            <w:r w:rsidRPr="00415C9E">
              <w:rPr>
                <w:rFonts w:ascii="Garamond" w:hAnsi="Garamond"/>
              </w:rPr>
              <w:t>Представители смежного субъекта (при участии в испытаниях</w:t>
            </w:r>
            <w:r w:rsidRPr="00424795">
              <w:rPr>
                <w:rFonts w:ascii="Garamond" w:hAnsi="Garamond"/>
                <w:highlight w:val="yellow"/>
              </w:rPr>
              <w:t xml:space="preserve"> в рамках процедуры установления </w:t>
            </w:r>
            <w:r w:rsidR="001B3CED" w:rsidRPr="00424795">
              <w:rPr>
                <w:rFonts w:ascii="Garamond" w:hAnsi="Garamond"/>
                <w:highlight w:val="yellow"/>
              </w:rPr>
              <w:t>соответствия</w:t>
            </w:r>
            <w:r w:rsidRPr="00424795">
              <w:rPr>
                <w:rFonts w:ascii="Garamond" w:hAnsi="Garamond"/>
                <w:highlight w:val="yellow"/>
              </w:rPr>
              <w:t xml:space="preserve"> АИИС КУЭ</w:t>
            </w:r>
            <w:r w:rsidRPr="00415C9E">
              <w:rPr>
                <w:rFonts w:ascii="Garamond" w:hAnsi="Garamond"/>
              </w:rPr>
              <w:t>).</w:t>
            </w:r>
          </w:p>
        </w:tc>
      </w:tr>
      <w:tr w:rsidR="004B3B82" w:rsidRPr="004B7F48" w14:paraId="47384D2D" w14:textId="77777777" w:rsidTr="00CD3B05">
        <w:tblPrEx>
          <w:shd w:val="clear" w:color="auto" w:fill="auto"/>
        </w:tblPrEx>
        <w:trPr>
          <w:trHeight w:val="250"/>
          <w:jc w:val="right"/>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10AF01F" w14:textId="77777777" w:rsidR="004B3B82" w:rsidRPr="0058630D" w:rsidRDefault="004B3B82" w:rsidP="00CD3B05">
            <w:pPr>
              <w:rPr>
                <w:rFonts w:ascii="Garamond" w:hAnsi="Garamond"/>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BAA8957" w14:textId="77777777" w:rsidR="004B3B82" w:rsidRPr="004B7F48" w:rsidRDefault="004B3B82" w:rsidP="00CD3B05">
            <w:pPr>
              <w:jc w:val="center"/>
              <w:rPr>
                <w:rFonts w:ascii="Garamond" w:hAnsi="Garamond"/>
              </w:rPr>
            </w:pPr>
            <w:r w:rsidRPr="004B7F48">
              <w:rPr>
                <w:rFonts w:ascii="Garamond" w:hAnsi="Garamond"/>
                <w:b/>
                <w:bCs/>
              </w:rPr>
              <w:t>Документы</w:t>
            </w:r>
          </w:p>
        </w:tc>
        <w:tc>
          <w:tcPr>
            <w:tcW w:w="779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8638B4C" w14:textId="77777777" w:rsidR="004B3B82" w:rsidRDefault="004B3B82" w:rsidP="004B3B82">
            <w:pPr>
              <w:pStyle w:val="ac"/>
              <w:numPr>
                <w:ilvl w:val="0"/>
                <w:numId w:val="166"/>
              </w:numPr>
              <w:tabs>
                <w:tab w:val="left" w:pos="317"/>
              </w:tabs>
              <w:ind w:left="52" w:firstLine="0"/>
              <w:jc w:val="both"/>
              <w:rPr>
                <w:rFonts w:ascii="Garamond" w:hAnsi="Garamond"/>
                <w:highlight w:val="yellow"/>
              </w:rPr>
            </w:pPr>
            <w:r w:rsidRPr="0081004D">
              <w:rPr>
                <w:rFonts w:ascii="Garamond" w:hAnsi="Garamond"/>
                <w:highlight w:val="yellow"/>
              </w:rPr>
              <w:t xml:space="preserve">При проведении </w:t>
            </w:r>
            <w:r>
              <w:rPr>
                <w:rFonts w:ascii="Garamond" w:hAnsi="Garamond"/>
                <w:highlight w:val="yellow"/>
              </w:rPr>
              <w:t>процедуры</w:t>
            </w:r>
            <w:r w:rsidRPr="0081004D">
              <w:rPr>
                <w:rFonts w:ascii="Garamond" w:hAnsi="Garamond"/>
                <w:highlight w:val="yellow"/>
              </w:rPr>
              <w:t xml:space="preserve"> установления соответствия АИИС КУЭ</w:t>
            </w:r>
            <w:r>
              <w:rPr>
                <w:rFonts w:ascii="Garamond" w:hAnsi="Garamond"/>
                <w:highlight w:val="yellow"/>
              </w:rPr>
              <w:t>:</w:t>
            </w:r>
            <w:r w:rsidRPr="0081004D">
              <w:rPr>
                <w:rFonts w:ascii="Garamond" w:hAnsi="Garamond"/>
                <w:highlight w:val="yellow"/>
              </w:rPr>
              <w:t xml:space="preserve"> </w:t>
            </w:r>
            <w:r w:rsidRPr="00FF63FB">
              <w:rPr>
                <w:rFonts w:ascii="Garamond" w:hAnsi="Garamond"/>
                <w:highlight w:val="yellow"/>
              </w:rPr>
              <w:t>д</w:t>
            </w:r>
            <w:r w:rsidRPr="00226E4C">
              <w:rPr>
                <w:rFonts w:ascii="Garamond" w:hAnsi="Garamond"/>
              </w:rPr>
              <w:t>окументация в соответствии с таблицей 2 приложения 1 настоящего Порядка, представленная для установления соответствия АИИС КУЭ</w:t>
            </w:r>
            <w:r>
              <w:rPr>
                <w:rFonts w:ascii="Garamond" w:hAnsi="Garamond"/>
                <w:highlight w:val="yellow"/>
              </w:rPr>
              <w:t>.</w:t>
            </w:r>
          </w:p>
          <w:p w14:paraId="1DE3CCE6" w14:textId="77777777" w:rsidR="004B3B82" w:rsidRPr="00226E4C" w:rsidRDefault="004B3B82" w:rsidP="004B3B82">
            <w:pPr>
              <w:pStyle w:val="ac"/>
              <w:numPr>
                <w:ilvl w:val="0"/>
                <w:numId w:val="166"/>
              </w:numPr>
              <w:tabs>
                <w:tab w:val="left" w:pos="317"/>
              </w:tabs>
              <w:ind w:left="52" w:firstLine="0"/>
              <w:jc w:val="both"/>
              <w:rPr>
                <w:rFonts w:ascii="Garamond" w:hAnsi="Garamond"/>
                <w:highlight w:val="yellow"/>
              </w:rPr>
            </w:pPr>
            <w:r w:rsidRPr="00226E4C">
              <w:rPr>
                <w:rFonts w:ascii="Garamond" w:hAnsi="Garamond"/>
                <w:highlight w:val="yellow"/>
              </w:rPr>
              <w:t xml:space="preserve">При проведении процедуры подтверждения соответствия системы учета </w:t>
            </w:r>
            <w:r>
              <w:rPr>
                <w:rFonts w:ascii="Garamond" w:hAnsi="Garamond"/>
                <w:highlight w:val="yellow"/>
              </w:rPr>
              <w:t xml:space="preserve">агрегатора </w:t>
            </w:r>
            <w:r w:rsidRPr="00226E4C">
              <w:rPr>
                <w:rFonts w:ascii="Garamond" w:hAnsi="Garamond"/>
                <w:highlight w:val="yellow"/>
              </w:rPr>
              <w:t>техническим требованиям оптового рынка: ПСИ.</w:t>
            </w:r>
          </w:p>
        </w:tc>
      </w:tr>
      <w:tr w:rsidR="004B3B82" w:rsidRPr="004B7F48" w14:paraId="20D105BE" w14:textId="77777777" w:rsidTr="00CD3B05">
        <w:tblPrEx>
          <w:shd w:val="clear" w:color="auto" w:fill="auto"/>
        </w:tblPrEx>
        <w:trPr>
          <w:trHeight w:val="250"/>
          <w:jc w:val="right"/>
        </w:trPr>
        <w:tc>
          <w:tcPr>
            <w:tcW w:w="567" w:type="dxa"/>
            <w:tcBorders>
              <w:top w:val="single" w:sz="4" w:space="0" w:color="000000"/>
              <w:left w:val="single" w:sz="4" w:space="0" w:color="000000"/>
              <w:bottom w:val="single" w:sz="4" w:space="0" w:color="000000"/>
              <w:right w:val="single" w:sz="4" w:space="0" w:color="000000"/>
            </w:tcBorders>
            <w:shd w:val="clear" w:color="auto" w:fill="BFBFBF"/>
            <w:tcMar>
              <w:top w:w="80" w:type="dxa"/>
              <w:left w:w="80" w:type="dxa"/>
              <w:bottom w:w="80" w:type="dxa"/>
              <w:right w:w="80" w:type="dxa"/>
            </w:tcMar>
            <w:vAlign w:val="center"/>
          </w:tcPr>
          <w:p w14:paraId="55F584F9" w14:textId="77777777" w:rsidR="004B3B82" w:rsidRPr="00FC535A" w:rsidRDefault="004B3B82" w:rsidP="00CD3B05">
            <w:pPr>
              <w:jc w:val="center"/>
              <w:rPr>
                <w:rFonts w:ascii="Garamond" w:hAnsi="Garamond"/>
                <w:lang w:val="en-US"/>
              </w:rPr>
            </w:pPr>
            <w:r w:rsidRPr="005F754A">
              <w:rPr>
                <w:rFonts w:ascii="Garamond" w:hAnsi="Garamond"/>
                <w:lang w:val="en-US"/>
              </w:rPr>
              <w:t>10</w:t>
            </w:r>
          </w:p>
        </w:tc>
        <w:tc>
          <w:tcPr>
            <w:tcW w:w="1560" w:type="dxa"/>
            <w:tcBorders>
              <w:top w:val="single" w:sz="4" w:space="0" w:color="000000"/>
              <w:left w:val="single" w:sz="4" w:space="0" w:color="000000"/>
              <w:bottom w:val="single" w:sz="4" w:space="0" w:color="000000"/>
              <w:right w:val="single" w:sz="4" w:space="0" w:color="000000"/>
            </w:tcBorders>
            <w:shd w:val="clear" w:color="auto" w:fill="BFBFBF"/>
            <w:tcMar>
              <w:top w:w="80" w:type="dxa"/>
              <w:left w:w="80" w:type="dxa"/>
              <w:bottom w:w="80" w:type="dxa"/>
              <w:right w:w="80" w:type="dxa"/>
            </w:tcMar>
            <w:vAlign w:val="center"/>
          </w:tcPr>
          <w:p w14:paraId="46FB2530" w14:textId="77777777" w:rsidR="004B3B82" w:rsidRPr="00FC535A" w:rsidRDefault="004B3B82" w:rsidP="00CD3B05">
            <w:pPr>
              <w:jc w:val="center"/>
              <w:rPr>
                <w:rFonts w:ascii="Garamond" w:hAnsi="Garamond"/>
                <w:b/>
                <w:bCs/>
                <w:vertAlign w:val="subscript"/>
              </w:rPr>
            </w:pPr>
            <w:r w:rsidRPr="00FC535A">
              <w:rPr>
                <w:rFonts w:ascii="Garamond" w:hAnsi="Garamond"/>
                <w:b/>
                <w:bCs/>
              </w:rPr>
              <w:t>П</w:t>
            </w:r>
            <w:r w:rsidRPr="00FC535A">
              <w:rPr>
                <w:rFonts w:ascii="Garamond" w:hAnsi="Garamond"/>
                <w:b/>
                <w:bCs/>
                <w:vertAlign w:val="subscript"/>
              </w:rPr>
              <w:t>Ф40</w:t>
            </w:r>
          </w:p>
          <w:p w14:paraId="2BCE8F63" w14:textId="77777777" w:rsidR="004B3B82" w:rsidRPr="004B7F48" w:rsidRDefault="004B3B82" w:rsidP="00CD3B05">
            <w:pPr>
              <w:jc w:val="center"/>
              <w:rPr>
                <w:rFonts w:ascii="Garamond" w:hAnsi="Garamond"/>
              </w:rPr>
            </w:pPr>
            <w:r w:rsidRPr="00FC535A">
              <w:rPr>
                <w:rFonts w:ascii="Garamond" w:hAnsi="Garamond"/>
                <w:bCs/>
              </w:rPr>
              <w:t>(п.</w:t>
            </w:r>
            <w:r>
              <w:rPr>
                <w:rFonts w:ascii="Garamond" w:hAnsi="Garamond"/>
                <w:bCs/>
              </w:rPr>
              <w:t xml:space="preserve"> </w:t>
            </w:r>
            <w:r w:rsidRPr="00FC535A">
              <w:rPr>
                <w:rFonts w:ascii="Garamond" w:hAnsi="Garamond"/>
                <w:bCs/>
              </w:rPr>
              <w:t>3.4.3)</w:t>
            </w:r>
          </w:p>
        </w:tc>
        <w:tc>
          <w:tcPr>
            <w:tcW w:w="7797" w:type="dxa"/>
            <w:tcBorders>
              <w:top w:val="single" w:sz="4" w:space="0" w:color="000000"/>
              <w:left w:val="single" w:sz="4" w:space="0" w:color="000000"/>
              <w:bottom w:val="single" w:sz="4" w:space="0" w:color="000000"/>
              <w:right w:val="single" w:sz="4" w:space="0" w:color="000000"/>
            </w:tcBorders>
            <w:shd w:val="clear" w:color="auto" w:fill="BFBFBF"/>
            <w:tcMar>
              <w:top w:w="80" w:type="dxa"/>
              <w:left w:w="80" w:type="dxa"/>
              <w:bottom w:w="80" w:type="dxa"/>
              <w:right w:w="80" w:type="dxa"/>
            </w:tcMar>
          </w:tcPr>
          <w:p w14:paraId="2E5F807D" w14:textId="77777777" w:rsidR="004B3B82" w:rsidRPr="00415C9E" w:rsidRDefault="004B3B82" w:rsidP="00CD3B05">
            <w:pPr>
              <w:rPr>
                <w:rFonts w:ascii="Garamond" w:hAnsi="Garamond"/>
              </w:rPr>
            </w:pPr>
            <w:r w:rsidRPr="00415C9E">
              <w:rPr>
                <w:rFonts w:ascii="Garamond" w:hAnsi="Garamond"/>
                <w:b/>
                <w:bCs/>
              </w:rPr>
              <w:t>Глубина хранения информации (профиля) в ИИК</w:t>
            </w:r>
          </w:p>
        </w:tc>
      </w:tr>
      <w:tr w:rsidR="004B3B82" w:rsidRPr="00FC535A" w14:paraId="76854290" w14:textId="77777777" w:rsidTr="00CD3B05">
        <w:tblPrEx>
          <w:shd w:val="clear" w:color="auto" w:fill="auto"/>
        </w:tblPrEx>
        <w:trPr>
          <w:trHeight w:val="250"/>
          <w:jc w:val="right"/>
        </w:trPr>
        <w:tc>
          <w:tcPr>
            <w:tcW w:w="567" w:type="dxa"/>
            <w:tcBorders>
              <w:top w:val="single" w:sz="4" w:space="0" w:color="000000"/>
              <w:left w:val="single" w:sz="4" w:space="0" w:color="000000"/>
              <w:bottom w:val="single" w:sz="4" w:space="0" w:color="000000"/>
              <w:right w:val="single" w:sz="4" w:space="0" w:color="000000"/>
            </w:tcBorders>
            <w:shd w:val="clear" w:color="auto" w:fill="92D050"/>
            <w:tcMar>
              <w:top w:w="80" w:type="dxa"/>
              <w:left w:w="80" w:type="dxa"/>
              <w:bottom w:w="80" w:type="dxa"/>
              <w:right w:w="80" w:type="dxa"/>
            </w:tcMar>
            <w:vAlign w:val="center"/>
          </w:tcPr>
          <w:p w14:paraId="0DD604B2" w14:textId="77777777" w:rsidR="004B3B82" w:rsidRPr="004B7F48" w:rsidRDefault="004B3B82" w:rsidP="00CD3B05">
            <w:pPr>
              <w:rPr>
                <w:rFonts w:ascii="Garamond" w:hAnsi="Garamond"/>
              </w:rPr>
            </w:pPr>
          </w:p>
        </w:tc>
        <w:tc>
          <w:tcPr>
            <w:tcW w:w="1560" w:type="dxa"/>
            <w:tcBorders>
              <w:top w:val="single" w:sz="4" w:space="0" w:color="000000"/>
              <w:left w:val="single" w:sz="4" w:space="0" w:color="000000"/>
              <w:bottom w:val="single" w:sz="4" w:space="0" w:color="000000"/>
              <w:right w:val="single" w:sz="4" w:space="0" w:color="000000"/>
            </w:tcBorders>
            <w:shd w:val="clear" w:color="auto" w:fill="92D050"/>
            <w:tcMar>
              <w:top w:w="80" w:type="dxa"/>
              <w:left w:w="80" w:type="dxa"/>
              <w:bottom w:w="80" w:type="dxa"/>
              <w:right w:w="80" w:type="dxa"/>
            </w:tcMar>
            <w:vAlign w:val="center"/>
          </w:tcPr>
          <w:p w14:paraId="667EDCC1" w14:textId="77777777" w:rsidR="004B3B82" w:rsidRPr="004B7F48" w:rsidRDefault="004B3B82" w:rsidP="00CD3B05">
            <w:pPr>
              <w:jc w:val="center"/>
              <w:rPr>
                <w:rFonts w:ascii="Garamond" w:hAnsi="Garamond"/>
              </w:rPr>
            </w:pPr>
            <w:r w:rsidRPr="00FC535A">
              <w:rPr>
                <w:rFonts w:ascii="Garamond" w:hAnsi="Garamond"/>
                <w:b/>
                <w:bCs/>
              </w:rPr>
              <w:t>Компоненты</w:t>
            </w:r>
          </w:p>
        </w:tc>
        <w:tc>
          <w:tcPr>
            <w:tcW w:w="7797" w:type="dxa"/>
            <w:tcBorders>
              <w:top w:val="single" w:sz="4" w:space="0" w:color="000000"/>
              <w:left w:val="single" w:sz="4" w:space="0" w:color="000000"/>
              <w:bottom w:val="single" w:sz="4" w:space="0" w:color="000000"/>
              <w:right w:val="single" w:sz="4" w:space="0" w:color="000000"/>
            </w:tcBorders>
            <w:shd w:val="clear" w:color="auto" w:fill="92D050"/>
            <w:tcMar>
              <w:top w:w="80" w:type="dxa"/>
              <w:left w:w="80" w:type="dxa"/>
              <w:bottom w:w="80" w:type="dxa"/>
              <w:right w:w="80" w:type="dxa"/>
            </w:tcMar>
          </w:tcPr>
          <w:p w14:paraId="2BE7CBE1" w14:textId="77777777" w:rsidR="004B3B82" w:rsidRPr="00415C9E" w:rsidRDefault="004B3B82" w:rsidP="00CD3B05">
            <w:pPr>
              <w:rPr>
                <w:rFonts w:ascii="Garamond" w:hAnsi="Garamond"/>
              </w:rPr>
            </w:pPr>
            <w:r w:rsidRPr="00415C9E">
              <w:rPr>
                <w:rFonts w:ascii="Garamond" w:hAnsi="Garamond"/>
              </w:rPr>
              <w:t xml:space="preserve">ИИК – </w:t>
            </w:r>
            <w:r>
              <w:rPr>
                <w:rFonts w:ascii="Garamond" w:hAnsi="Garamond"/>
                <w:highlight w:val="yellow"/>
              </w:rPr>
              <w:t>прибор учета</w:t>
            </w:r>
          </w:p>
        </w:tc>
      </w:tr>
      <w:tr w:rsidR="004B3B82" w:rsidRPr="0058630D" w14:paraId="57DECC00" w14:textId="77777777" w:rsidTr="00E31AE6">
        <w:trPr>
          <w:jc w:val="right"/>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157879E" w14:textId="77777777" w:rsidR="004B3B82" w:rsidRPr="00FC535A" w:rsidRDefault="004B3B82" w:rsidP="00CD3B05">
            <w:pPr>
              <w:rPr>
                <w:rFonts w:ascii="Garamond" w:hAnsi="Garamond"/>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5FABB99" w14:textId="77777777" w:rsidR="004B3B82" w:rsidRPr="00FC535A" w:rsidRDefault="004B3B82" w:rsidP="00CD3B05">
            <w:pPr>
              <w:jc w:val="center"/>
              <w:rPr>
                <w:rFonts w:ascii="Garamond" w:hAnsi="Garamond"/>
              </w:rPr>
            </w:pPr>
            <w:r w:rsidRPr="00FC535A">
              <w:rPr>
                <w:rFonts w:ascii="Garamond" w:hAnsi="Garamond"/>
                <w:b/>
                <w:bCs/>
              </w:rPr>
              <w:t>Действия</w:t>
            </w:r>
          </w:p>
        </w:tc>
        <w:tc>
          <w:tcPr>
            <w:tcW w:w="779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EFBB885" w14:textId="77777777" w:rsidR="004B3B82" w:rsidRPr="00227205" w:rsidRDefault="004B3B82" w:rsidP="004B3B82">
            <w:pPr>
              <w:pStyle w:val="ac"/>
              <w:numPr>
                <w:ilvl w:val="0"/>
                <w:numId w:val="222"/>
              </w:numPr>
              <w:pBdr>
                <w:top w:val="nil"/>
                <w:left w:val="nil"/>
                <w:bottom w:val="nil"/>
                <w:right w:val="nil"/>
                <w:between w:val="nil"/>
                <w:bar w:val="nil"/>
              </w:pBdr>
              <w:tabs>
                <w:tab w:val="left" w:pos="317"/>
              </w:tabs>
              <w:ind w:left="55" w:firstLine="3"/>
              <w:jc w:val="both"/>
              <w:rPr>
                <w:rFonts w:ascii="Garamond" w:hAnsi="Garamond"/>
                <w:highlight w:val="yellow"/>
              </w:rPr>
            </w:pPr>
            <w:r w:rsidRPr="00227205">
              <w:rPr>
                <w:rFonts w:ascii="Garamond" w:hAnsi="Garamond"/>
                <w:highlight w:val="yellow"/>
              </w:rPr>
              <w:t>При проведении процедуры установления соответствия АИИС КУЭ:</w:t>
            </w:r>
          </w:p>
          <w:p w14:paraId="59E29B49" w14:textId="77777777" w:rsidR="004B3B82" w:rsidRPr="002875DF" w:rsidRDefault="004B3B82" w:rsidP="004B3B82">
            <w:pPr>
              <w:pStyle w:val="ac"/>
              <w:numPr>
                <w:ilvl w:val="0"/>
                <w:numId w:val="167"/>
              </w:numPr>
              <w:pBdr>
                <w:top w:val="nil"/>
                <w:left w:val="nil"/>
                <w:bottom w:val="nil"/>
                <w:right w:val="nil"/>
                <w:between w:val="nil"/>
                <w:bar w:val="nil"/>
              </w:pBdr>
              <w:tabs>
                <w:tab w:val="left" w:pos="1440"/>
              </w:tabs>
              <w:ind w:hanging="262"/>
              <w:jc w:val="both"/>
              <w:rPr>
                <w:rFonts w:ascii="Garamond" w:eastAsia="Garamond" w:hAnsi="Garamond" w:cs="Garamond"/>
              </w:rPr>
            </w:pPr>
            <w:r w:rsidRPr="00415C9E">
              <w:rPr>
                <w:rFonts w:ascii="Garamond" w:hAnsi="Garamond"/>
              </w:rPr>
              <w:t>С помощью стандартных средств операционной системы или специализированного ПО удаленного доступа и администрирования устанавливается интернет-соединение с удаленным рабочим столом сервера ИВК АИИС КУЭ.</w:t>
            </w:r>
          </w:p>
          <w:p w14:paraId="656C189B" w14:textId="77777777" w:rsidR="004B3B82" w:rsidRPr="001E23B2" w:rsidRDefault="004B3B82" w:rsidP="004B3B82">
            <w:pPr>
              <w:pStyle w:val="ac"/>
              <w:numPr>
                <w:ilvl w:val="0"/>
                <w:numId w:val="167"/>
              </w:numPr>
              <w:pBdr>
                <w:top w:val="nil"/>
                <w:left w:val="nil"/>
                <w:bottom w:val="nil"/>
                <w:right w:val="nil"/>
                <w:between w:val="nil"/>
                <w:bar w:val="nil"/>
              </w:pBdr>
              <w:tabs>
                <w:tab w:val="left" w:pos="1440"/>
              </w:tabs>
              <w:ind w:hanging="262"/>
              <w:jc w:val="both"/>
              <w:rPr>
                <w:rFonts w:ascii="Garamond" w:eastAsia="Garamond" w:hAnsi="Garamond" w:cs="Garamond"/>
              </w:rPr>
            </w:pPr>
            <w:r w:rsidRPr="002875DF">
              <w:rPr>
                <w:rFonts w:ascii="Garamond" w:hAnsi="Garamond"/>
              </w:rPr>
              <w:t xml:space="preserve">С помощью специализированного ПО, установленного на сервере (АРМ) ИВК, посредством удаленного доступа устанавливается связь </w:t>
            </w:r>
            <w:r w:rsidRPr="002875DF">
              <w:rPr>
                <w:rFonts w:ascii="Garamond" w:hAnsi="Garamond"/>
                <w:highlight w:val="yellow"/>
              </w:rPr>
              <w:t>с приборами учета</w:t>
            </w:r>
            <w:r w:rsidRPr="002875DF">
              <w:rPr>
                <w:rFonts w:ascii="Garamond" w:hAnsi="Garamond"/>
              </w:rPr>
              <w:t xml:space="preserve"> и производится считывание получасовых интегрированных профилей мощности за интервал времени, не превышающий </w:t>
            </w:r>
            <w:r w:rsidRPr="00A623FC">
              <w:rPr>
                <w:rFonts w:ascii="Garamond" w:hAnsi="Garamond"/>
                <w:highlight w:val="yellow"/>
              </w:rPr>
              <w:t>определенный</w:t>
            </w:r>
            <w:r>
              <w:rPr>
                <w:rFonts w:ascii="Garamond" w:hAnsi="Garamond"/>
              </w:rPr>
              <w:t xml:space="preserve"> </w:t>
            </w:r>
            <w:r w:rsidRPr="002875DF">
              <w:rPr>
                <w:rFonts w:ascii="Garamond" w:hAnsi="Garamond"/>
              </w:rPr>
              <w:t>требовани</w:t>
            </w:r>
            <w:r w:rsidRPr="00A623FC">
              <w:rPr>
                <w:rFonts w:ascii="Garamond" w:hAnsi="Garamond"/>
                <w:highlight w:val="yellow"/>
              </w:rPr>
              <w:t>ями</w:t>
            </w:r>
            <w:r w:rsidRPr="002875DF">
              <w:rPr>
                <w:rFonts w:ascii="Garamond" w:hAnsi="Garamond"/>
              </w:rPr>
              <w:t xml:space="preserve"> п. 3.4.3 Приложения № 11.1 к Положению о реестре,</w:t>
            </w:r>
            <w:r w:rsidRPr="002875DF">
              <w:rPr>
                <w:rFonts w:ascii="Garamond" w:hAnsi="Garamond"/>
                <w:i/>
              </w:rPr>
              <w:t xml:space="preserve"> </w:t>
            </w:r>
            <w:r w:rsidRPr="002875DF">
              <w:rPr>
                <w:rFonts w:ascii="Garamond" w:hAnsi="Garamond"/>
              </w:rPr>
              <w:t>по в</w:t>
            </w:r>
            <w:r>
              <w:rPr>
                <w:rFonts w:ascii="Garamond" w:hAnsi="Garamond"/>
              </w:rPr>
              <w:t>ыборочным измерительным каналам</w:t>
            </w:r>
            <w:r w:rsidRPr="002875DF">
              <w:rPr>
                <w:rFonts w:ascii="Garamond" w:hAnsi="Garamond"/>
              </w:rPr>
              <w:t>.</w:t>
            </w:r>
          </w:p>
          <w:p w14:paraId="7EF8F162" w14:textId="77777777" w:rsidR="004B3B82" w:rsidRDefault="004B3B82" w:rsidP="00E31AE6">
            <w:pPr>
              <w:pBdr>
                <w:top w:val="nil"/>
                <w:left w:val="nil"/>
                <w:bottom w:val="nil"/>
                <w:right w:val="nil"/>
                <w:between w:val="nil"/>
                <w:bar w:val="nil"/>
              </w:pBdr>
              <w:tabs>
                <w:tab w:val="left" w:pos="1440"/>
              </w:tabs>
              <w:jc w:val="both"/>
              <w:rPr>
                <w:rFonts w:ascii="Garamond" w:eastAsia="Garamond" w:hAnsi="Garamond" w:cs="Garamond"/>
              </w:rPr>
            </w:pPr>
          </w:p>
          <w:p w14:paraId="2F513F34" w14:textId="77777777" w:rsidR="004B3B82" w:rsidRPr="002875DF" w:rsidRDefault="004B3B82" w:rsidP="004B3B82">
            <w:pPr>
              <w:pStyle w:val="ac"/>
              <w:numPr>
                <w:ilvl w:val="0"/>
                <w:numId w:val="222"/>
              </w:numPr>
              <w:pBdr>
                <w:top w:val="nil"/>
                <w:left w:val="nil"/>
                <w:bottom w:val="nil"/>
                <w:right w:val="nil"/>
                <w:between w:val="nil"/>
                <w:bar w:val="nil"/>
              </w:pBdr>
              <w:tabs>
                <w:tab w:val="left" w:pos="317"/>
              </w:tabs>
              <w:ind w:left="55" w:firstLine="3"/>
              <w:jc w:val="both"/>
              <w:rPr>
                <w:rFonts w:ascii="Garamond" w:eastAsia="Garamond" w:hAnsi="Garamond" w:cs="Garamond"/>
                <w:highlight w:val="yellow"/>
              </w:rPr>
            </w:pPr>
            <w:r w:rsidRPr="002875DF">
              <w:rPr>
                <w:rFonts w:ascii="Garamond" w:hAnsi="Garamond"/>
                <w:highlight w:val="yellow"/>
              </w:rPr>
              <w:t xml:space="preserve">При проведении процедуры подтверждения соответствия системы учета </w:t>
            </w:r>
            <w:r>
              <w:rPr>
                <w:rFonts w:ascii="Garamond" w:hAnsi="Garamond"/>
                <w:highlight w:val="yellow"/>
              </w:rPr>
              <w:t xml:space="preserve">агрегатора </w:t>
            </w:r>
            <w:r w:rsidRPr="002875DF">
              <w:rPr>
                <w:rFonts w:ascii="Garamond" w:hAnsi="Garamond"/>
                <w:highlight w:val="yellow"/>
              </w:rPr>
              <w:t>техническим требованиям оптовог</w:t>
            </w:r>
            <w:r>
              <w:rPr>
                <w:rFonts w:ascii="Garamond" w:hAnsi="Garamond"/>
                <w:highlight w:val="yellow"/>
              </w:rPr>
              <w:t>о рынка:</w:t>
            </w:r>
          </w:p>
          <w:p w14:paraId="5AF27871" w14:textId="77777777" w:rsidR="004B3B82" w:rsidRPr="001E23B2" w:rsidRDefault="004B3B82" w:rsidP="004B3B82">
            <w:pPr>
              <w:pStyle w:val="ac"/>
              <w:numPr>
                <w:ilvl w:val="0"/>
                <w:numId w:val="223"/>
              </w:numPr>
              <w:pBdr>
                <w:top w:val="nil"/>
                <w:left w:val="nil"/>
                <w:bottom w:val="nil"/>
                <w:right w:val="nil"/>
                <w:between w:val="nil"/>
                <w:bar w:val="nil"/>
              </w:pBdr>
              <w:tabs>
                <w:tab w:val="left" w:pos="1440"/>
              </w:tabs>
              <w:ind w:hanging="262"/>
              <w:jc w:val="both"/>
              <w:rPr>
                <w:rFonts w:ascii="Garamond" w:eastAsia="Garamond" w:hAnsi="Garamond" w:cs="Garamond"/>
                <w:highlight w:val="yellow"/>
              </w:rPr>
            </w:pPr>
            <w:r w:rsidRPr="001E23B2">
              <w:rPr>
                <w:rFonts w:ascii="Garamond" w:hAnsi="Garamond"/>
                <w:highlight w:val="yellow"/>
              </w:rPr>
              <w:t xml:space="preserve">С помощью стандартных средств операционной системы или специализированного ПО удаленного доступа и администрирования устанавливается интернет-соединение с удаленным рабочим столом сервера ИВК </w:t>
            </w:r>
            <w:r w:rsidRPr="001E23B2">
              <w:rPr>
                <w:rFonts w:ascii="Garamond" w:hAnsi="Garamond" w:cs="Tahoma"/>
                <w:highlight w:val="yellow"/>
              </w:rPr>
              <w:t>совокупност</w:t>
            </w:r>
            <w:r>
              <w:rPr>
                <w:rFonts w:ascii="Garamond" w:hAnsi="Garamond" w:cs="Tahoma"/>
                <w:highlight w:val="yellow"/>
              </w:rPr>
              <w:t>и</w:t>
            </w:r>
            <w:r w:rsidRPr="001E23B2">
              <w:rPr>
                <w:rFonts w:ascii="Garamond" w:hAnsi="Garamond" w:cs="Tahoma"/>
                <w:highlight w:val="yellow"/>
              </w:rPr>
              <w:t xml:space="preserve"> СИ и ТУ</w:t>
            </w:r>
            <w:r w:rsidRPr="001E23B2">
              <w:rPr>
                <w:rFonts w:ascii="Garamond" w:hAnsi="Garamond"/>
                <w:highlight w:val="yellow"/>
              </w:rPr>
              <w:t>.</w:t>
            </w:r>
          </w:p>
          <w:p w14:paraId="23037CFD" w14:textId="77777777" w:rsidR="004B3B82" w:rsidRPr="001E23B2" w:rsidRDefault="004B3B82" w:rsidP="004B3B82">
            <w:pPr>
              <w:pStyle w:val="ac"/>
              <w:numPr>
                <w:ilvl w:val="0"/>
                <w:numId w:val="223"/>
              </w:numPr>
              <w:pBdr>
                <w:top w:val="nil"/>
                <w:left w:val="nil"/>
                <w:bottom w:val="nil"/>
                <w:right w:val="nil"/>
                <w:between w:val="nil"/>
                <w:bar w:val="nil"/>
              </w:pBdr>
              <w:tabs>
                <w:tab w:val="left" w:pos="1440"/>
              </w:tabs>
              <w:ind w:hanging="262"/>
              <w:jc w:val="both"/>
              <w:rPr>
                <w:rFonts w:ascii="Garamond" w:eastAsia="Garamond" w:hAnsi="Garamond" w:cs="Garamond"/>
              </w:rPr>
            </w:pPr>
            <w:r w:rsidRPr="001E23B2">
              <w:rPr>
                <w:rFonts w:ascii="Garamond" w:hAnsi="Garamond"/>
                <w:highlight w:val="yellow"/>
              </w:rPr>
              <w:t>С помощью специализированного ПО, установленного на сервере (АРМ) ИВК, посредством удаленного доступа устанавливается связь с приборами учета и производится считывание получасовых интегрированных профилей мощности за интервал времени, не превышающий определенный требованиями п. 3.4.3 Приложения № 11.1 к Положению о реестре,</w:t>
            </w:r>
            <w:r w:rsidRPr="001E23B2">
              <w:rPr>
                <w:rFonts w:ascii="Garamond" w:hAnsi="Garamond"/>
                <w:i/>
                <w:highlight w:val="yellow"/>
              </w:rPr>
              <w:t xml:space="preserve"> </w:t>
            </w:r>
            <w:r w:rsidRPr="001E23B2">
              <w:rPr>
                <w:rFonts w:ascii="Garamond" w:hAnsi="Garamond"/>
                <w:highlight w:val="yellow"/>
              </w:rPr>
              <w:t xml:space="preserve">по выборочным </w:t>
            </w:r>
            <w:r>
              <w:rPr>
                <w:rFonts w:ascii="Garamond" w:hAnsi="Garamond"/>
                <w:highlight w:val="yellow"/>
              </w:rPr>
              <w:t>точкам измерений</w:t>
            </w:r>
            <w:r w:rsidRPr="001E23B2">
              <w:rPr>
                <w:rFonts w:ascii="Garamond" w:hAnsi="Garamond"/>
                <w:highlight w:val="yellow"/>
              </w:rPr>
              <w:t>.</w:t>
            </w:r>
          </w:p>
        </w:tc>
      </w:tr>
      <w:tr w:rsidR="004B3B82" w:rsidRPr="00FC535A" w14:paraId="58325E47" w14:textId="77777777" w:rsidTr="00CD3B05">
        <w:trPr>
          <w:trHeight w:val="1388"/>
          <w:jc w:val="right"/>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94510E4" w14:textId="77777777" w:rsidR="004B3B82" w:rsidRPr="0058630D" w:rsidRDefault="004B3B82" w:rsidP="00CD3B05">
            <w:pPr>
              <w:rPr>
                <w:rFonts w:ascii="Garamond" w:hAnsi="Garamond"/>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9A5BC18" w14:textId="77777777" w:rsidR="004B3B82" w:rsidRPr="00FC535A" w:rsidRDefault="004B3B82" w:rsidP="00CD3B05">
            <w:pPr>
              <w:jc w:val="center"/>
              <w:rPr>
                <w:rFonts w:ascii="Garamond" w:hAnsi="Garamond"/>
              </w:rPr>
            </w:pPr>
            <w:r w:rsidRPr="00FC535A">
              <w:rPr>
                <w:rFonts w:ascii="Garamond" w:hAnsi="Garamond"/>
                <w:b/>
                <w:bCs/>
              </w:rPr>
              <w:t>Критерии</w:t>
            </w:r>
          </w:p>
        </w:tc>
        <w:tc>
          <w:tcPr>
            <w:tcW w:w="779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62DA036" w14:textId="77777777" w:rsidR="004B3B82" w:rsidRPr="00227205" w:rsidRDefault="004B3B82" w:rsidP="004B3B82">
            <w:pPr>
              <w:pStyle w:val="ac"/>
              <w:numPr>
                <w:ilvl w:val="0"/>
                <w:numId w:val="224"/>
              </w:numPr>
              <w:pBdr>
                <w:top w:val="nil"/>
                <w:left w:val="nil"/>
                <w:bottom w:val="nil"/>
                <w:right w:val="nil"/>
                <w:between w:val="nil"/>
                <w:bar w:val="nil"/>
              </w:pBdr>
              <w:tabs>
                <w:tab w:val="left" w:pos="317"/>
              </w:tabs>
              <w:ind w:left="339" w:hanging="284"/>
              <w:jc w:val="both"/>
              <w:rPr>
                <w:rFonts w:ascii="Garamond" w:hAnsi="Garamond"/>
                <w:highlight w:val="yellow"/>
              </w:rPr>
            </w:pPr>
            <w:r w:rsidRPr="00227205">
              <w:rPr>
                <w:rFonts w:ascii="Garamond" w:hAnsi="Garamond"/>
                <w:highlight w:val="yellow"/>
              </w:rPr>
              <w:t>При проведении процедуры установления соответствия АИИС КУЭ:</w:t>
            </w:r>
          </w:p>
          <w:p w14:paraId="0F681A00" w14:textId="77777777" w:rsidR="004B3B82" w:rsidRPr="00415C9E" w:rsidRDefault="004B3B82" w:rsidP="00E31AE6">
            <w:pPr>
              <w:pStyle w:val="ac"/>
              <w:tabs>
                <w:tab w:val="left" w:pos="317"/>
              </w:tabs>
              <w:ind w:left="55"/>
              <w:jc w:val="both"/>
              <w:rPr>
                <w:rFonts w:ascii="Garamond" w:eastAsia="Garamond" w:hAnsi="Garamond" w:cs="Garamond"/>
              </w:rPr>
            </w:pPr>
            <w:r w:rsidRPr="00FC535A">
              <w:rPr>
                <w:rFonts w:ascii="Garamond" w:hAnsi="Garamond"/>
              </w:rPr>
              <w:t xml:space="preserve">Фактическое наличие в памяти </w:t>
            </w:r>
            <w:r>
              <w:rPr>
                <w:rFonts w:ascii="Garamond" w:hAnsi="Garamond"/>
                <w:highlight w:val="yellow"/>
              </w:rPr>
              <w:t>приборов учета</w:t>
            </w:r>
            <w:r w:rsidRPr="00FC535A">
              <w:rPr>
                <w:rFonts w:ascii="Garamond" w:hAnsi="Garamond"/>
              </w:rPr>
              <w:t xml:space="preserve"> 30-минутных приращений электр</w:t>
            </w:r>
            <w:r w:rsidRPr="005D67F9">
              <w:rPr>
                <w:rFonts w:ascii="Garamond" w:hAnsi="Garamond"/>
                <w:highlight w:val="yellow"/>
              </w:rPr>
              <w:t>о</w:t>
            </w:r>
            <w:r w:rsidRPr="00FC535A">
              <w:rPr>
                <w:rFonts w:ascii="Garamond" w:hAnsi="Garamond"/>
              </w:rPr>
              <w:t>энергии (получасовых интегрированных профилей мощности) за интервал времени</w:t>
            </w:r>
            <w:r>
              <w:rPr>
                <w:rFonts w:ascii="Garamond" w:hAnsi="Garamond"/>
              </w:rPr>
              <w:t>,</w:t>
            </w:r>
            <w:r w:rsidRPr="00FC535A">
              <w:rPr>
                <w:rFonts w:ascii="Garamond" w:hAnsi="Garamond"/>
              </w:rPr>
              <w:t xml:space="preserve"> соответствующий требованиям п.</w:t>
            </w:r>
            <w:r>
              <w:rPr>
                <w:rFonts w:ascii="Garamond" w:hAnsi="Garamond"/>
              </w:rPr>
              <w:t xml:space="preserve"> </w:t>
            </w:r>
            <w:r w:rsidRPr="00FC535A">
              <w:rPr>
                <w:rFonts w:ascii="Garamond" w:hAnsi="Garamond"/>
              </w:rPr>
              <w:t xml:space="preserve">3.4.3 </w:t>
            </w:r>
            <w:r>
              <w:rPr>
                <w:rFonts w:ascii="Garamond" w:hAnsi="Garamond"/>
              </w:rPr>
              <w:t>П</w:t>
            </w:r>
            <w:r w:rsidRPr="00FC535A">
              <w:rPr>
                <w:rFonts w:ascii="Garamond" w:hAnsi="Garamond"/>
              </w:rPr>
              <w:t xml:space="preserve">риложения </w:t>
            </w:r>
            <w:r>
              <w:rPr>
                <w:rFonts w:ascii="Garamond" w:hAnsi="Garamond"/>
              </w:rPr>
              <w:t xml:space="preserve">№ </w:t>
            </w:r>
            <w:r w:rsidRPr="00FC535A">
              <w:rPr>
                <w:rFonts w:ascii="Garamond" w:hAnsi="Garamond"/>
              </w:rPr>
              <w:t xml:space="preserve">11.1 к </w:t>
            </w:r>
            <w:r w:rsidRPr="00415C9E">
              <w:rPr>
                <w:rFonts w:ascii="Garamond" w:hAnsi="Garamond"/>
              </w:rPr>
              <w:t>Положению о реестре</w:t>
            </w:r>
            <w:r>
              <w:rPr>
                <w:rFonts w:ascii="Garamond" w:hAnsi="Garamond"/>
              </w:rPr>
              <w:t>,</w:t>
            </w:r>
            <w:r w:rsidRPr="00415C9E">
              <w:rPr>
                <w:rFonts w:ascii="Garamond" w:hAnsi="Garamond"/>
              </w:rPr>
              <w:t xml:space="preserve"> по выборочным измерительным каналам.</w:t>
            </w:r>
          </w:p>
          <w:p w14:paraId="27BA386F" w14:textId="77777777" w:rsidR="004B3B82" w:rsidRDefault="004B3B82" w:rsidP="00E31AE6">
            <w:pPr>
              <w:pStyle w:val="ac"/>
              <w:tabs>
                <w:tab w:val="left" w:pos="317"/>
              </w:tabs>
              <w:ind w:left="55"/>
              <w:jc w:val="both"/>
              <w:rPr>
                <w:rFonts w:ascii="Garamond" w:hAnsi="Garamond"/>
                <w:sz w:val="18"/>
                <w:szCs w:val="18"/>
              </w:rPr>
            </w:pPr>
            <w:r w:rsidRPr="00F07D7F">
              <w:rPr>
                <w:rFonts w:ascii="Garamond" w:hAnsi="Garamond"/>
                <w:i/>
                <w:sz w:val="18"/>
                <w:szCs w:val="18"/>
              </w:rPr>
              <w:t>Примечание</w:t>
            </w:r>
            <w:r w:rsidRPr="00F07D7F">
              <w:rPr>
                <w:rFonts w:ascii="Garamond" w:hAnsi="Garamond"/>
                <w:sz w:val="18"/>
                <w:szCs w:val="18"/>
              </w:rPr>
              <w:t xml:space="preserve">. В случае работы </w:t>
            </w:r>
            <w:r>
              <w:rPr>
                <w:rFonts w:ascii="Garamond" w:hAnsi="Garamond"/>
                <w:sz w:val="18"/>
                <w:szCs w:val="18"/>
                <w:highlight w:val="yellow"/>
              </w:rPr>
              <w:t>прибора учета</w:t>
            </w:r>
            <w:r w:rsidRPr="00F07D7F">
              <w:rPr>
                <w:rFonts w:ascii="Garamond" w:hAnsi="Garamond"/>
                <w:sz w:val="18"/>
                <w:szCs w:val="18"/>
              </w:rPr>
              <w:t xml:space="preserve"> в составе ИИК АИИС КУЭ менее времени, указанного в п. 3.4.3 Приложения № 11.1 к Положению о реестре, соответствие устанавливается на основании сведений о глубине хранения получасовых интегрированных профилей мощности в представленной на испытание документации (Описание типа средства измерений, руководство по эксплуатации </w:t>
            </w:r>
            <w:r>
              <w:rPr>
                <w:rFonts w:ascii="Garamond" w:hAnsi="Garamond"/>
                <w:sz w:val="18"/>
                <w:szCs w:val="18"/>
                <w:highlight w:val="yellow"/>
              </w:rPr>
              <w:t>прибора учета</w:t>
            </w:r>
            <w:r w:rsidRPr="00F07D7F">
              <w:rPr>
                <w:rFonts w:ascii="Garamond" w:hAnsi="Garamond"/>
                <w:sz w:val="18"/>
                <w:szCs w:val="18"/>
              </w:rPr>
              <w:t xml:space="preserve"> и т.п.).</w:t>
            </w:r>
          </w:p>
          <w:p w14:paraId="2E13CA46" w14:textId="77777777" w:rsidR="004B3B82" w:rsidRPr="003664F9" w:rsidRDefault="004B3B82" w:rsidP="00E31AE6">
            <w:pPr>
              <w:pStyle w:val="ac"/>
              <w:pBdr>
                <w:top w:val="nil"/>
                <w:left w:val="nil"/>
                <w:bottom w:val="nil"/>
                <w:right w:val="nil"/>
                <w:between w:val="nil"/>
                <w:bar w:val="nil"/>
              </w:pBdr>
              <w:tabs>
                <w:tab w:val="left" w:pos="317"/>
              </w:tabs>
              <w:ind w:left="720"/>
              <w:jc w:val="both"/>
              <w:rPr>
                <w:rFonts w:ascii="Garamond" w:eastAsia="Garamond" w:hAnsi="Garamond" w:cs="Garamond"/>
                <w:highlight w:val="yellow"/>
              </w:rPr>
            </w:pPr>
          </w:p>
          <w:p w14:paraId="4843B200" w14:textId="77777777" w:rsidR="004B3B82" w:rsidRPr="003664F9" w:rsidRDefault="004B3B82" w:rsidP="004B3B82">
            <w:pPr>
              <w:pStyle w:val="ac"/>
              <w:numPr>
                <w:ilvl w:val="0"/>
                <w:numId w:val="224"/>
              </w:numPr>
              <w:pBdr>
                <w:top w:val="nil"/>
                <w:left w:val="nil"/>
                <w:bottom w:val="nil"/>
                <w:right w:val="nil"/>
                <w:between w:val="nil"/>
                <w:bar w:val="nil"/>
              </w:pBdr>
              <w:tabs>
                <w:tab w:val="left" w:pos="317"/>
              </w:tabs>
              <w:ind w:left="55" w:firstLine="3"/>
              <w:jc w:val="both"/>
              <w:rPr>
                <w:rFonts w:ascii="Garamond" w:hAnsi="Garamond"/>
                <w:highlight w:val="yellow"/>
              </w:rPr>
            </w:pPr>
            <w:r w:rsidRPr="003664F9">
              <w:rPr>
                <w:rFonts w:ascii="Garamond" w:hAnsi="Garamond"/>
                <w:highlight w:val="yellow"/>
              </w:rPr>
              <w:t>При проведении процедуры подтверждения соответствия системы учета агрегатора техническим требованиям оптового рынка:</w:t>
            </w:r>
          </w:p>
          <w:p w14:paraId="68108A48" w14:textId="77777777" w:rsidR="004B3B82" w:rsidRPr="003664F9" w:rsidRDefault="004B3B82" w:rsidP="00E31AE6">
            <w:pPr>
              <w:pStyle w:val="ac"/>
              <w:tabs>
                <w:tab w:val="left" w:pos="317"/>
              </w:tabs>
              <w:ind w:left="55"/>
              <w:jc w:val="both"/>
              <w:rPr>
                <w:rFonts w:ascii="Garamond" w:eastAsia="Garamond" w:hAnsi="Garamond" w:cs="Garamond"/>
                <w:highlight w:val="yellow"/>
              </w:rPr>
            </w:pPr>
            <w:r w:rsidRPr="003664F9">
              <w:rPr>
                <w:rFonts w:ascii="Garamond" w:hAnsi="Garamond"/>
                <w:highlight w:val="yellow"/>
              </w:rPr>
              <w:lastRenderedPageBreak/>
              <w:t xml:space="preserve">Фактическое наличие в памяти приборов учета 30-минутных приращений электроэнергии (получасовых интегрированных профилей мощности) за интервал времени, соответствующий требованиям п. 3.4.3 Приложения № 11.1 к Положению о реестре, по выборочным </w:t>
            </w:r>
            <w:r>
              <w:rPr>
                <w:rFonts w:ascii="Garamond" w:hAnsi="Garamond"/>
                <w:highlight w:val="yellow"/>
              </w:rPr>
              <w:t>точкам измерений</w:t>
            </w:r>
            <w:r w:rsidRPr="003664F9">
              <w:rPr>
                <w:rFonts w:ascii="Garamond" w:hAnsi="Garamond"/>
                <w:highlight w:val="yellow"/>
              </w:rPr>
              <w:t>.</w:t>
            </w:r>
          </w:p>
          <w:p w14:paraId="5D95D5A7" w14:textId="77777777" w:rsidR="004B3B82" w:rsidRPr="00F07D7F" w:rsidRDefault="004B3B82" w:rsidP="00E31AE6">
            <w:pPr>
              <w:pStyle w:val="ac"/>
              <w:tabs>
                <w:tab w:val="left" w:pos="317"/>
              </w:tabs>
              <w:ind w:left="55"/>
              <w:jc w:val="both"/>
              <w:rPr>
                <w:rFonts w:ascii="Garamond" w:hAnsi="Garamond"/>
                <w:sz w:val="18"/>
                <w:szCs w:val="18"/>
              </w:rPr>
            </w:pPr>
            <w:r w:rsidRPr="003664F9">
              <w:rPr>
                <w:rFonts w:ascii="Garamond" w:hAnsi="Garamond"/>
                <w:i/>
                <w:sz w:val="18"/>
                <w:szCs w:val="18"/>
                <w:highlight w:val="yellow"/>
              </w:rPr>
              <w:t>Примечание</w:t>
            </w:r>
            <w:r w:rsidRPr="003664F9">
              <w:rPr>
                <w:rFonts w:ascii="Garamond" w:hAnsi="Garamond"/>
                <w:sz w:val="18"/>
                <w:szCs w:val="18"/>
                <w:highlight w:val="yellow"/>
              </w:rPr>
              <w:t>. В случае работы прибора учета в составе ИИК совокупности СИ и ТУ менее времени, указанного в п. 3.4.3 Приложения № 11.1 к Положению о реестре, соответствие устанавливается на основании сведений о глубине хранения получасовых интегрированных профилей мощности в представленной на испытание документации (</w:t>
            </w:r>
            <w:r>
              <w:rPr>
                <w:rFonts w:ascii="Garamond" w:hAnsi="Garamond"/>
                <w:sz w:val="18"/>
                <w:szCs w:val="18"/>
                <w:highlight w:val="yellow"/>
              </w:rPr>
              <w:t>о</w:t>
            </w:r>
            <w:r w:rsidRPr="003664F9">
              <w:rPr>
                <w:rFonts w:ascii="Garamond" w:hAnsi="Garamond"/>
                <w:sz w:val="18"/>
                <w:szCs w:val="18"/>
                <w:highlight w:val="yellow"/>
              </w:rPr>
              <w:t>писание типа средства измерений</w:t>
            </w:r>
            <w:r>
              <w:rPr>
                <w:rFonts w:ascii="Garamond" w:hAnsi="Garamond"/>
                <w:sz w:val="18"/>
                <w:szCs w:val="18"/>
                <w:highlight w:val="yellow"/>
              </w:rPr>
              <w:t xml:space="preserve"> прибора учета</w:t>
            </w:r>
            <w:r w:rsidRPr="003664F9">
              <w:rPr>
                <w:rFonts w:ascii="Garamond" w:hAnsi="Garamond"/>
                <w:sz w:val="18"/>
                <w:szCs w:val="18"/>
                <w:highlight w:val="yellow"/>
              </w:rPr>
              <w:t>, руководство по эксплуатации прибора учета и т.п.).</w:t>
            </w:r>
          </w:p>
        </w:tc>
      </w:tr>
      <w:tr w:rsidR="004B3B82" w:rsidRPr="0058630D" w14:paraId="6111C19F" w14:textId="77777777" w:rsidTr="00CD3B05">
        <w:trPr>
          <w:trHeight w:val="531"/>
          <w:jc w:val="right"/>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F57B83D" w14:textId="77777777" w:rsidR="004B3B82" w:rsidRPr="00FC535A" w:rsidRDefault="004B3B82" w:rsidP="00CD3B05">
            <w:pPr>
              <w:rPr>
                <w:rFonts w:ascii="Garamond" w:hAnsi="Garamond"/>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343CBF6" w14:textId="77777777" w:rsidR="004B3B82" w:rsidRPr="001D764F" w:rsidRDefault="004B3B82" w:rsidP="00CD3B05">
            <w:pPr>
              <w:jc w:val="center"/>
              <w:rPr>
                <w:rFonts w:ascii="Garamond" w:hAnsi="Garamond"/>
              </w:rPr>
            </w:pPr>
            <w:r w:rsidRPr="001D764F">
              <w:rPr>
                <w:rFonts w:ascii="Garamond" w:hAnsi="Garamond"/>
                <w:b/>
                <w:bCs/>
              </w:rPr>
              <w:t>Испытатели</w:t>
            </w:r>
          </w:p>
        </w:tc>
        <w:tc>
          <w:tcPr>
            <w:tcW w:w="779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F46100" w14:textId="77777777" w:rsidR="004B3B82" w:rsidRPr="00415C9E" w:rsidRDefault="004B3B82" w:rsidP="004B3B82">
            <w:pPr>
              <w:pStyle w:val="ac"/>
              <w:numPr>
                <w:ilvl w:val="0"/>
                <w:numId w:val="168"/>
              </w:numPr>
              <w:pBdr>
                <w:top w:val="nil"/>
                <w:left w:val="nil"/>
                <w:bottom w:val="nil"/>
                <w:right w:val="nil"/>
                <w:between w:val="nil"/>
                <w:bar w:val="nil"/>
              </w:pBdr>
              <w:tabs>
                <w:tab w:val="left" w:pos="1440"/>
              </w:tabs>
              <w:jc w:val="both"/>
              <w:rPr>
                <w:rFonts w:ascii="Garamond" w:eastAsia="Garamond" w:hAnsi="Garamond" w:cs="Garamond"/>
              </w:rPr>
            </w:pPr>
            <w:r w:rsidRPr="00415C9E">
              <w:rPr>
                <w:rFonts w:ascii="Garamond" w:hAnsi="Garamond"/>
              </w:rPr>
              <w:t>Представители КО.</w:t>
            </w:r>
          </w:p>
          <w:p w14:paraId="6C3A2586" w14:textId="77777777" w:rsidR="004B3B82" w:rsidRPr="00415C9E" w:rsidRDefault="004B3B82" w:rsidP="004B3B82">
            <w:pPr>
              <w:pStyle w:val="ac"/>
              <w:numPr>
                <w:ilvl w:val="0"/>
                <w:numId w:val="168"/>
              </w:numPr>
              <w:pBdr>
                <w:top w:val="nil"/>
                <w:left w:val="nil"/>
                <w:bottom w:val="nil"/>
                <w:right w:val="nil"/>
                <w:between w:val="nil"/>
                <w:bar w:val="nil"/>
              </w:pBdr>
              <w:tabs>
                <w:tab w:val="left" w:pos="1440"/>
              </w:tabs>
              <w:ind w:left="380" w:hanging="380"/>
              <w:jc w:val="both"/>
              <w:rPr>
                <w:rFonts w:ascii="Garamond" w:eastAsia="Garamond" w:hAnsi="Garamond" w:cs="Garamond"/>
              </w:rPr>
            </w:pPr>
            <w:r w:rsidRPr="00415C9E">
              <w:rPr>
                <w:rFonts w:ascii="Garamond" w:hAnsi="Garamond"/>
              </w:rPr>
              <w:t>Представители заявителя</w:t>
            </w:r>
            <w:r w:rsidRPr="00415C9E">
              <w:rPr>
                <w:rFonts w:ascii="Garamond" w:eastAsia="Garamond" w:hAnsi="Garamond" w:cs="Garamond"/>
              </w:rPr>
              <w:t>.</w:t>
            </w:r>
          </w:p>
          <w:p w14:paraId="0DBE8570" w14:textId="14260DF0" w:rsidR="004B3B82" w:rsidRPr="00415C9E" w:rsidRDefault="004B3B82" w:rsidP="004B3B82">
            <w:pPr>
              <w:pStyle w:val="ac"/>
              <w:numPr>
                <w:ilvl w:val="0"/>
                <w:numId w:val="168"/>
              </w:numPr>
              <w:pBdr>
                <w:top w:val="nil"/>
                <w:left w:val="nil"/>
                <w:bottom w:val="nil"/>
                <w:right w:val="nil"/>
                <w:between w:val="nil"/>
                <w:bar w:val="nil"/>
              </w:pBdr>
              <w:tabs>
                <w:tab w:val="left" w:pos="1440"/>
              </w:tabs>
              <w:ind w:left="380" w:hanging="380"/>
              <w:jc w:val="both"/>
              <w:rPr>
                <w:rFonts w:ascii="Garamond" w:eastAsia="Garamond" w:hAnsi="Garamond" w:cs="Garamond"/>
              </w:rPr>
            </w:pPr>
            <w:r w:rsidRPr="00415C9E">
              <w:rPr>
                <w:rFonts w:ascii="Garamond" w:hAnsi="Garamond"/>
              </w:rPr>
              <w:t>Представители смежного субъекта (при участии в испытаниях</w:t>
            </w:r>
            <w:r w:rsidRPr="00424795">
              <w:rPr>
                <w:rFonts w:ascii="Garamond" w:hAnsi="Garamond"/>
                <w:highlight w:val="yellow"/>
              </w:rPr>
              <w:t xml:space="preserve"> в рамках процедуры установления </w:t>
            </w:r>
            <w:r w:rsidR="001B3CED" w:rsidRPr="00424795">
              <w:rPr>
                <w:rFonts w:ascii="Garamond" w:hAnsi="Garamond"/>
                <w:highlight w:val="yellow"/>
              </w:rPr>
              <w:t>соответствия</w:t>
            </w:r>
            <w:r w:rsidRPr="00424795">
              <w:rPr>
                <w:rFonts w:ascii="Garamond" w:hAnsi="Garamond"/>
                <w:highlight w:val="yellow"/>
              </w:rPr>
              <w:t xml:space="preserve"> АИИС КУЭ</w:t>
            </w:r>
            <w:r w:rsidRPr="00415C9E">
              <w:rPr>
                <w:rFonts w:ascii="Garamond" w:hAnsi="Garamond"/>
              </w:rPr>
              <w:t>).</w:t>
            </w:r>
          </w:p>
        </w:tc>
      </w:tr>
      <w:tr w:rsidR="004B3B82" w:rsidRPr="001D764F" w14:paraId="5E414982" w14:textId="77777777" w:rsidTr="00CD3B05">
        <w:tblPrEx>
          <w:shd w:val="clear" w:color="auto" w:fill="auto"/>
        </w:tblPrEx>
        <w:trPr>
          <w:trHeight w:val="250"/>
          <w:jc w:val="right"/>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13DE9DA" w14:textId="77777777" w:rsidR="004B3B82" w:rsidRPr="0058630D" w:rsidRDefault="004B3B82" w:rsidP="00CD3B05">
            <w:pPr>
              <w:rPr>
                <w:rFonts w:ascii="Garamond" w:hAnsi="Garamond"/>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F40F1B0" w14:textId="77777777" w:rsidR="004B3B82" w:rsidRPr="001D764F" w:rsidRDefault="004B3B82" w:rsidP="00CD3B05">
            <w:pPr>
              <w:jc w:val="center"/>
              <w:rPr>
                <w:rFonts w:ascii="Garamond" w:hAnsi="Garamond"/>
              </w:rPr>
            </w:pPr>
            <w:r w:rsidRPr="001D764F">
              <w:rPr>
                <w:rFonts w:ascii="Garamond" w:hAnsi="Garamond"/>
                <w:b/>
                <w:bCs/>
              </w:rPr>
              <w:t>Документация</w:t>
            </w:r>
          </w:p>
        </w:tc>
        <w:tc>
          <w:tcPr>
            <w:tcW w:w="779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984CE32" w14:textId="77777777" w:rsidR="004B3B82" w:rsidRDefault="004B3B82" w:rsidP="004B3B82">
            <w:pPr>
              <w:pStyle w:val="ac"/>
              <w:numPr>
                <w:ilvl w:val="0"/>
                <w:numId w:val="169"/>
              </w:numPr>
              <w:tabs>
                <w:tab w:val="left" w:pos="317"/>
              </w:tabs>
              <w:ind w:left="52" w:firstLine="0"/>
              <w:jc w:val="both"/>
              <w:rPr>
                <w:rFonts w:ascii="Garamond" w:hAnsi="Garamond"/>
                <w:highlight w:val="yellow"/>
              </w:rPr>
            </w:pPr>
            <w:r w:rsidRPr="0081004D">
              <w:rPr>
                <w:rFonts w:ascii="Garamond" w:hAnsi="Garamond"/>
                <w:highlight w:val="yellow"/>
              </w:rPr>
              <w:t xml:space="preserve">При проведении </w:t>
            </w:r>
            <w:r>
              <w:rPr>
                <w:rFonts w:ascii="Garamond" w:hAnsi="Garamond"/>
                <w:highlight w:val="yellow"/>
              </w:rPr>
              <w:t>процедуры</w:t>
            </w:r>
            <w:r w:rsidRPr="0081004D">
              <w:rPr>
                <w:rFonts w:ascii="Garamond" w:hAnsi="Garamond"/>
                <w:highlight w:val="yellow"/>
              </w:rPr>
              <w:t xml:space="preserve"> установления соответствия АИИС КУЭ</w:t>
            </w:r>
            <w:r>
              <w:rPr>
                <w:rFonts w:ascii="Garamond" w:hAnsi="Garamond"/>
                <w:highlight w:val="yellow"/>
              </w:rPr>
              <w:t>:</w:t>
            </w:r>
            <w:r w:rsidRPr="0081004D">
              <w:rPr>
                <w:rFonts w:ascii="Garamond" w:hAnsi="Garamond"/>
                <w:highlight w:val="yellow"/>
              </w:rPr>
              <w:t xml:space="preserve"> </w:t>
            </w:r>
            <w:r w:rsidRPr="00FF63FB">
              <w:rPr>
                <w:rFonts w:ascii="Garamond" w:hAnsi="Garamond"/>
                <w:highlight w:val="yellow"/>
              </w:rPr>
              <w:t>д</w:t>
            </w:r>
            <w:r w:rsidRPr="00226E4C">
              <w:rPr>
                <w:rFonts w:ascii="Garamond" w:hAnsi="Garamond"/>
              </w:rPr>
              <w:t>окументация в соответствии с таблицей 2 приложения 1 настоящего Порядка, представленная для установления соответствия АИИС КУЭ</w:t>
            </w:r>
            <w:r>
              <w:rPr>
                <w:rFonts w:ascii="Garamond" w:hAnsi="Garamond"/>
                <w:highlight w:val="yellow"/>
              </w:rPr>
              <w:t>.</w:t>
            </w:r>
          </w:p>
          <w:p w14:paraId="36E730A0" w14:textId="77777777" w:rsidR="004B3B82" w:rsidRPr="00226E4C" w:rsidRDefault="004B3B82" w:rsidP="004B3B82">
            <w:pPr>
              <w:pStyle w:val="ac"/>
              <w:numPr>
                <w:ilvl w:val="0"/>
                <w:numId w:val="169"/>
              </w:numPr>
              <w:tabs>
                <w:tab w:val="left" w:pos="317"/>
              </w:tabs>
              <w:ind w:left="52" w:firstLine="0"/>
              <w:jc w:val="both"/>
              <w:rPr>
                <w:rFonts w:ascii="Garamond" w:hAnsi="Garamond"/>
                <w:highlight w:val="yellow"/>
              </w:rPr>
            </w:pPr>
            <w:r w:rsidRPr="00226E4C">
              <w:rPr>
                <w:rFonts w:ascii="Garamond" w:hAnsi="Garamond"/>
                <w:highlight w:val="yellow"/>
              </w:rPr>
              <w:t xml:space="preserve">При проведении процедуры подтверждения соответствия системы учета </w:t>
            </w:r>
            <w:r>
              <w:rPr>
                <w:rFonts w:ascii="Garamond" w:hAnsi="Garamond"/>
                <w:highlight w:val="yellow"/>
              </w:rPr>
              <w:t xml:space="preserve">агрегатора </w:t>
            </w:r>
            <w:r w:rsidRPr="00226E4C">
              <w:rPr>
                <w:rFonts w:ascii="Garamond" w:hAnsi="Garamond"/>
                <w:highlight w:val="yellow"/>
              </w:rPr>
              <w:t>техническим требованиям оптового рынка: ПСИ.</w:t>
            </w:r>
          </w:p>
        </w:tc>
      </w:tr>
      <w:tr w:rsidR="004B3B82" w:rsidRPr="001D764F" w14:paraId="64285B7D" w14:textId="77777777" w:rsidTr="00CD3B05">
        <w:tblPrEx>
          <w:shd w:val="clear" w:color="auto" w:fill="auto"/>
        </w:tblPrEx>
        <w:trPr>
          <w:trHeight w:val="250"/>
          <w:jc w:val="right"/>
        </w:trPr>
        <w:tc>
          <w:tcPr>
            <w:tcW w:w="567" w:type="dxa"/>
            <w:tcBorders>
              <w:top w:val="single" w:sz="4" w:space="0" w:color="000000"/>
              <w:left w:val="single" w:sz="4" w:space="0" w:color="000000"/>
              <w:bottom w:val="single" w:sz="4" w:space="0" w:color="000000"/>
              <w:right w:val="single" w:sz="4" w:space="0" w:color="000000"/>
            </w:tcBorders>
            <w:shd w:val="clear" w:color="auto" w:fill="BFBFBF"/>
            <w:tcMar>
              <w:top w:w="80" w:type="dxa"/>
              <w:left w:w="80" w:type="dxa"/>
              <w:bottom w:w="80" w:type="dxa"/>
              <w:right w:w="80" w:type="dxa"/>
            </w:tcMar>
            <w:vAlign w:val="center"/>
          </w:tcPr>
          <w:p w14:paraId="09ADE2D6" w14:textId="77777777" w:rsidR="004B3B82" w:rsidRPr="001D764F" w:rsidRDefault="004B3B82" w:rsidP="00CD3B05">
            <w:pPr>
              <w:jc w:val="center"/>
              <w:rPr>
                <w:rFonts w:ascii="Garamond" w:hAnsi="Garamond"/>
                <w:lang w:val="en-US"/>
              </w:rPr>
            </w:pPr>
            <w:r w:rsidRPr="005F754A">
              <w:rPr>
                <w:rFonts w:ascii="Garamond" w:hAnsi="Garamond"/>
                <w:lang w:val="en-US"/>
              </w:rPr>
              <w:t>11</w:t>
            </w:r>
          </w:p>
        </w:tc>
        <w:tc>
          <w:tcPr>
            <w:tcW w:w="1560" w:type="dxa"/>
            <w:tcBorders>
              <w:top w:val="single" w:sz="4" w:space="0" w:color="000000"/>
              <w:left w:val="single" w:sz="4" w:space="0" w:color="000000"/>
              <w:bottom w:val="single" w:sz="4" w:space="0" w:color="000000"/>
              <w:right w:val="single" w:sz="4" w:space="0" w:color="000000"/>
            </w:tcBorders>
            <w:shd w:val="clear" w:color="auto" w:fill="BFBFBF"/>
            <w:tcMar>
              <w:top w:w="80" w:type="dxa"/>
              <w:left w:w="80" w:type="dxa"/>
              <w:bottom w:w="80" w:type="dxa"/>
              <w:right w:w="80" w:type="dxa"/>
            </w:tcMar>
            <w:vAlign w:val="center"/>
          </w:tcPr>
          <w:p w14:paraId="6EE3E0B7" w14:textId="77777777" w:rsidR="004B3B82" w:rsidRPr="001D764F" w:rsidRDefault="004B3B82" w:rsidP="00CD3B05">
            <w:pPr>
              <w:jc w:val="center"/>
              <w:rPr>
                <w:rFonts w:ascii="Garamond" w:hAnsi="Garamond"/>
                <w:b/>
                <w:bCs/>
                <w:vertAlign w:val="subscript"/>
              </w:rPr>
            </w:pPr>
            <w:r w:rsidRPr="001D764F">
              <w:rPr>
                <w:rFonts w:ascii="Garamond" w:hAnsi="Garamond"/>
                <w:b/>
                <w:bCs/>
              </w:rPr>
              <w:t>П</w:t>
            </w:r>
            <w:r w:rsidRPr="001D764F">
              <w:rPr>
                <w:rFonts w:ascii="Garamond" w:hAnsi="Garamond"/>
                <w:b/>
                <w:bCs/>
                <w:vertAlign w:val="subscript"/>
              </w:rPr>
              <w:t>Ф41</w:t>
            </w:r>
          </w:p>
          <w:p w14:paraId="3730B66E" w14:textId="77777777" w:rsidR="004B3B82" w:rsidRPr="001D764F" w:rsidRDefault="004B3B82" w:rsidP="00CD3B05">
            <w:pPr>
              <w:jc w:val="center"/>
              <w:rPr>
                <w:rFonts w:ascii="Garamond" w:hAnsi="Garamond"/>
              </w:rPr>
            </w:pPr>
            <w:r w:rsidRPr="001D764F">
              <w:rPr>
                <w:rFonts w:ascii="Garamond" w:hAnsi="Garamond"/>
                <w:bCs/>
              </w:rPr>
              <w:t>(п.</w:t>
            </w:r>
            <w:r>
              <w:rPr>
                <w:rFonts w:ascii="Garamond" w:hAnsi="Garamond"/>
                <w:bCs/>
              </w:rPr>
              <w:t xml:space="preserve"> </w:t>
            </w:r>
            <w:r w:rsidRPr="001D764F">
              <w:rPr>
                <w:rFonts w:ascii="Garamond" w:hAnsi="Garamond"/>
                <w:bCs/>
              </w:rPr>
              <w:t>4.4)</w:t>
            </w:r>
          </w:p>
        </w:tc>
        <w:tc>
          <w:tcPr>
            <w:tcW w:w="7797" w:type="dxa"/>
            <w:tcBorders>
              <w:top w:val="single" w:sz="4" w:space="0" w:color="000000"/>
              <w:left w:val="single" w:sz="4" w:space="0" w:color="000000"/>
              <w:bottom w:val="single" w:sz="4" w:space="0" w:color="000000"/>
              <w:right w:val="single" w:sz="4" w:space="0" w:color="000000"/>
            </w:tcBorders>
            <w:shd w:val="clear" w:color="auto" w:fill="BFBFBF"/>
            <w:tcMar>
              <w:top w:w="80" w:type="dxa"/>
              <w:left w:w="80" w:type="dxa"/>
              <w:bottom w:w="80" w:type="dxa"/>
              <w:right w:w="80" w:type="dxa"/>
            </w:tcMar>
          </w:tcPr>
          <w:p w14:paraId="62D36DCE" w14:textId="77777777" w:rsidR="004B3B82" w:rsidRPr="00415C9E" w:rsidRDefault="004B3B82" w:rsidP="00CD3B05">
            <w:pPr>
              <w:rPr>
                <w:rFonts w:ascii="Garamond" w:hAnsi="Garamond"/>
              </w:rPr>
            </w:pPr>
            <w:r w:rsidRPr="00415C9E">
              <w:rPr>
                <w:rFonts w:ascii="Garamond" w:hAnsi="Garamond"/>
                <w:b/>
                <w:bCs/>
              </w:rPr>
              <w:t>Глубина хранения информации (профиля) в ИВКЭ</w:t>
            </w:r>
          </w:p>
        </w:tc>
      </w:tr>
      <w:tr w:rsidR="004B3B82" w:rsidRPr="001D764F" w14:paraId="4689CD59" w14:textId="77777777" w:rsidTr="00CD3B05">
        <w:tblPrEx>
          <w:shd w:val="clear" w:color="auto" w:fill="auto"/>
        </w:tblPrEx>
        <w:trPr>
          <w:trHeight w:val="250"/>
          <w:jc w:val="right"/>
        </w:trPr>
        <w:tc>
          <w:tcPr>
            <w:tcW w:w="567" w:type="dxa"/>
            <w:tcBorders>
              <w:top w:val="single" w:sz="4" w:space="0" w:color="000000"/>
              <w:left w:val="single" w:sz="4" w:space="0" w:color="000000"/>
              <w:bottom w:val="single" w:sz="4" w:space="0" w:color="000000"/>
              <w:right w:val="single" w:sz="4" w:space="0" w:color="000000"/>
            </w:tcBorders>
            <w:shd w:val="clear" w:color="auto" w:fill="92D050"/>
            <w:tcMar>
              <w:top w:w="80" w:type="dxa"/>
              <w:left w:w="80" w:type="dxa"/>
              <w:bottom w:w="80" w:type="dxa"/>
              <w:right w:w="80" w:type="dxa"/>
            </w:tcMar>
            <w:vAlign w:val="center"/>
          </w:tcPr>
          <w:p w14:paraId="7B4ABA93" w14:textId="77777777" w:rsidR="004B3B82" w:rsidRPr="001D764F" w:rsidRDefault="004B3B82" w:rsidP="00CD3B05">
            <w:pPr>
              <w:rPr>
                <w:rFonts w:ascii="Garamond" w:hAnsi="Garamond"/>
              </w:rPr>
            </w:pPr>
          </w:p>
        </w:tc>
        <w:tc>
          <w:tcPr>
            <w:tcW w:w="1560" w:type="dxa"/>
            <w:tcBorders>
              <w:top w:val="single" w:sz="4" w:space="0" w:color="000000"/>
              <w:left w:val="single" w:sz="4" w:space="0" w:color="000000"/>
              <w:bottom w:val="single" w:sz="4" w:space="0" w:color="000000"/>
              <w:right w:val="single" w:sz="4" w:space="0" w:color="000000"/>
            </w:tcBorders>
            <w:shd w:val="clear" w:color="auto" w:fill="92D050"/>
            <w:tcMar>
              <w:top w:w="80" w:type="dxa"/>
              <w:left w:w="80" w:type="dxa"/>
              <w:bottom w:w="80" w:type="dxa"/>
              <w:right w:w="80" w:type="dxa"/>
            </w:tcMar>
            <w:vAlign w:val="center"/>
          </w:tcPr>
          <w:p w14:paraId="7CE49661" w14:textId="77777777" w:rsidR="004B3B82" w:rsidRPr="001D764F" w:rsidRDefault="004B3B82" w:rsidP="00CD3B05">
            <w:pPr>
              <w:jc w:val="center"/>
              <w:rPr>
                <w:rFonts w:ascii="Garamond" w:hAnsi="Garamond"/>
              </w:rPr>
            </w:pPr>
            <w:r w:rsidRPr="001D764F">
              <w:rPr>
                <w:rFonts w:ascii="Garamond" w:hAnsi="Garamond"/>
                <w:b/>
                <w:bCs/>
              </w:rPr>
              <w:t>Компоненты</w:t>
            </w:r>
          </w:p>
        </w:tc>
        <w:tc>
          <w:tcPr>
            <w:tcW w:w="7797" w:type="dxa"/>
            <w:tcBorders>
              <w:top w:val="single" w:sz="4" w:space="0" w:color="000000"/>
              <w:left w:val="single" w:sz="4" w:space="0" w:color="000000"/>
              <w:bottom w:val="single" w:sz="4" w:space="0" w:color="000000"/>
              <w:right w:val="single" w:sz="4" w:space="0" w:color="000000"/>
            </w:tcBorders>
            <w:shd w:val="clear" w:color="auto" w:fill="92D050"/>
            <w:tcMar>
              <w:top w:w="80" w:type="dxa"/>
              <w:left w:w="80" w:type="dxa"/>
              <w:bottom w:w="80" w:type="dxa"/>
              <w:right w:w="80" w:type="dxa"/>
            </w:tcMar>
          </w:tcPr>
          <w:p w14:paraId="686A068A" w14:textId="77777777" w:rsidR="004B3B82" w:rsidRPr="00415C9E" w:rsidRDefault="004B3B82" w:rsidP="00CD3B05">
            <w:pPr>
              <w:rPr>
                <w:rFonts w:ascii="Garamond" w:hAnsi="Garamond"/>
              </w:rPr>
            </w:pPr>
            <w:r w:rsidRPr="00415C9E">
              <w:rPr>
                <w:rFonts w:ascii="Garamond" w:hAnsi="Garamond"/>
              </w:rPr>
              <w:t xml:space="preserve">ИВКЭ – УСПД/сервер </w:t>
            </w:r>
          </w:p>
        </w:tc>
      </w:tr>
      <w:tr w:rsidR="004B3B82" w:rsidRPr="0058630D" w14:paraId="715BD368" w14:textId="77777777" w:rsidTr="00CD3B05">
        <w:tblPrEx>
          <w:shd w:val="clear" w:color="auto" w:fill="auto"/>
        </w:tblPrEx>
        <w:trPr>
          <w:trHeight w:val="54"/>
          <w:jc w:val="right"/>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F97BAC8" w14:textId="77777777" w:rsidR="004B3B82" w:rsidRPr="001D764F" w:rsidRDefault="004B3B82" w:rsidP="00CD3B05">
            <w:pPr>
              <w:rPr>
                <w:rFonts w:ascii="Garamond" w:hAnsi="Garamond"/>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AE55043" w14:textId="77777777" w:rsidR="004B3B82" w:rsidRPr="001D764F" w:rsidRDefault="004B3B82" w:rsidP="00CD3B05">
            <w:pPr>
              <w:jc w:val="center"/>
              <w:rPr>
                <w:rFonts w:ascii="Garamond" w:hAnsi="Garamond"/>
              </w:rPr>
            </w:pPr>
            <w:r w:rsidRPr="001D764F">
              <w:rPr>
                <w:rFonts w:ascii="Garamond" w:hAnsi="Garamond"/>
                <w:b/>
                <w:bCs/>
              </w:rPr>
              <w:t>Действия</w:t>
            </w:r>
          </w:p>
        </w:tc>
        <w:tc>
          <w:tcPr>
            <w:tcW w:w="779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4510B9" w14:textId="77777777" w:rsidR="004B3B82" w:rsidRPr="00415C9E" w:rsidRDefault="004B3B82" w:rsidP="004B3B82">
            <w:pPr>
              <w:pStyle w:val="ac"/>
              <w:numPr>
                <w:ilvl w:val="0"/>
                <w:numId w:val="170"/>
              </w:numPr>
              <w:pBdr>
                <w:top w:val="nil"/>
                <w:left w:val="nil"/>
                <w:bottom w:val="nil"/>
                <w:right w:val="nil"/>
                <w:between w:val="nil"/>
                <w:bar w:val="nil"/>
              </w:pBdr>
              <w:tabs>
                <w:tab w:val="left" w:pos="1440"/>
              </w:tabs>
              <w:ind w:hanging="262"/>
              <w:jc w:val="both"/>
              <w:rPr>
                <w:rFonts w:ascii="Garamond" w:eastAsia="Garamond" w:hAnsi="Garamond" w:cs="Garamond"/>
              </w:rPr>
            </w:pPr>
            <w:r w:rsidRPr="00415C9E">
              <w:rPr>
                <w:rFonts w:ascii="Garamond" w:hAnsi="Garamond"/>
              </w:rPr>
              <w:t>С помощью стандартных средств операционной системы или специализированного ПО удаленного доступа и администрирования устанавливается интернет-соединение с удаленным рабочим столом сервера ИВК АИИС КУЭ.</w:t>
            </w:r>
          </w:p>
          <w:p w14:paraId="469F891C" w14:textId="77777777" w:rsidR="004B3B82" w:rsidRPr="00415C9E" w:rsidRDefault="004B3B82" w:rsidP="004B3B82">
            <w:pPr>
              <w:pStyle w:val="ac"/>
              <w:numPr>
                <w:ilvl w:val="0"/>
                <w:numId w:val="225"/>
              </w:numPr>
              <w:pBdr>
                <w:top w:val="nil"/>
                <w:left w:val="nil"/>
                <w:bottom w:val="nil"/>
                <w:right w:val="nil"/>
                <w:between w:val="nil"/>
                <w:bar w:val="nil"/>
              </w:pBdr>
              <w:tabs>
                <w:tab w:val="left" w:pos="1440"/>
              </w:tabs>
              <w:ind w:hanging="262"/>
              <w:jc w:val="both"/>
              <w:rPr>
                <w:rFonts w:ascii="Garamond" w:eastAsia="Garamond" w:hAnsi="Garamond" w:cs="Garamond"/>
              </w:rPr>
            </w:pPr>
            <w:r w:rsidRPr="00415C9E">
              <w:rPr>
                <w:rFonts w:ascii="Garamond" w:hAnsi="Garamond"/>
              </w:rPr>
              <w:t>С помощью специализированного ПО, установленного на сервере (АРМ) ИВК, посредством удаленного доступа устанавливается связь с УСПД и производится считывание 30-минутных приращений элект</w:t>
            </w:r>
            <w:r>
              <w:rPr>
                <w:rFonts w:ascii="Garamond" w:hAnsi="Garamond"/>
              </w:rPr>
              <w:t>р</w:t>
            </w:r>
            <w:r w:rsidRPr="005D67F9">
              <w:rPr>
                <w:rFonts w:ascii="Garamond" w:hAnsi="Garamond"/>
                <w:highlight w:val="yellow"/>
              </w:rPr>
              <w:t>о</w:t>
            </w:r>
            <w:r w:rsidRPr="00415C9E">
              <w:rPr>
                <w:rFonts w:ascii="Garamond" w:hAnsi="Garamond"/>
              </w:rPr>
              <w:t>энергии (получасовых интегрированных профилей мощности) за интервал времени, не превышающий требований п. 4.4 Приложения № 11.1 к Положению о реестре</w:t>
            </w:r>
            <w:r>
              <w:rPr>
                <w:rFonts w:ascii="Garamond" w:hAnsi="Garamond"/>
              </w:rPr>
              <w:t>,</w:t>
            </w:r>
            <w:r w:rsidRPr="00415C9E">
              <w:rPr>
                <w:rFonts w:ascii="Garamond" w:hAnsi="Garamond"/>
              </w:rPr>
              <w:t xml:space="preserve"> по всем измерительным каналам подключенных к УСПД </w:t>
            </w:r>
            <w:r>
              <w:rPr>
                <w:rFonts w:ascii="Garamond" w:hAnsi="Garamond"/>
                <w:highlight w:val="yellow"/>
              </w:rPr>
              <w:t>приборов учета</w:t>
            </w:r>
            <w:r w:rsidRPr="00415C9E">
              <w:rPr>
                <w:rFonts w:ascii="Garamond" w:hAnsi="Garamond"/>
              </w:rPr>
              <w:t>.</w:t>
            </w:r>
          </w:p>
        </w:tc>
      </w:tr>
      <w:tr w:rsidR="004B3B82" w:rsidRPr="00FC535A" w14:paraId="118C1016" w14:textId="77777777" w:rsidTr="00CD3B05">
        <w:tblPrEx>
          <w:shd w:val="clear" w:color="auto" w:fill="auto"/>
        </w:tblPrEx>
        <w:trPr>
          <w:trHeight w:val="1587"/>
          <w:jc w:val="right"/>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ACA2D9F" w14:textId="77777777" w:rsidR="004B3B82" w:rsidRPr="0058630D" w:rsidRDefault="004B3B82" w:rsidP="00CD3B05">
            <w:pPr>
              <w:rPr>
                <w:rFonts w:ascii="Garamond" w:hAnsi="Garamond"/>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9451BE1" w14:textId="77777777" w:rsidR="004B3B82" w:rsidRPr="001D764F" w:rsidRDefault="004B3B82" w:rsidP="00CD3B05">
            <w:pPr>
              <w:jc w:val="center"/>
              <w:rPr>
                <w:rFonts w:ascii="Garamond" w:hAnsi="Garamond"/>
              </w:rPr>
            </w:pPr>
            <w:r w:rsidRPr="00FC535A">
              <w:rPr>
                <w:rFonts w:ascii="Garamond" w:hAnsi="Garamond"/>
                <w:b/>
                <w:bCs/>
              </w:rPr>
              <w:t>Критерии</w:t>
            </w:r>
          </w:p>
        </w:tc>
        <w:tc>
          <w:tcPr>
            <w:tcW w:w="779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B4B6EF7" w14:textId="77777777" w:rsidR="004B3B82" w:rsidRPr="00415C9E" w:rsidRDefault="004B3B82" w:rsidP="00CD3B05">
            <w:pPr>
              <w:pStyle w:val="ac"/>
              <w:tabs>
                <w:tab w:val="left" w:pos="317"/>
              </w:tabs>
              <w:ind w:left="0"/>
              <w:jc w:val="both"/>
              <w:rPr>
                <w:rFonts w:ascii="Garamond" w:eastAsia="Garamond" w:hAnsi="Garamond" w:cs="Garamond"/>
              </w:rPr>
            </w:pPr>
            <w:r w:rsidRPr="00415C9E">
              <w:rPr>
                <w:rFonts w:ascii="Garamond" w:hAnsi="Garamond"/>
              </w:rPr>
              <w:t>Фактическое наличие в памяти УСПД 30</w:t>
            </w:r>
            <w:r>
              <w:rPr>
                <w:rFonts w:ascii="Garamond" w:hAnsi="Garamond"/>
              </w:rPr>
              <w:t>-минутных приращений электр</w:t>
            </w:r>
            <w:r w:rsidRPr="005D67F9">
              <w:rPr>
                <w:rFonts w:ascii="Garamond" w:hAnsi="Garamond"/>
                <w:highlight w:val="yellow"/>
              </w:rPr>
              <w:t>о</w:t>
            </w:r>
            <w:r w:rsidRPr="00415C9E">
              <w:rPr>
                <w:rFonts w:ascii="Garamond" w:hAnsi="Garamond"/>
              </w:rPr>
              <w:t>энергии (получасовых интегрированных профилей мощности) за интервал времени, соответствующий требованиям п. 4.4 Приложения № 11.1 к Положению о реестре</w:t>
            </w:r>
            <w:r>
              <w:rPr>
                <w:rFonts w:ascii="Garamond" w:hAnsi="Garamond"/>
              </w:rPr>
              <w:t>,</w:t>
            </w:r>
            <w:r w:rsidRPr="00415C9E">
              <w:rPr>
                <w:rFonts w:ascii="Garamond" w:hAnsi="Garamond"/>
              </w:rPr>
              <w:t xml:space="preserve"> по всем измерительным каналам </w:t>
            </w:r>
            <w:r>
              <w:rPr>
                <w:rFonts w:ascii="Garamond" w:hAnsi="Garamond"/>
                <w:highlight w:val="yellow"/>
              </w:rPr>
              <w:t>приборов учета</w:t>
            </w:r>
            <w:r w:rsidRPr="00415C9E">
              <w:rPr>
                <w:rFonts w:ascii="Garamond" w:hAnsi="Garamond"/>
              </w:rPr>
              <w:t>, подключенных к УСПД.</w:t>
            </w:r>
          </w:p>
          <w:p w14:paraId="37ECC69C" w14:textId="77777777" w:rsidR="004B3B82" w:rsidRPr="00060658" w:rsidRDefault="004B3B82" w:rsidP="00CD3B05">
            <w:pPr>
              <w:pStyle w:val="ac"/>
              <w:tabs>
                <w:tab w:val="left" w:pos="317"/>
              </w:tabs>
              <w:ind w:left="0"/>
              <w:jc w:val="both"/>
              <w:rPr>
                <w:rFonts w:ascii="Garamond" w:hAnsi="Garamond"/>
                <w:sz w:val="18"/>
                <w:szCs w:val="18"/>
              </w:rPr>
            </w:pPr>
            <w:r w:rsidRPr="00060658">
              <w:rPr>
                <w:rFonts w:ascii="Garamond" w:hAnsi="Garamond"/>
                <w:i/>
                <w:sz w:val="18"/>
                <w:szCs w:val="18"/>
              </w:rPr>
              <w:t>Примечание</w:t>
            </w:r>
            <w:r w:rsidRPr="00060658">
              <w:rPr>
                <w:rFonts w:ascii="Garamond" w:hAnsi="Garamond"/>
                <w:sz w:val="18"/>
                <w:szCs w:val="18"/>
              </w:rPr>
              <w:t>. В случае работы УСПД в составе ИИК АИИС КУЭ менее времени, указанного в п. 4.4 Приложения № 11.1 к Положению о реестре, соответствие устанавливается на основании сведений о глубине хранения в УСПД получасовых интегрированных профилей мощности в представленной на испытание документации (Описание типа средства измерений, руководство по эксплуатации УСПД и т.п.).</w:t>
            </w:r>
          </w:p>
        </w:tc>
      </w:tr>
      <w:tr w:rsidR="004B3B82" w:rsidRPr="001D764F" w14:paraId="011BD482" w14:textId="77777777" w:rsidTr="00CD3B05">
        <w:tblPrEx>
          <w:shd w:val="clear" w:color="auto" w:fill="auto"/>
        </w:tblPrEx>
        <w:trPr>
          <w:trHeight w:val="250"/>
          <w:jc w:val="right"/>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551E56C" w14:textId="77777777" w:rsidR="004B3B82" w:rsidRPr="0058630D" w:rsidRDefault="004B3B82" w:rsidP="00CD3B05">
            <w:pPr>
              <w:rPr>
                <w:rFonts w:ascii="Garamond" w:hAnsi="Garamond"/>
              </w:rPr>
            </w:pPr>
            <w:r>
              <w:rPr>
                <w:rFonts w:ascii="Garamond" w:hAnsi="Garamond"/>
              </w:rPr>
              <w:t>…</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1DB3A5F" w14:textId="77777777" w:rsidR="004B3B82" w:rsidRPr="001D764F" w:rsidRDefault="004B3B82" w:rsidP="00CD3B05">
            <w:pPr>
              <w:jc w:val="center"/>
              <w:rPr>
                <w:rFonts w:ascii="Garamond" w:hAnsi="Garamond"/>
              </w:rPr>
            </w:pPr>
            <w:r>
              <w:rPr>
                <w:rFonts w:ascii="Garamond" w:hAnsi="Garamond"/>
              </w:rPr>
              <w:t>…</w:t>
            </w:r>
          </w:p>
        </w:tc>
        <w:tc>
          <w:tcPr>
            <w:tcW w:w="779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25B3C10" w14:textId="77777777" w:rsidR="004B3B82" w:rsidRPr="00415C9E" w:rsidRDefault="004B3B82" w:rsidP="00CD3B05">
            <w:pPr>
              <w:rPr>
                <w:rFonts w:ascii="Garamond" w:hAnsi="Garamond"/>
              </w:rPr>
            </w:pPr>
            <w:r>
              <w:rPr>
                <w:rFonts w:ascii="Garamond" w:hAnsi="Garamond"/>
              </w:rPr>
              <w:t>…</w:t>
            </w:r>
          </w:p>
        </w:tc>
      </w:tr>
      <w:tr w:rsidR="004B3B82" w:rsidRPr="001D764F" w14:paraId="01CB4EB4" w14:textId="77777777" w:rsidTr="00CD3B05">
        <w:tblPrEx>
          <w:shd w:val="clear" w:color="auto" w:fill="auto"/>
        </w:tblPrEx>
        <w:trPr>
          <w:trHeight w:val="250"/>
          <w:jc w:val="right"/>
        </w:trPr>
        <w:tc>
          <w:tcPr>
            <w:tcW w:w="567" w:type="dxa"/>
            <w:tcBorders>
              <w:top w:val="single" w:sz="4" w:space="0" w:color="000000"/>
              <w:left w:val="single" w:sz="4" w:space="0" w:color="000000"/>
              <w:bottom w:val="single" w:sz="4" w:space="0" w:color="000000"/>
              <w:right w:val="single" w:sz="4" w:space="0" w:color="000000"/>
            </w:tcBorders>
            <w:shd w:val="clear" w:color="auto" w:fill="BFBFBF"/>
            <w:tcMar>
              <w:top w:w="80" w:type="dxa"/>
              <w:left w:w="80" w:type="dxa"/>
              <w:bottom w:w="80" w:type="dxa"/>
              <w:right w:w="80" w:type="dxa"/>
            </w:tcMar>
            <w:vAlign w:val="center"/>
          </w:tcPr>
          <w:p w14:paraId="23B43687" w14:textId="77777777" w:rsidR="004B3B82" w:rsidRPr="001D764F" w:rsidRDefault="004B3B82" w:rsidP="00CD3B05">
            <w:pPr>
              <w:jc w:val="center"/>
              <w:rPr>
                <w:rFonts w:ascii="Garamond" w:hAnsi="Garamond"/>
                <w:lang w:val="en-US"/>
              </w:rPr>
            </w:pPr>
            <w:r w:rsidRPr="005F754A">
              <w:rPr>
                <w:rFonts w:ascii="Garamond" w:hAnsi="Garamond"/>
                <w:lang w:val="en-US"/>
              </w:rPr>
              <w:t>12</w:t>
            </w:r>
          </w:p>
        </w:tc>
        <w:tc>
          <w:tcPr>
            <w:tcW w:w="1560" w:type="dxa"/>
            <w:tcBorders>
              <w:top w:val="single" w:sz="4" w:space="0" w:color="000000"/>
              <w:left w:val="single" w:sz="4" w:space="0" w:color="000000"/>
              <w:bottom w:val="single" w:sz="4" w:space="0" w:color="000000"/>
              <w:right w:val="single" w:sz="4" w:space="0" w:color="000000"/>
            </w:tcBorders>
            <w:shd w:val="clear" w:color="auto" w:fill="BFBFBF"/>
            <w:tcMar>
              <w:top w:w="80" w:type="dxa"/>
              <w:left w:w="80" w:type="dxa"/>
              <w:bottom w:w="80" w:type="dxa"/>
              <w:right w:w="80" w:type="dxa"/>
            </w:tcMar>
            <w:vAlign w:val="center"/>
          </w:tcPr>
          <w:p w14:paraId="539CA577" w14:textId="77777777" w:rsidR="004B3B82" w:rsidRPr="001D764F" w:rsidRDefault="004B3B82" w:rsidP="00CD3B05">
            <w:pPr>
              <w:jc w:val="center"/>
              <w:rPr>
                <w:rFonts w:ascii="Garamond" w:hAnsi="Garamond"/>
                <w:b/>
                <w:bCs/>
                <w:vertAlign w:val="subscript"/>
              </w:rPr>
            </w:pPr>
            <w:r w:rsidRPr="001D764F">
              <w:rPr>
                <w:rFonts w:ascii="Garamond" w:hAnsi="Garamond"/>
                <w:b/>
                <w:bCs/>
              </w:rPr>
              <w:t>П</w:t>
            </w:r>
            <w:r w:rsidRPr="001D764F">
              <w:rPr>
                <w:rFonts w:ascii="Garamond" w:hAnsi="Garamond"/>
                <w:b/>
                <w:bCs/>
                <w:vertAlign w:val="subscript"/>
              </w:rPr>
              <w:t>Ф42</w:t>
            </w:r>
          </w:p>
          <w:p w14:paraId="3B84976A" w14:textId="77777777" w:rsidR="004B3B82" w:rsidRPr="001D764F" w:rsidRDefault="004B3B82" w:rsidP="00CD3B05">
            <w:pPr>
              <w:jc w:val="center"/>
              <w:rPr>
                <w:rFonts w:ascii="Garamond" w:hAnsi="Garamond"/>
              </w:rPr>
            </w:pPr>
            <w:r w:rsidRPr="001D764F">
              <w:rPr>
                <w:rFonts w:ascii="Garamond" w:hAnsi="Garamond"/>
                <w:bCs/>
              </w:rPr>
              <w:t>(п.</w:t>
            </w:r>
            <w:r>
              <w:rPr>
                <w:rFonts w:ascii="Garamond" w:hAnsi="Garamond"/>
                <w:bCs/>
              </w:rPr>
              <w:t xml:space="preserve"> </w:t>
            </w:r>
            <w:r w:rsidRPr="001D764F">
              <w:rPr>
                <w:rFonts w:ascii="Garamond" w:hAnsi="Garamond"/>
                <w:bCs/>
              </w:rPr>
              <w:t>5.1.3)</w:t>
            </w:r>
          </w:p>
        </w:tc>
        <w:tc>
          <w:tcPr>
            <w:tcW w:w="7797" w:type="dxa"/>
            <w:tcBorders>
              <w:top w:val="single" w:sz="4" w:space="0" w:color="000000"/>
              <w:left w:val="single" w:sz="4" w:space="0" w:color="000000"/>
              <w:bottom w:val="single" w:sz="4" w:space="0" w:color="000000"/>
              <w:right w:val="single" w:sz="4" w:space="0" w:color="000000"/>
            </w:tcBorders>
            <w:shd w:val="clear" w:color="auto" w:fill="BFBFBF"/>
            <w:tcMar>
              <w:top w:w="80" w:type="dxa"/>
              <w:left w:w="80" w:type="dxa"/>
              <w:bottom w:w="80" w:type="dxa"/>
              <w:right w:w="80" w:type="dxa"/>
            </w:tcMar>
          </w:tcPr>
          <w:p w14:paraId="68B1A31C" w14:textId="77777777" w:rsidR="004B3B82" w:rsidRPr="00415C9E" w:rsidRDefault="004B3B82" w:rsidP="00CD3B05">
            <w:pPr>
              <w:rPr>
                <w:rFonts w:ascii="Garamond" w:hAnsi="Garamond"/>
              </w:rPr>
            </w:pPr>
            <w:r w:rsidRPr="00415C9E">
              <w:rPr>
                <w:rFonts w:ascii="Garamond" w:hAnsi="Garamond"/>
                <w:b/>
                <w:bCs/>
              </w:rPr>
              <w:t>Глубина хранения информации в ИВК</w:t>
            </w:r>
          </w:p>
        </w:tc>
      </w:tr>
      <w:tr w:rsidR="004B3B82" w:rsidRPr="00FC535A" w14:paraId="1691EF03" w14:textId="77777777" w:rsidTr="00CD3B05">
        <w:tblPrEx>
          <w:shd w:val="clear" w:color="auto" w:fill="auto"/>
        </w:tblPrEx>
        <w:trPr>
          <w:trHeight w:val="250"/>
          <w:jc w:val="right"/>
        </w:trPr>
        <w:tc>
          <w:tcPr>
            <w:tcW w:w="567" w:type="dxa"/>
            <w:tcBorders>
              <w:top w:val="single" w:sz="4" w:space="0" w:color="000000"/>
              <w:left w:val="single" w:sz="4" w:space="0" w:color="000000"/>
              <w:bottom w:val="single" w:sz="4" w:space="0" w:color="000000"/>
              <w:right w:val="single" w:sz="4" w:space="0" w:color="000000"/>
            </w:tcBorders>
            <w:shd w:val="clear" w:color="auto" w:fill="92D050"/>
            <w:tcMar>
              <w:top w:w="80" w:type="dxa"/>
              <w:left w:w="80" w:type="dxa"/>
              <w:bottom w:w="80" w:type="dxa"/>
              <w:right w:w="80" w:type="dxa"/>
            </w:tcMar>
            <w:vAlign w:val="center"/>
          </w:tcPr>
          <w:p w14:paraId="6F970796" w14:textId="77777777" w:rsidR="004B3B82" w:rsidRPr="001D764F" w:rsidRDefault="004B3B82" w:rsidP="00CD3B05">
            <w:pPr>
              <w:rPr>
                <w:rFonts w:ascii="Garamond" w:hAnsi="Garamond"/>
              </w:rPr>
            </w:pPr>
          </w:p>
        </w:tc>
        <w:tc>
          <w:tcPr>
            <w:tcW w:w="1560" w:type="dxa"/>
            <w:tcBorders>
              <w:top w:val="single" w:sz="4" w:space="0" w:color="000000"/>
              <w:left w:val="single" w:sz="4" w:space="0" w:color="000000"/>
              <w:bottom w:val="single" w:sz="4" w:space="0" w:color="000000"/>
              <w:right w:val="single" w:sz="4" w:space="0" w:color="000000"/>
            </w:tcBorders>
            <w:shd w:val="clear" w:color="auto" w:fill="92D050"/>
            <w:tcMar>
              <w:top w:w="80" w:type="dxa"/>
              <w:left w:w="80" w:type="dxa"/>
              <w:bottom w:w="80" w:type="dxa"/>
              <w:right w:w="80" w:type="dxa"/>
            </w:tcMar>
            <w:vAlign w:val="center"/>
          </w:tcPr>
          <w:p w14:paraId="100AE82E" w14:textId="77777777" w:rsidR="004B3B82" w:rsidRPr="001D764F" w:rsidRDefault="004B3B82" w:rsidP="00CD3B05">
            <w:pPr>
              <w:jc w:val="center"/>
              <w:rPr>
                <w:rFonts w:ascii="Garamond" w:hAnsi="Garamond"/>
              </w:rPr>
            </w:pPr>
            <w:r w:rsidRPr="00FC535A">
              <w:rPr>
                <w:rFonts w:ascii="Garamond" w:hAnsi="Garamond"/>
                <w:b/>
                <w:bCs/>
              </w:rPr>
              <w:t>Компоненты</w:t>
            </w:r>
          </w:p>
        </w:tc>
        <w:tc>
          <w:tcPr>
            <w:tcW w:w="7797" w:type="dxa"/>
            <w:tcBorders>
              <w:top w:val="single" w:sz="4" w:space="0" w:color="000000"/>
              <w:left w:val="single" w:sz="4" w:space="0" w:color="000000"/>
              <w:bottom w:val="single" w:sz="4" w:space="0" w:color="000000"/>
              <w:right w:val="single" w:sz="4" w:space="0" w:color="000000"/>
            </w:tcBorders>
            <w:shd w:val="clear" w:color="auto" w:fill="92D050"/>
            <w:tcMar>
              <w:top w:w="80" w:type="dxa"/>
              <w:left w:w="80" w:type="dxa"/>
              <w:bottom w:w="80" w:type="dxa"/>
              <w:right w:w="80" w:type="dxa"/>
            </w:tcMar>
          </w:tcPr>
          <w:p w14:paraId="0D79D94C" w14:textId="77777777" w:rsidR="004B3B82" w:rsidRPr="00415C9E" w:rsidRDefault="004B3B82" w:rsidP="00CD3B05">
            <w:pPr>
              <w:rPr>
                <w:rFonts w:ascii="Garamond" w:hAnsi="Garamond"/>
              </w:rPr>
            </w:pPr>
            <w:r w:rsidRPr="00415C9E">
              <w:rPr>
                <w:rFonts w:ascii="Garamond" w:hAnsi="Garamond"/>
              </w:rPr>
              <w:t xml:space="preserve">ИВК – сервер </w:t>
            </w:r>
          </w:p>
        </w:tc>
      </w:tr>
      <w:tr w:rsidR="004B3B82" w:rsidRPr="0058630D" w14:paraId="3647FC1C" w14:textId="77777777" w:rsidTr="00CD3B05">
        <w:tblPrEx>
          <w:shd w:val="clear" w:color="auto" w:fill="auto"/>
        </w:tblPrEx>
        <w:trPr>
          <w:trHeight w:val="1707"/>
          <w:jc w:val="right"/>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78AF49E" w14:textId="77777777" w:rsidR="004B3B82" w:rsidRPr="00FC535A" w:rsidRDefault="004B3B82" w:rsidP="00CD3B05">
            <w:pPr>
              <w:rPr>
                <w:rFonts w:ascii="Garamond" w:hAnsi="Garamond"/>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8D749E3" w14:textId="77777777" w:rsidR="004B3B82" w:rsidRPr="00FC535A" w:rsidRDefault="004B3B82" w:rsidP="00CD3B05">
            <w:pPr>
              <w:jc w:val="center"/>
              <w:rPr>
                <w:rFonts w:ascii="Garamond" w:hAnsi="Garamond"/>
              </w:rPr>
            </w:pPr>
            <w:r w:rsidRPr="00FC535A">
              <w:rPr>
                <w:rFonts w:ascii="Garamond" w:hAnsi="Garamond"/>
                <w:b/>
                <w:bCs/>
              </w:rPr>
              <w:t>Действия</w:t>
            </w:r>
          </w:p>
        </w:tc>
        <w:tc>
          <w:tcPr>
            <w:tcW w:w="779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3A3FF0" w14:textId="77777777" w:rsidR="004B3B82" w:rsidRPr="00C53846" w:rsidRDefault="004B3B82" w:rsidP="004B3B82">
            <w:pPr>
              <w:pStyle w:val="ac"/>
              <w:numPr>
                <w:ilvl w:val="0"/>
                <w:numId w:val="226"/>
              </w:numPr>
              <w:pBdr>
                <w:top w:val="nil"/>
                <w:left w:val="nil"/>
                <w:bottom w:val="nil"/>
                <w:right w:val="nil"/>
                <w:between w:val="nil"/>
                <w:bar w:val="nil"/>
              </w:pBdr>
              <w:tabs>
                <w:tab w:val="left" w:pos="317"/>
                <w:tab w:val="left" w:pos="1440"/>
              </w:tabs>
              <w:ind w:left="317" w:hanging="262"/>
              <w:jc w:val="both"/>
              <w:rPr>
                <w:rFonts w:ascii="Garamond" w:eastAsia="Garamond" w:hAnsi="Garamond" w:cs="Garamond"/>
              </w:rPr>
            </w:pPr>
            <w:r w:rsidRPr="001D6202">
              <w:rPr>
                <w:rFonts w:ascii="Garamond" w:hAnsi="Garamond"/>
                <w:highlight w:val="yellow"/>
              </w:rPr>
              <w:t>При проведении процедуры установления соответствия АИИС КУЭ:</w:t>
            </w:r>
          </w:p>
          <w:p w14:paraId="63B3B60C" w14:textId="77777777" w:rsidR="004B3B82" w:rsidRPr="00415C9E" w:rsidRDefault="004B3B82" w:rsidP="004B3B82">
            <w:pPr>
              <w:pStyle w:val="ac"/>
              <w:numPr>
                <w:ilvl w:val="0"/>
                <w:numId w:val="171"/>
              </w:numPr>
              <w:pBdr>
                <w:top w:val="nil"/>
                <w:left w:val="nil"/>
                <w:bottom w:val="nil"/>
                <w:right w:val="nil"/>
                <w:between w:val="nil"/>
                <w:bar w:val="nil"/>
              </w:pBdr>
              <w:tabs>
                <w:tab w:val="left" w:pos="1440"/>
              </w:tabs>
              <w:ind w:hanging="262"/>
              <w:jc w:val="both"/>
              <w:rPr>
                <w:rFonts w:ascii="Garamond" w:eastAsia="Garamond" w:hAnsi="Garamond" w:cs="Garamond"/>
              </w:rPr>
            </w:pPr>
            <w:r w:rsidRPr="00415C9E">
              <w:rPr>
                <w:rFonts w:ascii="Garamond" w:hAnsi="Garamond"/>
              </w:rPr>
              <w:t>С помощью стандартных средств операционной системы или специализированного ПО удаленного доступа и администрирования устанавливается интернет-соединение с удаленным рабочим столом сервера ИВК АИИС КУЭ.</w:t>
            </w:r>
          </w:p>
          <w:p w14:paraId="005BDEBA" w14:textId="77777777" w:rsidR="004B3B82" w:rsidRPr="00C53846" w:rsidRDefault="004B3B82" w:rsidP="004B3B82">
            <w:pPr>
              <w:pStyle w:val="ac"/>
              <w:numPr>
                <w:ilvl w:val="0"/>
                <w:numId w:val="171"/>
              </w:numPr>
              <w:pBdr>
                <w:top w:val="nil"/>
                <w:left w:val="nil"/>
                <w:bottom w:val="nil"/>
                <w:right w:val="nil"/>
                <w:between w:val="nil"/>
                <w:bar w:val="nil"/>
              </w:pBdr>
              <w:tabs>
                <w:tab w:val="left" w:pos="1440"/>
              </w:tabs>
              <w:ind w:hanging="262"/>
              <w:jc w:val="both"/>
              <w:rPr>
                <w:rFonts w:ascii="Garamond" w:eastAsia="Garamond" w:hAnsi="Garamond" w:cs="Garamond"/>
              </w:rPr>
            </w:pPr>
            <w:r w:rsidRPr="00415C9E">
              <w:rPr>
                <w:rFonts w:ascii="Garamond" w:hAnsi="Garamond"/>
              </w:rPr>
              <w:t>С помощью специализированного ПО ИВК производится контроль наличия и хранения в БД АИИС КУЭ 30</w:t>
            </w:r>
            <w:r>
              <w:rPr>
                <w:rFonts w:ascii="Garamond" w:hAnsi="Garamond"/>
              </w:rPr>
              <w:t>-минутных приращений электр</w:t>
            </w:r>
            <w:r w:rsidRPr="005D67F9">
              <w:rPr>
                <w:rFonts w:ascii="Garamond" w:hAnsi="Garamond"/>
                <w:highlight w:val="yellow"/>
              </w:rPr>
              <w:t>о</w:t>
            </w:r>
            <w:r w:rsidRPr="00415C9E">
              <w:rPr>
                <w:rFonts w:ascii="Garamond" w:hAnsi="Garamond"/>
              </w:rPr>
              <w:t xml:space="preserve">энергии (получасовых интегрированных профилей мощности) по всем измерительным каналам </w:t>
            </w:r>
            <w:r>
              <w:rPr>
                <w:rFonts w:ascii="Garamond" w:hAnsi="Garamond"/>
                <w:highlight w:val="yellow"/>
              </w:rPr>
              <w:t>приборов учета</w:t>
            </w:r>
            <w:r w:rsidRPr="00415C9E">
              <w:rPr>
                <w:rFonts w:ascii="Garamond" w:hAnsi="Garamond"/>
              </w:rPr>
              <w:t>, включенных в АИИС КУЭ, их «журналов событий», «журналов событий» УСПД ИВКЭ и сервера ИВК.</w:t>
            </w:r>
          </w:p>
          <w:p w14:paraId="5F7C3C6B" w14:textId="77777777" w:rsidR="004B3B82" w:rsidRDefault="004B3B82" w:rsidP="00E31AE6">
            <w:pPr>
              <w:pBdr>
                <w:top w:val="nil"/>
                <w:left w:val="nil"/>
                <w:bottom w:val="nil"/>
                <w:right w:val="nil"/>
                <w:between w:val="nil"/>
                <w:bar w:val="nil"/>
              </w:pBdr>
              <w:tabs>
                <w:tab w:val="left" w:pos="1440"/>
              </w:tabs>
              <w:jc w:val="both"/>
              <w:rPr>
                <w:rFonts w:ascii="Garamond" w:eastAsia="Garamond" w:hAnsi="Garamond" w:cs="Garamond"/>
              </w:rPr>
            </w:pPr>
          </w:p>
          <w:p w14:paraId="3C26AD37" w14:textId="77777777" w:rsidR="004B3B82" w:rsidRPr="001D6202" w:rsidRDefault="004B3B82" w:rsidP="004B3B82">
            <w:pPr>
              <w:pStyle w:val="ac"/>
              <w:numPr>
                <w:ilvl w:val="0"/>
                <w:numId w:val="226"/>
              </w:numPr>
              <w:pBdr>
                <w:top w:val="nil"/>
                <w:left w:val="nil"/>
                <w:bottom w:val="nil"/>
                <w:right w:val="nil"/>
                <w:between w:val="nil"/>
                <w:bar w:val="nil"/>
              </w:pBdr>
              <w:tabs>
                <w:tab w:val="left" w:pos="317"/>
                <w:tab w:val="left" w:pos="1440"/>
              </w:tabs>
              <w:ind w:left="317" w:hanging="262"/>
              <w:jc w:val="both"/>
              <w:rPr>
                <w:rFonts w:ascii="Garamond" w:hAnsi="Garamond"/>
                <w:highlight w:val="yellow"/>
              </w:rPr>
            </w:pPr>
            <w:r w:rsidRPr="003664F9">
              <w:rPr>
                <w:rFonts w:ascii="Garamond" w:hAnsi="Garamond"/>
                <w:highlight w:val="yellow"/>
              </w:rPr>
              <w:t xml:space="preserve">При проведении процедуры подтверждения соответствия системы учета агрегатора </w:t>
            </w:r>
            <w:r w:rsidRPr="001D6202">
              <w:rPr>
                <w:rFonts w:ascii="Garamond" w:hAnsi="Garamond"/>
                <w:highlight w:val="yellow"/>
              </w:rPr>
              <w:t>техническим требованиям оптового рынка:</w:t>
            </w:r>
          </w:p>
          <w:p w14:paraId="32CFDEC3" w14:textId="77777777" w:rsidR="004B3B82" w:rsidRPr="00C53846" w:rsidRDefault="004B3B82" w:rsidP="004B3B82">
            <w:pPr>
              <w:pStyle w:val="ac"/>
              <w:numPr>
                <w:ilvl w:val="0"/>
                <w:numId w:val="227"/>
              </w:numPr>
              <w:pBdr>
                <w:top w:val="nil"/>
                <w:left w:val="nil"/>
                <w:bottom w:val="nil"/>
                <w:right w:val="nil"/>
                <w:between w:val="nil"/>
                <w:bar w:val="nil"/>
              </w:pBdr>
              <w:tabs>
                <w:tab w:val="left" w:pos="1440"/>
              </w:tabs>
              <w:ind w:hanging="262"/>
              <w:jc w:val="both"/>
              <w:rPr>
                <w:rFonts w:ascii="Garamond" w:eastAsia="Garamond" w:hAnsi="Garamond" w:cs="Garamond"/>
                <w:highlight w:val="yellow"/>
              </w:rPr>
            </w:pPr>
            <w:r w:rsidRPr="00C53846">
              <w:rPr>
                <w:rFonts w:ascii="Garamond" w:hAnsi="Garamond"/>
                <w:highlight w:val="yellow"/>
              </w:rPr>
              <w:t xml:space="preserve">С помощью стандартных средств операционной системы или специализированного ПО удаленного доступа и администрирования устанавливается интернет-соединение с удаленным рабочим столом сервера ИВК </w:t>
            </w:r>
            <w:r w:rsidRPr="001D6202">
              <w:rPr>
                <w:rFonts w:ascii="Garamond" w:hAnsi="Garamond" w:cs="Tahoma"/>
                <w:highlight w:val="yellow"/>
              </w:rPr>
              <w:t>совокупност</w:t>
            </w:r>
            <w:r>
              <w:rPr>
                <w:rFonts w:ascii="Garamond" w:hAnsi="Garamond" w:cs="Tahoma"/>
                <w:highlight w:val="yellow"/>
              </w:rPr>
              <w:t>и</w:t>
            </w:r>
            <w:r w:rsidRPr="001D6202">
              <w:rPr>
                <w:rFonts w:ascii="Garamond" w:hAnsi="Garamond" w:cs="Tahoma"/>
                <w:highlight w:val="yellow"/>
              </w:rPr>
              <w:t xml:space="preserve"> СИ и ТУ</w:t>
            </w:r>
            <w:r w:rsidRPr="00C53846">
              <w:rPr>
                <w:rFonts w:ascii="Garamond" w:hAnsi="Garamond"/>
                <w:highlight w:val="yellow"/>
              </w:rPr>
              <w:t>.</w:t>
            </w:r>
          </w:p>
          <w:p w14:paraId="6BA1B920" w14:textId="77777777" w:rsidR="004B3B82" w:rsidRPr="00C53846" w:rsidRDefault="004B3B82" w:rsidP="004B3B82">
            <w:pPr>
              <w:pStyle w:val="ac"/>
              <w:numPr>
                <w:ilvl w:val="0"/>
                <w:numId w:val="227"/>
              </w:numPr>
              <w:pBdr>
                <w:top w:val="nil"/>
                <w:left w:val="nil"/>
                <w:bottom w:val="nil"/>
                <w:right w:val="nil"/>
                <w:between w:val="nil"/>
                <w:bar w:val="nil"/>
              </w:pBdr>
              <w:tabs>
                <w:tab w:val="left" w:pos="1440"/>
              </w:tabs>
              <w:ind w:hanging="262"/>
              <w:jc w:val="both"/>
              <w:rPr>
                <w:rFonts w:ascii="Garamond" w:eastAsia="Garamond" w:hAnsi="Garamond" w:cs="Garamond"/>
              </w:rPr>
            </w:pPr>
            <w:r w:rsidRPr="00C53846">
              <w:rPr>
                <w:rFonts w:ascii="Garamond" w:hAnsi="Garamond"/>
                <w:highlight w:val="yellow"/>
              </w:rPr>
              <w:t>С помощью специализированного ПО ИВК производится контроль наличия и хранения в БД</w:t>
            </w:r>
            <w:r>
              <w:rPr>
                <w:rFonts w:ascii="Garamond" w:hAnsi="Garamond"/>
                <w:highlight w:val="yellow"/>
              </w:rPr>
              <w:t xml:space="preserve"> ИВК</w:t>
            </w:r>
            <w:r w:rsidRPr="00C53846">
              <w:rPr>
                <w:rFonts w:ascii="Garamond" w:hAnsi="Garamond"/>
                <w:highlight w:val="yellow"/>
              </w:rPr>
              <w:t xml:space="preserve"> 30-минутных приращений электр</w:t>
            </w:r>
            <w:r w:rsidRPr="001D6202">
              <w:rPr>
                <w:rFonts w:ascii="Garamond" w:hAnsi="Garamond"/>
                <w:highlight w:val="yellow"/>
              </w:rPr>
              <w:t>о</w:t>
            </w:r>
            <w:r w:rsidRPr="00C53846">
              <w:rPr>
                <w:rFonts w:ascii="Garamond" w:hAnsi="Garamond"/>
                <w:highlight w:val="yellow"/>
              </w:rPr>
              <w:t xml:space="preserve">энергии (получасовых интегрированных профилей мощности) по всем </w:t>
            </w:r>
            <w:r>
              <w:rPr>
                <w:rFonts w:ascii="Garamond" w:hAnsi="Garamond"/>
                <w:highlight w:val="yellow"/>
              </w:rPr>
              <w:t>точкам измерений в составе объекта регулирования</w:t>
            </w:r>
            <w:r w:rsidRPr="00C53846">
              <w:rPr>
                <w:rFonts w:ascii="Garamond" w:hAnsi="Garamond"/>
                <w:highlight w:val="yellow"/>
              </w:rPr>
              <w:t xml:space="preserve">, их «журналов событий», «журналов событий» УСПД </w:t>
            </w:r>
            <w:r>
              <w:rPr>
                <w:rFonts w:ascii="Garamond" w:hAnsi="Garamond"/>
                <w:highlight w:val="yellow"/>
              </w:rPr>
              <w:t xml:space="preserve">(в случае если уровень ИВКЭ выполняет </w:t>
            </w:r>
            <w:r w:rsidRPr="00C6668F">
              <w:rPr>
                <w:rFonts w:ascii="Garamond" w:hAnsi="Garamond"/>
                <w:highlight w:val="yellow"/>
              </w:rPr>
              <w:t>функции преобразования результатов измерений с учетом коэффициентов трансформации измерительных трансформаторов</w:t>
            </w:r>
            <w:r>
              <w:rPr>
                <w:rFonts w:ascii="Garamond" w:hAnsi="Garamond"/>
                <w:highlight w:val="yellow"/>
              </w:rPr>
              <w:t xml:space="preserve">) </w:t>
            </w:r>
            <w:r w:rsidRPr="00C53846">
              <w:rPr>
                <w:rFonts w:ascii="Garamond" w:hAnsi="Garamond"/>
                <w:highlight w:val="yellow"/>
              </w:rPr>
              <w:t>и сервера ИВК.</w:t>
            </w:r>
          </w:p>
        </w:tc>
      </w:tr>
      <w:tr w:rsidR="004B3B82" w:rsidRPr="005F754A" w14:paraId="3F7AA8BA" w14:textId="77777777" w:rsidTr="00E31AE6">
        <w:tblPrEx>
          <w:shd w:val="clear" w:color="auto" w:fill="auto"/>
        </w:tblPrEx>
        <w:trPr>
          <w:jc w:val="right"/>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29F7ED7" w14:textId="77777777" w:rsidR="004B3B82" w:rsidRPr="0058630D" w:rsidRDefault="004B3B82" w:rsidP="00CD3B05">
            <w:pPr>
              <w:rPr>
                <w:rFonts w:ascii="Garamond" w:hAnsi="Garamond"/>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BD1A837" w14:textId="77777777" w:rsidR="004B3B82" w:rsidRPr="005F754A" w:rsidRDefault="004B3B82" w:rsidP="00CD3B05">
            <w:pPr>
              <w:jc w:val="center"/>
              <w:rPr>
                <w:rFonts w:ascii="Garamond" w:hAnsi="Garamond"/>
              </w:rPr>
            </w:pPr>
            <w:r w:rsidRPr="005F754A">
              <w:rPr>
                <w:rFonts w:ascii="Garamond" w:hAnsi="Garamond"/>
                <w:b/>
                <w:bCs/>
              </w:rPr>
              <w:t>Критерии</w:t>
            </w:r>
          </w:p>
        </w:tc>
        <w:tc>
          <w:tcPr>
            <w:tcW w:w="779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2F22F7" w14:textId="77777777" w:rsidR="004B3B82" w:rsidRPr="00C53846" w:rsidRDefault="004B3B82" w:rsidP="004B3B82">
            <w:pPr>
              <w:pStyle w:val="ac"/>
              <w:numPr>
                <w:ilvl w:val="0"/>
                <w:numId w:val="228"/>
              </w:numPr>
              <w:pBdr>
                <w:top w:val="nil"/>
                <w:left w:val="nil"/>
                <w:bottom w:val="nil"/>
                <w:right w:val="nil"/>
                <w:between w:val="nil"/>
                <w:bar w:val="nil"/>
              </w:pBdr>
              <w:tabs>
                <w:tab w:val="left" w:pos="1440"/>
              </w:tabs>
              <w:ind w:left="339" w:hanging="284"/>
              <w:jc w:val="both"/>
              <w:rPr>
                <w:rFonts w:ascii="Garamond" w:eastAsia="Garamond" w:hAnsi="Garamond" w:cs="Garamond"/>
              </w:rPr>
            </w:pPr>
            <w:r w:rsidRPr="001D6202">
              <w:rPr>
                <w:rFonts w:ascii="Garamond" w:hAnsi="Garamond"/>
                <w:highlight w:val="yellow"/>
              </w:rPr>
              <w:t>При проведении процедуры установления соответствия АИИС КУЭ:</w:t>
            </w:r>
          </w:p>
          <w:p w14:paraId="2C5D5E89" w14:textId="77777777" w:rsidR="004B3B82" w:rsidRPr="005F754A" w:rsidRDefault="004B3B82" w:rsidP="00E31AE6">
            <w:pPr>
              <w:pStyle w:val="ac"/>
              <w:tabs>
                <w:tab w:val="left" w:pos="317"/>
              </w:tabs>
              <w:ind w:left="55"/>
              <w:jc w:val="both"/>
              <w:rPr>
                <w:rFonts w:ascii="Garamond" w:eastAsia="Garamond" w:hAnsi="Garamond" w:cs="Garamond"/>
              </w:rPr>
            </w:pPr>
            <w:r w:rsidRPr="005F754A">
              <w:rPr>
                <w:rFonts w:ascii="Garamond" w:hAnsi="Garamond"/>
              </w:rPr>
              <w:t>Фактическое наличие в БД АИИС КУЭ указанного перечня информации за прошедшие 3 года.</w:t>
            </w:r>
          </w:p>
          <w:p w14:paraId="15006A8A" w14:textId="77777777" w:rsidR="004B3B82" w:rsidRDefault="004B3B82" w:rsidP="00E31AE6">
            <w:pPr>
              <w:pStyle w:val="ac"/>
              <w:tabs>
                <w:tab w:val="left" w:pos="317"/>
              </w:tabs>
              <w:ind w:left="55"/>
              <w:jc w:val="both"/>
              <w:rPr>
                <w:rFonts w:ascii="Garamond" w:hAnsi="Garamond"/>
                <w:sz w:val="18"/>
                <w:szCs w:val="18"/>
              </w:rPr>
            </w:pPr>
            <w:r w:rsidRPr="00060658">
              <w:rPr>
                <w:rFonts w:ascii="Garamond" w:hAnsi="Garamond"/>
                <w:i/>
                <w:sz w:val="18"/>
                <w:szCs w:val="18"/>
              </w:rPr>
              <w:t>Примечание</w:t>
            </w:r>
            <w:r w:rsidRPr="00060658">
              <w:rPr>
                <w:rFonts w:ascii="Garamond" w:hAnsi="Garamond"/>
                <w:sz w:val="18"/>
                <w:szCs w:val="18"/>
              </w:rPr>
              <w:t>. В случае работы АИИС КУЭ менее 3 лет соответствие устанавливается методом соотнесения размера свободного дискового пространства сервера ИВК с расчетным значением приращения БД за период времени 3 года согласно представленной документации.</w:t>
            </w:r>
          </w:p>
          <w:p w14:paraId="4C03EF86" w14:textId="77777777" w:rsidR="004B3B82" w:rsidRDefault="004B3B82" w:rsidP="00CD3B05">
            <w:pPr>
              <w:pStyle w:val="ac"/>
              <w:tabs>
                <w:tab w:val="left" w:pos="317"/>
              </w:tabs>
              <w:ind w:left="33" w:hanging="33"/>
              <w:jc w:val="both"/>
              <w:rPr>
                <w:rFonts w:ascii="Garamond" w:hAnsi="Garamond"/>
                <w:sz w:val="18"/>
                <w:szCs w:val="18"/>
              </w:rPr>
            </w:pPr>
          </w:p>
          <w:p w14:paraId="4E08B4C8" w14:textId="77777777" w:rsidR="004B3B82" w:rsidRPr="001D6202" w:rsidRDefault="004B3B82" w:rsidP="004B3B82">
            <w:pPr>
              <w:pStyle w:val="ac"/>
              <w:numPr>
                <w:ilvl w:val="0"/>
                <w:numId w:val="228"/>
              </w:numPr>
              <w:pBdr>
                <w:top w:val="nil"/>
                <w:left w:val="nil"/>
                <w:bottom w:val="nil"/>
                <w:right w:val="nil"/>
                <w:between w:val="nil"/>
                <w:bar w:val="nil"/>
              </w:pBdr>
              <w:tabs>
                <w:tab w:val="left" w:pos="1440"/>
              </w:tabs>
              <w:ind w:left="339" w:hanging="284"/>
              <w:jc w:val="both"/>
              <w:rPr>
                <w:rFonts w:ascii="Garamond" w:hAnsi="Garamond"/>
                <w:highlight w:val="yellow"/>
              </w:rPr>
            </w:pPr>
            <w:r w:rsidRPr="003664F9">
              <w:rPr>
                <w:rFonts w:ascii="Garamond" w:hAnsi="Garamond"/>
                <w:highlight w:val="yellow"/>
              </w:rPr>
              <w:t xml:space="preserve">При проведении процедуры подтверждения соответствия системы учета агрегатора </w:t>
            </w:r>
            <w:r w:rsidRPr="001D6202">
              <w:rPr>
                <w:rFonts w:ascii="Garamond" w:hAnsi="Garamond"/>
                <w:highlight w:val="yellow"/>
              </w:rPr>
              <w:t>техническим требованиям оптового рынка:</w:t>
            </w:r>
          </w:p>
          <w:p w14:paraId="3F0C32F9" w14:textId="77777777" w:rsidR="004B3B82" w:rsidRPr="00C53846" w:rsidRDefault="004B3B82" w:rsidP="00E31AE6">
            <w:pPr>
              <w:pStyle w:val="ac"/>
              <w:tabs>
                <w:tab w:val="left" w:pos="317"/>
              </w:tabs>
              <w:ind w:left="55"/>
              <w:jc w:val="both"/>
              <w:rPr>
                <w:rFonts w:ascii="Garamond" w:eastAsia="Garamond" w:hAnsi="Garamond" w:cs="Garamond"/>
                <w:highlight w:val="yellow"/>
              </w:rPr>
            </w:pPr>
            <w:r w:rsidRPr="00C53846">
              <w:rPr>
                <w:rFonts w:ascii="Garamond" w:hAnsi="Garamond"/>
                <w:highlight w:val="yellow"/>
              </w:rPr>
              <w:t xml:space="preserve">Фактическое наличие в БД </w:t>
            </w:r>
            <w:r>
              <w:rPr>
                <w:rFonts w:ascii="Garamond" w:hAnsi="Garamond"/>
                <w:highlight w:val="yellow"/>
              </w:rPr>
              <w:t>совокупности СИ и ТУ</w:t>
            </w:r>
            <w:r w:rsidRPr="00C53846">
              <w:rPr>
                <w:rFonts w:ascii="Garamond" w:hAnsi="Garamond"/>
                <w:highlight w:val="yellow"/>
              </w:rPr>
              <w:t xml:space="preserve"> указанного перечня информации за прошедшие 3 года.</w:t>
            </w:r>
          </w:p>
          <w:p w14:paraId="520C5DE3" w14:textId="77777777" w:rsidR="004B3B82" w:rsidRPr="00060658" w:rsidRDefault="004B3B82" w:rsidP="00E31AE6">
            <w:pPr>
              <w:pStyle w:val="ac"/>
              <w:tabs>
                <w:tab w:val="left" w:pos="317"/>
              </w:tabs>
              <w:ind w:left="55"/>
              <w:jc w:val="both"/>
              <w:rPr>
                <w:rFonts w:ascii="Garamond" w:hAnsi="Garamond"/>
                <w:sz w:val="18"/>
                <w:szCs w:val="18"/>
              </w:rPr>
            </w:pPr>
            <w:r w:rsidRPr="00C53846">
              <w:rPr>
                <w:rFonts w:ascii="Garamond" w:hAnsi="Garamond"/>
                <w:i/>
                <w:sz w:val="18"/>
                <w:szCs w:val="18"/>
                <w:highlight w:val="yellow"/>
              </w:rPr>
              <w:t>Примечание</w:t>
            </w:r>
            <w:r w:rsidRPr="00C53846">
              <w:rPr>
                <w:rFonts w:ascii="Garamond" w:hAnsi="Garamond"/>
                <w:sz w:val="18"/>
                <w:szCs w:val="18"/>
                <w:highlight w:val="yellow"/>
              </w:rPr>
              <w:t xml:space="preserve">. В случае работы </w:t>
            </w:r>
            <w:r>
              <w:rPr>
                <w:rFonts w:ascii="Garamond" w:hAnsi="Garamond"/>
                <w:sz w:val="18"/>
                <w:szCs w:val="18"/>
                <w:highlight w:val="yellow"/>
              </w:rPr>
              <w:t>совокупности СИ и ТУ</w:t>
            </w:r>
            <w:r w:rsidRPr="00C53846">
              <w:rPr>
                <w:rFonts w:ascii="Garamond" w:hAnsi="Garamond"/>
                <w:sz w:val="18"/>
                <w:szCs w:val="18"/>
                <w:highlight w:val="yellow"/>
              </w:rPr>
              <w:t xml:space="preserve"> менее 3 лет соответствие устанавливается методом соотнесения размера свободного дискового пространства сервера ИВК с расчетным значением приращения БД за период времени 3 года согласно представленной документации.</w:t>
            </w:r>
          </w:p>
        </w:tc>
      </w:tr>
      <w:tr w:rsidR="004B3B82" w:rsidRPr="0058630D" w14:paraId="3CCD01CC" w14:textId="77777777" w:rsidTr="00CD3B05">
        <w:tblPrEx>
          <w:shd w:val="clear" w:color="auto" w:fill="auto"/>
        </w:tblPrEx>
        <w:trPr>
          <w:trHeight w:val="732"/>
          <w:jc w:val="right"/>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FA7CA8D" w14:textId="77777777" w:rsidR="004B3B82" w:rsidRPr="005F754A" w:rsidRDefault="004B3B82" w:rsidP="00CD3B05">
            <w:pPr>
              <w:rPr>
                <w:rFonts w:ascii="Garamond" w:hAnsi="Garamond"/>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3125B0A" w14:textId="77777777" w:rsidR="004B3B82" w:rsidRPr="005F754A" w:rsidRDefault="004B3B82" w:rsidP="00CD3B05">
            <w:pPr>
              <w:jc w:val="center"/>
              <w:rPr>
                <w:rFonts w:ascii="Garamond" w:hAnsi="Garamond"/>
              </w:rPr>
            </w:pPr>
            <w:r w:rsidRPr="005F754A">
              <w:rPr>
                <w:rFonts w:ascii="Garamond" w:hAnsi="Garamond"/>
                <w:b/>
                <w:bCs/>
              </w:rPr>
              <w:t>Испытатели</w:t>
            </w:r>
          </w:p>
        </w:tc>
        <w:tc>
          <w:tcPr>
            <w:tcW w:w="779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23B63FA" w14:textId="77777777" w:rsidR="004B3B82" w:rsidRPr="00415C9E" w:rsidRDefault="004B3B82" w:rsidP="004B3B82">
            <w:pPr>
              <w:pStyle w:val="ac"/>
              <w:numPr>
                <w:ilvl w:val="0"/>
                <w:numId w:val="172"/>
              </w:numPr>
              <w:pBdr>
                <w:top w:val="nil"/>
                <w:left w:val="nil"/>
                <w:bottom w:val="nil"/>
                <w:right w:val="nil"/>
                <w:between w:val="nil"/>
                <w:bar w:val="nil"/>
              </w:pBdr>
              <w:tabs>
                <w:tab w:val="left" w:pos="1440"/>
              </w:tabs>
              <w:jc w:val="both"/>
              <w:rPr>
                <w:rFonts w:ascii="Garamond" w:eastAsia="Garamond" w:hAnsi="Garamond" w:cs="Garamond"/>
              </w:rPr>
            </w:pPr>
            <w:r w:rsidRPr="00415C9E">
              <w:rPr>
                <w:rFonts w:ascii="Garamond" w:hAnsi="Garamond"/>
              </w:rPr>
              <w:t>Представители КО.</w:t>
            </w:r>
          </w:p>
          <w:p w14:paraId="2B774364" w14:textId="77777777" w:rsidR="004B3B82" w:rsidRPr="00415C9E" w:rsidRDefault="004B3B82" w:rsidP="004B3B82">
            <w:pPr>
              <w:pStyle w:val="ac"/>
              <w:numPr>
                <w:ilvl w:val="0"/>
                <w:numId w:val="172"/>
              </w:numPr>
              <w:pBdr>
                <w:top w:val="nil"/>
                <w:left w:val="nil"/>
                <w:bottom w:val="nil"/>
                <w:right w:val="nil"/>
                <w:between w:val="nil"/>
                <w:bar w:val="nil"/>
              </w:pBdr>
              <w:tabs>
                <w:tab w:val="left" w:pos="1440"/>
              </w:tabs>
              <w:ind w:left="380" w:hanging="380"/>
              <w:jc w:val="both"/>
              <w:rPr>
                <w:rFonts w:ascii="Garamond" w:eastAsia="Garamond" w:hAnsi="Garamond" w:cs="Garamond"/>
              </w:rPr>
            </w:pPr>
            <w:r w:rsidRPr="00415C9E">
              <w:rPr>
                <w:rFonts w:ascii="Garamond" w:hAnsi="Garamond"/>
              </w:rPr>
              <w:t>Представители заявителя</w:t>
            </w:r>
            <w:r w:rsidRPr="00415C9E">
              <w:rPr>
                <w:rFonts w:ascii="Garamond" w:eastAsia="Garamond" w:hAnsi="Garamond" w:cs="Garamond"/>
              </w:rPr>
              <w:t>.</w:t>
            </w:r>
          </w:p>
          <w:p w14:paraId="19611771" w14:textId="31E314DD" w:rsidR="004B3B82" w:rsidRPr="00415C9E" w:rsidRDefault="004B3B82" w:rsidP="004B3B82">
            <w:pPr>
              <w:pStyle w:val="ac"/>
              <w:numPr>
                <w:ilvl w:val="0"/>
                <w:numId w:val="172"/>
              </w:numPr>
              <w:pBdr>
                <w:top w:val="nil"/>
                <w:left w:val="nil"/>
                <w:bottom w:val="nil"/>
                <w:right w:val="nil"/>
                <w:between w:val="nil"/>
                <w:bar w:val="nil"/>
              </w:pBdr>
              <w:tabs>
                <w:tab w:val="left" w:pos="1440"/>
              </w:tabs>
              <w:ind w:left="380" w:hanging="380"/>
              <w:jc w:val="both"/>
              <w:rPr>
                <w:rFonts w:ascii="Garamond" w:eastAsia="Garamond" w:hAnsi="Garamond" w:cs="Garamond"/>
              </w:rPr>
            </w:pPr>
            <w:r w:rsidRPr="00415C9E">
              <w:rPr>
                <w:rFonts w:ascii="Garamond" w:hAnsi="Garamond"/>
              </w:rPr>
              <w:t>Представители смежного субъекта (при участии в испытаниях</w:t>
            </w:r>
            <w:r>
              <w:rPr>
                <w:rFonts w:ascii="Garamond" w:hAnsi="Garamond"/>
              </w:rPr>
              <w:t xml:space="preserve"> </w:t>
            </w:r>
            <w:r w:rsidRPr="00424795">
              <w:rPr>
                <w:rFonts w:ascii="Garamond" w:hAnsi="Garamond"/>
                <w:highlight w:val="yellow"/>
              </w:rPr>
              <w:t xml:space="preserve">в рамках процедуры установления </w:t>
            </w:r>
            <w:r w:rsidR="001B3CED" w:rsidRPr="00424795">
              <w:rPr>
                <w:rFonts w:ascii="Garamond" w:hAnsi="Garamond"/>
                <w:highlight w:val="yellow"/>
              </w:rPr>
              <w:t>соответствия</w:t>
            </w:r>
            <w:r w:rsidRPr="00424795">
              <w:rPr>
                <w:rFonts w:ascii="Garamond" w:hAnsi="Garamond"/>
                <w:highlight w:val="yellow"/>
              </w:rPr>
              <w:t xml:space="preserve"> АИИС КУЭ</w:t>
            </w:r>
            <w:r w:rsidRPr="00415C9E">
              <w:rPr>
                <w:rFonts w:ascii="Garamond" w:hAnsi="Garamond"/>
              </w:rPr>
              <w:t>).</w:t>
            </w:r>
          </w:p>
        </w:tc>
      </w:tr>
      <w:tr w:rsidR="004B3B82" w:rsidRPr="005F754A" w14:paraId="68D8B4A6" w14:textId="77777777" w:rsidTr="00CD3B05">
        <w:tblPrEx>
          <w:shd w:val="clear" w:color="auto" w:fill="auto"/>
        </w:tblPrEx>
        <w:trPr>
          <w:trHeight w:val="250"/>
          <w:jc w:val="right"/>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FCACE58" w14:textId="77777777" w:rsidR="004B3B82" w:rsidRPr="0058630D" w:rsidRDefault="004B3B82" w:rsidP="00CD3B05">
            <w:pPr>
              <w:rPr>
                <w:rFonts w:ascii="Garamond" w:hAnsi="Garamond"/>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25ADAA3" w14:textId="77777777" w:rsidR="004B3B82" w:rsidRPr="005F754A" w:rsidRDefault="004B3B82" w:rsidP="00CD3B05">
            <w:pPr>
              <w:jc w:val="center"/>
              <w:rPr>
                <w:rFonts w:ascii="Garamond" w:hAnsi="Garamond"/>
              </w:rPr>
            </w:pPr>
            <w:r w:rsidRPr="005F754A">
              <w:rPr>
                <w:rFonts w:ascii="Garamond" w:hAnsi="Garamond"/>
                <w:b/>
                <w:bCs/>
              </w:rPr>
              <w:t>Документация</w:t>
            </w:r>
          </w:p>
        </w:tc>
        <w:tc>
          <w:tcPr>
            <w:tcW w:w="779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28282CC" w14:textId="77777777" w:rsidR="004B3B82" w:rsidRDefault="004B3B82" w:rsidP="004B3B82">
            <w:pPr>
              <w:pStyle w:val="ac"/>
              <w:numPr>
                <w:ilvl w:val="0"/>
                <w:numId w:val="173"/>
              </w:numPr>
              <w:tabs>
                <w:tab w:val="left" w:pos="317"/>
              </w:tabs>
              <w:ind w:left="52" w:firstLine="0"/>
              <w:jc w:val="both"/>
              <w:rPr>
                <w:rFonts w:ascii="Garamond" w:hAnsi="Garamond"/>
                <w:highlight w:val="yellow"/>
              </w:rPr>
            </w:pPr>
            <w:r w:rsidRPr="0081004D">
              <w:rPr>
                <w:rFonts w:ascii="Garamond" w:hAnsi="Garamond"/>
                <w:highlight w:val="yellow"/>
              </w:rPr>
              <w:t xml:space="preserve">При проведении </w:t>
            </w:r>
            <w:r>
              <w:rPr>
                <w:rFonts w:ascii="Garamond" w:hAnsi="Garamond"/>
                <w:highlight w:val="yellow"/>
              </w:rPr>
              <w:t>процедуры</w:t>
            </w:r>
            <w:r w:rsidRPr="0081004D">
              <w:rPr>
                <w:rFonts w:ascii="Garamond" w:hAnsi="Garamond"/>
                <w:highlight w:val="yellow"/>
              </w:rPr>
              <w:t xml:space="preserve"> установления соответствия АИИС КУЭ</w:t>
            </w:r>
            <w:r>
              <w:rPr>
                <w:rFonts w:ascii="Garamond" w:hAnsi="Garamond"/>
                <w:highlight w:val="yellow"/>
              </w:rPr>
              <w:t>:</w:t>
            </w:r>
            <w:r w:rsidRPr="0081004D">
              <w:rPr>
                <w:rFonts w:ascii="Garamond" w:hAnsi="Garamond"/>
                <w:highlight w:val="yellow"/>
              </w:rPr>
              <w:t xml:space="preserve"> </w:t>
            </w:r>
            <w:r w:rsidRPr="00FF63FB">
              <w:rPr>
                <w:rFonts w:ascii="Garamond" w:hAnsi="Garamond"/>
                <w:highlight w:val="yellow"/>
              </w:rPr>
              <w:t>д</w:t>
            </w:r>
            <w:r w:rsidRPr="00226E4C">
              <w:rPr>
                <w:rFonts w:ascii="Garamond" w:hAnsi="Garamond"/>
              </w:rPr>
              <w:t>окументация в соответствии с таблицей 2 приложения 1 настоящего Порядка, представленная для установления соответствия АИИС КУЭ</w:t>
            </w:r>
            <w:r>
              <w:rPr>
                <w:rFonts w:ascii="Garamond" w:hAnsi="Garamond"/>
                <w:highlight w:val="yellow"/>
              </w:rPr>
              <w:t>.</w:t>
            </w:r>
          </w:p>
          <w:p w14:paraId="53E08EF2" w14:textId="77777777" w:rsidR="004B3B82" w:rsidRPr="00226E4C" w:rsidRDefault="004B3B82" w:rsidP="004B3B82">
            <w:pPr>
              <w:pStyle w:val="ac"/>
              <w:numPr>
                <w:ilvl w:val="0"/>
                <w:numId w:val="173"/>
              </w:numPr>
              <w:tabs>
                <w:tab w:val="left" w:pos="317"/>
              </w:tabs>
              <w:ind w:left="52" w:firstLine="0"/>
              <w:jc w:val="both"/>
              <w:rPr>
                <w:rFonts w:ascii="Garamond" w:hAnsi="Garamond"/>
                <w:highlight w:val="yellow"/>
              </w:rPr>
            </w:pPr>
            <w:r w:rsidRPr="00226E4C">
              <w:rPr>
                <w:rFonts w:ascii="Garamond" w:hAnsi="Garamond"/>
                <w:highlight w:val="yellow"/>
              </w:rPr>
              <w:t xml:space="preserve">При проведении процедуры подтверждения соответствия системы учета </w:t>
            </w:r>
            <w:r>
              <w:rPr>
                <w:rFonts w:ascii="Garamond" w:hAnsi="Garamond"/>
                <w:highlight w:val="yellow"/>
              </w:rPr>
              <w:t xml:space="preserve">агрегатора </w:t>
            </w:r>
            <w:r w:rsidRPr="00226E4C">
              <w:rPr>
                <w:rFonts w:ascii="Garamond" w:hAnsi="Garamond"/>
                <w:highlight w:val="yellow"/>
              </w:rPr>
              <w:t>техническим требованиям оптового рынка: ПСИ.</w:t>
            </w:r>
          </w:p>
        </w:tc>
      </w:tr>
    </w:tbl>
    <w:p w14:paraId="5C97433B" w14:textId="77777777" w:rsidR="004B3B82" w:rsidRDefault="004B3B82" w:rsidP="00101F7C">
      <w:pPr>
        <w:rPr>
          <w:rFonts w:ascii="Garamond" w:eastAsia="Garamond" w:hAnsi="Garamond" w:cs="Garamond"/>
          <w:i/>
        </w:rPr>
      </w:pPr>
    </w:p>
    <w:p w14:paraId="31FB2319" w14:textId="77777777" w:rsidR="004B3B82" w:rsidRDefault="004B3B82" w:rsidP="00101F7C">
      <w:pPr>
        <w:jc w:val="both"/>
        <w:rPr>
          <w:rFonts w:ascii="Garamond" w:eastAsia="Garamond" w:hAnsi="Garamond" w:cs="Garamond"/>
        </w:rPr>
      </w:pPr>
      <w:r>
        <w:rPr>
          <w:rFonts w:ascii="Garamond" w:eastAsia="Garamond" w:hAnsi="Garamond" w:cs="Garamond"/>
        </w:rPr>
        <w:br w:type="page"/>
      </w:r>
    </w:p>
    <w:p w14:paraId="0A7E48CE" w14:textId="77777777" w:rsidR="004B3B82" w:rsidRDefault="004B3B82" w:rsidP="00E31AE6">
      <w:pPr>
        <w:rPr>
          <w:rFonts w:ascii="Garamond" w:hAnsi="Garamond"/>
          <w:b/>
          <w:sz w:val="22"/>
          <w:szCs w:val="22"/>
        </w:rPr>
      </w:pPr>
      <w:r>
        <w:rPr>
          <w:rFonts w:ascii="Garamond" w:hAnsi="Garamond"/>
          <w:b/>
          <w:sz w:val="22"/>
          <w:szCs w:val="22"/>
        </w:rPr>
        <w:lastRenderedPageBreak/>
        <w:t>Удалить форму протокола</w:t>
      </w:r>
    </w:p>
    <w:p w14:paraId="29BBCEB2" w14:textId="77777777" w:rsidR="004B3B82" w:rsidRPr="005F754A" w:rsidRDefault="004B3B82" w:rsidP="00101F7C">
      <w:pPr>
        <w:rPr>
          <w:rFonts w:ascii="Garamond" w:hAnsi="Garamond"/>
        </w:rPr>
      </w:pPr>
    </w:p>
    <w:p w14:paraId="24F53D8F" w14:textId="77777777" w:rsidR="004B3B82" w:rsidRPr="008215FB" w:rsidRDefault="004B3B82" w:rsidP="00101F7C">
      <w:pPr>
        <w:jc w:val="center"/>
        <w:rPr>
          <w:rFonts w:ascii="Garamond" w:hAnsi="Garamond"/>
          <w:b/>
          <w:sz w:val="22"/>
          <w:szCs w:val="22"/>
          <w:lang w:eastAsia="en-US"/>
        </w:rPr>
      </w:pPr>
      <w:r w:rsidRPr="008215FB">
        <w:rPr>
          <w:rFonts w:ascii="Garamond" w:hAnsi="Garamond"/>
          <w:b/>
          <w:sz w:val="22"/>
          <w:szCs w:val="22"/>
          <w:lang w:eastAsia="en-US"/>
        </w:rPr>
        <w:t>ПРОТОКОЛ</w:t>
      </w:r>
    </w:p>
    <w:p w14:paraId="6F4767F2" w14:textId="77777777" w:rsidR="004B3B82" w:rsidRPr="005F754A" w:rsidRDefault="004B3B82" w:rsidP="00101F7C">
      <w:pPr>
        <w:pStyle w:val="a6"/>
        <w:rPr>
          <w:rFonts w:ascii="Garamond" w:hAnsi="Garamond" w:cs="Tahoma"/>
          <w:sz w:val="22"/>
          <w:szCs w:val="22"/>
        </w:rPr>
      </w:pPr>
      <w:r w:rsidRPr="005F754A">
        <w:rPr>
          <w:rFonts w:ascii="Garamond" w:hAnsi="Garamond" w:cs="Tahoma"/>
          <w:sz w:val="22"/>
          <w:szCs w:val="22"/>
        </w:rPr>
        <w:t>испытаний</w:t>
      </w:r>
    </w:p>
    <w:p w14:paraId="216B9651" w14:textId="77777777" w:rsidR="004B3B82" w:rsidRPr="005F754A" w:rsidRDefault="004B3B82" w:rsidP="00101F7C">
      <w:pPr>
        <w:pStyle w:val="a6"/>
        <w:rPr>
          <w:rFonts w:ascii="Garamond" w:hAnsi="Garamond" w:cs="Tahoma"/>
          <w:color w:val="000000"/>
          <w:sz w:val="22"/>
          <w:szCs w:val="22"/>
        </w:rPr>
      </w:pPr>
      <w:r w:rsidRPr="005F754A">
        <w:rPr>
          <w:rFonts w:ascii="Garamond" w:hAnsi="Garamond" w:cs="Tahoma"/>
          <w:color w:val="000000"/>
          <w:sz w:val="22"/>
          <w:szCs w:val="22"/>
        </w:rPr>
        <w:t>АИИС коммерческого учета электрической энергии</w:t>
      </w:r>
    </w:p>
    <w:tbl>
      <w:tblPr>
        <w:tblW w:w="0" w:type="auto"/>
        <w:tblInd w:w="14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122"/>
      </w:tblGrid>
      <w:tr w:rsidR="004B3B82" w:rsidRPr="0058630D" w14:paraId="3C01479F" w14:textId="77777777" w:rsidTr="00CD3B05">
        <w:tc>
          <w:tcPr>
            <w:tcW w:w="7122" w:type="dxa"/>
            <w:tcBorders>
              <w:top w:val="nil"/>
              <w:left w:val="nil"/>
              <w:right w:val="nil"/>
            </w:tcBorders>
          </w:tcPr>
          <w:p w14:paraId="37726E61" w14:textId="77777777" w:rsidR="004B3B82" w:rsidRPr="005F754A" w:rsidRDefault="004B3B82" w:rsidP="00CD3B05">
            <w:pPr>
              <w:autoSpaceDE w:val="0"/>
              <w:autoSpaceDN w:val="0"/>
              <w:jc w:val="center"/>
              <w:rPr>
                <w:rFonts w:ascii="Garamond" w:hAnsi="Garamond"/>
              </w:rPr>
            </w:pPr>
          </w:p>
        </w:tc>
      </w:tr>
    </w:tbl>
    <w:p w14:paraId="18256413" w14:textId="77777777" w:rsidR="004B3B82" w:rsidRPr="005F754A" w:rsidRDefault="004B3B82" w:rsidP="00101F7C">
      <w:pPr>
        <w:autoSpaceDE w:val="0"/>
        <w:autoSpaceDN w:val="0"/>
        <w:jc w:val="center"/>
        <w:rPr>
          <w:rFonts w:ascii="Garamond" w:hAnsi="Garamond"/>
          <w:i/>
          <w:sz w:val="18"/>
          <w:szCs w:val="18"/>
        </w:rPr>
      </w:pPr>
      <w:r w:rsidRPr="005F754A">
        <w:rPr>
          <w:rFonts w:ascii="Garamond" w:hAnsi="Garamond"/>
          <w:i/>
          <w:sz w:val="18"/>
          <w:szCs w:val="18"/>
        </w:rPr>
        <w:t>(полное наименование организации-</w:t>
      </w:r>
      <w:r>
        <w:rPr>
          <w:rFonts w:ascii="Garamond" w:hAnsi="Garamond"/>
          <w:i/>
          <w:sz w:val="18"/>
          <w:szCs w:val="18"/>
        </w:rPr>
        <w:t>заявител</w:t>
      </w:r>
      <w:r w:rsidRPr="005F754A">
        <w:rPr>
          <w:rFonts w:ascii="Garamond" w:hAnsi="Garamond"/>
          <w:i/>
          <w:sz w:val="18"/>
          <w:szCs w:val="18"/>
        </w:rPr>
        <w:t>я с указанием организационно-правовой формы)</w:t>
      </w:r>
    </w:p>
    <w:p w14:paraId="6D7CE10D" w14:textId="77777777" w:rsidR="004B3B82" w:rsidRDefault="004B3B82" w:rsidP="00101F7C">
      <w:pPr>
        <w:pStyle w:val="a6"/>
        <w:rPr>
          <w:rFonts w:ascii="Garamond" w:hAnsi="Garamond" w:cs="Tahoma"/>
          <w:sz w:val="22"/>
          <w:szCs w:val="22"/>
        </w:rPr>
      </w:pPr>
    </w:p>
    <w:p w14:paraId="6AD299BE" w14:textId="77777777" w:rsidR="004B3B82" w:rsidRPr="005F754A" w:rsidRDefault="004B3B82" w:rsidP="00101F7C">
      <w:pPr>
        <w:pStyle w:val="a6"/>
        <w:rPr>
          <w:rFonts w:ascii="Garamond" w:hAnsi="Garamond" w:cs="Tahoma"/>
          <w:sz w:val="22"/>
          <w:szCs w:val="22"/>
        </w:rPr>
      </w:pPr>
      <w:r w:rsidRPr="005F754A">
        <w:rPr>
          <w:rFonts w:ascii="Garamond" w:hAnsi="Garamond" w:cs="Tahoma"/>
          <w:sz w:val="22"/>
          <w:szCs w:val="22"/>
        </w:rPr>
        <w:t xml:space="preserve">на соответствие техническим требованиям </w:t>
      </w:r>
      <w:r w:rsidRPr="005F754A">
        <w:rPr>
          <w:rFonts w:ascii="Garamond" w:hAnsi="Garamond"/>
          <w:sz w:val="22"/>
          <w:szCs w:val="22"/>
        </w:rPr>
        <w:t>оптового рынка электрической энергии и мощности</w:t>
      </w:r>
    </w:p>
    <w:p w14:paraId="2C610F20" w14:textId="77777777" w:rsidR="004B3B82" w:rsidRPr="005F754A" w:rsidRDefault="004B3B82" w:rsidP="00101F7C">
      <w:pPr>
        <w:autoSpaceDE w:val="0"/>
        <w:autoSpaceDN w:val="0"/>
        <w:jc w:val="center"/>
        <w:rPr>
          <w:rFonts w:ascii="Garamond" w:hAnsi="Garamond"/>
          <w:spacing w:val="-2"/>
          <w:sz w:val="22"/>
          <w:szCs w:val="22"/>
        </w:rPr>
      </w:pPr>
      <w:r w:rsidRPr="005F754A">
        <w:rPr>
          <w:rFonts w:ascii="Garamond" w:hAnsi="Garamond"/>
          <w:spacing w:val="-2"/>
          <w:sz w:val="22"/>
          <w:szCs w:val="22"/>
        </w:rPr>
        <w:t>в сечении коммерческого учета / группе точек поставки генерации</w:t>
      </w:r>
    </w:p>
    <w:tbl>
      <w:tblPr>
        <w:tblW w:w="0" w:type="auto"/>
        <w:tblInd w:w="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363"/>
      </w:tblGrid>
      <w:tr w:rsidR="004B3B82" w:rsidRPr="0058630D" w14:paraId="401F60F9" w14:textId="77777777" w:rsidTr="00CD3B05">
        <w:tc>
          <w:tcPr>
            <w:tcW w:w="8363" w:type="dxa"/>
            <w:tcBorders>
              <w:top w:val="nil"/>
              <w:left w:val="nil"/>
              <w:right w:val="nil"/>
            </w:tcBorders>
          </w:tcPr>
          <w:p w14:paraId="228E1744" w14:textId="77777777" w:rsidR="004B3B82" w:rsidRPr="005F754A" w:rsidRDefault="004B3B82" w:rsidP="00CD3B05">
            <w:pPr>
              <w:autoSpaceDE w:val="0"/>
              <w:autoSpaceDN w:val="0"/>
              <w:jc w:val="center"/>
              <w:rPr>
                <w:rFonts w:ascii="Garamond" w:hAnsi="Garamond"/>
              </w:rPr>
            </w:pPr>
          </w:p>
        </w:tc>
      </w:tr>
    </w:tbl>
    <w:p w14:paraId="0ED7FF0F" w14:textId="77777777" w:rsidR="004B3B82" w:rsidRPr="005F754A" w:rsidRDefault="004B3B82" w:rsidP="00101F7C">
      <w:pPr>
        <w:autoSpaceDE w:val="0"/>
        <w:autoSpaceDN w:val="0"/>
        <w:jc w:val="center"/>
        <w:rPr>
          <w:rFonts w:ascii="Garamond" w:hAnsi="Garamond"/>
          <w:sz w:val="18"/>
          <w:szCs w:val="18"/>
        </w:rPr>
      </w:pPr>
      <w:r w:rsidRPr="005F754A">
        <w:rPr>
          <w:rFonts w:ascii="Garamond" w:hAnsi="Garamond"/>
          <w:sz w:val="18"/>
          <w:szCs w:val="18"/>
        </w:rPr>
        <w:t>(</w:t>
      </w:r>
      <w:r w:rsidRPr="005F754A">
        <w:rPr>
          <w:rFonts w:ascii="Garamond" w:hAnsi="Garamond"/>
          <w:i/>
          <w:iCs/>
          <w:sz w:val="18"/>
          <w:szCs w:val="18"/>
        </w:rPr>
        <w:t>наименование, буквенный код</w:t>
      </w:r>
      <w:r w:rsidRPr="005F754A">
        <w:rPr>
          <w:rFonts w:ascii="Garamond" w:hAnsi="Garamond"/>
          <w:sz w:val="18"/>
          <w:szCs w:val="18"/>
        </w:rPr>
        <w:t>)</w:t>
      </w:r>
    </w:p>
    <w:p w14:paraId="0F60AAAF" w14:textId="77777777" w:rsidR="004B3B82" w:rsidRPr="005F754A" w:rsidRDefault="004B3B82" w:rsidP="00101F7C">
      <w:pPr>
        <w:autoSpaceDE w:val="0"/>
        <w:autoSpaceDN w:val="0"/>
        <w:jc w:val="center"/>
        <w:rPr>
          <w:rFonts w:ascii="Garamond" w:hAnsi="Garamond"/>
          <w:sz w:val="18"/>
          <w:szCs w:val="18"/>
        </w:rPr>
      </w:pPr>
    </w:p>
    <w:p w14:paraId="0A80B2F3" w14:textId="77777777" w:rsidR="004B3B82" w:rsidRPr="005F754A" w:rsidRDefault="004B3B82" w:rsidP="00101F7C">
      <w:pPr>
        <w:autoSpaceDE w:val="0"/>
        <w:autoSpaceDN w:val="0"/>
        <w:jc w:val="center"/>
        <w:rPr>
          <w:rFonts w:ascii="Garamond" w:eastAsia="Calibri" w:hAnsi="Garamond"/>
          <w:sz w:val="18"/>
          <w:szCs w:val="18"/>
        </w:rPr>
      </w:pPr>
    </w:p>
    <w:p w14:paraId="065DD0AC" w14:textId="77777777" w:rsidR="004B3B82" w:rsidRPr="005F754A" w:rsidRDefault="004B3B82" w:rsidP="00101F7C">
      <w:pPr>
        <w:pStyle w:val="a6"/>
        <w:jc w:val="right"/>
        <w:rPr>
          <w:rFonts w:ascii="Garamond" w:hAnsi="Garamond" w:cs="Tahoma"/>
          <w:b/>
          <w:bCs w:val="0"/>
          <w:color w:val="000000"/>
          <w:sz w:val="22"/>
          <w:szCs w:val="22"/>
        </w:rPr>
      </w:pPr>
      <w:r w:rsidRPr="005F754A">
        <w:rPr>
          <w:rFonts w:ascii="Garamond" w:hAnsi="Garamond"/>
          <w:sz w:val="22"/>
          <w:szCs w:val="22"/>
        </w:rPr>
        <w:t>«___» _________20___ г.</w:t>
      </w:r>
    </w:p>
    <w:p w14:paraId="581B1965" w14:textId="77777777" w:rsidR="004B3B82" w:rsidRPr="005F754A" w:rsidRDefault="004B3B82" w:rsidP="00101F7C">
      <w:pPr>
        <w:pStyle w:val="a6"/>
        <w:rPr>
          <w:rFonts w:ascii="Garamond" w:hAnsi="Garamond" w:cs="Tahoma"/>
          <w:b/>
          <w:bCs w:val="0"/>
          <w:color w:val="000000"/>
          <w:sz w:val="22"/>
          <w:szCs w:val="22"/>
        </w:rPr>
      </w:pPr>
    </w:p>
    <w:p w14:paraId="22AA1966" w14:textId="77777777" w:rsidR="004B3B82" w:rsidRDefault="004B3B82" w:rsidP="00101F7C">
      <w:pPr>
        <w:pStyle w:val="a6"/>
        <w:rPr>
          <w:rFonts w:ascii="Garamond" w:hAnsi="Garamond" w:cs="Tahoma"/>
          <w:b/>
          <w:bCs w:val="0"/>
          <w:sz w:val="22"/>
          <w:szCs w:val="22"/>
        </w:rPr>
      </w:pPr>
      <w:r w:rsidRPr="00591780">
        <w:rPr>
          <w:rFonts w:ascii="Garamond" w:hAnsi="Garamond" w:cs="Tahoma"/>
          <w:b/>
          <w:bCs w:val="0"/>
          <w:sz w:val="22"/>
          <w:szCs w:val="22"/>
        </w:rPr>
        <w:t>В испытаниях</w:t>
      </w:r>
      <w:r w:rsidRPr="00591780">
        <w:rPr>
          <w:sz w:val="22"/>
          <w:szCs w:val="22"/>
        </w:rPr>
        <w:t xml:space="preserve"> </w:t>
      </w:r>
      <w:r w:rsidRPr="00591780">
        <w:rPr>
          <w:rFonts w:ascii="Garamond" w:hAnsi="Garamond" w:cs="Tahoma"/>
          <w:b/>
          <w:bCs w:val="0"/>
          <w:sz w:val="22"/>
          <w:szCs w:val="22"/>
        </w:rPr>
        <w:t>АИИС коммерческого учета электрической энергии принимали участие уполномоченные представители (далее –Представители):</w:t>
      </w:r>
    </w:p>
    <w:p w14:paraId="729D327F" w14:textId="77777777" w:rsidR="004B3B82" w:rsidRPr="00591780" w:rsidRDefault="004B3B82" w:rsidP="00101F7C">
      <w:pPr>
        <w:pStyle w:val="a6"/>
        <w:rPr>
          <w:rFonts w:ascii="Garamond" w:hAnsi="Garamond" w:cs="Tahoma"/>
          <w:b/>
          <w:bCs w:val="0"/>
          <w:color w:val="000000"/>
          <w:sz w:val="22"/>
          <w:szCs w:val="22"/>
        </w:rPr>
      </w:pPr>
    </w:p>
    <w:p w14:paraId="13A7272E" w14:textId="77777777" w:rsidR="004B3B82" w:rsidRPr="005F754A" w:rsidRDefault="004B3B82" w:rsidP="00101F7C">
      <w:pPr>
        <w:tabs>
          <w:tab w:val="right" w:pos="9360"/>
        </w:tabs>
        <w:rPr>
          <w:rFonts w:ascii="Garamond" w:hAnsi="Garamond" w:cs="Tahoma"/>
          <w:sz w:val="22"/>
          <w:szCs w:val="22"/>
        </w:rPr>
      </w:pPr>
      <w:r>
        <w:rPr>
          <w:rFonts w:ascii="Garamond" w:hAnsi="Garamond" w:cs="Tahoma"/>
          <w:sz w:val="22"/>
          <w:szCs w:val="22"/>
        </w:rPr>
        <w:t>С</w:t>
      </w:r>
      <w:r w:rsidRPr="005F754A">
        <w:rPr>
          <w:rFonts w:ascii="Garamond" w:hAnsi="Garamond" w:cs="Tahoma"/>
          <w:sz w:val="22"/>
          <w:szCs w:val="22"/>
        </w:rPr>
        <w:t>убъекта (</w:t>
      </w:r>
      <w:r>
        <w:rPr>
          <w:rFonts w:ascii="Garamond" w:hAnsi="Garamond" w:cs="Tahoma"/>
          <w:sz w:val="22"/>
          <w:szCs w:val="22"/>
        </w:rPr>
        <w:t>з</w:t>
      </w:r>
      <w:r w:rsidRPr="005F754A">
        <w:rPr>
          <w:rFonts w:ascii="Garamond" w:hAnsi="Garamond" w:cs="Tahoma"/>
          <w:sz w:val="22"/>
          <w:szCs w:val="22"/>
        </w:rPr>
        <w:t>аявител</w:t>
      </w:r>
      <w:r>
        <w:rPr>
          <w:rFonts w:ascii="Garamond" w:hAnsi="Garamond" w:cs="Tahoma"/>
          <w:sz w:val="22"/>
          <w:szCs w:val="22"/>
        </w:rPr>
        <w:t>я</w:t>
      </w:r>
      <w:r w:rsidRPr="005F754A">
        <w:rPr>
          <w:rFonts w:ascii="Garamond" w:hAnsi="Garamond" w:cs="Tahoma"/>
          <w:sz w:val="22"/>
          <w:szCs w:val="22"/>
        </w:rPr>
        <w:t>)</w:t>
      </w:r>
      <w:r>
        <w:rPr>
          <w:rFonts w:ascii="Garamond" w:hAnsi="Garamond" w:cs="Tahoma"/>
          <w:sz w:val="22"/>
          <w:szCs w:val="22"/>
        </w:rPr>
        <w:t xml:space="preserve">: </w:t>
      </w:r>
      <w:r w:rsidRPr="005F754A">
        <w:rPr>
          <w:rFonts w:ascii="Garamond" w:hAnsi="Garamond" w:cs="Tahoma"/>
          <w:sz w:val="22"/>
          <w:szCs w:val="22"/>
        </w:rPr>
        <w:t>___________________</w:t>
      </w:r>
    </w:p>
    <w:p w14:paraId="0E96B8B3" w14:textId="77777777" w:rsidR="004B3B82" w:rsidRPr="005F754A" w:rsidRDefault="004B3B82" w:rsidP="00101F7C">
      <w:pPr>
        <w:tabs>
          <w:tab w:val="right" w:pos="9360"/>
        </w:tabs>
        <w:rPr>
          <w:rFonts w:ascii="Garamond" w:hAnsi="Garamond" w:cs="Tahoma"/>
          <w:sz w:val="22"/>
          <w:szCs w:val="22"/>
        </w:rPr>
      </w:pPr>
      <w:r w:rsidRPr="005F754A">
        <w:rPr>
          <w:rFonts w:ascii="Garamond" w:hAnsi="Garamond" w:cs="Tahoma"/>
          <w:sz w:val="22"/>
          <w:szCs w:val="22"/>
        </w:rPr>
        <w:t>КО</w:t>
      </w:r>
      <w:r>
        <w:rPr>
          <w:rFonts w:ascii="Garamond" w:hAnsi="Garamond" w:cs="Tahoma"/>
          <w:sz w:val="22"/>
          <w:szCs w:val="22"/>
        </w:rPr>
        <w:t>:</w:t>
      </w:r>
      <w:r w:rsidRPr="005F754A">
        <w:rPr>
          <w:rFonts w:ascii="Garamond" w:hAnsi="Garamond" w:cs="Tahoma"/>
          <w:sz w:val="22"/>
          <w:szCs w:val="22"/>
        </w:rPr>
        <w:t xml:space="preserve"> __________________</w:t>
      </w:r>
    </w:p>
    <w:p w14:paraId="47386C37" w14:textId="77777777" w:rsidR="004B3B82" w:rsidRPr="005F754A" w:rsidRDefault="004B3B82" w:rsidP="00101F7C">
      <w:pPr>
        <w:tabs>
          <w:tab w:val="right" w:pos="9360"/>
        </w:tabs>
        <w:rPr>
          <w:rFonts w:ascii="Garamond" w:hAnsi="Garamond" w:cs="Tahoma"/>
          <w:sz w:val="22"/>
          <w:szCs w:val="22"/>
        </w:rPr>
      </w:pPr>
      <w:r>
        <w:rPr>
          <w:rFonts w:ascii="Garamond" w:hAnsi="Garamond" w:cs="Tahoma"/>
          <w:bCs/>
          <w:sz w:val="22"/>
          <w:szCs w:val="22"/>
        </w:rPr>
        <w:t>С</w:t>
      </w:r>
      <w:r w:rsidRPr="005F754A">
        <w:rPr>
          <w:rFonts w:ascii="Garamond" w:hAnsi="Garamond" w:cs="Tahoma"/>
          <w:bCs/>
          <w:sz w:val="22"/>
          <w:szCs w:val="22"/>
        </w:rPr>
        <w:t xml:space="preserve">межного </w:t>
      </w:r>
      <w:r>
        <w:rPr>
          <w:rFonts w:ascii="Garamond" w:hAnsi="Garamond" w:cs="Tahoma"/>
          <w:bCs/>
          <w:sz w:val="22"/>
          <w:szCs w:val="22"/>
        </w:rPr>
        <w:t>с</w:t>
      </w:r>
      <w:r w:rsidRPr="005F754A">
        <w:rPr>
          <w:rFonts w:ascii="Garamond" w:hAnsi="Garamond" w:cs="Tahoma"/>
          <w:bCs/>
          <w:sz w:val="22"/>
          <w:szCs w:val="22"/>
        </w:rPr>
        <w:t>убъекта</w:t>
      </w:r>
      <w:r>
        <w:rPr>
          <w:rFonts w:ascii="Garamond" w:hAnsi="Garamond" w:cs="Tahoma"/>
          <w:bCs/>
          <w:sz w:val="22"/>
          <w:szCs w:val="22"/>
        </w:rPr>
        <w:t xml:space="preserve">: </w:t>
      </w:r>
      <w:r w:rsidRPr="005F754A">
        <w:rPr>
          <w:rFonts w:ascii="Garamond" w:hAnsi="Garamond" w:cs="Tahoma"/>
          <w:sz w:val="22"/>
          <w:szCs w:val="22"/>
        </w:rPr>
        <w:t>___________________</w:t>
      </w:r>
    </w:p>
    <w:p w14:paraId="5A9C54DE" w14:textId="77777777" w:rsidR="004B3B82" w:rsidRPr="005F754A" w:rsidRDefault="004B3B82" w:rsidP="00101F7C">
      <w:pPr>
        <w:ind w:right="26"/>
        <w:jc w:val="both"/>
        <w:rPr>
          <w:rFonts w:ascii="Garamond" w:hAnsi="Garamond" w:cs="Tahoma"/>
          <w:sz w:val="22"/>
          <w:szCs w:val="22"/>
        </w:rPr>
      </w:pPr>
    </w:p>
    <w:p w14:paraId="3A70AF27" w14:textId="77777777" w:rsidR="004B3B82" w:rsidRPr="005F754A" w:rsidRDefault="004B3B82" w:rsidP="00101F7C">
      <w:pPr>
        <w:ind w:right="26"/>
        <w:jc w:val="both"/>
        <w:rPr>
          <w:rFonts w:ascii="Garamond" w:hAnsi="Garamond" w:cs="Tahoma"/>
          <w:sz w:val="22"/>
          <w:szCs w:val="22"/>
        </w:rPr>
      </w:pPr>
    </w:p>
    <w:p w14:paraId="0FFC313B" w14:textId="77777777" w:rsidR="004B3B82" w:rsidRDefault="004B3B82" w:rsidP="004B3B82">
      <w:pPr>
        <w:pStyle w:val="ac"/>
        <w:numPr>
          <w:ilvl w:val="0"/>
          <w:numId w:val="181"/>
        </w:numPr>
        <w:ind w:left="426" w:hanging="284"/>
        <w:jc w:val="both"/>
        <w:rPr>
          <w:rFonts w:ascii="Garamond" w:hAnsi="Garamond" w:cs="Tahoma"/>
          <w:color w:val="000000"/>
          <w:sz w:val="22"/>
          <w:szCs w:val="22"/>
        </w:rPr>
      </w:pPr>
      <w:r w:rsidRPr="005F754A">
        <w:rPr>
          <w:rFonts w:ascii="Garamond" w:hAnsi="Garamond" w:cs="Tahoma"/>
          <w:sz w:val="22"/>
          <w:szCs w:val="22"/>
        </w:rPr>
        <w:t xml:space="preserve">Представители рассмотрели предоставленную для установления соответствия систему коммерческого учета </w:t>
      </w:r>
      <w:r w:rsidRPr="005F754A">
        <w:rPr>
          <w:rFonts w:ascii="Garamond" w:hAnsi="Garamond" w:cs="Tahoma"/>
          <w:color w:val="000000"/>
          <w:sz w:val="22"/>
          <w:szCs w:val="22"/>
        </w:rPr>
        <w:t>электрической энергии</w:t>
      </w:r>
      <w:r>
        <w:rPr>
          <w:rFonts w:ascii="Garamond" w:hAnsi="Garamond" w:cs="Tahoma"/>
          <w:color w:val="000000"/>
          <w:sz w:val="22"/>
          <w:szCs w:val="22"/>
        </w:rPr>
        <w:t xml:space="preserve"> _____________________________________________.</w:t>
      </w:r>
    </w:p>
    <w:p w14:paraId="58F9518A" w14:textId="77777777" w:rsidR="004B3B82" w:rsidRDefault="004B3B82" w:rsidP="00101F7C">
      <w:pPr>
        <w:pStyle w:val="ac"/>
        <w:jc w:val="right"/>
        <w:rPr>
          <w:rFonts w:ascii="Garamond" w:hAnsi="Garamond"/>
          <w:i/>
          <w:sz w:val="18"/>
          <w:szCs w:val="18"/>
        </w:rPr>
      </w:pPr>
      <w:r w:rsidRPr="005F754A">
        <w:rPr>
          <w:rFonts w:ascii="Garamond" w:hAnsi="Garamond"/>
          <w:i/>
          <w:sz w:val="18"/>
          <w:szCs w:val="18"/>
        </w:rPr>
        <w:t>(полное наименование организации-</w:t>
      </w:r>
      <w:r>
        <w:rPr>
          <w:rFonts w:ascii="Garamond" w:hAnsi="Garamond"/>
          <w:i/>
          <w:sz w:val="18"/>
          <w:szCs w:val="18"/>
        </w:rPr>
        <w:t>заявител</w:t>
      </w:r>
      <w:r w:rsidRPr="005F754A">
        <w:rPr>
          <w:rFonts w:ascii="Garamond" w:hAnsi="Garamond"/>
          <w:i/>
          <w:sz w:val="18"/>
          <w:szCs w:val="18"/>
        </w:rPr>
        <w:t>я с указанием организационно-правовой формы)</w:t>
      </w:r>
    </w:p>
    <w:p w14:paraId="6FBA024E" w14:textId="77777777" w:rsidR="004B3B82" w:rsidRDefault="004B3B82" w:rsidP="00101F7C">
      <w:pPr>
        <w:rPr>
          <w:rFonts w:ascii="Garamond" w:hAnsi="Garamond"/>
          <w:sz w:val="22"/>
          <w:szCs w:val="22"/>
        </w:rPr>
      </w:pPr>
    </w:p>
    <w:p w14:paraId="4DF76F1C" w14:textId="77777777" w:rsidR="004B3B82" w:rsidRPr="00FE47A2" w:rsidRDefault="004B3B82" w:rsidP="00101F7C">
      <w:pPr>
        <w:ind w:firstLine="240"/>
        <w:rPr>
          <w:rFonts w:ascii="Garamond" w:hAnsi="Garamond"/>
          <w:sz w:val="22"/>
          <w:szCs w:val="22"/>
        </w:rPr>
      </w:pPr>
      <w:r w:rsidRPr="00FE47A2">
        <w:rPr>
          <w:rFonts w:ascii="Garamond" w:hAnsi="Garamond"/>
          <w:sz w:val="22"/>
          <w:szCs w:val="22"/>
        </w:rPr>
        <w:t xml:space="preserve">Заявленные характеристики системы коммерческого учета электрической </w:t>
      </w:r>
      <w:r w:rsidRPr="00591780">
        <w:rPr>
          <w:rFonts w:ascii="Garamond" w:hAnsi="Garamond"/>
          <w:sz w:val="22"/>
          <w:szCs w:val="22"/>
        </w:rPr>
        <w:t>энергии и количественный состав точек измерений в сечении коммерческого учета (ГТП генерации) ук</w:t>
      </w:r>
      <w:r w:rsidRPr="00FE47A2">
        <w:rPr>
          <w:rFonts w:ascii="Garamond" w:hAnsi="Garamond"/>
          <w:sz w:val="22"/>
          <w:szCs w:val="22"/>
        </w:rPr>
        <w:t>азаны в таблице 1.</w:t>
      </w:r>
    </w:p>
    <w:p w14:paraId="286E59EB" w14:textId="77777777" w:rsidR="004B3B82" w:rsidRDefault="004B3B82" w:rsidP="00101F7C">
      <w:pPr>
        <w:jc w:val="right"/>
        <w:rPr>
          <w:rFonts w:ascii="Garamond" w:hAnsi="Garamond"/>
          <w:sz w:val="22"/>
          <w:szCs w:val="22"/>
        </w:rPr>
      </w:pPr>
    </w:p>
    <w:p w14:paraId="2C7C508F" w14:textId="77777777" w:rsidR="004B3B82" w:rsidRDefault="004B3B82" w:rsidP="00101F7C">
      <w:pPr>
        <w:jc w:val="right"/>
        <w:rPr>
          <w:rFonts w:ascii="Garamond" w:hAnsi="Garamond"/>
          <w:sz w:val="22"/>
          <w:szCs w:val="22"/>
        </w:rPr>
      </w:pPr>
      <w:r w:rsidRPr="00FE47A2">
        <w:rPr>
          <w:rFonts w:ascii="Garamond" w:hAnsi="Garamond"/>
          <w:sz w:val="22"/>
          <w:szCs w:val="22"/>
        </w:rPr>
        <w:t>Таблица 1</w:t>
      </w:r>
    </w:p>
    <w:p w14:paraId="382B3CAA" w14:textId="77777777" w:rsidR="004B3B82" w:rsidRPr="00FE47A2" w:rsidRDefault="004B3B82" w:rsidP="00101F7C">
      <w:pPr>
        <w:jc w:val="right"/>
        <w:rPr>
          <w:rFonts w:ascii="Garamond" w:hAnsi="Garamond"/>
          <w:sz w:val="22"/>
          <w:szCs w:val="22"/>
        </w:rPr>
      </w:pPr>
    </w:p>
    <w:tbl>
      <w:tblPr>
        <w:tblW w:w="9120" w:type="dxa"/>
        <w:tblInd w:w="5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5892"/>
        <w:gridCol w:w="3228"/>
      </w:tblGrid>
      <w:tr w:rsidR="004B3B82" w:rsidRPr="00FE47A2" w14:paraId="75305937" w14:textId="77777777" w:rsidTr="00CD3B05">
        <w:trPr>
          <w:trHeight w:val="340"/>
        </w:trPr>
        <w:tc>
          <w:tcPr>
            <w:tcW w:w="5892" w:type="dxa"/>
          </w:tcPr>
          <w:p w14:paraId="6DC320DE" w14:textId="77777777" w:rsidR="004B3B82" w:rsidRPr="00FE47A2" w:rsidRDefault="004B3B82" w:rsidP="00CD3B05">
            <w:pPr>
              <w:autoSpaceDE w:val="0"/>
              <w:autoSpaceDN w:val="0"/>
              <w:adjustRightInd w:val="0"/>
              <w:jc w:val="both"/>
              <w:rPr>
                <w:rFonts w:ascii="Garamond" w:hAnsi="Garamond"/>
                <w:sz w:val="22"/>
                <w:szCs w:val="22"/>
              </w:rPr>
            </w:pPr>
            <w:r w:rsidRPr="00FE47A2">
              <w:rPr>
                <w:rFonts w:ascii="Garamond" w:hAnsi="Garamond"/>
                <w:sz w:val="22"/>
                <w:szCs w:val="22"/>
              </w:rPr>
              <w:t>Основание проведения процедуры установления соответствия АИИС КУЭ техническим требованиям ОРЭМ</w:t>
            </w:r>
          </w:p>
        </w:tc>
        <w:tc>
          <w:tcPr>
            <w:tcW w:w="3228" w:type="dxa"/>
          </w:tcPr>
          <w:p w14:paraId="71D0E00D" w14:textId="77777777" w:rsidR="004B3B82" w:rsidRPr="00FE47A2" w:rsidRDefault="004B3B82" w:rsidP="00CD3B05">
            <w:pPr>
              <w:tabs>
                <w:tab w:val="left" w:pos="2610"/>
              </w:tabs>
              <w:autoSpaceDE w:val="0"/>
              <w:autoSpaceDN w:val="0"/>
              <w:adjustRightInd w:val="0"/>
              <w:ind w:left="57"/>
              <w:jc w:val="both"/>
              <w:rPr>
                <w:rFonts w:ascii="Garamond" w:hAnsi="Garamond"/>
                <w:sz w:val="22"/>
                <w:szCs w:val="22"/>
              </w:rPr>
            </w:pPr>
          </w:p>
        </w:tc>
      </w:tr>
      <w:tr w:rsidR="004B3B82" w:rsidRPr="00FE47A2" w14:paraId="59929D06" w14:textId="77777777" w:rsidTr="00CD3B05">
        <w:trPr>
          <w:trHeight w:val="340"/>
        </w:trPr>
        <w:tc>
          <w:tcPr>
            <w:tcW w:w="5892" w:type="dxa"/>
            <w:vAlign w:val="center"/>
          </w:tcPr>
          <w:p w14:paraId="5ADB94FB" w14:textId="77777777" w:rsidR="004B3B82" w:rsidRPr="00FE47A2" w:rsidRDefault="004B3B82" w:rsidP="00CD3B05">
            <w:pPr>
              <w:autoSpaceDE w:val="0"/>
              <w:autoSpaceDN w:val="0"/>
              <w:adjustRightInd w:val="0"/>
              <w:rPr>
                <w:rFonts w:ascii="Garamond" w:hAnsi="Garamond"/>
                <w:sz w:val="22"/>
                <w:szCs w:val="22"/>
              </w:rPr>
            </w:pPr>
            <w:r w:rsidRPr="00FE47A2">
              <w:rPr>
                <w:rFonts w:ascii="Garamond" w:hAnsi="Garamond"/>
                <w:sz w:val="22"/>
                <w:szCs w:val="22"/>
              </w:rPr>
              <w:t>Наименование и код сечения коммерческого учета / ГТП генерации</w:t>
            </w:r>
          </w:p>
        </w:tc>
        <w:tc>
          <w:tcPr>
            <w:tcW w:w="3228" w:type="dxa"/>
            <w:vAlign w:val="center"/>
          </w:tcPr>
          <w:p w14:paraId="34EF40B8" w14:textId="77777777" w:rsidR="004B3B82" w:rsidRPr="00FE47A2" w:rsidRDefault="004B3B82" w:rsidP="00CD3B05">
            <w:pPr>
              <w:tabs>
                <w:tab w:val="left" w:pos="2610"/>
              </w:tabs>
              <w:autoSpaceDE w:val="0"/>
              <w:autoSpaceDN w:val="0"/>
              <w:adjustRightInd w:val="0"/>
              <w:ind w:left="57"/>
              <w:jc w:val="both"/>
              <w:rPr>
                <w:rFonts w:ascii="Garamond" w:hAnsi="Garamond"/>
                <w:sz w:val="22"/>
                <w:szCs w:val="22"/>
              </w:rPr>
            </w:pPr>
          </w:p>
        </w:tc>
      </w:tr>
      <w:tr w:rsidR="004B3B82" w:rsidRPr="00FE47A2" w14:paraId="03E2D8A5" w14:textId="77777777" w:rsidTr="00CD3B05">
        <w:trPr>
          <w:trHeight w:val="340"/>
        </w:trPr>
        <w:tc>
          <w:tcPr>
            <w:tcW w:w="5892" w:type="dxa"/>
          </w:tcPr>
          <w:p w14:paraId="689EC246" w14:textId="77777777" w:rsidR="004B3B82" w:rsidRPr="00FE47A2" w:rsidRDefault="004B3B82" w:rsidP="00CD3B05">
            <w:pPr>
              <w:autoSpaceDE w:val="0"/>
              <w:autoSpaceDN w:val="0"/>
              <w:adjustRightInd w:val="0"/>
              <w:jc w:val="both"/>
              <w:rPr>
                <w:rFonts w:ascii="Garamond" w:hAnsi="Garamond"/>
                <w:sz w:val="22"/>
                <w:szCs w:val="22"/>
              </w:rPr>
            </w:pPr>
            <w:r w:rsidRPr="00FE47A2">
              <w:rPr>
                <w:rFonts w:ascii="Garamond" w:hAnsi="Garamond"/>
                <w:sz w:val="22"/>
                <w:szCs w:val="22"/>
              </w:rPr>
              <w:t xml:space="preserve">Заявленный состав точек поставки и точек измерений подтверждается </w:t>
            </w:r>
          </w:p>
        </w:tc>
        <w:tc>
          <w:tcPr>
            <w:tcW w:w="3228" w:type="dxa"/>
          </w:tcPr>
          <w:p w14:paraId="2D8FE221" w14:textId="77777777" w:rsidR="004B3B82" w:rsidRPr="00FE47A2" w:rsidRDefault="004B3B82" w:rsidP="00CD3B05">
            <w:pPr>
              <w:tabs>
                <w:tab w:val="left" w:pos="2610"/>
              </w:tabs>
              <w:autoSpaceDE w:val="0"/>
              <w:autoSpaceDN w:val="0"/>
              <w:adjustRightInd w:val="0"/>
              <w:ind w:left="57"/>
              <w:jc w:val="both"/>
              <w:rPr>
                <w:rFonts w:ascii="Garamond" w:hAnsi="Garamond"/>
                <w:sz w:val="22"/>
                <w:szCs w:val="22"/>
              </w:rPr>
            </w:pPr>
          </w:p>
        </w:tc>
      </w:tr>
      <w:tr w:rsidR="004B3B82" w:rsidRPr="00FE47A2" w14:paraId="466E350E" w14:textId="77777777" w:rsidTr="00CD3B05">
        <w:trPr>
          <w:trHeight w:val="340"/>
        </w:trPr>
        <w:tc>
          <w:tcPr>
            <w:tcW w:w="5892" w:type="dxa"/>
          </w:tcPr>
          <w:p w14:paraId="309DDE73" w14:textId="77777777" w:rsidR="004B3B82" w:rsidRPr="00FE47A2" w:rsidRDefault="004B3B82" w:rsidP="00CD3B05">
            <w:pPr>
              <w:autoSpaceDE w:val="0"/>
              <w:autoSpaceDN w:val="0"/>
              <w:adjustRightInd w:val="0"/>
              <w:jc w:val="both"/>
              <w:rPr>
                <w:rFonts w:ascii="Garamond" w:hAnsi="Garamond"/>
                <w:sz w:val="22"/>
                <w:szCs w:val="22"/>
              </w:rPr>
            </w:pPr>
            <w:r w:rsidRPr="00FE47A2">
              <w:rPr>
                <w:rFonts w:ascii="Garamond" w:hAnsi="Garamond"/>
                <w:sz w:val="22"/>
                <w:szCs w:val="22"/>
              </w:rPr>
              <w:t>Класс соответствия системы</w:t>
            </w:r>
          </w:p>
        </w:tc>
        <w:tc>
          <w:tcPr>
            <w:tcW w:w="3228" w:type="dxa"/>
          </w:tcPr>
          <w:p w14:paraId="336BB792" w14:textId="77777777" w:rsidR="004B3B82" w:rsidRPr="00FE47A2" w:rsidRDefault="004B3B82" w:rsidP="00CD3B05">
            <w:pPr>
              <w:tabs>
                <w:tab w:val="left" w:pos="2610"/>
              </w:tabs>
              <w:autoSpaceDE w:val="0"/>
              <w:autoSpaceDN w:val="0"/>
              <w:adjustRightInd w:val="0"/>
              <w:ind w:left="57"/>
              <w:rPr>
                <w:rFonts w:ascii="Garamond" w:hAnsi="Garamond"/>
                <w:sz w:val="22"/>
                <w:szCs w:val="22"/>
              </w:rPr>
            </w:pPr>
          </w:p>
        </w:tc>
      </w:tr>
      <w:tr w:rsidR="004B3B82" w:rsidRPr="00FE47A2" w14:paraId="20979EC4" w14:textId="77777777" w:rsidTr="00CD3B05">
        <w:trPr>
          <w:trHeight w:val="340"/>
        </w:trPr>
        <w:tc>
          <w:tcPr>
            <w:tcW w:w="5892" w:type="dxa"/>
          </w:tcPr>
          <w:p w14:paraId="0CF62BD6" w14:textId="77777777" w:rsidR="004B3B82" w:rsidRPr="00FE47A2" w:rsidRDefault="004B3B82" w:rsidP="00CD3B05">
            <w:pPr>
              <w:autoSpaceDE w:val="0"/>
              <w:autoSpaceDN w:val="0"/>
              <w:adjustRightInd w:val="0"/>
              <w:jc w:val="both"/>
              <w:rPr>
                <w:rFonts w:ascii="Garamond" w:hAnsi="Garamond"/>
                <w:sz w:val="22"/>
                <w:szCs w:val="22"/>
              </w:rPr>
            </w:pPr>
            <w:r w:rsidRPr="00FE47A2">
              <w:rPr>
                <w:rFonts w:ascii="Garamond" w:hAnsi="Garamond"/>
                <w:sz w:val="22"/>
                <w:szCs w:val="22"/>
              </w:rPr>
              <w:t>Код группы (области) передаваемой информации (далее – «</w:t>
            </w:r>
            <w:r w:rsidRPr="00FE47A2">
              <w:rPr>
                <w:rFonts w:ascii="Garamond" w:hAnsi="Garamond"/>
                <w:sz w:val="22"/>
                <w:szCs w:val="22"/>
                <w:lang w:val="en-US"/>
              </w:rPr>
              <w:t>area</w:t>
            </w:r>
            <w:r w:rsidRPr="00FE47A2">
              <w:rPr>
                <w:rFonts w:ascii="Garamond" w:hAnsi="Garamond"/>
                <w:sz w:val="22"/>
                <w:szCs w:val="22"/>
              </w:rPr>
              <w:t>»)</w:t>
            </w:r>
          </w:p>
        </w:tc>
        <w:tc>
          <w:tcPr>
            <w:tcW w:w="3228" w:type="dxa"/>
          </w:tcPr>
          <w:p w14:paraId="5AFC6ABC" w14:textId="77777777" w:rsidR="004B3B82" w:rsidRPr="00FE47A2" w:rsidRDefault="004B3B82" w:rsidP="00CD3B05">
            <w:pPr>
              <w:tabs>
                <w:tab w:val="left" w:pos="2610"/>
              </w:tabs>
              <w:autoSpaceDE w:val="0"/>
              <w:autoSpaceDN w:val="0"/>
              <w:adjustRightInd w:val="0"/>
              <w:ind w:left="57"/>
              <w:rPr>
                <w:rFonts w:ascii="Garamond" w:hAnsi="Garamond"/>
                <w:sz w:val="22"/>
                <w:szCs w:val="22"/>
              </w:rPr>
            </w:pPr>
          </w:p>
        </w:tc>
      </w:tr>
      <w:tr w:rsidR="004B3B82" w:rsidRPr="00FE47A2" w14:paraId="185DD999" w14:textId="77777777" w:rsidTr="00CD3B05">
        <w:trPr>
          <w:trHeight w:val="340"/>
        </w:trPr>
        <w:tc>
          <w:tcPr>
            <w:tcW w:w="5892" w:type="dxa"/>
          </w:tcPr>
          <w:p w14:paraId="73B29154" w14:textId="77777777" w:rsidR="004B3B82" w:rsidRPr="00FE47A2" w:rsidRDefault="004B3B82" w:rsidP="00CD3B05">
            <w:pPr>
              <w:autoSpaceDE w:val="0"/>
              <w:autoSpaceDN w:val="0"/>
              <w:adjustRightInd w:val="0"/>
              <w:jc w:val="both"/>
              <w:rPr>
                <w:rFonts w:ascii="Garamond" w:hAnsi="Garamond"/>
                <w:sz w:val="22"/>
                <w:szCs w:val="22"/>
              </w:rPr>
            </w:pPr>
            <w:r w:rsidRPr="00FE47A2">
              <w:rPr>
                <w:rFonts w:ascii="Garamond" w:hAnsi="Garamond"/>
                <w:sz w:val="22"/>
                <w:szCs w:val="22"/>
              </w:rPr>
              <w:t>Количество точек измерений в сечении коммерческого учета (ГТП генерации), включенных в АИИС КУЭ</w:t>
            </w:r>
          </w:p>
        </w:tc>
        <w:tc>
          <w:tcPr>
            <w:tcW w:w="3228" w:type="dxa"/>
          </w:tcPr>
          <w:p w14:paraId="247E3256" w14:textId="77777777" w:rsidR="004B3B82" w:rsidRPr="00FE47A2" w:rsidRDefault="004B3B82" w:rsidP="00CD3B05">
            <w:pPr>
              <w:tabs>
                <w:tab w:val="left" w:pos="2610"/>
              </w:tabs>
              <w:autoSpaceDE w:val="0"/>
              <w:autoSpaceDN w:val="0"/>
              <w:adjustRightInd w:val="0"/>
              <w:ind w:left="57"/>
              <w:rPr>
                <w:rFonts w:ascii="Garamond" w:hAnsi="Garamond"/>
                <w:sz w:val="22"/>
                <w:szCs w:val="22"/>
              </w:rPr>
            </w:pPr>
          </w:p>
        </w:tc>
      </w:tr>
      <w:tr w:rsidR="004B3B82" w:rsidRPr="00FE47A2" w14:paraId="4D31C283" w14:textId="77777777" w:rsidTr="00CD3B05">
        <w:trPr>
          <w:trHeight w:val="340"/>
        </w:trPr>
        <w:tc>
          <w:tcPr>
            <w:tcW w:w="5892" w:type="dxa"/>
          </w:tcPr>
          <w:p w14:paraId="63717994" w14:textId="77777777" w:rsidR="004B3B82" w:rsidRPr="00FE47A2" w:rsidRDefault="004B3B82" w:rsidP="00CD3B05">
            <w:pPr>
              <w:autoSpaceDE w:val="0"/>
              <w:autoSpaceDN w:val="0"/>
              <w:adjustRightInd w:val="0"/>
              <w:jc w:val="both"/>
              <w:rPr>
                <w:rFonts w:ascii="Garamond" w:hAnsi="Garamond"/>
                <w:sz w:val="22"/>
                <w:szCs w:val="22"/>
              </w:rPr>
            </w:pPr>
            <w:r w:rsidRPr="00FE47A2">
              <w:rPr>
                <w:rFonts w:ascii="Garamond" w:hAnsi="Garamond"/>
                <w:sz w:val="22"/>
                <w:szCs w:val="22"/>
              </w:rPr>
              <w:t>Количество точек измерений, соответствующих «малым» точкам поставки в сечении коммерческого учета</w:t>
            </w:r>
          </w:p>
        </w:tc>
        <w:tc>
          <w:tcPr>
            <w:tcW w:w="3228" w:type="dxa"/>
          </w:tcPr>
          <w:p w14:paraId="1352090C" w14:textId="77777777" w:rsidR="004B3B82" w:rsidRPr="00FE47A2" w:rsidRDefault="004B3B82" w:rsidP="00CD3B05">
            <w:pPr>
              <w:tabs>
                <w:tab w:val="left" w:pos="2610"/>
              </w:tabs>
              <w:autoSpaceDE w:val="0"/>
              <w:autoSpaceDN w:val="0"/>
              <w:adjustRightInd w:val="0"/>
              <w:ind w:left="57"/>
              <w:rPr>
                <w:rFonts w:ascii="Garamond" w:hAnsi="Garamond"/>
                <w:sz w:val="22"/>
                <w:szCs w:val="22"/>
              </w:rPr>
            </w:pPr>
          </w:p>
        </w:tc>
      </w:tr>
      <w:tr w:rsidR="004B3B82" w:rsidRPr="00FE47A2" w14:paraId="18118D7F" w14:textId="77777777" w:rsidTr="00CD3B05">
        <w:trPr>
          <w:trHeight w:val="340"/>
        </w:trPr>
        <w:tc>
          <w:tcPr>
            <w:tcW w:w="5892" w:type="dxa"/>
          </w:tcPr>
          <w:p w14:paraId="08FFFB6D" w14:textId="77777777" w:rsidR="004B3B82" w:rsidRPr="00FE47A2" w:rsidRDefault="004B3B82" w:rsidP="00CD3B05">
            <w:pPr>
              <w:autoSpaceDE w:val="0"/>
              <w:autoSpaceDN w:val="0"/>
              <w:adjustRightInd w:val="0"/>
              <w:jc w:val="both"/>
              <w:rPr>
                <w:rFonts w:ascii="Garamond" w:hAnsi="Garamond"/>
                <w:sz w:val="22"/>
                <w:szCs w:val="22"/>
              </w:rPr>
            </w:pPr>
            <w:r w:rsidRPr="00FE47A2">
              <w:rPr>
                <w:rFonts w:ascii="Garamond" w:hAnsi="Garamond"/>
                <w:sz w:val="22"/>
                <w:szCs w:val="22"/>
              </w:rPr>
              <w:t>Количество точек поставки в сечении коммерческого учета (ГТП генерации), включенных в АИИС КУЭ (согласно «</w:t>
            </w:r>
            <w:r w:rsidRPr="00FE47A2">
              <w:rPr>
                <w:rFonts w:ascii="Garamond" w:hAnsi="Garamond"/>
                <w:sz w:val="22"/>
                <w:szCs w:val="22"/>
                <w:lang w:val="en-US"/>
              </w:rPr>
              <w:t>area</w:t>
            </w:r>
            <w:r w:rsidRPr="00FE47A2">
              <w:rPr>
                <w:rFonts w:ascii="Garamond" w:hAnsi="Garamond"/>
                <w:sz w:val="22"/>
                <w:szCs w:val="22"/>
              </w:rPr>
              <w:t>»)</w:t>
            </w:r>
          </w:p>
        </w:tc>
        <w:tc>
          <w:tcPr>
            <w:tcW w:w="3228" w:type="dxa"/>
          </w:tcPr>
          <w:p w14:paraId="5F5D4449" w14:textId="77777777" w:rsidR="004B3B82" w:rsidRPr="00FE47A2" w:rsidRDefault="004B3B82" w:rsidP="00CD3B05">
            <w:pPr>
              <w:tabs>
                <w:tab w:val="left" w:pos="2610"/>
              </w:tabs>
              <w:autoSpaceDE w:val="0"/>
              <w:autoSpaceDN w:val="0"/>
              <w:adjustRightInd w:val="0"/>
              <w:ind w:left="57"/>
              <w:rPr>
                <w:rFonts w:ascii="Garamond" w:hAnsi="Garamond"/>
                <w:sz w:val="22"/>
                <w:szCs w:val="22"/>
              </w:rPr>
            </w:pPr>
          </w:p>
        </w:tc>
      </w:tr>
      <w:tr w:rsidR="004B3B82" w:rsidRPr="00FE47A2" w14:paraId="0947DC6F" w14:textId="77777777" w:rsidTr="00CD3B05">
        <w:trPr>
          <w:trHeight w:val="340"/>
        </w:trPr>
        <w:tc>
          <w:tcPr>
            <w:tcW w:w="5892" w:type="dxa"/>
          </w:tcPr>
          <w:p w14:paraId="746E06F8" w14:textId="77777777" w:rsidR="004B3B82" w:rsidRPr="00FE47A2" w:rsidRDefault="004B3B82" w:rsidP="00CD3B05">
            <w:pPr>
              <w:autoSpaceDE w:val="0"/>
              <w:autoSpaceDN w:val="0"/>
              <w:adjustRightInd w:val="0"/>
              <w:jc w:val="both"/>
              <w:rPr>
                <w:rFonts w:ascii="Garamond" w:hAnsi="Garamond"/>
                <w:sz w:val="22"/>
                <w:szCs w:val="22"/>
              </w:rPr>
            </w:pPr>
            <w:r w:rsidRPr="00FE47A2">
              <w:rPr>
                <w:rFonts w:ascii="Garamond" w:hAnsi="Garamond"/>
                <w:sz w:val="22"/>
                <w:szCs w:val="22"/>
              </w:rPr>
              <w:t>Количество «малых» точек поставки в сечении коммерческого учета (согласно «</w:t>
            </w:r>
            <w:r w:rsidRPr="00FE47A2">
              <w:rPr>
                <w:rFonts w:ascii="Garamond" w:hAnsi="Garamond"/>
                <w:sz w:val="22"/>
                <w:szCs w:val="22"/>
                <w:lang w:val="en-US"/>
              </w:rPr>
              <w:t>area</w:t>
            </w:r>
            <w:r w:rsidRPr="00FE47A2">
              <w:rPr>
                <w:rFonts w:ascii="Garamond" w:hAnsi="Garamond"/>
                <w:sz w:val="22"/>
                <w:szCs w:val="22"/>
              </w:rPr>
              <w:t>»)</w:t>
            </w:r>
          </w:p>
        </w:tc>
        <w:tc>
          <w:tcPr>
            <w:tcW w:w="3228" w:type="dxa"/>
          </w:tcPr>
          <w:p w14:paraId="3C0E3D06" w14:textId="77777777" w:rsidR="004B3B82" w:rsidRPr="00FE47A2" w:rsidRDefault="004B3B82" w:rsidP="00CD3B05">
            <w:pPr>
              <w:tabs>
                <w:tab w:val="left" w:pos="2610"/>
              </w:tabs>
              <w:autoSpaceDE w:val="0"/>
              <w:autoSpaceDN w:val="0"/>
              <w:adjustRightInd w:val="0"/>
              <w:ind w:left="57"/>
              <w:rPr>
                <w:rFonts w:ascii="Garamond" w:hAnsi="Garamond"/>
                <w:sz w:val="22"/>
                <w:szCs w:val="22"/>
              </w:rPr>
            </w:pPr>
          </w:p>
        </w:tc>
      </w:tr>
    </w:tbl>
    <w:p w14:paraId="24E04C38" w14:textId="77777777" w:rsidR="004B3B82" w:rsidRPr="00FE47A2" w:rsidRDefault="004B3B82" w:rsidP="00101F7C">
      <w:pPr>
        <w:pStyle w:val="ac"/>
        <w:jc w:val="right"/>
        <w:rPr>
          <w:rFonts w:ascii="Garamond" w:hAnsi="Garamond"/>
          <w:i/>
          <w:sz w:val="22"/>
          <w:szCs w:val="22"/>
        </w:rPr>
      </w:pPr>
    </w:p>
    <w:p w14:paraId="4BD8B52B" w14:textId="77777777" w:rsidR="004B3B82" w:rsidRPr="005F754A" w:rsidRDefault="004B3B82" w:rsidP="004B3B82">
      <w:pPr>
        <w:pStyle w:val="ac"/>
        <w:numPr>
          <w:ilvl w:val="0"/>
          <w:numId w:val="181"/>
        </w:numPr>
        <w:ind w:left="426" w:hanging="284"/>
        <w:jc w:val="both"/>
        <w:rPr>
          <w:rFonts w:ascii="Garamond" w:hAnsi="Garamond"/>
          <w:bCs/>
        </w:rPr>
      </w:pPr>
      <w:r w:rsidRPr="005F754A">
        <w:rPr>
          <w:rFonts w:ascii="Garamond" w:hAnsi="Garamond" w:cs="Tahoma"/>
          <w:sz w:val="22"/>
          <w:szCs w:val="22"/>
        </w:rPr>
        <w:t xml:space="preserve">При участии </w:t>
      </w:r>
      <w:r>
        <w:rPr>
          <w:rFonts w:ascii="Garamond" w:hAnsi="Garamond" w:cs="Tahoma"/>
          <w:sz w:val="22"/>
          <w:szCs w:val="22"/>
        </w:rPr>
        <w:t>П</w:t>
      </w:r>
      <w:r w:rsidRPr="005F754A">
        <w:rPr>
          <w:rFonts w:ascii="Garamond" w:hAnsi="Garamond" w:cs="Tahoma"/>
          <w:sz w:val="22"/>
          <w:szCs w:val="22"/>
        </w:rPr>
        <w:t xml:space="preserve">редставителей проведены испытания по проверке технических параметров АИИС КУЭ в соответствии с программой и методикой испытаний, установленной </w:t>
      </w:r>
      <w:r w:rsidRPr="005F754A">
        <w:rPr>
          <w:rFonts w:ascii="Garamond" w:hAnsi="Garamond"/>
          <w:sz w:val="22"/>
          <w:szCs w:val="22"/>
        </w:rPr>
        <w:t>Порядком установления соответствия АИИС коммерческого учета техническим требованиям оптового рынка электрической энергии (мощности) и присвоения класса АИИС КУЭ (</w:t>
      </w:r>
      <w:r w:rsidRPr="005F754A">
        <w:rPr>
          <w:rFonts w:ascii="Garamond" w:hAnsi="Garamond" w:cs="Tahoma"/>
          <w:sz w:val="22"/>
          <w:szCs w:val="22"/>
        </w:rPr>
        <w:t xml:space="preserve">Приложение № 11.3 к </w:t>
      </w:r>
      <w:r w:rsidRPr="005F754A">
        <w:rPr>
          <w:rFonts w:ascii="Garamond" w:hAnsi="Garamond"/>
          <w:i/>
          <w:sz w:val="22"/>
          <w:szCs w:val="22"/>
        </w:rPr>
        <w:t>Положению о порядке получения статуса субъекта оптового рынка и ведения реестра субъектов оптового рынка</w:t>
      </w:r>
      <w:r w:rsidRPr="005F754A">
        <w:rPr>
          <w:rFonts w:ascii="Garamond" w:hAnsi="Garamond"/>
        </w:rPr>
        <w:t>).</w:t>
      </w:r>
    </w:p>
    <w:p w14:paraId="53AB0EA2" w14:textId="77777777" w:rsidR="004B3B82" w:rsidRPr="005F754A" w:rsidRDefault="004B3B82" w:rsidP="004B3B82">
      <w:pPr>
        <w:pStyle w:val="ac"/>
        <w:numPr>
          <w:ilvl w:val="0"/>
          <w:numId w:val="181"/>
        </w:numPr>
        <w:ind w:left="426" w:hanging="284"/>
        <w:rPr>
          <w:rFonts w:ascii="Garamond" w:hAnsi="Garamond" w:cs="Tahoma"/>
          <w:sz w:val="22"/>
          <w:szCs w:val="22"/>
        </w:rPr>
      </w:pPr>
      <w:r w:rsidRPr="005F754A">
        <w:rPr>
          <w:rFonts w:ascii="Garamond" w:hAnsi="Garamond" w:cs="Tahoma"/>
          <w:sz w:val="22"/>
          <w:szCs w:val="22"/>
        </w:rPr>
        <w:t>Результаты испытаний приведены в таблице:</w:t>
      </w:r>
    </w:p>
    <w:p w14:paraId="645D38C9" w14:textId="77777777" w:rsidR="004B3B82" w:rsidRPr="005F754A" w:rsidRDefault="004B3B82" w:rsidP="00101F7C">
      <w:pPr>
        <w:pStyle w:val="ac"/>
        <w:ind w:left="426"/>
        <w:rPr>
          <w:rFonts w:ascii="Garamond" w:hAnsi="Garamond" w:cs="Tahoma"/>
          <w:sz w:val="22"/>
          <w:szCs w:val="22"/>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0"/>
        <w:gridCol w:w="1276"/>
        <w:gridCol w:w="5364"/>
        <w:gridCol w:w="2409"/>
      </w:tblGrid>
      <w:tr w:rsidR="004B3B82" w:rsidRPr="0058630D" w14:paraId="444EE440" w14:textId="77777777" w:rsidTr="00CD3B05">
        <w:tc>
          <w:tcPr>
            <w:tcW w:w="590" w:type="dxa"/>
            <w:vAlign w:val="center"/>
          </w:tcPr>
          <w:p w14:paraId="67587259" w14:textId="77777777" w:rsidR="004B3B82" w:rsidRPr="005F754A" w:rsidRDefault="004B3B82" w:rsidP="00CD3B05">
            <w:pPr>
              <w:jc w:val="center"/>
              <w:rPr>
                <w:rFonts w:ascii="Garamond" w:hAnsi="Garamond" w:cs="Tahoma"/>
                <w:b/>
              </w:rPr>
            </w:pPr>
            <w:r w:rsidRPr="005F754A">
              <w:rPr>
                <w:rFonts w:ascii="Garamond" w:hAnsi="Garamond" w:cs="Tahoma"/>
                <w:b/>
                <w:sz w:val="22"/>
                <w:szCs w:val="22"/>
              </w:rPr>
              <w:lastRenderedPageBreak/>
              <w:t>№</w:t>
            </w:r>
          </w:p>
        </w:tc>
        <w:tc>
          <w:tcPr>
            <w:tcW w:w="1276" w:type="dxa"/>
            <w:vAlign w:val="center"/>
          </w:tcPr>
          <w:p w14:paraId="4727BFC9" w14:textId="77777777" w:rsidR="004B3B82" w:rsidRPr="005F754A" w:rsidRDefault="004B3B82" w:rsidP="00CD3B05">
            <w:pPr>
              <w:jc w:val="center"/>
              <w:rPr>
                <w:rFonts w:ascii="Garamond" w:hAnsi="Garamond"/>
                <w:b/>
                <w:bCs/>
              </w:rPr>
            </w:pPr>
            <w:r>
              <w:rPr>
                <w:rFonts w:ascii="Garamond" w:hAnsi="Garamond"/>
                <w:b/>
                <w:bCs/>
              </w:rPr>
              <w:t>Обозначение п</w:t>
            </w:r>
            <w:r w:rsidRPr="005F754A">
              <w:rPr>
                <w:rFonts w:ascii="Garamond" w:hAnsi="Garamond"/>
                <w:b/>
                <w:bCs/>
              </w:rPr>
              <w:t>араметр</w:t>
            </w:r>
            <w:r>
              <w:rPr>
                <w:rFonts w:ascii="Garamond" w:hAnsi="Garamond"/>
                <w:b/>
                <w:bCs/>
              </w:rPr>
              <w:t>а</w:t>
            </w:r>
          </w:p>
        </w:tc>
        <w:tc>
          <w:tcPr>
            <w:tcW w:w="5364" w:type="dxa"/>
            <w:vAlign w:val="center"/>
          </w:tcPr>
          <w:p w14:paraId="5AF55ABC" w14:textId="77777777" w:rsidR="004B3B82" w:rsidRPr="005F754A" w:rsidRDefault="004B3B82" w:rsidP="00CD3B05">
            <w:pPr>
              <w:jc w:val="center"/>
              <w:rPr>
                <w:rFonts w:ascii="Garamond" w:hAnsi="Garamond" w:cs="Tahoma"/>
              </w:rPr>
            </w:pPr>
            <w:r w:rsidRPr="005F754A">
              <w:rPr>
                <w:rFonts w:ascii="Garamond" w:hAnsi="Garamond"/>
                <w:b/>
                <w:bCs/>
              </w:rPr>
              <w:t xml:space="preserve">Наименование </w:t>
            </w:r>
            <w:r>
              <w:rPr>
                <w:rFonts w:ascii="Garamond" w:hAnsi="Garamond"/>
                <w:b/>
                <w:bCs/>
              </w:rPr>
              <w:t>п</w:t>
            </w:r>
            <w:r w:rsidRPr="005F754A">
              <w:rPr>
                <w:rFonts w:ascii="Garamond" w:hAnsi="Garamond"/>
                <w:b/>
                <w:bCs/>
              </w:rPr>
              <w:t>араметр</w:t>
            </w:r>
            <w:r>
              <w:rPr>
                <w:rFonts w:ascii="Garamond" w:hAnsi="Garamond"/>
                <w:b/>
                <w:bCs/>
              </w:rPr>
              <w:t>а</w:t>
            </w:r>
            <w:r w:rsidRPr="005F754A">
              <w:rPr>
                <w:rFonts w:ascii="Garamond" w:hAnsi="Garamond"/>
                <w:b/>
                <w:bCs/>
              </w:rPr>
              <w:t xml:space="preserve"> </w:t>
            </w:r>
          </w:p>
        </w:tc>
        <w:tc>
          <w:tcPr>
            <w:tcW w:w="2409" w:type="dxa"/>
            <w:vAlign w:val="center"/>
          </w:tcPr>
          <w:p w14:paraId="11A6BA89" w14:textId="77777777" w:rsidR="004B3B82" w:rsidRPr="005F754A" w:rsidRDefault="004B3B82" w:rsidP="00CD3B05">
            <w:pPr>
              <w:jc w:val="center"/>
              <w:rPr>
                <w:rFonts w:ascii="Garamond" w:hAnsi="Garamond"/>
                <w:b/>
                <w:bCs/>
              </w:rPr>
            </w:pPr>
            <w:r w:rsidRPr="005F754A">
              <w:rPr>
                <w:rFonts w:ascii="Garamond" w:hAnsi="Garamond"/>
                <w:b/>
                <w:bCs/>
              </w:rPr>
              <w:t>Соответствие техническим требованиям ОРЭМ</w:t>
            </w:r>
            <w:r w:rsidRPr="005F754A">
              <w:rPr>
                <w:rFonts w:ascii="Garamond" w:hAnsi="Garamond" w:cs="Tahoma"/>
                <w:sz w:val="22"/>
                <w:szCs w:val="22"/>
              </w:rPr>
              <w:t xml:space="preserve"> (соответствует/не соответствует)</w:t>
            </w:r>
          </w:p>
        </w:tc>
      </w:tr>
      <w:tr w:rsidR="004B3B82" w:rsidRPr="0058630D" w14:paraId="4B7E789B" w14:textId="77777777" w:rsidTr="00CD3B05">
        <w:tc>
          <w:tcPr>
            <w:tcW w:w="590" w:type="dxa"/>
            <w:vAlign w:val="center"/>
          </w:tcPr>
          <w:p w14:paraId="219733DC" w14:textId="77777777" w:rsidR="004B3B82" w:rsidRPr="005F754A" w:rsidRDefault="004B3B82" w:rsidP="00CD3B05">
            <w:pPr>
              <w:jc w:val="center"/>
              <w:rPr>
                <w:rFonts w:ascii="Garamond" w:hAnsi="Garamond" w:cs="Tahoma"/>
              </w:rPr>
            </w:pPr>
            <w:r w:rsidRPr="005F754A">
              <w:rPr>
                <w:rFonts w:ascii="Garamond" w:hAnsi="Garamond" w:cs="Tahoma"/>
                <w:sz w:val="22"/>
                <w:szCs w:val="22"/>
              </w:rPr>
              <w:t>1</w:t>
            </w:r>
          </w:p>
        </w:tc>
        <w:tc>
          <w:tcPr>
            <w:tcW w:w="1276" w:type="dxa"/>
            <w:vAlign w:val="center"/>
          </w:tcPr>
          <w:p w14:paraId="40AD32C6" w14:textId="77777777" w:rsidR="004B3B82" w:rsidRPr="005F754A" w:rsidRDefault="004B3B82" w:rsidP="00CD3B05">
            <w:pPr>
              <w:jc w:val="center"/>
              <w:rPr>
                <w:rFonts w:ascii="Garamond" w:hAnsi="Garamond" w:cs="Tahoma"/>
              </w:rPr>
            </w:pPr>
            <w:r w:rsidRPr="005F754A">
              <w:rPr>
                <w:rFonts w:ascii="Garamond" w:hAnsi="Garamond"/>
              </w:rPr>
              <w:t>П</w:t>
            </w:r>
            <w:r w:rsidRPr="005F754A">
              <w:rPr>
                <w:rFonts w:ascii="Garamond" w:hAnsi="Garamond"/>
                <w:vertAlign w:val="subscript"/>
              </w:rPr>
              <w:t>З13</w:t>
            </w:r>
          </w:p>
        </w:tc>
        <w:tc>
          <w:tcPr>
            <w:tcW w:w="5364" w:type="dxa"/>
            <w:vAlign w:val="center"/>
          </w:tcPr>
          <w:p w14:paraId="4F81A414" w14:textId="77777777" w:rsidR="004B3B82" w:rsidRPr="005F754A" w:rsidRDefault="004B3B82" w:rsidP="00CD3B05">
            <w:pPr>
              <w:rPr>
                <w:rFonts w:ascii="Garamond" w:hAnsi="Garamond" w:cs="Tahoma"/>
              </w:rPr>
            </w:pPr>
            <w:r w:rsidRPr="005F754A">
              <w:rPr>
                <w:rFonts w:ascii="Garamond" w:hAnsi="Garamond" w:cs="Tahoma"/>
                <w:sz w:val="22"/>
                <w:szCs w:val="22"/>
              </w:rPr>
              <w:t xml:space="preserve">Защита информации на программном уровне при параметрировании – установка пароля </w:t>
            </w:r>
            <w:r w:rsidRPr="00756DB1">
              <w:rPr>
                <w:rFonts w:ascii="Garamond" w:hAnsi="Garamond" w:cs="Tahoma"/>
                <w:sz w:val="22"/>
                <w:szCs w:val="22"/>
              </w:rPr>
              <w:t>на счетчик</w:t>
            </w:r>
          </w:p>
        </w:tc>
        <w:tc>
          <w:tcPr>
            <w:tcW w:w="2409" w:type="dxa"/>
            <w:vAlign w:val="center"/>
          </w:tcPr>
          <w:p w14:paraId="3B807E6A" w14:textId="77777777" w:rsidR="004B3B82" w:rsidRPr="005F754A" w:rsidRDefault="004B3B82" w:rsidP="00CD3B05">
            <w:pPr>
              <w:jc w:val="center"/>
              <w:rPr>
                <w:rFonts w:ascii="Garamond" w:hAnsi="Garamond" w:cs="Tahoma"/>
              </w:rPr>
            </w:pPr>
          </w:p>
        </w:tc>
      </w:tr>
      <w:tr w:rsidR="004B3B82" w:rsidRPr="0058630D" w14:paraId="16C41138" w14:textId="77777777" w:rsidTr="00CD3B05">
        <w:tc>
          <w:tcPr>
            <w:tcW w:w="590" w:type="dxa"/>
            <w:vAlign w:val="center"/>
          </w:tcPr>
          <w:p w14:paraId="4DE5B2D1" w14:textId="77777777" w:rsidR="004B3B82" w:rsidRPr="005F754A" w:rsidRDefault="004B3B82" w:rsidP="00CD3B05">
            <w:pPr>
              <w:jc w:val="center"/>
              <w:rPr>
                <w:rFonts w:ascii="Garamond" w:hAnsi="Garamond" w:cs="Tahoma"/>
              </w:rPr>
            </w:pPr>
            <w:r w:rsidRPr="005F754A">
              <w:rPr>
                <w:rFonts w:ascii="Garamond" w:hAnsi="Garamond" w:cs="Tahoma"/>
                <w:sz w:val="22"/>
                <w:szCs w:val="22"/>
              </w:rPr>
              <w:t>2</w:t>
            </w:r>
          </w:p>
        </w:tc>
        <w:tc>
          <w:tcPr>
            <w:tcW w:w="1276" w:type="dxa"/>
            <w:vAlign w:val="center"/>
          </w:tcPr>
          <w:p w14:paraId="0009D3F9" w14:textId="77777777" w:rsidR="004B3B82" w:rsidRPr="005F754A" w:rsidRDefault="004B3B82" w:rsidP="00CD3B05">
            <w:pPr>
              <w:jc w:val="center"/>
              <w:rPr>
                <w:rFonts w:ascii="Garamond" w:hAnsi="Garamond" w:cs="Tahoma"/>
              </w:rPr>
            </w:pPr>
            <w:r w:rsidRPr="005F754A">
              <w:rPr>
                <w:rFonts w:ascii="Garamond" w:hAnsi="Garamond"/>
              </w:rPr>
              <w:t>П</w:t>
            </w:r>
            <w:r w:rsidRPr="005F754A">
              <w:rPr>
                <w:rFonts w:ascii="Garamond" w:hAnsi="Garamond"/>
                <w:vertAlign w:val="subscript"/>
              </w:rPr>
              <w:t>З14</w:t>
            </w:r>
          </w:p>
        </w:tc>
        <w:tc>
          <w:tcPr>
            <w:tcW w:w="5364" w:type="dxa"/>
            <w:vAlign w:val="center"/>
          </w:tcPr>
          <w:p w14:paraId="141594FB" w14:textId="77777777" w:rsidR="004B3B82" w:rsidRPr="005F754A" w:rsidRDefault="004B3B82" w:rsidP="00CD3B05">
            <w:pPr>
              <w:rPr>
                <w:rFonts w:ascii="Garamond" w:hAnsi="Garamond" w:cs="Tahoma"/>
              </w:rPr>
            </w:pPr>
            <w:r w:rsidRPr="005F754A">
              <w:rPr>
                <w:rFonts w:ascii="Garamond" w:hAnsi="Garamond" w:cs="Tahoma"/>
                <w:sz w:val="22"/>
                <w:szCs w:val="22"/>
              </w:rPr>
              <w:t>Защита информации на программном уровне при параметрировании – установка пароля на УСПД</w:t>
            </w:r>
          </w:p>
        </w:tc>
        <w:tc>
          <w:tcPr>
            <w:tcW w:w="2409" w:type="dxa"/>
            <w:vAlign w:val="center"/>
          </w:tcPr>
          <w:p w14:paraId="1B012A64" w14:textId="77777777" w:rsidR="004B3B82" w:rsidRPr="005F754A" w:rsidRDefault="004B3B82" w:rsidP="00CD3B05">
            <w:pPr>
              <w:jc w:val="center"/>
              <w:rPr>
                <w:rFonts w:ascii="Garamond" w:hAnsi="Garamond" w:cs="Tahoma"/>
              </w:rPr>
            </w:pPr>
          </w:p>
        </w:tc>
      </w:tr>
      <w:tr w:rsidR="004B3B82" w:rsidRPr="0058630D" w14:paraId="7C715F49" w14:textId="77777777" w:rsidTr="00CD3B05">
        <w:tc>
          <w:tcPr>
            <w:tcW w:w="590" w:type="dxa"/>
            <w:vAlign w:val="center"/>
          </w:tcPr>
          <w:p w14:paraId="7AD55F44" w14:textId="77777777" w:rsidR="004B3B82" w:rsidRPr="005F754A" w:rsidRDefault="004B3B82" w:rsidP="00CD3B05">
            <w:pPr>
              <w:jc w:val="center"/>
              <w:rPr>
                <w:rFonts w:ascii="Garamond" w:hAnsi="Garamond" w:cs="Tahoma"/>
              </w:rPr>
            </w:pPr>
            <w:r w:rsidRPr="005F754A">
              <w:rPr>
                <w:rFonts w:ascii="Garamond" w:hAnsi="Garamond" w:cs="Tahoma"/>
                <w:sz w:val="22"/>
                <w:szCs w:val="22"/>
              </w:rPr>
              <w:t>3</w:t>
            </w:r>
          </w:p>
        </w:tc>
        <w:tc>
          <w:tcPr>
            <w:tcW w:w="1276" w:type="dxa"/>
            <w:vAlign w:val="center"/>
          </w:tcPr>
          <w:p w14:paraId="66B4B04F" w14:textId="77777777" w:rsidR="004B3B82" w:rsidRPr="005F754A" w:rsidRDefault="004B3B82" w:rsidP="00CD3B05">
            <w:pPr>
              <w:jc w:val="center"/>
              <w:rPr>
                <w:rFonts w:ascii="Garamond" w:hAnsi="Garamond" w:cs="Tahoma"/>
              </w:rPr>
            </w:pPr>
            <w:r w:rsidRPr="005F754A">
              <w:rPr>
                <w:rFonts w:ascii="Garamond" w:hAnsi="Garamond"/>
              </w:rPr>
              <w:t>П</w:t>
            </w:r>
            <w:r w:rsidRPr="005F754A">
              <w:rPr>
                <w:rFonts w:ascii="Garamond" w:hAnsi="Garamond"/>
                <w:vertAlign w:val="subscript"/>
              </w:rPr>
              <w:t>З15</w:t>
            </w:r>
          </w:p>
        </w:tc>
        <w:tc>
          <w:tcPr>
            <w:tcW w:w="5364" w:type="dxa"/>
            <w:vAlign w:val="center"/>
          </w:tcPr>
          <w:p w14:paraId="3CDCA33C" w14:textId="77777777" w:rsidR="004B3B82" w:rsidRPr="005F754A" w:rsidRDefault="004B3B82" w:rsidP="00CD3B05">
            <w:pPr>
              <w:rPr>
                <w:rFonts w:ascii="Garamond" w:hAnsi="Garamond" w:cs="Tahoma"/>
              </w:rPr>
            </w:pPr>
            <w:r w:rsidRPr="005F754A">
              <w:rPr>
                <w:rFonts w:ascii="Garamond" w:hAnsi="Garamond" w:cs="Tahoma"/>
                <w:sz w:val="22"/>
                <w:szCs w:val="22"/>
              </w:rPr>
              <w:t>Защита информации на программном уровне при параметрировании – установка пароля на сервер</w:t>
            </w:r>
          </w:p>
        </w:tc>
        <w:tc>
          <w:tcPr>
            <w:tcW w:w="2409" w:type="dxa"/>
            <w:vAlign w:val="center"/>
          </w:tcPr>
          <w:p w14:paraId="776F1B25" w14:textId="77777777" w:rsidR="004B3B82" w:rsidRPr="005F754A" w:rsidRDefault="004B3B82" w:rsidP="00CD3B05">
            <w:pPr>
              <w:jc w:val="center"/>
              <w:rPr>
                <w:rFonts w:ascii="Garamond" w:hAnsi="Garamond" w:cs="Tahoma"/>
              </w:rPr>
            </w:pPr>
          </w:p>
        </w:tc>
      </w:tr>
      <w:tr w:rsidR="004B3B82" w:rsidRPr="0058630D" w14:paraId="64B5679A" w14:textId="77777777" w:rsidTr="00CD3B05">
        <w:tc>
          <w:tcPr>
            <w:tcW w:w="590" w:type="dxa"/>
            <w:vAlign w:val="center"/>
          </w:tcPr>
          <w:p w14:paraId="246175AC" w14:textId="77777777" w:rsidR="004B3B82" w:rsidRPr="005F754A" w:rsidRDefault="004B3B82" w:rsidP="00CD3B05">
            <w:pPr>
              <w:jc w:val="center"/>
              <w:rPr>
                <w:rFonts w:ascii="Garamond" w:hAnsi="Garamond" w:cs="Tahoma"/>
              </w:rPr>
            </w:pPr>
            <w:r w:rsidRPr="005F754A">
              <w:rPr>
                <w:rFonts w:ascii="Garamond" w:hAnsi="Garamond" w:cs="Tahoma"/>
                <w:sz w:val="22"/>
                <w:szCs w:val="22"/>
              </w:rPr>
              <w:t>4</w:t>
            </w:r>
          </w:p>
        </w:tc>
        <w:tc>
          <w:tcPr>
            <w:tcW w:w="1276" w:type="dxa"/>
            <w:vAlign w:val="center"/>
          </w:tcPr>
          <w:p w14:paraId="49EC0E97" w14:textId="77777777" w:rsidR="004B3B82" w:rsidRPr="005F754A" w:rsidRDefault="004B3B82" w:rsidP="00CD3B05">
            <w:pPr>
              <w:jc w:val="center"/>
              <w:rPr>
                <w:rFonts w:ascii="Garamond" w:hAnsi="Garamond" w:cs="Tahoma"/>
              </w:rPr>
            </w:pPr>
            <w:r w:rsidRPr="005F754A">
              <w:rPr>
                <w:rFonts w:ascii="Garamond" w:hAnsi="Garamond"/>
              </w:rPr>
              <w:t>П</w:t>
            </w:r>
            <w:r w:rsidRPr="005F754A">
              <w:rPr>
                <w:rFonts w:ascii="Garamond" w:hAnsi="Garamond"/>
                <w:vertAlign w:val="subscript"/>
              </w:rPr>
              <w:t>Ф10</w:t>
            </w:r>
          </w:p>
        </w:tc>
        <w:tc>
          <w:tcPr>
            <w:tcW w:w="5364" w:type="dxa"/>
            <w:vAlign w:val="center"/>
          </w:tcPr>
          <w:p w14:paraId="7FF89F27" w14:textId="77777777" w:rsidR="004B3B82" w:rsidRPr="005F754A" w:rsidRDefault="004B3B82" w:rsidP="00CD3B05">
            <w:pPr>
              <w:rPr>
                <w:rFonts w:ascii="Garamond" w:hAnsi="Garamond" w:cs="Tahoma"/>
              </w:rPr>
            </w:pPr>
            <w:r w:rsidRPr="005F754A">
              <w:rPr>
                <w:rFonts w:ascii="Garamond" w:hAnsi="Garamond" w:cs="Tahoma"/>
                <w:sz w:val="22"/>
                <w:szCs w:val="22"/>
              </w:rPr>
              <w:t>Коррекция/синхронизация времени в ИИК, ИВКЭ и ИВК</w:t>
            </w:r>
          </w:p>
        </w:tc>
        <w:tc>
          <w:tcPr>
            <w:tcW w:w="2409" w:type="dxa"/>
            <w:vAlign w:val="center"/>
          </w:tcPr>
          <w:p w14:paraId="7FFE955F" w14:textId="77777777" w:rsidR="004B3B82" w:rsidRPr="005F754A" w:rsidRDefault="004B3B82" w:rsidP="00CD3B05">
            <w:pPr>
              <w:rPr>
                <w:rFonts w:ascii="Garamond" w:hAnsi="Garamond" w:cs="Tahoma"/>
              </w:rPr>
            </w:pPr>
          </w:p>
        </w:tc>
      </w:tr>
      <w:tr w:rsidR="004B3B82" w:rsidRPr="0058630D" w14:paraId="4ED37271" w14:textId="77777777" w:rsidTr="00CD3B05">
        <w:tc>
          <w:tcPr>
            <w:tcW w:w="590" w:type="dxa"/>
            <w:vAlign w:val="center"/>
          </w:tcPr>
          <w:p w14:paraId="1E547629" w14:textId="77777777" w:rsidR="004B3B82" w:rsidRPr="005F754A" w:rsidRDefault="004B3B82" w:rsidP="00CD3B05">
            <w:pPr>
              <w:jc w:val="center"/>
              <w:rPr>
                <w:rFonts w:ascii="Garamond" w:hAnsi="Garamond" w:cs="Tahoma"/>
              </w:rPr>
            </w:pPr>
            <w:r w:rsidRPr="005F754A">
              <w:rPr>
                <w:rFonts w:ascii="Garamond" w:hAnsi="Garamond" w:cs="Tahoma"/>
                <w:sz w:val="22"/>
                <w:szCs w:val="22"/>
              </w:rPr>
              <w:t>5</w:t>
            </w:r>
          </w:p>
        </w:tc>
        <w:tc>
          <w:tcPr>
            <w:tcW w:w="1276" w:type="dxa"/>
            <w:vAlign w:val="center"/>
          </w:tcPr>
          <w:p w14:paraId="2945B5FF" w14:textId="77777777" w:rsidR="004B3B82" w:rsidRPr="005F754A" w:rsidRDefault="004B3B82" w:rsidP="00CD3B05">
            <w:pPr>
              <w:jc w:val="center"/>
              <w:rPr>
                <w:rFonts w:ascii="Garamond" w:hAnsi="Garamond" w:cs="Tahoma"/>
              </w:rPr>
            </w:pPr>
            <w:r w:rsidRPr="005F754A">
              <w:rPr>
                <w:rFonts w:ascii="Garamond" w:hAnsi="Garamond"/>
              </w:rPr>
              <w:t>П</w:t>
            </w:r>
            <w:r w:rsidRPr="005F754A">
              <w:rPr>
                <w:rFonts w:ascii="Garamond" w:hAnsi="Garamond"/>
                <w:vertAlign w:val="subscript"/>
              </w:rPr>
              <w:t>Ф11</w:t>
            </w:r>
          </w:p>
        </w:tc>
        <w:tc>
          <w:tcPr>
            <w:tcW w:w="5364" w:type="dxa"/>
            <w:vAlign w:val="center"/>
          </w:tcPr>
          <w:p w14:paraId="7263CCD4" w14:textId="77777777" w:rsidR="004B3B82" w:rsidRPr="005F754A" w:rsidRDefault="004B3B82" w:rsidP="00CD3B05">
            <w:pPr>
              <w:rPr>
                <w:rFonts w:ascii="Garamond" w:hAnsi="Garamond" w:cs="Tahoma"/>
              </w:rPr>
            </w:pPr>
            <w:r w:rsidRPr="005F754A">
              <w:rPr>
                <w:rFonts w:ascii="Garamond" w:hAnsi="Garamond" w:cs="Tahoma"/>
                <w:sz w:val="22"/>
                <w:szCs w:val="22"/>
              </w:rPr>
              <w:t>Сбор информации о состояниях средств измерений</w:t>
            </w:r>
          </w:p>
        </w:tc>
        <w:tc>
          <w:tcPr>
            <w:tcW w:w="2409" w:type="dxa"/>
            <w:vAlign w:val="center"/>
          </w:tcPr>
          <w:p w14:paraId="79B5CF02" w14:textId="77777777" w:rsidR="004B3B82" w:rsidRPr="005F754A" w:rsidRDefault="004B3B82" w:rsidP="00CD3B05">
            <w:pPr>
              <w:jc w:val="center"/>
              <w:rPr>
                <w:rFonts w:ascii="Garamond" w:hAnsi="Garamond" w:cs="Tahoma"/>
              </w:rPr>
            </w:pPr>
          </w:p>
        </w:tc>
      </w:tr>
      <w:tr w:rsidR="004B3B82" w:rsidRPr="0058630D" w14:paraId="299CD86C" w14:textId="77777777" w:rsidTr="00CD3B05">
        <w:tc>
          <w:tcPr>
            <w:tcW w:w="590" w:type="dxa"/>
            <w:vAlign w:val="center"/>
          </w:tcPr>
          <w:p w14:paraId="20DA367D" w14:textId="77777777" w:rsidR="004B3B82" w:rsidRPr="005F754A" w:rsidRDefault="004B3B82" w:rsidP="00CD3B05">
            <w:pPr>
              <w:jc w:val="center"/>
              <w:rPr>
                <w:rFonts w:ascii="Garamond" w:hAnsi="Garamond" w:cs="Tahoma"/>
              </w:rPr>
            </w:pPr>
            <w:r w:rsidRPr="005F754A">
              <w:rPr>
                <w:rFonts w:ascii="Garamond" w:hAnsi="Garamond" w:cs="Tahoma"/>
                <w:sz w:val="22"/>
                <w:szCs w:val="22"/>
              </w:rPr>
              <w:t>6</w:t>
            </w:r>
          </w:p>
        </w:tc>
        <w:tc>
          <w:tcPr>
            <w:tcW w:w="1276" w:type="dxa"/>
            <w:vAlign w:val="center"/>
          </w:tcPr>
          <w:p w14:paraId="6E69204A" w14:textId="77777777" w:rsidR="004B3B82" w:rsidRPr="005F754A" w:rsidRDefault="004B3B82" w:rsidP="00CD3B05">
            <w:pPr>
              <w:jc w:val="center"/>
              <w:rPr>
                <w:rFonts w:ascii="Garamond" w:hAnsi="Garamond" w:cs="Tahoma"/>
              </w:rPr>
            </w:pPr>
            <w:r w:rsidRPr="005F754A">
              <w:rPr>
                <w:rFonts w:ascii="Garamond" w:hAnsi="Garamond"/>
              </w:rPr>
              <w:t>П</w:t>
            </w:r>
            <w:r w:rsidRPr="005F754A">
              <w:rPr>
                <w:rFonts w:ascii="Garamond" w:hAnsi="Garamond"/>
                <w:vertAlign w:val="subscript"/>
              </w:rPr>
              <w:t>Ф13</w:t>
            </w:r>
          </w:p>
        </w:tc>
        <w:tc>
          <w:tcPr>
            <w:tcW w:w="5364" w:type="dxa"/>
            <w:vAlign w:val="center"/>
          </w:tcPr>
          <w:p w14:paraId="5208B0A4" w14:textId="77777777" w:rsidR="004B3B82" w:rsidRPr="005F754A" w:rsidRDefault="004B3B82" w:rsidP="00CD3B05">
            <w:pPr>
              <w:rPr>
                <w:rFonts w:ascii="Garamond" w:hAnsi="Garamond" w:cs="Tahoma"/>
              </w:rPr>
            </w:pPr>
            <w:r w:rsidRPr="005F754A">
              <w:rPr>
                <w:rFonts w:ascii="Garamond" w:hAnsi="Garamond" w:cs="Tahoma"/>
                <w:sz w:val="22"/>
                <w:szCs w:val="22"/>
              </w:rPr>
              <w:t>Сбор результатов измерений</w:t>
            </w:r>
          </w:p>
        </w:tc>
        <w:tc>
          <w:tcPr>
            <w:tcW w:w="2409" w:type="dxa"/>
            <w:vAlign w:val="center"/>
          </w:tcPr>
          <w:p w14:paraId="326D63DD" w14:textId="77777777" w:rsidR="004B3B82" w:rsidRPr="005F754A" w:rsidRDefault="004B3B82" w:rsidP="00CD3B05">
            <w:pPr>
              <w:jc w:val="center"/>
              <w:rPr>
                <w:rFonts w:ascii="Garamond" w:hAnsi="Garamond" w:cs="Tahoma"/>
              </w:rPr>
            </w:pPr>
          </w:p>
        </w:tc>
      </w:tr>
      <w:tr w:rsidR="004B3B82" w:rsidRPr="0058630D" w14:paraId="1BAF7145" w14:textId="77777777" w:rsidTr="00CD3B05">
        <w:tc>
          <w:tcPr>
            <w:tcW w:w="590" w:type="dxa"/>
            <w:vAlign w:val="center"/>
          </w:tcPr>
          <w:p w14:paraId="0127777D" w14:textId="77777777" w:rsidR="004B3B82" w:rsidRPr="005F754A" w:rsidRDefault="004B3B82" w:rsidP="00CD3B05">
            <w:pPr>
              <w:jc w:val="center"/>
              <w:rPr>
                <w:rFonts w:ascii="Garamond" w:hAnsi="Garamond" w:cs="Tahoma"/>
              </w:rPr>
            </w:pPr>
            <w:r w:rsidRPr="005F754A">
              <w:rPr>
                <w:rFonts w:ascii="Garamond" w:hAnsi="Garamond" w:cs="Tahoma"/>
                <w:sz w:val="22"/>
                <w:szCs w:val="22"/>
              </w:rPr>
              <w:t>7</w:t>
            </w:r>
          </w:p>
        </w:tc>
        <w:tc>
          <w:tcPr>
            <w:tcW w:w="1276" w:type="dxa"/>
            <w:vAlign w:val="center"/>
          </w:tcPr>
          <w:p w14:paraId="621F9820" w14:textId="77777777" w:rsidR="004B3B82" w:rsidRPr="005F754A" w:rsidRDefault="004B3B82" w:rsidP="00CD3B05">
            <w:pPr>
              <w:jc w:val="center"/>
              <w:rPr>
                <w:rFonts w:ascii="Garamond" w:hAnsi="Garamond" w:cs="Tahoma"/>
              </w:rPr>
            </w:pPr>
            <w:r w:rsidRPr="005F754A">
              <w:rPr>
                <w:rFonts w:ascii="Garamond" w:hAnsi="Garamond"/>
              </w:rPr>
              <w:t>П</w:t>
            </w:r>
            <w:r w:rsidRPr="005F754A">
              <w:rPr>
                <w:rFonts w:ascii="Garamond" w:hAnsi="Garamond"/>
                <w:vertAlign w:val="subscript"/>
              </w:rPr>
              <w:t>Ф16</w:t>
            </w:r>
          </w:p>
        </w:tc>
        <w:tc>
          <w:tcPr>
            <w:tcW w:w="5364" w:type="dxa"/>
            <w:vAlign w:val="center"/>
          </w:tcPr>
          <w:p w14:paraId="711BF9C9" w14:textId="77777777" w:rsidR="004B3B82" w:rsidRPr="005F754A" w:rsidRDefault="004B3B82" w:rsidP="00CD3B05">
            <w:pPr>
              <w:rPr>
                <w:rFonts w:ascii="Garamond" w:hAnsi="Garamond" w:cs="Tahoma"/>
              </w:rPr>
            </w:pPr>
            <w:r w:rsidRPr="005F754A">
              <w:rPr>
                <w:rFonts w:ascii="Garamond" w:hAnsi="Garamond" w:cs="Tahoma"/>
                <w:sz w:val="22"/>
                <w:szCs w:val="22"/>
              </w:rPr>
              <w:t>Цикличность измерений приращений электроэнергии – 30 минут</w:t>
            </w:r>
          </w:p>
        </w:tc>
        <w:tc>
          <w:tcPr>
            <w:tcW w:w="2409" w:type="dxa"/>
            <w:vAlign w:val="center"/>
          </w:tcPr>
          <w:p w14:paraId="594A8A7B" w14:textId="77777777" w:rsidR="004B3B82" w:rsidRPr="005F754A" w:rsidRDefault="004B3B82" w:rsidP="00CD3B05">
            <w:pPr>
              <w:jc w:val="center"/>
              <w:rPr>
                <w:rFonts w:ascii="Garamond" w:hAnsi="Garamond" w:cs="Tahoma"/>
              </w:rPr>
            </w:pPr>
          </w:p>
        </w:tc>
      </w:tr>
      <w:tr w:rsidR="004B3B82" w:rsidRPr="0058630D" w14:paraId="32094062" w14:textId="77777777" w:rsidTr="00CD3B05">
        <w:tc>
          <w:tcPr>
            <w:tcW w:w="590" w:type="dxa"/>
            <w:vAlign w:val="center"/>
          </w:tcPr>
          <w:p w14:paraId="34991CB7" w14:textId="77777777" w:rsidR="004B3B82" w:rsidRPr="005F754A" w:rsidRDefault="004B3B82" w:rsidP="00CD3B05">
            <w:pPr>
              <w:jc w:val="center"/>
              <w:rPr>
                <w:rFonts w:ascii="Garamond" w:hAnsi="Garamond" w:cs="Tahoma"/>
              </w:rPr>
            </w:pPr>
            <w:r w:rsidRPr="005F754A">
              <w:rPr>
                <w:rFonts w:ascii="Garamond" w:hAnsi="Garamond" w:cs="Tahoma"/>
                <w:sz w:val="22"/>
                <w:szCs w:val="22"/>
              </w:rPr>
              <w:t>8</w:t>
            </w:r>
          </w:p>
        </w:tc>
        <w:tc>
          <w:tcPr>
            <w:tcW w:w="1276" w:type="dxa"/>
            <w:vAlign w:val="center"/>
          </w:tcPr>
          <w:p w14:paraId="70EF583E" w14:textId="77777777" w:rsidR="004B3B82" w:rsidRPr="005F754A" w:rsidRDefault="004B3B82" w:rsidP="00CD3B05">
            <w:pPr>
              <w:jc w:val="center"/>
              <w:rPr>
                <w:rFonts w:ascii="Garamond" w:hAnsi="Garamond" w:cs="Tahoma"/>
              </w:rPr>
            </w:pPr>
            <w:r w:rsidRPr="005F754A">
              <w:rPr>
                <w:rFonts w:ascii="Garamond" w:hAnsi="Garamond"/>
              </w:rPr>
              <w:t>П</w:t>
            </w:r>
            <w:r w:rsidRPr="005F754A">
              <w:rPr>
                <w:rFonts w:ascii="Garamond" w:hAnsi="Garamond"/>
                <w:vertAlign w:val="subscript"/>
              </w:rPr>
              <w:t>Ф24</w:t>
            </w:r>
          </w:p>
        </w:tc>
        <w:tc>
          <w:tcPr>
            <w:tcW w:w="5364" w:type="dxa"/>
            <w:vAlign w:val="center"/>
          </w:tcPr>
          <w:p w14:paraId="29193278" w14:textId="77777777" w:rsidR="004B3B82" w:rsidRPr="005F754A" w:rsidRDefault="004B3B82" w:rsidP="00CD3B05">
            <w:pPr>
              <w:rPr>
                <w:rFonts w:ascii="Garamond" w:hAnsi="Garamond" w:cs="Tahoma"/>
              </w:rPr>
            </w:pPr>
            <w:r w:rsidRPr="005F754A">
              <w:rPr>
                <w:rFonts w:ascii="Garamond" w:hAnsi="Garamond" w:cs="Tahoma"/>
                <w:sz w:val="22"/>
                <w:szCs w:val="22"/>
              </w:rPr>
              <w:t>Цикличность сбора информации – 1 раз в сутки</w:t>
            </w:r>
          </w:p>
        </w:tc>
        <w:tc>
          <w:tcPr>
            <w:tcW w:w="2409" w:type="dxa"/>
            <w:vAlign w:val="center"/>
          </w:tcPr>
          <w:p w14:paraId="46B1E775" w14:textId="77777777" w:rsidR="004B3B82" w:rsidRPr="005F754A" w:rsidRDefault="004B3B82" w:rsidP="00CD3B05">
            <w:pPr>
              <w:jc w:val="center"/>
              <w:rPr>
                <w:rFonts w:ascii="Garamond" w:hAnsi="Garamond" w:cs="Tahoma"/>
              </w:rPr>
            </w:pPr>
          </w:p>
        </w:tc>
      </w:tr>
      <w:tr w:rsidR="004B3B82" w:rsidRPr="0058630D" w14:paraId="0179F8AA" w14:textId="77777777" w:rsidTr="00CD3B05">
        <w:tc>
          <w:tcPr>
            <w:tcW w:w="590" w:type="dxa"/>
            <w:vAlign w:val="center"/>
          </w:tcPr>
          <w:p w14:paraId="27F7B104" w14:textId="77777777" w:rsidR="004B3B82" w:rsidRPr="005F754A" w:rsidRDefault="004B3B82" w:rsidP="00CD3B05">
            <w:pPr>
              <w:jc w:val="center"/>
              <w:rPr>
                <w:rFonts w:ascii="Garamond" w:hAnsi="Garamond" w:cs="Tahoma"/>
              </w:rPr>
            </w:pPr>
            <w:r w:rsidRPr="005F754A">
              <w:rPr>
                <w:rFonts w:ascii="Garamond" w:hAnsi="Garamond" w:cs="Tahoma"/>
                <w:sz w:val="22"/>
                <w:szCs w:val="22"/>
              </w:rPr>
              <w:t>9</w:t>
            </w:r>
          </w:p>
        </w:tc>
        <w:tc>
          <w:tcPr>
            <w:tcW w:w="1276" w:type="dxa"/>
            <w:vAlign w:val="center"/>
          </w:tcPr>
          <w:p w14:paraId="644EAFE2" w14:textId="77777777" w:rsidR="004B3B82" w:rsidRPr="005F754A" w:rsidRDefault="004B3B82" w:rsidP="00CD3B05">
            <w:pPr>
              <w:jc w:val="center"/>
              <w:rPr>
                <w:rFonts w:ascii="Garamond" w:hAnsi="Garamond" w:cs="Tahoma"/>
              </w:rPr>
            </w:pPr>
            <w:r w:rsidRPr="005F754A">
              <w:rPr>
                <w:rFonts w:ascii="Garamond" w:hAnsi="Garamond"/>
              </w:rPr>
              <w:t>П</w:t>
            </w:r>
            <w:r w:rsidRPr="005F754A">
              <w:rPr>
                <w:rFonts w:ascii="Garamond" w:hAnsi="Garamond"/>
                <w:vertAlign w:val="subscript"/>
              </w:rPr>
              <w:t>Ф32</w:t>
            </w:r>
          </w:p>
        </w:tc>
        <w:tc>
          <w:tcPr>
            <w:tcW w:w="5364" w:type="dxa"/>
            <w:vAlign w:val="center"/>
          </w:tcPr>
          <w:p w14:paraId="39BE4B3E" w14:textId="77777777" w:rsidR="004B3B82" w:rsidRPr="005F754A" w:rsidRDefault="004B3B82" w:rsidP="00CD3B05">
            <w:pPr>
              <w:rPr>
                <w:rFonts w:ascii="Garamond" w:hAnsi="Garamond" w:cs="Tahoma"/>
              </w:rPr>
            </w:pPr>
            <w:r w:rsidRPr="005F754A">
              <w:rPr>
                <w:rFonts w:ascii="Garamond" w:hAnsi="Garamond" w:cs="Tahoma"/>
                <w:sz w:val="22"/>
                <w:szCs w:val="22"/>
              </w:rPr>
              <w:t>Дистанционный доступ к АИИС КУЭ для контроля со стороны КО</w:t>
            </w:r>
          </w:p>
        </w:tc>
        <w:tc>
          <w:tcPr>
            <w:tcW w:w="2409" w:type="dxa"/>
            <w:vAlign w:val="center"/>
          </w:tcPr>
          <w:p w14:paraId="545950B4" w14:textId="77777777" w:rsidR="004B3B82" w:rsidRPr="005F754A" w:rsidRDefault="004B3B82" w:rsidP="00CD3B05">
            <w:pPr>
              <w:jc w:val="center"/>
              <w:rPr>
                <w:rFonts w:ascii="Garamond" w:hAnsi="Garamond" w:cs="Tahoma"/>
              </w:rPr>
            </w:pPr>
          </w:p>
        </w:tc>
      </w:tr>
      <w:tr w:rsidR="004B3B82" w:rsidRPr="0058630D" w14:paraId="7580AF23" w14:textId="77777777" w:rsidTr="00CD3B05">
        <w:trPr>
          <w:trHeight w:val="194"/>
        </w:trPr>
        <w:tc>
          <w:tcPr>
            <w:tcW w:w="590" w:type="dxa"/>
            <w:vAlign w:val="center"/>
          </w:tcPr>
          <w:p w14:paraId="3F453B1E" w14:textId="77777777" w:rsidR="004B3B82" w:rsidRPr="005F754A" w:rsidRDefault="004B3B82" w:rsidP="00CD3B05">
            <w:pPr>
              <w:jc w:val="center"/>
              <w:rPr>
                <w:rFonts w:ascii="Garamond" w:hAnsi="Garamond" w:cs="Tahoma"/>
              </w:rPr>
            </w:pPr>
            <w:r w:rsidRPr="005F754A">
              <w:rPr>
                <w:rFonts w:ascii="Garamond" w:hAnsi="Garamond" w:cs="Tahoma"/>
                <w:sz w:val="22"/>
                <w:szCs w:val="22"/>
              </w:rPr>
              <w:t>10</w:t>
            </w:r>
          </w:p>
        </w:tc>
        <w:tc>
          <w:tcPr>
            <w:tcW w:w="1276" w:type="dxa"/>
            <w:vAlign w:val="center"/>
          </w:tcPr>
          <w:p w14:paraId="5DF9D1ED" w14:textId="77777777" w:rsidR="004B3B82" w:rsidRPr="005F754A" w:rsidRDefault="004B3B82" w:rsidP="00CD3B05">
            <w:pPr>
              <w:jc w:val="center"/>
              <w:rPr>
                <w:rFonts w:ascii="Garamond" w:hAnsi="Garamond" w:cs="Tahoma"/>
              </w:rPr>
            </w:pPr>
            <w:r w:rsidRPr="005F754A">
              <w:rPr>
                <w:rFonts w:ascii="Garamond" w:hAnsi="Garamond"/>
              </w:rPr>
              <w:t>П</w:t>
            </w:r>
            <w:r w:rsidRPr="005F754A">
              <w:rPr>
                <w:rFonts w:ascii="Garamond" w:hAnsi="Garamond"/>
                <w:vertAlign w:val="subscript"/>
              </w:rPr>
              <w:t>Ф40</w:t>
            </w:r>
          </w:p>
        </w:tc>
        <w:tc>
          <w:tcPr>
            <w:tcW w:w="5364" w:type="dxa"/>
            <w:vAlign w:val="center"/>
          </w:tcPr>
          <w:p w14:paraId="53F76935" w14:textId="77777777" w:rsidR="004B3B82" w:rsidRPr="005F754A" w:rsidRDefault="004B3B82" w:rsidP="00CD3B05">
            <w:pPr>
              <w:rPr>
                <w:rFonts w:ascii="Garamond" w:hAnsi="Garamond" w:cs="Tahoma"/>
              </w:rPr>
            </w:pPr>
            <w:r w:rsidRPr="005F754A">
              <w:rPr>
                <w:rFonts w:ascii="Garamond" w:hAnsi="Garamond" w:cs="Tahoma"/>
                <w:sz w:val="22"/>
                <w:szCs w:val="22"/>
              </w:rPr>
              <w:t>Глубина хранения информации (профиля) в ИИК</w:t>
            </w:r>
          </w:p>
        </w:tc>
        <w:tc>
          <w:tcPr>
            <w:tcW w:w="2409" w:type="dxa"/>
            <w:vAlign w:val="center"/>
          </w:tcPr>
          <w:p w14:paraId="558BF69C" w14:textId="77777777" w:rsidR="004B3B82" w:rsidRPr="005F754A" w:rsidRDefault="004B3B82" w:rsidP="00CD3B05">
            <w:pPr>
              <w:jc w:val="center"/>
              <w:rPr>
                <w:rFonts w:ascii="Garamond" w:hAnsi="Garamond" w:cs="Tahoma"/>
              </w:rPr>
            </w:pPr>
          </w:p>
        </w:tc>
      </w:tr>
      <w:tr w:rsidR="004B3B82" w:rsidRPr="0058630D" w14:paraId="6A1C07C4" w14:textId="77777777" w:rsidTr="00CD3B05">
        <w:tc>
          <w:tcPr>
            <w:tcW w:w="590" w:type="dxa"/>
            <w:vAlign w:val="center"/>
          </w:tcPr>
          <w:p w14:paraId="64CBC434" w14:textId="77777777" w:rsidR="004B3B82" w:rsidRPr="005F754A" w:rsidRDefault="004B3B82" w:rsidP="00CD3B05">
            <w:pPr>
              <w:jc w:val="center"/>
              <w:rPr>
                <w:rFonts w:ascii="Garamond" w:hAnsi="Garamond" w:cs="Tahoma"/>
              </w:rPr>
            </w:pPr>
            <w:r w:rsidRPr="005F754A">
              <w:rPr>
                <w:rFonts w:ascii="Garamond" w:hAnsi="Garamond" w:cs="Tahoma"/>
                <w:sz w:val="22"/>
                <w:szCs w:val="22"/>
              </w:rPr>
              <w:t>11</w:t>
            </w:r>
          </w:p>
        </w:tc>
        <w:tc>
          <w:tcPr>
            <w:tcW w:w="1276" w:type="dxa"/>
            <w:vAlign w:val="center"/>
          </w:tcPr>
          <w:p w14:paraId="7832EDB5" w14:textId="77777777" w:rsidR="004B3B82" w:rsidRPr="005F754A" w:rsidRDefault="004B3B82" w:rsidP="00CD3B05">
            <w:pPr>
              <w:jc w:val="center"/>
              <w:rPr>
                <w:rFonts w:ascii="Garamond" w:hAnsi="Garamond" w:cs="Tahoma"/>
              </w:rPr>
            </w:pPr>
            <w:r w:rsidRPr="005F754A">
              <w:rPr>
                <w:rFonts w:ascii="Garamond" w:hAnsi="Garamond"/>
              </w:rPr>
              <w:t>П</w:t>
            </w:r>
            <w:r w:rsidRPr="005F754A">
              <w:rPr>
                <w:rFonts w:ascii="Garamond" w:hAnsi="Garamond"/>
                <w:vertAlign w:val="subscript"/>
              </w:rPr>
              <w:t>Ф41</w:t>
            </w:r>
          </w:p>
        </w:tc>
        <w:tc>
          <w:tcPr>
            <w:tcW w:w="5364" w:type="dxa"/>
            <w:vAlign w:val="center"/>
          </w:tcPr>
          <w:p w14:paraId="54D62B65" w14:textId="77777777" w:rsidR="004B3B82" w:rsidRPr="005F754A" w:rsidRDefault="004B3B82" w:rsidP="00CD3B05">
            <w:pPr>
              <w:rPr>
                <w:rFonts w:ascii="Garamond" w:hAnsi="Garamond" w:cs="Tahoma"/>
              </w:rPr>
            </w:pPr>
            <w:r w:rsidRPr="005F754A">
              <w:rPr>
                <w:rFonts w:ascii="Garamond" w:hAnsi="Garamond" w:cs="Tahoma"/>
                <w:sz w:val="22"/>
                <w:szCs w:val="22"/>
              </w:rPr>
              <w:t>Глубина хранения информации (профиля) в ИВКЭ</w:t>
            </w:r>
          </w:p>
        </w:tc>
        <w:tc>
          <w:tcPr>
            <w:tcW w:w="2409" w:type="dxa"/>
            <w:vAlign w:val="center"/>
          </w:tcPr>
          <w:p w14:paraId="374B983C" w14:textId="77777777" w:rsidR="004B3B82" w:rsidRPr="005F754A" w:rsidRDefault="004B3B82" w:rsidP="00CD3B05">
            <w:pPr>
              <w:jc w:val="center"/>
              <w:rPr>
                <w:rFonts w:ascii="Garamond" w:hAnsi="Garamond" w:cs="Tahoma"/>
              </w:rPr>
            </w:pPr>
          </w:p>
        </w:tc>
      </w:tr>
      <w:tr w:rsidR="004B3B82" w:rsidRPr="0058630D" w14:paraId="06AD919C" w14:textId="77777777" w:rsidTr="00CD3B05">
        <w:tc>
          <w:tcPr>
            <w:tcW w:w="590" w:type="dxa"/>
            <w:vAlign w:val="center"/>
          </w:tcPr>
          <w:p w14:paraId="5062DF77" w14:textId="77777777" w:rsidR="004B3B82" w:rsidRPr="005F754A" w:rsidRDefault="004B3B82" w:rsidP="00CD3B05">
            <w:pPr>
              <w:jc w:val="center"/>
              <w:rPr>
                <w:rFonts w:ascii="Garamond" w:hAnsi="Garamond" w:cs="Tahoma"/>
              </w:rPr>
            </w:pPr>
            <w:r w:rsidRPr="005F754A">
              <w:rPr>
                <w:rFonts w:ascii="Garamond" w:hAnsi="Garamond" w:cs="Tahoma"/>
                <w:sz w:val="22"/>
                <w:szCs w:val="22"/>
              </w:rPr>
              <w:t>12</w:t>
            </w:r>
          </w:p>
        </w:tc>
        <w:tc>
          <w:tcPr>
            <w:tcW w:w="1276" w:type="dxa"/>
            <w:vAlign w:val="center"/>
          </w:tcPr>
          <w:p w14:paraId="7C23BC55" w14:textId="77777777" w:rsidR="004B3B82" w:rsidRPr="005F754A" w:rsidRDefault="004B3B82" w:rsidP="00CD3B05">
            <w:pPr>
              <w:jc w:val="center"/>
              <w:rPr>
                <w:rFonts w:ascii="Garamond" w:hAnsi="Garamond" w:cs="Tahoma"/>
              </w:rPr>
            </w:pPr>
            <w:r w:rsidRPr="005F754A">
              <w:rPr>
                <w:rFonts w:ascii="Garamond" w:hAnsi="Garamond"/>
              </w:rPr>
              <w:t>П</w:t>
            </w:r>
            <w:r w:rsidRPr="005F754A">
              <w:rPr>
                <w:rFonts w:ascii="Garamond" w:hAnsi="Garamond"/>
                <w:vertAlign w:val="subscript"/>
              </w:rPr>
              <w:t>Ф42</w:t>
            </w:r>
          </w:p>
        </w:tc>
        <w:tc>
          <w:tcPr>
            <w:tcW w:w="5364" w:type="dxa"/>
            <w:vAlign w:val="center"/>
          </w:tcPr>
          <w:p w14:paraId="01FCFC7F" w14:textId="77777777" w:rsidR="004B3B82" w:rsidRPr="005F754A" w:rsidRDefault="004B3B82" w:rsidP="00CD3B05">
            <w:pPr>
              <w:rPr>
                <w:rFonts w:ascii="Garamond" w:hAnsi="Garamond" w:cs="Tahoma"/>
              </w:rPr>
            </w:pPr>
            <w:r w:rsidRPr="005F754A">
              <w:rPr>
                <w:rFonts w:ascii="Garamond" w:hAnsi="Garamond" w:cs="Tahoma"/>
                <w:sz w:val="22"/>
                <w:szCs w:val="22"/>
              </w:rPr>
              <w:t>Глубина хранения информации в ИВК</w:t>
            </w:r>
          </w:p>
        </w:tc>
        <w:tc>
          <w:tcPr>
            <w:tcW w:w="2409" w:type="dxa"/>
            <w:vAlign w:val="center"/>
          </w:tcPr>
          <w:p w14:paraId="616F521A" w14:textId="77777777" w:rsidR="004B3B82" w:rsidRPr="005F754A" w:rsidRDefault="004B3B82" w:rsidP="00CD3B05">
            <w:pPr>
              <w:jc w:val="center"/>
              <w:rPr>
                <w:rFonts w:ascii="Garamond" w:hAnsi="Garamond" w:cs="Tahoma"/>
              </w:rPr>
            </w:pPr>
          </w:p>
        </w:tc>
      </w:tr>
    </w:tbl>
    <w:p w14:paraId="4BB7AFD7" w14:textId="77777777" w:rsidR="004B3B82" w:rsidRPr="005F754A" w:rsidRDefault="004B3B82" w:rsidP="00101F7C">
      <w:pPr>
        <w:rPr>
          <w:rFonts w:ascii="Garamond" w:hAnsi="Garamond" w:cs="Tahoma"/>
          <w:sz w:val="22"/>
          <w:szCs w:val="22"/>
        </w:rPr>
      </w:pPr>
    </w:p>
    <w:p w14:paraId="60E19E59" w14:textId="77777777" w:rsidR="004B3B82" w:rsidRPr="005F754A" w:rsidRDefault="004B3B82" w:rsidP="00101F7C">
      <w:pPr>
        <w:rPr>
          <w:rFonts w:ascii="Garamond" w:hAnsi="Garamond" w:cs="Tahoma"/>
          <w:sz w:val="22"/>
          <w:szCs w:val="22"/>
        </w:rPr>
      </w:pPr>
    </w:p>
    <w:p w14:paraId="4A84B4F7" w14:textId="77777777" w:rsidR="004B3B82" w:rsidRPr="007941F0" w:rsidRDefault="004B3B82" w:rsidP="00101F7C">
      <w:pPr>
        <w:tabs>
          <w:tab w:val="right" w:pos="9360"/>
        </w:tabs>
        <w:rPr>
          <w:rFonts w:ascii="Garamond" w:hAnsi="Garamond" w:cs="Tahoma"/>
          <w:sz w:val="22"/>
          <w:szCs w:val="22"/>
        </w:rPr>
      </w:pPr>
      <w:r w:rsidRPr="007941F0">
        <w:rPr>
          <w:rFonts w:ascii="Garamond" w:hAnsi="Garamond" w:cs="Tahoma"/>
          <w:i/>
          <w:sz w:val="22"/>
          <w:szCs w:val="22"/>
        </w:rPr>
        <w:t>Приложения</w:t>
      </w:r>
      <w:r w:rsidRPr="007941F0">
        <w:rPr>
          <w:rFonts w:ascii="Garamond" w:hAnsi="Garamond" w:cs="Tahoma"/>
          <w:sz w:val="22"/>
          <w:szCs w:val="22"/>
        </w:rPr>
        <w:t xml:space="preserve">: </w:t>
      </w:r>
    </w:p>
    <w:p w14:paraId="601F5280" w14:textId="77777777" w:rsidR="004B3B82" w:rsidRPr="007941F0" w:rsidRDefault="004B3B82" w:rsidP="00101F7C">
      <w:pPr>
        <w:tabs>
          <w:tab w:val="right" w:pos="9360"/>
        </w:tabs>
        <w:ind w:left="284"/>
        <w:rPr>
          <w:rFonts w:ascii="Garamond" w:hAnsi="Garamond" w:cs="Tahoma"/>
          <w:sz w:val="22"/>
          <w:szCs w:val="22"/>
        </w:rPr>
      </w:pPr>
      <w:r w:rsidRPr="007941F0">
        <w:rPr>
          <w:rFonts w:ascii="Garamond" w:hAnsi="Garamond" w:cs="Tahoma"/>
          <w:sz w:val="22"/>
          <w:szCs w:val="22"/>
        </w:rPr>
        <w:t>1</w:t>
      </w:r>
      <w:r>
        <w:rPr>
          <w:rFonts w:ascii="Garamond" w:hAnsi="Garamond" w:cs="Tahoma"/>
          <w:sz w:val="22"/>
          <w:szCs w:val="22"/>
        </w:rPr>
        <w:t>.</w:t>
      </w:r>
      <w:r w:rsidRPr="007941F0">
        <w:rPr>
          <w:rFonts w:ascii="Garamond" w:hAnsi="Garamond" w:cs="Tahoma"/>
          <w:sz w:val="22"/>
          <w:szCs w:val="22"/>
        </w:rPr>
        <w:t xml:space="preserve"> Копии доверенностей Представителей.</w:t>
      </w:r>
    </w:p>
    <w:p w14:paraId="2CACF27C" w14:textId="77777777" w:rsidR="004B3B82" w:rsidRPr="005F754A" w:rsidRDefault="004B3B82" w:rsidP="00101F7C">
      <w:pPr>
        <w:tabs>
          <w:tab w:val="right" w:pos="9360"/>
        </w:tabs>
        <w:ind w:left="284"/>
        <w:rPr>
          <w:rFonts w:ascii="Garamond" w:hAnsi="Garamond" w:cs="Tahoma"/>
          <w:sz w:val="22"/>
          <w:szCs w:val="22"/>
        </w:rPr>
      </w:pPr>
      <w:r w:rsidRPr="007941F0">
        <w:rPr>
          <w:rFonts w:ascii="Garamond" w:hAnsi="Garamond" w:cs="Tahoma"/>
          <w:sz w:val="22"/>
          <w:szCs w:val="22"/>
        </w:rPr>
        <w:t>2</w:t>
      </w:r>
      <w:r>
        <w:rPr>
          <w:rFonts w:ascii="Garamond" w:hAnsi="Garamond" w:cs="Tahoma"/>
          <w:sz w:val="22"/>
          <w:szCs w:val="22"/>
        </w:rPr>
        <w:t>.</w:t>
      </w:r>
      <w:r w:rsidRPr="007941F0">
        <w:rPr>
          <w:rFonts w:ascii="Garamond" w:hAnsi="Garamond" w:cs="Tahoma"/>
          <w:sz w:val="22"/>
          <w:szCs w:val="22"/>
        </w:rPr>
        <w:t xml:space="preserve"> Материалы, полученные при проведении испытания АИИС КУЭ.</w:t>
      </w:r>
    </w:p>
    <w:p w14:paraId="01DF4DCD" w14:textId="77777777" w:rsidR="004B3B82" w:rsidRDefault="004B3B82" w:rsidP="00101F7C">
      <w:pPr>
        <w:jc w:val="both"/>
        <w:rPr>
          <w:rFonts w:ascii="Garamond" w:eastAsia="Garamond" w:hAnsi="Garamond" w:cs="Garamond"/>
        </w:rPr>
      </w:pPr>
      <w:r>
        <w:rPr>
          <w:rFonts w:ascii="Garamond" w:eastAsia="Garamond" w:hAnsi="Garamond" w:cs="Garamond"/>
        </w:rPr>
        <w:br w:type="page"/>
      </w:r>
    </w:p>
    <w:p w14:paraId="121214BD" w14:textId="77777777" w:rsidR="004B3B82" w:rsidRDefault="004B3B82" w:rsidP="00101F7C">
      <w:pPr>
        <w:rPr>
          <w:rFonts w:ascii="Garamond" w:hAnsi="Garamond"/>
          <w:b/>
          <w:sz w:val="22"/>
          <w:szCs w:val="22"/>
        </w:rPr>
      </w:pPr>
      <w:r>
        <w:rPr>
          <w:rFonts w:ascii="Garamond" w:hAnsi="Garamond"/>
          <w:b/>
          <w:sz w:val="22"/>
          <w:szCs w:val="22"/>
        </w:rPr>
        <w:lastRenderedPageBreak/>
        <w:t>Действующая редакция</w:t>
      </w:r>
    </w:p>
    <w:p w14:paraId="5AB26063" w14:textId="77777777" w:rsidR="004B3B82" w:rsidRDefault="004B3B82" w:rsidP="00101F7C">
      <w:pPr>
        <w:rPr>
          <w:rFonts w:ascii="Garamond" w:hAnsi="Garamond"/>
          <w:b/>
          <w:sz w:val="22"/>
          <w:szCs w:val="22"/>
        </w:rPr>
      </w:pPr>
    </w:p>
    <w:p w14:paraId="0828ABFB" w14:textId="77777777" w:rsidR="004B3B82" w:rsidRDefault="004B3B82" w:rsidP="00101F7C">
      <w:pPr>
        <w:rPr>
          <w:rFonts w:ascii="Garamond" w:hAnsi="Garamond"/>
          <w:b/>
          <w:sz w:val="22"/>
          <w:szCs w:val="22"/>
        </w:rPr>
      </w:pPr>
      <w:r>
        <w:rPr>
          <w:rFonts w:ascii="Garamond" w:hAnsi="Garamond"/>
          <w:b/>
          <w:sz w:val="22"/>
          <w:szCs w:val="22"/>
        </w:rPr>
        <w:t xml:space="preserve">Рекомендуемая форма доверенности </w:t>
      </w:r>
    </w:p>
    <w:p w14:paraId="1B5A72E2" w14:textId="77777777" w:rsidR="004B3B82" w:rsidRDefault="004B3B82" w:rsidP="00101F7C">
      <w:pPr>
        <w:spacing w:before="240"/>
        <w:jc w:val="center"/>
        <w:rPr>
          <w:rFonts w:ascii="Garamond" w:hAnsi="Garamond"/>
          <w:b/>
          <w:bCs/>
        </w:rPr>
      </w:pPr>
    </w:p>
    <w:p w14:paraId="77F61281" w14:textId="77777777" w:rsidR="004B3B82" w:rsidRDefault="004B3B82" w:rsidP="00101F7C">
      <w:pPr>
        <w:spacing w:before="240"/>
        <w:jc w:val="center"/>
        <w:rPr>
          <w:rFonts w:ascii="Garamond" w:hAnsi="Garamond"/>
          <w:b/>
          <w:bCs/>
        </w:rPr>
      </w:pPr>
    </w:p>
    <w:p w14:paraId="3630C6DD" w14:textId="77777777" w:rsidR="004B3B82" w:rsidRPr="00944B94" w:rsidRDefault="004B3B82" w:rsidP="00101F7C">
      <w:pPr>
        <w:spacing w:before="240"/>
        <w:jc w:val="center"/>
        <w:rPr>
          <w:rFonts w:ascii="Garamond" w:hAnsi="Garamond" w:cs="Tahoma"/>
        </w:rPr>
      </w:pPr>
      <w:r w:rsidRPr="00944B94">
        <w:rPr>
          <w:rFonts w:ascii="Garamond" w:hAnsi="Garamond"/>
          <w:b/>
          <w:bCs/>
        </w:rPr>
        <w:t xml:space="preserve">ДОВЕРЕННОСТЬ № ______________ </w:t>
      </w:r>
    </w:p>
    <w:p w14:paraId="0849EAA0" w14:textId="77777777" w:rsidR="004B3B82" w:rsidRDefault="004B3B82" w:rsidP="00101F7C">
      <w:pPr>
        <w:spacing w:before="100" w:beforeAutospacing="1" w:after="100" w:afterAutospacing="1" w:line="240" w:lineRule="atLeast"/>
        <w:contextualSpacing/>
        <w:jc w:val="both"/>
        <w:rPr>
          <w:rFonts w:ascii="Garamond" w:hAnsi="Garamond"/>
          <w:sz w:val="22"/>
          <w:szCs w:val="22"/>
        </w:rPr>
      </w:pPr>
    </w:p>
    <w:p w14:paraId="16BAA38A" w14:textId="77777777" w:rsidR="004B3B82" w:rsidRDefault="004B3B82" w:rsidP="00101F7C">
      <w:pPr>
        <w:spacing w:before="100" w:beforeAutospacing="1" w:after="100" w:afterAutospacing="1" w:line="240" w:lineRule="atLeast"/>
        <w:contextualSpacing/>
        <w:jc w:val="both"/>
        <w:rPr>
          <w:rFonts w:ascii="Garamond" w:hAnsi="Garamond" w:cs="Tahoma"/>
          <w:sz w:val="22"/>
          <w:szCs w:val="22"/>
        </w:rPr>
      </w:pPr>
      <w:r w:rsidRPr="00944B94">
        <w:rPr>
          <w:rFonts w:ascii="Garamond" w:hAnsi="Garamond"/>
          <w:sz w:val="22"/>
          <w:szCs w:val="22"/>
        </w:rPr>
        <w:t>_________________________</w:t>
      </w:r>
      <w:r w:rsidRPr="00944B94">
        <w:rPr>
          <w:rFonts w:ascii="Garamond" w:hAnsi="Garamond"/>
          <w:sz w:val="22"/>
          <w:szCs w:val="22"/>
        </w:rPr>
        <w:tab/>
      </w:r>
      <w:r w:rsidRPr="00944B94">
        <w:rPr>
          <w:rFonts w:ascii="Garamond" w:hAnsi="Garamond"/>
          <w:sz w:val="22"/>
          <w:szCs w:val="22"/>
        </w:rPr>
        <w:tab/>
      </w:r>
      <w:r w:rsidRPr="00944B94">
        <w:rPr>
          <w:rFonts w:ascii="Garamond" w:hAnsi="Garamond"/>
          <w:sz w:val="22"/>
          <w:szCs w:val="22"/>
        </w:rPr>
        <w:tab/>
      </w:r>
      <w:r>
        <w:rPr>
          <w:rFonts w:ascii="Garamond" w:hAnsi="Garamond"/>
          <w:sz w:val="22"/>
          <w:szCs w:val="22"/>
        </w:rPr>
        <w:tab/>
      </w:r>
      <w:r>
        <w:rPr>
          <w:rFonts w:ascii="Garamond" w:hAnsi="Garamond"/>
          <w:sz w:val="22"/>
          <w:szCs w:val="22"/>
        </w:rPr>
        <w:tab/>
      </w:r>
      <w:r>
        <w:rPr>
          <w:rFonts w:ascii="Garamond" w:hAnsi="Garamond"/>
          <w:sz w:val="22"/>
          <w:szCs w:val="22"/>
        </w:rPr>
        <w:tab/>
      </w:r>
      <w:r w:rsidRPr="00944B94">
        <w:rPr>
          <w:rFonts w:ascii="Garamond" w:hAnsi="Garamond"/>
          <w:sz w:val="22"/>
          <w:szCs w:val="22"/>
        </w:rPr>
        <w:t>______________________________</w:t>
      </w:r>
    </w:p>
    <w:p w14:paraId="1120AD71" w14:textId="77777777" w:rsidR="004B3B82" w:rsidRPr="007D4C5F" w:rsidRDefault="004B3B82" w:rsidP="00101F7C">
      <w:pPr>
        <w:spacing w:before="100" w:beforeAutospacing="1" w:after="100" w:afterAutospacing="1" w:line="240" w:lineRule="atLeast"/>
        <w:ind w:firstLine="340"/>
        <w:contextualSpacing/>
        <w:jc w:val="both"/>
        <w:rPr>
          <w:rFonts w:ascii="Garamond" w:hAnsi="Garamond"/>
          <w:i/>
          <w:iCs/>
          <w:sz w:val="18"/>
          <w:szCs w:val="18"/>
        </w:rPr>
      </w:pPr>
      <w:r w:rsidRPr="007D4C5F">
        <w:rPr>
          <w:rFonts w:ascii="Garamond" w:hAnsi="Garamond"/>
          <w:i/>
          <w:iCs/>
          <w:sz w:val="18"/>
          <w:szCs w:val="18"/>
        </w:rPr>
        <w:t>(место составления доверенности)</w:t>
      </w:r>
      <w:r w:rsidRPr="007D4C5F">
        <w:rPr>
          <w:rFonts w:ascii="Garamond" w:hAnsi="Garamond"/>
          <w:i/>
          <w:iCs/>
          <w:sz w:val="18"/>
          <w:szCs w:val="18"/>
        </w:rPr>
        <w:tab/>
      </w:r>
      <w:r w:rsidRPr="007D4C5F">
        <w:rPr>
          <w:rFonts w:ascii="Garamond" w:hAnsi="Garamond"/>
          <w:i/>
          <w:iCs/>
          <w:sz w:val="18"/>
          <w:szCs w:val="18"/>
        </w:rPr>
        <w:tab/>
      </w:r>
      <w:r w:rsidRPr="007D4C5F">
        <w:rPr>
          <w:rFonts w:ascii="Garamond" w:hAnsi="Garamond"/>
          <w:i/>
          <w:iCs/>
          <w:sz w:val="18"/>
          <w:szCs w:val="18"/>
        </w:rPr>
        <w:tab/>
      </w:r>
      <w:r>
        <w:rPr>
          <w:rFonts w:ascii="Garamond" w:hAnsi="Garamond"/>
          <w:i/>
          <w:iCs/>
          <w:sz w:val="18"/>
          <w:szCs w:val="18"/>
        </w:rPr>
        <w:tab/>
      </w:r>
      <w:r w:rsidRPr="007D4C5F">
        <w:rPr>
          <w:rFonts w:ascii="Garamond" w:hAnsi="Garamond"/>
          <w:i/>
          <w:iCs/>
          <w:sz w:val="18"/>
          <w:szCs w:val="18"/>
        </w:rPr>
        <w:tab/>
      </w:r>
      <w:r>
        <w:rPr>
          <w:rFonts w:ascii="Garamond" w:hAnsi="Garamond"/>
          <w:i/>
          <w:iCs/>
          <w:sz w:val="18"/>
          <w:szCs w:val="18"/>
        </w:rPr>
        <w:tab/>
      </w:r>
      <w:r>
        <w:rPr>
          <w:rFonts w:ascii="Garamond" w:hAnsi="Garamond"/>
          <w:i/>
          <w:iCs/>
          <w:sz w:val="18"/>
          <w:szCs w:val="18"/>
        </w:rPr>
        <w:tab/>
      </w:r>
      <w:r>
        <w:rPr>
          <w:rFonts w:ascii="Garamond" w:hAnsi="Garamond"/>
          <w:i/>
          <w:iCs/>
          <w:sz w:val="18"/>
          <w:szCs w:val="18"/>
        </w:rPr>
        <w:tab/>
      </w:r>
      <w:r w:rsidRPr="007D4C5F">
        <w:rPr>
          <w:rFonts w:ascii="Garamond" w:hAnsi="Garamond"/>
          <w:i/>
          <w:iCs/>
          <w:sz w:val="18"/>
          <w:szCs w:val="18"/>
        </w:rPr>
        <w:t>(дата составления доверенности прописью)</w:t>
      </w:r>
    </w:p>
    <w:p w14:paraId="2DAA8664" w14:textId="77777777" w:rsidR="004B3B82" w:rsidRDefault="004B3B82" w:rsidP="00101F7C">
      <w:pPr>
        <w:spacing w:before="100" w:beforeAutospacing="1" w:after="100" w:afterAutospacing="1" w:line="240" w:lineRule="atLeast"/>
        <w:contextualSpacing/>
        <w:jc w:val="both"/>
        <w:rPr>
          <w:rFonts w:ascii="Garamond" w:hAnsi="Garamond"/>
          <w:sz w:val="22"/>
          <w:szCs w:val="22"/>
        </w:rPr>
      </w:pPr>
    </w:p>
    <w:p w14:paraId="01F288F7" w14:textId="77777777" w:rsidR="004B3B82" w:rsidRDefault="004B3B82" w:rsidP="00101F7C">
      <w:pPr>
        <w:spacing w:before="100" w:beforeAutospacing="1" w:after="100" w:afterAutospacing="1" w:line="240" w:lineRule="atLeast"/>
        <w:contextualSpacing/>
        <w:jc w:val="both"/>
        <w:rPr>
          <w:rFonts w:ascii="Garamond" w:hAnsi="Garamond"/>
          <w:sz w:val="22"/>
          <w:szCs w:val="22"/>
        </w:rPr>
      </w:pPr>
      <w:r w:rsidRPr="00944B94">
        <w:rPr>
          <w:rFonts w:ascii="Garamond" w:hAnsi="Garamond"/>
          <w:sz w:val="22"/>
          <w:szCs w:val="22"/>
        </w:rPr>
        <w:t>______________________________________</w:t>
      </w:r>
      <w:r>
        <w:rPr>
          <w:rFonts w:ascii="Garamond" w:hAnsi="Garamond"/>
          <w:sz w:val="22"/>
          <w:szCs w:val="22"/>
        </w:rPr>
        <w:t>__________</w:t>
      </w:r>
      <w:r w:rsidRPr="00944B94">
        <w:rPr>
          <w:rFonts w:ascii="Garamond" w:hAnsi="Garamond"/>
          <w:sz w:val="22"/>
          <w:szCs w:val="22"/>
        </w:rPr>
        <w:t>_______________________________________</w:t>
      </w:r>
    </w:p>
    <w:p w14:paraId="507D2F04" w14:textId="77777777" w:rsidR="004B3B82" w:rsidRPr="007D4C5F" w:rsidRDefault="004B3B82" w:rsidP="00101F7C">
      <w:pPr>
        <w:spacing w:before="100" w:beforeAutospacing="1" w:after="100" w:afterAutospacing="1" w:line="240" w:lineRule="atLeast"/>
        <w:contextualSpacing/>
        <w:jc w:val="center"/>
        <w:rPr>
          <w:rFonts w:ascii="Garamond" w:hAnsi="Garamond" w:cs="Tahoma"/>
          <w:sz w:val="18"/>
          <w:szCs w:val="18"/>
        </w:rPr>
      </w:pPr>
      <w:r w:rsidRPr="007D4C5F">
        <w:rPr>
          <w:rFonts w:ascii="Garamond" w:hAnsi="Garamond"/>
          <w:i/>
          <w:iCs/>
          <w:sz w:val="18"/>
          <w:szCs w:val="18"/>
        </w:rPr>
        <w:t>(</w:t>
      </w:r>
      <w:r w:rsidRPr="005F754A">
        <w:rPr>
          <w:rFonts w:ascii="Garamond" w:hAnsi="Garamond"/>
          <w:i/>
          <w:sz w:val="18"/>
          <w:szCs w:val="18"/>
        </w:rPr>
        <w:t>полное наименование орга</w:t>
      </w:r>
      <w:r>
        <w:rPr>
          <w:rFonts w:ascii="Garamond" w:hAnsi="Garamond"/>
          <w:i/>
          <w:sz w:val="18"/>
          <w:szCs w:val="18"/>
        </w:rPr>
        <w:t>низации</w:t>
      </w:r>
      <w:r w:rsidRPr="005F754A">
        <w:rPr>
          <w:rFonts w:ascii="Garamond" w:hAnsi="Garamond"/>
          <w:i/>
          <w:sz w:val="18"/>
          <w:szCs w:val="18"/>
        </w:rPr>
        <w:t xml:space="preserve"> с указанием организационно-правовой формы</w:t>
      </w:r>
      <w:r w:rsidRPr="007D4C5F">
        <w:rPr>
          <w:rFonts w:ascii="Garamond" w:hAnsi="Garamond"/>
          <w:i/>
          <w:iCs/>
          <w:sz w:val="18"/>
          <w:szCs w:val="18"/>
        </w:rPr>
        <w:t>)</w:t>
      </w:r>
    </w:p>
    <w:p w14:paraId="6D818AA3" w14:textId="77777777" w:rsidR="004B3B82" w:rsidRDefault="004B3B82" w:rsidP="00101F7C">
      <w:pPr>
        <w:spacing w:before="100" w:beforeAutospacing="1" w:after="100" w:afterAutospacing="1" w:line="240" w:lineRule="atLeast"/>
        <w:contextualSpacing/>
        <w:jc w:val="both"/>
        <w:rPr>
          <w:rFonts w:ascii="Garamond" w:hAnsi="Garamond"/>
          <w:sz w:val="22"/>
          <w:szCs w:val="22"/>
        </w:rPr>
      </w:pPr>
    </w:p>
    <w:p w14:paraId="1DB08C6C" w14:textId="77777777" w:rsidR="004B3B82" w:rsidRDefault="004B3B82" w:rsidP="00101F7C">
      <w:pPr>
        <w:spacing w:before="100" w:beforeAutospacing="1" w:after="100" w:afterAutospacing="1" w:line="240" w:lineRule="atLeast"/>
        <w:contextualSpacing/>
        <w:jc w:val="both"/>
        <w:rPr>
          <w:rFonts w:ascii="Garamond" w:hAnsi="Garamond" w:cs="Tahoma"/>
          <w:sz w:val="22"/>
          <w:szCs w:val="22"/>
        </w:rPr>
      </w:pPr>
      <w:r w:rsidRPr="00944B94">
        <w:rPr>
          <w:rFonts w:ascii="Garamond" w:hAnsi="Garamond"/>
          <w:sz w:val="22"/>
          <w:szCs w:val="22"/>
        </w:rPr>
        <w:t>(далее – организация) в лице _________</w:t>
      </w:r>
      <w:r>
        <w:rPr>
          <w:rFonts w:ascii="Garamond" w:hAnsi="Garamond"/>
          <w:sz w:val="22"/>
          <w:szCs w:val="22"/>
        </w:rPr>
        <w:t>_________</w:t>
      </w:r>
      <w:r w:rsidRPr="00944B94">
        <w:rPr>
          <w:rFonts w:ascii="Garamond" w:hAnsi="Garamond"/>
          <w:sz w:val="22"/>
          <w:szCs w:val="22"/>
        </w:rPr>
        <w:t>__</w:t>
      </w:r>
      <w:r>
        <w:rPr>
          <w:rFonts w:ascii="Garamond" w:hAnsi="Garamond"/>
          <w:sz w:val="22"/>
          <w:szCs w:val="22"/>
        </w:rPr>
        <w:t>__</w:t>
      </w:r>
      <w:r w:rsidRPr="00944B94">
        <w:rPr>
          <w:rFonts w:ascii="Garamond" w:hAnsi="Garamond"/>
          <w:sz w:val="22"/>
          <w:szCs w:val="22"/>
        </w:rPr>
        <w:t>________________________________________,</w:t>
      </w:r>
    </w:p>
    <w:p w14:paraId="1907D2CB" w14:textId="77777777" w:rsidR="004B3B82" w:rsidRPr="007D4C5F" w:rsidRDefault="004B3B82" w:rsidP="00101F7C">
      <w:pPr>
        <w:spacing w:before="100" w:beforeAutospacing="1" w:after="100" w:afterAutospacing="1" w:line="240" w:lineRule="atLeast"/>
        <w:contextualSpacing/>
        <w:jc w:val="center"/>
        <w:rPr>
          <w:rFonts w:ascii="Garamond" w:hAnsi="Garamond" w:cs="Tahoma"/>
          <w:sz w:val="18"/>
          <w:szCs w:val="18"/>
        </w:rPr>
      </w:pPr>
      <w:r w:rsidRPr="007D4C5F">
        <w:rPr>
          <w:rFonts w:ascii="Garamond" w:hAnsi="Garamond"/>
          <w:i/>
          <w:iCs/>
          <w:sz w:val="18"/>
          <w:szCs w:val="18"/>
        </w:rPr>
        <w:t>(</w:t>
      </w:r>
      <w:r>
        <w:rPr>
          <w:rFonts w:ascii="Garamond" w:hAnsi="Garamond"/>
          <w:i/>
          <w:iCs/>
          <w:sz w:val="18"/>
          <w:szCs w:val="18"/>
        </w:rPr>
        <w:t>Ф. И. О.</w:t>
      </w:r>
      <w:r w:rsidRPr="007D4C5F">
        <w:rPr>
          <w:rFonts w:ascii="Garamond" w:hAnsi="Garamond"/>
          <w:i/>
          <w:iCs/>
          <w:sz w:val="18"/>
          <w:szCs w:val="18"/>
        </w:rPr>
        <w:t>)</w:t>
      </w:r>
    </w:p>
    <w:p w14:paraId="5C2E7B21" w14:textId="77777777" w:rsidR="004B3B82" w:rsidRDefault="004B3B82" w:rsidP="00101F7C">
      <w:pPr>
        <w:spacing w:before="100" w:beforeAutospacing="1" w:after="100" w:afterAutospacing="1" w:line="240" w:lineRule="atLeast"/>
        <w:contextualSpacing/>
        <w:jc w:val="both"/>
        <w:rPr>
          <w:rFonts w:ascii="Garamond" w:hAnsi="Garamond"/>
          <w:sz w:val="22"/>
          <w:szCs w:val="22"/>
        </w:rPr>
      </w:pPr>
    </w:p>
    <w:p w14:paraId="7E368277" w14:textId="77777777" w:rsidR="004B3B82" w:rsidRDefault="004B3B82" w:rsidP="00101F7C">
      <w:pPr>
        <w:spacing w:before="100" w:beforeAutospacing="1" w:after="100" w:afterAutospacing="1" w:line="240" w:lineRule="atLeast"/>
        <w:contextualSpacing/>
        <w:jc w:val="both"/>
        <w:rPr>
          <w:rFonts w:ascii="Garamond" w:hAnsi="Garamond"/>
          <w:bCs/>
          <w:sz w:val="22"/>
          <w:szCs w:val="22"/>
        </w:rPr>
      </w:pPr>
      <w:r w:rsidRPr="00944B94">
        <w:rPr>
          <w:rFonts w:ascii="Garamond" w:hAnsi="Garamond"/>
          <w:sz w:val="22"/>
          <w:szCs w:val="22"/>
        </w:rPr>
        <w:t>действующего на основании __________</w:t>
      </w:r>
      <w:r>
        <w:rPr>
          <w:rFonts w:ascii="Garamond" w:hAnsi="Garamond"/>
          <w:sz w:val="22"/>
          <w:szCs w:val="22"/>
        </w:rPr>
        <w:t>_________</w:t>
      </w:r>
      <w:r w:rsidRPr="00944B94">
        <w:rPr>
          <w:rFonts w:ascii="Garamond" w:hAnsi="Garamond"/>
          <w:sz w:val="22"/>
          <w:szCs w:val="22"/>
        </w:rPr>
        <w:t>______</w:t>
      </w:r>
      <w:r w:rsidRPr="00944B94">
        <w:rPr>
          <w:rFonts w:ascii="Garamond" w:hAnsi="Garamond"/>
          <w:bCs/>
          <w:sz w:val="22"/>
          <w:szCs w:val="22"/>
        </w:rPr>
        <w:t>,</w:t>
      </w:r>
      <w:r w:rsidRPr="00944B94">
        <w:rPr>
          <w:rFonts w:ascii="Garamond" w:hAnsi="Garamond"/>
          <w:b/>
          <w:bCs/>
          <w:sz w:val="22"/>
          <w:szCs w:val="22"/>
        </w:rPr>
        <w:t xml:space="preserve"> </w:t>
      </w:r>
      <w:r>
        <w:rPr>
          <w:rFonts w:ascii="Garamond" w:hAnsi="Garamond"/>
          <w:bCs/>
          <w:sz w:val="22"/>
          <w:szCs w:val="22"/>
        </w:rPr>
        <w:t>настоящей доверенностью уполномочивает</w:t>
      </w:r>
      <w:r w:rsidRPr="00944B94">
        <w:rPr>
          <w:rFonts w:ascii="Garamond" w:hAnsi="Garamond"/>
          <w:bCs/>
          <w:sz w:val="22"/>
          <w:szCs w:val="22"/>
        </w:rPr>
        <w:t xml:space="preserve"> </w:t>
      </w:r>
    </w:p>
    <w:p w14:paraId="0C381B80" w14:textId="77777777" w:rsidR="004B3B82" w:rsidRDefault="004B3B82" w:rsidP="00101F7C">
      <w:pPr>
        <w:spacing w:before="100" w:beforeAutospacing="1" w:after="100" w:afterAutospacing="1" w:line="240" w:lineRule="atLeast"/>
        <w:contextualSpacing/>
        <w:jc w:val="both"/>
        <w:rPr>
          <w:rFonts w:ascii="Garamond" w:hAnsi="Garamond"/>
          <w:bCs/>
          <w:sz w:val="22"/>
          <w:szCs w:val="22"/>
        </w:rPr>
      </w:pPr>
    </w:p>
    <w:p w14:paraId="5F83B22C" w14:textId="77777777" w:rsidR="004B3B82" w:rsidRDefault="004B3B82" w:rsidP="00101F7C">
      <w:pPr>
        <w:spacing w:before="100" w:beforeAutospacing="1" w:after="100" w:afterAutospacing="1" w:line="240" w:lineRule="atLeast"/>
        <w:contextualSpacing/>
        <w:jc w:val="both"/>
        <w:rPr>
          <w:rFonts w:ascii="Garamond" w:hAnsi="Garamond" w:cs="Tahoma"/>
          <w:sz w:val="22"/>
          <w:szCs w:val="22"/>
        </w:rPr>
      </w:pPr>
      <w:r w:rsidRPr="00944B94">
        <w:rPr>
          <w:rFonts w:ascii="Garamond" w:hAnsi="Garamond"/>
          <w:bCs/>
          <w:sz w:val="22"/>
          <w:szCs w:val="22"/>
        </w:rPr>
        <w:t>______________</w:t>
      </w:r>
      <w:r>
        <w:rPr>
          <w:rFonts w:ascii="Garamond" w:hAnsi="Garamond"/>
          <w:bCs/>
          <w:sz w:val="22"/>
          <w:szCs w:val="22"/>
        </w:rPr>
        <w:t>_____________</w:t>
      </w:r>
      <w:r w:rsidRPr="00944B94">
        <w:rPr>
          <w:rFonts w:ascii="Garamond" w:hAnsi="Garamond"/>
          <w:bCs/>
          <w:sz w:val="22"/>
          <w:szCs w:val="22"/>
        </w:rPr>
        <w:t>__</w:t>
      </w:r>
      <w:r>
        <w:rPr>
          <w:rFonts w:ascii="Garamond" w:hAnsi="Garamond"/>
          <w:bCs/>
          <w:sz w:val="22"/>
          <w:szCs w:val="22"/>
        </w:rPr>
        <w:t>__</w:t>
      </w:r>
      <w:r w:rsidRPr="00944B94">
        <w:rPr>
          <w:rFonts w:ascii="Garamond" w:hAnsi="Garamond"/>
          <w:bCs/>
          <w:sz w:val="22"/>
          <w:szCs w:val="22"/>
        </w:rPr>
        <w:t>_</w:t>
      </w:r>
      <w:r>
        <w:rPr>
          <w:rFonts w:ascii="Garamond" w:hAnsi="Garamond"/>
          <w:bCs/>
          <w:sz w:val="22"/>
          <w:szCs w:val="22"/>
        </w:rPr>
        <w:t>__</w:t>
      </w:r>
      <w:r w:rsidRPr="00944B94">
        <w:rPr>
          <w:rFonts w:ascii="Garamond" w:hAnsi="Garamond"/>
          <w:bCs/>
          <w:sz w:val="22"/>
          <w:szCs w:val="22"/>
        </w:rPr>
        <w:t>_____</w:t>
      </w:r>
      <w:r>
        <w:rPr>
          <w:rFonts w:ascii="Garamond" w:hAnsi="Garamond"/>
          <w:bCs/>
          <w:sz w:val="22"/>
          <w:szCs w:val="22"/>
        </w:rPr>
        <w:t xml:space="preserve"> </w:t>
      </w:r>
      <w:r w:rsidRPr="00944B94">
        <w:rPr>
          <w:rFonts w:ascii="Garamond" w:hAnsi="Garamond"/>
          <w:sz w:val="22"/>
          <w:szCs w:val="22"/>
        </w:rPr>
        <w:t>(</w:t>
      </w:r>
      <w:r>
        <w:rPr>
          <w:rFonts w:ascii="Garamond" w:hAnsi="Garamond"/>
          <w:sz w:val="22"/>
          <w:szCs w:val="22"/>
        </w:rPr>
        <w:t>паспорт _____</w:t>
      </w:r>
      <w:r w:rsidRPr="00944B94">
        <w:rPr>
          <w:rFonts w:ascii="Garamond" w:hAnsi="Garamond"/>
          <w:sz w:val="22"/>
          <w:szCs w:val="22"/>
        </w:rPr>
        <w:t>______________) (далее – представитель)</w:t>
      </w:r>
    </w:p>
    <w:p w14:paraId="5A57366C" w14:textId="77777777" w:rsidR="004B3B82" w:rsidRPr="007D4C5F" w:rsidRDefault="004B3B82" w:rsidP="00101F7C">
      <w:pPr>
        <w:spacing w:before="100" w:beforeAutospacing="1" w:after="100" w:afterAutospacing="1" w:line="240" w:lineRule="atLeast"/>
        <w:ind w:firstLine="708"/>
        <w:contextualSpacing/>
        <w:rPr>
          <w:rFonts w:ascii="Garamond" w:hAnsi="Garamond" w:cs="Tahoma"/>
          <w:sz w:val="18"/>
          <w:szCs w:val="18"/>
        </w:rPr>
      </w:pPr>
      <w:r w:rsidRPr="007D4C5F">
        <w:rPr>
          <w:rFonts w:ascii="Garamond" w:hAnsi="Garamond"/>
          <w:i/>
          <w:iCs/>
          <w:sz w:val="18"/>
          <w:szCs w:val="18"/>
        </w:rPr>
        <w:t>(</w:t>
      </w:r>
      <w:r>
        <w:rPr>
          <w:rFonts w:ascii="Garamond" w:hAnsi="Garamond"/>
          <w:i/>
          <w:iCs/>
          <w:sz w:val="18"/>
          <w:szCs w:val="18"/>
        </w:rPr>
        <w:t xml:space="preserve">Ф. И. О. </w:t>
      </w:r>
      <w:r w:rsidRPr="007D4C5F">
        <w:rPr>
          <w:rFonts w:ascii="Garamond" w:hAnsi="Garamond"/>
          <w:i/>
          <w:iCs/>
          <w:sz w:val="18"/>
          <w:szCs w:val="18"/>
        </w:rPr>
        <w:t>представителя)</w:t>
      </w:r>
    </w:p>
    <w:p w14:paraId="5ECFB169" w14:textId="77777777" w:rsidR="004B3B82" w:rsidRDefault="004B3B82" w:rsidP="00101F7C">
      <w:pPr>
        <w:spacing w:before="100" w:beforeAutospacing="1" w:after="100" w:afterAutospacing="1" w:line="240" w:lineRule="atLeast"/>
        <w:contextualSpacing/>
        <w:jc w:val="both"/>
        <w:rPr>
          <w:rFonts w:ascii="Garamond" w:hAnsi="Garamond"/>
          <w:sz w:val="22"/>
          <w:szCs w:val="22"/>
        </w:rPr>
      </w:pPr>
    </w:p>
    <w:p w14:paraId="60D603BA" w14:textId="77777777" w:rsidR="004B3B82" w:rsidRDefault="004B3B82" w:rsidP="00101F7C">
      <w:pPr>
        <w:autoSpaceDE w:val="0"/>
        <w:autoSpaceDN w:val="0"/>
        <w:adjustRightInd w:val="0"/>
        <w:spacing w:before="100" w:beforeAutospacing="1" w:after="100" w:afterAutospacing="1" w:line="240" w:lineRule="atLeast"/>
        <w:contextualSpacing/>
        <w:jc w:val="both"/>
        <w:rPr>
          <w:rFonts w:ascii="Garamond" w:hAnsi="Garamond"/>
          <w:color w:val="000000"/>
          <w:sz w:val="22"/>
          <w:szCs w:val="22"/>
        </w:rPr>
      </w:pPr>
      <w:r w:rsidRPr="00944B94">
        <w:rPr>
          <w:rFonts w:ascii="Garamond" w:hAnsi="Garamond"/>
          <w:color w:val="000000"/>
          <w:sz w:val="22"/>
          <w:szCs w:val="22"/>
        </w:rPr>
        <w:t xml:space="preserve">действовать от имени и представлять интересы организации в отношениях с субъектами оптового рынка электрической энергии и мощности, в том числе </w:t>
      </w:r>
      <w:r>
        <w:rPr>
          <w:rFonts w:ascii="Garamond" w:hAnsi="Garamond"/>
          <w:color w:val="000000"/>
          <w:sz w:val="22"/>
          <w:szCs w:val="22"/>
        </w:rPr>
        <w:t>АО</w:t>
      </w:r>
      <w:r w:rsidRPr="00944B94">
        <w:rPr>
          <w:rFonts w:ascii="Garamond" w:hAnsi="Garamond"/>
          <w:color w:val="000000"/>
          <w:sz w:val="22"/>
          <w:szCs w:val="22"/>
        </w:rPr>
        <w:t xml:space="preserve"> «АТС», при проведении испытаний </w:t>
      </w:r>
      <w:r w:rsidRPr="00B76E10">
        <w:rPr>
          <w:rFonts w:ascii="Garamond" w:hAnsi="Garamond"/>
          <w:color w:val="000000"/>
          <w:sz w:val="22"/>
          <w:szCs w:val="22"/>
          <w:highlight w:val="yellow"/>
        </w:rPr>
        <w:t>автоматизированных информационно-измерительных</w:t>
      </w:r>
      <w:r w:rsidRPr="00944B94">
        <w:rPr>
          <w:rFonts w:ascii="Garamond" w:hAnsi="Garamond"/>
          <w:color w:val="000000"/>
          <w:sz w:val="22"/>
          <w:szCs w:val="22"/>
        </w:rPr>
        <w:t xml:space="preserve"> систем коммерческого учета электрической энергии (далее – </w:t>
      </w:r>
      <w:r>
        <w:rPr>
          <w:rFonts w:ascii="Garamond" w:hAnsi="Garamond"/>
          <w:color w:val="000000"/>
          <w:sz w:val="22"/>
          <w:szCs w:val="22"/>
        </w:rPr>
        <w:t>и</w:t>
      </w:r>
      <w:r w:rsidRPr="00944B94">
        <w:rPr>
          <w:rFonts w:ascii="Garamond" w:hAnsi="Garamond"/>
          <w:color w:val="000000"/>
          <w:sz w:val="22"/>
          <w:szCs w:val="22"/>
        </w:rPr>
        <w:t xml:space="preserve">спытания) </w:t>
      </w:r>
      <w:r w:rsidRPr="00B76E10">
        <w:rPr>
          <w:rFonts w:ascii="Garamond" w:hAnsi="Garamond"/>
          <w:color w:val="000000"/>
          <w:sz w:val="22"/>
          <w:szCs w:val="22"/>
          <w:highlight w:val="yellow"/>
        </w:rPr>
        <w:t>в рамках процедуры установления соответствия системы коммерческого учета электрической энергии техническим требованиям оптового рынка электрической энергии (мощности)</w:t>
      </w:r>
      <w:r w:rsidRPr="00944B94">
        <w:rPr>
          <w:rFonts w:ascii="Garamond" w:hAnsi="Garamond"/>
          <w:sz w:val="22"/>
          <w:szCs w:val="22"/>
        </w:rPr>
        <w:t xml:space="preserve"> </w:t>
      </w:r>
      <w:r w:rsidRPr="00944B94">
        <w:rPr>
          <w:rFonts w:ascii="Garamond" w:hAnsi="Garamond"/>
          <w:color w:val="000000"/>
          <w:sz w:val="22"/>
          <w:szCs w:val="22"/>
        </w:rPr>
        <w:t>с правом:</w:t>
      </w:r>
    </w:p>
    <w:p w14:paraId="0D59D6B5" w14:textId="77777777" w:rsidR="004B3B82" w:rsidRDefault="004B3B82" w:rsidP="004B3B82">
      <w:pPr>
        <w:pStyle w:val="ac"/>
        <w:numPr>
          <w:ilvl w:val="0"/>
          <w:numId w:val="186"/>
        </w:numPr>
        <w:autoSpaceDE w:val="0"/>
        <w:autoSpaceDN w:val="0"/>
        <w:adjustRightInd w:val="0"/>
        <w:spacing w:before="100" w:beforeAutospacing="1" w:after="100" w:afterAutospacing="1" w:line="240" w:lineRule="atLeast"/>
        <w:contextualSpacing/>
        <w:jc w:val="both"/>
        <w:rPr>
          <w:rFonts w:ascii="Garamond" w:hAnsi="Garamond"/>
          <w:color w:val="000000"/>
          <w:sz w:val="22"/>
          <w:szCs w:val="22"/>
        </w:rPr>
      </w:pPr>
      <w:r w:rsidRPr="00944B94">
        <w:rPr>
          <w:rFonts w:ascii="Garamond" w:hAnsi="Garamond"/>
          <w:color w:val="000000"/>
          <w:sz w:val="22"/>
          <w:szCs w:val="22"/>
        </w:rPr>
        <w:t xml:space="preserve">присутствия при проведении </w:t>
      </w:r>
      <w:r>
        <w:rPr>
          <w:rFonts w:ascii="Garamond" w:hAnsi="Garamond"/>
          <w:color w:val="000000"/>
          <w:sz w:val="22"/>
          <w:szCs w:val="22"/>
        </w:rPr>
        <w:t>и</w:t>
      </w:r>
      <w:r w:rsidRPr="00944B94">
        <w:rPr>
          <w:rFonts w:ascii="Garamond" w:hAnsi="Garamond"/>
          <w:color w:val="000000"/>
          <w:sz w:val="22"/>
          <w:szCs w:val="22"/>
        </w:rPr>
        <w:t>спытаний;</w:t>
      </w:r>
    </w:p>
    <w:p w14:paraId="4A8E92F4" w14:textId="77777777" w:rsidR="004B3B82" w:rsidRPr="00DF5848" w:rsidRDefault="004B3B82" w:rsidP="004B3B82">
      <w:pPr>
        <w:pStyle w:val="ac"/>
        <w:numPr>
          <w:ilvl w:val="0"/>
          <w:numId w:val="186"/>
        </w:numPr>
        <w:autoSpaceDE w:val="0"/>
        <w:autoSpaceDN w:val="0"/>
        <w:adjustRightInd w:val="0"/>
        <w:spacing w:before="100" w:beforeAutospacing="1" w:after="100" w:afterAutospacing="1" w:line="240" w:lineRule="atLeast"/>
        <w:contextualSpacing/>
        <w:jc w:val="both"/>
        <w:rPr>
          <w:rFonts w:ascii="Garamond" w:hAnsi="Garamond"/>
          <w:color w:val="000000"/>
          <w:sz w:val="22"/>
          <w:szCs w:val="22"/>
        </w:rPr>
      </w:pPr>
      <w:r w:rsidRPr="00944B94">
        <w:rPr>
          <w:rFonts w:ascii="Garamond" w:hAnsi="Garamond"/>
          <w:color w:val="000000"/>
          <w:sz w:val="22"/>
          <w:szCs w:val="22"/>
        </w:rPr>
        <w:t xml:space="preserve">участия в работе комиссии по проведению </w:t>
      </w:r>
      <w:r>
        <w:rPr>
          <w:rFonts w:ascii="Garamond" w:hAnsi="Garamond"/>
          <w:color w:val="000000"/>
          <w:sz w:val="22"/>
          <w:szCs w:val="22"/>
        </w:rPr>
        <w:t>и</w:t>
      </w:r>
      <w:r w:rsidRPr="00944B94">
        <w:rPr>
          <w:rFonts w:ascii="Garamond" w:hAnsi="Garamond"/>
          <w:color w:val="000000"/>
          <w:sz w:val="22"/>
          <w:szCs w:val="22"/>
        </w:rPr>
        <w:t>спытаний;</w:t>
      </w:r>
    </w:p>
    <w:p w14:paraId="5AA87321" w14:textId="77777777" w:rsidR="004B3B82" w:rsidRDefault="004B3B82" w:rsidP="004B3B82">
      <w:pPr>
        <w:pStyle w:val="ac"/>
        <w:numPr>
          <w:ilvl w:val="0"/>
          <w:numId w:val="186"/>
        </w:numPr>
        <w:autoSpaceDE w:val="0"/>
        <w:autoSpaceDN w:val="0"/>
        <w:adjustRightInd w:val="0"/>
        <w:spacing w:before="100" w:beforeAutospacing="1" w:after="100" w:afterAutospacing="1" w:line="240" w:lineRule="atLeast"/>
        <w:contextualSpacing/>
        <w:jc w:val="both"/>
        <w:rPr>
          <w:rFonts w:ascii="Garamond" w:hAnsi="Garamond"/>
          <w:color w:val="000000"/>
          <w:sz w:val="22"/>
          <w:szCs w:val="22"/>
        </w:rPr>
      </w:pPr>
      <w:r w:rsidRPr="00944B94">
        <w:rPr>
          <w:rFonts w:ascii="Garamond" w:hAnsi="Garamond"/>
          <w:color w:val="000000"/>
          <w:sz w:val="22"/>
          <w:szCs w:val="22"/>
        </w:rPr>
        <w:t xml:space="preserve">подписи (утверждения) протокола по итогам </w:t>
      </w:r>
      <w:r>
        <w:rPr>
          <w:rFonts w:ascii="Garamond" w:hAnsi="Garamond"/>
          <w:color w:val="000000"/>
          <w:sz w:val="22"/>
          <w:szCs w:val="22"/>
        </w:rPr>
        <w:t>и</w:t>
      </w:r>
      <w:r w:rsidRPr="00944B94">
        <w:rPr>
          <w:rFonts w:ascii="Garamond" w:hAnsi="Garamond"/>
          <w:color w:val="000000"/>
          <w:sz w:val="22"/>
          <w:szCs w:val="22"/>
        </w:rPr>
        <w:t>спытаний;</w:t>
      </w:r>
    </w:p>
    <w:p w14:paraId="0B55A6B0" w14:textId="77777777" w:rsidR="004B3B82" w:rsidRDefault="004B3B82" w:rsidP="004B3B82">
      <w:pPr>
        <w:pStyle w:val="ac"/>
        <w:numPr>
          <w:ilvl w:val="0"/>
          <w:numId w:val="186"/>
        </w:numPr>
        <w:autoSpaceDE w:val="0"/>
        <w:autoSpaceDN w:val="0"/>
        <w:adjustRightInd w:val="0"/>
        <w:spacing w:before="100" w:beforeAutospacing="1" w:after="100" w:afterAutospacing="1" w:line="240" w:lineRule="atLeast"/>
        <w:contextualSpacing/>
        <w:jc w:val="both"/>
        <w:rPr>
          <w:rFonts w:ascii="Garamond" w:hAnsi="Garamond"/>
          <w:color w:val="000000"/>
          <w:sz w:val="22"/>
          <w:szCs w:val="22"/>
        </w:rPr>
      </w:pPr>
      <w:r w:rsidRPr="00944B94">
        <w:rPr>
          <w:rFonts w:ascii="Garamond" w:hAnsi="Garamond"/>
          <w:color w:val="000000"/>
          <w:sz w:val="22"/>
          <w:szCs w:val="22"/>
        </w:rPr>
        <w:t>совершения любых иных юридических и фактических действий, связанных с осуществлением полномочий, предусмотренных настоящей доверенностью.</w:t>
      </w:r>
    </w:p>
    <w:p w14:paraId="6FE85E6A" w14:textId="77777777" w:rsidR="004B3B82" w:rsidRDefault="004B3B82" w:rsidP="00101F7C">
      <w:pPr>
        <w:spacing w:before="100" w:beforeAutospacing="1" w:after="100" w:afterAutospacing="1" w:line="240" w:lineRule="atLeast"/>
        <w:contextualSpacing/>
        <w:jc w:val="both"/>
        <w:rPr>
          <w:rFonts w:ascii="Garamond" w:hAnsi="Garamond" w:cs="Tahoma"/>
          <w:sz w:val="22"/>
          <w:szCs w:val="22"/>
        </w:rPr>
      </w:pPr>
      <w:r w:rsidRPr="00944B94">
        <w:rPr>
          <w:rFonts w:ascii="Garamond" w:hAnsi="Garamond"/>
          <w:sz w:val="22"/>
          <w:szCs w:val="22"/>
        </w:rPr>
        <w:t>Настоящая доверенность выдана без права передоверия.</w:t>
      </w:r>
    </w:p>
    <w:p w14:paraId="407AF65A" w14:textId="77777777" w:rsidR="004B3B82" w:rsidRDefault="004B3B82" w:rsidP="00101F7C">
      <w:pPr>
        <w:spacing w:before="100" w:beforeAutospacing="1" w:after="100" w:afterAutospacing="1" w:line="240" w:lineRule="atLeast"/>
        <w:contextualSpacing/>
        <w:jc w:val="both"/>
        <w:rPr>
          <w:rFonts w:ascii="Garamond" w:hAnsi="Garamond"/>
          <w:color w:val="000000"/>
          <w:sz w:val="22"/>
          <w:szCs w:val="22"/>
        </w:rPr>
      </w:pPr>
    </w:p>
    <w:p w14:paraId="4849BFA0" w14:textId="77777777" w:rsidR="004B3B82" w:rsidRDefault="004B3B82" w:rsidP="00101F7C">
      <w:pPr>
        <w:spacing w:before="100" w:beforeAutospacing="1" w:after="100" w:afterAutospacing="1" w:line="240" w:lineRule="atLeast"/>
        <w:contextualSpacing/>
        <w:jc w:val="both"/>
        <w:rPr>
          <w:rFonts w:ascii="Garamond" w:hAnsi="Garamond" w:cs="Tahoma"/>
          <w:sz w:val="22"/>
          <w:szCs w:val="22"/>
        </w:rPr>
      </w:pPr>
      <w:r w:rsidRPr="00944B94">
        <w:rPr>
          <w:rFonts w:ascii="Garamond" w:hAnsi="Garamond"/>
          <w:color w:val="000000"/>
          <w:sz w:val="22"/>
          <w:szCs w:val="22"/>
        </w:rPr>
        <w:t>Доверенность выдана сроком действия по _________________________________________.</w:t>
      </w:r>
    </w:p>
    <w:p w14:paraId="50492A4D" w14:textId="77777777" w:rsidR="004B3B82" w:rsidRDefault="004B3B82" w:rsidP="00101F7C">
      <w:pPr>
        <w:spacing w:before="100" w:beforeAutospacing="1" w:after="100" w:afterAutospacing="1" w:line="240" w:lineRule="atLeast"/>
        <w:contextualSpacing/>
        <w:jc w:val="both"/>
        <w:rPr>
          <w:rFonts w:ascii="Garamond" w:hAnsi="Garamond"/>
          <w:sz w:val="22"/>
          <w:szCs w:val="22"/>
        </w:rPr>
      </w:pPr>
    </w:p>
    <w:p w14:paraId="21E8A943" w14:textId="77777777" w:rsidR="004B3B82" w:rsidRDefault="004B3B82" w:rsidP="00101F7C">
      <w:pPr>
        <w:spacing w:before="100" w:beforeAutospacing="1" w:after="100" w:afterAutospacing="1" w:line="240" w:lineRule="atLeast"/>
        <w:contextualSpacing/>
        <w:jc w:val="both"/>
        <w:rPr>
          <w:rFonts w:ascii="Garamond" w:hAnsi="Garamond" w:cs="Tahoma"/>
          <w:sz w:val="22"/>
          <w:szCs w:val="22"/>
        </w:rPr>
      </w:pPr>
      <w:r w:rsidRPr="00944B94">
        <w:rPr>
          <w:rFonts w:ascii="Garamond" w:hAnsi="Garamond"/>
          <w:sz w:val="22"/>
          <w:szCs w:val="22"/>
        </w:rPr>
        <w:t>Подпись представителя ___________________________ удостоверяю.</w:t>
      </w:r>
    </w:p>
    <w:p w14:paraId="75B22848" w14:textId="77777777" w:rsidR="004B3B82" w:rsidRDefault="004B3B82" w:rsidP="00101F7C">
      <w:pPr>
        <w:tabs>
          <w:tab w:val="left" w:pos="284"/>
        </w:tabs>
        <w:spacing w:before="100" w:beforeAutospacing="1" w:after="100" w:afterAutospacing="1" w:line="240" w:lineRule="atLeast"/>
        <w:contextualSpacing/>
        <w:jc w:val="both"/>
        <w:rPr>
          <w:rFonts w:ascii="Garamond" w:hAnsi="Garamond"/>
          <w:b/>
          <w:color w:val="000000"/>
          <w:sz w:val="22"/>
          <w:szCs w:val="22"/>
        </w:rPr>
      </w:pPr>
    </w:p>
    <w:p w14:paraId="4EC05428" w14:textId="77777777" w:rsidR="004B3B82" w:rsidRDefault="004B3B82" w:rsidP="00101F7C">
      <w:pPr>
        <w:tabs>
          <w:tab w:val="left" w:pos="284"/>
        </w:tabs>
        <w:spacing w:before="100" w:beforeAutospacing="1" w:after="100" w:afterAutospacing="1" w:line="240" w:lineRule="atLeast"/>
        <w:contextualSpacing/>
        <w:jc w:val="both"/>
        <w:rPr>
          <w:rFonts w:ascii="Garamond" w:hAnsi="Garamond"/>
          <w:b/>
          <w:color w:val="000000"/>
          <w:sz w:val="22"/>
          <w:szCs w:val="22"/>
        </w:rPr>
      </w:pPr>
    </w:p>
    <w:p w14:paraId="43696211" w14:textId="77777777" w:rsidR="004B3B82" w:rsidRDefault="004B3B82" w:rsidP="00101F7C">
      <w:pPr>
        <w:tabs>
          <w:tab w:val="left" w:pos="284"/>
        </w:tabs>
        <w:spacing w:before="100" w:beforeAutospacing="1" w:after="100" w:afterAutospacing="1" w:line="240" w:lineRule="atLeast"/>
        <w:contextualSpacing/>
        <w:jc w:val="both"/>
        <w:rPr>
          <w:rFonts w:ascii="Garamond" w:hAnsi="Garamond"/>
          <w:b/>
          <w:color w:val="000000"/>
          <w:sz w:val="22"/>
          <w:szCs w:val="22"/>
        </w:rPr>
      </w:pPr>
    </w:p>
    <w:p w14:paraId="3CE3F05B" w14:textId="77777777" w:rsidR="004B3B82" w:rsidRDefault="004B3B82" w:rsidP="00101F7C">
      <w:pPr>
        <w:tabs>
          <w:tab w:val="left" w:pos="284"/>
        </w:tabs>
        <w:spacing w:before="100" w:beforeAutospacing="1" w:after="100" w:afterAutospacing="1" w:line="240" w:lineRule="atLeast"/>
        <w:contextualSpacing/>
        <w:jc w:val="both"/>
        <w:rPr>
          <w:rFonts w:ascii="Garamond" w:hAnsi="Garamond"/>
          <w:b/>
          <w:sz w:val="22"/>
          <w:szCs w:val="22"/>
        </w:rPr>
      </w:pPr>
      <w:r w:rsidRPr="00944B94">
        <w:rPr>
          <w:rFonts w:ascii="Garamond" w:hAnsi="Garamond"/>
          <w:b/>
          <w:color w:val="000000"/>
          <w:sz w:val="22"/>
          <w:szCs w:val="22"/>
        </w:rPr>
        <w:t xml:space="preserve">Генеральный директор </w:t>
      </w:r>
      <w:r w:rsidRPr="00944B94">
        <w:rPr>
          <w:rFonts w:ascii="Garamond" w:hAnsi="Garamond"/>
          <w:b/>
          <w:sz w:val="22"/>
          <w:szCs w:val="22"/>
        </w:rPr>
        <w:tab/>
      </w:r>
      <w:r w:rsidRPr="00944B94">
        <w:rPr>
          <w:rFonts w:ascii="Garamond" w:hAnsi="Garamond"/>
          <w:b/>
          <w:sz w:val="22"/>
          <w:szCs w:val="22"/>
        </w:rPr>
        <w:tab/>
        <w:t>_________________</w:t>
      </w:r>
      <w:r>
        <w:rPr>
          <w:rFonts w:ascii="Garamond" w:hAnsi="Garamond"/>
          <w:b/>
          <w:sz w:val="22"/>
          <w:szCs w:val="22"/>
        </w:rPr>
        <w:tab/>
      </w:r>
      <w:r>
        <w:rPr>
          <w:rFonts w:ascii="Garamond" w:hAnsi="Garamond"/>
          <w:b/>
          <w:sz w:val="22"/>
          <w:szCs w:val="22"/>
        </w:rPr>
        <w:tab/>
      </w:r>
      <w:r>
        <w:rPr>
          <w:rFonts w:ascii="Garamond" w:hAnsi="Garamond"/>
          <w:b/>
          <w:sz w:val="22"/>
          <w:szCs w:val="22"/>
        </w:rPr>
        <w:tab/>
      </w:r>
      <w:r>
        <w:rPr>
          <w:rFonts w:ascii="Garamond" w:hAnsi="Garamond"/>
          <w:b/>
          <w:sz w:val="22"/>
          <w:szCs w:val="22"/>
        </w:rPr>
        <w:tab/>
      </w:r>
      <w:r w:rsidRPr="00944B94">
        <w:rPr>
          <w:rFonts w:ascii="Garamond" w:hAnsi="Garamond"/>
          <w:b/>
          <w:sz w:val="22"/>
          <w:szCs w:val="22"/>
        </w:rPr>
        <w:t>___________________</w:t>
      </w:r>
    </w:p>
    <w:p w14:paraId="0F88A628" w14:textId="77777777" w:rsidR="004B3B82" w:rsidRPr="007D4C5F" w:rsidRDefault="004B3B82" w:rsidP="00101F7C">
      <w:pPr>
        <w:spacing w:before="100" w:beforeAutospacing="1" w:after="100" w:afterAutospacing="1" w:line="240" w:lineRule="atLeast"/>
        <w:ind w:left="3540"/>
        <w:contextualSpacing/>
        <w:rPr>
          <w:rFonts w:ascii="Garamond" w:hAnsi="Garamond" w:cs="Tahoma"/>
          <w:sz w:val="18"/>
          <w:szCs w:val="18"/>
        </w:rPr>
      </w:pPr>
      <w:r w:rsidRPr="007D4C5F">
        <w:rPr>
          <w:rFonts w:ascii="Garamond" w:hAnsi="Garamond"/>
          <w:i/>
          <w:sz w:val="18"/>
          <w:szCs w:val="18"/>
        </w:rPr>
        <w:t>(подпись)</w:t>
      </w:r>
      <w:r>
        <w:rPr>
          <w:rFonts w:ascii="Garamond" w:hAnsi="Garamond"/>
          <w:sz w:val="18"/>
          <w:szCs w:val="18"/>
        </w:rPr>
        <w:tab/>
      </w:r>
      <w:r>
        <w:rPr>
          <w:rFonts w:ascii="Garamond" w:hAnsi="Garamond"/>
          <w:sz w:val="18"/>
          <w:szCs w:val="18"/>
        </w:rPr>
        <w:tab/>
      </w:r>
      <w:r>
        <w:rPr>
          <w:rFonts w:ascii="Garamond" w:hAnsi="Garamond"/>
          <w:sz w:val="18"/>
          <w:szCs w:val="18"/>
        </w:rPr>
        <w:tab/>
      </w:r>
      <w:r>
        <w:rPr>
          <w:rFonts w:ascii="Garamond" w:hAnsi="Garamond"/>
          <w:sz w:val="18"/>
          <w:szCs w:val="18"/>
        </w:rPr>
        <w:tab/>
      </w:r>
      <w:r>
        <w:rPr>
          <w:rFonts w:ascii="Garamond" w:hAnsi="Garamond"/>
          <w:sz w:val="18"/>
          <w:szCs w:val="18"/>
        </w:rPr>
        <w:tab/>
      </w:r>
      <w:r>
        <w:rPr>
          <w:rFonts w:ascii="Garamond" w:hAnsi="Garamond"/>
          <w:sz w:val="18"/>
          <w:szCs w:val="18"/>
        </w:rPr>
        <w:tab/>
      </w:r>
      <w:r>
        <w:rPr>
          <w:rFonts w:ascii="Garamond" w:hAnsi="Garamond"/>
          <w:sz w:val="18"/>
          <w:szCs w:val="18"/>
        </w:rPr>
        <w:tab/>
      </w:r>
      <w:r w:rsidRPr="007D4C5F">
        <w:rPr>
          <w:rFonts w:ascii="Garamond" w:hAnsi="Garamond"/>
          <w:i/>
          <w:iCs/>
          <w:sz w:val="18"/>
          <w:szCs w:val="18"/>
        </w:rPr>
        <w:t>(</w:t>
      </w:r>
      <w:r>
        <w:rPr>
          <w:rFonts w:ascii="Garamond" w:hAnsi="Garamond"/>
          <w:i/>
          <w:iCs/>
          <w:sz w:val="18"/>
          <w:szCs w:val="18"/>
        </w:rPr>
        <w:t>Ф. И. О.</w:t>
      </w:r>
      <w:r w:rsidRPr="007D4C5F">
        <w:rPr>
          <w:rFonts w:ascii="Garamond" w:hAnsi="Garamond"/>
          <w:i/>
          <w:iCs/>
          <w:sz w:val="18"/>
          <w:szCs w:val="18"/>
        </w:rPr>
        <w:t>)</w:t>
      </w:r>
    </w:p>
    <w:p w14:paraId="085B10DF" w14:textId="77777777" w:rsidR="004B3B82" w:rsidRDefault="004B3B82" w:rsidP="00101F7C">
      <w:pPr>
        <w:rPr>
          <w:rFonts w:ascii="Garamond" w:hAnsi="Garamond"/>
          <w:sz w:val="22"/>
          <w:szCs w:val="22"/>
        </w:rPr>
      </w:pPr>
      <w:r>
        <w:rPr>
          <w:rFonts w:ascii="Garamond" w:hAnsi="Garamond"/>
          <w:sz w:val="22"/>
          <w:szCs w:val="22"/>
        </w:rPr>
        <w:br w:type="page"/>
      </w:r>
    </w:p>
    <w:p w14:paraId="28A2E14D" w14:textId="77777777" w:rsidR="004B3B82" w:rsidRDefault="004B3B82" w:rsidP="00101F7C">
      <w:pPr>
        <w:rPr>
          <w:rFonts w:ascii="Garamond" w:hAnsi="Garamond"/>
          <w:b/>
          <w:sz w:val="22"/>
          <w:szCs w:val="22"/>
        </w:rPr>
      </w:pPr>
      <w:r>
        <w:rPr>
          <w:rFonts w:ascii="Garamond" w:hAnsi="Garamond"/>
          <w:b/>
          <w:sz w:val="22"/>
          <w:szCs w:val="22"/>
        </w:rPr>
        <w:lastRenderedPageBreak/>
        <w:t>Предлагаемая редакция</w:t>
      </w:r>
    </w:p>
    <w:p w14:paraId="0BAA19D9" w14:textId="77777777" w:rsidR="004B3B82" w:rsidRDefault="004B3B82" w:rsidP="00101F7C">
      <w:pPr>
        <w:rPr>
          <w:rFonts w:ascii="Garamond" w:hAnsi="Garamond"/>
          <w:b/>
          <w:sz w:val="22"/>
          <w:szCs w:val="22"/>
        </w:rPr>
      </w:pPr>
    </w:p>
    <w:p w14:paraId="17AE4944" w14:textId="77777777" w:rsidR="004B3B82" w:rsidRDefault="004B3B82" w:rsidP="00101F7C">
      <w:pPr>
        <w:rPr>
          <w:rFonts w:ascii="Garamond" w:hAnsi="Garamond"/>
          <w:b/>
          <w:sz w:val="22"/>
          <w:szCs w:val="22"/>
        </w:rPr>
      </w:pPr>
      <w:r>
        <w:rPr>
          <w:rFonts w:ascii="Garamond" w:hAnsi="Garamond"/>
          <w:b/>
          <w:sz w:val="22"/>
          <w:szCs w:val="22"/>
        </w:rPr>
        <w:t xml:space="preserve">Рекомендуемая форма доверенности </w:t>
      </w:r>
    </w:p>
    <w:p w14:paraId="143D685C" w14:textId="77777777" w:rsidR="004B3B82" w:rsidRDefault="004B3B82" w:rsidP="00101F7C">
      <w:pPr>
        <w:spacing w:before="240"/>
        <w:jc w:val="center"/>
        <w:rPr>
          <w:rFonts w:ascii="Garamond" w:hAnsi="Garamond"/>
          <w:b/>
          <w:bCs/>
        </w:rPr>
      </w:pPr>
    </w:p>
    <w:p w14:paraId="12D93CCF" w14:textId="77777777" w:rsidR="004B3B82" w:rsidRDefault="004B3B82" w:rsidP="00101F7C">
      <w:pPr>
        <w:spacing w:before="240"/>
        <w:jc w:val="center"/>
        <w:rPr>
          <w:rFonts w:ascii="Garamond" w:hAnsi="Garamond"/>
          <w:b/>
          <w:bCs/>
        </w:rPr>
      </w:pPr>
    </w:p>
    <w:p w14:paraId="32FE8B32" w14:textId="77777777" w:rsidR="004B3B82" w:rsidRPr="00944B94" w:rsidRDefault="004B3B82" w:rsidP="00101F7C">
      <w:pPr>
        <w:spacing w:before="240"/>
        <w:jc w:val="center"/>
        <w:rPr>
          <w:rFonts w:ascii="Garamond" w:hAnsi="Garamond" w:cs="Tahoma"/>
        </w:rPr>
      </w:pPr>
      <w:r w:rsidRPr="00944B94">
        <w:rPr>
          <w:rFonts w:ascii="Garamond" w:hAnsi="Garamond"/>
          <w:b/>
          <w:bCs/>
        </w:rPr>
        <w:t xml:space="preserve">ДОВЕРЕННОСТЬ № ______________ </w:t>
      </w:r>
    </w:p>
    <w:p w14:paraId="6A2EC744" w14:textId="77777777" w:rsidR="004B3B82" w:rsidRDefault="004B3B82" w:rsidP="00101F7C">
      <w:pPr>
        <w:spacing w:before="100" w:beforeAutospacing="1" w:after="100" w:afterAutospacing="1" w:line="240" w:lineRule="atLeast"/>
        <w:contextualSpacing/>
        <w:jc w:val="both"/>
        <w:rPr>
          <w:rFonts w:ascii="Garamond" w:hAnsi="Garamond"/>
          <w:sz w:val="22"/>
          <w:szCs w:val="22"/>
        </w:rPr>
      </w:pPr>
    </w:p>
    <w:p w14:paraId="1F9F6E32" w14:textId="77777777" w:rsidR="004B3B82" w:rsidRDefault="004B3B82" w:rsidP="00101F7C">
      <w:pPr>
        <w:spacing w:before="100" w:beforeAutospacing="1" w:after="100" w:afterAutospacing="1" w:line="240" w:lineRule="atLeast"/>
        <w:contextualSpacing/>
        <w:jc w:val="both"/>
        <w:rPr>
          <w:rFonts w:ascii="Garamond" w:hAnsi="Garamond" w:cs="Tahoma"/>
          <w:sz w:val="22"/>
          <w:szCs w:val="22"/>
        </w:rPr>
      </w:pPr>
      <w:r w:rsidRPr="00944B94">
        <w:rPr>
          <w:rFonts w:ascii="Garamond" w:hAnsi="Garamond"/>
          <w:sz w:val="22"/>
          <w:szCs w:val="22"/>
        </w:rPr>
        <w:t>_________________________</w:t>
      </w:r>
      <w:r w:rsidRPr="00944B94">
        <w:rPr>
          <w:rFonts w:ascii="Garamond" w:hAnsi="Garamond"/>
          <w:sz w:val="22"/>
          <w:szCs w:val="22"/>
        </w:rPr>
        <w:tab/>
      </w:r>
      <w:r w:rsidRPr="00944B94">
        <w:rPr>
          <w:rFonts w:ascii="Garamond" w:hAnsi="Garamond"/>
          <w:sz w:val="22"/>
          <w:szCs w:val="22"/>
        </w:rPr>
        <w:tab/>
      </w:r>
      <w:r w:rsidRPr="00944B94">
        <w:rPr>
          <w:rFonts w:ascii="Garamond" w:hAnsi="Garamond"/>
          <w:sz w:val="22"/>
          <w:szCs w:val="22"/>
        </w:rPr>
        <w:tab/>
      </w:r>
      <w:r>
        <w:rPr>
          <w:rFonts w:ascii="Garamond" w:hAnsi="Garamond"/>
          <w:sz w:val="22"/>
          <w:szCs w:val="22"/>
        </w:rPr>
        <w:tab/>
      </w:r>
      <w:r>
        <w:rPr>
          <w:rFonts w:ascii="Garamond" w:hAnsi="Garamond"/>
          <w:sz w:val="22"/>
          <w:szCs w:val="22"/>
        </w:rPr>
        <w:tab/>
      </w:r>
      <w:r>
        <w:rPr>
          <w:rFonts w:ascii="Garamond" w:hAnsi="Garamond"/>
          <w:sz w:val="22"/>
          <w:szCs w:val="22"/>
        </w:rPr>
        <w:tab/>
      </w:r>
      <w:r w:rsidRPr="00944B94">
        <w:rPr>
          <w:rFonts w:ascii="Garamond" w:hAnsi="Garamond"/>
          <w:sz w:val="22"/>
          <w:szCs w:val="22"/>
        </w:rPr>
        <w:t>______________________________</w:t>
      </w:r>
    </w:p>
    <w:p w14:paraId="42533C9F" w14:textId="77777777" w:rsidR="004B3B82" w:rsidRPr="007D4C5F" w:rsidRDefault="004B3B82" w:rsidP="00101F7C">
      <w:pPr>
        <w:spacing w:before="100" w:beforeAutospacing="1" w:after="100" w:afterAutospacing="1" w:line="240" w:lineRule="atLeast"/>
        <w:ind w:firstLine="340"/>
        <w:contextualSpacing/>
        <w:jc w:val="both"/>
        <w:rPr>
          <w:rFonts w:ascii="Garamond" w:hAnsi="Garamond"/>
          <w:i/>
          <w:iCs/>
          <w:sz w:val="18"/>
          <w:szCs w:val="18"/>
        </w:rPr>
      </w:pPr>
      <w:r w:rsidRPr="007D4C5F">
        <w:rPr>
          <w:rFonts w:ascii="Garamond" w:hAnsi="Garamond"/>
          <w:i/>
          <w:iCs/>
          <w:sz w:val="18"/>
          <w:szCs w:val="18"/>
        </w:rPr>
        <w:t>(место составления доверенности)</w:t>
      </w:r>
      <w:r w:rsidRPr="007D4C5F">
        <w:rPr>
          <w:rFonts w:ascii="Garamond" w:hAnsi="Garamond"/>
          <w:i/>
          <w:iCs/>
          <w:sz w:val="18"/>
          <w:szCs w:val="18"/>
        </w:rPr>
        <w:tab/>
      </w:r>
      <w:r w:rsidRPr="007D4C5F">
        <w:rPr>
          <w:rFonts w:ascii="Garamond" w:hAnsi="Garamond"/>
          <w:i/>
          <w:iCs/>
          <w:sz w:val="18"/>
          <w:szCs w:val="18"/>
        </w:rPr>
        <w:tab/>
      </w:r>
      <w:r w:rsidRPr="007D4C5F">
        <w:rPr>
          <w:rFonts w:ascii="Garamond" w:hAnsi="Garamond"/>
          <w:i/>
          <w:iCs/>
          <w:sz w:val="18"/>
          <w:szCs w:val="18"/>
        </w:rPr>
        <w:tab/>
      </w:r>
      <w:r>
        <w:rPr>
          <w:rFonts w:ascii="Garamond" w:hAnsi="Garamond"/>
          <w:i/>
          <w:iCs/>
          <w:sz w:val="18"/>
          <w:szCs w:val="18"/>
        </w:rPr>
        <w:tab/>
      </w:r>
      <w:r w:rsidRPr="007D4C5F">
        <w:rPr>
          <w:rFonts w:ascii="Garamond" w:hAnsi="Garamond"/>
          <w:i/>
          <w:iCs/>
          <w:sz w:val="18"/>
          <w:szCs w:val="18"/>
        </w:rPr>
        <w:tab/>
      </w:r>
      <w:r>
        <w:rPr>
          <w:rFonts w:ascii="Garamond" w:hAnsi="Garamond"/>
          <w:i/>
          <w:iCs/>
          <w:sz w:val="18"/>
          <w:szCs w:val="18"/>
        </w:rPr>
        <w:tab/>
      </w:r>
      <w:r>
        <w:rPr>
          <w:rFonts w:ascii="Garamond" w:hAnsi="Garamond"/>
          <w:i/>
          <w:iCs/>
          <w:sz w:val="18"/>
          <w:szCs w:val="18"/>
        </w:rPr>
        <w:tab/>
      </w:r>
      <w:r>
        <w:rPr>
          <w:rFonts w:ascii="Garamond" w:hAnsi="Garamond"/>
          <w:i/>
          <w:iCs/>
          <w:sz w:val="18"/>
          <w:szCs w:val="18"/>
        </w:rPr>
        <w:tab/>
      </w:r>
      <w:r w:rsidRPr="007D4C5F">
        <w:rPr>
          <w:rFonts w:ascii="Garamond" w:hAnsi="Garamond"/>
          <w:i/>
          <w:iCs/>
          <w:sz w:val="18"/>
          <w:szCs w:val="18"/>
        </w:rPr>
        <w:t>(дата составления доверенности прописью)</w:t>
      </w:r>
    </w:p>
    <w:p w14:paraId="0E496C0B" w14:textId="77777777" w:rsidR="004B3B82" w:rsidRDefault="004B3B82" w:rsidP="00101F7C">
      <w:pPr>
        <w:spacing w:before="100" w:beforeAutospacing="1" w:after="100" w:afterAutospacing="1" w:line="240" w:lineRule="atLeast"/>
        <w:contextualSpacing/>
        <w:jc w:val="both"/>
        <w:rPr>
          <w:rFonts w:ascii="Garamond" w:hAnsi="Garamond"/>
          <w:sz w:val="22"/>
          <w:szCs w:val="22"/>
        </w:rPr>
      </w:pPr>
    </w:p>
    <w:p w14:paraId="31C29207" w14:textId="77777777" w:rsidR="004B3B82" w:rsidRDefault="004B3B82" w:rsidP="00101F7C">
      <w:pPr>
        <w:spacing w:before="100" w:beforeAutospacing="1" w:after="100" w:afterAutospacing="1" w:line="240" w:lineRule="atLeast"/>
        <w:contextualSpacing/>
        <w:jc w:val="both"/>
        <w:rPr>
          <w:rFonts w:ascii="Garamond" w:hAnsi="Garamond"/>
          <w:sz w:val="22"/>
          <w:szCs w:val="22"/>
        </w:rPr>
      </w:pPr>
      <w:r w:rsidRPr="00944B94">
        <w:rPr>
          <w:rFonts w:ascii="Garamond" w:hAnsi="Garamond"/>
          <w:sz w:val="22"/>
          <w:szCs w:val="22"/>
        </w:rPr>
        <w:t>______________________________________</w:t>
      </w:r>
      <w:r>
        <w:rPr>
          <w:rFonts w:ascii="Garamond" w:hAnsi="Garamond"/>
          <w:sz w:val="22"/>
          <w:szCs w:val="22"/>
        </w:rPr>
        <w:t>__________</w:t>
      </w:r>
      <w:r w:rsidRPr="00944B94">
        <w:rPr>
          <w:rFonts w:ascii="Garamond" w:hAnsi="Garamond"/>
          <w:sz w:val="22"/>
          <w:szCs w:val="22"/>
        </w:rPr>
        <w:t>_______________________________________</w:t>
      </w:r>
    </w:p>
    <w:p w14:paraId="1068DA95" w14:textId="77777777" w:rsidR="004B3B82" w:rsidRPr="007D4C5F" w:rsidRDefault="004B3B82" w:rsidP="00101F7C">
      <w:pPr>
        <w:spacing w:before="100" w:beforeAutospacing="1" w:after="100" w:afterAutospacing="1" w:line="240" w:lineRule="atLeast"/>
        <w:contextualSpacing/>
        <w:jc w:val="center"/>
        <w:rPr>
          <w:rFonts w:ascii="Garamond" w:hAnsi="Garamond" w:cs="Tahoma"/>
          <w:sz w:val="18"/>
          <w:szCs w:val="18"/>
        </w:rPr>
      </w:pPr>
      <w:r w:rsidRPr="007D4C5F">
        <w:rPr>
          <w:rFonts w:ascii="Garamond" w:hAnsi="Garamond"/>
          <w:i/>
          <w:iCs/>
          <w:sz w:val="18"/>
          <w:szCs w:val="18"/>
        </w:rPr>
        <w:t>(</w:t>
      </w:r>
      <w:r w:rsidRPr="005F754A">
        <w:rPr>
          <w:rFonts w:ascii="Garamond" w:hAnsi="Garamond"/>
          <w:i/>
          <w:sz w:val="18"/>
          <w:szCs w:val="18"/>
        </w:rPr>
        <w:t>полное наименование орга</w:t>
      </w:r>
      <w:r>
        <w:rPr>
          <w:rFonts w:ascii="Garamond" w:hAnsi="Garamond"/>
          <w:i/>
          <w:sz w:val="18"/>
          <w:szCs w:val="18"/>
        </w:rPr>
        <w:t>низации</w:t>
      </w:r>
      <w:r w:rsidRPr="005F754A">
        <w:rPr>
          <w:rFonts w:ascii="Garamond" w:hAnsi="Garamond"/>
          <w:i/>
          <w:sz w:val="18"/>
          <w:szCs w:val="18"/>
        </w:rPr>
        <w:t xml:space="preserve"> с указанием организационно-правовой формы</w:t>
      </w:r>
      <w:r w:rsidRPr="007D4C5F">
        <w:rPr>
          <w:rFonts w:ascii="Garamond" w:hAnsi="Garamond"/>
          <w:i/>
          <w:iCs/>
          <w:sz w:val="18"/>
          <w:szCs w:val="18"/>
        </w:rPr>
        <w:t>)</w:t>
      </w:r>
    </w:p>
    <w:p w14:paraId="219636E9" w14:textId="77777777" w:rsidR="004B3B82" w:rsidRDefault="004B3B82" w:rsidP="00101F7C">
      <w:pPr>
        <w:spacing w:before="100" w:beforeAutospacing="1" w:after="100" w:afterAutospacing="1" w:line="240" w:lineRule="atLeast"/>
        <w:contextualSpacing/>
        <w:jc w:val="both"/>
        <w:rPr>
          <w:rFonts w:ascii="Garamond" w:hAnsi="Garamond"/>
          <w:sz w:val="22"/>
          <w:szCs w:val="22"/>
        </w:rPr>
      </w:pPr>
    </w:p>
    <w:p w14:paraId="1AC545A4" w14:textId="77777777" w:rsidR="004B3B82" w:rsidRDefault="004B3B82" w:rsidP="00101F7C">
      <w:pPr>
        <w:spacing w:before="100" w:beforeAutospacing="1" w:after="100" w:afterAutospacing="1" w:line="240" w:lineRule="atLeast"/>
        <w:contextualSpacing/>
        <w:jc w:val="both"/>
        <w:rPr>
          <w:rFonts w:ascii="Garamond" w:hAnsi="Garamond" w:cs="Tahoma"/>
          <w:sz w:val="22"/>
          <w:szCs w:val="22"/>
        </w:rPr>
      </w:pPr>
      <w:r w:rsidRPr="00944B94">
        <w:rPr>
          <w:rFonts w:ascii="Garamond" w:hAnsi="Garamond"/>
          <w:sz w:val="22"/>
          <w:szCs w:val="22"/>
        </w:rPr>
        <w:t>(далее – организация) в лице _________</w:t>
      </w:r>
      <w:r>
        <w:rPr>
          <w:rFonts w:ascii="Garamond" w:hAnsi="Garamond"/>
          <w:sz w:val="22"/>
          <w:szCs w:val="22"/>
        </w:rPr>
        <w:t>_________</w:t>
      </w:r>
      <w:r w:rsidRPr="00944B94">
        <w:rPr>
          <w:rFonts w:ascii="Garamond" w:hAnsi="Garamond"/>
          <w:sz w:val="22"/>
          <w:szCs w:val="22"/>
        </w:rPr>
        <w:t>__</w:t>
      </w:r>
      <w:r>
        <w:rPr>
          <w:rFonts w:ascii="Garamond" w:hAnsi="Garamond"/>
          <w:sz w:val="22"/>
          <w:szCs w:val="22"/>
        </w:rPr>
        <w:t>__</w:t>
      </w:r>
      <w:r w:rsidRPr="00944B94">
        <w:rPr>
          <w:rFonts w:ascii="Garamond" w:hAnsi="Garamond"/>
          <w:sz w:val="22"/>
          <w:szCs w:val="22"/>
        </w:rPr>
        <w:t>________________________________________,</w:t>
      </w:r>
    </w:p>
    <w:p w14:paraId="1D0D5283" w14:textId="77777777" w:rsidR="004B3B82" w:rsidRPr="007D4C5F" w:rsidRDefault="004B3B82" w:rsidP="00101F7C">
      <w:pPr>
        <w:spacing w:before="100" w:beforeAutospacing="1" w:after="100" w:afterAutospacing="1" w:line="240" w:lineRule="atLeast"/>
        <w:contextualSpacing/>
        <w:jc w:val="center"/>
        <w:rPr>
          <w:rFonts w:ascii="Garamond" w:hAnsi="Garamond" w:cs="Tahoma"/>
          <w:sz w:val="18"/>
          <w:szCs w:val="18"/>
        </w:rPr>
      </w:pPr>
      <w:r w:rsidRPr="007D4C5F">
        <w:rPr>
          <w:rFonts w:ascii="Garamond" w:hAnsi="Garamond"/>
          <w:i/>
          <w:iCs/>
          <w:sz w:val="18"/>
          <w:szCs w:val="18"/>
        </w:rPr>
        <w:t>(</w:t>
      </w:r>
      <w:r>
        <w:rPr>
          <w:rFonts w:ascii="Garamond" w:hAnsi="Garamond"/>
          <w:i/>
          <w:iCs/>
          <w:sz w:val="18"/>
          <w:szCs w:val="18"/>
        </w:rPr>
        <w:t>Ф. И. О.</w:t>
      </w:r>
      <w:r w:rsidRPr="007D4C5F">
        <w:rPr>
          <w:rFonts w:ascii="Garamond" w:hAnsi="Garamond"/>
          <w:i/>
          <w:iCs/>
          <w:sz w:val="18"/>
          <w:szCs w:val="18"/>
        </w:rPr>
        <w:t>)</w:t>
      </w:r>
    </w:p>
    <w:p w14:paraId="23232C54" w14:textId="77777777" w:rsidR="004B3B82" w:rsidRDefault="004B3B82" w:rsidP="00101F7C">
      <w:pPr>
        <w:spacing w:before="100" w:beforeAutospacing="1" w:after="100" w:afterAutospacing="1" w:line="240" w:lineRule="atLeast"/>
        <w:contextualSpacing/>
        <w:jc w:val="both"/>
        <w:rPr>
          <w:rFonts w:ascii="Garamond" w:hAnsi="Garamond"/>
          <w:sz w:val="22"/>
          <w:szCs w:val="22"/>
        </w:rPr>
      </w:pPr>
    </w:p>
    <w:p w14:paraId="176869F6" w14:textId="77777777" w:rsidR="004B3B82" w:rsidRDefault="004B3B82" w:rsidP="00101F7C">
      <w:pPr>
        <w:spacing w:before="100" w:beforeAutospacing="1" w:after="100" w:afterAutospacing="1" w:line="240" w:lineRule="atLeast"/>
        <w:contextualSpacing/>
        <w:jc w:val="both"/>
        <w:rPr>
          <w:rFonts w:ascii="Garamond" w:hAnsi="Garamond"/>
          <w:bCs/>
          <w:sz w:val="22"/>
          <w:szCs w:val="22"/>
        </w:rPr>
      </w:pPr>
      <w:r w:rsidRPr="00944B94">
        <w:rPr>
          <w:rFonts w:ascii="Garamond" w:hAnsi="Garamond"/>
          <w:sz w:val="22"/>
          <w:szCs w:val="22"/>
        </w:rPr>
        <w:t>действующего на основании __________</w:t>
      </w:r>
      <w:r>
        <w:rPr>
          <w:rFonts w:ascii="Garamond" w:hAnsi="Garamond"/>
          <w:sz w:val="22"/>
          <w:szCs w:val="22"/>
        </w:rPr>
        <w:t>_________</w:t>
      </w:r>
      <w:r w:rsidRPr="00944B94">
        <w:rPr>
          <w:rFonts w:ascii="Garamond" w:hAnsi="Garamond"/>
          <w:sz w:val="22"/>
          <w:szCs w:val="22"/>
        </w:rPr>
        <w:t>______</w:t>
      </w:r>
      <w:r w:rsidRPr="00944B94">
        <w:rPr>
          <w:rFonts w:ascii="Garamond" w:hAnsi="Garamond"/>
          <w:bCs/>
          <w:sz w:val="22"/>
          <w:szCs w:val="22"/>
        </w:rPr>
        <w:t>,</w:t>
      </w:r>
      <w:r w:rsidRPr="00944B94">
        <w:rPr>
          <w:rFonts w:ascii="Garamond" w:hAnsi="Garamond"/>
          <w:b/>
          <w:bCs/>
          <w:sz w:val="22"/>
          <w:szCs w:val="22"/>
        </w:rPr>
        <w:t xml:space="preserve"> </w:t>
      </w:r>
      <w:r>
        <w:rPr>
          <w:rFonts w:ascii="Garamond" w:hAnsi="Garamond"/>
          <w:bCs/>
          <w:sz w:val="22"/>
          <w:szCs w:val="22"/>
        </w:rPr>
        <w:t>настоящей доверенностью уполномочивает</w:t>
      </w:r>
      <w:r w:rsidRPr="00944B94">
        <w:rPr>
          <w:rFonts w:ascii="Garamond" w:hAnsi="Garamond"/>
          <w:bCs/>
          <w:sz w:val="22"/>
          <w:szCs w:val="22"/>
        </w:rPr>
        <w:t xml:space="preserve"> </w:t>
      </w:r>
    </w:p>
    <w:p w14:paraId="1BB5B4DF" w14:textId="77777777" w:rsidR="004B3B82" w:rsidRDefault="004B3B82" w:rsidP="00101F7C">
      <w:pPr>
        <w:spacing w:before="100" w:beforeAutospacing="1" w:after="100" w:afterAutospacing="1" w:line="240" w:lineRule="atLeast"/>
        <w:contextualSpacing/>
        <w:jc w:val="both"/>
        <w:rPr>
          <w:rFonts w:ascii="Garamond" w:hAnsi="Garamond"/>
          <w:bCs/>
          <w:sz w:val="22"/>
          <w:szCs w:val="22"/>
        </w:rPr>
      </w:pPr>
    </w:p>
    <w:p w14:paraId="24E892D3" w14:textId="77777777" w:rsidR="004B3B82" w:rsidRDefault="004B3B82" w:rsidP="00101F7C">
      <w:pPr>
        <w:spacing w:before="100" w:beforeAutospacing="1" w:after="100" w:afterAutospacing="1" w:line="240" w:lineRule="atLeast"/>
        <w:contextualSpacing/>
        <w:jc w:val="both"/>
        <w:rPr>
          <w:rFonts w:ascii="Garamond" w:hAnsi="Garamond" w:cs="Tahoma"/>
          <w:sz w:val="22"/>
          <w:szCs w:val="22"/>
        </w:rPr>
      </w:pPr>
      <w:r w:rsidRPr="00944B94">
        <w:rPr>
          <w:rFonts w:ascii="Garamond" w:hAnsi="Garamond"/>
          <w:bCs/>
          <w:sz w:val="22"/>
          <w:szCs w:val="22"/>
        </w:rPr>
        <w:t>______________</w:t>
      </w:r>
      <w:r>
        <w:rPr>
          <w:rFonts w:ascii="Garamond" w:hAnsi="Garamond"/>
          <w:bCs/>
          <w:sz w:val="22"/>
          <w:szCs w:val="22"/>
        </w:rPr>
        <w:t>_____________</w:t>
      </w:r>
      <w:r w:rsidRPr="00944B94">
        <w:rPr>
          <w:rFonts w:ascii="Garamond" w:hAnsi="Garamond"/>
          <w:bCs/>
          <w:sz w:val="22"/>
          <w:szCs w:val="22"/>
        </w:rPr>
        <w:t>__</w:t>
      </w:r>
      <w:r>
        <w:rPr>
          <w:rFonts w:ascii="Garamond" w:hAnsi="Garamond"/>
          <w:bCs/>
          <w:sz w:val="22"/>
          <w:szCs w:val="22"/>
        </w:rPr>
        <w:t>__</w:t>
      </w:r>
      <w:r w:rsidRPr="00944B94">
        <w:rPr>
          <w:rFonts w:ascii="Garamond" w:hAnsi="Garamond"/>
          <w:bCs/>
          <w:sz w:val="22"/>
          <w:szCs w:val="22"/>
        </w:rPr>
        <w:t>_</w:t>
      </w:r>
      <w:r>
        <w:rPr>
          <w:rFonts w:ascii="Garamond" w:hAnsi="Garamond"/>
          <w:bCs/>
          <w:sz w:val="22"/>
          <w:szCs w:val="22"/>
        </w:rPr>
        <w:t>__</w:t>
      </w:r>
      <w:r w:rsidRPr="00944B94">
        <w:rPr>
          <w:rFonts w:ascii="Garamond" w:hAnsi="Garamond"/>
          <w:bCs/>
          <w:sz w:val="22"/>
          <w:szCs w:val="22"/>
        </w:rPr>
        <w:t>_____</w:t>
      </w:r>
      <w:r>
        <w:rPr>
          <w:rFonts w:ascii="Garamond" w:hAnsi="Garamond"/>
          <w:bCs/>
          <w:sz w:val="22"/>
          <w:szCs w:val="22"/>
        </w:rPr>
        <w:t xml:space="preserve"> </w:t>
      </w:r>
      <w:r w:rsidRPr="00944B94">
        <w:rPr>
          <w:rFonts w:ascii="Garamond" w:hAnsi="Garamond"/>
          <w:sz w:val="22"/>
          <w:szCs w:val="22"/>
        </w:rPr>
        <w:t>(</w:t>
      </w:r>
      <w:r>
        <w:rPr>
          <w:rFonts w:ascii="Garamond" w:hAnsi="Garamond"/>
          <w:sz w:val="22"/>
          <w:szCs w:val="22"/>
        </w:rPr>
        <w:t>паспорт _____</w:t>
      </w:r>
      <w:r w:rsidRPr="00944B94">
        <w:rPr>
          <w:rFonts w:ascii="Garamond" w:hAnsi="Garamond"/>
          <w:sz w:val="22"/>
          <w:szCs w:val="22"/>
        </w:rPr>
        <w:t>______________) (далее – представитель)</w:t>
      </w:r>
    </w:p>
    <w:p w14:paraId="09556AE5" w14:textId="77777777" w:rsidR="004B3B82" w:rsidRPr="007D4C5F" w:rsidRDefault="004B3B82" w:rsidP="00101F7C">
      <w:pPr>
        <w:spacing w:before="100" w:beforeAutospacing="1" w:after="100" w:afterAutospacing="1" w:line="240" w:lineRule="atLeast"/>
        <w:ind w:firstLine="708"/>
        <w:contextualSpacing/>
        <w:rPr>
          <w:rFonts w:ascii="Garamond" w:hAnsi="Garamond" w:cs="Tahoma"/>
          <w:sz w:val="18"/>
          <w:szCs w:val="18"/>
        </w:rPr>
      </w:pPr>
      <w:r w:rsidRPr="007D4C5F">
        <w:rPr>
          <w:rFonts w:ascii="Garamond" w:hAnsi="Garamond"/>
          <w:i/>
          <w:iCs/>
          <w:sz w:val="18"/>
          <w:szCs w:val="18"/>
        </w:rPr>
        <w:t>(</w:t>
      </w:r>
      <w:r>
        <w:rPr>
          <w:rFonts w:ascii="Garamond" w:hAnsi="Garamond"/>
          <w:i/>
          <w:iCs/>
          <w:sz w:val="18"/>
          <w:szCs w:val="18"/>
        </w:rPr>
        <w:t xml:space="preserve">Ф. И. О. </w:t>
      </w:r>
      <w:r w:rsidRPr="007D4C5F">
        <w:rPr>
          <w:rFonts w:ascii="Garamond" w:hAnsi="Garamond"/>
          <w:i/>
          <w:iCs/>
          <w:sz w:val="18"/>
          <w:szCs w:val="18"/>
        </w:rPr>
        <w:t>представителя)</w:t>
      </w:r>
    </w:p>
    <w:p w14:paraId="2CF2762F" w14:textId="77777777" w:rsidR="004B3B82" w:rsidRDefault="004B3B82" w:rsidP="00101F7C">
      <w:pPr>
        <w:spacing w:before="100" w:beforeAutospacing="1" w:after="100" w:afterAutospacing="1" w:line="240" w:lineRule="atLeast"/>
        <w:contextualSpacing/>
        <w:jc w:val="both"/>
        <w:rPr>
          <w:rFonts w:ascii="Garamond" w:hAnsi="Garamond"/>
          <w:sz w:val="22"/>
          <w:szCs w:val="22"/>
        </w:rPr>
      </w:pPr>
    </w:p>
    <w:p w14:paraId="6CACBC3E" w14:textId="77777777" w:rsidR="004B3B82" w:rsidRDefault="004B3B82" w:rsidP="00101F7C">
      <w:pPr>
        <w:autoSpaceDE w:val="0"/>
        <w:autoSpaceDN w:val="0"/>
        <w:adjustRightInd w:val="0"/>
        <w:spacing w:before="100" w:beforeAutospacing="1" w:after="100" w:afterAutospacing="1" w:line="240" w:lineRule="atLeast"/>
        <w:contextualSpacing/>
        <w:jc w:val="both"/>
        <w:rPr>
          <w:rFonts w:ascii="Garamond" w:hAnsi="Garamond"/>
          <w:color w:val="000000"/>
          <w:sz w:val="22"/>
          <w:szCs w:val="22"/>
        </w:rPr>
      </w:pPr>
      <w:r w:rsidRPr="00944B94">
        <w:rPr>
          <w:rFonts w:ascii="Garamond" w:hAnsi="Garamond"/>
          <w:color w:val="000000"/>
          <w:sz w:val="22"/>
          <w:szCs w:val="22"/>
        </w:rPr>
        <w:t xml:space="preserve">действовать от имени и представлять интересы организации в отношениях с субъектами оптового рынка электрической энергии и мощности, в том числе </w:t>
      </w:r>
      <w:r>
        <w:rPr>
          <w:rFonts w:ascii="Garamond" w:hAnsi="Garamond"/>
          <w:color w:val="000000"/>
          <w:sz w:val="22"/>
          <w:szCs w:val="22"/>
        </w:rPr>
        <w:t>АО</w:t>
      </w:r>
      <w:r w:rsidRPr="00944B94">
        <w:rPr>
          <w:rFonts w:ascii="Garamond" w:hAnsi="Garamond"/>
          <w:color w:val="000000"/>
          <w:sz w:val="22"/>
          <w:szCs w:val="22"/>
        </w:rPr>
        <w:t xml:space="preserve"> «АТС», при проведении испытаний</w:t>
      </w:r>
      <w:r>
        <w:rPr>
          <w:rFonts w:ascii="Garamond" w:hAnsi="Garamond"/>
          <w:color w:val="000000"/>
          <w:sz w:val="22"/>
          <w:szCs w:val="22"/>
        </w:rPr>
        <w:t xml:space="preserve"> </w:t>
      </w:r>
      <w:r w:rsidRPr="00B76E10">
        <w:rPr>
          <w:rFonts w:ascii="Garamond" w:hAnsi="Garamond"/>
          <w:color w:val="000000"/>
          <w:sz w:val="22"/>
          <w:szCs w:val="22"/>
          <w:highlight w:val="yellow"/>
        </w:rPr>
        <w:t>(проверки)</w:t>
      </w:r>
      <w:r w:rsidRPr="00944B94">
        <w:rPr>
          <w:rFonts w:ascii="Garamond" w:hAnsi="Garamond"/>
          <w:color w:val="000000"/>
          <w:sz w:val="22"/>
          <w:szCs w:val="22"/>
        </w:rPr>
        <w:t xml:space="preserve"> систем коммерческого учета электрической энергии (далее – </w:t>
      </w:r>
      <w:r>
        <w:rPr>
          <w:rFonts w:ascii="Garamond" w:hAnsi="Garamond"/>
          <w:color w:val="000000"/>
          <w:sz w:val="22"/>
          <w:szCs w:val="22"/>
        </w:rPr>
        <w:t>и</w:t>
      </w:r>
      <w:r w:rsidRPr="00944B94">
        <w:rPr>
          <w:rFonts w:ascii="Garamond" w:hAnsi="Garamond"/>
          <w:color w:val="000000"/>
          <w:sz w:val="22"/>
          <w:szCs w:val="22"/>
        </w:rPr>
        <w:t>спытания) с правом:</w:t>
      </w:r>
    </w:p>
    <w:p w14:paraId="39BE8831" w14:textId="77777777" w:rsidR="004B3B82" w:rsidRDefault="004B3B82" w:rsidP="004B3B82">
      <w:pPr>
        <w:pStyle w:val="ac"/>
        <w:numPr>
          <w:ilvl w:val="0"/>
          <w:numId w:val="187"/>
        </w:numPr>
        <w:autoSpaceDE w:val="0"/>
        <w:autoSpaceDN w:val="0"/>
        <w:adjustRightInd w:val="0"/>
        <w:spacing w:before="100" w:beforeAutospacing="1" w:after="100" w:afterAutospacing="1" w:line="240" w:lineRule="atLeast"/>
        <w:contextualSpacing/>
        <w:jc w:val="both"/>
        <w:rPr>
          <w:rFonts w:ascii="Garamond" w:hAnsi="Garamond"/>
          <w:color w:val="000000"/>
          <w:sz w:val="22"/>
          <w:szCs w:val="22"/>
        </w:rPr>
      </w:pPr>
      <w:r w:rsidRPr="00944B94">
        <w:rPr>
          <w:rFonts w:ascii="Garamond" w:hAnsi="Garamond"/>
          <w:color w:val="000000"/>
          <w:sz w:val="22"/>
          <w:szCs w:val="22"/>
        </w:rPr>
        <w:t xml:space="preserve">присутствия при проведении </w:t>
      </w:r>
      <w:r>
        <w:rPr>
          <w:rFonts w:ascii="Garamond" w:hAnsi="Garamond"/>
          <w:color w:val="000000"/>
          <w:sz w:val="22"/>
          <w:szCs w:val="22"/>
        </w:rPr>
        <w:t>и</w:t>
      </w:r>
      <w:r w:rsidRPr="00944B94">
        <w:rPr>
          <w:rFonts w:ascii="Garamond" w:hAnsi="Garamond"/>
          <w:color w:val="000000"/>
          <w:sz w:val="22"/>
          <w:szCs w:val="22"/>
        </w:rPr>
        <w:t>спытаний;</w:t>
      </w:r>
    </w:p>
    <w:p w14:paraId="5D7B8868" w14:textId="77777777" w:rsidR="004B3B82" w:rsidRPr="00DF5848" w:rsidRDefault="004B3B82" w:rsidP="004B3B82">
      <w:pPr>
        <w:pStyle w:val="ac"/>
        <w:numPr>
          <w:ilvl w:val="0"/>
          <w:numId w:val="187"/>
        </w:numPr>
        <w:autoSpaceDE w:val="0"/>
        <w:autoSpaceDN w:val="0"/>
        <w:adjustRightInd w:val="0"/>
        <w:spacing w:before="100" w:beforeAutospacing="1" w:after="100" w:afterAutospacing="1" w:line="240" w:lineRule="atLeast"/>
        <w:contextualSpacing/>
        <w:jc w:val="both"/>
        <w:rPr>
          <w:rFonts w:ascii="Garamond" w:hAnsi="Garamond"/>
          <w:color w:val="000000"/>
          <w:sz w:val="22"/>
          <w:szCs w:val="22"/>
        </w:rPr>
      </w:pPr>
      <w:r w:rsidRPr="00944B94">
        <w:rPr>
          <w:rFonts w:ascii="Garamond" w:hAnsi="Garamond"/>
          <w:color w:val="000000"/>
          <w:sz w:val="22"/>
          <w:szCs w:val="22"/>
        </w:rPr>
        <w:t xml:space="preserve">участия в работе комиссии по проведению </w:t>
      </w:r>
      <w:r>
        <w:rPr>
          <w:rFonts w:ascii="Garamond" w:hAnsi="Garamond"/>
          <w:color w:val="000000"/>
          <w:sz w:val="22"/>
          <w:szCs w:val="22"/>
        </w:rPr>
        <w:t>и</w:t>
      </w:r>
      <w:r w:rsidRPr="00944B94">
        <w:rPr>
          <w:rFonts w:ascii="Garamond" w:hAnsi="Garamond"/>
          <w:color w:val="000000"/>
          <w:sz w:val="22"/>
          <w:szCs w:val="22"/>
        </w:rPr>
        <w:t>спытаний;</w:t>
      </w:r>
    </w:p>
    <w:p w14:paraId="672CD7FE" w14:textId="77777777" w:rsidR="004B3B82" w:rsidRDefault="004B3B82" w:rsidP="004B3B82">
      <w:pPr>
        <w:pStyle w:val="ac"/>
        <w:numPr>
          <w:ilvl w:val="0"/>
          <w:numId w:val="187"/>
        </w:numPr>
        <w:autoSpaceDE w:val="0"/>
        <w:autoSpaceDN w:val="0"/>
        <w:adjustRightInd w:val="0"/>
        <w:spacing w:before="100" w:beforeAutospacing="1" w:after="100" w:afterAutospacing="1" w:line="240" w:lineRule="atLeast"/>
        <w:contextualSpacing/>
        <w:jc w:val="both"/>
        <w:rPr>
          <w:rFonts w:ascii="Garamond" w:hAnsi="Garamond"/>
          <w:color w:val="000000"/>
          <w:sz w:val="22"/>
          <w:szCs w:val="22"/>
        </w:rPr>
      </w:pPr>
      <w:r w:rsidRPr="00944B94">
        <w:rPr>
          <w:rFonts w:ascii="Garamond" w:hAnsi="Garamond"/>
          <w:color w:val="000000"/>
          <w:sz w:val="22"/>
          <w:szCs w:val="22"/>
        </w:rPr>
        <w:t xml:space="preserve">подписи (утверждения) протокола по итогам </w:t>
      </w:r>
      <w:r>
        <w:rPr>
          <w:rFonts w:ascii="Garamond" w:hAnsi="Garamond"/>
          <w:color w:val="000000"/>
          <w:sz w:val="22"/>
          <w:szCs w:val="22"/>
        </w:rPr>
        <w:t>и</w:t>
      </w:r>
      <w:r w:rsidRPr="00944B94">
        <w:rPr>
          <w:rFonts w:ascii="Garamond" w:hAnsi="Garamond"/>
          <w:color w:val="000000"/>
          <w:sz w:val="22"/>
          <w:szCs w:val="22"/>
        </w:rPr>
        <w:t>спытаний;</w:t>
      </w:r>
    </w:p>
    <w:p w14:paraId="3E671FCA" w14:textId="77777777" w:rsidR="004B3B82" w:rsidRDefault="004B3B82" w:rsidP="004B3B82">
      <w:pPr>
        <w:pStyle w:val="ac"/>
        <w:numPr>
          <w:ilvl w:val="0"/>
          <w:numId w:val="187"/>
        </w:numPr>
        <w:autoSpaceDE w:val="0"/>
        <w:autoSpaceDN w:val="0"/>
        <w:adjustRightInd w:val="0"/>
        <w:spacing w:before="100" w:beforeAutospacing="1" w:after="100" w:afterAutospacing="1" w:line="240" w:lineRule="atLeast"/>
        <w:contextualSpacing/>
        <w:jc w:val="both"/>
        <w:rPr>
          <w:rFonts w:ascii="Garamond" w:hAnsi="Garamond"/>
          <w:color w:val="000000"/>
          <w:sz w:val="22"/>
          <w:szCs w:val="22"/>
        </w:rPr>
      </w:pPr>
      <w:r w:rsidRPr="00944B94">
        <w:rPr>
          <w:rFonts w:ascii="Garamond" w:hAnsi="Garamond"/>
          <w:color w:val="000000"/>
          <w:sz w:val="22"/>
          <w:szCs w:val="22"/>
        </w:rPr>
        <w:t>совершения любых иных юридических и фактических действий, связанных с осуществлением полномочий, предусмотренных настоящей доверенностью.</w:t>
      </w:r>
    </w:p>
    <w:p w14:paraId="153B4D2C" w14:textId="77777777" w:rsidR="004B3B82" w:rsidRDefault="004B3B82" w:rsidP="00101F7C">
      <w:pPr>
        <w:spacing w:before="100" w:beforeAutospacing="1" w:after="100" w:afterAutospacing="1" w:line="240" w:lineRule="atLeast"/>
        <w:contextualSpacing/>
        <w:jc w:val="both"/>
        <w:rPr>
          <w:rFonts w:ascii="Garamond" w:hAnsi="Garamond" w:cs="Tahoma"/>
          <w:sz w:val="22"/>
          <w:szCs w:val="22"/>
        </w:rPr>
      </w:pPr>
      <w:r w:rsidRPr="00944B94">
        <w:rPr>
          <w:rFonts w:ascii="Garamond" w:hAnsi="Garamond"/>
          <w:sz w:val="22"/>
          <w:szCs w:val="22"/>
        </w:rPr>
        <w:t>Настоящая доверенность выдана без права передоверия.</w:t>
      </w:r>
    </w:p>
    <w:p w14:paraId="1F0C3AB9" w14:textId="77777777" w:rsidR="004B3B82" w:rsidRDefault="004B3B82" w:rsidP="00101F7C">
      <w:pPr>
        <w:spacing w:before="100" w:beforeAutospacing="1" w:after="100" w:afterAutospacing="1" w:line="240" w:lineRule="atLeast"/>
        <w:contextualSpacing/>
        <w:jc w:val="both"/>
        <w:rPr>
          <w:rFonts w:ascii="Garamond" w:hAnsi="Garamond"/>
          <w:color w:val="000000"/>
          <w:sz w:val="22"/>
          <w:szCs w:val="22"/>
        </w:rPr>
      </w:pPr>
    </w:p>
    <w:p w14:paraId="3335855A" w14:textId="77777777" w:rsidR="004B3B82" w:rsidRDefault="004B3B82" w:rsidP="00101F7C">
      <w:pPr>
        <w:spacing w:before="100" w:beforeAutospacing="1" w:after="100" w:afterAutospacing="1" w:line="240" w:lineRule="atLeast"/>
        <w:contextualSpacing/>
        <w:jc w:val="both"/>
        <w:rPr>
          <w:rFonts w:ascii="Garamond" w:hAnsi="Garamond" w:cs="Tahoma"/>
          <w:sz w:val="22"/>
          <w:szCs w:val="22"/>
        </w:rPr>
      </w:pPr>
      <w:r w:rsidRPr="00944B94">
        <w:rPr>
          <w:rFonts w:ascii="Garamond" w:hAnsi="Garamond"/>
          <w:color w:val="000000"/>
          <w:sz w:val="22"/>
          <w:szCs w:val="22"/>
        </w:rPr>
        <w:t>Доверенность выдана сроком действия по _________________________________________.</w:t>
      </w:r>
    </w:p>
    <w:p w14:paraId="2749A5BD" w14:textId="77777777" w:rsidR="004B3B82" w:rsidRDefault="004B3B82" w:rsidP="00101F7C">
      <w:pPr>
        <w:spacing w:before="100" w:beforeAutospacing="1" w:after="100" w:afterAutospacing="1" w:line="240" w:lineRule="atLeast"/>
        <w:contextualSpacing/>
        <w:jc w:val="both"/>
        <w:rPr>
          <w:rFonts w:ascii="Garamond" w:hAnsi="Garamond"/>
          <w:sz w:val="22"/>
          <w:szCs w:val="22"/>
        </w:rPr>
      </w:pPr>
    </w:p>
    <w:p w14:paraId="4F68078B" w14:textId="77777777" w:rsidR="004B3B82" w:rsidRDefault="004B3B82" w:rsidP="00101F7C">
      <w:pPr>
        <w:spacing w:before="100" w:beforeAutospacing="1" w:after="100" w:afterAutospacing="1" w:line="240" w:lineRule="atLeast"/>
        <w:contextualSpacing/>
        <w:jc w:val="both"/>
        <w:rPr>
          <w:rFonts w:ascii="Garamond" w:hAnsi="Garamond" w:cs="Tahoma"/>
          <w:sz w:val="22"/>
          <w:szCs w:val="22"/>
        </w:rPr>
      </w:pPr>
      <w:r w:rsidRPr="00944B94">
        <w:rPr>
          <w:rFonts w:ascii="Garamond" w:hAnsi="Garamond"/>
          <w:sz w:val="22"/>
          <w:szCs w:val="22"/>
        </w:rPr>
        <w:t>Подпись представителя ___________________________ удостоверяю.</w:t>
      </w:r>
    </w:p>
    <w:p w14:paraId="64F64F10" w14:textId="77777777" w:rsidR="004B3B82" w:rsidRDefault="004B3B82" w:rsidP="00101F7C">
      <w:pPr>
        <w:tabs>
          <w:tab w:val="left" w:pos="284"/>
        </w:tabs>
        <w:spacing w:before="100" w:beforeAutospacing="1" w:after="100" w:afterAutospacing="1" w:line="240" w:lineRule="atLeast"/>
        <w:contextualSpacing/>
        <w:jc w:val="both"/>
        <w:rPr>
          <w:rFonts w:ascii="Garamond" w:hAnsi="Garamond"/>
          <w:b/>
          <w:color w:val="000000"/>
          <w:sz w:val="22"/>
          <w:szCs w:val="22"/>
        </w:rPr>
      </w:pPr>
    </w:p>
    <w:p w14:paraId="58440469" w14:textId="77777777" w:rsidR="004B3B82" w:rsidRDefault="004B3B82" w:rsidP="00101F7C">
      <w:pPr>
        <w:tabs>
          <w:tab w:val="left" w:pos="284"/>
        </w:tabs>
        <w:spacing w:before="100" w:beforeAutospacing="1" w:after="100" w:afterAutospacing="1" w:line="240" w:lineRule="atLeast"/>
        <w:contextualSpacing/>
        <w:jc w:val="both"/>
        <w:rPr>
          <w:rFonts w:ascii="Garamond" w:hAnsi="Garamond"/>
          <w:b/>
          <w:color w:val="000000"/>
          <w:sz w:val="22"/>
          <w:szCs w:val="22"/>
        </w:rPr>
      </w:pPr>
    </w:p>
    <w:p w14:paraId="446A03B1" w14:textId="77777777" w:rsidR="004B3B82" w:rsidRDefault="004B3B82" w:rsidP="00101F7C">
      <w:pPr>
        <w:tabs>
          <w:tab w:val="left" w:pos="284"/>
        </w:tabs>
        <w:spacing w:before="100" w:beforeAutospacing="1" w:after="100" w:afterAutospacing="1" w:line="240" w:lineRule="atLeast"/>
        <w:contextualSpacing/>
        <w:jc w:val="both"/>
        <w:rPr>
          <w:rFonts w:ascii="Garamond" w:hAnsi="Garamond"/>
          <w:b/>
          <w:color w:val="000000"/>
          <w:sz w:val="22"/>
          <w:szCs w:val="22"/>
        </w:rPr>
      </w:pPr>
    </w:p>
    <w:p w14:paraId="321C6515" w14:textId="77777777" w:rsidR="004B3B82" w:rsidRDefault="004B3B82" w:rsidP="00101F7C">
      <w:pPr>
        <w:tabs>
          <w:tab w:val="left" w:pos="284"/>
        </w:tabs>
        <w:spacing w:before="100" w:beforeAutospacing="1" w:after="100" w:afterAutospacing="1" w:line="240" w:lineRule="atLeast"/>
        <w:contextualSpacing/>
        <w:jc w:val="both"/>
        <w:rPr>
          <w:rFonts w:ascii="Garamond" w:hAnsi="Garamond"/>
          <w:b/>
          <w:sz w:val="22"/>
          <w:szCs w:val="22"/>
        </w:rPr>
      </w:pPr>
      <w:r w:rsidRPr="00944B94">
        <w:rPr>
          <w:rFonts w:ascii="Garamond" w:hAnsi="Garamond"/>
          <w:b/>
          <w:color w:val="000000"/>
          <w:sz w:val="22"/>
          <w:szCs w:val="22"/>
        </w:rPr>
        <w:t xml:space="preserve">Генеральный директор </w:t>
      </w:r>
      <w:r w:rsidRPr="00944B94">
        <w:rPr>
          <w:rFonts w:ascii="Garamond" w:hAnsi="Garamond"/>
          <w:b/>
          <w:sz w:val="22"/>
          <w:szCs w:val="22"/>
        </w:rPr>
        <w:tab/>
      </w:r>
      <w:r w:rsidRPr="00944B94">
        <w:rPr>
          <w:rFonts w:ascii="Garamond" w:hAnsi="Garamond"/>
          <w:b/>
          <w:sz w:val="22"/>
          <w:szCs w:val="22"/>
        </w:rPr>
        <w:tab/>
        <w:t>_________________</w:t>
      </w:r>
      <w:r>
        <w:rPr>
          <w:rFonts w:ascii="Garamond" w:hAnsi="Garamond"/>
          <w:b/>
          <w:sz w:val="22"/>
          <w:szCs w:val="22"/>
        </w:rPr>
        <w:tab/>
      </w:r>
      <w:r>
        <w:rPr>
          <w:rFonts w:ascii="Garamond" w:hAnsi="Garamond"/>
          <w:b/>
          <w:sz w:val="22"/>
          <w:szCs w:val="22"/>
        </w:rPr>
        <w:tab/>
      </w:r>
      <w:r>
        <w:rPr>
          <w:rFonts w:ascii="Garamond" w:hAnsi="Garamond"/>
          <w:b/>
          <w:sz w:val="22"/>
          <w:szCs w:val="22"/>
        </w:rPr>
        <w:tab/>
      </w:r>
      <w:r>
        <w:rPr>
          <w:rFonts w:ascii="Garamond" w:hAnsi="Garamond"/>
          <w:b/>
          <w:sz w:val="22"/>
          <w:szCs w:val="22"/>
        </w:rPr>
        <w:tab/>
      </w:r>
      <w:r w:rsidRPr="00944B94">
        <w:rPr>
          <w:rFonts w:ascii="Garamond" w:hAnsi="Garamond"/>
          <w:b/>
          <w:sz w:val="22"/>
          <w:szCs w:val="22"/>
        </w:rPr>
        <w:t>___________________</w:t>
      </w:r>
    </w:p>
    <w:p w14:paraId="065EB0EC" w14:textId="77777777" w:rsidR="004B3B82" w:rsidRPr="007D4C5F" w:rsidRDefault="004B3B82" w:rsidP="00101F7C">
      <w:pPr>
        <w:spacing w:before="100" w:beforeAutospacing="1" w:after="100" w:afterAutospacing="1" w:line="240" w:lineRule="atLeast"/>
        <w:ind w:left="3540"/>
        <w:contextualSpacing/>
        <w:rPr>
          <w:rFonts w:ascii="Garamond" w:hAnsi="Garamond" w:cs="Tahoma"/>
          <w:sz w:val="18"/>
          <w:szCs w:val="18"/>
        </w:rPr>
      </w:pPr>
      <w:r w:rsidRPr="007D4C5F">
        <w:rPr>
          <w:rFonts w:ascii="Garamond" w:hAnsi="Garamond"/>
          <w:i/>
          <w:sz w:val="18"/>
          <w:szCs w:val="18"/>
        </w:rPr>
        <w:t>(подпись)</w:t>
      </w:r>
      <w:r>
        <w:rPr>
          <w:rFonts w:ascii="Garamond" w:hAnsi="Garamond"/>
          <w:sz w:val="18"/>
          <w:szCs w:val="18"/>
        </w:rPr>
        <w:tab/>
      </w:r>
      <w:r>
        <w:rPr>
          <w:rFonts w:ascii="Garamond" w:hAnsi="Garamond"/>
          <w:sz w:val="18"/>
          <w:szCs w:val="18"/>
        </w:rPr>
        <w:tab/>
      </w:r>
      <w:r>
        <w:rPr>
          <w:rFonts w:ascii="Garamond" w:hAnsi="Garamond"/>
          <w:sz w:val="18"/>
          <w:szCs w:val="18"/>
        </w:rPr>
        <w:tab/>
      </w:r>
      <w:r>
        <w:rPr>
          <w:rFonts w:ascii="Garamond" w:hAnsi="Garamond"/>
          <w:sz w:val="18"/>
          <w:szCs w:val="18"/>
        </w:rPr>
        <w:tab/>
      </w:r>
      <w:r>
        <w:rPr>
          <w:rFonts w:ascii="Garamond" w:hAnsi="Garamond"/>
          <w:sz w:val="18"/>
          <w:szCs w:val="18"/>
        </w:rPr>
        <w:tab/>
      </w:r>
      <w:r>
        <w:rPr>
          <w:rFonts w:ascii="Garamond" w:hAnsi="Garamond"/>
          <w:sz w:val="18"/>
          <w:szCs w:val="18"/>
        </w:rPr>
        <w:tab/>
      </w:r>
      <w:r>
        <w:rPr>
          <w:rFonts w:ascii="Garamond" w:hAnsi="Garamond"/>
          <w:sz w:val="18"/>
          <w:szCs w:val="18"/>
        </w:rPr>
        <w:tab/>
      </w:r>
      <w:r w:rsidRPr="007D4C5F">
        <w:rPr>
          <w:rFonts w:ascii="Garamond" w:hAnsi="Garamond"/>
          <w:i/>
          <w:iCs/>
          <w:sz w:val="18"/>
          <w:szCs w:val="18"/>
        </w:rPr>
        <w:t>(</w:t>
      </w:r>
      <w:r>
        <w:rPr>
          <w:rFonts w:ascii="Garamond" w:hAnsi="Garamond"/>
          <w:i/>
          <w:iCs/>
          <w:sz w:val="18"/>
          <w:szCs w:val="18"/>
        </w:rPr>
        <w:t>Ф. И. О.</w:t>
      </w:r>
      <w:r w:rsidRPr="007D4C5F">
        <w:rPr>
          <w:rFonts w:ascii="Garamond" w:hAnsi="Garamond"/>
          <w:i/>
          <w:iCs/>
          <w:sz w:val="18"/>
          <w:szCs w:val="18"/>
        </w:rPr>
        <w:t>)</w:t>
      </w:r>
    </w:p>
    <w:p w14:paraId="79B5FC7D" w14:textId="77777777" w:rsidR="004B3B82" w:rsidRPr="00F654C9" w:rsidRDefault="004B3B82" w:rsidP="00101F7C">
      <w:pPr>
        <w:rPr>
          <w:rFonts w:ascii="Garamond" w:hAnsi="Garamond"/>
          <w:sz w:val="22"/>
          <w:szCs w:val="22"/>
        </w:rPr>
      </w:pPr>
    </w:p>
    <w:p w14:paraId="55A42E70" w14:textId="77777777" w:rsidR="004B3B82" w:rsidRDefault="004B3B82" w:rsidP="00101F7C">
      <w:pPr>
        <w:tabs>
          <w:tab w:val="right" w:pos="9360"/>
        </w:tabs>
        <w:ind w:left="284"/>
        <w:rPr>
          <w:rFonts w:ascii="Garamond" w:hAnsi="Garamond" w:cs="Tahoma"/>
          <w:sz w:val="22"/>
          <w:szCs w:val="22"/>
        </w:rPr>
      </w:pPr>
      <w:r>
        <w:rPr>
          <w:rFonts w:ascii="Garamond" w:hAnsi="Garamond" w:cs="Tahoma"/>
          <w:sz w:val="22"/>
          <w:szCs w:val="22"/>
        </w:rPr>
        <w:br w:type="page"/>
      </w:r>
    </w:p>
    <w:p w14:paraId="16964F3D" w14:textId="77777777" w:rsidR="004B3B82" w:rsidRDefault="004B3B82" w:rsidP="00101F7C">
      <w:pPr>
        <w:rPr>
          <w:rFonts w:ascii="Garamond" w:hAnsi="Garamond"/>
          <w:b/>
          <w:sz w:val="22"/>
          <w:szCs w:val="22"/>
        </w:rPr>
      </w:pPr>
      <w:r>
        <w:rPr>
          <w:rFonts w:ascii="Garamond" w:hAnsi="Garamond"/>
          <w:b/>
          <w:sz w:val="22"/>
          <w:szCs w:val="22"/>
        </w:rPr>
        <w:lastRenderedPageBreak/>
        <w:t>Действующая редакция</w:t>
      </w:r>
    </w:p>
    <w:p w14:paraId="1F6A94C1" w14:textId="77777777" w:rsidR="004B3B82" w:rsidRDefault="004B3B82" w:rsidP="00101F7C">
      <w:pPr>
        <w:rPr>
          <w:rFonts w:ascii="Garamond" w:hAnsi="Garamond"/>
          <w:b/>
          <w:sz w:val="22"/>
          <w:szCs w:val="22"/>
        </w:rPr>
      </w:pPr>
    </w:p>
    <w:p w14:paraId="56D96F6D" w14:textId="77777777" w:rsidR="004B3B82" w:rsidRPr="00D42866" w:rsidRDefault="004B3B82" w:rsidP="00101F7C">
      <w:pPr>
        <w:rPr>
          <w:rFonts w:ascii="Garamond" w:hAnsi="Garamond"/>
          <w:b/>
          <w:sz w:val="22"/>
          <w:szCs w:val="22"/>
        </w:rPr>
      </w:pPr>
      <w:r w:rsidRPr="00D42866">
        <w:rPr>
          <w:rFonts w:ascii="Garamond" w:hAnsi="Garamond"/>
          <w:b/>
          <w:sz w:val="22"/>
          <w:szCs w:val="22"/>
        </w:rPr>
        <w:t>Пример заполнения паспорта-протокола</w:t>
      </w:r>
    </w:p>
    <w:p w14:paraId="6E949517" w14:textId="77777777" w:rsidR="004B3B82" w:rsidRPr="00D42866" w:rsidRDefault="004B3B82" w:rsidP="00101F7C">
      <w:pPr>
        <w:rPr>
          <w:rFonts w:ascii="Garamond" w:hAnsi="Garamond"/>
          <w:b/>
          <w:sz w:val="22"/>
          <w:szCs w:val="22"/>
        </w:rPr>
      </w:pPr>
    </w:p>
    <w:p w14:paraId="55289428" w14:textId="77777777" w:rsidR="004B3B82" w:rsidRPr="00D42866" w:rsidRDefault="004B3B82" w:rsidP="00101F7C">
      <w:pPr>
        <w:spacing w:before="60"/>
        <w:rPr>
          <w:rFonts w:ascii="Garamond" w:hAnsi="Garamond"/>
          <w:sz w:val="22"/>
          <w:szCs w:val="22"/>
        </w:rPr>
      </w:pPr>
      <w:r>
        <w:rPr>
          <w:rFonts w:ascii="Garamond" w:hAnsi="Garamond" w:cs="Times New Roman CYR"/>
          <w:b/>
          <w:sz w:val="22"/>
          <w:szCs w:val="22"/>
        </w:rPr>
        <w:t>Согласовано</w:t>
      </w:r>
      <w:r>
        <w:rPr>
          <w:rFonts w:ascii="Garamond" w:hAnsi="Garamond" w:cs="Times New Roman CYR"/>
          <w:b/>
          <w:sz w:val="22"/>
          <w:szCs w:val="22"/>
        </w:rPr>
        <w:tab/>
      </w:r>
      <w:r>
        <w:rPr>
          <w:rFonts w:ascii="Garamond" w:hAnsi="Garamond" w:cs="Times New Roman CYR"/>
          <w:b/>
          <w:sz w:val="22"/>
          <w:szCs w:val="22"/>
        </w:rPr>
        <w:tab/>
      </w:r>
      <w:r>
        <w:rPr>
          <w:rFonts w:ascii="Garamond" w:hAnsi="Garamond" w:cs="Times New Roman CYR"/>
          <w:b/>
          <w:sz w:val="22"/>
          <w:szCs w:val="22"/>
        </w:rPr>
        <w:tab/>
      </w:r>
      <w:r>
        <w:rPr>
          <w:rFonts w:ascii="Garamond" w:hAnsi="Garamond" w:cs="Times New Roman CYR"/>
          <w:b/>
          <w:sz w:val="22"/>
          <w:szCs w:val="22"/>
        </w:rPr>
        <w:tab/>
      </w:r>
      <w:r>
        <w:rPr>
          <w:rFonts w:ascii="Garamond" w:hAnsi="Garamond" w:cs="Times New Roman CYR"/>
          <w:b/>
          <w:sz w:val="22"/>
          <w:szCs w:val="22"/>
        </w:rPr>
        <w:tab/>
      </w:r>
      <w:r>
        <w:rPr>
          <w:rFonts w:ascii="Garamond" w:hAnsi="Garamond" w:cs="Times New Roman CYR"/>
          <w:b/>
          <w:sz w:val="22"/>
          <w:szCs w:val="22"/>
        </w:rPr>
        <w:tab/>
      </w:r>
      <w:r>
        <w:rPr>
          <w:rFonts w:ascii="Garamond" w:hAnsi="Garamond" w:cs="Times New Roman CYR"/>
          <w:b/>
          <w:sz w:val="22"/>
          <w:szCs w:val="22"/>
        </w:rPr>
        <w:tab/>
      </w:r>
      <w:r w:rsidRPr="00D42866">
        <w:rPr>
          <w:rFonts w:ascii="Garamond" w:hAnsi="Garamond" w:cs="Times New Roman CYR"/>
          <w:b/>
          <w:sz w:val="22"/>
          <w:szCs w:val="22"/>
        </w:rPr>
        <w:tab/>
      </w:r>
      <w:r w:rsidRPr="00D42866">
        <w:rPr>
          <w:rFonts w:ascii="Garamond" w:hAnsi="Garamond" w:cs="Times New Roman CYR"/>
          <w:b/>
          <w:sz w:val="22"/>
          <w:szCs w:val="22"/>
        </w:rPr>
        <w:tab/>
      </w:r>
      <w:r w:rsidRPr="00D42866">
        <w:rPr>
          <w:rFonts w:ascii="Garamond" w:hAnsi="Garamond" w:cs="Times New Roman CYR"/>
          <w:b/>
          <w:sz w:val="22"/>
          <w:szCs w:val="22"/>
        </w:rPr>
        <w:tab/>
      </w:r>
      <w:r>
        <w:rPr>
          <w:rFonts w:ascii="Garamond" w:hAnsi="Garamond" w:cs="Times New Roman CYR"/>
          <w:b/>
          <w:sz w:val="22"/>
          <w:szCs w:val="22"/>
        </w:rPr>
        <w:tab/>
      </w:r>
      <w:r>
        <w:rPr>
          <w:rFonts w:ascii="Garamond" w:hAnsi="Garamond" w:cs="Times New Roman CYR"/>
          <w:b/>
          <w:sz w:val="22"/>
          <w:szCs w:val="22"/>
        </w:rPr>
        <w:tab/>
      </w:r>
      <w:r>
        <w:rPr>
          <w:rFonts w:ascii="Garamond" w:hAnsi="Garamond" w:cs="Times New Roman CYR"/>
          <w:b/>
          <w:sz w:val="22"/>
          <w:szCs w:val="22"/>
        </w:rPr>
        <w:tab/>
      </w:r>
      <w:r>
        <w:rPr>
          <w:rFonts w:ascii="Garamond" w:hAnsi="Garamond" w:cs="Times New Roman CYR"/>
          <w:b/>
          <w:sz w:val="22"/>
          <w:szCs w:val="22"/>
        </w:rPr>
        <w:tab/>
      </w:r>
      <w:r>
        <w:rPr>
          <w:rFonts w:ascii="Garamond" w:hAnsi="Garamond" w:cs="Times New Roman CYR"/>
          <w:b/>
          <w:sz w:val="22"/>
          <w:szCs w:val="22"/>
        </w:rPr>
        <w:tab/>
      </w:r>
      <w:r>
        <w:rPr>
          <w:rFonts w:ascii="Garamond" w:hAnsi="Garamond" w:cs="Times New Roman CYR"/>
          <w:b/>
          <w:sz w:val="22"/>
          <w:szCs w:val="22"/>
        </w:rPr>
        <w:tab/>
      </w:r>
      <w:r>
        <w:rPr>
          <w:rFonts w:ascii="Garamond" w:hAnsi="Garamond" w:cs="Times New Roman CYR"/>
          <w:b/>
          <w:sz w:val="22"/>
          <w:szCs w:val="22"/>
        </w:rPr>
        <w:tab/>
      </w:r>
      <w:r>
        <w:rPr>
          <w:rFonts w:ascii="Garamond" w:hAnsi="Garamond" w:cs="Times New Roman CYR"/>
          <w:b/>
          <w:sz w:val="22"/>
          <w:szCs w:val="22"/>
        </w:rPr>
        <w:tab/>
      </w:r>
      <w:r w:rsidRPr="00D42866">
        <w:rPr>
          <w:rFonts w:ascii="Garamond" w:hAnsi="Garamond" w:cs="Times New Roman CYR"/>
          <w:b/>
          <w:sz w:val="22"/>
          <w:szCs w:val="22"/>
        </w:rPr>
        <w:t xml:space="preserve">Утверждаю </w:t>
      </w:r>
    </w:p>
    <w:p w14:paraId="10C8A5AA" w14:textId="77777777" w:rsidR="004B3B82" w:rsidRPr="00D42866" w:rsidRDefault="004B3B82" w:rsidP="00101F7C">
      <w:pPr>
        <w:widowControl w:val="0"/>
        <w:overflowPunct w:val="0"/>
        <w:autoSpaceDE w:val="0"/>
        <w:autoSpaceDN w:val="0"/>
        <w:adjustRightInd w:val="0"/>
        <w:ind w:firstLine="284"/>
        <w:jc w:val="center"/>
        <w:rPr>
          <w:rFonts w:ascii="Garamond" w:hAnsi="Garamond" w:cs="Times New Roman CYR"/>
          <w:b/>
          <w:sz w:val="22"/>
          <w:szCs w:val="22"/>
        </w:rPr>
      </w:pPr>
    </w:p>
    <w:p w14:paraId="7C882A25" w14:textId="77777777" w:rsidR="004B3B82" w:rsidRPr="00D42866" w:rsidRDefault="004B3B82" w:rsidP="00101F7C">
      <w:pPr>
        <w:widowControl w:val="0"/>
        <w:overflowPunct w:val="0"/>
        <w:autoSpaceDE w:val="0"/>
        <w:autoSpaceDN w:val="0"/>
        <w:adjustRightInd w:val="0"/>
        <w:ind w:firstLine="284"/>
        <w:jc w:val="center"/>
        <w:rPr>
          <w:rFonts w:ascii="Garamond" w:hAnsi="Garamond" w:cs="Times New Roman CYR"/>
          <w:b/>
          <w:sz w:val="22"/>
          <w:szCs w:val="22"/>
        </w:rPr>
      </w:pPr>
    </w:p>
    <w:p w14:paraId="0EC5C0E9" w14:textId="77777777" w:rsidR="004B3B82" w:rsidRPr="00D42866" w:rsidRDefault="004B3B82" w:rsidP="00101F7C">
      <w:pPr>
        <w:widowControl w:val="0"/>
        <w:overflowPunct w:val="0"/>
        <w:autoSpaceDE w:val="0"/>
        <w:autoSpaceDN w:val="0"/>
        <w:adjustRightInd w:val="0"/>
        <w:ind w:firstLine="284"/>
        <w:jc w:val="center"/>
        <w:rPr>
          <w:rFonts w:ascii="Garamond" w:hAnsi="Garamond"/>
          <w:b/>
          <w:sz w:val="22"/>
          <w:szCs w:val="22"/>
        </w:rPr>
      </w:pPr>
      <w:r w:rsidRPr="00D42866">
        <w:rPr>
          <w:rFonts w:ascii="Garamond" w:hAnsi="Garamond" w:cs="Times New Roman CYR"/>
          <w:b/>
          <w:sz w:val="22"/>
          <w:szCs w:val="22"/>
        </w:rPr>
        <w:t>ПАСПОРТ-ПРОТОКОЛ № _______</w:t>
      </w:r>
    </w:p>
    <w:p w14:paraId="53865AAC" w14:textId="77777777" w:rsidR="004B3B82" w:rsidRPr="00D42866" w:rsidRDefault="004B3B82" w:rsidP="00101F7C">
      <w:pPr>
        <w:widowControl w:val="0"/>
        <w:overflowPunct w:val="0"/>
        <w:autoSpaceDE w:val="0"/>
        <w:autoSpaceDN w:val="0"/>
        <w:adjustRightInd w:val="0"/>
        <w:ind w:firstLine="284"/>
        <w:jc w:val="center"/>
        <w:rPr>
          <w:rFonts w:ascii="Garamond" w:hAnsi="Garamond" w:cs="Times New Roman CYR"/>
          <w:b/>
          <w:sz w:val="22"/>
          <w:szCs w:val="22"/>
        </w:rPr>
      </w:pPr>
      <w:r w:rsidRPr="00D42866">
        <w:rPr>
          <w:rFonts w:ascii="Garamond" w:hAnsi="Garamond" w:cs="Times New Roman CYR"/>
          <w:b/>
          <w:sz w:val="22"/>
          <w:szCs w:val="22"/>
        </w:rPr>
        <w:t>на измерительно-информационный комплекс</w:t>
      </w:r>
    </w:p>
    <w:p w14:paraId="645162E1" w14:textId="77777777" w:rsidR="004B3B82" w:rsidRPr="00D42866" w:rsidRDefault="004B3B82" w:rsidP="00101F7C">
      <w:pPr>
        <w:widowControl w:val="0"/>
        <w:overflowPunct w:val="0"/>
        <w:autoSpaceDE w:val="0"/>
        <w:autoSpaceDN w:val="0"/>
        <w:adjustRightInd w:val="0"/>
        <w:ind w:firstLine="284"/>
        <w:jc w:val="center"/>
        <w:rPr>
          <w:rFonts w:ascii="Garamond" w:hAnsi="Garamond" w:cs="Times New Roman CYR"/>
          <w:b/>
          <w:sz w:val="22"/>
          <w:szCs w:val="22"/>
        </w:rPr>
      </w:pPr>
      <w:r w:rsidRPr="00D42866">
        <w:rPr>
          <w:rFonts w:ascii="Garamond" w:hAnsi="Garamond" w:cs="Times New Roman CYR"/>
          <w:b/>
          <w:sz w:val="22"/>
          <w:szCs w:val="22"/>
        </w:rPr>
        <w:t>в составе АИИС КУЭ _______ наименование организации_______</w:t>
      </w:r>
    </w:p>
    <w:p w14:paraId="214B4F3F" w14:textId="77777777" w:rsidR="004B3B82" w:rsidRPr="00D42866" w:rsidRDefault="004B3B82" w:rsidP="00101F7C">
      <w:pPr>
        <w:widowControl w:val="0"/>
        <w:overflowPunct w:val="0"/>
        <w:autoSpaceDE w:val="0"/>
        <w:autoSpaceDN w:val="0"/>
        <w:adjustRightInd w:val="0"/>
        <w:ind w:firstLine="284"/>
        <w:jc w:val="center"/>
        <w:rPr>
          <w:rFonts w:ascii="Garamond" w:hAnsi="Garamond" w:cs="Times New Roman CYR"/>
          <w:b/>
          <w:sz w:val="22"/>
          <w:szCs w:val="22"/>
        </w:rPr>
      </w:pPr>
      <w:r w:rsidRPr="00D42866">
        <w:rPr>
          <w:noProof/>
          <w:sz w:val="22"/>
          <w:szCs w:val="22"/>
        </w:rPr>
        <mc:AlternateContent>
          <mc:Choice Requires="wps">
            <w:drawing>
              <wp:anchor distT="0" distB="0" distL="114300" distR="114300" simplePos="0" relativeHeight="251658240" behindDoc="0" locked="0" layoutInCell="1" allowOverlap="1" wp14:anchorId="313883D8" wp14:editId="6026C018">
                <wp:simplePos x="0" y="0"/>
                <wp:positionH relativeFrom="column">
                  <wp:posOffset>-234315</wp:posOffset>
                </wp:positionH>
                <wp:positionV relativeFrom="paragraph">
                  <wp:posOffset>195580</wp:posOffset>
                </wp:positionV>
                <wp:extent cx="6286500" cy="335280"/>
                <wp:effectExtent l="0" t="0" r="0" b="7620"/>
                <wp:wrapNone/>
                <wp:docPr id="237" name="Надпись 2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86500" cy="3352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CCBE22A" w14:textId="77777777" w:rsidR="008800D7" w:rsidRPr="00CD6D1B" w:rsidRDefault="008800D7" w:rsidP="004B3B82">
                            <w:pPr>
                              <w:numPr>
                                <w:ilvl w:val="0"/>
                                <w:numId w:val="182"/>
                              </w:numPr>
                              <w:tabs>
                                <w:tab w:val="clear" w:pos="720"/>
                                <w:tab w:val="num" w:pos="426"/>
                              </w:tabs>
                              <w:suppressAutoHyphens w:val="0"/>
                              <w:jc w:val="center"/>
                              <w:rPr>
                                <w:rFonts w:ascii="Times New Roman" w:hAnsi="Times New Roman" w:cs="Times New Roman"/>
                                <w:sz w:val="28"/>
                                <w:szCs w:val="28"/>
                                <w:u w:val="single"/>
                              </w:rPr>
                            </w:pPr>
                            <w:r w:rsidRPr="00CD6D1B">
                              <w:rPr>
                                <w:rFonts w:ascii="Times New Roman" w:hAnsi="Times New Roman" w:cs="Times New Roman"/>
                                <w:sz w:val="28"/>
                                <w:szCs w:val="28"/>
                                <w:u w:val="single"/>
                              </w:rPr>
                              <w:t>ОАО «ХХХ» ГПП 1 (110/6кВ)</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13883D8" id="_x0000_t202" coordsize="21600,21600" o:spt="202" path="m,l,21600r21600,l21600,xe">
                <v:stroke joinstyle="miter"/>
                <v:path gradientshapeok="t" o:connecttype="rect"/>
              </v:shapetype>
              <v:shape id="Надпись 237" o:spid="_x0000_s1026" type="#_x0000_t202" style="position:absolute;left:0;text-align:left;margin-left:-18.45pt;margin-top:15.4pt;width:495pt;height:26.4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" stroked="f">
                <v:textbox>
                  <w:txbxContent>
                    <w:p w14:paraId="7CCBE22A" w14:textId="77777777" w:rsidR="008800D7" w:rsidRPr="00CD6D1B" w:rsidRDefault="008800D7" w:rsidP="004B3B82">
                      <w:pPr>
                        <w:numPr>
                          <w:ilvl w:val="0"/>
                          <w:numId w:val="182"/>
                        </w:numPr>
                        <w:tabs>
                          <w:tab w:val="clear" w:pos="720"/>
                          <w:tab w:val="num" w:pos="426"/>
                        </w:tabs>
                        <w:suppressAutoHyphens w:val="0"/>
                        <w:jc w:val="center"/>
                        <w:rPr>
                          <w:rFonts w:ascii="Times New Roman" w:hAnsi="Times New Roman" w:cs="Times New Roman"/>
                          <w:sz w:val="28"/>
                          <w:szCs w:val="28"/>
                          <w:u w:val="single"/>
                        </w:rPr>
                      </w:pPr>
                      <w:r w:rsidRPr="00CD6D1B">
                        <w:rPr>
                          <w:rFonts w:ascii="Times New Roman" w:hAnsi="Times New Roman" w:cs="Times New Roman"/>
                          <w:sz w:val="28"/>
                          <w:szCs w:val="28"/>
                          <w:u w:val="single"/>
                        </w:rPr>
                        <w:t>ОАО «ХХХ» ГПП 1 (110/6кВ)</w:t>
                      </w:r>
                    </w:p>
                  </w:txbxContent>
                </v:textbox>
              </v:shape>
            </w:pict>
          </mc:Fallback>
        </mc:AlternateContent>
      </w:r>
    </w:p>
    <w:p w14:paraId="34B0647D" w14:textId="77777777" w:rsidR="004B3B82" w:rsidRPr="00D42866" w:rsidRDefault="004B3B82" w:rsidP="00101F7C">
      <w:pPr>
        <w:widowControl w:val="0"/>
        <w:overflowPunct w:val="0"/>
        <w:autoSpaceDE w:val="0"/>
        <w:autoSpaceDN w:val="0"/>
        <w:adjustRightInd w:val="0"/>
        <w:ind w:firstLine="284"/>
        <w:jc w:val="center"/>
        <w:rPr>
          <w:rFonts w:ascii="Garamond" w:hAnsi="Garamond" w:cs="Times New Roman CYR"/>
          <w:b/>
          <w:sz w:val="22"/>
          <w:szCs w:val="22"/>
        </w:rPr>
      </w:pPr>
    </w:p>
    <w:p w14:paraId="6E0BD35E" w14:textId="77777777" w:rsidR="004B3B82" w:rsidRPr="00D42866" w:rsidRDefault="004B3B82" w:rsidP="00101F7C">
      <w:pPr>
        <w:widowControl w:val="0"/>
        <w:overflowPunct w:val="0"/>
        <w:autoSpaceDE w:val="0"/>
        <w:autoSpaceDN w:val="0"/>
        <w:adjustRightInd w:val="0"/>
        <w:ind w:firstLine="284"/>
        <w:jc w:val="center"/>
        <w:rPr>
          <w:rFonts w:ascii="Garamond" w:hAnsi="Garamond" w:cs="Times New Roman CYR"/>
          <w:b/>
          <w:sz w:val="22"/>
          <w:szCs w:val="22"/>
        </w:rPr>
      </w:pPr>
    </w:p>
    <w:p w14:paraId="56B8B3AF" w14:textId="77777777" w:rsidR="004B3B82" w:rsidRPr="00D42866" w:rsidRDefault="004B3B82" w:rsidP="00101F7C">
      <w:pPr>
        <w:widowControl w:val="0"/>
        <w:overflowPunct w:val="0"/>
        <w:autoSpaceDE w:val="0"/>
        <w:autoSpaceDN w:val="0"/>
        <w:adjustRightInd w:val="0"/>
        <w:ind w:firstLine="284"/>
        <w:jc w:val="center"/>
        <w:rPr>
          <w:rFonts w:ascii="Garamond" w:hAnsi="Garamond" w:cs="Times New Roman CYR"/>
          <w:sz w:val="22"/>
          <w:szCs w:val="22"/>
        </w:rPr>
      </w:pPr>
    </w:p>
    <w:p w14:paraId="06D22834" w14:textId="77777777" w:rsidR="004B3B82" w:rsidRPr="00D42866" w:rsidRDefault="004B3B82" w:rsidP="00101F7C">
      <w:pPr>
        <w:widowControl w:val="0"/>
        <w:overflowPunct w:val="0"/>
        <w:autoSpaceDE w:val="0"/>
        <w:autoSpaceDN w:val="0"/>
        <w:adjustRightInd w:val="0"/>
        <w:jc w:val="center"/>
        <w:rPr>
          <w:rFonts w:ascii="Garamond" w:hAnsi="Garamond" w:cs="Times New Roman CYR"/>
          <w:sz w:val="22"/>
          <w:szCs w:val="22"/>
        </w:rPr>
      </w:pPr>
      <w:r w:rsidRPr="00D42866">
        <w:rPr>
          <w:rFonts w:ascii="Garamond" w:hAnsi="Garamond" w:cs="Times New Roman CYR"/>
          <w:sz w:val="22"/>
          <w:szCs w:val="22"/>
        </w:rPr>
        <w:t>(наименование объекта)</w:t>
      </w:r>
    </w:p>
    <w:p w14:paraId="475D0E62" w14:textId="77777777" w:rsidR="004B3B82" w:rsidRPr="00D42866" w:rsidRDefault="004B3B82" w:rsidP="00101F7C">
      <w:pPr>
        <w:widowControl w:val="0"/>
        <w:overflowPunct w:val="0"/>
        <w:autoSpaceDE w:val="0"/>
        <w:autoSpaceDN w:val="0"/>
        <w:adjustRightInd w:val="0"/>
        <w:ind w:firstLine="284"/>
        <w:jc w:val="center"/>
        <w:rPr>
          <w:rFonts w:ascii="Garamond" w:hAnsi="Garamond" w:cs="Times New Roman CYR"/>
          <w:sz w:val="22"/>
          <w:szCs w:val="22"/>
        </w:rPr>
      </w:pPr>
      <w:r w:rsidRPr="00D42866">
        <w:rPr>
          <w:noProof/>
          <w:sz w:val="22"/>
          <w:szCs w:val="22"/>
        </w:rPr>
        <mc:AlternateContent>
          <mc:Choice Requires="wps">
            <w:drawing>
              <wp:anchor distT="0" distB="0" distL="114300" distR="114300" simplePos="0" relativeHeight="251658241" behindDoc="0" locked="0" layoutInCell="1" allowOverlap="1" wp14:anchorId="49A455A0" wp14:editId="4075AD19">
                <wp:simplePos x="0" y="0"/>
                <wp:positionH relativeFrom="margin">
                  <wp:align>left</wp:align>
                </wp:positionH>
                <wp:positionV relativeFrom="paragraph">
                  <wp:posOffset>115570</wp:posOffset>
                </wp:positionV>
                <wp:extent cx="6286500" cy="342900"/>
                <wp:effectExtent l="0" t="0" r="0" b="0"/>
                <wp:wrapNone/>
                <wp:docPr id="236" name="Надпись 2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86500" cy="3429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0575121" w14:textId="77777777" w:rsidR="008800D7" w:rsidRPr="00CD6D1B" w:rsidRDefault="008800D7" w:rsidP="00101F7C">
                            <w:pPr>
                              <w:jc w:val="center"/>
                              <w:rPr>
                                <w:rFonts w:ascii="Times New Roman" w:hAnsi="Times New Roman" w:cs="Times New Roman"/>
                                <w:sz w:val="28"/>
                                <w:szCs w:val="28"/>
                                <w:u w:val="single"/>
                              </w:rPr>
                            </w:pPr>
                            <w:r w:rsidRPr="00CD6D1B">
                              <w:rPr>
                                <w:rFonts w:ascii="Times New Roman" w:hAnsi="Times New Roman" w:cs="Times New Roman"/>
                                <w:sz w:val="28"/>
                                <w:szCs w:val="28"/>
                                <w:u w:val="single"/>
                              </w:rPr>
                              <w:t xml:space="preserve">Секция </w:t>
                            </w:r>
                            <w:r w:rsidRPr="00CD6D1B">
                              <w:rPr>
                                <w:rFonts w:ascii="Times New Roman" w:hAnsi="Times New Roman" w:cs="Times New Roman"/>
                                <w:sz w:val="28"/>
                                <w:szCs w:val="28"/>
                                <w:u w:val="single"/>
                                <w:lang w:val="en-US"/>
                              </w:rPr>
                              <w:t>II</w:t>
                            </w:r>
                            <w:r w:rsidRPr="00CD6D1B">
                              <w:rPr>
                                <w:rFonts w:ascii="Times New Roman" w:hAnsi="Times New Roman" w:cs="Times New Roman"/>
                                <w:sz w:val="28"/>
                                <w:szCs w:val="28"/>
                                <w:u w:val="single"/>
                              </w:rPr>
                              <w:t xml:space="preserve"> 10 кВ, Ячейка 25, Фидер 201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9A455A0" id="Надпись 236" o:spid="_x0000_s1027" type="#_x0000_t202" style="position:absolute;left:0;text-align:left;margin-left:0;margin-top:9.1pt;width:495pt;height:27pt;z-index:251658241;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" stroked="f">
                <v:textbox>
                  <w:txbxContent>
                    <w:p w14:paraId="70575121" w14:textId="77777777" w:rsidR="008800D7" w:rsidRPr="00CD6D1B" w:rsidRDefault="008800D7" w:rsidP="00101F7C">
                      <w:pPr>
                        <w:jc w:val="center"/>
                        <w:rPr>
                          <w:rFonts w:ascii="Times New Roman" w:hAnsi="Times New Roman" w:cs="Times New Roman"/>
                          <w:sz w:val="28"/>
                          <w:szCs w:val="28"/>
                          <w:u w:val="single"/>
                        </w:rPr>
                      </w:pPr>
                      <w:r w:rsidRPr="00CD6D1B">
                        <w:rPr>
                          <w:rFonts w:ascii="Times New Roman" w:hAnsi="Times New Roman" w:cs="Times New Roman"/>
                          <w:sz w:val="28"/>
                          <w:szCs w:val="28"/>
                          <w:u w:val="single"/>
                        </w:rPr>
                        <w:t xml:space="preserve">Секция </w:t>
                      </w:r>
                      <w:r w:rsidRPr="00CD6D1B">
                        <w:rPr>
                          <w:rFonts w:ascii="Times New Roman" w:hAnsi="Times New Roman" w:cs="Times New Roman"/>
                          <w:sz w:val="28"/>
                          <w:szCs w:val="28"/>
                          <w:u w:val="single"/>
                          <w:lang w:val="en-US"/>
                        </w:rPr>
                        <w:t>II</w:t>
                      </w:r>
                      <w:r w:rsidRPr="00CD6D1B">
                        <w:rPr>
                          <w:rFonts w:ascii="Times New Roman" w:hAnsi="Times New Roman" w:cs="Times New Roman"/>
                          <w:sz w:val="28"/>
                          <w:szCs w:val="28"/>
                          <w:u w:val="single"/>
                        </w:rPr>
                        <w:t xml:space="preserve"> 10 кВ, Ячейка 25, Фидер 201</w:t>
                      </w:r>
                    </w:p>
                  </w:txbxContent>
                </v:textbox>
                <w10:wrap anchorx="margin"/>
              </v:shape>
            </w:pict>
          </mc:Fallback>
        </mc:AlternateContent>
      </w:r>
    </w:p>
    <w:p w14:paraId="60D057EC" w14:textId="77777777" w:rsidR="004B3B82" w:rsidRPr="00D42866" w:rsidRDefault="004B3B82" w:rsidP="00101F7C">
      <w:pPr>
        <w:widowControl w:val="0"/>
        <w:overflowPunct w:val="0"/>
        <w:autoSpaceDE w:val="0"/>
        <w:autoSpaceDN w:val="0"/>
        <w:adjustRightInd w:val="0"/>
        <w:ind w:firstLine="284"/>
        <w:jc w:val="center"/>
        <w:rPr>
          <w:rFonts w:ascii="Garamond" w:hAnsi="Garamond" w:cs="Times New Roman CYR"/>
          <w:b/>
          <w:sz w:val="22"/>
          <w:szCs w:val="22"/>
        </w:rPr>
      </w:pPr>
    </w:p>
    <w:p w14:paraId="33C9D92B" w14:textId="77777777" w:rsidR="004B3B82" w:rsidRPr="00D42866" w:rsidRDefault="004B3B82" w:rsidP="00101F7C">
      <w:pPr>
        <w:widowControl w:val="0"/>
        <w:overflowPunct w:val="0"/>
        <w:autoSpaceDE w:val="0"/>
        <w:autoSpaceDN w:val="0"/>
        <w:adjustRightInd w:val="0"/>
        <w:ind w:firstLine="284"/>
        <w:rPr>
          <w:rFonts w:ascii="Garamond" w:hAnsi="Garamond" w:cs="Times New Roman CYR"/>
          <w:b/>
          <w:sz w:val="22"/>
          <w:szCs w:val="22"/>
        </w:rPr>
      </w:pPr>
    </w:p>
    <w:p w14:paraId="619D17B1" w14:textId="77777777" w:rsidR="004B3B82" w:rsidRPr="00D42866" w:rsidRDefault="004B3B82" w:rsidP="00101F7C">
      <w:pPr>
        <w:widowControl w:val="0"/>
        <w:overflowPunct w:val="0"/>
        <w:autoSpaceDE w:val="0"/>
        <w:autoSpaceDN w:val="0"/>
        <w:adjustRightInd w:val="0"/>
        <w:jc w:val="center"/>
        <w:rPr>
          <w:rFonts w:ascii="Garamond" w:hAnsi="Garamond" w:cs="Times New Roman CYR"/>
          <w:sz w:val="22"/>
          <w:szCs w:val="22"/>
        </w:rPr>
      </w:pPr>
      <w:r w:rsidRPr="00D42866">
        <w:rPr>
          <w:rFonts w:ascii="Garamond" w:hAnsi="Garamond" w:cs="Times New Roman CYR"/>
          <w:sz w:val="22"/>
          <w:szCs w:val="22"/>
        </w:rPr>
        <w:t>(наименование присоединения)</w:t>
      </w:r>
    </w:p>
    <w:p w14:paraId="62A2CFAB" w14:textId="77777777" w:rsidR="004B3B82" w:rsidRPr="00D42866" w:rsidRDefault="004B3B82" w:rsidP="00101F7C">
      <w:pPr>
        <w:widowControl w:val="0"/>
        <w:overflowPunct w:val="0"/>
        <w:autoSpaceDE w:val="0"/>
        <w:autoSpaceDN w:val="0"/>
        <w:adjustRightInd w:val="0"/>
        <w:ind w:firstLine="284"/>
        <w:rPr>
          <w:rFonts w:ascii="Garamond" w:hAnsi="Garamond" w:cs="Times New Roman CYR"/>
          <w:b/>
          <w:sz w:val="22"/>
          <w:szCs w:val="22"/>
        </w:rPr>
      </w:pPr>
    </w:p>
    <w:p w14:paraId="1B05C251" w14:textId="77777777" w:rsidR="004B3B82" w:rsidRPr="00265913" w:rsidRDefault="004B3B82" w:rsidP="00101F7C">
      <w:pPr>
        <w:overflowPunct w:val="0"/>
        <w:autoSpaceDE w:val="0"/>
        <w:autoSpaceDN w:val="0"/>
        <w:adjustRightInd w:val="0"/>
        <w:rPr>
          <w:rFonts w:ascii="Garamond" w:hAnsi="Garamond" w:cs="Times New Roman CYR"/>
          <w:sz w:val="22"/>
          <w:szCs w:val="22"/>
        </w:rPr>
      </w:pPr>
      <w:r w:rsidRPr="00265913">
        <w:rPr>
          <w:rFonts w:ascii="Garamond" w:hAnsi="Garamond" w:cs="Times New Roman CYR"/>
          <w:sz w:val="22"/>
          <w:szCs w:val="22"/>
        </w:rPr>
        <w:t>2.</w:t>
      </w:r>
      <w:r>
        <w:rPr>
          <w:rFonts w:ascii="Garamond" w:hAnsi="Garamond" w:cs="Times New Roman CYR"/>
          <w:sz w:val="22"/>
          <w:szCs w:val="22"/>
        </w:rPr>
        <w:t xml:space="preserve"> </w:t>
      </w:r>
      <w:r w:rsidRPr="00265913">
        <w:rPr>
          <w:rFonts w:ascii="Garamond" w:hAnsi="Garamond" w:cs="Times New Roman CYR"/>
          <w:sz w:val="22"/>
          <w:szCs w:val="22"/>
        </w:rPr>
        <w:t>Однолинейная электрическая схема присоединения приведена________________________________</w:t>
      </w:r>
    </w:p>
    <w:p w14:paraId="46FC662E" w14:textId="77777777" w:rsidR="004B3B82" w:rsidRPr="00D42866" w:rsidRDefault="004B3B82" w:rsidP="00101F7C">
      <w:pPr>
        <w:widowControl w:val="0"/>
        <w:overflowPunct w:val="0"/>
        <w:autoSpaceDE w:val="0"/>
        <w:autoSpaceDN w:val="0"/>
        <w:adjustRightInd w:val="0"/>
        <w:ind w:left="720"/>
        <w:jc w:val="right"/>
        <w:rPr>
          <w:rFonts w:ascii="Garamond" w:hAnsi="Garamond" w:cs="Times New Roman CYR"/>
        </w:rPr>
      </w:pPr>
      <w:r w:rsidRPr="00D42866">
        <w:rPr>
          <w:rFonts w:ascii="Garamond" w:hAnsi="Garamond" w:cs="Times New Roman CYR"/>
        </w:rPr>
        <w:t>указывается ссылка на соответствующий лист технической документации АИИС КУЭ</w:t>
      </w:r>
    </w:p>
    <w:p w14:paraId="5BE8DADC" w14:textId="77777777" w:rsidR="004B3B82" w:rsidRPr="00D42866" w:rsidRDefault="004B3B82" w:rsidP="00101F7C">
      <w:pPr>
        <w:widowControl w:val="0"/>
        <w:overflowPunct w:val="0"/>
        <w:autoSpaceDE w:val="0"/>
        <w:autoSpaceDN w:val="0"/>
        <w:adjustRightInd w:val="0"/>
        <w:ind w:firstLine="284"/>
        <w:rPr>
          <w:rFonts w:ascii="Garamond" w:hAnsi="Garamond" w:cs="Times New Roman CYR"/>
          <w:b/>
        </w:rPr>
      </w:pPr>
    </w:p>
    <w:p w14:paraId="0F211632" w14:textId="77777777" w:rsidR="004B3B82" w:rsidRPr="00D42866" w:rsidRDefault="004B3B82" w:rsidP="00101F7C">
      <w:pPr>
        <w:overflowPunct w:val="0"/>
        <w:autoSpaceDE w:val="0"/>
        <w:autoSpaceDN w:val="0"/>
        <w:adjustRightInd w:val="0"/>
        <w:rPr>
          <w:rFonts w:ascii="Garamond" w:hAnsi="Garamond" w:cs="Times New Roman CYR"/>
          <w:sz w:val="22"/>
          <w:szCs w:val="22"/>
        </w:rPr>
      </w:pPr>
      <w:r w:rsidRPr="00D42866">
        <w:rPr>
          <w:rFonts w:ascii="Garamond" w:hAnsi="Garamond" w:cs="Times New Roman CYR"/>
          <w:sz w:val="22"/>
          <w:szCs w:val="22"/>
        </w:rPr>
        <w:t xml:space="preserve">3. Дата ввода комплекса в эксплуатацию: </w:t>
      </w:r>
      <w:r w:rsidRPr="00D42866">
        <w:rPr>
          <w:rFonts w:ascii="Garamond" w:hAnsi="Garamond"/>
          <w:sz w:val="22"/>
          <w:szCs w:val="22"/>
        </w:rPr>
        <w:t>____________________________________</w:t>
      </w:r>
    </w:p>
    <w:p w14:paraId="035D41B4" w14:textId="77777777" w:rsidR="004B3B82" w:rsidRPr="00D42866" w:rsidRDefault="004B3B82" w:rsidP="00101F7C">
      <w:pPr>
        <w:overflowPunct w:val="0"/>
        <w:autoSpaceDE w:val="0"/>
        <w:autoSpaceDN w:val="0"/>
        <w:adjustRightInd w:val="0"/>
        <w:rPr>
          <w:rFonts w:ascii="Garamond" w:hAnsi="Garamond" w:cs="Times New Roman CYR"/>
          <w:sz w:val="22"/>
          <w:szCs w:val="22"/>
        </w:rPr>
      </w:pPr>
    </w:p>
    <w:p w14:paraId="2BAE3916" w14:textId="77777777" w:rsidR="004B3B82" w:rsidRPr="00D42866" w:rsidRDefault="004B3B82" w:rsidP="00101F7C">
      <w:pPr>
        <w:overflowPunct w:val="0"/>
        <w:autoSpaceDE w:val="0"/>
        <w:autoSpaceDN w:val="0"/>
        <w:adjustRightInd w:val="0"/>
        <w:rPr>
          <w:rFonts w:ascii="Garamond" w:hAnsi="Garamond" w:cs="Times New Roman CYR"/>
          <w:sz w:val="22"/>
          <w:szCs w:val="22"/>
        </w:rPr>
      </w:pPr>
      <w:r w:rsidRPr="00D42866">
        <w:rPr>
          <w:rFonts w:ascii="Garamond" w:hAnsi="Garamond" w:cs="Times New Roman CYR"/>
          <w:sz w:val="22"/>
          <w:szCs w:val="22"/>
        </w:rPr>
        <w:t>4. Основные паспортные и эксплуатационные данные</w:t>
      </w:r>
    </w:p>
    <w:p w14:paraId="55D0B84A" w14:textId="77777777" w:rsidR="004B3B82" w:rsidRPr="00D42866" w:rsidRDefault="004B3B82" w:rsidP="00101F7C">
      <w:pPr>
        <w:overflowPunct w:val="0"/>
        <w:autoSpaceDE w:val="0"/>
        <w:autoSpaceDN w:val="0"/>
        <w:adjustRightInd w:val="0"/>
        <w:rPr>
          <w:rFonts w:ascii="Garamond" w:hAnsi="Garamond" w:cs="Times New Roman CYR"/>
          <w:sz w:val="22"/>
          <w:szCs w:val="22"/>
        </w:rPr>
      </w:pPr>
    </w:p>
    <w:p w14:paraId="433ACAAC" w14:textId="77777777" w:rsidR="004B3B82" w:rsidRPr="00D42866" w:rsidRDefault="004B3B82" w:rsidP="00101F7C">
      <w:pPr>
        <w:overflowPunct w:val="0"/>
        <w:autoSpaceDE w:val="0"/>
        <w:autoSpaceDN w:val="0"/>
        <w:adjustRightInd w:val="0"/>
        <w:rPr>
          <w:rFonts w:ascii="Garamond" w:hAnsi="Garamond" w:cs="Times New Roman CYR"/>
          <w:b/>
          <w:sz w:val="22"/>
          <w:szCs w:val="22"/>
        </w:rPr>
      </w:pPr>
      <w:r w:rsidRPr="00D42866">
        <w:rPr>
          <w:rFonts w:ascii="Garamond" w:hAnsi="Garamond" w:cs="Times New Roman CYR"/>
          <w:b/>
          <w:sz w:val="22"/>
          <w:szCs w:val="22"/>
        </w:rPr>
        <w:t xml:space="preserve">4.1. </w:t>
      </w:r>
      <w:r w:rsidRPr="00265913">
        <w:rPr>
          <w:rFonts w:ascii="Garamond" w:hAnsi="Garamond" w:cs="Times New Roman CYR"/>
          <w:b/>
          <w:sz w:val="22"/>
          <w:szCs w:val="22"/>
          <w:highlight w:val="yellow"/>
        </w:rPr>
        <w:t>Счетчики электрической энергии</w:t>
      </w:r>
    </w:p>
    <w:p w14:paraId="417DEF84" w14:textId="77777777" w:rsidR="004B3B82" w:rsidRPr="00D42866" w:rsidRDefault="004B3B82" w:rsidP="00101F7C">
      <w:pPr>
        <w:autoSpaceDE w:val="0"/>
        <w:autoSpaceDN w:val="0"/>
        <w:adjustRightInd w:val="0"/>
        <w:ind w:firstLine="720"/>
        <w:jc w:val="both"/>
        <w:rPr>
          <w:rFonts w:ascii="Garamond" w:hAnsi="Garamond"/>
          <w:sz w:val="22"/>
          <w:szCs w:val="22"/>
        </w:rPr>
      </w:pPr>
      <w:r w:rsidRPr="00D42866">
        <w:rPr>
          <w:rFonts w:ascii="Garamond" w:hAnsi="Garamond"/>
          <w:sz w:val="22"/>
          <w:szCs w:val="22"/>
        </w:rPr>
        <w:t xml:space="preserve">Место установки </w:t>
      </w:r>
      <w:r w:rsidRPr="00D42866">
        <w:rPr>
          <w:rFonts w:ascii="Garamond" w:hAnsi="Garamond"/>
          <w:sz w:val="22"/>
          <w:szCs w:val="22"/>
          <w:u w:val="single"/>
        </w:rPr>
        <w:t>внешняя панель релейного отсека яч. 26</w:t>
      </w:r>
    </w:p>
    <w:p w14:paraId="175A7C4A" w14:textId="77777777" w:rsidR="004B3B82" w:rsidRPr="00D42866" w:rsidRDefault="004B3B82" w:rsidP="00101F7C">
      <w:pPr>
        <w:rPr>
          <w:rFonts w:ascii="Garamond" w:hAnsi="Garamond"/>
          <w:sz w:val="22"/>
          <w:szCs w:val="22"/>
        </w:rPr>
      </w:pPr>
    </w:p>
    <w:tbl>
      <w:tblPr>
        <w:tblW w:w="99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28"/>
        <w:gridCol w:w="2520"/>
        <w:gridCol w:w="3261"/>
        <w:gridCol w:w="1559"/>
      </w:tblGrid>
      <w:tr w:rsidR="004B3B82" w:rsidRPr="00D42866" w14:paraId="1ECB4B96" w14:textId="77777777" w:rsidTr="00CD3B05">
        <w:tc>
          <w:tcPr>
            <w:tcW w:w="2628" w:type="dxa"/>
          </w:tcPr>
          <w:p w14:paraId="055ED47D" w14:textId="77777777" w:rsidR="004B3B82" w:rsidRPr="00D42866" w:rsidRDefault="004B3B82" w:rsidP="00CD3B05">
            <w:pPr>
              <w:overflowPunct w:val="0"/>
              <w:autoSpaceDE w:val="0"/>
              <w:autoSpaceDN w:val="0"/>
              <w:adjustRightInd w:val="0"/>
              <w:rPr>
                <w:rFonts w:ascii="Garamond" w:hAnsi="Garamond" w:cs="Times New Roman CYR"/>
                <w:sz w:val="22"/>
                <w:szCs w:val="22"/>
              </w:rPr>
            </w:pPr>
            <w:r w:rsidRPr="00D42866">
              <w:rPr>
                <w:rFonts w:ascii="Garamond" w:hAnsi="Garamond" w:cs="Times New Roman CYR"/>
                <w:sz w:val="22"/>
                <w:szCs w:val="22"/>
              </w:rPr>
              <w:t>Вид учета</w:t>
            </w:r>
          </w:p>
        </w:tc>
        <w:tc>
          <w:tcPr>
            <w:tcW w:w="2520" w:type="dxa"/>
          </w:tcPr>
          <w:p w14:paraId="220A7C54" w14:textId="77777777" w:rsidR="004B3B82" w:rsidRPr="00D42866" w:rsidRDefault="004B3B82" w:rsidP="00CD3B05">
            <w:pPr>
              <w:overflowPunct w:val="0"/>
              <w:autoSpaceDE w:val="0"/>
              <w:autoSpaceDN w:val="0"/>
              <w:adjustRightInd w:val="0"/>
              <w:jc w:val="center"/>
              <w:rPr>
                <w:rFonts w:ascii="Garamond" w:hAnsi="Garamond" w:cs="Times New Roman CYR"/>
                <w:sz w:val="22"/>
                <w:szCs w:val="22"/>
              </w:rPr>
            </w:pPr>
            <w:r w:rsidRPr="00D42866">
              <w:rPr>
                <w:rFonts w:ascii="Garamond" w:hAnsi="Garamond" w:cs="Times New Roman CYR"/>
                <w:sz w:val="22"/>
                <w:szCs w:val="22"/>
              </w:rPr>
              <w:t>(</w:t>
            </w:r>
            <w:r w:rsidRPr="00D42866">
              <w:rPr>
                <w:rFonts w:ascii="Garamond" w:hAnsi="Garamond" w:cs="Times New Roman CYR"/>
                <w:sz w:val="22"/>
                <w:szCs w:val="22"/>
                <w:u w:val="single"/>
              </w:rPr>
              <w:t>Расчет</w:t>
            </w:r>
            <w:r w:rsidRPr="00D42866">
              <w:rPr>
                <w:rFonts w:ascii="Garamond" w:hAnsi="Garamond" w:cs="Times New Roman CYR"/>
                <w:sz w:val="22"/>
                <w:szCs w:val="22"/>
              </w:rPr>
              <w:t xml:space="preserve"> или Контроль)</w:t>
            </w:r>
          </w:p>
        </w:tc>
        <w:tc>
          <w:tcPr>
            <w:tcW w:w="3261" w:type="dxa"/>
          </w:tcPr>
          <w:p w14:paraId="07506FD8" w14:textId="77777777" w:rsidR="004B3B82" w:rsidRPr="00D42866" w:rsidRDefault="004B3B82" w:rsidP="00CD3B05">
            <w:pPr>
              <w:overflowPunct w:val="0"/>
              <w:autoSpaceDE w:val="0"/>
              <w:autoSpaceDN w:val="0"/>
              <w:adjustRightInd w:val="0"/>
              <w:rPr>
                <w:rFonts w:ascii="Garamond" w:hAnsi="Garamond" w:cs="Times New Roman CYR"/>
                <w:sz w:val="22"/>
                <w:szCs w:val="22"/>
              </w:rPr>
            </w:pPr>
            <w:r w:rsidRPr="00D42866">
              <w:rPr>
                <w:rFonts w:ascii="Garamond" w:hAnsi="Garamond" w:cs="Times New Roman CYR"/>
                <w:sz w:val="22"/>
                <w:szCs w:val="22"/>
              </w:rPr>
              <w:t>Вид энергии</w:t>
            </w:r>
          </w:p>
        </w:tc>
        <w:tc>
          <w:tcPr>
            <w:tcW w:w="1559" w:type="dxa"/>
          </w:tcPr>
          <w:p w14:paraId="33DF7654" w14:textId="77777777" w:rsidR="004B3B82" w:rsidRPr="00D42866" w:rsidRDefault="004B3B82" w:rsidP="00CD3B05">
            <w:pPr>
              <w:overflowPunct w:val="0"/>
              <w:autoSpaceDE w:val="0"/>
              <w:autoSpaceDN w:val="0"/>
              <w:adjustRightInd w:val="0"/>
              <w:rPr>
                <w:rFonts w:ascii="Garamond" w:hAnsi="Garamond" w:cs="Times New Roman CYR"/>
                <w:sz w:val="22"/>
                <w:szCs w:val="22"/>
              </w:rPr>
            </w:pPr>
            <w:r w:rsidRPr="00D42866">
              <w:rPr>
                <w:rFonts w:ascii="Garamond" w:hAnsi="Garamond" w:cs="Times New Roman CYR"/>
                <w:sz w:val="22"/>
                <w:szCs w:val="22"/>
              </w:rPr>
              <w:t>(</w:t>
            </w:r>
            <w:r w:rsidRPr="00D42866">
              <w:rPr>
                <w:rFonts w:ascii="Garamond" w:hAnsi="Garamond" w:cs="Times New Roman CYR"/>
                <w:sz w:val="22"/>
                <w:szCs w:val="22"/>
                <w:u w:val="single"/>
              </w:rPr>
              <w:t xml:space="preserve">А и (или) </w:t>
            </w:r>
            <w:r w:rsidRPr="00D42866">
              <w:rPr>
                <w:rFonts w:ascii="Garamond" w:hAnsi="Garamond" w:cs="Times New Roman CYR"/>
                <w:i/>
                <w:sz w:val="22"/>
                <w:szCs w:val="22"/>
                <w:u w:val="single"/>
                <w:lang w:val="en-US"/>
              </w:rPr>
              <w:t>R</w:t>
            </w:r>
            <w:r w:rsidRPr="00D42866">
              <w:rPr>
                <w:rFonts w:ascii="Garamond" w:hAnsi="Garamond" w:cs="Times New Roman CYR"/>
                <w:i/>
                <w:sz w:val="22"/>
                <w:szCs w:val="22"/>
              </w:rPr>
              <w:t>)</w:t>
            </w:r>
          </w:p>
        </w:tc>
      </w:tr>
      <w:tr w:rsidR="004B3B82" w:rsidRPr="00D42866" w14:paraId="1330A7B7" w14:textId="77777777" w:rsidTr="00CD3B05">
        <w:tc>
          <w:tcPr>
            <w:tcW w:w="2628" w:type="dxa"/>
          </w:tcPr>
          <w:p w14:paraId="781F6F83" w14:textId="77777777" w:rsidR="004B3B82" w:rsidRPr="00D42866" w:rsidRDefault="004B3B82" w:rsidP="00CD3B05">
            <w:pPr>
              <w:overflowPunct w:val="0"/>
              <w:autoSpaceDE w:val="0"/>
              <w:autoSpaceDN w:val="0"/>
              <w:adjustRightInd w:val="0"/>
              <w:rPr>
                <w:rFonts w:ascii="Garamond" w:hAnsi="Garamond" w:cs="Times New Roman CYR"/>
                <w:sz w:val="22"/>
                <w:szCs w:val="22"/>
              </w:rPr>
            </w:pPr>
            <w:r w:rsidRPr="00D42866">
              <w:rPr>
                <w:rFonts w:ascii="Garamond" w:hAnsi="Garamond" w:cs="Times New Roman CYR"/>
                <w:sz w:val="22"/>
                <w:szCs w:val="22"/>
              </w:rPr>
              <w:t xml:space="preserve">Тип и модификация (вариант исполнения) </w:t>
            </w:r>
            <w:r w:rsidRPr="00265913">
              <w:rPr>
                <w:rFonts w:ascii="Garamond" w:hAnsi="Garamond" w:cs="Times New Roman CYR"/>
                <w:sz w:val="22"/>
                <w:szCs w:val="22"/>
                <w:highlight w:val="yellow"/>
              </w:rPr>
              <w:t>счетчика</w:t>
            </w:r>
          </w:p>
        </w:tc>
        <w:tc>
          <w:tcPr>
            <w:tcW w:w="2520" w:type="dxa"/>
          </w:tcPr>
          <w:p w14:paraId="6905F35E" w14:textId="77777777" w:rsidR="004B3B82" w:rsidRPr="00D42866" w:rsidRDefault="004B3B82" w:rsidP="00CD3B05">
            <w:pPr>
              <w:overflowPunct w:val="0"/>
              <w:autoSpaceDE w:val="0"/>
              <w:autoSpaceDN w:val="0"/>
              <w:adjustRightInd w:val="0"/>
              <w:jc w:val="center"/>
              <w:rPr>
                <w:rFonts w:ascii="Garamond" w:hAnsi="Garamond" w:cs="Times New Roman CYR"/>
                <w:sz w:val="22"/>
                <w:szCs w:val="22"/>
                <w:lang w:val="en-US"/>
              </w:rPr>
            </w:pPr>
            <w:r w:rsidRPr="00D42866">
              <w:rPr>
                <w:rFonts w:ascii="Garamond" w:hAnsi="Garamond" w:cs="Times New Roman CYR"/>
                <w:sz w:val="22"/>
                <w:szCs w:val="22"/>
              </w:rPr>
              <w:t>СЭТ4-ТМ.03М.0</w:t>
            </w:r>
            <w:r w:rsidRPr="00D42866">
              <w:rPr>
                <w:rFonts w:ascii="Garamond" w:hAnsi="Garamond" w:cs="Times New Roman CYR"/>
                <w:sz w:val="22"/>
                <w:szCs w:val="22"/>
                <w:lang w:val="en-US"/>
              </w:rPr>
              <w:t>1</w:t>
            </w:r>
          </w:p>
        </w:tc>
        <w:tc>
          <w:tcPr>
            <w:tcW w:w="3261" w:type="dxa"/>
          </w:tcPr>
          <w:p w14:paraId="245643E1" w14:textId="77777777" w:rsidR="004B3B82" w:rsidRPr="00D42866" w:rsidRDefault="004B3B82" w:rsidP="00CD3B05">
            <w:pPr>
              <w:overflowPunct w:val="0"/>
              <w:autoSpaceDE w:val="0"/>
              <w:autoSpaceDN w:val="0"/>
              <w:adjustRightInd w:val="0"/>
              <w:rPr>
                <w:rFonts w:ascii="Garamond" w:hAnsi="Garamond" w:cs="Times New Roman CYR"/>
                <w:sz w:val="22"/>
                <w:szCs w:val="22"/>
              </w:rPr>
            </w:pPr>
            <w:r w:rsidRPr="00D42866">
              <w:rPr>
                <w:rFonts w:ascii="Garamond" w:hAnsi="Garamond" w:cs="Times New Roman CYR"/>
                <w:sz w:val="22"/>
                <w:szCs w:val="22"/>
              </w:rPr>
              <w:t>Зав. номер</w:t>
            </w:r>
          </w:p>
        </w:tc>
        <w:tc>
          <w:tcPr>
            <w:tcW w:w="1559" w:type="dxa"/>
          </w:tcPr>
          <w:p w14:paraId="1C76C357" w14:textId="77777777" w:rsidR="004B3B82" w:rsidRPr="00D42866" w:rsidRDefault="004B3B82" w:rsidP="00CD3B05">
            <w:pPr>
              <w:overflowPunct w:val="0"/>
              <w:autoSpaceDE w:val="0"/>
              <w:autoSpaceDN w:val="0"/>
              <w:adjustRightInd w:val="0"/>
              <w:jc w:val="center"/>
              <w:rPr>
                <w:rFonts w:ascii="Garamond" w:hAnsi="Garamond" w:cs="Times New Roman CYR"/>
                <w:sz w:val="22"/>
                <w:szCs w:val="22"/>
              </w:rPr>
            </w:pPr>
            <w:r w:rsidRPr="00D42866">
              <w:rPr>
                <w:rFonts w:ascii="Garamond" w:hAnsi="Garamond" w:cs="Times New Roman CYR"/>
                <w:sz w:val="22"/>
                <w:szCs w:val="22"/>
              </w:rPr>
              <w:t>12345678</w:t>
            </w:r>
          </w:p>
        </w:tc>
      </w:tr>
      <w:tr w:rsidR="004B3B82" w:rsidRPr="00D42866" w14:paraId="6202F1EF" w14:textId="77777777" w:rsidTr="00CD3B05">
        <w:tc>
          <w:tcPr>
            <w:tcW w:w="2628" w:type="dxa"/>
          </w:tcPr>
          <w:p w14:paraId="4C9ED96B" w14:textId="77777777" w:rsidR="004B3B82" w:rsidRPr="00D42866" w:rsidRDefault="004B3B82" w:rsidP="00CD3B05">
            <w:pPr>
              <w:overflowPunct w:val="0"/>
              <w:autoSpaceDE w:val="0"/>
              <w:autoSpaceDN w:val="0"/>
              <w:adjustRightInd w:val="0"/>
              <w:rPr>
                <w:rFonts w:ascii="Garamond" w:hAnsi="Garamond" w:cs="Times New Roman CYR"/>
                <w:sz w:val="22"/>
                <w:szCs w:val="22"/>
              </w:rPr>
            </w:pPr>
            <w:r w:rsidRPr="00D42866">
              <w:rPr>
                <w:rFonts w:ascii="Garamond" w:hAnsi="Garamond" w:cs="Times New Roman CYR"/>
                <w:sz w:val="22"/>
                <w:szCs w:val="22"/>
              </w:rPr>
              <w:t>Напряжение, В*</w:t>
            </w:r>
          </w:p>
        </w:tc>
        <w:tc>
          <w:tcPr>
            <w:tcW w:w="2520" w:type="dxa"/>
          </w:tcPr>
          <w:p w14:paraId="0507B1B8" w14:textId="77777777" w:rsidR="004B3B82" w:rsidRPr="00D42866" w:rsidRDefault="004B3B82" w:rsidP="00CD3B05">
            <w:pPr>
              <w:overflowPunct w:val="0"/>
              <w:autoSpaceDE w:val="0"/>
              <w:autoSpaceDN w:val="0"/>
              <w:adjustRightInd w:val="0"/>
              <w:jc w:val="center"/>
              <w:rPr>
                <w:rFonts w:ascii="Garamond" w:hAnsi="Garamond" w:cs="Times New Roman CYR"/>
                <w:sz w:val="22"/>
                <w:szCs w:val="22"/>
              </w:rPr>
            </w:pPr>
            <w:r w:rsidRPr="00D42866">
              <w:rPr>
                <w:rFonts w:ascii="Garamond" w:hAnsi="Garamond" w:cs="Times New Roman CYR"/>
                <w:sz w:val="22"/>
                <w:szCs w:val="22"/>
              </w:rPr>
              <w:t>3х57,5 (100)</w:t>
            </w:r>
          </w:p>
        </w:tc>
        <w:tc>
          <w:tcPr>
            <w:tcW w:w="3261" w:type="dxa"/>
          </w:tcPr>
          <w:p w14:paraId="13399D23" w14:textId="77777777" w:rsidR="004B3B82" w:rsidRPr="00D42866" w:rsidRDefault="004B3B82" w:rsidP="00CD3B05">
            <w:pPr>
              <w:overflowPunct w:val="0"/>
              <w:autoSpaceDE w:val="0"/>
              <w:autoSpaceDN w:val="0"/>
              <w:adjustRightInd w:val="0"/>
              <w:rPr>
                <w:rFonts w:ascii="Garamond" w:hAnsi="Garamond" w:cs="Times New Roman CYR"/>
                <w:sz w:val="22"/>
                <w:szCs w:val="22"/>
              </w:rPr>
            </w:pPr>
            <w:r w:rsidRPr="00D42866">
              <w:rPr>
                <w:rFonts w:ascii="Garamond" w:hAnsi="Garamond" w:cs="Times New Roman CYR"/>
                <w:sz w:val="22"/>
                <w:szCs w:val="22"/>
              </w:rPr>
              <w:t>Ном. (макс.) ток, А*</w:t>
            </w:r>
          </w:p>
        </w:tc>
        <w:tc>
          <w:tcPr>
            <w:tcW w:w="1559" w:type="dxa"/>
          </w:tcPr>
          <w:p w14:paraId="244E1185" w14:textId="77777777" w:rsidR="004B3B82" w:rsidRPr="00D42866" w:rsidRDefault="004B3B82" w:rsidP="00CD3B05">
            <w:pPr>
              <w:widowControl w:val="0"/>
              <w:overflowPunct w:val="0"/>
              <w:autoSpaceDE w:val="0"/>
              <w:autoSpaceDN w:val="0"/>
              <w:adjustRightInd w:val="0"/>
              <w:jc w:val="center"/>
              <w:rPr>
                <w:rFonts w:ascii="Garamond" w:hAnsi="Garamond" w:cs="Times New Roman CYR"/>
                <w:sz w:val="22"/>
                <w:szCs w:val="22"/>
              </w:rPr>
            </w:pPr>
            <w:r w:rsidRPr="00D42866">
              <w:rPr>
                <w:rFonts w:ascii="Garamond" w:hAnsi="Garamond" w:cs="Times New Roman CYR"/>
                <w:sz w:val="22"/>
                <w:szCs w:val="22"/>
              </w:rPr>
              <w:t>5(7,5)</w:t>
            </w:r>
          </w:p>
        </w:tc>
      </w:tr>
      <w:tr w:rsidR="004B3B82" w:rsidRPr="00D42866" w14:paraId="66250E0F" w14:textId="77777777" w:rsidTr="00CD3B05">
        <w:tc>
          <w:tcPr>
            <w:tcW w:w="2628" w:type="dxa"/>
          </w:tcPr>
          <w:p w14:paraId="260836C4" w14:textId="77777777" w:rsidR="004B3B82" w:rsidRPr="00D42866" w:rsidRDefault="004B3B82" w:rsidP="00CD3B05">
            <w:pPr>
              <w:overflowPunct w:val="0"/>
              <w:autoSpaceDE w:val="0"/>
              <w:autoSpaceDN w:val="0"/>
              <w:adjustRightInd w:val="0"/>
              <w:rPr>
                <w:rFonts w:ascii="Garamond" w:hAnsi="Garamond" w:cs="Times New Roman CYR"/>
                <w:sz w:val="22"/>
                <w:szCs w:val="22"/>
              </w:rPr>
            </w:pPr>
            <w:r w:rsidRPr="00D42866">
              <w:rPr>
                <w:rFonts w:ascii="Garamond" w:hAnsi="Garamond" w:cs="Times New Roman CYR"/>
                <w:sz w:val="22"/>
                <w:szCs w:val="22"/>
              </w:rPr>
              <w:t>Класс точности для активной электроэнергии</w:t>
            </w:r>
          </w:p>
        </w:tc>
        <w:tc>
          <w:tcPr>
            <w:tcW w:w="2520" w:type="dxa"/>
          </w:tcPr>
          <w:p w14:paraId="2429C7FC" w14:textId="77777777" w:rsidR="004B3B82" w:rsidRPr="00D42866" w:rsidRDefault="004B3B82" w:rsidP="00CD3B05">
            <w:pPr>
              <w:overflowPunct w:val="0"/>
              <w:autoSpaceDE w:val="0"/>
              <w:autoSpaceDN w:val="0"/>
              <w:adjustRightInd w:val="0"/>
              <w:jc w:val="center"/>
              <w:rPr>
                <w:rFonts w:ascii="Garamond" w:hAnsi="Garamond" w:cs="Times New Roman CYR"/>
                <w:sz w:val="22"/>
                <w:szCs w:val="22"/>
              </w:rPr>
            </w:pPr>
            <w:r w:rsidRPr="00D42866">
              <w:rPr>
                <w:rFonts w:ascii="Garamond" w:hAnsi="Garamond" w:cs="Times New Roman CYR"/>
                <w:sz w:val="22"/>
                <w:szCs w:val="22"/>
              </w:rPr>
              <w:t>0,5</w:t>
            </w:r>
            <w:r w:rsidRPr="00D42866">
              <w:rPr>
                <w:rFonts w:ascii="Garamond" w:hAnsi="Garamond" w:cs="Times New Roman CYR"/>
                <w:sz w:val="22"/>
                <w:szCs w:val="22"/>
                <w:lang w:val="en-US"/>
              </w:rPr>
              <w:t>S</w:t>
            </w:r>
          </w:p>
        </w:tc>
        <w:tc>
          <w:tcPr>
            <w:tcW w:w="3261" w:type="dxa"/>
          </w:tcPr>
          <w:p w14:paraId="71E9CCA9" w14:textId="77777777" w:rsidR="004B3B82" w:rsidRPr="00D42866" w:rsidRDefault="004B3B82" w:rsidP="00CD3B05">
            <w:pPr>
              <w:overflowPunct w:val="0"/>
              <w:autoSpaceDE w:val="0"/>
              <w:autoSpaceDN w:val="0"/>
              <w:adjustRightInd w:val="0"/>
              <w:rPr>
                <w:rFonts w:ascii="Garamond" w:hAnsi="Garamond" w:cs="Times New Roman CYR"/>
                <w:sz w:val="22"/>
                <w:szCs w:val="22"/>
              </w:rPr>
            </w:pPr>
            <w:r w:rsidRPr="00D42866">
              <w:rPr>
                <w:rFonts w:ascii="Garamond" w:hAnsi="Garamond" w:cs="Times New Roman CYR"/>
                <w:sz w:val="22"/>
                <w:szCs w:val="22"/>
              </w:rPr>
              <w:t>Класс точности для реактивной электроэнергии</w:t>
            </w:r>
          </w:p>
        </w:tc>
        <w:tc>
          <w:tcPr>
            <w:tcW w:w="1559" w:type="dxa"/>
          </w:tcPr>
          <w:p w14:paraId="315D5F7D" w14:textId="77777777" w:rsidR="004B3B82" w:rsidRPr="00D42866" w:rsidRDefault="004B3B82" w:rsidP="00CD3B05">
            <w:pPr>
              <w:overflowPunct w:val="0"/>
              <w:autoSpaceDE w:val="0"/>
              <w:autoSpaceDN w:val="0"/>
              <w:adjustRightInd w:val="0"/>
              <w:jc w:val="center"/>
              <w:rPr>
                <w:rFonts w:ascii="Garamond" w:hAnsi="Garamond" w:cs="Times New Roman CYR"/>
                <w:sz w:val="22"/>
                <w:szCs w:val="22"/>
              </w:rPr>
            </w:pPr>
            <w:r w:rsidRPr="00D42866">
              <w:rPr>
                <w:rFonts w:ascii="Garamond" w:hAnsi="Garamond" w:cs="Times New Roman CYR"/>
                <w:sz w:val="22"/>
                <w:szCs w:val="22"/>
              </w:rPr>
              <w:t>1.0</w:t>
            </w:r>
          </w:p>
        </w:tc>
      </w:tr>
      <w:tr w:rsidR="004B3B82" w:rsidRPr="00D42866" w14:paraId="70AEDCFA" w14:textId="77777777" w:rsidTr="00CD3B05">
        <w:tc>
          <w:tcPr>
            <w:tcW w:w="2628" w:type="dxa"/>
          </w:tcPr>
          <w:p w14:paraId="36993283" w14:textId="77777777" w:rsidR="004B3B82" w:rsidRPr="00D42866" w:rsidRDefault="004B3B82" w:rsidP="00CD3B05">
            <w:pPr>
              <w:overflowPunct w:val="0"/>
              <w:autoSpaceDE w:val="0"/>
              <w:autoSpaceDN w:val="0"/>
              <w:adjustRightInd w:val="0"/>
              <w:rPr>
                <w:rFonts w:ascii="Garamond" w:hAnsi="Garamond" w:cs="Times New Roman CYR"/>
                <w:sz w:val="22"/>
                <w:szCs w:val="22"/>
              </w:rPr>
            </w:pPr>
            <w:r w:rsidRPr="00D42866">
              <w:rPr>
                <w:rFonts w:ascii="Garamond" w:hAnsi="Garamond" w:cs="Times New Roman CYR"/>
                <w:sz w:val="22"/>
                <w:szCs w:val="22"/>
              </w:rPr>
              <w:t>Схема включения</w:t>
            </w:r>
          </w:p>
        </w:tc>
        <w:tc>
          <w:tcPr>
            <w:tcW w:w="2520" w:type="dxa"/>
          </w:tcPr>
          <w:p w14:paraId="2E3395FF" w14:textId="77777777" w:rsidR="004B3B82" w:rsidRPr="00D42866" w:rsidRDefault="004B3B82" w:rsidP="00CD3B05">
            <w:pPr>
              <w:widowControl w:val="0"/>
              <w:overflowPunct w:val="0"/>
              <w:autoSpaceDE w:val="0"/>
              <w:autoSpaceDN w:val="0"/>
              <w:adjustRightInd w:val="0"/>
              <w:ind w:left="360" w:hanging="360"/>
              <w:jc w:val="center"/>
              <w:rPr>
                <w:rFonts w:ascii="Garamond" w:hAnsi="Garamond" w:cs="Times New Roman CYR"/>
                <w:sz w:val="22"/>
                <w:szCs w:val="22"/>
                <w:u w:val="single"/>
              </w:rPr>
            </w:pPr>
            <w:r w:rsidRPr="00D42866">
              <w:rPr>
                <w:rFonts w:ascii="Garamond" w:hAnsi="Garamond" w:cs="Times New Roman CYR"/>
                <w:sz w:val="22"/>
                <w:szCs w:val="22"/>
              </w:rPr>
              <w:t>Трехэлементная **</w:t>
            </w:r>
          </w:p>
        </w:tc>
        <w:tc>
          <w:tcPr>
            <w:tcW w:w="3261" w:type="dxa"/>
          </w:tcPr>
          <w:p w14:paraId="0C0E1947" w14:textId="77777777" w:rsidR="004B3B82" w:rsidRPr="00D42866" w:rsidRDefault="004B3B82" w:rsidP="00CD3B05">
            <w:pPr>
              <w:overflowPunct w:val="0"/>
              <w:autoSpaceDE w:val="0"/>
              <w:autoSpaceDN w:val="0"/>
              <w:adjustRightInd w:val="0"/>
              <w:rPr>
                <w:rFonts w:ascii="Garamond" w:hAnsi="Garamond" w:cs="Times New Roman CYR"/>
                <w:sz w:val="22"/>
                <w:szCs w:val="22"/>
              </w:rPr>
            </w:pPr>
            <w:r w:rsidRPr="00D42866">
              <w:rPr>
                <w:rFonts w:ascii="Garamond" w:hAnsi="Garamond"/>
                <w:sz w:val="22"/>
                <w:szCs w:val="22"/>
              </w:rPr>
              <w:t>Номер в Государственном реестре средств измерений РФ (Госреестр №)</w:t>
            </w:r>
          </w:p>
        </w:tc>
        <w:tc>
          <w:tcPr>
            <w:tcW w:w="1559" w:type="dxa"/>
          </w:tcPr>
          <w:p w14:paraId="13EC70C4" w14:textId="77777777" w:rsidR="004B3B82" w:rsidRPr="00D42866" w:rsidRDefault="004B3B82" w:rsidP="00CD3B05">
            <w:pPr>
              <w:overflowPunct w:val="0"/>
              <w:autoSpaceDE w:val="0"/>
              <w:autoSpaceDN w:val="0"/>
              <w:adjustRightInd w:val="0"/>
              <w:jc w:val="center"/>
              <w:rPr>
                <w:rFonts w:ascii="Garamond" w:hAnsi="Garamond" w:cs="Times New Roman CYR"/>
                <w:sz w:val="22"/>
                <w:szCs w:val="22"/>
              </w:rPr>
            </w:pPr>
            <w:r w:rsidRPr="00D42866">
              <w:rPr>
                <w:rFonts w:ascii="Garamond" w:hAnsi="Garamond" w:cs="Times New Roman CYR"/>
                <w:sz w:val="22"/>
                <w:szCs w:val="22"/>
              </w:rPr>
              <w:t>36697-08</w:t>
            </w:r>
          </w:p>
        </w:tc>
      </w:tr>
      <w:tr w:rsidR="004B3B82" w:rsidRPr="00D42866" w14:paraId="3C2A6E58" w14:textId="77777777" w:rsidTr="00CD3B05">
        <w:tc>
          <w:tcPr>
            <w:tcW w:w="2628" w:type="dxa"/>
          </w:tcPr>
          <w:p w14:paraId="7F60517C" w14:textId="77777777" w:rsidR="004B3B82" w:rsidRPr="00D42866" w:rsidRDefault="004B3B82" w:rsidP="00CD3B05">
            <w:pPr>
              <w:overflowPunct w:val="0"/>
              <w:autoSpaceDE w:val="0"/>
              <w:autoSpaceDN w:val="0"/>
              <w:adjustRightInd w:val="0"/>
              <w:rPr>
                <w:rFonts w:ascii="Garamond" w:hAnsi="Garamond" w:cs="Times New Roman CYR"/>
                <w:sz w:val="22"/>
                <w:szCs w:val="22"/>
              </w:rPr>
            </w:pPr>
            <w:r w:rsidRPr="00D42866">
              <w:rPr>
                <w:rFonts w:ascii="Garamond" w:hAnsi="Garamond"/>
                <w:sz w:val="22"/>
                <w:szCs w:val="22"/>
              </w:rPr>
              <w:t>Дата поверки</w:t>
            </w:r>
          </w:p>
        </w:tc>
        <w:tc>
          <w:tcPr>
            <w:tcW w:w="2520" w:type="dxa"/>
          </w:tcPr>
          <w:p w14:paraId="2D230D31" w14:textId="77777777" w:rsidR="004B3B82" w:rsidRPr="00D42866" w:rsidRDefault="004B3B82" w:rsidP="00CD3B05">
            <w:pPr>
              <w:overflowPunct w:val="0"/>
              <w:autoSpaceDE w:val="0"/>
              <w:autoSpaceDN w:val="0"/>
              <w:adjustRightInd w:val="0"/>
              <w:jc w:val="center"/>
              <w:rPr>
                <w:rFonts w:ascii="Garamond" w:hAnsi="Garamond" w:cs="Times New Roman CYR"/>
                <w:sz w:val="22"/>
                <w:szCs w:val="22"/>
              </w:rPr>
            </w:pPr>
            <w:r w:rsidRPr="00D42866">
              <w:rPr>
                <w:rFonts w:ascii="Garamond" w:hAnsi="Garamond"/>
                <w:sz w:val="22"/>
                <w:szCs w:val="22"/>
              </w:rPr>
              <w:t>01.04.2019</w:t>
            </w:r>
          </w:p>
        </w:tc>
        <w:tc>
          <w:tcPr>
            <w:tcW w:w="3261" w:type="dxa"/>
          </w:tcPr>
          <w:p w14:paraId="34BDD01E" w14:textId="77777777" w:rsidR="004B3B82" w:rsidRPr="00D42866" w:rsidRDefault="004B3B82" w:rsidP="00CD3B05">
            <w:pPr>
              <w:overflowPunct w:val="0"/>
              <w:autoSpaceDE w:val="0"/>
              <w:autoSpaceDN w:val="0"/>
              <w:adjustRightInd w:val="0"/>
              <w:rPr>
                <w:rFonts w:ascii="Garamond" w:hAnsi="Garamond" w:cs="Times New Roman CYR"/>
                <w:sz w:val="22"/>
                <w:szCs w:val="22"/>
              </w:rPr>
            </w:pPr>
            <w:r w:rsidRPr="00D42866">
              <w:rPr>
                <w:rFonts w:ascii="Garamond" w:hAnsi="Garamond" w:cs="Times New Roman CYR"/>
                <w:sz w:val="22"/>
                <w:szCs w:val="22"/>
              </w:rPr>
              <w:t>Межповерочный интервал, лет</w:t>
            </w:r>
          </w:p>
        </w:tc>
        <w:tc>
          <w:tcPr>
            <w:tcW w:w="1559" w:type="dxa"/>
          </w:tcPr>
          <w:p w14:paraId="70E5D507" w14:textId="77777777" w:rsidR="004B3B82" w:rsidRPr="00D42866" w:rsidRDefault="004B3B82" w:rsidP="00CD3B05">
            <w:pPr>
              <w:overflowPunct w:val="0"/>
              <w:autoSpaceDE w:val="0"/>
              <w:autoSpaceDN w:val="0"/>
              <w:adjustRightInd w:val="0"/>
              <w:jc w:val="center"/>
              <w:rPr>
                <w:rFonts w:ascii="Garamond" w:hAnsi="Garamond" w:cs="Times New Roman CYR"/>
                <w:sz w:val="22"/>
                <w:szCs w:val="22"/>
              </w:rPr>
            </w:pPr>
            <w:r w:rsidRPr="00D42866">
              <w:rPr>
                <w:rFonts w:ascii="Garamond" w:hAnsi="Garamond" w:cs="Times New Roman CYR"/>
                <w:sz w:val="22"/>
                <w:szCs w:val="22"/>
              </w:rPr>
              <w:t>12</w:t>
            </w:r>
          </w:p>
        </w:tc>
      </w:tr>
    </w:tbl>
    <w:p w14:paraId="42D80919" w14:textId="77777777" w:rsidR="004B3B82" w:rsidRPr="00D42866" w:rsidRDefault="004B3B82" w:rsidP="00101F7C">
      <w:pPr>
        <w:overflowPunct w:val="0"/>
        <w:autoSpaceDE w:val="0"/>
        <w:autoSpaceDN w:val="0"/>
        <w:adjustRightInd w:val="0"/>
        <w:ind w:firstLine="708"/>
        <w:rPr>
          <w:rFonts w:ascii="Garamond" w:hAnsi="Garamond" w:cs="Times New Roman CYR"/>
          <w:sz w:val="22"/>
          <w:szCs w:val="22"/>
        </w:rPr>
      </w:pPr>
    </w:p>
    <w:p w14:paraId="74E1E9D5" w14:textId="77777777" w:rsidR="004B3B82" w:rsidRPr="00D42866" w:rsidRDefault="004B3B82" w:rsidP="00101F7C">
      <w:pPr>
        <w:overflowPunct w:val="0"/>
        <w:autoSpaceDE w:val="0"/>
        <w:autoSpaceDN w:val="0"/>
        <w:adjustRightInd w:val="0"/>
        <w:rPr>
          <w:rFonts w:ascii="Garamond" w:hAnsi="Garamond" w:cs="Times New Roman CYR"/>
        </w:rPr>
      </w:pPr>
      <w:r w:rsidRPr="00D42866">
        <w:rPr>
          <w:rFonts w:ascii="Garamond" w:hAnsi="Garamond" w:cs="Times New Roman CYR"/>
        </w:rPr>
        <w:t xml:space="preserve">* Не применимо для </w:t>
      </w:r>
      <w:r w:rsidRPr="00265913">
        <w:rPr>
          <w:rFonts w:ascii="Garamond" w:hAnsi="Garamond" w:cs="Times New Roman CYR"/>
          <w:highlight w:val="yellow"/>
        </w:rPr>
        <w:t>счетчиков</w:t>
      </w:r>
      <w:r w:rsidRPr="00D42866">
        <w:rPr>
          <w:rFonts w:ascii="Garamond" w:hAnsi="Garamond" w:cs="Times New Roman CYR"/>
        </w:rPr>
        <w:t>, принимающих сигналы стандарта МЭК 61850.</w:t>
      </w:r>
    </w:p>
    <w:p w14:paraId="19D483D9" w14:textId="77777777" w:rsidR="004B3B82" w:rsidRPr="00D42866" w:rsidRDefault="004B3B82" w:rsidP="00101F7C">
      <w:pPr>
        <w:widowControl w:val="0"/>
        <w:overflowPunct w:val="0"/>
        <w:autoSpaceDE w:val="0"/>
        <w:autoSpaceDN w:val="0"/>
        <w:adjustRightInd w:val="0"/>
        <w:rPr>
          <w:rFonts w:ascii="Garamond" w:hAnsi="Garamond" w:cs="Times New Roman CYR"/>
        </w:rPr>
      </w:pPr>
      <w:r w:rsidRPr="00D42866">
        <w:rPr>
          <w:rFonts w:ascii="Garamond" w:hAnsi="Garamond" w:cs="Times New Roman CYR"/>
        </w:rPr>
        <w:t>** Средний элемент включен на сумму токов фазы А и С.</w:t>
      </w:r>
    </w:p>
    <w:p w14:paraId="08D2CBDD" w14:textId="77777777" w:rsidR="004B3B82" w:rsidRPr="00D42866" w:rsidRDefault="004B3B82" w:rsidP="00101F7C">
      <w:pPr>
        <w:widowControl w:val="0"/>
        <w:overflowPunct w:val="0"/>
        <w:autoSpaceDE w:val="0"/>
        <w:autoSpaceDN w:val="0"/>
        <w:adjustRightInd w:val="0"/>
        <w:rPr>
          <w:rFonts w:ascii="Garamond" w:hAnsi="Garamond" w:cs="Times New Roman CYR"/>
        </w:rPr>
      </w:pPr>
    </w:p>
    <w:p w14:paraId="19E3A153" w14:textId="77777777" w:rsidR="004B3B82" w:rsidRPr="00D42866" w:rsidRDefault="004B3B82" w:rsidP="00101F7C">
      <w:pPr>
        <w:widowControl w:val="0"/>
        <w:overflowPunct w:val="0"/>
        <w:autoSpaceDE w:val="0"/>
        <w:autoSpaceDN w:val="0"/>
        <w:adjustRightInd w:val="0"/>
        <w:rPr>
          <w:rFonts w:ascii="Garamond" w:hAnsi="Garamond" w:cs="Times New Roman CYR"/>
          <w:sz w:val="22"/>
          <w:szCs w:val="22"/>
        </w:rPr>
      </w:pPr>
      <w:r w:rsidRPr="00D42866">
        <w:rPr>
          <w:rFonts w:ascii="Garamond" w:hAnsi="Garamond" w:cs="Times New Roman CYR"/>
          <w:sz w:val="22"/>
          <w:szCs w:val="22"/>
        </w:rPr>
        <w:t>Другие данные _________________________________________________________________________</w:t>
      </w:r>
    </w:p>
    <w:p w14:paraId="4CB09DEE" w14:textId="77777777" w:rsidR="004B3B82" w:rsidRPr="00D42866" w:rsidRDefault="004B3B82" w:rsidP="00101F7C">
      <w:pPr>
        <w:overflowPunct w:val="0"/>
        <w:autoSpaceDE w:val="0"/>
        <w:autoSpaceDN w:val="0"/>
        <w:adjustRightInd w:val="0"/>
        <w:rPr>
          <w:rFonts w:ascii="Garamond" w:hAnsi="Garamond" w:cs="Times New Roman CYR"/>
          <w:b/>
          <w:sz w:val="22"/>
          <w:szCs w:val="22"/>
        </w:rPr>
      </w:pPr>
    </w:p>
    <w:p w14:paraId="2EA796D1" w14:textId="77777777" w:rsidR="004B3B82" w:rsidRPr="00D42866" w:rsidRDefault="004B3B82" w:rsidP="00101F7C">
      <w:pPr>
        <w:overflowPunct w:val="0"/>
        <w:autoSpaceDE w:val="0"/>
        <w:autoSpaceDN w:val="0"/>
        <w:adjustRightInd w:val="0"/>
        <w:rPr>
          <w:rFonts w:ascii="Garamond" w:hAnsi="Garamond" w:cs="Times New Roman CYR"/>
          <w:b/>
          <w:sz w:val="22"/>
          <w:szCs w:val="22"/>
        </w:rPr>
      </w:pPr>
      <w:r w:rsidRPr="00D42866">
        <w:rPr>
          <w:rFonts w:ascii="Garamond" w:hAnsi="Garamond" w:cs="Times New Roman CYR"/>
          <w:b/>
          <w:sz w:val="22"/>
          <w:szCs w:val="22"/>
        </w:rPr>
        <w:t>4.2. Трансформаторы тока</w:t>
      </w:r>
    </w:p>
    <w:p w14:paraId="6E51A438" w14:textId="77777777" w:rsidR="004B3B82" w:rsidRPr="00D42866" w:rsidRDefault="004B3B82" w:rsidP="00101F7C">
      <w:pPr>
        <w:autoSpaceDE w:val="0"/>
        <w:autoSpaceDN w:val="0"/>
        <w:adjustRightInd w:val="0"/>
        <w:ind w:firstLine="720"/>
        <w:jc w:val="both"/>
        <w:rPr>
          <w:rFonts w:ascii="Garamond" w:hAnsi="Garamond"/>
          <w:sz w:val="22"/>
          <w:szCs w:val="22"/>
        </w:rPr>
      </w:pPr>
      <w:r w:rsidRPr="00D42866">
        <w:rPr>
          <w:rFonts w:ascii="Garamond" w:hAnsi="Garamond"/>
          <w:sz w:val="22"/>
          <w:szCs w:val="22"/>
        </w:rPr>
        <w:t>Место установки ___________________________</w:t>
      </w:r>
    </w:p>
    <w:p w14:paraId="4D15DF72" w14:textId="77777777" w:rsidR="004B3B82" w:rsidRPr="00D42866" w:rsidRDefault="004B3B82" w:rsidP="00101F7C">
      <w:pPr>
        <w:autoSpaceDE w:val="0"/>
        <w:autoSpaceDN w:val="0"/>
        <w:adjustRightInd w:val="0"/>
        <w:ind w:firstLine="720"/>
        <w:jc w:val="both"/>
        <w:rPr>
          <w:rFonts w:ascii="Garamond" w:hAnsi="Garamond"/>
          <w:sz w:val="22"/>
          <w:szCs w:val="22"/>
        </w:rPr>
      </w:pPr>
    </w:p>
    <w:p w14:paraId="5B29EFDB" w14:textId="77777777" w:rsidR="004B3B82" w:rsidRPr="00D42866" w:rsidRDefault="004B3B82" w:rsidP="00101F7C">
      <w:pPr>
        <w:overflowPunct w:val="0"/>
        <w:autoSpaceDE w:val="0"/>
        <w:autoSpaceDN w:val="0"/>
        <w:adjustRightInd w:val="0"/>
        <w:rPr>
          <w:rFonts w:ascii="Garamond" w:hAnsi="Garamond" w:cs="Times New Roman CYR"/>
          <w:b/>
          <w:sz w:val="22"/>
          <w:szCs w:val="22"/>
        </w:rPr>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26"/>
        <w:gridCol w:w="2126"/>
        <w:gridCol w:w="1843"/>
        <w:gridCol w:w="1559"/>
        <w:gridCol w:w="2410"/>
        <w:gridCol w:w="850"/>
      </w:tblGrid>
      <w:tr w:rsidR="004B3B82" w:rsidRPr="00D42866" w14:paraId="1C4F8269" w14:textId="77777777" w:rsidTr="00CD3B05">
        <w:tc>
          <w:tcPr>
            <w:tcW w:w="10314" w:type="dxa"/>
            <w:gridSpan w:val="6"/>
          </w:tcPr>
          <w:p w14:paraId="72E37D6C" w14:textId="77777777" w:rsidR="004B3B82" w:rsidRPr="00D42866" w:rsidRDefault="004B3B82" w:rsidP="00CD3B05">
            <w:pPr>
              <w:overflowPunct w:val="0"/>
              <w:autoSpaceDE w:val="0"/>
              <w:autoSpaceDN w:val="0"/>
              <w:adjustRightInd w:val="0"/>
              <w:ind w:right="21"/>
              <w:jc w:val="center"/>
              <w:rPr>
                <w:rFonts w:ascii="Garamond" w:hAnsi="Garamond" w:cs="Times New Roman CYR"/>
                <w:sz w:val="22"/>
                <w:szCs w:val="22"/>
              </w:rPr>
            </w:pPr>
            <w:r w:rsidRPr="00D42866">
              <w:rPr>
                <w:rFonts w:ascii="Garamond" w:hAnsi="Garamond" w:cs="Times New Roman CYR"/>
                <w:sz w:val="22"/>
                <w:szCs w:val="22"/>
              </w:rPr>
              <w:t>Фаза А</w:t>
            </w:r>
          </w:p>
        </w:tc>
      </w:tr>
      <w:tr w:rsidR="004B3B82" w:rsidRPr="00D42866" w14:paraId="2B99474D" w14:textId="77777777" w:rsidTr="00CD3B05">
        <w:tc>
          <w:tcPr>
            <w:tcW w:w="1526" w:type="dxa"/>
          </w:tcPr>
          <w:p w14:paraId="314AB875" w14:textId="77777777" w:rsidR="004B3B82" w:rsidRPr="00D42866" w:rsidRDefault="004B3B82" w:rsidP="00CD3B05">
            <w:pPr>
              <w:overflowPunct w:val="0"/>
              <w:autoSpaceDE w:val="0"/>
              <w:autoSpaceDN w:val="0"/>
              <w:adjustRightInd w:val="0"/>
              <w:ind w:right="21"/>
              <w:rPr>
                <w:rFonts w:ascii="Garamond" w:hAnsi="Garamond" w:cs="Times New Roman CYR"/>
                <w:sz w:val="22"/>
                <w:szCs w:val="22"/>
              </w:rPr>
            </w:pPr>
            <w:r w:rsidRPr="00D42866">
              <w:rPr>
                <w:rFonts w:ascii="Garamond" w:hAnsi="Garamond" w:cs="Times New Roman CYR"/>
                <w:sz w:val="22"/>
                <w:szCs w:val="22"/>
              </w:rPr>
              <w:t>Тип</w:t>
            </w:r>
          </w:p>
        </w:tc>
        <w:tc>
          <w:tcPr>
            <w:tcW w:w="2126" w:type="dxa"/>
          </w:tcPr>
          <w:p w14:paraId="1A9330D4" w14:textId="77777777" w:rsidR="004B3B82" w:rsidRPr="00D42866" w:rsidRDefault="004B3B82" w:rsidP="00CD3B05">
            <w:pPr>
              <w:overflowPunct w:val="0"/>
              <w:autoSpaceDE w:val="0"/>
              <w:autoSpaceDN w:val="0"/>
              <w:adjustRightInd w:val="0"/>
              <w:ind w:right="21"/>
              <w:rPr>
                <w:rFonts w:ascii="Garamond" w:hAnsi="Garamond" w:cs="Times New Roman CYR"/>
                <w:sz w:val="22"/>
                <w:szCs w:val="22"/>
              </w:rPr>
            </w:pPr>
            <w:r w:rsidRPr="00D42866">
              <w:rPr>
                <w:rFonts w:ascii="Garamond" w:hAnsi="Garamond" w:cs="Times New Roman CYR"/>
                <w:sz w:val="22"/>
                <w:szCs w:val="22"/>
              </w:rPr>
              <w:t>ТПОЛ-10</w:t>
            </w:r>
          </w:p>
        </w:tc>
        <w:tc>
          <w:tcPr>
            <w:tcW w:w="1843" w:type="dxa"/>
          </w:tcPr>
          <w:p w14:paraId="1BC50411" w14:textId="77777777" w:rsidR="004B3B82" w:rsidRPr="00D42866" w:rsidRDefault="004B3B82" w:rsidP="00CD3B05">
            <w:pPr>
              <w:overflowPunct w:val="0"/>
              <w:autoSpaceDE w:val="0"/>
              <w:autoSpaceDN w:val="0"/>
              <w:adjustRightInd w:val="0"/>
              <w:ind w:right="21"/>
              <w:rPr>
                <w:rFonts w:ascii="Garamond" w:hAnsi="Garamond" w:cs="Times New Roman CYR"/>
                <w:sz w:val="22"/>
                <w:szCs w:val="22"/>
              </w:rPr>
            </w:pPr>
            <w:r w:rsidRPr="00D42866">
              <w:rPr>
                <w:rFonts w:ascii="Garamond" w:hAnsi="Garamond" w:cs="Times New Roman CYR"/>
                <w:sz w:val="22"/>
                <w:szCs w:val="22"/>
              </w:rPr>
              <w:t>Зав. №</w:t>
            </w:r>
          </w:p>
        </w:tc>
        <w:tc>
          <w:tcPr>
            <w:tcW w:w="1559" w:type="dxa"/>
          </w:tcPr>
          <w:p w14:paraId="7039CBDA" w14:textId="77777777" w:rsidR="004B3B82" w:rsidRPr="00D42866" w:rsidRDefault="004B3B82" w:rsidP="00CD3B05">
            <w:pPr>
              <w:overflowPunct w:val="0"/>
              <w:autoSpaceDE w:val="0"/>
              <w:autoSpaceDN w:val="0"/>
              <w:adjustRightInd w:val="0"/>
              <w:ind w:right="21"/>
              <w:rPr>
                <w:rFonts w:ascii="Garamond" w:hAnsi="Garamond" w:cs="Times New Roman CYR"/>
                <w:sz w:val="22"/>
                <w:szCs w:val="22"/>
              </w:rPr>
            </w:pPr>
            <w:r w:rsidRPr="00D42866">
              <w:rPr>
                <w:rFonts w:ascii="Garamond" w:hAnsi="Garamond" w:cs="Times New Roman CYR"/>
                <w:sz w:val="22"/>
                <w:szCs w:val="22"/>
              </w:rPr>
              <w:t>1234</w:t>
            </w:r>
          </w:p>
        </w:tc>
        <w:tc>
          <w:tcPr>
            <w:tcW w:w="2410" w:type="dxa"/>
          </w:tcPr>
          <w:p w14:paraId="744E5591" w14:textId="77777777" w:rsidR="004B3B82" w:rsidRPr="00D42866" w:rsidRDefault="004B3B82" w:rsidP="00CD3B05">
            <w:pPr>
              <w:overflowPunct w:val="0"/>
              <w:autoSpaceDE w:val="0"/>
              <w:autoSpaceDN w:val="0"/>
              <w:adjustRightInd w:val="0"/>
              <w:ind w:right="21"/>
              <w:rPr>
                <w:rFonts w:ascii="Garamond" w:hAnsi="Garamond" w:cs="Times New Roman CYR"/>
                <w:sz w:val="22"/>
                <w:szCs w:val="22"/>
              </w:rPr>
            </w:pPr>
            <w:r w:rsidRPr="00D42866">
              <w:rPr>
                <w:rFonts w:ascii="Garamond" w:hAnsi="Garamond" w:cs="Times New Roman CYR"/>
                <w:sz w:val="22"/>
                <w:szCs w:val="22"/>
              </w:rPr>
              <w:t>Класс точности</w:t>
            </w:r>
          </w:p>
        </w:tc>
        <w:tc>
          <w:tcPr>
            <w:tcW w:w="850" w:type="dxa"/>
          </w:tcPr>
          <w:p w14:paraId="7C3580C0" w14:textId="77777777" w:rsidR="004B3B82" w:rsidRPr="00D42866" w:rsidRDefault="004B3B82" w:rsidP="00CD3B05">
            <w:pPr>
              <w:overflowPunct w:val="0"/>
              <w:autoSpaceDE w:val="0"/>
              <w:autoSpaceDN w:val="0"/>
              <w:adjustRightInd w:val="0"/>
              <w:ind w:right="21"/>
              <w:rPr>
                <w:rFonts w:ascii="Garamond" w:hAnsi="Garamond" w:cs="Times New Roman CYR"/>
                <w:sz w:val="22"/>
                <w:szCs w:val="22"/>
              </w:rPr>
            </w:pPr>
            <w:r w:rsidRPr="00D42866">
              <w:rPr>
                <w:rFonts w:ascii="Garamond" w:hAnsi="Garamond" w:cs="Times New Roman CYR"/>
                <w:sz w:val="22"/>
                <w:szCs w:val="22"/>
              </w:rPr>
              <w:t>0.5</w:t>
            </w:r>
          </w:p>
        </w:tc>
      </w:tr>
      <w:tr w:rsidR="004B3B82" w:rsidRPr="00D42866" w14:paraId="0D9A2F24" w14:textId="77777777" w:rsidTr="00CD3B05">
        <w:tc>
          <w:tcPr>
            <w:tcW w:w="1526" w:type="dxa"/>
          </w:tcPr>
          <w:p w14:paraId="32513110" w14:textId="77777777" w:rsidR="004B3B82" w:rsidRPr="00D42866" w:rsidRDefault="004B3B82" w:rsidP="00CD3B05">
            <w:pPr>
              <w:overflowPunct w:val="0"/>
              <w:autoSpaceDE w:val="0"/>
              <w:autoSpaceDN w:val="0"/>
              <w:adjustRightInd w:val="0"/>
              <w:ind w:right="21"/>
              <w:rPr>
                <w:rFonts w:ascii="Garamond" w:hAnsi="Garamond" w:cs="Times New Roman CYR"/>
                <w:sz w:val="22"/>
                <w:szCs w:val="22"/>
              </w:rPr>
            </w:pPr>
            <w:r w:rsidRPr="00D42866">
              <w:rPr>
                <w:rFonts w:ascii="Garamond" w:hAnsi="Garamond" w:cs="Times New Roman CYR"/>
                <w:sz w:val="22"/>
                <w:szCs w:val="22"/>
              </w:rPr>
              <w:t>Коэф. трансформ.</w:t>
            </w:r>
          </w:p>
        </w:tc>
        <w:tc>
          <w:tcPr>
            <w:tcW w:w="2126" w:type="dxa"/>
          </w:tcPr>
          <w:p w14:paraId="6FD3EF5A" w14:textId="77777777" w:rsidR="004B3B82" w:rsidRPr="00D42866" w:rsidRDefault="004B3B82" w:rsidP="00CD3B05">
            <w:pPr>
              <w:overflowPunct w:val="0"/>
              <w:autoSpaceDE w:val="0"/>
              <w:autoSpaceDN w:val="0"/>
              <w:adjustRightInd w:val="0"/>
              <w:ind w:right="21"/>
              <w:rPr>
                <w:rFonts w:ascii="Garamond" w:hAnsi="Garamond" w:cs="Times New Roman CYR"/>
                <w:sz w:val="22"/>
                <w:szCs w:val="22"/>
              </w:rPr>
            </w:pPr>
            <w:r w:rsidRPr="00D42866">
              <w:rPr>
                <w:rFonts w:ascii="Garamond" w:hAnsi="Garamond" w:cs="Times New Roman CYR"/>
                <w:sz w:val="22"/>
                <w:szCs w:val="22"/>
              </w:rPr>
              <w:t>200/5</w:t>
            </w:r>
          </w:p>
        </w:tc>
        <w:tc>
          <w:tcPr>
            <w:tcW w:w="1843" w:type="dxa"/>
          </w:tcPr>
          <w:p w14:paraId="309246E8" w14:textId="77777777" w:rsidR="004B3B82" w:rsidRPr="00D42866" w:rsidRDefault="004B3B82" w:rsidP="00CD3B05">
            <w:pPr>
              <w:overflowPunct w:val="0"/>
              <w:autoSpaceDE w:val="0"/>
              <w:autoSpaceDN w:val="0"/>
              <w:adjustRightInd w:val="0"/>
              <w:ind w:right="21"/>
              <w:rPr>
                <w:rFonts w:ascii="Garamond" w:hAnsi="Garamond" w:cs="Times New Roman CYR"/>
                <w:sz w:val="22"/>
                <w:szCs w:val="22"/>
              </w:rPr>
            </w:pPr>
            <w:r w:rsidRPr="00D42866">
              <w:rPr>
                <w:rFonts w:ascii="Garamond" w:hAnsi="Garamond" w:cs="Times New Roman CYR"/>
                <w:sz w:val="22"/>
                <w:szCs w:val="22"/>
              </w:rPr>
              <w:t>Номинальная нагрузка, ВА*</w:t>
            </w:r>
          </w:p>
        </w:tc>
        <w:tc>
          <w:tcPr>
            <w:tcW w:w="1559" w:type="dxa"/>
          </w:tcPr>
          <w:p w14:paraId="76B70BD1" w14:textId="77777777" w:rsidR="004B3B82" w:rsidRPr="00D42866" w:rsidRDefault="004B3B82" w:rsidP="00CD3B05">
            <w:pPr>
              <w:overflowPunct w:val="0"/>
              <w:autoSpaceDE w:val="0"/>
              <w:autoSpaceDN w:val="0"/>
              <w:adjustRightInd w:val="0"/>
              <w:ind w:right="21"/>
              <w:rPr>
                <w:rFonts w:ascii="Garamond" w:hAnsi="Garamond" w:cs="Times New Roman CYR"/>
                <w:sz w:val="22"/>
                <w:szCs w:val="22"/>
              </w:rPr>
            </w:pPr>
            <w:r w:rsidRPr="00D42866">
              <w:rPr>
                <w:rFonts w:ascii="Garamond" w:hAnsi="Garamond" w:cs="Times New Roman CYR"/>
                <w:sz w:val="22"/>
                <w:szCs w:val="22"/>
              </w:rPr>
              <w:t>10</w:t>
            </w:r>
          </w:p>
        </w:tc>
        <w:tc>
          <w:tcPr>
            <w:tcW w:w="2410" w:type="dxa"/>
          </w:tcPr>
          <w:p w14:paraId="674D5373" w14:textId="77777777" w:rsidR="004B3B82" w:rsidRPr="00D42866" w:rsidRDefault="004B3B82" w:rsidP="00CD3B05">
            <w:pPr>
              <w:overflowPunct w:val="0"/>
              <w:autoSpaceDE w:val="0"/>
              <w:autoSpaceDN w:val="0"/>
              <w:adjustRightInd w:val="0"/>
              <w:ind w:right="21"/>
              <w:rPr>
                <w:rFonts w:ascii="Garamond" w:hAnsi="Garamond" w:cs="Times New Roman CYR"/>
                <w:sz w:val="22"/>
                <w:szCs w:val="22"/>
              </w:rPr>
            </w:pPr>
            <w:r w:rsidRPr="00D42866">
              <w:rPr>
                <w:rFonts w:ascii="Garamond" w:hAnsi="Garamond" w:cs="Times New Roman CYR"/>
                <w:sz w:val="22"/>
                <w:szCs w:val="22"/>
              </w:rPr>
              <w:t>Факт. нагрузка, ВА*</w:t>
            </w:r>
          </w:p>
        </w:tc>
        <w:tc>
          <w:tcPr>
            <w:tcW w:w="850" w:type="dxa"/>
          </w:tcPr>
          <w:p w14:paraId="1C874CCE" w14:textId="77777777" w:rsidR="004B3B82" w:rsidRPr="00D42866" w:rsidRDefault="004B3B82" w:rsidP="00CD3B05">
            <w:pPr>
              <w:overflowPunct w:val="0"/>
              <w:autoSpaceDE w:val="0"/>
              <w:autoSpaceDN w:val="0"/>
              <w:adjustRightInd w:val="0"/>
              <w:ind w:right="21"/>
              <w:rPr>
                <w:rFonts w:ascii="Garamond" w:hAnsi="Garamond" w:cs="Times New Roman CYR"/>
                <w:sz w:val="22"/>
                <w:szCs w:val="22"/>
              </w:rPr>
            </w:pPr>
            <w:r w:rsidRPr="00D42866">
              <w:rPr>
                <w:rFonts w:ascii="Garamond" w:hAnsi="Garamond" w:cs="Times New Roman CYR"/>
                <w:sz w:val="22"/>
                <w:szCs w:val="22"/>
              </w:rPr>
              <w:t>6.2</w:t>
            </w:r>
          </w:p>
        </w:tc>
      </w:tr>
      <w:tr w:rsidR="004B3B82" w:rsidRPr="00D42866" w14:paraId="3D8FF7FE" w14:textId="77777777" w:rsidTr="00CD3B05">
        <w:tc>
          <w:tcPr>
            <w:tcW w:w="1526" w:type="dxa"/>
          </w:tcPr>
          <w:p w14:paraId="6F0F234F" w14:textId="77777777" w:rsidR="004B3B82" w:rsidRPr="00D42866" w:rsidRDefault="004B3B82" w:rsidP="00CD3B05">
            <w:pPr>
              <w:overflowPunct w:val="0"/>
              <w:autoSpaceDE w:val="0"/>
              <w:autoSpaceDN w:val="0"/>
              <w:adjustRightInd w:val="0"/>
              <w:ind w:right="21"/>
              <w:rPr>
                <w:rFonts w:ascii="Garamond" w:hAnsi="Garamond" w:cs="Times New Roman CYR"/>
                <w:sz w:val="22"/>
                <w:szCs w:val="22"/>
              </w:rPr>
            </w:pPr>
            <w:r w:rsidRPr="00D42866">
              <w:rPr>
                <w:rFonts w:ascii="Garamond" w:hAnsi="Garamond" w:cs="Times New Roman CYR"/>
                <w:sz w:val="22"/>
                <w:szCs w:val="22"/>
              </w:rPr>
              <w:t>Госреестр №</w:t>
            </w:r>
          </w:p>
        </w:tc>
        <w:tc>
          <w:tcPr>
            <w:tcW w:w="2126" w:type="dxa"/>
          </w:tcPr>
          <w:p w14:paraId="32CA867C" w14:textId="77777777" w:rsidR="004B3B82" w:rsidRPr="00D42866" w:rsidRDefault="004B3B82" w:rsidP="00CD3B05">
            <w:pPr>
              <w:overflowPunct w:val="0"/>
              <w:autoSpaceDE w:val="0"/>
              <w:autoSpaceDN w:val="0"/>
              <w:adjustRightInd w:val="0"/>
              <w:ind w:right="21"/>
              <w:rPr>
                <w:rFonts w:ascii="Garamond" w:hAnsi="Garamond" w:cs="Times New Roman CYR"/>
                <w:sz w:val="22"/>
                <w:szCs w:val="22"/>
              </w:rPr>
            </w:pPr>
            <w:r w:rsidRPr="00D42866">
              <w:rPr>
                <w:rFonts w:ascii="Garamond" w:hAnsi="Garamond" w:cs="Times New Roman CYR"/>
                <w:sz w:val="22"/>
                <w:szCs w:val="22"/>
              </w:rPr>
              <w:t>1261-08</w:t>
            </w:r>
          </w:p>
        </w:tc>
        <w:tc>
          <w:tcPr>
            <w:tcW w:w="1843" w:type="dxa"/>
          </w:tcPr>
          <w:p w14:paraId="1E961565" w14:textId="77777777" w:rsidR="004B3B82" w:rsidRPr="00D42866" w:rsidRDefault="004B3B82" w:rsidP="00CD3B05">
            <w:pPr>
              <w:overflowPunct w:val="0"/>
              <w:autoSpaceDE w:val="0"/>
              <w:autoSpaceDN w:val="0"/>
              <w:adjustRightInd w:val="0"/>
              <w:ind w:right="21"/>
              <w:rPr>
                <w:rFonts w:ascii="Garamond" w:hAnsi="Garamond" w:cs="Times New Roman CYR"/>
                <w:sz w:val="22"/>
                <w:szCs w:val="22"/>
              </w:rPr>
            </w:pPr>
            <w:r w:rsidRPr="00D42866">
              <w:rPr>
                <w:rFonts w:ascii="Garamond" w:hAnsi="Garamond" w:cs="Times New Roman CYR"/>
                <w:sz w:val="22"/>
                <w:szCs w:val="22"/>
              </w:rPr>
              <w:t>Дата последней поверки</w:t>
            </w:r>
          </w:p>
        </w:tc>
        <w:tc>
          <w:tcPr>
            <w:tcW w:w="1559" w:type="dxa"/>
          </w:tcPr>
          <w:p w14:paraId="7EBF8F11" w14:textId="77777777" w:rsidR="004B3B82" w:rsidRPr="00D42866" w:rsidRDefault="004B3B82" w:rsidP="00CD3B05">
            <w:pPr>
              <w:overflowPunct w:val="0"/>
              <w:autoSpaceDE w:val="0"/>
              <w:autoSpaceDN w:val="0"/>
              <w:adjustRightInd w:val="0"/>
              <w:ind w:right="21"/>
              <w:rPr>
                <w:rFonts w:ascii="Garamond" w:hAnsi="Garamond" w:cs="Times New Roman CYR"/>
                <w:sz w:val="22"/>
                <w:szCs w:val="22"/>
              </w:rPr>
            </w:pPr>
            <w:r w:rsidRPr="00D42866">
              <w:rPr>
                <w:rFonts w:ascii="Garamond" w:hAnsi="Garamond" w:cs="Times New Roman CYR"/>
                <w:sz w:val="22"/>
                <w:szCs w:val="22"/>
              </w:rPr>
              <w:t>01.04.2019</w:t>
            </w:r>
          </w:p>
        </w:tc>
        <w:tc>
          <w:tcPr>
            <w:tcW w:w="2410" w:type="dxa"/>
          </w:tcPr>
          <w:p w14:paraId="15E0750A" w14:textId="77777777" w:rsidR="004B3B82" w:rsidRPr="00D42866" w:rsidRDefault="004B3B82" w:rsidP="00CD3B05">
            <w:pPr>
              <w:overflowPunct w:val="0"/>
              <w:autoSpaceDE w:val="0"/>
              <w:autoSpaceDN w:val="0"/>
              <w:adjustRightInd w:val="0"/>
              <w:ind w:right="21"/>
              <w:rPr>
                <w:rFonts w:ascii="Garamond" w:hAnsi="Garamond" w:cs="Times New Roman CYR"/>
                <w:sz w:val="22"/>
                <w:szCs w:val="22"/>
              </w:rPr>
            </w:pPr>
            <w:r w:rsidRPr="00D42866">
              <w:rPr>
                <w:rFonts w:ascii="Garamond" w:hAnsi="Garamond" w:cs="Times New Roman CYR"/>
                <w:sz w:val="22"/>
                <w:szCs w:val="22"/>
              </w:rPr>
              <w:t>Межповерочный интервал, лет</w:t>
            </w:r>
          </w:p>
        </w:tc>
        <w:tc>
          <w:tcPr>
            <w:tcW w:w="850" w:type="dxa"/>
          </w:tcPr>
          <w:p w14:paraId="5EF6CFD5" w14:textId="77777777" w:rsidR="004B3B82" w:rsidRPr="00D42866" w:rsidRDefault="004B3B82" w:rsidP="00CD3B05">
            <w:pPr>
              <w:overflowPunct w:val="0"/>
              <w:autoSpaceDE w:val="0"/>
              <w:autoSpaceDN w:val="0"/>
              <w:adjustRightInd w:val="0"/>
              <w:ind w:right="21"/>
              <w:rPr>
                <w:rFonts w:ascii="Garamond" w:hAnsi="Garamond" w:cs="Times New Roman CYR"/>
                <w:sz w:val="22"/>
                <w:szCs w:val="22"/>
              </w:rPr>
            </w:pPr>
            <w:r w:rsidRPr="00D42866">
              <w:rPr>
                <w:rFonts w:ascii="Garamond" w:hAnsi="Garamond" w:cs="Times New Roman CYR"/>
                <w:sz w:val="22"/>
                <w:szCs w:val="22"/>
              </w:rPr>
              <w:t>8</w:t>
            </w:r>
          </w:p>
        </w:tc>
      </w:tr>
      <w:tr w:rsidR="004B3B82" w:rsidRPr="00D42866" w14:paraId="0A761B70" w14:textId="77777777" w:rsidTr="00CD3B05">
        <w:trPr>
          <w:trHeight w:val="70"/>
        </w:trPr>
        <w:tc>
          <w:tcPr>
            <w:tcW w:w="1526" w:type="dxa"/>
          </w:tcPr>
          <w:p w14:paraId="5729AE67" w14:textId="77777777" w:rsidR="004B3B82" w:rsidRPr="00D42866" w:rsidRDefault="004B3B82" w:rsidP="00CD3B05">
            <w:pPr>
              <w:overflowPunct w:val="0"/>
              <w:autoSpaceDE w:val="0"/>
              <w:autoSpaceDN w:val="0"/>
              <w:adjustRightInd w:val="0"/>
              <w:ind w:right="21"/>
              <w:rPr>
                <w:rFonts w:ascii="Garamond" w:hAnsi="Garamond" w:cs="Times New Roman CYR"/>
                <w:sz w:val="22"/>
                <w:szCs w:val="22"/>
              </w:rPr>
            </w:pPr>
          </w:p>
        </w:tc>
        <w:tc>
          <w:tcPr>
            <w:tcW w:w="2126" w:type="dxa"/>
          </w:tcPr>
          <w:p w14:paraId="75148B2B" w14:textId="77777777" w:rsidR="004B3B82" w:rsidRPr="00D42866" w:rsidRDefault="004B3B82" w:rsidP="00CD3B05">
            <w:pPr>
              <w:overflowPunct w:val="0"/>
              <w:autoSpaceDE w:val="0"/>
              <w:autoSpaceDN w:val="0"/>
              <w:adjustRightInd w:val="0"/>
              <w:ind w:right="21"/>
              <w:rPr>
                <w:rFonts w:ascii="Garamond" w:hAnsi="Garamond" w:cs="Times New Roman CYR"/>
                <w:sz w:val="22"/>
                <w:szCs w:val="22"/>
              </w:rPr>
            </w:pPr>
          </w:p>
        </w:tc>
        <w:tc>
          <w:tcPr>
            <w:tcW w:w="1843" w:type="dxa"/>
          </w:tcPr>
          <w:p w14:paraId="302BE416" w14:textId="77777777" w:rsidR="004B3B82" w:rsidRPr="00D42866" w:rsidRDefault="004B3B82" w:rsidP="00CD3B05">
            <w:pPr>
              <w:overflowPunct w:val="0"/>
              <w:autoSpaceDE w:val="0"/>
              <w:autoSpaceDN w:val="0"/>
              <w:adjustRightInd w:val="0"/>
              <w:ind w:right="21"/>
              <w:rPr>
                <w:rFonts w:ascii="Garamond" w:hAnsi="Garamond" w:cs="Times New Roman CYR"/>
                <w:sz w:val="22"/>
                <w:szCs w:val="22"/>
              </w:rPr>
            </w:pPr>
          </w:p>
        </w:tc>
        <w:tc>
          <w:tcPr>
            <w:tcW w:w="1559" w:type="dxa"/>
          </w:tcPr>
          <w:p w14:paraId="1ED9F663" w14:textId="77777777" w:rsidR="004B3B82" w:rsidRPr="00D42866" w:rsidRDefault="004B3B82" w:rsidP="00CD3B05">
            <w:pPr>
              <w:overflowPunct w:val="0"/>
              <w:autoSpaceDE w:val="0"/>
              <w:autoSpaceDN w:val="0"/>
              <w:adjustRightInd w:val="0"/>
              <w:ind w:right="21"/>
              <w:rPr>
                <w:rFonts w:ascii="Garamond" w:hAnsi="Garamond" w:cs="Times New Roman CYR"/>
                <w:sz w:val="22"/>
                <w:szCs w:val="22"/>
              </w:rPr>
            </w:pPr>
          </w:p>
        </w:tc>
        <w:tc>
          <w:tcPr>
            <w:tcW w:w="2410" w:type="dxa"/>
          </w:tcPr>
          <w:p w14:paraId="2ACDF800" w14:textId="77777777" w:rsidR="004B3B82" w:rsidRPr="00D42866" w:rsidRDefault="004B3B82" w:rsidP="00CD3B05">
            <w:pPr>
              <w:overflowPunct w:val="0"/>
              <w:autoSpaceDE w:val="0"/>
              <w:autoSpaceDN w:val="0"/>
              <w:adjustRightInd w:val="0"/>
              <w:ind w:right="21"/>
              <w:rPr>
                <w:rFonts w:ascii="Garamond" w:hAnsi="Garamond" w:cs="Times New Roman CYR"/>
                <w:sz w:val="22"/>
                <w:szCs w:val="22"/>
              </w:rPr>
            </w:pPr>
          </w:p>
        </w:tc>
        <w:tc>
          <w:tcPr>
            <w:tcW w:w="850" w:type="dxa"/>
          </w:tcPr>
          <w:p w14:paraId="3AAFEF24" w14:textId="77777777" w:rsidR="004B3B82" w:rsidRPr="00D42866" w:rsidRDefault="004B3B82" w:rsidP="00CD3B05">
            <w:pPr>
              <w:overflowPunct w:val="0"/>
              <w:autoSpaceDE w:val="0"/>
              <w:autoSpaceDN w:val="0"/>
              <w:adjustRightInd w:val="0"/>
              <w:ind w:right="21"/>
              <w:rPr>
                <w:rFonts w:ascii="Garamond" w:hAnsi="Garamond" w:cs="Times New Roman CYR"/>
                <w:sz w:val="22"/>
                <w:szCs w:val="22"/>
              </w:rPr>
            </w:pPr>
          </w:p>
        </w:tc>
      </w:tr>
    </w:tbl>
    <w:p w14:paraId="7007459E" w14:textId="77777777" w:rsidR="004B3B82" w:rsidRPr="00D42866" w:rsidRDefault="004B3B82" w:rsidP="00101F7C">
      <w:pPr>
        <w:overflowPunct w:val="0"/>
        <w:autoSpaceDE w:val="0"/>
        <w:autoSpaceDN w:val="0"/>
        <w:adjustRightInd w:val="0"/>
        <w:rPr>
          <w:rFonts w:ascii="Garamond" w:hAnsi="Garamond"/>
          <w:sz w:val="22"/>
          <w:szCs w:val="22"/>
        </w:rPr>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26"/>
        <w:gridCol w:w="2126"/>
        <w:gridCol w:w="1843"/>
        <w:gridCol w:w="1559"/>
        <w:gridCol w:w="2410"/>
        <w:gridCol w:w="850"/>
      </w:tblGrid>
      <w:tr w:rsidR="004B3B82" w:rsidRPr="00D42866" w14:paraId="3407F6F1" w14:textId="77777777" w:rsidTr="00CD3B05">
        <w:tc>
          <w:tcPr>
            <w:tcW w:w="10314" w:type="dxa"/>
            <w:gridSpan w:val="6"/>
          </w:tcPr>
          <w:p w14:paraId="6206A57F" w14:textId="77777777" w:rsidR="004B3B82" w:rsidRPr="00D42866" w:rsidRDefault="004B3B82" w:rsidP="00CD3B05">
            <w:pPr>
              <w:overflowPunct w:val="0"/>
              <w:autoSpaceDE w:val="0"/>
              <w:autoSpaceDN w:val="0"/>
              <w:adjustRightInd w:val="0"/>
              <w:ind w:right="21"/>
              <w:jc w:val="center"/>
              <w:rPr>
                <w:rFonts w:ascii="Garamond" w:hAnsi="Garamond" w:cs="Times New Roman CYR"/>
                <w:sz w:val="22"/>
                <w:szCs w:val="22"/>
              </w:rPr>
            </w:pPr>
            <w:r w:rsidRPr="00D42866">
              <w:rPr>
                <w:rFonts w:ascii="Garamond" w:hAnsi="Garamond" w:cs="Times New Roman CYR"/>
                <w:sz w:val="22"/>
                <w:szCs w:val="22"/>
              </w:rPr>
              <w:lastRenderedPageBreak/>
              <w:t>Фаза В (Трансформатор отсутствует)</w:t>
            </w:r>
          </w:p>
        </w:tc>
      </w:tr>
      <w:tr w:rsidR="004B3B82" w:rsidRPr="00D42866" w14:paraId="4D199CBE" w14:textId="77777777" w:rsidTr="00CD3B05">
        <w:tc>
          <w:tcPr>
            <w:tcW w:w="1526" w:type="dxa"/>
          </w:tcPr>
          <w:p w14:paraId="3099546B" w14:textId="77777777" w:rsidR="004B3B82" w:rsidRPr="00D42866" w:rsidRDefault="004B3B82" w:rsidP="00CD3B05">
            <w:pPr>
              <w:overflowPunct w:val="0"/>
              <w:autoSpaceDE w:val="0"/>
              <w:autoSpaceDN w:val="0"/>
              <w:adjustRightInd w:val="0"/>
              <w:ind w:right="21"/>
              <w:rPr>
                <w:rFonts w:ascii="Garamond" w:hAnsi="Garamond" w:cs="Times New Roman CYR"/>
                <w:sz w:val="22"/>
                <w:szCs w:val="22"/>
              </w:rPr>
            </w:pPr>
            <w:r w:rsidRPr="00D42866">
              <w:rPr>
                <w:rFonts w:ascii="Garamond" w:hAnsi="Garamond" w:cs="Times New Roman CYR"/>
                <w:sz w:val="22"/>
                <w:szCs w:val="22"/>
              </w:rPr>
              <w:t>Тип</w:t>
            </w:r>
          </w:p>
        </w:tc>
        <w:tc>
          <w:tcPr>
            <w:tcW w:w="2126" w:type="dxa"/>
          </w:tcPr>
          <w:p w14:paraId="054850AF" w14:textId="77777777" w:rsidR="004B3B82" w:rsidRPr="00D42866" w:rsidRDefault="004B3B82" w:rsidP="00CD3B05">
            <w:pPr>
              <w:overflowPunct w:val="0"/>
              <w:autoSpaceDE w:val="0"/>
              <w:autoSpaceDN w:val="0"/>
              <w:adjustRightInd w:val="0"/>
              <w:ind w:right="21"/>
              <w:rPr>
                <w:rFonts w:ascii="Garamond" w:hAnsi="Garamond" w:cs="Times New Roman CYR"/>
                <w:sz w:val="22"/>
                <w:szCs w:val="22"/>
              </w:rPr>
            </w:pPr>
          </w:p>
        </w:tc>
        <w:tc>
          <w:tcPr>
            <w:tcW w:w="1843" w:type="dxa"/>
          </w:tcPr>
          <w:p w14:paraId="424C0BD0" w14:textId="77777777" w:rsidR="004B3B82" w:rsidRPr="00D42866" w:rsidRDefault="004B3B82" w:rsidP="00CD3B05">
            <w:pPr>
              <w:overflowPunct w:val="0"/>
              <w:autoSpaceDE w:val="0"/>
              <w:autoSpaceDN w:val="0"/>
              <w:adjustRightInd w:val="0"/>
              <w:ind w:right="21"/>
              <w:rPr>
                <w:rFonts w:ascii="Garamond" w:hAnsi="Garamond" w:cs="Times New Roman CYR"/>
                <w:sz w:val="22"/>
                <w:szCs w:val="22"/>
              </w:rPr>
            </w:pPr>
            <w:r w:rsidRPr="00D42866">
              <w:rPr>
                <w:rFonts w:ascii="Garamond" w:hAnsi="Garamond" w:cs="Times New Roman CYR"/>
                <w:sz w:val="22"/>
                <w:szCs w:val="22"/>
              </w:rPr>
              <w:t>Зав. №</w:t>
            </w:r>
          </w:p>
        </w:tc>
        <w:tc>
          <w:tcPr>
            <w:tcW w:w="1559" w:type="dxa"/>
          </w:tcPr>
          <w:p w14:paraId="7A6DF3EA" w14:textId="77777777" w:rsidR="004B3B82" w:rsidRPr="00D42866" w:rsidRDefault="004B3B82" w:rsidP="00CD3B05">
            <w:pPr>
              <w:overflowPunct w:val="0"/>
              <w:autoSpaceDE w:val="0"/>
              <w:autoSpaceDN w:val="0"/>
              <w:adjustRightInd w:val="0"/>
              <w:ind w:right="21"/>
              <w:rPr>
                <w:rFonts w:ascii="Garamond" w:hAnsi="Garamond" w:cs="Times New Roman CYR"/>
                <w:sz w:val="22"/>
                <w:szCs w:val="22"/>
              </w:rPr>
            </w:pPr>
          </w:p>
        </w:tc>
        <w:tc>
          <w:tcPr>
            <w:tcW w:w="2410" w:type="dxa"/>
          </w:tcPr>
          <w:p w14:paraId="6733518A" w14:textId="77777777" w:rsidR="004B3B82" w:rsidRPr="00D42866" w:rsidRDefault="004B3B82" w:rsidP="00CD3B05">
            <w:pPr>
              <w:overflowPunct w:val="0"/>
              <w:autoSpaceDE w:val="0"/>
              <w:autoSpaceDN w:val="0"/>
              <w:adjustRightInd w:val="0"/>
              <w:ind w:right="21"/>
              <w:rPr>
                <w:rFonts w:ascii="Garamond" w:hAnsi="Garamond" w:cs="Times New Roman CYR"/>
                <w:sz w:val="22"/>
                <w:szCs w:val="22"/>
              </w:rPr>
            </w:pPr>
            <w:r w:rsidRPr="00D42866">
              <w:rPr>
                <w:rFonts w:ascii="Garamond" w:hAnsi="Garamond" w:cs="Times New Roman CYR"/>
                <w:sz w:val="22"/>
                <w:szCs w:val="22"/>
              </w:rPr>
              <w:t>Класс точности</w:t>
            </w:r>
          </w:p>
        </w:tc>
        <w:tc>
          <w:tcPr>
            <w:tcW w:w="850" w:type="dxa"/>
          </w:tcPr>
          <w:p w14:paraId="36CC0CF3" w14:textId="77777777" w:rsidR="004B3B82" w:rsidRPr="00D42866" w:rsidRDefault="004B3B82" w:rsidP="00CD3B05">
            <w:pPr>
              <w:overflowPunct w:val="0"/>
              <w:autoSpaceDE w:val="0"/>
              <w:autoSpaceDN w:val="0"/>
              <w:adjustRightInd w:val="0"/>
              <w:ind w:right="21"/>
              <w:rPr>
                <w:rFonts w:ascii="Garamond" w:hAnsi="Garamond" w:cs="Times New Roman CYR"/>
                <w:sz w:val="22"/>
                <w:szCs w:val="22"/>
              </w:rPr>
            </w:pPr>
          </w:p>
        </w:tc>
      </w:tr>
      <w:tr w:rsidR="004B3B82" w:rsidRPr="00D42866" w14:paraId="43FE7C88" w14:textId="77777777" w:rsidTr="00CD3B05">
        <w:tc>
          <w:tcPr>
            <w:tcW w:w="1526" w:type="dxa"/>
          </w:tcPr>
          <w:p w14:paraId="6A9F1663" w14:textId="77777777" w:rsidR="004B3B82" w:rsidRPr="00D42866" w:rsidRDefault="004B3B82" w:rsidP="00CD3B05">
            <w:pPr>
              <w:overflowPunct w:val="0"/>
              <w:autoSpaceDE w:val="0"/>
              <w:autoSpaceDN w:val="0"/>
              <w:adjustRightInd w:val="0"/>
              <w:ind w:right="21"/>
              <w:rPr>
                <w:rFonts w:ascii="Garamond" w:hAnsi="Garamond" w:cs="Times New Roman CYR"/>
                <w:sz w:val="22"/>
                <w:szCs w:val="22"/>
              </w:rPr>
            </w:pPr>
            <w:r w:rsidRPr="00D42866">
              <w:rPr>
                <w:rFonts w:ascii="Garamond" w:hAnsi="Garamond" w:cs="Times New Roman CYR"/>
                <w:sz w:val="22"/>
                <w:szCs w:val="22"/>
              </w:rPr>
              <w:t>Коэф. трансформ.</w:t>
            </w:r>
          </w:p>
        </w:tc>
        <w:tc>
          <w:tcPr>
            <w:tcW w:w="2126" w:type="dxa"/>
          </w:tcPr>
          <w:p w14:paraId="742ACD59" w14:textId="77777777" w:rsidR="004B3B82" w:rsidRPr="00D42866" w:rsidRDefault="004B3B82" w:rsidP="00CD3B05">
            <w:pPr>
              <w:overflowPunct w:val="0"/>
              <w:autoSpaceDE w:val="0"/>
              <w:autoSpaceDN w:val="0"/>
              <w:adjustRightInd w:val="0"/>
              <w:ind w:right="21"/>
              <w:rPr>
                <w:rFonts w:ascii="Garamond" w:hAnsi="Garamond" w:cs="Times New Roman CYR"/>
                <w:sz w:val="22"/>
                <w:szCs w:val="22"/>
              </w:rPr>
            </w:pPr>
          </w:p>
        </w:tc>
        <w:tc>
          <w:tcPr>
            <w:tcW w:w="1843" w:type="dxa"/>
          </w:tcPr>
          <w:p w14:paraId="2914B310" w14:textId="77777777" w:rsidR="004B3B82" w:rsidRPr="00D42866" w:rsidRDefault="004B3B82" w:rsidP="00CD3B05">
            <w:pPr>
              <w:overflowPunct w:val="0"/>
              <w:autoSpaceDE w:val="0"/>
              <w:autoSpaceDN w:val="0"/>
              <w:adjustRightInd w:val="0"/>
              <w:ind w:right="21"/>
              <w:rPr>
                <w:rFonts w:ascii="Garamond" w:hAnsi="Garamond" w:cs="Times New Roman CYR"/>
                <w:sz w:val="22"/>
                <w:szCs w:val="22"/>
              </w:rPr>
            </w:pPr>
            <w:r w:rsidRPr="00D42866">
              <w:rPr>
                <w:rFonts w:ascii="Garamond" w:hAnsi="Garamond" w:cs="Times New Roman CYR"/>
                <w:sz w:val="22"/>
                <w:szCs w:val="22"/>
              </w:rPr>
              <w:t>Номинальная нагрузка, ВА*</w:t>
            </w:r>
          </w:p>
        </w:tc>
        <w:tc>
          <w:tcPr>
            <w:tcW w:w="1559" w:type="dxa"/>
          </w:tcPr>
          <w:p w14:paraId="1A263DAA" w14:textId="77777777" w:rsidR="004B3B82" w:rsidRPr="00D42866" w:rsidRDefault="004B3B82" w:rsidP="00CD3B05">
            <w:pPr>
              <w:overflowPunct w:val="0"/>
              <w:autoSpaceDE w:val="0"/>
              <w:autoSpaceDN w:val="0"/>
              <w:adjustRightInd w:val="0"/>
              <w:ind w:right="21"/>
              <w:rPr>
                <w:rFonts w:ascii="Garamond" w:hAnsi="Garamond" w:cs="Times New Roman CYR"/>
                <w:sz w:val="22"/>
                <w:szCs w:val="22"/>
              </w:rPr>
            </w:pPr>
          </w:p>
        </w:tc>
        <w:tc>
          <w:tcPr>
            <w:tcW w:w="2410" w:type="dxa"/>
          </w:tcPr>
          <w:p w14:paraId="481855DC" w14:textId="77777777" w:rsidR="004B3B82" w:rsidRPr="00D42866" w:rsidRDefault="004B3B82" w:rsidP="00CD3B05">
            <w:pPr>
              <w:overflowPunct w:val="0"/>
              <w:autoSpaceDE w:val="0"/>
              <w:autoSpaceDN w:val="0"/>
              <w:adjustRightInd w:val="0"/>
              <w:ind w:right="21"/>
              <w:rPr>
                <w:rFonts w:ascii="Garamond" w:hAnsi="Garamond" w:cs="Times New Roman CYR"/>
                <w:sz w:val="22"/>
                <w:szCs w:val="22"/>
              </w:rPr>
            </w:pPr>
            <w:r w:rsidRPr="00D42866">
              <w:rPr>
                <w:rFonts w:ascii="Garamond" w:hAnsi="Garamond" w:cs="Times New Roman CYR"/>
                <w:sz w:val="22"/>
                <w:szCs w:val="22"/>
              </w:rPr>
              <w:t>Факт. нагрузка, ВА*</w:t>
            </w:r>
          </w:p>
        </w:tc>
        <w:tc>
          <w:tcPr>
            <w:tcW w:w="850" w:type="dxa"/>
          </w:tcPr>
          <w:p w14:paraId="68A2AE1D" w14:textId="77777777" w:rsidR="004B3B82" w:rsidRPr="00D42866" w:rsidRDefault="004B3B82" w:rsidP="00CD3B05">
            <w:pPr>
              <w:overflowPunct w:val="0"/>
              <w:autoSpaceDE w:val="0"/>
              <w:autoSpaceDN w:val="0"/>
              <w:adjustRightInd w:val="0"/>
              <w:ind w:right="21"/>
              <w:rPr>
                <w:rFonts w:ascii="Garamond" w:hAnsi="Garamond" w:cs="Times New Roman CYR"/>
                <w:sz w:val="22"/>
                <w:szCs w:val="22"/>
              </w:rPr>
            </w:pPr>
          </w:p>
        </w:tc>
      </w:tr>
      <w:tr w:rsidR="004B3B82" w:rsidRPr="00D42866" w14:paraId="5F7D1198" w14:textId="77777777" w:rsidTr="00CD3B05">
        <w:tc>
          <w:tcPr>
            <w:tcW w:w="1526" w:type="dxa"/>
          </w:tcPr>
          <w:p w14:paraId="14FC39C3" w14:textId="77777777" w:rsidR="004B3B82" w:rsidRPr="00D42866" w:rsidRDefault="004B3B82" w:rsidP="00CD3B05">
            <w:pPr>
              <w:overflowPunct w:val="0"/>
              <w:autoSpaceDE w:val="0"/>
              <w:autoSpaceDN w:val="0"/>
              <w:adjustRightInd w:val="0"/>
              <w:ind w:right="21"/>
              <w:rPr>
                <w:rFonts w:ascii="Garamond" w:hAnsi="Garamond" w:cs="Times New Roman CYR"/>
                <w:sz w:val="22"/>
                <w:szCs w:val="22"/>
              </w:rPr>
            </w:pPr>
            <w:r w:rsidRPr="00D42866">
              <w:rPr>
                <w:rFonts w:ascii="Garamond" w:hAnsi="Garamond" w:cs="Times New Roman CYR"/>
                <w:sz w:val="22"/>
                <w:szCs w:val="22"/>
              </w:rPr>
              <w:t>Госреестр №</w:t>
            </w:r>
          </w:p>
        </w:tc>
        <w:tc>
          <w:tcPr>
            <w:tcW w:w="2126" w:type="dxa"/>
          </w:tcPr>
          <w:p w14:paraId="2B40A4D7" w14:textId="77777777" w:rsidR="004B3B82" w:rsidRPr="00D42866" w:rsidRDefault="004B3B82" w:rsidP="00CD3B05">
            <w:pPr>
              <w:overflowPunct w:val="0"/>
              <w:autoSpaceDE w:val="0"/>
              <w:autoSpaceDN w:val="0"/>
              <w:adjustRightInd w:val="0"/>
              <w:ind w:right="21"/>
              <w:rPr>
                <w:rFonts w:ascii="Garamond" w:hAnsi="Garamond" w:cs="Times New Roman CYR"/>
                <w:sz w:val="22"/>
                <w:szCs w:val="22"/>
              </w:rPr>
            </w:pPr>
          </w:p>
        </w:tc>
        <w:tc>
          <w:tcPr>
            <w:tcW w:w="1843" w:type="dxa"/>
          </w:tcPr>
          <w:p w14:paraId="6A008C04" w14:textId="77777777" w:rsidR="004B3B82" w:rsidRPr="00D42866" w:rsidRDefault="004B3B82" w:rsidP="00CD3B05">
            <w:pPr>
              <w:overflowPunct w:val="0"/>
              <w:autoSpaceDE w:val="0"/>
              <w:autoSpaceDN w:val="0"/>
              <w:adjustRightInd w:val="0"/>
              <w:ind w:right="21"/>
              <w:rPr>
                <w:rFonts w:ascii="Garamond" w:hAnsi="Garamond" w:cs="Times New Roman CYR"/>
                <w:sz w:val="22"/>
                <w:szCs w:val="22"/>
              </w:rPr>
            </w:pPr>
            <w:r w:rsidRPr="00D42866">
              <w:rPr>
                <w:rFonts w:ascii="Garamond" w:hAnsi="Garamond" w:cs="Times New Roman CYR"/>
                <w:sz w:val="22"/>
                <w:szCs w:val="22"/>
              </w:rPr>
              <w:t>Дата последней поверки</w:t>
            </w:r>
          </w:p>
        </w:tc>
        <w:tc>
          <w:tcPr>
            <w:tcW w:w="1559" w:type="dxa"/>
          </w:tcPr>
          <w:p w14:paraId="32087355" w14:textId="77777777" w:rsidR="004B3B82" w:rsidRPr="00D42866" w:rsidRDefault="004B3B82" w:rsidP="00CD3B05">
            <w:pPr>
              <w:overflowPunct w:val="0"/>
              <w:autoSpaceDE w:val="0"/>
              <w:autoSpaceDN w:val="0"/>
              <w:adjustRightInd w:val="0"/>
              <w:ind w:right="21"/>
              <w:rPr>
                <w:rFonts w:ascii="Garamond" w:hAnsi="Garamond" w:cs="Times New Roman CYR"/>
                <w:sz w:val="22"/>
                <w:szCs w:val="22"/>
              </w:rPr>
            </w:pPr>
          </w:p>
        </w:tc>
        <w:tc>
          <w:tcPr>
            <w:tcW w:w="2410" w:type="dxa"/>
          </w:tcPr>
          <w:p w14:paraId="093D63B7" w14:textId="77777777" w:rsidR="004B3B82" w:rsidRPr="00D42866" w:rsidRDefault="004B3B82" w:rsidP="00CD3B05">
            <w:pPr>
              <w:overflowPunct w:val="0"/>
              <w:autoSpaceDE w:val="0"/>
              <w:autoSpaceDN w:val="0"/>
              <w:adjustRightInd w:val="0"/>
              <w:ind w:right="21"/>
              <w:rPr>
                <w:rFonts w:ascii="Garamond" w:hAnsi="Garamond" w:cs="Times New Roman CYR"/>
                <w:sz w:val="22"/>
                <w:szCs w:val="22"/>
              </w:rPr>
            </w:pPr>
            <w:r w:rsidRPr="00D42866">
              <w:rPr>
                <w:rFonts w:ascii="Garamond" w:hAnsi="Garamond" w:cs="Times New Roman CYR"/>
                <w:sz w:val="22"/>
                <w:szCs w:val="22"/>
              </w:rPr>
              <w:t>Межповерочный интервал, лет</w:t>
            </w:r>
          </w:p>
        </w:tc>
        <w:tc>
          <w:tcPr>
            <w:tcW w:w="850" w:type="dxa"/>
          </w:tcPr>
          <w:p w14:paraId="1327232C" w14:textId="77777777" w:rsidR="004B3B82" w:rsidRPr="00D42866" w:rsidRDefault="004B3B82" w:rsidP="00CD3B05">
            <w:pPr>
              <w:overflowPunct w:val="0"/>
              <w:autoSpaceDE w:val="0"/>
              <w:autoSpaceDN w:val="0"/>
              <w:adjustRightInd w:val="0"/>
              <w:ind w:right="21"/>
              <w:rPr>
                <w:rFonts w:ascii="Garamond" w:hAnsi="Garamond" w:cs="Times New Roman CYR"/>
                <w:sz w:val="22"/>
                <w:szCs w:val="22"/>
              </w:rPr>
            </w:pPr>
          </w:p>
        </w:tc>
      </w:tr>
      <w:tr w:rsidR="004B3B82" w:rsidRPr="00D42866" w14:paraId="41662770" w14:textId="77777777" w:rsidTr="00CD3B05">
        <w:tc>
          <w:tcPr>
            <w:tcW w:w="10314" w:type="dxa"/>
            <w:gridSpan w:val="6"/>
          </w:tcPr>
          <w:p w14:paraId="5C18E06A" w14:textId="77777777" w:rsidR="004B3B82" w:rsidRPr="00D42866" w:rsidRDefault="004B3B82" w:rsidP="00CD3B05">
            <w:pPr>
              <w:overflowPunct w:val="0"/>
              <w:autoSpaceDE w:val="0"/>
              <w:autoSpaceDN w:val="0"/>
              <w:adjustRightInd w:val="0"/>
              <w:ind w:right="21"/>
              <w:jc w:val="center"/>
              <w:rPr>
                <w:rFonts w:ascii="Garamond" w:hAnsi="Garamond" w:cs="Times New Roman CYR"/>
                <w:sz w:val="22"/>
                <w:szCs w:val="22"/>
              </w:rPr>
            </w:pPr>
            <w:r w:rsidRPr="00D42866">
              <w:rPr>
                <w:rFonts w:ascii="Garamond" w:hAnsi="Garamond" w:cs="Times New Roman CYR"/>
                <w:sz w:val="22"/>
                <w:szCs w:val="22"/>
              </w:rPr>
              <w:t>Фаза С</w:t>
            </w:r>
          </w:p>
        </w:tc>
      </w:tr>
      <w:tr w:rsidR="004B3B82" w:rsidRPr="00D42866" w14:paraId="0CA5B012" w14:textId="77777777" w:rsidTr="00CD3B05">
        <w:tc>
          <w:tcPr>
            <w:tcW w:w="1526" w:type="dxa"/>
          </w:tcPr>
          <w:p w14:paraId="0703C0DE" w14:textId="77777777" w:rsidR="004B3B82" w:rsidRPr="00D42866" w:rsidRDefault="004B3B82" w:rsidP="00CD3B05">
            <w:pPr>
              <w:overflowPunct w:val="0"/>
              <w:autoSpaceDE w:val="0"/>
              <w:autoSpaceDN w:val="0"/>
              <w:adjustRightInd w:val="0"/>
              <w:ind w:right="21"/>
              <w:rPr>
                <w:rFonts w:ascii="Garamond" w:hAnsi="Garamond" w:cs="Times New Roman CYR"/>
                <w:sz w:val="22"/>
                <w:szCs w:val="22"/>
              </w:rPr>
            </w:pPr>
            <w:r w:rsidRPr="00D42866">
              <w:rPr>
                <w:rFonts w:ascii="Garamond" w:hAnsi="Garamond" w:cs="Times New Roman CYR"/>
                <w:sz w:val="22"/>
                <w:szCs w:val="22"/>
              </w:rPr>
              <w:t>Тип</w:t>
            </w:r>
          </w:p>
        </w:tc>
        <w:tc>
          <w:tcPr>
            <w:tcW w:w="2126" w:type="dxa"/>
          </w:tcPr>
          <w:p w14:paraId="360ABB92" w14:textId="77777777" w:rsidR="004B3B82" w:rsidRPr="00D42866" w:rsidRDefault="004B3B82" w:rsidP="00CD3B05">
            <w:pPr>
              <w:overflowPunct w:val="0"/>
              <w:autoSpaceDE w:val="0"/>
              <w:autoSpaceDN w:val="0"/>
              <w:adjustRightInd w:val="0"/>
              <w:ind w:right="21"/>
              <w:rPr>
                <w:rFonts w:ascii="Garamond" w:hAnsi="Garamond" w:cs="Times New Roman CYR"/>
                <w:sz w:val="22"/>
                <w:szCs w:val="22"/>
              </w:rPr>
            </w:pPr>
            <w:r w:rsidRPr="00D42866">
              <w:rPr>
                <w:rFonts w:ascii="Garamond" w:hAnsi="Garamond" w:cs="Times New Roman CYR"/>
                <w:sz w:val="22"/>
                <w:szCs w:val="22"/>
              </w:rPr>
              <w:t xml:space="preserve"> ТПОЛ-10</w:t>
            </w:r>
          </w:p>
        </w:tc>
        <w:tc>
          <w:tcPr>
            <w:tcW w:w="1843" w:type="dxa"/>
          </w:tcPr>
          <w:p w14:paraId="54CAAF59" w14:textId="77777777" w:rsidR="004B3B82" w:rsidRPr="00D42866" w:rsidRDefault="004B3B82" w:rsidP="00CD3B05">
            <w:pPr>
              <w:overflowPunct w:val="0"/>
              <w:autoSpaceDE w:val="0"/>
              <w:autoSpaceDN w:val="0"/>
              <w:adjustRightInd w:val="0"/>
              <w:ind w:right="21"/>
              <w:rPr>
                <w:rFonts w:ascii="Garamond" w:hAnsi="Garamond" w:cs="Times New Roman CYR"/>
                <w:sz w:val="22"/>
                <w:szCs w:val="22"/>
              </w:rPr>
            </w:pPr>
            <w:r w:rsidRPr="00D42866">
              <w:rPr>
                <w:rFonts w:ascii="Garamond" w:hAnsi="Garamond" w:cs="Times New Roman CYR"/>
                <w:sz w:val="22"/>
                <w:szCs w:val="22"/>
              </w:rPr>
              <w:t>Зав. №</w:t>
            </w:r>
          </w:p>
        </w:tc>
        <w:tc>
          <w:tcPr>
            <w:tcW w:w="1559" w:type="dxa"/>
          </w:tcPr>
          <w:p w14:paraId="7EB5C4F7" w14:textId="77777777" w:rsidR="004B3B82" w:rsidRPr="00D42866" w:rsidRDefault="004B3B82" w:rsidP="00CD3B05">
            <w:pPr>
              <w:overflowPunct w:val="0"/>
              <w:autoSpaceDE w:val="0"/>
              <w:autoSpaceDN w:val="0"/>
              <w:adjustRightInd w:val="0"/>
              <w:ind w:right="21"/>
              <w:rPr>
                <w:rFonts w:ascii="Garamond" w:hAnsi="Garamond" w:cs="Times New Roman CYR"/>
                <w:sz w:val="22"/>
                <w:szCs w:val="22"/>
              </w:rPr>
            </w:pPr>
            <w:r w:rsidRPr="00D42866">
              <w:rPr>
                <w:rFonts w:ascii="Garamond" w:hAnsi="Garamond" w:cs="Times New Roman CYR"/>
                <w:sz w:val="22"/>
                <w:szCs w:val="22"/>
              </w:rPr>
              <w:t>5678</w:t>
            </w:r>
          </w:p>
        </w:tc>
        <w:tc>
          <w:tcPr>
            <w:tcW w:w="2410" w:type="dxa"/>
          </w:tcPr>
          <w:p w14:paraId="1E523D8E" w14:textId="77777777" w:rsidR="004B3B82" w:rsidRPr="00D42866" w:rsidRDefault="004B3B82" w:rsidP="00CD3B05">
            <w:pPr>
              <w:overflowPunct w:val="0"/>
              <w:autoSpaceDE w:val="0"/>
              <w:autoSpaceDN w:val="0"/>
              <w:adjustRightInd w:val="0"/>
              <w:ind w:right="21"/>
              <w:rPr>
                <w:rFonts w:ascii="Garamond" w:hAnsi="Garamond" w:cs="Times New Roman CYR"/>
                <w:sz w:val="22"/>
                <w:szCs w:val="22"/>
              </w:rPr>
            </w:pPr>
            <w:r w:rsidRPr="00D42866">
              <w:rPr>
                <w:rFonts w:ascii="Garamond" w:hAnsi="Garamond" w:cs="Times New Roman CYR"/>
                <w:sz w:val="22"/>
                <w:szCs w:val="22"/>
              </w:rPr>
              <w:t>Класс точности</w:t>
            </w:r>
          </w:p>
        </w:tc>
        <w:tc>
          <w:tcPr>
            <w:tcW w:w="850" w:type="dxa"/>
          </w:tcPr>
          <w:p w14:paraId="541033F2" w14:textId="77777777" w:rsidR="004B3B82" w:rsidRPr="00D42866" w:rsidRDefault="004B3B82" w:rsidP="00CD3B05">
            <w:pPr>
              <w:overflowPunct w:val="0"/>
              <w:autoSpaceDE w:val="0"/>
              <w:autoSpaceDN w:val="0"/>
              <w:adjustRightInd w:val="0"/>
              <w:ind w:right="21"/>
              <w:rPr>
                <w:rFonts w:ascii="Garamond" w:hAnsi="Garamond" w:cs="Times New Roman CYR"/>
                <w:sz w:val="22"/>
                <w:szCs w:val="22"/>
              </w:rPr>
            </w:pPr>
            <w:r w:rsidRPr="00D42866">
              <w:rPr>
                <w:rFonts w:ascii="Garamond" w:hAnsi="Garamond" w:cs="Times New Roman CYR"/>
                <w:sz w:val="22"/>
                <w:szCs w:val="22"/>
              </w:rPr>
              <w:t>0.5</w:t>
            </w:r>
          </w:p>
        </w:tc>
      </w:tr>
      <w:tr w:rsidR="004B3B82" w:rsidRPr="00D42866" w14:paraId="111D3FA1" w14:textId="77777777" w:rsidTr="00CD3B05">
        <w:tc>
          <w:tcPr>
            <w:tcW w:w="1526" w:type="dxa"/>
          </w:tcPr>
          <w:p w14:paraId="4B605E42" w14:textId="77777777" w:rsidR="004B3B82" w:rsidRPr="00D42866" w:rsidRDefault="004B3B82" w:rsidP="00CD3B05">
            <w:pPr>
              <w:overflowPunct w:val="0"/>
              <w:autoSpaceDE w:val="0"/>
              <w:autoSpaceDN w:val="0"/>
              <w:adjustRightInd w:val="0"/>
              <w:ind w:right="21"/>
              <w:rPr>
                <w:rFonts w:ascii="Garamond" w:hAnsi="Garamond" w:cs="Times New Roman CYR"/>
                <w:sz w:val="22"/>
                <w:szCs w:val="22"/>
              </w:rPr>
            </w:pPr>
            <w:r w:rsidRPr="00D42866">
              <w:rPr>
                <w:rFonts w:ascii="Garamond" w:hAnsi="Garamond" w:cs="Times New Roman CYR"/>
                <w:sz w:val="22"/>
                <w:szCs w:val="22"/>
              </w:rPr>
              <w:t>Коэф. трансформ.</w:t>
            </w:r>
          </w:p>
        </w:tc>
        <w:tc>
          <w:tcPr>
            <w:tcW w:w="2126" w:type="dxa"/>
          </w:tcPr>
          <w:p w14:paraId="4B0CDAE6" w14:textId="77777777" w:rsidR="004B3B82" w:rsidRPr="00D42866" w:rsidRDefault="004B3B82" w:rsidP="00CD3B05">
            <w:pPr>
              <w:overflowPunct w:val="0"/>
              <w:autoSpaceDE w:val="0"/>
              <w:autoSpaceDN w:val="0"/>
              <w:adjustRightInd w:val="0"/>
              <w:ind w:right="21"/>
              <w:rPr>
                <w:rFonts w:ascii="Garamond" w:hAnsi="Garamond" w:cs="Times New Roman CYR"/>
                <w:sz w:val="22"/>
                <w:szCs w:val="22"/>
              </w:rPr>
            </w:pPr>
            <w:r w:rsidRPr="00D42866">
              <w:rPr>
                <w:rFonts w:ascii="Garamond" w:hAnsi="Garamond" w:cs="Times New Roman CYR"/>
                <w:sz w:val="22"/>
                <w:szCs w:val="22"/>
              </w:rPr>
              <w:t>200/5</w:t>
            </w:r>
          </w:p>
        </w:tc>
        <w:tc>
          <w:tcPr>
            <w:tcW w:w="1843" w:type="dxa"/>
          </w:tcPr>
          <w:p w14:paraId="473689FD" w14:textId="77777777" w:rsidR="004B3B82" w:rsidRPr="00D42866" w:rsidRDefault="004B3B82" w:rsidP="00CD3B05">
            <w:pPr>
              <w:overflowPunct w:val="0"/>
              <w:autoSpaceDE w:val="0"/>
              <w:autoSpaceDN w:val="0"/>
              <w:adjustRightInd w:val="0"/>
              <w:ind w:right="21"/>
              <w:rPr>
                <w:rFonts w:ascii="Garamond" w:hAnsi="Garamond" w:cs="Times New Roman CYR"/>
                <w:sz w:val="22"/>
                <w:szCs w:val="22"/>
              </w:rPr>
            </w:pPr>
            <w:r w:rsidRPr="00D42866">
              <w:rPr>
                <w:rFonts w:ascii="Garamond" w:hAnsi="Garamond" w:cs="Times New Roman CYR"/>
                <w:sz w:val="22"/>
                <w:szCs w:val="22"/>
              </w:rPr>
              <w:t>Номинальная нагрузка, ВА*</w:t>
            </w:r>
          </w:p>
        </w:tc>
        <w:tc>
          <w:tcPr>
            <w:tcW w:w="1559" w:type="dxa"/>
          </w:tcPr>
          <w:p w14:paraId="12587FFC" w14:textId="77777777" w:rsidR="004B3B82" w:rsidRPr="00D42866" w:rsidRDefault="004B3B82" w:rsidP="00CD3B05">
            <w:pPr>
              <w:overflowPunct w:val="0"/>
              <w:autoSpaceDE w:val="0"/>
              <w:autoSpaceDN w:val="0"/>
              <w:adjustRightInd w:val="0"/>
              <w:ind w:right="21"/>
              <w:rPr>
                <w:rFonts w:ascii="Garamond" w:hAnsi="Garamond" w:cs="Times New Roman CYR"/>
                <w:sz w:val="22"/>
                <w:szCs w:val="22"/>
              </w:rPr>
            </w:pPr>
            <w:r w:rsidRPr="00D42866">
              <w:rPr>
                <w:rFonts w:ascii="Garamond" w:hAnsi="Garamond" w:cs="Times New Roman CYR"/>
                <w:sz w:val="22"/>
                <w:szCs w:val="22"/>
              </w:rPr>
              <w:t>10</w:t>
            </w:r>
          </w:p>
        </w:tc>
        <w:tc>
          <w:tcPr>
            <w:tcW w:w="2410" w:type="dxa"/>
          </w:tcPr>
          <w:p w14:paraId="6832AE8D" w14:textId="77777777" w:rsidR="004B3B82" w:rsidRPr="00D42866" w:rsidRDefault="004B3B82" w:rsidP="00CD3B05">
            <w:pPr>
              <w:overflowPunct w:val="0"/>
              <w:autoSpaceDE w:val="0"/>
              <w:autoSpaceDN w:val="0"/>
              <w:adjustRightInd w:val="0"/>
              <w:ind w:right="21"/>
              <w:rPr>
                <w:rFonts w:ascii="Garamond" w:hAnsi="Garamond" w:cs="Times New Roman CYR"/>
                <w:sz w:val="22"/>
                <w:szCs w:val="22"/>
              </w:rPr>
            </w:pPr>
            <w:r w:rsidRPr="00D42866">
              <w:rPr>
                <w:rFonts w:ascii="Garamond" w:hAnsi="Garamond" w:cs="Times New Roman CYR"/>
                <w:sz w:val="22"/>
                <w:szCs w:val="22"/>
              </w:rPr>
              <w:t>Факт. нагрузка, ВА*</w:t>
            </w:r>
          </w:p>
        </w:tc>
        <w:tc>
          <w:tcPr>
            <w:tcW w:w="850" w:type="dxa"/>
          </w:tcPr>
          <w:p w14:paraId="7B5F466A" w14:textId="77777777" w:rsidR="004B3B82" w:rsidRPr="00D42866" w:rsidRDefault="004B3B82" w:rsidP="00CD3B05">
            <w:pPr>
              <w:overflowPunct w:val="0"/>
              <w:autoSpaceDE w:val="0"/>
              <w:autoSpaceDN w:val="0"/>
              <w:adjustRightInd w:val="0"/>
              <w:ind w:right="21"/>
              <w:rPr>
                <w:rFonts w:ascii="Garamond" w:hAnsi="Garamond" w:cs="Times New Roman CYR"/>
                <w:sz w:val="22"/>
                <w:szCs w:val="22"/>
              </w:rPr>
            </w:pPr>
            <w:r w:rsidRPr="00D42866">
              <w:rPr>
                <w:rFonts w:ascii="Garamond" w:hAnsi="Garamond" w:cs="Times New Roman CYR"/>
                <w:sz w:val="22"/>
                <w:szCs w:val="22"/>
              </w:rPr>
              <w:t>6.2</w:t>
            </w:r>
          </w:p>
        </w:tc>
      </w:tr>
      <w:tr w:rsidR="004B3B82" w:rsidRPr="00D42866" w14:paraId="72AB1B3A" w14:textId="77777777" w:rsidTr="00CD3B05">
        <w:tc>
          <w:tcPr>
            <w:tcW w:w="1526" w:type="dxa"/>
          </w:tcPr>
          <w:p w14:paraId="2A1EC55A" w14:textId="77777777" w:rsidR="004B3B82" w:rsidRPr="00D42866" w:rsidRDefault="004B3B82" w:rsidP="00CD3B05">
            <w:pPr>
              <w:overflowPunct w:val="0"/>
              <w:autoSpaceDE w:val="0"/>
              <w:autoSpaceDN w:val="0"/>
              <w:adjustRightInd w:val="0"/>
              <w:ind w:right="21"/>
              <w:rPr>
                <w:rFonts w:ascii="Garamond" w:hAnsi="Garamond" w:cs="Times New Roman CYR"/>
                <w:sz w:val="22"/>
                <w:szCs w:val="22"/>
              </w:rPr>
            </w:pPr>
            <w:r w:rsidRPr="00D42866">
              <w:rPr>
                <w:rFonts w:ascii="Garamond" w:hAnsi="Garamond" w:cs="Times New Roman CYR"/>
                <w:sz w:val="22"/>
                <w:szCs w:val="22"/>
              </w:rPr>
              <w:t>Госреестр №</w:t>
            </w:r>
          </w:p>
        </w:tc>
        <w:tc>
          <w:tcPr>
            <w:tcW w:w="2126" w:type="dxa"/>
          </w:tcPr>
          <w:p w14:paraId="7985DA92" w14:textId="77777777" w:rsidR="004B3B82" w:rsidRPr="00D42866" w:rsidRDefault="004B3B82" w:rsidP="00CD3B05">
            <w:pPr>
              <w:overflowPunct w:val="0"/>
              <w:autoSpaceDE w:val="0"/>
              <w:autoSpaceDN w:val="0"/>
              <w:adjustRightInd w:val="0"/>
              <w:ind w:right="21"/>
              <w:rPr>
                <w:rFonts w:ascii="Garamond" w:hAnsi="Garamond" w:cs="Times New Roman CYR"/>
                <w:sz w:val="22"/>
                <w:szCs w:val="22"/>
              </w:rPr>
            </w:pPr>
            <w:r w:rsidRPr="00D42866">
              <w:rPr>
                <w:rFonts w:ascii="Garamond" w:hAnsi="Garamond" w:cs="Times New Roman CYR"/>
                <w:sz w:val="22"/>
                <w:szCs w:val="22"/>
              </w:rPr>
              <w:t>1261-08</w:t>
            </w:r>
          </w:p>
        </w:tc>
        <w:tc>
          <w:tcPr>
            <w:tcW w:w="1843" w:type="dxa"/>
          </w:tcPr>
          <w:p w14:paraId="1F1EFAD1" w14:textId="77777777" w:rsidR="004B3B82" w:rsidRPr="00D42866" w:rsidRDefault="004B3B82" w:rsidP="00CD3B05">
            <w:pPr>
              <w:overflowPunct w:val="0"/>
              <w:autoSpaceDE w:val="0"/>
              <w:autoSpaceDN w:val="0"/>
              <w:adjustRightInd w:val="0"/>
              <w:ind w:right="21"/>
              <w:rPr>
                <w:rFonts w:ascii="Garamond" w:hAnsi="Garamond" w:cs="Times New Roman CYR"/>
                <w:sz w:val="22"/>
                <w:szCs w:val="22"/>
              </w:rPr>
            </w:pPr>
            <w:r w:rsidRPr="00D42866">
              <w:rPr>
                <w:rFonts w:ascii="Garamond" w:hAnsi="Garamond" w:cs="Times New Roman CYR"/>
                <w:sz w:val="22"/>
                <w:szCs w:val="22"/>
              </w:rPr>
              <w:t>Дата последней поверки</w:t>
            </w:r>
          </w:p>
        </w:tc>
        <w:tc>
          <w:tcPr>
            <w:tcW w:w="1559" w:type="dxa"/>
          </w:tcPr>
          <w:p w14:paraId="0288ED6F" w14:textId="77777777" w:rsidR="004B3B82" w:rsidRPr="00D42866" w:rsidRDefault="004B3B82" w:rsidP="00CD3B05">
            <w:pPr>
              <w:overflowPunct w:val="0"/>
              <w:autoSpaceDE w:val="0"/>
              <w:autoSpaceDN w:val="0"/>
              <w:adjustRightInd w:val="0"/>
              <w:ind w:right="21"/>
              <w:rPr>
                <w:rFonts w:ascii="Garamond" w:hAnsi="Garamond" w:cs="Times New Roman CYR"/>
                <w:sz w:val="22"/>
                <w:szCs w:val="22"/>
              </w:rPr>
            </w:pPr>
            <w:r w:rsidRPr="00D42866">
              <w:rPr>
                <w:rFonts w:ascii="Garamond" w:hAnsi="Garamond" w:cs="Times New Roman CYR"/>
                <w:sz w:val="22"/>
                <w:szCs w:val="22"/>
              </w:rPr>
              <w:t>01.04.2019</w:t>
            </w:r>
          </w:p>
        </w:tc>
        <w:tc>
          <w:tcPr>
            <w:tcW w:w="2410" w:type="dxa"/>
          </w:tcPr>
          <w:p w14:paraId="5A097611" w14:textId="77777777" w:rsidR="004B3B82" w:rsidRPr="00D42866" w:rsidRDefault="004B3B82" w:rsidP="00CD3B05">
            <w:pPr>
              <w:overflowPunct w:val="0"/>
              <w:autoSpaceDE w:val="0"/>
              <w:autoSpaceDN w:val="0"/>
              <w:adjustRightInd w:val="0"/>
              <w:ind w:right="21"/>
              <w:rPr>
                <w:rFonts w:ascii="Garamond" w:hAnsi="Garamond" w:cs="Times New Roman CYR"/>
                <w:sz w:val="22"/>
                <w:szCs w:val="22"/>
              </w:rPr>
            </w:pPr>
            <w:r w:rsidRPr="00D42866">
              <w:rPr>
                <w:rFonts w:ascii="Garamond" w:hAnsi="Garamond" w:cs="Times New Roman CYR"/>
                <w:sz w:val="22"/>
                <w:szCs w:val="22"/>
              </w:rPr>
              <w:t>Межповерочный интервал, лет</w:t>
            </w:r>
          </w:p>
        </w:tc>
        <w:tc>
          <w:tcPr>
            <w:tcW w:w="850" w:type="dxa"/>
          </w:tcPr>
          <w:p w14:paraId="3803539A" w14:textId="77777777" w:rsidR="004B3B82" w:rsidRPr="00D42866" w:rsidRDefault="004B3B82" w:rsidP="00CD3B05">
            <w:pPr>
              <w:overflowPunct w:val="0"/>
              <w:autoSpaceDE w:val="0"/>
              <w:autoSpaceDN w:val="0"/>
              <w:adjustRightInd w:val="0"/>
              <w:ind w:right="21"/>
              <w:rPr>
                <w:rFonts w:ascii="Garamond" w:hAnsi="Garamond" w:cs="Times New Roman CYR"/>
                <w:sz w:val="22"/>
                <w:szCs w:val="22"/>
              </w:rPr>
            </w:pPr>
            <w:r w:rsidRPr="00D42866">
              <w:rPr>
                <w:rFonts w:ascii="Garamond" w:hAnsi="Garamond" w:cs="Times New Roman CYR"/>
                <w:sz w:val="22"/>
                <w:szCs w:val="22"/>
              </w:rPr>
              <w:t>8</w:t>
            </w:r>
          </w:p>
        </w:tc>
      </w:tr>
    </w:tbl>
    <w:p w14:paraId="29406992" w14:textId="77777777" w:rsidR="004B3B82" w:rsidRPr="00D42866" w:rsidRDefault="004B3B82" w:rsidP="00101F7C">
      <w:pPr>
        <w:overflowPunct w:val="0"/>
        <w:autoSpaceDE w:val="0"/>
        <w:autoSpaceDN w:val="0"/>
        <w:adjustRightInd w:val="0"/>
        <w:rPr>
          <w:rFonts w:ascii="Garamond" w:hAnsi="Garamond" w:cs="Times New Roman CYR"/>
          <w:b/>
          <w:sz w:val="22"/>
          <w:szCs w:val="22"/>
        </w:rPr>
      </w:pPr>
    </w:p>
    <w:p w14:paraId="271ED64A" w14:textId="77777777" w:rsidR="004B3B82" w:rsidRPr="00D42866" w:rsidRDefault="004B3B82" w:rsidP="00101F7C">
      <w:pPr>
        <w:overflowPunct w:val="0"/>
        <w:autoSpaceDE w:val="0"/>
        <w:autoSpaceDN w:val="0"/>
        <w:adjustRightInd w:val="0"/>
        <w:rPr>
          <w:rFonts w:ascii="Garamond" w:hAnsi="Garamond" w:cs="Times New Roman CYR"/>
          <w:b/>
          <w:sz w:val="22"/>
          <w:szCs w:val="22"/>
        </w:rPr>
      </w:pPr>
      <w:r w:rsidRPr="00D42866">
        <w:rPr>
          <w:rFonts w:ascii="Garamond" w:hAnsi="Garamond" w:cs="Times New Roman CYR"/>
          <w:b/>
          <w:sz w:val="22"/>
          <w:szCs w:val="22"/>
        </w:rPr>
        <w:t>4.3. Трансформаторы напряжения</w:t>
      </w:r>
    </w:p>
    <w:p w14:paraId="650F9CF6" w14:textId="77777777" w:rsidR="004B3B82" w:rsidRPr="00D42866" w:rsidRDefault="004B3B82" w:rsidP="00101F7C">
      <w:pPr>
        <w:overflowPunct w:val="0"/>
        <w:autoSpaceDE w:val="0"/>
        <w:autoSpaceDN w:val="0"/>
        <w:adjustRightInd w:val="0"/>
        <w:rPr>
          <w:rFonts w:ascii="Garamond" w:hAnsi="Garamond" w:cs="Times New Roman CYR"/>
          <w:b/>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8"/>
        <w:gridCol w:w="2072"/>
        <w:gridCol w:w="1701"/>
        <w:gridCol w:w="1537"/>
        <w:gridCol w:w="2228"/>
        <w:gridCol w:w="763"/>
      </w:tblGrid>
      <w:tr w:rsidR="004B3B82" w:rsidRPr="00D42866" w14:paraId="24FA490B" w14:textId="77777777" w:rsidTr="00CD3B05">
        <w:tc>
          <w:tcPr>
            <w:tcW w:w="10251" w:type="dxa"/>
            <w:gridSpan w:val="6"/>
          </w:tcPr>
          <w:p w14:paraId="23057F88" w14:textId="77777777" w:rsidR="004B3B82" w:rsidRPr="00D42866" w:rsidRDefault="004B3B82" w:rsidP="00CD3B05">
            <w:pPr>
              <w:tabs>
                <w:tab w:val="center" w:pos="5007"/>
                <w:tab w:val="left" w:pos="5832"/>
              </w:tabs>
              <w:overflowPunct w:val="0"/>
              <w:autoSpaceDE w:val="0"/>
              <w:autoSpaceDN w:val="0"/>
              <w:adjustRightInd w:val="0"/>
              <w:ind w:right="21"/>
              <w:rPr>
                <w:rFonts w:ascii="Garamond" w:hAnsi="Garamond" w:cs="Times New Roman CYR"/>
                <w:sz w:val="22"/>
                <w:szCs w:val="22"/>
              </w:rPr>
            </w:pPr>
            <w:r w:rsidRPr="00D42866">
              <w:rPr>
                <w:rFonts w:ascii="Garamond" w:hAnsi="Garamond" w:cs="Times New Roman CYR"/>
                <w:sz w:val="22"/>
                <w:szCs w:val="22"/>
              </w:rPr>
              <w:tab/>
              <w:t>Фаза А</w:t>
            </w:r>
          </w:p>
        </w:tc>
      </w:tr>
      <w:tr w:rsidR="004B3B82" w:rsidRPr="00D42866" w14:paraId="61BB307C" w14:textId="77777777" w:rsidTr="00CD3B05">
        <w:tc>
          <w:tcPr>
            <w:tcW w:w="1511" w:type="dxa"/>
          </w:tcPr>
          <w:p w14:paraId="30D0ED29" w14:textId="77777777" w:rsidR="004B3B82" w:rsidRPr="00D42866" w:rsidRDefault="004B3B82" w:rsidP="00CD3B05">
            <w:pPr>
              <w:overflowPunct w:val="0"/>
              <w:autoSpaceDE w:val="0"/>
              <w:autoSpaceDN w:val="0"/>
              <w:adjustRightInd w:val="0"/>
              <w:ind w:right="21"/>
              <w:rPr>
                <w:rFonts w:ascii="Garamond" w:hAnsi="Garamond" w:cs="Times New Roman CYR"/>
                <w:sz w:val="22"/>
                <w:szCs w:val="22"/>
              </w:rPr>
            </w:pPr>
            <w:r w:rsidRPr="00D42866">
              <w:rPr>
                <w:rFonts w:ascii="Garamond" w:hAnsi="Garamond" w:cs="Times New Roman CYR"/>
                <w:sz w:val="22"/>
                <w:szCs w:val="22"/>
              </w:rPr>
              <w:t>Тип</w:t>
            </w:r>
          </w:p>
        </w:tc>
        <w:tc>
          <w:tcPr>
            <w:tcW w:w="2151" w:type="dxa"/>
          </w:tcPr>
          <w:p w14:paraId="5A270048" w14:textId="77777777" w:rsidR="004B3B82" w:rsidRPr="00D42866" w:rsidRDefault="004B3B82" w:rsidP="00CD3B05">
            <w:pPr>
              <w:overflowPunct w:val="0"/>
              <w:autoSpaceDE w:val="0"/>
              <w:autoSpaceDN w:val="0"/>
              <w:adjustRightInd w:val="0"/>
              <w:ind w:right="21"/>
              <w:rPr>
                <w:rFonts w:ascii="Garamond" w:hAnsi="Garamond" w:cs="Times New Roman CYR"/>
                <w:sz w:val="22"/>
                <w:szCs w:val="22"/>
                <w:lang w:val="en-US"/>
              </w:rPr>
            </w:pPr>
            <w:r w:rsidRPr="00D42866">
              <w:rPr>
                <w:rFonts w:ascii="Garamond" w:hAnsi="Garamond" w:cs="Times New Roman CYR"/>
                <w:sz w:val="22"/>
                <w:szCs w:val="22"/>
              </w:rPr>
              <w:t xml:space="preserve"> ЗНОЛ-СЭЩ-10-1</w:t>
            </w:r>
          </w:p>
        </w:tc>
        <w:tc>
          <w:tcPr>
            <w:tcW w:w="1762" w:type="dxa"/>
          </w:tcPr>
          <w:p w14:paraId="2542A173" w14:textId="77777777" w:rsidR="004B3B82" w:rsidRPr="00D42866" w:rsidRDefault="004B3B82" w:rsidP="00CD3B05">
            <w:pPr>
              <w:overflowPunct w:val="0"/>
              <w:autoSpaceDE w:val="0"/>
              <w:autoSpaceDN w:val="0"/>
              <w:adjustRightInd w:val="0"/>
              <w:ind w:right="21"/>
              <w:rPr>
                <w:rFonts w:ascii="Garamond" w:hAnsi="Garamond" w:cs="Times New Roman CYR"/>
                <w:sz w:val="22"/>
                <w:szCs w:val="22"/>
              </w:rPr>
            </w:pPr>
            <w:r w:rsidRPr="00D42866">
              <w:rPr>
                <w:rFonts w:ascii="Garamond" w:hAnsi="Garamond" w:cs="Times New Roman CYR"/>
                <w:sz w:val="22"/>
                <w:szCs w:val="22"/>
              </w:rPr>
              <w:t>Зав. №</w:t>
            </w:r>
          </w:p>
        </w:tc>
        <w:tc>
          <w:tcPr>
            <w:tcW w:w="1640" w:type="dxa"/>
          </w:tcPr>
          <w:p w14:paraId="083883B6" w14:textId="77777777" w:rsidR="004B3B82" w:rsidRPr="00D42866" w:rsidRDefault="004B3B82" w:rsidP="00CD3B05">
            <w:pPr>
              <w:overflowPunct w:val="0"/>
              <w:autoSpaceDE w:val="0"/>
              <w:autoSpaceDN w:val="0"/>
              <w:adjustRightInd w:val="0"/>
              <w:ind w:right="21"/>
              <w:rPr>
                <w:rFonts w:ascii="Garamond" w:hAnsi="Garamond" w:cs="Times New Roman CYR"/>
                <w:sz w:val="22"/>
                <w:szCs w:val="22"/>
              </w:rPr>
            </w:pPr>
            <w:r w:rsidRPr="00D42866">
              <w:rPr>
                <w:rFonts w:ascii="Garamond" w:hAnsi="Garamond" w:cs="Times New Roman CYR"/>
                <w:sz w:val="22"/>
                <w:szCs w:val="22"/>
              </w:rPr>
              <w:t>02633-10</w:t>
            </w:r>
          </w:p>
        </w:tc>
        <w:tc>
          <w:tcPr>
            <w:tcW w:w="2350" w:type="dxa"/>
          </w:tcPr>
          <w:p w14:paraId="7B2182CE" w14:textId="77777777" w:rsidR="004B3B82" w:rsidRPr="00D42866" w:rsidRDefault="004B3B82" w:rsidP="00CD3B05">
            <w:pPr>
              <w:overflowPunct w:val="0"/>
              <w:autoSpaceDE w:val="0"/>
              <w:autoSpaceDN w:val="0"/>
              <w:adjustRightInd w:val="0"/>
              <w:ind w:right="21"/>
              <w:rPr>
                <w:rFonts w:ascii="Garamond" w:hAnsi="Garamond" w:cs="Times New Roman CYR"/>
                <w:sz w:val="22"/>
                <w:szCs w:val="22"/>
              </w:rPr>
            </w:pPr>
            <w:r w:rsidRPr="00D42866">
              <w:rPr>
                <w:rFonts w:ascii="Garamond" w:hAnsi="Garamond" w:cs="Times New Roman CYR"/>
                <w:sz w:val="22"/>
                <w:szCs w:val="22"/>
              </w:rPr>
              <w:t>Класс точности</w:t>
            </w:r>
          </w:p>
        </w:tc>
        <w:tc>
          <w:tcPr>
            <w:tcW w:w="837" w:type="dxa"/>
          </w:tcPr>
          <w:p w14:paraId="4FA400B0" w14:textId="77777777" w:rsidR="004B3B82" w:rsidRPr="00D42866" w:rsidRDefault="004B3B82" w:rsidP="00CD3B05">
            <w:pPr>
              <w:overflowPunct w:val="0"/>
              <w:autoSpaceDE w:val="0"/>
              <w:autoSpaceDN w:val="0"/>
              <w:adjustRightInd w:val="0"/>
              <w:ind w:right="21"/>
              <w:rPr>
                <w:rFonts w:ascii="Garamond" w:hAnsi="Garamond" w:cs="Times New Roman CYR"/>
                <w:sz w:val="22"/>
                <w:szCs w:val="22"/>
              </w:rPr>
            </w:pPr>
            <w:r w:rsidRPr="00D42866">
              <w:rPr>
                <w:rFonts w:ascii="Garamond" w:hAnsi="Garamond" w:cs="Times New Roman CYR"/>
                <w:sz w:val="22"/>
                <w:szCs w:val="22"/>
              </w:rPr>
              <w:t>0.5</w:t>
            </w:r>
          </w:p>
        </w:tc>
      </w:tr>
      <w:tr w:rsidR="004B3B82" w:rsidRPr="00D42866" w14:paraId="0C089145" w14:textId="77777777" w:rsidTr="00CD3B05">
        <w:tc>
          <w:tcPr>
            <w:tcW w:w="1511" w:type="dxa"/>
          </w:tcPr>
          <w:p w14:paraId="653FE900" w14:textId="77777777" w:rsidR="004B3B82" w:rsidRPr="00D42866" w:rsidRDefault="004B3B82" w:rsidP="00CD3B05">
            <w:pPr>
              <w:overflowPunct w:val="0"/>
              <w:autoSpaceDE w:val="0"/>
              <w:autoSpaceDN w:val="0"/>
              <w:adjustRightInd w:val="0"/>
              <w:ind w:right="21"/>
              <w:rPr>
                <w:rFonts w:ascii="Garamond" w:hAnsi="Garamond" w:cs="Times New Roman CYR"/>
                <w:sz w:val="22"/>
                <w:szCs w:val="22"/>
              </w:rPr>
            </w:pPr>
            <w:r w:rsidRPr="00D42866">
              <w:rPr>
                <w:rFonts w:ascii="Garamond" w:hAnsi="Garamond" w:cs="Times New Roman CYR"/>
                <w:sz w:val="22"/>
                <w:szCs w:val="22"/>
              </w:rPr>
              <w:t>Коэф. трансформ.</w:t>
            </w:r>
          </w:p>
        </w:tc>
        <w:tc>
          <w:tcPr>
            <w:tcW w:w="2151" w:type="dxa"/>
          </w:tcPr>
          <w:p w14:paraId="5FDA8AAD" w14:textId="77777777" w:rsidR="004B3B82" w:rsidRPr="00D42866" w:rsidRDefault="004B3B82" w:rsidP="00CD3B05">
            <w:pPr>
              <w:overflowPunct w:val="0"/>
              <w:autoSpaceDE w:val="0"/>
              <w:autoSpaceDN w:val="0"/>
              <w:adjustRightInd w:val="0"/>
              <w:ind w:right="21"/>
              <w:rPr>
                <w:rFonts w:ascii="Garamond" w:hAnsi="Garamond" w:cs="Times New Roman CYR"/>
                <w:sz w:val="22"/>
                <w:szCs w:val="22"/>
              </w:rPr>
            </w:pPr>
            <w:r w:rsidRPr="00D42866">
              <w:rPr>
                <w:rFonts w:ascii="Garamond" w:hAnsi="Garamond" w:cs="Times New Roman CYR"/>
                <w:sz w:val="22"/>
                <w:szCs w:val="22"/>
              </w:rPr>
              <w:t>10000/√3:100/√3</w:t>
            </w:r>
          </w:p>
        </w:tc>
        <w:tc>
          <w:tcPr>
            <w:tcW w:w="1762" w:type="dxa"/>
          </w:tcPr>
          <w:p w14:paraId="5E06FB58" w14:textId="77777777" w:rsidR="004B3B82" w:rsidRPr="00D42866" w:rsidRDefault="004B3B82" w:rsidP="00CD3B05">
            <w:pPr>
              <w:overflowPunct w:val="0"/>
              <w:autoSpaceDE w:val="0"/>
              <w:autoSpaceDN w:val="0"/>
              <w:adjustRightInd w:val="0"/>
              <w:ind w:right="21"/>
              <w:rPr>
                <w:rFonts w:ascii="Garamond" w:hAnsi="Garamond" w:cs="Times New Roman CYR"/>
                <w:sz w:val="22"/>
                <w:szCs w:val="22"/>
              </w:rPr>
            </w:pPr>
            <w:r w:rsidRPr="00D42866">
              <w:rPr>
                <w:rFonts w:ascii="Garamond" w:hAnsi="Garamond" w:cs="Times New Roman CYR"/>
                <w:sz w:val="22"/>
                <w:szCs w:val="22"/>
              </w:rPr>
              <w:t>Номинальная мощность, ВА*</w:t>
            </w:r>
          </w:p>
        </w:tc>
        <w:tc>
          <w:tcPr>
            <w:tcW w:w="1640" w:type="dxa"/>
          </w:tcPr>
          <w:p w14:paraId="4CE53968" w14:textId="77777777" w:rsidR="004B3B82" w:rsidRPr="00D42866" w:rsidRDefault="004B3B82" w:rsidP="00CD3B05">
            <w:pPr>
              <w:overflowPunct w:val="0"/>
              <w:autoSpaceDE w:val="0"/>
              <w:autoSpaceDN w:val="0"/>
              <w:adjustRightInd w:val="0"/>
              <w:ind w:right="21"/>
              <w:rPr>
                <w:rFonts w:ascii="Garamond" w:hAnsi="Garamond" w:cs="Times New Roman CYR"/>
                <w:sz w:val="22"/>
                <w:szCs w:val="22"/>
              </w:rPr>
            </w:pPr>
            <w:r w:rsidRPr="00D42866">
              <w:rPr>
                <w:rFonts w:ascii="Garamond" w:hAnsi="Garamond" w:cs="Times New Roman CYR"/>
                <w:sz w:val="22"/>
                <w:szCs w:val="22"/>
              </w:rPr>
              <w:t>75</w:t>
            </w:r>
          </w:p>
        </w:tc>
        <w:tc>
          <w:tcPr>
            <w:tcW w:w="2350" w:type="dxa"/>
          </w:tcPr>
          <w:p w14:paraId="10D82DD7" w14:textId="77777777" w:rsidR="004B3B82" w:rsidRPr="00D42866" w:rsidRDefault="004B3B82" w:rsidP="00CD3B05">
            <w:pPr>
              <w:overflowPunct w:val="0"/>
              <w:autoSpaceDE w:val="0"/>
              <w:autoSpaceDN w:val="0"/>
              <w:adjustRightInd w:val="0"/>
              <w:ind w:right="21"/>
              <w:rPr>
                <w:rFonts w:ascii="Garamond" w:hAnsi="Garamond" w:cs="Times New Roman CYR"/>
                <w:sz w:val="22"/>
                <w:szCs w:val="22"/>
              </w:rPr>
            </w:pPr>
            <w:r w:rsidRPr="00D42866">
              <w:rPr>
                <w:rFonts w:ascii="Garamond" w:hAnsi="Garamond" w:cs="Times New Roman CYR"/>
                <w:sz w:val="22"/>
                <w:szCs w:val="22"/>
              </w:rPr>
              <w:t>Факт. нагрузка, ВА*</w:t>
            </w:r>
          </w:p>
        </w:tc>
        <w:tc>
          <w:tcPr>
            <w:tcW w:w="837" w:type="dxa"/>
          </w:tcPr>
          <w:p w14:paraId="50634987" w14:textId="77777777" w:rsidR="004B3B82" w:rsidRPr="00D42866" w:rsidRDefault="004B3B82" w:rsidP="00CD3B05">
            <w:pPr>
              <w:overflowPunct w:val="0"/>
              <w:autoSpaceDE w:val="0"/>
              <w:autoSpaceDN w:val="0"/>
              <w:adjustRightInd w:val="0"/>
              <w:ind w:right="21"/>
              <w:rPr>
                <w:rFonts w:ascii="Garamond" w:hAnsi="Garamond" w:cs="Times New Roman CYR"/>
                <w:sz w:val="22"/>
                <w:szCs w:val="22"/>
              </w:rPr>
            </w:pPr>
            <w:r w:rsidRPr="00D42866">
              <w:rPr>
                <w:rFonts w:ascii="Garamond" w:hAnsi="Garamond" w:cs="Times New Roman CYR"/>
                <w:sz w:val="22"/>
                <w:szCs w:val="22"/>
              </w:rPr>
              <w:t>62</w:t>
            </w:r>
          </w:p>
        </w:tc>
      </w:tr>
      <w:tr w:rsidR="004B3B82" w:rsidRPr="00D42866" w14:paraId="6916DCC9" w14:textId="77777777" w:rsidTr="00CD3B05">
        <w:tc>
          <w:tcPr>
            <w:tcW w:w="1511" w:type="dxa"/>
          </w:tcPr>
          <w:p w14:paraId="3FB9B3A5" w14:textId="77777777" w:rsidR="004B3B82" w:rsidRPr="00D42866" w:rsidRDefault="004B3B82" w:rsidP="00CD3B05">
            <w:pPr>
              <w:overflowPunct w:val="0"/>
              <w:autoSpaceDE w:val="0"/>
              <w:autoSpaceDN w:val="0"/>
              <w:adjustRightInd w:val="0"/>
              <w:ind w:right="21"/>
              <w:rPr>
                <w:rFonts w:ascii="Garamond" w:hAnsi="Garamond" w:cs="Times New Roman CYR"/>
                <w:sz w:val="22"/>
                <w:szCs w:val="22"/>
              </w:rPr>
            </w:pPr>
            <w:r w:rsidRPr="00D42866">
              <w:rPr>
                <w:rFonts w:ascii="Garamond" w:hAnsi="Garamond" w:cs="Times New Roman CYR"/>
                <w:sz w:val="22"/>
                <w:szCs w:val="22"/>
              </w:rPr>
              <w:t>Госреестр №</w:t>
            </w:r>
          </w:p>
        </w:tc>
        <w:tc>
          <w:tcPr>
            <w:tcW w:w="2151" w:type="dxa"/>
          </w:tcPr>
          <w:p w14:paraId="522DA7E4" w14:textId="77777777" w:rsidR="004B3B82" w:rsidRPr="00D42866" w:rsidRDefault="004B3B82" w:rsidP="00CD3B05">
            <w:pPr>
              <w:overflowPunct w:val="0"/>
              <w:autoSpaceDE w:val="0"/>
              <w:autoSpaceDN w:val="0"/>
              <w:adjustRightInd w:val="0"/>
              <w:ind w:right="21"/>
              <w:rPr>
                <w:rFonts w:ascii="Garamond" w:hAnsi="Garamond" w:cs="Times New Roman CYR"/>
                <w:sz w:val="22"/>
                <w:szCs w:val="22"/>
              </w:rPr>
            </w:pPr>
            <w:r w:rsidRPr="00D42866">
              <w:rPr>
                <w:rFonts w:ascii="Garamond" w:hAnsi="Garamond" w:cs="Times New Roman CYR"/>
                <w:sz w:val="22"/>
                <w:szCs w:val="22"/>
              </w:rPr>
              <w:t>55024-13</w:t>
            </w:r>
          </w:p>
        </w:tc>
        <w:tc>
          <w:tcPr>
            <w:tcW w:w="1762" w:type="dxa"/>
          </w:tcPr>
          <w:p w14:paraId="3C8EC5B2" w14:textId="77777777" w:rsidR="004B3B82" w:rsidRPr="00D42866" w:rsidRDefault="004B3B82" w:rsidP="00CD3B05">
            <w:pPr>
              <w:overflowPunct w:val="0"/>
              <w:autoSpaceDE w:val="0"/>
              <w:autoSpaceDN w:val="0"/>
              <w:adjustRightInd w:val="0"/>
              <w:ind w:right="21"/>
              <w:rPr>
                <w:rFonts w:ascii="Garamond" w:hAnsi="Garamond" w:cs="Times New Roman CYR"/>
                <w:sz w:val="22"/>
                <w:szCs w:val="22"/>
              </w:rPr>
            </w:pPr>
            <w:r w:rsidRPr="00D42866">
              <w:rPr>
                <w:rFonts w:ascii="Garamond" w:hAnsi="Garamond" w:cs="Times New Roman CYR"/>
                <w:sz w:val="22"/>
                <w:szCs w:val="22"/>
              </w:rPr>
              <w:t>Дата последней поверки</w:t>
            </w:r>
          </w:p>
        </w:tc>
        <w:tc>
          <w:tcPr>
            <w:tcW w:w="1640" w:type="dxa"/>
          </w:tcPr>
          <w:p w14:paraId="4C431EC5" w14:textId="77777777" w:rsidR="004B3B82" w:rsidRPr="00D42866" w:rsidRDefault="004B3B82" w:rsidP="00CD3B05">
            <w:pPr>
              <w:overflowPunct w:val="0"/>
              <w:autoSpaceDE w:val="0"/>
              <w:autoSpaceDN w:val="0"/>
              <w:adjustRightInd w:val="0"/>
              <w:ind w:right="21"/>
              <w:rPr>
                <w:rFonts w:ascii="Garamond" w:hAnsi="Garamond" w:cs="Times New Roman CYR"/>
                <w:sz w:val="22"/>
                <w:szCs w:val="22"/>
              </w:rPr>
            </w:pPr>
            <w:r w:rsidRPr="00D42866">
              <w:rPr>
                <w:rFonts w:ascii="Garamond" w:hAnsi="Garamond" w:cs="Times New Roman CYR"/>
                <w:sz w:val="22"/>
                <w:szCs w:val="22"/>
              </w:rPr>
              <w:t>01.04.2019</w:t>
            </w:r>
          </w:p>
        </w:tc>
        <w:tc>
          <w:tcPr>
            <w:tcW w:w="2350" w:type="dxa"/>
          </w:tcPr>
          <w:p w14:paraId="460054FE" w14:textId="77777777" w:rsidR="004B3B82" w:rsidRPr="00D42866" w:rsidRDefault="004B3B82" w:rsidP="00CD3B05">
            <w:pPr>
              <w:overflowPunct w:val="0"/>
              <w:autoSpaceDE w:val="0"/>
              <w:autoSpaceDN w:val="0"/>
              <w:adjustRightInd w:val="0"/>
              <w:ind w:right="21"/>
              <w:rPr>
                <w:rFonts w:ascii="Garamond" w:hAnsi="Garamond" w:cs="Times New Roman CYR"/>
                <w:sz w:val="22"/>
                <w:szCs w:val="22"/>
              </w:rPr>
            </w:pPr>
            <w:r w:rsidRPr="00D42866">
              <w:rPr>
                <w:rFonts w:ascii="Garamond" w:hAnsi="Garamond" w:cs="Times New Roman CYR"/>
                <w:sz w:val="22"/>
                <w:szCs w:val="22"/>
              </w:rPr>
              <w:t>Межповерочный интервал, лет</w:t>
            </w:r>
          </w:p>
        </w:tc>
        <w:tc>
          <w:tcPr>
            <w:tcW w:w="837" w:type="dxa"/>
          </w:tcPr>
          <w:p w14:paraId="15C95D8E" w14:textId="77777777" w:rsidR="004B3B82" w:rsidRPr="00D42866" w:rsidRDefault="004B3B82" w:rsidP="00CD3B05">
            <w:pPr>
              <w:overflowPunct w:val="0"/>
              <w:autoSpaceDE w:val="0"/>
              <w:autoSpaceDN w:val="0"/>
              <w:adjustRightInd w:val="0"/>
              <w:ind w:right="21"/>
              <w:rPr>
                <w:rFonts w:ascii="Garamond" w:hAnsi="Garamond" w:cs="Times New Roman CYR"/>
                <w:sz w:val="22"/>
                <w:szCs w:val="22"/>
              </w:rPr>
            </w:pPr>
            <w:r w:rsidRPr="00D42866">
              <w:rPr>
                <w:rFonts w:ascii="Garamond" w:hAnsi="Garamond" w:cs="Times New Roman CYR"/>
                <w:sz w:val="22"/>
                <w:szCs w:val="22"/>
              </w:rPr>
              <w:t>8</w:t>
            </w:r>
          </w:p>
        </w:tc>
      </w:tr>
      <w:tr w:rsidR="004B3B82" w:rsidRPr="00D42866" w14:paraId="6628CD5A" w14:textId="77777777" w:rsidTr="00CD3B05">
        <w:tc>
          <w:tcPr>
            <w:tcW w:w="10251" w:type="dxa"/>
            <w:gridSpan w:val="6"/>
          </w:tcPr>
          <w:p w14:paraId="2D2100CF" w14:textId="77777777" w:rsidR="004B3B82" w:rsidRPr="00D42866" w:rsidRDefault="004B3B82" w:rsidP="00CD3B05">
            <w:pPr>
              <w:overflowPunct w:val="0"/>
              <w:autoSpaceDE w:val="0"/>
              <w:autoSpaceDN w:val="0"/>
              <w:adjustRightInd w:val="0"/>
              <w:ind w:right="21"/>
              <w:jc w:val="center"/>
              <w:rPr>
                <w:rFonts w:ascii="Garamond" w:hAnsi="Garamond" w:cs="Times New Roman CYR"/>
                <w:sz w:val="22"/>
                <w:szCs w:val="22"/>
              </w:rPr>
            </w:pPr>
            <w:r w:rsidRPr="00D42866">
              <w:rPr>
                <w:rFonts w:ascii="Garamond" w:hAnsi="Garamond" w:cs="Times New Roman CYR"/>
                <w:sz w:val="22"/>
                <w:szCs w:val="22"/>
              </w:rPr>
              <w:t>Фаза В</w:t>
            </w:r>
          </w:p>
        </w:tc>
      </w:tr>
      <w:tr w:rsidR="004B3B82" w:rsidRPr="00D42866" w14:paraId="44AB2560" w14:textId="77777777" w:rsidTr="00CD3B05">
        <w:tc>
          <w:tcPr>
            <w:tcW w:w="1511" w:type="dxa"/>
          </w:tcPr>
          <w:p w14:paraId="465AF2D3" w14:textId="77777777" w:rsidR="004B3B82" w:rsidRPr="00D42866" w:rsidRDefault="004B3B82" w:rsidP="00CD3B05">
            <w:pPr>
              <w:overflowPunct w:val="0"/>
              <w:autoSpaceDE w:val="0"/>
              <w:autoSpaceDN w:val="0"/>
              <w:adjustRightInd w:val="0"/>
              <w:ind w:right="21"/>
              <w:rPr>
                <w:rFonts w:ascii="Garamond" w:hAnsi="Garamond" w:cs="Times New Roman CYR"/>
                <w:sz w:val="22"/>
                <w:szCs w:val="22"/>
              </w:rPr>
            </w:pPr>
            <w:r w:rsidRPr="00D42866">
              <w:rPr>
                <w:rFonts w:ascii="Garamond" w:hAnsi="Garamond" w:cs="Times New Roman CYR"/>
                <w:sz w:val="22"/>
                <w:szCs w:val="22"/>
              </w:rPr>
              <w:t>Тип</w:t>
            </w:r>
          </w:p>
        </w:tc>
        <w:tc>
          <w:tcPr>
            <w:tcW w:w="2151" w:type="dxa"/>
          </w:tcPr>
          <w:p w14:paraId="2A226F88" w14:textId="77777777" w:rsidR="004B3B82" w:rsidRPr="00D42866" w:rsidRDefault="004B3B82" w:rsidP="00CD3B05">
            <w:pPr>
              <w:overflowPunct w:val="0"/>
              <w:autoSpaceDE w:val="0"/>
              <w:autoSpaceDN w:val="0"/>
              <w:adjustRightInd w:val="0"/>
              <w:ind w:right="21"/>
              <w:rPr>
                <w:rFonts w:ascii="Garamond" w:hAnsi="Garamond" w:cs="Times New Roman CYR"/>
                <w:sz w:val="22"/>
                <w:szCs w:val="22"/>
                <w:lang w:val="en-US"/>
              </w:rPr>
            </w:pPr>
            <w:r w:rsidRPr="00D42866">
              <w:rPr>
                <w:rFonts w:ascii="Garamond" w:hAnsi="Garamond" w:cs="Times New Roman CYR"/>
                <w:sz w:val="22"/>
                <w:szCs w:val="22"/>
              </w:rPr>
              <w:t xml:space="preserve"> ЗНОЛ-СЭЩ-10-1</w:t>
            </w:r>
          </w:p>
        </w:tc>
        <w:tc>
          <w:tcPr>
            <w:tcW w:w="1762" w:type="dxa"/>
          </w:tcPr>
          <w:p w14:paraId="061D76F2" w14:textId="77777777" w:rsidR="004B3B82" w:rsidRPr="00D42866" w:rsidRDefault="004B3B82" w:rsidP="00CD3B05">
            <w:pPr>
              <w:overflowPunct w:val="0"/>
              <w:autoSpaceDE w:val="0"/>
              <w:autoSpaceDN w:val="0"/>
              <w:adjustRightInd w:val="0"/>
              <w:ind w:right="21"/>
              <w:rPr>
                <w:rFonts w:ascii="Garamond" w:hAnsi="Garamond" w:cs="Times New Roman CYR"/>
                <w:sz w:val="22"/>
                <w:szCs w:val="22"/>
              </w:rPr>
            </w:pPr>
            <w:r w:rsidRPr="00D42866">
              <w:rPr>
                <w:rFonts w:ascii="Garamond" w:hAnsi="Garamond" w:cs="Times New Roman CYR"/>
                <w:sz w:val="22"/>
                <w:szCs w:val="22"/>
              </w:rPr>
              <w:t>Зав. №</w:t>
            </w:r>
          </w:p>
        </w:tc>
        <w:tc>
          <w:tcPr>
            <w:tcW w:w="1640" w:type="dxa"/>
          </w:tcPr>
          <w:p w14:paraId="3368E0C8" w14:textId="77777777" w:rsidR="004B3B82" w:rsidRPr="00D42866" w:rsidRDefault="004B3B82" w:rsidP="00CD3B05">
            <w:pPr>
              <w:overflowPunct w:val="0"/>
              <w:autoSpaceDE w:val="0"/>
              <w:autoSpaceDN w:val="0"/>
              <w:adjustRightInd w:val="0"/>
              <w:ind w:right="21"/>
              <w:rPr>
                <w:rFonts w:ascii="Garamond" w:hAnsi="Garamond" w:cs="Times New Roman CYR"/>
                <w:sz w:val="22"/>
                <w:szCs w:val="22"/>
              </w:rPr>
            </w:pPr>
            <w:r w:rsidRPr="00D42866">
              <w:rPr>
                <w:rFonts w:ascii="Garamond" w:hAnsi="Garamond" w:cs="Times New Roman CYR"/>
                <w:sz w:val="22"/>
                <w:szCs w:val="22"/>
              </w:rPr>
              <w:t>02634-10</w:t>
            </w:r>
          </w:p>
        </w:tc>
        <w:tc>
          <w:tcPr>
            <w:tcW w:w="2350" w:type="dxa"/>
          </w:tcPr>
          <w:p w14:paraId="59841B57" w14:textId="77777777" w:rsidR="004B3B82" w:rsidRPr="00D42866" w:rsidRDefault="004B3B82" w:rsidP="00CD3B05">
            <w:pPr>
              <w:overflowPunct w:val="0"/>
              <w:autoSpaceDE w:val="0"/>
              <w:autoSpaceDN w:val="0"/>
              <w:adjustRightInd w:val="0"/>
              <w:ind w:right="21"/>
              <w:rPr>
                <w:rFonts w:ascii="Garamond" w:hAnsi="Garamond" w:cs="Times New Roman CYR"/>
                <w:sz w:val="22"/>
                <w:szCs w:val="22"/>
              </w:rPr>
            </w:pPr>
            <w:r w:rsidRPr="00D42866">
              <w:rPr>
                <w:rFonts w:ascii="Garamond" w:hAnsi="Garamond" w:cs="Times New Roman CYR"/>
                <w:sz w:val="22"/>
                <w:szCs w:val="22"/>
              </w:rPr>
              <w:t>Класс точности</w:t>
            </w:r>
          </w:p>
        </w:tc>
        <w:tc>
          <w:tcPr>
            <w:tcW w:w="837" w:type="dxa"/>
          </w:tcPr>
          <w:p w14:paraId="3C19CBC5" w14:textId="77777777" w:rsidR="004B3B82" w:rsidRPr="00D42866" w:rsidRDefault="004B3B82" w:rsidP="00CD3B05">
            <w:pPr>
              <w:overflowPunct w:val="0"/>
              <w:autoSpaceDE w:val="0"/>
              <w:autoSpaceDN w:val="0"/>
              <w:adjustRightInd w:val="0"/>
              <w:ind w:right="21"/>
              <w:rPr>
                <w:rFonts w:ascii="Garamond" w:hAnsi="Garamond" w:cs="Times New Roman CYR"/>
                <w:sz w:val="22"/>
                <w:szCs w:val="22"/>
              </w:rPr>
            </w:pPr>
            <w:r w:rsidRPr="00D42866">
              <w:rPr>
                <w:rFonts w:ascii="Garamond" w:hAnsi="Garamond" w:cs="Times New Roman CYR"/>
                <w:sz w:val="22"/>
                <w:szCs w:val="22"/>
              </w:rPr>
              <w:t>0.5</w:t>
            </w:r>
          </w:p>
        </w:tc>
      </w:tr>
      <w:tr w:rsidR="004B3B82" w:rsidRPr="00D42866" w14:paraId="54DC184E" w14:textId="77777777" w:rsidTr="00CD3B05">
        <w:tc>
          <w:tcPr>
            <w:tcW w:w="1511" w:type="dxa"/>
          </w:tcPr>
          <w:p w14:paraId="74C5A16C" w14:textId="77777777" w:rsidR="004B3B82" w:rsidRPr="00D42866" w:rsidRDefault="004B3B82" w:rsidP="00CD3B05">
            <w:pPr>
              <w:overflowPunct w:val="0"/>
              <w:autoSpaceDE w:val="0"/>
              <w:autoSpaceDN w:val="0"/>
              <w:adjustRightInd w:val="0"/>
              <w:ind w:right="21"/>
              <w:rPr>
                <w:rFonts w:ascii="Garamond" w:hAnsi="Garamond" w:cs="Times New Roman CYR"/>
                <w:sz w:val="22"/>
                <w:szCs w:val="22"/>
              </w:rPr>
            </w:pPr>
            <w:r w:rsidRPr="00D42866">
              <w:rPr>
                <w:rFonts w:ascii="Garamond" w:hAnsi="Garamond" w:cs="Times New Roman CYR"/>
                <w:sz w:val="22"/>
                <w:szCs w:val="22"/>
              </w:rPr>
              <w:t>Коэф. трансформ.</w:t>
            </w:r>
          </w:p>
        </w:tc>
        <w:tc>
          <w:tcPr>
            <w:tcW w:w="2151" w:type="dxa"/>
          </w:tcPr>
          <w:p w14:paraId="5CCEAC5C" w14:textId="77777777" w:rsidR="004B3B82" w:rsidRPr="00D42866" w:rsidRDefault="004B3B82" w:rsidP="00CD3B05">
            <w:pPr>
              <w:overflowPunct w:val="0"/>
              <w:autoSpaceDE w:val="0"/>
              <w:autoSpaceDN w:val="0"/>
              <w:adjustRightInd w:val="0"/>
              <w:ind w:right="21"/>
              <w:rPr>
                <w:rFonts w:ascii="Garamond" w:hAnsi="Garamond" w:cs="Times New Roman CYR"/>
                <w:sz w:val="22"/>
                <w:szCs w:val="22"/>
              </w:rPr>
            </w:pPr>
            <w:r w:rsidRPr="00D42866">
              <w:rPr>
                <w:rFonts w:ascii="Garamond" w:hAnsi="Garamond" w:cs="Times New Roman CYR"/>
                <w:sz w:val="22"/>
                <w:szCs w:val="22"/>
              </w:rPr>
              <w:t>10000/√3:100/√3</w:t>
            </w:r>
          </w:p>
        </w:tc>
        <w:tc>
          <w:tcPr>
            <w:tcW w:w="1762" w:type="dxa"/>
          </w:tcPr>
          <w:p w14:paraId="7FB736A3" w14:textId="77777777" w:rsidR="004B3B82" w:rsidRPr="00D42866" w:rsidRDefault="004B3B82" w:rsidP="00CD3B05">
            <w:pPr>
              <w:overflowPunct w:val="0"/>
              <w:autoSpaceDE w:val="0"/>
              <w:autoSpaceDN w:val="0"/>
              <w:adjustRightInd w:val="0"/>
              <w:ind w:right="21"/>
              <w:rPr>
                <w:rFonts w:ascii="Garamond" w:hAnsi="Garamond" w:cs="Times New Roman CYR"/>
                <w:sz w:val="22"/>
                <w:szCs w:val="22"/>
              </w:rPr>
            </w:pPr>
            <w:r w:rsidRPr="00D42866">
              <w:rPr>
                <w:rFonts w:ascii="Garamond" w:hAnsi="Garamond" w:cs="Times New Roman CYR"/>
                <w:sz w:val="22"/>
                <w:szCs w:val="22"/>
              </w:rPr>
              <w:t>Номинальная мощность, ВА*</w:t>
            </w:r>
          </w:p>
        </w:tc>
        <w:tc>
          <w:tcPr>
            <w:tcW w:w="1640" w:type="dxa"/>
          </w:tcPr>
          <w:p w14:paraId="32B7F6AA" w14:textId="77777777" w:rsidR="004B3B82" w:rsidRPr="00D42866" w:rsidRDefault="004B3B82" w:rsidP="00CD3B05">
            <w:pPr>
              <w:overflowPunct w:val="0"/>
              <w:autoSpaceDE w:val="0"/>
              <w:autoSpaceDN w:val="0"/>
              <w:adjustRightInd w:val="0"/>
              <w:ind w:right="21"/>
              <w:rPr>
                <w:rFonts w:ascii="Garamond" w:hAnsi="Garamond" w:cs="Times New Roman CYR"/>
                <w:sz w:val="22"/>
                <w:szCs w:val="22"/>
              </w:rPr>
            </w:pPr>
            <w:r w:rsidRPr="00D42866">
              <w:rPr>
                <w:rFonts w:ascii="Garamond" w:hAnsi="Garamond" w:cs="Times New Roman CYR"/>
                <w:sz w:val="22"/>
                <w:szCs w:val="22"/>
              </w:rPr>
              <w:t>75</w:t>
            </w:r>
          </w:p>
        </w:tc>
        <w:tc>
          <w:tcPr>
            <w:tcW w:w="2350" w:type="dxa"/>
          </w:tcPr>
          <w:p w14:paraId="567E9D84" w14:textId="77777777" w:rsidR="004B3B82" w:rsidRPr="00D42866" w:rsidRDefault="004B3B82" w:rsidP="00CD3B05">
            <w:pPr>
              <w:overflowPunct w:val="0"/>
              <w:autoSpaceDE w:val="0"/>
              <w:autoSpaceDN w:val="0"/>
              <w:adjustRightInd w:val="0"/>
              <w:ind w:right="21"/>
              <w:rPr>
                <w:rFonts w:ascii="Garamond" w:hAnsi="Garamond" w:cs="Times New Roman CYR"/>
                <w:sz w:val="22"/>
                <w:szCs w:val="22"/>
              </w:rPr>
            </w:pPr>
            <w:r w:rsidRPr="00D42866">
              <w:rPr>
                <w:rFonts w:ascii="Garamond" w:hAnsi="Garamond" w:cs="Times New Roman CYR"/>
                <w:sz w:val="22"/>
                <w:szCs w:val="22"/>
              </w:rPr>
              <w:t>Факт. нагрузка, ВА*</w:t>
            </w:r>
          </w:p>
        </w:tc>
        <w:tc>
          <w:tcPr>
            <w:tcW w:w="837" w:type="dxa"/>
          </w:tcPr>
          <w:p w14:paraId="526DAEEA" w14:textId="77777777" w:rsidR="004B3B82" w:rsidRPr="00D42866" w:rsidRDefault="004B3B82" w:rsidP="00CD3B05">
            <w:pPr>
              <w:overflowPunct w:val="0"/>
              <w:autoSpaceDE w:val="0"/>
              <w:autoSpaceDN w:val="0"/>
              <w:adjustRightInd w:val="0"/>
              <w:ind w:right="21"/>
              <w:rPr>
                <w:rFonts w:ascii="Garamond" w:hAnsi="Garamond" w:cs="Times New Roman CYR"/>
                <w:sz w:val="22"/>
                <w:szCs w:val="22"/>
              </w:rPr>
            </w:pPr>
            <w:r w:rsidRPr="00D42866">
              <w:rPr>
                <w:rFonts w:ascii="Garamond" w:hAnsi="Garamond" w:cs="Times New Roman CYR"/>
                <w:sz w:val="22"/>
                <w:szCs w:val="22"/>
              </w:rPr>
              <w:t>63</w:t>
            </w:r>
          </w:p>
        </w:tc>
      </w:tr>
      <w:tr w:rsidR="004B3B82" w:rsidRPr="00D42866" w14:paraId="7EA6D4F8" w14:textId="77777777" w:rsidTr="00CD3B05">
        <w:tc>
          <w:tcPr>
            <w:tcW w:w="1511" w:type="dxa"/>
          </w:tcPr>
          <w:p w14:paraId="1A9D4540" w14:textId="77777777" w:rsidR="004B3B82" w:rsidRPr="00D42866" w:rsidRDefault="004B3B82" w:rsidP="00CD3B05">
            <w:pPr>
              <w:overflowPunct w:val="0"/>
              <w:autoSpaceDE w:val="0"/>
              <w:autoSpaceDN w:val="0"/>
              <w:adjustRightInd w:val="0"/>
              <w:ind w:right="21"/>
              <w:rPr>
                <w:rFonts w:ascii="Garamond" w:hAnsi="Garamond" w:cs="Times New Roman CYR"/>
                <w:sz w:val="22"/>
                <w:szCs w:val="22"/>
              </w:rPr>
            </w:pPr>
            <w:r w:rsidRPr="00D42866">
              <w:rPr>
                <w:rFonts w:ascii="Garamond" w:hAnsi="Garamond" w:cs="Times New Roman CYR"/>
                <w:sz w:val="22"/>
                <w:szCs w:val="22"/>
              </w:rPr>
              <w:t>Госреестр №</w:t>
            </w:r>
          </w:p>
        </w:tc>
        <w:tc>
          <w:tcPr>
            <w:tcW w:w="2151" w:type="dxa"/>
          </w:tcPr>
          <w:p w14:paraId="1E7664B8" w14:textId="77777777" w:rsidR="004B3B82" w:rsidRPr="00D42866" w:rsidRDefault="004B3B82" w:rsidP="00CD3B05">
            <w:pPr>
              <w:overflowPunct w:val="0"/>
              <w:autoSpaceDE w:val="0"/>
              <w:autoSpaceDN w:val="0"/>
              <w:adjustRightInd w:val="0"/>
              <w:ind w:right="21"/>
              <w:rPr>
                <w:rFonts w:ascii="Garamond" w:hAnsi="Garamond" w:cs="Times New Roman CYR"/>
                <w:sz w:val="22"/>
                <w:szCs w:val="22"/>
              </w:rPr>
            </w:pPr>
            <w:r w:rsidRPr="00D42866">
              <w:rPr>
                <w:rFonts w:ascii="Garamond" w:hAnsi="Garamond" w:cs="Times New Roman CYR"/>
                <w:sz w:val="22"/>
                <w:szCs w:val="22"/>
              </w:rPr>
              <w:t>55024-13</w:t>
            </w:r>
          </w:p>
        </w:tc>
        <w:tc>
          <w:tcPr>
            <w:tcW w:w="1762" w:type="dxa"/>
          </w:tcPr>
          <w:p w14:paraId="3F02B0B9" w14:textId="77777777" w:rsidR="004B3B82" w:rsidRPr="00D42866" w:rsidRDefault="004B3B82" w:rsidP="00CD3B05">
            <w:pPr>
              <w:overflowPunct w:val="0"/>
              <w:autoSpaceDE w:val="0"/>
              <w:autoSpaceDN w:val="0"/>
              <w:adjustRightInd w:val="0"/>
              <w:ind w:right="21"/>
              <w:rPr>
                <w:rFonts w:ascii="Garamond" w:hAnsi="Garamond" w:cs="Times New Roman CYR"/>
                <w:sz w:val="22"/>
                <w:szCs w:val="22"/>
              </w:rPr>
            </w:pPr>
            <w:r w:rsidRPr="00D42866">
              <w:rPr>
                <w:rFonts w:ascii="Garamond" w:hAnsi="Garamond" w:cs="Times New Roman CYR"/>
                <w:sz w:val="22"/>
                <w:szCs w:val="22"/>
              </w:rPr>
              <w:t>Дата последней поверки</w:t>
            </w:r>
          </w:p>
        </w:tc>
        <w:tc>
          <w:tcPr>
            <w:tcW w:w="1640" w:type="dxa"/>
          </w:tcPr>
          <w:p w14:paraId="654286CA" w14:textId="77777777" w:rsidR="004B3B82" w:rsidRPr="00D42866" w:rsidRDefault="004B3B82" w:rsidP="00CD3B05">
            <w:pPr>
              <w:overflowPunct w:val="0"/>
              <w:autoSpaceDE w:val="0"/>
              <w:autoSpaceDN w:val="0"/>
              <w:adjustRightInd w:val="0"/>
              <w:ind w:right="21"/>
              <w:rPr>
                <w:rFonts w:ascii="Garamond" w:hAnsi="Garamond" w:cs="Times New Roman CYR"/>
                <w:sz w:val="22"/>
                <w:szCs w:val="22"/>
              </w:rPr>
            </w:pPr>
            <w:r w:rsidRPr="00D42866">
              <w:rPr>
                <w:rFonts w:ascii="Garamond" w:hAnsi="Garamond" w:cs="Times New Roman CYR"/>
                <w:sz w:val="22"/>
                <w:szCs w:val="22"/>
              </w:rPr>
              <w:t>01.04.2019</w:t>
            </w:r>
          </w:p>
        </w:tc>
        <w:tc>
          <w:tcPr>
            <w:tcW w:w="2350" w:type="dxa"/>
          </w:tcPr>
          <w:p w14:paraId="4439EE91" w14:textId="77777777" w:rsidR="004B3B82" w:rsidRPr="00D42866" w:rsidRDefault="004B3B82" w:rsidP="00CD3B05">
            <w:pPr>
              <w:overflowPunct w:val="0"/>
              <w:autoSpaceDE w:val="0"/>
              <w:autoSpaceDN w:val="0"/>
              <w:adjustRightInd w:val="0"/>
              <w:ind w:right="21"/>
              <w:rPr>
                <w:rFonts w:ascii="Garamond" w:hAnsi="Garamond" w:cs="Times New Roman CYR"/>
                <w:sz w:val="22"/>
                <w:szCs w:val="22"/>
              </w:rPr>
            </w:pPr>
            <w:r w:rsidRPr="00D42866">
              <w:rPr>
                <w:rFonts w:ascii="Garamond" w:hAnsi="Garamond" w:cs="Times New Roman CYR"/>
                <w:sz w:val="22"/>
                <w:szCs w:val="22"/>
              </w:rPr>
              <w:t>Межповерочный интервал, лет</w:t>
            </w:r>
          </w:p>
        </w:tc>
        <w:tc>
          <w:tcPr>
            <w:tcW w:w="837" w:type="dxa"/>
          </w:tcPr>
          <w:p w14:paraId="7D81FBD3" w14:textId="77777777" w:rsidR="004B3B82" w:rsidRPr="00D42866" w:rsidRDefault="004B3B82" w:rsidP="00CD3B05">
            <w:pPr>
              <w:overflowPunct w:val="0"/>
              <w:autoSpaceDE w:val="0"/>
              <w:autoSpaceDN w:val="0"/>
              <w:adjustRightInd w:val="0"/>
              <w:ind w:right="21"/>
              <w:rPr>
                <w:rFonts w:ascii="Garamond" w:hAnsi="Garamond" w:cs="Times New Roman CYR"/>
                <w:sz w:val="22"/>
                <w:szCs w:val="22"/>
              </w:rPr>
            </w:pPr>
            <w:r w:rsidRPr="00D42866">
              <w:rPr>
                <w:rFonts w:ascii="Garamond" w:hAnsi="Garamond" w:cs="Times New Roman CYR"/>
                <w:sz w:val="22"/>
                <w:szCs w:val="22"/>
              </w:rPr>
              <w:t>8</w:t>
            </w:r>
          </w:p>
        </w:tc>
      </w:tr>
      <w:tr w:rsidR="004B3B82" w:rsidRPr="00D42866" w14:paraId="3652E841" w14:textId="77777777" w:rsidTr="00CD3B05">
        <w:tc>
          <w:tcPr>
            <w:tcW w:w="10251" w:type="dxa"/>
            <w:gridSpan w:val="6"/>
          </w:tcPr>
          <w:p w14:paraId="61453018" w14:textId="77777777" w:rsidR="004B3B82" w:rsidRPr="00D42866" w:rsidRDefault="004B3B82" w:rsidP="00CD3B05">
            <w:pPr>
              <w:overflowPunct w:val="0"/>
              <w:autoSpaceDE w:val="0"/>
              <w:autoSpaceDN w:val="0"/>
              <w:adjustRightInd w:val="0"/>
              <w:ind w:right="21"/>
              <w:jc w:val="center"/>
              <w:rPr>
                <w:rFonts w:ascii="Garamond" w:hAnsi="Garamond" w:cs="Times New Roman CYR"/>
                <w:sz w:val="22"/>
                <w:szCs w:val="22"/>
              </w:rPr>
            </w:pPr>
            <w:r w:rsidRPr="00D42866">
              <w:rPr>
                <w:rFonts w:ascii="Garamond" w:hAnsi="Garamond" w:cs="Times New Roman CYR"/>
                <w:sz w:val="22"/>
                <w:szCs w:val="22"/>
              </w:rPr>
              <w:t>Фаза С</w:t>
            </w:r>
          </w:p>
        </w:tc>
      </w:tr>
      <w:tr w:rsidR="004B3B82" w:rsidRPr="00D42866" w14:paraId="59CE3A4A" w14:textId="77777777" w:rsidTr="00CD3B05">
        <w:tc>
          <w:tcPr>
            <w:tcW w:w="1511" w:type="dxa"/>
          </w:tcPr>
          <w:p w14:paraId="25A4CFCB" w14:textId="77777777" w:rsidR="004B3B82" w:rsidRPr="00D42866" w:rsidRDefault="004B3B82" w:rsidP="00CD3B05">
            <w:pPr>
              <w:overflowPunct w:val="0"/>
              <w:autoSpaceDE w:val="0"/>
              <w:autoSpaceDN w:val="0"/>
              <w:adjustRightInd w:val="0"/>
              <w:ind w:right="21"/>
              <w:rPr>
                <w:rFonts w:ascii="Garamond" w:hAnsi="Garamond" w:cs="Times New Roman CYR"/>
                <w:sz w:val="22"/>
                <w:szCs w:val="22"/>
              </w:rPr>
            </w:pPr>
            <w:r w:rsidRPr="00D42866">
              <w:rPr>
                <w:rFonts w:ascii="Garamond" w:hAnsi="Garamond" w:cs="Times New Roman CYR"/>
                <w:sz w:val="22"/>
                <w:szCs w:val="22"/>
              </w:rPr>
              <w:t>Тип</w:t>
            </w:r>
          </w:p>
        </w:tc>
        <w:tc>
          <w:tcPr>
            <w:tcW w:w="2151" w:type="dxa"/>
          </w:tcPr>
          <w:p w14:paraId="3EC471D8" w14:textId="77777777" w:rsidR="004B3B82" w:rsidRPr="00D42866" w:rsidRDefault="004B3B82" w:rsidP="00CD3B05">
            <w:pPr>
              <w:overflowPunct w:val="0"/>
              <w:autoSpaceDE w:val="0"/>
              <w:autoSpaceDN w:val="0"/>
              <w:adjustRightInd w:val="0"/>
              <w:ind w:right="21"/>
              <w:rPr>
                <w:rFonts w:ascii="Garamond" w:hAnsi="Garamond" w:cs="Times New Roman CYR"/>
                <w:sz w:val="22"/>
                <w:szCs w:val="22"/>
                <w:lang w:val="en-US"/>
              </w:rPr>
            </w:pPr>
            <w:r w:rsidRPr="00D42866">
              <w:rPr>
                <w:rFonts w:ascii="Garamond" w:hAnsi="Garamond" w:cs="Times New Roman CYR"/>
                <w:sz w:val="22"/>
                <w:szCs w:val="22"/>
              </w:rPr>
              <w:t xml:space="preserve"> ЗНОЛ-СЭЩ-10-1</w:t>
            </w:r>
          </w:p>
        </w:tc>
        <w:tc>
          <w:tcPr>
            <w:tcW w:w="1762" w:type="dxa"/>
          </w:tcPr>
          <w:p w14:paraId="11502FCE" w14:textId="77777777" w:rsidR="004B3B82" w:rsidRPr="00D42866" w:rsidRDefault="004B3B82" w:rsidP="00CD3B05">
            <w:pPr>
              <w:overflowPunct w:val="0"/>
              <w:autoSpaceDE w:val="0"/>
              <w:autoSpaceDN w:val="0"/>
              <w:adjustRightInd w:val="0"/>
              <w:ind w:right="21"/>
              <w:rPr>
                <w:rFonts w:ascii="Garamond" w:hAnsi="Garamond" w:cs="Times New Roman CYR"/>
                <w:sz w:val="22"/>
                <w:szCs w:val="22"/>
              </w:rPr>
            </w:pPr>
            <w:r w:rsidRPr="00D42866">
              <w:rPr>
                <w:rFonts w:ascii="Garamond" w:hAnsi="Garamond" w:cs="Times New Roman CYR"/>
                <w:sz w:val="22"/>
                <w:szCs w:val="22"/>
              </w:rPr>
              <w:t>Зав. №</w:t>
            </w:r>
          </w:p>
        </w:tc>
        <w:tc>
          <w:tcPr>
            <w:tcW w:w="1640" w:type="dxa"/>
          </w:tcPr>
          <w:p w14:paraId="4C46BE7D" w14:textId="77777777" w:rsidR="004B3B82" w:rsidRPr="00D42866" w:rsidRDefault="004B3B82" w:rsidP="00CD3B05">
            <w:pPr>
              <w:overflowPunct w:val="0"/>
              <w:autoSpaceDE w:val="0"/>
              <w:autoSpaceDN w:val="0"/>
              <w:adjustRightInd w:val="0"/>
              <w:ind w:right="21"/>
              <w:rPr>
                <w:rFonts w:ascii="Garamond" w:hAnsi="Garamond" w:cs="Times New Roman CYR"/>
                <w:sz w:val="22"/>
                <w:szCs w:val="22"/>
              </w:rPr>
            </w:pPr>
            <w:r w:rsidRPr="00D42866">
              <w:rPr>
                <w:rFonts w:ascii="Garamond" w:hAnsi="Garamond" w:cs="Times New Roman CYR"/>
                <w:sz w:val="22"/>
                <w:szCs w:val="22"/>
              </w:rPr>
              <w:t>02635-10</w:t>
            </w:r>
          </w:p>
        </w:tc>
        <w:tc>
          <w:tcPr>
            <w:tcW w:w="2350" w:type="dxa"/>
          </w:tcPr>
          <w:p w14:paraId="51069448" w14:textId="77777777" w:rsidR="004B3B82" w:rsidRPr="00D42866" w:rsidRDefault="004B3B82" w:rsidP="00CD3B05">
            <w:pPr>
              <w:overflowPunct w:val="0"/>
              <w:autoSpaceDE w:val="0"/>
              <w:autoSpaceDN w:val="0"/>
              <w:adjustRightInd w:val="0"/>
              <w:ind w:right="21"/>
              <w:rPr>
                <w:rFonts w:ascii="Garamond" w:hAnsi="Garamond" w:cs="Times New Roman CYR"/>
                <w:sz w:val="22"/>
                <w:szCs w:val="22"/>
              </w:rPr>
            </w:pPr>
            <w:r w:rsidRPr="00D42866">
              <w:rPr>
                <w:rFonts w:ascii="Garamond" w:hAnsi="Garamond" w:cs="Times New Roman CYR"/>
                <w:sz w:val="22"/>
                <w:szCs w:val="22"/>
              </w:rPr>
              <w:t>Класс точности</w:t>
            </w:r>
          </w:p>
        </w:tc>
        <w:tc>
          <w:tcPr>
            <w:tcW w:w="837" w:type="dxa"/>
          </w:tcPr>
          <w:p w14:paraId="047363F4" w14:textId="77777777" w:rsidR="004B3B82" w:rsidRPr="00D42866" w:rsidRDefault="004B3B82" w:rsidP="00CD3B05">
            <w:pPr>
              <w:overflowPunct w:val="0"/>
              <w:autoSpaceDE w:val="0"/>
              <w:autoSpaceDN w:val="0"/>
              <w:adjustRightInd w:val="0"/>
              <w:ind w:right="21"/>
              <w:rPr>
                <w:rFonts w:ascii="Garamond" w:hAnsi="Garamond" w:cs="Times New Roman CYR"/>
                <w:sz w:val="22"/>
                <w:szCs w:val="22"/>
              </w:rPr>
            </w:pPr>
            <w:r w:rsidRPr="00D42866">
              <w:rPr>
                <w:rFonts w:ascii="Garamond" w:hAnsi="Garamond" w:cs="Times New Roman CYR"/>
                <w:sz w:val="22"/>
                <w:szCs w:val="22"/>
              </w:rPr>
              <w:t>0.5</w:t>
            </w:r>
          </w:p>
        </w:tc>
      </w:tr>
      <w:tr w:rsidR="004B3B82" w:rsidRPr="00D42866" w14:paraId="7F6CDAB6" w14:textId="77777777" w:rsidTr="00CD3B05">
        <w:tc>
          <w:tcPr>
            <w:tcW w:w="1511" w:type="dxa"/>
          </w:tcPr>
          <w:p w14:paraId="579F20FE" w14:textId="77777777" w:rsidR="004B3B82" w:rsidRPr="00D42866" w:rsidRDefault="004B3B82" w:rsidP="00CD3B05">
            <w:pPr>
              <w:overflowPunct w:val="0"/>
              <w:autoSpaceDE w:val="0"/>
              <w:autoSpaceDN w:val="0"/>
              <w:adjustRightInd w:val="0"/>
              <w:ind w:right="21"/>
              <w:rPr>
                <w:rFonts w:ascii="Garamond" w:hAnsi="Garamond" w:cs="Times New Roman CYR"/>
                <w:sz w:val="22"/>
                <w:szCs w:val="22"/>
              </w:rPr>
            </w:pPr>
            <w:r w:rsidRPr="00D42866">
              <w:rPr>
                <w:rFonts w:ascii="Garamond" w:hAnsi="Garamond" w:cs="Times New Roman CYR"/>
                <w:sz w:val="22"/>
                <w:szCs w:val="22"/>
              </w:rPr>
              <w:t>Коэф. трансформ.</w:t>
            </w:r>
          </w:p>
        </w:tc>
        <w:tc>
          <w:tcPr>
            <w:tcW w:w="2151" w:type="dxa"/>
          </w:tcPr>
          <w:p w14:paraId="0EC190A2" w14:textId="77777777" w:rsidR="004B3B82" w:rsidRPr="00D42866" w:rsidRDefault="004B3B82" w:rsidP="00CD3B05">
            <w:pPr>
              <w:overflowPunct w:val="0"/>
              <w:autoSpaceDE w:val="0"/>
              <w:autoSpaceDN w:val="0"/>
              <w:adjustRightInd w:val="0"/>
              <w:ind w:right="21"/>
              <w:rPr>
                <w:rFonts w:ascii="Garamond" w:hAnsi="Garamond" w:cs="Times New Roman CYR"/>
                <w:sz w:val="22"/>
                <w:szCs w:val="22"/>
              </w:rPr>
            </w:pPr>
            <w:r w:rsidRPr="00D42866">
              <w:rPr>
                <w:rFonts w:ascii="Garamond" w:hAnsi="Garamond" w:cs="Times New Roman CYR"/>
                <w:sz w:val="22"/>
                <w:szCs w:val="22"/>
              </w:rPr>
              <w:t>10000/√3:100/√3</w:t>
            </w:r>
          </w:p>
        </w:tc>
        <w:tc>
          <w:tcPr>
            <w:tcW w:w="1762" w:type="dxa"/>
          </w:tcPr>
          <w:p w14:paraId="32D660F5" w14:textId="77777777" w:rsidR="004B3B82" w:rsidRPr="00D42866" w:rsidRDefault="004B3B82" w:rsidP="00CD3B05">
            <w:pPr>
              <w:overflowPunct w:val="0"/>
              <w:autoSpaceDE w:val="0"/>
              <w:autoSpaceDN w:val="0"/>
              <w:adjustRightInd w:val="0"/>
              <w:ind w:right="21"/>
              <w:rPr>
                <w:rFonts w:ascii="Garamond" w:hAnsi="Garamond" w:cs="Times New Roman CYR"/>
                <w:sz w:val="22"/>
                <w:szCs w:val="22"/>
              </w:rPr>
            </w:pPr>
            <w:r w:rsidRPr="00D42866">
              <w:rPr>
                <w:rFonts w:ascii="Garamond" w:hAnsi="Garamond" w:cs="Times New Roman CYR"/>
                <w:sz w:val="22"/>
                <w:szCs w:val="22"/>
              </w:rPr>
              <w:t>Номинальная мощность, ВА*</w:t>
            </w:r>
          </w:p>
        </w:tc>
        <w:tc>
          <w:tcPr>
            <w:tcW w:w="1640" w:type="dxa"/>
          </w:tcPr>
          <w:p w14:paraId="65526321" w14:textId="77777777" w:rsidR="004B3B82" w:rsidRPr="00D42866" w:rsidRDefault="004B3B82" w:rsidP="00CD3B05">
            <w:pPr>
              <w:overflowPunct w:val="0"/>
              <w:autoSpaceDE w:val="0"/>
              <w:autoSpaceDN w:val="0"/>
              <w:adjustRightInd w:val="0"/>
              <w:ind w:right="21"/>
              <w:rPr>
                <w:rFonts w:ascii="Garamond" w:hAnsi="Garamond" w:cs="Times New Roman CYR"/>
                <w:sz w:val="22"/>
                <w:szCs w:val="22"/>
              </w:rPr>
            </w:pPr>
            <w:r w:rsidRPr="00D42866">
              <w:rPr>
                <w:rFonts w:ascii="Garamond" w:hAnsi="Garamond" w:cs="Times New Roman CYR"/>
                <w:sz w:val="22"/>
                <w:szCs w:val="22"/>
              </w:rPr>
              <w:t>75</w:t>
            </w:r>
          </w:p>
        </w:tc>
        <w:tc>
          <w:tcPr>
            <w:tcW w:w="2350" w:type="dxa"/>
          </w:tcPr>
          <w:p w14:paraId="24B1D7CF" w14:textId="77777777" w:rsidR="004B3B82" w:rsidRPr="00D42866" w:rsidRDefault="004B3B82" w:rsidP="00CD3B05">
            <w:pPr>
              <w:overflowPunct w:val="0"/>
              <w:autoSpaceDE w:val="0"/>
              <w:autoSpaceDN w:val="0"/>
              <w:adjustRightInd w:val="0"/>
              <w:ind w:right="21"/>
              <w:rPr>
                <w:rFonts w:ascii="Garamond" w:hAnsi="Garamond" w:cs="Times New Roman CYR"/>
                <w:sz w:val="22"/>
                <w:szCs w:val="22"/>
              </w:rPr>
            </w:pPr>
            <w:r w:rsidRPr="00D42866">
              <w:rPr>
                <w:rFonts w:ascii="Garamond" w:hAnsi="Garamond" w:cs="Times New Roman CYR"/>
                <w:sz w:val="22"/>
                <w:szCs w:val="22"/>
              </w:rPr>
              <w:t>Факт. нагрузка, ВА*</w:t>
            </w:r>
          </w:p>
        </w:tc>
        <w:tc>
          <w:tcPr>
            <w:tcW w:w="837" w:type="dxa"/>
          </w:tcPr>
          <w:p w14:paraId="55B0EC7A" w14:textId="77777777" w:rsidR="004B3B82" w:rsidRPr="00D42866" w:rsidRDefault="004B3B82" w:rsidP="00CD3B05">
            <w:pPr>
              <w:overflowPunct w:val="0"/>
              <w:autoSpaceDE w:val="0"/>
              <w:autoSpaceDN w:val="0"/>
              <w:adjustRightInd w:val="0"/>
              <w:ind w:right="21"/>
              <w:rPr>
                <w:rFonts w:ascii="Garamond" w:hAnsi="Garamond" w:cs="Times New Roman CYR"/>
                <w:sz w:val="22"/>
                <w:szCs w:val="22"/>
              </w:rPr>
            </w:pPr>
            <w:r w:rsidRPr="00D42866">
              <w:rPr>
                <w:rFonts w:ascii="Garamond" w:hAnsi="Garamond" w:cs="Times New Roman CYR"/>
                <w:sz w:val="22"/>
                <w:szCs w:val="22"/>
              </w:rPr>
              <w:t>64</w:t>
            </w:r>
          </w:p>
        </w:tc>
      </w:tr>
      <w:tr w:rsidR="004B3B82" w:rsidRPr="00D42866" w14:paraId="15BA5B75" w14:textId="77777777" w:rsidTr="00CD3B05">
        <w:tc>
          <w:tcPr>
            <w:tcW w:w="1511" w:type="dxa"/>
          </w:tcPr>
          <w:p w14:paraId="0E0F6285" w14:textId="77777777" w:rsidR="004B3B82" w:rsidRPr="00D42866" w:rsidRDefault="004B3B82" w:rsidP="00CD3B05">
            <w:pPr>
              <w:overflowPunct w:val="0"/>
              <w:autoSpaceDE w:val="0"/>
              <w:autoSpaceDN w:val="0"/>
              <w:adjustRightInd w:val="0"/>
              <w:ind w:right="21"/>
              <w:rPr>
                <w:rFonts w:ascii="Garamond" w:hAnsi="Garamond" w:cs="Times New Roman CYR"/>
                <w:sz w:val="22"/>
                <w:szCs w:val="22"/>
              </w:rPr>
            </w:pPr>
            <w:r w:rsidRPr="00D42866">
              <w:rPr>
                <w:rFonts w:ascii="Garamond" w:hAnsi="Garamond" w:cs="Times New Roman CYR"/>
                <w:sz w:val="22"/>
                <w:szCs w:val="22"/>
              </w:rPr>
              <w:t>Госреестр №</w:t>
            </w:r>
          </w:p>
        </w:tc>
        <w:tc>
          <w:tcPr>
            <w:tcW w:w="2151" w:type="dxa"/>
          </w:tcPr>
          <w:p w14:paraId="7F433917" w14:textId="77777777" w:rsidR="004B3B82" w:rsidRPr="00D42866" w:rsidRDefault="004B3B82" w:rsidP="00CD3B05">
            <w:pPr>
              <w:overflowPunct w:val="0"/>
              <w:autoSpaceDE w:val="0"/>
              <w:autoSpaceDN w:val="0"/>
              <w:adjustRightInd w:val="0"/>
              <w:ind w:right="21"/>
              <w:rPr>
                <w:rFonts w:ascii="Garamond" w:hAnsi="Garamond" w:cs="Times New Roman CYR"/>
                <w:sz w:val="22"/>
                <w:szCs w:val="22"/>
              </w:rPr>
            </w:pPr>
            <w:r w:rsidRPr="00D42866">
              <w:rPr>
                <w:rFonts w:ascii="Garamond" w:hAnsi="Garamond" w:cs="Times New Roman CYR"/>
                <w:sz w:val="22"/>
                <w:szCs w:val="22"/>
              </w:rPr>
              <w:t>55024-13</w:t>
            </w:r>
          </w:p>
        </w:tc>
        <w:tc>
          <w:tcPr>
            <w:tcW w:w="1762" w:type="dxa"/>
          </w:tcPr>
          <w:p w14:paraId="50F23113" w14:textId="77777777" w:rsidR="004B3B82" w:rsidRPr="00D42866" w:rsidRDefault="004B3B82" w:rsidP="00CD3B05">
            <w:pPr>
              <w:overflowPunct w:val="0"/>
              <w:autoSpaceDE w:val="0"/>
              <w:autoSpaceDN w:val="0"/>
              <w:adjustRightInd w:val="0"/>
              <w:ind w:right="21"/>
              <w:rPr>
                <w:rFonts w:ascii="Garamond" w:hAnsi="Garamond" w:cs="Times New Roman CYR"/>
                <w:sz w:val="22"/>
                <w:szCs w:val="22"/>
              </w:rPr>
            </w:pPr>
            <w:r w:rsidRPr="00D42866">
              <w:rPr>
                <w:rFonts w:ascii="Garamond" w:hAnsi="Garamond" w:cs="Times New Roman CYR"/>
                <w:sz w:val="22"/>
                <w:szCs w:val="22"/>
              </w:rPr>
              <w:t>Дата последней поверки</w:t>
            </w:r>
          </w:p>
        </w:tc>
        <w:tc>
          <w:tcPr>
            <w:tcW w:w="1640" w:type="dxa"/>
          </w:tcPr>
          <w:p w14:paraId="76517A58" w14:textId="77777777" w:rsidR="004B3B82" w:rsidRPr="00D42866" w:rsidRDefault="004B3B82" w:rsidP="00CD3B05">
            <w:pPr>
              <w:overflowPunct w:val="0"/>
              <w:autoSpaceDE w:val="0"/>
              <w:autoSpaceDN w:val="0"/>
              <w:adjustRightInd w:val="0"/>
              <w:ind w:right="21"/>
              <w:rPr>
                <w:rFonts w:ascii="Garamond" w:hAnsi="Garamond" w:cs="Times New Roman CYR"/>
                <w:sz w:val="22"/>
                <w:szCs w:val="22"/>
              </w:rPr>
            </w:pPr>
            <w:r w:rsidRPr="00D42866">
              <w:rPr>
                <w:rFonts w:ascii="Garamond" w:hAnsi="Garamond" w:cs="Times New Roman CYR"/>
                <w:sz w:val="22"/>
                <w:szCs w:val="22"/>
              </w:rPr>
              <w:t>01.04.2019</w:t>
            </w:r>
          </w:p>
        </w:tc>
        <w:tc>
          <w:tcPr>
            <w:tcW w:w="2350" w:type="dxa"/>
          </w:tcPr>
          <w:p w14:paraId="2ECF7702" w14:textId="77777777" w:rsidR="004B3B82" w:rsidRPr="00D42866" w:rsidRDefault="004B3B82" w:rsidP="00CD3B05">
            <w:pPr>
              <w:overflowPunct w:val="0"/>
              <w:autoSpaceDE w:val="0"/>
              <w:autoSpaceDN w:val="0"/>
              <w:adjustRightInd w:val="0"/>
              <w:ind w:right="21"/>
              <w:rPr>
                <w:rFonts w:ascii="Garamond" w:hAnsi="Garamond" w:cs="Times New Roman CYR"/>
                <w:sz w:val="22"/>
                <w:szCs w:val="22"/>
              </w:rPr>
            </w:pPr>
            <w:r w:rsidRPr="00D42866">
              <w:rPr>
                <w:rFonts w:ascii="Garamond" w:hAnsi="Garamond" w:cs="Times New Roman CYR"/>
                <w:sz w:val="22"/>
                <w:szCs w:val="22"/>
              </w:rPr>
              <w:t>Межповерочный интервал, лет</w:t>
            </w:r>
          </w:p>
        </w:tc>
        <w:tc>
          <w:tcPr>
            <w:tcW w:w="837" w:type="dxa"/>
          </w:tcPr>
          <w:p w14:paraId="68155713" w14:textId="77777777" w:rsidR="004B3B82" w:rsidRPr="00D42866" w:rsidRDefault="004B3B82" w:rsidP="00CD3B05">
            <w:pPr>
              <w:overflowPunct w:val="0"/>
              <w:autoSpaceDE w:val="0"/>
              <w:autoSpaceDN w:val="0"/>
              <w:adjustRightInd w:val="0"/>
              <w:ind w:right="21"/>
              <w:rPr>
                <w:rFonts w:ascii="Garamond" w:hAnsi="Garamond" w:cs="Times New Roman CYR"/>
                <w:sz w:val="22"/>
                <w:szCs w:val="22"/>
              </w:rPr>
            </w:pPr>
            <w:r w:rsidRPr="00D42866">
              <w:rPr>
                <w:rFonts w:ascii="Garamond" w:hAnsi="Garamond" w:cs="Times New Roman CYR"/>
                <w:sz w:val="22"/>
                <w:szCs w:val="22"/>
              </w:rPr>
              <w:t>8</w:t>
            </w:r>
          </w:p>
        </w:tc>
      </w:tr>
    </w:tbl>
    <w:p w14:paraId="29534C08" w14:textId="77777777" w:rsidR="004B3B82" w:rsidRPr="00D42866" w:rsidRDefault="004B3B82" w:rsidP="00101F7C">
      <w:pPr>
        <w:overflowPunct w:val="0"/>
        <w:autoSpaceDE w:val="0"/>
        <w:autoSpaceDN w:val="0"/>
        <w:adjustRightInd w:val="0"/>
        <w:rPr>
          <w:rFonts w:ascii="Garamond" w:hAnsi="Garamond" w:cs="Times New Roman CYR"/>
          <w:sz w:val="22"/>
          <w:szCs w:val="22"/>
        </w:rPr>
      </w:pPr>
    </w:p>
    <w:p w14:paraId="7B988F0B" w14:textId="77777777" w:rsidR="004B3B82" w:rsidRPr="00D42866" w:rsidRDefault="004B3B82" w:rsidP="00101F7C">
      <w:pPr>
        <w:overflowPunct w:val="0"/>
        <w:autoSpaceDE w:val="0"/>
        <w:autoSpaceDN w:val="0"/>
        <w:adjustRightInd w:val="0"/>
        <w:rPr>
          <w:rFonts w:ascii="Garamond" w:hAnsi="Garamond" w:cs="Times New Roman CYR"/>
        </w:rPr>
      </w:pPr>
      <w:r w:rsidRPr="00D42866">
        <w:rPr>
          <w:rFonts w:ascii="Garamond" w:hAnsi="Garamond" w:cs="Times New Roman CYR"/>
        </w:rPr>
        <w:t>* Не применимо для измерительных трансформаторов с цифровым выходом.</w:t>
      </w:r>
    </w:p>
    <w:p w14:paraId="26B4856B" w14:textId="77777777" w:rsidR="004B3B82" w:rsidRPr="00D42866" w:rsidRDefault="004B3B82" w:rsidP="00101F7C">
      <w:pPr>
        <w:overflowPunct w:val="0"/>
        <w:autoSpaceDE w:val="0"/>
        <w:autoSpaceDN w:val="0"/>
        <w:adjustRightInd w:val="0"/>
        <w:rPr>
          <w:rFonts w:ascii="Garamond" w:hAnsi="Garamond" w:cs="Times New Roman CYR"/>
          <w:i/>
        </w:rPr>
      </w:pPr>
    </w:p>
    <w:p w14:paraId="766F2D6A" w14:textId="77777777" w:rsidR="004B3B82" w:rsidRPr="00D42866" w:rsidRDefault="004B3B82" w:rsidP="00101F7C">
      <w:pPr>
        <w:overflowPunct w:val="0"/>
        <w:autoSpaceDE w:val="0"/>
        <w:autoSpaceDN w:val="0"/>
        <w:adjustRightInd w:val="0"/>
        <w:rPr>
          <w:rFonts w:ascii="Garamond" w:hAnsi="Garamond" w:cs="Times New Roman CYR"/>
        </w:rPr>
      </w:pPr>
      <w:r w:rsidRPr="00D42866">
        <w:rPr>
          <w:rFonts w:ascii="Garamond" w:hAnsi="Garamond" w:cs="Times New Roman CYR"/>
          <w:i/>
        </w:rPr>
        <w:t xml:space="preserve">Примечание. </w:t>
      </w:r>
      <w:r w:rsidRPr="00D42866">
        <w:rPr>
          <w:rFonts w:ascii="Garamond" w:hAnsi="Garamond" w:cs="Times New Roman CYR"/>
        </w:rPr>
        <w:t>Для ТН трехфазного исполнения могут быть указаны допустимые и фактические трехфазные нагрузки.</w:t>
      </w:r>
    </w:p>
    <w:p w14:paraId="222E29A8" w14:textId="77777777" w:rsidR="004B3B82" w:rsidRPr="00D42866" w:rsidRDefault="004B3B82" w:rsidP="00101F7C">
      <w:pPr>
        <w:overflowPunct w:val="0"/>
        <w:autoSpaceDE w:val="0"/>
        <w:autoSpaceDN w:val="0"/>
        <w:adjustRightInd w:val="0"/>
        <w:jc w:val="both"/>
        <w:rPr>
          <w:rFonts w:ascii="Garamond" w:hAnsi="Garamond" w:cs="Times New Roman CYR"/>
        </w:rPr>
      </w:pPr>
    </w:p>
    <w:p w14:paraId="6000C61B" w14:textId="77777777" w:rsidR="004B3B82" w:rsidRPr="00D42866" w:rsidRDefault="004B3B82" w:rsidP="00101F7C">
      <w:pPr>
        <w:overflowPunct w:val="0"/>
        <w:autoSpaceDE w:val="0"/>
        <w:autoSpaceDN w:val="0"/>
        <w:adjustRightInd w:val="0"/>
        <w:jc w:val="both"/>
        <w:rPr>
          <w:rFonts w:ascii="Garamond" w:hAnsi="Garamond" w:cs="Times New Roman CYR"/>
          <w:sz w:val="22"/>
          <w:szCs w:val="22"/>
        </w:rPr>
      </w:pPr>
      <w:r w:rsidRPr="00D42866">
        <w:rPr>
          <w:rFonts w:ascii="Garamond" w:hAnsi="Garamond" w:cs="Times New Roman CYR"/>
          <w:sz w:val="22"/>
          <w:szCs w:val="22"/>
        </w:rPr>
        <w:t>5. Схема соединения измерительных цепей приведена _______________________________</w:t>
      </w:r>
    </w:p>
    <w:p w14:paraId="18BCDCDE" w14:textId="77777777" w:rsidR="004B3B82" w:rsidRPr="00D42866" w:rsidRDefault="004B3B82" w:rsidP="00101F7C">
      <w:pPr>
        <w:widowControl w:val="0"/>
        <w:overflowPunct w:val="0"/>
        <w:autoSpaceDE w:val="0"/>
        <w:autoSpaceDN w:val="0"/>
        <w:adjustRightInd w:val="0"/>
        <w:ind w:left="720"/>
        <w:jc w:val="right"/>
        <w:rPr>
          <w:rFonts w:ascii="Garamond" w:hAnsi="Garamond" w:cs="Times New Roman CYR"/>
        </w:rPr>
      </w:pPr>
      <w:r w:rsidRPr="00D42866">
        <w:rPr>
          <w:rFonts w:ascii="Garamond" w:hAnsi="Garamond" w:cs="Times New Roman CYR"/>
        </w:rPr>
        <w:t>указывается ссылка на соответствующий лист технической документации АИИС КУЭ</w:t>
      </w:r>
    </w:p>
    <w:p w14:paraId="2071E912" w14:textId="77777777" w:rsidR="004B3B82" w:rsidRPr="00D42866" w:rsidRDefault="004B3B82" w:rsidP="00101F7C">
      <w:pPr>
        <w:overflowPunct w:val="0"/>
        <w:autoSpaceDE w:val="0"/>
        <w:autoSpaceDN w:val="0"/>
        <w:adjustRightInd w:val="0"/>
        <w:jc w:val="both"/>
        <w:rPr>
          <w:rFonts w:ascii="Garamond" w:hAnsi="Garamond" w:cs="Times New Roman CYR"/>
          <w:sz w:val="22"/>
          <w:szCs w:val="22"/>
        </w:rPr>
      </w:pPr>
    </w:p>
    <w:p w14:paraId="4D0728C3" w14:textId="77777777" w:rsidR="004B3B82" w:rsidRPr="00D42866" w:rsidRDefault="004B3B82" w:rsidP="00101F7C">
      <w:pPr>
        <w:overflowPunct w:val="0"/>
        <w:autoSpaceDE w:val="0"/>
        <w:autoSpaceDN w:val="0"/>
        <w:adjustRightInd w:val="0"/>
        <w:rPr>
          <w:rFonts w:ascii="Garamond" w:hAnsi="Garamond" w:cs="Times New Roman CYR"/>
          <w:sz w:val="22"/>
          <w:szCs w:val="22"/>
        </w:rPr>
      </w:pPr>
      <w:r w:rsidRPr="00D42866">
        <w:rPr>
          <w:rFonts w:ascii="Garamond" w:hAnsi="Garamond" w:cs="Times New Roman CYR"/>
          <w:sz w:val="22"/>
          <w:szCs w:val="22"/>
        </w:rPr>
        <w:t xml:space="preserve">Потери напряжения от ТН до </w:t>
      </w:r>
      <w:r w:rsidRPr="00265913">
        <w:rPr>
          <w:rFonts w:ascii="Garamond" w:hAnsi="Garamond" w:cs="Times New Roman CYR"/>
          <w:sz w:val="22"/>
          <w:szCs w:val="22"/>
          <w:highlight w:val="yellow"/>
        </w:rPr>
        <w:t>счетчика</w:t>
      </w:r>
      <w:r w:rsidRPr="00D42866">
        <w:rPr>
          <w:rFonts w:ascii="Garamond" w:hAnsi="Garamond"/>
          <w:sz w:val="22"/>
          <w:szCs w:val="22"/>
        </w:rPr>
        <w:t xml:space="preserve"> </w:t>
      </w:r>
      <w:r w:rsidRPr="00D42866">
        <w:rPr>
          <w:rFonts w:ascii="Garamond" w:hAnsi="Garamond"/>
          <w:bCs/>
          <w:sz w:val="22"/>
          <w:szCs w:val="22"/>
        </w:rPr>
        <w:t>во вторичных аналоговых измерительных цепях</w:t>
      </w:r>
      <w:r w:rsidRPr="00D42866">
        <w:rPr>
          <w:rFonts w:ascii="Garamond" w:hAnsi="Garamond" w:cs="Times New Roman CYR"/>
          <w:sz w:val="22"/>
          <w:szCs w:val="22"/>
        </w:rPr>
        <w:t>:</w:t>
      </w:r>
    </w:p>
    <w:p w14:paraId="26B396C9" w14:textId="77777777" w:rsidR="004B3B82" w:rsidRPr="00D42866" w:rsidRDefault="004B3B82" w:rsidP="00101F7C">
      <w:pPr>
        <w:overflowPunct w:val="0"/>
        <w:autoSpaceDE w:val="0"/>
        <w:autoSpaceDN w:val="0"/>
        <w:adjustRightInd w:val="0"/>
        <w:ind w:firstLine="708"/>
        <w:rPr>
          <w:rFonts w:ascii="Garamond" w:hAnsi="Garamond" w:cs="Times New Roman CYR"/>
          <w:sz w:val="22"/>
          <w:szCs w:val="22"/>
        </w:rPr>
      </w:pPr>
      <w:r w:rsidRPr="00D42866">
        <w:rPr>
          <w:rFonts w:ascii="Garamond" w:hAnsi="Garamond" w:cs="Times New Roman CYR"/>
          <w:sz w:val="22"/>
          <w:szCs w:val="22"/>
        </w:rPr>
        <w:t>допустимое значение _</w:t>
      </w:r>
      <w:r w:rsidRPr="00D42866">
        <w:rPr>
          <w:rFonts w:ascii="Garamond" w:hAnsi="Garamond"/>
          <w:sz w:val="22"/>
          <w:szCs w:val="22"/>
        </w:rPr>
        <w:t>______________</w:t>
      </w:r>
    </w:p>
    <w:p w14:paraId="52AC5D9B" w14:textId="77777777" w:rsidR="004B3B82" w:rsidRPr="00D42866" w:rsidRDefault="004B3B82" w:rsidP="00101F7C">
      <w:pPr>
        <w:overflowPunct w:val="0"/>
        <w:autoSpaceDE w:val="0"/>
        <w:autoSpaceDN w:val="0"/>
        <w:adjustRightInd w:val="0"/>
        <w:ind w:firstLine="708"/>
        <w:rPr>
          <w:rFonts w:ascii="Garamond" w:hAnsi="Garamond" w:cs="Times New Roman CYR"/>
          <w:sz w:val="22"/>
          <w:szCs w:val="22"/>
        </w:rPr>
      </w:pPr>
      <w:r w:rsidRPr="00D42866">
        <w:rPr>
          <w:rFonts w:ascii="Garamond" w:hAnsi="Garamond" w:cs="Times New Roman CYR"/>
          <w:sz w:val="22"/>
          <w:szCs w:val="22"/>
        </w:rPr>
        <w:t>фактическое значение _</w:t>
      </w:r>
      <w:r w:rsidRPr="00D42866">
        <w:rPr>
          <w:rFonts w:ascii="Garamond" w:hAnsi="Garamond"/>
          <w:sz w:val="22"/>
          <w:szCs w:val="22"/>
        </w:rPr>
        <w:t>______________.</w:t>
      </w:r>
    </w:p>
    <w:p w14:paraId="398FF32D" w14:textId="77777777" w:rsidR="004B3B82" w:rsidRPr="00D42866" w:rsidRDefault="004B3B82" w:rsidP="00101F7C">
      <w:pPr>
        <w:overflowPunct w:val="0"/>
        <w:autoSpaceDE w:val="0"/>
        <w:autoSpaceDN w:val="0"/>
        <w:adjustRightInd w:val="0"/>
        <w:rPr>
          <w:rFonts w:ascii="Garamond" w:hAnsi="Garamond" w:cs="Times New Roman CYR"/>
          <w:sz w:val="22"/>
          <w:szCs w:val="22"/>
        </w:rPr>
      </w:pPr>
    </w:p>
    <w:p w14:paraId="6270E674" w14:textId="77777777" w:rsidR="004B3B82" w:rsidRPr="00D42866" w:rsidRDefault="004B3B82" w:rsidP="00101F7C">
      <w:pPr>
        <w:overflowPunct w:val="0"/>
        <w:autoSpaceDE w:val="0"/>
        <w:autoSpaceDN w:val="0"/>
        <w:adjustRightInd w:val="0"/>
        <w:rPr>
          <w:rFonts w:ascii="Garamond" w:hAnsi="Garamond" w:cs="Times New Roman CYR"/>
          <w:sz w:val="22"/>
          <w:szCs w:val="22"/>
        </w:rPr>
      </w:pPr>
      <w:r w:rsidRPr="00D42866">
        <w:rPr>
          <w:rFonts w:ascii="Garamond" w:hAnsi="Garamond" w:cs="Times New Roman CYR"/>
          <w:sz w:val="22"/>
          <w:szCs w:val="22"/>
        </w:rPr>
        <w:t>6. Погрешность ИИК (расчетная) ___________________________________________________________</w:t>
      </w:r>
    </w:p>
    <w:p w14:paraId="2045D991" w14:textId="77777777" w:rsidR="004B3B82" w:rsidRPr="00D42866" w:rsidRDefault="004B3B82" w:rsidP="00101F7C">
      <w:pPr>
        <w:overflowPunct w:val="0"/>
        <w:autoSpaceDE w:val="0"/>
        <w:autoSpaceDN w:val="0"/>
        <w:adjustRightInd w:val="0"/>
        <w:rPr>
          <w:rFonts w:ascii="Garamond" w:hAnsi="Garamond" w:cs="Times New Roman CYR"/>
          <w:sz w:val="22"/>
          <w:szCs w:val="22"/>
        </w:rPr>
      </w:pPr>
    </w:p>
    <w:p w14:paraId="32B858F5" w14:textId="77777777" w:rsidR="004B3B82" w:rsidRPr="00D42866" w:rsidRDefault="004B3B82" w:rsidP="00101F7C">
      <w:pPr>
        <w:overflowPunct w:val="0"/>
        <w:autoSpaceDE w:val="0"/>
        <w:autoSpaceDN w:val="0"/>
        <w:adjustRightInd w:val="0"/>
        <w:rPr>
          <w:rFonts w:ascii="Garamond" w:hAnsi="Garamond" w:cs="Times New Roman CYR"/>
          <w:sz w:val="22"/>
          <w:szCs w:val="22"/>
        </w:rPr>
      </w:pPr>
      <w:r w:rsidRPr="00D42866">
        <w:rPr>
          <w:rFonts w:ascii="Garamond" w:hAnsi="Garamond" w:cs="Times New Roman CYR"/>
          <w:sz w:val="22"/>
          <w:szCs w:val="22"/>
        </w:rPr>
        <w:t>7. Дополнительные сведения о ИИК (вносились ли изменения) _______________________________________________________________________________________</w:t>
      </w:r>
    </w:p>
    <w:p w14:paraId="65397B34" w14:textId="77777777" w:rsidR="004B3B82" w:rsidRPr="00D42866" w:rsidRDefault="004B3B82" w:rsidP="00101F7C">
      <w:pPr>
        <w:overflowPunct w:val="0"/>
        <w:autoSpaceDE w:val="0"/>
        <w:autoSpaceDN w:val="0"/>
        <w:adjustRightInd w:val="0"/>
        <w:rPr>
          <w:rFonts w:ascii="Garamond" w:hAnsi="Garamond" w:cs="Times New Roman CYR"/>
          <w:sz w:val="22"/>
          <w:szCs w:val="22"/>
        </w:rPr>
      </w:pPr>
    </w:p>
    <w:p w14:paraId="69386FAD" w14:textId="77777777" w:rsidR="004B3B82" w:rsidRPr="00D42866" w:rsidRDefault="004B3B82" w:rsidP="00101F7C">
      <w:pPr>
        <w:overflowPunct w:val="0"/>
        <w:autoSpaceDE w:val="0"/>
        <w:autoSpaceDN w:val="0"/>
        <w:adjustRightInd w:val="0"/>
        <w:rPr>
          <w:rFonts w:ascii="Garamond" w:hAnsi="Garamond" w:cs="Times New Roman CYR"/>
          <w:sz w:val="22"/>
          <w:szCs w:val="22"/>
        </w:rPr>
      </w:pPr>
      <w:r w:rsidRPr="00D42866">
        <w:rPr>
          <w:rFonts w:ascii="Garamond" w:hAnsi="Garamond" w:cs="Times New Roman CYR"/>
          <w:sz w:val="22"/>
          <w:szCs w:val="22"/>
        </w:rPr>
        <w:t>8. Перечень выполненных работ на момент составления паспорта-протокола:</w:t>
      </w:r>
    </w:p>
    <w:p w14:paraId="35212E5E" w14:textId="77777777" w:rsidR="004B3B82" w:rsidRPr="00D42866" w:rsidRDefault="004B3B82" w:rsidP="00101F7C">
      <w:pPr>
        <w:overflowPunct w:val="0"/>
        <w:autoSpaceDE w:val="0"/>
        <w:autoSpaceDN w:val="0"/>
        <w:adjustRightInd w:val="0"/>
        <w:rPr>
          <w:rFonts w:ascii="Garamond" w:hAnsi="Garamond" w:cs="Times New Roman CYR"/>
          <w:sz w:val="22"/>
          <w:szCs w:val="22"/>
        </w:rPr>
      </w:pPr>
      <w:r w:rsidRPr="00D42866">
        <w:rPr>
          <w:rFonts w:ascii="Garamond" w:hAnsi="Garamond" w:cs="Times New Roman CYR"/>
          <w:sz w:val="22"/>
          <w:szCs w:val="22"/>
        </w:rPr>
        <w:t>_______________________________________________________________________________________</w:t>
      </w:r>
    </w:p>
    <w:p w14:paraId="54FCA2EA" w14:textId="77777777" w:rsidR="004B3B82" w:rsidRPr="00D42866" w:rsidRDefault="004B3B82" w:rsidP="00101F7C">
      <w:pPr>
        <w:overflowPunct w:val="0"/>
        <w:autoSpaceDE w:val="0"/>
        <w:autoSpaceDN w:val="0"/>
        <w:adjustRightInd w:val="0"/>
        <w:rPr>
          <w:rFonts w:ascii="Garamond" w:hAnsi="Garamond" w:cs="Times New Roman CYR"/>
          <w:sz w:val="22"/>
          <w:szCs w:val="22"/>
        </w:rPr>
      </w:pPr>
      <w:r w:rsidRPr="00D42866">
        <w:rPr>
          <w:rFonts w:ascii="Garamond" w:hAnsi="Garamond" w:cs="Times New Roman CYR"/>
          <w:sz w:val="22"/>
          <w:szCs w:val="22"/>
        </w:rPr>
        <w:t>_______________________________________________________________________________________</w:t>
      </w:r>
    </w:p>
    <w:p w14:paraId="7B02D1E2" w14:textId="77777777" w:rsidR="004B3B82" w:rsidRPr="00D42866" w:rsidRDefault="004B3B82" w:rsidP="00101F7C">
      <w:pPr>
        <w:overflowPunct w:val="0"/>
        <w:autoSpaceDE w:val="0"/>
        <w:autoSpaceDN w:val="0"/>
        <w:adjustRightInd w:val="0"/>
        <w:rPr>
          <w:rFonts w:ascii="Garamond" w:hAnsi="Garamond" w:cs="Times New Roman CYR"/>
          <w:strike/>
          <w:sz w:val="22"/>
          <w:szCs w:val="22"/>
        </w:rPr>
      </w:pPr>
    </w:p>
    <w:p w14:paraId="363AB401" w14:textId="77777777" w:rsidR="004B3B82" w:rsidRPr="00D42866" w:rsidRDefault="004B3B82" w:rsidP="00101F7C">
      <w:pPr>
        <w:overflowPunct w:val="0"/>
        <w:autoSpaceDE w:val="0"/>
        <w:autoSpaceDN w:val="0"/>
        <w:adjustRightInd w:val="0"/>
        <w:rPr>
          <w:rFonts w:ascii="Garamond" w:hAnsi="Garamond" w:cs="Times New Roman CYR"/>
          <w:sz w:val="22"/>
          <w:szCs w:val="22"/>
        </w:rPr>
      </w:pPr>
      <w:r w:rsidRPr="00D42866">
        <w:rPr>
          <w:rFonts w:ascii="Garamond" w:hAnsi="Garamond" w:cs="Times New Roman CYR"/>
          <w:sz w:val="22"/>
          <w:szCs w:val="22"/>
        </w:rPr>
        <w:t>9. Перечень приборов, применявшихся при проведении ревизии ИИК:</w:t>
      </w:r>
    </w:p>
    <w:p w14:paraId="0518493B" w14:textId="77777777" w:rsidR="004B3B82" w:rsidRPr="00D42866" w:rsidRDefault="004B3B82" w:rsidP="00101F7C">
      <w:pPr>
        <w:overflowPunct w:val="0"/>
        <w:autoSpaceDE w:val="0"/>
        <w:autoSpaceDN w:val="0"/>
        <w:adjustRightInd w:val="0"/>
        <w:rPr>
          <w:rFonts w:ascii="Garamond" w:hAnsi="Garamond" w:cs="Times New Roman CYR"/>
          <w:sz w:val="22"/>
          <w:szCs w:val="22"/>
        </w:rPr>
      </w:pPr>
    </w:p>
    <w:p w14:paraId="0FBE1F20" w14:textId="77777777" w:rsidR="004B3B82" w:rsidRPr="00D42866" w:rsidRDefault="004B3B82" w:rsidP="004B3B82">
      <w:pPr>
        <w:numPr>
          <w:ilvl w:val="0"/>
          <w:numId w:val="183"/>
        </w:numPr>
        <w:suppressAutoHyphens w:val="0"/>
        <w:overflowPunct w:val="0"/>
        <w:autoSpaceDE w:val="0"/>
        <w:autoSpaceDN w:val="0"/>
        <w:adjustRightInd w:val="0"/>
        <w:rPr>
          <w:rFonts w:ascii="Garamond" w:hAnsi="Garamond" w:cs="Times New Roman CYR"/>
          <w:sz w:val="22"/>
          <w:szCs w:val="22"/>
        </w:rPr>
      </w:pPr>
      <w:r w:rsidRPr="00D42866">
        <w:rPr>
          <w:rFonts w:ascii="Garamond" w:hAnsi="Garamond" w:cs="Times New Roman CYR"/>
          <w:sz w:val="22"/>
          <w:szCs w:val="22"/>
        </w:rPr>
        <w:t xml:space="preserve">Тип___________, зав. №___________, номер в Госреестре ____________, класс точности _____, </w:t>
      </w:r>
    </w:p>
    <w:p w14:paraId="0BBCB511" w14:textId="77777777" w:rsidR="004B3B82" w:rsidRPr="00D42866" w:rsidRDefault="004B3B82" w:rsidP="00101F7C">
      <w:pPr>
        <w:overflowPunct w:val="0"/>
        <w:autoSpaceDE w:val="0"/>
        <w:autoSpaceDN w:val="0"/>
        <w:adjustRightInd w:val="0"/>
        <w:ind w:left="360"/>
        <w:rPr>
          <w:rFonts w:ascii="Garamond" w:hAnsi="Garamond" w:cs="Times New Roman CYR"/>
          <w:sz w:val="22"/>
          <w:szCs w:val="22"/>
        </w:rPr>
      </w:pPr>
      <w:r w:rsidRPr="00D42866">
        <w:rPr>
          <w:rFonts w:ascii="Garamond" w:hAnsi="Garamond" w:cs="Times New Roman CYR"/>
          <w:sz w:val="22"/>
          <w:szCs w:val="22"/>
        </w:rPr>
        <w:t>дата последней поверки _________.</w:t>
      </w:r>
    </w:p>
    <w:p w14:paraId="617B079E" w14:textId="77777777" w:rsidR="004B3B82" w:rsidRPr="00D42866" w:rsidRDefault="004B3B82" w:rsidP="00101F7C">
      <w:pPr>
        <w:tabs>
          <w:tab w:val="left" w:pos="1035"/>
        </w:tabs>
        <w:overflowPunct w:val="0"/>
        <w:autoSpaceDE w:val="0"/>
        <w:autoSpaceDN w:val="0"/>
        <w:adjustRightInd w:val="0"/>
        <w:rPr>
          <w:rFonts w:ascii="Garamond" w:hAnsi="Garamond" w:cs="Times New Roman CYR"/>
          <w:sz w:val="22"/>
          <w:szCs w:val="22"/>
        </w:rPr>
      </w:pPr>
      <w:r w:rsidRPr="00D42866">
        <w:rPr>
          <w:rFonts w:ascii="Garamond" w:hAnsi="Garamond" w:cs="Times New Roman CYR"/>
          <w:sz w:val="22"/>
          <w:szCs w:val="22"/>
        </w:rPr>
        <w:t xml:space="preserve">       2)</w:t>
      </w:r>
      <w:r w:rsidRPr="00D42866">
        <w:rPr>
          <w:rFonts w:ascii="Garamond" w:hAnsi="Garamond" w:cs="Times New Roman CYR"/>
          <w:sz w:val="22"/>
          <w:szCs w:val="22"/>
        </w:rPr>
        <w:tab/>
      </w:r>
    </w:p>
    <w:p w14:paraId="47E02C50" w14:textId="77777777" w:rsidR="004B3B82" w:rsidRPr="00D42866" w:rsidRDefault="004B3B82" w:rsidP="00101F7C">
      <w:pPr>
        <w:overflowPunct w:val="0"/>
        <w:autoSpaceDE w:val="0"/>
        <w:autoSpaceDN w:val="0"/>
        <w:adjustRightInd w:val="0"/>
        <w:rPr>
          <w:rFonts w:ascii="Garamond" w:hAnsi="Garamond" w:cs="Times New Roman CYR"/>
          <w:sz w:val="22"/>
          <w:szCs w:val="22"/>
        </w:rPr>
      </w:pPr>
    </w:p>
    <w:p w14:paraId="7E10D2D3" w14:textId="77777777" w:rsidR="004B3B82" w:rsidRPr="00D42866" w:rsidRDefault="004B3B82" w:rsidP="00101F7C">
      <w:pPr>
        <w:overflowPunct w:val="0"/>
        <w:autoSpaceDE w:val="0"/>
        <w:autoSpaceDN w:val="0"/>
        <w:adjustRightInd w:val="0"/>
        <w:rPr>
          <w:rFonts w:ascii="Garamond" w:hAnsi="Garamond" w:cs="Times New Roman CYR"/>
          <w:sz w:val="22"/>
          <w:szCs w:val="22"/>
        </w:rPr>
      </w:pPr>
    </w:p>
    <w:p w14:paraId="6674D9B8" w14:textId="77777777" w:rsidR="004B3B82" w:rsidRPr="00D42866" w:rsidRDefault="004B3B82" w:rsidP="00101F7C">
      <w:pPr>
        <w:overflowPunct w:val="0"/>
        <w:autoSpaceDE w:val="0"/>
        <w:autoSpaceDN w:val="0"/>
        <w:adjustRightInd w:val="0"/>
        <w:rPr>
          <w:rFonts w:ascii="Garamond" w:hAnsi="Garamond" w:cs="Times New Roman CYR"/>
          <w:sz w:val="22"/>
          <w:szCs w:val="22"/>
        </w:rPr>
      </w:pPr>
      <w:r w:rsidRPr="00D42866">
        <w:rPr>
          <w:rFonts w:ascii="Garamond" w:hAnsi="Garamond" w:cs="Times New Roman CYR"/>
          <w:sz w:val="22"/>
          <w:szCs w:val="22"/>
        </w:rPr>
        <w:t xml:space="preserve">Составлено _______ </w:t>
      </w:r>
      <w:r w:rsidRPr="00D42866">
        <w:rPr>
          <w:rFonts w:ascii="Garamond" w:hAnsi="Garamond" w:cs="Times New Roman CYR"/>
          <w:sz w:val="22"/>
          <w:szCs w:val="22"/>
        </w:rPr>
        <w:tab/>
      </w:r>
      <w:r w:rsidRPr="00D42866">
        <w:rPr>
          <w:rFonts w:ascii="Garamond" w:hAnsi="Garamond" w:cs="Times New Roman CYR"/>
          <w:sz w:val="22"/>
          <w:szCs w:val="22"/>
        </w:rPr>
        <w:tab/>
      </w:r>
      <w:r w:rsidRPr="00D42866">
        <w:rPr>
          <w:rFonts w:ascii="Garamond" w:hAnsi="Garamond" w:cs="Times New Roman CYR"/>
          <w:sz w:val="22"/>
          <w:szCs w:val="22"/>
        </w:rPr>
        <w:tab/>
      </w:r>
      <w:r w:rsidRPr="00D42866">
        <w:rPr>
          <w:rFonts w:ascii="Garamond" w:hAnsi="Garamond" w:cs="Times New Roman CYR"/>
          <w:sz w:val="22"/>
          <w:szCs w:val="22"/>
        </w:rPr>
        <w:tab/>
      </w:r>
      <w:r w:rsidRPr="00D42866">
        <w:rPr>
          <w:rFonts w:ascii="Garamond" w:hAnsi="Garamond" w:cs="Times New Roman CYR"/>
          <w:sz w:val="22"/>
          <w:szCs w:val="22"/>
        </w:rPr>
        <w:tab/>
      </w:r>
      <w:r w:rsidRPr="00D42866">
        <w:rPr>
          <w:rFonts w:ascii="Garamond" w:hAnsi="Garamond" w:cs="Times New Roman CYR"/>
          <w:sz w:val="22"/>
          <w:szCs w:val="22"/>
        </w:rPr>
        <w:tab/>
        <w:t>Дата заполнения_________________</w:t>
      </w:r>
    </w:p>
    <w:p w14:paraId="2BD1456E" w14:textId="77777777" w:rsidR="004B3B82" w:rsidRPr="00D42866" w:rsidRDefault="004B3B82" w:rsidP="00101F7C">
      <w:pPr>
        <w:overflowPunct w:val="0"/>
        <w:autoSpaceDE w:val="0"/>
        <w:autoSpaceDN w:val="0"/>
        <w:adjustRightInd w:val="0"/>
        <w:rPr>
          <w:rFonts w:ascii="Garamond" w:hAnsi="Garamond" w:cs="Times New Roman CYR"/>
          <w:sz w:val="22"/>
          <w:szCs w:val="22"/>
        </w:rPr>
      </w:pPr>
    </w:p>
    <w:p w14:paraId="166161C8" w14:textId="77777777" w:rsidR="004B3B82" w:rsidRPr="00D42866" w:rsidRDefault="004B3B82" w:rsidP="00101F7C">
      <w:pPr>
        <w:overflowPunct w:val="0"/>
        <w:autoSpaceDE w:val="0"/>
        <w:autoSpaceDN w:val="0"/>
        <w:adjustRightInd w:val="0"/>
        <w:rPr>
          <w:rFonts w:ascii="Garamond" w:hAnsi="Garamond" w:cs="Times New Roman CYR"/>
        </w:rPr>
      </w:pPr>
    </w:p>
    <w:p w14:paraId="30F100D0" w14:textId="77777777" w:rsidR="004B3B82" w:rsidRPr="00D15973" w:rsidRDefault="004B3B82" w:rsidP="00101F7C">
      <w:pPr>
        <w:overflowPunct w:val="0"/>
        <w:autoSpaceDE w:val="0"/>
        <w:autoSpaceDN w:val="0"/>
        <w:adjustRightInd w:val="0"/>
        <w:rPr>
          <w:rFonts w:ascii="Garamond" w:hAnsi="Garamond" w:cs="Times New Roman CYR"/>
        </w:rPr>
      </w:pPr>
      <w:r w:rsidRPr="00D42866">
        <w:rPr>
          <w:rFonts w:ascii="Garamond" w:hAnsi="Garamond" w:cs="Times New Roman CYR"/>
          <w:i/>
        </w:rPr>
        <w:t>Примечание.</w:t>
      </w:r>
      <w:r w:rsidRPr="00D42866">
        <w:rPr>
          <w:rFonts w:ascii="Garamond" w:hAnsi="Garamond" w:cs="Times New Roman CYR"/>
        </w:rPr>
        <w:t xml:space="preserve"> Паспорт-протокол на ИИК в составе АИИС КУЭ переоформляется после внесения каких-либо</w:t>
      </w:r>
      <w:r w:rsidRPr="00E31F22">
        <w:rPr>
          <w:rFonts w:ascii="Garamond" w:hAnsi="Garamond" w:cs="Times New Roman CYR"/>
        </w:rPr>
        <w:t xml:space="preserve"> изменений в ИИК в процессе эксплуатации.</w:t>
      </w:r>
    </w:p>
    <w:p w14:paraId="28B8E628" w14:textId="77777777" w:rsidR="004B3B82" w:rsidRDefault="004B3B82" w:rsidP="00101F7C">
      <w:r>
        <w:br w:type="page"/>
      </w:r>
    </w:p>
    <w:p w14:paraId="58626804" w14:textId="77777777" w:rsidR="004B3B82" w:rsidRDefault="004B3B82" w:rsidP="00101F7C">
      <w:pPr>
        <w:rPr>
          <w:rFonts w:ascii="Garamond" w:hAnsi="Garamond"/>
          <w:b/>
          <w:sz w:val="22"/>
          <w:szCs w:val="22"/>
        </w:rPr>
      </w:pPr>
      <w:r>
        <w:rPr>
          <w:rFonts w:ascii="Garamond" w:hAnsi="Garamond"/>
          <w:b/>
          <w:sz w:val="22"/>
          <w:szCs w:val="22"/>
        </w:rPr>
        <w:lastRenderedPageBreak/>
        <w:t>Предлагаемая редакция</w:t>
      </w:r>
    </w:p>
    <w:p w14:paraId="523D5956" w14:textId="77777777" w:rsidR="004B3B82" w:rsidRDefault="004B3B82" w:rsidP="00101F7C">
      <w:pPr>
        <w:rPr>
          <w:rFonts w:ascii="Garamond" w:hAnsi="Garamond"/>
          <w:b/>
          <w:sz w:val="22"/>
          <w:szCs w:val="22"/>
        </w:rPr>
      </w:pPr>
    </w:p>
    <w:p w14:paraId="16992A10" w14:textId="77777777" w:rsidR="004B3B82" w:rsidRPr="00D42866" w:rsidRDefault="004B3B82" w:rsidP="00101F7C">
      <w:pPr>
        <w:rPr>
          <w:rFonts w:ascii="Garamond" w:hAnsi="Garamond"/>
          <w:b/>
          <w:sz w:val="22"/>
          <w:szCs w:val="22"/>
        </w:rPr>
      </w:pPr>
      <w:r w:rsidRPr="00D42866">
        <w:rPr>
          <w:rFonts w:ascii="Garamond" w:hAnsi="Garamond"/>
          <w:b/>
          <w:sz w:val="22"/>
          <w:szCs w:val="22"/>
        </w:rPr>
        <w:t>Пример заполнения паспорта-протокола</w:t>
      </w:r>
    </w:p>
    <w:p w14:paraId="0CEF57EB" w14:textId="77777777" w:rsidR="004B3B82" w:rsidRPr="00D42866" w:rsidRDefault="004B3B82" w:rsidP="00101F7C">
      <w:pPr>
        <w:rPr>
          <w:rFonts w:ascii="Garamond" w:hAnsi="Garamond"/>
          <w:b/>
          <w:sz w:val="22"/>
          <w:szCs w:val="22"/>
        </w:rPr>
      </w:pPr>
    </w:p>
    <w:p w14:paraId="550C9D60" w14:textId="77777777" w:rsidR="004B3B82" w:rsidRPr="00D42866" w:rsidRDefault="004B3B82" w:rsidP="00101F7C">
      <w:pPr>
        <w:spacing w:before="60"/>
        <w:rPr>
          <w:rFonts w:ascii="Garamond" w:hAnsi="Garamond"/>
          <w:sz w:val="22"/>
          <w:szCs w:val="22"/>
        </w:rPr>
      </w:pPr>
      <w:r>
        <w:rPr>
          <w:rFonts w:ascii="Garamond" w:hAnsi="Garamond" w:cs="Times New Roman CYR"/>
          <w:b/>
          <w:sz w:val="22"/>
          <w:szCs w:val="22"/>
        </w:rPr>
        <w:t>Согласовано</w:t>
      </w:r>
      <w:r>
        <w:rPr>
          <w:rFonts w:ascii="Garamond" w:hAnsi="Garamond" w:cs="Times New Roman CYR"/>
          <w:b/>
          <w:sz w:val="22"/>
          <w:szCs w:val="22"/>
        </w:rPr>
        <w:tab/>
      </w:r>
      <w:r>
        <w:rPr>
          <w:rFonts w:ascii="Garamond" w:hAnsi="Garamond" w:cs="Times New Roman CYR"/>
          <w:b/>
          <w:sz w:val="22"/>
          <w:szCs w:val="22"/>
        </w:rPr>
        <w:tab/>
      </w:r>
      <w:r>
        <w:rPr>
          <w:rFonts w:ascii="Garamond" w:hAnsi="Garamond" w:cs="Times New Roman CYR"/>
          <w:b/>
          <w:sz w:val="22"/>
          <w:szCs w:val="22"/>
        </w:rPr>
        <w:tab/>
      </w:r>
      <w:r>
        <w:rPr>
          <w:rFonts w:ascii="Garamond" w:hAnsi="Garamond" w:cs="Times New Roman CYR"/>
          <w:b/>
          <w:sz w:val="22"/>
          <w:szCs w:val="22"/>
        </w:rPr>
        <w:tab/>
      </w:r>
      <w:r>
        <w:rPr>
          <w:rFonts w:ascii="Garamond" w:hAnsi="Garamond" w:cs="Times New Roman CYR"/>
          <w:b/>
          <w:sz w:val="22"/>
          <w:szCs w:val="22"/>
        </w:rPr>
        <w:tab/>
      </w:r>
      <w:r>
        <w:rPr>
          <w:rFonts w:ascii="Garamond" w:hAnsi="Garamond" w:cs="Times New Roman CYR"/>
          <w:b/>
          <w:sz w:val="22"/>
          <w:szCs w:val="22"/>
        </w:rPr>
        <w:tab/>
      </w:r>
      <w:r>
        <w:rPr>
          <w:rFonts w:ascii="Garamond" w:hAnsi="Garamond" w:cs="Times New Roman CYR"/>
          <w:b/>
          <w:sz w:val="22"/>
          <w:szCs w:val="22"/>
        </w:rPr>
        <w:tab/>
      </w:r>
      <w:r w:rsidRPr="00D42866">
        <w:rPr>
          <w:rFonts w:ascii="Garamond" w:hAnsi="Garamond" w:cs="Times New Roman CYR"/>
          <w:b/>
          <w:sz w:val="22"/>
          <w:szCs w:val="22"/>
        </w:rPr>
        <w:tab/>
      </w:r>
      <w:r w:rsidRPr="00D42866">
        <w:rPr>
          <w:rFonts w:ascii="Garamond" w:hAnsi="Garamond" w:cs="Times New Roman CYR"/>
          <w:b/>
          <w:sz w:val="22"/>
          <w:szCs w:val="22"/>
        </w:rPr>
        <w:tab/>
      </w:r>
      <w:r w:rsidRPr="00D42866">
        <w:rPr>
          <w:rFonts w:ascii="Garamond" w:hAnsi="Garamond" w:cs="Times New Roman CYR"/>
          <w:b/>
          <w:sz w:val="22"/>
          <w:szCs w:val="22"/>
        </w:rPr>
        <w:tab/>
      </w:r>
      <w:r>
        <w:rPr>
          <w:rFonts w:ascii="Garamond" w:hAnsi="Garamond" w:cs="Times New Roman CYR"/>
          <w:b/>
          <w:sz w:val="22"/>
          <w:szCs w:val="22"/>
        </w:rPr>
        <w:tab/>
      </w:r>
      <w:r>
        <w:rPr>
          <w:rFonts w:ascii="Garamond" w:hAnsi="Garamond" w:cs="Times New Roman CYR"/>
          <w:b/>
          <w:sz w:val="22"/>
          <w:szCs w:val="22"/>
        </w:rPr>
        <w:tab/>
      </w:r>
      <w:r>
        <w:rPr>
          <w:rFonts w:ascii="Garamond" w:hAnsi="Garamond" w:cs="Times New Roman CYR"/>
          <w:b/>
          <w:sz w:val="22"/>
          <w:szCs w:val="22"/>
        </w:rPr>
        <w:tab/>
      </w:r>
      <w:r>
        <w:rPr>
          <w:rFonts w:ascii="Garamond" w:hAnsi="Garamond" w:cs="Times New Roman CYR"/>
          <w:b/>
          <w:sz w:val="22"/>
          <w:szCs w:val="22"/>
        </w:rPr>
        <w:tab/>
      </w:r>
      <w:r>
        <w:rPr>
          <w:rFonts w:ascii="Garamond" w:hAnsi="Garamond" w:cs="Times New Roman CYR"/>
          <w:b/>
          <w:sz w:val="22"/>
          <w:szCs w:val="22"/>
        </w:rPr>
        <w:tab/>
      </w:r>
      <w:r>
        <w:rPr>
          <w:rFonts w:ascii="Garamond" w:hAnsi="Garamond" w:cs="Times New Roman CYR"/>
          <w:b/>
          <w:sz w:val="22"/>
          <w:szCs w:val="22"/>
        </w:rPr>
        <w:tab/>
      </w:r>
      <w:r>
        <w:rPr>
          <w:rFonts w:ascii="Garamond" w:hAnsi="Garamond" w:cs="Times New Roman CYR"/>
          <w:b/>
          <w:sz w:val="22"/>
          <w:szCs w:val="22"/>
        </w:rPr>
        <w:tab/>
      </w:r>
      <w:r>
        <w:rPr>
          <w:rFonts w:ascii="Garamond" w:hAnsi="Garamond" w:cs="Times New Roman CYR"/>
          <w:b/>
          <w:sz w:val="22"/>
          <w:szCs w:val="22"/>
        </w:rPr>
        <w:tab/>
      </w:r>
      <w:r w:rsidRPr="00D42866">
        <w:rPr>
          <w:rFonts w:ascii="Garamond" w:hAnsi="Garamond" w:cs="Times New Roman CYR"/>
          <w:b/>
          <w:sz w:val="22"/>
          <w:szCs w:val="22"/>
        </w:rPr>
        <w:t xml:space="preserve">Утверждаю </w:t>
      </w:r>
    </w:p>
    <w:p w14:paraId="5FFE3EE5" w14:textId="77777777" w:rsidR="004B3B82" w:rsidRPr="00D42866" w:rsidRDefault="004B3B82" w:rsidP="00101F7C">
      <w:pPr>
        <w:widowControl w:val="0"/>
        <w:overflowPunct w:val="0"/>
        <w:autoSpaceDE w:val="0"/>
        <w:autoSpaceDN w:val="0"/>
        <w:adjustRightInd w:val="0"/>
        <w:ind w:firstLine="284"/>
        <w:jc w:val="center"/>
        <w:rPr>
          <w:rFonts w:ascii="Garamond" w:hAnsi="Garamond" w:cs="Times New Roman CYR"/>
          <w:b/>
          <w:sz w:val="22"/>
          <w:szCs w:val="22"/>
        </w:rPr>
      </w:pPr>
    </w:p>
    <w:p w14:paraId="37BFBAEC" w14:textId="77777777" w:rsidR="004B3B82" w:rsidRPr="00D42866" w:rsidRDefault="004B3B82" w:rsidP="00101F7C">
      <w:pPr>
        <w:widowControl w:val="0"/>
        <w:overflowPunct w:val="0"/>
        <w:autoSpaceDE w:val="0"/>
        <w:autoSpaceDN w:val="0"/>
        <w:adjustRightInd w:val="0"/>
        <w:ind w:firstLine="284"/>
        <w:jc w:val="center"/>
        <w:rPr>
          <w:rFonts w:ascii="Garamond" w:hAnsi="Garamond" w:cs="Times New Roman CYR"/>
          <w:b/>
          <w:sz w:val="22"/>
          <w:szCs w:val="22"/>
        </w:rPr>
      </w:pPr>
    </w:p>
    <w:p w14:paraId="5172C082" w14:textId="77777777" w:rsidR="004B3B82" w:rsidRPr="00D42866" w:rsidRDefault="004B3B82" w:rsidP="00101F7C">
      <w:pPr>
        <w:widowControl w:val="0"/>
        <w:overflowPunct w:val="0"/>
        <w:autoSpaceDE w:val="0"/>
        <w:autoSpaceDN w:val="0"/>
        <w:adjustRightInd w:val="0"/>
        <w:ind w:firstLine="284"/>
        <w:jc w:val="center"/>
        <w:rPr>
          <w:rFonts w:ascii="Garamond" w:hAnsi="Garamond"/>
          <w:b/>
          <w:sz w:val="22"/>
          <w:szCs w:val="22"/>
        </w:rPr>
      </w:pPr>
      <w:r w:rsidRPr="00D42866">
        <w:rPr>
          <w:rFonts w:ascii="Garamond" w:hAnsi="Garamond" w:cs="Times New Roman CYR"/>
          <w:b/>
          <w:sz w:val="22"/>
          <w:szCs w:val="22"/>
        </w:rPr>
        <w:t>ПАСПОРТ-ПРОТОКОЛ № _______</w:t>
      </w:r>
    </w:p>
    <w:p w14:paraId="3A500DB9" w14:textId="77777777" w:rsidR="004B3B82" w:rsidRPr="00D42866" w:rsidRDefault="004B3B82" w:rsidP="00101F7C">
      <w:pPr>
        <w:widowControl w:val="0"/>
        <w:overflowPunct w:val="0"/>
        <w:autoSpaceDE w:val="0"/>
        <w:autoSpaceDN w:val="0"/>
        <w:adjustRightInd w:val="0"/>
        <w:ind w:firstLine="284"/>
        <w:jc w:val="center"/>
        <w:rPr>
          <w:rFonts w:ascii="Garamond" w:hAnsi="Garamond" w:cs="Times New Roman CYR"/>
          <w:b/>
          <w:sz w:val="22"/>
          <w:szCs w:val="22"/>
        </w:rPr>
      </w:pPr>
      <w:r w:rsidRPr="00D42866">
        <w:rPr>
          <w:rFonts w:ascii="Garamond" w:hAnsi="Garamond" w:cs="Times New Roman CYR"/>
          <w:b/>
          <w:sz w:val="22"/>
          <w:szCs w:val="22"/>
        </w:rPr>
        <w:t>на измерительно-информационный комплекс</w:t>
      </w:r>
    </w:p>
    <w:p w14:paraId="2C2B4B86" w14:textId="77777777" w:rsidR="004B3B82" w:rsidRPr="00D42866" w:rsidRDefault="004B3B82" w:rsidP="00101F7C">
      <w:pPr>
        <w:widowControl w:val="0"/>
        <w:overflowPunct w:val="0"/>
        <w:autoSpaceDE w:val="0"/>
        <w:autoSpaceDN w:val="0"/>
        <w:adjustRightInd w:val="0"/>
        <w:ind w:firstLine="284"/>
        <w:jc w:val="center"/>
        <w:rPr>
          <w:rFonts w:ascii="Garamond" w:hAnsi="Garamond" w:cs="Times New Roman CYR"/>
          <w:b/>
          <w:sz w:val="22"/>
          <w:szCs w:val="22"/>
        </w:rPr>
      </w:pPr>
      <w:r w:rsidRPr="00D42866">
        <w:rPr>
          <w:rFonts w:ascii="Garamond" w:hAnsi="Garamond" w:cs="Times New Roman CYR"/>
          <w:b/>
          <w:sz w:val="22"/>
          <w:szCs w:val="22"/>
        </w:rPr>
        <w:t>в составе АИИС КУЭ _______ наименование организации_______</w:t>
      </w:r>
    </w:p>
    <w:p w14:paraId="13FD1AF1" w14:textId="77777777" w:rsidR="004B3B82" w:rsidRPr="00D42866" w:rsidRDefault="004B3B82" w:rsidP="00101F7C">
      <w:pPr>
        <w:widowControl w:val="0"/>
        <w:overflowPunct w:val="0"/>
        <w:autoSpaceDE w:val="0"/>
        <w:autoSpaceDN w:val="0"/>
        <w:adjustRightInd w:val="0"/>
        <w:ind w:firstLine="284"/>
        <w:jc w:val="center"/>
        <w:rPr>
          <w:rFonts w:ascii="Garamond" w:hAnsi="Garamond" w:cs="Times New Roman CYR"/>
          <w:b/>
          <w:sz w:val="22"/>
          <w:szCs w:val="22"/>
        </w:rPr>
      </w:pPr>
      <w:r w:rsidRPr="00D42866">
        <w:rPr>
          <w:noProof/>
          <w:sz w:val="22"/>
          <w:szCs w:val="22"/>
        </w:rPr>
        <mc:AlternateContent>
          <mc:Choice Requires="wps">
            <w:drawing>
              <wp:anchor distT="0" distB="0" distL="114300" distR="114300" simplePos="0" relativeHeight="251658242" behindDoc="0" locked="0" layoutInCell="1" allowOverlap="1" wp14:anchorId="7D7E66FA" wp14:editId="75418F49">
                <wp:simplePos x="0" y="0"/>
                <wp:positionH relativeFrom="column">
                  <wp:posOffset>-234315</wp:posOffset>
                </wp:positionH>
                <wp:positionV relativeFrom="paragraph">
                  <wp:posOffset>195580</wp:posOffset>
                </wp:positionV>
                <wp:extent cx="6286500" cy="335280"/>
                <wp:effectExtent l="0" t="0" r="0" b="7620"/>
                <wp:wrapNone/>
                <wp:docPr id="1" name="Надпись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86500" cy="3352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46054FD" w14:textId="77777777" w:rsidR="008800D7" w:rsidRPr="00CD6D1B" w:rsidRDefault="008800D7" w:rsidP="004B3B82">
                            <w:pPr>
                              <w:numPr>
                                <w:ilvl w:val="0"/>
                                <w:numId w:val="185"/>
                              </w:numPr>
                              <w:suppressAutoHyphens w:val="0"/>
                              <w:jc w:val="center"/>
                              <w:rPr>
                                <w:rFonts w:ascii="Times New Roman" w:hAnsi="Times New Roman" w:cs="Times New Roman"/>
                                <w:sz w:val="28"/>
                                <w:szCs w:val="28"/>
                                <w:u w:val="single"/>
                              </w:rPr>
                            </w:pPr>
                            <w:r w:rsidRPr="00CD6D1B">
                              <w:rPr>
                                <w:rFonts w:ascii="Times New Roman" w:hAnsi="Times New Roman" w:cs="Times New Roman"/>
                                <w:sz w:val="28"/>
                                <w:szCs w:val="28"/>
                                <w:u w:val="single"/>
                              </w:rPr>
                              <w:t>ОАО «ХХХ» ГПП 1 (110/6кВ)</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D7E66FA" id="Надпись 1" o:spid="_x0000_s1028" type="#_x0000_t202" style="position:absolute;left:0;text-align:left;margin-left:-18.45pt;margin-top:15.4pt;width:495pt;height:26.4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" stroked="f">
                <v:textbox>
                  <w:txbxContent>
                    <w:p w14:paraId="146054FD" w14:textId="77777777" w:rsidR="008800D7" w:rsidRPr="00CD6D1B" w:rsidRDefault="008800D7" w:rsidP="004B3B82">
                      <w:pPr>
                        <w:numPr>
                          <w:ilvl w:val="0"/>
                          <w:numId w:val="185"/>
                        </w:numPr>
                        <w:suppressAutoHyphens w:val="0"/>
                        <w:jc w:val="center"/>
                        <w:rPr>
                          <w:rFonts w:ascii="Times New Roman" w:hAnsi="Times New Roman" w:cs="Times New Roman"/>
                          <w:sz w:val="28"/>
                          <w:szCs w:val="28"/>
                          <w:u w:val="single"/>
                        </w:rPr>
                      </w:pPr>
                      <w:r w:rsidRPr="00CD6D1B">
                        <w:rPr>
                          <w:rFonts w:ascii="Times New Roman" w:hAnsi="Times New Roman" w:cs="Times New Roman"/>
                          <w:sz w:val="28"/>
                          <w:szCs w:val="28"/>
                          <w:u w:val="single"/>
                        </w:rPr>
                        <w:t>ОАО «ХХХ» ГПП 1 (110/6кВ)</w:t>
                      </w:r>
                    </w:p>
                  </w:txbxContent>
                </v:textbox>
              </v:shape>
            </w:pict>
          </mc:Fallback>
        </mc:AlternateContent>
      </w:r>
    </w:p>
    <w:p w14:paraId="4EA937A4" w14:textId="77777777" w:rsidR="004B3B82" w:rsidRPr="00D42866" w:rsidRDefault="004B3B82" w:rsidP="00101F7C">
      <w:pPr>
        <w:widowControl w:val="0"/>
        <w:overflowPunct w:val="0"/>
        <w:autoSpaceDE w:val="0"/>
        <w:autoSpaceDN w:val="0"/>
        <w:adjustRightInd w:val="0"/>
        <w:ind w:firstLine="284"/>
        <w:jc w:val="center"/>
        <w:rPr>
          <w:rFonts w:ascii="Garamond" w:hAnsi="Garamond" w:cs="Times New Roman CYR"/>
          <w:b/>
          <w:sz w:val="22"/>
          <w:szCs w:val="22"/>
        </w:rPr>
      </w:pPr>
    </w:p>
    <w:p w14:paraId="4CC85E3A" w14:textId="77777777" w:rsidR="004B3B82" w:rsidRPr="00D42866" w:rsidRDefault="004B3B82" w:rsidP="00101F7C">
      <w:pPr>
        <w:widowControl w:val="0"/>
        <w:overflowPunct w:val="0"/>
        <w:autoSpaceDE w:val="0"/>
        <w:autoSpaceDN w:val="0"/>
        <w:adjustRightInd w:val="0"/>
        <w:ind w:firstLine="284"/>
        <w:jc w:val="center"/>
        <w:rPr>
          <w:rFonts w:ascii="Garamond" w:hAnsi="Garamond" w:cs="Times New Roman CYR"/>
          <w:b/>
          <w:sz w:val="22"/>
          <w:szCs w:val="22"/>
        </w:rPr>
      </w:pPr>
    </w:p>
    <w:p w14:paraId="3DD3B422" w14:textId="77777777" w:rsidR="004B3B82" w:rsidRPr="00D42866" w:rsidRDefault="004B3B82" w:rsidP="00101F7C">
      <w:pPr>
        <w:widowControl w:val="0"/>
        <w:overflowPunct w:val="0"/>
        <w:autoSpaceDE w:val="0"/>
        <w:autoSpaceDN w:val="0"/>
        <w:adjustRightInd w:val="0"/>
        <w:ind w:firstLine="284"/>
        <w:jc w:val="center"/>
        <w:rPr>
          <w:rFonts w:ascii="Garamond" w:hAnsi="Garamond" w:cs="Times New Roman CYR"/>
          <w:sz w:val="22"/>
          <w:szCs w:val="22"/>
        </w:rPr>
      </w:pPr>
    </w:p>
    <w:p w14:paraId="7DB246C0" w14:textId="77777777" w:rsidR="004B3B82" w:rsidRPr="00D42866" w:rsidRDefault="004B3B82" w:rsidP="00101F7C">
      <w:pPr>
        <w:widowControl w:val="0"/>
        <w:overflowPunct w:val="0"/>
        <w:autoSpaceDE w:val="0"/>
        <w:autoSpaceDN w:val="0"/>
        <w:adjustRightInd w:val="0"/>
        <w:jc w:val="center"/>
        <w:rPr>
          <w:rFonts w:ascii="Garamond" w:hAnsi="Garamond" w:cs="Times New Roman CYR"/>
          <w:sz w:val="22"/>
          <w:szCs w:val="22"/>
        </w:rPr>
      </w:pPr>
      <w:r w:rsidRPr="00D42866">
        <w:rPr>
          <w:rFonts w:ascii="Garamond" w:hAnsi="Garamond" w:cs="Times New Roman CYR"/>
          <w:sz w:val="22"/>
          <w:szCs w:val="22"/>
        </w:rPr>
        <w:t>(наименование объекта)</w:t>
      </w:r>
    </w:p>
    <w:p w14:paraId="3B51421D" w14:textId="77777777" w:rsidR="004B3B82" w:rsidRPr="00D42866" w:rsidRDefault="004B3B82" w:rsidP="00101F7C">
      <w:pPr>
        <w:widowControl w:val="0"/>
        <w:overflowPunct w:val="0"/>
        <w:autoSpaceDE w:val="0"/>
        <w:autoSpaceDN w:val="0"/>
        <w:adjustRightInd w:val="0"/>
        <w:ind w:firstLine="284"/>
        <w:jc w:val="center"/>
        <w:rPr>
          <w:rFonts w:ascii="Garamond" w:hAnsi="Garamond" w:cs="Times New Roman CYR"/>
          <w:sz w:val="22"/>
          <w:szCs w:val="22"/>
        </w:rPr>
      </w:pPr>
      <w:r w:rsidRPr="00D42866">
        <w:rPr>
          <w:noProof/>
          <w:sz w:val="22"/>
          <w:szCs w:val="22"/>
        </w:rPr>
        <mc:AlternateContent>
          <mc:Choice Requires="wps">
            <w:drawing>
              <wp:anchor distT="0" distB="0" distL="114300" distR="114300" simplePos="0" relativeHeight="251658243" behindDoc="0" locked="0" layoutInCell="1" allowOverlap="1" wp14:anchorId="6F22D722" wp14:editId="26A417AF">
                <wp:simplePos x="0" y="0"/>
                <wp:positionH relativeFrom="margin">
                  <wp:align>left</wp:align>
                </wp:positionH>
                <wp:positionV relativeFrom="paragraph">
                  <wp:posOffset>115570</wp:posOffset>
                </wp:positionV>
                <wp:extent cx="6286500" cy="342900"/>
                <wp:effectExtent l="0" t="0" r="0" b="0"/>
                <wp:wrapNone/>
                <wp:docPr id="2"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86500" cy="3429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0CD15B1" w14:textId="77777777" w:rsidR="008800D7" w:rsidRPr="00CD6D1B" w:rsidRDefault="008800D7" w:rsidP="00101F7C">
                            <w:pPr>
                              <w:jc w:val="center"/>
                              <w:rPr>
                                <w:rFonts w:ascii="Times New Roman" w:hAnsi="Times New Roman" w:cs="Times New Roman"/>
                                <w:sz w:val="28"/>
                                <w:szCs w:val="28"/>
                                <w:u w:val="single"/>
                              </w:rPr>
                            </w:pPr>
                            <w:r w:rsidRPr="00CD6D1B">
                              <w:rPr>
                                <w:rFonts w:ascii="Times New Roman" w:hAnsi="Times New Roman" w:cs="Times New Roman"/>
                                <w:sz w:val="28"/>
                                <w:szCs w:val="28"/>
                                <w:u w:val="single"/>
                              </w:rPr>
                              <w:t xml:space="preserve">Секция </w:t>
                            </w:r>
                            <w:r w:rsidRPr="00CD6D1B">
                              <w:rPr>
                                <w:rFonts w:ascii="Times New Roman" w:hAnsi="Times New Roman" w:cs="Times New Roman"/>
                                <w:sz w:val="28"/>
                                <w:szCs w:val="28"/>
                                <w:u w:val="single"/>
                                <w:lang w:val="en-US"/>
                              </w:rPr>
                              <w:t>II</w:t>
                            </w:r>
                            <w:r w:rsidRPr="00CD6D1B">
                              <w:rPr>
                                <w:rFonts w:ascii="Times New Roman" w:hAnsi="Times New Roman" w:cs="Times New Roman"/>
                                <w:sz w:val="28"/>
                                <w:szCs w:val="28"/>
                                <w:u w:val="single"/>
                              </w:rPr>
                              <w:t xml:space="preserve"> 10 кВ, Ячейка 25, Фидер 201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F22D722" id="Надпись 2" o:spid="_x0000_s1029" type="#_x0000_t202" style="position:absolute;left:0;text-align:left;margin-left:0;margin-top:9.1pt;width:495pt;height:27pt;z-index:251658243;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" stroked="f">
                <v:textbox>
                  <w:txbxContent>
                    <w:p w14:paraId="20CD15B1" w14:textId="77777777" w:rsidR="008800D7" w:rsidRPr="00CD6D1B" w:rsidRDefault="008800D7" w:rsidP="00101F7C">
                      <w:pPr>
                        <w:jc w:val="center"/>
                        <w:rPr>
                          <w:rFonts w:ascii="Times New Roman" w:hAnsi="Times New Roman" w:cs="Times New Roman"/>
                          <w:sz w:val="28"/>
                          <w:szCs w:val="28"/>
                          <w:u w:val="single"/>
                        </w:rPr>
                      </w:pPr>
                      <w:r w:rsidRPr="00CD6D1B">
                        <w:rPr>
                          <w:rFonts w:ascii="Times New Roman" w:hAnsi="Times New Roman" w:cs="Times New Roman"/>
                          <w:sz w:val="28"/>
                          <w:szCs w:val="28"/>
                          <w:u w:val="single"/>
                        </w:rPr>
                        <w:t xml:space="preserve">Секция </w:t>
                      </w:r>
                      <w:r w:rsidRPr="00CD6D1B">
                        <w:rPr>
                          <w:rFonts w:ascii="Times New Roman" w:hAnsi="Times New Roman" w:cs="Times New Roman"/>
                          <w:sz w:val="28"/>
                          <w:szCs w:val="28"/>
                          <w:u w:val="single"/>
                          <w:lang w:val="en-US"/>
                        </w:rPr>
                        <w:t>II</w:t>
                      </w:r>
                      <w:r w:rsidRPr="00CD6D1B">
                        <w:rPr>
                          <w:rFonts w:ascii="Times New Roman" w:hAnsi="Times New Roman" w:cs="Times New Roman"/>
                          <w:sz w:val="28"/>
                          <w:szCs w:val="28"/>
                          <w:u w:val="single"/>
                        </w:rPr>
                        <w:t xml:space="preserve"> 10 кВ, Ячейка 25, Фидер 201</w:t>
                      </w:r>
                    </w:p>
                  </w:txbxContent>
                </v:textbox>
                <w10:wrap anchorx="margin"/>
              </v:shape>
            </w:pict>
          </mc:Fallback>
        </mc:AlternateContent>
      </w:r>
    </w:p>
    <w:p w14:paraId="76C5E5A3" w14:textId="77777777" w:rsidR="004B3B82" w:rsidRPr="00D42866" w:rsidRDefault="004B3B82" w:rsidP="00101F7C">
      <w:pPr>
        <w:widowControl w:val="0"/>
        <w:overflowPunct w:val="0"/>
        <w:autoSpaceDE w:val="0"/>
        <w:autoSpaceDN w:val="0"/>
        <w:adjustRightInd w:val="0"/>
        <w:ind w:firstLine="284"/>
        <w:jc w:val="center"/>
        <w:rPr>
          <w:rFonts w:ascii="Garamond" w:hAnsi="Garamond" w:cs="Times New Roman CYR"/>
          <w:b/>
          <w:sz w:val="22"/>
          <w:szCs w:val="22"/>
        </w:rPr>
      </w:pPr>
    </w:p>
    <w:p w14:paraId="2107A337" w14:textId="77777777" w:rsidR="004B3B82" w:rsidRPr="00D42866" w:rsidRDefault="004B3B82" w:rsidP="00101F7C">
      <w:pPr>
        <w:widowControl w:val="0"/>
        <w:overflowPunct w:val="0"/>
        <w:autoSpaceDE w:val="0"/>
        <w:autoSpaceDN w:val="0"/>
        <w:adjustRightInd w:val="0"/>
        <w:ind w:firstLine="284"/>
        <w:rPr>
          <w:rFonts w:ascii="Garamond" w:hAnsi="Garamond" w:cs="Times New Roman CYR"/>
          <w:b/>
          <w:sz w:val="22"/>
          <w:szCs w:val="22"/>
        </w:rPr>
      </w:pPr>
    </w:p>
    <w:p w14:paraId="3D0D3857" w14:textId="77777777" w:rsidR="004B3B82" w:rsidRPr="00D42866" w:rsidRDefault="004B3B82" w:rsidP="00101F7C">
      <w:pPr>
        <w:widowControl w:val="0"/>
        <w:overflowPunct w:val="0"/>
        <w:autoSpaceDE w:val="0"/>
        <w:autoSpaceDN w:val="0"/>
        <w:adjustRightInd w:val="0"/>
        <w:jc w:val="center"/>
        <w:rPr>
          <w:rFonts w:ascii="Garamond" w:hAnsi="Garamond" w:cs="Times New Roman CYR"/>
          <w:sz w:val="22"/>
          <w:szCs w:val="22"/>
        </w:rPr>
      </w:pPr>
      <w:r w:rsidRPr="00D42866">
        <w:rPr>
          <w:rFonts w:ascii="Garamond" w:hAnsi="Garamond" w:cs="Times New Roman CYR"/>
          <w:sz w:val="22"/>
          <w:szCs w:val="22"/>
        </w:rPr>
        <w:t>(наименование присоединения)</w:t>
      </w:r>
    </w:p>
    <w:p w14:paraId="3F3746C2" w14:textId="77777777" w:rsidR="004B3B82" w:rsidRPr="00D42866" w:rsidRDefault="004B3B82" w:rsidP="00101F7C">
      <w:pPr>
        <w:widowControl w:val="0"/>
        <w:overflowPunct w:val="0"/>
        <w:autoSpaceDE w:val="0"/>
        <w:autoSpaceDN w:val="0"/>
        <w:adjustRightInd w:val="0"/>
        <w:ind w:firstLine="284"/>
        <w:rPr>
          <w:rFonts w:ascii="Garamond" w:hAnsi="Garamond" w:cs="Times New Roman CYR"/>
          <w:b/>
          <w:sz w:val="22"/>
          <w:szCs w:val="22"/>
        </w:rPr>
      </w:pPr>
    </w:p>
    <w:p w14:paraId="46A2628F" w14:textId="77777777" w:rsidR="004B3B82" w:rsidRPr="00265913" w:rsidRDefault="004B3B82" w:rsidP="00101F7C">
      <w:pPr>
        <w:overflowPunct w:val="0"/>
        <w:autoSpaceDE w:val="0"/>
        <w:autoSpaceDN w:val="0"/>
        <w:adjustRightInd w:val="0"/>
        <w:rPr>
          <w:rFonts w:ascii="Garamond" w:hAnsi="Garamond" w:cs="Times New Roman CYR"/>
          <w:sz w:val="22"/>
          <w:szCs w:val="22"/>
        </w:rPr>
      </w:pPr>
      <w:r w:rsidRPr="00265913">
        <w:rPr>
          <w:rFonts w:ascii="Garamond" w:hAnsi="Garamond" w:cs="Times New Roman CYR"/>
          <w:sz w:val="22"/>
          <w:szCs w:val="22"/>
        </w:rPr>
        <w:t>2.</w:t>
      </w:r>
      <w:r>
        <w:rPr>
          <w:rFonts w:ascii="Garamond" w:hAnsi="Garamond" w:cs="Times New Roman CYR"/>
          <w:sz w:val="22"/>
          <w:szCs w:val="22"/>
        </w:rPr>
        <w:t xml:space="preserve"> </w:t>
      </w:r>
      <w:r w:rsidRPr="00265913">
        <w:rPr>
          <w:rFonts w:ascii="Garamond" w:hAnsi="Garamond" w:cs="Times New Roman CYR"/>
          <w:sz w:val="22"/>
          <w:szCs w:val="22"/>
        </w:rPr>
        <w:t>Однолинейная электрическая схема присоединения приведена________________________________</w:t>
      </w:r>
    </w:p>
    <w:p w14:paraId="5EABD8DF" w14:textId="77777777" w:rsidR="004B3B82" w:rsidRPr="00D42866" w:rsidRDefault="004B3B82" w:rsidP="00101F7C">
      <w:pPr>
        <w:widowControl w:val="0"/>
        <w:overflowPunct w:val="0"/>
        <w:autoSpaceDE w:val="0"/>
        <w:autoSpaceDN w:val="0"/>
        <w:adjustRightInd w:val="0"/>
        <w:ind w:left="720"/>
        <w:jc w:val="right"/>
        <w:rPr>
          <w:rFonts w:ascii="Garamond" w:hAnsi="Garamond" w:cs="Times New Roman CYR"/>
        </w:rPr>
      </w:pPr>
      <w:r w:rsidRPr="00D42866">
        <w:rPr>
          <w:rFonts w:ascii="Garamond" w:hAnsi="Garamond" w:cs="Times New Roman CYR"/>
        </w:rPr>
        <w:t>указывается ссылка на соответствующий лист технической документации АИИС КУЭ</w:t>
      </w:r>
    </w:p>
    <w:p w14:paraId="01ABC373" w14:textId="77777777" w:rsidR="004B3B82" w:rsidRPr="00D42866" w:rsidRDefault="004B3B82" w:rsidP="00101F7C">
      <w:pPr>
        <w:widowControl w:val="0"/>
        <w:overflowPunct w:val="0"/>
        <w:autoSpaceDE w:val="0"/>
        <w:autoSpaceDN w:val="0"/>
        <w:adjustRightInd w:val="0"/>
        <w:ind w:firstLine="284"/>
        <w:rPr>
          <w:rFonts w:ascii="Garamond" w:hAnsi="Garamond" w:cs="Times New Roman CYR"/>
          <w:b/>
        </w:rPr>
      </w:pPr>
    </w:p>
    <w:p w14:paraId="3575BD7D" w14:textId="77777777" w:rsidR="004B3B82" w:rsidRPr="00D42866" w:rsidRDefault="004B3B82" w:rsidP="00101F7C">
      <w:pPr>
        <w:overflowPunct w:val="0"/>
        <w:autoSpaceDE w:val="0"/>
        <w:autoSpaceDN w:val="0"/>
        <w:adjustRightInd w:val="0"/>
        <w:rPr>
          <w:rFonts w:ascii="Garamond" w:hAnsi="Garamond" w:cs="Times New Roman CYR"/>
          <w:sz w:val="22"/>
          <w:szCs w:val="22"/>
        </w:rPr>
      </w:pPr>
      <w:r w:rsidRPr="00D42866">
        <w:rPr>
          <w:rFonts w:ascii="Garamond" w:hAnsi="Garamond" w:cs="Times New Roman CYR"/>
          <w:sz w:val="22"/>
          <w:szCs w:val="22"/>
        </w:rPr>
        <w:t xml:space="preserve">3. Дата ввода комплекса в эксплуатацию: </w:t>
      </w:r>
      <w:r w:rsidRPr="00D42866">
        <w:rPr>
          <w:rFonts w:ascii="Garamond" w:hAnsi="Garamond"/>
          <w:sz w:val="22"/>
          <w:szCs w:val="22"/>
        </w:rPr>
        <w:t>____________________________________</w:t>
      </w:r>
    </w:p>
    <w:p w14:paraId="00F32C6C" w14:textId="77777777" w:rsidR="004B3B82" w:rsidRPr="00D42866" w:rsidRDefault="004B3B82" w:rsidP="00101F7C">
      <w:pPr>
        <w:overflowPunct w:val="0"/>
        <w:autoSpaceDE w:val="0"/>
        <w:autoSpaceDN w:val="0"/>
        <w:adjustRightInd w:val="0"/>
        <w:rPr>
          <w:rFonts w:ascii="Garamond" w:hAnsi="Garamond" w:cs="Times New Roman CYR"/>
          <w:sz w:val="22"/>
          <w:szCs w:val="22"/>
        </w:rPr>
      </w:pPr>
    </w:p>
    <w:p w14:paraId="0BFBE4B5" w14:textId="77777777" w:rsidR="004B3B82" w:rsidRPr="00D42866" w:rsidRDefault="004B3B82" w:rsidP="00101F7C">
      <w:pPr>
        <w:overflowPunct w:val="0"/>
        <w:autoSpaceDE w:val="0"/>
        <w:autoSpaceDN w:val="0"/>
        <w:adjustRightInd w:val="0"/>
        <w:rPr>
          <w:rFonts w:ascii="Garamond" w:hAnsi="Garamond" w:cs="Times New Roman CYR"/>
          <w:sz w:val="22"/>
          <w:szCs w:val="22"/>
        </w:rPr>
      </w:pPr>
      <w:r w:rsidRPr="00D42866">
        <w:rPr>
          <w:rFonts w:ascii="Garamond" w:hAnsi="Garamond" w:cs="Times New Roman CYR"/>
          <w:sz w:val="22"/>
          <w:szCs w:val="22"/>
        </w:rPr>
        <w:t>4. Основные паспортные и эксплуатационные данные</w:t>
      </w:r>
    </w:p>
    <w:p w14:paraId="5981B371" w14:textId="77777777" w:rsidR="004B3B82" w:rsidRPr="00D42866" w:rsidRDefault="004B3B82" w:rsidP="00101F7C">
      <w:pPr>
        <w:overflowPunct w:val="0"/>
        <w:autoSpaceDE w:val="0"/>
        <w:autoSpaceDN w:val="0"/>
        <w:adjustRightInd w:val="0"/>
        <w:rPr>
          <w:rFonts w:ascii="Garamond" w:hAnsi="Garamond" w:cs="Times New Roman CYR"/>
          <w:sz w:val="22"/>
          <w:szCs w:val="22"/>
        </w:rPr>
      </w:pPr>
    </w:p>
    <w:p w14:paraId="5FCDEA86" w14:textId="77777777" w:rsidR="004B3B82" w:rsidRPr="00D42866" w:rsidRDefault="004B3B82" w:rsidP="00101F7C">
      <w:pPr>
        <w:overflowPunct w:val="0"/>
        <w:autoSpaceDE w:val="0"/>
        <w:autoSpaceDN w:val="0"/>
        <w:adjustRightInd w:val="0"/>
        <w:rPr>
          <w:rFonts w:ascii="Garamond" w:hAnsi="Garamond" w:cs="Times New Roman CYR"/>
          <w:b/>
          <w:sz w:val="22"/>
          <w:szCs w:val="22"/>
        </w:rPr>
      </w:pPr>
      <w:r w:rsidRPr="00D42866">
        <w:rPr>
          <w:rFonts w:ascii="Garamond" w:hAnsi="Garamond" w:cs="Times New Roman CYR"/>
          <w:b/>
          <w:sz w:val="22"/>
          <w:szCs w:val="22"/>
        </w:rPr>
        <w:t xml:space="preserve">4.1. </w:t>
      </w:r>
      <w:r w:rsidRPr="00265913">
        <w:rPr>
          <w:rFonts w:ascii="Garamond" w:hAnsi="Garamond" w:cs="Times New Roman CYR"/>
          <w:b/>
          <w:sz w:val="22"/>
          <w:szCs w:val="22"/>
          <w:highlight w:val="yellow"/>
        </w:rPr>
        <w:t>Приборы учета</w:t>
      </w:r>
    </w:p>
    <w:p w14:paraId="79AB118F" w14:textId="77777777" w:rsidR="004B3B82" w:rsidRPr="00D42866" w:rsidRDefault="004B3B82" w:rsidP="00101F7C">
      <w:pPr>
        <w:autoSpaceDE w:val="0"/>
        <w:autoSpaceDN w:val="0"/>
        <w:adjustRightInd w:val="0"/>
        <w:ind w:firstLine="720"/>
        <w:jc w:val="both"/>
        <w:rPr>
          <w:rFonts w:ascii="Garamond" w:hAnsi="Garamond"/>
          <w:sz w:val="22"/>
          <w:szCs w:val="22"/>
        </w:rPr>
      </w:pPr>
      <w:r w:rsidRPr="00D42866">
        <w:rPr>
          <w:rFonts w:ascii="Garamond" w:hAnsi="Garamond"/>
          <w:sz w:val="22"/>
          <w:szCs w:val="22"/>
        </w:rPr>
        <w:t xml:space="preserve">Место установки </w:t>
      </w:r>
      <w:r w:rsidRPr="00D42866">
        <w:rPr>
          <w:rFonts w:ascii="Garamond" w:hAnsi="Garamond"/>
          <w:sz w:val="22"/>
          <w:szCs w:val="22"/>
          <w:u w:val="single"/>
        </w:rPr>
        <w:t>внешняя панель релейного отсека яч. 26</w:t>
      </w:r>
    </w:p>
    <w:p w14:paraId="32CD96F5" w14:textId="77777777" w:rsidR="004B3B82" w:rsidRPr="00D42866" w:rsidRDefault="004B3B82" w:rsidP="00101F7C">
      <w:pPr>
        <w:rPr>
          <w:rFonts w:ascii="Garamond" w:hAnsi="Garamond"/>
          <w:sz w:val="22"/>
          <w:szCs w:val="22"/>
        </w:rPr>
      </w:pPr>
    </w:p>
    <w:tbl>
      <w:tblPr>
        <w:tblW w:w="99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28"/>
        <w:gridCol w:w="2520"/>
        <w:gridCol w:w="3261"/>
        <w:gridCol w:w="1559"/>
      </w:tblGrid>
      <w:tr w:rsidR="004B3B82" w:rsidRPr="00D42866" w14:paraId="6F6970B7" w14:textId="77777777" w:rsidTr="00CD3B05">
        <w:tc>
          <w:tcPr>
            <w:tcW w:w="2628" w:type="dxa"/>
          </w:tcPr>
          <w:p w14:paraId="14250029" w14:textId="77777777" w:rsidR="004B3B82" w:rsidRPr="00D42866" w:rsidRDefault="004B3B82" w:rsidP="00CD3B05">
            <w:pPr>
              <w:overflowPunct w:val="0"/>
              <w:autoSpaceDE w:val="0"/>
              <w:autoSpaceDN w:val="0"/>
              <w:adjustRightInd w:val="0"/>
              <w:rPr>
                <w:rFonts w:ascii="Garamond" w:hAnsi="Garamond" w:cs="Times New Roman CYR"/>
                <w:sz w:val="22"/>
                <w:szCs w:val="22"/>
              </w:rPr>
            </w:pPr>
            <w:r w:rsidRPr="00D42866">
              <w:rPr>
                <w:rFonts w:ascii="Garamond" w:hAnsi="Garamond" w:cs="Times New Roman CYR"/>
                <w:sz w:val="22"/>
                <w:szCs w:val="22"/>
              </w:rPr>
              <w:t>Вид учета</w:t>
            </w:r>
          </w:p>
        </w:tc>
        <w:tc>
          <w:tcPr>
            <w:tcW w:w="2520" w:type="dxa"/>
          </w:tcPr>
          <w:p w14:paraId="6A83DF7C" w14:textId="77777777" w:rsidR="004B3B82" w:rsidRPr="00D42866" w:rsidRDefault="004B3B82" w:rsidP="00CD3B05">
            <w:pPr>
              <w:overflowPunct w:val="0"/>
              <w:autoSpaceDE w:val="0"/>
              <w:autoSpaceDN w:val="0"/>
              <w:adjustRightInd w:val="0"/>
              <w:jc w:val="center"/>
              <w:rPr>
                <w:rFonts w:ascii="Garamond" w:hAnsi="Garamond" w:cs="Times New Roman CYR"/>
                <w:sz w:val="22"/>
                <w:szCs w:val="22"/>
              </w:rPr>
            </w:pPr>
            <w:r w:rsidRPr="00D42866">
              <w:rPr>
                <w:rFonts w:ascii="Garamond" w:hAnsi="Garamond" w:cs="Times New Roman CYR"/>
                <w:sz w:val="22"/>
                <w:szCs w:val="22"/>
              </w:rPr>
              <w:t>(</w:t>
            </w:r>
            <w:r w:rsidRPr="00D42866">
              <w:rPr>
                <w:rFonts w:ascii="Garamond" w:hAnsi="Garamond" w:cs="Times New Roman CYR"/>
                <w:sz w:val="22"/>
                <w:szCs w:val="22"/>
                <w:u w:val="single"/>
              </w:rPr>
              <w:t>Расчет</w:t>
            </w:r>
            <w:r w:rsidRPr="00D42866">
              <w:rPr>
                <w:rFonts w:ascii="Garamond" w:hAnsi="Garamond" w:cs="Times New Roman CYR"/>
                <w:sz w:val="22"/>
                <w:szCs w:val="22"/>
              </w:rPr>
              <w:t xml:space="preserve"> или Контроль)</w:t>
            </w:r>
          </w:p>
        </w:tc>
        <w:tc>
          <w:tcPr>
            <w:tcW w:w="3261" w:type="dxa"/>
          </w:tcPr>
          <w:p w14:paraId="602199E5" w14:textId="77777777" w:rsidR="004B3B82" w:rsidRPr="00D42866" w:rsidRDefault="004B3B82" w:rsidP="00CD3B05">
            <w:pPr>
              <w:overflowPunct w:val="0"/>
              <w:autoSpaceDE w:val="0"/>
              <w:autoSpaceDN w:val="0"/>
              <w:adjustRightInd w:val="0"/>
              <w:rPr>
                <w:rFonts w:ascii="Garamond" w:hAnsi="Garamond" w:cs="Times New Roman CYR"/>
                <w:sz w:val="22"/>
                <w:szCs w:val="22"/>
              </w:rPr>
            </w:pPr>
            <w:r w:rsidRPr="00D42866">
              <w:rPr>
                <w:rFonts w:ascii="Garamond" w:hAnsi="Garamond" w:cs="Times New Roman CYR"/>
                <w:sz w:val="22"/>
                <w:szCs w:val="22"/>
              </w:rPr>
              <w:t>Вид энергии</w:t>
            </w:r>
          </w:p>
        </w:tc>
        <w:tc>
          <w:tcPr>
            <w:tcW w:w="1559" w:type="dxa"/>
          </w:tcPr>
          <w:p w14:paraId="0419DE15" w14:textId="77777777" w:rsidR="004B3B82" w:rsidRPr="00D42866" w:rsidRDefault="004B3B82" w:rsidP="00CD3B05">
            <w:pPr>
              <w:overflowPunct w:val="0"/>
              <w:autoSpaceDE w:val="0"/>
              <w:autoSpaceDN w:val="0"/>
              <w:adjustRightInd w:val="0"/>
              <w:rPr>
                <w:rFonts w:ascii="Garamond" w:hAnsi="Garamond" w:cs="Times New Roman CYR"/>
                <w:sz w:val="22"/>
                <w:szCs w:val="22"/>
              </w:rPr>
            </w:pPr>
            <w:r w:rsidRPr="00D42866">
              <w:rPr>
                <w:rFonts w:ascii="Garamond" w:hAnsi="Garamond" w:cs="Times New Roman CYR"/>
                <w:sz w:val="22"/>
                <w:szCs w:val="22"/>
              </w:rPr>
              <w:t>(</w:t>
            </w:r>
            <w:r w:rsidRPr="00D42866">
              <w:rPr>
                <w:rFonts w:ascii="Garamond" w:hAnsi="Garamond" w:cs="Times New Roman CYR"/>
                <w:sz w:val="22"/>
                <w:szCs w:val="22"/>
                <w:u w:val="single"/>
              </w:rPr>
              <w:t xml:space="preserve">А и (или) </w:t>
            </w:r>
            <w:r w:rsidRPr="00D42866">
              <w:rPr>
                <w:rFonts w:ascii="Garamond" w:hAnsi="Garamond" w:cs="Times New Roman CYR"/>
                <w:i/>
                <w:sz w:val="22"/>
                <w:szCs w:val="22"/>
                <w:u w:val="single"/>
                <w:lang w:val="en-US"/>
              </w:rPr>
              <w:t>R</w:t>
            </w:r>
            <w:r w:rsidRPr="00D42866">
              <w:rPr>
                <w:rFonts w:ascii="Garamond" w:hAnsi="Garamond" w:cs="Times New Roman CYR"/>
                <w:i/>
                <w:sz w:val="22"/>
                <w:szCs w:val="22"/>
              </w:rPr>
              <w:t>)</w:t>
            </w:r>
          </w:p>
        </w:tc>
      </w:tr>
      <w:tr w:rsidR="004B3B82" w:rsidRPr="00D42866" w14:paraId="749EE771" w14:textId="77777777" w:rsidTr="00CD3B05">
        <w:tc>
          <w:tcPr>
            <w:tcW w:w="2628" w:type="dxa"/>
          </w:tcPr>
          <w:p w14:paraId="3B161950" w14:textId="77777777" w:rsidR="004B3B82" w:rsidRPr="00D42866" w:rsidRDefault="004B3B82" w:rsidP="00CD3B05">
            <w:pPr>
              <w:overflowPunct w:val="0"/>
              <w:autoSpaceDE w:val="0"/>
              <w:autoSpaceDN w:val="0"/>
              <w:adjustRightInd w:val="0"/>
              <w:rPr>
                <w:rFonts w:ascii="Garamond" w:hAnsi="Garamond" w:cs="Times New Roman CYR"/>
                <w:sz w:val="22"/>
                <w:szCs w:val="22"/>
              </w:rPr>
            </w:pPr>
            <w:r w:rsidRPr="00D42866">
              <w:rPr>
                <w:rFonts w:ascii="Garamond" w:hAnsi="Garamond" w:cs="Times New Roman CYR"/>
                <w:sz w:val="22"/>
                <w:szCs w:val="22"/>
              </w:rPr>
              <w:t xml:space="preserve">Тип и модификация (вариант исполнения) </w:t>
            </w:r>
            <w:r>
              <w:rPr>
                <w:rFonts w:ascii="Garamond" w:hAnsi="Garamond" w:cs="Times New Roman CYR"/>
                <w:sz w:val="22"/>
                <w:szCs w:val="22"/>
                <w:highlight w:val="yellow"/>
              </w:rPr>
              <w:t>прибора учет</w:t>
            </w:r>
            <w:r w:rsidRPr="00265913">
              <w:rPr>
                <w:rFonts w:ascii="Garamond" w:hAnsi="Garamond" w:cs="Times New Roman CYR"/>
                <w:sz w:val="22"/>
                <w:szCs w:val="22"/>
                <w:highlight w:val="yellow"/>
              </w:rPr>
              <w:t>а</w:t>
            </w:r>
          </w:p>
        </w:tc>
        <w:tc>
          <w:tcPr>
            <w:tcW w:w="2520" w:type="dxa"/>
          </w:tcPr>
          <w:p w14:paraId="59D5DD37" w14:textId="77777777" w:rsidR="004B3B82" w:rsidRPr="00D42866" w:rsidRDefault="004B3B82" w:rsidP="00CD3B05">
            <w:pPr>
              <w:overflowPunct w:val="0"/>
              <w:autoSpaceDE w:val="0"/>
              <w:autoSpaceDN w:val="0"/>
              <w:adjustRightInd w:val="0"/>
              <w:jc w:val="center"/>
              <w:rPr>
                <w:rFonts w:ascii="Garamond" w:hAnsi="Garamond" w:cs="Times New Roman CYR"/>
                <w:sz w:val="22"/>
                <w:szCs w:val="22"/>
                <w:lang w:val="en-US"/>
              </w:rPr>
            </w:pPr>
            <w:r w:rsidRPr="00D42866">
              <w:rPr>
                <w:rFonts w:ascii="Garamond" w:hAnsi="Garamond" w:cs="Times New Roman CYR"/>
                <w:sz w:val="22"/>
                <w:szCs w:val="22"/>
              </w:rPr>
              <w:t>СЭТ4-ТМ.03М.0</w:t>
            </w:r>
            <w:r w:rsidRPr="00D42866">
              <w:rPr>
                <w:rFonts w:ascii="Garamond" w:hAnsi="Garamond" w:cs="Times New Roman CYR"/>
                <w:sz w:val="22"/>
                <w:szCs w:val="22"/>
                <w:lang w:val="en-US"/>
              </w:rPr>
              <w:t>1</w:t>
            </w:r>
          </w:p>
        </w:tc>
        <w:tc>
          <w:tcPr>
            <w:tcW w:w="3261" w:type="dxa"/>
          </w:tcPr>
          <w:p w14:paraId="7C9467EF" w14:textId="77777777" w:rsidR="004B3B82" w:rsidRPr="00D42866" w:rsidRDefault="004B3B82" w:rsidP="00CD3B05">
            <w:pPr>
              <w:overflowPunct w:val="0"/>
              <w:autoSpaceDE w:val="0"/>
              <w:autoSpaceDN w:val="0"/>
              <w:adjustRightInd w:val="0"/>
              <w:rPr>
                <w:rFonts w:ascii="Garamond" w:hAnsi="Garamond" w:cs="Times New Roman CYR"/>
                <w:sz w:val="22"/>
                <w:szCs w:val="22"/>
              </w:rPr>
            </w:pPr>
            <w:r w:rsidRPr="00D42866">
              <w:rPr>
                <w:rFonts w:ascii="Garamond" w:hAnsi="Garamond" w:cs="Times New Roman CYR"/>
                <w:sz w:val="22"/>
                <w:szCs w:val="22"/>
              </w:rPr>
              <w:t>Зав. номер</w:t>
            </w:r>
          </w:p>
        </w:tc>
        <w:tc>
          <w:tcPr>
            <w:tcW w:w="1559" w:type="dxa"/>
          </w:tcPr>
          <w:p w14:paraId="64643DAC" w14:textId="77777777" w:rsidR="004B3B82" w:rsidRPr="00D42866" w:rsidRDefault="004B3B82" w:rsidP="00CD3B05">
            <w:pPr>
              <w:overflowPunct w:val="0"/>
              <w:autoSpaceDE w:val="0"/>
              <w:autoSpaceDN w:val="0"/>
              <w:adjustRightInd w:val="0"/>
              <w:jc w:val="center"/>
              <w:rPr>
                <w:rFonts w:ascii="Garamond" w:hAnsi="Garamond" w:cs="Times New Roman CYR"/>
                <w:sz w:val="22"/>
                <w:szCs w:val="22"/>
              </w:rPr>
            </w:pPr>
            <w:r w:rsidRPr="00D42866">
              <w:rPr>
                <w:rFonts w:ascii="Garamond" w:hAnsi="Garamond" w:cs="Times New Roman CYR"/>
                <w:sz w:val="22"/>
                <w:szCs w:val="22"/>
              </w:rPr>
              <w:t>12345678</w:t>
            </w:r>
          </w:p>
        </w:tc>
      </w:tr>
      <w:tr w:rsidR="004B3B82" w:rsidRPr="00D42866" w14:paraId="0A345B3D" w14:textId="77777777" w:rsidTr="00CD3B05">
        <w:tc>
          <w:tcPr>
            <w:tcW w:w="2628" w:type="dxa"/>
          </w:tcPr>
          <w:p w14:paraId="0F21D2D7" w14:textId="77777777" w:rsidR="004B3B82" w:rsidRPr="00D42866" w:rsidRDefault="004B3B82" w:rsidP="00CD3B05">
            <w:pPr>
              <w:overflowPunct w:val="0"/>
              <w:autoSpaceDE w:val="0"/>
              <w:autoSpaceDN w:val="0"/>
              <w:adjustRightInd w:val="0"/>
              <w:rPr>
                <w:rFonts w:ascii="Garamond" w:hAnsi="Garamond" w:cs="Times New Roman CYR"/>
                <w:sz w:val="22"/>
                <w:szCs w:val="22"/>
              </w:rPr>
            </w:pPr>
            <w:r w:rsidRPr="00D42866">
              <w:rPr>
                <w:rFonts w:ascii="Garamond" w:hAnsi="Garamond" w:cs="Times New Roman CYR"/>
                <w:sz w:val="22"/>
                <w:szCs w:val="22"/>
              </w:rPr>
              <w:t>Напряжение, В*</w:t>
            </w:r>
          </w:p>
        </w:tc>
        <w:tc>
          <w:tcPr>
            <w:tcW w:w="2520" w:type="dxa"/>
          </w:tcPr>
          <w:p w14:paraId="1FA22E17" w14:textId="77777777" w:rsidR="004B3B82" w:rsidRPr="00D42866" w:rsidRDefault="004B3B82" w:rsidP="00CD3B05">
            <w:pPr>
              <w:overflowPunct w:val="0"/>
              <w:autoSpaceDE w:val="0"/>
              <w:autoSpaceDN w:val="0"/>
              <w:adjustRightInd w:val="0"/>
              <w:jc w:val="center"/>
              <w:rPr>
                <w:rFonts w:ascii="Garamond" w:hAnsi="Garamond" w:cs="Times New Roman CYR"/>
                <w:sz w:val="22"/>
                <w:szCs w:val="22"/>
              </w:rPr>
            </w:pPr>
            <w:r w:rsidRPr="00D42866">
              <w:rPr>
                <w:rFonts w:ascii="Garamond" w:hAnsi="Garamond" w:cs="Times New Roman CYR"/>
                <w:sz w:val="22"/>
                <w:szCs w:val="22"/>
              </w:rPr>
              <w:t>3х57,5 (100)</w:t>
            </w:r>
          </w:p>
        </w:tc>
        <w:tc>
          <w:tcPr>
            <w:tcW w:w="3261" w:type="dxa"/>
          </w:tcPr>
          <w:p w14:paraId="2BCEF3BC" w14:textId="77777777" w:rsidR="004B3B82" w:rsidRPr="00D42866" w:rsidRDefault="004B3B82" w:rsidP="00CD3B05">
            <w:pPr>
              <w:overflowPunct w:val="0"/>
              <w:autoSpaceDE w:val="0"/>
              <w:autoSpaceDN w:val="0"/>
              <w:adjustRightInd w:val="0"/>
              <w:rPr>
                <w:rFonts w:ascii="Garamond" w:hAnsi="Garamond" w:cs="Times New Roman CYR"/>
                <w:sz w:val="22"/>
                <w:szCs w:val="22"/>
              </w:rPr>
            </w:pPr>
            <w:r w:rsidRPr="00D42866">
              <w:rPr>
                <w:rFonts w:ascii="Garamond" w:hAnsi="Garamond" w:cs="Times New Roman CYR"/>
                <w:sz w:val="22"/>
                <w:szCs w:val="22"/>
              </w:rPr>
              <w:t>Ном. (макс.) ток, А*</w:t>
            </w:r>
          </w:p>
        </w:tc>
        <w:tc>
          <w:tcPr>
            <w:tcW w:w="1559" w:type="dxa"/>
          </w:tcPr>
          <w:p w14:paraId="3D6942CC" w14:textId="77777777" w:rsidR="004B3B82" w:rsidRPr="00D42866" w:rsidRDefault="004B3B82" w:rsidP="00CD3B05">
            <w:pPr>
              <w:widowControl w:val="0"/>
              <w:overflowPunct w:val="0"/>
              <w:autoSpaceDE w:val="0"/>
              <w:autoSpaceDN w:val="0"/>
              <w:adjustRightInd w:val="0"/>
              <w:jc w:val="center"/>
              <w:rPr>
                <w:rFonts w:ascii="Garamond" w:hAnsi="Garamond" w:cs="Times New Roman CYR"/>
                <w:sz w:val="22"/>
                <w:szCs w:val="22"/>
              </w:rPr>
            </w:pPr>
            <w:r w:rsidRPr="00D42866">
              <w:rPr>
                <w:rFonts w:ascii="Garamond" w:hAnsi="Garamond" w:cs="Times New Roman CYR"/>
                <w:sz w:val="22"/>
                <w:szCs w:val="22"/>
              </w:rPr>
              <w:t>5(7,5)</w:t>
            </w:r>
          </w:p>
        </w:tc>
      </w:tr>
      <w:tr w:rsidR="004B3B82" w:rsidRPr="00D42866" w14:paraId="57C76B59" w14:textId="77777777" w:rsidTr="00CD3B05">
        <w:tc>
          <w:tcPr>
            <w:tcW w:w="2628" w:type="dxa"/>
          </w:tcPr>
          <w:p w14:paraId="159CDF72" w14:textId="77777777" w:rsidR="004B3B82" w:rsidRPr="00D42866" w:rsidRDefault="004B3B82" w:rsidP="00CD3B05">
            <w:pPr>
              <w:overflowPunct w:val="0"/>
              <w:autoSpaceDE w:val="0"/>
              <w:autoSpaceDN w:val="0"/>
              <w:adjustRightInd w:val="0"/>
              <w:rPr>
                <w:rFonts w:ascii="Garamond" w:hAnsi="Garamond" w:cs="Times New Roman CYR"/>
                <w:sz w:val="22"/>
                <w:szCs w:val="22"/>
              </w:rPr>
            </w:pPr>
            <w:r w:rsidRPr="00D42866">
              <w:rPr>
                <w:rFonts w:ascii="Garamond" w:hAnsi="Garamond" w:cs="Times New Roman CYR"/>
                <w:sz w:val="22"/>
                <w:szCs w:val="22"/>
              </w:rPr>
              <w:t>Класс точности для активной электроэнергии</w:t>
            </w:r>
          </w:p>
        </w:tc>
        <w:tc>
          <w:tcPr>
            <w:tcW w:w="2520" w:type="dxa"/>
          </w:tcPr>
          <w:p w14:paraId="3E34D94D" w14:textId="77777777" w:rsidR="004B3B82" w:rsidRPr="00D42866" w:rsidRDefault="004B3B82" w:rsidP="00CD3B05">
            <w:pPr>
              <w:overflowPunct w:val="0"/>
              <w:autoSpaceDE w:val="0"/>
              <w:autoSpaceDN w:val="0"/>
              <w:adjustRightInd w:val="0"/>
              <w:jc w:val="center"/>
              <w:rPr>
                <w:rFonts w:ascii="Garamond" w:hAnsi="Garamond" w:cs="Times New Roman CYR"/>
                <w:sz w:val="22"/>
                <w:szCs w:val="22"/>
              </w:rPr>
            </w:pPr>
            <w:r w:rsidRPr="00D42866">
              <w:rPr>
                <w:rFonts w:ascii="Garamond" w:hAnsi="Garamond" w:cs="Times New Roman CYR"/>
                <w:sz w:val="22"/>
                <w:szCs w:val="22"/>
              </w:rPr>
              <w:t>0,5</w:t>
            </w:r>
            <w:r w:rsidRPr="00D42866">
              <w:rPr>
                <w:rFonts w:ascii="Garamond" w:hAnsi="Garamond" w:cs="Times New Roman CYR"/>
                <w:sz w:val="22"/>
                <w:szCs w:val="22"/>
                <w:lang w:val="en-US"/>
              </w:rPr>
              <w:t>S</w:t>
            </w:r>
          </w:p>
        </w:tc>
        <w:tc>
          <w:tcPr>
            <w:tcW w:w="3261" w:type="dxa"/>
          </w:tcPr>
          <w:p w14:paraId="0C81445B" w14:textId="77777777" w:rsidR="004B3B82" w:rsidRPr="00D42866" w:rsidRDefault="004B3B82" w:rsidP="00CD3B05">
            <w:pPr>
              <w:overflowPunct w:val="0"/>
              <w:autoSpaceDE w:val="0"/>
              <w:autoSpaceDN w:val="0"/>
              <w:adjustRightInd w:val="0"/>
              <w:rPr>
                <w:rFonts w:ascii="Garamond" w:hAnsi="Garamond" w:cs="Times New Roman CYR"/>
                <w:sz w:val="22"/>
                <w:szCs w:val="22"/>
              </w:rPr>
            </w:pPr>
            <w:r w:rsidRPr="00D42866">
              <w:rPr>
                <w:rFonts w:ascii="Garamond" w:hAnsi="Garamond" w:cs="Times New Roman CYR"/>
                <w:sz w:val="22"/>
                <w:szCs w:val="22"/>
              </w:rPr>
              <w:t>Класс точности для реактивной электроэнергии</w:t>
            </w:r>
          </w:p>
        </w:tc>
        <w:tc>
          <w:tcPr>
            <w:tcW w:w="1559" w:type="dxa"/>
          </w:tcPr>
          <w:p w14:paraId="56280151" w14:textId="77777777" w:rsidR="004B3B82" w:rsidRPr="00D42866" w:rsidRDefault="004B3B82" w:rsidP="00CD3B05">
            <w:pPr>
              <w:overflowPunct w:val="0"/>
              <w:autoSpaceDE w:val="0"/>
              <w:autoSpaceDN w:val="0"/>
              <w:adjustRightInd w:val="0"/>
              <w:jc w:val="center"/>
              <w:rPr>
                <w:rFonts w:ascii="Garamond" w:hAnsi="Garamond" w:cs="Times New Roman CYR"/>
                <w:sz w:val="22"/>
                <w:szCs w:val="22"/>
              </w:rPr>
            </w:pPr>
            <w:r w:rsidRPr="00D42866">
              <w:rPr>
                <w:rFonts w:ascii="Garamond" w:hAnsi="Garamond" w:cs="Times New Roman CYR"/>
                <w:sz w:val="22"/>
                <w:szCs w:val="22"/>
              </w:rPr>
              <w:t>1.0</w:t>
            </w:r>
          </w:p>
        </w:tc>
      </w:tr>
      <w:tr w:rsidR="004B3B82" w:rsidRPr="00D42866" w14:paraId="20800CA1" w14:textId="77777777" w:rsidTr="00CD3B05">
        <w:tc>
          <w:tcPr>
            <w:tcW w:w="2628" w:type="dxa"/>
          </w:tcPr>
          <w:p w14:paraId="186E16E4" w14:textId="77777777" w:rsidR="004B3B82" w:rsidRPr="00D42866" w:rsidRDefault="004B3B82" w:rsidP="00CD3B05">
            <w:pPr>
              <w:overflowPunct w:val="0"/>
              <w:autoSpaceDE w:val="0"/>
              <w:autoSpaceDN w:val="0"/>
              <w:adjustRightInd w:val="0"/>
              <w:rPr>
                <w:rFonts w:ascii="Garamond" w:hAnsi="Garamond" w:cs="Times New Roman CYR"/>
                <w:sz w:val="22"/>
                <w:szCs w:val="22"/>
              </w:rPr>
            </w:pPr>
            <w:r w:rsidRPr="00D42866">
              <w:rPr>
                <w:rFonts w:ascii="Garamond" w:hAnsi="Garamond" w:cs="Times New Roman CYR"/>
                <w:sz w:val="22"/>
                <w:szCs w:val="22"/>
              </w:rPr>
              <w:t>Схема включения</w:t>
            </w:r>
          </w:p>
        </w:tc>
        <w:tc>
          <w:tcPr>
            <w:tcW w:w="2520" w:type="dxa"/>
          </w:tcPr>
          <w:p w14:paraId="5270EF56" w14:textId="77777777" w:rsidR="004B3B82" w:rsidRPr="00D42866" w:rsidRDefault="004B3B82" w:rsidP="00CD3B05">
            <w:pPr>
              <w:widowControl w:val="0"/>
              <w:overflowPunct w:val="0"/>
              <w:autoSpaceDE w:val="0"/>
              <w:autoSpaceDN w:val="0"/>
              <w:adjustRightInd w:val="0"/>
              <w:ind w:left="360" w:hanging="360"/>
              <w:jc w:val="center"/>
              <w:rPr>
                <w:rFonts w:ascii="Garamond" w:hAnsi="Garamond" w:cs="Times New Roman CYR"/>
                <w:sz w:val="22"/>
                <w:szCs w:val="22"/>
                <w:u w:val="single"/>
              </w:rPr>
            </w:pPr>
            <w:r w:rsidRPr="00D42866">
              <w:rPr>
                <w:rFonts w:ascii="Garamond" w:hAnsi="Garamond" w:cs="Times New Roman CYR"/>
                <w:sz w:val="22"/>
                <w:szCs w:val="22"/>
              </w:rPr>
              <w:t>Трехэлементная **</w:t>
            </w:r>
          </w:p>
        </w:tc>
        <w:tc>
          <w:tcPr>
            <w:tcW w:w="3261" w:type="dxa"/>
          </w:tcPr>
          <w:p w14:paraId="519A8D29" w14:textId="77777777" w:rsidR="004B3B82" w:rsidRPr="00D42866" w:rsidRDefault="004B3B82" w:rsidP="00CD3B05">
            <w:pPr>
              <w:overflowPunct w:val="0"/>
              <w:autoSpaceDE w:val="0"/>
              <w:autoSpaceDN w:val="0"/>
              <w:adjustRightInd w:val="0"/>
              <w:rPr>
                <w:rFonts w:ascii="Garamond" w:hAnsi="Garamond" w:cs="Times New Roman CYR"/>
                <w:sz w:val="22"/>
                <w:szCs w:val="22"/>
              </w:rPr>
            </w:pPr>
            <w:r w:rsidRPr="00D42866">
              <w:rPr>
                <w:rFonts w:ascii="Garamond" w:hAnsi="Garamond"/>
                <w:sz w:val="22"/>
                <w:szCs w:val="22"/>
              </w:rPr>
              <w:t>Номер в Государственном реестре средств измерений РФ (Госреестр №)</w:t>
            </w:r>
          </w:p>
        </w:tc>
        <w:tc>
          <w:tcPr>
            <w:tcW w:w="1559" w:type="dxa"/>
          </w:tcPr>
          <w:p w14:paraId="31262C58" w14:textId="77777777" w:rsidR="004B3B82" w:rsidRPr="00D42866" w:rsidRDefault="004B3B82" w:rsidP="00CD3B05">
            <w:pPr>
              <w:overflowPunct w:val="0"/>
              <w:autoSpaceDE w:val="0"/>
              <w:autoSpaceDN w:val="0"/>
              <w:adjustRightInd w:val="0"/>
              <w:jc w:val="center"/>
              <w:rPr>
                <w:rFonts w:ascii="Garamond" w:hAnsi="Garamond" w:cs="Times New Roman CYR"/>
                <w:sz w:val="22"/>
                <w:szCs w:val="22"/>
              </w:rPr>
            </w:pPr>
            <w:r w:rsidRPr="00D42866">
              <w:rPr>
                <w:rFonts w:ascii="Garamond" w:hAnsi="Garamond" w:cs="Times New Roman CYR"/>
                <w:sz w:val="22"/>
                <w:szCs w:val="22"/>
              </w:rPr>
              <w:t>36697-08</w:t>
            </w:r>
          </w:p>
        </w:tc>
      </w:tr>
      <w:tr w:rsidR="004B3B82" w:rsidRPr="00D42866" w14:paraId="36340200" w14:textId="77777777" w:rsidTr="00CD3B05">
        <w:tc>
          <w:tcPr>
            <w:tcW w:w="2628" w:type="dxa"/>
          </w:tcPr>
          <w:p w14:paraId="6B713C1A" w14:textId="77777777" w:rsidR="004B3B82" w:rsidRPr="00D42866" w:rsidRDefault="004B3B82" w:rsidP="00CD3B05">
            <w:pPr>
              <w:overflowPunct w:val="0"/>
              <w:autoSpaceDE w:val="0"/>
              <w:autoSpaceDN w:val="0"/>
              <w:adjustRightInd w:val="0"/>
              <w:rPr>
                <w:rFonts w:ascii="Garamond" w:hAnsi="Garamond" w:cs="Times New Roman CYR"/>
                <w:sz w:val="22"/>
                <w:szCs w:val="22"/>
              </w:rPr>
            </w:pPr>
            <w:r w:rsidRPr="00D42866">
              <w:rPr>
                <w:rFonts w:ascii="Garamond" w:hAnsi="Garamond"/>
                <w:sz w:val="22"/>
                <w:szCs w:val="22"/>
              </w:rPr>
              <w:t>Дата поверки</w:t>
            </w:r>
          </w:p>
        </w:tc>
        <w:tc>
          <w:tcPr>
            <w:tcW w:w="2520" w:type="dxa"/>
          </w:tcPr>
          <w:p w14:paraId="721B9373" w14:textId="77777777" w:rsidR="004B3B82" w:rsidRPr="00D42866" w:rsidRDefault="004B3B82" w:rsidP="00CD3B05">
            <w:pPr>
              <w:overflowPunct w:val="0"/>
              <w:autoSpaceDE w:val="0"/>
              <w:autoSpaceDN w:val="0"/>
              <w:adjustRightInd w:val="0"/>
              <w:jc w:val="center"/>
              <w:rPr>
                <w:rFonts w:ascii="Garamond" w:hAnsi="Garamond" w:cs="Times New Roman CYR"/>
                <w:sz w:val="22"/>
                <w:szCs w:val="22"/>
              </w:rPr>
            </w:pPr>
            <w:r w:rsidRPr="00D42866">
              <w:rPr>
                <w:rFonts w:ascii="Garamond" w:hAnsi="Garamond"/>
                <w:sz w:val="22"/>
                <w:szCs w:val="22"/>
              </w:rPr>
              <w:t>01.04.2019</w:t>
            </w:r>
          </w:p>
        </w:tc>
        <w:tc>
          <w:tcPr>
            <w:tcW w:w="3261" w:type="dxa"/>
          </w:tcPr>
          <w:p w14:paraId="26F49319" w14:textId="77777777" w:rsidR="004B3B82" w:rsidRPr="00D42866" w:rsidRDefault="004B3B82" w:rsidP="00CD3B05">
            <w:pPr>
              <w:overflowPunct w:val="0"/>
              <w:autoSpaceDE w:val="0"/>
              <w:autoSpaceDN w:val="0"/>
              <w:adjustRightInd w:val="0"/>
              <w:rPr>
                <w:rFonts w:ascii="Garamond" w:hAnsi="Garamond" w:cs="Times New Roman CYR"/>
                <w:sz w:val="22"/>
                <w:szCs w:val="22"/>
              </w:rPr>
            </w:pPr>
            <w:r w:rsidRPr="00D42866">
              <w:rPr>
                <w:rFonts w:ascii="Garamond" w:hAnsi="Garamond" w:cs="Times New Roman CYR"/>
                <w:sz w:val="22"/>
                <w:szCs w:val="22"/>
              </w:rPr>
              <w:t>Межповерочный интервал, лет</w:t>
            </w:r>
          </w:p>
        </w:tc>
        <w:tc>
          <w:tcPr>
            <w:tcW w:w="1559" w:type="dxa"/>
          </w:tcPr>
          <w:p w14:paraId="0FBBE45A" w14:textId="77777777" w:rsidR="004B3B82" w:rsidRPr="00D42866" w:rsidRDefault="004B3B82" w:rsidP="00CD3B05">
            <w:pPr>
              <w:overflowPunct w:val="0"/>
              <w:autoSpaceDE w:val="0"/>
              <w:autoSpaceDN w:val="0"/>
              <w:adjustRightInd w:val="0"/>
              <w:jc w:val="center"/>
              <w:rPr>
                <w:rFonts w:ascii="Garamond" w:hAnsi="Garamond" w:cs="Times New Roman CYR"/>
                <w:sz w:val="22"/>
                <w:szCs w:val="22"/>
              </w:rPr>
            </w:pPr>
            <w:r w:rsidRPr="00D42866">
              <w:rPr>
                <w:rFonts w:ascii="Garamond" w:hAnsi="Garamond" w:cs="Times New Roman CYR"/>
                <w:sz w:val="22"/>
                <w:szCs w:val="22"/>
              </w:rPr>
              <w:t>12</w:t>
            </w:r>
          </w:p>
        </w:tc>
      </w:tr>
    </w:tbl>
    <w:p w14:paraId="043D8169" w14:textId="77777777" w:rsidR="004B3B82" w:rsidRPr="00D42866" w:rsidRDefault="004B3B82" w:rsidP="00101F7C">
      <w:pPr>
        <w:overflowPunct w:val="0"/>
        <w:autoSpaceDE w:val="0"/>
        <w:autoSpaceDN w:val="0"/>
        <w:adjustRightInd w:val="0"/>
        <w:ind w:firstLine="708"/>
        <w:rPr>
          <w:rFonts w:ascii="Garamond" w:hAnsi="Garamond" w:cs="Times New Roman CYR"/>
          <w:sz w:val="22"/>
          <w:szCs w:val="22"/>
        </w:rPr>
      </w:pPr>
    </w:p>
    <w:p w14:paraId="469A5097" w14:textId="77777777" w:rsidR="004B3B82" w:rsidRPr="00D42866" w:rsidRDefault="004B3B82" w:rsidP="00101F7C">
      <w:pPr>
        <w:overflowPunct w:val="0"/>
        <w:autoSpaceDE w:val="0"/>
        <w:autoSpaceDN w:val="0"/>
        <w:adjustRightInd w:val="0"/>
        <w:rPr>
          <w:rFonts w:ascii="Garamond" w:hAnsi="Garamond" w:cs="Times New Roman CYR"/>
        </w:rPr>
      </w:pPr>
      <w:r w:rsidRPr="00D42866">
        <w:rPr>
          <w:rFonts w:ascii="Garamond" w:hAnsi="Garamond" w:cs="Times New Roman CYR"/>
        </w:rPr>
        <w:t xml:space="preserve">* Не применимо для </w:t>
      </w:r>
      <w:r w:rsidRPr="00265913">
        <w:rPr>
          <w:rFonts w:ascii="Garamond" w:hAnsi="Garamond" w:cs="Times New Roman CYR"/>
          <w:highlight w:val="yellow"/>
        </w:rPr>
        <w:t>приборов учета</w:t>
      </w:r>
      <w:r w:rsidRPr="00D42866">
        <w:rPr>
          <w:rFonts w:ascii="Garamond" w:hAnsi="Garamond" w:cs="Times New Roman CYR"/>
        </w:rPr>
        <w:t>, принимающих сигналы стандарта МЭК 61850.</w:t>
      </w:r>
    </w:p>
    <w:p w14:paraId="29129A95" w14:textId="77777777" w:rsidR="004B3B82" w:rsidRPr="00D42866" w:rsidRDefault="004B3B82" w:rsidP="00101F7C">
      <w:pPr>
        <w:widowControl w:val="0"/>
        <w:overflowPunct w:val="0"/>
        <w:autoSpaceDE w:val="0"/>
        <w:autoSpaceDN w:val="0"/>
        <w:adjustRightInd w:val="0"/>
        <w:rPr>
          <w:rFonts w:ascii="Garamond" w:hAnsi="Garamond" w:cs="Times New Roman CYR"/>
        </w:rPr>
      </w:pPr>
      <w:r w:rsidRPr="00D42866">
        <w:rPr>
          <w:rFonts w:ascii="Garamond" w:hAnsi="Garamond" w:cs="Times New Roman CYR"/>
        </w:rPr>
        <w:t>** Средний элемент включен на сумму токов фазы А и С.</w:t>
      </w:r>
    </w:p>
    <w:p w14:paraId="49C104EB" w14:textId="77777777" w:rsidR="004B3B82" w:rsidRPr="00D42866" w:rsidRDefault="004B3B82" w:rsidP="00101F7C">
      <w:pPr>
        <w:widowControl w:val="0"/>
        <w:overflowPunct w:val="0"/>
        <w:autoSpaceDE w:val="0"/>
        <w:autoSpaceDN w:val="0"/>
        <w:adjustRightInd w:val="0"/>
        <w:rPr>
          <w:rFonts w:ascii="Garamond" w:hAnsi="Garamond" w:cs="Times New Roman CYR"/>
        </w:rPr>
      </w:pPr>
    </w:p>
    <w:p w14:paraId="0CE68D75" w14:textId="77777777" w:rsidR="004B3B82" w:rsidRPr="00D42866" w:rsidRDefault="004B3B82" w:rsidP="00101F7C">
      <w:pPr>
        <w:widowControl w:val="0"/>
        <w:overflowPunct w:val="0"/>
        <w:autoSpaceDE w:val="0"/>
        <w:autoSpaceDN w:val="0"/>
        <w:adjustRightInd w:val="0"/>
        <w:rPr>
          <w:rFonts w:ascii="Garamond" w:hAnsi="Garamond" w:cs="Times New Roman CYR"/>
          <w:sz w:val="22"/>
          <w:szCs w:val="22"/>
        </w:rPr>
      </w:pPr>
      <w:r w:rsidRPr="00D42866">
        <w:rPr>
          <w:rFonts w:ascii="Garamond" w:hAnsi="Garamond" w:cs="Times New Roman CYR"/>
          <w:sz w:val="22"/>
          <w:szCs w:val="22"/>
        </w:rPr>
        <w:t>Другие данные _________________________________________________________________________</w:t>
      </w:r>
    </w:p>
    <w:p w14:paraId="03CD6C11" w14:textId="77777777" w:rsidR="004B3B82" w:rsidRPr="00D42866" w:rsidRDefault="004B3B82" w:rsidP="00101F7C">
      <w:pPr>
        <w:overflowPunct w:val="0"/>
        <w:autoSpaceDE w:val="0"/>
        <w:autoSpaceDN w:val="0"/>
        <w:adjustRightInd w:val="0"/>
        <w:rPr>
          <w:rFonts w:ascii="Garamond" w:hAnsi="Garamond" w:cs="Times New Roman CYR"/>
          <w:b/>
          <w:sz w:val="22"/>
          <w:szCs w:val="22"/>
        </w:rPr>
      </w:pPr>
    </w:p>
    <w:p w14:paraId="7AB7823E" w14:textId="77777777" w:rsidR="004B3B82" w:rsidRPr="00D42866" w:rsidRDefault="004B3B82" w:rsidP="00101F7C">
      <w:pPr>
        <w:overflowPunct w:val="0"/>
        <w:autoSpaceDE w:val="0"/>
        <w:autoSpaceDN w:val="0"/>
        <w:adjustRightInd w:val="0"/>
        <w:rPr>
          <w:rFonts w:ascii="Garamond" w:hAnsi="Garamond" w:cs="Times New Roman CYR"/>
          <w:b/>
          <w:sz w:val="22"/>
          <w:szCs w:val="22"/>
        </w:rPr>
      </w:pPr>
      <w:r w:rsidRPr="00D42866">
        <w:rPr>
          <w:rFonts w:ascii="Garamond" w:hAnsi="Garamond" w:cs="Times New Roman CYR"/>
          <w:b/>
          <w:sz w:val="22"/>
          <w:szCs w:val="22"/>
        </w:rPr>
        <w:t>4.2. Трансформаторы тока</w:t>
      </w:r>
    </w:p>
    <w:p w14:paraId="6D0C7BF5" w14:textId="77777777" w:rsidR="004B3B82" w:rsidRPr="00D42866" w:rsidRDefault="004B3B82" w:rsidP="00101F7C">
      <w:pPr>
        <w:autoSpaceDE w:val="0"/>
        <w:autoSpaceDN w:val="0"/>
        <w:adjustRightInd w:val="0"/>
        <w:ind w:firstLine="720"/>
        <w:jc w:val="both"/>
        <w:rPr>
          <w:rFonts w:ascii="Garamond" w:hAnsi="Garamond"/>
          <w:sz w:val="22"/>
          <w:szCs w:val="22"/>
        </w:rPr>
      </w:pPr>
      <w:r w:rsidRPr="00D42866">
        <w:rPr>
          <w:rFonts w:ascii="Garamond" w:hAnsi="Garamond"/>
          <w:sz w:val="22"/>
          <w:szCs w:val="22"/>
        </w:rPr>
        <w:t>Место установки ___________________________</w:t>
      </w:r>
    </w:p>
    <w:p w14:paraId="12FC5487" w14:textId="77777777" w:rsidR="004B3B82" w:rsidRPr="00D42866" w:rsidRDefault="004B3B82" w:rsidP="00101F7C">
      <w:pPr>
        <w:autoSpaceDE w:val="0"/>
        <w:autoSpaceDN w:val="0"/>
        <w:adjustRightInd w:val="0"/>
        <w:ind w:firstLine="720"/>
        <w:jc w:val="both"/>
        <w:rPr>
          <w:rFonts w:ascii="Garamond" w:hAnsi="Garamond"/>
          <w:sz w:val="22"/>
          <w:szCs w:val="22"/>
        </w:rPr>
      </w:pPr>
    </w:p>
    <w:p w14:paraId="75436F85" w14:textId="77777777" w:rsidR="004B3B82" w:rsidRPr="00D42866" w:rsidRDefault="004B3B82" w:rsidP="00101F7C">
      <w:pPr>
        <w:overflowPunct w:val="0"/>
        <w:autoSpaceDE w:val="0"/>
        <w:autoSpaceDN w:val="0"/>
        <w:adjustRightInd w:val="0"/>
        <w:rPr>
          <w:rFonts w:ascii="Garamond" w:hAnsi="Garamond" w:cs="Times New Roman CYR"/>
          <w:b/>
          <w:sz w:val="22"/>
          <w:szCs w:val="22"/>
        </w:rPr>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26"/>
        <w:gridCol w:w="2126"/>
        <w:gridCol w:w="1843"/>
        <w:gridCol w:w="1559"/>
        <w:gridCol w:w="2410"/>
        <w:gridCol w:w="850"/>
      </w:tblGrid>
      <w:tr w:rsidR="004B3B82" w:rsidRPr="00D42866" w14:paraId="02901CD4" w14:textId="77777777" w:rsidTr="00CD3B05">
        <w:tc>
          <w:tcPr>
            <w:tcW w:w="10314" w:type="dxa"/>
            <w:gridSpan w:val="6"/>
          </w:tcPr>
          <w:p w14:paraId="371A2F2A" w14:textId="77777777" w:rsidR="004B3B82" w:rsidRPr="00D42866" w:rsidRDefault="004B3B82" w:rsidP="00CD3B05">
            <w:pPr>
              <w:overflowPunct w:val="0"/>
              <w:autoSpaceDE w:val="0"/>
              <w:autoSpaceDN w:val="0"/>
              <w:adjustRightInd w:val="0"/>
              <w:ind w:right="21"/>
              <w:jc w:val="center"/>
              <w:rPr>
                <w:rFonts w:ascii="Garamond" w:hAnsi="Garamond" w:cs="Times New Roman CYR"/>
                <w:sz w:val="22"/>
                <w:szCs w:val="22"/>
              </w:rPr>
            </w:pPr>
            <w:r w:rsidRPr="00D42866">
              <w:rPr>
                <w:rFonts w:ascii="Garamond" w:hAnsi="Garamond" w:cs="Times New Roman CYR"/>
                <w:sz w:val="22"/>
                <w:szCs w:val="22"/>
              </w:rPr>
              <w:t>Фаза А</w:t>
            </w:r>
          </w:p>
        </w:tc>
      </w:tr>
      <w:tr w:rsidR="004B3B82" w:rsidRPr="00D42866" w14:paraId="572CE4BA" w14:textId="77777777" w:rsidTr="00CD3B05">
        <w:tc>
          <w:tcPr>
            <w:tcW w:w="1526" w:type="dxa"/>
          </w:tcPr>
          <w:p w14:paraId="6DAE97D3" w14:textId="77777777" w:rsidR="004B3B82" w:rsidRPr="00D42866" w:rsidRDefault="004B3B82" w:rsidP="00CD3B05">
            <w:pPr>
              <w:overflowPunct w:val="0"/>
              <w:autoSpaceDE w:val="0"/>
              <w:autoSpaceDN w:val="0"/>
              <w:adjustRightInd w:val="0"/>
              <w:ind w:right="21"/>
              <w:rPr>
                <w:rFonts w:ascii="Garamond" w:hAnsi="Garamond" w:cs="Times New Roman CYR"/>
                <w:sz w:val="22"/>
                <w:szCs w:val="22"/>
              </w:rPr>
            </w:pPr>
            <w:r w:rsidRPr="00D42866">
              <w:rPr>
                <w:rFonts w:ascii="Garamond" w:hAnsi="Garamond" w:cs="Times New Roman CYR"/>
                <w:sz w:val="22"/>
                <w:szCs w:val="22"/>
              </w:rPr>
              <w:t>Тип</w:t>
            </w:r>
          </w:p>
        </w:tc>
        <w:tc>
          <w:tcPr>
            <w:tcW w:w="2126" w:type="dxa"/>
          </w:tcPr>
          <w:p w14:paraId="5E037D4D" w14:textId="77777777" w:rsidR="004B3B82" w:rsidRPr="00D42866" w:rsidRDefault="004B3B82" w:rsidP="00CD3B05">
            <w:pPr>
              <w:overflowPunct w:val="0"/>
              <w:autoSpaceDE w:val="0"/>
              <w:autoSpaceDN w:val="0"/>
              <w:adjustRightInd w:val="0"/>
              <w:ind w:right="21"/>
              <w:rPr>
                <w:rFonts w:ascii="Garamond" w:hAnsi="Garamond" w:cs="Times New Roman CYR"/>
                <w:sz w:val="22"/>
                <w:szCs w:val="22"/>
              </w:rPr>
            </w:pPr>
            <w:r w:rsidRPr="00D42866">
              <w:rPr>
                <w:rFonts w:ascii="Garamond" w:hAnsi="Garamond" w:cs="Times New Roman CYR"/>
                <w:sz w:val="22"/>
                <w:szCs w:val="22"/>
              </w:rPr>
              <w:t>ТПОЛ-10</w:t>
            </w:r>
          </w:p>
        </w:tc>
        <w:tc>
          <w:tcPr>
            <w:tcW w:w="1843" w:type="dxa"/>
          </w:tcPr>
          <w:p w14:paraId="46EAE949" w14:textId="77777777" w:rsidR="004B3B82" w:rsidRPr="00D42866" w:rsidRDefault="004B3B82" w:rsidP="00CD3B05">
            <w:pPr>
              <w:overflowPunct w:val="0"/>
              <w:autoSpaceDE w:val="0"/>
              <w:autoSpaceDN w:val="0"/>
              <w:adjustRightInd w:val="0"/>
              <w:ind w:right="21"/>
              <w:rPr>
                <w:rFonts w:ascii="Garamond" w:hAnsi="Garamond" w:cs="Times New Roman CYR"/>
                <w:sz w:val="22"/>
                <w:szCs w:val="22"/>
              </w:rPr>
            </w:pPr>
            <w:r w:rsidRPr="00D42866">
              <w:rPr>
                <w:rFonts w:ascii="Garamond" w:hAnsi="Garamond" w:cs="Times New Roman CYR"/>
                <w:sz w:val="22"/>
                <w:szCs w:val="22"/>
              </w:rPr>
              <w:t>Зав. №</w:t>
            </w:r>
          </w:p>
        </w:tc>
        <w:tc>
          <w:tcPr>
            <w:tcW w:w="1559" w:type="dxa"/>
          </w:tcPr>
          <w:p w14:paraId="3D046817" w14:textId="77777777" w:rsidR="004B3B82" w:rsidRPr="00D42866" w:rsidRDefault="004B3B82" w:rsidP="00CD3B05">
            <w:pPr>
              <w:overflowPunct w:val="0"/>
              <w:autoSpaceDE w:val="0"/>
              <w:autoSpaceDN w:val="0"/>
              <w:adjustRightInd w:val="0"/>
              <w:ind w:right="21"/>
              <w:rPr>
                <w:rFonts w:ascii="Garamond" w:hAnsi="Garamond" w:cs="Times New Roman CYR"/>
                <w:sz w:val="22"/>
                <w:szCs w:val="22"/>
              </w:rPr>
            </w:pPr>
            <w:r w:rsidRPr="00D42866">
              <w:rPr>
                <w:rFonts w:ascii="Garamond" w:hAnsi="Garamond" w:cs="Times New Roman CYR"/>
                <w:sz w:val="22"/>
                <w:szCs w:val="22"/>
              </w:rPr>
              <w:t>1234</w:t>
            </w:r>
          </w:p>
        </w:tc>
        <w:tc>
          <w:tcPr>
            <w:tcW w:w="2410" w:type="dxa"/>
          </w:tcPr>
          <w:p w14:paraId="6D1A1AA3" w14:textId="77777777" w:rsidR="004B3B82" w:rsidRPr="00D42866" w:rsidRDefault="004B3B82" w:rsidP="00CD3B05">
            <w:pPr>
              <w:overflowPunct w:val="0"/>
              <w:autoSpaceDE w:val="0"/>
              <w:autoSpaceDN w:val="0"/>
              <w:adjustRightInd w:val="0"/>
              <w:ind w:right="21"/>
              <w:rPr>
                <w:rFonts w:ascii="Garamond" w:hAnsi="Garamond" w:cs="Times New Roman CYR"/>
                <w:sz w:val="22"/>
                <w:szCs w:val="22"/>
              </w:rPr>
            </w:pPr>
            <w:r w:rsidRPr="00D42866">
              <w:rPr>
                <w:rFonts w:ascii="Garamond" w:hAnsi="Garamond" w:cs="Times New Roman CYR"/>
                <w:sz w:val="22"/>
                <w:szCs w:val="22"/>
              </w:rPr>
              <w:t>Класс точности</w:t>
            </w:r>
          </w:p>
        </w:tc>
        <w:tc>
          <w:tcPr>
            <w:tcW w:w="850" w:type="dxa"/>
          </w:tcPr>
          <w:p w14:paraId="1D7CC8B7" w14:textId="77777777" w:rsidR="004B3B82" w:rsidRPr="00D42866" w:rsidRDefault="004B3B82" w:rsidP="00CD3B05">
            <w:pPr>
              <w:overflowPunct w:val="0"/>
              <w:autoSpaceDE w:val="0"/>
              <w:autoSpaceDN w:val="0"/>
              <w:adjustRightInd w:val="0"/>
              <w:ind w:right="21"/>
              <w:rPr>
                <w:rFonts w:ascii="Garamond" w:hAnsi="Garamond" w:cs="Times New Roman CYR"/>
                <w:sz w:val="22"/>
                <w:szCs w:val="22"/>
              </w:rPr>
            </w:pPr>
            <w:r w:rsidRPr="00D42866">
              <w:rPr>
                <w:rFonts w:ascii="Garamond" w:hAnsi="Garamond" w:cs="Times New Roman CYR"/>
                <w:sz w:val="22"/>
                <w:szCs w:val="22"/>
              </w:rPr>
              <w:t>0.5</w:t>
            </w:r>
          </w:p>
        </w:tc>
      </w:tr>
      <w:tr w:rsidR="004B3B82" w:rsidRPr="00D42866" w14:paraId="27F56959" w14:textId="77777777" w:rsidTr="00CD3B05">
        <w:tc>
          <w:tcPr>
            <w:tcW w:w="1526" w:type="dxa"/>
          </w:tcPr>
          <w:p w14:paraId="704FA203" w14:textId="77777777" w:rsidR="004B3B82" w:rsidRPr="00D42866" w:rsidRDefault="004B3B82" w:rsidP="00CD3B05">
            <w:pPr>
              <w:overflowPunct w:val="0"/>
              <w:autoSpaceDE w:val="0"/>
              <w:autoSpaceDN w:val="0"/>
              <w:adjustRightInd w:val="0"/>
              <w:ind w:right="21"/>
              <w:rPr>
                <w:rFonts w:ascii="Garamond" w:hAnsi="Garamond" w:cs="Times New Roman CYR"/>
                <w:sz w:val="22"/>
                <w:szCs w:val="22"/>
              </w:rPr>
            </w:pPr>
            <w:r w:rsidRPr="00D42866">
              <w:rPr>
                <w:rFonts w:ascii="Garamond" w:hAnsi="Garamond" w:cs="Times New Roman CYR"/>
                <w:sz w:val="22"/>
                <w:szCs w:val="22"/>
              </w:rPr>
              <w:t>Коэф. трансформ.</w:t>
            </w:r>
          </w:p>
        </w:tc>
        <w:tc>
          <w:tcPr>
            <w:tcW w:w="2126" w:type="dxa"/>
          </w:tcPr>
          <w:p w14:paraId="3A074341" w14:textId="77777777" w:rsidR="004B3B82" w:rsidRPr="00D42866" w:rsidRDefault="004B3B82" w:rsidP="00CD3B05">
            <w:pPr>
              <w:overflowPunct w:val="0"/>
              <w:autoSpaceDE w:val="0"/>
              <w:autoSpaceDN w:val="0"/>
              <w:adjustRightInd w:val="0"/>
              <w:ind w:right="21"/>
              <w:rPr>
                <w:rFonts w:ascii="Garamond" w:hAnsi="Garamond" w:cs="Times New Roman CYR"/>
                <w:sz w:val="22"/>
                <w:szCs w:val="22"/>
              </w:rPr>
            </w:pPr>
            <w:r w:rsidRPr="00D42866">
              <w:rPr>
                <w:rFonts w:ascii="Garamond" w:hAnsi="Garamond" w:cs="Times New Roman CYR"/>
                <w:sz w:val="22"/>
                <w:szCs w:val="22"/>
              </w:rPr>
              <w:t>200/5</w:t>
            </w:r>
          </w:p>
        </w:tc>
        <w:tc>
          <w:tcPr>
            <w:tcW w:w="1843" w:type="dxa"/>
          </w:tcPr>
          <w:p w14:paraId="43ABD953" w14:textId="77777777" w:rsidR="004B3B82" w:rsidRPr="00D42866" w:rsidRDefault="004B3B82" w:rsidP="00CD3B05">
            <w:pPr>
              <w:overflowPunct w:val="0"/>
              <w:autoSpaceDE w:val="0"/>
              <w:autoSpaceDN w:val="0"/>
              <w:adjustRightInd w:val="0"/>
              <w:ind w:right="21"/>
              <w:rPr>
                <w:rFonts w:ascii="Garamond" w:hAnsi="Garamond" w:cs="Times New Roman CYR"/>
                <w:sz w:val="22"/>
                <w:szCs w:val="22"/>
              </w:rPr>
            </w:pPr>
            <w:r w:rsidRPr="00D42866">
              <w:rPr>
                <w:rFonts w:ascii="Garamond" w:hAnsi="Garamond" w:cs="Times New Roman CYR"/>
                <w:sz w:val="22"/>
                <w:szCs w:val="22"/>
              </w:rPr>
              <w:t>Номинальная нагрузка, ВА*</w:t>
            </w:r>
          </w:p>
        </w:tc>
        <w:tc>
          <w:tcPr>
            <w:tcW w:w="1559" w:type="dxa"/>
          </w:tcPr>
          <w:p w14:paraId="32BD0E49" w14:textId="77777777" w:rsidR="004B3B82" w:rsidRPr="00D42866" w:rsidRDefault="004B3B82" w:rsidP="00CD3B05">
            <w:pPr>
              <w:overflowPunct w:val="0"/>
              <w:autoSpaceDE w:val="0"/>
              <w:autoSpaceDN w:val="0"/>
              <w:adjustRightInd w:val="0"/>
              <w:ind w:right="21"/>
              <w:rPr>
                <w:rFonts w:ascii="Garamond" w:hAnsi="Garamond" w:cs="Times New Roman CYR"/>
                <w:sz w:val="22"/>
                <w:szCs w:val="22"/>
              </w:rPr>
            </w:pPr>
            <w:r w:rsidRPr="00D42866">
              <w:rPr>
                <w:rFonts w:ascii="Garamond" w:hAnsi="Garamond" w:cs="Times New Roman CYR"/>
                <w:sz w:val="22"/>
                <w:szCs w:val="22"/>
              </w:rPr>
              <w:t>10</w:t>
            </w:r>
          </w:p>
        </w:tc>
        <w:tc>
          <w:tcPr>
            <w:tcW w:w="2410" w:type="dxa"/>
          </w:tcPr>
          <w:p w14:paraId="19D9C4CA" w14:textId="77777777" w:rsidR="004B3B82" w:rsidRPr="00D42866" w:rsidRDefault="004B3B82" w:rsidP="00CD3B05">
            <w:pPr>
              <w:overflowPunct w:val="0"/>
              <w:autoSpaceDE w:val="0"/>
              <w:autoSpaceDN w:val="0"/>
              <w:adjustRightInd w:val="0"/>
              <w:ind w:right="21"/>
              <w:rPr>
                <w:rFonts w:ascii="Garamond" w:hAnsi="Garamond" w:cs="Times New Roman CYR"/>
                <w:sz w:val="22"/>
                <w:szCs w:val="22"/>
              </w:rPr>
            </w:pPr>
            <w:r w:rsidRPr="00D42866">
              <w:rPr>
                <w:rFonts w:ascii="Garamond" w:hAnsi="Garamond" w:cs="Times New Roman CYR"/>
                <w:sz w:val="22"/>
                <w:szCs w:val="22"/>
              </w:rPr>
              <w:t>Факт. нагрузка, ВА*</w:t>
            </w:r>
          </w:p>
        </w:tc>
        <w:tc>
          <w:tcPr>
            <w:tcW w:w="850" w:type="dxa"/>
          </w:tcPr>
          <w:p w14:paraId="525F2AAF" w14:textId="77777777" w:rsidR="004B3B82" w:rsidRPr="00D42866" w:rsidRDefault="004B3B82" w:rsidP="00CD3B05">
            <w:pPr>
              <w:overflowPunct w:val="0"/>
              <w:autoSpaceDE w:val="0"/>
              <w:autoSpaceDN w:val="0"/>
              <w:adjustRightInd w:val="0"/>
              <w:ind w:right="21"/>
              <w:rPr>
                <w:rFonts w:ascii="Garamond" w:hAnsi="Garamond" w:cs="Times New Roman CYR"/>
                <w:sz w:val="22"/>
                <w:szCs w:val="22"/>
              </w:rPr>
            </w:pPr>
            <w:r w:rsidRPr="00D42866">
              <w:rPr>
                <w:rFonts w:ascii="Garamond" w:hAnsi="Garamond" w:cs="Times New Roman CYR"/>
                <w:sz w:val="22"/>
                <w:szCs w:val="22"/>
              </w:rPr>
              <w:t>6.2</w:t>
            </w:r>
          </w:p>
        </w:tc>
      </w:tr>
      <w:tr w:rsidR="004B3B82" w:rsidRPr="00D42866" w14:paraId="03B592A7" w14:textId="77777777" w:rsidTr="00CD3B05">
        <w:tc>
          <w:tcPr>
            <w:tcW w:w="1526" w:type="dxa"/>
          </w:tcPr>
          <w:p w14:paraId="0CD732C8" w14:textId="77777777" w:rsidR="004B3B82" w:rsidRPr="00D42866" w:rsidRDefault="004B3B82" w:rsidP="00CD3B05">
            <w:pPr>
              <w:overflowPunct w:val="0"/>
              <w:autoSpaceDE w:val="0"/>
              <w:autoSpaceDN w:val="0"/>
              <w:adjustRightInd w:val="0"/>
              <w:ind w:right="21"/>
              <w:rPr>
                <w:rFonts w:ascii="Garamond" w:hAnsi="Garamond" w:cs="Times New Roman CYR"/>
                <w:sz w:val="22"/>
                <w:szCs w:val="22"/>
              </w:rPr>
            </w:pPr>
            <w:r w:rsidRPr="00D42866">
              <w:rPr>
                <w:rFonts w:ascii="Garamond" w:hAnsi="Garamond" w:cs="Times New Roman CYR"/>
                <w:sz w:val="22"/>
                <w:szCs w:val="22"/>
              </w:rPr>
              <w:t>Госреестр №</w:t>
            </w:r>
          </w:p>
        </w:tc>
        <w:tc>
          <w:tcPr>
            <w:tcW w:w="2126" w:type="dxa"/>
          </w:tcPr>
          <w:p w14:paraId="36C3E605" w14:textId="77777777" w:rsidR="004B3B82" w:rsidRPr="00D42866" w:rsidRDefault="004B3B82" w:rsidP="00CD3B05">
            <w:pPr>
              <w:overflowPunct w:val="0"/>
              <w:autoSpaceDE w:val="0"/>
              <w:autoSpaceDN w:val="0"/>
              <w:adjustRightInd w:val="0"/>
              <w:ind w:right="21"/>
              <w:rPr>
                <w:rFonts w:ascii="Garamond" w:hAnsi="Garamond" w:cs="Times New Roman CYR"/>
                <w:sz w:val="22"/>
                <w:szCs w:val="22"/>
              </w:rPr>
            </w:pPr>
            <w:r w:rsidRPr="00D42866">
              <w:rPr>
                <w:rFonts w:ascii="Garamond" w:hAnsi="Garamond" w:cs="Times New Roman CYR"/>
                <w:sz w:val="22"/>
                <w:szCs w:val="22"/>
              </w:rPr>
              <w:t>1261-08</w:t>
            </w:r>
          </w:p>
        </w:tc>
        <w:tc>
          <w:tcPr>
            <w:tcW w:w="1843" w:type="dxa"/>
          </w:tcPr>
          <w:p w14:paraId="145C0C9C" w14:textId="77777777" w:rsidR="004B3B82" w:rsidRPr="00D42866" w:rsidRDefault="004B3B82" w:rsidP="00CD3B05">
            <w:pPr>
              <w:overflowPunct w:val="0"/>
              <w:autoSpaceDE w:val="0"/>
              <w:autoSpaceDN w:val="0"/>
              <w:adjustRightInd w:val="0"/>
              <w:ind w:right="21"/>
              <w:rPr>
                <w:rFonts w:ascii="Garamond" w:hAnsi="Garamond" w:cs="Times New Roman CYR"/>
                <w:sz w:val="22"/>
                <w:szCs w:val="22"/>
              </w:rPr>
            </w:pPr>
            <w:r w:rsidRPr="00D42866">
              <w:rPr>
                <w:rFonts w:ascii="Garamond" w:hAnsi="Garamond" w:cs="Times New Roman CYR"/>
                <w:sz w:val="22"/>
                <w:szCs w:val="22"/>
              </w:rPr>
              <w:t>Дата последней поверки</w:t>
            </w:r>
          </w:p>
        </w:tc>
        <w:tc>
          <w:tcPr>
            <w:tcW w:w="1559" w:type="dxa"/>
          </w:tcPr>
          <w:p w14:paraId="2A5C7864" w14:textId="77777777" w:rsidR="004B3B82" w:rsidRPr="00D42866" w:rsidRDefault="004B3B82" w:rsidP="00CD3B05">
            <w:pPr>
              <w:overflowPunct w:val="0"/>
              <w:autoSpaceDE w:val="0"/>
              <w:autoSpaceDN w:val="0"/>
              <w:adjustRightInd w:val="0"/>
              <w:ind w:right="21"/>
              <w:rPr>
                <w:rFonts w:ascii="Garamond" w:hAnsi="Garamond" w:cs="Times New Roman CYR"/>
                <w:sz w:val="22"/>
                <w:szCs w:val="22"/>
              </w:rPr>
            </w:pPr>
            <w:r w:rsidRPr="00D42866">
              <w:rPr>
                <w:rFonts w:ascii="Garamond" w:hAnsi="Garamond" w:cs="Times New Roman CYR"/>
                <w:sz w:val="22"/>
                <w:szCs w:val="22"/>
              </w:rPr>
              <w:t>01.04.2019</w:t>
            </w:r>
          </w:p>
        </w:tc>
        <w:tc>
          <w:tcPr>
            <w:tcW w:w="2410" w:type="dxa"/>
          </w:tcPr>
          <w:p w14:paraId="38836540" w14:textId="77777777" w:rsidR="004B3B82" w:rsidRPr="00D42866" w:rsidRDefault="004B3B82" w:rsidP="00CD3B05">
            <w:pPr>
              <w:overflowPunct w:val="0"/>
              <w:autoSpaceDE w:val="0"/>
              <w:autoSpaceDN w:val="0"/>
              <w:adjustRightInd w:val="0"/>
              <w:ind w:right="21"/>
              <w:rPr>
                <w:rFonts w:ascii="Garamond" w:hAnsi="Garamond" w:cs="Times New Roman CYR"/>
                <w:sz w:val="22"/>
                <w:szCs w:val="22"/>
              </w:rPr>
            </w:pPr>
            <w:r w:rsidRPr="00D42866">
              <w:rPr>
                <w:rFonts w:ascii="Garamond" w:hAnsi="Garamond" w:cs="Times New Roman CYR"/>
                <w:sz w:val="22"/>
                <w:szCs w:val="22"/>
              </w:rPr>
              <w:t>Межповерочный интервал, лет</w:t>
            </w:r>
          </w:p>
        </w:tc>
        <w:tc>
          <w:tcPr>
            <w:tcW w:w="850" w:type="dxa"/>
          </w:tcPr>
          <w:p w14:paraId="23D028AF" w14:textId="77777777" w:rsidR="004B3B82" w:rsidRPr="00D42866" w:rsidRDefault="004B3B82" w:rsidP="00CD3B05">
            <w:pPr>
              <w:overflowPunct w:val="0"/>
              <w:autoSpaceDE w:val="0"/>
              <w:autoSpaceDN w:val="0"/>
              <w:adjustRightInd w:val="0"/>
              <w:ind w:right="21"/>
              <w:rPr>
                <w:rFonts w:ascii="Garamond" w:hAnsi="Garamond" w:cs="Times New Roman CYR"/>
                <w:sz w:val="22"/>
                <w:szCs w:val="22"/>
              </w:rPr>
            </w:pPr>
            <w:r w:rsidRPr="00D42866">
              <w:rPr>
                <w:rFonts w:ascii="Garamond" w:hAnsi="Garamond" w:cs="Times New Roman CYR"/>
                <w:sz w:val="22"/>
                <w:szCs w:val="22"/>
              </w:rPr>
              <w:t>8</w:t>
            </w:r>
          </w:p>
        </w:tc>
      </w:tr>
      <w:tr w:rsidR="004B3B82" w:rsidRPr="00D42866" w14:paraId="16EDEB4E" w14:textId="77777777" w:rsidTr="00CD3B05">
        <w:trPr>
          <w:trHeight w:val="70"/>
        </w:trPr>
        <w:tc>
          <w:tcPr>
            <w:tcW w:w="1526" w:type="dxa"/>
          </w:tcPr>
          <w:p w14:paraId="67C7B24F" w14:textId="77777777" w:rsidR="004B3B82" w:rsidRPr="00D42866" w:rsidRDefault="004B3B82" w:rsidP="00CD3B05">
            <w:pPr>
              <w:overflowPunct w:val="0"/>
              <w:autoSpaceDE w:val="0"/>
              <w:autoSpaceDN w:val="0"/>
              <w:adjustRightInd w:val="0"/>
              <w:ind w:right="21"/>
              <w:rPr>
                <w:rFonts w:ascii="Garamond" w:hAnsi="Garamond" w:cs="Times New Roman CYR"/>
                <w:sz w:val="22"/>
                <w:szCs w:val="22"/>
              </w:rPr>
            </w:pPr>
          </w:p>
        </w:tc>
        <w:tc>
          <w:tcPr>
            <w:tcW w:w="2126" w:type="dxa"/>
          </w:tcPr>
          <w:p w14:paraId="73106FE4" w14:textId="77777777" w:rsidR="004B3B82" w:rsidRPr="00D42866" w:rsidRDefault="004B3B82" w:rsidP="00CD3B05">
            <w:pPr>
              <w:overflowPunct w:val="0"/>
              <w:autoSpaceDE w:val="0"/>
              <w:autoSpaceDN w:val="0"/>
              <w:adjustRightInd w:val="0"/>
              <w:ind w:right="21"/>
              <w:rPr>
                <w:rFonts w:ascii="Garamond" w:hAnsi="Garamond" w:cs="Times New Roman CYR"/>
                <w:sz w:val="22"/>
                <w:szCs w:val="22"/>
              </w:rPr>
            </w:pPr>
          </w:p>
        </w:tc>
        <w:tc>
          <w:tcPr>
            <w:tcW w:w="1843" w:type="dxa"/>
          </w:tcPr>
          <w:p w14:paraId="58A16CF2" w14:textId="77777777" w:rsidR="004B3B82" w:rsidRPr="00D42866" w:rsidRDefault="004B3B82" w:rsidP="00CD3B05">
            <w:pPr>
              <w:overflowPunct w:val="0"/>
              <w:autoSpaceDE w:val="0"/>
              <w:autoSpaceDN w:val="0"/>
              <w:adjustRightInd w:val="0"/>
              <w:ind w:right="21"/>
              <w:rPr>
                <w:rFonts w:ascii="Garamond" w:hAnsi="Garamond" w:cs="Times New Roman CYR"/>
                <w:sz w:val="22"/>
                <w:szCs w:val="22"/>
              </w:rPr>
            </w:pPr>
          </w:p>
        </w:tc>
        <w:tc>
          <w:tcPr>
            <w:tcW w:w="1559" w:type="dxa"/>
          </w:tcPr>
          <w:p w14:paraId="43DD6824" w14:textId="77777777" w:rsidR="004B3B82" w:rsidRPr="00D42866" w:rsidRDefault="004B3B82" w:rsidP="00CD3B05">
            <w:pPr>
              <w:overflowPunct w:val="0"/>
              <w:autoSpaceDE w:val="0"/>
              <w:autoSpaceDN w:val="0"/>
              <w:adjustRightInd w:val="0"/>
              <w:ind w:right="21"/>
              <w:rPr>
                <w:rFonts w:ascii="Garamond" w:hAnsi="Garamond" w:cs="Times New Roman CYR"/>
                <w:sz w:val="22"/>
                <w:szCs w:val="22"/>
              </w:rPr>
            </w:pPr>
          </w:p>
        </w:tc>
        <w:tc>
          <w:tcPr>
            <w:tcW w:w="2410" w:type="dxa"/>
          </w:tcPr>
          <w:p w14:paraId="1FF0F9F5" w14:textId="77777777" w:rsidR="004B3B82" w:rsidRPr="00D42866" w:rsidRDefault="004B3B82" w:rsidP="00CD3B05">
            <w:pPr>
              <w:overflowPunct w:val="0"/>
              <w:autoSpaceDE w:val="0"/>
              <w:autoSpaceDN w:val="0"/>
              <w:adjustRightInd w:val="0"/>
              <w:ind w:right="21"/>
              <w:rPr>
                <w:rFonts w:ascii="Garamond" w:hAnsi="Garamond" w:cs="Times New Roman CYR"/>
                <w:sz w:val="22"/>
                <w:szCs w:val="22"/>
              </w:rPr>
            </w:pPr>
          </w:p>
        </w:tc>
        <w:tc>
          <w:tcPr>
            <w:tcW w:w="850" w:type="dxa"/>
          </w:tcPr>
          <w:p w14:paraId="7AB1ED6A" w14:textId="77777777" w:rsidR="004B3B82" w:rsidRPr="00D42866" w:rsidRDefault="004B3B82" w:rsidP="00CD3B05">
            <w:pPr>
              <w:overflowPunct w:val="0"/>
              <w:autoSpaceDE w:val="0"/>
              <w:autoSpaceDN w:val="0"/>
              <w:adjustRightInd w:val="0"/>
              <w:ind w:right="21"/>
              <w:rPr>
                <w:rFonts w:ascii="Garamond" w:hAnsi="Garamond" w:cs="Times New Roman CYR"/>
                <w:sz w:val="22"/>
                <w:szCs w:val="22"/>
              </w:rPr>
            </w:pPr>
          </w:p>
        </w:tc>
      </w:tr>
    </w:tbl>
    <w:p w14:paraId="4068C31D" w14:textId="77777777" w:rsidR="004B3B82" w:rsidRPr="00D42866" w:rsidRDefault="004B3B82" w:rsidP="00101F7C">
      <w:pPr>
        <w:overflowPunct w:val="0"/>
        <w:autoSpaceDE w:val="0"/>
        <w:autoSpaceDN w:val="0"/>
        <w:adjustRightInd w:val="0"/>
        <w:rPr>
          <w:rFonts w:ascii="Garamond" w:hAnsi="Garamond"/>
          <w:sz w:val="22"/>
          <w:szCs w:val="22"/>
        </w:rPr>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26"/>
        <w:gridCol w:w="2126"/>
        <w:gridCol w:w="1843"/>
        <w:gridCol w:w="1559"/>
        <w:gridCol w:w="2410"/>
        <w:gridCol w:w="850"/>
      </w:tblGrid>
      <w:tr w:rsidR="004B3B82" w:rsidRPr="00D42866" w14:paraId="6232B9BF" w14:textId="77777777" w:rsidTr="00CD3B05">
        <w:tc>
          <w:tcPr>
            <w:tcW w:w="10314" w:type="dxa"/>
            <w:gridSpan w:val="6"/>
          </w:tcPr>
          <w:p w14:paraId="0E11F6B8" w14:textId="77777777" w:rsidR="004B3B82" w:rsidRPr="00D42866" w:rsidRDefault="004B3B82" w:rsidP="00CD3B05">
            <w:pPr>
              <w:overflowPunct w:val="0"/>
              <w:autoSpaceDE w:val="0"/>
              <w:autoSpaceDN w:val="0"/>
              <w:adjustRightInd w:val="0"/>
              <w:ind w:right="21"/>
              <w:jc w:val="center"/>
              <w:rPr>
                <w:rFonts w:ascii="Garamond" w:hAnsi="Garamond" w:cs="Times New Roman CYR"/>
                <w:sz w:val="22"/>
                <w:szCs w:val="22"/>
              </w:rPr>
            </w:pPr>
            <w:r w:rsidRPr="00D42866">
              <w:rPr>
                <w:rFonts w:ascii="Garamond" w:hAnsi="Garamond" w:cs="Times New Roman CYR"/>
                <w:sz w:val="22"/>
                <w:szCs w:val="22"/>
              </w:rPr>
              <w:lastRenderedPageBreak/>
              <w:t>Фаза В (Трансформатор отсутствует)</w:t>
            </w:r>
          </w:p>
        </w:tc>
      </w:tr>
      <w:tr w:rsidR="004B3B82" w:rsidRPr="00D42866" w14:paraId="2F502624" w14:textId="77777777" w:rsidTr="00CD3B05">
        <w:tc>
          <w:tcPr>
            <w:tcW w:w="1526" w:type="dxa"/>
          </w:tcPr>
          <w:p w14:paraId="4F0CCA79" w14:textId="77777777" w:rsidR="004B3B82" w:rsidRPr="00D42866" w:rsidRDefault="004B3B82" w:rsidP="00CD3B05">
            <w:pPr>
              <w:overflowPunct w:val="0"/>
              <w:autoSpaceDE w:val="0"/>
              <w:autoSpaceDN w:val="0"/>
              <w:adjustRightInd w:val="0"/>
              <w:ind w:right="21"/>
              <w:rPr>
                <w:rFonts w:ascii="Garamond" w:hAnsi="Garamond" w:cs="Times New Roman CYR"/>
                <w:sz w:val="22"/>
                <w:szCs w:val="22"/>
              </w:rPr>
            </w:pPr>
            <w:r w:rsidRPr="00D42866">
              <w:rPr>
                <w:rFonts w:ascii="Garamond" w:hAnsi="Garamond" w:cs="Times New Roman CYR"/>
                <w:sz w:val="22"/>
                <w:szCs w:val="22"/>
              </w:rPr>
              <w:t>Тип</w:t>
            </w:r>
          </w:p>
        </w:tc>
        <w:tc>
          <w:tcPr>
            <w:tcW w:w="2126" w:type="dxa"/>
          </w:tcPr>
          <w:p w14:paraId="38C067FD" w14:textId="77777777" w:rsidR="004B3B82" w:rsidRPr="00D42866" w:rsidRDefault="004B3B82" w:rsidP="00CD3B05">
            <w:pPr>
              <w:overflowPunct w:val="0"/>
              <w:autoSpaceDE w:val="0"/>
              <w:autoSpaceDN w:val="0"/>
              <w:adjustRightInd w:val="0"/>
              <w:ind w:right="21"/>
              <w:rPr>
                <w:rFonts w:ascii="Garamond" w:hAnsi="Garamond" w:cs="Times New Roman CYR"/>
                <w:sz w:val="22"/>
                <w:szCs w:val="22"/>
              </w:rPr>
            </w:pPr>
          </w:p>
        </w:tc>
        <w:tc>
          <w:tcPr>
            <w:tcW w:w="1843" w:type="dxa"/>
          </w:tcPr>
          <w:p w14:paraId="48621B31" w14:textId="77777777" w:rsidR="004B3B82" w:rsidRPr="00D42866" w:rsidRDefault="004B3B82" w:rsidP="00CD3B05">
            <w:pPr>
              <w:overflowPunct w:val="0"/>
              <w:autoSpaceDE w:val="0"/>
              <w:autoSpaceDN w:val="0"/>
              <w:adjustRightInd w:val="0"/>
              <w:ind w:right="21"/>
              <w:rPr>
                <w:rFonts w:ascii="Garamond" w:hAnsi="Garamond" w:cs="Times New Roman CYR"/>
                <w:sz w:val="22"/>
                <w:szCs w:val="22"/>
              </w:rPr>
            </w:pPr>
            <w:r w:rsidRPr="00D42866">
              <w:rPr>
                <w:rFonts w:ascii="Garamond" w:hAnsi="Garamond" w:cs="Times New Roman CYR"/>
                <w:sz w:val="22"/>
                <w:szCs w:val="22"/>
              </w:rPr>
              <w:t>Зав. №</w:t>
            </w:r>
          </w:p>
        </w:tc>
        <w:tc>
          <w:tcPr>
            <w:tcW w:w="1559" w:type="dxa"/>
          </w:tcPr>
          <w:p w14:paraId="76BA0F2C" w14:textId="77777777" w:rsidR="004B3B82" w:rsidRPr="00D42866" w:rsidRDefault="004B3B82" w:rsidP="00CD3B05">
            <w:pPr>
              <w:overflowPunct w:val="0"/>
              <w:autoSpaceDE w:val="0"/>
              <w:autoSpaceDN w:val="0"/>
              <w:adjustRightInd w:val="0"/>
              <w:ind w:right="21"/>
              <w:rPr>
                <w:rFonts w:ascii="Garamond" w:hAnsi="Garamond" w:cs="Times New Roman CYR"/>
                <w:sz w:val="22"/>
                <w:szCs w:val="22"/>
              </w:rPr>
            </w:pPr>
          </w:p>
        </w:tc>
        <w:tc>
          <w:tcPr>
            <w:tcW w:w="2410" w:type="dxa"/>
          </w:tcPr>
          <w:p w14:paraId="5AE50C29" w14:textId="77777777" w:rsidR="004B3B82" w:rsidRPr="00D42866" w:rsidRDefault="004B3B82" w:rsidP="00CD3B05">
            <w:pPr>
              <w:overflowPunct w:val="0"/>
              <w:autoSpaceDE w:val="0"/>
              <w:autoSpaceDN w:val="0"/>
              <w:adjustRightInd w:val="0"/>
              <w:ind w:right="21"/>
              <w:rPr>
                <w:rFonts w:ascii="Garamond" w:hAnsi="Garamond" w:cs="Times New Roman CYR"/>
                <w:sz w:val="22"/>
                <w:szCs w:val="22"/>
              </w:rPr>
            </w:pPr>
            <w:r w:rsidRPr="00D42866">
              <w:rPr>
                <w:rFonts w:ascii="Garamond" w:hAnsi="Garamond" w:cs="Times New Roman CYR"/>
                <w:sz w:val="22"/>
                <w:szCs w:val="22"/>
              </w:rPr>
              <w:t>Класс точности</w:t>
            </w:r>
          </w:p>
        </w:tc>
        <w:tc>
          <w:tcPr>
            <w:tcW w:w="850" w:type="dxa"/>
          </w:tcPr>
          <w:p w14:paraId="2010606E" w14:textId="77777777" w:rsidR="004B3B82" w:rsidRPr="00D42866" w:rsidRDefault="004B3B82" w:rsidP="00CD3B05">
            <w:pPr>
              <w:overflowPunct w:val="0"/>
              <w:autoSpaceDE w:val="0"/>
              <w:autoSpaceDN w:val="0"/>
              <w:adjustRightInd w:val="0"/>
              <w:ind w:right="21"/>
              <w:rPr>
                <w:rFonts w:ascii="Garamond" w:hAnsi="Garamond" w:cs="Times New Roman CYR"/>
                <w:sz w:val="22"/>
                <w:szCs w:val="22"/>
              </w:rPr>
            </w:pPr>
          </w:p>
        </w:tc>
      </w:tr>
      <w:tr w:rsidR="004B3B82" w:rsidRPr="00D42866" w14:paraId="6FD58D29" w14:textId="77777777" w:rsidTr="00CD3B05">
        <w:tc>
          <w:tcPr>
            <w:tcW w:w="1526" w:type="dxa"/>
          </w:tcPr>
          <w:p w14:paraId="30D4062D" w14:textId="77777777" w:rsidR="004B3B82" w:rsidRPr="00D42866" w:rsidRDefault="004B3B82" w:rsidP="00CD3B05">
            <w:pPr>
              <w:overflowPunct w:val="0"/>
              <w:autoSpaceDE w:val="0"/>
              <w:autoSpaceDN w:val="0"/>
              <w:adjustRightInd w:val="0"/>
              <w:ind w:right="21"/>
              <w:rPr>
                <w:rFonts w:ascii="Garamond" w:hAnsi="Garamond" w:cs="Times New Roman CYR"/>
                <w:sz w:val="22"/>
                <w:szCs w:val="22"/>
              </w:rPr>
            </w:pPr>
            <w:r w:rsidRPr="00D42866">
              <w:rPr>
                <w:rFonts w:ascii="Garamond" w:hAnsi="Garamond" w:cs="Times New Roman CYR"/>
                <w:sz w:val="22"/>
                <w:szCs w:val="22"/>
              </w:rPr>
              <w:t>Коэф. трансформ.</w:t>
            </w:r>
          </w:p>
        </w:tc>
        <w:tc>
          <w:tcPr>
            <w:tcW w:w="2126" w:type="dxa"/>
          </w:tcPr>
          <w:p w14:paraId="50FDB0AE" w14:textId="77777777" w:rsidR="004B3B82" w:rsidRPr="00D42866" w:rsidRDefault="004B3B82" w:rsidP="00CD3B05">
            <w:pPr>
              <w:overflowPunct w:val="0"/>
              <w:autoSpaceDE w:val="0"/>
              <w:autoSpaceDN w:val="0"/>
              <w:adjustRightInd w:val="0"/>
              <w:ind w:right="21"/>
              <w:rPr>
                <w:rFonts w:ascii="Garamond" w:hAnsi="Garamond" w:cs="Times New Roman CYR"/>
                <w:sz w:val="22"/>
                <w:szCs w:val="22"/>
              </w:rPr>
            </w:pPr>
          </w:p>
        </w:tc>
        <w:tc>
          <w:tcPr>
            <w:tcW w:w="1843" w:type="dxa"/>
          </w:tcPr>
          <w:p w14:paraId="2F6FF63A" w14:textId="77777777" w:rsidR="004B3B82" w:rsidRPr="00D42866" w:rsidRDefault="004B3B82" w:rsidP="00CD3B05">
            <w:pPr>
              <w:overflowPunct w:val="0"/>
              <w:autoSpaceDE w:val="0"/>
              <w:autoSpaceDN w:val="0"/>
              <w:adjustRightInd w:val="0"/>
              <w:ind w:right="21"/>
              <w:rPr>
                <w:rFonts w:ascii="Garamond" w:hAnsi="Garamond" w:cs="Times New Roman CYR"/>
                <w:sz w:val="22"/>
                <w:szCs w:val="22"/>
              </w:rPr>
            </w:pPr>
            <w:r w:rsidRPr="00D42866">
              <w:rPr>
                <w:rFonts w:ascii="Garamond" w:hAnsi="Garamond" w:cs="Times New Roman CYR"/>
                <w:sz w:val="22"/>
                <w:szCs w:val="22"/>
              </w:rPr>
              <w:t>Номинальная нагрузка, ВА*</w:t>
            </w:r>
          </w:p>
        </w:tc>
        <w:tc>
          <w:tcPr>
            <w:tcW w:w="1559" w:type="dxa"/>
          </w:tcPr>
          <w:p w14:paraId="7545E1F0" w14:textId="77777777" w:rsidR="004B3B82" w:rsidRPr="00D42866" w:rsidRDefault="004B3B82" w:rsidP="00CD3B05">
            <w:pPr>
              <w:overflowPunct w:val="0"/>
              <w:autoSpaceDE w:val="0"/>
              <w:autoSpaceDN w:val="0"/>
              <w:adjustRightInd w:val="0"/>
              <w:ind w:right="21"/>
              <w:rPr>
                <w:rFonts w:ascii="Garamond" w:hAnsi="Garamond" w:cs="Times New Roman CYR"/>
                <w:sz w:val="22"/>
                <w:szCs w:val="22"/>
              </w:rPr>
            </w:pPr>
          </w:p>
        </w:tc>
        <w:tc>
          <w:tcPr>
            <w:tcW w:w="2410" w:type="dxa"/>
          </w:tcPr>
          <w:p w14:paraId="14F9B059" w14:textId="77777777" w:rsidR="004B3B82" w:rsidRPr="00D42866" w:rsidRDefault="004B3B82" w:rsidP="00CD3B05">
            <w:pPr>
              <w:overflowPunct w:val="0"/>
              <w:autoSpaceDE w:val="0"/>
              <w:autoSpaceDN w:val="0"/>
              <w:adjustRightInd w:val="0"/>
              <w:ind w:right="21"/>
              <w:rPr>
                <w:rFonts w:ascii="Garamond" w:hAnsi="Garamond" w:cs="Times New Roman CYR"/>
                <w:sz w:val="22"/>
                <w:szCs w:val="22"/>
              </w:rPr>
            </w:pPr>
            <w:r w:rsidRPr="00D42866">
              <w:rPr>
                <w:rFonts w:ascii="Garamond" w:hAnsi="Garamond" w:cs="Times New Roman CYR"/>
                <w:sz w:val="22"/>
                <w:szCs w:val="22"/>
              </w:rPr>
              <w:t>Факт. нагрузка, ВА*</w:t>
            </w:r>
          </w:p>
        </w:tc>
        <w:tc>
          <w:tcPr>
            <w:tcW w:w="850" w:type="dxa"/>
          </w:tcPr>
          <w:p w14:paraId="49EEF90F" w14:textId="77777777" w:rsidR="004B3B82" w:rsidRPr="00D42866" w:rsidRDefault="004B3B82" w:rsidP="00CD3B05">
            <w:pPr>
              <w:overflowPunct w:val="0"/>
              <w:autoSpaceDE w:val="0"/>
              <w:autoSpaceDN w:val="0"/>
              <w:adjustRightInd w:val="0"/>
              <w:ind w:right="21"/>
              <w:rPr>
                <w:rFonts w:ascii="Garamond" w:hAnsi="Garamond" w:cs="Times New Roman CYR"/>
                <w:sz w:val="22"/>
                <w:szCs w:val="22"/>
              </w:rPr>
            </w:pPr>
          </w:p>
        </w:tc>
      </w:tr>
      <w:tr w:rsidR="004B3B82" w:rsidRPr="00D42866" w14:paraId="58C5F82E" w14:textId="77777777" w:rsidTr="00CD3B05">
        <w:tc>
          <w:tcPr>
            <w:tcW w:w="1526" w:type="dxa"/>
          </w:tcPr>
          <w:p w14:paraId="6E95607E" w14:textId="77777777" w:rsidR="004B3B82" w:rsidRPr="00D42866" w:rsidRDefault="004B3B82" w:rsidP="00CD3B05">
            <w:pPr>
              <w:overflowPunct w:val="0"/>
              <w:autoSpaceDE w:val="0"/>
              <w:autoSpaceDN w:val="0"/>
              <w:adjustRightInd w:val="0"/>
              <w:ind w:right="21"/>
              <w:rPr>
                <w:rFonts w:ascii="Garamond" w:hAnsi="Garamond" w:cs="Times New Roman CYR"/>
                <w:sz w:val="22"/>
                <w:szCs w:val="22"/>
              </w:rPr>
            </w:pPr>
            <w:r w:rsidRPr="00D42866">
              <w:rPr>
                <w:rFonts w:ascii="Garamond" w:hAnsi="Garamond" w:cs="Times New Roman CYR"/>
                <w:sz w:val="22"/>
                <w:szCs w:val="22"/>
              </w:rPr>
              <w:t>Госреестр №</w:t>
            </w:r>
          </w:p>
        </w:tc>
        <w:tc>
          <w:tcPr>
            <w:tcW w:w="2126" w:type="dxa"/>
          </w:tcPr>
          <w:p w14:paraId="73A3B2B0" w14:textId="77777777" w:rsidR="004B3B82" w:rsidRPr="00D42866" w:rsidRDefault="004B3B82" w:rsidP="00CD3B05">
            <w:pPr>
              <w:overflowPunct w:val="0"/>
              <w:autoSpaceDE w:val="0"/>
              <w:autoSpaceDN w:val="0"/>
              <w:adjustRightInd w:val="0"/>
              <w:ind w:right="21"/>
              <w:rPr>
                <w:rFonts w:ascii="Garamond" w:hAnsi="Garamond" w:cs="Times New Roman CYR"/>
                <w:sz w:val="22"/>
                <w:szCs w:val="22"/>
              </w:rPr>
            </w:pPr>
          </w:p>
        </w:tc>
        <w:tc>
          <w:tcPr>
            <w:tcW w:w="1843" w:type="dxa"/>
          </w:tcPr>
          <w:p w14:paraId="6A0AFFF3" w14:textId="77777777" w:rsidR="004B3B82" w:rsidRPr="00D42866" w:rsidRDefault="004B3B82" w:rsidP="00CD3B05">
            <w:pPr>
              <w:overflowPunct w:val="0"/>
              <w:autoSpaceDE w:val="0"/>
              <w:autoSpaceDN w:val="0"/>
              <w:adjustRightInd w:val="0"/>
              <w:ind w:right="21"/>
              <w:rPr>
                <w:rFonts w:ascii="Garamond" w:hAnsi="Garamond" w:cs="Times New Roman CYR"/>
                <w:sz w:val="22"/>
                <w:szCs w:val="22"/>
              </w:rPr>
            </w:pPr>
            <w:r w:rsidRPr="00D42866">
              <w:rPr>
                <w:rFonts w:ascii="Garamond" w:hAnsi="Garamond" w:cs="Times New Roman CYR"/>
                <w:sz w:val="22"/>
                <w:szCs w:val="22"/>
              </w:rPr>
              <w:t>Дата последней поверки</w:t>
            </w:r>
          </w:p>
        </w:tc>
        <w:tc>
          <w:tcPr>
            <w:tcW w:w="1559" w:type="dxa"/>
          </w:tcPr>
          <w:p w14:paraId="4309EA6A" w14:textId="77777777" w:rsidR="004B3B82" w:rsidRPr="00D42866" w:rsidRDefault="004B3B82" w:rsidP="00CD3B05">
            <w:pPr>
              <w:overflowPunct w:val="0"/>
              <w:autoSpaceDE w:val="0"/>
              <w:autoSpaceDN w:val="0"/>
              <w:adjustRightInd w:val="0"/>
              <w:ind w:right="21"/>
              <w:rPr>
                <w:rFonts w:ascii="Garamond" w:hAnsi="Garamond" w:cs="Times New Roman CYR"/>
                <w:sz w:val="22"/>
                <w:szCs w:val="22"/>
              </w:rPr>
            </w:pPr>
          </w:p>
        </w:tc>
        <w:tc>
          <w:tcPr>
            <w:tcW w:w="2410" w:type="dxa"/>
          </w:tcPr>
          <w:p w14:paraId="6E72B5E1" w14:textId="77777777" w:rsidR="004B3B82" w:rsidRPr="00D42866" w:rsidRDefault="004B3B82" w:rsidP="00CD3B05">
            <w:pPr>
              <w:overflowPunct w:val="0"/>
              <w:autoSpaceDE w:val="0"/>
              <w:autoSpaceDN w:val="0"/>
              <w:adjustRightInd w:val="0"/>
              <w:ind w:right="21"/>
              <w:rPr>
                <w:rFonts w:ascii="Garamond" w:hAnsi="Garamond" w:cs="Times New Roman CYR"/>
                <w:sz w:val="22"/>
                <w:szCs w:val="22"/>
              </w:rPr>
            </w:pPr>
            <w:r w:rsidRPr="00D42866">
              <w:rPr>
                <w:rFonts w:ascii="Garamond" w:hAnsi="Garamond" w:cs="Times New Roman CYR"/>
                <w:sz w:val="22"/>
                <w:szCs w:val="22"/>
              </w:rPr>
              <w:t>Межповерочный интервал, лет</w:t>
            </w:r>
          </w:p>
        </w:tc>
        <w:tc>
          <w:tcPr>
            <w:tcW w:w="850" w:type="dxa"/>
          </w:tcPr>
          <w:p w14:paraId="41B85C9E" w14:textId="77777777" w:rsidR="004B3B82" w:rsidRPr="00D42866" w:rsidRDefault="004B3B82" w:rsidP="00CD3B05">
            <w:pPr>
              <w:overflowPunct w:val="0"/>
              <w:autoSpaceDE w:val="0"/>
              <w:autoSpaceDN w:val="0"/>
              <w:adjustRightInd w:val="0"/>
              <w:ind w:right="21"/>
              <w:rPr>
                <w:rFonts w:ascii="Garamond" w:hAnsi="Garamond" w:cs="Times New Roman CYR"/>
                <w:sz w:val="22"/>
                <w:szCs w:val="22"/>
              </w:rPr>
            </w:pPr>
          </w:p>
        </w:tc>
      </w:tr>
      <w:tr w:rsidR="004B3B82" w:rsidRPr="00D42866" w14:paraId="477EDD8D" w14:textId="77777777" w:rsidTr="00CD3B05">
        <w:tc>
          <w:tcPr>
            <w:tcW w:w="10314" w:type="dxa"/>
            <w:gridSpan w:val="6"/>
          </w:tcPr>
          <w:p w14:paraId="3DCEF44C" w14:textId="77777777" w:rsidR="004B3B82" w:rsidRPr="00D42866" w:rsidRDefault="004B3B82" w:rsidP="00CD3B05">
            <w:pPr>
              <w:overflowPunct w:val="0"/>
              <w:autoSpaceDE w:val="0"/>
              <w:autoSpaceDN w:val="0"/>
              <w:adjustRightInd w:val="0"/>
              <w:ind w:right="21"/>
              <w:jc w:val="center"/>
              <w:rPr>
                <w:rFonts w:ascii="Garamond" w:hAnsi="Garamond" w:cs="Times New Roman CYR"/>
                <w:sz w:val="22"/>
                <w:szCs w:val="22"/>
              </w:rPr>
            </w:pPr>
            <w:r w:rsidRPr="00D42866">
              <w:rPr>
                <w:rFonts w:ascii="Garamond" w:hAnsi="Garamond" w:cs="Times New Roman CYR"/>
                <w:sz w:val="22"/>
                <w:szCs w:val="22"/>
              </w:rPr>
              <w:t>Фаза С</w:t>
            </w:r>
          </w:p>
        </w:tc>
      </w:tr>
      <w:tr w:rsidR="004B3B82" w:rsidRPr="00D42866" w14:paraId="443C08EA" w14:textId="77777777" w:rsidTr="00CD3B05">
        <w:tc>
          <w:tcPr>
            <w:tcW w:w="1526" w:type="dxa"/>
          </w:tcPr>
          <w:p w14:paraId="6906512C" w14:textId="77777777" w:rsidR="004B3B82" w:rsidRPr="00D42866" w:rsidRDefault="004B3B82" w:rsidP="00CD3B05">
            <w:pPr>
              <w:overflowPunct w:val="0"/>
              <w:autoSpaceDE w:val="0"/>
              <w:autoSpaceDN w:val="0"/>
              <w:adjustRightInd w:val="0"/>
              <w:ind w:right="21"/>
              <w:rPr>
                <w:rFonts w:ascii="Garamond" w:hAnsi="Garamond" w:cs="Times New Roman CYR"/>
                <w:sz w:val="22"/>
                <w:szCs w:val="22"/>
              </w:rPr>
            </w:pPr>
            <w:r w:rsidRPr="00D42866">
              <w:rPr>
                <w:rFonts w:ascii="Garamond" w:hAnsi="Garamond" w:cs="Times New Roman CYR"/>
                <w:sz w:val="22"/>
                <w:szCs w:val="22"/>
              </w:rPr>
              <w:t>Тип</w:t>
            </w:r>
          </w:p>
        </w:tc>
        <w:tc>
          <w:tcPr>
            <w:tcW w:w="2126" w:type="dxa"/>
          </w:tcPr>
          <w:p w14:paraId="3264F4DA" w14:textId="77777777" w:rsidR="004B3B82" w:rsidRPr="00D42866" w:rsidRDefault="004B3B82" w:rsidP="00CD3B05">
            <w:pPr>
              <w:overflowPunct w:val="0"/>
              <w:autoSpaceDE w:val="0"/>
              <w:autoSpaceDN w:val="0"/>
              <w:adjustRightInd w:val="0"/>
              <w:ind w:right="21"/>
              <w:rPr>
                <w:rFonts w:ascii="Garamond" w:hAnsi="Garamond" w:cs="Times New Roman CYR"/>
                <w:sz w:val="22"/>
                <w:szCs w:val="22"/>
              </w:rPr>
            </w:pPr>
            <w:r w:rsidRPr="00D42866">
              <w:rPr>
                <w:rFonts w:ascii="Garamond" w:hAnsi="Garamond" w:cs="Times New Roman CYR"/>
                <w:sz w:val="22"/>
                <w:szCs w:val="22"/>
              </w:rPr>
              <w:t xml:space="preserve"> ТПОЛ-10</w:t>
            </w:r>
          </w:p>
        </w:tc>
        <w:tc>
          <w:tcPr>
            <w:tcW w:w="1843" w:type="dxa"/>
          </w:tcPr>
          <w:p w14:paraId="6612304D" w14:textId="77777777" w:rsidR="004B3B82" w:rsidRPr="00D42866" w:rsidRDefault="004B3B82" w:rsidP="00CD3B05">
            <w:pPr>
              <w:overflowPunct w:val="0"/>
              <w:autoSpaceDE w:val="0"/>
              <w:autoSpaceDN w:val="0"/>
              <w:adjustRightInd w:val="0"/>
              <w:ind w:right="21"/>
              <w:rPr>
                <w:rFonts w:ascii="Garamond" w:hAnsi="Garamond" w:cs="Times New Roman CYR"/>
                <w:sz w:val="22"/>
                <w:szCs w:val="22"/>
              </w:rPr>
            </w:pPr>
            <w:r w:rsidRPr="00D42866">
              <w:rPr>
                <w:rFonts w:ascii="Garamond" w:hAnsi="Garamond" w:cs="Times New Roman CYR"/>
                <w:sz w:val="22"/>
                <w:szCs w:val="22"/>
              </w:rPr>
              <w:t>Зав. №</w:t>
            </w:r>
          </w:p>
        </w:tc>
        <w:tc>
          <w:tcPr>
            <w:tcW w:w="1559" w:type="dxa"/>
          </w:tcPr>
          <w:p w14:paraId="62D3E365" w14:textId="77777777" w:rsidR="004B3B82" w:rsidRPr="00D42866" w:rsidRDefault="004B3B82" w:rsidP="00CD3B05">
            <w:pPr>
              <w:overflowPunct w:val="0"/>
              <w:autoSpaceDE w:val="0"/>
              <w:autoSpaceDN w:val="0"/>
              <w:adjustRightInd w:val="0"/>
              <w:ind w:right="21"/>
              <w:rPr>
                <w:rFonts w:ascii="Garamond" w:hAnsi="Garamond" w:cs="Times New Roman CYR"/>
                <w:sz w:val="22"/>
                <w:szCs w:val="22"/>
              </w:rPr>
            </w:pPr>
            <w:r w:rsidRPr="00D42866">
              <w:rPr>
                <w:rFonts w:ascii="Garamond" w:hAnsi="Garamond" w:cs="Times New Roman CYR"/>
                <w:sz w:val="22"/>
                <w:szCs w:val="22"/>
              </w:rPr>
              <w:t>5678</w:t>
            </w:r>
          </w:p>
        </w:tc>
        <w:tc>
          <w:tcPr>
            <w:tcW w:w="2410" w:type="dxa"/>
          </w:tcPr>
          <w:p w14:paraId="75C78955" w14:textId="77777777" w:rsidR="004B3B82" w:rsidRPr="00D42866" w:rsidRDefault="004B3B82" w:rsidP="00CD3B05">
            <w:pPr>
              <w:overflowPunct w:val="0"/>
              <w:autoSpaceDE w:val="0"/>
              <w:autoSpaceDN w:val="0"/>
              <w:adjustRightInd w:val="0"/>
              <w:ind w:right="21"/>
              <w:rPr>
                <w:rFonts w:ascii="Garamond" w:hAnsi="Garamond" w:cs="Times New Roman CYR"/>
                <w:sz w:val="22"/>
                <w:szCs w:val="22"/>
              </w:rPr>
            </w:pPr>
            <w:r w:rsidRPr="00D42866">
              <w:rPr>
                <w:rFonts w:ascii="Garamond" w:hAnsi="Garamond" w:cs="Times New Roman CYR"/>
                <w:sz w:val="22"/>
                <w:szCs w:val="22"/>
              </w:rPr>
              <w:t>Класс точности</w:t>
            </w:r>
          </w:p>
        </w:tc>
        <w:tc>
          <w:tcPr>
            <w:tcW w:w="850" w:type="dxa"/>
          </w:tcPr>
          <w:p w14:paraId="02EC7473" w14:textId="77777777" w:rsidR="004B3B82" w:rsidRPr="00D42866" w:rsidRDefault="004B3B82" w:rsidP="00CD3B05">
            <w:pPr>
              <w:overflowPunct w:val="0"/>
              <w:autoSpaceDE w:val="0"/>
              <w:autoSpaceDN w:val="0"/>
              <w:adjustRightInd w:val="0"/>
              <w:ind w:right="21"/>
              <w:rPr>
                <w:rFonts w:ascii="Garamond" w:hAnsi="Garamond" w:cs="Times New Roman CYR"/>
                <w:sz w:val="22"/>
                <w:szCs w:val="22"/>
              </w:rPr>
            </w:pPr>
            <w:r w:rsidRPr="00D42866">
              <w:rPr>
                <w:rFonts w:ascii="Garamond" w:hAnsi="Garamond" w:cs="Times New Roman CYR"/>
                <w:sz w:val="22"/>
                <w:szCs w:val="22"/>
              </w:rPr>
              <w:t>0.5</w:t>
            </w:r>
          </w:p>
        </w:tc>
      </w:tr>
      <w:tr w:rsidR="004B3B82" w:rsidRPr="00D42866" w14:paraId="65CA25D4" w14:textId="77777777" w:rsidTr="00CD3B05">
        <w:tc>
          <w:tcPr>
            <w:tcW w:w="1526" w:type="dxa"/>
          </w:tcPr>
          <w:p w14:paraId="4E2EC822" w14:textId="77777777" w:rsidR="004B3B82" w:rsidRPr="00D42866" w:rsidRDefault="004B3B82" w:rsidP="00CD3B05">
            <w:pPr>
              <w:overflowPunct w:val="0"/>
              <w:autoSpaceDE w:val="0"/>
              <w:autoSpaceDN w:val="0"/>
              <w:adjustRightInd w:val="0"/>
              <w:ind w:right="21"/>
              <w:rPr>
                <w:rFonts w:ascii="Garamond" w:hAnsi="Garamond" w:cs="Times New Roman CYR"/>
                <w:sz w:val="22"/>
                <w:szCs w:val="22"/>
              </w:rPr>
            </w:pPr>
            <w:r w:rsidRPr="00D42866">
              <w:rPr>
                <w:rFonts w:ascii="Garamond" w:hAnsi="Garamond" w:cs="Times New Roman CYR"/>
                <w:sz w:val="22"/>
                <w:szCs w:val="22"/>
              </w:rPr>
              <w:t>Коэф. трансформ.</w:t>
            </w:r>
          </w:p>
        </w:tc>
        <w:tc>
          <w:tcPr>
            <w:tcW w:w="2126" w:type="dxa"/>
          </w:tcPr>
          <w:p w14:paraId="73C0A9FF" w14:textId="77777777" w:rsidR="004B3B82" w:rsidRPr="00D42866" w:rsidRDefault="004B3B82" w:rsidP="00CD3B05">
            <w:pPr>
              <w:overflowPunct w:val="0"/>
              <w:autoSpaceDE w:val="0"/>
              <w:autoSpaceDN w:val="0"/>
              <w:adjustRightInd w:val="0"/>
              <w:ind w:right="21"/>
              <w:rPr>
                <w:rFonts w:ascii="Garamond" w:hAnsi="Garamond" w:cs="Times New Roman CYR"/>
                <w:sz w:val="22"/>
                <w:szCs w:val="22"/>
              </w:rPr>
            </w:pPr>
            <w:r w:rsidRPr="00D42866">
              <w:rPr>
                <w:rFonts w:ascii="Garamond" w:hAnsi="Garamond" w:cs="Times New Roman CYR"/>
                <w:sz w:val="22"/>
                <w:szCs w:val="22"/>
              </w:rPr>
              <w:t>200/5</w:t>
            </w:r>
          </w:p>
        </w:tc>
        <w:tc>
          <w:tcPr>
            <w:tcW w:w="1843" w:type="dxa"/>
          </w:tcPr>
          <w:p w14:paraId="4146A02F" w14:textId="77777777" w:rsidR="004B3B82" w:rsidRPr="00D42866" w:rsidRDefault="004B3B82" w:rsidP="00CD3B05">
            <w:pPr>
              <w:overflowPunct w:val="0"/>
              <w:autoSpaceDE w:val="0"/>
              <w:autoSpaceDN w:val="0"/>
              <w:adjustRightInd w:val="0"/>
              <w:ind w:right="21"/>
              <w:rPr>
                <w:rFonts w:ascii="Garamond" w:hAnsi="Garamond" w:cs="Times New Roman CYR"/>
                <w:sz w:val="22"/>
                <w:szCs w:val="22"/>
              </w:rPr>
            </w:pPr>
            <w:r w:rsidRPr="00D42866">
              <w:rPr>
                <w:rFonts w:ascii="Garamond" w:hAnsi="Garamond" w:cs="Times New Roman CYR"/>
                <w:sz w:val="22"/>
                <w:szCs w:val="22"/>
              </w:rPr>
              <w:t>Номинальная нагрузка, ВА*</w:t>
            </w:r>
          </w:p>
        </w:tc>
        <w:tc>
          <w:tcPr>
            <w:tcW w:w="1559" w:type="dxa"/>
          </w:tcPr>
          <w:p w14:paraId="4D7C115A" w14:textId="77777777" w:rsidR="004B3B82" w:rsidRPr="00D42866" w:rsidRDefault="004B3B82" w:rsidP="00CD3B05">
            <w:pPr>
              <w:overflowPunct w:val="0"/>
              <w:autoSpaceDE w:val="0"/>
              <w:autoSpaceDN w:val="0"/>
              <w:adjustRightInd w:val="0"/>
              <w:ind w:right="21"/>
              <w:rPr>
                <w:rFonts w:ascii="Garamond" w:hAnsi="Garamond" w:cs="Times New Roman CYR"/>
                <w:sz w:val="22"/>
                <w:szCs w:val="22"/>
              </w:rPr>
            </w:pPr>
            <w:r w:rsidRPr="00D42866">
              <w:rPr>
                <w:rFonts w:ascii="Garamond" w:hAnsi="Garamond" w:cs="Times New Roman CYR"/>
                <w:sz w:val="22"/>
                <w:szCs w:val="22"/>
              </w:rPr>
              <w:t>10</w:t>
            </w:r>
          </w:p>
        </w:tc>
        <w:tc>
          <w:tcPr>
            <w:tcW w:w="2410" w:type="dxa"/>
          </w:tcPr>
          <w:p w14:paraId="2BB28137" w14:textId="77777777" w:rsidR="004B3B82" w:rsidRPr="00D42866" w:rsidRDefault="004B3B82" w:rsidP="00CD3B05">
            <w:pPr>
              <w:overflowPunct w:val="0"/>
              <w:autoSpaceDE w:val="0"/>
              <w:autoSpaceDN w:val="0"/>
              <w:adjustRightInd w:val="0"/>
              <w:ind w:right="21"/>
              <w:rPr>
                <w:rFonts w:ascii="Garamond" w:hAnsi="Garamond" w:cs="Times New Roman CYR"/>
                <w:sz w:val="22"/>
                <w:szCs w:val="22"/>
              </w:rPr>
            </w:pPr>
            <w:r w:rsidRPr="00D42866">
              <w:rPr>
                <w:rFonts w:ascii="Garamond" w:hAnsi="Garamond" w:cs="Times New Roman CYR"/>
                <w:sz w:val="22"/>
                <w:szCs w:val="22"/>
              </w:rPr>
              <w:t>Факт. нагрузка, ВА*</w:t>
            </w:r>
          </w:p>
        </w:tc>
        <w:tc>
          <w:tcPr>
            <w:tcW w:w="850" w:type="dxa"/>
          </w:tcPr>
          <w:p w14:paraId="7A13D472" w14:textId="77777777" w:rsidR="004B3B82" w:rsidRPr="00D42866" w:rsidRDefault="004B3B82" w:rsidP="00CD3B05">
            <w:pPr>
              <w:overflowPunct w:val="0"/>
              <w:autoSpaceDE w:val="0"/>
              <w:autoSpaceDN w:val="0"/>
              <w:adjustRightInd w:val="0"/>
              <w:ind w:right="21"/>
              <w:rPr>
                <w:rFonts w:ascii="Garamond" w:hAnsi="Garamond" w:cs="Times New Roman CYR"/>
                <w:sz w:val="22"/>
                <w:szCs w:val="22"/>
              </w:rPr>
            </w:pPr>
            <w:r w:rsidRPr="00D42866">
              <w:rPr>
                <w:rFonts w:ascii="Garamond" w:hAnsi="Garamond" w:cs="Times New Roman CYR"/>
                <w:sz w:val="22"/>
                <w:szCs w:val="22"/>
              </w:rPr>
              <w:t>6.2</w:t>
            </w:r>
          </w:p>
        </w:tc>
      </w:tr>
      <w:tr w:rsidR="004B3B82" w:rsidRPr="00D42866" w14:paraId="6F90A424" w14:textId="77777777" w:rsidTr="00CD3B05">
        <w:tc>
          <w:tcPr>
            <w:tcW w:w="1526" w:type="dxa"/>
          </w:tcPr>
          <w:p w14:paraId="171A1F25" w14:textId="77777777" w:rsidR="004B3B82" w:rsidRPr="00D42866" w:rsidRDefault="004B3B82" w:rsidP="00CD3B05">
            <w:pPr>
              <w:overflowPunct w:val="0"/>
              <w:autoSpaceDE w:val="0"/>
              <w:autoSpaceDN w:val="0"/>
              <w:adjustRightInd w:val="0"/>
              <w:ind w:right="21"/>
              <w:rPr>
                <w:rFonts w:ascii="Garamond" w:hAnsi="Garamond" w:cs="Times New Roman CYR"/>
                <w:sz w:val="22"/>
                <w:szCs w:val="22"/>
              </w:rPr>
            </w:pPr>
            <w:r w:rsidRPr="00D42866">
              <w:rPr>
                <w:rFonts w:ascii="Garamond" w:hAnsi="Garamond" w:cs="Times New Roman CYR"/>
                <w:sz w:val="22"/>
                <w:szCs w:val="22"/>
              </w:rPr>
              <w:t>Госреестр №</w:t>
            </w:r>
          </w:p>
        </w:tc>
        <w:tc>
          <w:tcPr>
            <w:tcW w:w="2126" w:type="dxa"/>
          </w:tcPr>
          <w:p w14:paraId="60297BD9" w14:textId="77777777" w:rsidR="004B3B82" w:rsidRPr="00D42866" w:rsidRDefault="004B3B82" w:rsidP="00CD3B05">
            <w:pPr>
              <w:overflowPunct w:val="0"/>
              <w:autoSpaceDE w:val="0"/>
              <w:autoSpaceDN w:val="0"/>
              <w:adjustRightInd w:val="0"/>
              <w:ind w:right="21"/>
              <w:rPr>
                <w:rFonts w:ascii="Garamond" w:hAnsi="Garamond" w:cs="Times New Roman CYR"/>
                <w:sz w:val="22"/>
                <w:szCs w:val="22"/>
              </w:rPr>
            </w:pPr>
            <w:r w:rsidRPr="00D42866">
              <w:rPr>
                <w:rFonts w:ascii="Garamond" w:hAnsi="Garamond" w:cs="Times New Roman CYR"/>
                <w:sz w:val="22"/>
                <w:szCs w:val="22"/>
              </w:rPr>
              <w:t>1261-08</w:t>
            </w:r>
          </w:p>
        </w:tc>
        <w:tc>
          <w:tcPr>
            <w:tcW w:w="1843" w:type="dxa"/>
          </w:tcPr>
          <w:p w14:paraId="32811085" w14:textId="77777777" w:rsidR="004B3B82" w:rsidRPr="00D42866" w:rsidRDefault="004B3B82" w:rsidP="00CD3B05">
            <w:pPr>
              <w:overflowPunct w:val="0"/>
              <w:autoSpaceDE w:val="0"/>
              <w:autoSpaceDN w:val="0"/>
              <w:adjustRightInd w:val="0"/>
              <w:ind w:right="21"/>
              <w:rPr>
                <w:rFonts w:ascii="Garamond" w:hAnsi="Garamond" w:cs="Times New Roman CYR"/>
                <w:sz w:val="22"/>
                <w:szCs w:val="22"/>
              </w:rPr>
            </w:pPr>
            <w:r w:rsidRPr="00D42866">
              <w:rPr>
                <w:rFonts w:ascii="Garamond" w:hAnsi="Garamond" w:cs="Times New Roman CYR"/>
                <w:sz w:val="22"/>
                <w:szCs w:val="22"/>
              </w:rPr>
              <w:t>Дата последней поверки</w:t>
            </w:r>
          </w:p>
        </w:tc>
        <w:tc>
          <w:tcPr>
            <w:tcW w:w="1559" w:type="dxa"/>
          </w:tcPr>
          <w:p w14:paraId="1C638C3F" w14:textId="77777777" w:rsidR="004B3B82" w:rsidRPr="00D42866" w:rsidRDefault="004B3B82" w:rsidP="00CD3B05">
            <w:pPr>
              <w:overflowPunct w:val="0"/>
              <w:autoSpaceDE w:val="0"/>
              <w:autoSpaceDN w:val="0"/>
              <w:adjustRightInd w:val="0"/>
              <w:ind w:right="21"/>
              <w:rPr>
                <w:rFonts w:ascii="Garamond" w:hAnsi="Garamond" w:cs="Times New Roman CYR"/>
                <w:sz w:val="22"/>
                <w:szCs w:val="22"/>
              </w:rPr>
            </w:pPr>
            <w:r w:rsidRPr="00D42866">
              <w:rPr>
                <w:rFonts w:ascii="Garamond" w:hAnsi="Garamond" w:cs="Times New Roman CYR"/>
                <w:sz w:val="22"/>
                <w:szCs w:val="22"/>
              </w:rPr>
              <w:t>01.04.2019</w:t>
            </w:r>
          </w:p>
        </w:tc>
        <w:tc>
          <w:tcPr>
            <w:tcW w:w="2410" w:type="dxa"/>
          </w:tcPr>
          <w:p w14:paraId="3207FCC4" w14:textId="77777777" w:rsidR="004B3B82" w:rsidRPr="00D42866" w:rsidRDefault="004B3B82" w:rsidP="00CD3B05">
            <w:pPr>
              <w:overflowPunct w:val="0"/>
              <w:autoSpaceDE w:val="0"/>
              <w:autoSpaceDN w:val="0"/>
              <w:adjustRightInd w:val="0"/>
              <w:ind w:right="21"/>
              <w:rPr>
                <w:rFonts w:ascii="Garamond" w:hAnsi="Garamond" w:cs="Times New Roman CYR"/>
                <w:sz w:val="22"/>
                <w:szCs w:val="22"/>
              </w:rPr>
            </w:pPr>
            <w:r w:rsidRPr="00D42866">
              <w:rPr>
                <w:rFonts w:ascii="Garamond" w:hAnsi="Garamond" w:cs="Times New Roman CYR"/>
                <w:sz w:val="22"/>
                <w:szCs w:val="22"/>
              </w:rPr>
              <w:t>Межповерочный интервал, лет</w:t>
            </w:r>
          </w:p>
        </w:tc>
        <w:tc>
          <w:tcPr>
            <w:tcW w:w="850" w:type="dxa"/>
          </w:tcPr>
          <w:p w14:paraId="7778C7A9" w14:textId="77777777" w:rsidR="004B3B82" w:rsidRPr="00D42866" w:rsidRDefault="004B3B82" w:rsidP="00CD3B05">
            <w:pPr>
              <w:overflowPunct w:val="0"/>
              <w:autoSpaceDE w:val="0"/>
              <w:autoSpaceDN w:val="0"/>
              <w:adjustRightInd w:val="0"/>
              <w:ind w:right="21"/>
              <w:rPr>
                <w:rFonts w:ascii="Garamond" w:hAnsi="Garamond" w:cs="Times New Roman CYR"/>
                <w:sz w:val="22"/>
                <w:szCs w:val="22"/>
              </w:rPr>
            </w:pPr>
            <w:r w:rsidRPr="00D42866">
              <w:rPr>
                <w:rFonts w:ascii="Garamond" w:hAnsi="Garamond" w:cs="Times New Roman CYR"/>
                <w:sz w:val="22"/>
                <w:szCs w:val="22"/>
              </w:rPr>
              <w:t>8</w:t>
            </w:r>
          </w:p>
        </w:tc>
      </w:tr>
    </w:tbl>
    <w:p w14:paraId="1AF5DBC3" w14:textId="77777777" w:rsidR="004B3B82" w:rsidRPr="00D42866" w:rsidRDefault="004B3B82" w:rsidP="00101F7C">
      <w:pPr>
        <w:overflowPunct w:val="0"/>
        <w:autoSpaceDE w:val="0"/>
        <w:autoSpaceDN w:val="0"/>
        <w:adjustRightInd w:val="0"/>
        <w:rPr>
          <w:rFonts w:ascii="Garamond" w:hAnsi="Garamond" w:cs="Times New Roman CYR"/>
          <w:b/>
          <w:sz w:val="22"/>
          <w:szCs w:val="22"/>
        </w:rPr>
      </w:pPr>
    </w:p>
    <w:p w14:paraId="64FC83DB" w14:textId="77777777" w:rsidR="004B3B82" w:rsidRPr="00D42866" w:rsidRDefault="004B3B82" w:rsidP="00101F7C">
      <w:pPr>
        <w:overflowPunct w:val="0"/>
        <w:autoSpaceDE w:val="0"/>
        <w:autoSpaceDN w:val="0"/>
        <w:adjustRightInd w:val="0"/>
        <w:rPr>
          <w:rFonts w:ascii="Garamond" w:hAnsi="Garamond" w:cs="Times New Roman CYR"/>
          <w:b/>
          <w:sz w:val="22"/>
          <w:szCs w:val="22"/>
        </w:rPr>
      </w:pPr>
      <w:r w:rsidRPr="00D42866">
        <w:rPr>
          <w:rFonts w:ascii="Garamond" w:hAnsi="Garamond" w:cs="Times New Roman CYR"/>
          <w:b/>
          <w:sz w:val="22"/>
          <w:szCs w:val="22"/>
        </w:rPr>
        <w:t>4.3. Трансформаторы напряжения</w:t>
      </w:r>
    </w:p>
    <w:p w14:paraId="465B555B" w14:textId="77777777" w:rsidR="004B3B82" w:rsidRPr="00D42866" w:rsidRDefault="004B3B82" w:rsidP="00101F7C">
      <w:pPr>
        <w:overflowPunct w:val="0"/>
        <w:autoSpaceDE w:val="0"/>
        <w:autoSpaceDN w:val="0"/>
        <w:adjustRightInd w:val="0"/>
        <w:rPr>
          <w:rFonts w:ascii="Garamond" w:hAnsi="Garamond" w:cs="Times New Roman CYR"/>
          <w:b/>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8"/>
        <w:gridCol w:w="2072"/>
        <w:gridCol w:w="1701"/>
        <w:gridCol w:w="1537"/>
        <w:gridCol w:w="2228"/>
        <w:gridCol w:w="763"/>
      </w:tblGrid>
      <w:tr w:rsidR="004B3B82" w:rsidRPr="00D42866" w14:paraId="7731A34B" w14:textId="77777777" w:rsidTr="00CD3B05">
        <w:tc>
          <w:tcPr>
            <w:tcW w:w="10251" w:type="dxa"/>
            <w:gridSpan w:val="6"/>
          </w:tcPr>
          <w:p w14:paraId="38E65402" w14:textId="77777777" w:rsidR="004B3B82" w:rsidRPr="00D42866" w:rsidRDefault="004B3B82" w:rsidP="00CD3B05">
            <w:pPr>
              <w:tabs>
                <w:tab w:val="center" w:pos="5007"/>
                <w:tab w:val="left" w:pos="5832"/>
              </w:tabs>
              <w:overflowPunct w:val="0"/>
              <w:autoSpaceDE w:val="0"/>
              <w:autoSpaceDN w:val="0"/>
              <w:adjustRightInd w:val="0"/>
              <w:ind w:right="21"/>
              <w:rPr>
                <w:rFonts w:ascii="Garamond" w:hAnsi="Garamond" w:cs="Times New Roman CYR"/>
                <w:sz w:val="22"/>
                <w:szCs w:val="22"/>
              </w:rPr>
            </w:pPr>
            <w:r w:rsidRPr="00D42866">
              <w:rPr>
                <w:rFonts w:ascii="Garamond" w:hAnsi="Garamond" w:cs="Times New Roman CYR"/>
                <w:sz w:val="22"/>
                <w:szCs w:val="22"/>
              </w:rPr>
              <w:tab/>
              <w:t>Фаза А</w:t>
            </w:r>
          </w:p>
        </w:tc>
      </w:tr>
      <w:tr w:rsidR="004B3B82" w:rsidRPr="00D42866" w14:paraId="4D9BA7AA" w14:textId="77777777" w:rsidTr="00CD3B05">
        <w:tc>
          <w:tcPr>
            <w:tcW w:w="1511" w:type="dxa"/>
          </w:tcPr>
          <w:p w14:paraId="46527AE4" w14:textId="77777777" w:rsidR="004B3B82" w:rsidRPr="00D42866" w:rsidRDefault="004B3B82" w:rsidP="00CD3B05">
            <w:pPr>
              <w:overflowPunct w:val="0"/>
              <w:autoSpaceDE w:val="0"/>
              <w:autoSpaceDN w:val="0"/>
              <w:adjustRightInd w:val="0"/>
              <w:ind w:right="21"/>
              <w:rPr>
                <w:rFonts w:ascii="Garamond" w:hAnsi="Garamond" w:cs="Times New Roman CYR"/>
                <w:sz w:val="22"/>
                <w:szCs w:val="22"/>
              </w:rPr>
            </w:pPr>
            <w:r w:rsidRPr="00D42866">
              <w:rPr>
                <w:rFonts w:ascii="Garamond" w:hAnsi="Garamond" w:cs="Times New Roman CYR"/>
                <w:sz w:val="22"/>
                <w:szCs w:val="22"/>
              </w:rPr>
              <w:t>Тип</w:t>
            </w:r>
          </w:p>
        </w:tc>
        <w:tc>
          <w:tcPr>
            <w:tcW w:w="2151" w:type="dxa"/>
          </w:tcPr>
          <w:p w14:paraId="65416666" w14:textId="77777777" w:rsidR="004B3B82" w:rsidRPr="00D42866" w:rsidRDefault="004B3B82" w:rsidP="00CD3B05">
            <w:pPr>
              <w:overflowPunct w:val="0"/>
              <w:autoSpaceDE w:val="0"/>
              <w:autoSpaceDN w:val="0"/>
              <w:adjustRightInd w:val="0"/>
              <w:ind w:right="21"/>
              <w:rPr>
                <w:rFonts w:ascii="Garamond" w:hAnsi="Garamond" w:cs="Times New Roman CYR"/>
                <w:sz w:val="22"/>
                <w:szCs w:val="22"/>
                <w:lang w:val="en-US"/>
              </w:rPr>
            </w:pPr>
            <w:r w:rsidRPr="00D42866">
              <w:rPr>
                <w:rFonts w:ascii="Garamond" w:hAnsi="Garamond" w:cs="Times New Roman CYR"/>
                <w:sz w:val="22"/>
                <w:szCs w:val="22"/>
              </w:rPr>
              <w:t xml:space="preserve"> ЗНОЛ-СЭЩ-10-1</w:t>
            </w:r>
          </w:p>
        </w:tc>
        <w:tc>
          <w:tcPr>
            <w:tcW w:w="1762" w:type="dxa"/>
          </w:tcPr>
          <w:p w14:paraId="190254A3" w14:textId="77777777" w:rsidR="004B3B82" w:rsidRPr="00D42866" w:rsidRDefault="004B3B82" w:rsidP="00CD3B05">
            <w:pPr>
              <w:overflowPunct w:val="0"/>
              <w:autoSpaceDE w:val="0"/>
              <w:autoSpaceDN w:val="0"/>
              <w:adjustRightInd w:val="0"/>
              <w:ind w:right="21"/>
              <w:rPr>
                <w:rFonts w:ascii="Garamond" w:hAnsi="Garamond" w:cs="Times New Roman CYR"/>
                <w:sz w:val="22"/>
                <w:szCs w:val="22"/>
              </w:rPr>
            </w:pPr>
            <w:r w:rsidRPr="00D42866">
              <w:rPr>
                <w:rFonts w:ascii="Garamond" w:hAnsi="Garamond" w:cs="Times New Roman CYR"/>
                <w:sz w:val="22"/>
                <w:szCs w:val="22"/>
              </w:rPr>
              <w:t>Зав. №</w:t>
            </w:r>
          </w:p>
        </w:tc>
        <w:tc>
          <w:tcPr>
            <w:tcW w:w="1640" w:type="dxa"/>
          </w:tcPr>
          <w:p w14:paraId="0975B52E" w14:textId="77777777" w:rsidR="004B3B82" w:rsidRPr="00D42866" w:rsidRDefault="004B3B82" w:rsidP="00CD3B05">
            <w:pPr>
              <w:overflowPunct w:val="0"/>
              <w:autoSpaceDE w:val="0"/>
              <w:autoSpaceDN w:val="0"/>
              <w:adjustRightInd w:val="0"/>
              <w:ind w:right="21"/>
              <w:rPr>
                <w:rFonts w:ascii="Garamond" w:hAnsi="Garamond" w:cs="Times New Roman CYR"/>
                <w:sz w:val="22"/>
                <w:szCs w:val="22"/>
              </w:rPr>
            </w:pPr>
            <w:r w:rsidRPr="00D42866">
              <w:rPr>
                <w:rFonts w:ascii="Garamond" w:hAnsi="Garamond" w:cs="Times New Roman CYR"/>
                <w:sz w:val="22"/>
                <w:szCs w:val="22"/>
              </w:rPr>
              <w:t>02633-10</w:t>
            </w:r>
          </w:p>
        </w:tc>
        <w:tc>
          <w:tcPr>
            <w:tcW w:w="2350" w:type="dxa"/>
          </w:tcPr>
          <w:p w14:paraId="03B44F86" w14:textId="77777777" w:rsidR="004B3B82" w:rsidRPr="00D42866" w:rsidRDefault="004B3B82" w:rsidP="00CD3B05">
            <w:pPr>
              <w:overflowPunct w:val="0"/>
              <w:autoSpaceDE w:val="0"/>
              <w:autoSpaceDN w:val="0"/>
              <w:adjustRightInd w:val="0"/>
              <w:ind w:right="21"/>
              <w:rPr>
                <w:rFonts w:ascii="Garamond" w:hAnsi="Garamond" w:cs="Times New Roman CYR"/>
                <w:sz w:val="22"/>
                <w:szCs w:val="22"/>
              </w:rPr>
            </w:pPr>
            <w:r w:rsidRPr="00D42866">
              <w:rPr>
                <w:rFonts w:ascii="Garamond" w:hAnsi="Garamond" w:cs="Times New Roman CYR"/>
                <w:sz w:val="22"/>
                <w:szCs w:val="22"/>
              </w:rPr>
              <w:t>Класс точности</w:t>
            </w:r>
          </w:p>
        </w:tc>
        <w:tc>
          <w:tcPr>
            <w:tcW w:w="837" w:type="dxa"/>
          </w:tcPr>
          <w:p w14:paraId="375B88CB" w14:textId="77777777" w:rsidR="004B3B82" w:rsidRPr="00D42866" w:rsidRDefault="004B3B82" w:rsidP="00CD3B05">
            <w:pPr>
              <w:overflowPunct w:val="0"/>
              <w:autoSpaceDE w:val="0"/>
              <w:autoSpaceDN w:val="0"/>
              <w:adjustRightInd w:val="0"/>
              <w:ind w:right="21"/>
              <w:rPr>
                <w:rFonts w:ascii="Garamond" w:hAnsi="Garamond" w:cs="Times New Roman CYR"/>
                <w:sz w:val="22"/>
                <w:szCs w:val="22"/>
              </w:rPr>
            </w:pPr>
            <w:r w:rsidRPr="00D42866">
              <w:rPr>
                <w:rFonts w:ascii="Garamond" w:hAnsi="Garamond" w:cs="Times New Roman CYR"/>
                <w:sz w:val="22"/>
                <w:szCs w:val="22"/>
              </w:rPr>
              <w:t>0.5</w:t>
            </w:r>
          </w:p>
        </w:tc>
      </w:tr>
      <w:tr w:rsidR="004B3B82" w:rsidRPr="00D42866" w14:paraId="697057C8" w14:textId="77777777" w:rsidTr="00CD3B05">
        <w:tc>
          <w:tcPr>
            <w:tcW w:w="1511" w:type="dxa"/>
          </w:tcPr>
          <w:p w14:paraId="677C0F61" w14:textId="77777777" w:rsidR="004B3B82" w:rsidRPr="00D42866" w:rsidRDefault="004B3B82" w:rsidP="00CD3B05">
            <w:pPr>
              <w:overflowPunct w:val="0"/>
              <w:autoSpaceDE w:val="0"/>
              <w:autoSpaceDN w:val="0"/>
              <w:adjustRightInd w:val="0"/>
              <w:ind w:right="21"/>
              <w:rPr>
                <w:rFonts w:ascii="Garamond" w:hAnsi="Garamond" w:cs="Times New Roman CYR"/>
                <w:sz w:val="22"/>
                <w:szCs w:val="22"/>
              </w:rPr>
            </w:pPr>
            <w:r w:rsidRPr="00D42866">
              <w:rPr>
                <w:rFonts w:ascii="Garamond" w:hAnsi="Garamond" w:cs="Times New Roman CYR"/>
                <w:sz w:val="22"/>
                <w:szCs w:val="22"/>
              </w:rPr>
              <w:t>Коэф. трансформ.</w:t>
            </w:r>
          </w:p>
        </w:tc>
        <w:tc>
          <w:tcPr>
            <w:tcW w:w="2151" w:type="dxa"/>
          </w:tcPr>
          <w:p w14:paraId="1D66E84A" w14:textId="77777777" w:rsidR="004B3B82" w:rsidRPr="00D42866" w:rsidRDefault="004B3B82" w:rsidP="00CD3B05">
            <w:pPr>
              <w:overflowPunct w:val="0"/>
              <w:autoSpaceDE w:val="0"/>
              <w:autoSpaceDN w:val="0"/>
              <w:adjustRightInd w:val="0"/>
              <w:ind w:right="21"/>
              <w:rPr>
                <w:rFonts w:ascii="Garamond" w:hAnsi="Garamond" w:cs="Times New Roman CYR"/>
                <w:sz w:val="22"/>
                <w:szCs w:val="22"/>
              </w:rPr>
            </w:pPr>
            <w:r w:rsidRPr="00D42866">
              <w:rPr>
                <w:rFonts w:ascii="Garamond" w:hAnsi="Garamond" w:cs="Times New Roman CYR"/>
                <w:sz w:val="22"/>
                <w:szCs w:val="22"/>
              </w:rPr>
              <w:t>10000/√3:100/√3</w:t>
            </w:r>
          </w:p>
        </w:tc>
        <w:tc>
          <w:tcPr>
            <w:tcW w:w="1762" w:type="dxa"/>
          </w:tcPr>
          <w:p w14:paraId="0FEA0F84" w14:textId="77777777" w:rsidR="004B3B82" w:rsidRPr="00D42866" w:rsidRDefault="004B3B82" w:rsidP="00CD3B05">
            <w:pPr>
              <w:overflowPunct w:val="0"/>
              <w:autoSpaceDE w:val="0"/>
              <w:autoSpaceDN w:val="0"/>
              <w:adjustRightInd w:val="0"/>
              <w:ind w:right="21"/>
              <w:rPr>
                <w:rFonts w:ascii="Garamond" w:hAnsi="Garamond" w:cs="Times New Roman CYR"/>
                <w:sz w:val="22"/>
                <w:szCs w:val="22"/>
              </w:rPr>
            </w:pPr>
            <w:r w:rsidRPr="00D42866">
              <w:rPr>
                <w:rFonts w:ascii="Garamond" w:hAnsi="Garamond" w:cs="Times New Roman CYR"/>
                <w:sz w:val="22"/>
                <w:szCs w:val="22"/>
              </w:rPr>
              <w:t>Номинальная мощность, ВА*</w:t>
            </w:r>
          </w:p>
        </w:tc>
        <w:tc>
          <w:tcPr>
            <w:tcW w:w="1640" w:type="dxa"/>
          </w:tcPr>
          <w:p w14:paraId="2161EA03" w14:textId="77777777" w:rsidR="004B3B82" w:rsidRPr="00D42866" w:rsidRDefault="004B3B82" w:rsidP="00CD3B05">
            <w:pPr>
              <w:overflowPunct w:val="0"/>
              <w:autoSpaceDE w:val="0"/>
              <w:autoSpaceDN w:val="0"/>
              <w:adjustRightInd w:val="0"/>
              <w:ind w:right="21"/>
              <w:rPr>
                <w:rFonts w:ascii="Garamond" w:hAnsi="Garamond" w:cs="Times New Roman CYR"/>
                <w:sz w:val="22"/>
                <w:szCs w:val="22"/>
              </w:rPr>
            </w:pPr>
            <w:r w:rsidRPr="00D42866">
              <w:rPr>
                <w:rFonts w:ascii="Garamond" w:hAnsi="Garamond" w:cs="Times New Roman CYR"/>
                <w:sz w:val="22"/>
                <w:szCs w:val="22"/>
              </w:rPr>
              <w:t>75</w:t>
            </w:r>
          </w:p>
        </w:tc>
        <w:tc>
          <w:tcPr>
            <w:tcW w:w="2350" w:type="dxa"/>
          </w:tcPr>
          <w:p w14:paraId="445B2B43" w14:textId="77777777" w:rsidR="004B3B82" w:rsidRPr="00D42866" w:rsidRDefault="004B3B82" w:rsidP="00CD3B05">
            <w:pPr>
              <w:overflowPunct w:val="0"/>
              <w:autoSpaceDE w:val="0"/>
              <w:autoSpaceDN w:val="0"/>
              <w:adjustRightInd w:val="0"/>
              <w:ind w:right="21"/>
              <w:rPr>
                <w:rFonts w:ascii="Garamond" w:hAnsi="Garamond" w:cs="Times New Roman CYR"/>
                <w:sz w:val="22"/>
                <w:szCs w:val="22"/>
              </w:rPr>
            </w:pPr>
            <w:r w:rsidRPr="00D42866">
              <w:rPr>
                <w:rFonts w:ascii="Garamond" w:hAnsi="Garamond" w:cs="Times New Roman CYR"/>
                <w:sz w:val="22"/>
                <w:szCs w:val="22"/>
              </w:rPr>
              <w:t>Факт. нагрузка, ВА*</w:t>
            </w:r>
          </w:p>
        </w:tc>
        <w:tc>
          <w:tcPr>
            <w:tcW w:w="837" w:type="dxa"/>
          </w:tcPr>
          <w:p w14:paraId="78978FB0" w14:textId="77777777" w:rsidR="004B3B82" w:rsidRPr="00D42866" w:rsidRDefault="004B3B82" w:rsidP="00CD3B05">
            <w:pPr>
              <w:overflowPunct w:val="0"/>
              <w:autoSpaceDE w:val="0"/>
              <w:autoSpaceDN w:val="0"/>
              <w:adjustRightInd w:val="0"/>
              <w:ind w:right="21"/>
              <w:rPr>
                <w:rFonts w:ascii="Garamond" w:hAnsi="Garamond" w:cs="Times New Roman CYR"/>
                <w:sz w:val="22"/>
                <w:szCs w:val="22"/>
              </w:rPr>
            </w:pPr>
            <w:r w:rsidRPr="00D42866">
              <w:rPr>
                <w:rFonts w:ascii="Garamond" w:hAnsi="Garamond" w:cs="Times New Roman CYR"/>
                <w:sz w:val="22"/>
                <w:szCs w:val="22"/>
              </w:rPr>
              <w:t>62</w:t>
            </w:r>
          </w:p>
        </w:tc>
      </w:tr>
      <w:tr w:rsidR="004B3B82" w:rsidRPr="00D42866" w14:paraId="2BFC0CF3" w14:textId="77777777" w:rsidTr="00CD3B05">
        <w:tc>
          <w:tcPr>
            <w:tcW w:w="1511" w:type="dxa"/>
          </w:tcPr>
          <w:p w14:paraId="15E495CF" w14:textId="77777777" w:rsidR="004B3B82" w:rsidRPr="00D42866" w:rsidRDefault="004B3B82" w:rsidP="00CD3B05">
            <w:pPr>
              <w:overflowPunct w:val="0"/>
              <w:autoSpaceDE w:val="0"/>
              <w:autoSpaceDN w:val="0"/>
              <w:adjustRightInd w:val="0"/>
              <w:ind w:right="21"/>
              <w:rPr>
                <w:rFonts w:ascii="Garamond" w:hAnsi="Garamond" w:cs="Times New Roman CYR"/>
                <w:sz w:val="22"/>
                <w:szCs w:val="22"/>
              </w:rPr>
            </w:pPr>
            <w:r w:rsidRPr="00D42866">
              <w:rPr>
                <w:rFonts w:ascii="Garamond" w:hAnsi="Garamond" w:cs="Times New Roman CYR"/>
                <w:sz w:val="22"/>
                <w:szCs w:val="22"/>
              </w:rPr>
              <w:t>Госреестр №</w:t>
            </w:r>
          </w:p>
        </w:tc>
        <w:tc>
          <w:tcPr>
            <w:tcW w:w="2151" w:type="dxa"/>
          </w:tcPr>
          <w:p w14:paraId="7D53ED3A" w14:textId="77777777" w:rsidR="004B3B82" w:rsidRPr="00D42866" w:rsidRDefault="004B3B82" w:rsidP="00CD3B05">
            <w:pPr>
              <w:overflowPunct w:val="0"/>
              <w:autoSpaceDE w:val="0"/>
              <w:autoSpaceDN w:val="0"/>
              <w:adjustRightInd w:val="0"/>
              <w:ind w:right="21"/>
              <w:rPr>
                <w:rFonts w:ascii="Garamond" w:hAnsi="Garamond" w:cs="Times New Roman CYR"/>
                <w:sz w:val="22"/>
                <w:szCs w:val="22"/>
              </w:rPr>
            </w:pPr>
            <w:r w:rsidRPr="00D42866">
              <w:rPr>
                <w:rFonts w:ascii="Garamond" w:hAnsi="Garamond" w:cs="Times New Roman CYR"/>
                <w:sz w:val="22"/>
                <w:szCs w:val="22"/>
              </w:rPr>
              <w:t>55024-13</w:t>
            </w:r>
          </w:p>
        </w:tc>
        <w:tc>
          <w:tcPr>
            <w:tcW w:w="1762" w:type="dxa"/>
          </w:tcPr>
          <w:p w14:paraId="17C0D1C5" w14:textId="77777777" w:rsidR="004B3B82" w:rsidRPr="00D42866" w:rsidRDefault="004B3B82" w:rsidP="00CD3B05">
            <w:pPr>
              <w:overflowPunct w:val="0"/>
              <w:autoSpaceDE w:val="0"/>
              <w:autoSpaceDN w:val="0"/>
              <w:adjustRightInd w:val="0"/>
              <w:ind w:right="21"/>
              <w:rPr>
                <w:rFonts w:ascii="Garamond" w:hAnsi="Garamond" w:cs="Times New Roman CYR"/>
                <w:sz w:val="22"/>
                <w:szCs w:val="22"/>
              </w:rPr>
            </w:pPr>
            <w:r w:rsidRPr="00D42866">
              <w:rPr>
                <w:rFonts w:ascii="Garamond" w:hAnsi="Garamond" w:cs="Times New Roman CYR"/>
                <w:sz w:val="22"/>
                <w:szCs w:val="22"/>
              </w:rPr>
              <w:t>Дата последней поверки</w:t>
            </w:r>
          </w:p>
        </w:tc>
        <w:tc>
          <w:tcPr>
            <w:tcW w:w="1640" w:type="dxa"/>
          </w:tcPr>
          <w:p w14:paraId="5B3C243E" w14:textId="77777777" w:rsidR="004B3B82" w:rsidRPr="00D42866" w:rsidRDefault="004B3B82" w:rsidP="00CD3B05">
            <w:pPr>
              <w:overflowPunct w:val="0"/>
              <w:autoSpaceDE w:val="0"/>
              <w:autoSpaceDN w:val="0"/>
              <w:adjustRightInd w:val="0"/>
              <w:ind w:right="21"/>
              <w:rPr>
                <w:rFonts w:ascii="Garamond" w:hAnsi="Garamond" w:cs="Times New Roman CYR"/>
                <w:sz w:val="22"/>
                <w:szCs w:val="22"/>
              </w:rPr>
            </w:pPr>
            <w:r w:rsidRPr="00D42866">
              <w:rPr>
                <w:rFonts w:ascii="Garamond" w:hAnsi="Garamond" w:cs="Times New Roman CYR"/>
                <w:sz w:val="22"/>
                <w:szCs w:val="22"/>
              </w:rPr>
              <w:t>01.04.2019</w:t>
            </w:r>
          </w:p>
        </w:tc>
        <w:tc>
          <w:tcPr>
            <w:tcW w:w="2350" w:type="dxa"/>
          </w:tcPr>
          <w:p w14:paraId="2D4748C6" w14:textId="77777777" w:rsidR="004B3B82" w:rsidRPr="00D42866" w:rsidRDefault="004B3B82" w:rsidP="00CD3B05">
            <w:pPr>
              <w:overflowPunct w:val="0"/>
              <w:autoSpaceDE w:val="0"/>
              <w:autoSpaceDN w:val="0"/>
              <w:adjustRightInd w:val="0"/>
              <w:ind w:right="21"/>
              <w:rPr>
                <w:rFonts w:ascii="Garamond" w:hAnsi="Garamond" w:cs="Times New Roman CYR"/>
                <w:sz w:val="22"/>
                <w:szCs w:val="22"/>
              </w:rPr>
            </w:pPr>
            <w:r w:rsidRPr="00D42866">
              <w:rPr>
                <w:rFonts w:ascii="Garamond" w:hAnsi="Garamond" w:cs="Times New Roman CYR"/>
                <w:sz w:val="22"/>
                <w:szCs w:val="22"/>
              </w:rPr>
              <w:t>Межповерочный интервал, лет</w:t>
            </w:r>
          </w:p>
        </w:tc>
        <w:tc>
          <w:tcPr>
            <w:tcW w:w="837" w:type="dxa"/>
          </w:tcPr>
          <w:p w14:paraId="22BF9D23" w14:textId="77777777" w:rsidR="004B3B82" w:rsidRPr="00D42866" w:rsidRDefault="004B3B82" w:rsidP="00CD3B05">
            <w:pPr>
              <w:overflowPunct w:val="0"/>
              <w:autoSpaceDE w:val="0"/>
              <w:autoSpaceDN w:val="0"/>
              <w:adjustRightInd w:val="0"/>
              <w:ind w:right="21"/>
              <w:rPr>
                <w:rFonts w:ascii="Garamond" w:hAnsi="Garamond" w:cs="Times New Roman CYR"/>
                <w:sz w:val="22"/>
                <w:szCs w:val="22"/>
              </w:rPr>
            </w:pPr>
            <w:r w:rsidRPr="00D42866">
              <w:rPr>
                <w:rFonts w:ascii="Garamond" w:hAnsi="Garamond" w:cs="Times New Roman CYR"/>
                <w:sz w:val="22"/>
                <w:szCs w:val="22"/>
              </w:rPr>
              <w:t>8</w:t>
            </w:r>
          </w:p>
        </w:tc>
      </w:tr>
      <w:tr w:rsidR="004B3B82" w:rsidRPr="00D42866" w14:paraId="5CDEFB6F" w14:textId="77777777" w:rsidTr="00CD3B05">
        <w:tc>
          <w:tcPr>
            <w:tcW w:w="10251" w:type="dxa"/>
            <w:gridSpan w:val="6"/>
          </w:tcPr>
          <w:p w14:paraId="7F8999D2" w14:textId="77777777" w:rsidR="004B3B82" w:rsidRPr="00D42866" w:rsidRDefault="004B3B82" w:rsidP="00CD3B05">
            <w:pPr>
              <w:overflowPunct w:val="0"/>
              <w:autoSpaceDE w:val="0"/>
              <w:autoSpaceDN w:val="0"/>
              <w:adjustRightInd w:val="0"/>
              <w:ind w:right="21"/>
              <w:jc w:val="center"/>
              <w:rPr>
                <w:rFonts w:ascii="Garamond" w:hAnsi="Garamond" w:cs="Times New Roman CYR"/>
                <w:sz w:val="22"/>
                <w:szCs w:val="22"/>
              </w:rPr>
            </w:pPr>
            <w:r w:rsidRPr="00D42866">
              <w:rPr>
                <w:rFonts w:ascii="Garamond" w:hAnsi="Garamond" w:cs="Times New Roman CYR"/>
                <w:sz w:val="22"/>
                <w:szCs w:val="22"/>
              </w:rPr>
              <w:t>Фаза В</w:t>
            </w:r>
          </w:p>
        </w:tc>
      </w:tr>
      <w:tr w:rsidR="004B3B82" w:rsidRPr="00D42866" w14:paraId="140F8F53" w14:textId="77777777" w:rsidTr="00CD3B05">
        <w:tc>
          <w:tcPr>
            <w:tcW w:w="1511" w:type="dxa"/>
          </w:tcPr>
          <w:p w14:paraId="7160ABC3" w14:textId="77777777" w:rsidR="004B3B82" w:rsidRPr="00D42866" w:rsidRDefault="004B3B82" w:rsidP="00CD3B05">
            <w:pPr>
              <w:overflowPunct w:val="0"/>
              <w:autoSpaceDE w:val="0"/>
              <w:autoSpaceDN w:val="0"/>
              <w:adjustRightInd w:val="0"/>
              <w:ind w:right="21"/>
              <w:rPr>
                <w:rFonts w:ascii="Garamond" w:hAnsi="Garamond" w:cs="Times New Roman CYR"/>
                <w:sz w:val="22"/>
                <w:szCs w:val="22"/>
              </w:rPr>
            </w:pPr>
            <w:r w:rsidRPr="00D42866">
              <w:rPr>
                <w:rFonts w:ascii="Garamond" w:hAnsi="Garamond" w:cs="Times New Roman CYR"/>
                <w:sz w:val="22"/>
                <w:szCs w:val="22"/>
              </w:rPr>
              <w:t>Тип</w:t>
            </w:r>
          </w:p>
        </w:tc>
        <w:tc>
          <w:tcPr>
            <w:tcW w:w="2151" w:type="dxa"/>
          </w:tcPr>
          <w:p w14:paraId="24AA3AE6" w14:textId="77777777" w:rsidR="004B3B82" w:rsidRPr="00D42866" w:rsidRDefault="004B3B82" w:rsidP="00CD3B05">
            <w:pPr>
              <w:overflowPunct w:val="0"/>
              <w:autoSpaceDE w:val="0"/>
              <w:autoSpaceDN w:val="0"/>
              <w:adjustRightInd w:val="0"/>
              <w:ind w:right="21"/>
              <w:rPr>
                <w:rFonts w:ascii="Garamond" w:hAnsi="Garamond" w:cs="Times New Roman CYR"/>
                <w:sz w:val="22"/>
                <w:szCs w:val="22"/>
                <w:lang w:val="en-US"/>
              </w:rPr>
            </w:pPr>
            <w:r w:rsidRPr="00D42866">
              <w:rPr>
                <w:rFonts w:ascii="Garamond" w:hAnsi="Garamond" w:cs="Times New Roman CYR"/>
                <w:sz w:val="22"/>
                <w:szCs w:val="22"/>
              </w:rPr>
              <w:t xml:space="preserve"> ЗНОЛ-СЭЩ-10-1</w:t>
            </w:r>
          </w:p>
        </w:tc>
        <w:tc>
          <w:tcPr>
            <w:tcW w:w="1762" w:type="dxa"/>
          </w:tcPr>
          <w:p w14:paraId="31A24220" w14:textId="77777777" w:rsidR="004B3B82" w:rsidRPr="00D42866" w:rsidRDefault="004B3B82" w:rsidP="00CD3B05">
            <w:pPr>
              <w:overflowPunct w:val="0"/>
              <w:autoSpaceDE w:val="0"/>
              <w:autoSpaceDN w:val="0"/>
              <w:adjustRightInd w:val="0"/>
              <w:ind w:right="21"/>
              <w:rPr>
                <w:rFonts w:ascii="Garamond" w:hAnsi="Garamond" w:cs="Times New Roman CYR"/>
                <w:sz w:val="22"/>
                <w:szCs w:val="22"/>
              </w:rPr>
            </w:pPr>
            <w:r w:rsidRPr="00D42866">
              <w:rPr>
                <w:rFonts w:ascii="Garamond" w:hAnsi="Garamond" w:cs="Times New Roman CYR"/>
                <w:sz w:val="22"/>
                <w:szCs w:val="22"/>
              </w:rPr>
              <w:t>Зав. №</w:t>
            </w:r>
          </w:p>
        </w:tc>
        <w:tc>
          <w:tcPr>
            <w:tcW w:w="1640" w:type="dxa"/>
          </w:tcPr>
          <w:p w14:paraId="38CFA4C9" w14:textId="77777777" w:rsidR="004B3B82" w:rsidRPr="00D42866" w:rsidRDefault="004B3B82" w:rsidP="00CD3B05">
            <w:pPr>
              <w:overflowPunct w:val="0"/>
              <w:autoSpaceDE w:val="0"/>
              <w:autoSpaceDN w:val="0"/>
              <w:adjustRightInd w:val="0"/>
              <w:ind w:right="21"/>
              <w:rPr>
                <w:rFonts w:ascii="Garamond" w:hAnsi="Garamond" w:cs="Times New Roman CYR"/>
                <w:sz w:val="22"/>
                <w:szCs w:val="22"/>
              </w:rPr>
            </w:pPr>
            <w:r w:rsidRPr="00D42866">
              <w:rPr>
                <w:rFonts w:ascii="Garamond" w:hAnsi="Garamond" w:cs="Times New Roman CYR"/>
                <w:sz w:val="22"/>
                <w:szCs w:val="22"/>
              </w:rPr>
              <w:t>02634-10</w:t>
            </w:r>
          </w:p>
        </w:tc>
        <w:tc>
          <w:tcPr>
            <w:tcW w:w="2350" w:type="dxa"/>
          </w:tcPr>
          <w:p w14:paraId="10F180B9" w14:textId="77777777" w:rsidR="004B3B82" w:rsidRPr="00D42866" w:rsidRDefault="004B3B82" w:rsidP="00CD3B05">
            <w:pPr>
              <w:overflowPunct w:val="0"/>
              <w:autoSpaceDE w:val="0"/>
              <w:autoSpaceDN w:val="0"/>
              <w:adjustRightInd w:val="0"/>
              <w:ind w:right="21"/>
              <w:rPr>
                <w:rFonts w:ascii="Garamond" w:hAnsi="Garamond" w:cs="Times New Roman CYR"/>
                <w:sz w:val="22"/>
                <w:szCs w:val="22"/>
              </w:rPr>
            </w:pPr>
            <w:r w:rsidRPr="00D42866">
              <w:rPr>
                <w:rFonts w:ascii="Garamond" w:hAnsi="Garamond" w:cs="Times New Roman CYR"/>
                <w:sz w:val="22"/>
                <w:szCs w:val="22"/>
              </w:rPr>
              <w:t>Класс точности</w:t>
            </w:r>
          </w:p>
        </w:tc>
        <w:tc>
          <w:tcPr>
            <w:tcW w:w="837" w:type="dxa"/>
          </w:tcPr>
          <w:p w14:paraId="1BE3FA8C" w14:textId="77777777" w:rsidR="004B3B82" w:rsidRPr="00D42866" w:rsidRDefault="004B3B82" w:rsidP="00CD3B05">
            <w:pPr>
              <w:overflowPunct w:val="0"/>
              <w:autoSpaceDE w:val="0"/>
              <w:autoSpaceDN w:val="0"/>
              <w:adjustRightInd w:val="0"/>
              <w:ind w:right="21"/>
              <w:rPr>
                <w:rFonts w:ascii="Garamond" w:hAnsi="Garamond" w:cs="Times New Roman CYR"/>
                <w:sz w:val="22"/>
                <w:szCs w:val="22"/>
              </w:rPr>
            </w:pPr>
            <w:r w:rsidRPr="00D42866">
              <w:rPr>
                <w:rFonts w:ascii="Garamond" w:hAnsi="Garamond" w:cs="Times New Roman CYR"/>
                <w:sz w:val="22"/>
                <w:szCs w:val="22"/>
              </w:rPr>
              <w:t>0.5</w:t>
            </w:r>
          </w:p>
        </w:tc>
      </w:tr>
      <w:tr w:rsidR="004B3B82" w:rsidRPr="00D42866" w14:paraId="5D0F5728" w14:textId="77777777" w:rsidTr="00CD3B05">
        <w:tc>
          <w:tcPr>
            <w:tcW w:w="1511" w:type="dxa"/>
          </w:tcPr>
          <w:p w14:paraId="33FA1B0D" w14:textId="77777777" w:rsidR="004B3B82" w:rsidRPr="00D42866" w:rsidRDefault="004B3B82" w:rsidP="00CD3B05">
            <w:pPr>
              <w:overflowPunct w:val="0"/>
              <w:autoSpaceDE w:val="0"/>
              <w:autoSpaceDN w:val="0"/>
              <w:adjustRightInd w:val="0"/>
              <w:ind w:right="21"/>
              <w:rPr>
                <w:rFonts w:ascii="Garamond" w:hAnsi="Garamond" w:cs="Times New Roman CYR"/>
                <w:sz w:val="22"/>
                <w:szCs w:val="22"/>
              </w:rPr>
            </w:pPr>
            <w:r w:rsidRPr="00D42866">
              <w:rPr>
                <w:rFonts w:ascii="Garamond" w:hAnsi="Garamond" w:cs="Times New Roman CYR"/>
                <w:sz w:val="22"/>
                <w:szCs w:val="22"/>
              </w:rPr>
              <w:t>Коэф. трансформ.</w:t>
            </w:r>
          </w:p>
        </w:tc>
        <w:tc>
          <w:tcPr>
            <w:tcW w:w="2151" w:type="dxa"/>
          </w:tcPr>
          <w:p w14:paraId="1CEC8888" w14:textId="77777777" w:rsidR="004B3B82" w:rsidRPr="00D42866" w:rsidRDefault="004B3B82" w:rsidP="00CD3B05">
            <w:pPr>
              <w:overflowPunct w:val="0"/>
              <w:autoSpaceDE w:val="0"/>
              <w:autoSpaceDN w:val="0"/>
              <w:adjustRightInd w:val="0"/>
              <w:ind w:right="21"/>
              <w:rPr>
                <w:rFonts w:ascii="Garamond" w:hAnsi="Garamond" w:cs="Times New Roman CYR"/>
                <w:sz w:val="22"/>
                <w:szCs w:val="22"/>
              </w:rPr>
            </w:pPr>
            <w:r w:rsidRPr="00D42866">
              <w:rPr>
                <w:rFonts w:ascii="Garamond" w:hAnsi="Garamond" w:cs="Times New Roman CYR"/>
                <w:sz w:val="22"/>
                <w:szCs w:val="22"/>
              </w:rPr>
              <w:t>10000/√3:100/√3</w:t>
            </w:r>
          </w:p>
        </w:tc>
        <w:tc>
          <w:tcPr>
            <w:tcW w:w="1762" w:type="dxa"/>
          </w:tcPr>
          <w:p w14:paraId="393E95D5" w14:textId="77777777" w:rsidR="004B3B82" w:rsidRPr="00D42866" w:rsidRDefault="004B3B82" w:rsidP="00CD3B05">
            <w:pPr>
              <w:overflowPunct w:val="0"/>
              <w:autoSpaceDE w:val="0"/>
              <w:autoSpaceDN w:val="0"/>
              <w:adjustRightInd w:val="0"/>
              <w:ind w:right="21"/>
              <w:rPr>
                <w:rFonts w:ascii="Garamond" w:hAnsi="Garamond" w:cs="Times New Roman CYR"/>
                <w:sz w:val="22"/>
                <w:szCs w:val="22"/>
              </w:rPr>
            </w:pPr>
            <w:r w:rsidRPr="00D42866">
              <w:rPr>
                <w:rFonts w:ascii="Garamond" w:hAnsi="Garamond" w:cs="Times New Roman CYR"/>
                <w:sz w:val="22"/>
                <w:szCs w:val="22"/>
              </w:rPr>
              <w:t>Номинальная мощность, ВА*</w:t>
            </w:r>
          </w:p>
        </w:tc>
        <w:tc>
          <w:tcPr>
            <w:tcW w:w="1640" w:type="dxa"/>
          </w:tcPr>
          <w:p w14:paraId="3106F0B6" w14:textId="77777777" w:rsidR="004B3B82" w:rsidRPr="00D42866" w:rsidRDefault="004B3B82" w:rsidP="00CD3B05">
            <w:pPr>
              <w:overflowPunct w:val="0"/>
              <w:autoSpaceDE w:val="0"/>
              <w:autoSpaceDN w:val="0"/>
              <w:adjustRightInd w:val="0"/>
              <w:ind w:right="21"/>
              <w:rPr>
                <w:rFonts w:ascii="Garamond" w:hAnsi="Garamond" w:cs="Times New Roman CYR"/>
                <w:sz w:val="22"/>
                <w:szCs w:val="22"/>
              </w:rPr>
            </w:pPr>
            <w:r w:rsidRPr="00D42866">
              <w:rPr>
                <w:rFonts w:ascii="Garamond" w:hAnsi="Garamond" w:cs="Times New Roman CYR"/>
                <w:sz w:val="22"/>
                <w:szCs w:val="22"/>
              </w:rPr>
              <w:t>75</w:t>
            </w:r>
          </w:p>
        </w:tc>
        <w:tc>
          <w:tcPr>
            <w:tcW w:w="2350" w:type="dxa"/>
          </w:tcPr>
          <w:p w14:paraId="724D31E8" w14:textId="77777777" w:rsidR="004B3B82" w:rsidRPr="00D42866" w:rsidRDefault="004B3B82" w:rsidP="00CD3B05">
            <w:pPr>
              <w:overflowPunct w:val="0"/>
              <w:autoSpaceDE w:val="0"/>
              <w:autoSpaceDN w:val="0"/>
              <w:adjustRightInd w:val="0"/>
              <w:ind w:right="21"/>
              <w:rPr>
                <w:rFonts w:ascii="Garamond" w:hAnsi="Garamond" w:cs="Times New Roman CYR"/>
                <w:sz w:val="22"/>
                <w:szCs w:val="22"/>
              </w:rPr>
            </w:pPr>
            <w:r w:rsidRPr="00D42866">
              <w:rPr>
                <w:rFonts w:ascii="Garamond" w:hAnsi="Garamond" w:cs="Times New Roman CYR"/>
                <w:sz w:val="22"/>
                <w:szCs w:val="22"/>
              </w:rPr>
              <w:t>Факт. нагрузка, ВА*</w:t>
            </w:r>
          </w:p>
        </w:tc>
        <w:tc>
          <w:tcPr>
            <w:tcW w:w="837" w:type="dxa"/>
          </w:tcPr>
          <w:p w14:paraId="16808F8A" w14:textId="77777777" w:rsidR="004B3B82" w:rsidRPr="00D42866" w:rsidRDefault="004B3B82" w:rsidP="00CD3B05">
            <w:pPr>
              <w:overflowPunct w:val="0"/>
              <w:autoSpaceDE w:val="0"/>
              <w:autoSpaceDN w:val="0"/>
              <w:adjustRightInd w:val="0"/>
              <w:ind w:right="21"/>
              <w:rPr>
                <w:rFonts w:ascii="Garamond" w:hAnsi="Garamond" w:cs="Times New Roman CYR"/>
                <w:sz w:val="22"/>
                <w:szCs w:val="22"/>
              </w:rPr>
            </w:pPr>
            <w:r w:rsidRPr="00D42866">
              <w:rPr>
                <w:rFonts w:ascii="Garamond" w:hAnsi="Garamond" w:cs="Times New Roman CYR"/>
                <w:sz w:val="22"/>
                <w:szCs w:val="22"/>
              </w:rPr>
              <w:t>63</w:t>
            </w:r>
          </w:p>
        </w:tc>
      </w:tr>
      <w:tr w:rsidR="004B3B82" w:rsidRPr="00D42866" w14:paraId="79633996" w14:textId="77777777" w:rsidTr="00CD3B05">
        <w:tc>
          <w:tcPr>
            <w:tcW w:w="1511" w:type="dxa"/>
          </w:tcPr>
          <w:p w14:paraId="308F71F3" w14:textId="77777777" w:rsidR="004B3B82" w:rsidRPr="00D42866" w:rsidRDefault="004B3B82" w:rsidP="00CD3B05">
            <w:pPr>
              <w:overflowPunct w:val="0"/>
              <w:autoSpaceDE w:val="0"/>
              <w:autoSpaceDN w:val="0"/>
              <w:adjustRightInd w:val="0"/>
              <w:ind w:right="21"/>
              <w:rPr>
                <w:rFonts w:ascii="Garamond" w:hAnsi="Garamond" w:cs="Times New Roman CYR"/>
                <w:sz w:val="22"/>
                <w:szCs w:val="22"/>
              </w:rPr>
            </w:pPr>
            <w:r w:rsidRPr="00D42866">
              <w:rPr>
                <w:rFonts w:ascii="Garamond" w:hAnsi="Garamond" w:cs="Times New Roman CYR"/>
                <w:sz w:val="22"/>
                <w:szCs w:val="22"/>
              </w:rPr>
              <w:t>Госреестр №</w:t>
            </w:r>
          </w:p>
        </w:tc>
        <w:tc>
          <w:tcPr>
            <w:tcW w:w="2151" w:type="dxa"/>
          </w:tcPr>
          <w:p w14:paraId="0A1337A5" w14:textId="77777777" w:rsidR="004B3B82" w:rsidRPr="00D42866" w:rsidRDefault="004B3B82" w:rsidP="00CD3B05">
            <w:pPr>
              <w:overflowPunct w:val="0"/>
              <w:autoSpaceDE w:val="0"/>
              <w:autoSpaceDN w:val="0"/>
              <w:adjustRightInd w:val="0"/>
              <w:ind w:right="21"/>
              <w:rPr>
                <w:rFonts w:ascii="Garamond" w:hAnsi="Garamond" w:cs="Times New Roman CYR"/>
                <w:sz w:val="22"/>
                <w:szCs w:val="22"/>
              </w:rPr>
            </w:pPr>
            <w:r w:rsidRPr="00D42866">
              <w:rPr>
                <w:rFonts w:ascii="Garamond" w:hAnsi="Garamond" w:cs="Times New Roman CYR"/>
                <w:sz w:val="22"/>
                <w:szCs w:val="22"/>
              </w:rPr>
              <w:t>55024-13</w:t>
            </w:r>
          </w:p>
        </w:tc>
        <w:tc>
          <w:tcPr>
            <w:tcW w:w="1762" w:type="dxa"/>
          </w:tcPr>
          <w:p w14:paraId="1E4A698B" w14:textId="77777777" w:rsidR="004B3B82" w:rsidRPr="00D42866" w:rsidRDefault="004B3B82" w:rsidP="00CD3B05">
            <w:pPr>
              <w:overflowPunct w:val="0"/>
              <w:autoSpaceDE w:val="0"/>
              <w:autoSpaceDN w:val="0"/>
              <w:adjustRightInd w:val="0"/>
              <w:ind w:right="21"/>
              <w:rPr>
                <w:rFonts w:ascii="Garamond" w:hAnsi="Garamond" w:cs="Times New Roman CYR"/>
                <w:sz w:val="22"/>
                <w:szCs w:val="22"/>
              </w:rPr>
            </w:pPr>
            <w:r w:rsidRPr="00D42866">
              <w:rPr>
                <w:rFonts w:ascii="Garamond" w:hAnsi="Garamond" w:cs="Times New Roman CYR"/>
                <w:sz w:val="22"/>
                <w:szCs w:val="22"/>
              </w:rPr>
              <w:t>Дата последней поверки</w:t>
            </w:r>
          </w:p>
        </w:tc>
        <w:tc>
          <w:tcPr>
            <w:tcW w:w="1640" w:type="dxa"/>
          </w:tcPr>
          <w:p w14:paraId="27BFC09B" w14:textId="77777777" w:rsidR="004B3B82" w:rsidRPr="00D42866" w:rsidRDefault="004B3B82" w:rsidP="00CD3B05">
            <w:pPr>
              <w:overflowPunct w:val="0"/>
              <w:autoSpaceDE w:val="0"/>
              <w:autoSpaceDN w:val="0"/>
              <w:adjustRightInd w:val="0"/>
              <w:ind w:right="21"/>
              <w:rPr>
                <w:rFonts w:ascii="Garamond" w:hAnsi="Garamond" w:cs="Times New Roman CYR"/>
                <w:sz w:val="22"/>
                <w:szCs w:val="22"/>
              </w:rPr>
            </w:pPr>
            <w:r w:rsidRPr="00D42866">
              <w:rPr>
                <w:rFonts w:ascii="Garamond" w:hAnsi="Garamond" w:cs="Times New Roman CYR"/>
                <w:sz w:val="22"/>
                <w:szCs w:val="22"/>
              </w:rPr>
              <w:t>01.04.2019</w:t>
            </w:r>
          </w:p>
        </w:tc>
        <w:tc>
          <w:tcPr>
            <w:tcW w:w="2350" w:type="dxa"/>
          </w:tcPr>
          <w:p w14:paraId="024CBC40" w14:textId="77777777" w:rsidR="004B3B82" w:rsidRPr="00D42866" w:rsidRDefault="004B3B82" w:rsidP="00CD3B05">
            <w:pPr>
              <w:overflowPunct w:val="0"/>
              <w:autoSpaceDE w:val="0"/>
              <w:autoSpaceDN w:val="0"/>
              <w:adjustRightInd w:val="0"/>
              <w:ind w:right="21"/>
              <w:rPr>
                <w:rFonts w:ascii="Garamond" w:hAnsi="Garamond" w:cs="Times New Roman CYR"/>
                <w:sz w:val="22"/>
                <w:szCs w:val="22"/>
              </w:rPr>
            </w:pPr>
            <w:r w:rsidRPr="00D42866">
              <w:rPr>
                <w:rFonts w:ascii="Garamond" w:hAnsi="Garamond" w:cs="Times New Roman CYR"/>
                <w:sz w:val="22"/>
                <w:szCs w:val="22"/>
              </w:rPr>
              <w:t>Межповерочный интервал, лет</w:t>
            </w:r>
          </w:p>
        </w:tc>
        <w:tc>
          <w:tcPr>
            <w:tcW w:w="837" w:type="dxa"/>
          </w:tcPr>
          <w:p w14:paraId="54DE90BB" w14:textId="77777777" w:rsidR="004B3B82" w:rsidRPr="00D42866" w:rsidRDefault="004B3B82" w:rsidP="00CD3B05">
            <w:pPr>
              <w:overflowPunct w:val="0"/>
              <w:autoSpaceDE w:val="0"/>
              <w:autoSpaceDN w:val="0"/>
              <w:adjustRightInd w:val="0"/>
              <w:ind w:right="21"/>
              <w:rPr>
                <w:rFonts w:ascii="Garamond" w:hAnsi="Garamond" w:cs="Times New Roman CYR"/>
                <w:sz w:val="22"/>
                <w:szCs w:val="22"/>
              </w:rPr>
            </w:pPr>
            <w:r w:rsidRPr="00D42866">
              <w:rPr>
                <w:rFonts w:ascii="Garamond" w:hAnsi="Garamond" w:cs="Times New Roman CYR"/>
                <w:sz w:val="22"/>
                <w:szCs w:val="22"/>
              </w:rPr>
              <w:t>8</w:t>
            </w:r>
          </w:p>
        </w:tc>
      </w:tr>
      <w:tr w:rsidR="004B3B82" w:rsidRPr="00D42866" w14:paraId="532EE54F" w14:textId="77777777" w:rsidTr="00CD3B05">
        <w:tc>
          <w:tcPr>
            <w:tcW w:w="10251" w:type="dxa"/>
            <w:gridSpan w:val="6"/>
          </w:tcPr>
          <w:p w14:paraId="6EA536A9" w14:textId="77777777" w:rsidR="004B3B82" w:rsidRPr="00D42866" w:rsidRDefault="004B3B82" w:rsidP="00CD3B05">
            <w:pPr>
              <w:overflowPunct w:val="0"/>
              <w:autoSpaceDE w:val="0"/>
              <w:autoSpaceDN w:val="0"/>
              <w:adjustRightInd w:val="0"/>
              <w:ind w:right="21"/>
              <w:jc w:val="center"/>
              <w:rPr>
                <w:rFonts w:ascii="Garamond" w:hAnsi="Garamond" w:cs="Times New Roman CYR"/>
                <w:sz w:val="22"/>
                <w:szCs w:val="22"/>
              </w:rPr>
            </w:pPr>
            <w:r w:rsidRPr="00D42866">
              <w:rPr>
                <w:rFonts w:ascii="Garamond" w:hAnsi="Garamond" w:cs="Times New Roman CYR"/>
                <w:sz w:val="22"/>
                <w:szCs w:val="22"/>
              </w:rPr>
              <w:t>Фаза С</w:t>
            </w:r>
          </w:p>
        </w:tc>
      </w:tr>
      <w:tr w:rsidR="004B3B82" w:rsidRPr="00D42866" w14:paraId="5BE22EB9" w14:textId="77777777" w:rsidTr="00CD3B05">
        <w:tc>
          <w:tcPr>
            <w:tcW w:w="1511" w:type="dxa"/>
          </w:tcPr>
          <w:p w14:paraId="491FE18A" w14:textId="77777777" w:rsidR="004B3B82" w:rsidRPr="00D42866" w:rsidRDefault="004B3B82" w:rsidP="00CD3B05">
            <w:pPr>
              <w:overflowPunct w:val="0"/>
              <w:autoSpaceDE w:val="0"/>
              <w:autoSpaceDN w:val="0"/>
              <w:adjustRightInd w:val="0"/>
              <w:ind w:right="21"/>
              <w:rPr>
                <w:rFonts w:ascii="Garamond" w:hAnsi="Garamond" w:cs="Times New Roman CYR"/>
                <w:sz w:val="22"/>
                <w:szCs w:val="22"/>
              </w:rPr>
            </w:pPr>
            <w:r w:rsidRPr="00D42866">
              <w:rPr>
                <w:rFonts w:ascii="Garamond" w:hAnsi="Garamond" w:cs="Times New Roman CYR"/>
                <w:sz w:val="22"/>
                <w:szCs w:val="22"/>
              </w:rPr>
              <w:t>Тип</w:t>
            </w:r>
          </w:p>
        </w:tc>
        <w:tc>
          <w:tcPr>
            <w:tcW w:w="2151" w:type="dxa"/>
          </w:tcPr>
          <w:p w14:paraId="671C3CCD" w14:textId="77777777" w:rsidR="004B3B82" w:rsidRPr="00D42866" w:rsidRDefault="004B3B82" w:rsidP="00CD3B05">
            <w:pPr>
              <w:overflowPunct w:val="0"/>
              <w:autoSpaceDE w:val="0"/>
              <w:autoSpaceDN w:val="0"/>
              <w:adjustRightInd w:val="0"/>
              <w:ind w:right="21"/>
              <w:rPr>
                <w:rFonts w:ascii="Garamond" w:hAnsi="Garamond" w:cs="Times New Roman CYR"/>
                <w:sz w:val="22"/>
                <w:szCs w:val="22"/>
                <w:lang w:val="en-US"/>
              </w:rPr>
            </w:pPr>
            <w:r w:rsidRPr="00D42866">
              <w:rPr>
                <w:rFonts w:ascii="Garamond" w:hAnsi="Garamond" w:cs="Times New Roman CYR"/>
                <w:sz w:val="22"/>
                <w:szCs w:val="22"/>
              </w:rPr>
              <w:t xml:space="preserve"> ЗНОЛ-СЭЩ-10-1</w:t>
            </w:r>
          </w:p>
        </w:tc>
        <w:tc>
          <w:tcPr>
            <w:tcW w:w="1762" w:type="dxa"/>
          </w:tcPr>
          <w:p w14:paraId="4155843A" w14:textId="77777777" w:rsidR="004B3B82" w:rsidRPr="00D42866" w:rsidRDefault="004B3B82" w:rsidP="00CD3B05">
            <w:pPr>
              <w:overflowPunct w:val="0"/>
              <w:autoSpaceDE w:val="0"/>
              <w:autoSpaceDN w:val="0"/>
              <w:adjustRightInd w:val="0"/>
              <w:ind w:right="21"/>
              <w:rPr>
                <w:rFonts w:ascii="Garamond" w:hAnsi="Garamond" w:cs="Times New Roman CYR"/>
                <w:sz w:val="22"/>
                <w:szCs w:val="22"/>
              </w:rPr>
            </w:pPr>
            <w:r w:rsidRPr="00D42866">
              <w:rPr>
                <w:rFonts w:ascii="Garamond" w:hAnsi="Garamond" w:cs="Times New Roman CYR"/>
                <w:sz w:val="22"/>
                <w:szCs w:val="22"/>
              </w:rPr>
              <w:t>Зав. №</w:t>
            </w:r>
          </w:p>
        </w:tc>
        <w:tc>
          <w:tcPr>
            <w:tcW w:w="1640" w:type="dxa"/>
          </w:tcPr>
          <w:p w14:paraId="08BE734D" w14:textId="77777777" w:rsidR="004B3B82" w:rsidRPr="00D42866" w:rsidRDefault="004B3B82" w:rsidP="00CD3B05">
            <w:pPr>
              <w:overflowPunct w:val="0"/>
              <w:autoSpaceDE w:val="0"/>
              <w:autoSpaceDN w:val="0"/>
              <w:adjustRightInd w:val="0"/>
              <w:ind w:right="21"/>
              <w:rPr>
                <w:rFonts w:ascii="Garamond" w:hAnsi="Garamond" w:cs="Times New Roman CYR"/>
                <w:sz w:val="22"/>
                <w:szCs w:val="22"/>
              </w:rPr>
            </w:pPr>
            <w:r w:rsidRPr="00D42866">
              <w:rPr>
                <w:rFonts w:ascii="Garamond" w:hAnsi="Garamond" w:cs="Times New Roman CYR"/>
                <w:sz w:val="22"/>
                <w:szCs w:val="22"/>
              </w:rPr>
              <w:t>02635-10</w:t>
            </w:r>
          </w:p>
        </w:tc>
        <w:tc>
          <w:tcPr>
            <w:tcW w:w="2350" w:type="dxa"/>
          </w:tcPr>
          <w:p w14:paraId="0D59F65E" w14:textId="77777777" w:rsidR="004B3B82" w:rsidRPr="00D42866" w:rsidRDefault="004B3B82" w:rsidP="00CD3B05">
            <w:pPr>
              <w:overflowPunct w:val="0"/>
              <w:autoSpaceDE w:val="0"/>
              <w:autoSpaceDN w:val="0"/>
              <w:adjustRightInd w:val="0"/>
              <w:ind w:right="21"/>
              <w:rPr>
                <w:rFonts w:ascii="Garamond" w:hAnsi="Garamond" w:cs="Times New Roman CYR"/>
                <w:sz w:val="22"/>
                <w:szCs w:val="22"/>
              </w:rPr>
            </w:pPr>
            <w:r w:rsidRPr="00D42866">
              <w:rPr>
                <w:rFonts w:ascii="Garamond" w:hAnsi="Garamond" w:cs="Times New Roman CYR"/>
                <w:sz w:val="22"/>
                <w:szCs w:val="22"/>
              </w:rPr>
              <w:t>Класс точности</w:t>
            </w:r>
          </w:p>
        </w:tc>
        <w:tc>
          <w:tcPr>
            <w:tcW w:w="837" w:type="dxa"/>
          </w:tcPr>
          <w:p w14:paraId="4F4D19C3" w14:textId="77777777" w:rsidR="004B3B82" w:rsidRPr="00D42866" w:rsidRDefault="004B3B82" w:rsidP="00CD3B05">
            <w:pPr>
              <w:overflowPunct w:val="0"/>
              <w:autoSpaceDE w:val="0"/>
              <w:autoSpaceDN w:val="0"/>
              <w:adjustRightInd w:val="0"/>
              <w:ind w:right="21"/>
              <w:rPr>
                <w:rFonts w:ascii="Garamond" w:hAnsi="Garamond" w:cs="Times New Roman CYR"/>
                <w:sz w:val="22"/>
                <w:szCs w:val="22"/>
              </w:rPr>
            </w:pPr>
            <w:r w:rsidRPr="00D42866">
              <w:rPr>
                <w:rFonts w:ascii="Garamond" w:hAnsi="Garamond" w:cs="Times New Roman CYR"/>
                <w:sz w:val="22"/>
                <w:szCs w:val="22"/>
              </w:rPr>
              <w:t>0.5</w:t>
            </w:r>
          </w:p>
        </w:tc>
      </w:tr>
      <w:tr w:rsidR="004B3B82" w:rsidRPr="00D42866" w14:paraId="79163FDA" w14:textId="77777777" w:rsidTr="00CD3B05">
        <w:tc>
          <w:tcPr>
            <w:tcW w:w="1511" w:type="dxa"/>
          </w:tcPr>
          <w:p w14:paraId="0F2743BB" w14:textId="77777777" w:rsidR="004B3B82" w:rsidRPr="00D42866" w:rsidRDefault="004B3B82" w:rsidP="00CD3B05">
            <w:pPr>
              <w:overflowPunct w:val="0"/>
              <w:autoSpaceDE w:val="0"/>
              <w:autoSpaceDN w:val="0"/>
              <w:adjustRightInd w:val="0"/>
              <w:ind w:right="21"/>
              <w:rPr>
                <w:rFonts w:ascii="Garamond" w:hAnsi="Garamond" w:cs="Times New Roman CYR"/>
                <w:sz w:val="22"/>
                <w:szCs w:val="22"/>
              </w:rPr>
            </w:pPr>
            <w:r w:rsidRPr="00D42866">
              <w:rPr>
                <w:rFonts w:ascii="Garamond" w:hAnsi="Garamond" w:cs="Times New Roman CYR"/>
                <w:sz w:val="22"/>
                <w:szCs w:val="22"/>
              </w:rPr>
              <w:t>Коэф. трансформ.</w:t>
            </w:r>
          </w:p>
        </w:tc>
        <w:tc>
          <w:tcPr>
            <w:tcW w:w="2151" w:type="dxa"/>
          </w:tcPr>
          <w:p w14:paraId="705E0C36" w14:textId="77777777" w:rsidR="004B3B82" w:rsidRPr="00D42866" w:rsidRDefault="004B3B82" w:rsidP="00CD3B05">
            <w:pPr>
              <w:overflowPunct w:val="0"/>
              <w:autoSpaceDE w:val="0"/>
              <w:autoSpaceDN w:val="0"/>
              <w:adjustRightInd w:val="0"/>
              <w:ind w:right="21"/>
              <w:rPr>
                <w:rFonts w:ascii="Garamond" w:hAnsi="Garamond" w:cs="Times New Roman CYR"/>
                <w:sz w:val="22"/>
                <w:szCs w:val="22"/>
              </w:rPr>
            </w:pPr>
            <w:r w:rsidRPr="00D42866">
              <w:rPr>
                <w:rFonts w:ascii="Garamond" w:hAnsi="Garamond" w:cs="Times New Roman CYR"/>
                <w:sz w:val="22"/>
                <w:szCs w:val="22"/>
              </w:rPr>
              <w:t>10000/√3:100/√3</w:t>
            </w:r>
          </w:p>
        </w:tc>
        <w:tc>
          <w:tcPr>
            <w:tcW w:w="1762" w:type="dxa"/>
          </w:tcPr>
          <w:p w14:paraId="6307650F" w14:textId="77777777" w:rsidR="004B3B82" w:rsidRPr="00D42866" w:rsidRDefault="004B3B82" w:rsidP="00CD3B05">
            <w:pPr>
              <w:overflowPunct w:val="0"/>
              <w:autoSpaceDE w:val="0"/>
              <w:autoSpaceDN w:val="0"/>
              <w:adjustRightInd w:val="0"/>
              <w:ind w:right="21"/>
              <w:rPr>
                <w:rFonts w:ascii="Garamond" w:hAnsi="Garamond" w:cs="Times New Roman CYR"/>
                <w:sz w:val="22"/>
                <w:szCs w:val="22"/>
              </w:rPr>
            </w:pPr>
            <w:r w:rsidRPr="00D42866">
              <w:rPr>
                <w:rFonts w:ascii="Garamond" w:hAnsi="Garamond" w:cs="Times New Roman CYR"/>
                <w:sz w:val="22"/>
                <w:szCs w:val="22"/>
              </w:rPr>
              <w:t>Номинальная мощность, ВА*</w:t>
            </w:r>
          </w:p>
        </w:tc>
        <w:tc>
          <w:tcPr>
            <w:tcW w:w="1640" w:type="dxa"/>
          </w:tcPr>
          <w:p w14:paraId="2DBCCA97" w14:textId="77777777" w:rsidR="004B3B82" w:rsidRPr="00D42866" w:rsidRDefault="004B3B82" w:rsidP="00CD3B05">
            <w:pPr>
              <w:overflowPunct w:val="0"/>
              <w:autoSpaceDE w:val="0"/>
              <w:autoSpaceDN w:val="0"/>
              <w:adjustRightInd w:val="0"/>
              <w:ind w:right="21"/>
              <w:rPr>
                <w:rFonts w:ascii="Garamond" w:hAnsi="Garamond" w:cs="Times New Roman CYR"/>
                <w:sz w:val="22"/>
                <w:szCs w:val="22"/>
              </w:rPr>
            </w:pPr>
            <w:r w:rsidRPr="00D42866">
              <w:rPr>
                <w:rFonts w:ascii="Garamond" w:hAnsi="Garamond" w:cs="Times New Roman CYR"/>
                <w:sz w:val="22"/>
                <w:szCs w:val="22"/>
              </w:rPr>
              <w:t>75</w:t>
            </w:r>
          </w:p>
        </w:tc>
        <w:tc>
          <w:tcPr>
            <w:tcW w:w="2350" w:type="dxa"/>
          </w:tcPr>
          <w:p w14:paraId="3EB4CA0A" w14:textId="77777777" w:rsidR="004B3B82" w:rsidRPr="00D42866" w:rsidRDefault="004B3B82" w:rsidP="00CD3B05">
            <w:pPr>
              <w:overflowPunct w:val="0"/>
              <w:autoSpaceDE w:val="0"/>
              <w:autoSpaceDN w:val="0"/>
              <w:adjustRightInd w:val="0"/>
              <w:ind w:right="21"/>
              <w:rPr>
                <w:rFonts w:ascii="Garamond" w:hAnsi="Garamond" w:cs="Times New Roman CYR"/>
                <w:sz w:val="22"/>
                <w:szCs w:val="22"/>
              </w:rPr>
            </w:pPr>
            <w:r w:rsidRPr="00D42866">
              <w:rPr>
                <w:rFonts w:ascii="Garamond" w:hAnsi="Garamond" w:cs="Times New Roman CYR"/>
                <w:sz w:val="22"/>
                <w:szCs w:val="22"/>
              </w:rPr>
              <w:t>Факт. нагрузка, ВА*</w:t>
            </w:r>
          </w:p>
        </w:tc>
        <w:tc>
          <w:tcPr>
            <w:tcW w:w="837" w:type="dxa"/>
          </w:tcPr>
          <w:p w14:paraId="38B7AA8A" w14:textId="77777777" w:rsidR="004B3B82" w:rsidRPr="00D42866" w:rsidRDefault="004B3B82" w:rsidP="00CD3B05">
            <w:pPr>
              <w:overflowPunct w:val="0"/>
              <w:autoSpaceDE w:val="0"/>
              <w:autoSpaceDN w:val="0"/>
              <w:adjustRightInd w:val="0"/>
              <w:ind w:right="21"/>
              <w:rPr>
                <w:rFonts w:ascii="Garamond" w:hAnsi="Garamond" w:cs="Times New Roman CYR"/>
                <w:sz w:val="22"/>
                <w:szCs w:val="22"/>
              </w:rPr>
            </w:pPr>
            <w:r w:rsidRPr="00D42866">
              <w:rPr>
                <w:rFonts w:ascii="Garamond" w:hAnsi="Garamond" w:cs="Times New Roman CYR"/>
                <w:sz w:val="22"/>
                <w:szCs w:val="22"/>
              </w:rPr>
              <w:t>64</w:t>
            </w:r>
          </w:p>
        </w:tc>
      </w:tr>
      <w:tr w:rsidR="004B3B82" w:rsidRPr="00D42866" w14:paraId="3A3A281F" w14:textId="77777777" w:rsidTr="00CD3B05">
        <w:tc>
          <w:tcPr>
            <w:tcW w:w="1511" w:type="dxa"/>
          </w:tcPr>
          <w:p w14:paraId="659C9896" w14:textId="77777777" w:rsidR="004B3B82" w:rsidRPr="00D42866" w:rsidRDefault="004B3B82" w:rsidP="00CD3B05">
            <w:pPr>
              <w:overflowPunct w:val="0"/>
              <w:autoSpaceDE w:val="0"/>
              <w:autoSpaceDN w:val="0"/>
              <w:adjustRightInd w:val="0"/>
              <w:ind w:right="21"/>
              <w:rPr>
                <w:rFonts w:ascii="Garamond" w:hAnsi="Garamond" w:cs="Times New Roman CYR"/>
                <w:sz w:val="22"/>
                <w:szCs w:val="22"/>
              </w:rPr>
            </w:pPr>
            <w:r w:rsidRPr="00D42866">
              <w:rPr>
                <w:rFonts w:ascii="Garamond" w:hAnsi="Garamond" w:cs="Times New Roman CYR"/>
                <w:sz w:val="22"/>
                <w:szCs w:val="22"/>
              </w:rPr>
              <w:t>Госреестр №</w:t>
            </w:r>
          </w:p>
        </w:tc>
        <w:tc>
          <w:tcPr>
            <w:tcW w:w="2151" w:type="dxa"/>
          </w:tcPr>
          <w:p w14:paraId="43969F37" w14:textId="77777777" w:rsidR="004B3B82" w:rsidRPr="00D42866" w:rsidRDefault="004B3B82" w:rsidP="00CD3B05">
            <w:pPr>
              <w:overflowPunct w:val="0"/>
              <w:autoSpaceDE w:val="0"/>
              <w:autoSpaceDN w:val="0"/>
              <w:adjustRightInd w:val="0"/>
              <w:ind w:right="21"/>
              <w:rPr>
                <w:rFonts w:ascii="Garamond" w:hAnsi="Garamond" w:cs="Times New Roman CYR"/>
                <w:sz w:val="22"/>
                <w:szCs w:val="22"/>
              </w:rPr>
            </w:pPr>
            <w:r w:rsidRPr="00D42866">
              <w:rPr>
                <w:rFonts w:ascii="Garamond" w:hAnsi="Garamond" w:cs="Times New Roman CYR"/>
                <w:sz w:val="22"/>
                <w:szCs w:val="22"/>
              </w:rPr>
              <w:t>55024-13</w:t>
            </w:r>
          </w:p>
        </w:tc>
        <w:tc>
          <w:tcPr>
            <w:tcW w:w="1762" w:type="dxa"/>
          </w:tcPr>
          <w:p w14:paraId="0466C9F7" w14:textId="77777777" w:rsidR="004B3B82" w:rsidRPr="00D42866" w:rsidRDefault="004B3B82" w:rsidP="00CD3B05">
            <w:pPr>
              <w:overflowPunct w:val="0"/>
              <w:autoSpaceDE w:val="0"/>
              <w:autoSpaceDN w:val="0"/>
              <w:adjustRightInd w:val="0"/>
              <w:ind w:right="21"/>
              <w:rPr>
                <w:rFonts w:ascii="Garamond" w:hAnsi="Garamond" w:cs="Times New Roman CYR"/>
                <w:sz w:val="22"/>
                <w:szCs w:val="22"/>
              </w:rPr>
            </w:pPr>
            <w:r w:rsidRPr="00D42866">
              <w:rPr>
                <w:rFonts w:ascii="Garamond" w:hAnsi="Garamond" w:cs="Times New Roman CYR"/>
                <w:sz w:val="22"/>
                <w:szCs w:val="22"/>
              </w:rPr>
              <w:t>Дата последней поверки</w:t>
            </w:r>
          </w:p>
        </w:tc>
        <w:tc>
          <w:tcPr>
            <w:tcW w:w="1640" w:type="dxa"/>
          </w:tcPr>
          <w:p w14:paraId="765EB90E" w14:textId="77777777" w:rsidR="004B3B82" w:rsidRPr="00D42866" w:rsidRDefault="004B3B82" w:rsidP="00CD3B05">
            <w:pPr>
              <w:overflowPunct w:val="0"/>
              <w:autoSpaceDE w:val="0"/>
              <w:autoSpaceDN w:val="0"/>
              <w:adjustRightInd w:val="0"/>
              <w:ind w:right="21"/>
              <w:rPr>
                <w:rFonts w:ascii="Garamond" w:hAnsi="Garamond" w:cs="Times New Roman CYR"/>
                <w:sz w:val="22"/>
                <w:szCs w:val="22"/>
              </w:rPr>
            </w:pPr>
            <w:r w:rsidRPr="00D42866">
              <w:rPr>
                <w:rFonts w:ascii="Garamond" w:hAnsi="Garamond" w:cs="Times New Roman CYR"/>
                <w:sz w:val="22"/>
                <w:szCs w:val="22"/>
              </w:rPr>
              <w:t>01.04.2019</w:t>
            </w:r>
          </w:p>
        </w:tc>
        <w:tc>
          <w:tcPr>
            <w:tcW w:w="2350" w:type="dxa"/>
          </w:tcPr>
          <w:p w14:paraId="2AEE545C" w14:textId="77777777" w:rsidR="004B3B82" w:rsidRPr="00D42866" w:rsidRDefault="004B3B82" w:rsidP="00CD3B05">
            <w:pPr>
              <w:overflowPunct w:val="0"/>
              <w:autoSpaceDE w:val="0"/>
              <w:autoSpaceDN w:val="0"/>
              <w:adjustRightInd w:val="0"/>
              <w:ind w:right="21"/>
              <w:rPr>
                <w:rFonts w:ascii="Garamond" w:hAnsi="Garamond" w:cs="Times New Roman CYR"/>
                <w:sz w:val="22"/>
                <w:szCs w:val="22"/>
              </w:rPr>
            </w:pPr>
            <w:r w:rsidRPr="00D42866">
              <w:rPr>
                <w:rFonts w:ascii="Garamond" w:hAnsi="Garamond" w:cs="Times New Roman CYR"/>
                <w:sz w:val="22"/>
                <w:szCs w:val="22"/>
              </w:rPr>
              <w:t>Межповерочный интервал, лет</w:t>
            </w:r>
          </w:p>
        </w:tc>
        <w:tc>
          <w:tcPr>
            <w:tcW w:w="837" w:type="dxa"/>
          </w:tcPr>
          <w:p w14:paraId="14271415" w14:textId="77777777" w:rsidR="004B3B82" w:rsidRPr="00D42866" w:rsidRDefault="004B3B82" w:rsidP="00CD3B05">
            <w:pPr>
              <w:overflowPunct w:val="0"/>
              <w:autoSpaceDE w:val="0"/>
              <w:autoSpaceDN w:val="0"/>
              <w:adjustRightInd w:val="0"/>
              <w:ind w:right="21"/>
              <w:rPr>
                <w:rFonts w:ascii="Garamond" w:hAnsi="Garamond" w:cs="Times New Roman CYR"/>
                <w:sz w:val="22"/>
                <w:szCs w:val="22"/>
              </w:rPr>
            </w:pPr>
            <w:r w:rsidRPr="00D42866">
              <w:rPr>
                <w:rFonts w:ascii="Garamond" w:hAnsi="Garamond" w:cs="Times New Roman CYR"/>
                <w:sz w:val="22"/>
                <w:szCs w:val="22"/>
              </w:rPr>
              <w:t>8</w:t>
            </w:r>
          </w:p>
        </w:tc>
      </w:tr>
    </w:tbl>
    <w:p w14:paraId="6421F378" w14:textId="77777777" w:rsidR="004B3B82" w:rsidRPr="00D42866" w:rsidRDefault="004B3B82" w:rsidP="00101F7C">
      <w:pPr>
        <w:overflowPunct w:val="0"/>
        <w:autoSpaceDE w:val="0"/>
        <w:autoSpaceDN w:val="0"/>
        <w:adjustRightInd w:val="0"/>
        <w:rPr>
          <w:rFonts w:ascii="Garamond" w:hAnsi="Garamond" w:cs="Times New Roman CYR"/>
          <w:sz w:val="22"/>
          <w:szCs w:val="22"/>
        </w:rPr>
      </w:pPr>
    </w:p>
    <w:p w14:paraId="05862401" w14:textId="77777777" w:rsidR="004B3B82" w:rsidRPr="00D42866" w:rsidRDefault="004B3B82" w:rsidP="00101F7C">
      <w:pPr>
        <w:overflowPunct w:val="0"/>
        <w:autoSpaceDE w:val="0"/>
        <w:autoSpaceDN w:val="0"/>
        <w:adjustRightInd w:val="0"/>
        <w:rPr>
          <w:rFonts w:ascii="Garamond" w:hAnsi="Garamond" w:cs="Times New Roman CYR"/>
        </w:rPr>
      </w:pPr>
      <w:r w:rsidRPr="00D42866">
        <w:rPr>
          <w:rFonts w:ascii="Garamond" w:hAnsi="Garamond" w:cs="Times New Roman CYR"/>
        </w:rPr>
        <w:t>* Не применимо для измерительных трансформаторов с цифровым выходом.</w:t>
      </w:r>
    </w:p>
    <w:p w14:paraId="061FF2F0" w14:textId="77777777" w:rsidR="004B3B82" w:rsidRPr="00D42866" w:rsidRDefault="004B3B82" w:rsidP="00101F7C">
      <w:pPr>
        <w:overflowPunct w:val="0"/>
        <w:autoSpaceDE w:val="0"/>
        <w:autoSpaceDN w:val="0"/>
        <w:adjustRightInd w:val="0"/>
        <w:rPr>
          <w:rFonts w:ascii="Garamond" w:hAnsi="Garamond" w:cs="Times New Roman CYR"/>
          <w:i/>
        </w:rPr>
      </w:pPr>
    </w:p>
    <w:p w14:paraId="12B799FC" w14:textId="77777777" w:rsidR="004B3B82" w:rsidRPr="00D42866" w:rsidRDefault="004B3B82" w:rsidP="00101F7C">
      <w:pPr>
        <w:overflowPunct w:val="0"/>
        <w:autoSpaceDE w:val="0"/>
        <w:autoSpaceDN w:val="0"/>
        <w:adjustRightInd w:val="0"/>
        <w:rPr>
          <w:rFonts w:ascii="Garamond" w:hAnsi="Garamond" w:cs="Times New Roman CYR"/>
        </w:rPr>
      </w:pPr>
      <w:r w:rsidRPr="00D42866">
        <w:rPr>
          <w:rFonts w:ascii="Garamond" w:hAnsi="Garamond" w:cs="Times New Roman CYR"/>
          <w:i/>
        </w:rPr>
        <w:t xml:space="preserve">Примечание. </w:t>
      </w:r>
      <w:r w:rsidRPr="00D42866">
        <w:rPr>
          <w:rFonts w:ascii="Garamond" w:hAnsi="Garamond" w:cs="Times New Roman CYR"/>
        </w:rPr>
        <w:t>Для ТН трехфазного исполнения могут быть указаны допустимые и фактические трехфазные нагрузки.</w:t>
      </w:r>
    </w:p>
    <w:p w14:paraId="289B2640" w14:textId="77777777" w:rsidR="004B3B82" w:rsidRPr="00D42866" w:rsidRDefault="004B3B82" w:rsidP="00101F7C">
      <w:pPr>
        <w:overflowPunct w:val="0"/>
        <w:autoSpaceDE w:val="0"/>
        <w:autoSpaceDN w:val="0"/>
        <w:adjustRightInd w:val="0"/>
        <w:jc w:val="both"/>
        <w:rPr>
          <w:rFonts w:ascii="Garamond" w:hAnsi="Garamond" w:cs="Times New Roman CYR"/>
        </w:rPr>
      </w:pPr>
    </w:p>
    <w:p w14:paraId="63172696" w14:textId="77777777" w:rsidR="004B3B82" w:rsidRPr="00D42866" w:rsidRDefault="004B3B82" w:rsidP="00101F7C">
      <w:pPr>
        <w:overflowPunct w:val="0"/>
        <w:autoSpaceDE w:val="0"/>
        <w:autoSpaceDN w:val="0"/>
        <w:adjustRightInd w:val="0"/>
        <w:jc w:val="both"/>
        <w:rPr>
          <w:rFonts w:ascii="Garamond" w:hAnsi="Garamond" w:cs="Times New Roman CYR"/>
          <w:sz w:val="22"/>
          <w:szCs w:val="22"/>
        </w:rPr>
      </w:pPr>
      <w:r w:rsidRPr="00D42866">
        <w:rPr>
          <w:rFonts w:ascii="Garamond" w:hAnsi="Garamond" w:cs="Times New Roman CYR"/>
          <w:sz w:val="22"/>
          <w:szCs w:val="22"/>
        </w:rPr>
        <w:t>5. Схема соединения измерительных цепей приведена _______________________________</w:t>
      </w:r>
    </w:p>
    <w:p w14:paraId="0A303152" w14:textId="77777777" w:rsidR="004B3B82" w:rsidRPr="00D42866" w:rsidRDefault="004B3B82" w:rsidP="00101F7C">
      <w:pPr>
        <w:widowControl w:val="0"/>
        <w:overflowPunct w:val="0"/>
        <w:autoSpaceDE w:val="0"/>
        <w:autoSpaceDN w:val="0"/>
        <w:adjustRightInd w:val="0"/>
        <w:ind w:left="720"/>
        <w:jc w:val="right"/>
        <w:rPr>
          <w:rFonts w:ascii="Garamond" w:hAnsi="Garamond" w:cs="Times New Roman CYR"/>
        </w:rPr>
      </w:pPr>
      <w:r w:rsidRPr="00D42866">
        <w:rPr>
          <w:rFonts w:ascii="Garamond" w:hAnsi="Garamond" w:cs="Times New Roman CYR"/>
        </w:rPr>
        <w:t>указывается ссылка на соответствующий лист технической документации АИИС КУЭ</w:t>
      </w:r>
    </w:p>
    <w:p w14:paraId="75E0CEAF" w14:textId="77777777" w:rsidR="004B3B82" w:rsidRPr="00D42866" w:rsidRDefault="004B3B82" w:rsidP="00101F7C">
      <w:pPr>
        <w:overflowPunct w:val="0"/>
        <w:autoSpaceDE w:val="0"/>
        <w:autoSpaceDN w:val="0"/>
        <w:adjustRightInd w:val="0"/>
        <w:jc w:val="both"/>
        <w:rPr>
          <w:rFonts w:ascii="Garamond" w:hAnsi="Garamond" w:cs="Times New Roman CYR"/>
          <w:sz w:val="22"/>
          <w:szCs w:val="22"/>
        </w:rPr>
      </w:pPr>
    </w:p>
    <w:p w14:paraId="4C65FCBF" w14:textId="77777777" w:rsidR="004B3B82" w:rsidRPr="00D42866" w:rsidRDefault="004B3B82" w:rsidP="00101F7C">
      <w:pPr>
        <w:overflowPunct w:val="0"/>
        <w:autoSpaceDE w:val="0"/>
        <w:autoSpaceDN w:val="0"/>
        <w:adjustRightInd w:val="0"/>
        <w:rPr>
          <w:rFonts w:ascii="Garamond" w:hAnsi="Garamond" w:cs="Times New Roman CYR"/>
          <w:sz w:val="22"/>
          <w:szCs w:val="22"/>
        </w:rPr>
      </w:pPr>
      <w:r w:rsidRPr="00D42866">
        <w:rPr>
          <w:rFonts w:ascii="Garamond" w:hAnsi="Garamond" w:cs="Times New Roman CYR"/>
          <w:sz w:val="22"/>
          <w:szCs w:val="22"/>
        </w:rPr>
        <w:t xml:space="preserve">Потери напряжения от ТН до </w:t>
      </w:r>
      <w:r>
        <w:rPr>
          <w:rFonts w:ascii="Garamond" w:hAnsi="Garamond" w:cs="Times New Roman CYR"/>
          <w:sz w:val="22"/>
          <w:szCs w:val="22"/>
          <w:highlight w:val="yellow"/>
        </w:rPr>
        <w:t>прибора учет</w:t>
      </w:r>
      <w:r w:rsidRPr="00265913">
        <w:rPr>
          <w:rFonts w:ascii="Garamond" w:hAnsi="Garamond" w:cs="Times New Roman CYR"/>
          <w:sz w:val="22"/>
          <w:szCs w:val="22"/>
          <w:highlight w:val="yellow"/>
        </w:rPr>
        <w:t>а</w:t>
      </w:r>
      <w:r w:rsidRPr="00D42866">
        <w:rPr>
          <w:rFonts w:ascii="Garamond" w:hAnsi="Garamond"/>
          <w:sz w:val="22"/>
          <w:szCs w:val="22"/>
        </w:rPr>
        <w:t xml:space="preserve"> </w:t>
      </w:r>
      <w:r w:rsidRPr="00D42866">
        <w:rPr>
          <w:rFonts w:ascii="Garamond" w:hAnsi="Garamond"/>
          <w:bCs/>
          <w:sz w:val="22"/>
          <w:szCs w:val="22"/>
        </w:rPr>
        <w:t>во вторичных аналоговых измерительных цепях</w:t>
      </w:r>
      <w:r w:rsidRPr="00D42866">
        <w:rPr>
          <w:rFonts w:ascii="Garamond" w:hAnsi="Garamond" w:cs="Times New Roman CYR"/>
          <w:sz w:val="22"/>
          <w:szCs w:val="22"/>
        </w:rPr>
        <w:t>:</w:t>
      </w:r>
    </w:p>
    <w:p w14:paraId="7F9DF7E3" w14:textId="77777777" w:rsidR="004B3B82" w:rsidRPr="00D42866" w:rsidRDefault="004B3B82" w:rsidP="00101F7C">
      <w:pPr>
        <w:overflowPunct w:val="0"/>
        <w:autoSpaceDE w:val="0"/>
        <w:autoSpaceDN w:val="0"/>
        <w:adjustRightInd w:val="0"/>
        <w:ind w:firstLine="708"/>
        <w:rPr>
          <w:rFonts w:ascii="Garamond" w:hAnsi="Garamond" w:cs="Times New Roman CYR"/>
          <w:sz w:val="22"/>
          <w:szCs w:val="22"/>
        </w:rPr>
      </w:pPr>
      <w:r w:rsidRPr="00D42866">
        <w:rPr>
          <w:rFonts w:ascii="Garamond" w:hAnsi="Garamond" w:cs="Times New Roman CYR"/>
          <w:sz w:val="22"/>
          <w:szCs w:val="22"/>
        </w:rPr>
        <w:t>допустимое значение _</w:t>
      </w:r>
      <w:r w:rsidRPr="00D42866">
        <w:rPr>
          <w:rFonts w:ascii="Garamond" w:hAnsi="Garamond"/>
          <w:sz w:val="22"/>
          <w:szCs w:val="22"/>
        </w:rPr>
        <w:t>______________</w:t>
      </w:r>
    </w:p>
    <w:p w14:paraId="6A3BAAC3" w14:textId="77777777" w:rsidR="004B3B82" w:rsidRPr="00D42866" w:rsidRDefault="004B3B82" w:rsidP="00101F7C">
      <w:pPr>
        <w:overflowPunct w:val="0"/>
        <w:autoSpaceDE w:val="0"/>
        <w:autoSpaceDN w:val="0"/>
        <w:adjustRightInd w:val="0"/>
        <w:ind w:firstLine="708"/>
        <w:rPr>
          <w:rFonts w:ascii="Garamond" w:hAnsi="Garamond" w:cs="Times New Roman CYR"/>
          <w:sz w:val="22"/>
          <w:szCs w:val="22"/>
        </w:rPr>
      </w:pPr>
      <w:r w:rsidRPr="00D42866">
        <w:rPr>
          <w:rFonts w:ascii="Garamond" w:hAnsi="Garamond" w:cs="Times New Roman CYR"/>
          <w:sz w:val="22"/>
          <w:szCs w:val="22"/>
        </w:rPr>
        <w:t>фактическое значение _</w:t>
      </w:r>
      <w:r w:rsidRPr="00D42866">
        <w:rPr>
          <w:rFonts w:ascii="Garamond" w:hAnsi="Garamond"/>
          <w:sz w:val="22"/>
          <w:szCs w:val="22"/>
        </w:rPr>
        <w:t>______________.</w:t>
      </w:r>
    </w:p>
    <w:p w14:paraId="0E12D8E1" w14:textId="77777777" w:rsidR="004B3B82" w:rsidRPr="00D42866" w:rsidRDefault="004B3B82" w:rsidP="00101F7C">
      <w:pPr>
        <w:overflowPunct w:val="0"/>
        <w:autoSpaceDE w:val="0"/>
        <w:autoSpaceDN w:val="0"/>
        <w:adjustRightInd w:val="0"/>
        <w:rPr>
          <w:rFonts w:ascii="Garamond" w:hAnsi="Garamond" w:cs="Times New Roman CYR"/>
          <w:sz w:val="22"/>
          <w:szCs w:val="22"/>
        </w:rPr>
      </w:pPr>
    </w:p>
    <w:p w14:paraId="0416E1A5" w14:textId="77777777" w:rsidR="004B3B82" w:rsidRPr="00D42866" w:rsidRDefault="004B3B82" w:rsidP="00101F7C">
      <w:pPr>
        <w:overflowPunct w:val="0"/>
        <w:autoSpaceDE w:val="0"/>
        <w:autoSpaceDN w:val="0"/>
        <w:adjustRightInd w:val="0"/>
        <w:rPr>
          <w:rFonts w:ascii="Garamond" w:hAnsi="Garamond" w:cs="Times New Roman CYR"/>
          <w:sz w:val="22"/>
          <w:szCs w:val="22"/>
        </w:rPr>
      </w:pPr>
      <w:r w:rsidRPr="00D42866">
        <w:rPr>
          <w:rFonts w:ascii="Garamond" w:hAnsi="Garamond" w:cs="Times New Roman CYR"/>
          <w:sz w:val="22"/>
          <w:szCs w:val="22"/>
        </w:rPr>
        <w:t>6. Погрешность ИИК (расчетная) ___________________________________________________________</w:t>
      </w:r>
    </w:p>
    <w:p w14:paraId="7CDB295D" w14:textId="77777777" w:rsidR="004B3B82" w:rsidRPr="00D42866" w:rsidRDefault="004B3B82" w:rsidP="00101F7C">
      <w:pPr>
        <w:overflowPunct w:val="0"/>
        <w:autoSpaceDE w:val="0"/>
        <w:autoSpaceDN w:val="0"/>
        <w:adjustRightInd w:val="0"/>
        <w:rPr>
          <w:rFonts w:ascii="Garamond" w:hAnsi="Garamond" w:cs="Times New Roman CYR"/>
          <w:sz w:val="22"/>
          <w:szCs w:val="22"/>
        </w:rPr>
      </w:pPr>
    </w:p>
    <w:p w14:paraId="7ECEDE5A" w14:textId="77777777" w:rsidR="004B3B82" w:rsidRPr="00D42866" w:rsidRDefault="004B3B82" w:rsidP="00101F7C">
      <w:pPr>
        <w:overflowPunct w:val="0"/>
        <w:autoSpaceDE w:val="0"/>
        <w:autoSpaceDN w:val="0"/>
        <w:adjustRightInd w:val="0"/>
        <w:rPr>
          <w:rFonts w:ascii="Garamond" w:hAnsi="Garamond" w:cs="Times New Roman CYR"/>
          <w:sz w:val="22"/>
          <w:szCs w:val="22"/>
        </w:rPr>
      </w:pPr>
      <w:r w:rsidRPr="00D42866">
        <w:rPr>
          <w:rFonts w:ascii="Garamond" w:hAnsi="Garamond" w:cs="Times New Roman CYR"/>
          <w:sz w:val="22"/>
          <w:szCs w:val="22"/>
        </w:rPr>
        <w:t>7. Дополнительные сведения о ИИК (вносились ли изменения) _______________________________________________________________________________________</w:t>
      </w:r>
    </w:p>
    <w:p w14:paraId="61350F6A" w14:textId="77777777" w:rsidR="004B3B82" w:rsidRPr="00D42866" w:rsidRDefault="004B3B82" w:rsidP="00101F7C">
      <w:pPr>
        <w:overflowPunct w:val="0"/>
        <w:autoSpaceDE w:val="0"/>
        <w:autoSpaceDN w:val="0"/>
        <w:adjustRightInd w:val="0"/>
        <w:rPr>
          <w:rFonts w:ascii="Garamond" w:hAnsi="Garamond" w:cs="Times New Roman CYR"/>
          <w:sz w:val="22"/>
          <w:szCs w:val="22"/>
        </w:rPr>
      </w:pPr>
    </w:p>
    <w:p w14:paraId="4B9D44ED" w14:textId="77777777" w:rsidR="004B3B82" w:rsidRPr="00D42866" w:rsidRDefault="004B3B82" w:rsidP="00101F7C">
      <w:pPr>
        <w:overflowPunct w:val="0"/>
        <w:autoSpaceDE w:val="0"/>
        <w:autoSpaceDN w:val="0"/>
        <w:adjustRightInd w:val="0"/>
        <w:rPr>
          <w:rFonts w:ascii="Garamond" w:hAnsi="Garamond" w:cs="Times New Roman CYR"/>
          <w:sz w:val="22"/>
          <w:szCs w:val="22"/>
        </w:rPr>
      </w:pPr>
      <w:r w:rsidRPr="00D42866">
        <w:rPr>
          <w:rFonts w:ascii="Garamond" w:hAnsi="Garamond" w:cs="Times New Roman CYR"/>
          <w:sz w:val="22"/>
          <w:szCs w:val="22"/>
        </w:rPr>
        <w:t>8. Перечень выполненных работ на момент составления паспорта-протокола:</w:t>
      </w:r>
    </w:p>
    <w:p w14:paraId="6B6A15C1" w14:textId="77777777" w:rsidR="004B3B82" w:rsidRPr="00D42866" w:rsidRDefault="004B3B82" w:rsidP="00101F7C">
      <w:pPr>
        <w:overflowPunct w:val="0"/>
        <w:autoSpaceDE w:val="0"/>
        <w:autoSpaceDN w:val="0"/>
        <w:adjustRightInd w:val="0"/>
        <w:rPr>
          <w:rFonts w:ascii="Garamond" w:hAnsi="Garamond" w:cs="Times New Roman CYR"/>
          <w:sz w:val="22"/>
          <w:szCs w:val="22"/>
        </w:rPr>
      </w:pPr>
      <w:r w:rsidRPr="00D42866">
        <w:rPr>
          <w:rFonts w:ascii="Garamond" w:hAnsi="Garamond" w:cs="Times New Roman CYR"/>
          <w:sz w:val="22"/>
          <w:szCs w:val="22"/>
        </w:rPr>
        <w:t>_______________________________________________________________________________________</w:t>
      </w:r>
    </w:p>
    <w:p w14:paraId="5FD18F43" w14:textId="77777777" w:rsidR="004B3B82" w:rsidRPr="00D42866" w:rsidRDefault="004B3B82" w:rsidP="00101F7C">
      <w:pPr>
        <w:overflowPunct w:val="0"/>
        <w:autoSpaceDE w:val="0"/>
        <w:autoSpaceDN w:val="0"/>
        <w:adjustRightInd w:val="0"/>
        <w:rPr>
          <w:rFonts w:ascii="Garamond" w:hAnsi="Garamond" w:cs="Times New Roman CYR"/>
          <w:sz w:val="22"/>
          <w:szCs w:val="22"/>
        </w:rPr>
      </w:pPr>
      <w:r w:rsidRPr="00D42866">
        <w:rPr>
          <w:rFonts w:ascii="Garamond" w:hAnsi="Garamond" w:cs="Times New Roman CYR"/>
          <w:sz w:val="22"/>
          <w:szCs w:val="22"/>
        </w:rPr>
        <w:t>_______________________________________________________________________________________</w:t>
      </w:r>
    </w:p>
    <w:p w14:paraId="0571EAD0" w14:textId="77777777" w:rsidR="004B3B82" w:rsidRPr="00D42866" w:rsidRDefault="004B3B82" w:rsidP="00101F7C">
      <w:pPr>
        <w:overflowPunct w:val="0"/>
        <w:autoSpaceDE w:val="0"/>
        <w:autoSpaceDN w:val="0"/>
        <w:adjustRightInd w:val="0"/>
        <w:rPr>
          <w:rFonts w:ascii="Garamond" w:hAnsi="Garamond" w:cs="Times New Roman CYR"/>
          <w:strike/>
          <w:sz w:val="22"/>
          <w:szCs w:val="22"/>
        </w:rPr>
      </w:pPr>
    </w:p>
    <w:p w14:paraId="7E49EF7F" w14:textId="77777777" w:rsidR="004B3B82" w:rsidRPr="00D42866" w:rsidRDefault="004B3B82" w:rsidP="00101F7C">
      <w:pPr>
        <w:overflowPunct w:val="0"/>
        <w:autoSpaceDE w:val="0"/>
        <w:autoSpaceDN w:val="0"/>
        <w:adjustRightInd w:val="0"/>
        <w:rPr>
          <w:rFonts w:ascii="Garamond" w:hAnsi="Garamond" w:cs="Times New Roman CYR"/>
          <w:sz w:val="22"/>
          <w:szCs w:val="22"/>
        </w:rPr>
      </w:pPr>
      <w:r w:rsidRPr="00D42866">
        <w:rPr>
          <w:rFonts w:ascii="Garamond" w:hAnsi="Garamond" w:cs="Times New Roman CYR"/>
          <w:sz w:val="22"/>
          <w:szCs w:val="22"/>
        </w:rPr>
        <w:t>9. Перечень приборов, применявшихся при проведении ревизии ИИК:</w:t>
      </w:r>
    </w:p>
    <w:p w14:paraId="7575D558" w14:textId="77777777" w:rsidR="004B3B82" w:rsidRPr="00D42866" w:rsidRDefault="004B3B82" w:rsidP="00101F7C">
      <w:pPr>
        <w:overflowPunct w:val="0"/>
        <w:autoSpaceDE w:val="0"/>
        <w:autoSpaceDN w:val="0"/>
        <w:adjustRightInd w:val="0"/>
        <w:rPr>
          <w:rFonts w:ascii="Garamond" w:hAnsi="Garamond" w:cs="Times New Roman CYR"/>
          <w:sz w:val="22"/>
          <w:szCs w:val="22"/>
        </w:rPr>
      </w:pPr>
    </w:p>
    <w:p w14:paraId="448674B3" w14:textId="77777777" w:rsidR="004B3B82" w:rsidRPr="00D42866" w:rsidRDefault="004B3B82" w:rsidP="004B3B82">
      <w:pPr>
        <w:numPr>
          <w:ilvl w:val="0"/>
          <w:numId w:val="184"/>
        </w:numPr>
        <w:suppressAutoHyphens w:val="0"/>
        <w:overflowPunct w:val="0"/>
        <w:autoSpaceDE w:val="0"/>
        <w:autoSpaceDN w:val="0"/>
        <w:adjustRightInd w:val="0"/>
        <w:rPr>
          <w:rFonts w:ascii="Garamond" w:hAnsi="Garamond" w:cs="Times New Roman CYR"/>
          <w:sz w:val="22"/>
          <w:szCs w:val="22"/>
        </w:rPr>
      </w:pPr>
      <w:r w:rsidRPr="00D42866">
        <w:rPr>
          <w:rFonts w:ascii="Garamond" w:hAnsi="Garamond" w:cs="Times New Roman CYR"/>
          <w:sz w:val="22"/>
          <w:szCs w:val="22"/>
        </w:rPr>
        <w:t xml:space="preserve">Тип___________, зав. №___________, номер в Госреестре ____________, класс точности _____, </w:t>
      </w:r>
    </w:p>
    <w:p w14:paraId="7537C7DF" w14:textId="77777777" w:rsidR="004B3B82" w:rsidRPr="00D42866" w:rsidRDefault="004B3B82" w:rsidP="00101F7C">
      <w:pPr>
        <w:overflowPunct w:val="0"/>
        <w:autoSpaceDE w:val="0"/>
        <w:autoSpaceDN w:val="0"/>
        <w:adjustRightInd w:val="0"/>
        <w:ind w:left="360"/>
        <w:rPr>
          <w:rFonts w:ascii="Garamond" w:hAnsi="Garamond" w:cs="Times New Roman CYR"/>
          <w:sz w:val="22"/>
          <w:szCs w:val="22"/>
        </w:rPr>
      </w:pPr>
      <w:r w:rsidRPr="00D42866">
        <w:rPr>
          <w:rFonts w:ascii="Garamond" w:hAnsi="Garamond" w:cs="Times New Roman CYR"/>
          <w:sz w:val="22"/>
          <w:szCs w:val="22"/>
        </w:rPr>
        <w:t>дата последней поверки _________.</w:t>
      </w:r>
    </w:p>
    <w:p w14:paraId="77FBB5D6" w14:textId="77777777" w:rsidR="004B3B82" w:rsidRPr="00D42866" w:rsidRDefault="004B3B82" w:rsidP="00101F7C">
      <w:pPr>
        <w:tabs>
          <w:tab w:val="left" w:pos="1035"/>
        </w:tabs>
        <w:overflowPunct w:val="0"/>
        <w:autoSpaceDE w:val="0"/>
        <w:autoSpaceDN w:val="0"/>
        <w:adjustRightInd w:val="0"/>
        <w:rPr>
          <w:rFonts w:ascii="Garamond" w:hAnsi="Garamond" w:cs="Times New Roman CYR"/>
          <w:sz w:val="22"/>
          <w:szCs w:val="22"/>
        </w:rPr>
      </w:pPr>
      <w:r w:rsidRPr="00D42866">
        <w:rPr>
          <w:rFonts w:ascii="Garamond" w:hAnsi="Garamond" w:cs="Times New Roman CYR"/>
          <w:sz w:val="22"/>
          <w:szCs w:val="22"/>
        </w:rPr>
        <w:t xml:space="preserve">       2)</w:t>
      </w:r>
      <w:r w:rsidRPr="00D42866">
        <w:rPr>
          <w:rFonts w:ascii="Garamond" w:hAnsi="Garamond" w:cs="Times New Roman CYR"/>
          <w:sz w:val="22"/>
          <w:szCs w:val="22"/>
        </w:rPr>
        <w:tab/>
      </w:r>
    </w:p>
    <w:p w14:paraId="0E7BCE74" w14:textId="77777777" w:rsidR="004B3B82" w:rsidRPr="00D42866" w:rsidRDefault="004B3B82" w:rsidP="00101F7C">
      <w:pPr>
        <w:overflowPunct w:val="0"/>
        <w:autoSpaceDE w:val="0"/>
        <w:autoSpaceDN w:val="0"/>
        <w:adjustRightInd w:val="0"/>
        <w:rPr>
          <w:rFonts w:ascii="Garamond" w:hAnsi="Garamond" w:cs="Times New Roman CYR"/>
          <w:sz w:val="22"/>
          <w:szCs w:val="22"/>
        </w:rPr>
      </w:pPr>
    </w:p>
    <w:p w14:paraId="3EABE76C" w14:textId="77777777" w:rsidR="004B3B82" w:rsidRPr="00D42866" w:rsidRDefault="004B3B82" w:rsidP="00101F7C">
      <w:pPr>
        <w:overflowPunct w:val="0"/>
        <w:autoSpaceDE w:val="0"/>
        <w:autoSpaceDN w:val="0"/>
        <w:adjustRightInd w:val="0"/>
        <w:rPr>
          <w:rFonts w:ascii="Garamond" w:hAnsi="Garamond" w:cs="Times New Roman CYR"/>
          <w:sz w:val="22"/>
          <w:szCs w:val="22"/>
        </w:rPr>
      </w:pPr>
    </w:p>
    <w:p w14:paraId="63D9E550" w14:textId="77777777" w:rsidR="004B3B82" w:rsidRPr="00D42866" w:rsidRDefault="004B3B82" w:rsidP="00101F7C">
      <w:pPr>
        <w:overflowPunct w:val="0"/>
        <w:autoSpaceDE w:val="0"/>
        <w:autoSpaceDN w:val="0"/>
        <w:adjustRightInd w:val="0"/>
        <w:rPr>
          <w:rFonts w:ascii="Garamond" w:hAnsi="Garamond" w:cs="Times New Roman CYR"/>
          <w:sz w:val="22"/>
          <w:szCs w:val="22"/>
        </w:rPr>
      </w:pPr>
      <w:r w:rsidRPr="00D42866">
        <w:rPr>
          <w:rFonts w:ascii="Garamond" w:hAnsi="Garamond" w:cs="Times New Roman CYR"/>
          <w:sz w:val="22"/>
          <w:szCs w:val="22"/>
        </w:rPr>
        <w:t xml:space="preserve">Составлено _______ </w:t>
      </w:r>
      <w:r w:rsidRPr="00D42866">
        <w:rPr>
          <w:rFonts w:ascii="Garamond" w:hAnsi="Garamond" w:cs="Times New Roman CYR"/>
          <w:sz w:val="22"/>
          <w:szCs w:val="22"/>
        </w:rPr>
        <w:tab/>
      </w:r>
      <w:r w:rsidRPr="00D42866">
        <w:rPr>
          <w:rFonts w:ascii="Garamond" w:hAnsi="Garamond" w:cs="Times New Roman CYR"/>
          <w:sz w:val="22"/>
          <w:szCs w:val="22"/>
        </w:rPr>
        <w:tab/>
      </w:r>
      <w:r w:rsidRPr="00D42866">
        <w:rPr>
          <w:rFonts w:ascii="Garamond" w:hAnsi="Garamond" w:cs="Times New Roman CYR"/>
          <w:sz w:val="22"/>
          <w:szCs w:val="22"/>
        </w:rPr>
        <w:tab/>
      </w:r>
      <w:r w:rsidRPr="00D42866">
        <w:rPr>
          <w:rFonts w:ascii="Garamond" w:hAnsi="Garamond" w:cs="Times New Roman CYR"/>
          <w:sz w:val="22"/>
          <w:szCs w:val="22"/>
        </w:rPr>
        <w:tab/>
      </w:r>
      <w:r w:rsidRPr="00D42866">
        <w:rPr>
          <w:rFonts w:ascii="Garamond" w:hAnsi="Garamond" w:cs="Times New Roman CYR"/>
          <w:sz w:val="22"/>
          <w:szCs w:val="22"/>
        </w:rPr>
        <w:tab/>
      </w:r>
      <w:r w:rsidRPr="00D42866">
        <w:rPr>
          <w:rFonts w:ascii="Garamond" w:hAnsi="Garamond" w:cs="Times New Roman CYR"/>
          <w:sz w:val="22"/>
          <w:szCs w:val="22"/>
        </w:rPr>
        <w:tab/>
        <w:t>Дата заполнения_________________</w:t>
      </w:r>
    </w:p>
    <w:p w14:paraId="393F080D" w14:textId="77777777" w:rsidR="004B3B82" w:rsidRPr="00D42866" w:rsidRDefault="004B3B82" w:rsidP="00101F7C">
      <w:pPr>
        <w:overflowPunct w:val="0"/>
        <w:autoSpaceDE w:val="0"/>
        <w:autoSpaceDN w:val="0"/>
        <w:adjustRightInd w:val="0"/>
        <w:rPr>
          <w:rFonts w:ascii="Garamond" w:hAnsi="Garamond" w:cs="Times New Roman CYR"/>
          <w:sz w:val="22"/>
          <w:szCs w:val="22"/>
        </w:rPr>
      </w:pPr>
    </w:p>
    <w:p w14:paraId="4224BA55" w14:textId="77777777" w:rsidR="004B3B82" w:rsidRPr="00D42866" w:rsidRDefault="004B3B82" w:rsidP="00101F7C">
      <w:pPr>
        <w:overflowPunct w:val="0"/>
        <w:autoSpaceDE w:val="0"/>
        <w:autoSpaceDN w:val="0"/>
        <w:adjustRightInd w:val="0"/>
        <w:rPr>
          <w:rFonts w:ascii="Garamond" w:hAnsi="Garamond" w:cs="Times New Roman CYR"/>
        </w:rPr>
      </w:pPr>
    </w:p>
    <w:p w14:paraId="160D2007" w14:textId="77777777" w:rsidR="004B3B82" w:rsidRPr="00D15973" w:rsidRDefault="004B3B82" w:rsidP="00101F7C">
      <w:pPr>
        <w:overflowPunct w:val="0"/>
        <w:autoSpaceDE w:val="0"/>
        <w:autoSpaceDN w:val="0"/>
        <w:adjustRightInd w:val="0"/>
        <w:rPr>
          <w:rFonts w:ascii="Garamond" w:hAnsi="Garamond" w:cs="Times New Roman CYR"/>
        </w:rPr>
      </w:pPr>
      <w:r w:rsidRPr="00D42866">
        <w:rPr>
          <w:rFonts w:ascii="Garamond" w:hAnsi="Garamond" w:cs="Times New Roman CYR"/>
          <w:i/>
        </w:rPr>
        <w:t>Примечание.</w:t>
      </w:r>
      <w:r w:rsidRPr="00D42866">
        <w:rPr>
          <w:rFonts w:ascii="Garamond" w:hAnsi="Garamond" w:cs="Times New Roman CYR"/>
        </w:rPr>
        <w:t xml:space="preserve"> Паспорт-протокол на ИИК в составе АИИС КУЭ переоформляется после внесения каких-либо</w:t>
      </w:r>
      <w:r w:rsidRPr="00E31F22">
        <w:rPr>
          <w:rFonts w:ascii="Garamond" w:hAnsi="Garamond" w:cs="Times New Roman CYR"/>
        </w:rPr>
        <w:t xml:space="preserve"> изменений в ИИК в процессе эксплуатации.</w:t>
      </w:r>
    </w:p>
    <w:bookmarkEnd w:id="103"/>
    <w:bookmarkEnd w:id="104"/>
    <w:p w14:paraId="10927B85" w14:textId="77777777" w:rsidR="000648FB" w:rsidRDefault="000648FB" w:rsidP="00101F7C">
      <w:pPr>
        <w:autoSpaceDE w:val="0"/>
        <w:autoSpaceDN w:val="0"/>
        <w:jc w:val="both"/>
        <w:rPr>
          <w:rFonts w:ascii="Garamond" w:hAnsi="Garamond"/>
          <w:b/>
          <w:sz w:val="26"/>
          <w:szCs w:val="26"/>
        </w:rPr>
        <w:sectPr w:rsidR="000648FB" w:rsidSect="00E31AE6">
          <w:pgSz w:w="11906" w:h="16838"/>
          <w:pgMar w:top="964" w:right="851" w:bottom="964" w:left="1276" w:header="709" w:footer="709" w:gutter="0"/>
          <w:cols w:space="708"/>
          <w:docGrid w:linePitch="360"/>
        </w:sectPr>
      </w:pPr>
    </w:p>
    <w:p w14:paraId="5E996206" w14:textId="77777777" w:rsidR="000648FB" w:rsidRPr="00B4657D" w:rsidRDefault="000648FB" w:rsidP="00835158">
      <w:pPr>
        <w:jc w:val="right"/>
        <w:rPr>
          <w:rFonts w:ascii="Garamond" w:hAnsi="Garamond"/>
        </w:rPr>
      </w:pPr>
    </w:p>
    <w:p w14:paraId="3D526FAC" w14:textId="5ECE4FB1" w:rsidR="000648FB" w:rsidRDefault="000648FB" w:rsidP="00BC4FC4">
      <w:pPr>
        <w:pStyle w:val="10"/>
        <w:keepNext w:val="0"/>
        <w:spacing w:line="240" w:lineRule="auto"/>
        <w:ind w:left="-142"/>
        <w:jc w:val="left"/>
        <w:rPr>
          <w:rFonts w:ascii="Garamond" w:eastAsia="Courier New" w:hAnsi="Garamond"/>
          <w:sz w:val="26"/>
          <w:szCs w:val="26"/>
        </w:rPr>
      </w:pPr>
      <w:r w:rsidRPr="000648FB">
        <w:rPr>
          <w:rFonts w:ascii="Garamond" w:eastAsia="Courier New" w:hAnsi="Garamond"/>
          <w:sz w:val="26"/>
          <w:szCs w:val="26"/>
        </w:rPr>
        <w:t>Предложения по изменениям и дополнениям в МЕТОДИЧЕСКИЕ УКАЗАНИЯ</w:t>
      </w:r>
      <w:r w:rsidR="00945FC0">
        <w:rPr>
          <w:rFonts w:ascii="Garamond" w:eastAsia="Courier New" w:hAnsi="Garamond"/>
          <w:sz w:val="26"/>
          <w:szCs w:val="26"/>
        </w:rPr>
        <w:t xml:space="preserve"> по предоставлению информации в </w:t>
      </w:r>
      <w:r w:rsidRPr="000648FB">
        <w:rPr>
          <w:rFonts w:ascii="Garamond" w:eastAsia="Courier New" w:hAnsi="Garamond"/>
          <w:sz w:val="26"/>
          <w:szCs w:val="26"/>
        </w:rPr>
        <w:t>АО «АТС» о состоянии системы учета электроэнергии заявителя (опросные листы) (</w:t>
      </w:r>
      <w:r w:rsidR="00647FA0">
        <w:rPr>
          <w:rFonts w:ascii="Garamond" w:eastAsia="Courier New" w:hAnsi="Garamond"/>
          <w:sz w:val="26"/>
          <w:szCs w:val="26"/>
        </w:rPr>
        <w:t>Приложение № 11.4 к Положению о </w:t>
      </w:r>
      <w:r w:rsidRPr="000648FB">
        <w:rPr>
          <w:rFonts w:ascii="Garamond" w:eastAsia="Courier New" w:hAnsi="Garamond"/>
          <w:sz w:val="26"/>
          <w:szCs w:val="26"/>
        </w:rPr>
        <w:t>порядке получения статуса субъекта оптового рынка и ведения реестра субъектов оптового рынка)</w:t>
      </w:r>
    </w:p>
    <w:p w14:paraId="11FED929" w14:textId="77777777" w:rsidR="00BC4FC4" w:rsidRPr="00BC4FC4" w:rsidRDefault="00BC4FC4" w:rsidP="00BC4FC4"/>
    <w:tbl>
      <w:tblPr>
        <w:tblW w:w="14837"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1"/>
        <w:gridCol w:w="6691"/>
        <w:gridCol w:w="7115"/>
      </w:tblGrid>
      <w:tr w:rsidR="000648FB" w:rsidRPr="00647FA0" w14:paraId="4507CF5F" w14:textId="77777777" w:rsidTr="00647FA0">
        <w:tc>
          <w:tcPr>
            <w:tcW w:w="1031" w:type="dxa"/>
          </w:tcPr>
          <w:p w14:paraId="1E92FE1E" w14:textId="77777777" w:rsidR="000648FB" w:rsidRPr="00647FA0" w:rsidRDefault="000648FB" w:rsidP="00E31AE6">
            <w:pPr>
              <w:widowControl w:val="0"/>
              <w:spacing w:line="259" w:lineRule="auto"/>
              <w:jc w:val="center"/>
              <w:rPr>
                <w:rFonts w:ascii="Garamond" w:hAnsi="Garamond"/>
                <w:b/>
                <w:sz w:val="22"/>
                <w:szCs w:val="22"/>
                <w:lang w:eastAsia="en-US"/>
              </w:rPr>
            </w:pPr>
            <w:r w:rsidRPr="00647FA0">
              <w:rPr>
                <w:rFonts w:ascii="Garamond" w:hAnsi="Garamond"/>
                <w:b/>
                <w:sz w:val="22"/>
                <w:szCs w:val="22"/>
                <w:lang w:eastAsia="en-US"/>
              </w:rPr>
              <w:t>№</w:t>
            </w:r>
          </w:p>
          <w:p w14:paraId="082B7634" w14:textId="77777777" w:rsidR="000648FB" w:rsidRPr="00647FA0" w:rsidRDefault="000648FB" w:rsidP="00E31AE6">
            <w:pPr>
              <w:widowControl w:val="0"/>
              <w:spacing w:line="259" w:lineRule="auto"/>
              <w:jc w:val="center"/>
              <w:rPr>
                <w:rFonts w:ascii="Garamond" w:hAnsi="Garamond"/>
                <w:b/>
                <w:sz w:val="22"/>
                <w:szCs w:val="22"/>
                <w:lang w:eastAsia="en-US"/>
              </w:rPr>
            </w:pPr>
            <w:r w:rsidRPr="00647FA0">
              <w:rPr>
                <w:rFonts w:ascii="Garamond" w:hAnsi="Garamond"/>
                <w:b/>
                <w:sz w:val="22"/>
                <w:szCs w:val="22"/>
                <w:lang w:eastAsia="en-US"/>
              </w:rPr>
              <w:t>пункта</w:t>
            </w:r>
          </w:p>
        </w:tc>
        <w:tc>
          <w:tcPr>
            <w:tcW w:w="6691" w:type="dxa"/>
          </w:tcPr>
          <w:p w14:paraId="6D99CEC8" w14:textId="77777777" w:rsidR="00647FA0" w:rsidRDefault="000648FB" w:rsidP="00E31AE6">
            <w:pPr>
              <w:widowControl w:val="0"/>
              <w:spacing w:line="259" w:lineRule="auto"/>
              <w:jc w:val="center"/>
              <w:rPr>
                <w:rFonts w:ascii="Garamond" w:hAnsi="Garamond"/>
                <w:b/>
                <w:sz w:val="22"/>
                <w:szCs w:val="22"/>
                <w:lang w:eastAsia="en-US"/>
              </w:rPr>
            </w:pPr>
            <w:r w:rsidRPr="00647FA0">
              <w:rPr>
                <w:rFonts w:ascii="Garamond" w:hAnsi="Garamond"/>
                <w:b/>
                <w:sz w:val="22"/>
                <w:szCs w:val="22"/>
                <w:lang w:eastAsia="en-US"/>
              </w:rPr>
              <w:t xml:space="preserve">Редакция, действующая на момент </w:t>
            </w:r>
          </w:p>
          <w:p w14:paraId="0662704D" w14:textId="1AFCC18C" w:rsidR="000648FB" w:rsidRPr="00647FA0" w:rsidRDefault="000648FB" w:rsidP="00E31AE6">
            <w:pPr>
              <w:widowControl w:val="0"/>
              <w:spacing w:line="259" w:lineRule="auto"/>
              <w:jc w:val="center"/>
              <w:rPr>
                <w:rFonts w:ascii="Garamond" w:hAnsi="Garamond"/>
                <w:sz w:val="22"/>
                <w:szCs w:val="22"/>
                <w:lang w:eastAsia="en-US"/>
              </w:rPr>
            </w:pPr>
            <w:r w:rsidRPr="00647FA0">
              <w:rPr>
                <w:rFonts w:ascii="Garamond" w:hAnsi="Garamond"/>
                <w:b/>
                <w:sz w:val="22"/>
                <w:szCs w:val="22"/>
                <w:lang w:eastAsia="en-US"/>
              </w:rPr>
              <w:t>вступления в силу изменений</w:t>
            </w:r>
          </w:p>
        </w:tc>
        <w:tc>
          <w:tcPr>
            <w:tcW w:w="7115" w:type="dxa"/>
          </w:tcPr>
          <w:p w14:paraId="097AF16C" w14:textId="77777777" w:rsidR="000648FB" w:rsidRPr="00647FA0" w:rsidRDefault="000648FB" w:rsidP="00E31AE6">
            <w:pPr>
              <w:widowControl w:val="0"/>
              <w:spacing w:line="259" w:lineRule="auto"/>
              <w:jc w:val="center"/>
              <w:rPr>
                <w:rFonts w:ascii="Garamond" w:hAnsi="Garamond"/>
                <w:b/>
                <w:sz w:val="22"/>
                <w:szCs w:val="22"/>
                <w:lang w:eastAsia="en-US"/>
              </w:rPr>
            </w:pPr>
            <w:r w:rsidRPr="00647FA0">
              <w:rPr>
                <w:rFonts w:ascii="Garamond" w:hAnsi="Garamond"/>
                <w:b/>
                <w:sz w:val="22"/>
                <w:szCs w:val="22"/>
                <w:lang w:eastAsia="en-US"/>
              </w:rPr>
              <w:t>Предлагаемая редакция</w:t>
            </w:r>
          </w:p>
          <w:p w14:paraId="4C8C7F98" w14:textId="77777777" w:rsidR="000648FB" w:rsidRPr="00647FA0" w:rsidRDefault="000648FB" w:rsidP="00E31AE6">
            <w:pPr>
              <w:spacing w:line="259" w:lineRule="auto"/>
              <w:ind w:right="-55"/>
              <w:jc w:val="center"/>
              <w:rPr>
                <w:rFonts w:ascii="Garamond" w:hAnsi="Garamond"/>
                <w:sz w:val="22"/>
                <w:szCs w:val="22"/>
                <w:lang w:eastAsia="en-US"/>
              </w:rPr>
            </w:pPr>
            <w:r w:rsidRPr="00647FA0">
              <w:rPr>
                <w:rFonts w:ascii="Garamond" w:hAnsi="Garamond"/>
                <w:sz w:val="22"/>
                <w:szCs w:val="22"/>
                <w:lang w:eastAsia="en-US"/>
              </w:rPr>
              <w:t>(изменения выделены цветом)</w:t>
            </w:r>
          </w:p>
        </w:tc>
      </w:tr>
      <w:tr w:rsidR="000648FB" w:rsidRPr="00647FA0" w14:paraId="09804986" w14:textId="77777777" w:rsidTr="00647FA0">
        <w:tc>
          <w:tcPr>
            <w:tcW w:w="1031" w:type="dxa"/>
          </w:tcPr>
          <w:p w14:paraId="57AB5197" w14:textId="77777777" w:rsidR="000648FB" w:rsidRPr="00647FA0" w:rsidRDefault="000648FB" w:rsidP="00E31AE6">
            <w:pPr>
              <w:widowControl w:val="0"/>
              <w:spacing w:line="259" w:lineRule="auto"/>
              <w:jc w:val="center"/>
              <w:rPr>
                <w:rFonts w:ascii="Garamond" w:hAnsi="Garamond"/>
                <w:b/>
                <w:sz w:val="22"/>
                <w:szCs w:val="22"/>
                <w:lang w:eastAsia="en-US"/>
              </w:rPr>
            </w:pPr>
            <w:r w:rsidRPr="00647FA0">
              <w:rPr>
                <w:rFonts w:ascii="Garamond" w:hAnsi="Garamond"/>
                <w:b/>
                <w:sz w:val="22"/>
                <w:szCs w:val="22"/>
                <w:lang w:eastAsia="en-US"/>
              </w:rPr>
              <w:t>5.2</w:t>
            </w:r>
          </w:p>
        </w:tc>
        <w:tc>
          <w:tcPr>
            <w:tcW w:w="6691" w:type="dxa"/>
          </w:tcPr>
          <w:p w14:paraId="62660524" w14:textId="77777777" w:rsidR="000648FB" w:rsidRPr="00647FA0" w:rsidRDefault="000648FB" w:rsidP="00E31AE6">
            <w:pPr>
              <w:widowControl w:val="0"/>
              <w:spacing w:line="259" w:lineRule="auto"/>
              <w:jc w:val="both"/>
              <w:rPr>
                <w:rFonts w:ascii="Garamond" w:hAnsi="Garamond"/>
                <w:sz w:val="22"/>
                <w:szCs w:val="22"/>
              </w:rPr>
            </w:pPr>
            <w:r w:rsidRPr="00647FA0">
              <w:rPr>
                <w:rFonts w:ascii="Garamond" w:hAnsi="Garamond"/>
                <w:sz w:val="22"/>
                <w:szCs w:val="22"/>
              </w:rPr>
              <w:t>…</w:t>
            </w:r>
          </w:p>
          <w:p w14:paraId="7EE01682" w14:textId="77777777" w:rsidR="000648FB" w:rsidRPr="00647FA0" w:rsidRDefault="000648FB" w:rsidP="00E31AE6">
            <w:pPr>
              <w:widowControl w:val="0"/>
              <w:spacing w:line="259" w:lineRule="auto"/>
              <w:jc w:val="both"/>
              <w:rPr>
                <w:rFonts w:ascii="Garamond" w:hAnsi="Garamond"/>
                <w:b/>
                <w:sz w:val="22"/>
                <w:szCs w:val="22"/>
              </w:rPr>
            </w:pPr>
            <w:r w:rsidRPr="00647FA0">
              <w:rPr>
                <w:rFonts w:ascii="Garamond" w:hAnsi="Garamond"/>
                <w:b/>
                <w:sz w:val="22"/>
                <w:szCs w:val="22"/>
              </w:rPr>
              <w:t>5.2.1.3.1. &lt;</w:t>
            </w:r>
            <w:r w:rsidRPr="00647FA0">
              <w:rPr>
                <w:rFonts w:ascii="Garamond" w:hAnsi="Garamond"/>
                <w:b/>
                <w:sz w:val="22"/>
                <w:szCs w:val="22"/>
                <w:lang w:val="en-US"/>
              </w:rPr>
              <w:t>generation</w:t>
            </w:r>
            <w:r w:rsidRPr="00647FA0">
              <w:rPr>
                <w:rFonts w:ascii="Garamond" w:hAnsi="Garamond"/>
                <w:b/>
                <w:sz w:val="22"/>
                <w:szCs w:val="22"/>
              </w:rPr>
              <w:t>&gt;</w:t>
            </w:r>
          </w:p>
          <w:p w14:paraId="75CC70A9" w14:textId="77777777" w:rsidR="000648FB" w:rsidRPr="00647FA0" w:rsidRDefault="000648FB" w:rsidP="00E31AE6">
            <w:pPr>
              <w:widowControl w:val="0"/>
              <w:spacing w:line="259" w:lineRule="auto"/>
              <w:jc w:val="both"/>
              <w:rPr>
                <w:rFonts w:ascii="Garamond" w:hAnsi="Garamond"/>
                <w:sz w:val="22"/>
                <w:szCs w:val="22"/>
              </w:rPr>
            </w:pPr>
            <w:r w:rsidRPr="00647FA0">
              <w:rPr>
                <w:rFonts w:ascii="Garamond" w:hAnsi="Garamond"/>
                <w:sz w:val="22"/>
                <w:szCs w:val="22"/>
              </w:rPr>
              <w:t xml:space="preserve">Элемент &lt;generation&gt; является обязательным потомком элемента </w:t>
            </w:r>
            <w:r w:rsidRPr="00647FA0">
              <w:rPr>
                <w:rFonts w:ascii="Garamond" w:hAnsi="Garamond"/>
                <w:sz w:val="22"/>
                <w:szCs w:val="22"/>
                <w:highlight w:val="yellow"/>
              </w:rPr>
              <w:t>&lt;file&gt;</w:t>
            </w:r>
            <w:r w:rsidRPr="00647FA0">
              <w:rPr>
                <w:rFonts w:ascii="Garamond" w:hAnsi="Garamond"/>
                <w:sz w:val="22"/>
                <w:szCs w:val="22"/>
              </w:rPr>
              <w:t>, если файл 90000 содержал информацию по ГТП генерации. В остальных случаях элемент должен отсутствовать в файле.</w:t>
            </w:r>
          </w:p>
          <w:p w14:paraId="3F0AF1EA" w14:textId="77777777" w:rsidR="000648FB" w:rsidRPr="00647FA0" w:rsidRDefault="000648FB" w:rsidP="00E31AE6">
            <w:pPr>
              <w:widowControl w:val="0"/>
              <w:spacing w:line="259" w:lineRule="auto"/>
              <w:jc w:val="both"/>
              <w:rPr>
                <w:rFonts w:ascii="Garamond" w:hAnsi="Garamond"/>
                <w:sz w:val="22"/>
                <w:szCs w:val="22"/>
              </w:rPr>
            </w:pPr>
            <w:r w:rsidRPr="00647FA0">
              <w:rPr>
                <w:rFonts w:ascii="Garamond" w:hAnsi="Garamond"/>
                <w:sz w:val="22"/>
                <w:szCs w:val="22"/>
              </w:rPr>
              <w:t>…</w:t>
            </w:r>
          </w:p>
          <w:p w14:paraId="21EF74DA" w14:textId="77777777" w:rsidR="000648FB" w:rsidRPr="00647FA0" w:rsidRDefault="000648FB" w:rsidP="00E31AE6">
            <w:pPr>
              <w:widowControl w:val="0"/>
              <w:spacing w:line="259" w:lineRule="auto"/>
              <w:jc w:val="both"/>
              <w:rPr>
                <w:rFonts w:ascii="Garamond" w:hAnsi="Garamond"/>
                <w:b/>
                <w:sz w:val="22"/>
                <w:szCs w:val="22"/>
                <w:lang w:eastAsia="en-US"/>
              </w:rPr>
            </w:pPr>
            <w:r w:rsidRPr="00647FA0">
              <w:rPr>
                <w:rFonts w:ascii="Garamond" w:hAnsi="Garamond"/>
                <w:b/>
                <w:sz w:val="22"/>
                <w:szCs w:val="22"/>
                <w:lang w:eastAsia="en-US"/>
              </w:rPr>
              <w:t>5.2.1.3.2. &lt;</w:t>
            </w:r>
            <w:r w:rsidRPr="00647FA0">
              <w:rPr>
                <w:rFonts w:ascii="Garamond" w:hAnsi="Garamond"/>
                <w:b/>
                <w:sz w:val="22"/>
                <w:szCs w:val="22"/>
                <w:lang w:val="en-US" w:eastAsia="en-US"/>
              </w:rPr>
              <w:t>peretok</w:t>
            </w:r>
            <w:r w:rsidRPr="00647FA0">
              <w:rPr>
                <w:rFonts w:ascii="Garamond" w:hAnsi="Garamond"/>
                <w:b/>
                <w:sz w:val="22"/>
                <w:szCs w:val="22"/>
                <w:lang w:eastAsia="en-US"/>
              </w:rPr>
              <w:t>&gt;</w:t>
            </w:r>
          </w:p>
          <w:p w14:paraId="7A6296AC" w14:textId="77777777" w:rsidR="000648FB" w:rsidRPr="00647FA0" w:rsidRDefault="000648FB" w:rsidP="00E31AE6">
            <w:pPr>
              <w:widowControl w:val="0"/>
              <w:spacing w:line="259" w:lineRule="auto"/>
              <w:jc w:val="both"/>
              <w:rPr>
                <w:rFonts w:ascii="Garamond" w:hAnsi="Garamond"/>
                <w:sz w:val="22"/>
                <w:szCs w:val="22"/>
              </w:rPr>
            </w:pPr>
            <w:r w:rsidRPr="00647FA0">
              <w:rPr>
                <w:rFonts w:ascii="Garamond" w:hAnsi="Garamond"/>
                <w:sz w:val="22"/>
                <w:szCs w:val="22"/>
              </w:rPr>
              <w:t xml:space="preserve">Элемент &lt;peretok&gt; является обязательным потомком элемента </w:t>
            </w:r>
            <w:r w:rsidRPr="00647FA0">
              <w:rPr>
                <w:rFonts w:ascii="Garamond" w:hAnsi="Garamond"/>
                <w:sz w:val="22"/>
                <w:szCs w:val="22"/>
                <w:highlight w:val="yellow"/>
              </w:rPr>
              <w:t>&lt;file&gt;</w:t>
            </w:r>
            <w:r w:rsidRPr="00647FA0">
              <w:rPr>
                <w:rFonts w:ascii="Garamond" w:hAnsi="Garamond"/>
                <w:sz w:val="22"/>
                <w:szCs w:val="22"/>
              </w:rPr>
              <w:t>, если файл 90000 содержал информацию по сечению коммерческого учета. В остальных случаях элемент должен отсутствовать в файле.</w:t>
            </w:r>
          </w:p>
          <w:p w14:paraId="333B4FA1" w14:textId="77777777" w:rsidR="000648FB" w:rsidRPr="00647FA0" w:rsidRDefault="000648FB" w:rsidP="00E31AE6">
            <w:pPr>
              <w:widowControl w:val="0"/>
              <w:spacing w:line="259" w:lineRule="auto"/>
              <w:jc w:val="both"/>
              <w:rPr>
                <w:rFonts w:ascii="Garamond" w:hAnsi="Garamond"/>
                <w:b/>
                <w:sz w:val="22"/>
                <w:szCs w:val="22"/>
                <w:lang w:val="en-US" w:eastAsia="en-US"/>
              </w:rPr>
            </w:pPr>
            <w:r w:rsidRPr="00647FA0">
              <w:rPr>
                <w:rFonts w:ascii="Garamond" w:hAnsi="Garamond"/>
                <w:sz w:val="22"/>
                <w:szCs w:val="22"/>
              </w:rPr>
              <w:t>…</w:t>
            </w:r>
          </w:p>
        </w:tc>
        <w:tc>
          <w:tcPr>
            <w:tcW w:w="7115" w:type="dxa"/>
          </w:tcPr>
          <w:p w14:paraId="056A92CE" w14:textId="77777777" w:rsidR="000648FB" w:rsidRPr="00647FA0" w:rsidRDefault="000648FB" w:rsidP="00E31AE6">
            <w:pPr>
              <w:widowControl w:val="0"/>
              <w:spacing w:line="259" w:lineRule="auto"/>
              <w:jc w:val="both"/>
              <w:rPr>
                <w:rFonts w:ascii="Garamond" w:hAnsi="Garamond"/>
                <w:sz w:val="22"/>
                <w:szCs w:val="22"/>
              </w:rPr>
            </w:pPr>
            <w:r w:rsidRPr="00647FA0">
              <w:rPr>
                <w:rFonts w:ascii="Garamond" w:hAnsi="Garamond"/>
                <w:sz w:val="22"/>
                <w:szCs w:val="22"/>
              </w:rPr>
              <w:t>…</w:t>
            </w:r>
          </w:p>
          <w:p w14:paraId="648EAEF8" w14:textId="77777777" w:rsidR="000648FB" w:rsidRPr="00647FA0" w:rsidRDefault="000648FB" w:rsidP="00E31AE6">
            <w:pPr>
              <w:widowControl w:val="0"/>
              <w:spacing w:line="259" w:lineRule="auto"/>
              <w:jc w:val="both"/>
              <w:rPr>
                <w:rFonts w:ascii="Garamond" w:hAnsi="Garamond"/>
                <w:b/>
                <w:sz w:val="22"/>
                <w:szCs w:val="22"/>
              </w:rPr>
            </w:pPr>
            <w:r w:rsidRPr="00647FA0">
              <w:rPr>
                <w:rFonts w:ascii="Garamond" w:hAnsi="Garamond"/>
                <w:b/>
                <w:sz w:val="22"/>
                <w:szCs w:val="22"/>
              </w:rPr>
              <w:t>5.2.1.3.1. &lt;</w:t>
            </w:r>
            <w:r w:rsidRPr="00647FA0">
              <w:rPr>
                <w:rFonts w:ascii="Garamond" w:hAnsi="Garamond"/>
                <w:b/>
                <w:sz w:val="22"/>
                <w:szCs w:val="22"/>
                <w:lang w:val="en-US"/>
              </w:rPr>
              <w:t>generation</w:t>
            </w:r>
            <w:r w:rsidRPr="00647FA0">
              <w:rPr>
                <w:rFonts w:ascii="Garamond" w:hAnsi="Garamond"/>
                <w:b/>
                <w:sz w:val="22"/>
                <w:szCs w:val="22"/>
              </w:rPr>
              <w:t>&gt;</w:t>
            </w:r>
          </w:p>
          <w:p w14:paraId="50DB3A88" w14:textId="77777777" w:rsidR="000648FB" w:rsidRPr="00647FA0" w:rsidRDefault="000648FB" w:rsidP="00E31AE6">
            <w:pPr>
              <w:widowControl w:val="0"/>
              <w:spacing w:line="259" w:lineRule="auto"/>
              <w:jc w:val="both"/>
              <w:rPr>
                <w:rFonts w:ascii="Garamond" w:hAnsi="Garamond"/>
                <w:sz w:val="22"/>
                <w:szCs w:val="22"/>
              </w:rPr>
            </w:pPr>
            <w:r w:rsidRPr="00647FA0">
              <w:rPr>
                <w:rFonts w:ascii="Garamond" w:hAnsi="Garamond"/>
                <w:sz w:val="22"/>
                <w:szCs w:val="22"/>
              </w:rPr>
              <w:t xml:space="preserve">Элемент &lt;generation&gt; является обязательным потомком элемента </w:t>
            </w:r>
            <w:r w:rsidRPr="00647FA0">
              <w:rPr>
                <w:rFonts w:ascii="Garamond" w:hAnsi="Garamond"/>
                <w:sz w:val="22"/>
                <w:szCs w:val="22"/>
                <w:highlight w:val="yellow"/>
              </w:rPr>
              <w:t>&lt;information-90000&gt;</w:t>
            </w:r>
            <w:r w:rsidRPr="00647FA0">
              <w:rPr>
                <w:rFonts w:ascii="Garamond" w:hAnsi="Garamond"/>
                <w:sz w:val="22"/>
                <w:szCs w:val="22"/>
              </w:rPr>
              <w:t>, если файл 90000 содержал информацию по ГТП генерации. В остальных случаях элемент должен отсутствовать в файле.</w:t>
            </w:r>
          </w:p>
          <w:p w14:paraId="05615677" w14:textId="77777777" w:rsidR="000648FB" w:rsidRPr="00647FA0" w:rsidRDefault="000648FB" w:rsidP="00E31AE6">
            <w:pPr>
              <w:widowControl w:val="0"/>
              <w:spacing w:line="259" w:lineRule="auto"/>
              <w:jc w:val="both"/>
              <w:rPr>
                <w:rFonts w:ascii="Garamond" w:hAnsi="Garamond"/>
                <w:sz w:val="22"/>
                <w:szCs w:val="22"/>
              </w:rPr>
            </w:pPr>
            <w:r w:rsidRPr="00647FA0">
              <w:rPr>
                <w:rFonts w:ascii="Garamond" w:hAnsi="Garamond"/>
                <w:sz w:val="22"/>
                <w:szCs w:val="22"/>
              </w:rPr>
              <w:t>…</w:t>
            </w:r>
          </w:p>
          <w:p w14:paraId="023ECBA8" w14:textId="77777777" w:rsidR="000648FB" w:rsidRPr="00647FA0" w:rsidRDefault="000648FB" w:rsidP="00E31AE6">
            <w:pPr>
              <w:widowControl w:val="0"/>
              <w:spacing w:line="259" w:lineRule="auto"/>
              <w:jc w:val="both"/>
              <w:rPr>
                <w:rFonts w:ascii="Garamond" w:hAnsi="Garamond"/>
                <w:b/>
                <w:sz w:val="22"/>
                <w:szCs w:val="22"/>
                <w:lang w:eastAsia="en-US"/>
              </w:rPr>
            </w:pPr>
            <w:r w:rsidRPr="00647FA0">
              <w:rPr>
                <w:rFonts w:ascii="Garamond" w:hAnsi="Garamond"/>
                <w:b/>
                <w:sz w:val="22"/>
                <w:szCs w:val="22"/>
                <w:lang w:eastAsia="en-US"/>
              </w:rPr>
              <w:t>5.2.1.3.2. &lt;</w:t>
            </w:r>
            <w:r w:rsidRPr="00647FA0">
              <w:rPr>
                <w:rFonts w:ascii="Garamond" w:hAnsi="Garamond"/>
                <w:b/>
                <w:sz w:val="22"/>
                <w:szCs w:val="22"/>
                <w:lang w:val="en-US" w:eastAsia="en-US"/>
              </w:rPr>
              <w:t>peretok</w:t>
            </w:r>
            <w:r w:rsidRPr="00647FA0">
              <w:rPr>
                <w:rFonts w:ascii="Garamond" w:hAnsi="Garamond"/>
                <w:b/>
                <w:sz w:val="22"/>
                <w:szCs w:val="22"/>
                <w:lang w:eastAsia="en-US"/>
              </w:rPr>
              <w:t>&gt;</w:t>
            </w:r>
          </w:p>
          <w:p w14:paraId="3E1796E4" w14:textId="77777777" w:rsidR="000648FB" w:rsidRPr="00647FA0" w:rsidRDefault="000648FB" w:rsidP="00E31AE6">
            <w:pPr>
              <w:widowControl w:val="0"/>
              <w:spacing w:line="259" w:lineRule="auto"/>
              <w:jc w:val="both"/>
              <w:rPr>
                <w:rFonts w:ascii="Garamond" w:hAnsi="Garamond"/>
                <w:sz w:val="22"/>
                <w:szCs w:val="22"/>
              </w:rPr>
            </w:pPr>
            <w:r w:rsidRPr="00647FA0">
              <w:rPr>
                <w:rFonts w:ascii="Garamond" w:hAnsi="Garamond"/>
                <w:sz w:val="22"/>
                <w:szCs w:val="22"/>
              </w:rPr>
              <w:t xml:space="preserve">Элемент &lt;peretok&gt; является обязательным потомком элемента </w:t>
            </w:r>
            <w:r w:rsidRPr="00647FA0">
              <w:rPr>
                <w:rFonts w:ascii="Garamond" w:hAnsi="Garamond"/>
                <w:sz w:val="22"/>
                <w:szCs w:val="22"/>
                <w:highlight w:val="yellow"/>
              </w:rPr>
              <w:t>&lt;information-90000&gt;</w:t>
            </w:r>
            <w:r w:rsidRPr="00647FA0">
              <w:rPr>
                <w:rFonts w:ascii="Garamond" w:hAnsi="Garamond"/>
                <w:sz w:val="22"/>
                <w:szCs w:val="22"/>
              </w:rPr>
              <w:t>, если файл 90000 содержал информацию по сечению коммерческого учета. В остальных случаях элемент должен отсутствовать в файле.</w:t>
            </w:r>
          </w:p>
          <w:p w14:paraId="2A047EC6" w14:textId="77777777" w:rsidR="000648FB" w:rsidRPr="00647FA0" w:rsidRDefault="000648FB" w:rsidP="00E31AE6">
            <w:pPr>
              <w:widowControl w:val="0"/>
              <w:spacing w:line="259" w:lineRule="auto"/>
              <w:jc w:val="both"/>
              <w:rPr>
                <w:rFonts w:ascii="Garamond" w:hAnsi="Garamond"/>
                <w:sz w:val="22"/>
                <w:szCs w:val="22"/>
                <w:lang w:eastAsia="en-US"/>
              </w:rPr>
            </w:pPr>
            <w:r w:rsidRPr="00647FA0">
              <w:rPr>
                <w:rFonts w:ascii="Garamond" w:hAnsi="Garamond"/>
                <w:sz w:val="22"/>
                <w:szCs w:val="22"/>
              </w:rPr>
              <w:t>…</w:t>
            </w:r>
          </w:p>
        </w:tc>
      </w:tr>
    </w:tbl>
    <w:p w14:paraId="19915A1F" w14:textId="77777777" w:rsidR="000648FB" w:rsidRDefault="000648FB" w:rsidP="00E31AE6">
      <w:pPr>
        <w:widowControl w:val="0"/>
        <w:jc w:val="both"/>
        <w:rPr>
          <w:rFonts w:ascii="Garamond" w:hAnsi="Garamond"/>
          <w:sz w:val="26"/>
          <w:szCs w:val="26"/>
        </w:rPr>
      </w:pPr>
      <w:r>
        <w:rPr>
          <w:rFonts w:ascii="Garamond" w:hAnsi="Garamond"/>
          <w:sz w:val="26"/>
          <w:szCs w:val="26"/>
        </w:rPr>
        <w:br w:type="page"/>
      </w:r>
    </w:p>
    <w:p w14:paraId="783B12D4" w14:textId="77777777" w:rsidR="000648FB" w:rsidRPr="000648FB" w:rsidRDefault="000648FB" w:rsidP="00647FA0">
      <w:pPr>
        <w:pStyle w:val="10"/>
        <w:keepNext w:val="0"/>
        <w:spacing w:line="240" w:lineRule="auto"/>
        <w:ind w:left="-142"/>
        <w:jc w:val="left"/>
        <w:rPr>
          <w:rFonts w:ascii="Garamond" w:eastAsia="Courier New" w:hAnsi="Garamond"/>
          <w:sz w:val="26"/>
          <w:szCs w:val="26"/>
        </w:rPr>
      </w:pPr>
      <w:r w:rsidRPr="000648FB">
        <w:rPr>
          <w:rFonts w:ascii="Garamond" w:eastAsia="Courier New" w:hAnsi="Garamond"/>
          <w:sz w:val="26"/>
          <w:szCs w:val="26"/>
        </w:rPr>
        <w:lastRenderedPageBreak/>
        <w:t>Предложения по изменениям и дополнениям в СОГЛАШЕНИЕ о применении электронной подписи в торговой системе оптового рынка (Приложение № Д 7 к Договору о присоединении к торговой системе оптового рынка)</w:t>
      </w:r>
    </w:p>
    <w:p w14:paraId="0D4E385E" w14:textId="77777777" w:rsidR="000648FB" w:rsidRPr="00B70F11" w:rsidRDefault="000648FB" w:rsidP="00E31AE6">
      <w:pPr>
        <w:contextualSpacing/>
        <w:rPr>
          <w:rFonts w:ascii="Garamond" w:eastAsia="SimSun" w:hAnsi="Garamond"/>
          <w:iCs/>
          <w:sz w:val="24"/>
          <w:szCs w:val="24"/>
        </w:rPr>
      </w:pPr>
    </w:p>
    <w:p w14:paraId="0CD5309D" w14:textId="77777777" w:rsidR="00E24C7A" w:rsidRPr="00911253" w:rsidRDefault="00866F59" w:rsidP="00E24C7A">
      <w:pPr>
        <w:widowControl w:val="0"/>
        <w:adjustRightInd w:val="0"/>
        <w:jc w:val="both"/>
        <w:textAlignment w:val="baseline"/>
        <w:rPr>
          <w:rFonts w:ascii="Garamond" w:eastAsia="Times New Roman" w:hAnsi="Garamond"/>
          <w:b/>
        </w:rPr>
      </w:pPr>
      <w:r>
        <w:rPr>
          <w:rFonts w:ascii="Garamond" w:eastAsia="Times New Roman" w:hAnsi="Garamond" w:cs="Times New Roman"/>
          <w:b/>
          <w:sz w:val="24"/>
          <w:szCs w:val="24"/>
        </w:rPr>
        <w:t xml:space="preserve">Действующая редакция приложения 2 к Правилам ЭДО СЭД КО. Перечень видов ЭД, обращающихся в системе ЭДО </w:t>
      </w:r>
    </w:p>
    <w:p w14:paraId="69B6AEEE" w14:textId="77777777" w:rsidR="00E24C7A" w:rsidRPr="00911253" w:rsidRDefault="00E24C7A" w:rsidP="00E24C7A">
      <w:pPr>
        <w:widowControl w:val="0"/>
        <w:adjustRightInd w:val="0"/>
        <w:jc w:val="both"/>
        <w:textAlignment w:val="baseline"/>
        <w:rPr>
          <w:rFonts w:ascii="Garamond" w:eastAsia="Times New Roman" w:hAnsi="Garamond"/>
          <w:b/>
        </w:rPr>
      </w:pPr>
    </w:p>
    <w:tbl>
      <w:tblPr>
        <w:tblW w:w="511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67"/>
        <w:gridCol w:w="1994"/>
        <w:gridCol w:w="1513"/>
        <w:gridCol w:w="1099"/>
        <w:gridCol w:w="910"/>
        <w:gridCol w:w="848"/>
        <w:gridCol w:w="1013"/>
        <w:gridCol w:w="1182"/>
        <w:gridCol w:w="968"/>
        <w:gridCol w:w="1828"/>
        <w:gridCol w:w="1031"/>
        <w:gridCol w:w="764"/>
        <w:gridCol w:w="799"/>
      </w:tblGrid>
      <w:tr w:rsidR="00E24C7A" w:rsidRPr="00911253" w14:paraId="1444AC00" w14:textId="77777777" w:rsidTr="00A43635">
        <w:trPr>
          <w:trHeight w:val="1290"/>
        </w:trPr>
        <w:tc>
          <w:tcPr>
            <w:tcW w:w="1099" w:type="dxa"/>
            <w:shd w:val="clear" w:color="auto" w:fill="D0CECE"/>
            <w:vAlign w:val="center"/>
            <w:hideMark/>
          </w:tcPr>
          <w:p w14:paraId="2061CDA2" w14:textId="77777777" w:rsidR="00E24C7A" w:rsidRPr="00911253" w:rsidRDefault="00E24C7A" w:rsidP="00A43635">
            <w:pPr>
              <w:contextualSpacing/>
              <w:jc w:val="center"/>
              <w:rPr>
                <w:rFonts w:ascii="Arial" w:eastAsia="Batang" w:hAnsi="Arial" w:cs="Arial"/>
                <w:sz w:val="18"/>
                <w:szCs w:val="18"/>
                <w:lang w:eastAsia="ko-KR"/>
              </w:rPr>
            </w:pPr>
            <w:r w:rsidRPr="00911253">
              <w:rPr>
                <w:rFonts w:ascii="Arial" w:hAnsi="Arial" w:cs="Arial"/>
                <w:color w:val="000000"/>
                <w:sz w:val="18"/>
                <w:szCs w:val="18"/>
              </w:rPr>
              <w:t>Код формы</w:t>
            </w:r>
          </w:p>
        </w:tc>
        <w:tc>
          <w:tcPr>
            <w:tcW w:w="2062" w:type="dxa"/>
            <w:shd w:val="clear" w:color="auto" w:fill="D0CECE"/>
            <w:vAlign w:val="center"/>
            <w:hideMark/>
          </w:tcPr>
          <w:p w14:paraId="631A8C47" w14:textId="77777777" w:rsidR="00E24C7A" w:rsidRPr="00911253" w:rsidRDefault="00E24C7A" w:rsidP="00A43635">
            <w:pPr>
              <w:contextualSpacing/>
              <w:jc w:val="center"/>
              <w:rPr>
                <w:rFonts w:ascii="Arial" w:eastAsia="Batang" w:hAnsi="Arial" w:cs="Arial"/>
                <w:sz w:val="18"/>
                <w:szCs w:val="18"/>
                <w:lang w:eastAsia="ko-KR"/>
              </w:rPr>
            </w:pPr>
            <w:r w:rsidRPr="00911253">
              <w:rPr>
                <w:rFonts w:ascii="Arial" w:hAnsi="Arial" w:cs="Arial"/>
                <w:color w:val="000000"/>
                <w:sz w:val="18"/>
                <w:szCs w:val="18"/>
              </w:rPr>
              <w:t>Наименование формы</w:t>
            </w:r>
          </w:p>
        </w:tc>
        <w:tc>
          <w:tcPr>
            <w:tcW w:w="1563" w:type="dxa"/>
            <w:shd w:val="clear" w:color="auto" w:fill="D0CECE"/>
            <w:vAlign w:val="center"/>
            <w:hideMark/>
          </w:tcPr>
          <w:p w14:paraId="0C846420" w14:textId="77777777" w:rsidR="00E24C7A" w:rsidRPr="00911253" w:rsidRDefault="00E24C7A" w:rsidP="00A43635">
            <w:pPr>
              <w:contextualSpacing/>
              <w:jc w:val="center"/>
              <w:rPr>
                <w:rFonts w:ascii="Arial" w:eastAsia="Batang" w:hAnsi="Arial" w:cs="Arial"/>
                <w:sz w:val="18"/>
                <w:szCs w:val="18"/>
                <w:lang w:eastAsia="ko-KR"/>
              </w:rPr>
            </w:pPr>
            <w:r w:rsidRPr="00911253">
              <w:rPr>
                <w:rFonts w:ascii="Arial" w:hAnsi="Arial" w:cs="Arial"/>
                <w:color w:val="000000"/>
                <w:sz w:val="18"/>
                <w:szCs w:val="18"/>
              </w:rPr>
              <w:t>Основание предоставления</w:t>
            </w:r>
          </w:p>
        </w:tc>
        <w:tc>
          <w:tcPr>
            <w:tcW w:w="1132" w:type="dxa"/>
            <w:shd w:val="clear" w:color="auto" w:fill="D0CECE"/>
            <w:vAlign w:val="center"/>
            <w:hideMark/>
          </w:tcPr>
          <w:p w14:paraId="4E01DB6B" w14:textId="77777777" w:rsidR="00E24C7A" w:rsidRPr="00911253" w:rsidRDefault="00E24C7A" w:rsidP="00A43635">
            <w:pPr>
              <w:contextualSpacing/>
              <w:jc w:val="center"/>
              <w:rPr>
                <w:rFonts w:ascii="Arial" w:eastAsia="Batang" w:hAnsi="Arial" w:cs="Arial"/>
                <w:sz w:val="18"/>
                <w:szCs w:val="18"/>
                <w:lang w:eastAsia="ko-KR"/>
              </w:rPr>
            </w:pPr>
            <w:r w:rsidRPr="00911253">
              <w:rPr>
                <w:rFonts w:ascii="Arial" w:hAnsi="Arial" w:cs="Arial"/>
                <w:color w:val="000000"/>
                <w:sz w:val="18"/>
                <w:szCs w:val="18"/>
              </w:rPr>
              <w:t>Формат содержательной части</w:t>
            </w:r>
          </w:p>
        </w:tc>
        <w:tc>
          <w:tcPr>
            <w:tcW w:w="936" w:type="dxa"/>
            <w:shd w:val="clear" w:color="auto" w:fill="D0CECE"/>
            <w:vAlign w:val="center"/>
            <w:hideMark/>
          </w:tcPr>
          <w:p w14:paraId="384B6FC3" w14:textId="77777777" w:rsidR="00E24C7A" w:rsidRPr="00911253" w:rsidRDefault="00E24C7A" w:rsidP="00A43635">
            <w:pPr>
              <w:contextualSpacing/>
              <w:jc w:val="center"/>
              <w:rPr>
                <w:rFonts w:ascii="Arial" w:eastAsia="Batang" w:hAnsi="Arial" w:cs="Arial"/>
                <w:sz w:val="18"/>
                <w:szCs w:val="18"/>
                <w:lang w:eastAsia="ko-KR"/>
              </w:rPr>
            </w:pPr>
            <w:r w:rsidRPr="00911253">
              <w:rPr>
                <w:rFonts w:ascii="Arial" w:hAnsi="Arial" w:cs="Arial"/>
                <w:color w:val="000000"/>
                <w:sz w:val="18"/>
                <w:szCs w:val="18"/>
              </w:rPr>
              <w:t>Отправитель</w:t>
            </w:r>
          </w:p>
        </w:tc>
        <w:tc>
          <w:tcPr>
            <w:tcW w:w="872" w:type="dxa"/>
            <w:shd w:val="clear" w:color="auto" w:fill="D0CECE"/>
            <w:vAlign w:val="center"/>
            <w:hideMark/>
          </w:tcPr>
          <w:p w14:paraId="410B6827" w14:textId="77777777" w:rsidR="00E24C7A" w:rsidRPr="00911253" w:rsidRDefault="00E24C7A" w:rsidP="00A43635">
            <w:pPr>
              <w:contextualSpacing/>
              <w:jc w:val="center"/>
              <w:rPr>
                <w:rFonts w:ascii="Arial" w:eastAsia="Batang" w:hAnsi="Arial" w:cs="Arial"/>
                <w:sz w:val="18"/>
                <w:szCs w:val="18"/>
                <w:lang w:eastAsia="ko-KR"/>
              </w:rPr>
            </w:pPr>
            <w:r w:rsidRPr="00911253">
              <w:rPr>
                <w:rFonts w:ascii="Arial" w:hAnsi="Arial" w:cs="Arial"/>
                <w:color w:val="000000"/>
                <w:sz w:val="18"/>
                <w:szCs w:val="18"/>
              </w:rPr>
              <w:t>Получатель</w:t>
            </w:r>
          </w:p>
        </w:tc>
        <w:tc>
          <w:tcPr>
            <w:tcW w:w="1043" w:type="dxa"/>
            <w:shd w:val="clear" w:color="auto" w:fill="D0CECE"/>
            <w:vAlign w:val="center"/>
            <w:hideMark/>
          </w:tcPr>
          <w:p w14:paraId="6DA7719D" w14:textId="77777777" w:rsidR="00E24C7A" w:rsidRPr="00911253" w:rsidRDefault="00E24C7A" w:rsidP="00A43635">
            <w:pPr>
              <w:contextualSpacing/>
              <w:jc w:val="center"/>
              <w:rPr>
                <w:rFonts w:ascii="Arial" w:eastAsia="Batang" w:hAnsi="Arial" w:cs="Arial"/>
                <w:sz w:val="18"/>
                <w:szCs w:val="18"/>
                <w:lang w:eastAsia="ko-KR"/>
              </w:rPr>
            </w:pPr>
            <w:r w:rsidRPr="00911253">
              <w:rPr>
                <w:rFonts w:ascii="Arial" w:hAnsi="Arial" w:cs="Arial"/>
                <w:color w:val="000000"/>
                <w:sz w:val="18"/>
                <w:szCs w:val="18"/>
              </w:rPr>
              <w:t>Способ доставки</w:t>
            </w:r>
          </w:p>
        </w:tc>
        <w:tc>
          <w:tcPr>
            <w:tcW w:w="1219" w:type="dxa"/>
            <w:shd w:val="clear" w:color="auto" w:fill="D0CECE"/>
            <w:vAlign w:val="center"/>
            <w:hideMark/>
          </w:tcPr>
          <w:p w14:paraId="4BBE7EE2" w14:textId="77777777" w:rsidR="00E24C7A" w:rsidRPr="00911253" w:rsidRDefault="00E24C7A" w:rsidP="00A43635">
            <w:pPr>
              <w:contextualSpacing/>
              <w:jc w:val="center"/>
              <w:rPr>
                <w:rFonts w:ascii="Arial" w:eastAsia="Batang" w:hAnsi="Arial" w:cs="Arial"/>
                <w:sz w:val="18"/>
                <w:szCs w:val="18"/>
                <w:lang w:eastAsia="ko-KR"/>
              </w:rPr>
            </w:pPr>
            <w:r w:rsidRPr="00911253">
              <w:rPr>
                <w:rFonts w:ascii="Arial" w:hAnsi="Arial" w:cs="Arial"/>
                <w:color w:val="000000"/>
                <w:sz w:val="18"/>
                <w:szCs w:val="18"/>
              </w:rPr>
              <w:t>Подтверждение получения документом-квитанцией</w:t>
            </w:r>
          </w:p>
        </w:tc>
        <w:tc>
          <w:tcPr>
            <w:tcW w:w="996" w:type="dxa"/>
            <w:shd w:val="clear" w:color="auto" w:fill="D0CECE"/>
            <w:vAlign w:val="center"/>
            <w:hideMark/>
          </w:tcPr>
          <w:p w14:paraId="66167ED6" w14:textId="77777777" w:rsidR="00E24C7A" w:rsidRPr="00911253" w:rsidRDefault="00E24C7A" w:rsidP="00A43635">
            <w:pPr>
              <w:contextualSpacing/>
              <w:jc w:val="center"/>
              <w:rPr>
                <w:rFonts w:ascii="Arial" w:eastAsia="Batang" w:hAnsi="Arial" w:cs="Arial"/>
                <w:sz w:val="18"/>
                <w:szCs w:val="18"/>
                <w:lang w:eastAsia="ko-KR"/>
              </w:rPr>
            </w:pPr>
            <w:r w:rsidRPr="00911253">
              <w:rPr>
                <w:rFonts w:ascii="Arial" w:hAnsi="Arial" w:cs="Arial"/>
                <w:color w:val="000000"/>
                <w:sz w:val="18"/>
                <w:szCs w:val="18"/>
              </w:rPr>
              <w:t>Необходимость шифрования</w:t>
            </w:r>
          </w:p>
        </w:tc>
        <w:tc>
          <w:tcPr>
            <w:tcW w:w="1890" w:type="dxa"/>
            <w:shd w:val="clear" w:color="auto" w:fill="D0CECE"/>
            <w:vAlign w:val="center"/>
            <w:hideMark/>
          </w:tcPr>
          <w:p w14:paraId="080CD6AD" w14:textId="77777777" w:rsidR="00E24C7A" w:rsidRPr="00911253" w:rsidRDefault="00E24C7A" w:rsidP="00A43635">
            <w:pPr>
              <w:ind w:left="-68" w:right="-104"/>
              <w:contextualSpacing/>
              <w:jc w:val="center"/>
              <w:rPr>
                <w:rFonts w:ascii="Arial" w:eastAsia="Batang" w:hAnsi="Arial" w:cs="Arial"/>
                <w:sz w:val="18"/>
                <w:szCs w:val="18"/>
                <w:lang w:eastAsia="ko-KR"/>
              </w:rPr>
            </w:pPr>
            <w:r w:rsidRPr="00911253">
              <w:rPr>
                <w:rFonts w:ascii="Arial" w:hAnsi="Arial" w:cs="Arial"/>
                <w:color w:val="000000"/>
                <w:sz w:val="18"/>
                <w:szCs w:val="18"/>
              </w:rPr>
              <w:t>Идентификатор (OID), определяющий требуемые для подписания ЭД полномочия представителя участника ЭДО</w:t>
            </w:r>
          </w:p>
        </w:tc>
        <w:tc>
          <w:tcPr>
            <w:tcW w:w="1062" w:type="dxa"/>
            <w:shd w:val="clear" w:color="auto" w:fill="D0CECE"/>
            <w:vAlign w:val="center"/>
            <w:hideMark/>
          </w:tcPr>
          <w:p w14:paraId="6F9452C8" w14:textId="77777777" w:rsidR="00E24C7A" w:rsidRPr="00911253" w:rsidRDefault="00E24C7A" w:rsidP="00A43635">
            <w:pPr>
              <w:contextualSpacing/>
              <w:jc w:val="center"/>
              <w:rPr>
                <w:rFonts w:ascii="Arial" w:eastAsia="Batang" w:hAnsi="Arial" w:cs="Arial"/>
                <w:sz w:val="18"/>
                <w:szCs w:val="18"/>
                <w:lang w:eastAsia="ko-KR"/>
              </w:rPr>
            </w:pPr>
            <w:r w:rsidRPr="00911253">
              <w:rPr>
                <w:rFonts w:ascii="Arial" w:hAnsi="Arial" w:cs="Arial"/>
                <w:color w:val="000000"/>
                <w:sz w:val="18"/>
                <w:szCs w:val="18"/>
              </w:rPr>
              <w:t>ПО для отображения и изготовления бумажных копий</w:t>
            </w:r>
          </w:p>
        </w:tc>
        <w:tc>
          <w:tcPr>
            <w:tcW w:w="785" w:type="dxa"/>
            <w:shd w:val="clear" w:color="auto" w:fill="D0CECE"/>
            <w:vAlign w:val="center"/>
            <w:hideMark/>
          </w:tcPr>
          <w:p w14:paraId="2838BBBE" w14:textId="77777777" w:rsidR="00E24C7A" w:rsidRPr="00911253" w:rsidRDefault="00E24C7A" w:rsidP="00A43635">
            <w:pPr>
              <w:contextualSpacing/>
              <w:jc w:val="center"/>
              <w:rPr>
                <w:rFonts w:ascii="Arial" w:eastAsia="Batang" w:hAnsi="Arial" w:cs="Arial"/>
                <w:sz w:val="18"/>
                <w:szCs w:val="18"/>
                <w:lang w:eastAsia="ko-KR"/>
              </w:rPr>
            </w:pPr>
            <w:r w:rsidRPr="00911253">
              <w:rPr>
                <w:rFonts w:ascii="Arial" w:hAnsi="Arial" w:cs="Arial"/>
                <w:color w:val="000000"/>
                <w:sz w:val="18"/>
                <w:szCs w:val="18"/>
              </w:rPr>
              <w:t>Срок хранения в архиве</w:t>
            </w:r>
          </w:p>
        </w:tc>
        <w:tc>
          <w:tcPr>
            <w:tcW w:w="821" w:type="dxa"/>
            <w:shd w:val="clear" w:color="auto" w:fill="D0CECE"/>
            <w:vAlign w:val="center"/>
            <w:hideMark/>
          </w:tcPr>
          <w:p w14:paraId="23872FE2" w14:textId="77777777" w:rsidR="00E24C7A" w:rsidRPr="00911253" w:rsidRDefault="00E24C7A" w:rsidP="00A43635">
            <w:pPr>
              <w:contextualSpacing/>
              <w:jc w:val="center"/>
              <w:rPr>
                <w:rFonts w:ascii="Arial" w:eastAsia="Batang" w:hAnsi="Arial" w:cs="Arial"/>
                <w:sz w:val="18"/>
                <w:szCs w:val="18"/>
                <w:lang w:eastAsia="ko-KR"/>
              </w:rPr>
            </w:pPr>
            <w:r w:rsidRPr="00911253">
              <w:rPr>
                <w:rFonts w:ascii="Arial" w:hAnsi="Arial" w:cs="Arial"/>
                <w:color w:val="000000"/>
                <w:sz w:val="18"/>
                <w:szCs w:val="18"/>
              </w:rPr>
              <w:t>Срок доступа через интерфейс сайта</w:t>
            </w:r>
          </w:p>
        </w:tc>
      </w:tr>
      <w:tr w:rsidR="00E24C7A" w:rsidRPr="00911253" w14:paraId="679C6CD9" w14:textId="77777777" w:rsidTr="00A43635">
        <w:trPr>
          <w:trHeight w:val="64"/>
        </w:trPr>
        <w:tc>
          <w:tcPr>
            <w:tcW w:w="1099" w:type="dxa"/>
            <w:shd w:val="clear" w:color="auto" w:fill="auto"/>
          </w:tcPr>
          <w:p w14:paraId="298726A3" w14:textId="77777777" w:rsidR="00E24C7A" w:rsidRPr="00204458" w:rsidRDefault="00E24C7A" w:rsidP="00A43635">
            <w:pPr>
              <w:contextualSpacing/>
              <w:jc w:val="center"/>
              <w:rPr>
                <w:rFonts w:ascii="Arial" w:hAnsi="Arial" w:cs="Arial"/>
                <w:color w:val="000000"/>
                <w:sz w:val="18"/>
                <w:szCs w:val="18"/>
              </w:rPr>
            </w:pPr>
            <w:r w:rsidRPr="007B078C">
              <w:rPr>
                <w:rFonts w:ascii="Arial" w:hAnsi="Arial" w:cs="Arial"/>
                <w:color w:val="000000"/>
                <w:sz w:val="18"/>
                <w:szCs w:val="18"/>
              </w:rPr>
              <w:t>80000</w:t>
            </w:r>
          </w:p>
        </w:tc>
        <w:tc>
          <w:tcPr>
            <w:tcW w:w="2062" w:type="dxa"/>
            <w:shd w:val="clear" w:color="auto" w:fill="auto"/>
          </w:tcPr>
          <w:p w14:paraId="40E1FC41" w14:textId="77777777" w:rsidR="00E24C7A" w:rsidRPr="00204458" w:rsidRDefault="00E24C7A" w:rsidP="00A43635">
            <w:pPr>
              <w:contextualSpacing/>
              <w:jc w:val="center"/>
              <w:rPr>
                <w:rFonts w:ascii="Arial" w:hAnsi="Arial" w:cs="Arial"/>
                <w:color w:val="000000"/>
                <w:sz w:val="18"/>
                <w:szCs w:val="18"/>
              </w:rPr>
            </w:pPr>
            <w:r w:rsidRPr="007B078C">
              <w:rPr>
                <w:rFonts w:ascii="Arial" w:hAnsi="Arial" w:cs="Arial"/>
                <w:color w:val="000000"/>
                <w:sz w:val="18"/>
                <w:szCs w:val="18"/>
              </w:rPr>
              <w:t>Коды по точкам измерений, точкам поставки, группам точек поставки и сальдо перетоков (формат 80000)</w:t>
            </w:r>
          </w:p>
        </w:tc>
        <w:tc>
          <w:tcPr>
            <w:tcW w:w="1563" w:type="dxa"/>
            <w:shd w:val="clear" w:color="auto" w:fill="auto"/>
          </w:tcPr>
          <w:p w14:paraId="38971691" w14:textId="77777777" w:rsidR="00E24C7A" w:rsidRPr="00204458" w:rsidRDefault="00E24C7A" w:rsidP="00A43635">
            <w:pPr>
              <w:contextualSpacing/>
              <w:jc w:val="center"/>
              <w:rPr>
                <w:rFonts w:ascii="Arial" w:hAnsi="Arial" w:cs="Arial"/>
                <w:color w:val="000000"/>
                <w:sz w:val="18"/>
                <w:szCs w:val="18"/>
              </w:rPr>
            </w:pPr>
            <w:r w:rsidRPr="007B078C">
              <w:rPr>
                <w:rFonts w:ascii="Arial" w:hAnsi="Arial" w:cs="Arial"/>
                <w:color w:val="000000"/>
                <w:sz w:val="18"/>
                <w:szCs w:val="18"/>
              </w:rPr>
              <w:t>Регламент № 11.1.1, приложение 14</w:t>
            </w:r>
          </w:p>
        </w:tc>
        <w:tc>
          <w:tcPr>
            <w:tcW w:w="1132" w:type="dxa"/>
            <w:shd w:val="clear" w:color="auto" w:fill="auto"/>
          </w:tcPr>
          <w:p w14:paraId="1749810F" w14:textId="77777777" w:rsidR="00E24C7A" w:rsidRPr="00204458" w:rsidRDefault="00E24C7A" w:rsidP="00A43635">
            <w:pPr>
              <w:contextualSpacing/>
              <w:jc w:val="center"/>
              <w:rPr>
                <w:rFonts w:ascii="Arial" w:hAnsi="Arial" w:cs="Arial"/>
                <w:color w:val="000000"/>
                <w:sz w:val="18"/>
                <w:szCs w:val="18"/>
              </w:rPr>
            </w:pPr>
            <w:r w:rsidRPr="007B078C">
              <w:rPr>
                <w:rFonts w:ascii="Arial" w:hAnsi="Arial" w:cs="Arial"/>
                <w:color w:val="000000"/>
                <w:sz w:val="18"/>
                <w:szCs w:val="18"/>
              </w:rPr>
              <w:t>xml</w:t>
            </w:r>
          </w:p>
        </w:tc>
        <w:tc>
          <w:tcPr>
            <w:tcW w:w="936" w:type="dxa"/>
            <w:shd w:val="clear" w:color="auto" w:fill="auto"/>
          </w:tcPr>
          <w:p w14:paraId="79E8E1C1" w14:textId="77777777" w:rsidR="00E24C7A" w:rsidRPr="00204458" w:rsidRDefault="00E24C7A" w:rsidP="00A43635">
            <w:pPr>
              <w:contextualSpacing/>
              <w:jc w:val="center"/>
              <w:rPr>
                <w:rFonts w:ascii="Arial" w:hAnsi="Arial" w:cs="Arial"/>
                <w:color w:val="000000"/>
                <w:sz w:val="18"/>
                <w:szCs w:val="18"/>
              </w:rPr>
            </w:pPr>
            <w:r w:rsidRPr="007B078C">
              <w:rPr>
                <w:rFonts w:ascii="Arial" w:hAnsi="Arial" w:cs="Arial"/>
                <w:color w:val="000000"/>
                <w:sz w:val="18"/>
                <w:szCs w:val="18"/>
              </w:rPr>
              <w:t>АТС</w:t>
            </w:r>
          </w:p>
        </w:tc>
        <w:tc>
          <w:tcPr>
            <w:tcW w:w="872" w:type="dxa"/>
            <w:shd w:val="clear" w:color="auto" w:fill="auto"/>
          </w:tcPr>
          <w:p w14:paraId="7629A9FD" w14:textId="77777777" w:rsidR="00E24C7A" w:rsidRPr="00204458" w:rsidRDefault="00E24C7A" w:rsidP="00A43635">
            <w:pPr>
              <w:contextualSpacing/>
              <w:jc w:val="center"/>
              <w:rPr>
                <w:rFonts w:ascii="Arial" w:hAnsi="Arial" w:cs="Arial"/>
                <w:color w:val="000000"/>
                <w:sz w:val="18"/>
                <w:szCs w:val="18"/>
              </w:rPr>
            </w:pPr>
            <w:r w:rsidRPr="007B078C">
              <w:rPr>
                <w:rFonts w:ascii="Arial" w:hAnsi="Arial" w:cs="Arial"/>
                <w:color w:val="000000"/>
                <w:sz w:val="18"/>
                <w:szCs w:val="18"/>
              </w:rPr>
              <w:t>ФСК, Участник</w:t>
            </w:r>
          </w:p>
        </w:tc>
        <w:tc>
          <w:tcPr>
            <w:tcW w:w="1043" w:type="dxa"/>
            <w:shd w:val="clear" w:color="auto" w:fill="auto"/>
          </w:tcPr>
          <w:p w14:paraId="376B38EF" w14:textId="77777777" w:rsidR="00E24C7A" w:rsidRPr="00204458" w:rsidRDefault="00E24C7A" w:rsidP="00A43635">
            <w:pPr>
              <w:contextualSpacing/>
              <w:jc w:val="center"/>
              <w:rPr>
                <w:rFonts w:ascii="Arial" w:hAnsi="Arial" w:cs="Arial"/>
                <w:color w:val="000000"/>
                <w:sz w:val="18"/>
                <w:szCs w:val="18"/>
              </w:rPr>
            </w:pPr>
            <w:r w:rsidRPr="007B078C">
              <w:rPr>
                <w:rFonts w:ascii="Arial" w:hAnsi="Arial" w:cs="Arial"/>
                <w:color w:val="000000"/>
                <w:sz w:val="18"/>
                <w:szCs w:val="18"/>
              </w:rPr>
              <w:t>электронная почта</w:t>
            </w:r>
          </w:p>
        </w:tc>
        <w:tc>
          <w:tcPr>
            <w:tcW w:w="1219" w:type="dxa"/>
            <w:shd w:val="clear" w:color="auto" w:fill="auto"/>
          </w:tcPr>
          <w:p w14:paraId="27740390" w14:textId="77777777" w:rsidR="00E24C7A" w:rsidRPr="00204458" w:rsidRDefault="00E24C7A" w:rsidP="00A43635">
            <w:pPr>
              <w:contextualSpacing/>
              <w:jc w:val="center"/>
              <w:rPr>
                <w:rFonts w:ascii="Arial" w:hAnsi="Arial" w:cs="Arial"/>
                <w:sz w:val="18"/>
                <w:szCs w:val="18"/>
              </w:rPr>
            </w:pPr>
            <w:r w:rsidRPr="007B078C">
              <w:rPr>
                <w:rFonts w:ascii="Arial" w:hAnsi="Arial" w:cs="Arial"/>
                <w:color w:val="000000"/>
                <w:sz w:val="18"/>
                <w:szCs w:val="18"/>
              </w:rPr>
              <w:t>Нет</w:t>
            </w:r>
          </w:p>
        </w:tc>
        <w:tc>
          <w:tcPr>
            <w:tcW w:w="996" w:type="dxa"/>
            <w:shd w:val="clear" w:color="auto" w:fill="auto"/>
          </w:tcPr>
          <w:p w14:paraId="28B983E1" w14:textId="77777777" w:rsidR="00E24C7A" w:rsidRPr="00204458" w:rsidRDefault="00E24C7A" w:rsidP="00A43635">
            <w:pPr>
              <w:contextualSpacing/>
              <w:jc w:val="center"/>
              <w:rPr>
                <w:rFonts w:ascii="Arial" w:hAnsi="Arial" w:cs="Arial"/>
                <w:sz w:val="18"/>
                <w:szCs w:val="18"/>
              </w:rPr>
            </w:pPr>
            <w:r w:rsidRPr="007B078C">
              <w:rPr>
                <w:rFonts w:ascii="Arial" w:hAnsi="Arial" w:cs="Arial"/>
                <w:color w:val="000000"/>
                <w:sz w:val="18"/>
                <w:szCs w:val="18"/>
              </w:rPr>
              <w:t>Да</w:t>
            </w:r>
          </w:p>
        </w:tc>
        <w:tc>
          <w:tcPr>
            <w:tcW w:w="1890" w:type="dxa"/>
            <w:shd w:val="clear" w:color="auto" w:fill="auto"/>
          </w:tcPr>
          <w:p w14:paraId="70051D09" w14:textId="77777777" w:rsidR="00E24C7A" w:rsidRPr="00204458" w:rsidRDefault="00E24C7A" w:rsidP="00A43635">
            <w:pPr>
              <w:contextualSpacing/>
              <w:jc w:val="center"/>
              <w:rPr>
                <w:rFonts w:ascii="Arial" w:hAnsi="Arial" w:cs="Arial"/>
                <w:sz w:val="18"/>
                <w:szCs w:val="18"/>
              </w:rPr>
            </w:pPr>
            <w:r w:rsidRPr="007B078C">
              <w:rPr>
                <w:rFonts w:ascii="Arial" w:hAnsi="Arial" w:cs="Arial"/>
                <w:color w:val="000000"/>
                <w:sz w:val="18"/>
                <w:szCs w:val="18"/>
              </w:rPr>
              <w:t>1.3.6.1.4.1.18545.1.2.1.9</w:t>
            </w:r>
          </w:p>
        </w:tc>
        <w:tc>
          <w:tcPr>
            <w:tcW w:w="1062" w:type="dxa"/>
            <w:shd w:val="clear" w:color="auto" w:fill="auto"/>
          </w:tcPr>
          <w:p w14:paraId="0F37DB5B" w14:textId="77777777" w:rsidR="00E24C7A" w:rsidRPr="00204458" w:rsidRDefault="00E24C7A" w:rsidP="00A43635">
            <w:pPr>
              <w:contextualSpacing/>
              <w:jc w:val="center"/>
              <w:rPr>
                <w:rFonts w:ascii="Arial" w:hAnsi="Arial" w:cs="Arial"/>
                <w:sz w:val="18"/>
                <w:szCs w:val="18"/>
              </w:rPr>
            </w:pPr>
            <w:r w:rsidRPr="007B078C">
              <w:rPr>
                <w:rFonts w:ascii="Arial" w:hAnsi="Arial" w:cs="Arial"/>
                <w:color w:val="000000"/>
                <w:sz w:val="18"/>
                <w:szCs w:val="18"/>
              </w:rPr>
              <w:t>Блокнот</w:t>
            </w:r>
          </w:p>
        </w:tc>
        <w:tc>
          <w:tcPr>
            <w:tcW w:w="785" w:type="dxa"/>
            <w:shd w:val="clear" w:color="auto" w:fill="auto"/>
          </w:tcPr>
          <w:p w14:paraId="6CE6F9EA" w14:textId="77777777" w:rsidR="00E24C7A" w:rsidRPr="00204458" w:rsidRDefault="00E24C7A" w:rsidP="00A43635">
            <w:pPr>
              <w:contextualSpacing/>
              <w:jc w:val="center"/>
              <w:rPr>
                <w:rFonts w:ascii="Arial" w:hAnsi="Arial" w:cs="Arial"/>
                <w:sz w:val="18"/>
                <w:szCs w:val="18"/>
              </w:rPr>
            </w:pPr>
            <w:r w:rsidRPr="007B078C">
              <w:rPr>
                <w:rFonts w:ascii="Arial" w:hAnsi="Arial" w:cs="Arial"/>
                <w:color w:val="000000"/>
                <w:sz w:val="18"/>
                <w:szCs w:val="18"/>
              </w:rPr>
              <w:t>5 лет</w:t>
            </w:r>
          </w:p>
        </w:tc>
        <w:tc>
          <w:tcPr>
            <w:tcW w:w="821" w:type="dxa"/>
            <w:shd w:val="clear" w:color="auto" w:fill="auto"/>
            <w:vAlign w:val="bottom"/>
          </w:tcPr>
          <w:p w14:paraId="740E6743" w14:textId="77777777" w:rsidR="00E24C7A" w:rsidRPr="00911253" w:rsidRDefault="00E24C7A" w:rsidP="00A43635">
            <w:pPr>
              <w:contextualSpacing/>
              <w:jc w:val="center"/>
              <w:rPr>
                <w:rFonts w:ascii="Arial" w:eastAsia="Batang" w:hAnsi="Arial" w:cs="Arial"/>
                <w:sz w:val="18"/>
                <w:szCs w:val="18"/>
                <w:lang w:eastAsia="ko-KR"/>
              </w:rPr>
            </w:pPr>
          </w:p>
        </w:tc>
      </w:tr>
      <w:tr w:rsidR="00E24C7A" w:rsidRPr="00911253" w14:paraId="2515D7A9" w14:textId="77777777" w:rsidTr="00A43635">
        <w:trPr>
          <w:trHeight w:val="64"/>
        </w:trPr>
        <w:tc>
          <w:tcPr>
            <w:tcW w:w="1099" w:type="dxa"/>
            <w:shd w:val="clear" w:color="auto" w:fill="auto"/>
            <w:vAlign w:val="center"/>
          </w:tcPr>
          <w:p w14:paraId="7708B63E" w14:textId="77777777" w:rsidR="00E24C7A" w:rsidRPr="00911253" w:rsidRDefault="00E24C7A" w:rsidP="00A43635">
            <w:pPr>
              <w:contextualSpacing/>
              <w:jc w:val="center"/>
              <w:rPr>
                <w:rFonts w:ascii="Arial" w:eastAsia="Batang" w:hAnsi="Arial" w:cs="Arial"/>
                <w:sz w:val="18"/>
                <w:szCs w:val="18"/>
                <w:lang w:eastAsia="ko-KR"/>
              </w:rPr>
            </w:pPr>
            <w:r w:rsidRPr="00911253">
              <w:rPr>
                <w:rFonts w:ascii="Arial" w:hAnsi="Arial" w:cs="Arial"/>
                <w:color w:val="000000"/>
                <w:sz w:val="18"/>
                <w:szCs w:val="18"/>
              </w:rPr>
              <w:t>60000</w:t>
            </w:r>
          </w:p>
        </w:tc>
        <w:tc>
          <w:tcPr>
            <w:tcW w:w="2062" w:type="dxa"/>
            <w:shd w:val="clear" w:color="auto" w:fill="auto"/>
            <w:vAlign w:val="center"/>
          </w:tcPr>
          <w:p w14:paraId="24445A91" w14:textId="77777777" w:rsidR="00E24C7A" w:rsidRPr="00911253" w:rsidRDefault="00E24C7A" w:rsidP="00A43635">
            <w:pPr>
              <w:contextualSpacing/>
              <w:jc w:val="center"/>
              <w:rPr>
                <w:rFonts w:ascii="Arial" w:eastAsia="Batang" w:hAnsi="Arial" w:cs="Arial"/>
                <w:sz w:val="18"/>
                <w:szCs w:val="18"/>
                <w:lang w:eastAsia="ko-KR"/>
              </w:rPr>
            </w:pPr>
            <w:r w:rsidRPr="00911253">
              <w:rPr>
                <w:rFonts w:ascii="Arial" w:hAnsi="Arial" w:cs="Arial"/>
                <w:color w:val="000000"/>
                <w:sz w:val="18"/>
                <w:szCs w:val="18"/>
              </w:rPr>
              <w:t>Перечень средств измерений для целей коммерческого учета (макет 60000)</w:t>
            </w:r>
          </w:p>
        </w:tc>
        <w:tc>
          <w:tcPr>
            <w:tcW w:w="1563" w:type="dxa"/>
            <w:shd w:val="clear" w:color="auto" w:fill="auto"/>
            <w:vAlign w:val="center"/>
          </w:tcPr>
          <w:p w14:paraId="6D5331D5" w14:textId="77777777" w:rsidR="00E24C7A" w:rsidRPr="00911253" w:rsidRDefault="00E24C7A" w:rsidP="00A43635">
            <w:pPr>
              <w:contextualSpacing/>
              <w:jc w:val="center"/>
              <w:rPr>
                <w:rFonts w:ascii="Arial" w:eastAsia="Batang" w:hAnsi="Arial" w:cs="Arial"/>
                <w:sz w:val="18"/>
                <w:szCs w:val="18"/>
                <w:lang w:eastAsia="ko-KR"/>
              </w:rPr>
            </w:pPr>
            <w:r w:rsidRPr="00911253">
              <w:rPr>
                <w:rFonts w:ascii="Arial" w:hAnsi="Arial" w:cs="Arial"/>
                <w:color w:val="000000"/>
                <w:sz w:val="18"/>
                <w:szCs w:val="18"/>
              </w:rPr>
              <w:t>Регламент № 11, приложение 5</w:t>
            </w:r>
          </w:p>
        </w:tc>
        <w:tc>
          <w:tcPr>
            <w:tcW w:w="1132" w:type="dxa"/>
            <w:shd w:val="clear" w:color="auto" w:fill="auto"/>
            <w:vAlign w:val="center"/>
          </w:tcPr>
          <w:p w14:paraId="2BABAB52" w14:textId="77777777" w:rsidR="00E24C7A" w:rsidRPr="00911253" w:rsidRDefault="00E24C7A" w:rsidP="00A43635">
            <w:pPr>
              <w:contextualSpacing/>
              <w:jc w:val="center"/>
              <w:rPr>
                <w:rFonts w:ascii="Arial" w:eastAsia="Batang" w:hAnsi="Arial" w:cs="Arial"/>
                <w:sz w:val="18"/>
                <w:szCs w:val="18"/>
                <w:lang w:eastAsia="ko-KR"/>
              </w:rPr>
            </w:pPr>
            <w:r w:rsidRPr="00911253">
              <w:rPr>
                <w:rFonts w:ascii="Arial" w:hAnsi="Arial" w:cs="Arial"/>
                <w:color w:val="000000"/>
                <w:sz w:val="18"/>
                <w:szCs w:val="18"/>
              </w:rPr>
              <w:t>xml</w:t>
            </w:r>
          </w:p>
        </w:tc>
        <w:tc>
          <w:tcPr>
            <w:tcW w:w="936" w:type="dxa"/>
            <w:shd w:val="clear" w:color="auto" w:fill="auto"/>
            <w:vAlign w:val="center"/>
          </w:tcPr>
          <w:p w14:paraId="73D834D7" w14:textId="77777777" w:rsidR="00E24C7A" w:rsidRPr="00911253" w:rsidRDefault="00E24C7A" w:rsidP="00A43635">
            <w:pPr>
              <w:contextualSpacing/>
              <w:jc w:val="center"/>
              <w:rPr>
                <w:rFonts w:ascii="Arial" w:eastAsia="Batang" w:hAnsi="Arial" w:cs="Arial"/>
                <w:sz w:val="18"/>
                <w:szCs w:val="18"/>
                <w:lang w:eastAsia="ko-KR"/>
              </w:rPr>
            </w:pPr>
            <w:r w:rsidRPr="00911253">
              <w:rPr>
                <w:rFonts w:ascii="Arial" w:hAnsi="Arial" w:cs="Arial"/>
                <w:color w:val="000000"/>
                <w:sz w:val="18"/>
                <w:szCs w:val="18"/>
              </w:rPr>
              <w:t>ФСК, Участник</w:t>
            </w:r>
          </w:p>
        </w:tc>
        <w:tc>
          <w:tcPr>
            <w:tcW w:w="872" w:type="dxa"/>
            <w:shd w:val="clear" w:color="auto" w:fill="auto"/>
            <w:vAlign w:val="center"/>
          </w:tcPr>
          <w:p w14:paraId="487003F5" w14:textId="77777777" w:rsidR="00E24C7A" w:rsidRPr="00911253" w:rsidRDefault="00E24C7A" w:rsidP="00A43635">
            <w:pPr>
              <w:contextualSpacing/>
              <w:jc w:val="center"/>
              <w:rPr>
                <w:rFonts w:ascii="Arial" w:eastAsia="Batang" w:hAnsi="Arial" w:cs="Arial"/>
                <w:sz w:val="18"/>
                <w:szCs w:val="18"/>
                <w:lang w:eastAsia="ko-KR"/>
              </w:rPr>
            </w:pPr>
            <w:r w:rsidRPr="00911253">
              <w:rPr>
                <w:rFonts w:ascii="Arial" w:hAnsi="Arial" w:cs="Arial"/>
                <w:color w:val="000000"/>
                <w:sz w:val="18"/>
                <w:szCs w:val="18"/>
              </w:rPr>
              <w:t>АТС</w:t>
            </w:r>
          </w:p>
        </w:tc>
        <w:tc>
          <w:tcPr>
            <w:tcW w:w="1043" w:type="dxa"/>
            <w:shd w:val="clear" w:color="auto" w:fill="auto"/>
            <w:vAlign w:val="center"/>
          </w:tcPr>
          <w:p w14:paraId="0C549E8E" w14:textId="77777777" w:rsidR="00E24C7A" w:rsidRPr="00911253" w:rsidRDefault="00E24C7A" w:rsidP="00A43635">
            <w:pPr>
              <w:contextualSpacing/>
              <w:jc w:val="center"/>
              <w:rPr>
                <w:rFonts w:ascii="Arial" w:eastAsia="Batang" w:hAnsi="Arial" w:cs="Arial"/>
                <w:sz w:val="18"/>
                <w:szCs w:val="18"/>
                <w:lang w:eastAsia="ko-KR"/>
              </w:rPr>
            </w:pPr>
            <w:r w:rsidRPr="00911253">
              <w:rPr>
                <w:rFonts w:ascii="Arial" w:hAnsi="Arial" w:cs="Arial"/>
                <w:color w:val="000000"/>
                <w:sz w:val="18"/>
                <w:szCs w:val="18"/>
              </w:rPr>
              <w:t>электронная почта</w:t>
            </w:r>
          </w:p>
        </w:tc>
        <w:tc>
          <w:tcPr>
            <w:tcW w:w="1219" w:type="dxa"/>
            <w:shd w:val="clear" w:color="auto" w:fill="auto"/>
            <w:vAlign w:val="center"/>
          </w:tcPr>
          <w:p w14:paraId="25536B2E" w14:textId="77777777" w:rsidR="00E24C7A" w:rsidRPr="00911253" w:rsidRDefault="00E24C7A" w:rsidP="00A43635">
            <w:pPr>
              <w:contextualSpacing/>
              <w:jc w:val="center"/>
              <w:rPr>
                <w:rFonts w:ascii="Arial" w:eastAsia="Batang" w:hAnsi="Arial" w:cs="Arial"/>
                <w:sz w:val="18"/>
                <w:szCs w:val="18"/>
                <w:lang w:eastAsia="ko-KR"/>
              </w:rPr>
            </w:pPr>
            <w:r w:rsidRPr="00911253">
              <w:rPr>
                <w:rFonts w:ascii="Arial" w:hAnsi="Arial" w:cs="Arial"/>
                <w:sz w:val="18"/>
                <w:szCs w:val="18"/>
              </w:rPr>
              <w:t>Нет</w:t>
            </w:r>
          </w:p>
        </w:tc>
        <w:tc>
          <w:tcPr>
            <w:tcW w:w="996" w:type="dxa"/>
            <w:shd w:val="clear" w:color="auto" w:fill="auto"/>
            <w:vAlign w:val="center"/>
          </w:tcPr>
          <w:p w14:paraId="0C438307" w14:textId="77777777" w:rsidR="00E24C7A" w:rsidRPr="00911253" w:rsidRDefault="00E24C7A" w:rsidP="00A43635">
            <w:pPr>
              <w:contextualSpacing/>
              <w:jc w:val="center"/>
              <w:rPr>
                <w:rFonts w:ascii="Arial" w:eastAsia="Batang" w:hAnsi="Arial" w:cs="Arial"/>
                <w:sz w:val="18"/>
                <w:szCs w:val="18"/>
                <w:lang w:eastAsia="ko-KR"/>
              </w:rPr>
            </w:pPr>
            <w:r w:rsidRPr="00911253">
              <w:rPr>
                <w:rFonts w:ascii="Arial" w:hAnsi="Arial" w:cs="Arial"/>
                <w:sz w:val="18"/>
                <w:szCs w:val="18"/>
              </w:rPr>
              <w:t>Да</w:t>
            </w:r>
          </w:p>
        </w:tc>
        <w:tc>
          <w:tcPr>
            <w:tcW w:w="1890" w:type="dxa"/>
            <w:shd w:val="clear" w:color="auto" w:fill="auto"/>
            <w:vAlign w:val="center"/>
          </w:tcPr>
          <w:p w14:paraId="150669AE" w14:textId="77777777" w:rsidR="00E24C7A" w:rsidRPr="00911253" w:rsidRDefault="00E24C7A" w:rsidP="00A43635">
            <w:pPr>
              <w:contextualSpacing/>
              <w:jc w:val="center"/>
              <w:rPr>
                <w:rFonts w:ascii="Arial" w:eastAsia="Batang" w:hAnsi="Arial" w:cs="Arial"/>
                <w:color w:val="FF0000"/>
                <w:sz w:val="18"/>
                <w:szCs w:val="18"/>
                <w:lang w:eastAsia="ko-KR"/>
              </w:rPr>
            </w:pPr>
            <w:r w:rsidRPr="00911253">
              <w:rPr>
                <w:rFonts w:ascii="Arial" w:hAnsi="Arial" w:cs="Arial"/>
                <w:sz w:val="18"/>
                <w:szCs w:val="18"/>
              </w:rPr>
              <w:t>1.3.6.1.4.1.18545.1.2.1.9</w:t>
            </w:r>
          </w:p>
        </w:tc>
        <w:tc>
          <w:tcPr>
            <w:tcW w:w="1062" w:type="dxa"/>
            <w:shd w:val="clear" w:color="auto" w:fill="auto"/>
            <w:vAlign w:val="center"/>
          </w:tcPr>
          <w:p w14:paraId="3210EC4A" w14:textId="77777777" w:rsidR="00E24C7A" w:rsidRPr="00911253" w:rsidRDefault="00E24C7A" w:rsidP="00A43635">
            <w:pPr>
              <w:contextualSpacing/>
              <w:jc w:val="center"/>
              <w:rPr>
                <w:rFonts w:ascii="Arial" w:eastAsia="Batang" w:hAnsi="Arial" w:cs="Arial"/>
                <w:color w:val="FF0000"/>
                <w:sz w:val="18"/>
                <w:szCs w:val="18"/>
                <w:lang w:eastAsia="ko-KR"/>
              </w:rPr>
            </w:pPr>
            <w:r w:rsidRPr="00911253">
              <w:rPr>
                <w:rFonts w:ascii="Arial" w:hAnsi="Arial" w:cs="Arial"/>
                <w:sz w:val="18"/>
                <w:szCs w:val="18"/>
              </w:rPr>
              <w:t>ASPMailer, блокнот</w:t>
            </w:r>
          </w:p>
        </w:tc>
        <w:tc>
          <w:tcPr>
            <w:tcW w:w="785" w:type="dxa"/>
            <w:shd w:val="clear" w:color="auto" w:fill="auto"/>
            <w:vAlign w:val="center"/>
          </w:tcPr>
          <w:p w14:paraId="4E458F93" w14:textId="77777777" w:rsidR="00E24C7A" w:rsidRPr="00911253" w:rsidRDefault="00E24C7A" w:rsidP="00A43635">
            <w:pPr>
              <w:contextualSpacing/>
              <w:jc w:val="center"/>
              <w:rPr>
                <w:rFonts w:ascii="Arial" w:eastAsia="Batang" w:hAnsi="Arial" w:cs="Arial"/>
                <w:color w:val="FF0000"/>
                <w:sz w:val="18"/>
                <w:szCs w:val="18"/>
                <w:lang w:eastAsia="ko-KR"/>
              </w:rPr>
            </w:pPr>
            <w:r w:rsidRPr="00911253">
              <w:rPr>
                <w:rFonts w:ascii="Arial" w:hAnsi="Arial" w:cs="Arial"/>
                <w:sz w:val="18"/>
                <w:szCs w:val="18"/>
              </w:rPr>
              <w:t>постоянно</w:t>
            </w:r>
          </w:p>
        </w:tc>
        <w:tc>
          <w:tcPr>
            <w:tcW w:w="821" w:type="dxa"/>
            <w:shd w:val="clear" w:color="auto" w:fill="auto"/>
          </w:tcPr>
          <w:p w14:paraId="5DA1D92F" w14:textId="77777777" w:rsidR="00E24C7A" w:rsidRPr="00911253" w:rsidRDefault="00E24C7A" w:rsidP="00A43635">
            <w:pPr>
              <w:contextualSpacing/>
              <w:jc w:val="center"/>
              <w:rPr>
                <w:rFonts w:ascii="Arial" w:eastAsia="Batang" w:hAnsi="Arial" w:cs="Arial"/>
                <w:sz w:val="18"/>
                <w:szCs w:val="18"/>
                <w:lang w:eastAsia="ko-KR"/>
              </w:rPr>
            </w:pPr>
          </w:p>
        </w:tc>
      </w:tr>
      <w:tr w:rsidR="00E24C7A" w:rsidRPr="00911253" w14:paraId="5F086D54" w14:textId="77777777" w:rsidTr="00A43635">
        <w:trPr>
          <w:trHeight w:val="64"/>
        </w:trPr>
        <w:tc>
          <w:tcPr>
            <w:tcW w:w="1099" w:type="dxa"/>
            <w:shd w:val="clear" w:color="auto" w:fill="auto"/>
            <w:vAlign w:val="center"/>
          </w:tcPr>
          <w:p w14:paraId="51FF4456" w14:textId="77777777" w:rsidR="00E24C7A" w:rsidRPr="00911253" w:rsidRDefault="00E24C7A" w:rsidP="00A43635">
            <w:pPr>
              <w:contextualSpacing/>
              <w:jc w:val="center"/>
              <w:rPr>
                <w:rFonts w:ascii="Arial" w:hAnsi="Arial" w:cs="Arial"/>
                <w:color w:val="000000"/>
                <w:sz w:val="18"/>
                <w:szCs w:val="18"/>
              </w:rPr>
            </w:pPr>
            <w:r w:rsidRPr="00911253">
              <w:rPr>
                <w:rFonts w:ascii="Arial" w:hAnsi="Arial" w:cs="Arial"/>
                <w:color w:val="000000"/>
                <w:sz w:val="18"/>
                <w:szCs w:val="18"/>
              </w:rPr>
              <w:t>60000_WEB</w:t>
            </w:r>
          </w:p>
        </w:tc>
        <w:tc>
          <w:tcPr>
            <w:tcW w:w="2062" w:type="dxa"/>
            <w:shd w:val="clear" w:color="auto" w:fill="auto"/>
            <w:vAlign w:val="center"/>
          </w:tcPr>
          <w:p w14:paraId="48ED7E32" w14:textId="77777777" w:rsidR="00E24C7A" w:rsidRPr="00911253" w:rsidRDefault="00E24C7A" w:rsidP="00A43635">
            <w:pPr>
              <w:contextualSpacing/>
              <w:jc w:val="center"/>
              <w:rPr>
                <w:rFonts w:ascii="Arial" w:hAnsi="Arial" w:cs="Arial"/>
                <w:color w:val="000000"/>
                <w:sz w:val="18"/>
                <w:szCs w:val="18"/>
              </w:rPr>
            </w:pPr>
            <w:r w:rsidRPr="00911253">
              <w:rPr>
                <w:rFonts w:ascii="Arial" w:hAnsi="Arial" w:cs="Arial"/>
                <w:color w:val="000000"/>
                <w:sz w:val="18"/>
                <w:szCs w:val="18"/>
              </w:rPr>
              <w:t>Перечень средств измерений для целей коммерческого учета (макет 60000)</w:t>
            </w:r>
          </w:p>
        </w:tc>
        <w:tc>
          <w:tcPr>
            <w:tcW w:w="1563" w:type="dxa"/>
            <w:shd w:val="clear" w:color="auto" w:fill="auto"/>
            <w:vAlign w:val="center"/>
          </w:tcPr>
          <w:p w14:paraId="5A0F0DAB" w14:textId="77777777" w:rsidR="00E24C7A" w:rsidRPr="00911253" w:rsidRDefault="00E24C7A" w:rsidP="00A43635">
            <w:pPr>
              <w:contextualSpacing/>
              <w:jc w:val="center"/>
              <w:rPr>
                <w:rFonts w:ascii="Arial" w:hAnsi="Arial" w:cs="Arial"/>
                <w:color w:val="000000"/>
                <w:sz w:val="18"/>
                <w:szCs w:val="18"/>
              </w:rPr>
            </w:pPr>
            <w:r w:rsidRPr="00911253">
              <w:rPr>
                <w:rFonts w:ascii="Arial" w:hAnsi="Arial" w:cs="Arial"/>
                <w:color w:val="000000"/>
                <w:sz w:val="18"/>
                <w:szCs w:val="18"/>
              </w:rPr>
              <w:t>Регламент № 11, приложение 5</w:t>
            </w:r>
          </w:p>
        </w:tc>
        <w:tc>
          <w:tcPr>
            <w:tcW w:w="1132" w:type="dxa"/>
            <w:shd w:val="clear" w:color="auto" w:fill="auto"/>
            <w:vAlign w:val="center"/>
          </w:tcPr>
          <w:p w14:paraId="0E8C3A3B" w14:textId="77777777" w:rsidR="00E24C7A" w:rsidRPr="00911253" w:rsidRDefault="00E24C7A" w:rsidP="00A43635">
            <w:pPr>
              <w:contextualSpacing/>
              <w:jc w:val="center"/>
              <w:rPr>
                <w:rFonts w:ascii="Arial" w:hAnsi="Arial" w:cs="Arial"/>
                <w:color w:val="000000"/>
                <w:sz w:val="18"/>
                <w:szCs w:val="18"/>
              </w:rPr>
            </w:pPr>
            <w:r w:rsidRPr="00911253">
              <w:rPr>
                <w:rFonts w:ascii="Arial" w:hAnsi="Arial" w:cs="Arial"/>
                <w:color w:val="000000"/>
                <w:sz w:val="18"/>
                <w:szCs w:val="18"/>
              </w:rPr>
              <w:t>xml</w:t>
            </w:r>
          </w:p>
        </w:tc>
        <w:tc>
          <w:tcPr>
            <w:tcW w:w="936" w:type="dxa"/>
            <w:shd w:val="clear" w:color="auto" w:fill="auto"/>
            <w:vAlign w:val="center"/>
          </w:tcPr>
          <w:p w14:paraId="34A2AC7F" w14:textId="77777777" w:rsidR="00E24C7A" w:rsidRPr="00911253" w:rsidRDefault="00E24C7A" w:rsidP="00A43635">
            <w:pPr>
              <w:contextualSpacing/>
              <w:jc w:val="center"/>
              <w:rPr>
                <w:rFonts w:ascii="Arial" w:hAnsi="Arial" w:cs="Arial"/>
                <w:color w:val="000000"/>
                <w:sz w:val="18"/>
                <w:szCs w:val="18"/>
              </w:rPr>
            </w:pPr>
            <w:r w:rsidRPr="00911253">
              <w:rPr>
                <w:rFonts w:ascii="Arial" w:hAnsi="Arial" w:cs="Arial"/>
                <w:color w:val="000000"/>
                <w:sz w:val="18"/>
                <w:szCs w:val="18"/>
              </w:rPr>
              <w:t>ФСК, Участник</w:t>
            </w:r>
          </w:p>
        </w:tc>
        <w:tc>
          <w:tcPr>
            <w:tcW w:w="872" w:type="dxa"/>
            <w:shd w:val="clear" w:color="auto" w:fill="auto"/>
            <w:vAlign w:val="center"/>
          </w:tcPr>
          <w:p w14:paraId="5FC04D6A" w14:textId="77777777" w:rsidR="00E24C7A" w:rsidRPr="00911253" w:rsidRDefault="00E24C7A" w:rsidP="00A43635">
            <w:pPr>
              <w:contextualSpacing/>
              <w:jc w:val="center"/>
              <w:rPr>
                <w:rFonts w:ascii="Arial" w:hAnsi="Arial" w:cs="Arial"/>
                <w:color w:val="000000"/>
                <w:sz w:val="18"/>
                <w:szCs w:val="18"/>
              </w:rPr>
            </w:pPr>
            <w:r w:rsidRPr="00911253">
              <w:rPr>
                <w:rFonts w:ascii="Arial" w:hAnsi="Arial" w:cs="Arial"/>
                <w:color w:val="000000"/>
                <w:sz w:val="18"/>
                <w:szCs w:val="18"/>
              </w:rPr>
              <w:t>АТС</w:t>
            </w:r>
          </w:p>
        </w:tc>
        <w:tc>
          <w:tcPr>
            <w:tcW w:w="1043" w:type="dxa"/>
            <w:shd w:val="clear" w:color="auto" w:fill="auto"/>
            <w:vAlign w:val="center"/>
          </w:tcPr>
          <w:p w14:paraId="6F66CE12" w14:textId="77777777" w:rsidR="00E24C7A" w:rsidRPr="00911253" w:rsidRDefault="00E24C7A" w:rsidP="00A43635">
            <w:pPr>
              <w:contextualSpacing/>
              <w:jc w:val="center"/>
              <w:rPr>
                <w:rFonts w:ascii="Arial" w:hAnsi="Arial" w:cs="Arial"/>
                <w:color w:val="000000"/>
                <w:sz w:val="18"/>
                <w:szCs w:val="18"/>
              </w:rPr>
            </w:pPr>
            <w:r w:rsidRPr="00911253">
              <w:rPr>
                <w:rFonts w:ascii="Arial" w:eastAsia="Batang" w:hAnsi="Arial" w:cs="Arial"/>
                <w:sz w:val="18"/>
                <w:szCs w:val="18"/>
                <w:lang w:eastAsia="ko-KR"/>
              </w:rPr>
              <w:t>WEB-интерфейс</w:t>
            </w:r>
          </w:p>
        </w:tc>
        <w:tc>
          <w:tcPr>
            <w:tcW w:w="1219" w:type="dxa"/>
            <w:shd w:val="clear" w:color="auto" w:fill="auto"/>
            <w:vAlign w:val="center"/>
          </w:tcPr>
          <w:p w14:paraId="55FC7E53" w14:textId="77777777" w:rsidR="00E24C7A" w:rsidRPr="00911253" w:rsidRDefault="00E24C7A" w:rsidP="00A43635">
            <w:pPr>
              <w:contextualSpacing/>
              <w:jc w:val="center"/>
              <w:rPr>
                <w:rFonts w:ascii="Arial" w:hAnsi="Arial" w:cs="Arial"/>
                <w:sz w:val="18"/>
                <w:szCs w:val="18"/>
              </w:rPr>
            </w:pPr>
            <w:r w:rsidRPr="00911253">
              <w:rPr>
                <w:rFonts w:ascii="Arial" w:hAnsi="Arial" w:cs="Arial"/>
                <w:sz w:val="18"/>
                <w:szCs w:val="18"/>
              </w:rPr>
              <w:t>Нет</w:t>
            </w:r>
          </w:p>
        </w:tc>
        <w:tc>
          <w:tcPr>
            <w:tcW w:w="996" w:type="dxa"/>
            <w:shd w:val="clear" w:color="auto" w:fill="auto"/>
            <w:vAlign w:val="center"/>
          </w:tcPr>
          <w:p w14:paraId="528724AC" w14:textId="77777777" w:rsidR="00E24C7A" w:rsidRPr="00911253" w:rsidRDefault="00E24C7A" w:rsidP="00A43635">
            <w:pPr>
              <w:contextualSpacing/>
              <w:jc w:val="center"/>
              <w:rPr>
                <w:rFonts w:ascii="Arial" w:hAnsi="Arial" w:cs="Arial"/>
                <w:sz w:val="18"/>
                <w:szCs w:val="18"/>
              </w:rPr>
            </w:pPr>
            <w:r w:rsidRPr="00911253">
              <w:rPr>
                <w:rFonts w:ascii="Arial" w:hAnsi="Arial" w:cs="Arial"/>
                <w:sz w:val="18"/>
                <w:szCs w:val="18"/>
              </w:rPr>
              <w:t>Нет</w:t>
            </w:r>
          </w:p>
        </w:tc>
        <w:tc>
          <w:tcPr>
            <w:tcW w:w="1890" w:type="dxa"/>
            <w:shd w:val="clear" w:color="auto" w:fill="auto"/>
            <w:vAlign w:val="center"/>
          </w:tcPr>
          <w:p w14:paraId="2596B141" w14:textId="77777777" w:rsidR="00E24C7A" w:rsidRPr="00911253" w:rsidRDefault="00E24C7A" w:rsidP="00A43635">
            <w:pPr>
              <w:contextualSpacing/>
              <w:jc w:val="center"/>
              <w:rPr>
                <w:rFonts w:ascii="Arial" w:hAnsi="Arial" w:cs="Arial"/>
                <w:sz w:val="18"/>
                <w:szCs w:val="18"/>
              </w:rPr>
            </w:pPr>
            <w:r w:rsidRPr="00911253">
              <w:rPr>
                <w:rFonts w:ascii="Arial" w:hAnsi="Arial" w:cs="Arial"/>
                <w:sz w:val="18"/>
                <w:szCs w:val="18"/>
              </w:rPr>
              <w:t>1.3.6.1.4.1.18545.1.2.1.9</w:t>
            </w:r>
          </w:p>
        </w:tc>
        <w:tc>
          <w:tcPr>
            <w:tcW w:w="1062" w:type="dxa"/>
            <w:shd w:val="clear" w:color="auto" w:fill="auto"/>
            <w:vAlign w:val="center"/>
          </w:tcPr>
          <w:p w14:paraId="211ACB21" w14:textId="77777777" w:rsidR="00E24C7A" w:rsidRPr="00911253" w:rsidRDefault="00E24C7A" w:rsidP="00A43635">
            <w:pPr>
              <w:contextualSpacing/>
              <w:jc w:val="center"/>
              <w:rPr>
                <w:rFonts w:ascii="Arial" w:hAnsi="Arial" w:cs="Arial"/>
                <w:sz w:val="18"/>
                <w:szCs w:val="18"/>
              </w:rPr>
            </w:pPr>
            <w:r w:rsidRPr="00911253">
              <w:rPr>
                <w:rFonts w:ascii="Arial" w:hAnsi="Arial" w:cs="Arial"/>
                <w:sz w:val="18"/>
                <w:szCs w:val="18"/>
              </w:rPr>
              <w:t>ASPMailer, блокнот</w:t>
            </w:r>
          </w:p>
        </w:tc>
        <w:tc>
          <w:tcPr>
            <w:tcW w:w="785" w:type="dxa"/>
            <w:shd w:val="clear" w:color="auto" w:fill="auto"/>
            <w:vAlign w:val="center"/>
          </w:tcPr>
          <w:p w14:paraId="1BEF7387" w14:textId="77777777" w:rsidR="00E24C7A" w:rsidRPr="00911253" w:rsidRDefault="00E24C7A" w:rsidP="00A43635">
            <w:pPr>
              <w:contextualSpacing/>
              <w:jc w:val="center"/>
              <w:rPr>
                <w:rFonts w:ascii="Arial" w:hAnsi="Arial" w:cs="Arial"/>
                <w:sz w:val="18"/>
                <w:szCs w:val="18"/>
              </w:rPr>
            </w:pPr>
            <w:r w:rsidRPr="00911253">
              <w:rPr>
                <w:rFonts w:ascii="Arial" w:hAnsi="Arial" w:cs="Arial"/>
                <w:sz w:val="18"/>
                <w:szCs w:val="18"/>
              </w:rPr>
              <w:t>постоянно</w:t>
            </w:r>
          </w:p>
        </w:tc>
        <w:tc>
          <w:tcPr>
            <w:tcW w:w="821" w:type="dxa"/>
            <w:shd w:val="clear" w:color="auto" w:fill="auto"/>
          </w:tcPr>
          <w:p w14:paraId="4C2FC0E8" w14:textId="77777777" w:rsidR="00E24C7A" w:rsidRPr="00911253" w:rsidRDefault="00E24C7A" w:rsidP="00A43635">
            <w:pPr>
              <w:contextualSpacing/>
              <w:jc w:val="center"/>
              <w:rPr>
                <w:rFonts w:ascii="Arial" w:eastAsia="Batang" w:hAnsi="Arial" w:cs="Arial"/>
                <w:sz w:val="18"/>
                <w:szCs w:val="18"/>
                <w:lang w:eastAsia="ko-KR"/>
              </w:rPr>
            </w:pPr>
          </w:p>
        </w:tc>
      </w:tr>
      <w:tr w:rsidR="00E24C7A" w:rsidRPr="00911253" w14:paraId="3CEB16E8" w14:textId="77777777" w:rsidTr="00A43635">
        <w:tc>
          <w:tcPr>
            <w:tcW w:w="1099" w:type="dxa"/>
            <w:shd w:val="clear" w:color="auto" w:fill="auto"/>
            <w:vAlign w:val="center"/>
          </w:tcPr>
          <w:p w14:paraId="615722AE" w14:textId="77777777" w:rsidR="00E24C7A" w:rsidRPr="00911253" w:rsidRDefault="00E24C7A" w:rsidP="00A43635">
            <w:pPr>
              <w:contextualSpacing/>
              <w:jc w:val="center"/>
              <w:rPr>
                <w:rFonts w:ascii="Arial" w:eastAsia="Batang" w:hAnsi="Arial" w:cs="Arial"/>
                <w:sz w:val="18"/>
                <w:szCs w:val="18"/>
                <w:lang w:eastAsia="ko-KR"/>
              </w:rPr>
            </w:pPr>
            <w:r w:rsidRPr="00911253">
              <w:rPr>
                <w:rFonts w:ascii="Arial" w:eastAsia="Batang" w:hAnsi="Arial" w:cs="Arial"/>
                <w:sz w:val="18"/>
                <w:szCs w:val="18"/>
                <w:lang w:eastAsia="ko-KR"/>
              </w:rPr>
              <w:t>60001</w:t>
            </w:r>
          </w:p>
        </w:tc>
        <w:tc>
          <w:tcPr>
            <w:tcW w:w="2062" w:type="dxa"/>
            <w:shd w:val="clear" w:color="auto" w:fill="auto"/>
            <w:vAlign w:val="center"/>
          </w:tcPr>
          <w:p w14:paraId="66DA4E04" w14:textId="77777777" w:rsidR="00E24C7A" w:rsidRPr="00911253" w:rsidRDefault="00E24C7A" w:rsidP="00A43635">
            <w:pPr>
              <w:contextualSpacing/>
              <w:jc w:val="center"/>
              <w:rPr>
                <w:rFonts w:ascii="Arial" w:eastAsia="Batang" w:hAnsi="Arial" w:cs="Arial"/>
                <w:sz w:val="18"/>
                <w:szCs w:val="18"/>
                <w:lang w:eastAsia="ko-KR"/>
              </w:rPr>
            </w:pPr>
            <w:r w:rsidRPr="00911253">
              <w:rPr>
                <w:rFonts w:ascii="Arial" w:eastAsia="Batang" w:hAnsi="Arial" w:cs="Arial"/>
                <w:sz w:val="18"/>
                <w:szCs w:val="18"/>
                <w:lang w:eastAsia="ko-KR"/>
              </w:rPr>
              <w:t>Уведомление о результатах приема ПСИ (макет 60001)</w:t>
            </w:r>
          </w:p>
        </w:tc>
        <w:tc>
          <w:tcPr>
            <w:tcW w:w="1563" w:type="dxa"/>
            <w:shd w:val="clear" w:color="auto" w:fill="auto"/>
            <w:vAlign w:val="center"/>
          </w:tcPr>
          <w:p w14:paraId="5FEFE35E" w14:textId="77777777" w:rsidR="00E24C7A" w:rsidRPr="00911253" w:rsidRDefault="00E24C7A" w:rsidP="00A43635">
            <w:pPr>
              <w:contextualSpacing/>
              <w:jc w:val="center"/>
              <w:rPr>
                <w:rFonts w:ascii="Arial" w:eastAsia="Batang" w:hAnsi="Arial" w:cs="Arial"/>
                <w:sz w:val="18"/>
                <w:szCs w:val="18"/>
                <w:lang w:eastAsia="ko-KR"/>
              </w:rPr>
            </w:pPr>
            <w:r w:rsidRPr="00911253">
              <w:rPr>
                <w:rFonts w:ascii="Arial" w:eastAsia="Batang" w:hAnsi="Arial" w:cs="Arial"/>
                <w:sz w:val="18"/>
                <w:szCs w:val="18"/>
                <w:lang w:eastAsia="ko-KR"/>
              </w:rPr>
              <w:t>Регламент № 11, приложение 5</w:t>
            </w:r>
          </w:p>
        </w:tc>
        <w:tc>
          <w:tcPr>
            <w:tcW w:w="1132" w:type="dxa"/>
            <w:shd w:val="clear" w:color="auto" w:fill="auto"/>
            <w:vAlign w:val="center"/>
          </w:tcPr>
          <w:p w14:paraId="10F266EA" w14:textId="77777777" w:rsidR="00E24C7A" w:rsidRPr="00911253" w:rsidRDefault="00E24C7A" w:rsidP="00A43635">
            <w:pPr>
              <w:contextualSpacing/>
              <w:jc w:val="center"/>
              <w:rPr>
                <w:rFonts w:ascii="Arial" w:eastAsia="Batang" w:hAnsi="Arial" w:cs="Arial"/>
                <w:sz w:val="18"/>
                <w:szCs w:val="18"/>
                <w:lang w:eastAsia="ko-KR"/>
              </w:rPr>
            </w:pPr>
            <w:r w:rsidRPr="00911253">
              <w:rPr>
                <w:rFonts w:ascii="Arial" w:hAnsi="Arial" w:cs="Arial"/>
                <w:color w:val="000000"/>
                <w:sz w:val="18"/>
                <w:szCs w:val="18"/>
              </w:rPr>
              <w:t>xml</w:t>
            </w:r>
          </w:p>
        </w:tc>
        <w:tc>
          <w:tcPr>
            <w:tcW w:w="936" w:type="dxa"/>
            <w:shd w:val="clear" w:color="auto" w:fill="auto"/>
            <w:vAlign w:val="center"/>
          </w:tcPr>
          <w:p w14:paraId="3E62E9B6" w14:textId="77777777" w:rsidR="00E24C7A" w:rsidRPr="00911253" w:rsidRDefault="00E24C7A" w:rsidP="00A43635">
            <w:pPr>
              <w:contextualSpacing/>
              <w:jc w:val="center"/>
              <w:rPr>
                <w:rFonts w:ascii="Arial" w:eastAsia="Batang" w:hAnsi="Arial" w:cs="Arial"/>
                <w:sz w:val="18"/>
                <w:szCs w:val="18"/>
                <w:lang w:eastAsia="ko-KR"/>
              </w:rPr>
            </w:pPr>
            <w:r w:rsidRPr="00911253">
              <w:rPr>
                <w:rFonts w:ascii="Arial" w:hAnsi="Arial" w:cs="Arial"/>
                <w:color w:val="000000"/>
                <w:sz w:val="18"/>
                <w:szCs w:val="18"/>
              </w:rPr>
              <w:t>АТС</w:t>
            </w:r>
          </w:p>
        </w:tc>
        <w:tc>
          <w:tcPr>
            <w:tcW w:w="872" w:type="dxa"/>
            <w:shd w:val="clear" w:color="auto" w:fill="auto"/>
            <w:vAlign w:val="center"/>
          </w:tcPr>
          <w:p w14:paraId="73ACC8A0" w14:textId="77777777" w:rsidR="00E24C7A" w:rsidRPr="00911253" w:rsidRDefault="00E24C7A" w:rsidP="00A43635">
            <w:pPr>
              <w:contextualSpacing/>
              <w:jc w:val="center"/>
              <w:rPr>
                <w:rFonts w:ascii="Arial" w:eastAsia="Batang" w:hAnsi="Arial" w:cs="Arial"/>
                <w:sz w:val="18"/>
                <w:szCs w:val="18"/>
                <w:lang w:eastAsia="ko-KR"/>
              </w:rPr>
            </w:pPr>
            <w:r w:rsidRPr="00911253">
              <w:rPr>
                <w:rFonts w:ascii="Arial" w:eastAsia="Batang" w:hAnsi="Arial" w:cs="Arial"/>
                <w:sz w:val="18"/>
                <w:szCs w:val="18"/>
                <w:lang w:eastAsia="ko-KR"/>
              </w:rPr>
              <w:t>Участник, ФСК</w:t>
            </w:r>
          </w:p>
        </w:tc>
        <w:tc>
          <w:tcPr>
            <w:tcW w:w="1043" w:type="dxa"/>
            <w:shd w:val="clear" w:color="auto" w:fill="auto"/>
            <w:vAlign w:val="center"/>
          </w:tcPr>
          <w:p w14:paraId="46999657" w14:textId="77777777" w:rsidR="00E24C7A" w:rsidRPr="00911253" w:rsidRDefault="00E24C7A" w:rsidP="00A43635">
            <w:pPr>
              <w:contextualSpacing/>
              <w:jc w:val="center"/>
              <w:rPr>
                <w:rFonts w:ascii="Arial" w:eastAsia="Batang" w:hAnsi="Arial" w:cs="Arial"/>
                <w:sz w:val="18"/>
                <w:szCs w:val="18"/>
                <w:lang w:eastAsia="ko-KR"/>
              </w:rPr>
            </w:pPr>
            <w:r w:rsidRPr="00911253">
              <w:rPr>
                <w:rFonts w:ascii="Arial" w:hAnsi="Arial" w:cs="Arial"/>
                <w:color w:val="000000"/>
                <w:sz w:val="18"/>
                <w:szCs w:val="18"/>
              </w:rPr>
              <w:t>электронная почта</w:t>
            </w:r>
          </w:p>
        </w:tc>
        <w:tc>
          <w:tcPr>
            <w:tcW w:w="1219" w:type="dxa"/>
            <w:shd w:val="clear" w:color="auto" w:fill="auto"/>
            <w:vAlign w:val="center"/>
          </w:tcPr>
          <w:p w14:paraId="0D2956F5" w14:textId="77777777" w:rsidR="00E24C7A" w:rsidRPr="00911253" w:rsidRDefault="00E24C7A" w:rsidP="00A43635">
            <w:pPr>
              <w:contextualSpacing/>
              <w:jc w:val="center"/>
              <w:rPr>
                <w:rFonts w:ascii="Arial" w:eastAsia="Batang" w:hAnsi="Arial" w:cs="Arial"/>
                <w:sz w:val="18"/>
                <w:szCs w:val="18"/>
                <w:lang w:eastAsia="ko-KR"/>
              </w:rPr>
            </w:pPr>
            <w:r w:rsidRPr="00911253">
              <w:rPr>
                <w:rFonts w:ascii="Arial" w:hAnsi="Arial" w:cs="Arial"/>
                <w:sz w:val="18"/>
                <w:szCs w:val="18"/>
              </w:rPr>
              <w:t>Нет</w:t>
            </w:r>
          </w:p>
        </w:tc>
        <w:tc>
          <w:tcPr>
            <w:tcW w:w="996" w:type="dxa"/>
            <w:shd w:val="clear" w:color="auto" w:fill="auto"/>
            <w:vAlign w:val="center"/>
          </w:tcPr>
          <w:p w14:paraId="05F9B632" w14:textId="77777777" w:rsidR="00E24C7A" w:rsidRPr="00911253" w:rsidRDefault="00E24C7A" w:rsidP="00A43635">
            <w:pPr>
              <w:contextualSpacing/>
              <w:jc w:val="center"/>
              <w:rPr>
                <w:rFonts w:ascii="Arial" w:eastAsia="Batang" w:hAnsi="Arial" w:cs="Arial"/>
                <w:sz w:val="18"/>
                <w:szCs w:val="18"/>
                <w:lang w:eastAsia="ko-KR"/>
              </w:rPr>
            </w:pPr>
            <w:r w:rsidRPr="00911253">
              <w:rPr>
                <w:rFonts w:ascii="Arial" w:hAnsi="Arial" w:cs="Arial"/>
                <w:sz w:val="18"/>
                <w:szCs w:val="18"/>
              </w:rPr>
              <w:t>Нет</w:t>
            </w:r>
          </w:p>
        </w:tc>
        <w:tc>
          <w:tcPr>
            <w:tcW w:w="1890" w:type="dxa"/>
            <w:shd w:val="clear" w:color="auto" w:fill="auto"/>
            <w:vAlign w:val="center"/>
          </w:tcPr>
          <w:p w14:paraId="57CF50B0" w14:textId="77777777" w:rsidR="00E24C7A" w:rsidRPr="00911253" w:rsidRDefault="00E24C7A" w:rsidP="00A43635">
            <w:pPr>
              <w:contextualSpacing/>
              <w:jc w:val="center"/>
              <w:rPr>
                <w:rFonts w:ascii="Arial" w:eastAsia="Batang" w:hAnsi="Arial" w:cs="Arial"/>
                <w:sz w:val="18"/>
                <w:szCs w:val="18"/>
                <w:lang w:eastAsia="ko-KR"/>
              </w:rPr>
            </w:pPr>
            <w:r w:rsidRPr="00911253">
              <w:rPr>
                <w:rFonts w:ascii="Arial" w:hAnsi="Arial" w:cs="Arial"/>
                <w:sz w:val="18"/>
                <w:szCs w:val="18"/>
              </w:rPr>
              <w:t>1.3.6.1.4.1.18545.1.2.1.9</w:t>
            </w:r>
          </w:p>
        </w:tc>
        <w:tc>
          <w:tcPr>
            <w:tcW w:w="1062" w:type="dxa"/>
            <w:shd w:val="clear" w:color="auto" w:fill="auto"/>
            <w:vAlign w:val="center"/>
          </w:tcPr>
          <w:p w14:paraId="47575670" w14:textId="77777777" w:rsidR="00E24C7A" w:rsidRPr="00911253" w:rsidRDefault="00E24C7A" w:rsidP="00A43635">
            <w:pPr>
              <w:contextualSpacing/>
              <w:jc w:val="center"/>
              <w:rPr>
                <w:rFonts w:ascii="Arial" w:eastAsia="Batang" w:hAnsi="Arial" w:cs="Arial"/>
                <w:sz w:val="18"/>
                <w:szCs w:val="18"/>
                <w:lang w:eastAsia="ko-KR"/>
              </w:rPr>
            </w:pPr>
            <w:r w:rsidRPr="00911253">
              <w:rPr>
                <w:rFonts w:ascii="Arial" w:hAnsi="Arial" w:cs="Arial"/>
                <w:sz w:val="18"/>
                <w:szCs w:val="18"/>
              </w:rPr>
              <w:t>ASPMailer, блокнот</w:t>
            </w:r>
          </w:p>
        </w:tc>
        <w:tc>
          <w:tcPr>
            <w:tcW w:w="785" w:type="dxa"/>
            <w:shd w:val="clear" w:color="auto" w:fill="auto"/>
            <w:vAlign w:val="center"/>
          </w:tcPr>
          <w:p w14:paraId="7C9BF31B" w14:textId="77777777" w:rsidR="00E24C7A" w:rsidRPr="00911253" w:rsidRDefault="00E24C7A" w:rsidP="00A43635">
            <w:pPr>
              <w:contextualSpacing/>
              <w:jc w:val="center"/>
              <w:rPr>
                <w:rFonts w:ascii="Arial" w:eastAsia="Batang" w:hAnsi="Arial" w:cs="Arial"/>
                <w:sz w:val="18"/>
                <w:szCs w:val="18"/>
                <w:lang w:eastAsia="ko-KR"/>
              </w:rPr>
            </w:pPr>
            <w:r w:rsidRPr="00911253">
              <w:rPr>
                <w:rFonts w:ascii="Arial" w:eastAsia="Batang" w:hAnsi="Arial" w:cs="Arial"/>
                <w:sz w:val="18"/>
                <w:szCs w:val="18"/>
                <w:lang w:eastAsia="ko-KR"/>
              </w:rPr>
              <w:t>5 лет</w:t>
            </w:r>
          </w:p>
        </w:tc>
        <w:tc>
          <w:tcPr>
            <w:tcW w:w="821" w:type="dxa"/>
            <w:shd w:val="clear" w:color="auto" w:fill="auto"/>
          </w:tcPr>
          <w:p w14:paraId="05CA4CA5" w14:textId="77777777" w:rsidR="00E24C7A" w:rsidRPr="00911253" w:rsidRDefault="00E24C7A" w:rsidP="00A43635">
            <w:pPr>
              <w:contextualSpacing/>
              <w:jc w:val="center"/>
              <w:rPr>
                <w:rFonts w:ascii="Arial" w:eastAsia="Batang" w:hAnsi="Arial" w:cs="Arial"/>
                <w:sz w:val="18"/>
                <w:szCs w:val="18"/>
                <w:lang w:eastAsia="ko-KR"/>
              </w:rPr>
            </w:pPr>
          </w:p>
        </w:tc>
      </w:tr>
      <w:tr w:rsidR="00E24C7A" w:rsidRPr="00911253" w14:paraId="08F57633" w14:textId="77777777" w:rsidTr="00A43635">
        <w:tc>
          <w:tcPr>
            <w:tcW w:w="1099" w:type="dxa"/>
            <w:shd w:val="clear" w:color="auto" w:fill="auto"/>
            <w:vAlign w:val="center"/>
          </w:tcPr>
          <w:p w14:paraId="21DA8844" w14:textId="77777777" w:rsidR="00E24C7A" w:rsidRPr="00911253" w:rsidRDefault="00E24C7A" w:rsidP="00A43635">
            <w:pPr>
              <w:contextualSpacing/>
              <w:jc w:val="center"/>
              <w:rPr>
                <w:rFonts w:ascii="Arial" w:eastAsia="Batang" w:hAnsi="Arial" w:cs="Arial"/>
                <w:sz w:val="18"/>
                <w:szCs w:val="18"/>
                <w:lang w:eastAsia="ko-KR"/>
              </w:rPr>
            </w:pPr>
            <w:r w:rsidRPr="00911253">
              <w:rPr>
                <w:rFonts w:ascii="Arial" w:eastAsia="Batang" w:hAnsi="Arial" w:cs="Arial"/>
                <w:sz w:val="18"/>
                <w:szCs w:val="18"/>
                <w:lang w:eastAsia="ko-KR"/>
              </w:rPr>
              <w:t>60001_MED</w:t>
            </w:r>
          </w:p>
        </w:tc>
        <w:tc>
          <w:tcPr>
            <w:tcW w:w="2062" w:type="dxa"/>
            <w:shd w:val="clear" w:color="auto" w:fill="auto"/>
            <w:vAlign w:val="center"/>
          </w:tcPr>
          <w:p w14:paraId="57AA6534" w14:textId="77777777" w:rsidR="00E24C7A" w:rsidRPr="00911253" w:rsidRDefault="00E24C7A" w:rsidP="00A43635">
            <w:pPr>
              <w:contextualSpacing/>
              <w:jc w:val="center"/>
              <w:rPr>
                <w:rFonts w:ascii="Arial" w:eastAsia="Batang" w:hAnsi="Arial" w:cs="Arial"/>
                <w:sz w:val="18"/>
                <w:szCs w:val="18"/>
                <w:lang w:eastAsia="ko-KR"/>
              </w:rPr>
            </w:pPr>
            <w:r w:rsidRPr="00911253">
              <w:rPr>
                <w:rFonts w:ascii="Arial" w:eastAsia="Batang" w:hAnsi="Arial" w:cs="Arial"/>
                <w:sz w:val="18"/>
                <w:szCs w:val="18"/>
                <w:lang w:eastAsia="ko-KR"/>
              </w:rPr>
              <w:t>Уведомление о результатах приема ПСИ (макет 60001)</w:t>
            </w:r>
          </w:p>
        </w:tc>
        <w:tc>
          <w:tcPr>
            <w:tcW w:w="1563" w:type="dxa"/>
            <w:shd w:val="clear" w:color="auto" w:fill="auto"/>
            <w:vAlign w:val="center"/>
          </w:tcPr>
          <w:p w14:paraId="3EF96730" w14:textId="77777777" w:rsidR="00E24C7A" w:rsidRPr="00911253" w:rsidRDefault="00E24C7A" w:rsidP="00A43635">
            <w:pPr>
              <w:contextualSpacing/>
              <w:jc w:val="center"/>
              <w:rPr>
                <w:rFonts w:ascii="Arial" w:eastAsia="Batang" w:hAnsi="Arial" w:cs="Arial"/>
                <w:sz w:val="18"/>
                <w:szCs w:val="18"/>
                <w:lang w:eastAsia="ko-KR"/>
              </w:rPr>
            </w:pPr>
            <w:r w:rsidRPr="00911253">
              <w:rPr>
                <w:rFonts w:ascii="Arial" w:eastAsia="Batang" w:hAnsi="Arial" w:cs="Arial"/>
                <w:sz w:val="18"/>
                <w:szCs w:val="18"/>
                <w:lang w:eastAsia="ko-KR"/>
              </w:rPr>
              <w:t>Регламент № 11, приложение 5</w:t>
            </w:r>
          </w:p>
        </w:tc>
        <w:tc>
          <w:tcPr>
            <w:tcW w:w="1132" w:type="dxa"/>
            <w:shd w:val="clear" w:color="auto" w:fill="auto"/>
            <w:vAlign w:val="center"/>
          </w:tcPr>
          <w:p w14:paraId="00F87A7A" w14:textId="77777777" w:rsidR="00E24C7A" w:rsidRPr="00911253" w:rsidRDefault="00E24C7A" w:rsidP="00A43635">
            <w:pPr>
              <w:contextualSpacing/>
              <w:jc w:val="center"/>
              <w:rPr>
                <w:rFonts w:ascii="Arial" w:hAnsi="Arial" w:cs="Arial"/>
                <w:color w:val="000000"/>
                <w:sz w:val="18"/>
                <w:szCs w:val="18"/>
              </w:rPr>
            </w:pPr>
            <w:r w:rsidRPr="00911253">
              <w:rPr>
                <w:rFonts w:ascii="Arial" w:hAnsi="Arial" w:cs="Arial"/>
                <w:color w:val="000000"/>
                <w:sz w:val="18"/>
                <w:szCs w:val="18"/>
              </w:rPr>
              <w:t>xml</w:t>
            </w:r>
          </w:p>
        </w:tc>
        <w:tc>
          <w:tcPr>
            <w:tcW w:w="936" w:type="dxa"/>
            <w:shd w:val="clear" w:color="auto" w:fill="auto"/>
            <w:vAlign w:val="center"/>
          </w:tcPr>
          <w:p w14:paraId="577F4C39" w14:textId="77777777" w:rsidR="00E24C7A" w:rsidRPr="00911253" w:rsidRDefault="00E24C7A" w:rsidP="00A43635">
            <w:pPr>
              <w:contextualSpacing/>
              <w:jc w:val="center"/>
              <w:rPr>
                <w:rFonts w:ascii="Arial" w:hAnsi="Arial" w:cs="Arial"/>
                <w:color w:val="000000"/>
                <w:sz w:val="18"/>
                <w:szCs w:val="18"/>
              </w:rPr>
            </w:pPr>
            <w:r w:rsidRPr="00911253">
              <w:rPr>
                <w:rFonts w:ascii="Arial" w:hAnsi="Arial" w:cs="Arial"/>
                <w:color w:val="000000"/>
                <w:sz w:val="18"/>
                <w:szCs w:val="18"/>
              </w:rPr>
              <w:t>Участник, ФСК</w:t>
            </w:r>
          </w:p>
        </w:tc>
        <w:tc>
          <w:tcPr>
            <w:tcW w:w="872" w:type="dxa"/>
            <w:shd w:val="clear" w:color="auto" w:fill="auto"/>
            <w:vAlign w:val="center"/>
          </w:tcPr>
          <w:p w14:paraId="499BFF7F" w14:textId="77777777" w:rsidR="00E24C7A" w:rsidRPr="00911253" w:rsidRDefault="00E24C7A" w:rsidP="00A43635">
            <w:pPr>
              <w:contextualSpacing/>
              <w:jc w:val="center"/>
              <w:rPr>
                <w:rFonts w:ascii="Arial" w:eastAsia="Batang" w:hAnsi="Arial" w:cs="Arial"/>
                <w:sz w:val="18"/>
                <w:szCs w:val="18"/>
                <w:lang w:eastAsia="ko-KR"/>
              </w:rPr>
            </w:pPr>
            <w:r w:rsidRPr="00911253">
              <w:rPr>
                <w:rFonts w:ascii="Arial" w:hAnsi="Arial" w:cs="Arial"/>
                <w:color w:val="000000"/>
                <w:sz w:val="18"/>
                <w:szCs w:val="18"/>
              </w:rPr>
              <w:t>АТС</w:t>
            </w:r>
          </w:p>
        </w:tc>
        <w:tc>
          <w:tcPr>
            <w:tcW w:w="1043" w:type="dxa"/>
            <w:shd w:val="clear" w:color="auto" w:fill="auto"/>
            <w:vAlign w:val="center"/>
          </w:tcPr>
          <w:p w14:paraId="00A599CF" w14:textId="77777777" w:rsidR="00E24C7A" w:rsidRPr="00911253" w:rsidRDefault="00E24C7A" w:rsidP="00A43635">
            <w:pPr>
              <w:contextualSpacing/>
              <w:jc w:val="center"/>
              <w:rPr>
                <w:rFonts w:ascii="Arial" w:hAnsi="Arial" w:cs="Arial"/>
                <w:color w:val="000000"/>
                <w:sz w:val="18"/>
                <w:szCs w:val="18"/>
              </w:rPr>
            </w:pPr>
            <w:r w:rsidRPr="00911253">
              <w:rPr>
                <w:rFonts w:ascii="Arial" w:hAnsi="Arial" w:cs="Arial"/>
                <w:color w:val="000000"/>
                <w:sz w:val="18"/>
                <w:szCs w:val="18"/>
              </w:rPr>
              <w:t>Материальный носитель</w:t>
            </w:r>
          </w:p>
        </w:tc>
        <w:tc>
          <w:tcPr>
            <w:tcW w:w="1219" w:type="dxa"/>
            <w:shd w:val="clear" w:color="auto" w:fill="auto"/>
            <w:vAlign w:val="center"/>
          </w:tcPr>
          <w:p w14:paraId="6C0A588A" w14:textId="77777777" w:rsidR="00E24C7A" w:rsidRPr="00911253" w:rsidRDefault="00E24C7A" w:rsidP="00A43635">
            <w:pPr>
              <w:contextualSpacing/>
              <w:jc w:val="center"/>
              <w:rPr>
                <w:rFonts w:ascii="Arial" w:hAnsi="Arial" w:cs="Arial"/>
                <w:sz w:val="18"/>
                <w:szCs w:val="18"/>
              </w:rPr>
            </w:pPr>
            <w:r w:rsidRPr="00911253">
              <w:rPr>
                <w:rFonts w:ascii="Arial" w:hAnsi="Arial" w:cs="Arial"/>
                <w:sz w:val="18"/>
                <w:szCs w:val="18"/>
              </w:rPr>
              <w:t>Нет</w:t>
            </w:r>
          </w:p>
        </w:tc>
        <w:tc>
          <w:tcPr>
            <w:tcW w:w="996" w:type="dxa"/>
            <w:shd w:val="clear" w:color="auto" w:fill="auto"/>
            <w:vAlign w:val="center"/>
          </w:tcPr>
          <w:p w14:paraId="63F384C4" w14:textId="77777777" w:rsidR="00E24C7A" w:rsidRPr="00911253" w:rsidRDefault="00E24C7A" w:rsidP="00A43635">
            <w:pPr>
              <w:contextualSpacing/>
              <w:jc w:val="center"/>
              <w:rPr>
                <w:rFonts w:ascii="Arial" w:hAnsi="Arial" w:cs="Arial"/>
                <w:sz w:val="18"/>
                <w:szCs w:val="18"/>
              </w:rPr>
            </w:pPr>
            <w:r w:rsidRPr="00911253">
              <w:rPr>
                <w:rFonts w:ascii="Arial" w:hAnsi="Arial" w:cs="Arial"/>
                <w:sz w:val="18"/>
                <w:szCs w:val="18"/>
              </w:rPr>
              <w:t>Нет</w:t>
            </w:r>
          </w:p>
        </w:tc>
        <w:tc>
          <w:tcPr>
            <w:tcW w:w="1890" w:type="dxa"/>
            <w:shd w:val="clear" w:color="auto" w:fill="auto"/>
            <w:vAlign w:val="center"/>
          </w:tcPr>
          <w:p w14:paraId="10394878" w14:textId="77777777" w:rsidR="00E24C7A" w:rsidRPr="00911253" w:rsidRDefault="00E24C7A" w:rsidP="00A43635">
            <w:pPr>
              <w:contextualSpacing/>
              <w:jc w:val="center"/>
              <w:rPr>
                <w:rFonts w:ascii="Arial" w:hAnsi="Arial" w:cs="Arial"/>
                <w:sz w:val="18"/>
                <w:szCs w:val="18"/>
              </w:rPr>
            </w:pPr>
            <w:r w:rsidRPr="00911253">
              <w:rPr>
                <w:rFonts w:ascii="Arial" w:hAnsi="Arial" w:cs="Arial"/>
                <w:sz w:val="18"/>
                <w:szCs w:val="18"/>
              </w:rPr>
              <w:t>1.3.6.1.4.1.18545.1.2.1.9</w:t>
            </w:r>
          </w:p>
        </w:tc>
        <w:tc>
          <w:tcPr>
            <w:tcW w:w="1062" w:type="dxa"/>
            <w:shd w:val="clear" w:color="auto" w:fill="auto"/>
            <w:vAlign w:val="center"/>
          </w:tcPr>
          <w:p w14:paraId="009DE157" w14:textId="77777777" w:rsidR="00E24C7A" w:rsidRPr="00911253" w:rsidRDefault="00E24C7A" w:rsidP="00A43635">
            <w:pPr>
              <w:contextualSpacing/>
              <w:jc w:val="center"/>
              <w:rPr>
                <w:rFonts w:ascii="Arial" w:hAnsi="Arial" w:cs="Arial"/>
                <w:sz w:val="18"/>
                <w:szCs w:val="18"/>
              </w:rPr>
            </w:pPr>
            <w:r w:rsidRPr="00911253">
              <w:rPr>
                <w:rFonts w:ascii="Arial" w:hAnsi="Arial" w:cs="Arial"/>
                <w:sz w:val="18"/>
                <w:szCs w:val="18"/>
              </w:rPr>
              <w:t>ASPMailer, блокнот</w:t>
            </w:r>
          </w:p>
        </w:tc>
        <w:tc>
          <w:tcPr>
            <w:tcW w:w="785" w:type="dxa"/>
            <w:shd w:val="clear" w:color="auto" w:fill="auto"/>
            <w:vAlign w:val="center"/>
          </w:tcPr>
          <w:p w14:paraId="43DA6D7E" w14:textId="77777777" w:rsidR="00E24C7A" w:rsidRPr="00911253" w:rsidRDefault="00E24C7A" w:rsidP="00A43635">
            <w:pPr>
              <w:contextualSpacing/>
              <w:jc w:val="center"/>
              <w:rPr>
                <w:rFonts w:ascii="Arial" w:eastAsia="Batang" w:hAnsi="Arial" w:cs="Arial"/>
                <w:sz w:val="18"/>
                <w:szCs w:val="18"/>
                <w:lang w:eastAsia="ko-KR"/>
              </w:rPr>
            </w:pPr>
            <w:r w:rsidRPr="00911253">
              <w:rPr>
                <w:rFonts w:ascii="Arial" w:hAnsi="Arial" w:cs="Arial"/>
                <w:sz w:val="18"/>
                <w:szCs w:val="18"/>
              </w:rPr>
              <w:t>постоянно</w:t>
            </w:r>
          </w:p>
        </w:tc>
        <w:tc>
          <w:tcPr>
            <w:tcW w:w="821" w:type="dxa"/>
            <w:shd w:val="clear" w:color="auto" w:fill="auto"/>
          </w:tcPr>
          <w:p w14:paraId="2DA75F08" w14:textId="77777777" w:rsidR="00E24C7A" w:rsidRPr="00911253" w:rsidRDefault="00E24C7A" w:rsidP="00A43635">
            <w:pPr>
              <w:contextualSpacing/>
              <w:jc w:val="center"/>
              <w:rPr>
                <w:rFonts w:ascii="Arial" w:eastAsia="Batang" w:hAnsi="Arial" w:cs="Arial"/>
                <w:sz w:val="18"/>
                <w:szCs w:val="18"/>
                <w:lang w:eastAsia="ko-KR"/>
              </w:rPr>
            </w:pPr>
          </w:p>
        </w:tc>
      </w:tr>
      <w:tr w:rsidR="00E24C7A" w:rsidRPr="00911253" w14:paraId="3ADEC5CB" w14:textId="77777777" w:rsidTr="00A43635">
        <w:tc>
          <w:tcPr>
            <w:tcW w:w="1099" w:type="dxa"/>
            <w:shd w:val="clear" w:color="auto" w:fill="auto"/>
            <w:vAlign w:val="center"/>
          </w:tcPr>
          <w:p w14:paraId="4BC43029" w14:textId="77777777" w:rsidR="00E24C7A" w:rsidRPr="00911253" w:rsidRDefault="00E24C7A" w:rsidP="00A43635">
            <w:pPr>
              <w:contextualSpacing/>
              <w:jc w:val="center"/>
              <w:rPr>
                <w:rFonts w:ascii="Arial" w:eastAsia="Batang" w:hAnsi="Arial" w:cs="Arial"/>
                <w:sz w:val="18"/>
                <w:szCs w:val="18"/>
                <w:lang w:eastAsia="ko-KR"/>
              </w:rPr>
            </w:pPr>
            <w:r w:rsidRPr="00911253">
              <w:rPr>
                <w:rFonts w:ascii="Arial" w:eastAsia="Batang" w:hAnsi="Arial" w:cs="Arial"/>
                <w:sz w:val="18"/>
                <w:szCs w:val="18"/>
                <w:lang w:eastAsia="ko-KR"/>
              </w:rPr>
              <w:t>60001_WEB</w:t>
            </w:r>
          </w:p>
        </w:tc>
        <w:tc>
          <w:tcPr>
            <w:tcW w:w="2062" w:type="dxa"/>
            <w:shd w:val="clear" w:color="auto" w:fill="auto"/>
            <w:vAlign w:val="center"/>
          </w:tcPr>
          <w:p w14:paraId="4078601F" w14:textId="77777777" w:rsidR="00E24C7A" w:rsidRPr="00911253" w:rsidRDefault="00E24C7A" w:rsidP="00A43635">
            <w:pPr>
              <w:contextualSpacing/>
              <w:jc w:val="center"/>
              <w:rPr>
                <w:rFonts w:ascii="Arial" w:eastAsia="Batang" w:hAnsi="Arial" w:cs="Arial"/>
                <w:sz w:val="18"/>
                <w:szCs w:val="18"/>
                <w:lang w:eastAsia="ko-KR"/>
              </w:rPr>
            </w:pPr>
            <w:r w:rsidRPr="00911253">
              <w:rPr>
                <w:rFonts w:ascii="Arial" w:eastAsia="Batang" w:hAnsi="Arial" w:cs="Arial"/>
                <w:sz w:val="18"/>
                <w:szCs w:val="18"/>
                <w:lang w:eastAsia="ko-KR"/>
              </w:rPr>
              <w:t>Уведомление о результатах приема ПСИ (макет 60001)</w:t>
            </w:r>
          </w:p>
        </w:tc>
        <w:tc>
          <w:tcPr>
            <w:tcW w:w="1563" w:type="dxa"/>
            <w:shd w:val="clear" w:color="auto" w:fill="auto"/>
            <w:vAlign w:val="center"/>
          </w:tcPr>
          <w:p w14:paraId="650C6D2F" w14:textId="77777777" w:rsidR="00E24C7A" w:rsidRPr="00911253" w:rsidRDefault="00E24C7A" w:rsidP="00A43635">
            <w:pPr>
              <w:contextualSpacing/>
              <w:jc w:val="center"/>
              <w:rPr>
                <w:rFonts w:ascii="Arial" w:eastAsia="Batang" w:hAnsi="Arial" w:cs="Arial"/>
                <w:sz w:val="18"/>
                <w:szCs w:val="18"/>
                <w:lang w:eastAsia="ko-KR"/>
              </w:rPr>
            </w:pPr>
            <w:r w:rsidRPr="00911253">
              <w:rPr>
                <w:rFonts w:ascii="Arial" w:eastAsia="Batang" w:hAnsi="Arial" w:cs="Arial"/>
                <w:sz w:val="18"/>
                <w:szCs w:val="18"/>
                <w:lang w:eastAsia="ko-KR"/>
              </w:rPr>
              <w:t>Регламент № 11, приложение 5</w:t>
            </w:r>
          </w:p>
        </w:tc>
        <w:tc>
          <w:tcPr>
            <w:tcW w:w="1132" w:type="dxa"/>
            <w:shd w:val="clear" w:color="auto" w:fill="auto"/>
            <w:vAlign w:val="center"/>
          </w:tcPr>
          <w:p w14:paraId="28C5A1CE" w14:textId="77777777" w:rsidR="00E24C7A" w:rsidRPr="00911253" w:rsidRDefault="00E24C7A" w:rsidP="00A43635">
            <w:pPr>
              <w:contextualSpacing/>
              <w:jc w:val="center"/>
              <w:rPr>
                <w:rFonts w:ascii="Arial" w:hAnsi="Arial" w:cs="Arial"/>
                <w:color w:val="000000"/>
                <w:sz w:val="18"/>
                <w:szCs w:val="18"/>
              </w:rPr>
            </w:pPr>
            <w:r w:rsidRPr="00911253">
              <w:rPr>
                <w:rFonts w:ascii="Arial" w:hAnsi="Arial" w:cs="Arial"/>
                <w:color w:val="000000"/>
                <w:sz w:val="18"/>
                <w:szCs w:val="18"/>
              </w:rPr>
              <w:t>xml</w:t>
            </w:r>
          </w:p>
        </w:tc>
        <w:tc>
          <w:tcPr>
            <w:tcW w:w="936" w:type="dxa"/>
            <w:shd w:val="clear" w:color="auto" w:fill="auto"/>
            <w:vAlign w:val="center"/>
          </w:tcPr>
          <w:p w14:paraId="40DD2DBC" w14:textId="77777777" w:rsidR="00E24C7A" w:rsidRPr="00911253" w:rsidRDefault="00E24C7A" w:rsidP="00A43635">
            <w:pPr>
              <w:contextualSpacing/>
              <w:jc w:val="center"/>
              <w:rPr>
                <w:rFonts w:ascii="Arial" w:hAnsi="Arial" w:cs="Arial"/>
                <w:color w:val="000000"/>
                <w:sz w:val="18"/>
                <w:szCs w:val="18"/>
              </w:rPr>
            </w:pPr>
            <w:r w:rsidRPr="00911253">
              <w:rPr>
                <w:rFonts w:ascii="Arial" w:hAnsi="Arial" w:cs="Arial"/>
                <w:color w:val="000000"/>
                <w:sz w:val="18"/>
                <w:szCs w:val="18"/>
              </w:rPr>
              <w:t>Участник, ФСК</w:t>
            </w:r>
          </w:p>
        </w:tc>
        <w:tc>
          <w:tcPr>
            <w:tcW w:w="872" w:type="dxa"/>
            <w:shd w:val="clear" w:color="auto" w:fill="auto"/>
            <w:vAlign w:val="center"/>
          </w:tcPr>
          <w:p w14:paraId="00304D3B" w14:textId="77777777" w:rsidR="00E24C7A" w:rsidRPr="00911253" w:rsidRDefault="00E24C7A" w:rsidP="00A43635">
            <w:pPr>
              <w:contextualSpacing/>
              <w:jc w:val="center"/>
              <w:rPr>
                <w:rFonts w:ascii="Arial" w:eastAsia="Batang" w:hAnsi="Arial" w:cs="Arial"/>
                <w:sz w:val="18"/>
                <w:szCs w:val="18"/>
                <w:lang w:eastAsia="ko-KR"/>
              </w:rPr>
            </w:pPr>
            <w:r w:rsidRPr="00911253">
              <w:rPr>
                <w:rFonts w:ascii="Arial" w:hAnsi="Arial" w:cs="Arial"/>
                <w:color w:val="000000"/>
                <w:sz w:val="18"/>
                <w:szCs w:val="18"/>
              </w:rPr>
              <w:t>АТС</w:t>
            </w:r>
          </w:p>
        </w:tc>
        <w:tc>
          <w:tcPr>
            <w:tcW w:w="1043" w:type="dxa"/>
            <w:shd w:val="clear" w:color="auto" w:fill="auto"/>
            <w:vAlign w:val="center"/>
          </w:tcPr>
          <w:p w14:paraId="580F924B" w14:textId="77777777" w:rsidR="00E24C7A" w:rsidRPr="00911253" w:rsidRDefault="00E24C7A" w:rsidP="00A43635">
            <w:pPr>
              <w:contextualSpacing/>
              <w:jc w:val="center"/>
              <w:rPr>
                <w:rFonts w:ascii="Arial" w:hAnsi="Arial" w:cs="Arial"/>
                <w:color w:val="000000"/>
                <w:sz w:val="18"/>
                <w:szCs w:val="18"/>
              </w:rPr>
            </w:pPr>
            <w:r w:rsidRPr="00911253">
              <w:rPr>
                <w:rFonts w:ascii="Arial" w:hAnsi="Arial" w:cs="Arial"/>
                <w:color w:val="000000"/>
                <w:sz w:val="18"/>
                <w:szCs w:val="18"/>
              </w:rPr>
              <w:t>WEB-интерфейс</w:t>
            </w:r>
          </w:p>
        </w:tc>
        <w:tc>
          <w:tcPr>
            <w:tcW w:w="1219" w:type="dxa"/>
            <w:shd w:val="clear" w:color="auto" w:fill="auto"/>
            <w:vAlign w:val="center"/>
          </w:tcPr>
          <w:p w14:paraId="686C3A7C" w14:textId="77777777" w:rsidR="00E24C7A" w:rsidRPr="00911253" w:rsidRDefault="00E24C7A" w:rsidP="00A43635">
            <w:pPr>
              <w:contextualSpacing/>
              <w:jc w:val="center"/>
              <w:rPr>
                <w:rFonts w:ascii="Arial" w:hAnsi="Arial" w:cs="Arial"/>
                <w:sz w:val="18"/>
                <w:szCs w:val="18"/>
              </w:rPr>
            </w:pPr>
            <w:r w:rsidRPr="00911253">
              <w:rPr>
                <w:rFonts w:ascii="Arial" w:hAnsi="Arial" w:cs="Arial"/>
                <w:sz w:val="18"/>
                <w:szCs w:val="18"/>
              </w:rPr>
              <w:t>Нет</w:t>
            </w:r>
          </w:p>
        </w:tc>
        <w:tc>
          <w:tcPr>
            <w:tcW w:w="996" w:type="dxa"/>
            <w:shd w:val="clear" w:color="auto" w:fill="auto"/>
            <w:vAlign w:val="center"/>
          </w:tcPr>
          <w:p w14:paraId="1B0C9D36" w14:textId="77777777" w:rsidR="00E24C7A" w:rsidRPr="00911253" w:rsidRDefault="00E24C7A" w:rsidP="00A43635">
            <w:pPr>
              <w:contextualSpacing/>
              <w:jc w:val="center"/>
              <w:rPr>
                <w:rFonts w:ascii="Arial" w:hAnsi="Arial" w:cs="Arial"/>
                <w:sz w:val="18"/>
                <w:szCs w:val="18"/>
              </w:rPr>
            </w:pPr>
            <w:r w:rsidRPr="00911253">
              <w:rPr>
                <w:rFonts w:ascii="Arial" w:hAnsi="Arial" w:cs="Arial"/>
                <w:sz w:val="18"/>
                <w:szCs w:val="18"/>
              </w:rPr>
              <w:t>Нет</w:t>
            </w:r>
          </w:p>
        </w:tc>
        <w:tc>
          <w:tcPr>
            <w:tcW w:w="1890" w:type="dxa"/>
            <w:shd w:val="clear" w:color="auto" w:fill="auto"/>
            <w:vAlign w:val="center"/>
          </w:tcPr>
          <w:p w14:paraId="4DF7E540" w14:textId="77777777" w:rsidR="00E24C7A" w:rsidRPr="00911253" w:rsidRDefault="00E24C7A" w:rsidP="00A43635">
            <w:pPr>
              <w:contextualSpacing/>
              <w:jc w:val="center"/>
              <w:rPr>
                <w:rFonts w:ascii="Arial" w:hAnsi="Arial" w:cs="Arial"/>
                <w:sz w:val="18"/>
                <w:szCs w:val="18"/>
              </w:rPr>
            </w:pPr>
            <w:r w:rsidRPr="00911253">
              <w:rPr>
                <w:rFonts w:ascii="Arial" w:hAnsi="Arial" w:cs="Arial"/>
                <w:sz w:val="18"/>
                <w:szCs w:val="18"/>
              </w:rPr>
              <w:t>1.3.6.1.4.1.18545.1.2.1.9</w:t>
            </w:r>
          </w:p>
        </w:tc>
        <w:tc>
          <w:tcPr>
            <w:tcW w:w="1062" w:type="dxa"/>
            <w:shd w:val="clear" w:color="auto" w:fill="auto"/>
            <w:vAlign w:val="center"/>
          </w:tcPr>
          <w:p w14:paraId="3A22B0C7" w14:textId="77777777" w:rsidR="00E24C7A" w:rsidRPr="00911253" w:rsidRDefault="00E24C7A" w:rsidP="00A43635">
            <w:pPr>
              <w:contextualSpacing/>
              <w:jc w:val="center"/>
              <w:rPr>
                <w:rFonts w:ascii="Arial" w:hAnsi="Arial" w:cs="Arial"/>
                <w:sz w:val="18"/>
                <w:szCs w:val="18"/>
              </w:rPr>
            </w:pPr>
            <w:r w:rsidRPr="00911253">
              <w:rPr>
                <w:rFonts w:ascii="Arial" w:hAnsi="Arial" w:cs="Arial"/>
                <w:sz w:val="18"/>
                <w:szCs w:val="18"/>
              </w:rPr>
              <w:t>ASPMailer, блокнот</w:t>
            </w:r>
          </w:p>
        </w:tc>
        <w:tc>
          <w:tcPr>
            <w:tcW w:w="785" w:type="dxa"/>
            <w:shd w:val="clear" w:color="auto" w:fill="auto"/>
            <w:vAlign w:val="center"/>
          </w:tcPr>
          <w:p w14:paraId="5FE484AE" w14:textId="77777777" w:rsidR="00E24C7A" w:rsidRPr="00911253" w:rsidRDefault="00E24C7A" w:rsidP="00A43635">
            <w:pPr>
              <w:contextualSpacing/>
              <w:jc w:val="center"/>
              <w:rPr>
                <w:rFonts w:ascii="Arial" w:eastAsia="Batang" w:hAnsi="Arial" w:cs="Arial"/>
                <w:sz w:val="18"/>
                <w:szCs w:val="18"/>
                <w:lang w:eastAsia="ko-KR"/>
              </w:rPr>
            </w:pPr>
            <w:r w:rsidRPr="00911253">
              <w:rPr>
                <w:rFonts w:ascii="Arial" w:hAnsi="Arial" w:cs="Arial"/>
                <w:sz w:val="18"/>
                <w:szCs w:val="18"/>
              </w:rPr>
              <w:t>постоянно</w:t>
            </w:r>
          </w:p>
        </w:tc>
        <w:tc>
          <w:tcPr>
            <w:tcW w:w="821" w:type="dxa"/>
            <w:shd w:val="clear" w:color="auto" w:fill="auto"/>
          </w:tcPr>
          <w:p w14:paraId="5CC2DE80" w14:textId="77777777" w:rsidR="00E24C7A" w:rsidRPr="00911253" w:rsidRDefault="00E24C7A" w:rsidP="00A43635">
            <w:pPr>
              <w:contextualSpacing/>
              <w:jc w:val="center"/>
              <w:rPr>
                <w:rFonts w:ascii="Arial" w:eastAsia="Batang" w:hAnsi="Arial" w:cs="Arial"/>
                <w:sz w:val="18"/>
                <w:szCs w:val="18"/>
                <w:lang w:eastAsia="ko-KR"/>
              </w:rPr>
            </w:pPr>
          </w:p>
        </w:tc>
      </w:tr>
      <w:tr w:rsidR="00E24C7A" w:rsidRPr="00911253" w14:paraId="795D1863" w14:textId="77777777" w:rsidTr="00A43635">
        <w:tc>
          <w:tcPr>
            <w:tcW w:w="1099" w:type="dxa"/>
            <w:shd w:val="clear" w:color="auto" w:fill="auto"/>
          </w:tcPr>
          <w:p w14:paraId="0F56C8CD" w14:textId="77777777" w:rsidR="00E24C7A" w:rsidRPr="00912654" w:rsidRDefault="00E24C7A" w:rsidP="00A43635">
            <w:pPr>
              <w:contextualSpacing/>
              <w:jc w:val="center"/>
              <w:rPr>
                <w:rFonts w:ascii="Arial" w:eastAsia="Batang" w:hAnsi="Arial" w:cs="Arial"/>
                <w:sz w:val="18"/>
                <w:szCs w:val="18"/>
                <w:lang w:eastAsia="ko-KR"/>
              </w:rPr>
            </w:pPr>
            <w:r w:rsidRPr="007B078C">
              <w:rPr>
                <w:rFonts w:ascii="Arial" w:hAnsi="Arial" w:cs="Arial"/>
                <w:color w:val="000000"/>
                <w:sz w:val="18"/>
                <w:szCs w:val="18"/>
              </w:rPr>
              <w:t>80000_WEB</w:t>
            </w:r>
          </w:p>
        </w:tc>
        <w:tc>
          <w:tcPr>
            <w:tcW w:w="2062" w:type="dxa"/>
            <w:shd w:val="clear" w:color="auto" w:fill="auto"/>
          </w:tcPr>
          <w:p w14:paraId="0F6221F7" w14:textId="77777777" w:rsidR="00E24C7A" w:rsidRPr="00912654" w:rsidRDefault="00E24C7A" w:rsidP="00A43635">
            <w:pPr>
              <w:contextualSpacing/>
              <w:jc w:val="center"/>
              <w:rPr>
                <w:rFonts w:ascii="Arial" w:eastAsia="Batang" w:hAnsi="Arial" w:cs="Arial"/>
                <w:sz w:val="18"/>
                <w:szCs w:val="18"/>
                <w:lang w:eastAsia="ko-KR"/>
              </w:rPr>
            </w:pPr>
            <w:r w:rsidRPr="007B078C">
              <w:rPr>
                <w:rFonts w:ascii="Arial" w:hAnsi="Arial" w:cs="Arial"/>
                <w:color w:val="000000"/>
                <w:sz w:val="18"/>
                <w:szCs w:val="18"/>
              </w:rPr>
              <w:t>Коды по точкам измерений, точкам поставки, группам точек поставки и сальдо перетоков (формат 80000)</w:t>
            </w:r>
          </w:p>
        </w:tc>
        <w:tc>
          <w:tcPr>
            <w:tcW w:w="1563" w:type="dxa"/>
            <w:shd w:val="clear" w:color="auto" w:fill="auto"/>
          </w:tcPr>
          <w:p w14:paraId="42BDAAC4" w14:textId="77777777" w:rsidR="00E24C7A" w:rsidRPr="00912654" w:rsidRDefault="00E24C7A" w:rsidP="00A43635">
            <w:pPr>
              <w:contextualSpacing/>
              <w:jc w:val="center"/>
              <w:rPr>
                <w:rFonts w:ascii="Arial" w:eastAsia="Batang" w:hAnsi="Arial" w:cs="Arial"/>
                <w:sz w:val="18"/>
                <w:szCs w:val="18"/>
                <w:lang w:eastAsia="ko-KR"/>
              </w:rPr>
            </w:pPr>
            <w:r w:rsidRPr="007B078C">
              <w:rPr>
                <w:rFonts w:ascii="Arial" w:hAnsi="Arial" w:cs="Arial"/>
                <w:color w:val="000000"/>
                <w:sz w:val="18"/>
                <w:szCs w:val="18"/>
              </w:rPr>
              <w:t>Регламент № 11.1.1, приложение 14</w:t>
            </w:r>
          </w:p>
        </w:tc>
        <w:tc>
          <w:tcPr>
            <w:tcW w:w="1132" w:type="dxa"/>
            <w:shd w:val="clear" w:color="auto" w:fill="auto"/>
          </w:tcPr>
          <w:p w14:paraId="014CF73A" w14:textId="77777777" w:rsidR="00E24C7A" w:rsidRPr="00912654" w:rsidRDefault="00E24C7A" w:rsidP="00A43635">
            <w:pPr>
              <w:contextualSpacing/>
              <w:jc w:val="center"/>
              <w:rPr>
                <w:rFonts w:ascii="Arial" w:hAnsi="Arial" w:cs="Arial"/>
                <w:color w:val="000000"/>
                <w:sz w:val="18"/>
                <w:szCs w:val="18"/>
              </w:rPr>
            </w:pPr>
            <w:r w:rsidRPr="007B078C">
              <w:rPr>
                <w:rFonts w:ascii="Arial" w:hAnsi="Arial" w:cs="Arial"/>
                <w:color w:val="000000"/>
                <w:sz w:val="18"/>
                <w:szCs w:val="18"/>
              </w:rPr>
              <w:t>xml</w:t>
            </w:r>
          </w:p>
        </w:tc>
        <w:tc>
          <w:tcPr>
            <w:tcW w:w="936" w:type="dxa"/>
            <w:shd w:val="clear" w:color="auto" w:fill="auto"/>
          </w:tcPr>
          <w:p w14:paraId="00B50D45" w14:textId="77777777" w:rsidR="00E24C7A" w:rsidRPr="00912654" w:rsidRDefault="00E24C7A" w:rsidP="00A43635">
            <w:pPr>
              <w:contextualSpacing/>
              <w:jc w:val="center"/>
              <w:rPr>
                <w:rFonts w:ascii="Arial" w:hAnsi="Arial" w:cs="Arial"/>
                <w:color w:val="000000"/>
                <w:sz w:val="18"/>
                <w:szCs w:val="18"/>
              </w:rPr>
            </w:pPr>
            <w:r w:rsidRPr="007B078C">
              <w:rPr>
                <w:rFonts w:ascii="Arial" w:hAnsi="Arial" w:cs="Arial"/>
                <w:color w:val="000000"/>
                <w:sz w:val="18"/>
                <w:szCs w:val="18"/>
              </w:rPr>
              <w:t>АТС</w:t>
            </w:r>
          </w:p>
        </w:tc>
        <w:tc>
          <w:tcPr>
            <w:tcW w:w="872" w:type="dxa"/>
            <w:shd w:val="clear" w:color="auto" w:fill="auto"/>
          </w:tcPr>
          <w:p w14:paraId="3CCAAF17" w14:textId="77777777" w:rsidR="00E24C7A" w:rsidRPr="00912654" w:rsidRDefault="00E24C7A" w:rsidP="00A43635">
            <w:pPr>
              <w:contextualSpacing/>
              <w:jc w:val="center"/>
              <w:rPr>
                <w:rFonts w:ascii="Arial" w:hAnsi="Arial" w:cs="Arial"/>
                <w:color w:val="000000"/>
                <w:sz w:val="18"/>
                <w:szCs w:val="18"/>
              </w:rPr>
            </w:pPr>
            <w:r w:rsidRPr="007B078C">
              <w:rPr>
                <w:rFonts w:ascii="Arial" w:hAnsi="Arial" w:cs="Arial"/>
                <w:color w:val="000000"/>
                <w:sz w:val="18"/>
                <w:szCs w:val="18"/>
              </w:rPr>
              <w:t>ФСК, Участник</w:t>
            </w:r>
          </w:p>
        </w:tc>
        <w:tc>
          <w:tcPr>
            <w:tcW w:w="1043" w:type="dxa"/>
            <w:shd w:val="clear" w:color="auto" w:fill="auto"/>
          </w:tcPr>
          <w:p w14:paraId="46ABCBF9" w14:textId="77777777" w:rsidR="00E24C7A" w:rsidRPr="00912654" w:rsidRDefault="00E24C7A" w:rsidP="00A43635">
            <w:pPr>
              <w:contextualSpacing/>
              <w:jc w:val="center"/>
              <w:rPr>
                <w:rFonts w:ascii="Arial" w:hAnsi="Arial" w:cs="Arial"/>
                <w:color w:val="000000"/>
                <w:sz w:val="18"/>
                <w:szCs w:val="18"/>
              </w:rPr>
            </w:pPr>
            <w:r w:rsidRPr="007B078C">
              <w:rPr>
                <w:rFonts w:ascii="Arial" w:hAnsi="Arial" w:cs="Arial"/>
                <w:color w:val="000000"/>
                <w:sz w:val="18"/>
                <w:szCs w:val="18"/>
              </w:rPr>
              <w:t>WEB-интерфейс</w:t>
            </w:r>
          </w:p>
        </w:tc>
        <w:tc>
          <w:tcPr>
            <w:tcW w:w="1219" w:type="dxa"/>
            <w:shd w:val="clear" w:color="auto" w:fill="auto"/>
          </w:tcPr>
          <w:p w14:paraId="47BCED0B" w14:textId="77777777" w:rsidR="00E24C7A" w:rsidRPr="00912654" w:rsidRDefault="00E24C7A" w:rsidP="00A43635">
            <w:pPr>
              <w:contextualSpacing/>
              <w:jc w:val="center"/>
              <w:rPr>
                <w:rFonts w:ascii="Arial" w:hAnsi="Arial" w:cs="Arial"/>
                <w:sz w:val="18"/>
                <w:szCs w:val="18"/>
              </w:rPr>
            </w:pPr>
            <w:r w:rsidRPr="007B078C">
              <w:rPr>
                <w:rFonts w:ascii="Arial" w:hAnsi="Arial" w:cs="Arial"/>
                <w:color w:val="000000"/>
                <w:sz w:val="18"/>
                <w:szCs w:val="18"/>
              </w:rPr>
              <w:t>Нет</w:t>
            </w:r>
          </w:p>
        </w:tc>
        <w:tc>
          <w:tcPr>
            <w:tcW w:w="996" w:type="dxa"/>
            <w:shd w:val="clear" w:color="auto" w:fill="auto"/>
          </w:tcPr>
          <w:p w14:paraId="35DE93D1" w14:textId="77777777" w:rsidR="00E24C7A" w:rsidRPr="00912654" w:rsidRDefault="00E24C7A" w:rsidP="00A43635">
            <w:pPr>
              <w:contextualSpacing/>
              <w:jc w:val="center"/>
              <w:rPr>
                <w:rFonts w:ascii="Arial" w:hAnsi="Arial" w:cs="Arial"/>
                <w:sz w:val="18"/>
                <w:szCs w:val="18"/>
              </w:rPr>
            </w:pPr>
            <w:r w:rsidRPr="007B078C">
              <w:rPr>
                <w:rFonts w:ascii="Arial" w:hAnsi="Arial" w:cs="Arial"/>
                <w:color w:val="000000"/>
                <w:sz w:val="18"/>
                <w:szCs w:val="18"/>
              </w:rPr>
              <w:t>Да</w:t>
            </w:r>
          </w:p>
        </w:tc>
        <w:tc>
          <w:tcPr>
            <w:tcW w:w="1890" w:type="dxa"/>
            <w:shd w:val="clear" w:color="auto" w:fill="auto"/>
          </w:tcPr>
          <w:p w14:paraId="36D98414" w14:textId="77777777" w:rsidR="00E24C7A" w:rsidRPr="00912654" w:rsidRDefault="00E24C7A" w:rsidP="00A43635">
            <w:pPr>
              <w:contextualSpacing/>
              <w:jc w:val="center"/>
              <w:rPr>
                <w:rFonts w:ascii="Arial" w:hAnsi="Arial" w:cs="Arial"/>
                <w:sz w:val="18"/>
                <w:szCs w:val="18"/>
              </w:rPr>
            </w:pPr>
            <w:r w:rsidRPr="007B078C">
              <w:rPr>
                <w:rFonts w:ascii="Arial" w:hAnsi="Arial" w:cs="Arial"/>
                <w:color w:val="000000"/>
                <w:sz w:val="18"/>
                <w:szCs w:val="18"/>
              </w:rPr>
              <w:t>1.3.6.1.4.1.18545.1.2.1.9</w:t>
            </w:r>
          </w:p>
        </w:tc>
        <w:tc>
          <w:tcPr>
            <w:tcW w:w="1062" w:type="dxa"/>
            <w:shd w:val="clear" w:color="auto" w:fill="auto"/>
          </w:tcPr>
          <w:p w14:paraId="51ACD439" w14:textId="77777777" w:rsidR="00E24C7A" w:rsidRPr="00912654" w:rsidRDefault="00E24C7A" w:rsidP="00A43635">
            <w:pPr>
              <w:contextualSpacing/>
              <w:jc w:val="center"/>
              <w:rPr>
                <w:rFonts w:ascii="Arial" w:hAnsi="Arial" w:cs="Arial"/>
                <w:sz w:val="18"/>
                <w:szCs w:val="18"/>
              </w:rPr>
            </w:pPr>
            <w:r w:rsidRPr="007B078C">
              <w:rPr>
                <w:rFonts w:ascii="Arial" w:hAnsi="Arial" w:cs="Arial"/>
                <w:color w:val="000000"/>
                <w:sz w:val="18"/>
                <w:szCs w:val="18"/>
              </w:rPr>
              <w:t>Блокнот</w:t>
            </w:r>
          </w:p>
        </w:tc>
        <w:tc>
          <w:tcPr>
            <w:tcW w:w="785" w:type="dxa"/>
            <w:shd w:val="clear" w:color="auto" w:fill="auto"/>
          </w:tcPr>
          <w:p w14:paraId="6E566A31" w14:textId="77777777" w:rsidR="00E24C7A" w:rsidRPr="00912654" w:rsidRDefault="00E24C7A" w:rsidP="00A43635">
            <w:pPr>
              <w:contextualSpacing/>
              <w:jc w:val="center"/>
              <w:rPr>
                <w:rFonts w:ascii="Arial" w:hAnsi="Arial" w:cs="Arial"/>
                <w:sz w:val="18"/>
                <w:szCs w:val="18"/>
              </w:rPr>
            </w:pPr>
            <w:r w:rsidRPr="007B078C">
              <w:rPr>
                <w:rFonts w:ascii="Arial" w:hAnsi="Arial" w:cs="Arial"/>
                <w:color w:val="000000"/>
                <w:sz w:val="18"/>
                <w:szCs w:val="18"/>
              </w:rPr>
              <w:t>5 лет</w:t>
            </w:r>
          </w:p>
        </w:tc>
        <w:tc>
          <w:tcPr>
            <w:tcW w:w="821" w:type="dxa"/>
            <w:shd w:val="clear" w:color="auto" w:fill="auto"/>
          </w:tcPr>
          <w:p w14:paraId="0434D1B1" w14:textId="77777777" w:rsidR="00E24C7A" w:rsidRPr="00912654" w:rsidRDefault="00E24C7A" w:rsidP="00A43635">
            <w:pPr>
              <w:contextualSpacing/>
              <w:jc w:val="center"/>
              <w:rPr>
                <w:rFonts w:ascii="Arial" w:eastAsia="Batang" w:hAnsi="Arial" w:cs="Arial"/>
                <w:sz w:val="18"/>
                <w:szCs w:val="18"/>
                <w:lang w:eastAsia="ko-KR"/>
              </w:rPr>
            </w:pPr>
          </w:p>
        </w:tc>
      </w:tr>
      <w:tr w:rsidR="00E24C7A" w:rsidRPr="00911253" w14:paraId="0E210808" w14:textId="77777777" w:rsidTr="00A43635">
        <w:tc>
          <w:tcPr>
            <w:tcW w:w="1099" w:type="dxa"/>
            <w:shd w:val="clear" w:color="auto" w:fill="auto"/>
            <w:vAlign w:val="center"/>
          </w:tcPr>
          <w:p w14:paraId="037D8ACD" w14:textId="77777777" w:rsidR="00E24C7A" w:rsidRPr="00911253" w:rsidRDefault="00E24C7A" w:rsidP="00A43635">
            <w:pPr>
              <w:contextualSpacing/>
              <w:jc w:val="center"/>
              <w:rPr>
                <w:rFonts w:ascii="Arial" w:eastAsia="Batang" w:hAnsi="Arial" w:cs="Arial"/>
                <w:sz w:val="18"/>
                <w:szCs w:val="18"/>
                <w:lang w:eastAsia="ko-KR"/>
              </w:rPr>
            </w:pPr>
            <w:r w:rsidRPr="00911253">
              <w:rPr>
                <w:rFonts w:ascii="Arial" w:eastAsia="Batang" w:hAnsi="Arial" w:cs="Arial"/>
                <w:sz w:val="18"/>
                <w:szCs w:val="18"/>
                <w:lang w:eastAsia="ko-KR"/>
              </w:rPr>
              <w:lastRenderedPageBreak/>
              <w:t>60002</w:t>
            </w:r>
          </w:p>
        </w:tc>
        <w:tc>
          <w:tcPr>
            <w:tcW w:w="2062" w:type="dxa"/>
            <w:shd w:val="clear" w:color="auto" w:fill="auto"/>
            <w:vAlign w:val="center"/>
          </w:tcPr>
          <w:p w14:paraId="02427F44" w14:textId="77777777" w:rsidR="00E24C7A" w:rsidRPr="00911253" w:rsidRDefault="00E24C7A" w:rsidP="00A43635">
            <w:pPr>
              <w:contextualSpacing/>
              <w:jc w:val="center"/>
              <w:rPr>
                <w:rFonts w:ascii="Arial" w:eastAsia="Batang" w:hAnsi="Arial" w:cs="Arial"/>
                <w:sz w:val="18"/>
                <w:szCs w:val="18"/>
                <w:lang w:eastAsia="ko-KR"/>
              </w:rPr>
            </w:pPr>
            <w:r w:rsidRPr="00911253">
              <w:rPr>
                <w:rFonts w:ascii="Arial" w:eastAsia="Batang" w:hAnsi="Arial" w:cs="Arial"/>
                <w:sz w:val="18"/>
                <w:szCs w:val="18"/>
                <w:lang w:eastAsia="ko-KR"/>
              </w:rPr>
              <w:t>Перечень средств измерений для целей коммерческого учета (макет 60002)</w:t>
            </w:r>
          </w:p>
        </w:tc>
        <w:tc>
          <w:tcPr>
            <w:tcW w:w="1563" w:type="dxa"/>
            <w:shd w:val="clear" w:color="auto" w:fill="auto"/>
            <w:vAlign w:val="center"/>
          </w:tcPr>
          <w:p w14:paraId="4C190E4C" w14:textId="77777777" w:rsidR="00E24C7A" w:rsidRPr="00911253" w:rsidRDefault="00E24C7A" w:rsidP="00A43635">
            <w:pPr>
              <w:contextualSpacing/>
              <w:jc w:val="center"/>
              <w:rPr>
                <w:rFonts w:ascii="Arial" w:eastAsia="Batang" w:hAnsi="Arial" w:cs="Arial"/>
                <w:sz w:val="18"/>
                <w:szCs w:val="18"/>
                <w:lang w:eastAsia="ko-KR"/>
              </w:rPr>
            </w:pPr>
            <w:r w:rsidRPr="00911253">
              <w:rPr>
                <w:rFonts w:ascii="Arial" w:eastAsia="Batang" w:hAnsi="Arial" w:cs="Arial"/>
                <w:sz w:val="18"/>
                <w:szCs w:val="18"/>
                <w:lang w:eastAsia="ko-KR"/>
              </w:rPr>
              <w:t>Регламент № 11, приложение 5</w:t>
            </w:r>
          </w:p>
        </w:tc>
        <w:tc>
          <w:tcPr>
            <w:tcW w:w="1132" w:type="dxa"/>
            <w:shd w:val="clear" w:color="auto" w:fill="auto"/>
            <w:vAlign w:val="center"/>
          </w:tcPr>
          <w:p w14:paraId="78465519" w14:textId="77777777" w:rsidR="00E24C7A" w:rsidRPr="00911253" w:rsidRDefault="00E24C7A" w:rsidP="00A43635">
            <w:pPr>
              <w:contextualSpacing/>
              <w:jc w:val="center"/>
              <w:rPr>
                <w:rFonts w:ascii="Arial" w:eastAsia="Batang" w:hAnsi="Arial" w:cs="Arial"/>
                <w:sz w:val="18"/>
                <w:szCs w:val="18"/>
                <w:lang w:eastAsia="ko-KR"/>
              </w:rPr>
            </w:pPr>
            <w:r w:rsidRPr="00911253">
              <w:rPr>
                <w:rFonts w:ascii="Arial" w:hAnsi="Arial" w:cs="Arial"/>
                <w:color w:val="000000"/>
                <w:sz w:val="18"/>
                <w:szCs w:val="18"/>
              </w:rPr>
              <w:t>xml</w:t>
            </w:r>
          </w:p>
        </w:tc>
        <w:tc>
          <w:tcPr>
            <w:tcW w:w="936" w:type="dxa"/>
            <w:shd w:val="clear" w:color="auto" w:fill="auto"/>
            <w:vAlign w:val="center"/>
          </w:tcPr>
          <w:p w14:paraId="3D3B889C" w14:textId="77777777" w:rsidR="00E24C7A" w:rsidRPr="00911253" w:rsidRDefault="00E24C7A" w:rsidP="00A43635">
            <w:pPr>
              <w:contextualSpacing/>
              <w:jc w:val="center"/>
              <w:rPr>
                <w:rFonts w:ascii="Arial" w:eastAsia="Batang" w:hAnsi="Arial" w:cs="Arial"/>
                <w:sz w:val="18"/>
                <w:szCs w:val="18"/>
                <w:lang w:eastAsia="ko-KR"/>
              </w:rPr>
            </w:pPr>
            <w:r w:rsidRPr="00911253">
              <w:rPr>
                <w:rFonts w:ascii="Arial" w:hAnsi="Arial" w:cs="Arial"/>
                <w:color w:val="000000"/>
                <w:sz w:val="18"/>
                <w:szCs w:val="18"/>
              </w:rPr>
              <w:t>АТС</w:t>
            </w:r>
          </w:p>
        </w:tc>
        <w:tc>
          <w:tcPr>
            <w:tcW w:w="872" w:type="dxa"/>
            <w:shd w:val="clear" w:color="auto" w:fill="auto"/>
            <w:vAlign w:val="center"/>
          </w:tcPr>
          <w:p w14:paraId="2FF48B22" w14:textId="77777777" w:rsidR="00E24C7A" w:rsidRPr="00911253" w:rsidRDefault="00E24C7A" w:rsidP="00A43635">
            <w:pPr>
              <w:contextualSpacing/>
              <w:jc w:val="center"/>
              <w:rPr>
                <w:rFonts w:ascii="Arial" w:eastAsia="Batang" w:hAnsi="Arial" w:cs="Arial"/>
                <w:sz w:val="18"/>
                <w:szCs w:val="18"/>
                <w:lang w:eastAsia="ko-KR"/>
              </w:rPr>
            </w:pPr>
            <w:r w:rsidRPr="00911253">
              <w:rPr>
                <w:rFonts w:ascii="Arial" w:eastAsia="Batang" w:hAnsi="Arial" w:cs="Arial"/>
                <w:sz w:val="18"/>
                <w:szCs w:val="18"/>
                <w:lang w:eastAsia="ko-KR"/>
              </w:rPr>
              <w:t>Участник, ФСК</w:t>
            </w:r>
          </w:p>
        </w:tc>
        <w:tc>
          <w:tcPr>
            <w:tcW w:w="1043" w:type="dxa"/>
            <w:shd w:val="clear" w:color="auto" w:fill="auto"/>
            <w:vAlign w:val="center"/>
          </w:tcPr>
          <w:p w14:paraId="538A759C" w14:textId="77777777" w:rsidR="00E24C7A" w:rsidRPr="00911253" w:rsidRDefault="00E24C7A" w:rsidP="00A43635">
            <w:pPr>
              <w:contextualSpacing/>
              <w:jc w:val="center"/>
              <w:rPr>
                <w:rFonts w:ascii="Arial" w:eastAsia="Batang" w:hAnsi="Arial" w:cs="Arial"/>
                <w:sz w:val="18"/>
                <w:szCs w:val="18"/>
                <w:lang w:eastAsia="ko-KR"/>
              </w:rPr>
            </w:pPr>
            <w:r w:rsidRPr="00911253">
              <w:rPr>
                <w:rFonts w:ascii="Arial" w:eastAsia="Batang" w:hAnsi="Arial" w:cs="Arial"/>
                <w:sz w:val="18"/>
                <w:szCs w:val="18"/>
                <w:lang w:eastAsia="ko-KR"/>
              </w:rPr>
              <w:t>WEB-интерфейс</w:t>
            </w:r>
          </w:p>
        </w:tc>
        <w:tc>
          <w:tcPr>
            <w:tcW w:w="1219" w:type="dxa"/>
            <w:shd w:val="clear" w:color="auto" w:fill="auto"/>
            <w:vAlign w:val="center"/>
          </w:tcPr>
          <w:p w14:paraId="01CECED9" w14:textId="77777777" w:rsidR="00E24C7A" w:rsidRPr="00911253" w:rsidRDefault="00E24C7A" w:rsidP="00A43635">
            <w:pPr>
              <w:contextualSpacing/>
              <w:jc w:val="center"/>
              <w:rPr>
                <w:rFonts w:ascii="Arial" w:eastAsia="Batang" w:hAnsi="Arial" w:cs="Arial"/>
                <w:sz w:val="18"/>
                <w:szCs w:val="18"/>
                <w:lang w:eastAsia="ko-KR"/>
              </w:rPr>
            </w:pPr>
            <w:r w:rsidRPr="00911253">
              <w:rPr>
                <w:rFonts w:ascii="Arial" w:hAnsi="Arial" w:cs="Arial"/>
                <w:sz w:val="18"/>
                <w:szCs w:val="18"/>
              </w:rPr>
              <w:t>Нет</w:t>
            </w:r>
          </w:p>
        </w:tc>
        <w:tc>
          <w:tcPr>
            <w:tcW w:w="996" w:type="dxa"/>
            <w:shd w:val="clear" w:color="auto" w:fill="auto"/>
            <w:vAlign w:val="center"/>
          </w:tcPr>
          <w:p w14:paraId="75E200E5" w14:textId="77777777" w:rsidR="00E24C7A" w:rsidRPr="00911253" w:rsidRDefault="00E24C7A" w:rsidP="00A43635">
            <w:pPr>
              <w:contextualSpacing/>
              <w:jc w:val="center"/>
              <w:rPr>
                <w:rFonts w:ascii="Arial" w:eastAsia="Batang" w:hAnsi="Arial" w:cs="Arial"/>
                <w:sz w:val="18"/>
                <w:szCs w:val="18"/>
                <w:lang w:eastAsia="ko-KR"/>
              </w:rPr>
            </w:pPr>
            <w:r w:rsidRPr="00911253">
              <w:rPr>
                <w:rFonts w:ascii="Arial" w:hAnsi="Arial" w:cs="Arial"/>
                <w:sz w:val="18"/>
                <w:szCs w:val="18"/>
              </w:rPr>
              <w:t>Нет</w:t>
            </w:r>
          </w:p>
        </w:tc>
        <w:tc>
          <w:tcPr>
            <w:tcW w:w="1890" w:type="dxa"/>
            <w:shd w:val="clear" w:color="auto" w:fill="auto"/>
            <w:vAlign w:val="center"/>
          </w:tcPr>
          <w:p w14:paraId="7A493585" w14:textId="77777777" w:rsidR="00E24C7A" w:rsidRPr="00911253" w:rsidRDefault="00E24C7A" w:rsidP="00A43635">
            <w:pPr>
              <w:contextualSpacing/>
              <w:jc w:val="center"/>
              <w:rPr>
                <w:rFonts w:ascii="Arial" w:eastAsia="Batang" w:hAnsi="Arial" w:cs="Arial"/>
                <w:sz w:val="18"/>
                <w:szCs w:val="18"/>
                <w:lang w:eastAsia="ko-KR"/>
              </w:rPr>
            </w:pPr>
            <w:r w:rsidRPr="00911253">
              <w:rPr>
                <w:rFonts w:ascii="Arial" w:hAnsi="Arial" w:cs="Arial"/>
                <w:sz w:val="18"/>
                <w:szCs w:val="18"/>
              </w:rPr>
              <w:t>1.3.6.1.4.1.18545.1.2.1.9</w:t>
            </w:r>
          </w:p>
        </w:tc>
        <w:tc>
          <w:tcPr>
            <w:tcW w:w="1062" w:type="dxa"/>
            <w:shd w:val="clear" w:color="auto" w:fill="auto"/>
            <w:vAlign w:val="center"/>
          </w:tcPr>
          <w:p w14:paraId="65972879" w14:textId="77777777" w:rsidR="00E24C7A" w:rsidRPr="00911253" w:rsidRDefault="00E24C7A" w:rsidP="00A43635">
            <w:pPr>
              <w:contextualSpacing/>
              <w:jc w:val="center"/>
              <w:rPr>
                <w:rFonts w:ascii="Arial" w:eastAsia="Batang" w:hAnsi="Arial" w:cs="Arial"/>
                <w:sz w:val="18"/>
                <w:szCs w:val="18"/>
                <w:lang w:eastAsia="ko-KR"/>
              </w:rPr>
            </w:pPr>
            <w:r w:rsidRPr="00911253">
              <w:rPr>
                <w:rFonts w:ascii="Arial" w:hAnsi="Arial" w:cs="Arial"/>
                <w:sz w:val="18"/>
                <w:szCs w:val="18"/>
              </w:rPr>
              <w:t>ASPMailer, блокнот</w:t>
            </w:r>
          </w:p>
        </w:tc>
        <w:tc>
          <w:tcPr>
            <w:tcW w:w="785" w:type="dxa"/>
            <w:shd w:val="clear" w:color="auto" w:fill="auto"/>
            <w:vAlign w:val="center"/>
          </w:tcPr>
          <w:p w14:paraId="72F89F38" w14:textId="77777777" w:rsidR="00E24C7A" w:rsidRPr="00911253" w:rsidRDefault="00E24C7A" w:rsidP="00A43635">
            <w:pPr>
              <w:contextualSpacing/>
              <w:jc w:val="center"/>
              <w:rPr>
                <w:rFonts w:ascii="Arial" w:eastAsia="Batang" w:hAnsi="Arial" w:cs="Arial"/>
                <w:sz w:val="18"/>
                <w:szCs w:val="18"/>
                <w:lang w:eastAsia="ko-KR"/>
              </w:rPr>
            </w:pPr>
            <w:r w:rsidRPr="00911253">
              <w:rPr>
                <w:rFonts w:ascii="Arial" w:hAnsi="Arial" w:cs="Arial"/>
                <w:sz w:val="18"/>
                <w:szCs w:val="18"/>
              </w:rPr>
              <w:t>постоянно</w:t>
            </w:r>
          </w:p>
        </w:tc>
        <w:tc>
          <w:tcPr>
            <w:tcW w:w="821" w:type="dxa"/>
            <w:shd w:val="clear" w:color="auto" w:fill="auto"/>
          </w:tcPr>
          <w:p w14:paraId="47010B73" w14:textId="77777777" w:rsidR="00E24C7A" w:rsidRPr="00911253" w:rsidRDefault="00E24C7A" w:rsidP="00A43635">
            <w:pPr>
              <w:contextualSpacing/>
              <w:jc w:val="center"/>
              <w:rPr>
                <w:rFonts w:ascii="Arial" w:eastAsia="Batang" w:hAnsi="Arial" w:cs="Arial"/>
                <w:sz w:val="18"/>
                <w:szCs w:val="18"/>
                <w:lang w:eastAsia="ko-KR"/>
              </w:rPr>
            </w:pPr>
          </w:p>
        </w:tc>
      </w:tr>
      <w:tr w:rsidR="00E24C7A" w:rsidRPr="00911253" w14:paraId="699ACD3B" w14:textId="77777777" w:rsidTr="00A43635">
        <w:tc>
          <w:tcPr>
            <w:tcW w:w="1099" w:type="dxa"/>
            <w:shd w:val="clear" w:color="auto" w:fill="auto"/>
          </w:tcPr>
          <w:p w14:paraId="243DD8CD" w14:textId="77777777" w:rsidR="00E24C7A" w:rsidRPr="00912654" w:rsidRDefault="00E24C7A" w:rsidP="00A43635">
            <w:pPr>
              <w:contextualSpacing/>
              <w:jc w:val="center"/>
              <w:rPr>
                <w:rFonts w:ascii="Arial" w:eastAsia="Batang" w:hAnsi="Arial" w:cs="Arial"/>
                <w:sz w:val="18"/>
                <w:szCs w:val="18"/>
                <w:lang w:eastAsia="ko-KR"/>
              </w:rPr>
            </w:pPr>
            <w:r w:rsidRPr="007B078C">
              <w:rPr>
                <w:rFonts w:ascii="Arial" w:hAnsi="Arial" w:cs="Arial"/>
                <w:color w:val="000000"/>
                <w:sz w:val="18"/>
                <w:szCs w:val="18"/>
              </w:rPr>
              <w:t>PART_ATS_80015_2_SIGNS</w:t>
            </w:r>
          </w:p>
        </w:tc>
        <w:tc>
          <w:tcPr>
            <w:tcW w:w="2062" w:type="dxa"/>
            <w:shd w:val="clear" w:color="auto" w:fill="auto"/>
          </w:tcPr>
          <w:p w14:paraId="73B2E54B" w14:textId="77777777" w:rsidR="00E24C7A" w:rsidRPr="00912654" w:rsidRDefault="00E24C7A" w:rsidP="00A43635">
            <w:pPr>
              <w:contextualSpacing/>
              <w:jc w:val="center"/>
              <w:rPr>
                <w:rFonts w:ascii="Arial" w:eastAsia="Batang" w:hAnsi="Arial" w:cs="Arial"/>
                <w:sz w:val="18"/>
                <w:szCs w:val="18"/>
                <w:lang w:eastAsia="ko-KR"/>
              </w:rPr>
            </w:pPr>
            <w:r w:rsidRPr="007B078C">
              <w:rPr>
                <w:rFonts w:ascii="Arial" w:hAnsi="Arial" w:cs="Arial"/>
                <w:color w:val="000000"/>
                <w:sz w:val="18"/>
                <w:szCs w:val="18"/>
              </w:rPr>
              <w:t>Подтверждение результата расчета величины учетного показателя</w:t>
            </w:r>
          </w:p>
        </w:tc>
        <w:tc>
          <w:tcPr>
            <w:tcW w:w="1563" w:type="dxa"/>
            <w:shd w:val="clear" w:color="auto" w:fill="auto"/>
          </w:tcPr>
          <w:p w14:paraId="3113709F" w14:textId="77777777" w:rsidR="00E24C7A" w:rsidRDefault="00E24C7A" w:rsidP="00A43635">
            <w:pPr>
              <w:contextualSpacing/>
              <w:jc w:val="center"/>
              <w:rPr>
                <w:rFonts w:ascii="Arial" w:hAnsi="Arial" w:cs="Arial"/>
                <w:color w:val="000000"/>
                <w:sz w:val="18"/>
                <w:szCs w:val="18"/>
              </w:rPr>
            </w:pPr>
            <w:r w:rsidRPr="007B078C">
              <w:rPr>
                <w:rFonts w:ascii="Arial" w:hAnsi="Arial" w:cs="Arial"/>
                <w:color w:val="000000"/>
                <w:sz w:val="18"/>
                <w:szCs w:val="18"/>
              </w:rPr>
              <w:t xml:space="preserve">Приложение 3 к Положению о порядке получения статуса субъекта оптового рынка; </w:t>
            </w:r>
          </w:p>
          <w:p w14:paraId="51D45FB3" w14:textId="77777777" w:rsidR="00E24C7A" w:rsidRPr="00912654" w:rsidRDefault="00E24C7A" w:rsidP="00A43635">
            <w:pPr>
              <w:contextualSpacing/>
              <w:jc w:val="center"/>
              <w:rPr>
                <w:rFonts w:ascii="Arial" w:eastAsia="Batang" w:hAnsi="Arial" w:cs="Arial"/>
                <w:sz w:val="18"/>
                <w:szCs w:val="18"/>
                <w:lang w:eastAsia="ko-KR"/>
              </w:rPr>
            </w:pPr>
            <w:r w:rsidRPr="007B078C">
              <w:rPr>
                <w:rFonts w:ascii="Arial" w:hAnsi="Arial" w:cs="Arial"/>
                <w:color w:val="000000"/>
                <w:sz w:val="18"/>
                <w:szCs w:val="18"/>
              </w:rPr>
              <w:t>Регламент № 11</w:t>
            </w:r>
          </w:p>
        </w:tc>
        <w:tc>
          <w:tcPr>
            <w:tcW w:w="1132" w:type="dxa"/>
            <w:shd w:val="clear" w:color="auto" w:fill="auto"/>
          </w:tcPr>
          <w:p w14:paraId="5B682AFF" w14:textId="77777777" w:rsidR="00E24C7A" w:rsidRPr="00912654" w:rsidRDefault="00E24C7A" w:rsidP="00A43635">
            <w:pPr>
              <w:contextualSpacing/>
              <w:jc w:val="center"/>
              <w:rPr>
                <w:rFonts w:ascii="Arial" w:hAnsi="Arial" w:cs="Arial"/>
                <w:color w:val="000000"/>
                <w:sz w:val="18"/>
                <w:szCs w:val="18"/>
              </w:rPr>
            </w:pPr>
            <w:r w:rsidRPr="007B078C">
              <w:rPr>
                <w:rFonts w:ascii="Arial" w:hAnsi="Arial" w:cs="Arial"/>
                <w:color w:val="000000"/>
                <w:sz w:val="18"/>
                <w:szCs w:val="18"/>
              </w:rPr>
              <w:t>xls</w:t>
            </w:r>
          </w:p>
        </w:tc>
        <w:tc>
          <w:tcPr>
            <w:tcW w:w="936" w:type="dxa"/>
            <w:shd w:val="clear" w:color="auto" w:fill="auto"/>
          </w:tcPr>
          <w:p w14:paraId="464651BA" w14:textId="77777777" w:rsidR="00E24C7A" w:rsidRPr="00912654" w:rsidRDefault="00E24C7A" w:rsidP="00A43635">
            <w:pPr>
              <w:contextualSpacing/>
              <w:jc w:val="center"/>
              <w:rPr>
                <w:rFonts w:ascii="Arial" w:hAnsi="Arial" w:cs="Arial"/>
                <w:color w:val="000000"/>
                <w:sz w:val="18"/>
                <w:szCs w:val="18"/>
              </w:rPr>
            </w:pPr>
            <w:r w:rsidRPr="007B078C">
              <w:rPr>
                <w:rFonts w:ascii="Arial" w:hAnsi="Arial" w:cs="Arial"/>
                <w:color w:val="000000"/>
                <w:sz w:val="18"/>
                <w:szCs w:val="18"/>
              </w:rPr>
              <w:t>Участник, ФСК</w:t>
            </w:r>
          </w:p>
        </w:tc>
        <w:tc>
          <w:tcPr>
            <w:tcW w:w="872" w:type="dxa"/>
            <w:shd w:val="clear" w:color="auto" w:fill="auto"/>
          </w:tcPr>
          <w:p w14:paraId="12BA254A" w14:textId="77777777" w:rsidR="00E24C7A" w:rsidRPr="00912654" w:rsidRDefault="00E24C7A" w:rsidP="00A43635">
            <w:pPr>
              <w:contextualSpacing/>
              <w:jc w:val="center"/>
              <w:rPr>
                <w:rFonts w:ascii="Arial" w:eastAsia="Batang" w:hAnsi="Arial" w:cs="Arial"/>
                <w:sz w:val="18"/>
                <w:szCs w:val="18"/>
                <w:lang w:eastAsia="ko-KR"/>
              </w:rPr>
            </w:pPr>
            <w:r w:rsidRPr="007B078C">
              <w:rPr>
                <w:rFonts w:ascii="Arial" w:hAnsi="Arial" w:cs="Arial"/>
                <w:color w:val="000000"/>
                <w:sz w:val="18"/>
                <w:szCs w:val="18"/>
              </w:rPr>
              <w:t>АТС</w:t>
            </w:r>
          </w:p>
        </w:tc>
        <w:tc>
          <w:tcPr>
            <w:tcW w:w="1043" w:type="dxa"/>
            <w:shd w:val="clear" w:color="auto" w:fill="auto"/>
          </w:tcPr>
          <w:p w14:paraId="0A353DC3" w14:textId="77777777" w:rsidR="00E24C7A" w:rsidRPr="00912654" w:rsidRDefault="00E24C7A" w:rsidP="00A43635">
            <w:pPr>
              <w:contextualSpacing/>
              <w:jc w:val="center"/>
              <w:rPr>
                <w:rFonts w:ascii="Arial" w:eastAsia="Batang" w:hAnsi="Arial" w:cs="Arial"/>
                <w:sz w:val="18"/>
                <w:szCs w:val="18"/>
                <w:lang w:eastAsia="ko-KR"/>
              </w:rPr>
            </w:pPr>
            <w:r w:rsidRPr="007B078C">
              <w:rPr>
                <w:rFonts w:ascii="Arial" w:hAnsi="Arial" w:cs="Arial"/>
                <w:color w:val="000000"/>
                <w:sz w:val="18"/>
                <w:szCs w:val="18"/>
              </w:rPr>
              <w:t>WEB-интерфейс</w:t>
            </w:r>
          </w:p>
        </w:tc>
        <w:tc>
          <w:tcPr>
            <w:tcW w:w="1219" w:type="dxa"/>
            <w:shd w:val="clear" w:color="auto" w:fill="auto"/>
          </w:tcPr>
          <w:p w14:paraId="378F05F5" w14:textId="77777777" w:rsidR="00E24C7A" w:rsidRPr="00912654" w:rsidRDefault="00E24C7A" w:rsidP="00A43635">
            <w:pPr>
              <w:contextualSpacing/>
              <w:jc w:val="center"/>
              <w:rPr>
                <w:rFonts w:ascii="Arial" w:hAnsi="Arial" w:cs="Arial"/>
                <w:sz w:val="18"/>
                <w:szCs w:val="18"/>
              </w:rPr>
            </w:pPr>
            <w:r w:rsidRPr="007B078C">
              <w:rPr>
                <w:rFonts w:ascii="Arial" w:hAnsi="Arial" w:cs="Arial"/>
                <w:color w:val="000000"/>
                <w:sz w:val="18"/>
                <w:szCs w:val="18"/>
              </w:rPr>
              <w:t>Нет</w:t>
            </w:r>
          </w:p>
        </w:tc>
        <w:tc>
          <w:tcPr>
            <w:tcW w:w="996" w:type="dxa"/>
            <w:shd w:val="clear" w:color="auto" w:fill="auto"/>
          </w:tcPr>
          <w:p w14:paraId="04E4509D" w14:textId="77777777" w:rsidR="00E24C7A" w:rsidRPr="00912654" w:rsidRDefault="00E24C7A" w:rsidP="00A43635">
            <w:pPr>
              <w:contextualSpacing/>
              <w:jc w:val="center"/>
              <w:rPr>
                <w:rFonts w:ascii="Arial" w:hAnsi="Arial" w:cs="Arial"/>
                <w:sz w:val="18"/>
                <w:szCs w:val="18"/>
              </w:rPr>
            </w:pPr>
            <w:r w:rsidRPr="007B078C">
              <w:rPr>
                <w:rFonts w:ascii="Arial" w:hAnsi="Arial" w:cs="Arial"/>
                <w:color w:val="000000"/>
                <w:sz w:val="18"/>
                <w:szCs w:val="18"/>
              </w:rPr>
              <w:t>Нет</w:t>
            </w:r>
          </w:p>
        </w:tc>
        <w:tc>
          <w:tcPr>
            <w:tcW w:w="1890" w:type="dxa"/>
            <w:shd w:val="clear" w:color="auto" w:fill="auto"/>
          </w:tcPr>
          <w:p w14:paraId="45F54AE3" w14:textId="77777777" w:rsidR="00E24C7A" w:rsidRPr="00912654" w:rsidRDefault="00E24C7A" w:rsidP="00A43635">
            <w:pPr>
              <w:contextualSpacing/>
              <w:jc w:val="center"/>
              <w:rPr>
                <w:rFonts w:ascii="Arial" w:hAnsi="Arial" w:cs="Arial"/>
                <w:sz w:val="18"/>
                <w:szCs w:val="18"/>
              </w:rPr>
            </w:pPr>
            <w:r w:rsidRPr="007B078C">
              <w:rPr>
                <w:rFonts w:ascii="Arial" w:hAnsi="Arial" w:cs="Arial"/>
                <w:color w:val="000000"/>
                <w:sz w:val="18"/>
                <w:szCs w:val="18"/>
              </w:rPr>
              <w:t>1.3.6.1.4.1.18545.1.2.1.9</w:t>
            </w:r>
          </w:p>
        </w:tc>
        <w:tc>
          <w:tcPr>
            <w:tcW w:w="1062" w:type="dxa"/>
            <w:shd w:val="clear" w:color="auto" w:fill="auto"/>
          </w:tcPr>
          <w:p w14:paraId="6E46B49D" w14:textId="77777777" w:rsidR="00E24C7A" w:rsidRPr="00912654" w:rsidRDefault="00E24C7A" w:rsidP="00A43635">
            <w:pPr>
              <w:contextualSpacing/>
              <w:jc w:val="center"/>
              <w:rPr>
                <w:rFonts w:ascii="Arial" w:hAnsi="Arial" w:cs="Arial"/>
                <w:sz w:val="18"/>
                <w:szCs w:val="18"/>
              </w:rPr>
            </w:pPr>
            <w:r w:rsidRPr="007B078C">
              <w:rPr>
                <w:rFonts w:ascii="Arial" w:hAnsi="Arial" w:cs="Arial"/>
                <w:color w:val="000000"/>
                <w:sz w:val="18"/>
                <w:szCs w:val="18"/>
              </w:rPr>
              <w:t>Excel</w:t>
            </w:r>
          </w:p>
        </w:tc>
        <w:tc>
          <w:tcPr>
            <w:tcW w:w="785" w:type="dxa"/>
            <w:shd w:val="clear" w:color="auto" w:fill="auto"/>
          </w:tcPr>
          <w:p w14:paraId="298BD62F" w14:textId="77777777" w:rsidR="00E24C7A" w:rsidRPr="00912654" w:rsidRDefault="00E24C7A" w:rsidP="00A43635">
            <w:pPr>
              <w:contextualSpacing/>
              <w:jc w:val="center"/>
              <w:rPr>
                <w:rFonts w:ascii="Arial" w:hAnsi="Arial" w:cs="Arial"/>
                <w:sz w:val="18"/>
                <w:szCs w:val="18"/>
              </w:rPr>
            </w:pPr>
            <w:r w:rsidRPr="007B078C">
              <w:rPr>
                <w:rFonts w:ascii="Arial" w:hAnsi="Arial" w:cs="Arial"/>
                <w:color w:val="000000"/>
                <w:sz w:val="18"/>
                <w:szCs w:val="18"/>
              </w:rPr>
              <w:t>5 лет</w:t>
            </w:r>
          </w:p>
        </w:tc>
        <w:tc>
          <w:tcPr>
            <w:tcW w:w="821" w:type="dxa"/>
            <w:shd w:val="clear" w:color="auto" w:fill="auto"/>
          </w:tcPr>
          <w:p w14:paraId="74A49952" w14:textId="77777777" w:rsidR="00E24C7A" w:rsidRPr="00912654" w:rsidRDefault="00E24C7A" w:rsidP="00A43635">
            <w:pPr>
              <w:contextualSpacing/>
              <w:jc w:val="center"/>
              <w:rPr>
                <w:rFonts w:ascii="Arial" w:eastAsia="Batang" w:hAnsi="Arial" w:cs="Arial"/>
                <w:sz w:val="18"/>
                <w:szCs w:val="18"/>
                <w:lang w:eastAsia="ko-KR"/>
              </w:rPr>
            </w:pPr>
          </w:p>
        </w:tc>
      </w:tr>
      <w:tr w:rsidR="00E24C7A" w:rsidRPr="00911253" w14:paraId="145864F3" w14:textId="77777777" w:rsidTr="00A43635">
        <w:tc>
          <w:tcPr>
            <w:tcW w:w="1099" w:type="dxa"/>
            <w:shd w:val="clear" w:color="auto" w:fill="auto"/>
          </w:tcPr>
          <w:p w14:paraId="72C046BE" w14:textId="77777777" w:rsidR="00E24C7A" w:rsidRPr="00911253" w:rsidRDefault="00E24C7A" w:rsidP="00A43635">
            <w:pPr>
              <w:contextualSpacing/>
              <w:jc w:val="center"/>
              <w:rPr>
                <w:rFonts w:ascii="Arial" w:eastAsia="Batang" w:hAnsi="Arial" w:cs="Arial"/>
                <w:sz w:val="18"/>
                <w:szCs w:val="18"/>
                <w:lang w:eastAsia="ko-KR"/>
              </w:rPr>
            </w:pPr>
            <w:r w:rsidRPr="00911253">
              <w:rPr>
                <w:rFonts w:ascii="Arial" w:hAnsi="Arial" w:cs="Arial"/>
                <w:sz w:val="18"/>
                <w:szCs w:val="18"/>
              </w:rPr>
              <w:t>STA_ZAJAVL_FORM_1_MED</w:t>
            </w:r>
          </w:p>
        </w:tc>
        <w:tc>
          <w:tcPr>
            <w:tcW w:w="2062" w:type="dxa"/>
            <w:shd w:val="clear" w:color="auto" w:fill="auto"/>
          </w:tcPr>
          <w:p w14:paraId="5566DFF5" w14:textId="77777777" w:rsidR="00E24C7A" w:rsidRPr="00911253" w:rsidRDefault="00E24C7A" w:rsidP="00A43635">
            <w:pPr>
              <w:contextualSpacing/>
              <w:jc w:val="center"/>
              <w:rPr>
                <w:rFonts w:ascii="Arial" w:eastAsia="Batang" w:hAnsi="Arial" w:cs="Arial"/>
                <w:sz w:val="18"/>
                <w:szCs w:val="18"/>
                <w:lang w:eastAsia="ko-KR"/>
              </w:rPr>
            </w:pPr>
            <w:r w:rsidRPr="00911253">
              <w:rPr>
                <w:rFonts w:ascii="Arial" w:hAnsi="Arial" w:cs="Arial"/>
                <w:sz w:val="18"/>
                <w:szCs w:val="18"/>
              </w:rPr>
              <w:t>Заявление на получение статуса субъекта оптового рынка (форма 1)</w:t>
            </w:r>
          </w:p>
        </w:tc>
        <w:tc>
          <w:tcPr>
            <w:tcW w:w="1563" w:type="dxa"/>
            <w:shd w:val="clear" w:color="auto" w:fill="auto"/>
          </w:tcPr>
          <w:p w14:paraId="66AA9A6F" w14:textId="77777777" w:rsidR="00E24C7A" w:rsidRPr="00911253" w:rsidRDefault="00E24C7A" w:rsidP="00A43635">
            <w:pPr>
              <w:contextualSpacing/>
              <w:jc w:val="center"/>
              <w:rPr>
                <w:rFonts w:ascii="Arial" w:eastAsia="Batang" w:hAnsi="Arial" w:cs="Arial"/>
                <w:sz w:val="18"/>
                <w:szCs w:val="18"/>
                <w:lang w:eastAsia="ko-KR"/>
              </w:rPr>
            </w:pPr>
            <w:r w:rsidRPr="00911253">
              <w:rPr>
                <w:rFonts w:ascii="Arial" w:hAnsi="Arial" w:cs="Arial"/>
                <w:sz w:val="18"/>
                <w:szCs w:val="18"/>
              </w:rPr>
              <w:t>Положение о порядке получения статуса субъекта оптового рынка, п. 2.3</w:t>
            </w:r>
          </w:p>
        </w:tc>
        <w:tc>
          <w:tcPr>
            <w:tcW w:w="1132" w:type="dxa"/>
            <w:shd w:val="clear" w:color="auto" w:fill="auto"/>
          </w:tcPr>
          <w:p w14:paraId="39F38BC3" w14:textId="77777777" w:rsidR="00E24C7A" w:rsidRPr="00911253" w:rsidRDefault="00E24C7A" w:rsidP="00A43635">
            <w:pPr>
              <w:contextualSpacing/>
              <w:jc w:val="center"/>
              <w:rPr>
                <w:rFonts w:ascii="Arial" w:hAnsi="Arial" w:cs="Arial"/>
                <w:color w:val="000000"/>
                <w:sz w:val="18"/>
                <w:szCs w:val="18"/>
              </w:rPr>
            </w:pPr>
            <w:r w:rsidRPr="00911253">
              <w:rPr>
                <w:rFonts w:ascii="Arial" w:hAnsi="Arial" w:cs="Arial"/>
                <w:sz w:val="18"/>
                <w:szCs w:val="18"/>
              </w:rPr>
              <w:t>docx</w:t>
            </w:r>
          </w:p>
        </w:tc>
        <w:tc>
          <w:tcPr>
            <w:tcW w:w="936" w:type="dxa"/>
            <w:shd w:val="clear" w:color="auto" w:fill="auto"/>
          </w:tcPr>
          <w:p w14:paraId="4F457FD8" w14:textId="77777777" w:rsidR="00E24C7A" w:rsidRPr="00911253" w:rsidRDefault="00E24C7A" w:rsidP="00A43635">
            <w:pPr>
              <w:contextualSpacing/>
              <w:jc w:val="center"/>
              <w:rPr>
                <w:rFonts w:ascii="Arial" w:hAnsi="Arial" w:cs="Arial"/>
                <w:color w:val="000000"/>
                <w:sz w:val="18"/>
                <w:szCs w:val="18"/>
              </w:rPr>
            </w:pPr>
            <w:r w:rsidRPr="00911253">
              <w:rPr>
                <w:rFonts w:ascii="Arial" w:hAnsi="Arial" w:cs="Arial"/>
                <w:sz w:val="18"/>
                <w:szCs w:val="18"/>
              </w:rPr>
              <w:t>Участник</w:t>
            </w:r>
          </w:p>
        </w:tc>
        <w:tc>
          <w:tcPr>
            <w:tcW w:w="872" w:type="dxa"/>
            <w:shd w:val="clear" w:color="auto" w:fill="auto"/>
          </w:tcPr>
          <w:p w14:paraId="384670AA" w14:textId="77777777" w:rsidR="00E24C7A" w:rsidRPr="00911253" w:rsidRDefault="00E24C7A" w:rsidP="00A43635">
            <w:pPr>
              <w:contextualSpacing/>
              <w:jc w:val="center"/>
              <w:rPr>
                <w:rFonts w:ascii="Arial" w:eastAsia="Batang" w:hAnsi="Arial" w:cs="Arial"/>
                <w:sz w:val="18"/>
                <w:szCs w:val="18"/>
                <w:lang w:eastAsia="ko-KR"/>
              </w:rPr>
            </w:pPr>
            <w:r w:rsidRPr="00911253">
              <w:rPr>
                <w:rFonts w:ascii="Arial" w:hAnsi="Arial" w:cs="Arial"/>
                <w:sz w:val="18"/>
                <w:szCs w:val="18"/>
              </w:rPr>
              <w:t>АТС</w:t>
            </w:r>
          </w:p>
        </w:tc>
        <w:tc>
          <w:tcPr>
            <w:tcW w:w="1043" w:type="dxa"/>
            <w:shd w:val="clear" w:color="auto" w:fill="auto"/>
          </w:tcPr>
          <w:p w14:paraId="015CF284" w14:textId="77777777" w:rsidR="00E24C7A" w:rsidRPr="00911253" w:rsidRDefault="00E24C7A" w:rsidP="00A43635">
            <w:pPr>
              <w:contextualSpacing/>
              <w:jc w:val="center"/>
              <w:rPr>
                <w:rFonts w:ascii="Arial" w:eastAsia="Batang" w:hAnsi="Arial" w:cs="Arial"/>
                <w:sz w:val="18"/>
                <w:szCs w:val="18"/>
                <w:lang w:eastAsia="ko-KR"/>
              </w:rPr>
            </w:pPr>
            <w:r w:rsidRPr="00911253">
              <w:rPr>
                <w:rFonts w:ascii="Arial" w:hAnsi="Arial" w:cs="Arial"/>
                <w:sz w:val="18"/>
                <w:szCs w:val="18"/>
              </w:rPr>
              <w:t>Материальный носитель</w:t>
            </w:r>
          </w:p>
        </w:tc>
        <w:tc>
          <w:tcPr>
            <w:tcW w:w="1219" w:type="dxa"/>
            <w:shd w:val="clear" w:color="auto" w:fill="auto"/>
          </w:tcPr>
          <w:p w14:paraId="65D073BD" w14:textId="77777777" w:rsidR="00E24C7A" w:rsidRPr="00911253" w:rsidRDefault="00E24C7A" w:rsidP="00A43635">
            <w:pPr>
              <w:contextualSpacing/>
              <w:jc w:val="center"/>
              <w:rPr>
                <w:rFonts w:ascii="Arial" w:hAnsi="Arial" w:cs="Arial"/>
                <w:sz w:val="18"/>
                <w:szCs w:val="18"/>
              </w:rPr>
            </w:pPr>
            <w:r w:rsidRPr="00911253">
              <w:rPr>
                <w:rFonts w:ascii="Arial" w:hAnsi="Arial" w:cs="Arial"/>
                <w:sz w:val="18"/>
                <w:szCs w:val="18"/>
              </w:rPr>
              <w:t>Нет</w:t>
            </w:r>
          </w:p>
        </w:tc>
        <w:tc>
          <w:tcPr>
            <w:tcW w:w="996" w:type="dxa"/>
            <w:shd w:val="clear" w:color="auto" w:fill="auto"/>
          </w:tcPr>
          <w:p w14:paraId="08F505F0" w14:textId="77777777" w:rsidR="00E24C7A" w:rsidRPr="00911253" w:rsidRDefault="00E24C7A" w:rsidP="00A43635">
            <w:pPr>
              <w:contextualSpacing/>
              <w:jc w:val="center"/>
              <w:rPr>
                <w:rFonts w:ascii="Arial" w:hAnsi="Arial" w:cs="Arial"/>
                <w:sz w:val="18"/>
                <w:szCs w:val="18"/>
              </w:rPr>
            </w:pPr>
            <w:r w:rsidRPr="00911253">
              <w:rPr>
                <w:rFonts w:ascii="Arial" w:hAnsi="Arial" w:cs="Arial"/>
                <w:sz w:val="18"/>
                <w:szCs w:val="18"/>
              </w:rPr>
              <w:t>Нет</w:t>
            </w:r>
          </w:p>
        </w:tc>
        <w:tc>
          <w:tcPr>
            <w:tcW w:w="1890" w:type="dxa"/>
            <w:shd w:val="clear" w:color="auto" w:fill="auto"/>
          </w:tcPr>
          <w:p w14:paraId="3AF172D3" w14:textId="77777777" w:rsidR="00E24C7A" w:rsidRPr="00911253" w:rsidRDefault="00E24C7A" w:rsidP="00A43635">
            <w:pPr>
              <w:contextualSpacing/>
              <w:jc w:val="center"/>
              <w:rPr>
                <w:rFonts w:ascii="Arial" w:hAnsi="Arial" w:cs="Arial"/>
                <w:sz w:val="18"/>
                <w:szCs w:val="18"/>
              </w:rPr>
            </w:pPr>
            <w:r w:rsidRPr="00911253">
              <w:rPr>
                <w:rFonts w:ascii="Arial" w:hAnsi="Arial" w:cs="Arial"/>
                <w:sz w:val="18"/>
                <w:szCs w:val="18"/>
              </w:rPr>
              <w:t>1.3.6.1.4.1.18545.1.2.1.1</w:t>
            </w:r>
          </w:p>
        </w:tc>
        <w:tc>
          <w:tcPr>
            <w:tcW w:w="1062" w:type="dxa"/>
            <w:shd w:val="clear" w:color="auto" w:fill="auto"/>
          </w:tcPr>
          <w:p w14:paraId="5BCEC9B0" w14:textId="77777777" w:rsidR="00E24C7A" w:rsidRPr="00911253" w:rsidRDefault="00E24C7A" w:rsidP="00A43635">
            <w:pPr>
              <w:contextualSpacing/>
              <w:jc w:val="center"/>
              <w:rPr>
                <w:rFonts w:ascii="Arial" w:hAnsi="Arial" w:cs="Arial"/>
                <w:sz w:val="18"/>
                <w:szCs w:val="18"/>
              </w:rPr>
            </w:pPr>
            <w:r w:rsidRPr="00911253">
              <w:rPr>
                <w:rFonts w:ascii="Arial" w:hAnsi="Arial" w:cs="Arial"/>
                <w:sz w:val="18"/>
                <w:szCs w:val="18"/>
              </w:rPr>
              <w:t>Word</w:t>
            </w:r>
          </w:p>
        </w:tc>
        <w:tc>
          <w:tcPr>
            <w:tcW w:w="785" w:type="dxa"/>
            <w:shd w:val="clear" w:color="auto" w:fill="auto"/>
          </w:tcPr>
          <w:p w14:paraId="271C5841" w14:textId="77777777" w:rsidR="00E24C7A" w:rsidRPr="00911253" w:rsidRDefault="00E24C7A" w:rsidP="00A43635">
            <w:pPr>
              <w:contextualSpacing/>
              <w:jc w:val="center"/>
              <w:rPr>
                <w:rFonts w:ascii="Arial" w:hAnsi="Arial" w:cs="Arial"/>
                <w:sz w:val="18"/>
                <w:szCs w:val="18"/>
              </w:rPr>
            </w:pPr>
            <w:r w:rsidRPr="00911253">
              <w:rPr>
                <w:rFonts w:ascii="Arial" w:hAnsi="Arial" w:cs="Arial"/>
                <w:sz w:val="18"/>
                <w:szCs w:val="18"/>
              </w:rPr>
              <w:t>постоянно</w:t>
            </w:r>
          </w:p>
        </w:tc>
        <w:tc>
          <w:tcPr>
            <w:tcW w:w="821" w:type="dxa"/>
            <w:shd w:val="clear" w:color="auto" w:fill="auto"/>
          </w:tcPr>
          <w:p w14:paraId="05727DFF" w14:textId="77777777" w:rsidR="00E24C7A" w:rsidRPr="00911253" w:rsidRDefault="00E24C7A" w:rsidP="00A43635">
            <w:pPr>
              <w:contextualSpacing/>
              <w:jc w:val="center"/>
              <w:rPr>
                <w:rFonts w:ascii="Arial" w:eastAsia="Batang" w:hAnsi="Arial" w:cs="Arial"/>
                <w:sz w:val="18"/>
                <w:szCs w:val="18"/>
                <w:lang w:eastAsia="ko-KR"/>
              </w:rPr>
            </w:pPr>
          </w:p>
        </w:tc>
      </w:tr>
      <w:tr w:rsidR="00E24C7A" w:rsidRPr="00911253" w14:paraId="0099901A" w14:textId="77777777" w:rsidTr="00A43635">
        <w:tc>
          <w:tcPr>
            <w:tcW w:w="1099" w:type="dxa"/>
            <w:shd w:val="clear" w:color="auto" w:fill="auto"/>
          </w:tcPr>
          <w:p w14:paraId="1E25726E" w14:textId="77777777" w:rsidR="00E24C7A" w:rsidRPr="00911253" w:rsidRDefault="00E24C7A" w:rsidP="00A43635">
            <w:pPr>
              <w:contextualSpacing/>
              <w:jc w:val="center"/>
              <w:rPr>
                <w:rFonts w:ascii="Arial" w:eastAsia="Batang" w:hAnsi="Arial" w:cs="Arial"/>
                <w:sz w:val="18"/>
                <w:szCs w:val="18"/>
                <w:lang w:eastAsia="ko-KR"/>
              </w:rPr>
            </w:pPr>
            <w:r w:rsidRPr="00911253">
              <w:rPr>
                <w:rFonts w:ascii="Arial" w:hAnsi="Arial" w:cs="Arial"/>
                <w:sz w:val="18"/>
                <w:szCs w:val="18"/>
              </w:rPr>
              <w:t>STA_ZAJAVL_FORM_1_WEB</w:t>
            </w:r>
          </w:p>
        </w:tc>
        <w:tc>
          <w:tcPr>
            <w:tcW w:w="2062" w:type="dxa"/>
            <w:shd w:val="clear" w:color="auto" w:fill="auto"/>
          </w:tcPr>
          <w:p w14:paraId="1DA3A9A0" w14:textId="77777777" w:rsidR="00E24C7A" w:rsidRPr="00911253" w:rsidRDefault="00E24C7A" w:rsidP="00A43635">
            <w:pPr>
              <w:contextualSpacing/>
              <w:jc w:val="center"/>
              <w:rPr>
                <w:rFonts w:ascii="Arial" w:eastAsia="Batang" w:hAnsi="Arial" w:cs="Arial"/>
                <w:sz w:val="18"/>
                <w:szCs w:val="18"/>
                <w:lang w:eastAsia="ko-KR"/>
              </w:rPr>
            </w:pPr>
            <w:r w:rsidRPr="00911253">
              <w:rPr>
                <w:rFonts w:ascii="Arial" w:hAnsi="Arial" w:cs="Arial"/>
                <w:sz w:val="18"/>
                <w:szCs w:val="18"/>
              </w:rPr>
              <w:t>Заявление на получение статуса субъекта оптового рынка (форма 1)</w:t>
            </w:r>
          </w:p>
        </w:tc>
        <w:tc>
          <w:tcPr>
            <w:tcW w:w="1563" w:type="dxa"/>
            <w:shd w:val="clear" w:color="auto" w:fill="auto"/>
          </w:tcPr>
          <w:p w14:paraId="2AAF136D" w14:textId="77777777" w:rsidR="00E24C7A" w:rsidRPr="00911253" w:rsidRDefault="00E24C7A" w:rsidP="00A43635">
            <w:pPr>
              <w:contextualSpacing/>
              <w:jc w:val="center"/>
              <w:rPr>
                <w:rFonts w:ascii="Arial" w:eastAsia="Batang" w:hAnsi="Arial" w:cs="Arial"/>
                <w:sz w:val="18"/>
                <w:szCs w:val="18"/>
                <w:lang w:eastAsia="ko-KR"/>
              </w:rPr>
            </w:pPr>
            <w:r w:rsidRPr="00911253">
              <w:rPr>
                <w:rFonts w:ascii="Arial" w:hAnsi="Arial" w:cs="Arial"/>
                <w:sz w:val="18"/>
                <w:szCs w:val="18"/>
              </w:rPr>
              <w:t>Положение о порядке получения статуса субъекта оптового рынка, п. 2.3</w:t>
            </w:r>
          </w:p>
        </w:tc>
        <w:tc>
          <w:tcPr>
            <w:tcW w:w="1132" w:type="dxa"/>
            <w:shd w:val="clear" w:color="auto" w:fill="auto"/>
          </w:tcPr>
          <w:p w14:paraId="19890E32" w14:textId="77777777" w:rsidR="00E24C7A" w:rsidRPr="00911253" w:rsidRDefault="00E24C7A" w:rsidP="00A43635">
            <w:pPr>
              <w:contextualSpacing/>
              <w:jc w:val="center"/>
              <w:rPr>
                <w:rFonts w:ascii="Arial" w:hAnsi="Arial" w:cs="Arial"/>
                <w:color w:val="000000"/>
                <w:sz w:val="18"/>
                <w:szCs w:val="18"/>
              </w:rPr>
            </w:pPr>
            <w:r w:rsidRPr="00911253">
              <w:rPr>
                <w:rFonts w:ascii="Arial" w:hAnsi="Arial" w:cs="Arial"/>
                <w:sz w:val="18"/>
                <w:szCs w:val="18"/>
              </w:rPr>
              <w:t>docx</w:t>
            </w:r>
          </w:p>
        </w:tc>
        <w:tc>
          <w:tcPr>
            <w:tcW w:w="936" w:type="dxa"/>
            <w:shd w:val="clear" w:color="auto" w:fill="auto"/>
          </w:tcPr>
          <w:p w14:paraId="39F26696" w14:textId="77777777" w:rsidR="00E24C7A" w:rsidRPr="00911253" w:rsidRDefault="00E24C7A" w:rsidP="00A43635">
            <w:pPr>
              <w:contextualSpacing/>
              <w:jc w:val="center"/>
              <w:rPr>
                <w:rFonts w:ascii="Arial" w:hAnsi="Arial" w:cs="Arial"/>
                <w:color w:val="000000"/>
                <w:sz w:val="18"/>
                <w:szCs w:val="18"/>
              </w:rPr>
            </w:pPr>
            <w:r w:rsidRPr="00911253">
              <w:rPr>
                <w:rFonts w:ascii="Arial" w:hAnsi="Arial" w:cs="Arial"/>
                <w:sz w:val="18"/>
                <w:szCs w:val="18"/>
              </w:rPr>
              <w:t>Участник</w:t>
            </w:r>
          </w:p>
        </w:tc>
        <w:tc>
          <w:tcPr>
            <w:tcW w:w="872" w:type="dxa"/>
            <w:shd w:val="clear" w:color="auto" w:fill="auto"/>
          </w:tcPr>
          <w:p w14:paraId="23565AD7" w14:textId="77777777" w:rsidR="00E24C7A" w:rsidRPr="00911253" w:rsidRDefault="00E24C7A" w:rsidP="00A43635">
            <w:pPr>
              <w:contextualSpacing/>
              <w:jc w:val="center"/>
              <w:rPr>
                <w:rFonts w:ascii="Arial" w:eastAsia="Batang" w:hAnsi="Arial" w:cs="Arial"/>
                <w:sz w:val="18"/>
                <w:szCs w:val="18"/>
                <w:lang w:eastAsia="ko-KR"/>
              </w:rPr>
            </w:pPr>
            <w:r w:rsidRPr="00911253">
              <w:rPr>
                <w:rFonts w:ascii="Arial" w:hAnsi="Arial" w:cs="Arial"/>
                <w:sz w:val="18"/>
                <w:szCs w:val="18"/>
              </w:rPr>
              <w:t>АТС</w:t>
            </w:r>
          </w:p>
        </w:tc>
        <w:tc>
          <w:tcPr>
            <w:tcW w:w="1043" w:type="dxa"/>
            <w:shd w:val="clear" w:color="auto" w:fill="auto"/>
          </w:tcPr>
          <w:p w14:paraId="42E7B57C" w14:textId="77777777" w:rsidR="00E24C7A" w:rsidRPr="00911253" w:rsidRDefault="00E24C7A" w:rsidP="00A43635">
            <w:pPr>
              <w:contextualSpacing/>
              <w:jc w:val="center"/>
              <w:rPr>
                <w:rFonts w:ascii="Arial" w:eastAsia="Batang" w:hAnsi="Arial" w:cs="Arial"/>
                <w:sz w:val="18"/>
                <w:szCs w:val="18"/>
                <w:lang w:eastAsia="ko-KR"/>
              </w:rPr>
            </w:pPr>
            <w:r w:rsidRPr="00911253">
              <w:rPr>
                <w:rFonts w:ascii="Arial" w:hAnsi="Arial" w:cs="Arial"/>
                <w:sz w:val="18"/>
                <w:szCs w:val="18"/>
              </w:rPr>
              <w:t>WEB-интерфейс</w:t>
            </w:r>
          </w:p>
        </w:tc>
        <w:tc>
          <w:tcPr>
            <w:tcW w:w="1219" w:type="dxa"/>
            <w:shd w:val="clear" w:color="auto" w:fill="auto"/>
          </w:tcPr>
          <w:p w14:paraId="4E2A258C" w14:textId="77777777" w:rsidR="00E24C7A" w:rsidRPr="00911253" w:rsidRDefault="00E24C7A" w:rsidP="00A43635">
            <w:pPr>
              <w:contextualSpacing/>
              <w:jc w:val="center"/>
              <w:rPr>
                <w:rFonts w:ascii="Arial" w:hAnsi="Arial" w:cs="Arial"/>
                <w:sz w:val="18"/>
                <w:szCs w:val="18"/>
              </w:rPr>
            </w:pPr>
            <w:r w:rsidRPr="00911253">
              <w:rPr>
                <w:rFonts w:ascii="Arial" w:hAnsi="Arial" w:cs="Arial"/>
                <w:sz w:val="18"/>
                <w:szCs w:val="18"/>
              </w:rPr>
              <w:t>Нет</w:t>
            </w:r>
          </w:p>
        </w:tc>
        <w:tc>
          <w:tcPr>
            <w:tcW w:w="996" w:type="dxa"/>
            <w:shd w:val="clear" w:color="auto" w:fill="auto"/>
          </w:tcPr>
          <w:p w14:paraId="41EF3AFC" w14:textId="77777777" w:rsidR="00E24C7A" w:rsidRPr="00911253" w:rsidRDefault="00E24C7A" w:rsidP="00A43635">
            <w:pPr>
              <w:contextualSpacing/>
              <w:jc w:val="center"/>
              <w:rPr>
                <w:rFonts w:ascii="Arial" w:hAnsi="Arial" w:cs="Arial"/>
                <w:sz w:val="18"/>
                <w:szCs w:val="18"/>
              </w:rPr>
            </w:pPr>
            <w:r w:rsidRPr="00911253">
              <w:rPr>
                <w:rFonts w:ascii="Arial" w:hAnsi="Arial" w:cs="Arial"/>
                <w:sz w:val="18"/>
                <w:szCs w:val="18"/>
              </w:rPr>
              <w:t>Нет</w:t>
            </w:r>
          </w:p>
        </w:tc>
        <w:tc>
          <w:tcPr>
            <w:tcW w:w="1890" w:type="dxa"/>
            <w:shd w:val="clear" w:color="auto" w:fill="auto"/>
          </w:tcPr>
          <w:p w14:paraId="11B6A832" w14:textId="77777777" w:rsidR="00E24C7A" w:rsidRPr="00911253" w:rsidRDefault="00E24C7A" w:rsidP="00A43635">
            <w:pPr>
              <w:contextualSpacing/>
              <w:jc w:val="center"/>
              <w:rPr>
                <w:rFonts w:ascii="Arial" w:hAnsi="Arial" w:cs="Arial"/>
                <w:sz w:val="18"/>
                <w:szCs w:val="18"/>
              </w:rPr>
            </w:pPr>
            <w:r w:rsidRPr="00911253">
              <w:rPr>
                <w:rFonts w:ascii="Arial" w:hAnsi="Arial" w:cs="Arial"/>
                <w:sz w:val="18"/>
                <w:szCs w:val="18"/>
              </w:rPr>
              <w:t>1.3.6.1.4.1.18545.1.2.1.1</w:t>
            </w:r>
          </w:p>
        </w:tc>
        <w:tc>
          <w:tcPr>
            <w:tcW w:w="1062" w:type="dxa"/>
            <w:shd w:val="clear" w:color="auto" w:fill="auto"/>
          </w:tcPr>
          <w:p w14:paraId="275F470E" w14:textId="77777777" w:rsidR="00E24C7A" w:rsidRPr="00911253" w:rsidRDefault="00E24C7A" w:rsidP="00A43635">
            <w:pPr>
              <w:contextualSpacing/>
              <w:jc w:val="center"/>
              <w:rPr>
                <w:rFonts w:ascii="Arial" w:hAnsi="Arial" w:cs="Arial"/>
                <w:sz w:val="18"/>
                <w:szCs w:val="18"/>
              </w:rPr>
            </w:pPr>
            <w:r w:rsidRPr="00911253">
              <w:rPr>
                <w:rFonts w:ascii="Arial" w:hAnsi="Arial" w:cs="Arial"/>
                <w:sz w:val="18"/>
                <w:szCs w:val="18"/>
              </w:rPr>
              <w:t>Word</w:t>
            </w:r>
          </w:p>
        </w:tc>
        <w:tc>
          <w:tcPr>
            <w:tcW w:w="785" w:type="dxa"/>
            <w:shd w:val="clear" w:color="auto" w:fill="auto"/>
          </w:tcPr>
          <w:p w14:paraId="0D35A31B" w14:textId="77777777" w:rsidR="00E24C7A" w:rsidRPr="00911253" w:rsidRDefault="00E24C7A" w:rsidP="00A43635">
            <w:pPr>
              <w:contextualSpacing/>
              <w:jc w:val="center"/>
              <w:rPr>
                <w:rFonts w:ascii="Arial" w:hAnsi="Arial" w:cs="Arial"/>
                <w:sz w:val="18"/>
                <w:szCs w:val="18"/>
              </w:rPr>
            </w:pPr>
            <w:r w:rsidRPr="00911253">
              <w:rPr>
                <w:rFonts w:ascii="Arial" w:hAnsi="Arial" w:cs="Arial"/>
                <w:sz w:val="18"/>
                <w:szCs w:val="18"/>
              </w:rPr>
              <w:t>постоянно</w:t>
            </w:r>
          </w:p>
        </w:tc>
        <w:tc>
          <w:tcPr>
            <w:tcW w:w="821" w:type="dxa"/>
            <w:shd w:val="clear" w:color="auto" w:fill="auto"/>
          </w:tcPr>
          <w:p w14:paraId="5DBEED11" w14:textId="77777777" w:rsidR="00E24C7A" w:rsidRPr="00911253" w:rsidRDefault="00E24C7A" w:rsidP="00A43635">
            <w:pPr>
              <w:contextualSpacing/>
              <w:jc w:val="center"/>
              <w:rPr>
                <w:rFonts w:ascii="Arial" w:eastAsia="Batang" w:hAnsi="Arial" w:cs="Arial"/>
                <w:sz w:val="18"/>
                <w:szCs w:val="18"/>
                <w:lang w:eastAsia="ko-KR"/>
              </w:rPr>
            </w:pPr>
          </w:p>
        </w:tc>
      </w:tr>
    </w:tbl>
    <w:p w14:paraId="1E39F0A4" w14:textId="77777777" w:rsidR="00E24C7A" w:rsidRPr="00911253" w:rsidRDefault="00E24C7A" w:rsidP="00E24C7A">
      <w:pPr>
        <w:widowControl w:val="0"/>
        <w:adjustRightInd w:val="0"/>
        <w:jc w:val="both"/>
        <w:textAlignment w:val="baseline"/>
        <w:rPr>
          <w:rFonts w:ascii="Garamond" w:eastAsia="Times New Roman" w:hAnsi="Garamond"/>
          <w:b/>
        </w:rPr>
      </w:pPr>
    </w:p>
    <w:p w14:paraId="2FD18A17" w14:textId="77777777" w:rsidR="00E24C7A" w:rsidRDefault="00E24C7A" w:rsidP="00E31AE6">
      <w:pPr>
        <w:contextualSpacing/>
        <w:rPr>
          <w:rFonts w:ascii="Garamond" w:eastAsia="SimSun" w:hAnsi="Garamond"/>
          <w:iCs/>
          <w:sz w:val="22"/>
          <w:szCs w:val="22"/>
        </w:rPr>
      </w:pPr>
    </w:p>
    <w:p w14:paraId="14AB506A" w14:textId="6C58B815" w:rsidR="000648FB" w:rsidRDefault="000648FB" w:rsidP="00E31AE6">
      <w:pPr>
        <w:contextualSpacing/>
        <w:rPr>
          <w:rFonts w:ascii="Garamond" w:eastAsia="SimSun" w:hAnsi="Garamond"/>
          <w:b/>
          <w:sz w:val="22"/>
          <w:szCs w:val="22"/>
        </w:rPr>
      </w:pPr>
      <w:r w:rsidRPr="00866F59">
        <w:rPr>
          <w:rFonts w:ascii="Garamond" w:eastAsia="SimSun" w:hAnsi="Garamond"/>
          <w:b/>
          <w:iCs/>
          <w:sz w:val="22"/>
          <w:szCs w:val="22"/>
        </w:rPr>
        <w:t>Удалить позиции</w:t>
      </w:r>
    </w:p>
    <w:p w14:paraId="0B38A93F" w14:textId="77777777" w:rsidR="00E24C7A" w:rsidRDefault="00E24C7A" w:rsidP="00E31AE6">
      <w:pPr>
        <w:contextualSpacing/>
        <w:rPr>
          <w:rFonts w:ascii="Garamond" w:eastAsia="SimSun" w:hAnsi="Garamond"/>
          <w:b/>
          <w:sz w:val="22"/>
          <w:szCs w:val="22"/>
        </w:rPr>
      </w:pPr>
    </w:p>
    <w:tbl>
      <w:tblPr>
        <w:tblW w:w="511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67"/>
        <w:gridCol w:w="1643"/>
        <w:gridCol w:w="1864"/>
        <w:gridCol w:w="1099"/>
        <w:gridCol w:w="910"/>
        <w:gridCol w:w="848"/>
        <w:gridCol w:w="1013"/>
        <w:gridCol w:w="1182"/>
        <w:gridCol w:w="968"/>
        <w:gridCol w:w="1828"/>
        <w:gridCol w:w="1031"/>
        <w:gridCol w:w="764"/>
        <w:gridCol w:w="799"/>
      </w:tblGrid>
      <w:tr w:rsidR="00E24C7A" w:rsidRPr="00381E65" w14:paraId="4BC3B3E4" w14:textId="77777777" w:rsidTr="00A43635">
        <w:trPr>
          <w:trHeight w:val="1290"/>
        </w:trPr>
        <w:tc>
          <w:tcPr>
            <w:tcW w:w="1099" w:type="dxa"/>
            <w:shd w:val="clear" w:color="auto" w:fill="D0CECE"/>
            <w:hideMark/>
          </w:tcPr>
          <w:p w14:paraId="17C19099" w14:textId="77777777" w:rsidR="00E24C7A" w:rsidRPr="007B078C" w:rsidRDefault="00E24C7A" w:rsidP="00A43635">
            <w:pPr>
              <w:contextualSpacing/>
              <w:jc w:val="center"/>
              <w:rPr>
                <w:rFonts w:ascii="Arial" w:eastAsia="Batang" w:hAnsi="Arial" w:cs="Arial"/>
                <w:sz w:val="18"/>
                <w:szCs w:val="18"/>
                <w:lang w:eastAsia="ko-KR"/>
              </w:rPr>
            </w:pPr>
            <w:r w:rsidRPr="007B078C">
              <w:rPr>
                <w:rFonts w:ascii="Arial" w:eastAsia="Batang" w:hAnsi="Arial" w:cs="Arial"/>
                <w:sz w:val="18"/>
                <w:szCs w:val="18"/>
                <w:lang w:eastAsia="ko-KR"/>
              </w:rPr>
              <w:t>Код формы</w:t>
            </w:r>
          </w:p>
        </w:tc>
        <w:tc>
          <w:tcPr>
            <w:tcW w:w="1698" w:type="dxa"/>
            <w:shd w:val="clear" w:color="auto" w:fill="D0CECE"/>
            <w:hideMark/>
          </w:tcPr>
          <w:p w14:paraId="77D4E9F9" w14:textId="77777777" w:rsidR="00E24C7A" w:rsidRPr="007B078C" w:rsidRDefault="00E24C7A" w:rsidP="00A43635">
            <w:pPr>
              <w:contextualSpacing/>
              <w:jc w:val="center"/>
              <w:rPr>
                <w:rFonts w:ascii="Arial" w:eastAsia="Batang" w:hAnsi="Arial" w:cs="Arial"/>
                <w:sz w:val="18"/>
                <w:szCs w:val="18"/>
                <w:lang w:eastAsia="ko-KR"/>
              </w:rPr>
            </w:pPr>
            <w:r w:rsidRPr="007B078C">
              <w:rPr>
                <w:rFonts w:ascii="Arial" w:eastAsia="Batang" w:hAnsi="Arial" w:cs="Arial"/>
                <w:sz w:val="18"/>
                <w:szCs w:val="18"/>
                <w:lang w:eastAsia="ko-KR"/>
              </w:rPr>
              <w:t>Наименование формы</w:t>
            </w:r>
          </w:p>
        </w:tc>
        <w:tc>
          <w:tcPr>
            <w:tcW w:w="1927" w:type="dxa"/>
            <w:shd w:val="clear" w:color="auto" w:fill="D0CECE"/>
            <w:hideMark/>
          </w:tcPr>
          <w:p w14:paraId="3E20FA58" w14:textId="77777777" w:rsidR="00E24C7A" w:rsidRPr="007B078C" w:rsidRDefault="00E24C7A" w:rsidP="00A43635">
            <w:pPr>
              <w:contextualSpacing/>
              <w:jc w:val="center"/>
              <w:rPr>
                <w:rFonts w:ascii="Arial" w:eastAsia="Batang" w:hAnsi="Arial" w:cs="Arial"/>
                <w:sz w:val="18"/>
                <w:szCs w:val="18"/>
                <w:lang w:eastAsia="ko-KR"/>
              </w:rPr>
            </w:pPr>
            <w:r w:rsidRPr="007B078C">
              <w:rPr>
                <w:rFonts w:ascii="Arial" w:eastAsia="Batang" w:hAnsi="Arial" w:cs="Arial"/>
                <w:sz w:val="18"/>
                <w:szCs w:val="18"/>
                <w:lang w:eastAsia="ko-KR"/>
              </w:rPr>
              <w:t>Основание предоставления</w:t>
            </w:r>
          </w:p>
        </w:tc>
        <w:tc>
          <w:tcPr>
            <w:tcW w:w="1132" w:type="dxa"/>
            <w:shd w:val="clear" w:color="auto" w:fill="D0CECE"/>
            <w:hideMark/>
          </w:tcPr>
          <w:p w14:paraId="1230CE06" w14:textId="77777777" w:rsidR="00E24C7A" w:rsidRPr="007B078C" w:rsidRDefault="00E24C7A" w:rsidP="00A43635">
            <w:pPr>
              <w:contextualSpacing/>
              <w:jc w:val="center"/>
              <w:rPr>
                <w:rFonts w:ascii="Arial" w:eastAsia="Batang" w:hAnsi="Arial" w:cs="Arial"/>
                <w:sz w:val="18"/>
                <w:szCs w:val="18"/>
                <w:lang w:eastAsia="ko-KR"/>
              </w:rPr>
            </w:pPr>
            <w:r w:rsidRPr="007B078C">
              <w:rPr>
                <w:rFonts w:ascii="Arial" w:eastAsia="Batang" w:hAnsi="Arial" w:cs="Arial"/>
                <w:sz w:val="18"/>
                <w:szCs w:val="18"/>
                <w:lang w:eastAsia="ko-KR"/>
              </w:rPr>
              <w:t>Формат содержательной части</w:t>
            </w:r>
          </w:p>
        </w:tc>
        <w:tc>
          <w:tcPr>
            <w:tcW w:w="936" w:type="dxa"/>
            <w:shd w:val="clear" w:color="auto" w:fill="D0CECE"/>
            <w:hideMark/>
          </w:tcPr>
          <w:p w14:paraId="755C7DAA" w14:textId="77777777" w:rsidR="00E24C7A" w:rsidRPr="007B078C" w:rsidRDefault="00E24C7A" w:rsidP="00A43635">
            <w:pPr>
              <w:contextualSpacing/>
              <w:jc w:val="center"/>
              <w:rPr>
                <w:rFonts w:ascii="Arial" w:eastAsia="Batang" w:hAnsi="Arial" w:cs="Arial"/>
                <w:sz w:val="18"/>
                <w:szCs w:val="18"/>
                <w:lang w:eastAsia="ko-KR"/>
              </w:rPr>
            </w:pPr>
            <w:r w:rsidRPr="007B078C">
              <w:rPr>
                <w:rFonts w:ascii="Arial" w:eastAsia="Batang" w:hAnsi="Arial" w:cs="Arial"/>
                <w:sz w:val="18"/>
                <w:szCs w:val="18"/>
                <w:lang w:eastAsia="ko-KR"/>
              </w:rPr>
              <w:t>Отправитель</w:t>
            </w:r>
          </w:p>
        </w:tc>
        <w:tc>
          <w:tcPr>
            <w:tcW w:w="872" w:type="dxa"/>
            <w:shd w:val="clear" w:color="auto" w:fill="D0CECE"/>
            <w:hideMark/>
          </w:tcPr>
          <w:p w14:paraId="784DD984" w14:textId="77777777" w:rsidR="00E24C7A" w:rsidRPr="007B078C" w:rsidRDefault="00E24C7A" w:rsidP="00A43635">
            <w:pPr>
              <w:contextualSpacing/>
              <w:jc w:val="center"/>
              <w:rPr>
                <w:rFonts w:ascii="Arial" w:eastAsia="Batang" w:hAnsi="Arial" w:cs="Arial"/>
                <w:sz w:val="18"/>
                <w:szCs w:val="18"/>
                <w:lang w:eastAsia="ko-KR"/>
              </w:rPr>
            </w:pPr>
            <w:r w:rsidRPr="007B078C">
              <w:rPr>
                <w:rFonts w:ascii="Arial" w:eastAsia="Batang" w:hAnsi="Arial" w:cs="Arial"/>
                <w:sz w:val="18"/>
                <w:szCs w:val="18"/>
                <w:lang w:eastAsia="ko-KR"/>
              </w:rPr>
              <w:t>Получатель</w:t>
            </w:r>
          </w:p>
        </w:tc>
        <w:tc>
          <w:tcPr>
            <w:tcW w:w="1043" w:type="dxa"/>
            <w:shd w:val="clear" w:color="auto" w:fill="D0CECE"/>
            <w:hideMark/>
          </w:tcPr>
          <w:p w14:paraId="5D9E9968" w14:textId="77777777" w:rsidR="00E24C7A" w:rsidRPr="007B078C" w:rsidRDefault="00E24C7A" w:rsidP="00A43635">
            <w:pPr>
              <w:contextualSpacing/>
              <w:jc w:val="center"/>
              <w:rPr>
                <w:rFonts w:ascii="Arial" w:eastAsia="Batang" w:hAnsi="Arial" w:cs="Arial"/>
                <w:sz w:val="18"/>
                <w:szCs w:val="18"/>
                <w:lang w:eastAsia="ko-KR"/>
              </w:rPr>
            </w:pPr>
            <w:r w:rsidRPr="007B078C">
              <w:rPr>
                <w:rFonts w:ascii="Arial" w:eastAsia="Batang" w:hAnsi="Arial" w:cs="Arial"/>
                <w:sz w:val="18"/>
                <w:szCs w:val="18"/>
                <w:lang w:eastAsia="ko-KR"/>
              </w:rPr>
              <w:t>Способ доставки</w:t>
            </w:r>
          </w:p>
        </w:tc>
        <w:tc>
          <w:tcPr>
            <w:tcW w:w="1219" w:type="dxa"/>
            <w:shd w:val="clear" w:color="auto" w:fill="D0CECE"/>
            <w:hideMark/>
          </w:tcPr>
          <w:p w14:paraId="28701FBF" w14:textId="77777777" w:rsidR="00E24C7A" w:rsidRPr="007B078C" w:rsidRDefault="00E24C7A" w:rsidP="00A43635">
            <w:pPr>
              <w:contextualSpacing/>
              <w:jc w:val="center"/>
              <w:rPr>
                <w:rFonts w:ascii="Arial" w:eastAsia="Batang" w:hAnsi="Arial" w:cs="Arial"/>
                <w:sz w:val="18"/>
                <w:szCs w:val="18"/>
                <w:lang w:eastAsia="ko-KR"/>
              </w:rPr>
            </w:pPr>
            <w:r w:rsidRPr="007B078C">
              <w:rPr>
                <w:rFonts w:ascii="Arial" w:eastAsia="Batang" w:hAnsi="Arial" w:cs="Arial"/>
                <w:sz w:val="18"/>
                <w:szCs w:val="18"/>
                <w:lang w:eastAsia="ko-KR"/>
              </w:rPr>
              <w:t>Подтверждение получения документом-квитанцией</w:t>
            </w:r>
          </w:p>
        </w:tc>
        <w:tc>
          <w:tcPr>
            <w:tcW w:w="996" w:type="dxa"/>
            <w:shd w:val="clear" w:color="auto" w:fill="D0CECE"/>
            <w:hideMark/>
          </w:tcPr>
          <w:p w14:paraId="707EAA9D" w14:textId="77777777" w:rsidR="00E24C7A" w:rsidRPr="007B078C" w:rsidRDefault="00E24C7A" w:rsidP="00A43635">
            <w:pPr>
              <w:contextualSpacing/>
              <w:jc w:val="center"/>
              <w:rPr>
                <w:rFonts w:ascii="Arial" w:eastAsia="Batang" w:hAnsi="Arial" w:cs="Arial"/>
                <w:sz w:val="18"/>
                <w:szCs w:val="18"/>
                <w:lang w:eastAsia="ko-KR"/>
              </w:rPr>
            </w:pPr>
            <w:r w:rsidRPr="007B078C">
              <w:rPr>
                <w:rFonts w:ascii="Arial" w:eastAsia="Batang" w:hAnsi="Arial" w:cs="Arial"/>
                <w:sz w:val="18"/>
                <w:szCs w:val="18"/>
                <w:lang w:eastAsia="ko-KR"/>
              </w:rPr>
              <w:t>Необходимость шифрования</w:t>
            </w:r>
          </w:p>
        </w:tc>
        <w:tc>
          <w:tcPr>
            <w:tcW w:w="1890" w:type="dxa"/>
            <w:shd w:val="clear" w:color="auto" w:fill="D0CECE"/>
            <w:hideMark/>
          </w:tcPr>
          <w:p w14:paraId="46644D22" w14:textId="77777777" w:rsidR="00E24C7A" w:rsidRPr="007B078C" w:rsidRDefault="00E24C7A" w:rsidP="00A43635">
            <w:pPr>
              <w:ind w:left="-68" w:right="-104"/>
              <w:contextualSpacing/>
              <w:jc w:val="center"/>
              <w:rPr>
                <w:rFonts w:ascii="Arial" w:eastAsia="Batang" w:hAnsi="Arial" w:cs="Arial"/>
                <w:sz w:val="18"/>
                <w:szCs w:val="18"/>
                <w:lang w:eastAsia="ko-KR"/>
              </w:rPr>
            </w:pPr>
            <w:r w:rsidRPr="007B078C">
              <w:rPr>
                <w:rFonts w:ascii="Arial" w:eastAsia="Batang" w:hAnsi="Arial" w:cs="Arial"/>
                <w:sz w:val="18"/>
                <w:szCs w:val="18"/>
                <w:lang w:eastAsia="ko-KR"/>
              </w:rPr>
              <w:t>Идентификатор (OID), определяющий требуемые для подписания ЭД полномочия представителя участника ЭДО</w:t>
            </w:r>
          </w:p>
        </w:tc>
        <w:tc>
          <w:tcPr>
            <w:tcW w:w="1062" w:type="dxa"/>
            <w:shd w:val="clear" w:color="auto" w:fill="D0CECE"/>
            <w:hideMark/>
          </w:tcPr>
          <w:p w14:paraId="10EFF42F" w14:textId="77777777" w:rsidR="00E24C7A" w:rsidRPr="007B078C" w:rsidRDefault="00E24C7A" w:rsidP="00A43635">
            <w:pPr>
              <w:contextualSpacing/>
              <w:jc w:val="center"/>
              <w:rPr>
                <w:rFonts w:ascii="Arial" w:eastAsia="Batang" w:hAnsi="Arial" w:cs="Arial"/>
                <w:sz w:val="18"/>
                <w:szCs w:val="18"/>
                <w:lang w:eastAsia="ko-KR"/>
              </w:rPr>
            </w:pPr>
            <w:r w:rsidRPr="007B078C">
              <w:rPr>
                <w:rFonts w:ascii="Arial" w:eastAsia="Batang" w:hAnsi="Arial" w:cs="Arial"/>
                <w:sz w:val="18"/>
                <w:szCs w:val="18"/>
                <w:lang w:eastAsia="ko-KR"/>
              </w:rPr>
              <w:t>ПО для отображения и изготовления бумажных копий</w:t>
            </w:r>
          </w:p>
        </w:tc>
        <w:tc>
          <w:tcPr>
            <w:tcW w:w="785" w:type="dxa"/>
            <w:shd w:val="clear" w:color="auto" w:fill="D0CECE"/>
            <w:hideMark/>
          </w:tcPr>
          <w:p w14:paraId="607778F4" w14:textId="77777777" w:rsidR="00E24C7A" w:rsidRPr="007B078C" w:rsidRDefault="00E24C7A" w:rsidP="00A43635">
            <w:pPr>
              <w:contextualSpacing/>
              <w:jc w:val="center"/>
              <w:rPr>
                <w:rFonts w:ascii="Arial" w:eastAsia="Batang" w:hAnsi="Arial" w:cs="Arial"/>
                <w:sz w:val="18"/>
                <w:szCs w:val="18"/>
                <w:lang w:eastAsia="ko-KR"/>
              </w:rPr>
            </w:pPr>
            <w:r w:rsidRPr="007B078C">
              <w:rPr>
                <w:rFonts w:ascii="Arial" w:eastAsia="Batang" w:hAnsi="Arial" w:cs="Arial"/>
                <w:sz w:val="18"/>
                <w:szCs w:val="18"/>
                <w:lang w:eastAsia="ko-KR"/>
              </w:rPr>
              <w:t>Срок хранения в архиве</w:t>
            </w:r>
          </w:p>
        </w:tc>
        <w:tc>
          <w:tcPr>
            <w:tcW w:w="821" w:type="dxa"/>
            <w:shd w:val="clear" w:color="auto" w:fill="D0CECE"/>
            <w:hideMark/>
          </w:tcPr>
          <w:p w14:paraId="62680639" w14:textId="77777777" w:rsidR="00E24C7A" w:rsidRPr="007B078C" w:rsidRDefault="00E24C7A" w:rsidP="00A43635">
            <w:pPr>
              <w:contextualSpacing/>
              <w:jc w:val="center"/>
              <w:rPr>
                <w:rFonts w:ascii="Arial" w:eastAsia="Batang" w:hAnsi="Arial" w:cs="Arial"/>
                <w:sz w:val="18"/>
                <w:szCs w:val="18"/>
                <w:lang w:eastAsia="ko-KR"/>
              </w:rPr>
            </w:pPr>
            <w:r w:rsidRPr="007B078C">
              <w:rPr>
                <w:rFonts w:ascii="Arial" w:eastAsia="Batang" w:hAnsi="Arial" w:cs="Arial"/>
                <w:sz w:val="18"/>
                <w:szCs w:val="18"/>
                <w:lang w:eastAsia="ko-KR"/>
              </w:rPr>
              <w:t>Срок доступа через интерфейс сайта</w:t>
            </w:r>
          </w:p>
        </w:tc>
      </w:tr>
      <w:tr w:rsidR="00E24C7A" w:rsidRPr="00381E65" w14:paraId="4264EC4D" w14:textId="77777777" w:rsidTr="00A43635">
        <w:trPr>
          <w:trHeight w:val="64"/>
        </w:trPr>
        <w:tc>
          <w:tcPr>
            <w:tcW w:w="1099" w:type="dxa"/>
            <w:shd w:val="clear" w:color="auto" w:fill="auto"/>
          </w:tcPr>
          <w:p w14:paraId="2DD8FCFC" w14:textId="77777777" w:rsidR="00E24C7A" w:rsidRPr="007B078C" w:rsidRDefault="00E24C7A" w:rsidP="00A43635">
            <w:pPr>
              <w:contextualSpacing/>
              <w:jc w:val="center"/>
              <w:rPr>
                <w:rFonts w:ascii="Arial" w:hAnsi="Arial" w:cs="Arial"/>
                <w:sz w:val="18"/>
                <w:szCs w:val="18"/>
              </w:rPr>
            </w:pPr>
            <w:r w:rsidRPr="007B078C">
              <w:rPr>
                <w:rFonts w:ascii="Arial" w:hAnsi="Arial" w:cs="Arial"/>
                <w:sz w:val="18"/>
                <w:szCs w:val="18"/>
              </w:rPr>
              <w:t>51070</w:t>
            </w:r>
          </w:p>
        </w:tc>
        <w:tc>
          <w:tcPr>
            <w:tcW w:w="1698" w:type="dxa"/>
            <w:shd w:val="clear" w:color="auto" w:fill="auto"/>
          </w:tcPr>
          <w:p w14:paraId="786E0A23" w14:textId="77777777" w:rsidR="00E24C7A" w:rsidRPr="007B078C" w:rsidRDefault="00E24C7A" w:rsidP="00A43635">
            <w:pPr>
              <w:contextualSpacing/>
              <w:jc w:val="center"/>
              <w:rPr>
                <w:rFonts w:ascii="Arial" w:hAnsi="Arial" w:cs="Arial"/>
                <w:sz w:val="18"/>
                <w:szCs w:val="18"/>
              </w:rPr>
            </w:pPr>
            <w:r w:rsidRPr="007B078C">
              <w:rPr>
                <w:rFonts w:ascii="Arial" w:hAnsi="Arial" w:cs="Arial"/>
                <w:sz w:val="18"/>
                <w:szCs w:val="18"/>
              </w:rPr>
              <w:t>Акт учета перетоков, Акт оборота</w:t>
            </w:r>
          </w:p>
        </w:tc>
        <w:tc>
          <w:tcPr>
            <w:tcW w:w="1927" w:type="dxa"/>
            <w:shd w:val="clear" w:color="auto" w:fill="auto"/>
          </w:tcPr>
          <w:p w14:paraId="3087E291" w14:textId="77777777" w:rsidR="00E24C7A" w:rsidRPr="007B078C" w:rsidRDefault="00E24C7A" w:rsidP="00A43635">
            <w:pPr>
              <w:contextualSpacing/>
              <w:jc w:val="center"/>
              <w:rPr>
                <w:rFonts w:ascii="Arial" w:hAnsi="Arial" w:cs="Arial"/>
                <w:sz w:val="18"/>
                <w:szCs w:val="18"/>
              </w:rPr>
            </w:pPr>
            <w:r w:rsidRPr="007B078C">
              <w:rPr>
                <w:rFonts w:ascii="Arial" w:hAnsi="Arial" w:cs="Arial"/>
                <w:sz w:val="18"/>
                <w:szCs w:val="18"/>
              </w:rPr>
              <w:t>Регламент № 11, приложение 4, п. 2-3</w:t>
            </w:r>
          </w:p>
        </w:tc>
        <w:tc>
          <w:tcPr>
            <w:tcW w:w="1132" w:type="dxa"/>
            <w:shd w:val="clear" w:color="auto" w:fill="auto"/>
          </w:tcPr>
          <w:p w14:paraId="680BA645" w14:textId="77777777" w:rsidR="00E24C7A" w:rsidRPr="007B078C" w:rsidRDefault="00E24C7A" w:rsidP="00A43635">
            <w:pPr>
              <w:contextualSpacing/>
              <w:jc w:val="center"/>
              <w:rPr>
                <w:rFonts w:ascii="Arial" w:hAnsi="Arial" w:cs="Arial"/>
                <w:sz w:val="18"/>
                <w:szCs w:val="18"/>
              </w:rPr>
            </w:pPr>
            <w:r w:rsidRPr="007B078C">
              <w:rPr>
                <w:rFonts w:ascii="Arial" w:hAnsi="Arial" w:cs="Arial"/>
                <w:sz w:val="18"/>
                <w:szCs w:val="18"/>
              </w:rPr>
              <w:t>xml</w:t>
            </w:r>
          </w:p>
        </w:tc>
        <w:tc>
          <w:tcPr>
            <w:tcW w:w="936" w:type="dxa"/>
            <w:shd w:val="clear" w:color="auto" w:fill="auto"/>
          </w:tcPr>
          <w:p w14:paraId="21F69DDA" w14:textId="77777777" w:rsidR="00E24C7A" w:rsidRPr="007B078C" w:rsidRDefault="00E24C7A" w:rsidP="00A43635">
            <w:pPr>
              <w:contextualSpacing/>
              <w:jc w:val="center"/>
              <w:rPr>
                <w:rFonts w:ascii="Arial" w:hAnsi="Arial" w:cs="Arial"/>
                <w:sz w:val="18"/>
                <w:szCs w:val="18"/>
              </w:rPr>
            </w:pPr>
            <w:r w:rsidRPr="007B078C">
              <w:rPr>
                <w:rFonts w:ascii="Arial" w:hAnsi="Arial" w:cs="Arial"/>
                <w:sz w:val="18"/>
                <w:szCs w:val="18"/>
              </w:rPr>
              <w:t>ФСК, Участник</w:t>
            </w:r>
          </w:p>
        </w:tc>
        <w:tc>
          <w:tcPr>
            <w:tcW w:w="872" w:type="dxa"/>
            <w:shd w:val="clear" w:color="auto" w:fill="auto"/>
          </w:tcPr>
          <w:p w14:paraId="0D12868C" w14:textId="77777777" w:rsidR="00E24C7A" w:rsidRPr="007B078C" w:rsidRDefault="00E24C7A" w:rsidP="00A43635">
            <w:pPr>
              <w:contextualSpacing/>
              <w:jc w:val="center"/>
              <w:rPr>
                <w:rFonts w:ascii="Arial" w:hAnsi="Arial" w:cs="Arial"/>
                <w:sz w:val="18"/>
                <w:szCs w:val="18"/>
              </w:rPr>
            </w:pPr>
            <w:r w:rsidRPr="007B078C">
              <w:rPr>
                <w:rFonts w:ascii="Arial" w:hAnsi="Arial" w:cs="Arial"/>
                <w:sz w:val="18"/>
                <w:szCs w:val="18"/>
              </w:rPr>
              <w:t>АТС</w:t>
            </w:r>
          </w:p>
        </w:tc>
        <w:tc>
          <w:tcPr>
            <w:tcW w:w="1043" w:type="dxa"/>
            <w:shd w:val="clear" w:color="auto" w:fill="auto"/>
          </w:tcPr>
          <w:p w14:paraId="1AC04DE0" w14:textId="77777777" w:rsidR="00E24C7A" w:rsidRPr="007B078C" w:rsidRDefault="00E24C7A" w:rsidP="00A43635">
            <w:pPr>
              <w:contextualSpacing/>
              <w:jc w:val="center"/>
              <w:rPr>
                <w:rFonts w:ascii="Arial" w:hAnsi="Arial" w:cs="Arial"/>
                <w:sz w:val="18"/>
                <w:szCs w:val="18"/>
              </w:rPr>
            </w:pPr>
            <w:r w:rsidRPr="007B078C">
              <w:rPr>
                <w:rFonts w:ascii="Arial" w:hAnsi="Arial" w:cs="Arial"/>
                <w:sz w:val="18"/>
                <w:szCs w:val="18"/>
              </w:rPr>
              <w:t>электронная почта</w:t>
            </w:r>
          </w:p>
        </w:tc>
        <w:tc>
          <w:tcPr>
            <w:tcW w:w="1219" w:type="dxa"/>
            <w:shd w:val="clear" w:color="auto" w:fill="auto"/>
          </w:tcPr>
          <w:p w14:paraId="5E7859DF" w14:textId="77777777" w:rsidR="00E24C7A" w:rsidRPr="007B078C" w:rsidRDefault="00E24C7A" w:rsidP="00A43635">
            <w:pPr>
              <w:contextualSpacing/>
              <w:jc w:val="center"/>
              <w:rPr>
                <w:rFonts w:ascii="Arial" w:hAnsi="Arial" w:cs="Arial"/>
                <w:sz w:val="18"/>
                <w:szCs w:val="18"/>
              </w:rPr>
            </w:pPr>
            <w:r w:rsidRPr="007B078C">
              <w:rPr>
                <w:rFonts w:ascii="Arial" w:hAnsi="Arial" w:cs="Arial"/>
                <w:sz w:val="18"/>
                <w:szCs w:val="18"/>
              </w:rPr>
              <w:t>Нет</w:t>
            </w:r>
          </w:p>
        </w:tc>
        <w:tc>
          <w:tcPr>
            <w:tcW w:w="996" w:type="dxa"/>
            <w:shd w:val="clear" w:color="auto" w:fill="auto"/>
          </w:tcPr>
          <w:p w14:paraId="4A1CB580" w14:textId="77777777" w:rsidR="00E24C7A" w:rsidRPr="007B078C" w:rsidRDefault="00E24C7A" w:rsidP="00A43635">
            <w:pPr>
              <w:contextualSpacing/>
              <w:jc w:val="center"/>
              <w:rPr>
                <w:rFonts w:ascii="Arial" w:hAnsi="Arial" w:cs="Arial"/>
                <w:sz w:val="18"/>
                <w:szCs w:val="18"/>
              </w:rPr>
            </w:pPr>
            <w:r w:rsidRPr="007B078C">
              <w:rPr>
                <w:rFonts w:ascii="Arial" w:hAnsi="Arial" w:cs="Arial"/>
                <w:sz w:val="18"/>
                <w:szCs w:val="18"/>
              </w:rPr>
              <w:t>Нет</w:t>
            </w:r>
          </w:p>
        </w:tc>
        <w:tc>
          <w:tcPr>
            <w:tcW w:w="1890" w:type="dxa"/>
            <w:shd w:val="clear" w:color="auto" w:fill="auto"/>
          </w:tcPr>
          <w:p w14:paraId="4A6BC225" w14:textId="77777777" w:rsidR="00E24C7A" w:rsidRPr="007B078C" w:rsidRDefault="00E24C7A" w:rsidP="00A43635">
            <w:pPr>
              <w:contextualSpacing/>
              <w:jc w:val="center"/>
              <w:rPr>
                <w:rFonts w:ascii="Arial" w:hAnsi="Arial" w:cs="Arial"/>
                <w:sz w:val="18"/>
                <w:szCs w:val="18"/>
              </w:rPr>
            </w:pPr>
            <w:r w:rsidRPr="007B078C">
              <w:rPr>
                <w:rFonts w:ascii="Arial" w:hAnsi="Arial" w:cs="Arial"/>
                <w:sz w:val="18"/>
                <w:szCs w:val="18"/>
              </w:rPr>
              <w:t>1.3.6.1.4.1.18545.1.2.1.9</w:t>
            </w:r>
          </w:p>
        </w:tc>
        <w:tc>
          <w:tcPr>
            <w:tcW w:w="1062" w:type="dxa"/>
            <w:shd w:val="clear" w:color="auto" w:fill="auto"/>
          </w:tcPr>
          <w:p w14:paraId="2303ECB2" w14:textId="77777777" w:rsidR="00E24C7A" w:rsidRPr="007B078C" w:rsidRDefault="00E24C7A" w:rsidP="00A43635">
            <w:pPr>
              <w:contextualSpacing/>
              <w:jc w:val="center"/>
              <w:rPr>
                <w:rFonts w:ascii="Arial" w:hAnsi="Arial" w:cs="Arial"/>
                <w:sz w:val="18"/>
                <w:szCs w:val="18"/>
              </w:rPr>
            </w:pPr>
            <w:r w:rsidRPr="007B078C">
              <w:rPr>
                <w:rFonts w:ascii="Arial" w:hAnsi="Arial" w:cs="Arial"/>
                <w:sz w:val="18"/>
                <w:szCs w:val="18"/>
              </w:rPr>
              <w:t>ASPMailer</w:t>
            </w:r>
          </w:p>
        </w:tc>
        <w:tc>
          <w:tcPr>
            <w:tcW w:w="785" w:type="dxa"/>
            <w:shd w:val="clear" w:color="auto" w:fill="auto"/>
          </w:tcPr>
          <w:p w14:paraId="689C27AD" w14:textId="77777777" w:rsidR="00E24C7A" w:rsidRPr="007B078C" w:rsidRDefault="00E24C7A" w:rsidP="00A43635">
            <w:pPr>
              <w:contextualSpacing/>
              <w:jc w:val="center"/>
              <w:rPr>
                <w:rFonts w:ascii="Arial" w:hAnsi="Arial" w:cs="Arial"/>
                <w:sz w:val="18"/>
                <w:szCs w:val="18"/>
              </w:rPr>
            </w:pPr>
            <w:r w:rsidRPr="007B078C">
              <w:rPr>
                <w:rFonts w:ascii="Arial" w:hAnsi="Arial" w:cs="Arial"/>
                <w:sz w:val="18"/>
                <w:szCs w:val="18"/>
              </w:rPr>
              <w:t>5 лет</w:t>
            </w:r>
          </w:p>
        </w:tc>
        <w:tc>
          <w:tcPr>
            <w:tcW w:w="821" w:type="dxa"/>
            <w:shd w:val="clear" w:color="auto" w:fill="auto"/>
          </w:tcPr>
          <w:p w14:paraId="49AB0ED5" w14:textId="77777777" w:rsidR="00E24C7A" w:rsidRPr="007B078C" w:rsidRDefault="00E24C7A" w:rsidP="00A43635">
            <w:pPr>
              <w:contextualSpacing/>
              <w:jc w:val="center"/>
              <w:rPr>
                <w:rFonts w:ascii="Arial" w:hAnsi="Arial" w:cs="Arial"/>
                <w:sz w:val="18"/>
                <w:szCs w:val="18"/>
              </w:rPr>
            </w:pPr>
          </w:p>
        </w:tc>
      </w:tr>
      <w:tr w:rsidR="00E24C7A" w:rsidRPr="00381E65" w14:paraId="024AE0DD" w14:textId="77777777" w:rsidTr="00A43635">
        <w:trPr>
          <w:trHeight w:val="64"/>
        </w:trPr>
        <w:tc>
          <w:tcPr>
            <w:tcW w:w="1099" w:type="dxa"/>
            <w:shd w:val="clear" w:color="auto" w:fill="auto"/>
          </w:tcPr>
          <w:p w14:paraId="34CA2788" w14:textId="77777777" w:rsidR="00E24C7A" w:rsidRPr="007B078C" w:rsidRDefault="00E24C7A" w:rsidP="00A43635">
            <w:pPr>
              <w:contextualSpacing/>
              <w:jc w:val="center"/>
              <w:rPr>
                <w:rFonts w:ascii="Arial" w:hAnsi="Arial" w:cs="Arial"/>
                <w:sz w:val="18"/>
                <w:szCs w:val="18"/>
              </w:rPr>
            </w:pPr>
            <w:r w:rsidRPr="007B078C">
              <w:rPr>
                <w:rFonts w:ascii="Arial" w:hAnsi="Arial" w:cs="Arial"/>
                <w:sz w:val="18"/>
                <w:szCs w:val="18"/>
              </w:rPr>
              <w:lastRenderedPageBreak/>
              <w:t>51071</w:t>
            </w:r>
          </w:p>
        </w:tc>
        <w:tc>
          <w:tcPr>
            <w:tcW w:w="1698" w:type="dxa"/>
            <w:shd w:val="clear" w:color="auto" w:fill="auto"/>
          </w:tcPr>
          <w:p w14:paraId="4A5B52EA" w14:textId="77777777" w:rsidR="00E24C7A" w:rsidRPr="007B078C" w:rsidRDefault="00E24C7A" w:rsidP="00A43635">
            <w:pPr>
              <w:contextualSpacing/>
              <w:jc w:val="center"/>
              <w:rPr>
                <w:rFonts w:ascii="Arial" w:hAnsi="Arial" w:cs="Arial"/>
                <w:sz w:val="18"/>
                <w:szCs w:val="18"/>
              </w:rPr>
            </w:pPr>
            <w:r w:rsidRPr="007B078C">
              <w:rPr>
                <w:rFonts w:ascii="Arial" w:hAnsi="Arial" w:cs="Arial"/>
                <w:sz w:val="18"/>
                <w:szCs w:val="18"/>
              </w:rPr>
              <w:t>Уведомление о результатах приема данных по формату 51070</w:t>
            </w:r>
          </w:p>
        </w:tc>
        <w:tc>
          <w:tcPr>
            <w:tcW w:w="1927" w:type="dxa"/>
            <w:shd w:val="clear" w:color="auto" w:fill="auto"/>
          </w:tcPr>
          <w:p w14:paraId="2C88B1ED" w14:textId="77777777" w:rsidR="00E24C7A" w:rsidRPr="007B078C" w:rsidRDefault="00E24C7A" w:rsidP="00A43635">
            <w:pPr>
              <w:contextualSpacing/>
              <w:jc w:val="center"/>
              <w:rPr>
                <w:rFonts w:ascii="Arial" w:hAnsi="Arial" w:cs="Arial"/>
                <w:sz w:val="18"/>
                <w:szCs w:val="18"/>
              </w:rPr>
            </w:pPr>
            <w:r w:rsidRPr="007B078C">
              <w:rPr>
                <w:rFonts w:ascii="Arial" w:hAnsi="Arial" w:cs="Arial"/>
                <w:sz w:val="18"/>
                <w:szCs w:val="18"/>
              </w:rPr>
              <w:t>Регламент № 11</w:t>
            </w:r>
          </w:p>
        </w:tc>
        <w:tc>
          <w:tcPr>
            <w:tcW w:w="1132" w:type="dxa"/>
            <w:shd w:val="clear" w:color="auto" w:fill="auto"/>
          </w:tcPr>
          <w:p w14:paraId="131E9F8D" w14:textId="77777777" w:rsidR="00E24C7A" w:rsidRPr="007B078C" w:rsidRDefault="00E24C7A" w:rsidP="00A43635">
            <w:pPr>
              <w:contextualSpacing/>
              <w:jc w:val="center"/>
              <w:rPr>
                <w:rFonts w:ascii="Arial" w:hAnsi="Arial" w:cs="Arial"/>
                <w:sz w:val="18"/>
                <w:szCs w:val="18"/>
              </w:rPr>
            </w:pPr>
            <w:r w:rsidRPr="007B078C">
              <w:rPr>
                <w:rFonts w:ascii="Arial" w:hAnsi="Arial" w:cs="Arial"/>
                <w:sz w:val="18"/>
                <w:szCs w:val="18"/>
              </w:rPr>
              <w:t>xml</w:t>
            </w:r>
          </w:p>
        </w:tc>
        <w:tc>
          <w:tcPr>
            <w:tcW w:w="936" w:type="dxa"/>
            <w:shd w:val="clear" w:color="auto" w:fill="auto"/>
          </w:tcPr>
          <w:p w14:paraId="18DB9E85" w14:textId="77777777" w:rsidR="00E24C7A" w:rsidRPr="007B078C" w:rsidRDefault="00E24C7A" w:rsidP="00A43635">
            <w:pPr>
              <w:contextualSpacing/>
              <w:jc w:val="center"/>
              <w:rPr>
                <w:rFonts w:ascii="Arial" w:hAnsi="Arial" w:cs="Arial"/>
                <w:sz w:val="18"/>
                <w:szCs w:val="18"/>
              </w:rPr>
            </w:pPr>
            <w:r w:rsidRPr="007B078C">
              <w:rPr>
                <w:rFonts w:ascii="Arial" w:hAnsi="Arial" w:cs="Arial"/>
                <w:sz w:val="18"/>
                <w:szCs w:val="18"/>
              </w:rPr>
              <w:t>АТС</w:t>
            </w:r>
          </w:p>
        </w:tc>
        <w:tc>
          <w:tcPr>
            <w:tcW w:w="872" w:type="dxa"/>
            <w:shd w:val="clear" w:color="auto" w:fill="auto"/>
          </w:tcPr>
          <w:p w14:paraId="3C5D13EE" w14:textId="77777777" w:rsidR="00E24C7A" w:rsidRPr="007B078C" w:rsidRDefault="00E24C7A" w:rsidP="00A43635">
            <w:pPr>
              <w:contextualSpacing/>
              <w:jc w:val="center"/>
              <w:rPr>
                <w:rFonts w:ascii="Arial" w:hAnsi="Arial" w:cs="Arial"/>
                <w:sz w:val="18"/>
                <w:szCs w:val="18"/>
              </w:rPr>
            </w:pPr>
            <w:r w:rsidRPr="007B078C">
              <w:rPr>
                <w:rFonts w:ascii="Arial" w:hAnsi="Arial" w:cs="Arial"/>
                <w:sz w:val="18"/>
                <w:szCs w:val="18"/>
              </w:rPr>
              <w:t>СО, ФСК, Участник</w:t>
            </w:r>
          </w:p>
        </w:tc>
        <w:tc>
          <w:tcPr>
            <w:tcW w:w="1043" w:type="dxa"/>
            <w:shd w:val="clear" w:color="auto" w:fill="auto"/>
          </w:tcPr>
          <w:p w14:paraId="59D27377" w14:textId="77777777" w:rsidR="00E24C7A" w:rsidRPr="007B078C" w:rsidRDefault="00E24C7A" w:rsidP="00A43635">
            <w:pPr>
              <w:contextualSpacing/>
              <w:jc w:val="center"/>
              <w:rPr>
                <w:rFonts w:ascii="Arial" w:hAnsi="Arial" w:cs="Arial"/>
                <w:sz w:val="18"/>
                <w:szCs w:val="18"/>
              </w:rPr>
            </w:pPr>
            <w:r w:rsidRPr="007B078C">
              <w:rPr>
                <w:rFonts w:ascii="Arial" w:hAnsi="Arial" w:cs="Arial"/>
                <w:sz w:val="18"/>
                <w:szCs w:val="18"/>
              </w:rPr>
              <w:t>электронная почта</w:t>
            </w:r>
          </w:p>
        </w:tc>
        <w:tc>
          <w:tcPr>
            <w:tcW w:w="1219" w:type="dxa"/>
            <w:shd w:val="clear" w:color="auto" w:fill="auto"/>
          </w:tcPr>
          <w:p w14:paraId="79A48C8B" w14:textId="77777777" w:rsidR="00E24C7A" w:rsidRPr="007B078C" w:rsidRDefault="00E24C7A" w:rsidP="00A43635">
            <w:pPr>
              <w:contextualSpacing/>
              <w:jc w:val="center"/>
              <w:rPr>
                <w:rFonts w:ascii="Arial" w:hAnsi="Arial" w:cs="Arial"/>
                <w:sz w:val="18"/>
                <w:szCs w:val="18"/>
              </w:rPr>
            </w:pPr>
            <w:r w:rsidRPr="007B078C">
              <w:rPr>
                <w:rFonts w:ascii="Arial" w:hAnsi="Arial" w:cs="Arial"/>
                <w:sz w:val="18"/>
                <w:szCs w:val="18"/>
              </w:rPr>
              <w:t>Нет</w:t>
            </w:r>
          </w:p>
        </w:tc>
        <w:tc>
          <w:tcPr>
            <w:tcW w:w="996" w:type="dxa"/>
            <w:shd w:val="clear" w:color="auto" w:fill="auto"/>
          </w:tcPr>
          <w:p w14:paraId="38B0BB6A" w14:textId="77777777" w:rsidR="00E24C7A" w:rsidRPr="007B078C" w:rsidRDefault="00E24C7A" w:rsidP="00A43635">
            <w:pPr>
              <w:contextualSpacing/>
              <w:jc w:val="center"/>
              <w:rPr>
                <w:rFonts w:ascii="Arial" w:hAnsi="Arial" w:cs="Arial"/>
                <w:sz w:val="18"/>
                <w:szCs w:val="18"/>
              </w:rPr>
            </w:pPr>
            <w:r w:rsidRPr="007B078C">
              <w:rPr>
                <w:rFonts w:ascii="Arial" w:hAnsi="Arial" w:cs="Arial"/>
                <w:sz w:val="18"/>
                <w:szCs w:val="18"/>
              </w:rPr>
              <w:t>Нет</w:t>
            </w:r>
          </w:p>
        </w:tc>
        <w:tc>
          <w:tcPr>
            <w:tcW w:w="1890" w:type="dxa"/>
            <w:shd w:val="clear" w:color="auto" w:fill="auto"/>
          </w:tcPr>
          <w:p w14:paraId="6F12A25A" w14:textId="77777777" w:rsidR="00E24C7A" w:rsidRPr="007B078C" w:rsidRDefault="00E24C7A" w:rsidP="00A43635">
            <w:pPr>
              <w:contextualSpacing/>
              <w:jc w:val="center"/>
              <w:rPr>
                <w:rFonts w:ascii="Arial" w:hAnsi="Arial" w:cs="Arial"/>
                <w:sz w:val="18"/>
                <w:szCs w:val="18"/>
              </w:rPr>
            </w:pPr>
            <w:r w:rsidRPr="007B078C">
              <w:rPr>
                <w:rFonts w:ascii="Arial" w:hAnsi="Arial" w:cs="Arial"/>
                <w:sz w:val="18"/>
                <w:szCs w:val="18"/>
              </w:rPr>
              <w:t>1.3.6.1.4.1.18545.1.2.1.9</w:t>
            </w:r>
          </w:p>
        </w:tc>
        <w:tc>
          <w:tcPr>
            <w:tcW w:w="1062" w:type="dxa"/>
            <w:shd w:val="clear" w:color="auto" w:fill="auto"/>
          </w:tcPr>
          <w:p w14:paraId="38EB5686" w14:textId="77777777" w:rsidR="00E24C7A" w:rsidRPr="007B078C" w:rsidRDefault="00E24C7A" w:rsidP="00A43635">
            <w:pPr>
              <w:contextualSpacing/>
              <w:jc w:val="center"/>
              <w:rPr>
                <w:rFonts w:ascii="Arial" w:hAnsi="Arial" w:cs="Arial"/>
                <w:sz w:val="18"/>
                <w:szCs w:val="18"/>
              </w:rPr>
            </w:pPr>
            <w:r w:rsidRPr="007B078C">
              <w:rPr>
                <w:rFonts w:ascii="Arial" w:hAnsi="Arial" w:cs="Arial"/>
                <w:sz w:val="18"/>
                <w:szCs w:val="18"/>
              </w:rPr>
              <w:t>Блокнот</w:t>
            </w:r>
          </w:p>
        </w:tc>
        <w:tc>
          <w:tcPr>
            <w:tcW w:w="785" w:type="dxa"/>
            <w:shd w:val="clear" w:color="auto" w:fill="auto"/>
          </w:tcPr>
          <w:p w14:paraId="37632806" w14:textId="77777777" w:rsidR="00E24C7A" w:rsidRPr="007B078C" w:rsidRDefault="00E24C7A" w:rsidP="00A43635">
            <w:pPr>
              <w:contextualSpacing/>
              <w:jc w:val="center"/>
              <w:rPr>
                <w:rFonts w:ascii="Arial" w:hAnsi="Arial" w:cs="Arial"/>
                <w:sz w:val="18"/>
                <w:szCs w:val="18"/>
              </w:rPr>
            </w:pPr>
            <w:r w:rsidRPr="007B078C">
              <w:rPr>
                <w:rFonts w:ascii="Arial" w:hAnsi="Arial" w:cs="Arial"/>
                <w:sz w:val="18"/>
                <w:szCs w:val="18"/>
              </w:rPr>
              <w:t>5 лет</w:t>
            </w:r>
          </w:p>
        </w:tc>
        <w:tc>
          <w:tcPr>
            <w:tcW w:w="821" w:type="dxa"/>
            <w:shd w:val="clear" w:color="auto" w:fill="auto"/>
          </w:tcPr>
          <w:p w14:paraId="720343BF" w14:textId="77777777" w:rsidR="00E24C7A" w:rsidRPr="007B078C" w:rsidRDefault="00E24C7A" w:rsidP="00A43635">
            <w:pPr>
              <w:contextualSpacing/>
              <w:jc w:val="center"/>
              <w:rPr>
                <w:rFonts w:ascii="Arial" w:hAnsi="Arial" w:cs="Arial"/>
                <w:sz w:val="18"/>
                <w:szCs w:val="18"/>
              </w:rPr>
            </w:pPr>
          </w:p>
        </w:tc>
      </w:tr>
      <w:tr w:rsidR="00E24C7A" w:rsidRPr="00381E65" w14:paraId="2BE2D761" w14:textId="77777777" w:rsidTr="00A43635">
        <w:trPr>
          <w:trHeight w:val="815"/>
        </w:trPr>
        <w:tc>
          <w:tcPr>
            <w:tcW w:w="1099" w:type="dxa"/>
            <w:shd w:val="clear" w:color="auto" w:fill="auto"/>
          </w:tcPr>
          <w:p w14:paraId="0DA1361C" w14:textId="77777777" w:rsidR="00E24C7A" w:rsidRPr="004238A8" w:rsidRDefault="00E24C7A" w:rsidP="00A43635">
            <w:pPr>
              <w:contextualSpacing/>
              <w:jc w:val="center"/>
              <w:rPr>
                <w:rFonts w:ascii="Arial" w:hAnsi="Arial" w:cs="Arial"/>
                <w:sz w:val="18"/>
                <w:szCs w:val="18"/>
              </w:rPr>
            </w:pPr>
            <w:r w:rsidRPr="00DC7B94">
              <w:rPr>
                <w:rFonts w:ascii="Arial" w:hAnsi="Arial" w:cs="Arial"/>
                <w:sz w:val="18"/>
                <w:szCs w:val="18"/>
              </w:rPr>
              <w:t>70000</w:t>
            </w:r>
          </w:p>
        </w:tc>
        <w:tc>
          <w:tcPr>
            <w:tcW w:w="1698" w:type="dxa"/>
            <w:shd w:val="clear" w:color="auto" w:fill="auto"/>
          </w:tcPr>
          <w:p w14:paraId="7CA59002" w14:textId="77777777" w:rsidR="00E24C7A" w:rsidRPr="004238A8" w:rsidRDefault="00E24C7A" w:rsidP="00A43635">
            <w:pPr>
              <w:contextualSpacing/>
              <w:jc w:val="center"/>
              <w:rPr>
                <w:rFonts w:ascii="Arial" w:hAnsi="Arial" w:cs="Arial"/>
                <w:sz w:val="18"/>
                <w:szCs w:val="18"/>
              </w:rPr>
            </w:pPr>
            <w:r w:rsidRPr="00DC7B94">
              <w:rPr>
                <w:rFonts w:ascii="Arial" w:hAnsi="Arial" w:cs="Arial"/>
                <w:sz w:val="18"/>
                <w:szCs w:val="18"/>
              </w:rPr>
              <w:t>Запрос на получение кодов</w:t>
            </w:r>
          </w:p>
        </w:tc>
        <w:tc>
          <w:tcPr>
            <w:tcW w:w="1927" w:type="dxa"/>
            <w:shd w:val="clear" w:color="auto" w:fill="auto"/>
          </w:tcPr>
          <w:p w14:paraId="7692AAA3" w14:textId="77777777" w:rsidR="00E24C7A" w:rsidRPr="004238A8" w:rsidRDefault="00E24C7A" w:rsidP="00A43635">
            <w:pPr>
              <w:contextualSpacing/>
              <w:jc w:val="center"/>
              <w:rPr>
                <w:rFonts w:ascii="Arial" w:hAnsi="Arial" w:cs="Arial"/>
                <w:sz w:val="18"/>
                <w:szCs w:val="18"/>
              </w:rPr>
            </w:pPr>
            <w:r w:rsidRPr="00DC7B94">
              <w:rPr>
                <w:rFonts w:ascii="Arial" w:hAnsi="Arial" w:cs="Arial"/>
                <w:sz w:val="18"/>
                <w:szCs w:val="18"/>
              </w:rPr>
              <w:t>Регламент № 11.1.1, приложение 15</w:t>
            </w:r>
          </w:p>
        </w:tc>
        <w:tc>
          <w:tcPr>
            <w:tcW w:w="1132" w:type="dxa"/>
            <w:shd w:val="clear" w:color="auto" w:fill="auto"/>
          </w:tcPr>
          <w:p w14:paraId="73A9309D" w14:textId="77777777" w:rsidR="00E24C7A" w:rsidRPr="004238A8" w:rsidRDefault="00E24C7A" w:rsidP="00A43635">
            <w:pPr>
              <w:contextualSpacing/>
              <w:jc w:val="center"/>
              <w:rPr>
                <w:rFonts w:ascii="Arial" w:hAnsi="Arial" w:cs="Arial"/>
                <w:sz w:val="18"/>
                <w:szCs w:val="18"/>
              </w:rPr>
            </w:pPr>
            <w:r w:rsidRPr="00DC7B94">
              <w:rPr>
                <w:rFonts w:ascii="Arial" w:hAnsi="Arial" w:cs="Arial"/>
                <w:sz w:val="18"/>
                <w:szCs w:val="18"/>
              </w:rPr>
              <w:t>xml</w:t>
            </w:r>
          </w:p>
        </w:tc>
        <w:tc>
          <w:tcPr>
            <w:tcW w:w="936" w:type="dxa"/>
            <w:shd w:val="clear" w:color="auto" w:fill="auto"/>
          </w:tcPr>
          <w:p w14:paraId="3CBAEB8D" w14:textId="77777777" w:rsidR="00E24C7A" w:rsidRPr="004238A8" w:rsidRDefault="00E24C7A" w:rsidP="00A43635">
            <w:pPr>
              <w:contextualSpacing/>
              <w:jc w:val="center"/>
              <w:rPr>
                <w:rFonts w:ascii="Arial" w:hAnsi="Arial" w:cs="Arial"/>
                <w:sz w:val="18"/>
                <w:szCs w:val="18"/>
              </w:rPr>
            </w:pPr>
            <w:r w:rsidRPr="00DC7B94">
              <w:rPr>
                <w:rFonts w:ascii="Arial" w:hAnsi="Arial" w:cs="Arial"/>
                <w:sz w:val="18"/>
                <w:szCs w:val="18"/>
              </w:rPr>
              <w:t xml:space="preserve">Участник, ФСК </w:t>
            </w:r>
          </w:p>
        </w:tc>
        <w:tc>
          <w:tcPr>
            <w:tcW w:w="872" w:type="dxa"/>
            <w:shd w:val="clear" w:color="auto" w:fill="auto"/>
          </w:tcPr>
          <w:p w14:paraId="69EB4514" w14:textId="77777777" w:rsidR="00E24C7A" w:rsidRPr="004238A8" w:rsidRDefault="00E24C7A" w:rsidP="00A43635">
            <w:pPr>
              <w:contextualSpacing/>
              <w:jc w:val="center"/>
              <w:rPr>
                <w:rFonts w:ascii="Arial" w:hAnsi="Arial" w:cs="Arial"/>
                <w:sz w:val="18"/>
                <w:szCs w:val="18"/>
              </w:rPr>
            </w:pPr>
            <w:r w:rsidRPr="00DC7B94">
              <w:rPr>
                <w:rFonts w:ascii="Arial" w:hAnsi="Arial" w:cs="Arial"/>
                <w:sz w:val="18"/>
                <w:szCs w:val="18"/>
              </w:rPr>
              <w:t>АТС</w:t>
            </w:r>
          </w:p>
        </w:tc>
        <w:tc>
          <w:tcPr>
            <w:tcW w:w="1043" w:type="dxa"/>
            <w:shd w:val="clear" w:color="auto" w:fill="auto"/>
          </w:tcPr>
          <w:p w14:paraId="01C60DB3" w14:textId="77777777" w:rsidR="00E24C7A" w:rsidRPr="004238A8" w:rsidRDefault="00E24C7A" w:rsidP="00A43635">
            <w:pPr>
              <w:contextualSpacing/>
              <w:jc w:val="center"/>
              <w:rPr>
                <w:rFonts w:ascii="Arial" w:hAnsi="Arial" w:cs="Arial"/>
                <w:sz w:val="18"/>
                <w:szCs w:val="18"/>
              </w:rPr>
            </w:pPr>
            <w:r w:rsidRPr="00DC7B94">
              <w:rPr>
                <w:rFonts w:ascii="Arial" w:hAnsi="Arial" w:cs="Arial"/>
                <w:sz w:val="18"/>
                <w:szCs w:val="18"/>
              </w:rPr>
              <w:t>электронная почта</w:t>
            </w:r>
          </w:p>
        </w:tc>
        <w:tc>
          <w:tcPr>
            <w:tcW w:w="1219" w:type="dxa"/>
            <w:shd w:val="clear" w:color="auto" w:fill="auto"/>
          </w:tcPr>
          <w:p w14:paraId="2608420D" w14:textId="77777777" w:rsidR="00E24C7A" w:rsidRPr="004238A8" w:rsidRDefault="00E24C7A" w:rsidP="00A43635">
            <w:pPr>
              <w:contextualSpacing/>
              <w:jc w:val="center"/>
              <w:rPr>
                <w:rFonts w:ascii="Arial" w:hAnsi="Arial" w:cs="Arial"/>
                <w:sz w:val="18"/>
                <w:szCs w:val="18"/>
              </w:rPr>
            </w:pPr>
            <w:r w:rsidRPr="00DC7B94">
              <w:rPr>
                <w:rFonts w:ascii="Arial" w:hAnsi="Arial" w:cs="Arial"/>
                <w:sz w:val="18"/>
                <w:szCs w:val="18"/>
              </w:rPr>
              <w:t>Нет</w:t>
            </w:r>
          </w:p>
        </w:tc>
        <w:tc>
          <w:tcPr>
            <w:tcW w:w="996" w:type="dxa"/>
            <w:shd w:val="clear" w:color="auto" w:fill="auto"/>
          </w:tcPr>
          <w:p w14:paraId="25DAC524" w14:textId="77777777" w:rsidR="00E24C7A" w:rsidRPr="004238A8" w:rsidRDefault="00E24C7A" w:rsidP="00A43635">
            <w:pPr>
              <w:contextualSpacing/>
              <w:jc w:val="center"/>
              <w:rPr>
                <w:rFonts w:ascii="Arial" w:hAnsi="Arial" w:cs="Arial"/>
                <w:sz w:val="18"/>
                <w:szCs w:val="18"/>
              </w:rPr>
            </w:pPr>
            <w:r w:rsidRPr="00DC7B94">
              <w:rPr>
                <w:rFonts w:ascii="Arial" w:hAnsi="Arial" w:cs="Arial"/>
                <w:sz w:val="18"/>
                <w:szCs w:val="18"/>
              </w:rPr>
              <w:t>Да</w:t>
            </w:r>
          </w:p>
        </w:tc>
        <w:tc>
          <w:tcPr>
            <w:tcW w:w="1890" w:type="dxa"/>
            <w:shd w:val="clear" w:color="auto" w:fill="auto"/>
          </w:tcPr>
          <w:p w14:paraId="54C9CD72" w14:textId="77777777" w:rsidR="00E24C7A" w:rsidRPr="004238A8" w:rsidRDefault="00E24C7A" w:rsidP="00A43635">
            <w:pPr>
              <w:contextualSpacing/>
              <w:jc w:val="center"/>
              <w:rPr>
                <w:rFonts w:ascii="Arial" w:hAnsi="Arial" w:cs="Arial"/>
                <w:sz w:val="18"/>
                <w:szCs w:val="18"/>
              </w:rPr>
            </w:pPr>
            <w:r w:rsidRPr="00DC7B94">
              <w:rPr>
                <w:rFonts w:ascii="Arial" w:hAnsi="Arial" w:cs="Arial"/>
                <w:sz w:val="18"/>
                <w:szCs w:val="18"/>
              </w:rPr>
              <w:t>1.3.6.1.4.1.18545.1.2.1.9</w:t>
            </w:r>
          </w:p>
        </w:tc>
        <w:tc>
          <w:tcPr>
            <w:tcW w:w="1062" w:type="dxa"/>
            <w:shd w:val="clear" w:color="auto" w:fill="auto"/>
          </w:tcPr>
          <w:p w14:paraId="5CDB604F" w14:textId="77777777" w:rsidR="00E24C7A" w:rsidRPr="004238A8" w:rsidRDefault="00E24C7A" w:rsidP="00A43635">
            <w:pPr>
              <w:contextualSpacing/>
              <w:jc w:val="center"/>
              <w:rPr>
                <w:rFonts w:ascii="Arial" w:hAnsi="Arial" w:cs="Arial"/>
                <w:sz w:val="18"/>
                <w:szCs w:val="18"/>
              </w:rPr>
            </w:pPr>
            <w:r w:rsidRPr="00DC7B94">
              <w:rPr>
                <w:rFonts w:ascii="Arial" w:hAnsi="Arial" w:cs="Arial"/>
                <w:sz w:val="18"/>
                <w:szCs w:val="18"/>
              </w:rPr>
              <w:t>ASPMailer</w:t>
            </w:r>
          </w:p>
        </w:tc>
        <w:tc>
          <w:tcPr>
            <w:tcW w:w="785" w:type="dxa"/>
            <w:shd w:val="clear" w:color="auto" w:fill="auto"/>
          </w:tcPr>
          <w:p w14:paraId="670AA4FE" w14:textId="77777777" w:rsidR="00E24C7A" w:rsidRPr="004238A8" w:rsidRDefault="00E24C7A" w:rsidP="00A43635">
            <w:pPr>
              <w:contextualSpacing/>
              <w:jc w:val="center"/>
              <w:rPr>
                <w:rFonts w:ascii="Arial" w:hAnsi="Arial" w:cs="Arial"/>
                <w:sz w:val="18"/>
                <w:szCs w:val="18"/>
              </w:rPr>
            </w:pPr>
            <w:r w:rsidRPr="00DC7B94">
              <w:rPr>
                <w:rFonts w:ascii="Arial" w:hAnsi="Arial" w:cs="Arial"/>
                <w:sz w:val="18"/>
                <w:szCs w:val="18"/>
              </w:rPr>
              <w:t>5 лет</w:t>
            </w:r>
          </w:p>
        </w:tc>
        <w:tc>
          <w:tcPr>
            <w:tcW w:w="821" w:type="dxa"/>
            <w:shd w:val="clear" w:color="auto" w:fill="auto"/>
          </w:tcPr>
          <w:p w14:paraId="1E688C80" w14:textId="77777777" w:rsidR="00E24C7A" w:rsidRPr="004238A8" w:rsidRDefault="00E24C7A" w:rsidP="00A43635">
            <w:pPr>
              <w:contextualSpacing/>
              <w:jc w:val="center"/>
              <w:rPr>
                <w:rFonts w:ascii="Arial" w:hAnsi="Arial" w:cs="Arial"/>
                <w:sz w:val="18"/>
                <w:szCs w:val="18"/>
              </w:rPr>
            </w:pPr>
          </w:p>
        </w:tc>
      </w:tr>
      <w:tr w:rsidR="00E24C7A" w:rsidRPr="00381E65" w14:paraId="0BA18829" w14:textId="77777777" w:rsidTr="00A43635">
        <w:trPr>
          <w:trHeight w:val="815"/>
        </w:trPr>
        <w:tc>
          <w:tcPr>
            <w:tcW w:w="1099" w:type="dxa"/>
            <w:shd w:val="clear" w:color="auto" w:fill="auto"/>
          </w:tcPr>
          <w:p w14:paraId="386D65A7" w14:textId="77777777" w:rsidR="00E24C7A" w:rsidRPr="004238A8" w:rsidRDefault="00E24C7A" w:rsidP="00A43635">
            <w:pPr>
              <w:contextualSpacing/>
              <w:jc w:val="center"/>
              <w:rPr>
                <w:rFonts w:ascii="Arial" w:hAnsi="Arial" w:cs="Arial"/>
                <w:sz w:val="18"/>
                <w:szCs w:val="18"/>
              </w:rPr>
            </w:pPr>
            <w:r w:rsidRPr="00DC7B94">
              <w:rPr>
                <w:rFonts w:ascii="Arial" w:hAnsi="Arial" w:cs="Arial"/>
                <w:sz w:val="18"/>
                <w:szCs w:val="18"/>
              </w:rPr>
              <w:t>70001</w:t>
            </w:r>
          </w:p>
        </w:tc>
        <w:tc>
          <w:tcPr>
            <w:tcW w:w="1698" w:type="dxa"/>
            <w:shd w:val="clear" w:color="auto" w:fill="auto"/>
          </w:tcPr>
          <w:p w14:paraId="57E18119" w14:textId="77777777" w:rsidR="00E24C7A" w:rsidRPr="004238A8" w:rsidRDefault="00E24C7A" w:rsidP="00A43635">
            <w:pPr>
              <w:contextualSpacing/>
              <w:jc w:val="center"/>
              <w:rPr>
                <w:rFonts w:ascii="Arial" w:hAnsi="Arial" w:cs="Arial"/>
                <w:sz w:val="18"/>
                <w:szCs w:val="18"/>
              </w:rPr>
            </w:pPr>
            <w:r w:rsidRPr="00DC7B94">
              <w:rPr>
                <w:rFonts w:ascii="Arial" w:hAnsi="Arial" w:cs="Arial"/>
                <w:sz w:val="18"/>
                <w:szCs w:val="18"/>
              </w:rPr>
              <w:t>Уведомление о результатах приема документа формата 70000</w:t>
            </w:r>
          </w:p>
        </w:tc>
        <w:tc>
          <w:tcPr>
            <w:tcW w:w="1927" w:type="dxa"/>
            <w:shd w:val="clear" w:color="auto" w:fill="auto"/>
          </w:tcPr>
          <w:p w14:paraId="0122763A" w14:textId="77777777" w:rsidR="00E24C7A" w:rsidRPr="004238A8" w:rsidRDefault="00E24C7A" w:rsidP="00A43635">
            <w:pPr>
              <w:contextualSpacing/>
              <w:jc w:val="center"/>
              <w:rPr>
                <w:rFonts w:ascii="Arial" w:hAnsi="Arial" w:cs="Arial"/>
                <w:sz w:val="18"/>
                <w:szCs w:val="18"/>
              </w:rPr>
            </w:pPr>
            <w:r w:rsidRPr="00DC7B94">
              <w:rPr>
                <w:rFonts w:ascii="Arial" w:hAnsi="Arial" w:cs="Arial"/>
                <w:sz w:val="18"/>
                <w:szCs w:val="18"/>
              </w:rPr>
              <w:t>Регламент № 11.1.1, приложение 15</w:t>
            </w:r>
          </w:p>
        </w:tc>
        <w:tc>
          <w:tcPr>
            <w:tcW w:w="1132" w:type="dxa"/>
            <w:shd w:val="clear" w:color="auto" w:fill="auto"/>
          </w:tcPr>
          <w:p w14:paraId="221E2FE4" w14:textId="77777777" w:rsidR="00E24C7A" w:rsidRPr="004238A8" w:rsidRDefault="00E24C7A" w:rsidP="00A43635">
            <w:pPr>
              <w:contextualSpacing/>
              <w:jc w:val="center"/>
              <w:rPr>
                <w:rFonts w:ascii="Arial" w:hAnsi="Arial" w:cs="Arial"/>
                <w:sz w:val="18"/>
                <w:szCs w:val="18"/>
              </w:rPr>
            </w:pPr>
            <w:r w:rsidRPr="00DC7B94">
              <w:rPr>
                <w:rFonts w:ascii="Arial" w:hAnsi="Arial" w:cs="Arial"/>
                <w:sz w:val="18"/>
                <w:szCs w:val="18"/>
              </w:rPr>
              <w:t>xml</w:t>
            </w:r>
          </w:p>
        </w:tc>
        <w:tc>
          <w:tcPr>
            <w:tcW w:w="936" w:type="dxa"/>
            <w:shd w:val="clear" w:color="auto" w:fill="auto"/>
          </w:tcPr>
          <w:p w14:paraId="7B2006BB" w14:textId="77777777" w:rsidR="00E24C7A" w:rsidRPr="004238A8" w:rsidRDefault="00E24C7A" w:rsidP="00A43635">
            <w:pPr>
              <w:contextualSpacing/>
              <w:jc w:val="center"/>
              <w:rPr>
                <w:rFonts w:ascii="Arial" w:hAnsi="Arial" w:cs="Arial"/>
                <w:sz w:val="18"/>
                <w:szCs w:val="18"/>
              </w:rPr>
            </w:pPr>
            <w:r w:rsidRPr="00DC7B94">
              <w:rPr>
                <w:rFonts w:ascii="Arial" w:hAnsi="Arial" w:cs="Arial"/>
                <w:sz w:val="18"/>
                <w:szCs w:val="18"/>
              </w:rPr>
              <w:t>АТС</w:t>
            </w:r>
          </w:p>
        </w:tc>
        <w:tc>
          <w:tcPr>
            <w:tcW w:w="872" w:type="dxa"/>
            <w:shd w:val="clear" w:color="auto" w:fill="auto"/>
          </w:tcPr>
          <w:p w14:paraId="16AF3586" w14:textId="77777777" w:rsidR="00E24C7A" w:rsidRPr="004238A8" w:rsidRDefault="00E24C7A" w:rsidP="00A43635">
            <w:pPr>
              <w:contextualSpacing/>
              <w:jc w:val="center"/>
              <w:rPr>
                <w:rFonts w:ascii="Arial" w:hAnsi="Arial" w:cs="Arial"/>
                <w:sz w:val="18"/>
                <w:szCs w:val="18"/>
              </w:rPr>
            </w:pPr>
            <w:r w:rsidRPr="00DC7B94">
              <w:rPr>
                <w:rFonts w:ascii="Arial" w:hAnsi="Arial" w:cs="Arial"/>
                <w:sz w:val="18"/>
                <w:szCs w:val="18"/>
              </w:rPr>
              <w:t>Участник, ФСК</w:t>
            </w:r>
          </w:p>
        </w:tc>
        <w:tc>
          <w:tcPr>
            <w:tcW w:w="1043" w:type="dxa"/>
            <w:shd w:val="clear" w:color="auto" w:fill="auto"/>
          </w:tcPr>
          <w:p w14:paraId="5AA52208" w14:textId="77777777" w:rsidR="00E24C7A" w:rsidRPr="004238A8" w:rsidRDefault="00E24C7A" w:rsidP="00A43635">
            <w:pPr>
              <w:contextualSpacing/>
              <w:jc w:val="center"/>
              <w:rPr>
                <w:rFonts w:ascii="Arial" w:hAnsi="Arial" w:cs="Arial"/>
                <w:sz w:val="18"/>
                <w:szCs w:val="18"/>
              </w:rPr>
            </w:pPr>
            <w:r w:rsidRPr="00DC7B94">
              <w:rPr>
                <w:rFonts w:ascii="Arial" w:hAnsi="Arial" w:cs="Arial"/>
                <w:sz w:val="18"/>
                <w:szCs w:val="18"/>
              </w:rPr>
              <w:t>электронная почта (ASPMailer)</w:t>
            </w:r>
          </w:p>
        </w:tc>
        <w:tc>
          <w:tcPr>
            <w:tcW w:w="1219" w:type="dxa"/>
            <w:shd w:val="clear" w:color="auto" w:fill="auto"/>
          </w:tcPr>
          <w:p w14:paraId="0C176A45" w14:textId="77777777" w:rsidR="00E24C7A" w:rsidRPr="004238A8" w:rsidRDefault="00E24C7A" w:rsidP="00A43635">
            <w:pPr>
              <w:contextualSpacing/>
              <w:jc w:val="center"/>
              <w:rPr>
                <w:rFonts w:ascii="Arial" w:hAnsi="Arial" w:cs="Arial"/>
                <w:sz w:val="18"/>
                <w:szCs w:val="18"/>
              </w:rPr>
            </w:pPr>
            <w:r w:rsidRPr="00DC7B94">
              <w:rPr>
                <w:rFonts w:ascii="Arial" w:hAnsi="Arial" w:cs="Arial"/>
                <w:sz w:val="18"/>
                <w:szCs w:val="18"/>
              </w:rPr>
              <w:t>Нет</w:t>
            </w:r>
          </w:p>
        </w:tc>
        <w:tc>
          <w:tcPr>
            <w:tcW w:w="996" w:type="dxa"/>
            <w:shd w:val="clear" w:color="auto" w:fill="auto"/>
          </w:tcPr>
          <w:p w14:paraId="795498FA" w14:textId="77777777" w:rsidR="00E24C7A" w:rsidRPr="004238A8" w:rsidRDefault="00E24C7A" w:rsidP="00A43635">
            <w:pPr>
              <w:contextualSpacing/>
              <w:jc w:val="center"/>
              <w:rPr>
                <w:rFonts w:ascii="Arial" w:hAnsi="Arial" w:cs="Arial"/>
                <w:sz w:val="18"/>
                <w:szCs w:val="18"/>
              </w:rPr>
            </w:pPr>
            <w:r w:rsidRPr="00DC7B94">
              <w:rPr>
                <w:rFonts w:ascii="Arial" w:hAnsi="Arial" w:cs="Arial"/>
                <w:sz w:val="18"/>
                <w:szCs w:val="18"/>
              </w:rPr>
              <w:t>Нет</w:t>
            </w:r>
          </w:p>
        </w:tc>
        <w:tc>
          <w:tcPr>
            <w:tcW w:w="1890" w:type="dxa"/>
            <w:shd w:val="clear" w:color="auto" w:fill="auto"/>
          </w:tcPr>
          <w:p w14:paraId="3D7DACB3" w14:textId="77777777" w:rsidR="00E24C7A" w:rsidRPr="004238A8" w:rsidRDefault="00E24C7A" w:rsidP="00A43635">
            <w:pPr>
              <w:contextualSpacing/>
              <w:jc w:val="center"/>
              <w:rPr>
                <w:rFonts w:ascii="Arial" w:hAnsi="Arial" w:cs="Arial"/>
                <w:sz w:val="18"/>
                <w:szCs w:val="18"/>
              </w:rPr>
            </w:pPr>
            <w:r w:rsidRPr="00DC7B94">
              <w:rPr>
                <w:rFonts w:ascii="Arial" w:hAnsi="Arial" w:cs="Arial"/>
                <w:sz w:val="18"/>
                <w:szCs w:val="18"/>
              </w:rPr>
              <w:t>1.3.6.1.4.1.18545.1.2.1.9</w:t>
            </w:r>
          </w:p>
        </w:tc>
        <w:tc>
          <w:tcPr>
            <w:tcW w:w="1062" w:type="dxa"/>
            <w:shd w:val="clear" w:color="auto" w:fill="auto"/>
          </w:tcPr>
          <w:p w14:paraId="19572EDD" w14:textId="77777777" w:rsidR="00E24C7A" w:rsidRPr="004238A8" w:rsidRDefault="00E24C7A" w:rsidP="00A43635">
            <w:pPr>
              <w:contextualSpacing/>
              <w:jc w:val="center"/>
              <w:rPr>
                <w:rFonts w:ascii="Arial" w:hAnsi="Arial" w:cs="Arial"/>
                <w:sz w:val="18"/>
                <w:szCs w:val="18"/>
              </w:rPr>
            </w:pPr>
            <w:r w:rsidRPr="00DC7B94">
              <w:rPr>
                <w:rFonts w:ascii="Arial" w:hAnsi="Arial" w:cs="Arial"/>
                <w:sz w:val="18"/>
                <w:szCs w:val="18"/>
              </w:rPr>
              <w:t>ASPMailer, Блокнот</w:t>
            </w:r>
          </w:p>
        </w:tc>
        <w:tc>
          <w:tcPr>
            <w:tcW w:w="785" w:type="dxa"/>
            <w:shd w:val="clear" w:color="auto" w:fill="auto"/>
          </w:tcPr>
          <w:p w14:paraId="40AD93F9" w14:textId="77777777" w:rsidR="00E24C7A" w:rsidRPr="004238A8" w:rsidRDefault="00E24C7A" w:rsidP="00A43635">
            <w:pPr>
              <w:contextualSpacing/>
              <w:jc w:val="center"/>
              <w:rPr>
                <w:rFonts w:ascii="Arial" w:hAnsi="Arial" w:cs="Arial"/>
                <w:sz w:val="18"/>
                <w:szCs w:val="18"/>
              </w:rPr>
            </w:pPr>
            <w:r w:rsidRPr="00DC7B94">
              <w:rPr>
                <w:rFonts w:ascii="Arial" w:hAnsi="Arial" w:cs="Arial"/>
                <w:sz w:val="18"/>
                <w:szCs w:val="18"/>
              </w:rPr>
              <w:t>5 лет</w:t>
            </w:r>
          </w:p>
        </w:tc>
        <w:tc>
          <w:tcPr>
            <w:tcW w:w="821" w:type="dxa"/>
            <w:shd w:val="clear" w:color="auto" w:fill="auto"/>
          </w:tcPr>
          <w:p w14:paraId="5E12A06E" w14:textId="77777777" w:rsidR="00E24C7A" w:rsidRPr="004238A8" w:rsidRDefault="00E24C7A" w:rsidP="00A43635">
            <w:pPr>
              <w:contextualSpacing/>
              <w:jc w:val="center"/>
              <w:rPr>
                <w:rFonts w:ascii="Arial" w:hAnsi="Arial" w:cs="Arial"/>
                <w:sz w:val="18"/>
                <w:szCs w:val="18"/>
              </w:rPr>
            </w:pPr>
          </w:p>
        </w:tc>
      </w:tr>
      <w:tr w:rsidR="00E24C7A" w:rsidRPr="00381E65" w14:paraId="76BF76DF" w14:textId="77777777" w:rsidTr="00A43635">
        <w:trPr>
          <w:trHeight w:val="815"/>
        </w:trPr>
        <w:tc>
          <w:tcPr>
            <w:tcW w:w="1099" w:type="dxa"/>
            <w:shd w:val="clear" w:color="auto" w:fill="auto"/>
          </w:tcPr>
          <w:p w14:paraId="4EF14B76" w14:textId="77777777" w:rsidR="00E24C7A" w:rsidRPr="007B078C" w:rsidRDefault="00E24C7A" w:rsidP="00A43635">
            <w:pPr>
              <w:contextualSpacing/>
              <w:jc w:val="center"/>
              <w:rPr>
                <w:rFonts w:ascii="Arial" w:hAnsi="Arial" w:cs="Arial"/>
                <w:sz w:val="18"/>
                <w:szCs w:val="18"/>
              </w:rPr>
            </w:pPr>
            <w:r w:rsidRPr="007B078C">
              <w:rPr>
                <w:rFonts w:ascii="Arial" w:hAnsi="Arial" w:cs="Arial"/>
                <w:sz w:val="18"/>
                <w:szCs w:val="18"/>
              </w:rPr>
              <w:t>RECEIPT=51070=ACCEPTED</w:t>
            </w:r>
          </w:p>
        </w:tc>
        <w:tc>
          <w:tcPr>
            <w:tcW w:w="1698" w:type="dxa"/>
            <w:shd w:val="clear" w:color="auto" w:fill="auto"/>
          </w:tcPr>
          <w:p w14:paraId="19E8BB0C" w14:textId="77777777" w:rsidR="00E24C7A" w:rsidRPr="007B078C" w:rsidRDefault="00E24C7A" w:rsidP="00A43635">
            <w:pPr>
              <w:contextualSpacing/>
              <w:jc w:val="center"/>
              <w:rPr>
                <w:rFonts w:ascii="Arial" w:hAnsi="Arial" w:cs="Arial"/>
                <w:sz w:val="18"/>
                <w:szCs w:val="18"/>
              </w:rPr>
            </w:pPr>
            <w:r w:rsidRPr="007B078C">
              <w:rPr>
                <w:rFonts w:ascii="Arial" w:hAnsi="Arial" w:cs="Arial"/>
                <w:sz w:val="18"/>
                <w:szCs w:val="18"/>
              </w:rPr>
              <w:t>Уведомление о приеме отчетных данных (формат 51070)</w:t>
            </w:r>
          </w:p>
        </w:tc>
        <w:tc>
          <w:tcPr>
            <w:tcW w:w="1927" w:type="dxa"/>
            <w:shd w:val="clear" w:color="auto" w:fill="auto"/>
          </w:tcPr>
          <w:p w14:paraId="105C7249" w14:textId="77777777" w:rsidR="00E24C7A" w:rsidRPr="007B078C" w:rsidRDefault="00E24C7A" w:rsidP="00A43635">
            <w:pPr>
              <w:contextualSpacing/>
              <w:jc w:val="center"/>
              <w:rPr>
                <w:rFonts w:ascii="Arial" w:hAnsi="Arial" w:cs="Arial"/>
                <w:sz w:val="18"/>
                <w:szCs w:val="18"/>
              </w:rPr>
            </w:pPr>
            <w:r w:rsidRPr="007B078C">
              <w:rPr>
                <w:rFonts w:ascii="Arial" w:hAnsi="Arial" w:cs="Arial"/>
                <w:sz w:val="18"/>
                <w:szCs w:val="18"/>
              </w:rPr>
              <w:t>Регламент № 11, п. 7.10</w:t>
            </w:r>
          </w:p>
        </w:tc>
        <w:tc>
          <w:tcPr>
            <w:tcW w:w="1132" w:type="dxa"/>
            <w:shd w:val="clear" w:color="auto" w:fill="auto"/>
          </w:tcPr>
          <w:p w14:paraId="45991377" w14:textId="77777777" w:rsidR="00E24C7A" w:rsidRPr="007B078C" w:rsidRDefault="00E24C7A" w:rsidP="00A43635">
            <w:pPr>
              <w:contextualSpacing/>
              <w:jc w:val="center"/>
              <w:rPr>
                <w:rFonts w:ascii="Arial" w:hAnsi="Arial" w:cs="Arial"/>
                <w:sz w:val="18"/>
                <w:szCs w:val="18"/>
              </w:rPr>
            </w:pPr>
            <w:r w:rsidRPr="007B078C">
              <w:rPr>
                <w:rFonts w:ascii="Arial" w:hAnsi="Arial" w:cs="Arial"/>
                <w:sz w:val="18"/>
                <w:szCs w:val="18"/>
              </w:rPr>
              <w:t>txt</w:t>
            </w:r>
          </w:p>
        </w:tc>
        <w:tc>
          <w:tcPr>
            <w:tcW w:w="936" w:type="dxa"/>
            <w:shd w:val="clear" w:color="auto" w:fill="auto"/>
          </w:tcPr>
          <w:p w14:paraId="1C8C97DF" w14:textId="77777777" w:rsidR="00E24C7A" w:rsidRPr="007B078C" w:rsidRDefault="00E24C7A" w:rsidP="00A43635">
            <w:pPr>
              <w:contextualSpacing/>
              <w:jc w:val="center"/>
              <w:rPr>
                <w:rFonts w:ascii="Arial" w:hAnsi="Arial" w:cs="Arial"/>
                <w:sz w:val="18"/>
                <w:szCs w:val="18"/>
              </w:rPr>
            </w:pPr>
            <w:r w:rsidRPr="007B078C">
              <w:rPr>
                <w:rFonts w:ascii="Arial" w:hAnsi="Arial" w:cs="Arial"/>
                <w:sz w:val="18"/>
                <w:szCs w:val="18"/>
              </w:rPr>
              <w:t>АТС</w:t>
            </w:r>
          </w:p>
        </w:tc>
        <w:tc>
          <w:tcPr>
            <w:tcW w:w="872" w:type="dxa"/>
            <w:shd w:val="clear" w:color="auto" w:fill="auto"/>
          </w:tcPr>
          <w:p w14:paraId="58AAFF1B" w14:textId="77777777" w:rsidR="00E24C7A" w:rsidRPr="007B078C" w:rsidRDefault="00E24C7A" w:rsidP="00A43635">
            <w:pPr>
              <w:contextualSpacing/>
              <w:jc w:val="center"/>
              <w:rPr>
                <w:rFonts w:ascii="Arial" w:hAnsi="Arial" w:cs="Arial"/>
                <w:sz w:val="18"/>
                <w:szCs w:val="18"/>
              </w:rPr>
            </w:pPr>
            <w:r w:rsidRPr="007B078C">
              <w:rPr>
                <w:rFonts w:ascii="Arial" w:hAnsi="Arial" w:cs="Arial"/>
                <w:sz w:val="18"/>
                <w:szCs w:val="18"/>
              </w:rPr>
              <w:t>Участник</w:t>
            </w:r>
          </w:p>
        </w:tc>
        <w:tc>
          <w:tcPr>
            <w:tcW w:w="1043" w:type="dxa"/>
            <w:shd w:val="clear" w:color="auto" w:fill="auto"/>
          </w:tcPr>
          <w:p w14:paraId="33099862" w14:textId="77777777" w:rsidR="00E24C7A" w:rsidRPr="007B078C" w:rsidRDefault="00E24C7A" w:rsidP="00A43635">
            <w:pPr>
              <w:contextualSpacing/>
              <w:jc w:val="center"/>
              <w:rPr>
                <w:rFonts w:ascii="Arial" w:hAnsi="Arial" w:cs="Arial"/>
                <w:sz w:val="18"/>
                <w:szCs w:val="18"/>
              </w:rPr>
            </w:pPr>
            <w:r w:rsidRPr="007B078C">
              <w:rPr>
                <w:rFonts w:ascii="Arial" w:hAnsi="Arial" w:cs="Arial"/>
                <w:sz w:val="18"/>
                <w:szCs w:val="18"/>
              </w:rPr>
              <w:t>электронная почта (ASPMailer)</w:t>
            </w:r>
          </w:p>
        </w:tc>
        <w:tc>
          <w:tcPr>
            <w:tcW w:w="1219" w:type="dxa"/>
            <w:shd w:val="clear" w:color="auto" w:fill="auto"/>
          </w:tcPr>
          <w:p w14:paraId="1227BED2" w14:textId="77777777" w:rsidR="00E24C7A" w:rsidRPr="007B078C" w:rsidRDefault="00E24C7A" w:rsidP="00A43635">
            <w:pPr>
              <w:contextualSpacing/>
              <w:jc w:val="center"/>
              <w:rPr>
                <w:rFonts w:ascii="Arial" w:hAnsi="Arial" w:cs="Arial"/>
                <w:sz w:val="18"/>
                <w:szCs w:val="18"/>
              </w:rPr>
            </w:pPr>
            <w:r w:rsidRPr="007B078C">
              <w:rPr>
                <w:rFonts w:ascii="Arial" w:hAnsi="Arial" w:cs="Arial"/>
                <w:sz w:val="18"/>
                <w:szCs w:val="18"/>
              </w:rPr>
              <w:t>Нет</w:t>
            </w:r>
          </w:p>
        </w:tc>
        <w:tc>
          <w:tcPr>
            <w:tcW w:w="996" w:type="dxa"/>
            <w:shd w:val="clear" w:color="auto" w:fill="auto"/>
          </w:tcPr>
          <w:p w14:paraId="19D04240" w14:textId="77777777" w:rsidR="00E24C7A" w:rsidRPr="007B078C" w:rsidRDefault="00E24C7A" w:rsidP="00A43635">
            <w:pPr>
              <w:contextualSpacing/>
              <w:jc w:val="center"/>
              <w:rPr>
                <w:rFonts w:ascii="Arial" w:hAnsi="Arial" w:cs="Arial"/>
                <w:sz w:val="18"/>
                <w:szCs w:val="18"/>
              </w:rPr>
            </w:pPr>
            <w:r w:rsidRPr="007B078C">
              <w:rPr>
                <w:rFonts w:ascii="Arial" w:hAnsi="Arial" w:cs="Arial"/>
                <w:sz w:val="18"/>
                <w:szCs w:val="18"/>
              </w:rPr>
              <w:t>Нет</w:t>
            </w:r>
          </w:p>
        </w:tc>
        <w:tc>
          <w:tcPr>
            <w:tcW w:w="1890" w:type="dxa"/>
            <w:shd w:val="clear" w:color="auto" w:fill="auto"/>
          </w:tcPr>
          <w:p w14:paraId="658A616C" w14:textId="77777777" w:rsidR="00E24C7A" w:rsidRPr="007B078C" w:rsidRDefault="00E24C7A" w:rsidP="00A43635">
            <w:pPr>
              <w:contextualSpacing/>
              <w:jc w:val="center"/>
              <w:rPr>
                <w:rFonts w:ascii="Arial" w:hAnsi="Arial" w:cs="Arial"/>
                <w:sz w:val="18"/>
                <w:szCs w:val="18"/>
              </w:rPr>
            </w:pPr>
            <w:r w:rsidRPr="007B078C">
              <w:rPr>
                <w:rFonts w:ascii="Arial" w:hAnsi="Arial" w:cs="Arial"/>
                <w:sz w:val="18"/>
                <w:szCs w:val="18"/>
              </w:rPr>
              <w:t>1.3.6.1.4.1.18545.1.2.1.9</w:t>
            </w:r>
          </w:p>
        </w:tc>
        <w:tc>
          <w:tcPr>
            <w:tcW w:w="1062" w:type="dxa"/>
            <w:shd w:val="clear" w:color="auto" w:fill="auto"/>
          </w:tcPr>
          <w:p w14:paraId="08C853B7" w14:textId="77777777" w:rsidR="00E24C7A" w:rsidRPr="007B078C" w:rsidRDefault="00E24C7A" w:rsidP="00A43635">
            <w:pPr>
              <w:contextualSpacing/>
              <w:jc w:val="center"/>
              <w:rPr>
                <w:rFonts w:ascii="Arial" w:hAnsi="Arial" w:cs="Arial"/>
                <w:sz w:val="18"/>
                <w:szCs w:val="18"/>
              </w:rPr>
            </w:pPr>
            <w:r w:rsidRPr="007B078C">
              <w:rPr>
                <w:rFonts w:ascii="Arial" w:hAnsi="Arial" w:cs="Arial"/>
                <w:sz w:val="18"/>
                <w:szCs w:val="18"/>
              </w:rPr>
              <w:t>Блокнот</w:t>
            </w:r>
          </w:p>
        </w:tc>
        <w:tc>
          <w:tcPr>
            <w:tcW w:w="785" w:type="dxa"/>
            <w:shd w:val="clear" w:color="auto" w:fill="auto"/>
          </w:tcPr>
          <w:p w14:paraId="0840410A" w14:textId="77777777" w:rsidR="00E24C7A" w:rsidRPr="007B078C" w:rsidRDefault="00E24C7A" w:rsidP="00A43635">
            <w:pPr>
              <w:contextualSpacing/>
              <w:jc w:val="center"/>
              <w:rPr>
                <w:rFonts w:ascii="Arial" w:hAnsi="Arial" w:cs="Arial"/>
                <w:sz w:val="18"/>
                <w:szCs w:val="18"/>
              </w:rPr>
            </w:pPr>
            <w:r w:rsidRPr="007B078C">
              <w:rPr>
                <w:rFonts w:ascii="Arial" w:hAnsi="Arial" w:cs="Arial"/>
                <w:sz w:val="18"/>
                <w:szCs w:val="18"/>
              </w:rPr>
              <w:t>5 лет</w:t>
            </w:r>
          </w:p>
        </w:tc>
        <w:tc>
          <w:tcPr>
            <w:tcW w:w="821" w:type="dxa"/>
            <w:shd w:val="clear" w:color="auto" w:fill="auto"/>
          </w:tcPr>
          <w:p w14:paraId="240BE0E5" w14:textId="77777777" w:rsidR="00E24C7A" w:rsidRPr="007B078C" w:rsidRDefault="00E24C7A" w:rsidP="00A43635">
            <w:pPr>
              <w:contextualSpacing/>
              <w:jc w:val="center"/>
              <w:rPr>
                <w:rFonts w:ascii="Arial" w:hAnsi="Arial" w:cs="Arial"/>
                <w:sz w:val="18"/>
                <w:szCs w:val="18"/>
              </w:rPr>
            </w:pPr>
          </w:p>
        </w:tc>
      </w:tr>
      <w:tr w:rsidR="00E24C7A" w:rsidRPr="00381E65" w14:paraId="67B1B512" w14:textId="77777777" w:rsidTr="00A43635">
        <w:trPr>
          <w:trHeight w:val="815"/>
        </w:trPr>
        <w:tc>
          <w:tcPr>
            <w:tcW w:w="1099" w:type="dxa"/>
            <w:shd w:val="clear" w:color="auto" w:fill="auto"/>
          </w:tcPr>
          <w:p w14:paraId="2A40465E" w14:textId="77777777" w:rsidR="00E24C7A" w:rsidRPr="007B078C" w:rsidRDefault="00E24C7A" w:rsidP="00A43635">
            <w:pPr>
              <w:contextualSpacing/>
              <w:jc w:val="center"/>
              <w:rPr>
                <w:rFonts w:ascii="Arial" w:hAnsi="Arial" w:cs="Arial"/>
                <w:sz w:val="18"/>
                <w:szCs w:val="18"/>
              </w:rPr>
            </w:pPr>
            <w:r w:rsidRPr="007B078C">
              <w:rPr>
                <w:rFonts w:ascii="Arial" w:hAnsi="Arial" w:cs="Arial"/>
                <w:sz w:val="18"/>
                <w:szCs w:val="18"/>
              </w:rPr>
              <w:t>RECEIPT=51070=REJECTED</w:t>
            </w:r>
          </w:p>
        </w:tc>
        <w:tc>
          <w:tcPr>
            <w:tcW w:w="1698" w:type="dxa"/>
            <w:shd w:val="clear" w:color="auto" w:fill="auto"/>
          </w:tcPr>
          <w:p w14:paraId="7ED859A3" w14:textId="77777777" w:rsidR="00E24C7A" w:rsidRPr="007B078C" w:rsidRDefault="00E24C7A" w:rsidP="00A43635">
            <w:pPr>
              <w:contextualSpacing/>
              <w:jc w:val="center"/>
              <w:rPr>
                <w:rFonts w:ascii="Arial" w:hAnsi="Arial" w:cs="Arial"/>
                <w:sz w:val="18"/>
                <w:szCs w:val="18"/>
              </w:rPr>
            </w:pPr>
            <w:r w:rsidRPr="007B078C">
              <w:rPr>
                <w:rFonts w:ascii="Arial" w:hAnsi="Arial" w:cs="Arial"/>
                <w:sz w:val="18"/>
                <w:szCs w:val="18"/>
              </w:rPr>
              <w:t>Уведомление о приеме отчетных данных (формат 51070)</w:t>
            </w:r>
          </w:p>
        </w:tc>
        <w:tc>
          <w:tcPr>
            <w:tcW w:w="1927" w:type="dxa"/>
            <w:shd w:val="clear" w:color="auto" w:fill="auto"/>
          </w:tcPr>
          <w:p w14:paraId="4CF3CC15" w14:textId="77777777" w:rsidR="00E24C7A" w:rsidRPr="007B078C" w:rsidRDefault="00E24C7A" w:rsidP="00A43635">
            <w:pPr>
              <w:contextualSpacing/>
              <w:jc w:val="center"/>
              <w:rPr>
                <w:rFonts w:ascii="Arial" w:hAnsi="Arial" w:cs="Arial"/>
                <w:sz w:val="18"/>
                <w:szCs w:val="18"/>
              </w:rPr>
            </w:pPr>
            <w:r w:rsidRPr="007B078C">
              <w:rPr>
                <w:rFonts w:ascii="Arial" w:hAnsi="Arial" w:cs="Arial"/>
                <w:sz w:val="18"/>
                <w:szCs w:val="18"/>
              </w:rPr>
              <w:t>Регламент № 11, п. 7.10</w:t>
            </w:r>
          </w:p>
        </w:tc>
        <w:tc>
          <w:tcPr>
            <w:tcW w:w="1132" w:type="dxa"/>
            <w:shd w:val="clear" w:color="auto" w:fill="auto"/>
          </w:tcPr>
          <w:p w14:paraId="3FE923DC" w14:textId="77777777" w:rsidR="00E24C7A" w:rsidRPr="007B078C" w:rsidRDefault="00E24C7A" w:rsidP="00A43635">
            <w:pPr>
              <w:contextualSpacing/>
              <w:jc w:val="center"/>
              <w:rPr>
                <w:rFonts w:ascii="Arial" w:hAnsi="Arial" w:cs="Arial"/>
                <w:sz w:val="18"/>
                <w:szCs w:val="18"/>
              </w:rPr>
            </w:pPr>
            <w:r w:rsidRPr="007B078C">
              <w:rPr>
                <w:rFonts w:ascii="Arial" w:hAnsi="Arial" w:cs="Arial"/>
                <w:sz w:val="18"/>
                <w:szCs w:val="18"/>
              </w:rPr>
              <w:t>txt</w:t>
            </w:r>
          </w:p>
        </w:tc>
        <w:tc>
          <w:tcPr>
            <w:tcW w:w="936" w:type="dxa"/>
            <w:shd w:val="clear" w:color="auto" w:fill="auto"/>
          </w:tcPr>
          <w:p w14:paraId="6E118DC7" w14:textId="77777777" w:rsidR="00E24C7A" w:rsidRPr="007B078C" w:rsidRDefault="00E24C7A" w:rsidP="00A43635">
            <w:pPr>
              <w:contextualSpacing/>
              <w:jc w:val="center"/>
              <w:rPr>
                <w:rFonts w:ascii="Arial" w:hAnsi="Arial" w:cs="Arial"/>
                <w:sz w:val="18"/>
                <w:szCs w:val="18"/>
              </w:rPr>
            </w:pPr>
            <w:r w:rsidRPr="007B078C">
              <w:rPr>
                <w:rFonts w:ascii="Arial" w:hAnsi="Arial" w:cs="Arial"/>
                <w:sz w:val="18"/>
                <w:szCs w:val="18"/>
              </w:rPr>
              <w:t>АТС</w:t>
            </w:r>
          </w:p>
        </w:tc>
        <w:tc>
          <w:tcPr>
            <w:tcW w:w="872" w:type="dxa"/>
            <w:shd w:val="clear" w:color="auto" w:fill="auto"/>
          </w:tcPr>
          <w:p w14:paraId="327909D9" w14:textId="77777777" w:rsidR="00E24C7A" w:rsidRPr="007B078C" w:rsidRDefault="00E24C7A" w:rsidP="00A43635">
            <w:pPr>
              <w:contextualSpacing/>
              <w:jc w:val="center"/>
              <w:rPr>
                <w:rFonts w:ascii="Arial" w:hAnsi="Arial" w:cs="Arial"/>
                <w:sz w:val="18"/>
                <w:szCs w:val="18"/>
              </w:rPr>
            </w:pPr>
            <w:r w:rsidRPr="007B078C">
              <w:rPr>
                <w:rFonts w:ascii="Arial" w:hAnsi="Arial" w:cs="Arial"/>
                <w:sz w:val="18"/>
                <w:szCs w:val="18"/>
              </w:rPr>
              <w:t>Участник</w:t>
            </w:r>
          </w:p>
        </w:tc>
        <w:tc>
          <w:tcPr>
            <w:tcW w:w="1043" w:type="dxa"/>
            <w:shd w:val="clear" w:color="auto" w:fill="auto"/>
          </w:tcPr>
          <w:p w14:paraId="687B9BBA" w14:textId="77777777" w:rsidR="00E24C7A" w:rsidRPr="007B078C" w:rsidRDefault="00E24C7A" w:rsidP="00A43635">
            <w:pPr>
              <w:contextualSpacing/>
              <w:jc w:val="center"/>
              <w:rPr>
                <w:rFonts w:ascii="Arial" w:hAnsi="Arial" w:cs="Arial"/>
                <w:sz w:val="18"/>
                <w:szCs w:val="18"/>
              </w:rPr>
            </w:pPr>
            <w:r w:rsidRPr="007B078C">
              <w:rPr>
                <w:rFonts w:ascii="Arial" w:hAnsi="Arial" w:cs="Arial"/>
                <w:sz w:val="18"/>
                <w:szCs w:val="18"/>
              </w:rPr>
              <w:t>электронная почта (ASPMailer)</w:t>
            </w:r>
          </w:p>
        </w:tc>
        <w:tc>
          <w:tcPr>
            <w:tcW w:w="1219" w:type="dxa"/>
            <w:shd w:val="clear" w:color="auto" w:fill="auto"/>
          </w:tcPr>
          <w:p w14:paraId="69121CDD" w14:textId="77777777" w:rsidR="00E24C7A" w:rsidRPr="007B078C" w:rsidRDefault="00E24C7A" w:rsidP="00A43635">
            <w:pPr>
              <w:contextualSpacing/>
              <w:jc w:val="center"/>
              <w:rPr>
                <w:rFonts w:ascii="Arial" w:hAnsi="Arial" w:cs="Arial"/>
                <w:sz w:val="18"/>
                <w:szCs w:val="18"/>
              </w:rPr>
            </w:pPr>
            <w:r w:rsidRPr="007B078C">
              <w:rPr>
                <w:rFonts w:ascii="Arial" w:hAnsi="Arial" w:cs="Arial"/>
                <w:sz w:val="18"/>
                <w:szCs w:val="18"/>
              </w:rPr>
              <w:t>Нет</w:t>
            </w:r>
          </w:p>
        </w:tc>
        <w:tc>
          <w:tcPr>
            <w:tcW w:w="996" w:type="dxa"/>
            <w:shd w:val="clear" w:color="auto" w:fill="auto"/>
          </w:tcPr>
          <w:p w14:paraId="76EA3282" w14:textId="77777777" w:rsidR="00E24C7A" w:rsidRPr="007B078C" w:rsidRDefault="00E24C7A" w:rsidP="00A43635">
            <w:pPr>
              <w:contextualSpacing/>
              <w:jc w:val="center"/>
              <w:rPr>
                <w:rFonts w:ascii="Arial" w:hAnsi="Arial" w:cs="Arial"/>
                <w:sz w:val="18"/>
                <w:szCs w:val="18"/>
              </w:rPr>
            </w:pPr>
            <w:r w:rsidRPr="007B078C">
              <w:rPr>
                <w:rFonts w:ascii="Arial" w:hAnsi="Arial" w:cs="Arial"/>
                <w:sz w:val="18"/>
                <w:szCs w:val="18"/>
              </w:rPr>
              <w:t>Нет</w:t>
            </w:r>
          </w:p>
        </w:tc>
        <w:tc>
          <w:tcPr>
            <w:tcW w:w="1890" w:type="dxa"/>
            <w:shd w:val="clear" w:color="auto" w:fill="auto"/>
          </w:tcPr>
          <w:p w14:paraId="11A09878" w14:textId="77777777" w:rsidR="00E24C7A" w:rsidRPr="007B078C" w:rsidRDefault="00E24C7A" w:rsidP="00A43635">
            <w:pPr>
              <w:contextualSpacing/>
              <w:jc w:val="center"/>
              <w:rPr>
                <w:rFonts w:ascii="Arial" w:hAnsi="Arial" w:cs="Arial"/>
                <w:sz w:val="18"/>
                <w:szCs w:val="18"/>
              </w:rPr>
            </w:pPr>
            <w:r w:rsidRPr="007B078C">
              <w:rPr>
                <w:rFonts w:ascii="Arial" w:hAnsi="Arial" w:cs="Arial"/>
                <w:sz w:val="18"/>
                <w:szCs w:val="18"/>
              </w:rPr>
              <w:t>1.3.6.1.4.1.18545.1.2.1.9</w:t>
            </w:r>
          </w:p>
        </w:tc>
        <w:tc>
          <w:tcPr>
            <w:tcW w:w="1062" w:type="dxa"/>
            <w:shd w:val="clear" w:color="auto" w:fill="auto"/>
          </w:tcPr>
          <w:p w14:paraId="5905F528" w14:textId="77777777" w:rsidR="00E24C7A" w:rsidRPr="007B078C" w:rsidRDefault="00E24C7A" w:rsidP="00A43635">
            <w:pPr>
              <w:contextualSpacing/>
              <w:jc w:val="center"/>
              <w:rPr>
                <w:rFonts w:ascii="Arial" w:hAnsi="Arial" w:cs="Arial"/>
                <w:sz w:val="18"/>
                <w:szCs w:val="18"/>
              </w:rPr>
            </w:pPr>
            <w:r w:rsidRPr="007B078C">
              <w:rPr>
                <w:rFonts w:ascii="Arial" w:hAnsi="Arial" w:cs="Arial"/>
                <w:sz w:val="18"/>
                <w:szCs w:val="18"/>
              </w:rPr>
              <w:t>Блокнот</w:t>
            </w:r>
          </w:p>
        </w:tc>
        <w:tc>
          <w:tcPr>
            <w:tcW w:w="785" w:type="dxa"/>
            <w:shd w:val="clear" w:color="auto" w:fill="auto"/>
          </w:tcPr>
          <w:p w14:paraId="549AD6E6" w14:textId="77777777" w:rsidR="00E24C7A" w:rsidRPr="007B078C" w:rsidRDefault="00E24C7A" w:rsidP="00A43635">
            <w:pPr>
              <w:contextualSpacing/>
              <w:jc w:val="center"/>
              <w:rPr>
                <w:rFonts w:ascii="Arial" w:hAnsi="Arial" w:cs="Arial"/>
                <w:sz w:val="18"/>
                <w:szCs w:val="18"/>
              </w:rPr>
            </w:pPr>
            <w:r w:rsidRPr="007B078C">
              <w:rPr>
                <w:rFonts w:ascii="Arial" w:hAnsi="Arial" w:cs="Arial"/>
                <w:sz w:val="18"/>
                <w:szCs w:val="18"/>
              </w:rPr>
              <w:t>5 лет</w:t>
            </w:r>
          </w:p>
        </w:tc>
        <w:tc>
          <w:tcPr>
            <w:tcW w:w="821" w:type="dxa"/>
            <w:shd w:val="clear" w:color="auto" w:fill="auto"/>
          </w:tcPr>
          <w:p w14:paraId="53330773" w14:textId="77777777" w:rsidR="00E24C7A" w:rsidRPr="007B078C" w:rsidRDefault="00E24C7A" w:rsidP="00A43635">
            <w:pPr>
              <w:contextualSpacing/>
              <w:jc w:val="center"/>
              <w:rPr>
                <w:rFonts w:ascii="Arial" w:hAnsi="Arial" w:cs="Arial"/>
                <w:sz w:val="18"/>
                <w:szCs w:val="18"/>
              </w:rPr>
            </w:pPr>
          </w:p>
        </w:tc>
      </w:tr>
    </w:tbl>
    <w:p w14:paraId="277C5BC4" w14:textId="77777777" w:rsidR="00E24C7A" w:rsidRPr="00866F59" w:rsidRDefault="00E24C7A" w:rsidP="00E31AE6">
      <w:pPr>
        <w:contextualSpacing/>
        <w:rPr>
          <w:rFonts w:ascii="Garamond" w:eastAsia="SimSun" w:hAnsi="Garamond"/>
          <w:b/>
          <w:sz w:val="22"/>
          <w:szCs w:val="22"/>
        </w:rPr>
      </w:pPr>
    </w:p>
    <w:p w14:paraId="68D93B14" w14:textId="77777777" w:rsidR="008F0710" w:rsidRDefault="008F0710" w:rsidP="008F0710">
      <w:pPr>
        <w:widowControl w:val="0"/>
        <w:suppressAutoHyphens w:val="0"/>
        <w:adjustRightInd w:val="0"/>
        <w:jc w:val="both"/>
        <w:textAlignment w:val="baseline"/>
        <w:rPr>
          <w:rFonts w:ascii="Garamond" w:eastAsia="Times New Roman" w:hAnsi="Garamond" w:cs="Times New Roman"/>
          <w:b/>
          <w:sz w:val="24"/>
          <w:szCs w:val="24"/>
        </w:rPr>
      </w:pPr>
      <w:r>
        <w:rPr>
          <w:rFonts w:ascii="Garamond" w:hAnsi="Garamond"/>
          <w:sz w:val="26"/>
          <w:szCs w:val="26"/>
        </w:rPr>
        <w:br w:type="page"/>
      </w:r>
      <w:r>
        <w:rPr>
          <w:rFonts w:ascii="Garamond" w:eastAsia="Times New Roman" w:hAnsi="Garamond" w:cs="Times New Roman"/>
          <w:b/>
          <w:sz w:val="24"/>
          <w:szCs w:val="24"/>
        </w:rPr>
        <w:lastRenderedPageBreak/>
        <w:t xml:space="preserve">Предлагаемая редакция приложения 2 к Правилам ЭДО СЭД КО. Перечень видов ЭД, обращающихся в системе ЭДО </w:t>
      </w:r>
    </w:p>
    <w:p w14:paraId="70BC560A" w14:textId="77777777" w:rsidR="005518CC" w:rsidRDefault="005518CC" w:rsidP="008F0710">
      <w:pPr>
        <w:widowControl w:val="0"/>
        <w:suppressAutoHyphens w:val="0"/>
        <w:adjustRightInd w:val="0"/>
        <w:jc w:val="both"/>
        <w:textAlignment w:val="baseline"/>
        <w:rPr>
          <w:rFonts w:ascii="Garamond" w:eastAsia="Times New Roman" w:hAnsi="Garamond" w:cs="Times New Roman"/>
          <w:b/>
          <w:sz w:val="24"/>
          <w:szCs w:val="24"/>
        </w:rPr>
      </w:pPr>
    </w:p>
    <w:tbl>
      <w:tblPr>
        <w:tblW w:w="511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67"/>
        <w:gridCol w:w="1994"/>
        <w:gridCol w:w="1513"/>
        <w:gridCol w:w="1099"/>
        <w:gridCol w:w="910"/>
        <w:gridCol w:w="848"/>
        <w:gridCol w:w="1013"/>
        <w:gridCol w:w="1182"/>
        <w:gridCol w:w="968"/>
        <w:gridCol w:w="1828"/>
        <w:gridCol w:w="1031"/>
        <w:gridCol w:w="764"/>
        <w:gridCol w:w="799"/>
      </w:tblGrid>
      <w:tr w:rsidR="005518CC" w:rsidRPr="00911253" w14:paraId="2D5E08D1" w14:textId="77777777" w:rsidTr="00A43635">
        <w:trPr>
          <w:trHeight w:val="1290"/>
        </w:trPr>
        <w:tc>
          <w:tcPr>
            <w:tcW w:w="1099" w:type="dxa"/>
            <w:shd w:val="clear" w:color="auto" w:fill="D0CECE"/>
            <w:vAlign w:val="center"/>
            <w:hideMark/>
          </w:tcPr>
          <w:p w14:paraId="043DAD6E" w14:textId="77777777" w:rsidR="005518CC" w:rsidRPr="00911253" w:rsidRDefault="005518CC" w:rsidP="00A43635">
            <w:pPr>
              <w:contextualSpacing/>
              <w:jc w:val="center"/>
              <w:rPr>
                <w:rFonts w:ascii="Arial" w:eastAsia="Batang" w:hAnsi="Arial" w:cs="Arial"/>
                <w:sz w:val="18"/>
                <w:szCs w:val="18"/>
                <w:lang w:eastAsia="ko-KR"/>
              </w:rPr>
            </w:pPr>
            <w:r w:rsidRPr="00911253">
              <w:rPr>
                <w:rFonts w:ascii="Arial" w:hAnsi="Arial" w:cs="Arial"/>
                <w:color w:val="000000"/>
                <w:sz w:val="18"/>
                <w:szCs w:val="18"/>
              </w:rPr>
              <w:t>Код формы</w:t>
            </w:r>
          </w:p>
        </w:tc>
        <w:tc>
          <w:tcPr>
            <w:tcW w:w="2062" w:type="dxa"/>
            <w:shd w:val="clear" w:color="auto" w:fill="D0CECE"/>
            <w:vAlign w:val="center"/>
            <w:hideMark/>
          </w:tcPr>
          <w:p w14:paraId="4D3308BC" w14:textId="77777777" w:rsidR="005518CC" w:rsidRPr="00911253" w:rsidRDefault="005518CC" w:rsidP="00A43635">
            <w:pPr>
              <w:contextualSpacing/>
              <w:jc w:val="center"/>
              <w:rPr>
                <w:rFonts w:ascii="Arial" w:eastAsia="Batang" w:hAnsi="Arial" w:cs="Arial"/>
                <w:sz w:val="18"/>
                <w:szCs w:val="18"/>
                <w:lang w:eastAsia="ko-KR"/>
              </w:rPr>
            </w:pPr>
            <w:r w:rsidRPr="00911253">
              <w:rPr>
                <w:rFonts w:ascii="Arial" w:hAnsi="Arial" w:cs="Arial"/>
                <w:color w:val="000000"/>
                <w:sz w:val="18"/>
                <w:szCs w:val="18"/>
              </w:rPr>
              <w:t>Наименование формы</w:t>
            </w:r>
          </w:p>
        </w:tc>
        <w:tc>
          <w:tcPr>
            <w:tcW w:w="1563" w:type="dxa"/>
            <w:shd w:val="clear" w:color="auto" w:fill="D0CECE"/>
            <w:vAlign w:val="center"/>
            <w:hideMark/>
          </w:tcPr>
          <w:p w14:paraId="39E301D8" w14:textId="77777777" w:rsidR="005518CC" w:rsidRPr="00911253" w:rsidRDefault="005518CC" w:rsidP="00A43635">
            <w:pPr>
              <w:contextualSpacing/>
              <w:jc w:val="center"/>
              <w:rPr>
                <w:rFonts w:ascii="Arial" w:eastAsia="Batang" w:hAnsi="Arial" w:cs="Arial"/>
                <w:sz w:val="18"/>
                <w:szCs w:val="18"/>
                <w:lang w:eastAsia="ko-KR"/>
              </w:rPr>
            </w:pPr>
            <w:r w:rsidRPr="00911253">
              <w:rPr>
                <w:rFonts w:ascii="Arial" w:hAnsi="Arial" w:cs="Arial"/>
                <w:color w:val="000000"/>
                <w:sz w:val="18"/>
                <w:szCs w:val="18"/>
              </w:rPr>
              <w:t>Основание предоставления</w:t>
            </w:r>
          </w:p>
        </w:tc>
        <w:tc>
          <w:tcPr>
            <w:tcW w:w="1132" w:type="dxa"/>
            <w:shd w:val="clear" w:color="auto" w:fill="D0CECE"/>
            <w:vAlign w:val="center"/>
            <w:hideMark/>
          </w:tcPr>
          <w:p w14:paraId="54CA845F" w14:textId="77777777" w:rsidR="005518CC" w:rsidRPr="00911253" w:rsidRDefault="005518CC" w:rsidP="00A43635">
            <w:pPr>
              <w:contextualSpacing/>
              <w:jc w:val="center"/>
              <w:rPr>
                <w:rFonts w:ascii="Arial" w:eastAsia="Batang" w:hAnsi="Arial" w:cs="Arial"/>
                <w:sz w:val="18"/>
                <w:szCs w:val="18"/>
                <w:lang w:eastAsia="ko-KR"/>
              </w:rPr>
            </w:pPr>
            <w:r w:rsidRPr="00911253">
              <w:rPr>
                <w:rFonts w:ascii="Arial" w:hAnsi="Arial" w:cs="Arial"/>
                <w:color w:val="000000"/>
                <w:sz w:val="18"/>
                <w:szCs w:val="18"/>
              </w:rPr>
              <w:t>Формат содержательной части</w:t>
            </w:r>
          </w:p>
        </w:tc>
        <w:tc>
          <w:tcPr>
            <w:tcW w:w="936" w:type="dxa"/>
            <w:shd w:val="clear" w:color="auto" w:fill="D0CECE"/>
            <w:vAlign w:val="center"/>
            <w:hideMark/>
          </w:tcPr>
          <w:p w14:paraId="78452698" w14:textId="77777777" w:rsidR="005518CC" w:rsidRPr="00911253" w:rsidRDefault="005518CC" w:rsidP="00A43635">
            <w:pPr>
              <w:contextualSpacing/>
              <w:jc w:val="center"/>
              <w:rPr>
                <w:rFonts w:ascii="Arial" w:eastAsia="Batang" w:hAnsi="Arial" w:cs="Arial"/>
                <w:sz w:val="18"/>
                <w:szCs w:val="18"/>
                <w:lang w:eastAsia="ko-KR"/>
              </w:rPr>
            </w:pPr>
            <w:r w:rsidRPr="00911253">
              <w:rPr>
                <w:rFonts w:ascii="Arial" w:hAnsi="Arial" w:cs="Arial"/>
                <w:color w:val="000000"/>
                <w:sz w:val="18"/>
                <w:szCs w:val="18"/>
              </w:rPr>
              <w:t>Отправитель</w:t>
            </w:r>
          </w:p>
        </w:tc>
        <w:tc>
          <w:tcPr>
            <w:tcW w:w="872" w:type="dxa"/>
            <w:shd w:val="clear" w:color="auto" w:fill="D0CECE"/>
            <w:vAlign w:val="center"/>
            <w:hideMark/>
          </w:tcPr>
          <w:p w14:paraId="0FE69F9D" w14:textId="77777777" w:rsidR="005518CC" w:rsidRPr="00911253" w:rsidRDefault="005518CC" w:rsidP="00A43635">
            <w:pPr>
              <w:contextualSpacing/>
              <w:jc w:val="center"/>
              <w:rPr>
                <w:rFonts w:ascii="Arial" w:eastAsia="Batang" w:hAnsi="Arial" w:cs="Arial"/>
                <w:sz w:val="18"/>
                <w:szCs w:val="18"/>
                <w:lang w:eastAsia="ko-KR"/>
              </w:rPr>
            </w:pPr>
            <w:r w:rsidRPr="00911253">
              <w:rPr>
                <w:rFonts w:ascii="Arial" w:hAnsi="Arial" w:cs="Arial"/>
                <w:color w:val="000000"/>
                <w:sz w:val="18"/>
                <w:szCs w:val="18"/>
              </w:rPr>
              <w:t>Получатель</w:t>
            </w:r>
          </w:p>
        </w:tc>
        <w:tc>
          <w:tcPr>
            <w:tcW w:w="1043" w:type="dxa"/>
            <w:shd w:val="clear" w:color="auto" w:fill="D0CECE"/>
            <w:vAlign w:val="center"/>
            <w:hideMark/>
          </w:tcPr>
          <w:p w14:paraId="1D861065" w14:textId="77777777" w:rsidR="005518CC" w:rsidRPr="00911253" w:rsidRDefault="005518CC" w:rsidP="00A43635">
            <w:pPr>
              <w:contextualSpacing/>
              <w:jc w:val="center"/>
              <w:rPr>
                <w:rFonts w:ascii="Arial" w:eastAsia="Batang" w:hAnsi="Arial" w:cs="Arial"/>
                <w:sz w:val="18"/>
                <w:szCs w:val="18"/>
                <w:lang w:eastAsia="ko-KR"/>
              </w:rPr>
            </w:pPr>
            <w:r w:rsidRPr="00911253">
              <w:rPr>
                <w:rFonts w:ascii="Arial" w:hAnsi="Arial" w:cs="Arial"/>
                <w:color w:val="000000"/>
                <w:sz w:val="18"/>
                <w:szCs w:val="18"/>
              </w:rPr>
              <w:t>Способ доставки</w:t>
            </w:r>
          </w:p>
        </w:tc>
        <w:tc>
          <w:tcPr>
            <w:tcW w:w="1219" w:type="dxa"/>
            <w:shd w:val="clear" w:color="auto" w:fill="D0CECE"/>
            <w:vAlign w:val="center"/>
            <w:hideMark/>
          </w:tcPr>
          <w:p w14:paraId="3B2FBBAC" w14:textId="77777777" w:rsidR="005518CC" w:rsidRPr="00911253" w:rsidRDefault="005518CC" w:rsidP="00A43635">
            <w:pPr>
              <w:contextualSpacing/>
              <w:jc w:val="center"/>
              <w:rPr>
                <w:rFonts w:ascii="Arial" w:eastAsia="Batang" w:hAnsi="Arial" w:cs="Arial"/>
                <w:sz w:val="18"/>
                <w:szCs w:val="18"/>
                <w:lang w:eastAsia="ko-KR"/>
              </w:rPr>
            </w:pPr>
            <w:r w:rsidRPr="00911253">
              <w:rPr>
                <w:rFonts w:ascii="Arial" w:hAnsi="Arial" w:cs="Arial"/>
                <w:color w:val="000000"/>
                <w:sz w:val="18"/>
                <w:szCs w:val="18"/>
              </w:rPr>
              <w:t>Подтверждение получения документом-квитанцией</w:t>
            </w:r>
          </w:p>
        </w:tc>
        <w:tc>
          <w:tcPr>
            <w:tcW w:w="996" w:type="dxa"/>
            <w:shd w:val="clear" w:color="auto" w:fill="D0CECE"/>
            <w:vAlign w:val="center"/>
            <w:hideMark/>
          </w:tcPr>
          <w:p w14:paraId="313F8C2D" w14:textId="77777777" w:rsidR="005518CC" w:rsidRPr="00911253" w:rsidRDefault="005518CC" w:rsidP="00A43635">
            <w:pPr>
              <w:contextualSpacing/>
              <w:jc w:val="center"/>
              <w:rPr>
                <w:rFonts w:ascii="Arial" w:eastAsia="Batang" w:hAnsi="Arial" w:cs="Arial"/>
                <w:sz w:val="18"/>
                <w:szCs w:val="18"/>
                <w:lang w:eastAsia="ko-KR"/>
              </w:rPr>
            </w:pPr>
            <w:r w:rsidRPr="00911253">
              <w:rPr>
                <w:rFonts w:ascii="Arial" w:hAnsi="Arial" w:cs="Arial"/>
                <w:color w:val="000000"/>
                <w:sz w:val="18"/>
                <w:szCs w:val="18"/>
              </w:rPr>
              <w:t>Необходимость шифрования</w:t>
            </w:r>
          </w:p>
        </w:tc>
        <w:tc>
          <w:tcPr>
            <w:tcW w:w="1890" w:type="dxa"/>
            <w:shd w:val="clear" w:color="auto" w:fill="D0CECE"/>
            <w:vAlign w:val="center"/>
            <w:hideMark/>
          </w:tcPr>
          <w:p w14:paraId="6DF17A41" w14:textId="77777777" w:rsidR="005518CC" w:rsidRPr="00911253" w:rsidRDefault="005518CC" w:rsidP="00A43635">
            <w:pPr>
              <w:ind w:left="-68" w:right="-104"/>
              <w:contextualSpacing/>
              <w:jc w:val="center"/>
              <w:rPr>
                <w:rFonts w:ascii="Arial" w:eastAsia="Batang" w:hAnsi="Arial" w:cs="Arial"/>
                <w:sz w:val="18"/>
                <w:szCs w:val="18"/>
                <w:lang w:eastAsia="ko-KR"/>
              </w:rPr>
            </w:pPr>
            <w:r w:rsidRPr="00911253">
              <w:rPr>
                <w:rFonts w:ascii="Arial" w:hAnsi="Arial" w:cs="Arial"/>
                <w:color w:val="000000"/>
                <w:sz w:val="18"/>
                <w:szCs w:val="18"/>
              </w:rPr>
              <w:t>Идентификатор (OID), определяющий требуемые для подписания ЭД полномочия представителя участника ЭДО</w:t>
            </w:r>
          </w:p>
        </w:tc>
        <w:tc>
          <w:tcPr>
            <w:tcW w:w="1062" w:type="dxa"/>
            <w:shd w:val="clear" w:color="auto" w:fill="D0CECE"/>
            <w:vAlign w:val="center"/>
            <w:hideMark/>
          </w:tcPr>
          <w:p w14:paraId="63EBFCA2" w14:textId="77777777" w:rsidR="005518CC" w:rsidRPr="00911253" w:rsidRDefault="005518CC" w:rsidP="00A43635">
            <w:pPr>
              <w:contextualSpacing/>
              <w:jc w:val="center"/>
              <w:rPr>
                <w:rFonts w:ascii="Arial" w:eastAsia="Batang" w:hAnsi="Arial" w:cs="Arial"/>
                <w:sz w:val="18"/>
                <w:szCs w:val="18"/>
                <w:lang w:eastAsia="ko-KR"/>
              </w:rPr>
            </w:pPr>
            <w:r w:rsidRPr="00911253">
              <w:rPr>
                <w:rFonts w:ascii="Arial" w:hAnsi="Arial" w:cs="Arial"/>
                <w:color w:val="000000"/>
                <w:sz w:val="18"/>
                <w:szCs w:val="18"/>
              </w:rPr>
              <w:t>ПО для отображения и изготовления бумажных копий</w:t>
            </w:r>
          </w:p>
        </w:tc>
        <w:tc>
          <w:tcPr>
            <w:tcW w:w="785" w:type="dxa"/>
            <w:shd w:val="clear" w:color="auto" w:fill="D0CECE"/>
            <w:vAlign w:val="center"/>
            <w:hideMark/>
          </w:tcPr>
          <w:p w14:paraId="6F47B7C7" w14:textId="77777777" w:rsidR="005518CC" w:rsidRPr="00911253" w:rsidRDefault="005518CC" w:rsidP="00A43635">
            <w:pPr>
              <w:contextualSpacing/>
              <w:jc w:val="center"/>
              <w:rPr>
                <w:rFonts w:ascii="Arial" w:eastAsia="Batang" w:hAnsi="Arial" w:cs="Arial"/>
                <w:sz w:val="18"/>
                <w:szCs w:val="18"/>
                <w:lang w:eastAsia="ko-KR"/>
              </w:rPr>
            </w:pPr>
            <w:r w:rsidRPr="00911253">
              <w:rPr>
                <w:rFonts w:ascii="Arial" w:hAnsi="Arial" w:cs="Arial"/>
                <w:color w:val="000000"/>
                <w:sz w:val="18"/>
                <w:szCs w:val="18"/>
              </w:rPr>
              <w:t>Срок хранения в архиве</w:t>
            </w:r>
          </w:p>
        </w:tc>
        <w:tc>
          <w:tcPr>
            <w:tcW w:w="821" w:type="dxa"/>
            <w:shd w:val="clear" w:color="auto" w:fill="D0CECE"/>
            <w:vAlign w:val="center"/>
            <w:hideMark/>
          </w:tcPr>
          <w:p w14:paraId="2D6240D5" w14:textId="77777777" w:rsidR="005518CC" w:rsidRPr="00911253" w:rsidRDefault="005518CC" w:rsidP="00A43635">
            <w:pPr>
              <w:contextualSpacing/>
              <w:jc w:val="center"/>
              <w:rPr>
                <w:rFonts w:ascii="Arial" w:eastAsia="Batang" w:hAnsi="Arial" w:cs="Arial"/>
                <w:sz w:val="18"/>
                <w:szCs w:val="18"/>
                <w:lang w:eastAsia="ko-KR"/>
              </w:rPr>
            </w:pPr>
            <w:r w:rsidRPr="00911253">
              <w:rPr>
                <w:rFonts w:ascii="Arial" w:hAnsi="Arial" w:cs="Arial"/>
                <w:color w:val="000000"/>
                <w:sz w:val="18"/>
                <w:szCs w:val="18"/>
              </w:rPr>
              <w:t>Срок доступа через интерфейс сайта</w:t>
            </w:r>
          </w:p>
        </w:tc>
      </w:tr>
      <w:tr w:rsidR="005518CC" w:rsidRPr="00204458" w14:paraId="22DCF56F" w14:textId="77777777" w:rsidTr="00A43635">
        <w:trPr>
          <w:trHeight w:val="64"/>
        </w:trPr>
        <w:tc>
          <w:tcPr>
            <w:tcW w:w="1099" w:type="dxa"/>
            <w:shd w:val="clear" w:color="auto" w:fill="auto"/>
          </w:tcPr>
          <w:p w14:paraId="0B8500D0" w14:textId="77777777" w:rsidR="005518CC" w:rsidRPr="00204458" w:rsidRDefault="005518CC" w:rsidP="00A43635">
            <w:pPr>
              <w:contextualSpacing/>
              <w:jc w:val="center"/>
              <w:rPr>
                <w:rFonts w:ascii="Arial" w:hAnsi="Arial" w:cs="Arial"/>
                <w:color w:val="000000"/>
                <w:sz w:val="18"/>
                <w:szCs w:val="18"/>
              </w:rPr>
            </w:pPr>
            <w:r w:rsidRPr="007B078C">
              <w:rPr>
                <w:rFonts w:ascii="Arial" w:hAnsi="Arial" w:cs="Arial"/>
                <w:color w:val="000000"/>
                <w:sz w:val="18"/>
                <w:szCs w:val="18"/>
              </w:rPr>
              <w:t>80000</w:t>
            </w:r>
          </w:p>
        </w:tc>
        <w:tc>
          <w:tcPr>
            <w:tcW w:w="2062" w:type="dxa"/>
            <w:shd w:val="clear" w:color="auto" w:fill="auto"/>
          </w:tcPr>
          <w:p w14:paraId="087CD899" w14:textId="77777777" w:rsidR="005518CC" w:rsidRPr="00204458" w:rsidRDefault="005518CC" w:rsidP="00A43635">
            <w:pPr>
              <w:contextualSpacing/>
              <w:jc w:val="center"/>
              <w:rPr>
                <w:rFonts w:ascii="Arial" w:hAnsi="Arial" w:cs="Arial"/>
                <w:color w:val="000000"/>
                <w:sz w:val="18"/>
                <w:szCs w:val="18"/>
              </w:rPr>
            </w:pPr>
            <w:r w:rsidRPr="007B078C">
              <w:rPr>
                <w:rFonts w:ascii="Arial" w:hAnsi="Arial" w:cs="Arial"/>
                <w:color w:val="000000"/>
                <w:sz w:val="18"/>
                <w:szCs w:val="18"/>
              </w:rPr>
              <w:t>Коды по точкам измерений, точкам поставки, группам точек поставки и сальдо перетоков (формат 80000)</w:t>
            </w:r>
          </w:p>
        </w:tc>
        <w:tc>
          <w:tcPr>
            <w:tcW w:w="1563" w:type="dxa"/>
            <w:shd w:val="clear" w:color="auto" w:fill="auto"/>
          </w:tcPr>
          <w:p w14:paraId="388E1F6D" w14:textId="77777777" w:rsidR="005518CC" w:rsidRPr="00204458" w:rsidRDefault="005518CC" w:rsidP="00A43635">
            <w:pPr>
              <w:contextualSpacing/>
              <w:jc w:val="center"/>
              <w:rPr>
                <w:rFonts w:ascii="Arial" w:hAnsi="Arial" w:cs="Arial"/>
                <w:color w:val="000000"/>
                <w:sz w:val="18"/>
                <w:szCs w:val="18"/>
              </w:rPr>
            </w:pPr>
            <w:r w:rsidRPr="007B078C">
              <w:rPr>
                <w:rFonts w:ascii="Arial" w:hAnsi="Arial" w:cs="Arial"/>
                <w:color w:val="000000"/>
                <w:sz w:val="18"/>
                <w:szCs w:val="18"/>
              </w:rPr>
              <w:t>Регламент № 11.1.1, приложение 14</w:t>
            </w:r>
          </w:p>
        </w:tc>
        <w:tc>
          <w:tcPr>
            <w:tcW w:w="1132" w:type="dxa"/>
            <w:shd w:val="clear" w:color="auto" w:fill="auto"/>
          </w:tcPr>
          <w:p w14:paraId="3F587B21" w14:textId="77777777" w:rsidR="005518CC" w:rsidRPr="00204458" w:rsidRDefault="005518CC" w:rsidP="00A43635">
            <w:pPr>
              <w:contextualSpacing/>
              <w:jc w:val="center"/>
              <w:rPr>
                <w:rFonts w:ascii="Arial" w:hAnsi="Arial" w:cs="Arial"/>
                <w:color w:val="000000"/>
                <w:sz w:val="18"/>
                <w:szCs w:val="18"/>
              </w:rPr>
            </w:pPr>
            <w:r w:rsidRPr="007B078C">
              <w:rPr>
                <w:rFonts w:ascii="Arial" w:hAnsi="Arial" w:cs="Arial"/>
                <w:color w:val="000000"/>
                <w:sz w:val="18"/>
                <w:szCs w:val="18"/>
              </w:rPr>
              <w:t>xml</w:t>
            </w:r>
          </w:p>
        </w:tc>
        <w:tc>
          <w:tcPr>
            <w:tcW w:w="936" w:type="dxa"/>
            <w:shd w:val="clear" w:color="auto" w:fill="auto"/>
          </w:tcPr>
          <w:p w14:paraId="4078755C" w14:textId="77777777" w:rsidR="005518CC" w:rsidRPr="00204458" w:rsidRDefault="005518CC" w:rsidP="00A43635">
            <w:pPr>
              <w:contextualSpacing/>
              <w:jc w:val="center"/>
              <w:rPr>
                <w:rFonts w:ascii="Arial" w:hAnsi="Arial" w:cs="Arial"/>
                <w:color w:val="000000"/>
                <w:sz w:val="18"/>
                <w:szCs w:val="18"/>
              </w:rPr>
            </w:pPr>
            <w:r w:rsidRPr="007B078C">
              <w:rPr>
                <w:rFonts w:ascii="Arial" w:hAnsi="Arial" w:cs="Arial"/>
                <w:color w:val="000000"/>
                <w:sz w:val="18"/>
                <w:szCs w:val="18"/>
              </w:rPr>
              <w:t>АТС</w:t>
            </w:r>
          </w:p>
        </w:tc>
        <w:tc>
          <w:tcPr>
            <w:tcW w:w="872" w:type="dxa"/>
            <w:shd w:val="clear" w:color="auto" w:fill="auto"/>
          </w:tcPr>
          <w:p w14:paraId="683B1220" w14:textId="77777777" w:rsidR="005518CC" w:rsidRPr="00204458" w:rsidRDefault="005518CC" w:rsidP="00A43635">
            <w:pPr>
              <w:contextualSpacing/>
              <w:jc w:val="center"/>
              <w:rPr>
                <w:rFonts w:ascii="Arial" w:hAnsi="Arial" w:cs="Arial"/>
                <w:color w:val="000000"/>
                <w:sz w:val="18"/>
                <w:szCs w:val="18"/>
              </w:rPr>
            </w:pPr>
            <w:r w:rsidRPr="007B078C">
              <w:rPr>
                <w:rFonts w:ascii="Arial" w:hAnsi="Arial" w:cs="Arial"/>
                <w:color w:val="000000"/>
                <w:sz w:val="18"/>
                <w:szCs w:val="18"/>
              </w:rPr>
              <w:t>ФСК, Участник</w:t>
            </w:r>
            <w:r w:rsidRPr="00945FC0">
              <w:rPr>
                <w:rFonts w:ascii="Arial" w:hAnsi="Arial" w:cs="Arial"/>
                <w:color w:val="000000"/>
                <w:sz w:val="18"/>
                <w:szCs w:val="18"/>
                <w:highlight w:val="yellow"/>
              </w:rPr>
              <w:t>,</w:t>
            </w:r>
            <w:r>
              <w:rPr>
                <w:rFonts w:ascii="Arial" w:hAnsi="Arial" w:cs="Arial"/>
                <w:color w:val="000000"/>
                <w:sz w:val="18"/>
                <w:szCs w:val="18"/>
              </w:rPr>
              <w:t xml:space="preserve"> </w:t>
            </w:r>
            <w:r w:rsidRPr="007B078C">
              <w:rPr>
                <w:rFonts w:ascii="Arial" w:hAnsi="Arial" w:cs="Arial"/>
                <w:color w:val="000000"/>
                <w:sz w:val="18"/>
                <w:szCs w:val="18"/>
                <w:highlight w:val="yellow"/>
              </w:rPr>
              <w:t>Агрегатор</w:t>
            </w:r>
          </w:p>
        </w:tc>
        <w:tc>
          <w:tcPr>
            <w:tcW w:w="1043" w:type="dxa"/>
            <w:shd w:val="clear" w:color="auto" w:fill="auto"/>
          </w:tcPr>
          <w:p w14:paraId="3D334F4F" w14:textId="77777777" w:rsidR="005518CC" w:rsidRPr="00204458" w:rsidRDefault="005518CC" w:rsidP="00A43635">
            <w:pPr>
              <w:contextualSpacing/>
              <w:jc w:val="center"/>
              <w:rPr>
                <w:rFonts w:ascii="Arial" w:hAnsi="Arial" w:cs="Arial"/>
                <w:color w:val="000000"/>
                <w:sz w:val="18"/>
                <w:szCs w:val="18"/>
              </w:rPr>
            </w:pPr>
            <w:r w:rsidRPr="007B078C">
              <w:rPr>
                <w:rFonts w:ascii="Arial" w:hAnsi="Arial" w:cs="Arial"/>
                <w:color w:val="000000"/>
                <w:sz w:val="18"/>
                <w:szCs w:val="18"/>
              </w:rPr>
              <w:t>электронная почта</w:t>
            </w:r>
          </w:p>
        </w:tc>
        <w:tc>
          <w:tcPr>
            <w:tcW w:w="1219" w:type="dxa"/>
            <w:shd w:val="clear" w:color="auto" w:fill="auto"/>
          </w:tcPr>
          <w:p w14:paraId="747662F0" w14:textId="77777777" w:rsidR="005518CC" w:rsidRPr="00204458" w:rsidRDefault="005518CC" w:rsidP="00A43635">
            <w:pPr>
              <w:contextualSpacing/>
              <w:jc w:val="center"/>
              <w:rPr>
                <w:rFonts w:ascii="Arial" w:hAnsi="Arial" w:cs="Arial"/>
                <w:sz w:val="18"/>
                <w:szCs w:val="18"/>
              </w:rPr>
            </w:pPr>
            <w:r w:rsidRPr="007B078C">
              <w:rPr>
                <w:rFonts w:ascii="Arial" w:hAnsi="Arial" w:cs="Arial"/>
                <w:color w:val="000000"/>
                <w:sz w:val="18"/>
                <w:szCs w:val="18"/>
              </w:rPr>
              <w:t>Нет</w:t>
            </w:r>
          </w:p>
        </w:tc>
        <w:tc>
          <w:tcPr>
            <w:tcW w:w="996" w:type="dxa"/>
            <w:shd w:val="clear" w:color="auto" w:fill="auto"/>
          </w:tcPr>
          <w:p w14:paraId="7CBE77D6" w14:textId="77777777" w:rsidR="005518CC" w:rsidRPr="00204458" w:rsidRDefault="005518CC" w:rsidP="00A43635">
            <w:pPr>
              <w:contextualSpacing/>
              <w:jc w:val="center"/>
              <w:rPr>
                <w:rFonts w:ascii="Arial" w:hAnsi="Arial" w:cs="Arial"/>
                <w:sz w:val="18"/>
                <w:szCs w:val="18"/>
              </w:rPr>
            </w:pPr>
            <w:r w:rsidRPr="007B078C">
              <w:rPr>
                <w:rFonts w:ascii="Arial" w:hAnsi="Arial" w:cs="Arial"/>
                <w:color w:val="000000"/>
                <w:sz w:val="18"/>
                <w:szCs w:val="18"/>
              </w:rPr>
              <w:t>Да</w:t>
            </w:r>
          </w:p>
        </w:tc>
        <w:tc>
          <w:tcPr>
            <w:tcW w:w="1890" w:type="dxa"/>
            <w:shd w:val="clear" w:color="auto" w:fill="auto"/>
          </w:tcPr>
          <w:p w14:paraId="32084740" w14:textId="77777777" w:rsidR="005518CC" w:rsidRPr="00204458" w:rsidRDefault="005518CC" w:rsidP="00A43635">
            <w:pPr>
              <w:contextualSpacing/>
              <w:jc w:val="center"/>
              <w:rPr>
                <w:rFonts w:ascii="Arial" w:hAnsi="Arial" w:cs="Arial"/>
                <w:sz w:val="18"/>
                <w:szCs w:val="18"/>
              </w:rPr>
            </w:pPr>
            <w:r w:rsidRPr="007B078C">
              <w:rPr>
                <w:rFonts w:ascii="Arial" w:hAnsi="Arial" w:cs="Arial"/>
                <w:color w:val="000000"/>
                <w:sz w:val="18"/>
                <w:szCs w:val="18"/>
              </w:rPr>
              <w:t>1.3.6.1.4.1.18545.1.2.1.9</w:t>
            </w:r>
          </w:p>
        </w:tc>
        <w:tc>
          <w:tcPr>
            <w:tcW w:w="1062" w:type="dxa"/>
            <w:shd w:val="clear" w:color="auto" w:fill="auto"/>
          </w:tcPr>
          <w:p w14:paraId="02A23B7E" w14:textId="77777777" w:rsidR="005518CC" w:rsidRPr="00204458" w:rsidRDefault="005518CC" w:rsidP="00A43635">
            <w:pPr>
              <w:contextualSpacing/>
              <w:jc w:val="center"/>
              <w:rPr>
                <w:rFonts w:ascii="Arial" w:hAnsi="Arial" w:cs="Arial"/>
                <w:sz w:val="18"/>
                <w:szCs w:val="18"/>
              </w:rPr>
            </w:pPr>
            <w:r w:rsidRPr="007B078C">
              <w:rPr>
                <w:rFonts w:ascii="Arial" w:hAnsi="Arial" w:cs="Arial"/>
                <w:color w:val="000000"/>
                <w:sz w:val="18"/>
                <w:szCs w:val="18"/>
              </w:rPr>
              <w:t>Блокнот</w:t>
            </w:r>
          </w:p>
        </w:tc>
        <w:tc>
          <w:tcPr>
            <w:tcW w:w="785" w:type="dxa"/>
            <w:shd w:val="clear" w:color="auto" w:fill="auto"/>
          </w:tcPr>
          <w:p w14:paraId="24D11110" w14:textId="77777777" w:rsidR="005518CC" w:rsidRPr="00204458" w:rsidRDefault="005518CC" w:rsidP="00A43635">
            <w:pPr>
              <w:contextualSpacing/>
              <w:jc w:val="center"/>
              <w:rPr>
                <w:rFonts w:ascii="Arial" w:hAnsi="Arial" w:cs="Arial"/>
                <w:sz w:val="18"/>
                <w:szCs w:val="18"/>
              </w:rPr>
            </w:pPr>
            <w:r w:rsidRPr="007B078C">
              <w:rPr>
                <w:rFonts w:ascii="Arial" w:hAnsi="Arial" w:cs="Arial"/>
                <w:color w:val="000000"/>
                <w:sz w:val="18"/>
                <w:szCs w:val="18"/>
              </w:rPr>
              <w:t>5 лет</w:t>
            </w:r>
          </w:p>
        </w:tc>
        <w:tc>
          <w:tcPr>
            <w:tcW w:w="821" w:type="dxa"/>
            <w:shd w:val="clear" w:color="auto" w:fill="auto"/>
          </w:tcPr>
          <w:p w14:paraId="038866D0" w14:textId="77777777" w:rsidR="005518CC" w:rsidRPr="00204458" w:rsidRDefault="005518CC" w:rsidP="00A43635">
            <w:pPr>
              <w:contextualSpacing/>
              <w:jc w:val="center"/>
              <w:rPr>
                <w:rFonts w:ascii="Arial" w:eastAsia="Batang" w:hAnsi="Arial" w:cs="Arial"/>
                <w:sz w:val="18"/>
                <w:szCs w:val="18"/>
                <w:lang w:eastAsia="ko-KR"/>
              </w:rPr>
            </w:pPr>
          </w:p>
        </w:tc>
      </w:tr>
      <w:tr w:rsidR="005518CC" w:rsidRPr="00911253" w14:paraId="5917B225" w14:textId="77777777" w:rsidTr="00A43635">
        <w:trPr>
          <w:trHeight w:val="64"/>
        </w:trPr>
        <w:tc>
          <w:tcPr>
            <w:tcW w:w="1099" w:type="dxa"/>
            <w:shd w:val="clear" w:color="auto" w:fill="auto"/>
            <w:vAlign w:val="center"/>
          </w:tcPr>
          <w:p w14:paraId="11C05BD3" w14:textId="77777777" w:rsidR="005518CC" w:rsidRPr="00911253" w:rsidRDefault="005518CC" w:rsidP="00A43635">
            <w:pPr>
              <w:contextualSpacing/>
              <w:jc w:val="center"/>
              <w:rPr>
                <w:rFonts w:ascii="Arial" w:eastAsia="Batang" w:hAnsi="Arial" w:cs="Arial"/>
                <w:sz w:val="18"/>
                <w:szCs w:val="18"/>
                <w:lang w:eastAsia="ko-KR"/>
              </w:rPr>
            </w:pPr>
            <w:r w:rsidRPr="00911253">
              <w:rPr>
                <w:rFonts w:ascii="Arial" w:hAnsi="Arial" w:cs="Arial"/>
                <w:color w:val="000000"/>
                <w:sz w:val="18"/>
                <w:szCs w:val="18"/>
              </w:rPr>
              <w:t>60000</w:t>
            </w:r>
          </w:p>
        </w:tc>
        <w:tc>
          <w:tcPr>
            <w:tcW w:w="2062" w:type="dxa"/>
            <w:shd w:val="clear" w:color="auto" w:fill="auto"/>
            <w:vAlign w:val="center"/>
          </w:tcPr>
          <w:p w14:paraId="1B8F5F7B" w14:textId="77777777" w:rsidR="005518CC" w:rsidRPr="00911253" w:rsidRDefault="005518CC" w:rsidP="00A43635">
            <w:pPr>
              <w:contextualSpacing/>
              <w:jc w:val="center"/>
              <w:rPr>
                <w:rFonts w:ascii="Arial" w:eastAsia="Batang" w:hAnsi="Arial" w:cs="Arial"/>
                <w:sz w:val="18"/>
                <w:szCs w:val="18"/>
                <w:lang w:eastAsia="ko-KR"/>
              </w:rPr>
            </w:pPr>
            <w:r w:rsidRPr="00911253">
              <w:rPr>
                <w:rFonts w:ascii="Arial" w:hAnsi="Arial" w:cs="Arial"/>
                <w:color w:val="000000"/>
                <w:sz w:val="18"/>
                <w:szCs w:val="18"/>
              </w:rPr>
              <w:t>Перечень средств измерений для целей коммерческого учета (макет 60000)</w:t>
            </w:r>
          </w:p>
        </w:tc>
        <w:tc>
          <w:tcPr>
            <w:tcW w:w="1563" w:type="dxa"/>
            <w:shd w:val="clear" w:color="auto" w:fill="auto"/>
            <w:vAlign w:val="center"/>
          </w:tcPr>
          <w:p w14:paraId="664EC381" w14:textId="77777777" w:rsidR="005518CC" w:rsidRPr="00911253" w:rsidRDefault="005518CC" w:rsidP="00A43635">
            <w:pPr>
              <w:contextualSpacing/>
              <w:jc w:val="center"/>
              <w:rPr>
                <w:rFonts w:ascii="Arial" w:eastAsia="Batang" w:hAnsi="Arial" w:cs="Arial"/>
                <w:sz w:val="18"/>
                <w:szCs w:val="18"/>
                <w:lang w:eastAsia="ko-KR"/>
              </w:rPr>
            </w:pPr>
            <w:r w:rsidRPr="00911253">
              <w:rPr>
                <w:rFonts w:ascii="Arial" w:hAnsi="Arial" w:cs="Arial"/>
                <w:color w:val="000000"/>
                <w:sz w:val="18"/>
                <w:szCs w:val="18"/>
              </w:rPr>
              <w:t>Регламент № 11, приложение 5</w:t>
            </w:r>
          </w:p>
        </w:tc>
        <w:tc>
          <w:tcPr>
            <w:tcW w:w="1132" w:type="dxa"/>
            <w:shd w:val="clear" w:color="auto" w:fill="auto"/>
            <w:vAlign w:val="center"/>
          </w:tcPr>
          <w:p w14:paraId="76AF1330" w14:textId="77777777" w:rsidR="005518CC" w:rsidRPr="00911253" w:rsidRDefault="005518CC" w:rsidP="00A43635">
            <w:pPr>
              <w:contextualSpacing/>
              <w:jc w:val="center"/>
              <w:rPr>
                <w:rFonts w:ascii="Arial" w:eastAsia="Batang" w:hAnsi="Arial" w:cs="Arial"/>
                <w:sz w:val="18"/>
                <w:szCs w:val="18"/>
                <w:lang w:eastAsia="ko-KR"/>
              </w:rPr>
            </w:pPr>
            <w:r w:rsidRPr="00911253">
              <w:rPr>
                <w:rFonts w:ascii="Arial" w:hAnsi="Arial" w:cs="Arial"/>
                <w:color w:val="000000"/>
                <w:sz w:val="18"/>
                <w:szCs w:val="18"/>
              </w:rPr>
              <w:t>xml</w:t>
            </w:r>
          </w:p>
        </w:tc>
        <w:tc>
          <w:tcPr>
            <w:tcW w:w="936" w:type="dxa"/>
            <w:shd w:val="clear" w:color="auto" w:fill="auto"/>
            <w:vAlign w:val="center"/>
          </w:tcPr>
          <w:p w14:paraId="358004C9" w14:textId="77777777" w:rsidR="005518CC" w:rsidRPr="00911253" w:rsidRDefault="005518CC" w:rsidP="00A43635">
            <w:pPr>
              <w:contextualSpacing/>
              <w:jc w:val="center"/>
              <w:rPr>
                <w:rFonts w:ascii="Arial" w:eastAsia="Batang" w:hAnsi="Arial" w:cs="Arial"/>
                <w:sz w:val="18"/>
                <w:szCs w:val="18"/>
                <w:lang w:eastAsia="ko-KR"/>
              </w:rPr>
            </w:pPr>
            <w:r w:rsidRPr="00911253">
              <w:rPr>
                <w:rFonts w:ascii="Arial" w:hAnsi="Arial" w:cs="Arial"/>
                <w:color w:val="000000"/>
                <w:sz w:val="18"/>
                <w:szCs w:val="18"/>
              </w:rPr>
              <w:t>ФСК, Участник</w:t>
            </w:r>
            <w:r w:rsidRPr="00911253">
              <w:rPr>
                <w:rFonts w:ascii="Arial" w:hAnsi="Arial" w:cs="Arial"/>
                <w:color w:val="000000"/>
                <w:sz w:val="18"/>
                <w:szCs w:val="18"/>
                <w:highlight w:val="yellow"/>
              </w:rPr>
              <w:t>, Агрегатор</w:t>
            </w:r>
          </w:p>
        </w:tc>
        <w:tc>
          <w:tcPr>
            <w:tcW w:w="872" w:type="dxa"/>
            <w:shd w:val="clear" w:color="auto" w:fill="auto"/>
            <w:vAlign w:val="center"/>
          </w:tcPr>
          <w:p w14:paraId="0B445FAD" w14:textId="77777777" w:rsidR="005518CC" w:rsidRPr="00911253" w:rsidRDefault="005518CC" w:rsidP="00A43635">
            <w:pPr>
              <w:contextualSpacing/>
              <w:jc w:val="center"/>
              <w:rPr>
                <w:rFonts w:ascii="Arial" w:eastAsia="Batang" w:hAnsi="Arial" w:cs="Arial"/>
                <w:sz w:val="18"/>
                <w:szCs w:val="18"/>
                <w:lang w:eastAsia="ko-KR"/>
              </w:rPr>
            </w:pPr>
            <w:r w:rsidRPr="00911253">
              <w:rPr>
                <w:rFonts w:ascii="Arial" w:hAnsi="Arial" w:cs="Arial"/>
                <w:color w:val="000000"/>
                <w:sz w:val="18"/>
                <w:szCs w:val="18"/>
              </w:rPr>
              <w:t>АТС</w:t>
            </w:r>
          </w:p>
        </w:tc>
        <w:tc>
          <w:tcPr>
            <w:tcW w:w="1043" w:type="dxa"/>
            <w:shd w:val="clear" w:color="auto" w:fill="auto"/>
            <w:vAlign w:val="center"/>
          </w:tcPr>
          <w:p w14:paraId="59171C5B" w14:textId="77777777" w:rsidR="005518CC" w:rsidRPr="00911253" w:rsidRDefault="005518CC" w:rsidP="00A43635">
            <w:pPr>
              <w:contextualSpacing/>
              <w:jc w:val="center"/>
              <w:rPr>
                <w:rFonts w:ascii="Arial" w:eastAsia="Batang" w:hAnsi="Arial" w:cs="Arial"/>
                <w:sz w:val="18"/>
                <w:szCs w:val="18"/>
                <w:lang w:eastAsia="ko-KR"/>
              </w:rPr>
            </w:pPr>
            <w:r w:rsidRPr="00911253">
              <w:rPr>
                <w:rFonts w:ascii="Arial" w:hAnsi="Arial" w:cs="Arial"/>
                <w:color w:val="000000"/>
                <w:sz w:val="18"/>
                <w:szCs w:val="18"/>
              </w:rPr>
              <w:t>электронная почта</w:t>
            </w:r>
          </w:p>
        </w:tc>
        <w:tc>
          <w:tcPr>
            <w:tcW w:w="1219" w:type="dxa"/>
            <w:shd w:val="clear" w:color="auto" w:fill="auto"/>
            <w:vAlign w:val="center"/>
          </w:tcPr>
          <w:p w14:paraId="66A7A4D9" w14:textId="77777777" w:rsidR="005518CC" w:rsidRPr="00911253" w:rsidRDefault="005518CC" w:rsidP="00A43635">
            <w:pPr>
              <w:contextualSpacing/>
              <w:jc w:val="center"/>
              <w:rPr>
                <w:rFonts w:ascii="Arial" w:eastAsia="Batang" w:hAnsi="Arial" w:cs="Arial"/>
                <w:sz w:val="18"/>
                <w:szCs w:val="18"/>
                <w:lang w:eastAsia="ko-KR"/>
              </w:rPr>
            </w:pPr>
            <w:r w:rsidRPr="00911253">
              <w:rPr>
                <w:rFonts w:ascii="Arial" w:hAnsi="Arial" w:cs="Arial"/>
                <w:sz w:val="18"/>
                <w:szCs w:val="18"/>
              </w:rPr>
              <w:t>Нет</w:t>
            </w:r>
          </w:p>
        </w:tc>
        <w:tc>
          <w:tcPr>
            <w:tcW w:w="996" w:type="dxa"/>
            <w:shd w:val="clear" w:color="auto" w:fill="auto"/>
            <w:vAlign w:val="center"/>
          </w:tcPr>
          <w:p w14:paraId="486C1836" w14:textId="77777777" w:rsidR="005518CC" w:rsidRPr="00911253" w:rsidRDefault="005518CC" w:rsidP="00A43635">
            <w:pPr>
              <w:contextualSpacing/>
              <w:jc w:val="center"/>
              <w:rPr>
                <w:rFonts w:ascii="Arial" w:eastAsia="Batang" w:hAnsi="Arial" w:cs="Arial"/>
                <w:sz w:val="18"/>
                <w:szCs w:val="18"/>
                <w:lang w:eastAsia="ko-KR"/>
              </w:rPr>
            </w:pPr>
            <w:r w:rsidRPr="00911253">
              <w:rPr>
                <w:rFonts w:ascii="Arial" w:hAnsi="Arial" w:cs="Arial"/>
                <w:sz w:val="18"/>
                <w:szCs w:val="18"/>
              </w:rPr>
              <w:t>Да</w:t>
            </w:r>
          </w:p>
        </w:tc>
        <w:tc>
          <w:tcPr>
            <w:tcW w:w="1890" w:type="dxa"/>
            <w:shd w:val="clear" w:color="auto" w:fill="auto"/>
            <w:vAlign w:val="center"/>
          </w:tcPr>
          <w:p w14:paraId="75E9A15C" w14:textId="77777777" w:rsidR="005518CC" w:rsidRPr="00911253" w:rsidRDefault="005518CC" w:rsidP="00A43635">
            <w:pPr>
              <w:contextualSpacing/>
              <w:jc w:val="center"/>
              <w:rPr>
                <w:rFonts w:ascii="Arial" w:eastAsia="Batang" w:hAnsi="Arial" w:cs="Arial"/>
                <w:sz w:val="18"/>
                <w:szCs w:val="18"/>
                <w:lang w:eastAsia="ko-KR"/>
              </w:rPr>
            </w:pPr>
            <w:r w:rsidRPr="00911253">
              <w:rPr>
                <w:rFonts w:ascii="Arial" w:hAnsi="Arial" w:cs="Arial"/>
                <w:sz w:val="18"/>
                <w:szCs w:val="18"/>
              </w:rPr>
              <w:t>1.3.6.1.4.1.18545.1.2.1.9</w:t>
            </w:r>
          </w:p>
        </w:tc>
        <w:tc>
          <w:tcPr>
            <w:tcW w:w="1062" w:type="dxa"/>
            <w:shd w:val="clear" w:color="auto" w:fill="auto"/>
            <w:vAlign w:val="center"/>
          </w:tcPr>
          <w:p w14:paraId="1EE04D25" w14:textId="77777777" w:rsidR="005518CC" w:rsidRPr="00911253" w:rsidRDefault="005518CC" w:rsidP="00A43635">
            <w:pPr>
              <w:contextualSpacing/>
              <w:jc w:val="center"/>
              <w:rPr>
                <w:rFonts w:ascii="Arial" w:eastAsia="Batang" w:hAnsi="Arial" w:cs="Arial"/>
                <w:sz w:val="18"/>
                <w:szCs w:val="18"/>
                <w:lang w:eastAsia="ko-KR"/>
              </w:rPr>
            </w:pPr>
            <w:r w:rsidRPr="00911253">
              <w:rPr>
                <w:rFonts w:ascii="Arial" w:hAnsi="Arial" w:cs="Arial"/>
                <w:sz w:val="18"/>
                <w:szCs w:val="18"/>
              </w:rPr>
              <w:t>ASPMailer, блокнот</w:t>
            </w:r>
          </w:p>
        </w:tc>
        <w:tc>
          <w:tcPr>
            <w:tcW w:w="785" w:type="dxa"/>
            <w:shd w:val="clear" w:color="auto" w:fill="auto"/>
            <w:vAlign w:val="center"/>
          </w:tcPr>
          <w:p w14:paraId="1DFC4EB3" w14:textId="77777777" w:rsidR="005518CC" w:rsidRPr="00911253" w:rsidRDefault="005518CC" w:rsidP="00A43635">
            <w:pPr>
              <w:contextualSpacing/>
              <w:jc w:val="center"/>
              <w:rPr>
                <w:rFonts w:ascii="Arial" w:eastAsia="Batang" w:hAnsi="Arial" w:cs="Arial"/>
                <w:sz w:val="18"/>
                <w:szCs w:val="18"/>
                <w:lang w:eastAsia="ko-KR"/>
              </w:rPr>
            </w:pPr>
            <w:r w:rsidRPr="00911253">
              <w:rPr>
                <w:rFonts w:ascii="Arial" w:hAnsi="Arial" w:cs="Arial"/>
                <w:sz w:val="18"/>
                <w:szCs w:val="18"/>
              </w:rPr>
              <w:t>постоянно</w:t>
            </w:r>
          </w:p>
        </w:tc>
        <w:tc>
          <w:tcPr>
            <w:tcW w:w="821" w:type="dxa"/>
            <w:shd w:val="clear" w:color="auto" w:fill="auto"/>
          </w:tcPr>
          <w:p w14:paraId="7363DCBA" w14:textId="77777777" w:rsidR="005518CC" w:rsidRPr="00911253" w:rsidRDefault="005518CC" w:rsidP="00A43635">
            <w:pPr>
              <w:contextualSpacing/>
              <w:jc w:val="center"/>
              <w:rPr>
                <w:rFonts w:ascii="Arial" w:eastAsia="Batang" w:hAnsi="Arial" w:cs="Arial"/>
                <w:sz w:val="18"/>
                <w:szCs w:val="18"/>
                <w:lang w:eastAsia="ko-KR"/>
              </w:rPr>
            </w:pPr>
          </w:p>
        </w:tc>
      </w:tr>
      <w:tr w:rsidR="005518CC" w:rsidRPr="00911253" w14:paraId="67B85A75" w14:textId="77777777" w:rsidTr="00A43635">
        <w:tc>
          <w:tcPr>
            <w:tcW w:w="1099" w:type="dxa"/>
            <w:shd w:val="clear" w:color="auto" w:fill="auto"/>
            <w:vAlign w:val="center"/>
          </w:tcPr>
          <w:p w14:paraId="7D1A28E7" w14:textId="77777777" w:rsidR="005518CC" w:rsidRPr="00911253" w:rsidRDefault="005518CC" w:rsidP="00A43635">
            <w:pPr>
              <w:contextualSpacing/>
              <w:jc w:val="center"/>
              <w:rPr>
                <w:rFonts w:ascii="Arial" w:eastAsia="Batang" w:hAnsi="Arial" w:cs="Arial"/>
                <w:sz w:val="18"/>
                <w:szCs w:val="18"/>
                <w:lang w:eastAsia="ko-KR"/>
              </w:rPr>
            </w:pPr>
            <w:r w:rsidRPr="00911253">
              <w:rPr>
                <w:rFonts w:ascii="Arial" w:hAnsi="Arial" w:cs="Arial"/>
                <w:color w:val="000000"/>
                <w:sz w:val="18"/>
                <w:szCs w:val="18"/>
              </w:rPr>
              <w:t>60000_WEB</w:t>
            </w:r>
          </w:p>
        </w:tc>
        <w:tc>
          <w:tcPr>
            <w:tcW w:w="2062" w:type="dxa"/>
            <w:shd w:val="clear" w:color="auto" w:fill="auto"/>
            <w:vAlign w:val="center"/>
          </w:tcPr>
          <w:p w14:paraId="6FA02299" w14:textId="77777777" w:rsidR="005518CC" w:rsidRPr="00911253" w:rsidRDefault="005518CC" w:rsidP="00A43635">
            <w:pPr>
              <w:contextualSpacing/>
              <w:jc w:val="center"/>
              <w:rPr>
                <w:rFonts w:ascii="Arial" w:eastAsia="Batang" w:hAnsi="Arial" w:cs="Arial"/>
                <w:sz w:val="18"/>
                <w:szCs w:val="18"/>
                <w:lang w:eastAsia="ko-KR"/>
              </w:rPr>
            </w:pPr>
            <w:r w:rsidRPr="00911253">
              <w:rPr>
                <w:rFonts w:ascii="Arial" w:hAnsi="Arial" w:cs="Arial"/>
                <w:color w:val="000000"/>
                <w:sz w:val="18"/>
                <w:szCs w:val="18"/>
              </w:rPr>
              <w:t>Перечень средств измерений для целей коммерческого учета (макет 60000)</w:t>
            </w:r>
          </w:p>
        </w:tc>
        <w:tc>
          <w:tcPr>
            <w:tcW w:w="1563" w:type="dxa"/>
            <w:shd w:val="clear" w:color="auto" w:fill="auto"/>
            <w:vAlign w:val="center"/>
          </w:tcPr>
          <w:p w14:paraId="6D5C2B02" w14:textId="77777777" w:rsidR="005518CC" w:rsidRPr="00911253" w:rsidRDefault="005518CC" w:rsidP="00A43635">
            <w:pPr>
              <w:contextualSpacing/>
              <w:jc w:val="center"/>
              <w:rPr>
                <w:rFonts w:ascii="Arial" w:eastAsia="Batang" w:hAnsi="Arial" w:cs="Arial"/>
                <w:sz w:val="18"/>
                <w:szCs w:val="18"/>
                <w:lang w:eastAsia="ko-KR"/>
              </w:rPr>
            </w:pPr>
            <w:r w:rsidRPr="00911253">
              <w:rPr>
                <w:rFonts w:ascii="Arial" w:hAnsi="Arial" w:cs="Arial"/>
                <w:color w:val="000000"/>
                <w:sz w:val="18"/>
                <w:szCs w:val="18"/>
              </w:rPr>
              <w:t>Регламент № 11, приложение 5</w:t>
            </w:r>
          </w:p>
        </w:tc>
        <w:tc>
          <w:tcPr>
            <w:tcW w:w="1132" w:type="dxa"/>
            <w:shd w:val="clear" w:color="auto" w:fill="auto"/>
            <w:vAlign w:val="center"/>
          </w:tcPr>
          <w:p w14:paraId="03EAED6E" w14:textId="77777777" w:rsidR="005518CC" w:rsidRPr="00911253" w:rsidRDefault="005518CC" w:rsidP="00A43635">
            <w:pPr>
              <w:contextualSpacing/>
              <w:jc w:val="center"/>
              <w:rPr>
                <w:rFonts w:ascii="Arial" w:eastAsia="Batang" w:hAnsi="Arial" w:cs="Arial"/>
                <w:sz w:val="18"/>
                <w:szCs w:val="18"/>
                <w:lang w:eastAsia="ko-KR"/>
              </w:rPr>
            </w:pPr>
            <w:r w:rsidRPr="00911253">
              <w:rPr>
                <w:rFonts w:ascii="Arial" w:hAnsi="Arial" w:cs="Arial"/>
                <w:color w:val="000000"/>
                <w:sz w:val="18"/>
                <w:szCs w:val="18"/>
              </w:rPr>
              <w:t>xml</w:t>
            </w:r>
          </w:p>
        </w:tc>
        <w:tc>
          <w:tcPr>
            <w:tcW w:w="936" w:type="dxa"/>
            <w:shd w:val="clear" w:color="auto" w:fill="auto"/>
            <w:vAlign w:val="center"/>
          </w:tcPr>
          <w:p w14:paraId="66A3589F" w14:textId="77777777" w:rsidR="005518CC" w:rsidRPr="00911253" w:rsidRDefault="005518CC" w:rsidP="00A43635">
            <w:pPr>
              <w:contextualSpacing/>
              <w:jc w:val="center"/>
              <w:rPr>
                <w:rFonts w:ascii="Arial" w:eastAsia="Batang" w:hAnsi="Arial" w:cs="Arial"/>
                <w:sz w:val="18"/>
                <w:szCs w:val="18"/>
                <w:lang w:eastAsia="ko-KR"/>
              </w:rPr>
            </w:pPr>
            <w:r w:rsidRPr="00911253">
              <w:rPr>
                <w:rFonts w:ascii="Arial" w:hAnsi="Arial" w:cs="Arial"/>
                <w:color w:val="000000"/>
                <w:sz w:val="18"/>
                <w:szCs w:val="18"/>
              </w:rPr>
              <w:t>ФСК, Участник</w:t>
            </w:r>
            <w:r w:rsidRPr="00911253">
              <w:rPr>
                <w:rFonts w:ascii="Arial" w:hAnsi="Arial" w:cs="Arial"/>
                <w:color w:val="000000"/>
                <w:sz w:val="18"/>
                <w:szCs w:val="18"/>
                <w:highlight w:val="yellow"/>
              </w:rPr>
              <w:t>, Агрегатор</w:t>
            </w:r>
          </w:p>
        </w:tc>
        <w:tc>
          <w:tcPr>
            <w:tcW w:w="872" w:type="dxa"/>
            <w:shd w:val="clear" w:color="auto" w:fill="auto"/>
            <w:vAlign w:val="center"/>
          </w:tcPr>
          <w:p w14:paraId="238BA66D" w14:textId="77777777" w:rsidR="005518CC" w:rsidRPr="00911253" w:rsidRDefault="005518CC" w:rsidP="00A43635">
            <w:pPr>
              <w:contextualSpacing/>
              <w:jc w:val="center"/>
              <w:rPr>
                <w:rFonts w:ascii="Arial" w:eastAsia="Batang" w:hAnsi="Arial" w:cs="Arial"/>
                <w:sz w:val="18"/>
                <w:szCs w:val="18"/>
                <w:lang w:eastAsia="ko-KR"/>
              </w:rPr>
            </w:pPr>
            <w:r w:rsidRPr="00911253">
              <w:rPr>
                <w:rFonts w:ascii="Arial" w:hAnsi="Arial" w:cs="Arial"/>
                <w:color w:val="000000"/>
                <w:sz w:val="18"/>
                <w:szCs w:val="18"/>
              </w:rPr>
              <w:t>АТС</w:t>
            </w:r>
          </w:p>
        </w:tc>
        <w:tc>
          <w:tcPr>
            <w:tcW w:w="1043" w:type="dxa"/>
            <w:shd w:val="clear" w:color="auto" w:fill="auto"/>
            <w:vAlign w:val="center"/>
          </w:tcPr>
          <w:p w14:paraId="3F7C7532" w14:textId="77777777" w:rsidR="005518CC" w:rsidRPr="00911253" w:rsidRDefault="005518CC" w:rsidP="00A43635">
            <w:pPr>
              <w:contextualSpacing/>
              <w:jc w:val="center"/>
              <w:rPr>
                <w:rFonts w:ascii="Arial" w:eastAsia="Batang" w:hAnsi="Arial" w:cs="Arial"/>
                <w:sz w:val="18"/>
                <w:szCs w:val="18"/>
                <w:lang w:eastAsia="ko-KR"/>
              </w:rPr>
            </w:pPr>
            <w:r w:rsidRPr="00911253">
              <w:rPr>
                <w:rFonts w:ascii="Arial" w:eastAsia="Batang" w:hAnsi="Arial" w:cs="Arial"/>
                <w:sz w:val="18"/>
                <w:szCs w:val="18"/>
                <w:lang w:eastAsia="ko-KR"/>
              </w:rPr>
              <w:t>WEB-интерфейс</w:t>
            </w:r>
          </w:p>
        </w:tc>
        <w:tc>
          <w:tcPr>
            <w:tcW w:w="1219" w:type="dxa"/>
            <w:shd w:val="clear" w:color="auto" w:fill="auto"/>
            <w:vAlign w:val="center"/>
          </w:tcPr>
          <w:p w14:paraId="24A8D196" w14:textId="77777777" w:rsidR="005518CC" w:rsidRPr="00911253" w:rsidRDefault="005518CC" w:rsidP="00A43635">
            <w:pPr>
              <w:contextualSpacing/>
              <w:jc w:val="center"/>
              <w:rPr>
                <w:rFonts w:ascii="Arial" w:eastAsia="Batang" w:hAnsi="Arial" w:cs="Arial"/>
                <w:sz w:val="18"/>
                <w:szCs w:val="18"/>
                <w:lang w:eastAsia="ko-KR"/>
              </w:rPr>
            </w:pPr>
            <w:r w:rsidRPr="00911253">
              <w:rPr>
                <w:rFonts w:ascii="Arial" w:hAnsi="Arial" w:cs="Arial"/>
                <w:sz w:val="18"/>
                <w:szCs w:val="18"/>
              </w:rPr>
              <w:t>Нет</w:t>
            </w:r>
          </w:p>
        </w:tc>
        <w:tc>
          <w:tcPr>
            <w:tcW w:w="996" w:type="dxa"/>
            <w:shd w:val="clear" w:color="auto" w:fill="auto"/>
            <w:vAlign w:val="center"/>
          </w:tcPr>
          <w:p w14:paraId="7B7D39D6" w14:textId="77777777" w:rsidR="005518CC" w:rsidRPr="00911253" w:rsidRDefault="005518CC" w:rsidP="00A43635">
            <w:pPr>
              <w:contextualSpacing/>
              <w:jc w:val="center"/>
              <w:rPr>
                <w:rFonts w:ascii="Arial" w:eastAsia="Batang" w:hAnsi="Arial" w:cs="Arial"/>
                <w:sz w:val="18"/>
                <w:szCs w:val="18"/>
                <w:lang w:eastAsia="ko-KR"/>
              </w:rPr>
            </w:pPr>
            <w:r w:rsidRPr="00911253">
              <w:rPr>
                <w:rFonts w:ascii="Arial" w:hAnsi="Arial" w:cs="Arial"/>
                <w:sz w:val="18"/>
                <w:szCs w:val="18"/>
              </w:rPr>
              <w:t>Нет</w:t>
            </w:r>
          </w:p>
        </w:tc>
        <w:tc>
          <w:tcPr>
            <w:tcW w:w="1890" w:type="dxa"/>
            <w:shd w:val="clear" w:color="auto" w:fill="auto"/>
            <w:vAlign w:val="center"/>
          </w:tcPr>
          <w:p w14:paraId="0E20B87D" w14:textId="77777777" w:rsidR="005518CC" w:rsidRPr="00911253" w:rsidRDefault="005518CC" w:rsidP="00A43635">
            <w:pPr>
              <w:contextualSpacing/>
              <w:jc w:val="center"/>
              <w:rPr>
                <w:rFonts w:ascii="Arial" w:eastAsia="Batang" w:hAnsi="Arial" w:cs="Arial"/>
                <w:sz w:val="18"/>
                <w:szCs w:val="18"/>
                <w:lang w:eastAsia="ko-KR"/>
              </w:rPr>
            </w:pPr>
            <w:r w:rsidRPr="00911253">
              <w:rPr>
                <w:rFonts w:ascii="Arial" w:hAnsi="Arial" w:cs="Arial"/>
                <w:sz w:val="18"/>
                <w:szCs w:val="18"/>
              </w:rPr>
              <w:t>1.3.6.1.4.1.18545.1.2.1.9</w:t>
            </w:r>
          </w:p>
        </w:tc>
        <w:tc>
          <w:tcPr>
            <w:tcW w:w="1062" w:type="dxa"/>
            <w:shd w:val="clear" w:color="auto" w:fill="auto"/>
            <w:vAlign w:val="center"/>
          </w:tcPr>
          <w:p w14:paraId="18523CB3" w14:textId="77777777" w:rsidR="005518CC" w:rsidRPr="00911253" w:rsidRDefault="005518CC" w:rsidP="00A43635">
            <w:pPr>
              <w:contextualSpacing/>
              <w:jc w:val="center"/>
              <w:rPr>
                <w:rFonts w:ascii="Arial" w:eastAsia="Batang" w:hAnsi="Arial" w:cs="Arial"/>
                <w:sz w:val="18"/>
                <w:szCs w:val="18"/>
                <w:lang w:eastAsia="ko-KR"/>
              </w:rPr>
            </w:pPr>
            <w:r w:rsidRPr="00911253">
              <w:rPr>
                <w:rFonts w:ascii="Arial" w:hAnsi="Arial" w:cs="Arial"/>
                <w:sz w:val="18"/>
                <w:szCs w:val="18"/>
              </w:rPr>
              <w:t>ASPMailer, блокнот</w:t>
            </w:r>
          </w:p>
        </w:tc>
        <w:tc>
          <w:tcPr>
            <w:tcW w:w="785" w:type="dxa"/>
            <w:shd w:val="clear" w:color="auto" w:fill="auto"/>
            <w:vAlign w:val="center"/>
          </w:tcPr>
          <w:p w14:paraId="25EF55BA" w14:textId="77777777" w:rsidR="005518CC" w:rsidRPr="00911253" w:rsidRDefault="005518CC" w:rsidP="00A43635">
            <w:pPr>
              <w:contextualSpacing/>
              <w:jc w:val="center"/>
              <w:rPr>
                <w:rFonts w:ascii="Arial" w:eastAsia="Batang" w:hAnsi="Arial" w:cs="Arial"/>
                <w:sz w:val="18"/>
                <w:szCs w:val="18"/>
                <w:lang w:eastAsia="ko-KR"/>
              </w:rPr>
            </w:pPr>
            <w:r w:rsidRPr="00911253">
              <w:rPr>
                <w:rFonts w:ascii="Arial" w:hAnsi="Arial" w:cs="Arial"/>
                <w:sz w:val="18"/>
                <w:szCs w:val="18"/>
              </w:rPr>
              <w:t>постоянно</w:t>
            </w:r>
          </w:p>
        </w:tc>
        <w:tc>
          <w:tcPr>
            <w:tcW w:w="821" w:type="dxa"/>
            <w:shd w:val="clear" w:color="auto" w:fill="auto"/>
          </w:tcPr>
          <w:p w14:paraId="69B88AF9" w14:textId="77777777" w:rsidR="005518CC" w:rsidRPr="00911253" w:rsidRDefault="005518CC" w:rsidP="00A43635">
            <w:pPr>
              <w:contextualSpacing/>
              <w:jc w:val="center"/>
              <w:rPr>
                <w:rFonts w:ascii="Arial" w:eastAsia="Batang" w:hAnsi="Arial" w:cs="Arial"/>
                <w:sz w:val="18"/>
                <w:szCs w:val="18"/>
                <w:lang w:eastAsia="ko-KR"/>
              </w:rPr>
            </w:pPr>
          </w:p>
        </w:tc>
      </w:tr>
      <w:tr w:rsidR="005518CC" w:rsidRPr="00911253" w14:paraId="1227D4F2" w14:textId="77777777" w:rsidTr="00A43635">
        <w:tc>
          <w:tcPr>
            <w:tcW w:w="1099" w:type="dxa"/>
            <w:shd w:val="clear" w:color="auto" w:fill="auto"/>
            <w:vAlign w:val="center"/>
          </w:tcPr>
          <w:p w14:paraId="267318D7" w14:textId="77777777" w:rsidR="005518CC" w:rsidRPr="00911253" w:rsidRDefault="005518CC" w:rsidP="00A43635">
            <w:pPr>
              <w:contextualSpacing/>
              <w:jc w:val="center"/>
              <w:rPr>
                <w:rFonts w:ascii="Arial" w:eastAsia="Batang" w:hAnsi="Arial" w:cs="Arial"/>
                <w:sz w:val="18"/>
                <w:szCs w:val="18"/>
                <w:lang w:eastAsia="ko-KR"/>
              </w:rPr>
            </w:pPr>
            <w:r w:rsidRPr="00911253">
              <w:rPr>
                <w:rFonts w:ascii="Arial" w:eastAsia="Batang" w:hAnsi="Arial" w:cs="Arial"/>
                <w:sz w:val="18"/>
                <w:szCs w:val="18"/>
                <w:lang w:eastAsia="ko-KR"/>
              </w:rPr>
              <w:t>60001</w:t>
            </w:r>
          </w:p>
        </w:tc>
        <w:tc>
          <w:tcPr>
            <w:tcW w:w="2062" w:type="dxa"/>
            <w:shd w:val="clear" w:color="auto" w:fill="auto"/>
            <w:vAlign w:val="center"/>
          </w:tcPr>
          <w:p w14:paraId="288CBDE2" w14:textId="77777777" w:rsidR="005518CC" w:rsidRPr="00911253" w:rsidRDefault="005518CC" w:rsidP="00A43635">
            <w:pPr>
              <w:contextualSpacing/>
              <w:jc w:val="center"/>
              <w:rPr>
                <w:rFonts w:ascii="Arial" w:eastAsia="Batang" w:hAnsi="Arial" w:cs="Arial"/>
                <w:sz w:val="18"/>
                <w:szCs w:val="18"/>
                <w:lang w:eastAsia="ko-KR"/>
              </w:rPr>
            </w:pPr>
            <w:r w:rsidRPr="00911253">
              <w:rPr>
                <w:rFonts w:ascii="Arial" w:eastAsia="Batang" w:hAnsi="Arial" w:cs="Arial"/>
                <w:sz w:val="18"/>
                <w:szCs w:val="18"/>
                <w:lang w:eastAsia="ko-KR"/>
              </w:rPr>
              <w:t>Уведомление о результатах приема ПСИ (макет 60001)</w:t>
            </w:r>
          </w:p>
        </w:tc>
        <w:tc>
          <w:tcPr>
            <w:tcW w:w="1563" w:type="dxa"/>
            <w:shd w:val="clear" w:color="auto" w:fill="auto"/>
            <w:vAlign w:val="center"/>
          </w:tcPr>
          <w:p w14:paraId="3A5D4F68" w14:textId="77777777" w:rsidR="005518CC" w:rsidRPr="00911253" w:rsidRDefault="005518CC" w:rsidP="00A43635">
            <w:pPr>
              <w:contextualSpacing/>
              <w:jc w:val="center"/>
              <w:rPr>
                <w:rFonts w:ascii="Arial" w:eastAsia="Batang" w:hAnsi="Arial" w:cs="Arial"/>
                <w:sz w:val="18"/>
                <w:szCs w:val="18"/>
                <w:lang w:eastAsia="ko-KR"/>
              </w:rPr>
            </w:pPr>
            <w:r w:rsidRPr="00911253">
              <w:rPr>
                <w:rFonts w:ascii="Arial" w:eastAsia="Batang" w:hAnsi="Arial" w:cs="Arial"/>
                <w:sz w:val="18"/>
                <w:szCs w:val="18"/>
                <w:lang w:eastAsia="ko-KR"/>
              </w:rPr>
              <w:t>Регламент № 11, приложение 5</w:t>
            </w:r>
          </w:p>
        </w:tc>
        <w:tc>
          <w:tcPr>
            <w:tcW w:w="1132" w:type="dxa"/>
            <w:shd w:val="clear" w:color="auto" w:fill="auto"/>
            <w:vAlign w:val="center"/>
          </w:tcPr>
          <w:p w14:paraId="28BC2D7D" w14:textId="77777777" w:rsidR="005518CC" w:rsidRPr="00911253" w:rsidRDefault="005518CC" w:rsidP="00A43635">
            <w:pPr>
              <w:contextualSpacing/>
              <w:jc w:val="center"/>
              <w:rPr>
                <w:rFonts w:ascii="Arial" w:eastAsia="Batang" w:hAnsi="Arial" w:cs="Arial"/>
                <w:sz w:val="18"/>
                <w:szCs w:val="18"/>
                <w:lang w:eastAsia="ko-KR"/>
              </w:rPr>
            </w:pPr>
            <w:r w:rsidRPr="00911253">
              <w:rPr>
                <w:rFonts w:ascii="Arial" w:hAnsi="Arial" w:cs="Arial"/>
                <w:color w:val="000000"/>
                <w:sz w:val="18"/>
                <w:szCs w:val="18"/>
              </w:rPr>
              <w:t>xml</w:t>
            </w:r>
          </w:p>
        </w:tc>
        <w:tc>
          <w:tcPr>
            <w:tcW w:w="936" w:type="dxa"/>
            <w:shd w:val="clear" w:color="auto" w:fill="auto"/>
            <w:vAlign w:val="center"/>
          </w:tcPr>
          <w:p w14:paraId="5629CCAE" w14:textId="77777777" w:rsidR="005518CC" w:rsidRPr="00911253" w:rsidRDefault="005518CC" w:rsidP="00A43635">
            <w:pPr>
              <w:contextualSpacing/>
              <w:jc w:val="center"/>
              <w:rPr>
                <w:rFonts w:ascii="Arial" w:eastAsia="Batang" w:hAnsi="Arial" w:cs="Arial"/>
                <w:sz w:val="18"/>
                <w:szCs w:val="18"/>
                <w:lang w:eastAsia="ko-KR"/>
              </w:rPr>
            </w:pPr>
            <w:r w:rsidRPr="00911253">
              <w:rPr>
                <w:rFonts w:ascii="Arial" w:hAnsi="Arial" w:cs="Arial"/>
                <w:color w:val="000000"/>
                <w:sz w:val="18"/>
                <w:szCs w:val="18"/>
              </w:rPr>
              <w:t>АТС</w:t>
            </w:r>
          </w:p>
        </w:tc>
        <w:tc>
          <w:tcPr>
            <w:tcW w:w="872" w:type="dxa"/>
            <w:shd w:val="clear" w:color="auto" w:fill="auto"/>
            <w:vAlign w:val="center"/>
          </w:tcPr>
          <w:p w14:paraId="1C9E18DD" w14:textId="77777777" w:rsidR="005518CC" w:rsidRPr="00911253" w:rsidRDefault="005518CC" w:rsidP="00A43635">
            <w:pPr>
              <w:contextualSpacing/>
              <w:jc w:val="center"/>
              <w:rPr>
                <w:rFonts w:ascii="Arial" w:eastAsia="Batang" w:hAnsi="Arial" w:cs="Arial"/>
                <w:sz w:val="18"/>
                <w:szCs w:val="18"/>
                <w:lang w:eastAsia="ko-KR"/>
              </w:rPr>
            </w:pPr>
            <w:r w:rsidRPr="00911253">
              <w:rPr>
                <w:rFonts w:ascii="Arial" w:eastAsia="Batang" w:hAnsi="Arial" w:cs="Arial"/>
                <w:sz w:val="18"/>
                <w:szCs w:val="18"/>
                <w:lang w:eastAsia="ko-KR"/>
              </w:rPr>
              <w:t>Участник, ФСК</w:t>
            </w:r>
            <w:r w:rsidRPr="00911253">
              <w:rPr>
                <w:rFonts w:ascii="Arial" w:hAnsi="Arial" w:cs="Arial"/>
                <w:color w:val="000000"/>
                <w:sz w:val="18"/>
                <w:szCs w:val="18"/>
                <w:highlight w:val="yellow"/>
              </w:rPr>
              <w:t>, Агрегатор</w:t>
            </w:r>
          </w:p>
        </w:tc>
        <w:tc>
          <w:tcPr>
            <w:tcW w:w="1043" w:type="dxa"/>
            <w:shd w:val="clear" w:color="auto" w:fill="auto"/>
            <w:vAlign w:val="center"/>
          </w:tcPr>
          <w:p w14:paraId="782C8E1B" w14:textId="77777777" w:rsidR="005518CC" w:rsidRPr="00911253" w:rsidRDefault="005518CC" w:rsidP="00A43635">
            <w:pPr>
              <w:contextualSpacing/>
              <w:jc w:val="center"/>
              <w:rPr>
                <w:rFonts w:ascii="Arial" w:eastAsia="Batang" w:hAnsi="Arial" w:cs="Arial"/>
                <w:sz w:val="18"/>
                <w:szCs w:val="18"/>
                <w:lang w:eastAsia="ko-KR"/>
              </w:rPr>
            </w:pPr>
            <w:r w:rsidRPr="00911253">
              <w:rPr>
                <w:rFonts w:ascii="Arial" w:hAnsi="Arial" w:cs="Arial"/>
                <w:color w:val="000000"/>
                <w:sz w:val="18"/>
                <w:szCs w:val="18"/>
              </w:rPr>
              <w:t>электронная почта</w:t>
            </w:r>
          </w:p>
        </w:tc>
        <w:tc>
          <w:tcPr>
            <w:tcW w:w="1219" w:type="dxa"/>
            <w:shd w:val="clear" w:color="auto" w:fill="auto"/>
            <w:vAlign w:val="center"/>
          </w:tcPr>
          <w:p w14:paraId="60548802" w14:textId="77777777" w:rsidR="005518CC" w:rsidRPr="00911253" w:rsidRDefault="005518CC" w:rsidP="00A43635">
            <w:pPr>
              <w:contextualSpacing/>
              <w:jc w:val="center"/>
              <w:rPr>
                <w:rFonts w:ascii="Arial" w:eastAsia="Batang" w:hAnsi="Arial" w:cs="Arial"/>
                <w:sz w:val="18"/>
                <w:szCs w:val="18"/>
                <w:lang w:eastAsia="ko-KR"/>
              </w:rPr>
            </w:pPr>
            <w:r w:rsidRPr="00911253">
              <w:rPr>
                <w:rFonts w:ascii="Arial" w:hAnsi="Arial" w:cs="Arial"/>
                <w:sz w:val="18"/>
                <w:szCs w:val="18"/>
              </w:rPr>
              <w:t>Нет</w:t>
            </w:r>
          </w:p>
        </w:tc>
        <w:tc>
          <w:tcPr>
            <w:tcW w:w="996" w:type="dxa"/>
            <w:shd w:val="clear" w:color="auto" w:fill="auto"/>
            <w:vAlign w:val="center"/>
          </w:tcPr>
          <w:p w14:paraId="25F2ABA4" w14:textId="77777777" w:rsidR="005518CC" w:rsidRPr="00911253" w:rsidRDefault="005518CC" w:rsidP="00A43635">
            <w:pPr>
              <w:contextualSpacing/>
              <w:jc w:val="center"/>
              <w:rPr>
                <w:rFonts w:ascii="Arial" w:eastAsia="Batang" w:hAnsi="Arial" w:cs="Arial"/>
                <w:sz w:val="18"/>
                <w:szCs w:val="18"/>
                <w:lang w:eastAsia="ko-KR"/>
              </w:rPr>
            </w:pPr>
            <w:r w:rsidRPr="00911253">
              <w:rPr>
                <w:rFonts w:ascii="Arial" w:hAnsi="Arial" w:cs="Arial"/>
                <w:sz w:val="18"/>
                <w:szCs w:val="18"/>
              </w:rPr>
              <w:t>Нет</w:t>
            </w:r>
          </w:p>
        </w:tc>
        <w:tc>
          <w:tcPr>
            <w:tcW w:w="1890" w:type="dxa"/>
            <w:shd w:val="clear" w:color="auto" w:fill="auto"/>
            <w:vAlign w:val="center"/>
          </w:tcPr>
          <w:p w14:paraId="69AF702B" w14:textId="77777777" w:rsidR="005518CC" w:rsidRPr="00911253" w:rsidRDefault="005518CC" w:rsidP="00A43635">
            <w:pPr>
              <w:contextualSpacing/>
              <w:jc w:val="center"/>
              <w:rPr>
                <w:rFonts w:ascii="Arial" w:eastAsia="Batang" w:hAnsi="Arial" w:cs="Arial"/>
                <w:sz w:val="18"/>
                <w:szCs w:val="18"/>
                <w:lang w:eastAsia="ko-KR"/>
              </w:rPr>
            </w:pPr>
            <w:r w:rsidRPr="00911253">
              <w:rPr>
                <w:rFonts w:ascii="Arial" w:hAnsi="Arial" w:cs="Arial"/>
                <w:sz w:val="18"/>
                <w:szCs w:val="18"/>
              </w:rPr>
              <w:t>1.3.6.1.4.1.18545.1.2.1.9</w:t>
            </w:r>
          </w:p>
        </w:tc>
        <w:tc>
          <w:tcPr>
            <w:tcW w:w="1062" w:type="dxa"/>
            <w:shd w:val="clear" w:color="auto" w:fill="auto"/>
            <w:vAlign w:val="center"/>
          </w:tcPr>
          <w:p w14:paraId="0A6F074D" w14:textId="77777777" w:rsidR="005518CC" w:rsidRPr="00911253" w:rsidRDefault="005518CC" w:rsidP="00A43635">
            <w:pPr>
              <w:contextualSpacing/>
              <w:jc w:val="center"/>
              <w:rPr>
                <w:rFonts w:ascii="Arial" w:eastAsia="Batang" w:hAnsi="Arial" w:cs="Arial"/>
                <w:sz w:val="18"/>
                <w:szCs w:val="18"/>
                <w:lang w:eastAsia="ko-KR"/>
              </w:rPr>
            </w:pPr>
            <w:r w:rsidRPr="00911253">
              <w:rPr>
                <w:rFonts w:ascii="Arial" w:hAnsi="Arial" w:cs="Arial"/>
                <w:sz w:val="18"/>
                <w:szCs w:val="18"/>
              </w:rPr>
              <w:t>ASPMailer, блокнот</w:t>
            </w:r>
          </w:p>
        </w:tc>
        <w:tc>
          <w:tcPr>
            <w:tcW w:w="785" w:type="dxa"/>
            <w:shd w:val="clear" w:color="auto" w:fill="auto"/>
            <w:vAlign w:val="center"/>
          </w:tcPr>
          <w:p w14:paraId="6077DB1B" w14:textId="77777777" w:rsidR="005518CC" w:rsidRPr="00911253" w:rsidRDefault="005518CC" w:rsidP="00A43635">
            <w:pPr>
              <w:contextualSpacing/>
              <w:jc w:val="center"/>
              <w:rPr>
                <w:rFonts w:ascii="Arial" w:eastAsia="Batang" w:hAnsi="Arial" w:cs="Arial"/>
                <w:sz w:val="18"/>
                <w:szCs w:val="18"/>
                <w:lang w:eastAsia="ko-KR"/>
              </w:rPr>
            </w:pPr>
            <w:r w:rsidRPr="00911253">
              <w:rPr>
                <w:rFonts w:ascii="Arial" w:eastAsia="Batang" w:hAnsi="Arial" w:cs="Arial"/>
                <w:sz w:val="18"/>
                <w:szCs w:val="18"/>
                <w:lang w:eastAsia="ko-KR"/>
              </w:rPr>
              <w:t>5 лет</w:t>
            </w:r>
          </w:p>
        </w:tc>
        <w:tc>
          <w:tcPr>
            <w:tcW w:w="821" w:type="dxa"/>
            <w:shd w:val="clear" w:color="auto" w:fill="auto"/>
          </w:tcPr>
          <w:p w14:paraId="711D753F" w14:textId="77777777" w:rsidR="005518CC" w:rsidRPr="00911253" w:rsidRDefault="005518CC" w:rsidP="00A43635">
            <w:pPr>
              <w:contextualSpacing/>
              <w:jc w:val="center"/>
              <w:rPr>
                <w:rFonts w:ascii="Arial" w:eastAsia="Batang" w:hAnsi="Arial" w:cs="Arial"/>
                <w:sz w:val="18"/>
                <w:szCs w:val="18"/>
                <w:lang w:eastAsia="ko-KR"/>
              </w:rPr>
            </w:pPr>
          </w:p>
        </w:tc>
      </w:tr>
      <w:tr w:rsidR="005518CC" w:rsidRPr="00911253" w14:paraId="43A86EB7" w14:textId="77777777" w:rsidTr="00A43635">
        <w:tc>
          <w:tcPr>
            <w:tcW w:w="1099" w:type="dxa"/>
            <w:shd w:val="clear" w:color="auto" w:fill="auto"/>
            <w:vAlign w:val="center"/>
          </w:tcPr>
          <w:p w14:paraId="1D21007D" w14:textId="77777777" w:rsidR="005518CC" w:rsidRPr="00911253" w:rsidRDefault="005518CC" w:rsidP="00A43635">
            <w:pPr>
              <w:contextualSpacing/>
              <w:jc w:val="center"/>
              <w:rPr>
                <w:rFonts w:ascii="Arial" w:eastAsia="Batang" w:hAnsi="Arial" w:cs="Arial"/>
                <w:sz w:val="18"/>
                <w:szCs w:val="18"/>
                <w:lang w:eastAsia="ko-KR"/>
              </w:rPr>
            </w:pPr>
            <w:r w:rsidRPr="00911253">
              <w:rPr>
                <w:rFonts w:ascii="Arial" w:eastAsia="Batang" w:hAnsi="Arial" w:cs="Arial"/>
                <w:sz w:val="18"/>
                <w:szCs w:val="18"/>
                <w:lang w:eastAsia="ko-KR"/>
              </w:rPr>
              <w:t>60001_MED</w:t>
            </w:r>
          </w:p>
        </w:tc>
        <w:tc>
          <w:tcPr>
            <w:tcW w:w="2062" w:type="dxa"/>
            <w:shd w:val="clear" w:color="auto" w:fill="auto"/>
            <w:vAlign w:val="center"/>
          </w:tcPr>
          <w:p w14:paraId="161C7435" w14:textId="77777777" w:rsidR="005518CC" w:rsidRPr="00911253" w:rsidRDefault="005518CC" w:rsidP="00A43635">
            <w:pPr>
              <w:contextualSpacing/>
              <w:jc w:val="center"/>
              <w:rPr>
                <w:rFonts w:ascii="Arial" w:eastAsia="Batang" w:hAnsi="Arial" w:cs="Arial"/>
                <w:sz w:val="18"/>
                <w:szCs w:val="18"/>
                <w:lang w:eastAsia="ko-KR"/>
              </w:rPr>
            </w:pPr>
            <w:r w:rsidRPr="00911253">
              <w:rPr>
                <w:rFonts w:ascii="Arial" w:eastAsia="Batang" w:hAnsi="Arial" w:cs="Arial"/>
                <w:sz w:val="18"/>
                <w:szCs w:val="18"/>
                <w:lang w:eastAsia="ko-KR"/>
              </w:rPr>
              <w:t>Уведомление о результатах приема ПСИ (макет 60001)</w:t>
            </w:r>
          </w:p>
        </w:tc>
        <w:tc>
          <w:tcPr>
            <w:tcW w:w="1563" w:type="dxa"/>
            <w:shd w:val="clear" w:color="auto" w:fill="auto"/>
            <w:vAlign w:val="center"/>
          </w:tcPr>
          <w:p w14:paraId="5CA2E2F4" w14:textId="42BAB959" w:rsidR="005518CC" w:rsidRPr="00911253" w:rsidRDefault="005518CC" w:rsidP="00945FC0">
            <w:pPr>
              <w:contextualSpacing/>
              <w:jc w:val="center"/>
              <w:rPr>
                <w:rFonts w:ascii="Arial" w:eastAsia="Batang" w:hAnsi="Arial" w:cs="Arial"/>
                <w:sz w:val="18"/>
                <w:szCs w:val="18"/>
                <w:lang w:eastAsia="ko-KR"/>
              </w:rPr>
            </w:pPr>
            <w:r w:rsidRPr="00911253">
              <w:rPr>
                <w:rFonts w:ascii="Arial" w:eastAsia="Batang" w:hAnsi="Arial" w:cs="Arial"/>
                <w:sz w:val="18"/>
                <w:szCs w:val="18"/>
                <w:lang w:eastAsia="ko-KR"/>
              </w:rPr>
              <w:t>Регламент № 11, приложение 5</w:t>
            </w:r>
            <w:r w:rsidR="00945FC0" w:rsidRPr="00945FC0">
              <w:rPr>
                <w:rFonts w:ascii="Arial" w:eastAsia="Batang" w:hAnsi="Arial" w:cs="Arial"/>
                <w:sz w:val="18"/>
                <w:szCs w:val="18"/>
                <w:highlight w:val="yellow"/>
                <w:lang w:eastAsia="ko-KR"/>
              </w:rPr>
              <w:t>;</w:t>
            </w:r>
            <w:r w:rsidRPr="00911253">
              <w:rPr>
                <w:rFonts w:ascii="Arial" w:eastAsia="Batang" w:hAnsi="Arial" w:cs="Arial"/>
                <w:sz w:val="18"/>
                <w:szCs w:val="18"/>
                <w:lang w:eastAsia="ko-KR"/>
              </w:rPr>
              <w:t xml:space="preserve"> </w:t>
            </w:r>
            <w:r w:rsidRPr="00911253">
              <w:rPr>
                <w:rFonts w:ascii="Arial" w:eastAsia="Batang" w:hAnsi="Arial" w:cs="Arial"/>
                <w:sz w:val="18"/>
                <w:szCs w:val="18"/>
                <w:highlight w:val="yellow"/>
                <w:lang w:eastAsia="ko-KR"/>
              </w:rPr>
              <w:t>Положение о порядке получения статуса субъекта оптового рынка, п. 2.1 приложения 9</w:t>
            </w:r>
          </w:p>
        </w:tc>
        <w:tc>
          <w:tcPr>
            <w:tcW w:w="1132" w:type="dxa"/>
            <w:shd w:val="clear" w:color="auto" w:fill="auto"/>
            <w:vAlign w:val="center"/>
          </w:tcPr>
          <w:p w14:paraId="6FE99257" w14:textId="77777777" w:rsidR="005518CC" w:rsidRPr="00911253" w:rsidRDefault="005518CC" w:rsidP="00A43635">
            <w:pPr>
              <w:contextualSpacing/>
              <w:jc w:val="center"/>
              <w:rPr>
                <w:rFonts w:ascii="Arial" w:eastAsia="Batang" w:hAnsi="Arial" w:cs="Arial"/>
                <w:sz w:val="18"/>
                <w:szCs w:val="18"/>
                <w:lang w:eastAsia="ko-KR"/>
              </w:rPr>
            </w:pPr>
            <w:r w:rsidRPr="00911253">
              <w:rPr>
                <w:rFonts w:ascii="Arial" w:hAnsi="Arial" w:cs="Arial"/>
                <w:color w:val="000000"/>
                <w:sz w:val="18"/>
                <w:szCs w:val="18"/>
              </w:rPr>
              <w:t>xml</w:t>
            </w:r>
          </w:p>
        </w:tc>
        <w:tc>
          <w:tcPr>
            <w:tcW w:w="936" w:type="dxa"/>
            <w:shd w:val="clear" w:color="auto" w:fill="auto"/>
            <w:vAlign w:val="center"/>
          </w:tcPr>
          <w:p w14:paraId="6E9FFC6D" w14:textId="77777777" w:rsidR="005518CC" w:rsidRPr="00911253" w:rsidRDefault="005518CC" w:rsidP="00A43635">
            <w:pPr>
              <w:contextualSpacing/>
              <w:jc w:val="center"/>
              <w:rPr>
                <w:rFonts w:ascii="Arial" w:eastAsia="Batang" w:hAnsi="Arial" w:cs="Arial"/>
                <w:sz w:val="18"/>
                <w:szCs w:val="18"/>
                <w:lang w:eastAsia="ko-KR"/>
              </w:rPr>
            </w:pPr>
            <w:r w:rsidRPr="00911253">
              <w:rPr>
                <w:rFonts w:ascii="Arial" w:hAnsi="Arial" w:cs="Arial"/>
                <w:color w:val="000000"/>
                <w:sz w:val="18"/>
                <w:szCs w:val="18"/>
              </w:rPr>
              <w:t>Участник, ФСК</w:t>
            </w:r>
            <w:r w:rsidRPr="00911253">
              <w:rPr>
                <w:rFonts w:ascii="Arial" w:hAnsi="Arial" w:cs="Arial"/>
                <w:color w:val="000000"/>
                <w:sz w:val="18"/>
                <w:szCs w:val="18"/>
                <w:highlight w:val="yellow"/>
              </w:rPr>
              <w:t>, Агрегатор</w:t>
            </w:r>
          </w:p>
        </w:tc>
        <w:tc>
          <w:tcPr>
            <w:tcW w:w="872" w:type="dxa"/>
            <w:shd w:val="clear" w:color="auto" w:fill="auto"/>
            <w:vAlign w:val="center"/>
          </w:tcPr>
          <w:p w14:paraId="0AA3E64D" w14:textId="77777777" w:rsidR="005518CC" w:rsidRPr="00911253" w:rsidRDefault="005518CC" w:rsidP="00A43635">
            <w:pPr>
              <w:contextualSpacing/>
              <w:jc w:val="center"/>
              <w:rPr>
                <w:rFonts w:ascii="Arial" w:eastAsia="Batang" w:hAnsi="Arial" w:cs="Arial"/>
                <w:sz w:val="18"/>
                <w:szCs w:val="18"/>
                <w:lang w:eastAsia="ko-KR"/>
              </w:rPr>
            </w:pPr>
            <w:r w:rsidRPr="00911253">
              <w:rPr>
                <w:rFonts w:ascii="Arial" w:hAnsi="Arial" w:cs="Arial"/>
                <w:color w:val="000000"/>
                <w:sz w:val="18"/>
                <w:szCs w:val="18"/>
              </w:rPr>
              <w:t>АТС</w:t>
            </w:r>
          </w:p>
        </w:tc>
        <w:tc>
          <w:tcPr>
            <w:tcW w:w="1043" w:type="dxa"/>
            <w:shd w:val="clear" w:color="auto" w:fill="auto"/>
            <w:vAlign w:val="center"/>
          </w:tcPr>
          <w:p w14:paraId="4CC6BF76" w14:textId="77777777" w:rsidR="005518CC" w:rsidRPr="00911253" w:rsidRDefault="005518CC" w:rsidP="00A43635">
            <w:pPr>
              <w:contextualSpacing/>
              <w:jc w:val="center"/>
              <w:rPr>
                <w:rFonts w:ascii="Arial" w:eastAsia="Batang" w:hAnsi="Arial" w:cs="Arial"/>
                <w:sz w:val="18"/>
                <w:szCs w:val="18"/>
                <w:lang w:eastAsia="ko-KR"/>
              </w:rPr>
            </w:pPr>
            <w:r w:rsidRPr="00911253">
              <w:rPr>
                <w:rFonts w:ascii="Arial" w:hAnsi="Arial" w:cs="Arial"/>
                <w:color w:val="000000"/>
                <w:sz w:val="18"/>
                <w:szCs w:val="18"/>
              </w:rPr>
              <w:t>Материальный носитель</w:t>
            </w:r>
          </w:p>
        </w:tc>
        <w:tc>
          <w:tcPr>
            <w:tcW w:w="1219" w:type="dxa"/>
            <w:shd w:val="clear" w:color="auto" w:fill="auto"/>
            <w:vAlign w:val="center"/>
          </w:tcPr>
          <w:p w14:paraId="7FABE123" w14:textId="77777777" w:rsidR="005518CC" w:rsidRPr="00911253" w:rsidRDefault="005518CC" w:rsidP="00A43635">
            <w:pPr>
              <w:contextualSpacing/>
              <w:jc w:val="center"/>
              <w:rPr>
                <w:rFonts w:ascii="Arial" w:eastAsia="Batang" w:hAnsi="Arial" w:cs="Arial"/>
                <w:sz w:val="18"/>
                <w:szCs w:val="18"/>
                <w:lang w:eastAsia="ko-KR"/>
              </w:rPr>
            </w:pPr>
            <w:r w:rsidRPr="00911253">
              <w:rPr>
                <w:rFonts w:ascii="Arial" w:hAnsi="Arial" w:cs="Arial"/>
                <w:sz w:val="18"/>
                <w:szCs w:val="18"/>
              </w:rPr>
              <w:t>Нет</w:t>
            </w:r>
          </w:p>
        </w:tc>
        <w:tc>
          <w:tcPr>
            <w:tcW w:w="996" w:type="dxa"/>
            <w:shd w:val="clear" w:color="auto" w:fill="auto"/>
            <w:vAlign w:val="center"/>
          </w:tcPr>
          <w:p w14:paraId="7FE902A8" w14:textId="77777777" w:rsidR="005518CC" w:rsidRPr="00911253" w:rsidRDefault="005518CC" w:rsidP="00A43635">
            <w:pPr>
              <w:contextualSpacing/>
              <w:jc w:val="center"/>
              <w:rPr>
                <w:rFonts w:ascii="Arial" w:eastAsia="Batang" w:hAnsi="Arial" w:cs="Arial"/>
                <w:sz w:val="18"/>
                <w:szCs w:val="18"/>
                <w:lang w:eastAsia="ko-KR"/>
              </w:rPr>
            </w:pPr>
            <w:r w:rsidRPr="00911253">
              <w:rPr>
                <w:rFonts w:ascii="Arial" w:hAnsi="Arial" w:cs="Arial"/>
                <w:sz w:val="18"/>
                <w:szCs w:val="18"/>
              </w:rPr>
              <w:t>Нет</w:t>
            </w:r>
          </w:p>
        </w:tc>
        <w:tc>
          <w:tcPr>
            <w:tcW w:w="1890" w:type="dxa"/>
            <w:shd w:val="clear" w:color="auto" w:fill="auto"/>
            <w:vAlign w:val="center"/>
          </w:tcPr>
          <w:p w14:paraId="2917EC7B" w14:textId="77777777" w:rsidR="005518CC" w:rsidRPr="00911253" w:rsidRDefault="005518CC" w:rsidP="00A43635">
            <w:pPr>
              <w:contextualSpacing/>
              <w:jc w:val="center"/>
              <w:rPr>
                <w:rFonts w:ascii="Arial" w:eastAsia="Batang" w:hAnsi="Arial" w:cs="Arial"/>
                <w:sz w:val="18"/>
                <w:szCs w:val="18"/>
                <w:lang w:eastAsia="ko-KR"/>
              </w:rPr>
            </w:pPr>
            <w:r w:rsidRPr="00911253">
              <w:rPr>
                <w:rFonts w:ascii="Arial" w:hAnsi="Arial" w:cs="Arial"/>
                <w:sz w:val="18"/>
                <w:szCs w:val="18"/>
              </w:rPr>
              <w:t>1.3.6.1.4.1.18545.1.2.1.9</w:t>
            </w:r>
          </w:p>
        </w:tc>
        <w:tc>
          <w:tcPr>
            <w:tcW w:w="1062" w:type="dxa"/>
            <w:shd w:val="clear" w:color="auto" w:fill="auto"/>
            <w:vAlign w:val="center"/>
          </w:tcPr>
          <w:p w14:paraId="15D7F17E" w14:textId="77777777" w:rsidR="005518CC" w:rsidRPr="00911253" w:rsidRDefault="005518CC" w:rsidP="00A43635">
            <w:pPr>
              <w:contextualSpacing/>
              <w:jc w:val="center"/>
              <w:rPr>
                <w:rFonts w:ascii="Arial" w:eastAsia="Batang" w:hAnsi="Arial" w:cs="Arial"/>
                <w:sz w:val="18"/>
                <w:szCs w:val="18"/>
                <w:lang w:eastAsia="ko-KR"/>
              </w:rPr>
            </w:pPr>
            <w:r w:rsidRPr="00911253">
              <w:rPr>
                <w:rFonts w:ascii="Arial" w:hAnsi="Arial" w:cs="Arial"/>
                <w:sz w:val="18"/>
                <w:szCs w:val="18"/>
              </w:rPr>
              <w:t>ASPMailer, блокнот</w:t>
            </w:r>
          </w:p>
        </w:tc>
        <w:tc>
          <w:tcPr>
            <w:tcW w:w="785" w:type="dxa"/>
            <w:shd w:val="clear" w:color="auto" w:fill="auto"/>
            <w:vAlign w:val="center"/>
          </w:tcPr>
          <w:p w14:paraId="18583B34" w14:textId="77777777" w:rsidR="005518CC" w:rsidRPr="00911253" w:rsidRDefault="005518CC" w:rsidP="00A43635">
            <w:pPr>
              <w:contextualSpacing/>
              <w:jc w:val="center"/>
              <w:rPr>
                <w:rFonts w:ascii="Arial" w:eastAsia="Batang" w:hAnsi="Arial" w:cs="Arial"/>
                <w:sz w:val="18"/>
                <w:szCs w:val="18"/>
                <w:lang w:eastAsia="ko-KR"/>
              </w:rPr>
            </w:pPr>
            <w:r w:rsidRPr="00911253">
              <w:rPr>
                <w:rFonts w:ascii="Arial" w:hAnsi="Arial" w:cs="Arial"/>
                <w:sz w:val="18"/>
                <w:szCs w:val="18"/>
              </w:rPr>
              <w:t>постоянно</w:t>
            </w:r>
          </w:p>
        </w:tc>
        <w:tc>
          <w:tcPr>
            <w:tcW w:w="821" w:type="dxa"/>
            <w:shd w:val="clear" w:color="auto" w:fill="auto"/>
          </w:tcPr>
          <w:p w14:paraId="0BE3F7DC" w14:textId="77777777" w:rsidR="005518CC" w:rsidRPr="00911253" w:rsidRDefault="005518CC" w:rsidP="00A43635">
            <w:pPr>
              <w:contextualSpacing/>
              <w:jc w:val="center"/>
              <w:rPr>
                <w:rFonts w:ascii="Arial" w:eastAsia="Batang" w:hAnsi="Arial" w:cs="Arial"/>
                <w:sz w:val="18"/>
                <w:szCs w:val="18"/>
                <w:lang w:eastAsia="ko-KR"/>
              </w:rPr>
            </w:pPr>
          </w:p>
        </w:tc>
      </w:tr>
      <w:tr w:rsidR="005518CC" w:rsidRPr="00911253" w14:paraId="4E9EEA58" w14:textId="77777777" w:rsidTr="00A43635">
        <w:tc>
          <w:tcPr>
            <w:tcW w:w="1099" w:type="dxa"/>
            <w:shd w:val="clear" w:color="auto" w:fill="auto"/>
            <w:vAlign w:val="center"/>
          </w:tcPr>
          <w:p w14:paraId="2FAC3A5F" w14:textId="77777777" w:rsidR="005518CC" w:rsidRPr="00911253" w:rsidRDefault="005518CC" w:rsidP="00A43635">
            <w:pPr>
              <w:contextualSpacing/>
              <w:jc w:val="center"/>
              <w:rPr>
                <w:rFonts w:ascii="Arial" w:eastAsia="Batang" w:hAnsi="Arial" w:cs="Arial"/>
                <w:sz w:val="18"/>
                <w:szCs w:val="18"/>
                <w:lang w:eastAsia="ko-KR"/>
              </w:rPr>
            </w:pPr>
            <w:r w:rsidRPr="00911253">
              <w:rPr>
                <w:rFonts w:ascii="Arial" w:eastAsia="Batang" w:hAnsi="Arial" w:cs="Arial"/>
                <w:sz w:val="18"/>
                <w:szCs w:val="18"/>
                <w:lang w:eastAsia="ko-KR"/>
              </w:rPr>
              <w:t>60001_WEB</w:t>
            </w:r>
          </w:p>
        </w:tc>
        <w:tc>
          <w:tcPr>
            <w:tcW w:w="2062" w:type="dxa"/>
            <w:shd w:val="clear" w:color="auto" w:fill="auto"/>
            <w:vAlign w:val="center"/>
          </w:tcPr>
          <w:p w14:paraId="7D482AD2" w14:textId="77777777" w:rsidR="005518CC" w:rsidRPr="00911253" w:rsidRDefault="005518CC" w:rsidP="00A43635">
            <w:pPr>
              <w:contextualSpacing/>
              <w:jc w:val="center"/>
              <w:rPr>
                <w:rFonts w:ascii="Arial" w:eastAsia="Batang" w:hAnsi="Arial" w:cs="Arial"/>
                <w:sz w:val="18"/>
                <w:szCs w:val="18"/>
                <w:lang w:eastAsia="ko-KR"/>
              </w:rPr>
            </w:pPr>
            <w:r w:rsidRPr="00911253">
              <w:rPr>
                <w:rFonts w:ascii="Arial" w:eastAsia="Batang" w:hAnsi="Arial" w:cs="Arial"/>
                <w:sz w:val="18"/>
                <w:szCs w:val="18"/>
                <w:lang w:eastAsia="ko-KR"/>
              </w:rPr>
              <w:t>Уведомление о результатах приема ПСИ (макет 60001)</w:t>
            </w:r>
          </w:p>
        </w:tc>
        <w:tc>
          <w:tcPr>
            <w:tcW w:w="1563" w:type="dxa"/>
            <w:shd w:val="clear" w:color="auto" w:fill="auto"/>
            <w:vAlign w:val="center"/>
          </w:tcPr>
          <w:p w14:paraId="549FB219" w14:textId="2524F3D1" w:rsidR="005518CC" w:rsidRPr="00911253" w:rsidRDefault="005518CC" w:rsidP="00945FC0">
            <w:pPr>
              <w:contextualSpacing/>
              <w:jc w:val="center"/>
              <w:rPr>
                <w:rFonts w:ascii="Arial" w:eastAsia="Batang" w:hAnsi="Arial" w:cs="Arial"/>
                <w:sz w:val="18"/>
                <w:szCs w:val="18"/>
                <w:lang w:eastAsia="ko-KR"/>
              </w:rPr>
            </w:pPr>
            <w:r w:rsidRPr="00911253">
              <w:rPr>
                <w:rFonts w:ascii="Arial" w:eastAsia="Batang" w:hAnsi="Arial" w:cs="Arial"/>
                <w:sz w:val="18"/>
                <w:szCs w:val="18"/>
                <w:lang w:eastAsia="ko-KR"/>
              </w:rPr>
              <w:t>Регламент № 11, приложение 5</w:t>
            </w:r>
            <w:r w:rsidR="00945FC0" w:rsidRPr="00945FC0">
              <w:rPr>
                <w:rFonts w:ascii="Arial" w:eastAsia="Batang" w:hAnsi="Arial" w:cs="Arial"/>
                <w:sz w:val="18"/>
                <w:szCs w:val="18"/>
                <w:highlight w:val="yellow"/>
                <w:lang w:eastAsia="ko-KR"/>
              </w:rPr>
              <w:t>;</w:t>
            </w:r>
            <w:r w:rsidRPr="00911253">
              <w:rPr>
                <w:rFonts w:ascii="Arial" w:eastAsia="Batang" w:hAnsi="Arial" w:cs="Arial"/>
                <w:sz w:val="18"/>
                <w:szCs w:val="18"/>
                <w:lang w:eastAsia="ko-KR"/>
              </w:rPr>
              <w:t xml:space="preserve"> </w:t>
            </w:r>
            <w:r w:rsidRPr="00911253">
              <w:rPr>
                <w:rFonts w:ascii="Arial" w:eastAsia="Batang" w:hAnsi="Arial" w:cs="Arial"/>
                <w:sz w:val="18"/>
                <w:szCs w:val="18"/>
                <w:highlight w:val="yellow"/>
                <w:lang w:eastAsia="ko-KR"/>
              </w:rPr>
              <w:lastRenderedPageBreak/>
              <w:t>Положение о порядке получения статуса субъекта оптового рынка, п. 2.1 приложения 9</w:t>
            </w:r>
          </w:p>
        </w:tc>
        <w:tc>
          <w:tcPr>
            <w:tcW w:w="1132" w:type="dxa"/>
            <w:shd w:val="clear" w:color="auto" w:fill="auto"/>
            <w:vAlign w:val="center"/>
          </w:tcPr>
          <w:p w14:paraId="0D805402" w14:textId="77777777" w:rsidR="005518CC" w:rsidRPr="00911253" w:rsidRDefault="005518CC" w:rsidP="00A43635">
            <w:pPr>
              <w:contextualSpacing/>
              <w:jc w:val="center"/>
              <w:rPr>
                <w:rFonts w:ascii="Arial" w:hAnsi="Arial" w:cs="Arial"/>
                <w:color w:val="000000"/>
                <w:sz w:val="18"/>
                <w:szCs w:val="18"/>
              </w:rPr>
            </w:pPr>
            <w:r w:rsidRPr="00911253">
              <w:rPr>
                <w:rFonts w:ascii="Arial" w:hAnsi="Arial" w:cs="Arial"/>
                <w:color w:val="000000"/>
                <w:sz w:val="18"/>
                <w:szCs w:val="18"/>
              </w:rPr>
              <w:lastRenderedPageBreak/>
              <w:t>xml</w:t>
            </w:r>
          </w:p>
        </w:tc>
        <w:tc>
          <w:tcPr>
            <w:tcW w:w="936" w:type="dxa"/>
            <w:shd w:val="clear" w:color="auto" w:fill="auto"/>
            <w:vAlign w:val="center"/>
          </w:tcPr>
          <w:p w14:paraId="0F238BEC" w14:textId="77777777" w:rsidR="005518CC" w:rsidRPr="00911253" w:rsidRDefault="005518CC" w:rsidP="00A43635">
            <w:pPr>
              <w:contextualSpacing/>
              <w:jc w:val="center"/>
              <w:rPr>
                <w:rFonts w:ascii="Arial" w:hAnsi="Arial" w:cs="Arial"/>
                <w:color w:val="000000"/>
                <w:sz w:val="18"/>
                <w:szCs w:val="18"/>
              </w:rPr>
            </w:pPr>
            <w:r w:rsidRPr="00911253">
              <w:rPr>
                <w:rFonts w:ascii="Arial" w:hAnsi="Arial" w:cs="Arial"/>
                <w:color w:val="000000"/>
                <w:sz w:val="18"/>
                <w:szCs w:val="18"/>
              </w:rPr>
              <w:t>Участник, ФСК</w:t>
            </w:r>
            <w:r w:rsidRPr="00911253">
              <w:rPr>
                <w:rFonts w:ascii="Arial" w:hAnsi="Arial" w:cs="Arial"/>
                <w:color w:val="000000"/>
                <w:sz w:val="18"/>
                <w:szCs w:val="18"/>
                <w:highlight w:val="yellow"/>
              </w:rPr>
              <w:t xml:space="preserve">, </w:t>
            </w:r>
            <w:r w:rsidRPr="00911253">
              <w:rPr>
                <w:rFonts w:ascii="Arial" w:hAnsi="Arial" w:cs="Arial"/>
                <w:color w:val="000000"/>
                <w:sz w:val="18"/>
                <w:szCs w:val="18"/>
                <w:highlight w:val="yellow"/>
              </w:rPr>
              <w:lastRenderedPageBreak/>
              <w:t>Агрегатор</w:t>
            </w:r>
          </w:p>
        </w:tc>
        <w:tc>
          <w:tcPr>
            <w:tcW w:w="872" w:type="dxa"/>
            <w:shd w:val="clear" w:color="auto" w:fill="auto"/>
            <w:vAlign w:val="center"/>
          </w:tcPr>
          <w:p w14:paraId="61BBA33D" w14:textId="77777777" w:rsidR="005518CC" w:rsidRPr="00911253" w:rsidRDefault="005518CC" w:rsidP="00A43635">
            <w:pPr>
              <w:contextualSpacing/>
              <w:jc w:val="center"/>
              <w:rPr>
                <w:rFonts w:ascii="Arial" w:hAnsi="Arial" w:cs="Arial"/>
                <w:color w:val="000000"/>
                <w:sz w:val="18"/>
                <w:szCs w:val="18"/>
              </w:rPr>
            </w:pPr>
            <w:r w:rsidRPr="00911253">
              <w:rPr>
                <w:rFonts w:ascii="Arial" w:hAnsi="Arial" w:cs="Arial"/>
                <w:color w:val="000000"/>
                <w:sz w:val="18"/>
                <w:szCs w:val="18"/>
              </w:rPr>
              <w:lastRenderedPageBreak/>
              <w:t>АТС</w:t>
            </w:r>
          </w:p>
        </w:tc>
        <w:tc>
          <w:tcPr>
            <w:tcW w:w="1043" w:type="dxa"/>
            <w:shd w:val="clear" w:color="auto" w:fill="auto"/>
            <w:vAlign w:val="center"/>
          </w:tcPr>
          <w:p w14:paraId="76725870" w14:textId="77777777" w:rsidR="005518CC" w:rsidRPr="00911253" w:rsidRDefault="005518CC" w:rsidP="00A43635">
            <w:pPr>
              <w:contextualSpacing/>
              <w:jc w:val="center"/>
              <w:rPr>
                <w:rFonts w:ascii="Arial" w:hAnsi="Arial" w:cs="Arial"/>
                <w:color w:val="000000"/>
                <w:sz w:val="18"/>
                <w:szCs w:val="18"/>
              </w:rPr>
            </w:pPr>
            <w:r w:rsidRPr="00911253">
              <w:rPr>
                <w:rFonts w:ascii="Arial" w:hAnsi="Arial" w:cs="Arial"/>
                <w:color w:val="000000"/>
                <w:sz w:val="18"/>
                <w:szCs w:val="18"/>
              </w:rPr>
              <w:t>WEB-интерфейс</w:t>
            </w:r>
          </w:p>
        </w:tc>
        <w:tc>
          <w:tcPr>
            <w:tcW w:w="1219" w:type="dxa"/>
            <w:shd w:val="clear" w:color="auto" w:fill="auto"/>
            <w:vAlign w:val="center"/>
          </w:tcPr>
          <w:p w14:paraId="1BB7B581" w14:textId="77777777" w:rsidR="005518CC" w:rsidRPr="00911253" w:rsidRDefault="005518CC" w:rsidP="00A43635">
            <w:pPr>
              <w:contextualSpacing/>
              <w:jc w:val="center"/>
              <w:rPr>
                <w:rFonts w:ascii="Arial" w:hAnsi="Arial" w:cs="Arial"/>
                <w:sz w:val="18"/>
                <w:szCs w:val="18"/>
              </w:rPr>
            </w:pPr>
            <w:r w:rsidRPr="00911253">
              <w:rPr>
                <w:rFonts w:ascii="Arial" w:hAnsi="Arial" w:cs="Arial"/>
                <w:sz w:val="18"/>
                <w:szCs w:val="18"/>
              </w:rPr>
              <w:t>Нет</w:t>
            </w:r>
          </w:p>
        </w:tc>
        <w:tc>
          <w:tcPr>
            <w:tcW w:w="996" w:type="dxa"/>
            <w:shd w:val="clear" w:color="auto" w:fill="auto"/>
            <w:vAlign w:val="center"/>
          </w:tcPr>
          <w:p w14:paraId="71BAD03B" w14:textId="77777777" w:rsidR="005518CC" w:rsidRPr="00911253" w:rsidRDefault="005518CC" w:rsidP="00A43635">
            <w:pPr>
              <w:contextualSpacing/>
              <w:jc w:val="center"/>
              <w:rPr>
                <w:rFonts w:ascii="Arial" w:hAnsi="Arial" w:cs="Arial"/>
                <w:sz w:val="18"/>
                <w:szCs w:val="18"/>
              </w:rPr>
            </w:pPr>
            <w:r w:rsidRPr="00911253">
              <w:rPr>
                <w:rFonts w:ascii="Arial" w:hAnsi="Arial" w:cs="Arial"/>
                <w:sz w:val="18"/>
                <w:szCs w:val="18"/>
              </w:rPr>
              <w:t>Нет</w:t>
            </w:r>
          </w:p>
        </w:tc>
        <w:tc>
          <w:tcPr>
            <w:tcW w:w="1890" w:type="dxa"/>
            <w:shd w:val="clear" w:color="auto" w:fill="auto"/>
            <w:vAlign w:val="center"/>
          </w:tcPr>
          <w:p w14:paraId="26D35462" w14:textId="77777777" w:rsidR="005518CC" w:rsidRPr="00911253" w:rsidRDefault="005518CC" w:rsidP="00A43635">
            <w:pPr>
              <w:contextualSpacing/>
              <w:jc w:val="center"/>
              <w:rPr>
                <w:rFonts w:ascii="Arial" w:hAnsi="Arial" w:cs="Arial"/>
                <w:sz w:val="18"/>
                <w:szCs w:val="18"/>
              </w:rPr>
            </w:pPr>
            <w:r w:rsidRPr="00911253">
              <w:rPr>
                <w:rFonts w:ascii="Arial" w:hAnsi="Arial" w:cs="Arial"/>
                <w:sz w:val="18"/>
                <w:szCs w:val="18"/>
              </w:rPr>
              <w:t>1.3.6.1.4.1.18545.1.2.1.9</w:t>
            </w:r>
          </w:p>
        </w:tc>
        <w:tc>
          <w:tcPr>
            <w:tcW w:w="1062" w:type="dxa"/>
            <w:shd w:val="clear" w:color="auto" w:fill="auto"/>
            <w:vAlign w:val="center"/>
          </w:tcPr>
          <w:p w14:paraId="1458EB47" w14:textId="77777777" w:rsidR="005518CC" w:rsidRPr="00911253" w:rsidRDefault="005518CC" w:rsidP="00A43635">
            <w:pPr>
              <w:contextualSpacing/>
              <w:jc w:val="center"/>
              <w:rPr>
                <w:rFonts w:ascii="Arial" w:hAnsi="Arial" w:cs="Arial"/>
                <w:sz w:val="18"/>
                <w:szCs w:val="18"/>
              </w:rPr>
            </w:pPr>
            <w:r w:rsidRPr="00911253">
              <w:rPr>
                <w:rFonts w:ascii="Arial" w:hAnsi="Arial" w:cs="Arial"/>
                <w:sz w:val="18"/>
                <w:szCs w:val="18"/>
              </w:rPr>
              <w:t>ASPMailer, блокнот</w:t>
            </w:r>
          </w:p>
        </w:tc>
        <w:tc>
          <w:tcPr>
            <w:tcW w:w="785" w:type="dxa"/>
            <w:shd w:val="clear" w:color="auto" w:fill="auto"/>
            <w:vAlign w:val="center"/>
          </w:tcPr>
          <w:p w14:paraId="3246B4B2" w14:textId="77777777" w:rsidR="005518CC" w:rsidRPr="00911253" w:rsidRDefault="005518CC" w:rsidP="00A43635">
            <w:pPr>
              <w:contextualSpacing/>
              <w:jc w:val="center"/>
              <w:rPr>
                <w:rFonts w:ascii="Arial" w:hAnsi="Arial" w:cs="Arial"/>
                <w:sz w:val="18"/>
                <w:szCs w:val="18"/>
              </w:rPr>
            </w:pPr>
            <w:r w:rsidRPr="00911253">
              <w:rPr>
                <w:rFonts w:ascii="Arial" w:hAnsi="Arial" w:cs="Arial"/>
                <w:sz w:val="18"/>
                <w:szCs w:val="18"/>
              </w:rPr>
              <w:t>постоянно</w:t>
            </w:r>
          </w:p>
        </w:tc>
        <w:tc>
          <w:tcPr>
            <w:tcW w:w="821" w:type="dxa"/>
            <w:shd w:val="clear" w:color="auto" w:fill="auto"/>
          </w:tcPr>
          <w:p w14:paraId="5D8EE974" w14:textId="77777777" w:rsidR="005518CC" w:rsidRPr="00911253" w:rsidRDefault="005518CC" w:rsidP="00A43635">
            <w:pPr>
              <w:contextualSpacing/>
              <w:jc w:val="center"/>
              <w:rPr>
                <w:rFonts w:ascii="Arial" w:eastAsia="Batang" w:hAnsi="Arial" w:cs="Arial"/>
                <w:sz w:val="18"/>
                <w:szCs w:val="18"/>
                <w:lang w:eastAsia="ko-KR"/>
              </w:rPr>
            </w:pPr>
          </w:p>
        </w:tc>
      </w:tr>
      <w:tr w:rsidR="005518CC" w:rsidRPr="00911253" w14:paraId="1D89BB18" w14:textId="77777777" w:rsidTr="00A43635">
        <w:tc>
          <w:tcPr>
            <w:tcW w:w="1099" w:type="dxa"/>
            <w:shd w:val="clear" w:color="auto" w:fill="auto"/>
          </w:tcPr>
          <w:p w14:paraId="41911EB1" w14:textId="77777777" w:rsidR="005518CC" w:rsidRPr="00911253" w:rsidRDefault="005518CC" w:rsidP="00A43635">
            <w:pPr>
              <w:contextualSpacing/>
              <w:jc w:val="center"/>
              <w:rPr>
                <w:rFonts w:ascii="Arial" w:eastAsia="Batang" w:hAnsi="Arial" w:cs="Arial"/>
                <w:sz w:val="18"/>
                <w:szCs w:val="18"/>
                <w:lang w:eastAsia="ko-KR"/>
              </w:rPr>
            </w:pPr>
            <w:r w:rsidRPr="009B1F23">
              <w:rPr>
                <w:rFonts w:ascii="Arial" w:hAnsi="Arial" w:cs="Arial"/>
                <w:color w:val="000000"/>
                <w:sz w:val="18"/>
                <w:szCs w:val="18"/>
              </w:rPr>
              <w:t>80000_WEB</w:t>
            </w:r>
          </w:p>
        </w:tc>
        <w:tc>
          <w:tcPr>
            <w:tcW w:w="2062" w:type="dxa"/>
            <w:shd w:val="clear" w:color="auto" w:fill="auto"/>
          </w:tcPr>
          <w:p w14:paraId="77533547" w14:textId="77777777" w:rsidR="005518CC" w:rsidRPr="00911253" w:rsidRDefault="005518CC" w:rsidP="00A43635">
            <w:pPr>
              <w:contextualSpacing/>
              <w:jc w:val="center"/>
              <w:rPr>
                <w:rFonts w:ascii="Arial" w:eastAsia="Batang" w:hAnsi="Arial" w:cs="Arial"/>
                <w:sz w:val="18"/>
                <w:szCs w:val="18"/>
                <w:lang w:eastAsia="ko-KR"/>
              </w:rPr>
            </w:pPr>
            <w:r w:rsidRPr="009B1F23">
              <w:rPr>
                <w:rFonts w:ascii="Arial" w:hAnsi="Arial" w:cs="Arial"/>
                <w:color w:val="000000"/>
                <w:sz w:val="18"/>
                <w:szCs w:val="18"/>
              </w:rPr>
              <w:t>Коды по точкам измерений, точкам поставки, группам точек поставки и сальдо перетоков (формат 80000)</w:t>
            </w:r>
          </w:p>
        </w:tc>
        <w:tc>
          <w:tcPr>
            <w:tcW w:w="1563" w:type="dxa"/>
            <w:shd w:val="clear" w:color="auto" w:fill="auto"/>
          </w:tcPr>
          <w:p w14:paraId="4E2FE1D9" w14:textId="77777777" w:rsidR="005518CC" w:rsidRPr="00911253" w:rsidRDefault="005518CC" w:rsidP="00A43635">
            <w:pPr>
              <w:contextualSpacing/>
              <w:jc w:val="center"/>
              <w:rPr>
                <w:rFonts w:ascii="Arial" w:eastAsia="Batang" w:hAnsi="Arial" w:cs="Arial"/>
                <w:sz w:val="18"/>
                <w:szCs w:val="18"/>
                <w:lang w:eastAsia="ko-KR"/>
              </w:rPr>
            </w:pPr>
            <w:r w:rsidRPr="009B1F23">
              <w:rPr>
                <w:rFonts w:ascii="Arial" w:hAnsi="Arial" w:cs="Arial"/>
                <w:color w:val="000000"/>
                <w:sz w:val="18"/>
                <w:szCs w:val="18"/>
              </w:rPr>
              <w:t>Регламент № 11.1.1, приложение 14</w:t>
            </w:r>
          </w:p>
        </w:tc>
        <w:tc>
          <w:tcPr>
            <w:tcW w:w="1132" w:type="dxa"/>
            <w:shd w:val="clear" w:color="auto" w:fill="auto"/>
          </w:tcPr>
          <w:p w14:paraId="1DF821D1" w14:textId="77777777" w:rsidR="005518CC" w:rsidRPr="00911253" w:rsidRDefault="005518CC" w:rsidP="00A43635">
            <w:pPr>
              <w:contextualSpacing/>
              <w:jc w:val="center"/>
              <w:rPr>
                <w:rFonts w:ascii="Arial" w:hAnsi="Arial" w:cs="Arial"/>
                <w:color w:val="000000"/>
                <w:sz w:val="18"/>
                <w:szCs w:val="18"/>
              </w:rPr>
            </w:pPr>
            <w:r w:rsidRPr="009B1F23">
              <w:rPr>
                <w:rFonts w:ascii="Arial" w:hAnsi="Arial" w:cs="Arial"/>
                <w:color w:val="000000"/>
                <w:sz w:val="18"/>
                <w:szCs w:val="18"/>
              </w:rPr>
              <w:t>xml</w:t>
            </w:r>
          </w:p>
        </w:tc>
        <w:tc>
          <w:tcPr>
            <w:tcW w:w="936" w:type="dxa"/>
            <w:shd w:val="clear" w:color="auto" w:fill="auto"/>
          </w:tcPr>
          <w:p w14:paraId="53361C8D" w14:textId="77777777" w:rsidR="005518CC" w:rsidRPr="00911253" w:rsidRDefault="005518CC" w:rsidP="00A43635">
            <w:pPr>
              <w:contextualSpacing/>
              <w:jc w:val="center"/>
              <w:rPr>
                <w:rFonts w:ascii="Arial" w:hAnsi="Arial" w:cs="Arial"/>
                <w:color w:val="000000"/>
                <w:sz w:val="18"/>
                <w:szCs w:val="18"/>
              </w:rPr>
            </w:pPr>
            <w:r w:rsidRPr="009B1F23">
              <w:rPr>
                <w:rFonts w:ascii="Arial" w:hAnsi="Arial" w:cs="Arial"/>
                <w:color w:val="000000"/>
                <w:sz w:val="18"/>
                <w:szCs w:val="18"/>
              </w:rPr>
              <w:t>АТС</w:t>
            </w:r>
          </w:p>
        </w:tc>
        <w:tc>
          <w:tcPr>
            <w:tcW w:w="872" w:type="dxa"/>
            <w:shd w:val="clear" w:color="auto" w:fill="auto"/>
          </w:tcPr>
          <w:p w14:paraId="5DF22DF4" w14:textId="140F933F" w:rsidR="005518CC" w:rsidRPr="00911253" w:rsidRDefault="005518CC" w:rsidP="00A43635">
            <w:pPr>
              <w:contextualSpacing/>
              <w:jc w:val="center"/>
              <w:rPr>
                <w:rFonts w:ascii="Arial" w:hAnsi="Arial" w:cs="Arial"/>
                <w:color w:val="000000"/>
                <w:sz w:val="18"/>
                <w:szCs w:val="18"/>
              </w:rPr>
            </w:pPr>
            <w:r w:rsidRPr="009B1F23">
              <w:rPr>
                <w:rFonts w:ascii="Arial" w:hAnsi="Arial" w:cs="Arial"/>
                <w:color w:val="000000"/>
                <w:sz w:val="18"/>
                <w:szCs w:val="18"/>
              </w:rPr>
              <w:t>ФСК, Участник</w:t>
            </w:r>
            <w:r>
              <w:rPr>
                <w:rFonts w:ascii="Arial" w:hAnsi="Arial" w:cs="Arial"/>
                <w:color w:val="000000"/>
                <w:sz w:val="18"/>
                <w:szCs w:val="18"/>
              </w:rPr>
              <w:t>,</w:t>
            </w:r>
            <w:r w:rsidR="009B5F03">
              <w:rPr>
                <w:rFonts w:ascii="Arial" w:hAnsi="Arial" w:cs="Arial"/>
                <w:color w:val="000000"/>
                <w:sz w:val="18"/>
                <w:szCs w:val="18"/>
              </w:rPr>
              <w:t xml:space="preserve"> </w:t>
            </w:r>
            <w:r w:rsidRPr="00912654">
              <w:rPr>
                <w:rFonts w:ascii="Arial" w:hAnsi="Arial" w:cs="Arial"/>
                <w:color w:val="000000"/>
                <w:sz w:val="18"/>
                <w:szCs w:val="18"/>
                <w:highlight w:val="yellow"/>
              </w:rPr>
              <w:t>Агрегатор</w:t>
            </w:r>
          </w:p>
        </w:tc>
        <w:tc>
          <w:tcPr>
            <w:tcW w:w="1043" w:type="dxa"/>
            <w:shd w:val="clear" w:color="auto" w:fill="auto"/>
          </w:tcPr>
          <w:p w14:paraId="2ED9D696" w14:textId="77777777" w:rsidR="005518CC" w:rsidRPr="00911253" w:rsidRDefault="005518CC" w:rsidP="00A43635">
            <w:pPr>
              <w:contextualSpacing/>
              <w:jc w:val="center"/>
              <w:rPr>
                <w:rFonts w:ascii="Arial" w:hAnsi="Arial" w:cs="Arial"/>
                <w:color w:val="000000"/>
                <w:sz w:val="18"/>
                <w:szCs w:val="18"/>
              </w:rPr>
            </w:pPr>
            <w:r w:rsidRPr="009B1F23">
              <w:rPr>
                <w:rFonts w:ascii="Arial" w:hAnsi="Arial" w:cs="Arial"/>
                <w:color w:val="000000"/>
                <w:sz w:val="18"/>
                <w:szCs w:val="18"/>
              </w:rPr>
              <w:t>WEB-интерфейс</w:t>
            </w:r>
          </w:p>
        </w:tc>
        <w:tc>
          <w:tcPr>
            <w:tcW w:w="1219" w:type="dxa"/>
            <w:shd w:val="clear" w:color="auto" w:fill="auto"/>
          </w:tcPr>
          <w:p w14:paraId="760A1660" w14:textId="77777777" w:rsidR="005518CC" w:rsidRPr="00911253" w:rsidRDefault="005518CC" w:rsidP="00A43635">
            <w:pPr>
              <w:contextualSpacing/>
              <w:jc w:val="center"/>
              <w:rPr>
                <w:rFonts w:ascii="Arial" w:hAnsi="Arial" w:cs="Arial"/>
                <w:sz w:val="18"/>
                <w:szCs w:val="18"/>
              </w:rPr>
            </w:pPr>
            <w:r w:rsidRPr="009B1F23">
              <w:rPr>
                <w:rFonts w:ascii="Arial" w:hAnsi="Arial" w:cs="Arial"/>
                <w:color w:val="000000"/>
                <w:sz w:val="18"/>
                <w:szCs w:val="18"/>
              </w:rPr>
              <w:t>Нет</w:t>
            </w:r>
          </w:p>
        </w:tc>
        <w:tc>
          <w:tcPr>
            <w:tcW w:w="996" w:type="dxa"/>
            <w:shd w:val="clear" w:color="auto" w:fill="auto"/>
          </w:tcPr>
          <w:p w14:paraId="7C095190" w14:textId="77777777" w:rsidR="005518CC" w:rsidRPr="00911253" w:rsidRDefault="005518CC" w:rsidP="00A43635">
            <w:pPr>
              <w:contextualSpacing/>
              <w:jc w:val="center"/>
              <w:rPr>
                <w:rFonts w:ascii="Arial" w:hAnsi="Arial" w:cs="Arial"/>
                <w:sz w:val="18"/>
                <w:szCs w:val="18"/>
              </w:rPr>
            </w:pPr>
            <w:r w:rsidRPr="009B1F23">
              <w:rPr>
                <w:rFonts w:ascii="Arial" w:hAnsi="Arial" w:cs="Arial"/>
                <w:color w:val="000000"/>
                <w:sz w:val="18"/>
                <w:szCs w:val="18"/>
              </w:rPr>
              <w:t>Да</w:t>
            </w:r>
          </w:p>
        </w:tc>
        <w:tc>
          <w:tcPr>
            <w:tcW w:w="1890" w:type="dxa"/>
            <w:shd w:val="clear" w:color="auto" w:fill="auto"/>
          </w:tcPr>
          <w:p w14:paraId="0C8B08B6" w14:textId="77777777" w:rsidR="005518CC" w:rsidRPr="00911253" w:rsidRDefault="005518CC" w:rsidP="00A43635">
            <w:pPr>
              <w:contextualSpacing/>
              <w:jc w:val="center"/>
              <w:rPr>
                <w:rFonts w:ascii="Arial" w:hAnsi="Arial" w:cs="Arial"/>
                <w:sz w:val="18"/>
                <w:szCs w:val="18"/>
              </w:rPr>
            </w:pPr>
            <w:r w:rsidRPr="009B1F23">
              <w:rPr>
                <w:rFonts w:ascii="Arial" w:hAnsi="Arial" w:cs="Arial"/>
                <w:color w:val="000000"/>
                <w:sz w:val="18"/>
                <w:szCs w:val="18"/>
              </w:rPr>
              <w:t>1.3.6.1.4.1.18545.1.2.1.9</w:t>
            </w:r>
          </w:p>
        </w:tc>
        <w:tc>
          <w:tcPr>
            <w:tcW w:w="1062" w:type="dxa"/>
            <w:shd w:val="clear" w:color="auto" w:fill="auto"/>
          </w:tcPr>
          <w:p w14:paraId="4CD9EA49" w14:textId="77777777" w:rsidR="005518CC" w:rsidRPr="00911253" w:rsidRDefault="005518CC" w:rsidP="00A43635">
            <w:pPr>
              <w:contextualSpacing/>
              <w:jc w:val="center"/>
              <w:rPr>
                <w:rFonts w:ascii="Arial" w:hAnsi="Arial" w:cs="Arial"/>
                <w:sz w:val="18"/>
                <w:szCs w:val="18"/>
              </w:rPr>
            </w:pPr>
            <w:r w:rsidRPr="009B1F23">
              <w:rPr>
                <w:rFonts w:ascii="Arial" w:hAnsi="Arial" w:cs="Arial"/>
                <w:color w:val="000000"/>
                <w:sz w:val="18"/>
                <w:szCs w:val="18"/>
              </w:rPr>
              <w:t>Блокнот</w:t>
            </w:r>
          </w:p>
        </w:tc>
        <w:tc>
          <w:tcPr>
            <w:tcW w:w="785" w:type="dxa"/>
            <w:shd w:val="clear" w:color="auto" w:fill="auto"/>
          </w:tcPr>
          <w:p w14:paraId="5EFDC6E3" w14:textId="77777777" w:rsidR="005518CC" w:rsidRPr="00911253" w:rsidRDefault="005518CC" w:rsidP="00A43635">
            <w:pPr>
              <w:contextualSpacing/>
              <w:jc w:val="center"/>
              <w:rPr>
                <w:rFonts w:ascii="Arial" w:hAnsi="Arial" w:cs="Arial"/>
                <w:sz w:val="18"/>
                <w:szCs w:val="18"/>
              </w:rPr>
            </w:pPr>
            <w:r w:rsidRPr="009B1F23">
              <w:rPr>
                <w:rFonts w:ascii="Arial" w:hAnsi="Arial" w:cs="Arial"/>
                <w:color w:val="000000"/>
                <w:sz w:val="18"/>
                <w:szCs w:val="18"/>
              </w:rPr>
              <w:t>5 лет</w:t>
            </w:r>
          </w:p>
        </w:tc>
        <w:tc>
          <w:tcPr>
            <w:tcW w:w="821" w:type="dxa"/>
            <w:shd w:val="clear" w:color="auto" w:fill="auto"/>
          </w:tcPr>
          <w:p w14:paraId="48C3E089" w14:textId="77777777" w:rsidR="005518CC" w:rsidRPr="00911253" w:rsidRDefault="005518CC" w:rsidP="00A43635">
            <w:pPr>
              <w:contextualSpacing/>
              <w:jc w:val="center"/>
              <w:rPr>
                <w:rFonts w:ascii="Arial" w:eastAsia="Batang" w:hAnsi="Arial" w:cs="Arial"/>
                <w:sz w:val="18"/>
                <w:szCs w:val="18"/>
                <w:lang w:eastAsia="ko-KR"/>
              </w:rPr>
            </w:pPr>
          </w:p>
        </w:tc>
      </w:tr>
      <w:tr w:rsidR="005518CC" w:rsidRPr="00911253" w14:paraId="60EAB609" w14:textId="77777777" w:rsidTr="00A43635">
        <w:trPr>
          <w:trHeight w:val="1491"/>
        </w:trPr>
        <w:tc>
          <w:tcPr>
            <w:tcW w:w="1099" w:type="dxa"/>
            <w:shd w:val="clear" w:color="auto" w:fill="auto"/>
            <w:vAlign w:val="center"/>
          </w:tcPr>
          <w:p w14:paraId="47DB3A98" w14:textId="77777777" w:rsidR="005518CC" w:rsidRPr="00911253" w:rsidRDefault="005518CC" w:rsidP="00A43635">
            <w:pPr>
              <w:contextualSpacing/>
              <w:jc w:val="center"/>
              <w:rPr>
                <w:rFonts w:ascii="Arial" w:eastAsia="Batang" w:hAnsi="Arial" w:cs="Arial"/>
                <w:sz w:val="18"/>
                <w:szCs w:val="18"/>
                <w:lang w:eastAsia="ko-KR"/>
              </w:rPr>
            </w:pPr>
            <w:r w:rsidRPr="00911253">
              <w:rPr>
                <w:rFonts w:ascii="Arial" w:eastAsia="Batang" w:hAnsi="Arial" w:cs="Arial"/>
                <w:sz w:val="18"/>
                <w:szCs w:val="18"/>
                <w:lang w:eastAsia="ko-KR"/>
              </w:rPr>
              <w:t>60002</w:t>
            </w:r>
          </w:p>
        </w:tc>
        <w:tc>
          <w:tcPr>
            <w:tcW w:w="2062" w:type="dxa"/>
            <w:shd w:val="clear" w:color="auto" w:fill="auto"/>
            <w:vAlign w:val="center"/>
          </w:tcPr>
          <w:p w14:paraId="4063BFDF" w14:textId="77777777" w:rsidR="005518CC" w:rsidRPr="00911253" w:rsidRDefault="005518CC" w:rsidP="00A43635">
            <w:pPr>
              <w:contextualSpacing/>
              <w:jc w:val="center"/>
              <w:rPr>
                <w:rFonts w:ascii="Arial" w:eastAsia="Batang" w:hAnsi="Arial" w:cs="Arial"/>
                <w:sz w:val="18"/>
                <w:szCs w:val="18"/>
                <w:lang w:eastAsia="ko-KR"/>
              </w:rPr>
            </w:pPr>
            <w:r w:rsidRPr="00911253">
              <w:rPr>
                <w:rFonts w:ascii="Arial" w:eastAsia="Batang" w:hAnsi="Arial" w:cs="Arial"/>
                <w:sz w:val="18"/>
                <w:szCs w:val="18"/>
                <w:lang w:eastAsia="ko-KR"/>
              </w:rPr>
              <w:t>Перечень средств измерений для целей коммерческого учета (макет 60002)</w:t>
            </w:r>
          </w:p>
        </w:tc>
        <w:tc>
          <w:tcPr>
            <w:tcW w:w="1563" w:type="dxa"/>
            <w:shd w:val="clear" w:color="auto" w:fill="auto"/>
            <w:vAlign w:val="center"/>
          </w:tcPr>
          <w:p w14:paraId="4DC4A201" w14:textId="77777777" w:rsidR="005518CC" w:rsidRPr="00911253" w:rsidRDefault="005518CC" w:rsidP="00A43635">
            <w:pPr>
              <w:contextualSpacing/>
              <w:jc w:val="center"/>
              <w:rPr>
                <w:rFonts w:ascii="Arial" w:eastAsia="Batang" w:hAnsi="Arial" w:cs="Arial"/>
                <w:sz w:val="18"/>
                <w:szCs w:val="18"/>
                <w:lang w:eastAsia="ko-KR"/>
              </w:rPr>
            </w:pPr>
            <w:r w:rsidRPr="00911253">
              <w:rPr>
                <w:rFonts w:ascii="Arial" w:eastAsia="Batang" w:hAnsi="Arial" w:cs="Arial"/>
                <w:sz w:val="18"/>
                <w:szCs w:val="18"/>
                <w:lang w:eastAsia="ko-KR"/>
              </w:rPr>
              <w:t>Регламент № 11, приложение 5</w:t>
            </w:r>
          </w:p>
        </w:tc>
        <w:tc>
          <w:tcPr>
            <w:tcW w:w="1132" w:type="dxa"/>
            <w:shd w:val="clear" w:color="auto" w:fill="auto"/>
            <w:vAlign w:val="center"/>
          </w:tcPr>
          <w:p w14:paraId="0B87F1F5" w14:textId="77777777" w:rsidR="005518CC" w:rsidRPr="00911253" w:rsidRDefault="005518CC" w:rsidP="00A43635">
            <w:pPr>
              <w:contextualSpacing/>
              <w:jc w:val="center"/>
              <w:rPr>
                <w:rFonts w:ascii="Arial" w:hAnsi="Arial" w:cs="Arial"/>
                <w:color w:val="000000"/>
                <w:sz w:val="18"/>
                <w:szCs w:val="18"/>
              </w:rPr>
            </w:pPr>
            <w:r w:rsidRPr="00911253">
              <w:rPr>
                <w:rFonts w:ascii="Arial" w:hAnsi="Arial" w:cs="Arial"/>
                <w:color w:val="000000"/>
                <w:sz w:val="18"/>
                <w:szCs w:val="18"/>
              </w:rPr>
              <w:t>xml</w:t>
            </w:r>
          </w:p>
        </w:tc>
        <w:tc>
          <w:tcPr>
            <w:tcW w:w="936" w:type="dxa"/>
            <w:shd w:val="clear" w:color="auto" w:fill="auto"/>
            <w:vAlign w:val="center"/>
          </w:tcPr>
          <w:p w14:paraId="795A0590" w14:textId="77777777" w:rsidR="005518CC" w:rsidRPr="00911253" w:rsidRDefault="005518CC" w:rsidP="00A43635">
            <w:pPr>
              <w:contextualSpacing/>
              <w:jc w:val="center"/>
              <w:rPr>
                <w:rFonts w:ascii="Arial" w:hAnsi="Arial" w:cs="Arial"/>
                <w:color w:val="000000"/>
                <w:sz w:val="18"/>
                <w:szCs w:val="18"/>
              </w:rPr>
            </w:pPr>
            <w:r w:rsidRPr="00911253">
              <w:rPr>
                <w:rFonts w:ascii="Arial" w:hAnsi="Arial" w:cs="Arial"/>
                <w:color w:val="000000"/>
                <w:sz w:val="18"/>
                <w:szCs w:val="18"/>
              </w:rPr>
              <w:t>АТС</w:t>
            </w:r>
          </w:p>
        </w:tc>
        <w:tc>
          <w:tcPr>
            <w:tcW w:w="872" w:type="dxa"/>
            <w:shd w:val="clear" w:color="auto" w:fill="auto"/>
            <w:vAlign w:val="center"/>
          </w:tcPr>
          <w:p w14:paraId="0D94630C" w14:textId="77777777" w:rsidR="005518CC" w:rsidRPr="00911253" w:rsidRDefault="005518CC" w:rsidP="00A43635">
            <w:pPr>
              <w:contextualSpacing/>
              <w:jc w:val="center"/>
              <w:rPr>
                <w:rFonts w:ascii="Arial" w:hAnsi="Arial" w:cs="Arial"/>
                <w:color w:val="000000"/>
                <w:sz w:val="18"/>
                <w:szCs w:val="18"/>
              </w:rPr>
            </w:pPr>
            <w:r w:rsidRPr="00911253">
              <w:rPr>
                <w:rFonts w:ascii="Arial" w:eastAsia="Batang" w:hAnsi="Arial" w:cs="Arial"/>
                <w:sz w:val="18"/>
                <w:szCs w:val="18"/>
                <w:lang w:eastAsia="ko-KR"/>
              </w:rPr>
              <w:t>Участник, ФСК</w:t>
            </w:r>
            <w:r w:rsidRPr="00911253">
              <w:rPr>
                <w:rFonts w:ascii="Arial" w:hAnsi="Arial" w:cs="Arial"/>
                <w:color w:val="000000"/>
                <w:sz w:val="18"/>
                <w:szCs w:val="18"/>
                <w:highlight w:val="yellow"/>
              </w:rPr>
              <w:t>, Агрегатор</w:t>
            </w:r>
          </w:p>
        </w:tc>
        <w:tc>
          <w:tcPr>
            <w:tcW w:w="1043" w:type="dxa"/>
            <w:shd w:val="clear" w:color="auto" w:fill="auto"/>
            <w:vAlign w:val="center"/>
          </w:tcPr>
          <w:p w14:paraId="10A86F0C" w14:textId="77777777" w:rsidR="005518CC" w:rsidRPr="00911253" w:rsidRDefault="005518CC" w:rsidP="00A43635">
            <w:pPr>
              <w:contextualSpacing/>
              <w:jc w:val="center"/>
              <w:rPr>
                <w:rFonts w:ascii="Arial" w:hAnsi="Arial" w:cs="Arial"/>
                <w:color w:val="000000"/>
                <w:sz w:val="18"/>
                <w:szCs w:val="18"/>
              </w:rPr>
            </w:pPr>
            <w:r w:rsidRPr="00911253">
              <w:rPr>
                <w:rFonts w:ascii="Arial" w:eastAsia="Batang" w:hAnsi="Arial" w:cs="Arial"/>
                <w:sz w:val="18"/>
                <w:szCs w:val="18"/>
                <w:lang w:eastAsia="ko-KR"/>
              </w:rPr>
              <w:t>WEB-интерфейс</w:t>
            </w:r>
          </w:p>
        </w:tc>
        <w:tc>
          <w:tcPr>
            <w:tcW w:w="1219" w:type="dxa"/>
            <w:shd w:val="clear" w:color="auto" w:fill="auto"/>
            <w:vAlign w:val="center"/>
          </w:tcPr>
          <w:p w14:paraId="28B8CEDE" w14:textId="77777777" w:rsidR="005518CC" w:rsidRPr="00911253" w:rsidRDefault="005518CC" w:rsidP="00A43635">
            <w:pPr>
              <w:contextualSpacing/>
              <w:jc w:val="center"/>
              <w:rPr>
                <w:rFonts w:ascii="Arial" w:hAnsi="Arial" w:cs="Arial"/>
                <w:sz w:val="18"/>
                <w:szCs w:val="18"/>
              </w:rPr>
            </w:pPr>
            <w:r w:rsidRPr="00911253">
              <w:rPr>
                <w:rFonts w:ascii="Arial" w:hAnsi="Arial" w:cs="Arial"/>
                <w:sz w:val="18"/>
                <w:szCs w:val="18"/>
              </w:rPr>
              <w:t>Нет</w:t>
            </w:r>
          </w:p>
        </w:tc>
        <w:tc>
          <w:tcPr>
            <w:tcW w:w="996" w:type="dxa"/>
            <w:shd w:val="clear" w:color="auto" w:fill="auto"/>
            <w:vAlign w:val="center"/>
          </w:tcPr>
          <w:p w14:paraId="54E4D444" w14:textId="77777777" w:rsidR="005518CC" w:rsidRPr="00911253" w:rsidRDefault="005518CC" w:rsidP="00A43635">
            <w:pPr>
              <w:contextualSpacing/>
              <w:jc w:val="center"/>
              <w:rPr>
                <w:rFonts w:ascii="Arial" w:hAnsi="Arial" w:cs="Arial"/>
                <w:sz w:val="18"/>
                <w:szCs w:val="18"/>
              </w:rPr>
            </w:pPr>
            <w:r w:rsidRPr="00911253">
              <w:rPr>
                <w:rFonts w:ascii="Arial" w:hAnsi="Arial" w:cs="Arial"/>
                <w:sz w:val="18"/>
                <w:szCs w:val="18"/>
              </w:rPr>
              <w:t>Нет</w:t>
            </w:r>
          </w:p>
        </w:tc>
        <w:tc>
          <w:tcPr>
            <w:tcW w:w="1890" w:type="dxa"/>
            <w:shd w:val="clear" w:color="auto" w:fill="auto"/>
            <w:vAlign w:val="center"/>
          </w:tcPr>
          <w:p w14:paraId="69B028B1" w14:textId="77777777" w:rsidR="005518CC" w:rsidRPr="00911253" w:rsidRDefault="005518CC" w:rsidP="00A43635">
            <w:pPr>
              <w:contextualSpacing/>
              <w:jc w:val="center"/>
              <w:rPr>
                <w:rFonts w:ascii="Arial" w:hAnsi="Arial" w:cs="Arial"/>
                <w:sz w:val="18"/>
                <w:szCs w:val="18"/>
              </w:rPr>
            </w:pPr>
            <w:r w:rsidRPr="00911253">
              <w:rPr>
                <w:rFonts w:ascii="Arial" w:hAnsi="Arial" w:cs="Arial"/>
                <w:sz w:val="18"/>
                <w:szCs w:val="18"/>
              </w:rPr>
              <w:t>1.3.6.1.4.1.18545.1.2.1.9</w:t>
            </w:r>
          </w:p>
        </w:tc>
        <w:tc>
          <w:tcPr>
            <w:tcW w:w="1062" w:type="dxa"/>
            <w:shd w:val="clear" w:color="auto" w:fill="auto"/>
            <w:vAlign w:val="center"/>
          </w:tcPr>
          <w:p w14:paraId="2615EF09" w14:textId="77777777" w:rsidR="005518CC" w:rsidRPr="00911253" w:rsidRDefault="005518CC" w:rsidP="00A43635">
            <w:pPr>
              <w:contextualSpacing/>
              <w:jc w:val="center"/>
              <w:rPr>
                <w:rFonts w:ascii="Arial" w:hAnsi="Arial" w:cs="Arial"/>
                <w:sz w:val="18"/>
                <w:szCs w:val="18"/>
              </w:rPr>
            </w:pPr>
            <w:r w:rsidRPr="00911253">
              <w:rPr>
                <w:rFonts w:ascii="Arial" w:hAnsi="Arial" w:cs="Arial"/>
                <w:sz w:val="18"/>
                <w:szCs w:val="18"/>
              </w:rPr>
              <w:t>ASPMailer, блокнот</w:t>
            </w:r>
          </w:p>
        </w:tc>
        <w:tc>
          <w:tcPr>
            <w:tcW w:w="785" w:type="dxa"/>
            <w:shd w:val="clear" w:color="auto" w:fill="auto"/>
            <w:vAlign w:val="center"/>
          </w:tcPr>
          <w:p w14:paraId="327FF2DA" w14:textId="77777777" w:rsidR="005518CC" w:rsidRDefault="005518CC" w:rsidP="00A43635">
            <w:pPr>
              <w:contextualSpacing/>
              <w:jc w:val="center"/>
              <w:rPr>
                <w:rFonts w:ascii="Arial" w:hAnsi="Arial" w:cs="Arial"/>
                <w:sz w:val="18"/>
                <w:szCs w:val="18"/>
              </w:rPr>
            </w:pPr>
            <w:r w:rsidRPr="00911253">
              <w:rPr>
                <w:rFonts w:ascii="Arial" w:hAnsi="Arial" w:cs="Arial"/>
                <w:sz w:val="18"/>
                <w:szCs w:val="18"/>
              </w:rPr>
              <w:t>постоянно</w:t>
            </w:r>
          </w:p>
          <w:p w14:paraId="71947314" w14:textId="77777777" w:rsidR="005518CC" w:rsidRPr="00911253" w:rsidRDefault="005518CC" w:rsidP="00A43635">
            <w:pPr>
              <w:contextualSpacing/>
              <w:jc w:val="center"/>
              <w:rPr>
                <w:rFonts w:ascii="Arial" w:hAnsi="Arial" w:cs="Arial"/>
                <w:sz w:val="18"/>
                <w:szCs w:val="18"/>
              </w:rPr>
            </w:pPr>
          </w:p>
        </w:tc>
        <w:tc>
          <w:tcPr>
            <w:tcW w:w="821" w:type="dxa"/>
            <w:shd w:val="clear" w:color="auto" w:fill="auto"/>
          </w:tcPr>
          <w:p w14:paraId="670FB6F5" w14:textId="77777777" w:rsidR="005518CC" w:rsidRPr="00911253" w:rsidRDefault="005518CC" w:rsidP="00A43635">
            <w:pPr>
              <w:contextualSpacing/>
              <w:jc w:val="center"/>
              <w:rPr>
                <w:rFonts w:ascii="Arial" w:eastAsia="Batang" w:hAnsi="Arial" w:cs="Arial"/>
                <w:sz w:val="18"/>
                <w:szCs w:val="18"/>
                <w:lang w:eastAsia="ko-KR"/>
              </w:rPr>
            </w:pPr>
          </w:p>
        </w:tc>
      </w:tr>
      <w:tr w:rsidR="005518CC" w:rsidRPr="00911253" w14:paraId="5289CDBE" w14:textId="77777777" w:rsidTr="00A43635">
        <w:tc>
          <w:tcPr>
            <w:tcW w:w="1099" w:type="dxa"/>
            <w:shd w:val="clear" w:color="auto" w:fill="auto"/>
          </w:tcPr>
          <w:p w14:paraId="275659BA" w14:textId="77777777" w:rsidR="005518CC" w:rsidRPr="00911253" w:rsidRDefault="005518CC" w:rsidP="00A43635">
            <w:pPr>
              <w:contextualSpacing/>
              <w:jc w:val="center"/>
              <w:rPr>
                <w:rFonts w:ascii="Arial" w:eastAsia="Batang" w:hAnsi="Arial" w:cs="Arial"/>
                <w:sz w:val="18"/>
                <w:szCs w:val="18"/>
                <w:lang w:eastAsia="ko-KR"/>
              </w:rPr>
            </w:pPr>
            <w:r w:rsidRPr="009B1F23">
              <w:rPr>
                <w:rFonts w:ascii="Arial" w:hAnsi="Arial" w:cs="Arial"/>
                <w:color w:val="000000"/>
                <w:sz w:val="18"/>
                <w:szCs w:val="18"/>
              </w:rPr>
              <w:t>PART_ATS_80015_2_SIGNS</w:t>
            </w:r>
          </w:p>
        </w:tc>
        <w:tc>
          <w:tcPr>
            <w:tcW w:w="2062" w:type="dxa"/>
            <w:shd w:val="clear" w:color="auto" w:fill="auto"/>
          </w:tcPr>
          <w:p w14:paraId="36BD01F9" w14:textId="77777777" w:rsidR="005518CC" w:rsidRPr="00911253" w:rsidRDefault="005518CC" w:rsidP="00A43635">
            <w:pPr>
              <w:contextualSpacing/>
              <w:jc w:val="center"/>
              <w:rPr>
                <w:rFonts w:ascii="Arial" w:eastAsia="Batang" w:hAnsi="Arial" w:cs="Arial"/>
                <w:sz w:val="18"/>
                <w:szCs w:val="18"/>
                <w:lang w:eastAsia="ko-KR"/>
              </w:rPr>
            </w:pPr>
            <w:r w:rsidRPr="009B1F23">
              <w:rPr>
                <w:rFonts w:ascii="Arial" w:hAnsi="Arial" w:cs="Arial"/>
                <w:color w:val="000000"/>
                <w:sz w:val="18"/>
                <w:szCs w:val="18"/>
              </w:rPr>
              <w:t>Подтверждение результата расчета величины учетного показателя</w:t>
            </w:r>
          </w:p>
        </w:tc>
        <w:tc>
          <w:tcPr>
            <w:tcW w:w="1563" w:type="dxa"/>
            <w:shd w:val="clear" w:color="auto" w:fill="auto"/>
          </w:tcPr>
          <w:p w14:paraId="0C01794A" w14:textId="5A01F2B7" w:rsidR="005518CC" w:rsidRPr="00911253" w:rsidRDefault="005518CC" w:rsidP="00945FC0">
            <w:pPr>
              <w:contextualSpacing/>
              <w:jc w:val="center"/>
              <w:rPr>
                <w:rFonts w:ascii="Arial" w:eastAsia="Batang" w:hAnsi="Arial" w:cs="Arial"/>
                <w:sz w:val="18"/>
                <w:szCs w:val="18"/>
                <w:lang w:eastAsia="ko-KR"/>
              </w:rPr>
            </w:pPr>
            <w:r w:rsidRPr="009B1F23">
              <w:rPr>
                <w:rFonts w:ascii="Arial" w:hAnsi="Arial" w:cs="Arial"/>
                <w:color w:val="000000"/>
                <w:sz w:val="18"/>
                <w:szCs w:val="18"/>
              </w:rPr>
              <w:t>Приложение 3 к Положению о порядке получения статуса субъекта оптового рынка</w:t>
            </w:r>
            <w:r w:rsidRPr="00945FC0">
              <w:rPr>
                <w:rFonts w:ascii="Arial" w:hAnsi="Arial" w:cs="Arial"/>
                <w:color w:val="000000"/>
                <w:sz w:val="18"/>
                <w:szCs w:val="18"/>
                <w:highlight w:val="yellow"/>
              </w:rPr>
              <w:t>;</w:t>
            </w:r>
            <w:r w:rsidRPr="009B1F23">
              <w:rPr>
                <w:rFonts w:ascii="Arial" w:hAnsi="Arial" w:cs="Arial"/>
                <w:color w:val="000000"/>
                <w:sz w:val="18"/>
                <w:szCs w:val="18"/>
              </w:rPr>
              <w:t xml:space="preserve"> </w:t>
            </w:r>
            <w:r w:rsidR="00945FC0">
              <w:rPr>
                <w:rFonts w:ascii="Arial" w:hAnsi="Arial" w:cs="Arial"/>
                <w:color w:val="000000"/>
                <w:sz w:val="18"/>
                <w:szCs w:val="18"/>
                <w:highlight w:val="yellow"/>
              </w:rPr>
              <w:t>п</w:t>
            </w:r>
            <w:r w:rsidRPr="007B078C">
              <w:rPr>
                <w:rFonts w:ascii="Arial" w:hAnsi="Arial" w:cs="Arial"/>
                <w:color w:val="000000"/>
                <w:sz w:val="18"/>
                <w:szCs w:val="18"/>
                <w:highlight w:val="yellow"/>
              </w:rPr>
              <w:t>риложение 9 к Положению о порядке получения статуса субъекта оптового рынка</w:t>
            </w:r>
            <w:r w:rsidRPr="009B1F23">
              <w:rPr>
                <w:rFonts w:ascii="Arial" w:hAnsi="Arial" w:cs="Arial"/>
                <w:color w:val="000000"/>
                <w:sz w:val="18"/>
                <w:szCs w:val="18"/>
              </w:rPr>
              <w:t>;</w:t>
            </w:r>
            <w:r>
              <w:rPr>
                <w:rFonts w:ascii="Arial" w:hAnsi="Arial" w:cs="Arial"/>
                <w:color w:val="000000"/>
                <w:sz w:val="18"/>
                <w:szCs w:val="18"/>
              </w:rPr>
              <w:t xml:space="preserve"> </w:t>
            </w:r>
            <w:r w:rsidRPr="009B1F23">
              <w:rPr>
                <w:rFonts w:ascii="Arial" w:hAnsi="Arial" w:cs="Arial"/>
                <w:color w:val="000000"/>
                <w:sz w:val="18"/>
                <w:szCs w:val="18"/>
              </w:rPr>
              <w:t>Регламент № 11</w:t>
            </w:r>
          </w:p>
        </w:tc>
        <w:tc>
          <w:tcPr>
            <w:tcW w:w="1132" w:type="dxa"/>
            <w:shd w:val="clear" w:color="auto" w:fill="auto"/>
          </w:tcPr>
          <w:p w14:paraId="2F96B877" w14:textId="77777777" w:rsidR="005518CC" w:rsidRPr="00911253" w:rsidRDefault="005518CC" w:rsidP="00A43635">
            <w:pPr>
              <w:contextualSpacing/>
              <w:jc w:val="center"/>
              <w:rPr>
                <w:rFonts w:ascii="Arial" w:hAnsi="Arial" w:cs="Arial"/>
                <w:color w:val="000000"/>
                <w:sz w:val="18"/>
                <w:szCs w:val="18"/>
              </w:rPr>
            </w:pPr>
            <w:r w:rsidRPr="009B1F23">
              <w:rPr>
                <w:rFonts w:ascii="Arial" w:hAnsi="Arial" w:cs="Arial"/>
                <w:color w:val="000000"/>
                <w:sz w:val="18"/>
                <w:szCs w:val="18"/>
              </w:rPr>
              <w:t>xls</w:t>
            </w:r>
          </w:p>
        </w:tc>
        <w:tc>
          <w:tcPr>
            <w:tcW w:w="936" w:type="dxa"/>
            <w:shd w:val="clear" w:color="auto" w:fill="auto"/>
          </w:tcPr>
          <w:p w14:paraId="442F89FE" w14:textId="77777777" w:rsidR="005518CC" w:rsidRPr="00911253" w:rsidRDefault="005518CC" w:rsidP="00A43635">
            <w:pPr>
              <w:contextualSpacing/>
              <w:jc w:val="center"/>
              <w:rPr>
                <w:rFonts w:ascii="Arial" w:hAnsi="Arial" w:cs="Arial"/>
                <w:color w:val="000000"/>
                <w:sz w:val="18"/>
                <w:szCs w:val="18"/>
              </w:rPr>
            </w:pPr>
            <w:r w:rsidRPr="009B1F23">
              <w:rPr>
                <w:rFonts w:ascii="Arial" w:hAnsi="Arial" w:cs="Arial"/>
                <w:color w:val="000000"/>
                <w:sz w:val="18"/>
                <w:szCs w:val="18"/>
              </w:rPr>
              <w:t>Участник, ФСК</w:t>
            </w:r>
            <w:r>
              <w:rPr>
                <w:rFonts w:ascii="Arial" w:hAnsi="Arial" w:cs="Arial"/>
                <w:color w:val="000000"/>
                <w:sz w:val="18"/>
                <w:szCs w:val="18"/>
              </w:rPr>
              <w:t xml:space="preserve">, </w:t>
            </w:r>
            <w:r w:rsidRPr="007B078C">
              <w:rPr>
                <w:rFonts w:ascii="Arial" w:hAnsi="Arial" w:cs="Arial"/>
                <w:color w:val="000000"/>
                <w:sz w:val="18"/>
                <w:szCs w:val="18"/>
                <w:highlight w:val="yellow"/>
              </w:rPr>
              <w:t>Агрегатор</w:t>
            </w:r>
          </w:p>
        </w:tc>
        <w:tc>
          <w:tcPr>
            <w:tcW w:w="872" w:type="dxa"/>
            <w:shd w:val="clear" w:color="auto" w:fill="auto"/>
          </w:tcPr>
          <w:p w14:paraId="6ECDAA2A" w14:textId="77777777" w:rsidR="005518CC" w:rsidRPr="00911253" w:rsidRDefault="005518CC" w:rsidP="00A43635">
            <w:pPr>
              <w:contextualSpacing/>
              <w:jc w:val="center"/>
              <w:rPr>
                <w:rFonts w:ascii="Arial" w:eastAsia="Batang" w:hAnsi="Arial" w:cs="Arial"/>
                <w:sz w:val="18"/>
                <w:szCs w:val="18"/>
                <w:lang w:eastAsia="ko-KR"/>
              </w:rPr>
            </w:pPr>
            <w:r w:rsidRPr="009B1F23">
              <w:rPr>
                <w:rFonts w:ascii="Arial" w:hAnsi="Arial" w:cs="Arial"/>
                <w:color w:val="000000"/>
                <w:sz w:val="18"/>
                <w:szCs w:val="18"/>
              </w:rPr>
              <w:t>АТС</w:t>
            </w:r>
          </w:p>
        </w:tc>
        <w:tc>
          <w:tcPr>
            <w:tcW w:w="1043" w:type="dxa"/>
            <w:shd w:val="clear" w:color="auto" w:fill="auto"/>
          </w:tcPr>
          <w:p w14:paraId="630605BE" w14:textId="77777777" w:rsidR="005518CC" w:rsidRPr="00911253" w:rsidRDefault="005518CC" w:rsidP="00A43635">
            <w:pPr>
              <w:contextualSpacing/>
              <w:jc w:val="center"/>
              <w:rPr>
                <w:rFonts w:ascii="Arial" w:eastAsia="Batang" w:hAnsi="Arial" w:cs="Arial"/>
                <w:sz w:val="18"/>
                <w:szCs w:val="18"/>
                <w:lang w:eastAsia="ko-KR"/>
              </w:rPr>
            </w:pPr>
            <w:r w:rsidRPr="009B1F23">
              <w:rPr>
                <w:rFonts w:ascii="Arial" w:hAnsi="Arial" w:cs="Arial"/>
                <w:color w:val="000000"/>
                <w:sz w:val="18"/>
                <w:szCs w:val="18"/>
              </w:rPr>
              <w:t>WEB-интерфейс</w:t>
            </w:r>
          </w:p>
        </w:tc>
        <w:tc>
          <w:tcPr>
            <w:tcW w:w="1219" w:type="dxa"/>
            <w:shd w:val="clear" w:color="auto" w:fill="auto"/>
          </w:tcPr>
          <w:p w14:paraId="791726DB" w14:textId="77777777" w:rsidR="005518CC" w:rsidRPr="00911253" w:rsidRDefault="005518CC" w:rsidP="00A43635">
            <w:pPr>
              <w:contextualSpacing/>
              <w:jc w:val="center"/>
              <w:rPr>
                <w:rFonts w:ascii="Arial" w:hAnsi="Arial" w:cs="Arial"/>
                <w:sz w:val="18"/>
                <w:szCs w:val="18"/>
              </w:rPr>
            </w:pPr>
            <w:r w:rsidRPr="009B1F23">
              <w:rPr>
                <w:rFonts w:ascii="Arial" w:hAnsi="Arial" w:cs="Arial"/>
                <w:color w:val="000000"/>
                <w:sz w:val="18"/>
                <w:szCs w:val="18"/>
              </w:rPr>
              <w:t>Нет</w:t>
            </w:r>
          </w:p>
        </w:tc>
        <w:tc>
          <w:tcPr>
            <w:tcW w:w="996" w:type="dxa"/>
            <w:shd w:val="clear" w:color="auto" w:fill="auto"/>
          </w:tcPr>
          <w:p w14:paraId="083AA1CA" w14:textId="77777777" w:rsidR="005518CC" w:rsidRPr="00911253" w:rsidRDefault="005518CC" w:rsidP="00A43635">
            <w:pPr>
              <w:contextualSpacing/>
              <w:jc w:val="center"/>
              <w:rPr>
                <w:rFonts w:ascii="Arial" w:hAnsi="Arial" w:cs="Arial"/>
                <w:sz w:val="18"/>
                <w:szCs w:val="18"/>
              </w:rPr>
            </w:pPr>
            <w:r w:rsidRPr="009B1F23">
              <w:rPr>
                <w:rFonts w:ascii="Arial" w:hAnsi="Arial" w:cs="Arial"/>
                <w:color w:val="000000"/>
                <w:sz w:val="18"/>
                <w:szCs w:val="18"/>
              </w:rPr>
              <w:t>Нет</w:t>
            </w:r>
          </w:p>
        </w:tc>
        <w:tc>
          <w:tcPr>
            <w:tcW w:w="1890" w:type="dxa"/>
            <w:shd w:val="clear" w:color="auto" w:fill="auto"/>
          </w:tcPr>
          <w:p w14:paraId="4C5D6A2B" w14:textId="77777777" w:rsidR="005518CC" w:rsidRPr="00911253" w:rsidRDefault="005518CC" w:rsidP="00A43635">
            <w:pPr>
              <w:contextualSpacing/>
              <w:jc w:val="center"/>
              <w:rPr>
                <w:rFonts w:ascii="Arial" w:hAnsi="Arial" w:cs="Arial"/>
                <w:sz w:val="18"/>
                <w:szCs w:val="18"/>
              </w:rPr>
            </w:pPr>
            <w:r w:rsidRPr="009B1F23">
              <w:rPr>
                <w:rFonts w:ascii="Arial" w:hAnsi="Arial" w:cs="Arial"/>
                <w:color w:val="000000"/>
                <w:sz w:val="18"/>
                <w:szCs w:val="18"/>
              </w:rPr>
              <w:t>1.3.6.1.4.1.18545.1.2.1.9</w:t>
            </w:r>
          </w:p>
        </w:tc>
        <w:tc>
          <w:tcPr>
            <w:tcW w:w="1062" w:type="dxa"/>
            <w:shd w:val="clear" w:color="auto" w:fill="auto"/>
          </w:tcPr>
          <w:p w14:paraId="36BEDEC5" w14:textId="77777777" w:rsidR="005518CC" w:rsidRPr="00911253" w:rsidRDefault="005518CC" w:rsidP="00A43635">
            <w:pPr>
              <w:contextualSpacing/>
              <w:jc w:val="center"/>
              <w:rPr>
                <w:rFonts w:ascii="Arial" w:hAnsi="Arial" w:cs="Arial"/>
                <w:sz w:val="18"/>
                <w:szCs w:val="18"/>
              </w:rPr>
            </w:pPr>
            <w:r w:rsidRPr="009B1F23">
              <w:rPr>
                <w:rFonts w:ascii="Arial" w:hAnsi="Arial" w:cs="Arial"/>
                <w:color w:val="000000"/>
                <w:sz w:val="18"/>
                <w:szCs w:val="18"/>
              </w:rPr>
              <w:t>Excel</w:t>
            </w:r>
          </w:p>
        </w:tc>
        <w:tc>
          <w:tcPr>
            <w:tcW w:w="785" w:type="dxa"/>
            <w:shd w:val="clear" w:color="auto" w:fill="auto"/>
          </w:tcPr>
          <w:p w14:paraId="5374FBAA" w14:textId="77777777" w:rsidR="005518CC" w:rsidRPr="00911253" w:rsidRDefault="005518CC" w:rsidP="00A43635">
            <w:pPr>
              <w:contextualSpacing/>
              <w:jc w:val="center"/>
              <w:rPr>
                <w:rFonts w:ascii="Arial" w:hAnsi="Arial" w:cs="Arial"/>
                <w:sz w:val="18"/>
                <w:szCs w:val="18"/>
              </w:rPr>
            </w:pPr>
            <w:r w:rsidRPr="009B1F23">
              <w:rPr>
                <w:rFonts w:ascii="Arial" w:hAnsi="Arial" w:cs="Arial"/>
                <w:color w:val="000000"/>
                <w:sz w:val="18"/>
                <w:szCs w:val="18"/>
              </w:rPr>
              <w:t>5 лет</w:t>
            </w:r>
          </w:p>
        </w:tc>
        <w:tc>
          <w:tcPr>
            <w:tcW w:w="821" w:type="dxa"/>
            <w:shd w:val="clear" w:color="auto" w:fill="auto"/>
          </w:tcPr>
          <w:p w14:paraId="49E78944" w14:textId="77777777" w:rsidR="005518CC" w:rsidRPr="00911253" w:rsidRDefault="005518CC" w:rsidP="00A43635">
            <w:pPr>
              <w:contextualSpacing/>
              <w:jc w:val="center"/>
              <w:rPr>
                <w:rFonts w:ascii="Arial" w:eastAsia="Batang" w:hAnsi="Arial" w:cs="Arial"/>
                <w:sz w:val="18"/>
                <w:szCs w:val="18"/>
                <w:lang w:eastAsia="ko-KR"/>
              </w:rPr>
            </w:pPr>
          </w:p>
        </w:tc>
      </w:tr>
      <w:tr w:rsidR="005518CC" w:rsidRPr="00911253" w14:paraId="38C5F438" w14:textId="77777777" w:rsidTr="00A43635">
        <w:tc>
          <w:tcPr>
            <w:tcW w:w="1099" w:type="dxa"/>
            <w:shd w:val="clear" w:color="auto" w:fill="auto"/>
          </w:tcPr>
          <w:p w14:paraId="0BA6DC46" w14:textId="77777777" w:rsidR="005518CC" w:rsidRPr="00911253" w:rsidRDefault="005518CC" w:rsidP="00A43635">
            <w:pPr>
              <w:contextualSpacing/>
              <w:jc w:val="center"/>
              <w:rPr>
                <w:rFonts w:ascii="Arial" w:eastAsia="Batang" w:hAnsi="Arial" w:cs="Arial"/>
                <w:sz w:val="18"/>
                <w:szCs w:val="18"/>
                <w:lang w:eastAsia="ko-KR"/>
              </w:rPr>
            </w:pPr>
            <w:r w:rsidRPr="00911253">
              <w:rPr>
                <w:rFonts w:ascii="Arial" w:hAnsi="Arial" w:cs="Arial"/>
                <w:sz w:val="18"/>
                <w:szCs w:val="18"/>
              </w:rPr>
              <w:t>STA_ZAJAVL_FORM_1_MED</w:t>
            </w:r>
          </w:p>
        </w:tc>
        <w:tc>
          <w:tcPr>
            <w:tcW w:w="2062" w:type="dxa"/>
            <w:shd w:val="clear" w:color="auto" w:fill="auto"/>
          </w:tcPr>
          <w:p w14:paraId="1B5D32A3" w14:textId="77777777" w:rsidR="005518CC" w:rsidRPr="00911253" w:rsidRDefault="005518CC" w:rsidP="00A43635">
            <w:pPr>
              <w:contextualSpacing/>
              <w:jc w:val="center"/>
              <w:rPr>
                <w:rFonts w:ascii="Arial" w:eastAsia="Batang" w:hAnsi="Arial" w:cs="Arial"/>
                <w:sz w:val="18"/>
                <w:szCs w:val="18"/>
                <w:lang w:eastAsia="ko-KR"/>
              </w:rPr>
            </w:pPr>
            <w:r w:rsidRPr="00911253">
              <w:rPr>
                <w:rFonts w:ascii="Arial" w:hAnsi="Arial" w:cs="Arial"/>
                <w:sz w:val="18"/>
                <w:szCs w:val="18"/>
              </w:rPr>
              <w:t>Заявление на получение статуса субъекта оптового рынка (форма 1)</w:t>
            </w:r>
          </w:p>
        </w:tc>
        <w:tc>
          <w:tcPr>
            <w:tcW w:w="1563" w:type="dxa"/>
            <w:shd w:val="clear" w:color="auto" w:fill="auto"/>
          </w:tcPr>
          <w:p w14:paraId="616C5C72" w14:textId="77777777" w:rsidR="005518CC" w:rsidRPr="00911253" w:rsidRDefault="005518CC" w:rsidP="00A43635">
            <w:pPr>
              <w:contextualSpacing/>
              <w:jc w:val="center"/>
              <w:rPr>
                <w:rFonts w:ascii="Arial" w:eastAsia="Batang" w:hAnsi="Arial" w:cs="Arial"/>
                <w:sz w:val="18"/>
                <w:szCs w:val="18"/>
                <w:lang w:eastAsia="ko-KR"/>
              </w:rPr>
            </w:pPr>
            <w:r w:rsidRPr="00911253">
              <w:rPr>
                <w:rFonts w:ascii="Arial" w:hAnsi="Arial" w:cs="Arial"/>
                <w:sz w:val="18"/>
                <w:szCs w:val="18"/>
              </w:rPr>
              <w:t>Положение о порядке получения статуса субъекта оптового рынка, п. 2.3</w:t>
            </w:r>
            <w:r w:rsidRPr="00945FC0">
              <w:rPr>
                <w:rFonts w:ascii="Arial" w:hAnsi="Arial" w:cs="Arial"/>
                <w:sz w:val="18"/>
                <w:szCs w:val="18"/>
                <w:highlight w:val="yellow"/>
              </w:rPr>
              <w:t>,</w:t>
            </w:r>
            <w:r w:rsidRPr="00911253">
              <w:rPr>
                <w:rFonts w:ascii="Arial" w:hAnsi="Arial" w:cs="Arial"/>
                <w:sz w:val="18"/>
                <w:szCs w:val="18"/>
              </w:rPr>
              <w:t xml:space="preserve"> </w:t>
            </w:r>
            <w:r w:rsidRPr="00911253">
              <w:rPr>
                <w:rFonts w:ascii="Arial" w:hAnsi="Arial" w:cs="Arial"/>
                <w:sz w:val="18"/>
                <w:szCs w:val="18"/>
                <w:highlight w:val="yellow"/>
              </w:rPr>
              <w:lastRenderedPageBreak/>
              <w:t>п. 1.1 приложения 9</w:t>
            </w:r>
          </w:p>
        </w:tc>
        <w:tc>
          <w:tcPr>
            <w:tcW w:w="1132" w:type="dxa"/>
            <w:shd w:val="clear" w:color="auto" w:fill="auto"/>
          </w:tcPr>
          <w:p w14:paraId="15237B53" w14:textId="77777777" w:rsidR="005518CC" w:rsidRPr="00911253" w:rsidRDefault="005518CC" w:rsidP="00A43635">
            <w:pPr>
              <w:contextualSpacing/>
              <w:jc w:val="center"/>
              <w:rPr>
                <w:rFonts w:ascii="Arial" w:hAnsi="Arial" w:cs="Arial"/>
                <w:color w:val="000000"/>
                <w:sz w:val="18"/>
                <w:szCs w:val="18"/>
              </w:rPr>
            </w:pPr>
            <w:r w:rsidRPr="00911253">
              <w:rPr>
                <w:rFonts w:ascii="Arial" w:hAnsi="Arial" w:cs="Arial"/>
                <w:sz w:val="18"/>
                <w:szCs w:val="18"/>
              </w:rPr>
              <w:lastRenderedPageBreak/>
              <w:t>docx</w:t>
            </w:r>
          </w:p>
        </w:tc>
        <w:tc>
          <w:tcPr>
            <w:tcW w:w="936" w:type="dxa"/>
            <w:shd w:val="clear" w:color="auto" w:fill="auto"/>
          </w:tcPr>
          <w:p w14:paraId="0D3EE6F0" w14:textId="77777777" w:rsidR="005518CC" w:rsidRPr="00911253" w:rsidRDefault="005518CC" w:rsidP="00A43635">
            <w:pPr>
              <w:contextualSpacing/>
              <w:jc w:val="center"/>
              <w:rPr>
                <w:rFonts w:ascii="Arial" w:hAnsi="Arial" w:cs="Arial"/>
                <w:color w:val="000000"/>
                <w:sz w:val="18"/>
                <w:szCs w:val="18"/>
              </w:rPr>
            </w:pPr>
            <w:r w:rsidRPr="00911253">
              <w:rPr>
                <w:rFonts w:ascii="Arial" w:hAnsi="Arial" w:cs="Arial"/>
                <w:sz w:val="18"/>
                <w:szCs w:val="18"/>
              </w:rPr>
              <w:t>Участник</w:t>
            </w:r>
            <w:r w:rsidRPr="00911253">
              <w:rPr>
                <w:rFonts w:ascii="Arial" w:hAnsi="Arial" w:cs="Arial"/>
                <w:color w:val="000000"/>
                <w:sz w:val="18"/>
                <w:szCs w:val="18"/>
                <w:highlight w:val="yellow"/>
              </w:rPr>
              <w:t>, Агрегатор</w:t>
            </w:r>
          </w:p>
        </w:tc>
        <w:tc>
          <w:tcPr>
            <w:tcW w:w="872" w:type="dxa"/>
            <w:shd w:val="clear" w:color="auto" w:fill="auto"/>
          </w:tcPr>
          <w:p w14:paraId="412E391D" w14:textId="77777777" w:rsidR="005518CC" w:rsidRPr="00911253" w:rsidRDefault="005518CC" w:rsidP="00A43635">
            <w:pPr>
              <w:contextualSpacing/>
              <w:jc w:val="center"/>
              <w:rPr>
                <w:rFonts w:ascii="Arial" w:eastAsia="Batang" w:hAnsi="Arial" w:cs="Arial"/>
                <w:sz w:val="18"/>
                <w:szCs w:val="18"/>
                <w:lang w:eastAsia="ko-KR"/>
              </w:rPr>
            </w:pPr>
            <w:r w:rsidRPr="00911253">
              <w:rPr>
                <w:rFonts w:ascii="Arial" w:hAnsi="Arial" w:cs="Arial"/>
                <w:sz w:val="18"/>
                <w:szCs w:val="18"/>
              </w:rPr>
              <w:t>АТС</w:t>
            </w:r>
          </w:p>
        </w:tc>
        <w:tc>
          <w:tcPr>
            <w:tcW w:w="1043" w:type="dxa"/>
            <w:shd w:val="clear" w:color="auto" w:fill="auto"/>
          </w:tcPr>
          <w:p w14:paraId="2551E2A8" w14:textId="77777777" w:rsidR="005518CC" w:rsidRPr="00911253" w:rsidRDefault="005518CC" w:rsidP="00A43635">
            <w:pPr>
              <w:contextualSpacing/>
              <w:jc w:val="center"/>
              <w:rPr>
                <w:rFonts w:ascii="Arial" w:eastAsia="Batang" w:hAnsi="Arial" w:cs="Arial"/>
                <w:sz w:val="18"/>
                <w:szCs w:val="18"/>
                <w:lang w:eastAsia="ko-KR"/>
              </w:rPr>
            </w:pPr>
            <w:r w:rsidRPr="00911253">
              <w:rPr>
                <w:rFonts w:ascii="Arial" w:hAnsi="Arial" w:cs="Arial"/>
                <w:sz w:val="18"/>
                <w:szCs w:val="18"/>
              </w:rPr>
              <w:t>Материальный носитель</w:t>
            </w:r>
          </w:p>
        </w:tc>
        <w:tc>
          <w:tcPr>
            <w:tcW w:w="1219" w:type="dxa"/>
            <w:shd w:val="clear" w:color="auto" w:fill="auto"/>
          </w:tcPr>
          <w:p w14:paraId="517107B2" w14:textId="77777777" w:rsidR="005518CC" w:rsidRPr="00911253" w:rsidRDefault="005518CC" w:rsidP="00A43635">
            <w:pPr>
              <w:contextualSpacing/>
              <w:jc w:val="center"/>
              <w:rPr>
                <w:rFonts w:ascii="Arial" w:hAnsi="Arial" w:cs="Arial"/>
                <w:sz w:val="18"/>
                <w:szCs w:val="18"/>
              </w:rPr>
            </w:pPr>
            <w:r w:rsidRPr="00911253">
              <w:rPr>
                <w:rFonts w:ascii="Arial" w:hAnsi="Arial" w:cs="Arial"/>
                <w:sz w:val="18"/>
                <w:szCs w:val="18"/>
              </w:rPr>
              <w:t>Нет</w:t>
            </w:r>
          </w:p>
        </w:tc>
        <w:tc>
          <w:tcPr>
            <w:tcW w:w="996" w:type="dxa"/>
            <w:shd w:val="clear" w:color="auto" w:fill="auto"/>
          </w:tcPr>
          <w:p w14:paraId="78410822" w14:textId="77777777" w:rsidR="005518CC" w:rsidRPr="00911253" w:rsidRDefault="005518CC" w:rsidP="00A43635">
            <w:pPr>
              <w:contextualSpacing/>
              <w:jc w:val="center"/>
              <w:rPr>
                <w:rFonts w:ascii="Arial" w:hAnsi="Arial" w:cs="Arial"/>
                <w:sz w:val="18"/>
                <w:szCs w:val="18"/>
              </w:rPr>
            </w:pPr>
            <w:r w:rsidRPr="00911253">
              <w:rPr>
                <w:rFonts w:ascii="Arial" w:hAnsi="Arial" w:cs="Arial"/>
                <w:sz w:val="18"/>
                <w:szCs w:val="18"/>
              </w:rPr>
              <w:t>Нет</w:t>
            </w:r>
          </w:p>
        </w:tc>
        <w:tc>
          <w:tcPr>
            <w:tcW w:w="1890" w:type="dxa"/>
            <w:shd w:val="clear" w:color="auto" w:fill="auto"/>
          </w:tcPr>
          <w:p w14:paraId="71E203B3" w14:textId="77777777" w:rsidR="005518CC" w:rsidRPr="00911253" w:rsidRDefault="005518CC" w:rsidP="00A43635">
            <w:pPr>
              <w:contextualSpacing/>
              <w:jc w:val="center"/>
              <w:rPr>
                <w:rFonts w:ascii="Arial" w:hAnsi="Arial" w:cs="Arial"/>
                <w:sz w:val="18"/>
                <w:szCs w:val="18"/>
              </w:rPr>
            </w:pPr>
            <w:r w:rsidRPr="00911253">
              <w:rPr>
                <w:rFonts w:ascii="Arial" w:hAnsi="Arial" w:cs="Arial"/>
                <w:sz w:val="18"/>
                <w:szCs w:val="18"/>
              </w:rPr>
              <w:t>1.3.6.1.4.1.18545.1.2.1.1</w:t>
            </w:r>
          </w:p>
        </w:tc>
        <w:tc>
          <w:tcPr>
            <w:tcW w:w="1062" w:type="dxa"/>
            <w:shd w:val="clear" w:color="auto" w:fill="auto"/>
          </w:tcPr>
          <w:p w14:paraId="06B4D3E8" w14:textId="77777777" w:rsidR="005518CC" w:rsidRPr="00911253" w:rsidRDefault="005518CC" w:rsidP="00A43635">
            <w:pPr>
              <w:contextualSpacing/>
              <w:jc w:val="center"/>
              <w:rPr>
                <w:rFonts w:ascii="Arial" w:hAnsi="Arial" w:cs="Arial"/>
                <w:sz w:val="18"/>
                <w:szCs w:val="18"/>
              </w:rPr>
            </w:pPr>
            <w:r w:rsidRPr="00911253">
              <w:rPr>
                <w:rFonts w:ascii="Arial" w:hAnsi="Arial" w:cs="Arial"/>
                <w:sz w:val="18"/>
                <w:szCs w:val="18"/>
              </w:rPr>
              <w:t>Word</w:t>
            </w:r>
          </w:p>
        </w:tc>
        <w:tc>
          <w:tcPr>
            <w:tcW w:w="785" w:type="dxa"/>
            <w:shd w:val="clear" w:color="auto" w:fill="auto"/>
          </w:tcPr>
          <w:p w14:paraId="623211B8" w14:textId="77777777" w:rsidR="005518CC" w:rsidRPr="00911253" w:rsidRDefault="005518CC" w:rsidP="00A43635">
            <w:pPr>
              <w:contextualSpacing/>
              <w:jc w:val="center"/>
              <w:rPr>
                <w:rFonts w:ascii="Arial" w:hAnsi="Arial" w:cs="Arial"/>
                <w:sz w:val="18"/>
                <w:szCs w:val="18"/>
              </w:rPr>
            </w:pPr>
            <w:r w:rsidRPr="00911253">
              <w:rPr>
                <w:rFonts w:ascii="Arial" w:hAnsi="Arial" w:cs="Arial"/>
                <w:sz w:val="18"/>
                <w:szCs w:val="18"/>
              </w:rPr>
              <w:t>постоянно</w:t>
            </w:r>
          </w:p>
        </w:tc>
        <w:tc>
          <w:tcPr>
            <w:tcW w:w="821" w:type="dxa"/>
            <w:shd w:val="clear" w:color="auto" w:fill="auto"/>
          </w:tcPr>
          <w:p w14:paraId="35DEA0A7" w14:textId="77777777" w:rsidR="005518CC" w:rsidRPr="00911253" w:rsidRDefault="005518CC" w:rsidP="00A43635">
            <w:pPr>
              <w:contextualSpacing/>
              <w:jc w:val="center"/>
              <w:rPr>
                <w:rFonts w:ascii="Arial" w:eastAsia="Batang" w:hAnsi="Arial" w:cs="Arial"/>
                <w:sz w:val="18"/>
                <w:szCs w:val="18"/>
                <w:lang w:eastAsia="ko-KR"/>
              </w:rPr>
            </w:pPr>
          </w:p>
        </w:tc>
      </w:tr>
      <w:tr w:rsidR="005518CC" w:rsidRPr="00911253" w14:paraId="28CFAC19" w14:textId="77777777" w:rsidTr="00A43635">
        <w:tc>
          <w:tcPr>
            <w:tcW w:w="1099" w:type="dxa"/>
            <w:shd w:val="clear" w:color="auto" w:fill="auto"/>
          </w:tcPr>
          <w:p w14:paraId="1D36E21C" w14:textId="77777777" w:rsidR="005518CC" w:rsidRPr="00911253" w:rsidRDefault="005518CC" w:rsidP="00A43635">
            <w:pPr>
              <w:contextualSpacing/>
              <w:jc w:val="center"/>
              <w:rPr>
                <w:rFonts w:ascii="Arial" w:eastAsia="Batang" w:hAnsi="Arial" w:cs="Arial"/>
                <w:sz w:val="18"/>
                <w:szCs w:val="18"/>
                <w:lang w:eastAsia="ko-KR"/>
              </w:rPr>
            </w:pPr>
            <w:r w:rsidRPr="00911253">
              <w:rPr>
                <w:rFonts w:ascii="Arial" w:hAnsi="Arial" w:cs="Arial"/>
                <w:sz w:val="18"/>
                <w:szCs w:val="18"/>
              </w:rPr>
              <w:t>STA_ZAJAVL_FORM_1_WEB</w:t>
            </w:r>
          </w:p>
        </w:tc>
        <w:tc>
          <w:tcPr>
            <w:tcW w:w="2062" w:type="dxa"/>
            <w:shd w:val="clear" w:color="auto" w:fill="auto"/>
          </w:tcPr>
          <w:p w14:paraId="5D8D16E0" w14:textId="77777777" w:rsidR="005518CC" w:rsidRPr="00911253" w:rsidRDefault="005518CC" w:rsidP="00A43635">
            <w:pPr>
              <w:contextualSpacing/>
              <w:jc w:val="center"/>
              <w:rPr>
                <w:rFonts w:ascii="Arial" w:eastAsia="Batang" w:hAnsi="Arial" w:cs="Arial"/>
                <w:sz w:val="18"/>
                <w:szCs w:val="18"/>
                <w:lang w:eastAsia="ko-KR"/>
              </w:rPr>
            </w:pPr>
            <w:r w:rsidRPr="00911253">
              <w:rPr>
                <w:rFonts w:ascii="Arial" w:hAnsi="Arial" w:cs="Arial"/>
                <w:sz w:val="18"/>
                <w:szCs w:val="18"/>
              </w:rPr>
              <w:t>Заявление на получение статуса субъекта оптового рынка (форма 1)</w:t>
            </w:r>
          </w:p>
        </w:tc>
        <w:tc>
          <w:tcPr>
            <w:tcW w:w="1563" w:type="dxa"/>
            <w:shd w:val="clear" w:color="auto" w:fill="auto"/>
          </w:tcPr>
          <w:p w14:paraId="08B36CE4" w14:textId="2E23D2D0" w:rsidR="005518CC" w:rsidRPr="00911253" w:rsidRDefault="005518CC" w:rsidP="00A43635">
            <w:pPr>
              <w:contextualSpacing/>
              <w:jc w:val="center"/>
              <w:rPr>
                <w:rFonts w:ascii="Arial" w:eastAsia="Batang" w:hAnsi="Arial" w:cs="Arial"/>
                <w:sz w:val="18"/>
                <w:szCs w:val="18"/>
                <w:lang w:eastAsia="ko-KR"/>
              </w:rPr>
            </w:pPr>
            <w:r w:rsidRPr="00911253">
              <w:rPr>
                <w:rFonts w:ascii="Arial" w:hAnsi="Arial" w:cs="Arial"/>
                <w:sz w:val="18"/>
                <w:szCs w:val="18"/>
              </w:rPr>
              <w:t>Положение о порядке получения статуса субъекта оптового рынка, п. 2.3</w:t>
            </w:r>
            <w:r w:rsidR="00945FC0" w:rsidRPr="00945FC0">
              <w:rPr>
                <w:rFonts w:ascii="Arial" w:hAnsi="Arial" w:cs="Arial"/>
                <w:sz w:val="18"/>
                <w:szCs w:val="18"/>
                <w:highlight w:val="yellow"/>
              </w:rPr>
              <w:t>,</w:t>
            </w:r>
            <w:r w:rsidRPr="00945FC0">
              <w:rPr>
                <w:rFonts w:ascii="Arial" w:hAnsi="Arial" w:cs="Arial"/>
                <w:sz w:val="18"/>
                <w:szCs w:val="18"/>
                <w:highlight w:val="yellow"/>
              </w:rPr>
              <w:t xml:space="preserve"> </w:t>
            </w:r>
            <w:r w:rsidRPr="00911253">
              <w:rPr>
                <w:rFonts w:ascii="Arial" w:hAnsi="Arial" w:cs="Arial"/>
                <w:sz w:val="18"/>
                <w:szCs w:val="18"/>
                <w:highlight w:val="yellow"/>
              </w:rPr>
              <w:t>п. 1.1 приложения 9</w:t>
            </w:r>
          </w:p>
        </w:tc>
        <w:tc>
          <w:tcPr>
            <w:tcW w:w="1132" w:type="dxa"/>
            <w:shd w:val="clear" w:color="auto" w:fill="auto"/>
          </w:tcPr>
          <w:p w14:paraId="66650E50" w14:textId="77777777" w:rsidR="005518CC" w:rsidRPr="00911253" w:rsidRDefault="005518CC" w:rsidP="00A43635">
            <w:pPr>
              <w:contextualSpacing/>
              <w:jc w:val="center"/>
              <w:rPr>
                <w:rFonts w:ascii="Arial" w:hAnsi="Arial" w:cs="Arial"/>
                <w:color w:val="000000"/>
                <w:sz w:val="18"/>
                <w:szCs w:val="18"/>
              </w:rPr>
            </w:pPr>
            <w:r w:rsidRPr="00911253">
              <w:rPr>
                <w:rFonts w:ascii="Arial" w:hAnsi="Arial" w:cs="Arial"/>
                <w:sz w:val="18"/>
                <w:szCs w:val="18"/>
              </w:rPr>
              <w:t>docx</w:t>
            </w:r>
          </w:p>
        </w:tc>
        <w:tc>
          <w:tcPr>
            <w:tcW w:w="936" w:type="dxa"/>
            <w:shd w:val="clear" w:color="auto" w:fill="auto"/>
          </w:tcPr>
          <w:p w14:paraId="4DE308B3" w14:textId="77777777" w:rsidR="005518CC" w:rsidRPr="00911253" w:rsidRDefault="005518CC" w:rsidP="00A43635">
            <w:pPr>
              <w:contextualSpacing/>
              <w:jc w:val="center"/>
              <w:rPr>
                <w:rFonts w:ascii="Arial" w:hAnsi="Arial" w:cs="Arial"/>
                <w:color w:val="000000"/>
                <w:sz w:val="18"/>
                <w:szCs w:val="18"/>
              </w:rPr>
            </w:pPr>
            <w:r w:rsidRPr="00911253">
              <w:rPr>
                <w:rFonts w:ascii="Arial" w:hAnsi="Arial" w:cs="Arial"/>
                <w:sz w:val="18"/>
                <w:szCs w:val="18"/>
              </w:rPr>
              <w:t>Участник</w:t>
            </w:r>
            <w:r w:rsidRPr="00911253">
              <w:rPr>
                <w:rFonts w:ascii="Arial" w:hAnsi="Arial" w:cs="Arial"/>
                <w:color w:val="000000"/>
                <w:sz w:val="18"/>
                <w:szCs w:val="18"/>
                <w:highlight w:val="yellow"/>
              </w:rPr>
              <w:t>, Агрегатор</w:t>
            </w:r>
          </w:p>
        </w:tc>
        <w:tc>
          <w:tcPr>
            <w:tcW w:w="872" w:type="dxa"/>
            <w:shd w:val="clear" w:color="auto" w:fill="auto"/>
          </w:tcPr>
          <w:p w14:paraId="19D19B9D" w14:textId="77777777" w:rsidR="005518CC" w:rsidRPr="00911253" w:rsidRDefault="005518CC" w:rsidP="00A43635">
            <w:pPr>
              <w:contextualSpacing/>
              <w:jc w:val="center"/>
              <w:rPr>
                <w:rFonts w:ascii="Arial" w:eastAsia="Batang" w:hAnsi="Arial" w:cs="Arial"/>
                <w:sz w:val="18"/>
                <w:szCs w:val="18"/>
                <w:lang w:eastAsia="ko-KR"/>
              </w:rPr>
            </w:pPr>
            <w:r w:rsidRPr="00911253">
              <w:rPr>
                <w:rFonts w:ascii="Arial" w:hAnsi="Arial" w:cs="Arial"/>
                <w:sz w:val="18"/>
                <w:szCs w:val="18"/>
              </w:rPr>
              <w:t>АТС</w:t>
            </w:r>
          </w:p>
        </w:tc>
        <w:tc>
          <w:tcPr>
            <w:tcW w:w="1043" w:type="dxa"/>
            <w:shd w:val="clear" w:color="auto" w:fill="auto"/>
          </w:tcPr>
          <w:p w14:paraId="194B8EAF" w14:textId="77777777" w:rsidR="005518CC" w:rsidRPr="00911253" w:rsidRDefault="005518CC" w:rsidP="00A43635">
            <w:pPr>
              <w:contextualSpacing/>
              <w:jc w:val="center"/>
              <w:rPr>
                <w:rFonts w:ascii="Arial" w:eastAsia="Batang" w:hAnsi="Arial" w:cs="Arial"/>
                <w:sz w:val="18"/>
                <w:szCs w:val="18"/>
                <w:lang w:eastAsia="ko-KR"/>
              </w:rPr>
            </w:pPr>
            <w:r w:rsidRPr="00911253">
              <w:rPr>
                <w:rFonts w:ascii="Arial" w:hAnsi="Arial" w:cs="Arial"/>
                <w:sz w:val="18"/>
                <w:szCs w:val="18"/>
              </w:rPr>
              <w:t>WEB-интерфейс</w:t>
            </w:r>
          </w:p>
        </w:tc>
        <w:tc>
          <w:tcPr>
            <w:tcW w:w="1219" w:type="dxa"/>
            <w:shd w:val="clear" w:color="auto" w:fill="auto"/>
          </w:tcPr>
          <w:p w14:paraId="02AD8F58" w14:textId="77777777" w:rsidR="005518CC" w:rsidRPr="00911253" w:rsidRDefault="005518CC" w:rsidP="00A43635">
            <w:pPr>
              <w:contextualSpacing/>
              <w:jc w:val="center"/>
              <w:rPr>
                <w:rFonts w:ascii="Arial" w:hAnsi="Arial" w:cs="Arial"/>
                <w:sz w:val="18"/>
                <w:szCs w:val="18"/>
              </w:rPr>
            </w:pPr>
            <w:r w:rsidRPr="00911253">
              <w:rPr>
                <w:rFonts w:ascii="Arial" w:hAnsi="Arial" w:cs="Arial"/>
                <w:sz w:val="18"/>
                <w:szCs w:val="18"/>
              </w:rPr>
              <w:t>Нет</w:t>
            </w:r>
          </w:p>
        </w:tc>
        <w:tc>
          <w:tcPr>
            <w:tcW w:w="996" w:type="dxa"/>
            <w:shd w:val="clear" w:color="auto" w:fill="auto"/>
          </w:tcPr>
          <w:p w14:paraId="5760C62F" w14:textId="77777777" w:rsidR="005518CC" w:rsidRPr="00911253" w:rsidRDefault="005518CC" w:rsidP="00A43635">
            <w:pPr>
              <w:contextualSpacing/>
              <w:jc w:val="center"/>
              <w:rPr>
                <w:rFonts w:ascii="Arial" w:hAnsi="Arial" w:cs="Arial"/>
                <w:sz w:val="18"/>
                <w:szCs w:val="18"/>
              </w:rPr>
            </w:pPr>
            <w:r w:rsidRPr="00911253">
              <w:rPr>
                <w:rFonts w:ascii="Arial" w:hAnsi="Arial" w:cs="Arial"/>
                <w:sz w:val="18"/>
                <w:szCs w:val="18"/>
              </w:rPr>
              <w:t>Нет</w:t>
            </w:r>
          </w:p>
        </w:tc>
        <w:tc>
          <w:tcPr>
            <w:tcW w:w="1890" w:type="dxa"/>
            <w:shd w:val="clear" w:color="auto" w:fill="auto"/>
          </w:tcPr>
          <w:p w14:paraId="369FE127" w14:textId="77777777" w:rsidR="005518CC" w:rsidRPr="00911253" w:rsidRDefault="005518CC" w:rsidP="00A43635">
            <w:pPr>
              <w:contextualSpacing/>
              <w:jc w:val="center"/>
              <w:rPr>
                <w:rFonts w:ascii="Arial" w:hAnsi="Arial" w:cs="Arial"/>
                <w:sz w:val="18"/>
                <w:szCs w:val="18"/>
              </w:rPr>
            </w:pPr>
            <w:r w:rsidRPr="00911253">
              <w:rPr>
                <w:rFonts w:ascii="Arial" w:hAnsi="Arial" w:cs="Arial"/>
                <w:sz w:val="18"/>
                <w:szCs w:val="18"/>
              </w:rPr>
              <w:t>1.3.6.1.4.1.18545.1.2.1.1</w:t>
            </w:r>
          </w:p>
        </w:tc>
        <w:tc>
          <w:tcPr>
            <w:tcW w:w="1062" w:type="dxa"/>
            <w:shd w:val="clear" w:color="auto" w:fill="auto"/>
          </w:tcPr>
          <w:p w14:paraId="2E8D6B1D" w14:textId="77777777" w:rsidR="005518CC" w:rsidRPr="00911253" w:rsidRDefault="005518CC" w:rsidP="00A43635">
            <w:pPr>
              <w:contextualSpacing/>
              <w:jc w:val="center"/>
              <w:rPr>
                <w:rFonts w:ascii="Arial" w:hAnsi="Arial" w:cs="Arial"/>
                <w:sz w:val="18"/>
                <w:szCs w:val="18"/>
              </w:rPr>
            </w:pPr>
            <w:r w:rsidRPr="00911253">
              <w:rPr>
                <w:rFonts w:ascii="Arial" w:hAnsi="Arial" w:cs="Arial"/>
                <w:sz w:val="18"/>
                <w:szCs w:val="18"/>
              </w:rPr>
              <w:t>Word</w:t>
            </w:r>
          </w:p>
        </w:tc>
        <w:tc>
          <w:tcPr>
            <w:tcW w:w="785" w:type="dxa"/>
            <w:shd w:val="clear" w:color="auto" w:fill="auto"/>
          </w:tcPr>
          <w:p w14:paraId="0252F821" w14:textId="77777777" w:rsidR="005518CC" w:rsidRPr="00911253" w:rsidRDefault="005518CC" w:rsidP="00A43635">
            <w:pPr>
              <w:contextualSpacing/>
              <w:jc w:val="center"/>
              <w:rPr>
                <w:rFonts w:ascii="Arial" w:hAnsi="Arial" w:cs="Arial"/>
                <w:sz w:val="18"/>
                <w:szCs w:val="18"/>
              </w:rPr>
            </w:pPr>
            <w:r w:rsidRPr="00911253">
              <w:rPr>
                <w:rFonts w:ascii="Arial" w:hAnsi="Arial" w:cs="Arial"/>
                <w:sz w:val="18"/>
                <w:szCs w:val="18"/>
              </w:rPr>
              <w:t>постоянно</w:t>
            </w:r>
          </w:p>
        </w:tc>
        <w:tc>
          <w:tcPr>
            <w:tcW w:w="821" w:type="dxa"/>
            <w:shd w:val="clear" w:color="auto" w:fill="auto"/>
          </w:tcPr>
          <w:p w14:paraId="4405AD21" w14:textId="77777777" w:rsidR="005518CC" w:rsidRPr="00911253" w:rsidRDefault="005518CC" w:rsidP="00A43635">
            <w:pPr>
              <w:contextualSpacing/>
              <w:jc w:val="center"/>
              <w:rPr>
                <w:rFonts w:ascii="Arial" w:eastAsia="Batang" w:hAnsi="Arial" w:cs="Arial"/>
                <w:sz w:val="18"/>
                <w:szCs w:val="18"/>
                <w:lang w:eastAsia="ko-KR"/>
              </w:rPr>
            </w:pPr>
          </w:p>
        </w:tc>
      </w:tr>
    </w:tbl>
    <w:p w14:paraId="420A1525" w14:textId="77777777" w:rsidR="005518CC" w:rsidRDefault="005518CC" w:rsidP="008F0710">
      <w:pPr>
        <w:widowControl w:val="0"/>
        <w:suppressAutoHyphens w:val="0"/>
        <w:adjustRightInd w:val="0"/>
        <w:jc w:val="both"/>
        <w:textAlignment w:val="baseline"/>
        <w:rPr>
          <w:rFonts w:ascii="Garamond" w:eastAsia="Times New Roman" w:hAnsi="Garamond" w:cs="Times New Roman"/>
          <w:b/>
          <w:sz w:val="24"/>
          <w:szCs w:val="24"/>
        </w:rPr>
      </w:pPr>
    </w:p>
    <w:p w14:paraId="17DA1305" w14:textId="2C616B8E" w:rsidR="008F0710" w:rsidRDefault="008F0710" w:rsidP="008F0710">
      <w:pPr>
        <w:contextualSpacing/>
        <w:rPr>
          <w:rFonts w:ascii="Garamond" w:eastAsia="SimSun" w:hAnsi="Garamond"/>
          <w:b/>
          <w:sz w:val="22"/>
          <w:szCs w:val="22"/>
        </w:rPr>
      </w:pPr>
      <w:r>
        <w:rPr>
          <w:rFonts w:ascii="Garamond" w:eastAsia="SimSun" w:hAnsi="Garamond"/>
          <w:b/>
          <w:iCs/>
          <w:sz w:val="22"/>
          <w:szCs w:val="22"/>
        </w:rPr>
        <w:t>Добавить</w:t>
      </w:r>
      <w:r w:rsidRPr="00866F59">
        <w:rPr>
          <w:rFonts w:ascii="Garamond" w:eastAsia="SimSun" w:hAnsi="Garamond"/>
          <w:b/>
          <w:iCs/>
          <w:sz w:val="22"/>
          <w:szCs w:val="22"/>
        </w:rPr>
        <w:t xml:space="preserve"> позиции</w:t>
      </w:r>
    </w:p>
    <w:p w14:paraId="3067EA2C" w14:textId="77777777" w:rsidR="00647FA0" w:rsidRPr="00866F59" w:rsidRDefault="00647FA0" w:rsidP="008F0710">
      <w:pPr>
        <w:contextualSpacing/>
        <w:rPr>
          <w:rFonts w:ascii="Garamond" w:eastAsia="SimSun" w:hAnsi="Garamond"/>
          <w:b/>
          <w:sz w:val="22"/>
          <w:szCs w:val="22"/>
        </w:rPr>
      </w:pPr>
    </w:p>
    <w:tbl>
      <w:tblPr>
        <w:tblW w:w="511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66"/>
        <w:gridCol w:w="1645"/>
        <w:gridCol w:w="1866"/>
        <w:gridCol w:w="1098"/>
        <w:gridCol w:w="909"/>
        <w:gridCol w:w="847"/>
        <w:gridCol w:w="1012"/>
        <w:gridCol w:w="1183"/>
        <w:gridCol w:w="967"/>
        <w:gridCol w:w="1831"/>
        <w:gridCol w:w="1031"/>
        <w:gridCol w:w="763"/>
        <w:gridCol w:w="798"/>
      </w:tblGrid>
      <w:tr w:rsidR="008F0710" w:rsidRPr="00381E65" w14:paraId="73FF07BC" w14:textId="77777777" w:rsidTr="00403069">
        <w:trPr>
          <w:trHeight w:val="1290"/>
        </w:trPr>
        <w:tc>
          <w:tcPr>
            <w:tcW w:w="1083" w:type="dxa"/>
            <w:shd w:val="clear" w:color="auto" w:fill="D0CECE"/>
            <w:hideMark/>
          </w:tcPr>
          <w:p w14:paraId="241873D8" w14:textId="77777777" w:rsidR="008F0710" w:rsidRPr="00381E65" w:rsidRDefault="008F0710" w:rsidP="00403069">
            <w:pPr>
              <w:contextualSpacing/>
              <w:jc w:val="center"/>
              <w:rPr>
                <w:rFonts w:ascii="Arial" w:eastAsia="Batang" w:hAnsi="Arial" w:cs="Arial"/>
                <w:sz w:val="18"/>
                <w:szCs w:val="18"/>
                <w:lang w:eastAsia="ko-KR"/>
              </w:rPr>
            </w:pPr>
            <w:r w:rsidRPr="00381E65">
              <w:rPr>
                <w:rFonts w:ascii="Arial" w:eastAsia="Batang" w:hAnsi="Arial" w:cs="Arial"/>
                <w:sz w:val="18"/>
                <w:szCs w:val="18"/>
                <w:lang w:eastAsia="ko-KR"/>
              </w:rPr>
              <w:t>Код формы</w:t>
            </w:r>
          </w:p>
        </w:tc>
        <w:tc>
          <w:tcPr>
            <w:tcW w:w="1673" w:type="dxa"/>
            <w:shd w:val="clear" w:color="auto" w:fill="D0CECE"/>
            <w:hideMark/>
          </w:tcPr>
          <w:p w14:paraId="5920F4D1" w14:textId="77777777" w:rsidR="008F0710" w:rsidRPr="00381E65" w:rsidRDefault="008F0710" w:rsidP="00403069">
            <w:pPr>
              <w:contextualSpacing/>
              <w:jc w:val="center"/>
              <w:rPr>
                <w:rFonts w:ascii="Arial" w:eastAsia="Batang" w:hAnsi="Arial" w:cs="Arial"/>
                <w:sz w:val="18"/>
                <w:szCs w:val="18"/>
                <w:lang w:eastAsia="ko-KR"/>
              </w:rPr>
            </w:pPr>
            <w:r w:rsidRPr="00381E65">
              <w:rPr>
                <w:rFonts w:ascii="Arial" w:eastAsia="Batang" w:hAnsi="Arial" w:cs="Arial"/>
                <w:sz w:val="18"/>
                <w:szCs w:val="18"/>
                <w:lang w:eastAsia="ko-KR"/>
              </w:rPr>
              <w:t>Наименование формы</w:t>
            </w:r>
          </w:p>
        </w:tc>
        <w:tc>
          <w:tcPr>
            <w:tcW w:w="1898" w:type="dxa"/>
            <w:shd w:val="clear" w:color="auto" w:fill="D0CECE"/>
            <w:hideMark/>
          </w:tcPr>
          <w:p w14:paraId="605CDD7A" w14:textId="77777777" w:rsidR="008F0710" w:rsidRPr="00381E65" w:rsidRDefault="008F0710" w:rsidP="00403069">
            <w:pPr>
              <w:contextualSpacing/>
              <w:jc w:val="center"/>
              <w:rPr>
                <w:rFonts w:ascii="Arial" w:eastAsia="Batang" w:hAnsi="Arial" w:cs="Arial"/>
                <w:sz w:val="18"/>
                <w:szCs w:val="18"/>
                <w:lang w:eastAsia="ko-KR"/>
              </w:rPr>
            </w:pPr>
            <w:r w:rsidRPr="00381E65">
              <w:rPr>
                <w:rFonts w:ascii="Arial" w:eastAsia="Batang" w:hAnsi="Arial" w:cs="Arial"/>
                <w:sz w:val="18"/>
                <w:szCs w:val="18"/>
                <w:lang w:eastAsia="ko-KR"/>
              </w:rPr>
              <w:t>Основание предоставления</w:t>
            </w:r>
          </w:p>
        </w:tc>
        <w:tc>
          <w:tcPr>
            <w:tcW w:w="1115" w:type="dxa"/>
            <w:shd w:val="clear" w:color="auto" w:fill="D0CECE"/>
            <w:hideMark/>
          </w:tcPr>
          <w:p w14:paraId="65A96C35" w14:textId="77777777" w:rsidR="008F0710" w:rsidRPr="00381E65" w:rsidRDefault="008F0710" w:rsidP="00403069">
            <w:pPr>
              <w:contextualSpacing/>
              <w:jc w:val="center"/>
              <w:rPr>
                <w:rFonts w:ascii="Arial" w:eastAsia="Batang" w:hAnsi="Arial" w:cs="Arial"/>
                <w:sz w:val="18"/>
                <w:szCs w:val="18"/>
                <w:lang w:eastAsia="ko-KR"/>
              </w:rPr>
            </w:pPr>
            <w:r w:rsidRPr="00381E65">
              <w:rPr>
                <w:rFonts w:ascii="Arial" w:eastAsia="Batang" w:hAnsi="Arial" w:cs="Arial"/>
                <w:sz w:val="18"/>
                <w:szCs w:val="18"/>
                <w:lang w:eastAsia="ko-KR"/>
              </w:rPr>
              <w:t>Формат содержательной части</w:t>
            </w:r>
          </w:p>
        </w:tc>
        <w:tc>
          <w:tcPr>
            <w:tcW w:w="922" w:type="dxa"/>
            <w:shd w:val="clear" w:color="auto" w:fill="D0CECE"/>
            <w:hideMark/>
          </w:tcPr>
          <w:p w14:paraId="2FA913C2" w14:textId="77777777" w:rsidR="008F0710" w:rsidRPr="00381E65" w:rsidRDefault="008F0710" w:rsidP="00403069">
            <w:pPr>
              <w:contextualSpacing/>
              <w:jc w:val="center"/>
              <w:rPr>
                <w:rFonts w:ascii="Arial" w:eastAsia="Batang" w:hAnsi="Arial" w:cs="Arial"/>
                <w:sz w:val="18"/>
                <w:szCs w:val="18"/>
                <w:lang w:eastAsia="ko-KR"/>
              </w:rPr>
            </w:pPr>
            <w:r w:rsidRPr="00381E65">
              <w:rPr>
                <w:rFonts w:ascii="Arial" w:eastAsia="Batang" w:hAnsi="Arial" w:cs="Arial"/>
                <w:sz w:val="18"/>
                <w:szCs w:val="18"/>
                <w:lang w:eastAsia="ko-KR"/>
              </w:rPr>
              <w:t>Отправитель</w:t>
            </w:r>
          </w:p>
        </w:tc>
        <w:tc>
          <w:tcPr>
            <w:tcW w:w="859" w:type="dxa"/>
            <w:shd w:val="clear" w:color="auto" w:fill="D0CECE"/>
            <w:hideMark/>
          </w:tcPr>
          <w:p w14:paraId="0467BF8A" w14:textId="77777777" w:rsidR="008F0710" w:rsidRPr="00381E65" w:rsidRDefault="008F0710" w:rsidP="00403069">
            <w:pPr>
              <w:contextualSpacing/>
              <w:jc w:val="center"/>
              <w:rPr>
                <w:rFonts w:ascii="Arial" w:eastAsia="Batang" w:hAnsi="Arial" w:cs="Arial"/>
                <w:sz w:val="18"/>
                <w:szCs w:val="18"/>
                <w:lang w:eastAsia="ko-KR"/>
              </w:rPr>
            </w:pPr>
            <w:r w:rsidRPr="00381E65">
              <w:rPr>
                <w:rFonts w:ascii="Arial" w:eastAsia="Batang" w:hAnsi="Arial" w:cs="Arial"/>
                <w:sz w:val="18"/>
                <w:szCs w:val="18"/>
                <w:lang w:eastAsia="ko-KR"/>
              </w:rPr>
              <w:t>Получатель</w:t>
            </w:r>
          </w:p>
        </w:tc>
        <w:tc>
          <w:tcPr>
            <w:tcW w:w="1027" w:type="dxa"/>
            <w:shd w:val="clear" w:color="auto" w:fill="D0CECE"/>
            <w:hideMark/>
          </w:tcPr>
          <w:p w14:paraId="1B2BBE3E" w14:textId="77777777" w:rsidR="008F0710" w:rsidRPr="00381E65" w:rsidRDefault="008F0710" w:rsidP="00403069">
            <w:pPr>
              <w:contextualSpacing/>
              <w:jc w:val="center"/>
              <w:rPr>
                <w:rFonts w:ascii="Arial" w:eastAsia="Batang" w:hAnsi="Arial" w:cs="Arial"/>
                <w:sz w:val="18"/>
                <w:szCs w:val="18"/>
                <w:lang w:eastAsia="ko-KR"/>
              </w:rPr>
            </w:pPr>
            <w:r w:rsidRPr="00381E65">
              <w:rPr>
                <w:rFonts w:ascii="Arial" w:eastAsia="Batang" w:hAnsi="Arial" w:cs="Arial"/>
                <w:sz w:val="18"/>
                <w:szCs w:val="18"/>
                <w:lang w:eastAsia="ko-KR"/>
              </w:rPr>
              <w:t>Способ доставки</w:t>
            </w:r>
          </w:p>
        </w:tc>
        <w:tc>
          <w:tcPr>
            <w:tcW w:w="1201" w:type="dxa"/>
            <w:shd w:val="clear" w:color="auto" w:fill="D0CECE"/>
            <w:hideMark/>
          </w:tcPr>
          <w:p w14:paraId="782E1155" w14:textId="77777777" w:rsidR="008F0710" w:rsidRPr="00381E65" w:rsidRDefault="008F0710" w:rsidP="00403069">
            <w:pPr>
              <w:contextualSpacing/>
              <w:jc w:val="center"/>
              <w:rPr>
                <w:rFonts w:ascii="Arial" w:eastAsia="Batang" w:hAnsi="Arial" w:cs="Arial"/>
                <w:sz w:val="18"/>
                <w:szCs w:val="18"/>
                <w:lang w:eastAsia="ko-KR"/>
              </w:rPr>
            </w:pPr>
            <w:r w:rsidRPr="00381E65">
              <w:rPr>
                <w:rFonts w:ascii="Arial" w:eastAsia="Batang" w:hAnsi="Arial" w:cs="Arial"/>
                <w:sz w:val="18"/>
                <w:szCs w:val="18"/>
                <w:lang w:eastAsia="ko-KR"/>
              </w:rPr>
              <w:t>Под</w:t>
            </w:r>
            <w:r w:rsidR="00BD731C">
              <w:rPr>
                <w:rFonts w:ascii="Arial" w:eastAsia="Batang" w:hAnsi="Arial" w:cs="Arial"/>
                <w:sz w:val="18"/>
                <w:szCs w:val="18"/>
                <w:lang w:eastAsia="ko-KR"/>
              </w:rPr>
              <w:t xml:space="preserve">тверждение получения документом </w:t>
            </w:r>
            <w:r w:rsidRPr="00381E65">
              <w:rPr>
                <w:rFonts w:ascii="Arial" w:eastAsia="Batang" w:hAnsi="Arial" w:cs="Arial"/>
                <w:sz w:val="18"/>
                <w:szCs w:val="18"/>
                <w:lang w:eastAsia="ko-KR"/>
              </w:rPr>
              <w:t>квитанцией</w:t>
            </w:r>
          </w:p>
        </w:tc>
        <w:tc>
          <w:tcPr>
            <w:tcW w:w="981" w:type="dxa"/>
            <w:shd w:val="clear" w:color="auto" w:fill="D0CECE"/>
            <w:hideMark/>
          </w:tcPr>
          <w:p w14:paraId="1A5BEEA8" w14:textId="77777777" w:rsidR="008F0710" w:rsidRPr="00381E65" w:rsidRDefault="008F0710" w:rsidP="00403069">
            <w:pPr>
              <w:contextualSpacing/>
              <w:jc w:val="center"/>
              <w:rPr>
                <w:rFonts w:ascii="Arial" w:eastAsia="Batang" w:hAnsi="Arial" w:cs="Arial"/>
                <w:sz w:val="18"/>
                <w:szCs w:val="18"/>
                <w:lang w:eastAsia="ko-KR"/>
              </w:rPr>
            </w:pPr>
            <w:r w:rsidRPr="00381E65">
              <w:rPr>
                <w:rFonts w:ascii="Arial" w:eastAsia="Batang" w:hAnsi="Arial" w:cs="Arial"/>
                <w:sz w:val="18"/>
                <w:szCs w:val="18"/>
                <w:lang w:eastAsia="ko-KR"/>
              </w:rPr>
              <w:t>Необходимость шифрования</w:t>
            </w:r>
          </w:p>
        </w:tc>
        <w:tc>
          <w:tcPr>
            <w:tcW w:w="1862" w:type="dxa"/>
            <w:shd w:val="clear" w:color="auto" w:fill="D0CECE"/>
            <w:hideMark/>
          </w:tcPr>
          <w:p w14:paraId="53DF5169" w14:textId="77777777" w:rsidR="008F0710" w:rsidRPr="00381E65" w:rsidRDefault="008F0710" w:rsidP="00403069">
            <w:pPr>
              <w:ind w:left="-68" w:right="-104"/>
              <w:contextualSpacing/>
              <w:jc w:val="center"/>
              <w:rPr>
                <w:rFonts w:ascii="Arial" w:eastAsia="Batang" w:hAnsi="Arial" w:cs="Arial"/>
                <w:sz w:val="18"/>
                <w:szCs w:val="18"/>
                <w:lang w:eastAsia="ko-KR"/>
              </w:rPr>
            </w:pPr>
            <w:r w:rsidRPr="00381E65">
              <w:rPr>
                <w:rFonts w:ascii="Arial" w:eastAsia="Batang" w:hAnsi="Arial" w:cs="Arial"/>
                <w:sz w:val="18"/>
                <w:szCs w:val="18"/>
                <w:lang w:eastAsia="ko-KR"/>
              </w:rPr>
              <w:t>Идентификатор (OID), определяющий требуемые для подписания ЭД полномочия представителя участника ЭДО</w:t>
            </w:r>
          </w:p>
        </w:tc>
        <w:tc>
          <w:tcPr>
            <w:tcW w:w="1046" w:type="dxa"/>
            <w:shd w:val="clear" w:color="auto" w:fill="D0CECE"/>
            <w:hideMark/>
          </w:tcPr>
          <w:p w14:paraId="394313B1" w14:textId="77777777" w:rsidR="008F0710" w:rsidRPr="00381E65" w:rsidRDefault="008F0710" w:rsidP="00403069">
            <w:pPr>
              <w:contextualSpacing/>
              <w:jc w:val="center"/>
              <w:rPr>
                <w:rFonts w:ascii="Arial" w:eastAsia="Batang" w:hAnsi="Arial" w:cs="Arial"/>
                <w:sz w:val="18"/>
                <w:szCs w:val="18"/>
                <w:lang w:eastAsia="ko-KR"/>
              </w:rPr>
            </w:pPr>
            <w:r w:rsidRPr="00381E65">
              <w:rPr>
                <w:rFonts w:ascii="Arial" w:eastAsia="Batang" w:hAnsi="Arial" w:cs="Arial"/>
                <w:sz w:val="18"/>
                <w:szCs w:val="18"/>
                <w:lang w:eastAsia="ko-KR"/>
              </w:rPr>
              <w:t>ПО для отображения и изготовления бумажных копий</w:t>
            </w:r>
          </w:p>
        </w:tc>
        <w:tc>
          <w:tcPr>
            <w:tcW w:w="773" w:type="dxa"/>
            <w:shd w:val="clear" w:color="auto" w:fill="D0CECE"/>
            <w:hideMark/>
          </w:tcPr>
          <w:p w14:paraId="5D575261" w14:textId="77777777" w:rsidR="008F0710" w:rsidRPr="00381E65" w:rsidRDefault="008F0710" w:rsidP="00403069">
            <w:pPr>
              <w:contextualSpacing/>
              <w:jc w:val="center"/>
              <w:rPr>
                <w:rFonts w:ascii="Arial" w:eastAsia="Batang" w:hAnsi="Arial" w:cs="Arial"/>
                <w:sz w:val="18"/>
                <w:szCs w:val="18"/>
                <w:lang w:eastAsia="ko-KR"/>
              </w:rPr>
            </w:pPr>
            <w:r w:rsidRPr="00381E65">
              <w:rPr>
                <w:rFonts w:ascii="Arial" w:eastAsia="Batang" w:hAnsi="Arial" w:cs="Arial"/>
                <w:sz w:val="18"/>
                <w:szCs w:val="18"/>
                <w:lang w:eastAsia="ko-KR"/>
              </w:rPr>
              <w:t>Срок хранения в архиве</w:t>
            </w:r>
          </w:p>
        </w:tc>
        <w:tc>
          <w:tcPr>
            <w:tcW w:w="809" w:type="dxa"/>
            <w:shd w:val="clear" w:color="auto" w:fill="D0CECE"/>
            <w:hideMark/>
          </w:tcPr>
          <w:p w14:paraId="7A002E59" w14:textId="77777777" w:rsidR="008F0710" w:rsidRPr="00381E65" w:rsidRDefault="008F0710" w:rsidP="00403069">
            <w:pPr>
              <w:contextualSpacing/>
              <w:jc w:val="center"/>
              <w:rPr>
                <w:rFonts w:ascii="Arial" w:eastAsia="Batang" w:hAnsi="Arial" w:cs="Arial"/>
                <w:sz w:val="18"/>
                <w:szCs w:val="18"/>
                <w:lang w:eastAsia="ko-KR"/>
              </w:rPr>
            </w:pPr>
            <w:r w:rsidRPr="00381E65">
              <w:rPr>
                <w:rFonts w:ascii="Arial" w:eastAsia="Batang" w:hAnsi="Arial" w:cs="Arial"/>
                <w:sz w:val="18"/>
                <w:szCs w:val="18"/>
                <w:lang w:eastAsia="ko-KR"/>
              </w:rPr>
              <w:t>Срок доступа через интерфейс сайта</w:t>
            </w:r>
          </w:p>
        </w:tc>
      </w:tr>
      <w:tr w:rsidR="00AC4F16" w:rsidRPr="00381E65" w14:paraId="772606C9" w14:textId="77777777" w:rsidTr="00AC4F16">
        <w:trPr>
          <w:trHeight w:val="64"/>
        </w:trPr>
        <w:tc>
          <w:tcPr>
            <w:tcW w:w="1083" w:type="dxa"/>
            <w:shd w:val="clear" w:color="auto" w:fill="auto"/>
            <w:vAlign w:val="center"/>
          </w:tcPr>
          <w:p w14:paraId="19D8BDCC" w14:textId="77777777" w:rsidR="00AC4F16" w:rsidRPr="00AC4F16" w:rsidRDefault="00AC4F16" w:rsidP="00AC4F16">
            <w:pPr>
              <w:contextualSpacing/>
              <w:jc w:val="center"/>
              <w:rPr>
                <w:rFonts w:ascii="Arial" w:eastAsia="Batang" w:hAnsi="Arial" w:cs="Arial"/>
                <w:sz w:val="18"/>
                <w:szCs w:val="18"/>
                <w:lang w:eastAsia="ko-KR"/>
              </w:rPr>
            </w:pPr>
            <w:r>
              <w:rPr>
                <w:rFonts w:ascii="Arial" w:hAnsi="Arial" w:cs="Arial"/>
                <w:color w:val="000000"/>
                <w:sz w:val="18"/>
                <w:szCs w:val="18"/>
                <w:lang w:val="en-US"/>
              </w:rPr>
              <w:t>2</w:t>
            </w:r>
            <w:r w:rsidRPr="00AC4F16">
              <w:rPr>
                <w:rFonts w:ascii="Arial" w:hAnsi="Arial" w:cs="Arial"/>
                <w:color w:val="000000"/>
                <w:sz w:val="18"/>
                <w:szCs w:val="18"/>
              </w:rPr>
              <w:t>0020</w:t>
            </w:r>
          </w:p>
        </w:tc>
        <w:tc>
          <w:tcPr>
            <w:tcW w:w="1673" w:type="dxa"/>
            <w:shd w:val="clear" w:color="auto" w:fill="auto"/>
            <w:vAlign w:val="center"/>
          </w:tcPr>
          <w:p w14:paraId="2AF5F063" w14:textId="77777777" w:rsidR="00AC4F16" w:rsidRPr="00AC4F16" w:rsidRDefault="00AC4F16" w:rsidP="00AC4F16">
            <w:pPr>
              <w:contextualSpacing/>
              <w:jc w:val="center"/>
              <w:rPr>
                <w:rFonts w:ascii="Arial" w:eastAsia="Batang" w:hAnsi="Arial" w:cs="Arial"/>
                <w:sz w:val="18"/>
                <w:szCs w:val="18"/>
                <w:lang w:eastAsia="ko-KR"/>
              </w:rPr>
            </w:pPr>
            <w:r w:rsidRPr="00AC4F16">
              <w:rPr>
                <w:rFonts w:ascii="Arial" w:hAnsi="Arial" w:cs="Arial"/>
                <w:color w:val="000000"/>
                <w:sz w:val="18"/>
                <w:szCs w:val="18"/>
              </w:rPr>
              <w:t>Результаты измере</w:t>
            </w:r>
            <w:r>
              <w:rPr>
                <w:rFonts w:ascii="Arial" w:hAnsi="Arial" w:cs="Arial"/>
                <w:color w:val="000000"/>
                <w:sz w:val="18"/>
                <w:szCs w:val="18"/>
              </w:rPr>
              <w:t xml:space="preserve">ний по точкам измерений, точкам присоединения, объекту регулирования </w:t>
            </w:r>
            <w:r w:rsidRPr="00AC4F16">
              <w:rPr>
                <w:rFonts w:ascii="Arial" w:hAnsi="Arial" w:cs="Arial"/>
                <w:color w:val="000000"/>
                <w:sz w:val="18"/>
                <w:szCs w:val="18"/>
              </w:rPr>
              <w:t xml:space="preserve">(формат </w:t>
            </w:r>
            <w:r>
              <w:rPr>
                <w:rFonts w:ascii="Arial" w:hAnsi="Arial" w:cs="Arial"/>
                <w:color w:val="000000"/>
                <w:sz w:val="18"/>
                <w:szCs w:val="18"/>
              </w:rPr>
              <w:t>2</w:t>
            </w:r>
            <w:r w:rsidRPr="00AC4F16">
              <w:rPr>
                <w:rFonts w:ascii="Arial" w:hAnsi="Arial" w:cs="Arial"/>
                <w:color w:val="000000"/>
                <w:sz w:val="18"/>
                <w:szCs w:val="18"/>
              </w:rPr>
              <w:t>0020)</w:t>
            </w:r>
          </w:p>
        </w:tc>
        <w:tc>
          <w:tcPr>
            <w:tcW w:w="1898" w:type="dxa"/>
            <w:shd w:val="clear" w:color="auto" w:fill="auto"/>
            <w:vAlign w:val="center"/>
          </w:tcPr>
          <w:p w14:paraId="3813BF10" w14:textId="77777777" w:rsidR="00AC4F16" w:rsidRPr="00AC4F16" w:rsidRDefault="00AC4F16" w:rsidP="00BD731C">
            <w:pPr>
              <w:contextualSpacing/>
              <w:jc w:val="center"/>
              <w:rPr>
                <w:rFonts w:ascii="Arial" w:eastAsia="Batang" w:hAnsi="Arial" w:cs="Arial"/>
                <w:sz w:val="18"/>
                <w:szCs w:val="18"/>
                <w:lang w:eastAsia="ko-KR"/>
              </w:rPr>
            </w:pPr>
            <w:r w:rsidRPr="00AC4F16">
              <w:rPr>
                <w:rFonts w:ascii="Arial" w:hAnsi="Arial" w:cs="Arial"/>
                <w:color w:val="000000"/>
                <w:sz w:val="18"/>
                <w:szCs w:val="18"/>
              </w:rPr>
              <w:t>Регламент № 11.1.1, п</w:t>
            </w:r>
            <w:r w:rsidR="00BD731C">
              <w:rPr>
                <w:rFonts w:ascii="Arial" w:hAnsi="Arial" w:cs="Arial"/>
                <w:color w:val="000000"/>
                <w:sz w:val="18"/>
                <w:szCs w:val="18"/>
              </w:rPr>
              <w:t>риложение 1</w:t>
            </w:r>
          </w:p>
        </w:tc>
        <w:tc>
          <w:tcPr>
            <w:tcW w:w="1115" w:type="dxa"/>
            <w:shd w:val="clear" w:color="auto" w:fill="auto"/>
            <w:vAlign w:val="center"/>
          </w:tcPr>
          <w:p w14:paraId="68958C05" w14:textId="77777777" w:rsidR="00AC4F16" w:rsidRPr="00AC4F16" w:rsidRDefault="00AC4F16" w:rsidP="00AC4F16">
            <w:pPr>
              <w:contextualSpacing/>
              <w:jc w:val="center"/>
              <w:rPr>
                <w:rFonts w:ascii="Arial" w:eastAsia="Batang" w:hAnsi="Arial" w:cs="Arial"/>
                <w:sz w:val="18"/>
                <w:szCs w:val="18"/>
                <w:lang w:eastAsia="ko-KR"/>
              </w:rPr>
            </w:pPr>
            <w:r w:rsidRPr="00AC4F16">
              <w:rPr>
                <w:rFonts w:ascii="Arial" w:hAnsi="Arial" w:cs="Arial"/>
                <w:color w:val="000000"/>
                <w:sz w:val="18"/>
                <w:szCs w:val="18"/>
              </w:rPr>
              <w:t>xml</w:t>
            </w:r>
          </w:p>
        </w:tc>
        <w:tc>
          <w:tcPr>
            <w:tcW w:w="922" w:type="dxa"/>
            <w:shd w:val="clear" w:color="auto" w:fill="auto"/>
            <w:vAlign w:val="center"/>
          </w:tcPr>
          <w:p w14:paraId="4C299965" w14:textId="77777777" w:rsidR="00AC4F16" w:rsidRPr="00AC4F16" w:rsidRDefault="00BD731C" w:rsidP="00AC4F16">
            <w:pPr>
              <w:contextualSpacing/>
              <w:jc w:val="center"/>
              <w:rPr>
                <w:rFonts w:ascii="Arial" w:eastAsia="Batang" w:hAnsi="Arial" w:cs="Arial"/>
                <w:sz w:val="18"/>
                <w:szCs w:val="18"/>
                <w:lang w:eastAsia="ko-KR"/>
              </w:rPr>
            </w:pPr>
            <w:r>
              <w:rPr>
                <w:rFonts w:ascii="Arial" w:hAnsi="Arial" w:cs="Arial"/>
                <w:color w:val="000000"/>
                <w:sz w:val="18"/>
                <w:szCs w:val="18"/>
              </w:rPr>
              <w:t>Агрегатор</w:t>
            </w:r>
          </w:p>
        </w:tc>
        <w:tc>
          <w:tcPr>
            <w:tcW w:w="859" w:type="dxa"/>
            <w:shd w:val="clear" w:color="auto" w:fill="auto"/>
            <w:vAlign w:val="center"/>
          </w:tcPr>
          <w:p w14:paraId="72EEA203" w14:textId="77777777" w:rsidR="00AC4F16" w:rsidRPr="00AC4F16" w:rsidRDefault="00AC4F16" w:rsidP="00AC4F16">
            <w:pPr>
              <w:contextualSpacing/>
              <w:jc w:val="center"/>
              <w:rPr>
                <w:rFonts w:ascii="Arial" w:eastAsia="Batang" w:hAnsi="Arial" w:cs="Arial"/>
                <w:sz w:val="18"/>
                <w:szCs w:val="18"/>
                <w:lang w:eastAsia="ko-KR"/>
              </w:rPr>
            </w:pPr>
            <w:r w:rsidRPr="00AC4F16">
              <w:rPr>
                <w:rFonts w:ascii="Arial" w:hAnsi="Arial" w:cs="Arial"/>
                <w:color w:val="000000"/>
                <w:sz w:val="18"/>
                <w:szCs w:val="18"/>
              </w:rPr>
              <w:t>АТС</w:t>
            </w:r>
          </w:p>
        </w:tc>
        <w:tc>
          <w:tcPr>
            <w:tcW w:w="1027" w:type="dxa"/>
            <w:shd w:val="clear" w:color="auto" w:fill="auto"/>
            <w:vAlign w:val="center"/>
          </w:tcPr>
          <w:p w14:paraId="47CA43A0" w14:textId="77777777" w:rsidR="00AC4F16" w:rsidRPr="00AC4F16" w:rsidRDefault="00AC4F16" w:rsidP="00AC4F16">
            <w:pPr>
              <w:contextualSpacing/>
              <w:jc w:val="center"/>
              <w:rPr>
                <w:rFonts w:ascii="Arial" w:eastAsia="Batang" w:hAnsi="Arial" w:cs="Arial"/>
                <w:sz w:val="18"/>
                <w:szCs w:val="18"/>
                <w:lang w:eastAsia="ko-KR"/>
              </w:rPr>
            </w:pPr>
            <w:r w:rsidRPr="00AC4F16">
              <w:rPr>
                <w:rFonts w:ascii="Arial" w:hAnsi="Arial" w:cs="Arial"/>
                <w:color w:val="000000"/>
                <w:sz w:val="18"/>
                <w:szCs w:val="18"/>
              </w:rPr>
              <w:t>электронная почта</w:t>
            </w:r>
          </w:p>
        </w:tc>
        <w:tc>
          <w:tcPr>
            <w:tcW w:w="1201" w:type="dxa"/>
            <w:shd w:val="clear" w:color="auto" w:fill="auto"/>
            <w:vAlign w:val="center"/>
          </w:tcPr>
          <w:p w14:paraId="359138C0" w14:textId="77777777" w:rsidR="00AC4F16" w:rsidRPr="00AC4F16" w:rsidRDefault="00AC4F16" w:rsidP="00AC4F16">
            <w:pPr>
              <w:contextualSpacing/>
              <w:jc w:val="center"/>
              <w:rPr>
                <w:rFonts w:ascii="Arial" w:eastAsia="Batang" w:hAnsi="Arial" w:cs="Arial"/>
                <w:sz w:val="18"/>
                <w:szCs w:val="18"/>
                <w:lang w:eastAsia="ko-KR"/>
              </w:rPr>
            </w:pPr>
            <w:r w:rsidRPr="00AC4F16">
              <w:rPr>
                <w:rFonts w:ascii="Arial" w:hAnsi="Arial" w:cs="Arial"/>
                <w:color w:val="000000"/>
                <w:sz w:val="18"/>
                <w:szCs w:val="18"/>
              </w:rPr>
              <w:t>Нет</w:t>
            </w:r>
          </w:p>
        </w:tc>
        <w:tc>
          <w:tcPr>
            <w:tcW w:w="981" w:type="dxa"/>
            <w:shd w:val="clear" w:color="auto" w:fill="auto"/>
            <w:vAlign w:val="center"/>
          </w:tcPr>
          <w:p w14:paraId="1F3AFF9C" w14:textId="77777777" w:rsidR="00AC4F16" w:rsidRPr="00AC4F16" w:rsidRDefault="00AC4F16" w:rsidP="00AC4F16">
            <w:pPr>
              <w:contextualSpacing/>
              <w:jc w:val="center"/>
              <w:rPr>
                <w:rFonts w:ascii="Arial" w:eastAsia="Batang" w:hAnsi="Arial" w:cs="Arial"/>
                <w:sz w:val="18"/>
                <w:szCs w:val="18"/>
                <w:lang w:eastAsia="ko-KR"/>
              </w:rPr>
            </w:pPr>
            <w:r w:rsidRPr="00AC4F16">
              <w:rPr>
                <w:rFonts w:ascii="Arial" w:hAnsi="Arial" w:cs="Arial"/>
                <w:color w:val="000000"/>
                <w:sz w:val="18"/>
                <w:szCs w:val="18"/>
              </w:rPr>
              <w:t>Да</w:t>
            </w:r>
          </w:p>
        </w:tc>
        <w:tc>
          <w:tcPr>
            <w:tcW w:w="1862" w:type="dxa"/>
            <w:shd w:val="clear" w:color="auto" w:fill="auto"/>
            <w:vAlign w:val="center"/>
          </w:tcPr>
          <w:p w14:paraId="356CBFB1" w14:textId="77777777" w:rsidR="00AC4F16" w:rsidRPr="00AC4F16" w:rsidRDefault="00AC4F16" w:rsidP="00AC4F16">
            <w:pPr>
              <w:contextualSpacing/>
              <w:jc w:val="center"/>
              <w:rPr>
                <w:rFonts w:ascii="Arial" w:eastAsia="Batang" w:hAnsi="Arial" w:cs="Arial"/>
                <w:sz w:val="18"/>
                <w:szCs w:val="18"/>
                <w:lang w:eastAsia="ko-KR"/>
              </w:rPr>
            </w:pPr>
            <w:r w:rsidRPr="00AC4F16">
              <w:rPr>
                <w:rFonts w:ascii="Arial" w:hAnsi="Arial" w:cs="Arial"/>
                <w:color w:val="000000"/>
                <w:sz w:val="18"/>
                <w:szCs w:val="18"/>
              </w:rPr>
              <w:t>1.3.6.1.4.1.18545.1.2.1.9</w:t>
            </w:r>
          </w:p>
        </w:tc>
        <w:tc>
          <w:tcPr>
            <w:tcW w:w="1046" w:type="dxa"/>
            <w:shd w:val="clear" w:color="auto" w:fill="auto"/>
            <w:vAlign w:val="center"/>
          </w:tcPr>
          <w:p w14:paraId="2802AFBC" w14:textId="77777777" w:rsidR="00AC4F16" w:rsidRPr="00AC4F16" w:rsidRDefault="00AC4F16" w:rsidP="00AC4F16">
            <w:pPr>
              <w:contextualSpacing/>
              <w:jc w:val="center"/>
              <w:rPr>
                <w:rFonts w:ascii="Arial" w:eastAsia="Batang" w:hAnsi="Arial" w:cs="Arial"/>
                <w:sz w:val="18"/>
                <w:szCs w:val="18"/>
                <w:lang w:eastAsia="ko-KR"/>
              </w:rPr>
            </w:pPr>
            <w:r w:rsidRPr="00AC4F16">
              <w:rPr>
                <w:rFonts w:ascii="Arial" w:hAnsi="Arial" w:cs="Arial"/>
                <w:color w:val="000000"/>
                <w:sz w:val="18"/>
                <w:szCs w:val="18"/>
              </w:rPr>
              <w:t>ASPMailer</w:t>
            </w:r>
          </w:p>
        </w:tc>
        <w:tc>
          <w:tcPr>
            <w:tcW w:w="773" w:type="dxa"/>
            <w:shd w:val="clear" w:color="auto" w:fill="auto"/>
            <w:vAlign w:val="center"/>
          </w:tcPr>
          <w:p w14:paraId="0A1C8F40" w14:textId="77777777" w:rsidR="00AC4F16" w:rsidRPr="00AC4F16" w:rsidRDefault="00AC4F16" w:rsidP="00AC4F16">
            <w:pPr>
              <w:contextualSpacing/>
              <w:jc w:val="center"/>
              <w:rPr>
                <w:rFonts w:ascii="Arial" w:eastAsia="Batang" w:hAnsi="Arial" w:cs="Arial"/>
                <w:sz w:val="18"/>
                <w:szCs w:val="18"/>
                <w:lang w:eastAsia="ko-KR"/>
              </w:rPr>
            </w:pPr>
            <w:r w:rsidRPr="00AC4F16">
              <w:rPr>
                <w:rFonts w:ascii="Arial" w:hAnsi="Arial" w:cs="Arial"/>
                <w:color w:val="000000"/>
                <w:sz w:val="18"/>
                <w:szCs w:val="18"/>
              </w:rPr>
              <w:t>5 лет</w:t>
            </w:r>
          </w:p>
        </w:tc>
        <w:tc>
          <w:tcPr>
            <w:tcW w:w="809" w:type="dxa"/>
            <w:shd w:val="clear" w:color="auto" w:fill="auto"/>
            <w:vAlign w:val="center"/>
          </w:tcPr>
          <w:p w14:paraId="04B03676" w14:textId="552C2578" w:rsidR="00AC4F16" w:rsidRPr="00AC4F16" w:rsidRDefault="00AC4F16" w:rsidP="00AC4F16">
            <w:pPr>
              <w:contextualSpacing/>
              <w:jc w:val="center"/>
              <w:rPr>
                <w:rFonts w:ascii="Arial" w:eastAsia="Batang" w:hAnsi="Arial" w:cs="Arial"/>
                <w:sz w:val="18"/>
                <w:szCs w:val="18"/>
                <w:lang w:eastAsia="ko-KR"/>
              </w:rPr>
            </w:pPr>
          </w:p>
        </w:tc>
      </w:tr>
      <w:tr w:rsidR="00AC4F16" w:rsidRPr="00381E65" w14:paraId="4E63208A" w14:textId="77777777" w:rsidTr="00AC4F16">
        <w:trPr>
          <w:trHeight w:val="815"/>
        </w:trPr>
        <w:tc>
          <w:tcPr>
            <w:tcW w:w="1083" w:type="dxa"/>
            <w:shd w:val="clear" w:color="auto" w:fill="auto"/>
            <w:vAlign w:val="center"/>
          </w:tcPr>
          <w:p w14:paraId="08DF3686" w14:textId="77777777" w:rsidR="00AC4F16" w:rsidRPr="00AC4F16" w:rsidRDefault="00AC4F16" w:rsidP="00AC4F16">
            <w:pPr>
              <w:contextualSpacing/>
              <w:jc w:val="center"/>
              <w:rPr>
                <w:rFonts w:ascii="Arial" w:eastAsia="Batang" w:hAnsi="Arial" w:cs="Arial"/>
                <w:sz w:val="18"/>
                <w:szCs w:val="18"/>
                <w:lang w:eastAsia="ko-KR"/>
              </w:rPr>
            </w:pPr>
            <w:r>
              <w:rPr>
                <w:rFonts w:ascii="Arial" w:hAnsi="Arial" w:cs="Arial"/>
                <w:color w:val="000000"/>
                <w:sz w:val="18"/>
                <w:szCs w:val="18"/>
                <w:lang w:val="en-US"/>
              </w:rPr>
              <w:t>2</w:t>
            </w:r>
            <w:r w:rsidRPr="00AC4F16">
              <w:rPr>
                <w:rFonts w:ascii="Arial" w:hAnsi="Arial" w:cs="Arial"/>
                <w:color w:val="000000"/>
                <w:sz w:val="18"/>
                <w:szCs w:val="18"/>
              </w:rPr>
              <w:t>0021</w:t>
            </w:r>
          </w:p>
        </w:tc>
        <w:tc>
          <w:tcPr>
            <w:tcW w:w="1673" w:type="dxa"/>
            <w:shd w:val="clear" w:color="auto" w:fill="auto"/>
            <w:vAlign w:val="center"/>
          </w:tcPr>
          <w:p w14:paraId="763B5C90" w14:textId="00AD18DB" w:rsidR="00AC4F16" w:rsidRPr="00AC4F16" w:rsidRDefault="00AC4F16" w:rsidP="00945FC0">
            <w:pPr>
              <w:contextualSpacing/>
              <w:jc w:val="center"/>
              <w:rPr>
                <w:rFonts w:ascii="Arial" w:eastAsia="Batang" w:hAnsi="Arial" w:cs="Arial"/>
                <w:sz w:val="18"/>
                <w:szCs w:val="18"/>
                <w:lang w:eastAsia="ko-KR"/>
              </w:rPr>
            </w:pPr>
            <w:r w:rsidRPr="00AC4F16">
              <w:rPr>
                <w:rFonts w:ascii="Arial" w:hAnsi="Arial" w:cs="Arial"/>
                <w:color w:val="000000"/>
                <w:sz w:val="18"/>
                <w:szCs w:val="18"/>
              </w:rPr>
              <w:t xml:space="preserve">Уведомление о приеме </w:t>
            </w:r>
            <w:r w:rsidR="00945FC0">
              <w:rPr>
                <w:rFonts w:ascii="Arial" w:hAnsi="Arial" w:cs="Arial"/>
                <w:color w:val="000000"/>
                <w:sz w:val="18"/>
                <w:szCs w:val="18"/>
              </w:rPr>
              <w:t>р</w:t>
            </w:r>
            <w:r w:rsidRPr="00AC4F16">
              <w:rPr>
                <w:rFonts w:ascii="Arial" w:hAnsi="Arial" w:cs="Arial"/>
                <w:color w:val="000000"/>
                <w:sz w:val="18"/>
                <w:szCs w:val="18"/>
              </w:rPr>
              <w:t xml:space="preserve">езультатов измерений по точкам измерений, </w:t>
            </w:r>
            <w:r w:rsidR="00BD731C">
              <w:rPr>
                <w:rFonts w:ascii="Arial" w:hAnsi="Arial" w:cs="Arial"/>
                <w:color w:val="000000"/>
                <w:sz w:val="18"/>
                <w:szCs w:val="18"/>
              </w:rPr>
              <w:t>точкам присоединения, объекту регулирования</w:t>
            </w:r>
          </w:p>
        </w:tc>
        <w:tc>
          <w:tcPr>
            <w:tcW w:w="1898" w:type="dxa"/>
            <w:shd w:val="clear" w:color="auto" w:fill="auto"/>
            <w:vAlign w:val="center"/>
          </w:tcPr>
          <w:p w14:paraId="5E5AEEC1" w14:textId="77777777" w:rsidR="00AC4F16" w:rsidRPr="00AC4F16" w:rsidRDefault="00AC4F16" w:rsidP="00BD731C">
            <w:pPr>
              <w:contextualSpacing/>
              <w:jc w:val="center"/>
              <w:rPr>
                <w:rFonts w:ascii="Arial" w:eastAsia="Batang" w:hAnsi="Arial" w:cs="Arial"/>
                <w:sz w:val="18"/>
                <w:szCs w:val="18"/>
                <w:lang w:eastAsia="ko-KR"/>
              </w:rPr>
            </w:pPr>
            <w:r w:rsidRPr="00AC4F16">
              <w:rPr>
                <w:rFonts w:ascii="Arial" w:hAnsi="Arial" w:cs="Arial"/>
                <w:color w:val="000000"/>
                <w:sz w:val="18"/>
                <w:szCs w:val="18"/>
              </w:rPr>
              <w:t>Регламент № 11.1.1, п. 4.</w:t>
            </w:r>
            <w:r w:rsidR="00BD731C">
              <w:rPr>
                <w:rFonts w:ascii="Arial" w:hAnsi="Arial" w:cs="Arial"/>
                <w:color w:val="000000"/>
                <w:sz w:val="18"/>
                <w:szCs w:val="18"/>
              </w:rPr>
              <w:t>6</w:t>
            </w:r>
          </w:p>
        </w:tc>
        <w:tc>
          <w:tcPr>
            <w:tcW w:w="1115" w:type="dxa"/>
            <w:shd w:val="clear" w:color="auto" w:fill="auto"/>
            <w:vAlign w:val="center"/>
          </w:tcPr>
          <w:p w14:paraId="6186586C" w14:textId="77777777" w:rsidR="00AC4F16" w:rsidRPr="00AC4F16" w:rsidRDefault="00AC4F16" w:rsidP="00AC4F16">
            <w:pPr>
              <w:contextualSpacing/>
              <w:jc w:val="center"/>
              <w:rPr>
                <w:rFonts w:ascii="Arial" w:eastAsia="Batang" w:hAnsi="Arial" w:cs="Arial"/>
                <w:sz w:val="18"/>
                <w:szCs w:val="18"/>
                <w:lang w:eastAsia="ko-KR"/>
              </w:rPr>
            </w:pPr>
            <w:r w:rsidRPr="00AC4F16">
              <w:rPr>
                <w:rFonts w:ascii="Arial" w:hAnsi="Arial" w:cs="Arial"/>
                <w:color w:val="000000"/>
                <w:sz w:val="18"/>
                <w:szCs w:val="18"/>
              </w:rPr>
              <w:t>xml</w:t>
            </w:r>
          </w:p>
        </w:tc>
        <w:tc>
          <w:tcPr>
            <w:tcW w:w="922" w:type="dxa"/>
            <w:shd w:val="clear" w:color="auto" w:fill="auto"/>
            <w:vAlign w:val="center"/>
          </w:tcPr>
          <w:p w14:paraId="79FB202A" w14:textId="77777777" w:rsidR="00AC4F16" w:rsidRPr="00AC4F16" w:rsidRDefault="00AC4F16" w:rsidP="00AC4F16">
            <w:pPr>
              <w:contextualSpacing/>
              <w:jc w:val="center"/>
              <w:rPr>
                <w:rFonts w:ascii="Arial" w:eastAsia="Batang" w:hAnsi="Arial" w:cs="Arial"/>
                <w:sz w:val="18"/>
                <w:szCs w:val="18"/>
                <w:lang w:eastAsia="ko-KR"/>
              </w:rPr>
            </w:pPr>
            <w:r w:rsidRPr="00AC4F16">
              <w:rPr>
                <w:rFonts w:ascii="Arial" w:hAnsi="Arial" w:cs="Arial"/>
                <w:color w:val="000000"/>
                <w:sz w:val="18"/>
                <w:szCs w:val="18"/>
              </w:rPr>
              <w:t>АТС</w:t>
            </w:r>
          </w:p>
        </w:tc>
        <w:tc>
          <w:tcPr>
            <w:tcW w:w="859" w:type="dxa"/>
            <w:shd w:val="clear" w:color="auto" w:fill="auto"/>
            <w:vAlign w:val="center"/>
          </w:tcPr>
          <w:p w14:paraId="320DF1E8" w14:textId="77777777" w:rsidR="00AC4F16" w:rsidRPr="00AC4F16" w:rsidRDefault="00BD731C" w:rsidP="00AC4F16">
            <w:pPr>
              <w:contextualSpacing/>
              <w:jc w:val="center"/>
              <w:rPr>
                <w:rFonts w:ascii="Arial" w:eastAsia="Batang" w:hAnsi="Arial" w:cs="Arial"/>
                <w:sz w:val="18"/>
                <w:szCs w:val="18"/>
                <w:lang w:eastAsia="ko-KR"/>
              </w:rPr>
            </w:pPr>
            <w:r>
              <w:rPr>
                <w:rFonts w:ascii="Arial" w:hAnsi="Arial" w:cs="Arial"/>
                <w:color w:val="000000"/>
                <w:sz w:val="18"/>
                <w:szCs w:val="18"/>
              </w:rPr>
              <w:t>Агрегатор</w:t>
            </w:r>
          </w:p>
        </w:tc>
        <w:tc>
          <w:tcPr>
            <w:tcW w:w="1027" w:type="dxa"/>
            <w:shd w:val="clear" w:color="auto" w:fill="auto"/>
            <w:vAlign w:val="center"/>
          </w:tcPr>
          <w:p w14:paraId="5C06147E" w14:textId="77777777" w:rsidR="00AC4F16" w:rsidRPr="00AC4F16" w:rsidRDefault="00AC4F16" w:rsidP="00AC4F16">
            <w:pPr>
              <w:contextualSpacing/>
              <w:jc w:val="center"/>
              <w:rPr>
                <w:rFonts w:ascii="Arial" w:eastAsia="Batang" w:hAnsi="Arial" w:cs="Arial"/>
                <w:sz w:val="18"/>
                <w:szCs w:val="18"/>
                <w:lang w:eastAsia="ko-KR"/>
              </w:rPr>
            </w:pPr>
            <w:r w:rsidRPr="00AC4F16">
              <w:rPr>
                <w:rFonts w:ascii="Arial" w:hAnsi="Arial" w:cs="Arial"/>
                <w:color w:val="000000"/>
                <w:sz w:val="18"/>
                <w:szCs w:val="18"/>
              </w:rPr>
              <w:t>электронная почта</w:t>
            </w:r>
          </w:p>
        </w:tc>
        <w:tc>
          <w:tcPr>
            <w:tcW w:w="1201" w:type="dxa"/>
            <w:shd w:val="clear" w:color="auto" w:fill="auto"/>
            <w:vAlign w:val="center"/>
          </w:tcPr>
          <w:p w14:paraId="704CFCFD" w14:textId="77777777" w:rsidR="00AC4F16" w:rsidRPr="00AC4F16" w:rsidRDefault="00AC4F16" w:rsidP="00AC4F16">
            <w:pPr>
              <w:contextualSpacing/>
              <w:jc w:val="center"/>
              <w:rPr>
                <w:rFonts w:ascii="Arial" w:eastAsia="Batang" w:hAnsi="Arial" w:cs="Arial"/>
                <w:sz w:val="18"/>
                <w:szCs w:val="18"/>
                <w:lang w:eastAsia="ko-KR"/>
              </w:rPr>
            </w:pPr>
            <w:r w:rsidRPr="00AC4F16">
              <w:rPr>
                <w:rFonts w:ascii="Arial" w:hAnsi="Arial" w:cs="Arial"/>
                <w:color w:val="000000"/>
                <w:sz w:val="18"/>
                <w:szCs w:val="18"/>
              </w:rPr>
              <w:t>Нет</w:t>
            </w:r>
          </w:p>
        </w:tc>
        <w:tc>
          <w:tcPr>
            <w:tcW w:w="981" w:type="dxa"/>
            <w:shd w:val="clear" w:color="auto" w:fill="auto"/>
            <w:vAlign w:val="center"/>
          </w:tcPr>
          <w:p w14:paraId="5492603C" w14:textId="77777777" w:rsidR="00AC4F16" w:rsidRPr="00AC4F16" w:rsidRDefault="00AC4F16" w:rsidP="00AC4F16">
            <w:pPr>
              <w:contextualSpacing/>
              <w:jc w:val="center"/>
              <w:rPr>
                <w:rFonts w:ascii="Arial" w:eastAsia="Batang" w:hAnsi="Arial" w:cs="Arial"/>
                <w:sz w:val="18"/>
                <w:szCs w:val="18"/>
                <w:lang w:eastAsia="ko-KR"/>
              </w:rPr>
            </w:pPr>
            <w:r w:rsidRPr="00AC4F16">
              <w:rPr>
                <w:rFonts w:ascii="Arial" w:hAnsi="Arial" w:cs="Arial"/>
                <w:color w:val="000000"/>
                <w:sz w:val="18"/>
                <w:szCs w:val="18"/>
              </w:rPr>
              <w:t>Нет</w:t>
            </w:r>
          </w:p>
        </w:tc>
        <w:tc>
          <w:tcPr>
            <w:tcW w:w="1862" w:type="dxa"/>
            <w:shd w:val="clear" w:color="auto" w:fill="auto"/>
            <w:vAlign w:val="center"/>
          </w:tcPr>
          <w:p w14:paraId="0E82AE0C" w14:textId="77777777" w:rsidR="00AC4F16" w:rsidRPr="00AC4F16" w:rsidRDefault="00AC4F16" w:rsidP="00AC4F16">
            <w:pPr>
              <w:contextualSpacing/>
              <w:jc w:val="center"/>
              <w:rPr>
                <w:rFonts w:ascii="Arial" w:eastAsia="Batang" w:hAnsi="Arial" w:cs="Arial"/>
                <w:sz w:val="18"/>
                <w:szCs w:val="18"/>
                <w:lang w:eastAsia="ko-KR"/>
              </w:rPr>
            </w:pPr>
            <w:r w:rsidRPr="00AC4F16">
              <w:rPr>
                <w:rFonts w:ascii="Arial" w:hAnsi="Arial" w:cs="Arial"/>
                <w:color w:val="000000"/>
                <w:sz w:val="18"/>
                <w:szCs w:val="18"/>
              </w:rPr>
              <w:t>1.3.6.1.4.1.18545.1.2.1.9</w:t>
            </w:r>
          </w:p>
        </w:tc>
        <w:tc>
          <w:tcPr>
            <w:tcW w:w="1046" w:type="dxa"/>
            <w:shd w:val="clear" w:color="auto" w:fill="auto"/>
            <w:vAlign w:val="center"/>
          </w:tcPr>
          <w:p w14:paraId="465BCA71" w14:textId="77777777" w:rsidR="00AC4F16" w:rsidRPr="00AC4F16" w:rsidRDefault="00AC4F16" w:rsidP="00AC4F16">
            <w:pPr>
              <w:contextualSpacing/>
              <w:jc w:val="center"/>
              <w:rPr>
                <w:rFonts w:ascii="Arial" w:eastAsia="Batang" w:hAnsi="Arial" w:cs="Arial"/>
                <w:sz w:val="18"/>
                <w:szCs w:val="18"/>
                <w:lang w:eastAsia="ko-KR"/>
              </w:rPr>
            </w:pPr>
            <w:r w:rsidRPr="00AC4F16">
              <w:rPr>
                <w:rFonts w:ascii="Arial" w:hAnsi="Arial" w:cs="Arial"/>
                <w:color w:val="000000"/>
                <w:sz w:val="18"/>
                <w:szCs w:val="18"/>
              </w:rPr>
              <w:t>Блокнот</w:t>
            </w:r>
          </w:p>
        </w:tc>
        <w:tc>
          <w:tcPr>
            <w:tcW w:w="773" w:type="dxa"/>
            <w:shd w:val="clear" w:color="auto" w:fill="auto"/>
            <w:vAlign w:val="center"/>
          </w:tcPr>
          <w:p w14:paraId="4A7220D9" w14:textId="77777777" w:rsidR="00AC4F16" w:rsidRPr="00AC4F16" w:rsidRDefault="00AC4F16" w:rsidP="00AC4F16">
            <w:pPr>
              <w:contextualSpacing/>
              <w:jc w:val="center"/>
              <w:rPr>
                <w:rFonts w:ascii="Arial" w:eastAsia="Batang" w:hAnsi="Arial" w:cs="Arial"/>
                <w:sz w:val="18"/>
                <w:szCs w:val="18"/>
                <w:lang w:eastAsia="ko-KR"/>
              </w:rPr>
            </w:pPr>
            <w:r w:rsidRPr="00AC4F16">
              <w:rPr>
                <w:rFonts w:ascii="Arial" w:hAnsi="Arial" w:cs="Arial"/>
                <w:color w:val="000000"/>
                <w:sz w:val="18"/>
                <w:szCs w:val="18"/>
              </w:rPr>
              <w:t>5 лет</w:t>
            </w:r>
          </w:p>
        </w:tc>
        <w:tc>
          <w:tcPr>
            <w:tcW w:w="809" w:type="dxa"/>
            <w:shd w:val="clear" w:color="auto" w:fill="auto"/>
            <w:vAlign w:val="center"/>
          </w:tcPr>
          <w:p w14:paraId="17630FD5" w14:textId="19A64F0D" w:rsidR="00AC4F16" w:rsidRPr="00AC4F16" w:rsidRDefault="00AC4F16" w:rsidP="00AC4F16">
            <w:pPr>
              <w:contextualSpacing/>
              <w:jc w:val="center"/>
              <w:rPr>
                <w:rFonts w:ascii="Arial" w:eastAsia="Batang" w:hAnsi="Arial" w:cs="Arial"/>
                <w:sz w:val="18"/>
                <w:szCs w:val="18"/>
                <w:lang w:eastAsia="ko-KR"/>
              </w:rPr>
            </w:pPr>
          </w:p>
        </w:tc>
      </w:tr>
      <w:tr w:rsidR="00A84DAB" w:rsidRPr="00381E65" w14:paraId="4BF497DF" w14:textId="77777777" w:rsidTr="00945FC0">
        <w:trPr>
          <w:trHeight w:val="273"/>
        </w:trPr>
        <w:tc>
          <w:tcPr>
            <w:tcW w:w="1083" w:type="dxa"/>
            <w:tcBorders>
              <w:top w:val="single" w:sz="4" w:space="0" w:color="auto"/>
              <w:left w:val="single" w:sz="4" w:space="0" w:color="auto"/>
              <w:bottom w:val="single" w:sz="4" w:space="0" w:color="auto"/>
              <w:right w:val="single" w:sz="4" w:space="0" w:color="auto"/>
            </w:tcBorders>
            <w:shd w:val="clear" w:color="auto" w:fill="auto"/>
            <w:vAlign w:val="center"/>
          </w:tcPr>
          <w:p w14:paraId="4BE436E2" w14:textId="77777777" w:rsidR="00A84DAB" w:rsidRDefault="00A84DAB" w:rsidP="00A43635">
            <w:pPr>
              <w:contextualSpacing/>
              <w:jc w:val="center"/>
              <w:rPr>
                <w:rFonts w:ascii="Arial" w:hAnsi="Arial" w:cs="Arial"/>
                <w:color w:val="000000"/>
                <w:sz w:val="18"/>
                <w:szCs w:val="18"/>
                <w:lang w:val="en-US"/>
              </w:rPr>
            </w:pPr>
            <w:r>
              <w:rPr>
                <w:rFonts w:ascii="Arial" w:hAnsi="Arial" w:cs="Arial"/>
                <w:color w:val="000000"/>
                <w:sz w:val="18"/>
                <w:szCs w:val="18"/>
                <w:lang w:val="en-US"/>
              </w:rPr>
              <w:t>2</w:t>
            </w:r>
            <w:r w:rsidRPr="00A84DAB">
              <w:rPr>
                <w:rFonts w:ascii="Arial" w:hAnsi="Arial" w:cs="Arial"/>
                <w:color w:val="000000"/>
                <w:sz w:val="18"/>
                <w:szCs w:val="18"/>
                <w:lang w:val="en-US"/>
              </w:rPr>
              <w:t>1070</w:t>
            </w:r>
          </w:p>
        </w:tc>
        <w:tc>
          <w:tcPr>
            <w:tcW w:w="1673" w:type="dxa"/>
            <w:tcBorders>
              <w:top w:val="single" w:sz="4" w:space="0" w:color="auto"/>
              <w:left w:val="single" w:sz="4" w:space="0" w:color="auto"/>
              <w:bottom w:val="single" w:sz="4" w:space="0" w:color="auto"/>
              <w:right w:val="single" w:sz="4" w:space="0" w:color="auto"/>
            </w:tcBorders>
            <w:shd w:val="clear" w:color="auto" w:fill="auto"/>
            <w:vAlign w:val="center"/>
          </w:tcPr>
          <w:p w14:paraId="0D1A5365" w14:textId="77777777" w:rsidR="00A84DAB" w:rsidRPr="00AC4F16" w:rsidRDefault="00A84DAB" w:rsidP="00A43635">
            <w:pPr>
              <w:contextualSpacing/>
              <w:jc w:val="center"/>
              <w:rPr>
                <w:rFonts w:ascii="Arial" w:hAnsi="Arial" w:cs="Arial"/>
                <w:color w:val="000000"/>
                <w:sz w:val="18"/>
                <w:szCs w:val="18"/>
              </w:rPr>
            </w:pPr>
            <w:r>
              <w:rPr>
                <w:rFonts w:ascii="Arial" w:hAnsi="Arial" w:cs="Arial"/>
                <w:color w:val="000000"/>
                <w:sz w:val="18"/>
                <w:szCs w:val="18"/>
              </w:rPr>
              <w:t xml:space="preserve">Акт учета (оборота) по объекту </w:t>
            </w:r>
            <w:r>
              <w:rPr>
                <w:rFonts w:ascii="Arial" w:hAnsi="Arial" w:cs="Arial"/>
                <w:color w:val="000000"/>
                <w:sz w:val="18"/>
                <w:szCs w:val="18"/>
              </w:rPr>
              <w:lastRenderedPageBreak/>
              <w:t xml:space="preserve">регулирования </w:t>
            </w:r>
            <w:r w:rsidRPr="00AC4F16">
              <w:rPr>
                <w:rFonts w:ascii="Arial" w:hAnsi="Arial" w:cs="Arial"/>
                <w:color w:val="000000"/>
                <w:sz w:val="18"/>
                <w:szCs w:val="18"/>
              </w:rPr>
              <w:t xml:space="preserve">(формат </w:t>
            </w:r>
            <w:r>
              <w:rPr>
                <w:rFonts w:ascii="Arial" w:hAnsi="Arial" w:cs="Arial"/>
                <w:color w:val="000000"/>
                <w:sz w:val="18"/>
                <w:szCs w:val="18"/>
              </w:rPr>
              <w:t>21</w:t>
            </w:r>
            <w:r w:rsidRPr="00AC4F16">
              <w:rPr>
                <w:rFonts w:ascii="Arial" w:hAnsi="Arial" w:cs="Arial"/>
                <w:color w:val="000000"/>
                <w:sz w:val="18"/>
                <w:szCs w:val="18"/>
              </w:rPr>
              <w:t>0</w:t>
            </w:r>
            <w:r>
              <w:rPr>
                <w:rFonts w:ascii="Arial" w:hAnsi="Arial" w:cs="Arial"/>
                <w:color w:val="000000"/>
                <w:sz w:val="18"/>
                <w:szCs w:val="18"/>
              </w:rPr>
              <w:t>7</w:t>
            </w:r>
            <w:r w:rsidRPr="00AC4F16">
              <w:rPr>
                <w:rFonts w:ascii="Arial" w:hAnsi="Arial" w:cs="Arial"/>
                <w:color w:val="000000"/>
                <w:sz w:val="18"/>
                <w:szCs w:val="18"/>
              </w:rPr>
              <w:t>0)</w:t>
            </w:r>
          </w:p>
        </w:tc>
        <w:tc>
          <w:tcPr>
            <w:tcW w:w="1898" w:type="dxa"/>
            <w:tcBorders>
              <w:top w:val="single" w:sz="4" w:space="0" w:color="auto"/>
              <w:left w:val="single" w:sz="4" w:space="0" w:color="auto"/>
              <w:bottom w:val="single" w:sz="4" w:space="0" w:color="auto"/>
              <w:right w:val="single" w:sz="4" w:space="0" w:color="auto"/>
            </w:tcBorders>
            <w:shd w:val="clear" w:color="auto" w:fill="auto"/>
            <w:vAlign w:val="center"/>
          </w:tcPr>
          <w:p w14:paraId="45FE149F" w14:textId="77777777" w:rsidR="00A84DAB" w:rsidRPr="00AC4F16" w:rsidRDefault="00A84DAB" w:rsidP="00A43635">
            <w:pPr>
              <w:contextualSpacing/>
              <w:jc w:val="center"/>
              <w:rPr>
                <w:rFonts w:ascii="Arial" w:hAnsi="Arial" w:cs="Arial"/>
                <w:color w:val="000000"/>
                <w:sz w:val="18"/>
                <w:szCs w:val="18"/>
              </w:rPr>
            </w:pPr>
            <w:r w:rsidRPr="00AC4F16">
              <w:rPr>
                <w:rFonts w:ascii="Arial" w:hAnsi="Arial" w:cs="Arial"/>
                <w:color w:val="000000"/>
                <w:sz w:val="18"/>
                <w:szCs w:val="18"/>
              </w:rPr>
              <w:lastRenderedPageBreak/>
              <w:t>Регламент № 11</w:t>
            </w:r>
            <w:r>
              <w:rPr>
                <w:rFonts w:ascii="Arial" w:hAnsi="Arial" w:cs="Arial"/>
                <w:color w:val="000000"/>
                <w:sz w:val="18"/>
                <w:szCs w:val="18"/>
              </w:rPr>
              <w:t>, приложение 4.1</w:t>
            </w:r>
          </w:p>
        </w:tc>
        <w:tc>
          <w:tcPr>
            <w:tcW w:w="1115" w:type="dxa"/>
            <w:tcBorders>
              <w:top w:val="single" w:sz="4" w:space="0" w:color="auto"/>
              <w:left w:val="single" w:sz="4" w:space="0" w:color="auto"/>
              <w:bottom w:val="single" w:sz="4" w:space="0" w:color="auto"/>
              <w:right w:val="single" w:sz="4" w:space="0" w:color="auto"/>
            </w:tcBorders>
            <w:shd w:val="clear" w:color="auto" w:fill="auto"/>
            <w:vAlign w:val="center"/>
          </w:tcPr>
          <w:p w14:paraId="3F69E3D0" w14:textId="77777777" w:rsidR="00A84DAB" w:rsidRPr="00AC4F16" w:rsidRDefault="00A84DAB" w:rsidP="00A43635">
            <w:pPr>
              <w:contextualSpacing/>
              <w:jc w:val="center"/>
              <w:rPr>
                <w:rFonts w:ascii="Arial" w:hAnsi="Arial" w:cs="Arial"/>
                <w:color w:val="000000"/>
                <w:sz w:val="18"/>
                <w:szCs w:val="18"/>
              </w:rPr>
            </w:pPr>
            <w:r w:rsidRPr="00AC4F16">
              <w:rPr>
                <w:rFonts w:ascii="Arial" w:hAnsi="Arial" w:cs="Arial"/>
                <w:color w:val="000000"/>
                <w:sz w:val="18"/>
                <w:szCs w:val="18"/>
              </w:rPr>
              <w:t>xml</w:t>
            </w:r>
          </w:p>
        </w:tc>
        <w:tc>
          <w:tcPr>
            <w:tcW w:w="922" w:type="dxa"/>
            <w:tcBorders>
              <w:top w:val="single" w:sz="4" w:space="0" w:color="auto"/>
              <w:left w:val="single" w:sz="4" w:space="0" w:color="auto"/>
              <w:bottom w:val="single" w:sz="4" w:space="0" w:color="auto"/>
              <w:right w:val="single" w:sz="4" w:space="0" w:color="auto"/>
            </w:tcBorders>
            <w:shd w:val="clear" w:color="auto" w:fill="auto"/>
            <w:vAlign w:val="center"/>
          </w:tcPr>
          <w:p w14:paraId="5C558A69" w14:textId="77777777" w:rsidR="00A84DAB" w:rsidRPr="00AC4F16" w:rsidRDefault="00A84DAB" w:rsidP="00A43635">
            <w:pPr>
              <w:contextualSpacing/>
              <w:jc w:val="center"/>
              <w:rPr>
                <w:rFonts w:ascii="Arial" w:hAnsi="Arial" w:cs="Arial"/>
                <w:color w:val="000000"/>
                <w:sz w:val="18"/>
                <w:szCs w:val="18"/>
              </w:rPr>
            </w:pPr>
            <w:r>
              <w:rPr>
                <w:rFonts w:ascii="Arial" w:hAnsi="Arial" w:cs="Arial"/>
                <w:color w:val="000000"/>
                <w:sz w:val="18"/>
                <w:szCs w:val="18"/>
              </w:rPr>
              <w:t>Агрегатор</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ABD4E8" w14:textId="77777777" w:rsidR="00A84DAB" w:rsidRDefault="00A84DAB" w:rsidP="00A43635">
            <w:pPr>
              <w:contextualSpacing/>
              <w:jc w:val="center"/>
              <w:rPr>
                <w:rFonts w:ascii="Arial" w:hAnsi="Arial" w:cs="Arial"/>
                <w:color w:val="000000"/>
                <w:sz w:val="18"/>
                <w:szCs w:val="18"/>
              </w:rPr>
            </w:pPr>
            <w:r w:rsidRPr="00AC4F16">
              <w:rPr>
                <w:rFonts w:ascii="Arial" w:hAnsi="Arial" w:cs="Arial"/>
                <w:color w:val="000000"/>
                <w:sz w:val="18"/>
                <w:szCs w:val="18"/>
              </w:rPr>
              <w:t>АТС</w:t>
            </w:r>
          </w:p>
        </w:tc>
        <w:tc>
          <w:tcPr>
            <w:tcW w:w="1027" w:type="dxa"/>
            <w:tcBorders>
              <w:top w:val="single" w:sz="4" w:space="0" w:color="auto"/>
              <w:left w:val="single" w:sz="4" w:space="0" w:color="auto"/>
              <w:bottom w:val="single" w:sz="4" w:space="0" w:color="auto"/>
              <w:right w:val="single" w:sz="4" w:space="0" w:color="auto"/>
            </w:tcBorders>
            <w:shd w:val="clear" w:color="auto" w:fill="auto"/>
            <w:vAlign w:val="center"/>
          </w:tcPr>
          <w:p w14:paraId="53139E4C" w14:textId="77777777" w:rsidR="00A84DAB" w:rsidRPr="00AC4F16" w:rsidRDefault="00A84DAB" w:rsidP="00A43635">
            <w:pPr>
              <w:contextualSpacing/>
              <w:jc w:val="center"/>
              <w:rPr>
                <w:rFonts w:ascii="Arial" w:hAnsi="Arial" w:cs="Arial"/>
                <w:color w:val="000000"/>
                <w:sz w:val="18"/>
                <w:szCs w:val="18"/>
              </w:rPr>
            </w:pPr>
            <w:r w:rsidRPr="00AC4F16">
              <w:rPr>
                <w:rFonts w:ascii="Arial" w:hAnsi="Arial" w:cs="Arial"/>
                <w:color w:val="000000"/>
                <w:sz w:val="18"/>
                <w:szCs w:val="18"/>
              </w:rPr>
              <w:t>электронная почта</w:t>
            </w:r>
          </w:p>
        </w:tc>
        <w:tc>
          <w:tcPr>
            <w:tcW w:w="1201" w:type="dxa"/>
            <w:tcBorders>
              <w:top w:val="single" w:sz="4" w:space="0" w:color="auto"/>
              <w:left w:val="single" w:sz="4" w:space="0" w:color="auto"/>
              <w:bottom w:val="single" w:sz="4" w:space="0" w:color="auto"/>
              <w:right w:val="single" w:sz="4" w:space="0" w:color="auto"/>
            </w:tcBorders>
            <w:shd w:val="clear" w:color="auto" w:fill="auto"/>
            <w:vAlign w:val="center"/>
          </w:tcPr>
          <w:p w14:paraId="32ACB788" w14:textId="77777777" w:rsidR="00A84DAB" w:rsidRPr="00AC4F16" w:rsidRDefault="00A84DAB" w:rsidP="00A43635">
            <w:pPr>
              <w:contextualSpacing/>
              <w:jc w:val="center"/>
              <w:rPr>
                <w:rFonts w:ascii="Arial" w:hAnsi="Arial" w:cs="Arial"/>
                <w:color w:val="000000"/>
                <w:sz w:val="18"/>
                <w:szCs w:val="18"/>
              </w:rPr>
            </w:pPr>
            <w:r w:rsidRPr="00AC4F16">
              <w:rPr>
                <w:rFonts w:ascii="Arial" w:hAnsi="Arial" w:cs="Arial"/>
                <w:color w:val="000000"/>
                <w:sz w:val="18"/>
                <w:szCs w:val="18"/>
              </w:rPr>
              <w:t>Нет</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2709A1CB" w14:textId="77777777" w:rsidR="00A84DAB" w:rsidRPr="00AC4F16" w:rsidRDefault="00A84DAB" w:rsidP="00A43635">
            <w:pPr>
              <w:contextualSpacing/>
              <w:jc w:val="center"/>
              <w:rPr>
                <w:rFonts w:ascii="Arial" w:hAnsi="Arial" w:cs="Arial"/>
                <w:color w:val="000000"/>
                <w:sz w:val="18"/>
                <w:szCs w:val="18"/>
              </w:rPr>
            </w:pPr>
            <w:r w:rsidRPr="00AC4F16">
              <w:rPr>
                <w:rFonts w:ascii="Arial" w:hAnsi="Arial" w:cs="Arial"/>
                <w:color w:val="000000"/>
                <w:sz w:val="18"/>
                <w:szCs w:val="18"/>
              </w:rPr>
              <w:t>Да</w:t>
            </w:r>
          </w:p>
        </w:tc>
        <w:tc>
          <w:tcPr>
            <w:tcW w:w="1862" w:type="dxa"/>
            <w:tcBorders>
              <w:top w:val="single" w:sz="4" w:space="0" w:color="auto"/>
              <w:left w:val="single" w:sz="4" w:space="0" w:color="auto"/>
              <w:bottom w:val="single" w:sz="4" w:space="0" w:color="auto"/>
              <w:right w:val="single" w:sz="4" w:space="0" w:color="auto"/>
            </w:tcBorders>
            <w:shd w:val="clear" w:color="auto" w:fill="auto"/>
            <w:vAlign w:val="center"/>
          </w:tcPr>
          <w:p w14:paraId="3790A3DE" w14:textId="77777777" w:rsidR="00A84DAB" w:rsidRPr="00AC4F16" w:rsidRDefault="00A84DAB" w:rsidP="00A43635">
            <w:pPr>
              <w:contextualSpacing/>
              <w:jc w:val="center"/>
              <w:rPr>
                <w:rFonts w:ascii="Arial" w:hAnsi="Arial" w:cs="Arial"/>
                <w:color w:val="000000"/>
                <w:sz w:val="18"/>
                <w:szCs w:val="18"/>
              </w:rPr>
            </w:pPr>
            <w:r w:rsidRPr="00AC4F16">
              <w:rPr>
                <w:rFonts w:ascii="Arial" w:hAnsi="Arial" w:cs="Arial"/>
                <w:color w:val="000000"/>
                <w:sz w:val="18"/>
                <w:szCs w:val="18"/>
              </w:rPr>
              <w:t>1.3.6.1.4.1.18545.1.2.1.9</w:t>
            </w:r>
          </w:p>
        </w:tc>
        <w:tc>
          <w:tcPr>
            <w:tcW w:w="1046" w:type="dxa"/>
            <w:tcBorders>
              <w:top w:val="single" w:sz="4" w:space="0" w:color="auto"/>
              <w:left w:val="single" w:sz="4" w:space="0" w:color="auto"/>
              <w:bottom w:val="single" w:sz="4" w:space="0" w:color="auto"/>
              <w:right w:val="single" w:sz="4" w:space="0" w:color="auto"/>
            </w:tcBorders>
            <w:shd w:val="clear" w:color="auto" w:fill="auto"/>
            <w:vAlign w:val="center"/>
          </w:tcPr>
          <w:p w14:paraId="42EB3B30" w14:textId="77777777" w:rsidR="00A84DAB" w:rsidRPr="00AC4F16" w:rsidRDefault="00A84DAB" w:rsidP="00A43635">
            <w:pPr>
              <w:contextualSpacing/>
              <w:jc w:val="center"/>
              <w:rPr>
                <w:rFonts w:ascii="Arial" w:hAnsi="Arial" w:cs="Arial"/>
                <w:color w:val="000000"/>
                <w:sz w:val="18"/>
                <w:szCs w:val="18"/>
              </w:rPr>
            </w:pPr>
            <w:r w:rsidRPr="00AC4F16">
              <w:rPr>
                <w:rFonts w:ascii="Arial" w:hAnsi="Arial" w:cs="Arial"/>
                <w:color w:val="000000"/>
                <w:sz w:val="18"/>
                <w:szCs w:val="18"/>
              </w:rPr>
              <w:t>ASPMailer</w:t>
            </w:r>
          </w:p>
        </w:tc>
        <w:tc>
          <w:tcPr>
            <w:tcW w:w="773" w:type="dxa"/>
            <w:tcBorders>
              <w:top w:val="single" w:sz="4" w:space="0" w:color="auto"/>
              <w:left w:val="single" w:sz="4" w:space="0" w:color="auto"/>
              <w:bottom w:val="single" w:sz="4" w:space="0" w:color="auto"/>
              <w:right w:val="single" w:sz="4" w:space="0" w:color="auto"/>
            </w:tcBorders>
            <w:shd w:val="clear" w:color="auto" w:fill="auto"/>
            <w:vAlign w:val="center"/>
          </w:tcPr>
          <w:p w14:paraId="554A7B79" w14:textId="77777777" w:rsidR="00A84DAB" w:rsidRPr="00AC4F16" w:rsidRDefault="00A84DAB" w:rsidP="00A43635">
            <w:pPr>
              <w:contextualSpacing/>
              <w:jc w:val="center"/>
              <w:rPr>
                <w:rFonts w:ascii="Arial" w:hAnsi="Arial" w:cs="Arial"/>
                <w:color w:val="000000"/>
                <w:sz w:val="18"/>
                <w:szCs w:val="18"/>
              </w:rPr>
            </w:pPr>
            <w:r w:rsidRPr="00AC4F16">
              <w:rPr>
                <w:rFonts w:ascii="Arial" w:hAnsi="Arial" w:cs="Arial"/>
                <w:color w:val="000000"/>
                <w:sz w:val="18"/>
                <w:szCs w:val="18"/>
              </w:rPr>
              <w:t>5 лет</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256FC566" w14:textId="77777777" w:rsidR="00A84DAB" w:rsidRDefault="00A84DAB" w:rsidP="00A43635">
            <w:pPr>
              <w:contextualSpacing/>
              <w:jc w:val="center"/>
              <w:rPr>
                <w:rFonts w:ascii="Arial" w:hAnsi="Arial" w:cs="Arial"/>
                <w:color w:val="000000"/>
                <w:sz w:val="18"/>
                <w:szCs w:val="18"/>
              </w:rPr>
            </w:pPr>
          </w:p>
        </w:tc>
      </w:tr>
      <w:tr w:rsidR="00A84DAB" w:rsidRPr="00381E65" w14:paraId="5C52EFF8" w14:textId="77777777" w:rsidTr="00A84DAB">
        <w:trPr>
          <w:trHeight w:val="815"/>
        </w:trPr>
        <w:tc>
          <w:tcPr>
            <w:tcW w:w="1083" w:type="dxa"/>
            <w:tcBorders>
              <w:top w:val="single" w:sz="4" w:space="0" w:color="auto"/>
              <w:left w:val="single" w:sz="4" w:space="0" w:color="auto"/>
              <w:bottom w:val="single" w:sz="4" w:space="0" w:color="auto"/>
              <w:right w:val="single" w:sz="4" w:space="0" w:color="auto"/>
            </w:tcBorders>
            <w:shd w:val="clear" w:color="auto" w:fill="auto"/>
            <w:vAlign w:val="center"/>
          </w:tcPr>
          <w:p w14:paraId="01731A3C" w14:textId="77777777" w:rsidR="00A84DAB" w:rsidRDefault="00A84DAB" w:rsidP="00A43635">
            <w:pPr>
              <w:contextualSpacing/>
              <w:jc w:val="center"/>
              <w:rPr>
                <w:rFonts w:ascii="Arial" w:hAnsi="Arial" w:cs="Arial"/>
                <w:color w:val="000000"/>
                <w:sz w:val="18"/>
                <w:szCs w:val="18"/>
                <w:lang w:val="en-US"/>
              </w:rPr>
            </w:pPr>
            <w:r>
              <w:rPr>
                <w:rFonts w:ascii="Arial" w:hAnsi="Arial" w:cs="Arial"/>
                <w:color w:val="000000"/>
                <w:sz w:val="18"/>
                <w:szCs w:val="18"/>
                <w:lang w:val="en-US"/>
              </w:rPr>
              <w:t>2</w:t>
            </w:r>
            <w:r w:rsidRPr="00A84DAB">
              <w:rPr>
                <w:rFonts w:ascii="Arial" w:hAnsi="Arial" w:cs="Arial"/>
                <w:color w:val="000000"/>
                <w:sz w:val="18"/>
                <w:szCs w:val="18"/>
                <w:lang w:val="en-US"/>
              </w:rPr>
              <w:t>1071</w:t>
            </w:r>
          </w:p>
        </w:tc>
        <w:tc>
          <w:tcPr>
            <w:tcW w:w="1673" w:type="dxa"/>
            <w:tcBorders>
              <w:top w:val="single" w:sz="4" w:space="0" w:color="auto"/>
              <w:left w:val="single" w:sz="4" w:space="0" w:color="auto"/>
              <w:bottom w:val="single" w:sz="4" w:space="0" w:color="auto"/>
              <w:right w:val="single" w:sz="4" w:space="0" w:color="auto"/>
            </w:tcBorders>
            <w:shd w:val="clear" w:color="auto" w:fill="auto"/>
            <w:vAlign w:val="center"/>
          </w:tcPr>
          <w:p w14:paraId="37C22991" w14:textId="5AB5C979" w:rsidR="00A84DAB" w:rsidRPr="00AC4F16" w:rsidRDefault="00A84DAB" w:rsidP="00945FC0">
            <w:pPr>
              <w:contextualSpacing/>
              <w:jc w:val="center"/>
              <w:rPr>
                <w:rFonts w:ascii="Arial" w:hAnsi="Arial" w:cs="Arial"/>
                <w:color w:val="000000"/>
                <w:sz w:val="18"/>
                <w:szCs w:val="18"/>
              </w:rPr>
            </w:pPr>
            <w:r w:rsidRPr="00AC4F16">
              <w:rPr>
                <w:rFonts w:ascii="Arial" w:hAnsi="Arial" w:cs="Arial"/>
                <w:color w:val="000000"/>
                <w:sz w:val="18"/>
                <w:szCs w:val="18"/>
              </w:rPr>
              <w:t xml:space="preserve">Уведомление о приеме </w:t>
            </w:r>
            <w:r w:rsidR="00945FC0">
              <w:rPr>
                <w:rFonts w:ascii="Arial" w:hAnsi="Arial" w:cs="Arial"/>
                <w:color w:val="000000"/>
                <w:sz w:val="18"/>
                <w:szCs w:val="18"/>
              </w:rPr>
              <w:t>р</w:t>
            </w:r>
            <w:r w:rsidRPr="00AC4F16">
              <w:rPr>
                <w:rFonts w:ascii="Arial" w:hAnsi="Arial" w:cs="Arial"/>
                <w:color w:val="000000"/>
                <w:sz w:val="18"/>
                <w:szCs w:val="18"/>
              </w:rPr>
              <w:t xml:space="preserve">езультатов измерений по точкам измерений, </w:t>
            </w:r>
            <w:r>
              <w:rPr>
                <w:rFonts w:ascii="Arial" w:hAnsi="Arial" w:cs="Arial"/>
                <w:color w:val="000000"/>
                <w:sz w:val="18"/>
                <w:szCs w:val="18"/>
              </w:rPr>
              <w:t>точкам присоединения, объекту регулирования</w:t>
            </w:r>
          </w:p>
        </w:tc>
        <w:tc>
          <w:tcPr>
            <w:tcW w:w="1898" w:type="dxa"/>
            <w:tcBorders>
              <w:top w:val="single" w:sz="4" w:space="0" w:color="auto"/>
              <w:left w:val="single" w:sz="4" w:space="0" w:color="auto"/>
              <w:bottom w:val="single" w:sz="4" w:space="0" w:color="auto"/>
              <w:right w:val="single" w:sz="4" w:space="0" w:color="auto"/>
            </w:tcBorders>
            <w:shd w:val="clear" w:color="auto" w:fill="auto"/>
            <w:vAlign w:val="center"/>
          </w:tcPr>
          <w:p w14:paraId="2EC17B3E" w14:textId="77777777" w:rsidR="00A84DAB" w:rsidRPr="00AC4F16" w:rsidRDefault="00A84DAB" w:rsidP="00A43635">
            <w:pPr>
              <w:contextualSpacing/>
              <w:jc w:val="center"/>
              <w:rPr>
                <w:rFonts w:ascii="Arial" w:hAnsi="Arial" w:cs="Arial"/>
                <w:color w:val="000000"/>
                <w:sz w:val="18"/>
                <w:szCs w:val="18"/>
              </w:rPr>
            </w:pPr>
            <w:r>
              <w:rPr>
                <w:rFonts w:ascii="Arial" w:hAnsi="Arial" w:cs="Arial"/>
                <w:color w:val="000000"/>
                <w:sz w:val="18"/>
                <w:szCs w:val="18"/>
              </w:rPr>
              <w:t>Регламент № 11</w:t>
            </w:r>
            <w:r w:rsidRPr="00AC4F16">
              <w:rPr>
                <w:rFonts w:ascii="Arial" w:hAnsi="Arial" w:cs="Arial"/>
                <w:color w:val="000000"/>
                <w:sz w:val="18"/>
                <w:szCs w:val="18"/>
              </w:rPr>
              <w:t>, п</w:t>
            </w:r>
            <w:r>
              <w:rPr>
                <w:rFonts w:ascii="Arial" w:hAnsi="Arial" w:cs="Arial"/>
                <w:color w:val="000000"/>
                <w:sz w:val="18"/>
                <w:szCs w:val="18"/>
              </w:rPr>
              <w:t>риложение 4.1</w:t>
            </w:r>
          </w:p>
        </w:tc>
        <w:tc>
          <w:tcPr>
            <w:tcW w:w="1115" w:type="dxa"/>
            <w:tcBorders>
              <w:top w:val="single" w:sz="4" w:space="0" w:color="auto"/>
              <w:left w:val="single" w:sz="4" w:space="0" w:color="auto"/>
              <w:bottom w:val="single" w:sz="4" w:space="0" w:color="auto"/>
              <w:right w:val="single" w:sz="4" w:space="0" w:color="auto"/>
            </w:tcBorders>
            <w:shd w:val="clear" w:color="auto" w:fill="auto"/>
            <w:vAlign w:val="center"/>
          </w:tcPr>
          <w:p w14:paraId="4FA1B71D" w14:textId="77777777" w:rsidR="00A84DAB" w:rsidRPr="00AC4F16" w:rsidRDefault="00A84DAB" w:rsidP="00A43635">
            <w:pPr>
              <w:contextualSpacing/>
              <w:jc w:val="center"/>
              <w:rPr>
                <w:rFonts w:ascii="Arial" w:hAnsi="Arial" w:cs="Arial"/>
                <w:color w:val="000000"/>
                <w:sz w:val="18"/>
                <w:szCs w:val="18"/>
              </w:rPr>
            </w:pPr>
            <w:r w:rsidRPr="00AC4F16">
              <w:rPr>
                <w:rFonts w:ascii="Arial" w:hAnsi="Arial" w:cs="Arial"/>
                <w:color w:val="000000"/>
                <w:sz w:val="18"/>
                <w:szCs w:val="18"/>
              </w:rPr>
              <w:t>xml</w:t>
            </w:r>
          </w:p>
        </w:tc>
        <w:tc>
          <w:tcPr>
            <w:tcW w:w="922" w:type="dxa"/>
            <w:tcBorders>
              <w:top w:val="single" w:sz="4" w:space="0" w:color="auto"/>
              <w:left w:val="single" w:sz="4" w:space="0" w:color="auto"/>
              <w:bottom w:val="single" w:sz="4" w:space="0" w:color="auto"/>
              <w:right w:val="single" w:sz="4" w:space="0" w:color="auto"/>
            </w:tcBorders>
            <w:shd w:val="clear" w:color="auto" w:fill="auto"/>
            <w:vAlign w:val="center"/>
          </w:tcPr>
          <w:p w14:paraId="09FAB937" w14:textId="77777777" w:rsidR="00A84DAB" w:rsidRPr="00AC4F16" w:rsidRDefault="00A84DAB" w:rsidP="00A43635">
            <w:pPr>
              <w:contextualSpacing/>
              <w:jc w:val="center"/>
              <w:rPr>
                <w:rFonts w:ascii="Arial" w:hAnsi="Arial" w:cs="Arial"/>
                <w:color w:val="000000"/>
                <w:sz w:val="18"/>
                <w:szCs w:val="18"/>
              </w:rPr>
            </w:pPr>
            <w:r w:rsidRPr="00AC4F16">
              <w:rPr>
                <w:rFonts w:ascii="Arial" w:hAnsi="Arial" w:cs="Arial"/>
                <w:color w:val="000000"/>
                <w:sz w:val="18"/>
                <w:szCs w:val="18"/>
              </w:rPr>
              <w:t>АТС</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2A0391C" w14:textId="77777777" w:rsidR="00A84DAB" w:rsidRDefault="00A84DAB" w:rsidP="00A43635">
            <w:pPr>
              <w:contextualSpacing/>
              <w:jc w:val="center"/>
              <w:rPr>
                <w:rFonts w:ascii="Arial" w:hAnsi="Arial" w:cs="Arial"/>
                <w:color w:val="000000"/>
                <w:sz w:val="18"/>
                <w:szCs w:val="18"/>
              </w:rPr>
            </w:pPr>
            <w:r>
              <w:rPr>
                <w:rFonts w:ascii="Arial" w:hAnsi="Arial" w:cs="Arial"/>
                <w:color w:val="000000"/>
                <w:sz w:val="18"/>
                <w:szCs w:val="18"/>
              </w:rPr>
              <w:t>Агрегатор</w:t>
            </w:r>
          </w:p>
        </w:tc>
        <w:tc>
          <w:tcPr>
            <w:tcW w:w="1027" w:type="dxa"/>
            <w:tcBorders>
              <w:top w:val="single" w:sz="4" w:space="0" w:color="auto"/>
              <w:left w:val="single" w:sz="4" w:space="0" w:color="auto"/>
              <w:bottom w:val="single" w:sz="4" w:space="0" w:color="auto"/>
              <w:right w:val="single" w:sz="4" w:space="0" w:color="auto"/>
            </w:tcBorders>
            <w:shd w:val="clear" w:color="auto" w:fill="auto"/>
            <w:vAlign w:val="center"/>
          </w:tcPr>
          <w:p w14:paraId="07BBE7FA" w14:textId="77777777" w:rsidR="00A84DAB" w:rsidRPr="00AC4F16" w:rsidRDefault="00A84DAB" w:rsidP="00A43635">
            <w:pPr>
              <w:contextualSpacing/>
              <w:jc w:val="center"/>
              <w:rPr>
                <w:rFonts w:ascii="Arial" w:hAnsi="Arial" w:cs="Arial"/>
                <w:color w:val="000000"/>
                <w:sz w:val="18"/>
                <w:szCs w:val="18"/>
              </w:rPr>
            </w:pPr>
            <w:r w:rsidRPr="00AC4F16">
              <w:rPr>
                <w:rFonts w:ascii="Arial" w:hAnsi="Arial" w:cs="Arial"/>
                <w:color w:val="000000"/>
                <w:sz w:val="18"/>
                <w:szCs w:val="18"/>
              </w:rPr>
              <w:t>электронная почта</w:t>
            </w:r>
          </w:p>
        </w:tc>
        <w:tc>
          <w:tcPr>
            <w:tcW w:w="1201" w:type="dxa"/>
            <w:tcBorders>
              <w:top w:val="single" w:sz="4" w:space="0" w:color="auto"/>
              <w:left w:val="single" w:sz="4" w:space="0" w:color="auto"/>
              <w:bottom w:val="single" w:sz="4" w:space="0" w:color="auto"/>
              <w:right w:val="single" w:sz="4" w:space="0" w:color="auto"/>
            </w:tcBorders>
            <w:shd w:val="clear" w:color="auto" w:fill="auto"/>
            <w:vAlign w:val="center"/>
          </w:tcPr>
          <w:p w14:paraId="4EBF1E96" w14:textId="77777777" w:rsidR="00A84DAB" w:rsidRPr="00AC4F16" w:rsidRDefault="00A84DAB" w:rsidP="00A43635">
            <w:pPr>
              <w:contextualSpacing/>
              <w:jc w:val="center"/>
              <w:rPr>
                <w:rFonts w:ascii="Arial" w:hAnsi="Arial" w:cs="Arial"/>
                <w:color w:val="000000"/>
                <w:sz w:val="18"/>
                <w:szCs w:val="18"/>
              </w:rPr>
            </w:pPr>
            <w:r w:rsidRPr="00AC4F16">
              <w:rPr>
                <w:rFonts w:ascii="Arial" w:hAnsi="Arial" w:cs="Arial"/>
                <w:color w:val="000000"/>
                <w:sz w:val="18"/>
                <w:szCs w:val="18"/>
              </w:rPr>
              <w:t>Нет</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1505463F" w14:textId="77777777" w:rsidR="00A84DAB" w:rsidRPr="00AC4F16" w:rsidRDefault="00A84DAB" w:rsidP="00A43635">
            <w:pPr>
              <w:contextualSpacing/>
              <w:jc w:val="center"/>
              <w:rPr>
                <w:rFonts w:ascii="Arial" w:hAnsi="Arial" w:cs="Arial"/>
                <w:color w:val="000000"/>
                <w:sz w:val="18"/>
                <w:szCs w:val="18"/>
              </w:rPr>
            </w:pPr>
            <w:r w:rsidRPr="00AC4F16">
              <w:rPr>
                <w:rFonts w:ascii="Arial" w:hAnsi="Arial" w:cs="Arial"/>
                <w:color w:val="000000"/>
                <w:sz w:val="18"/>
                <w:szCs w:val="18"/>
              </w:rPr>
              <w:t>Нет</w:t>
            </w:r>
          </w:p>
        </w:tc>
        <w:tc>
          <w:tcPr>
            <w:tcW w:w="1862" w:type="dxa"/>
            <w:tcBorders>
              <w:top w:val="single" w:sz="4" w:space="0" w:color="auto"/>
              <w:left w:val="single" w:sz="4" w:space="0" w:color="auto"/>
              <w:bottom w:val="single" w:sz="4" w:space="0" w:color="auto"/>
              <w:right w:val="single" w:sz="4" w:space="0" w:color="auto"/>
            </w:tcBorders>
            <w:shd w:val="clear" w:color="auto" w:fill="auto"/>
            <w:vAlign w:val="center"/>
          </w:tcPr>
          <w:p w14:paraId="0664ABFE" w14:textId="77777777" w:rsidR="00A84DAB" w:rsidRPr="00AC4F16" w:rsidRDefault="00A84DAB" w:rsidP="00A43635">
            <w:pPr>
              <w:contextualSpacing/>
              <w:jc w:val="center"/>
              <w:rPr>
                <w:rFonts w:ascii="Arial" w:hAnsi="Arial" w:cs="Arial"/>
                <w:color w:val="000000"/>
                <w:sz w:val="18"/>
                <w:szCs w:val="18"/>
              </w:rPr>
            </w:pPr>
            <w:r w:rsidRPr="00AC4F16">
              <w:rPr>
                <w:rFonts w:ascii="Arial" w:hAnsi="Arial" w:cs="Arial"/>
                <w:color w:val="000000"/>
                <w:sz w:val="18"/>
                <w:szCs w:val="18"/>
              </w:rPr>
              <w:t>1.3.6.1.4.1.18545.1.2.1.9</w:t>
            </w:r>
          </w:p>
        </w:tc>
        <w:tc>
          <w:tcPr>
            <w:tcW w:w="1046" w:type="dxa"/>
            <w:tcBorders>
              <w:top w:val="single" w:sz="4" w:space="0" w:color="auto"/>
              <w:left w:val="single" w:sz="4" w:space="0" w:color="auto"/>
              <w:bottom w:val="single" w:sz="4" w:space="0" w:color="auto"/>
              <w:right w:val="single" w:sz="4" w:space="0" w:color="auto"/>
            </w:tcBorders>
            <w:shd w:val="clear" w:color="auto" w:fill="auto"/>
            <w:vAlign w:val="center"/>
          </w:tcPr>
          <w:p w14:paraId="5F26DF3A" w14:textId="77777777" w:rsidR="00A84DAB" w:rsidRPr="00AC4F16" w:rsidRDefault="00A84DAB" w:rsidP="00A43635">
            <w:pPr>
              <w:contextualSpacing/>
              <w:jc w:val="center"/>
              <w:rPr>
                <w:rFonts w:ascii="Arial" w:hAnsi="Arial" w:cs="Arial"/>
                <w:color w:val="000000"/>
                <w:sz w:val="18"/>
                <w:szCs w:val="18"/>
              </w:rPr>
            </w:pPr>
            <w:r w:rsidRPr="00AC4F16">
              <w:rPr>
                <w:rFonts w:ascii="Arial" w:hAnsi="Arial" w:cs="Arial"/>
                <w:color w:val="000000"/>
                <w:sz w:val="18"/>
                <w:szCs w:val="18"/>
              </w:rPr>
              <w:t>Блокнот</w:t>
            </w:r>
          </w:p>
        </w:tc>
        <w:tc>
          <w:tcPr>
            <w:tcW w:w="773" w:type="dxa"/>
            <w:tcBorders>
              <w:top w:val="single" w:sz="4" w:space="0" w:color="auto"/>
              <w:left w:val="single" w:sz="4" w:space="0" w:color="auto"/>
              <w:bottom w:val="single" w:sz="4" w:space="0" w:color="auto"/>
              <w:right w:val="single" w:sz="4" w:space="0" w:color="auto"/>
            </w:tcBorders>
            <w:shd w:val="clear" w:color="auto" w:fill="auto"/>
            <w:vAlign w:val="center"/>
          </w:tcPr>
          <w:p w14:paraId="714E977F" w14:textId="77777777" w:rsidR="00A84DAB" w:rsidRPr="00AC4F16" w:rsidRDefault="00A84DAB" w:rsidP="00A43635">
            <w:pPr>
              <w:contextualSpacing/>
              <w:jc w:val="center"/>
              <w:rPr>
                <w:rFonts w:ascii="Arial" w:hAnsi="Arial" w:cs="Arial"/>
                <w:color w:val="000000"/>
                <w:sz w:val="18"/>
                <w:szCs w:val="18"/>
              </w:rPr>
            </w:pPr>
            <w:r w:rsidRPr="00AC4F16">
              <w:rPr>
                <w:rFonts w:ascii="Arial" w:hAnsi="Arial" w:cs="Arial"/>
                <w:color w:val="000000"/>
                <w:sz w:val="18"/>
                <w:szCs w:val="18"/>
              </w:rPr>
              <w:t>5 лет</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6F16E4C3" w14:textId="77777777" w:rsidR="00A84DAB" w:rsidRDefault="00A84DAB" w:rsidP="00A43635">
            <w:pPr>
              <w:contextualSpacing/>
              <w:jc w:val="center"/>
              <w:rPr>
                <w:rFonts w:ascii="Arial" w:hAnsi="Arial" w:cs="Arial"/>
                <w:color w:val="000000"/>
                <w:sz w:val="18"/>
                <w:szCs w:val="18"/>
              </w:rPr>
            </w:pPr>
          </w:p>
        </w:tc>
      </w:tr>
      <w:tr w:rsidR="00E24C7A" w:rsidRPr="00911253" w14:paraId="36083BA3" w14:textId="77777777" w:rsidTr="00E24C7A">
        <w:trPr>
          <w:trHeight w:val="815"/>
        </w:trPr>
        <w:tc>
          <w:tcPr>
            <w:tcW w:w="1083" w:type="dxa"/>
            <w:tcBorders>
              <w:top w:val="single" w:sz="4" w:space="0" w:color="auto"/>
              <w:left w:val="single" w:sz="4" w:space="0" w:color="auto"/>
              <w:bottom w:val="single" w:sz="4" w:space="0" w:color="auto"/>
              <w:right w:val="single" w:sz="4" w:space="0" w:color="auto"/>
            </w:tcBorders>
            <w:shd w:val="clear" w:color="auto" w:fill="auto"/>
            <w:vAlign w:val="center"/>
          </w:tcPr>
          <w:p w14:paraId="74CCE2EB" w14:textId="77777777" w:rsidR="00E24C7A" w:rsidRPr="00E24C7A" w:rsidRDefault="00E24C7A" w:rsidP="00A43635">
            <w:pPr>
              <w:contextualSpacing/>
              <w:jc w:val="center"/>
              <w:rPr>
                <w:rFonts w:ascii="Arial" w:hAnsi="Arial" w:cs="Arial"/>
                <w:color w:val="000000"/>
                <w:sz w:val="18"/>
                <w:szCs w:val="18"/>
                <w:lang w:val="en-US"/>
              </w:rPr>
            </w:pPr>
            <w:r w:rsidRPr="00E24C7A">
              <w:rPr>
                <w:rFonts w:ascii="Arial" w:hAnsi="Arial" w:cs="Arial"/>
                <w:color w:val="000000"/>
                <w:sz w:val="18"/>
                <w:szCs w:val="18"/>
                <w:lang w:val="en-US"/>
              </w:rPr>
              <w:t>PART_ATS_ZAJAVL_NEW_OREG_MED</w:t>
            </w:r>
          </w:p>
        </w:tc>
        <w:tc>
          <w:tcPr>
            <w:tcW w:w="1673" w:type="dxa"/>
            <w:tcBorders>
              <w:top w:val="single" w:sz="4" w:space="0" w:color="auto"/>
              <w:left w:val="single" w:sz="4" w:space="0" w:color="auto"/>
              <w:bottom w:val="single" w:sz="4" w:space="0" w:color="auto"/>
              <w:right w:val="single" w:sz="4" w:space="0" w:color="auto"/>
            </w:tcBorders>
            <w:shd w:val="clear" w:color="auto" w:fill="auto"/>
            <w:vAlign w:val="center"/>
          </w:tcPr>
          <w:p w14:paraId="732A4BCD" w14:textId="77777777" w:rsidR="00E24C7A" w:rsidRPr="00647FA0" w:rsidRDefault="00E24C7A" w:rsidP="00A43635">
            <w:pPr>
              <w:contextualSpacing/>
              <w:jc w:val="center"/>
              <w:rPr>
                <w:rFonts w:ascii="Arial" w:hAnsi="Arial" w:cs="Arial"/>
                <w:color w:val="000000"/>
                <w:sz w:val="18"/>
                <w:szCs w:val="18"/>
              </w:rPr>
            </w:pPr>
            <w:r w:rsidRPr="00647FA0">
              <w:rPr>
                <w:rFonts w:ascii="Arial" w:hAnsi="Arial" w:cs="Arial"/>
                <w:color w:val="000000"/>
                <w:sz w:val="18"/>
                <w:szCs w:val="18"/>
              </w:rPr>
              <w:t xml:space="preserve">Заявление о регистрации </w:t>
            </w:r>
            <w:r w:rsidR="00F84C23" w:rsidRPr="00647FA0">
              <w:rPr>
                <w:rFonts w:ascii="Arial" w:hAnsi="Arial" w:cs="Arial"/>
                <w:color w:val="000000"/>
                <w:sz w:val="18"/>
                <w:szCs w:val="18"/>
              </w:rPr>
              <w:t xml:space="preserve">и аттестации </w:t>
            </w:r>
            <w:r w:rsidRPr="00647FA0">
              <w:rPr>
                <w:rFonts w:ascii="Arial" w:hAnsi="Arial" w:cs="Arial"/>
                <w:color w:val="000000"/>
                <w:sz w:val="18"/>
                <w:szCs w:val="18"/>
              </w:rPr>
              <w:t>нового объекта регулирования</w:t>
            </w:r>
          </w:p>
        </w:tc>
        <w:tc>
          <w:tcPr>
            <w:tcW w:w="1898" w:type="dxa"/>
            <w:tcBorders>
              <w:top w:val="single" w:sz="4" w:space="0" w:color="auto"/>
              <w:left w:val="single" w:sz="4" w:space="0" w:color="auto"/>
              <w:bottom w:val="single" w:sz="4" w:space="0" w:color="auto"/>
              <w:right w:val="single" w:sz="4" w:space="0" w:color="auto"/>
            </w:tcBorders>
            <w:shd w:val="clear" w:color="auto" w:fill="auto"/>
            <w:vAlign w:val="center"/>
          </w:tcPr>
          <w:p w14:paraId="38AAF02F" w14:textId="77777777" w:rsidR="00E24C7A" w:rsidRPr="00E24C7A" w:rsidRDefault="00E24C7A" w:rsidP="00A43635">
            <w:pPr>
              <w:contextualSpacing/>
              <w:jc w:val="center"/>
              <w:rPr>
                <w:rFonts w:ascii="Arial" w:hAnsi="Arial" w:cs="Arial"/>
                <w:color w:val="000000"/>
                <w:sz w:val="18"/>
                <w:szCs w:val="18"/>
              </w:rPr>
            </w:pPr>
            <w:r w:rsidRPr="00E24C7A">
              <w:rPr>
                <w:rFonts w:ascii="Arial" w:hAnsi="Arial" w:cs="Arial"/>
                <w:color w:val="000000"/>
                <w:sz w:val="18"/>
                <w:szCs w:val="18"/>
              </w:rPr>
              <w:t>Положение о порядке получения статуса субъекта оптового рынка, п. 2.1 приложения 9</w:t>
            </w:r>
          </w:p>
        </w:tc>
        <w:tc>
          <w:tcPr>
            <w:tcW w:w="1115" w:type="dxa"/>
            <w:tcBorders>
              <w:top w:val="single" w:sz="4" w:space="0" w:color="auto"/>
              <w:left w:val="single" w:sz="4" w:space="0" w:color="auto"/>
              <w:bottom w:val="single" w:sz="4" w:space="0" w:color="auto"/>
              <w:right w:val="single" w:sz="4" w:space="0" w:color="auto"/>
            </w:tcBorders>
            <w:shd w:val="clear" w:color="auto" w:fill="auto"/>
            <w:vAlign w:val="center"/>
          </w:tcPr>
          <w:p w14:paraId="10CD0688" w14:textId="77777777" w:rsidR="00E24C7A" w:rsidRPr="00E24C7A" w:rsidRDefault="00E24C7A" w:rsidP="00A43635">
            <w:pPr>
              <w:contextualSpacing/>
              <w:jc w:val="center"/>
              <w:rPr>
                <w:rFonts w:ascii="Arial" w:hAnsi="Arial" w:cs="Arial"/>
                <w:color w:val="000000"/>
                <w:sz w:val="18"/>
                <w:szCs w:val="18"/>
              </w:rPr>
            </w:pPr>
            <w:r w:rsidRPr="00E24C7A">
              <w:rPr>
                <w:rFonts w:ascii="Arial" w:hAnsi="Arial" w:cs="Arial"/>
                <w:color w:val="000000"/>
                <w:sz w:val="18"/>
                <w:szCs w:val="18"/>
              </w:rPr>
              <w:t>doc, docx</w:t>
            </w:r>
          </w:p>
        </w:tc>
        <w:tc>
          <w:tcPr>
            <w:tcW w:w="922" w:type="dxa"/>
            <w:tcBorders>
              <w:top w:val="single" w:sz="4" w:space="0" w:color="auto"/>
              <w:left w:val="single" w:sz="4" w:space="0" w:color="auto"/>
              <w:bottom w:val="single" w:sz="4" w:space="0" w:color="auto"/>
              <w:right w:val="single" w:sz="4" w:space="0" w:color="auto"/>
            </w:tcBorders>
            <w:shd w:val="clear" w:color="auto" w:fill="auto"/>
            <w:vAlign w:val="center"/>
          </w:tcPr>
          <w:p w14:paraId="24803F83" w14:textId="77777777" w:rsidR="00E24C7A" w:rsidRPr="00E24C7A" w:rsidRDefault="00E24C7A" w:rsidP="00A43635">
            <w:pPr>
              <w:contextualSpacing/>
              <w:jc w:val="center"/>
              <w:rPr>
                <w:rFonts w:ascii="Arial" w:hAnsi="Arial" w:cs="Arial"/>
                <w:color w:val="000000"/>
                <w:sz w:val="18"/>
                <w:szCs w:val="18"/>
              </w:rPr>
            </w:pPr>
            <w:r w:rsidRPr="00E24C7A">
              <w:rPr>
                <w:rFonts w:ascii="Arial" w:hAnsi="Arial" w:cs="Arial"/>
                <w:color w:val="000000"/>
                <w:sz w:val="18"/>
                <w:szCs w:val="18"/>
              </w:rPr>
              <w:t>Агрегатор</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7114F97" w14:textId="77777777" w:rsidR="00E24C7A" w:rsidRPr="00E24C7A" w:rsidRDefault="00E24C7A" w:rsidP="00A43635">
            <w:pPr>
              <w:contextualSpacing/>
              <w:jc w:val="center"/>
              <w:rPr>
                <w:rFonts w:ascii="Arial" w:hAnsi="Arial" w:cs="Arial"/>
                <w:color w:val="000000"/>
                <w:sz w:val="18"/>
                <w:szCs w:val="18"/>
              </w:rPr>
            </w:pPr>
            <w:r w:rsidRPr="00E24C7A">
              <w:rPr>
                <w:rFonts w:ascii="Arial" w:hAnsi="Arial" w:cs="Arial"/>
                <w:color w:val="000000"/>
                <w:sz w:val="18"/>
                <w:szCs w:val="18"/>
              </w:rPr>
              <w:t>АТС</w:t>
            </w:r>
          </w:p>
        </w:tc>
        <w:tc>
          <w:tcPr>
            <w:tcW w:w="1027" w:type="dxa"/>
            <w:tcBorders>
              <w:top w:val="single" w:sz="4" w:space="0" w:color="auto"/>
              <w:left w:val="single" w:sz="4" w:space="0" w:color="auto"/>
              <w:bottom w:val="single" w:sz="4" w:space="0" w:color="auto"/>
              <w:right w:val="single" w:sz="4" w:space="0" w:color="auto"/>
            </w:tcBorders>
            <w:shd w:val="clear" w:color="auto" w:fill="auto"/>
            <w:vAlign w:val="center"/>
          </w:tcPr>
          <w:p w14:paraId="1E274D3E" w14:textId="77777777" w:rsidR="00E24C7A" w:rsidRPr="00E24C7A" w:rsidRDefault="00E24C7A" w:rsidP="00A43635">
            <w:pPr>
              <w:contextualSpacing/>
              <w:jc w:val="center"/>
              <w:rPr>
                <w:rFonts w:ascii="Arial" w:hAnsi="Arial" w:cs="Arial"/>
                <w:color w:val="000000"/>
                <w:sz w:val="18"/>
                <w:szCs w:val="18"/>
              </w:rPr>
            </w:pPr>
            <w:r w:rsidRPr="00E24C7A">
              <w:rPr>
                <w:rFonts w:ascii="Arial" w:hAnsi="Arial" w:cs="Arial"/>
                <w:color w:val="000000"/>
                <w:sz w:val="18"/>
                <w:szCs w:val="18"/>
              </w:rPr>
              <w:t>Материальный носитель</w:t>
            </w:r>
          </w:p>
        </w:tc>
        <w:tc>
          <w:tcPr>
            <w:tcW w:w="1201" w:type="dxa"/>
            <w:tcBorders>
              <w:top w:val="single" w:sz="4" w:space="0" w:color="auto"/>
              <w:left w:val="single" w:sz="4" w:space="0" w:color="auto"/>
              <w:bottom w:val="single" w:sz="4" w:space="0" w:color="auto"/>
              <w:right w:val="single" w:sz="4" w:space="0" w:color="auto"/>
            </w:tcBorders>
            <w:shd w:val="clear" w:color="auto" w:fill="auto"/>
            <w:vAlign w:val="center"/>
          </w:tcPr>
          <w:p w14:paraId="64CB00E3" w14:textId="77777777" w:rsidR="00E24C7A" w:rsidRPr="00E24C7A" w:rsidRDefault="00E24C7A" w:rsidP="00A43635">
            <w:pPr>
              <w:contextualSpacing/>
              <w:jc w:val="center"/>
              <w:rPr>
                <w:rFonts w:ascii="Arial" w:hAnsi="Arial" w:cs="Arial"/>
                <w:color w:val="000000"/>
                <w:sz w:val="18"/>
                <w:szCs w:val="18"/>
              </w:rPr>
            </w:pPr>
            <w:r w:rsidRPr="00E24C7A">
              <w:rPr>
                <w:rFonts w:ascii="Arial" w:hAnsi="Arial" w:cs="Arial"/>
                <w:color w:val="000000"/>
                <w:sz w:val="18"/>
                <w:szCs w:val="18"/>
              </w:rPr>
              <w:t>Нет</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5AEDFB99" w14:textId="77777777" w:rsidR="00E24C7A" w:rsidRPr="00E24C7A" w:rsidRDefault="00E24C7A" w:rsidP="00A43635">
            <w:pPr>
              <w:contextualSpacing/>
              <w:jc w:val="center"/>
              <w:rPr>
                <w:rFonts w:ascii="Arial" w:hAnsi="Arial" w:cs="Arial"/>
                <w:color w:val="000000"/>
                <w:sz w:val="18"/>
                <w:szCs w:val="18"/>
              </w:rPr>
            </w:pPr>
            <w:r w:rsidRPr="00E24C7A">
              <w:rPr>
                <w:rFonts w:ascii="Arial" w:hAnsi="Arial" w:cs="Arial"/>
                <w:color w:val="000000"/>
                <w:sz w:val="18"/>
                <w:szCs w:val="18"/>
              </w:rPr>
              <w:t>Нет</w:t>
            </w:r>
          </w:p>
        </w:tc>
        <w:tc>
          <w:tcPr>
            <w:tcW w:w="1862" w:type="dxa"/>
            <w:tcBorders>
              <w:top w:val="single" w:sz="4" w:space="0" w:color="auto"/>
              <w:left w:val="single" w:sz="4" w:space="0" w:color="auto"/>
              <w:bottom w:val="single" w:sz="4" w:space="0" w:color="auto"/>
              <w:right w:val="single" w:sz="4" w:space="0" w:color="auto"/>
            </w:tcBorders>
            <w:shd w:val="clear" w:color="auto" w:fill="auto"/>
            <w:vAlign w:val="center"/>
          </w:tcPr>
          <w:p w14:paraId="76DA1570" w14:textId="77777777" w:rsidR="00E24C7A" w:rsidRPr="00E24C7A" w:rsidRDefault="00E24C7A" w:rsidP="00A43635">
            <w:pPr>
              <w:contextualSpacing/>
              <w:jc w:val="center"/>
              <w:rPr>
                <w:rFonts w:ascii="Arial" w:hAnsi="Arial" w:cs="Arial"/>
                <w:color w:val="000000"/>
                <w:sz w:val="18"/>
                <w:szCs w:val="18"/>
              </w:rPr>
            </w:pPr>
            <w:r w:rsidRPr="00E24C7A">
              <w:rPr>
                <w:rFonts w:ascii="Arial" w:hAnsi="Arial" w:cs="Arial"/>
                <w:color w:val="000000"/>
                <w:sz w:val="18"/>
                <w:szCs w:val="18"/>
              </w:rPr>
              <w:t>1.3.6.1.4.1.18545.1.2.1.1</w:t>
            </w:r>
          </w:p>
        </w:tc>
        <w:tc>
          <w:tcPr>
            <w:tcW w:w="1046" w:type="dxa"/>
            <w:tcBorders>
              <w:top w:val="single" w:sz="4" w:space="0" w:color="auto"/>
              <w:left w:val="single" w:sz="4" w:space="0" w:color="auto"/>
              <w:bottom w:val="single" w:sz="4" w:space="0" w:color="auto"/>
              <w:right w:val="single" w:sz="4" w:space="0" w:color="auto"/>
            </w:tcBorders>
            <w:shd w:val="clear" w:color="auto" w:fill="auto"/>
            <w:vAlign w:val="center"/>
          </w:tcPr>
          <w:p w14:paraId="2775695E" w14:textId="77777777" w:rsidR="00E24C7A" w:rsidRPr="00E24C7A" w:rsidRDefault="00E24C7A" w:rsidP="00A43635">
            <w:pPr>
              <w:contextualSpacing/>
              <w:jc w:val="center"/>
              <w:rPr>
                <w:rFonts w:ascii="Arial" w:hAnsi="Arial" w:cs="Arial"/>
                <w:color w:val="000000"/>
                <w:sz w:val="18"/>
                <w:szCs w:val="18"/>
              </w:rPr>
            </w:pPr>
            <w:r w:rsidRPr="00E24C7A">
              <w:rPr>
                <w:rFonts w:ascii="Arial" w:hAnsi="Arial" w:cs="Arial"/>
                <w:color w:val="000000"/>
                <w:sz w:val="18"/>
                <w:szCs w:val="18"/>
              </w:rPr>
              <w:t>Word</w:t>
            </w:r>
          </w:p>
        </w:tc>
        <w:tc>
          <w:tcPr>
            <w:tcW w:w="773" w:type="dxa"/>
            <w:tcBorders>
              <w:top w:val="single" w:sz="4" w:space="0" w:color="auto"/>
              <w:left w:val="single" w:sz="4" w:space="0" w:color="auto"/>
              <w:bottom w:val="single" w:sz="4" w:space="0" w:color="auto"/>
              <w:right w:val="single" w:sz="4" w:space="0" w:color="auto"/>
            </w:tcBorders>
            <w:shd w:val="clear" w:color="auto" w:fill="auto"/>
            <w:vAlign w:val="center"/>
          </w:tcPr>
          <w:p w14:paraId="5E580267" w14:textId="77777777" w:rsidR="00E24C7A" w:rsidRPr="00E24C7A" w:rsidRDefault="00E24C7A" w:rsidP="00A43635">
            <w:pPr>
              <w:contextualSpacing/>
              <w:jc w:val="center"/>
              <w:rPr>
                <w:rFonts w:ascii="Arial" w:hAnsi="Arial" w:cs="Arial"/>
                <w:color w:val="000000"/>
                <w:sz w:val="18"/>
                <w:szCs w:val="18"/>
              </w:rPr>
            </w:pPr>
            <w:r w:rsidRPr="00E24C7A">
              <w:rPr>
                <w:rFonts w:ascii="Arial" w:hAnsi="Arial" w:cs="Arial"/>
                <w:color w:val="000000"/>
                <w:sz w:val="18"/>
                <w:szCs w:val="18"/>
              </w:rPr>
              <w:t>постоянно</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71611FA7" w14:textId="77777777" w:rsidR="00E24C7A" w:rsidRPr="00E24C7A" w:rsidRDefault="00E24C7A" w:rsidP="00A43635">
            <w:pPr>
              <w:contextualSpacing/>
              <w:jc w:val="center"/>
              <w:rPr>
                <w:rFonts w:ascii="Arial" w:hAnsi="Arial" w:cs="Arial"/>
                <w:color w:val="000000"/>
                <w:sz w:val="18"/>
                <w:szCs w:val="18"/>
              </w:rPr>
            </w:pPr>
          </w:p>
        </w:tc>
      </w:tr>
      <w:tr w:rsidR="00E24C7A" w:rsidRPr="00911253" w14:paraId="7FD72402" w14:textId="77777777" w:rsidTr="00E24C7A">
        <w:trPr>
          <w:trHeight w:val="815"/>
        </w:trPr>
        <w:tc>
          <w:tcPr>
            <w:tcW w:w="1083" w:type="dxa"/>
            <w:tcBorders>
              <w:top w:val="single" w:sz="4" w:space="0" w:color="auto"/>
              <w:left w:val="single" w:sz="4" w:space="0" w:color="auto"/>
              <w:bottom w:val="single" w:sz="4" w:space="0" w:color="auto"/>
              <w:right w:val="single" w:sz="4" w:space="0" w:color="auto"/>
            </w:tcBorders>
            <w:shd w:val="clear" w:color="auto" w:fill="auto"/>
            <w:vAlign w:val="center"/>
          </w:tcPr>
          <w:p w14:paraId="74E49A54" w14:textId="77777777" w:rsidR="00E24C7A" w:rsidRPr="00E24C7A" w:rsidRDefault="00E24C7A" w:rsidP="00A43635">
            <w:pPr>
              <w:contextualSpacing/>
              <w:jc w:val="center"/>
              <w:rPr>
                <w:rFonts w:ascii="Arial" w:hAnsi="Arial" w:cs="Arial"/>
                <w:color w:val="000000"/>
                <w:sz w:val="18"/>
                <w:szCs w:val="18"/>
                <w:lang w:val="en-US"/>
              </w:rPr>
            </w:pPr>
            <w:r w:rsidRPr="00E24C7A">
              <w:rPr>
                <w:rFonts w:ascii="Arial" w:hAnsi="Arial" w:cs="Arial"/>
                <w:color w:val="000000"/>
                <w:sz w:val="18"/>
                <w:szCs w:val="18"/>
                <w:lang w:val="en-US"/>
              </w:rPr>
              <w:t>PART_ATS_ZAJAVL_NEW_OREG_ WEB</w:t>
            </w:r>
          </w:p>
        </w:tc>
        <w:tc>
          <w:tcPr>
            <w:tcW w:w="1673" w:type="dxa"/>
            <w:tcBorders>
              <w:top w:val="single" w:sz="4" w:space="0" w:color="auto"/>
              <w:left w:val="single" w:sz="4" w:space="0" w:color="auto"/>
              <w:bottom w:val="single" w:sz="4" w:space="0" w:color="auto"/>
              <w:right w:val="single" w:sz="4" w:space="0" w:color="auto"/>
            </w:tcBorders>
            <w:shd w:val="clear" w:color="auto" w:fill="auto"/>
            <w:vAlign w:val="center"/>
          </w:tcPr>
          <w:p w14:paraId="0101789D" w14:textId="77777777" w:rsidR="00E24C7A" w:rsidRPr="00647FA0" w:rsidRDefault="00E24C7A" w:rsidP="00A43635">
            <w:pPr>
              <w:contextualSpacing/>
              <w:jc w:val="center"/>
              <w:rPr>
                <w:rFonts w:ascii="Arial" w:hAnsi="Arial" w:cs="Arial"/>
                <w:color w:val="000000"/>
                <w:sz w:val="18"/>
                <w:szCs w:val="18"/>
              </w:rPr>
            </w:pPr>
            <w:r w:rsidRPr="00647FA0">
              <w:rPr>
                <w:rFonts w:ascii="Arial" w:hAnsi="Arial" w:cs="Arial"/>
                <w:color w:val="000000"/>
                <w:sz w:val="18"/>
                <w:szCs w:val="18"/>
              </w:rPr>
              <w:t xml:space="preserve">Заявление о регистрации </w:t>
            </w:r>
            <w:r w:rsidR="00F84C23" w:rsidRPr="00647FA0">
              <w:rPr>
                <w:rFonts w:ascii="Arial" w:hAnsi="Arial" w:cs="Arial"/>
                <w:color w:val="000000"/>
                <w:sz w:val="18"/>
                <w:szCs w:val="18"/>
              </w:rPr>
              <w:t xml:space="preserve">и аттестации </w:t>
            </w:r>
            <w:r w:rsidRPr="00647FA0">
              <w:rPr>
                <w:rFonts w:ascii="Arial" w:hAnsi="Arial" w:cs="Arial"/>
                <w:color w:val="000000"/>
                <w:sz w:val="18"/>
                <w:szCs w:val="18"/>
              </w:rPr>
              <w:t>нового объекта регулирования</w:t>
            </w:r>
          </w:p>
        </w:tc>
        <w:tc>
          <w:tcPr>
            <w:tcW w:w="1898" w:type="dxa"/>
            <w:tcBorders>
              <w:top w:val="single" w:sz="4" w:space="0" w:color="auto"/>
              <w:left w:val="single" w:sz="4" w:space="0" w:color="auto"/>
              <w:bottom w:val="single" w:sz="4" w:space="0" w:color="auto"/>
              <w:right w:val="single" w:sz="4" w:space="0" w:color="auto"/>
            </w:tcBorders>
            <w:shd w:val="clear" w:color="auto" w:fill="auto"/>
            <w:vAlign w:val="center"/>
          </w:tcPr>
          <w:p w14:paraId="307CC852" w14:textId="77777777" w:rsidR="00E24C7A" w:rsidRPr="00E24C7A" w:rsidRDefault="00E24C7A" w:rsidP="00A43635">
            <w:pPr>
              <w:contextualSpacing/>
              <w:jc w:val="center"/>
              <w:rPr>
                <w:rFonts w:ascii="Arial" w:hAnsi="Arial" w:cs="Arial"/>
                <w:color w:val="000000"/>
                <w:sz w:val="18"/>
                <w:szCs w:val="18"/>
              </w:rPr>
            </w:pPr>
            <w:r w:rsidRPr="00E24C7A">
              <w:rPr>
                <w:rFonts w:ascii="Arial" w:hAnsi="Arial" w:cs="Arial"/>
                <w:color w:val="000000"/>
                <w:sz w:val="18"/>
                <w:szCs w:val="18"/>
              </w:rPr>
              <w:t>Положение о порядке получения статуса субъекта оптового рынка, п. 2.1 приложения 9</w:t>
            </w:r>
          </w:p>
        </w:tc>
        <w:tc>
          <w:tcPr>
            <w:tcW w:w="1115" w:type="dxa"/>
            <w:tcBorders>
              <w:top w:val="single" w:sz="4" w:space="0" w:color="auto"/>
              <w:left w:val="single" w:sz="4" w:space="0" w:color="auto"/>
              <w:bottom w:val="single" w:sz="4" w:space="0" w:color="auto"/>
              <w:right w:val="single" w:sz="4" w:space="0" w:color="auto"/>
            </w:tcBorders>
            <w:shd w:val="clear" w:color="auto" w:fill="auto"/>
            <w:vAlign w:val="center"/>
          </w:tcPr>
          <w:p w14:paraId="3E1DCEDA" w14:textId="77777777" w:rsidR="00E24C7A" w:rsidRPr="00E24C7A" w:rsidRDefault="00E24C7A" w:rsidP="00A43635">
            <w:pPr>
              <w:contextualSpacing/>
              <w:jc w:val="center"/>
              <w:rPr>
                <w:rFonts w:ascii="Arial" w:hAnsi="Arial" w:cs="Arial"/>
                <w:color w:val="000000"/>
                <w:sz w:val="18"/>
                <w:szCs w:val="18"/>
              </w:rPr>
            </w:pPr>
            <w:r w:rsidRPr="00E24C7A">
              <w:rPr>
                <w:rFonts w:ascii="Arial" w:hAnsi="Arial" w:cs="Arial"/>
                <w:color w:val="000000"/>
                <w:sz w:val="18"/>
                <w:szCs w:val="18"/>
              </w:rPr>
              <w:t>doc, docx</w:t>
            </w:r>
          </w:p>
        </w:tc>
        <w:tc>
          <w:tcPr>
            <w:tcW w:w="922" w:type="dxa"/>
            <w:tcBorders>
              <w:top w:val="single" w:sz="4" w:space="0" w:color="auto"/>
              <w:left w:val="single" w:sz="4" w:space="0" w:color="auto"/>
              <w:bottom w:val="single" w:sz="4" w:space="0" w:color="auto"/>
              <w:right w:val="single" w:sz="4" w:space="0" w:color="auto"/>
            </w:tcBorders>
            <w:shd w:val="clear" w:color="auto" w:fill="auto"/>
            <w:vAlign w:val="center"/>
          </w:tcPr>
          <w:p w14:paraId="1895571A" w14:textId="77777777" w:rsidR="00E24C7A" w:rsidRPr="00E24C7A" w:rsidRDefault="00E24C7A" w:rsidP="00A43635">
            <w:pPr>
              <w:contextualSpacing/>
              <w:jc w:val="center"/>
              <w:rPr>
                <w:rFonts w:ascii="Arial" w:hAnsi="Arial" w:cs="Arial"/>
                <w:color w:val="000000"/>
                <w:sz w:val="18"/>
                <w:szCs w:val="18"/>
              </w:rPr>
            </w:pPr>
            <w:r w:rsidRPr="00E24C7A">
              <w:rPr>
                <w:rFonts w:ascii="Arial" w:hAnsi="Arial" w:cs="Arial"/>
                <w:color w:val="000000"/>
                <w:sz w:val="18"/>
                <w:szCs w:val="18"/>
              </w:rPr>
              <w:t>Агрегатор</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43B50C5" w14:textId="77777777" w:rsidR="00E24C7A" w:rsidRPr="00E24C7A" w:rsidRDefault="00E24C7A" w:rsidP="00A43635">
            <w:pPr>
              <w:contextualSpacing/>
              <w:jc w:val="center"/>
              <w:rPr>
                <w:rFonts w:ascii="Arial" w:hAnsi="Arial" w:cs="Arial"/>
                <w:color w:val="000000"/>
                <w:sz w:val="18"/>
                <w:szCs w:val="18"/>
              </w:rPr>
            </w:pPr>
            <w:r w:rsidRPr="00E24C7A">
              <w:rPr>
                <w:rFonts w:ascii="Arial" w:hAnsi="Arial" w:cs="Arial"/>
                <w:color w:val="000000"/>
                <w:sz w:val="18"/>
                <w:szCs w:val="18"/>
              </w:rPr>
              <w:t>АТС</w:t>
            </w:r>
          </w:p>
        </w:tc>
        <w:tc>
          <w:tcPr>
            <w:tcW w:w="1027" w:type="dxa"/>
            <w:tcBorders>
              <w:top w:val="single" w:sz="4" w:space="0" w:color="auto"/>
              <w:left w:val="single" w:sz="4" w:space="0" w:color="auto"/>
              <w:bottom w:val="single" w:sz="4" w:space="0" w:color="auto"/>
              <w:right w:val="single" w:sz="4" w:space="0" w:color="auto"/>
            </w:tcBorders>
            <w:shd w:val="clear" w:color="auto" w:fill="auto"/>
            <w:vAlign w:val="center"/>
          </w:tcPr>
          <w:p w14:paraId="6296649D" w14:textId="77777777" w:rsidR="00E24C7A" w:rsidRPr="00E24C7A" w:rsidRDefault="00E24C7A" w:rsidP="00A43635">
            <w:pPr>
              <w:contextualSpacing/>
              <w:jc w:val="center"/>
              <w:rPr>
                <w:rFonts w:ascii="Arial" w:hAnsi="Arial" w:cs="Arial"/>
                <w:color w:val="000000"/>
                <w:sz w:val="18"/>
                <w:szCs w:val="18"/>
              </w:rPr>
            </w:pPr>
            <w:r w:rsidRPr="00E24C7A">
              <w:rPr>
                <w:rFonts w:ascii="Arial" w:hAnsi="Arial" w:cs="Arial"/>
                <w:color w:val="000000"/>
                <w:sz w:val="18"/>
                <w:szCs w:val="18"/>
              </w:rPr>
              <w:t>WEB-интерфейс</w:t>
            </w:r>
          </w:p>
        </w:tc>
        <w:tc>
          <w:tcPr>
            <w:tcW w:w="1201" w:type="dxa"/>
            <w:tcBorders>
              <w:top w:val="single" w:sz="4" w:space="0" w:color="auto"/>
              <w:left w:val="single" w:sz="4" w:space="0" w:color="auto"/>
              <w:bottom w:val="single" w:sz="4" w:space="0" w:color="auto"/>
              <w:right w:val="single" w:sz="4" w:space="0" w:color="auto"/>
            </w:tcBorders>
            <w:shd w:val="clear" w:color="auto" w:fill="auto"/>
            <w:vAlign w:val="center"/>
          </w:tcPr>
          <w:p w14:paraId="3E9ECD14" w14:textId="77777777" w:rsidR="00E24C7A" w:rsidRPr="00E24C7A" w:rsidRDefault="00E24C7A" w:rsidP="00A43635">
            <w:pPr>
              <w:contextualSpacing/>
              <w:jc w:val="center"/>
              <w:rPr>
                <w:rFonts w:ascii="Arial" w:hAnsi="Arial" w:cs="Arial"/>
                <w:color w:val="000000"/>
                <w:sz w:val="18"/>
                <w:szCs w:val="18"/>
              </w:rPr>
            </w:pPr>
            <w:r w:rsidRPr="00E24C7A">
              <w:rPr>
                <w:rFonts w:ascii="Arial" w:hAnsi="Arial" w:cs="Arial"/>
                <w:color w:val="000000"/>
                <w:sz w:val="18"/>
                <w:szCs w:val="18"/>
              </w:rPr>
              <w:t>Нет</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6D2E3D46" w14:textId="77777777" w:rsidR="00E24C7A" w:rsidRPr="00E24C7A" w:rsidRDefault="00E24C7A" w:rsidP="00A43635">
            <w:pPr>
              <w:contextualSpacing/>
              <w:jc w:val="center"/>
              <w:rPr>
                <w:rFonts w:ascii="Arial" w:hAnsi="Arial" w:cs="Arial"/>
                <w:color w:val="000000"/>
                <w:sz w:val="18"/>
                <w:szCs w:val="18"/>
              </w:rPr>
            </w:pPr>
            <w:r w:rsidRPr="00E24C7A">
              <w:rPr>
                <w:rFonts w:ascii="Arial" w:hAnsi="Arial" w:cs="Arial"/>
                <w:color w:val="000000"/>
                <w:sz w:val="18"/>
                <w:szCs w:val="18"/>
              </w:rPr>
              <w:t>Нет</w:t>
            </w:r>
          </w:p>
        </w:tc>
        <w:tc>
          <w:tcPr>
            <w:tcW w:w="1862" w:type="dxa"/>
            <w:tcBorders>
              <w:top w:val="single" w:sz="4" w:space="0" w:color="auto"/>
              <w:left w:val="single" w:sz="4" w:space="0" w:color="auto"/>
              <w:bottom w:val="single" w:sz="4" w:space="0" w:color="auto"/>
              <w:right w:val="single" w:sz="4" w:space="0" w:color="auto"/>
            </w:tcBorders>
            <w:shd w:val="clear" w:color="auto" w:fill="auto"/>
            <w:vAlign w:val="center"/>
          </w:tcPr>
          <w:p w14:paraId="21F18B6F" w14:textId="77777777" w:rsidR="00E24C7A" w:rsidRPr="00E24C7A" w:rsidRDefault="00E24C7A" w:rsidP="00A43635">
            <w:pPr>
              <w:contextualSpacing/>
              <w:jc w:val="center"/>
              <w:rPr>
                <w:rFonts w:ascii="Arial" w:hAnsi="Arial" w:cs="Arial"/>
                <w:color w:val="000000"/>
                <w:sz w:val="18"/>
                <w:szCs w:val="18"/>
              </w:rPr>
            </w:pPr>
            <w:r w:rsidRPr="00E24C7A">
              <w:rPr>
                <w:rFonts w:ascii="Arial" w:hAnsi="Arial" w:cs="Arial"/>
                <w:color w:val="000000"/>
                <w:sz w:val="18"/>
                <w:szCs w:val="18"/>
              </w:rPr>
              <w:t>1.3.6.1.4.1.18545.1.2.1.1</w:t>
            </w:r>
          </w:p>
        </w:tc>
        <w:tc>
          <w:tcPr>
            <w:tcW w:w="1046" w:type="dxa"/>
            <w:tcBorders>
              <w:top w:val="single" w:sz="4" w:space="0" w:color="auto"/>
              <w:left w:val="single" w:sz="4" w:space="0" w:color="auto"/>
              <w:bottom w:val="single" w:sz="4" w:space="0" w:color="auto"/>
              <w:right w:val="single" w:sz="4" w:space="0" w:color="auto"/>
            </w:tcBorders>
            <w:shd w:val="clear" w:color="auto" w:fill="auto"/>
            <w:vAlign w:val="center"/>
          </w:tcPr>
          <w:p w14:paraId="4A7EF578" w14:textId="77777777" w:rsidR="00E24C7A" w:rsidRPr="00E24C7A" w:rsidRDefault="00E24C7A" w:rsidP="00A43635">
            <w:pPr>
              <w:contextualSpacing/>
              <w:jc w:val="center"/>
              <w:rPr>
                <w:rFonts w:ascii="Arial" w:hAnsi="Arial" w:cs="Arial"/>
                <w:color w:val="000000"/>
                <w:sz w:val="18"/>
                <w:szCs w:val="18"/>
              </w:rPr>
            </w:pPr>
            <w:r w:rsidRPr="00E24C7A">
              <w:rPr>
                <w:rFonts w:ascii="Arial" w:hAnsi="Arial" w:cs="Arial"/>
                <w:color w:val="000000"/>
                <w:sz w:val="18"/>
                <w:szCs w:val="18"/>
              </w:rPr>
              <w:t>Word</w:t>
            </w:r>
          </w:p>
        </w:tc>
        <w:tc>
          <w:tcPr>
            <w:tcW w:w="773" w:type="dxa"/>
            <w:tcBorders>
              <w:top w:val="single" w:sz="4" w:space="0" w:color="auto"/>
              <w:left w:val="single" w:sz="4" w:space="0" w:color="auto"/>
              <w:bottom w:val="single" w:sz="4" w:space="0" w:color="auto"/>
              <w:right w:val="single" w:sz="4" w:space="0" w:color="auto"/>
            </w:tcBorders>
            <w:shd w:val="clear" w:color="auto" w:fill="auto"/>
            <w:vAlign w:val="center"/>
          </w:tcPr>
          <w:p w14:paraId="039BD5C3" w14:textId="77777777" w:rsidR="00E24C7A" w:rsidRPr="00E24C7A" w:rsidRDefault="00E24C7A" w:rsidP="00A43635">
            <w:pPr>
              <w:contextualSpacing/>
              <w:jc w:val="center"/>
              <w:rPr>
                <w:rFonts w:ascii="Arial" w:hAnsi="Arial" w:cs="Arial"/>
                <w:color w:val="000000"/>
                <w:sz w:val="18"/>
                <w:szCs w:val="18"/>
              </w:rPr>
            </w:pPr>
            <w:r w:rsidRPr="00E24C7A">
              <w:rPr>
                <w:rFonts w:ascii="Arial" w:hAnsi="Arial" w:cs="Arial"/>
                <w:color w:val="000000"/>
                <w:sz w:val="18"/>
                <w:szCs w:val="18"/>
              </w:rPr>
              <w:t>постоянно</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0C64532A" w14:textId="77777777" w:rsidR="00E24C7A" w:rsidRPr="00E24C7A" w:rsidRDefault="00E24C7A" w:rsidP="00A43635">
            <w:pPr>
              <w:contextualSpacing/>
              <w:jc w:val="center"/>
              <w:rPr>
                <w:rFonts w:ascii="Arial" w:hAnsi="Arial" w:cs="Arial"/>
                <w:color w:val="000000"/>
                <w:sz w:val="18"/>
                <w:szCs w:val="18"/>
              </w:rPr>
            </w:pPr>
          </w:p>
        </w:tc>
      </w:tr>
      <w:tr w:rsidR="00E24C7A" w:rsidRPr="00911253" w14:paraId="5C3CBA2E" w14:textId="77777777" w:rsidTr="00E24C7A">
        <w:trPr>
          <w:trHeight w:val="815"/>
        </w:trPr>
        <w:tc>
          <w:tcPr>
            <w:tcW w:w="1083" w:type="dxa"/>
            <w:tcBorders>
              <w:top w:val="single" w:sz="4" w:space="0" w:color="auto"/>
              <w:left w:val="single" w:sz="4" w:space="0" w:color="auto"/>
              <w:bottom w:val="single" w:sz="4" w:space="0" w:color="auto"/>
              <w:right w:val="single" w:sz="4" w:space="0" w:color="auto"/>
            </w:tcBorders>
            <w:shd w:val="clear" w:color="auto" w:fill="auto"/>
            <w:vAlign w:val="center"/>
          </w:tcPr>
          <w:p w14:paraId="7B8D51F1" w14:textId="77777777" w:rsidR="00E24C7A" w:rsidRPr="00E24C7A" w:rsidRDefault="00E24C7A" w:rsidP="00A43635">
            <w:pPr>
              <w:contextualSpacing/>
              <w:jc w:val="center"/>
              <w:rPr>
                <w:rFonts w:ascii="Arial" w:hAnsi="Arial" w:cs="Arial"/>
                <w:color w:val="000000"/>
                <w:sz w:val="18"/>
                <w:szCs w:val="18"/>
                <w:lang w:val="en-US"/>
              </w:rPr>
            </w:pPr>
            <w:r w:rsidRPr="00E24C7A">
              <w:rPr>
                <w:rFonts w:ascii="Arial" w:hAnsi="Arial" w:cs="Arial"/>
                <w:color w:val="000000"/>
                <w:sz w:val="18"/>
                <w:szCs w:val="18"/>
                <w:lang w:val="en-US"/>
              </w:rPr>
              <w:t>PART_ATS_ZAJAVL_IZMEN_OREG_MED</w:t>
            </w:r>
          </w:p>
        </w:tc>
        <w:tc>
          <w:tcPr>
            <w:tcW w:w="1673" w:type="dxa"/>
            <w:tcBorders>
              <w:top w:val="single" w:sz="4" w:space="0" w:color="auto"/>
              <w:left w:val="single" w:sz="4" w:space="0" w:color="auto"/>
              <w:bottom w:val="single" w:sz="4" w:space="0" w:color="auto"/>
              <w:right w:val="single" w:sz="4" w:space="0" w:color="auto"/>
            </w:tcBorders>
            <w:shd w:val="clear" w:color="auto" w:fill="auto"/>
            <w:vAlign w:val="center"/>
          </w:tcPr>
          <w:p w14:paraId="778D7612" w14:textId="5B572FF4" w:rsidR="00E24C7A" w:rsidRPr="00647FA0" w:rsidRDefault="00E24C7A" w:rsidP="008F525E">
            <w:pPr>
              <w:contextualSpacing/>
              <w:jc w:val="center"/>
              <w:rPr>
                <w:rFonts w:ascii="Arial" w:hAnsi="Arial" w:cs="Arial"/>
                <w:color w:val="000000"/>
                <w:sz w:val="18"/>
                <w:szCs w:val="18"/>
              </w:rPr>
            </w:pPr>
            <w:r w:rsidRPr="00647FA0">
              <w:rPr>
                <w:rFonts w:ascii="Arial" w:hAnsi="Arial" w:cs="Arial"/>
                <w:color w:val="000000"/>
                <w:sz w:val="18"/>
                <w:szCs w:val="18"/>
              </w:rPr>
              <w:t xml:space="preserve">Заявление о регистрации </w:t>
            </w:r>
            <w:r w:rsidR="008F525E" w:rsidRPr="00647FA0">
              <w:rPr>
                <w:rFonts w:ascii="Arial" w:hAnsi="Arial" w:cs="Arial"/>
                <w:color w:val="000000"/>
                <w:sz w:val="18"/>
                <w:szCs w:val="18"/>
              </w:rPr>
              <w:t xml:space="preserve">изменений объекта регулирования </w:t>
            </w:r>
            <w:r w:rsidR="00F84C23" w:rsidRPr="00647FA0">
              <w:rPr>
                <w:rFonts w:ascii="Arial" w:hAnsi="Arial" w:cs="Arial"/>
                <w:color w:val="000000"/>
                <w:sz w:val="18"/>
                <w:szCs w:val="18"/>
              </w:rPr>
              <w:t xml:space="preserve">и аттестации </w:t>
            </w:r>
            <w:r w:rsidRPr="00647FA0">
              <w:rPr>
                <w:rFonts w:ascii="Arial" w:hAnsi="Arial" w:cs="Arial"/>
                <w:color w:val="000000"/>
                <w:sz w:val="18"/>
                <w:szCs w:val="18"/>
              </w:rPr>
              <w:t>объекта регулирования</w:t>
            </w:r>
          </w:p>
        </w:tc>
        <w:tc>
          <w:tcPr>
            <w:tcW w:w="1898" w:type="dxa"/>
            <w:tcBorders>
              <w:top w:val="single" w:sz="4" w:space="0" w:color="auto"/>
              <w:left w:val="single" w:sz="4" w:space="0" w:color="auto"/>
              <w:bottom w:val="single" w:sz="4" w:space="0" w:color="auto"/>
              <w:right w:val="single" w:sz="4" w:space="0" w:color="auto"/>
            </w:tcBorders>
            <w:shd w:val="clear" w:color="auto" w:fill="auto"/>
            <w:vAlign w:val="center"/>
          </w:tcPr>
          <w:p w14:paraId="08F7838F" w14:textId="77777777" w:rsidR="00E24C7A" w:rsidRPr="00E24C7A" w:rsidRDefault="00E24C7A" w:rsidP="00A43635">
            <w:pPr>
              <w:contextualSpacing/>
              <w:jc w:val="center"/>
              <w:rPr>
                <w:rFonts w:ascii="Arial" w:hAnsi="Arial" w:cs="Arial"/>
                <w:color w:val="000000"/>
                <w:sz w:val="18"/>
                <w:szCs w:val="18"/>
              </w:rPr>
            </w:pPr>
            <w:r w:rsidRPr="00E24C7A">
              <w:rPr>
                <w:rFonts w:ascii="Arial" w:hAnsi="Arial" w:cs="Arial"/>
                <w:color w:val="000000"/>
                <w:sz w:val="18"/>
                <w:szCs w:val="18"/>
              </w:rPr>
              <w:t>Положение о порядке получения статуса субъекта оптового рынка, п. 4.1 приложения 9</w:t>
            </w:r>
          </w:p>
        </w:tc>
        <w:tc>
          <w:tcPr>
            <w:tcW w:w="1115" w:type="dxa"/>
            <w:tcBorders>
              <w:top w:val="single" w:sz="4" w:space="0" w:color="auto"/>
              <w:left w:val="single" w:sz="4" w:space="0" w:color="auto"/>
              <w:bottom w:val="single" w:sz="4" w:space="0" w:color="auto"/>
              <w:right w:val="single" w:sz="4" w:space="0" w:color="auto"/>
            </w:tcBorders>
            <w:shd w:val="clear" w:color="auto" w:fill="auto"/>
            <w:vAlign w:val="center"/>
          </w:tcPr>
          <w:p w14:paraId="1A7EB189" w14:textId="77777777" w:rsidR="00E24C7A" w:rsidRPr="00E24C7A" w:rsidRDefault="00E24C7A" w:rsidP="00A43635">
            <w:pPr>
              <w:contextualSpacing/>
              <w:jc w:val="center"/>
              <w:rPr>
                <w:rFonts w:ascii="Arial" w:hAnsi="Arial" w:cs="Arial"/>
                <w:color w:val="000000"/>
                <w:sz w:val="18"/>
                <w:szCs w:val="18"/>
              </w:rPr>
            </w:pPr>
            <w:r w:rsidRPr="00E24C7A">
              <w:rPr>
                <w:rFonts w:ascii="Arial" w:hAnsi="Arial" w:cs="Arial"/>
                <w:color w:val="000000"/>
                <w:sz w:val="18"/>
                <w:szCs w:val="18"/>
              </w:rPr>
              <w:t>doc, docx</w:t>
            </w:r>
          </w:p>
        </w:tc>
        <w:tc>
          <w:tcPr>
            <w:tcW w:w="922" w:type="dxa"/>
            <w:tcBorders>
              <w:top w:val="single" w:sz="4" w:space="0" w:color="auto"/>
              <w:left w:val="single" w:sz="4" w:space="0" w:color="auto"/>
              <w:bottom w:val="single" w:sz="4" w:space="0" w:color="auto"/>
              <w:right w:val="single" w:sz="4" w:space="0" w:color="auto"/>
            </w:tcBorders>
            <w:shd w:val="clear" w:color="auto" w:fill="auto"/>
            <w:vAlign w:val="center"/>
          </w:tcPr>
          <w:p w14:paraId="096D8B2C" w14:textId="77777777" w:rsidR="00E24C7A" w:rsidRPr="00E24C7A" w:rsidRDefault="00E24C7A" w:rsidP="00A43635">
            <w:pPr>
              <w:contextualSpacing/>
              <w:jc w:val="center"/>
              <w:rPr>
                <w:rFonts w:ascii="Arial" w:hAnsi="Arial" w:cs="Arial"/>
                <w:color w:val="000000"/>
                <w:sz w:val="18"/>
                <w:szCs w:val="18"/>
              </w:rPr>
            </w:pPr>
            <w:r w:rsidRPr="00E24C7A">
              <w:rPr>
                <w:rFonts w:ascii="Arial" w:hAnsi="Arial" w:cs="Arial"/>
                <w:color w:val="000000"/>
                <w:sz w:val="18"/>
                <w:szCs w:val="18"/>
              </w:rPr>
              <w:t>Агрегатор</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A80C584" w14:textId="77777777" w:rsidR="00E24C7A" w:rsidRPr="00E24C7A" w:rsidRDefault="00E24C7A" w:rsidP="00A43635">
            <w:pPr>
              <w:contextualSpacing/>
              <w:jc w:val="center"/>
              <w:rPr>
                <w:rFonts w:ascii="Arial" w:hAnsi="Arial" w:cs="Arial"/>
                <w:color w:val="000000"/>
                <w:sz w:val="18"/>
                <w:szCs w:val="18"/>
              </w:rPr>
            </w:pPr>
            <w:r w:rsidRPr="00E24C7A">
              <w:rPr>
                <w:rFonts w:ascii="Arial" w:hAnsi="Arial" w:cs="Arial"/>
                <w:color w:val="000000"/>
                <w:sz w:val="18"/>
                <w:szCs w:val="18"/>
              </w:rPr>
              <w:t>АТС</w:t>
            </w:r>
          </w:p>
        </w:tc>
        <w:tc>
          <w:tcPr>
            <w:tcW w:w="1027" w:type="dxa"/>
            <w:tcBorders>
              <w:top w:val="single" w:sz="4" w:space="0" w:color="auto"/>
              <w:left w:val="single" w:sz="4" w:space="0" w:color="auto"/>
              <w:bottom w:val="single" w:sz="4" w:space="0" w:color="auto"/>
              <w:right w:val="single" w:sz="4" w:space="0" w:color="auto"/>
            </w:tcBorders>
            <w:shd w:val="clear" w:color="auto" w:fill="auto"/>
            <w:vAlign w:val="center"/>
          </w:tcPr>
          <w:p w14:paraId="49262B13" w14:textId="77777777" w:rsidR="00E24C7A" w:rsidRPr="00E24C7A" w:rsidRDefault="00E24C7A" w:rsidP="00A43635">
            <w:pPr>
              <w:contextualSpacing/>
              <w:jc w:val="center"/>
              <w:rPr>
                <w:rFonts w:ascii="Arial" w:hAnsi="Arial" w:cs="Arial"/>
                <w:color w:val="000000"/>
                <w:sz w:val="18"/>
                <w:szCs w:val="18"/>
              </w:rPr>
            </w:pPr>
            <w:r w:rsidRPr="00E24C7A">
              <w:rPr>
                <w:rFonts w:ascii="Arial" w:hAnsi="Arial" w:cs="Arial"/>
                <w:color w:val="000000"/>
                <w:sz w:val="18"/>
                <w:szCs w:val="18"/>
              </w:rPr>
              <w:t>Материальный носитель</w:t>
            </w:r>
          </w:p>
        </w:tc>
        <w:tc>
          <w:tcPr>
            <w:tcW w:w="1201" w:type="dxa"/>
            <w:tcBorders>
              <w:top w:val="single" w:sz="4" w:space="0" w:color="auto"/>
              <w:left w:val="single" w:sz="4" w:space="0" w:color="auto"/>
              <w:bottom w:val="single" w:sz="4" w:space="0" w:color="auto"/>
              <w:right w:val="single" w:sz="4" w:space="0" w:color="auto"/>
            </w:tcBorders>
            <w:shd w:val="clear" w:color="auto" w:fill="auto"/>
            <w:vAlign w:val="center"/>
          </w:tcPr>
          <w:p w14:paraId="584F54BD" w14:textId="77777777" w:rsidR="00E24C7A" w:rsidRPr="00E24C7A" w:rsidRDefault="00E24C7A" w:rsidP="00A43635">
            <w:pPr>
              <w:contextualSpacing/>
              <w:jc w:val="center"/>
              <w:rPr>
                <w:rFonts w:ascii="Arial" w:hAnsi="Arial" w:cs="Arial"/>
                <w:color w:val="000000"/>
                <w:sz w:val="18"/>
                <w:szCs w:val="18"/>
              </w:rPr>
            </w:pPr>
            <w:r w:rsidRPr="00E24C7A">
              <w:rPr>
                <w:rFonts w:ascii="Arial" w:hAnsi="Arial" w:cs="Arial"/>
                <w:color w:val="000000"/>
                <w:sz w:val="18"/>
                <w:szCs w:val="18"/>
              </w:rPr>
              <w:t>Нет</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7672B285" w14:textId="77777777" w:rsidR="00E24C7A" w:rsidRPr="00E24C7A" w:rsidRDefault="00E24C7A" w:rsidP="00A43635">
            <w:pPr>
              <w:contextualSpacing/>
              <w:jc w:val="center"/>
              <w:rPr>
                <w:rFonts w:ascii="Arial" w:hAnsi="Arial" w:cs="Arial"/>
                <w:color w:val="000000"/>
                <w:sz w:val="18"/>
                <w:szCs w:val="18"/>
              </w:rPr>
            </w:pPr>
            <w:r w:rsidRPr="00E24C7A">
              <w:rPr>
                <w:rFonts w:ascii="Arial" w:hAnsi="Arial" w:cs="Arial"/>
                <w:color w:val="000000"/>
                <w:sz w:val="18"/>
                <w:szCs w:val="18"/>
              </w:rPr>
              <w:t>Нет</w:t>
            </w:r>
          </w:p>
        </w:tc>
        <w:tc>
          <w:tcPr>
            <w:tcW w:w="1862" w:type="dxa"/>
            <w:tcBorders>
              <w:top w:val="single" w:sz="4" w:space="0" w:color="auto"/>
              <w:left w:val="single" w:sz="4" w:space="0" w:color="auto"/>
              <w:bottom w:val="single" w:sz="4" w:space="0" w:color="auto"/>
              <w:right w:val="single" w:sz="4" w:space="0" w:color="auto"/>
            </w:tcBorders>
            <w:shd w:val="clear" w:color="auto" w:fill="auto"/>
            <w:vAlign w:val="center"/>
          </w:tcPr>
          <w:p w14:paraId="29378CAF" w14:textId="77777777" w:rsidR="00E24C7A" w:rsidRPr="00E24C7A" w:rsidRDefault="00E24C7A" w:rsidP="00A43635">
            <w:pPr>
              <w:contextualSpacing/>
              <w:jc w:val="center"/>
              <w:rPr>
                <w:rFonts w:ascii="Arial" w:hAnsi="Arial" w:cs="Arial"/>
                <w:color w:val="000000"/>
                <w:sz w:val="18"/>
                <w:szCs w:val="18"/>
              </w:rPr>
            </w:pPr>
            <w:r w:rsidRPr="00E24C7A">
              <w:rPr>
                <w:rFonts w:ascii="Arial" w:hAnsi="Arial" w:cs="Arial"/>
                <w:color w:val="000000"/>
                <w:sz w:val="18"/>
                <w:szCs w:val="18"/>
              </w:rPr>
              <w:t>1.3.6.1.4.1.18545.1.2.1.1</w:t>
            </w:r>
          </w:p>
        </w:tc>
        <w:tc>
          <w:tcPr>
            <w:tcW w:w="1046" w:type="dxa"/>
            <w:tcBorders>
              <w:top w:val="single" w:sz="4" w:space="0" w:color="auto"/>
              <w:left w:val="single" w:sz="4" w:space="0" w:color="auto"/>
              <w:bottom w:val="single" w:sz="4" w:space="0" w:color="auto"/>
              <w:right w:val="single" w:sz="4" w:space="0" w:color="auto"/>
            </w:tcBorders>
            <w:shd w:val="clear" w:color="auto" w:fill="auto"/>
            <w:vAlign w:val="center"/>
          </w:tcPr>
          <w:p w14:paraId="531CCC7F" w14:textId="77777777" w:rsidR="00E24C7A" w:rsidRPr="00E24C7A" w:rsidRDefault="00E24C7A" w:rsidP="00A43635">
            <w:pPr>
              <w:contextualSpacing/>
              <w:jc w:val="center"/>
              <w:rPr>
                <w:rFonts w:ascii="Arial" w:hAnsi="Arial" w:cs="Arial"/>
                <w:color w:val="000000"/>
                <w:sz w:val="18"/>
                <w:szCs w:val="18"/>
              </w:rPr>
            </w:pPr>
            <w:r w:rsidRPr="00E24C7A">
              <w:rPr>
                <w:rFonts w:ascii="Arial" w:hAnsi="Arial" w:cs="Arial"/>
                <w:color w:val="000000"/>
                <w:sz w:val="18"/>
                <w:szCs w:val="18"/>
              </w:rPr>
              <w:t>Word</w:t>
            </w:r>
          </w:p>
        </w:tc>
        <w:tc>
          <w:tcPr>
            <w:tcW w:w="773" w:type="dxa"/>
            <w:tcBorders>
              <w:top w:val="single" w:sz="4" w:space="0" w:color="auto"/>
              <w:left w:val="single" w:sz="4" w:space="0" w:color="auto"/>
              <w:bottom w:val="single" w:sz="4" w:space="0" w:color="auto"/>
              <w:right w:val="single" w:sz="4" w:space="0" w:color="auto"/>
            </w:tcBorders>
            <w:shd w:val="clear" w:color="auto" w:fill="auto"/>
            <w:vAlign w:val="center"/>
          </w:tcPr>
          <w:p w14:paraId="12DE0373" w14:textId="77777777" w:rsidR="00E24C7A" w:rsidRPr="00E24C7A" w:rsidRDefault="00E24C7A" w:rsidP="00A43635">
            <w:pPr>
              <w:contextualSpacing/>
              <w:jc w:val="center"/>
              <w:rPr>
                <w:rFonts w:ascii="Arial" w:hAnsi="Arial" w:cs="Arial"/>
                <w:color w:val="000000"/>
                <w:sz w:val="18"/>
                <w:szCs w:val="18"/>
              </w:rPr>
            </w:pPr>
            <w:r w:rsidRPr="00E24C7A">
              <w:rPr>
                <w:rFonts w:ascii="Arial" w:hAnsi="Arial" w:cs="Arial"/>
                <w:color w:val="000000"/>
                <w:sz w:val="18"/>
                <w:szCs w:val="18"/>
              </w:rPr>
              <w:t>постоянно</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6A37080D" w14:textId="77777777" w:rsidR="00E24C7A" w:rsidRPr="00E24C7A" w:rsidRDefault="00E24C7A" w:rsidP="00A43635">
            <w:pPr>
              <w:contextualSpacing/>
              <w:jc w:val="center"/>
              <w:rPr>
                <w:rFonts w:ascii="Arial" w:hAnsi="Arial" w:cs="Arial"/>
                <w:color w:val="000000"/>
                <w:sz w:val="18"/>
                <w:szCs w:val="18"/>
              </w:rPr>
            </w:pPr>
          </w:p>
        </w:tc>
      </w:tr>
      <w:tr w:rsidR="00E24C7A" w:rsidRPr="00911253" w14:paraId="0CBA4730" w14:textId="77777777" w:rsidTr="00E24C7A">
        <w:trPr>
          <w:trHeight w:val="815"/>
        </w:trPr>
        <w:tc>
          <w:tcPr>
            <w:tcW w:w="1083" w:type="dxa"/>
            <w:tcBorders>
              <w:top w:val="single" w:sz="4" w:space="0" w:color="auto"/>
              <w:left w:val="single" w:sz="4" w:space="0" w:color="auto"/>
              <w:bottom w:val="single" w:sz="4" w:space="0" w:color="auto"/>
              <w:right w:val="single" w:sz="4" w:space="0" w:color="auto"/>
            </w:tcBorders>
            <w:shd w:val="clear" w:color="auto" w:fill="auto"/>
            <w:vAlign w:val="center"/>
          </w:tcPr>
          <w:p w14:paraId="20BF604A" w14:textId="77777777" w:rsidR="00E24C7A" w:rsidRPr="00E24C7A" w:rsidRDefault="00E24C7A" w:rsidP="00A43635">
            <w:pPr>
              <w:contextualSpacing/>
              <w:jc w:val="center"/>
              <w:rPr>
                <w:rFonts w:ascii="Arial" w:hAnsi="Arial" w:cs="Arial"/>
                <w:color w:val="000000"/>
                <w:sz w:val="18"/>
                <w:szCs w:val="18"/>
                <w:lang w:val="en-US"/>
              </w:rPr>
            </w:pPr>
            <w:r w:rsidRPr="00E24C7A">
              <w:rPr>
                <w:rFonts w:ascii="Arial" w:hAnsi="Arial" w:cs="Arial"/>
                <w:color w:val="000000"/>
                <w:sz w:val="18"/>
                <w:szCs w:val="18"/>
                <w:lang w:val="en-US"/>
              </w:rPr>
              <w:t>PART_ATS_ZAJAVL_IZMEN_OREG_ WEB</w:t>
            </w:r>
          </w:p>
        </w:tc>
        <w:tc>
          <w:tcPr>
            <w:tcW w:w="1673" w:type="dxa"/>
            <w:tcBorders>
              <w:top w:val="single" w:sz="4" w:space="0" w:color="auto"/>
              <w:left w:val="single" w:sz="4" w:space="0" w:color="auto"/>
              <w:bottom w:val="single" w:sz="4" w:space="0" w:color="auto"/>
              <w:right w:val="single" w:sz="4" w:space="0" w:color="auto"/>
            </w:tcBorders>
            <w:shd w:val="clear" w:color="auto" w:fill="auto"/>
            <w:vAlign w:val="center"/>
          </w:tcPr>
          <w:p w14:paraId="68DDA7BC" w14:textId="79A4D5F4" w:rsidR="00E24C7A" w:rsidRPr="00647FA0" w:rsidRDefault="00E24C7A" w:rsidP="00A43635">
            <w:pPr>
              <w:contextualSpacing/>
              <w:jc w:val="center"/>
              <w:rPr>
                <w:rFonts w:ascii="Arial" w:hAnsi="Arial" w:cs="Arial"/>
                <w:color w:val="000000"/>
                <w:sz w:val="18"/>
                <w:szCs w:val="18"/>
              </w:rPr>
            </w:pPr>
            <w:r w:rsidRPr="00647FA0">
              <w:rPr>
                <w:rFonts w:ascii="Arial" w:hAnsi="Arial" w:cs="Arial"/>
                <w:color w:val="000000"/>
                <w:sz w:val="18"/>
                <w:szCs w:val="18"/>
              </w:rPr>
              <w:t xml:space="preserve">Заявление о регистрации </w:t>
            </w:r>
            <w:r w:rsidR="008F525E" w:rsidRPr="00647FA0">
              <w:rPr>
                <w:rFonts w:ascii="Arial" w:hAnsi="Arial" w:cs="Arial"/>
                <w:color w:val="000000"/>
                <w:sz w:val="18"/>
                <w:szCs w:val="18"/>
              </w:rPr>
              <w:t xml:space="preserve">изменений объекта регулирования </w:t>
            </w:r>
            <w:r w:rsidR="00F84C23" w:rsidRPr="00647FA0">
              <w:rPr>
                <w:rFonts w:ascii="Arial" w:hAnsi="Arial" w:cs="Arial"/>
                <w:color w:val="000000"/>
                <w:sz w:val="18"/>
                <w:szCs w:val="18"/>
              </w:rPr>
              <w:t>и аттестации</w:t>
            </w:r>
            <w:r w:rsidRPr="00647FA0">
              <w:rPr>
                <w:rFonts w:ascii="Arial" w:hAnsi="Arial" w:cs="Arial"/>
                <w:color w:val="000000"/>
                <w:sz w:val="18"/>
                <w:szCs w:val="18"/>
              </w:rPr>
              <w:t xml:space="preserve"> объекта регулирования</w:t>
            </w:r>
          </w:p>
        </w:tc>
        <w:tc>
          <w:tcPr>
            <w:tcW w:w="1898" w:type="dxa"/>
            <w:tcBorders>
              <w:top w:val="single" w:sz="4" w:space="0" w:color="auto"/>
              <w:left w:val="single" w:sz="4" w:space="0" w:color="auto"/>
              <w:bottom w:val="single" w:sz="4" w:space="0" w:color="auto"/>
              <w:right w:val="single" w:sz="4" w:space="0" w:color="auto"/>
            </w:tcBorders>
            <w:shd w:val="clear" w:color="auto" w:fill="auto"/>
            <w:vAlign w:val="center"/>
          </w:tcPr>
          <w:p w14:paraId="1A78C19F" w14:textId="77777777" w:rsidR="00E24C7A" w:rsidRPr="00E24C7A" w:rsidRDefault="00E24C7A" w:rsidP="00A43635">
            <w:pPr>
              <w:contextualSpacing/>
              <w:jc w:val="center"/>
              <w:rPr>
                <w:rFonts w:ascii="Arial" w:hAnsi="Arial" w:cs="Arial"/>
                <w:color w:val="000000"/>
                <w:sz w:val="18"/>
                <w:szCs w:val="18"/>
              </w:rPr>
            </w:pPr>
            <w:r w:rsidRPr="00E24C7A">
              <w:rPr>
                <w:rFonts w:ascii="Arial" w:hAnsi="Arial" w:cs="Arial"/>
                <w:color w:val="000000"/>
                <w:sz w:val="18"/>
                <w:szCs w:val="18"/>
              </w:rPr>
              <w:t>Положение о порядке получения статуса субъекта оптового рынка, п. 4.1 приложения 9</w:t>
            </w:r>
          </w:p>
        </w:tc>
        <w:tc>
          <w:tcPr>
            <w:tcW w:w="1115" w:type="dxa"/>
            <w:tcBorders>
              <w:top w:val="single" w:sz="4" w:space="0" w:color="auto"/>
              <w:left w:val="single" w:sz="4" w:space="0" w:color="auto"/>
              <w:bottom w:val="single" w:sz="4" w:space="0" w:color="auto"/>
              <w:right w:val="single" w:sz="4" w:space="0" w:color="auto"/>
            </w:tcBorders>
            <w:shd w:val="clear" w:color="auto" w:fill="auto"/>
            <w:vAlign w:val="center"/>
          </w:tcPr>
          <w:p w14:paraId="25A8C0F0" w14:textId="77777777" w:rsidR="00E24C7A" w:rsidRPr="00E24C7A" w:rsidRDefault="00E24C7A" w:rsidP="00A43635">
            <w:pPr>
              <w:contextualSpacing/>
              <w:jc w:val="center"/>
              <w:rPr>
                <w:rFonts w:ascii="Arial" w:hAnsi="Arial" w:cs="Arial"/>
                <w:color w:val="000000"/>
                <w:sz w:val="18"/>
                <w:szCs w:val="18"/>
              </w:rPr>
            </w:pPr>
            <w:r w:rsidRPr="00E24C7A">
              <w:rPr>
                <w:rFonts w:ascii="Arial" w:hAnsi="Arial" w:cs="Arial"/>
                <w:color w:val="000000"/>
                <w:sz w:val="18"/>
                <w:szCs w:val="18"/>
              </w:rPr>
              <w:t>doc, docx</w:t>
            </w:r>
          </w:p>
        </w:tc>
        <w:tc>
          <w:tcPr>
            <w:tcW w:w="922" w:type="dxa"/>
            <w:tcBorders>
              <w:top w:val="single" w:sz="4" w:space="0" w:color="auto"/>
              <w:left w:val="single" w:sz="4" w:space="0" w:color="auto"/>
              <w:bottom w:val="single" w:sz="4" w:space="0" w:color="auto"/>
              <w:right w:val="single" w:sz="4" w:space="0" w:color="auto"/>
            </w:tcBorders>
            <w:shd w:val="clear" w:color="auto" w:fill="auto"/>
            <w:vAlign w:val="center"/>
          </w:tcPr>
          <w:p w14:paraId="55FE784D" w14:textId="77777777" w:rsidR="00E24C7A" w:rsidRPr="00E24C7A" w:rsidRDefault="00E24C7A" w:rsidP="00A43635">
            <w:pPr>
              <w:contextualSpacing/>
              <w:jc w:val="center"/>
              <w:rPr>
                <w:rFonts w:ascii="Arial" w:hAnsi="Arial" w:cs="Arial"/>
                <w:color w:val="000000"/>
                <w:sz w:val="18"/>
                <w:szCs w:val="18"/>
              </w:rPr>
            </w:pPr>
            <w:r w:rsidRPr="00E24C7A">
              <w:rPr>
                <w:rFonts w:ascii="Arial" w:hAnsi="Arial" w:cs="Arial"/>
                <w:color w:val="000000"/>
                <w:sz w:val="18"/>
                <w:szCs w:val="18"/>
              </w:rPr>
              <w:t>Агрегатор</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E59F5E5" w14:textId="77777777" w:rsidR="00E24C7A" w:rsidRPr="00E24C7A" w:rsidRDefault="00E24C7A" w:rsidP="00A43635">
            <w:pPr>
              <w:contextualSpacing/>
              <w:jc w:val="center"/>
              <w:rPr>
                <w:rFonts w:ascii="Arial" w:hAnsi="Arial" w:cs="Arial"/>
                <w:color w:val="000000"/>
                <w:sz w:val="18"/>
                <w:szCs w:val="18"/>
              </w:rPr>
            </w:pPr>
            <w:r w:rsidRPr="00E24C7A">
              <w:rPr>
                <w:rFonts w:ascii="Arial" w:hAnsi="Arial" w:cs="Arial"/>
                <w:color w:val="000000"/>
                <w:sz w:val="18"/>
                <w:szCs w:val="18"/>
              </w:rPr>
              <w:t>АТС</w:t>
            </w:r>
          </w:p>
        </w:tc>
        <w:tc>
          <w:tcPr>
            <w:tcW w:w="1027" w:type="dxa"/>
            <w:tcBorders>
              <w:top w:val="single" w:sz="4" w:space="0" w:color="auto"/>
              <w:left w:val="single" w:sz="4" w:space="0" w:color="auto"/>
              <w:bottom w:val="single" w:sz="4" w:space="0" w:color="auto"/>
              <w:right w:val="single" w:sz="4" w:space="0" w:color="auto"/>
            </w:tcBorders>
            <w:shd w:val="clear" w:color="auto" w:fill="auto"/>
            <w:vAlign w:val="center"/>
          </w:tcPr>
          <w:p w14:paraId="7C3B1673" w14:textId="77777777" w:rsidR="00E24C7A" w:rsidRPr="00E24C7A" w:rsidRDefault="00E24C7A" w:rsidP="00A43635">
            <w:pPr>
              <w:contextualSpacing/>
              <w:jc w:val="center"/>
              <w:rPr>
                <w:rFonts w:ascii="Arial" w:hAnsi="Arial" w:cs="Arial"/>
                <w:color w:val="000000"/>
                <w:sz w:val="18"/>
                <w:szCs w:val="18"/>
              </w:rPr>
            </w:pPr>
            <w:r w:rsidRPr="00E24C7A">
              <w:rPr>
                <w:rFonts w:ascii="Arial" w:hAnsi="Arial" w:cs="Arial"/>
                <w:color w:val="000000"/>
                <w:sz w:val="18"/>
                <w:szCs w:val="18"/>
              </w:rPr>
              <w:t>WEB-интерфейс</w:t>
            </w:r>
          </w:p>
        </w:tc>
        <w:tc>
          <w:tcPr>
            <w:tcW w:w="1201" w:type="dxa"/>
            <w:tcBorders>
              <w:top w:val="single" w:sz="4" w:space="0" w:color="auto"/>
              <w:left w:val="single" w:sz="4" w:space="0" w:color="auto"/>
              <w:bottom w:val="single" w:sz="4" w:space="0" w:color="auto"/>
              <w:right w:val="single" w:sz="4" w:space="0" w:color="auto"/>
            </w:tcBorders>
            <w:shd w:val="clear" w:color="auto" w:fill="auto"/>
            <w:vAlign w:val="center"/>
          </w:tcPr>
          <w:p w14:paraId="01D925D4" w14:textId="77777777" w:rsidR="00E24C7A" w:rsidRPr="00E24C7A" w:rsidRDefault="00E24C7A" w:rsidP="00A43635">
            <w:pPr>
              <w:contextualSpacing/>
              <w:jc w:val="center"/>
              <w:rPr>
                <w:rFonts w:ascii="Arial" w:hAnsi="Arial" w:cs="Arial"/>
                <w:color w:val="000000"/>
                <w:sz w:val="18"/>
                <w:szCs w:val="18"/>
              </w:rPr>
            </w:pPr>
            <w:r w:rsidRPr="00E24C7A">
              <w:rPr>
                <w:rFonts w:ascii="Arial" w:hAnsi="Arial" w:cs="Arial"/>
                <w:color w:val="000000"/>
                <w:sz w:val="18"/>
                <w:szCs w:val="18"/>
              </w:rPr>
              <w:t>Нет</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028CE6CC" w14:textId="77777777" w:rsidR="00E24C7A" w:rsidRPr="00E24C7A" w:rsidRDefault="00E24C7A" w:rsidP="00A43635">
            <w:pPr>
              <w:contextualSpacing/>
              <w:jc w:val="center"/>
              <w:rPr>
                <w:rFonts w:ascii="Arial" w:hAnsi="Arial" w:cs="Arial"/>
                <w:color w:val="000000"/>
                <w:sz w:val="18"/>
                <w:szCs w:val="18"/>
              </w:rPr>
            </w:pPr>
            <w:r w:rsidRPr="00E24C7A">
              <w:rPr>
                <w:rFonts w:ascii="Arial" w:hAnsi="Arial" w:cs="Arial"/>
                <w:color w:val="000000"/>
                <w:sz w:val="18"/>
                <w:szCs w:val="18"/>
              </w:rPr>
              <w:t>Нет</w:t>
            </w:r>
          </w:p>
        </w:tc>
        <w:tc>
          <w:tcPr>
            <w:tcW w:w="1862" w:type="dxa"/>
            <w:tcBorders>
              <w:top w:val="single" w:sz="4" w:space="0" w:color="auto"/>
              <w:left w:val="single" w:sz="4" w:space="0" w:color="auto"/>
              <w:bottom w:val="single" w:sz="4" w:space="0" w:color="auto"/>
              <w:right w:val="single" w:sz="4" w:space="0" w:color="auto"/>
            </w:tcBorders>
            <w:shd w:val="clear" w:color="auto" w:fill="auto"/>
            <w:vAlign w:val="center"/>
          </w:tcPr>
          <w:p w14:paraId="727EDD1A" w14:textId="77777777" w:rsidR="00E24C7A" w:rsidRPr="00E24C7A" w:rsidRDefault="00E24C7A" w:rsidP="00A43635">
            <w:pPr>
              <w:contextualSpacing/>
              <w:jc w:val="center"/>
              <w:rPr>
                <w:rFonts w:ascii="Arial" w:hAnsi="Arial" w:cs="Arial"/>
                <w:color w:val="000000"/>
                <w:sz w:val="18"/>
                <w:szCs w:val="18"/>
              </w:rPr>
            </w:pPr>
            <w:r w:rsidRPr="00E24C7A">
              <w:rPr>
                <w:rFonts w:ascii="Arial" w:hAnsi="Arial" w:cs="Arial"/>
                <w:color w:val="000000"/>
                <w:sz w:val="18"/>
                <w:szCs w:val="18"/>
              </w:rPr>
              <w:t>1.3.6.1.4.1.18545.1.2.1.1</w:t>
            </w:r>
          </w:p>
        </w:tc>
        <w:tc>
          <w:tcPr>
            <w:tcW w:w="1046" w:type="dxa"/>
            <w:tcBorders>
              <w:top w:val="single" w:sz="4" w:space="0" w:color="auto"/>
              <w:left w:val="single" w:sz="4" w:space="0" w:color="auto"/>
              <w:bottom w:val="single" w:sz="4" w:space="0" w:color="auto"/>
              <w:right w:val="single" w:sz="4" w:space="0" w:color="auto"/>
            </w:tcBorders>
            <w:shd w:val="clear" w:color="auto" w:fill="auto"/>
            <w:vAlign w:val="center"/>
          </w:tcPr>
          <w:p w14:paraId="07F519BE" w14:textId="77777777" w:rsidR="00E24C7A" w:rsidRPr="00E24C7A" w:rsidRDefault="00E24C7A" w:rsidP="00A43635">
            <w:pPr>
              <w:contextualSpacing/>
              <w:jc w:val="center"/>
              <w:rPr>
                <w:rFonts w:ascii="Arial" w:hAnsi="Arial" w:cs="Arial"/>
                <w:color w:val="000000"/>
                <w:sz w:val="18"/>
                <w:szCs w:val="18"/>
              </w:rPr>
            </w:pPr>
            <w:r w:rsidRPr="00E24C7A">
              <w:rPr>
                <w:rFonts w:ascii="Arial" w:hAnsi="Arial" w:cs="Arial"/>
                <w:color w:val="000000"/>
                <w:sz w:val="18"/>
                <w:szCs w:val="18"/>
              </w:rPr>
              <w:t>Word</w:t>
            </w:r>
          </w:p>
        </w:tc>
        <w:tc>
          <w:tcPr>
            <w:tcW w:w="773" w:type="dxa"/>
            <w:tcBorders>
              <w:top w:val="single" w:sz="4" w:space="0" w:color="auto"/>
              <w:left w:val="single" w:sz="4" w:space="0" w:color="auto"/>
              <w:bottom w:val="single" w:sz="4" w:space="0" w:color="auto"/>
              <w:right w:val="single" w:sz="4" w:space="0" w:color="auto"/>
            </w:tcBorders>
            <w:shd w:val="clear" w:color="auto" w:fill="auto"/>
            <w:vAlign w:val="center"/>
          </w:tcPr>
          <w:p w14:paraId="60E93E33" w14:textId="77777777" w:rsidR="00E24C7A" w:rsidRPr="00E24C7A" w:rsidRDefault="00E24C7A" w:rsidP="00A43635">
            <w:pPr>
              <w:contextualSpacing/>
              <w:jc w:val="center"/>
              <w:rPr>
                <w:rFonts w:ascii="Arial" w:hAnsi="Arial" w:cs="Arial"/>
                <w:color w:val="000000"/>
                <w:sz w:val="18"/>
                <w:szCs w:val="18"/>
              </w:rPr>
            </w:pPr>
            <w:r w:rsidRPr="00E24C7A">
              <w:rPr>
                <w:rFonts w:ascii="Arial" w:hAnsi="Arial" w:cs="Arial"/>
                <w:color w:val="000000"/>
                <w:sz w:val="18"/>
                <w:szCs w:val="18"/>
              </w:rPr>
              <w:t>постоянно</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6F0422DC" w14:textId="77777777" w:rsidR="00E24C7A" w:rsidRPr="00E24C7A" w:rsidRDefault="00E24C7A" w:rsidP="00A43635">
            <w:pPr>
              <w:contextualSpacing/>
              <w:jc w:val="center"/>
              <w:rPr>
                <w:rFonts w:ascii="Arial" w:hAnsi="Arial" w:cs="Arial"/>
                <w:color w:val="000000"/>
                <w:sz w:val="18"/>
                <w:szCs w:val="18"/>
              </w:rPr>
            </w:pPr>
          </w:p>
        </w:tc>
      </w:tr>
      <w:tr w:rsidR="00E24C7A" w:rsidRPr="00911253" w14:paraId="5007F59D" w14:textId="77777777" w:rsidTr="00E24C7A">
        <w:trPr>
          <w:trHeight w:val="815"/>
        </w:trPr>
        <w:tc>
          <w:tcPr>
            <w:tcW w:w="1083" w:type="dxa"/>
            <w:tcBorders>
              <w:top w:val="single" w:sz="4" w:space="0" w:color="auto"/>
              <w:left w:val="single" w:sz="4" w:space="0" w:color="auto"/>
              <w:bottom w:val="single" w:sz="4" w:space="0" w:color="auto"/>
              <w:right w:val="single" w:sz="4" w:space="0" w:color="auto"/>
            </w:tcBorders>
            <w:shd w:val="clear" w:color="auto" w:fill="auto"/>
            <w:vAlign w:val="center"/>
          </w:tcPr>
          <w:p w14:paraId="6149BA40" w14:textId="77777777" w:rsidR="00E24C7A" w:rsidRPr="00E24C7A" w:rsidRDefault="00E24C7A" w:rsidP="00A43635">
            <w:pPr>
              <w:contextualSpacing/>
              <w:jc w:val="center"/>
              <w:rPr>
                <w:rFonts w:ascii="Arial" w:hAnsi="Arial" w:cs="Arial"/>
                <w:color w:val="000000"/>
                <w:sz w:val="18"/>
                <w:szCs w:val="18"/>
                <w:lang w:val="en-US"/>
              </w:rPr>
            </w:pPr>
            <w:r w:rsidRPr="00E24C7A">
              <w:rPr>
                <w:rFonts w:ascii="Arial" w:hAnsi="Arial" w:cs="Arial"/>
                <w:color w:val="000000"/>
                <w:sz w:val="18"/>
                <w:szCs w:val="18"/>
                <w:lang w:val="en-US"/>
              </w:rPr>
              <w:t>PART_ATS_SHEMA_SETI_OREG_MED</w:t>
            </w:r>
          </w:p>
        </w:tc>
        <w:tc>
          <w:tcPr>
            <w:tcW w:w="1673" w:type="dxa"/>
            <w:tcBorders>
              <w:top w:val="single" w:sz="4" w:space="0" w:color="auto"/>
              <w:left w:val="single" w:sz="4" w:space="0" w:color="auto"/>
              <w:bottom w:val="single" w:sz="4" w:space="0" w:color="auto"/>
              <w:right w:val="single" w:sz="4" w:space="0" w:color="auto"/>
            </w:tcBorders>
            <w:shd w:val="clear" w:color="auto" w:fill="auto"/>
            <w:vAlign w:val="center"/>
          </w:tcPr>
          <w:p w14:paraId="647B23D5" w14:textId="77777777" w:rsidR="00E24C7A" w:rsidRPr="00E24C7A" w:rsidRDefault="00E24C7A" w:rsidP="00A43635">
            <w:pPr>
              <w:contextualSpacing/>
              <w:jc w:val="center"/>
              <w:rPr>
                <w:rFonts w:ascii="Arial" w:hAnsi="Arial" w:cs="Arial"/>
                <w:color w:val="000000"/>
                <w:sz w:val="18"/>
                <w:szCs w:val="18"/>
              </w:rPr>
            </w:pPr>
            <w:r w:rsidRPr="00E24C7A">
              <w:rPr>
                <w:rFonts w:ascii="Arial" w:hAnsi="Arial" w:cs="Arial"/>
                <w:color w:val="000000"/>
                <w:sz w:val="18"/>
                <w:szCs w:val="18"/>
              </w:rPr>
              <w:t>Однолинейная схема объекта регулирования</w:t>
            </w:r>
          </w:p>
        </w:tc>
        <w:tc>
          <w:tcPr>
            <w:tcW w:w="1898" w:type="dxa"/>
            <w:tcBorders>
              <w:top w:val="single" w:sz="4" w:space="0" w:color="auto"/>
              <w:left w:val="single" w:sz="4" w:space="0" w:color="auto"/>
              <w:bottom w:val="single" w:sz="4" w:space="0" w:color="auto"/>
              <w:right w:val="single" w:sz="4" w:space="0" w:color="auto"/>
            </w:tcBorders>
            <w:shd w:val="clear" w:color="auto" w:fill="auto"/>
            <w:vAlign w:val="center"/>
          </w:tcPr>
          <w:p w14:paraId="631A8283" w14:textId="77777777" w:rsidR="00E24C7A" w:rsidRPr="00E24C7A" w:rsidRDefault="00E24C7A" w:rsidP="00A43635">
            <w:pPr>
              <w:contextualSpacing/>
              <w:jc w:val="center"/>
              <w:rPr>
                <w:rFonts w:ascii="Arial" w:hAnsi="Arial" w:cs="Arial"/>
                <w:color w:val="000000"/>
                <w:sz w:val="18"/>
                <w:szCs w:val="18"/>
              </w:rPr>
            </w:pPr>
            <w:r w:rsidRPr="00E24C7A">
              <w:rPr>
                <w:rFonts w:ascii="Arial" w:hAnsi="Arial" w:cs="Arial"/>
                <w:color w:val="000000"/>
                <w:sz w:val="18"/>
                <w:szCs w:val="18"/>
              </w:rPr>
              <w:t>Положение о порядке получения статуса субъекта оптового рынка, п. 2.1 приложения 9</w:t>
            </w:r>
          </w:p>
        </w:tc>
        <w:tc>
          <w:tcPr>
            <w:tcW w:w="1115" w:type="dxa"/>
            <w:tcBorders>
              <w:top w:val="single" w:sz="4" w:space="0" w:color="auto"/>
              <w:left w:val="single" w:sz="4" w:space="0" w:color="auto"/>
              <w:bottom w:val="single" w:sz="4" w:space="0" w:color="auto"/>
              <w:right w:val="single" w:sz="4" w:space="0" w:color="auto"/>
            </w:tcBorders>
            <w:shd w:val="clear" w:color="auto" w:fill="auto"/>
            <w:vAlign w:val="center"/>
          </w:tcPr>
          <w:p w14:paraId="0B0DB728" w14:textId="77777777" w:rsidR="00E24C7A" w:rsidRPr="00E24C7A" w:rsidRDefault="00E24C7A" w:rsidP="00A43635">
            <w:pPr>
              <w:contextualSpacing/>
              <w:jc w:val="center"/>
              <w:rPr>
                <w:rFonts w:ascii="Arial" w:hAnsi="Arial" w:cs="Arial"/>
                <w:color w:val="000000"/>
                <w:sz w:val="18"/>
                <w:szCs w:val="18"/>
              </w:rPr>
            </w:pPr>
            <w:r w:rsidRPr="00E24C7A">
              <w:rPr>
                <w:rFonts w:ascii="Arial" w:hAnsi="Arial" w:cs="Arial"/>
                <w:color w:val="000000"/>
                <w:sz w:val="18"/>
                <w:szCs w:val="18"/>
              </w:rPr>
              <w:t>pdf</w:t>
            </w:r>
          </w:p>
        </w:tc>
        <w:tc>
          <w:tcPr>
            <w:tcW w:w="922" w:type="dxa"/>
            <w:tcBorders>
              <w:top w:val="single" w:sz="4" w:space="0" w:color="auto"/>
              <w:left w:val="single" w:sz="4" w:space="0" w:color="auto"/>
              <w:bottom w:val="single" w:sz="4" w:space="0" w:color="auto"/>
              <w:right w:val="single" w:sz="4" w:space="0" w:color="auto"/>
            </w:tcBorders>
            <w:shd w:val="clear" w:color="auto" w:fill="auto"/>
            <w:vAlign w:val="center"/>
          </w:tcPr>
          <w:p w14:paraId="28382BA9" w14:textId="77777777" w:rsidR="00E24C7A" w:rsidRPr="00E24C7A" w:rsidRDefault="00E24C7A" w:rsidP="00A43635">
            <w:pPr>
              <w:contextualSpacing/>
              <w:jc w:val="center"/>
              <w:rPr>
                <w:rFonts w:ascii="Arial" w:hAnsi="Arial" w:cs="Arial"/>
                <w:color w:val="000000"/>
                <w:sz w:val="18"/>
                <w:szCs w:val="18"/>
              </w:rPr>
            </w:pPr>
            <w:r w:rsidRPr="00E24C7A">
              <w:rPr>
                <w:rFonts w:ascii="Arial" w:hAnsi="Arial" w:cs="Arial"/>
                <w:color w:val="000000"/>
                <w:sz w:val="18"/>
                <w:szCs w:val="18"/>
              </w:rPr>
              <w:t>Агрегатор</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EFB9BB" w14:textId="77777777" w:rsidR="00E24C7A" w:rsidRPr="00E24C7A" w:rsidRDefault="00E24C7A" w:rsidP="00A43635">
            <w:pPr>
              <w:contextualSpacing/>
              <w:jc w:val="center"/>
              <w:rPr>
                <w:rFonts w:ascii="Arial" w:hAnsi="Arial" w:cs="Arial"/>
                <w:color w:val="000000"/>
                <w:sz w:val="18"/>
                <w:szCs w:val="18"/>
              </w:rPr>
            </w:pPr>
            <w:r w:rsidRPr="00E24C7A">
              <w:rPr>
                <w:rFonts w:ascii="Arial" w:hAnsi="Arial" w:cs="Arial"/>
                <w:color w:val="000000"/>
                <w:sz w:val="18"/>
                <w:szCs w:val="18"/>
              </w:rPr>
              <w:t>АТС</w:t>
            </w:r>
          </w:p>
        </w:tc>
        <w:tc>
          <w:tcPr>
            <w:tcW w:w="1027" w:type="dxa"/>
            <w:tcBorders>
              <w:top w:val="single" w:sz="4" w:space="0" w:color="auto"/>
              <w:left w:val="single" w:sz="4" w:space="0" w:color="auto"/>
              <w:bottom w:val="single" w:sz="4" w:space="0" w:color="auto"/>
              <w:right w:val="single" w:sz="4" w:space="0" w:color="auto"/>
            </w:tcBorders>
            <w:shd w:val="clear" w:color="auto" w:fill="auto"/>
            <w:vAlign w:val="center"/>
          </w:tcPr>
          <w:p w14:paraId="40B4EB6A" w14:textId="77777777" w:rsidR="00E24C7A" w:rsidRPr="00E24C7A" w:rsidRDefault="00E24C7A" w:rsidP="00A43635">
            <w:pPr>
              <w:contextualSpacing/>
              <w:jc w:val="center"/>
              <w:rPr>
                <w:rFonts w:ascii="Arial" w:hAnsi="Arial" w:cs="Arial"/>
                <w:color w:val="000000"/>
                <w:sz w:val="18"/>
                <w:szCs w:val="18"/>
              </w:rPr>
            </w:pPr>
            <w:r w:rsidRPr="00E24C7A">
              <w:rPr>
                <w:rFonts w:ascii="Arial" w:hAnsi="Arial" w:cs="Arial"/>
                <w:color w:val="000000"/>
                <w:sz w:val="18"/>
                <w:szCs w:val="18"/>
              </w:rPr>
              <w:t>Материальный носитель</w:t>
            </w:r>
          </w:p>
        </w:tc>
        <w:tc>
          <w:tcPr>
            <w:tcW w:w="1201" w:type="dxa"/>
            <w:tcBorders>
              <w:top w:val="single" w:sz="4" w:space="0" w:color="auto"/>
              <w:left w:val="single" w:sz="4" w:space="0" w:color="auto"/>
              <w:bottom w:val="single" w:sz="4" w:space="0" w:color="auto"/>
              <w:right w:val="single" w:sz="4" w:space="0" w:color="auto"/>
            </w:tcBorders>
            <w:shd w:val="clear" w:color="auto" w:fill="auto"/>
            <w:vAlign w:val="center"/>
          </w:tcPr>
          <w:p w14:paraId="77B808FD" w14:textId="77777777" w:rsidR="00E24C7A" w:rsidRPr="00E24C7A" w:rsidRDefault="00E24C7A" w:rsidP="00A43635">
            <w:pPr>
              <w:contextualSpacing/>
              <w:jc w:val="center"/>
              <w:rPr>
                <w:rFonts w:ascii="Arial" w:hAnsi="Arial" w:cs="Arial"/>
                <w:color w:val="000000"/>
                <w:sz w:val="18"/>
                <w:szCs w:val="18"/>
              </w:rPr>
            </w:pPr>
            <w:r w:rsidRPr="00E24C7A">
              <w:rPr>
                <w:rFonts w:ascii="Arial" w:hAnsi="Arial" w:cs="Arial"/>
                <w:color w:val="000000"/>
                <w:sz w:val="18"/>
                <w:szCs w:val="18"/>
              </w:rPr>
              <w:t>Нет</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6A3DB6B0" w14:textId="77777777" w:rsidR="00E24C7A" w:rsidRPr="00E24C7A" w:rsidRDefault="00E24C7A" w:rsidP="00A43635">
            <w:pPr>
              <w:contextualSpacing/>
              <w:jc w:val="center"/>
              <w:rPr>
                <w:rFonts w:ascii="Arial" w:hAnsi="Arial" w:cs="Arial"/>
                <w:color w:val="000000"/>
                <w:sz w:val="18"/>
                <w:szCs w:val="18"/>
              </w:rPr>
            </w:pPr>
            <w:r w:rsidRPr="00E24C7A">
              <w:rPr>
                <w:rFonts w:ascii="Arial" w:hAnsi="Arial" w:cs="Arial"/>
                <w:color w:val="000000"/>
                <w:sz w:val="18"/>
                <w:szCs w:val="18"/>
              </w:rPr>
              <w:t>Нет</w:t>
            </w:r>
          </w:p>
        </w:tc>
        <w:tc>
          <w:tcPr>
            <w:tcW w:w="1862" w:type="dxa"/>
            <w:tcBorders>
              <w:top w:val="single" w:sz="4" w:space="0" w:color="auto"/>
              <w:left w:val="single" w:sz="4" w:space="0" w:color="auto"/>
              <w:bottom w:val="single" w:sz="4" w:space="0" w:color="auto"/>
              <w:right w:val="single" w:sz="4" w:space="0" w:color="auto"/>
            </w:tcBorders>
            <w:shd w:val="clear" w:color="auto" w:fill="auto"/>
            <w:vAlign w:val="center"/>
          </w:tcPr>
          <w:p w14:paraId="5C96639D" w14:textId="77777777" w:rsidR="00E24C7A" w:rsidRPr="00E24C7A" w:rsidRDefault="00E24C7A" w:rsidP="00A43635">
            <w:pPr>
              <w:contextualSpacing/>
              <w:jc w:val="center"/>
              <w:rPr>
                <w:rFonts w:ascii="Arial" w:hAnsi="Arial" w:cs="Arial"/>
                <w:color w:val="000000"/>
                <w:sz w:val="18"/>
                <w:szCs w:val="18"/>
              </w:rPr>
            </w:pPr>
            <w:r w:rsidRPr="00E24C7A">
              <w:rPr>
                <w:rFonts w:ascii="Arial" w:hAnsi="Arial" w:cs="Arial"/>
                <w:color w:val="000000"/>
                <w:sz w:val="18"/>
                <w:szCs w:val="18"/>
              </w:rPr>
              <w:t>1.3.6.1.4.1.18545.1.2.1.1</w:t>
            </w:r>
          </w:p>
        </w:tc>
        <w:tc>
          <w:tcPr>
            <w:tcW w:w="1046" w:type="dxa"/>
            <w:tcBorders>
              <w:top w:val="single" w:sz="4" w:space="0" w:color="auto"/>
              <w:left w:val="single" w:sz="4" w:space="0" w:color="auto"/>
              <w:bottom w:val="single" w:sz="4" w:space="0" w:color="auto"/>
              <w:right w:val="single" w:sz="4" w:space="0" w:color="auto"/>
            </w:tcBorders>
            <w:shd w:val="clear" w:color="auto" w:fill="auto"/>
            <w:vAlign w:val="center"/>
          </w:tcPr>
          <w:p w14:paraId="10786A89" w14:textId="77777777" w:rsidR="00E24C7A" w:rsidRPr="00E24C7A" w:rsidRDefault="00E24C7A" w:rsidP="00A43635">
            <w:pPr>
              <w:contextualSpacing/>
              <w:jc w:val="center"/>
              <w:rPr>
                <w:rFonts w:ascii="Arial" w:hAnsi="Arial" w:cs="Arial"/>
                <w:color w:val="000000"/>
                <w:sz w:val="18"/>
                <w:szCs w:val="18"/>
              </w:rPr>
            </w:pPr>
            <w:r w:rsidRPr="00E24C7A">
              <w:rPr>
                <w:rFonts w:ascii="Arial" w:hAnsi="Arial" w:cs="Arial"/>
                <w:color w:val="000000"/>
                <w:sz w:val="18"/>
                <w:szCs w:val="18"/>
              </w:rPr>
              <w:t>Adobe Reader</w:t>
            </w:r>
          </w:p>
        </w:tc>
        <w:tc>
          <w:tcPr>
            <w:tcW w:w="773" w:type="dxa"/>
            <w:tcBorders>
              <w:top w:val="single" w:sz="4" w:space="0" w:color="auto"/>
              <w:left w:val="single" w:sz="4" w:space="0" w:color="auto"/>
              <w:bottom w:val="single" w:sz="4" w:space="0" w:color="auto"/>
              <w:right w:val="single" w:sz="4" w:space="0" w:color="auto"/>
            </w:tcBorders>
            <w:shd w:val="clear" w:color="auto" w:fill="auto"/>
            <w:vAlign w:val="center"/>
          </w:tcPr>
          <w:p w14:paraId="769BBDD7" w14:textId="77777777" w:rsidR="00E24C7A" w:rsidRPr="00E24C7A" w:rsidRDefault="00E24C7A" w:rsidP="00A43635">
            <w:pPr>
              <w:contextualSpacing/>
              <w:jc w:val="center"/>
              <w:rPr>
                <w:rFonts w:ascii="Arial" w:hAnsi="Arial" w:cs="Arial"/>
                <w:color w:val="000000"/>
                <w:sz w:val="18"/>
                <w:szCs w:val="18"/>
              </w:rPr>
            </w:pPr>
            <w:r w:rsidRPr="00E24C7A">
              <w:rPr>
                <w:rFonts w:ascii="Arial" w:hAnsi="Arial" w:cs="Arial"/>
                <w:color w:val="000000"/>
                <w:sz w:val="18"/>
                <w:szCs w:val="18"/>
              </w:rPr>
              <w:t>постоянно</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4FCEEA86" w14:textId="77777777" w:rsidR="00E24C7A" w:rsidRPr="00E24C7A" w:rsidRDefault="00E24C7A" w:rsidP="00A43635">
            <w:pPr>
              <w:contextualSpacing/>
              <w:jc w:val="center"/>
              <w:rPr>
                <w:rFonts w:ascii="Arial" w:hAnsi="Arial" w:cs="Arial"/>
                <w:color w:val="000000"/>
                <w:sz w:val="18"/>
                <w:szCs w:val="18"/>
              </w:rPr>
            </w:pPr>
          </w:p>
        </w:tc>
      </w:tr>
      <w:tr w:rsidR="00E24C7A" w:rsidRPr="00911253" w14:paraId="0DBF3626" w14:textId="77777777" w:rsidTr="00E24C7A">
        <w:trPr>
          <w:trHeight w:val="815"/>
        </w:trPr>
        <w:tc>
          <w:tcPr>
            <w:tcW w:w="1083" w:type="dxa"/>
            <w:tcBorders>
              <w:top w:val="single" w:sz="4" w:space="0" w:color="auto"/>
              <w:left w:val="single" w:sz="4" w:space="0" w:color="auto"/>
              <w:bottom w:val="single" w:sz="4" w:space="0" w:color="auto"/>
              <w:right w:val="single" w:sz="4" w:space="0" w:color="auto"/>
            </w:tcBorders>
            <w:shd w:val="clear" w:color="auto" w:fill="auto"/>
            <w:vAlign w:val="center"/>
          </w:tcPr>
          <w:p w14:paraId="5C666731" w14:textId="77777777" w:rsidR="00E24C7A" w:rsidRPr="00E24C7A" w:rsidRDefault="00E24C7A" w:rsidP="00A43635">
            <w:pPr>
              <w:contextualSpacing/>
              <w:jc w:val="center"/>
              <w:rPr>
                <w:rFonts w:ascii="Arial" w:hAnsi="Arial" w:cs="Arial"/>
                <w:color w:val="000000"/>
                <w:sz w:val="18"/>
                <w:szCs w:val="18"/>
                <w:lang w:val="en-US"/>
              </w:rPr>
            </w:pPr>
            <w:r w:rsidRPr="00E24C7A">
              <w:rPr>
                <w:rFonts w:ascii="Arial" w:hAnsi="Arial" w:cs="Arial"/>
                <w:color w:val="000000"/>
                <w:sz w:val="18"/>
                <w:szCs w:val="18"/>
                <w:lang w:val="en-US"/>
              </w:rPr>
              <w:lastRenderedPageBreak/>
              <w:t>PART_ATS_SHEMA_SETI_OREG_ WEB</w:t>
            </w:r>
          </w:p>
        </w:tc>
        <w:tc>
          <w:tcPr>
            <w:tcW w:w="1673" w:type="dxa"/>
            <w:tcBorders>
              <w:top w:val="single" w:sz="4" w:space="0" w:color="auto"/>
              <w:left w:val="single" w:sz="4" w:space="0" w:color="auto"/>
              <w:bottom w:val="single" w:sz="4" w:space="0" w:color="auto"/>
              <w:right w:val="single" w:sz="4" w:space="0" w:color="auto"/>
            </w:tcBorders>
            <w:shd w:val="clear" w:color="auto" w:fill="auto"/>
            <w:vAlign w:val="center"/>
          </w:tcPr>
          <w:p w14:paraId="5F91B6DD" w14:textId="77777777" w:rsidR="00E24C7A" w:rsidRPr="00E24C7A" w:rsidRDefault="00E24C7A" w:rsidP="00A43635">
            <w:pPr>
              <w:contextualSpacing/>
              <w:jc w:val="center"/>
              <w:rPr>
                <w:rFonts w:ascii="Arial" w:hAnsi="Arial" w:cs="Arial"/>
                <w:color w:val="000000"/>
                <w:sz w:val="18"/>
                <w:szCs w:val="18"/>
              </w:rPr>
            </w:pPr>
            <w:r w:rsidRPr="00E24C7A">
              <w:rPr>
                <w:rFonts w:ascii="Arial" w:hAnsi="Arial" w:cs="Arial"/>
                <w:color w:val="000000"/>
                <w:sz w:val="18"/>
                <w:szCs w:val="18"/>
              </w:rPr>
              <w:t>Однолинейная схема объекта регулирования</w:t>
            </w:r>
          </w:p>
        </w:tc>
        <w:tc>
          <w:tcPr>
            <w:tcW w:w="1898" w:type="dxa"/>
            <w:tcBorders>
              <w:top w:val="single" w:sz="4" w:space="0" w:color="auto"/>
              <w:left w:val="single" w:sz="4" w:space="0" w:color="auto"/>
              <w:bottom w:val="single" w:sz="4" w:space="0" w:color="auto"/>
              <w:right w:val="single" w:sz="4" w:space="0" w:color="auto"/>
            </w:tcBorders>
            <w:shd w:val="clear" w:color="auto" w:fill="auto"/>
            <w:vAlign w:val="center"/>
          </w:tcPr>
          <w:p w14:paraId="742123FC" w14:textId="77777777" w:rsidR="00E24C7A" w:rsidRPr="00E24C7A" w:rsidRDefault="00E24C7A" w:rsidP="00A43635">
            <w:pPr>
              <w:contextualSpacing/>
              <w:jc w:val="center"/>
              <w:rPr>
                <w:rFonts w:ascii="Arial" w:hAnsi="Arial" w:cs="Arial"/>
                <w:color w:val="000000"/>
                <w:sz w:val="18"/>
                <w:szCs w:val="18"/>
              </w:rPr>
            </w:pPr>
            <w:r w:rsidRPr="00E24C7A">
              <w:rPr>
                <w:rFonts w:ascii="Arial" w:hAnsi="Arial" w:cs="Arial"/>
                <w:color w:val="000000"/>
                <w:sz w:val="18"/>
                <w:szCs w:val="18"/>
              </w:rPr>
              <w:t>Положение о порядке получения статуса субъекта оптового рынка, п. 2.1 приложения 9</w:t>
            </w:r>
          </w:p>
        </w:tc>
        <w:tc>
          <w:tcPr>
            <w:tcW w:w="1115" w:type="dxa"/>
            <w:tcBorders>
              <w:top w:val="single" w:sz="4" w:space="0" w:color="auto"/>
              <w:left w:val="single" w:sz="4" w:space="0" w:color="auto"/>
              <w:bottom w:val="single" w:sz="4" w:space="0" w:color="auto"/>
              <w:right w:val="single" w:sz="4" w:space="0" w:color="auto"/>
            </w:tcBorders>
            <w:shd w:val="clear" w:color="auto" w:fill="auto"/>
            <w:vAlign w:val="center"/>
          </w:tcPr>
          <w:p w14:paraId="366E635F" w14:textId="77777777" w:rsidR="00E24C7A" w:rsidRPr="00E24C7A" w:rsidRDefault="00E24C7A" w:rsidP="00A43635">
            <w:pPr>
              <w:contextualSpacing/>
              <w:jc w:val="center"/>
              <w:rPr>
                <w:rFonts w:ascii="Arial" w:hAnsi="Arial" w:cs="Arial"/>
                <w:color w:val="000000"/>
                <w:sz w:val="18"/>
                <w:szCs w:val="18"/>
              </w:rPr>
            </w:pPr>
            <w:r w:rsidRPr="00E24C7A">
              <w:rPr>
                <w:rFonts w:ascii="Arial" w:hAnsi="Arial" w:cs="Arial"/>
                <w:color w:val="000000"/>
                <w:sz w:val="18"/>
                <w:szCs w:val="18"/>
              </w:rPr>
              <w:t>pdf</w:t>
            </w:r>
          </w:p>
        </w:tc>
        <w:tc>
          <w:tcPr>
            <w:tcW w:w="922" w:type="dxa"/>
            <w:tcBorders>
              <w:top w:val="single" w:sz="4" w:space="0" w:color="auto"/>
              <w:left w:val="single" w:sz="4" w:space="0" w:color="auto"/>
              <w:bottom w:val="single" w:sz="4" w:space="0" w:color="auto"/>
              <w:right w:val="single" w:sz="4" w:space="0" w:color="auto"/>
            </w:tcBorders>
            <w:shd w:val="clear" w:color="auto" w:fill="auto"/>
            <w:vAlign w:val="center"/>
          </w:tcPr>
          <w:p w14:paraId="43E711D9" w14:textId="77777777" w:rsidR="00E24C7A" w:rsidRPr="00E24C7A" w:rsidRDefault="00E24C7A" w:rsidP="00A43635">
            <w:pPr>
              <w:contextualSpacing/>
              <w:jc w:val="center"/>
              <w:rPr>
                <w:rFonts w:ascii="Arial" w:hAnsi="Arial" w:cs="Arial"/>
                <w:color w:val="000000"/>
                <w:sz w:val="18"/>
                <w:szCs w:val="18"/>
              </w:rPr>
            </w:pPr>
            <w:r w:rsidRPr="00E24C7A">
              <w:rPr>
                <w:rFonts w:ascii="Arial" w:hAnsi="Arial" w:cs="Arial"/>
                <w:color w:val="000000"/>
                <w:sz w:val="18"/>
                <w:szCs w:val="18"/>
              </w:rPr>
              <w:t>Агрегатор</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2A47F9C" w14:textId="77777777" w:rsidR="00E24C7A" w:rsidRPr="00E24C7A" w:rsidRDefault="00E24C7A" w:rsidP="00A43635">
            <w:pPr>
              <w:contextualSpacing/>
              <w:jc w:val="center"/>
              <w:rPr>
                <w:rFonts w:ascii="Arial" w:hAnsi="Arial" w:cs="Arial"/>
                <w:color w:val="000000"/>
                <w:sz w:val="18"/>
                <w:szCs w:val="18"/>
              </w:rPr>
            </w:pPr>
            <w:r w:rsidRPr="00E24C7A">
              <w:rPr>
                <w:rFonts w:ascii="Arial" w:hAnsi="Arial" w:cs="Arial"/>
                <w:color w:val="000000"/>
                <w:sz w:val="18"/>
                <w:szCs w:val="18"/>
              </w:rPr>
              <w:t>АТС</w:t>
            </w:r>
          </w:p>
        </w:tc>
        <w:tc>
          <w:tcPr>
            <w:tcW w:w="1027" w:type="dxa"/>
            <w:tcBorders>
              <w:top w:val="single" w:sz="4" w:space="0" w:color="auto"/>
              <w:left w:val="single" w:sz="4" w:space="0" w:color="auto"/>
              <w:bottom w:val="single" w:sz="4" w:space="0" w:color="auto"/>
              <w:right w:val="single" w:sz="4" w:space="0" w:color="auto"/>
            </w:tcBorders>
            <w:shd w:val="clear" w:color="auto" w:fill="auto"/>
            <w:vAlign w:val="center"/>
          </w:tcPr>
          <w:p w14:paraId="4BC04BFA" w14:textId="77777777" w:rsidR="00E24C7A" w:rsidRPr="00E24C7A" w:rsidRDefault="00E24C7A" w:rsidP="00A43635">
            <w:pPr>
              <w:contextualSpacing/>
              <w:jc w:val="center"/>
              <w:rPr>
                <w:rFonts w:ascii="Arial" w:hAnsi="Arial" w:cs="Arial"/>
                <w:color w:val="000000"/>
                <w:sz w:val="18"/>
                <w:szCs w:val="18"/>
              </w:rPr>
            </w:pPr>
            <w:r w:rsidRPr="00E24C7A">
              <w:rPr>
                <w:rFonts w:ascii="Arial" w:hAnsi="Arial" w:cs="Arial"/>
                <w:color w:val="000000"/>
                <w:sz w:val="18"/>
                <w:szCs w:val="18"/>
              </w:rPr>
              <w:t>WEB-интерфейс</w:t>
            </w:r>
          </w:p>
        </w:tc>
        <w:tc>
          <w:tcPr>
            <w:tcW w:w="1201" w:type="dxa"/>
            <w:tcBorders>
              <w:top w:val="single" w:sz="4" w:space="0" w:color="auto"/>
              <w:left w:val="single" w:sz="4" w:space="0" w:color="auto"/>
              <w:bottom w:val="single" w:sz="4" w:space="0" w:color="auto"/>
              <w:right w:val="single" w:sz="4" w:space="0" w:color="auto"/>
            </w:tcBorders>
            <w:shd w:val="clear" w:color="auto" w:fill="auto"/>
            <w:vAlign w:val="center"/>
          </w:tcPr>
          <w:p w14:paraId="2B2F9A87" w14:textId="77777777" w:rsidR="00E24C7A" w:rsidRPr="00E24C7A" w:rsidRDefault="00E24C7A" w:rsidP="00A43635">
            <w:pPr>
              <w:contextualSpacing/>
              <w:jc w:val="center"/>
              <w:rPr>
                <w:rFonts w:ascii="Arial" w:hAnsi="Arial" w:cs="Arial"/>
                <w:color w:val="000000"/>
                <w:sz w:val="18"/>
                <w:szCs w:val="18"/>
              </w:rPr>
            </w:pPr>
            <w:r w:rsidRPr="00E24C7A">
              <w:rPr>
                <w:rFonts w:ascii="Arial" w:hAnsi="Arial" w:cs="Arial"/>
                <w:color w:val="000000"/>
                <w:sz w:val="18"/>
                <w:szCs w:val="18"/>
              </w:rPr>
              <w:t>Нет</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5C47E550" w14:textId="77777777" w:rsidR="00E24C7A" w:rsidRPr="00E24C7A" w:rsidRDefault="00E24C7A" w:rsidP="00A43635">
            <w:pPr>
              <w:contextualSpacing/>
              <w:jc w:val="center"/>
              <w:rPr>
                <w:rFonts w:ascii="Arial" w:hAnsi="Arial" w:cs="Arial"/>
                <w:color w:val="000000"/>
                <w:sz w:val="18"/>
                <w:szCs w:val="18"/>
              </w:rPr>
            </w:pPr>
            <w:r w:rsidRPr="00E24C7A">
              <w:rPr>
                <w:rFonts w:ascii="Arial" w:hAnsi="Arial" w:cs="Arial"/>
                <w:color w:val="000000"/>
                <w:sz w:val="18"/>
                <w:szCs w:val="18"/>
              </w:rPr>
              <w:t>Нет</w:t>
            </w:r>
          </w:p>
        </w:tc>
        <w:tc>
          <w:tcPr>
            <w:tcW w:w="1862" w:type="dxa"/>
            <w:tcBorders>
              <w:top w:val="single" w:sz="4" w:space="0" w:color="auto"/>
              <w:left w:val="single" w:sz="4" w:space="0" w:color="auto"/>
              <w:bottom w:val="single" w:sz="4" w:space="0" w:color="auto"/>
              <w:right w:val="single" w:sz="4" w:space="0" w:color="auto"/>
            </w:tcBorders>
            <w:shd w:val="clear" w:color="auto" w:fill="auto"/>
            <w:vAlign w:val="center"/>
          </w:tcPr>
          <w:p w14:paraId="4D3517B6" w14:textId="77777777" w:rsidR="00E24C7A" w:rsidRPr="00E24C7A" w:rsidRDefault="00E24C7A" w:rsidP="00A43635">
            <w:pPr>
              <w:contextualSpacing/>
              <w:jc w:val="center"/>
              <w:rPr>
                <w:rFonts w:ascii="Arial" w:hAnsi="Arial" w:cs="Arial"/>
                <w:color w:val="000000"/>
                <w:sz w:val="18"/>
                <w:szCs w:val="18"/>
              </w:rPr>
            </w:pPr>
            <w:r w:rsidRPr="00E24C7A">
              <w:rPr>
                <w:rFonts w:ascii="Arial" w:hAnsi="Arial" w:cs="Arial"/>
                <w:color w:val="000000"/>
                <w:sz w:val="18"/>
                <w:szCs w:val="18"/>
              </w:rPr>
              <w:t>1.3.6.1.4.1.18545.1.2.1.1</w:t>
            </w:r>
          </w:p>
        </w:tc>
        <w:tc>
          <w:tcPr>
            <w:tcW w:w="1046" w:type="dxa"/>
            <w:tcBorders>
              <w:top w:val="single" w:sz="4" w:space="0" w:color="auto"/>
              <w:left w:val="single" w:sz="4" w:space="0" w:color="auto"/>
              <w:bottom w:val="single" w:sz="4" w:space="0" w:color="auto"/>
              <w:right w:val="single" w:sz="4" w:space="0" w:color="auto"/>
            </w:tcBorders>
            <w:shd w:val="clear" w:color="auto" w:fill="auto"/>
            <w:vAlign w:val="center"/>
          </w:tcPr>
          <w:p w14:paraId="08DB7F4E" w14:textId="77777777" w:rsidR="00E24C7A" w:rsidRPr="00E24C7A" w:rsidRDefault="00E24C7A" w:rsidP="00A43635">
            <w:pPr>
              <w:contextualSpacing/>
              <w:jc w:val="center"/>
              <w:rPr>
                <w:rFonts w:ascii="Arial" w:hAnsi="Arial" w:cs="Arial"/>
                <w:color w:val="000000"/>
                <w:sz w:val="18"/>
                <w:szCs w:val="18"/>
              </w:rPr>
            </w:pPr>
            <w:r w:rsidRPr="00E24C7A">
              <w:rPr>
                <w:rFonts w:ascii="Arial" w:hAnsi="Arial" w:cs="Arial"/>
                <w:color w:val="000000"/>
                <w:sz w:val="18"/>
                <w:szCs w:val="18"/>
              </w:rPr>
              <w:t>Adobe Reader</w:t>
            </w:r>
          </w:p>
        </w:tc>
        <w:tc>
          <w:tcPr>
            <w:tcW w:w="773" w:type="dxa"/>
            <w:tcBorders>
              <w:top w:val="single" w:sz="4" w:space="0" w:color="auto"/>
              <w:left w:val="single" w:sz="4" w:space="0" w:color="auto"/>
              <w:bottom w:val="single" w:sz="4" w:space="0" w:color="auto"/>
              <w:right w:val="single" w:sz="4" w:space="0" w:color="auto"/>
            </w:tcBorders>
            <w:shd w:val="clear" w:color="auto" w:fill="auto"/>
            <w:vAlign w:val="center"/>
          </w:tcPr>
          <w:p w14:paraId="67AF932C" w14:textId="77777777" w:rsidR="00E24C7A" w:rsidRPr="00E24C7A" w:rsidRDefault="00E24C7A" w:rsidP="00A43635">
            <w:pPr>
              <w:contextualSpacing/>
              <w:jc w:val="center"/>
              <w:rPr>
                <w:rFonts w:ascii="Arial" w:hAnsi="Arial" w:cs="Arial"/>
                <w:color w:val="000000"/>
                <w:sz w:val="18"/>
                <w:szCs w:val="18"/>
              </w:rPr>
            </w:pPr>
            <w:r w:rsidRPr="00E24C7A">
              <w:rPr>
                <w:rFonts w:ascii="Arial" w:hAnsi="Arial" w:cs="Arial"/>
                <w:color w:val="000000"/>
                <w:sz w:val="18"/>
                <w:szCs w:val="18"/>
              </w:rPr>
              <w:t>постоянно</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55ADF5E5" w14:textId="77777777" w:rsidR="00E24C7A" w:rsidRPr="00E24C7A" w:rsidRDefault="00E24C7A" w:rsidP="00A43635">
            <w:pPr>
              <w:contextualSpacing/>
              <w:jc w:val="center"/>
              <w:rPr>
                <w:rFonts w:ascii="Arial" w:hAnsi="Arial" w:cs="Arial"/>
                <w:color w:val="000000"/>
                <w:sz w:val="18"/>
                <w:szCs w:val="18"/>
              </w:rPr>
            </w:pPr>
          </w:p>
        </w:tc>
      </w:tr>
      <w:tr w:rsidR="00E24C7A" w:rsidRPr="00911253" w14:paraId="2782CC8E" w14:textId="77777777" w:rsidTr="00E24C7A">
        <w:trPr>
          <w:trHeight w:val="815"/>
        </w:trPr>
        <w:tc>
          <w:tcPr>
            <w:tcW w:w="1083" w:type="dxa"/>
            <w:tcBorders>
              <w:top w:val="single" w:sz="4" w:space="0" w:color="auto"/>
              <w:left w:val="single" w:sz="4" w:space="0" w:color="auto"/>
              <w:bottom w:val="single" w:sz="4" w:space="0" w:color="auto"/>
              <w:right w:val="single" w:sz="4" w:space="0" w:color="auto"/>
            </w:tcBorders>
            <w:shd w:val="clear" w:color="auto" w:fill="auto"/>
            <w:vAlign w:val="center"/>
          </w:tcPr>
          <w:p w14:paraId="7B8D0F1E" w14:textId="77777777" w:rsidR="00E24C7A" w:rsidRPr="00E24C7A" w:rsidRDefault="00E24C7A" w:rsidP="00A43635">
            <w:pPr>
              <w:contextualSpacing/>
              <w:jc w:val="center"/>
              <w:rPr>
                <w:rFonts w:ascii="Arial" w:hAnsi="Arial" w:cs="Arial"/>
                <w:color w:val="000000"/>
                <w:sz w:val="18"/>
                <w:szCs w:val="18"/>
                <w:lang w:val="en-US"/>
              </w:rPr>
            </w:pPr>
            <w:r w:rsidRPr="00E24C7A">
              <w:rPr>
                <w:rFonts w:ascii="Arial" w:hAnsi="Arial" w:cs="Arial"/>
                <w:color w:val="000000"/>
                <w:sz w:val="18"/>
                <w:szCs w:val="18"/>
                <w:lang w:val="en-US"/>
              </w:rPr>
              <w:t>PART_ATS_SHEMA_ELECTRO_OREG_MED</w:t>
            </w:r>
          </w:p>
        </w:tc>
        <w:tc>
          <w:tcPr>
            <w:tcW w:w="1673" w:type="dxa"/>
            <w:tcBorders>
              <w:top w:val="single" w:sz="4" w:space="0" w:color="auto"/>
              <w:left w:val="single" w:sz="4" w:space="0" w:color="auto"/>
              <w:bottom w:val="single" w:sz="4" w:space="0" w:color="auto"/>
              <w:right w:val="single" w:sz="4" w:space="0" w:color="auto"/>
            </w:tcBorders>
            <w:shd w:val="clear" w:color="auto" w:fill="auto"/>
            <w:vAlign w:val="center"/>
          </w:tcPr>
          <w:p w14:paraId="6D89DE64" w14:textId="77777777" w:rsidR="00E24C7A" w:rsidRPr="00E24C7A" w:rsidRDefault="00E24C7A" w:rsidP="00A43635">
            <w:pPr>
              <w:contextualSpacing/>
              <w:jc w:val="center"/>
              <w:rPr>
                <w:rFonts w:ascii="Arial" w:hAnsi="Arial" w:cs="Arial"/>
                <w:color w:val="000000"/>
                <w:sz w:val="18"/>
                <w:szCs w:val="18"/>
              </w:rPr>
            </w:pPr>
            <w:r w:rsidRPr="00E24C7A">
              <w:rPr>
                <w:rFonts w:ascii="Arial" w:hAnsi="Arial" w:cs="Arial"/>
                <w:color w:val="000000"/>
                <w:sz w:val="18"/>
                <w:szCs w:val="18"/>
              </w:rPr>
              <w:t>Графическая копия вариантов схем электроснабжения</w:t>
            </w:r>
          </w:p>
        </w:tc>
        <w:tc>
          <w:tcPr>
            <w:tcW w:w="1898" w:type="dxa"/>
            <w:tcBorders>
              <w:top w:val="single" w:sz="4" w:space="0" w:color="auto"/>
              <w:left w:val="single" w:sz="4" w:space="0" w:color="auto"/>
              <w:bottom w:val="single" w:sz="4" w:space="0" w:color="auto"/>
              <w:right w:val="single" w:sz="4" w:space="0" w:color="auto"/>
            </w:tcBorders>
            <w:shd w:val="clear" w:color="auto" w:fill="auto"/>
            <w:vAlign w:val="center"/>
          </w:tcPr>
          <w:p w14:paraId="5D25A321" w14:textId="77777777" w:rsidR="00E24C7A" w:rsidRPr="00E24C7A" w:rsidRDefault="00E24C7A" w:rsidP="00A43635">
            <w:pPr>
              <w:contextualSpacing/>
              <w:jc w:val="center"/>
              <w:rPr>
                <w:rFonts w:ascii="Arial" w:hAnsi="Arial" w:cs="Arial"/>
                <w:color w:val="000000"/>
                <w:sz w:val="18"/>
                <w:szCs w:val="18"/>
              </w:rPr>
            </w:pPr>
            <w:r w:rsidRPr="00E24C7A">
              <w:rPr>
                <w:rFonts w:ascii="Arial" w:hAnsi="Arial" w:cs="Arial"/>
                <w:color w:val="000000"/>
                <w:sz w:val="18"/>
                <w:szCs w:val="18"/>
              </w:rPr>
              <w:t>Положение о порядке получения статуса субъекта оптового рынка, п. 2.1 приложения 9</w:t>
            </w:r>
          </w:p>
        </w:tc>
        <w:tc>
          <w:tcPr>
            <w:tcW w:w="1115" w:type="dxa"/>
            <w:tcBorders>
              <w:top w:val="single" w:sz="4" w:space="0" w:color="auto"/>
              <w:left w:val="single" w:sz="4" w:space="0" w:color="auto"/>
              <w:bottom w:val="single" w:sz="4" w:space="0" w:color="auto"/>
              <w:right w:val="single" w:sz="4" w:space="0" w:color="auto"/>
            </w:tcBorders>
            <w:shd w:val="clear" w:color="auto" w:fill="auto"/>
            <w:vAlign w:val="center"/>
          </w:tcPr>
          <w:p w14:paraId="07F00C1F" w14:textId="77777777" w:rsidR="00E24C7A" w:rsidRPr="00E24C7A" w:rsidRDefault="00E24C7A" w:rsidP="00A43635">
            <w:pPr>
              <w:contextualSpacing/>
              <w:jc w:val="center"/>
              <w:rPr>
                <w:rFonts w:ascii="Arial" w:hAnsi="Arial" w:cs="Arial"/>
                <w:color w:val="000000"/>
                <w:sz w:val="18"/>
                <w:szCs w:val="18"/>
              </w:rPr>
            </w:pPr>
            <w:r w:rsidRPr="00E24C7A">
              <w:rPr>
                <w:rFonts w:ascii="Arial" w:hAnsi="Arial" w:cs="Arial"/>
                <w:color w:val="000000"/>
                <w:sz w:val="18"/>
                <w:szCs w:val="18"/>
              </w:rPr>
              <w:t>pdf</w:t>
            </w:r>
          </w:p>
        </w:tc>
        <w:tc>
          <w:tcPr>
            <w:tcW w:w="922" w:type="dxa"/>
            <w:tcBorders>
              <w:top w:val="single" w:sz="4" w:space="0" w:color="auto"/>
              <w:left w:val="single" w:sz="4" w:space="0" w:color="auto"/>
              <w:bottom w:val="single" w:sz="4" w:space="0" w:color="auto"/>
              <w:right w:val="single" w:sz="4" w:space="0" w:color="auto"/>
            </w:tcBorders>
            <w:shd w:val="clear" w:color="auto" w:fill="auto"/>
            <w:vAlign w:val="center"/>
          </w:tcPr>
          <w:p w14:paraId="1F0DC0A7" w14:textId="77777777" w:rsidR="00E24C7A" w:rsidRPr="00E24C7A" w:rsidRDefault="00E24C7A" w:rsidP="00A43635">
            <w:pPr>
              <w:contextualSpacing/>
              <w:jc w:val="center"/>
              <w:rPr>
                <w:rFonts w:ascii="Arial" w:hAnsi="Arial" w:cs="Arial"/>
                <w:color w:val="000000"/>
                <w:sz w:val="18"/>
                <w:szCs w:val="18"/>
              </w:rPr>
            </w:pPr>
            <w:r w:rsidRPr="00E24C7A">
              <w:rPr>
                <w:rFonts w:ascii="Arial" w:hAnsi="Arial" w:cs="Arial"/>
                <w:color w:val="000000"/>
                <w:sz w:val="18"/>
                <w:szCs w:val="18"/>
              </w:rPr>
              <w:t>Агрегатор</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DA493C4" w14:textId="77777777" w:rsidR="00E24C7A" w:rsidRPr="00E24C7A" w:rsidRDefault="00E24C7A" w:rsidP="00A43635">
            <w:pPr>
              <w:contextualSpacing/>
              <w:jc w:val="center"/>
              <w:rPr>
                <w:rFonts w:ascii="Arial" w:hAnsi="Arial" w:cs="Arial"/>
                <w:color w:val="000000"/>
                <w:sz w:val="18"/>
                <w:szCs w:val="18"/>
              </w:rPr>
            </w:pPr>
            <w:r w:rsidRPr="00E24C7A">
              <w:rPr>
                <w:rFonts w:ascii="Arial" w:hAnsi="Arial" w:cs="Arial"/>
                <w:color w:val="000000"/>
                <w:sz w:val="18"/>
                <w:szCs w:val="18"/>
              </w:rPr>
              <w:t>АТС</w:t>
            </w:r>
          </w:p>
        </w:tc>
        <w:tc>
          <w:tcPr>
            <w:tcW w:w="1027" w:type="dxa"/>
            <w:tcBorders>
              <w:top w:val="single" w:sz="4" w:space="0" w:color="auto"/>
              <w:left w:val="single" w:sz="4" w:space="0" w:color="auto"/>
              <w:bottom w:val="single" w:sz="4" w:space="0" w:color="auto"/>
              <w:right w:val="single" w:sz="4" w:space="0" w:color="auto"/>
            </w:tcBorders>
            <w:shd w:val="clear" w:color="auto" w:fill="auto"/>
            <w:vAlign w:val="center"/>
          </w:tcPr>
          <w:p w14:paraId="5DC5C2E2" w14:textId="77777777" w:rsidR="00E24C7A" w:rsidRPr="00E24C7A" w:rsidRDefault="00E24C7A" w:rsidP="00A43635">
            <w:pPr>
              <w:contextualSpacing/>
              <w:jc w:val="center"/>
              <w:rPr>
                <w:rFonts w:ascii="Arial" w:hAnsi="Arial" w:cs="Arial"/>
                <w:color w:val="000000"/>
                <w:sz w:val="18"/>
                <w:szCs w:val="18"/>
              </w:rPr>
            </w:pPr>
            <w:r w:rsidRPr="00E24C7A">
              <w:rPr>
                <w:rFonts w:ascii="Arial" w:hAnsi="Arial" w:cs="Arial"/>
                <w:color w:val="000000"/>
                <w:sz w:val="18"/>
                <w:szCs w:val="18"/>
              </w:rPr>
              <w:t>Материальный носитель</w:t>
            </w:r>
          </w:p>
        </w:tc>
        <w:tc>
          <w:tcPr>
            <w:tcW w:w="1201" w:type="dxa"/>
            <w:tcBorders>
              <w:top w:val="single" w:sz="4" w:space="0" w:color="auto"/>
              <w:left w:val="single" w:sz="4" w:space="0" w:color="auto"/>
              <w:bottom w:val="single" w:sz="4" w:space="0" w:color="auto"/>
              <w:right w:val="single" w:sz="4" w:space="0" w:color="auto"/>
            </w:tcBorders>
            <w:shd w:val="clear" w:color="auto" w:fill="auto"/>
            <w:vAlign w:val="center"/>
          </w:tcPr>
          <w:p w14:paraId="06D23B89" w14:textId="77777777" w:rsidR="00E24C7A" w:rsidRPr="00E24C7A" w:rsidRDefault="00E24C7A" w:rsidP="00A43635">
            <w:pPr>
              <w:contextualSpacing/>
              <w:jc w:val="center"/>
              <w:rPr>
                <w:rFonts w:ascii="Arial" w:hAnsi="Arial" w:cs="Arial"/>
                <w:color w:val="000000"/>
                <w:sz w:val="18"/>
                <w:szCs w:val="18"/>
              </w:rPr>
            </w:pPr>
            <w:r w:rsidRPr="00E24C7A">
              <w:rPr>
                <w:rFonts w:ascii="Arial" w:hAnsi="Arial" w:cs="Arial"/>
                <w:color w:val="000000"/>
                <w:sz w:val="18"/>
                <w:szCs w:val="18"/>
              </w:rPr>
              <w:t>Нет</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4A42ABAB" w14:textId="77777777" w:rsidR="00E24C7A" w:rsidRPr="00E24C7A" w:rsidRDefault="00E24C7A" w:rsidP="00A43635">
            <w:pPr>
              <w:contextualSpacing/>
              <w:jc w:val="center"/>
              <w:rPr>
                <w:rFonts w:ascii="Arial" w:hAnsi="Arial" w:cs="Arial"/>
                <w:color w:val="000000"/>
                <w:sz w:val="18"/>
                <w:szCs w:val="18"/>
              </w:rPr>
            </w:pPr>
            <w:r w:rsidRPr="00E24C7A">
              <w:rPr>
                <w:rFonts w:ascii="Arial" w:hAnsi="Arial" w:cs="Arial"/>
                <w:color w:val="000000"/>
                <w:sz w:val="18"/>
                <w:szCs w:val="18"/>
              </w:rPr>
              <w:t>Нет</w:t>
            </w:r>
          </w:p>
        </w:tc>
        <w:tc>
          <w:tcPr>
            <w:tcW w:w="1862" w:type="dxa"/>
            <w:tcBorders>
              <w:top w:val="single" w:sz="4" w:space="0" w:color="auto"/>
              <w:left w:val="single" w:sz="4" w:space="0" w:color="auto"/>
              <w:bottom w:val="single" w:sz="4" w:space="0" w:color="auto"/>
              <w:right w:val="single" w:sz="4" w:space="0" w:color="auto"/>
            </w:tcBorders>
            <w:shd w:val="clear" w:color="auto" w:fill="auto"/>
            <w:vAlign w:val="center"/>
          </w:tcPr>
          <w:p w14:paraId="7AC0A219" w14:textId="77777777" w:rsidR="00E24C7A" w:rsidRPr="00E24C7A" w:rsidRDefault="00E24C7A" w:rsidP="00A43635">
            <w:pPr>
              <w:contextualSpacing/>
              <w:jc w:val="center"/>
              <w:rPr>
                <w:rFonts w:ascii="Arial" w:hAnsi="Arial" w:cs="Arial"/>
                <w:color w:val="000000"/>
                <w:sz w:val="18"/>
                <w:szCs w:val="18"/>
              </w:rPr>
            </w:pPr>
            <w:r w:rsidRPr="00E24C7A">
              <w:rPr>
                <w:rFonts w:ascii="Arial" w:hAnsi="Arial" w:cs="Arial"/>
                <w:color w:val="000000"/>
                <w:sz w:val="18"/>
                <w:szCs w:val="18"/>
              </w:rPr>
              <w:t>1.3.6.1.4.1.18545.1.2.1.1</w:t>
            </w:r>
          </w:p>
        </w:tc>
        <w:tc>
          <w:tcPr>
            <w:tcW w:w="1046" w:type="dxa"/>
            <w:tcBorders>
              <w:top w:val="single" w:sz="4" w:space="0" w:color="auto"/>
              <w:left w:val="single" w:sz="4" w:space="0" w:color="auto"/>
              <w:bottom w:val="single" w:sz="4" w:space="0" w:color="auto"/>
              <w:right w:val="single" w:sz="4" w:space="0" w:color="auto"/>
            </w:tcBorders>
            <w:shd w:val="clear" w:color="auto" w:fill="auto"/>
            <w:vAlign w:val="center"/>
          </w:tcPr>
          <w:p w14:paraId="4B179743" w14:textId="77777777" w:rsidR="00E24C7A" w:rsidRPr="00E24C7A" w:rsidRDefault="00E24C7A" w:rsidP="00A43635">
            <w:pPr>
              <w:contextualSpacing/>
              <w:jc w:val="center"/>
              <w:rPr>
                <w:rFonts w:ascii="Arial" w:hAnsi="Arial" w:cs="Arial"/>
                <w:color w:val="000000"/>
                <w:sz w:val="18"/>
                <w:szCs w:val="18"/>
              </w:rPr>
            </w:pPr>
            <w:r w:rsidRPr="00E24C7A">
              <w:rPr>
                <w:rFonts w:ascii="Arial" w:hAnsi="Arial" w:cs="Arial"/>
                <w:color w:val="000000"/>
                <w:sz w:val="18"/>
                <w:szCs w:val="18"/>
              </w:rPr>
              <w:t>Adobe Reader</w:t>
            </w:r>
          </w:p>
        </w:tc>
        <w:tc>
          <w:tcPr>
            <w:tcW w:w="773" w:type="dxa"/>
            <w:tcBorders>
              <w:top w:val="single" w:sz="4" w:space="0" w:color="auto"/>
              <w:left w:val="single" w:sz="4" w:space="0" w:color="auto"/>
              <w:bottom w:val="single" w:sz="4" w:space="0" w:color="auto"/>
              <w:right w:val="single" w:sz="4" w:space="0" w:color="auto"/>
            </w:tcBorders>
            <w:shd w:val="clear" w:color="auto" w:fill="auto"/>
            <w:vAlign w:val="center"/>
          </w:tcPr>
          <w:p w14:paraId="6312BAAE" w14:textId="77777777" w:rsidR="00E24C7A" w:rsidRPr="00E24C7A" w:rsidRDefault="00E24C7A" w:rsidP="00A43635">
            <w:pPr>
              <w:contextualSpacing/>
              <w:jc w:val="center"/>
              <w:rPr>
                <w:rFonts w:ascii="Arial" w:hAnsi="Arial" w:cs="Arial"/>
                <w:color w:val="000000"/>
                <w:sz w:val="18"/>
                <w:szCs w:val="18"/>
              </w:rPr>
            </w:pPr>
            <w:r w:rsidRPr="00E24C7A">
              <w:rPr>
                <w:rFonts w:ascii="Arial" w:hAnsi="Arial" w:cs="Arial"/>
                <w:color w:val="000000"/>
                <w:sz w:val="18"/>
                <w:szCs w:val="18"/>
              </w:rPr>
              <w:t>постоянно</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6090A124" w14:textId="77777777" w:rsidR="00E24C7A" w:rsidRPr="00E24C7A" w:rsidRDefault="00E24C7A" w:rsidP="00A43635">
            <w:pPr>
              <w:contextualSpacing/>
              <w:jc w:val="center"/>
              <w:rPr>
                <w:rFonts w:ascii="Arial" w:hAnsi="Arial" w:cs="Arial"/>
                <w:color w:val="000000"/>
                <w:sz w:val="18"/>
                <w:szCs w:val="18"/>
              </w:rPr>
            </w:pPr>
          </w:p>
        </w:tc>
      </w:tr>
      <w:tr w:rsidR="00E24C7A" w:rsidRPr="00911253" w14:paraId="317AEA81" w14:textId="77777777" w:rsidTr="00E24C7A">
        <w:trPr>
          <w:trHeight w:val="815"/>
        </w:trPr>
        <w:tc>
          <w:tcPr>
            <w:tcW w:w="1083" w:type="dxa"/>
            <w:tcBorders>
              <w:top w:val="single" w:sz="4" w:space="0" w:color="auto"/>
              <w:left w:val="single" w:sz="4" w:space="0" w:color="auto"/>
              <w:bottom w:val="single" w:sz="4" w:space="0" w:color="auto"/>
              <w:right w:val="single" w:sz="4" w:space="0" w:color="auto"/>
            </w:tcBorders>
            <w:shd w:val="clear" w:color="auto" w:fill="auto"/>
            <w:vAlign w:val="center"/>
          </w:tcPr>
          <w:p w14:paraId="5FEE1B55" w14:textId="77777777" w:rsidR="00E24C7A" w:rsidRPr="00E24C7A" w:rsidRDefault="00E24C7A" w:rsidP="00A43635">
            <w:pPr>
              <w:contextualSpacing/>
              <w:jc w:val="center"/>
              <w:rPr>
                <w:rFonts w:ascii="Arial" w:hAnsi="Arial" w:cs="Arial"/>
                <w:color w:val="000000"/>
                <w:sz w:val="18"/>
                <w:szCs w:val="18"/>
                <w:lang w:val="en-US"/>
              </w:rPr>
            </w:pPr>
            <w:r w:rsidRPr="00E24C7A">
              <w:rPr>
                <w:rFonts w:ascii="Arial" w:hAnsi="Arial" w:cs="Arial"/>
                <w:color w:val="000000"/>
                <w:sz w:val="18"/>
                <w:szCs w:val="18"/>
                <w:lang w:val="en-US"/>
              </w:rPr>
              <w:t>PART_ATS_SHEMA_ELECTRO_OREG_ WEB</w:t>
            </w:r>
          </w:p>
        </w:tc>
        <w:tc>
          <w:tcPr>
            <w:tcW w:w="1673" w:type="dxa"/>
            <w:tcBorders>
              <w:top w:val="single" w:sz="4" w:space="0" w:color="auto"/>
              <w:left w:val="single" w:sz="4" w:space="0" w:color="auto"/>
              <w:bottom w:val="single" w:sz="4" w:space="0" w:color="auto"/>
              <w:right w:val="single" w:sz="4" w:space="0" w:color="auto"/>
            </w:tcBorders>
            <w:shd w:val="clear" w:color="auto" w:fill="auto"/>
            <w:vAlign w:val="center"/>
          </w:tcPr>
          <w:p w14:paraId="4C9B6B1D" w14:textId="77777777" w:rsidR="00E24C7A" w:rsidRPr="00E24C7A" w:rsidRDefault="00E24C7A" w:rsidP="00A43635">
            <w:pPr>
              <w:contextualSpacing/>
              <w:jc w:val="center"/>
              <w:rPr>
                <w:rFonts w:ascii="Arial" w:hAnsi="Arial" w:cs="Arial"/>
                <w:color w:val="000000"/>
                <w:sz w:val="18"/>
                <w:szCs w:val="18"/>
              </w:rPr>
            </w:pPr>
            <w:r w:rsidRPr="00E24C7A">
              <w:rPr>
                <w:rFonts w:ascii="Arial" w:hAnsi="Arial" w:cs="Arial"/>
                <w:color w:val="000000"/>
                <w:sz w:val="18"/>
                <w:szCs w:val="18"/>
              </w:rPr>
              <w:t>Графическая копия вариантов схем электроснабжения</w:t>
            </w:r>
          </w:p>
        </w:tc>
        <w:tc>
          <w:tcPr>
            <w:tcW w:w="1898" w:type="dxa"/>
            <w:tcBorders>
              <w:top w:val="single" w:sz="4" w:space="0" w:color="auto"/>
              <w:left w:val="single" w:sz="4" w:space="0" w:color="auto"/>
              <w:bottom w:val="single" w:sz="4" w:space="0" w:color="auto"/>
              <w:right w:val="single" w:sz="4" w:space="0" w:color="auto"/>
            </w:tcBorders>
            <w:shd w:val="clear" w:color="auto" w:fill="auto"/>
            <w:vAlign w:val="center"/>
          </w:tcPr>
          <w:p w14:paraId="01690C35" w14:textId="77777777" w:rsidR="00E24C7A" w:rsidRPr="00E24C7A" w:rsidRDefault="00E24C7A" w:rsidP="00A43635">
            <w:pPr>
              <w:contextualSpacing/>
              <w:jc w:val="center"/>
              <w:rPr>
                <w:rFonts w:ascii="Arial" w:hAnsi="Arial" w:cs="Arial"/>
                <w:color w:val="000000"/>
                <w:sz w:val="18"/>
                <w:szCs w:val="18"/>
              </w:rPr>
            </w:pPr>
            <w:r w:rsidRPr="00E24C7A">
              <w:rPr>
                <w:rFonts w:ascii="Arial" w:hAnsi="Arial" w:cs="Arial"/>
                <w:color w:val="000000"/>
                <w:sz w:val="18"/>
                <w:szCs w:val="18"/>
              </w:rPr>
              <w:t>Положение о порядке получения статуса субъекта оптового рынка, п. 2.1 приложения 9</w:t>
            </w:r>
          </w:p>
        </w:tc>
        <w:tc>
          <w:tcPr>
            <w:tcW w:w="1115" w:type="dxa"/>
            <w:tcBorders>
              <w:top w:val="single" w:sz="4" w:space="0" w:color="auto"/>
              <w:left w:val="single" w:sz="4" w:space="0" w:color="auto"/>
              <w:bottom w:val="single" w:sz="4" w:space="0" w:color="auto"/>
              <w:right w:val="single" w:sz="4" w:space="0" w:color="auto"/>
            </w:tcBorders>
            <w:shd w:val="clear" w:color="auto" w:fill="auto"/>
            <w:vAlign w:val="center"/>
          </w:tcPr>
          <w:p w14:paraId="36060A79" w14:textId="77777777" w:rsidR="00E24C7A" w:rsidRPr="00E24C7A" w:rsidRDefault="00E24C7A" w:rsidP="00A43635">
            <w:pPr>
              <w:contextualSpacing/>
              <w:jc w:val="center"/>
              <w:rPr>
                <w:rFonts w:ascii="Arial" w:hAnsi="Arial" w:cs="Arial"/>
                <w:color w:val="000000"/>
                <w:sz w:val="18"/>
                <w:szCs w:val="18"/>
              </w:rPr>
            </w:pPr>
            <w:r w:rsidRPr="00E24C7A">
              <w:rPr>
                <w:rFonts w:ascii="Arial" w:hAnsi="Arial" w:cs="Arial"/>
                <w:color w:val="000000"/>
                <w:sz w:val="18"/>
                <w:szCs w:val="18"/>
              </w:rPr>
              <w:t>pdf</w:t>
            </w:r>
          </w:p>
        </w:tc>
        <w:tc>
          <w:tcPr>
            <w:tcW w:w="922" w:type="dxa"/>
            <w:tcBorders>
              <w:top w:val="single" w:sz="4" w:space="0" w:color="auto"/>
              <w:left w:val="single" w:sz="4" w:space="0" w:color="auto"/>
              <w:bottom w:val="single" w:sz="4" w:space="0" w:color="auto"/>
              <w:right w:val="single" w:sz="4" w:space="0" w:color="auto"/>
            </w:tcBorders>
            <w:shd w:val="clear" w:color="auto" w:fill="auto"/>
            <w:vAlign w:val="center"/>
          </w:tcPr>
          <w:p w14:paraId="20CC86CC" w14:textId="77777777" w:rsidR="00E24C7A" w:rsidRPr="00E24C7A" w:rsidRDefault="00E24C7A" w:rsidP="00A43635">
            <w:pPr>
              <w:contextualSpacing/>
              <w:jc w:val="center"/>
              <w:rPr>
                <w:rFonts w:ascii="Arial" w:hAnsi="Arial" w:cs="Arial"/>
                <w:color w:val="000000"/>
                <w:sz w:val="18"/>
                <w:szCs w:val="18"/>
              </w:rPr>
            </w:pPr>
            <w:r w:rsidRPr="00E24C7A">
              <w:rPr>
                <w:rFonts w:ascii="Arial" w:hAnsi="Arial" w:cs="Arial"/>
                <w:color w:val="000000"/>
                <w:sz w:val="18"/>
                <w:szCs w:val="18"/>
              </w:rPr>
              <w:t>Агрегатор</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15BFFF2" w14:textId="77777777" w:rsidR="00E24C7A" w:rsidRPr="00E24C7A" w:rsidRDefault="00E24C7A" w:rsidP="00A43635">
            <w:pPr>
              <w:contextualSpacing/>
              <w:jc w:val="center"/>
              <w:rPr>
                <w:rFonts w:ascii="Arial" w:hAnsi="Arial" w:cs="Arial"/>
                <w:color w:val="000000"/>
                <w:sz w:val="18"/>
                <w:szCs w:val="18"/>
              </w:rPr>
            </w:pPr>
            <w:r w:rsidRPr="00E24C7A">
              <w:rPr>
                <w:rFonts w:ascii="Arial" w:hAnsi="Arial" w:cs="Arial"/>
                <w:color w:val="000000"/>
                <w:sz w:val="18"/>
                <w:szCs w:val="18"/>
              </w:rPr>
              <w:t>АТС</w:t>
            </w:r>
          </w:p>
        </w:tc>
        <w:tc>
          <w:tcPr>
            <w:tcW w:w="1027" w:type="dxa"/>
            <w:tcBorders>
              <w:top w:val="single" w:sz="4" w:space="0" w:color="auto"/>
              <w:left w:val="single" w:sz="4" w:space="0" w:color="auto"/>
              <w:bottom w:val="single" w:sz="4" w:space="0" w:color="auto"/>
              <w:right w:val="single" w:sz="4" w:space="0" w:color="auto"/>
            </w:tcBorders>
            <w:shd w:val="clear" w:color="auto" w:fill="auto"/>
            <w:vAlign w:val="center"/>
          </w:tcPr>
          <w:p w14:paraId="2176DDD4" w14:textId="77777777" w:rsidR="00E24C7A" w:rsidRPr="00E24C7A" w:rsidRDefault="00E24C7A" w:rsidP="00A43635">
            <w:pPr>
              <w:contextualSpacing/>
              <w:jc w:val="center"/>
              <w:rPr>
                <w:rFonts w:ascii="Arial" w:hAnsi="Arial" w:cs="Arial"/>
                <w:color w:val="000000"/>
                <w:sz w:val="18"/>
                <w:szCs w:val="18"/>
              </w:rPr>
            </w:pPr>
            <w:r w:rsidRPr="00E24C7A">
              <w:rPr>
                <w:rFonts w:ascii="Arial" w:hAnsi="Arial" w:cs="Arial"/>
                <w:color w:val="000000"/>
                <w:sz w:val="18"/>
                <w:szCs w:val="18"/>
              </w:rPr>
              <w:t>WEB-интерфейс</w:t>
            </w:r>
          </w:p>
        </w:tc>
        <w:tc>
          <w:tcPr>
            <w:tcW w:w="1201" w:type="dxa"/>
            <w:tcBorders>
              <w:top w:val="single" w:sz="4" w:space="0" w:color="auto"/>
              <w:left w:val="single" w:sz="4" w:space="0" w:color="auto"/>
              <w:bottom w:val="single" w:sz="4" w:space="0" w:color="auto"/>
              <w:right w:val="single" w:sz="4" w:space="0" w:color="auto"/>
            </w:tcBorders>
            <w:shd w:val="clear" w:color="auto" w:fill="auto"/>
            <w:vAlign w:val="center"/>
          </w:tcPr>
          <w:p w14:paraId="6828CB9B" w14:textId="77777777" w:rsidR="00E24C7A" w:rsidRPr="00E24C7A" w:rsidRDefault="00E24C7A" w:rsidP="00A43635">
            <w:pPr>
              <w:contextualSpacing/>
              <w:jc w:val="center"/>
              <w:rPr>
                <w:rFonts w:ascii="Arial" w:hAnsi="Arial" w:cs="Arial"/>
                <w:color w:val="000000"/>
                <w:sz w:val="18"/>
                <w:szCs w:val="18"/>
              </w:rPr>
            </w:pPr>
            <w:r w:rsidRPr="00E24C7A">
              <w:rPr>
                <w:rFonts w:ascii="Arial" w:hAnsi="Arial" w:cs="Arial"/>
                <w:color w:val="000000"/>
                <w:sz w:val="18"/>
                <w:szCs w:val="18"/>
              </w:rPr>
              <w:t>Нет</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0017DEFE" w14:textId="77777777" w:rsidR="00E24C7A" w:rsidRPr="00E24C7A" w:rsidRDefault="00E24C7A" w:rsidP="00A43635">
            <w:pPr>
              <w:contextualSpacing/>
              <w:jc w:val="center"/>
              <w:rPr>
                <w:rFonts w:ascii="Arial" w:hAnsi="Arial" w:cs="Arial"/>
                <w:color w:val="000000"/>
                <w:sz w:val="18"/>
                <w:szCs w:val="18"/>
              </w:rPr>
            </w:pPr>
            <w:r w:rsidRPr="00E24C7A">
              <w:rPr>
                <w:rFonts w:ascii="Arial" w:hAnsi="Arial" w:cs="Arial"/>
                <w:color w:val="000000"/>
                <w:sz w:val="18"/>
                <w:szCs w:val="18"/>
              </w:rPr>
              <w:t>Нет</w:t>
            </w:r>
          </w:p>
        </w:tc>
        <w:tc>
          <w:tcPr>
            <w:tcW w:w="1862" w:type="dxa"/>
            <w:tcBorders>
              <w:top w:val="single" w:sz="4" w:space="0" w:color="auto"/>
              <w:left w:val="single" w:sz="4" w:space="0" w:color="auto"/>
              <w:bottom w:val="single" w:sz="4" w:space="0" w:color="auto"/>
              <w:right w:val="single" w:sz="4" w:space="0" w:color="auto"/>
            </w:tcBorders>
            <w:shd w:val="clear" w:color="auto" w:fill="auto"/>
            <w:vAlign w:val="center"/>
          </w:tcPr>
          <w:p w14:paraId="2ED2560B" w14:textId="77777777" w:rsidR="00E24C7A" w:rsidRPr="00E24C7A" w:rsidRDefault="00E24C7A" w:rsidP="00A43635">
            <w:pPr>
              <w:contextualSpacing/>
              <w:jc w:val="center"/>
              <w:rPr>
                <w:rFonts w:ascii="Arial" w:hAnsi="Arial" w:cs="Arial"/>
                <w:color w:val="000000"/>
                <w:sz w:val="18"/>
                <w:szCs w:val="18"/>
              </w:rPr>
            </w:pPr>
            <w:r w:rsidRPr="00E24C7A">
              <w:rPr>
                <w:rFonts w:ascii="Arial" w:hAnsi="Arial" w:cs="Arial"/>
                <w:color w:val="000000"/>
                <w:sz w:val="18"/>
                <w:szCs w:val="18"/>
              </w:rPr>
              <w:t>1.3.6.1.4.1.18545.1.2.1.1</w:t>
            </w:r>
          </w:p>
        </w:tc>
        <w:tc>
          <w:tcPr>
            <w:tcW w:w="1046" w:type="dxa"/>
            <w:tcBorders>
              <w:top w:val="single" w:sz="4" w:space="0" w:color="auto"/>
              <w:left w:val="single" w:sz="4" w:space="0" w:color="auto"/>
              <w:bottom w:val="single" w:sz="4" w:space="0" w:color="auto"/>
              <w:right w:val="single" w:sz="4" w:space="0" w:color="auto"/>
            </w:tcBorders>
            <w:shd w:val="clear" w:color="auto" w:fill="auto"/>
            <w:vAlign w:val="center"/>
          </w:tcPr>
          <w:p w14:paraId="563BBE6F" w14:textId="77777777" w:rsidR="00E24C7A" w:rsidRPr="00E24C7A" w:rsidRDefault="00E24C7A" w:rsidP="00A43635">
            <w:pPr>
              <w:contextualSpacing/>
              <w:jc w:val="center"/>
              <w:rPr>
                <w:rFonts w:ascii="Arial" w:hAnsi="Arial" w:cs="Arial"/>
                <w:color w:val="000000"/>
                <w:sz w:val="18"/>
                <w:szCs w:val="18"/>
              </w:rPr>
            </w:pPr>
            <w:r w:rsidRPr="00E24C7A">
              <w:rPr>
                <w:rFonts w:ascii="Arial" w:hAnsi="Arial" w:cs="Arial"/>
                <w:color w:val="000000"/>
                <w:sz w:val="18"/>
                <w:szCs w:val="18"/>
              </w:rPr>
              <w:t>Adobe Reader</w:t>
            </w:r>
          </w:p>
        </w:tc>
        <w:tc>
          <w:tcPr>
            <w:tcW w:w="773" w:type="dxa"/>
            <w:tcBorders>
              <w:top w:val="single" w:sz="4" w:space="0" w:color="auto"/>
              <w:left w:val="single" w:sz="4" w:space="0" w:color="auto"/>
              <w:bottom w:val="single" w:sz="4" w:space="0" w:color="auto"/>
              <w:right w:val="single" w:sz="4" w:space="0" w:color="auto"/>
            </w:tcBorders>
            <w:shd w:val="clear" w:color="auto" w:fill="auto"/>
            <w:vAlign w:val="center"/>
          </w:tcPr>
          <w:p w14:paraId="4D059904" w14:textId="77777777" w:rsidR="00E24C7A" w:rsidRPr="00E24C7A" w:rsidRDefault="00E24C7A" w:rsidP="00A43635">
            <w:pPr>
              <w:contextualSpacing/>
              <w:jc w:val="center"/>
              <w:rPr>
                <w:rFonts w:ascii="Arial" w:hAnsi="Arial" w:cs="Arial"/>
                <w:color w:val="000000"/>
                <w:sz w:val="18"/>
                <w:szCs w:val="18"/>
              </w:rPr>
            </w:pPr>
            <w:r w:rsidRPr="00E24C7A">
              <w:rPr>
                <w:rFonts w:ascii="Arial" w:hAnsi="Arial" w:cs="Arial"/>
                <w:color w:val="000000"/>
                <w:sz w:val="18"/>
                <w:szCs w:val="18"/>
              </w:rPr>
              <w:t>постоянно</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6ACC0F7C" w14:textId="77777777" w:rsidR="00E24C7A" w:rsidRPr="00E24C7A" w:rsidRDefault="00E24C7A" w:rsidP="00A43635">
            <w:pPr>
              <w:contextualSpacing/>
              <w:jc w:val="center"/>
              <w:rPr>
                <w:rFonts w:ascii="Arial" w:hAnsi="Arial" w:cs="Arial"/>
                <w:color w:val="000000"/>
                <w:sz w:val="18"/>
                <w:szCs w:val="18"/>
              </w:rPr>
            </w:pPr>
          </w:p>
        </w:tc>
      </w:tr>
      <w:tr w:rsidR="00E24C7A" w:rsidRPr="00647FA0" w14:paraId="5B22AB36" w14:textId="77777777" w:rsidTr="00E24C7A">
        <w:trPr>
          <w:trHeight w:val="815"/>
        </w:trPr>
        <w:tc>
          <w:tcPr>
            <w:tcW w:w="1083" w:type="dxa"/>
            <w:tcBorders>
              <w:top w:val="single" w:sz="4" w:space="0" w:color="auto"/>
              <w:left w:val="single" w:sz="4" w:space="0" w:color="auto"/>
              <w:bottom w:val="single" w:sz="4" w:space="0" w:color="auto"/>
              <w:right w:val="single" w:sz="4" w:space="0" w:color="auto"/>
            </w:tcBorders>
            <w:shd w:val="clear" w:color="auto" w:fill="auto"/>
            <w:vAlign w:val="center"/>
          </w:tcPr>
          <w:p w14:paraId="5383246A" w14:textId="77777777" w:rsidR="00E24C7A" w:rsidRPr="00647FA0" w:rsidRDefault="00E24C7A" w:rsidP="00A43635">
            <w:pPr>
              <w:contextualSpacing/>
              <w:jc w:val="center"/>
              <w:rPr>
                <w:rFonts w:ascii="Arial" w:hAnsi="Arial" w:cs="Arial"/>
                <w:color w:val="000000"/>
                <w:sz w:val="18"/>
                <w:szCs w:val="18"/>
                <w:lang w:val="en-US"/>
              </w:rPr>
            </w:pPr>
            <w:r w:rsidRPr="00647FA0">
              <w:rPr>
                <w:rFonts w:ascii="Arial" w:hAnsi="Arial" w:cs="Arial"/>
                <w:color w:val="000000"/>
                <w:sz w:val="18"/>
                <w:szCs w:val="18"/>
                <w:lang w:val="en-US"/>
              </w:rPr>
              <w:t>PART_ATS_INFOD_OREG_MED</w:t>
            </w:r>
          </w:p>
        </w:tc>
        <w:tc>
          <w:tcPr>
            <w:tcW w:w="1673" w:type="dxa"/>
            <w:tcBorders>
              <w:top w:val="single" w:sz="4" w:space="0" w:color="auto"/>
              <w:left w:val="single" w:sz="4" w:space="0" w:color="auto"/>
              <w:bottom w:val="single" w:sz="4" w:space="0" w:color="auto"/>
              <w:right w:val="single" w:sz="4" w:space="0" w:color="auto"/>
            </w:tcBorders>
            <w:shd w:val="clear" w:color="auto" w:fill="auto"/>
            <w:vAlign w:val="center"/>
          </w:tcPr>
          <w:p w14:paraId="6918D045" w14:textId="3567D1F5" w:rsidR="00E24C7A" w:rsidRPr="00647FA0" w:rsidRDefault="00E24C7A" w:rsidP="003D1DDD">
            <w:pPr>
              <w:contextualSpacing/>
              <w:jc w:val="center"/>
              <w:rPr>
                <w:rFonts w:ascii="Arial" w:hAnsi="Arial" w:cs="Arial"/>
                <w:color w:val="000000"/>
                <w:sz w:val="18"/>
                <w:szCs w:val="18"/>
              </w:rPr>
            </w:pPr>
            <w:r w:rsidRPr="00647FA0">
              <w:rPr>
                <w:rFonts w:ascii="Arial" w:hAnsi="Arial" w:cs="Arial"/>
                <w:color w:val="000000"/>
                <w:sz w:val="18"/>
                <w:szCs w:val="18"/>
              </w:rPr>
              <w:t>Информация о договор</w:t>
            </w:r>
            <w:r w:rsidR="003E0733" w:rsidRPr="00647FA0">
              <w:rPr>
                <w:rFonts w:ascii="Arial" w:hAnsi="Arial" w:cs="Arial"/>
                <w:color w:val="000000"/>
                <w:sz w:val="18"/>
                <w:szCs w:val="18"/>
              </w:rPr>
              <w:t>е</w:t>
            </w:r>
            <w:r w:rsidRPr="00647FA0">
              <w:rPr>
                <w:rFonts w:ascii="Arial" w:hAnsi="Arial" w:cs="Arial"/>
                <w:color w:val="000000"/>
                <w:sz w:val="18"/>
                <w:szCs w:val="18"/>
              </w:rPr>
              <w:t xml:space="preserve"> оказани</w:t>
            </w:r>
            <w:r w:rsidR="003D1DDD" w:rsidRPr="00647FA0">
              <w:rPr>
                <w:rFonts w:ascii="Arial" w:hAnsi="Arial" w:cs="Arial"/>
                <w:color w:val="000000"/>
                <w:sz w:val="18"/>
                <w:szCs w:val="18"/>
              </w:rPr>
              <w:t>я</w:t>
            </w:r>
            <w:r w:rsidRPr="00647FA0">
              <w:rPr>
                <w:rFonts w:ascii="Arial" w:hAnsi="Arial" w:cs="Arial"/>
                <w:color w:val="000000"/>
                <w:sz w:val="18"/>
                <w:szCs w:val="18"/>
              </w:rPr>
              <w:t xml:space="preserve"> услуг по передаче электроэнергии</w:t>
            </w:r>
            <w:r w:rsidR="00945FC0">
              <w:rPr>
                <w:rFonts w:ascii="Arial" w:hAnsi="Arial" w:cs="Arial"/>
                <w:color w:val="000000"/>
                <w:sz w:val="18"/>
                <w:szCs w:val="18"/>
              </w:rPr>
              <w:t xml:space="preserve"> </w:t>
            </w:r>
            <w:r w:rsidR="003E0733" w:rsidRPr="00647FA0">
              <w:rPr>
                <w:rFonts w:ascii="Arial" w:hAnsi="Arial" w:cs="Arial"/>
                <w:color w:val="000000"/>
                <w:sz w:val="18"/>
                <w:szCs w:val="18"/>
              </w:rPr>
              <w:t>/ договоре энергоснабжения</w:t>
            </w:r>
          </w:p>
        </w:tc>
        <w:tc>
          <w:tcPr>
            <w:tcW w:w="1898" w:type="dxa"/>
            <w:tcBorders>
              <w:top w:val="single" w:sz="4" w:space="0" w:color="auto"/>
              <w:left w:val="single" w:sz="4" w:space="0" w:color="auto"/>
              <w:bottom w:val="single" w:sz="4" w:space="0" w:color="auto"/>
              <w:right w:val="single" w:sz="4" w:space="0" w:color="auto"/>
            </w:tcBorders>
            <w:shd w:val="clear" w:color="auto" w:fill="auto"/>
            <w:vAlign w:val="center"/>
          </w:tcPr>
          <w:p w14:paraId="77FAD821" w14:textId="77777777" w:rsidR="00E24C7A" w:rsidRPr="00647FA0" w:rsidRDefault="00E24C7A" w:rsidP="00A43635">
            <w:pPr>
              <w:contextualSpacing/>
              <w:jc w:val="center"/>
              <w:rPr>
                <w:rFonts w:ascii="Arial" w:hAnsi="Arial" w:cs="Arial"/>
                <w:color w:val="000000"/>
                <w:sz w:val="18"/>
                <w:szCs w:val="18"/>
              </w:rPr>
            </w:pPr>
            <w:r w:rsidRPr="00647FA0">
              <w:rPr>
                <w:rFonts w:ascii="Arial" w:hAnsi="Arial" w:cs="Arial"/>
                <w:color w:val="000000"/>
                <w:sz w:val="18"/>
                <w:szCs w:val="18"/>
              </w:rPr>
              <w:t>Положение о порядке получения статуса субъекта оптового рынка, п. 2.1 приложения 9</w:t>
            </w:r>
          </w:p>
        </w:tc>
        <w:tc>
          <w:tcPr>
            <w:tcW w:w="1115" w:type="dxa"/>
            <w:tcBorders>
              <w:top w:val="single" w:sz="4" w:space="0" w:color="auto"/>
              <w:left w:val="single" w:sz="4" w:space="0" w:color="auto"/>
              <w:bottom w:val="single" w:sz="4" w:space="0" w:color="auto"/>
              <w:right w:val="single" w:sz="4" w:space="0" w:color="auto"/>
            </w:tcBorders>
            <w:shd w:val="clear" w:color="auto" w:fill="auto"/>
            <w:vAlign w:val="center"/>
          </w:tcPr>
          <w:p w14:paraId="6D426DDC" w14:textId="7CBFEF25" w:rsidR="00E24C7A" w:rsidRPr="00647FA0" w:rsidRDefault="00520801" w:rsidP="00F84C23">
            <w:pPr>
              <w:contextualSpacing/>
              <w:jc w:val="center"/>
              <w:rPr>
                <w:rFonts w:ascii="Arial" w:hAnsi="Arial" w:cs="Arial"/>
                <w:color w:val="000000"/>
                <w:sz w:val="18"/>
                <w:szCs w:val="18"/>
              </w:rPr>
            </w:pPr>
            <w:r w:rsidRPr="00647FA0">
              <w:rPr>
                <w:rFonts w:ascii="Arial" w:hAnsi="Arial" w:cs="Arial"/>
                <w:color w:val="000000"/>
                <w:sz w:val="18"/>
                <w:szCs w:val="18"/>
                <w:lang w:val="en-US"/>
              </w:rPr>
              <w:t>doc</w:t>
            </w:r>
            <w:r w:rsidRPr="00647FA0">
              <w:rPr>
                <w:rFonts w:ascii="Arial" w:hAnsi="Arial" w:cs="Arial"/>
                <w:color w:val="000000"/>
                <w:sz w:val="18"/>
                <w:szCs w:val="18"/>
              </w:rPr>
              <w:t xml:space="preserve">, </w:t>
            </w:r>
            <w:r w:rsidR="003E0733" w:rsidRPr="00647FA0">
              <w:rPr>
                <w:rFonts w:ascii="Arial" w:hAnsi="Arial" w:cs="Arial"/>
                <w:color w:val="000000"/>
                <w:sz w:val="18"/>
                <w:szCs w:val="18"/>
              </w:rPr>
              <w:t>docx</w:t>
            </w:r>
          </w:p>
        </w:tc>
        <w:tc>
          <w:tcPr>
            <w:tcW w:w="922" w:type="dxa"/>
            <w:tcBorders>
              <w:top w:val="single" w:sz="4" w:space="0" w:color="auto"/>
              <w:left w:val="single" w:sz="4" w:space="0" w:color="auto"/>
              <w:bottom w:val="single" w:sz="4" w:space="0" w:color="auto"/>
              <w:right w:val="single" w:sz="4" w:space="0" w:color="auto"/>
            </w:tcBorders>
            <w:shd w:val="clear" w:color="auto" w:fill="auto"/>
            <w:vAlign w:val="center"/>
          </w:tcPr>
          <w:p w14:paraId="287D8523" w14:textId="77777777" w:rsidR="00E24C7A" w:rsidRPr="00647FA0" w:rsidRDefault="00E24C7A" w:rsidP="00A43635">
            <w:pPr>
              <w:contextualSpacing/>
              <w:jc w:val="center"/>
              <w:rPr>
                <w:rFonts w:ascii="Arial" w:hAnsi="Arial" w:cs="Arial"/>
                <w:color w:val="000000"/>
                <w:sz w:val="18"/>
                <w:szCs w:val="18"/>
              </w:rPr>
            </w:pPr>
            <w:r w:rsidRPr="00647FA0">
              <w:rPr>
                <w:rFonts w:ascii="Arial" w:hAnsi="Arial" w:cs="Arial"/>
                <w:color w:val="000000"/>
                <w:sz w:val="18"/>
                <w:szCs w:val="18"/>
              </w:rPr>
              <w:t>Агрегатор</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2695F10" w14:textId="77777777" w:rsidR="00E24C7A" w:rsidRPr="00647FA0" w:rsidRDefault="00E24C7A" w:rsidP="00A43635">
            <w:pPr>
              <w:contextualSpacing/>
              <w:jc w:val="center"/>
              <w:rPr>
                <w:rFonts w:ascii="Arial" w:hAnsi="Arial" w:cs="Arial"/>
                <w:color w:val="000000"/>
                <w:sz w:val="18"/>
                <w:szCs w:val="18"/>
              </w:rPr>
            </w:pPr>
            <w:r w:rsidRPr="00647FA0">
              <w:rPr>
                <w:rFonts w:ascii="Arial" w:hAnsi="Arial" w:cs="Arial"/>
                <w:color w:val="000000"/>
                <w:sz w:val="18"/>
                <w:szCs w:val="18"/>
              </w:rPr>
              <w:t>АТС</w:t>
            </w:r>
          </w:p>
        </w:tc>
        <w:tc>
          <w:tcPr>
            <w:tcW w:w="1027" w:type="dxa"/>
            <w:tcBorders>
              <w:top w:val="single" w:sz="4" w:space="0" w:color="auto"/>
              <w:left w:val="single" w:sz="4" w:space="0" w:color="auto"/>
              <w:bottom w:val="single" w:sz="4" w:space="0" w:color="auto"/>
              <w:right w:val="single" w:sz="4" w:space="0" w:color="auto"/>
            </w:tcBorders>
            <w:shd w:val="clear" w:color="auto" w:fill="auto"/>
            <w:vAlign w:val="center"/>
          </w:tcPr>
          <w:p w14:paraId="4F70D05D" w14:textId="77777777" w:rsidR="00E24C7A" w:rsidRPr="00647FA0" w:rsidRDefault="00E24C7A" w:rsidP="00A43635">
            <w:pPr>
              <w:contextualSpacing/>
              <w:jc w:val="center"/>
              <w:rPr>
                <w:rFonts w:ascii="Arial" w:hAnsi="Arial" w:cs="Arial"/>
                <w:color w:val="000000"/>
                <w:sz w:val="18"/>
                <w:szCs w:val="18"/>
              </w:rPr>
            </w:pPr>
            <w:r w:rsidRPr="00647FA0">
              <w:rPr>
                <w:rFonts w:ascii="Arial" w:hAnsi="Arial" w:cs="Arial"/>
                <w:color w:val="000000"/>
                <w:sz w:val="18"/>
                <w:szCs w:val="18"/>
              </w:rPr>
              <w:t>Материальный носитель</w:t>
            </w:r>
          </w:p>
        </w:tc>
        <w:tc>
          <w:tcPr>
            <w:tcW w:w="1201" w:type="dxa"/>
            <w:tcBorders>
              <w:top w:val="single" w:sz="4" w:space="0" w:color="auto"/>
              <w:left w:val="single" w:sz="4" w:space="0" w:color="auto"/>
              <w:bottom w:val="single" w:sz="4" w:space="0" w:color="auto"/>
              <w:right w:val="single" w:sz="4" w:space="0" w:color="auto"/>
            </w:tcBorders>
            <w:shd w:val="clear" w:color="auto" w:fill="auto"/>
            <w:vAlign w:val="center"/>
          </w:tcPr>
          <w:p w14:paraId="35F65AD3" w14:textId="77777777" w:rsidR="00E24C7A" w:rsidRPr="00647FA0" w:rsidRDefault="00E24C7A" w:rsidP="00A43635">
            <w:pPr>
              <w:contextualSpacing/>
              <w:jc w:val="center"/>
              <w:rPr>
                <w:rFonts w:ascii="Arial" w:hAnsi="Arial" w:cs="Arial"/>
                <w:color w:val="000000"/>
                <w:sz w:val="18"/>
                <w:szCs w:val="18"/>
              </w:rPr>
            </w:pPr>
            <w:r w:rsidRPr="00647FA0">
              <w:rPr>
                <w:rFonts w:ascii="Arial" w:hAnsi="Arial" w:cs="Arial"/>
                <w:color w:val="000000"/>
                <w:sz w:val="18"/>
                <w:szCs w:val="18"/>
              </w:rPr>
              <w:t>Нет</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47071EBA" w14:textId="77777777" w:rsidR="00E24C7A" w:rsidRPr="00647FA0" w:rsidRDefault="00E24C7A" w:rsidP="00A43635">
            <w:pPr>
              <w:contextualSpacing/>
              <w:jc w:val="center"/>
              <w:rPr>
                <w:rFonts w:ascii="Arial" w:hAnsi="Arial" w:cs="Arial"/>
                <w:color w:val="000000"/>
                <w:sz w:val="18"/>
                <w:szCs w:val="18"/>
              </w:rPr>
            </w:pPr>
            <w:r w:rsidRPr="00647FA0">
              <w:rPr>
                <w:rFonts w:ascii="Arial" w:hAnsi="Arial" w:cs="Arial"/>
                <w:color w:val="000000"/>
                <w:sz w:val="18"/>
                <w:szCs w:val="18"/>
              </w:rPr>
              <w:t>Нет</w:t>
            </w:r>
          </w:p>
        </w:tc>
        <w:tc>
          <w:tcPr>
            <w:tcW w:w="1862" w:type="dxa"/>
            <w:tcBorders>
              <w:top w:val="single" w:sz="4" w:space="0" w:color="auto"/>
              <w:left w:val="single" w:sz="4" w:space="0" w:color="auto"/>
              <w:bottom w:val="single" w:sz="4" w:space="0" w:color="auto"/>
              <w:right w:val="single" w:sz="4" w:space="0" w:color="auto"/>
            </w:tcBorders>
            <w:shd w:val="clear" w:color="auto" w:fill="auto"/>
            <w:vAlign w:val="center"/>
          </w:tcPr>
          <w:p w14:paraId="7732A9BF" w14:textId="77777777" w:rsidR="00E24C7A" w:rsidRPr="00647FA0" w:rsidRDefault="00E24C7A" w:rsidP="00A43635">
            <w:pPr>
              <w:contextualSpacing/>
              <w:jc w:val="center"/>
              <w:rPr>
                <w:rFonts w:ascii="Arial" w:hAnsi="Arial" w:cs="Arial"/>
                <w:color w:val="000000"/>
                <w:sz w:val="18"/>
                <w:szCs w:val="18"/>
              </w:rPr>
            </w:pPr>
            <w:r w:rsidRPr="00647FA0">
              <w:rPr>
                <w:rFonts w:ascii="Arial" w:hAnsi="Arial" w:cs="Arial"/>
                <w:color w:val="000000"/>
                <w:sz w:val="18"/>
                <w:szCs w:val="18"/>
              </w:rPr>
              <w:t>1.3.6.1.4.1.18545.1.2.1.1</w:t>
            </w:r>
          </w:p>
        </w:tc>
        <w:tc>
          <w:tcPr>
            <w:tcW w:w="1046" w:type="dxa"/>
            <w:tcBorders>
              <w:top w:val="single" w:sz="4" w:space="0" w:color="auto"/>
              <w:left w:val="single" w:sz="4" w:space="0" w:color="auto"/>
              <w:bottom w:val="single" w:sz="4" w:space="0" w:color="auto"/>
              <w:right w:val="single" w:sz="4" w:space="0" w:color="auto"/>
            </w:tcBorders>
            <w:shd w:val="clear" w:color="auto" w:fill="auto"/>
            <w:vAlign w:val="center"/>
          </w:tcPr>
          <w:p w14:paraId="6DA6FEF8" w14:textId="77777777" w:rsidR="00E24C7A" w:rsidRPr="00647FA0" w:rsidRDefault="00F84C23" w:rsidP="00A43635">
            <w:pPr>
              <w:contextualSpacing/>
              <w:jc w:val="center"/>
              <w:rPr>
                <w:rFonts w:ascii="Arial" w:hAnsi="Arial" w:cs="Arial"/>
                <w:color w:val="000000"/>
                <w:sz w:val="18"/>
                <w:szCs w:val="18"/>
              </w:rPr>
            </w:pPr>
            <w:r w:rsidRPr="00647FA0">
              <w:rPr>
                <w:rFonts w:ascii="Arial" w:hAnsi="Arial" w:cs="Arial"/>
                <w:color w:val="000000"/>
                <w:sz w:val="18"/>
                <w:szCs w:val="18"/>
              </w:rPr>
              <w:t>Word</w:t>
            </w:r>
          </w:p>
        </w:tc>
        <w:tc>
          <w:tcPr>
            <w:tcW w:w="773" w:type="dxa"/>
            <w:tcBorders>
              <w:top w:val="single" w:sz="4" w:space="0" w:color="auto"/>
              <w:left w:val="single" w:sz="4" w:space="0" w:color="auto"/>
              <w:bottom w:val="single" w:sz="4" w:space="0" w:color="auto"/>
              <w:right w:val="single" w:sz="4" w:space="0" w:color="auto"/>
            </w:tcBorders>
            <w:shd w:val="clear" w:color="auto" w:fill="auto"/>
            <w:vAlign w:val="center"/>
          </w:tcPr>
          <w:p w14:paraId="3A90503A" w14:textId="77777777" w:rsidR="00E24C7A" w:rsidRPr="00647FA0" w:rsidRDefault="00E24C7A" w:rsidP="00A43635">
            <w:pPr>
              <w:contextualSpacing/>
              <w:jc w:val="center"/>
              <w:rPr>
                <w:rFonts w:ascii="Arial" w:hAnsi="Arial" w:cs="Arial"/>
                <w:color w:val="000000"/>
                <w:sz w:val="18"/>
                <w:szCs w:val="18"/>
              </w:rPr>
            </w:pPr>
            <w:r w:rsidRPr="00647FA0">
              <w:rPr>
                <w:rFonts w:ascii="Arial" w:hAnsi="Arial" w:cs="Arial"/>
                <w:color w:val="000000"/>
                <w:sz w:val="18"/>
                <w:szCs w:val="18"/>
              </w:rPr>
              <w:t>постоянно</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4D629CB5" w14:textId="77777777" w:rsidR="00E24C7A" w:rsidRPr="00647FA0" w:rsidRDefault="00E24C7A" w:rsidP="00A43635">
            <w:pPr>
              <w:contextualSpacing/>
              <w:jc w:val="center"/>
              <w:rPr>
                <w:rFonts w:ascii="Arial" w:hAnsi="Arial" w:cs="Arial"/>
                <w:color w:val="000000"/>
                <w:sz w:val="18"/>
                <w:szCs w:val="18"/>
              </w:rPr>
            </w:pPr>
          </w:p>
        </w:tc>
      </w:tr>
      <w:tr w:rsidR="00E24C7A" w:rsidRPr="00911253" w14:paraId="0AF83F05" w14:textId="77777777" w:rsidTr="00E24C7A">
        <w:trPr>
          <w:trHeight w:val="815"/>
        </w:trPr>
        <w:tc>
          <w:tcPr>
            <w:tcW w:w="1083" w:type="dxa"/>
            <w:tcBorders>
              <w:top w:val="single" w:sz="4" w:space="0" w:color="auto"/>
              <w:left w:val="single" w:sz="4" w:space="0" w:color="auto"/>
              <w:bottom w:val="single" w:sz="4" w:space="0" w:color="auto"/>
              <w:right w:val="single" w:sz="4" w:space="0" w:color="auto"/>
            </w:tcBorders>
            <w:shd w:val="clear" w:color="auto" w:fill="auto"/>
            <w:vAlign w:val="center"/>
          </w:tcPr>
          <w:p w14:paraId="5C0F2031" w14:textId="77777777" w:rsidR="00E24C7A" w:rsidRPr="00647FA0" w:rsidRDefault="00E24C7A" w:rsidP="00A43635">
            <w:pPr>
              <w:contextualSpacing/>
              <w:jc w:val="center"/>
              <w:rPr>
                <w:rFonts w:ascii="Arial" w:hAnsi="Arial" w:cs="Arial"/>
                <w:color w:val="000000"/>
                <w:sz w:val="18"/>
                <w:szCs w:val="18"/>
                <w:lang w:val="en-US"/>
              </w:rPr>
            </w:pPr>
            <w:r w:rsidRPr="00647FA0">
              <w:rPr>
                <w:rFonts w:ascii="Arial" w:hAnsi="Arial" w:cs="Arial"/>
                <w:color w:val="000000"/>
                <w:sz w:val="18"/>
                <w:szCs w:val="18"/>
                <w:lang w:val="en-US"/>
              </w:rPr>
              <w:t>PART_ATS_INFOD_OREG_ WEB</w:t>
            </w:r>
          </w:p>
        </w:tc>
        <w:tc>
          <w:tcPr>
            <w:tcW w:w="1673" w:type="dxa"/>
            <w:tcBorders>
              <w:top w:val="single" w:sz="4" w:space="0" w:color="auto"/>
              <w:left w:val="single" w:sz="4" w:space="0" w:color="auto"/>
              <w:bottom w:val="single" w:sz="4" w:space="0" w:color="auto"/>
              <w:right w:val="single" w:sz="4" w:space="0" w:color="auto"/>
            </w:tcBorders>
            <w:shd w:val="clear" w:color="auto" w:fill="auto"/>
            <w:vAlign w:val="center"/>
          </w:tcPr>
          <w:p w14:paraId="4B52CF04" w14:textId="23EFA33F" w:rsidR="00E24C7A" w:rsidRPr="00647FA0" w:rsidRDefault="00E24C7A" w:rsidP="003D1DDD">
            <w:pPr>
              <w:contextualSpacing/>
              <w:jc w:val="center"/>
              <w:rPr>
                <w:rFonts w:ascii="Arial" w:hAnsi="Arial" w:cs="Arial"/>
                <w:color w:val="000000"/>
                <w:sz w:val="18"/>
                <w:szCs w:val="18"/>
              </w:rPr>
            </w:pPr>
            <w:r w:rsidRPr="00647FA0">
              <w:rPr>
                <w:rFonts w:ascii="Arial" w:hAnsi="Arial" w:cs="Arial"/>
                <w:color w:val="000000"/>
                <w:sz w:val="18"/>
                <w:szCs w:val="18"/>
              </w:rPr>
              <w:t xml:space="preserve">Информация </w:t>
            </w:r>
            <w:r w:rsidR="00C84AD5" w:rsidRPr="00647FA0">
              <w:rPr>
                <w:rFonts w:ascii="Arial" w:hAnsi="Arial" w:cs="Arial"/>
                <w:color w:val="000000"/>
                <w:sz w:val="18"/>
                <w:szCs w:val="18"/>
              </w:rPr>
              <w:t xml:space="preserve">о </w:t>
            </w:r>
            <w:r w:rsidR="003E0733" w:rsidRPr="00647FA0">
              <w:rPr>
                <w:rFonts w:ascii="Arial" w:hAnsi="Arial" w:cs="Arial"/>
                <w:color w:val="000000"/>
                <w:sz w:val="18"/>
                <w:szCs w:val="18"/>
              </w:rPr>
              <w:t>договоре оказани</w:t>
            </w:r>
            <w:r w:rsidR="003D1DDD" w:rsidRPr="00647FA0">
              <w:rPr>
                <w:rFonts w:ascii="Arial" w:hAnsi="Arial" w:cs="Arial"/>
                <w:color w:val="000000"/>
                <w:sz w:val="18"/>
                <w:szCs w:val="18"/>
              </w:rPr>
              <w:t>я</w:t>
            </w:r>
            <w:r w:rsidR="003E0733" w:rsidRPr="00647FA0">
              <w:rPr>
                <w:rFonts w:ascii="Arial" w:hAnsi="Arial" w:cs="Arial"/>
                <w:color w:val="000000"/>
                <w:sz w:val="18"/>
                <w:szCs w:val="18"/>
              </w:rPr>
              <w:t xml:space="preserve"> услуг по передаче электроэнергии</w:t>
            </w:r>
            <w:r w:rsidR="00945FC0">
              <w:rPr>
                <w:rFonts w:ascii="Arial" w:hAnsi="Arial" w:cs="Arial"/>
                <w:color w:val="000000"/>
                <w:sz w:val="18"/>
                <w:szCs w:val="18"/>
              </w:rPr>
              <w:t xml:space="preserve"> </w:t>
            </w:r>
            <w:r w:rsidR="003E0733" w:rsidRPr="00647FA0">
              <w:rPr>
                <w:rFonts w:ascii="Arial" w:hAnsi="Arial" w:cs="Arial"/>
                <w:color w:val="000000"/>
                <w:sz w:val="18"/>
                <w:szCs w:val="18"/>
              </w:rPr>
              <w:t>/ договоре энергоснабжения</w:t>
            </w:r>
          </w:p>
        </w:tc>
        <w:tc>
          <w:tcPr>
            <w:tcW w:w="1898" w:type="dxa"/>
            <w:tcBorders>
              <w:top w:val="single" w:sz="4" w:space="0" w:color="auto"/>
              <w:left w:val="single" w:sz="4" w:space="0" w:color="auto"/>
              <w:bottom w:val="single" w:sz="4" w:space="0" w:color="auto"/>
              <w:right w:val="single" w:sz="4" w:space="0" w:color="auto"/>
            </w:tcBorders>
            <w:shd w:val="clear" w:color="auto" w:fill="auto"/>
            <w:vAlign w:val="center"/>
          </w:tcPr>
          <w:p w14:paraId="42DCB6C7" w14:textId="77777777" w:rsidR="00E24C7A" w:rsidRPr="00647FA0" w:rsidRDefault="00E24C7A" w:rsidP="00A43635">
            <w:pPr>
              <w:contextualSpacing/>
              <w:jc w:val="center"/>
              <w:rPr>
                <w:rFonts w:ascii="Arial" w:hAnsi="Arial" w:cs="Arial"/>
                <w:color w:val="000000"/>
                <w:sz w:val="18"/>
                <w:szCs w:val="18"/>
              </w:rPr>
            </w:pPr>
            <w:r w:rsidRPr="00647FA0">
              <w:rPr>
                <w:rFonts w:ascii="Arial" w:hAnsi="Arial" w:cs="Arial"/>
                <w:color w:val="000000"/>
                <w:sz w:val="18"/>
                <w:szCs w:val="18"/>
              </w:rPr>
              <w:t>Положение о порядке получения статуса субъекта оптового рынка, п. 2.1 приложения 9</w:t>
            </w:r>
          </w:p>
        </w:tc>
        <w:tc>
          <w:tcPr>
            <w:tcW w:w="1115" w:type="dxa"/>
            <w:tcBorders>
              <w:top w:val="single" w:sz="4" w:space="0" w:color="auto"/>
              <w:left w:val="single" w:sz="4" w:space="0" w:color="auto"/>
              <w:bottom w:val="single" w:sz="4" w:space="0" w:color="auto"/>
              <w:right w:val="single" w:sz="4" w:space="0" w:color="auto"/>
            </w:tcBorders>
            <w:shd w:val="clear" w:color="auto" w:fill="auto"/>
            <w:vAlign w:val="center"/>
          </w:tcPr>
          <w:p w14:paraId="285CC078" w14:textId="2CCA241C" w:rsidR="00E24C7A" w:rsidRPr="00647FA0" w:rsidRDefault="00520801" w:rsidP="00A43635">
            <w:pPr>
              <w:contextualSpacing/>
              <w:jc w:val="center"/>
              <w:rPr>
                <w:rFonts w:ascii="Arial" w:hAnsi="Arial" w:cs="Arial"/>
                <w:color w:val="000000"/>
                <w:sz w:val="18"/>
                <w:szCs w:val="18"/>
              </w:rPr>
            </w:pPr>
            <w:r w:rsidRPr="00647FA0">
              <w:rPr>
                <w:rFonts w:ascii="Arial" w:hAnsi="Arial" w:cs="Arial"/>
                <w:color w:val="000000"/>
                <w:sz w:val="18"/>
                <w:szCs w:val="18"/>
                <w:lang w:val="en-US"/>
              </w:rPr>
              <w:t xml:space="preserve">doc, </w:t>
            </w:r>
            <w:r w:rsidR="003E0733" w:rsidRPr="00647FA0">
              <w:rPr>
                <w:rFonts w:ascii="Arial" w:hAnsi="Arial" w:cs="Arial"/>
                <w:color w:val="000000"/>
                <w:sz w:val="18"/>
                <w:szCs w:val="18"/>
              </w:rPr>
              <w:t>docx</w:t>
            </w:r>
          </w:p>
        </w:tc>
        <w:tc>
          <w:tcPr>
            <w:tcW w:w="922" w:type="dxa"/>
            <w:tcBorders>
              <w:top w:val="single" w:sz="4" w:space="0" w:color="auto"/>
              <w:left w:val="single" w:sz="4" w:space="0" w:color="auto"/>
              <w:bottom w:val="single" w:sz="4" w:space="0" w:color="auto"/>
              <w:right w:val="single" w:sz="4" w:space="0" w:color="auto"/>
            </w:tcBorders>
            <w:shd w:val="clear" w:color="auto" w:fill="auto"/>
            <w:vAlign w:val="center"/>
          </w:tcPr>
          <w:p w14:paraId="09507CB6" w14:textId="77777777" w:rsidR="00E24C7A" w:rsidRPr="00647FA0" w:rsidRDefault="00E24C7A" w:rsidP="00A43635">
            <w:pPr>
              <w:contextualSpacing/>
              <w:jc w:val="center"/>
              <w:rPr>
                <w:rFonts w:ascii="Arial" w:hAnsi="Arial" w:cs="Arial"/>
                <w:color w:val="000000"/>
                <w:sz w:val="18"/>
                <w:szCs w:val="18"/>
              </w:rPr>
            </w:pPr>
            <w:r w:rsidRPr="00647FA0">
              <w:rPr>
                <w:rFonts w:ascii="Arial" w:hAnsi="Arial" w:cs="Arial"/>
                <w:color w:val="000000"/>
                <w:sz w:val="18"/>
                <w:szCs w:val="18"/>
              </w:rPr>
              <w:t>Агрегатор</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FCCFFAC" w14:textId="77777777" w:rsidR="00E24C7A" w:rsidRPr="00647FA0" w:rsidRDefault="00E24C7A" w:rsidP="00A43635">
            <w:pPr>
              <w:contextualSpacing/>
              <w:jc w:val="center"/>
              <w:rPr>
                <w:rFonts w:ascii="Arial" w:hAnsi="Arial" w:cs="Arial"/>
                <w:color w:val="000000"/>
                <w:sz w:val="18"/>
                <w:szCs w:val="18"/>
              </w:rPr>
            </w:pPr>
            <w:r w:rsidRPr="00647FA0">
              <w:rPr>
                <w:rFonts w:ascii="Arial" w:hAnsi="Arial" w:cs="Arial"/>
                <w:color w:val="000000"/>
                <w:sz w:val="18"/>
                <w:szCs w:val="18"/>
              </w:rPr>
              <w:t>АТС</w:t>
            </w:r>
          </w:p>
        </w:tc>
        <w:tc>
          <w:tcPr>
            <w:tcW w:w="1027" w:type="dxa"/>
            <w:tcBorders>
              <w:top w:val="single" w:sz="4" w:space="0" w:color="auto"/>
              <w:left w:val="single" w:sz="4" w:space="0" w:color="auto"/>
              <w:bottom w:val="single" w:sz="4" w:space="0" w:color="auto"/>
              <w:right w:val="single" w:sz="4" w:space="0" w:color="auto"/>
            </w:tcBorders>
            <w:shd w:val="clear" w:color="auto" w:fill="auto"/>
            <w:vAlign w:val="center"/>
          </w:tcPr>
          <w:p w14:paraId="2679541C" w14:textId="77777777" w:rsidR="00E24C7A" w:rsidRPr="00647FA0" w:rsidRDefault="00E24C7A" w:rsidP="00A43635">
            <w:pPr>
              <w:contextualSpacing/>
              <w:jc w:val="center"/>
              <w:rPr>
                <w:rFonts w:ascii="Arial" w:hAnsi="Arial" w:cs="Arial"/>
                <w:color w:val="000000"/>
                <w:sz w:val="18"/>
                <w:szCs w:val="18"/>
              </w:rPr>
            </w:pPr>
            <w:r w:rsidRPr="00647FA0">
              <w:rPr>
                <w:rFonts w:ascii="Arial" w:hAnsi="Arial" w:cs="Arial"/>
                <w:color w:val="000000"/>
                <w:sz w:val="18"/>
                <w:szCs w:val="18"/>
              </w:rPr>
              <w:t>WEB-интерфейс</w:t>
            </w:r>
          </w:p>
        </w:tc>
        <w:tc>
          <w:tcPr>
            <w:tcW w:w="1201" w:type="dxa"/>
            <w:tcBorders>
              <w:top w:val="single" w:sz="4" w:space="0" w:color="auto"/>
              <w:left w:val="single" w:sz="4" w:space="0" w:color="auto"/>
              <w:bottom w:val="single" w:sz="4" w:space="0" w:color="auto"/>
              <w:right w:val="single" w:sz="4" w:space="0" w:color="auto"/>
            </w:tcBorders>
            <w:shd w:val="clear" w:color="auto" w:fill="auto"/>
            <w:vAlign w:val="center"/>
          </w:tcPr>
          <w:p w14:paraId="179C7BEF" w14:textId="77777777" w:rsidR="00E24C7A" w:rsidRPr="00647FA0" w:rsidRDefault="00E24C7A" w:rsidP="00A43635">
            <w:pPr>
              <w:contextualSpacing/>
              <w:jc w:val="center"/>
              <w:rPr>
                <w:rFonts w:ascii="Arial" w:hAnsi="Arial" w:cs="Arial"/>
                <w:color w:val="000000"/>
                <w:sz w:val="18"/>
                <w:szCs w:val="18"/>
              </w:rPr>
            </w:pPr>
            <w:r w:rsidRPr="00647FA0">
              <w:rPr>
                <w:rFonts w:ascii="Arial" w:hAnsi="Arial" w:cs="Arial"/>
                <w:color w:val="000000"/>
                <w:sz w:val="18"/>
                <w:szCs w:val="18"/>
              </w:rPr>
              <w:t>Нет</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694B376B" w14:textId="77777777" w:rsidR="00E24C7A" w:rsidRPr="00647FA0" w:rsidRDefault="00E24C7A" w:rsidP="00A43635">
            <w:pPr>
              <w:contextualSpacing/>
              <w:jc w:val="center"/>
              <w:rPr>
                <w:rFonts w:ascii="Arial" w:hAnsi="Arial" w:cs="Arial"/>
                <w:color w:val="000000"/>
                <w:sz w:val="18"/>
                <w:szCs w:val="18"/>
              </w:rPr>
            </w:pPr>
            <w:r w:rsidRPr="00647FA0">
              <w:rPr>
                <w:rFonts w:ascii="Arial" w:hAnsi="Arial" w:cs="Arial"/>
                <w:color w:val="000000"/>
                <w:sz w:val="18"/>
                <w:szCs w:val="18"/>
              </w:rPr>
              <w:t>Нет</w:t>
            </w:r>
          </w:p>
        </w:tc>
        <w:tc>
          <w:tcPr>
            <w:tcW w:w="1862" w:type="dxa"/>
            <w:tcBorders>
              <w:top w:val="single" w:sz="4" w:space="0" w:color="auto"/>
              <w:left w:val="single" w:sz="4" w:space="0" w:color="auto"/>
              <w:bottom w:val="single" w:sz="4" w:space="0" w:color="auto"/>
              <w:right w:val="single" w:sz="4" w:space="0" w:color="auto"/>
            </w:tcBorders>
            <w:shd w:val="clear" w:color="auto" w:fill="auto"/>
            <w:vAlign w:val="center"/>
          </w:tcPr>
          <w:p w14:paraId="0599FB89" w14:textId="77777777" w:rsidR="00E24C7A" w:rsidRPr="00647FA0" w:rsidRDefault="00E24C7A" w:rsidP="00A43635">
            <w:pPr>
              <w:contextualSpacing/>
              <w:jc w:val="center"/>
              <w:rPr>
                <w:rFonts w:ascii="Arial" w:hAnsi="Arial" w:cs="Arial"/>
                <w:color w:val="000000"/>
                <w:sz w:val="18"/>
                <w:szCs w:val="18"/>
              </w:rPr>
            </w:pPr>
            <w:r w:rsidRPr="00647FA0">
              <w:rPr>
                <w:rFonts w:ascii="Arial" w:hAnsi="Arial" w:cs="Arial"/>
                <w:color w:val="000000"/>
                <w:sz w:val="18"/>
                <w:szCs w:val="18"/>
              </w:rPr>
              <w:t>1.3.6.1.4.1.18545.1.2.1.1</w:t>
            </w:r>
          </w:p>
        </w:tc>
        <w:tc>
          <w:tcPr>
            <w:tcW w:w="1046" w:type="dxa"/>
            <w:tcBorders>
              <w:top w:val="single" w:sz="4" w:space="0" w:color="auto"/>
              <w:left w:val="single" w:sz="4" w:space="0" w:color="auto"/>
              <w:bottom w:val="single" w:sz="4" w:space="0" w:color="auto"/>
              <w:right w:val="single" w:sz="4" w:space="0" w:color="auto"/>
            </w:tcBorders>
            <w:shd w:val="clear" w:color="auto" w:fill="auto"/>
            <w:vAlign w:val="center"/>
          </w:tcPr>
          <w:p w14:paraId="7F536D50" w14:textId="77777777" w:rsidR="00E24C7A" w:rsidRPr="00647FA0" w:rsidRDefault="00F84C23" w:rsidP="00A43635">
            <w:pPr>
              <w:contextualSpacing/>
              <w:jc w:val="center"/>
              <w:rPr>
                <w:rFonts w:ascii="Arial" w:hAnsi="Arial" w:cs="Arial"/>
                <w:color w:val="000000"/>
                <w:sz w:val="18"/>
                <w:szCs w:val="18"/>
              </w:rPr>
            </w:pPr>
            <w:r w:rsidRPr="00647FA0">
              <w:rPr>
                <w:rFonts w:ascii="Arial" w:hAnsi="Arial" w:cs="Arial"/>
                <w:color w:val="000000"/>
                <w:sz w:val="18"/>
                <w:szCs w:val="18"/>
              </w:rPr>
              <w:t>Word</w:t>
            </w:r>
          </w:p>
        </w:tc>
        <w:tc>
          <w:tcPr>
            <w:tcW w:w="773" w:type="dxa"/>
            <w:tcBorders>
              <w:top w:val="single" w:sz="4" w:space="0" w:color="auto"/>
              <w:left w:val="single" w:sz="4" w:space="0" w:color="auto"/>
              <w:bottom w:val="single" w:sz="4" w:space="0" w:color="auto"/>
              <w:right w:val="single" w:sz="4" w:space="0" w:color="auto"/>
            </w:tcBorders>
            <w:shd w:val="clear" w:color="auto" w:fill="auto"/>
            <w:vAlign w:val="center"/>
          </w:tcPr>
          <w:p w14:paraId="3E959F42" w14:textId="77777777" w:rsidR="00E24C7A" w:rsidRPr="00E24C7A" w:rsidRDefault="00E24C7A" w:rsidP="00A43635">
            <w:pPr>
              <w:contextualSpacing/>
              <w:jc w:val="center"/>
              <w:rPr>
                <w:rFonts w:ascii="Arial" w:hAnsi="Arial" w:cs="Arial"/>
                <w:color w:val="000000"/>
                <w:sz w:val="18"/>
                <w:szCs w:val="18"/>
              </w:rPr>
            </w:pPr>
            <w:r w:rsidRPr="00647FA0">
              <w:rPr>
                <w:rFonts w:ascii="Arial" w:hAnsi="Arial" w:cs="Arial"/>
                <w:color w:val="000000"/>
                <w:sz w:val="18"/>
                <w:szCs w:val="18"/>
              </w:rPr>
              <w:t>постоянно</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0D0B70EF" w14:textId="77777777" w:rsidR="00E24C7A" w:rsidRPr="00E24C7A" w:rsidRDefault="00E24C7A" w:rsidP="00A43635">
            <w:pPr>
              <w:contextualSpacing/>
              <w:jc w:val="center"/>
              <w:rPr>
                <w:rFonts w:ascii="Arial" w:hAnsi="Arial" w:cs="Arial"/>
                <w:color w:val="000000"/>
                <w:sz w:val="18"/>
                <w:szCs w:val="18"/>
              </w:rPr>
            </w:pPr>
          </w:p>
        </w:tc>
      </w:tr>
      <w:tr w:rsidR="00E24C7A" w:rsidRPr="00911253" w14:paraId="01BF4C1E" w14:textId="77777777" w:rsidTr="00E24C7A">
        <w:trPr>
          <w:trHeight w:val="815"/>
        </w:trPr>
        <w:tc>
          <w:tcPr>
            <w:tcW w:w="1083" w:type="dxa"/>
            <w:tcBorders>
              <w:top w:val="single" w:sz="4" w:space="0" w:color="auto"/>
              <w:left w:val="single" w:sz="4" w:space="0" w:color="auto"/>
              <w:bottom w:val="single" w:sz="4" w:space="0" w:color="auto"/>
              <w:right w:val="single" w:sz="4" w:space="0" w:color="auto"/>
            </w:tcBorders>
            <w:shd w:val="clear" w:color="auto" w:fill="auto"/>
            <w:vAlign w:val="center"/>
          </w:tcPr>
          <w:p w14:paraId="70964D26" w14:textId="77777777" w:rsidR="00E24C7A" w:rsidRPr="00E24C7A" w:rsidRDefault="00E24C7A" w:rsidP="00A43635">
            <w:pPr>
              <w:contextualSpacing/>
              <w:jc w:val="center"/>
              <w:rPr>
                <w:rFonts w:ascii="Arial" w:hAnsi="Arial" w:cs="Arial"/>
                <w:color w:val="000000"/>
                <w:sz w:val="18"/>
                <w:szCs w:val="18"/>
                <w:lang w:val="en-US"/>
              </w:rPr>
            </w:pPr>
            <w:r w:rsidRPr="00E24C7A">
              <w:rPr>
                <w:rFonts w:ascii="Arial" w:hAnsi="Arial" w:cs="Arial"/>
                <w:color w:val="000000"/>
                <w:sz w:val="18"/>
                <w:szCs w:val="18"/>
                <w:lang w:val="en-US"/>
              </w:rPr>
              <w:t>PART_ATS_DOU_OREG_MED</w:t>
            </w:r>
          </w:p>
        </w:tc>
        <w:tc>
          <w:tcPr>
            <w:tcW w:w="1673" w:type="dxa"/>
            <w:tcBorders>
              <w:top w:val="single" w:sz="4" w:space="0" w:color="auto"/>
              <w:left w:val="single" w:sz="4" w:space="0" w:color="auto"/>
              <w:bottom w:val="single" w:sz="4" w:space="0" w:color="auto"/>
              <w:right w:val="single" w:sz="4" w:space="0" w:color="auto"/>
            </w:tcBorders>
            <w:shd w:val="clear" w:color="auto" w:fill="auto"/>
            <w:vAlign w:val="center"/>
          </w:tcPr>
          <w:p w14:paraId="511A9CB2" w14:textId="77777777" w:rsidR="00E24C7A" w:rsidRPr="00E24C7A" w:rsidRDefault="00E24C7A" w:rsidP="00A43635">
            <w:pPr>
              <w:contextualSpacing/>
              <w:jc w:val="center"/>
              <w:rPr>
                <w:rFonts w:ascii="Arial" w:hAnsi="Arial" w:cs="Arial"/>
                <w:color w:val="000000"/>
                <w:sz w:val="18"/>
                <w:szCs w:val="18"/>
              </w:rPr>
            </w:pPr>
            <w:r w:rsidRPr="00E24C7A">
              <w:rPr>
                <w:rFonts w:ascii="Arial" w:hAnsi="Arial" w:cs="Arial"/>
                <w:color w:val="000000"/>
                <w:sz w:val="18"/>
                <w:szCs w:val="18"/>
              </w:rPr>
              <w:t>Договор оказания услуг по изменению режима потребления</w:t>
            </w:r>
          </w:p>
        </w:tc>
        <w:tc>
          <w:tcPr>
            <w:tcW w:w="1898" w:type="dxa"/>
            <w:tcBorders>
              <w:top w:val="single" w:sz="4" w:space="0" w:color="auto"/>
              <w:left w:val="single" w:sz="4" w:space="0" w:color="auto"/>
              <w:bottom w:val="single" w:sz="4" w:space="0" w:color="auto"/>
              <w:right w:val="single" w:sz="4" w:space="0" w:color="auto"/>
            </w:tcBorders>
            <w:shd w:val="clear" w:color="auto" w:fill="auto"/>
            <w:vAlign w:val="center"/>
          </w:tcPr>
          <w:p w14:paraId="04FA361B" w14:textId="77777777" w:rsidR="00E24C7A" w:rsidRPr="00E24C7A" w:rsidRDefault="00E24C7A" w:rsidP="00A43635">
            <w:pPr>
              <w:contextualSpacing/>
              <w:jc w:val="center"/>
              <w:rPr>
                <w:rFonts w:ascii="Arial" w:hAnsi="Arial" w:cs="Arial"/>
                <w:color w:val="000000"/>
                <w:sz w:val="18"/>
                <w:szCs w:val="18"/>
              </w:rPr>
            </w:pPr>
            <w:r w:rsidRPr="00E24C7A">
              <w:rPr>
                <w:rFonts w:ascii="Arial" w:hAnsi="Arial" w:cs="Arial"/>
                <w:color w:val="000000"/>
                <w:sz w:val="18"/>
                <w:szCs w:val="18"/>
              </w:rPr>
              <w:t>Положение о порядке получения статуса субъекта оптового рынка, п. 2.1 приложения 9</w:t>
            </w:r>
          </w:p>
        </w:tc>
        <w:tc>
          <w:tcPr>
            <w:tcW w:w="1115" w:type="dxa"/>
            <w:tcBorders>
              <w:top w:val="single" w:sz="4" w:space="0" w:color="auto"/>
              <w:left w:val="single" w:sz="4" w:space="0" w:color="auto"/>
              <w:bottom w:val="single" w:sz="4" w:space="0" w:color="auto"/>
              <w:right w:val="single" w:sz="4" w:space="0" w:color="auto"/>
            </w:tcBorders>
            <w:shd w:val="clear" w:color="auto" w:fill="auto"/>
            <w:vAlign w:val="center"/>
          </w:tcPr>
          <w:p w14:paraId="0DFA4A55" w14:textId="77777777" w:rsidR="00E24C7A" w:rsidRPr="00E24C7A" w:rsidRDefault="00E24C7A" w:rsidP="00A43635">
            <w:pPr>
              <w:contextualSpacing/>
              <w:jc w:val="center"/>
              <w:rPr>
                <w:rFonts w:ascii="Arial" w:hAnsi="Arial" w:cs="Arial"/>
                <w:color w:val="000000"/>
                <w:sz w:val="18"/>
                <w:szCs w:val="18"/>
              </w:rPr>
            </w:pPr>
            <w:r w:rsidRPr="00E24C7A">
              <w:rPr>
                <w:rFonts w:ascii="Arial" w:hAnsi="Arial" w:cs="Arial"/>
                <w:color w:val="000000"/>
                <w:sz w:val="18"/>
                <w:szCs w:val="18"/>
              </w:rPr>
              <w:t>pdf</w:t>
            </w:r>
          </w:p>
        </w:tc>
        <w:tc>
          <w:tcPr>
            <w:tcW w:w="922" w:type="dxa"/>
            <w:tcBorders>
              <w:top w:val="single" w:sz="4" w:space="0" w:color="auto"/>
              <w:left w:val="single" w:sz="4" w:space="0" w:color="auto"/>
              <w:bottom w:val="single" w:sz="4" w:space="0" w:color="auto"/>
              <w:right w:val="single" w:sz="4" w:space="0" w:color="auto"/>
            </w:tcBorders>
            <w:shd w:val="clear" w:color="auto" w:fill="auto"/>
            <w:vAlign w:val="center"/>
          </w:tcPr>
          <w:p w14:paraId="56024BE9" w14:textId="77777777" w:rsidR="00E24C7A" w:rsidRPr="00E24C7A" w:rsidRDefault="00E24C7A" w:rsidP="00A43635">
            <w:pPr>
              <w:contextualSpacing/>
              <w:jc w:val="center"/>
              <w:rPr>
                <w:rFonts w:ascii="Arial" w:hAnsi="Arial" w:cs="Arial"/>
                <w:color w:val="000000"/>
                <w:sz w:val="18"/>
                <w:szCs w:val="18"/>
              </w:rPr>
            </w:pPr>
            <w:r w:rsidRPr="00E24C7A">
              <w:rPr>
                <w:rFonts w:ascii="Arial" w:hAnsi="Arial" w:cs="Arial"/>
                <w:color w:val="000000"/>
                <w:sz w:val="18"/>
                <w:szCs w:val="18"/>
              </w:rPr>
              <w:t>Агрегатор</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12709DB" w14:textId="77777777" w:rsidR="00E24C7A" w:rsidRPr="00E24C7A" w:rsidRDefault="00E24C7A" w:rsidP="00A43635">
            <w:pPr>
              <w:contextualSpacing/>
              <w:jc w:val="center"/>
              <w:rPr>
                <w:rFonts w:ascii="Arial" w:hAnsi="Arial" w:cs="Arial"/>
                <w:color w:val="000000"/>
                <w:sz w:val="18"/>
                <w:szCs w:val="18"/>
              </w:rPr>
            </w:pPr>
            <w:r w:rsidRPr="00E24C7A">
              <w:rPr>
                <w:rFonts w:ascii="Arial" w:hAnsi="Arial" w:cs="Arial"/>
                <w:color w:val="000000"/>
                <w:sz w:val="18"/>
                <w:szCs w:val="18"/>
              </w:rPr>
              <w:t>АТС</w:t>
            </w:r>
          </w:p>
        </w:tc>
        <w:tc>
          <w:tcPr>
            <w:tcW w:w="1027" w:type="dxa"/>
            <w:tcBorders>
              <w:top w:val="single" w:sz="4" w:space="0" w:color="auto"/>
              <w:left w:val="single" w:sz="4" w:space="0" w:color="auto"/>
              <w:bottom w:val="single" w:sz="4" w:space="0" w:color="auto"/>
              <w:right w:val="single" w:sz="4" w:space="0" w:color="auto"/>
            </w:tcBorders>
            <w:shd w:val="clear" w:color="auto" w:fill="auto"/>
            <w:vAlign w:val="center"/>
          </w:tcPr>
          <w:p w14:paraId="41B1D2BA" w14:textId="77777777" w:rsidR="00E24C7A" w:rsidRPr="00E24C7A" w:rsidRDefault="00E24C7A" w:rsidP="00A43635">
            <w:pPr>
              <w:contextualSpacing/>
              <w:jc w:val="center"/>
              <w:rPr>
                <w:rFonts w:ascii="Arial" w:hAnsi="Arial" w:cs="Arial"/>
                <w:color w:val="000000"/>
                <w:sz w:val="18"/>
                <w:szCs w:val="18"/>
              </w:rPr>
            </w:pPr>
            <w:r w:rsidRPr="00E24C7A">
              <w:rPr>
                <w:rFonts w:ascii="Arial" w:hAnsi="Arial" w:cs="Arial"/>
                <w:color w:val="000000"/>
                <w:sz w:val="18"/>
                <w:szCs w:val="18"/>
              </w:rPr>
              <w:t>Материальный носитель</w:t>
            </w:r>
          </w:p>
        </w:tc>
        <w:tc>
          <w:tcPr>
            <w:tcW w:w="1201" w:type="dxa"/>
            <w:tcBorders>
              <w:top w:val="single" w:sz="4" w:space="0" w:color="auto"/>
              <w:left w:val="single" w:sz="4" w:space="0" w:color="auto"/>
              <w:bottom w:val="single" w:sz="4" w:space="0" w:color="auto"/>
              <w:right w:val="single" w:sz="4" w:space="0" w:color="auto"/>
            </w:tcBorders>
            <w:shd w:val="clear" w:color="auto" w:fill="auto"/>
            <w:vAlign w:val="center"/>
          </w:tcPr>
          <w:p w14:paraId="5DEDFDF0" w14:textId="77777777" w:rsidR="00E24C7A" w:rsidRPr="00E24C7A" w:rsidRDefault="00E24C7A" w:rsidP="00A43635">
            <w:pPr>
              <w:contextualSpacing/>
              <w:jc w:val="center"/>
              <w:rPr>
                <w:rFonts w:ascii="Arial" w:hAnsi="Arial" w:cs="Arial"/>
                <w:color w:val="000000"/>
                <w:sz w:val="18"/>
                <w:szCs w:val="18"/>
              </w:rPr>
            </w:pPr>
            <w:r w:rsidRPr="00E24C7A">
              <w:rPr>
                <w:rFonts w:ascii="Arial" w:hAnsi="Arial" w:cs="Arial"/>
                <w:color w:val="000000"/>
                <w:sz w:val="18"/>
                <w:szCs w:val="18"/>
              </w:rPr>
              <w:t>Нет</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0E33CE43" w14:textId="77777777" w:rsidR="00E24C7A" w:rsidRPr="00E24C7A" w:rsidRDefault="00E24C7A" w:rsidP="00A43635">
            <w:pPr>
              <w:contextualSpacing/>
              <w:jc w:val="center"/>
              <w:rPr>
                <w:rFonts w:ascii="Arial" w:hAnsi="Arial" w:cs="Arial"/>
                <w:color w:val="000000"/>
                <w:sz w:val="18"/>
                <w:szCs w:val="18"/>
              </w:rPr>
            </w:pPr>
            <w:r w:rsidRPr="00E24C7A">
              <w:rPr>
                <w:rFonts w:ascii="Arial" w:hAnsi="Arial" w:cs="Arial"/>
                <w:color w:val="000000"/>
                <w:sz w:val="18"/>
                <w:szCs w:val="18"/>
              </w:rPr>
              <w:t>Нет</w:t>
            </w:r>
          </w:p>
        </w:tc>
        <w:tc>
          <w:tcPr>
            <w:tcW w:w="1862" w:type="dxa"/>
            <w:tcBorders>
              <w:top w:val="single" w:sz="4" w:space="0" w:color="auto"/>
              <w:left w:val="single" w:sz="4" w:space="0" w:color="auto"/>
              <w:bottom w:val="single" w:sz="4" w:space="0" w:color="auto"/>
              <w:right w:val="single" w:sz="4" w:space="0" w:color="auto"/>
            </w:tcBorders>
            <w:shd w:val="clear" w:color="auto" w:fill="auto"/>
            <w:vAlign w:val="center"/>
          </w:tcPr>
          <w:p w14:paraId="747C8D4B" w14:textId="77777777" w:rsidR="00E24C7A" w:rsidRPr="00E24C7A" w:rsidRDefault="00E24C7A" w:rsidP="00A43635">
            <w:pPr>
              <w:contextualSpacing/>
              <w:jc w:val="center"/>
              <w:rPr>
                <w:rFonts w:ascii="Arial" w:hAnsi="Arial" w:cs="Arial"/>
                <w:color w:val="000000"/>
                <w:sz w:val="18"/>
                <w:szCs w:val="18"/>
              </w:rPr>
            </w:pPr>
            <w:r w:rsidRPr="00E24C7A">
              <w:rPr>
                <w:rFonts w:ascii="Arial" w:hAnsi="Arial" w:cs="Arial"/>
                <w:color w:val="000000"/>
                <w:sz w:val="18"/>
                <w:szCs w:val="18"/>
              </w:rPr>
              <w:t>1.3.6.1.4.1.18545.1.2.1.1</w:t>
            </w:r>
          </w:p>
        </w:tc>
        <w:tc>
          <w:tcPr>
            <w:tcW w:w="1046" w:type="dxa"/>
            <w:tcBorders>
              <w:top w:val="single" w:sz="4" w:space="0" w:color="auto"/>
              <w:left w:val="single" w:sz="4" w:space="0" w:color="auto"/>
              <w:bottom w:val="single" w:sz="4" w:space="0" w:color="auto"/>
              <w:right w:val="single" w:sz="4" w:space="0" w:color="auto"/>
            </w:tcBorders>
            <w:shd w:val="clear" w:color="auto" w:fill="auto"/>
            <w:vAlign w:val="center"/>
          </w:tcPr>
          <w:p w14:paraId="694575D9" w14:textId="77777777" w:rsidR="00E24C7A" w:rsidRPr="00E24C7A" w:rsidRDefault="00E24C7A" w:rsidP="00A43635">
            <w:pPr>
              <w:contextualSpacing/>
              <w:jc w:val="center"/>
              <w:rPr>
                <w:rFonts w:ascii="Arial" w:hAnsi="Arial" w:cs="Arial"/>
                <w:color w:val="000000"/>
                <w:sz w:val="18"/>
                <w:szCs w:val="18"/>
              </w:rPr>
            </w:pPr>
            <w:r w:rsidRPr="00E24C7A">
              <w:rPr>
                <w:rFonts w:ascii="Arial" w:hAnsi="Arial" w:cs="Arial"/>
                <w:color w:val="000000"/>
                <w:sz w:val="18"/>
                <w:szCs w:val="18"/>
              </w:rPr>
              <w:t>Adobe Reader</w:t>
            </w:r>
          </w:p>
        </w:tc>
        <w:tc>
          <w:tcPr>
            <w:tcW w:w="773" w:type="dxa"/>
            <w:tcBorders>
              <w:top w:val="single" w:sz="4" w:space="0" w:color="auto"/>
              <w:left w:val="single" w:sz="4" w:space="0" w:color="auto"/>
              <w:bottom w:val="single" w:sz="4" w:space="0" w:color="auto"/>
              <w:right w:val="single" w:sz="4" w:space="0" w:color="auto"/>
            </w:tcBorders>
            <w:shd w:val="clear" w:color="auto" w:fill="auto"/>
            <w:vAlign w:val="center"/>
          </w:tcPr>
          <w:p w14:paraId="28C6EC8F" w14:textId="77777777" w:rsidR="00E24C7A" w:rsidRPr="00E24C7A" w:rsidRDefault="00E24C7A" w:rsidP="00A43635">
            <w:pPr>
              <w:contextualSpacing/>
              <w:jc w:val="center"/>
              <w:rPr>
                <w:rFonts w:ascii="Arial" w:hAnsi="Arial" w:cs="Arial"/>
                <w:color w:val="000000"/>
                <w:sz w:val="18"/>
                <w:szCs w:val="18"/>
              </w:rPr>
            </w:pPr>
            <w:r w:rsidRPr="00E24C7A">
              <w:rPr>
                <w:rFonts w:ascii="Arial" w:hAnsi="Arial" w:cs="Arial"/>
                <w:color w:val="000000"/>
                <w:sz w:val="18"/>
                <w:szCs w:val="18"/>
              </w:rPr>
              <w:t>постоянно</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726E04E9" w14:textId="77777777" w:rsidR="00E24C7A" w:rsidRPr="00E24C7A" w:rsidRDefault="00E24C7A" w:rsidP="00A43635">
            <w:pPr>
              <w:contextualSpacing/>
              <w:jc w:val="center"/>
              <w:rPr>
                <w:rFonts w:ascii="Arial" w:hAnsi="Arial" w:cs="Arial"/>
                <w:color w:val="000000"/>
                <w:sz w:val="18"/>
                <w:szCs w:val="18"/>
              </w:rPr>
            </w:pPr>
          </w:p>
        </w:tc>
      </w:tr>
      <w:tr w:rsidR="00E24C7A" w:rsidRPr="00911253" w14:paraId="0C006823" w14:textId="77777777" w:rsidTr="00E24C7A">
        <w:trPr>
          <w:trHeight w:val="815"/>
        </w:trPr>
        <w:tc>
          <w:tcPr>
            <w:tcW w:w="1083" w:type="dxa"/>
            <w:tcBorders>
              <w:top w:val="single" w:sz="4" w:space="0" w:color="auto"/>
              <w:left w:val="single" w:sz="4" w:space="0" w:color="auto"/>
              <w:bottom w:val="single" w:sz="4" w:space="0" w:color="auto"/>
              <w:right w:val="single" w:sz="4" w:space="0" w:color="auto"/>
            </w:tcBorders>
            <w:shd w:val="clear" w:color="auto" w:fill="auto"/>
            <w:vAlign w:val="center"/>
          </w:tcPr>
          <w:p w14:paraId="22D7DCEA" w14:textId="77777777" w:rsidR="00E24C7A" w:rsidRPr="00E24C7A" w:rsidRDefault="00E24C7A" w:rsidP="00A43635">
            <w:pPr>
              <w:contextualSpacing/>
              <w:jc w:val="center"/>
              <w:rPr>
                <w:rFonts w:ascii="Arial" w:hAnsi="Arial" w:cs="Arial"/>
                <w:color w:val="000000"/>
                <w:sz w:val="18"/>
                <w:szCs w:val="18"/>
                <w:lang w:val="en-US"/>
              </w:rPr>
            </w:pPr>
            <w:r w:rsidRPr="00E24C7A">
              <w:rPr>
                <w:rFonts w:ascii="Arial" w:hAnsi="Arial" w:cs="Arial"/>
                <w:color w:val="000000"/>
                <w:sz w:val="18"/>
                <w:szCs w:val="18"/>
                <w:lang w:val="en-US"/>
              </w:rPr>
              <w:t>PART_ATS_DOU_OREG_ WEB</w:t>
            </w:r>
          </w:p>
        </w:tc>
        <w:tc>
          <w:tcPr>
            <w:tcW w:w="1673" w:type="dxa"/>
            <w:tcBorders>
              <w:top w:val="single" w:sz="4" w:space="0" w:color="auto"/>
              <w:left w:val="single" w:sz="4" w:space="0" w:color="auto"/>
              <w:bottom w:val="single" w:sz="4" w:space="0" w:color="auto"/>
              <w:right w:val="single" w:sz="4" w:space="0" w:color="auto"/>
            </w:tcBorders>
            <w:shd w:val="clear" w:color="auto" w:fill="auto"/>
            <w:vAlign w:val="center"/>
          </w:tcPr>
          <w:p w14:paraId="4E42B176" w14:textId="77777777" w:rsidR="00E24C7A" w:rsidRPr="00E24C7A" w:rsidRDefault="00E24C7A" w:rsidP="00A43635">
            <w:pPr>
              <w:contextualSpacing/>
              <w:jc w:val="center"/>
              <w:rPr>
                <w:rFonts w:ascii="Arial" w:hAnsi="Arial" w:cs="Arial"/>
                <w:color w:val="000000"/>
                <w:sz w:val="18"/>
                <w:szCs w:val="18"/>
              </w:rPr>
            </w:pPr>
            <w:r w:rsidRPr="00E24C7A">
              <w:rPr>
                <w:rFonts w:ascii="Arial" w:hAnsi="Arial" w:cs="Arial"/>
                <w:color w:val="000000"/>
                <w:sz w:val="18"/>
                <w:szCs w:val="18"/>
              </w:rPr>
              <w:t>Договор оказания услуг по изменению режима потребления</w:t>
            </w:r>
          </w:p>
        </w:tc>
        <w:tc>
          <w:tcPr>
            <w:tcW w:w="1898" w:type="dxa"/>
            <w:tcBorders>
              <w:top w:val="single" w:sz="4" w:space="0" w:color="auto"/>
              <w:left w:val="single" w:sz="4" w:space="0" w:color="auto"/>
              <w:bottom w:val="single" w:sz="4" w:space="0" w:color="auto"/>
              <w:right w:val="single" w:sz="4" w:space="0" w:color="auto"/>
            </w:tcBorders>
            <w:shd w:val="clear" w:color="auto" w:fill="auto"/>
            <w:vAlign w:val="center"/>
          </w:tcPr>
          <w:p w14:paraId="6F9ECC0A" w14:textId="77777777" w:rsidR="00E24C7A" w:rsidRPr="00E24C7A" w:rsidRDefault="00E24C7A" w:rsidP="00A43635">
            <w:pPr>
              <w:contextualSpacing/>
              <w:jc w:val="center"/>
              <w:rPr>
                <w:rFonts w:ascii="Arial" w:hAnsi="Arial" w:cs="Arial"/>
                <w:color w:val="000000"/>
                <w:sz w:val="18"/>
                <w:szCs w:val="18"/>
              </w:rPr>
            </w:pPr>
            <w:r w:rsidRPr="00E24C7A">
              <w:rPr>
                <w:rFonts w:ascii="Arial" w:hAnsi="Arial" w:cs="Arial"/>
                <w:color w:val="000000"/>
                <w:sz w:val="18"/>
                <w:szCs w:val="18"/>
              </w:rPr>
              <w:t>Положение о порядке получения статуса субъекта оптового рынка, п. 2.1 приложения 9</w:t>
            </w:r>
          </w:p>
        </w:tc>
        <w:tc>
          <w:tcPr>
            <w:tcW w:w="1115" w:type="dxa"/>
            <w:tcBorders>
              <w:top w:val="single" w:sz="4" w:space="0" w:color="auto"/>
              <w:left w:val="single" w:sz="4" w:space="0" w:color="auto"/>
              <w:bottom w:val="single" w:sz="4" w:space="0" w:color="auto"/>
              <w:right w:val="single" w:sz="4" w:space="0" w:color="auto"/>
            </w:tcBorders>
            <w:shd w:val="clear" w:color="auto" w:fill="auto"/>
            <w:vAlign w:val="center"/>
          </w:tcPr>
          <w:p w14:paraId="3A06831C" w14:textId="77777777" w:rsidR="00E24C7A" w:rsidRPr="00E24C7A" w:rsidRDefault="00E24C7A" w:rsidP="00A43635">
            <w:pPr>
              <w:contextualSpacing/>
              <w:jc w:val="center"/>
              <w:rPr>
                <w:rFonts w:ascii="Arial" w:hAnsi="Arial" w:cs="Arial"/>
                <w:color w:val="000000"/>
                <w:sz w:val="18"/>
                <w:szCs w:val="18"/>
              </w:rPr>
            </w:pPr>
            <w:r w:rsidRPr="00E24C7A">
              <w:rPr>
                <w:rFonts w:ascii="Arial" w:hAnsi="Arial" w:cs="Arial"/>
                <w:color w:val="000000"/>
                <w:sz w:val="18"/>
                <w:szCs w:val="18"/>
              </w:rPr>
              <w:t>pdf</w:t>
            </w:r>
          </w:p>
        </w:tc>
        <w:tc>
          <w:tcPr>
            <w:tcW w:w="922" w:type="dxa"/>
            <w:tcBorders>
              <w:top w:val="single" w:sz="4" w:space="0" w:color="auto"/>
              <w:left w:val="single" w:sz="4" w:space="0" w:color="auto"/>
              <w:bottom w:val="single" w:sz="4" w:space="0" w:color="auto"/>
              <w:right w:val="single" w:sz="4" w:space="0" w:color="auto"/>
            </w:tcBorders>
            <w:shd w:val="clear" w:color="auto" w:fill="auto"/>
            <w:vAlign w:val="center"/>
          </w:tcPr>
          <w:p w14:paraId="26E09D2B" w14:textId="77777777" w:rsidR="00E24C7A" w:rsidRPr="00E24C7A" w:rsidRDefault="00E24C7A" w:rsidP="00A43635">
            <w:pPr>
              <w:contextualSpacing/>
              <w:jc w:val="center"/>
              <w:rPr>
                <w:rFonts w:ascii="Arial" w:hAnsi="Arial" w:cs="Arial"/>
                <w:color w:val="000000"/>
                <w:sz w:val="18"/>
                <w:szCs w:val="18"/>
              </w:rPr>
            </w:pPr>
            <w:r w:rsidRPr="00E24C7A">
              <w:rPr>
                <w:rFonts w:ascii="Arial" w:hAnsi="Arial" w:cs="Arial"/>
                <w:color w:val="000000"/>
                <w:sz w:val="18"/>
                <w:szCs w:val="18"/>
              </w:rPr>
              <w:t>Агрегатор</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1FA45DA" w14:textId="77777777" w:rsidR="00E24C7A" w:rsidRPr="00E24C7A" w:rsidRDefault="00E24C7A" w:rsidP="00A43635">
            <w:pPr>
              <w:contextualSpacing/>
              <w:jc w:val="center"/>
              <w:rPr>
                <w:rFonts w:ascii="Arial" w:hAnsi="Arial" w:cs="Arial"/>
                <w:color w:val="000000"/>
                <w:sz w:val="18"/>
                <w:szCs w:val="18"/>
              </w:rPr>
            </w:pPr>
            <w:r w:rsidRPr="00E24C7A">
              <w:rPr>
                <w:rFonts w:ascii="Arial" w:hAnsi="Arial" w:cs="Arial"/>
                <w:color w:val="000000"/>
                <w:sz w:val="18"/>
                <w:szCs w:val="18"/>
              </w:rPr>
              <w:t>АТС</w:t>
            </w:r>
          </w:p>
        </w:tc>
        <w:tc>
          <w:tcPr>
            <w:tcW w:w="1027" w:type="dxa"/>
            <w:tcBorders>
              <w:top w:val="single" w:sz="4" w:space="0" w:color="auto"/>
              <w:left w:val="single" w:sz="4" w:space="0" w:color="auto"/>
              <w:bottom w:val="single" w:sz="4" w:space="0" w:color="auto"/>
              <w:right w:val="single" w:sz="4" w:space="0" w:color="auto"/>
            </w:tcBorders>
            <w:shd w:val="clear" w:color="auto" w:fill="auto"/>
            <w:vAlign w:val="center"/>
          </w:tcPr>
          <w:p w14:paraId="49567DC2" w14:textId="77777777" w:rsidR="00E24C7A" w:rsidRPr="00E24C7A" w:rsidRDefault="00E24C7A" w:rsidP="00A43635">
            <w:pPr>
              <w:contextualSpacing/>
              <w:jc w:val="center"/>
              <w:rPr>
                <w:rFonts w:ascii="Arial" w:hAnsi="Arial" w:cs="Arial"/>
                <w:color w:val="000000"/>
                <w:sz w:val="18"/>
                <w:szCs w:val="18"/>
              </w:rPr>
            </w:pPr>
            <w:r w:rsidRPr="00E24C7A">
              <w:rPr>
                <w:rFonts w:ascii="Arial" w:hAnsi="Arial" w:cs="Arial"/>
                <w:color w:val="000000"/>
                <w:sz w:val="18"/>
                <w:szCs w:val="18"/>
              </w:rPr>
              <w:t>WEB-интерфейс</w:t>
            </w:r>
          </w:p>
        </w:tc>
        <w:tc>
          <w:tcPr>
            <w:tcW w:w="1201" w:type="dxa"/>
            <w:tcBorders>
              <w:top w:val="single" w:sz="4" w:space="0" w:color="auto"/>
              <w:left w:val="single" w:sz="4" w:space="0" w:color="auto"/>
              <w:bottom w:val="single" w:sz="4" w:space="0" w:color="auto"/>
              <w:right w:val="single" w:sz="4" w:space="0" w:color="auto"/>
            </w:tcBorders>
            <w:shd w:val="clear" w:color="auto" w:fill="auto"/>
            <w:vAlign w:val="center"/>
          </w:tcPr>
          <w:p w14:paraId="162352D9" w14:textId="77777777" w:rsidR="00E24C7A" w:rsidRPr="00E24C7A" w:rsidRDefault="00E24C7A" w:rsidP="00A43635">
            <w:pPr>
              <w:contextualSpacing/>
              <w:jc w:val="center"/>
              <w:rPr>
                <w:rFonts w:ascii="Arial" w:hAnsi="Arial" w:cs="Arial"/>
                <w:color w:val="000000"/>
                <w:sz w:val="18"/>
                <w:szCs w:val="18"/>
              </w:rPr>
            </w:pPr>
            <w:r w:rsidRPr="00E24C7A">
              <w:rPr>
                <w:rFonts w:ascii="Arial" w:hAnsi="Arial" w:cs="Arial"/>
                <w:color w:val="000000"/>
                <w:sz w:val="18"/>
                <w:szCs w:val="18"/>
              </w:rPr>
              <w:t>Нет</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642DFA5D" w14:textId="77777777" w:rsidR="00E24C7A" w:rsidRPr="00E24C7A" w:rsidRDefault="00E24C7A" w:rsidP="00A43635">
            <w:pPr>
              <w:contextualSpacing/>
              <w:jc w:val="center"/>
              <w:rPr>
                <w:rFonts w:ascii="Arial" w:hAnsi="Arial" w:cs="Arial"/>
                <w:color w:val="000000"/>
                <w:sz w:val="18"/>
                <w:szCs w:val="18"/>
              </w:rPr>
            </w:pPr>
            <w:r w:rsidRPr="00E24C7A">
              <w:rPr>
                <w:rFonts w:ascii="Arial" w:hAnsi="Arial" w:cs="Arial"/>
                <w:color w:val="000000"/>
                <w:sz w:val="18"/>
                <w:szCs w:val="18"/>
              </w:rPr>
              <w:t>Нет</w:t>
            </w:r>
          </w:p>
        </w:tc>
        <w:tc>
          <w:tcPr>
            <w:tcW w:w="1862" w:type="dxa"/>
            <w:tcBorders>
              <w:top w:val="single" w:sz="4" w:space="0" w:color="auto"/>
              <w:left w:val="single" w:sz="4" w:space="0" w:color="auto"/>
              <w:bottom w:val="single" w:sz="4" w:space="0" w:color="auto"/>
              <w:right w:val="single" w:sz="4" w:space="0" w:color="auto"/>
            </w:tcBorders>
            <w:shd w:val="clear" w:color="auto" w:fill="auto"/>
            <w:vAlign w:val="center"/>
          </w:tcPr>
          <w:p w14:paraId="52EAB014" w14:textId="77777777" w:rsidR="00E24C7A" w:rsidRPr="00E24C7A" w:rsidRDefault="00E24C7A" w:rsidP="00A43635">
            <w:pPr>
              <w:contextualSpacing/>
              <w:jc w:val="center"/>
              <w:rPr>
                <w:rFonts w:ascii="Arial" w:hAnsi="Arial" w:cs="Arial"/>
                <w:color w:val="000000"/>
                <w:sz w:val="18"/>
                <w:szCs w:val="18"/>
              </w:rPr>
            </w:pPr>
            <w:r w:rsidRPr="00E24C7A">
              <w:rPr>
                <w:rFonts w:ascii="Arial" w:hAnsi="Arial" w:cs="Arial"/>
                <w:color w:val="000000"/>
                <w:sz w:val="18"/>
                <w:szCs w:val="18"/>
              </w:rPr>
              <w:t>1.3.6.1.4.1.18545.1.2.1.1</w:t>
            </w:r>
          </w:p>
        </w:tc>
        <w:tc>
          <w:tcPr>
            <w:tcW w:w="1046" w:type="dxa"/>
            <w:tcBorders>
              <w:top w:val="single" w:sz="4" w:space="0" w:color="auto"/>
              <w:left w:val="single" w:sz="4" w:space="0" w:color="auto"/>
              <w:bottom w:val="single" w:sz="4" w:space="0" w:color="auto"/>
              <w:right w:val="single" w:sz="4" w:space="0" w:color="auto"/>
            </w:tcBorders>
            <w:shd w:val="clear" w:color="auto" w:fill="auto"/>
            <w:vAlign w:val="center"/>
          </w:tcPr>
          <w:p w14:paraId="1071D77E" w14:textId="77777777" w:rsidR="00E24C7A" w:rsidRPr="00E24C7A" w:rsidRDefault="00E24C7A" w:rsidP="00A43635">
            <w:pPr>
              <w:contextualSpacing/>
              <w:jc w:val="center"/>
              <w:rPr>
                <w:rFonts w:ascii="Arial" w:hAnsi="Arial" w:cs="Arial"/>
                <w:color w:val="000000"/>
                <w:sz w:val="18"/>
                <w:szCs w:val="18"/>
              </w:rPr>
            </w:pPr>
            <w:r w:rsidRPr="00E24C7A">
              <w:rPr>
                <w:rFonts w:ascii="Arial" w:hAnsi="Arial" w:cs="Arial"/>
                <w:color w:val="000000"/>
                <w:sz w:val="18"/>
                <w:szCs w:val="18"/>
              </w:rPr>
              <w:t>Adobe Reader</w:t>
            </w:r>
          </w:p>
        </w:tc>
        <w:tc>
          <w:tcPr>
            <w:tcW w:w="773" w:type="dxa"/>
            <w:tcBorders>
              <w:top w:val="single" w:sz="4" w:space="0" w:color="auto"/>
              <w:left w:val="single" w:sz="4" w:space="0" w:color="auto"/>
              <w:bottom w:val="single" w:sz="4" w:space="0" w:color="auto"/>
              <w:right w:val="single" w:sz="4" w:space="0" w:color="auto"/>
            </w:tcBorders>
            <w:shd w:val="clear" w:color="auto" w:fill="auto"/>
            <w:vAlign w:val="center"/>
          </w:tcPr>
          <w:p w14:paraId="7A64C9A6" w14:textId="77777777" w:rsidR="00E24C7A" w:rsidRPr="00E24C7A" w:rsidRDefault="00E24C7A" w:rsidP="00A43635">
            <w:pPr>
              <w:contextualSpacing/>
              <w:jc w:val="center"/>
              <w:rPr>
                <w:rFonts w:ascii="Arial" w:hAnsi="Arial" w:cs="Arial"/>
                <w:color w:val="000000"/>
                <w:sz w:val="18"/>
                <w:szCs w:val="18"/>
              </w:rPr>
            </w:pPr>
            <w:r w:rsidRPr="00E24C7A">
              <w:rPr>
                <w:rFonts w:ascii="Arial" w:hAnsi="Arial" w:cs="Arial"/>
                <w:color w:val="000000"/>
                <w:sz w:val="18"/>
                <w:szCs w:val="18"/>
              </w:rPr>
              <w:t>постоянно</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0798CD16" w14:textId="77777777" w:rsidR="00E24C7A" w:rsidRPr="00E24C7A" w:rsidRDefault="00E24C7A" w:rsidP="00A43635">
            <w:pPr>
              <w:contextualSpacing/>
              <w:jc w:val="center"/>
              <w:rPr>
                <w:rFonts w:ascii="Arial" w:hAnsi="Arial" w:cs="Arial"/>
                <w:color w:val="000000"/>
                <w:sz w:val="18"/>
                <w:szCs w:val="18"/>
              </w:rPr>
            </w:pPr>
          </w:p>
        </w:tc>
      </w:tr>
      <w:tr w:rsidR="00E24C7A" w:rsidRPr="00911253" w14:paraId="210F081F" w14:textId="77777777" w:rsidTr="00647FA0">
        <w:trPr>
          <w:trHeight w:val="274"/>
        </w:trPr>
        <w:tc>
          <w:tcPr>
            <w:tcW w:w="1083" w:type="dxa"/>
            <w:tcBorders>
              <w:top w:val="single" w:sz="4" w:space="0" w:color="auto"/>
              <w:left w:val="single" w:sz="4" w:space="0" w:color="auto"/>
              <w:bottom w:val="single" w:sz="4" w:space="0" w:color="auto"/>
              <w:right w:val="single" w:sz="4" w:space="0" w:color="auto"/>
            </w:tcBorders>
            <w:shd w:val="clear" w:color="auto" w:fill="auto"/>
            <w:vAlign w:val="center"/>
          </w:tcPr>
          <w:p w14:paraId="06A7C176" w14:textId="77777777" w:rsidR="00E24C7A" w:rsidRPr="00E24C7A" w:rsidRDefault="00E24C7A" w:rsidP="00A43635">
            <w:pPr>
              <w:contextualSpacing/>
              <w:jc w:val="center"/>
              <w:rPr>
                <w:rFonts w:ascii="Arial" w:hAnsi="Arial" w:cs="Arial"/>
                <w:color w:val="000000"/>
                <w:sz w:val="18"/>
                <w:szCs w:val="18"/>
                <w:lang w:val="en-US"/>
              </w:rPr>
            </w:pPr>
            <w:r w:rsidRPr="00E24C7A">
              <w:rPr>
                <w:rFonts w:ascii="Arial" w:hAnsi="Arial" w:cs="Arial"/>
                <w:color w:val="000000"/>
                <w:sz w:val="18"/>
                <w:szCs w:val="18"/>
                <w:lang w:val="en-US"/>
              </w:rPr>
              <w:t>PART_ATS_DDEL_OREG_MED</w:t>
            </w:r>
          </w:p>
        </w:tc>
        <w:tc>
          <w:tcPr>
            <w:tcW w:w="1673" w:type="dxa"/>
            <w:tcBorders>
              <w:top w:val="single" w:sz="4" w:space="0" w:color="auto"/>
              <w:left w:val="single" w:sz="4" w:space="0" w:color="auto"/>
              <w:bottom w:val="single" w:sz="4" w:space="0" w:color="auto"/>
              <w:right w:val="single" w:sz="4" w:space="0" w:color="auto"/>
            </w:tcBorders>
            <w:shd w:val="clear" w:color="auto" w:fill="auto"/>
            <w:vAlign w:val="center"/>
          </w:tcPr>
          <w:p w14:paraId="6CB58EED" w14:textId="77777777" w:rsidR="00E24C7A" w:rsidRPr="00E24C7A" w:rsidRDefault="00E24C7A" w:rsidP="00A43635">
            <w:pPr>
              <w:contextualSpacing/>
              <w:jc w:val="center"/>
              <w:rPr>
                <w:rFonts w:ascii="Arial" w:hAnsi="Arial" w:cs="Arial"/>
                <w:color w:val="000000"/>
                <w:sz w:val="18"/>
                <w:szCs w:val="18"/>
              </w:rPr>
            </w:pPr>
            <w:r w:rsidRPr="00E24C7A">
              <w:rPr>
                <w:rFonts w:ascii="Arial" w:hAnsi="Arial" w:cs="Arial"/>
                <w:color w:val="000000"/>
                <w:sz w:val="18"/>
                <w:szCs w:val="18"/>
              </w:rPr>
              <w:t xml:space="preserve">Доказательства прекращения договора оказания услуг </w:t>
            </w:r>
            <w:r w:rsidRPr="00E24C7A">
              <w:rPr>
                <w:rFonts w:ascii="Arial" w:hAnsi="Arial" w:cs="Arial"/>
                <w:color w:val="000000"/>
                <w:sz w:val="18"/>
                <w:szCs w:val="18"/>
              </w:rPr>
              <w:lastRenderedPageBreak/>
              <w:t>по изменению режима</w:t>
            </w:r>
          </w:p>
        </w:tc>
        <w:tc>
          <w:tcPr>
            <w:tcW w:w="1898" w:type="dxa"/>
            <w:tcBorders>
              <w:top w:val="single" w:sz="4" w:space="0" w:color="auto"/>
              <w:left w:val="single" w:sz="4" w:space="0" w:color="auto"/>
              <w:bottom w:val="single" w:sz="4" w:space="0" w:color="auto"/>
              <w:right w:val="single" w:sz="4" w:space="0" w:color="auto"/>
            </w:tcBorders>
            <w:shd w:val="clear" w:color="auto" w:fill="auto"/>
            <w:vAlign w:val="center"/>
          </w:tcPr>
          <w:p w14:paraId="0C3909BF" w14:textId="77777777" w:rsidR="00E24C7A" w:rsidRPr="00E24C7A" w:rsidRDefault="00E24C7A" w:rsidP="00A43635">
            <w:pPr>
              <w:contextualSpacing/>
              <w:jc w:val="center"/>
              <w:rPr>
                <w:rFonts w:ascii="Arial" w:hAnsi="Arial" w:cs="Arial"/>
                <w:color w:val="000000"/>
                <w:sz w:val="18"/>
                <w:szCs w:val="18"/>
              </w:rPr>
            </w:pPr>
            <w:r w:rsidRPr="00E24C7A">
              <w:rPr>
                <w:rFonts w:ascii="Arial" w:hAnsi="Arial" w:cs="Arial"/>
                <w:color w:val="000000"/>
                <w:sz w:val="18"/>
                <w:szCs w:val="18"/>
              </w:rPr>
              <w:lastRenderedPageBreak/>
              <w:t>Положение о порядке получения статуса субъекта оптового рынка, п. 2.1 приложения 9</w:t>
            </w:r>
          </w:p>
        </w:tc>
        <w:tc>
          <w:tcPr>
            <w:tcW w:w="1115" w:type="dxa"/>
            <w:tcBorders>
              <w:top w:val="single" w:sz="4" w:space="0" w:color="auto"/>
              <w:left w:val="single" w:sz="4" w:space="0" w:color="auto"/>
              <w:bottom w:val="single" w:sz="4" w:space="0" w:color="auto"/>
              <w:right w:val="single" w:sz="4" w:space="0" w:color="auto"/>
            </w:tcBorders>
            <w:shd w:val="clear" w:color="auto" w:fill="auto"/>
            <w:vAlign w:val="center"/>
          </w:tcPr>
          <w:p w14:paraId="03378A61" w14:textId="77777777" w:rsidR="00E24C7A" w:rsidRPr="00E24C7A" w:rsidRDefault="00E24C7A" w:rsidP="00A43635">
            <w:pPr>
              <w:contextualSpacing/>
              <w:jc w:val="center"/>
              <w:rPr>
                <w:rFonts w:ascii="Arial" w:hAnsi="Arial" w:cs="Arial"/>
                <w:color w:val="000000"/>
                <w:sz w:val="18"/>
                <w:szCs w:val="18"/>
              </w:rPr>
            </w:pPr>
            <w:r w:rsidRPr="00E24C7A">
              <w:rPr>
                <w:rFonts w:ascii="Arial" w:hAnsi="Arial" w:cs="Arial"/>
                <w:color w:val="000000"/>
                <w:sz w:val="18"/>
                <w:szCs w:val="18"/>
              </w:rPr>
              <w:t>pdf</w:t>
            </w:r>
          </w:p>
        </w:tc>
        <w:tc>
          <w:tcPr>
            <w:tcW w:w="922" w:type="dxa"/>
            <w:tcBorders>
              <w:top w:val="single" w:sz="4" w:space="0" w:color="auto"/>
              <w:left w:val="single" w:sz="4" w:space="0" w:color="auto"/>
              <w:bottom w:val="single" w:sz="4" w:space="0" w:color="auto"/>
              <w:right w:val="single" w:sz="4" w:space="0" w:color="auto"/>
            </w:tcBorders>
            <w:shd w:val="clear" w:color="auto" w:fill="auto"/>
            <w:vAlign w:val="center"/>
          </w:tcPr>
          <w:p w14:paraId="04C4623D" w14:textId="77777777" w:rsidR="00E24C7A" w:rsidRPr="00E24C7A" w:rsidRDefault="00E24C7A" w:rsidP="00A43635">
            <w:pPr>
              <w:contextualSpacing/>
              <w:jc w:val="center"/>
              <w:rPr>
                <w:rFonts w:ascii="Arial" w:hAnsi="Arial" w:cs="Arial"/>
                <w:color w:val="000000"/>
                <w:sz w:val="18"/>
                <w:szCs w:val="18"/>
              </w:rPr>
            </w:pPr>
            <w:r w:rsidRPr="00E24C7A">
              <w:rPr>
                <w:rFonts w:ascii="Arial" w:hAnsi="Arial" w:cs="Arial"/>
                <w:color w:val="000000"/>
                <w:sz w:val="18"/>
                <w:szCs w:val="18"/>
              </w:rPr>
              <w:t>Агрегатор</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CF97E13" w14:textId="77777777" w:rsidR="00E24C7A" w:rsidRPr="00E24C7A" w:rsidRDefault="00E24C7A" w:rsidP="00A43635">
            <w:pPr>
              <w:contextualSpacing/>
              <w:jc w:val="center"/>
              <w:rPr>
                <w:rFonts w:ascii="Arial" w:hAnsi="Arial" w:cs="Arial"/>
                <w:color w:val="000000"/>
                <w:sz w:val="18"/>
                <w:szCs w:val="18"/>
              </w:rPr>
            </w:pPr>
            <w:r w:rsidRPr="00E24C7A">
              <w:rPr>
                <w:rFonts w:ascii="Arial" w:hAnsi="Arial" w:cs="Arial"/>
                <w:color w:val="000000"/>
                <w:sz w:val="18"/>
                <w:szCs w:val="18"/>
              </w:rPr>
              <w:t>АТС</w:t>
            </w:r>
          </w:p>
        </w:tc>
        <w:tc>
          <w:tcPr>
            <w:tcW w:w="1027" w:type="dxa"/>
            <w:tcBorders>
              <w:top w:val="single" w:sz="4" w:space="0" w:color="auto"/>
              <w:left w:val="single" w:sz="4" w:space="0" w:color="auto"/>
              <w:bottom w:val="single" w:sz="4" w:space="0" w:color="auto"/>
              <w:right w:val="single" w:sz="4" w:space="0" w:color="auto"/>
            </w:tcBorders>
            <w:shd w:val="clear" w:color="auto" w:fill="auto"/>
            <w:vAlign w:val="center"/>
          </w:tcPr>
          <w:p w14:paraId="0A668D6A" w14:textId="77777777" w:rsidR="00E24C7A" w:rsidRPr="00E24C7A" w:rsidRDefault="00E24C7A" w:rsidP="00A43635">
            <w:pPr>
              <w:contextualSpacing/>
              <w:jc w:val="center"/>
              <w:rPr>
                <w:rFonts w:ascii="Arial" w:hAnsi="Arial" w:cs="Arial"/>
                <w:color w:val="000000"/>
                <w:sz w:val="18"/>
                <w:szCs w:val="18"/>
              </w:rPr>
            </w:pPr>
            <w:r w:rsidRPr="00E24C7A">
              <w:rPr>
                <w:rFonts w:ascii="Arial" w:hAnsi="Arial" w:cs="Arial"/>
                <w:color w:val="000000"/>
                <w:sz w:val="18"/>
                <w:szCs w:val="18"/>
              </w:rPr>
              <w:t>Материальный носитель</w:t>
            </w:r>
          </w:p>
        </w:tc>
        <w:tc>
          <w:tcPr>
            <w:tcW w:w="1201" w:type="dxa"/>
            <w:tcBorders>
              <w:top w:val="single" w:sz="4" w:space="0" w:color="auto"/>
              <w:left w:val="single" w:sz="4" w:space="0" w:color="auto"/>
              <w:bottom w:val="single" w:sz="4" w:space="0" w:color="auto"/>
              <w:right w:val="single" w:sz="4" w:space="0" w:color="auto"/>
            </w:tcBorders>
            <w:shd w:val="clear" w:color="auto" w:fill="auto"/>
            <w:vAlign w:val="center"/>
          </w:tcPr>
          <w:p w14:paraId="1B4BE311" w14:textId="77777777" w:rsidR="00E24C7A" w:rsidRPr="00E24C7A" w:rsidRDefault="00E24C7A" w:rsidP="00A43635">
            <w:pPr>
              <w:contextualSpacing/>
              <w:jc w:val="center"/>
              <w:rPr>
                <w:rFonts w:ascii="Arial" w:hAnsi="Arial" w:cs="Arial"/>
                <w:color w:val="000000"/>
                <w:sz w:val="18"/>
                <w:szCs w:val="18"/>
              </w:rPr>
            </w:pPr>
            <w:r w:rsidRPr="00E24C7A">
              <w:rPr>
                <w:rFonts w:ascii="Arial" w:hAnsi="Arial" w:cs="Arial"/>
                <w:color w:val="000000"/>
                <w:sz w:val="18"/>
                <w:szCs w:val="18"/>
              </w:rPr>
              <w:t>Нет</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4952C88F" w14:textId="77777777" w:rsidR="00E24C7A" w:rsidRPr="00E24C7A" w:rsidRDefault="00E24C7A" w:rsidP="00A43635">
            <w:pPr>
              <w:contextualSpacing/>
              <w:jc w:val="center"/>
              <w:rPr>
                <w:rFonts w:ascii="Arial" w:hAnsi="Arial" w:cs="Arial"/>
                <w:color w:val="000000"/>
                <w:sz w:val="18"/>
                <w:szCs w:val="18"/>
              </w:rPr>
            </w:pPr>
            <w:r w:rsidRPr="00E24C7A">
              <w:rPr>
                <w:rFonts w:ascii="Arial" w:hAnsi="Arial" w:cs="Arial"/>
                <w:color w:val="000000"/>
                <w:sz w:val="18"/>
                <w:szCs w:val="18"/>
              </w:rPr>
              <w:t>Нет</w:t>
            </w:r>
          </w:p>
        </w:tc>
        <w:tc>
          <w:tcPr>
            <w:tcW w:w="1862" w:type="dxa"/>
            <w:tcBorders>
              <w:top w:val="single" w:sz="4" w:space="0" w:color="auto"/>
              <w:left w:val="single" w:sz="4" w:space="0" w:color="auto"/>
              <w:bottom w:val="single" w:sz="4" w:space="0" w:color="auto"/>
              <w:right w:val="single" w:sz="4" w:space="0" w:color="auto"/>
            </w:tcBorders>
            <w:shd w:val="clear" w:color="auto" w:fill="auto"/>
            <w:vAlign w:val="center"/>
          </w:tcPr>
          <w:p w14:paraId="07E4F76F" w14:textId="77777777" w:rsidR="00E24C7A" w:rsidRPr="00E24C7A" w:rsidRDefault="00E24C7A" w:rsidP="00A43635">
            <w:pPr>
              <w:contextualSpacing/>
              <w:jc w:val="center"/>
              <w:rPr>
                <w:rFonts w:ascii="Arial" w:hAnsi="Arial" w:cs="Arial"/>
                <w:color w:val="000000"/>
                <w:sz w:val="18"/>
                <w:szCs w:val="18"/>
              </w:rPr>
            </w:pPr>
            <w:r w:rsidRPr="00E24C7A">
              <w:rPr>
                <w:rFonts w:ascii="Arial" w:hAnsi="Arial" w:cs="Arial"/>
                <w:color w:val="000000"/>
                <w:sz w:val="18"/>
                <w:szCs w:val="18"/>
              </w:rPr>
              <w:t>1.3.6.1.4.1.18545.1.2.1.1</w:t>
            </w:r>
          </w:p>
        </w:tc>
        <w:tc>
          <w:tcPr>
            <w:tcW w:w="1046" w:type="dxa"/>
            <w:tcBorders>
              <w:top w:val="single" w:sz="4" w:space="0" w:color="auto"/>
              <w:left w:val="single" w:sz="4" w:space="0" w:color="auto"/>
              <w:bottom w:val="single" w:sz="4" w:space="0" w:color="auto"/>
              <w:right w:val="single" w:sz="4" w:space="0" w:color="auto"/>
            </w:tcBorders>
            <w:shd w:val="clear" w:color="auto" w:fill="auto"/>
            <w:vAlign w:val="center"/>
          </w:tcPr>
          <w:p w14:paraId="75F51CDC" w14:textId="77777777" w:rsidR="00E24C7A" w:rsidRPr="00E24C7A" w:rsidRDefault="00E24C7A" w:rsidP="00A43635">
            <w:pPr>
              <w:contextualSpacing/>
              <w:jc w:val="center"/>
              <w:rPr>
                <w:rFonts w:ascii="Arial" w:hAnsi="Arial" w:cs="Arial"/>
                <w:color w:val="000000"/>
                <w:sz w:val="18"/>
                <w:szCs w:val="18"/>
              </w:rPr>
            </w:pPr>
            <w:r w:rsidRPr="00E24C7A">
              <w:rPr>
                <w:rFonts w:ascii="Arial" w:hAnsi="Arial" w:cs="Arial"/>
                <w:color w:val="000000"/>
                <w:sz w:val="18"/>
                <w:szCs w:val="18"/>
              </w:rPr>
              <w:t>Adobe Reader</w:t>
            </w:r>
          </w:p>
        </w:tc>
        <w:tc>
          <w:tcPr>
            <w:tcW w:w="773" w:type="dxa"/>
            <w:tcBorders>
              <w:top w:val="single" w:sz="4" w:space="0" w:color="auto"/>
              <w:left w:val="single" w:sz="4" w:space="0" w:color="auto"/>
              <w:bottom w:val="single" w:sz="4" w:space="0" w:color="auto"/>
              <w:right w:val="single" w:sz="4" w:space="0" w:color="auto"/>
            </w:tcBorders>
            <w:shd w:val="clear" w:color="auto" w:fill="auto"/>
            <w:vAlign w:val="center"/>
          </w:tcPr>
          <w:p w14:paraId="57612552" w14:textId="77777777" w:rsidR="00E24C7A" w:rsidRPr="00E24C7A" w:rsidRDefault="00E24C7A" w:rsidP="00A43635">
            <w:pPr>
              <w:contextualSpacing/>
              <w:jc w:val="center"/>
              <w:rPr>
                <w:rFonts w:ascii="Arial" w:hAnsi="Arial" w:cs="Arial"/>
                <w:color w:val="000000"/>
                <w:sz w:val="18"/>
                <w:szCs w:val="18"/>
              </w:rPr>
            </w:pPr>
            <w:r w:rsidRPr="00E24C7A">
              <w:rPr>
                <w:rFonts w:ascii="Arial" w:hAnsi="Arial" w:cs="Arial"/>
                <w:color w:val="000000"/>
                <w:sz w:val="18"/>
                <w:szCs w:val="18"/>
              </w:rPr>
              <w:t>постоянно</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44E1AF4D" w14:textId="77777777" w:rsidR="00E24C7A" w:rsidRPr="00E24C7A" w:rsidRDefault="00E24C7A" w:rsidP="00A43635">
            <w:pPr>
              <w:contextualSpacing/>
              <w:jc w:val="center"/>
              <w:rPr>
                <w:rFonts w:ascii="Arial" w:hAnsi="Arial" w:cs="Arial"/>
                <w:color w:val="000000"/>
                <w:sz w:val="18"/>
                <w:szCs w:val="18"/>
              </w:rPr>
            </w:pPr>
          </w:p>
        </w:tc>
      </w:tr>
      <w:tr w:rsidR="00E24C7A" w:rsidRPr="00911253" w14:paraId="03DA8BDF" w14:textId="77777777" w:rsidTr="00E24C7A">
        <w:trPr>
          <w:trHeight w:val="815"/>
        </w:trPr>
        <w:tc>
          <w:tcPr>
            <w:tcW w:w="1083" w:type="dxa"/>
            <w:tcBorders>
              <w:top w:val="single" w:sz="4" w:space="0" w:color="auto"/>
              <w:left w:val="single" w:sz="4" w:space="0" w:color="auto"/>
              <w:bottom w:val="single" w:sz="4" w:space="0" w:color="auto"/>
              <w:right w:val="single" w:sz="4" w:space="0" w:color="auto"/>
            </w:tcBorders>
            <w:shd w:val="clear" w:color="auto" w:fill="auto"/>
            <w:vAlign w:val="center"/>
          </w:tcPr>
          <w:p w14:paraId="58B75D5C" w14:textId="77777777" w:rsidR="00E24C7A" w:rsidRPr="00E24C7A" w:rsidRDefault="00E24C7A" w:rsidP="00A43635">
            <w:pPr>
              <w:contextualSpacing/>
              <w:jc w:val="center"/>
              <w:rPr>
                <w:rFonts w:ascii="Arial" w:hAnsi="Arial" w:cs="Arial"/>
                <w:color w:val="000000"/>
                <w:sz w:val="18"/>
                <w:szCs w:val="18"/>
                <w:lang w:val="en-US"/>
              </w:rPr>
            </w:pPr>
            <w:r w:rsidRPr="00E24C7A">
              <w:rPr>
                <w:rFonts w:ascii="Arial" w:hAnsi="Arial" w:cs="Arial"/>
                <w:color w:val="000000"/>
                <w:sz w:val="18"/>
                <w:szCs w:val="18"/>
                <w:lang w:val="en-US"/>
              </w:rPr>
              <w:t>PART_ATS_DDEL_OREG_ WEB</w:t>
            </w:r>
          </w:p>
        </w:tc>
        <w:tc>
          <w:tcPr>
            <w:tcW w:w="1673" w:type="dxa"/>
            <w:tcBorders>
              <w:top w:val="single" w:sz="4" w:space="0" w:color="auto"/>
              <w:left w:val="single" w:sz="4" w:space="0" w:color="auto"/>
              <w:bottom w:val="single" w:sz="4" w:space="0" w:color="auto"/>
              <w:right w:val="single" w:sz="4" w:space="0" w:color="auto"/>
            </w:tcBorders>
            <w:shd w:val="clear" w:color="auto" w:fill="auto"/>
            <w:vAlign w:val="center"/>
          </w:tcPr>
          <w:p w14:paraId="0D8572EF" w14:textId="77777777" w:rsidR="00E24C7A" w:rsidRPr="00E24C7A" w:rsidRDefault="00E24C7A" w:rsidP="00A43635">
            <w:pPr>
              <w:contextualSpacing/>
              <w:jc w:val="center"/>
              <w:rPr>
                <w:rFonts w:ascii="Arial" w:hAnsi="Arial" w:cs="Arial"/>
                <w:color w:val="000000"/>
                <w:sz w:val="18"/>
                <w:szCs w:val="18"/>
              </w:rPr>
            </w:pPr>
            <w:r w:rsidRPr="00E24C7A">
              <w:rPr>
                <w:rFonts w:ascii="Arial" w:hAnsi="Arial" w:cs="Arial"/>
                <w:color w:val="000000"/>
                <w:sz w:val="18"/>
                <w:szCs w:val="18"/>
              </w:rPr>
              <w:t>Доказательства прекращения договора оказания услуг по изменению режима</w:t>
            </w:r>
          </w:p>
        </w:tc>
        <w:tc>
          <w:tcPr>
            <w:tcW w:w="1898" w:type="dxa"/>
            <w:tcBorders>
              <w:top w:val="single" w:sz="4" w:space="0" w:color="auto"/>
              <w:left w:val="single" w:sz="4" w:space="0" w:color="auto"/>
              <w:bottom w:val="single" w:sz="4" w:space="0" w:color="auto"/>
              <w:right w:val="single" w:sz="4" w:space="0" w:color="auto"/>
            </w:tcBorders>
            <w:shd w:val="clear" w:color="auto" w:fill="auto"/>
            <w:vAlign w:val="center"/>
          </w:tcPr>
          <w:p w14:paraId="5396EC80" w14:textId="77777777" w:rsidR="00E24C7A" w:rsidRPr="00E24C7A" w:rsidRDefault="00E24C7A" w:rsidP="00A43635">
            <w:pPr>
              <w:contextualSpacing/>
              <w:jc w:val="center"/>
              <w:rPr>
                <w:rFonts w:ascii="Arial" w:hAnsi="Arial" w:cs="Arial"/>
                <w:color w:val="000000"/>
                <w:sz w:val="18"/>
                <w:szCs w:val="18"/>
              </w:rPr>
            </w:pPr>
            <w:r w:rsidRPr="00E24C7A">
              <w:rPr>
                <w:rFonts w:ascii="Arial" w:hAnsi="Arial" w:cs="Arial"/>
                <w:color w:val="000000"/>
                <w:sz w:val="18"/>
                <w:szCs w:val="18"/>
              </w:rPr>
              <w:t>Положение о порядке получения статуса субъекта оптового рынка, п. 2.1 приложения 9</w:t>
            </w:r>
          </w:p>
        </w:tc>
        <w:tc>
          <w:tcPr>
            <w:tcW w:w="1115" w:type="dxa"/>
            <w:tcBorders>
              <w:top w:val="single" w:sz="4" w:space="0" w:color="auto"/>
              <w:left w:val="single" w:sz="4" w:space="0" w:color="auto"/>
              <w:bottom w:val="single" w:sz="4" w:space="0" w:color="auto"/>
              <w:right w:val="single" w:sz="4" w:space="0" w:color="auto"/>
            </w:tcBorders>
            <w:shd w:val="clear" w:color="auto" w:fill="auto"/>
            <w:vAlign w:val="center"/>
          </w:tcPr>
          <w:p w14:paraId="5FFBD4BF" w14:textId="77777777" w:rsidR="00E24C7A" w:rsidRPr="00E24C7A" w:rsidRDefault="00E24C7A" w:rsidP="00A43635">
            <w:pPr>
              <w:contextualSpacing/>
              <w:jc w:val="center"/>
              <w:rPr>
                <w:rFonts w:ascii="Arial" w:hAnsi="Arial" w:cs="Arial"/>
                <w:color w:val="000000"/>
                <w:sz w:val="18"/>
                <w:szCs w:val="18"/>
              </w:rPr>
            </w:pPr>
            <w:r w:rsidRPr="00E24C7A">
              <w:rPr>
                <w:rFonts w:ascii="Arial" w:hAnsi="Arial" w:cs="Arial"/>
                <w:color w:val="000000"/>
                <w:sz w:val="18"/>
                <w:szCs w:val="18"/>
              </w:rPr>
              <w:t>pdf</w:t>
            </w:r>
          </w:p>
        </w:tc>
        <w:tc>
          <w:tcPr>
            <w:tcW w:w="922" w:type="dxa"/>
            <w:tcBorders>
              <w:top w:val="single" w:sz="4" w:space="0" w:color="auto"/>
              <w:left w:val="single" w:sz="4" w:space="0" w:color="auto"/>
              <w:bottom w:val="single" w:sz="4" w:space="0" w:color="auto"/>
              <w:right w:val="single" w:sz="4" w:space="0" w:color="auto"/>
            </w:tcBorders>
            <w:shd w:val="clear" w:color="auto" w:fill="auto"/>
            <w:vAlign w:val="center"/>
          </w:tcPr>
          <w:p w14:paraId="5B1D92F4" w14:textId="77777777" w:rsidR="00E24C7A" w:rsidRPr="00E24C7A" w:rsidRDefault="00E24C7A" w:rsidP="00A43635">
            <w:pPr>
              <w:contextualSpacing/>
              <w:jc w:val="center"/>
              <w:rPr>
                <w:rFonts w:ascii="Arial" w:hAnsi="Arial" w:cs="Arial"/>
                <w:color w:val="000000"/>
                <w:sz w:val="18"/>
                <w:szCs w:val="18"/>
              </w:rPr>
            </w:pPr>
            <w:r w:rsidRPr="00E24C7A">
              <w:rPr>
                <w:rFonts w:ascii="Arial" w:hAnsi="Arial" w:cs="Arial"/>
                <w:color w:val="000000"/>
                <w:sz w:val="18"/>
                <w:szCs w:val="18"/>
              </w:rPr>
              <w:t>Агрегатор</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89B863E" w14:textId="77777777" w:rsidR="00E24C7A" w:rsidRPr="00E24C7A" w:rsidRDefault="00E24C7A" w:rsidP="00A43635">
            <w:pPr>
              <w:contextualSpacing/>
              <w:jc w:val="center"/>
              <w:rPr>
                <w:rFonts w:ascii="Arial" w:hAnsi="Arial" w:cs="Arial"/>
                <w:color w:val="000000"/>
                <w:sz w:val="18"/>
                <w:szCs w:val="18"/>
              </w:rPr>
            </w:pPr>
            <w:r w:rsidRPr="00E24C7A">
              <w:rPr>
                <w:rFonts w:ascii="Arial" w:hAnsi="Arial" w:cs="Arial"/>
                <w:color w:val="000000"/>
                <w:sz w:val="18"/>
                <w:szCs w:val="18"/>
              </w:rPr>
              <w:t>АТС</w:t>
            </w:r>
          </w:p>
        </w:tc>
        <w:tc>
          <w:tcPr>
            <w:tcW w:w="1027" w:type="dxa"/>
            <w:tcBorders>
              <w:top w:val="single" w:sz="4" w:space="0" w:color="auto"/>
              <w:left w:val="single" w:sz="4" w:space="0" w:color="auto"/>
              <w:bottom w:val="single" w:sz="4" w:space="0" w:color="auto"/>
              <w:right w:val="single" w:sz="4" w:space="0" w:color="auto"/>
            </w:tcBorders>
            <w:shd w:val="clear" w:color="auto" w:fill="auto"/>
            <w:vAlign w:val="center"/>
          </w:tcPr>
          <w:p w14:paraId="2179A5B5" w14:textId="77777777" w:rsidR="00E24C7A" w:rsidRPr="00E24C7A" w:rsidRDefault="00E24C7A" w:rsidP="00A43635">
            <w:pPr>
              <w:contextualSpacing/>
              <w:jc w:val="center"/>
              <w:rPr>
                <w:rFonts w:ascii="Arial" w:hAnsi="Arial" w:cs="Arial"/>
                <w:color w:val="000000"/>
                <w:sz w:val="18"/>
                <w:szCs w:val="18"/>
              </w:rPr>
            </w:pPr>
            <w:r w:rsidRPr="00E24C7A">
              <w:rPr>
                <w:rFonts w:ascii="Arial" w:hAnsi="Arial" w:cs="Arial"/>
                <w:color w:val="000000"/>
                <w:sz w:val="18"/>
                <w:szCs w:val="18"/>
              </w:rPr>
              <w:t>WEB-интерфейс</w:t>
            </w:r>
          </w:p>
        </w:tc>
        <w:tc>
          <w:tcPr>
            <w:tcW w:w="1201" w:type="dxa"/>
            <w:tcBorders>
              <w:top w:val="single" w:sz="4" w:space="0" w:color="auto"/>
              <w:left w:val="single" w:sz="4" w:space="0" w:color="auto"/>
              <w:bottom w:val="single" w:sz="4" w:space="0" w:color="auto"/>
              <w:right w:val="single" w:sz="4" w:space="0" w:color="auto"/>
            </w:tcBorders>
            <w:shd w:val="clear" w:color="auto" w:fill="auto"/>
            <w:vAlign w:val="center"/>
          </w:tcPr>
          <w:p w14:paraId="52D6D889" w14:textId="77777777" w:rsidR="00E24C7A" w:rsidRPr="00E24C7A" w:rsidRDefault="00E24C7A" w:rsidP="00A43635">
            <w:pPr>
              <w:contextualSpacing/>
              <w:jc w:val="center"/>
              <w:rPr>
                <w:rFonts w:ascii="Arial" w:hAnsi="Arial" w:cs="Arial"/>
                <w:color w:val="000000"/>
                <w:sz w:val="18"/>
                <w:szCs w:val="18"/>
              </w:rPr>
            </w:pPr>
            <w:r w:rsidRPr="00E24C7A">
              <w:rPr>
                <w:rFonts w:ascii="Arial" w:hAnsi="Arial" w:cs="Arial"/>
                <w:color w:val="000000"/>
                <w:sz w:val="18"/>
                <w:szCs w:val="18"/>
              </w:rPr>
              <w:t>Нет</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173DDA10" w14:textId="77777777" w:rsidR="00E24C7A" w:rsidRPr="00E24C7A" w:rsidRDefault="00E24C7A" w:rsidP="00A43635">
            <w:pPr>
              <w:contextualSpacing/>
              <w:jc w:val="center"/>
              <w:rPr>
                <w:rFonts w:ascii="Arial" w:hAnsi="Arial" w:cs="Arial"/>
                <w:color w:val="000000"/>
                <w:sz w:val="18"/>
                <w:szCs w:val="18"/>
              </w:rPr>
            </w:pPr>
            <w:r w:rsidRPr="00E24C7A">
              <w:rPr>
                <w:rFonts w:ascii="Arial" w:hAnsi="Arial" w:cs="Arial"/>
                <w:color w:val="000000"/>
                <w:sz w:val="18"/>
                <w:szCs w:val="18"/>
              </w:rPr>
              <w:t>Нет</w:t>
            </w:r>
          </w:p>
        </w:tc>
        <w:tc>
          <w:tcPr>
            <w:tcW w:w="1862" w:type="dxa"/>
            <w:tcBorders>
              <w:top w:val="single" w:sz="4" w:space="0" w:color="auto"/>
              <w:left w:val="single" w:sz="4" w:space="0" w:color="auto"/>
              <w:bottom w:val="single" w:sz="4" w:space="0" w:color="auto"/>
              <w:right w:val="single" w:sz="4" w:space="0" w:color="auto"/>
            </w:tcBorders>
            <w:shd w:val="clear" w:color="auto" w:fill="auto"/>
            <w:vAlign w:val="center"/>
          </w:tcPr>
          <w:p w14:paraId="3AE34692" w14:textId="77777777" w:rsidR="00E24C7A" w:rsidRPr="00E24C7A" w:rsidRDefault="00E24C7A" w:rsidP="00A43635">
            <w:pPr>
              <w:contextualSpacing/>
              <w:jc w:val="center"/>
              <w:rPr>
                <w:rFonts w:ascii="Arial" w:hAnsi="Arial" w:cs="Arial"/>
                <w:color w:val="000000"/>
                <w:sz w:val="18"/>
                <w:szCs w:val="18"/>
              </w:rPr>
            </w:pPr>
            <w:r w:rsidRPr="00E24C7A">
              <w:rPr>
                <w:rFonts w:ascii="Arial" w:hAnsi="Arial" w:cs="Arial"/>
                <w:color w:val="000000"/>
                <w:sz w:val="18"/>
                <w:szCs w:val="18"/>
              </w:rPr>
              <w:t>1.3.6.1.4.1.18545.1.2.1.1</w:t>
            </w:r>
          </w:p>
        </w:tc>
        <w:tc>
          <w:tcPr>
            <w:tcW w:w="1046" w:type="dxa"/>
            <w:tcBorders>
              <w:top w:val="single" w:sz="4" w:space="0" w:color="auto"/>
              <w:left w:val="single" w:sz="4" w:space="0" w:color="auto"/>
              <w:bottom w:val="single" w:sz="4" w:space="0" w:color="auto"/>
              <w:right w:val="single" w:sz="4" w:space="0" w:color="auto"/>
            </w:tcBorders>
            <w:shd w:val="clear" w:color="auto" w:fill="auto"/>
            <w:vAlign w:val="center"/>
          </w:tcPr>
          <w:p w14:paraId="3C170FB4" w14:textId="77777777" w:rsidR="00E24C7A" w:rsidRPr="00E24C7A" w:rsidRDefault="00E24C7A" w:rsidP="00A43635">
            <w:pPr>
              <w:contextualSpacing/>
              <w:jc w:val="center"/>
              <w:rPr>
                <w:rFonts w:ascii="Arial" w:hAnsi="Arial" w:cs="Arial"/>
                <w:color w:val="000000"/>
                <w:sz w:val="18"/>
                <w:szCs w:val="18"/>
              </w:rPr>
            </w:pPr>
            <w:r w:rsidRPr="00E24C7A">
              <w:rPr>
                <w:rFonts w:ascii="Arial" w:hAnsi="Arial" w:cs="Arial"/>
                <w:color w:val="000000"/>
                <w:sz w:val="18"/>
                <w:szCs w:val="18"/>
              </w:rPr>
              <w:t>Adobe Reader</w:t>
            </w:r>
          </w:p>
        </w:tc>
        <w:tc>
          <w:tcPr>
            <w:tcW w:w="773" w:type="dxa"/>
            <w:tcBorders>
              <w:top w:val="single" w:sz="4" w:space="0" w:color="auto"/>
              <w:left w:val="single" w:sz="4" w:space="0" w:color="auto"/>
              <w:bottom w:val="single" w:sz="4" w:space="0" w:color="auto"/>
              <w:right w:val="single" w:sz="4" w:space="0" w:color="auto"/>
            </w:tcBorders>
            <w:shd w:val="clear" w:color="auto" w:fill="auto"/>
            <w:vAlign w:val="center"/>
          </w:tcPr>
          <w:p w14:paraId="5BC23CDD" w14:textId="77777777" w:rsidR="00E24C7A" w:rsidRPr="00E24C7A" w:rsidRDefault="00E24C7A" w:rsidP="00A43635">
            <w:pPr>
              <w:contextualSpacing/>
              <w:jc w:val="center"/>
              <w:rPr>
                <w:rFonts w:ascii="Arial" w:hAnsi="Arial" w:cs="Arial"/>
                <w:color w:val="000000"/>
                <w:sz w:val="18"/>
                <w:szCs w:val="18"/>
              </w:rPr>
            </w:pPr>
            <w:r w:rsidRPr="00E24C7A">
              <w:rPr>
                <w:rFonts w:ascii="Arial" w:hAnsi="Arial" w:cs="Arial"/>
                <w:color w:val="000000"/>
                <w:sz w:val="18"/>
                <w:szCs w:val="18"/>
              </w:rPr>
              <w:t>постоянно</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45A5C745" w14:textId="77777777" w:rsidR="00E24C7A" w:rsidRPr="00E24C7A" w:rsidRDefault="00E24C7A" w:rsidP="00A43635">
            <w:pPr>
              <w:contextualSpacing/>
              <w:jc w:val="center"/>
              <w:rPr>
                <w:rFonts w:ascii="Arial" w:hAnsi="Arial" w:cs="Arial"/>
                <w:color w:val="000000"/>
                <w:sz w:val="18"/>
                <w:szCs w:val="18"/>
              </w:rPr>
            </w:pPr>
          </w:p>
        </w:tc>
      </w:tr>
      <w:tr w:rsidR="00E24C7A" w:rsidRPr="00911253" w14:paraId="64FDF2CC" w14:textId="77777777" w:rsidTr="00E24C7A">
        <w:trPr>
          <w:trHeight w:val="815"/>
        </w:trPr>
        <w:tc>
          <w:tcPr>
            <w:tcW w:w="1083" w:type="dxa"/>
            <w:tcBorders>
              <w:top w:val="single" w:sz="4" w:space="0" w:color="auto"/>
              <w:left w:val="single" w:sz="4" w:space="0" w:color="auto"/>
              <w:bottom w:val="single" w:sz="4" w:space="0" w:color="auto"/>
              <w:right w:val="single" w:sz="4" w:space="0" w:color="auto"/>
            </w:tcBorders>
            <w:shd w:val="clear" w:color="auto" w:fill="auto"/>
            <w:vAlign w:val="center"/>
          </w:tcPr>
          <w:p w14:paraId="72348967" w14:textId="77777777" w:rsidR="00E24C7A" w:rsidRPr="00E24C7A" w:rsidRDefault="00E24C7A" w:rsidP="00A43635">
            <w:pPr>
              <w:contextualSpacing/>
              <w:jc w:val="center"/>
              <w:rPr>
                <w:rFonts w:ascii="Arial" w:hAnsi="Arial" w:cs="Arial"/>
                <w:color w:val="000000"/>
                <w:sz w:val="18"/>
                <w:szCs w:val="18"/>
                <w:lang w:val="en-US"/>
              </w:rPr>
            </w:pPr>
            <w:r w:rsidRPr="00E24C7A">
              <w:rPr>
                <w:rFonts w:ascii="Arial" w:hAnsi="Arial" w:cs="Arial"/>
                <w:color w:val="000000"/>
                <w:sz w:val="18"/>
                <w:szCs w:val="18"/>
                <w:lang w:val="en-US"/>
              </w:rPr>
              <w:t>PART_ATS_PTH_OREG_MED</w:t>
            </w:r>
          </w:p>
        </w:tc>
        <w:tc>
          <w:tcPr>
            <w:tcW w:w="1673" w:type="dxa"/>
            <w:tcBorders>
              <w:top w:val="single" w:sz="4" w:space="0" w:color="auto"/>
              <w:left w:val="single" w:sz="4" w:space="0" w:color="auto"/>
              <w:bottom w:val="single" w:sz="4" w:space="0" w:color="auto"/>
              <w:right w:val="single" w:sz="4" w:space="0" w:color="auto"/>
            </w:tcBorders>
            <w:shd w:val="clear" w:color="auto" w:fill="auto"/>
            <w:vAlign w:val="center"/>
          </w:tcPr>
          <w:p w14:paraId="648838BD" w14:textId="1CB8E0C4" w:rsidR="00E24C7A" w:rsidRPr="00E24C7A" w:rsidRDefault="00E24C7A" w:rsidP="00A43635">
            <w:pPr>
              <w:contextualSpacing/>
              <w:jc w:val="center"/>
              <w:rPr>
                <w:rFonts w:ascii="Arial" w:hAnsi="Arial" w:cs="Arial"/>
                <w:color w:val="000000"/>
                <w:sz w:val="18"/>
                <w:szCs w:val="18"/>
              </w:rPr>
            </w:pPr>
            <w:r w:rsidRPr="00E24C7A">
              <w:rPr>
                <w:rFonts w:ascii="Arial" w:hAnsi="Arial" w:cs="Arial"/>
                <w:color w:val="000000"/>
                <w:sz w:val="18"/>
                <w:szCs w:val="18"/>
              </w:rPr>
              <w:t>Перечень паспортных технологических характеристик объекта по производству электрической энергии</w:t>
            </w:r>
            <w:r w:rsidR="00945FC0">
              <w:rPr>
                <w:rFonts w:ascii="Arial" w:hAnsi="Arial" w:cs="Arial"/>
                <w:color w:val="000000"/>
                <w:sz w:val="18"/>
                <w:szCs w:val="18"/>
              </w:rPr>
              <w:t>,</w:t>
            </w:r>
            <w:r w:rsidRPr="00E24C7A">
              <w:rPr>
                <w:rFonts w:ascii="Arial" w:hAnsi="Arial" w:cs="Arial"/>
                <w:color w:val="000000"/>
                <w:sz w:val="18"/>
                <w:szCs w:val="18"/>
              </w:rPr>
              <w:t xml:space="preserve"> включенного в состав объекта регулирования (электростанция/блок-станция)</w:t>
            </w:r>
          </w:p>
        </w:tc>
        <w:tc>
          <w:tcPr>
            <w:tcW w:w="1898" w:type="dxa"/>
            <w:tcBorders>
              <w:top w:val="single" w:sz="4" w:space="0" w:color="auto"/>
              <w:left w:val="single" w:sz="4" w:space="0" w:color="auto"/>
              <w:bottom w:val="single" w:sz="4" w:space="0" w:color="auto"/>
              <w:right w:val="single" w:sz="4" w:space="0" w:color="auto"/>
            </w:tcBorders>
            <w:shd w:val="clear" w:color="auto" w:fill="auto"/>
            <w:vAlign w:val="center"/>
          </w:tcPr>
          <w:p w14:paraId="58F5A278" w14:textId="77777777" w:rsidR="00E24C7A" w:rsidRPr="00E24C7A" w:rsidRDefault="00E24C7A" w:rsidP="00A43635">
            <w:pPr>
              <w:contextualSpacing/>
              <w:jc w:val="center"/>
              <w:rPr>
                <w:rFonts w:ascii="Arial" w:hAnsi="Arial" w:cs="Arial"/>
                <w:color w:val="000000"/>
                <w:sz w:val="18"/>
                <w:szCs w:val="18"/>
              </w:rPr>
            </w:pPr>
            <w:r w:rsidRPr="00E24C7A">
              <w:rPr>
                <w:rFonts w:ascii="Arial" w:hAnsi="Arial" w:cs="Arial"/>
                <w:color w:val="000000"/>
                <w:sz w:val="18"/>
                <w:szCs w:val="18"/>
              </w:rPr>
              <w:t>Положение о порядке получения статуса субъекта оптового рынка, п. 2.1 приложения 9</w:t>
            </w:r>
          </w:p>
        </w:tc>
        <w:tc>
          <w:tcPr>
            <w:tcW w:w="1115" w:type="dxa"/>
            <w:tcBorders>
              <w:top w:val="single" w:sz="4" w:space="0" w:color="auto"/>
              <w:left w:val="single" w:sz="4" w:space="0" w:color="auto"/>
              <w:bottom w:val="single" w:sz="4" w:space="0" w:color="auto"/>
              <w:right w:val="single" w:sz="4" w:space="0" w:color="auto"/>
            </w:tcBorders>
            <w:shd w:val="clear" w:color="auto" w:fill="auto"/>
            <w:vAlign w:val="center"/>
          </w:tcPr>
          <w:p w14:paraId="6266C071" w14:textId="77777777" w:rsidR="00E24C7A" w:rsidRPr="00E24C7A" w:rsidRDefault="00E24C7A" w:rsidP="00A43635">
            <w:pPr>
              <w:contextualSpacing/>
              <w:jc w:val="center"/>
              <w:rPr>
                <w:rFonts w:ascii="Arial" w:hAnsi="Arial" w:cs="Arial"/>
                <w:color w:val="000000"/>
                <w:sz w:val="18"/>
                <w:szCs w:val="18"/>
              </w:rPr>
            </w:pPr>
            <w:r w:rsidRPr="00E24C7A">
              <w:rPr>
                <w:rFonts w:ascii="Arial" w:hAnsi="Arial" w:cs="Arial"/>
                <w:color w:val="000000"/>
                <w:sz w:val="18"/>
                <w:szCs w:val="18"/>
              </w:rPr>
              <w:t>xls, xlsx</w:t>
            </w:r>
          </w:p>
        </w:tc>
        <w:tc>
          <w:tcPr>
            <w:tcW w:w="922" w:type="dxa"/>
            <w:tcBorders>
              <w:top w:val="single" w:sz="4" w:space="0" w:color="auto"/>
              <w:left w:val="single" w:sz="4" w:space="0" w:color="auto"/>
              <w:bottom w:val="single" w:sz="4" w:space="0" w:color="auto"/>
              <w:right w:val="single" w:sz="4" w:space="0" w:color="auto"/>
            </w:tcBorders>
            <w:shd w:val="clear" w:color="auto" w:fill="auto"/>
            <w:vAlign w:val="center"/>
          </w:tcPr>
          <w:p w14:paraId="1AF189A4" w14:textId="77777777" w:rsidR="00E24C7A" w:rsidRPr="00E24C7A" w:rsidRDefault="00E24C7A" w:rsidP="00A43635">
            <w:pPr>
              <w:contextualSpacing/>
              <w:jc w:val="center"/>
              <w:rPr>
                <w:rFonts w:ascii="Arial" w:hAnsi="Arial" w:cs="Arial"/>
                <w:color w:val="000000"/>
                <w:sz w:val="18"/>
                <w:szCs w:val="18"/>
              </w:rPr>
            </w:pPr>
            <w:r w:rsidRPr="00E24C7A">
              <w:rPr>
                <w:rFonts w:ascii="Arial" w:hAnsi="Arial" w:cs="Arial"/>
                <w:color w:val="000000"/>
                <w:sz w:val="18"/>
                <w:szCs w:val="18"/>
              </w:rPr>
              <w:t>Агрегатор</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3A2335" w14:textId="77777777" w:rsidR="00E24C7A" w:rsidRPr="00E24C7A" w:rsidRDefault="00E24C7A" w:rsidP="00A43635">
            <w:pPr>
              <w:contextualSpacing/>
              <w:jc w:val="center"/>
              <w:rPr>
                <w:rFonts w:ascii="Arial" w:hAnsi="Arial" w:cs="Arial"/>
                <w:color w:val="000000"/>
                <w:sz w:val="18"/>
                <w:szCs w:val="18"/>
              </w:rPr>
            </w:pPr>
            <w:r w:rsidRPr="00E24C7A">
              <w:rPr>
                <w:rFonts w:ascii="Arial" w:hAnsi="Arial" w:cs="Arial"/>
                <w:color w:val="000000"/>
                <w:sz w:val="18"/>
                <w:szCs w:val="18"/>
              </w:rPr>
              <w:t>АТС</w:t>
            </w:r>
          </w:p>
        </w:tc>
        <w:tc>
          <w:tcPr>
            <w:tcW w:w="1027" w:type="dxa"/>
            <w:tcBorders>
              <w:top w:val="single" w:sz="4" w:space="0" w:color="auto"/>
              <w:left w:val="single" w:sz="4" w:space="0" w:color="auto"/>
              <w:bottom w:val="single" w:sz="4" w:space="0" w:color="auto"/>
              <w:right w:val="single" w:sz="4" w:space="0" w:color="auto"/>
            </w:tcBorders>
            <w:shd w:val="clear" w:color="auto" w:fill="auto"/>
            <w:vAlign w:val="center"/>
          </w:tcPr>
          <w:p w14:paraId="34657ECC" w14:textId="77777777" w:rsidR="00E24C7A" w:rsidRPr="00E24C7A" w:rsidRDefault="00E24C7A" w:rsidP="00A43635">
            <w:pPr>
              <w:contextualSpacing/>
              <w:jc w:val="center"/>
              <w:rPr>
                <w:rFonts w:ascii="Arial" w:hAnsi="Arial" w:cs="Arial"/>
                <w:color w:val="000000"/>
                <w:sz w:val="18"/>
                <w:szCs w:val="18"/>
              </w:rPr>
            </w:pPr>
            <w:r w:rsidRPr="00E24C7A">
              <w:rPr>
                <w:rFonts w:ascii="Arial" w:hAnsi="Arial" w:cs="Arial"/>
                <w:color w:val="000000"/>
                <w:sz w:val="18"/>
                <w:szCs w:val="18"/>
              </w:rPr>
              <w:t>Материальный носитель</w:t>
            </w:r>
          </w:p>
        </w:tc>
        <w:tc>
          <w:tcPr>
            <w:tcW w:w="1201" w:type="dxa"/>
            <w:tcBorders>
              <w:top w:val="single" w:sz="4" w:space="0" w:color="auto"/>
              <w:left w:val="single" w:sz="4" w:space="0" w:color="auto"/>
              <w:bottom w:val="single" w:sz="4" w:space="0" w:color="auto"/>
              <w:right w:val="single" w:sz="4" w:space="0" w:color="auto"/>
            </w:tcBorders>
            <w:shd w:val="clear" w:color="auto" w:fill="auto"/>
            <w:vAlign w:val="center"/>
          </w:tcPr>
          <w:p w14:paraId="34BE2A15" w14:textId="77777777" w:rsidR="00E24C7A" w:rsidRPr="00E24C7A" w:rsidRDefault="00E24C7A" w:rsidP="00A43635">
            <w:pPr>
              <w:contextualSpacing/>
              <w:jc w:val="center"/>
              <w:rPr>
                <w:rFonts w:ascii="Arial" w:hAnsi="Arial" w:cs="Arial"/>
                <w:color w:val="000000"/>
                <w:sz w:val="18"/>
                <w:szCs w:val="18"/>
              </w:rPr>
            </w:pPr>
            <w:r w:rsidRPr="00E24C7A">
              <w:rPr>
                <w:rFonts w:ascii="Arial" w:hAnsi="Arial" w:cs="Arial"/>
                <w:color w:val="000000"/>
                <w:sz w:val="18"/>
                <w:szCs w:val="18"/>
              </w:rPr>
              <w:t>Нет</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7E613686" w14:textId="77777777" w:rsidR="00E24C7A" w:rsidRPr="00E24C7A" w:rsidRDefault="00E24C7A" w:rsidP="00A43635">
            <w:pPr>
              <w:contextualSpacing/>
              <w:jc w:val="center"/>
              <w:rPr>
                <w:rFonts w:ascii="Arial" w:hAnsi="Arial" w:cs="Arial"/>
                <w:color w:val="000000"/>
                <w:sz w:val="18"/>
                <w:szCs w:val="18"/>
              </w:rPr>
            </w:pPr>
            <w:r w:rsidRPr="00E24C7A">
              <w:rPr>
                <w:rFonts w:ascii="Arial" w:hAnsi="Arial" w:cs="Arial"/>
                <w:color w:val="000000"/>
                <w:sz w:val="18"/>
                <w:szCs w:val="18"/>
              </w:rPr>
              <w:t>Нет</w:t>
            </w:r>
          </w:p>
        </w:tc>
        <w:tc>
          <w:tcPr>
            <w:tcW w:w="1862" w:type="dxa"/>
            <w:tcBorders>
              <w:top w:val="single" w:sz="4" w:space="0" w:color="auto"/>
              <w:left w:val="single" w:sz="4" w:space="0" w:color="auto"/>
              <w:bottom w:val="single" w:sz="4" w:space="0" w:color="auto"/>
              <w:right w:val="single" w:sz="4" w:space="0" w:color="auto"/>
            </w:tcBorders>
            <w:shd w:val="clear" w:color="auto" w:fill="auto"/>
            <w:vAlign w:val="center"/>
          </w:tcPr>
          <w:p w14:paraId="7275BD25" w14:textId="77777777" w:rsidR="00E24C7A" w:rsidRPr="00E24C7A" w:rsidRDefault="00E24C7A" w:rsidP="00A43635">
            <w:pPr>
              <w:contextualSpacing/>
              <w:jc w:val="center"/>
              <w:rPr>
                <w:rFonts w:ascii="Arial" w:hAnsi="Arial" w:cs="Arial"/>
                <w:color w:val="000000"/>
                <w:sz w:val="18"/>
                <w:szCs w:val="18"/>
              </w:rPr>
            </w:pPr>
            <w:r w:rsidRPr="00E24C7A">
              <w:rPr>
                <w:rFonts w:ascii="Arial" w:hAnsi="Arial" w:cs="Arial"/>
                <w:color w:val="000000"/>
                <w:sz w:val="18"/>
                <w:szCs w:val="18"/>
              </w:rPr>
              <w:t>1.3.6.1.4.1.18545.1.2.1.1</w:t>
            </w:r>
          </w:p>
        </w:tc>
        <w:tc>
          <w:tcPr>
            <w:tcW w:w="1046" w:type="dxa"/>
            <w:tcBorders>
              <w:top w:val="single" w:sz="4" w:space="0" w:color="auto"/>
              <w:left w:val="single" w:sz="4" w:space="0" w:color="auto"/>
              <w:bottom w:val="single" w:sz="4" w:space="0" w:color="auto"/>
              <w:right w:val="single" w:sz="4" w:space="0" w:color="auto"/>
            </w:tcBorders>
            <w:shd w:val="clear" w:color="auto" w:fill="auto"/>
            <w:vAlign w:val="center"/>
          </w:tcPr>
          <w:p w14:paraId="29E6280F" w14:textId="77777777" w:rsidR="00E24C7A" w:rsidRPr="00E24C7A" w:rsidRDefault="00E24C7A" w:rsidP="00A43635">
            <w:pPr>
              <w:contextualSpacing/>
              <w:jc w:val="center"/>
              <w:rPr>
                <w:rFonts w:ascii="Arial" w:hAnsi="Arial" w:cs="Arial"/>
                <w:color w:val="000000"/>
                <w:sz w:val="18"/>
                <w:szCs w:val="18"/>
              </w:rPr>
            </w:pPr>
            <w:r w:rsidRPr="00E24C7A">
              <w:rPr>
                <w:rFonts w:ascii="Arial" w:hAnsi="Arial" w:cs="Arial"/>
                <w:color w:val="000000"/>
                <w:sz w:val="18"/>
                <w:szCs w:val="18"/>
              </w:rPr>
              <w:t>Excel</w:t>
            </w:r>
          </w:p>
        </w:tc>
        <w:tc>
          <w:tcPr>
            <w:tcW w:w="773" w:type="dxa"/>
            <w:tcBorders>
              <w:top w:val="single" w:sz="4" w:space="0" w:color="auto"/>
              <w:left w:val="single" w:sz="4" w:space="0" w:color="auto"/>
              <w:bottom w:val="single" w:sz="4" w:space="0" w:color="auto"/>
              <w:right w:val="single" w:sz="4" w:space="0" w:color="auto"/>
            </w:tcBorders>
            <w:shd w:val="clear" w:color="auto" w:fill="auto"/>
            <w:vAlign w:val="center"/>
          </w:tcPr>
          <w:p w14:paraId="7D9B8569" w14:textId="77777777" w:rsidR="00E24C7A" w:rsidRPr="00E24C7A" w:rsidRDefault="00E24C7A" w:rsidP="00A43635">
            <w:pPr>
              <w:contextualSpacing/>
              <w:jc w:val="center"/>
              <w:rPr>
                <w:rFonts w:ascii="Arial" w:hAnsi="Arial" w:cs="Arial"/>
                <w:color w:val="000000"/>
                <w:sz w:val="18"/>
                <w:szCs w:val="18"/>
              </w:rPr>
            </w:pPr>
            <w:r w:rsidRPr="00E24C7A">
              <w:rPr>
                <w:rFonts w:ascii="Arial" w:hAnsi="Arial" w:cs="Arial"/>
                <w:color w:val="000000"/>
                <w:sz w:val="18"/>
                <w:szCs w:val="18"/>
              </w:rPr>
              <w:t>постоянно</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525A15AA" w14:textId="77777777" w:rsidR="00E24C7A" w:rsidRPr="00E24C7A" w:rsidRDefault="00E24C7A" w:rsidP="00A43635">
            <w:pPr>
              <w:contextualSpacing/>
              <w:jc w:val="center"/>
              <w:rPr>
                <w:rFonts w:ascii="Arial" w:hAnsi="Arial" w:cs="Arial"/>
                <w:color w:val="000000"/>
                <w:sz w:val="18"/>
                <w:szCs w:val="18"/>
              </w:rPr>
            </w:pPr>
          </w:p>
        </w:tc>
      </w:tr>
      <w:tr w:rsidR="00E24C7A" w:rsidRPr="00911253" w14:paraId="795474B4" w14:textId="77777777" w:rsidTr="00E24C7A">
        <w:trPr>
          <w:trHeight w:val="815"/>
        </w:trPr>
        <w:tc>
          <w:tcPr>
            <w:tcW w:w="1083" w:type="dxa"/>
            <w:tcBorders>
              <w:top w:val="single" w:sz="4" w:space="0" w:color="auto"/>
              <w:left w:val="single" w:sz="4" w:space="0" w:color="auto"/>
              <w:bottom w:val="single" w:sz="4" w:space="0" w:color="auto"/>
              <w:right w:val="single" w:sz="4" w:space="0" w:color="auto"/>
            </w:tcBorders>
            <w:shd w:val="clear" w:color="auto" w:fill="auto"/>
            <w:vAlign w:val="center"/>
          </w:tcPr>
          <w:p w14:paraId="7D58665B" w14:textId="77777777" w:rsidR="00E24C7A" w:rsidRPr="00E24C7A" w:rsidRDefault="00E24C7A" w:rsidP="00A43635">
            <w:pPr>
              <w:contextualSpacing/>
              <w:jc w:val="center"/>
              <w:rPr>
                <w:rFonts w:ascii="Arial" w:hAnsi="Arial" w:cs="Arial"/>
                <w:color w:val="000000"/>
                <w:sz w:val="18"/>
                <w:szCs w:val="18"/>
                <w:lang w:val="en-US"/>
              </w:rPr>
            </w:pPr>
            <w:r w:rsidRPr="00E24C7A">
              <w:rPr>
                <w:rFonts w:ascii="Arial" w:hAnsi="Arial" w:cs="Arial"/>
                <w:color w:val="000000"/>
                <w:sz w:val="18"/>
                <w:szCs w:val="18"/>
                <w:lang w:val="en-US"/>
              </w:rPr>
              <w:t>PART_ATS_PTH_OREG_ WEB</w:t>
            </w:r>
          </w:p>
        </w:tc>
        <w:tc>
          <w:tcPr>
            <w:tcW w:w="1673" w:type="dxa"/>
            <w:tcBorders>
              <w:top w:val="single" w:sz="4" w:space="0" w:color="auto"/>
              <w:left w:val="single" w:sz="4" w:space="0" w:color="auto"/>
              <w:bottom w:val="single" w:sz="4" w:space="0" w:color="auto"/>
              <w:right w:val="single" w:sz="4" w:space="0" w:color="auto"/>
            </w:tcBorders>
            <w:shd w:val="clear" w:color="auto" w:fill="auto"/>
            <w:vAlign w:val="center"/>
          </w:tcPr>
          <w:p w14:paraId="435BA0A0" w14:textId="7361D00D" w:rsidR="00E24C7A" w:rsidRPr="00E24C7A" w:rsidRDefault="00E24C7A" w:rsidP="00A43635">
            <w:pPr>
              <w:contextualSpacing/>
              <w:jc w:val="center"/>
              <w:rPr>
                <w:rFonts w:ascii="Arial" w:hAnsi="Arial" w:cs="Arial"/>
                <w:color w:val="000000"/>
                <w:sz w:val="18"/>
                <w:szCs w:val="18"/>
              </w:rPr>
            </w:pPr>
            <w:r w:rsidRPr="00E24C7A">
              <w:rPr>
                <w:rFonts w:ascii="Arial" w:hAnsi="Arial" w:cs="Arial"/>
                <w:color w:val="000000"/>
                <w:sz w:val="18"/>
                <w:szCs w:val="18"/>
              </w:rPr>
              <w:t>Перечень паспортных технологических характеристик объекта по производству электрической энергии</w:t>
            </w:r>
            <w:r w:rsidR="00945FC0">
              <w:rPr>
                <w:rFonts w:ascii="Arial" w:hAnsi="Arial" w:cs="Arial"/>
                <w:color w:val="000000"/>
                <w:sz w:val="18"/>
                <w:szCs w:val="18"/>
              </w:rPr>
              <w:t>,</w:t>
            </w:r>
            <w:r w:rsidRPr="00E24C7A">
              <w:rPr>
                <w:rFonts w:ascii="Arial" w:hAnsi="Arial" w:cs="Arial"/>
                <w:color w:val="000000"/>
                <w:sz w:val="18"/>
                <w:szCs w:val="18"/>
              </w:rPr>
              <w:t xml:space="preserve"> включенного в состав объекта регулирования (электростанция/блок-станция)</w:t>
            </w:r>
          </w:p>
        </w:tc>
        <w:tc>
          <w:tcPr>
            <w:tcW w:w="1898" w:type="dxa"/>
            <w:tcBorders>
              <w:top w:val="single" w:sz="4" w:space="0" w:color="auto"/>
              <w:left w:val="single" w:sz="4" w:space="0" w:color="auto"/>
              <w:bottom w:val="single" w:sz="4" w:space="0" w:color="auto"/>
              <w:right w:val="single" w:sz="4" w:space="0" w:color="auto"/>
            </w:tcBorders>
            <w:shd w:val="clear" w:color="auto" w:fill="auto"/>
            <w:vAlign w:val="center"/>
          </w:tcPr>
          <w:p w14:paraId="2D2E05CC" w14:textId="77777777" w:rsidR="00E24C7A" w:rsidRPr="00E24C7A" w:rsidRDefault="00E24C7A" w:rsidP="00A43635">
            <w:pPr>
              <w:contextualSpacing/>
              <w:jc w:val="center"/>
              <w:rPr>
                <w:rFonts w:ascii="Arial" w:hAnsi="Arial" w:cs="Arial"/>
                <w:color w:val="000000"/>
                <w:sz w:val="18"/>
                <w:szCs w:val="18"/>
              </w:rPr>
            </w:pPr>
            <w:r w:rsidRPr="00E24C7A">
              <w:rPr>
                <w:rFonts w:ascii="Arial" w:hAnsi="Arial" w:cs="Arial"/>
                <w:color w:val="000000"/>
                <w:sz w:val="18"/>
                <w:szCs w:val="18"/>
              </w:rPr>
              <w:t>Положение о порядке получения статуса субъекта оптового рынка, п. 2.1 приложения 9</w:t>
            </w:r>
          </w:p>
        </w:tc>
        <w:tc>
          <w:tcPr>
            <w:tcW w:w="1115" w:type="dxa"/>
            <w:tcBorders>
              <w:top w:val="single" w:sz="4" w:space="0" w:color="auto"/>
              <w:left w:val="single" w:sz="4" w:space="0" w:color="auto"/>
              <w:bottom w:val="single" w:sz="4" w:space="0" w:color="auto"/>
              <w:right w:val="single" w:sz="4" w:space="0" w:color="auto"/>
            </w:tcBorders>
            <w:shd w:val="clear" w:color="auto" w:fill="auto"/>
            <w:vAlign w:val="center"/>
          </w:tcPr>
          <w:p w14:paraId="59A13D9F" w14:textId="77777777" w:rsidR="00E24C7A" w:rsidRPr="00E24C7A" w:rsidRDefault="00E24C7A" w:rsidP="00A43635">
            <w:pPr>
              <w:contextualSpacing/>
              <w:jc w:val="center"/>
              <w:rPr>
                <w:rFonts w:ascii="Arial" w:hAnsi="Arial" w:cs="Arial"/>
                <w:color w:val="000000"/>
                <w:sz w:val="18"/>
                <w:szCs w:val="18"/>
              </w:rPr>
            </w:pPr>
            <w:r w:rsidRPr="00E24C7A">
              <w:rPr>
                <w:rFonts w:ascii="Arial" w:hAnsi="Arial" w:cs="Arial"/>
                <w:color w:val="000000"/>
                <w:sz w:val="18"/>
                <w:szCs w:val="18"/>
              </w:rPr>
              <w:t>xls, xlsx</w:t>
            </w:r>
          </w:p>
        </w:tc>
        <w:tc>
          <w:tcPr>
            <w:tcW w:w="922" w:type="dxa"/>
            <w:tcBorders>
              <w:top w:val="single" w:sz="4" w:space="0" w:color="auto"/>
              <w:left w:val="single" w:sz="4" w:space="0" w:color="auto"/>
              <w:bottom w:val="single" w:sz="4" w:space="0" w:color="auto"/>
              <w:right w:val="single" w:sz="4" w:space="0" w:color="auto"/>
            </w:tcBorders>
            <w:shd w:val="clear" w:color="auto" w:fill="auto"/>
            <w:vAlign w:val="center"/>
          </w:tcPr>
          <w:p w14:paraId="19C5E6CA" w14:textId="77777777" w:rsidR="00E24C7A" w:rsidRPr="00E24C7A" w:rsidRDefault="00E24C7A" w:rsidP="00A43635">
            <w:pPr>
              <w:contextualSpacing/>
              <w:jc w:val="center"/>
              <w:rPr>
                <w:rFonts w:ascii="Arial" w:hAnsi="Arial" w:cs="Arial"/>
                <w:color w:val="000000"/>
                <w:sz w:val="18"/>
                <w:szCs w:val="18"/>
              </w:rPr>
            </w:pPr>
            <w:r w:rsidRPr="00E24C7A">
              <w:rPr>
                <w:rFonts w:ascii="Arial" w:hAnsi="Arial" w:cs="Arial"/>
                <w:color w:val="000000"/>
                <w:sz w:val="18"/>
                <w:szCs w:val="18"/>
              </w:rPr>
              <w:t>Агрегатор</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3387AE" w14:textId="77777777" w:rsidR="00E24C7A" w:rsidRPr="00E24C7A" w:rsidRDefault="00E24C7A" w:rsidP="00A43635">
            <w:pPr>
              <w:contextualSpacing/>
              <w:jc w:val="center"/>
              <w:rPr>
                <w:rFonts w:ascii="Arial" w:hAnsi="Arial" w:cs="Arial"/>
                <w:color w:val="000000"/>
                <w:sz w:val="18"/>
                <w:szCs w:val="18"/>
              </w:rPr>
            </w:pPr>
            <w:r w:rsidRPr="00E24C7A">
              <w:rPr>
                <w:rFonts w:ascii="Arial" w:hAnsi="Arial" w:cs="Arial"/>
                <w:color w:val="000000"/>
                <w:sz w:val="18"/>
                <w:szCs w:val="18"/>
              </w:rPr>
              <w:t>АТС</w:t>
            </w:r>
          </w:p>
        </w:tc>
        <w:tc>
          <w:tcPr>
            <w:tcW w:w="1027" w:type="dxa"/>
            <w:tcBorders>
              <w:top w:val="single" w:sz="4" w:space="0" w:color="auto"/>
              <w:left w:val="single" w:sz="4" w:space="0" w:color="auto"/>
              <w:bottom w:val="single" w:sz="4" w:space="0" w:color="auto"/>
              <w:right w:val="single" w:sz="4" w:space="0" w:color="auto"/>
            </w:tcBorders>
            <w:shd w:val="clear" w:color="auto" w:fill="auto"/>
            <w:vAlign w:val="center"/>
          </w:tcPr>
          <w:p w14:paraId="4BE9162C" w14:textId="77777777" w:rsidR="00E24C7A" w:rsidRPr="00E24C7A" w:rsidRDefault="00E24C7A" w:rsidP="00A43635">
            <w:pPr>
              <w:contextualSpacing/>
              <w:jc w:val="center"/>
              <w:rPr>
                <w:rFonts w:ascii="Arial" w:hAnsi="Arial" w:cs="Arial"/>
                <w:color w:val="000000"/>
                <w:sz w:val="18"/>
                <w:szCs w:val="18"/>
              </w:rPr>
            </w:pPr>
            <w:r w:rsidRPr="00E24C7A">
              <w:rPr>
                <w:rFonts w:ascii="Arial" w:hAnsi="Arial" w:cs="Arial"/>
                <w:color w:val="000000"/>
                <w:sz w:val="18"/>
                <w:szCs w:val="18"/>
              </w:rPr>
              <w:t>WEB-интерфейс</w:t>
            </w:r>
          </w:p>
        </w:tc>
        <w:tc>
          <w:tcPr>
            <w:tcW w:w="1201" w:type="dxa"/>
            <w:tcBorders>
              <w:top w:val="single" w:sz="4" w:space="0" w:color="auto"/>
              <w:left w:val="single" w:sz="4" w:space="0" w:color="auto"/>
              <w:bottom w:val="single" w:sz="4" w:space="0" w:color="auto"/>
              <w:right w:val="single" w:sz="4" w:space="0" w:color="auto"/>
            </w:tcBorders>
            <w:shd w:val="clear" w:color="auto" w:fill="auto"/>
            <w:vAlign w:val="center"/>
          </w:tcPr>
          <w:p w14:paraId="48046868" w14:textId="77777777" w:rsidR="00E24C7A" w:rsidRPr="00E24C7A" w:rsidRDefault="00E24C7A" w:rsidP="00A43635">
            <w:pPr>
              <w:contextualSpacing/>
              <w:jc w:val="center"/>
              <w:rPr>
                <w:rFonts w:ascii="Arial" w:hAnsi="Arial" w:cs="Arial"/>
                <w:color w:val="000000"/>
                <w:sz w:val="18"/>
                <w:szCs w:val="18"/>
              </w:rPr>
            </w:pPr>
            <w:r w:rsidRPr="00E24C7A">
              <w:rPr>
                <w:rFonts w:ascii="Arial" w:hAnsi="Arial" w:cs="Arial"/>
                <w:color w:val="000000"/>
                <w:sz w:val="18"/>
                <w:szCs w:val="18"/>
              </w:rPr>
              <w:t>Нет</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6C263020" w14:textId="77777777" w:rsidR="00E24C7A" w:rsidRPr="00E24C7A" w:rsidRDefault="00E24C7A" w:rsidP="00A43635">
            <w:pPr>
              <w:contextualSpacing/>
              <w:jc w:val="center"/>
              <w:rPr>
                <w:rFonts w:ascii="Arial" w:hAnsi="Arial" w:cs="Arial"/>
                <w:color w:val="000000"/>
                <w:sz w:val="18"/>
                <w:szCs w:val="18"/>
              </w:rPr>
            </w:pPr>
            <w:r w:rsidRPr="00E24C7A">
              <w:rPr>
                <w:rFonts w:ascii="Arial" w:hAnsi="Arial" w:cs="Arial"/>
                <w:color w:val="000000"/>
                <w:sz w:val="18"/>
                <w:szCs w:val="18"/>
              </w:rPr>
              <w:t>Нет</w:t>
            </w:r>
          </w:p>
        </w:tc>
        <w:tc>
          <w:tcPr>
            <w:tcW w:w="1862" w:type="dxa"/>
            <w:tcBorders>
              <w:top w:val="single" w:sz="4" w:space="0" w:color="auto"/>
              <w:left w:val="single" w:sz="4" w:space="0" w:color="auto"/>
              <w:bottom w:val="single" w:sz="4" w:space="0" w:color="auto"/>
              <w:right w:val="single" w:sz="4" w:space="0" w:color="auto"/>
            </w:tcBorders>
            <w:shd w:val="clear" w:color="auto" w:fill="auto"/>
            <w:vAlign w:val="center"/>
          </w:tcPr>
          <w:p w14:paraId="10112D5F" w14:textId="77777777" w:rsidR="00E24C7A" w:rsidRPr="00E24C7A" w:rsidRDefault="00E24C7A" w:rsidP="00A43635">
            <w:pPr>
              <w:contextualSpacing/>
              <w:jc w:val="center"/>
              <w:rPr>
                <w:rFonts w:ascii="Arial" w:hAnsi="Arial" w:cs="Arial"/>
                <w:color w:val="000000"/>
                <w:sz w:val="18"/>
                <w:szCs w:val="18"/>
              </w:rPr>
            </w:pPr>
            <w:r w:rsidRPr="00E24C7A">
              <w:rPr>
                <w:rFonts w:ascii="Arial" w:hAnsi="Arial" w:cs="Arial"/>
                <w:color w:val="000000"/>
                <w:sz w:val="18"/>
                <w:szCs w:val="18"/>
              </w:rPr>
              <w:t>1.3.6.1.4.1.18545.1.2.1.1</w:t>
            </w:r>
          </w:p>
        </w:tc>
        <w:tc>
          <w:tcPr>
            <w:tcW w:w="1046" w:type="dxa"/>
            <w:tcBorders>
              <w:top w:val="single" w:sz="4" w:space="0" w:color="auto"/>
              <w:left w:val="single" w:sz="4" w:space="0" w:color="auto"/>
              <w:bottom w:val="single" w:sz="4" w:space="0" w:color="auto"/>
              <w:right w:val="single" w:sz="4" w:space="0" w:color="auto"/>
            </w:tcBorders>
            <w:shd w:val="clear" w:color="auto" w:fill="auto"/>
            <w:vAlign w:val="center"/>
          </w:tcPr>
          <w:p w14:paraId="7E063ECB" w14:textId="77777777" w:rsidR="00E24C7A" w:rsidRPr="00E24C7A" w:rsidRDefault="00E24C7A" w:rsidP="00A43635">
            <w:pPr>
              <w:contextualSpacing/>
              <w:jc w:val="center"/>
              <w:rPr>
                <w:rFonts w:ascii="Arial" w:hAnsi="Arial" w:cs="Arial"/>
                <w:color w:val="000000"/>
                <w:sz w:val="18"/>
                <w:szCs w:val="18"/>
              </w:rPr>
            </w:pPr>
            <w:r w:rsidRPr="00E24C7A">
              <w:rPr>
                <w:rFonts w:ascii="Arial" w:hAnsi="Arial" w:cs="Arial"/>
                <w:color w:val="000000"/>
                <w:sz w:val="18"/>
                <w:szCs w:val="18"/>
              </w:rPr>
              <w:t>Excel</w:t>
            </w:r>
          </w:p>
        </w:tc>
        <w:tc>
          <w:tcPr>
            <w:tcW w:w="773" w:type="dxa"/>
            <w:tcBorders>
              <w:top w:val="single" w:sz="4" w:space="0" w:color="auto"/>
              <w:left w:val="single" w:sz="4" w:space="0" w:color="auto"/>
              <w:bottom w:val="single" w:sz="4" w:space="0" w:color="auto"/>
              <w:right w:val="single" w:sz="4" w:space="0" w:color="auto"/>
            </w:tcBorders>
            <w:shd w:val="clear" w:color="auto" w:fill="auto"/>
            <w:vAlign w:val="center"/>
          </w:tcPr>
          <w:p w14:paraId="50A3F52B" w14:textId="77777777" w:rsidR="00E24C7A" w:rsidRPr="00E24C7A" w:rsidRDefault="00E24C7A" w:rsidP="00A43635">
            <w:pPr>
              <w:contextualSpacing/>
              <w:jc w:val="center"/>
              <w:rPr>
                <w:rFonts w:ascii="Arial" w:hAnsi="Arial" w:cs="Arial"/>
                <w:color w:val="000000"/>
                <w:sz w:val="18"/>
                <w:szCs w:val="18"/>
              </w:rPr>
            </w:pPr>
            <w:r w:rsidRPr="00E24C7A">
              <w:rPr>
                <w:rFonts w:ascii="Arial" w:hAnsi="Arial" w:cs="Arial"/>
                <w:color w:val="000000"/>
                <w:sz w:val="18"/>
                <w:szCs w:val="18"/>
              </w:rPr>
              <w:t>постоянно</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3D01638A" w14:textId="77777777" w:rsidR="00E24C7A" w:rsidRPr="00E24C7A" w:rsidRDefault="00E24C7A" w:rsidP="00A43635">
            <w:pPr>
              <w:contextualSpacing/>
              <w:jc w:val="center"/>
              <w:rPr>
                <w:rFonts w:ascii="Arial" w:hAnsi="Arial" w:cs="Arial"/>
                <w:color w:val="000000"/>
                <w:sz w:val="18"/>
                <w:szCs w:val="18"/>
              </w:rPr>
            </w:pPr>
          </w:p>
        </w:tc>
      </w:tr>
      <w:tr w:rsidR="00E24C7A" w:rsidRPr="00911253" w14:paraId="7BE4A5CE" w14:textId="77777777" w:rsidTr="00E24C7A">
        <w:trPr>
          <w:trHeight w:val="815"/>
        </w:trPr>
        <w:tc>
          <w:tcPr>
            <w:tcW w:w="1083" w:type="dxa"/>
            <w:tcBorders>
              <w:top w:val="single" w:sz="4" w:space="0" w:color="auto"/>
              <w:left w:val="single" w:sz="4" w:space="0" w:color="auto"/>
              <w:bottom w:val="single" w:sz="4" w:space="0" w:color="auto"/>
              <w:right w:val="single" w:sz="4" w:space="0" w:color="auto"/>
            </w:tcBorders>
            <w:shd w:val="clear" w:color="auto" w:fill="auto"/>
            <w:vAlign w:val="center"/>
          </w:tcPr>
          <w:p w14:paraId="380E19D9" w14:textId="77777777" w:rsidR="00E24C7A" w:rsidRPr="00E24C7A" w:rsidRDefault="00E24C7A" w:rsidP="00A43635">
            <w:pPr>
              <w:contextualSpacing/>
              <w:jc w:val="center"/>
              <w:rPr>
                <w:rFonts w:ascii="Arial" w:hAnsi="Arial" w:cs="Arial"/>
                <w:color w:val="000000"/>
                <w:sz w:val="18"/>
                <w:szCs w:val="18"/>
                <w:lang w:val="en-US"/>
              </w:rPr>
            </w:pPr>
            <w:r w:rsidRPr="00E24C7A">
              <w:rPr>
                <w:rFonts w:ascii="Arial" w:hAnsi="Arial" w:cs="Arial"/>
                <w:color w:val="000000"/>
                <w:sz w:val="18"/>
                <w:szCs w:val="18"/>
                <w:lang w:val="en-US"/>
              </w:rPr>
              <w:t>PART_ATS_RESULT_OREG_MED</w:t>
            </w:r>
          </w:p>
        </w:tc>
        <w:tc>
          <w:tcPr>
            <w:tcW w:w="1673" w:type="dxa"/>
            <w:tcBorders>
              <w:top w:val="single" w:sz="4" w:space="0" w:color="auto"/>
              <w:left w:val="single" w:sz="4" w:space="0" w:color="auto"/>
              <w:bottom w:val="single" w:sz="4" w:space="0" w:color="auto"/>
              <w:right w:val="single" w:sz="4" w:space="0" w:color="auto"/>
            </w:tcBorders>
            <w:shd w:val="clear" w:color="auto" w:fill="auto"/>
            <w:vAlign w:val="center"/>
          </w:tcPr>
          <w:p w14:paraId="1002686F" w14:textId="77777777" w:rsidR="00E24C7A" w:rsidRPr="00E24C7A" w:rsidRDefault="00E24C7A" w:rsidP="00A43635">
            <w:pPr>
              <w:contextualSpacing/>
              <w:jc w:val="center"/>
              <w:rPr>
                <w:rFonts w:ascii="Arial" w:hAnsi="Arial" w:cs="Arial"/>
                <w:color w:val="000000"/>
                <w:sz w:val="18"/>
                <w:szCs w:val="18"/>
              </w:rPr>
            </w:pPr>
            <w:r w:rsidRPr="00E24C7A">
              <w:rPr>
                <w:rFonts w:ascii="Arial" w:hAnsi="Arial" w:cs="Arial"/>
                <w:color w:val="000000"/>
                <w:sz w:val="18"/>
                <w:szCs w:val="18"/>
              </w:rPr>
              <w:t>Расчет применимости методов контроля</w:t>
            </w:r>
          </w:p>
        </w:tc>
        <w:tc>
          <w:tcPr>
            <w:tcW w:w="1898" w:type="dxa"/>
            <w:tcBorders>
              <w:top w:val="single" w:sz="4" w:space="0" w:color="auto"/>
              <w:left w:val="single" w:sz="4" w:space="0" w:color="auto"/>
              <w:bottom w:val="single" w:sz="4" w:space="0" w:color="auto"/>
              <w:right w:val="single" w:sz="4" w:space="0" w:color="auto"/>
            </w:tcBorders>
            <w:shd w:val="clear" w:color="auto" w:fill="auto"/>
            <w:vAlign w:val="center"/>
          </w:tcPr>
          <w:p w14:paraId="476D328E" w14:textId="77777777" w:rsidR="00E24C7A" w:rsidRPr="00E24C7A" w:rsidRDefault="00E24C7A" w:rsidP="00A43635">
            <w:pPr>
              <w:contextualSpacing/>
              <w:jc w:val="center"/>
              <w:rPr>
                <w:rFonts w:ascii="Arial" w:hAnsi="Arial" w:cs="Arial"/>
                <w:color w:val="000000"/>
                <w:sz w:val="18"/>
                <w:szCs w:val="18"/>
              </w:rPr>
            </w:pPr>
            <w:r w:rsidRPr="00E24C7A">
              <w:rPr>
                <w:rFonts w:ascii="Arial" w:hAnsi="Arial" w:cs="Arial"/>
                <w:color w:val="000000"/>
                <w:sz w:val="18"/>
                <w:szCs w:val="18"/>
              </w:rPr>
              <w:t>Положение о порядке получения статуса субъекта оптового рынка, п. 2.1 приложения 9</w:t>
            </w:r>
          </w:p>
        </w:tc>
        <w:tc>
          <w:tcPr>
            <w:tcW w:w="1115" w:type="dxa"/>
            <w:tcBorders>
              <w:top w:val="single" w:sz="4" w:space="0" w:color="auto"/>
              <w:left w:val="single" w:sz="4" w:space="0" w:color="auto"/>
              <w:bottom w:val="single" w:sz="4" w:space="0" w:color="auto"/>
              <w:right w:val="single" w:sz="4" w:space="0" w:color="auto"/>
            </w:tcBorders>
            <w:shd w:val="clear" w:color="auto" w:fill="auto"/>
            <w:vAlign w:val="center"/>
          </w:tcPr>
          <w:p w14:paraId="43394F52" w14:textId="77777777" w:rsidR="00E24C7A" w:rsidRPr="00E24C7A" w:rsidRDefault="00E24C7A" w:rsidP="00A43635">
            <w:pPr>
              <w:contextualSpacing/>
              <w:jc w:val="center"/>
              <w:rPr>
                <w:rFonts w:ascii="Arial" w:hAnsi="Arial" w:cs="Arial"/>
                <w:color w:val="000000"/>
                <w:sz w:val="18"/>
                <w:szCs w:val="18"/>
              </w:rPr>
            </w:pPr>
            <w:r w:rsidRPr="00E24C7A">
              <w:rPr>
                <w:rFonts w:ascii="Arial" w:hAnsi="Arial" w:cs="Arial"/>
                <w:color w:val="000000"/>
                <w:sz w:val="18"/>
                <w:szCs w:val="18"/>
              </w:rPr>
              <w:t>xls, xlsx</w:t>
            </w:r>
          </w:p>
        </w:tc>
        <w:tc>
          <w:tcPr>
            <w:tcW w:w="922" w:type="dxa"/>
            <w:tcBorders>
              <w:top w:val="single" w:sz="4" w:space="0" w:color="auto"/>
              <w:left w:val="single" w:sz="4" w:space="0" w:color="auto"/>
              <w:bottom w:val="single" w:sz="4" w:space="0" w:color="auto"/>
              <w:right w:val="single" w:sz="4" w:space="0" w:color="auto"/>
            </w:tcBorders>
            <w:shd w:val="clear" w:color="auto" w:fill="auto"/>
            <w:vAlign w:val="center"/>
          </w:tcPr>
          <w:p w14:paraId="08A4DF8C" w14:textId="77777777" w:rsidR="00E24C7A" w:rsidRPr="00E24C7A" w:rsidRDefault="00E24C7A" w:rsidP="00A43635">
            <w:pPr>
              <w:contextualSpacing/>
              <w:jc w:val="center"/>
              <w:rPr>
                <w:rFonts w:ascii="Arial" w:hAnsi="Arial" w:cs="Arial"/>
                <w:color w:val="000000"/>
                <w:sz w:val="18"/>
                <w:szCs w:val="18"/>
              </w:rPr>
            </w:pPr>
            <w:r w:rsidRPr="00E24C7A">
              <w:rPr>
                <w:rFonts w:ascii="Arial" w:hAnsi="Arial" w:cs="Arial"/>
                <w:color w:val="000000"/>
                <w:sz w:val="18"/>
                <w:szCs w:val="18"/>
              </w:rPr>
              <w:t>Агрегатор</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820C0C5" w14:textId="77777777" w:rsidR="00E24C7A" w:rsidRPr="00E24C7A" w:rsidRDefault="00E24C7A" w:rsidP="00A43635">
            <w:pPr>
              <w:contextualSpacing/>
              <w:jc w:val="center"/>
              <w:rPr>
                <w:rFonts w:ascii="Arial" w:hAnsi="Arial" w:cs="Arial"/>
                <w:color w:val="000000"/>
                <w:sz w:val="18"/>
                <w:szCs w:val="18"/>
              </w:rPr>
            </w:pPr>
            <w:r w:rsidRPr="00E24C7A">
              <w:rPr>
                <w:rFonts w:ascii="Arial" w:hAnsi="Arial" w:cs="Arial"/>
                <w:color w:val="000000"/>
                <w:sz w:val="18"/>
                <w:szCs w:val="18"/>
              </w:rPr>
              <w:t>АТС</w:t>
            </w:r>
          </w:p>
        </w:tc>
        <w:tc>
          <w:tcPr>
            <w:tcW w:w="1027" w:type="dxa"/>
            <w:tcBorders>
              <w:top w:val="single" w:sz="4" w:space="0" w:color="auto"/>
              <w:left w:val="single" w:sz="4" w:space="0" w:color="auto"/>
              <w:bottom w:val="single" w:sz="4" w:space="0" w:color="auto"/>
              <w:right w:val="single" w:sz="4" w:space="0" w:color="auto"/>
            </w:tcBorders>
            <w:shd w:val="clear" w:color="auto" w:fill="auto"/>
            <w:vAlign w:val="center"/>
          </w:tcPr>
          <w:p w14:paraId="5B902746" w14:textId="77777777" w:rsidR="00E24C7A" w:rsidRPr="00E24C7A" w:rsidRDefault="00E24C7A" w:rsidP="00A43635">
            <w:pPr>
              <w:contextualSpacing/>
              <w:jc w:val="center"/>
              <w:rPr>
                <w:rFonts w:ascii="Arial" w:hAnsi="Arial" w:cs="Arial"/>
                <w:color w:val="000000"/>
                <w:sz w:val="18"/>
                <w:szCs w:val="18"/>
              </w:rPr>
            </w:pPr>
            <w:r w:rsidRPr="00E24C7A">
              <w:rPr>
                <w:rFonts w:ascii="Arial" w:hAnsi="Arial" w:cs="Arial"/>
                <w:color w:val="000000"/>
                <w:sz w:val="18"/>
                <w:szCs w:val="18"/>
              </w:rPr>
              <w:t>Материальный носитель</w:t>
            </w:r>
          </w:p>
        </w:tc>
        <w:tc>
          <w:tcPr>
            <w:tcW w:w="1201" w:type="dxa"/>
            <w:tcBorders>
              <w:top w:val="single" w:sz="4" w:space="0" w:color="auto"/>
              <w:left w:val="single" w:sz="4" w:space="0" w:color="auto"/>
              <w:bottom w:val="single" w:sz="4" w:space="0" w:color="auto"/>
              <w:right w:val="single" w:sz="4" w:space="0" w:color="auto"/>
            </w:tcBorders>
            <w:shd w:val="clear" w:color="auto" w:fill="auto"/>
            <w:vAlign w:val="center"/>
          </w:tcPr>
          <w:p w14:paraId="443F7CE0" w14:textId="77777777" w:rsidR="00E24C7A" w:rsidRPr="00E24C7A" w:rsidRDefault="00E24C7A" w:rsidP="00A43635">
            <w:pPr>
              <w:contextualSpacing/>
              <w:jc w:val="center"/>
              <w:rPr>
                <w:rFonts w:ascii="Arial" w:hAnsi="Arial" w:cs="Arial"/>
                <w:color w:val="000000"/>
                <w:sz w:val="18"/>
                <w:szCs w:val="18"/>
              </w:rPr>
            </w:pPr>
            <w:r w:rsidRPr="00E24C7A">
              <w:rPr>
                <w:rFonts w:ascii="Arial" w:hAnsi="Arial" w:cs="Arial"/>
                <w:color w:val="000000"/>
                <w:sz w:val="18"/>
                <w:szCs w:val="18"/>
              </w:rPr>
              <w:t>Нет</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52A66C0D" w14:textId="77777777" w:rsidR="00E24C7A" w:rsidRPr="00E24C7A" w:rsidRDefault="00E24C7A" w:rsidP="00A43635">
            <w:pPr>
              <w:contextualSpacing/>
              <w:jc w:val="center"/>
              <w:rPr>
                <w:rFonts w:ascii="Arial" w:hAnsi="Arial" w:cs="Arial"/>
                <w:color w:val="000000"/>
                <w:sz w:val="18"/>
                <w:szCs w:val="18"/>
              </w:rPr>
            </w:pPr>
            <w:r w:rsidRPr="00E24C7A">
              <w:rPr>
                <w:rFonts w:ascii="Arial" w:hAnsi="Arial" w:cs="Arial"/>
                <w:color w:val="000000"/>
                <w:sz w:val="18"/>
                <w:szCs w:val="18"/>
              </w:rPr>
              <w:t>Нет</w:t>
            </w:r>
          </w:p>
        </w:tc>
        <w:tc>
          <w:tcPr>
            <w:tcW w:w="1862" w:type="dxa"/>
            <w:tcBorders>
              <w:top w:val="single" w:sz="4" w:space="0" w:color="auto"/>
              <w:left w:val="single" w:sz="4" w:space="0" w:color="auto"/>
              <w:bottom w:val="single" w:sz="4" w:space="0" w:color="auto"/>
              <w:right w:val="single" w:sz="4" w:space="0" w:color="auto"/>
            </w:tcBorders>
            <w:shd w:val="clear" w:color="auto" w:fill="auto"/>
            <w:vAlign w:val="center"/>
          </w:tcPr>
          <w:p w14:paraId="558BFDEC" w14:textId="77777777" w:rsidR="00E24C7A" w:rsidRPr="00E24C7A" w:rsidRDefault="00E24C7A" w:rsidP="00A43635">
            <w:pPr>
              <w:contextualSpacing/>
              <w:jc w:val="center"/>
              <w:rPr>
                <w:rFonts w:ascii="Arial" w:hAnsi="Arial" w:cs="Arial"/>
                <w:color w:val="000000"/>
                <w:sz w:val="18"/>
                <w:szCs w:val="18"/>
              </w:rPr>
            </w:pPr>
            <w:r w:rsidRPr="00E24C7A">
              <w:rPr>
                <w:rFonts w:ascii="Arial" w:hAnsi="Arial" w:cs="Arial"/>
                <w:color w:val="000000"/>
                <w:sz w:val="18"/>
                <w:szCs w:val="18"/>
              </w:rPr>
              <w:t>1.3.6.1.4.1.18545.1.2.1.9</w:t>
            </w:r>
          </w:p>
        </w:tc>
        <w:tc>
          <w:tcPr>
            <w:tcW w:w="1046" w:type="dxa"/>
            <w:tcBorders>
              <w:top w:val="single" w:sz="4" w:space="0" w:color="auto"/>
              <w:left w:val="single" w:sz="4" w:space="0" w:color="auto"/>
              <w:bottom w:val="single" w:sz="4" w:space="0" w:color="auto"/>
              <w:right w:val="single" w:sz="4" w:space="0" w:color="auto"/>
            </w:tcBorders>
            <w:shd w:val="clear" w:color="auto" w:fill="auto"/>
            <w:vAlign w:val="center"/>
          </w:tcPr>
          <w:p w14:paraId="76992058" w14:textId="77777777" w:rsidR="00E24C7A" w:rsidRPr="00E24C7A" w:rsidRDefault="00E24C7A" w:rsidP="00A43635">
            <w:pPr>
              <w:contextualSpacing/>
              <w:jc w:val="center"/>
              <w:rPr>
                <w:rFonts w:ascii="Arial" w:hAnsi="Arial" w:cs="Arial"/>
                <w:color w:val="000000"/>
                <w:sz w:val="18"/>
                <w:szCs w:val="18"/>
              </w:rPr>
            </w:pPr>
            <w:r w:rsidRPr="00E24C7A">
              <w:rPr>
                <w:rFonts w:ascii="Arial" w:hAnsi="Arial" w:cs="Arial"/>
                <w:color w:val="000000"/>
                <w:sz w:val="18"/>
                <w:szCs w:val="18"/>
              </w:rPr>
              <w:t>Excel</w:t>
            </w:r>
          </w:p>
        </w:tc>
        <w:tc>
          <w:tcPr>
            <w:tcW w:w="773" w:type="dxa"/>
            <w:tcBorders>
              <w:top w:val="single" w:sz="4" w:space="0" w:color="auto"/>
              <w:left w:val="single" w:sz="4" w:space="0" w:color="auto"/>
              <w:bottom w:val="single" w:sz="4" w:space="0" w:color="auto"/>
              <w:right w:val="single" w:sz="4" w:space="0" w:color="auto"/>
            </w:tcBorders>
            <w:shd w:val="clear" w:color="auto" w:fill="auto"/>
            <w:vAlign w:val="center"/>
          </w:tcPr>
          <w:p w14:paraId="6B7AD976" w14:textId="77777777" w:rsidR="00E24C7A" w:rsidRPr="00E24C7A" w:rsidRDefault="00E24C7A" w:rsidP="00A43635">
            <w:pPr>
              <w:contextualSpacing/>
              <w:jc w:val="center"/>
              <w:rPr>
                <w:rFonts w:ascii="Arial" w:hAnsi="Arial" w:cs="Arial"/>
                <w:color w:val="000000"/>
                <w:sz w:val="18"/>
                <w:szCs w:val="18"/>
              </w:rPr>
            </w:pPr>
            <w:r w:rsidRPr="00E24C7A">
              <w:rPr>
                <w:rFonts w:ascii="Arial" w:hAnsi="Arial" w:cs="Arial"/>
                <w:color w:val="000000"/>
                <w:sz w:val="18"/>
                <w:szCs w:val="18"/>
              </w:rPr>
              <w:t>постоянно</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62F569B1" w14:textId="77777777" w:rsidR="00E24C7A" w:rsidRPr="00E24C7A" w:rsidRDefault="00E24C7A" w:rsidP="00A43635">
            <w:pPr>
              <w:contextualSpacing/>
              <w:jc w:val="center"/>
              <w:rPr>
                <w:rFonts w:ascii="Arial" w:hAnsi="Arial" w:cs="Arial"/>
                <w:color w:val="000000"/>
                <w:sz w:val="18"/>
                <w:szCs w:val="18"/>
              </w:rPr>
            </w:pPr>
          </w:p>
        </w:tc>
      </w:tr>
      <w:tr w:rsidR="00E24C7A" w:rsidRPr="00911253" w14:paraId="67CBDF0F" w14:textId="77777777" w:rsidTr="00E24C7A">
        <w:trPr>
          <w:trHeight w:val="815"/>
        </w:trPr>
        <w:tc>
          <w:tcPr>
            <w:tcW w:w="1083" w:type="dxa"/>
            <w:tcBorders>
              <w:top w:val="single" w:sz="4" w:space="0" w:color="auto"/>
              <w:left w:val="single" w:sz="4" w:space="0" w:color="auto"/>
              <w:bottom w:val="single" w:sz="4" w:space="0" w:color="auto"/>
              <w:right w:val="single" w:sz="4" w:space="0" w:color="auto"/>
            </w:tcBorders>
            <w:shd w:val="clear" w:color="auto" w:fill="auto"/>
            <w:vAlign w:val="center"/>
          </w:tcPr>
          <w:p w14:paraId="0DB9CF5E" w14:textId="77777777" w:rsidR="00E24C7A" w:rsidRPr="00E24C7A" w:rsidRDefault="00E24C7A" w:rsidP="00A43635">
            <w:pPr>
              <w:contextualSpacing/>
              <w:jc w:val="center"/>
              <w:rPr>
                <w:rFonts w:ascii="Arial" w:hAnsi="Arial" w:cs="Arial"/>
                <w:color w:val="000000"/>
                <w:sz w:val="18"/>
                <w:szCs w:val="18"/>
                <w:lang w:val="en-US"/>
              </w:rPr>
            </w:pPr>
            <w:r w:rsidRPr="00E24C7A">
              <w:rPr>
                <w:rFonts w:ascii="Arial" w:hAnsi="Arial" w:cs="Arial"/>
                <w:color w:val="000000"/>
                <w:sz w:val="18"/>
                <w:szCs w:val="18"/>
                <w:lang w:val="en-US"/>
              </w:rPr>
              <w:t>PART_ATS_RESULT_OREG_ WEB</w:t>
            </w:r>
          </w:p>
        </w:tc>
        <w:tc>
          <w:tcPr>
            <w:tcW w:w="1673" w:type="dxa"/>
            <w:tcBorders>
              <w:top w:val="single" w:sz="4" w:space="0" w:color="auto"/>
              <w:left w:val="single" w:sz="4" w:space="0" w:color="auto"/>
              <w:bottom w:val="single" w:sz="4" w:space="0" w:color="auto"/>
              <w:right w:val="single" w:sz="4" w:space="0" w:color="auto"/>
            </w:tcBorders>
            <w:shd w:val="clear" w:color="auto" w:fill="auto"/>
            <w:vAlign w:val="center"/>
          </w:tcPr>
          <w:p w14:paraId="2C55029F" w14:textId="77777777" w:rsidR="00E24C7A" w:rsidRPr="00E24C7A" w:rsidRDefault="00E24C7A" w:rsidP="00A43635">
            <w:pPr>
              <w:contextualSpacing/>
              <w:jc w:val="center"/>
              <w:rPr>
                <w:rFonts w:ascii="Arial" w:hAnsi="Arial" w:cs="Arial"/>
                <w:color w:val="000000"/>
                <w:sz w:val="18"/>
                <w:szCs w:val="18"/>
              </w:rPr>
            </w:pPr>
            <w:r w:rsidRPr="00E24C7A">
              <w:rPr>
                <w:rFonts w:ascii="Arial" w:hAnsi="Arial" w:cs="Arial"/>
                <w:color w:val="000000"/>
                <w:sz w:val="18"/>
                <w:szCs w:val="18"/>
              </w:rPr>
              <w:t>Расчет применимости методов контроля</w:t>
            </w:r>
          </w:p>
        </w:tc>
        <w:tc>
          <w:tcPr>
            <w:tcW w:w="1898" w:type="dxa"/>
            <w:tcBorders>
              <w:top w:val="single" w:sz="4" w:space="0" w:color="auto"/>
              <w:left w:val="single" w:sz="4" w:space="0" w:color="auto"/>
              <w:bottom w:val="single" w:sz="4" w:space="0" w:color="auto"/>
              <w:right w:val="single" w:sz="4" w:space="0" w:color="auto"/>
            </w:tcBorders>
            <w:shd w:val="clear" w:color="auto" w:fill="auto"/>
            <w:vAlign w:val="center"/>
          </w:tcPr>
          <w:p w14:paraId="54524D73" w14:textId="77777777" w:rsidR="00E24C7A" w:rsidRPr="00E24C7A" w:rsidRDefault="00E24C7A" w:rsidP="00A43635">
            <w:pPr>
              <w:contextualSpacing/>
              <w:jc w:val="center"/>
              <w:rPr>
                <w:rFonts w:ascii="Arial" w:hAnsi="Arial" w:cs="Arial"/>
                <w:color w:val="000000"/>
                <w:sz w:val="18"/>
                <w:szCs w:val="18"/>
              </w:rPr>
            </w:pPr>
            <w:r w:rsidRPr="00E24C7A">
              <w:rPr>
                <w:rFonts w:ascii="Arial" w:hAnsi="Arial" w:cs="Arial"/>
                <w:color w:val="000000"/>
                <w:sz w:val="18"/>
                <w:szCs w:val="18"/>
              </w:rPr>
              <w:t>Положение о порядке получения статуса субъекта оптового рынка, п. 2.1 приложения 9</w:t>
            </w:r>
          </w:p>
        </w:tc>
        <w:tc>
          <w:tcPr>
            <w:tcW w:w="1115" w:type="dxa"/>
            <w:tcBorders>
              <w:top w:val="single" w:sz="4" w:space="0" w:color="auto"/>
              <w:left w:val="single" w:sz="4" w:space="0" w:color="auto"/>
              <w:bottom w:val="single" w:sz="4" w:space="0" w:color="auto"/>
              <w:right w:val="single" w:sz="4" w:space="0" w:color="auto"/>
            </w:tcBorders>
            <w:shd w:val="clear" w:color="auto" w:fill="auto"/>
            <w:vAlign w:val="center"/>
          </w:tcPr>
          <w:p w14:paraId="74721DC0" w14:textId="77777777" w:rsidR="00E24C7A" w:rsidRPr="00E24C7A" w:rsidRDefault="00E24C7A" w:rsidP="00A43635">
            <w:pPr>
              <w:contextualSpacing/>
              <w:jc w:val="center"/>
              <w:rPr>
                <w:rFonts w:ascii="Arial" w:hAnsi="Arial" w:cs="Arial"/>
                <w:color w:val="000000"/>
                <w:sz w:val="18"/>
                <w:szCs w:val="18"/>
              </w:rPr>
            </w:pPr>
            <w:r w:rsidRPr="00E24C7A">
              <w:rPr>
                <w:rFonts w:ascii="Arial" w:hAnsi="Arial" w:cs="Arial"/>
                <w:color w:val="000000"/>
                <w:sz w:val="18"/>
                <w:szCs w:val="18"/>
              </w:rPr>
              <w:t>xls, xlsx</w:t>
            </w:r>
          </w:p>
        </w:tc>
        <w:tc>
          <w:tcPr>
            <w:tcW w:w="922" w:type="dxa"/>
            <w:tcBorders>
              <w:top w:val="single" w:sz="4" w:space="0" w:color="auto"/>
              <w:left w:val="single" w:sz="4" w:space="0" w:color="auto"/>
              <w:bottom w:val="single" w:sz="4" w:space="0" w:color="auto"/>
              <w:right w:val="single" w:sz="4" w:space="0" w:color="auto"/>
            </w:tcBorders>
            <w:shd w:val="clear" w:color="auto" w:fill="auto"/>
            <w:vAlign w:val="center"/>
          </w:tcPr>
          <w:p w14:paraId="58EC3AF2" w14:textId="77777777" w:rsidR="00E24C7A" w:rsidRPr="00E24C7A" w:rsidRDefault="00E24C7A" w:rsidP="00A43635">
            <w:pPr>
              <w:contextualSpacing/>
              <w:jc w:val="center"/>
              <w:rPr>
                <w:rFonts w:ascii="Arial" w:hAnsi="Arial" w:cs="Arial"/>
                <w:color w:val="000000"/>
                <w:sz w:val="18"/>
                <w:szCs w:val="18"/>
              </w:rPr>
            </w:pPr>
            <w:r w:rsidRPr="00E24C7A">
              <w:rPr>
                <w:rFonts w:ascii="Arial" w:hAnsi="Arial" w:cs="Arial"/>
                <w:color w:val="000000"/>
                <w:sz w:val="18"/>
                <w:szCs w:val="18"/>
              </w:rPr>
              <w:t>Агрегатор</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99E3AD7" w14:textId="77777777" w:rsidR="00E24C7A" w:rsidRPr="00E24C7A" w:rsidRDefault="00E24C7A" w:rsidP="00A43635">
            <w:pPr>
              <w:contextualSpacing/>
              <w:jc w:val="center"/>
              <w:rPr>
                <w:rFonts w:ascii="Arial" w:hAnsi="Arial" w:cs="Arial"/>
                <w:color w:val="000000"/>
                <w:sz w:val="18"/>
                <w:szCs w:val="18"/>
              </w:rPr>
            </w:pPr>
            <w:r w:rsidRPr="00E24C7A">
              <w:rPr>
                <w:rFonts w:ascii="Arial" w:hAnsi="Arial" w:cs="Arial"/>
                <w:color w:val="000000"/>
                <w:sz w:val="18"/>
                <w:szCs w:val="18"/>
              </w:rPr>
              <w:t>АТС</w:t>
            </w:r>
          </w:p>
        </w:tc>
        <w:tc>
          <w:tcPr>
            <w:tcW w:w="1027" w:type="dxa"/>
            <w:tcBorders>
              <w:top w:val="single" w:sz="4" w:space="0" w:color="auto"/>
              <w:left w:val="single" w:sz="4" w:space="0" w:color="auto"/>
              <w:bottom w:val="single" w:sz="4" w:space="0" w:color="auto"/>
              <w:right w:val="single" w:sz="4" w:space="0" w:color="auto"/>
            </w:tcBorders>
            <w:shd w:val="clear" w:color="auto" w:fill="auto"/>
            <w:vAlign w:val="center"/>
          </w:tcPr>
          <w:p w14:paraId="46443DA5" w14:textId="77777777" w:rsidR="00E24C7A" w:rsidRPr="00E24C7A" w:rsidRDefault="00E24C7A" w:rsidP="00A43635">
            <w:pPr>
              <w:contextualSpacing/>
              <w:jc w:val="center"/>
              <w:rPr>
                <w:rFonts w:ascii="Arial" w:hAnsi="Arial" w:cs="Arial"/>
                <w:color w:val="000000"/>
                <w:sz w:val="18"/>
                <w:szCs w:val="18"/>
              </w:rPr>
            </w:pPr>
            <w:r w:rsidRPr="00E24C7A">
              <w:rPr>
                <w:rFonts w:ascii="Arial" w:hAnsi="Arial" w:cs="Arial"/>
                <w:color w:val="000000"/>
                <w:sz w:val="18"/>
                <w:szCs w:val="18"/>
              </w:rPr>
              <w:t>WEB-интерфейс</w:t>
            </w:r>
          </w:p>
        </w:tc>
        <w:tc>
          <w:tcPr>
            <w:tcW w:w="1201" w:type="dxa"/>
            <w:tcBorders>
              <w:top w:val="single" w:sz="4" w:space="0" w:color="auto"/>
              <w:left w:val="single" w:sz="4" w:space="0" w:color="auto"/>
              <w:bottom w:val="single" w:sz="4" w:space="0" w:color="auto"/>
              <w:right w:val="single" w:sz="4" w:space="0" w:color="auto"/>
            </w:tcBorders>
            <w:shd w:val="clear" w:color="auto" w:fill="auto"/>
            <w:vAlign w:val="center"/>
          </w:tcPr>
          <w:p w14:paraId="42FDC061" w14:textId="77777777" w:rsidR="00E24C7A" w:rsidRPr="00E24C7A" w:rsidRDefault="00E24C7A" w:rsidP="00A43635">
            <w:pPr>
              <w:contextualSpacing/>
              <w:jc w:val="center"/>
              <w:rPr>
                <w:rFonts w:ascii="Arial" w:hAnsi="Arial" w:cs="Arial"/>
                <w:color w:val="000000"/>
                <w:sz w:val="18"/>
                <w:szCs w:val="18"/>
              </w:rPr>
            </w:pPr>
            <w:r w:rsidRPr="00E24C7A">
              <w:rPr>
                <w:rFonts w:ascii="Arial" w:hAnsi="Arial" w:cs="Arial"/>
                <w:color w:val="000000"/>
                <w:sz w:val="18"/>
                <w:szCs w:val="18"/>
              </w:rPr>
              <w:t>Нет</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1BCA101F" w14:textId="77777777" w:rsidR="00E24C7A" w:rsidRPr="00E24C7A" w:rsidRDefault="00E24C7A" w:rsidP="00A43635">
            <w:pPr>
              <w:contextualSpacing/>
              <w:jc w:val="center"/>
              <w:rPr>
                <w:rFonts w:ascii="Arial" w:hAnsi="Arial" w:cs="Arial"/>
                <w:color w:val="000000"/>
                <w:sz w:val="18"/>
                <w:szCs w:val="18"/>
              </w:rPr>
            </w:pPr>
            <w:r w:rsidRPr="00E24C7A">
              <w:rPr>
                <w:rFonts w:ascii="Arial" w:hAnsi="Arial" w:cs="Arial"/>
                <w:color w:val="000000"/>
                <w:sz w:val="18"/>
                <w:szCs w:val="18"/>
              </w:rPr>
              <w:t>Нет</w:t>
            </w:r>
          </w:p>
        </w:tc>
        <w:tc>
          <w:tcPr>
            <w:tcW w:w="1862" w:type="dxa"/>
            <w:tcBorders>
              <w:top w:val="single" w:sz="4" w:space="0" w:color="auto"/>
              <w:left w:val="single" w:sz="4" w:space="0" w:color="auto"/>
              <w:bottom w:val="single" w:sz="4" w:space="0" w:color="auto"/>
              <w:right w:val="single" w:sz="4" w:space="0" w:color="auto"/>
            </w:tcBorders>
            <w:shd w:val="clear" w:color="auto" w:fill="auto"/>
            <w:vAlign w:val="center"/>
          </w:tcPr>
          <w:p w14:paraId="31D948A8" w14:textId="77777777" w:rsidR="00E24C7A" w:rsidRPr="00E24C7A" w:rsidRDefault="00E24C7A" w:rsidP="00A43635">
            <w:pPr>
              <w:contextualSpacing/>
              <w:jc w:val="center"/>
              <w:rPr>
                <w:rFonts w:ascii="Arial" w:hAnsi="Arial" w:cs="Arial"/>
                <w:color w:val="000000"/>
                <w:sz w:val="18"/>
                <w:szCs w:val="18"/>
              </w:rPr>
            </w:pPr>
            <w:r w:rsidRPr="00E24C7A">
              <w:rPr>
                <w:rFonts w:ascii="Arial" w:hAnsi="Arial" w:cs="Arial"/>
                <w:color w:val="000000"/>
                <w:sz w:val="18"/>
                <w:szCs w:val="18"/>
              </w:rPr>
              <w:t>1.3.6.1.4.1.18545.1.2.1.9</w:t>
            </w:r>
          </w:p>
        </w:tc>
        <w:tc>
          <w:tcPr>
            <w:tcW w:w="1046" w:type="dxa"/>
            <w:tcBorders>
              <w:top w:val="single" w:sz="4" w:space="0" w:color="auto"/>
              <w:left w:val="single" w:sz="4" w:space="0" w:color="auto"/>
              <w:bottom w:val="single" w:sz="4" w:space="0" w:color="auto"/>
              <w:right w:val="single" w:sz="4" w:space="0" w:color="auto"/>
            </w:tcBorders>
            <w:shd w:val="clear" w:color="auto" w:fill="auto"/>
            <w:vAlign w:val="center"/>
          </w:tcPr>
          <w:p w14:paraId="77C5353C" w14:textId="77777777" w:rsidR="00E24C7A" w:rsidRPr="00E24C7A" w:rsidRDefault="00E24C7A" w:rsidP="00A43635">
            <w:pPr>
              <w:contextualSpacing/>
              <w:jc w:val="center"/>
              <w:rPr>
                <w:rFonts w:ascii="Arial" w:hAnsi="Arial" w:cs="Arial"/>
                <w:color w:val="000000"/>
                <w:sz w:val="18"/>
                <w:szCs w:val="18"/>
              </w:rPr>
            </w:pPr>
            <w:r w:rsidRPr="00E24C7A">
              <w:rPr>
                <w:rFonts w:ascii="Arial" w:hAnsi="Arial" w:cs="Arial"/>
                <w:color w:val="000000"/>
                <w:sz w:val="18"/>
                <w:szCs w:val="18"/>
              </w:rPr>
              <w:t>Excel</w:t>
            </w:r>
          </w:p>
        </w:tc>
        <w:tc>
          <w:tcPr>
            <w:tcW w:w="773" w:type="dxa"/>
            <w:tcBorders>
              <w:top w:val="single" w:sz="4" w:space="0" w:color="auto"/>
              <w:left w:val="single" w:sz="4" w:space="0" w:color="auto"/>
              <w:bottom w:val="single" w:sz="4" w:space="0" w:color="auto"/>
              <w:right w:val="single" w:sz="4" w:space="0" w:color="auto"/>
            </w:tcBorders>
            <w:shd w:val="clear" w:color="auto" w:fill="auto"/>
            <w:vAlign w:val="center"/>
          </w:tcPr>
          <w:p w14:paraId="639847B0" w14:textId="77777777" w:rsidR="00E24C7A" w:rsidRPr="00E24C7A" w:rsidRDefault="00E24C7A" w:rsidP="00A43635">
            <w:pPr>
              <w:contextualSpacing/>
              <w:jc w:val="center"/>
              <w:rPr>
                <w:rFonts w:ascii="Arial" w:hAnsi="Arial" w:cs="Arial"/>
                <w:color w:val="000000"/>
                <w:sz w:val="18"/>
                <w:szCs w:val="18"/>
              </w:rPr>
            </w:pPr>
            <w:r w:rsidRPr="00E24C7A">
              <w:rPr>
                <w:rFonts w:ascii="Arial" w:hAnsi="Arial" w:cs="Arial"/>
                <w:color w:val="000000"/>
                <w:sz w:val="18"/>
                <w:szCs w:val="18"/>
              </w:rPr>
              <w:t>постоянно</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640325BE" w14:textId="77777777" w:rsidR="00E24C7A" w:rsidRPr="00E24C7A" w:rsidRDefault="00E24C7A" w:rsidP="00A43635">
            <w:pPr>
              <w:contextualSpacing/>
              <w:jc w:val="center"/>
              <w:rPr>
                <w:rFonts w:ascii="Arial" w:hAnsi="Arial" w:cs="Arial"/>
                <w:color w:val="000000"/>
                <w:sz w:val="18"/>
                <w:szCs w:val="18"/>
              </w:rPr>
            </w:pPr>
          </w:p>
        </w:tc>
      </w:tr>
      <w:tr w:rsidR="00E24C7A" w:rsidRPr="00911253" w14:paraId="72B66081" w14:textId="77777777" w:rsidTr="00E24C7A">
        <w:trPr>
          <w:trHeight w:val="815"/>
        </w:trPr>
        <w:tc>
          <w:tcPr>
            <w:tcW w:w="1083" w:type="dxa"/>
            <w:tcBorders>
              <w:top w:val="single" w:sz="4" w:space="0" w:color="auto"/>
              <w:left w:val="single" w:sz="4" w:space="0" w:color="auto"/>
              <w:bottom w:val="single" w:sz="4" w:space="0" w:color="auto"/>
              <w:right w:val="single" w:sz="4" w:space="0" w:color="auto"/>
            </w:tcBorders>
            <w:shd w:val="clear" w:color="auto" w:fill="auto"/>
            <w:vAlign w:val="center"/>
          </w:tcPr>
          <w:p w14:paraId="13393804" w14:textId="77777777" w:rsidR="00E24C7A" w:rsidRPr="00E24C7A" w:rsidRDefault="00E24C7A" w:rsidP="00A43635">
            <w:pPr>
              <w:contextualSpacing/>
              <w:jc w:val="center"/>
              <w:rPr>
                <w:rFonts w:ascii="Arial" w:hAnsi="Arial" w:cs="Arial"/>
                <w:color w:val="000000"/>
                <w:sz w:val="18"/>
                <w:szCs w:val="18"/>
                <w:lang w:val="en-US"/>
              </w:rPr>
            </w:pPr>
            <w:r w:rsidRPr="00E24C7A">
              <w:rPr>
                <w:rFonts w:ascii="Arial" w:hAnsi="Arial" w:cs="Arial"/>
                <w:color w:val="000000"/>
                <w:sz w:val="18"/>
                <w:szCs w:val="18"/>
                <w:lang w:val="en-US"/>
              </w:rPr>
              <w:lastRenderedPageBreak/>
              <w:t>PART_ATS_OPLATA_OREG_MED</w:t>
            </w:r>
          </w:p>
        </w:tc>
        <w:tc>
          <w:tcPr>
            <w:tcW w:w="1673" w:type="dxa"/>
            <w:tcBorders>
              <w:top w:val="single" w:sz="4" w:space="0" w:color="auto"/>
              <w:left w:val="single" w:sz="4" w:space="0" w:color="auto"/>
              <w:bottom w:val="single" w:sz="4" w:space="0" w:color="auto"/>
              <w:right w:val="single" w:sz="4" w:space="0" w:color="auto"/>
            </w:tcBorders>
            <w:shd w:val="clear" w:color="auto" w:fill="auto"/>
            <w:vAlign w:val="center"/>
          </w:tcPr>
          <w:p w14:paraId="1526A4B5" w14:textId="77777777" w:rsidR="00E24C7A" w:rsidRPr="00E24C7A" w:rsidRDefault="00E24C7A" w:rsidP="00A43635">
            <w:pPr>
              <w:contextualSpacing/>
              <w:jc w:val="center"/>
              <w:rPr>
                <w:rFonts w:ascii="Arial" w:hAnsi="Arial" w:cs="Arial"/>
                <w:color w:val="000000"/>
                <w:sz w:val="18"/>
                <w:szCs w:val="18"/>
              </w:rPr>
            </w:pPr>
            <w:r w:rsidRPr="00E24C7A">
              <w:rPr>
                <w:rFonts w:ascii="Arial" w:hAnsi="Arial" w:cs="Arial"/>
                <w:color w:val="000000"/>
                <w:sz w:val="18"/>
                <w:szCs w:val="18"/>
              </w:rPr>
              <w:t>Документ об оплате услуги АО «АТС»</w:t>
            </w:r>
          </w:p>
        </w:tc>
        <w:tc>
          <w:tcPr>
            <w:tcW w:w="1898" w:type="dxa"/>
            <w:tcBorders>
              <w:top w:val="single" w:sz="4" w:space="0" w:color="auto"/>
              <w:left w:val="single" w:sz="4" w:space="0" w:color="auto"/>
              <w:bottom w:val="single" w:sz="4" w:space="0" w:color="auto"/>
              <w:right w:val="single" w:sz="4" w:space="0" w:color="auto"/>
            </w:tcBorders>
            <w:shd w:val="clear" w:color="auto" w:fill="auto"/>
            <w:vAlign w:val="center"/>
          </w:tcPr>
          <w:p w14:paraId="06897086" w14:textId="77777777" w:rsidR="00E24C7A" w:rsidRPr="00E24C7A" w:rsidRDefault="00E24C7A" w:rsidP="00A43635">
            <w:pPr>
              <w:contextualSpacing/>
              <w:jc w:val="center"/>
              <w:rPr>
                <w:rFonts w:ascii="Arial" w:hAnsi="Arial" w:cs="Arial"/>
                <w:color w:val="000000"/>
                <w:sz w:val="18"/>
                <w:szCs w:val="18"/>
              </w:rPr>
            </w:pPr>
            <w:r w:rsidRPr="00E24C7A">
              <w:rPr>
                <w:rFonts w:ascii="Arial" w:hAnsi="Arial" w:cs="Arial"/>
                <w:color w:val="000000"/>
                <w:sz w:val="18"/>
                <w:szCs w:val="18"/>
              </w:rPr>
              <w:t>Положение о порядке получения статуса субъекта оптового рынка, п. 2.1 приложения 9</w:t>
            </w:r>
          </w:p>
        </w:tc>
        <w:tc>
          <w:tcPr>
            <w:tcW w:w="1115" w:type="dxa"/>
            <w:tcBorders>
              <w:top w:val="single" w:sz="4" w:space="0" w:color="auto"/>
              <w:left w:val="single" w:sz="4" w:space="0" w:color="auto"/>
              <w:bottom w:val="single" w:sz="4" w:space="0" w:color="auto"/>
              <w:right w:val="single" w:sz="4" w:space="0" w:color="auto"/>
            </w:tcBorders>
            <w:shd w:val="clear" w:color="auto" w:fill="auto"/>
            <w:vAlign w:val="center"/>
          </w:tcPr>
          <w:p w14:paraId="61AE8411" w14:textId="77777777" w:rsidR="00E24C7A" w:rsidRPr="00E24C7A" w:rsidRDefault="00E24C7A" w:rsidP="00A43635">
            <w:pPr>
              <w:contextualSpacing/>
              <w:jc w:val="center"/>
              <w:rPr>
                <w:rFonts w:ascii="Arial" w:hAnsi="Arial" w:cs="Arial"/>
                <w:color w:val="000000"/>
                <w:sz w:val="18"/>
                <w:szCs w:val="18"/>
              </w:rPr>
            </w:pPr>
            <w:r w:rsidRPr="00E24C7A">
              <w:rPr>
                <w:rFonts w:ascii="Arial" w:hAnsi="Arial" w:cs="Arial"/>
                <w:color w:val="000000"/>
                <w:sz w:val="18"/>
                <w:szCs w:val="18"/>
              </w:rPr>
              <w:t>pdf</w:t>
            </w:r>
          </w:p>
        </w:tc>
        <w:tc>
          <w:tcPr>
            <w:tcW w:w="922" w:type="dxa"/>
            <w:tcBorders>
              <w:top w:val="single" w:sz="4" w:space="0" w:color="auto"/>
              <w:left w:val="single" w:sz="4" w:space="0" w:color="auto"/>
              <w:bottom w:val="single" w:sz="4" w:space="0" w:color="auto"/>
              <w:right w:val="single" w:sz="4" w:space="0" w:color="auto"/>
            </w:tcBorders>
            <w:shd w:val="clear" w:color="auto" w:fill="auto"/>
            <w:vAlign w:val="center"/>
          </w:tcPr>
          <w:p w14:paraId="7F0D73A3" w14:textId="77777777" w:rsidR="00E24C7A" w:rsidRPr="00E24C7A" w:rsidRDefault="00E24C7A" w:rsidP="00A43635">
            <w:pPr>
              <w:contextualSpacing/>
              <w:jc w:val="center"/>
              <w:rPr>
                <w:rFonts w:ascii="Arial" w:hAnsi="Arial" w:cs="Arial"/>
                <w:color w:val="000000"/>
                <w:sz w:val="18"/>
                <w:szCs w:val="18"/>
              </w:rPr>
            </w:pPr>
            <w:r w:rsidRPr="00E24C7A">
              <w:rPr>
                <w:rFonts w:ascii="Arial" w:hAnsi="Arial" w:cs="Arial"/>
                <w:color w:val="000000"/>
                <w:sz w:val="18"/>
                <w:szCs w:val="18"/>
              </w:rPr>
              <w:t>Агрегатор</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21A30E5" w14:textId="77777777" w:rsidR="00E24C7A" w:rsidRPr="00E24C7A" w:rsidRDefault="00E24C7A" w:rsidP="00A43635">
            <w:pPr>
              <w:contextualSpacing/>
              <w:jc w:val="center"/>
              <w:rPr>
                <w:rFonts w:ascii="Arial" w:hAnsi="Arial" w:cs="Arial"/>
                <w:color w:val="000000"/>
                <w:sz w:val="18"/>
                <w:szCs w:val="18"/>
              </w:rPr>
            </w:pPr>
            <w:r w:rsidRPr="00E24C7A">
              <w:rPr>
                <w:rFonts w:ascii="Arial" w:hAnsi="Arial" w:cs="Arial"/>
                <w:color w:val="000000"/>
                <w:sz w:val="18"/>
                <w:szCs w:val="18"/>
              </w:rPr>
              <w:t>АТС</w:t>
            </w:r>
          </w:p>
        </w:tc>
        <w:tc>
          <w:tcPr>
            <w:tcW w:w="1027" w:type="dxa"/>
            <w:tcBorders>
              <w:top w:val="single" w:sz="4" w:space="0" w:color="auto"/>
              <w:left w:val="single" w:sz="4" w:space="0" w:color="auto"/>
              <w:bottom w:val="single" w:sz="4" w:space="0" w:color="auto"/>
              <w:right w:val="single" w:sz="4" w:space="0" w:color="auto"/>
            </w:tcBorders>
            <w:shd w:val="clear" w:color="auto" w:fill="auto"/>
            <w:vAlign w:val="center"/>
          </w:tcPr>
          <w:p w14:paraId="01D2A4A0" w14:textId="77777777" w:rsidR="00E24C7A" w:rsidRPr="00E24C7A" w:rsidRDefault="00E24C7A" w:rsidP="00A43635">
            <w:pPr>
              <w:contextualSpacing/>
              <w:jc w:val="center"/>
              <w:rPr>
                <w:rFonts w:ascii="Arial" w:hAnsi="Arial" w:cs="Arial"/>
                <w:color w:val="000000"/>
                <w:sz w:val="18"/>
                <w:szCs w:val="18"/>
              </w:rPr>
            </w:pPr>
            <w:r w:rsidRPr="00E24C7A">
              <w:rPr>
                <w:rFonts w:ascii="Arial" w:hAnsi="Arial" w:cs="Arial"/>
                <w:color w:val="000000"/>
                <w:sz w:val="18"/>
                <w:szCs w:val="18"/>
              </w:rPr>
              <w:t>Материальный носитель</w:t>
            </w:r>
          </w:p>
        </w:tc>
        <w:tc>
          <w:tcPr>
            <w:tcW w:w="1201" w:type="dxa"/>
            <w:tcBorders>
              <w:top w:val="single" w:sz="4" w:space="0" w:color="auto"/>
              <w:left w:val="single" w:sz="4" w:space="0" w:color="auto"/>
              <w:bottom w:val="single" w:sz="4" w:space="0" w:color="auto"/>
              <w:right w:val="single" w:sz="4" w:space="0" w:color="auto"/>
            </w:tcBorders>
            <w:shd w:val="clear" w:color="auto" w:fill="auto"/>
            <w:vAlign w:val="center"/>
          </w:tcPr>
          <w:p w14:paraId="09024307" w14:textId="77777777" w:rsidR="00E24C7A" w:rsidRPr="00E24C7A" w:rsidRDefault="00E24C7A" w:rsidP="00A43635">
            <w:pPr>
              <w:contextualSpacing/>
              <w:jc w:val="center"/>
              <w:rPr>
                <w:rFonts w:ascii="Arial" w:hAnsi="Arial" w:cs="Arial"/>
                <w:color w:val="000000"/>
                <w:sz w:val="18"/>
                <w:szCs w:val="18"/>
              </w:rPr>
            </w:pPr>
            <w:r w:rsidRPr="00E24C7A">
              <w:rPr>
                <w:rFonts w:ascii="Arial" w:hAnsi="Arial" w:cs="Arial"/>
                <w:color w:val="000000"/>
                <w:sz w:val="18"/>
                <w:szCs w:val="18"/>
              </w:rPr>
              <w:t>Нет</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36D2202A" w14:textId="77777777" w:rsidR="00E24C7A" w:rsidRPr="00E24C7A" w:rsidRDefault="00E24C7A" w:rsidP="00A43635">
            <w:pPr>
              <w:contextualSpacing/>
              <w:jc w:val="center"/>
              <w:rPr>
                <w:rFonts w:ascii="Arial" w:hAnsi="Arial" w:cs="Arial"/>
                <w:color w:val="000000"/>
                <w:sz w:val="18"/>
                <w:szCs w:val="18"/>
              </w:rPr>
            </w:pPr>
            <w:r w:rsidRPr="00E24C7A">
              <w:rPr>
                <w:rFonts w:ascii="Arial" w:hAnsi="Arial" w:cs="Arial"/>
                <w:color w:val="000000"/>
                <w:sz w:val="18"/>
                <w:szCs w:val="18"/>
              </w:rPr>
              <w:t>Нет</w:t>
            </w:r>
          </w:p>
        </w:tc>
        <w:tc>
          <w:tcPr>
            <w:tcW w:w="1862" w:type="dxa"/>
            <w:tcBorders>
              <w:top w:val="single" w:sz="4" w:space="0" w:color="auto"/>
              <w:left w:val="single" w:sz="4" w:space="0" w:color="auto"/>
              <w:bottom w:val="single" w:sz="4" w:space="0" w:color="auto"/>
              <w:right w:val="single" w:sz="4" w:space="0" w:color="auto"/>
            </w:tcBorders>
            <w:shd w:val="clear" w:color="auto" w:fill="auto"/>
            <w:vAlign w:val="center"/>
          </w:tcPr>
          <w:p w14:paraId="3628B3B4" w14:textId="77777777" w:rsidR="00E24C7A" w:rsidRPr="00E24C7A" w:rsidRDefault="00E24C7A" w:rsidP="00A43635">
            <w:pPr>
              <w:contextualSpacing/>
              <w:jc w:val="center"/>
              <w:rPr>
                <w:rFonts w:ascii="Arial" w:hAnsi="Arial" w:cs="Arial"/>
                <w:color w:val="000000"/>
                <w:sz w:val="18"/>
                <w:szCs w:val="18"/>
              </w:rPr>
            </w:pPr>
            <w:r w:rsidRPr="00E24C7A">
              <w:rPr>
                <w:rFonts w:ascii="Arial" w:hAnsi="Arial" w:cs="Arial"/>
                <w:color w:val="000000"/>
                <w:sz w:val="18"/>
                <w:szCs w:val="18"/>
              </w:rPr>
              <w:t>1.3.6.1.4.1.18545.1.2.1.1</w:t>
            </w:r>
          </w:p>
        </w:tc>
        <w:tc>
          <w:tcPr>
            <w:tcW w:w="1046" w:type="dxa"/>
            <w:tcBorders>
              <w:top w:val="single" w:sz="4" w:space="0" w:color="auto"/>
              <w:left w:val="single" w:sz="4" w:space="0" w:color="auto"/>
              <w:bottom w:val="single" w:sz="4" w:space="0" w:color="auto"/>
              <w:right w:val="single" w:sz="4" w:space="0" w:color="auto"/>
            </w:tcBorders>
            <w:shd w:val="clear" w:color="auto" w:fill="auto"/>
            <w:vAlign w:val="center"/>
          </w:tcPr>
          <w:p w14:paraId="5282E3BF" w14:textId="77777777" w:rsidR="00E24C7A" w:rsidRPr="00E24C7A" w:rsidRDefault="00E24C7A" w:rsidP="00A43635">
            <w:pPr>
              <w:contextualSpacing/>
              <w:jc w:val="center"/>
              <w:rPr>
                <w:rFonts w:ascii="Arial" w:hAnsi="Arial" w:cs="Arial"/>
                <w:color w:val="000000"/>
                <w:sz w:val="18"/>
                <w:szCs w:val="18"/>
              </w:rPr>
            </w:pPr>
            <w:r w:rsidRPr="00E24C7A">
              <w:rPr>
                <w:rFonts w:ascii="Arial" w:hAnsi="Arial" w:cs="Arial"/>
                <w:color w:val="000000"/>
                <w:sz w:val="18"/>
                <w:szCs w:val="18"/>
              </w:rPr>
              <w:t>Adobe Reader</w:t>
            </w:r>
          </w:p>
        </w:tc>
        <w:tc>
          <w:tcPr>
            <w:tcW w:w="773" w:type="dxa"/>
            <w:tcBorders>
              <w:top w:val="single" w:sz="4" w:space="0" w:color="auto"/>
              <w:left w:val="single" w:sz="4" w:space="0" w:color="auto"/>
              <w:bottom w:val="single" w:sz="4" w:space="0" w:color="auto"/>
              <w:right w:val="single" w:sz="4" w:space="0" w:color="auto"/>
            </w:tcBorders>
            <w:shd w:val="clear" w:color="auto" w:fill="auto"/>
            <w:vAlign w:val="center"/>
          </w:tcPr>
          <w:p w14:paraId="0267EAAF" w14:textId="77777777" w:rsidR="00E24C7A" w:rsidRPr="00E24C7A" w:rsidRDefault="00E24C7A" w:rsidP="00A43635">
            <w:pPr>
              <w:contextualSpacing/>
              <w:jc w:val="center"/>
              <w:rPr>
                <w:rFonts w:ascii="Arial" w:hAnsi="Arial" w:cs="Arial"/>
                <w:color w:val="000000"/>
                <w:sz w:val="18"/>
                <w:szCs w:val="18"/>
              </w:rPr>
            </w:pPr>
            <w:r w:rsidRPr="00E24C7A">
              <w:rPr>
                <w:rFonts w:ascii="Arial" w:hAnsi="Arial" w:cs="Arial"/>
                <w:color w:val="000000"/>
                <w:sz w:val="18"/>
                <w:szCs w:val="18"/>
              </w:rPr>
              <w:t>постоянно</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67A2FC4F" w14:textId="77777777" w:rsidR="00E24C7A" w:rsidRPr="00E24C7A" w:rsidRDefault="00E24C7A" w:rsidP="00A43635">
            <w:pPr>
              <w:contextualSpacing/>
              <w:jc w:val="center"/>
              <w:rPr>
                <w:rFonts w:ascii="Arial" w:hAnsi="Arial" w:cs="Arial"/>
                <w:color w:val="000000"/>
                <w:sz w:val="18"/>
                <w:szCs w:val="18"/>
              </w:rPr>
            </w:pPr>
          </w:p>
        </w:tc>
      </w:tr>
      <w:tr w:rsidR="00E24C7A" w:rsidRPr="00911253" w14:paraId="5FE725A1" w14:textId="77777777" w:rsidTr="00E24C7A">
        <w:trPr>
          <w:trHeight w:val="815"/>
        </w:trPr>
        <w:tc>
          <w:tcPr>
            <w:tcW w:w="1083" w:type="dxa"/>
            <w:tcBorders>
              <w:top w:val="single" w:sz="4" w:space="0" w:color="auto"/>
              <w:left w:val="single" w:sz="4" w:space="0" w:color="auto"/>
              <w:bottom w:val="single" w:sz="4" w:space="0" w:color="auto"/>
              <w:right w:val="single" w:sz="4" w:space="0" w:color="auto"/>
            </w:tcBorders>
            <w:shd w:val="clear" w:color="auto" w:fill="auto"/>
            <w:vAlign w:val="center"/>
          </w:tcPr>
          <w:p w14:paraId="59A124BB" w14:textId="77777777" w:rsidR="00E24C7A" w:rsidRPr="00E24C7A" w:rsidRDefault="00E24C7A" w:rsidP="00A43635">
            <w:pPr>
              <w:contextualSpacing/>
              <w:jc w:val="center"/>
              <w:rPr>
                <w:rFonts w:ascii="Arial" w:hAnsi="Arial" w:cs="Arial"/>
                <w:color w:val="000000"/>
                <w:sz w:val="18"/>
                <w:szCs w:val="18"/>
                <w:lang w:val="en-US"/>
              </w:rPr>
            </w:pPr>
            <w:r w:rsidRPr="00E24C7A">
              <w:rPr>
                <w:rFonts w:ascii="Arial" w:hAnsi="Arial" w:cs="Arial"/>
                <w:color w:val="000000"/>
                <w:sz w:val="18"/>
                <w:szCs w:val="18"/>
                <w:lang w:val="en-US"/>
              </w:rPr>
              <w:t>PART_ATS_OPLATA_OREG__ WEB</w:t>
            </w:r>
          </w:p>
        </w:tc>
        <w:tc>
          <w:tcPr>
            <w:tcW w:w="1673" w:type="dxa"/>
            <w:tcBorders>
              <w:top w:val="single" w:sz="4" w:space="0" w:color="auto"/>
              <w:left w:val="single" w:sz="4" w:space="0" w:color="auto"/>
              <w:bottom w:val="single" w:sz="4" w:space="0" w:color="auto"/>
              <w:right w:val="single" w:sz="4" w:space="0" w:color="auto"/>
            </w:tcBorders>
            <w:shd w:val="clear" w:color="auto" w:fill="auto"/>
            <w:vAlign w:val="center"/>
          </w:tcPr>
          <w:p w14:paraId="160AFB1E" w14:textId="77777777" w:rsidR="00E24C7A" w:rsidRPr="00E24C7A" w:rsidRDefault="00E24C7A" w:rsidP="00A43635">
            <w:pPr>
              <w:contextualSpacing/>
              <w:jc w:val="center"/>
              <w:rPr>
                <w:rFonts w:ascii="Arial" w:hAnsi="Arial" w:cs="Arial"/>
                <w:color w:val="000000"/>
                <w:sz w:val="18"/>
                <w:szCs w:val="18"/>
              </w:rPr>
            </w:pPr>
            <w:r w:rsidRPr="00E24C7A">
              <w:rPr>
                <w:rFonts w:ascii="Arial" w:hAnsi="Arial" w:cs="Arial"/>
                <w:color w:val="000000"/>
                <w:sz w:val="18"/>
                <w:szCs w:val="18"/>
              </w:rPr>
              <w:t>Документ об оплате услуги АО «АТС»</w:t>
            </w:r>
          </w:p>
        </w:tc>
        <w:tc>
          <w:tcPr>
            <w:tcW w:w="1898" w:type="dxa"/>
            <w:tcBorders>
              <w:top w:val="single" w:sz="4" w:space="0" w:color="auto"/>
              <w:left w:val="single" w:sz="4" w:space="0" w:color="auto"/>
              <w:bottom w:val="single" w:sz="4" w:space="0" w:color="auto"/>
              <w:right w:val="single" w:sz="4" w:space="0" w:color="auto"/>
            </w:tcBorders>
            <w:shd w:val="clear" w:color="auto" w:fill="auto"/>
            <w:vAlign w:val="center"/>
          </w:tcPr>
          <w:p w14:paraId="3E5077EE" w14:textId="77777777" w:rsidR="00E24C7A" w:rsidRPr="00E24C7A" w:rsidRDefault="00E24C7A" w:rsidP="00A43635">
            <w:pPr>
              <w:contextualSpacing/>
              <w:jc w:val="center"/>
              <w:rPr>
                <w:rFonts w:ascii="Arial" w:hAnsi="Arial" w:cs="Arial"/>
                <w:color w:val="000000"/>
                <w:sz w:val="18"/>
                <w:szCs w:val="18"/>
              </w:rPr>
            </w:pPr>
            <w:r w:rsidRPr="00E24C7A">
              <w:rPr>
                <w:rFonts w:ascii="Arial" w:hAnsi="Arial" w:cs="Arial"/>
                <w:color w:val="000000"/>
                <w:sz w:val="18"/>
                <w:szCs w:val="18"/>
              </w:rPr>
              <w:t>Положение о порядке получения статуса субъекта оптового рынка, п. 2.1 приложения 9</w:t>
            </w:r>
          </w:p>
        </w:tc>
        <w:tc>
          <w:tcPr>
            <w:tcW w:w="1115" w:type="dxa"/>
            <w:tcBorders>
              <w:top w:val="single" w:sz="4" w:space="0" w:color="auto"/>
              <w:left w:val="single" w:sz="4" w:space="0" w:color="auto"/>
              <w:bottom w:val="single" w:sz="4" w:space="0" w:color="auto"/>
              <w:right w:val="single" w:sz="4" w:space="0" w:color="auto"/>
            </w:tcBorders>
            <w:shd w:val="clear" w:color="auto" w:fill="auto"/>
            <w:vAlign w:val="center"/>
          </w:tcPr>
          <w:p w14:paraId="3015AA9F" w14:textId="77777777" w:rsidR="00E24C7A" w:rsidRPr="00E24C7A" w:rsidRDefault="00E24C7A" w:rsidP="00A43635">
            <w:pPr>
              <w:contextualSpacing/>
              <w:jc w:val="center"/>
              <w:rPr>
                <w:rFonts w:ascii="Arial" w:hAnsi="Arial" w:cs="Arial"/>
                <w:color w:val="000000"/>
                <w:sz w:val="18"/>
                <w:szCs w:val="18"/>
              </w:rPr>
            </w:pPr>
            <w:r w:rsidRPr="00E24C7A">
              <w:rPr>
                <w:rFonts w:ascii="Arial" w:hAnsi="Arial" w:cs="Arial"/>
                <w:color w:val="000000"/>
                <w:sz w:val="18"/>
                <w:szCs w:val="18"/>
              </w:rPr>
              <w:t>pdf</w:t>
            </w:r>
          </w:p>
        </w:tc>
        <w:tc>
          <w:tcPr>
            <w:tcW w:w="922" w:type="dxa"/>
            <w:tcBorders>
              <w:top w:val="single" w:sz="4" w:space="0" w:color="auto"/>
              <w:left w:val="single" w:sz="4" w:space="0" w:color="auto"/>
              <w:bottom w:val="single" w:sz="4" w:space="0" w:color="auto"/>
              <w:right w:val="single" w:sz="4" w:space="0" w:color="auto"/>
            </w:tcBorders>
            <w:shd w:val="clear" w:color="auto" w:fill="auto"/>
            <w:vAlign w:val="center"/>
          </w:tcPr>
          <w:p w14:paraId="4A3F6257" w14:textId="77777777" w:rsidR="00E24C7A" w:rsidRPr="00E24C7A" w:rsidRDefault="00E24C7A" w:rsidP="00A43635">
            <w:pPr>
              <w:contextualSpacing/>
              <w:jc w:val="center"/>
              <w:rPr>
                <w:rFonts w:ascii="Arial" w:hAnsi="Arial" w:cs="Arial"/>
                <w:color w:val="000000"/>
                <w:sz w:val="18"/>
                <w:szCs w:val="18"/>
              </w:rPr>
            </w:pPr>
            <w:r w:rsidRPr="00E24C7A">
              <w:rPr>
                <w:rFonts w:ascii="Arial" w:hAnsi="Arial" w:cs="Arial"/>
                <w:color w:val="000000"/>
                <w:sz w:val="18"/>
                <w:szCs w:val="18"/>
              </w:rPr>
              <w:t>Агрегатор</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CAC6F81" w14:textId="77777777" w:rsidR="00E24C7A" w:rsidRPr="00E24C7A" w:rsidRDefault="00E24C7A" w:rsidP="00A43635">
            <w:pPr>
              <w:contextualSpacing/>
              <w:jc w:val="center"/>
              <w:rPr>
                <w:rFonts w:ascii="Arial" w:hAnsi="Arial" w:cs="Arial"/>
                <w:color w:val="000000"/>
                <w:sz w:val="18"/>
                <w:szCs w:val="18"/>
              </w:rPr>
            </w:pPr>
            <w:r w:rsidRPr="00E24C7A">
              <w:rPr>
                <w:rFonts w:ascii="Arial" w:hAnsi="Arial" w:cs="Arial"/>
                <w:color w:val="000000"/>
                <w:sz w:val="18"/>
                <w:szCs w:val="18"/>
              </w:rPr>
              <w:t>АТС</w:t>
            </w:r>
          </w:p>
        </w:tc>
        <w:tc>
          <w:tcPr>
            <w:tcW w:w="1027" w:type="dxa"/>
            <w:tcBorders>
              <w:top w:val="single" w:sz="4" w:space="0" w:color="auto"/>
              <w:left w:val="single" w:sz="4" w:space="0" w:color="auto"/>
              <w:bottom w:val="single" w:sz="4" w:space="0" w:color="auto"/>
              <w:right w:val="single" w:sz="4" w:space="0" w:color="auto"/>
            </w:tcBorders>
            <w:shd w:val="clear" w:color="auto" w:fill="auto"/>
            <w:vAlign w:val="center"/>
          </w:tcPr>
          <w:p w14:paraId="7E3EA823" w14:textId="77777777" w:rsidR="00E24C7A" w:rsidRPr="00E24C7A" w:rsidRDefault="00E24C7A" w:rsidP="00A43635">
            <w:pPr>
              <w:contextualSpacing/>
              <w:jc w:val="center"/>
              <w:rPr>
                <w:rFonts w:ascii="Arial" w:hAnsi="Arial" w:cs="Arial"/>
                <w:color w:val="000000"/>
                <w:sz w:val="18"/>
                <w:szCs w:val="18"/>
              </w:rPr>
            </w:pPr>
            <w:r w:rsidRPr="00E24C7A">
              <w:rPr>
                <w:rFonts w:ascii="Arial" w:hAnsi="Arial" w:cs="Arial"/>
                <w:color w:val="000000"/>
                <w:sz w:val="18"/>
                <w:szCs w:val="18"/>
              </w:rPr>
              <w:t>WEB-интерфейс</w:t>
            </w:r>
          </w:p>
        </w:tc>
        <w:tc>
          <w:tcPr>
            <w:tcW w:w="1201" w:type="dxa"/>
            <w:tcBorders>
              <w:top w:val="single" w:sz="4" w:space="0" w:color="auto"/>
              <w:left w:val="single" w:sz="4" w:space="0" w:color="auto"/>
              <w:bottom w:val="single" w:sz="4" w:space="0" w:color="auto"/>
              <w:right w:val="single" w:sz="4" w:space="0" w:color="auto"/>
            </w:tcBorders>
            <w:shd w:val="clear" w:color="auto" w:fill="auto"/>
            <w:vAlign w:val="center"/>
          </w:tcPr>
          <w:p w14:paraId="44C545B8" w14:textId="77777777" w:rsidR="00E24C7A" w:rsidRPr="00E24C7A" w:rsidRDefault="00E24C7A" w:rsidP="00A43635">
            <w:pPr>
              <w:contextualSpacing/>
              <w:jc w:val="center"/>
              <w:rPr>
                <w:rFonts w:ascii="Arial" w:hAnsi="Arial" w:cs="Arial"/>
                <w:color w:val="000000"/>
                <w:sz w:val="18"/>
                <w:szCs w:val="18"/>
              </w:rPr>
            </w:pPr>
            <w:r w:rsidRPr="00E24C7A">
              <w:rPr>
                <w:rFonts w:ascii="Arial" w:hAnsi="Arial" w:cs="Arial"/>
                <w:color w:val="000000"/>
                <w:sz w:val="18"/>
                <w:szCs w:val="18"/>
              </w:rPr>
              <w:t>Нет</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5F10792F" w14:textId="77777777" w:rsidR="00E24C7A" w:rsidRPr="00E24C7A" w:rsidRDefault="00E24C7A" w:rsidP="00A43635">
            <w:pPr>
              <w:contextualSpacing/>
              <w:jc w:val="center"/>
              <w:rPr>
                <w:rFonts w:ascii="Arial" w:hAnsi="Arial" w:cs="Arial"/>
                <w:color w:val="000000"/>
                <w:sz w:val="18"/>
                <w:szCs w:val="18"/>
              </w:rPr>
            </w:pPr>
            <w:r w:rsidRPr="00E24C7A">
              <w:rPr>
                <w:rFonts w:ascii="Arial" w:hAnsi="Arial" w:cs="Arial"/>
                <w:color w:val="000000"/>
                <w:sz w:val="18"/>
                <w:szCs w:val="18"/>
              </w:rPr>
              <w:t>Нет</w:t>
            </w:r>
          </w:p>
        </w:tc>
        <w:tc>
          <w:tcPr>
            <w:tcW w:w="1862" w:type="dxa"/>
            <w:tcBorders>
              <w:top w:val="single" w:sz="4" w:space="0" w:color="auto"/>
              <w:left w:val="single" w:sz="4" w:space="0" w:color="auto"/>
              <w:bottom w:val="single" w:sz="4" w:space="0" w:color="auto"/>
              <w:right w:val="single" w:sz="4" w:space="0" w:color="auto"/>
            </w:tcBorders>
            <w:shd w:val="clear" w:color="auto" w:fill="auto"/>
            <w:vAlign w:val="center"/>
          </w:tcPr>
          <w:p w14:paraId="1605FC02" w14:textId="77777777" w:rsidR="00E24C7A" w:rsidRPr="00E24C7A" w:rsidRDefault="00E24C7A" w:rsidP="00A43635">
            <w:pPr>
              <w:contextualSpacing/>
              <w:jc w:val="center"/>
              <w:rPr>
                <w:rFonts w:ascii="Arial" w:hAnsi="Arial" w:cs="Arial"/>
                <w:color w:val="000000"/>
                <w:sz w:val="18"/>
                <w:szCs w:val="18"/>
              </w:rPr>
            </w:pPr>
            <w:r w:rsidRPr="00E24C7A">
              <w:rPr>
                <w:rFonts w:ascii="Arial" w:hAnsi="Arial" w:cs="Arial"/>
                <w:color w:val="000000"/>
                <w:sz w:val="18"/>
                <w:szCs w:val="18"/>
              </w:rPr>
              <w:t>1.3.6.1.4.1.18545.1.2.1.1</w:t>
            </w:r>
          </w:p>
        </w:tc>
        <w:tc>
          <w:tcPr>
            <w:tcW w:w="1046" w:type="dxa"/>
            <w:tcBorders>
              <w:top w:val="single" w:sz="4" w:space="0" w:color="auto"/>
              <w:left w:val="single" w:sz="4" w:space="0" w:color="auto"/>
              <w:bottom w:val="single" w:sz="4" w:space="0" w:color="auto"/>
              <w:right w:val="single" w:sz="4" w:space="0" w:color="auto"/>
            </w:tcBorders>
            <w:shd w:val="clear" w:color="auto" w:fill="auto"/>
            <w:vAlign w:val="center"/>
          </w:tcPr>
          <w:p w14:paraId="7EA19CD5" w14:textId="77777777" w:rsidR="00E24C7A" w:rsidRPr="00E24C7A" w:rsidRDefault="00E24C7A" w:rsidP="00A43635">
            <w:pPr>
              <w:contextualSpacing/>
              <w:jc w:val="center"/>
              <w:rPr>
                <w:rFonts w:ascii="Arial" w:hAnsi="Arial" w:cs="Arial"/>
                <w:color w:val="000000"/>
                <w:sz w:val="18"/>
                <w:szCs w:val="18"/>
              </w:rPr>
            </w:pPr>
            <w:r w:rsidRPr="00E24C7A">
              <w:rPr>
                <w:rFonts w:ascii="Arial" w:hAnsi="Arial" w:cs="Arial"/>
                <w:color w:val="000000"/>
                <w:sz w:val="18"/>
                <w:szCs w:val="18"/>
              </w:rPr>
              <w:t>Adobe Reader</w:t>
            </w:r>
          </w:p>
        </w:tc>
        <w:tc>
          <w:tcPr>
            <w:tcW w:w="773" w:type="dxa"/>
            <w:tcBorders>
              <w:top w:val="single" w:sz="4" w:space="0" w:color="auto"/>
              <w:left w:val="single" w:sz="4" w:space="0" w:color="auto"/>
              <w:bottom w:val="single" w:sz="4" w:space="0" w:color="auto"/>
              <w:right w:val="single" w:sz="4" w:space="0" w:color="auto"/>
            </w:tcBorders>
            <w:shd w:val="clear" w:color="auto" w:fill="auto"/>
            <w:vAlign w:val="center"/>
          </w:tcPr>
          <w:p w14:paraId="190A9BDB" w14:textId="77777777" w:rsidR="00E24C7A" w:rsidRPr="00E24C7A" w:rsidRDefault="00E24C7A" w:rsidP="00A43635">
            <w:pPr>
              <w:contextualSpacing/>
              <w:jc w:val="center"/>
              <w:rPr>
                <w:rFonts w:ascii="Arial" w:hAnsi="Arial" w:cs="Arial"/>
                <w:color w:val="000000"/>
                <w:sz w:val="18"/>
                <w:szCs w:val="18"/>
              </w:rPr>
            </w:pPr>
            <w:r w:rsidRPr="00E24C7A">
              <w:rPr>
                <w:rFonts w:ascii="Arial" w:hAnsi="Arial" w:cs="Arial"/>
                <w:color w:val="000000"/>
                <w:sz w:val="18"/>
                <w:szCs w:val="18"/>
              </w:rPr>
              <w:t>постоянно</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4709D96E" w14:textId="77777777" w:rsidR="00E24C7A" w:rsidRPr="00E24C7A" w:rsidRDefault="00E24C7A" w:rsidP="00A43635">
            <w:pPr>
              <w:contextualSpacing/>
              <w:jc w:val="center"/>
              <w:rPr>
                <w:rFonts w:ascii="Arial" w:hAnsi="Arial" w:cs="Arial"/>
                <w:color w:val="000000"/>
                <w:sz w:val="18"/>
                <w:szCs w:val="18"/>
              </w:rPr>
            </w:pPr>
          </w:p>
        </w:tc>
      </w:tr>
      <w:tr w:rsidR="00E24C7A" w:rsidRPr="00911253" w14:paraId="4B03DBEC" w14:textId="77777777" w:rsidTr="00E24C7A">
        <w:trPr>
          <w:trHeight w:val="815"/>
        </w:trPr>
        <w:tc>
          <w:tcPr>
            <w:tcW w:w="1083" w:type="dxa"/>
            <w:tcBorders>
              <w:top w:val="single" w:sz="4" w:space="0" w:color="auto"/>
              <w:left w:val="single" w:sz="4" w:space="0" w:color="auto"/>
              <w:bottom w:val="single" w:sz="4" w:space="0" w:color="auto"/>
              <w:right w:val="single" w:sz="4" w:space="0" w:color="auto"/>
            </w:tcBorders>
            <w:shd w:val="clear" w:color="auto" w:fill="auto"/>
            <w:vAlign w:val="center"/>
          </w:tcPr>
          <w:p w14:paraId="419B7511" w14:textId="77777777" w:rsidR="00E24C7A" w:rsidRPr="00E24C7A" w:rsidRDefault="00E24C7A" w:rsidP="00A43635">
            <w:pPr>
              <w:contextualSpacing/>
              <w:jc w:val="center"/>
              <w:rPr>
                <w:rFonts w:ascii="Arial" w:hAnsi="Arial" w:cs="Arial"/>
                <w:color w:val="000000"/>
                <w:sz w:val="18"/>
                <w:szCs w:val="18"/>
                <w:lang w:val="en-US"/>
              </w:rPr>
            </w:pPr>
            <w:r w:rsidRPr="00E24C7A">
              <w:rPr>
                <w:rFonts w:ascii="Arial" w:hAnsi="Arial" w:cs="Arial"/>
                <w:color w:val="000000"/>
                <w:sz w:val="18"/>
                <w:szCs w:val="18"/>
                <w:lang w:val="en-US"/>
              </w:rPr>
              <w:t>PART_ATS_PROCH_OREG_MED</w:t>
            </w:r>
          </w:p>
        </w:tc>
        <w:tc>
          <w:tcPr>
            <w:tcW w:w="1673" w:type="dxa"/>
            <w:tcBorders>
              <w:top w:val="single" w:sz="4" w:space="0" w:color="auto"/>
              <w:left w:val="single" w:sz="4" w:space="0" w:color="auto"/>
              <w:bottom w:val="single" w:sz="4" w:space="0" w:color="auto"/>
              <w:right w:val="single" w:sz="4" w:space="0" w:color="auto"/>
            </w:tcBorders>
            <w:shd w:val="clear" w:color="auto" w:fill="auto"/>
            <w:vAlign w:val="center"/>
          </w:tcPr>
          <w:p w14:paraId="03E6F661" w14:textId="77777777" w:rsidR="00E24C7A" w:rsidRPr="00E24C7A" w:rsidRDefault="00E24C7A" w:rsidP="00A43635">
            <w:pPr>
              <w:contextualSpacing/>
              <w:jc w:val="center"/>
              <w:rPr>
                <w:rFonts w:ascii="Arial" w:hAnsi="Arial" w:cs="Arial"/>
                <w:color w:val="000000"/>
                <w:sz w:val="18"/>
                <w:szCs w:val="18"/>
              </w:rPr>
            </w:pPr>
            <w:r w:rsidRPr="00E24C7A">
              <w:rPr>
                <w:rFonts w:ascii="Arial" w:hAnsi="Arial" w:cs="Arial"/>
                <w:color w:val="000000"/>
                <w:sz w:val="18"/>
                <w:szCs w:val="18"/>
              </w:rPr>
              <w:t>Прочие документы объекта регулирования</w:t>
            </w:r>
          </w:p>
        </w:tc>
        <w:tc>
          <w:tcPr>
            <w:tcW w:w="1898" w:type="dxa"/>
            <w:tcBorders>
              <w:top w:val="single" w:sz="4" w:space="0" w:color="auto"/>
              <w:left w:val="single" w:sz="4" w:space="0" w:color="auto"/>
              <w:bottom w:val="single" w:sz="4" w:space="0" w:color="auto"/>
              <w:right w:val="single" w:sz="4" w:space="0" w:color="auto"/>
            </w:tcBorders>
            <w:shd w:val="clear" w:color="auto" w:fill="auto"/>
            <w:vAlign w:val="center"/>
          </w:tcPr>
          <w:p w14:paraId="4E869B9D" w14:textId="77777777" w:rsidR="00E24C7A" w:rsidRPr="00E24C7A" w:rsidRDefault="00E24C7A" w:rsidP="00A43635">
            <w:pPr>
              <w:contextualSpacing/>
              <w:jc w:val="center"/>
              <w:rPr>
                <w:rFonts w:ascii="Arial" w:hAnsi="Arial" w:cs="Arial"/>
                <w:color w:val="000000"/>
                <w:sz w:val="18"/>
                <w:szCs w:val="18"/>
              </w:rPr>
            </w:pPr>
            <w:r w:rsidRPr="00E24C7A">
              <w:rPr>
                <w:rFonts w:ascii="Arial" w:hAnsi="Arial" w:cs="Arial"/>
                <w:color w:val="000000"/>
                <w:sz w:val="18"/>
                <w:szCs w:val="18"/>
              </w:rPr>
              <w:t>Положение о порядке получения статуса субъекта оптового рынка, приложение 9</w:t>
            </w:r>
          </w:p>
        </w:tc>
        <w:tc>
          <w:tcPr>
            <w:tcW w:w="1115" w:type="dxa"/>
            <w:tcBorders>
              <w:top w:val="single" w:sz="4" w:space="0" w:color="auto"/>
              <w:left w:val="single" w:sz="4" w:space="0" w:color="auto"/>
              <w:bottom w:val="single" w:sz="4" w:space="0" w:color="auto"/>
              <w:right w:val="single" w:sz="4" w:space="0" w:color="auto"/>
            </w:tcBorders>
            <w:shd w:val="clear" w:color="auto" w:fill="auto"/>
            <w:vAlign w:val="center"/>
          </w:tcPr>
          <w:p w14:paraId="1D0CAE9A" w14:textId="77777777" w:rsidR="00E24C7A" w:rsidRPr="00E24C7A" w:rsidRDefault="00E24C7A" w:rsidP="00A43635">
            <w:pPr>
              <w:contextualSpacing/>
              <w:jc w:val="center"/>
              <w:rPr>
                <w:rFonts w:ascii="Arial" w:hAnsi="Arial" w:cs="Arial"/>
                <w:color w:val="000000"/>
                <w:sz w:val="18"/>
                <w:szCs w:val="18"/>
              </w:rPr>
            </w:pPr>
            <w:r w:rsidRPr="00E24C7A">
              <w:rPr>
                <w:rFonts w:ascii="Arial" w:hAnsi="Arial" w:cs="Arial"/>
                <w:color w:val="000000"/>
                <w:sz w:val="18"/>
                <w:szCs w:val="18"/>
              </w:rPr>
              <w:t>pdf</w:t>
            </w:r>
          </w:p>
        </w:tc>
        <w:tc>
          <w:tcPr>
            <w:tcW w:w="922" w:type="dxa"/>
            <w:tcBorders>
              <w:top w:val="single" w:sz="4" w:space="0" w:color="auto"/>
              <w:left w:val="single" w:sz="4" w:space="0" w:color="auto"/>
              <w:bottom w:val="single" w:sz="4" w:space="0" w:color="auto"/>
              <w:right w:val="single" w:sz="4" w:space="0" w:color="auto"/>
            </w:tcBorders>
            <w:shd w:val="clear" w:color="auto" w:fill="auto"/>
            <w:vAlign w:val="center"/>
          </w:tcPr>
          <w:p w14:paraId="0A931840" w14:textId="77777777" w:rsidR="00E24C7A" w:rsidRPr="00E24C7A" w:rsidRDefault="00E24C7A" w:rsidP="00A43635">
            <w:pPr>
              <w:contextualSpacing/>
              <w:jc w:val="center"/>
              <w:rPr>
                <w:rFonts w:ascii="Arial" w:hAnsi="Arial" w:cs="Arial"/>
                <w:color w:val="000000"/>
                <w:sz w:val="18"/>
                <w:szCs w:val="18"/>
              </w:rPr>
            </w:pPr>
            <w:r w:rsidRPr="00E24C7A">
              <w:rPr>
                <w:rFonts w:ascii="Arial" w:hAnsi="Arial" w:cs="Arial"/>
                <w:color w:val="000000"/>
                <w:sz w:val="18"/>
                <w:szCs w:val="18"/>
              </w:rPr>
              <w:t>Агрегатор</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15FB9B" w14:textId="77777777" w:rsidR="00E24C7A" w:rsidRPr="00E24C7A" w:rsidRDefault="00E24C7A" w:rsidP="00A43635">
            <w:pPr>
              <w:contextualSpacing/>
              <w:jc w:val="center"/>
              <w:rPr>
                <w:rFonts w:ascii="Arial" w:hAnsi="Arial" w:cs="Arial"/>
                <w:color w:val="000000"/>
                <w:sz w:val="18"/>
                <w:szCs w:val="18"/>
              </w:rPr>
            </w:pPr>
            <w:r w:rsidRPr="00E24C7A">
              <w:rPr>
                <w:rFonts w:ascii="Arial" w:hAnsi="Arial" w:cs="Arial"/>
                <w:color w:val="000000"/>
                <w:sz w:val="18"/>
                <w:szCs w:val="18"/>
              </w:rPr>
              <w:t>АТС</w:t>
            </w:r>
          </w:p>
        </w:tc>
        <w:tc>
          <w:tcPr>
            <w:tcW w:w="1027" w:type="dxa"/>
            <w:tcBorders>
              <w:top w:val="single" w:sz="4" w:space="0" w:color="auto"/>
              <w:left w:val="single" w:sz="4" w:space="0" w:color="auto"/>
              <w:bottom w:val="single" w:sz="4" w:space="0" w:color="auto"/>
              <w:right w:val="single" w:sz="4" w:space="0" w:color="auto"/>
            </w:tcBorders>
            <w:shd w:val="clear" w:color="auto" w:fill="auto"/>
            <w:vAlign w:val="center"/>
          </w:tcPr>
          <w:p w14:paraId="0E625788" w14:textId="77777777" w:rsidR="00E24C7A" w:rsidRPr="00E24C7A" w:rsidRDefault="00E24C7A" w:rsidP="00A43635">
            <w:pPr>
              <w:contextualSpacing/>
              <w:jc w:val="center"/>
              <w:rPr>
                <w:rFonts w:ascii="Arial" w:hAnsi="Arial" w:cs="Arial"/>
                <w:color w:val="000000"/>
                <w:sz w:val="18"/>
                <w:szCs w:val="18"/>
              </w:rPr>
            </w:pPr>
            <w:r w:rsidRPr="00E24C7A">
              <w:rPr>
                <w:rFonts w:ascii="Arial" w:hAnsi="Arial" w:cs="Arial"/>
                <w:color w:val="000000"/>
                <w:sz w:val="18"/>
                <w:szCs w:val="18"/>
              </w:rPr>
              <w:t>Материальный носитель</w:t>
            </w:r>
          </w:p>
        </w:tc>
        <w:tc>
          <w:tcPr>
            <w:tcW w:w="1201" w:type="dxa"/>
            <w:tcBorders>
              <w:top w:val="single" w:sz="4" w:space="0" w:color="auto"/>
              <w:left w:val="single" w:sz="4" w:space="0" w:color="auto"/>
              <w:bottom w:val="single" w:sz="4" w:space="0" w:color="auto"/>
              <w:right w:val="single" w:sz="4" w:space="0" w:color="auto"/>
            </w:tcBorders>
            <w:shd w:val="clear" w:color="auto" w:fill="auto"/>
            <w:vAlign w:val="center"/>
          </w:tcPr>
          <w:p w14:paraId="6DC4B74C" w14:textId="77777777" w:rsidR="00E24C7A" w:rsidRPr="00E24C7A" w:rsidRDefault="00E24C7A" w:rsidP="00A43635">
            <w:pPr>
              <w:contextualSpacing/>
              <w:jc w:val="center"/>
              <w:rPr>
                <w:rFonts w:ascii="Arial" w:hAnsi="Arial" w:cs="Arial"/>
                <w:color w:val="000000"/>
                <w:sz w:val="18"/>
                <w:szCs w:val="18"/>
              </w:rPr>
            </w:pPr>
            <w:r w:rsidRPr="00E24C7A">
              <w:rPr>
                <w:rFonts w:ascii="Arial" w:hAnsi="Arial" w:cs="Arial"/>
                <w:color w:val="000000"/>
                <w:sz w:val="18"/>
                <w:szCs w:val="18"/>
              </w:rPr>
              <w:t>Нет</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2EB8D5F9" w14:textId="77777777" w:rsidR="00E24C7A" w:rsidRPr="00E24C7A" w:rsidRDefault="00E24C7A" w:rsidP="00A43635">
            <w:pPr>
              <w:contextualSpacing/>
              <w:jc w:val="center"/>
              <w:rPr>
                <w:rFonts w:ascii="Arial" w:hAnsi="Arial" w:cs="Arial"/>
                <w:color w:val="000000"/>
                <w:sz w:val="18"/>
                <w:szCs w:val="18"/>
              </w:rPr>
            </w:pPr>
            <w:r w:rsidRPr="00E24C7A">
              <w:rPr>
                <w:rFonts w:ascii="Arial" w:hAnsi="Arial" w:cs="Arial"/>
                <w:color w:val="000000"/>
                <w:sz w:val="18"/>
                <w:szCs w:val="18"/>
              </w:rPr>
              <w:t>Нет</w:t>
            </w:r>
          </w:p>
        </w:tc>
        <w:tc>
          <w:tcPr>
            <w:tcW w:w="1862" w:type="dxa"/>
            <w:tcBorders>
              <w:top w:val="single" w:sz="4" w:space="0" w:color="auto"/>
              <w:left w:val="single" w:sz="4" w:space="0" w:color="auto"/>
              <w:bottom w:val="single" w:sz="4" w:space="0" w:color="auto"/>
              <w:right w:val="single" w:sz="4" w:space="0" w:color="auto"/>
            </w:tcBorders>
            <w:shd w:val="clear" w:color="auto" w:fill="auto"/>
            <w:vAlign w:val="center"/>
          </w:tcPr>
          <w:p w14:paraId="03F57293" w14:textId="77777777" w:rsidR="00E24C7A" w:rsidRPr="00E24C7A" w:rsidRDefault="00E24C7A" w:rsidP="00A43635">
            <w:pPr>
              <w:contextualSpacing/>
              <w:jc w:val="center"/>
              <w:rPr>
                <w:rFonts w:ascii="Arial" w:hAnsi="Arial" w:cs="Arial"/>
                <w:color w:val="000000"/>
                <w:sz w:val="18"/>
                <w:szCs w:val="18"/>
              </w:rPr>
            </w:pPr>
            <w:r w:rsidRPr="00E24C7A">
              <w:rPr>
                <w:rFonts w:ascii="Arial" w:hAnsi="Arial" w:cs="Arial"/>
                <w:color w:val="000000"/>
                <w:sz w:val="18"/>
                <w:szCs w:val="18"/>
              </w:rPr>
              <w:t>1.3.6.1.4.1.18545.1.2.1.1</w:t>
            </w:r>
          </w:p>
        </w:tc>
        <w:tc>
          <w:tcPr>
            <w:tcW w:w="1046" w:type="dxa"/>
            <w:tcBorders>
              <w:top w:val="single" w:sz="4" w:space="0" w:color="auto"/>
              <w:left w:val="single" w:sz="4" w:space="0" w:color="auto"/>
              <w:bottom w:val="single" w:sz="4" w:space="0" w:color="auto"/>
              <w:right w:val="single" w:sz="4" w:space="0" w:color="auto"/>
            </w:tcBorders>
            <w:shd w:val="clear" w:color="auto" w:fill="auto"/>
            <w:vAlign w:val="center"/>
          </w:tcPr>
          <w:p w14:paraId="7A391EF5" w14:textId="77777777" w:rsidR="00E24C7A" w:rsidRPr="00E24C7A" w:rsidRDefault="00E24C7A" w:rsidP="00A43635">
            <w:pPr>
              <w:contextualSpacing/>
              <w:jc w:val="center"/>
              <w:rPr>
                <w:rFonts w:ascii="Arial" w:hAnsi="Arial" w:cs="Arial"/>
                <w:color w:val="000000"/>
                <w:sz w:val="18"/>
                <w:szCs w:val="18"/>
              </w:rPr>
            </w:pPr>
            <w:r w:rsidRPr="00E24C7A">
              <w:rPr>
                <w:rFonts w:ascii="Arial" w:hAnsi="Arial" w:cs="Arial"/>
                <w:color w:val="000000"/>
                <w:sz w:val="18"/>
                <w:szCs w:val="18"/>
              </w:rPr>
              <w:t>Adobe Reader</w:t>
            </w:r>
          </w:p>
        </w:tc>
        <w:tc>
          <w:tcPr>
            <w:tcW w:w="773" w:type="dxa"/>
            <w:tcBorders>
              <w:top w:val="single" w:sz="4" w:space="0" w:color="auto"/>
              <w:left w:val="single" w:sz="4" w:space="0" w:color="auto"/>
              <w:bottom w:val="single" w:sz="4" w:space="0" w:color="auto"/>
              <w:right w:val="single" w:sz="4" w:space="0" w:color="auto"/>
            </w:tcBorders>
            <w:shd w:val="clear" w:color="auto" w:fill="auto"/>
            <w:vAlign w:val="center"/>
          </w:tcPr>
          <w:p w14:paraId="7C6587A0" w14:textId="77777777" w:rsidR="00E24C7A" w:rsidRPr="00E24C7A" w:rsidRDefault="00E24C7A" w:rsidP="00A43635">
            <w:pPr>
              <w:contextualSpacing/>
              <w:jc w:val="center"/>
              <w:rPr>
                <w:rFonts w:ascii="Arial" w:hAnsi="Arial" w:cs="Arial"/>
                <w:color w:val="000000"/>
                <w:sz w:val="18"/>
                <w:szCs w:val="18"/>
              </w:rPr>
            </w:pPr>
            <w:r w:rsidRPr="00E24C7A">
              <w:rPr>
                <w:rFonts w:ascii="Arial" w:hAnsi="Arial" w:cs="Arial"/>
                <w:color w:val="000000"/>
                <w:sz w:val="18"/>
                <w:szCs w:val="18"/>
              </w:rPr>
              <w:t>постоянно</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5E10F13F" w14:textId="77777777" w:rsidR="00E24C7A" w:rsidRPr="00E24C7A" w:rsidRDefault="00E24C7A" w:rsidP="00A43635">
            <w:pPr>
              <w:contextualSpacing/>
              <w:jc w:val="center"/>
              <w:rPr>
                <w:rFonts w:ascii="Arial" w:hAnsi="Arial" w:cs="Arial"/>
                <w:color w:val="000000"/>
                <w:sz w:val="18"/>
                <w:szCs w:val="18"/>
              </w:rPr>
            </w:pPr>
          </w:p>
        </w:tc>
      </w:tr>
      <w:tr w:rsidR="00E24C7A" w:rsidRPr="00911253" w14:paraId="15AEB7F0" w14:textId="77777777" w:rsidTr="00E24C7A">
        <w:trPr>
          <w:trHeight w:val="815"/>
        </w:trPr>
        <w:tc>
          <w:tcPr>
            <w:tcW w:w="1083" w:type="dxa"/>
            <w:tcBorders>
              <w:top w:val="single" w:sz="4" w:space="0" w:color="auto"/>
              <w:left w:val="single" w:sz="4" w:space="0" w:color="auto"/>
              <w:bottom w:val="single" w:sz="4" w:space="0" w:color="auto"/>
              <w:right w:val="single" w:sz="4" w:space="0" w:color="auto"/>
            </w:tcBorders>
            <w:shd w:val="clear" w:color="auto" w:fill="auto"/>
            <w:vAlign w:val="center"/>
          </w:tcPr>
          <w:p w14:paraId="6E18C4FF" w14:textId="77777777" w:rsidR="00E24C7A" w:rsidRPr="00E24C7A" w:rsidRDefault="00E24C7A" w:rsidP="00A43635">
            <w:pPr>
              <w:contextualSpacing/>
              <w:jc w:val="center"/>
              <w:rPr>
                <w:rFonts w:ascii="Arial" w:hAnsi="Arial" w:cs="Arial"/>
                <w:color w:val="000000"/>
                <w:sz w:val="18"/>
                <w:szCs w:val="18"/>
                <w:lang w:val="en-US"/>
              </w:rPr>
            </w:pPr>
            <w:r w:rsidRPr="00E24C7A">
              <w:rPr>
                <w:rFonts w:ascii="Arial" w:hAnsi="Arial" w:cs="Arial"/>
                <w:color w:val="000000"/>
                <w:sz w:val="18"/>
                <w:szCs w:val="18"/>
                <w:lang w:val="en-US"/>
              </w:rPr>
              <w:t>PART_ATS_PROCH_OREG_ WEB</w:t>
            </w:r>
          </w:p>
        </w:tc>
        <w:tc>
          <w:tcPr>
            <w:tcW w:w="1673" w:type="dxa"/>
            <w:tcBorders>
              <w:top w:val="single" w:sz="4" w:space="0" w:color="auto"/>
              <w:left w:val="single" w:sz="4" w:space="0" w:color="auto"/>
              <w:bottom w:val="single" w:sz="4" w:space="0" w:color="auto"/>
              <w:right w:val="single" w:sz="4" w:space="0" w:color="auto"/>
            </w:tcBorders>
            <w:shd w:val="clear" w:color="auto" w:fill="auto"/>
            <w:vAlign w:val="center"/>
          </w:tcPr>
          <w:p w14:paraId="474A69CA" w14:textId="77777777" w:rsidR="00E24C7A" w:rsidRPr="00E24C7A" w:rsidRDefault="00E24C7A" w:rsidP="00A43635">
            <w:pPr>
              <w:contextualSpacing/>
              <w:jc w:val="center"/>
              <w:rPr>
                <w:rFonts w:ascii="Arial" w:hAnsi="Arial" w:cs="Arial"/>
                <w:color w:val="000000"/>
                <w:sz w:val="18"/>
                <w:szCs w:val="18"/>
              </w:rPr>
            </w:pPr>
            <w:r w:rsidRPr="00E24C7A">
              <w:rPr>
                <w:rFonts w:ascii="Arial" w:hAnsi="Arial" w:cs="Arial"/>
                <w:color w:val="000000"/>
                <w:sz w:val="18"/>
                <w:szCs w:val="18"/>
              </w:rPr>
              <w:t>Прочие документы объекта регулирования</w:t>
            </w:r>
          </w:p>
        </w:tc>
        <w:tc>
          <w:tcPr>
            <w:tcW w:w="1898" w:type="dxa"/>
            <w:tcBorders>
              <w:top w:val="single" w:sz="4" w:space="0" w:color="auto"/>
              <w:left w:val="single" w:sz="4" w:space="0" w:color="auto"/>
              <w:bottom w:val="single" w:sz="4" w:space="0" w:color="auto"/>
              <w:right w:val="single" w:sz="4" w:space="0" w:color="auto"/>
            </w:tcBorders>
            <w:shd w:val="clear" w:color="auto" w:fill="auto"/>
            <w:vAlign w:val="center"/>
          </w:tcPr>
          <w:p w14:paraId="0CC94DAB" w14:textId="77777777" w:rsidR="00E24C7A" w:rsidRPr="00E24C7A" w:rsidRDefault="00E24C7A" w:rsidP="00A43635">
            <w:pPr>
              <w:contextualSpacing/>
              <w:jc w:val="center"/>
              <w:rPr>
                <w:rFonts w:ascii="Arial" w:hAnsi="Arial" w:cs="Arial"/>
                <w:color w:val="000000"/>
                <w:sz w:val="18"/>
                <w:szCs w:val="18"/>
              </w:rPr>
            </w:pPr>
            <w:r w:rsidRPr="00E24C7A">
              <w:rPr>
                <w:rFonts w:ascii="Arial" w:hAnsi="Arial" w:cs="Arial"/>
                <w:color w:val="000000"/>
                <w:sz w:val="18"/>
                <w:szCs w:val="18"/>
              </w:rPr>
              <w:t>Положение о порядке получения статуса субъекта оптового рынка, приложение 9</w:t>
            </w:r>
          </w:p>
        </w:tc>
        <w:tc>
          <w:tcPr>
            <w:tcW w:w="1115" w:type="dxa"/>
            <w:tcBorders>
              <w:top w:val="single" w:sz="4" w:space="0" w:color="auto"/>
              <w:left w:val="single" w:sz="4" w:space="0" w:color="auto"/>
              <w:bottom w:val="single" w:sz="4" w:space="0" w:color="auto"/>
              <w:right w:val="single" w:sz="4" w:space="0" w:color="auto"/>
            </w:tcBorders>
            <w:shd w:val="clear" w:color="auto" w:fill="auto"/>
            <w:vAlign w:val="center"/>
          </w:tcPr>
          <w:p w14:paraId="21B54016" w14:textId="77777777" w:rsidR="00E24C7A" w:rsidRPr="00E24C7A" w:rsidRDefault="00E24C7A" w:rsidP="00A43635">
            <w:pPr>
              <w:contextualSpacing/>
              <w:jc w:val="center"/>
              <w:rPr>
                <w:rFonts w:ascii="Arial" w:hAnsi="Arial" w:cs="Arial"/>
                <w:color w:val="000000"/>
                <w:sz w:val="18"/>
                <w:szCs w:val="18"/>
              </w:rPr>
            </w:pPr>
            <w:r w:rsidRPr="00E24C7A">
              <w:rPr>
                <w:rFonts w:ascii="Arial" w:hAnsi="Arial" w:cs="Arial"/>
                <w:color w:val="000000"/>
                <w:sz w:val="18"/>
                <w:szCs w:val="18"/>
              </w:rPr>
              <w:t>pdf</w:t>
            </w:r>
          </w:p>
        </w:tc>
        <w:tc>
          <w:tcPr>
            <w:tcW w:w="922" w:type="dxa"/>
            <w:tcBorders>
              <w:top w:val="single" w:sz="4" w:space="0" w:color="auto"/>
              <w:left w:val="single" w:sz="4" w:space="0" w:color="auto"/>
              <w:bottom w:val="single" w:sz="4" w:space="0" w:color="auto"/>
              <w:right w:val="single" w:sz="4" w:space="0" w:color="auto"/>
            </w:tcBorders>
            <w:shd w:val="clear" w:color="auto" w:fill="auto"/>
            <w:vAlign w:val="center"/>
          </w:tcPr>
          <w:p w14:paraId="416850DA" w14:textId="77777777" w:rsidR="00E24C7A" w:rsidRPr="00E24C7A" w:rsidRDefault="00E24C7A" w:rsidP="00A43635">
            <w:pPr>
              <w:contextualSpacing/>
              <w:jc w:val="center"/>
              <w:rPr>
                <w:rFonts w:ascii="Arial" w:hAnsi="Arial" w:cs="Arial"/>
                <w:color w:val="000000"/>
                <w:sz w:val="18"/>
                <w:szCs w:val="18"/>
              </w:rPr>
            </w:pPr>
            <w:r w:rsidRPr="00E24C7A">
              <w:rPr>
                <w:rFonts w:ascii="Arial" w:hAnsi="Arial" w:cs="Arial"/>
                <w:color w:val="000000"/>
                <w:sz w:val="18"/>
                <w:szCs w:val="18"/>
              </w:rPr>
              <w:t>Агрегатор</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F29243" w14:textId="77777777" w:rsidR="00E24C7A" w:rsidRPr="00E24C7A" w:rsidRDefault="00E24C7A" w:rsidP="00A43635">
            <w:pPr>
              <w:contextualSpacing/>
              <w:jc w:val="center"/>
              <w:rPr>
                <w:rFonts w:ascii="Arial" w:hAnsi="Arial" w:cs="Arial"/>
                <w:color w:val="000000"/>
                <w:sz w:val="18"/>
                <w:szCs w:val="18"/>
              </w:rPr>
            </w:pPr>
            <w:r w:rsidRPr="00E24C7A">
              <w:rPr>
                <w:rFonts w:ascii="Arial" w:hAnsi="Arial" w:cs="Arial"/>
                <w:color w:val="000000"/>
                <w:sz w:val="18"/>
                <w:szCs w:val="18"/>
              </w:rPr>
              <w:t>АТС</w:t>
            </w:r>
          </w:p>
        </w:tc>
        <w:tc>
          <w:tcPr>
            <w:tcW w:w="1027" w:type="dxa"/>
            <w:tcBorders>
              <w:top w:val="single" w:sz="4" w:space="0" w:color="auto"/>
              <w:left w:val="single" w:sz="4" w:space="0" w:color="auto"/>
              <w:bottom w:val="single" w:sz="4" w:space="0" w:color="auto"/>
              <w:right w:val="single" w:sz="4" w:space="0" w:color="auto"/>
            </w:tcBorders>
            <w:shd w:val="clear" w:color="auto" w:fill="auto"/>
            <w:vAlign w:val="center"/>
          </w:tcPr>
          <w:p w14:paraId="49E1F0BA" w14:textId="77777777" w:rsidR="00E24C7A" w:rsidRPr="00E24C7A" w:rsidRDefault="00E24C7A" w:rsidP="00A43635">
            <w:pPr>
              <w:contextualSpacing/>
              <w:jc w:val="center"/>
              <w:rPr>
                <w:rFonts w:ascii="Arial" w:hAnsi="Arial" w:cs="Arial"/>
                <w:color w:val="000000"/>
                <w:sz w:val="18"/>
                <w:szCs w:val="18"/>
              </w:rPr>
            </w:pPr>
            <w:r w:rsidRPr="00E24C7A">
              <w:rPr>
                <w:rFonts w:ascii="Arial" w:hAnsi="Arial" w:cs="Arial"/>
                <w:color w:val="000000"/>
                <w:sz w:val="18"/>
                <w:szCs w:val="18"/>
              </w:rPr>
              <w:t>WEB-интерфейс</w:t>
            </w:r>
          </w:p>
        </w:tc>
        <w:tc>
          <w:tcPr>
            <w:tcW w:w="1201" w:type="dxa"/>
            <w:tcBorders>
              <w:top w:val="single" w:sz="4" w:space="0" w:color="auto"/>
              <w:left w:val="single" w:sz="4" w:space="0" w:color="auto"/>
              <w:bottom w:val="single" w:sz="4" w:space="0" w:color="auto"/>
              <w:right w:val="single" w:sz="4" w:space="0" w:color="auto"/>
            </w:tcBorders>
            <w:shd w:val="clear" w:color="auto" w:fill="auto"/>
            <w:vAlign w:val="center"/>
          </w:tcPr>
          <w:p w14:paraId="7BDCE7FB" w14:textId="77777777" w:rsidR="00E24C7A" w:rsidRPr="00E24C7A" w:rsidRDefault="00E24C7A" w:rsidP="00A43635">
            <w:pPr>
              <w:contextualSpacing/>
              <w:jc w:val="center"/>
              <w:rPr>
                <w:rFonts w:ascii="Arial" w:hAnsi="Arial" w:cs="Arial"/>
                <w:color w:val="000000"/>
                <w:sz w:val="18"/>
                <w:szCs w:val="18"/>
              </w:rPr>
            </w:pPr>
            <w:r w:rsidRPr="00E24C7A">
              <w:rPr>
                <w:rFonts w:ascii="Arial" w:hAnsi="Arial" w:cs="Arial"/>
                <w:color w:val="000000"/>
                <w:sz w:val="18"/>
                <w:szCs w:val="18"/>
              </w:rPr>
              <w:t>Нет</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64BC9546" w14:textId="77777777" w:rsidR="00E24C7A" w:rsidRPr="00E24C7A" w:rsidRDefault="00E24C7A" w:rsidP="00A43635">
            <w:pPr>
              <w:contextualSpacing/>
              <w:jc w:val="center"/>
              <w:rPr>
                <w:rFonts w:ascii="Arial" w:hAnsi="Arial" w:cs="Arial"/>
                <w:color w:val="000000"/>
                <w:sz w:val="18"/>
                <w:szCs w:val="18"/>
              </w:rPr>
            </w:pPr>
            <w:r w:rsidRPr="00E24C7A">
              <w:rPr>
                <w:rFonts w:ascii="Arial" w:hAnsi="Arial" w:cs="Arial"/>
                <w:color w:val="000000"/>
                <w:sz w:val="18"/>
                <w:szCs w:val="18"/>
              </w:rPr>
              <w:t>Нет</w:t>
            </w:r>
          </w:p>
        </w:tc>
        <w:tc>
          <w:tcPr>
            <w:tcW w:w="1862" w:type="dxa"/>
            <w:tcBorders>
              <w:top w:val="single" w:sz="4" w:space="0" w:color="auto"/>
              <w:left w:val="single" w:sz="4" w:space="0" w:color="auto"/>
              <w:bottom w:val="single" w:sz="4" w:space="0" w:color="auto"/>
              <w:right w:val="single" w:sz="4" w:space="0" w:color="auto"/>
            </w:tcBorders>
            <w:shd w:val="clear" w:color="auto" w:fill="auto"/>
            <w:vAlign w:val="center"/>
          </w:tcPr>
          <w:p w14:paraId="31B77978" w14:textId="77777777" w:rsidR="00E24C7A" w:rsidRPr="00E24C7A" w:rsidRDefault="00E24C7A" w:rsidP="00A43635">
            <w:pPr>
              <w:contextualSpacing/>
              <w:jc w:val="center"/>
              <w:rPr>
                <w:rFonts w:ascii="Arial" w:hAnsi="Arial" w:cs="Arial"/>
                <w:color w:val="000000"/>
                <w:sz w:val="18"/>
                <w:szCs w:val="18"/>
              </w:rPr>
            </w:pPr>
            <w:r w:rsidRPr="00E24C7A">
              <w:rPr>
                <w:rFonts w:ascii="Arial" w:hAnsi="Arial" w:cs="Arial"/>
                <w:color w:val="000000"/>
                <w:sz w:val="18"/>
                <w:szCs w:val="18"/>
              </w:rPr>
              <w:t>1.3.6.1.4.1.18545.1.2.1.1</w:t>
            </w:r>
          </w:p>
        </w:tc>
        <w:tc>
          <w:tcPr>
            <w:tcW w:w="1046" w:type="dxa"/>
            <w:tcBorders>
              <w:top w:val="single" w:sz="4" w:space="0" w:color="auto"/>
              <w:left w:val="single" w:sz="4" w:space="0" w:color="auto"/>
              <w:bottom w:val="single" w:sz="4" w:space="0" w:color="auto"/>
              <w:right w:val="single" w:sz="4" w:space="0" w:color="auto"/>
            </w:tcBorders>
            <w:shd w:val="clear" w:color="auto" w:fill="auto"/>
            <w:vAlign w:val="center"/>
          </w:tcPr>
          <w:p w14:paraId="66BBBEAB" w14:textId="77777777" w:rsidR="00E24C7A" w:rsidRPr="00E24C7A" w:rsidRDefault="00E24C7A" w:rsidP="00A43635">
            <w:pPr>
              <w:contextualSpacing/>
              <w:jc w:val="center"/>
              <w:rPr>
                <w:rFonts w:ascii="Arial" w:hAnsi="Arial" w:cs="Arial"/>
                <w:color w:val="000000"/>
                <w:sz w:val="18"/>
                <w:szCs w:val="18"/>
              </w:rPr>
            </w:pPr>
            <w:r w:rsidRPr="00E24C7A">
              <w:rPr>
                <w:rFonts w:ascii="Arial" w:hAnsi="Arial" w:cs="Arial"/>
                <w:color w:val="000000"/>
                <w:sz w:val="18"/>
                <w:szCs w:val="18"/>
              </w:rPr>
              <w:t>Adobe Reader</w:t>
            </w:r>
          </w:p>
        </w:tc>
        <w:tc>
          <w:tcPr>
            <w:tcW w:w="773" w:type="dxa"/>
            <w:tcBorders>
              <w:top w:val="single" w:sz="4" w:space="0" w:color="auto"/>
              <w:left w:val="single" w:sz="4" w:space="0" w:color="auto"/>
              <w:bottom w:val="single" w:sz="4" w:space="0" w:color="auto"/>
              <w:right w:val="single" w:sz="4" w:space="0" w:color="auto"/>
            </w:tcBorders>
            <w:shd w:val="clear" w:color="auto" w:fill="auto"/>
            <w:vAlign w:val="center"/>
          </w:tcPr>
          <w:p w14:paraId="4B8E8A4D" w14:textId="77777777" w:rsidR="00E24C7A" w:rsidRPr="00E24C7A" w:rsidRDefault="00E24C7A" w:rsidP="00A43635">
            <w:pPr>
              <w:contextualSpacing/>
              <w:jc w:val="center"/>
              <w:rPr>
                <w:rFonts w:ascii="Arial" w:hAnsi="Arial" w:cs="Arial"/>
                <w:color w:val="000000"/>
                <w:sz w:val="18"/>
                <w:szCs w:val="18"/>
              </w:rPr>
            </w:pPr>
            <w:r w:rsidRPr="00E24C7A">
              <w:rPr>
                <w:rFonts w:ascii="Arial" w:hAnsi="Arial" w:cs="Arial"/>
                <w:color w:val="000000"/>
                <w:sz w:val="18"/>
                <w:szCs w:val="18"/>
              </w:rPr>
              <w:t>постоянно</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365C8031" w14:textId="77777777" w:rsidR="00E24C7A" w:rsidRPr="00E24C7A" w:rsidRDefault="00E24C7A" w:rsidP="00A43635">
            <w:pPr>
              <w:contextualSpacing/>
              <w:jc w:val="center"/>
              <w:rPr>
                <w:rFonts w:ascii="Arial" w:hAnsi="Arial" w:cs="Arial"/>
                <w:color w:val="000000"/>
                <w:sz w:val="18"/>
                <w:szCs w:val="18"/>
              </w:rPr>
            </w:pPr>
          </w:p>
        </w:tc>
      </w:tr>
      <w:tr w:rsidR="00E24C7A" w:rsidRPr="00911253" w14:paraId="2D3EA0EA" w14:textId="77777777" w:rsidTr="00E24C7A">
        <w:trPr>
          <w:trHeight w:val="815"/>
        </w:trPr>
        <w:tc>
          <w:tcPr>
            <w:tcW w:w="1083" w:type="dxa"/>
            <w:tcBorders>
              <w:top w:val="single" w:sz="4" w:space="0" w:color="auto"/>
              <w:left w:val="single" w:sz="4" w:space="0" w:color="auto"/>
              <w:bottom w:val="single" w:sz="4" w:space="0" w:color="auto"/>
              <w:right w:val="single" w:sz="4" w:space="0" w:color="auto"/>
            </w:tcBorders>
            <w:shd w:val="clear" w:color="auto" w:fill="auto"/>
            <w:vAlign w:val="center"/>
          </w:tcPr>
          <w:p w14:paraId="6AD32762" w14:textId="77777777" w:rsidR="00E24C7A" w:rsidRPr="00E24C7A" w:rsidRDefault="00E24C7A" w:rsidP="00A43635">
            <w:pPr>
              <w:contextualSpacing/>
              <w:jc w:val="center"/>
              <w:rPr>
                <w:rFonts w:ascii="Arial" w:hAnsi="Arial" w:cs="Arial"/>
                <w:color w:val="000000"/>
                <w:sz w:val="18"/>
                <w:szCs w:val="18"/>
                <w:lang w:val="en-US"/>
              </w:rPr>
            </w:pPr>
            <w:r w:rsidRPr="00E24C7A">
              <w:rPr>
                <w:rFonts w:ascii="Arial" w:hAnsi="Arial" w:cs="Arial"/>
                <w:color w:val="000000"/>
                <w:sz w:val="18"/>
                <w:szCs w:val="18"/>
                <w:lang w:val="en-US"/>
              </w:rPr>
              <w:t>PART_ATS_POVT_ISP_OREG_MED</w:t>
            </w:r>
          </w:p>
        </w:tc>
        <w:tc>
          <w:tcPr>
            <w:tcW w:w="1673" w:type="dxa"/>
            <w:tcBorders>
              <w:top w:val="single" w:sz="4" w:space="0" w:color="auto"/>
              <w:left w:val="single" w:sz="4" w:space="0" w:color="auto"/>
              <w:bottom w:val="single" w:sz="4" w:space="0" w:color="auto"/>
              <w:right w:val="single" w:sz="4" w:space="0" w:color="auto"/>
            </w:tcBorders>
            <w:shd w:val="clear" w:color="auto" w:fill="auto"/>
            <w:vAlign w:val="center"/>
          </w:tcPr>
          <w:p w14:paraId="419AD975" w14:textId="77777777" w:rsidR="00E24C7A" w:rsidRPr="00E24C7A" w:rsidRDefault="00E24C7A" w:rsidP="00A43635">
            <w:pPr>
              <w:contextualSpacing/>
              <w:jc w:val="center"/>
              <w:rPr>
                <w:rFonts w:ascii="Arial" w:hAnsi="Arial" w:cs="Arial"/>
                <w:color w:val="000000"/>
                <w:sz w:val="18"/>
                <w:szCs w:val="18"/>
              </w:rPr>
            </w:pPr>
            <w:r w:rsidRPr="00E24C7A">
              <w:rPr>
                <w:rFonts w:ascii="Arial" w:hAnsi="Arial" w:cs="Arial"/>
                <w:color w:val="000000"/>
                <w:sz w:val="18"/>
                <w:szCs w:val="18"/>
              </w:rPr>
              <w:t>Заявление на проведение повторных испытаний по объекту регулирования</w:t>
            </w:r>
          </w:p>
        </w:tc>
        <w:tc>
          <w:tcPr>
            <w:tcW w:w="1898" w:type="dxa"/>
            <w:tcBorders>
              <w:top w:val="single" w:sz="4" w:space="0" w:color="auto"/>
              <w:left w:val="single" w:sz="4" w:space="0" w:color="auto"/>
              <w:bottom w:val="single" w:sz="4" w:space="0" w:color="auto"/>
              <w:right w:val="single" w:sz="4" w:space="0" w:color="auto"/>
            </w:tcBorders>
            <w:shd w:val="clear" w:color="auto" w:fill="auto"/>
            <w:vAlign w:val="center"/>
          </w:tcPr>
          <w:p w14:paraId="6C9524E8" w14:textId="77777777" w:rsidR="00E24C7A" w:rsidRPr="00E24C7A" w:rsidRDefault="00E24C7A" w:rsidP="00A43635">
            <w:pPr>
              <w:contextualSpacing/>
              <w:jc w:val="center"/>
              <w:rPr>
                <w:rFonts w:ascii="Arial" w:hAnsi="Arial" w:cs="Arial"/>
                <w:color w:val="000000"/>
                <w:sz w:val="18"/>
                <w:szCs w:val="18"/>
              </w:rPr>
            </w:pPr>
            <w:r w:rsidRPr="00E24C7A">
              <w:rPr>
                <w:rFonts w:ascii="Arial" w:hAnsi="Arial" w:cs="Arial"/>
                <w:color w:val="000000"/>
                <w:sz w:val="18"/>
                <w:szCs w:val="18"/>
              </w:rPr>
              <w:t>Положение о порядке получения статуса субъекта оптового рынка, п. 3.8.2 приложения 9</w:t>
            </w:r>
          </w:p>
        </w:tc>
        <w:tc>
          <w:tcPr>
            <w:tcW w:w="1115" w:type="dxa"/>
            <w:tcBorders>
              <w:top w:val="single" w:sz="4" w:space="0" w:color="auto"/>
              <w:left w:val="single" w:sz="4" w:space="0" w:color="auto"/>
              <w:bottom w:val="single" w:sz="4" w:space="0" w:color="auto"/>
              <w:right w:val="single" w:sz="4" w:space="0" w:color="auto"/>
            </w:tcBorders>
            <w:shd w:val="clear" w:color="auto" w:fill="auto"/>
            <w:vAlign w:val="center"/>
          </w:tcPr>
          <w:p w14:paraId="30B5DC75" w14:textId="77777777" w:rsidR="00E24C7A" w:rsidRPr="00E24C7A" w:rsidRDefault="00E24C7A" w:rsidP="00A43635">
            <w:pPr>
              <w:contextualSpacing/>
              <w:jc w:val="center"/>
              <w:rPr>
                <w:rFonts w:ascii="Arial" w:hAnsi="Arial" w:cs="Arial"/>
                <w:color w:val="000000"/>
                <w:sz w:val="18"/>
                <w:szCs w:val="18"/>
              </w:rPr>
            </w:pPr>
            <w:r w:rsidRPr="00E24C7A">
              <w:rPr>
                <w:rFonts w:ascii="Arial" w:hAnsi="Arial" w:cs="Arial"/>
                <w:color w:val="000000"/>
                <w:sz w:val="18"/>
                <w:szCs w:val="18"/>
              </w:rPr>
              <w:t>doc, docx</w:t>
            </w:r>
          </w:p>
        </w:tc>
        <w:tc>
          <w:tcPr>
            <w:tcW w:w="922" w:type="dxa"/>
            <w:tcBorders>
              <w:top w:val="single" w:sz="4" w:space="0" w:color="auto"/>
              <w:left w:val="single" w:sz="4" w:space="0" w:color="auto"/>
              <w:bottom w:val="single" w:sz="4" w:space="0" w:color="auto"/>
              <w:right w:val="single" w:sz="4" w:space="0" w:color="auto"/>
            </w:tcBorders>
            <w:shd w:val="clear" w:color="auto" w:fill="auto"/>
            <w:vAlign w:val="center"/>
          </w:tcPr>
          <w:p w14:paraId="4BD737DD" w14:textId="77777777" w:rsidR="00E24C7A" w:rsidRPr="00E24C7A" w:rsidRDefault="00E24C7A" w:rsidP="00A43635">
            <w:pPr>
              <w:contextualSpacing/>
              <w:jc w:val="center"/>
              <w:rPr>
                <w:rFonts w:ascii="Arial" w:hAnsi="Arial" w:cs="Arial"/>
                <w:color w:val="000000"/>
                <w:sz w:val="18"/>
                <w:szCs w:val="18"/>
              </w:rPr>
            </w:pPr>
            <w:r w:rsidRPr="00E24C7A">
              <w:rPr>
                <w:rFonts w:ascii="Arial" w:hAnsi="Arial" w:cs="Arial"/>
                <w:color w:val="000000"/>
                <w:sz w:val="18"/>
                <w:szCs w:val="18"/>
              </w:rPr>
              <w:t>Агрегатор</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A86FE71" w14:textId="77777777" w:rsidR="00E24C7A" w:rsidRPr="00E24C7A" w:rsidRDefault="00E24C7A" w:rsidP="00A43635">
            <w:pPr>
              <w:contextualSpacing/>
              <w:jc w:val="center"/>
              <w:rPr>
                <w:rFonts w:ascii="Arial" w:hAnsi="Arial" w:cs="Arial"/>
                <w:color w:val="000000"/>
                <w:sz w:val="18"/>
                <w:szCs w:val="18"/>
              </w:rPr>
            </w:pPr>
            <w:r w:rsidRPr="00E24C7A">
              <w:rPr>
                <w:rFonts w:ascii="Arial" w:hAnsi="Arial" w:cs="Arial"/>
                <w:color w:val="000000"/>
                <w:sz w:val="18"/>
                <w:szCs w:val="18"/>
              </w:rPr>
              <w:t>АТС</w:t>
            </w:r>
          </w:p>
        </w:tc>
        <w:tc>
          <w:tcPr>
            <w:tcW w:w="1027" w:type="dxa"/>
            <w:tcBorders>
              <w:top w:val="single" w:sz="4" w:space="0" w:color="auto"/>
              <w:left w:val="single" w:sz="4" w:space="0" w:color="auto"/>
              <w:bottom w:val="single" w:sz="4" w:space="0" w:color="auto"/>
              <w:right w:val="single" w:sz="4" w:space="0" w:color="auto"/>
            </w:tcBorders>
            <w:shd w:val="clear" w:color="auto" w:fill="auto"/>
            <w:vAlign w:val="center"/>
          </w:tcPr>
          <w:p w14:paraId="47DBF0C5" w14:textId="77777777" w:rsidR="00E24C7A" w:rsidRPr="00E24C7A" w:rsidRDefault="00E24C7A" w:rsidP="00A43635">
            <w:pPr>
              <w:contextualSpacing/>
              <w:jc w:val="center"/>
              <w:rPr>
                <w:rFonts w:ascii="Arial" w:hAnsi="Arial" w:cs="Arial"/>
                <w:color w:val="000000"/>
                <w:sz w:val="18"/>
                <w:szCs w:val="18"/>
              </w:rPr>
            </w:pPr>
            <w:r w:rsidRPr="00E24C7A">
              <w:rPr>
                <w:rFonts w:ascii="Arial" w:hAnsi="Arial" w:cs="Arial"/>
                <w:color w:val="000000"/>
                <w:sz w:val="18"/>
                <w:szCs w:val="18"/>
              </w:rPr>
              <w:t>Материальный носитель</w:t>
            </w:r>
          </w:p>
        </w:tc>
        <w:tc>
          <w:tcPr>
            <w:tcW w:w="1201" w:type="dxa"/>
            <w:tcBorders>
              <w:top w:val="single" w:sz="4" w:space="0" w:color="auto"/>
              <w:left w:val="single" w:sz="4" w:space="0" w:color="auto"/>
              <w:bottom w:val="single" w:sz="4" w:space="0" w:color="auto"/>
              <w:right w:val="single" w:sz="4" w:space="0" w:color="auto"/>
            </w:tcBorders>
            <w:shd w:val="clear" w:color="auto" w:fill="auto"/>
            <w:vAlign w:val="center"/>
          </w:tcPr>
          <w:p w14:paraId="5BB0867D" w14:textId="77777777" w:rsidR="00E24C7A" w:rsidRPr="00E24C7A" w:rsidRDefault="00E24C7A" w:rsidP="00A43635">
            <w:pPr>
              <w:contextualSpacing/>
              <w:jc w:val="center"/>
              <w:rPr>
                <w:rFonts w:ascii="Arial" w:hAnsi="Arial" w:cs="Arial"/>
                <w:color w:val="000000"/>
                <w:sz w:val="18"/>
                <w:szCs w:val="18"/>
              </w:rPr>
            </w:pPr>
            <w:r w:rsidRPr="00E24C7A">
              <w:rPr>
                <w:rFonts w:ascii="Arial" w:hAnsi="Arial" w:cs="Arial"/>
                <w:color w:val="000000"/>
                <w:sz w:val="18"/>
                <w:szCs w:val="18"/>
              </w:rPr>
              <w:t>Нет</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1E2449D8" w14:textId="77777777" w:rsidR="00E24C7A" w:rsidRPr="00E24C7A" w:rsidRDefault="00E24C7A" w:rsidP="00A43635">
            <w:pPr>
              <w:contextualSpacing/>
              <w:jc w:val="center"/>
              <w:rPr>
                <w:rFonts w:ascii="Arial" w:hAnsi="Arial" w:cs="Arial"/>
                <w:color w:val="000000"/>
                <w:sz w:val="18"/>
                <w:szCs w:val="18"/>
              </w:rPr>
            </w:pPr>
            <w:r w:rsidRPr="00E24C7A">
              <w:rPr>
                <w:rFonts w:ascii="Arial" w:hAnsi="Arial" w:cs="Arial"/>
                <w:color w:val="000000"/>
                <w:sz w:val="18"/>
                <w:szCs w:val="18"/>
              </w:rPr>
              <w:t>Нет</w:t>
            </w:r>
          </w:p>
        </w:tc>
        <w:tc>
          <w:tcPr>
            <w:tcW w:w="1862" w:type="dxa"/>
            <w:tcBorders>
              <w:top w:val="single" w:sz="4" w:space="0" w:color="auto"/>
              <w:left w:val="single" w:sz="4" w:space="0" w:color="auto"/>
              <w:bottom w:val="single" w:sz="4" w:space="0" w:color="auto"/>
              <w:right w:val="single" w:sz="4" w:space="0" w:color="auto"/>
            </w:tcBorders>
            <w:shd w:val="clear" w:color="auto" w:fill="auto"/>
            <w:vAlign w:val="center"/>
          </w:tcPr>
          <w:p w14:paraId="7131B48A" w14:textId="77777777" w:rsidR="00E24C7A" w:rsidRPr="00E24C7A" w:rsidRDefault="00E24C7A" w:rsidP="00A43635">
            <w:pPr>
              <w:contextualSpacing/>
              <w:jc w:val="center"/>
              <w:rPr>
                <w:rFonts w:ascii="Arial" w:hAnsi="Arial" w:cs="Arial"/>
                <w:color w:val="000000"/>
                <w:sz w:val="18"/>
                <w:szCs w:val="18"/>
              </w:rPr>
            </w:pPr>
            <w:r w:rsidRPr="00E24C7A">
              <w:rPr>
                <w:rFonts w:ascii="Arial" w:hAnsi="Arial" w:cs="Arial"/>
                <w:color w:val="000000"/>
                <w:sz w:val="18"/>
                <w:szCs w:val="18"/>
              </w:rPr>
              <w:t>1.3.6.1.4.1.18545.1.2.1.1</w:t>
            </w:r>
          </w:p>
        </w:tc>
        <w:tc>
          <w:tcPr>
            <w:tcW w:w="1046" w:type="dxa"/>
            <w:tcBorders>
              <w:top w:val="single" w:sz="4" w:space="0" w:color="auto"/>
              <w:left w:val="single" w:sz="4" w:space="0" w:color="auto"/>
              <w:bottom w:val="single" w:sz="4" w:space="0" w:color="auto"/>
              <w:right w:val="single" w:sz="4" w:space="0" w:color="auto"/>
            </w:tcBorders>
            <w:shd w:val="clear" w:color="auto" w:fill="auto"/>
            <w:vAlign w:val="center"/>
          </w:tcPr>
          <w:p w14:paraId="1AE80081" w14:textId="77777777" w:rsidR="00E24C7A" w:rsidRPr="00E24C7A" w:rsidRDefault="00E24C7A" w:rsidP="00A43635">
            <w:pPr>
              <w:contextualSpacing/>
              <w:jc w:val="center"/>
              <w:rPr>
                <w:rFonts w:ascii="Arial" w:hAnsi="Arial" w:cs="Arial"/>
                <w:color w:val="000000"/>
                <w:sz w:val="18"/>
                <w:szCs w:val="18"/>
              </w:rPr>
            </w:pPr>
            <w:r w:rsidRPr="00E24C7A">
              <w:rPr>
                <w:rFonts w:ascii="Arial" w:hAnsi="Arial" w:cs="Arial"/>
                <w:color w:val="000000"/>
                <w:sz w:val="18"/>
                <w:szCs w:val="18"/>
              </w:rPr>
              <w:t>Word</w:t>
            </w:r>
          </w:p>
        </w:tc>
        <w:tc>
          <w:tcPr>
            <w:tcW w:w="773" w:type="dxa"/>
            <w:tcBorders>
              <w:top w:val="single" w:sz="4" w:space="0" w:color="auto"/>
              <w:left w:val="single" w:sz="4" w:space="0" w:color="auto"/>
              <w:bottom w:val="single" w:sz="4" w:space="0" w:color="auto"/>
              <w:right w:val="single" w:sz="4" w:space="0" w:color="auto"/>
            </w:tcBorders>
            <w:shd w:val="clear" w:color="auto" w:fill="auto"/>
            <w:vAlign w:val="center"/>
          </w:tcPr>
          <w:p w14:paraId="51681DC5" w14:textId="77777777" w:rsidR="00E24C7A" w:rsidRPr="00E24C7A" w:rsidRDefault="00E24C7A" w:rsidP="00A43635">
            <w:pPr>
              <w:contextualSpacing/>
              <w:jc w:val="center"/>
              <w:rPr>
                <w:rFonts w:ascii="Arial" w:hAnsi="Arial" w:cs="Arial"/>
                <w:color w:val="000000"/>
                <w:sz w:val="18"/>
                <w:szCs w:val="18"/>
              </w:rPr>
            </w:pPr>
            <w:r w:rsidRPr="00E24C7A">
              <w:rPr>
                <w:rFonts w:ascii="Arial" w:hAnsi="Arial" w:cs="Arial"/>
                <w:color w:val="000000"/>
                <w:sz w:val="18"/>
                <w:szCs w:val="18"/>
              </w:rPr>
              <w:t>постоянно</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224ADE4B" w14:textId="77777777" w:rsidR="00E24C7A" w:rsidRPr="00E24C7A" w:rsidRDefault="00E24C7A" w:rsidP="00A43635">
            <w:pPr>
              <w:contextualSpacing/>
              <w:jc w:val="center"/>
              <w:rPr>
                <w:rFonts w:ascii="Arial" w:hAnsi="Arial" w:cs="Arial"/>
                <w:color w:val="000000"/>
                <w:sz w:val="18"/>
                <w:szCs w:val="18"/>
              </w:rPr>
            </w:pPr>
          </w:p>
        </w:tc>
      </w:tr>
      <w:tr w:rsidR="00E24C7A" w:rsidRPr="00911253" w14:paraId="0DA5DF6C" w14:textId="77777777" w:rsidTr="00E24C7A">
        <w:trPr>
          <w:trHeight w:val="815"/>
        </w:trPr>
        <w:tc>
          <w:tcPr>
            <w:tcW w:w="1083" w:type="dxa"/>
            <w:tcBorders>
              <w:top w:val="single" w:sz="4" w:space="0" w:color="auto"/>
              <w:left w:val="single" w:sz="4" w:space="0" w:color="auto"/>
              <w:bottom w:val="single" w:sz="4" w:space="0" w:color="auto"/>
              <w:right w:val="single" w:sz="4" w:space="0" w:color="auto"/>
            </w:tcBorders>
            <w:shd w:val="clear" w:color="auto" w:fill="auto"/>
            <w:vAlign w:val="center"/>
          </w:tcPr>
          <w:p w14:paraId="56AFF74A" w14:textId="77777777" w:rsidR="00E24C7A" w:rsidRPr="00E24C7A" w:rsidRDefault="00E24C7A" w:rsidP="00A43635">
            <w:pPr>
              <w:contextualSpacing/>
              <w:jc w:val="center"/>
              <w:rPr>
                <w:rFonts w:ascii="Arial" w:hAnsi="Arial" w:cs="Arial"/>
                <w:color w:val="000000"/>
                <w:sz w:val="18"/>
                <w:szCs w:val="18"/>
                <w:lang w:val="en-US"/>
              </w:rPr>
            </w:pPr>
            <w:r w:rsidRPr="00E24C7A">
              <w:rPr>
                <w:rFonts w:ascii="Arial" w:hAnsi="Arial" w:cs="Arial"/>
                <w:color w:val="000000"/>
                <w:sz w:val="18"/>
                <w:szCs w:val="18"/>
                <w:lang w:val="en-US"/>
              </w:rPr>
              <w:t>PART_ATS_POVT_ISP_OREG_ WEB</w:t>
            </w:r>
          </w:p>
        </w:tc>
        <w:tc>
          <w:tcPr>
            <w:tcW w:w="1673" w:type="dxa"/>
            <w:tcBorders>
              <w:top w:val="single" w:sz="4" w:space="0" w:color="auto"/>
              <w:left w:val="single" w:sz="4" w:space="0" w:color="auto"/>
              <w:bottom w:val="single" w:sz="4" w:space="0" w:color="auto"/>
              <w:right w:val="single" w:sz="4" w:space="0" w:color="auto"/>
            </w:tcBorders>
            <w:shd w:val="clear" w:color="auto" w:fill="auto"/>
            <w:vAlign w:val="center"/>
          </w:tcPr>
          <w:p w14:paraId="37AEBA42" w14:textId="77777777" w:rsidR="00E24C7A" w:rsidRPr="00E24C7A" w:rsidRDefault="00E24C7A" w:rsidP="00A43635">
            <w:pPr>
              <w:contextualSpacing/>
              <w:jc w:val="center"/>
              <w:rPr>
                <w:rFonts w:ascii="Arial" w:hAnsi="Arial" w:cs="Arial"/>
                <w:color w:val="000000"/>
                <w:sz w:val="18"/>
                <w:szCs w:val="18"/>
              </w:rPr>
            </w:pPr>
            <w:r w:rsidRPr="00E24C7A">
              <w:rPr>
                <w:rFonts w:ascii="Arial" w:hAnsi="Arial" w:cs="Arial"/>
                <w:color w:val="000000"/>
                <w:sz w:val="18"/>
                <w:szCs w:val="18"/>
              </w:rPr>
              <w:t>Заявление на проведение повторных испытаний по объекту регулирования</w:t>
            </w:r>
          </w:p>
        </w:tc>
        <w:tc>
          <w:tcPr>
            <w:tcW w:w="1898" w:type="dxa"/>
            <w:tcBorders>
              <w:top w:val="single" w:sz="4" w:space="0" w:color="auto"/>
              <w:left w:val="single" w:sz="4" w:space="0" w:color="auto"/>
              <w:bottom w:val="single" w:sz="4" w:space="0" w:color="auto"/>
              <w:right w:val="single" w:sz="4" w:space="0" w:color="auto"/>
            </w:tcBorders>
            <w:shd w:val="clear" w:color="auto" w:fill="auto"/>
            <w:vAlign w:val="center"/>
          </w:tcPr>
          <w:p w14:paraId="452C50CA" w14:textId="77777777" w:rsidR="00E24C7A" w:rsidRPr="00E24C7A" w:rsidRDefault="00E24C7A" w:rsidP="00A43635">
            <w:pPr>
              <w:contextualSpacing/>
              <w:jc w:val="center"/>
              <w:rPr>
                <w:rFonts w:ascii="Arial" w:hAnsi="Arial" w:cs="Arial"/>
                <w:color w:val="000000"/>
                <w:sz w:val="18"/>
                <w:szCs w:val="18"/>
              </w:rPr>
            </w:pPr>
            <w:r w:rsidRPr="00E24C7A">
              <w:rPr>
                <w:rFonts w:ascii="Arial" w:hAnsi="Arial" w:cs="Arial"/>
                <w:color w:val="000000"/>
                <w:sz w:val="18"/>
                <w:szCs w:val="18"/>
              </w:rPr>
              <w:t>Положение о порядке получения статуса субъекта оптового рынка, п. 3.8.2 приложения 9</w:t>
            </w:r>
          </w:p>
        </w:tc>
        <w:tc>
          <w:tcPr>
            <w:tcW w:w="1115" w:type="dxa"/>
            <w:tcBorders>
              <w:top w:val="single" w:sz="4" w:space="0" w:color="auto"/>
              <w:left w:val="single" w:sz="4" w:space="0" w:color="auto"/>
              <w:bottom w:val="single" w:sz="4" w:space="0" w:color="auto"/>
              <w:right w:val="single" w:sz="4" w:space="0" w:color="auto"/>
            </w:tcBorders>
            <w:shd w:val="clear" w:color="auto" w:fill="auto"/>
            <w:vAlign w:val="center"/>
          </w:tcPr>
          <w:p w14:paraId="502434EA" w14:textId="77777777" w:rsidR="00E24C7A" w:rsidRPr="00E24C7A" w:rsidRDefault="00E24C7A" w:rsidP="00A43635">
            <w:pPr>
              <w:contextualSpacing/>
              <w:jc w:val="center"/>
              <w:rPr>
                <w:rFonts w:ascii="Arial" w:hAnsi="Arial" w:cs="Arial"/>
                <w:color w:val="000000"/>
                <w:sz w:val="18"/>
                <w:szCs w:val="18"/>
              </w:rPr>
            </w:pPr>
            <w:r w:rsidRPr="00E24C7A">
              <w:rPr>
                <w:rFonts w:ascii="Arial" w:hAnsi="Arial" w:cs="Arial"/>
                <w:color w:val="000000"/>
                <w:sz w:val="18"/>
                <w:szCs w:val="18"/>
              </w:rPr>
              <w:t>doc, docx</w:t>
            </w:r>
          </w:p>
        </w:tc>
        <w:tc>
          <w:tcPr>
            <w:tcW w:w="922" w:type="dxa"/>
            <w:tcBorders>
              <w:top w:val="single" w:sz="4" w:space="0" w:color="auto"/>
              <w:left w:val="single" w:sz="4" w:space="0" w:color="auto"/>
              <w:bottom w:val="single" w:sz="4" w:space="0" w:color="auto"/>
              <w:right w:val="single" w:sz="4" w:space="0" w:color="auto"/>
            </w:tcBorders>
            <w:shd w:val="clear" w:color="auto" w:fill="auto"/>
            <w:vAlign w:val="center"/>
          </w:tcPr>
          <w:p w14:paraId="180EE58E" w14:textId="77777777" w:rsidR="00E24C7A" w:rsidRPr="00E24C7A" w:rsidRDefault="00E24C7A" w:rsidP="00A43635">
            <w:pPr>
              <w:contextualSpacing/>
              <w:jc w:val="center"/>
              <w:rPr>
                <w:rFonts w:ascii="Arial" w:hAnsi="Arial" w:cs="Arial"/>
                <w:color w:val="000000"/>
                <w:sz w:val="18"/>
                <w:szCs w:val="18"/>
              </w:rPr>
            </w:pPr>
            <w:r w:rsidRPr="00E24C7A">
              <w:rPr>
                <w:rFonts w:ascii="Arial" w:hAnsi="Arial" w:cs="Arial"/>
                <w:color w:val="000000"/>
                <w:sz w:val="18"/>
                <w:szCs w:val="18"/>
              </w:rPr>
              <w:t>Агрегатор</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E892552" w14:textId="77777777" w:rsidR="00E24C7A" w:rsidRPr="00E24C7A" w:rsidRDefault="00E24C7A" w:rsidP="00A43635">
            <w:pPr>
              <w:contextualSpacing/>
              <w:jc w:val="center"/>
              <w:rPr>
                <w:rFonts w:ascii="Arial" w:hAnsi="Arial" w:cs="Arial"/>
                <w:color w:val="000000"/>
                <w:sz w:val="18"/>
                <w:szCs w:val="18"/>
              </w:rPr>
            </w:pPr>
            <w:r w:rsidRPr="00E24C7A">
              <w:rPr>
                <w:rFonts w:ascii="Arial" w:hAnsi="Arial" w:cs="Arial"/>
                <w:color w:val="000000"/>
                <w:sz w:val="18"/>
                <w:szCs w:val="18"/>
              </w:rPr>
              <w:t>АТС</w:t>
            </w:r>
          </w:p>
        </w:tc>
        <w:tc>
          <w:tcPr>
            <w:tcW w:w="1027" w:type="dxa"/>
            <w:tcBorders>
              <w:top w:val="single" w:sz="4" w:space="0" w:color="auto"/>
              <w:left w:val="single" w:sz="4" w:space="0" w:color="auto"/>
              <w:bottom w:val="single" w:sz="4" w:space="0" w:color="auto"/>
              <w:right w:val="single" w:sz="4" w:space="0" w:color="auto"/>
            </w:tcBorders>
            <w:shd w:val="clear" w:color="auto" w:fill="auto"/>
            <w:vAlign w:val="center"/>
          </w:tcPr>
          <w:p w14:paraId="3E697F20" w14:textId="77777777" w:rsidR="00E24C7A" w:rsidRPr="00E24C7A" w:rsidRDefault="00E24C7A" w:rsidP="00A43635">
            <w:pPr>
              <w:contextualSpacing/>
              <w:jc w:val="center"/>
              <w:rPr>
                <w:rFonts w:ascii="Arial" w:hAnsi="Arial" w:cs="Arial"/>
                <w:color w:val="000000"/>
                <w:sz w:val="18"/>
                <w:szCs w:val="18"/>
              </w:rPr>
            </w:pPr>
            <w:r w:rsidRPr="00E24C7A">
              <w:rPr>
                <w:rFonts w:ascii="Arial" w:hAnsi="Arial" w:cs="Arial"/>
                <w:color w:val="000000"/>
                <w:sz w:val="18"/>
                <w:szCs w:val="18"/>
              </w:rPr>
              <w:t>WEB-интерфейс</w:t>
            </w:r>
          </w:p>
        </w:tc>
        <w:tc>
          <w:tcPr>
            <w:tcW w:w="1201" w:type="dxa"/>
            <w:tcBorders>
              <w:top w:val="single" w:sz="4" w:space="0" w:color="auto"/>
              <w:left w:val="single" w:sz="4" w:space="0" w:color="auto"/>
              <w:bottom w:val="single" w:sz="4" w:space="0" w:color="auto"/>
              <w:right w:val="single" w:sz="4" w:space="0" w:color="auto"/>
            </w:tcBorders>
            <w:shd w:val="clear" w:color="auto" w:fill="auto"/>
            <w:vAlign w:val="center"/>
          </w:tcPr>
          <w:p w14:paraId="703EBB46" w14:textId="77777777" w:rsidR="00E24C7A" w:rsidRPr="00E24C7A" w:rsidRDefault="00E24C7A" w:rsidP="00A43635">
            <w:pPr>
              <w:contextualSpacing/>
              <w:jc w:val="center"/>
              <w:rPr>
                <w:rFonts w:ascii="Arial" w:hAnsi="Arial" w:cs="Arial"/>
                <w:color w:val="000000"/>
                <w:sz w:val="18"/>
                <w:szCs w:val="18"/>
              </w:rPr>
            </w:pPr>
            <w:r w:rsidRPr="00E24C7A">
              <w:rPr>
                <w:rFonts w:ascii="Arial" w:hAnsi="Arial" w:cs="Arial"/>
                <w:color w:val="000000"/>
                <w:sz w:val="18"/>
                <w:szCs w:val="18"/>
              </w:rPr>
              <w:t>Нет</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31A365AA" w14:textId="77777777" w:rsidR="00E24C7A" w:rsidRPr="00E24C7A" w:rsidRDefault="00E24C7A" w:rsidP="00A43635">
            <w:pPr>
              <w:contextualSpacing/>
              <w:jc w:val="center"/>
              <w:rPr>
                <w:rFonts w:ascii="Arial" w:hAnsi="Arial" w:cs="Arial"/>
                <w:color w:val="000000"/>
                <w:sz w:val="18"/>
                <w:szCs w:val="18"/>
              </w:rPr>
            </w:pPr>
            <w:r w:rsidRPr="00E24C7A">
              <w:rPr>
                <w:rFonts w:ascii="Arial" w:hAnsi="Arial" w:cs="Arial"/>
                <w:color w:val="000000"/>
                <w:sz w:val="18"/>
                <w:szCs w:val="18"/>
              </w:rPr>
              <w:t>Нет</w:t>
            </w:r>
          </w:p>
        </w:tc>
        <w:tc>
          <w:tcPr>
            <w:tcW w:w="1862" w:type="dxa"/>
            <w:tcBorders>
              <w:top w:val="single" w:sz="4" w:space="0" w:color="auto"/>
              <w:left w:val="single" w:sz="4" w:space="0" w:color="auto"/>
              <w:bottom w:val="single" w:sz="4" w:space="0" w:color="auto"/>
              <w:right w:val="single" w:sz="4" w:space="0" w:color="auto"/>
            </w:tcBorders>
            <w:shd w:val="clear" w:color="auto" w:fill="auto"/>
            <w:vAlign w:val="center"/>
          </w:tcPr>
          <w:p w14:paraId="648000B3" w14:textId="77777777" w:rsidR="00E24C7A" w:rsidRPr="00E24C7A" w:rsidRDefault="00E24C7A" w:rsidP="00A43635">
            <w:pPr>
              <w:contextualSpacing/>
              <w:jc w:val="center"/>
              <w:rPr>
                <w:rFonts w:ascii="Arial" w:hAnsi="Arial" w:cs="Arial"/>
                <w:color w:val="000000"/>
                <w:sz w:val="18"/>
                <w:szCs w:val="18"/>
              </w:rPr>
            </w:pPr>
            <w:r w:rsidRPr="00E24C7A">
              <w:rPr>
                <w:rFonts w:ascii="Arial" w:hAnsi="Arial" w:cs="Arial"/>
                <w:color w:val="000000"/>
                <w:sz w:val="18"/>
                <w:szCs w:val="18"/>
              </w:rPr>
              <w:t>1.3.6.1.4.1.18545.1.2.1.1</w:t>
            </w:r>
          </w:p>
        </w:tc>
        <w:tc>
          <w:tcPr>
            <w:tcW w:w="1046" w:type="dxa"/>
            <w:tcBorders>
              <w:top w:val="single" w:sz="4" w:space="0" w:color="auto"/>
              <w:left w:val="single" w:sz="4" w:space="0" w:color="auto"/>
              <w:bottom w:val="single" w:sz="4" w:space="0" w:color="auto"/>
              <w:right w:val="single" w:sz="4" w:space="0" w:color="auto"/>
            </w:tcBorders>
            <w:shd w:val="clear" w:color="auto" w:fill="auto"/>
            <w:vAlign w:val="center"/>
          </w:tcPr>
          <w:p w14:paraId="1DA7B9FB" w14:textId="77777777" w:rsidR="00E24C7A" w:rsidRPr="00E24C7A" w:rsidRDefault="00E24C7A" w:rsidP="00A43635">
            <w:pPr>
              <w:contextualSpacing/>
              <w:jc w:val="center"/>
              <w:rPr>
                <w:rFonts w:ascii="Arial" w:hAnsi="Arial" w:cs="Arial"/>
                <w:color w:val="000000"/>
                <w:sz w:val="18"/>
                <w:szCs w:val="18"/>
              </w:rPr>
            </w:pPr>
            <w:r w:rsidRPr="00E24C7A">
              <w:rPr>
                <w:rFonts w:ascii="Arial" w:hAnsi="Arial" w:cs="Arial"/>
                <w:color w:val="000000"/>
                <w:sz w:val="18"/>
                <w:szCs w:val="18"/>
              </w:rPr>
              <w:t>Word</w:t>
            </w:r>
          </w:p>
        </w:tc>
        <w:tc>
          <w:tcPr>
            <w:tcW w:w="773" w:type="dxa"/>
            <w:tcBorders>
              <w:top w:val="single" w:sz="4" w:space="0" w:color="auto"/>
              <w:left w:val="single" w:sz="4" w:space="0" w:color="auto"/>
              <w:bottom w:val="single" w:sz="4" w:space="0" w:color="auto"/>
              <w:right w:val="single" w:sz="4" w:space="0" w:color="auto"/>
            </w:tcBorders>
            <w:shd w:val="clear" w:color="auto" w:fill="auto"/>
            <w:vAlign w:val="center"/>
          </w:tcPr>
          <w:p w14:paraId="46969BB0" w14:textId="77777777" w:rsidR="00E24C7A" w:rsidRPr="00E24C7A" w:rsidRDefault="00E24C7A" w:rsidP="00A43635">
            <w:pPr>
              <w:contextualSpacing/>
              <w:jc w:val="center"/>
              <w:rPr>
                <w:rFonts w:ascii="Arial" w:hAnsi="Arial" w:cs="Arial"/>
                <w:color w:val="000000"/>
                <w:sz w:val="18"/>
                <w:szCs w:val="18"/>
              </w:rPr>
            </w:pPr>
            <w:r w:rsidRPr="00E24C7A">
              <w:rPr>
                <w:rFonts w:ascii="Arial" w:hAnsi="Arial" w:cs="Arial"/>
                <w:color w:val="000000"/>
                <w:sz w:val="18"/>
                <w:szCs w:val="18"/>
              </w:rPr>
              <w:t>постоянно</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1ADF900C" w14:textId="77777777" w:rsidR="00E24C7A" w:rsidRPr="00E24C7A" w:rsidRDefault="00E24C7A" w:rsidP="00A43635">
            <w:pPr>
              <w:contextualSpacing/>
              <w:jc w:val="center"/>
              <w:rPr>
                <w:rFonts w:ascii="Arial" w:hAnsi="Arial" w:cs="Arial"/>
                <w:color w:val="000000"/>
                <w:sz w:val="18"/>
                <w:szCs w:val="18"/>
              </w:rPr>
            </w:pPr>
          </w:p>
        </w:tc>
      </w:tr>
      <w:tr w:rsidR="00E24C7A" w:rsidRPr="00911253" w14:paraId="31BE61FB" w14:textId="77777777" w:rsidTr="00E24C7A">
        <w:trPr>
          <w:trHeight w:val="815"/>
        </w:trPr>
        <w:tc>
          <w:tcPr>
            <w:tcW w:w="1083" w:type="dxa"/>
            <w:tcBorders>
              <w:top w:val="single" w:sz="4" w:space="0" w:color="auto"/>
              <w:left w:val="single" w:sz="4" w:space="0" w:color="auto"/>
              <w:bottom w:val="single" w:sz="4" w:space="0" w:color="auto"/>
              <w:right w:val="single" w:sz="4" w:space="0" w:color="auto"/>
            </w:tcBorders>
            <w:shd w:val="clear" w:color="auto" w:fill="auto"/>
            <w:vAlign w:val="center"/>
          </w:tcPr>
          <w:p w14:paraId="2F78FB84" w14:textId="77777777" w:rsidR="00E24C7A" w:rsidRPr="00E24C7A" w:rsidRDefault="00E24C7A" w:rsidP="00A43635">
            <w:pPr>
              <w:contextualSpacing/>
              <w:jc w:val="center"/>
              <w:rPr>
                <w:rFonts w:ascii="Arial" w:hAnsi="Arial" w:cs="Arial"/>
                <w:color w:val="000000"/>
                <w:sz w:val="18"/>
                <w:szCs w:val="18"/>
                <w:lang w:val="en-US"/>
              </w:rPr>
            </w:pPr>
            <w:r w:rsidRPr="00E24C7A">
              <w:rPr>
                <w:rFonts w:ascii="Arial" w:hAnsi="Arial" w:cs="Arial"/>
                <w:color w:val="000000"/>
                <w:sz w:val="18"/>
                <w:szCs w:val="18"/>
                <w:lang w:val="en-US"/>
              </w:rPr>
              <w:t>ATS_PART_PROT_OTRIZ_MED</w:t>
            </w:r>
          </w:p>
        </w:tc>
        <w:tc>
          <w:tcPr>
            <w:tcW w:w="1673" w:type="dxa"/>
            <w:tcBorders>
              <w:top w:val="single" w:sz="4" w:space="0" w:color="auto"/>
              <w:left w:val="single" w:sz="4" w:space="0" w:color="auto"/>
              <w:bottom w:val="single" w:sz="4" w:space="0" w:color="auto"/>
              <w:right w:val="single" w:sz="4" w:space="0" w:color="auto"/>
            </w:tcBorders>
            <w:shd w:val="clear" w:color="auto" w:fill="auto"/>
            <w:vAlign w:val="center"/>
          </w:tcPr>
          <w:p w14:paraId="4F55C328" w14:textId="77777777" w:rsidR="00E24C7A" w:rsidRPr="00E24C7A" w:rsidRDefault="00E24C7A" w:rsidP="00A43635">
            <w:pPr>
              <w:contextualSpacing/>
              <w:jc w:val="center"/>
              <w:rPr>
                <w:rFonts w:ascii="Arial" w:hAnsi="Arial" w:cs="Arial"/>
                <w:color w:val="000000"/>
                <w:sz w:val="18"/>
                <w:szCs w:val="18"/>
              </w:rPr>
            </w:pPr>
            <w:r w:rsidRPr="00E24C7A">
              <w:rPr>
                <w:rFonts w:ascii="Arial" w:hAnsi="Arial" w:cs="Arial"/>
                <w:color w:val="000000"/>
                <w:sz w:val="18"/>
                <w:szCs w:val="18"/>
              </w:rPr>
              <w:t>Протокол отрицательных испытаний по объекту регулирования</w:t>
            </w:r>
          </w:p>
        </w:tc>
        <w:tc>
          <w:tcPr>
            <w:tcW w:w="1898" w:type="dxa"/>
            <w:tcBorders>
              <w:top w:val="single" w:sz="4" w:space="0" w:color="auto"/>
              <w:left w:val="single" w:sz="4" w:space="0" w:color="auto"/>
              <w:bottom w:val="single" w:sz="4" w:space="0" w:color="auto"/>
              <w:right w:val="single" w:sz="4" w:space="0" w:color="auto"/>
            </w:tcBorders>
            <w:shd w:val="clear" w:color="auto" w:fill="auto"/>
            <w:vAlign w:val="center"/>
          </w:tcPr>
          <w:p w14:paraId="282CA4F5" w14:textId="77777777" w:rsidR="00E24C7A" w:rsidRPr="00E24C7A" w:rsidRDefault="00E24C7A" w:rsidP="00A43635">
            <w:pPr>
              <w:contextualSpacing/>
              <w:jc w:val="center"/>
              <w:rPr>
                <w:rFonts w:ascii="Arial" w:hAnsi="Arial" w:cs="Arial"/>
                <w:color w:val="000000"/>
                <w:sz w:val="18"/>
                <w:szCs w:val="18"/>
              </w:rPr>
            </w:pPr>
            <w:r w:rsidRPr="00E24C7A">
              <w:rPr>
                <w:rFonts w:ascii="Arial" w:hAnsi="Arial" w:cs="Arial"/>
                <w:color w:val="000000"/>
                <w:sz w:val="18"/>
                <w:szCs w:val="18"/>
              </w:rPr>
              <w:t>Положение о порядке получения статуса субъекта оптового рынка, приложение 9</w:t>
            </w:r>
          </w:p>
        </w:tc>
        <w:tc>
          <w:tcPr>
            <w:tcW w:w="1115" w:type="dxa"/>
            <w:tcBorders>
              <w:top w:val="single" w:sz="4" w:space="0" w:color="auto"/>
              <w:left w:val="single" w:sz="4" w:space="0" w:color="auto"/>
              <w:bottom w:val="single" w:sz="4" w:space="0" w:color="auto"/>
              <w:right w:val="single" w:sz="4" w:space="0" w:color="auto"/>
            </w:tcBorders>
            <w:shd w:val="clear" w:color="auto" w:fill="auto"/>
            <w:vAlign w:val="center"/>
          </w:tcPr>
          <w:p w14:paraId="53C11329" w14:textId="77777777" w:rsidR="00E24C7A" w:rsidRPr="00E24C7A" w:rsidRDefault="00E24C7A" w:rsidP="00A43635">
            <w:pPr>
              <w:contextualSpacing/>
              <w:jc w:val="center"/>
              <w:rPr>
                <w:rFonts w:ascii="Arial" w:hAnsi="Arial" w:cs="Arial"/>
                <w:color w:val="000000"/>
                <w:sz w:val="18"/>
                <w:szCs w:val="18"/>
              </w:rPr>
            </w:pPr>
            <w:r w:rsidRPr="00E24C7A">
              <w:rPr>
                <w:rFonts w:ascii="Arial" w:hAnsi="Arial" w:cs="Arial"/>
                <w:color w:val="000000"/>
                <w:sz w:val="18"/>
                <w:szCs w:val="18"/>
              </w:rPr>
              <w:t>pdf</w:t>
            </w:r>
          </w:p>
        </w:tc>
        <w:tc>
          <w:tcPr>
            <w:tcW w:w="922" w:type="dxa"/>
            <w:tcBorders>
              <w:top w:val="single" w:sz="4" w:space="0" w:color="auto"/>
              <w:left w:val="single" w:sz="4" w:space="0" w:color="auto"/>
              <w:bottom w:val="single" w:sz="4" w:space="0" w:color="auto"/>
              <w:right w:val="single" w:sz="4" w:space="0" w:color="auto"/>
            </w:tcBorders>
            <w:shd w:val="clear" w:color="auto" w:fill="auto"/>
            <w:vAlign w:val="center"/>
          </w:tcPr>
          <w:p w14:paraId="3108E2AA" w14:textId="77777777" w:rsidR="00E24C7A" w:rsidRPr="00E24C7A" w:rsidRDefault="00E24C7A" w:rsidP="00A43635">
            <w:pPr>
              <w:contextualSpacing/>
              <w:jc w:val="center"/>
              <w:rPr>
                <w:rFonts w:ascii="Arial" w:hAnsi="Arial" w:cs="Arial"/>
                <w:color w:val="000000"/>
                <w:sz w:val="18"/>
                <w:szCs w:val="18"/>
              </w:rPr>
            </w:pPr>
            <w:r w:rsidRPr="00E24C7A">
              <w:rPr>
                <w:rFonts w:ascii="Arial" w:hAnsi="Arial" w:cs="Arial"/>
                <w:color w:val="000000"/>
                <w:sz w:val="18"/>
                <w:szCs w:val="18"/>
              </w:rPr>
              <w:t>АТС</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EC5446" w14:textId="77777777" w:rsidR="00E24C7A" w:rsidRPr="00E24C7A" w:rsidRDefault="00E24C7A" w:rsidP="00A43635">
            <w:pPr>
              <w:contextualSpacing/>
              <w:jc w:val="center"/>
              <w:rPr>
                <w:rFonts w:ascii="Arial" w:hAnsi="Arial" w:cs="Arial"/>
                <w:color w:val="000000"/>
                <w:sz w:val="18"/>
                <w:szCs w:val="18"/>
              </w:rPr>
            </w:pPr>
            <w:r w:rsidRPr="00E24C7A">
              <w:rPr>
                <w:rFonts w:ascii="Arial" w:hAnsi="Arial" w:cs="Arial"/>
                <w:color w:val="000000"/>
                <w:sz w:val="18"/>
                <w:szCs w:val="18"/>
              </w:rPr>
              <w:t>Агрегатор</w:t>
            </w:r>
          </w:p>
        </w:tc>
        <w:tc>
          <w:tcPr>
            <w:tcW w:w="1027" w:type="dxa"/>
            <w:tcBorders>
              <w:top w:val="single" w:sz="4" w:space="0" w:color="auto"/>
              <w:left w:val="single" w:sz="4" w:space="0" w:color="auto"/>
              <w:bottom w:val="single" w:sz="4" w:space="0" w:color="auto"/>
              <w:right w:val="single" w:sz="4" w:space="0" w:color="auto"/>
            </w:tcBorders>
            <w:shd w:val="clear" w:color="auto" w:fill="auto"/>
            <w:vAlign w:val="center"/>
          </w:tcPr>
          <w:p w14:paraId="5169C3F7" w14:textId="77777777" w:rsidR="00E24C7A" w:rsidRPr="00E24C7A" w:rsidRDefault="00E24C7A" w:rsidP="00A43635">
            <w:pPr>
              <w:contextualSpacing/>
              <w:jc w:val="center"/>
              <w:rPr>
                <w:rFonts w:ascii="Arial" w:hAnsi="Arial" w:cs="Arial"/>
                <w:color w:val="000000"/>
                <w:sz w:val="18"/>
                <w:szCs w:val="18"/>
              </w:rPr>
            </w:pPr>
            <w:r w:rsidRPr="00E24C7A">
              <w:rPr>
                <w:rFonts w:ascii="Arial" w:hAnsi="Arial" w:cs="Arial"/>
                <w:color w:val="000000"/>
                <w:sz w:val="18"/>
                <w:szCs w:val="18"/>
              </w:rPr>
              <w:t>Материальный носитель</w:t>
            </w:r>
          </w:p>
        </w:tc>
        <w:tc>
          <w:tcPr>
            <w:tcW w:w="1201" w:type="dxa"/>
            <w:tcBorders>
              <w:top w:val="single" w:sz="4" w:space="0" w:color="auto"/>
              <w:left w:val="single" w:sz="4" w:space="0" w:color="auto"/>
              <w:bottom w:val="single" w:sz="4" w:space="0" w:color="auto"/>
              <w:right w:val="single" w:sz="4" w:space="0" w:color="auto"/>
            </w:tcBorders>
            <w:shd w:val="clear" w:color="auto" w:fill="auto"/>
            <w:vAlign w:val="center"/>
          </w:tcPr>
          <w:p w14:paraId="618FBFF5" w14:textId="77777777" w:rsidR="00E24C7A" w:rsidRPr="00E24C7A" w:rsidRDefault="00E24C7A" w:rsidP="00A43635">
            <w:pPr>
              <w:contextualSpacing/>
              <w:jc w:val="center"/>
              <w:rPr>
                <w:rFonts w:ascii="Arial" w:hAnsi="Arial" w:cs="Arial"/>
                <w:color w:val="000000"/>
                <w:sz w:val="18"/>
                <w:szCs w:val="18"/>
              </w:rPr>
            </w:pPr>
            <w:r w:rsidRPr="00E24C7A">
              <w:rPr>
                <w:rFonts w:ascii="Arial" w:hAnsi="Arial" w:cs="Arial"/>
                <w:color w:val="000000"/>
                <w:sz w:val="18"/>
                <w:szCs w:val="18"/>
              </w:rPr>
              <w:t>Нет</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62C4030D" w14:textId="77777777" w:rsidR="00E24C7A" w:rsidRPr="00E24C7A" w:rsidRDefault="00E24C7A" w:rsidP="00A43635">
            <w:pPr>
              <w:contextualSpacing/>
              <w:jc w:val="center"/>
              <w:rPr>
                <w:rFonts w:ascii="Arial" w:hAnsi="Arial" w:cs="Arial"/>
                <w:color w:val="000000"/>
                <w:sz w:val="18"/>
                <w:szCs w:val="18"/>
              </w:rPr>
            </w:pPr>
            <w:r w:rsidRPr="00E24C7A">
              <w:rPr>
                <w:rFonts w:ascii="Arial" w:hAnsi="Arial" w:cs="Arial"/>
                <w:color w:val="000000"/>
                <w:sz w:val="18"/>
                <w:szCs w:val="18"/>
              </w:rPr>
              <w:t>Нет</w:t>
            </w:r>
          </w:p>
        </w:tc>
        <w:tc>
          <w:tcPr>
            <w:tcW w:w="1862" w:type="dxa"/>
            <w:tcBorders>
              <w:top w:val="single" w:sz="4" w:space="0" w:color="auto"/>
              <w:left w:val="single" w:sz="4" w:space="0" w:color="auto"/>
              <w:bottom w:val="single" w:sz="4" w:space="0" w:color="auto"/>
              <w:right w:val="single" w:sz="4" w:space="0" w:color="auto"/>
            </w:tcBorders>
            <w:shd w:val="clear" w:color="auto" w:fill="auto"/>
            <w:vAlign w:val="center"/>
          </w:tcPr>
          <w:p w14:paraId="14B5FCE4" w14:textId="77777777" w:rsidR="00E24C7A" w:rsidRPr="00E24C7A" w:rsidRDefault="00E24C7A" w:rsidP="00A43635">
            <w:pPr>
              <w:contextualSpacing/>
              <w:jc w:val="center"/>
              <w:rPr>
                <w:rFonts w:ascii="Arial" w:hAnsi="Arial" w:cs="Arial"/>
                <w:color w:val="000000"/>
                <w:sz w:val="18"/>
                <w:szCs w:val="18"/>
              </w:rPr>
            </w:pPr>
            <w:r w:rsidRPr="00E24C7A">
              <w:rPr>
                <w:rFonts w:ascii="Arial" w:hAnsi="Arial" w:cs="Arial"/>
                <w:color w:val="000000"/>
                <w:sz w:val="18"/>
                <w:szCs w:val="18"/>
              </w:rPr>
              <w:t>1.3.6.1.4.1.18545.1.2.1.1</w:t>
            </w:r>
          </w:p>
        </w:tc>
        <w:tc>
          <w:tcPr>
            <w:tcW w:w="1046" w:type="dxa"/>
            <w:tcBorders>
              <w:top w:val="single" w:sz="4" w:space="0" w:color="auto"/>
              <w:left w:val="single" w:sz="4" w:space="0" w:color="auto"/>
              <w:bottom w:val="single" w:sz="4" w:space="0" w:color="auto"/>
              <w:right w:val="single" w:sz="4" w:space="0" w:color="auto"/>
            </w:tcBorders>
            <w:shd w:val="clear" w:color="auto" w:fill="auto"/>
            <w:vAlign w:val="center"/>
          </w:tcPr>
          <w:p w14:paraId="24B37146" w14:textId="77777777" w:rsidR="00E24C7A" w:rsidRPr="00E24C7A" w:rsidRDefault="00E24C7A" w:rsidP="00A43635">
            <w:pPr>
              <w:contextualSpacing/>
              <w:jc w:val="center"/>
              <w:rPr>
                <w:rFonts w:ascii="Arial" w:hAnsi="Arial" w:cs="Arial"/>
                <w:color w:val="000000"/>
                <w:sz w:val="18"/>
                <w:szCs w:val="18"/>
              </w:rPr>
            </w:pPr>
            <w:r w:rsidRPr="00E24C7A">
              <w:rPr>
                <w:rFonts w:ascii="Arial" w:hAnsi="Arial" w:cs="Arial"/>
                <w:color w:val="000000"/>
                <w:sz w:val="18"/>
                <w:szCs w:val="18"/>
              </w:rPr>
              <w:t>Adobe Reader</w:t>
            </w:r>
          </w:p>
        </w:tc>
        <w:tc>
          <w:tcPr>
            <w:tcW w:w="773" w:type="dxa"/>
            <w:tcBorders>
              <w:top w:val="single" w:sz="4" w:space="0" w:color="auto"/>
              <w:left w:val="single" w:sz="4" w:space="0" w:color="auto"/>
              <w:bottom w:val="single" w:sz="4" w:space="0" w:color="auto"/>
              <w:right w:val="single" w:sz="4" w:space="0" w:color="auto"/>
            </w:tcBorders>
            <w:shd w:val="clear" w:color="auto" w:fill="auto"/>
            <w:vAlign w:val="center"/>
          </w:tcPr>
          <w:p w14:paraId="130D57FC" w14:textId="77777777" w:rsidR="00E24C7A" w:rsidRPr="00E24C7A" w:rsidRDefault="00E24C7A" w:rsidP="00A43635">
            <w:pPr>
              <w:contextualSpacing/>
              <w:jc w:val="center"/>
              <w:rPr>
                <w:rFonts w:ascii="Arial" w:hAnsi="Arial" w:cs="Arial"/>
                <w:color w:val="000000"/>
                <w:sz w:val="18"/>
                <w:szCs w:val="18"/>
              </w:rPr>
            </w:pPr>
            <w:r w:rsidRPr="00E24C7A">
              <w:rPr>
                <w:rFonts w:ascii="Arial" w:hAnsi="Arial" w:cs="Arial"/>
                <w:color w:val="000000"/>
                <w:sz w:val="18"/>
                <w:szCs w:val="18"/>
              </w:rPr>
              <w:t>постоянно</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01F511F4" w14:textId="77777777" w:rsidR="00E24C7A" w:rsidRPr="00E24C7A" w:rsidRDefault="00E24C7A" w:rsidP="00A43635">
            <w:pPr>
              <w:contextualSpacing/>
              <w:jc w:val="center"/>
              <w:rPr>
                <w:rFonts w:ascii="Arial" w:hAnsi="Arial" w:cs="Arial"/>
                <w:color w:val="000000"/>
                <w:sz w:val="18"/>
                <w:szCs w:val="18"/>
              </w:rPr>
            </w:pPr>
          </w:p>
        </w:tc>
      </w:tr>
      <w:tr w:rsidR="00E24C7A" w:rsidRPr="00911253" w14:paraId="22CC6D05" w14:textId="77777777" w:rsidTr="00E24C7A">
        <w:trPr>
          <w:trHeight w:val="815"/>
        </w:trPr>
        <w:tc>
          <w:tcPr>
            <w:tcW w:w="1083" w:type="dxa"/>
            <w:tcBorders>
              <w:top w:val="single" w:sz="4" w:space="0" w:color="auto"/>
              <w:left w:val="single" w:sz="4" w:space="0" w:color="auto"/>
              <w:bottom w:val="single" w:sz="4" w:space="0" w:color="auto"/>
              <w:right w:val="single" w:sz="4" w:space="0" w:color="auto"/>
            </w:tcBorders>
            <w:shd w:val="clear" w:color="auto" w:fill="auto"/>
            <w:vAlign w:val="center"/>
          </w:tcPr>
          <w:p w14:paraId="6FC1B7B2" w14:textId="77777777" w:rsidR="00E24C7A" w:rsidRPr="00E24C7A" w:rsidRDefault="00E24C7A" w:rsidP="00A43635">
            <w:pPr>
              <w:contextualSpacing/>
              <w:jc w:val="center"/>
              <w:rPr>
                <w:rFonts w:ascii="Arial" w:hAnsi="Arial" w:cs="Arial"/>
                <w:color w:val="000000"/>
                <w:sz w:val="18"/>
                <w:szCs w:val="18"/>
                <w:lang w:val="en-US"/>
              </w:rPr>
            </w:pPr>
            <w:r w:rsidRPr="00E24C7A">
              <w:rPr>
                <w:rFonts w:ascii="Arial" w:hAnsi="Arial" w:cs="Arial"/>
                <w:color w:val="000000"/>
                <w:sz w:val="18"/>
                <w:szCs w:val="18"/>
                <w:lang w:val="en-US"/>
              </w:rPr>
              <w:t>ATS_PART_PROT_OTRIZ_WEB</w:t>
            </w:r>
          </w:p>
        </w:tc>
        <w:tc>
          <w:tcPr>
            <w:tcW w:w="1673" w:type="dxa"/>
            <w:tcBorders>
              <w:top w:val="single" w:sz="4" w:space="0" w:color="auto"/>
              <w:left w:val="single" w:sz="4" w:space="0" w:color="auto"/>
              <w:bottom w:val="single" w:sz="4" w:space="0" w:color="auto"/>
              <w:right w:val="single" w:sz="4" w:space="0" w:color="auto"/>
            </w:tcBorders>
            <w:shd w:val="clear" w:color="auto" w:fill="auto"/>
            <w:vAlign w:val="center"/>
          </w:tcPr>
          <w:p w14:paraId="75B10C84" w14:textId="77777777" w:rsidR="00E24C7A" w:rsidRPr="00E24C7A" w:rsidRDefault="00E24C7A" w:rsidP="00A43635">
            <w:pPr>
              <w:contextualSpacing/>
              <w:jc w:val="center"/>
              <w:rPr>
                <w:rFonts w:ascii="Arial" w:hAnsi="Arial" w:cs="Arial"/>
                <w:color w:val="000000"/>
                <w:sz w:val="18"/>
                <w:szCs w:val="18"/>
              </w:rPr>
            </w:pPr>
            <w:r w:rsidRPr="00E24C7A">
              <w:rPr>
                <w:rFonts w:ascii="Arial" w:hAnsi="Arial" w:cs="Arial"/>
                <w:color w:val="000000"/>
                <w:sz w:val="18"/>
                <w:szCs w:val="18"/>
              </w:rPr>
              <w:t>Протокол отрицательных испытаний по объекту регулирования</w:t>
            </w:r>
          </w:p>
        </w:tc>
        <w:tc>
          <w:tcPr>
            <w:tcW w:w="1898" w:type="dxa"/>
            <w:tcBorders>
              <w:top w:val="single" w:sz="4" w:space="0" w:color="auto"/>
              <w:left w:val="single" w:sz="4" w:space="0" w:color="auto"/>
              <w:bottom w:val="single" w:sz="4" w:space="0" w:color="auto"/>
              <w:right w:val="single" w:sz="4" w:space="0" w:color="auto"/>
            </w:tcBorders>
            <w:shd w:val="clear" w:color="auto" w:fill="auto"/>
            <w:vAlign w:val="center"/>
          </w:tcPr>
          <w:p w14:paraId="243A10AD" w14:textId="77777777" w:rsidR="00E24C7A" w:rsidRPr="00E24C7A" w:rsidRDefault="00E24C7A" w:rsidP="00A43635">
            <w:pPr>
              <w:contextualSpacing/>
              <w:jc w:val="center"/>
              <w:rPr>
                <w:rFonts w:ascii="Arial" w:hAnsi="Arial" w:cs="Arial"/>
                <w:color w:val="000000"/>
                <w:sz w:val="18"/>
                <w:szCs w:val="18"/>
              </w:rPr>
            </w:pPr>
            <w:r w:rsidRPr="00E24C7A">
              <w:rPr>
                <w:rFonts w:ascii="Arial" w:hAnsi="Arial" w:cs="Arial"/>
                <w:color w:val="000000"/>
                <w:sz w:val="18"/>
                <w:szCs w:val="18"/>
              </w:rPr>
              <w:t>Положение о порядке получения статуса субъекта оптового рынка, приложение 9</w:t>
            </w:r>
          </w:p>
        </w:tc>
        <w:tc>
          <w:tcPr>
            <w:tcW w:w="1115" w:type="dxa"/>
            <w:tcBorders>
              <w:top w:val="single" w:sz="4" w:space="0" w:color="auto"/>
              <w:left w:val="single" w:sz="4" w:space="0" w:color="auto"/>
              <w:bottom w:val="single" w:sz="4" w:space="0" w:color="auto"/>
              <w:right w:val="single" w:sz="4" w:space="0" w:color="auto"/>
            </w:tcBorders>
            <w:shd w:val="clear" w:color="auto" w:fill="auto"/>
            <w:vAlign w:val="center"/>
          </w:tcPr>
          <w:p w14:paraId="629E85E7" w14:textId="77777777" w:rsidR="00E24C7A" w:rsidRPr="00E24C7A" w:rsidRDefault="00E24C7A" w:rsidP="00A43635">
            <w:pPr>
              <w:contextualSpacing/>
              <w:jc w:val="center"/>
              <w:rPr>
                <w:rFonts w:ascii="Arial" w:hAnsi="Arial" w:cs="Arial"/>
                <w:color w:val="000000"/>
                <w:sz w:val="18"/>
                <w:szCs w:val="18"/>
              </w:rPr>
            </w:pPr>
            <w:r w:rsidRPr="00E24C7A">
              <w:rPr>
                <w:rFonts w:ascii="Arial" w:hAnsi="Arial" w:cs="Arial"/>
                <w:color w:val="000000"/>
                <w:sz w:val="18"/>
                <w:szCs w:val="18"/>
              </w:rPr>
              <w:t>pdf</w:t>
            </w:r>
          </w:p>
        </w:tc>
        <w:tc>
          <w:tcPr>
            <w:tcW w:w="922" w:type="dxa"/>
            <w:tcBorders>
              <w:top w:val="single" w:sz="4" w:space="0" w:color="auto"/>
              <w:left w:val="single" w:sz="4" w:space="0" w:color="auto"/>
              <w:bottom w:val="single" w:sz="4" w:space="0" w:color="auto"/>
              <w:right w:val="single" w:sz="4" w:space="0" w:color="auto"/>
            </w:tcBorders>
            <w:shd w:val="clear" w:color="auto" w:fill="auto"/>
            <w:vAlign w:val="center"/>
          </w:tcPr>
          <w:p w14:paraId="7683CC93" w14:textId="77777777" w:rsidR="00E24C7A" w:rsidRPr="00E24C7A" w:rsidRDefault="00E24C7A" w:rsidP="00A43635">
            <w:pPr>
              <w:contextualSpacing/>
              <w:jc w:val="center"/>
              <w:rPr>
                <w:rFonts w:ascii="Arial" w:hAnsi="Arial" w:cs="Arial"/>
                <w:color w:val="000000"/>
                <w:sz w:val="18"/>
                <w:szCs w:val="18"/>
              </w:rPr>
            </w:pPr>
            <w:r w:rsidRPr="00E24C7A">
              <w:rPr>
                <w:rFonts w:ascii="Arial" w:hAnsi="Arial" w:cs="Arial"/>
                <w:color w:val="000000"/>
                <w:sz w:val="18"/>
                <w:szCs w:val="18"/>
              </w:rPr>
              <w:t>АТС</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94C258E" w14:textId="77777777" w:rsidR="00E24C7A" w:rsidRPr="00E24C7A" w:rsidRDefault="00E24C7A" w:rsidP="00A43635">
            <w:pPr>
              <w:contextualSpacing/>
              <w:jc w:val="center"/>
              <w:rPr>
                <w:rFonts w:ascii="Arial" w:hAnsi="Arial" w:cs="Arial"/>
                <w:color w:val="000000"/>
                <w:sz w:val="18"/>
                <w:szCs w:val="18"/>
              </w:rPr>
            </w:pPr>
            <w:r w:rsidRPr="00E24C7A">
              <w:rPr>
                <w:rFonts w:ascii="Arial" w:hAnsi="Arial" w:cs="Arial"/>
                <w:color w:val="000000"/>
                <w:sz w:val="18"/>
                <w:szCs w:val="18"/>
              </w:rPr>
              <w:t>Агрегатор</w:t>
            </w:r>
          </w:p>
        </w:tc>
        <w:tc>
          <w:tcPr>
            <w:tcW w:w="1027" w:type="dxa"/>
            <w:tcBorders>
              <w:top w:val="single" w:sz="4" w:space="0" w:color="auto"/>
              <w:left w:val="single" w:sz="4" w:space="0" w:color="auto"/>
              <w:bottom w:val="single" w:sz="4" w:space="0" w:color="auto"/>
              <w:right w:val="single" w:sz="4" w:space="0" w:color="auto"/>
            </w:tcBorders>
            <w:shd w:val="clear" w:color="auto" w:fill="auto"/>
            <w:vAlign w:val="center"/>
          </w:tcPr>
          <w:p w14:paraId="39497FB2" w14:textId="77777777" w:rsidR="00E24C7A" w:rsidRPr="00E24C7A" w:rsidRDefault="00E24C7A" w:rsidP="00A43635">
            <w:pPr>
              <w:contextualSpacing/>
              <w:jc w:val="center"/>
              <w:rPr>
                <w:rFonts w:ascii="Arial" w:hAnsi="Arial" w:cs="Arial"/>
                <w:color w:val="000000"/>
                <w:sz w:val="18"/>
                <w:szCs w:val="18"/>
              </w:rPr>
            </w:pPr>
            <w:r w:rsidRPr="00E24C7A">
              <w:rPr>
                <w:rFonts w:ascii="Arial" w:hAnsi="Arial" w:cs="Arial"/>
                <w:color w:val="000000"/>
                <w:sz w:val="18"/>
                <w:szCs w:val="18"/>
              </w:rPr>
              <w:t>WEB-интерфейс</w:t>
            </w:r>
          </w:p>
        </w:tc>
        <w:tc>
          <w:tcPr>
            <w:tcW w:w="1201" w:type="dxa"/>
            <w:tcBorders>
              <w:top w:val="single" w:sz="4" w:space="0" w:color="auto"/>
              <w:left w:val="single" w:sz="4" w:space="0" w:color="auto"/>
              <w:bottom w:val="single" w:sz="4" w:space="0" w:color="auto"/>
              <w:right w:val="single" w:sz="4" w:space="0" w:color="auto"/>
            </w:tcBorders>
            <w:shd w:val="clear" w:color="auto" w:fill="auto"/>
            <w:vAlign w:val="center"/>
          </w:tcPr>
          <w:p w14:paraId="53B4919A" w14:textId="77777777" w:rsidR="00E24C7A" w:rsidRPr="00E24C7A" w:rsidRDefault="00E24C7A" w:rsidP="00A43635">
            <w:pPr>
              <w:contextualSpacing/>
              <w:jc w:val="center"/>
              <w:rPr>
                <w:rFonts w:ascii="Arial" w:hAnsi="Arial" w:cs="Arial"/>
                <w:color w:val="000000"/>
                <w:sz w:val="18"/>
                <w:szCs w:val="18"/>
              </w:rPr>
            </w:pPr>
            <w:r w:rsidRPr="00E24C7A">
              <w:rPr>
                <w:rFonts w:ascii="Arial" w:hAnsi="Arial" w:cs="Arial"/>
                <w:color w:val="000000"/>
                <w:sz w:val="18"/>
                <w:szCs w:val="18"/>
              </w:rPr>
              <w:t>Нет</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514294CA" w14:textId="77777777" w:rsidR="00E24C7A" w:rsidRPr="00E24C7A" w:rsidRDefault="00E24C7A" w:rsidP="00A43635">
            <w:pPr>
              <w:contextualSpacing/>
              <w:jc w:val="center"/>
              <w:rPr>
                <w:rFonts w:ascii="Arial" w:hAnsi="Arial" w:cs="Arial"/>
                <w:color w:val="000000"/>
                <w:sz w:val="18"/>
                <w:szCs w:val="18"/>
              </w:rPr>
            </w:pPr>
            <w:r w:rsidRPr="00E24C7A">
              <w:rPr>
                <w:rFonts w:ascii="Arial" w:hAnsi="Arial" w:cs="Arial"/>
                <w:color w:val="000000"/>
                <w:sz w:val="18"/>
                <w:szCs w:val="18"/>
              </w:rPr>
              <w:t>Нет</w:t>
            </w:r>
          </w:p>
        </w:tc>
        <w:tc>
          <w:tcPr>
            <w:tcW w:w="1862" w:type="dxa"/>
            <w:tcBorders>
              <w:top w:val="single" w:sz="4" w:space="0" w:color="auto"/>
              <w:left w:val="single" w:sz="4" w:space="0" w:color="auto"/>
              <w:bottom w:val="single" w:sz="4" w:space="0" w:color="auto"/>
              <w:right w:val="single" w:sz="4" w:space="0" w:color="auto"/>
            </w:tcBorders>
            <w:shd w:val="clear" w:color="auto" w:fill="auto"/>
            <w:vAlign w:val="center"/>
          </w:tcPr>
          <w:p w14:paraId="0252ED0B" w14:textId="77777777" w:rsidR="00E24C7A" w:rsidRPr="00E24C7A" w:rsidRDefault="00E24C7A" w:rsidP="00A43635">
            <w:pPr>
              <w:contextualSpacing/>
              <w:jc w:val="center"/>
              <w:rPr>
                <w:rFonts w:ascii="Arial" w:hAnsi="Arial" w:cs="Arial"/>
                <w:color w:val="000000"/>
                <w:sz w:val="18"/>
                <w:szCs w:val="18"/>
              </w:rPr>
            </w:pPr>
            <w:r w:rsidRPr="00E24C7A">
              <w:rPr>
                <w:rFonts w:ascii="Arial" w:hAnsi="Arial" w:cs="Arial"/>
                <w:color w:val="000000"/>
                <w:sz w:val="18"/>
                <w:szCs w:val="18"/>
              </w:rPr>
              <w:t>1.3.6.1.4.1.18545.1.2.1.1</w:t>
            </w:r>
          </w:p>
        </w:tc>
        <w:tc>
          <w:tcPr>
            <w:tcW w:w="1046" w:type="dxa"/>
            <w:tcBorders>
              <w:top w:val="single" w:sz="4" w:space="0" w:color="auto"/>
              <w:left w:val="single" w:sz="4" w:space="0" w:color="auto"/>
              <w:bottom w:val="single" w:sz="4" w:space="0" w:color="auto"/>
              <w:right w:val="single" w:sz="4" w:space="0" w:color="auto"/>
            </w:tcBorders>
            <w:shd w:val="clear" w:color="auto" w:fill="auto"/>
            <w:vAlign w:val="center"/>
          </w:tcPr>
          <w:p w14:paraId="425C6270" w14:textId="77777777" w:rsidR="00E24C7A" w:rsidRPr="00E24C7A" w:rsidRDefault="00E24C7A" w:rsidP="00A43635">
            <w:pPr>
              <w:contextualSpacing/>
              <w:jc w:val="center"/>
              <w:rPr>
                <w:rFonts w:ascii="Arial" w:hAnsi="Arial" w:cs="Arial"/>
                <w:color w:val="000000"/>
                <w:sz w:val="18"/>
                <w:szCs w:val="18"/>
              </w:rPr>
            </w:pPr>
            <w:r w:rsidRPr="00E24C7A">
              <w:rPr>
                <w:rFonts w:ascii="Arial" w:hAnsi="Arial" w:cs="Arial"/>
                <w:color w:val="000000"/>
                <w:sz w:val="18"/>
                <w:szCs w:val="18"/>
              </w:rPr>
              <w:t>Adobe Reader</w:t>
            </w:r>
          </w:p>
        </w:tc>
        <w:tc>
          <w:tcPr>
            <w:tcW w:w="773" w:type="dxa"/>
            <w:tcBorders>
              <w:top w:val="single" w:sz="4" w:space="0" w:color="auto"/>
              <w:left w:val="single" w:sz="4" w:space="0" w:color="auto"/>
              <w:bottom w:val="single" w:sz="4" w:space="0" w:color="auto"/>
              <w:right w:val="single" w:sz="4" w:space="0" w:color="auto"/>
            </w:tcBorders>
            <w:shd w:val="clear" w:color="auto" w:fill="auto"/>
            <w:vAlign w:val="center"/>
          </w:tcPr>
          <w:p w14:paraId="6D39394E" w14:textId="77777777" w:rsidR="00E24C7A" w:rsidRPr="00E24C7A" w:rsidRDefault="00E24C7A" w:rsidP="00A43635">
            <w:pPr>
              <w:contextualSpacing/>
              <w:jc w:val="center"/>
              <w:rPr>
                <w:rFonts w:ascii="Arial" w:hAnsi="Arial" w:cs="Arial"/>
                <w:color w:val="000000"/>
                <w:sz w:val="18"/>
                <w:szCs w:val="18"/>
              </w:rPr>
            </w:pPr>
            <w:r w:rsidRPr="00E24C7A">
              <w:rPr>
                <w:rFonts w:ascii="Arial" w:hAnsi="Arial" w:cs="Arial"/>
                <w:color w:val="000000"/>
                <w:sz w:val="18"/>
                <w:szCs w:val="18"/>
              </w:rPr>
              <w:t>постоянно</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47585547" w14:textId="77777777" w:rsidR="00E24C7A" w:rsidRPr="00E24C7A" w:rsidRDefault="00E24C7A" w:rsidP="00A43635">
            <w:pPr>
              <w:contextualSpacing/>
              <w:jc w:val="center"/>
              <w:rPr>
                <w:rFonts w:ascii="Arial" w:hAnsi="Arial" w:cs="Arial"/>
                <w:color w:val="000000"/>
                <w:sz w:val="18"/>
                <w:szCs w:val="18"/>
              </w:rPr>
            </w:pPr>
          </w:p>
        </w:tc>
      </w:tr>
    </w:tbl>
    <w:p w14:paraId="177F25B2" w14:textId="77777777" w:rsidR="008F0710" w:rsidRDefault="008F0710" w:rsidP="00E31AE6">
      <w:pPr>
        <w:tabs>
          <w:tab w:val="left" w:pos="954"/>
        </w:tabs>
        <w:rPr>
          <w:rFonts w:ascii="Garamond" w:hAnsi="Garamond"/>
          <w:sz w:val="26"/>
          <w:szCs w:val="26"/>
        </w:rPr>
      </w:pPr>
    </w:p>
    <w:p w14:paraId="03D5DF15" w14:textId="77777777" w:rsidR="00E24C7A" w:rsidRDefault="00E24C7A" w:rsidP="00E31AE6">
      <w:pPr>
        <w:tabs>
          <w:tab w:val="left" w:pos="954"/>
        </w:tabs>
        <w:rPr>
          <w:rFonts w:ascii="Garamond" w:hAnsi="Garamond"/>
          <w:sz w:val="26"/>
          <w:szCs w:val="26"/>
        </w:rPr>
      </w:pPr>
    </w:p>
    <w:p w14:paraId="73AE7EF2" w14:textId="77777777" w:rsidR="000648FB" w:rsidRPr="004403E0" w:rsidRDefault="000648FB" w:rsidP="00E31AE6">
      <w:pPr>
        <w:tabs>
          <w:tab w:val="left" w:pos="954"/>
        </w:tabs>
        <w:rPr>
          <w:rFonts w:ascii="Garamond" w:hAnsi="Garamond"/>
          <w:sz w:val="26"/>
          <w:szCs w:val="26"/>
        </w:rPr>
        <w:sectPr w:rsidR="000648FB" w:rsidRPr="004403E0" w:rsidSect="00647FA0">
          <w:footerReference w:type="even" r:id="rId36"/>
          <w:footerReference w:type="default" r:id="rId37"/>
          <w:pgSz w:w="16838" w:h="11906" w:orient="landscape"/>
          <w:pgMar w:top="1134" w:right="851" w:bottom="1134" w:left="1304" w:header="709" w:footer="709" w:gutter="0"/>
          <w:cols w:space="708"/>
          <w:docGrid w:linePitch="360"/>
        </w:sectPr>
      </w:pPr>
    </w:p>
    <w:p w14:paraId="0848F2AB" w14:textId="0069EB5D" w:rsidR="00295C6D" w:rsidRDefault="00295C6D" w:rsidP="00647FA0">
      <w:pPr>
        <w:pStyle w:val="10"/>
        <w:keepNext w:val="0"/>
        <w:spacing w:line="240" w:lineRule="auto"/>
        <w:ind w:left="-142"/>
        <w:jc w:val="left"/>
        <w:rPr>
          <w:rFonts w:ascii="Garamond" w:eastAsia="Courier New" w:hAnsi="Garamond"/>
          <w:sz w:val="26"/>
          <w:szCs w:val="26"/>
        </w:rPr>
      </w:pPr>
      <w:r w:rsidRPr="00295C6D">
        <w:rPr>
          <w:rFonts w:ascii="Garamond" w:eastAsia="Courier New" w:hAnsi="Garamond"/>
          <w:sz w:val="26"/>
          <w:szCs w:val="26"/>
        </w:rPr>
        <w:lastRenderedPageBreak/>
        <w:t>Предложения по изменениям и дополнениям в РЕГЛАМЕНТ КОММЕ</w:t>
      </w:r>
      <w:r w:rsidR="00647FA0">
        <w:rPr>
          <w:rFonts w:ascii="Garamond" w:eastAsia="Courier New" w:hAnsi="Garamond"/>
          <w:sz w:val="26"/>
          <w:szCs w:val="26"/>
        </w:rPr>
        <w:t>РЧЕСКОГО УЧЕТА ЭЛЕКТРОЭНЕРГИИ И </w:t>
      </w:r>
      <w:r w:rsidRPr="00295C6D">
        <w:rPr>
          <w:rFonts w:ascii="Garamond" w:eastAsia="Courier New" w:hAnsi="Garamond"/>
          <w:sz w:val="26"/>
          <w:szCs w:val="26"/>
        </w:rPr>
        <w:t>МОЩНОСТИ (Приложение № 11 к Договору о присоединении к торговой системе оптового рынка)</w:t>
      </w:r>
    </w:p>
    <w:p w14:paraId="2CDD7274" w14:textId="77777777" w:rsidR="00647FA0" w:rsidRPr="00647FA0" w:rsidRDefault="00647FA0" w:rsidP="00647FA0"/>
    <w:tbl>
      <w:tblPr>
        <w:tblW w:w="1481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60"/>
        <w:gridCol w:w="6662"/>
        <w:gridCol w:w="7088"/>
      </w:tblGrid>
      <w:tr w:rsidR="00295C6D" w:rsidRPr="00A5626D" w14:paraId="17C99B0D" w14:textId="77777777" w:rsidTr="00647FA0">
        <w:tc>
          <w:tcPr>
            <w:tcW w:w="1060" w:type="dxa"/>
            <w:vAlign w:val="center"/>
          </w:tcPr>
          <w:p w14:paraId="71923B32" w14:textId="77777777" w:rsidR="00295C6D" w:rsidRPr="00A5626D" w:rsidRDefault="00295C6D" w:rsidP="00647FA0">
            <w:pPr>
              <w:widowControl w:val="0"/>
              <w:tabs>
                <w:tab w:val="left" w:pos="1134"/>
                <w:tab w:val="left" w:pos="7938"/>
              </w:tabs>
              <w:spacing w:line="22" w:lineRule="atLeast"/>
              <w:jc w:val="center"/>
              <w:rPr>
                <w:rFonts w:ascii="Garamond" w:hAnsi="Garamond"/>
                <w:b/>
                <w:sz w:val="22"/>
                <w:szCs w:val="22"/>
                <w:lang w:eastAsia="en-US"/>
              </w:rPr>
            </w:pPr>
            <w:r w:rsidRPr="00A5626D">
              <w:rPr>
                <w:rFonts w:ascii="Garamond" w:hAnsi="Garamond"/>
                <w:b/>
                <w:sz w:val="22"/>
                <w:szCs w:val="22"/>
                <w:lang w:eastAsia="en-US"/>
              </w:rPr>
              <w:t>№</w:t>
            </w:r>
          </w:p>
          <w:p w14:paraId="11F5EC65" w14:textId="77777777" w:rsidR="00295C6D" w:rsidRPr="00A5626D" w:rsidRDefault="00295C6D" w:rsidP="00647FA0">
            <w:pPr>
              <w:widowControl w:val="0"/>
              <w:tabs>
                <w:tab w:val="left" w:pos="1134"/>
                <w:tab w:val="left" w:pos="7938"/>
              </w:tabs>
              <w:spacing w:line="22" w:lineRule="atLeast"/>
              <w:jc w:val="center"/>
              <w:rPr>
                <w:rFonts w:ascii="Garamond" w:hAnsi="Garamond"/>
                <w:b/>
                <w:sz w:val="22"/>
                <w:szCs w:val="22"/>
                <w:lang w:eastAsia="en-US"/>
              </w:rPr>
            </w:pPr>
            <w:r w:rsidRPr="00A5626D">
              <w:rPr>
                <w:rFonts w:ascii="Garamond" w:hAnsi="Garamond"/>
                <w:b/>
                <w:sz w:val="22"/>
                <w:szCs w:val="22"/>
                <w:lang w:eastAsia="en-US"/>
              </w:rPr>
              <w:t>пункта</w:t>
            </w:r>
          </w:p>
        </w:tc>
        <w:tc>
          <w:tcPr>
            <w:tcW w:w="6662" w:type="dxa"/>
            <w:vAlign w:val="center"/>
          </w:tcPr>
          <w:p w14:paraId="157A4C8A" w14:textId="77777777" w:rsidR="00647FA0" w:rsidRPr="00A5626D" w:rsidRDefault="00295C6D" w:rsidP="00647FA0">
            <w:pPr>
              <w:widowControl w:val="0"/>
              <w:tabs>
                <w:tab w:val="left" w:pos="1134"/>
                <w:tab w:val="left" w:pos="7938"/>
              </w:tabs>
              <w:spacing w:line="22" w:lineRule="atLeast"/>
              <w:jc w:val="center"/>
              <w:rPr>
                <w:rFonts w:ascii="Garamond" w:hAnsi="Garamond"/>
                <w:b/>
                <w:sz w:val="22"/>
                <w:szCs w:val="22"/>
                <w:lang w:eastAsia="en-US"/>
              </w:rPr>
            </w:pPr>
            <w:r w:rsidRPr="00A5626D">
              <w:rPr>
                <w:rFonts w:ascii="Garamond" w:hAnsi="Garamond"/>
                <w:b/>
                <w:sz w:val="22"/>
                <w:szCs w:val="22"/>
                <w:lang w:eastAsia="en-US"/>
              </w:rPr>
              <w:t xml:space="preserve">Редакция, действующая на момент </w:t>
            </w:r>
          </w:p>
          <w:p w14:paraId="227AA2A7" w14:textId="1E469978" w:rsidR="00295C6D" w:rsidRPr="00A5626D" w:rsidRDefault="00295C6D" w:rsidP="00647FA0">
            <w:pPr>
              <w:widowControl w:val="0"/>
              <w:tabs>
                <w:tab w:val="left" w:pos="1134"/>
                <w:tab w:val="left" w:pos="7938"/>
              </w:tabs>
              <w:spacing w:line="22" w:lineRule="atLeast"/>
              <w:jc w:val="center"/>
              <w:rPr>
                <w:rFonts w:ascii="Garamond" w:hAnsi="Garamond"/>
                <w:b/>
                <w:sz w:val="22"/>
                <w:szCs w:val="22"/>
                <w:lang w:eastAsia="en-US"/>
              </w:rPr>
            </w:pPr>
            <w:r w:rsidRPr="00A5626D">
              <w:rPr>
                <w:rFonts w:ascii="Garamond" w:hAnsi="Garamond"/>
                <w:b/>
                <w:sz w:val="22"/>
                <w:szCs w:val="22"/>
                <w:lang w:eastAsia="en-US"/>
              </w:rPr>
              <w:t>вступления в силу изменений</w:t>
            </w:r>
          </w:p>
        </w:tc>
        <w:tc>
          <w:tcPr>
            <w:tcW w:w="7088" w:type="dxa"/>
          </w:tcPr>
          <w:p w14:paraId="55BEB0D7" w14:textId="77777777" w:rsidR="00295C6D" w:rsidRPr="00A5626D" w:rsidRDefault="00295C6D" w:rsidP="00647FA0">
            <w:pPr>
              <w:widowControl w:val="0"/>
              <w:tabs>
                <w:tab w:val="left" w:pos="1134"/>
                <w:tab w:val="left" w:pos="7938"/>
              </w:tabs>
              <w:spacing w:line="22" w:lineRule="atLeast"/>
              <w:jc w:val="center"/>
              <w:rPr>
                <w:rFonts w:ascii="Garamond" w:hAnsi="Garamond"/>
                <w:b/>
                <w:sz w:val="22"/>
                <w:szCs w:val="22"/>
                <w:lang w:eastAsia="en-US"/>
              </w:rPr>
            </w:pPr>
            <w:r w:rsidRPr="00A5626D">
              <w:rPr>
                <w:rFonts w:ascii="Garamond" w:hAnsi="Garamond"/>
                <w:b/>
                <w:sz w:val="22"/>
                <w:szCs w:val="22"/>
                <w:lang w:eastAsia="en-US"/>
              </w:rPr>
              <w:t>Предлагаемая редакция</w:t>
            </w:r>
          </w:p>
          <w:p w14:paraId="0F930F96" w14:textId="77777777" w:rsidR="00295C6D" w:rsidRPr="00A5626D" w:rsidRDefault="00295C6D" w:rsidP="00647FA0">
            <w:pPr>
              <w:tabs>
                <w:tab w:val="left" w:pos="1134"/>
                <w:tab w:val="left" w:pos="7938"/>
              </w:tabs>
              <w:spacing w:line="22" w:lineRule="atLeast"/>
              <w:jc w:val="center"/>
              <w:rPr>
                <w:rFonts w:ascii="Garamond" w:hAnsi="Garamond"/>
                <w:sz w:val="22"/>
                <w:szCs w:val="22"/>
                <w:lang w:eastAsia="en-US"/>
              </w:rPr>
            </w:pPr>
            <w:r w:rsidRPr="00A5626D">
              <w:rPr>
                <w:rFonts w:ascii="Garamond" w:hAnsi="Garamond"/>
                <w:sz w:val="22"/>
                <w:szCs w:val="22"/>
                <w:lang w:eastAsia="en-US"/>
              </w:rPr>
              <w:t>(изменения выделены цветом)</w:t>
            </w:r>
          </w:p>
        </w:tc>
      </w:tr>
      <w:tr w:rsidR="00A5626D" w:rsidRPr="00A5626D" w14:paraId="6B80A020" w14:textId="77777777" w:rsidTr="00647FA0">
        <w:tc>
          <w:tcPr>
            <w:tcW w:w="1060" w:type="dxa"/>
            <w:vAlign w:val="center"/>
          </w:tcPr>
          <w:p w14:paraId="2C4E05FC" w14:textId="77777777" w:rsidR="00295C6D" w:rsidRPr="00A5626D" w:rsidRDefault="00295C6D" w:rsidP="00E31AE6">
            <w:pPr>
              <w:widowControl w:val="0"/>
              <w:tabs>
                <w:tab w:val="left" w:pos="1134"/>
                <w:tab w:val="left" w:pos="7938"/>
              </w:tabs>
              <w:spacing w:line="22" w:lineRule="atLeast"/>
              <w:jc w:val="both"/>
              <w:rPr>
                <w:rFonts w:ascii="Garamond" w:hAnsi="Garamond"/>
                <w:b/>
                <w:sz w:val="22"/>
                <w:szCs w:val="22"/>
                <w:lang w:eastAsia="en-US"/>
              </w:rPr>
            </w:pPr>
            <w:r w:rsidRPr="00A5626D">
              <w:rPr>
                <w:rFonts w:ascii="Garamond" w:hAnsi="Garamond"/>
                <w:b/>
                <w:sz w:val="22"/>
                <w:szCs w:val="22"/>
                <w:lang w:eastAsia="en-US"/>
              </w:rPr>
              <w:t>Введение</w:t>
            </w:r>
          </w:p>
        </w:tc>
        <w:tc>
          <w:tcPr>
            <w:tcW w:w="6662" w:type="dxa"/>
          </w:tcPr>
          <w:p w14:paraId="48485A3B" w14:textId="77777777" w:rsidR="00295C6D" w:rsidRPr="00A5626D" w:rsidRDefault="00295C6D" w:rsidP="00647FA0">
            <w:pPr>
              <w:tabs>
                <w:tab w:val="left" w:pos="720"/>
                <w:tab w:val="left" w:pos="1134"/>
                <w:tab w:val="left" w:pos="7938"/>
              </w:tabs>
              <w:suppressAutoHyphens w:val="0"/>
              <w:spacing w:before="120" w:after="120" w:line="22" w:lineRule="atLeast"/>
              <w:ind w:firstLine="771"/>
              <w:jc w:val="both"/>
              <w:rPr>
                <w:rFonts w:ascii="Garamond" w:eastAsia="Times New Roman" w:hAnsi="Garamond" w:cs="Times New Roman"/>
                <w:sz w:val="22"/>
                <w:szCs w:val="22"/>
              </w:rPr>
            </w:pPr>
            <w:r w:rsidRPr="00A5626D">
              <w:rPr>
                <w:rFonts w:ascii="Garamond" w:eastAsia="Times New Roman" w:hAnsi="Garamond" w:cs="Times New Roman"/>
                <w:sz w:val="22"/>
                <w:szCs w:val="22"/>
              </w:rPr>
              <w:t xml:space="preserve">Настоящий Регламент регулирует взаимодействие участников оптового рынка, ФСК, СО и КО при </w:t>
            </w:r>
            <w:r w:rsidRPr="00A5626D">
              <w:rPr>
                <w:rFonts w:ascii="Garamond" w:eastAsia="Times New Roman" w:hAnsi="Garamond" w:cs="Times New Roman"/>
                <w:sz w:val="22"/>
                <w:szCs w:val="22"/>
                <w:highlight w:val="yellow"/>
              </w:rPr>
              <w:t>сборе, обработке и передаче</w:t>
            </w:r>
            <w:r w:rsidRPr="00A5626D">
              <w:rPr>
                <w:rFonts w:ascii="Garamond" w:eastAsia="Times New Roman" w:hAnsi="Garamond" w:cs="Times New Roman"/>
                <w:sz w:val="22"/>
                <w:szCs w:val="22"/>
              </w:rPr>
              <w:t xml:space="preserve"> данных коммерческого учета (далее – КУ) для проведения расчетов на оптовом рынке электрической энергии (мощности) (далее – ОРЭМ)</w:t>
            </w:r>
            <w:r w:rsidRPr="00A5626D">
              <w:rPr>
                <w:rFonts w:ascii="Garamond" w:eastAsia="Times New Roman" w:hAnsi="Garamond" w:cs="Times New Roman"/>
                <w:sz w:val="22"/>
                <w:szCs w:val="22"/>
                <w:highlight w:val="yellow"/>
              </w:rPr>
              <w:t>, а также взаимодействие Совета рынка (далее − СР) с КО, ФСК и участниками оптового рынка в сфере коммерческого учета</w:t>
            </w:r>
            <w:r w:rsidRPr="00A5626D">
              <w:rPr>
                <w:rFonts w:ascii="Garamond" w:eastAsia="Times New Roman" w:hAnsi="Garamond" w:cs="Times New Roman"/>
                <w:sz w:val="22"/>
                <w:szCs w:val="22"/>
              </w:rPr>
              <w:t>.</w:t>
            </w:r>
          </w:p>
          <w:p w14:paraId="1ABA606E" w14:textId="77777777" w:rsidR="00295C6D" w:rsidRPr="00A5626D" w:rsidRDefault="00295C6D" w:rsidP="00647FA0">
            <w:pPr>
              <w:tabs>
                <w:tab w:val="left" w:pos="720"/>
                <w:tab w:val="left" w:pos="1134"/>
                <w:tab w:val="left" w:pos="7938"/>
              </w:tabs>
              <w:suppressAutoHyphens w:val="0"/>
              <w:spacing w:before="120" w:after="120" w:line="22" w:lineRule="atLeast"/>
              <w:ind w:firstLine="771"/>
              <w:jc w:val="both"/>
              <w:rPr>
                <w:rFonts w:ascii="Garamond" w:eastAsia="Times New Roman" w:hAnsi="Garamond" w:cs="Times New Roman"/>
                <w:sz w:val="22"/>
                <w:szCs w:val="22"/>
              </w:rPr>
            </w:pPr>
            <w:r w:rsidRPr="00A5626D">
              <w:rPr>
                <w:rFonts w:ascii="Garamond" w:eastAsia="Times New Roman" w:hAnsi="Garamond" w:cs="Times New Roman"/>
                <w:sz w:val="22"/>
                <w:szCs w:val="22"/>
                <w:highlight w:val="yellow"/>
              </w:rPr>
              <w:t>Организация коммерческого учета на ОРЭМ регулируется Правилами оптового рынка электроэнергии и мощности, Договором о присоединении к торговой системе и прилагаемыми к нему регламентами оптового рынка. Положения и требования, относящиеся к сфере применения АИИС КУЭ в коммерческом учете на ОРЭМ (технические требования к ним, процедуры установления соответствия техническим требованиям, порядок проверок) устанавливаются Положением о порядке получения статуса субъекта оптового рынка и ведения реестра субъектов оптового рынка (Приложение № 1.1 к Договору о присоединении к торговой системе оптового рынка), Регламентом проведения проверок систем коммерческого учета субъектов оптового рынка (Приложение № 18 к Договору о присоединении к торговой системе оптового рынка) и распространяются на всех участников оптового рынка и ФСК.</w:t>
            </w:r>
          </w:p>
        </w:tc>
        <w:tc>
          <w:tcPr>
            <w:tcW w:w="7088" w:type="dxa"/>
          </w:tcPr>
          <w:p w14:paraId="7B120B03" w14:textId="77777777" w:rsidR="00295C6D" w:rsidRPr="00A5626D" w:rsidRDefault="00295C6D" w:rsidP="00647FA0">
            <w:pPr>
              <w:tabs>
                <w:tab w:val="left" w:pos="720"/>
                <w:tab w:val="left" w:pos="1134"/>
                <w:tab w:val="left" w:pos="7938"/>
              </w:tabs>
              <w:suppressAutoHyphens w:val="0"/>
              <w:spacing w:before="120" w:after="120" w:line="22" w:lineRule="atLeast"/>
              <w:ind w:firstLine="743"/>
              <w:jc w:val="both"/>
              <w:rPr>
                <w:rFonts w:ascii="Garamond" w:eastAsia="Times New Roman" w:hAnsi="Garamond" w:cs="Times New Roman"/>
                <w:sz w:val="22"/>
                <w:szCs w:val="22"/>
              </w:rPr>
            </w:pPr>
            <w:r w:rsidRPr="00A5626D">
              <w:rPr>
                <w:rFonts w:ascii="Garamond" w:eastAsia="Times New Roman" w:hAnsi="Garamond" w:cs="Times New Roman"/>
                <w:sz w:val="22"/>
                <w:szCs w:val="22"/>
              </w:rPr>
              <w:t xml:space="preserve">Настоящий Регламент регулирует взаимодействие участников оптового рынка, ФСК, </w:t>
            </w:r>
            <w:r w:rsidRPr="00A5626D">
              <w:rPr>
                <w:rFonts w:ascii="Garamond" w:eastAsia="Times New Roman" w:hAnsi="Garamond" w:cs="Times New Roman"/>
                <w:sz w:val="22"/>
                <w:szCs w:val="22"/>
                <w:highlight w:val="yellow"/>
              </w:rPr>
              <w:t>агрегаторов управления изменением режима потребления электроэнергии (далее – агрегаторы),</w:t>
            </w:r>
            <w:r w:rsidRPr="00A5626D">
              <w:rPr>
                <w:rFonts w:ascii="Garamond" w:eastAsia="Times New Roman" w:hAnsi="Garamond" w:cs="Times New Roman"/>
                <w:sz w:val="22"/>
                <w:szCs w:val="22"/>
              </w:rPr>
              <w:t xml:space="preserve"> СО</w:t>
            </w:r>
            <w:r w:rsidRPr="00A5626D">
              <w:rPr>
                <w:rFonts w:ascii="Garamond" w:eastAsia="Times New Roman" w:hAnsi="Garamond" w:cs="Times New Roman"/>
                <w:sz w:val="22"/>
                <w:szCs w:val="22"/>
                <w:highlight w:val="yellow"/>
              </w:rPr>
              <w:t>, Совета рынка (далее – СР)</w:t>
            </w:r>
            <w:r w:rsidRPr="00A5626D">
              <w:rPr>
                <w:rFonts w:ascii="Garamond" w:eastAsia="Times New Roman" w:hAnsi="Garamond" w:cs="Times New Roman"/>
                <w:sz w:val="22"/>
                <w:szCs w:val="22"/>
              </w:rPr>
              <w:t xml:space="preserve"> и КО при </w:t>
            </w:r>
            <w:r w:rsidRPr="00A5626D">
              <w:rPr>
                <w:rFonts w:ascii="Garamond" w:eastAsia="Times New Roman" w:hAnsi="Garamond" w:cs="Times New Roman"/>
                <w:sz w:val="22"/>
                <w:szCs w:val="22"/>
                <w:highlight w:val="yellow"/>
              </w:rPr>
              <w:t>формировании (направлении) отчетных</w:t>
            </w:r>
            <w:r w:rsidRPr="00A5626D">
              <w:rPr>
                <w:rFonts w:ascii="Garamond" w:eastAsia="Times New Roman" w:hAnsi="Garamond" w:cs="Times New Roman"/>
                <w:sz w:val="22"/>
                <w:szCs w:val="22"/>
              </w:rPr>
              <w:t xml:space="preserve"> данных коммерческого учета (далее – КУ) для проведения расчетов на оптовом рынке электрической энергии (мощности) (далее – ОРЭМ).</w:t>
            </w:r>
          </w:p>
          <w:p w14:paraId="7E3D74FC" w14:textId="0D12E5DC" w:rsidR="00295C6D" w:rsidRPr="00A5626D" w:rsidRDefault="00295C6D" w:rsidP="00647FA0">
            <w:pPr>
              <w:tabs>
                <w:tab w:val="left" w:pos="720"/>
                <w:tab w:val="left" w:pos="1134"/>
                <w:tab w:val="left" w:pos="7938"/>
              </w:tabs>
              <w:suppressAutoHyphens w:val="0"/>
              <w:spacing w:before="120" w:after="120" w:line="22" w:lineRule="atLeast"/>
              <w:ind w:firstLine="743"/>
              <w:jc w:val="both"/>
              <w:rPr>
                <w:rFonts w:ascii="Garamond" w:eastAsia="Times New Roman" w:hAnsi="Garamond" w:cs="Times New Roman"/>
                <w:sz w:val="22"/>
                <w:szCs w:val="22"/>
                <w:highlight w:val="yellow"/>
              </w:rPr>
            </w:pPr>
            <w:r w:rsidRPr="00A5626D">
              <w:rPr>
                <w:rFonts w:ascii="Garamond" w:eastAsia="Times New Roman" w:hAnsi="Garamond" w:cs="Times New Roman"/>
                <w:sz w:val="22"/>
                <w:szCs w:val="22"/>
                <w:highlight w:val="yellow"/>
              </w:rPr>
              <w:t xml:space="preserve">Формат и порядок направления результатов измерений систем учета электроэнергии (в формате </w:t>
            </w:r>
            <w:r w:rsidRPr="00A5626D">
              <w:rPr>
                <w:rFonts w:ascii="Garamond" w:eastAsia="Times New Roman" w:hAnsi="Garamond" w:cs="Times New Roman"/>
                <w:sz w:val="22"/>
                <w:szCs w:val="22"/>
                <w:highlight w:val="yellow"/>
                <w:lang w:val="en-US"/>
              </w:rPr>
              <w:t>xml</w:t>
            </w:r>
            <w:r w:rsidRPr="00A5626D">
              <w:rPr>
                <w:rFonts w:ascii="Garamond" w:eastAsia="Times New Roman" w:hAnsi="Garamond" w:cs="Times New Roman"/>
                <w:sz w:val="22"/>
                <w:szCs w:val="22"/>
                <w:highlight w:val="yellow"/>
              </w:rPr>
              <w:t>-макетов 80020/80040/20020), используемы</w:t>
            </w:r>
            <w:r w:rsidR="00B65788" w:rsidRPr="00A5626D">
              <w:rPr>
                <w:rFonts w:ascii="Garamond" w:eastAsia="Times New Roman" w:hAnsi="Garamond" w:cs="Times New Roman"/>
                <w:sz w:val="22"/>
                <w:szCs w:val="22"/>
                <w:highlight w:val="yellow"/>
              </w:rPr>
              <w:t>х</w:t>
            </w:r>
            <w:r w:rsidRPr="00A5626D">
              <w:rPr>
                <w:rFonts w:ascii="Garamond" w:eastAsia="Times New Roman" w:hAnsi="Garamond" w:cs="Times New Roman"/>
                <w:sz w:val="22"/>
                <w:szCs w:val="22"/>
                <w:highlight w:val="yellow"/>
              </w:rPr>
              <w:t xml:space="preserve"> в том числе для формирования отчетных данных коммерческого учета в соответствии с настоящим Регламентом, регулиру</w:t>
            </w:r>
            <w:r w:rsidR="00B65788" w:rsidRPr="00A5626D">
              <w:rPr>
                <w:rFonts w:ascii="Garamond" w:eastAsia="Times New Roman" w:hAnsi="Garamond" w:cs="Times New Roman"/>
                <w:sz w:val="22"/>
                <w:szCs w:val="22"/>
                <w:highlight w:val="yellow"/>
              </w:rPr>
              <w:t>ю</w:t>
            </w:r>
            <w:r w:rsidRPr="00A5626D">
              <w:rPr>
                <w:rFonts w:ascii="Garamond" w:eastAsia="Times New Roman" w:hAnsi="Garamond" w:cs="Times New Roman"/>
                <w:sz w:val="22"/>
                <w:szCs w:val="22"/>
                <w:highlight w:val="yellow"/>
              </w:rPr>
              <w:t xml:space="preserve">тся Приложением № 11.1.1 к </w:t>
            </w:r>
            <w:r w:rsidRPr="00A5626D">
              <w:rPr>
                <w:rFonts w:ascii="Garamond" w:eastAsia="Times New Roman" w:hAnsi="Garamond" w:cs="Times New Roman"/>
                <w:i/>
                <w:sz w:val="22"/>
                <w:szCs w:val="22"/>
                <w:highlight w:val="yellow"/>
              </w:rPr>
              <w:t>Положению о порядке получения статуса субъекта оптового рынка и ведения реестра субъектов оптового рынка</w:t>
            </w:r>
            <w:r w:rsidRPr="00A5626D">
              <w:rPr>
                <w:rFonts w:ascii="Garamond" w:eastAsia="Times New Roman" w:hAnsi="Garamond" w:cs="Times New Roman"/>
                <w:sz w:val="22"/>
                <w:szCs w:val="22"/>
                <w:highlight w:val="yellow"/>
              </w:rPr>
              <w:t xml:space="preserve"> (Приложение № 1.1 к </w:t>
            </w:r>
            <w:r w:rsidRPr="00A5626D">
              <w:rPr>
                <w:rFonts w:ascii="Garamond" w:eastAsia="Times New Roman" w:hAnsi="Garamond" w:cs="Times New Roman"/>
                <w:i/>
                <w:sz w:val="22"/>
                <w:szCs w:val="22"/>
                <w:highlight w:val="yellow"/>
              </w:rPr>
              <w:t>Договору о присоединении к торговой системе оптового рынка</w:t>
            </w:r>
            <w:r w:rsidRPr="00A5626D">
              <w:rPr>
                <w:rFonts w:ascii="Garamond" w:eastAsia="Times New Roman" w:hAnsi="Garamond" w:cs="Times New Roman"/>
                <w:sz w:val="22"/>
                <w:szCs w:val="22"/>
                <w:highlight w:val="yellow"/>
              </w:rPr>
              <w:t>).</w:t>
            </w:r>
          </w:p>
          <w:p w14:paraId="16BDF457" w14:textId="178878E7" w:rsidR="00295C6D" w:rsidRPr="00A5626D" w:rsidRDefault="00295C6D" w:rsidP="00647FA0">
            <w:pPr>
              <w:tabs>
                <w:tab w:val="left" w:pos="720"/>
              </w:tabs>
              <w:suppressAutoHyphens w:val="0"/>
              <w:spacing w:before="120" w:after="120" w:line="22" w:lineRule="atLeast"/>
              <w:ind w:firstLine="743"/>
              <w:jc w:val="both"/>
              <w:rPr>
                <w:rFonts w:ascii="Garamond" w:eastAsia="Times New Roman" w:hAnsi="Garamond" w:cs="Times New Roman"/>
                <w:sz w:val="22"/>
                <w:szCs w:val="22"/>
                <w:highlight w:val="yellow"/>
              </w:rPr>
            </w:pPr>
            <w:r w:rsidRPr="00A5626D">
              <w:rPr>
                <w:rFonts w:ascii="Garamond" w:eastAsia="Times New Roman" w:hAnsi="Garamond" w:cs="Times New Roman"/>
                <w:sz w:val="22"/>
                <w:szCs w:val="22"/>
                <w:highlight w:val="yellow"/>
              </w:rPr>
              <w:t xml:space="preserve">Порядок подтверждения соответствия систем учета электроэнергии техническим требованиям оптового рынка устанавливается </w:t>
            </w:r>
            <w:r w:rsidRPr="00A5626D">
              <w:rPr>
                <w:rFonts w:ascii="Garamond" w:eastAsia="Times New Roman" w:hAnsi="Garamond" w:cs="Times New Roman"/>
                <w:i/>
                <w:sz w:val="22"/>
                <w:szCs w:val="22"/>
                <w:highlight w:val="yellow"/>
              </w:rPr>
              <w:t>Положением о порядке получения статуса субъекта оптового рынка и ведения реестра субъектов оптового рынка</w:t>
            </w:r>
            <w:r w:rsidRPr="00A5626D">
              <w:rPr>
                <w:rFonts w:ascii="Garamond" w:eastAsia="Times New Roman" w:hAnsi="Garamond" w:cs="Times New Roman"/>
                <w:sz w:val="22"/>
                <w:szCs w:val="22"/>
                <w:highlight w:val="yellow"/>
              </w:rPr>
              <w:t xml:space="preserve"> (Приложение № 1.1 к </w:t>
            </w:r>
            <w:r w:rsidRPr="00A5626D">
              <w:rPr>
                <w:rFonts w:ascii="Garamond" w:eastAsia="Times New Roman" w:hAnsi="Garamond" w:cs="Times New Roman"/>
                <w:i/>
                <w:sz w:val="22"/>
                <w:szCs w:val="22"/>
                <w:highlight w:val="yellow"/>
              </w:rPr>
              <w:t>Договору о присоединении к торговой системе оптового рынка</w:t>
            </w:r>
            <w:r w:rsidRPr="00A5626D">
              <w:rPr>
                <w:rFonts w:ascii="Garamond" w:eastAsia="Times New Roman" w:hAnsi="Garamond" w:cs="Times New Roman"/>
                <w:sz w:val="22"/>
                <w:szCs w:val="22"/>
                <w:highlight w:val="yellow"/>
              </w:rPr>
              <w:t xml:space="preserve">) и Приложением № 11.3 к </w:t>
            </w:r>
            <w:r w:rsidRPr="00A5626D">
              <w:rPr>
                <w:rFonts w:ascii="Garamond" w:eastAsia="Times New Roman" w:hAnsi="Garamond" w:cs="Times New Roman"/>
                <w:i/>
                <w:sz w:val="22"/>
                <w:szCs w:val="22"/>
                <w:highlight w:val="yellow"/>
              </w:rPr>
              <w:t>Положению о порядке получения статуса субъекта оптового рынка и ведения реестра субъектов оптового рынка</w:t>
            </w:r>
            <w:r w:rsidRPr="00A5626D">
              <w:rPr>
                <w:rFonts w:ascii="Garamond" w:eastAsia="Times New Roman" w:hAnsi="Garamond" w:cs="Times New Roman"/>
                <w:sz w:val="22"/>
                <w:szCs w:val="22"/>
                <w:highlight w:val="yellow"/>
              </w:rPr>
              <w:t xml:space="preserve"> (Приложение № 1.1 к </w:t>
            </w:r>
            <w:r w:rsidRPr="00A5626D">
              <w:rPr>
                <w:rFonts w:ascii="Garamond" w:eastAsia="Times New Roman" w:hAnsi="Garamond" w:cs="Times New Roman"/>
                <w:i/>
                <w:sz w:val="22"/>
                <w:szCs w:val="22"/>
                <w:highlight w:val="yellow"/>
              </w:rPr>
              <w:t>Договору о присоединении к торговой системе оптового рынка</w:t>
            </w:r>
            <w:r w:rsidRPr="00A5626D">
              <w:rPr>
                <w:rFonts w:ascii="Garamond" w:eastAsia="Times New Roman" w:hAnsi="Garamond" w:cs="Times New Roman"/>
                <w:sz w:val="22"/>
                <w:szCs w:val="22"/>
                <w:highlight w:val="yellow"/>
              </w:rPr>
              <w:t>).</w:t>
            </w:r>
          </w:p>
          <w:p w14:paraId="10536CC6" w14:textId="3DA86BF0" w:rsidR="00295C6D" w:rsidRPr="00A5626D" w:rsidRDefault="00295C6D" w:rsidP="00B65788">
            <w:pPr>
              <w:tabs>
                <w:tab w:val="left" w:pos="720"/>
                <w:tab w:val="left" w:pos="1134"/>
                <w:tab w:val="left" w:pos="7938"/>
              </w:tabs>
              <w:suppressAutoHyphens w:val="0"/>
              <w:spacing w:before="120" w:after="120" w:line="22" w:lineRule="atLeast"/>
              <w:ind w:firstLine="743"/>
              <w:jc w:val="both"/>
              <w:rPr>
                <w:rFonts w:ascii="Garamond" w:eastAsia="Times New Roman" w:hAnsi="Garamond" w:cs="Times New Roman"/>
                <w:sz w:val="22"/>
                <w:szCs w:val="22"/>
              </w:rPr>
            </w:pPr>
            <w:r w:rsidRPr="00A5626D">
              <w:rPr>
                <w:rFonts w:ascii="Garamond" w:eastAsia="Times New Roman" w:hAnsi="Garamond" w:cs="Times New Roman"/>
                <w:sz w:val="22"/>
                <w:szCs w:val="22"/>
                <w:highlight w:val="yellow"/>
              </w:rPr>
              <w:t xml:space="preserve">Порядок выполнения проверок систем учета электроэнергии определяется </w:t>
            </w:r>
            <w:r w:rsidRPr="00A5626D">
              <w:rPr>
                <w:rFonts w:ascii="Garamond" w:eastAsia="Times New Roman" w:hAnsi="Garamond" w:cs="Times New Roman"/>
                <w:i/>
                <w:sz w:val="22"/>
                <w:szCs w:val="22"/>
                <w:highlight w:val="yellow"/>
              </w:rPr>
              <w:t>Регламентом проведения проверок систем коммерческого учета субъектов оптового рынка</w:t>
            </w:r>
            <w:r w:rsidRPr="00A5626D">
              <w:rPr>
                <w:rFonts w:ascii="Garamond" w:eastAsia="Times New Roman" w:hAnsi="Garamond" w:cs="Times New Roman"/>
                <w:sz w:val="22"/>
                <w:szCs w:val="22"/>
                <w:highlight w:val="yellow"/>
              </w:rPr>
              <w:t xml:space="preserve"> (Приложение № 18 к </w:t>
            </w:r>
            <w:r w:rsidRPr="00A5626D">
              <w:rPr>
                <w:rFonts w:ascii="Garamond" w:eastAsia="Times New Roman" w:hAnsi="Garamond" w:cs="Times New Roman"/>
                <w:i/>
                <w:sz w:val="22"/>
                <w:szCs w:val="22"/>
                <w:highlight w:val="yellow"/>
              </w:rPr>
              <w:t>Договору о присоединении к торговой системе оптового рынка</w:t>
            </w:r>
            <w:r w:rsidRPr="00A5626D">
              <w:rPr>
                <w:rFonts w:ascii="Garamond" w:eastAsia="Times New Roman" w:hAnsi="Garamond" w:cs="Times New Roman"/>
                <w:sz w:val="22"/>
                <w:szCs w:val="22"/>
                <w:highlight w:val="yellow"/>
              </w:rPr>
              <w:t>).</w:t>
            </w:r>
          </w:p>
        </w:tc>
      </w:tr>
      <w:tr w:rsidR="00295C6D" w:rsidRPr="00A5626D" w14:paraId="13287171" w14:textId="77777777" w:rsidTr="00647FA0">
        <w:tc>
          <w:tcPr>
            <w:tcW w:w="1060" w:type="dxa"/>
            <w:vAlign w:val="center"/>
          </w:tcPr>
          <w:p w14:paraId="408BCE4E" w14:textId="77777777" w:rsidR="00295C6D" w:rsidRPr="00A5626D" w:rsidRDefault="00295C6D" w:rsidP="00E31AE6">
            <w:pPr>
              <w:widowControl w:val="0"/>
              <w:tabs>
                <w:tab w:val="left" w:pos="1134"/>
                <w:tab w:val="left" w:pos="7938"/>
              </w:tabs>
              <w:spacing w:line="22" w:lineRule="atLeast"/>
              <w:jc w:val="both"/>
              <w:rPr>
                <w:rFonts w:ascii="Garamond" w:hAnsi="Garamond"/>
                <w:b/>
                <w:sz w:val="22"/>
                <w:szCs w:val="22"/>
                <w:lang w:eastAsia="en-US"/>
              </w:rPr>
            </w:pPr>
            <w:r w:rsidRPr="00A5626D">
              <w:rPr>
                <w:rFonts w:ascii="Garamond" w:hAnsi="Garamond"/>
                <w:b/>
                <w:sz w:val="22"/>
                <w:szCs w:val="22"/>
                <w:lang w:eastAsia="en-US"/>
              </w:rPr>
              <w:t>Раздел 1</w:t>
            </w:r>
          </w:p>
        </w:tc>
        <w:tc>
          <w:tcPr>
            <w:tcW w:w="6662" w:type="dxa"/>
          </w:tcPr>
          <w:p w14:paraId="4E7668B7" w14:textId="77777777" w:rsidR="00295C6D" w:rsidRPr="00A5626D" w:rsidRDefault="00295C6D" w:rsidP="00647FA0">
            <w:pPr>
              <w:tabs>
                <w:tab w:val="left" w:pos="453"/>
                <w:tab w:val="left" w:pos="1134"/>
                <w:tab w:val="left" w:pos="1200"/>
                <w:tab w:val="left" w:pos="7938"/>
              </w:tabs>
              <w:spacing w:before="120" w:after="120" w:line="22" w:lineRule="atLeast"/>
              <w:ind w:firstLine="600"/>
              <w:jc w:val="both"/>
              <w:rPr>
                <w:rFonts w:ascii="Garamond" w:hAnsi="Garamond" w:cstheme="minorHAnsi"/>
                <w:b/>
                <w:sz w:val="22"/>
                <w:szCs w:val="22"/>
              </w:rPr>
            </w:pPr>
            <w:r w:rsidRPr="00A5626D">
              <w:rPr>
                <w:rFonts w:ascii="Garamond" w:hAnsi="Garamond" w:cstheme="minorHAnsi"/>
                <w:b/>
                <w:sz w:val="22"/>
                <w:szCs w:val="22"/>
              </w:rPr>
              <w:t>1</w:t>
            </w:r>
            <w:r w:rsidRPr="00A5626D">
              <w:rPr>
                <w:rFonts w:ascii="Garamond" w:hAnsi="Garamond" w:cstheme="minorHAnsi"/>
                <w:b/>
                <w:sz w:val="22"/>
                <w:szCs w:val="22"/>
              </w:rPr>
              <w:tab/>
              <w:t>ПРЕДМЕТ РЕГЛАМЕНТА</w:t>
            </w:r>
          </w:p>
          <w:p w14:paraId="2F9C2147" w14:textId="77777777" w:rsidR="00295C6D" w:rsidRPr="00A5626D" w:rsidRDefault="00295C6D" w:rsidP="00647FA0">
            <w:pPr>
              <w:tabs>
                <w:tab w:val="left" w:pos="453"/>
                <w:tab w:val="left" w:pos="1134"/>
                <w:tab w:val="left" w:pos="1200"/>
                <w:tab w:val="left" w:pos="7938"/>
              </w:tabs>
              <w:spacing w:before="120" w:after="120" w:line="22" w:lineRule="atLeast"/>
              <w:ind w:firstLine="600"/>
              <w:jc w:val="both"/>
              <w:rPr>
                <w:rFonts w:ascii="Garamond" w:hAnsi="Garamond" w:cstheme="minorHAnsi"/>
                <w:sz w:val="22"/>
                <w:szCs w:val="22"/>
              </w:rPr>
            </w:pPr>
            <w:r w:rsidRPr="00A5626D">
              <w:rPr>
                <w:rFonts w:ascii="Garamond" w:hAnsi="Garamond" w:cstheme="minorHAnsi"/>
                <w:sz w:val="22"/>
                <w:szCs w:val="22"/>
              </w:rPr>
              <w:t>Настоящий Регламент определяет:</w:t>
            </w:r>
          </w:p>
          <w:p w14:paraId="13B570BF" w14:textId="77777777" w:rsidR="00295C6D" w:rsidRPr="00A5626D" w:rsidRDefault="00295C6D" w:rsidP="00647FA0">
            <w:pPr>
              <w:tabs>
                <w:tab w:val="left" w:pos="453"/>
                <w:tab w:val="left" w:pos="1134"/>
                <w:tab w:val="left" w:pos="1200"/>
                <w:tab w:val="left" w:pos="7938"/>
              </w:tabs>
              <w:spacing w:before="120" w:after="120" w:line="22" w:lineRule="atLeast"/>
              <w:ind w:firstLine="600"/>
              <w:jc w:val="both"/>
              <w:rPr>
                <w:rFonts w:ascii="Garamond" w:hAnsi="Garamond" w:cstheme="minorHAnsi"/>
                <w:sz w:val="22"/>
                <w:szCs w:val="22"/>
              </w:rPr>
            </w:pPr>
            <w:r w:rsidRPr="00A5626D">
              <w:rPr>
                <w:rFonts w:ascii="Garamond" w:hAnsi="Garamond" w:cstheme="minorHAnsi"/>
                <w:sz w:val="22"/>
                <w:szCs w:val="22"/>
              </w:rPr>
              <w:t>•</w:t>
            </w:r>
            <w:r w:rsidRPr="00A5626D">
              <w:rPr>
                <w:rFonts w:ascii="Garamond" w:hAnsi="Garamond" w:cstheme="minorHAnsi"/>
                <w:sz w:val="22"/>
                <w:szCs w:val="22"/>
              </w:rPr>
              <w:tab/>
              <w:t xml:space="preserve">порядок взаимодействия субъектов оптового рынка в сфере коммерческого учета на ОРЭМ, в том числе </w:t>
            </w:r>
            <w:r w:rsidRPr="00A5626D">
              <w:rPr>
                <w:rFonts w:ascii="Garamond" w:hAnsi="Garamond" w:cstheme="minorHAnsi"/>
                <w:sz w:val="22"/>
                <w:szCs w:val="22"/>
                <w:highlight w:val="yellow"/>
              </w:rPr>
              <w:t>порядок использования ими средств измерений</w:t>
            </w:r>
            <w:r w:rsidRPr="00A5626D">
              <w:rPr>
                <w:rFonts w:ascii="Garamond" w:hAnsi="Garamond" w:cstheme="minorHAnsi"/>
                <w:sz w:val="22"/>
                <w:szCs w:val="22"/>
              </w:rPr>
              <w:t>;</w:t>
            </w:r>
          </w:p>
          <w:p w14:paraId="32B2FB98" w14:textId="77777777" w:rsidR="00295C6D" w:rsidRPr="00A5626D" w:rsidRDefault="00295C6D" w:rsidP="00647FA0">
            <w:pPr>
              <w:tabs>
                <w:tab w:val="left" w:pos="453"/>
                <w:tab w:val="left" w:pos="1134"/>
                <w:tab w:val="left" w:pos="1200"/>
                <w:tab w:val="left" w:pos="7938"/>
              </w:tabs>
              <w:spacing w:before="120" w:after="120" w:line="22" w:lineRule="atLeast"/>
              <w:ind w:firstLine="600"/>
              <w:jc w:val="both"/>
              <w:rPr>
                <w:rFonts w:ascii="Garamond" w:hAnsi="Garamond" w:cstheme="minorHAnsi"/>
                <w:sz w:val="22"/>
                <w:szCs w:val="22"/>
              </w:rPr>
            </w:pPr>
            <w:r w:rsidRPr="00A5626D">
              <w:rPr>
                <w:rFonts w:ascii="Garamond" w:hAnsi="Garamond" w:cstheme="minorHAnsi"/>
                <w:sz w:val="22"/>
                <w:szCs w:val="22"/>
              </w:rPr>
              <w:lastRenderedPageBreak/>
              <w:t>•</w:t>
            </w:r>
            <w:r w:rsidRPr="00A5626D">
              <w:rPr>
                <w:rFonts w:ascii="Garamond" w:hAnsi="Garamond" w:cstheme="minorHAnsi"/>
                <w:sz w:val="22"/>
                <w:szCs w:val="22"/>
              </w:rPr>
              <w:tab/>
              <w:t xml:space="preserve">порядок формирования, согласования, направления данных коммерческого учета участниками оптового рынка </w:t>
            </w:r>
            <w:r w:rsidRPr="00A5626D">
              <w:rPr>
                <w:rFonts w:ascii="Garamond" w:hAnsi="Garamond" w:cstheme="minorHAnsi"/>
                <w:sz w:val="22"/>
                <w:szCs w:val="22"/>
                <w:highlight w:val="yellow"/>
              </w:rPr>
              <w:t>и</w:t>
            </w:r>
            <w:r w:rsidRPr="00A5626D">
              <w:rPr>
                <w:rFonts w:ascii="Garamond" w:hAnsi="Garamond" w:cstheme="minorHAnsi"/>
                <w:sz w:val="22"/>
                <w:szCs w:val="22"/>
              </w:rPr>
              <w:t xml:space="preserve"> ФСК;</w:t>
            </w:r>
          </w:p>
          <w:p w14:paraId="176AD681" w14:textId="77777777" w:rsidR="00295C6D" w:rsidRPr="00A5626D" w:rsidRDefault="00295C6D" w:rsidP="00647FA0">
            <w:pPr>
              <w:tabs>
                <w:tab w:val="left" w:pos="453"/>
                <w:tab w:val="left" w:pos="1134"/>
                <w:tab w:val="left" w:pos="1200"/>
                <w:tab w:val="left" w:pos="7938"/>
              </w:tabs>
              <w:spacing w:before="120" w:after="120" w:line="22" w:lineRule="atLeast"/>
              <w:ind w:firstLine="600"/>
              <w:jc w:val="both"/>
              <w:rPr>
                <w:rFonts w:ascii="Garamond" w:hAnsi="Garamond" w:cstheme="minorHAnsi"/>
                <w:sz w:val="22"/>
                <w:szCs w:val="22"/>
              </w:rPr>
            </w:pPr>
            <w:r w:rsidRPr="00A5626D">
              <w:rPr>
                <w:rFonts w:ascii="Garamond" w:hAnsi="Garamond" w:cstheme="minorHAnsi"/>
                <w:sz w:val="22"/>
                <w:szCs w:val="22"/>
              </w:rPr>
              <w:t>•</w:t>
            </w:r>
            <w:r w:rsidRPr="00A5626D">
              <w:rPr>
                <w:rFonts w:ascii="Garamond" w:hAnsi="Garamond" w:cstheme="minorHAnsi"/>
                <w:sz w:val="22"/>
                <w:szCs w:val="22"/>
              </w:rPr>
              <w:tab/>
              <w:t>условия и порядок применения замещающих методов расчета при определении объемов произведенной или потребленной (переданной) электроэнергии;</w:t>
            </w:r>
          </w:p>
          <w:p w14:paraId="78B3D5FF" w14:textId="77777777" w:rsidR="00295C6D" w:rsidRPr="00A5626D" w:rsidRDefault="00295C6D" w:rsidP="00647FA0">
            <w:pPr>
              <w:tabs>
                <w:tab w:val="left" w:pos="453"/>
                <w:tab w:val="left" w:pos="1134"/>
                <w:tab w:val="left" w:pos="1200"/>
                <w:tab w:val="left" w:pos="7938"/>
              </w:tabs>
              <w:spacing w:before="120" w:after="120" w:line="22" w:lineRule="atLeast"/>
              <w:ind w:firstLine="600"/>
              <w:jc w:val="both"/>
              <w:rPr>
                <w:rFonts w:ascii="Garamond" w:hAnsi="Garamond" w:cstheme="minorHAnsi"/>
                <w:sz w:val="22"/>
                <w:szCs w:val="22"/>
              </w:rPr>
            </w:pPr>
            <w:r w:rsidRPr="00A5626D">
              <w:rPr>
                <w:rFonts w:ascii="Garamond" w:hAnsi="Garamond" w:cstheme="minorHAnsi"/>
                <w:sz w:val="22"/>
                <w:szCs w:val="22"/>
              </w:rPr>
              <w:t>•</w:t>
            </w:r>
            <w:r w:rsidRPr="00A5626D">
              <w:rPr>
                <w:rFonts w:ascii="Garamond" w:hAnsi="Garamond" w:cstheme="minorHAnsi"/>
                <w:sz w:val="22"/>
                <w:szCs w:val="22"/>
              </w:rPr>
              <w:tab/>
              <w:t>порядок формирования Перечня средств измерений для целей коммерческого учета (далее – ПСИ);</w:t>
            </w:r>
          </w:p>
          <w:p w14:paraId="26258E40" w14:textId="77777777" w:rsidR="00295C6D" w:rsidRPr="00A5626D" w:rsidRDefault="00295C6D" w:rsidP="00647FA0">
            <w:pPr>
              <w:tabs>
                <w:tab w:val="left" w:pos="453"/>
                <w:tab w:val="left" w:pos="1134"/>
                <w:tab w:val="left" w:pos="1200"/>
                <w:tab w:val="left" w:pos="7938"/>
              </w:tabs>
              <w:spacing w:before="120" w:after="120" w:line="22" w:lineRule="atLeast"/>
              <w:ind w:firstLine="600"/>
              <w:jc w:val="both"/>
              <w:rPr>
                <w:rFonts w:ascii="Garamond" w:hAnsi="Garamond" w:cstheme="minorHAnsi"/>
                <w:sz w:val="22"/>
                <w:szCs w:val="22"/>
              </w:rPr>
            </w:pPr>
            <w:r w:rsidRPr="00A5626D">
              <w:rPr>
                <w:rFonts w:ascii="Garamond" w:hAnsi="Garamond" w:cstheme="minorHAnsi"/>
                <w:sz w:val="22"/>
                <w:szCs w:val="22"/>
              </w:rPr>
              <w:t>•</w:t>
            </w:r>
            <w:r w:rsidRPr="00A5626D">
              <w:rPr>
                <w:rFonts w:ascii="Garamond" w:hAnsi="Garamond" w:cstheme="minorHAnsi"/>
                <w:sz w:val="22"/>
                <w:szCs w:val="22"/>
              </w:rPr>
              <w:tab/>
              <w:t>описание формата электронных документов, используемых при формировании данных коммерческого учета.</w:t>
            </w:r>
          </w:p>
        </w:tc>
        <w:tc>
          <w:tcPr>
            <w:tcW w:w="7088" w:type="dxa"/>
          </w:tcPr>
          <w:p w14:paraId="09CEF569" w14:textId="25870BA5" w:rsidR="00295C6D" w:rsidRPr="00A5626D" w:rsidRDefault="00295C6D" w:rsidP="00647FA0">
            <w:pPr>
              <w:tabs>
                <w:tab w:val="left" w:pos="453"/>
                <w:tab w:val="left" w:pos="1134"/>
                <w:tab w:val="left" w:pos="1200"/>
                <w:tab w:val="left" w:pos="7938"/>
              </w:tabs>
              <w:spacing w:before="120" w:after="120" w:line="22" w:lineRule="atLeast"/>
              <w:ind w:firstLine="600"/>
              <w:jc w:val="both"/>
              <w:rPr>
                <w:rFonts w:ascii="Garamond" w:hAnsi="Garamond" w:cstheme="minorHAnsi"/>
                <w:b/>
                <w:sz w:val="22"/>
                <w:szCs w:val="22"/>
              </w:rPr>
            </w:pPr>
            <w:r w:rsidRPr="00A5626D">
              <w:rPr>
                <w:rFonts w:ascii="Garamond" w:hAnsi="Garamond" w:cstheme="minorHAnsi"/>
                <w:b/>
                <w:sz w:val="22"/>
                <w:szCs w:val="22"/>
              </w:rPr>
              <w:lastRenderedPageBreak/>
              <w:t>1</w:t>
            </w:r>
            <w:r w:rsidR="002B237C" w:rsidRPr="00A5626D">
              <w:rPr>
                <w:rFonts w:ascii="Garamond" w:hAnsi="Garamond" w:cstheme="minorHAnsi"/>
                <w:b/>
                <w:sz w:val="22"/>
                <w:szCs w:val="22"/>
              </w:rPr>
              <w:t>.</w:t>
            </w:r>
            <w:r w:rsidRPr="00A5626D">
              <w:rPr>
                <w:rFonts w:ascii="Garamond" w:hAnsi="Garamond" w:cstheme="minorHAnsi"/>
                <w:b/>
                <w:sz w:val="22"/>
                <w:szCs w:val="22"/>
              </w:rPr>
              <w:tab/>
              <w:t>ПРЕДМЕТ РЕГЛАМЕНТА</w:t>
            </w:r>
          </w:p>
          <w:p w14:paraId="63A96D8C" w14:textId="77777777" w:rsidR="00295C6D" w:rsidRPr="00A5626D" w:rsidRDefault="00295C6D" w:rsidP="00647FA0">
            <w:pPr>
              <w:tabs>
                <w:tab w:val="left" w:pos="453"/>
                <w:tab w:val="left" w:pos="1134"/>
                <w:tab w:val="left" w:pos="1200"/>
                <w:tab w:val="left" w:pos="7938"/>
              </w:tabs>
              <w:spacing w:before="120" w:after="120" w:line="22" w:lineRule="atLeast"/>
              <w:ind w:firstLine="600"/>
              <w:jc w:val="both"/>
              <w:rPr>
                <w:rFonts w:ascii="Garamond" w:hAnsi="Garamond" w:cstheme="minorHAnsi"/>
                <w:sz w:val="22"/>
                <w:szCs w:val="22"/>
              </w:rPr>
            </w:pPr>
            <w:r w:rsidRPr="00A5626D">
              <w:rPr>
                <w:rFonts w:ascii="Garamond" w:hAnsi="Garamond" w:cstheme="minorHAnsi"/>
                <w:sz w:val="22"/>
                <w:szCs w:val="22"/>
              </w:rPr>
              <w:t>Настоящий Регламент определяет:</w:t>
            </w:r>
          </w:p>
          <w:p w14:paraId="75DC7ABC" w14:textId="77777777" w:rsidR="00295C6D" w:rsidRPr="00A5626D" w:rsidRDefault="00295C6D" w:rsidP="00647FA0">
            <w:pPr>
              <w:tabs>
                <w:tab w:val="left" w:pos="453"/>
                <w:tab w:val="left" w:pos="1134"/>
                <w:tab w:val="left" w:pos="1200"/>
                <w:tab w:val="left" w:pos="7938"/>
              </w:tabs>
              <w:spacing w:before="120" w:after="120" w:line="22" w:lineRule="atLeast"/>
              <w:ind w:firstLine="600"/>
              <w:jc w:val="both"/>
              <w:rPr>
                <w:rFonts w:ascii="Garamond" w:hAnsi="Garamond" w:cstheme="minorHAnsi"/>
                <w:sz w:val="22"/>
                <w:szCs w:val="22"/>
              </w:rPr>
            </w:pPr>
            <w:r w:rsidRPr="00A5626D">
              <w:rPr>
                <w:rFonts w:ascii="Garamond" w:hAnsi="Garamond" w:cstheme="minorHAnsi"/>
                <w:sz w:val="22"/>
                <w:szCs w:val="22"/>
              </w:rPr>
              <w:t>•</w:t>
            </w:r>
            <w:r w:rsidRPr="00A5626D">
              <w:rPr>
                <w:rFonts w:ascii="Garamond" w:hAnsi="Garamond" w:cstheme="minorHAnsi"/>
                <w:sz w:val="22"/>
                <w:szCs w:val="22"/>
              </w:rPr>
              <w:tab/>
              <w:t xml:space="preserve">порядок взаимодействия субъектов оптового рынка в сфере коммерческого учета на ОРЭМ, в том числе </w:t>
            </w:r>
            <w:r w:rsidRPr="00A5626D">
              <w:rPr>
                <w:rFonts w:ascii="Garamond" w:hAnsi="Garamond" w:cstheme="minorHAnsi"/>
                <w:sz w:val="22"/>
                <w:szCs w:val="22"/>
                <w:highlight w:val="yellow"/>
              </w:rPr>
              <w:t xml:space="preserve">при формировании отчетных </w:t>
            </w:r>
            <w:r w:rsidRPr="00A5626D">
              <w:rPr>
                <w:rFonts w:ascii="Garamond" w:hAnsi="Garamond" w:cstheme="minorHAnsi"/>
                <w:sz w:val="22"/>
                <w:szCs w:val="22"/>
                <w:highlight w:val="yellow"/>
              </w:rPr>
              <w:lastRenderedPageBreak/>
              <w:t>данных коммерческого учета, используемых для расчета объема оказанных услуг по управлению изменением режима потребления электроэнергии</w:t>
            </w:r>
            <w:r w:rsidRPr="00A5626D">
              <w:rPr>
                <w:rFonts w:ascii="Garamond" w:hAnsi="Garamond" w:cstheme="minorHAnsi"/>
                <w:sz w:val="22"/>
                <w:szCs w:val="22"/>
              </w:rPr>
              <w:t>;</w:t>
            </w:r>
          </w:p>
          <w:p w14:paraId="265D6733" w14:textId="77777777" w:rsidR="00295C6D" w:rsidRPr="00A5626D" w:rsidRDefault="00295C6D" w:rsidP="00647FA0">
            <w:pPr>
              <w:tabs>
                <w:tab w:val="left" w:pos="453"/>
                <w:tab w:val="left" w:pos="1134"/>
                <w:tab w:val="left" w:pos="1200"/>
                <w:tab w:val="left" w:pos="7938"/>
              </w:tabs>
              <w:spacing w:before="120" w:after="120" w:line="22" w:lineRule="atLeast"/>
              <w:ind w:firstLine="600"/>
              <w:jc w:val="both"/>
              <w:rPr>
                <w:rFonts w:ascii="Garamond" w:hAnsi="Garamond" w:cstheme="minorHAnsi"/>
                <w:sz w:val="22"/>
                <w:szCs w:val="22"/>
              </w:rPr>
            </w:pPr>
            <w:r w:rsidRPr="00A5626D">
              <w:rPr>
                <w:rFonts w:ascii="Garamond" w:hAnsi="Garamond" w:cstheme="minorHAnsi"/>
                <w:sz w:val="22"/>
                <w:szCs w:val="22"/>
              </w:rPr>
              <w:t>•</w:t>
            </w:r>
            <w:r w:rsidRPr="00A5626D">
              <w:rPr>
                <w:rFonts w:ascii="Garamond" w:hAnsi="Garamond" w:cstheme="minorHAnsi"/>
                <w:sz w:val="22"/>
                <w:szCs w:val="22"/>
              </w:rPr>
              <w:tab/>
              <w:t xml:space="preserve">порядок формирования, согласования, направления </w:t>
            </w:r>
            <w:r w:rsidRPr="00A5626D">
              <w:rPr>
                <w:rFonts w:ascii="Garamond" w:hAnsi="Garamond" w:cstheme="minorHAnsi"/>
                <w:sz w:val="22"/>
                <w:szCs w:val="22"/>
                <w:highlight w:val="yellow"/>
              </w:rPr>
              <w:t>отчетных</w:t>
            </w:r>
            <w:r w:rsidRPr="00A5626D">
              <w:rPr>
                <w:rFonts w:ascii="Garamond" w:hAnsi="Garamond" w:cstheme="minorHAnsi"/>
                <w:sz w:val="22"/>
                <w:szCs w:val="22"/>
              </w:rPr>
              <w:t xml:space="preserve"> данных коммерческого учета участниками оптового рынка</w:t>
            </w:r>
            <w:r w:rsidRPr="00A5626D">
              <w:rPr>
                <w:rFonts w:ascii="Garamond" w:hAnsi="Garamond" w:cstheme="minorHAnsi"/>
                <w:sz w:val="22"/>
                <w:szCs w:val="22"/>
                <w:highlight w:val="yellow"/>
              </w:rPr>
              <w:t>,</w:t>
            </w:r>
            <w:r w:rsidRPr="00A5626D">
              <w:rPr>
                <w:rFonts w:ascii="Garamond" w:hAnsi="Garamond" w:cstheme="minorHAnsi"/>
                <w:sz w:val="22"/>
                <w:szCs w:val="22"/>
              </w:rPr>
              <w:t xml:space="preserve"> ФСК </w:t>
            </w:r>
            <w:r w:rsidRPr="00A5626D">
              <w:rPr>
                <w:rFonts w:ascii="Garamond" w:hAnsi="Garamond" w:cstheme="minorHAnsi"/>
                <w:sz w:val="22"/>
                <w:szCs w:val="22"/>
                <w:highlight w:val="yellow"/>
              </w:rPr>
              <w:t>и агрегаторами</w:t>
            </w:r>
            <w:r w:rsidRPr="00A5626D">
              <w:rPr>
                <w:rFonts w:ascii="Garamond" w:hAnsi="Garamond" w:cstheme="minorHAnsi"/>
                <w:sz w:val="22"/>
                <w:szCs w:val="22"/>
              </w:rPr>
              <w:t>;</w:t>
            </w:r>
          </w:p>
          <w:p w14:paraId="684CCE64" w14:textId="77777777" w:rsidR="00295C6D" w:rsidRPr="00A5626D" w:rsidRDefault="00295C6D" w:rsidP="00647FA0">
            <w:pPr>
              <w:tabs>
                <w:tab w:val="left" w:pos="453"/>
                <w:tab w:val="left" w:pos="1134"/>
                <w:tab w:val="left" w:pos="1200"/>
                <w:tab w:val="left" w:pos="7938"/>
              </w:tabs>
              <w:spacing w:before="120" w:after="120" w:line="22" w:lineRule="atLeast"/>
              <w:ind w:firstLine="600"/>
              <w:jc w:val="both"/>
              <w:rPr>
                <w:rFonts w:ascii="Garamond" w:hAnsi="Garamond" w:cstheme="minorHAnsi"/>
                <w:sz w:val="22"/>
                <w:szCs w:val="22"/>
              </w:rPr>
            </w:pPr>
            <w:r w:rsidRPr="00A5626D">
              <w:rPr>
                <w:rFonts w:ascii="Garamond" w:hAnsi="Garamond" w:cstheme="minorHAnsi"/>
                <w:sz w:val="22"/>
                <w:szCs w:val="22"/>
              </w:rPr>
              <w:t>•</w:t>
            </w:r>
            <w:r w:rsidRPr="00A5626D">
              <w:rPr>
                <w:rFonts w:ascii="Garamond" w:hAnsi="Garamond" w:cstheme="minorHAnsi"/>
                <w:sz w:val="22"/>
                <w:szCs w:val="22"/>
              </w:rPr>
              <w:tab/>
              <w:t xml:space="preserve">условия и порядок применения замещающих методов расчета при определении объемов произведенной </w:t>
            </w:r>
            <w:r w:rsidR="006A569E" w:rsidRPr="00A5626D">
              <w:rPr>
                <w:rFonts w:ascii="Garamond" w:hAnsi="Garamond" w:cstheme="minorHAnsi"/>
                <w:sz w:val="22"/>
                <w:szCs w:val="22"/>
                <w:highlight w:val="yellow"/>
              </w:rPr>
              <w:t>электроэнергии в ГТП генерации</w:t>
            </w:r>
            <w:r w:rsidR="006A569E" w:rsidRPr="00A5626D">
              <w:rPr>
                <w:rFonts w:ascii="Garamond" w:hAnsi="Garamond" w:cstheme="minorHAnsi"/>
                <w:sz w:val="22"/>
                <w:szCs w:val="22"/>
              </w:rPr>
              <w:t xml:space="preserve"> </w:t>
            </w:r>
            <w:r w:rsidRPr="00A5626D">
              <w:rPr>
                <w:rFonts w:ascii="Garamond" w:hAnsi="Garamond" w:cstheme="minorHAnsi"/>
                <w:sz w:val="22"/>
                <w:szCs w:val="22"/>
              </w:rPr>
              <w:t xml:space="preserve">или потребленной (переданной) электроэнергии </w:t>
            </w:r>
            <w:r w:rsidRPr="00A5626D">
              <w:rPr>
                <w:rFonts w:ascii="Garamond" w:hAnsi="Garamond" w:cstheme="minorHAnsi"/>
                <w:sz w:val="22"/>
                <w:szCs w:val="22"/>
                <w:highlight w:val="yellow"/>
              </w:rPr>
              <w:t>в ГТП потребления участников оптового рынка и сечениях коммерческого учета ФСК</w:t>
            </w:r>
            <w:r w:rsidRPr="00A5626D">
              <w:rPr>
                <w:rFonts w:ascii="Garamond" w:hAnsi="Garamond" w:cstheme="minorHAnsi"/>
                <w:sz w:val="22"/>
                <w:szCs w:val="22"/>
              </w:rPr>
              <w:t>;</w:t>
            </w:r>
          </w:p>
          <w:p w14:paraId="6596BB60" w14:textId="77777777" w:rsidR="00295C6D" w:rsidRPr="00A5626D" w:rsidRDefault="00295C6D" w:rsidP="00647FA0">
            <w:pPr>
              <w:tabs>
                <w:tab w:val="left" w:pos="453"/>
                <w:tab w:val="left" w:pos="1134"/>
                <w:tab w:val="left" w:pos="1200"/>
                <w:tab w:val="left" w:pos="7938"/>
              </w:tabs>
              <w:spacing w:before="120" w:after="120" w:line="22" w:lineRule="atLeast"/>
              <w:ind w:firstLine="600"/>
              <w:jc w:val="both"/>
              <w:rPr>
                <w:rFonts w:ascii="Garamond" w:hAnsi="Garamond" w:cstheme="minorHAnsi"/>
                <w:sz w:val="22"/>
                <w:szCs w:val="22"/>
              </w:rPr>
            </w:pPr>
            <w:r w:rsidRPr="00A5626D">
              <w:rPr>
                <w:rFonts w:ascii="Garamond" w:hAnsi="Garamond" w:cstheme="minorHAnsi"/>
                <w:sz w:val="22"/>
                <w:szCs w:val="22"/>
              </w:rPr>
              <w:t>•</w:t>
            </w:r>
            <w:r w:rsidRPr="00A5626D">
              <w:rPr>
                <w:rFonts w:ascii="Garamond" w:hAnsi="Garamond" w:cstheme="minorHAnsi"/>
                <w:sz w:val="22"/>
                <w:szCs w:val="22"/>
              </w:rPr>
              <w:tab/>
              <w:t xml:space="preserve">порядок формирования Перечня средств измерений для целей коммерческого учета </w:t>
            </w:r>
            <w:r w:rsidRPr="00A5626D">
              <w:rPr>
                <w:rFonts w:ascii="Garamond" w:hAnsi="Garamond" w:cstheme="minorHAnsi"/>
                <w:sz w:val="22"/>
                <w:szCs w:val="22"/>
                <w:highlight w:val="yellow"/>
              </w:rPr>
              <w:t>по ГТП генерации и сечениям коммерческого учета и Перечня точек измерений и точек присоединения для объектов регулирования</w:t>
            </w:r>
            <w:r w:rsidRPr="00A5626D">
              <w:rPr>
                <w:rFonts w:ascii="Garamond" w:hAnsi="Garamond" w:cstheme="minorHAnsi"/>
                <w:sz w:val="22"/>
                <w:szCs w:val="22"/>
              </w:rPr>
              <w:t xml:space="preserve"> (далее – ПСИ);</w:t>
            </w:r>
          </w:p>
          <w:p w14:paraId="629F450A" w14:textId="77777777" w:rsidR="00295C6D" w:rsidRPr="00A5626D" w:rsidRDefault="00295C6D" w:rsidP="00647FA0">
            <w:pPr>
              <w:tabs>
                <w:tab w:val="num" w:pos="0"/>
                <w:tab w:val="left" w:pos="1134"/>
                <w:tab w:val="left" w:pos="1200"/>
                <w:tab w:val="left" w:pos="7938"/>
              </w:tabs>
              <w:suppressAutoHyphens w:val="0"/>
              <w:spacing w:before="120" w:after="120" w:line="22" w:lineRule="atLeast"/>
              <w:ind w:firstLine="600"/>
              <w:jc w:val="both"/>
              <w:rPr>
                <w:rFonts w:ascii="Garamond" w:eastAsia="Times New Roman" w:hAnsi="Garamond" w:cs="Courier New"/>
                <w:sz w:val="22"/>
                <w:szCs w:val="22"/>
              </w:rPr>
            </w:pPr>
            <w:r w:rsidRPr="00A5626D">
              <w:rPr>
                <w:rFonts w:ascii="Garamond" w:hAnsi="Garamond" w:cstheme="minorHAnsi"/>
                <w:sz w:val="22"/>
                <w:szCs w:val="22"/>
              </w:rPr>
              <w:t>•</w:t>
            </w:r>
            <w:r w:rsidRPr="00A5626D">
              <w:rPr>
                <w:rFonts w:ascii="Garamond" w:hAnsi="Garamond" w:cstheme="minorHAnsi"/>
                <w:sz w:val="22"/>
                <w:szCs w:val="22"/>
              </w:rPr>
              <w:tab/>
              <w:t xml:space="preserve">описание формата электронных документов, используемых при формировании </w:t>
            </w:r>
            <w:r w:rsidRPr="00A5626D">
              <w:rPr>
                <w:rFonts w:ascii="Garamond" w:hAnsi="Garamond" w:cstheme="minorHAnsi"/>
                <w:sz w:val="22"/>
                <w:szCs w:val="22"/>
                <w:highlight w:val="yellow"/>
              </w:rPr>
              <w:t>отчетных</w:t>
            </w:r>
            <w:r w:rsidRPr="00A5626D">
              <w:rPr>
                <w:rFonts w:ascii="Garamond" w:hAnsi="Garamond" w:cstheme="minorHAnsi"/>
                <w:sz w:val="22"/>
                <w:szCs w:val="22"/>
              </w:rPr>
              <w:t xml:space="preserve"> данных коммерческого учета</w:t>
            </w:r>
            <w:r w:rsidRPr="00A5626D">
              <w:rPr>
                <w:rFonts w:ascii="Garamond" w:hAnsi="Garamond" w:cstheme="minorHAnsi"/>
                <w:sz w:val="22"/>
                <w:szCs w:val="22"/>
                <w:highlight w:val="yellow"/>
              </w:rPr>
              <w:t>, а также формата ПСИ</w:t>
            </w:r>
            <w:r w:rsidRPr="00A5626D">
              <w:rPr>
                <w:rFonts w:ascii="Garamond" w:hAnsi="Garamond" w:cstheme="minorHAnsi"/>
                <w:sz w:val="22"/>
                <w:szCs w:val="22"/>
              </w:rPr>
              <w:t>.</w:t>
            </w:r>
          </w:p>
        </w:tc>
      </w:tr>
      <w:tr w:rsidR="00295C6D" w:rsidRPr="00A5626D" w14:paraId="191C4DB9" w14:textId="77777777" w:rsidTr="00647FA0">
        <w:tc>
          <w:tcPr>
            <w:tcW w:w="1060" w:type="dxa"/>
            <w:vAlign w:val="center"/>
          </w:tcPr>
          <w:p w14:paraId="1194C99B" w14:textId="77777777" w:rsidR="00295C6D" w:rsidRPr="00A5626D" w:rsidRDefault="00295C6D" w:rsidP="00E31AE6">
            <w:pPr>
              <w:widowControl w:val="0"/>
              <w:tabs>
                <w:tab w:val="left" w:pos="1134"/>
                <w:tab w:val="left" w:pos="7938"/>
              </w:tabs>
              <w:spacing w:line="22" w:lineRule="atLeast"/>
              <w:jc w:val="both"/>
              <w:rPr>
                <w:rFonts w:ascii="Garamond" w:hAnsi="Garamond"/>
                <w:b/>
                <w:sz w:val="22"/>
                <w:szCs w:val="22"/>
                <w:lang w:eastAsia="en-US"/>
              </w:rPr>
            </w:pPr>
            <w:r w:rsidRPr="00A5626D">
              <w:rPr>
                <w:rFonts w:ascii="Garamond" w:hAnsi="Garamond"/>
                <w:b/>
                <w:sz w:val="22"/>
                <w:szCs w:val="22"/>
                <w:lang w:eastAsia="en-US"/>
              </w:rPr>
              <w:lastRenderedPageBreak/>
              <w:t>Раздел 2</w:t>
            </w:r>
          </w:p>
        </w:tc>
        <w:tc>
          <w:tcPr>
            <w:tcW w:w="6662" w:type="dxa"/>
          </w:tcPr>
          <w:p w14:paraId="1406F2B6" w14:textId="77777777" w:rsidR="00295C6D" w:rsidRPr="00A5626D" w:rsidRDefault="00295C6D" w:rsidP="00647FA0">
            <w:pPr>
              <w:pStyle w:val="2"/>
              <w:numPr>
                <w:ilvl w:val="0"/>
                <w:numId w:val="0"/>
              </w:numPr>
              <w:tabs>
                <w:tab w:val="left" w:pos="1134"/>
                <w:tab w:val="left" w:pos="7938"/>
              </w:tabs>
              <w:suppressAutoHyphens w:val="0"/>
              <w:spacing w:before="120" w:after="120" w:line="22" w:lineRule="atLeast"/>
              <w:ind w:left="629"/>
              <w:jc w:val="both"/>
              <w:rPr>
                <w:rFonts w:ascii="Garamond" w:hAnsi="Garamond" w:cstheme="minorHAnsi"/>
              </w:rPr>
            </w:pPr>
            <w:r w:rsidRPr="00A5626D">
              <w:rPr>
                <w:rFonts w:ascii="Garamond" w:hAnsi="Garamond" w:cstheme="minorHAnsi"/>
              </w:rPr>
              <w:t>2</w:t>
            </w:r>
            <w:r w:rsidRPr="00A5626D">
              <w:rPr>
                <w:rFonts w:ascii="Garamond" w:hAnsi="Garamond" w:cstheme="minorHAnsi"/>
              </w:rPr>
              <w:tab/>
              <w:t>СФЕРА ДЕЙСТВИЯ</w:t>
            </w:r>
          </w:p>
          <w:p w14:paraId="6999FAD2" w14:textId="77777777" w:rsidR="00295C6D" w:rsidRPr="00A5626D" w:rsidRDefault="00295C6D" w:rsidP="00647FA0">
            <w:pPr>
              <w:pStyle w:val="2"/>
              <w:widowControl/>
              <w:numPr>
                <w:ilvl w:val="0"/>
                <w:numId w:val="0"/>
              </w:numPr>
              <w:tabs>
                <w:tab w:val="left" w:pos="1134"/>
                <w:tab w:val="left" w:pos="7938"/>
              </w:tabs>
              <w:suppressAutoHyphens w:val="0"/>
              <w:autoSpaceDE/>
              <w:spacing w:before="120" w:after="120" w:line="22" w:lineRule="atLeast"/>
              <w:ind w:firstLine="629"/>
              <w:jc w:val="both"/>
              <w:rPr>
                <w:rFonts w:ascii="Garamond" w:hAnsi="Garamond" w:cstheme="minorHAnsi"/>
                <w:b w:val="0"/>
              </w:rPr>
            </w:pPr>
            <w:r w:rsidRPr="00A5626D">
              <w:rPr>
                <w:rFonts w:ascii="Garamond" w:hAnsi="Garamond" w:cstheme="minorHAnsi"/>
                <w:b w:val="0"/>
              </w:rPr>
              <w:t>Положения данного Регламента распространяются на всех участников оптового рынка, ФСК, СО, КО и СР.</w:t>
            </w:r>
          </w:p>
        </w:tc>
        <w:tc>
          <w:tcPr>
            <w:tcW w:w="7088" w:type="dxa"/>
          </w:tcPr>
          <w:p w14:paraId="533827CC" w14:textId="64CA1AD5" w:rsidR="00295C6D" w:rsidRPr="00A5626D" w:rsidRDefault="00295C6D" w:rsidP="00647FA0">
            <w:pPr>
              <w:pStyle w:val="2"/>
              <w:numPr>
                <w:ilvl w:val="0"/>
                <w:numId w:val="0"/>
              </w:numPr>
              <w:tabs>
                <w:tab w:val="left" w:pos="1134"/>
                <w:tab w:val="left" w:pos="7938"/>
              </w:tabs>
              <w:suppressAutoHyphens w:val="0"/>
              <w:spacing w:before="120" w:after="120" w:line="22" w:lineRule="atLeast"/>
              <w:ind w:left="629"/>
              <w:jc w:val="both"/>
              <w:rPr>
                <w:rFonts w:ascii="Garamond" w:hAnsi="Garamond" w:cstheme="minorHAnsi"/>
              </w:rPr>
            </w:pPr>
            <w:r w:rsidRPr="00A5626D">
              <w:rPr>
                <w:rFonts w:ascii="Garamond" w:hAnsi="Garamond" w:cstheme="minorHAnsi"/>
              </w:rPr>
              <w:t>2</w:t>
            </w:r>
            <w:r w:rsidR="002B237C" w:rsidRPr="00A5626D">
              <w:rPr>
                <w:rFonts w:ascii="Garamond" w:hAnsi="Garamond" w:cstheme="minorHAnsi"/>
              </w:rPr>
              <w:t>.</w:t>
            </w:r>
            <w:r w:rsidRPr="00A5626D">
              <w:rPr>
                <w:rFonts w:ascii="Garamond" w:hAnsi="Garamond" w:cstheme="minorHAnsi"/>
              </w:rPr>
              <w:tab/>
              <w:t>СФЕРА ДЕЙСТВИЯ</w:t>
            </w:r>
          </w:p>
          <w:p w14:paraId="2C5BB153" w14:textId="77777777" w:rsidR="00295C6D" w:rsidRPr="00A5626D" w:rsidRDefault="00295C6D" w:rsidP="00647FA0">
            <w:pPr>
              <w:tabs>
                <w:tab w:val="left" w:pos="1134"/>
                <w:tab w:val="left" w:pos="7938"/>
              </w:tabs>
              <w:spacing w:before="120" w:after="120" w:line="22" w:lineRule="atLeast"/>
              <w:ind w:firstLine="601"/>
              <w:jc w:val="both"/>
              <w:rPr>
                <w:rFonts w:ascii="Garamond" w:hAnsi="Garamond" w:cstheme="minorHAnsi"/>
                <w:sz w:val="22"/>
                <w:szCs w:val="22"/>
              </w:rPr>
            </w:pPr>
            <w:r w:rsidRPr="00A5626D">
              <w:rPr>
                <w:rFonts w:ascii="Garamond" w:hAnsi="Garamond" w:cstheme="minorHAnsi"/>
                <w:sz w:val="22"/>
                <w:szCs w:val="22"/>
              </w:rPr>
              <w:t>Положения данного Регламента распространяются на всех участников оптового рынка, ФСК, СО, КО</w:t>
            </w:r>
            <w:r w:rsidRPr="00A5626D">
              <w:rPr>
                <w:rFonts w:ascii="Garamond" w:hAnsi="Garamond" w:cstheme="minorHAnsi"/>
                <w:sz w:val="22"/>
                <w:szCs w:val="22"/>
                <w:highlight w:val="yellow"/>
              </w:rPr>
              <w:t>, агрегаторов</w:t>
            </w:r>
            <w:r w:rsidRPr="00A5626D">
              <w:rPr>
                <w:rFonts w:ascii="Garamond" w:hAnsi="Garamond" w:cstheme="minorHAnsi"/>
                <w:sz w:val="22"/>
                <w:szCs w:val="22"/>
              </w:rPr>
              <w:t xml:space="preserve"> и СР.</w:t>
            </w:r>
          </w:p>
          <w:p w14:paraId="54AE8C6D" w14:textId="3ABCF873" w:rsidR="00295C6D" w:rsidRPr="00A5626D" w:rsidRDefault="00295C6D" w:rsidP="00647FA0">
            <w:pPr>
              <w:tabs>
                <w:tab w:val="left" w:pos="1134"/>
                <w:tab w:val="left" w:pos="7938"/>
              </w:tabs>
              <w:spacing w:before="120" w:after="120" w:line="22" w:lineRule="atLeast"/>
              <w:ind w:firstLine="601"/>
              <w:jc w:val="both"/>
              <w:rPr>
                <w:rFonts w:ascii="Garamond" w:hAnsi="Garamond" w:cstheme="minorHAnsi"/>
                <w:sz w:val="22"/>
                <w:szCs w:val="22"/>
                <w:highlight w:val="yellow"/>
              </w:rPr>
            </w:pPr>
            <w:r w:rsidRPr="00A5626D">
              <w:rPr>
                <w:rFonts w:ascii="Garamond" w:hAnsi="Garamond" w:cstheme="minorHAnsi"/>
                <w:sz w:val="22"/>
                <w:szCs w:val="22"/>
                <w:highlight w:val="yellow"/>
              </w:rPr>
              <w:t xml:space="preserve">Для целей настоящего Регламента под </w:t>
            </w:r>
            <w:r w:rsidR="00157C57" w:rsidRPr="00A5626D">
              <w:rPr>
                <w:rFonts w:ascii="Garamond" w:hAnsi="Garamond" w:cstheme="minorHAnsi"/>
                <w:sz w:val="22"/>
                <w:szCs w:val="22"/>
                <w:highlight w:val="yellow"/>
              </w:rPr>
              <w:t>«</w:t>
            </w:r>
            <w:r w:rsidRPr="00A5626D">
              <w:rPr>
                <w:rFonts w:ascii="Garamond" w:hAnsi="Garamond" w:cstheme="minorHAnsi"/>
                <w:sz w:val="22"/>
                <w:szCs w:val="22"/>
                <w:highlight w:val="yellow"/>
              </w:rPr>
              <w:t>агрегатором</w:t>
            </w:r>
            <w:r w:rsidR="00157C57" w:rsidRPr="00A5626D">
              <w:rPr>
                <w:rFonts w:ascii="Garamond" w:hAnsi="Garamond" w:cstheme="minorHAnsi"/>
                <w:sz w:val="22"/>
                <w:szCs w:val="22"/>
                <w:highlight w:val="yellow"/>
              </w:rPr>
              <w:t>»</w:t>
            </w:r>
            <w:r w:rsidRPr="00A5626D">
              <w:rPr>
                <w:rFonts w:ascii="Garamond" w:hAnsi="Garamond" w:cstheme="minorHAnsi"/>
                <w:sz w:val="22"/>
                <w:szCs w:val="22"/>
                <w:highlight w:val="yellow"/>
              </w:rPr>
              <w:t xml:space="preserve"> понимается также участник оптового рынка</w:t>
            </w:r>
            <w:r w:rsidR="00D81DB8" w:rsidRPr="00A5626D">
              <w:rPr>
                <w:rFonts w:ascii="Garamond" w:hAnsi="Garamond" w:cstheme="minorHAnsi"/>
                <w:sz w:val="22"/>
                <w:szCs w:val="22"/>
                <w:highlight w:val="yellow"/>
              </w:rPr>
              <w:t xml:space="preserve"> – </w:t>
            </w:r>
            <w:r w:rsidRPr="00A5626D">
              <w:rPr>
                <w:rFonts w:ascii="Garamond" w:hAnsi="Garamond" w:cstheme="minorHAnsi"/>
                <w:sz w:val="22"/>
                <w:szCs w:val="22"/>
                <w:highlight w:val="yellow"/>
              </w:rPr>
              <w:t>крупный потребитель, участвующий в оказании услуг по управлению изменением режима потребления с использованием объекта регулирования потребления электрической энергии (далее – объект регулирования), точки присоединения которого совпадают с точками поставки в ГТП потребления указанного участника оптового рынка.</w:t>
            </w:r>
          </w:p>
          <w:p w14:paraId="474E122E" w14:textId="00646A5F" w:rsidR="00295C6D" w:rsidRPr="00A5626D" w:rsidRDefault="00295C6D" w:rsidP="00647FA0">
            <w:pPr>
              <w:tabs>
                <w:tab w:val="left" w:pos="1134"/>
                <w:tab w:val="left" w:pos="7938"/>
              </w:tabs>
              <w:spacing w:before="120" w:after="120" w:line="22" w:lineRule="atLeast"/>
              <w:ind w:firstLine="601"/>
              <w:jc w:val="both"/>
              <w:rPr>
                <w:rFonts w:ascii="Garamond" w:hAnsi="Garamond" w:cstheme="minorHAnsi"/>
                <w:sz w:val="22"/>
                <w:szCs w:val="22"/>
              </w:rPr>
            </w:pPr>
            <w:r w:rsidRPr="00A5626D">
              <w:rPr>
                <w:rFonts w:ascii="Garamond" w:hAnsi="Garamond" w:cstheme="minorHAnsi"/>
                <w:sz w:val="22"/>
                <w:szCs w:val="22"/>
                <w:highlight w:val="yellow"/>
              </w:rPr>
              <w:t xml:space="preserve">Для целей настоящего Регламента под </w:t>
            </w:r>
            <w:r w:rsidR="00157C57" w:rsidRPr="00A5626D">
              <w:rPr>
                <w:rFonts w:ascii="Garamond" w:hAnsi="Garamond" w:cstheme="minorHAnsi"/>
                <w:sz w:val="22"/>
                <w:szCs w:val="22"/>
                <w:highlight w:val="yellow"/>
              </w:rPr>
              <w:t>«</w:t>
            </w:r>
            <w:r w:rsidRPr="00A5626D">
              <w:rPr>
                <w:rFonts w:ascii="Garamond" w:hAnsi="Garamond" w:cstheme="minorHAnsi"/>
                <w:sz w:val="22"/>
                <w:szCs w:val="22"/>
                <w:highlight w:val="yellow"/>
              </w:rPr>
              <w:t>владельцем ГТП</w:t>
            </w:r>
            <w:r w:rsidR="00157C57" w:rsidRPr="00A5626D">
              <w:rPr>
                <w:rFonts w:ascii="Garamond" w:hAnsi="Garamond" w:cstheme="minorHAnsi"/>
                <w:sz w:val="22"/>
                <w:szCs w:val="22"/>
                <w:highlight w:val="yellow"/>
              </w:rPr>
              <w:t>»</w:t>
            </w:r>
            <w:r w:rsidRPr="00A5626D">
              <w:rPr>
                <w:rFonts w:ascii="Garamond" w:hAnsi="Garamond" w:cstheme="minorHAnsi"/>
                <w:sz w:val="22"/>
                <w:szCs w:val="22"/>
                <w:highlight w:val="yellow"/>
              </w:rPr>
              <w:t xml:space="preserve"> понимается субъект оптового рынка, в группе точек поставки которого закреплено на ОРЭМ входящее в состав объекта регулирования энергопринимающее оборудование и (при наличии) связанные с ним объект (объекты) по производству электрической энергии и (или) система (системы) накопления электрической энергии.</w:t>
            </w:r>
          </w:p>
        </w:tc>
      </w:tr>
      <w:tr w:rsidR="00295C6D" w:rsidRPr="00A5626D" w14:paraId="74D05429" w14:textId="77777777" w:rsidTr="00647FA0">
        <w:tc>
          <w:tcPr>
            <w:tcW w:w="1060" w:type="dxa"/>
            <w:vAlign w:val="center"/>
          </w:tcPr>
          <w:p w14:paraId="6DDE71F8" w14:textId="77777777" w:rsidR="00295C6D" w:rsidRPr="00A5626D" w:rsidRDefault="00295C6D" w:rsidP="00E31AE6">
            <w:pPr>
              <w:widowControl w:val="0"/>
              <w:tabs>
                <w:tab w:val="left" w:pos="1134"/>
                <w:tab w:val="left" w:pos="7938"/>
              </w:tabs>
              <w:spacing w:line="22" w:lineRule="atLeast"/>
              <w:jc w:val="both"/>
              <w:rPr>
                <w:rFonts w:ascii="Garamond" w:hAnsi="Garamond"/>
                <w:b/>
                <w:sz w:val="22"/>
                <w:szCs w:val="22"/>
                <w:lang w:eastAsia="en-US"/>
              </w:rPr>
            </w:pPr>
            <w:r w:rsidRPr="00A5626D">
              <w:rPr>
                <w:rFonts w:ascii="Garamond" w:hAnsi="Garamond"/>
                <w:b/>
                <w:sz w:val="22"/>
                <w:szCs w:val="22"/>
                <w:lang w:eastAsia="en-US"/>
              </w:rPr>
              <w:lastRenderedPageBreak/>
              <w:t>Раздел 3</w:t>
            </w:r>
          </w:p>
        </w:tc>
        <w:tc>
          <w:tcPr>
            <w:tcW w:w="6662" w:type="dxa"/>
          </w:tcPr>
          <w:p w14:paraId="09C7270A" w14:textId="77777777" w:rsidR="00295C6D" w:rsidRPr="00A5626D" w:rsidRDefault="00295C6D" w:rsidP="00647FA0">
            <w:pPr>
              <w:pStyle w:val="10"/>
              <w:tabs>
                <w:tab w:val="left" w:pos="1134"/>
                <w:tab w:val="left" w:pos="7938"/>
              </w:tabs>
              <w:suppressAutoHyphens w:val="0"/>
              <w:spacing w:before="120" w:after="120" w:line="22" w:lineRule="atLeast"/>
              <w:ind w:firstLine="629"/>
              <w:jc w:val="both"/>
              <w:rPr>
                <w:rFonts w:ascii="Garamond" w:hAnsi="Garamond" w:cstheme="minorHAnsi"/>
                <w:caps/>
                <w:sz w:val="22"/>
                <w:szCs w:val="22"/>
                <w:lang w:eastAsia="en-US"/>
              </w:rPr>
            </w:pPr>
            <w:bookmarkStart w:id="105" w:name="_Toc139239902"/>
            <w:r w:rsidRPr="00A5626D">
              <w:rPr>
                <w:rFonts w:ascii="Garamond" w:hAnsi="Garamond" w:cstheme="minorHAnsi"/>
                <w:caps/>
                <w:sz w:val="22"/>
                <w:szCs w:val="22"/>
                <w:lang w:eastAsia="en-US"/>
              </w:rPr>
              <w:t>3 Общие принципы организации коммерческого учета на ОРЭМ</w:t>
            </w:r>
            <w:bookmarkEnd w:id="105"/>
          </w:p>
          <w:p w14:paraId="38316C7F" w14:textId="77777777" w:rsidR="00295C6D" w:rsidRPr="00A5626D" w:rsidRDefault="00295C6D" w:rsidP="00647FA0">
            <w:pPr>
              <w:pStyle w:val="2"/>
              <w:widowControl/>
              <w:numPr>
                <w:ilvl w:val="1"/>
                <w:numId w:val="256"/>
              </w:numPr>
              <w:tabs>
                <w:tab w:val="left" w:pos="1134"/>
                <w:tab w:val="left" w:pos="7938"/>
              </w:tabs>
              <w:suppressAutoHyphens w:val="0"/>
              <w:autoSpaceDE/>
              <w:spacing w:before="120" w:after="120" w:line="22" w:lineRule="atLeast"/>
              <w:ind w:left="0" w:firstLine="629"/>
              <w:jc w:val="both"/>
              <w:rPr>
                <w:rFonts w:ascii="Garamond" w:hAnsi="Garamond" w:cstheme="minorHAnsi"/>
                <w:b w:val="0"/>
              </w:rPr>
            </w:pPr>
            <w:r w:rsidRPr="00A5626D">
              <w:rPr>
                <w:rFonts w:ascii="Garamond" w:hAnsi="Garamond" w:cstheme="minorHAnsi"/>
                <w:b w:val="0"/>
              </w:rPr>
              <w:t xml:space="preserve">Участники оптового рынка между собой, </w:t>
            </w:r>
            <w:r w:rsidRPr="00A5626D">
              <w:rPr>
                <w:rFonts w:ascii="Garamond" w:hAnsi="Garamond" w:cstheme="minorHAnsi"/>
                <w:b w:val="0"/>
                <w:highlight w:val="yellow"/>
              </w:rPr>
              <w:t>а также</w:t>
            </w:r>
            <w:r w:rsidRPr="00A5626D">
              <w:rPr>
                <w:rFonts w:ascii="Garamond" w:hAnsi="Garamond" w:cstheme="minorHAnsi"/>
                <w:b w:val="0"/>
              </w:rPr>
              <w:t xml:space="preserve"> участники оптового рынка и ФСК по смежным сечениям </w:t>
            </w:r>
            <w:r w:rsidRPr="00A5626D">
              <w:rPr>
                <w:rFonts w:ascii="Garamond" w:hAnsi="Garamond" w:cstheme="minorHAnsi"/>
                <w:b w:val="0"/>
                <w:highlight w:val="yellow"/>
              </w:rPr>
              <w:t>для обеспечения функционирования системы коммерческого учета электроэнергии на ОРЭМ</w:t>
            </w:r>
            <w:r w:rsidRPr="00A5626D">
              <w:rPr>
                <w:rFonts w:ascii="Garamond" w:hAnsi="Garamond" w:cstheme="minorHAnsi"/>
                <w:b w:val="0"/>
              </w:rPr>
              <w:t xml:space="preserve"> регулируют порядок информационного обмена</w:t>
            </w:r>
            <w:r w:rsidRPr="00A5626D">
              <w:rPr>
                <w:rFonts w:ascii="Garamond" w:hAnsi="Garamond" w:cstheme="minorHAnsi"/>
                <w:b w:val="0"/>
                <w:highlight w:val="yellow"/>
              </w:rPr>
              <w:t>, процедуру учета,</w:t>
            </w:r>
            <w:r w:rsidRPr="00A5626D">
              <w:rPr>
                <w:rFonts w:ascii="Garamond" w:hAnsi="Garamond" w:cstheme="minorHAnsi"/>
                <w:b w:val="0"/>
              </w:rPr>
              <w:t xml:space="preserve"> поряд</w:t>
            </w:r>
            <w:r w:rsidRPr="00A5626D">
              <w:rPr>
                <w:rFonts w:ascii="Garamond" w:hAnsi="Garamond" w:cstheme="minorHAnsi"/>
                <w:b w:val="0"/>
                <w:highlight w:val="yellow"/>
              </w:rPr>
              <w:t>ка расчета и</w:t>
            </w:r>
            <w:r w:rsidRPr="00A5626D">
              <w:rPr>
                <w:rFonts w:ascii="Garamond" w:hAnsi="Garamond" w:cstheme="minorHAnsi"/>
                <w:b w:val="0"/>
              </w:rPr>
              <w:t xml:space="preserve"> согласования </w:t>
            </w:r>
            <w:r w:rsidRPr="00A5626D">
              <w:rPr>
                <w:rFonts w:ascii="Garamond" w:hAnsi="Garamond" w:cstheme="minorHAnsi"/>
                <w:b w:val="0"/>
                <w:highlight w:val="yellow"/>
              </w:rPr>
              <w:t>объемов электроэнергии в соответствии с настоящим Регламентом</w:t>
            </w:r>
            <w:r w:rsidRPr="00A5626D">
              <w:rPr>
                <w:rFonts w:ascii="Garamond" w:hAnsi="Garamond" w:cstheme="minorHAnsi"/>
                <w:b w:val="0"/>
              </w:rPr>
              <w:t>.</w:t>
            </w:r>
            <w:bookmarkStart w:id="106" w:name="_Toc139239904"/>
          </w:p>
          <w:p w14:paraId="5B1C1103" w14:textId="77777777" w:rsidR="00295C6D" w:rsidRPr="00A5626D" w:rsidRDefault="00295C6D" w:rsidP="00647FA0">
            <w:pPr>
              <w:pStyle w:val="2"/>
              <w:widowControl/>
              <w:numPr>
                <w:ilvl w:val="1"/>
                <w:numId w:val="256"/>
              </w:numPr>
              <w:tabs>
                <w:tab w:val="left" w:pos="1134"/>
                <w:tab w:val="left" w:pos="7938"/>
              </w:tabs>
              <w:suppressAutoHyphens w:val="0"/>
              <w:autoSpaceDE/>
              <w:spacing w:before="120" w:after="120" w:line="22" w:lineRule="atLeast"/>
              <w:ind w:left="0" w:firstLine="629"/>
              <w:jc w:val="both"/>
              <w:rPr>
                <w:rFonts w:ascii="Garamond" w:hAnsi="Garamond" w:cstheme="minorHAnsi"/>
                <w:b w:val="0"/>
                <w:highlight w:val="yellow"/>
              </w:rPr>
            </w:pPr>
            <w:r w:rsidRPr="00A5626D">
              <w:rPr>
                <w:rFonts w:ascii="Garamond" w:hAnsi="Garamond" w:cstheme="minorHAnsi"/>
                <w:b w:val="0"/>
                <w:highlight w:val="yellow"/>
              </w:rPr>
              <w:t>В случае наличия сечения коммерческого учета между двумя группами точек поставки потребления, зарегистрированными в отношении одного участника оптового рынка (далее – внутреннее сечение), необходимыми условиями формирования участником оптового рынка данных коммерческого учета в таком сечении является выполнение им требований раздела 5 и п. 7.4 настоящего Регламента.</w:t>
            </w:r>
            <w:bookmarkEnd w:id="106"/>
          </w:p>
          <w:p w14:paraId="5EC587DD" w14:textId="77777777" w:rsidR="00295C6D" w:rsidRPr="00A5626D" w:rsidRDefault="00295C6D" w:rsidP="00647FA0">
            <w:pPr>
              <w:tabs>
                <w:tab w:val="num" w:pos="0"/>
                <w:tab w:val="left" w:pos="1134"/>
                <w:tab w:val="left" w:pos="1200"/>
                <w:tab w:val="left" w:pos="7938"/>
              </w:tabs>
              <w:spacing w:before="120" w:after="120" w:line="22" w:lineRule="atLeast"/>
              <w:ind w:firstLine="629"/>
              <w:jc w:val="both"/>
              <w:rPr>
                <w:rFonts w:ascii="Garamond" w:hAnsi="Garamond" w:cstheme="minorHAnsi"/>
                <w:sz w:val="22"/>
                <w:szCs w:val="22"/>
                <w:highlight w:val="yellow"/>
              </w:rPr>
            </w:pPr>
            <w:r w:rsidRPr="00A5626D">
              <w:rPr>
                <w:rFonts w:ascii="Garamond" w:hAnsi="Garamond" w:cstheme="minorHAnsi"/>
                <w:sz w:val="22"/>
                <w:szCs w:val="22"/>
                <w:highlight w:val="yellow"/>
              </w:rPr>
              <w:t xml:space="preserve">В случае образования внутреннего сечения вследствие предоставления субъекту оптового рынка права участия в торговле на оптовом рынке в порядке, предусмотренном пп. 2, 5.1–5.4.1 приложения 2 к </w:t>
            </w:r>
            <w:r w:rsidRPr="00A5626D">
              <w:rPr>
                <w:rFonts w:ascii="Garamond" w:hAnsi="Garamond" w:cstheme="minorHAnsi"/>
                <w:bCs/>
                <w:i/>
                <w:sz w:val="22"/>
                <w:szCs w:val="22"/>
                <w:highlight w:val="yellow"/>
              </w:rPr>
              <w:t>Положению о порядке получения статуса</w:t>
            </w:r>
            <w:r w:rsidRPr="00A5626D">
              <w:rPr>
                <w:rFonts w:ascii="Garamond" w:hAnsi="Garamond" w:cstheme="minorHAnsi"/>
                <w:bCs/>
                <w:sz w:val="22"/>
                <w:szCs w:val="22"/>
                <w:highlight w:val="yellow"/>
              </w:rPr>
              <w:t xml:space="preserve"> </w:t>
            </w:r>
            <w:r w:rsidRPr="00A5626D">
              <w:rPr>
                <w:rFonts w:ascii="Garamond" w:hAnsi="Garamond" w:cstheme="minorHAnsi"/>
                <w:i/>
                <w:sz w:val="22"/>
                <w:szCs w:val="22"/>
                <w:highlight w:val="yellow"/>
              </w:rPr>
              <w:t xml:space="preserve">субъекта оптового рынка и ведения реестра субъектов оптового рынка </w:t>
            </w:r>
            <w:r w:rsidRPr="00A5626D">
              <w:rPr>
                <w:rFonts w:ascii="Garamond" w:eastAsia="Batang" w:hAnsi="Garamond" w:cstheme="minorHAnsi"/>
                <w:sz w:val="22"/>
                <w:szCs w:val="22"/>
                <w:highlight w:val="yellow"/>
                <w:lang w:eastAsia="ko-KR"/>
              </w:rPr>
              <w:t xml:space="preserve">(Приложение № 1.1 к </w:t>
            </w:r>
            <w:r w:rsidRPr="00A5626D">
              <w:rPr>
                <w:rFonts w:ascii="Garamond" w:eastAsia="Batang" w:hAnsi="Garamond" w:cstheme="minorHAnsi"/>
                <w:i/>
                <w:sz w:val="22"/>
                <w:szCs w:val="22"/>
                <w:highlight w:val="yellow"/>
                <w:lang w:eastAsia="ko-KR"/>
              </w:rPr>
              <w:t>Договору о присоединении к торговой системе оптового рынка</w:t>
            </w:r>
            <w:r w:rsidRPr="00A5626D">
              <w:rPr>
                <w:rFonts w:ascii="Garamond" w:eastAsia="Batang" w:hAnsi="Garamond" w:cstheme="minorHAnsi"/>
                <w:sz w:val="22"/>
                <w:szCs w:val="22"/>
                <w:highlight w:val="yellow"/>
                <w:lang w:eastAsia="ko-KR"/>
              </w:rPr>
              <w:t xml:space="preserve">), </w:t>
            </w:r>
            <w:r w:rsidRPr="00A5626D">
              <w:rPr>
                <w:rFonts w:ascii="Garamond" w:hAnsi="Garamond" w:cstheme="minorHAnsi"/>
                <w:sz w:val="22"/>
                <w:szCs w:val="22"/>
                <w:highlight w:val="yellow"/>
              </w:rPr>
              <w:t>указанному субъекту оптового рынка</w:t>
            </w:r>
            <w:r w:rsidRPr="00A5626D" w:rsidDel="00A464BA">
              <w:rPr>
                <w:rFonts w:ascii="Garamond" w:hAnsi="Garamond" w:cstheme="minorHAnsi"/>
                <w:sz w:val="22"/>
                <w:szCs w:val="22"/>
                <w:highlight w:val="yellow"/>
              </w:rPr>
              <w:t xml:space="preserve"> </w:t>
            </w:r>
            <w:r w:rsidRPr="00A5626D">
              <w:rPr>
                <w:rFonts w:ascii="Garamond" w:hAnsi="Garamond" w:cstheme="minorHAnsi"/>
                <w:sz w:val="22"/>
                <w:szCs w:val="22"/>
                <w:highlight w:val="yellow"/>
              </w:rPr>
              <w:t xml:space="preserve">для целей формирования данных коммерческого учета в порядке, предусмотренном п. 7.4 настоящего Регламента, необходимо выполнить требования раздела 5 настоящего Регламента до истечения 6 (шести) месяцев с даты предоставления ему права участия в торговле на оптовом рынке. </w:t>
            </w:r>
          </w:p>
          <w:p w14:paraId="5AFA1914" w14:textId="77777777" w:rsidR="00295C6D" w:rsidRPr="00A5626D" w:rsidRDefault="00295C6D" w:rsidP="00647FA0">
            <w:pPr>
              <w:tabs>
                <w:tab w:val="num" w:pos="0"/>
                <w:tab w:val="left" w:pos="1134"/>
                <w:tab w:val="left" w:pos="1200"/>
                <w:tab w:val="left" w:pos="7938"/>
              </w:tabs>
              <w:spacing w:before="120" w:after="120" w:line="22" w:lineRule="atLeast"/>
              <w:ind w:firstLine="629"/>
              <w:jc w:val="both"/>
              <w:rPr>
                <w:rFonts w:ascii="Garamond" w:hAnsi="Garamond" w:cstheme="minorHAnsi"/>
                <w:sz w:val="22"/>
                <w:szCs w:val="22"/>
                <w:highlight w:val="yellow"/>
              </w:rPr>
            </w:pPr>
            <w:r w:rsidRPr="00A5626D">
              <w:rPr>
                <w:rFonts w:ascii="Garamond" w:hAnsi="Garamond" w:cstheme="minorHAnsi"/>
                <w:sz w:val="22"/>
                <w:szCs w:val="22"/>
                <w:highlight w:val="yellow"/>
              </w:rPr>
              <w:t xml:space="preserve">В случае если предоставление (лишение) права участия в торговле на оптовом рынке по ГТП субъекта оптового рынка в соответствии с п. 3.5 </w:t>
            </w:r>
            <w:r w:rsidRPr="00A5626D">
              <w:rPr>
                <w:rFonts w:ascii="Garamond" w:hAnsi="Garamond" w:cstheme="minorHAnsi"/>
                <w:i/>
                <w:sz w:val="22"/>
                <w:szCs w:val="22"/>
                <w:highlight w:val="yellow"/>
              </w:rPr>
              <w:t>Регламента допуска к торговой системе оптового рынка</w:t>
            </w:r>
            <w:r w:rsidRPr="00A5626D">
              <w:rPr>
                <w:rFonts w:ascii="Garamond" w:hAnsi="Garamond" w:cstheme="minorHAnsi"/>
                <w:sz w:val="22"/>
                <w:szCs w:val="22"/>
                <w:highlight w:val="yellow"/>
              </w:rPr>
              <w:t xml:space="preserve"> (Приложение № 1 к</w:t>
            </w:r>
            <w:r w:rsidRPr="00A5626D">
              <w:rPr>
                <w:rFonts w:ascii="Garamond" w:hAnsi="Garamond" w:cstheme="minorHAnsi"/>
                <w:i/>
                <w:sz w:val="22"/>
                <w:szCs w:val="22"/>
                <w:highlight w:val="yellow"/>
              </w:rPr>
              <w:t xml:space="preserve"> Договору о присоединении к торговой системе оптового рынка</w:t>
            </w:r>
            <w:r w:rsidRPr="00A5626D">
              <w:rPr>
                <w:rFonts w:ascii="Garamond" w:hAnsi="Garamond" w:cstheme="minorHAnsi"/>
                <w:sz w:val="22"/>
                <w:szCs w:val="22"/>
                <w:highlight w:val="yellow"/>
              </w:rPr>
              <w:t xml:space="preserve">) или вступление в силу ПСИ по сечению коммерческого учета ФСК в соответствии с п. 2.2 приложения 2 к </w:t>
            </w:r>
            <w:r w:rsidRPr="00A5626D">
              <w:rPr>
                <w:rFonts w:ascii="Garamond" w:hAnsi="Garamond" w:cstheme="minorHAnsi"/>
                <w:i/>
                <w:sz w:val="22"/>
                <w:szCs w:val="22"/>
                <w:highlight w:val="yellow"/>
              </w:rPr>
              <w:t>Регламенту допуска к торговой системе оптового рынка</w:t>
            </w:r>
            <w:r w:rsidRPr="00A5626D">
              <w:rPr>
                <w:rFonts w:ascii="Garamond" w:hAnsi="Garamond" w:cstheme="minorHAnsi"/>
                <w:sz w:val="22"/>
                <w:szCs w:val="22"/>
                <w:highlight w:val="yellow"/>
              </w:rPr>
              <w:t xml:space="preserve"> (Приложение № 1 к</w:t>
            </w:r>
            <w:r w:rsidRPr="00A5626D">
              <w:rPr>
                <w:rFonts w:ascii="Garamond" w:hAnsi="Garamond" w:cstheme="minorHAnsi"/>
                <w:i/>
                <w:sz w:val="22"/>
                <w:szCs w:val="22"/>
                <w:highlight w:val="yellow"/>
              </w:rPr>
              <w:t xml:space="preserve"> Договору о присоединении к торговой системе оптового рынка</w:t>
            </w:r>
            <w:r w:rsidRPr="00A5626D">
              <w:rPr>
                <w:rFonts w:ascii="Garamond" w:hAnsi="Garamond" w:cstheme="minorHAnsi"/>
                <w:sz w:val="22"/>
                <w:szCs w:val="22"/>
                <w:highlight w:val="yellow"/>
              </w:rPr>
              <w:t xml:space="preserve">) вносит изменение в состав точек поставки внутреннего сечения либо влечет возникновение нового внутреннего сечения, субъекту оптового рынка, в состав ГТП потребления которого входит указанное внутреннее сечение, для целей </w:t>
            </w:r>
            <w:r w:rsidRPr="00A5626D">
              <w:rPr>
                <w:rFonts w:ascii="Garamond" w:hAnsi="Garamond" w:cstheme="minorHAnsi"/>
                <w:sz w:val="22"/>
                <w:szCs w:val="22"/>
                <w:highlight w:val="yellow"/>
              </w:rPr>
              <w:lastRenderedPageBreak/>
              <w:t>формирования данных коммерческого учета в порядке, предусмотренном п. 7.4 настоящего Регламента, необходимо выполнить требования раздела 5 настоящего Регламента в течение 6 (шести) расчетных периодов с даты вступления в действие вышеуказанных изменений.</w:t>
            </w:r>
          </w:p>
          <w:p w14:paraId="47A0EE67" w14:textId="77777777" w:rsidR="00295C6D" w:rsidRPr="00A5626D" w:rsidRDefault="00295C6D" w:rsidP="00647FA0">
            <w:pPr>
              <w:tabs>
                <w:tab w:val="num" w:pos="0"/>
                <w:tab w:val="left" w:pos="1134"/>
                <w:tab w:val="left" w:pos="1200"/>
                <w:tab w:val="left" w:pos="7938"/>
              </w:tabs>
              <w:spacing w:before="120" w:after="120" w:line="22" w:lineRule="atLeast"/>
              <w:ind w:firstLine="629"/>
              <w:jc w:val="both"/>
              <w:rPr>
                <w:rFonts w:ascii="Garamond" w:hAnsi="Garamond" w:cstheme="minorHAnsi"/>
                <w:sz w:val="22"/>
                <w:szCs w:val="22"/>
                <w:highlight w:val="yellow"/>
              </w:rPr>
            </w:pPr>
            <w:r w:rsidRPr="00A5626D">
              <w:rPr>
                <w:rFonts w:ascii="Garamond" w:hAnsi="Garamond" w:cstheme="minorHAnsi"/>
                <w:sz w:val="22"/>
                <w:szCs w:val="22"/>
                <w:highlight w:val="yellow"/>
              </w:rPr>
              <w:t xml:space="preserve">В случае получения уведомления, направленного КО в соответствии с п. 1 таблицы 3 приложения 2 к Приложению № 11.3 к </w:t>
            </w:r>
            <w:r w:rsidRPr="00A5626D">
              <w:rPr>
                <w:rFonts w:ascii="Garamond" w:hAnsi="Garamond" w:cstheme="minorHAnsi"/>
                <w:i/>
                <w:sz w:val="22"/>
                <w:szCs w:val="22"/>
                <w:highlight w:val="yellow"/>
              </w:rPr>
              <w:t>Положению о порядке получения статуса субъекта оптового рынка и ведения реестра субъектов оптового рынка</w:t>
            </w:r>
            <w:r w:rsidRPr="00A5626D">
              <w:rPr>
                <w:rFonts w:ascii="Garamond" w:hAnsi="Garamond" w:cstheme="minorHAnsi"/>
                <w:sz w:val="22"/>
                <w:szCs w:val="22"/>
                <w:highlight w:val="yellow"/>
              </w:rPr>
              <w:t xml:space="preserve"> (Приложение № 1.1 к </w:t>
            </w:r>
            <w:r w:rsidRPr="00A5626D">
              <w:rPr>
                <w:rFonts w:ascii="Garamond" w:hAnsi="Garamond" w:cstheme="minorHAnsi"/>
                <w:i/>
                <w:sz w:val="22"/>
                <w:szCs w:val="22"/>
                <w:highlight w:val="yellow"/>
              </w:rPr>
              <w:t>Договору о присоединении к торговой системе оптового рынка</w:t>
            </w:r>
            <w:r w:rsidRPr="00A5626D">
              <w:rPr>
                <w:rFonts w:ascii="Garamond" w:hAnsi="Garamond" w:cstheme="minorHAnsi"/>
                <w:sz w:val="22"/>
                <w:szCs w:val="22"/>
                <w:highlight w:val="yellow"/>
              </w:rPr>
              <w:t>) в отношении внутреннего сечения, участнику оптового рынка, в состав ГТП потребления которого входит указанное внутреннее сечение, для целей формирования данных коммерческого учета в порядке, предусмотренном п. 7.4 настоящего Регламента, необходимо выполнить требования раздела 5 настоящего Регламента в течение 2 (двух) расчетных периодов, следующих за месяцем, в котором получено вышеуказанное уведомление.</w:t>
            </w:r>
          </w:p>
          <w:p w14:paraId="03E6D2F8" w14:textId="77777777" w:rsidR="00295C6D" w:rsidRPr="00A5626D" w:rsidRDefault="00295C6D" w:rsidP="00647FA0">
            <w:pPr>
              <w:tabs>
                <w:tab w:val="num" w:pos="0"/>
                <w:tab w:val="left" w:pos="1134"/>
                <w:tab w:val="left" w:pos="1200"/>
                <w:tab w:val="left" w:pos="7938"/>
              </w:tabs>
              <w:spacing w:before="120" w:after="120" w:line="22" w:lineRule="atLeast"/>
              <w:ind w:firstLine="629"/>
              <w:jc w:val="both"/>
              <w:rPr>
                <w:rFonts w:ascii="Garamond" w:hAnsi="Garamond" w:cstheme="minorHAnsi"/>
                <w:sz w:val="22"/>
                <w:szCs w:val="22"/>
                <w:highlight w:val="yellow"/>
              </w:rPr>
            </w:pPr>
            <w:r w:rsidRPr="00A5626D">
              <w:rPr>
                <w:rFonts w:ascii="Garamond" w:hAnsi="Garamond" w:cstheme="minorHAnsi"/>
                <w:sz w:val="22"/>
                <w:szCs w:val="22"/>
                <w:highlight w:val="yellow"/>
              </w:rPr>
              <w:t xml:space="preserve">В случае наличия у участника оптового рынка Акта о соответствии АИИС КУЭ по изменяемому внутреннему сечению, при внесении изменений в регистрационную информацию по вышеуказанному внутреннему сечению в части состава точек поставки и (или) точек измерений в порядке, предусмотренном п. 4.1.1 или п. 4.3.2 </w:t>
            </w:r>
            <w:r w:rsidRPr="00A5626D">
              <w:rPr>
                <w:rFonts w:ascii="Garamond" w:hAnsi="Garamond" w:cstheme="minorHAnsi"/>
                <w:i/>
                <w:sz w:val="22"/>
                <w:szCs w:val="22"/>
                <w:highlight w:val="yellow"/>
              </w:rPr>
              <w:t>Положения о порядке получения статуса субъекта оптового рынка и ведения реестра субъектов оптового рынка</w:t>
            </w:r>
            <w:r w:rsidRPr="00A5626D">
              <w:rPr>
                <w:rFonts w:ascii="Garamond" w:hAnsi="Garamond" w:cstheme="minorHAnsi"/>
                <w:sz w:val="22"/>
                <w:szCs w:val="22"/>
                <w:highlight w:val="yellow"/>
              </w:rPr>
              <w:t xml:space="preserve"> (Приложение № 1.1 к </w:t>
            </w:r>
            <w:r w:rsidRPr="00A5626D">
              <w:rPr>
                <w:rFonts w:ascii="Garamond" w:hAnsi="Garamond" w:cstheme="minorHAnsi"/>
                <w:i/>
                <w:sz w:val="22"/>
                <w:szCs w:val="22"/>
                <w:highlight w:val="yellow"/>
              </w:rPr>
              <w:t>Договору о присоединении к торговой системе оптового рынка</w:t>
            </w:r>
            <w:r w:rsidRPr="00A5626D">
              <w:rPr>
                <w:rFonts w:ascii="Garamond" w:hAnsi="Garamond" w:cstheme="minorHAnsi"/>
                <w:sz w:val="22"/>
                <w:szCs w:val="22"/>
                <w:highlight w:val="yellow"/>
              </w:rPr>
              <w:t>), при условии, если КО не был оформлен Акт о соответствии АИИС КУЭ в порядке, предусмотренном п. 4.1.1.1 вышеуказанного Положения, участнику оптового рынка для целей формирования данных коммерческого учета в порядке, предусмотренном п. 7.4 настоящего Регламента, необходимо выполнить требования раздела 5 настоящего Регламента до истечения 3 (трех) расчетных периодов с даты вступления в действие вышеуказанных изменений.</w:t>
            </w:r>
          </w:p>
          <w:p w14:paraId="493816A3" w14:textId="77777777" w:rsidR="00295C6D" w:rsidRPr="00A5626D" w:rsidRDefault="00295C6D" w:rsidP="00647FA0">
            <w:pPr>
              <w:tabs>
                <w:tab w:val="num" w:pos="0"/>
                <w:tab w:val="left" w:pos="1134"/>
                <w:tab w:val="left" w:pos="1200"/>
                <w:tab w:val="left" w:pos="7938"/>
              </w:tabs>
              <w:spacing w:before="120" w:after="120" w:line="22" w:lineRule="atLeast"/>
              <w:ind w:firstLine="629"/>
              <w:jc w:val="both"/>
              <w:rPr>
                <w:rFonts w:ascii="Garamond" w:hAnsi="Garamond" w:cstheme="minorHAnsi"/>
                <w:sz w:val="22"/>
                <w:szCs w:val="22"/>
                <w:highlight w:val="yellow"/>
              </w:rPr>
            </w:pPr>
            <w:r w:rsidRPr="00A5626D">
              <w:rPr>
                <w:rFonts w:ascii="Garamond" w:hAnsi="Garamond" w:cstheme="minorHAnsi"/>
                <w:sz w:val="22"/>
                <w:szCs w:val="22"/>
                <w:highlight w:val="yellow"/>
              </w:rPr>
              <w:t xml:space="preserve">До выполнения указанных выше требований у субъекта оптового рынка отсутствует возможность формирования в разделе «Данные АИИС» акта учета перетоков (макет 51020) по внутреннему сечению в порядке, предусмотренном п. 7.4 настоящего Регламента, в отношении всего расчетного периода. В указанный период расчет </w:t>
            </w:r>
            <w:r w:rsidRPr="00A5626D">
              <w:rPr>
                <w:rFonts w:ascii="Garamond" w:hAnsi="Garamond" w:cstheme="minorHAnsi"/>
                <w:sz w:val="22"/>
                <w:szCs w:val="22"/>
                <w:highlight w:val="yellow"/>
              </w:rPr>
              <w:lastRenderedPageBreak/>
              <w:t>значений учетного показателя по внутреннему сечению осуществляется на основе замещающих методов расчета, указанных в п. 8.1 настоящего Регламента, с использованием принятого КО к расчетам корректирующего акта учета перетоков по внутреннему сечению (макет 51075), а в случае отсутствия принятого к расчетам корректирующего акта учета перетоков по внутреннему сечению (макет 51075) объем потребления электроэнергии по ГТП потребления, в состав которых входит указанное внутреннее сечение, определяется на основании замещающих методов расчета, предусмотренных п. 8.2 настоящего Регламента. Для целей формирования корректирующего акта учета перетоков по внутреннему сечению (макет 51075) в случае образования внутреннего сечения вследствие предоставления субъекту оптового рынка права участия в торговле на оптовом рынке указанным субъектом оптового рынка может использоваться ПСИ, действовавший в соответствующем сечении коммерческого учета смежных субъектов оптового рынка на момент образования внутреннего сечения.</w:t>
            </w:r>
          </w:p>
          <w:p w14:paraId="07C93AF1" w14:textId="77777777" w:rsidR="00295C6D" w:rsidRPr="00A5626D" w:rsidRDefault="00295C6D" w:rsidP="00647FA0">
            <w:pPr>
              <w:tabs>
                <w:tab w:val="left" w:pos="1134"/>
                <w:tab w:val="left" w:pos="7938"/>
              </w:tabs>
              <w:autoSpaceDE w:val="0"/>
              <w:autoSpaceDN w:val="0"/>
              <w:adjustRightInd w:val="0"/>
              <w:spacing w:before="120" w:after="120" w:line="22" w:lineRule="atLeast"/>
              <w:ind w:firstLine="629"/>
              <w:jc w:val="both"/>
              <w:rPr>
                <w:rFonts w:ascii="Garamond" w:hAnsi="Garamond" w:cstheme="minorHAnsi"/>
                <w:sz w:val="22"/>
                <w:szCs w:val="22"/>
                <w:highlight w:val="yellow"/>
              </w:rPr>
            </w:pPr>
            <w:r w:rsidRPr="00A5626D">
              <w:rPr>
                <w:rFonts w:ascii="Garamond" w:hAnsi="Garamond" w:cstheme="minorHAnsi"/>
                <w:sz w:val="22"/>
                <w:szCs w:val="22"/>
                <w:highlight w:val="yellow"/>
              </w:rPr>
              <w:t>Невыполнение вышеуказанным субъектом оптового рынка требований раздела 5 настоящего Регламента в отношении внутреннего сечения по истечении сроков, установленных настоящим пунктом, влечет применение замещающих методов расчета, предусмотренных п. 8.2 настоящего Регламента, для определения фактических объемов потребленной электроэнергии в ГТП, в состав которых входит указанное внутреннее сечение.</w:t>
            </w:r>
          </w:p>
          <w:p w14:paraId="4DE6ED37" w14:textId="77777777" w:rsidR="00295C6D" w:rsidRPr="00A5626D" w:rsidRDefault="00295C6D" w:rsidP="00647FA0">
            <w:pPr>
              <w:tabs>
                <w:tab w:val="left" w:pos="720"/>
                <w:tab w:val="left" w:pos="1134"/>
                <w:tab w:val="left" w:pos="7938"/>
              </w:tabs>
              <w:spacing w:before="120" w:after="120" w:line="22" w:lineRule="atLeast"/>
              <w:ind w:firstLine="629"/>
              <w:jc w:val="both"/>
              <w:rPr>
                <w:rFonts w:ascii="Garamond" w:hAnsi="Garamond" w:cstheme="minorHAnsi"/>
                <w:sz w:val="22"/>
                <w:szCs w:val="22"/>
              </w:rPr>
            </w:pPr>
            <w:r w:rsidRPr="00A5626D">
              <w:rPr>
                <w:rFonts w:ascii="Garamond" w:hAnsi="Garamond" w:cstheme="minorHAnsi"/>
                <w:sz w:val="22"/>
                <w:szCs w:val="22"/>
                <w:highlight w:val="yellow"/>
              </w:rPr>
              <w:t>Допускается для целей определения величины потребления электрической энергии и мощности на собственные и хозяйственные нужды электрической станции формирование внутреннего сечения между двумя группами точек поставки потребления поставщика электроэнергии и мощности, сформированными в отношении отдельных электрических станций, в случае, если объекты электросетевого хозяйства электрической станции в силу технологических особенностей процесса выработки электроэнергии и мощности непосредственно присоединены к электрическим сетям другой электрической станции поставщика электроэнергии и мощности.</w:t>
            </w:r>
          </w:p>
          <w:p w14:paraId="2F2743A1" w14:textId="77777777" w:rsidR="00295C6D" w:rsidRPr="00A5626D" w:rsidRDefault="00295C6D" w:rsidP="00647FA0">
            <w:pPr>
              <w:pStyle w:val="2"/>
              <w:widowControl/>
              <w:numPr>
                <w:ilvl w:val="1"/>
                <w:numId w:val="256"/>
              </w:numPr>
              <w:tabs>
                <w:tab w:val="left" w:pos="1134"/>
                <w:tab w:val="left" w:pos="7938"/>
              </w:tabs>
              <w:suppressAutoHyphens w:val="0"/>
              <w:autoSpaceDE/>
              <w:spacing w:before="120" w:after="120" w:line="22" w:lineRule="atLeast"/>
              <w:ind w:left="0" w:firstLine="629"/>
              <w:jc w:val="both"/>
              <w:rPr>
                <w:rFonts w:ascii="Garamond" w:hAnsi="Garamond" w:cstheme="minorHAnsi"/>
                <w:b w:val="0"/>
              </w:rPr>
            </w:pPr>
            <w:bookmarkStart w:id="107" w:name="_Toc139239905"/>
            <w:r w:rsidRPr="00A5626D">
              <w:rPr>
                <w:rFonts w:ascii="Garamond" w:hAnsi="Garamond" w:cstheme="minorHAnsi"/>
                <w:b w:val="0"/>
              </w:rPr>
              <w:t xml:space="preserve">Данные о величине сальдо перетоков электроэнергии (значение учетного показателя) по сечениям коммерческого учета, в </w:t>
            </w:r>
            <w:r w:rsidRPr="00A5626D">
              <w:rPr>
                <w:rFonts w:ascii="Garamond" w:hAnsi="Garamond" w:cstheme="minorHAnsi"/>
                <w:b w:val="0"/>
              </w:rPr>
              <w:lastRenderedPageBreak/>
              <w:t xml:space="preserve">том числе по сечениям коммерческого учета между ценовыми зонами, а также между ценовыми и неценовыми зонами, рассчитываются на основании результатов измерений, полученных от </w:t>
            </w:r>
            <w:r w:rsidRPr="00A5626D">
              <w:rPr>
                <w:rFonts w:ascii="Garamond" w:hAnsi="Garamond" w:cstheme="minorHAnsi"/>
                <w:b w:val="0"/>
                <w:highlight w:val="yellow"/>
              </w:rPr>
              <w:t>средств измерений</w:t>
            </w:r>
            <w:r w:rsidRPr="00A5626D">
              <w:rPr>
                <w:rFonts w:ascii="Garamond" w:hAnsi="Garamond" w:cstheme="minorHAnsi"/>
                <w:b w:val="0"/>
              </w:rPr>
              <w:t>, и алгоритмов приведения результатов измерений от точек измерений к значению величины электроэнергии в точках поставки, указанных в действующих ПСИ, сформированных участниками оптового рынка (ФСК) по сечениям коммерческого учета в макетах 60000 или 60090. Требования к оформлению и предоставлению ПСИ приведены в приложении 5 к настоящему Регламенту</w:t>
            </w:r>
            <w:r w:rsidRPr="00A5626D">
              <w:rPr>
                <w:rFonts w:ascii="Garamond" w:hAnsi="Garamond" w:cstheme="minorHAnsi"/>
                <w:b w:val="0"/>
                <w:i/>
              </w:rPr>
              <w:t>.</w:t>
            </w:r>
            <w:bookmarkEnd w:id="107"/>
          </w:p>
          <w:p w14:paraId="105A3981" w14:textId="77777777" w:rsidR="00295C6D" w:rsidRPr="00A5626D" w:rsidRDefault="00295C6D" w:rsidP="00647FA0">
            <w:pPr>
              <w:pStyle w:val="2"/>
              <w:widowControl/>
              <w:numPr>
                <w:ilvl w:val="1"/>
                <w:numId w:val="256"/>
              </w:numPr>
              <w:tabs>
                <w:tab w:val="left" w:pos="1134"/>
                <w:tab w:val="left" w:pos="7938"/>
              </w:tabs>
              <w:suppressAutoHyphens w:val="0"/>
              <w:autoSpaceDE/>
              <w:spacing w:before="120" w:after="120" w:line="22" w:lineRule="atLeast"/>
              <w:ind w:left="0" w:firstLine="629"/>
              <w:jc w:val="both"/>
              <w:rPr>
                <w:rFonts w:ascii="Garamond" w:hAnsi="Garamond" w:cstheme="minorHAnsi"/>
                <w:b w:val="0"/>
              </w:rPr>
            </w:pPr>
            <w:bookmarkStart w:id="108" w:name="_Toc139239906"/>
            <w:r w:rsidRPr="00A5626D">
              <w:rPr>
                <w:rFonts w:ascii="Garamond" w:hAnsi="Garamond" w:cstheme="minorHAnsi"/>
                <w:b w:val="0"/>
              </w:rPr>
              <w:t xml:space="preserve">В случае если организация получила право участия в торговле электрической энергией (мощностью) на оптовом рынке с использованием соответствующей ГТП в порядке, предусмотренном пп. 2, 5.1–5.4.1 приложения 2 к </w:t>
            </w:r>
            <w:r w:rsidRPr="00A5626D">
              <w:rPr>
                <w:rFonts w:ascii="Garamond" w:hAnsi="Garamond" w:cstheme="minorHAnsi"/>
                <w:b w:val="0"/>
                <w:i/>
              </w:rPr>
              <w:t>Положению о порядке получения статуса</w:t>
            </w:r>
            <w:r w:rsidRPr="00A5626D">
              <w:rPr>
                <w:rFonts w:ascii="Garamond" w:hAnsi="Garamond" w:cstheme="minorHAnsi"/>
                <w:b w:val="0"/>
              </w:rPr>
              <w:t xml:space="preserve"> </w:t>
            </w:r>
            <w:r w:rsidRPr="00A5626D">
              <w:rPr>
                <w:rFonts w:ascii="Garamond" w:hAnsi="Garamond" w:cstheme="minorHAnsi"/>
                <w:b w:val="0"/>
                <w:i/>
              </w:rPr>
              <w:t xml:space="preserve">субъекта оптового рынка и ведения реестра субъектов оптового рынка </w:t>
            </w:r>
            <w:r w:rsidRPr="00A5626D">
              <w:rPr>
                <w:rFonts w:ascii="Garamond" w:eastAsia="Batang" w:hAnsi="Garamond" w:cstheme="minorHAnsi"/>
                <w:b w:val="0"/>
                <w:lang w:eastAsia="ko-KR"/>
              </w:rPr>
              <w:t xml:space="preserve">(Приложение № 1.1 к </w:t>
            </w:r>
            <w:r w:rsidRPr="00A5626D">
              <w:rPr>
                <w:rFonts w:ascii="Garamond" w:eastAsia="Batang" w:hAnsi="Garamond" w:cstheme="minorHAnsi"/>
                <w:b w:val="0"/>
                <w:i/>
                <w:lang w:eastAsia="ko-KR"/>
              </w:rPr>
              <w:t>Договору о присоединении к торговой системе оптового рынка</w:t>
            </w:r>
            <w:r w:rsidRPr="00A5626D">
              <w:rPr>
                <w:rFonts w:ascii="Garamond" w:eastAsia="Batang" w:hAnsi="Garamond" w:cstheme="minorHAnsi"/>
                <w:b w:val="0"/>
                <w:lang w:eastAsia="ko-KR"/>
              </w:rPr>
              <w:t>)</w:t>
            </w:r>
            <w:r w:rsidRPr="00A5626D">
              <w:rPr>
                <w:rFonts w:ascii="Garamond" w:hAnsi="Garamond" w:cstheme="minorHAnsi"/>
                <w:b w:val="0"/>
              </w:rPr>
              <w:t xml:space="preserve"> (далее для целей настоящего Регламента – Правопреемник), отчетные данные о величине сальдо перетоков электроэнергии (величине произведенной электроэнергии) формируются указанной организацией в соответствии с ПСИ организации, которая осуществляла торговлю электрической энергией (мощностью) на оптовом рынке с использованием указанной ГТП до предоставления такого права Правопреемнику (далее для целей настоящего Регламента – Правопредшественник). До выполнения предусмотренных приложением 2 к </w:t>
            </w:r>
            <w:r w:rsidRPr="00A5626D">
              <w:rPr>
                <w:rFonts w:ascii="Garamond" w:hAnsi="Garamond" w:cstheme="minorHAnsi"/>
                <w:b w:val="0"/>
                <w:i/>
              </w:rPr>
              <w:t>Положению о порядке получения статуса</w:t>
            </w:r>
            <w:r w:rsidRPr="00A5626D">
              <w:rPr>
                <w:rFonts w:ascii="Garamond" w:hAnsi="Garamond" w:cstheme="minorHAnsi"/>
                <w:b w:val="0"/>
              </w:rPr>
              <w:t xml:space="preserve"> </w:t>
            </w:r>
            <w:r w:rsidRPr="00A5626D">
              <w:rPr>
                <w:rFonts w:ascii="Garamond" w:hAnsi="Garamond" w:cstheme="minorHAnsi"/>
                <w:b w:val="0"/>
                <w:i/>
              </w:rPr>
              <w:t xml:space="preserve">субъекта оптового рынка и ведения реестра субъектов оптового рынка </w:t>
            </w:r>
            <w:r w:rsidRPr="00A5626D">
              <w:rPr>
                <w:rFonts w:ascii="Garamond" w:eastAsia="Batang" w:hAnsi="Garamond" w:cstheme="minorHAnsi"/>
                <w:b w:val="0"/>
                <w:lang w:eastAsia="ko-KR"/>
              </w:rPr>
              <w:t xml:space="preserve">(Приложение № 1.1 к </w:t>
            </w:r>
            <w:r w:rsidRPr="00A5626D">
              <w:rPr>
                <w:rFonts w:ascii="Garamond" w:eastAsia="Batang" w:hAnsi="Garamond" w:cstheme="minorHAnsi"/>
                <w:b w:val="0"/>
                <w:i/>
                <w:lang w:eastAsia="ko-KR"/>
              </w:rPr>
              <w:t>Договору о присоединении к торговой системе оптового рынка</w:t>
            </w:r>
            <w:r w:rsidRPr="00A5626D">
              <w:rPr>
                <w:rFonts w:ascii="Garamond" w:eastAsia="Batang" w:hAnsi="Garamond" w:cstheme="minorHAnsi"/>
                <w:b w:val="0"/>
                <w:lang w:eastAsia="ko-KR"/>
              </w:rPr>
              <w:t xml:space="preserve">) </w:t>
            </w:r>
            <w:r w:rsidRPr="00A5626D">
              <w:rPr>
                <w:rFonts w:ascii="Garamond" w:hAnsi="Garamond" w:cstheme="minorHAnsi"/>
                <w:b w:val="0"/>
              </w:rPr>
              <w:t xml:space="preserve">требований по подтверждению соответствия систем коммерческого учета техническим требованиям оптового рынка и актуализации регистрационной информации отчетные данные об объемах произведенной электроэнергии по ГТП генерации и (или) о величине сальдо перетоков электроэнергии в сечении коммерческого учета формируются на основании принятого КО к расчетам корректирующего акта учета (оборота) по ГТП генерации и (или) корректирующего акта учета перетоков по сечению коммерческого учета (макеты 51075), направленных в КО согласно п. 7.6 настоящего Регламента. В случае отсутствия принятого КО к расчетам корректирующего акта учета (оборота) по ГТП генерации или корректирующего акта учета перетоков по сечению коммерческого </w:t>
            </w:r>
            <w:r w:rsidRPr="00A5626D">
              <w:rPr>
                <w:rFonts w:ascii="Garamond" w:hAnsi="Garamond" w:cstheme="minorHAnsi"/>
                <w:b w:val="0"/>
              </w:rPr>
              <w:lastRenderedPageBreak/>
              <w:t>учета (макеты 51075), отчетные данные коммерческого учета формируются на основании замещающих методов расчета, предусмотренных пп. 8.7 и 8.2, 8.3 настоящего Регламента соответственно.</w:t>
            </w:r>
            <w:bookmarkEnd w:id="108"/>
          </w:p>
          <w:p w14:paraId="705CBE4F" w14:textId="77777777" w:rsidR="00295C6D" w:rsidRPr="00A5626D" w:rsidRDefault="00295C6D" w:rsidP="00647FA0">
            <w:pPr>
              <w:tabs>
                <w:tab w:val="left" w:pos="1134"/>
                <w:tab w:val="left" w:pos="7938"/>
              </w:tabs>
              <w:spacing w:before="120" w:after="120" w:line="22" w:lineRule="atLeast"/>
              <w:ind w:firstLine="629"/>
              <w:jc w:val="both"/>
              <w:rPr>
                <w:rFonts w:ascii="Garamond" w:hAnsi="Garamond" w:cstheme="minorHAnsi"/>
                <w:sz w:val="22"/>
                <w:szCs w:val="22"/>
                <w:highlight w:val="yellow"/>
              </w:rPr>
            </w:pPr>
            <w:r w:rsidRPr="00A5626D">
              <w:rPr>
                <w:rFonts w:ascii="Garamond" w:hAnsi="Garamond" w:cstheme="minorHAnsi"/>
                <w:sz w:val="22"/>
                <w:szCs w:val="22"/>
                <w:highlight w:val="yellow"/>
              </w:rPr>
              <w:t>В отношении внутреннего сечения Правопреемник вправе использовать ПСИ Правопредшественника в течение 6 (шести) месяцев с даты предоставления ему права участия в торговле электрической энергией и (или) мощностью на оптовом рынке. При этом у Правопреемника отсутствует возможность формирования в разделе «Данные АИИС» акта учета перетоков по внутреннему сечению (макет 51020) в порядке, предусмотренном п. 7.4 настоящего Регламента. В указанный период расчет значений учетного показателя по внутреннему сечению осуществляется на основе замещающих методов расчета, указанных в п. 8.1 настоящего Регламента, с использованием принятого КО к расчетам корректирующего акта учета перетоков по внутреннему сечению (макет 51075), а в случае отсутствия принятого к расчетам корректирующего акта учета перетоков по внутреннему сечению (макет 51075) объем потребления электроэнергии по ГТП потребления, в состав которых входит указанное внутреннее сечение, определяется на основании замещающих методов расчета, предусмотренных п. 8.2 настоящего Регламента.</w:t>
            </w:r>
          </w:p>
          <w:p w14:paraId="30FDE299" w14:textId="77777777" w:rsidR="00295C6D" w:rsidRPr="00A5626D" w:rsidRDefault="00295C6D" w:rsidP="00647FA0">
            <w:pPr>
              <w:tabs>
                <w:tab w:val="left" w:pos="1134"/>
                <w:tab w:val="left" w:pos="7938"/>
              </w:tabs>
              <w:spacing w:before="120" w:after="120" w:line="22" w:lineRule="atLeast"/>
              <w:ind w:firstLine="629"/>
              <w:jc w:val="both"/>
              <w:rPr>
                <w:rFonts w:ascii="Garamond" w:hAnsi="Garamond" w:cstheme="minorHAnsi"/>
                <w:sz w:val="22"/>
                <w:szCs w:val="22"/>
              </w:rPr>
            </w:pPr>
            <w:r w:rsidRPr="00A5626D">
              <w:rPr>
                <w:rFonts w:ascii="Garamond" w:hAnsi="Garamond" w:cstheme="minorHAnsi"/>
                <w:sz w:val="22"/>
                <w:szCs w:val="22"/>
                <w:highlight w:val="yellow"/>
              </w:rPr>
              <w:t>Невыполнение Правопреемником требований раздела 5 настоящего Регламента в отношении внутреннего сечения по истечении 6 (шести) месяцев с даты предоставления ему права участия в торговле электрической энергией и (или) мощностью на оптовом рынке влечет применение замещающих методов расчета, предусмотренных п. 8.2 настоящего Регламента, для определения фактических объемов потребленной электроэнергии в ГТП, в состав которых входит указанное внутреннее сечение.</w:t>
            </w:r>
            <w:r w:rsidRPr="00A5626D">
              <w:rPr>
                <w:rFonts w:ascii="Garamond" w:hAnsi="Garamond" w:cstheme="minorHAnsi"/>
                <w:sz w:val="22"/>
                <w:szCs w:val="22"/>
              </w:rPr>
              <w:t xml:space="preserve"> </w:t>
            </w:r>
          </w:p>
          <w:p w14:paraId="16EAD1D7" w14:textId="77777777" w:rsidR="00295C6D" w:rsidRPr="00A5626D" w:rsidRDefault="00295C6D" w:rsidP="00647FA0">
            <w:pPr>
              <w:tabs>
                <w:tab w:val="left" w:pos="1134"/>
                <w:tab w:val="left" w:pos="7938"/>
              </w:tabs>
              <w:spacing w:before="120" w:after="120" w:line="22" w:lineRule="atLeast"/>
              <w:ind w:firstLine="629"/>
              <w:jc w:val="both"/>
              <w:rPr>
                <w:rFonts w:ascii="Garamond" w:hAnsi="Garamond" w:cstheme="minorHAnsi"/>
                <w:sz w:val="22"/>
                <w:szCs w:val="22"/>
              </w:rPr>
            </w:pPr>
            <w:r w:rsidRPr="00A5626D">
              <w:rPr>
                <w:rFonts w:ascii="Garamond" w:hAnsi="Garamond" w:cstheme="minorHAnsi"/>
                <w:sz w:val="22"/>
                <w:szCs w:val="22"/>
              </w:rPr>
              <w:t xml:space="preserve">Если внутреннее сечение в ГТП Правопредшественника в результате правопреемства преобразовано в сечение коммерческого учета между Правопреемником и иным субъектом оптового рынка, то Правопреемник вправе использовать ПСИ, действовавший в отношении указанного внутреннего сечения на момент возникновения у Правопреемника права участия в торговле электрической энергией и (или) мощностью на оптовом рынке, в течение 6 (шести) месяцев с даты </w:t>
            </w:r>
            <w:r w:rsidRPr="00A5626D">
              <w:rPr>
                <w:rFonts w:ascii="Garamond" w:hAnsi="Garamond" w:cstheme="minorHAnsi"/>
                <w:sz w:val="22"/>
                <w:szCs w:val="22"/>
              </w:rPr>
              <w:lastRenderedPageBreak/>
              <w:t>предоставления ему права участия в торговле электрической энергией и (или) мощностью на оптовом рынке. В течение указанного выше срока отчетные данные о величине сальдо перетоков электроэнергии формируются на основании принятого КО к расчетам корректирующего акта учета перетоков по сечению коммерческого учета (макет 51075), направленного в КО согласно п. 7.6 настоящего Регламента. В случае отсутствия принятого КО к расчетам корректирующего акта учета перетоков по сечению коммерческого учета (макет 51075), объем потребления электроэнергии по ГТП потребления, в состав которых входит указанное сечение коммерческого учета (объем перетока электроэнергии в сечении коммерческого учета между участником оптового рынка и ФСК), формируется на основании замещающих методов расчета, предусмотренных п. 8.2 или п. 8.3 настоящего Регламента.</w:t>
            </w:r>
          </w:p>
          <w:p w14:paraId="4980D8CE" w14:textId="77777777" w:rsidR="00295C6D" w:rsidRPr="00A5626D" w:rsidRDefault="00295C6D" w:rsidP="00647FA0">
            <w:pPr>
              <w:tabs>
                <w:tab w:val="left" w:pos="1134"/>
                <w:tab w:val="left" w:pos="7938"/>
              </w:tabs>
              <w:spacing w:before="120" w:after="120" w:line="22" w:lineRule="atLeast"/>
              <w:ind w:firstLine="629"/>
              <w:jc w:val="both"/>
              <w:rPr>
                <w:rFonts w:ascii="Garamond" w:hAnsi="Garamond" w:cstheme="minorHAnsi"/>
                <w:sz w:val="22"/>
                <w:szCs w:val="22"/>
              </w:rPr>
            </w:pPr>
            <w:r w:rsidRPr="00A5626D">
              <w:rPr>
                <w:rFonts w:ascii="Garamond" w:hAnsi="Garamond" w:cstheme="minorHAnsi"/>
                <w:sz w:val="22"/>
                <w:szCs w:val="22"/>
              </w:rPr>
              <w:t>В случае если в отношении вышеуказанного сечения коммерческого учета, преобразованного из внутреннего сечения, по истечении 6 (шести) месяцев отсутствует вступивший в действие ПСИ, КО использует замещающие методы расчета, приведенные в п. 8.2 или п. 8.3 настоящего Регламента, для определения фактических объемов потребленной электроэнергии в ГТП, в состав которых входит указанное смежное сечение коммерческого учета (объемов перетока электроэнергии в сечении коммерческого учета между участником оптового рынка и ФСК).</w:t>
            </w:r>
          </w:p>
          <w:p w14:paraId="6F0A3D69" w14:textId="77777777" w:rsidR="00295C6D" w:rsidRPr="00A5626D" w:rsidRDefault="00295C6D" w:rsidP="00647FA0">
            <w:pPr>
              <w:pStyle w:val="2"/>
              <w:widowControl/>
              <w:numPr>
                <w:ilvl w:val="1"/>
                <w:numId w:val="256"/>
              </w:numPr>
              <w:tabs>
                <w:tab w:val="left" w:pos="1134"/>
                <w:tab w:val="left" w:pos="7938"/>
              </w:tabs>
              <w:suppressAutoHyphens w:val="0"/>
              <w:autoSpaceDE/>
              <w:spacing w:before="120" w:after="120" w:line="22" w:lineRule="atLeast"/>
              <w:ind w:left="0" w:firstLine="629"/>
              <w:jc w:val="both"/>
              <w:rPr>
                <w:rFonts w:ascii="Garamond" w:hAnsi="Garamond" w:cstheme="minorHAnsi"/>
                <w:b w:val="0"/>
                <w:highlight w:val="yellow"/>
              </w:rPr>
            </w:pPr>
            <w:bookmarkStart w:id="109" w:name="_Toc139239907"/>
            <w:r w:rsidRPr="00A5626D">
              <w:rPr>
                <w:rFonts w:ascii="Garamond" w:hAnsi="Garamond" w:cstheme="minorHAnsi"/>
                <w:b w:val="0"/>
                <w:highlight w:val="yellow"/>
              </w:rPr>
              <w:t>Данные о величине произведенной электроэнергии поставщиками электроэнергии рассчитываются на основании результатов измерений, полученных от АИИС КУЭ и алгоритмов приведения результатов измерений от точек измерений к значению величины электроэнергии в точках поставки, указанных в действующих ПСИ, сформированных поставщиками электроэнергии по ГТП генерации в макете 60000 или 60090.</w:t>
            </w:r>
            <w:bookmarkEnd w:id="109"/>
            <w:r w:rsidRPr="00A5626D">
              <w:rPr>
                <w:rFonts w:ascii="Garamond" w:hAnsi="Garamond" w:cstheme="minorHAnsi"/>
                <w:b w:val="0"/>
                <w:highlight w:val="yellow"/>
              </w:rPr>
              <w:t xml:space="preserve"> </w:t>
            </w:r>
          </w:p>
          <w:p w14:paraId="76E2D888" w14:textId="77777777" w:rsidR="00295C6D" w:rsidRPr="00A5626D" w:rsidRDefault="00295C6D" w:rsidP="00647FA0">
            <w:pPr>
              <w:pStyle w:val="2"/>
              <w:widowControl/>
              <w:numPr>
                <w:ilvl w:val="1"/>
                <w:numId w:val="256"/>
              </w:numPr>
              <w:tabs>
                <w:tab w:val="left" w:pos="1134"/>
                <w:tab w:val="left" w:pos="7938"/>
              </w:tabs>
              <w:suppressAutoHyphens w:val="0"/>
              <w:autoSpaceDE/>
              <w:spacing w:before="120" w:after="120" w:line="22" w:lineRule="atLeast"/>
              <w:ind w:left="0" w:firstLine="629"/>
              <w:jc w:val="both"/>
              <w:rPr>
                <w:rFonts w:ascii="Garamond" w:hAnsi="Garamond" w:cstheme="minorHAnsi"/>
                <w:b w:val="0"/>
              </w:rPr>
            </w:pPr>
            <w:bookmarkStart w:id="110" w:name="_Toc139239908"/>
            <w:r w:rsidRPr="00A5626D">
              <w:rPr>
                <w:rFonts w:ascii="Garamond" w:hAnsi="Garamond" w:cstheme="minorHAnsi"/>
                <w:b w:val="0"/>
              </w:rPr>
              <w:t xml:space="preserve">Основой для расчетов </w:t>
            </w:r>
            <w:r w:rsidRPr="00A5626D">
              <w:rPr>
                <w:rFonts w:ascii="Garamond" w:hAnsi="Garamond" w:cstheme="minorHAnsi"/>
                <w:b w:val="0"/>
                <w:highlight w:val="yellow"/>
              </w:rPr>
              <w:t>стоимости электроэнергии</w:t>
            </w:r>
            <w:r w:rsidRPr="00A5626D">
              <w:rPr>
                <w:rFonts w:ascii="Garamond" w:hAnsi="Garamond" w:cstheme="minorHAnsi"/>
                <w:b w:val="0"/>
              </w:rPr>
              <w:t xml:space="preserve"> для участников оптового рынка (ФСК) являются данные коммерческого учета, содержащиеся в актах учета (оборота) по ГТП генерации / актах учета перетоков по сечению коммерческого учета (макеты 51020), корректирующих актах учета (оборота) по ГТП генерации / корректирующих актах учета перетоков по сечению коммерческого учета (макеты 51075), интегральных актах учета перетоков между </w:t>
            </w:r>
            <w:r w:rsidRPr="00A5626D">
              <w:rPr>
                <w:rFonts w:ascii="Garamond" w:hAnsi="Garamond" w:cstheme="minorHAnsi"/>
                <w:b w:val="0"/>
              </w:rPr>
              <w:lastRenderedPageBreak/>
              <w:t>участниками оптового рынка и ФСК (макеты 50080), а также данные коммерческого учета, сформированные на основании замещающих методов расчета, предусмотренных настоящим Регламентом.</w:t>
            </w:r>
            <w:bookmarkEnd w:id="110"/>
          </w:p>
          <w:p w14:paraId="7799CF1E" w14:textId="77777777" w:rsidR="00295C6D" w:rsidRPr="00A5626D" w:rsidRDefault="00295C6D" w:rsidP="00647FA0">
            <w:pPr>
              <w:tabs>
                <w:tab w:val="left" w:pos="1080"/>
                <w:tab w:val="left" w:pos="1134"/>
                <w:tab w:val="left" w:pos="7938"/>
              </w:tabs>
              <w:spacing w:before="120" w:after="120" w:line="22" w:lineRule="atLeast"/>
              <w:ind w:firstLine="629"/>
              <w:jc w:val="both"/>
              <w:rPr>
                <w:rFonts w:ascii="Garamond" w:hAnsi="Garamond" w:cstheme="minorHAnsi"/>
                <w:sz w:val="22"/>
                <w:szCs w:val="22"/>
              </w:rPr>
            </w:pPr>
            <w:r w:rsidRPr="00A5626D">
              <w:rPr>
                <w:rFonts w:ascii="Garamond" w:hAnsi="Garamond" w:cstheme="minorHAnsi"/>
                <w:sz w:val="22"/>
                <w:szCs w:val="22"/>
              </w:rPr>
              <w:t xml:space="preserve">Порядок формирования актов учета (оборота) по ГТП генерации (макеты 51020) устанавливается п. </w:t>
            </w:r>
            <w:r w:rsidRPr="00A5626D">
              <w:rPr>
                <w:rFonts w:ascii="Garamond" w:hAnsi="Garamond" w:cstheme="minorHAnsi"/>
                <w:sz w:val="22"/>
                <w:szCs w:val="22"/>
                <w:highlight w:val="yellow"/>
              </w:rPr>
              <w:t>3.9</w:t>
            </w:r>
            <w:r w:rsidRPr="00A5626D">
              <w:rPr>
                <w:rFonts w:ascii="Garamond" w:hAnsi="Garamond" w:cstheme="minorHAnsi"/>
                <w:sz w:val="22"/>
                <w:szCs w:val="22"/>
              </w:rPr>
              <w:t xml:space="preserve"> настоящего Регламента. </w:t>
            </w:r>
          </w:p>
          <w:p w14:paraId="62AB9986" w14:textId="77777777" w:rsidR="00295C6D" w:rsidRPr="00A5626D" w:rsidRDefault="00295C6D" w:rsidP="00647FA0">
            <w:pPr>
              <w:tabs>
                <w:tab w:val="left" w:pos="1080"/>
                <w:tab w:val="left" w:pos="1134"/>
                <w:tab w:val="left" w:pos="7938"/>
              </w:tabs>
              <w:spacing w:before="120" w:after="120" w:line="22" w:lineRule="atLeast"/>
              <w:ind w:firstLine="629"/>
              <w:jc w:val="both"/>
              <w:rPr>
                <w:rFonts w:ascii="Garamond" w:hAnsi="Garamond" w:cstheme="minorHAnsi"/>
                <w:sz w:val="22"/>
                <w:szCs w:val="22"/>
              </w:rPr>
            </w:pPr>
            <w:r w:rsidRPr="00A5626D">
              <w:rPr>
                <w:rFonts w:ascii="Garamond" w:hAnsi="Garamond" w:cstheme="minorHAnsi"/>
                <w:sz w:val="22"/>
                <w:szCs w:val="22"/>
              </w:rPr>
              <w:t xml:space="preserve">Порядок формирования актов учета перетоков по сечению коммерческого учета (за исключением временных сечений, внутренних сечений и сечений коммерческого учета, входящих в сечение экспорта-импорта) (макеты 51020) устанавливается п. 7.2 настоящего Регламента. </w:t>
            </w:r>
          </w:p>
          <w:p w14:paraId="6C2D8B9C" w14:textId="77777777" w:rsidR="00295C6D" w:rsidRPr="00A5626D" w:rsidRDefault="00295C6D" w:rsidP="00647FA0">
            <w:pPr>
              <w:tabs>
                <w:tab w:val="left" w:pos="1080"/>
                <w:tab w:val="left" w:pos="1134"/>
                <w:tab w:val="left" w:pos="7938"/>
              </w:tabs>
              <w:spacing w:before="120" w:after="120" w:line="22" w:lineRule="atLeast"/>
              <w:ind w:firstLine="629"/>
              <w:jc w:val="both"/>
              <w:rPr>
                <w:rFonts w:ascii="Garamond" w:hAnsi="Garamond" w:cstheme="minorHAnsi"/>
                <w:sz w:val="22"/>
                <w:szCs w:val="22"/>
              </w:rPr>
            </w:pPr>
            <w:r w:rsidRPr="00A5626D">
              <w:rPr>
                <w:rFonts w:ascii="Garamond" w:hAnsi="Garamond" w:cstheme="minorHAnsi"/>
                <w:sz w:val="22"/>
                <w:szCs w:val="22"/>
              </w:rPr>
              <w:t>Порядок формирования актов учета перетоков по внутреннему сечению (макеты 51020) устанавливается п. 7.4 настоящего Регламента.</w:t>
            </w:r>
          </w:p>
          <w:p w14:paraId="2A51C906" w14:textId="77777777" w:rsidR="00295C6D" w:rsidRPr="00A5626D" w:rsidRDefault="00295C6D" w:rsidP="00647FA0">
            <w:pPr>
              <w:tabs>
                <w:tab w:val="left" w:pos="1080"/>
                <w:tab w:val="left" w:pos="1134"/>
                <w:tab w:val="left" w:pos="7938"/>
              </w:tabs>
              <w:spacing w:before="120" w:after="120" w:line="22" w:lineRule="atLeast"/>
              <w:ind w:firstLine="629"/>
              <w:jc w:val="both"/>
              <w:rPr>
                <w:rFonts w:ascii="Garamond" w:hAnsi="Garamond" w:cstheme="minorHAnsi"/>
                <w:sz w:val="22"/>
                <w:szCs w:val="22"/>
              </w:rPr>
            </w:pPr>
            <w:r w:rsidRPr="00A5626D">
              <w:rPr>
                <w:rFonts w:ascii="Garamond" w:hAnsi="Garamond" w:cstheme="minorHAnsi"/>
                <w:sz w:val="22"/>
                <w:szCs w:val="22"/>
              </w:rPr>
              <w:t xml:space="preserve">Порядок направления корректирующих актов учета (оборота) по ГТП генерации / корректирующих актов учета перетоков по сечению коммерческого учета (в том числе по временным сечениям, внутренним сечениям, сечениям коммерческого учета, входящим в сечение экспорта-импорта) (макеты 51075) устанавливается п. 7.6 настоящего Регламента. </w:t>
            </w:r>
          </w:p>
          <w:p w14:paraId="1E99ADA5" w14:textId="77777777" w:rsidR="00295C6D" w:rsidRPr="00A5626D" w:rsidRDefault="00295C6D" w:rsidP="00647FA0">
            <w:pPr>
              <w:tabs>
                <w:tab w:val="left" w:pos="1080"/>
                <w:tab w:val="left" w:pos="1134"/>
                <w:tab w:val="left" w:pos="7938"/>
              </w:tabs>
              <w:spacing w:before="120" w:after="120" w:line="22" w:lineRule="atLeast"/>
              <w:ind w:firstLine="629"/>
              <w:jc w:val="both"/>
              <w:rPr>
                <w:rFonts w:ascii="Garamond" w:hAnsi="Garamond" w:cstheme="minorHAnsi"/>
                <w:sz w:val="22"/>
                <w:szCs w:val="22"/>
              </w:rPr>
            </w:pPr>
            <w:r w:rsidRPr="00A5626D">
              <w:rPr>
                <w:rFonts w:ascii="Garamond" w:hAnsi="Garamond" w:cstheme="minorHAnsi"/>
                <w:sz w:val="22"/>
                <w:szCs w:val="22"/>
              </w:rPr>
              <w:t>Порядок направления интегральных актов учета перетоков (макеты 50080) устанавливается п. 7.1 настоящего Регламента.</w:t>
            </w:r>
          </w:p>
          <w:p w14:paraId="08A74AD7" w14:textId="77777777" w:rsidR="00295C6D" w:rsidRPr="00A5626D" w:rsidRDefault="00295C6D" w:rsidP="00647FA0">
            <w:pPr>
              <w:pStyle w:val="2"/>
              <w:widowControl/>
              <w:numPr>
                <w:ilvl w:val="1"/>
                <w:numId w:val="256"/>
              </w:numPr>
              <w:tabs>
                <w:tab w:val="left" w:pos="1134"/>
                <w:tab w:val="left" w:pos="7938"/>
              </w:tabs>
              <w:suppressAutoHyphens w:val="0"/>
              <w:autoSpaceDE/>
              <w:spacing w:before="120" w:after="120" w:line="22" w:lineRule="atLeast"/>
              <w:ind w:left="0" w:firstLine="629"/>
              <w:jc w:val="both"/>
              <w:rPr>
                <w:rFonts w:ascii="Garamond" w:hAnsi="Garamond" w:cstheme="minorHAnsi"/>
                <w:b w:val="0"/>
              </w:rPr>
            </w:pPr>
            <w:bookmarkStart w:id="111" w:name="_Toc139239909"/>
            <w:r w:rsidRPr="00A5626D">
              <w:rPr>
                <w:rFonts w:ascii="Garamond" w:hAnsi="Garamond" w:cstheme="minorHAnsi"/>
                <w:b w:val="0"/>
              </w:rPr>
              <w:t xml:space="preserve">Основой для расчета </w:t>
            </w:r>
            <w:r w:rsidRPr="00A5626D">
              <w:rPr>
                <w:rFonts w:ascii="Garamond" w:hAnsi="Garamond" w:cstheme="minorHAnsi"/>
                <w:b w:val="0"/>
                <w:highlight w:val="yellow"/>
              </w:rPr>
              <w:t>стоимости</w:t>
            </w:r>
            <w:r w:rsidRPr="00A5626D">
              <w:rPr>
                <w:rFonts w:ascii="Garamond" w:hAnsi="Garamond" w:cstheme="minorHAnsi"/>
                <w:b w:val="0"/>
              </w:rPr>
              <w:t xml:space="preserve"> объемов электрической энергии, покупаемой ФСК с целью компенсации потерь в электрических сетях являются данные коммерческого учета, содержащиеся в актах учета перетоков по сечениям коммерческого учета (макеты 51020), корректирующих актах учета перетоков по сечениям коммерческого учета (макеты 51075), а также данные коммерческого учета, сформированные на основании замещающих методов расчета, предусмотренных п. 8.3 настоящего Регламента.</w:t>
            </w:r>
            <w:bookmarkEnd w:id="111"/>
          </w:p>
          <w:p w14:paraId="14EEE0EA" w14:textId="77777777" w:rsidR="00295C6D" w:rsidRPr="00A5626D" w:rsidRDefault="00295C6D" w:rsidP="00647FA0">
            <w:pPr>
              <w:tabs>
                <w:tab w:val="left" w:pos="720"/>
                <w:tab w:val="left" w:pos="1134"/>
                <w:tab w:val="left" w:pos="7938"/>
              </w:tabs>
              <w:spacing w:before="120" w:after="120" w:line="22" w:lineRule="atLeast"/>
              <w:ind w:firstLine="629"/>
              <w:jc w:val="both"/>
              <w:rPr>
                <w:rFonts w:ascii="Garamond" w:hAnsi="Garamond" w:cstheme="minorHAnsi"/>
                <w:sz w:val="22"/>
                <w:szCs w:val="22"/>
              </w:rPr>
            </w:pPr>
            <w:r w:rsidRPr="00A5626D">
              <w:rPr>
                <w:rFonts w:ascii="Garamond" w:hAnsi="Garamond" w:cstheme="minorHAnsi"/>
                <w:sz w:val="22"/>
                <w:szCs w:val="22"/>
              </w:rPr>
              <w:t>На основании указанных данных коммерческого учета определяются:</w:t>
            </w:r>
          </w:p>
          <w:p w14:paraId="2B373D70" w14:textId="77777777" w:rsidR="00295C6D" w:rsidRPr="00A5626D" w:rsidRDefault="00295C6D" w:rsidP="00647FA0">
            <w:pPr>
              <w:numPr>
                <w:ilvl w:val="0"/>
                <w:numId w:val="251"/>
              </w:numPr>
              <w:tabs>
                <w:tab w:val="num" w:pos="426"/>
                <w:tab w:val="num" w:pos="851"/>
                <w:tab w:val="num" w:pos="993"/>
                <w:tab w:val="left" w:pos="1080"/>
                <w:tab w:val="left" w:pos="1134"/>
                <w:tab w:val="left" w:pos="7938"/>
              </w:tabs>
              <w:suppressAutoHyphens w:val="0"/>
              <w:spacing w:before="120" w:after="120" w:line="22" w:lineRule="atLeast"/>
              <w:ind w:left="0" w:firstLine="629"/>
              <w:jc w:val="both"/>
              <w:rPr>
                <w:rFonts w:ascii="Garamond" w:hAnsi="Garamond" w:cstheme="minorHAnsi"/>
                <w:sz w:val="22"/>
                <w:szCs w:val="22"/>
              </w:rPr>
            </w:pPr>
            <w:r w:rsidRPr="00A5626D">
              <w:rPr>
                <w:rFonts w:ascii="Garamond" w:hAnsi="Garamond" w:cstheme="minorHAnsi"/>
                <w:sz w:val="22"/>
                <w:szCs w:val="22"/>
              </w:rPr>
              <w:t>фактические потери электроэнергии в сетях ФСК (отдельно по каждой ценовой, неценовой зоне);</w:t>
            </w:r>
          </w:p>
          <w:p w14:paraId="013CAFA8" w14:textId="77777777" w:rsidR="00295C6D" w:rsidRPr="00A5626D" w:rsidRDefault="00295C6D" w:rsidP="00647FA0">
            <w:pPr>
              <w:numPr>
                <w:ilvl w:val="0"/>
                <w:numId w:val="251"/>
              </w:numPr>
              <w:tabs>
                <w:tab w:val="num" w:pos="426"/>
                <w:tab w:val="num" w:pos="851"/>
                <w:tab w:val="num" w:pos="993"/>
                <w:tab w:val="left" w:pos="1080"/>
                <w:tab w:val="left" w:pos="1134"/>
                <w:tab w:val="left" w:pos="7938"/>
              </w:tabs>
              <w:suppressAutoHyphens w:val="0"/>
              <w:spacing w:before="120" w:after="120" w:line="22" w:lineRule="atLeast"/>
              <w:ind w:left="0" w:firstLine="629"/>
              <w:jc w:val="both"/>
              <w:rPr>
                <w:rFonts w:ascii="Garamond" w:hAnsi="Garamond" w:cstheme="minorHAnsi"/>
                <w:sz w:val="22"/>
                <w:szCs w:val="22"/>
              </w:rPr>
            </w:pPr>
            <w:r w:rsidRPr="00A5626D">
              <w:rPr>
                <w:rFonts w:ascii="Garamond" w:hAnsi="Garamond" w:cstheme="minorHAnsi"/>
                <w:sz w:val="22"/>
                <w:szCs w:val="22"/>
              </w:rPr>
              <w:t xml:space="preserve">фактический отпуск электрической энергии (в сальдированном выражении) для сетей ФСК 330 кВ и выше и для сетей </w:t>
            </w:r>
            <w:r w:rsidRPr="00A5626D">
              <w:rPr>
                <w:rFonts w:ascii="Garamond" w:hAnsi="Garamond" w:cstheme="minorHAnsi"/>
                <w:sz w:val="22"/>
                <w:szCs w:val="22"/>
              </w:rPr>
              <w:lastRenderedPageBreak/>
              <w:t xml:space="preserve">ФСК 220 кВ и ниже, сгруппированный по территориям субъектов Российской Федерации, сформированный с учетом сведений, направленных ФСК в соответствии с п. 3.13 </w:t>
            </w:r>
            <w:r w:rsidRPr="00A5626D">
              <w:rPr>
                <w:rFonts w:ascii="Garamond" w:hAnsi="Garamond" w:cstheme="minorHAnsi"/>
                <w:i/>
                <w:sz w:val="22"/>
                <w:szCs w:val="22"/>
              </w:rPr>
              <w:t>Регламента допуска к торговой системе оптового рынка</w:t>
            </w:r>
            <w:r w:rsidRPr="00A5626D">
              <w:rPr>
                <w:rFonts w:ascii="Garamond" w:hAnsi="Garamond" w:cstheme="minorHAnsi"/>
                <w:sz w:val="22"/>
                <w:szCs w:val="22"/>
              </w:rPr>
              <w:t xml:space="preserve"> (Приложение № 1 к </w:t>
            </w:r>
            <w:r w:rsidRPr="00A5626D">
              <w:rPr>
                <w:rFonts w:ascii="Garamond" w:hAnsi="Garamond" w:cstheme="minorHAnsi"/>
                <w:i/>
                <w:sz w:val="22"/>
                <w:szCs w:val="22"/>
              </w:rPr>
              <w:t>Договору о присоединении к торговой системе оптового рынка</w:t>
            </w:r>
            <w:r w:rsidRPr="00A5626D">
              <w:rPr>
                <w:rFonts w:ascii="Garamond" w:hAnsi="Garamond" w:cstheme="minorHAnsi"/>
                <w:sz w:val="22"/>
                <w:szCs w:val="22"/>
              </w:rPr>
              <w:t>), и интегральных актов учета перетоков (макеты 50080);</w:t>
            </w:r>
          </w:p>
          <w:p w14:paraId="102B7BD4" w14:textId="77777777" w:rsidR="00295C6D" w:rsidRPr="00A5626D" w:rsidRDefault="00295C6D" w:rsidP="00647FA0">
            <w:pPr>
              <w:numPr>
                <w:ilvl w:val="0"/>
                <w:numId w:val="251"/>
              </w:numPr>
              <w:tabs>
                <w:tab w:val="clear" w:pos="784"/>
                <w:tab w:val="num" w:pos="0"/>
                <w:tab w:val="num" w:pos="851"/>
                <w:tab w:val="left" w:pos="1080"/>
                <w:tab w:val="left" w:pos="1134"/>
                <w:tab w:val="left" w:pos="7938"/>
              </w:tabs>
              <w:suppressAutoHyphens w:val="0"/>
              <w:spacing w:before="120" w:after="120" w:line="22" w:lineRule="atLeast"/>
              <w:ind w:left="0" w:firstLine="629"/>
              <w:jc w:val="both"/>
              <w:rPr>
                <w:rFonts w:ascii="Garamond" w:hAnsi="Garamond" w:cstheme="minorHAnsi"/>
                <w:sz w:val="22"/>
                <w:szCs w:val="22"/>
              </w:rPr>
            </w:pPr>
            <w:r w:rsidRPr="00A5626D">
              <w:rPr>
                <w:rFonts w:ascii="Garamond" w:hAnsi="Garamond" w:cstheme="minorHAnsi"/>
                <w:sz w:val="22"/>
                <w:szCs w:val="22"/>
              </w:rPr>
              <w:t>нормативные потери электрической энергии, рассчитываемые отдельно для сетей ФСК 330 кВ и выше и для сетей ФСК 220 кВ и ниже, сгруппированные по территориям субъектов Российской Федерации.</w:t>
            </w:r>
          </w:p>
          <w:p w14:paraId="6F3A258B" w14:textId="77777777" w:rsidR="00295C6D" w:rsidRPr="00A5626D" w:rsidRDefault="00295C6D" w:rsidP="00647FA0">
            <w:pPr>
              <w:pStyle w:val="2"/>
              <w:widowControl/>
              <w:numPr>
                <w:ilvl w:val="1"/>
                <w:numId w:val="256"/>
              </w:numPr>
              <w:tabs>
                <w:tab w:val="left" w:pos="1134"/>
                <w:tab w:val="left" w:pos="7938"/>
              </w:tabs>
              <w:suppressAutoHyphens w:val="0"/>
              <w:autoSpaceDE/>
              <w:spacing w:before="120" w:after="120" w:line="22" w:lineRule="atLeast"/>
              <w:ind w:left="0" w:firstLine="629"/>
              <w:jc w:val="both"/>
              <w:rPr>
                <w:rFonts w:ascii="Garamond" w:hAnsi="Garamond" w:cstheme="minorHAnsi"/>
                <w:b w:val="0"/>
              </w:rPr>
            </w:pPr>
            <w:bookmarkStart w:id="112" w:name="_Toc139239910"/>
            <w:r w:rsidRPr="00A5626D">
              <w:rPr>
                <w:rFonts w:ascii="Garamond" w:hAnsi="Garamond" w:cstheme="minorHAnsi"/>
                <w:b w:val="0"/>
              </w:rPr>
              <w:t>По сечениям коммерческого учета участники оптового рынка между собой, а также участники оптового рынка и ФСК формируют акт учета перетоков по сечению коммерческого учета (макет 51020) и (или) направляют корректирующий акт учета перетоков по сечению коммерческого учета (макет 51075) в соответствии с настоящим Регламентом.</w:t>
            </w:r>
            <w:bookmarkEnd w:id="112"/>
          </w:p>
          <w:p w14:paraId="24BF2D50" w14:textId="77777777" w:rsidR="00295C6D" w:rsidRPr="00A5626D" w:rsidRDefault="00295C6D" w:rsidP="00647FA0">
            <w:pPr>
              <w:tabs>
                <w:tab w:val="left" w:pos="1080"/>
                <w:tab w:val="left" w:pos="1134"/>
                <w:tab w:val="left" w:pos="7938"/>
              </w:tabs>
              <w:spacing w:before="120" w:after="120" w:line="22" w:lineRule="atLeast"/>
              <w:ind w:firstLine="629"/>
              <w:jc w:val="both"/>
              <w:rPr>
                <w:rFonts w:ascii="Garamond" w:hAnsi="Garamond" w:cstheme="minorHAnsi"/>
                <w:sz w:val="22"/>
                <w:szCs w:val="22"/>
              </w:rPr>
            </w:pPr>
            <w:r w:rsidRPr="00A5626D">
              <w:rPr>
                <w:rFonts w:ascii="Garamond" w:hAnsi="Garamond" w:cstheme="minorHAnsi"/>
                <w:sz w:val="22"/>
                <w:szCs w:val="22"/>
              </w:rPr>
              <w:t>В случае если в ПСИ по сечению коммерческого учета между участником оптового рынка и ФСК (за исключением сечений коммерческого учета между ФСК и поставщиками электроэнергии) включены точки поставки, расположенные на элементах электрооборудования, отнесенных к сетям ФСК с напряжением 330 кВ и выше, и расположенные на элементах электрооборудования, отнесенных к сетям ФСК с напряжением 220 кВ и ниже, участник оптового рынка и ФСК по указанным сечениям дополнительно формируют и направляют в КО интегральный акт учета перетоков (макет 50080).</w:t>
            </w:r>
          </w:p>
          <w:p w14:paraId="553A0FD5" w14:textId="77777777" w:rsidR="00295C6D" w:rsidRPr="00A5626D" w:rsidRDefault="00295C6D" w:rsidP="00647FA0">
            <w:pPr>
              <w:pStyle w:val="2"/>
              <w:widowControl/>
              <w:numPr>
                <w:ilvl w:val="1"/>
                <w:numId w:val="256"/>
              </w:numPr>
              <w:tabs>
                <w:tab w:val="left" w:pos="1134"/>
                <w:tab w:val="left" w:pos="7938"/>
              </w:tabs>
              <w:suppressAutoHyphens w:val="0"/>
              <w:autoSpaceDE/>
              <w:spacing w:before="120" w:after="120" w:line="22" w:lineRule="atLeast"/>
              <w:ind w:left="0" w:firstLine="629"/>
              <w:jc w:val="both"/>
              <w:rPr>
                <w:rFonts w:ascii="Garamond" w:hAnsi="Garamond" w:cstheme="minorHAnsi"/>
                <w:b w:val="0"/>
                <w:highlight w:val="yellow"/>
              </w:rPr>
            </w:pPr>
            <w:bookmarkStart w:id="113" w:name="_Toc139239911"/>
            <w:r w:rsidRPr="00A5626D">
              <w:rPr>
                <w:rFonts w:ascii="Garamond" w:hAnsi="Garamond" w:cstheme="minorHAnsi"/>
                <w:b w:val="0"/>
                <w:highlight w:val="yellow"/>
              </w:rPr>
              <w:t>Поставщики электроэнергии формируют акт учета (оборота) по ГТП генерации (макет 51020) согласно следующему порядку:</w:t>
            </w:r>
            <w:bookmarkEnd w:id="113"/>
          </w:p>
          <w:p w14:paraId="2F7E39F1" w14:textId="77777777" w:rsidR="00295C6D" w:rsidRPr="00A5626D" w:rsidRDefault="00295C6D" w:rsidP="00647FA0">
            <w:pPr>
              <w:pStyle w:val="ac"/>
              <w:numPr>
                <w:ilvl w:val="0"/>
                <w:numId w:val="254"/>
              </w:numPr>
              <w:tabs>
                <w:tab w:val="left" w:pos="720"/>
                <w:tab w:val="left" w:pos="1080"/>
                <w:tab w:val="left" w:pos="1134"/>
                <w:tab w:val="left" w:pos="7938"/>
              </w:tabs>
              <w:spacing w:before="120" w:after="120" w:line="22" w:lineRule="atLeast"/>
              <w:ind w:left="0" w:firstLine="629"/>
              <w:contextualSpacing/>
              <w:jc w:val="both"/>
              <w:rPr>
                <w:rFonts w:ascii="Garamond" w:hAnsi="Garamond" w:cstheme="minorHAnsi"/>
                <w:sz w:val="22"/>
                <w:szCs w:val="22"/>
                <w:highlight w:val="yellow"/>
              </w:rPr>
            </w:pPr>
            <w:r w:rsidRPr="00A5626D">
              <w:rPr>
                <w:rFonts w:ascii="Garamond" w:hAnsi="Garamond" w:cstheme="minorHAnsi"/>
                <w:sz w:val="22"/>
                <w:szCs w:val="22"/>
                <w:highlight w:val="yellow"/>
              </w:rPr>
              <w:t>на официальном сайте КО в разделе «Данные АИИС» поставщики электроэнергии в срок до 15:00 (по московскому времени) 4-го числа месяца, следующего за отчетным, определяют часовые временные интервалы в пределах отчетного периода, по которым значения учетных показателей по ГТП генерации будут включены в акт учета (оборота) по ГТП генерации (макет 51020) после его размещения со стороны КО;</w:t>
            </w:r>
          </w:p>
          <w:p w14:paraId="1881AB0B" w14:textId="77777777" w:rsidR="00295C6D" w:rsidRPr="00A5626D" w:rsidRDefault="00295C6D" w:rsidP="00647FA0">
            <w:pPr>
              <w:pStyle w:val="ac"/>
              <w:numPr>
                <w:ilvl w:val="0"/>
                <w:numId w:val="254"/>
              </w:numPr>
              <w:tabs>
                <w:tab w:val="left" w:pos="720"/>
                <w:tab w:val="left" w:pos="1080"/>
                <w:tab w:val="left" w:pos="1134"/>
                <w:tab w:val="left" w:pos="7938"/>
              </w:tabs>
              <w:spacing w:before="120" w:after="120" w:line="22" w:lineRule="atLeast"/>
              <w:ind w:left="0" w:firstLine="629"/>
              <w:contextualSpacing/>
              <w:jc w:val="both"/>
              <w:rPr>
                <w:rFonts w:ascii="Garamond" w:hAnsi="Garamond" w:cstheme="minorHAnsi"/>
                <w:sz w:val="22"/>
                <w:szCs w:val="22"/>
                <w:highlight w:val="yellow"/>
              </w:rPr>
            </w:pPr>
            <w:r w:rsidRPr="00A5626D">
              <w:rPr>
                <w:rFonts w:ascii="Garamond" w:hAnsi="Garamond" w:cstheme="minorHAnsi"/>
                <w:sz w:val="22"/>
                <w:szCs w:val="22"/>
                <w:highlight w:val="yellow"/>
              </w:rPr>
              <w:lastRenderedPageBreak/>
              <w:t xml:space="preserve">на официальном сайте КО в разделе «Данные АИИС» поставщики электроэнергии 5-го числа месяца, следующего за отчетным, согласовывают (путем подписания ЭП размещенного акта учета (оборота) по ГТП генерации (макет 51020)) значения учетных показателей по ГТП генерации, рассчитанные в соответствии с алгоритмом, указанным в действующем ПСИ, на основании результатов измерений, сформированных и направленных в соответствии с Приложением № 11.1.1 к </w:t>
            </w:r>
            <w:r w:rsidRPr="00A5626D">
              <w:rPr>
                <w:rFonts w:ascii="Garamond" w:hAnsi="Garamond" w:cstheme="minorHAnsi"/>
                <w:i/>
                <w:sz w:val="22"/>
                <w:szCs w:val="22"/>
                <w:highlight w:val="yellow"/>
              </w:rPr>
              <w:t>Положению о порядке получения статуса субъекта оптового рынка и ведения реестра субъектов оптового рынка</w:t>
            </w:r>
            <w:r w:rsidRPr="00A5626D">
              <w:rPr>
                <w:rFonts w:ascii="Garamond" w:hAnsi="Garamond" w:cstheme="minorHAnsi"/>
                <w:sz w:val="22"/>
                <w:szCs w:val="22"/>
                <w:highlight w:val="yellow"/>
              </w:rPr>
              <w:t xml:space="preserve"> (Приложение № 1.1 к </w:t>
            </w:r>
            <w:r w:rsidRPr="00A5626D">
              <w:rPr>
                <w:rFonts w:ascii="Garamond" w:hAnsi="Garamond" w:cstheme="minorHAnsi"/>
                <w:i/>
                <w:sz w:val="22"/>
                <w:szCs w:val="22"/>
                <w:highlight w:val="yellow"/>
              </w:rPr>
              <w:t>Договору о присоединении к торговой системе оптового рынка</w:t>
            </w:r>
            <w:r w:rsidRPr="00A5626D">
              <w:rPr>
                <w:rFonts w:ascii="Garamond" w:hAnsi="Garamond" w:cstheme="minorHAnsi"/>
                <w:sz w:val="22"/>
                <w:szCs w:val="22"/>
                <w:highlight w:val="yellow"/>
              </w:rPr>
              <w:t>). В случае если сформированный поставщиком акт учета (оборота) по ГТП генерации (макет 51020) по состоянию на 00:00 (по московскому времени) 5-го числа месяца, следующего за отчетным, не размещен на официальном сайте КО в разделе «Данные АИИС» (в случаях, когда вышеуказанный акт подлежит размещению в соответствии с требованиями настоящего Регламента), представитель поставщика должен связаться с представителем КО, ответственным за прием информации, с целью локализации и устранения проблемы.</w:t>
            </w:r>
          </w:p>
          <w:p w14:paraId="418B8C54" w14:textId="77777777" w:rsidR="00295C6D" w:rsidRPr="00A5626D" w:rsidRDefault="00295C6D" w:rsidP="00647FA0">
            <w:pPr>
              <w:tabs>
                <w:tab w:val="left" w:pos="720"/>
                <w:tab w:val="left" w:pos="1080"/>
                <w:tab w:val="left" w:pos="1134"/>
                <w:tab w:val="left" w:pos="7938"/>
              </w:tabs>
              <w:spacing w:before="120" w:after="120" w:line="22" w:lineRule="atLeast"/>
              <w:ind w:firstLine="629"/>
              <w:jc w:val="both"/>
              <w:rPr>
                <w:rFonts w:ascii="Garamond" w:hAnsi="Garamond" w:cstheme="minorHAnsi"/>
                <w:sz w:val="22"/>
                <w:szCs w:val="22"/>
                <w:highlight w:val="yellow"/>
              </w:rPr>
            </w:pPr>
            <w:r w:rsidRPr="00A5626D">
              <w:rPr>
                <w:rFonts w:ascii="Garamond" w:hAnsi="Garamond" w:cstheme="minorHAnsi"/>
                <w:sz w:val="22"/>
                <w:szCs w:val="22"/>
                <w:highlight w:val="yellow"/>
              </w:rPr>
              <w:t>В случае необходимости согласования значений учетных показателей по ГТП генерации ранее 5-го числа месяца, следующего за отчетным (но не ранее 1-го числа месяца, следующего за отчетным), поставщик электроэнергии после определения часовых временных интервалов в пределах отчетного периода, по которым значения учетных показателей по ГТП генерации будут включены в акт учета (оборота) по ГТП генерации (макет 51020), на официальном сайте КО в разделе «Данные АИИС»:</w:t>
            </w:r>
          </w:p>
          <w:p w14:paraId="2193495C" w14:textId="77777777" w:rsidR="00295C6D" w:rsidRPr="00A5626D" w:rsidRDefault="00295C6D" w:rsidP="00647FA0">
            <w:pPr>
              <w:pStyle w:val="ac"/>
              <w:numPr>
                <w:ilvl w:val="0"/>
                <w:numId w:val="253"/>
              </w:numPr>
              <w:tabs>
                <w:tab w:val="left" w:pos="567"/>
                <w:tab w:val="left" w:pos="1134"/>
                <w:tab w:val="left" w:pos="7938"/>
              </w:tabs>
              <w:spacing w:before="120" w:after="120" w:line="22" w:lineRule="atLeast"/>
              <w:ind w:left="0" w:firstLine="629"/>
              <w:contextualSpacing/>
              <w:jc w:val="both"/>
              <w:rPr>
                <w:rFonts w:ascii="Garamond" w:hAnsi="Garamond" w:cstheme="minorHAnsi"/>
                <w:sz w:val="22"/>
                <w:szCs w:val="22"/>
                <w:highlight w:val="yellow"/>
              </w:rPr>
            </w:pPr>
            <w:r w:rsidRPr="00A5626D">
              <w:rPr>
                <w:rFonts w:ascii="Garamond" w:hAnsi="Garamond" w:cstheme="minorHAnsi"/>
                <w:sz w:val="22"/>
                <w:szCs w:val="22"/>
                <w:highlight w:val="yellow"/>
              </w:rPr>
              <w:t xml:space="preserve">подписывает с использованием ЭП согласие на закрытие приема результатов измерений от АИИС КУЭ (макет 51019). Согласие на закрытие приема результатов измерений от АИИС КУЭ (макет 51019) подписывается по ГТП генерации, по которой требуется сформировать акт учета (оборота) по ГТП генерации (макет 51020). После подписания поставщиком электроэнергии согласия на закрытие приема результатов измерений от АИИС КУЭ (макет 51019) КО прекращает прием результатов измерений в формате макетов 80020 (80040) по группе (области) передаваемой информации «area», сформированной в отношении вышеуказанной ГТП генерации, а также по иным относящимся к тому же атрибуту АИИС группам </w:t>
            </w:r>
            <w:r w:rsidRPr="00A5626D">
              <w:rPr>
                <w:rFonts w:ascii="Garamond" w:hAnsi="Garamond" w:cstheme="minorHAnsi"/>
                <w:sz w:val="22"/>
                <w:szCs w:val="22"/>
                <w:highlight w:val="yellow"/>
              </w:rPr>
              <w:lastRenderedPageBreak/>
              <w:t>(областям) передаваемой информации «area», в состав которых входит хотя бы один измерительный канал точки измерений, включенный в состав вышеуказанной группы (области) передаваемой информации «area» (сформированной в отношении ГТП генерации, по которой подписано согласие на закрытие приема результатов измерений от АИИС КУЭ (макет 51019)). Одновременно с этим КО блокирует на официальном сайте КО в разделе «Данные АИИС» возможность корректировки поставщиком часовых временных интервалов в пределах отчетного периода, по которым значения учетных показателей по ГТП генерации будут включены в акт учета (оборота) по ГТП генерации (макет 51020).</w:t>
            </w:r>
          </w:p>
          <w:p w14:paraId="2A7215E8" w14:textId="77777777" w:rsidR="00295C6D" w:rsidRPr="00A5626D" w:rsidRDefault="00295C6D" w:rsidP="00647FA0">
            <w:pPr>
              <w:tabs>
                <w:tab w:val="left" w:pos="720"/>
                <w:tab w:val="left" w:pos="1080"/>
                <w:tab w:val="left" w:pos="1134"/>
                <w:tab w:val="left" w:pos="7938"/>
              </w:tabs>
              <w:spacing w:before="120" w:after="120" w:line="22" w:lineRule="atLeast"/>
              <w:ind w:firstLine="629"/>
              <w:jc w:val="both"/>
              <w:rPr>
                <w:rFonts w:ascii="Garamond" w:hAnsi="Garamond" w:cstheme="minorHAnsi"/>
                <w:sz w:val="22"/>
                <w:szCs w:val="22"/>
                <w:highlight w:val="yellow"/>
              </w:rPr>
            </w:pPr>
            <w:r w:rsidRPr="00A5626D">
              <w:rPr>
                <w:rFonts w:ascii="Garamond" w:hAnsi="Garamond" w:cstheme="minorHAnsi"/>
                <w:sz w:val="22"/>
                <w:szCs w:val="22"/>
                <w:highlight w:val="yellow"/>
              </w:rPr>
              <w:t xml:space="preserve">После подписания согласия на закрытие приема результатов измерений от АИИС КУЭ (макет 51019) поставщик электроэнергии не должен осуществлять передачу результатов измерений в формате макетов 80020 (80040) по группе (области) передаваемой информации «area», сформированной в отношении ГТП генерации, по которой подписано согласие на закрытие приема результатов измерений от АИИС КУЭ (макет 51019), а также по иным относящимся к тому же атрибуту АИИС группам (областям) передаваемой информации «area», в состав которых входит хотя бы один измерительный канал точки измерений, включенный в состав вышеуказанной группы (области) передаваемой информации «area» (сформированной в отношении ГТП генерации, по которой подписано согласие на закрытие приема результатов измерений от АИИС КУЭ (макет 51019)). Ответственность за возможное использование КО в расчетах результатов измерений в формате макетов 80020 (80040) в отношении вышеуказанных групп (областей) передаваемой информации «area», направленных после подписания поставщиком электроэнергии согласия на закрытие приема результатов измерений от АИИС КУЭ (макет 51019), возлагается на вышеуказанного поставщика электроэнергии; </w:t>
            </w:r>
          </w:p>
          <w:p w14:paraId="75BF23B2" w14:textId="77777777" w:rsidR="00295C6D" w:rsidRPr="00A5626D" w:rsidRDefault="00295C6D" w:rsidP="00647FA0">
            <w:pPr>
              <w:pStyle w:val="ac"/>
              <w:numPr>
                <w:ilvl w:val="0"/>
                <w:numId w:val="253"/>
              </w:numPr>
              <w:tabs>
                <w:tab w:val="left" w:pos="567"/>
                <w:tab w:val="left" w:pos="1134"/>
                <w:tab w:val="left" w:pos="7938"/>
              </w:tabs>
              <w:spacing w:before="120" w:after="120" w:line="22" w:lineRule="atLeast"/>
              <w:ind w:left="0" w:firstLine="629"/>
              <w:contextualSpacing/>
              <w:jc w:val="both"/>
              <w:rPr>
                <w:rFonts w:ascii="Garamond" w:hAnsi="Garamond" w:cstheme="minorHAnsi"/>
                <w:sz w:val="22"/>
                <w:szCs w:val="22"/>
                <w:highlight w:val="yellow"/>
              </w:rPr>
            </w:pPr>
            <w:r w:rsidRPr="00A5626D">
              <w:rPr>
                <w:rFonts w:ascii="Garamond" w:hAnsi="Garamond" w:cstheme="minorHAnsi"/>
                <w:sz w:val="22"/>
                <w:szCs w:val="22"/>
                <w:highlight w:val="yellow"/>
              </w:rPr>
              <w:t xml:space="preserve">согласовывает (путем подписания ЭП размещенного акта учета (оборота) по ГТП генерации (макет 51020)) значения учетных показателей по ГТП генерации, рассчитанные в соответствии с алгоритмом, указанным в действующем ПСИ, на основании результатов измерений, сформированных и направленных в соответствии с Приложением № 11.1.1 к </w:t>
            </w:r>
            <w:r w:rsidRPr="00A5626D">
              <w:rPr>
                <w:rFonts w:ascii="Garamond" w:hAnsi="Garamond" w:cstheme="minorHAnsi"/>
                <w:i/>
                <w:sz w:val="22"/>
                <w:szCs w:val="22"/>
                <w:highlight w:val="yellow"/>
              </w:rPr>
              <w:t>Положению о порядке получения статуса субъекта оптового рынка и ведения реестра субъектов оптового рынка</w:t>
            </w:r>
            <w:r w:rsidRPr="00A5626D">
              <w:rPr>
                <w:rFonts w:ascii="Garamond" w:hAnsi="Garamond" w:cstheme="minorHAnsi"/>
                <w:sz w:val="22"/>
                <w:szCs w:val="22"/>
                <w:highlight w:val="yellow"/>
              </w:rPr>
              <w:t xml:space="preserve"> </w:t>
            </w:r>
            <w:r w:rsidRPr="00A5626D">
              <w:rPr>
                <w:rFonts w:ascii="Garamond" w:hAnsi="Garamond" w:cstheme="minorHAnsi"/>
                <w:sz w:val="22"/>
                <w:szCs w:val="22"/>
                <w:highlight w:val="yellow"/>
              </w:rPr>
              <w:lastRenderedPageBreak/>
              <w:t xml:space="preserve">(Приложение № 1.1 к </w:t>
            </w:r>
            <w:r w:rsidRPr="00A5626D">
              <w:rPr>
                <w:rFonts w:ascii="Garamond" w:hAnsi="Garamond" w:cstheme="minorHAnsi"/>
                <w:i/>
                <w:sz w:val="22"/>
                <w:szCs w:val="22"/>
                <w:highlight w:val="yellow"/>
              </w:rPr>
              <w:t>Договору о присоединении к торговой системе оптового рынка</w:t>
            </w:r>
            <w:r w:rsidRPr="00A5626D">
              <w:rPr>
                <w:rFonts w:ascii="Garamond" w:hAnsi="Garamond" w:cstheme="minorHAnsi"/>
                <w:sz w:val="22"/>
                <w:szCs w:val="22"/>
                <w:highlight w:val="yellow"/>
              </w:rPr>
              <w:t>). Размещение акта учета (оборота) по ГТП генерации (макет 51020) осуществляется КО в течение 120 (ста двадцати) минут после подписания поставщиком электроэнергии согласия на закрытие приема результатов измерений от АИИС КУЭ (макет 51019) по ГТП генерации. При отсутствии размещенного акта учета (оборота) по ГТП генерации (макет 51020) по истечении 120 минут после подписания поставщиком электроэнергии согласия на закрытие приема результатов измерений от АИИС КУЭ (макет 51019) представитель поставщика должен связаться с представителем КО, ответственным за прием информации, с целью локализации и устранения проблемы.</w:t>
            </w:r>
          </w:p>
          <w:p w14:paraId="40C94944" w14:textId="77777777" w:rsidR="00295C6D" w:rsidRPr="00A5626D" w:rsidRDefault="00295C6D" w:rsidP="00647FA0">
            <w:pPr>
              <w:tabs>
                <w:tab w:val="left" w:pos="567"/>
                <w:tab w:val="left" w:pos="720"/>
                <w:tab w:val="left" w:pos="1134"/>
                <w:tab w:val="left" w:pos="7938"/>
              </w:tabs>
              <w:spacing w:before="120" w:after="120" w:line="22" w:lineRule="atLeast"/>
              <w:ind w:firstLine="629"/>
              <w:jc w:val="both"/>
              <w:rPr>
                <w:rFonts w:ascii="Garamond" w:hAnsi="Garamond" w:cstheme="minorHAnsi"/>
                <w:sz w:val="22"/>
                <w:szCs w:val="22"/>
                <w:highlight w:val="yellow"/>
              </w:rPr>
            </w:pPr>
            <w:r w:rsidRPr="00A5626D">
              <w:rPr>
                <w:rFonts w:ascii="Garamond" w:hAnsi="Garamond" w:cstheme="minorHAnsi"/>
                <w:sz w:val="22"/>
                <w:szCs w:val="22"/>
                <w:highlight w:val="yellow"/>
              </w:rPr>
              <w:t>Описание формата и пример макета 51019 приведены в приложении 2.1 к настоящему Регламенту.</w:t>
            </w:r>
          </w:p>
          <w:p w14:paraId="050C9B3C" w14:textId="77777777" w:rsidR="00295C6D" w:rsidRPr="00A5626D" w:rsidRDefault="00295C6D" w:rsidP="00647FA0">
            <w:pPr>
              <w:tabs>
                <w:tab w:val="left" w:pos="567"/>
                <w:tab w:val="left" w:pos="720"/>
                <w:tab w:val="left" w:pos="1134"/>
                <w:tab w:val="left" w:pos="7938"/>
              </w:tabs>
              <w:spacing w:before="120" w:after="120" w:line="22" w:lineRule="atLeast"/>
              <w:ind w:firstLine="629"/>
              <w:jc w:val="both"/>
              <w:rPr>
                <w:rFonts w:ascii="Garamond" w:hAnsi="Garamond" w:cstheme="minorHAnsi"/>
                <w:sz w:val="22"/>
                <w:szCs w:val="22"/>
                <w:highlight w:val="yellow"/>
              </w:rPr>
            </w:pPr>
            <w:r w:rsidRPr="00A5626D">
              <w:rPr>
                <w:rFonts w:ascii="Garamond" w:hAnsi="Garamond" w:cstheme="minorHAnsi"/>
                <w:sz w:val="22"/>
                <w:szCs w:val="22"/>
                <w:highlight w:val="yellow"/>
              </w:rPr>
              <w:t>В акте учета (оборота) по ГТП генерации (макет 51020) расчет почасовых значений произведенной электроэнергии осуществляется в соответствии со следующим порядком:</w:t>
            </w:r>
          </w:p>
          <w:p w14:paraId="4FAC04FE" w14:textId="251DAE0E" w:rsidR="00295C6D" w:rsidRPr="00A5626D" w:rsidRDefault="00295C6D" w:rsidP="00647FA0">
            <w:pPr>
              <w:pStyle w:val="ac"/>
              <w:numPr>
                <w:ilvl w:val="0"/>
                <w:numId w:val="255"/>
              </w:numPr>
              <w:tabs>
                <w:tab w:val="left" w:pos="567"/>
                <w:tab w:val="left" w:pos="720"/>
                <w:tab w:val="left" w:pos="1134"/>
                <w:tab w:val="left" w:pos="7938"/>
              </w:tabs>
              <w:spacing w:before="120" w:after="120" w:line="22" w:lineRule="atLeast"/>
              <w:ind w:left="0" w:firstLine="629"/>
              <w:contextualSpacing/>
              <w:jc w:val="both"/>
              <w:rPr>
                <w:rFonts w:ascii="Garamond" w:hAnsi="Garamond" w:cstheme="minorHAnsi"/>
                <w:sz w:val="22"/>
                <w:szCs w:val="22"/>
                <w:highlight w:val="yellow"/>
              </w:rPr>
            </w:pPr>
            <w:r w:rsidRPr="00A5626D">
              <w:rPr>
                <w:rFonts w:ascii="Garamond" w:hAnsi="Garamond" w:cstheme="minorHAnsi"/>
                <w:sz w:val="22"/>
                <w:szCs w:val="22"/>
                <w:highlight w:val="yellow"/>
              </w:rPr>
              <w:t>вычисляются получасовые значения потерь (в кВт∙ч) от точки измерений до точки поставки;</w:t>
            </w:r>
            <w:r w:rsidR="009B5F03" w:rsidRPr="00A5626D">
              <w:rPr>
                <w:rFonts w:ascii="Garamond" w:hAnsi="Garamond" w:cstheme="minorHAnsi"/>
                <w:sz w:val="22"/>
                <w:szCs w:val="22"/>
                <w:highlight w:val="yellow"/>
              </w:rPr>
              <w:t xml:space="preserve"> </w:t>
            </w:r>
          </w:p>
          <w:p w14:paraId="154866F5" w14:textId="77777777" w:rsidR="00295C6D" w:rsidRPr="00A5626D" w:rsidRDefault="00295C6D" w:rsidP="00647FA0">
            <w:pPr>
              <w:pStyle w:val="ac"/>
              <w:numPr>
                <w:ilvl w:val="0"/>
                <w:numId w:val="255"/>
              </w:numPr>
              <w:tabs>
                <w:tab w:val="left" w:pos="567"/>
                <w:tab w:val="left" w:pos="720"/>
                <w:tab w:val="left" w:pos="1134"/>
                <w:tab w:val="left" w:pos="7938"/>
              </w:tabs>
              <w:spacing w:before="120" w:after="120" w:line="22" w:lineRule="atLeast"/>
              <w:ind w:left="0" w:firstLine="629"/>
              <w:contextualSpacing/>
              <w:jc w:val="both"/>
              <w:rPr>
                <w:rFonts w:ascii="Garamond" w:hAnsi="Garamond" w:cstheme="minorHAnsi"/>
                <w:sz w:val="22"/>
                <w:szCs w:val="22"/>
                <w:highlight w:val="yellow"/>
              </w:rPr>
            </w:pPr>
            <w:r w:rsidRPr="00A5626D">
              <w:rPr>
                <w:rFonts w:ascii="Garamond" w:hAnsi="Garamond" w:cstheme="minorHAnsi"/>
                <w:sz w:val="22"/>
                <w:szCs w:val="22"/>
                <w:highlight w:val="yellow"/>
              </w:rPr>
              <w:t>вычисляются часовые величины электроэнергии в точке поставки (как сумма за два получаса в пределах одного часа);</w:t>
            </w:r>
          </w:p>
          <w:p w14:paraId="15A280F3" w14:textId="77777777" w:rsidR="00295C6D" w:rsidRPr="00A5626D" w:rsidRDefault="00295C6D" w:rsidP="00647FA0">
            <w:pPr>
              <w:pStyle w:val="ac"/>
              <w:numPr>
                <w:ilvl w:val="0"/>
                <w:numId w:val="255"/>
              </w:numPr>
              <w:tabs>
                <w:tab w:val="left" w:pos="567"/>
                <w:tab w:val="left" w:pos="720"/>
                <w:tab w:val="left" w:pos="1134"/>
                <w:tab w:val="left" w:pos="7938"/>
              </w:tabs>
              <w:spacing w:before="120" w:after="120" w:line="22" w:lineRule="atLeast"/>
              <w:ind w:left="0" w:firstLine="629"/>
              <w:contextualSpacing/>
              <w:jc w:val="both"/>
              <w:rPr>
                <w:rFonts w:ascii="Garamond" w:hAnsi="Garamond" w:cstheme="minorHAnsi"/>
                <w:sz w:val="22"/>
                <w:szCs w:val="22"/>
                <w:highlight w:val="yellow"/>
              </w:rPr>
            </w:pPr>
            <w:r w:rsidRPr="00A5626D">
              <w:rPr>
                <w:rFonts w:ascii="Garamond" w:hAnsi="Garamond" w:cstheme="minorHAnsi"/>
                <w:sz w:val="22"/>
                <w:szCs w:val="22"/>
                <w:highlight w:val="yellow"/>
              </w:rPr>
              <w:t>вычисляются часовые значения величины произведенной электроэнергии в ГТП генерации на основании часовых значений в точках поставки;</w:t>
            </w:r>
          </w:p>
          <w:p w14:paraId="1639A9BF" w14:textId="77777777" w:rsidR="00295C6D" w:rsidRPr="00A5626D" w:rsidRDefault="00295C6D" w:rsidP="00647FA0">
            <w:pPr>
              <w:pStyle w:val="ac"/>
              <w:numPr>
                <w:ilvl w:val="0"/>
                <w:numId w:val="255"/>
              </w:numPr>
              <w:tabs>
                <w:tab w:val="left" w:pos="567"/>
                <w:tab w:val="left" w:pos="720"/>
                <w:tab w:val="left" w:pos="1134"/>
                <w:tab w:val="left" w:pos="7938"/>
              </w:tabs>
              <w:spacing w:before="120" w:after="120" w:line="22" w:lineRule="atLeast"/>
              <w:ind w:left="0" w:firstLine="629"/>
              <w:contextualSpacing/>
              <w:jc w:val="both"/>
              <w:rPr>
                <w:rFonts w:ascii="Garamond" w:hAnsi="Garamond" w:cstheme="minorHAnsi"/>
                <w:sz w:val="22"/>
                <w:szCs w:val="22"/>
                <w:highlight w:val="yellow"/>
              </w:rPr>
            </w:pPr>
            <w:r w:rsidRPr="00A5626D">
              <w:rPr>
                <w:rFonts w:ascii="Garamond" w:hAnsi="Garamond" w:cstheme="minorHAnsi"/>
                <w:sz w:val="22"/>
                <w:szCs w:val="22"/>
                <w:highlight w:val="yellow"/>
              </w:rPr>
              <w:t>округляются до целых часовые значения величины произведенной электроэнергии в ГТП генерации.</w:t>
            </w:r>
          </w:p>
          <w:p w14:paraId="3D31B218" w14:textId="77777777" w:rsidR="00295C6D" w:rsidRPr="00A5626D" w:rsidRDefault="00295C6D" w:rsidP="00647FA0">
            <w:pPr>
              <w:tabs>
                <w:tab w:val="left" w:pos="720"/>
                <w:tab w:val="left" w:pos="1080"/>
                <w:tab w:val="left" w:pos="1134"/>
                <w:tab w:val="left" w:pos="7938"/>
              </w:tabs>
              <w:spacing w:before="120" w:after="120" w:line="22" w:lineRule="atLeast"/>
              <w:ind w:firstLine="629"/>
              <w:jc w:val="both"/>
              <w:rPr>
                <w:rFonts w:ascii="Garamond" w:hAnsi="Garamond" w:cstheme="minorHAnsi"/>
                <w:sz w:val="22"/>
                <w:szCs w:val="22"/>
                <w:highlight w:val="yellow"/>
              </w:rPr>
            </w:pPr>
            <w:r w:rsidRPr="00A5626D">
              <w:rPr>
                <w:rFonts w:ascii="Garamond" w:hAnsi="Garamond" w:cstheme="minorHAnsi"/>
                <w:sz w:val="22"/>
                <w:szCs w:val="22"/>
                <w:highlight w:val="yellow"/>
              </w:rPr>
              <w:t>Применяется следующий алгоритм округления: дробная часть на часовом интервале округляется до целых кВт∙ч по алгебраическим правилам округления – если десятичная часть больше или равна 5, то результат округляется в большую сторону, если меньше, то в меньшую. Разница между неокругленным значением и округленным (остаток от округления) прибавляется к результату измерений на следующем часовом интервале с учетом знака.</w:t>
            </w:r>
          </w:p>
          <w:p w14:paraId="368A14EA" w14:textId="77777777" w:rsidR="00295C6D" w:rsidRPr="00A5626D" w:rsidRDefault="00295C6D" w:rsidP="00647FA0">
            <w:pPr>
              <w:tabs>
                <w:tab w:val="left" w:pos="720"/>
                <w:tab w:val="left" w:pos="1080"/>
                <w:tab w:val="left" w:pos="1134"/>
                <w:tab w:val="left" w:pos="7938"/>
              </w:tabs>
              <w:spacing w:before="120" w:after="120" w:line="22" w:lineRule="atLeast"/>
              <w:ind w:firstLine="629"/>
              <w:jc w:val="both"/>
              <w:rPr>
                <w:rFonts w:ascii="Garamond" w:hAnsi="Garamond" w:cstheme="minorHAnsi"/>
                <w:sz w:val="22"/>
                <w:szCs w:val="22"/>
              </w:rPr>
            </w:pPr>
            <w:r w:rsidRPr="00A5626D">
              <w:rPr>
                <w:rFonts w:ascii="Garamond" w:hAnsi="Garamond" w:cstheme="minorHAnsi"/>
                <w:sz w:val="22"/>
                <w:szCs w:val="22"/>
                <w:highlight w:val="yellow"/>
              </w:rPr>
              <w:t xml:space="preserve">Поставщики электроэнергии в случаях, указанных в п. 7.6 настоящего Регламента, формируют корректирующий акт учета </w:t>
            </w:r>
            <w:r w:rsidRPr="00A5626D">
              <w:rPr>
                <w:rFonts w:ascii="Garamond" w:hAnsi="Garamond" w:cstheme="minorHAnsi"/>
                <w:sz w:val="22"/>
                <w:szCs w:val="22"/>
                <w:highlight w:val="yellow"/>
              </w:rPr>
              <w:lastRenderedPageBreak/>
              <w:t>(оборота) по ГТП генерации (макет 51075) и направляют в КО в виде электронного документа (макет 51075), заверенного ЭП.</w:t>
            </w:r>
          </w:p>
          <w:p w14:paraId="6A5138CF" w14:textId="77777777" w:rsidR="00295C6D" w:rsidRPr="00A5626D" w:rsidRDefault="00295C6D" w:rsidP="00647FA0">
            <w:pPr>
              <w:pStyle w:val="2"/>
              <w:widowControl/>
              <w:numPr>
                <w:ilvl w:val="1"/>
                <w:numId w:val="256"/>
              </w:numPr>
              <w:tabs>
                <w:tab w:val="left" w:pos="1134"/>
                <w:tab w:val="left" w:pos="7938"/>
              </w:tabs>
              <w:suppressAutoHyphens w:val="0"/>
              <w:autoSpaceDE/>
              <w:spacing w:before="120" w:after="120" w:line="22" w:lineRule="atLeast"/>
              <w:ind w:left="0" w:firstLine="629"/>
              <w:jc w:val="both"/>
              <w:rPr>
                <w:rFonts w:ascii="Garamond" w:hAnsi="Garamond" w:cstheme="minorHAnsi"/>
                <w:b w:val="0"/>
              </w:rPr>
            </w:pPr>
            <w:bookmarkStart w:id="114" w:name="_Toc139239912"/>
            <w:r w:rsidRPr="00A5626D">
              <w:rPr>
                <w:rFonts w:ascii="Garamond" w:hAnsi="Garamond" w:cstheme="minorHAnsi"/>
                <w:b w:val="0"/>
              </w:rPr>
              <w:t>ГАЭС обязаны сформировать (направить) данные коммерческого учета в отношении выработанной (в генераторном режиме) и потребленной (в двигательном режиме) электроэнергии.</w:t>
            </w:r>
            <w:bookmarkEnd w:id="114"/>
          </w:p>
          <w:p w14:paraId="48FD5B4E" w14:textId="77777777" w:rsidR="00295C6D" w:rsidRPr="00A5626D" w:rsidRDefault="00295C6D" w:rsidP="00647FA0">
            <w:pPr>
              <w:tabs>
                <w:tab w:val="left" w:pos="720"/>
                <w:tab w:val="left" w:pos="1080"/>
                <w:tab w:val="left" w:pos="1134"/>
                <w:tab w:val="left" w:pos="7938"/>
              </w:tabs>
              <w:spacing w:before="120" w:after="120" w:line="22" w:lineRule="atLeast"/>
              <w:ind w:firstLine="629"/>
              <w:jc w:val="both"/>
              <w:rPr>
                <w:rFonts w:ascii="Garamond" w:hAnsi="Garamond" w:cstheme="minorHAnsi"/>
                <w:sz w:val="22"/>
                <w:szCs w:val="22"/>
              </w:rPr>
            </w:pPr>
            <w:r w:rsidRPr="00A5626D">
              <w:rPr>
                <w:rFonts w:ascii="Garamond" w:hAnsi="Garamond" w:cstheme="minorHAnsi"/>
                <w:sz w:val="22"/>
                <w:szCs w:val="22"/>
              </w:rPr>
              <w:t>В части, связанной с формированием (направлением) данных коммерческого учета в отношении ГТП генерации ГАЭС в двигательном режиме (в том числе формирование акта учета (оборота) по ГТП генерации ГАЭС в двигательном режиме (макет 51020), корректирующего акта учета (оборота) по ГТП генерации ГАЭС в двигательном режиме (макет 51075), размещение на сайте КО результатов измерений и расчета учетного показателя в отношении ГТП генерации ГАЭС в двигательном режиме, применение замещающих методов расчета), применяются общие положения настоящего Регламента, установленные для ГТП генерации поставщиков электроэнергии.</w:t>
            </w:r>
          </w:p>
          <w:p w14:paraId="3AA48DB6" w14:textId="77777777" w:rsidR="00295C6D" w:rsidRPr="00A5626D" w:rsidRDefault="00295C6D" w:rsidP="00647FA0">
            <w:pPr>
              <w:pStyle w:val="2"/>
              <w:widowControl/>
              <w:numPr>
                <w:ilvl w:val="1"/>
                <w:numId w:val="256"/>
              </w:numPr>
              <w:tabs>
                <w:tab w:val="left" w:pos="1134"/>
                <w:tab w:val="left" w:pos="7938"/>
              </w:tabs>
              <w:suppressAutoHyphens w:val="0"/>
              <w:autoSpaceDE/>
              <w:spacing w:before="120" w:after="120" w:line="22" w:lineRule="atLeast"/>
              <w:ind w:left="0" w:firstLine="629"/>
              <w:jc w:val="both"/>
              <w:rPr>
                <w:rFonts w:ascii="Garamond" w:hAnsi="Garamond" w:cstheme="minorHAnsi"/>
                <w:b w:val="0"/>
                <w:highlight w:val="yellow"/>
              </w:rPr>
            </w:pPr>
            <w:bookmarkStart w:id="115" w:name="_Toc139239913"/>
            <w:r w:rsidRPr="00A5626D">
              <w:rPr>
                <w:rFonts w:ascii="Garamond" w:hAnsi="Garamond" w:cstheme="minorHAnsi"/>
                <w:b w:val="0"/>
                <w:highlight w:val="yellow"/>
              </w:rPr>
              <w:t>Отсутствие актов учета (оборота) по ГТП генерации (макет 51020),</w:t>
            </w:r>
            <w:r w:rsidRPr="00A5626D" w:rsidDel="00A76CF3">
              <w:rPr>
                <w:rFonts w:ascii="Garamond" w:hAnsi="Garamond" w:cstheme="minorHAnsi"/>
                <w:b w:val="0"/>
                <w:highlight w:val="yellow"/>
              </w:rPr>
              <w:t xml:space="preserve"> </w:t>
            </w:r>
            <w:r w:rsidRPr="00A5626D">
              <w:rPr>
                <w:rFonts w:ascii="Garamond" w:hAnsi="Garamond" w:cstheme="minorHAnsi"/>
                <w:b w:val="0"/>
                <w:highlight w:val="yellow"/>
              </w:rPr>
              <w:t>сформированных в порядке, установленном п. 3.9 настоящего Регламента, или наличие расхождений между почасовыми значениями учетных показателей по ГТП генерации, содержащимися в сформированном в соответствии с п. 3.9 настоящего Регламента акте учета (оборота) по ГТП генерации (макет 51020), и почасовыми значениями оперативных данных, полученных от СО и сформированных на основе телеинформации, более чем на 5 %, при этом величина расхождения должна превышать 300 кВт·ч, или направление в КО корректирующих актов учета (оборота) по ГТП генерации (макет 51075) означает безусловное согласие поставщиков электроэнергии на использование КО замещающих методов расчета для определения фактических объемов произведенной электроэнергии.</w:t>
            </w:r>
            <w:bookmarkEnd w:id="115"/>
          </w:p>
          <w:p w14:paraId="55DD58CE" w14:textId="77777777" w:rsidR="00295C6D" w:rsidRPr="00A5626D" w:rsidRDefault="00295C6D" w:rsidP="00647FA0">
            <w:pPr>
              <w:tabs>
                <w:tab w:val="left" w:pos="720"/>
                <w:tab w:val="left" w:pos="1080"/>
                <w:tab w:val="left" w:pos="1134"/>
                <w:tab w:val="left" w:pos="7938"/>
              </w:tabs>
              <w:spacing w:before="120" w:after="120" w:line="22" w:lineRule="atLeast"/>
              <w:ind w:firstLine="629"/>
              <w:jc w:val="both"/>
              <w:rPr>
                <w:rFonts w:ascii="Garamond" w:hAnsi="Garamond" w:cstheme="minorHAnsi"/>
                <w:sz w:val="22"/>
                <w:szCs w:val="22"/>
                <w:highlight w:val="yellow"/>
              </w:rPr>
            </w:pPr>
            <w:r w:rsidRPr="00A5626D">
              <w:rPr>
                <w:rFonts w:ascii="Garamond" w:hAnsi="Garamond" w:cstheme="minorHAnsi"/>
                <w:sz w:val="22"/>
                <w:szCs w:val="22"/>
                <w:highlight w:val="yellow"/>
              </w:rPr>
              <w:t>Отсутствие актов учета перетоков по внутреннему сечению (макет 51020),</w:t>
            </w:r>
            <w:r w:rsidRPr="00A5626D" w:rsidDel="00A76CF3">
              <w:rPr>
                <w:rFonts w:ascii="Garamond" w:hAnsi="Garamond" w:cstheme="minorHAnsi"/>
                <w:sz w:val="22"/>
                <w:szCs w:val="22"/>
                <w:highlight w:val="yellow"/>
              </w:rPr>
              <w:t xml:space="preserve"> </w:t>
            </w:r>
            <w:r w:rsidRPr="00A5626D">
              <w:rPr>
                <w:rFonts w:ascii="Garamond" w:hAnsi="Garamond" w:cstheme="minorHAnsi"/>
                <w:sz w:val="22"/>
                <w:szCs w:val="22"/>
                <w:highlight w:val="yellow"/>
              </w:rPr>
              <w:t xml:space="preserve">сформированных в порядке, установленном п. 7.4 настоящего Регламента, в том числе в связи с невыполнением требований раздела 5 настоящего Регламента, или направление в КО корректирующих актов учета перетоков по внутреннему сечению (макет 51075) в случаях, предусмотренных п. 3.2 или п. 3.4 настоящего </w:t>
            </w:r>
            <w:r w:rsidRPr="00A5626D">
              <w:rPr>
                <w:rFonts w:ascii="Garamond" w:hAnsi="Garamond" w:cstheme="minorHAnsi"/>
                <w:sz w:val="22"/>
                <w:szCs w:val="22"/>
                <w:highlight w:val="yellow"/>
              </w:rPr>
              <w:lastRenderedPageBreak/>
              <w:t>Регламента, означает безусловное согласие участников оптового рынка, в состав ГТП потребления которых входят внутренние сечения, на использование КО замещающих методов расчета для определения фактических объемов потребленной электроэнергии.</w:t>
            </w:r>
          </w:p>
          <w:p w14:paraId="27A4C0F0" w14:textId="77777777" w:rsidR="00295C6D" w:rsidRPr="00A5626D" w:rsidRDefault="00295C6D" w:rsidP="00647FA0">
            <w:pPr>
              <w:tabs>
                <w:tab w:val="left" w:pos="720"/>
                <w:tab w:val="left" w:pos="1080"/>
                <w:tab w:val="left" w:pos="1134"/>
                <w:tab w:val="left" w:pos="7938"/>
              </w:tabs>
              <w:spacing w:before="120" w:after="120" w:line="22" w:lineRule="atLeast"/>
              <w:ind w:firstLine="629"/>
              <w:jc w:val="both"/>
              <w:rPr>
                <w:rFonts w:ascii="Garamond" w:hAnsi="Garamond" w:cstheme="minorHAnsi"/>
                <w:sz w:val="22"/>
                <w:szCs w:val="22"/>
                <w:highlight w:val="yellow"/>
              </w:rPr>
            </w:pPr>
            <w:r w:rsidRPr="00A5626D">
              <w:rPr>
                <w:rFonts w:ascii="Garamond" w:hAnsi="Garamond" w:cstheme="minorHAnsi"/>
                <w:sz w:val="22"/>
                <w:szCs w:val="22"/>
                <w:highlight w:val="yellow"/>
              </w:rPr>
              <w:t>Отсутствие по сечениям коммерческого учета (за исключением временных сечений, сечений коммерческого учета, входящих в сечение экспорта-импорта) актов учета перетоков по сечению коммерческого учета (макет 51020), сформированных в порядке, установленном п. 7.2 настоящего Регламента, или направление в КО корректирующих актов учета перетоков по сечению коммерческого учета (макет 51075) в случаях, предусмотренных п. 7.6 настоящего Регламента, означает безусловное согласие участников оптового рынка (ФСК) на использование КО замещающих методов расчета для определения фактических объемов потребленной (переданной) электроэнергии.</w:t>
            </w:r>
          </w:p>
          <w:p w14:paraId="768A7274" w14:textId="77777777" w:rsidR="00295C6D" w:rsidRPr="00A5626D" w:rsidRDefault="00295C6D" w:rsidP="00647FA0">
            <w:pPr>
              <w:tabs>
                <w:tab w:val="left" w:pos="720"/>
                <w:tab w:val="left" w:pos="1080"/>
                <w:tab w:val="left" w:pos="1134"/>
                <w:tab w:val="left" w:pos="7938"/>
              </w:tabs>
              <w:spacing w:before="120" w:after="120" w:line="22" w:lineRule="atLeast"/>
              <w:ind w:firstLine="629"/>
              <w:jc w:val="both"/>
              <w:rPr>
                <w:rFonts w:ascii="Garamond" w:hAnsi="Garamond" w:cstheme="minorHAnsi"/>
                <w:sz w:val="22"/>
                <w:szCs w:val="22"/>
              </w:rPr>
            </w:pPr>
            <w:r w:rsidRPr="00A5626D">
              <w:rPr>
                <w:rFonts w:ascii="Garamond" w:hAnsi="Garamond" w:cstheme="minorHAnsi"/>
                <w:sz w:val="22"/>
                <w:szCs w:val="22"/>
                <w:highlight w:val="yellow"/>
              </w:rPr>
              <w:t>Непредставление в КО согласованных интегральных актов учета перетоков (макеты 50080) по сечениям коммерческого учета между участником оптового рынка и ФСК (в случаях, когда предоставление интегральных актов учета перетоков предусмотрено п. 3.8 настоящего Регламента) означает безусловное согласие участников оптового рынка и ФСК на использование КО замещающих методов расчетов для определения фактических объемов перетока электроэнергии в таких сечениях коммерческого учета.</w:t>
            </w:r>
          </w:p>
          <w:p w14:paraId="3855BFFB" w14:textId="77777777" w:rsidR="00295C6D" w:rsidRPr="00A5626D" w:rsidRDefault="00295C6D" w:rsidP="00647FA0">
            <w:pPr>
              <w:pStyle w:val="2"/>
              <w:widowControl/>
              <w:numPr>
                <w:ilvl w:val="1"/>
                <w:numId w:val="256"/>
              </w:numPr>
              <w:tabs>
                <w:tab w:val="left" w:pos="1134"/>
                <w:tab w:val="left" w:pos="7938"/>
              </w:tabs>
              <w:suppressAutoHyphens w:val="0"/>
              <w:autoSpaceDE/>
              <w:spacing w:before="120" w:after="120" w:line="22" w:lineRule="atLeast"/>
              <w:ind w:left="0" w:firstLine="629"/>
              <w:jc w:val="both"/>
              <w:rPr>
                <w:rFonts w:ascii="Garamond" w:hAnsi="Garamond" w:cstheme="minorHAnsi"/>
                <w:b w:val="0"/>
              </w:rPr>
            </w:pPr>
            <w:bookmarkStart w:id="116" w:name="_Toc139239914"/>
            <w:r w:rsidRPr="00A5626D">
              <w:rPr>
                <w:rFonts w:ascii="Garamond" w:hAnsi="Garamond" w:cstheme="minorHAnsi"/>
                <w:b w:val="0"/>
              </w:rPr>
              <w:t>Замещающие методы расчета используются в отношении групп точек поставки (сечений коммерческого учета) в следующих случаях:</w:t>
            </w:r>
            <w:bookmarkEnd w:id="116"/>
          </w:p>
          <w:p w14:paraId="4CB2D321" w14:textId="77777777" w:rsidR="00295C6D" w:rsidRPr="00A5626D" w:rsidRDefault="00295C6D" w:rsidP="00647FA0">
            <w:pPr>
              <w:pStyle w:val="28"/>
              <w:numPr>
                <w:ilvl w:val="0"/>
                <w:numId w:val="252"/>
              </w:numPr>
              <w:tabs>
                <w:tab w:val="left" w:pos="1134"/>
                <w:tab w:val="left" w:pos="1200"/>
                <w:tab w:val="left" w:pos="7938"/>
              </w:tabs>
              <w:spacing w:before="120" w:line="22" w:lineRule="atLeast"/>
              <w:ind w:left="0" w:firstLine="629"/>
              <w:jc w:val="both"/>
              <w:rPr>
                <w:rFonts w:cstheme="minorHAnsi"/>
                <w:szCs w:val="22"/>
              </w:rPr>
            </w:pPr>
            <w:r w:rsidRPr="00A5626D">
              <w:rPr>
                <w:rFonts w:cstheme="minorHAnsi"/>
                <w:szCs w:val="22"/>
              </w:rPr>
              <w:t xml:space="preserve">отсутствуют акты учета (оборота) по ГТП генерации и (или) акты учета перетоков по сечению коммерческого учета (макеты 51020), сформированные в порядке, установленном пп. </w:t>
            </w:r>
            <w:r w:rsidRPr="00A5626D">
              <w:rPr>
                <w:rFonts w:cstheme="minorHAnsi"/>
                <w:szCs w:val="22"/>
                <w:highlight w:val="yellow"/>
              </w:rPr>
              <w:t>3.9 и</w:t>
            </w:r>
            <w:r w:rsidRPr="00A5626D">
              <w:rPr>
                <w:rFonts w:cstheme="minorHAnsi"/>
                <w:szCs w:val="22"/>
              </w:rPr>
              <w:t xml:space="preserve"> 7.2 настоящего Регламента;</w:t>
            </w:r>
          </w:p>
          <w:p w14:paraId="035A75C1" w14:textId="77777777" w:rsidR="00295C6D" w:rsidRPr="00A5626D" w:rsidRDefault="00295C6D" w:rsidP="00647FA0">
            <w:pPr>
              <w:pStyle w:val="28"/>
              <w:numPr>
                <w:ilvl w:val="0"/>
                <w:numId w:val="252"/>
              </w:numPr>
              <w:tabs>
                <w:tab w:val="left" w:pos="1134"/>
                <w:tab w:val="left" w:pos="1200"/>
                <w:tab w:val="left" w:pos="7938"/>
              </w:tabs>
              <w:spacing w:before="120" w:line="22" w:lineRule="atLeast"/>
              <w:ind w:left="0" w:firstLine="629"/>
              <w:jc w:val="both"/>
              <w:rPr>
                <w:rFonts w:cstheme="minorHAnsi"/>
                <w:szCs w:val="22"/>
              </w:rPr>
            </w:pPr>
            <w:r w:rsidRPr="00A5626D">
              <w:rPr>
                <w:rFonts w:cstheme="minorHAnsi"/>
                <w:szCs w:val="22"/>
              </w:rPr>
              <w:t>отсутствуют акты учета перетоков по внутреннему сечению (макет 51020), сформированные участником оптового рынка, в состав ГТП потребления которого входят внутренние сечения, в порядке, установленном п. 7.4 настоящего Регламента (в том числе в связи с невыполнением требований раздела 5 настоящего Регламента);</w:t>
            </w:r>
          </w:p>
          <w:p w14:paraId="40641BA5" w14:textId="77777777" w:rsidR="00295C6D" w:rsidRPr="00A5626D" w:rsidRDefault="00295C6D" w:rsidP="00647FA0">
            <w:pPr>
              <w:pStyle w:val="28"/>
              <w:numPr>
                <w:ilvl w:val="0"/>
                <w:numId w:val="252"/>
              </w:numPr>
              <w:tabs>
                <w:tab w:val="left" w:pos="1134"/>
                <w:tab w:val="left" w:pos="1200"/>
                <w:tab w:val="left" w:pos="7938"/>
              </w:tabs>
              <w:spacing w:before="120" w:line="22" w:lineRule="atLeast"/>
              <w:ind w:left="0" w:firstLine="629"/>
              <w:jc w:val="both"/>
              <w:rPr>
                <w:rFonts w:cstheme="minorHAnsi"/>
                <w:szCs w:val="22"/>
              </w:rPr>
            </w:pPr>
            <w:r w:rsidRPr="00A5626D">
              <w:rPr>
                <w:rFonts w:cstheme="minorHAnsi"/>
                <w:szCs w:val="22"/>
              </w:rPr>
              <w:lastRenderedPageBreak/>
              <w:t xml:space="preserve">имеются расхождения между почасовыми значениями учетных показателей по ГТП генерации, содержащимися в сформированном в соответствии с п. </w:t>
            </w:r>
            <w:r w:rsidRPr="00A5626D">
              <w:rPr>
                <w:rFonts w:cstheme="minorHAnsi"/>
                <w:szCs w:val="22"/>
                <w:highlight w:val="yellow"/>
              </w:rPr>
              <w:t>3.9</w:t>
            </w:r>
            <w:r w:rsidRPr="00A5626D">
              <w:rPr>
                <w:rFonts w:cstheme="minorHAnsi"/>
                <w:szCs w:val="22"/>
              </w:rPr>
              <w:t xml:space="preserve"> настоящего Регламента акте учета (оборота) по ГТП генерации (макет 51020), и почасовыми значениями оперативных данных, полученных от СО и сформированных на основе телеинформации, более чем на 5 %, при этом величина расхождения должна превышать 300 кВт·ч;</w:t>
            </w:r>
          </w:p>
          <w:p w14:paraId="5B855B10" w14:textId="77777777" w:rsidR="00295C6D" w:rsidRPr="00A5626D" w:rsidRDefault="00295C6D" w:rsidP="00647FA0">
            <w:pPr>
              <w:pStyle w:val="28"/>
              <w:numPr>
                <w:ilvl w:val="0"/>
                <w:numId w:val="252"/>
              </w:numPr>
              <w:tabs>
                <w:tab w:val="left" w:pos="1134"/>
                <w:tab w:val="left" w:pos="1200"/>
                <w:tab w:val="left" w:pos="7938"/>
              </w:tabs>
              <w:spacing w:before="120" w:line="22" w:lineRule="atLeast"/>
              <w:ind w:left="0" w:firstLine="629"/>
              <w:jc w:val="both"/>
              <w:rPr>
                <w:rFonts w:cstheme="minorHAnsi"/>
                <w:szCs w:val="22"/>
              </w:rPr>
            </w:pPr>
            <w:r w:rsidRPr="00A5626D">
              <w:rPr>
                <w:rFonts w:cstheme="minorHAnsi"/>
                <w:szCs w:val="22"/>
              </w:rPr>
              <w:t>КО приняты к расчетам направленные участниками оптового рынка (ФСК) корректирующие акты учета (оборота) по ГТП генерации либо корректирующие акты учета перетоков по сечению коммерческого учета (макеты 51075) соответственно;</w:t>
            </w:r>
          </w:p>
          <w:p w14:paraId="260351A7" w14:textId="77777777" w:rsidR="00295C6D" w:rsidRPr="00A5626D" w:rsidRDefault="00295C6D" w:rsidP="00647FA0">
            <w:pPr>
              <w:pStyle w:val="28"/>
              <w:numPr>
                <w:ilvl w:val="0"/>
                <w:numId w:val="252"/>
              </w:numPr>
              <w:tabs>
                <w:tab w:val="left" w:pos="1134"/>
                <w:tab w:val="left" w:pos="1200"/>
                <w:tab w:val="left" w:pos="7938"/>
              </w:tabs>
              <w:spacing w:before="120" w:line="22" w:lineRule="atLeast"/>
              <w:ind w:left="0" w:firstLine="629"/>
              <w:jc w:val="both"/>
              <w:rPr>
                <w:rFonts w:cstheme="minorHAnsi"/>
                <w:szCs w:val="22"/>
              </w:rPr>
            </w:pPr>
            <w:r w:rsidRPr="00A5626D">
              <w:rPr>
                <w:rFonts w:cstheme="minorHAnsi"/>
                <w:szCs w:val="22"/>
              </w:rPr>
              <w:t xml:space="preserve">отсутствуют акты учета (оборота) по ГТП генерации ГАЭС, сформированные в порядке, установленном п. </w:t>
            </w:r>
            <w:r w:rsidRPr="00A5626D">
              <w:rPr>
                <w:rFonts w:cstheme="minorHAnsi"/>
                <w:szCs w:val="22"/>
                <w:highlight w:val="yellow"/>
              </w:rPr>
              <w:t>3.9</w:t>
            </w:r>
            <w:r w:rsidRPr="00A5626D">
              <w:rPr>
                <w:rFonts w:cstheme="minorHAnsi"/>
                <w:szCs w:val="22"/>
              </w:rPr>
              <w:t xml:space="preserve"> настоящего Регламента (макет 51020), в отношении произведенной и (или) потребленной генератором (-ами) в двигательном режиме электроэнергии;</w:t>
            </w:r>
          </w:p>
          <w:p w14:paraId="6860292A" w14:textId="77777777" w:rsidR="00295C6D" w:rsidRPr="00A5626D" w:rsidRDefault="00295C6D" w:rsidP="00647FA0">
            <w:pPr>
              <w:pStyle w:val="28"/>
              <w:numPr>
                <w:ilvl w:val="0"/>
                <w:numId w:val="252"/>
              </w:numPr>
              <w:tabs>
                <w:tab w:val="left" w:pos="1134"/>
                <w:tab w:val="left" w:pos="1200"/>
                <w:tab w:val="left" w:pos="7938"/>
              </w:tabs>
              <w:spacing w:before="120" w:line="22" w:lineRule="atLeast"/>
              <w:ind w:left="0" w:firstLine="629"/>
              <w:jc w:val="both"/>
              <w:rPr>
                <w:rFonts w:cstheme="minorHAnsi"/>
                <w:szCs w:val="22"/>
              </w:rPr>
            </w:pPr>
            <w:r w:rsidRPr="00A5626D">
              <w:rPr>
                <w:rFonts w:cstheme="minorHAnsi"/>
                <w:szCs w:val="22"/>
              </w:rPr>
              <w:t>в отношении ГТП генерации ГАЭС КО приняты к расчетам корректирующие акты учета (оборота) по ГТП генерации ГАЭС (макет 51075) в отношении произведенной и (или) потребленной генератором (-ами) в двигательном режиме электроэнергии;</w:t>
            </w:r>
          </w:p>
          <w:p w14:paraId="4C18249F" w14:textId="77777777" w:rsidR="00295C6D" w:rsidRPr="00A5626D" w:rsidRDefault="00295C6D" w:rsidP="00647FA0">
            <w:pPr>
              <w:pStyle w:val="28"/>
              <w:numPr>
                <w:ilvl w:val="0"/>
                <w:numId w:val="252"/>
              </w:numPr>
              <w:tabs>
                <w:tab w:val="left" w:pos="1134"/>
                <w:tab w:val="left" w:pos="1200"/>
                <w:tab w:val="left" w:pos="7938"/>
              </w:tabs>
              <w:spacing w:before="120" w:line="22" w:lineRule="atLeast"/>
              <w:ind w:left="0" w:firstLine="629"/>
              <w:jc w:val="both"/>
              <w:rPr>
                <w:rFonts w:cstheme="minorHAnsi"/>
                <w:szCs w:val="22"/>
              </w:rPr>
            </w:pPr>
            <w:r w:rsidRPr="00A5626D">
              <w:rPr>
                <w:rFonts w:cstheme="minorHAnsi"/>
                <w:szCs w:val="22"/>
              </w:rPr>
              <w:t>КО не приняты к расчетам согласованные интегральные акты учета перетоков (макеты 50080);</w:t>
            </w:r>
          </w:p>
          <w:p w14:paraId="5541C4F9" w14:textId="77777777" w:rsidR="00295C6D" w:rsidRPr="00A5626D" w:rsidRDefault="00295C6D" w:rsidP="00647FA0">
            <w:pPr>
              <w:pStyle w:val="28"/>
              <w:numPr>
                <w:ilvl w:val="0"/>
                <w:numId w:val="252"/>
              </w:numPr>
              <w:tabs>
                <w:tab w:val="left" w:pos="1134"/>
                <w:tab w:val="left" w:pos="1200"/>
                <w:tab w:val="left" w:pos="7938"/>
              </w:tabs>
              <w:spacing w:before="120" w:line="22" w:lineRule="atLeast"/>
              <w:ind w:left="0" w:firstLine="629"/>
              <w:jc w:val="both"/>
              <w:rPr>
                <w:rFonts w:cstheme="minorHAnsi"/>
                <w:szCs w:val="22"/>
              </w:rPr>
            </w:pPr>
            <w:r w:rsidRPr="00A5626D">
              <w:rPr>
                <w:rFonts w:cstheme="minorHAnsi"/>
                <w:szCs w:val="22"/>
              </w:rPr>
              <w:t xml:space="preserve">не выполнены требования </w:t>
            </w:r>
            <w:r w:rsidRPr="00A5626D">
              <w:rPr>
                <w:rFonts w:cstheme="minorHAnsi"/>
                <w:szCs w:val="22"/>
                <w:highlight w:val="yellow"/>
              </w:rPr>
              <w:t>раздела 5</w:t>
            </w:r>
            <w:r w:rsidRPr="00A5626D">
              <w:rPr>
                <w:rFonts w:cstheme="minorHAnsi"/>
                <w:szCs w:val="22"/>
              </w:rPr>
              <w:t xml:space="preserve"> настоящего Регламента по внутренним сечениям по истечении срока, установленного </w:t>
            </w:r>
            <w:r w:rsidRPr="00A5626D">
              <w:rPr>
                <w:rFonts w:cstheme="minorHAnsi"/>
                <w:szCs w:val="22"/>
                <w:highlight w:val="yellow"/>
              </w:rPr>
              <w:t xml:space="preserve">п. 3.2 или п. 3.4 </w:t>
            </w:r>
            <w:r w:rsidRPr="00A5626D">
              <w:rPr>
                <w:rFonts w:cstheme="minorHAnsi"/>
                <w:szCs w:val="22"/>
              </w:rPr>
              <w:t>настоящего Регламента;</w:t>
            </w:r>
          </w:p>
          <w:p w14:paraId="572E5CCC" w14:textId="77777777" w:rsidR="00295C6D" w:rsidRPr="00A5626D" w:rsidRDefault="00295C6D" w:rsidP="00647FA0">
            <w:pPr>
              <w:pStyle w:val="28"/>
              <w:numPr>
                <w:ilvl w:val="0"/>
                <w:numId w:val="252"/>
              </w:numPr>
              <w:tabs>
                <w:tab w:val="left" w:pos="1134"/>
                <w:tab w:val="left" w:pos="1200"/>
                <w:tab w:val="left" w:pos="7938"/>
              </w:tabs>
              <w:spacing w:before="120" w:line="22" w:lineRule="atLeast"/>
              <w:ind w:left="0" w:firstLine="629"/>
              <w:jc w:val="both"/>
              <w:rPr>
                <w:rFonts w:cstheme="minorHAnsi"/>
                <w:szCs w:val="22"/>
              </w:rPr>
            </w:pPr>
            <w:r w:rsidRPr="00A5626D">
              <w:rPr>
                <w:rFonts w:cstheme="minorHAnsi"/>
                <w:szCs w:val="22"/>
              </w:rPr>
              <w:t>при реорганизации субъектов оптового рынка в случаях, установленных п. 7.</w:t>
            </w:r>
            <w:r w:rsidRPr="00A5626D">
              <w:rPr>
                <w:rFonts w:cstheme="minorHAnsi"/>
                <w:szCs w:val="22"/>
                <w:highlight w:val="yellow"/>
              </w:rPr>
              <w:t>3</w:t>
            </w:r>
            <w:r w:rsidRPr="00A5626D">
              <w:rPr>
                <w:rFonts w:cstheme="minorHAnsi"/>
                <w:szCs w:val="22"/>
              </w:rPr>
              <w:t xml:space="preserve"> настоящего Регламента.</w:t>
            </w:r>
          </w:p>
          <w:p w14:paraId="28AADDDF" w14:textId="77777777" w:rsidR="00295C6D" w:rsidRPr="00A5626D" w:rsidRDefault="00295C6D" w:rsidP="00647FA0">
            <w:pPr>
              <w:pStyle w:val="2"/>
              <w:widowControl/>
              <w:numPr>
                <w:ilvl w:val="1"/>
                <w:numId w:val="256"/>
              </w:numPr>
              <w:tabs>
                <w:tab w:val="left" w:pos="1134"/>
                <w:tab w:val="left" w:pos="7938"/>
              </w:tabs>
              <w:suppressAutoHyphens w:val="0"/>
              <w:autoSpaceDE/>
              <w:spacing w:before="120" w:after="120" w:line="22" w:lineRule="atLeast"/>
              <w:ind w:left="0" w:firstLine="629"/>
              <w:jc w:val="both"/>
              <w:rPr>
                <w:rFonts w:ascii="Garamond" w:hAnsi="Garamond" w:cstheme="minorHAnsi"/>
                <w:b w:val="0"/>
              </w:rPr>
            </w:pPr>
            <w:bookmarkStart w:id="117" w:name="_Toc139239915"/>
            <w:r w:rsidRPr="00A5626D">
              <w:rPr>
                <w:rFonts w:ascii="Garamond" w:hAnsi="Garamond" w:cstheme="minorHAnsi"/>
                <w:b w:val="0"/>
                <w:highlight w:val="yellow"/>
              </w:rPr>
              <w:t>При осуществлении коммерческого учета в отношении экспортно-импортных операций фактические почасовые объемы сальдо перетоков</w:t>
            </w:r>
            <w:r w:rsidRPr="00A5626D">
              <w:rPr>
                <w:rFonts w:ascii="Garamond" w:hAnsi="Garamond" w:cstheme="minorHAnsi"/>
                <w:b w:val="0"/>
              </w:rPr>
              <w:t xml:space="preserve"> по </w:t>
            </w:r>
            <w:r w:rsidRPr="00A5626D">
              <w:rPr>
                <w:rFonts w:ascii="Garamond" w:hAnsi="Garamond" w:cstheme="minorHAnsi"/>
                <w:b w:val="0"/>
                <w:highlight w:val="yellow"/>
              </w:rPr>
              <w:t>каждому</w:t>
            </w:r>
            <w:r w:rsidRPr="00A5626D">
              <w:rPr>
                <w:rFonts w:ascii="Garamond" w:hAnsi="Garamond" w:cstheme="minorHAnsi"/>
                <w:b w:val="0"/>
              </w:rPr>
              <w:t xml:space="preserve"> сечени</w:t>
            </w:r>
            <w:r w:rsidRPr="00A5626D">
              <w:rPr>
                <w:rFonts w:ascii="Garamond" w:hAnsi="Garamond" w:cstheme="minorHAnsi"/>
                <w:b w:val="0"/>
                <w:highlight w:val="yellow"/>
              </w:rPr>
              <w:t>ю</w:t>
            </w:r>
            <w:r w:rsidRPr="00A5626D">
              <w:rPr>
                <w:rFonts w:ascii="Garamond" w:hAnsi="Garamond" w:cstheme="minorHAnsi"/>
                <w:b w:val="0"/>
              </w:rPr>
              <w:t xml:space="preserve"> экспорта-импорта определяются КО как сумма почасовых величин </w:t>
            </w:r>
            <w:r w:rsidRPr="00A5626D">
              <w:rPr>
                <w:rFonts w:ascii="Garamond" w:hAnsi="Garamond" w:cstheme="minorHAnsi"/>
                <w:b w:val="0"/>
                <w:highlight w:val="yellow"/>
              </w:rPr>
              <w:t>электроэнергии</w:t>
            </w:r>
            <w:r w:rsidRPr="00A5626D">
              <w:rPr>
                <w:rFonts w:ascii="Garamond" w:hAnsi="Garamond" w:cstheme="minorHAnsi"/>
                <w:b w:val="0"/>
              </w:rPr>
              <w:t xml:space="preserve">, отраженных в направленных ФСК и принятых КО актах учета перетоков по сечениям коммерческого учета, входящим в сечение </w:t>
            </w:r>
            <w:r w:rsidRPr="00A5626D">
              <w:rPr>
                <w:rFonts w:ascii="Garamond" w:hAnsi="Garamond" w:cstheme="minorHAnsi"/>
                <w:b w:val="0"/>
              </w:rPr>
              <w:lastRenderedPageBreak/>
              <w:t>экспорта-импорта, а также данных коммерческого учета, сформированных на основании замещающих методов расчета, предусмотренных настоящим Регламентом. Для целей настоящего Регламента в качестве актов учета перетоков по сечениям коммерческого учета, входящим в сечение экспорта-импорта, используются корректирующие акты учета перетоков (макеты 51075) с указанием причины № 4.</w:t>
            </w:r>
            <w:bookmarkEnd w:id="117"/>
          </w:p>
          <w:p w14:paraId="3E0E6CBC" w14:textId="77777777" w:rsidR="00295C6D" w:rsidRPr="00A5626D" w:rsidRDefault="00295C6D" w:rsidP="00647FA0">
            <w:pPr>
              <w:tabs>
                <w:tab w:val="left" w:pos="720"/>
                <w:tab w:val="left" w:pos="1080"/>
                <w:tab w:val="left" w:pos="1134"/>
                <w:tab w:val="left" w:pos="7938"/>
              </w:tabs>
              <w:spacing w:before="120" w:after="120" w:line="22" w:lineRule="atLeast"/>
              <w:ind w:firstLine="629"/>
              <w:jc w:val="both"/>
              <w:rPr>
                <w:rFonts w:ascii="Garamond" w:hAnsi="Garamond" w:cstheme="minorHAnsi"/>
                <w:sz w:val="22"/>
                <w:szCs w:val="22"/>
              </w:rPr>
            </w:pPr>
            <w:r w:rsidRPr="00A5626D">
              <w:rPr>
                <w:rFonts w:ascii="Garamond" w:hAnsi="Garamond" w:cstheme="minorHAnsi"/>
                <w:sz w:val="22"/>
                <w:szCs w:val="22"/>
              </w:rPr>
              <w:t>Вышеуказанные корректирующие акты учета перетоков (макеты 51075) по сечениям коммерческого учета, входящим в сечение экспорта-импорта, должны формироваться и представляться ФСК в КО на основании результатов измерений объемов электроэнергии, передаваемой по межгосударственным линиям электропередач (МГЛЭП), пересекающим государственную границу Российской Федерации, при этом данные коммерческого учета представляются в КО с учетом времени той ценовой зоны (неценовой зоны), к которой отнесено сечение экспорта-импорта.</w:t>
            </w:r>
          </w:p>
          <w:p w14:paraId="4A6E2F07" w14:textId="77777777" w:rsidR="00295C6D" w:rsidRPr="00A5626D" w:rsidRDefault="00295C6D" w:rsidP="00647FA0">
            <w:pPr>
              <w:pStyle w:val="2"/>
              <w:widowControl/>
              <w:numPr>
                <w:ilvl w:val="1"/>
                <w:numId w:val="256"/>
              </w:numPr>
              <w:tabs>
                <w:tab w:val="left" w:pos="1134"/>
                <w:tab w:val="left" w:pos="7938"/>
              </w:tabs>
              <w:suppressAutoHyphens w:val="0"/>
              <w:autoSpaceDE/>
              <w:spacing w:before="120" w:after="120" w:line="22" w:lineRule="atLeast"/>
              <w:ind w:left="0" w:firstLine="629"/>
              <w:jc w:val="both"/>
              <w:rPr>
                <w:rFonts w:ascii="Garamond" w:hAnsi="Garamond" w:cstheme="minorHAnsi"/>
                <w:b w:val="0"/>
              </w:rPr>
            </w:pPr>
            <w:bookmarkStart w:id="118" w:name="_Toc139239916"/>
            <w:r w:rsidRPr="00A5626D">
              <w:rPr>
                <w:rFonts w:ascii="Garamond" w:hAnsi="Garamond" w:cstheme="minorHAnsi"/>
                <w:b w:val="0"/>
              </w:rPr>
              <w:t>Для сечений между ценовыми, а также между ценовыми и неценовыми зонами формирование (направление) данных коммерческого учета в КО осуществляет ФСК (за исключением случаев, когда в указанных сечениях точки поставки относятся к ГТП потребления смежных участников оптового рынка или участника оптового рынка и ФСК). В случае если сечение между ценовыми, а также между ценовыми и неценовыми зонами сформировано из точек поставки, относящихся к ГТП потребления смежных участников оптового рынка или участника оптового рынка и ФСК, формирование (направление) данных коммерческого учета осуществляют указанные участники оптового рынка или участник оптового рынка и ФСК. При этом данные коммерческого учета представляются в КО с учетом времени той ценовой зоны, к которой отнесено данное сечение.</w:t>
            </w:r>
            <w:bookmarkEnd w:id="118"/>
          </w:p>
          <w:p w14:paraId="000F0B5E" w14:textId="77777777" w:rsidR="00295C6D" w:rsidRPr="00A5626D" w:rsidRDefault="00295C6D" w:rsidP="00647FA0">
            <w:pPr>
              <w:pStyle w:val="2"/>
              <w:widowControl/>
              <w:numPr>
                <w:ilvl w:val="1"/>
                <w:numId w:val="256"/>
              </w:numPr>
              <w:tabs>
                <w:tab w:val="left" w:pos="1134"/>
                <w:tab w:val="left" w:pos="7938"/>
              </w:tabs>
              <w:suppressAutoHyphens w:val="0"/>
              <w:autoSpaceDE/>
              <w:spacing w:before="120" w:after="120" w:line="22" w:lineRule="atLeast"/>
              <w:ind w:left="0" w:firstLine="629"/>
              <w:jc w:val="both"/>
              <w:rPr>
                <w:rFonts w:ascii="Garamond" w:hAnsi="Garamond" w:cstheme="minorHAnsi"/>
                <w:b w:val="0"/>
              </w:rPr>
            </w:pPr>
            <w:bookmarkStart w:id="119" w:name="_Toc139239917"/>
            <w:r w:rsidRPr="00A5626D">
              <w:rPr>
                <w:rFonts w:ascii="Garamond" w:hAnsi="Garamond" w:cstheme="minorHAnsi"/>
                <w:b w:val="0"/>
              </w:rPr>
              <w:t xml:space="preserve">Изменения состава средств измерений, используемых в целях коммерческого учета электроэнергии по точкам поставки смежных участников оптового рынка (участников оптового рынка и ФСК), изменения состава точек измерений или точек поставки, а также иные изменения информации, содержащейся в ПСИ, должны своевременно вноситься в указанный документ соответствующими субъектами оптового рынка. Риски наступления неблагоприятных последствий, вызванных невнесением и (или) несвоевременным </w:t>
            </w:r>
            <w:r w:rsidRPr="00A5626D">
              <w:rPr>
                <w:rFonts w:ascii="Garamond" w:hAnsi="Garamond" w:cstheme="minorHAnsi"/>
                <w:b w:val="0"/>
              </w:rPr>
              <w:lastRenderedPageBreak/>
              <w:t xml:space="preserve">внесением указанных изменений в ПСИ, лежат на участниках оптового рынка </w:t>
            </w:r>
            <w:r w:rsidRPr="00A5626D">
              <w:rPr>
                <w:rFonts w:ascii="Garamond" w:hAnsi="Garamond" w:cstheme="minorHAnsi"/>
                <w:b w:val="0"/>
                <w:highlight w:val="yellow"/>
              </w:rPr>
              <w:t>и (или)</w:t>
            </w:r>
            <w:r w:rsidRPr="00A5626D">
              <w:rPr>
                <w:rFonts w:ascii="Garamond" w:hAnsi="Garamond" w:cstheme="minorHAnsi"/>
                <w:b w:val="0"/>
              </w:rPr>
              <w:t xml:space="preserve"> ФСК.</w:t>
            </w:r>
            <w:bookmarkEnd w:id="119"/>
            <w:r w:rsidRPr="00A5626D">
              <w:rPr>
                <w:rFonts w:ascii="Garamond" w:hAnsi="Garamond" w:cstheme="minorHAnsi"/>
                <w:b w:val="0"/>
              </w:rPr>
              <w:t xml:space="preserve"> </w:t>
            </w:r>
          </w:p>
        </w:tc>
        <w:tc>
          <w:tcPr>
            <w:tcW w:w="7088" w:type="dxa"/>
          </w:tcPr>
          <w:p w14:paraId="5C33D73C" w14:textId="77777777" w:rsidR="00295C6D" w:rsidRPr="00A5626D" w:rsidRDefault="00295C6D" w:rsidP="00647FA0">
            <w:pPr>
              <w:pStyle w:val="10"/>
              <w:tabs>
                <w:tab w:val="left" w:pos="1134"/>
                <w:tab w:val="left" w:pos="7938"/>
              </w:tabs>
              <w:suppressAutoHyphens w:val="0"/>
              <w:spacing w:before="120" w:after="120" w:line="22" w:lineRule="atLeast"/>
              <w:ind w:firstLine="629"/>
              <w:jc w:val="both"/>
              <w:rPr>
                <w:rFonts w:ascii="Garamond" w:hAnsi="Garamond" w:cstheme="minorHAnsi"/>
                <w:caps/>
                <w:sz w:val="22"/>
                <w:szCs w:val="22"/>
                <w:lang w:eastAsia="en-US"/>
              </w:rPr>
            </w:pPr>
            <w:r w:rsidRPr="00A5626D">
              <w:rPr>
                <w:rFonts w:ascii="Garamond" w:hAnsi="Garamond" w:cstheme="minorHAnsi"/>
                <w:caps/>
                <w:sz w:val="22"/>
                <w:szCs w:val="22"/>
                <w:lang w:eastAsia="en-US"/>
              </w:rPr>
              <w:lastRenderedPageBreak/>
              <w:t>3 Общие принципы организации коммерческого учета на ОРЭМ</w:t>
            </w:r>
          </w:p>
          <w:p w14:paraId="4BD4FA94" w14:textId="50AF0095" w:rsidR="00295C6D" w:rsidRPr="00A5626D" w:rsidRDefault="00295C6D" w:rsidP="00647FA0">
            <w:pPr>
              <w:pStyle w:val="2"/>
              <w:widowControl/>
              <w:numPr>
                <w:ilvl w:val="1"/>
                <w:numId w:val="257"/>
              </w:numPr>
              <w:tabs>
                <w:tab w:val="left" w:pos="1134"/>
                <w:tab w:val="left" w:pos="7938"/>
              </w:tabs>
              <w:suppressAutoHyphens w:val="0"/>
              <w:autoSpaceDE/>
              <w:spacing w:before="120" w:after="120" w:line="22" w:lineRule="atLeast"/>
              <w:ind w:left="0" w:firstLine="601"/>
              <w:jc w:val="both"/>
              <w:rPr>
                <w:rFonts w:ascii="Garamond" w:hAnsi="Garamond"/>
                <w:b w:val="0"/>
              </w:rPr>
            </w:pPr>
            <w:r w:rsidRPr="00A5626D">
              <w:rPr>
                <w:rFonts w:ascii="Garamond" w:hAnsi="Garamond" w:cstheme="minorHAnsi"/>
                <w:b w:val="0"/>
              </w:rPr>
              <w:t xml:space="preserve">Участники оптового рынка между собой, участники оптового рынка и ФСК по смежным сечениям </w:t>
            </w:r>
            <w:r w:rsidRPr="00A5626D">
              <w:rPr>
                <w:rFonts w:ascii="Garamond" w:hAnsi="Garamond" w:cstheme="minorHAnsi"/>
                <w:b w:val="0"/>
                <w:highlight w:val="yellow"/>
              </w:rPr>
              <w:t xml:space="preserve">коммерческого учета, агрегаторы и владельцы ГТП по объектам регулирования </w:t>
            </w:r>
            <w:r w:rsidRPr="00A5626D">
              <w:rPr>
                <w:rFonts w:ascii="Garamond" w:hAnsi="Garamond" w:cstheme="minorHAnsi"/>
                <w:b w:val="0"/>
              </w:rPr>
              <w:t xml:space="preserve">регулируют порядок информационного обмена </w:t>
            </w:r>
            <w:r w:rsidRPr="00A5626D">
              <w:rPr>
                <w:rFonts w:ascii="Garamond" w:hAnsi="Garamond" w:cstheme="minorHAnsi"/>
                <w:b w:val="0"/>
                <w:highlight w:val="yellow"/>
              </w:rPr>
              <w:t>результатами измерений систем учета электроэнергии в соответствии с</w:t>
            </w:r>
            <w:r w:rsidRPr="00A5626D">
              <w:rPr>
                <w:rFonts w:ascii="Garamond" w:hAnsi="Garamond"/>
                <w:b w:val="0"/>
                <w:highlight w:val="yellow"/>
              </w:rPr>
              <w:t xml:space="preserve"> </w:t>
            </w:r>
            <w:r w:rsidRPr="00A5626D">
              <w:rPr>
                <w:rFonts w:ascii="Garamond" w:hAnsi="Garamond" w:cstheme="minorHAnsi"/>
                <w:b w:val="0"/>
                <w:highlight w:val="yellow"/>
              </w:rPr>
              <w:t xml:space="preserve">Приложением № 11.1.1 к </w:t>
            </w:r>
            <w:r w:rsidR="00D81DB8" w:rsidRPr="00A5626D">
              <w:rPr>
                <w:rFonts w:ascii="Garamond" w:hAnsi="Garamond" w:cstheme="minorHAnsi"/>
                <w:b w:val="0"/>
                <w:i/>
                <w:highlight w:val="yellow"/>
              </w:rPr>
              <w:t>Положению о порядке получения статуса субъекта оптового рынка и ведения реестра субъектов оптового рынка</w:t>
            </w:r>
            <w:r w:rsidR="00D81DB8" w:rsidRPr="00A5626D">
              <w:rPr>
                <w:rFonts w:ascii="Garamond" w:hAnsi="Garamond" w:cstheme="minorHAnsi"/>
                <w:b w:val="0"/>
                <w:highlight w:val="yellow"/>
              </w:rPr>
              <w:t xml:space="preserve"> (Приложение № 1.1 к </w:t>
            </w:r>
            <w:r w:rsidR="00D81DB8" w:rsidRPr="00A5626D">
              <w:rPr>
                <w:rFonts w:ascii="Garamond" w:hAnsi="Garamond" w:cstheme="minorHAnsi"/>
                <w:b w:val="0"/>
                <w:i/>
                <w:highlight w:val="yellow"/>
              </w:rPr>
              <w:t>Договору о присоединении к торговой системе оптового рынка</w:t>
            </w:r>
            <w:r w:rsidR="00D81DB8" w:rsidRPr="00A5626D">
              <w:rPr>
                <w:rFonts w:ascii="Garamond" w:hAnsi="Garamond" w:cstheme="minorHAnsi"/>
                <w:b w:val="0"/>
                <w:highlight w:val="yellow"/>
              </w:rPr>
              <w:t>)</w:t>
            </w:r>
            <w:r w:rsidRPr="00A5626D">
              <w:rPr>
                <w:rFonts w:ascii="Garamond" w:hAnsi="Garamond" w:cstheme="minorHAnsi"/>
                <w:b w:val="0"/>
                <w:highlight w:val="yellow"/>
              </w:rPr>
              <w:t>, а также в случаях, предусмотренных настоящим Регламентом,</w:t>
            </w:r>
            <w:r w:rsidRPr="00A5626D">
              <w:rPr>
                <w:rFonts w:ascii="Garamond" w:hAnsi="Garamond" w:cstheme="minorHAnsi"/>
                <w:b w:val="0"/>
              </w:rPr>
              <w:t xml:space="preserve"> поряд</w:t>
            </w:r>
            <w:r w:rsidRPr="00A5626D">
              <w:rPr>
                <w:rFonts w:ascii="Garamond" w:hAnsi="Garamond" w:cstheme="minorHAnsi"/>
                <w:b w:val="0"/>
                <w:highlight w:val="yellow"/>
              </w:rPr>
              <w:t>ок</w:t>
            </w:r>
            <w:r w:rsidRPr="00A5626D">
              <w:rPr>
                <w:rFonts w:ascii="Garamond" w:hAnsi="Garamond" w:cstheme="minorHAnsi"/>
                <w:b w:val="0"/>
              </w:rPr>
              <w:t xml:space="preserve"> </w:t>
            </w:r>
            <w:r w:rsidRPr="00A5626D">
              <w:rPr>
                <w:rFonts w:ascii="Garamond" w:hAnsi="Garamond" w:cstheme="minorHAnsi"/>
                <w:b w:val="0"/>
                <w:highlight w:val="yellow"/>
              </w:rPr>
              <w:t>направления</w:t>
            </w:r>
            <w:r w:rsidRPr="00A5626D">
              <w:rPr>
                <w:rFonts w:ascii="Garamond" w:hAnsi="Garamond" w:cstheme="minorHAnsi"/>
                <w:b w:val="0"/>
              </w:rPr>
              <w:t xml:space="preserve"> и согласования </w:t>
            </w:r>
            <w:r w:rsidRPr="00A5626D">
              <w:rPr>
                <w:rFonts w:ascii="Garamond" w:hAnsi="Garamond" w:cstheme="minorHAnsi"/>
                <w:b w:val="0"/>
                <w:highlight w:val="yellow"/>
              </w:rPr>
              <w:t>отчетных данных коммерческого учета</w:t>
            </w:r>
            <w:r w:rsidRPr="00A5626D">
              <w:rPr>
                <w:rFonts w:ascii="Garamond" w:hAnsi="Garamond"/>
                <w:b w:val="0"/>
              </w:rPr>
              <w:t>.</w:t>
            </w:r>
          </w:p>
          <w:p w14:paraId="449DE8D1" w14:textId="77777777" w:rsidR="00295C6D" w:rsidRPr="00A5626D" w:rsidRDefault="00295C6D" w:rsidP="00647FA0">
            <w:pPr>
              <w:pStyle w:val="2"/>
              <w:widowControl/>
              <w:numPr>
                <w:ilvl w:val="1"/>
                <w:numId w:val="257"/>
              </w:numPr>
              <w:tabs>
                <w:tab w:val="left" w:pos="1134"/>
                <w:tab w:val="left" w:pos="7938"/>
              </w:tabs>
              <w:suppressAutoHyphens w:val="0"/>
              <w:autoSpaceDE/>
              <w:spacing w:before="120" w:after="120" w:line="22" w:lineRule="atLeast"/>
              <w:ind w:left="0" w:firstLine="601"/>
              <w:jc w:val="both"/>
              <w:rPr>
                <w:rFonts w:ascii="Garamond" w:hAnsi="Garamond" w:cstheme="minorHAnsi"/>
                <w:b w:val="0"/>
              </w:rPr>
            </w:pPr>
            <w:r w:rsidRPr="00A5626D">
              <w:rPr>
                <w:rFonts w:ascii="Garamond" w:hAnsi="Garamond" w:cstheme="minorHAnsi"/>
                <w:b w:val="0"/>
              </w:rPr>
              <w:t xml:space="preserve">Данные о величине сальдо перетоков электроэнергии (значение учетного показателя) по сечениям коммерческого учета, в том числе по </w:t>
            </w:r>
            <w:r w:rsidRPr="00A5626D">
              <w:rPr>
                <w:rFonts w:ascii="Garamond" w:hAnsi="Garamond" w:cstheme="minorHAnsi"/>
                <w:b w:val="0"/>
                <w:highlight w:val="yellow"/>
              </w:rPr>
              <w:t>сечениям коммерческого учета между двумя группами точек поставки потребления, зарегистрированными в отношении одного участника оптового рынка (далее – внутреннее сечение),</w:t>
            </w:r>
            <w:r w:rsidRPr="00A5626D">
              <w:rPr>
                <w:rFonts w:ascii="Garamond" w:hAnsi="Garamond" w:cstheme="minorHAnsi"/>
                <w:b w:val="0"/>
              </w:rPr>
              <w:t xml:space="preserve"> сечениям коммерческого учета между ценовыми зонами, а также между ценовыми и неценовыми зонами, рассчитываются на основании результатов измерений, полученных от </w:t>
            </w:r>
            <w:r w:rsidRPr="00A5626D">
              <w:rPr>
                <w:rFonts w:ascii="Garamond" w:hAnsi="Garamond" w:cstheme="minorHAnsi"/>
                <w:b w:val="0"/>
                <w:highlight w:val="yellow"/>
              </w:rPr>
              <w:t xml:space="preserve">систем учета электроэнергии в соответствии с Приложением № 11.1.1 к </w:t>
            </w:r>
            <w:r w:rsidRPr="00A5626D">
              <w:rPr>
                <w:rFonts w:ascii="Garamond" w:hAnsi="Garamond" w:cstheme="minorHAnsi"/>
                <w:b w:val="0"/>
                <w:i/>
                <w:highlight w:val="yellow"/>
              </w:rPr>
              <w:t>Положению о порядке получения статуса субъекта оптового рынка и ведения реестра субъектов оптового рынка</w:t>
            </w:r>
            <w:r w:rsidRPr="00A5626D">
              <w:rPr>
                <w:rFonts w:ascii="Garamond" w:hAnsi="Garamond" w:cstheme="minorHAnsi"/>
                <w:b w:val="0"/>
                <w:highlight w:val="yellow"/>
              </w:rPr>
              <w:t xml:space="preserve"> (Приложение № 1.1 к </w:t>
            </w:r>
            <w:r w:rsidRPr="00A5626D">
              <w:rPr>
                <w:rFonts w:ascii="Garamond" w:hAnsi="Garamond" w:cstheme="minorHAnsi"/>
                <w:b w:val="0"/>
                <w:i/>
                <w:highlight w:val="yellow"/>
              </w:rPr>
              <w:t>Договору о присоединении к торговой системе оптового рынка</w:t>
            </w:r>
            <w:r w:rsidRPr="00A5626D">
              <w:rPr>
                <w:rFonts w:ascii="Garamond" w:hAnsi="Garamond" w:cstheme="minorHAnsi"/>
                <w:b w:val="0"/>
                <w:highlight w:val="yellow"/>
              </w:rPr>
              <w:t>)</w:t>
            </w:r>
            <w:r w:rsidRPr="00A5626D">
              <w:rPr>
                <w:rFonts w:ascii="Garamond" w:hAnsi="Garamond" w:cstheme="minorHAnsi"/>
                <w:b w:val="0"/>
              </w:rPr>
              <w:t xml:space="preserve">, и алгоритмов приведения результатов измерений от точек измерений к значению величины электроэнергии в точках поставки </w:t>
            </w:r>
            <w:r w:rsidRPr="00A5626D">
              <w:rPr>
                <w:rFonts w:ascii="Garamond" w:hAnsi="Garamond" w:cstheme="minorHAnsi"/>
                <w:b w:val="0"/>
                <w:highlight w:val="yellow"/>
              </w:rPr>
              <w:t>и сечении коммерческого учета</w:t>
            </w:r>
            <w:r w:rsidRPr="00A5626D">
              <w:rPr>
                <w:rFonts w:ascii="Garamond" w:hAnsi="Garamond" w:cstheme="minorHAnsi"/>
                <w:b w:val="0"/>
              </w:rPr>
              <w:t>, указанных в действующих ПСИ, сформированных участниками оптового рынка (ФСК) по сечениям коммерческого учета в макетах 60000 или 60090.</w:t>
            </w:r>
          </w:p>
          <w:p w14:paraId="78F966B9" w14:textId="77777777" w:rsidR="00295C6D" w:rsidRPr="00A5626D" w:rsidRDefault="00295C6D" w:rsidP="00647FA0">
            <w:pPr>
              <w:pStyle w:val="2"/>
              <w:widowControl/>
              <w:numPr>
                <w:ilvl w:val="0"/>
                <w:numId w:val="0"/>
              </w:numPr>
              <w:tabs>
                <w:tab w:val="left" w:pos="1134"/>
                <w:tab w:val="left" w:pos="7938"/>
              </w:tabs>
              <w:suppressAutoHyphens w:val="0"/>
              <w:autoSpaceDE/>
              <w:spacing w:before="120" w:after="120" w:line="22" w:lineRule="atLeast"/>
              <w:ind w:firstLine="601"/>
              <w:jc w:val="both"/>
              <w:rPr>
                <w:rFonts w:ascii="Garamond" w:hAnsi="Garamond" w:cstheme="minorHAnsi"/>
                <w:b w:val="0"/>
              </w:rPr>
            </w:pPr>
            <w:r w:rsidRPr="00A5626D">
              <w:rPr>
                <w:rFonts w:ascii="Garamond" w:hAnsi="Garamond" w:cstheme="minorHAnsi"/>
                <w:b w:val="0"/>
                <w:highlight w:val="yellow"/>
              </w:rPr>
              <w:t xml:space="preserve">Данные о величине произведенной электроэнергии поставщиками электроэнергии рассчитываются на основании результатов измерений, полученных от систем учета электроэнергии в соответствии с Приложением № 11.1.1 к </w:t>
            </w:r>
            <w:r w:rsidRPr="00A5626D">
              <w:rPr>
                <w:rFonts w:ascii="Garamond" w:hAnsi="Garamond" w:cstheme="minorHAnsi"/>
                <w:b w:val="0"/>
                <w:i/>
                <w:highlight w:val="yellow"/>
              </w:rPr>
              <w:t>Положению о порядке получения статуса субъекта оптового рынка и ведения реестра субъектов оптового рынка</w:t>
            </w:r>
            <w:r w:rsidRPr="00A5626D">
              <w:rPr>
                <w:rFonts w:ascii="Garamond" w:hAnsi="Garamond" w:cstheme="minorHAnsi"/>
                <w:b w:val="0"/>
                <w:highlight w:val="yellow"/>
              </w:rPr>
              <w:t xml:space="preserve"> (Приложение № 1.1 к </w:t>
            </w:r>
            <w:r w:rsidRPr="00A5626D">
              <w:rPr>
                <w:rFonts w:ascii="Garamond" w:hAnsi="Garamond" w:cstheme="minorHAnsi"/>
                <w:b w:val="0"/>
                <w:i/>
                <w:highlight w:val="yellow"/>
              </w:rPr>
              <w:t>Договору о присоединении к торговой системе оптового рынка</w:t>
            </w:r>
            <w:r w:rsidRPr="00A5626D">
              <w:rPr>
                <w:rFonts w:ascii="Garamond" w:hAnsi="Garamond" w:cstheme="minorHAnsi"/>
                <w:b w:val="0"/>
                <w:highlight w:val="yellow"/>
              </w:rPr>
              <w:t xml:space="preserve">), и алгоритмов приведения результатов измерений от точек измерений к значению величины электроэнергии в точках поставки и ГТП генерации, указанных в действующих ПСИ, </w:t>
            </w:r>
            <w:r w:rsidRPr="00A5626D">
              <w:rPr>
                <w:rFonts w:ascii="Garamond" w:hAnsi="Garamond" w:cstheme="minorHAnsi"/>
                <w:b w:val="0"/>
                <w:highlight w:val="yellow"/>
              </w:rPr>
              <w:lastRenderedPageBreak/>
              <w:t>сформированных поставщиками электроэнергии по ГТП генерации в макете 60000 или 60090.</w:t>
            </w:r>
          </w:p>
          <w:p w14:paraId="12E6CE61" w14:textId="77777777" w:rsidR="00295C6D" w:rsidRPr="00A5626D" w:rsidRDefault="00295C6D" w:rsidP="00647FA0">
            <w:pPr>
              <w:pStyle w:val="2"/>
              <w:widowControl/>
              <w:numPr>
                <w:ilvl w:val="0"/>
                <w:numId w:val="0"/>
              </w:numPr>
              <w:tabs>
                <w:tab w:val="left" w:pos="1134"/>
                <w:tab w:val="left" w:pos="7938"/>
              </w:tabs>
              <w:suppressAutoHyphens w:val="0"/>
              <w:autoSpaceDE/>
              <w:spacing w:before="120" w:after="120" w:line="22" w:lineRule="atLeast"/>
              <w:ind w:firstLine="601"/>
              <w:jc w:val="both"/>
              <w:rPr>
                <w:rFonts w:ascii="Garamond" w:hAnsi="Garamond" w:cstheme="minorHAnsi"/>
                <w:b w:val="0"/>
              </w:rPr>
            </w:pPr>
            <w:r w:rsidRPr="00A5626D">
              <w:rPr>
                <w:rFonts w:ascii="Garamond" w:hAnsi="Garamond" w:cstheme="minorHAnsi"/>
                <w:b w:val="0"/>
                <w:highlight w:val="yellow"/>
              </w:rPr>
              <w:t xml:space="preserve">Данные коммерческого учета по объекту регулирования рассчитываются на основании результатов измерений, полученных от систем учета электроэнергии в соответствии с Приложением № 11.1.1 к </w:t>
            </w:r>
            <w:r w:rsidRPr="00A5626D">
              <w:rPr>
                <w:rFonts w:ascii="Garamond" w:hAnsi="Garamond" w:cstheme="minorHAnsi"/>
                <w:b w:val="0"/>
                <w:i/>
                <w:highlight w:val="yellow"/>
              </w:rPr>
              <w:t>Положению о порядке получения статуса субъекта оптового рынка и ведения реестра субъектов оптового рынка</w:t>
            </w:r>
            <w:r w:rsidRPr="00A5626D">
              <w:rPr>
                <w:rFonts w:ascii="Garamond" w:hAnsi="Garamond" w:cstheme="minorHAnsi"/>
                <w:b w:val="0"/>
                <w:highlight w:val="yellow"/>
              </w:rPr>
              <w:t xml:space="preserve"> (Приложение № 1.1 к </w:t>
            </w:r>
            <w:r w:rsidRPr="00A5626D">
              <w:rPr>
                <w:rFonts w:ascii="Garamond" w:hAnsi="Garamond" w:cstheme="minorHAnsi"/>
                <w:b w:val="0"/>
                <w:i/>
                <w:highlight w:val="yellow"/>
              </w:rPr>
              <w:t>Договору о присоединении к торговой системе оптового рынка</w:t>
            </w:r>
            <w:r w:rsidRPr="00A5626D">
              <w:rPr>
                <w:rFonts w:ascii="Garamond" w:hAnsi="Garamond" w:cstheme="minorHAnsi"/>
                <w:b w:val="0"/>
                <w:highlight w:val="yellow"/>
              </w:rPr>
              <w:t>), и алгоритмов приведения результатов измерений от точек измерений к значению величины электроэнергии в точках присоединения и объекте регулирования, указанных в действующих ПСИ, сформированных агрегаторами по объекту регулирования в макете 60000.</w:t>
            </w:r>
          </w:p>
          <w:p w14:paraId="3B882CCA" w14:textId="77777777" w:rsidR="00295C6D" w:rsidRPr="00A5626D" w:rsidRDefault="00295C6D" w:rsidP="00647FA0">
            <w:pPr>
              <w:pStyle w:val="2"/>
              <w:widowControl/>
              <w:numPr>
                <w:ilvl w:val="0"/>
                <w:numId w:val="0"/>
              </w:numPr>
              <w:tabs>
                <w:tab w:val="left" w:pos="1134"/>
                <w:tab w:val="left" w:pos="7938"/>
              </w:tabs>
              <w:suppressAutoHyphens w:val="0"/>
              <w:autoSpaceDE/>
              <w:spacing w:before="120" w:after="120" w:line="22" w:lineRule="atLeast"/>
              <w:ind w:firstLine="601"/>
              <w:jc w:val="both"/>
              <w:rPr>
                <w:rFonts w:ascii="Garamond" w:hAnsi="Garamond" w:cstheme="minorHAnsi"/>
                <w:b w:val="0"/>
              </w:rPr>
            </w:pPr>
            <w:r w:rsidRPr="00A5626D">
              <w:rPr>
                <w:rFonts w:ascii="Garamond" w:hAnsi="Garamond" w:cstheme="minorHAnsi"/>
                <w:b w:val="0"/>
              </w:rPr>
              <w:t>Требования к оформлению и предоставлению ПСИ приведены в приложении 5 к настоящему Регламенту</w:t>
            </w:r>
            <w:r w:rsidRPr="00A5626D">
              <w:rPr>
                <w:rFonts w:ascii="Garamond" w:hAnsi="Garamond" w:cstheme="minorHAnsi"/>
                <w:b w:val="0"/>
                <w:i/>
              </w:rPr>
              <w:t>.</w:t>
            </w:r>
          </w:p>
          <w:p w14:paraId="722B1B25" w14:textId="77777777" w:rsidR="00295C6D" w:rsidRPr="00A5626D" w:rsidRDefault="00295C6D" w:rsidP="00647FA0">
            <w:pPr>
              <w:pStyle w:val="2"/>
              <w:widowControl/>
              <w:numPr>
                <w:ilvl w:val="1"/>
                <w:numId w:val="257"/>
              </w:numPr>
              <w:tabs>
                <w:tab w:val="left" w:pos="1134"/>
                <w:tab w:val="left" w:pos="7938"/>
              </w:tabs>
              <w:suppressAutoHyphens w:val="0"/>
              <w:autoSpaceDE/>
              <w:spacing w:before="120" w:after="120" w:line="22" w:lineRule="atLeast"/>
              <w:ind w:left="0" w:firstLine="629"/>
              <w:jc w:val="both"/>
              <w:rPr>
                <w:rFonts w:ascii="Garamond" w:hAnsi="Garamond" w:cstheme="minorHAnsi"/>
                <w:b w:val="0"/>
              </w:rPr>
            </w:pPr>
            <w:r w:rsidRPr="00A5626D">
              <w:rPr>
                <w:rFonts w:ascii="Garamond" w:hAnsi="Garamond" w:cstheme="minorHAnsi"/>
                <w:b w:val="0"/>
              </w:rPr>
              <w:t xml:space="preserve">В случае если организация получила право участия в торговле электрической энергией (мощностью) на оптовом рынке с использованием соответствующей ГТП в порядке, предусмотренном пп. 2, 5.1–5.4.1 приложения 2 к </w:t>
            </w:r>
            <w:r w:rsidRPr="00A5626D">
              <w:rPr>
                <w:rFonts w:ascii="Garamond" w:hAnsi="Garamond" w:cstheme="minorHAnsi"/>
                <w:b w:val="0"/>
                <w:i/>
              </w:rPr>
              <w:t>Положению о порядке получения статуса</w:t>
            </w:r>
            <w:r w:rsidRPr="00A5626D">
              <w:rPr>
                <w:rFonts w:ascii="Garamond" w:hAnsi="Garamond" w:cstheme="minorHAnsi"/>
                <w:b w:val="0"/>
              </w:rPr>
              <w:t xml:space="preserve"> </w:t>
            </w:r>
            <w:r w:rsidRPr="00A5626D">
              <w:rPr>
                <w:rFonts w:ascii="Garamond" w:hAnsi="Garamond" w:cstheme="minorHAnsi"/>
                <w:b w:val="0"/>
                <w:i/>
              </w:rPr>
              <w:t xml:space="preserve">субъекта оптового рынка и ведения реестра субъектов оптового рынка </w:t>
            </w:r>
            <w:r w:rsidRPr="00A5626D">
              <w:rPr>
                <w:rFonts w:ascii="Garamond" w:eastAsia="Batang" w:hAnsi="Garamond" w:cstheme="minorHAnsi"/>
                <w:b w:val="0"/>
                <w:lang w:eastAsia="ko-KR"/>
              </w:rPr>
              <w:t xml:space="preserve">(Приложение № 1.1 к </w:t>
            </w:r>
            <w:r w:rsidRPr="00A5626D">
              <w:rPr>
                <w:rFonts w:ascii="Garamond" w:eastAsia="Batang" w:hAnsi="Garamond" w:cstheme="minorHAnsi"/>
                <w:b w:val="0"/>
                <w:i/>
                <w:lang w:eastAsia="ko-KR"/>
              </w:rPr>
              <w:t>Договору о присоединении к торговой системе оптового рынка</w:t>
            </w:r>
            <w:r w:rsidRPr="00A5626D">
              <w:rPr>
                <w:rFonts w:ascii="Garamond" w:eastAsia="Batang" w:hAnsi="Garamond" w:cstheme="minorHAnsi"/>
                <w:b w:val="0"/>
                <w:lang w:eastAsia="ko-KR"/>
              </w:rPr>
              <w:t>)</w:t>
            </w:r>
            <w:r w:rsidRPr="00A5626D">
              <w:rPr>
                <w:rFonts w:ascii="Garamond" w:hAnsi="Garamond" w:cstheme="minorHAnsi"/>
                <w:b w:val="0"/>
              </w:rPr>
              <w:t xml:space="preserve"> (далее для целей настоящего Регламента – Правопреемник), отчетные данные о величине сальдо перетоков электроэнергии (величине произведенной электроэнергии) формируются указанной организацией в соответствии с ПСИ организации, которая осуществляла торговлю электрической энергией (мощностью) на оптовом рынке с использованием указанной ГТП до предоставления такого права Правопреемнику (далее для целей настоящего Регламента – Правопредшественник). До выполнения предусмотренных приложением 2 к </w:t>
            </w:r>
            <w:r w:rsidRPr="00A5626D">
              <w:rPr>
                <w:rFonts w:ascii="Garamond" w:hAnsi="Garamond" w:cstheme="minorHAnsi"/>
                <w:b w:val="0"/>
                <w:i/>
              </w:rPr>
              <w:t>Положению о порядке получения статуса</w:t>
            </w:r>
            <w:r w:rsidRPr="00A5626D">
              <w:rPr>
                <w:rFonts w:ascii="Garamond" w:hAnsi="Garamond" w:cstheme="minorHAnsi"/>
                <w:b w:val="0"/>
              </w:rPr>
              <w:t xml:space="preserve"> </w:t>
            </w:r>
            <w:r w:rsidRPr="00A5626D">
              <w:rPr>
                <w:rFonts w:ascii="Garamond" w:hAnsi="Garamond" w:cstheme="minorHAnsi"/>
                <w:b w:val="0"/>
                <w:i/>
              </w:rPr>
              <w:t xml:space="preserve">субъекта оптового рынка и ведения реестра субъектов оптового рынка </w:t>
            </w:r>
            <w:r w:rsidRPr="00A5626D">
              <w:rPr>
                <w:rFonts w:ascii="Garamond" w:eastAsia="Batang" w:hAnsi="Garamond" w:cstheme="minorHAnsi"/>
                <w:b w:val="0"/>
                <w:lang w:eastAsia="ko-KR"/>
              </w:rPr>
              <w:t xml:space="preserve">(Приложение № 1.1 к </w:t>
            </w:r>
            <w:r w:rsidRPr="00A5626D">
              <w:rPr>
                <w:rFonts w:ascii="Garamond" w:eastAsia="Batang" w:hAnsi="Garamond" w:cstheme="minorHAnsi"/>
                <w:b w:val="0"/>
                <w:i/>
                <w:lang w:eastAsia="ko-KR"/>
              </w:rPr>
              <w:t>Договору о присоединении к торговой системе оптового рынка</w:t>
            </w:r>
            <w:r w:rsidRPr="00A5626D">
              <w:rPr>
                <w:rFonts w:ascii="Garamond" w:eastAsia="Batang" w:hAnsi="Garamond" w:cstheme="minorHAnsi"/>
                <w:b w:val="0"/>
                <w:lang w:eastAsia="ko-KR"/>
              </w:rPr>
              <w:t xml:space="preserve">) </w:t>
            </w:r>
            <w:r w:rsidRPr="00A5626D">
              <w:rPr>
                <w:rFonts w:ascii="Garamond" w:hAnsi="Garamond" w:cstheme="minorHAnsi"/>
                <w:b w:val="0"/>
              </w:rPr>
              <w:t xml:space="preserve">требований по подтверждению соответствия систем коммерческого учета техническим требованиям оптового рынка и актуализации регистрационной информации отчетные данные об объемах произведенной электроэнергии по ГТП генерации и (или) о величине сальдо перетоков электроэнергии в сечении коммерческого учета формируются на основании принятого КО к расчетам корректирующего акта учета (оборота) по ГТП генерации и (или) корректирующего акта учета перетоков по сечению коммерческого учета (макеты 51075), направленных в КО согласно п. 7.6 настоящего Регламента. В случае отсутствия принятого </w:t>
            </w:r>
            <w:r w:rsidRPr="00A5626D">
              <w:rPr>
                <w:rFonts w:ascii="Garamond" w:hAnsi="Garamond" w:cstheme="minorHAnsi"/>
                <w:b w:val="0"/>
              </w:rPr>
              <w:lastRenderedPageBreak/>
              <w:t>КО к расчетам корректирующего акта учета (оборота) по ГТП генерации или корректирующего акта учета перетоков по сечению коммерческого учета (макеты 51075), отчетные данные коммерческого учета формируются на основании замещающих методов расчета, предусмотренных пп. 8.7 и 8.2, 8.3 настоящего Регламента соответственно.</w:t>
            </w:r>
          </w:p>
          <w:p w14:paraId="7ABD4B81" w14:textId="77777777" w:rsidR="00295C6D" w:rsidRPr="00A5626D" w:rsidRDefault="00295C6D" w:rsidP="00647FA0">
            <w:pPr>
              <w:tabs>
                <w:tab w:val="left" w:pos="1134"/>
                <w:tab w:val="left" w:pos="7938"/>
              </w:tabs>
              <w:spacing w:before="120" w:after="120" w:line="22" w:lineRule="atLeast"/>
              <w:ind w:firstLine="629"/>
              <w:jc w:val="both"/>
              <w:rPr>
                <w:rFonts w:ascii="Garamond" w:hAnsi="Garamond" w:cstheme="minorHAnsi"/>
                <w:sz w:val="22"/>
                <w:szCs w:val="22"/>
              </w:rPr>
            </w:pPr>
            <w:r w:rsidRPr="00A5626D">
              <w:rPr>
                <w:rFonts w:ascii="Garamond" w:hAnsi="Garamond" w:cstheme="minorHAnsi"/>
                <w:sz w:val="22"/>
                <w:szCs w:val="22"/>
              </w:rPr>
              <w:t>Если внутреннее сечение в ГТП Правопредшественника в результате правопреемства преобразовано в сечение коммерческого учета между Правопреемником и иным субъектом оптового рынка, то Правопреемник вправе использовать ПСИ, действовавший в отношении указанного внутреннего сечения на момент возникновения у Правопреемника права участия в торговле электрической энергией и (или) мощностью на оптовом рынке, в течение 6 (шести) месяцев с даты предоставления ему права участия в торговле электрической энергией и (или) мощностью на оптовом рынке. В течение указанного выше срока отчетные данные о величине сальдо перетоков электроэнергии формируются на основании принятого КО к расчетам корректирующего акта учета перетоков по сечению коммерческого учета (макет 51075), направленного в КО согласно п. 7.6 настоящего Регламента. В случае отсутствия принятого КО к расчетам корректирующего акта учета перетоков по сечению коммерческого учета (макет 51075), объем потребления электроэнергии по ГТП потребления, в состав которых входит указанное сечение коммерческого учета (объем перетока электроэнергии в сечении коммерческого учета между участником оптового рынка и ФСК), формируется на основании замещающих методов расчета, предусмотренных п. 8.2 или п. 8.3 настоящего Регламента.</w:t>
            </w:r>
          </w:p>
          <w:p w14:paraId="4B0697D0" w14:textId="77777777" w:rsidR="00295C6D" w:rsidRPr="00A5626D" w:rsidRDefault="00295C6D" w:rsidP="00647FA0">
            <w:pPr>
              <w:tabs>
                <w:tab w:val="left" w:pos="1134"/>
                <w:tab w:val="left" w:pos="7938"/>
              </w:tabs>
              <w:spacing w:before="120" w:after="120" w:line="22" w:lineRule="atLeast"/>
              <w:ind w:firstLine="629"/>
              <w:jc w:val="both"/>
              <w:rPr>
                <w:rFonts w:ascii="Garamond" w:hAnsi="Garamond" w:cstheme="minorHAnsi"/>
                <w:sz w:val="22"/>
                <w:szCs w:val="22"/>
              </w:rPr>
            </w:pPr>
            <w:r w:rsidRPr="00A5626D">
              <w:rPr>
                <w:rFonts w:ascii="Garamond" w:hAnsi="Garamond" w:cstheme="minorHAnsi"/>
                <w:sz w:val="22"/>
                <w:szCs w:val="22"/>
              </w:rPr>
              <w:t>В случае если в отношении вышеуказанного сечения коммерческого учета, преобразованного из внутреннего сечения, по истечении 6 (шести) месяцев отсутствует вступивший в действие ПСИ, КО использует замещающие методы расчета, приведенные в п. 8.2 или п. 8.3 настоящего Регламента, для определения фактических объемов потребленной электроэнергии в ГТП, в состав которых входит указанное смежное сечение коммерческого учета (объемов перетока электроэнергии в сечении коммерческого учета между участником оптового рынка и ФСК).</w:t>
            </w:r>
          </w:p>
          <w:p w14:paraId="56FADB75" w14:textId="77777777" w:rsidR="00295C6D" w:rsidRPr="00A5626D" w:rsidRDefault="00295C6D" w:rsidP="00647FA0">
            <w:pPr>
              <w:pStyle w:val="ac"/>
              <w:numPr>
                <w:ilvl w:val="1"/>
                <w:numId w:val="257"/>
              </w:numPr>
              <w:tabs>
                <w:tab w:val="left" w:pos="1080"/>
                <w:tab w:val="left" w:pos="1134"/>
                <w:tab w:val="left" w:pos="7938"/>
              </w:tabs>
              <w:spacing w:before="120" w:after="120" w:line="22" w:lineRule="atLeast"/>
              <w:ind w:left="0" w:firstLine="629"/>
              <w:contextualSpacing/>
              <w:jc w:val="both"/>
              <w:rPr>
                <w:rFonts w:ascii="Garamond" w:hAnsi="Garamond" w:cstheme="minorHAnsi"/>
                <w:sz w:val="22"/>
                <w:szCs w:val="22"/>
              </w:rPr>
            </w:pPr>
            <w:r w:rsidRPr="00A5626D">
              <w:rPr>
                <w:rFonts w:ascii="Garamond" w:hAnsi="Garamond" w:cstheme="minorHAnsi"/>
                <w:sz w:val="22"/>
                <w:szCs w:val="22"/>
              </w:rPr>
              <w:t xml:space="preserve">Основой для </w:t>
            </w:r>
            <w:r w:rsidRPr="00A5626D">
              <w:rPr>
                <w:rFonts w:ascii="Garamond" w:hAnsi="Garamond" w:cstheme="minorHAnsi"/>
                <w:sz w:val="22"/>
                <w:szCs w:val="22"/>
                <w:highlight w:val="yellow"/>
              </w:rPr>
              <w:t>формирования отчетных данных коммерческого учета, используемых в финансовых расчетах по ГТП,</w:t>
            </w:r>
            <w:r w:rsidRPr="00A5626D">
              <w:rPr>
                <w:rFonts w:ascii="Garamond" w:hAnsi="Garamond" w:cstheme="minorHAnsi"/>
                <w:sz w:val="22"/>
                <w:szCs w:val="22"/>
              </w:rPr>
              <w:t xml:space="preserve"> для участников оптового рынка (ФСК) являются данные коммерческого учета, содержащиеся в актах учета (оборота) по ГТП генерации / актах учета перетоков по сечению коммерческого учета (макеты 51020), </w:t>
            </w:r>
            <w:r w:rsidRPr="00A5626D">
              <w:rPr>
                <w:rFonts w:ascii="Garamond" w:hAnsi="Garamond" w:cstheme="minorHAnsi"/>
                <w:sz w:val="22"/>
                <w:szCs w:val="22"/>
              </w:rPr>
              <w:lastRenderedPageBreak/>
              <w:t>корректирующих актах учета (оборота) по ГТП генерации / корректирующих актах учета перетоков по сечению коммерческого учета (макеты 51075), интегральных актах учета перетоков между участниками оптового рынка и ФСК (макеты 50080), а также данные коммерческого учета, сформированные на основании замещающих методов расчета, предусмотренных настоящим Регламентом.</w:t>
            </w:r>
          </w:p>
          <w:p w14:paraId="70C1E99F" w14:textId="77777777" w:rsidR="00295C6D" w:rsidRPr="00A5626D" w:rsidRDefault="00295C6D" w:rsidP="00647FA0">
            <w:pPr>
              <w:tabs>
                <w:tab w:val="left" w:pos="1080"/>
                <w:tab w:val="left" w:pos="1134"/>
                <w:tab w:val="left" w:pos="7938"/>
              </w:tabs>
              <w:spacing w:before="120" w:after="120" w:line="22" w:lineRule="atLeast"/>
              <w:ind w:firstLine="629"/>
              <w:jc w:val="both"/>
              <w:rPr>
                <w:rFonts w:ascii="Garamond" w:hAnsi="Garamond" w:cstheme="minorHAnsi"/>
                <w:sz w:val="22"/>
                <w:szCs w:val="22"/>
              </w:rPr>
            </w:pPr>
            <w:r w:rsidRPr="00A5626D">
              <w:rPr>
                <w:rFonts w:ascii="Garamond" w:hAnsi="Garamond" w:cstheme="minorHAnsi"/>
                <w:sz w:val="22"/>
                <w:szCs w:val="22"/>
                <w:highlight w:val="yellow"/>
              </w:rPr>
              <w:t>Основой для формирования отчетных данных коммерческого учета, используемых при определении объема оказанных услуг по управлению изменением режима потребления, для агрегаторов являются данные коммерческого учета, содержащиеся в актах учета (оборота) по объекту регулирования (макеты 21070).</w:t>
            </w:r>
          </w:p>
          <w:p w14:paraId="5A2C7BF6" w14:textId="77777777" w:rsidR="00295C6D" w:rsidRPr="00A5626D" w:rsidRDefault="00295C6D" w:rsidP="00647FA0">
            <w:pPr>
              <w:tabs>
                <w:tab w:val="left" w:pos="1080"/>
                <w:tab w:val="left" w:pos="1134"/>
                <w:tab w:val="left" w:pos="7938"/>
              </w:tabs>
              <w:spacing w:before="120" w:after="120" w:line="22" w:lineRule="atLeast"/>
              <w:ind w:firstLine="629"/>
              <w:jc w:val="both"/>
              <w:rPr>
                <w:rFonts w:ascii="Garamond" w:hAnsi="Garamond" w:cstheme="minorHAnsi"/>
                <w:sz w:val="22"/>
                <w:szCs w:val="22"/>
              </w:rPr>
            </w:pPr>
            <w:r w:rsidRPr="00A5626D">
              <w:rPr>
                <w:rFonts w:ascii="Garamond" w:hAnsi="Garamond" w:cstheme="minorHAnsi"/>
                <w:sz w:val="22"/>
                <w:szCs w:val="22"/>
              </w:rPr>
              <w:t xml:space="preserve">Порядок формирования актов учета (оборота) по ГТП генерации (макеты 51020) устанавливается п. </w:t>
            </w:r>
            <w:r w:rsidRPr="00A5626D">
              <w:rPr>
                <w:rFonts w:ascii="Garamond" w:hAnsi="Garamond" w:cstheme="minorHAnsi"/>
                <w:sz w:val="22"/>
                <w:szCs w:val="22"/>
                <w:highlight w:val="yellow"/>
              </w:rPr>
              <w:t>7.3</w:t>
            </w:r>
            <w:r w:rsidRPr="00A5626D">
              <w:rPr>
                <w:rFonts w:ascii="Garamond" w:hAnsi="Garamond" w:cstheme="minorHAnsi"/>
                <w:sz w:val="22"/>
                <w:szCs w:val="22"/>
              </w:rPr>
              <w:t xml:space="preserve"> настоящего Регламента. </w:t>
            </w:r>
          </w:p>
          <w:p w14:paraId="779C684D" w14:textId="77777777" w:rsidR="00295C6D" w:rsidRPr="00A5626D" w:rsidRDefault="00295C6D" w:rsidP="00647FA0">
            <w:pPr>
              <w:tabs>
                <w:tab w:val="left" w:pos="1080"/>
                <w:tab w:val="left" w:pos="1134"/>
                <w:tab w:val="left" w:pos="7938"/>
              </w:tabs>
              <w:spacing w:before="120" w:after="120" w:line="22" w:lineRule="atLeast"/>
              <w:ind w:firstLine="629"/>
              <w:jc w:val="both"/>
              <w:rPr>
                <w:rFonts w:ascii="Garamond" w:hAnsi="Garamond" w:cstheme="minorHAnsi"/>
                <w:sz w:val="22"/>
                <w:szCs w:val="22"/>
              </w:rPr>
            </w:pPr>
            <w:r w:rsidRPr="00A5626D">
              <w:rPr>
                <w:rFonts w:ascii="Garamond" w:hAnsi="Garamond" w:cstheme="minorHAnsi"/>
                <w:sz w:val="22"/>
                <w:szCs w:val="22"/>
              </w:rPr>
              <w:t xml:space="preserve">Порядок формирования актов учета перетоков по сечению коммерческого учета (за исключением временных сечений, внутренних сечений и сечений коммерческого учета, входящих в сечение экспорта-импорта) (макеты 51020) устанавливается п. 7.2 настоящего Регламента. </w:t>
            </w:r>
          </w:p>
          <w:p w14:paraId="465A4D4E" w14:textId="77777777" w:rsidR="00295C6D" w:rsidRPr="00A5626D" w:rsidRDefault="00295C6D" w:rsidP="00647FA0">
            <w:pPr>
              <w:tabs>
                <w:tab w:val="left" w:pos="1080"/>
                <w:tab w:val="left" w:pos="1134"/>
                <w:tab w:val="left" w:pos="7938"/>
              </w:tabs>
              <w:spacing w:before="120" w:after="120" w:line="22" w:lineRule="atLeast"/>
              <w:ind w:firstLine="629"/>
              <w:jc w:val="both"/>
              <w:rPr>
                <w:rFonts w:ascii="Garamond" w:hAnsi="Garamond" w:cstheme="minorHAnsi"/>
                <w:sz w:val="22"/>
                <w:szCs w:val="22"/>
              </w:rPr>
            </w:pPr>
            <w:r w:rsidRPr="00A5626D">
              <w:rPr>
                <w:rFonts w:ascii="Garamond" w:hAnsi="Garamond" w:cstheme="minorHAnsi"/>
                <w:sz w:val="22"/>
                <w:szCs w:val="22"/>
              </w:rPr>
              <w:t>Порядок формирования актов учета перетоков по внутреннему сечению (макеты 51020) устанавливается п. 7.4 настоящего Регламента.</w:t>
            </w:r>
          </w:p>
          <w:p w14:paraId="11548294" w14:textId="77777777" w:rsidR="00295C6D" w:rsidRPr="00A5626D" w:rsidRDefault="00295C6D" w:rsidP="00647FA0">
            <w:pPr>
              <w:tabs>
                <w:tab w:val="left" w:pos="1080"/>
                <w:tab w:val="left" w:pos="1134"/>
                <w:tab w:val="left" w:pos="7938"/>
              </w:tabs>
              <w:spacing w:before="120" w:after="120" w:line="22" w:lineRule="atLeast"/>
              <w:ind w:firstLine="629"/>
              <w:jc w:val="both"/>
              <w:rPr>
                <w:rFonts w:ascii="Garamond" w:hAnsi="Garamond" w:cstheme="minorHAnsi"/>
                <w:sz w:val="22"/>
                <w:szCs w:val="22"/>
              </w:rPr>
            </w:pPr>
            <w:r w:rsidRPr="00A5626D">
              <w:rPr>
                <w:rFonts w:ascii="Garamond" w:hAnsi="Garamond" w:cstheme="minorHAnsi"/>
                <w:sz w:val="22"/>
                <w:szCs w:val="22"/>
              </w:rPr>
              <w:t xml:space="preserve">Порядок направления корректирующих актов учета (оборота) по ГТП генерации / корректирующих актов учета перетоков по сечению коммерческого учета (в том числе по временным сечениям, внутренним сечениям, сечениям коммерческого учета, входящим в сечение экспорта-импорта) (макеты 51075) устанавливается п. 7.6 настоящего Регламента. </w:t>
            </w:r>
          </w:p>
          <w:p w14:paraId="7222280D" w14:textId="77777777" w:rsidR="00295C6D" w:rsidRPr="00A5626D" w:rsidRDefault="00295C6D" w:rsidP="00647FA0">
            <w:pPr>
              <w:tabs>
                <w:tab w:val="left" w:pos="1080"/>
                <w:tab w:val="left" w:pos="1134"/>
                <w:tab w:val="left" w:pos="7938"/>
              </w:tabs>
              <w:spacing w:before="120" w:after="120" w:line="22" w:lineRule="atLeast"/>
              <w:ind w:firstLine="629"/>
              <w:jc w:val="both"/>
              <w:rPr>
                <w:rFonts w:ascii="Garamond" w:hAnsi="Garamond" w:cstheme="minorHAnsi"/>
                <w:sz w:val="22"/>
                <w:szCs w:val="22"/>
              </w:rPr>
            </w:pPr>
            <w:r w:rsidRPr="00A5626D">
              <w:rPr>
                <w:rFonts w:ascii="Garamond" w:hAnsi="Garamond" w:cstheme="minorHAnsi"/>
                <w:sz w:val="22"/>
                <w:szCs w:val="22"/>
              </w:rPr>
              <w:t>Порядок направления интегральных актов учета перетоков (макеты 50080) устанавливается п. 7.1 настоящего Регламента.</w:t>
            </w:r>
          </w:p>
          <w:p w14:paraId="23677515" w14:textId="77777777" w:rsidR="00295C6D" w:rsidRPr="00A5626D" w:rsidRDefault="00295C6D" w:rsidP="00647FA0">
            <w:pPr>
              <w:tabs>
                <w:tab w:val="left" w:pos="1080"/>
                <w:tab w:val="left" w:pos="1134"/>
                <w:tab w:val="left" w:pos="7938"/>
              </w:tabs>
              <w:spacing w:before="120" w:after="120" w:line="22" w:lineRule="atLeast"/>
              <w:ind w:firstLine="629"/>
              <w:jc w:val="both"/>
              <w:rPr>
                <w:rFonts w:ascii="Garamond" w:hAnsi="Garamond" w:cstheme="minorHAnsi"/>
                <w:sz w:val="22"/>
                <w:szCs w:val="22"/>
              </w:rPr>
            </w:pPr>
            <w:r w:rsidRPr="00A5626D">
              <w:rPr>
                <w:rFonts w:ascii="Garamond" w:hAnsi="Garamond" w:cstheme="minorHAnsi"/>
                <w:sz w:val="22"/>
                <w:szCs w:val="22"/>
                <w:highlight w:val="yellow"/>
              </w:rPr>
              <w:t>Порядок направления актов учета (оборота) по объекту регулирования (макеты 21070) устанавливается п. 7.7 настоящего Регламента.</w:t>
            </w:r>
          </w:p>
          <w:p w14:paraId="530371EE" w14:textId="77777777" w:rsidR="00295C6D" w:rsidRPr="00A5626D" w:rsidRDefault="00295C6D" w:rsidP="00647FA0">
            <w:pPr>
              <w:pStyle w:val="2"/>
              <w:widowControl/>
              <w:numPr>
                <w:ilvl w:val="1"/>
                <w:numId w:val="257"/>
              </w:numPr>
              <w:tabs>
                <w:tab w:val="left" w:pos="1134"/>
                <w:tab w:val="left" w:pos="7938"/>
              </w:tabs>
              <w:suppressAutoHyphens w:val="0"/>
              <w:autoSpaceDE/>
              <w:spacing w:before="120" w:after="120" w:line="22" w:lineRule="atLeast"/>
              <w:ind w:left="0" w:firstLine="629"/>
              <w:jc w:val="both"/>
              <w:rPr>
                <w:rFonts w:ascii="Garamond" w:hAnsi="Garamond" w:cstheme="minorHAnsi"/>
                <w:b w:val="0"/>
              </w:rPr>
            </w:pPr>
            <w:r w:rsidRPr="00A5626D">
              <w:rPr>
                <w:rFonts w:ascii="Garamond" w:hAnsi="Garamond" w:cstheme="minorHAnsi"/>
                <w:b w:val="0"/>
              </w:rPr>
              <w:t>Основой для расчета объемов электрической энергии, покупаемой ФСК с целью компенсации потерь в электрических сетях</w:t>
            </w:r>
            <w:r w:rsidRPr="00A5626D">
              <w:rPr>
                <w:rFonts w:ascii="Garamond" w:hAnsi="Garamond" w:cstheme="minorHAnsi"/>
                <w:b w:val="0"/>
                <w:highlight w:val="yellow"/>
              </w:rPr>
              <w:t>,</w:t>
            </w:r>
            <w:r w:rsidRPr="00A5626D">
              <w:rPr>
                <w:rFonts w:ascii="Garamond" w:hAnsi="Garamond" w:cstheme="minorHAnsi"/>
                <w:b w:val="0"/>
              </w:rPr>
              <w:t xml:space="preserve"> являются данные коммерческого учета, содержащиеся в актах учета перетоков по сечениям коммерческого учета (макеты 51020), корректирующих актах учета перетоков по сечениям коммерческого учета </w:t>
            </w:r>
            <w:r w:rsidRPr="00A5626D">
              <w:rPr>
                <w:rFonts w:ascii="Garamond" w:hAnsi="Garamond" w:cstheme="minorHAnsi"/>
                <w:b w:val="0"/>
              </w:rPr>
              <w:lastRenderedPageBreak/>
              <w:t>(макеты 51075), а также данные коммерческого учета, сформированные на основании замещающих методов расчета, предусмотренных п. 8.3 настоящего Регламента.</w:t>
            </w:r>
          </w:p>
          <w:p w14:paraId="4636A65B" w14:textId="77777777" w:rsidR="00295C6D" w:rsidRPr="00A5626D" w:rsidRDefault="00295C6D" w:rsidP="00647FA0">
            <w:pPr>
              <w:tabs>
                <w:tab w:val="left" w:pos="720"/>
                <w:tab w:val="left" w:pos="1134"/>
                <w:tab w:val="left" w:pos="7938"/>
              </w:tabs>
              <w:spacing w:before="120" w:after="120" w:line="22" w:lineRule="atLeast"/>
              <w:ind w:firstLine="629"/>
              <w:jc w:val="both"/>
              <w:rPr>
                <w:rFonts w:ascii="Garamond" w:hAnsi="Garamond" w:cstheme="minorHAnsi"/>
                <w:sz w:val="22"/>
                <w:szCs w:val="22"/>
              </w:rPr>
            </w:pPr>
            <w:r w:rsidRPr="00A5626D">
              <w:rPr>
                <w:rFonts w:ascii="Garamond" w:hAnsi="Garamond" w:cstheme="minorHAnsi"/>
                <w:sz w:val="22"/>
                <w:szCs w:val="22"/>
              </w:rPr>
              <w:t>На основании указанных данных коммерческого учета определяются:</w:t>
            </w:r>
          </w:p>
          <w:p w14:paraId="3998C44E" w14:textId="77777777" w:rsidR="00295C6D" w:rsidRPr="00A5626D" w:rsidRDefault="00295C6D" w:rsidP="00647FA0">
            <w:pPr>
              <w:numPr>
                <w:ilvl w:val="0"/>
                <w:numId w:val="251"/>
              </w:numPr>
              <w:tabs>
                <w:tab w:val="num" w:pos="426"/>
                <w:tab w:val="num" w:pos="851"/>
                <w:tab w:val="num" w:pos="993"/>
                <w:tab w:val="left" w:pos="1080"/>
                <w:tab w:val="left" w:pos="1134"/>
                <w:tab w:val="left" w:pos="7938"/>
              </w:tabs>
              <w:suppressAutoHyphens w:val="0"/>
              <w:spacing w:before="120" w:after="120" w:line="22" w:lineRule="atLeast"/>
              <w:ind w:left="0" w:firstLine="629"/>
              <w:jc w:val="both"/>
              <w:rPr>
                <w:rFonts w:ascii="Garamond" w:hAnsi="Garamond" w:cstheme="minorHAnsi"/>
                <w:sz w:val="22"/>
                <w:szCs w:val="22"/>
              </w:rPr>
            </w:pPr>
            <w:r w:rsidRPr="00A5626D">
              <w:rPr>
                <w:rFonts w:ascii="Garamond" w:hAnsi="Garamond" w:cstheme="minorHAnsi"/>
                <w:sz w:val="22"/>
                <w:szCs w:val="22"/>
              </w:rPr>
              <w:t>фактические потери электроэнергии в сетях ФСК (отдельно по каждой ценовой, неценовой зоне);</w:t>
            </w:r>
          </w:p>
          <w:p w14:paraId="34AFB69C" w14:textId="77777777" w:rsidR="00295C6D" w:rsidRPr="00A5626D" w:rsidRDefault="00295C6D" w:rsidP="00647FA0">
            <w:pPr>
              <w:numPr>
                <w:ilvl w:val="0"/>
                <w:numId w:val="251"/>
              </w:numPr>
              <w:tabs>
                <w:tab w:val="num" w:pos="426"/>
                <w:tab w:val="num" w:pos="851"/>
                <w:tab w:val="num" w:pos="993"/>
                <w:tab w:val="left" w:pos="1080"/>
                <w:tab w:val="left" w:pos="1134"/>
                <w:tab w:val="left" w:pos="7938"/>
              </w:tabs>
              <w:suppressAutoHyphens w:val="0"/>
              <w:spacing w:before="120" w:after="120" w:line="22" w:lineRule="atLeast"/>
              <w:ind w:left="0" w:firstLine="629"/>
              <w:jc w:val="both"/>
              <w:rPr>
                <w:rFonts w:ascii="Garamond" w:hAnsi="Garamond" w:cstheme="minorHAnsi"/>
                <w:sz w:val="22"/>
                <w:szCs w:val="22"/>
              </w:rPr>
            </w:pPr>
            <w:r w:rsidRPr="00A5626D">
              <w:rPr>
                <w:rFonts w:ascii="Garamond" w:hAnsi="Garamond" w:cstheme="minorHAnsi"/>
                <w:sz w:val="22"/>
                <w:szCs w:val="22"/>
              </w:rPr>
              <w:t xml:space="preserve">фактический отпуск электрической энергии (в сальдированном выражении) для сетей ФСК 330 кВ и выше и для сетей ФСК 220 кВ и ниже, сгруппированный по территориям субъектов Российской Федерации, сформированный с учетом сведений, направленных ФСК в соответствии с п. 3.13 </w:t>
            </w:r>
            <w:r w:rsidRPr="00A5626D">
              <w:rPr>
                <w:rFonts w:ascii="Garamond" w:hAnsi="Garamond" w:cstheme="minorHAnsi"/>
                <w:i/>
                <w:sz w:val="22"/>
                <w:szCs w:val="22"/>
              </w:rPr>
              <w:t>Регламента допуска к торговой системе оптового рынка</w:t>
            </w:r>
            <w:r w:rsidRPr="00A5626D">
              <w:rPr>
                <w:rFonts w:ascii="Garamond" w:hAnsi="Garamond" w:cstheme="minorHAnsi"/>
                <w:sz w:val="22"/>
                <w:szCs w:val="22"/>
              </w:rPr>
              <w:t xml:space="preserve"> (Приложение № 1 к </w:t>
            </w:r>
            <w:r w:rsidRPr="00A5626D">
              <w:rPr>
                <w:rFonts w:ascii="Garamond" w:hAnsi="Garamond" w:cstheme="minorHAnsi"/>
                <w:i/>
                <w:sz w:val="22"/>
                <w:szCs w:val="22"/>
              </w:rPr>
              <w:t>Договору о присоединении к торговой системе оптового рынка</w:t>
            </w:r>
            <w:r w:rsidRPr="00A5626D">
              <w:rPr>
                <w:rFonts w:ascii="Garamond" w:hAnsi="Garamond" w:cstheme="minorHAnsi"/>
                <w:sz w:val="22"/>
                <w:szCs w:val="22"/>
              </w:rPr>
              <w:t>), и интегральных актов учета перетоков (макеты 50080);</w:t>
            </w:r>
          </w:p>
          <w:p w14:paraId="53FD4315" w14:textId="77777777" w:rsidR="00295C6D" w:rsidRPr="00A5626D" w:rsidRDefault="00295C6D" w:rsidP="00647FA0">
            <w:pPr>
              <w:numPr>
                <w:ilvl w:val="0"/>
                <w:numId w:val="251"/>
              </w:numPr>
              <w:tabs>
                <w:tab w:val="clear" w:pos="784"/>
                <w:tab w:val="num" w:pos="0"/>
                <w:tab w:val="num" w:pos="851"/>
                <w:tab w:val="left" w:pos="1080"/>
                <w:tab w:val="left" w:pos="1134"/>
                <w:tab w:val="left" w:pos="7938"/>
              </w:tabs>
              <w:suppressAutoHyphens w:val="0"/>
              <w:spacing w:before="120" w:after="120" w:line="22" w:lineRule="atLeast"/>
              <w:ind w:left="0" w:firstLine="629"/>
              <w:jc w:val="both"/>
              <w:rPr>
                <w:rFonts w:ascii="Garamond" w:hAnsi="Garamond" w:cstheme="minorHAnsi"/>
                <w:sz w:val="22"/>
                <w:szCs w:val="22"/>
              </w:rPr>
            </w:pPr>
            <w:r w:rsidRPr="00A5626D">
              <w:rPr>
                <w:rFonts w:ascii="Garamond" w:hAnsi="Garamond" w:cstheme="minorHAnsi"/>
                <w:sz w:val="22"/>
                <w:szCs w:val="22"/>
              </w:rPr>
              <w:t>нормативные потери электрической энергии, рассчитываемые отдельно для сетей ФСК 330 кВ и выше и для сетей ФСК 220 кВ и ниже, сгруппированные по территориям субъектов Российской Федерации.</w:t>
            </w:r>
          </w:p>
          <w:p w14:paraId="36035040" w14:textId="77777777" w:rsidR="00295C6D" w:rsidRPr="00A5626D" w:rsidRDefault="00295C6D" w:rsidP="00647FA0">
            <w:pPr>
              <w:pStyle w:val="2"/>
              <w:widowControl/>
              <w:numPr>
                <w:ilvl w:val="1"/>
                <w:numId w:val="257"/>
              </w:numPr>
              <w:tabs>
                <w:tab w:val="left" w:pos="1134"/>
                <w:tab w:val="left" w:pos="7938"/>
              </w:tabs>
              <w:suppressAutoHyphens w:val="0"/>
              <w:autoSpaceDE/>
              <w:spacing w:before="120" w:after="120" w:line="22" w:lineRule="atLeast"/>
              <w:ind w:left="0" w:firstLine="629"/>
              <w:jc w:val="both"/>
              <w:rPr>
                <w:rFonts w:ascii="Garamond" w:hAnsi="Garamond" w:cstheme="minorHAnsi"/>
                <w:b w:val="0"/>
              </w:rPr>
            </w:pPr>
            <w:r w:rsidRPr="00A5626D">
              <w:rPr>
                <w:rFonts w:ascii="Garamond" w:hAnsi="Garamond" w:cstheme="minorHAnsi"/>
                <w:b w:val="0"/>
                <w:highlight w:val="yellow"/>
              </w:rPr>
              <w:t>По ГТП генерации участники оптового рынка формируют акт учета (оборота) по ГТП генерации (макет 51020) и (или) формируют и направляют корректирующий акт учета (оборота) по ГТП генерации (макет 51075) в соответствии с разделом 7 настоящего Регламента.</w:t>
            </w:r>
          </w:p>
          <w:p w14:paraId="382A7600" w14:textId="77777777" w:rsidR="00295C6D" w:rsidRPr="00A5626D" w:rsidRDefault="00295C6D" w:rsidP="00647FA0">
            <w:pPr>
              <w:pStyle w:val="2"/>
              <w:widowControl/>
              <w:numPr>
                <w:ilvl w:val="0"/>
                <w:numId w:val="0"/>
              </w:numPr>
              <w:tabs>
                <w:tab w:val="left" w:pos="1134"/>
                <w:tab w:val="left" w:pos="7938"/>
              </w:tabs>
              <w:suppressAutoHyphens w:val="0"/>
              <w:autoSpaceDE/>
              <w:spacing w:before="120" w:after="120" w:line="22" w:lineRule="atLeast"/>
              <w:ind w:firstLine="601"/>
              <w:jc w:val="both"/>
              <w:rPr>
                <w:rFonts w:ascii="Garamond" w:hAnsi="Garamond" w:cstheme="minorHAnsi"/>
                <w:b w:val="0"/>
              </w:rPr>
            </w:pPr>
            <w:r w:rsidRPr="00A5626D">
              <w:rPr>
                <w:rFonts w:ascii="Garamond" w:hAnsi="Garamond" w:cstheme="minorHAnsi"/>
                <w:b w:val="0"/>
              </w:rPr>
              <w:t xml:space="preserve">По сечениям коммерческого учета участники оптового рынка между собой, а также участники оптового рынка и ФСК формируют акт учета перетоков по сечению коммерческого учета (макет 51020) и (или) направляют корректирующий акт учета перетоков по сечению коммерческого учета (макет 51075) в соответствии с </w:t>
            </w:r>
            <w:r w:rsidRPr="00A5626D">
              <w:rPr>
                <w:rFonts w:ascii="Garamond" w:hAnsi="Garamond" w:cstheme="minorHAnsi"/>
                <w:b w:val="0"/>
                <w:highlight w:val="yellow"/>
              </w:rPr>
              <w:t>разделом 7</w:t>
            </w:r>
            <w:r w:rsidRPr="00A5626D">
              <w:rPr>
                <w:rFonts w:ascii="Garamond" w:hAnsi="Garamond" w:cstheme="minorHAnsi"/>
                <w:b w:val="0"/>
              </w:rPr>
              <w:t xml:space="preserve"> настоящ</w:t>
            </w:r>
            <w:r w:rsidRPr="00A5626D">
              <w:rPr>
                <w:rFonts w:ascii="Garamond" w:hAnsi="Garamond" w:cstheme="minorHAnsi"/>
                <w:b w:val="0"/>
                <w:highlight w:val="yellow"/>
              </w:rPr>
              <w:t>его</w:t>
            </w:r>
            <w:r w:rsidRPr="00A5626D">
              <w:rPr>
                <w:rFonts w:ascii="Garamond" w:hAnsi="Garamond" w:cstheme="minorHAnsi"/>
                <w:b w:val="0"/>
              </w:rPr>
              <w:t xml:space="preserve"> Регламент</w:t>
            </w:r>
            <w:r w:rsidRPr="00A5626D">
              <w:rPr>
                <w:rFonts w:ascii="Garamond" w:hAnsi="Garamond" w:cstheme="minorHAnsi"/>
                <w:b w:val="0"/>
                <w:highlight w:val="yellow"/>
              </w:rPr>
              <w:t>а</w:t>
            </w:r>
            <w:r w:rsidRPr="00A5626D">
              <w:rPr>
                <w:rFonts w:ascii="Garamond" w:hAnsi="Garamond" w:cstheme="minorHAnsi"/>
                <w:b w:val="0"/>
              </w:rPr>
              <w:t>.</w:t>
            </w:r>
          </w:p>
          <w:p w14:paraId="4FFDB42B" w14:textId="77777777" w:rsidR="00295C6D" w:rsidRPr="00A5626D" w:rsidRDefault="00295C6D" w:rsidP="00647FA0">
            <w:pPr>
              <w:tabs>
                <w:tab w:val="left" w:pos="1080"/>
                <w:tab w:val="left" w:pos="1134"/>
                <w:tab w:val="left" w:pos="7938"/>
              </w:tabs>
              <w:spacing w:before="120" w:after="120" w:line="22" w:lineRule="atLeast"/>
              <w:ind w:firstLine="629"/>
              <w:jc w:val="both"/>
              <w:rPr>
                <w:rFonts w:ascii="Garamond" w:hAnsi="Garamond" w:cstheme="minorHAnsi"/>
                <w:sz w:val="22"/>
                <w:szCs w:val="22"/>
              </w:rPr>
            </w:pPr>
            <w:r w:rsidRPr="00A5626D">
              <w:rPr>
                <w:rFonts w:ascii="Garamond" w:hAnsi="Garamond" w:cstheme="minorHAnsi"/>
                <w:sz w:val="22"/>
                <w:szCs w:val="22"/>
              </w:rPr>
              <w:t xml:space="preserve">В случае если в ПСИ по сечению коммерческого учета между участником оптового рынка и ФСК (за исключением сечений коммерческого учета между ФСК и поставщиками электроэнергии) включены точки поставки, расположенные на элементах электрооборудования, отнесенных к сетям ФСК с напряжением 330 кВ и выше, и расположенные на элементах электрооборудования, отнесенных к сетям ФСК с напряжением 220 кВ и ниже, участник оптового рынка и ФСК </w:t>
            </w:r>
            <w:r w:rsidRPr="00A5626D">
              <w:rPr>
                <w:rFonts w:ascii="Garamond" w:hAnsi="Garamond" w:cstheme="minorHAnsi"/>
                <w:sz w:val="22"/>
                <w:szCs w:val="22"/>
              </w:rPr>
              <w:lastRenderedPageBreak/>
              <w:t>по указанным сечениям дополнительно формируют и направляют в КО интегральный акт учета перетоков (макет 50080).</w:t>
            </w:r>
          </w:p>
          <w:p w14:paraId="52F5AB1D" w14:textId="77777777" w:rsidR="00295C6D" w:rsidRPr="00A5626D" w:rsidRDefault="00295C6D" w:rsidP="00647FA0">
            <w:pPr>
              <w:pStyle w:val="2"/>
              <w:widowControl/>
              <w:numPr>
                <w:ilvl w:val="0"/>
                <w:numId w:val="0"/>
              </w:numPr>
              <w:tabs>
                <w:tab w:val="left" w:pos="1134"/>
                <w:tab w:val="left" w:pos="7938"/>
              </w:tabs>
              <w:suppressAutoHyphens w:val="0"/>
              <w:autoSpaceDE/>
              <w:spacing w:before="120" w:after="120" w:line="22" w:lineRule="atLeast"/>
              <w:ind w:firstLine="601"/>
              <w:jc w:val="both"/>
              <w:rPr>
                <w:rFonts w:ascii="Garamond" w:hAnsi="Garamond" w:cstheme="minorHAnsi"/>
                <w:b w:val="0"/>
              </w:rPr>
            </w:pPr>
            <w:r w:rsidRPr="00A5626D">
              <w:rPr>
                <w:rFonts w:ascii="Garamond" w:hAnsi="Garamond" w:cstheme="minorHAnsi"/>
                <w:b w:val="0"/>
                <w:highlight w:val="yellow"/>
              </w:rPr>
              <w:t>По объектам регулирования агрегаторы формируют и направляют акт учета (оборота) по объекту регулирования (макет 21070) в соответствии с п. 7.7 настоящего Регламента.</w:t>
            </w:r>
          </w:p>
          <w:p w14:paraId="35B25B0A" w14:textId="77777777" w:rsidR="00295C6D" w:rsidRPr="00A5626D" w:rsidRDefault="00295C6D" w:rsidP="00647FA0">
            <w:pPr>
              <w:pStyle w:val="2"/>
              <w:widowControl/>
              <w:numPr>
                <w:ilvl w:val="1"/>
                <w:numId w:val="257"/>
              </w:numPr>
              <w:tabs>
                <w:tab w:val="left" w:pos="1134"/>
                <w:tab w:val="left" w:pos="7938"/>
              </w:tabs>
              <w:suppressAutoHyphens w:val="0"/>
              <w:autoSpaceDE/>
              <w:spacing w:before="120" w:after="120" w:line="22" w:lineRule="atLeast"/>
              <w:ind w:left="0" w:firstLine="629"/>
              <w:jc w:val="both"/>
              <w:rPr>
                <w:rFonts w:ascii="Garamond" w:hAnsi="Garamond" w:cstheme="minorHAnsi"/>
                <w:b w:val="0"/>
              </w:rPr>
            </w:pPr>
            <w:r w:rsidRPr="00A5626D">
              <w:rPr>
                <w:rFonts w:ascii="Garamond" w:hAnsi="Garamond" w:cstheme="minorHAnsi"/>
                <w:b w:val="0"/>
              </w:rPr>
              <w:t>ГАЭС обязаны сформировать (направить) данные коммерческого учета в отношении выработанной (в генераторном режиме) и потребленной (в двигательном режиме) электроэнергии.</w:t>
            </w:r>
          </w:p>
          <w:p w14:paraId="165B70DE" w14:textId="77777777" w:rsidR="00295C6D" w:rsidRPr="00A5626D" w:rsidRDefault="00295C6D" w:rsidP="00647FA0">
            <w:pPr>
              <w:tabs>
                <w:tab w:val="left" w:pos="720"/>
                <w:tab w:val="left" w:pos="1080"/>
                <w:tab w:val="left" w:pos="1134"/>
                <w:tab w:val="left" w:pos="7938"/>
              </w:tabs>
              <w:spacing w:before="120" w:after="120" w:line="22" w:lineRule="atLeast"/>
              <w:ind w:firstLine="629"/>
              <w:jc w:val="both"/>
              <w:rPr>
                <w:rFonts w:ascii="Garamond" w:hAnsi="Garamond" w:cstheme="minorHAnsi"/>
                <w:sz w:val="22"/>
                <w:szCs w:val="22"/>
              </w:rPr>
            </w:pPr>
            <w:r w:rsidRPr="00A5626D">
              <w:rPr>
                <w:rFonts w:ascii="Garamond" w:hAnsi="Garamond" w:cstheme="minorHAnsi"/>
                <w:sz w:val="22"/>
                <w:szCs w:val="22"/>
              </w:rPr>
              <w:t>В части, связанной с формированием (направлением) данных коммерческого учета в отношении ГТП генерации ГАЭС в двигательном режиме (в том числе формирование акта учета (оборота) по ГТП генерации ГАЭС в двигательном режиме (макет 51020), корректирующего акта учета (оборота) по ГТП генерации ГАЭС в двигательном режиме (макет 51075), размещение на сайте КО результатов измерений и расчета учетного показателя в отношении ГТП генерации ГАЭС в двигательном режиме, применение замещающих методов расчета), применяются общие положения настоящего Регламента, установленные для ГТП генерации поставщиков электроэнергии.</w:t>
            </w:r>
          </w:p>
          <w:p w14:paraId="4D05AD25" w14:textId="77777777" w:rsidR="00295C6D" w:rsidRPr="00A5626D" w:rsidRDefault="00295C6D" w:rsidP="00647FA0">
            <w:pPr>
              <w:pStyle w:val="2"/>
              <w:widowControl/>
              <w:numPr>
                <w:ilvl w:val="1"/>
                <w:numId w:val="257"/>
              </w:numPr>
              <w:tabs>
                <w:tab w:val="left" w:pos="1134"/>
                <w:tab w:val="left" w:pos="7938"/>
              </w:tabs>
              <w:suppressAutoHyphens w:val="0"/>
              <w:autoSpaceDE/>
              <w:spacing w:before="120" w:after="120" w:line="22" w:lineRule="atLeast"/>
              <w:ind w:left="0" w:firstLine="629"/>
              <w:jc w:val="both"/>
              <w:rPr>
                <w:rFonts w:ascii="Garamond" w:hAnsi="Garamond" w:cstheme="minorHAnsi"/>
                <w:b w:val="0"/>
              </w:rPr>
            </w:pPr>
            <w:r w:rsidRPr="00A5626D">
              <w:rPr>
                <w:rFonts w:ascii="Garamond" w:hAnsi="Garamond" w:cstheme="minorHAnsi"/>
                <w:b w:val="0"/>
              </w:rPr>
              <w:t xml:space="preserve">Замещающие методы расчета </w:t>
            </w:r>
            <w:r w:rsidRPr="00A5626D">
              <w:rPr>
                <w:rFonts w:ascii="Garamond" w:hAnsi="Garamond" w:cstheme="minorHAnsi"/>
                <w:b w:val="0"/>
                <w:highlight w:val="yellow"/>
              </w:rPr>
              <w:t>объемов электроэнергии</w:t>
            </w:r>
            <w:r w:rsidRPr="00A5626D">
              <w:rPr>
                <w:rFonts w:ascii="Garamond" w:hAnsi="Garamond" w:cstheme="minorHAnsi"/>
                <w:b w:val="0"/>
              </w:rPr>
              <w:t xml:space="preserve"> используются в отношении групп точек поставки (сечений коммерческого учета) в следующих случаях:</w:t>
            </w:r>
          </w:p>
          <w:p w14:paraId="6DD03CA1" w14:textId="6BEC7EAE" w:rsidR="00295C6D" w:rsidRPr="00A5626D" w:rsidRDefault="00295C6D" w:rsidP="00647FA0">
            <w:pPr>
              <w:pStyle w:val="28"/>
              <w:numPr>
                <w:ilvl w:val="0"/>
                <w:numId w:val="252"/>
              </w:numPr>
              <w:tabs>
                <w:tab w:val="left" w:pos="1134"/>
                <w:tab w:val="left" w:pos="1200"/>
                <w:tab w:val="left" w:pos="7938"/>
              </w:tabs>
              <w:spacing w:before="120" w:line="22" w:lineRule="atLeast"/>
              <w:ind w:left="0" w:firstLine="629"/>
              <w:jc w:val="both"/>
              <w:rPr>
                <w:rFonts w:cstheme="minorHAnsi"/>
                <w:szCs w:val="22"/>
              </w:rPr>
            </w:pPr>
            <w:r w:rsidRPr="00A5626D">
              <w:rPr>
                <w:rFonts w:cstheme="minorHAnsi"/>
                <w:szCs w:val="22"/>
              </w:rPr>
              <w:t xml:space="preserve">отсутствуют акты учета (оборота) по ГТП генерации и (или) акты учета перетоков по сечению коммерческого учета (макеты 51020), сформированные в порядке, установленном пп. </w:t>
            </w:r>
            <w:r w:rsidR="002B237C" w:rsidRPr="00A5626D">
              <w:rPr>
                <w:rFonts w:cstheme="minorHAnsi"/>
                <w:szCs w:val="22"/>
              </w:rPr>
              <w:t xml:space="preserve">7.2 </w:t>
            </w:r>
            <w:r w:rsidR="002B237C" w:rsidRPr="00A5626D">
              <w:rPr>
                <w:rFonts w:cstheme="minorHAnsi"/>
                <w:szCs w:val="22"/>
                <w:highlight w:val="yellow"/>
              </w:rPr>
              <w:t xml:space="preserve">и </w:t>
            </w:r>
            <w:r w:rsidRPr="00A5626D">
              <w:rPr>
                <w:rFonts w:cstheme="minorHAnsi"/>
                <w:szCs w:val="22"/>
                <w:highlight w:val="yellow"/>
              </w:rPr>
              <w:t>7.3</w:t>
            </w:r>
            <w:r w:rsidRPr="00A5626D">
              <w:rPr>
                <w:rFonts w:cstheme="minorHAnsi"/>
                <w:szCs w:val="22"/>
              </w:rPr>
              <w:t xml:space="preserve"> настоящего Регламента;</w:t>
            </w:r>
          </w:p>
          <w:p w14:paraId="68B2E4AC" w14:textId="77777777" w:rsidR="00295C6D" w:rsidRPr="00A5626D" w:rsidRDefault="00295C6D" w:rsidP="00647FA0">
            <w:pPr>
              <w:pStyle w:val="28"/>
              <w:numPr>
                <w:ilvl w:val="0"/>
                <w:numId w:val="252"/>
              </w:numPr>
              <w:tabs>
                <w:tab w:val="left" w:pos="1134"/>
                <w:tab w:val="left" w:pos="1200"/>
                <w:tab w:val="left" w:pos="7938"/>
              </w:tabs>
              <w:spacing w:before="120" w:line="22" w:lineRule="atLeast"/>
              <w:ind w:left="0" w:firstLine="629"/>
              <w:jc w:val="both"/>
              <w:rPr>
                <w:rFonts w:cstheme="minorHAnsi"/>
                <w:szCs w:val="22"/>
              </w:rPr>
            </w:pPr>
            <w:r w:rsidRPr="00A5626D">
              <w:rPr>
                <w:rFonts w:cstheme="minorHAnsi"/>
                <w:szCs w:val="22"/>
              </w:rPr>
              <w:t>отсутствуют акты учета перетоков по внутреннему сечению (макет 51020), сформированные участником оптового рынка, в состав ГТП потребления которого входят внутренние сечения, в порядке, установленном п. 7.4 настоящего Регламента (в том числе в связи с невыполнением требований раздела 5 настоящего Регламента);</w:t>
            </w:r>
          </w:p>
          <w:p w14:paraId="31FB81D0" w14:textId="77777777" w:rsidR="00295C6D" w:rsidRPr="00A5626D" w:rsidRDefault="00295C6D" w:rsidP="00647FA0">
            <w:pPr>
              <w:pStyle w:val="28"/>
              <w:numPr>
                <w:ilvl w:val="0"/>
                <w:numId w:val="252"/>
              </w:numPr>
              <w:tabs>
                <w:tab w:val="left" w:pos="1134"/>
                <w:tab w:val="left" w:pos="1200"/>
                <w:tab w:val="left" w:pos="7938"/>
              </w:tabs>
              <w:spacing w:before="120" w:line="22" w:lineRule="atLeast"/>
              <w:ind w:left="0" w:firstLine="629"/>
              <w:jc w:val="both"/>
              <w:rPr>
                <w:rFonts w:cstheme="minorHAnsi"/>
                <w:szCs w:val="22"/>
              </w:rPr>
            </w:pPr>
            <w:r w:rsidRPr="00A5626D">
              <w:rPr>
                <w:rFonts w:cstheme="minorHAnsi"/>
                <w:szCs w:val="22"/>
              </w:rPr>
              <w:t xml:space="preserve">имеются расхождения между почасовыми значениями учетных показателей по ГТП генерации, содержащимися в сформированном в соответствии с п. </w:t>
            </w:r>
            <w:r w:rsidRPr="00A5626D">
              <w:rPr>
                <w:rFonts w:cstheme="minorHAnsi"/>
                <w:szCs w:val="22"/>
                <w:highlight w:val="yellow"/>
              </w:rPr>
              <w:t>7.3</w:t>
            </w:r>
            <w:r w:rsidRPr="00A5626D">
              <w:rPr>
                <w:rFonts w:cstheme="minorHAnsi"/>
                <w:szCs w:val="22"/>
              </w:rPr>
              <w:t xml:space="preserve"> настоящего Регламента акте учета (оборота) по ГТП генерации (макет 51020), и почасовыми значениями оперативных данных, </w:t>
            </w:r>
            <w:r w:rsidRPr="00A5626D">
              <w:rPr>
                <w:rFonts w:cstheme="minorHAnsi"/>
                <w:szCs w:val="22"/>
              </w:rPr>
              <w:lastRenderedPageBreak/>
              <w:t>полученных от СО и сформированных на основе телеинформации, более чем на 5 %, при этом величина расхождения должна превышать 300 кВт·ч;</w:t>
            </w:r>
          </w:p>
          <w:p w14:paraId="18AFCE8C" w14:textId="77777777" w:rsidR="00295C6D" w:rsidRPr="00A5626D" w:rsidRDefault="00295C6D" w:rsidP="00647FA0">
            <w:pPr>
              <w:pStyle w:val="28"/>
              <w:numPr>
                <w:ilvl w:val="0"/>
                <w:numId w:val="252"/>
              </w:numPr>
              <w:tabs>
                <w:tab w:val="left" w:pos="1134"/>
                <w:tab w:val="left" w:pos="1200"/>
                <w:tab w:val="left" w:pos="7938"/>
              </w:tabs>
              <w:spacing w:before="120" w:line="22" w:lineRule="atLeast"/>
              <w:ind w:left="0" w:firstLine="629"/>
              <w:jc w:val="both"/>
              <w:rPr>
                <w:rFonts w:cstheme="minorHAnsi"/>
                <w:szCs w:val="22"/>
              </w:rPr>
            </w:pPr>
            <w:r w:rsidRPr="00A5626D">
              <w:rPr>
                <w:rFonts w:cstheme="minorHAnsi"/>
                <w:szCs w:val="22"/>
              </w:rPr>
              <w:t>КО приняты к расчетам направленные участниками оптового рынка (ФСК) корректирующие акты учета (оборота) по ГТП генерации либо корректирующие акты учета перетоков по сечению коммерческого учета (макеты 51075) соответственно;</w:t>
            </w:r>
          </w:p>
          <w:p w14:paraId="2B939D5D" w14:textId="77777777" w:rsidR="00295C6D" w:rsidRPr="00A5626D" w:rsidRDefault="00295C6D" w:rsidP="00647FA0">
            <w:pPr>
              <w:pStyle w:val="28"/>
              <w:numPr>
                <w:ilvl w:val="0"/>
                <w:numId w:val="252"/>
              </w:numPr>
              <w:tabs>
                <w:tab w:val="left" w:pos="1134"/>
                <w:tab w:val="left" w:pos="1200"/>
                <w:tab w:val="left" w:pos="7938"/>
              </w:tabs>
              <w:spacing w:before="120" w:line="22" w:lineRule="atLeast"/>
              <w:ind w:left="0" w:firstLine="629"/>
              <w:jc w:val="both"/>
              <w:rPr>
                <w:rFonts w:cstheme="minorHAnsi"/>
                <w:szCs w:val="22"/>
              </w:rPr>
            </w:pPr>
            <w:r w:rsidRPr="00A5626D">
              <w:rPr>
                <w:rFonts w:cstheme="minorHAnsi"/>
                <w:szCs w:val="22"/>
              </w:rPr>
              <w:t xml:space="preserve">отсутствуют акты учета (оборота) по ГТП генерации ГАЭС, сформированные в порядке, установленном п. </w:t>
            </w:r>
            <w:r w:rsidRPr="00A5626D">
              <w:rPr>
                <w:rFonts w:cstheme="minorHAnsi"/>
                <w:szCs w:val="22"/>
                <w:highlight w:val="yellow"/>
              </w:rPr>
              <w:t>7.3</w:t>
            </w:r>
            <w:r w:rsidRPr="00A5626D">
              <w:rPr>
                <w:rFonts w:cstheme="minorHAnsi"/>
                <w:szCs w:val="22"/>
              </w:rPr>
              <w:t xml:space="preserve"> настоящего Регламента (макет 51020), в отношении произведенной и (или) потребленной генератором (-ами) в двигательном режиме электроэнергии;</w:t>
            </w:r>
          </w:p>
          <w:p w14:paraId="5908BDB8" w14:textId="77777777" w:rsidR="00295C6D" w:rsidRPr="00A5626D" w:rsidRDefault="00295C6D" w:rsidP="00647FA0">
            <w:pPr>
              <w:pStyle w:val="28"/>
              <w:numPr>
                <w:ilvl w:val="0"/>
                <w:numId w:val="252"/>
              </w:numPr>
              <w:tabs>
                <w:tab w:val="left" w:pos="1134"/>
                <w:tab w:val="left" w:pos="1200"/>
                <w:tab w:val="left" w:pos="7938"/>
              </w:tabs>
              <w:spacing w:before="120" w:line="22" w:lineRule="atLeast"/>
              <w:ind w:left="0" w:firstLine="629"/>
              <w:jc w:val="both"/>
              <w:rPr>
                <w:rFonts w:cstheme="minorHAnsi"/>
                <w:szCs w:val="22"/>
              </w:rPr>
            </w:pPr>
            <w:r w:rsidRPr="00A5626D">
              <w:rPr>
                <w:rFonts w:cstheme="minorHAnsi"/>
                <w:szCs w:val="22"/>
              </w:rPr>
              <w:t>в отношении ГТП генерации ГАЭС КО приняты к расчетам корректирующие акты учета (оборота) по ГТП генерации ГАЭС (макет 51075) в отношении произведенной и (или) потребленной генератором (-ами) в двигательном режиме электроэнергии;</w:t>
            </w:r>
          </w:p>
          <w:p w14:paraId="3F6319E1" w14:textId="77777777" w:rsidR="00295C6D" w:rsidRPr="00A5626D" w:rsidRDefault="00295C6D" w:rsidP="00647FA0">
            <w:pPr>
              <w:pStyle w:val="28"/>
              <w:numPr>
                <w:ilvl w:val="0"/>
                <w:numId w:val="252"/>
              </w:numPr>
              <w:tabs>
                <w:tab w:val="left" w:pos="1134"/>
                <w:tab w:val="left" w:pos="1200"/>
                <w:tab w:val="left" w:pos="7938"/>
              </w:tabs>
              <w:spacing w:before="120" w:line="22" w:lineRule="atLeast"/>
              <w:ind w:left="0" w:firstLine="629"/>
              <w:jc w:val="both"/>
              <w:rPr>
                <w:rFonts w:cstheme="minorHAnsi"/>
                <w:szCs w:val="22"/>
              </w:rPr>
            </w:pPr>
            <w:r w:rsidRPr="00A5626D">
              <w:rPr>
                <w:rFonts w:cstheme="minorHAnsi"/>
                <w:szCs w:val="22"/>
              </w:rPr>
              <w:t>КО не приняты к расчетам согласованные интегральные акты учета перетоков (макеты 50080);</w:t>
            </w:r>
          </w:p>
          <w:p w14:paraId="57E4A501" w14:textId="53B6E3E3" w:rsidR="00295C6D" w:rsidRPr="00A5626D" w:rsidRDefault="00295C6D" w:rsidP="00647FA0">
            <w:pPr>
              <w:pStyle w:val="28"/>
              <w:numPr>
                <w:ilvl w:val="0"/>
                <w:numId w:val="252"/>
              </w:numPr>
              <w:tabs>
                <w:tab w:val="left" w:pos="1134"/>
                <w:tab w:val="left" w:pos="1200"/>
                <w:tab w:val="left" w:pos="7938"/>
              </w:tabs>
              <w:spacing w:before="120" w:line="22" w:lineRule="atLeast"/>
              <w:ind w:left="0" w:firstLine="629"/>
              <w:jc w:val="both"/>
              <w:rPr>
                <w:rFonts w:cstheme="minorHAnsi"/>
                <w:szCs w:val="22"/>
              </w:rPr>
            </w:pPr>
            <w:r w:rsidRPr="00A5626D">
              <w:rPr>
                <w:rFonts w:cstheme="minorHAnsi"/>
                <w:szCs w:val="22"/>
              </w:rPr>
              <w:t xml:space="preserve">не выполнены требования </w:t>
            </w:r>
            <w:r w:rsidRPr="00A5626D">
              <w:rPr>
                <w:rFonts w:cstheme="minorHAnsi"/>
                <w:szCs w:val="22"/>
                <w:highlight w:val="yellow"/>
              </w:rPr>
              <w:t>п</w:t>
            </w:r>
            <w:r w:rsidR="00D81DB8" w:rsidRPr="00A5626D">
              <w:rPr>
                <w:rFonts w:cstheme="minorHAnsi"/>
                <w:szCs w:val="22"/>
                <w:highlight w:val="yellow"/>
              </w:rPr>
              <w:t>п</w:t>
            </w:r>
            <w:r w:rsidRPr="00A5626D">
              <w:rPr>
                <w:rFonts w:cstheme="minorHAnsi"/>
                <w:szCs w:val="22"/>
                <w:highlight w:val="yellow"/>
              </w:rPr>
              <w:t>.</w:t>
            </w:r>
            <w:r w:rsidR="002B237C" w:rsidRPr="00A5626D">
              <w:rPr>
                <w:rFonts w:cstheme="minorHAnsi"/>
                <w:szCs w:val="22"/>
                <w:highlight w:val="yellow"/>
              </w:rPr>
              <w:t xml:space="preserve"> </w:t>
            </w:r>
            <w:r w:rsidRPr="00A5626D">
              <w:rPr>
                <w:rFonts w:cstheme="minorHAnsi"/>
                <w:szCs w:val="22"/>
                <w:highlight w:val="yellow"/>
              </w:rPr>
              <w:t>5.1</w:t>
            </w:r>
            <w:r w:rsidR="00D81DB8" w:rsidRPr="00A5626D">
              <w:rPr>
                <w:rFonts w:cstheme="minorHAnsi"/>
                <w:szCs w:val="22"/>
                <w:highlight w:val="yellow"/>
              </w:rPr>
              <w:t>–</w:t>
            </w:r>
            <w:r w:rsidRPr="00A5626D">
              <w:rPr>
                <w:rFonts w:cstheme="minorHAnsi"/>
                <w:szCs w:val="22"/>
                <w:highlight w:val="yellow"/>
              </w:rPr>
              <w:t>5.3</w:t>
            </w:r>
            <w:r w:rsidRPr="00A5626D">
              <w:rPr>
                <w:rFonts w:cstheme="minorHAnsi"/>
                <w:szCs w:val="22"/>
              </w:rPr>
              <w:t xml:space="preserve"> настоящего Регламента по внутренним сечениям по истечении срок</w:t>
            </w:r>
            <w:r w:rsidRPr="00A5626D">
              <w:rPr>
                <w:rFonts w:cstheme="minorHAnsi"/>
                <w:szCs w:val="22"/>
                <w:highlight w:val="yellow"/>
              </w:rPr>
              <w:t>ов</w:t>
            </w:r>
            <w:r w:rsidRPr="00A5626D">
              <w:rPr>
                <w:rFonts w:cstheme="minorHAnsi"/>
                <w:szCs w:val="22"/>
              </w:rPr>
              <w:t>, установленн</w:t>
            </w:r>
            <w:r w:rsidRPr="00A5626D">
              <w:rPr>
                <w:rFonts w:cstheme="minorHAnsi"/>
                <w:szCs w:val="22"/>
                <w:highlight w:val="yellow"/>
              </w:rPr>
              <w:t>ых</w:t>
            </w:r>
            <w:r w:rsidRPr="00A5626D">
              <w:rPr>
                <w:rFonts w:cstheme="minorHAnsi"/>
                <w:szCs w:val="22"/>
              </w:rPr>
              <w:t xml:space="preserve"> п. </w:t>
            </w:r>
            <w:r w:rsidRPr="00A5626D">
              <w:rPr>
                <w:rFonts w:cstheme="minorHAnsi"/>
                <w:szCs w:val="22"/>
                <w:highlight w:val="yellow"/>
              </w:rPr>
              <w:t>5.4</w:t>
            </w:r>
            <w:r w:rsidRPr="00A5626D">
              <w:rPr>
                <w:rFonts w:cstheme="minorHAnsi"/>
                <w:szCs w:val="22"/>
              </w:rPr>
              <w:t xml:space="preserve"> настоящего Регламента;</w:t>
            </w:r>
          </w:p>
          <w:p w14:paraId="799AF026" w14:textId="77777777" w:rsidR="00295C6D" w:rsidRPr="00A5626D" w:rsidRDefault="00295C6D" w:rsidP="00647FA0">
            <w:pPr>
              <w:pStyle w:val="28"/>
              <w:numPr>
                <w:ilvl w:val="0"/>
                <w:numId w:val="252"/>
              </w:numPr>
              <w:tabs>
                <w:tab w:val="left" w:pos="1134"/>
                <w:tab w:val="left" w:pos="1200"/>
                <w:tab w:val="left" w:pos="7938"/>
              </w:tabs>
              <w:spacing w:before="120" w:line="22" w:lineRule="atLeast"/>
              <w:ind w:left="0" w:firstLine="629"/>
              <w:jc w:val="both"/>
              <w:rPr>
                <w:rFonts w:cstheme="minorHAnsi"/>
                <w:szCs w:val="22"/>
              </w:rPr>
            </w:pPr>
            <w:r w:rsidRPr="00A5626D">
              <w:rPr>
                <w:rFonts w:cstheme="minorHAnsi"/>
                <w:szCs w:val="22"/>
              </w:rPr>
              <w:t>при реорганизации субъектов оптового рынка в случаях, установленных п. 7.</w:t>
            </w:r>
            <w:r w:rsidRPr="00A5626D">
              <w:rPr>
                <w:rFonts w:cstheme="minorHAnsi"/>
                <w:szCs w:val="22"/>
                <w:highlight w:val="yellow"/>
              </w:rPr>
              <w:t>1</w:t>
            </w:r>
            <w:r w:rsidRPr="00A5626D">
              <w:rPr>
                <w:rFonts w:cstheme="minorHAnsi"/>
                <w:szCs w:val="22"/>
              </w:rPr>
              <w:t xml:space="preserve"> настоящего Регламента.</w:t>
            </w:r>
          </w:p>
          <w:p w14:paraId="47FBEB5F" w14:textId="77777777" w:rsidR="00295C6D" w:rsidRPr="00A5626D" w:rsidRDefault="00295C6D" w:rsidP="00647FA0">
            <w:pPr>
              <w:pStyle w:val="28"/>
              <w:tabs>
                <w:tab w:val="left" w:pos="1134"/>
                <w:tab w:val="left" w:pos="1200"/>
                <w:tab w:val="left" w:pos="7938"/>
              </w:tabs>
              <w:spacing w:before="120" w:line="22" w:lineRule="atLeast"/>
              <w:ind w:firstLine="601"/>
              <w:jc w:val="both"/>
              <w:rPr>
                <w:rFonts w:cstheme="minorHAnsi"/>
                <w:szCs w:val="22"/>
              </w:rPr>
            </w:pPr>
            <w:r w:rsidRPr="00A5626D">
              <w:rPr>
                <w:rFonts w:cstheme="minorHAnsi"/>
                <w:szCs w:val="22"/>
                <w:highlight w:val="yellow"/>
              </w:rPr>
              <w:t>В отношении объектов регулирования замещающие методы расчета объемов электроэнергии не применяются.</w:t>
            </w:r>
          </w:p>
          <w:p w14:paraId="2681883C" w14:textId="77777777" w:rsidR="00295C6D" w:rsidRPr="00A5626D" w:rsidRDefault="00295C6D" w:rsidP="00647FA0">
            <w:pPr>
              <w:pStyle w:val="2"/>
              <w:widowControl/>
              <w:numPr>
                <w:ilvl w:val="1"/>
                <w:numId w:val="257"/>
              </w:numPr>
              <w:tabs>
                <w:tab w:val="left" w:pos="1134"/>
                <w:tab w:val="left" w:pos="7938"/>
              </w:tabs>
              <w:suppressAutoHyphens w:val="0"/>
              <w:autoSpaceDE/>
              <w:spacing w:before="120" w:after="120" w:line="22" w:lineRule="atLeast"/>
              <w:ind w:left="0" w:firstLine="629"/>
              <w:jc w:val="both"/>
              <w:rPr>
                <w:rFonts w:ascii="Garamond" w:hAnsi="Garamond" w:cstheme="minorHAnsi"/>
                <w:b w:val="0"/>
              </w:rPr>
            </w:pPr>
            <w:r w:rsidRPr="00A5626D">
              <w:rPr>
                <w:rFonts w:ascii="Garamond" w:hAnsi="Garamond" w:cstheme="minorHAnsi"/>
                <w:b w:val="0"/>
                <w:highlight w:val="yellow"/>
              </w:rPr>
              <w:t>Отчетные данные коммерческого учета</w:t>
            </w:r>
            <w:r w:rsidRPr="00A5626D">
              <w:rPr>
                <w:rFonts w:ascii="Garamond" w:hAnsi="Garamond" w:cstheme="minorHAnsi"/>
                <w:b w:val="0"/>
              </w:rPr>
              <w:t xml:space="preserve"> по сечени</w:t>
            </w:r>
            <w:r w:rsidRPr="00A5626D">
              <w:rPr>
                <w:rFonts w:ascii="Garamond" w:hAnsi="Garamond" w:cstheme="minorHAnsi"/>
                <w:b w:val="0"/>
                <w:highlight w:val="yellow"/>
              </w:rPr>
              <w:t>ям</w:t>
            </w:r>
            <w:r w:rsidRPr="00A5626D">
              <w:rPr>
                <w:rFonts w:ascii="Garamond" w:hAnsi="Garamond" w:cstheme="minorHAnsi"/>
                <w:b w:val="0"/>
              </w:rPr>
              <w:t xml:space="preserve"> экспорта-импорта определяются КО как сумма почасовых величин </w:t>
            </w:r>
            <w:r w:rsidRPr="00A5626D">
              <w:rPr>
                <w:rFonts w:ascii="Garamond" w:hAnsi="Garamond" w:cstheme="minorHAnsi"/>
                <w:b w:val="0"/>
                <w:highlight w:val="yellow"/>
              </w:rPr>
              <w:t>сальдо перетоков</w:t>
            </w:r>
            <w:r w:rsidRPr="00A5626D">
              <w:rPr>
                <w:rFonts w:ascii="Garamond" w:hAnsi="Garamond" w:cstheme="minorHAnsi"/>
                <w:b w:val="0"/>
              </w:rPr>
              <w:t>, отраженных в направленных ФСК и принятых КО актах учета перетоков по сечениям коммерческого учета, входящим в сечение экспорта-импорта, а также данных коммерческого учета, сформированных на основании замещающих методов расчета, предусмотренных настоящим Регламентом. Для целей настоящего Регламента в качестве актов учета перетоков по сечениям коммерческого учета, входящим в сечение экспорта-импорта, используются корректирующие акты учета перетоков (макеты 51075) с указанием причины № 4.</w:t>
            </w:r>
          </w:p>
          <w:p w14:paraId="52542EC7" w14:textId="77777777" w:rsidR="00295C6D" w:rsidRPr="00A5626D" w:rsidRDefault="00295C6D" w:rsidP="00647FA0">
            <w:pPr>
              <w:tabs>
                <w:tab w:val="left" w:pos="720"/>
                <w:tab w:val="left" w:pos="1080"/>
                <w:tab w:val="left" w:pos="1134"/>
                <w:tab w:val="left" w:pos="7938"/>
              </w:tabs>
              <w:spacing w:before="120" w:after="120" w:line="22" w:lineRule="atLeast"/>
              <w:ind w:firstLine="629"/>
              <w:jc w:val="both"/>
              <w:rPr>
                <w:rFonts w:ascii="Garamond" w:hAnsi="Garamond" w:cstheme="minorHAnsi"/>
                <w:sz w:val="22"/>
                <w:szCs w:val="22"/>
              </w:rPr>
            </w:pPr>
            <w:r w:rsidRPr="00A5626D">
              <w:rPr>
                <w:rFonts w:ascii="Garamond" w:hAnsi="Garamond" w:cstheme="minorHAnsi"/>
                <w:sz w:val="22"/>
                <w:szCs w:val="22"/>
              </w:rPr>
              <w:lastRenderedPageBreak/>
              <w:t>Вышеуказанные корректирующие акты учета перетоков (макеты 51075) по сечениям коммерческого учета, входящим в сечение экспорта-импорта, должны формироваться и представляться ФСК в КО на основании результатов измерений объемов электроэнергии, передаваемой по межгосударственным линиям электропередач (МГЛЭП), пересекающим государственную границу Российской Федерации, при этом данные коммерческого учета представляются в КО с учетом времени той ценовой зоны (неценовой зоны), к которой отнесено сечение экспорта-импорта.</w:t>
            </w:r>
          </w:p>
          <w:p w14:paraId="02935EFD" w14:textId="77777777" w:rsidR="00295C6D" w:rsidRPr="00A5626D" w:rsidRDefault="00295C6D" w:rsidP="00647FA0">
            <w:pPr>
              <w:pStyle w:val="2"/>
              <w:widowControl/>
              <w:numPr>
                <w:ilvl w:val="1"/>
                <w:numId w:val="257"/>
              </w:numPr>
              <w:tabs>
                <w:tab w:val="left" w:pos="1134"/>
                <w:tab w:val="left" w:pos="7938"/>
              </w:tabs>
              <w:suppressAutoHyphens w:val="0"/>
              <w:autoSpaceDE/>
              <w:spacing w:before="120" w:after="120" w:line="22" w:lineRule="atLeast"/>
              <w:ind w:left="0" w:firstLine="629"/>
              <w:jc w:val="both"/>
              <w:rPr>
                <w:rFonts w:ascii="Garamond" w:hAnsi="Garamond" w:cstheme="minorHAnsi"/>
                <w:b w:val="0"/>
              </w:rPr>
            </w:pPr>
            <w:r w:rsidRPr="00A5626D">
              <w:rPr>
                <w:rFonts w:ascii="Garamond" w:hAnsi="Garamond" w:cstheme="minorHAnsi"/>
                <w:b w:val="0"/>
              </w:rPr>
              <w:t>Для сечений между ценовыми, а также между ценовыми и неценовыми зонами формирование (направление) данных коммерческого учета в КО осуществляет ФСК (за исключением случаев, когда в указанных сечениях точки поставки относятся к ГТП потребления смежных участников оптового рынка или участника оптового рынка и ФСК). В случае если сечение между ценовыми, а также между ценовыми и неценовыми зонами сформировано из точек поставки, относящихся к ГТП потребления смежных участников оптового рынка или участника оптового рынка и ФСК, формирование (направление) данных коммерческого учета осуществляют указанные участники оптового рынка или участник оптового рынка и ФСК. При этом данные коммерческого учета представляются в КО с учетом времени той ценовой зоны, к которой отнесено данное сечение.</w:t>
            </w:r>
          </w:p>
          <w:p w14:paraId="6AAFC974" w14:textId="77777777" w:rsidR="00295C6D" w:rsidRPr="00A5626D" w:rsidRDefault="00295C6D" w:rsidP="00647FA0">
            <w:pPr>
              <w:pStyle w:val="2"/>
              <w:widowControl/>
              <w:numPr>
                <w:ilvl w:val="1"/>
                <w:numId w:val="257"/>
              </w:numPr>
              <w:tabs>
                <w:tab w:val="left" w:pos="1134"/>
                <w:tab w:val="left" w:pos="7938"/>
              </w:tabs>
              <w:suppressAutoHyphens w:val="0"/>
              <w:autoSpaceDE/>
              <w:spacing w:before="120" w:after="120" w:line="22" w:lineRule="atLeast"/>
              <w:ind w:left="0" w:firstLine="629"/>
              <w:jc w:val="both"/>
              <w:rPr>
                <w:rFonts w:ascii="Garamond" w:hAnsi="Garamond" w:cstheme="minorHAnsi"/>
                <w:b w:val="0"/>
              </w:rPr>
            </w:pPr>
            <w:r w:rsidRPr="00A5626D">
              <w:rPr>
                <w:rFonts w:ascii="Garamond" w:hAnsi="Garamond" w:cstheme="minorHAnsi"/>
                <w:b w:val="0"/>
              </w:rPr>
              <w:t xml:space="preserve">Изменения состава средств измерений, используемых в целях коммерческого учета электроэнергии по точкам поставки смежных участников оптового рынка (участников оптового рынка и ФСК) </w:t>
            </w:r>
            <w:r w:rsidRPr="00A5626D">
              <w:rPr>
                <w:rFonts w:ascii="Garamond" w:hAnsi="Garamond" w:cstheme="minorHAnsi"/>
                <w:b w:val="0"/>
                <w:highlight w:val="yellow"/>
              </w:rPr>
              <w:t>либо агрегаторов</w:t>
            </w:r>
            <w:r w:rsidRPr="00A5626D">
              <w:rPr>
                <w:rFonts w:ascii="Garamond" w:hAnsi="Garamond" w:cstheme="minorHAnsi"/>
                <w:b w:val="0"/>
              </w:rPr>
              <w:t>, изменения состава точек измерений или точек поставки, а также иные изменения информации, содержащейся в ПСИ, должны своевременно вноситься в указанный документ соответствующими субъектами оптового рынка. Риски наступления неблагоприятных последствий, вызванных невнесением и (или) несвоевременным внесением указанных изменений в ПСИ, лежат на участниках оптового рынка</w:t>
            </w:r>
            <w:r w:rsidRPr="00A5626D">
              <w:rPr>
                <w:rFonts w:ascii="Garamond" w:hAnsi="Garamond" w:cstheme="minorHAnsi"/>
                <w:b w:val="0"/>
                <w:highlight w:val="yellow"/>
              </w:rPr>
              <w:t>,</w:t>
            </w:r>
            <w:r w:rsidRPr="00A5626D">
              <w:rPr>
                <w:rFonts w:ascii="Garamond" w:hAnsi="Garamond" w:cstheme="minorHAnsi"/>
                <w:b w:val="0"/>
              </w:rPr>
              <w:t xml:space="preserve"> ФСК</w:t>
            </w:r>
            <w:r w:rsidRPr="00A5626D">
              <w:rPr>
                <w:rFonts w:ascii="Garamond" w:hAnsi="Garamond" w:cstheme="minorHAnsi"/>
                <w:b w:val="0"/>
                <w:highlight w:val="yellow"/>
              </w:rPr>
              <w:t>, агрегаторах</w:t>
            </w:r>
            <w:r w:rsidRPr="00A5626D">
              <w:rPr>
                <w:rFonts w:ascii="Garamond" w:hAnsi="Garamond" w:cstheme="minorHAnsi"/>
                <w:b w:val="0"/>
              </w:rPr>
              <w:t>.</w:t>
            </w:r>
          </w:p>
        </w:tc>
      </w:tr>
      <w:tr w:rsidR="00295C6D" w:rsidRPr="00A5626D" w14:paraId="139BCA82" w14:textId="77777777" w:rsidTr="00647FA0">
        <w:tc>
          <w:tcPr>
            <w:tcW w:w="1060" w:type="dxa"/>
            <w:vAlign w:val="center"/>
          </w:tcPr>
          <w:p w14:paraId="7739A4BF" w14:textId="77777777" w:rsidR="00295C6D" w:rsidRPr="00A5626D" w:rsidRDefault="00295C6D" w:rsidP="00E31AE6">
            <w:pPr>
              <w:widowControl w:val="0"/>
              <w:tabs>
                <w:tab w:val="left" w:pos="1134"/>
                <w:tab w:val="left" w:pos="7938"/>
              </w:tabs>
              <w:spacing w:line="22" w:lineRule="atLeast"/>
              <w:jc w:val="both"/>
              <w:rPr>
                <w:rFonts w:ascii="Garamond" w:hAnsi="Garamond"/>
                <w:b/>
                <w:sz w:val="22"/>
                <w:szCs w:val="22"/>
                <w:lang w:eastAsia="en-US"/>
              </w:rPr>
            </w:pPr>
            <w:r w:rsidRPr="00A5626D">
              <w:rPr>
                <w:rFonts w:ascii="Garamond" w:hAnsi="Garamond"/>
                <w:b/>
                <w:sz w:val="22"/>
                <w:szCs w:val="22"/>
                <w:lang w:eastAsia="en-US"/>
              </w:rPr>
              <w:lastRenderedPageBreak/>
              <w:t>Раздел 4</w:t>
            </w:r>
          </w:p>
        </w:tc>
        <w:tc>
          <w:tcPr>
            <w:tcW w:w="6662" w:type="dxa"/>
          </w:tcPr>
          <w:p w14:paraId="79723D54" w14:textId="77777777" w:rsidR="00295C6D" w:rsidRPr="00A5626D" w:rsidRDefault="00295C6D" w:rsidP="00647FA0">
            <w:pPr>
              <w:pStyle w:val="2"/>
              <w:widowControl/>
              <w:numPr>
                <w:ilvl w:val="0"/>
                <w:numId w:val="0"/>
              </w:numPr>
              <w:tabs>
                <w:tab w:val="left" w:pos="1134"/>
                <w:tab w:val="left" w:pos="7938"/>
              </w:tabs>
              <w:suppressAutoHyphens w:val="0"/>
              <w:autoSpaceDE/>
              <w:spacing w:before="120" w:after="120" w:line="22" w:lineRule="atLeast"/>
              <w:ind w:firstLine="629"/>
              <w:jc w:val="both"/>
              <w:rPr>
                <w:rFonts w:ascii="Garamond" w:hAnsi="Garamond" w:cstheme="minorHAnsi"/>
                <w:b w:val="0"/>
              </w:rPr>
            </w:pPr>
            <w:bookmarkStart w:id="120" w:name="_Toc139239919"/>
            <w:r w:rsidRPr="00A5626D">
              <w:rPr>
                <w:rFonts w:ascii="Garamond" w:hAnsi="Garamond" w:cstheme="minorHAnsi"/>
                <w:b w:val="0"/>
              </w:rPr>
              <w:t>4 СУБЪЕКТЫ ОТНОШЕНИЙ В СФЕРЕ КОММЕРЧЕСКОГО УЧЕТА</w:t>
            </w:r>
          </w:p>
          <w:p w14:paraId="2EA7A8CB" w14:textId="77777777" w:rsidR="00295C6D" w:rsidRPr="00A5626D" w:rsidRDefault="00295C6D" w:rsidP="00647FA0">
            <w:pPr>
              <w:pStyle w:val="2"/>
              <w:widowControl/>
              <w:numPr>
                <w:ilvl w:val="0"/>
                <w:numId w:val="0"/>
              </w:numPr>
              <w:tabs>
                <w:tab w:val="left" w:pos="1134"/>
                <w:tab w:val="left" w:pos="7938"/>
              </w:tabs>
              <w:suppressAutoHyphens w:val="0"/>
              <w:autoSpaceDE/>
              <w:spacing w:before="120" w:after="120" w:line="22" w:lineRule="atLeast"/>
              <w:ind w:firstLine="629"/>
              <w:jc w:val="both"/>
              <w:rPr>
                <w:rFonts w:ascii="Garamond" w:hAnsi="Garamond" w:cstheme="minorHAnsi"/>
                <w:b w:val="0"/>
              </w:rPr>
            </w:pPr>
            <w:r w:rsidRPr="00A5626D">
              <w:rPr>
                <w:rFonts w:ascii="Garamond" w:hAnsi="Garamond" w:cstheme="minorHAnsi"/>
                <w:b w:val="0"/>
              </w:rPr>
              <w:t>4.1. К субъектам отношений в сфере коммерческого учета относятся:</w:t>
            </w:r>
            <w:bookmarkEnd w:id="120"/>
          </w:p>
          <w:p w14:paraId="71032F29" w14:textId="77777777" w:rsidR="00295C6D" w:rsidRPr="00A5626D" w:rsidRDefault="00295C6D" w:rsidP="00647FA0">
            <w:pPr>
              <w:pStyle w:val="28"/>
              <w:numPr>
                <w:ilvl w:val="0"/>
                <w:numId w:val="252"/>
              </w:numPr>
              <w:tabs>
                <w:tab w:val="clear" w:pos="1080"/>
                <w:tab w:val="left" w:pos="1134"/>
                <w:tab w:val="num" w:pos="1276"/>
                <w:tab w:val="left" w:pos="7938"/>
              </w:tabs>
              <w:spacing w:before="120" w:line="22" w:lineRule="atLeast"/>
              <w:ind w:left="0" w:firstLine="629"/>
              <w:jc w:val="both"/>
              <w:rPr>
                <w:rFonts w:cstheme="minorHAnsi"/>
                <w:szCs w:val="22"/>
              </w:rPr>
            </w:pPr>
            <w:r w:rsidRPr="00A5626D">
              <w:rPr>
                <w:rFonts w:cstheme="minorHAnsi"/>
                <w:szCs w:val="22"/>
              </w:rPr>
              <w:t>КО;</w:t>
            </w:r>
          </w:p>
          <w:p w14:paraId="223539AC" w14:textId="77777777" w:rsidR="00295C6D" w:rsidRPr="00A5626D" w:rsidRDefault="00295C6D" w:rsidP="00647FA0">
            <w:pPr>
              <w:pStyle w:val="28"/>
              <w:numPr>
                <w:ilvl w:val="0"/>
                <w:numId w:val="252"/>
              </w:numPr>
              <w:tabs>
                <w:tab w:val="clear" w:pos="1080"/>
                <w:tab w:val="left" w:pos="1134"/>
                <w:tab w:val="num" w:pos="1276"/>
                <w:tab w:val="left" w:pos="7938"/>
              </w:tabs>
              <w:spacing w:before="120" w:line="22" w:lineRule="atLeast"/>
              <w:ind w:left="0" w:firstLine="629"/>
              <w:jc w:val="both"/>
              <w:rPr>
                <w:rFonts w:cstheme="minorHAnsi"/>
                <w:szCs w:val="22"/>
              </w:rPr>
            </w:pPr>
            <w:r w:rsidRPr="00A5626D">
              <w:rPr>
                <w:rFonts w:cstheme="minorHAnsi"/>
                <w:szCs w:val="22"/>
              </w:rPr>
              <w:t>СО;</w:t>
            </w:r>
          </w:p>
          <w:p w14:paraId="6EF24609" w14:textId="77777777" w:rsidR="00295C6D" w:rsidRPr="00A5626D" w:rsidRDefault="00295C6D" w:rsidP="00647FA0">
            <w:pPr>
              <w:pStyle w:val="28"/>
              <w:numPr>
                <w:ilvl w:val="0"/>
                <w:numId w:val="252"/>
              </w:numPr>
              <w:tabs>
                <w:tab w:val="clear" w:pos="1080"/>
                <w:tab w:val="left" w:pos="1134"/>
                <w:tab w:val="num" w:pos="1276"/>
                <w:tab w:val="left" w:pos="7938"/>
              </w:tabs>
              <w:spacing w:before="120" w:line="22" w:lineRule="atLeast"/>
              <w:ind w:left="0" w:firstLine="629"/>
              <w:jc w:val="both"/>
              <w:rPr>
                <w:rFonts w:cstheme="minorHAnsi"/>
                <w:szCs w:val="22"/>
              </w:rPr>
            </w:pPr>
            <w:r w:rsidRPr="00A5626D">
              <w:rPr>
                <w:rFonts w:cstheme="minorHAnsi"/>
                <w:szCs w:val="22"/>
              </w:rPr>
              <w:t>ФСК;</w:t>
            </w:r>
          </w:p>
          <w:p w14:paraId="5F75BD35" w14:textId="77777777" w:rsidR="00295C6D" w:rsidRPr="00A5626D" w:rsidRDefault="00295C6D" w:rsidP="00647FA0">
            <w:pPr>
              <w:pStyle w:val="28"/>
              <w:numPr>
                <w:ilvl w:val="0"/>
                <w:numId w:val="252"/>
              </w:numPr>
              <w:tabs>
                <w:tab w:val="clear" w:pos="1080"/>
                <w:tab w:val="left" w:pos="1134"/>
                <w:tab w:val="num" w:pos="1276"/>
                <w:tab w:val="left" w:pos="7938"/>
              </w:tabs>
              <w:spacing w:before="120" w:line="22" w:lineRule="atLeast"/>
              <w:ind w:left="0" w:firstLine="629"/>
              <w:jc w:val="both"/>
              <w:rPr>
                <w:rFonts w:cstheme="minorHAnsi"/>
                <w:szCs w:val="22"/>
              </w:rPr>
            </w:pPr>
            <w:r w:rsidRPr="00A5626D">
              <w:rPr>
                <w:rFonts w:cstheme="minorHAnsi"/>
                <w:szCs w:val="22"/>
              </w:rPr>
              <w:t>участники оптового рынка электроэнергии.</w:t>
            </w:r>
          </w:p>
          <w:p w14:paraId="42E8707F" w14:textId="77777777" w:rsidR="00295C6D" w:rsidRPr="00A5626D" w:rsidRDefault="00295C6D" w:rsidP="00647FA0">
            <w:pPr>
              <w:pStyle w:val="2"/>
              <w:numPr>
                <w:ilvl w:val="0"/>
                <w:numId w:val="0"/>
              </w:numPr>
              <w:tabs>
                <w:tab w:val="left" w:pos="1134"/>
                <w:tab w:val="left" w:pos="7938"/>
              </w:tabs>
              <w:suppressAutoHyphens w:val="0"/>
              <w:spacing w:before="120" w:after="120" w:line="22" w:lineRule="atLeast"/>
              <w:ind w:firstLine="629"/>
              <w:jc w:val="both"/>
              <w:rPr>
                <w:rFonts w:ascii="Garamond" w:hAnsi="Garamond" w:cstheme="minorHAnsi"/>
                <w:b w:val="0"/>
              </w:rPr>
            </w:pPr>
            <w:r w:rsidRPr="00A5626D">
              <w:rPr>
                <w:rFonts w:ascii="Garamond" w:hAnsi="Garamond" w:cstheme="minorHAnsi"/>
                <w:b w:val="0"/>
              </w:rPr>
              <w:t>4.2. КО:</w:t>
            </w:r>
          </w:p>
          <w:p w14:paraId="6A309499" w14:textId="77777777" w:rsidR="00295C6D" w:rsidRPr="00A5626D" w:rsidRDefault="00295C6D" w:rsidP="00647FA0">
            <w:pPr>
              <w:pStyle w:val="2"/>
              <w:numPr>
                <w:ilvl w:val="0"/>
                <w:numId w:val="0"/>
              </w:numPr>
              <w:tabs>
                <w:tab w:val="left" w:pos="1134"/>
                <w:tab w:val="left" w:pos="7938"/>
              </w:tabs>
              <w:suppressAutoHyphens w:val="0"/>
              <w:spacing w:before="120" w:after="120" w:line="22" w:lineRule="atLeast"/>
              <w:ind w:firstLine="629"/>
              <w:jc w:val="both"/>
              <w:rPr>
                <w:rFonts w:ascii="Garamond" w:hAnsi="Garamond" w:cstheme="minorHAnsi"/>
                <w:b w:val="0"/>
              </w:rPr>
            </w:pPr>
            <w:r w:rsidRPr="00A5626D">
              <w:rPr>
                <w:rFonts w:ascii="Garamond" w:hAnsi="Garamond" w:cstheme="minorHAnsi"/>
                <w:b w:val="0"/>
              </w:rPr>
              <w:t>•</w:t>
            </w:r>
            <w:r w:rsidRPr="00A5626D">
              <w:rPr>
                <w:rFonts w:ascii="Garamond" w:hAnsi="Garamond" w:cstheme="minorHAnsi"/>
                <w:b w:val="0"/>
              </w:rPr>
              <w:tab/>
              <w:t xml:space="preserve">регистрирует ПСИ по ГТП генерации, </w:t>
            </w:r>
            <w:r w:rsidRPr="00A5626D">
              <w:rPr>
                <w:rFonts w:ascii="Garamond" w:hAnsi="Garamond" w:cstheme="minorHAnsi"/>
                <w:b w:val="0"/>
                <w:highlight w:val="yellow"/>
              </w:rPr>
              <w:t>а также</w:t>
            </w:r>
            <w:r w:rsidRPr="00A5626D">
              <w:rPr>
                <w:rFonts w:ascii="Garamond" w:hAnsi="Garamond" w:cstheme="minorHAnsi"/>
                <w:b w:val="0"/>
              </w:rPr>
              <w:t xml:space="preserve"> по сечениям коммерческого учета;</w:t>
            </w:r>
          </w:p>
          <w:p w14:paraId="64C190F7" w14:textId="77777777" w:rsidR="00295C6D" w:rsidRPr="00A5626D" w:rsidRDefault="00295C6D" w:rsidP="00647FA0">
            <w:pPr>
              <w:pStyle w:val="2"/>
              <w:numPr>
                <w:ilvl w:val="0"/>
                <w:numId w:val="0"/>
              </w:numPr>
              <w:tabs>
                <w:tab w:val="left" w:pos="1134"/>
                <w:tab w:val="left" w:pos="7938"/>
              </w:tabs>
              <w:suppressAutoHyphens w:val="0"/>
              <w:spacing w:before="120" w:after="120" w:line="22" w:lineRule="atLeast"/>
              <w:ind w:firstLine="629"/>
              <w:jc w:val="both"/>
              <w:rPr>
                <w:rFonts w:ascii="Garamond" w:hAnsi="Garamond" w:cstheme="minorHAnsi"/>
                <w:b w:val="0"/>
              </w:rPr>
            </w:pPr>
            <w:r w:rsidRPr="00A5626D">
              <w:rPr>
                <w:rFonts w:ascii="Garamond" w:hAnsi="Garamond" w:cstheme="minorHAnsi"/>
                <w:b w:val="0"/>
              </w:rPr>
              <w:t>•</w:t>
            </w:r>
            <w:r w:rsidRPr="00A5626D">
              <w:rPr>
                <w:rFonts w:ascii="Garamond" w:hAnsi="Garamond" w:cstheme="minorHAnsi"/>
                <w:b w:val="0"/>
              </w:rPr>
              <w:tab/>
              <w:t>формирует перечень кодов сечений коммерческого учета и ГТП генерации и передает с использованием ЭП участникам оптового рынка, ФСК и СО указанный перечень не позднее чем за три календарных дня до начала месяца, в течение которого он действует, для передачи вышеуказанными субъектами оптового рынка данных коммерческого учета и оперативных данных, применяющихся в замещающих методах расчета;</w:t>
            </w:r>
          </w:p>
          <w:p w14:paraId="70E33655" w14:textId="77777777" w:rsidR="00295C6D" w:rsidRPr="00A5626D" w:rsidRDefault="00295C6D" w:rsidP="00647FA0">
            <w:pPr>
              <w:pStyle w:val="2"/>
              <w:numPr>
                <w:ilvl w:val="0"/>
                <w:numId w:val="0"/>
              </w:numPr>
              <w:tabs>
                <w:tab w:val="left" w:pos="1134"/>
                <w:tab w:val="left" w:pos="7938"/>
              </w:tabs>
              <w:suppressAutoHyphens w:val="0"/>
              <w:spacing w:before="120" w:after="120" w:line="22" w:lineRule="atLeast"/>
              <w:ind w:firstLine="629"/>
              <w:jc w:val="both"/>
              <w:rPr>
                <w:rFonts w:ascii="Garamond" w:hAnsi="Garamond" w:cstheme="minorHAnsi"/>
                <w:b w:val="0"/>
              </w:rPr>
            </w:pPr>
            <w:r w:rsidRPr="00A5626D">
              <w:rPr>
                <w:rFonts w:ascii="Garamond" w:hAnsi="Garamond" w:cstheme="minorHAnsi"/>
                <w:b w:val="0"/>
              </w:rPr>
              <w:t>•</w:t>
            </w:r>
            <w:r w:rsidRPr="00A5626D">
              <w:rPr>
                <w:rFonts w:ascii="Garamond" w:hAnsi="Garamond" w:cstheme="minorHAnsi"/>
                <w:b w:val="0"/>
              </w:rPr>
              <w:tab/>
              <w:t xml:space="preserve">принимает результаты измерений (данные коммерческого учета электрической энергии) в электронном виде в макетах 80020 </w:t>
            </w:r>
            <w:r w:rsidRPr="00A5626D">
              <w:rPr>
                <w:rFonts w:ascii="Garamond" w:hAnsi="Garamond" w:cstheme="minorHAnsi"/>
                <w:b w:val="0"/>
                <w:highlight w:val="yellow"/>
              </w:rPr>
              <w:t>(</w:t>
            </w:r>
            <w:r w:rsidRPr="00A5626D">
              <w:rPr>
                <w:rFonts w:ascii="Garamond" w:hAnsi="Garamond" w:cstheme="minorHAnsi"/>
                <w:b w:val="0"/>
              </w:rPr>
              <w:t>80040</w:t>
            </w:r>
            <w:r w:rsidRPr="00A5626D">
              <w:rPr>
                <w:rFonts w:ascii="Garamond" w:hAnsi="Garamond" w:cstheme="minorHAnsi"/>
                <w:b w:val="0"/>
                <w:highlight w:val="yellow"/>
              </w:rPr>
              <w:t>)</w:t>
            </w:r>
            <w:r w:rsidRPr="00A5626D">
              <w:rPr>
                <w:rFonts w:ascii="Garamond" w:hAnsi="Garamond" w:cstheme="minorHAnsi"/>
                <w:b w:val="0"/>
              </w:rPr>
              <w:t xml:space="preserve"> в порядке и сроки, определенные </w:t>
            </w:r>
            <w:r w:rsidRPr="00A5626D">
              <w:rPr>
                <w:rFonts w:ascii="Garamond" w:hAnsi="Garamond" w:cstheme="minorHAnsi"/>
                <w:b w:val="0"/>
                <w:highlight w:val="yellow"/>
              </w:rPr>
              <w:t>Форматом и регламентом предоставления результатов измерений, состояний объектов измерений в АО «АТС», АО «СО ЕЭС» и смежным субъектам (</w:t>
            </w:r>
            <w:r w:rsidRPr="00A5626D">
              <w:rPr>
                <w:rFonts w:ascii="Garamond" w:hAnsi="Garamond" w:cstheme="minorHAnsi"/>
                <w:b w:val="0"/>
              </w:rPr>
              <w:t>Приложение № 11.1.1 к Положению о порядке получения статуса субъекта оптового рынка и ведения реестра субъектов оптового рынка (Приложение № 1.1 к Договору о присоединении к торговой системе оптового рынка)</w:t>
            </w:r>
            <w:r w:rsidRPr="00A5626D">
              <w:rPr>
                <w:rFonts w:ascii="Garamond" w:hAnsi="Garamond" w:cstheme="minorHAnsi"/>
                <w:b w:val="0"/>
                <w:highlight w:val="yellow"/>
              </w:rPr>
              <w:t>)</w:t>
            </w:r>
            <w:r w:rsidRPr="00A5626D">
              <w:rPr>
                <w:rFonts w:ascii="Garamond" w:hAnsi="Garamond" w:cstheme="minorHAnsi"/>
                <w:b w:val="0"/>
              </w:rPr>
              <w:t>;</w:t>
            </w:r>
          </w:p>
          <w:p w14:paraId="57A85C94" w14:textId="77777777" w:rsidR="00295C6D" w:rsidRPr="00A5626D" w:rsidRDefault="00295C6D" w:rsidP="00647FA0">
            <w:pPr>
              <w:pStyle w:val="2"/>
              <w:numPr>
                <w:ilvl w:val="0"/>
                <w:numId w:val="0"/>
              </w:numPr>
              <w:tabs>
                <w:tab w:val="left" w:pos="1134"/>
                <w:tab w:val="left" w:pos="7938"/>
              </w:tabs>
              <w:suppressAutoHyphens w:val="0"/>
              <w:spacing w:before="120" w:after="120" w:line="22" w:lineRule="atLeast"/>
              <w:ind w:firstLine="629"/>
              <w:jc w:val="both"/>
              <w:rPr>
                <w:rFonts w:ascii="Garamond" w:hAnsi="Garamond" w:cstheme="minorHAnsi"/>
                <w:b w:val="0"/>
              </w:rPr>
            </w:pPr>
            <w:r w:rsidRPr="00A5626D">
              <w:rPr>
                <w:rFonts w:ascii="Garamond" w:hAnsi="Garamond" w:cstheme="minorHAnsi"/>
                <w:b w:val="0"/>
              </w:rPr>
              <w:t>•</w:t>
            </w:r>
            <w:r w:rsidRPr="00A5626D">
              <w:rPr>
                <w:rFonts w:ascii="Garamond" w:hAnsi="Garamond" w:cstheme="minorHAnsi"/>
                <w:b w:val="0"/>
              </w:rPr>
              <w:tab/>
              <w:t xml:space="preserve">размещает на официальном сайте КО в разделе «Данные АИИС» результаты измерений, направленные в соответствии с </w:t>
            </w:r>
            <w:r w:rsidRPr="00A5626D">
              <w:rPr>
                <w:rFonts w:ascii="Garamond" w:hAnsi="Garamond" w:cstheme="minorHAnsi"/>
                <w:b w:val="0"/>
                <w:highlight w:val="yellow"/>
              </w:rPr>
              <w:t xml:space="preserve">Форматом и регламентом предоставления результатов измерений, </w:t>
            </w:r>
            <w:r w:rsidRPr="00A5626D">
              <w:rPr>
                <w:rFonts w:ascii="Garamond" w:hAnsi="Garamond" w:cstheme="minorHAnsi"/>
                <w:b w:val="0"/>
                <w:highlight w:val="yellow"/>
              </w:rPr>
              <w:lastRenderedPageBreak/>
              <w:t>состояний объектов измерений в АО «АТС», АО «СО ЕЭС» и смежным субъектам (</w:t>
            </w:r>
            <w:r w:rsidRPr="00A5626D">
              <w:rPr>
                <w:rFonts w:ascii="Garamond" w:hAnsi="Garamond" w:cstheme="minorHAnsi"/>
                <w:b w:val="0"/>
              </w:rPr>
              <w:t>Приложение № 11.1.1 к Положению о порядке получения статуса субъекта оптового рынка и ведения реестра субъектов оптового рынка (Приложение № 1.1 к Договору о присоединении к торговой системе оптового рынка)</w:t>
            </w:r>
            <w:r w:rsidRPr="00A5626D">
              <w:rPr>
                <w:rFonts w:ascii="Garamond" w:hAnsi="Garamond" w:cstheme="minorHAnsi"/>
                <w:b w:val="0"/>
                <w:highlight w:val="yellow"/>
              </w:rPr>
              <w:t>)</w:t>
            </w:r>
            <w:r w:rsidRPr="00A5626D">
              <w:rPr>
                <w:rFonts w:ascii="Garamond" w:hAnsi="Garamond" w:cstheme="minorHAnsi"/>
                <w:b w:val="0"/>
              </w:rPr>
              <w:t>, в том числе направленные смежным субъектом оптового рынка;</w:t>
            </w:r>
          </w:p>
          <w:p w14:paraId="70F483C9" w14:textId="77777777" w:rsidR="00295C6D" w:rsidRPr="00A5626D" w:rsidRDefault="00295C6D" w:rsidP="00647FA0">
            <w:pPr>
              <w:pStyle w:val="2"/>
              <w:numPr>
                <w:ilvl w:val="0"/>
                <w:numId w:val="0"/>
              </w:numPr>
              <w:tabs>
                <w:tab w:val="left" w:pos="1134"/>
                <w:tab w:val="left" w:pos="7938"/>
              </w:tabs>
              <w:suppressAutoHyphens w:val="0"/>
              <w:spacing w:before="120" w:after="120" w:line="22" w:lineRule="atLeast"/>
              <w:ind w:firstLine="629"/>
              <w:jc w:val="both"/>
              <w:rPr>
                <w:rFonts w:ascii="Garamond" w:hAnsi="Garamond" w:cstheme="minorHAnsi"/>
                <w:b w:val="0"/>
              </w:rPr>
            </w:pPr>
            <w:r w:rsidRPr="00A5626D">
              <w:rPr>
                <w:rFonts w:ascii="Garamond" w:hAnsi="Garamond" w:cstheme="minorHAnsi"/>
                <w:b w:val="0"/>
              </w:rPr>
              <w:t>•</w:t>
            </w:r>
            <w:r w:rsidRPr="00A5626D">
              <w:rPr>
                <w:rFonts w:ascii="Garamond" w:hAnsi="Garamond" w:cstheme="minorHAnsi"/>
                <w:b w:val="0"/>
              </w:rPr>
              <w:tab/>
              <w:t xml:space="preserve">размещает на официальном сайте КО в разделе «Данные АИИС» на персональных страницах участников оптового рынка (ФСК) значения учетных показателей по ГТП генерации и сечениям коммерческого учета (кроме временных сечений, внутренних сечений и сечений коммерческого учета, входящих в сечение экспорта-импорта), рассчитанные на основании результатов измерений, направленных в соответствии с Приложением № 11.1.1 к Положению о порядке получения статуса субъекта оптового рынка и ведения реестра субъектов оптового рынка (Приложение № 1.1 к Договору о присоединении к торговой системе оптового рынка), и алгоритма, указанного в действующем ПСИ, сформированном в макете 60000 (60090), для последующего формирования в соответствии с </w:t>
            </w:r>
            <w:r w:rsidRPr="00A5626D">
              <w:rPr>
                <w:rFonts w:ascii="Garamond" w:hAnsi="Garamond" w:cstheme="minorHAnsi"/>
                <w:b w:val="0"/>
                <w:highlight w:val="yellow"/>
              </w:rPr>
              <w:t>пп. 3.9, 7.2</w:t>
            </w:r>
            <w:r w:rsidRPr="00A5626D">
              <w:rPr>
                <w:rFonts w:ascii="Garamond" w:hAnsi="Garamond" w:cstheme="minorHAnsi"/>
                <w:b w:val="0"/>
              </w:rPr>
              <w:t xml:space="preserve"> настоящего Регламента акта учета (оборота) по ГТП генерации, акта учета перетоков по сечению коммерческого учета (макеты 51020) по итогам расчетного периода;</w:t>
            </w:r>
          </w:p>
          <w:p w14:paraId="6F70B70B" w14:textId="77777777" w:rsidR="00295C6D" w:rsidRPr="00A5626D" w:rsidRDefault="00295C6D" w:rsidP="00647FA0">
            <w:pPr>
              <w:pStyle w:val="2"/>
              <w:numPr>
                <w:ilvl w:val="0"/>
                <w:numId w:val="0"/>
              </w:numPr>
              <w:tabs>
                <w:tab w:val="left" w:pos="1134"/>
                <w:tab w:val="left" w:pos="7938"/>
              </w:tabs>
              <w:suppressAutoHyphens w:val="0"/>
              <w:spacing w:before="120" w:after="120" w:line="22" w:lineRule="atLeast"/>
              <w:ind w:firstLine="629"/>
              <w:jc w:val="both"/>
              <w:rPr>
                <w:rFonts w:ascii="Garamond" w:hAnsi="Garamond" w:cstheme="minorHAnsi"/>
                <w:b w:val="0"/>
              </w:rPr>
            </w:pPr>
            <w:r w:rsidRPr="00A5626D">
              <w:rPr>
                <w:rFonts w:ascii="Garamond" w:hAnsi="Garamond" w:cstheme="minorHAnsi"/>
                <w:b w:val="0"/>
              </w:rPr>
              <w:t>•</w:t>
            </w:r>
            <w:r w:rsidRPr="00A5626D">
              <w:rPr>
                <w:rFonts w:ascii="Garamond" w:hAnsi="Garamond" w:cstheme="minorHAnsi"/>
                <w:b w:val="0"/>
              </w:rPr>
              <w:tab/>
              <w:t xml:space="preserve">размещает на официальном сайте КО в разделе «Данные АИИС» на персональных страницах участников оптового рынка, в ГТП потребления которых входят внутренние сечения, значения учетных показателей по внутреннему сечению, рассчитанные на основании результатов измерений, направленных в соответствии с Приложением № 11.1.1 к Положению о порядке получения статуса субъекта оптового рынка и ведения реестра субъектов оптового рынка (Приложение № 1.1 к Договору о присоединении к торговой системе оптового рынка), и алгоритма, указанного в действующем ПСИ, сформированном в макете 60000, для последующего формирования в соответствии с </w:t>
            </w:r>
            <w:r w:rsidRPr="00A5626D">
              <w:rPr>
                <w:rFonts w:ascii="Garamond" w:hAnsi="Garamond" w:cstheme="minorHAnsi"/>
                <w:b w:val="0"/>
                <w:highlight w:val="yellow"/>
              </w:rPr>
              <w:t>п. 7.4</w:t>
            </w:r>
            <w:r w:rsidRPr="00A5626D">
              <w:rPr>
                <w:rFonts w:ascii="Garamond" w:hAnsi="Garamond" w:cstheme="minorHAnsi"/>
                <w:b w:val="0"/>
              </w:rPr>
              <w:t xml:space="preserve"> настоящего Регламента акта учета перетоков по внутреннему сечению (макет 51020) по итогам расчетного периода;</w:t>
            </w:r>
          </w:p>
          <w:p w14:paraId="522B191B" w14:textId="77777777" w:rsidR="00295C6D" w:rsidRPr="00A5626D" w:rsidRDefault="00295C6D" w:rsidP="00647FA0">
            <w:pPr>
              <w:pStyle w:val="2"/>
              <w:numPr>
                <w:ilvl w:val="0"/>
                <w:numId w:val="0"/>
              </w:numPr>
              <w:tabs>
                <w:tab w:val="left" w:pos="1134"/>
                <w:tab w:val="left" w:pos="7938"/>
              </w:tabs>
              <w:suppressAutoHyphens w:val="0"/>
              <w:spacing w:before="120" w:after="120" w:line="22" w:lineRule="atLeast"/>
              <w:ind w:firstLine="629"/>
              <w:jc w:val="both"/>
              <w:rPr>
                <w:rFonts w:ascii="Garamond" w:hAnsi="Garamond" w:cstheme="minorHAnsi"/>
                <w:b w:val="0"/>
              </w:rPr>
            </w:pPr>
            <w:r w:rsidRPr="00A5626D">
              <w:rPr>
                <w:rFonts w:ascii="Garamond" w:hAnsi="Garamond" w:cstheme="minorHAnsi"/>
                <w:b w:val="0"/>
              </w:rPr>
              <w:t>•</w:t>
            </w:r>
            <w:r w:rsidRPr="00A5626D">
              <w:rPr>
                <w:rFonts w:ascii="Garamond" w:hAnsi="Garamond" w:cstheme="minorHAnsi"/>
                <w:b w:val="0"/>
              </w:rPr>
              <w:tab/>
              <w:t>принимает и обрабатывает данные о величинах сальдо перетоков в отношении сечений между участниками оптового рынка и ФСК, указываемые в интегральных актах учета перетоков (макет 50080);</w:t>
            </w:r>
          </w:p>
          <w:p w14:paraId="5A6F013D" w14:textId="77777777" w:rsidR="00295C6D" w:rsidRPr="00A5626D" w:rsidRDefault="00295C6D" w:rsidP="00647FA0">
            <w:pPr>
              <w:pStyle w:val="2"/>
              <w:numPr>
                <w:ilvl w:val="0"/>
                <w:numId w:val="0"/>
              </w:numPr>
              <w:tabs>
                <w:tab w:val="left" w:pos="1134"/>
                <w:tab w:val="left" w:pos="7938"/>
              </w:tabs>
              <w:suppressAutoHyphens w:val="0"/>
              <w:spacing w:before="120" w:after="120" w:line="22" w:lineRule="atLeast"/>
              <w:ind w:firstLine="629"/>
              <w:jc w:val="both"/>
              <w:rPr>
                <w:rFonts w:ascii="Garamond" w:hAnsi="Garamond" w:cstheme="minorHAnsi"/>
                <w:b w:val="0"/>
              </w:rPr>
            </w:pPr>
            <w:r w:rsidRPr="00A5626D">
              <w:rPr>
                <w:rFonts w:ascii="Garamond" w:hAnsi="Garamond" w:cstheme="minorHAnsi"/>
                <w:b w:val="0"/>
              </w:rPr>
              <w:lastRenderedPageBreak/>
              <w:t>•</w:t>
            </w:r>
            <w:r w:rsidRPr="00A5626D">
              <w:rPr>
                <w:rFonts w:ascii="Garamond" w:hAnsi="Garamond" w:cstheme="minorHAnsi"/>
                <w:b w:val="0"/>
              </w:rPr>
              <w:tab/>
              <w:t xml:space="preserve">принимает и обрабатывает корректирующие акты учета (оборота) по ГТП генерации, корректирующие акты учета перетоков по сечению коммерческого учета (по внутренним сечениям – в случаях, предусмотренных </w:t>
            </w:r>
            <w:r w:rsidRPr="00A5626D">
              <w:rPr>
                <w:rFonts w:ascii="Garamond" w:hAnsi="Garamond" w:cstheme="minorHAnsi"/>
                <w:b w:val="0"/>
                <w:highlight w:val="yellow"/>
              </w:rPr>
              <w:t>п. 3.2 или п. 3.4</w:t>
            </w:r>
            <w:r w:rsidRPr="00A5626D">
              <w:rPr>
                <w:rFonts w:ascii="Garamond" w:hAnsi="Garamond" w:cstheme="minorHAnsi"/>
                <w:b w:val="0"/>
              </w:rPr>
              <w:t xml:space="preserve"> настоящего Регламента) (макеты 51075) и размещает их на официальном сайте КО в разделе «Данные АИИС» на персональных страницах участников оптового рынка (ФСК);</w:t>
            </w:r>
          </w:p>
          <w:p w14:paraId="6F8F7898" w14:textId="77777777" w:rsidR="00295C6D" w:rsidRPr="00A5626D" w:rsidRDefault="00295C6D" w:rsidP="00647FA0">
            <w:pPr>
              <w:pStyle w:val="2"/>
              <w:numPr>
                <w:ilvl w:val="0"/>
                <w:numId w:val="0"/>
              </w:numPr>
              <w:tabs>
                <w:tab w:val="left" w:pos="1134"/>
                <w:tab w:val="left" w:pos="7938"/>
              </w:tabs>
              <w:suppressAutoHyphens w:val="0"/>
              <w:spacing w:before="120" w:after="120" w:line="22" w:lineRule="atLeast"/>
              <w:ind w:firstLine="629"/>
              <w:jc w:val="both"/>
              <w:rPr>
                <w:rFonts w:ascii="Garamond" w:hAnsi="Garamond" w:cstheme="minorHAnsi"/>
                <w:b w:val="0"/>
              </w:rPr>
            </w:pPr>
            <w:r w:rsidRPr="00A5626D">
              <w:rPr>
                <w:rFonts w:ascii="Garamond" w:hAnsi="Garamond" w:cstheme="minorHAnsi"/>
                <w:b w:val="0"/>
              </w:rPr>
              <w:t>•</w:t>
            </w:r>
            <w:r w:rsidRPr="00A5626D">
              <w:rPr>
                <w:rFonts w:ascii="Garamond" w:hAnsi="Garamond" w:cstheme="minorHAnsi"/>
                <w:b w:val="0"/>
              </w:rPr>
              <w:tab/>
              <w:t>принимает от СО оперативные данные, используемые при применении замещающих методов расчета в отношении ГТП генерации, сечений коммерческого учета и ГТП потребления;</w:t>
            </w:r>
          </w:p>
          <w:p w14:paraId="6E124D96" w14:textId="77777777" w:rsidR="00295C6D" w:rsidRPr="00A5626D" w:rsidRDefault="00295C6D" w:rsidP="00647FA0">
            <w:pPr>
              <w:pStyle w:val="28"/>
              <w:tabs>
                <w:tab w:val="left" w:pos="1134"/>
                <w:tab w:val="left" w:pos="7938"/>
              </w:tabs>
              <w:spacing w:before="120" w:line="22" w:lineRule="atLeast"/>
              <w:ind w:firstLine="629"/>
              <w:jc w:val="both"/>
              <w:rPr>
                <w:rFonts w:cstheme="minorHAnsi"/>
                <w:szCs w:val="22"/>
              </w:rPr>
            </w:pPr>
            <w:r w:rsidRPr="00A5626D">
              <w:rPr>
                <w:rFonts w:cstheme="minorHAnsi"/>
                <w:szCs w:val="22"/>
              </w:rPr>
              <w:t>•</w:t>
            </w:r>
            <w:r w:rsidRPr="00A5626D">
              <w:rPr>
                <w:rFonts w:cstheme="minorHAnsi"/>
                <w:szCs w:val="22"/>
              </w:rPr>
              <w:tab/>
              <w:t>размещает на официальном сайте КО в разделе «Данные АИИС» на персональных страницах участников оптового рынка (ФСК) итоговые данные коммерческого учета, принятые к расчетам за соответствующий отчетный период, а также сведения о прекращении действия Акта о соответствии АИИС КУЭ техническим требованиям оптового рынка и (или) об обязанности предоставления актуализированного ПСИ в случаях, предусмотренных п. 7.6 настоящего Регламента.</w:t>
            </w:r>
          </w:p>
          <w:p w14:paraId="4F3762C3" w14:textId="77777777" w:rsidR="00295C6D" w:rsidRPr="00A5626D" w:rsidRDefault="00295C6D" w:rsidP="00647FA0">
            <w:pPr>
              <w:pStyle w:val="2"/>
              <w:numPr>
                <w:ilvl w:val="0"/>
                <w:numId w:val="0"/>
              </w:numPr>
              <w:tabs>
                <w:tab w:val="left" w:pos="1134"/>
                <w:tab w:val="left" w:pos="7938"/>
              </w:tabs>
              <w:suppressAutoHyphens w:val="0"/>
              <w:spacing w:before="120" w:after="120" w:line="22" w:lineRule="atLeast"/>
              <w:ind w:firstLine="629"/>
              <w:jc w:val="both"/>
              <w:rPr>
                <w:rFonts w:ascii="Garamond" w:hAnsi="Garamond" w:cstheme="minorHAnsi"/>
                <w:b w:val="0"/>
              </w:rPr>
            </w:pPr>
            <w:r w:rsidRPr="00A5626D">
              <w:rPr>
                <w:rFonts w:ascii="Garamond" w:hAnsi="Garamond" w:cstheme="minorHAnsi"/>
                <w:b w:val="0"/>
              </w:rPr>
              <w:t>4.3. СО:</w:t>
            </w:r>
          </w:p>
          <w:p w14:paraId="1AD4A2A4" w14:textId="77777777" w:rsidR="00295C6D" w:rsidRPr="00A5626D" w:rsidRDefault="00295C6D" w:rsidP="00647FA0">
            <w:pPr>
              <w:pStyle w:val="2"/>
              <w:numPr>
                <w:ilvl w:val="0"/>
                <w:numId w:val="0"/>
              </w:numPr>
              <w:tabs>
                <w:tab w:val="left" w:pos="1134"/>
                <w:tab w:val="left" w:pos="7938"/>
              </w:tabs>
              <w:suppressAutoHyphens w:val="0"/>
              <w:spacing w:before="120" w:after="120" w:line="22" w:lineRule="atLeast"/>
              <w:ind w:firstLine="629"/>
              <w:jc w:val="both"/>
              <w:rPr>
                <w:rFonts w:ascii="Garamond" w:hAnsi="Garamond" w:cstheme="minorHAnsi"/>
                <w:b w:val="0"/>
              </w:rPr>
            </w:pPr>
            <w:r w:rsidRPr="00A5626D">
              <w:rPr>
                <w:rFonts w:ascii="Garamond" w:hAnsi="Garamond" w:cstheme="minorHAnsi"/>
                <w:b w:val="0"/>
              </w:rPr>
              <w:t>•</w:t>
            </w:r>
            <w:r w:rsidRPr="00A5626D">
              <w:rPr>
                <w:rFonts w:ascii="Garamond" w:hAnsi="Garamond" w:cstheme="minorHAnsi"/>
                <w:b w:val="0"/>
              </w:rPr>
              <w:tab/>
              <w:t>согласует представленные ФСК ПСИ в части способов формирования оперативной информации по точкам учета в сечениях коммерческого учета, входящих в сечения экспорта-импорта, и точкам учета в сечениях между ценовыми, а также между ценовыми и неценовыми зонами оптового рынка, за исключением точек поставки, включенных в сечение коммерческого учета между первой и второй ценовыми зонами и расположенных на границе балансовой принадлежности ГТП потребления участников оптового рынка;</w:t>
            </w:r>
          </w:p>
          <w:p w14:paraId="6A703236" w14:textId="77777777" w:rsidR="00295C6D" w:rsidRPr="00A5626D" w:rsidRDefault="00295C6D" w:rsidP="00647FA0">
            <w:pPr>
              <w:pStyle w:val="2"/>
              <w:numPr>
                <w:ilvl w:val="0"/>
                <w:numId w:val="0"/>
              </w:numPr>
              <w:tabs>
                <w:tab w:val="left" w:pos="1134"/>
                <w:tab w:val="left" w:pos="7938"/>
              </w:tabs>
              <w:suppressAutoHyphens w:val="0"/>
              <w:spacing w:before="120" w:after="120" w:line="22" w:lineRule="atLeast"/>
              <w:ind w:firstLine="629"/>
              <w:jc w:val="both"/>
              <w:rPr>
                <w:rFonts w:ascii="Garamond" w:hAnsi="Garamond" w:cstheme="minorHAnsi"/>
                <w:b w:val="0"/>
              </w:rPr>
            </w:pPr>
            <w:r w:rsidRPr="00A5626D">
              <w:rPr>
                <w:rFonts w:ascii="Garamond" w:hAnsi="Garamond" w:cstheme="minorHAnsi"/>
                <w:b w:val="0"/>
              </w:rPr>
              <w:t>•</w:t>
            </w:r>
            <w:r w:rsidRPr="00A5626D">
              <w:rPr>
                <w:rFonts w:ascii="Garamond" w:hAnsi="Garamond" w:cstheme="minorHAnsi"/>
                <w:b w:val="0"/>
              </w:rPr>
              <w:tab/>
              <w:t>согласует представленные участниками оптового рынка в отношении ГТП генерации ПСИ в части способов формирования оперативной информации;</w:t>
            </w:r>
          </w:p>
          <w:p w14:paraId="6D432A24" w14:textId="77777777" w:rsidR="00295C6D" w:rsidRPr="00A5626D" w:rsidRDefault="00295C6D" w:rsidP="00647FA0">
            <w:pPr>
              <w:pStyle w:val="2"/>
              <w:numPr>
                <w:ilvl w:val="0"/>
                <w:numId w:val="0"/>
              </w:numPr>
              <w:tabs>
                <w:tab w:val="left" w:pos="1134"/>
                <w:tab w:val="left" w:pos="7938"/>
              </w:tabs>
              <w:suppressAutoHyphens w:val="0"/>
              <w:spacing w:before="120" w:after="120" w:line="22" w:lineRule="atLeast"/>
              <w:ind w:firstLine="629"/>
              <w:jc w:val="both"/>
              <w:rPr>
                <w:rFonts w:ascii="Garamond" w:hAnsi="Garamond" w:cstheme="minorHAnsi"/>
                <w:b w:val="0"/>
              </w:rPr>
            </w:pPr>
            <w:r w:rsidRPr="00A5626D">
              <w:rPr>
                <w:rFonts w:ascii="Garamond" w:hAnsi="Garamond" w:cstheme="minorHAnsi"/>
                <w:b w:val="0"/>
              </w:rPr>
              <w:t>•</w:t>
            </w:r>
            <w:r w:rsidRPr="00A5626D">
              <w:rPr>
                <w:rFonts w:ascii="Garamond" w:hAnsi="Garamond" w:cstheme="minorHAnsi"/>
                <w:b w:val="0"/>
              </w:rPr>
              <w:tab/>
              <w:t xml:space="preserve">определяет источники оперативных данных, используемые для формирования суммарной величины потребления по территориям субъектов РФ, в том числе на основании нормальных схем электрических соединений объектов электроэнергетики, данных, представленных в ПСИ субъектов оптового рынка, направляемых КО в </w:t>
            </w:r>
            <w:r w:rsidRPr="00A5626D">
              <w:rPr>
                <w:rFonts w:ascii="Garamond" w:hAnsi="Garamond" w:cstheme="minorHAnsi"/>
                <w:b w:val="0"/>
              </w:rPr>
              <w:lastRenderedPageBreak/>
              <w:t>СО в рамках cоглашения о взаимодействии между СО и КО;</w:t>
            </w:r>
          </w:p>
          <w:p w14:paraId="44B48FD4" w14:textId="77777777" w:rsidR="00295C6D" w:rsidRPr="00A5626D" w:rsidRDefault="00295C6D" w:rsidP="00647FA0">
            <w:pPr>
              <w:pStyle w:val="2"/>
              <w:numPr>
                <w:ilvl w:val="0"/>
                <w:numId w:val="0"/>
              </w:numPr>
              <w:tabs>
                <w:tab w:val="left" w:pos="1134"/>
                <w:tab w:val="left" w:pos="7938"/>
              </w:tabs>
              <w:suppressAutoHyphens w:val="0"/>
              <w:spacing w:before="120" w:after="120" w:line="22" w:lineRule="atLeast"/>
              <w:ind w:firstLine="629"/>
              <w:jc w:val="both"/>
              <w:rPr>
                <w:rFonts w:ascii="Garamond" w:hAnsi="Garamond" w:cstheme="minorHAnsi"/>
                <w:b w:val="0"/>
              </w:rPr>
            </w:pPr>
            <w:r w:rsidRPr="00A5626D">
              <w:rPr>
                <w:rFonts w:ascii="Garamond" w:hAnsi="Garamond" w:cstheme="minorHAnsi"/>
                <w:b w:val="0"/>
              </w:rPr>
              <w:t>•</w:t>
            </w:r>
            <w:r w:rsidRPr="00A5626D">
              <w:rPr>
                <w:rFonts w:ascii="Garamond" w:hAnsi="Garamond" w:cstheme="minorHAnsi"/>
                <w:b w:val="0"/>
              </w:rPr>
              <w:tab/>
              <w:t>ежедневно по рабочим дням, но не позднее 12:00 3-го календарного дня месяца, следующего за отчетным, передает в КО, в соответствии с соглашением о взаимодействии между СО и КО, для возможного использования при применении замещающих методов расчета следующую почасовую оперативную информацию:</w:t>
            </w:r>
          </w:p>
          <w:p w14:paraId="5DFE8F75" w14:textId="77777777" w:rsidR="00295C6D" w:rsidRPr="00A5626D" w:rsidRDefault="00295C6D" w:rsidP="00647FA0">
            <w:pPr>
              <w:pStyle w:val="2"/>
              <w:numPr>
                <w:ilvl w:val="0"/>
                <w:numId w:val="0"/>
              </w:numPr>
              <w:tabs>
                <w:tab w:val="left" w:pos="1134"/>
                <w:tab w:val="left" w:pos="7938"/>
              </w:tabs>
              <w:suppressAutoHyphens w:val="0"/>
              <w:spacing w:before="120" w:after="120" w:line="22" w:lineRule="atLeast"/>
              <w:ind w:firstLine="629"/>
              <w:jc w:val="both"/>
              <w:rPr>
                <w:rFonts w:ascii="Garamond" w:hAnsi="Garamond" w:cstheme="minorHAnsi"/>
                <w:b w:val="0"/>
              </w:rPr>
            </w:pPr>
            <w:r w:rsidRPr="00A5626D">
              <w:rPr>
                <w:rFonts w:ascii="Garamond" w:hAnsi="Garamond" w:cstheme="minorHAnsi"/>
                <w:b w:val="0"/>
              </w:rPr>
              <w:t>а)</w:t>
            </w:r>
            <w:r w:rsidRPr="00A5626D">
              <w:rPr>
                <w:rFonts w:ascii="Garamond" w:hAnsi="Garamond" w:cstheme="minorHAnsi"/>
                <w:b w:val="0"/>
              </w:rPr>
              <w:tab/>
              <w:t>оперативную информацию о выработке электроэнергии по ГТП генерации (с учетом информации об объемах потребления электроэнергии по ГТП ГАЭС в двигательном режиме), а также информацию на основании которой она сформирована, а именно:</w:t>
            </w:r>
          </w:p>
          <w:p w14:paraId="09D2545F" w14:textId="77777777" w:rsidR="00295C6D" w:rsidRPr="00A5626D" w:rsidRDefault="00295C6D" w:rsidP="00647FA0">
            <w:pPr>
              <w:pStyle w:val="2"/>
              <w:numPr>
                <w:ilvl w:val="0"/>
                <w:numId w:val="0"/>
              </w:numPr>
              <w:tabs>
                <w:tab w:val="left" w:pos="1134"/>
                <w:tab w:val="left" w:pos="7938"/>
              </w:tabs>
              <w:suppressAutoHyphens w:val="0"/>
              <w:spacing w:before="120" w:after="120" w:line="22" w:lineRule="atLeast"/>
              <w:ind w:firstLine="629"/>
              <w:jc w:val="both"/>
              <w:rPr>
                <w:rFonts w:ascii="Garamond" w:hAnsi="Garamond" w:cstheme="minorHAnsi"/>
                <w:b w:val="0"/>
              </w:rPr>
            </w:pPr>
            <w:r w:rsidRPr="00A5626D">
              <w:rPr>
                <w:rFonts w:ascii="Garamond" w:hAnsi="Garamond" w:cstheme="minorHAnsi"/>
                <w:b w:val="0"/>
              </w:rPr>
              <w:t>- информацию о выработке электроэнергии по ГТП генерации (с учетом информации об объемах потребления электроэнергии по ГТП ГАЭС в двигательном режиме), сформированную на основании телеинформации, полученной от субъекта оптового рынка в порядке, предусмотренном приложением 3 к Регламенту допуска к торговой системе оптового рынка (Приложение № 1 к Договору о присоединении к торговой системе оптового рынка);</w:t>
            </w:r>
          </w:p>
          <w:p w14:paraId="64FB8452" w14:textId="608FDF3C" w:rsidR="00295C6D" w:rsidRPr="00A5626D" w:rsidRDefault="009B5F03" w:rsidP="00647FA0">
            <w:pPr>
              <w:pStyle w:val="2"/>
              <w:numPr>
                <w:ilvl w:val="0"/>
                <w:numId w:val="0"/>
              </w:numPr>
              <w:tabs>
                <w:tab w:val="left" w:pos="1134"/>
                <w:tab w:val="left" w:pos="7938"/>
              </w:tabs>
              <w:suppressAutoHyphens w:val="0"/>
              <w:spacing w:before="120" w:after="120" w:line="22" w:lineRule="atLeast"/>
              <w:ind w:firstLine="629"/>
              <w:jc w:val="both"/>
              <w:rPr>
                <w:rFonts w:ascii="Garamond" w:hAnsi="Garamond" w:cstheme="minorHAnsi"/>
                <w:b w:val="0"/>
              </w:rPr>
            </w:pPr>
            <w:r w:rsidRPr="00A5626D">
              <w:rPr>
                <w:rFonts w:ascii="Garamond" w:hAnsi="Garamond" w:cstheme="minorHAnsi"/>
                <w:b w:val="0"/>
              </w:rPr>
              <w:t xml:space="preserve">– </w:t>
            </w:r>
            <w:r w:rsidR="00295C6D" w:rsidRPr="00A5626D">
              <w:rPr>
                <w:rFonts w:ascii="Garamond" w:hAnsi="Garamond" w:cstheme="minorHAnsi"/>
                <w:b w:val="0"/>
              </w:rPr>
              <w:t>информацию о выработке электроэнергии по ГТП генерации (с учетом информации об объемах потребления электроэнергии по ГТП ГАЭС в двигательном режиме), сформированную на основании данных уточненного диспетчерского графика (УДГ);</w:t>
            </w:r>
          </w:p>
          <w:p w14:paraId="20102664" w14:textId="77777777" w:rsidR="00295C6D" w:rsidRPr="00A5626D" w:rsidRDefault="00295C6D" w:rsidP="00647FA0">
            <w:pPr>
              <w:pStyle w:val="2"/>
              <w:numPr>
                <w:ilvl w:val="0"/>
                <w:numId w:val="0"/>
              </w:numPr>
              <w:tabs>
                <w:tab w:val="left" w:pos="1134"/>
                <w:tab w:val="left" w:pos="7938"/>
              </w:tabs>
              <w:suppressAutoHyphens w:val="0"/>
              <w:spacing w:before="120" w:after="120" w:line="22" w:lineRule="atLeast"/>
              <w:ind w:firstLine="629"/>
              <w:jc w:val="both"/>
              <w:rPr>
                <w:rFonts w:ascii="Garamond" w:hAnsi="Garamond" w:cstheme="minorHAnsi"/>
                <w:b w:val="0"/>
              </w:rPr>
            </w:pPr>
            <w:r w:rsidRPr="00A5626D">
              <w:rPr>
                <w:rFonts w:ascii="Garamond" w:hAnsi="Garamond" w:cstheme="minorHAnsi"/>
                <w:b w:val="0"/>
              </w:rPr>
              <w:t>-</w:t>
            </w:r>
            <w:r w:rsidRPr="00A5626D">
              <w:rPr>
                <w:rFonts w:ascii="Garamond" w:hAnsi="Garamond" w:cstheme="minorHAnsi"/>
                <w:b w:val="0"/>
              </w:rPr>
              <w:tab/>
              <w:t>информацию о признаках недостоверности данных, сформированных на основании телеинформации, определенных в соответствии с п. 6.4.4 настоящего Регламента;</w:t>
            </w:r>
          </w:p>
          <w:p w14:paraId="269D93AF" w14:textId="77777777" w:rsidR="00295C6D" w:rsidRPr="00A5626D" w:rsidRDefault="00295C6D" w:rsidP="00647FA0">
            <w:pPr>
              <w:pStyle w:val="2"/>
              <w:numPr>
                <w:ilvl w:val="0"/>
                <w:numId w:val="0"/>
              </w:numPr>
              <w:tabs>
                <w:tab w:val="left" w:pos="1134"/>
                <w:tab w:val="left" w:pos="7938"/>
              </w:tabs>
              <w:suppressAutoHyphens w:val="0"/>
              <w:spacing w:before="120" w:after="120" w:line="22" w:lineRule="atLeast"/>
              <w:ind w:firstLine="629"/>
              <w:jc w:val="both"/>
              <w:rPr>
                <w:rFonts w:ascii="Garamond" w:hAnsi="Garamond" w:cstheme="minorHAnsi"/>
                <w:b w:val="0"/>
              </w:rPr>
            </w:pPr>
            <w:r w:rsidRPr="00A5626D">
              <w:rPr>
                <w:rFonts w:ascii="Garamond" w:hAnsi="Garamond" w:cstheme="minorHAnsi"/>
                <w:b w:val="0"/>
              </w:rPr>
              <w:t>б)</w:t>
            </w:r>
            <w:r w:rsidRPr="00A5626D">
              <w:rPr>
                <w:rFonts w:ascii="Garamond" w:hAnsi="Garamond" w:cstheme="minorHAnsi"/>
                <w:b w:val="0"/>
              </w:rPr>
              <w:tab/>
              <w:t>оперативную информацию о перетоках электроэнергии по сечениям экспорта-импорта и сечениям между ценовыми, а также между ценовыми и неценовыми зонами оптового рынка.</w:t>
            </w:r>
          </w:p>
          <w:p w14:paraId="063773C0" w14:textId="77777777" w:rsidR="00295C6D" w:rsidRPr="00A5626D" w:rsidRDefault="00295C6D" w:rsidP="00647FA0">
            <w:pPr>
              <w:pStyle w:val="2"/>
              <w:numPr>
                <w:ilvl w:val="0"/>
                <w:numId w:val="0"/>
              </w:numPr>
              <w:tabs>
                <w:tab w:val="left" w:pos="1134"/>
                <w:tab w:val="left" w:pos="7938"/>
              </w:tabs>
              <w:suppressAutoHyphens w:val="0"/>
              <w:spacing w:before="120" w:after="120" w:line="22" w:lineRule="atLeast"/>
              <w:ind w:firstLine="629"/>
              <w:jc w:val="both"/>
              <w:rPr>
                <w:rFonts w:ascii="Garamond" w:hAnsi="Garamond" w:cstheme="minorHAnsi"/>
                <w:b w:val="0"/>
              </w:rPr>
            </w:pPr>
            <w:r w:rsidRPr="00A5626D">
              <w:rPr>
                <w:rFonts w:ascii="Garamond" w:hAnsi="Garamond" w:cstheme="minorHAnsi"/>
                <w:b w:val="0"/>
              </w:rPr>
              <w:t xml:space="preserve">При этом оперативная информация о выработке электроэнергии по ГТП генерации (с учетом информации об объемах потребления электроэнергии по ГТП ГАЭС в двигательном режиме) формируется СО на основании телеинформации, полученной от субъекта оптового рынка в порядке, предусмотренном приложением 3 к Регламенту допуска к торговой системе оптового рынка (Приложение № 1 к Договору о присоединении к торговой системе оптового рынка). В случае если оперативные данные о выработке электроэнергии по </w:t>
            </w:r>
            <w:r w:rsidRPr="00A5626D">
              <w:rPr>
                <w:rFonts w:ascii="Garamond" w:hAnsi="Garamond" w:cstheme="minorHAnsi"/>
                <w:b w:val="0"/>
              </w:rPr>
              <w:lastRenderedPageBreak/>
              <w:t>ГТП генерации (с учетом информации об объемах потребления электроэнергии по ГТП ГАЭС в двигательном режиме) для соответствующих часов, сформированные на основе телеинформации, являются недостоверными, СО передает в отношении вышеуказанных часов в КО значения уточненного диспетчерского графика (далее – УДГ);</w:t>
            </w:r>
          </w:p>
          <w:p w14:paraId="186031B1" w14:textId="77777777" w:rsidR="00295C6D" w:rsidRPr="00A5626D" w:rsidRDefault="00295C6D" w:rsidP="00647FA0">
            <w:pPr>
              <w:pStyle w:val="2"/>
              <w:numPr>
                <w:ilvl w:val="0"/>
                <w:numId w:val="0"/>
              </w:numPr>
              <w:tabs>
                <w:tab w:val="left" w:pos="1134"/>
                <w:tab w:val="left" w:pos="7938"/>
              </w:tabs>
              <w:suppressAutoHyphens w:val="0"/>
              <w:spacing w:before="120" w:after="120" w:line="22" w:lineRule="atLeast"/>
              <w:ind w:firstLine="629"/>
              <w:jc w:val="both"/>
              <w:rPr>
                <w:rFonts w:ascii="Garamond" w:hAnsi="Garamond" w:cstheme="minorHAnsi"/>
                <w:b w:val="0"/>
              </w:rPr>
            </w:pPr>
            <w:r w:rsidRPr="00A5626D">
              <w:rPr>
                <w:rFonts w:ascii="Garamond" w:hAnsi="Garamond" w:cstheme="minorHAnsi"/>
                <w:b w:val="0"/>
              </w:rPr>
              <w:t>в)</w:t>
            </w:r>
            <w:r w:rsidRPr="00A5626D">
              <w:rPr>
                <w:rFonts w:ascii="Garamond" w:hAnsi="Garamond" w:cstheme="minorHAnsi"/>
                <w:b w:val="0"/>
              </w:rPr>
              <w:tab/>
              <w:t>оперативную информацию о суммарном потреблении территории субъекта РФ, равном алгебраической сумме значений оперативной информации о выработке электроэнергии по ГТП генерации (с учетом информации об объемах потребления электроэнергии по ГТП ГАЭС в двигательном режиме), расположенным на соответствующей территории, и оперативной информации о величине перетоков между территориями субъектов РФ, а также оперативной информации о величине перетоков в сечениях коммерческого учета, отнесенных к сечениям экспорта/импорта (при наличии на территории соответствующего субъекта РФ), при этом за положительное значение перетоков принимается значение перетока электрической энергии, направленное в сторону территории субъекта РФ;</w:t>
            </w:r>
          </w:p>
          <w:p w14:paraId="3D5F1BD5" w14:textId="77777777" w:rsidR="00295C6D" w:rsidRPr="00A5626D" w:rsidRDefault="00295C6D" w:rsidP="00647FA0">
            <w:pPr>
              <w:pStyle w:val="28"/>
              <w:tabs>
                <w:tab w:val="left" w:pos="1134"/>
                <w:tab w:val="left" w:pos="7938"/>
              </w:tabs>
              <w:spacing w:before="120" w:line="22" w:lineRule="atLeast"/>
              <w:ind w:firstLine="629"/>
              <w:jc w:val="both"/>
              <w:rPr>
                <w:rFonts w:cstheme="minorHAnsi"/>
                <w:szCs w:val="22"/>
              </w:rPr>
            </w:pPr>
            <w:r w:rsidRPr="00A5626D">
              <w:rPr>
                <w:rFonts w:cstheme="minorHAnsi"/>
                <w:szCs w:val="22"/>
              </w:rPr>
              <w:t>•</w:t>
            </w:r>
            <w:r w:rsidRPr="00A5626D">
              <w:rPr>
                <w:rFonts w:cstheme="minorHAnsi"/>
                <w:szCs w:val="22"/>
              </w:rPr>
              <w:tab/>
              <w:t>в случае выявления недостоверных данных не позднее 12:00 3-го календарного дня месяца, следующего за отчетным, передает в КО, в соответствии с соглашением о взаимодействии между СО и КО, для возможного использования при применении замещающих методов расчета уточненную почасовую оперативную информацию</w:t>
            </w:r>
            <w:r w:rsidRPr="00A5626D">
              <w:rPr>
                <w:rFonts w:cstheme="minorHAnsi"/>
                <w:szCs w:val="22"/>
                <w:highlight w:val="yellow"/>
              </w:rPr>
              <w:t>.</w:t>
            </w:r>
          </w:p>
          <w:p w14:paraId="04BB8DA1" w14:textId="77777777" w:rsidR="00295C6D" w:rsidRPr="00A5626D" w:rsidRDefault="00295C6D" w:rsidP="00647FA0">
            <w:pPr>
              <w:pStyle w:val="2"/>
              <w:numPr>
                <w:ilvl w:val="0"/>
                <w:numId w:val="0"/>
              </w:numPr>
              <w:tabs>
                <w:tab w:val="left" w:pos="1134"/>
                <w:tab w:val="left" w:pos="7938"/>
              </w:tabs>
              <w:suppressAutoHyphens w:val="0"/>
              <w:spacing w:before="120" w:after="120" w:line="22" w:lineRule="atLeast"/>
              <w:ind w:firstLine="629"/>
              <w:jc w:val="both"/>
              <w:rPr>
                <w:rFonts w:ascii="Garamond" w:hAnsi="Garamond" w:cstheme="minorHAnsi"/>
                <w:b w:val="0"/>
              </w:rPr>
            </w:pPr>
            <w:r w:rsidRPr="00A5626D">
              <w:rPr>
                <w:rFonts w:ascii="Garamond" w:hAnsi="Garamond" w:cstheme="minorHAnsi"/>
                <w:b w:val="0"/>
              </w:rPr>
              <w:t>4.4. Участники оптового рынка (ФСК):</w:t>
            </w:r>
          </w:p>
          <w:p w14:paraId="2A350566" w14:textId="77777777" w:rsidR="00295C6D" w:rsidRPr="00A5626D" w:rsidRDefault="00295C6D" w:rsidP="00647FA0">
            <w:pPr>
              <w:pStyle w:val="2"/>
              <w:numPr>
                <w:ilvl w:val="0"/>
                <w:numId w:val="0"/>
              </w:numPr>
              <w:tabs>
                <w:tab w:val="left" w:pos="1134"/>
                <w:tab w:val="left" w:pos="7938"/>
              </w:tabs>
              <w:suppressAutoHyphens w:val="0"/>
              <w:spacing w:before="120" w:after="120" w:line="22" w:lineRule="atLeast"/>
              <w:ind w:firstLine="629"/>
              <w:jc w:val="both"/>
              <w:rPr>
                <w:rFonts w:ascii="Garamond" w:hAnsi="Garamond" w:cstheme="minorHAnsi"/>
                <w:b w:val="0"/>
              </w:rPr>
            </w:pPr>
            <w:r w:rsidRPr="00A5626D">
              <w:rPr>
                <w:rFonts w:ascii="Garamond" w:hAnsi="Garamond" w:cstheme="minorHAnsi"/>
                <w:b w:val="0"/>
              </w:rPr>
              <w:t>•</w:t>
            </w:r>
            <w:r w:rsidRPr="00A5626D">
              <w:rPr>
                <w:rFonts w:ascii="Garamond" w:hAnsi="Garamond" w:cstheme="minorHAnsi"/>
                <w:b w:val="0"/>
              </w:rPr>
              <w:tab/>
              <w:t>оформляют ПСИ в порядке, предусмотренном приложением 5 к настоящему Регламенту;</w:t>
            </w:r>
          </w:p>
          <w:p w14:paraId="4F1CDE77" w14:textId="77777777" w:rsidR="00295C6D" w:rsidRPr="00A5626D" w:rsidRDefault="00295C6D" w:rsidP="00647FA0">
            <w:pPr>
              <w:pStyle w:val="2"/>
              <w:numPr>
                <w:ilvl w:val="0"/>
                <w:numId w:val="0"/>
              </w:numPr>
              <w:tabs>
                <w:tab w:val="left" w:pos="1134"/>
                <w:tab w:val="left" w:pos="7938"/>
              </w:tabs>
              <w:suppressAutoHyphens w:val="0"/>
              <w:spacing w:before="120" w:after="120" w:line="22" w:lineRule="atLeast"/>
              <w:ind w:firstLine="629"/>
              <w:jc w:val="both"/>
              <w:rPr>
                <w:rFonts w:ascii="Garamond" w:hAnsi="Garamond" w:cstheme="minorHAnsi"/>
                <w:b w:val="0"/>
              </w:rPr>
            </w:pPr>
            <w:r w:rsidRPr="00A5626D">
              <w:rPr>
                <w:rFonts w:ascii="Garamond" w:hAnsi="Garamond" w:cstheme="minorHAnsi"/>
                <w:b w:val="0"/>
              </w:rPr>
              <w:t>•</w:t>
            </w:r>
            <w:r w:rsidRPr="00A5626D">
              <w:rPr>
                <w:rFonts w:ascii="Garamond" w:hAnsi="Garamond" w:cstheme="minorHAnsi"/>
                <w:b w:val="0"/>
              </w:rPr>
              <w:tab/>
              <w:t>согласуют ПСИ по соответствующим сечениям коммерческого учета со смежными участниками оптового рынка или ФСК;</w:t>
            </w:r>
          </w:p>
          <w:p w14:paraId="218F4EDA" w14:textId="77777777" w:rsidR="00295C6D" w:rsidRPr="00A5626D" w:rsidRDefault="00295C6D" w:rsidP="00647FA0">
            <w:pPr>
              <w:pStyle w:val="2"/>
              <w:numPr>
                <w:ilvl w:val="0"/>
                <w:numId w:val="0"/>
              </w:numPr>
              <w:tabs>
                <w:tab w:val="left" w:pos="1134"/>
                <w:tab w:val="left" w:pos="7938"/>
              </w:tabs>
              <w:suppressAutoHyphens w:val="0"/>
              <w:spacing w:before="120" w:after="120" w:line="22" w:lineRule="atLeast"/>
              <w:ind w:firstLine="629"/>
              <w:jc w:val="both"/>
              <w:rPr>
                <w:rFonts w:ascii="Garamond" w:hAnsi="Garamond" w:cstheme="minorHAnsi"/>
                <w:b w:val="0"/>
              </w:rPr>
            </w:pPr>
            <w:r w:rsidRPr="00A5626D">
              <w:rPr>
                <w:rFonts w:ascii="Garamond" w:hAnsi="Garamond" w:cstheme="minorHAnsi"/>
                <w:b w:val="0"/>
              </w:rPr>
              <w:t>•</w:t>
            </w:r>
            <w:r w:rsidRPr="00A5626D">
              <w:rPr>
                <w:rFonts w:ascii="Garamond" w:hAnsi="Garamond" w:cstheme="minorHAnsi"/>
                <w:b w:val="0"/>
              </w:rPr>
              <w:tab/>
              <w:t>согласуют с СО ПСИ в части способов формирования оперативной информации в отношении ГТП генерации;</w:t>
            </w:r>
          </w:p>
          <w:p w14:paraId="11D0CFF3" w14:textId="77777777" w:rsidR="00295C6D" w:rsidRPr="00A5626D" w:rsidRDefault="00295C6D" w:rsidP="00647FA0">
            <w:pPr>
              <w:pStyle w:val="2"/>
              <w:numPr>
                <w:ilvl w:val="0"/>
                <w:numId w:val="0"/>
              </w:numPr>
              <w:tabs>
                <w:tab w:val="left" w:pos="1134"/>
                <w:tab w:val="left" w:pos="7938"/>
              </w:tabs>
              <w:suppressAutoHyphens w:val="0"/>
              <w:spacing w:before="120" w:after="120" w:line="22" w:lineRule="atLeast"/>
              <w:ind w:firstLine="629"/>
              <w:jc w:val="both"/>
              <w:rPr>
                <w:rFonts w:ascii="Garamond" w:hAnsi="Garamond" w:cstheme="minorHAnsi"/>
                <w:b w:val="0"/>
              </w:rPr>
            </w:pPr>
            <w:r w:rsidRPr="00A5626D">
              <w:rPr>
                <w:rFonts w:ascii="Garamond" w:hAnsi="Garamond" w:cstheme="minorHAnsi"/>
                <w:b w:val="0"/>
              </w:rPr>
              <w:t>•</w:t>
            </w:r>
            <w:r w:rsidRPr="00A5626D">
              <w:rPr>
                <w:rFonts w:ascii="Garamond" w:hAnsi="Garamond" w:cstheme="minorHAnsi"/>
                <w:b w:val="0"/>
              </w:rPr>
              <w:tab/>
              <w:t xml:space="preserve">ФСК согласует с СО ПСИ в части способов формирования оперативной информации для сечений коммерческого учета, входящих в сечения экспорта-импорта, и сечений между </w:t>
            </w:r>
            <w:r w:rsidRPr="00A5626D">
              <w:rPr>
                <w:rFonts w:ascii="Garamond" w:hAnsi="Garamond" w:cstheme="minorHAnsi"/>
                <w:b w:val="0"/>
              </w:rPr>
              <w:lastRenderedPageBreak/>
              <w:t>ценовыми, а также между ценовыми и неценовыми зонами оптового рынка, за исключением точек поставки, включенных в сечение коммерческого учета между ценовыми, а также между ценовыми и неценовыми зонами и относящихся к ГТП потребления смежных участников оптового рынка;</w:t>
            </w:r>
          </w:p>
          <w:p w14:paraId="12C64D16" w14:textId="77777777" w:rsidR="00295C6D" w:rsidRPr="00A5626D" w:rsidRDefault="00295C6D" w:rsidP="00647FA0">
            <w:pPr>
              <w:pStyle w:val="2"/>
              <w:numPr>
                <w:ilvl w:val="0"/>
                <w:numId w:val="0"/>
              </w:numPr>
              <w:tabs>
                <w:tab w:val="left" w:pos="1134"/>
                <w:tab w:val="left" w:pos="7938"/>
              </w:tabs>
              <w:suppressAutoHyphens w:val="0"/>
              <w:spacing w:before="120" w:after="120" w:line="22" w:lineRule="atLeast"/>
              <w:ind w:firstLine="629"/>
              <w:jc w:val="both"/>
              <w:rPr>
                <w:rFonts w:ascii="Garamond" w:hAnsi="Garamond" w:cstheme="minorHAnsi"/>
                <w:b w:val="0"/>
              </w:rPr>
            </w:pPr>
            <w:r w:rsidRPr="00A5626D">
              <w:rPr>
                <w:rFonts w:ascii="Garamond" w:hAnsi="Garamond" w:cstheme="minorHAnsi"/>
                <w:b w:val="0"/>
              </w:rPr>
              <w:t>•</w:t>
            </w:r>
            <w:r w:rsidRPr="00A5626D">
              <w:rPr>
                <w:rFonts w:ascii="Garamond" w:hAnsi="Garamond" w:cstheme="minorHAnsi"/>
                <w:b w:val="0"/>
              </w:rPr>
              <w:tab/>
              <w:t xml:space="preserve">осуществляют информационное взаимодействие по взаимному предоставлению результатов измерений с использованием </w:t>
            </w:r>
            <w:r w:rsidRPr="00A5626D">
              <w:rPr>
                <w:rFonts w:ascii="Garamond" w:hAnsi="Garamond" w:cstheme="minorHAnsi"/>
                <w:b w:val="0"/>
                <w:highlight w:val="yellow"/>
              </w:rPr>
              <w:t>средств измерений, представленных в ПСИ</w:t>
            </w:r>
            <w:r w:rsidRPr="00A5626D">
              <w:rPr>
                <w:rFonts w:ascii="Garamond" w:hAnsi="Garamond" w:cstheme="minorHAnsi"/>
                <w:b w:val="0"/>
              </w:rPr>
              <w:t>;</w:t>
            </w:r>
          </w:p>
          <w:p w14:paraId="5C87F41F" w14:textId="77777777" w:rsidR="00295C6D" w:rsidRPr="00A5626D" w:rsidRDefault="00295C6D" w:rsidP="00647FA0">
            <w:pPr>
              <w:pStyle w:val="2"/>
              <w:numPr>
                <w:ilvl w:val="0"/>
                <w:numId w:val="0"/>
              </w:numPr>
              <w:tabs>
                <w:tab w:val="left" w:pos="1134"/>
                <w:tab w:val="left" w:pos="7938"/>
              </w:tabs>
              <w:suppressAutoHyphens w:val="0"/>
              <w:spacing w:before="120" w:after="120" w:line="22" w:lineRule="atLeast"/>
              <w:ind w:firstLine="629"/>
              <w:jc w:val="both"/>
              <w:rPr>
                <w:rFonts w:ascii="Garamond" w:hAnsi="Garamond" w:cstheme="minorHAnsi"/>
                <w:b w:val="0"/>
              </w:rPr>
            </w:pPr>
            <w:r w:rsidRPr="00A5626D">
              <w:rPr>
                <w:rFonts w:ascii="Garamond" w:hAnsi="Garamond" w:cstheme="minorHAnsi"/>
                <w:b w:val="0"/>
              </w:rPr>
              <w:t>•</w:t>
            </w:r>
            <w:r w:rsidRPr="00A5626D">
              <w:rPr>
                <w:rFonts w:ascii="Garamond" w:hAnsi="Garamond" w:cstheme="minorHAnsi"/>
                <w:b w:val="0"/>
              </w:rPr>
              <w:tab/>
              <w:t>в отношении сечений коммерческого учета между участником оптового рынка и ФСК согласовывают и направляют в КО интегральные акты учета перетоков (макет 50080), в порядке и сроки, предусмотренные настоящим Регламентом;</w:t>
            </w:r>
          </w:p>
          <w:p w14:paraId="66AD2CC4" w14:textId="77777777" w:rsidR="00295C6D" w:rsidRPr="00A5626D" w:rsidRDefault="00295C6D" w:rsidP="00647FA0">
            <w:pPr>
              <w:pStyle w:val="2"/>
              <w:numPr>
                <w:ilvl w:val="0"/>
                <w:numId w:val="0"/>
              </w:numPr>
              <w:tabs>
                <w:tab w:val="left" w:pos="1134"/>
                <w:tab w:val="left" w:pos="7938"/>
              </w:tabs>
              <w:suppressAutoHyphens w:val="0"/>
              <w:spacing w:before="120" w:after="120" w:line="22" w:lineRule="atLeast"/>
              <w:ind w:firstLine="629"/>
              <w:jc w:val="both"/>
              <w:rPr>
                <w:rFonts w:ascii="Garamond" w:hAnsi="Garamond" w:cstheme="minorHAnsi"/>
                <w:b w:val="0"/>
              </w:rPr>
            </w:pPr>
            <w:r w:rsidRPr="00A5626D">
              <w:rPr>
                <w:rFonts w:ascii="Garamond" w:hAnsi="Garamond" w:cstheme="minorHAnsi"/>
                <w:b w:val="0"/>
              </w:rPr>
              <w:t>•</w:t>
            </w:r>
            <w:r w:rsidRPr="00A5626D">
              <w:rPr>
                <w:rFonts w:ascii="Garamond" w:hAnsi="Garamond" w:cstheme="minorHAnsi"/>
                <w:b w:val="0"/>
              </w:rPr>
              <w:tab/>
              <w:t>формируют на официальном сайте КО в разделе «Данные АИИС» акты учета (оборота) по ГТП генерации, акты учета перетоков по сечению коммерческого учета (макеты 51020) в порядке и сроки, предусмотренные настоящим Регламентом;</w:t>
            </w:r>
          </w:p>
          <w:p w14:paraId="1C9B3D70" w14:textId="77777777" w:rsidR="00295C6D" w:rsidRPr="00A5626D" w:rsidRDefault="00295C6D" w:rsidP="00647FA0">
            <w:pPr>
              <w:pStyle w:val="28"/>
              <w:tabs>
                <w:tab w:val="left" w:pos="1134"/>
                <w:tab w:val="left" w:pos="7938"/>
              </w:tabs>
              <w:spacing w:before="120" w:line="22" w:lineRule="atLeast"/>
              <w:ind w:firstLine="629"/>
              <w:jc w:val="both"/>
              <w:rPr>
                <w:rFonts w:cstheme="minorHAnsi"/>
                <w:szCs w:val="22"/>
              </w:rPr>
            </w:pPr>
            <w:r w:rsidRPr="00A5626D">
              <w:rPr>
                <w:rFonts w:cstheme="minorHAnsi"/>
                <w:szCs w:val="22"/>
              </w:rPr>
              <w:t>•</w:t>
            </w:r>
            <w:r w:rsidRPr="00A5626D">
              <w:rPr>
                <w:rFonts w:cstheme="minorHAnsi"/>
                <w:szCs w:val="22"/>
              </w:rPr>
              <w:tab/>
              <w:t>формируют и направляют в КО корректирующие акты учета (оборота) по ГТП генерации либо корректирующие акты учета перетоков по сечению коммерческого учета (макет 51075) в случаях, а также в соответствии с порядком и сроками, предусмотренными настоящим Регламентом</w:t>
            </w:r>
            <w:r w:rsidRPr="00A5626D">
              <w:rPr>
                <w:rFonts w:cstheme="minorHAnsi"/>
                <w:szCs w:val="22"/>
                <w:highlight w:val="yellow"/>
              </w:rPr>
              <w:t>.</w:t>
            </w:r>
          </w:p>
        </w:tc>
        <w:tc>
          <w:tcPr>
            <w:tcW w:w="7088" w:type="dxa"/>
          </w:tcPr>
          <w:p w14:paraId="0A90AA30" w14:textId="77777777" w:rsidR="00295C6D" w:rsidRPr="00A5626D" w:rsidRDefault="00295C6D" w:rsidP="00647FA0">
            <w:pPr>
              <w:pStyle w:val="2"/>
              <w:widowControl/>
              <w:numPr>
                <w:ilvl w:val="0"/>
                <w:numId w:val="0"/>
              </w:numPr>
              <w:tabs>
                <w:tab w:val="left" w:pos="1134"/>
                <w:tab w:val="left" w:pos="7938"/>
              </w:tabs>
              <w:suppressAutoHyphens w:val="0"/>
              <w:autoSpaceDE/>
              <w:spacing w:before="120" w:after="120" w:line="22" w:lineRule="atLeast"/>
              <w:ind w:firstLine="629"/>
              <w:jc w:val="both"/>
              <w:rPr>
                <w:rFonts w:ascii="Garamond" w:hAnsi="Garamond" w:cstheme="minorHAnsi"/>
                <w:b w:val="0"/>
              </w:rPr>
            </w:pPr>
            <w:r w:rsidRPr="00A5626D">
              <w:rPr>
                <w:rFonts w:ascii="Garamond" w:hAnsi="Garamond" w:cstheme="minorHAnsi"/>
                <w:b w:val="0"/>
              </w:rPr>
              <w:lastRenderedPageBreak/>
              <w:t>4 СУБЪЕКТЫ ОТНОШЕНИЙ В СФЕРЕ КОММЕРЧЕСКОГО УЧЕТА</w:t>
            </w:r>
          </w:p>
          <w:p w14:paraId="6ADDA543" w14:textId="77777777" w:rsidR="00295C6D" w:rsidRPr="00A5626D" w:rsidRDefault="00295C6D" w:rsidP="00647FA0">
            <w:pPr>
              <w:pStyle w:val="2"/>
              <w:widowControl/>
              <w:numPr>
                <w:ilvl w:val="0"/>
                <w:numId w:val="0"/>
              </w:numPr>
              <w:tabs>
                <w:tab w:val="left" w:pos="1134"/>
                <w:tab w:val="left" w:pos="7938"/>
              </w:tabs>
              <w:suppressAutoHyphens w:val="0"/>
              <w:autoSpaceDE/>
              <w:spacing w:before="120" w:after="120" w:line="22" w:lineRule="atLeast"/>
              <w:ind w:firstLine="629"/>
              <w:jc w:val="both"/>
              <w:rPr>
                <w:rFonts w:ascii="Garamond" w:hAnsi="Garamond" w:cstheme="minorHAnsi"/>
                <w:b w:val="0"/>
              </w:rPr>
            </w:pPr>
            <w:r w:rsidRPr="00A5626D">
              <w:rPr>
                <w:rFonts w:ascii="Garamond" w:hAnsi="Garamond" w:cstheme="minorHAnsi"/>
                <w:b w:val="0"/>
              </w:rPr>
              <w:t>4.1. К субъектам отношений в сфере коммерческого учета относятся:</w:t>
            </w:r>
          </w:p>
          <w:p w14:paraId="5419F386" w14:textId="77777777" w:rsidR="00295C6D" w:rsidRPr="00A5626D" w:rsidRDefault="00295C6D" w:rsidP="00647FA0">
            <w:pPr>
              <w:pStyle w:val="28"/>
              <w:numPr>
                <w:ilvl w:val="0"/>
                <w:numId w:val="252"/>
              </w:numPr>
              <w:tabs>
                <w:tab w:val="clear" w:pos="1080"/>
                <w:tab w:val="left" w:pos="1134"/>
                <w:tab w:val="num" w:pos="1276"/>
                <w:tab w:val="left" w:pos="7938"/>
              </w:tabs>
              <w:spacing w:before="120" w:line="22" w:lineRule="atLeast"/>
              <w:ind w:left="0" w:firstLine="629"/>
              <w:jc w:val="both"/>
              <w:rPr>
                <w:rFonts w:cstheme="minorHAnsi"/>
                <w:szCs w:val="22"/>
              </w:rPr>
            </w:pPr>
            <w:r w:rsidRPr="00A5626D">
              <w:rPr>
                <w:rFonts w:cstheme="minorHAnsi"/>
                <w:szCs w:val="22"/>
              </w:rPr>
              <w:t>КО;</w:t>
            </w:r>
          </w:p>
          <w:p w14:paraId="02A04303" w14:textId="77777777" w:rsidR="00295C6D" w:rsidRPr="00A5626D" w:rsidRDefault="00295C6D" w:rsidP="00647FA0">
            <w:pPr>
              <w:pStyle w:val="28"/>
              <w:numPr>
                <w:ilvl w:val="0"/>
                <w:numId w:val="252"/>
              </w:numPr>
              <w:tabs>
                <w:tab w:val="clear" w:pos="1080"/>
                <w:tab w:val="left" w:pos="1134"/>
                <w:tab w:val="num" w:pos="1276"/>
                <w:tab w:val="left" w:pos="7938"/>
              </w:tabs>
              <w:spacing w:before="120" w:line="22" w:lineRule="atLeast"/>
              <w:ind w:left="0" w:firstLine="629"/>
              <w:jc w:val="both"/>
              <w:rPr>
                <w:rFonts w:cstheme="minorHAnsi"/>
                <w:szCs w:val="22"/>
              </w:rPr>
            </w:pPr>
            <w:r w:rsidRPr="00A5626D">
              <w:rPr>
                <w:rFonts w:cstheme="minorHAnsi"/>
                <w:szCs w:val="22"/>
              </w:rPr>
              <w:t>СО;</w:t>
            </w:r>
          </w:p>
          <w:p w14:paraId="593769B5" w14:textId="77777777" w:rsidR="00295C6D" w:rsidRPr="00A5626D" w:rsidRDefault="00295C6D" w:rsidP="00647FA0">
            <w:pPr>
              <w:pStyle w:val="28"/>
              <w:numPr>
                <w:ilvl w:val="0"/>
                <w:numId w:val="252"/>
              </w:numPr>
              <w:tabs>
                <w:tab w:val="clear" w:pos="1080"/>
                <w:tab w:val="left" w:pos="1134"/>
                <w:tab w:val="num" w:pos="1276"/>
                <w:tab w:val="left" w:pos="7938"/>
              </w:tabs>
              <w:spacing w:before="120" w:line="22" w:lineRule="atLeast"/>
              <w:ind w:left="0" w:firstLine="629"/>
              <w:jc w:val="both"/>
              <w:rPr>
                <w:rFonts w:cstheme="minorHAnsi"/>
                <w:szCs w:val="22"/>
              </w:rPr>
            </w:pPr>
            <w:r w:rsidRPr="00A5626D">
              <w:rPr>
                <w:rFonts w:cstheme="minorHAnsi"/>
                <w:szCs w:val="22"/>
              </w:rPr>
              <w:t>ФСК;</w:t>
            </w:r>
          </w:p>
          <w:p w14:paraId="3DDF379F" w14:textId="77777777" w:rsidR="00295C6D" w:rsidRPr="00A5626D" w:rsidRDefault="00295C6D" w:rsidP="00647FA0">
            <w:pPr>
              <w:pStyle w:val="28"/>
              <w:numPr>
                <w:ilvl w:val="0"/>
                <w:numId w:val="252"/>
              </w:numPr>
              <w:tabs>
                <w:tab w:val="clear" w:pos="1080"/>
                <w:tab w:val="left" w:pos="1134"/>
                <w:tab w:val="num" w:pos="1276"/>
                <w:tab w:val="left" w:pos="7938"/>
              </w:tabs>
              <w:spacing w:before="120" w:line="22" w:lineRule="atLeast"/>
              <w:ind w:left="0" w:firstLine="629"/>
              <w:jc w:val="both"/>
              <w:rPr>
                <w:rFonts w:cstheme="minorHAnsi"/>
                <w:szCs w:val="22"/>
              </w:rPr>
            </w:pPr>
            <w:r w:rsidRPr="00A5626D">
              <w:rPr>
                <w:rFonts w:cstheme="minorHAnsi"/>
                <w:szCs w:val="22"/>
              </w:rPr>
              <w:t xml:space="preserve">участники оптового рынка электроэнергии </w:t>
            </w:r>
            <w:r w:rsidRPr="00A5626D">
              <w:rPr>
                <w:rFonts w:cstheme="minorHAnsi"/>
                <w:szCs w:val="22"/>
                <w:highlight w:val="yellow"/>
              </w:rPr>
              <w:t>(в том числе владельцы ГТП);</w:t>
            </w:r>
          </w:p>
          <w:p w14:paraId="3765AAB3" w14:textId="77777777" w:rsidR="00295C6D" w:rsidRPr="00A5626D" w:rsidRDefault="00295C6D" w:rsidP="00647FA0">
            <w:pPr>
              <w:pStyle w:val="28"/>
              <w:numPr>
                <w:ilvl w:val="0"/>
                <w:numId w:val="252"/>
              </w:numPr>
              <w:tabs>
                <w:tab w:val="clear" w:pos="1080"/>
                <w:tab w:val="left" w:pos="1134"/>
                <w:tab w:val="num" w:pos="1276"/>
                <w:tab w:val="left" w:pos="7938"/>
              </w:tabs>
              <w:spacing w:before="120" w:line="22" w:lineRule="atLeast"/>
              <w:ind w:left="0" w:firstLine="629"/>
              <w:jc w:val="both"/>
              <w:rPr>
                <w:rFonts w:cstheme="minorHAnsi"/>
                <w:szCs w:val="22"/>
              </w:rPr>
            </w:pPr>
            <w:r w:rsidRPr="00A5626D">
              <w:rPr>
                <w:rFonts w:cstheme="minorHAnsi"/>
                <w:szCs w:val="22"/>
                <w:highlight w:val="yellow"/>
              </w:rPr>
              <w:t>агрегаторы</w:t>
            </w:r>
            <w:r w:rsidRPr="00A5626D">
              <w:rPr>
                <w:rFonts w:cstheme="minorHAnsi"/>
                <w:szCs w:val="22"/>
              </w:rPr>
              <w:t>.</w:t>
            </w:r>
          </w:p>
          <w:p w14:paraId="525269FF" w14:textId="77777777" w:rsidR="00295C6D" w:rsidRPr="00A5626D" w:rsidRDefault="00295C6D" w:rsidP="00647FA0">
            <w:pPr>
              <w:pStyle w:val="2"/>
              <w:numPr>
                <w:ilvl w:val="0"/>
                <w:numId w:val="0"/>
              </w:numPr>
              <w:tabs>
                <w:tab w:val="left" w:pos="1134"/>
                <w:tab w:val="left" w:pos="7938"/>
              </w:tabs>
              <w:suppressAutoHyphens w:val="0"/>
              <w:spacing w:before="120" w:after="120" w:line="22" w:lineRule="atLeast"/>
              <w:ind w:firstLine="629"/>
              <w:jc w:val="both"/>
              <w:rPr>
                <w:rFonts w:ascii="Garamond" w:hAnsi="Garamond" w:cstheme="minorHAnsi"/>
                <w:b w:val="0"/>
              </w:rPr>
            </w:pPr>
            <w:r w:rsidRPr="00A5626D">
              <w:rPr>
                <w:rFonts w:ascii="Garamond" w:hAnsi="Garamond" w:cstheme="minorHAnsi"/>
                <w:b w:val="0"/>
              </w:rPr>
              <w:t>4.2. КО:</w:t>
            </w:r>
          </w:p>
          <w:p w14:paraId="3EB934BA" w14:textId="77777777" w:rsidR="00295C6D" w:rsidRPr="00A5626D" w:rsidRDefault="00295C6D" w:rsidP="00647FA0">
            <w:pPr>
              <w:pStyle w:val="2"/>
              <w:numPr>
                <w:ilvl w:val="0"/>
                <w:numId w:val="0"/>
              </w:numPr>
              <w:tabs>
                <w:tab w:val="left" w:pos="1134"/>
                <w:tab w:val="left" w:pos="7938"/>
              </w:tabs>
              <w:suppressAutoHyphens w:val="0"/>
              <w:spacing w:before="120" w:after="120" w:line="22" w:lineRule="atLeast"/>
              <w:ind w:firstLine="629"/>
              <w:jc w:val="both"/>
              <w:rPr>
                <w:rFonts w:ascii="Garamond" w:hAnsi="Garamond" w:cstheme="minorHAnsi"/>
                <w:b w:val="0"/>
              </w:rPr>
            </w:pPr>
            <w:r w:rsidRPr="00A5626D">
              <w:rPr>
                <w:rFonts w:ascii="Garamond" w:hAnsi="Garamond" w:cstheme="minorHAnsi"/>
                <w:b w:val="0"/>
              </w:rPr>
              <w:t>•</w:t>
            </w:r>
            <w:r w:rsidRPr="00A5626D">
              <w:rPr>
                <w:rFonts w:ascii="Garamond" w:hAnsi="Garamond" w:cstheme="minorHAnsi"/>
                <w:b w:val="0"/>
              </w:rPr>
              <w:tab/>
              <w:t xml:space="preserve">регистрирует ПСИ по ГТП генерации, по сечениям коммерческого учета </w:t>
            </w:r>
            <w:r w:rsidRPr="00A5626D">
              <w:rPr>
                <w:rFonts w:ascii="Garamond" w:hAnsi="Garamond" w:cstheme="minorHAnsi"/>
                <w:b w:val="0"/>
                <w:highlight w:val="yellow"/>
              </w:rPr>
              <w:t>и по объектам регулирования</w:t>
            </w:r>
            <w:r w:rsidRPr="00A5626D">
              <w:rPr>
                <w:rFonts w:ascii="Garamond" w:hAnsi="Garamond" w:cstheme="minorHAnsi"/>
                <w:b w:val="0"/>
              </w:rPr>
              <w:t>;</w:t>
            </w:r>
          </w:p>
          <w:p w14:paraId="62289C49" w14:textId="77777777" w:rsidR="00295C6D" w:rsidRPr="00A5626D" w:rsidRDefault="00295C6D" w:rsidP="00647FA0">
            <w:pPr>
              <w:pStyle w:val="2"/>
              <w:numPr>
                <w:ilvl w:val="0"/>
                <w:numId w:val="0"/>
              </w:numPr>
              <w:tabs>
                <w:tab w:val="left" w:pos="1134"/>
                <w:tab w:val="left" w:pos="7938"/>
              </w:tabs>
              <w:suppressAutoHyphens w:val="0"/>
              <w:spacing w:before="120" w:after="120" w:line="22" w:lineRule="atLeast"/>
              <w:ind w:firstLine="629"/>
              <w:jc w:val="both"/>
              <w:rPr>
                <w:rFonts w:ascii="Garamond" w:hAnsi="Garamond" w:cstheme="minorHAnsi"/>
                <w:b w:val="0"/>
              </w:rPr>
            </w:pPr>
            <w:r w:rsidRPr="00A5626D">
              <w:rPr>
                <w:rFonts w:ascii="Garamond" w:hAnsi="Garamond" w:cstheme="minorHAnsi"/>
                <w:b w:val="0"/>
              </w:rPr>
              <w:t>•</w:t>
            </w:r>
            <w:r w:rsidRPr="00A5626D">
              <w:rPr>
                <w:rFonts w:ascii="Garamond" w:hAnsi="Garamond" w:cstheme="minorHAnsi"/>
                <w:b w:val="0"/>
              </w:rPr>
              <w:tab/>
              <w:t>формирует перечень кодов сечений коммерческого учета и ГТП генерации и передает с использованием ЭП участникам оптового рынка, ФСК и СО указанный перечень не позднее чем за три календарных дня до начала месяца, в течение которого он действует, для передачи вышеуказанными субъектами оптового рынка данных коммерческого учета и оперативных данных, применяющихся в замещающих методах расчета;</w:t>
            </w:r>
          </w:p>
          <w:p w14:paraId="4B0078C2" w14:textId="77777777" w:rsidR="00295C6D" w:rsidRPr="00A5626D" w:rsidRDefault="00295C6D" w:rsidP="00647FA0">
            <w:pPr>
              <w:pStyle w:val="2"/>
              <w:numPr>
                <w:ilvl w:val="0"/>
                <w:numId w:val="0"/>
              </w:numPr>
              <w:tabs>
                <w:tab w:val="left" w:pos="1134"/>
                <w:tab w:val="left" w:pos="7938"/>
              </w:tabs>
              <w:suppressAutoHyphens w:val="0"/>
              <w:spacing w:before="120" w:after="120" w:line="22" w:lineRule="atLeast"/>
              <w:ind w:firstLine="629"/>
              <w:jc w:val="both"/>
              <w:rPr>
                <w:rFonts w:ascii="Garamond" w:hAnsi="Garamond" w:cstheme="minorHAnsi"/>
                <w:b w:val="0"/>
              </w:rPr>
            </w:pPr>
            <w:r w:rsidRPr="00A5626D">
              <w:rPr>
                <w:rFonts w:ascii="Garamond" w:hAnsi="Garamond" w:cstheme="minorHAnsi"/>
                <w:b w:val="0"/>
              </w:rPr>
              <w:t>•</w:t>
            </w:r>
            <w:r w:rsidRPr="00A5626D">
              <w:rPr>
                <w:rFonts w:ascii="Garamond" w:hAnsi="Garamond" w:cstheme="minorHAnsi"/>
                <w:b w:val="0"/>
              </w:rPr>
              <w:tab/>
              <w:t>принимает результаты измерений (данные коммерческого учета электрической энергии) в электронном виде в макетах 80020</w:t>
            </w:r>
            <w:r w:rsidRPr="00A5626D">
              <w:rPr>
                <w:rFonts w:ascii="Garamond" w:hAnsi="Garamond" w:cstheme="minorHAnsi"/>
                <w:b w:val="0"/>
                <w:highlight w:val="yellow"/>
              </w:rPr>
              <w:t>/</w:t>
            </w:r>
            <w:r w:rsidRPr="00A5626D">
              <w:rPr>
                <w:rFonts w:ascii="Garamond" w:hAnsi="Garamond" w:cstheme="minorHAnsi"/>
                <w:b w:val="0"/>
              </w:rPr>
              <w:t>80040</w:t>
            </w:r>
            <w:r w:rsidRPr="00A5626D">
              <w:rPr>
                <w:rFonts w:ascii="Garamond" w:hAnsi="Garamond" w:cstheme="minorHAnsi"/>
                <w:b w:val="0"/>
                <w:highlight w:val="yellow"/>
              </w:rPr>
              <w:t>/20020</w:t>
            </w:r>
            <w:r w:rsidRPr="00A5626D">
              <w:rPr>
                <w:rFonts w:ascii="Garamond" w:hAnsi="Garamond" w:cstheme="minorHAnsi"/>
                <w:b w:val="0"/>
              </w:rPr>
              <w:t xml:space="preserve"> в порядке и сроки, определенные Приложением № 11.1.1 к </w:t>
            </w:r>
            <w:r w:rsidRPr="00A5626D">
              <w:rPr>
                <w:rFonts w:ascii="Garamond" w:hAnsi="Garamond" w:cstheme="minorHAnsi"/>
                <w:b w:val="0"/>
                <w:i/>
              </w:rPr>
              <w:t>Положению о порядке получения статуса субъекта оптового рынка и ведения реестра субъектов оптового рынка</w:t>
            </w:r>
            <w:r w:rsidRPr="00A5626D">
              <w:rPr>
                <w:rFonts w:ascii="Garamond" w:hAnsi="Garamond" w:cstheme="minorHAnsi"/>
                <w:b w:val="0"/>
              </w:rPr>
              <w:t xml:space="preserve"> (Приложение № 1.1 к </w:t>
            </w:r>
            <w:r w:rsidRPr="00A5626D">
              <w:rPr>
                <w:rFonts w:ascii="Garamond" w:hAnsi="Garamond" w:cstheme="minorHAnsi"/>
                <w:b w:val="0"/>
                <w:i/>
              </w:rPr>
              <w:t>Договору о присоединении к торговой системе оптового рынка</w:t>
            </w:r>
            <w:r w:rsidRPr="00A5626D">
              <w:rPr>
                <w:rFonts w:ascii="Garamond" w:hAnsi="Garamond" w:cstheme="minorHAnsi"/>
                <w:b w:val="0"/>
              </w:rPr>
              <w:t>);</w:t>
            </w:r>
          </w:p>
          <w:p w14:paraId="6C2574F4" w14:textId="77777777" w:rsidR="00295C6D" w:rsidRPr="00A5626D" w:rsidRDefault="00295C6D" w:rsidP="00647FA0">
            <w:pPr>
              <w:pStyle w:val="2"/>
              <w:numPr>
                <w:ilvl w:val="0"/>
                <w:numId w:val="0"/>
              </w:numPr>
              <w:tabs>
                <w:tab w:val="left" w:pos="1134"/>
                <w:tab w:val="left" w:pos="7938"/>
              </w:tabs>
              <w:suppressAutoHyphens w:val="0"/>
              <w:spacing w:before="120" w:after="120" w:line="22" w:lineRule="atLeast"/>
              <w:ind w:firstLine="629"/>
              <w:jc w:val="both"/>
              <w:rPr>
                <w:rFonts w:ascii="Garamond" w:hAnsi="Garamond" w:cstheme="minorHAnsi"/>
                <w:b w:val="0"/>
              </w:rPr>
            </w:pPr>
            <w:r w:rsidRPr="00A5626D">
              <w:rPr>
                <w:rFonts w:ascii="Garamond" w:hAnsi="Garamond" w:cstheme="minorHAnsi"/>
                <w:b w:val="0"/>
              </w:rPr>
              <w:t>•</w:t>
            </w:r>
            <w:r w:rsidRPr="00A5626D">
              <w:rPr>
                <w:rFonts w:ascii="Garamond" w:hAnsi="Garamond" w:cstheme="minorHAnsi"/>
                <w:b w:val="0"/>
              </w:rPr>
              <w:tab/>
              <w:t>размещает на официальном сайте КО в разделе «Данные АИИС» результаты измерений, направленные в соответствии с Приложение</w:t>
            </w:r>
            <w:r w:rsidRPr="00A5626D">
              <w:rPr>
                <w:rFonts w:ascii="Garamond" w:hAnsi="Garamond" w:cstheme="minorHAnsi"/>
                <w:b w:val="0"/>
                <w:highlight w:val="yellow"/>
              </w:rPr>
              <w:t>м</w:t>
            </w:r>
            <w:r w:rsidRPr="00A5626D">
              <w:rPr>
                <w:rFonts w:ascii="Garamond" w:hAnsi="Garamond" w:cstheme="minorHAnsi"/>
                <w:b w:val="0"/>
              </w:rPr>
              <w:t xml:space="preserve"> № 11.1.1 к </w:t>
            </w:r>
            <w:r w:rsidRPr="00A5626D">
              <w:rPr>
                <w:rFonts w:ascii="Garamond" w:hAnsi="Garamond" w:cstheme="minorHAnsi"/>
                <w:b w:val="0"/>
                <w:i/>
              </w:rPr>
              <w:t>Положению о порядке получения статуса субъекта оптового рынка и ведения реестра субъектов оптового рынка</w:t>
            </w:r>
            <w:r w:rsidRPr="00A5626D">
              <w:rPr>
                <w:rFonts w:ascii="Garamond" w:hAnsi="Garamond" w:cstheme="minorHAnsi"/>
                <w:b w:val="0"/>
              </w:rPr>
              <w:t xml:space="preserve"> (Приложение № 1.1 к </w:t>
            </w:r>
            <w:r w:rsidRPr="00A5626D">
              <w:rPr>
                <w:rFonts w:ascii="Garamond" w:hAnsi="Garamond" w:cstheme="minorHAnsi"/>
                <w:b w:val="0"/>
                <w:i/>
              </w:rPr>
              <w:t>Договору о присоединении к торговой системе оптового рынка</w:t>
            </w:r>
            <w:r w:rsidRPr="00A5626D">
              <w:rPr>
                <w:rFonts w:ascii="Garamond" w:hAnsi="Garamond" w:cstheme="minorHAnsi"/>
                <w:b w:val="0"/>
              </w:rPr>
              <w:t xml:space="preserve">), в том числе </w:t>
            </w:r>
            <w:r w:rsidRPr="00A5626D">
              <w:rPr>
                <w:rFonts w:ascii="Garamond" w:hAnsi="Garamond" w:cstheme="minorHAnsi"/>
                <w:b w:val="0"/>
              </w:rPr>
              <w:lastRenderedPageBreak/>
              <w:t xml:space="preserve">направленные смежным субъектом оптового рынка </w:t>
            </w:r>
            <w:r w:rsidRPr="00A5626D">
              <w:rPr>
                <w:rFonts w:ascii="Garamond" w:hAnsi="Garamond" w:cstheme="minorHAnsi"/>
                <w:b w:val="0"/>
                <w:highlight w:val="yellow"/>
              </w:rPr>
              <w:t>и агрегатором</w:t>
            </w:r>
            <w:r w:rsidRPr="00A5626D">
              <w:rPr>
                <w:rFonts w:ascii="Garamond" w:hAnsi="Garamond" w:cstheme="minorHAnsi"/>
                <w:b w:val="0"/>
              </w:rPr>
              <w:t>;</w:t>
            </w:r>
          </w:p>
          <w:p w14:paraId="7404A39B" w14:textId="77777777" w:rsidR="00295C6D" w:rsidRPr="00A5626D" w:rsidRDefault="00295C6D" w:rsidP="00647FA0">
            <w:pPr>
              <w:pStyle w:val="2"/>
              <w:numPr>
                <w:ilvl w:val="0"/>
                <w:numId w:val="0"/>
              </w:numPr>
              <w:tabs>
                <w:tab w:val="left" w:pos="1134"/>
                <w:tab w:val="left" w:pos="7938"/>
              </w:tabs>
              <w:suppressAutoHyphens w:val="0"/>
              <w:spacing w:before="120" w:after="120" w:line="22" w:lineRule="atLeast"/>
              <w:ind w:firstLine="629"/>
              <w:jc w:val="both"/>
              <w:rPr>
                <w:rFonts w:ascii="Garamond" w:hAnsi="Garamond" w:cstheme="minorHAnsi"/>
                <w:b w:val="0"/>
              </w:rPr>
            </w:pPr>
            <w:r w:rsidRPr="00A5626D">
              <w:rPr>
                <w:rFonts w:ascii="Garamond" w:hAnsi="Garamond" w:cstheme="minorHAnsi"/>
                <w:b w:val="0"/>
              </w:rPr>
              <w:t>•</w:t>
            </w:r>
            <w:r w:rsidRPr="00A5626D">
              <w:rPr>
                <w:rFonts w:ascii="Garamond" w:hAnsi="Garamond" w:cstheme="minorHAnsi"/>
                <w:b w:val="0"/>
              </w:rPr>
              <w:tab/>
              <w:t xml:space="preserve">размещает на официальном сайте КО в разделе «Данные АИИС» на персональных страницах участников оптового рынка (ФСК) значения учетных показателей по ГТП генерации и сечениям коммерческого учета (кроме временных сечений, внутренних сечений и сечений коммерческого учета, входящих в сечение экспорта-импорта), рассчитанные на основании результатов измерений, направленных в соответствии с Приложением № 11.1.1 к </w:t>
            </w:r>
            <w:r w:rsidRPr="00A5626D">
              <w:rPr>
                <w:rFonts w:ascii="Garamond" w:hAnsi="Garamond" w:cstheme="minorHAnsi"/>
                <w:b w:val="0"/>
                <w:i/>
              </w:rPr>
              <w:t>Положению о порядке получения статуса субъекта оптового рынка и ведения реестра субъектов оптового рынка</w:t>
            </w:r>
            <w:r w:rsidRPr="00A5626D">
              <w:rPr>
                <w:rFonts w:ascii="Garamond" w:hAnsi="Garamond" w:cstheme="minorHAnsi"/>
                <w:b w:val="0"/>
              </w:rPr>
              <w:t xml:space="preserve"> (Приложение № 1.1 к </w:t>
            </w:r>
            <w:r w:rsidRPr="00A5626D">
              <w:rPr>
                <w:rFonts w:ascii="Garamond" w:hAnsi="Garamond" w:cstheme="minorHAnsi"/>
                <w:b w:val="0"/>
                <w:i/>
              </w:rPr>
              <w:t>Договору о присоединении к торговой системе оптового рынка</w:t>
            </w:r>
            <w:r w:rsidRPr="00A5626D">
              <w:rPr>
                <w:rFonts w:ascii="Garamond" w:hAnsi="Garamond" w:cstheme="minorHAnsi"/>
                <w:b w:val="0"/>
              </w:rPr>
              <w:t xml:space="preserve">), и алгоритма, указанного в действующем ПСИ, сформированном в макете 60000 (60090), для последующего формирования в соответствии с </w:t>
            </w:r>
            <w:r w:rsidRPr="00A5626D">
              <w:rPr>
                <w:rFonts w:ascii="Garamond" w:hAnsi="Garamond" w:cstheme="minorHAnsi"/>
                <w:b w:val="0"/>
                <w:highlight w:val="yellow"/>
              </w:rPr>
              <w:t>разделом 7</w:t>
            </w:r>
            <w:r w:rsidRPr="00A5626D">
              <w:rPr>
                <w:rFonts w:ascii="Garamond" w:hAnsi="Garamond" w:cstheme="minorHAnsi"/>
                <w:b w:val="0"/>
              </w:rPr>
              <w:t xml:space="preserve"> настоящего Регламента акта учета (оборота) по ГТП генерации, акта учета перетоков по сечению коммерческого учета (макеты 51020) по итогам расчетного периода;</w:t>
            </w:r>
          </w:p>
          <w:p w14:paraId="710571F5" w14:textId="77777777" w:rsidR="00295C6D" w:rsidRPr="00A5626D" w:rsidRDefault="00295C6D" w:rsidP="00647FA0">
            <w:pPr>
              <w:pStyle w:val="2"/>
              <w:numPr>
                <w:ilvl w:val="0"/>
                <w:numId w:val="0"/>
              </w:numPr>
              <w:tabs>
                <w:tab w:val="left" w:pos="1134"/>
                <w:tab w:val="left" w:pos="7938"/>
              </w:tabs>
              <w:suppressAutoHyphens w:val="0"/>
              <w:spacing w:before="120" w:after="120" w:line="22" w:lineRule="atLeast"/>
              <w:ind w:firstLine="629"/>
              <w:jc w:val="both"/>
              <w:rPr>
                <w:rFonts w:ascii="Garamond" w:hAnsi="Garamond" w:cstheme="minorHAnsi"/>
                <w:b w:val="0"/>
              </w:rPr>
            </w:pPr>
            <w:r w:rsidRPr="00A5626D">
              <w:rPr>
                <w:rFonts w:ascii="Garamond" w:hAnsi="Garamond" w:cstheme="minorHAnsi"/>
                <w:b w:val="0"/>
              </w:rPr>
              <w:t>•</w:t>
            </w:r>
            <w:r w:rsidRPr="00A5626D">
              <w:rPr>
                <w:rFonts w:ascii="Garamond" w:hAnsi="Garamond" w:cstheme="minorHAnsi"/>
                <w:b w:val="0"/>
              </w:rPr>
              <w:tab/>
              <w:t xml:space="preserve">размещает на официальном сайте КО в разделе «Данные АИИС» на персональных страницах участников оптового рынка, в ГТП потребления которых входят внутренние сечения, значения учетных показателей по внутреннему сечению, рассчитанные на основании результатов измерений, направленных в соответствии с Приложением № 11.1.1 к </w:t>
            </w:r>
            <w:r w:rsidRPr="00A5626D">
              <w:rPr>
                <w:rFonts w:ascii="Garamond" w:hAnsi="Garamond" w:cstheme="minorHAnsi"/>
                <w:b w:val="0"/>
                <w:i/>
              </w:rPr>
              <w:t>Положению о порядке получения статуса субъекта оптового рынка и ведения реестра субъектов оптового рынка</w:t>
            </w:r>
            <w:r w:rsidRPr="00A5626D">
              <w:rPr>
                <w:rFonts w:ascii="Garamond" w:hAnsi="Garamond" w:cstheme="minorHAnsi"/>
                <w:b w:val="0"/>
              </w:rPr>
              <w:t xml:space="preserve"> (Приложение № 1.1 к </w:t>
            </w:r>
            <w:r w:rsidRPr="00A5626D">
              <w:rPr>
                <w:rFonts w:ascii="Garamond" w:hAnsi="Garamond" w:cstheme="minorHAnsi"/>
                <w:b w:val="0"/>
                <w:i/>
              </w:rPr>
              <w:t>Договору о присоединении к торговой системе оптового рынка</w:t>
            </w:r>
            <w:r w:rsidRPr="00A5626D">
              <w:rPr>
                <w:rFonts w:ascii="Garamond" w:hAnsi="Garamond" w:cstheme="minorHAnsi"/>
                <w:b w:val="0"/>
              </w:rPr>
              <w:t xml:space="preserve">), и алгоритма, указанного в действующем ПСИ, сформированном в макете 60000, для последующего формирования в соответствии с </w:t>
            </w:r>
            <w:r w:rsidRPr="00A5626D">
              <w:rPr>
                <w:rFonts w:ascii="Garamond" w:hAnsi="Garamond" w:cstheme="minorHAnsi"/>
                <w:b w:val="0"/>
                <w:highlight w:val="yellow"/>
              </w:rPr>
              <w:t>разделом 7</w:t>
            </w:r>
            <w:r w:rsidRPr="00A5626D">
              <w:rPr>
                <w:rFonts w:ascii="Garamond" w:hAnsi="Garamond" w:cstheme="minorHAnsi"/>
                <w:b w:val="0"/>
              </w:rPr>
              <w:t xml:space="preserve"> настоящего Регламента акта учета перетоков по внутреннему сечению (макет 51020) по итогам расчетного периода;</w:t>
            </w:r>
          </w:p>
          <w:p w14:paraId="78F1BF8F" w14:textId="77777777" w:rsidR="00295C6D" w:rsidRPr="00A5626D" w:rsidRDefault="00295C6D" w:rsidP="00647FA0">
            <w:pPr>
              <w:pStyle w:val="2"/>
              <w:numPr>
                <w:ilvl w:val="0"/>
                <w:numId w:val="0"/>
              </w:numPr>
              <w:tabs>
                <w:tab w:val="left" w:pos="1134"/>
                <w:tab w:val="left" w:pos="7938"/>
              </w:tabs>
              <w:suppressAutoHyphens w:val="0"/>
              <w:spacing w:before="120" w:after="120" w:line="22" w:lineRule="atLeast"/>
              <w:ind w:firstLine="629"/>
              <w:jc w:val="both"/>
              <w:rPr>
                <w:rFonts w:ascii="Garamond" w:hAnsi="Garamond" w:cstheme="minorHAnsi"/>
                <w:b w:val="0"/>
              </w:rPr>
            </w:pPr>
            <w:r w:rsidRPr="00A5626D">
              <w:rPr>
                <w:rFonts w:ascii="Garamond" w:hAnsi="Garamond" w:cstheme="minorHAnsi"/>
                <w:b w:val="0"/>
              </w:rPr>
              <w:t>•</w:t>
            </w:r>
            <w:r w:rsidRPr="00A5626D">
              <w:rPr>
                <w:rFonts w:ascii="Garamond" w:hAnsi="Garamond" w:cstheme="minorHAnsi"/>
                <w:b w:val="0"/>
              </w:rPr>
              <w:tab/>
              <w:t xml:space="preserve">принимает и обрабатывает данные о величинах сальдо перетоков в отношении сечений </w:t>
            </w:r>
            <w:r w:rsidRPr="00A5626D">
              <w:rPr>
                <w:rFonts w:ascii="Garamond" w:hAnsi="Garamond" w:cstheme="minorHAnsi"/>
                <w:b w:val="0"/>
                <w:highlight w:val="yellow"/>
              </w:rPr>
              <w:t>коммерческого учета</w:t>
            </w:r>
            <w:r w:rsidRPr="00A5626D">
              <w:rPr>
                <w:rFonts w:ascii="Garamond" w:hAnsi="Garamond" w:cstheme="minorHAnsi"/>
                <w:b w:val="0"/>
              </w:rPr>
              <w:t xml:space="preserve"> между участниками оптового рынка и ФСК, указываемые в интегральных актах учета перетоков (макет 50080);</w:t>
            </w:r>
          </w:p>
          <w:p w14:paraId="6D4EBF04" w14:textId="77777777" w:rsidR="00295C6D" w:rsidRPr="00A5626D" w:rsidRDefault="00295C6D" w:rsidP="00647FA0">
            <w:pPr>
              <w:pStyle w:val="2"/>
              <w:numPr>
                <w:ilvl w:val="0"/>
                <w:numId w:val="0"/>
              </w:numPr>
              <w:tabs>
                <w:tab w:val="left" w:pos="1134"/>
                <w:tab w:val="left" w:pos="7938"/>
              </w:tabs>
              <w:suppressAutoHyphens w:val="0"/>
              <w:spacing w:before="120" w:after="120" w:line="22" w:lineRule="atLeast"/>
              <w:ind w:firstLine="629"/>
              <w:jc w:val="both"/>
              <w:rPr>
                <w:rFonts w:ascii="Garamond" w:hAnsi="Garamond" w:cstheme="minorHAnsi"/>
                <w:b w:val="0"/>
              </w:rPr>
            </w:pPr>
            <w:r w:rsidRPr="00A5626D">
              <w:rPr>
                <w:rFonts w:ascii="Garamond" w:hAnsi="Garamond" w:cstheme="minorHAnsi"/>
                <w:b w:val="0"/>
              </w:rPr>
              <w:t>•</w:t>
            </w:r>
            <w:r w:rsidRPr="00A5626D">
              <w:rPr>
                <w:rFonts w:ascii="Garamond" w:hAnsi="Garamond" w:cstheme="minorHAnsi"/>
                <w:b w:val="0"/>
              </w:rPr>
              <w:tab/>
              <w:t xml:space="preserve">принимает и обрабатывает корректирующие акты учета (оборота) по ГТП генерации, корректирующие акты учета перетоков по сечению коммерческого учета (по внутренним сечениям – в случаях, предусмотренных </w:t>
            </w:r>
            <w:r w:rsidRPr="00A5626D">
              <w:rPr>
                <w:rFonts w:ascii="Garamond" w:hAnsi="Garamond" w:cstheme="minorHAnsi"/>
                <w:b w:val="0"/>
                <w:highlight w:val="yellow"/>
              </w:rPr>
              <w:t>п. 5.4</w:t>
            </w:r>
            <w:r w:rsidRPr="00A5626D">
              <w:rPr>
                <w:rFonts w:ascii="Garamond" w:hAnsi="Garamond" w:cstheme="minorHAnsi"/>
                <w:b w:val="0"/>
              </w:rPr>
              <w:t xml:space="preserve"> настоящего Регламента) (макеты 51075) и размещает их на официальном сайте КО в разделе «Данные АИИС» на персональных страницах участников оптового рынка (ФСК);</w:t>
            </w:r>
          </w:p>
          <w:p w14:paraId="0102F637" w14:textId="77777777" w:rsidR="00295C6D" w:rsidRPr="00A5626D" w:rsidRDefault="00295C6D" w:rsidP="00647FA0">
            <w:pPr>
              <w:pStyle w:val="2"/>
              <w:numPr>
                <w:ilvl w:val="0"/>
                <w:numId w:val="0"/>
              </w:numPr>
              <w:tabs>
                <w:tab w:val="left" w:pos="1134"/>
                <w:tab w:val="left" w:pos="7938"/>
              </w:tabs>
              <w:suppressAutoHyphens w:val="0"/>
              <w:spacing w:before="120" w:after="120" w:line="22" w:lineRule="atLeast"/>
              <w:ind w:firstLine="629"/>
              <w:jc w:val="both"/>
              <w:rPr>
                <w:rFonts w:ascii="Garamond" w:hAnsi="Garamond" w:cstheme="minorHAnsi"/>
                <w:b w:val="0"/>
              </w:rPr>
            </w:pPr>
            <w:r w:rsidRPr="00A5626D">
              <w:rPr>
                <w:rFonts w:ascii="Garamond" w:hAnsi="Garamond" w:cstheme="minorHAnsi"/>
                <w:b w:val="0"/>
              </w:rPr>
              <w:lastRenderedPageBreak/>
              <w:t>•</w:t>
            </w:r>
            <w:r w:rsidRPr="00A5626D">
              <w:rPr>
                <w:rFonts w:ascii="Garamond" w:hAnsi="Garamond" w:cstheme="minorHAnsi"/>
                <w:b w:val="0"/>
              </w:rPr>
              <w:tab/>
              <w:t>принимает от СО оперативные данные, используемые при применении замещающих методов расчета в отношении ГТП генерации, сечений коммерческого учета и ГТП потребления;</w:t>
            </w:r>
          </w:p>
          <w:p w14:paraId="69AC55E6" w14:textId="6A072593" w:rsidR="00295C6D" w:rsidRPr="00A5626D" w:rsidRDefault="00295C6D" w:rsidP="00647FA0">
            <w:pPr>
              <w:pStyle w:val="2"/>
              <w:numPr>
                <w:ilvl w:val="0"/>
                <w:numId w:val="0"/>
              </w:numPr>
              <w:tabs>
                <w:tab w:val="left" w:pos="1134"/>
                <w:tab w:val="left" w:pos="7938"/>
              </w:tabs>
              <w:suppressAutoHyphens w:val="0"/>
              <w:spacing w:before="120" w:after="120" w:line="22" w:lineRule="atLeast"/>
              <w:ind w:firstLine="629"/>
              <w:jc w:val="both"/>
              <w:rPr>
                <w:rFonts w:ascii="Garamond" w:hAnsi="Garamond"/>
                <w:b w:val="0"/>
              </w:rPr>
            </w:pPr>
            <w:r w:rsidRPr="00A5626D">
              <w:rPr>
                <w:rFonts w:ascii="Garamond" w:hAnsi="Garamond" w:cstheme="minorHAnsi"/>
                <w:b w:val="0"/>
              </w:rPr>
              <w:t>•</w:t>
            </w:r>
            <w:r w:rsidRPr="00A5626D">
              <w:rPr>
                <w:rFonts w:ascii="Garamond" w:hAnsi="Garamond" w:cstheme="minorHAnsi"/>
                <w:b w:val="0"/>
              </w:rPr>
              <w:tab/>
            </w:r>
            <w:r w:rsidRPr="00A5626D">
              <w:rPr>
                <w:rFonts w:ascii="Garamond" w:hAnsi="Garamond" w:cstheme="minorHAnsi"/>
                <w:b w:val="0"/>
                <w:highlight w:val="yellow"/>
              </w:rPr>
              <w:t>принимает от агрегаторов и обрабатывает акты учета (оборота) по объекту регулирования (макеты 21070), а также размещает</w:t>
            </w:r>
            <w:r w:rsidR="00E6095F">
              <w:rPr>
                <w:rFonts w:ascii="Garamond" w:hAnsi="Garamond" w:cstheme="minorHAnsi"/>
                <w:b w:val="0"/>
                <w:highlight w:val="yellow"/>
              </w:rPr>
              <w:t xml:space="preserve"> их</w:t>
            </w:r>
            <w:r w:rsidRPr="00A5626D">
              <w:rPr>
                <w:rFonts w:ascii="Garamond" w:hAnsi="Garamond" w:cstheme="minorHAnsi"/>
                <w:b w:val="0"/>
                <w:highlight w:val="yellow"/>
              </w:rPr>
              <w:t xml:space="preserve"> на официальном сайте КО в разделе «Данные АИИС» на персональных страницах агрегаторов;</w:t>
            </w:r>
          </w:p>
          <w:p w14:paraId="1368420F" w14:textId="77777777" w:rsidR="00295C6D" w:rsidRPr="00A5626D" w:rsidRDefault="00295C6D" w:rsidP="00647FA0">
            <w:pPr>
              <w:pStyle w:val="2"/>
              <w:numPr>
                <w:ilvl w:val="0"/>
                <w:numId w:val="0"/>
              </w:numPr>
              <w:tabs>
                <w:tab w:val="left" w:pos="1134"/>
                <w:tab w:val="left" w:pos="7938"/>
              </w:tabs>
              <w:suppressAutoHyphens w:val="0"/>
              <w:spacing w:before="120" w:after="120" w:line="22" w:lineRule="atLeast"/>
              <w:ind w:firstLine="629"/>
              <w:jc w:val="both"/>
              <w:rPr>
                <w:rFonts w:ascii="Garamond" w:hAnsi="Garamond" w:cstheme="minorHAnsi"/>
                <w:b w:val="0"/>
              </w:rPr>
            </w:pPr>
            <w:r w:rsidRPr="00A5626D">
              <w:rPr>
                <w:rFonts w:ascii="Garamond" w:hAnsi="Garamond" w:cstheme="minorHAnsi"/>
                <w:b w:val="0"/>
              </w:rPr>
              <w:t>•</w:t>
            </w:r>
            <w:r w:rsidRPr="00A5626D">
              <w:rPr>
                <w:rFonts w:ascii="Garamond" w:hAnsi="Garamond" w:cstheme="minorHAnsi"/>
                <w:b w:val="0"/>
              </w:rPr>
              <w:tab/>
              <w:t>размещает на официальном сайте КО в разделе «Данные АИИС» на персональных страницах участников оптового рынка (ФСК) итоговые данные коммерческого учета, принятые к расчетам за соответствующий отчетный период, а также сведения о прекращении действия Акта о соответствии АИИС КУЭ техническим требованиям оптового рынка и (или) об обязанности предоставления актуализированного ПСИ в случаях, предусмотренных п. 7.6 настоящего Регламента;</w:t>
            </w:r>
          </w:p>
          <w:p w14:paraId="21BAEECD" w14:textId="2C4D74A1" w:rsidR="00295C6D" w:rsidRPr="00A5626D" w:rsidRDefault="00295C6D" w:rsidP="00647FA0">
            <w:pPr>
              <w:pStyle w:val="2"/>
              <w:numPr>
                <w:ilvl w:val="0"/>
                <w:numId w:val="0"/>
              </w:numPr>
              <w:tabs>
                <w:tab w:val="left" w:pos="1134"/>
                <w:tab w:val="left" w:pos="7938"/>
              </w:tabs>
              <w:suppressAutoHyphens w:val="0"/>
              <w:spacing w:before="120" w:after="120" w:line="22" w:lineRule="atLeast"/>
              <w:ind w:firstLine="629"/>
              <w:jc w:val="both"/>
              <w:rPr>
                <w:rFonts w:ascii="Garamond" w:hAnsi="Garamond" w:cstheme="minorHAnsi"/>
                <w:b w:val="0"/>
              </w:rPr>
            </w:pPr>
            <w:r w:rsidRPr="00A5626D">
              <w:rPr>
                <w:rFonts w:ascii="Garamond" w:hAnsi="Garamond" w:cstheme="minorHAnsi"/>
                <w:b w:val="0"/>
                <w:highlight w:val="yellow"/>
              </w:rPr>
              <w:t>•</w:t>
            </w:r>
            <w:r w:rsidRPr="00A5626D">
              <w:rPr>
                <w:rFonts w:ascii="Garamond" w:hAnsi="Garamond" w:cstheme="minorHAnsi"/>
                <w:b w:val="0"/>
                <w:highlight w:val="yellow"/>
              </w:rPr>
              <w:tab/>
              <w:t xml:space="preserve">размещает на официальном сайте КО в разделе «Данные АИИС» на персональных страницах агрегаторов итоговые данные коммерческого учета, направленные в СО для последующего определения объема оказанных услуг по управлению изменением режима потребления электроэнергии за соответствующий отчетный период, а также дату окончания срока, в отношении которого со стороны агрегатора подтверждено соответствие систем учета электроэнергии техническим требованиям ОРЭМ в соответствии с </w:t>
            </w:r>
            <w:r w:rsidRPr="00A5626D">
              <w:rPr>
                <w:rFonts w:ascii="Garamond" w:hAnsi="Garamond" w:cstheme="minorHAnsi"/>
                <w:b w:val="0"/>
                <w:i/>
                <w:highlight w:val="yellow"/>
              </w:rPr>
              <w:t>Положением о порядке</w:t>
            </w:r>
            <w:r w:rsidR="009B5F03" w:rsidRPr="00A5626D">
              <w:rPr>
                <w:rFonts w:ascii="Garamond" w:hAnsi="Garamond" w:cstheme="minorHAnsi"/>
                <w:b w:val="0"/>
                <w:i/>
                <w:highlight w:val="yellow"/>
              </w:rPr>
              <w:t xml:space="preserve"> </w:t>
            </w:r>
            <w:r w:rsidRPr="00A5626D">
              <w:rPr>
                <w:rFonts w:ascii="Garamond" w:hAnsi="Garamond" w:cstheme="minorHAnsi"/>
                <w:b w:val="0"/>
                <w:i/>
                <w:highlight w:val="yellow"/>
              </w:rPr>
              <w:t>получения статуса субъекта оптового рынка и ведения реестра субъектов оптового рынка</w:t>
            </w:r>
            <w:r w:rsidRPr="00A5626D">
              <w:rPr>
                <w:rFonts w:ascii="Garamond" w:hAnsi="Garamond" w:cstheme="minorHAnsi"/>
                <w:b w:val="0"/>
                <w:highlight w:val="yellow"/>
              </w:rPr>
              <w:t xml:space="preserve"> (Приложение № 1.1 к </w:t>
            </w:r>
            <w:r w:rsidRPr="00A5626D">
              <w:rPr>
                <w:rFonts w:ascii="Garamond" w:hAnsi="Garamond" w:cstheme="minorHAnsi"/>
                <w:b w:val="0"/>
                <w:i/>
                <w:highlight w:val="yellow"/>
              </w:rPr>
              <w:t>Договору о присоединении к торговой системе оптового рынка</w:t>
            </w:r>
            <w:r w:rsidRPr="00A5626D">
              <w:rPr>
                <w:rFonts w:ascii="Garamond" w:hAnsi="Garamond" w:cstheme="minorHAnsi"/>
                <w:b w:val="0"/>
                <w:highlight w:val="yellow"/>
              </w:rPr>
              <w:t>)</w:t>
            </w:r>
            <w:r w:rsidR="00441408" w:rsidRPr="00A5626D">
              <w:rPr>
                <w:rFonts w:ascii="Garamond" w:hAnsi="Garamond" w:cstheme="minorHAnsi"/>
                <w:b w:val="0"/>
                <w:highlight w:val="yellow"/>
              </w:rPr>
              <w:t>.</w:t>
            </w:r>
          </w:p>
          <w:p w14:paraId="1B67EE8A" w14:textId="77777777" w:rsidR="00295C6D" w:rsidRPr="00A5626D" w:rsidRDefault="00295C6D" w:rsidP="00647FA0">
            <w:pPr>
              <w:pStyle w:val="2"/>
              <w:numPr>
                <w:ilvl w:val="0"/>
                <w:numId w:val="0"/>
              </w:numPr>
              <w:tabs>
                <w:tab w:val="left" w:pos="1134"/>
                <w:tab w:val="left" w:pos="7938"/>
              </w:tabs>
              <w:suppressAutoHyphens w:val="0"/>
              <w:spacing w:before="120" w:after="120" w:line="22" w:lineRule="atLeast"/>
              <w:ind w:firstLine="629"/>
              <w:jc w:val="both"/>
              <w:rPr>
                <w:rFonts w:ascii="Garamond" w:hAnsi="Garamond" w:cstheme="minorHAnsi"/>
                <w:b w:val="0"/>
              </w:rPr>
            </w:pPr>
            <w:r w:rsidRPr="00A5626D">
              <w:rPr>
                <w:rFonts w:ascii="Garamond" w:hAnsi="Garamond" w:cstheme="minorHAnsi"/>
                <w:b w:val="0"/>
              </w:rPr>
              <w:t>4.3. СО:</w:t>
            </w:r>
          </w:p>
          <w:p w14:paraId="7D36E338" w14:textId="77777777" w:rsidR="00295C6D" w:rsidRPr="00A5626D" w:rsidRDefault="00295C6D" w:rsidP="00647FA0">
            <w:pPr>
              <w:pStyle w:val="2"/>
              <w:numPr>
                <w:ilvl w:val="0"/>
                <w:numId w:val="0"/>
              </w:numPr>
              <w:tabs>
                <w:tab w:val="left" w:pos="1134"/>
                <w:tab w:val="left" w:pos="7938"/>
              </w:tabs>
              <w:suppressAutoHyphens w:val="0"/>
              <w:spacing w:before="120" w:after="120" w:line="22" w:lineRule="atLeast"/>
              <w:ind w:firstLine="629"/>
              <w:jc w:val="both"/>
              <w:rPr>
                <w:rFonts w:ascii="Garamond" w:hAnsi="Garamond" w:cstheme="minorHAnsi"/>
                <w:b w:val="0"/>
              </w:rPr>
            </w:pPr>
            <w:r w:rsidRPr="00A5626D">
              <w:rPr>
                <w:rFonts w:ascii="Garamond" w:hAnsi="Garamond" w:cstheme="minorHAnsi"/>
                <w:b w:val="0"/>
              </w:rPr>
              <w:t>•</w:t>
            </w:r>
            <w:r w:rsidRPr="00A5626D">
              <w:rPr>
                <w:rFonts w:ascii="Garamond" w:hAnsi="Garamond" w:cstheme="minorHAnsi"/>
                <w:b w:val="0"/>
              </w:rPr>
              <w:tab/>
              <w:t>согласует представленные ФСК ПСИ в части способов формирования оперативной информации по точкам учета в сечениях коммерческого учета, входящих в сечения экспорта-импорта, и точкам учета в сечениях между ценовыми, а также между ценовыми и неценовыми зонами оптового рынка, за исключением точек поставки, включенных в сечение коммерческого учета между первой и второй ценовыми зонами и расположенных на границе балансовой принадлежности ГТП потребления участников оптового рынка;</w:t>
            </w:r>
          </w:p>
          <w:p w14:paraId="3DB7D94C" w14:textId="77777777" w:rsidR="00295C6D" w:rsidRPr="00A5626D" w:rsidRDefault="00295C6D" w:rsidP="00647FA0">
            <w:pPr>
              <w:pStyle w:val="2"/>
              <w:numPr>
                <w:ilvl w:val="0"/>
                <w:numId w:val="0"/>
              </w:numPr>
              <w:tabs>
                <w:tab w:val="left" w:pos="1134"/>
                <w:tab w:val="left" w:pos="7938"/>
              </w:tabs>
              <w:suppressAutoHyphens w:val="0"/>
              <w:spacing w:before="120" w:after="120" w:line="22" w:lineRule="atLeast"/>
              <w:ind w:firstLine="629"/>
              <w:jc w:val="both"/>
              <w:rPr>
                <w:rFonts w:ascii="Garamond" w:hAnsi="Garamond" w:cstheme="minorHAnsi"/>
                <w:b w:val="0"/>
              </w:rPr>
            </w:pPr>
            <w:r w:rsidRPr="00A5626D">
              <w:rPr>
                <w:rFonts w:ascii="Garamond" w:hAnsi="Garamond" w:cstheme="minorHAnsi"/>
                <w:b w:val="0"/>
              </w:rPr>
              <w:t>•</w:t>
            </w:r>
            <w:r w:rsidRPr="00A5626D">
              <w:rPr>
                <w:rFonts w:ascii="Garamond" w:hAnsi="Garamond" w:cstheme="minorHAnsi"/>
                <w:b w:val="0"/>
              </w:rPr>
              <w:tab/>
              <w:t xml:space="preserve">согласует представленные участниками оптового рынка в </w:t>
            </w:r>
            <w:r w:rsidRPr="00A5626D">
              <w:rPr>
                <w:rFonts w:ascii="Garamond" w:hAnsi="Garamond" w:cstheme="minorHAnsi"/>
                <w:b w:val="0"/>
              </w:rPr>
              <w:lastRenderedPageBreak/>
              <w:t>отношении ГТП генерации ПСИ в части способов формирования оперативной информации;</w:t>
            </w:r>
          </w:p>
          <w:p w14:paraId="51181F7C" w14:textId="77777777" w:rsidR="00295C6D" w:rsidRPr="00A5626D" w:rsidRDefault="00295C6D" w:rsidP="00647FA0">
            <w:pPr>
              <w:pStyle w:val="2"/>
              <w:numPr>
                <w:ilvl w:val="0"/>
                <w:numId w:val="0"/>
              </w:numPr>
              <w:tabs>
                <w:tab w:val="left" w:pos="1134"/>
                <w:tab w:val="left" w:pos="7938"/>
              </w:tabs>
              <w:suppressAutoHyphens w:val="0"/>
              <w:spacing w:before="120" w:after="120" w:line="22" w:lineRule="atLeast"/>
              <w:ind w:firstLine="629"/>
              <w:jc w:val="both"/>
              <w:rPr>
                <w:rFonts w:ascii="Garamond" w:hAnsi="Garamond" w:cstheme="minorHAnsi"/>
                <w:b w:val="0"/>
              </w:rPr>
            </w:pPr>
            <w:r w:rsidRPr="00A5626D">
              <w:rPr>
                <w:rFonts w:ascii="Garamond" w:hAnsi="Garamond" w:cstheme="minorHAnsi"/>
                <w:b w:val="0"/>
              </w:rPr>
              <w:t>•</w:t>
            </w:r>
            <w:r w:rsidRPr="00A5626D">
              <w:rPr>
                <w:rFonts w:ascii="Garamond" w:hAnsi="Garamond" w:cstheme="minorHAnsi"/>
                <w:b w:val="0"/>
              </w:rPr>
              <w:tab/>
              <w:t>определяет источники оперативных данных, используемые для формирования суммарной величины потребления по территориям субъектов РФ, в том числе на основании нормальных схем электрических соединений объектов электроэнергетики, данных, представленных в ПСИ субъектов оптового рынка, направляемых КО в СО в рамках cоглашения о взаимодействии между СО и КО;</w:t>
            </w:r>
          </w:p>
          <w:p w14:paraId="257CC0F3" w14:textId="77777777" w:rsidR="00295C6D" w:rsidRPr="00A5626D" w:rsidRDefault="00295C6D" w:rsidP="00647FA0">
            <w:pPr>
              <w:pStyle w:val="2"/>
              <w:numPr>
                <w:ilvl w:val="0"/>
                <w:numId w:val="0"/>
              </w:numPr>
              <w:tabs>
                <w:tab w:val="left" w:pos="1134"/>
                <w:tab w:val="left" w:pos="7938"/>
              </w:tabs>
              <w:suppressAutoHyphens w:val="0"/>
              <w:spacing w:before="120" w:after="120" w:line="22" w:lineRule="atLeast"/>
              <w:ind w:firstLine="629"/>
              <w:jc w:val="both"/>
              <w:rPr>
                <w:rFonts w:ascii="Garamond" w:hAnsi="Garamond" w:cstheme="minorHAnsi"/>
                <w:b w:val="0"/>
              </w:rPr>
            </w:pPr>
            <w:r w:rsidRPr="00A5626D">
              <w:rPr>
                <w:rFonts w:ascii="Garamond" w:hAnsi="Garamond" w:cstheme="minorHAnsi"/>
                <w:b w:val="0"/>
              </w:rPr>
              <w:t>•</w:t>
            </w:r>
            <w:r w:rsidRPr="00A5626D">
              <w:rPr>
                <w:rFonts w:ascii="Garamond" w:hAnsi="Garamond" w:cstheme="minorHAnsi"/>
                <w:b w:val="0"/>
              </w:rPr>
              <w:tab/>
              <w:t>ежедневно по рабочим дням, но не позднее 12:00 3-го календарного дня месяца, следующего за отчетным, передает в КО, в соответствии с соглашением о взаимодействии между СО и КО, для возможного использования при применении замещающих методов расчета следующую почасовую оперативную информацию:</w:t>
            </w:r>
          </w:p>
          <w:p w14:paraId="3E02E925" w14:textId="77777777" w:rsidR="00295C6D" w:rsidRPr="00A5626D" w:rsidRDefault="00295C6D" w:rsidP="00647FA0">
            <w:pPr>
              <w:pStyle w:val="2"/>
              <w:numPr>
                <w:ilvl w:val="0"/>
                <w:numId w:val="0"/>
              </w:numPr>
              <w:tabs>
                <w:tab w:val="left" w:pos="1134"/>
                <w:tab w:val="left" w:pos="7938"/>
              </w:tabs>
              <w:suppressAutoHyphens w:val="0"/>
              <w:spacing w:before="120" w:after="120" w:line="22" w:lineRule="atLeast"/>
              <w:ind w:firstLine="629"/>
              <w:jc w:val="both"/>
              <w:rPr>
                <w:rFonts w:ascii="Garamond" w:hAnsi="Garamond" w:cstheme="minorHAnsi"/>
                <w:b w:val="0"/>
              </w:rPr>
            </w:pPr>
            <w:r w:rsidRPr="00A5626D">
              <w:rPr>
                <w:rFonts w:ascii="Garamond" w:hAnsi="Garamond" w:cstheme="minorHAnsi"/>
                <w:b w:val="0"/>
              </w:rPr>
              <w:t>а)</w:t>
            </w:r>
            <w:r w:rsidRPr="00A5626D">
              <w:rPr>
                <w:rFonts w:ascii="Garamond" w:hAnsi="Garamond" w:cstheme="minorHAnsi"/>
                <w:b w:val="0"/>
              </w:rPr>
              <w:tab/>
              <w:t>оперативную информацию о выработке электроэнергии по ГТП генерации (с учетом информации об объемах потребления электроэнергии по ГТП ГАЭС в двигательном режиме), а также информацию на основании которой она сформирована, а именно:</w:t>
            </w:r>
          </w:p>
          <w:p w14:paraId="10B6F321" w14:textId="089B2345" w:rsidR="00295C6D" w:rsidRPr="00A5626D" w:rsidRDefault="009B5F03" w:rsidP="00647FA0">
            <w:pPr>
              <w:pStyle w:val="2"/>
              <w:numPr>
                <w:ilvl w:val="0"/>
                <w:numId w:val="0"/>
              </w:numPr>
              <w:tabs>
                <w:tab w:val="left" w:pos="1134"/>
                <w:tab w:val="left" w:pos="7938"/>
              </w:tabs>
              <w:suppressAutoHyphens w:val="0"/>
              <w:spacing w:before="120" w:after="120" w:line="22" w:lineRule="atLeast"/>
              <w:ind w:firstLine="629"/>
              <w:jc w:val="both"/>
              <w:rPr>
                <w:rFonts w:ascii="Garamond" w:hAnsi="Garamond" w:cstheme="minorHAnsi"/>
                <w:b w:val="0"/>
              </w:rPr>
            </w:pPr>
            <w:r w:rsidRPr="00A5626D">
              <w:rPr>
                <w:rFonts w:ascii="Garamond" w:hAnsi="Garamond" w:cstheme="minorHAnsi"/>
                <w:b w:val="0"/>
              </w:rPr>
              <w:t xml:space="preserve">– </w:t>
            </w:r>
            <w:r w:rsidR="00295C6D" w:rsidRPr="00A5626D">
              <w:rPr>
                <w:rFonts w:ascii="Garamond" w:hAnsi="Garamond" w:cstheme="minorHAnsi"/>
                <w:b w:val="0"/>
              </w:rPr>
              <w:t xml:space="preserve">информацию о выработке электроэнергии по ГТП генерации (с учетом информации об объемах потребления электроэнергии по ГТП ГАЭС в двигательном режиме), сформированную на основании телеинформации, полученной от субъекта оптового рынка в порядке, предусмотренном приложением 3 к </w:t>
            </w:r>
            <w:r w:rsidR="00295C6D" w:rsidRPr="00A5626D">
              <w:rPr>
                <w:rFonts w:ascii="Garamond" w:hAnsi="Garamond" w:cstheme="minorHAnsi"/>
                <w:b w:val="0"/>
                <w:i/>
              </w:rPr>
              <w:t>Регламенту допуска к торговой системе оптового рынка</w:t>
            </w:r>
            <w:r w:rsidR="00295C6D" w:rsidRPr="00A5626D">
              <w:rPr>
                <w:rFonts w:ascii="Garamond" w:hAnsi="Garamond" w:cstheme="minorHAnsi"/>
                <w:b w:val="0"/>
              </w:rPr>
              <w:t xml:space="preserve"> (Приложение № 1 к </w:t>
            </w:r>
            <w:r w:rsidR="00295C6D" w:rsidRPr="00A5626D">
              <w:rPr>
                <w:rFonts w:ascii="Garamond" w:hAnsi="Garamond" w:cstheme="minorHAnsi"/>
                <w:b w:val="0"/>
                <w:i/>
              </w:rPr>
              <w:t>Договору о присоединении к торговой системе оптового рынка</w:t>
            </w:r>
            <w:r w:rsidR="00295C6D" w:rsidRPr="00A5626D">
              <w:rPr>
                <w:rFonts w:ascii="Garamond" w:hAnsi="Garamond" w:cstheme="minorHAnsi"/>
                <w:b w:val="0"/>
              </w:rPr>
              <w:t>);</w:t>
            </w:r>
          </w:p>
          <w:p w14:paraId="559A05CA" w14:textId="2C45D421" w:rsidR="00295C6D" w:rsidRPr="00A5626D" w:rsidRDefault="009B5F03" w:rsidP="00647FA0">
            <w:pPr>
              <w:pStyle w:val="2"/>
              <w:numPr>
                <w:ilvl w:val="0"/>
                <w:numId w:val="0"/>
              </w:numPr>
              <w:tabs>
                <w:tab w:val="left" w:pos="1134"/>
                <w:tab w:val="left" w:pos="7938"/>
              </w:tabs>
              <w:suppressAutoHyphens w:val="0"/>
              <w:spacing w:before="120" w:after="120" w:line="22" w:lineRule="atLeast"/>
              <w:ind w:firstLine="629"/>
              <w:jc w:val="both"/>
              <w:rPr>
                <w:rFonts w:ascii="Garamond" w:hAnsi="Garamond" w:cstheme="minorHAnsi"/>
                <w:b w:val="0"/>
              </w:rPr>
            </w:pPr>
            <w:r w:rsidRPr="00A5626D">
              <w:rPr>
                <w:rFonts w:ascii="Garamond" w:hAnsi="Garamond" w:cstheme="minorHAnsi"/>
                <w:b w:val="0"/>
              </w:rPr>
              <w:t xml:space="preserve">– </w:t>
            </w:r>
            <w:r w:rsidR="00295C6D" w:rsidRPr="00A5626D">
              <w:rPr>
                <w:rFonts w:ascii="Garamond" w:hAnsi="Garamond" w:cstheme="minorHAnsi"/>
                <w:b w:val="0"/>
              </w:rPr>
              <w:t>информацию о выработке электроэнергии по ГТП генерации (с учетом информации об объемах потребления электроэнергии по ГТП ГАЭС в двигательном режиме), сформированную на основании данных уточненного диспетчерского графика (УДГ);</w:t>
            </w:r>
          </w:p>
          <w:p w14:paraId="10DCF732" w14:textId="77777777" w:rsidR="00295C6D" w:rsidRPr="00A5626D" w:rsidRDefault="00295C6D" w:rsidP="00647FA0">
            <w:pPr>
              <w:pStyle w:val="2"/>
              <w:numPr>
                <w:ilvl w:val="0"/>
                <w:numId w:val="0"/>
              </w:numPr>
              <w:tabs>
                <w:tab w:val="left" w:pos="1134"/>
                <w:tab w:val="left" w:pos="7938"/>
              </w:tabs>
              <w:suppressAutoHyphens w:val="0"/>
              <w:spacing w:before="120" w:after="120" w:line="22" w:lineRule="atLeast"/>
              <w:ind w:firstLine="629"/>
              <w:jc w:val="both"/>
              <w:rPr>
                <w:rFonts w:ascii="Garamond" w:hAnsi="Garamond" w:cstheme="minorHAnsi"/>
                <w:b w:val="0"/>
              </w:rPr>
            </w:pPr>
            <w:r w:rsidRPr="00A5626D">
              <w:rPr>
                <w:rFonts w:ascii="Garamond" w:hAnsi="Garamond" w:cstheme="minorHAnsi"/>
                <w:b w:val="0"/>
              </w:rPr>
              <w:t>-</w:t>
            </w:r>
            <w:r w:rsidRPr="00A5626D">
              <w:rPr>
                <w:rFonts w:ascii="Garamond" w:hAnsi="Garamond" w:cstheme="minorHAnsi"/>
                <w:b w:val="0"/>
              </w:rPr>
              <w:tab/>
              <w:t>информацию о признаках недостоверности данных, сформированных на основании телеинформации, определенных в соответствии с п. 6.4.4 настоящего Регламента;</w:t>
            </w:r>
          </w:p>
          <w:p w14:paraId="0803E05B" w14:textId="77777777" w:rsidR="00295C6D" w:rsidRPr="00A5626D" w:rsidRDefault="00295C6D" w:rsidP="00647FA0">
            <w:pPr>
              <w:pStyle w:val="2"/>
              <w:numPr>
                <w:ilvl w:val="0"/>
                <w:numId w:val="0"/>
              </w:numPr>
              <w:tabs>
                <w:tab w:val="left" w:pos="1134"/>
                <w:tab w:val="left" w:pos="7938"/>
              </w:tabs>
              <w:suppressAutoHyphens w:val="0"/>
              <w:spacing w:before="120" w:after="120" w:line="22" w:lineRule="atLeast"/>
              <w:ind w:firstLine="629"/>
              <w:jc w:val="both"/>
              <w:rPr>
                <w:rFonts w:ascii="Garamond" w:hAnsi="Garamond" w:cstheme="minorHAnsi"/>
                <w:b w:val="0"/>
              </w:rPr>
            </w:pPr>
            <w:r w:rsidRPr="00A5626D">
              <w:rPr>
                <w:rFonts w:ascii="Garamond" w:hAnsi="Garamond" w:cstheme="minorHAnsi"/>
                <w:b w:val="0"/>
              </w:rPr>
              <w:t>б)</w:t>
            </w:r>
            <w:r w:rsidRPr="00A5626D">
              <w:rPr>
                <w:rFonts w:ascii="Garamond" w:hAnsi="Garamond" w:cstheme="minorHAnsi"/>
                <w:b w:val="0"/>
              </w:rPr>
              <w:tab/>
              <w:t>оперативную информацию о перетоках электроэнергии по сечениям экспорта-импорта и сечениям между ценовыми, а также между ценовыми и неценовыми зонами оптового рынка.</w:t>
            </w:r>
          </w:p>
          <w:p w14:paraId="17C2B676" w14:textId="77777777" w:rsidR="00295C6D" w:rsidRPr="00A5626D" w:rsidRDefault="00295C6D" w:rsidP="00647FA0">
            <w:pPr>
              <w:pStyle w:val="2"/>
              <w:numPr>
                <w:ilvl w:val="0"/>
                <w:numId w:val="0"/>
              </w:numPr>
              <w:tabs>
                <w:tab w:val="left" w:pos="1134"/>
                <w:tab w:val="left" w:pos="7938"/>
              </w:tabs>
              <w:suppressAutoHyphens w:val="0"/>
              <w:spacing w:before="120" w:after="120" w:line="22" w:lineRule="atLeast"/>
              <w:ind w:firstLine="629"/>
              <w:jc w:val="both"/>
              <w:rPr>
                <w:rFonts w:ascii="Garamond" w:hAnsi="Garamond" w:cstheme="minorHAnsi"/>
                <w:b w:val="0"/>
              </w:rPr>
            </w:pPr>
            <w:r w:rsidRPr="00A5626D">
              <w:rPr>
                <w:rFonts w:ascii="Garamond" w:hAnsi="Garamond" w:cstheme="minorHAnsi"/>
                <w:b w:val="0"/>
              </w:rPr>
              <w:lastRenderedPageBreak/>
              <w:t xml:space="preserve">При этом оперативная информация о выработке электроэнергии по ГТП генерации (с учетом информации об объемах потребления электроэнергии по ГТП ГАЭС в двигательном режиме) формируется СО на основании телеинформации, полученной от субъекта оптового рынка в порядке, предусмотренном приложением 3 к </w:t>
            </w:r>
            <w:r w:rsidRPr="00A5626D">
              <w:rPr>
                <w:rFonts w:ascii="Garamond" w:hAnsi="Garamond" w:cstheme="minorHAnsi"/>
                <w:b w:val="0"/>
                <w:i/>
              </w:rPr>
              <w:t>Регламенту допуска к торговой системе оптового рынка</w:t>
            </w:r>
            <w:r w:rsidRPr="00A5626D">
              <w:rPr>
                <w:rFonts w:ascii="Garamond" w:hAnsi="Garamond" w:cstheme="minorHAnsi"/>
                <w:b w:val="0"/>
              </w:rPr>
              <w:t xml:space="preserve"> (Приложение № 1 к </w:t>
            </w:r>
            <w:r w:rsidRPr="00A5626D">
              <w:rPr>
                <w:rFonts w:ascii="Garamond" w:hAnsi="Garamond" w:cstheme="minorHAnsi"/>
                <w:b w:val="0"/>
                <w:i/>
              </w:rPr>
              <w:t>Договору о присоединении к торговой системе оптового рынка</w:t>
            </w:r>
            <w:r w:rsidRPr="00A5626D">
              <w:rPr>
                <w:rFonts w:ascii="Garamond" w:hAnsi="Garamond" w:cstheme="minorHAnsi"/>
                <w:b w:val="0"/>
              </w:rPr>
              <w:t>). В случае если оперативные данные о выработке электроэнергии по ГТП генерации (с учетом информации об объемах потребления электроэнергии по ГТП ГАЭС в двигательном режиме) для соответствующих часов, сформированные на основе телеинформации, являются недостоверными, СО передает в отношении вышеуказанных часов в КО значения уточненного диспетчерского графика (далее – УДГ);</w:t>
            </w:r>
          </w:p>
          <w:p w14:paraId="23DE9793" w14:textId="77777777" w:rsidR="00295C6D" w:rsidRPr="00A5626D" w:rsidRDefault="00295C6D" w:rsidP="00647FA0">
            <w:pPr>
              <w:pStyle w:val="2"/>
              <w:numPr>
                <w:ilvl w:val="0"/>
                <w:numId w:val="0"/>
              </w:numPr>
              <w:tabs>
                <w:tab w:val="left" w:pos="1134"/>
                <w:tab w:val="left" w:pos="7938"/>
              </w:tabs>
              <w:suppressAutoHyphens w:val="0"/>
              <w:spacing w:before="120" w:after="120" w:line="22" w:lineRule="atLeast"/>
              <w:ind w:firstLine="629"/>
              <w:jc w:val="both"/>
              <w:rPr>
                <w:rFonts w:ascii="Garamond" w:hAnsi="Garamond" w:cstheme="minorHAnsi"/>
                <w:b w:val="0"/>
              </w:rPr>
            </w:pPr>
            <w:r w:rsidRPr="00A5626D">
              <w:rPr>
                <w:rFonts w:ascii="Garamond" w:hAnsi="Garamond" w:cstheme="minorHAnsi"/>
                <w:b w:val="0"/>
              </w:rPr>
              <w:t>в)</w:t>
            </w:r>
            <w:r w:rsidRPr="00A5626D">
              <w:rPr>
                <w:rFonts w:ascii="Garamond" w:hAnsi="Garamond" w:cstheme="minorHAnsi"/>
                <w:b w:val="0"/>
              </w:rPr>
              <w:tab/>
              <w:t>оперативную информацию о суммарном потреблении территории субъекта РФ, равном алгебраической сумме значений оперативной информации о выработке электроэнергии по ГТП генерации (с учетом информации об объемах потребления электроэнергии по ГТП ГАЭС в двигательном режиме), расположенным на соответствующей территории, и оперативной информации о величине перетоков между территориями субъектов РФ, а также оперативной информации о величине перетоков в сечениях коммерческого учета, отнесенных к сечениям экспорта/импорта (при наличии на территории соответствующего субъекта РФ), при этом за положительное значение перетоков принимается значение перетока электрической энергии, направленное в сторону территории субъекта РФ;</w:t>
            </w:r>
          </w:p>
          <w:p w14:paraId="2D69998D" w14:textId="77777777" w:rsidR="00295C6D" w:rsidRPr="00A5626D" w:rsidRDefault="00295C6D" w:rsidP="00647FA0">
            <w:pPr>
              <w:pStyle w:val="2"/>
              <w:numPr>
                <w:ilvl w:val="0"/>
                <w:numId w:val="0"/>
              </w:numPr>
              <w:tabs>
                <w:tab w:val="left" w:pos="1134"/>
                <w:tab w:val="left" w:pos="7938"/>
              </w:tabs>
              <w:suppressAutoHyphens w:val="0"/>
              <w:spacing w:before="120" w:after="120" w:line="22" w:lineRule="atLeast"/>
              <w:ind w:firstLine="629"/>
              <w:jc w:val="both"/>
              <w:rPr>
                <w:rFonts w:ascii="Garamond" w:hAnsi="Garamond" w:cstheme="minorHAnsi"/>
                <w:b w:val="0"/>
              </w:rPr>
            </w:pPr>
            <w:r w:rsidRPr="00A5626D">
              <w:rPr>
                <w:rFonts w:ascii="Garamond" w:hAnsi="Garamond" w:cstheme="minorHAnsi"/>
                <w:b w:val="0"/>
              </w:rPr>
              <w:t>•</w:t>
            </w:r>
            <w:r w:rsidRPr="00A5626D">
              <w:rPr>
                <w:rFonts w:ascii="Garamond" w:hAnsi="Garamond" w:cstheme="minorHAnsi"/>
                <w:b w:val="0"/>
              </w:rPr>
              <w:tab/>
              <w:t>в случае выявления недостоверных данных не позднее 12:00 3-го календарного дня месяца, следующего за отчетным, передает в КО, в соответствии с соглашением о взаимодействии между СО и КО, для возможного использования при применении замещающих методов расчета уточненную почасовую оперативную информацию</w:t>
            </w:r>
            <w:r w:rsidRPr="00A5626D">
              <w:rPr>
                <w:rFonts w:ascii="Garamond" w:hAnsi="Garamond" w:cstheme="minorHAnsi"/>
                <w:b w:val="0"/>
                <w:highlight w:val="yellow"/>
              </w:rPr>
              <w:t>;</w:t>
            </w:r>
          </w:p>
          <w:p w14:paraId="47348413" w14:textId="77777777" w:rsidR="00295C6D" w:rsidRPr="00A5626D" w:rsidRDefault="00295C6D" w:rsidP="00647FA0">
            <w:pPr>
              <w:pStyle w:val="28"/>
              <w:tabs>
                <w:tab w:val="left" w:pos="1134"/>
                <w:tab w:val="left" w:pos="7938"/>
              </w:tabs>
              <w:spacing w:before="120" w:line="22" w:lineRule="atLeast"/>
              <w:ind w:firstLine="629"/>
              <w:jc w:val="both"/>
              <w:rPr>
                <w:rFonts w:cstheme="minorHAnsi"/>
                <w:szCs w:val="22"/>
              </w:rPr>
            </w:pPr>
            <w:r w:rsidRPr="00A5626D">
              <w:rPr>
                <w:rFonts w:cstheme="minorHAnsi"/>
                <w:szCs w:val="22"/>
                <w:highlight w:val="yellow"/>
              </w:rPr>
              <w:t>•</w:t>
            </w:r>
            <w:r w:rsidRPr="00A5626D">
              <w:rPr>
                <w:rFonts w:cstheme="minorHAnsi"/>
                <w:szCs w:val="22"/>
                <w:highlight w:val="yellow"/>
              </w:rPr>
              <w:tab/>
              <w:t>принимает и обрабатывает данные коммерческого учета по объектам регулирования агрегаторов, направленные КО в соответствии с разделом 9 настоящего Регламента, для последующего определения объема оказанных услуг по управлению изменением режима потребления электроэнергии</w:t>
            </w:r>
            <w:r w:rsidRPr="00A5626D">
              <w:rPr>
                <w:rFonts w:cstheme="minorHAnsi"/>
                <w:szCs w:val="22"/>
              </w:rPr>
              <w:t>.</w:t>
            </w:r>
          </w:p>
          <w:p w14:paraId="44BB9C2D" w14:textId="77777777" w:rsidR="00295C6D" w:rsidRPr="00A5626D" w:rsidRDefault="00295C6D" w:rsidP="00647FA0">
            <w:pPr>
              <w:pStyle w:val="2"/>
              <w:numPr>
                <w:ilvl w:val="0"/>
                <w:numId w:val="0"/>
              </w:numPr>
              <w:tabs>
                <w:tab w:val="left" w:pos="1134"/>
                <w:tab w:val="left" w:pos="7938"/>
              </w:tabs>
              <w:suppressAutoHyphens w:val="0"/>
              <w:spacing w:before="120" w:after="120" w:line="22" w:lineRule="atLeast"/>
              <w:ind w:firstLine="629"/>
              <w:jc w:val="both"/>
              <w:rPr>
                <w:rFonts w:ascii="Garamond" w:hAnsi="Garamond" w:cstheme="minorHAnsi"/>
                <w:b w:val="0"/>
              </w:rPr>
            </w:pPr>
            <w:r w:rsidRPr="00A5626D">
              <w:rPr>
                <w:rFonts w:ascii="Garamond" w:hAnsi="Garamond" w:cstheme="minorHAnsi"/>
                <w:b w:val="0"/>
              </w:rPr>
              <w:t>4.4. Участники оптового рынка (ФСК)</w:t>
            </w:r>
            <w:r w:rsidRPr="00A5626D">
              <w:rPr>
                <w:rFonts w:ascii="Garamond" w:hAnsi="Garamond" w:cstheme="minorHAnsi"/>
                <w:b w:val="0"/>
                <w:highlight w:val="yellow"/>
              </w:rPr>
              <w:t>, агрегаторы</w:t>
            </w:r>
            <w:r w:rsidRPr="00A5626D">
              <w:rPr>
                <w:rFonts w:ascii="Garamond" w:hAnsi="Garamond" w:cstheme="minorHAnsi"/>
                <w:b w:val="0"/>
              </w:rPr>
              <w:t>:</w:t>
            </w:r>
          </w:p>
          <w:p w14:paraId="6C634AEE" w14:textId="77777777" w:rsidR="00295C6D" w:rsidRPr="00A5626D" w:rsidRDefault="00295C6D" w:rsidP="00647FA0">
            <w:pPr>
              <w:pStyle w:val="2"/>
              <w:numPr>
                <w:ilvl w:val="0"/>
                <w:numId w:val="0"/>
              </w:numPr>
              <w:tabs>
                <w:tab w:val="left" w:pos="1134"/>
                <w:tab w:val="left" w:pos="7938"/>
              </w:tabs>
              <w:suppressAutoHyphens w:val="0"/>
              <w:spacing w:before="120" w:after="120" w:line="22" w:lineRule="atLeast"/>
              <w:ind w:firstLine="629"/>
              <w:jc w:val="both"/>
              <w:rPr>
                <w:rFonts w:ascii="Garamond" w:hAnsi="Garamond" w:cstheme="minorHAnsi"/>
                <w:b w:val="0"/>
              </w:rPr>
            </w:pPr>
            <w:r w:rsidRPr="00A5626D">
              <w:rPr>
                <w:rFonts w:ascii="Garamond" w:hAnsi="Garamond" w:cstheme="minorHAnsi"/>
                <w:b w:val="0"/>
              </w:rPr>
              <w:t>•</w:t>
            </w:r>
            <w:r w:rsidRPr="00A5626D">
              <w:rPr>
                <w:rFonts w:ascii="Garamond" w:hAnsi="Garamond" w:cstheme="minorHAnsi"/>
                <w:b w:val="0"/>
              </w:rPr>
              <w:tab/>
              <w:t xml:space="preserve">оформляют ПСИ в порядке, предусмотренном приложением 5 </w:t>
            </w:r>
            <w:r w:rsidRPr="00A5626D">
              <w:rPr>
                <w:rFonts w:ascii="Garamond" w:hAnsi="Garamond" w:cstheme="minorHAnsi"/>
                <w:b w:val="0"/>
              </w:rPr>
              <w:lastRenderedPageBreak/>
              <w:t>к настоящему Регламенту;</w:t>
            </w:r>
          </w:p>
          <w:p w14:paraId="383E6B79" w14:textId="77777777" w:rsidR="00295C6D" w:rsidRPr="00A5626D" w:rsidRDefault="00295C6D" w:rsidP="00647FA0">
            <w:pPr>
              <w:pStyle w:val="2"/>
              <w:numPr>
                <w:ilvl w:val="0"/>
                <w:numId w:val="0"/>
              </w:numPr>
              <w:tabs>
                <w:tab w:val="left" w:pos="1134"/>
                <w:tab w:val="left" w:pos="7938"/>
              </w:tabs>
              <w:suppressAutoHyphens w:val="0"/>
              <w:spacing w:before="120" w:after="120" w:line="22" w:lineRule="atLeast"/>
              <w:ind w:firstLine="629"/>
              <w:jc w:val="both"/>
              <w:rPr>
                <w:rFonts w:ascii="Garamond" w:hAnsi="Garamond" w:cstheme="minorHAnsi"/>
                <w:b w:val="0"/>
              </w:rPr>
            </w:pPr>
            <w:r w:rsidRPr="00A5626D">
              <w:rPr>
                <w:rFonts w:ascii="Garamond" w:hAnsi="Garamond" w:cstheme="minorHAnsi"/>
                <w:b w:val="0"/>
              </w:rPr>
              <w:t>•</w:t>
            </w:r>
            <w:r w:rsidRPr="00A5626D">
              <w:rPr>
                <w:rFonts w:ascii="Garamond" w:hAnsi="Garamond" w:cstheme="minorHAnsi"/>
                <w:b w:val="0"/>
              </w:rPr>
              <w:tab/>
              <w:t>согласуют ПСИ по соответствующим сечениям коммерческого учета со смежными участниками оптового рынка или ФСК;</w:t>
            </w:r>
          </w:p>
          <w:p w14:paraId="4DADC0B8" w14:textId="77777777" w:rsidR="00295C6D" w:rsidRPr="00A5626D" w:rsidRDefault="00295C6D" w:rsidP="00647FA0">
            <w:pPr>
              <w:pStyle w:val="2"/>
              <w:numPr>
                <w:ilvl w:val="0"/>
                <w:numId w:val="0"/>
              </w:numPr>
              <w:tabs>
                <w:tab w:val="left" w:pos="1134"/>
                <w:tab w:val="left" w:pos="7938"/>
              </w:tabs>
              <w:suppressAutoHyphens w:val="0"/>
              <w:spacing w:before="120" w:after="120" w:line="22" w:lineRule="atLeast"/>
              <w:ind w:firstLine="629"/>
              <w:jc w:val="both"/>
              <w:rPr>
                <w:rFonts w:ascii="Garamond" w:hAnsi="Garamond" w:cstheme="minorHAnsi"/>
                <w:b w:val="0"/>
              </w:rPr>
            </w:pPr>
            <w:r w:rsidRPr="00A5626D">
              <w:rPr>
                <w:rFonts w:ascii="Garamond" w:hAnsi="Garamond" w:cstheme="minorHAnsi"/>
                <w:b w:val="0"/>
              </w:rPr>
              <w:t>•</w:t>
            </w:r>
            <w:r w:rsidRPr="00A5626D">
              <w:rPr>
                <w:rFonts w:ascii="Garamond" w:hAnsi="Garamond" w:cstheme="minorHAnsi"/>
                <w:b w:val="0"/>
              </w:rPr>
              <w:tab/>
              <w:t>согласуют с СО ПСИ в части способов формирования оперативной информации в отношении ГТП генерации;</w:t>
            </w:r>
          </w:p>
          <w:p w14:paraId="1DC742CA" w14:textId="77777777" w:rsidR="00295C6D" w:rsidRPr="00A5626D" w:rsidRDefault="00295C6D" w:rsidP="00647FA0">
            <w:pPr>
              <w:pStyle w:val="2"/>
              <w:numPr>
                <w:ilvl w:val="0"/>
                <w:numId w:val="0"/>
              </w:numPr>
              <w:tabs>
                <w:tab w:val="left" w:pos="1134"/>
                <w:tab w:val="left" w:pos="7938"/>
              </w:tabs>
              <w:suppressAutoHyphens w:val="0"/>
              <w:spacing w:before="120" w:after="120" w:line="22" w:lineRule="atLeast"/>
              <w:ind w:firstLine="629"/>
              <w:jc w:val="both"/>
              <w:rPr>
                <w:rFonts w:ascii="Garamond" w:hAnsi="Garamond" w:cstheme="minorHAnsi"/>
                <w:b w:val="0"/>
              </w:rPr>
            </w:pPr>
            <w:r w:rsidRPr="00A5626D">
              <w:rPr>
                <w:rFonts w:ascii="Garamond" w:hAnsi="Garamond" w:cstheme="minorHAnsi"/>
                <w:b w:val="0"/>
              </w:rPr>
              <w:t>•</w:t>
            </w:r>
            <w:r w:rsidRPr="00A5626D">
              <w:rPr>
                <w:rFonts w:ascii="Garamond" w:hAnsi="Garamond" w:cstheme="minorHAnsi"/>
                <w:b w:val="0"/>
              </w:rPr>
              <w:tab/>
              <w:t>ФСК согласует с СО ПСИ в части способов формирования оперативной информации для сечений коммерческого учета, входящих в сечения экспорта-импорта, и сечений между ценовыми, а также между ценовыми и неценовыми зонами оптового рынка, за исключением точек поставки, включенных в сечение коммерческого учета между ценовыми, а также между ценовыми и неценовыми зонами и относящихся к ГТП потребления смежных участников оптового рынка;</w:t>
            </w:r>
          </w:p>
          <w:p w14:paraId="005A0119" w14:textId="77777777" w:rsidR="00295C6D" w:rsidRPr="00A5626D" w:rsidRDefault="00295C6D" w:rsidP="00647FA0">
            <w:pPr>
              <w:pStyle w:val="2"/>
              <w:numPr>
                <w:ilvl w:val="0"/>
                <w:numId w:val="0"/>
              </w:numPr>
              <w:tabs>
                <w:tab w:val="left" w:pos="1134"/>
                <w:tab w:val="left" w:pos="7938"/>
              </w:tabs>
              <w:suppressAutoHyphens w:val="0"/>
              <w:spacing w:before="120" w:after="120" w:line="22" w:lineRule="atLeast"/>
              <w:ind w:firstLine="629"/>
              <w:jc w:val="both"/>
              <w:rPr>
                <w:rFonts w:ascii="Garamond" w:hAnsi="Garamond"/>
              </w:rPr>
            </w:pPr>
            <w:r w:rsidRPr="00A5626D">
              <w:rPr>
                <w:rFonts w:ascii="Garamond" w:hAnsi="Garamond" w:cstheme="minorHAnsi"/>
                <w:b w:val="0"/>
              </w:rPr>
              <w:t>•</w:t>
            </w:r>
            <w:r w:rsidRPr="00A5626D">
              <w:rPr>
                <w:rFonts w:ascii="Garamond" w:hAnsi="Garamond" w:cstheme="minorHAnsi"/>
                <w:b w:val="0"/>
              </w:rPr>
              <w:tab/>
            </w:r>
            <w:r w:rsidRPr="00A5626D">
              <w:rPr>
                <w:rFonts w:ascii="Garamond" w:hAnsi="Garamond" w:cstheme="minorHAnsi"/>
                <w:b w:val="0"/>
                <w:highlight w:val="yellow"/>
              </w:rPr>
              <w:t>агрегатор согласует ПСИ с владельцем ГТП (кроме случаев, когда агрегатор одновременно является владельцем ГТП);</w:t>
            </w:r>
          </w:p>
          <w:p w14:paraId="17E8DB06" w14:textId="77777777" w:rsidR="00295C6D" w:rsidRPr="00A5626D" w:rsidRDefault="00295C6D" w:rsidP="00647FA0">
            <w:pPr>
              <w:pStyle w:val="2"/>
              <w:numPr>
                <w:ilvl w:val="0"/>
                <w:numId w:val="0"/>
              </w:numPr>
              <w:tabs>
                <w:tab w:val="left" w:pos="1134"/>
                <w:tab w:val="left" w:pos="7938"/>
              </w:tabs>
              <w:suppressAutoHyphens w:val="0"/>
              <w:spacing w:before="120" w:after="120" w:line="22" w:lineRule="atLeast"/>
              <w:ind w:firstLine="629"/>
              <w:jc w:val="both"/>
              <w:rPr>
                <w:rFonts w:ascii="Garamond" w:hAnsi="Garamond" w:cstheme="minorHAnsi"/>
                <w:b w:val="0"/>
              </w:rPr>
            </w:pPr>
            <w:r w:rsidRPr="00A5626D">
              <w:rPr>
                <w:rFonts w:ascii="Garamond" w:hAnsi="Garamond" w:cstheme="minorHAnsi"/>
                <w:b w:val="0"/>
              </w:rPr>
              <w:t>•</w:t>
            </w:r>
            <w:r w:rsidRPr="00A5626D">
              <w:rPr>
                <w:rFonts w:ascii="Garamond" w:hAnsi="Garamond" w:cstheme="minorHAnsi"/>
                <w:b w:val="0"/>
              </w:rPr>
              <w:tab/>
              <w:t xml:space="preserve">осуществляют информационное взаимодействие по взаимному предоставлению результатов измерений с использованием </w:t>
            </w:r>
            <w:r w:rsidRPr="00A5626D">
              <w:rPr>
                <w:rFonts w:ascii="Garamond" w:hAnsi="Garamond" w:cstheme="minorHAnsi"/>
                <w:b w:val="0"/>
                <w:highlight w:val="yellow"/>
              </w:rPr>
              <w:t>систем учета электроэнергии</w:t>
            </w:r>
            <w:r w:rsidRPr="00A5626D">
              <w:rPr>
                <w:rFonts w:ascii="Garamond" w:hAnsi="Garamond" w:cstheme="minorHAnsi"/>
                <w:b w:val="0"/>
              </w:rPr>
              <w:t>;</w:t>
            </w:r>
          </w:p>
          <w:p w14:paraId="5B273ED6" w14:textId="77777777" w:rsidR="00295C6D" w:rsidRPr="00A5626D" w:rsidRDefault="00295C6D" w:rsidP="00647FA0">
            <w:pPr>
              <w:pStyle w:val="2"/>
              <w:numPr>
                <w:ilvl w:val="0"/>
                <w:numId w:val="0"/>
              </w:numPr>
              <w:tabs>
                <w:tab w:val="left" w:pos="1134"/>
                <w:tab w:val="left" w:pos="7938"/>
              </w:tabs>
              <w:suppressAutoHyphens w:val="0"/>
              <w:spacing w:before="120" w:after="120" w:line="22" w:lineRule="atLeast"/>
              <w:ind w:firstLine="629"/>
              <w:jc w:val="both"/>
              <w:rPr>
                <w:rFonts w:ascii="Garamond" w:hAnsi="Garamond" w:cstheme="minorHAnsi"/>
                <w:b w:val="0"/>
              </w:rPr>
            </w:pPr>
            <w:r w:rsidRPr="00A5626D">
              <w:rPr>
                <w:rFonts w:ascii="Garamond" w:hAnsi="Garamond" w:cstheme="minorHAnsi"/>
                <w:b w:val="0"/>
              </w:rPr>
              <w:t>•</w:t>
            </w:r>
            <w:r w:rsidRPr="00A5626D">
              <w:rPr>
                <w:rFonts w:ascii="Garamond" w:hAnsi="Garamond" w:cstheme="minorHAnsi"/>
                <w:b w:val="0"/>
              </w:rPr>
              <w:tab/>
              <w:t>в отношении сечений коммерческого учета между участником оптового рынка и ФСК согласовывают и направляют в КО интегральные акты учета перетоков (макет 50080), в порядке и сроки, предусмотренные настоящим Регламентом;</w:t>
            </w:r>
          </w:p>
          <w:p w14:paraId="0BA26ECB" w14:textId="77777777" w:rsidR="00295C6D" w:rsidRPr="00A5626D" w:rsidRDefault="00295C6D" w:rsidP="00647FA0">
            <w:pPr>
              <w:pStyle w:val="2"/>
              <w:numPr>
                <w:ilvl w:val="0"/>
                <w:numId w:val="0"/>
              </w:numPr>
              <w:tabs>
                <w:tab w:val="left" w:pos="1134"/>
                <w:tab w:val="left" w:pos="7938"/>
              </w:tabs>
              <w:suppressAutoHyphens w:val="0"/>
              <w:spacing w:before="120" w:after="120" w:line="22" w:lineRule="atLeast"/>
              <w:ind w:firstLine="629"/>
              <w:jc w:val="both"/>
              <w:rPr>
                <w:rFonts w:ascii="Garamond" w:hAnsi="Garamond" w:cstheme="minorHAnsi"/>
                <w:b w:val="0"/>
              </w:rPr>
            </w:pPr>
            <w:r w:rsidRPr="00A5626D">
              <w:rPr>
                <w:rFonts w:ascii="Garamond" w:hAnsi="Garamond" w:cstheme="minorHAnsi"/>
                <w:b w:val="0"/>
              </w:rPr>
              <w:t>•</w:t>
            </w:r>
            <w:r w:rsidRPr="00A5626D">
              <w:rPr>
                <w:rFonts w:ascii="Garamond" w:hAnsi="Garamond" w:cstheme="minorHAnsi"/>
                <w:b w:val="0"/>
              </w:rPr>
              <w:tab/>
              <w:t>формируют на официальном сайте КО в разделе «Данные АИИС» акты учета (оборота) по ГТП генерации, акты учета перетоков по сечению коммерческого учета (макеты 51020) в порядке и сроки, предусмотренные настоящим Регламентом;</w:t>
            </w:r>
          </w:p>
          <w:p w14:paraId="71811FA2" w14:textId="77777777" w:rsidR="00295C6D" w:rsidRPr="00A5626D" w:rsidRDefault="00295C6D" w:rsidP="00647FA0">
            <w:pPr>
              <w:pStyle w:val="28"/>
              <w:tabs>
                <w:tab w:val="left" w:pos="1134"/>
                <w:tab w:val="left" w:pos="7938"/>
              </w:tabs>
              <w:spacing w:before="120" w:line="22" w:lineRule="atLeast"/>
              <w:ind w:firstLine="629"/>
              <w:jc w:val="both"/>
              <w:rPr>
                <w:rFonts w:cstheme="minorHAnsi"/>
                <w:szCs w:val="22"/>
              </w:rPr>
            </w:pPr>
            <w:r w:rsidRPr="00A5626D">
              <w:rPr>
                <w:rFonts w:cstheme="minorHAnsi"/>
                <w:szCs w:val="22"/>
              </w:rPr>
              <w:t>•</w:t>
            </w:r>
            <w:r w:rsidRPr="00A5626D">
              <w:rPr>
                <w:rFonts w:cstheme="minorHAnsi"/>
                <w:szCs w:val="22"/>
              </w:rPr>
              <w:tab/>
              <w:t>формируют и направляют в КО корректирующие акты учета (оборота) по ГТП генерации либо корректирующие акты учета перетоков по сечению коммерческого учета (макет 51075) в случаях, а также в соответствии с порядком и сроками, предусмотренными настоящим Регламентом</w:t>
            </w:r>
            <w:r w:rsidRPr="00A5626D">
              <w:rPr>
                <w:rFonts w:cstheme="minorHAnsi"/>
                <w:szCs w:val="22"/>
                <w:highlight w:val="yellow"/>
              </w:rPr>
              <w:t>;</w:t>
            </w:r>
          </w:p>
          <w:p w14:paraId="01A78B68" w14:textId="77777777" w:rsidR="00295C6D" w:rsidRPr="00A5626D" w:rsidRDefault="00295C6D" w:rsidP="00647FA0">
            <w:pPr>
              <w:pStyle w:val="28"/>
              <w:tabs>
                <w:tab w:val="left" w:pos="1134"/>
                <w:tab w:val="left" w:pos="7938"/>
              </w:tabs>
              <w:spacing w:before="120" w:line="22" w:lineRule="atLeast"/>
              <w:ind w:firstLine="629"/>
              <w:jc w:val="both"/>
              <w:rPr>
                <w:rFonts w:cstheme="minorHAnsi"/>
                <w:szCs w:val="22"/>
              </w:rPr>
            </w:pPr>
            <w:r w:rsidRPr="00A5626D">
              <w:rPr>
                <w:rFonts w:cstheme="minorHAnsi"/>
                <w:szCs w:val="22"/>
                <w:highlight w:val="yellow"/>
              </w:rPr>
              <w:t>•</w:t>
            </w:r>
            <w:r w:rsidRPr="00A5626D">
              <w:rPr>
                <w:rFonts w:cstheme="minorHAnsi"/>
                <w:szCs w:val="22"/>
                <w:highlight w:val="yellow"/>
              </w:rPr>
              <w:tab/>
              <w:t>формируют и направляют в КО акты учета (оборота) по объекту регулирования (макет 21070) в соответствии с порядком и сроками, предусмотренными настоящим Регламентом.</w:t>
            </w:r>
          </w:p>
        </w:tc>
      </w:tr>
      <w:tr w:rsidR="00A5626D" w:rsidRPr="00A5626D" w14:paraId="0F6885CE" w14:textId="77777777" w:rsidTr="00647FA0">
        <w:tc>
          <w:tcPr>
            <w:tcW w:w="1060" w:type="dxa"/>
          </w:tcPr>
          <w:p w14:paraId="5AB499C5" w14:textId="77777777" w:rsidR="00295C6D" w:rsidRPr="00A5626D" w:rsidRDefault="00295C6D" w:rsidP="00E31AE6">
            <w:pPr>
              <w:widowControl w:val="0"/>
              <w:tabs>
                <w:tab w:val="left" w:pos="1134"/>
                <w:tab w:val="left" w:pos="7938"/>
              </w:tabs>
              <w:spacing w:line="22" w:lineRule="atLeast"/>
              <w:jc w:val="both"/>
              <w:rPr>
                <w:rFonts w:ascii="Garamond" w:hAnsi="Garamond"/>
                <w:b/>
                <w:sz w:val="22"/>
                <w:szCs w:val="22"/>
                <w:lang w:eastAsia="en-US"/>
              </w:rPr>
            </w:pPr>
            <w:r w:rsidRPr="00A5626D">
              <w:rPr>
                <w:rFonts w:ascii="Garamond" w:hAnsi="Garamond"/>
                <w:b/>
                <w:sz w:val="22"/>
                <w:szCs w:val="22"/>
                <w:lang w:eastAsia="en-US"/>
              </w:rPr>
              <w:lastRenderedPageBreak/>
              <w:t>5.1</w:t>
            </w:r>
          </w:p>
        </w:tc>
        <w:tc>
          <w:tcPr>
            <w:tcW w:w="6662" w:type="dxa"/>
          </w:tcPr>
          <w:p w14:paraId="5D7BF6EA" w14:textId="77777777" w:rsidR="00295C6D" w:rsidRPr="00A5626D" w:rsidRDefault="00295C6D" w:rsidP="00647FA0">
            <w:pPr>
              <w:pStyle w:val="2"/>
              <w:numPr>
                <w:ilvl w:val="0"/>
                <w:numId w:val="0"/>
              </w:numPr>
              <w:tabs>
                <w:tab w:val="left" w:pos="1134"/>
                <w:tab w:val="left" w:pos="7938"/>
              </w:tabs>
              <w:suppressAutoHyphens w:val="0"/>
              <w:spacing w:before="120" w:after="120" w:line="22" w:lineRule="atLeast"/>
              <w:ind w:firstLine="629"/>
              <w:jc w:val="both"/>
              <w:rPr>
                <w:rFonts w:ascii="Garamond" w:hAnsi="Garamond" w:cstheme="minorHAnsi"/>
                <w:b w:val="0"/>
              </w:rPr>
            </w:pPr>
            <w:r w:rsidRPr="00A5626D">
              <w:rPr>
                <w:rFonts w:ascii="Garamond" w:hAnsi="Garamond" w:cstheme="minorHAnsi"/>
                <w:b w:val="0"/>
              </w:rPr>
              <w:t>средства измерений, обеспечивающие измерения электроэнергии во всех точках поставки, входящих в указанное сечение, должны быть включены в АИИС КУЭ. Допускается применение средств измерений, обеспечивающих измерения на «малых» точк</w:t>
            </w:r>
            <w:r w:rsidRPr="00A5626D">
              <w:rPr>
                <w:rFonts w:ascii="Garamond" w:hAnsi="Garamond" w:cstheme="minorHAnsi"/>
                <w:b w:val="0"/>
                <w:highlight w:val="yellow"/>
              </w:rPr>
              <w:t>ах</w:t>
            </w:r>
            <w:r w:rsidRPr="00A5626D">
              <w:rPr>
                <w:rFonts w:ascii="Garamond" w:hAnsi="Garamond" w:cstheme="minorHAnsi"/>
                <w:b w:val="0"/>
              </w:rPr>
              <w:t xml:space="preserve"> поставки, которые в соответствии с </w:t>
            </w:r>
            <w:r w:rsidRPr="00A5626D">
              <w:rPr>
                <w:rFonts w:ascii="Garamond" w:hAnsi="Garamond" w:cstheme="minorHAnsi"/>
                <w:b w:val="0"/>
                <w:highlight w:val="yellow"/>
              </w:rPr>
              <w:t>п. 1.2 Приложения № 11.1 к</w:t>
            </w:r>
            <w:r w:rsidRPr="00A5626D">
              <w:rPr>
                <w:rFonts w:ascii="Garamond" w:hAnsi="Garamond" w:cstheme="minorHAnsi"/>
                <w:b w:val="0"/>
              </w:rPr>
              <w:t xml:space="preserve"> </w:t>
            </w:r>
            <w:r w:rsidRPr="00A5626D">
              <w:rPr>
                <w:rFonts w:ascii="Garamond" w:hAnsi="Garamond" w:cstheme="minorHAnsi"/>
                <w:b w:val="0"/>
                <w:i/>
              </w:rPr>
              <w:t>Положению о порядке получения статуса субъекта оптового рынка и ведения реестра субъектов оптового рынка</w:t>
            </w:r>
            <w:r w:rsidRPr="00A5626D">
              <w:rPr>
                <w:rFonts w:ascii="Garamond" w:hAnsi="Garamond" w:cstheme="minorHAnsi"/>
                <w:b w:val="0"/>
              </w:rPr>
              <w:t xml:space="preserve"> (Приложение № 1.1 к </w:t>
            </w:r>
            <w:r w:rsidRPr="00A5626D">
              <w:rPr>
                <w:rFonts w:ascii="Garamond" w:hAnsi="Garamond" w:cstheme="minorHAnsi"/>
                <w:b w:val="0"/>
                <w:i/>
              </w:rPr>
              <w:t>Договору о присоединении к торговой системе оптового рынка</w:t>
            </w:r>
            <w:r w:rsidRPr="00A5626D">
              <w:rPr>
                <w:rFonts w:ascii="Garamond" w:hAnsi="Garamond" w:cstheme="minorHAnsi"/>
                <w:b w:val="0"/>
              </w:rPr>
              <w:t xml:space="preserve">) не включены в АИИС КУЭ. </w:t>
            </w:r>
            <w:r w:rsidRPr="00A5626D">
              <w:rPr>
                <w:rFonts w:ascii="Garamond" w:hAnsi="Garamond" w:cstheme="minorHAnsi"/>
                <w:b w:val="0"/>
                <w:highlight w:val="yellow"/>
              </w:rPr>
              <w:t>В случае применения в отношении таких точек поставки средств измерений, обеспечивающих учет электрической энергии суммарно на определенный момент времени (интегральный учет), распределение интегральных помесячных результатов измерений по часам суток осуществляется с использованием типовых суточных графиков нагрузки (на каждую точку измерений отдельно). При этом суммарно за расчетный период величина почасовых объемов потребленной электрической энергии должна быть равна показателям, полученным при интегральном учете;</w:t>
            </w:r>
          </w:p>
        </w:tc>
        <w:tc>
          <w:tcPr>
            <w:tcW w:w="7088" w:type="dxa"/>
          </w:tcPr>
          <w:p w14:paraId="77BC5728" w14:textId="6B05A168" w:rsidR="00295C6D" w:rsidRPr="00A5626D" w:rsidRDefault="00295C6D" w:rsidP="002B237C">
            <w:pPr>
              <w:tabs>
                <w:tab w:val="left" w:pos="1134"/>
                <w:tab w:val="left" w:pos="7938"/>
              </w:tabs>
              <w:spacing w:before="120" w:after="120" w:line="22" w:lineRule="atLeast"/>
              <w:ind w:firstLine="629"/>
              <w:jc w:val="both"/>
              <w:rPr>
                <w:rFonts w:ascii="Garamond" w:hAnsi="Garamond" w:cstheme="minorHAnsi"/>
                <w:sz w:val="22"/>
                <w:szCs w:val="22"/>
                <w:highlight w:val="yellow"/>
              </w:rPr>
            </w:pPr>
            <w:r w:rsidRPr="00A5626D">
              <w:rPr>
                <w:rFonts w:ascii="Garamond" w:hAnsi="Garamond" w:cstheme="minorHAnsi"/>
                <w:sz w:val="22"/>
                <w:szCs w:val="22"/>
              </w:rPr>
              <w:t xml:space="preserve">средства измерений, обеспечивающие измерения электроэнергии во всех точках поставки, входящих в указанное сечение, должны быть включены в АИИС КУЭ. Допускается применение средств измерений, обеспечивающих измерения </w:t>
            </w:r>
            <w:r w:rsidRPr="00A5626D">
              <w:rPr>
                <w:rFonts w:ascii="Garamond" w:hAnsi="Garamond" w:cstheme="minorHAnsi"/>
                <w:sz w:val="22"/>
                <w:szCs w:val="22"/>
                <w:highlight w:val="yellow"/>
              </w:rPr>
              <w:t>в отношении</w:t>
            </w:r>
            <w:r w:rsidRPr="00A5626D">
              <w:rPr>
                <w:rFonts w:ascii="Garamond" w:hAnsi="Garamond" w:cstheme="minorHAnsi"/>
                <w:sz w:val="22"/>
                <w:szCs w:val="22"/>
              </w:rPr>
              <w:t xml:space="preserve"> «малых» точ</w:t>
            </w:r>
            <w:r w:rsidRPr="00A5626D">
              <w:rPr>
                <w:rFonts w:ascii="Garamond" w:hAnsi="Garamond" w:cstheme="minorHAnsi"/>
                <w:sz w:val="22"/>
                <w:szCs w:val="22"/>
                <w:highlight w:val="yellow"/>
              </w:rPr>
              <w:t>е</w:t>
            </w:r>
            <w:r w:rsidRPr="00A5626D">
              <w:rPr>
                <w:rFonts w:ascii="Garamond" w:hAnsi="Garamond" w:cstheme="minorHAnsi"/>
                <w:sz w:val="22"/>
                <w:szCs w:val="22"/>
              </w:rPr>
              <w:t xml:space="preserve">к поставки, которые в соответствии с </w:t>
            </w:r>
            <w:r w:rsidR="002B237C" w:rsidRPr="00A5626D">
              <w:rPr>
                <w:rFonts w:ascii="Garamond" w:hAnsi="Garamond" w:cstheme="minorHAnsi"/>
                <w:sz w:val="22"/>
                <w:szCs w:val="22"/>
                <w:highlight w:val="yellow"/>
              </w:rPr>
              <w:t>п</w:t>
            </w:r>
            <w:r w:rsidRPr="00A5626D">
              <w:rPr>
                <w:rFonts w:ascii="Garamond" w:hAnsi="Garamond" w:cstheme="minorHAnsi"/>
                <w:sz w:val="22"/>
                <w:szCs w:val="22"/>
                <w:highlight w:val="yellow"/>
              </w:rPr>
              <w:t>риложением 8 к</w:t>
            </w:r>
            <w:r w:rsidRPr="00A5626D">
              <w:rPr>
                <w:rFonts w:ascii="Garamond" w:hAnsi="Garamond" w:cstheme="minorHAnsi"/>
                <w:sz w:val="22"/>
                <w:szCs w:val="22"/>
              </w:rPr>
              <w:t xml:space="preserve"> </w:t>
            </w:r>
            <w:r w:rsidRPr="00A5626D">
              <w:rPr>
                <w:rFonts w:ascii="Garamond" w:hAnsi="Garamond" w:cstheme="minorHAnsi"/>
                <w:i/>
                <w:sz w:val="22"/>
                <w:szCs w:val="22"/>
              </w:rPr>
              <w:t>Положению о порядке получения статуса субъекта оптового рынка и ведения реестра субъектов оптового рынка</w:t>
            </w:r>
            <w:r w:rsidRPr="00A5626D">
              <w:rPr>
                <w:rFonts w:ascii="Garamond" w:hAnsi="Garamond" w:cstheme="minorHAnsi"/>
                <w:sz w:val="22"/>
                <w:szCs w:val="22"/>
              </w:rPr>
              <w:t xml:space="preserve"> (Приложение № 1.1 к </w:t>
            </w:r>
            <w:r w:rsidRPr="00A5626D">
              <w:rPr>
                <w:rFonts w:ascii="Garamond" w:hAnsi="Garamond" w:cstheme="minorHAnsi"/>
                <w:i/>
                <w:sz w:val="22"/>
                <w:szCs w:val="22"/>
              </w:rPr>
              <w:t>Договору о присоединении к торговой системе оптового рынка</w:t>
            </w:r>
            <w:r w:rsidRPr="00A5626D">
              <w:rPr>
                <w:rFonts w:ascii="Garamond" w:hAnsi="Garamond" w:cstheme="minorHAnsi"/>
                <w:sz w:val="22"/>
                <w:szCs w:val="22"/>
              </w:rPr>
              <w:t>) не включены в АИИС КУЭ</w:t>
            </w:r>
            <w:r w:rsidR="00615EB4" w:rsidRPr="00A5626D">
              <w:rPr>
                <w:rFonts w:ascii="Garamond" w:hAnsi="Garamond" w:cstheme="minorHAnsi"/>
                <w:sz w:val="22"/>
                <w:szCs w:val="22"/>
              </w:rPr>
              <w:t>.</w:t>
            </w:r>
          </w:p>
        </w:tc>
      </w:tr>
      <w:tr w:rsidR="00295C6D" w:rsidRPr="00A5626D" w14:paraId="0AFA2E26" w14:textId="77777777" w:rsidTr="00647FA0">
        <w:tc>
          <w:tcPr>
            <w:tcW w:w="1060" w:type="dxa"/>
          </w:tcPr>
          <w:p w14:paraId="37E1F572" w14:textId="77777777" w:rsidR="00295C6D" w:rsidRPr="00A5626D" w:rsidRDefault="00295C6D" w:rsidP="00E31AE6">
            <w:pPr>
              <w:widowControl w:val="0"/>
              <w:tabs>
                <w:tab w:val="left" w:pos="1134"/>
                <w:tab w:val="left" w:pos="7938"/>
              </w:tabs>
              <w:spacing w:line="22" w:lineRule="atLeast"/>
              <w:jc w:val="both"/>
              <w:rPr>
                <w:rFonts w:ascii="Garamond" w:hAnsi="Garamond"/>
                <w:b/>
                <w:sz w:val="22"/>
                <w:szCs w:val="22"/>
                <w:lang w:eastAsia="en-US"/>
              </w:rPr>
            </w:pPr>
            <w:r w:rsidRPr="00A5626D">
              <w:rPr>
                <w:rFonts w:ascii="Garamond" w:hAnsi="Garamond"/>
                <w:b/>
                <w:sz w:val="22"/>
                <w:szCs w:val="22"/>
                <w:lang w:eastAsia="en-US"/>
              </w:rPr>
              <w:t>5.4</w:t>
            </w:r>
          </w:p>
        </w:tc>
        <w:tc>
          <w:tcPr>
            <w:tcW w:w="6662" w:type="dxa"/>
          </w:tcPr>
          <w:p w14:paraId="7291E66F" w14:textId="77777777" w:rsidR="00295C6D" w:rsidRPr="00A5626D" w:rsidRDefault="00727FC1" w:rsidP="00647FA0">
            <w:pPr>
              <w:pStyle w:val="2"/>
              <w:numPr>
                <w:ilvl w:val="0"/>
                <w:numId w:val="0"/>
              </w:numPr>
              <w:tabs>
                <w:tab w:val="left" w:pos="1134"/>
                <w:tab w:val="left" w:pos="7938"/>
              </w:tabs>
              <w:suppressAutoHyphens w:val="0"/>
              <w:spacing w:before="120" w:after="120" w:line="22" w:lineRule="atLeast"/>
              <w:ind w:firstLine="629"/>
              <w:jc w:val="both"/>
              <w:rPr>
                <w:rFonts w:ascii="Garamond" w:hAnsi="Garamond" w:cstheme="minorHAnsi"/>
              </w:rPr>
            </w:pPr>
            <w:r w:rsidRPr="00A5626D">
              <w:rPr>
                <w:rFonts w:ascii="Garamond" w:hAnsi="Garamond" w:cstheme="minorHAnsi"/>
              </w:rPr>
              <w:t>Добавить пункт</w:t>
            </w:r>
          </w:p>
        </w:tc>
        <w:tc>
          <w:tcPr>
            <w:tcW w:w="7088" w:type="dxa"/>
          </w:tcPr>
          <w:p w14:paraId="6242303A" w14:textId="0F20F9E3" w:rsidR="00295C6D" w:rsidRPr="00A5626D" w:rsidRDefault="00295C6D" w:rsidP="00647FA0">
            <w:pPr>
              <w:tabs>
                <w:tab w:val="left" w:pos="1134"/>
                <w:tab w:val="left" w:pos="7938"/>
              </w:tabs>
              <w:spacing w:before="120" w:after="120" w:line="22" w:lineRule="atLeast"/>
              <w:ind w:firstLine="629"/>
              <w:jc w:val="both"/>
              <w:rPr>
                <w:rFonts w:ascii="Garamond" w:hAnsi="Garamond" w:cstheme="minorHAnsi"/>
                <w:sz w:val="22"/>
                <w:szCs w:val="22"/>
                <w:highlight w:val="yellow"/>
              </w:rPr>
            </w:pPr>
            <w:r w:rsidRPr="00A5626D">
              <w:rPr>
                <w:rFonts w:ascii="Garamond" w:hAnsi="Garamond" w:cstheme="minorHAnsi"/>
                <w:sz w:val="22"/>
                <w:szCs w:val="22"/>
                <w:highlight w:val="yellow"/>
              </w:rPr>
              <w:t xml:space="preserve">В случае если организация получила право участия в торговле электрической энергией (мощностью) на оптовом рынке с использованием соответствующей ГТП в порядке, предусмотренном пп. 2, 5.1–5.4.1 приложения 2 к </w:t>
            </w:r>
            <w:r w:rsidRPr="00A5626D">
              <w:rPr>
                <w:rFonts w:ascii="Garamond" w:hAnsi="Garamond" w:cstheme="minorHAnsi"/>
                <w:i/>
                <w:sz w:val="22"/>
                <w:szCs w:val="22"/>
                <w:highlight w:val="yellow"/>
              </w:rPr>
              <w:t>Положению о порядке получения статуса субъекта оптового рынка и ведения реестра субъектов оптового рынка</w:t>
            </w:r>
            <w:r w:rsidRPr="00A5626D">
              <w:rPr>
                <w:rFonts w:ascii="Garamond" w:hAnsi="Garamond" w:cstheme="minorHAnsi"/>
                <w:sz w:val="22"/>
                <w:szCs w:val="22"/>
                <w:highlight w:val="yellow"/>
              </w:rPr>
              <w:t xml:space="preserve"> (Приложение № 1.1 к </w:t>
            </w:r>
            <w:r w:rsidRPr="00A5626D">
              <w:rPr>
                <w:rFonts w:ascii="Garamond" w:hAnsi="Garamond" w:cstheme="minorHAnsi"/>
                <w:i/>
                <w:sz w:val="22"/>
                <w:szCs w:val="22"/>
                <w:highlight w:val="yellow"/>
              </w:rPr>
              <w:t>Договору о присоединении к торговой системе оптового рынка</w:t>
            </w:r>
            <w:r w:rsidRPr="00A5626D">
              <w:rPr>
                <w:rFonts w:ascii="Garamond" w:hAnsi="Garamond" w:cstheme="minorHAnsi"/>
                <w:sz w:val="22"/>
                <w:szCs w:val="22"/>
                <w:highlight w:val="yellow"/>
              </w:rPr>
              <w:t>)</w:t>
            </w:r>
            <w:r w:rsidR="00D1090C" w:rsidRPr="00A5626D">
              <w:rPr>
                <w:rFonts w:ascii="Garamond" w:hAnsi="Garamond" w:cstheme="minorHAnsi"/>
                <w:sz w:val="22"/>
                <w:szCs w:val="22"/>
                <w:highlight w:val="yellow"/>
              </w:rPr>
              <w:t>, в составе которой было зарегистрировано</w:t>
            </w:r>
            <w:r w:rsidRPr="00A5626D">
              <w:rPr>
                <w:rFonts w:ascii="Garamond" w:hAnsi="Garamond" w:cstheme="minorHAnsi"/>
                <w:sz w:val="22"/>
                <w:szCs w:val="22"/>
                <w:highlight w:val="yellow"/>
              </w:rPr>
              <w:t xml:space="preserve"> внутренне</w:t>
            </w:r>
            <w:r w:rsidR="00D1090C" w:rsidRPr="00A5626D">
              <w:rPr>
                <w:rFonts w:ascii="Garamond" w:hAnsi="Garamond" w:cstheme="minorHAnsi"/>
                <w:sz w:val="22"/>
                <w:szCs w:val="22"/>
                <w:highlight w:val="yellow"/>
              </w:rPr>
              <w:t>е</w:t>
            </w:r>
            <w:r w:rsidRPr="00A5626D">
              <w:rPr>
                <w:rFonts w:ascii="Garamond" w:hAnsi="Garamond" w:cstheme="minorHAnsi"/>
                <w:sz w:val="22"/>
                <w:szCs w:val="22"/>
                <w:highlight w:val="yellow"/>
              </w:rPr>
              <w:t xml:space="preserve"> сечени</w:t>
            </w:r>
            <w:r w:rsidR="00D1090C" w:rsidRPr="00A5626D">
              <w:rPr>
                <w:rFonts w:ascii="Garamond" w:hAnsi="Garamond" w:cstheme="minorHAnsi"/>
                <w:sz w:val="22"/>
                <w:szCs w:val="22"/>
                <w:highlight w:val="yellow"/>
              </w:rPr>
              <w:t>е</w:t>
            </w:r>
            <w:r w:rsidRPr="00A5626D">
              <w:rPr>
                <w:rFonts w:ascii="Garamond" w:hAnsi="Garamond" w:cstheme="minorHAnsi"/>
                <w:sz w:val="22"/>
                <w:szCs w:val="22"/>
                <w:highlight w:val="yellow"/>
              </w:rPr>
              <w:t>, а также в случае образования внутреннего сечения вследствие предоставления субъекту оптового рынка права участия в торговле на оптовом рынке в указанном выше порядке, Правопреемник вправе использовать ПСИ Правопредшественника (в том числе действовавшего в соответствующем сечении коммерческого учета смежных субъектов оптового рынка на момент образования внутреннего сечения) в течение 6 (шести) месяцев с даты предоставления ему права участия в торговле электрической энергией и (или) мощностью на оптовом рынке. Указанному субъекту оптового рынка</w:t>
            </w:r>
            <w:r w:rsidRPr="00A5626D" w:rsidDel="00A464BA">
              <w:rPr>
                <w:rFonts w:ascii="Garamond" w:hAnsi="Garamond" w:cstheme="minorHAnsi"/>
                <w:sz w:val="22"/>
                <w:szCs w:val="22"/>
                <w:highlight w:val="yellow"/>
              </w:rPr>
              <w:t xml:space="preserve"> </w:t>
            </w:r>
            <w:r w:rsidRPr="00A5626D">
              <w:rPr>
                <w:rFonts w:ascii="Garamond" w:hAnsi="Garamond" w:cstheme="minorHAnsi"/>
                <w:sz w:val="22"/>
                <w:szCs w:val="22"/>
                <w:highlight w:val="yellow"/>
              </w:rPr>
              <w:t xml:space="preserve">для целей формирования данных коммерческого учета в порядке, предусмотренном п. 7.4 настоящего Регламента, необходимо выполнить требования </w:t>
            </w:r>
            <w:r w:rsidR="00D81DB8" w:rsidRPr="00A5626D">
              <w:rPr>
                <w:rFonts w:ascii="Garamond" w:hAnsi="Garamond" w:cstheme="minorHAnsi"/>
                <w:sz w:val="22"/>
                <w:szCs w:val="22"/>
                <w:highlight w:val="yellow"/>
              </w:rPr>
              <w:t>п</w:t>
            </w:r>
            <w:r w:rsidRPr="00A5626D">
              <w:rPr>
                <w:rFonts w:ascii="Garamond" w:hAnsi="Garamond" w:cstheme="minorHAnsi"/>
                <w:sz w:val="22"/>
                <w:szCs w:val="22"/>
                <w:highlight w:val="yellow"/>
              </w:rPr>
              <w:t>п. 5.1</w:t>
            </w:r>
            <w:r w:rsidR="00D81DB8" w:rsidRPr="00A5626D">
              <w:rPr>
                <w:rFonts w:ascii="Garamond" w:hAnsi="Garamond" w:cstheme="minorHAnsi"/>
                <w:sz w:val="22"/>
                <w:szCs w:val="22"/>
                <w:highlight w:val="yellow"/>
              </w:rPr>
              <w:t>–</w:t>
            </w:r>
            <w:r w:rsidRPr="00A5626D">
              <w:rPr>
                <w:rFonts w:ascii="Garamond" w:hAnsi="Garamond" w:cstheme="minorHAnsi"/>
                <w:sz w:val="22"/>
                <w:szCs w:val="22"/>
                <w:highlight w:val="yellow"/>
              </w:rPr>
              <w:t xml:space="preserve">5.3 настоящего Регламента в течение 6 (шести) месяцев с даты предоставления ему права участия в торговле на оптовом рынке. </w:t>
            </w:r>
          </w:p>
          <w:p w14:paraId="2040FD4F" w14:textId="1C083E40" w:rsidR="00295C6D" w:rsidRPr="00A5626D" w:rsidRDefault="00295C6D" w:rsidP="00647FA0">
            <w:pPr>
              <w:tabs>
                <w:tab w:val="num" w:pos="0"/>
                <w:tab w:val="left" w:pos="1134"/>
                <w:tab w:val="left" w:pos="1200"/>
                <w:tab w:val="left" w:pos="7938"/>
              </w:tabs>
              <w:spacing w:before="120" w:after="120" w:line="22" w:lineRule="atLeast"/>
              <w:ind w:firstLine="629"/>
              <w:jc w:val="both"/>
              <w:rPr>
                <w:rFonts w:ascii="Garamond" w:hAnsi="Garamond" w:cstheme="minorHAnsi"/>
                <w:sz w:val="22"/>
                <w:szCs w:val="22"/>
                <w:highlight w:val="yellow"/>
              </w:rPr>
            </w:pPr>
            <w:r w:rsidRPr="00A5626D">
              <w:rPr>
                <w:rFonts w:ascii="Garamond" w:hAnsi="Garamond" w:cstheme="minorHAnsi"/>
                <w:sz w:val="22"/>
                <w:szCs w:val="22"/>
                <w:highlight w:val="yellow"/>
              </w:rPr>
              <w:lastRenderedPageBreak/>
              <w:t xml:space="preserve">В случае если предоставление (лишение) права участия в торговле на оптовом рынке по ГТП субъекта оптового рынка в соответствии с п. 3.5 </w:t>
            </w:r>
            <w:r w:rsidRPr="00A5626D">
              <w:rPr>
                <w:rFonts w:ascii="Garamond" w:hAnsi="Garamond" w:cstheme="minorHAnsi"/>
                <w:i/>
                <w:sz w:val="22"/>
                <w:szCs w:val="22"/>
                <w:highlight w:val="yellow"/>
              </w:rPr>
              <w:t>Регламента допуска к торговой системе оптового рынка</w:t>
            </w:r>
            <w:r w:rsidRPr="00A5626D">
              <w:rPr>
                <w:rFonts w:ascii="Garamond" w:hAnsi="Garamond" w:cstheme="minorHAnsi"/>
                <w:sz w:val="22"/>
                <w:szCs w:val="22"/>
                <w:highlight w:val="yellow"/>
              </w:rPr>
              <w:t xml:space="preserve"> (Приложение № 1 к</w:t>
            </w:r>
            <w:r w:rsidRPr="00A5626D">
              <w:rPr>
                <w:rFonts w:ascii="Garamond" w:hAnsi="Garamond" w:cstheme="minorHAnsi"/>
                <w:i/>
                <w:sz w:val="22"/>
                <w:szCs w:val="22"/>
                <w:highlight w:val="yellow"/>
              </w:rPr>
              <w:t xml:space="preserve"> Договору о присоединении к торговой системе оптового рынка</w:t>
            </w:r>
            <w:r w:rsidRPr="00A5626D">
              <w:rPr>
                <w:rFonts w:ascii="Garamond" w:hAnsi="Garamond" w:cstheme="minorHAnsi"/>
                <w:sz w:val="22"/>
                <w:szCs w:val="22"/>
                <w:highlight w:val="yellow"/>
              </w:rPr>
              <w:t xml:space="preserve">) или вступление в силу ПСИ по сечению коммерческого учета ФСК в соответствии с п. 2.2 приложения 2 к </w:t>
            </w:r>
            <w:r w:rsidRPr="00A5626D">
              <w:rPr>
                <w:rFonts w:ascii="Garamond" w:hAnsi="Garamond" w:cstheme="minorHAnsi"/>
                <w:i/>
                <w:sz w:val="22"/>
                <w:szCs w:val="22"/>
                <w:highlight w:val="yellow"/>
              </w:rPr>
              <w:t>Регламенту допуска к торговой системе оптового рынка</w:t>
            </w:r>
            <w:r w:rsidRPr="00A5626D">
              <w:rPr>
                <w:rFonts w:ascii="Garamond" w:hAnsi="Garamond" w:cstheme="minorHAnsi"/>
                <w:sz w:val="22"/>
                <w:szCs w:val="22"/>
                <w:highlight w:val="yellow"/>
              </w:rPr>
              <w:t xml:space="preserve"> (Приложение № 1 к</w:t>
            </w:r>
            <w:r w:rsidRPr="00A5626D">
              <w:rPr>
                <w:rFonts w:ascii="Garamond" w:hAnsi="Garamond" w:cstheme="minorHAnsi"/>
                <w:i/>
                <w:sz w:val="22"/>
                <w:szCs w:val="22"/>
                <w:highlight w:val="yellow"/>
              </w:rPr>
              <w:t xml:space="preserve"> Договору о присоединении к торговой системе оптового рынка</w:t>
            </w:r>
            <w:r w:rsidRPr="00A5626D">
              <w:rPr>
                <w:rFonts w:ascii="Garamond" w:hAnsi="Garamond" w:cstheme="minorHAnsi"/>
                <w:sz w:val="22"/>
                <w:szCs w:val="22"/>
                <w:highlight w:val="yellow"/>
              </w:rPr>
              <w:t>) вносит изменение в состав точек поставки внутреннего сечения либо влечет возникновение нового внутреннего сечения, субъекту оптового рынка, в состав ГТП потребления которого входит указанное внутреннее сечение, для целей формирования данных коммерческого учета в порядке, предусмотренном п. 7.4 настоящего Регламента, необходимо выполнить требования п</w:t>
            </w:r>
            <w:r w:rsidR="00D81DB8" w:rsidRPr="00A5626D">
              <w:rPr>
                <w:rFonts w:ascii="Garamond" w:hAnsi="Garamond" w:cstheme="minorHAnsi"/>
                <w:sz w:val="22"/>
                <w:szCs w:val="22"/>
                <w:highlight w:val="yellow"/>
              </w:rPr>
              <w:t>п</w:t>
            </w:r>
            <w:r w:rsidRPr="00A5626D">
              <w:rPr>
                <w:rFonts w:ascii="Garamond" w:hAnsi="Garamond" w:cstheme="minorHAnsi"/>
                <w:sz w:val="22"/>
                <w:szCs w:val="22"/>
                <w:highlight w:val="yellow"/>
              </w:rPr>
              <w:t>. 5.1</w:t>
            </w:r>
            <w:r w:rsidR="00D81DB8" w:rsidRPr="00A5626D">
              <w:rPr>
                <w:rFonts w:ascii="Garamond" w:hAnsi="Garamond" w:cstheme="minorHAnsi"/>
                <w:sz w:val="22"/>
                <w:szCs w:val="22"/>
                <w:highlight w:val="yellow"/>
              </w:rPr>
              <w:t>–</w:t>
            </w:r>
            <w:r w:rsidRPr="00A5626D">
              <w:rPr>
                <w:rFonts w:ascii="Garamond" w:hAnsi="Garamond" w:cstheme="minorHAnsi"/>
                <w:sz w:val="22"/>
                <w:szCs w:val="22"/>
                <w:highlight w:val="yellow"/>
              </w:rPr>
              <w:t>5.3 настоящего Регламента в течение 6 (шести) месяцев с даты вступления в действие вышеуказанных изменений.</w:t>
            </w:r>
          </w:p>
          <w:p w14:paraId="78428A2D" w14:textId="78CFAD5C" w:rsidR="00295C6D" w:rsidRPr="00A5626D" w:rsidRDefault="00295C6D" w:rsidP="00647FA0">
            <w:pPr>
              <w:tabs>
                <w:tab w:val="num" w:pos="0"/>
                <w:tab w:val="left" w:pos="1134"/>
                <w:tab w:val="left" w:pos="1200"/>
                <w:tab w:val="left" w:pos="7938"/>
              </w:tabs>
              <w:spacing w:before="120" w:after="120" w:line="22" w:lineRule="atLeast"/>
              <w:ind w:firstLine="629"/>
              <w:jc w:val="both"/>
              <w:rPr>
                <w:rFonts w:ascii="Garamond" w:hAnsi="Garamond" w:cstheme="minorHAnsi"/>
                <w:sz w:val="22"/>
                <w:szCs w:val="22"/>
                <w:highlight w:val="yellow"/>
              </w:rPr>
            </w:pPr>
            <w:r w:rsidRPr="00A5626D">
              <w:rPr>
                <w:rFonts w:ascii="Garamond" w:hAnsi="Garamond" w:cstheme="minorHAnsi"/>
                <w:sz w:val="22"/>
                <w:szCs w:val="22"/>
                <w:highlight w:val="yellow"/>
              </w:rPr>
              <w:t>В случае получения уведомления, направленного КО в соответствии с п. 1 таблицы 3 приложения 2 к Приложению № 11.3 к</w:t>
            </w:r>
            <w:r w:rsidRPr="00A5626D">
              <w:rPr>
                <w:rFonts w:ascii="Garamond" w:hAnsi="Garamond"/>
                <w:sz w:val="22"/>
                <w:szCs w:val="22"/>
                <w:highlight w:val="yellow"/>
              </w:rPr>
              <w:t xml:space="preserve"> </w:t>
            </w:r>
            <w:r w:rsidRPr="00A5626D">
              <w:rPr>
                <w:rFonts w:ascii="Garamond" w:hAnsi="Garamond" w:cstheme="minorHAnsi"/>
                <w:i/>
                <w:sz w:val="22"/>
                <w:szCs w:val="22"/>
                <w:highlight w:val="yellow"/>
              </w:rPr>
              <w:t>Положению о порядке получения статуса субъекта оптового рынка и ведения реестра субъектов оптового рынка</w:t>
            </w:r>
            <w:r w:rsidRPr="00A5626D">
              <w:rPr>
                <w:rFonts w:ascii="Garamond" w:hAnsi="Garamond" w:cstheme="minorHAnsi"/>
                <w:sz w:val="22"/>
                <w:szCs w:val="22"/>
                <w:highlight w:val="yellow"/>
              </w:rPr>
              <w:t xml:space="preserve"> (Приложение № 1.1 к </w:t>
            </w:r>
            <w:r w:rsidRPr="00A5626D">
              <w:rPr>
                <w:rFonts w:ascii="Garamond" w:hAnsi="Garamond" w:cstheme="minorHAnsi"/>
                <w:i/>
                <w:sz w:val="22"/>
                <w:szCs w:val="22"/>
                <w:highlight w:val="yellow"/>
              </w:rPr>
              <w:t>Договору о присоединении к торговой системе оптового рынка</w:t>
            </w:r>
            <w:r w:rsidRPr="00A5626D">
              <w:rPr>
                <w:rFonts w:ascii="Garamond" w:hAnsi="Garamond" w:cstheme="minorHAnsi"/>
                <w:sz w:val="22"/>
                <w:szCs w:val="22"/>
                <w:highlight w:val="yellow"/>
              </w:rPr>
              <w:t xml:space="preserve">) в отношении внутреннего сечения, участнику оптового рынка, в состав ГТП потребления которого входит указанное внутреннее сечение, для целей формирования данных коммерческого учета в порядке, предусмотренном п. 7.4 настоящего Регламента, необходимо выполнить требования </w:t>
            </w:r>
            <w:r w:rsidR="00D81DB8" w:rsidRPr="00A5626D">
              <w:rPr>
                <w:rFonts w:ascii="Garamond" w:hAnsi="Garamond" w:cstheme="minorHAnsi"/>
                <w:sz w:val="22"/>
                <w:szCs w:val="22"/>
                <w:highlight w:val="yellow"/>
              </w:rPr>
              <w:t>п</w:t>
            </w:r>
            <w:r w:rsidRPr="00A5626D">
              <w:rPr>
                <w:rFonts w:ascii="Garamond" w:hAnsi="Garamond" w:cstheme="minorHAnsi"/>
                <w:sz w:val="22"/>
                <w:szCs w:val="22"/>
                <w:highlight w:val="yellow"/>
              </w:rPr>
              <w:t>п. 5.1</w:t>
            </w:r>
            <w:r w:rsidR="00D81DB8" w:rsidRPr="00A5626D">
              <w:rPr>
                <w:rFonts w:ascii="Garamond" w:hAnsi="Garamond" w:cstheme="minorHAnsi"/>
                <w:sz w:val="22"/>
                <w:szCs w:val="22"/>
                <w:highlight w:val="yellow"/>
              </w:rPr>
              <w:t>–</w:t>
            </w:r>
            <w:r w:rsidRPr="00A5626D">
              <w:rPr>
                <w:rFonts w:ascii="Garamond" w:hAnsi="Garamond" w:cstheme="minorHAnsi"/>
                <w:sz w:val="22"/>
                <w:szCs w:val="22"/>
                <w:highlight w:val="yellow"/>
              </w:rPr>
              <w:t>5.3 настоящего Регламента в течение 2 (двух) месяцев, следующих за месяцем, в котором получено вышеуказанное уведомление.</w:t>
            </w:r>
          </w:p>
          <w:p w14:paraId="2BBBCF51" w14:textId="043C0E89" w:rsidR="00295C6D" w:rsidRPr="00A5626D" w:rsidRDefault="00295C6D" w:rsidP="00647FA0">
            <w:pPr>
              <w:tabs>
                <w:tab w:val="num" w:pos="0"/>
                <w:tab w:val="left" w:pos="1134"/>
                <w:tab w:val="left" w:pos="1200"/>
                <w:tab w:val="left" w:pos="7938"/>
              </w:tabs>
              <w:spacing w:before="120" w:after="120" w:line="22" w:lineRule="atLeast"/>
              <w:ind w:firstLine="629"/>
              <w:jc w:val="both"/>
              <w:rPr>
                <w:rFonts w:ascii="Garamond" w:hAnsi="Garamond" w:cstheme="minorHAnsi"/>
                <w:sz w:val="22"/>
                <w:szCs w:val="22"/>
                <w:highlight w:val="yellow"/>
              </w:rPr>
            </w:pPr>
            <w:r w:rsidRPr="00A5626D">
              <w:rPr>
                <w:rFonts w:ascii="Garamond" w:hAnsi="Garamond" w:cstheme="minorHAnsi"/>
                <w:sz w:val="22"/>
                <w:szCs w:val="22"/>
                <w:highlight w:val="yellow"/>
              </w:rPr>
              <w:t xml:space="preserve">В случае наличия у участника оптового рынка Акта о соответствии АИИС КУЭ по изменяемому внутреннему сечению, при внесении изменений в регистрационную информацию по вышеуказанному внутреннему сечению в части состава точек поставки и (или) точек измерений в порядке, предусмотренном п. 4.1.1 или п. 4.3.2 </w:t>
            </w:r>
            <w:r w:rsidRPr="00A5626D">
              <w:rPr>
                <w:rFonts w:ascii="Garamond" w:hAnsi="Garamond" w:cstheme="minorHAnsi"/>
                <w:i/>
                <w:sz w:val="22"/>
                <w:szCs w:val="22"/>
                <w:highlight w:val="yellow"/>
              </w:rPr>
              <w:t>Положения о порядке получения статуса субъекта оптового рынка и ведения реестра субъектов оптового рынка</w:t>
            </w:r>
            <w:r w:rsidRPr="00A5626D">
              <w:rPr>
                <w:rFonts w:ascii="Garamond" w:hAnsi="Garamond" w:cstheme="minorHAnsi"/>
                <w:sz w:val="22"/>
                <w:szCs w:val="22"/>
                <w:highlight w:val="yellow"/>
              </w:rPr>
              <w:t xml:space="preserve"> (Приложение № 1.1 к </w:t>
            </w:r>
            <w:r w:rsidRPr="00A5626D">
              <w:rPr>
                <w:rFonts w:ascii="Garamond" w:hAnsi="Garamond" w:cstheme="minorHAnsi"/>
                <w:i/>
                <w:sz w:val="22"/>
                <w:szCs w:val="22"/>
                <w:highlight w:val="yellow"/>
              </w:rPr>
              <w:t>Договору о присоединении к торговой системе оптового рынка</w:t>
            </w:r>
            <w:r w:rsidRPr="00A5626D">
              <w:rPr>
                <w:rFonts w:ascii="Garamond" w:hAnsi="Garamond" w:cstheme="minorHAnsi"/>
                <w:sz w:val="22"/>
                <w:szCs w:val="22"/>
                <w:highlight w:val="yellow"/>
              </w:rPr>
              <w:t>), при условии, если КО не был оформлен Акт о соответствии АИИС КУЭ в порядке, предусмотренном п. 4.1.1.1 вышеуказанного Положения, участнику оптового рынка для целей формирования данных коммерческого учета в порядке, предусмотренном п. 7.4 настоящего Регламента, необходимо выполнить требования п</w:t>
            </w:r>
            <w:r w:rsidR="002B237C" w:rsidRPr="00A5626D">
              <w:rPr>
                <w:rFonts w:ascii="Garamond" w:hAnsi="Garamond" w:cstheme="minorHAnsi"/>
                <w:sz w:val="22"/>
                <w:szCs w:val="22"/>
                <w:highlight w:val="yellow"/>
              </w:rPr>
              <w:t>п</w:t>
            </w:r>
            <w:r w:rsidRPr="00A5626D">
              <w:rPr>
                <w:rFonts w:ascii="Garamond" w:hAnsi="Garamond" w:cstheme="minorHAnsi"/>
                <w:sz w:val="22"/>
                <w:szCs w:val="22"/>
                <w:highlight w:val="yellow"/>
              </w:rPr>
              <w:t>. 5.1</w:t>
            </w:r>
            <w:r w:rsidR="002B237C" w:rsidRPr="00A5626D">
              <w:rPr>
                <w:rFonts w:ascii="Garamond" w:hAnsi="Garamond" w:cstheme="minorHAnsi"/>
                <w:sz w:val="22"/>
                <w:szCs w:val="22"/>
                <w:highlight w:val="yellow"/>
              </w:rPr>
              <w:t>–</w:t>
            </w:r>
            <w:r w:rsidRPr="00A5626D">
              <w:rPr>
                <w:rFonts w:ascii="Garamond" w:hAnsi="Garamond" w:cstheme="minorHAnsi"/>
                <w:sz w:val="22"/>
                <w:szCs w:val="22"/>
                <w:highlight w:val="yellow"/>
              </w:rPr>
              <w:t xml:space="preserve">5.3 настоящего </w:t>
            </w:r>
            <w:r w:rsidRPr="00A5626D">
              <w:rPr>
                <w:rFonts w:ascii="Garamond" w:hAnsi="Garamond" w:cstheme="minorHAnsi"/>
                <w:sz w:val="22"/>
                <w:szCs w:val="22"/>
                <w:highlight w:val="yellow"/>
              </w:rPr>
              <w:lastRenderedPageBreak/>
              <w:t>Регламента до истечения 3 (трех) месяцев с даты вступления в действие вышеуказанных изменений.</w:t>
            </w:r>
          </w:p>
          <w:p w14:paraId="5F0D30B6" w14:textId="77777777" w:rsidR="00295C6D" w:rsidRPr="00A5626D" w:rsidRDefault="00295C6D" w:rsidP="00647FA0">
            <w:pPr>
              <w:tabs>
                <w:tab w:val="num" w:pos="0"/>
                <w:tab w:val="left" w:pos="1134"/>
                <w:tab w:val="left" w:pos="1200"/>
                <w:tab w:val="left" w:pos="7938"/>
              </w:tabs>
              <w:spacing w:before="120" w:after="120" w:line="22" w:lineRule="atLeast"/>
              <w:ind w:firstLine="629"/>
              <w:jc w:val="both"/>
              <w:rPr>
                <w:rFonts w:ascii="Garamond" w:hAnsi="Garamond" w:cstheme="minorHAnsi"/>
                <w:sz w:val="22"/>
                <w:szCs w:val="22"/>
                <w:highlight w:val="yellow"/>
              </w:rPr>
            </w:pPr>
            <w:r w:rsidRPr="00A5626D">
              <w:rPr>
                <w:rFonts w:ascii="Garamond" w:hAnsi="Garamond" w:cstheme="minorHAnsi"/>
                <w:sz w:val="22"/>
                <w:szCs w:val="22"/>
                <w:highlight w:val="yellow"/>
              </w:rPr>
              <w:t>До выполнения указанных выше требований у субъекта оптового рынка отсутствует возможность формирования в разделе «Данные АИИС» акта учета перетоков (макет 51020) по внутреннему сечению в порядке, предусмотренном п. 7.4 настоящего Регламента, в отношении всего расчетного периода. В указанный период расчет значений учетного показателя по внутреннему сечению осуществляется на основе замещающих методов расчета, указанных в п. 8.1 настоящего Регламента, с использованием принятого КО к расчетам корректирующего акта учета перетоков по внутреннему сечению (макет 51075), а в случае отсутствия принятого к расчетам корректирующего акта учета перетоков по внутреннему сечению (макет 51075) объем потребления электроэнергии по ГТП потребления, в состав которых входит указанное внутреннее сечение, определяется на основании замещающих методов расчета, предусмотренных п. 8.2 настоящего Регламента.</w:t>
            </w:r>
          </w:p>
          <w:p w14:paraId="1812B19A" w14:textId="2C475CB7" w:rsidR="00295C6D" w:rsidRPr="00A5626D" w:rsidRDefault="00295C6D" w:rsidP="00647FA0">
            <w:pPr>
              <w:tabs>
                <w:tab w:val="left" w:pos="1134"/>
                <w:tab w:val="left" w:pos="7938"/>
              </w:tabs>
              <w:autoSpaceDE w:val="0"/>
              <w:autoSpaceDN w:val="0"/>
              <w:adjustRightInd w:val="0"/>
              <w:spacing w:before="120" w:after="120" w:line="22" w:lineRule="atLeast"/>
              <w:ind w:firstLine="629"/>
              <w:jc w:val="both"/>
              <w:rPr>
                <w:rFonts w:ascii="Garamond" w:hAnsi="Garamond" w:cstheme="minorHAnsi"/>
                <w:sz w:val="22"/>
                <w:szCs w:val="22"/>
                <w:highlight w:val="yellow"/>
              </w:rPr>
            </w:pPr>
            <w:r w:rsidRPr="00A5626D">
              <w:rPr>
                <w:rFonts w:ascii="Garamond" w:hAnsi="Garamond" w:cstheme="minorHAnsi"/>
                <w:sz w:val="22"/>
                <w:szCs w:val="22"/>
                <w:highlight w:val="yellow"/>
              </w:rPr>
              <w:t xml:space="preserve">Невыполнение вышеуказанным субъектом оптового рынка требований </w:t>
            </w:r>
            <w:r w:rsidR="00D81DB8" w:rsidRPr="00A5626D">
              <w:rPr>
                <w:rFonts w:ascii="Garamond" w:hAnsi="Garamond" w:cstheme="minorHAnsi"/>
                <w:sz w:val="22"/>
                <w:szCs w:val="22"/>
                <w:highlight w:val="yellow"/>
              </w:rPr>
              <w:t>п</w:t>
            </w:r>
            <w:r w:rsidRPr="00A5626D">
              <w:rPr>
                <w:rFonts w:ascii="Garamond" w:hAnsi="Garamond" w:cstheme="minorHAnsi"/>
                <w:sz w:val="22"/>
                <w:szCs w:val="22"/>
                <w:highlight w:val="yellow"/>
              </w:rPr>
              <w:t>п. 5.1</w:t>
            </w:r>
            <w:r w:rsidR="00D81DB8" w:rsidRPr="00A5626D">
              <w:rPr>
                <w:rFonts w:ascii="Garamond" w:hAnsi="Garamond" w:cstheme="minorHAnsi"/>
                <w:sz w:val="22"/>
                <w:szCs w:val="22"/>
                <w:highlight w:val="yellow"/>
              </w:rPr>
              <w:t>–</w:t>
            </w:r>
            <w:r w:rsidRPr="00A5626D">
              <w:rPr>
                <w:rFonts w:ascii="Garamond" w:hAnsi="Garamond" w:cstheme="minorHAnsi"/>
                <w:sz w:val="22"/>
                <w:szCs w:val="22"/>
                <w:highlight w:val="yellow"/>
              </w:rPr>
              <w:t>5.3 настоящего Регламента в отношении внутреннего сечения по истечении сроков, установленных настоящим пунктом, влечет применение замещающих методов расчета, предусмотренных п. 8.2 настоящего Регламента, для определения фактических объемов потребленной электроэнергии в ГТП, в состав которых входит указанное внутреннее сечение.</w:t>
            </w:r>
          </w:p>
          <w:p w14:paraId="2034219C" w14:textId="77777777" w:rsidR="00295C6D" w:rsidRPr="00A5626D" w:rsidRDefault="00295C6D" w:rsidP="00647FA0">
            <w:pPr>
              <w:tabs>
                <w:tab w:val="left" w:pos="720"/>
                <w:tab w:val="left" w:pos="1134"/>
                <w:tab w:val="left" w:pos="7938"/>
              </w:tabs>
              <w:spacing w:before="120" w:after="120" w:line="22" w:lineRule="atLeast"/>
              <w:ind w:firstLine="629"/>
              <w:jc w:val="both"/>
              <w:rPr>
                <w:rFonts w:ascii="Garamond" w:hAnsi="Garamond" w:cstheme="minorHAnsi"/>
                <w:sz w:val="22"/>
                <w:szCs w:val="22"/>
              </w:rPr>
            </w:pPr>
            <w:r w:rsidRPr="00A5626D">
              <w:rPr>
                <w:rFonts w:ascii="Garamond" w:hAnsi="Garamond" w:cstheme="minorHAnsi"/>
                <w:sz w:val="22"/>
                <w:szCs w:val="22"/>
                <w:highlight w:val="yellow"/>
              </w:rPr>
              <w:t>Допускается для целей определения величины потребления электрической энергии и мощности на собственные и хозяйственные нужды электрической станции формирование внутреннего сечения между двумя группами точек поставки потребления поставщика электроэнергии и мощности, сформированными в отношении отдельных электрических станций, в случае, если объекты электросетевого хозяйства электрической станции в силу технологических особенностей процесса выработки электроэнергии и мощности непосредственно присоединены к электрическим сетям другой электрической станции поставщика электроэнергии и мощности.</w:t>
            </w:r>
          </w:p>
        </w:tc>
      </w:tr>
      <w:tr w:rsidR="00295C6D" w:rsidRPr="00A5626D" w14:paraId="03963A65" w14:textId="77777777" w:rsidTr="00647FA0">
        <w:tc>
          <w:tcPr>
            <w:tcW w:w="1060" w:type="dxa"/>
            <w:vAlign w:val="center"/>
          </w:tcPr>
          <w:p w14:paraId="3AC91E6E" w14:textId="77777777" w:rsidR="00295C6D" w:rsidRPr="00A5626D" w:rsidRDefault="00295C6D" w:rsidP="00E31AE6">
            <w:pPr>
              <w:widowControl w:val="0"/>
              <w:tabs>
                <w:tab w:val="left" w:pos="1134"/>
                <w:tab w:val="left" w:pos="7938"/>
              </w:tabs>
              <w:spacing w:line="22" w:lineRule="atLeast"/>
              <w:jc w:val="both"/>
              <w:rPr>
                <w:rFonts w:ascii="Garamond" w:hAnsi="Garamond"/>
                <w:b/>
                <w:sz w:val="22"/>
                <w:szCs w:val="22"/>
                <w:lang w:eastAsia="en-US"/>
              </w:rPr>
            </w:pPr>
            <w:r w:rsidRPr="00A5626D">
              <w:rPr>
                <w:rFonts w:ascii="Garamond" w:hAnsi="Garamond"/>
                <w:b/>
                <w:sz w:val="22"/>
                <w:szCs w:val="22"/>
                <w:lang w:eastAsia="en-US"/>
              </w:rPr>
              <w:lastRenderedPageBreak/>
              <w:t>Раздел 6</w:t>
            </w:r>
          </w:p>
        </w:tc>
        <w:tc>
          <w:tcPr>
            <w:tcW w:w="6662" w:type="dxa"/>
          </w:tcPr>
          <w:p w14:paraId="50A12565" w14:textId="77777777" w:rsidR="00295C6D" w:rsidRPr="00A5626D" w:rsidRDefault="00295C6D" w:rsidP="00647FA0">
            <w:pPr>
              <w:pStyle w:val="2"/>
              <w:numPr>
                <w:ilvl w:val="0"/>
                <w:numId w:val="0"/>
              </w:numPr>
              <w:tabs>
                <w:tab w:val="left" w:pos="1134"/>
                <w:tab w:val="left" w:pos="7938"/>
              </w:tabs>
              <w:suppressAutoHyphens w:val="0"/>
              <w:spacing w:before="120" w:after="120" w:line="22" w:lineRule="atLeast"/>
              <w:ind w:firstLine="629"/>
              <w:jc w:val="both"/>
              <w:rPr>
                <w:rFonts w:ascii="Garamond" w:hAnsi="Garamond" w:cstheme="minorHAnsi"/>
                <w:b w:val="0"/>
              </w:rPr>
            </w:pPr>
            <w:r w:rsidRPr="00A5626D">
              <w:rPr>
                <w:rFonts w:ascii="Garamond" w:hAnsi="Garamond" w:cstheme="minorHAnsi"/>
                <w:b w:val="0"/>
              </w:rPr>
              <w:t>6</w:t>
            </w:r>
            <w:r w:rsidRPr="00A5626D">
              <w:rPr>
                <w:rFonts w:ascii="Garamond" w:hAnsi="Garamond" w:cstheme="minorHAnsi"/>
                <w:b w:val="0"/>
              </w:rPr>
              <w:tab/>
              <w:t xml:space="preserve">ТРЕБОВАНИЯ К ПОРЯДКУ ИНФОРМАЦИОННОГО ОБМЕНА МЕЖДУ </w:t>
            </w:r>
            <w:r w:rsidRPr="00A5626D">
              <w:rPr>
                <w:rFonts w:ascii="Garamond" w:hAnsi="Garamond" w:cstheme="minorHAnsi"/>
                <w:b w:val="0"/>
                <w:highlight w:val="yellow"/>
              </w:rPr>
              <w:t>СМЕЖНЫМИ</w:t>
            </w:r>
            <w:r w:rsidRPr="00A5626D">
              <w:rPr>
                <w:rFonts w:ascii="Garamond" w:hAnsi="Garamond" w:cstheme="minorHAnsi"/>
                <w:b w:val="0"/>
              </w:rPr>
              <w:t xml:space="preserve"> УЧАСТНИКАМИ ОПТОВОГО </w:t>
            </w:r>
            <w:r w:rsidRPr="00A5626D">
              <w:rPr>
                <w:rFonts w:ascii="Garamond" w:hAnsi="Garamond" w:cstheme="minorHAnsi"/>
                <w:b w:val="0"/>
              </w:rPr>
              <w:lastRenderedPageBreak/>
              <w:t>РЫНКА, ФСК И СО</w:t>
            </w:r>
          </w:p>
          <w:p w14:paraId="51247FD0" w14:textId="77777777" w:rsidR="00295C6D" w:rsidRPr="00A5626D" w:rsidRDefault="00295C6D" w:rsidP="00647FA0">
            <w:pPr>
              <w:pStyle w:val="2"/>
              <w:numPr>
                <w:ilvl w:val="0"/>
                <w:numId w:val="0"/>
              </w:numPr>
              <w:tabs>
                <w:tab w:val="left" w:pos="1134"/>
                <w:tab w:val="left" w:pos="7938"/>
              </w:tabs>
              <w:suppressAutoHyphens w:val="0"/>
              <w:spacing w:before="120" w:after="120" w:line="22" w:lineRule="atLeast"/>
              <w:ind w:firstLine="629"/>
              <w:jc w:val="both"/>
              <w:rPr>
                <w:rFonts w:ascii="Garamond" w:hAnsi="Garamond" w:cstheme="minorHAnsi"/>
                <w:b w:val="0"/>
              </w:rPr>
            </w:pPr>
            <w:r w:rsidRPr="00A5626D">
              <w:rPr>
                <w:rFonts w:ascii="Garamond" w:hAnsi="Garamond" w:cstheme="minorHAnsi"/>
                <w:b w:val="0"/>
              </w:rPr>
              <w:t>6.1</w:t>
            </w:r>
            <w:r w:rsidRPr="00A5626D">
              <w:rPr>
                <w:rFonts w:ascii="Garamond" w:hAnsi="Garamond" w:cstheme="minorHAnsi"/>
                <w:b w:val="0"/>
              </w:rPr>
              <w:tab/>
              <w:t xml:space="preserve">Участники оптового рынка и ФСК по смежным сечениям регулируют процедуру учета, порядка расчета и согласования количества переданной (полученной) и произведенной электроэнергии </w:t>
            </w:r>
            <w:r w:rsidRPr="00A5626D">
              <w:rPr>
                <w:rFonts w:ascii="Garamond" w:hAnsi="Garamond" w:cstheme="minorHAnsi"/>
                <w:b w:val="0"/>
                <w:highlight w:val="yellow"/>
              </w:rPr>
              <w:t>в соответствии с</w:t>
            </w:r>
            <w:r w:rsidRPr="00A5626D">
              <w:rPr>
                <w:rFonts w:ascii="Garamond" w:hAnsi="Garamond" w:cstheme="minorHAnsi"/>
                <w:b w:val="0"/>
              </w:rPr>
              <w:t xml:space="preserve"> требовани</w:t>
            </w:r>
            <w:r w:rsidRPr="00A5626D">
              <w:rPr>
                <w:rFonts w:ascii="Garamond" w:hAnsi="Garamond" w:cstheme="minorHAnsi"/>
                <w:b w:val="0"/>
                <w:highlight w:val="yellow"/>
              </w:rPr>
              <w:t>ями</w:t>
            </w:r>
            <w:r w:rsidRPr="00A5626D">
              <w:rPr>
                <w:rFonts w:ascii="Garamond" w:hAnsi="Garamond" w:cstheme="minorHAnsi"/>
                <w:b w:val="0"/>
              </w:rPr>
              <w:t xml:space="preserve"> настоящего Регламента.</w:t>
            </w:r>
          </w:p>
          <w:p w14:paraId="00482C87" w14:textId="77777777" w:rsidR="00295C6D" w:rsidRPr="00A5626D" w:rsidRDefault="00295C6D" w:rsidP="00647FA0">
            <w:pPr>
              <w:pStyle w:val="2"/>
              <w:numPr>
                <w:ilvl w:val="0"/>
                <w:numId w:val="0"/>
              </w:numPr>
              <w:tabs>
                <w:tab w:val="left" w:pos="1134"/>
                <w:tab w:val="left" w:pos="7938"/>
              </w:tabs>
              <w:suppressAutoHyphens w:val="0"/>
              <w:spacing w:before="120" w:after="120" w:line="22" w:lineRule="atLeast"/>
              <w:ind w:firstLine="629"/>
              <w:jc w:val="both"/>
              <w:rPr>
                <w:rFonts w:ascii="Garamond" w:hAnsi="Garamond" w:cstheme="minorHAnsi"/>
                <w:b w:val="0"/>
              </w:rPr>
            </w:pPr>
            <w:r w:rsidRPr="00A5626D">
              <w:rPr>
                <w:rFonts w:ascii="Garamond" w:hAnsi="Garamond" w:cstheme="minorHAnsi"/>
                <w:b w:val="0"/>
              </w:rPr>
              <w:t>6.2</w:t>
            </w:r>
            <w:r w:rsidRPr="00A5626D">
              <w:rPr>
                <w:rFonts w:ascii="Garamond" w:hAnsi="Garamond" w:cstheme="minorHAnsi"/>
                <w:b w:val="0"/>
              </w:rPr>
              <w:tab/>
              <w:t xml:space="preserve"> Участник оптового рынка и ФСК:</w:t>
            </w:r>
          </w:p>
          <w:p w14:paraId="6BE0E1F9" w14:textId="77777777" w:rsidR="00295C6D" w:rsidRPr="00A5626D" w:rsidRDefault="00295C6D" w:rsidP="00647FA0">
            <w:pPr>
              <w:pStyle w:val="2"/>
              <w:numPr>
                <w:ilvl w:val="0"/>
                <w:numId w:val="0"/>
              </w:numPr>
              <w:tabs>
                <w:tab w:val="left" w:pos="1134"/>
                <w:tab w:val="left" w:pos="7938"/>
              </w:tabs>
              <w:suppressAutoHyphens w:val="0"/>
              <w:spacing w:before="120" w:after="120" w:line="22" w:lineRule="atLeast"/>
              <w:ind w:firstLine="629"/>
              <w:jc w:val="both"/>
              <w:rPr>
                <w:rFonts w:ascii="Garamond" w:hAnsi="Garamond" w:cstheme="minorHAnsi"/>
                <w:b w:val="0"/>
              </w:rPr>
            </w:pPr>
            <w:r w:rsidRPr="00A5626D">
              <w:rPr>
                <w:rFonts w:ascii="Garamond" w:hAnsi="Garamond" w:cstheme="minorHAnsi"/>
                <w:b w:val="0"/>
              </w:rPr>
              <w:t>•</w:t>
            </w:r>
            <w:r w:rsidRPr="00A5626D">
              <w:rPr>
                <w:rFonts w:ascii="Garamond" w:hAnsi="Garamond" w:cstheme="minorHAnsi"/>
                <w:b w:val="0"/>
              </w:rPr>
              <w:tab/>
              <w:t xml:space="preserve">не должны осуществлять демонтаж и (или) замену </w:t>
            </w:r>
            <w:r w:rsidRPr="00A5626D">
              <w:rPr>
                <w:rFonts w:ascii="Garamond" w:hAnsi="Garamond" w:cstheme="minorHAnsi"/>
                <w:b w:val="0"/>
                <w:highlight w:val="yellow"/>
              </w:rPr>
              <w:t>прибора учета (технических средств АИИС КУЭ), представленного в ПСИ,</w:t>
            </w:r>
            <w:r w:rsidRPr="00A5626D">
              <w:rPr>
                <w:rFonts w:ascii="Garamond" w:hAnsi="Garamond" w:cstheme="minorHAnsi"/>
                <w:b w:val="0"/>
              </w:rPr>
              <w:t xml:space="preserve"> на прибор учета (технические средства АИИС КУЭ), не соответствующи</w:t>
            </w:r>
            <w:r w:rsidRPr="00A5626D">
              <w:rPr>
                <w:rFonts w:ascii="Garamond" w:hAnsi="Garamond" w:cstheme="minorHAnsi"/>
                <w:b w:val="0"/>
                <w:highlight w:val="yellow"/>
              </w:rPr>
              <w:t>й</w:t>
            </w:r>
            <w:r w:rsidRPr="00A5626D">
              <w:rPr>
                <w:rFonts w:ascii="Garamond" w:hAnsi="Garamond" w:cstheme="minorHAnsi"/>
                <w:b w:val="0"/>
              </w:rPr>
              <w:t xml:space="preserve"> требованиям, установленным Приложением № 11.1 к Положению о порядке получения статуса субъекта оптового рынка и ведения реестра субъектов оптового рынка (Приложение № 1.1 к Договору о присоединении к торговой системе оптового рынка); </w:t>
            </w:r>
          </w:p>
          <w:p w14:paraId="2D4A10BC" w14:textId="77777777" w:rsidR="00295C6D" w:rsidRPr="00A5626D" w:rsidRDefault="00295C6D" w:rsidP="00647FA0">
            <w:pPr>
              <w:pStyle w:val="2"/>
              <w:numPr>
                <w:ilvl w:val="0"/>
                <w:numId w:val="0"/>
              </w:numPr>
              <w:tabs>
                <w:tab w:val="left" w:pos="1134"/>
                <w:tab w:val="left" w:pos="7938"/>
              </w:tabs>
              <w:suppressAutoHyphens w:val="0"/>
              <w:spacing w:before="120" w:after="120" w:line="22" w:lineRule="atLeast"/>
              <w:ind w:firstLine="629"/>
              <w:jc w:val="both"/>
              <w:rPr>
                <w:rFonts w:ascii="Garamond" w:hAnsi="Garamond" w:cstheme="minorHAnsi"/>
                <w:b w:val="0"/>
              </w:rPr>
            </w:pPr>
            <w:r w:rsidRPr="00A5626D">
              <w:rPr>
                <w:rFonts w:ascii="Garamond" w:hAnsi="Garamond" w:cstheme="minorHAnsi"/>
                <w:b w:val="0"/>
              </w:rPr>
              <w:t>•</w:t>
            </w:r>
            <w:r w:rsidRPr="00A5626D">
              <w:rPr>
                <w:rFonts w:ascii="Garamond" w:hAnsi="Garamond" w:cstheme="minorHAnsi"/>
                <w:b w:val="0"/>
              </w:rPr>
              <w:tab/>
              <w:t xml:space="preserve">обязаны предварительно согласовывать с собственником или иным законным владельцем </w:t>
            </w:r>
            <w:r w:rsidRPr="00A5626D">
              <w:rPr>
                <w:rFonts w:ascii="Garamond" w:hAnsi="Garamond" w:cstheme="minorHAnsi"/>
                <w:b w:val="0"/>
                <w:highlight w:val="yellow"/>
              </w:rPr>
              <w:t>прибора учета (технических средств АИИС КУЭ)</w:t>
            </w:r>
            <w:r w:rsidRPr="00A5626D">
              <w:rPr>
                <w:rFonts w:ascii="Garamond" w:hAnsi="Garamond" w:cstheme="minorHAnsi"/>
                <w:b w:val="0"/>
              </w:rPr>
              <w:t xml:space="preserve"> демонтаж и (или) замену </w:t>
            </w:r>
            <w:r w:rsidRPr="00A5626D">
              <w:rPr>
                <w:rFonts w:ascii="Garamond" w:hAnsi="Garamond" w:cstheme="minorHAnsi"/>
                <w:b w:val="0"/>
                <w:highlight w:val="yellow"/>
              </w:rPr>
              <w:t>указанного прибора учета (технических средств АИИС КУЭ)</w:t>
            </w:r>
            <w:r w:rsidRPr="00A5626D">
              <w:rPr>
                <w:rFonts w:ascii="Garamond" w:hAnsi="Garamond" w:cstheme="minorHAnsi"/>
                <w:b w:val="0"/>
              </w:rPr>
              <w:t>;</w:t>
            </w:r>
          </w:p>
          <w:p w14:paraId="0D70C727" w14:textId="77777777" w:rsidR="00295C6D" w:rsidRPr="00A5626D" w:rsidRDefault="00295C6D" w:rsidP="00647FA0">
            <w:pPr>
              <w:pStyle w:val="2"/>
              <w:numPr>
                <w:ilvl w:val="0"/>
                <w:numId w:val="0"/>
              </w:numPr>
              <w:tabs>
                <w:tab w:val="left" w:pos="1134"/>
                <w:tab w:val="left" w:pos="7938"/>
              </w:tabs>
              <w:suppressAutoHyphens w:val="0"/>
              <w:spacing w:before="120" w:after="120" w:line="22" w:lineRule="atLeast"/>
              <w:ind w:firstLine="629"/>
              <w:jc w:val="both"/>
              <w:rPr>
                <w:rFonts w:ascii="Garamond" w:hAnsi="Garamond" w:cstheme="minorHAnsi"/>
                <w:b w:val="0"/>
              </w:rPr>
            </w:pPr>
            <w:r w:rsidRPr="00A5626D">
              <w:rPr>
                <w:rFonts w:ascii="Garamond" w:hAnsi="Garamond" w:cstheme="minorHAnsi"/>
                <w:b w:val="0"/>
              </w:rPr>
              <w:t>•</w:t>
            </w:r>
            <w:r w:rsidRPr="00A5626D">
              <w:rPr>
                <w:rFonts w:ascii="Garamond" w:hAnsi="Garamond" w:cstheme="minorHAnsi"/>
                <w:b w:val="0"/>
              </w:rPr>
              <w:tab/>
              <w:t xml:space="preserve">обязаны предварительно уведомить смежного участника </w:t>
            </w:r>
            <w:r w:rsidRPr="00A5626D">
              <w:rPr>
                <w:rFonts w:ascii="Garamond" w:hAnsi="Garamond" w:cstheme="minorHAnsi"/>
                <w:b w:val="0"/>
                <w:highlight w:val="yellow"/>
              </w:rPr>
              <w:t>(</w:t>
            </w:r>
            <w:r w:rsidRPr="00A5626D">
              <w:rPr>
                <w:rFonts w:ascii="Garamond" w:hAnsi="Garamond" w:cstheme="minorHAnsi"/>
                <w:b w:val="0"/>
              </w:rPr>
              <w:t>ФСК</w:t>
            </w:r>
            <w:r w:rsidRPr="00A5626D">
              <w:rPr>
                <w:rFonts w:ascii="Garamond" w:hAnsi="Garamond" w:cstheme="minorHAnsi"/>
                <w:b w:val="0"/>
                <w:highlight w:val="yellow"/>
              </w:rPr>
              <w:t>)</w:t>
            </w:r>
            <w:r w:rsidRPr="00A5626D">
              <w:rPr>
                <w:rFonts w:ascii="Garamond" w:hAnsi="Garamond" w:cstheme="minorHAnsi"/>
                <w:b w:val="0"/>
              </w:rPr>
              <w:t xml:space="preserve"> о намерении осуществить демонтаж и (или) замену указанного прибора учета (технических средств АИИС КУЭ).</w:t>
            </w:r>
          </w:p>
          <w:p w14:paraId="3A94E841" w14:textId="77777777" w:rsidR="00295C6D" w:rsidRPr="00A5626D" w:rsidRDefault="00295C6D" w:rsidP="00647FA0">
            <w:pPr>
              <w:pStyle w:val="2"/>
              <w:numPr>
                <w:ilvl w:val="0"/>
                <w:numId w:val="0"/>
              </w:numPr>
              <w:tabs>
                <w:tab w:val="left" w:pos="1134"/>
                <w:tab w:val="left" w:pos="7938"/>
              </w:tabs>
              <w:suppressAutoHyphens w:val="0"/>
              <w:spacing w:before="120" w:after="120" w:line="22" w:lineRule="atLeast"/>
              <w:ind w:firstLine="629"/>
              <w:jc w:val="both"/>
              <w:rPr>
                <w:rFonts w:ascii="Garamond" w:hAnsi="Garamond" w:cstheme="minorHAnsi"/>
                <w:b w:val="0"/>
              </w:rPr>
            </w:pPr>
            <w:r w:rsidRPr="00A5626D">
              <w:rPr>
                <w:rFonts w:ascii="Garamond" w:hAnsi="Garamond" w:cstheme="minorHAnsi"/>
                <w:b w:val="0"/>
              </w:rPr>
              <w:t>6.3</w:t>
            </w:r>
            <w:r w:rsidRPr="00A5626D">
              <w:rPr>
                <w:rFonts w:ascii="Garamond" w:hAnsi="Garamond" w:cstheme="minorHAnsi"/>
                <w:b w:val="0"/>
              </w:rPr>
              <w:tab/>
              <w:t xml:space="preserve"> Каждый участник оптового рынка </w:t>
            </w:r>
            <w:r w:rsidRPr="00A5626D">
              <w:rPr>
                <w:rFonts w:ascii="Garamond" w:hAnsi="Garamond" w:cstheme="minorHAnsi"/>
                <w:b w:val="0"/>
                <w:highlight w:val="yellow"/>
              </w:rPr>
              <w:t>и</w:t>
            </w:r>
            <w:r w:rsidRPr="00A5626D">
              <w:rPr>
                <w:rFonts w:ascii="Garamond" w:hAnsi="Garamond" w:cstheme="minorHAnsi"/>
                <w:b w:val="0"/>
              </w:rPr>
              <w:t xml:space="preserve"> ФСК несут ответственность:</w:t>
            </w:r>
          </w:p>
          <w:p w14:paraId="7D9ECB38" w14:textId="77777777" w:rsidR="00295C6D" w:rsidRPr="00A5626D" w:rsidRDefault="00295C6D" w:rsidP="00647FA0">
            <w:pPr>
              <w:pStyle w:val="2"/>
              <w:numPr>
                <w:ilvl w:val="0"/>
                <w:numId w:val="0"/>
              </w:numPr>
              <w:tabs>
                <w:tab w:val="left" w:pos="1134"/>
                <w:tab w:val="left" w:pos="7938"/>
              </w:tabs>
              <w:suppressAutoHyphens w:val="0"/>
              <w:spacing w:before="120" w:after="120" w:line="22" w:lineRule="atLeast"/>
              <w:ind w:firstLine="629"/>
              <w:jc w:val="both"/>
              <w:rPr>
                <w:rFonts w:ascii="Garamond" w:hAnsi="Garamond" w:cstheme="minorHAnsi"/>
                <w:b w:val="0"/>
              </w:rPr>
            </w:pPr>
            <w:r w:rsidRPr="00A5626D">
              <w:rPr>
                <w:rFonts w:ascii="Garamond" w:hAnsi="Garamond" w:cstheme="minorHAnsi"/>
                <w:b w:val="0"/>
              </w:rPr>
              <w:t>•</w:t>
            </w:r>
            <w:r w:rsidRPr="00A5626D">
              <w:rPr>
                <w:rFonts w:ascii="Garamond" w:hAnsi="Garamond" w:cstheme="minorHAnsi"/>
                <w:b w:val="0"/>
              </w:rPr>
              <w:tab/>
              <w:t>за организацию эксплуатации средств измерений, принадлежащих им на праве собственности или ином законном основании и представленных в ПСИ;</w:t>
            </w:r>
          </w:p>
          <w:p w14:paraId="4FE719BB" w14:textId="77777777" w:rsidR="00295C6D" w:rsidRPr="00A5626D" w:rsidRDefault="00295C6D" w:rsidP="00647FA0">
            <w:pPr>
              <w:pStyle w:val="2"/>
              <w:numPr>
                <w:ilvl w:val="0"/>
                <w:numId w:val="0"/>
              </w:numPr>
              <w:tabs>
                <w:tab w:val="left" w:pos="1134"/>
                <w:tab w:val="left" w:pos="7938"/>
              </w:tabs>
              <w:suppressAutoHyphens w:val="0"/>
              <w:spacing w:before="120" w:after="120" w:line="22" w:lineRule="atLeast"/>
              <w:ind w:firstLine="629"/>
              <w:jc w:val="both"/>
              <w:rPr>
                <w:rFonts w:ascii="Garamond" w:hAnsi="Garamond" w:cstheme="minorHAnsi"/>
                <w:b w:val="0"/>
              </w:rPr>
            </w:pPr>
            <w:r w:rsidRPr="00A5626D">
              <w:rPr>
                <w:rFonts w:ascii="Garamond" w:hAnsi="Garamond" w:cstheme="minorHAnsi"/>
                <w:b w:val="0"/>
              </w:rPr>
              <w:t>•</w:t>
            </w:r>
            <w:r w:rsidRPr="00A5626D">
              <w:rPr>
                <w:rFonts w:ascii="Garamond" w:hAnsi="Garamond" w:cstheme="minorHAnsi"/>
                <w:b w:val="0"/>
              </w:rPr>
              <w:tab/>
              <w:t xml:space="preserve">за проверку корректности расчета почасовых значений учетного показателя в акте учета (оборота) по ГТП генерации, акте учета перетоков по сечению коммерческого учета (макеты 51020), выполненного на основании ПСИ, сформированного в макете 60000 (60090), с использованием результатов измерений, направленных в КО в соответствии с Приложением № 11.1.1 к Положению о порядке получения статуса субъекта оптового рынка и ведения реестра субъектов оптового рынка (Приложение № 1.1 к Договору о </w:t>
            </w:r>
            <w:r w:rsidRPr="00A5626D">
              <w:rPr>
                <w:rFonts w:ascii="Garamond" w:hAnsi="Garamond" w:cstheme="minorHAnsi"/>
                <w:b w:val="0"/>
              </w:rPr>
              <w:lastRenderedPageBreak/>
              <w:t>присоединении к торговой системе оптового рынка), а также достоверность вышеуказанных данных, на основании которых выполнен вышеуказанный расчет;</w:t>
            </w:r>
          </w:p>
          <w:p w14:paraId="6FD2F478" w14:textId="77777777" w:rsidR="00295C6D" w:rsidRPr="00A5626D" w:rsidRDefault="00295C6D" w:rsidP="00647FA0">
            <w:pPr>
              <w:pStyle w:val="2"/>
              <w:numPr>
                <w:ilvl w:val="0"/>
                <w:numId w:val="0"/>
              </w:numPr>
              <w:tabs>
                <w:tab w:val="left" w:pos="1134"/>
                <w:tab w:val="left" w:pos="7938"/>
              </w:tabs>
              <w:suppressAutoHyphens w:val="0"/>
              <w:spacing w:before="120" w:after="120" w:line="22" w:lineRule="atLeast"/>
              <w:ind w:firstLine="629"/>
              <w:jc w:val="both"/>
              <w:rPr>
                <w:rFonts w:ascii="Garamond" w:hAnsi="Garamond" w:cstheme="minorHAnsi"/>
                <w:b w:val="0"/>
              </w:rPr>
            </w:pPr>
            <w:r w:rsidRPr="00A5626D">
              <w:rPr>
                <w:rFonts w:ascii="Garamond" w:hAnsi="Garamond" w:cstheme="minorHAnsi"/>
                <w:b w:val="0"/>
              </w:rPr>
              <w:t>•</w:t>
            </w:r>
            <w:r w:rsidRPr="00A5626D">
              <w:rPr>
                <w:rFonts w:ascii="Garamond" w:hAnsi="Garamond" w:cstheme="minorHAnsi"/>
                <w:b w:val="0"/>
              </w:rPr>
              <w:tab/>
              <w:t xml:space="preserve">за достоверность данных коммерческого учета, в том числе использованных при согласовании в порядке, предусмотренном п. 7.6 настоящего Регламента, корректирующих актов учета перетоков по сечению коммерческого учета или корректирующих актов учета (оборота) по ГТП генерации (макеты 51075). </w:t>
            </w:r>
          </w:p>
          <w:p w14:paraId="0AF9A21F" w14:textId="77777777" w:rsidR="00295C6D" w:rsidRPr="00A5626D" w:rsidRDefault="00295C6D" w:rsidP="00647FA0">
            <w:pPr>
              <w:pStyle w:val="2"/>
              <w:numPr>
                <w:ilvl w:val="0"/>
                <w:numId w:val="0"/>
              </w:numPr>
              <w:tabs>
                <w:tab w:val="left" w:pos="1134"/>
                <w:tab w:val="left" w:pos="7938"/>
              </w:tabs>
              <w:suppressAutoHyphens w:val="0"/>
              <w:spacing w:before="120" w:after="120" w:line="22" w:lineRule="atLeast"/>
              <w:ind w:firstLine="629"/>
              <w:jc w:val="both"/>
              <w:rPr>
                <w:rFonts w:ascii="Garamond" w:hAnsi="Garamond" w:cstheme="minorHAnsi"/>
                <w:b w:val="0"/>
              </w:rPr>
            </w:pPr>
            <w:r w:rsidRPr="00A5626D">
              <w:rPr>
                <w:rFonts w:ascii="Garamond" w:hAnsi="Garamond" w:cstheme="minorHAnsi"/>
                <w:b w:val="0"/>
              </w:rPr>
              <w:t xml:space="preserve">Каждая сторона отношений в случае выявления факта наличия недостоверных результатов измерений или отсутствия результатов измерений обязана уведомить об этом смежного участника оптового рынка </w:t>
            </w:r>
            <w:r w:rsidRPr="00A5626D">
              <w:rPr>
                <w:rFonts w:ascii="Garamond" w:hAnsi="Garamond" w:cstheme="minorHAnsi"/>
                <w:b w:val="0"/>
                <w:highlight w:val="yellow"/>
              </w:rPr>
              <w:t>(</w:t>
            </w:r>
            <w:r w:rsidRPr="00A5626D">
              <w:rPr>
                <w:rFonts w:ascii="Garamond" w:hAnsi="Garamond" w:cstheme="minorHAnsi"/>
                <w:b w:val="0"/>
              </w:rPr>
              <w:t>ФСК</w:t>
            </w:r>
            <w:r w:rsidRPr="00A5626D">
              <w:rPr>
                <w:rFonts w:ascii="Garamond" w:hAnsi="Garamond" w:cstheme="minorHAnsi"/>
                <w:b w:val="0"/>
                <w:highlight w:val="yellow"/>
              </w:rPr>
              <w:t>)</w:t>
            </w:r>
            <w:r w:rsidRPr="00A5626D">
              <w:rPr>
                <w:rFonts w:ascii="Garamond" w:hAnsi="Garamond" w:cstheme="minorHAnsi"/>
                <w:b w:val="0"/>
              </w:rPr>
              <w:t>.</w:t>
            </w:r>
          </w:p>
          <w:p w14:paraId="25CD42ED" w14:textId="77777777" w:rsidR="00295C6D" w:rsidRPr="00A5626D" w:rsidRDefault="00295C6D" w:rsidP="00647FA0">
            <w:pPr>
              <w:pStyle w:val="2"/>
              <w:numPr>
                <w:ilvl w:val="0"/>
                <w:numId w:val="0"/>
              </w:numPr>
              <w:tabs>
                <w:tab w:val="left" w:pos="1134"/>
                <w:tab w:val="left" w:pos="7938"/>
              </w:tabs>
              <w:suppressAutoHyphens w:val="0"/>
              <w:spacing w:before="120" w:after="120" w:line="22" w:lineRule="atLeast"/>
              <w:ind w:firstLine="629"/>
              <w:jc w:val="both"/>
              <w:rPr>
                <w:rFonts w:ascii="Garamond" w:hAnsi="Garamond" w:cstheme="minorHAnsi"/>
                <w:b w:val="0"/>
              </w:rPr>
            </w:pPr>
            <w:r w:rsidRPr="00A5626D">
              <w:rPr>
                <w:rFonts w:ascii="Garamond" w:hAnsi="Garamond" w:cstheme="minorHAnsi"/>
                <w:b w:val="0"/>
              </w:rPr>
              <w:t xml:space="preserve">Участник оптового рынка (ФСК) может быть допущен к </w:t>
            </w:r>
            <w:r w:rsidRPr="00A5626D">
              <w:rPr>
                <w:rFonts w:ascii="Garamond" w:hAnsi="Garamond" w:cstheme="minorHAnsi"/>
                <w:b w:val="0"/>
                <w:highlight w:val="yellow"/>
              </w:rPr>
              <w:t>приборам учета</w:t>
            </w:r>
            <w:r w:rsidRPr="00A5626D">
              <w:rPr>
                <w:rFonts w:ascii="Garamond" w:hAnsi="Garamond" w:cstheme="minorHAnsi"/>
                <w:b w:val="0"/>
              </w:rPr>
              <w:t xml:space="preserve">, находящимся у смежного участника оптового рынка </w:t>
            </w:r>
            <w:r w:rsidRPr="00A5626D">
              <w:rPr>
                <w:rFonts w:ascii="Garamond" w:hAnsi="Garamond" w:cstheme="minorHAnsi"/>
                <w:b w:val="0"/>
                <w:highlight w:val="yellow"/>
              </w:rPr>
              <w:t>(</w:t>
            </w:r>
            <w:r w:rsidRPr="00A5626D">
              <w:rPr>
                <w:rFonts w:ascii="Garamond" w:hAnsi="Garamond" w:cstheme="minorHAnsi"/>
                <w:b w:val="0"/>
              </w:rPr>
              <w:t>ФСК</w:t>
            </w:r>
            <w:r w:rsidRPr="00A5626D">
              <w:rPr>
                <w:rFonts w:ascii="Garamond" w:hAnsi="Garamond" w:cstheme="minorHAnsi"/>
                <w:b w:val="0"/>
                <w:highlight w:val="yellow"/>
              </w:rPr>
              <w:t>)</w:t>
            </w:r>
            <w:r w:rsidRPr="00A5626D">
              <w:rPr>
                <w:rFonts w:ascii="Garamond" w:hAnsi="Garamond" w:cstheme="minorHAnsi"/>
                <w:b w:val="0"/>
              </w:rPr>
              <w:t xml:space="preserve"> на праве собственности или ином законном основании, на основании письменного обращения в адрес смежного участника оптового рынка </w:t>
            </w:r>
            <w:r w:rsidRPr="00A5626D">
              <w:rPr>
                <w:rFonts w:ascii="Garamond" w:hAnsi="Garamond" w:cstheme="minorHAnsi"/>
                <w:b w:val="0"/>
                <w:highlight w:val="yellow"/>
              </w:rPr>
              <w:t>(</w:t>
            </w:r>
            <w:r w:rsidRPr="00A5626D">
              <w:rPr>
                <w:rFonts w:ascii="Garamond" w:hAnsi="Garamond" w:cstheme="minorHAnsi"/>
                <w:b w:val="0"/>
              </w:rPr>
              <w:t>ФСК</w:t>
            </w:r>
            <w:r w:rsidRPr="00A5626D">
              <w:rPr>
                <w:rFonts w:ascii="Garamond" w:hAnsi="Garamond" w:cstheme="minorHAnsi"/>
                <w:b w:val="0"/>
                <w:highlight w:val="yellow"/>
              </w:rPr>
              <w:t>)</w:t>
            </w:r>
            <w:r w:rsidRPr="00A5626D">
              <w:rPr>
                <w:rFonts w:ascii="Garamond" w:hAnsi="Garamond" w:cstheme="minorHAnsi"/>
                <w:b w:val="0"/>
              </w:rPr>
              <w:t xml:space="preserve"> о получении доступа к </w:t>
            </w:r>
            <w:r w:rsidRPr="00A5626D">
              <w:rPr>
                <w:rFonts w:ascii="Garamond" w:hAnsi="Garamond" w:cstheme="minorHAnsi"/>
                <w:b w:val="0"/>
                <w:highlight w:val="yellow"/>
              </w:rPr>
              <w:t>приборам учета</w:t>
            </w:r>
            <w:r w:rsidRPr="00A5626D">
              <w:rPr>
                <w:rFonts w:ascii="Garamond" w:hAnsi="Garamond" w:cstheme="minorHAnsi"/>
                <w:b w:val="0"/>
              </w:rPr>
              <w:t>.</w:t>
            </w:r>
          </w:p>
          <w:p w14:paraId="4E8D3266" w14:textId="77777777" w:rsidR="00295C6D" w:rsidRPr="00A5626D" w:rsidRDefault="00295C6D" w:rsidP="00647FA0">
            <w:pPr>
              <w:pStyle w:val="2"/>
              <w:numPr>
                <w:ilvl w:val="0"/>
                <w:numId w:val="0"/>
              </w:numPr>
              <w:tabs>
                <w:tab w:val="left" w:pos="1134"/>
                <w:tab w:val="left" w:pos="7938"/>
              </w:tabs>
              <w:suppressAutoHyphens w:val="0"/>
              <w:spacing w:before="120" w:after="120" w:line="22" w:lineRule="atLeast"/>
              <w:ind w:firstLine="629"/>
              <w:jc w:val="both"/>
              <w:rPr>
                <w:rFonts w:ascii="Garamond" w:hAnsi="Garamond" w:cstheme="minorHAnsi"/>
                <w:b w:val="0"/>
              </w:rPr>
            </w:pPr>
            <w:r w:rsidRPr="00A5626D">
              <w:rPr>
                <w:rFonts w:ascii="Garamond" w:hAnsi="Garamond" w:cstheme="minorHAnsi"/>
                <w:b w:val="0"/>
              </w:rPr>
              <w:t>6.4</w:t>
            </w:r>
            <w:r w:rsidRPr="00A5626D">
              <w:rPr>
                <w:rFonts w:ascii="Garamond" w:hAnsi="Garamond" w:cstheme="minorHAnsi"/>
                <w:b w:val="0"/>
              </w:rPr>
              <w:tab/>
              <w:t>Требования к порядку информационного обмена</w:t>
            </w:r>
            <w:r w:rsidRPr="00A5626D">
              <w:rPr>
                <w:rFonts w:ascii="Garamond" w:hAnsi="Garamond" w:cstheme="minorHAnsi"/>
                <w:b w:val="0"/>
                <w:highlight w:val="yellow"/>
              </w:rPr>
              <w:t>.</w:t>
            </w:r>
          </w:p>
          <w:p w14:paraId="19D344A7" w14:textId="77777777" w:rsidR="00295C6D" w:rsidRPr="00A5626D" w:rsidRDefault="00295C6D" w:rsidP="00647FA0">
            <w:pPr>
              <w:pStyle w:val="2"/>
              <w:numPr>
                <w:ilvl w:val="0"/>
                <w:numId w:val="0"/>
              </w:numPr>
              <w:tabs>
                <w:tab w:val="left" w:pos="1134"/>
                <w:tab w:val="left" w:pos="7938"/>
              </w:tabs>
              <w:suppressAutoHyphens w:val="0"/>
              <w:spacing w:before="120" w:after="120" w:line="22" w:lineRule="atLeast"/>
              <w:ind w:firstLine="629"/>
              <w:jc w:val="both"/>
              <w:rPr>
                <w:rFonts w:ascii="Garamond" w:hAnsi="Garamond" w:cstheme="minorHAnsi"/>
                <w:b w:val="0"/>
              </w:rPr>
            </w:pPr>
            <w:r w:rsidRPr="00A5626D">
              <w:rPr>
                <w:rFonts w:ascii="Garamond" w:hAnsi="Garamond" w:cstheme="minorHAnsi"/>
                <w:b w:val="0"/>
              </w:rPr>
              <w:t>6.4.1</w:t>
            </w:r>
            <w:r w:rsidRPr="00A5626D">
              <w:rPr>
                <w:rFonts w:ascii="Garamond" w:hAnsi="Garamond" w:cstheme="minorHAnsi"/>
                <w:b w:val="0"/>
              </w:rPr>
              <w:tab/>
              <w:t xml:space="preserve">Участники оптового рынка, ФСК в срок не позднее 3 (трех) рабочих дней до даты начала торговли на оптовом рынке с использованием соответствующей ГТП (сечения коммерческого учета ФСК) представляют в адрес контрагентов по согласованию данных коммерческого учета </w:t>
            </w:r>
            <w:r w:rsidRPr="00A5626D">
              <w:rPr>
                <w:rFonts w:ascii="Garamond" w:hAnsi="Garamond" w:cstheme="minorHAnsi"/>
                <w:b w:val="0"/>
                <w:highlight w:val="yellow"/>
              </w:rPr>
              <w:t>по итогам расчетного периода</w:t>
            </w:r>
            <w:r w:rsidRPr="00A5626D">
              <w:rPr>
                <w:rFonts w:ascii="Garamond" w:hAnsi="Garamond" w:cstheme="minorHAnsi"/>
                <w:b w:val="0"/>
              </w:rPr>
              <w:t xml:space="preserve"> перечень лиц:</w:t>
            </w:r>
          </w:p>
          <w:p w14:paraId="58FD8D17" w14:textId="77777777" w:rsidR="00295C6D" w:rsidRPr="00A5626D" w:rsidRDefault="00295C6D" w:rsidP="00647FA0">
            <w:pPr>
              <w:pStyle w:val="2"/>
              <w:numPr>
                <w:ilvl w:val="0"/>
                <w:numId w:val="0"/>
              </w:numPr>
              <w:tabs>
                <w:tab w:val="left" w:pos="1134"/>
                <w:tab w:val="left" w:pos="7938"/>
              </w:tabs>
              <w:suppressAutoHyphens w:val="0"/>
              <w:spacing w:before="120" w:after="120" w:line="22" w:lineRule="atLeast"/>
              <w:ind w:firstLine="629"/>
              <w:jc w:val="both"/>
              <w:rPr>
                <w:rFonts w:ascii="Garamond" w:hAnsi="Garamond" w:cstheme="minorHAnsi"/>
                <w:b w:val="0"/>
              </w:rPr>
            </w:pPr>
            <w:r w:rsidRPr="00A5626D">
              <w:rPr>
                <w:rFonts w:ascii="Garamond" w:hAnsi="Garamond" w:cstheme="minorHAnsi"/>
                <w:b w:val="0"/>
              </w:rPr>
              <w:t>•</w:t>
            </w:r>
            <w:r w:rsidRPr="00A5626D">
              <w:rPr>
                <w:rFonts w:ascii="Garamond" w:hAnsi="Garamond" w:cstheme="minorHAnsi"/>
                <w:b w:val="0"/>
              </w:rPr>
              <w:tab/>
              <w:t>ответственных за согласование и подписание актов учета перетоков по сечению коммерческого учета (макеты 51020); корректирующих актов учета перетоков по сечению коммерческого учета (макеты 51075);</w:t>
            </w:r>
          </w:p>
          <w:p w14:paraId="121A7DB4" w14:textId="77777777" w:rsidR="00295C6D" w:rsidRPr="00A5626D" w:rsidRDefault="00295C6D" w:rsidP="00647FA0">
            <w:pPr>
              <w:pStyle w:val="2"/>
              <w:numPr>
                <w:ilvl w:val="0"/>
                <w:numId w:val="0"/>
              </w:numPr>
              <w:tabs>
                <w:tab w:val="left" w:pos="1134"/>
                <w:tab w:val="left" w:pos="7938"/>
              </w:tabs>
              <w:suppressAutoHyphens w:val="0"/>
              <w:spacing w:before="120" w:after="120" w:line="22" w:lineRule="atLeast"/>
              <w:ind w:firstLine="629"/>
              <w:jc w:val="both"/>
              <w:rPr>
                <w:rFonts w:ascii="Garamond" w:hAnsi="Garamond" w:cstheme="minorHAnsi"/>
                <w:b w:val="0"/>
              </w:rPr>
            </w:pPr>
            <w:r w:rsidRPr="00A5626D">
              <w:rPr>
                <w:rFonts w:ascii="Garamond" w:hAnsi="Garamond" w:cstheme="minorHAnsi"/>
                <w:b w:val="0"/>
              </w:rPr>
              <w:t>•</w:t>
            </w:r>
            <w:r w:rsidRPr="00A5626D">
              <w:rPr>
                <w:rFonts w:ascii="Garamond" w:hAnsi="Garamond" w:cstheme="minorHAnsi"/>
                <w:b w:val="0"/>
              </w:rPr>
              <w:tab/>
              <w:t>получивших доверенность на обмен сертификатами открытых ключей.</w:t>
            </w:r>
          </w:p>
          <w:p w14:paraId="1D552DC5" w14:textId="77777777" w:rsidR="00295C6D" w:rsidRPr="00A5626D" w:rsidRDefault="00295C6D" w:rsidP="00647FA0">
            <w:pPr>
              <w:pStyle w:val="2"/>
              <w:numPr>
                <w:ilvl w:val="0"/>
                <w:numId w:val="0"/>
              </w:numPr>
              <w:tabs>
                <w:tab w:val="left" w:pos="1134"/>
                <w:tab w:val="left" w:pos="7938"/>
              </w:tabs>
              <w:suppressAutoHyphens w:val="0"/>
              <w:spacing w:before="120" w:after="120" w:line="22" w:lineRule="atLeast"/>
              <w:ind w:firstLine="629"/>
              <w:jc w:val="both"/>
              <w:rPr>
                <w:rFonts w:ascii="Garamond" w:hAnsi="Garamond" w:cstheme="minorHAnsi"/>
                <w:b w:val="0"/>
              </w:rPr>
            </w:pPr>
            <w:r w:rsidRPr="00A5626D">
              <w:rPr>
                <w:rFonts w:ascii="Garamond" w:hAnsi="Garamond" w:cstheme="minorHAnsi"/>
                <w:b w:val="0"/>
              </w:rPr>
              <w:t>6.4.2</w:t>
            </w:r>
            <w:r w:rsidRPr="00A5626D">
              <w:rPr>
                <w:rFonts w:ascii="Garamond" w:hAnsi="Garamond" w:cstheme="minorHAnsi"/>
                <w:b w:val="0"/>
              </w:rPr>
              <w:tab/>
              <w:t xml:space="preserve">Участники оптового рынка </w:t>
            </w:r>
            <w:r w:rsidRPr="00A5626D">
              <w:rPr>
                <w:rFonts w:ascii="Garamond" w:hAnsi="Garamond" w:cstheme="minorHAnsi"/>
                <w:b w:val="0"/>
                <w:highlight w:val="yellow"/>
              </w:rPr>
              <w:t>и</w:t>
            </w:r>
            <w:r w:rsidRPr="00A5626D">
              <w:rPr>
                <w:rFonts w:ascii="Garamond" w:hAnsi="Garamond" w:cstheme="minorHAnsi"/>
                <w:b w:val="0"/>
              </w:rPr>
              <w:t xml:space="preserve"> ФСК предоставляют КО, СО и смежному по сечению коммерческого учета субъекту оптового рынка результаты измерений в порядке и сроки, определенные </w:t>
            </w:r>
            <w:r w:rsidRPr="00A5626D">
              <w:rPr>
                <w:rFonts w:ascii="Garamond" w:hAnsi="Garamond" w:cstheme="minorHAnsi"/>
                <w:b w:val="0"/>
                <w:highlight w:val="yellow"/>
              </w:rPr>
              <w:t xml:space="preserve">Форматом и регламентом предоставления результатов измерений, состояний объектов измерений в АО «АТС», АО «СО ЕЭС» и смежным субъектам </w:t>
            </w:r>
            <w:r w:rsidRPr="00A5626D">
              <w:rPr>
                <w:rFonts w:ascii="Garamond" w:hAnsi="Garamond" w:cstheme="minorHAnsi"/>
                <w:b w:val="0"/>
                <w:highlight w:val="yellow"/>
              </w:rPr>
              <w:lastRenderedPageBreak/>
              <w:t>(</w:t>
            </w:r>
            <w:r w:rsidRPr="00A5626D">
              <w:rPr>
                <w:rFonts w:ascii="Garamond" w:hAnsi="Garamond" w:cstheme="minorHAnsi"/>
                <w:b w:val="0"/>
              </w:rPr>
              <w:t>Приложение № 11.1.1 к Положению о порядке получения статуса субъекта оптового рынка и ведения реестра субъектов оптового рынка (Приложение № 1.1 к Договору о присоединении к торговой системе оптового рынка)</w:t>
            </w:r>
            <w:r w:rsidRPr="00A5626D">
              <w:rPr>
                <w:rFonts w:ascii="Garamond" w:hAnsi="Garamond" w:cstheme="minorHAnsi"/>
                <w:b w:val="0"/>
                <w:highlight w:val="yellow"/>
              </w:rPr>
              <w:t>)</w:t>
            </w:r>
            <w:r w:rsidRPr="00A5626D">
              <w:rPr>
                <w:rFonts w:ascii="Garamond" w:hAnsi="Garamond" w:cstheme="minorHAnsi"/>
                <w:b w:val="0"/>
              </w:rPr>
              <w:t>.</w:t>
            </w:r>
          </w:p>
          <w:p w14:paraId="67C9AE10" w14:textId="77777777" w:rsidR="00295C6D" w:rsidRPr="00A5626D" w:rsidRDefault="00295C6D" w:rsidP="00647FA0">
            <w:pPr>
              <w:pStyle w:val="2"/>
              <w:numPr>
                <w:ilvl w:val="0"/>
                <w:numId w:val="0"/>
              </w:numPr>
              <w:tabs>
                <w:tab w:val="left" w:pos="1134"/>
                <w:tab w:val="left" w:pos="7938"/>
              </w:tabs>
              <w:suppressAutoHyphens w:val="0"/>
              <w:spacing w:before="120" w:after="120" w:line="22" w:lineRule="atLeast"/>
              <w:ind w:firstLine="629"/>
              <w:jc w:val="both"/>
              <w:rPr>
                <w:rFonts w:ascii="Garamond" w:hAnsi="Garamond" w:cstheme="minorHAnsi"/>
                <w:b w:val="0"/>
              </w:rPr>
            </w:pPr>
            <w:r w:rsidRPr="00A5626D">
              <w:rPr>
                <w:rFonts w:ascii="Garamond" w:hAnsi="Garamond" w:cstheme="minorHAnsi"/>
                <w:b w:val="0"/>
              </w:rPr>
              <w:t>6.4.3</w:t>
            </w:r>
            <w:r w:rsidRPr="00A5626D">
              <w:rPr>
                <w:rFonts w:ascii="Garamond" w:hAnsi="Garamond" w:cstheme="minorHAnsi"/>
                <w:b w:val="0"/>
              </w:rPr>
              <w:tab/>
              <w:t>Субъекты оптового рынка самостоятельно определяют:</w:t>
            </w:r>
          </w:p>
          <w:p w14:paraId="3F27914D" w14:textId="77777777" w:rsidR="00295C6D" w:rsidRPr="00A5626D" w:rsidRDefault="00295C6D" w:rsidP="00647FA0">
            <w:pPr>
              <w:pStyle w:val="2"/>
              <w:numPr>
                <w:ilvl w:val="0"/>
                <w:numId w:val="0"/>
              </w:numPr>
              <w:tabs>
                <w:tab w:val="left" w:pos="1134"/>
                <w:tab w:val="left" w:pos="7938"/>
              </w:tabs>
              <w:suppressAutoHyphens w:val="0"/>
              <w:spacing w:before="120" w:after="120" w:line="22" w:lineRule="atLeast"/>
              <w:ind w:firstLine="629"/>
              <w:jc w:val="both"/>
              <w:rPr>
                <w:rFonts w:ascii="Garamond" w:hAnsi="Garamond" w:cstheme="minorHAnsi"/>
                <w:b w:val="0"/>
              </w:rPr>
            </w:pPr>
            <w:r w:rsidRPr="00A5626D">
              <w:rPr>
                <w:rFonts w:ascii="Garamond" w:hAnsi="Garamond" w:cstheme="minorHAnsi"/>
                <w:b w:val="0"/>
              </w:rPr>
              <w:t>•</w:t>
            </w:r>
            <w:r w:rsidRPr="00A5626D">
              <w:rPr>
                <w:rFonts w:ascii="Garamond" w:hAnsi="Garamond" w:cstheme="minorHAnsi"/>
                <w:b w:val="0"/>
              </w:rPr>
              <w:tab/>
              <w:t xml:space="preserve">сроки, порядок и формат предоставления результатов измерений средствами измерений, установленными в точках измерений, в отношении которых КО не осуществляется процедура кодирования согласно Положению о порядке получения статуса субъекта оптового рынка и ведения реестра субъектов оптового рынка (Приложение № 1.1 к Договору о присоединении к торговой системе оптового рынка). При этом порядок информационного обмена не должен противоречить срокам, определенным разделом 7 настоящего Регламента; </w:t>
            </w:r>
          </w:p>
          <w:p w14:paraId="6BFE099E" w14:textId="77777777" w:rsidR="00295C6D" w:rsidRPr="00A5626D" w:rsidRDefault="00295C6D" w:rsidP="00647FA0">
            <w:pPr>
              <w:pStyle w:val="2"/>
              <w:numPr>
                <w:ilvl w:val="0"/>
                <w:numId w:val="0"/>
              </w:numPr>
              <w:tabs>
                <w:tab w:val="left" w:pos="1134"/>
                <w:tab w:val="left" w:pos="7938"/>
              </w:tabs>
              <w:suppressAutoHyphens w:val="0"/>
              <w:spacing w:before="120" w:after="120" w:line="22" w:lineRule="atLeast"/>
              <w:ind w:firstLine="629"/>
              <w:jc w:val="both"/>
              <w:rPr>
                <w:rFonts w:ascii="Garamond" w:hAnsi="Garamond" w:cstheme="minorHAnsi"/>
                <w:b w:val="0"/>
              </w:rPr>
            </w:pPr>
            <w:r w:rsidRPr="00A5626D">
              <w:rPr>
                <w:rFonts w:ascii="Garamond" w:hAnsi="Garamond" w:cstheme="minorHAnsi"/>
                <w:b w:val="0"/>
              </w:rPr>
              <w:t>•</w:t>
            </w:r>
            <w:r w:rsidRPr="00A5626D">
              <w:rPr>
                <w:rFonts w:ascii="Garamond" w:hAnsi="Garamond" w:cstheme="minorHAnsi"/>
                <w:b w:val="0"/>
              </w:rPr>
              <w:tab/>
              <w:t>порядок согласования и последующего направления в КО корректирующих актов учета перетоков по сечению коммерческого учета (макет 51075) и в случаях, предусмотренных п. 3.8 настоящего Регламента, интегральных актов учета перетоков (макеты 50080) (для участников оптового рынка и ФСК)</w:t>
            </w:r>
            <w:r w:rsidRPr="00A5626D">
              <w:rPr>
                <w:rFonts w:ascii="Garamond" w:hAnsi="Garamond" w:cstheme="minorHAnsi"/>
                <w:b w:val="0"/>
                <w:highlight w:val="yellow"/>
              </w:rPr>
              <w:t>.</w:t>
            </w:r>
            <w:r w:rsidRPr="00A5626D">
              <w:rPr>
                <w:rFonts w:ascii="Garamond" w:hAnsi="Garamond" w:cstheme="minorHAnsi"/>
                <w:b w:val="0"/>
              </w:rPr>
              <w:t xml:space="preserve"> </w:t>
            </w:r>
          </w:p>
          <w:p w14:paraId="0BC3D9A7" w14:textId="77777777" w:rsidR="00295C6D" w:rsidRPr="00A5626D" w:rsidRDefault="00295C6D" w:rsidP="00647FA0">
            <w:pPr>
              <w:pStyle w:val="2"/>
              <w:numPr>
                <w:ilvl w:val="0"/>
                <w:numId w:val="0"/>
              </w:numPr>
              <w:tabs>
                <w:tab w:val="left" w:pos="1134"/>
                <w:tab w:val="left" w:pos="7938"/>
              </w:tabs>
              <w:suppressAutoHyphens w:val="0"/>
              <w:spacing w:before="120" w:after="120" w:line="22" w:lineRule="atLeast"/>
              <w:ind w:firstLine="629"/>
              <w:jc w:val="both"/>
              <w:rPr>
                <w:rFonts w:ascii="Garamond" w:hAnsi="Garamond" w:cstheme="minorHAnsi"/>
                <w:b w:val="0"/>
              </w:rPr>
            </w:pPr>
            <w:r w:rsidRPr="00A5626D">
              <w:rPr>
                <w:rFonts w:ascii="Garamond" w:hAnsi="Garamond" w:cstheme="minorHAnsi"/>
                <w:b w:val="0"/>
                <w:highlight w:val="yellow"/>
              </w:rPr>
              <w:t>Порядок и сроки предоставления КО, смежным участникам оптового рынка (ФСК) и СО результатов измерений определены Форматом и регламентом предоставления результатов измерений, состояний объектов измерений в АО «АТС», АО «СО ЕЭС» и смежным субъектам (Приложение № 11.1.1 к Положению о порядке получения статуса субъекта оптового рынка и ведения реестра субъектов оптового рынка (Приложение № 1.1 к Договору о присоединении к торговой системе оптового рынка)).</w:t>
            </w:r>
            <w:r w:rsidRPr="00A5626D">
              <w:rPr>
                <w:rFonts w:ascii="Garamond" w:hAnsi="Garamond" w:cstheme="minorHAnsi"/>
                <w:b w:val="0"/>
              </w:rPr>
              <w:t xml:space="preserve"> </w:t>
            </w:r>
          </w:p>
          <w:p w14:paraId="73819AD4" w14:textId="77777777" w:rsidR="00295C6D" w:rsidRPr="00A5626D" w:rsidRDefault="00295C6D" w:rsidP="00647FA0">
            <w:pPr>
              <w:pStyle w:val="2"/>
              <w:numPr>
                <w:ilvl w:val="0"/>
                <w:numId w:val="0"/>
              </w:numPr>
              <w:tabs>
                <w:tab w:val="left" w:pos="1134"/>
                <w:tab w:val="left" w:pos="7938"/>
              </w:tabs>
              <w:suppressAutoHyphens w:val="0"/>
              <w:spacing w:before="120" w:after="120" w:line="22" w:lineRule="atLeast"/>
              <w:ind w:firstLine="629"/>
              <w:jc w:val="both"/>
              <w:rPr>
                <w:rFonts w:ascii="Garamond" w:hAnsi="Garamond" w:cstheme="minorHAnsi"/>
                <w:b w:val="0"/>
              </w:rPr>
            </w:pPr>
            <w:r w:rsidRPr="00A5626D">
              <w:rPr>
                <w:rFonts w:ascii="Garamond" w:hAnsi="Garamond" w:cstheme="minorHAnsi"/>
                <w:b w:val="0"/>
              </w:rPr>
              <w:t>6.4.4</w:t>
            </w:r>
            <w:r w:rsidRPr="00A5626D">
              <w:rPr>
                <w:rFonts w:ascii="Garamond" w:hAnsi="Garamond" w:cstheme="minorHAnsi"/>
                <w:b w:val="0"/>
              </w:rPr>
              <w:tab/>
              <w:t>СО определяет и публикует на сайте ОРЭМ порядок установления признаков недостоверности оперативных данных о выработке электроэнергии по ГТП генерации, формируемых на основе телеинформации.</w:t>
            </w:r>
          </w:p>
        </w:tc>
        <w:tc>
          <w:tcPr>
            <w:tcW w:w="7088" w:type="dxa"/>
          </w:tcPr>
          <w:p w14:paraId="4E1DBBF0" w14:textId="6C445983" w:rsidR="00295C6D" w:rsidRPr="00A5626D" w:rsidRDefault="00295C6D" w:rsidP="00647FA0">
            <w:pPr>
              <w:pStyle w:val="2"/>
              <w:numPr>
                <w:ilvl w:val="0"/>
                <w:numId w:val="0"/>
              </w:numPr>
              <w:tabs>
                <w:tab w:val="left" w:pos="1134"/>
                <w:tab w:val="left" w:pos="7938"/>
              </w:tabs>
              <w:suppressAutoHyphens w:val="0"/>
              <w:spacing w:before="120" w:after="120" w:line="22" w:lineRule="atLeast"/>
              <w:ind w:firstLine="629"/>
              <w:jc w:val="both"/>
              <w:rPr>
                <w:rFonts w:ascii="Garamond" w:hAnsi="Garamond" w:cstheme="minorHAnsi"/>
                <w:b w:val="0"/>
              </w:rPr>
            </w:pPr>
            <w:r w:rsidRPr="00A5626D">
              <w:rPr>
                <w:rFonts w:ascii="Garamond" w:hAnsi="Garamond" w:cstheme="minorHAnsi"/>
                <w:b w:val="0"/>
              </w:rPr>
              <w:lastRenderedPageBreak/>
              <w:t>6</w:t>
            </w:r>
            <w:r w:rsidR="002B237C" w:rsidRPr="00A5626D">
              <w:rPr>
                <w:rFonts w:ascii="Garamond" w:hAnsi="Garamond" w:cstheme="minorHAnsi"/>
                <w:b w:val="0"/>
                <w:highlight w:val="yellow"/>
              </w:rPr>
              <w:t>.</w:t>
            </w:r>
            <w:r w:rsidRPr="00A5626D">
              <w:rPr>
                <w:rFonts w:ascii="Garamond" w:hAnsi="Garamond" w:cstheme="minorHAnsi"/>
                <w:b w:val="0"/>
              </w:rPr>
              <w:tab/>
              <w:t xml:space="preserve">ТРЕБОВАНИЯ К ПОРЯДКУ ИНФОРМАЦИОННОГО ОБМЕНА МЕЖДУ УЧАСТНИКАМИ ОПТОВОГО РЫНКА, </w:t>
            </w:r>
            <w:r w:rsidRPr="00A5626D">
              <w:rPr>
                <w:rFonts w:ascii="Garamond" w:hAnsi="Garamond" w:cstheme="minorHAnsi"/>
                <w:b w:val="0"/>
                <w:highlight w:val="yellow"/>
              </w:rPr>
              <w:lastRenderedPageBreak/>
              <w:t>АГРЕГАТОРАМИ,</w:t>
            </w:r>
            <w:r w:rsidRPr="00A5626D">
              <w:rPr>
                <w:rFonts w:ascii="Garamond" w:hAnsi="Garamond" w:cstheme="minorHAnsi"/>
                <w:b w:val="0"/>
              </w:rPr>
              <w:t xml:space="preserve"> ФСК И СО</w:t>
            </w:r>
          </w:p>
          <w:p w14:paraId="65BFC904" w14:textId="485534C3" w:rsidR="00295C6D" w:rsidRPr="00A5626D" w:rsidRDefault="00295C6D" w:rsidP="00647FA0">
            <w:pPr>
              <w:pStyle w:val="2"/>
              <w:numPr>
                <w:ilvl w:val="0"/>
                <w:numId w:val="0"/>
              </w:numPr>
              <w:tabs>
                <w:tab w:val="left" w:pos="1134"/>
                <w:tab w:val="left" w:pos="7938"/>
              </w:tabs>
              <w:suppressAutoHyphens w:val="0"/>
              <w:spacing w:before="120" w:after="120" w:line="22" w:lineRule="atLeast"/>
              <w:ind w:firstLine="629"/>
              <w:jc w:val="both"/>
              <w:rPr>
                <w:rFonts w:ascii="Garamond" w:hAnsi="Garamond" w:cstheme="minorHAnsi"/>
                <w:b w:val="0"/>
              </w:rPr>
            </w:pPr>
            <w:r w:rsidRPr="00A5626D">
              <w:rPr>
                <w:rFonts w:ascii="Garamond" w:hAnsi="Garamond" w:cstheme="minorHAnsi"/>
                <w:b w:val="0"/>
              </w:rPr>
              <w:t>6.1</w:t>
            </w:r>
            <w:r w:rsidR="002B237C" w:rsidRPr="00A5626D">
              <w:rPr>
                <w:rFonts w:ascii="Garamond" w:hAnsi="Garamond" w:cstheme="minorHAnsi"/>
                <w:b w:val="0"/>
                <w:highlight w:val="yellow"/>
              </w:rPr>
              <w:t>.</w:t>
            </w:r>
            <w:r w:rsidRPr="00A5626D">
              <w:rPr>
                <w:rFonts w:ascii="Garamond" w:hAnsi="Garamond" w:cstheme="minorHAnsi"/>
                <w:b w:val="0"/>
              </w:rPr>
              <w:tab/>
              <w:t xml:space="preserve">Участники оптового рынка </w:t>
            </w:r>
            <w:r w:rsidRPr="00A5626D">
              <w:rPr>
                <w:rFonts w:ascii="Garamond" w:hAnsi="Garamond" w:cstheme="minorHAnsi"/>
                <w:b w:val="0"/>
                <w:highlight w:val="yellow"/>
              </w:rPr>
              <w:t>между собой, участники оптового рынка</w:t>
            </w:r>
            <w:r w:rsidRPr="00A5626D">
              <w:rPr>
                <w:rFonts w:ascii="Garamond" w:hAnsi="Garamond" w:cstheme="minorHAnsi"/>
                <w:b w:val="0"/>
              </w:rPr>
              <w:t xml:space="preserve"> и ФСК по смежным сечениям </w:t>
            </w:r>
            <w:r w:rsidRPr="00A5626D">
              <w:rPr>
                <w:rFonts w:ascii="Garamond" w:hAnsi="Garamond" w:cstheme="minorHAnsi"/>
                <w:b w:val="0"/>
                <w:highlight w:val="yellow"/>
              </w:rPr>
              <w:t>коммерческого учета</w:t>
            </w:r>
            <w:r w:rsidRPr="00A5626D">
              <w:rPr>
                <w:rFonts w:ascii="Garamond" w:hAnsi="Garamond" w:cstheme="minorHAnsi"/>
                <w:b w:val="0"/>
              </w:rPr>
              <w:t xml:space="preserve"> регулируют процедуру учета, порядка расчета и согласования количества переданной (полученной) и произведенной электроэнергии </w:t>
            </w:r>
            <w:r w:rsidRPr="00A5626D">
              <w:rPr>
                <w:rFonts w:ascii="Garamond" w:hAnsi="Garamond" w:cstheme="minorHAnsi"/>
                <w:b w:val="0"/>
                <w:highlight w:val="yellow"/>
              </w:rPr>
              <w:t>с учетом</w:t>
            </w:r>
            <w:r w:rsidRPr="00A5626D">
              <w:rPr>
                <w:rFonts w:ascii="Garamond" w:hAnsi="Garamond" w:cstheme="minorHAnsi"/>
                <w:b w:val="0"/>
              </w:rPr>
              <w:t xml:space="preserve"> требовани</w:t>
            </w:r>
            <w:r w:rsidRPr="00A5626D">
              <w:rPr>
                <w:rFonts w:ascii="Garamond" w:hAnsi="Garamond" w:cstheme="minorHAnsi"/>
                <w:b w:val="0"/>
                <w:highlight w:val="yellow"/>
              </w:rPr>
              <w:t>й</w:t>
            </w:r>
            <w:r w:rsidRPr="00A5626D">
              <w:rPr>
                <w:rFonts w:ascii="Garamond" w:hAnsi="Garamond" w:cstheme="minorHAnsi"/>
                <w:b w:val="0"/>
              </w:rPr>
              <w:t xml:space="preserve"> настоящего Регламента. </w:t>
            </w:r>
            <w:r w:rsidRPr="00A5626D">
              <w:rPr>
                <w:rFonts w:ascii="Garamond" w:hAnsi="Garamond" w:cstheme="minorHAnsi"/>
                <w:b w:val="0"/>
                <w:highlight w:val="yellow"/>
              </w:rPr>
              <w:t>Агрегаторы и владельцы ГТП по соответствующим объектам регулирования регулируют процедуру учета, порядка расчета и согласования данных коммерческого учета с учетом требований настоящего Регламента.</w:t>
            </w:r>
          </w:p>
          <w:p w14:paraId="098F8EB3" w14:textId="1E9FF094" w:rsidR="00295C6D" w:rsidRPr="00A5626D" w:rsidRDefault="00295C6D" w:rsidP="00647FA0">
            <w:pPr>
              <w:pStyle w:val="2"/>
              <w:numPr>
                <w:ilvl w:val="0"/>
                <w:numId w:val="0"/>
              </w:numPr>
              <w:tabs>
                <w:tab w:val="left" w:pos="1134"/>
                <w:tab w:val="left" w:pos="7938"/>
              </w:tabs>
              <w:suppressAutoHyphens w:val="0"/>
              <w:spacing w:before="120" w:after="120" w:line="22" w:lineRule="atLeast"/>
              <w:ind w:firstLine="629"/>
              <w:jc w:val="both"/>
              <w:rPr>
                <w:rFonts w:ascii="Garamond" w:hAnsi="Garamond" w:cstheme="minorHAnsi"/>
                <w:b w:val="0"/>
              </w:rPr>
            </w:pPr>
            <w:r w:rsidRPr="00A5626D">
              <w:rPr>
                <w:rFonts w:ascii="Garamond" w:hAnsi="Garamond" w:cstheme="minorHAnsi"/>
                <w:b w:val="0"/>
              </w:rPr>
              <w:t>6.2</w:t>
            </w:r>
            <w:r w:rsidR="002B237C" w:rsidRPr="00A5626D">
              <w:rPr>
                <w:rFonts w:ascii="Garamond" w:hAnsi="Garamond" w:cstheme="minorHAnsi"/>
                <w:b w:val="0"/>
                <w:highlight w:val="yellow"/>
              </w:rPr>
              <w:t>.</w:t>
            </w:r>
            <w:r w:rsidRPr="00A5626D">
              <w:rPr>
                <w:rFonts w:ascii="Garamond" w:hAnsi="Garamond" w:cstheme="minorHAnsi"/>
                <w:b w:val="0"/>
              </w:rPr>
              <w:tab/>
              <w:t xml:space="preserve"> Участник оптового рынка, ФСК</w:t>
            </w:r>
            <w:r w:rsidRPr="00A5626D">
              <w:rPr>
                <w:rFonts w:ascii="Garamond" w:hAnsi="Garamond" w:cstheme="minorHAnsi"/>
                <w:b w:val="0"/>
                <w:highlight w:val="yellow"/>
              </w:rPr>
              <w:t>, агрегатор</w:t>
            </w:r>
            <w:r w:rsidRPr="00A5626D">
              <w:rPr>
                <w:rFonts w:ascii="Garamond" w:hAnsi="Garamond" w:cstheme="minorHAnsi"/>
                <w:b w:val="0"/>
              </w:rPr>
              <w:t>:</w:t>
            </w:r>
          </w:p>
          <w:p w14:paraId="6362203F" w14:textId="77777777" w:rsidR="00295C6D" w:rsidRPr="00A5626D" w:rsidRDefault="00295C6D" w:rsidP="00647FA0">
            <w:pPr>
              <w:pStyle w:val="2"/>
              <w:numPr>
                <w:ilvl w:val="0"/>
                <w:numId w:val="0"/>
              </w:numPr>
              <w:tabs>
                <w:tab w:val="left" w:pos="1134"/>
                <w:tab w:val="left" w:pos="7938"/>
              </w:tabs>
              <w:suppressAutoHyphens w:val="0"/>
              <w:spacing w:before="120" w:after="120" w:line="22" w:lineRule="atLeast"/>
              <w:ind w:firstLine="629"/>
              <w:jc w:val="both"/>
              <w:rPr>
                <w:rFonts w:ascii="Garamond" w:hAnsi="Garamond" w:cstheme="minorHAnsi"/>
                <w:b w:val="0"/>
              </w:rPr>
            </w:pPr>
            <w:r w:rsidRPr="00A5626D">
              <w:rPr>
                <w:rFonts w:ascii="Garamond" w:hAnsi="Garamond" w:cstheme="minorHAnsi"/>
                <w:b w:val="0"/>
              </w:rPr>
              <w:t>•</w:t>
            </w:r>
            <w:r w:rsidRPr="00A5626D">
              <w:rPr>
                <w:rFonts w:ascii="Garamond" w:hAnsi="Garamond" w:cstheme="minorHAnsi"/>
                <w:b w:val="0"/>
              </w:rPr>
              <w:tab/>
              <w:t xml:space="preserve">не должны осуществлять демонтаж и (или) замену </w:t>
            </w:r>
            <w:r w:rsidRPr="00A5626D">
              <w:rPr>
                <w:rFonts w:ascii="Garamond" w:hAnsi="Garamond" w:cstheme="minorHAnsi"/>
                <w:b w:val="0"/>
                <w:highlight w:val="yellow"/>
              </w:rPr>
              <w:t>средств измерений или технических устройств (компонентов системы учета электроэнергии)</w:t>
            </w:r>
            <w:r w:rsidRPr="00A5626D">
              <w:rPr>
                <w:rFonts w:ascii="Garamond" w:hAnsi="Garamond" w:cstheme="minorHAnsi"/>
                <w:b w:val="0"/>
              </w:rPr>
              <w:t xml:space="preserve"> на </w:t>
            </w:r>
            <w:r w:rsidRPr="00A5626D">
              <w:rPr>
                <w:rFonts w:ascii="Garamond" w:hAnsi="Garamond" w:cstheme="minorHAnsi"/>
                <w:b w:val="0"/>
                <w:highlight w:val="yellow"/>
              </w:rPr>
              <w:t>средства измерений или технические устройства (компоненты системы учета электроэнергии)</w:t>
            </w:r>
            <w:r w:rsidRPr="00A5626D">
              <w:rPr>
                <w:rFonts w:ascii="Garamond" w:hAnsi="Garamond" w:cstheme="minorHAnsi"/>
                <w:b w:val="0"/>
              </w:rPr>
              <w:t>, не соответствующи</w:t>
            </w:r>
            <w:r w:rsidRPr="00A5626D">
              <w:rPr>
                <w:rFonts w:ascii="Garamond" w:hAnsi="Garamond" w:cstheme="minorHAnsi"/>
                <w:b w:val="0"/>
                <w:highlight w:val="yellow"/>
              </w:rPr>
              <w:t>е</w:t>
            </w:r>
            <w:r w:rsidRPr="00A5626D">
              <w:rPr>
                <w:rFonts w:ascii="Garamond" w:hAnsi="Garamond" w:cstheme="minorHAnsi"/>
                <w:b w:val="0"/>
              </w:rPr>
              <w:t xml:space="preserve"> требованиям, установленным Приложением № 11.1 к </w:t>
            </w:r>
            <w:r w:rsidRPr="00A5626D">
              <w:rPr>
                <w:rFonts w:ascii="Garamond" w:hAnsi="Garamond" w:cstheme="minorHAnsi"/>
                <w:b w:val="0"/>
                <w:i/>
              </w:rPr>
              <w:t>Положению о порядке получения статуса субъекта оптового рынка и ведения реестра субъектов оптового рынка</w:t>
            </w:r>
            <w:r w:rsidRPr="00A5626D">
              <w:rPr>
                <w:rFonts w:ascii="Garamond" w:hAnsi="Garamond" w:cstheme="minorHAnsi"/>
                <w:b w:val="0"/>
              </w:rPr>
              <w:t xml:space="preserve"> (Приложение № 1.1 к </w:t>
            </w:r>
            <w:r w:rsidRPr="00A5626D">
              <w:rPr>
                <w:rFonts w:ascii="Garamond" w:hAnsi="Garamond" w:cstheme="minorHAnsi"/>
                <w:b w:val="0"/>
                <w:i/>
              </w:rPr>
              <w:t>Договору о присоединении к торговой системе оптового рынка</w:t>
            </w:r>
            <w:r w:rsidRPr="00A5626D">
              <w:rPr>
                <w:rFonts w:ascii="Garamond" w:hAnsi="Garamond" w:cstheme="minorHAnsi"/>
                <w:b w:val="0"/>
              </w:rPr>
              <w:t xml:space="preserve">); </w:t>
            </w:r>
          </w:p>
          <w:p w14:paraId="467C0C12" w14:textId="77777777" w:rsidR="00295C6D" w:rsidRPr="00A5626D" w:rsidRDefault="00295C6D" w:rsidP="00647FA0">
            <w:pPr>
              <w:pStyle w:val="2"/>
              <w:numPr>
                <w:ilvl w:val="0"/>
                <w:numId w:val="0"/>
              </w:numPr>
              <w:tabs>
                <w:tab w:val="left" w:pos="1134"/>
                <w:tab w:val="left" w:pos="7938"/>
              </w:tabs>
              <w:suppressAutoHyphens w:val="0"/>
              <w:spacing w:before="120" w:after="120" w:line="22" w:lineRule="atLeast"/>
              <w:ind w:firstLine="629"/>
              <w:jc w:val="both"/>
              <w:rPr>
                <w:rFonts w:ascii="Garamond" w:hAnsi="Garamond" w:cstheme="minorHAnsi"/>
                <w:b w:val="0"/>
              </w:rPr>
            </w:pPr>
            <w:r w:rsidRPr="00A5626D">
              <w:rPr>
                <w:rFonts w:ascii="Garamond" w:hAnsi="Garamond" w:cstheme="minorHAnsi"/>
                <w:b w:val="0"/>
              </w:rPr>
              <w:t>•</w:t>
            </w:r>
            <w:r w:rsidRPr="00A5626D">
              <w:rPr>
                <w:rFonts w:ascii="Garamond" w:hAnsi="Garamond" w:cstheme="minorHAnsi"/>
                <w:b w:val="0"/>
              </w:rPr>
              <w:tab/>
              <w:t xml:space="preserve">обязаны предварительно согласовывать с собственником или иным законным владельцем </w:t>
            </w:r>
            <w:r w:rsidRPr="00A5626D">
              <w:rPr>
                <w:rFonts w:ascii="Garamond" w:hAnsi="Garamond" w:cstheme="minorHAnsi"/>
                <w:b w:val="0"/>
                <w:highlight w:val="yellow"/>
              </w:rPr>
              <w:t>средств измерений или технических устройств (компонентов системы учета электроэнергии) их</w:t>
            </w:r>
            <w:r w:rsidRPr="00A5626D">
              <w:rPr>
                <w:rFonts w:ascii="Garamond" w:hAnsi="Garamond" w:cstheme="minorHAnsi"/>
                <w:b w:val="0"/>
              </w:rPr>
              <w:t xml:space="preserve"> демонтаж и (или) замену;</w:t>
            </w:r>
          </w:p>
          <w:p w14:paraId="1FE7D9B2" w14:textId="77777777" w:rsidR="00295C6D" w:rsidRPr="00A5626D" w:rsidRDefault="00295C6D" w:rsidP="00647FA0">
            <w:pPr>
              <w:pStyle w:val="2"/>
              <w:numPr>
                <w:ilvl w:val="0"/>
                <w:numId w:val="0"/>
              </w:numPr>
              <w:tabs>
                <w:tab w:val="left" w:pos="1134"/>
                <w:tab w:val="left" w:pos="7938"/>
              </w:tabs>
              <w:suppressAutoHyphens w:val="0"/>
              <w:spacing w:before="120" w:after="120" w:line="22" w:lineRule="atLeast"/>
              <w:ind w:firstLine="629"/>
              <w:jc w:val="both"/>
              <w:rPr>
                <w:rFonts w:ascii="Garamond" w:hAnsi="Garamond" w:cstheme="minorHAnsi"/>
                <w:b w:val="0"/>
              </w:rPr>
            </w:pPr>
            <w:r w:rsidRPr="00A5626D">
              <w:rPr>
                <w:rFonts w:ascii="Garamond" w:hAnsi="Garamond" w:cstheme="minorHAnsi"/>
                <w:b w:val="0"/>
              </w:rPr>
              <w:t>•</w:t>
            </w:r>
            <w:r w:rsidRPr="00A5626D">
              <w:rPr>
                <w:rFonts w:ascii="Garamond" w:hAnsi="Garamond" w:cstheme="minorHAnsi"/>
                <w:b w:val="0"/>
              </w:rPr>
              <w:tab/>
              <w:t xml:space="preserve">обязаны предварительно уведомить </w:t>
            </w:r>
            <w:r w:rsidRPr="00A5626D">
              <w:rPr>
                <w:rFonts w:ascii="Garamond" w:hAnsi="Garamond" w:cstheme="minorHAnsi"/>
                <w:b w:val="0"/>
                <w:highlight w:val="yellow"/>
              </w:rPr>
              <w:t>соответственно</w:t>
            </w:r>
            <w:r w:rsidRPr="00A5626D">
              <w:rPr>
                <w:rFonts w:ascii="Garamond" w:hAnsi="Garamond" w:cstheme="minorHAnsi"/>
                <w:b w:val="0"/>
              </w:rPr>
              <w:t xml:space="preserve"> смежного участника оптового рынка</w:t>
            </w:r>
            <w:r w:rsidRPr="00A5626D">
              <w:rPr>
                <w:rFonts w:ascii="Garamond" w:hAnsi="Garamond" w:cstheme="minorHAnsi"/>
                <w:b w:val="0"/>
                <w:highlight w:val="yellow"/>
              </w:rPr>
              <w:t>,</w:t>
            </w:r>
            <w:r w:rsidRPr="00A5626D">
              <w:rPr>
                <w:rFonts w:ascii="Garamond" w:hAnsi="Garamond" w:cstheme="minorHAnsi"/>
                <w:b w:val="0"/>
              </w:rPr>
              <w:t xml:space="preserve"> ФСК</w:t>
            </w:r>
            <w:r w:rsidRPr="00A5626D">
              <w:rPr>
                <w:rFonts w:ascii="Garamond" w:hAnsi="Garamond" w:cstheme="minorHAnsi"/>
                <w:b w:val="0"/>
                <w:highlight w:val="yellow"/>
              </w:rPr>
              <w:t xml:space="preserve">, агрегатора, владельца ГТП </w:t>
            </w:r>
            <w:r w:rsidRPr="00A5626D">
              <w:rPr>
                <w:rFonts w:ascii="Garamond" w:hAnsi="Garamond" w:cstheme="minorHAnsi"/>
                <w:b w:val="0"/>
              </w:rPr>
              <w:t xml:space="preserve">о намерении осуществить демонтаж и (или) замену </w:t>
            </w:r>
            <w:r w:rsidRPr="00A5626D">
              <w:rPr>
                <w:rFonts w:ascii="Garamond" w:hAnsi="Garamond" w:cstheme="minorHAnsi"/>
                <w:b w:val="0"/>
                <w:highlight w:val="yellow"/>
              </w:rPr>
              <w:t>средств измерений или технических устройств (компонентов системы учета электроэнергии)</w:t>
            </w:r>
            <w:r w:rsidRPr="00A5626D">
              <w:rPr>
                <w:rFonts w:ascii="Garamond" w:hAnsi="Garamond" w:cstheme="minorHAnsi"/>
                <w:b w:val="0"/>
              </w:rPr>
              <w:t>.</w:t>
            </w:r>
          </w:p>
          <w:p w14:paraId="1C973C43" w14:textId="3EDD9DB5" w:rsidR="00295C6D" w:rsidRPr="00A5626D" w:rsidRDefault="00295C6D" w:rsidP="00647FA0">
            <w:pPr>
              <w:pStyle w:val="2"/>
              <w:numPr>
                <w:ilvl w:val="0"/>
                <w:numId w:val="0"/>
              </w:numPr>
              <w:tabs>
                <w:tab w:val="left" w:pos="1134"/>
                <w:tab w:val="left" w:pos="7938"/>
              </w:tabs>
              <w:suppressAutoHyphens w:val="0"/>
              <w:spacing w:before="120" w:after="120" w:line="22" w:lineRule="atLeast"/>
              <w:ind w:firstLine="629"/>
              <w:jc w:val="both"/>
              <w:rPr>
                <w:rFonts w:ascii="Garamond" w:hAnsi="Garamond" w:cstheme="minorHAnsi"/>
                <w:b w:val="0"/>
              </w:rPr>
            </w:pPr>
            <w:r w:rsidRPr="00A5626D">
              <w:rPr>
                <w:rFonts w:ascii="Garamond" w:hAnsi="Garamond" w:cstheme="minorHAnsi"/>
                <w:b w:val="0"/>
              </w:rPr>
              <w:t>6.3</w:t>
            </w:r>
            <w:r w:rsidR="002B237C" w:rsidRPr="00A5626D">
              <w:rPr>
                <w:rFonts w:ascii="Garamond" w:hAnsi="Garamond" w:cstheme="minorHAnsi"/>
                <w:b w:val="0"/>
                <w:highlight w:val="yellow"/>
              </w:rPr>
              <w:t>.</w:t>
            </w:r>
            <w:r w:rsidRPr="00A5626D">
              <w:rPr>
                <w:rFonts w:ascii="Garamond" w:hAnsi="Garamond" w:cstheme="minorHAnsi"/>
                <w:b w:val="0"/>
              </w:rPr>
              <w:tab/>
              <w:t xml:space="preserve"> Каждый участник оптового рынка</w:t>
            </w:r>
            <w:r w:rsidRPr="00A5626D">
              <w:rPr>
                <w:rFonts w:ascii="Garamond" w:hAnsi="Garamond" w:cstheme="minorHAnsi"/>
                <w:b w:val="0"/>
                <w:highlight w:val="yellow"/>
              </w:rPr>
              <w:t>,</w:t>
            </w:r>
            <w:r w:rsidRPr="00A5626D">
              <w:rPr>
                <w:rFonts w:ascii="Garamond" w:hAnsi="Garamond" w:cstheme="minorHAnsi"/>
                <w:b w:val="0"/>
              </w:rPr>
              <w:t xml:space="preserve"> ФСК</w:t>
            </w:r>
            <w:r w:rsidRPr="00A5626D">
              <w:rPr>
                <w:rFonts w:ascii="Garamond" w:hAnsi="Garamond" w:cstheme="minorHAnsi"/>
                <w:b w:val="0"/>
                <w:highlight w:val="yellow"/>
              </w:rPr>
              <w:t xml:space="preserve">, агрегатор </w:t>
            </w:r>
            <w:r w:rsidRPr="00A5626D">
              <w:rPr>
                <w:rFonts w:ascii="Garamond" w:hAnsi="Garamond" w:cstheme="minorHAnsi"/>
                <w:b w:val="0"/>
              </w:rPr>
              <w:t>несут ответственность:</w:t>
            </w:r>
          </w:p>
          <w:p w14:paraId="70EF8B76" w14:textId="77777777" w:rsidR="00295C6D" w:rsidRPr="00A5626D" w:rsidRDefault="00295C6D" w:rsidP="00647FA0">
            <w:pPr>
              <w:pStyle w:val="2"/>
              <w:numPr>
                <w:ilvl w:val="0"/>
                <w:numId w:val="0"/>
              </w:numPr>
              <w:tabs>
                <w:tab w:val="left" w:pos="1134"/>
                <w:tab w:val="left" w:pos="7938"/>
              </w:tabs>
              <w:suppressAutoHyphens w:val="0"/>
              <w:spacing w:before="120" w:after="120" w:line="22" w:lineRule="atLeast"/>
              <w:ind w:firstLine="629"/>
              <w:jc w:val="both"/>
              <w:rPr>
                <w:rFonts w:ascii="Garamond" w:hAnsi="Garamond" w:cstheme="minorHAnsi"/>
                <w:b w:val="0"/>
              </w:rPr>
            </w:pPr>
            <w:r w:rsidRPr="00A5626D">
              <w:rPr>
                <w:rFonts w:ascii="Garamond" w:hAnsi="Garamond" w:cstheme="minorHAnsi"/>
                <w:b w:val="0"/>
              </w:rPr>
              <w:t>•</w:t>
            </w:r>
            <w:r w:rsidRPr="00A5626D">
              <w:rPr>
                <w:rFonts w:ascii="Garamond" w:hAnsi="Garamond" w:cstheme="minorHAnsi"/>
                <w:b w:val="0"/>
              </w:rPr>
              <w:tab/>
              <w:t xml:space="preserve">за организацию эксплуатации </w:t>
            </w:r>
            <w:r w:rsidRPr="00A5626D">
              <w:rPr>
                <w:rFonts w:ascii="Garamond" w:hAnsi="Garamond" w:cstheme="minorHAnsi"/>
                <w:b w:val="0"/>
                <w:highlight w:val="yellow"/>
              </w:rPr>
              <w:t>систем учета электроэнергии (</w:t>
            </w:r>
            <w:r w:rsidRPr="00A5626D">
              <w:rPr>
                <w:rFonts w:ascii="Garamond" w:hAnsi="Garamond" w:cstheme="minorHAnsi"/>
                <w:b w:val="0"/>
              </w:rPr>
              <w:t>средств измерений</w:t>
            </w:r>
            <w:r w:rsidRPr="00A5626D">
              <w:rPr>
                <w:rFonts w:ascii="Garamond" w:hAnsi="Garamond" w:cstheme="minorHAnsi"/>
                <w:b w:val="0"/>
                <w:highlight w:val="yellow"/>
              </w:rPr>
              <w:t>, технических устройств)</w:t>
            </w:r>
            <w:r w:rsidRPr="00A5626D">
              <w:rPr>
                <w:rFonts w:ascii="Garamond" w:hAnsi="Garamond" w:cstheme="minorHAnsi"/>
                <w:b w:val="0"/>
              </w:rPr>
              <w:t>, принадлежащих им на праве собственности или ином законном основании и представленных в ПСИ;</w:t>
            </w:r>
          </w:p>
          <w:p w14:paraId="30C625C1" w14:textId="77777777" w:rsidR="00295C6D" w:rsidRPr="00A5626D" w:rsidRDefault="00295C6D" w:rsidP="00647FA0">
            <w:pPr>
              <w:pStyle w:val="2"/>
              <w:numPr>
                <w:ilvl w:val="0"/>
                <w:numId w:val="0"/>
              </w:numPr>
              <w:tabs>
                <w:tab w:val="left" w:pos="1134"/>
                <w:tab w:val="left" w:pos="7938"/>
              </w:tabs>
              <w:suppressAutoHyphens w:val="0"/>
              <w:spacing w:before="120" w:after="120" w:line="22" w:lineRule="atLeast"/>
              <w:ind w:firstLine="629"/>
              <w:jc w:val="both"/>
              <w:rPr>
                <w:rFonts w:ascii="Garamond" w:hAnsi="Garamond" w:cstheme="minorHAnsi"/>
                <w:b w:val="0"/>
              </w:rPr>
            </w:pPr>
            <w:r w:rsidRPr="00A5626D">
              <w:rPr>
                <w:rFonts w:ascii="Garamond" w:hAnsi="Garamond" w:cstheme="minorHAnsi"/>
                <w:b w:val="0"/>
              </w:rPr>
              <w:t>•</w:t>
            </w:r>
            <w:r w:rsidRPr="00A5626D">
              <w:rPr>
                <w:rFonts w:ascii="Garamond" w:hAnsi="Garamond" w:cstheme="minorHAnsi"/>
                <w:b w:val="0"/>
              </w:rPr>
              <w:tab/>
              <w:t xml:space="preserve">за проверку корректности расчета почасовых значений учетного показателя в акте учета (оборота) по ГТП генерации, акте учета перетоков по сечению коммерческого учета (макеты 51020), выполненного на основании ПСИ, сформированного в макете 60000 (60090), с использованием результатов измерений, направленных в КО в </w:t>
            </w:r>
            <w:r w:rsidRPr="00A5626D">
              <w:rPr>
                <w:rFonts w:ascii="Garamond" w:hAnsi="Garamond" w:cstheme="minorHAnsi"/>
                <w:b w:val="0"/>
              </w:rPr>
              <w:lastRenderedPageBreak/>
              <w:t xml:space="preserve">соответствии с Приложением № 11.1.1 к </w:t>
            </w:r>
            <w:r w:rsidRPr="00A5626D">
              <w:rPr>
                <w:rFonts w:ascii="Garamond" w:hAnsi="Garamond" w:cstheme="minorHAnsi"/>
                <w:b w:val="0"/>
                <w:i/>
              </w:rPr>
              <w:t>Положению о порядке получения статуса субъекта оптового рынка и ведения реестра субъектов оптового рынка</w:t>
            </w:r>
            <w:r w:rsidRPr="00A5626D">
              <w:rPr>
                <w:rFonts w:ascii="Garamond" w:hAnsi="Garamond" w:cstheme="minorHAnsi"/>
                <w:b w:val="0"/>
              </w:rPr>
              <w:t xml:space="preserve"> (Приложение № 1.1 к </w:t>
            </w:r>
            <w:r w:rsidRPr="00A5626D">
              <w:rPr>
                <w:rFonts w:ascii="Garamond" w:hAnsi="Garamond" w:cstheme="minorHAnsi"/>
                <w:b w:val="0"/>
                <w:i/>
              </w:rPr>
              <w:t>Договору о присоединении к торговой системе оптового рынка</w:t>
            </w:r>
            <w:r w:rsidRPr="00A5626D">
              <w:rPr>
                <w:rFonts w:ascii="Garamond" w:hAnsi="Garamond" w:cstheme="minorHAnsi"/>
                <w:b w:val="0"/>
              </w:rPr>
              <w:t>), а также достоверность вышеуказанных данных, на основании которых выполнен вышеуказанный расчет;</w:t>
            </w:r>
          </w:p>
          <w:p w14:paraId="3CA32891" w14:textId="77777777" w:rsidR="00295C6D" w:rsidRPr="00A5626D" w:rsidRDefault="00295C6D" w:rsidP="00647FA0">
            <w:pPr>
              <w:pStyle w:val="2"/>
              <w:numPr>
                <w:ilvl w:val="0"/>
                <w:numId w:val="0"/>
              </w:numPr>
              <w:tabs>
                <w:tab w:val="left" w:pos="1134"/>
                <w:tab w:val="left" w:pos="7938"/>
              </w:tabs>
              <w:suppressAutoHyphens w:val="0"/>
              <w:spacing w:before="120" w:after="120" w:line="22" w:lineRule="atLeast"/>
              <w:ind w:firstLine="629"/>
              <w:jc w:val="both"/>
              <w:rPr>
                <w:rFonts w:ascii="Garamond" w:hAnsi="Garamond" w:cstheme="minorHAnsi"/>
                <w:b w:val="0"/>
              </w:rPr>
            </w:pPr>
            <w:r w:rsidRPr="00A5626D">
              <w:rPr>
                <w:rFonts w:ascii="Garamond" w:hAnsi="Garamond" w:cstheme="minorHAnsi"/>
                <w:b w:val="0"/>
              </w:rPr>
              <w:t>•</w:t>
            </w:r>
            <w:r w:rsidRPr="00A5626D">
              <w:rPr>
                <w:rFonts w:ascii="Garamond" w:hAnsi="Garamond" w:cstheme="minorHAnsi"/>
                <w:b w:val="0"/>
              </w:rPr>
              <w:tab/>
              <w:t>за достоверность данных коммерческого учета, в том числе использованных при согласовании в порядке, предусмотренном п. 7.6 настоящего Регламента, корректирующих актов учета перетоков по сечению коммерческого учета или корректирующих актов учета (оборота) по ГТП генерации (макеты 51075);</w:t>
            </w:r>
          </w:p>
          <w:p w14:paraId="5A581924" w14:textId="77777777" w:rsidR="00295C6D" w:rsidRPr="00A5626D" w:rsidRDefault="00295C6D" w:rsidP="00647FA0">
            <w:pPr>
              <w:pStyle w:val="2"/>
              <w:numPr>
                <w:ilvl w:val="0"/>
                <w:numId w:val="0"/>
              </w:numPr>
              <w:tabs>
                <w:tab w:val="left" w:pos="1134"/>
                <w:tab w:val="left" w:pos="7938"/>
              </w:tabs>
              <w:suppressAutoHyphens w:val="0"/>
              <w:spacing w:before="120" w:after="120" w:line="22" w:lineRule="atLeast"/>
              <w:ind w:firstLine="629"/>
              <w:jc w:val="both"/>
              <w:rPr>
                <w:rFonts w:ascii="Garamond" w:hAnsi="Garamond" w:cstheme="minorHAnsi"/>
                <w:b w:val="0"/>
              </w:rPr>
            </w:pPr>
            <w:r w:rsidRPr="00A5626D">
              <w:rPr>
                <w:rFonts w:ascii="Garamond" w:hAnsi="Garamond" w:cstheme="minorHAnsi"/>
                <w:b w:val="0"/>
              </w:rPr>
              <w:t xml:space="preserve"> </w:t>
            </w:r>
            <w:r w:rsidRPr="00A5626D">
              <w:rPr>
                <w:rFonts w:ascii="Garamond" w:hAnsi="Garamond" w:cstheme="minorHAnsi"/>
                <w:b w:val="0"/>
                <w:highlight w:val="yellow"/>
              </w:rPr>
              <w:t>•</w:t>
            </w:r>
            <w:r w:rsidRPr="00A5626D">
              <w:rPr>
                <w:rFonts w:ascii="Garamond" w:hAnsi="Garamond" w:cstheme="minorHAnsi"/>
                <w:b w:val="0"/>
                <w:highlight w:val="yellow"/>
              </w:rPr>
              <w:tab/>
              <w:t xml:space="preserve">за достоверность результатов измерений и </w:t>
            </w:r>
            <w:r w:rsidR="008B47A5" w:rsidRPr="00A5626D">
              <w:rPr>
                <w:rFonts w:ascii="Garamond" w:hAnsi="Garamond" w:cstheme="minorHAnsi"/>
                <w:b w:val="0"/>
                <w:highlight w:val="yellow"/>
              </w:rPr>
              <w:t xml:space="preserve">отчетных </w:t>
            </w:r>
            <w:r w:rsidRPr="00A5626D">
              <w:rPr>
                <w:rFonts w:ascii="Garamond" w:hAnsi="Garamond" w:cstheme="minorHAnsi"/>
                <w:b w:val="0"/>
                <w:highlight w:val="yellow"/>
              </w:rPr>
              <w:t>данных коммерческого учета, направляемых агрегаторами и используемых КО при формировании и направлении в СО данных коммерческого учета по объектам регулирования для последующего расчета объема оказанных услуг по управлению изменением режима потребления электрической энергии</w:t>
            </w:r>
            <w:r w:rsidRPr="00A5626D">
              <w:rPr>
                <w:rFonts w:ascii="Garamond" w:hAnsi="Garamond" w:cstheme="minorHAnsi"/>
                <w:b w:val="0"/>
              </w:rPr>
              <w:t>.</w:t>
            </w:r>
          </w:p>
          <w:p w14:paraId="00C96B73" w14:textId="77777777" w:rsidR="00295C6D" w:rsidRPr="00A5626D" w:rsidRDefault="00295C6D" w:rsidP="00647FA0">
            <w:pPr>
              <w:pStyle w:val="2"/>
              <w:numPr>
                <w:ilvl w:val="0"/>
                <w:numId w:val="0"/>
              </w:numPr>
              <w:tabs>
                <w:tab w:val="left" w:pos="1134"/>
                <w:tab w:val="left" w:pos="7938"/>
              </w:tabs>
              <w:suppressAutoHyphens w:val="0"/>
              <w:spacing w:before="120" w:after="120" w:line="22" w:lineRule="atLeast"/>
              <w:ind w:firstLine="629"/>
              <w:jc w:val="both"/>
              <w:rPr>
                <w:rFonts w:ascii="Garamond" w:hAnsi="Garamond" w:cstheme="minorHAnsi"/>
                <w:b w:val="0"/>
              </w:rPr>
            </w:pPr>
            <w:r w:rsidRPr="00A5626D">
              <w:rPr>
                <w:rFonts w:ascii="Garamond" w:hAnsi="Garamond" w:cstheme="minorHAnsi"/>
                <w:b w:val="0"/>
              </w:rPr>
              <w:t xml:space="preserve">Каждая сторона отношений в случае выявления факта наличия недостоверных результатов измерений или отсутствия результатов измерений обязана уведомить об этом смежного участника оптового рынка </w:t>
            </w:r>
            <w:r w:rsidRPr="00A5626D">
              <w:rPr>
                <w:rFonts w:ascii="Garamond" w:hAnsi="Garamond" w:cstheme="minorHAnsi"/>
                <w:b w:val="0"/>
                <w:highlight w:val="yellow"/>
              </w:rPr>
              <w:t>(в том числе владельца ГТП),</w:t>
            </w:r>
            <w:r w:rsidRPr="00A5626D">
              <w:rPr>
                <w:rFonts w:ascii="Garamond" w:hAnsi="Garamond" w:cstheme="minorHAnsi"/>
                <w:b w:val="0"/>
              </w:rPr>
              <w:t xml:space="preserve"> ФСК</w:t>
            </w:r>
            <w:r w:rsidRPr="00A5626D">
              <w:rPr>
                <w:rFonts w:ascii="Garamond" w:hAnsi="Garamond" w:cstheme="minorHAnsi"/>
                <w:b w:val="0"/>
                <w:highlight w:val="yellow"/>
              </w:rPr>
              <w:t>, агрегатора</w:t>
            </w:r>
            <w:r w:rsidRPr="00A5626D">
              <w:rPr>
                <w:rFonts w:ascii="Garamond" w:hAnsi="Garamond" w:cstheme="minorHAnsi"/>
                <w:b w:val="0"/>
              </w:rPr>
              <w:t>.</w:t>
            </w:r>
          </w:p>
          <w:p w14:paraId="4A2BC76F" w14:textId="199864EA" w:rsidR="00295C6D" w:rsidRPr="00A5626D" w:rsidRDefault="00295C6D" w:rsidP="00647FA0">
            <w:pPr>
              <w:pStyle w:val="2"/>
              <w:numPr>
                <w:ilvl w:val="0"/>
                <w:numId w:val="0"/>
              </w:numPr>
              <w:tabs>
                <w:tab w:val="left" w:pos="1134"/>
                <w:tab w:val="left" w:pos="7938"/>
              </w:tabs>
              <w:suppressAutoHyphens w:val="0"/>
              <w:spacing w:before="120" w:after="120" w:line="22" w:lineRule="atLeast"/>
              <w:ind w:firstLine="629"/>
              <w:jc w:val="both"/>
              <w:rPr>
                <w:rFonts w:ascii="Garamond" w:hAnsi="Garamond" w:cstheme="minorHAnsi"/>
                <w:b w:val="0"/>
              </w:rPr>
            </w:pPr>
            <w:r w:rsidRPr="00A5626D">
              <w:rPr>
                <w:rFonts w:ascii="Garamond" w:hAnsi="Garamond" w:cstheme="minorHAnsi"/>
                <w:b w:val="0"/>
              </w:rPr>
              <w:t xml:space="preserve">Участник оптового рынка </w:t>
            </w:r>
            <w:r w:rsidRPr="00A5626D">
              <w:rPr>
                <w:rFonts w:ascii="Garamond" w:hAnsi="Garamond" w:cstheme="minorHAnsi"/>
                <w:b w:val="0"/>
                <w:highlight w:val="yellow"/>
              </w:rPr>
              <w:t>(в том числе владелец ГТП),</w:t>
            </w:r>
            <w:r w:rsidRPr="00A5626D">
              <w:rPr>
                <w:rFonts w:ascii="Garamond" w:hAnsi="Garamond" w:cstheme="minorHAnsi"/>
                <w:b w:val="0"/>
              </w:rPr>
              <w:t xml:space="preserve"> ФСК</w:t>
            </w:r>
            <w:r w:rsidRPr="00A5626D">
              <w:rPr>
                <w:rFonts w:ascii="Garamond" w:hAnsi="Garamond" w:cstheme="minorHAnsi"/>
                <w:b w:val="0"/>
                <w:highlight w:val="yellow"/>
              </w:rPr>
              <w:t xml:space="preserve">, агрегатор </w:t>
            </w:r>
            <w:r w:rsidRPr="00A5626D">
              <w:rPr>
                <w:rFonts w:ascii="Garamond" w:hAnsi="Garamond" w:cstheme="minorHAnsi"/>
                <w:b w:val="0"/>
              </w:rPr>
              <w:t xml:space="preserve">может быть допущен к </w:t>
            </w:r>
            <w:r w:rsidRPr="00A5626D">
              <w:rPr>
                <w:rFonts w:ascii="Garamond" w:hAnsi="Garamond" w:cstheme="minorHAnsi"/>
                <w:b w:val="0"/>
                <w:highlight w:val="yellow"/>
              </w:rPr>
              <w:t>средствам измерений</w:t>
            </w:r>
            <w:r w:rsidRPr="00A5626D">
              <w:rPr>
                <w:rFonts w:ascii="Garamond" w:hAnsi="Garamond" w:cstheme="minorHAnsi"/>
                <w:b w:val="0"/>
              </w:rPr>
              <w:t xml:space="preserve">, находящимся у смежного участника оптового рынка </w:t>
            </w:r>
            <w:r w:rsidRPr="00A5626D">
              <w:rPr>
                <w:rFonts w:ascii="Garamond" w:hAnsi="Garamond" w:cstheme="minorHAnsi"/>
                <w:b w:val="0"/>
                <w:highlight w:val="yellow"/>
              </w:rPr>
              <w:t>(в том числе владельца ГТП),</w:t>
            </w:r>
            <w:r w:rsidRPr="00A5626D">
              <w:rPr>
                <w:rFonts w:ascii="Garamond" w:hAnsi="Garamond" w:cstheme="minorHAnsi"/>
                <w:b w:val="0"/>
              </w:rPr>
              <w:t xml:space="preserve"> ФСК на праве собственности или ином законном основании, на основании письменного обращения в адрес смежного участника оптового рынка</w:t>
            </w:r>
            <w:r w:rsidRPr="00A5626D">
              <w:rPr>
                <w:rFonts w:ascii="Garamond" w:hAnsi="Garamond" w:cstheme="minorHAnsi"/>
                <w:b w:val="0"/>
                <w:highlight w:val="yellow"/>
              </w:rPr>
              <w:t>,</w:t>
            </w:r>
            <w:r w:rsidRPr="00A5626D">
              <w:rPr>
                <w:rFonts w:ascii="Garamond" w:hAnsi="Garamond" w:cstheme="minorHAnsi"/>
                <w:b w:val="0"/>
              </w:rPr>
              <w:t xml:space="preserve"> ФСК</w:t>
            </w:r>
            <w:r w:rsidRPr="00A5626D">
              <w:rPr>
                <w:rFonts w:ascii="Garamond" w:hAnsi="Garamond" w:cstheme="minorHAnsi"/>
                <w:b w:val="0"/>
                <w:highlight w:val="yellow"/>
              </w:rPr>
              <w:t>, агрегатор</w:t>
            </w:r>
            <w:r w:rsidR="00864408" w:rsidRPr="00A5626D">
              <w:rPr>
                <w:rFonts w:ascii="Garamond" w:hAnsi="Garamond" w:cstheme="minorHAnsi"/>
                <w:b w:val="0"/>
                <w:highlight w:val="yellow"/>
              </w:rPr>
              <w:t>а</w:t>
            </w:r>
            <w:r w:rsidRPr="00A5626D">
              <w:rPr>
                <w:rFonts w:ascii="Garamond" w:hAnsi="Garamond" w:cstheme="minorHAnsi"/>
                <w:b w:val="0"/>
                <w:highlight w:val="yellow"/>
              </w:rPr>
              <w:t>, владельца ГТП</w:t>
            </w:r>
            <w:r w:rsidRPr="00A5626D">
              <w:rPr>
                <w:rFonts w:ascii="Garamond" w:hAnsi="Garamond" w:cstheme="minorHAnsi"/>
                <w:b w:val="0"/>
              </w:rPr>
              <w:t xml:space="preserve"> о получении доступа к </w:t>
            </w:r>
            <w:r w:rsidRPr="00A5626D">
              <w:rPr>
                <w:rFonts w:ascii="Garamond" w:hAnsi="Garamond" w:cstheme="minorHAnsi"/>
                <w:b w:val="0"/>
                <w:highlight w:val="yellow"/>
              </w:rPr>
              <w:t>средствам измерений</w:t>
            </w:r>
            <w:r w:rsidRPr="00A5626D">
              <w:rPr>
                <w:rFonts w:ascii="Garamond" w:hAnsi="Garamond" w:cstheme="minorHAnsi"/>
                <w:b w:val="0"/>
              </w:rPr>
              <w:t>.</w:t>
            </w:r>
          </w:p>
          <w:p w14:paraId="0C8ED10F" w14:textId="69A06B8B" w:rsidR="00295C6D" w:rsidRPr="00A5626D" w:rsidRDefault="00295C6D" w:rsidP="00647FA0">
            <w:pPr>
              <w:pStyle w:val="2"/>
              <w:numPr>
                <w:ilvl w:val="0"/>
                <w:numId w:val="0"/>
              </w:numPr>
              <w:tabs>
                <w:tab w:val="left" w:pos="1134"/>
                <w:tab w:val="left" w:pos="7938"/>
              </w:tabs>
              <w:suppressAutoHyphens w:val="0"/>
              <w:spacing w:before="120" w:after="120" w:line="22" w:lineRule="atLeast"/>
              <w:ind w:firstLine="629"/>
              <w:jc w:val="both"/>
              <w:rPr>
                <w:rFonts w:ascii="Garamond" w:hAnsi="Garamond" w:cstheme="minorHAnsi"/>
                <w:b w:val="0"/>
              </w:rPr>
            </w:pPr>
            <w:r w:rsidRPr="00A5626D">
              <w:rPr>
                <w:rFonts w:ascii="Garamond" w:hAnsi="Garamond" w:cstheme="minorHAnsi"/>
                <w:b w:val="0"/>
              </w:rPr>
              <w:t>6.4</w:t>
            </w:r>
            <w:r w:rsidR="002B237C" w:rsidRPr="00A5626D">
              <w:rPr>
                <w:rFonts w:ascii="Garamond" w:hAnsi="Garamond" w:cstheme="minorHAnsi"/>
                <w:b w:val="0"/>
              </w:rPr>
              <w:t>.</w:t>
            </w:r>
            <w:r w:rsidRPr="00A5626D">
              <w:rPr>
                <w:rFonts w:ascii="Garamond" w:hAnsi="Garamond" w:cstheme="minorHAnsi"/>
                <w:b w:val="0"/>
              </w:rPr>
              <w:tab/>
              <w:t>Требования к порядку информационного обмена</w:t>
            </w:r>
          </w:p>
          <w:p w14:paraId="5DF6E252" w14:textId="48FBF345" w:rsidR="00295C6D" w:rsidRPr="00A5626D" w:rsidRDefault="00295C6D" w:rsidP="00647FA0">
            <w:pPr>
              <w:pStyle w:val="2"/>
              <w:numPr>
                <w:ilvl w:val="0"/>
                <w:numId w:val="0"/>
              </w:numPr>
              <w:tabs>
                <w:tab w:val="left" w:pos="1134"/>
                <w:tab w:val="left" w:pos="7938"/>
              </w:tabs>
              <w:suppressAutoHyphens w:val="0"/>
              <w:spacing w:before="120" w:after="120" w:line="22" w:lineRule="atLeast"/>
              <w:ind w:firstLine="629"/>
              <w:jc w:val="both"/>
              <w:rPr>
                <w:rFonts w:ascii="Garamond" w:hAnsi="Garamond" w:cstheme="minorHAnsi"/>
                <w:b w:val="0"/>
              </w:rPr>
            </w:pPr>
            <w:r w:rsidRPr="00A5626D">
              <w:rPr>
                <w:rFonts w:ascii="Garamond" w:hAnsi="Garamond" w:cstheme="minorHAnsi"/>
                <w:b w:val="0"/>
              </w:rPr>
              <w:t>6.4.1</w:t>
            </w:r>
            <w:r w:rsidR="002B237C" w:rsidRPr="00A5626D">
              <w:rPr>
                <w:rFonts w:ascii="Garamond" w:hAnsi="Garamond" w:cstheme="minorHAnsi"/>
                <w:b w:val="0"/>
              </w:rPr>
              <w:t>.</w:t>
            </w:r>
            <w:r w:rsidRPr="00A5626D">
              <w:rPr>
                <w:rFonts w:ascii="Garamond" w:hAnsi="Garamond" w:cstheme="minorHAnsi"/>
                <w:b w:val="0"/>
              </w:rPr>
              <w:tab/>
              <w:t xml:space="preserve">Участники оптового рынка </w:t>
            </w:r>
            <w:r w:rsidRPr="00A5626D">
              <w:rPr>
                <w:rFonts w:ascii="Garamond" w:hAnsi="Garamond" w:cstheme="minorHAnsi"/>
                <w:b w:val="0"/>
                <w:highlight w:val="yellow"/>
              </w:rPr>
              <w:t>(в том числе владелец ГТП)</w:t>
            </w:r>
            <w:r w:rsidRPr="00A5626D">
              <w:rPr>
                <w:rFonts w:ascii="Garamond" w:hAnsi="Garamond" w:cstheme="minorHAnsi"/>
                <w:b w:val="0"/>
              </w:rPr>
              <w:t>, ФСК</w:t>
            </w:r>
            <w:r w:rsidRPr="00A5626D">
              <w:rPr>
                <w:rFonts w:ascii="Garamond" w:hAnsi="Garamond" w:cstheme="minorHAnsi"/>
                <w:b w:val="0"/>
                <w:highlight w:val="yellow"/>
              </w:rPr>
              <w:t>, агрегатор</w:t>
            </w:r>
            <w:r w:rsidRPr="00A5626D">
              <w:rPr>
                <w:rFonts w:ascii="Garamond" w:hAnsi="Garamond" w:cstheme="minorHAnsi"/>
                <w:b w:val="0"/>
              </w:rPr>
              <w:t xml:space="preserve"> в срок не позднее 3 (трех) рабочих дней до даты начала торговли на оптовом рынке с использованием соответствующей ГТП (сечения коммерческого учета ФСК)</w:t>
            </w:r>
            <w:r w:rsidRPr="00A5626D">
              <w:rPr>
                <w:rFonts w:ascii="Garamond" w:hAnsi="Garamond" w:cstheme="minorHAnsi"/>
                <w:b w:val="0"/>
                <w:highlight w:val="yellow"/>
              </w:rPr>
              <w:t>, объекта регулирования</w:t>
            </w:r>
            <w:r w:rsidRPr="00A5626D">
              <w:rPr>
                <w:rFonts w:ascii="Garamond" w:hAnsi="Garamond" w:cstheme="minorHAnsi"/>
                <w:b w:val="0"/>
              </w:rPr>
              <w:t xml:space="preserve"> представляют в адрес контрагентов по согласованию данных коммерческого учета перечень лиц:</w:t>
            </w:r>
          </w:p>
          <w:p w14:paraId="635554A1" w14:textId="77777777" w:rsidR="00295C6D" w:rsidRPr="00A5626D" w:rsidRDefault="00295C6D" w:rsidP="00647FA0">
            <w:pPr>
              <w:pStyle w:val="2"/>
              <w:numPr>
                <w:ilvl w:val="0"/>
                <w:numId w:val="0"/>
              </w:numPr>
              <w:tabs>
                <w:tab w:val="left" w:pos="1134"/>
                <w:tab w:val="left" w:pos="7938"/>
              </w:tabs>
              <w:suppressAutoHyphens w:val="0"/>
              <w:spacing w:before="120" w:after="120" w:line="22" w:lineRule="atLeast"/>
              <w:ind w:firstLine="629"/>
              <w:jc w:val="both"/>
              <w:rPr>
                <w:rFonts w:ascii="Garamond" w:hAnsi="Garamond" w:cstheme="minorHAnsi"/>
                <w:b w:val="0"/>
              </w:rPr>
            </w:pPr>
            <w:r w:rsidRPr="00A5626D">
              <w:rPr>
                <w:rFonts w:ascii="Garamond" w:hAnsi="Garamond" w:cstheme="minorHAnsi"/>
                <w:b w:val="0"/>
              </w:rPr>
              <w:t>•</w:t>
            </w:r>
            <w:r w:rsidRPr="00A5626D">
              <w:rPr>
                <w:rFonts w:ascii="Garamond" w:hAnsi="Garamond" w:cstheme="minorHAnsi"/>
                <w:b w:val="0"/>
              </w:rPr>
              <w:tab/>
              <w:t xml:space="preserve">ответственных за согласование и подписание актов учета перетоков по сечению коммерческого учета (макеты 51020); корректирующих актов учета перетоков по сечению коммерческого учета </w:t>
            </w:r>
            <w:r w:rsidRPr="00A5626D">
              <w:rPr>
                <w:rFonts w:ascii="Garamond" w:hAnsi="Garamond" w:cstheme="minorHAnsi"/>
                <w:b w:val="0"/>
              </w:rPr>
              <w:lastRenderedPageBreak/>
              <w:t>(макеты 51075);</w:t>
            </w:r>
          </w:p>
          <w:p w14:paraId="5B9C9375" w14:textId="77777777" w:rsidR="00295C6D" w:rsidRPr="00A5626D" w:rsidRDefault="00295C6D" w:rsidP="00647FA0">
            <w:pPr>
              <w:pStyle w:val="2"/>
              <w:numPr>
                <w:ilvl w:val="0"/>
                <w:numId w:val="0"/>
              </w:numPr>
              <w:tabs>
                <w:tab w:val="left" w:pos="1134"/>
                <w:tab w:val="left" w:pos="7938"/>
              </w:tabs>
              <w:suppressAutoHyphens w:val="0"/>
              <w:spacing w:before="120" w:after="120" w:line="22" w:lineRule="atLeast"/>
              <w:ind w:firstLine="629"/>
              <w:jc w:val="both"/>
              <w:rPr>
                <w:rFonts w:ascii="Garamond" w:hAnsi="Garamond" w:cstheme="minorHAnsi"/>
                <w:b w:val="0"/>
              </w:rPr>
            </w:pPr>
            <w:r w:rsidRPr="00A5626D">
              <w:rPr>
                <w:rFonts w:ascii="Garamond" w:hAnsi="Garamond" w:cstheme="minorHAnsi"/>
                <w:b w:val="0"/>
                <w:highlight w:val="yellow"/>
              </w:rPr>
              <w:t>•</w:t>
            </w:r>
            <w:r w:rsidRPr="00A5626D">
              <w:rPr>
                <w:rFonts w:ascii="Garamond" w:hAnsi="Garamond" w:cstheme="minorHAnsi"/>
                <w:b w:val="0"/>
                <w:highlight w:val="yellow"/>
              </w:rPr>
              <w:tab/>
              <w:t>ответственных за согласование и подписание актов учета (оборота) по объекту регулирования (макеты 21070);</w:t>
            </w:r>
          </w:p>
          <w:p w14:paraId="20D1C9B8" w14:textId="77777777" w:rsidR="00295C6D" w:rsidRPr="00A5626D" w:rsidRDefault="00295C6D" w:rsidP="00647FA0">
            <w:pPr>
              <w:pStyle w:val="2"/>
              <w:numPr>
                <w:ilvl w:val="0"/>
                <w:numId w:val="0"/>
              </w:numPr>
              <w:tabs>
                <w:tab w:val="left" w:pos="1134"/>
                <w:tab w:val="left" w:pos="7938"/>
              </w:tabs>
              <w:suppressAutoHyphens w:val="0"/>
              <w:spacing w:before="120" w:after="120" w:line="22" w:lineRule="atLeast"/>
              <w:ind w:firstLine="629"/>
              <w:jc w:val="both"/>
              <w:rPr>
                <w:rFonts w:ascii="Garamond" w:hAnsi="Garamond" w:cstheme="minorHAnsi"/>
                <w:b w:val="0"/>
              </w:rPr>
            </w:pPr>
            <w:r w:rsidRPr="00A5626D">
              <w:rPr>
                <w:rFonts w:ascii="Garamond" w:hAnsi="Garamond" w:cstheme="minorHAnsi"/>
                <w:b w:val="0"/>
              </w:rPr>
              <w:t>•</w:t>
            </w:r>
            <w:r w:rsidRPr="00A5626D">
              <w:rPr>
                <w:rFonts w:ascii="Garamond" w:hAnsi="Garamond" w:cstheme="minorHAnsi"/>
                <w:b w:val="0"/>
              </w:rPr>
              <w:tab/>
              <w:t>получивших доверенность на обмен сертификатами открытых ключей.</w:t>
            </w:r>
          </w:p>
          <w:p w14:paraId="2B3465FF" w14:textId="1E35D526" w:rsidR="00295C6D" w:rsidRPr="00A5626D" w:rsidRDefault="00295C6D" w:rsidP="00647FA0">
            <w:pPr>
              <w:pStyle w:val="2"/>
              <w:numPr>
                <w:ilvl w:val="0"/>
                <w:numId w:val="0"/>
              </w:numPr>
              <w:tabs>
                <w:tab w:val="left" w:pos="1134"/>
                <w:tab w:val="left" w:pos="7938"/>
              </w:tabs>
              <w:suppressAutoHyphens w:val="0"/>
              <w:spacing w:before="120" w:after="120" w:line="22" w:lineRule="atLeast"/>
              <w:ind w:firstLine="629"/>
              <w:jc w:val="both"/>
              <w:rPr>
                <w:rFonts w:ascii="Garamond" w:hAnsi="Garamond" w:cstheme="minorHAnsi"/>
                <w:b w:val="0"/>
              </w:rPr>
            </w:pPr>
            <w:r w:rsidRPr="00A5626D">
              <w:rPr>
                <w:rFonts w:ascii="Garamond" w:hAnsi="Garamond" w:cstheme="minorHAnsi"/>
                <w:b w:val="0"/>
              </w:rPr>
              <w:t>6.4.2</w:t>
            </w:r>
            <w:r w:rsidR="00864408" w:rsidRPr="00A5626D">
              <w:rPr>
                <w:rFonts w:ascii="Garamond" w:hAnsi="Garamond" w:cstheme="minorHAnsi"/>
                <w:b w:val="0"/>
                <w:highlight w:val="yellow"/>
              </w:rPr>
              <w:t>.</w:t>
            </w:r>
            <w:r w:rsidRPr="00A5626D">
              <w:rPr>
                <w:rFonts w:ascii="Garamond" w:hAnsi="Garamond" w:cstheme="minorHAnsi"/>
                <w:b w:val="0"/>
              </w:rPr>
              <w:tab/>
              <w:t>Участники оптового рынка</w:t>
            </w:r>
            <w:r w:rsidRPr="00A5626D">
              <w:rPr>
                <w:rFonts w:ascii="Garamond" w:hAnsi="Garamond" w:cstheme="minorHAnsi"/>
                <w:b w:val="0"/>
                <w:highlight w:val="yellow"/>
              </w:rPr>
              <w:t>,</w:t>
            </w:r>
            <w:r w:rsidRPr="00A5626D">
              <w:rPr>
                <w:rFonts w:ascii="Garamond" w:hAnsi="Garamond" w:cstheme="minorHAnsi"/>
                <w:b w:val="0"/>
              </w:rPr>
              <w:t xml:space="preserve"> ФСК</w:t>
            </w:r>
            <w:r w:rsidRPr="00A5626D">
              <w:rPr>
                <w:rFonts w:ascii="Garamond" w:hAnsi="Garamond" w:cstheme="minorHAnsi"/>
                <w:b w:val="0"/>
                <w:highlight w:val="yellow"/>
              </w:rPr>
              <w:t>, агрегаторы</w:t>
            </w:r>
            <w:r w:rsidRPr="00A5626D">
              <w:rPr>
                <w:rFonts w:ascii="Garamond" w:hAnsi="Garamond" w:cstheme="minorHAnsi"/>
                <w:b w:val="0"/>
              </w:rPr>
              <w:t xml:space="preserve"> предоставляют КО, СО, смежному по сечению коммерческого учета субъекту оптового рынка</w:t>
            </w:r>
            <w:r w:rsidRPr="00A5626D">
              <w:rPr>
                <w:rFonts w:ascii="Garamond" w:hAnsi="Garamond" w:cstheme="minorHAnsi"/>
                <w:b w:val="0"/>
                <w:highlight w:val="yellow"/>
              </w:rPr>
              <w:t>, владельцу ГТП</w:t>
            </w:r>
            <w:r w:rsidRPr="00A5626D">
              <w:rPr>
                <w:rFonts w:ascii="Garamond" w:hAnsi="Garamond" w:cstheme="minorHAnsi"/>
                <w:b w:val="0"/>
              </w:rPr>
              <w:t xml:space="preserve"> результаты измерений в порядке и сроки, определенные Приложением № 11.1.1 к </w:t>
            </w:r>
            <w:r w:rsidRPr="00A5626D">
              <w:rPr>
                <w:rFonts w:ascii="Garamond" w:hAnsi="Garamond" w:cstheme="minorHAnsi"/>
                <w:b w:val="0"/>
                <w:i/>
              </w:rPr>
              <w:t>Положению о порядке получения статуса субъекта оптового рынка и ведения реестра субъектов оптового рынка</w:t>
            </w:r>
            <w:r w:rsidRPr="00A5626D">
              <w:rPr>
                <w:rFonts w:ascii="Garamond" w:hAnsi="Garamond" w:cstheme="minorHAnsi"/>
                <w:b w:val="0"/>
              </w:rPr>
              <w:t xml:space="preserve"> (Приложение № 1.1 к </w:t>
            </w:r>
            <w:r w:rsidRPr="00A5626D">
              <w:rPr>
                <w:rFonts w:ascii="Garamond" w:hAnsi="Garamond" w:cstheme="minorHAnsi"/>
                <w:b w:val="0"/>
                <w:i/>
              </w:rPr>
              <w:t>Договору о присоединении к торговой системе оптового рынка</w:t>
            </w:r>
            <w:r w:rsidRPr="00A5626D">
              <w:rPr>
                <w:rFonts w:ascii="Garamond" w:hAnsi="Garamond" w:cstheme="minorHAnsi"/>
                <w:b w:val="0"/>
              </w:rPr>
              <w:t>).</w:t>
            </w:r>
          </w:p>
          <w:p w14:paraId="1439AC6D" w14:textId="188684D8" w:rsidR="00295C6D" w:rsidRPr="00A5626D" w:rsidRDefault="00295C6D" w:rsidP="00647FA0">
            <w:pPr>
              <w:pStyle w:val="2"/>
              <w:numPr>
                <w:ilvl w:val="0"/>
                <w:numId w:val="0"/>
              </w:numPr>
              <w:tabs>
                <w:tab w:val="left" w:pos="1134"/>
                <w:tab w:val="left" w:pos="7938"/>
              </w:tabs>
              <w:suppressAutoHyphens w:val="0"/>
              <w:spacing w:before="120" w:after="120" w:line="22" w:lineRule="atLeast"/>
              <w:ind w:firstLine="629"/>
              <w:jc w:val="both"/>
              <w:rPr>
                <w:rFonts w:ascii="Garamond" w:hAnsi="Garamond" w:cstheme="minorHAnsi"/>
                <w:b w:val="0"/>
              </w:rPr>
            </w:pPr>
            <w:r w:rsidRPr="00A5626D">
              <w:rPr>
                <w:rFonts w:ascii="Garamond" w:hAnsi="Garamond" w:cstheme="minorHAnsi"/>
                <w:b w:val="0"/>
              </w:rPr>
              <w:t>6.4.3</w:t>
            </w:r>
            <w:r w:rsidR="00864408" w:rsidRPr="00A5626D">
              <w:rPr>
                <w:rFonts w:ascii="Garamond" w:hAnsi="Garamond" w:cstheme="minorHAnsi"/>
                <w:b w:val="0"/>
                <w:highlight w:val="yellow"/>
              </w:rPr>
              <w:t>.</w:t>
            </w:r>
            <w:r w:rsidRPr="00A5626D">
              <w:rPr>
                <w:rFonts w:ascii="Garamond" w:hAnsi="Garamond" w:cstheme="minorHAnsi"/>
                <w:b w:val="0"/>
              </w:rPr>
              <w:tab/>
              <w:t>Субъекты оптового рынка самостоятельно определяют:</w:t>
            </w:r>
          </w:p>
          <w:p w14:paraId="03987B56" w14:textId="77777777" w:rsidR="00295C6D" w:rsidRPr="00A5626D" w:rsidRDefault="00295C6D" w:rsidP="00647FA0">
            <w:pPr>
              <w:pStyle w:val="2"/>
              <w:numPr>
                <w:ilvl w:val="0"/>
                <w:numId w:val="0"/>
              </w:numPr>
              <w:tabs>
                <w:tab w:val="left" w:pos="1134"/>
                <w:tab w:val="left" w:pos="7938"/>
              </w:tabs>
              <w:suppressAutoHyphens w:val="0"/>
              <w:spacing w:before="120" w:after="120" w:line="22" w:lineRule="atLeast"/>
              <w:ind w:firstLine="629"/>
              <w:jc w:val="both"/>
              <w:rPr>
                <w:rFonts w:ascii="Garamond" w:hAnsi="Garamond" w:cstheme="minorHAnsi"/>
                <w:b w:val="0"/>
              </w:rPr>
            </w:pPr>
            <w:r w:rsidRPr="00A5626D">
              <w:rPr>
                <w:rFonts w:ascii="Garamond" w:hAnsi="Garamond" w:cstheme="minorHAnsi"/>
                <w:b w:val="0"/>
              </w:rPr>
              <w:t>•</w:t>
            </w:r>
            <w:r w:rsidRPr="00A5626D">
              <w:rPr>
                <w:rFonts w:ascii="Garamond" w:hAnsi="Garamond" w:cstheme="minorHAnsi"/>
                <w:b w:val="0"/>
              </w:rPr>
              <w:tab/>
              <w:t xml:space="preserve">сроки, порядок и формат предоставления результатов измерений средствами измерений, установленными в точках измерений, в отношении которых КО не осуществляется процедура кодирования согласно </w:t>
            </w:r>
            <w:r w:rsidRPr="00A5626D">
              <w:rPr>
                <w:rFonts w:ascii="Garamond" w:hAnsi="Garamond" w:cstheme="minorHAnsi"/>
                <w:b w:val="0"/>
                <w:i/>
              </w:rPr>
              <w:t>Положению о порядке получения статуса субъекта оптового рынка и ведения реестра субъектов оптового рынка</w:t>
            </w:r>
            <w:r w:rsidRPr="00A5626D">
              <w:rPr>
                <w:rFonts w:ascii="Garamond" w:hAnsi="Garamond" w:cstheme="minorHAnsi"/>
                <w:b w:val="0"/>
              </w:rPr>
              <w:t xml:space="preserve"> (Приложение № 1.1 к </w:t>
            </w:r>
            <w:r w:rsidRPr="00A5626D">
              <w:rPr>
                <w:rFonts w:ascii="Garamond" w:hAnsi="Garamond" w:cstheme="minorHAnsi"/>
                <w:b w:val="0"/>
                <w:i/>
              </w:rPr>
              <w:t>Договору о присоединении к торговой системе оптового рынка</w:t>
            </w:r>
            <w:r w:rsidRPr="00A5626D">
              <w:rPr>
                <w:rFonts w:ascii="Garamond" w:hAnsi="Garamond" w:cstheme="minorHAnsi"/>
                <w:b w:val="0"/>
              </w:rPr>
              <w:t xml:space="preserve">). При этом порядок информационного обмена не должен противоречить срокам, определенным разделом 7 настоящего Регламента и </w:t>
            </w:r>
            <w:r w:rsidRPr="00A5626D">
              <w:rPr>
                <w:rFonts w:ascii="Garamond" w:hAnsi="Garamond" w:cstheme="minorHAnsi"/>
                <w:b w:val="0"/>
                <w:highlight w:val="yellow"/>
              </w:rPr>
              <w:t xml:space="preserve">Приложением № 11.1.1 к </w:t>
            </w:r>
            <w:r w:rsidRPr="00A5626D">
              <w:rPr>
                <w:rFonts w:ascii="Garamond" w:hAnsi="Garamond" w:cstheme="minorHAnsi"/>
                <w:b w:val="0"/>
                <w:i/>
                <w:highlight w:val="yellow"/>
              </w:rPr>
              <w:t>Положению о порядке получения статуса субъекта оптового рынка и ведения реестра субъектов оптового рынка</w:t>
            </w:r>
            <w:r w:rsidRPr="00A5626D">
              <w:rPr>
                <w:rFonts w:ascii="Garamond" w:hAnsi="Garamond" w:cstheme="minorHAnsi"/>
                <w:b w:val="0"/>
                <w:highlight w:val="yellow"/>
              </w:rPr>
              <w:t xml:space="preserve"> (Приложение № 1.1 к </w:t>
            </w:r>
            <w:r w:rsidRPr="00A5626D">
              <w:rPr>
                <w:rFonts w:ascii="Garamond" w:hAnsi="Garamond" w:cstheme="minorHAnsi"/>
                <w:b w:val="0"/>
                <w:i/>
                <w:highlight w:val="yellow"/>
              </w:rPr>
              <w:t>Договору о присоединении к торговой системе оптового рынка</w:t>
            </w:r>
            <w:r w:rsidRPr="00A5626D">
              <w:rPr>
                <w:rFonts w:ascii="Garamond" w:hAnsi="Garamond" w:cstheme="minorHAnsi"/>
                <w:b w:val="0"/>
                <w:highlight w:val="yellow"/>
              </w:rPr>
              <w:t>)</w:t>
            </w:r>
            <w:r w:rsidRPr="00A5626D">
              <w:rPr>
                <w:rFonts w:ascii="Garamond" w:hAnsi="Garamond" w:cstheme="minorHAnsi"/>
                <w:b w:val="0"/>
              </w:rPr>
              <w:t xml:space="preserve">; </w:t>
            </w:r>
          </w:p>
          <w:p w14:paraId="0BC04C64" w14:textId="77777777" w:rsidR="00295C6D" w:rsidRPr="00A5626D" w:rsidRDefault="00295C6D" w:rsidP="00647FA0">
            <w:pPr>
              <w:pStyle w:val="2"/>
              <w:numPr>
                <w:ilvl w:val="0"/>
                <w:numId w:val="0"/>
              </w:numPr>
              <w:tabs>
                <w:tab w:val="left" w:pos="1134"/>
                <w:tab w:val="left" w:pos="7938"/>
              </w:tabs>
              <w:suppressAutoHyphens w:val="0"/>
              <w:spacing w:before="120" w:after="120" w:line="22" w:lineRule="atLeast"/>
              <w:ind w:firstLine="629"/>
              <w:jc w:val="both"/>
              <w:rPr>
                <w:rFonts w:ascii="Garamond" w:hAnsi="Garamond" w:cstheme="minorHAnsi"/>
                <w:b w:val="0"/>
              </w:rPr>
            </w:pPr>
            <w:r w:rsidRPr="00A5626D">
              <w:rPr>
                <w:rFonts w:ascii="Garamond" w:hAnsi="Garamond" w:cstheme="minorHAnsi"/>
                <w:b w:val="0"/>
              </w:rPr>
              <w:t>•</w:t>
            </w:r>
            <w:r w:rsidRPr="00A5626D">
              <w:rPr>
                <w:rFonts w:ascii="Garamond" w:hAnsi="Garamond" w:cstheme="minorHAnsi"/>
                <w:b w:val="0"/>
              </w:rPr>
              <w:tab/>
              <w:t>порядок согласования и последующего направления в КО корректирующих актов учета перетоков по сечению коммерческого учета (макет 51075) и в случаях, предусмотренных п. 3.8 настоящего Регламента, интегральных актов учета перетоков (макеты 50080) (для участников оптового рынка и ФСК)</w:t>
            </w:r>
            <w:r w:rsidRPr="00A5626D">
              <w:rPr>
                <w:rFonts w:ascii="Garamond" w:hAnsi="Garamond" w:cstheme="minorHAnsi"/>
                <w:b w:val="0"/>
                <w:highlight w:val="yellow"/>
              </w:rPr>
              <w:t>;</w:t>
            </w:r>
          </w:p>
          <w:p w14:paraId="6B3F4A01" w14:textId="77777777" w:rsidR="00295C6D" w:rsidRPr="00A5626D" w:rsidRDefault="00295C6D" w:rsidP="00647FA0">
            <w:pPr>
              <w:pStyle w:val="2"/>
              <w:numPr>
                <w:ilvl w:val="0"/>
                <w:numId w:val="0"/>
              </w:numPr>
              <w:tabs>
                <w:tab w:val="left" w:pos="1134"/>
                <w:tab w:val="left" w:pos="7938"/>
              </w:tabs>
              <w:suppressAutoHyphens w:val="0"/>
              <w:spacing w:before="120" w:after="120" w:line="22" w:lineRule="atLeast"/>
              <w:ind w:firstLine="629"/>
              <w:jc w:val="both"/>
              <w:rPr>
                <w:rFonts w:ascii="Garamond" w:hAnsi="Garamond" w:cstheme="minorHAnsi"/>
                <w:b w:val="0"/>
              </w:rPr>
            </w:pPr>
            <w:r w:rsidRPr="00A5626D">
              <w:rPr>
                <w:rFonts w:ascii="Garamond" w:hAnsi="Garamond" w:cstheme="minorHAnsi"/>
                <w:b w:val="0"/>
              </w:rPr>
              <w:t xml:space="preserve"> </w:t>
            </w:r>
            <w:r w:rsidRPr="00A5626D">
              <w:rPr>
                <w:rFonts w:ascii="Garamond" w:hAnsi="Garamond" w:cstheme="minorHAnsi"/>
                <w:b w:val="0"/>
                <w:highlight w:val="yellow"/>
              </w:rPr>
              <w:t>•</w:t>
            </w:r>
            <w:r w:rsidRPr="00A5626D">
              <w:rPr>
                <w:rFonts w:ascii="Garamond" w:hAnsi="Garamond" w:cstheme="minorHAnsi"/>
                <w:b w:val="0"/>
                <w:highlight w:val="yellow"/>
              </w:rPr>
              <w:tab/>
              <w:t>порядок согласования и последующего направления в КО актов учета (оборота) по объекту регулирования (макет 21070) (для агрегаторов и владельцев ГТП).</w:t>
            </w:r>
          </w:p>
          <w:p w14:paraId="7606F29C" w14:textId="77777777" w:rsidR="00295C6D" w:rsidRPr="00A5626D" w:rsidRDefault="00295C6D" w:rsidP="00647FA0">
            <w:pPr>
              <w:tabs>
                <w:tab w:val="left" w:pos="1134"/>
                <w:tab w:val="left" w:pos="7938"/>
              </w:tabs>
              <w:spacing w:before="120" w:after="120" w:line="22" w:lineRule="atLeast"/>
              <w:ind w:firstLine="629"/>
              <w:jc w:val="both"/>
              <w:rPr>
                <w:rFonts w:ascii="Garamond" w:hAnsi="Garamond"/>
                <w:sz w:val="22"/>
                <w:szCs w:val="22"/>
              </w:rPr>
            </w:pPr>
            <w:r w:rsidRPr="00A5626D">
              <w:rPr>
                <w:rFonts w:ascii="Garamond" w:hAnsi="Garamond" w:cstheme="minorHAnsi"/>
                <w:sz w:val="22"/>
                <w:szCs w:val="22"/>
              </w:rPr>
              <w:t>6.4.4</w:t>
            </w:r>
            <w:r w:rsidRPr="00A5626D">
              <w:rPr>
                <w:rFonts w:ascii="Garamond" w:hAnsi="Garamond" w:cstheme="minorHAnsi"/>
                <w:sz w:val="22"/>
                <w:szCs w:val="22"/>
              </w:rPr>
              <w:tab/>
              <w:t>СО определяет и публикует на сайте ОРЭМ порядок установления признаков недостоверности оперативных данных о выработке электроэнергии по ГТП генерации, формируемых на основе телеинформации.</w:t>
            </w:r>
          </w:p>
        </w:tc>
      </w:tr>
      <w:tr w:rsidR="00295C6D" w:rsidRPr="00A5626D" w14:paraId="217B1E55" w14:textId="77777777" w:rsidTr="00647FA0">
        <w:tc>
          <w:tcPr>
            <w:tcW w:w="1060" w:type="dxa"/>
            <w:vAlign w:val="center"/>
          </w:tcPr>
          <w:p w14:paraId="354AE193" w14:textId="77777777" w:rsidR="00295C6D" w:rsidRPr="00A5626D" w:rsidRDefault="00295C6D" w:rsidP="00E31AE6">
            <w:pPr>
              <w:widowControl w:val="0"/>
              <w:tabs>
                <w:tab w:val="left" w:pos="1134"/>
                <w:tab w:val="left" w:pos="7938"/>
              </w:tabs>
              <w:spacing w:line="22" w:lineRule="atLeast"/>
              <w:jc w:val="both"/>
              <w:rPr>
                <w:rFonts w:ascii="Garamond" w:hAnsi="Garamond"/>
                <w:b/>
                <w:sz w:val="22"/>
                <w:szCs w:val="22"/>
                <w:lang w:eastAsia="en-US"/>
              </w:rPr>
            </w:pPr>
            <w:r w:rsidRPr="00A5626D">
              <w:rPr>
                <w:rFonts w:ascii="Garamond" w:hAnsi="Garamond"/>
                <w:b/>
                <w:sz w:val="22"/>
                <w:szCs w:val="22"/>
                <w:lang w:eastAsia="en-US"/>
              </w:rPr>
              <w:lastRenderedPageBreak/>
              <w:t>Раздел 7</w:t>
            </w:r>
          </w:p>
        </w:tc>
        <w:tc>
          <w:tcPr>
            <w:tcW w:w="6662" w:type="dxa"/>
          </w:tcPr>
          <w:p w14:paraId="21ED2F42" w14:textId="0A7F4CBE" w:rsidR="00295C6D" w:rsidRPr="00A5626D" w:rsidRDefault="00295C6D" w:rsidP="00D81DB8">
            <w:pPr>
              <w:pStyle w:val="10"/>
              <w:tabs>
                <w:tab w:val="left" w:pos="1134"/>
                <w:tab w:val="left" w:pos="7938"/>
              </w:tabs>
              <w:spacing w:before="120" w:after="120" w:line="22" w:lineRule="atLeast"/>
              <w:jc w:val="both"/>
              <w:rPr>
                <w:rFonts w:ascii="Garamond" w:hAnsi="Garamond" w:cstheme="minorHAnsi"/>
                <w:caps/>
                <w:sz w:val="22"/>
                <w:szCs w:val="22"/>
                <w:lang w:eastAsia="en-US"/>
              </w:rPr>
            </w:pPr>
            <w:bookmarkStart w:id="121" w:name="_Toc139239936"/>
            <w:r w:rsidRPr="00A5626D">
              <w:rPr>
                <w:rFonts w:ascii="Garamond" w:hAnsi="Garamond" w:cstheme="minorHAnsi"/>
                <w:caps/>
                <w:sz w:val="22"/>
                <w:szCs w:val="22"/>
                <w:lang w:eastAsia="en-US"/>
              </w:rPr>
              <w:t xml:space="preserve">Порядок </w:t>
            </w:r>
            <w:r w:rsidRPr="00A5626D">
              <w:rPr>
                <w:rFonts w:ascii="Garamond" w:hAnsi="Garamond" w:cstheme="minorHAnsi"/>
                <w:caps/>
                <w:sz w:val="22"/>
                <w:szCs w:val="22"/>
                <w:highlight w:val="yellow"/>
                <w:lang w:eastAsia="en-US"/>
              </w:rPr>
              <w:t xml:space="preserve">взаимодействия субъектов отношений в сфере коммерческого учетА в течение </w:t>
            </w:r>
            <w:r w:rsidRPr="00A5626D">
              <w:rPr>
                <w:rFonts w:ascii="Garamond" w:hAnsi="Garamond" w:cstheme="minorHAnsi"/>
                <w:caps/>
                <w:sz w:val="22"/>
                <w:szCs w:val="22"/>
                <w:lang w:eastAsia="en-US"/>
              </w:rPr>
              <w:t>расчетного периода</w:t>
            </w:r>
            <w:bookmarkEnd w:id="121"/>
          </w:p>
        </w:tc>
        <w:tc>
          <w:tcPr>
            <w:tcW w:w="7088" w:type="dxa"/>
          </w:tcPr>
          <w:p w14:paraId="233ACA99" w14:textId="77777777" w:rsidR="00295C6D" w:rsidRPr="00A5626D" w:rsidRDefault="00295C6D" w:rsidP="00647FA0">
            <w:pPr>
              <w:pStyle w:val="10"/>
              <w:tabs>
                <w:tab w:val="left" w:pos="1134"/>
                <w:tab w:val="left" w:pos="7938"/>
              </w:tabs>
              <w:spacing w:before="120" w:after="120" w:line="22" w:lineRule="atLeast"/>
              <w:jc w:val="both"/>
              <w:rPr>
                <w:rFonts w:ascii="Garamond" w:hAnsi="Garamond" w:cstheme="minorHAnsi"/>
                <w:sz w:val="22"/>
                <w:szCs w:val="22"/>
              </w:rPr>
            </w:pPr>
            <w:r w:rsidRPr="00A5626D">
              <w:rPr>
                <w:rFonts w:ascii="Garamond" w:hAnsi="Garamond" w:cstheme="minorHAnsi"/>
                <w:caps/>
                <w:sz w:val="22"/>
                <w:szCs w:val="22"/>
                <w:lang w:eastAsia="en-US"/>
              </w:rPr>
              <w:t xml:space="preserve">Порядок </w:t>
            </w:r>
            <w:r w:rsidRPr="00A5626D">
              <w:rPr>
                <w:rFonts w:ascii="Garamond" w:hAnsi="Garamond" w:cstheme="minorHAnsi"/>
                <w:caps/>
                <w:sz w:val="22"/>
                <w:szCs w:val="22"/>
                <w:highlight w:val="yellow"/>
                <w:lang w:eastAsia="en-US"/>
              </w:rPr>
              <w:t>ФОРМИРОВАНИЯ ОТЧЕТНЫХ ДАННЫХ КОММЕРЧЕСКОГО УЧЕТА ПО ИТОГАМ</w:t>
            </w:r>
            <w:r w:rsidRPr="00A5626D">
              <w:rPr>
                <w:rFonts w:ascii="Garamond" w:hAnsi="Garamond" w:cstheme="minorHAnsi"/>
                <w:caps/>
                <w:sz w:val="22"/>
                <w:szCs w:val="22"/>
                <w:lang w:eastAsia="en-US"/>
              </w:rPr>
              <w:t xml:space="preserve"> РАСЧЕТНОГО ПЕРИОДА</w:t>
            </w:r>
          </w:p>
        </w:tc>
      </w:tr>
      <w:tr w:rsidR="00295C6D" w:rsidRPr="00A5626D" w14:paraId="20F31E4D" w14:textId="77777777" w:rsidTr="00647FA0">
        <w:tc>
          <w:tcPr>
            <w:tcW w:w="1060" w:type="dxa"/>
          </w:tcPr>
          <w:p w14:paraId="0B47790D" w14:textId="77777777" w:rsidR="00295C6D" w:rsidRPr="00A5626D" w:rsidRDefault="00295C6D" w:rsidP="00E31AE6">
            <w:pPr>
              <w:widowControl w:val="0"/>
              <w:tabs>
                <w:tab w:val="left" w:pos="1134"/>
                <w:tab w:val="left" w:pos="7938"/>
              </w:tabs>
              <w:spacing w:line="22" w:lineRule="atLeast"/>
              <w:jc w:val="both"/>
              <w:rPr>
                <w:rFonts w:ascii="Garamond" w:hAnsi="Garamond"/>
                <w:b/>
                <w:sz w:val="22"/>
                <w:szCs w:val="22"/>
                <w:lang w:eastAsia="en-US"/>
              </w:rPr>
            </w:pPr>
            <w:r w:rsidRPr="00A5626D">
              <w:rPr>
                <w:rFonts w:ascii="Garamond" w:hAnsi="Garamond"/>
                <w:b/>
                <w:sz w:val="22"/>
                <w:szCs w:val="22"/>
                <w:lang w:eastAsia="en-US"/>
              </w:rPr>
              <w:t>7.1</w:t>
            </w:r>
          </w:p>
        </w:tc>
        <w:tc>
          <w:tcPr>
            <w:tcW w:w="6662" w:type="dxa"/>
          </w:tcPr>
          <w:p w14:paraId="4FFB96DA" w14:textId="77777777" w:rsidR="00295C6D" w:rsidRPr="00A5626D" w:rsidRDefault="00295C6D" w:rsidP="00647FA0">
            <w:pPr>
              <w:pStyle w:val="2"/>
              <w:numPr>
                <w:ilvl w:val="0"/>
                <w:numId w:val="0"/>
              </w:numPr>
              <w:tabs>
                <w:tab w:val="left" w:pos="1134"/>
                <w:tab w:val="left" w:pos="7938"/>
              </w:tabs>
              <w:suppressAutoHyphens w:val="0"/>
              <w:spacing w:before="120" w:after="120" w:line="22" w:lineRule="atLeast"/>
              <w:ind w:firstLine="629"/>
              <w:jc w:val="both"/>
              <w:rPr>
                <w:rFonts w:ascii="Garamond" w:hAnsi="Garamond" w:cstheme="minorHAnsi"/>
                <w:b w:val="0"/>
              </w:rPr>
            </w:pPr>
            <w:r w:rsidRPr="00A5626D">
              <w:rPr>
                <w:rFonts w:ascii="Garamond" w:hAnsi="Garamond" w:cstheme="minorHAnsi"/>
                <w:b w:val="0"/>
              </w:rPr>
              <w:t>Смежные участники оптового рынка (ФСК) в отношении сечений коммерческого учета (за исключением временных сечений, сечений коммерческого учета, входящих в сечение экспорта-импорта) формируют почасовые значения учетных показателей в акте учета перетоков по сечению коммерческого учета (макет 51020) в соответствии с требованиями п. 7.2 настоящего Регламента и при необходимости в корректирующем акте учета перетоков по сечению коммерческого учета (макет 51075) в соответствии с требованиями п. 7.6 настоящего Регламента.</w:t>
            </w:r>
          </w:p>
          <w:p w14:paraId="01D70CB4" w14:textId="77777777" w:rsidR="00295C6D" w:rsidRPr="00A5626D" w:rsidRDefault="00295C6D" w:rsidP="00647FA0">
            <w:pPr>
              <w:pStyle w:val="2"/>
              <w:numPr>
                <w:ilvl w:val="0"/>
                <w:numId w:val="0"/>
              </w:numPr>
              <w:tabs>
                <w:tab w:val="left" w:pos="1134"/>
                <w:tab w:val="left" w:pos="7938"/>
              </w:tabs>
              <w:suppressAutoHyphens w:val="0"/>
              <w:spacing w:before="120" w:after="120" w:line="22" w:lineRule="atLeast"/>
              <w:ind w:firstLine="629"/>
              <w:jc w:val="both"/>
              <w:rPr>
                <w:rFonts w:ascii="Garamond" w:hAnsi="Garamond" w:cstheme="minorHAnsi"/>
                <w:b w:val="0"/>
              </w:rPr>
            </w:pPr>
            <w:r w:rsidRPr="00A5626D">
              <w:rPr>
                <w:rFonts w:ascii="Garamond" w:hAnsi="Garamond" w:cstheme="minorHAnsi"/>
                <w:b w:val="0"/>
              </w:rPr>
              <w:t xml:space="preserve">Участники оптового рынка и ФСК в отношении сечений коммерческого учета в случаях, предусмотренных п. 3.8 настоящего Регламента, формируют интегральные величины сальдо перетоков электроэнергии по всем точкам поставки, входящим в данное сечение, в интегральном акте учета перетоков (макет 50080) и согласовывают между собой в соответствии с требованиями </w:t>
            </w:r>
            <w:r w:rsidRPr="00A5626D">
              <w:rPr>
                <w:rFonts w:ascii="Garamond" w:hAnsi="Garamond" w:cstheme="minorHAnsi"/>
                <w:b w:val="0"/>
                <w:highlight w:val="yellow"/>
              </w:rPr>
              <w:t>к порядку информационного обмена</w:t>
            </w:r>
            <w:r w:rsidRPr="00A5626D">
              <w:rPr>
                <w:rFonts w:ascii="Garamond" w:hAnsi="Garamond" w:cstheme="minorHAnsi"/>
                <w:b w:val="0"/>
              </w:rPr>
              <w:t xml:space="preserve"> настоящего Регламента.</w:t>
            </w:r>
          </w:p>
          <w:p w14:paraId="320F1142" w14:textId="77777777" w:rsidR="00295C6D" w:rsidRPr="00A5626D" w:rsidRDefault="00295C6D" w:rsidP="00647FA0">
            <w:pPr>
              <w:pStyle w:val="2"/>
              <w:numPr>
                <w:ilvl w:val="0"/>
                <w:numId w:val="0"/>
              </w:numPr>
              <w:tabs>
                <w:tab w:val="left" w:pos="1134"/>
                <w:tab w:val="left" w:pos="7938"/>
              </w:tabs>
              <w:suppressAutoHyphens w:val="0"/>
              <w:spacing w:before="120" w:after="120" w:line="22" w:lineRule="atLeast"/>
              <w:ind w:firstLine="629"/>
              <w:jc w:val="both"/>
              <w:rPr>
                <w:rFonts w:ascii="Garamond" w:hAnsi="Garamond" w:cstheme="minorHAnsi"/>
                <w:b w:val="0"/>
              </w:rPr>
            </w:pPr>
            <w:r w:rsidRPr="00A5626D">
              <w:rPr>
                <w:rFonts w:ascii="Garamond" w:hAnsi="Garamond" w:cstheme="minorHAnsi"/>
                <w:b w:val="0"/>
              </w:rPr>
              <w:t>В случае использования в сечении коммерческого учета интегральных или интервальных приборов учета с интегральным способом учета смежные участники оптового рынка (ФСК) согласовывают типовые суточные графики для их применения в целях формирования корректирующих актов учета перетоков по сечению коммерческого учета (макет 51075), а также результатов измерений в макете 80040, направляемом в КО в соответствии с Приложением № 11.1.1 к Положению о порядке получения статуса субъекта оптового рынка и ведения реестра субъектов оптового рынка (Приложение № 1.1 к Договору о присоединении к торговой системе оптового рынка) для последующего формирования акта учета перетоков по сечению коммерческого учета (макет 51020).</w:t>
            </w:r>
          </w:p>
          <w:p w14:paraId="0715EFD8" w14:textId="77777777" w:rsidR="00295C6D" w:rsidRPr="00A5626D" w:rsidRDefault="00295C6D" w:rsidP="00647FA0">
            <w:pPr>
              <w:pStyle w:val="2"/>
              <w:numPr>
                <w:ilvl w:val="0"/>
                <w:numId w:val="0"/>
              </w:numPr>
              <w:tabs>
                <w:tab w:val="left" w:pos="1134"/>
                <w:tab w:val="left" w:pos="7938"/>
              </w:tabs>
              <w:suppressAutoHyphens w:val="0"/>
              <w:spacing w:before="120" w:after="120" w:line="22" w:lineRule="atLeast"/>
              <w:ind w:firstLine="629"/>
              <w:jc w:val="both"/>
              <w:rPr>
                <w:rFonts w:ascii="Garamond" w:hAnsi="Garamond" w:cstheme="minorHAnsi"/>
                <w:b w:val="0"/>
              </w:rPr>
            </w:pPr>
            <w:r w:rsidRPr="00A5626D">
              <w:rPr>
                <w:rFonts w:ascii="Garamond" w:hAnsi="Garamond" w:cstheme="minorHAnsi"/>
                <w:b w:val="0"/>
              </w:rPr>
              <w:t xml:space="preserve">В случае если смежными участниками оптового рынка (ФСК) был согласован типовой суточный график (способ (график), по которому формируется ежедневный профиль нагрузки), он применяется для вышеуказанных целей до момента согласования </w:t>
            </w:r>
            <w:r w:rsidRPr="00A5626D">
              <w:rPr>
                <w:rFonts w:ascii="Garamond" w:hAnsi="Garamond" w:cstheme="minorHAnsi"/>
                <w:b w:val="0"/>
              </w:rPr>
              <w:lastRenderedPageBreak/>
              <w:t>указанными участниками оптового рынка (ФСК) иного типового суточного графика.</w:t>
            </w:r>
          </w:p>
          <w:p w14:paraId="6F9ED3EF" w14:textId="77777777" w:rsidR="00295C6D" w:rsidRPr="00A5626D" w:rsidRDefault="00295C6D" w:rsidP="00647FA0">
            <w:pPr>
              <w:pStyle w:val="2"/>
              <w:numPr>
                <w:ilvl w:val="0"/>
                <w:numId w:val="0"/>
              </w:numPr>
              <w:tabs>
                <w:tab w:val="left" w:pos="1134"/>
                <w:tab w:val="left" w:pos="7938"/>
              </w:tabs>
              <w:suppressAutoHyphens w:val="0"/>
              <w:spacing w:before="120" w:after="120" w:line="22" w:lineRule="atLeast"/>
              <w:ind w:firstLine="629"/>
              <w:jc w:val="both"/>
              <w:rPr>
                <w:rFonts w:ascii="Garamond" w:hAnsi="Garamond" w:cstheme="minorHAnsi"/>
                <w:b w:val="0"/>
              </w:rPr>
            </w:pPr>
            <w:r w:rsidRPr="00A5626D">
              <w:rPr>
                <w:rFonts w:ascii="Garamond" w:hAnsi="Garamond" w:cstheme="minorHAnsi"/>
                <w:b w:val="0"/>
              </w:rPr>
              <w:t>В случае если участниками оптового рынка (ФСК) типовой суточный график не был согласован, применяются типовые суточные графики, определяемые следующим образом:</w:t>
            </w:r>
          </w:p>
          <w:p w14:paraId="3B3566F2" w14:textId="5413C17D" w:rsidR="00295C6D" w:rsidRPr="00A5626D" w:rsidRDefault="00864408" w:rsidP="00647FA0">
            <w:pPr>
              <w:pStyle w:val="2"/>
              <w:numPr>
                <w:ilvl w:val="0"/>
                <w:numId w:val="0"/>
              </w:numPr>
              <w:tabs>
                <w:tab w:val="left" w:pos="1134"/>
                <w:tab w:val="left" w:pos="7938"/>
              </w:tabs>
              <w:suppressAutoHyphens w:val="0"/>
              <w:spacing w:before="120" w:after="120" w:line="22" w:lineRule="atLeast"/>
              <w:ind w:firstLine="629"/>
              <w:jc w:val="both"/>
              <w:rPr>
                <w:rFonts w:ascii="Garamond" w:hAnsi="Garamond" w:cstheme="minorHAnsi"/>
                <w:b w:val="0"/>
              </w:rPr>
            </w:pPr>
            <w:r w:rsidRPr="00A5626D">
              <w:rPr>
                <w:rFonts w:ascii="Garamond" w:hAnsi="Garamond" w:cstheme="minorHAnsi"/>
                <w:b w:val="0"/>
              </w:rPr>
              <w:t>–</w:t>
            </w:r>
            <w:r w:rsidR="00295C6D" w:rsidRPr="00A5626D">
              <w:rPr>
                <w:rFonts w:ascii="Garamond" w:hAnsi="Garamond" w:cstheme="minorHAnsi"/>
                <w:b w:val="0"/>
              </w:rPr>
              <w:tab/>
              <w:t xml:space="preserve">при наличии в сечении коммерческого учета точек поставки, в отношении которых применяются результаты измерений, полученные с использованием АИИС КУЭ, в качестве типового суточного графика используются данные о суммарном почасовом перетоке в указанных точках поставки, пропорционально которым производится распределение по часам расчетного периода суммарного сальдо перетоков за расчетный период, измеренного интегральными и (или) интервальными </w:t>
            </w:r>
            <w:r w:rsidR="00295C6D" w:rsidRPr="00A5626D">
              <w:rPr>
                <w:rFonts w:ascii="Garamond" w:hAnsi="Garamond" w:cstheme="minorHAnsi"/>
                <w:b w:val="0"/>
                <w:highlight w:val="yellow"/>
              </w:rPr>
              <w:t>счетчиками</w:t>
            </w:r>
            <w:r w:rsidR="00295C6D" w:rsidRPr="00A5626D">
              <w:rPr>
                <w:rFonts w:ascii="Garamond" w:hAnsi="Garamond" w:cstheme="minorHAnsi"/>
                <w:b w:val="0"/>
              </w:rPr>
              <w:t xml:space="preserve"> с интегральным способом учета;</w:t>
            </w:r>
          </w:p>
          <w:p w14:paraId="0ABB13C8" w14:textId="4355775D" w:rsidR="00295C6D" w:rsidRPr="00A5626D" w:rsidRDefault="009B5F03" w:rsidP="00647FA0">
            <w:pPr>
              <w:pStyle w:val="2"/>
              <w:numPr>
                <w:ilvl w:val="0"/>
                <w:numId w:val="0"/>
              </w:numPr>
              <w:tabs>
                <w:tab w:val="left" w:pos="1134"/>
                <w:tab w:val="left" w:pos="7938"/>
              </w:tabs>
              <w:suppressAutoHyphens w:val="0"/>
              <w:spacing w:before="120" w:after="120" w:line="22" w:lineRule="atLeast"/>
              <w:ind w:firstLine="629"/>
              <w:jc w:val="both"/>
              <w:rPr>
                <w:rFonts w:ascii="Garamond" w:hAnsi="Garamond" w:cstheme="minorHAnsi"/>
                <w:b w:val="0"/>
              </w:rPr>
            </w:pPr>
            <w:r w:rsidRPr="00A5626D">
              <w:rPr>
                <w:rFonts w:ascii="Garamond" w:hAnsi="Garamond" w:cstheme="minorHAnsi"/>
                <w:b w:val="0"/>
              </w:rPr>
              <w:t xml:space="preserve">– </w:t>
            </w:r>
            <w:r w:rsidR="00295C6D" w:rsidRPr="00A5626D">
              <w:rPr>
                <w:rFonts w:ascii="Garamond" w:hAnsi="Garamond" w:cstheme="minorHAnsi"/>
                <w:b w:val="0"/>
              </w:rPr>
              <w:t>при отсутствии в сечении коммерческого учета точек поставки, в отношении которых применяются результаты измерений, полученные с использованием АИИС КУЭ, в качестве типового суточного графика используется равномерный график.</w:t>
            </w:r>
          </w:p>
          <w:p w14:paraId="45F2862B" w14:textId="77777777" w:rsidR="00295C6D" w:rsidRPr="00A5626D" w:rsidRDefault="00295C6D" w:rsidP="00647FA0">
            <w:pPr>
              <w:pStyle w:val="2"/>
              <w:numPr>
                <w:ilvl w:val="0"/>
                <w:numId w:val="0"/>
              </w:numPr>
              <w:tabs>
                <w:tab w:val="left" w:pos="1134"/>
                <w:tab w:val="left" w:pos="7938"/>
              </w:tabs>
              <w:suppressAutoHyphens w:val="0"/>
              <w:spacing w:before="120" w:after="120" w:line="22" w:lineRule="atLeast"/>
              <w:ind w:firstLine="629"/>
              <w:jc w:val="both"/>
              <w:rPr>
                <w:rFonts w:ascii="Garamond" w:hAnsi="Garamond" w:cstheme="minorHAnsi"/>
                <w:b w:val="0"/>
              </w:rPr>
            </w:pPr>
            <w:r w:rsidRPr="00A5626D">
              <w:rPr>
                <w:rFonts w:ascii="Garamond" w:hAnsi="Garamond" w:cstheme="minorHAnsi"/>
                <w:b w:val="0"/>
              </w:rPr>
              <w:t>При оснащении «малых» точек поставки интегральными приборами учета или интервальными приборами учета с интегральным способом учета почасовые значения электроэнергии, приведенные в корректирующем акте учета перетоков по сечению коммерческого учета (макет 51075) или в результатах измерений в макете 80040 (для последующего формирования акта учета перетоков по сечению коммерческого учета в макете 51020), рассчитанные с применением типовых суточных графиков нагрузки, суммарно за расчетный период должны быть равны фактическим значениям электроэнергии, полученным при интегральном учете.</w:t>
            </w:r>
          </w:p>
          <w:p w14:paraId="04120767" w14:textId="77777777" w:rsidR="00295C6D" w:rsidRPr="00A5626D" w:rsidRDefault="00295C6D" w:rsidP="00647FA0">
            <w:pPr>
              <w:pStyle w:val="2"/>
              <w:numPr>
                <w:ilvl w:val="0"/>
                <w:numId w:val="0"/>
              </w:numPr>
              <w:tabs>
                <w:tab w:val="left" w:pos="1134"/>
                <w:tab w:val="left" w:pos="7938"/>
              </w:tabs>
              <w:suppressAutoHyphens w:val="0"/>
              <w:spacing w:before="120" w:after="120" w:line="22" w:lineRule="atLeast"/>
              <w:ind w:firstLine="629"/>
              <w:jc w:val="both"/>
              <w:rPr>
                <w:rFonts w:ascii="Garamond" w:hAnsi="Garamond" w:cstheme="minorHAnsi"/>
                <w:b w:val="0"/>
              </w:rPr>
            </w:pPr>
            <w:r w:rsidRPr="00A5626D">
              <w:rPr>
                <w:rFonts w:ascii="Garamond" w:hAnsi="Garamond" w:cstheme="minorHAnsi"/>
                <w:b w:val="0"/>
              </w:rPr>
              <w:t xml:space="preserve">Участники оптового рынка </w:t>
            </w:r>
            <w:r w:rsidRPr="00A5626D">
              <w:rPr>
                <w:rFonts w:ascii="Garamond" w:hAnsi="Garamond" w:cstheme="minorHAnsi"/>
                <w:b w:val="0"/>
                <w:highlight w:val="yellow"/>
              </w:rPr>
              <w:t>и</w:t>
            </w:r>
            <w:r w:rsidRPr="00A5626D">
              <w:rPr>
                <w:rFonts w:ascii="Garamond" w:hAnsi="Garamond" w:cstheme="minorHAnsi"/>
                <w:b w:val="0"/>
              </w:rPr>
              <w:t xml:space="preserve"> ФСК вправе осуществлять согласование и направление в КО в установленном порядке в случаях, предусмотренных п. 3.8 настоящего Регламента, интегральных актов учета перетоков (макеты 50080) в течение расчетного периода, а именно в ежедневном либо еженедельном режиме либо за периоды, ограниченные 10-м и 20-м числами текущего месяца. Участники оптового рынка (ФСК) вправе осуществлять формирование и направление в КО в установленном порядке корректирующих актов учета (оборота) по ГТП генерации, корректирующих актов учета </w:t>
            </w:r>
            <w:r w:rsidRPr="00A5626D">
              <w:rPr>
                <w:rFonts w:ascii="Garamond" w:hAnsi="Garamond" w:cstheme="minorHAnsi"/>
                <w:b w:val="0"/>
              </w:rPr>
              <w:lastRenderedPageBreak/>
              <w:t>перетоков по сечению коммерческого учета (макеты 51075), а также осуществлять согласование почасовых значений учетных показателей по ГТП генерации, по сечению коммерческого учета для последующего формирования актов учета (оборота) по ГТП генерации, актов учета перетоков по сечению коммерческого учета (макеты 51020) в ежедневном либо еженедельном режиме начиная с 20-го числа текущего месяца.</w:t>
            </w:r>
          </w:p>
        </w:tc>
        <w:tc>
          <w:tcPr>
            <w:tcW w:w="7088" w:type="dxa"/>
          </w:tcPr>
          <w:p w14:paraId="42B29D7C" w14:textId="77777777" w:rsidR="00295C6D" w:rsidRPr="00A5626D" w:rsidRDefault="00295C6D" w:rsidP="00647FA0">
            <w:pPr>
              <w:pStyle w:val="2"/>
              <w:numPr>
                <w:ilvl w:val="0"/>
                <w:numId w:val="0"/>
              </w:numPr>
              <w:tabs>
                <w:tab w:val="left" w:pos="1134"/>
                <w:tab w:val="left" w:pos="7938"/>
              </w:tabs>
              <w:suppressAutoHyphens w:val="0"/>
              <w:spacing w:before="120" w:after="120" w:line="22" w:lineRule="atLeast"/>
              <w:ind w:firstLine="629"/>
              <w:jc w:val="both"/>
              <w:rPr>
                <w:rFonts w:ascii="Garamond" w:hAnsi="Garamond" w:cstheme="minorHAnsi"/>
                <w:b w:val="0"/>
              </w:rPr>
            </w:pPr>
            <w:r w:rsidRPr="00A5626D">
              <w:rPr>
                <w:rFonts w:ascii="Garamond" w:hAnsi="Garamond" w:cstheme="minorHAnsi"/>
                <w:b w:val="0"/>
              </w:rPr>
              <w:lastRenderedPageBreak/>
              <w:t>Смежные участники оптового рынка (ФСК) в отношении сечений коммерческого учета (за исключением временных сечений, сечений коммерческого учета, входящих в сечение экспорта-импорта) формируют почасовые значения учетных показателей в акте учета перетоков по сечению коммерческого учета (макет 51020) в соответствии с требованиями п. 7.2 настоящего Регламента и при необходимости в корректирующем акте учета перетоков по сечению коммерческого учета (макет 51075) в соответствии с требованиями п. 7.6 настоящего Регламента.</w:t>
            </w:r>
          </w:p>
          <w:p w14:paraId="5950782F" w14:textId="77777777" w:rsidR="00295C6D" w:rsidRPr="00A5626D" w:rsidRDefault="00295C6D" w:rsidP="00647FA0">
            <w:pPr>
              <w:tabs>
                <w:tab w:val="left" w:pos="1134"/>
                <w:tab w:val="left" w:pos="7938"/>
              </w:tabs>
              <w:spacing w:before="120" w:after="120"/>
              <w:ind w:firstLine="601"/>
              <w:jc w:val="both"/>
              <w:rPr>
                <w:rFonts w:ascii="Garamond" w:hAnsi="Garamond"/>
                <w:sz w:val="22"/>
                <w:szCs w:val="22"/>
              </w:rPr>
            </w:pPr>
            <w:r w:rsidRPr="00A5626D">
              <w:rPr>
                <w:rFonts w:ascii="Garamond" w:hAnsi="Garamond" w:cstheme="minorHAnsi"/>
                <w:sz w:val="22"/>
                <w:szCs w:val="22"/>
                <w:highlight w:val="yellow"/>
              </w:rPr>
              <w:t>Поставщики электроэнергии в отношении ГТП генерации формируют почасовые значения учетных показателей в акте учета (оборота) по ГТП генерации (макет 51020) в соответствии с требованиями п. 7.3</w:t>
            </w:r>
            <w:r w:rsidRPr="00A5626D">
              <w:rPr>
                <w:rFonts w:ascii="Garamond" w:hAnsi="Garamond" w:cstheme="minorHAnsi"/>
                <w:b/>
                <w:sz w:val="22"/>
                <w:szCs w:val="22"/>
                <w:highlight w:val="yellow"/>
              </w:rPr>
              <w:t xml:space="preserve"> </w:t>
            </w:r>
            <w:r w:rsidRPr="00A5626D">
              <w:rPr>
                <w:rFonts w:ascii="Garamond" w:hAnsi="Garamond" w:cstheme="minorHAnsi"/>
                <w:sz w:val="22"/>
                <w:szCs w:val="22"/>
                <w:highlight w:val="yellow"/>
              </w:rPr>
              <w:t>настоящего Регламента и при необходимости в корректирующем акте учета (оборота) по ГТП генерации (макет 51075) в соответствии с требованиями п. 7.6 настоящего Регламента.</w:t>
            </w:r>
          </w:p>
          <w:p w14:paraId="7F1F909E" w14:textId="77777777" w:rsidR="00295C6D" w:rsidRPr="00A5626D" w:rsidRDefault="00295C6D" w:rsidP="00647FA0">
            <w:pPr>
              <w:pStyle w:val="2"/>
              <w:numPr>
                <w:ilvl w:val="0"/>
                <w:numId w:val="0"/>
              </w:numPr>
              <w:tabs>
                <w:tab w:val="left" w:pos="1134"/>
                <w:tab w:val="left" w:pos="7938"/>
              </w:tabs>
              <w:suppressAutoHyphens w:val="0"/>
              <w:spacing w:before="120" w:after="120" w:line="22" w:lineRule="atLeast"/>
              <w:ind w:firstLine="629"/>
              <w:jc w:val="both"/>
              <w:rPr>
                <w:rFonts w:ascii="Garamond" w:hAnsi="Garamond" w:cstheme="minorHAnsi"/>
                <w:b w:val="0"/>
              </w:rPr>
            </w:pPr>
            <w:r w:rsidRPr="00A5626D">
              <w:rPr>
                <w:rFonts w:ascii="Garamond" w:hAnsi="Garamond" w:cstheme="minorHAnsi"/>
                <w:b w:val="0"/>
              </w:rPr>
              <w:t xml:space="preserve">Участники оптового рынка и ФСК в отношении сечений коммерческого учета в случаях, предусмотренных п. 3.8 настоящего Регламента, формируют интегральные величины сальдо перетоков электроэнергии по всем точкам поставки, входящим в данное сечение, в интегральном акте учета перетоков (макет 50080) и согласовывают между собой в соответствии с требованиями </w:t>
            </w:r>
            <w:r w:rsidRPr="00A5626D">
              <w:rPr>
                <w:rFonts w:ascii="Garamond" w:hAnsi="Garamond" w:cstheme="minorHAnsi"/>
                <w:b w:val="0"/>
                <w:highlight w:val="yellow"/>
              </w:rPr>
              <w:t>п. 7.5</w:t>
            </w:r>
            <w:r w:rsidRPr="00A5626D">
              <w:rPr>
                <w:rFonts w:ascii="Garamond" w:hAnsi="Garamond" w:cstheme="minorHAnsi"/>
                <w:b w:val="0"/>
              </w:rPr>
              <w:t xml:space="preserve"> настоящего Регламента.</w:t>
            </w:r>
          </w:p>
          <w:p w14:paraId="78FBECAA" w14:textId="77777777" w:rsidR="00295C6D" w:rsidRPr="00A5626D" w:rsidRDefault="00295C6D" w:rsidP="00647FA0">
            <w:pPr>
              <w:tabs>
                <w:tab w:val="left" w:pos="1134"/>
                <w:tab w:val="left" w:pos="7938"/>
              </w:tabs>
              <w:spacing w:before="120" w:after="120"/>
              <w:ind w:firstLine="601"/>
              <w:jc w:val="both"/>
              <w:rPr>
                <w:rFonts w:ascii="Garamond" w:hAnsi="Garamond"/>
                <w:sz w:val="22"/>
                <w:szCs w:val="22"/>
              </w:rPr>
            </w:pPr>
            <w:r w:rsidRPr="00A5626D">
              <w:rPr>
                <w:rFonts w:ascii="Garamond" w:hAnsi="Garamond" w:cstheme="minorHAnsi"/>
                <w:sz w:val="22"/>
                <w:szCs w:val="22"/>
                <w:highlight w:val="yellow"/>
              </w:rPr>
              <w:t>Агрегаторы в отношении объектов регулирования формируют почасовые значения учетных показателей в акте учета (оборота) по объекту регулирования (макет 21070) в соответствии с требованиями п. 7.7</w:t>
            </w:r>
            <w:r w:rsidRPr="00A5626D">
              <w:rPr>
                <w:rFonts w:ascii="Garamond" w:hAnsi="Garamond" w:cstheme="minorHAnsi"/>
                <w:b/>
                <w:sz w:val="22"/>
                <w:szCs w:val="22"/>
                <w:highlight w:val="yellow"/>
              </w:rPr>
              <w:t xml:space="preserve"> </w:t>
            </w:r>
            <w:r w:rsidRPr="00A5626D">
              <w:rPr>
                <w:rFonts w:ascii="Garamond" w:hAnsi="Garamond" w:cstheme="minorHAnsi"/>
                <w:sz w:val="22"/>
                <w:szCs w:val="22"/>
                <w:highlight w:val="yellow"/>
              </w:rPr>
              <w:t>настоящего Регламента.</w:t>
            </w:r>
          </w:p>
          <w:p w14:paraId="73B32BEB" w14:textId="77777777" w:rsidR="00295C6D" w:rsidRPr="00A5626D" w:rsidRDefault="00295C6D" w:rsidP="00647FA0">
            <w:pPr>
              <w:pStyle w:val="2"/>
              <w:numPr>
                <w:ilvl w:val="0"/>
                <w:numId w:val="0"/>
              </w:numPr>
              <w:tabs>
                <w:tab w:val="left" w:pos="1134"/>
                <w:tab w:val="left" w:pos="7938"/>
              </w:tabs>
              <w:suppressAutoHyphens w:val="0"/>
              <w:spacing w:before="120" w:after="120" w:line="22" w:lineRule="atLeast"/>
              <w:ind w:firstLine="629"/>
              <w:jc w:val="both"/>
              <w:rPr>
                <w:rFonts w:ascii="Garamond" w:hAnsi="Garamond" w:cstheme="minorHAnsi"/>
                <w:b w:val="0"/>
              </w:rPr>
            </w:pPr>
            <w:r w:rsidRPr="00A5626D">
              <w:rPr>
                <w:rFonts w:ascii="Garamond" w:hAnsi="Garamond" w:cstheme="minorHAnsi"/>
                <w:b w:val="0"/>
              </w:rPr>
              <w:t xml:space="preserve">В случае использования в сечении коммерческого учета интегральных или интервальных приборов учета с интегральным способом учета смежные участники оптового рынка (ФСК) согласовывают типовые суточные графики для их применения в целях формирования корректирующих актов учета перетоков по сечению коммерческого учета (макет 51075), а также результатов измерений в макете 80040, направляемом в КО в соответствии с Приложением № 11.1.1 к </w:t>
            </w:r>
            <w:r w:rsidRPr="00A5626D">
              <w:rPr>
                <w:rFonts w:ascii="Garamond" w:hAnsi="Garamond" w:cstheme="minorHAnsi"/>
                <w:b w:val="0"/>
                <w:i/>
              </w:rPr>
              <w:t>Положению о порядке получения статуса субъекта оптового рынка и ведения реестра субъектов оптового рынка</w:t>
            </w:r>
            <w:r w:rsidRPr="00A5626D">
              <w:rPr>
                <w:rFonts w:ascii="Garamond" w:hAnsi="Garamond" w:cstheme="minorHAnsi"/>
                <w:b w:val="0"/>
              </w:rPr>
              <w:t xml:space="preserve"> </w:t>
            </w:r>
            <w:r w:rsidRPr="00A5626D">
              <w:rPr>
                <w:rFonts w:ascii="Garamond" w:hAnsi="Garamond" w:cstheme="minorHAnsi"/>
                <w:b w:val="0"/>
              </w:rPr>
              <w:lastRenderedPageBreak/>
              <w:t xml:space="preserve">(Приложение № 1.1 к </w:t>
            </w:r>
            <w:r w:rsidRPr="00A5626D">
              <w:rPr>
                <w:rFonts w:ascii="Garamond" w:hAnsi="Garamond" w:cstheme="minorHAnsi"/>
                <w:b w:val="0"/>
                <w:i/>
              </w:rPr>
              <w:t>Договору о присоединении к торговой системе оптового рынка</w:t>
            </w:r>
            <w:r w:rsidRPr="00A5626D">
              <w:rPr>
                <w:rFonts w:ascii="Garamond" w:hAnsi="Garamond" w:cstheme="minorHAnsi"/>
                <w:b w:val="0"/>
              </w:rPr>
              <w:t>) для последующего формирования акта учета перетоков по сечению коммерческого учета (макет 51020).</w:t>
            </w:r>
          </w:p>
          <w:p w14:paraId="3BA8C172" w14:textId="77777777" w:rsidR="00295C6D" w:rsidRPr="00A5626D" w:rsidRDefault="00295C6D" w:rsidP="00647FA0">
            <w:pPr>
              <w:pStyle w:val="2"/>
              <w:numPr>
                <w:ilvl w:val="0"/>
                <w:numId w:val="0"/>
              </w:numPr>
              <w:tabs>
                <w:tab w:val="left" w:pos="1134"/>
                <w:tab w:val="left" w:pos="7938"/>
              </w:tabs>
              <w:suppressAutoHyphens w:val="0"/>
              <w:spacing w:before="120" w:after="120" w:line="22" w:lineRule="atLeast"/>
              <w:ind w:firstLine="629"/>
              <w:jc w:val="both"/>
              <w:rPr>
                <w:rFonts w:ascii="Garamond" w:hAnsi="Garamond" w:cstheme="minorHAnsi"/>
                <w:b w:val="0"/>
              </w:rPr>
            </w:pPr>
            <w:r w:rsidRPr="00A5626D">
              <w:rPr>
                <w:rFonts w:ascii="Garamond" w:hAnsi="Garamond" w:cstheme="minorHAnsi"/>
                <w:b w:val="0"/>
              </w:rPr>
              <w:t>В случае если смежными участниками оптового рынка (ФСК) был согласован типовой суточный график (способ (график), по которому формируется ежедневный профиль нагрузки), он применяется для вышеуказанных целей до момента согласования указанными участниками оптового рынка (ФСК) иного типового суточного графика.</w:t>
            </w:r>
          </w:p>
          <w:p w14:paraId="5411FB9E" w14:textId="77777777" w:rsidR="00295C6D" w:rsidRPr="00A5626D" w:rsidRDefault="00295C6D" w:rsidP="00647FA0">
            <w:pPr>
              <w:pStyle w:val="2"/>
              <w:numPr>
                <w:ilvl w:val="0"/>
                <w:numId w:val="0"/>
              </w:numPr>
              <w:tabs>
                <w:tab w:val="left" w:pos="1134"/>
                <w:tab w:val="left" w:pos="7938"/>
              </w:tabs>
              <w:suppressAutoHyphens w:val="0"/>
              <w:spacing w:before="120" w:after="120" w:line="22" w:lineRule="atLeast"/>
              <w:ind w:firstLine="629"/>
              <w:jc w:val="both"/>
              <w:rPr>
                <w:rFonts w:ascii="Garamond" w:hAnsi="Garamond" w:cstheme="minorHAnsi"/>
                <w:b w:val="0"/>
              </w:rPr>
            </w:pPr>
            <w:r w:rsidRPr="00A5626D">
              <w:rPr>
                <w:rFonts w:ascii="Garamond" w:hAnsi="Garamond" w:cstheme="minorHAnsi"/>
                <w:b w:val="0"/>
              </w:rPr>
              <w:t>В случае если участниками оптового рынка (ФСК) типовой суточный график не был согласован, применяются типовые суточные графики, определяемые следующим образом:</w:t>
            </w:r>
          </w:p>
          <w:p w14:paraId="50EEC7FF" w14:textId="4C22863A" w:rsidR="00295C6D" w:rsidRPr="00A5626D" w:rsidRDefault="00864408" w:rsidP="00647FA0">
            <w:pPr>
              <w:pStyle w:val="2"/>
              <w:numPr>
                <w:ilvl w:val="0"/>
                <w:numId w:val="0"/>
              </w:numPr>
              <w:tabs>
                <w:tab w:val="left" w:pos="1134"/>
                <w:tab w:val="left" w:pos="7938"/>
              </w:tabs>
              <w:suppressAutoHyphens w:val="0"/>
              <w:spacing w:before="120" w:after="120" w:line="22" w:lineRule="atLeast"/>
              <w:ind w:firstLine="629"/>
              <w:jc w:val="both"/>
              <w:rPr>
                <w:rFonts w:ascii="Garamond" w:hAnsi="Garamond" w:cstheme="minorHAnsi"/>
                <w:b w:val="0"/>
              </w:rPr>
            </w:pPr>
            <w:r w:rsidRPr="00A5626D">
              <w:rPr>
                <w:rFonts w:ascii="Garamond" w:hAnsi="Garamond" w:cstheme="minorHAnsi"/>
                <w:b w:val="0"/>
              </w:rPr>
              <w:t>–</w:t>
            </w:r>
            <w:r w:rsidR="00295C6D" w:rsidRPr="00A5626D">
              <w:rPr>
                <w:rFonts w:ascii="Garamond" w:hAnsi="Garamond" w:cstheme="minorHAnsi"/>
                <w:b w:val="0"/>
              </w:rPr>
              <w:tab/>
              <w:t xml:space="preserve">при наличии в сечении коммерческого учета точек поставки, в отношении которых применяются результаты измерений, полученные с использованием АИИС КУЭ, в качестве типового суточного графика используются данные о суммарном почасовом перетоке в указанных точках поставки, пропорционально которым производится распределение по часам расчетного периода суммарного сальдо перетоков за расчетный период, измеренного интегральными и (или) интервальными </w:t>
            </w:r>
            <w:r w:rsidR="00295C6D" w:rsidRPr="00A5626D">
              <w:rPr>
                <w:rFonts w:ascii="Garamond" w:hAnsi="Garamond" w:cstheme="minorHAnsi"/>
                <w:b w:val="0"/>
                <w:highlight w:val="yellow"/>
              </w:rPr>
              <w:t>приборами учета</w:t>
            </w:r>
            <w:r w:rsidR="00295C6D" w:rsidRPr="00A5626D">
              <w:rPr>
                <w:rFonts w:ascii="Garamond" w:hAnsi="Garamond" w:cstheme="minorHAnsi"/>
                <w:b w:val="0"/>
              </w:rPr>
              <w:t xml:space="preserve"> с интегральным способом учета;</w:t>
            </w:r>
          </w:p>
          <w:p w14:paraId="737B552E" w14:textId="501CCA4C" w:rsidR="00295C6D" w:rsidRPr="00A5626D" w:rsidRDefault="009B5F03" w:rsidP="00647FA0">
            <w:pPr>
              <w:pStyle w:val="2"/>
              <w:numPr>
                <w:ilvl w:val="0"/>
                <w:numId w:val="0"/>
              </w:numPr>
              <w:tabs>
                <w:tab w:val="left" w:pos="1134"/>
                <w:tab w:val="left" w:pos="7938"/>
              </w:tabs>
              <w:suppressAutoHyphens w:val="0"/>
              <w:spacing w:before="120" w:after="120" w:line="22" w:lineRule="atLeast"/>
              <w:ind w:firstLine="629"/>
              <w:jc w:val="both"/>
              <w:rPr>
                <w:rFonts w:ascii="Garamond" w:hAnsi="Garamond" w:cstheme="minorHAnsi"/>
                <w:b w:val="0"/>
              </w:rPr>
            </w:pPr>
            <w:r w:rsidRPr="00A5626D">
              <w:rPr>
                <w:rFonts w:ascii="Garamond" w:hAnsi="Garamond" w:cstheme="minorHAnsi"/>
                <w:b w:val="0"/>
              </w:rPr>
              <w:t xml:space="preserve">– </w:t>
            </w:r>
            <w:r w:rsidR="00295C6D" w:rsidRPr="00A5626D">
              <w:rPr>
                <w:rFonts w:ascii="Garamond" w:hAnsi="Garamond" w:cstheme="minorHAnsi"/>
                <w:b w:val="0"/>
              </w:rPr>
              <w:t>при отсутствии в сечении коммерческого учета точек поставки, в отношении которых применяются результаты измерений, полученные с использованием АИИС КУЭ, в качестве типового суточного графика используется равномерный график.</w:t>
            </w:r>
          </w:p>
          <w:p w14:paraId="5D7FB3DB" w14:textId="77777777" w:rsidR="00295C6D" w:rsidRPr="00A5626D" w:rsidRDefault="00295C6D" w:rsidP="00647FA0">
            <w:pPr>
              <w:pStyle w:val="2"/>
              <w:numPr>
                <w:ilvl w:val="0"/>
                <w:numId w:val="0"/>
              </w:numPr>
              <w:tabs>
                <w:tab w:val="left" w:pos="1134"/>
                <w:tab w:val="left" w:pos="7938"/>
              </w:tabs>
              <w:suppressAutoHyphens w:val="0"/>
              <w:spacing w:before="120" w:after="120" w:line="22" w:lineRule="atLeast"/>
              <w:ind w:firstLine="629"/>
              <w:jc w:val="both"/>
              <w:rPr>
                <w:rFonts w:ascii="Garamond" w:hAnsi="Garamond" w:cstheme="minorHAnsi"/>
                <w:b w:val="0"/>
              </w:rPr>
            </w:pPr>
            <w:r w:rsidRPr="00A5626D">
              <w:rPr>
                <w:rFonts w:ascii="Garamond" w:hAnsi="Garamond" w:cstheme="minorHAnsi"/>
                <w:b w:val="0"/>
              </w:rPr>
              <w:t>При оснащении «малых» точек поставки интегральными приборами учета или интервальными приборами учета с интегральным способом учета почасовые значения электроэнергии, приведенные в корректирующем акте учета перетоков по сечению коммерческого учета (макет 51075) или в результатах измерений в макете 80040 (для последующего формирования акта учета перетоков по сечению коммерческого учета в макете 51020), рассчитанные с применением типовых суточных графиков нагрузки, суммарно за расчетный период должны быть равны фактическим значениям электроэнергии, полученным при интегральном учете.</w:t>
            </w:r>
          </w:p>
          <w:p w14:paraId="0723B300" w14:textId="77777777" w:rsidR="00295C6D" w:rsidRPr="00A5626D" w:rsidRDefault="00295C6D" w:rsidP="00647FA0">
            <w:pPr>
              <w:pStyle w:val="2"/>
              <w:numPr>
                <w:ilvl w:val="0"/>
                <w:numId w:val="0"/>
              </w:numPr>
              <w:tabs>
                <w:tab w:val="left" w:pos="1134"/>
                <w:tab w:val="left" w:pos="7938"/>
              </w:tabs>
              <w:suppressAutoHyphens w:val="0"/>
              <w:spacing w:before="120" w:after="120" w:line="22" w:lineRule="atLeast"/>
              <w:ind w:firstLine="743"/>
              <w:jc w:val="both"/>
              <w:rPr>
                <w:rFonts w:ascii="Garamond" w:hAnsi="Garamond" w:cstheme="minorHAnsi"/>
                <w:b w:val="0"/>
              </w:rPr>
            </w:pPr>
            <w:r w:rsidRPr="00A5626D">
              <w:rPr>
                <w:rFonts w:ascii="Garamond" w:hAnsi="Garamond" w:cstheme="minorHAnsi"/>
                <w:b w:val="0"/>
              </w:rPr>
              <w:t>Участники оптового рынка</w:t>
            </w:r>
            <w:r w:rsidRPr="00A5626D">
              <w:rPr>
                <w:rFonts w:ascii="Garamond" w:hAnsi="Garamond" w:cstheme="minorHAnsi"/>
                <w:b w:val="0"/>
                <w:highlight w:val="yellow"/>
              </w:rPr>
              <w:t>,</w:t>
            </w:r>
            <w:r w:rsidRPr="00A5626D">
              <w:rPr>
                <w:rFonts w:ascii="Garamond" w:hAnsi="Garamond" w:cstheme="minorHAnsi"/>
                <w:b w:val="0"/>
              </w:rPr>
              <w:t xml:space="preserve"> ФСК</w:t>
            </w:r>
            <w:r w:rsidRPr="00A5626D">
              <w:rPr>
                <w:rFonts w:ascii="Garamond" w:hAnsi="Garamond" w:cstheme="minorHAnsi"/>
                <w:b w:val="0"/>
                <w:highlight w:val="yellow"/>
              </w:rPr>
              <w:t>, агрегаторы</w:t>
            </w:r>
            <w:r w:rsidRPr="00A5626D">
              <w:rPr>
                <w:rFonts w:ascii="Garamond" w:hAnsi="Garamond" w:cstheme="minorHAnsi"/>
                <w:b w:val="0"/>
              </w:rPr>
              <w:t xml:space="preserve"> вправе осуществлять согласование и направление в КО в установленном порядке в случаях, предусмотренных п. 3.8 настоящего Регламента, интегральных актов учета </w:t>
            </w:r>
            <w:r w:rsidRPr="00A5626D">
              <w:rPr>
                <w:rFonts w:ascii="Garamond" w:hAnsi="Garamond" w:cstheme="minorHAnsi"/>
                <w:b w:val="0"/>
              </w:rPr>
              <w:lastRenderedPageBreak/>
              <w:t xml:space="preserve">перетоков (макеты 50080) </w:t>
            </w:r>
            <w:r w:rsidRPr="00A5626D">
              <w:rPr>
                <w:rFonts w:ascii="Garamond" w:hAnsi="Garamond" w:cstheme="minorHAnsi"/>
                <w:b w:val="0"/>
                <w:highlight w:val="yellow"/>
              </w:rPr>
              <w:t>и в случаях, предусмотренных п. 7.7 настоящего Регламента, актов учета (оборота) по объекту регулирования (макеты 21070)</w:t>
            </w:r>
            <w:r w:rsidRPr="00A5626D">
              <w:rPr>
                <w:rFonts w:ascii="Garamond" w:hAnsi="Garamond" w:cstheme="minorHAnsi"/>
                <w:b w:val="0"/>
              </w:rPr>
              <w:t xml:space="preserve"> в течение расчетного периода, а именно в ежедневном либо еженедельном режиме либо за периоды, ограниченные 10-м и 20-м числами текущего месяца. Участники оптового рынка (ФСК) вправе осуществлять формирование и направление в КО в установленном порядке корректирующих актов учета (оборота) по ГТП генерации, корректирующих актов учета перетоков по сечению коммерческого учета (макеты 51075), а также осуществлять согласование почасовых значений учетных показателей по ГТП генерации, по сечению коммерческого учета для последующего формирования актов учета (оборота) по ГТП генерации, актов учета перетоков по сечению коммерческого учета (макеты 51020) в ежедневном либо еженедельном режиме начиная с 20-го числа текущего месяца.</w:t>
            </w:r>
          </w:p>
          <w:p w14:paraId="7F96C3B0" w14:textId="77777777" w:rsidR="00295C6D" w:rsidRPr="00A5626D" w:rsidRDefault="00295C6D" w:rsidP="00647FA0">
            <w:pPr>
              <w:tabs>
                <w:tab w:val="left" w:pos="1134"/>
                <w:tab w:val="left" w:pos="7938"/>
              </w:tabs>
              <w:spacing w:before="120" w:after="120" w:line="22" w:lineRule="atLeast"/>
              <w:ind w:firstLine="743"/>
              <w:jc w:val="both"/>
              <w:rPr>
                <w:rFonts w:ascii="Garamond" w:hAnsi="Garamond"/>
                <w:sz w:val="22"/>
                <w:szCs w:val="22"/>
                <w:highlight w:val="yellow"/>
              </w:rPr>
            </w:pPr>
            <w:r w:rsidRPr="00A5626D">
              <w:rPr>
                <w:rFonts w:ascii="Garamond" w:hAnsi="Garamond"/>
                <w:sz w:val="22"/>
                <w:szCs w:val="22"/>
                <w:highlight w:val="yellow"/>
              </w:rPr>
              <w:t>Для Правопреемников КО обеспечивает возможность формирования отчетных данных коммерческого учета с учетом следующих особенностей:</w:t>
            </w:r>
          </w:p>
          <w:p w14:paraId="55DE3C16" w14:textId="29A92DF5" w:rsidR="00295C6D" w:rsidRPr="00A5626D" w:rsidRDefault="000B3419" w:rsidP="00647FA0">
            <w:pPr>
              <w:tabs>
                <w:tab w:val="left" w:pos="1134"/>
                <w:tab w:val="left" w:pos="7938"/>
              </w:tabs>
              <w:spacing w:before="120" w:after="120" w:line="22" w:lineRule="atLeast"/>
              <w:ind w:firstLine="743"/>
              <w:jc w:val="both"/>
              <w:rPr>
                <w:rFonts w:ascii="Garamond" w:hAnsi="Garamond"/>
                <w:sz w:val="22"/>
                <w:szCs w:val="22"/>
                <w:highlight w:val="yellow"/>
              </w:rPr>
            </w:pPr>
            <w:r w:rsidRPr="00A5626D">
              <w:rPr>
                <w:rFonts w:ascii="Garamond" w:hAnsi="Garamond"/>
                <w:sz w:val="22"/>
                <w:szCs w:val="22"/>
                <w:highlight w:val="yellow"/>
              </w:rPr>
              <w:t>–</w:t>
            </w:r>
            <w:r w:rsidR="00295C6D" w:rsidRPr="00A5626D">
              <w:rPr>
                <w:rFonts w:ascii="Garamond" w:hAnsi="Garamond"/>
                <w:sz w:val="22"/>
                <w:szCs w:val="22"/>
                <w:highlight w:val="yellow"/>
              </w:rPr>
              <w:tab/>
              <w:t xml:space="preserve">если Правопреемник является правопреемником на основании совершения сделки (-ок), победителем конкурса, ТСО ГП или в результате заключения соглашения о передаче функций гарантирующего поставщика, приобретшим право участия в торговле электрической энергией (мощностью) на оптовом рынке с использованием соответствующей ГТП в соответствии с пп. 2.2, 5.1, 5.3–5.4.1 приложения 2 к </w:t>
            </w:r>
            <w:r w:rsidR="00295C6D" w:rsidRPr="00A5626D">
              <w:rPr>
                <w:rFonts w:ascii="Garamond" w:hAnsi="Garamond"/>
                <w:i/>
                <w:sz w:val="22"/>
                <w:szCs w:val="22"/>
                <w:highlight w:val="yellow"/>
              </w:rPr>
              <w:t>Положению о порядке получения статуса субъекта оптового рынка и ведения реестра субъектов оптового рынка</w:t>
            </w:r>
            <w:r w:rsidR="00295C6D" w:rsidRPr="00A5626D">
              <w:rPr>
                <w:rFonts w:ascii="Garamond" w:hAnsi="Garamond"/>
                <w:sz w:val="22"/>
                <w:szCs w:val="22"/>
                <w:highlight w:val="yellow"/>
              </w:rPr>
              <w:t xml:space="preserve"> (Приложение № 1.1 к </w:t>
            </w:r>
            <w:r w:rsidR="00295C6D" w:rsidRPr="00A5626D">
              <w:rPr>
                <w:rFonts w:ascii="Garamond" w:hAnsi="Garamond"/>
                <w:i/>
                <w:sz w:val="22"/>
                <w:szCs w:val="22"/>
                <w:highlight w:val="yellow"/>
              </w:rPr>
              <w:t>Договору о присоединении к торговой системе оптового рынка</w:t>
            </w:r>
            <w:r w:rsidR="00295C6D" w:rsidRPr="00A5626D">
              <w:rPr>
                <w:rFonts w:ascii="Garamond" w:hAnsi="Garamond"/>
                <w:sz w:val="22"/>
                <w:szCs w:val="22"/>
                <w:highlight w:val="yellow"/>
              </w:rPr>
              <w:t>), то за месяц, предшествующий месяцу возникновения у такого Правопреемника права участия в торговле на оптовом рынке, формирование отчетных данных коммерческого учета по сечениям коммерческого учета в порядке, установленном настоящим Регламентом, по соответствующей ГТП осуществляет Правопредшественник;</w:t>
            </w:r>
          </w:p>
          <w:p w14:paraId="49B3E94A" w14:textId="7E5B745C" w:rsidR="00295C6D" w:rsidRPr="00A5626D" w:rsidRDefault="000B3419" w:rsidP="00647FA0">
            <w:pPr>
              <w:tabs>
                <w:tab w:val="left" w:pos="1134"/>
                <w:tab w:val="left" w:pos="7938"/>
              </w:tabs>
              <w:spacing w:before="120" w:after="120" w:line="22" w:lineRule="atLeast"/>
              <w:ind w:firstLine="743"/>
              <w:jc w:val="both"/>
              <w:rPr>
                <w:rFonts w:ascii="Garamond" w:hAnsi="Garamond"/>
                <w:sz w:val="22"/>
                <w:szCs w:val="22"/>
                <w:highlight w:val="yellow"/>
              </w:rPr>
            </w:pPr>
            <w:r w:rsidRPr="00A5626D">
              <w:rPr>
                <w:rFonts w:ascii="Garamond" w:hAnsi="Garamond"/>
                <w:sz w:val="22"/>
                <w:szCs w:val="22"/>
                <w:highlight w:val="yellow"/>
              </w:rPr>
              <w:t>–</w:t>
            </w:r>
            <w:r w:rsidR="00295C6D" w:rsidRPr="00A5626D">
              <w:rPr>
                <w:rFonts w:ascii="Garamond" w:hAnsi="Garamond"/>
                <w:sz w:val="22"/>
                <w:szCs w:val="22"/>
                <w:highlight w:val="yellow"/>
              </w:rPr>
              <w:tab/>
              <w:t xml:space="preserve">если Правопреемник является правопреемником в результате реорганизации субъектов оптового рынка или Правопреемником ГП, приобретшим право участия в торговле электрической энергией (мощностью) на оптовом рынке с использованием соответствующей ГТП в соответствии с пп. 2.3, 5.2 приложения 2 к </w:t>
            </w:r>
            <w:r w:rsidR="00295C6D" w:rsidRPr="00A5626D">
              <w:rPr>
                <w:rFonts w:ascii="Garamond" w:hAnsi="Garamond"/>
                <w:i/>
                <w:sz w:val="22"/>
                <w:szCs w:val="22"/>
                <w:highlight w:val="yellow"/>
              </w:rPr>
              <w:t>Положению о порядке получения статуса субъекта оптового рынка и ведения реестра субъектов оптового рынка</w:t>
            </w:r>
            <w:r w:rsidR="00295C6D" w:rsidRPr="00A5626D">
              <w:rPr>
                <w:rFonts w:ascii="Garamond" w:hAnsi="Garamond"/>
                <w:sz w:val="22"/>
                <w:szCs w:val="22"/>
                <w:highlight w:val="yellow"/>
              </w:rPr>
              <w:t xml:space="preserve"> (Приложение № 1.1 к </w:t>
            </w:r>
            <w:r w:rsidR="00295C6D" w:rsidRPr="00A5626D">
              <w:rPr>
                <w:rFonts w:ascii="Garamond" w:hAnsi="Garamond"/>
                <w:i/>
                <w:sz w:val="22"/>
                <w:szCs w:val="22"/>
                <w:highlight w:val="yellow"/>
              </w:rPr>
              <w:t>Договору о присоединении к торговой системе оптового рынка</w:t>
            </w:r>
            <w:r w:rsidR="00295C6D" w:rsidRPr="00A5626D">
              <w:rPr>
                <w:rFonts w:ascii="Garamond" w:hAnsi="Garamond"/>
                <w:sz w:val="22"/>
                <w:szCs w:val="22"/>
                <w:highlight w:val="yellow"/>
              </w:rPr>
              <w:t xml:space="preserve">), </w:t>
            </w:r>
            <w:r w:rsidR="00295C6D" w:rsidRPr="00A5626D">
              <w:rPr>
                <w:rFonts w:ascii="Garamond" w:hAnsi="Garamond"/>
                <w:sz w:val="22"/>
                <w:szCs w:val="22"/>
                <w:highlight w:val="yellow"/>
              </w:rPr>
              <w:lastRenderedPageBreak/>
              <w:t xml:space="preserve">то за месяц, в котором завершена реорганизация, формирование отчетных данных коммерческого учета в порядке, установленном настоящим Регламентом, осуществляет Правопреемник. </w:t>
            </w:r>
          </w:p>
          <w:p w14:paraId="160998CC" w14:textId="77777777" w:rsidR="00295C6D" w:rsidRPr="00A5626D" w:rsidRDefault="00295C6D" w:rsidP="00647FA0">
            <w:pPr>
              <w:tabs>
                <w:tab w:val="left" w:pos="1134"/>
                <w:tab w:val="left" w:pos="7938"/>
              </w:tabs>
              <w:spacing w:before="120" w:after="120" w:line="22" w:lineRule="atLeast"/>
              <w:ind w:firstLine="743"/>
              <w:jc w:val="both"/>
              <w:rPr>
                <w:rFonts w:ascii="Garamond" w:hAnsi="Garamond"/>
                <w:sz w:val="22"/>
                <w:szCs w:val="22"/>
                <w:highlight w:val="yellow"/>
              </w:rPr>
            </w:pPr>
            <w:r w:rsidRPr="00A5626D">
              <w:rPr>
                <w:rFonts w:ascii="Garamond" w:hAnsi="Garamond"/>
                <w:sz w:val="22"/>
                <w:szCs w:val="22"/>
                <w:highlight w:val="yellow"/>
              </w:rPr>
              <w:t xml:space="preserve">При этом, если реорганизация завершена после 25-го числа, но не позднее последнего дня месяца, КО вносит изменения в ПАК КО для приема сформированных отчетных данных коммерческого учета от Правопреемника не позднее 3-го числа месяца, следующего за месяцем, в котором завершена реорганизация. </w:t>
            </w:r>
          </w:p>
          <w:p w14:paraId="09378695" w14:textId="77777777" w:rsidR="00295C6D" w:rsidRPr="00A5626D" w:rsidRDefault="00295C6D" w:rsidP="00647FA0">
            <w:pPr>
              <w:tabs>
                <w:tab w:val="left" w:pos="1134"/>
                <w:tab w:val="left" w:pos="7938"/>
              </w:tabs>
              <w:spacing w:before="120" w:after="120" w:line="22" w:lineRule="atLeast"/>
              <w:ind w:firstLine="743"/>
              <w:jc w:val="both"/>
              <w:rPr>
                <w:rFonts w:ascii="Garamond" w:hAnsi="Garamond"/>
                <w:sz w:val="22"/>
                <w:szCs w:val="22"/>
                <w:highlight w:val="yellow"/>
              </w:rPr>
            </w:pPr>
            <w:r w:rsidRPr="00A5626D">
              <w:rPr>
                <w:rFonts w:ascii="Garamond" w:hAnsi="Garamond"/>
                <w:sz w:val="22"/>
                <w:szCs w:val="22"/>
                <w:highlight w:val="yellow"/>
              </w:rPr>
              <w:t xml:space="preserve">За месяц, предшествующий месяцу, в котором завершена реорганизация, формирование отчетных данных коммерческого учета до завершения реорганизации в порядке, установленном настоящим Регламентом, осуществляет Правопредшественник. После завершения реорганизации формирование данных коммерческого учета осуществляется Правопреемником с использованием в соответствии с требованиями пп. 2.7, 3.9 </w:t>
            </w:r>
            <w:r w:rsidRPr="00A5626D">
              <w:rPr>
                <w:rFonts w:ascii="Garamond" w:hAnsi="Garamond"/>
                <w:i/>
                <w:sz w:val="22"/>
                <w:szCs w:val="22"/>
                <w:highlight w:val="yellow"/>
              </w:rPr>
              <w:t>Регламента допуска к торговой системе оптового рынка</w:t>
            </w:r>
            <w:r w:rsidRPr="00A5626D">
              <w:rPr>
                <w:rFonts w:ascii="Garamond" w:hAnsi="Garamond"/>
                <w:sz w:val="22"/>
                <w:szCs w:val="22"/>
                <w:highlight w:val="yellow"/>
              </w:rPr>
              <w:t xml:space="preserve"> (Приложение № 1 к </w:t>
            </w:r>
            <w:r w:rsidRPr="00A5626D">
              <w:rPr>
                <w:rFonts w:ascii="Garamond" w:hAnsi="Garamond"/>
                <w:i/>
                <w:sz w:val="22"/>
                <w:szCs w:val="22"/>
                <w:highlight w:val="yellow"/>
              </w:rPr>
              <w:t>Договору о присоединении к торговой системе оптового рынка</w:t>
            </w:r>
            <w:r w:rsidRPr="00A5626D">
              <w:rPr>
                <w:rFonts w:ascii="Garamond" w:hAnsi="Garamond"/>
                <w:sz w:val="22"/>
                <w:szCs w:val="22"/>
                <w:highlight w:val="yellow"/>
              </w:rPr>
              <w:t>) реквизитов Правопредшественника, если иное не предусмотрено настоящим пунктом. Отчетные данные коммерческого учета, сформированные (направленные) после завершения реорганизации Правопредшественника в сроки, установленные настоящим Регламентом для формирования отчетных данных коммерческого учета, но содержащие электронную подпись Правопредшественника, используются при применении замещающих методов расчета за соответствующий месяц в порядке, предусмотренном п. 8.1 настоящего Регламента.</w:t>
            </w:r>
          </w:p>
          <w:p w14:paraId="3232A5A5" w14:textId="77777777" w:rsidR="00295C6D" w:rsidRPr="00A5626D" w:rsidRDefault="00295C6D" w:rsidP="00647FA0">
            <w:pPr>
              <w:tabs>
                <w:tab w:val="left" w:pos="1134"/>
                <w:tab w:val="left" w:pos="7938"/>
              </w:tabs>
              <w:spacing w:before="120" w:after="120" w:line="22" w:lineRule="atLeast"/>
              <w:ind w:firstLine="743"/>
              <w:jc w:val="both"/>
              <w:rPr>
                <w:rFonts w:ascii="Garamond" w:hAnsi="Garamond"/>
                <w:sz w:val="22"/>
                <w:szCs w:val="22"/>
                <w:highlight w:val="yellow"/>
              </w:rPr>
            </w:pPr>
            <w:r w:rsidRPr="00A5626D">
              <w:rPr>
                <w:rFonts w:ascii="Garamond" w:hAnsi="Garamond"/>
                <w:sz w:val="22"/>
                <w:szCs w:val="22"/>
                <w:highlight w:val="yellow"/>
              </w:rPr>
              <w:t>Если Правопреемник является правопреемником в результате реорганизации субъектов оптового рынка, завершившейся 1-го числа соответствующего месяца, формирование отчетных данных коммерческого учета осуществляется с учетом следующих особенностей:</w:t>
            </w:r>
          </w:p>
          <w:p w14:paraId="5C098887" w14:textId="03443547" w:rsidR="00295C6D" w:rsidRPr="00A5626D" w:rsidRDefault="00864408" w:rsidP="00647FA0">
            <w:pPr>
              <w:tabs>
                <w:tab w:val="left" w:pos="1134"/>
                <w:tab w:val="left" w:pos="7938"/>
              </w:tabs>
              <w:spacing w:before="120" w:after="120" w:line="22" w:lineRule="atLeast"/>
              <w:ind w:firstLine="743"/>
              <w:jc w:val="both"/>
              <w:rPr>
                <w:rFonts w:ascii="Garamond" w:hAnsi="Garamond"/>
                <w:sz w:val="22"/>
                <w:szCs w:val="22"/>
                <w:highlight w:val="yellow"/>
              </w:rPr>
            </w:pPr>
            <w:r w:rsidRPr="00A5626D">
              <w:rPr>
                <w:rFonts w:ascii="Garamond" w:hAnsi="Garamond"/>
                <w:sz w:val="22"/>
                <w:szCs w:val="22"/>
                <w:highlight w:val="yellow"/>
              </w:rPr>
              <w:t>–</w:t>
            </w:r>
            <w:r w:rsidR="00295C6D" w:rsidRPr="00A5626D">
              <w:rPr>
                <w:rFonts w:ascii="Garamond" w:hAnsi="Garamond"/>
                <w:sz w:val="22"/>
                <w:szCs w:val="22"/>
                <w:highlight w:val="yellow"/>
              </w:rPr>
              <w:tab/>
              <w:t>формирование данных коммерческого учета в порядке, установленном настоящим Регламентом, за месяц, в котором завершилась реорганизация, а также за месяц, предшествующий месяцу, в котором завершилась реорганизация, осуществляется Правопреемником с использованием реквизитов Правопреемника;</w:t>
            </w:r>
          </w:p>
          <w:p w14:paraId="74C777DC" w14:textId="00CF54A0" w:rsidR="00295C6D" w:rsidRPr="00A5626D" w:rsidRDefault="00864408" w:rsidP="00647FA0">
            <w:pPr>
              <w:tabs>
                <w:tab w:val="left" w:pos="1134"/>
                <w:tab w:val="left" w:pos="7938"/>
              </w:tabs>
              <w:spacing w:before="120" w:after="120" w:line="22" w:lineRule="atLeast"/>
              <w:ind w:firstLine="743"/>
              <w:jc w:val="both"/>
              <w:rPr>
                <w:rFonts w:ascii="Garamond" w:hAnsi="Garamond"/>
                <w:sz w:val="22"/>
                <w:szCs w:val="22"/>
                <w:highlight w:val="yellow"/>
              </w:rPr>
            </w:pPr>
            <w:r w:rsidRPr="00A5626D">
              <w:rPr>
                <w:rFonts w:ascii="Garamond" w:hAnsi="Garamond"/>
                <w:sz w:val="22"/>
                <w:szCs w:val="22"/>
                <w:highlight w:val="yellow"/>
              </w:rPr>
              <w:t>–</w:t>
            </w:r>
            <w:r w:rsidR="00295C6D" w:rsidRPr="00A5626D">
              <w:rPr>
                <w:rFonts w:ascii="Garamond" w:hAnsi="Garamond"/>
                <w:sz w:val="22"/>
                <w:szCs w:val="22"/>
                <w:highlight w:val="yellow"/>
              </w:rPr>
              <w:tab/>
              <w:t xml:space="preserve">КО вносит изменения в ПАК КО для приема сформированных отчетных данных коммерческого учета от Правопреемника в течение 4 (четырех) рабочих дней с даты получения сведений о завершении </w:t>
            </w:r>
            <w:r w:rsidR="00295C6D" w:rsidRPr="00A5626D">
              <w:rPr>
                <w:rFonts w:ascii="Garamond" w:hAnsi="Garamond"/>
                <w:sz w:val="22"/>
                <w:szCs w:val="22"/>
                <w:highlight w:val="yellow"/>
              </w:rPr>
              <w:lastRenderedPageBreak/>
              <w:t>соответствующей реорганизации. До внесения указанных изменений отчетные данные коммерческого учета не могут быть сформированы Правопреемником. Реорганизуемые участники оптового рынка несут все риски неблагоприятных последствий, связанных с отсутствием у Правопреемника возможности направления сформированных отчетных данных коммерческого учета в вышеуказанный период внесения КО изменений в ПАК КО, в том числе риски, связанные с применением замещающих методов расчета, предусмотренных настоящим Регламентом.</w:t>
            </w:r>
          </w:p>
          <w:p w14:paraId="234E2471" w14:textId="77777777" w:rsidR="00295C6D" w:rsidRPr="00A5626D" w:rsidRDefault="00295C6D" w:rsidP="00647FA0">
            <w:pPr>
              <w:tabs>
                <w:tab w:val="left" w:pos="1134"/>
                <w:tab w:val="left" w:pos="7938"/>
              </w:tabs>
              <w:spacing w:before="120" w:after="120" w:line="22" w:lineRule="atLeast"/>
              <w:ind w:firstLine="743"/>
              <w:jc w:val="both"/>
              <w:rPr>
                <w:rFonts w:ascii="Garamond" w:hAnsi="Garamond"/>
                <w:sz w:val="22"/>
                <w:szCs w:val="22"/>
                <w:highlight w:val="yellow"/>
              </w:rPr>
            </w:pPr>
            <w:r w:rsidRPr="00A5626D">
              <w:rPr>
                <w:rFonts w:ascii="Garamond" w:hAnsi="Garamond"/>
                <w:sz w:val="22"/>
                <w:szCs w:val="22"/>
                <w:highlight w:val="yellow"/>
              </w:rPr>
              <w:t xml:space="preserve">После завершения реорганизации Правопредшественник не вправе формировать (направлять) в порядке, установленном настоящим Регламентом, отчетные данные коммерческого учета в отношении ГТП генерации Правопреемника и (или) сечения коммерческого учета, входящего в состав ГТП потребления Правопреемника. </w:t>
            </w:r>
          </w:p>
          <w:p w14:paraId="07D8BDB9" w14:textId="77777777" w:rsidR="00295C6D" w:rsidRPr="00A5626D" w:rsidRDefault="00295C6D" w:rsidP="00647FA0">
            <w:pPr>
              <w:tabs>
                <w:tab w:val="left" w:pos="1134"/>
                <w:tab w:val="left" w:pos="7938"/>
              </w:tabs>
              <w:spacing w:before="120" w:after="120" w:line="22" w:lineRule="atLeast"/>
              <w:ind w:firstLine="743"/>
              <w:jc w:val="both"/>
              <w:rPr>
                <w:rFonts w:ascii="Garamond" w:hAnsi="Garamond"/>
                <w:sz w:val="22"/>
                <w:szCs w:val="22"/>
              </w:rPr>
            </w:pPr>
            <w:r w:rsidRPr="00A5626D">
              <w:rPr>
                <w:rFonts w:ascii="Garamond" w:hAnsi="Garamond"/>
                <w:sz w:val="22"/>
                <w:szCs w:val="22"/>
                <w:highlight w:val="yellow"/>
              </w:rPr>
              <w:t xml:space="preserve">В случае завершения реорганизации участника оптового рынка после осуществления расчетов, предусмотренных п. 9.11, приложениями 6 и 7 настоящего Регламента, а также направления данных, предусмотренных пп. 6.8.4.1, 6.8.4.2 </w:t>
            </w:r>
            <w:r w:rsidRPr="00A5626D">
              <w:rPr>
                <w:rFonts w:ascii="Garamond" w:hAnsi="Garamond"/>
                <w:i/>
                <w:sz w:val="22"/>
                <w:szCs w:val="22"/>
                <w:highlight w:val="yellow"/>
              </w:rPr>
              <w:t>Регламента аттестации генерирующего оборудования</w:t>
            </w:r>
            <w:r w:rsidRPr="00A5626D">
              <w:rPr>
                <w:rFonts w:ascii="Garamond" w:hAnsi="Garamond"/>
                <w:sz w:val="22"/>
                <w:szCs w:val="22"/>
                <w:highlight w:val="yellow"/>
              </w:rPr>
              <w:t xml:space="preserve"> (Приложение № 19.2 к </w:t>
            </w:r>
            <w:r w:rsidRPr="00A5626D">
              <w:rPr>
                <w:rFonts w:ascii="Garamond" w:hAnsi="Garamond"/>
                <w:i/>
                <w:sz w:val="22"/>
                <w:szCs w:val="22"/>
                <w:highlight w:val="yellow"/>
              </w:rPr>
              <w:t>Договору о присоединении к торговой системе оптового рынка</w:t>
            </w:r>
            <w:r w:rsidRPr="00A5626D">
              <w:rPr>
                <w:rFonts w:ascii="Garamond" w:hAnsi="Garamond"/>
                <w:sz w:val="22"/>
                <w:szCs w:val="22"/>
                <w:highlight w:val="yellow"/>
              </w:rPr>
              <w:t>), повторное выполнение указанных расчетов и направление данных КО не производится.</w:t>
            </w:r>
          </w:p>
        </w:tc>
      </w:tr>
      <w:tr w:rsidR="00295C6D" w:rsidRPr="00A5626D" w14:paraId="10DEA59C" w14:textId="77777777" w:rsidTr="00647FA0">
        <w:tc>
          <w:tcPr>
            <w:tcW w:w="1060" w:type="dxa"/>
            <w:vAlign w:val="center"/>
          </w:tcPr>
          <w:p w14:paraId="29DE3D60" w14:textId="77777777" w:rsidR="00295C6D" w:rsidRPr="00A5626D" w:rsidRDefault="00295C6D" w:rsidP="00E31AE6">
            <w:pPr>
              <w:widowControl w:val="0"/>
              <w:tabs>
                <w:tab w:val="left" w:pos="1134"/>
                <w:tab w:val="left" w:pos="7938"/>
              </w:tabs>
              <w:spacing w:line="22" w:lineRule="atLeast"/>
              <w:jc w:val="both"/>
              <w:rPr>
                <w:rFonts w:ascii="Garamond" w:hAnsi="Garamond"/>
                <w:b/>
                <w:sz w:val="22"/>
                <w:szCs w:val="22"/>
                <w:lang w:eastAsia="en-US"/>
              </w:rPr>
            </w:pPr>
            <w:r w:rsidRPr="00A5626D">
              <w:rPr>
                <w:rFonts w:ascii="Garamond" w:hAnsi="Garamond"/>
                <w:b/>
                <w:sz w:val="22"/>
                <w:szCs w:val="22"/>
                <w:lang w:eastAsia="en-US"/>
              </w:rPr>
              <w:lastRenderedPageBreak/>
              <w:t>7.3</w:t>
            </w:r>
          </w:p>
        </w:tc>
        <w:tc>
          <w:tcPr>
            <w:tcW w:w="6662" w:type="dxa"/>
          </w:tcPr>
          <w:p w14:paraId="4DE557B4" w14:textId="77777777" w:rsidR="00295C6D" w:rsidRPr="00A5626D" w:rsidRDefault="00295C6D" w:rsidP="00647FA0">
            <w:pPr>
              <w:tabs>
                <w:tab w:val="left" w:pos="1134"/>
                <w:tab w:val="left" w:pos="7938"/>
              </w:tabs>
              <w:spacing w:before="120" w:after="120" w:line="22" w:lineRule="atLeast"/>
              <w:ind w:firstLine="743"/>
              <w:jc w:val="both"/>
              <w:rPr>
                <w:rFonts w:ascii="Garamond" w:hAnsi="Garamond"/>
                <w:sz w:val="22"/>
                <w:szCs w:val="22"/>
                <w:highlight w:val="yellow"/>
              </w:rPr>
            </w:pPr>
            <w:r w:rsidRPr="00A5626D">
              <w:rPr>
                <w:rFonts w:ascii="Garamond" w:hAnsi="Garamond"/>
                <w:sz w:val="22"/>
                <w:szCs w:val="22"/>
                <w:highlight w:val="yellow"/>
              </w:rPr>
              <w:t>Для Правопреемников КО обеспечивает возможность формирования отчетных данных коммерческого учета с учетом следующих особенностей:</w:t>
            </w:r>
          </w:p>
          <w:p w14:paraId="72626755" w14:textId="77777777" w:rsidR="00295C6D" w:rsidRPr="00A5626D" w:rsidRDefault="00295C6D" w:rsidP="00647FA0">
            <w:pPr>
              <w:tabs>
                <w:tab w:val="left" w:pos="1134"/>
                <w:tab w:val="left" w:pos="7938"/>
              </w:tabs>
              <w:spacing w:before="120" w:after="120" w:line="22" w:lineRule="atLeast"/>
              <w:ind w:firstLine="743"/>
              <w:jc w:val="both"/>
              <w:rPr>
                <w:rFonts w:ascii="Garamond" w:hAnsi="Garamond"/>
                <w:sz w:val="22"/>
                <w:szCs w:val="22"/>
                <w:highlight w:val="yellow"/>
              </w:rPr>
            </w:pPr>
            <w:r w:rsidRPr="00A5626D">
              <w:rPr>
                <w:rFonts w:ascii="Garamond" w:hAnsi="Garamond"/>
                <w:sz w:val="22"/>
                <w:szCs w:val="22"/>
                <w:highlight w:val="yellow"/>
              </w:rPr>
              <w:t>-</w:t>
            </w:r>
            <w:r w:rsidRPr="00A5626D">
              <w:rPr>
                <w:rFonts w:ascii="Garamond" w:hAnsi="Garamond"/>
                <w:sz w:val="22"/>
                <w:szCs w:val="22"/>
                <w:highlight w:val="yellow"/>
              </w:rPr>
              <w:tab/>
              <w:t xml:space="preserve">если Правопреемник является правопреемником на основании совершения сделки (-ок), победителем конкурса, ТСО ГП или в результате заключения соглашения о передаче функций гарантирующего поставщика, приобретшим право участия в торговле электрической энергией (мощностью) на оптовом рынке с использованием соответствующей ГТП в соответствии с пп. 2.2, 5.1, 5.3–5.4.1 приложения 2 к Положению о порядке получения статуса субъекта оптового рынка и ведения реестра субъектов оптового рынка (Приложение № 1.1 к Договору о присоединении к торговой системе оптового рынка), то за месяц, предшествующий месяцу возникновения у такого Правопреемника права участия в торговле на оптовом рынке, формирование отчетных данных коммерческого учета по сечениям коммерческого учета в порядке, установленном настоящим </w:t>
            </w:r>
            <w:r w:rsidRPr="00A5626D">
              <w:rPr>
                <w:rFonts w:ascii="Garamond" w:hAnsi="Garamond"/>
                <w:sz w:val="22"/>
                <w:szCs w:val="22"/>
                <w:highlight w:val="yellow"/>
              </w:rPr>
              <w:lastRenderedPageBreak/>
              <w:t>Регламентом, по соответствующей ГТП осуществляет Правопредшественник;</w:t>
            </w:r>
          </w:p>
          <w:p w14:paraId="44232B01" w14:textId="77777777" w:rsidR="00295C6D" w:rsidRPr="00A5626D" w:rsidRDefault="00295C6D" w:rsidP="00647FA0">
            <w:pPr>
              <w:tabs>
                <w:tab w:val="left" w:pos="1134"/>
                <w:tab w:val="left" w:pos="7938"/>
              </w:tabs>
              <w:spacing w:before="120" w:after="120" w:line="22" w:lineRule="atLeast"/>
              <w:ind w:firstLine="743"/>
              <w:jc w:val="both"/>
              <w:rPr>
                <w:rFonts w:ascii="Garamond" w:hAnsi="Garamond"/>
                <w:sz w:val="22"/>
                <w:szCs w:val="22"/>
                <w:highlight w:val="yellow"/>
              </w:rPr>
            </w:pPr>
            <w:r w:rsidRPr="00A5626D">
              <w:rPr>
                <w:rFonts w:ascii="Garamond" w:hAnsi="Garamond"/>
                <w:sz w:val="22"/>
                <w:szCs w:val="22"/>
                <w:highlight w:val="yellow"/>
              </w:rPr>
              <w:t>-</w:t>
            </w:r>
            <w:r w:rsidRPr="00A5626D">
              <w:rPr>
                <w:rFonts w:ascii="Garamond" w:hAnsi="Garamond"/>
                <w:sz w:val="22"/>
                <w:szCs w:val="22"/>
                <w:highlight w:val="yellow"/>
              </w:rPr>
              <w:tab/>
              <w:t xml:space="preserve">если Правопреемник является правопреемником в результате реорганизации субъектов оптового рынка или Правопреемником ГП, приобретшим право участия в торговле электрической энергией (мощностью) на оптовом рынке с использованием соответствующей ГТП в соответствии с пп. 2.3, 5.2 приложения 2 к Положению о порядке получения статуса субъекта оптового рынка и ведения реестра субъектов оптового рынка (Приложение № 1.1 к Договору о присоединении к торговой системе оптового рынка), то за месяц, в котором завершена реорганизация, формирование отчетных данных коммерческого учета в порядке, установленном настоящим Регламентом, осуществляет Правопреемник. </w:t>
            </w:r>
          </w:p>
          <w:p w14:paraId="14359A69" w14:textId="77777777" w:rsidR="00295C6D" w:rsidRPr="00A5626D" w:rsidRDefault="00295C6D" w:rsidP="00647FA0">
            <w:pPr>
              <w:tabs>
                <w:tab w:val="left" w:pos="1134"/>
                <w:tab w:val="left" w:pos="7938"/>
              </w:tabs>
              <w:spacing w:before="120" w:after="120" w:line="22" w:lineRule="atLeast"/>
              <w:ind w:firstLine="743"/>
              <w:jc w:val="both"/>
              <w:rPr>
                <w:rFonts w:ascii="Garamond" w:hAnsi="Garamond"/>
                <w:sz w:val="22"/>
                <w:szCs w:val="22"/>
                <w:highlight w:val="yellow"/>
              </w:rPr>
            </w:pPr>
            <w:r w:rsidRPr="00A5626D">
              <w:rPr>
                <w:rFonts w:ascii="Garamond" w:hAnsi="Garamond"/>
                <w:sz w:val="22"/>
                <w:szCs w:val="22"/>
                <w:highlight w:val="yellow"/>
              </w:rPr>
              <w:t xml:space="preserve">При этом, если реорганизация завершена после 25-го числа, но не позднее последнего дня месяца, КО вносит изменения в ПАК КО для приема сформированных отчетных данных коммерческого учета от Правопреемника не позднее 3-го числа месяца, следующего за месяцем, в котором завершена реорганизация. </w:t>
            </w:r>
          </w:p>
          <w:p w14:paraId="677167D6" w14:textId="77777777" w:rsidR="00295C6D" w:rsidRPr="00A5626D" w:rsidRDefault="00295C6D" w:rsidP="00647FA0">
            <w:pPr>
              <w:tabs>
                <w:tab w:val="left" w:pos="1134"/>
                <w:tab w:val="left" w:pos="7938"/>
              </w:tabs>
              <w:spacing w:before="120" w:after="120" w:line="22" w:lineRule="atLeast"/>
              <w:ind w:firstLine="743"/>
              <w:jc w:val="both"/>
              <w:rPr>
                <w:rFonts w:ascii="Garamond" w:hAnsi="Garamond"/>
                <w:sz w:val="22"/>
                <w:szCs w:val="22"/>
                <w:highlight w:val="yellow"/>
              </w:rPr>
            </w:pPr>
            <w:r w:rsidRPr="00A5626D">
              <w:rPr>
                <w:rFonts w:ascii="Garamond" w:hAnsi="Garamond"/>
                <w:sz w:val="22"/>
                <w:szCs w:val="22"/>
                <w:highlight w:val="yellow"/>
              </w:rPr>
              <w:t>За месяц, предшествующий месяцу, в котором завершена реорганизация, формирование отчетных данных коммерческого учета до завершения реорганизации в порядке, установленном настоящим Регламентом, осуществляет Правопредшественник. После завершения реорганизации формирование данных коммерческого учета осуществляется Правопреемником с использованием в соответствии с требованиями пп. 2.7, 3.9 Регламента допуска к торговой системе оптового рынка (Приложение № 1 к Договору о присоединении к торговой системе оптового рынка) реквизитов Правопредшественника, если иное не предусмотрено настоящим пунктом. Отчетные данные коммерческого учета, сформированные (направленные) после завершения реорганизации Правопредшественника в сроки, установленные настоящим Регламентом для формирования отчетных данных коммерческого учета, но содержащие электронную подпись Правопредшественника, используются при применении замещающих методов расчета за соответствующий месяц в порядке, предусмотренном п. 8.1 настоящего Регламента.</w:t>
            </w:r>
          </w:p>
          <w:p w14:paraId="04A977B4" w14:textId="77777777" w:rsidR="00295C6D" w:rsidRPr="00A5626D" w:rsidRDefault="00295C6D" w:rsidP="00647FA0">
            <w:pPr>
              <w:tabs>
                <w:tab w:val="left" w:pos="1134"/>
                <w:tab w:val="left" w:pos="7938"/>
              </w:tabs>
              <w:spacing w:before="120" w:after="120" w:line="22" w:lineRule="atLeast"/>
              <w:ind w:firstLine="743"/>
              <w:jc w:val="both"/>
              <w:rPr>
                <w:rFonts w:ascii="Garamond" w:hAnsi="Garamond"/>
                <w:sz w:val="22"/>
                <w:szCs w:val="22"/>
                <w:highlight w:val="yellow"/>
              </w:rPr>
            </w:pPr>
            <w:r w:rsidRPr="00A5626D">
              <w:rPr>
                <w:rFonts w:ascii="Garamond" w:hAnsi="Garamond"/>
                <w:sz w:val="22"/>
                <w:szCs w:val="22"/>
                <w:highlight w:val="yellow"/>
              </w:rPr>
              <w:lastRenderedPageBreak/>
              <w:t>Если Правопреемник является правопреемником в результате реорганизации субъектов оптового рынка, завершившейся 1-го числа соответствующего месяца, формирование отчетных данных коммерческого учета осуществляется с учетом следующих особенностей:</w:t>
            </w:r>
          </w:p>
          <w:p w14:paraId="7461EAA3" w14:textId="77777777" w:rsidR="00295C6D" w:rsidRPr="00A5626D" w:rsidRDefault="00295C6D" w:rsidP="00647FA0">
            <w:pPr>
              <w:tabs>
                <w:tab w:val="left" w:pos="1134"/>
                <w:tab w:val="left" w:pos="7938"/>
              </w:tabs>
              <w:spacing w:before="120" w:after="120" w:line="22" w:lineRule="atLeast"/>
              <w:ind w:firstLine="743"/>
              <w:jc w:val="both"/>
              <w:rPr>
                <w:rFonts w:ascii="Garamond" w:hAnsi="Garamond"/>
                <w:sz w:val="22"/>
                <w:szCs w:val="22"/>
                <w:highlight w:val="yellow"/>
              </w:rPr>
            </w:pPr>
            <w:r w:rsidRPr="00A5626D">
              <w:rPr>
                <w:rFonts w:ascii="Garamond" w:hAnsi="Garamond"/>
                <w:sz w:val="22"/>
                <w:szCs w:val="22"/>
                <w:highlight w:val="yellow"/>
              </w:rPr>
              <w:t>-</w:t>
            </w:r>
            <w:r w:rsidRPr="00A5626D">
              <w:rPr>
                <w:rFonts w:ascii="Garamond" w:hAnsi="Garamond"/>
                <w:sz w:val="22"/>
                <w:szCs w:val="22"/>
                <w:highlight w:val="yellow"/>
              </w:rPr>
              <w:tab/>
              <w:t>формирование данных коммерческого учета в порядке, установленном настоящим Регламентом, за месяц, в котором завершилась реорганизация, а также за месяц, предшествующий месяцу, в котором завершилась реорганизация, осуществляется Правопреемником с использованием реквизитов Правопреемника;</w:t>
            </w:r>
          </w:p>
          <w:p w14:paraId="6B735C88" w14:textId="77777777" w:rsidR="00295C6D" w:rsidRPr="00A5626D" w:rsidRDefault="00295C6D" w:rsidP="00647FA0">
            <w:pPr>
              <w:tabs>
                <w:tab w:val="left" w:pos="1134"/>
                <w:tab w:val="left" w:pos="7938"/>
              </w:tabs>
              <w:spacing w:before="120" w:after="120" w:line="22" w:lineRule="atLeast"/>
              <w:ind w:firstLine="743"/>
              <w:jc w:val="both"/>
              <w:rPr>
                <w:rFonts w:ascii="Garamond" w:hAnsi="Garamond"/>
                <w:sz w:val="22"/>
                <w:szCs w:val="22"/>
                <w:highlight w:val="yellow"/>
              </w:rPr>
            </w:pPr>
            <w:r w:rsidRPr="00A5626D">
              <w:rPr>
                <w:rFonts w:ascii="Garamond" w:hAnsi="Garamond"/>
                <w:sz w:val="22"/>
                <w:szCs w:val="22"/>
                <w:highlight w:val="yellow"/>
              </w:rPr>
              <w:t>-</w:t>
            </w:r>
            <w:r w:rsidRPr="00A5626D">
              <w:rPr>
                <w:rFonts w:ascii="Garamond" w:hAnsi="Garamond"/>
                <w:sz w:val="22"/>
                <w:szCs w:val="22"/>
                <w:highlight w:val="yellow"/>
              </w:rPr>
              <w:tab/>
              <w:t>КО вносит изменения в ПАК КО для приема сформированных отчетных данных коммерческого учета от Правопреемника в течение 4 (четырех) рабочих дней с даты получения сведений о завершении соответствующей реорганизации. До внесения указанных изменений отчетные данные коммерческого учета не могут быть сформированы Правопреемником. Реорганизуемые участники оптового рынка несут все риски неблагоприятных последствий, связанных с отсутствием у Правопреемника возможности направления сформированных отчетных данных коммерческого учета в вышеуказанный период внесения КО изменений в ПАК КО, в том числе риски, связанные с применением замещающих методов расчета, предусмотренных настоящим Регламентом.</w:t>
            </w:r>
          </w:p>
          <w:p w14:paraId="43B1CE35" w14:textId="77777777" w:rsidR="00295C6D" w:rsidRPr="00A5626D" w:rsidRDefault="00295C6D" w:rsidP="00647FA0">
            <w:pPr>
              <w:tabs>
                <w:tab w:val="left" w:pos="1134"/>
                <w:tab w:val="left" w:pos="7938"/>
              </w:tabs>
              <w:spacing w:before="120" w:after="120" w:line="22" w:lineRule="atLeast"/>
              <w:ind w:firstLine="743"/>
              <w:jc w:val="both"/>
              <w:rPr>
                <w:rFonts w:ascii="Garamond" w:hAnsi="Garamond"/>
                <w:sz w:val="22"/>
                <w:szCs w:val="22"/>
                <w:highlight w:val="yellow"/>
              </w:rPr>
            </w:pPr>
            <w:r w:rsidRPr="00A5626D">
              <w:rPr>
                <w:rFonts w:ascii="Garamond" w:hAnsi="Garamond"/>
                <w:sz w:val="22"/>
                <w:szCs w:val="22"/>
                <w:highlight w:val="yellow"/>
              </w:rPr>
              <w:t xml:space="preserve">После завершения реорганизации Правопредшественник не вправе формировать (направлять) в порядке, установленном настоящим Регламентом, отчетные данные коммерческого учета в отношении ГТП генерации Правопреемника и (или) сечения коммерческого учета, входящего в состав ГТП потребления Правопреемника. </w:t>
            </w:r>
          </w:p>
          <w:p w14:paraId="1740AA63" w14:textId="77777777" w:rsidR="00295C6D" w:rsidRPr="00A5626D" w:rsidRDefault="00295C6D" w:rsidP="00647FA0">
            <w:pPr>
              <w:pStyle w:val="2"/>
              <w:numPr>
                <w:ilvl w:val="0"/>
                <w:numId w:val="0"/>
              </w:numPr>
              <w:tabs>
                <w:tab w:val="left" w:pos="1134"/>
                <w:tab w:val="left" w:pos="7938"/>
              </w:tabs>
              <w:suppressAutoHyphens w:val="0"/>
              <w:spacing w:before="120" w:after="120" w:line="22" w:lineRule="atLeast"/>
              <w:ind w:firstLine="629"/>
              <w:jc w:val="both"/>
              <w:rPr>
                <w:rFonts w:ascii="Garamond" w:hAnsi="Garamond" w:cstheme="minorHAnsi"/>
                <w:b w:val="0"/>
              </w:rPr>
            </w:pPr>
            <w:r w:rsidRPr="00A5626D">
              <w:rPr>
                <w:rFonts w:ascii="Garamond" w:hAnsi="Garamond"/>
                <w:b w:val="0"/>
                <w:highlight w:val="yellow"/>
              </w:rPr>
              <w:t>В случае завершения реорганизации участника оптового рынка после осуществления расчетов, предусмотренных п. 9.11, приложениями 6 и 7 настоящего Регламента, а также направления данных, предусмотренных пп. 6.8.4.1, 6.8.4.2 Регламента аттестации генерирующего оборудования (Приложение № 19.2 к Договору о присоединении к торговой системе оптового рынка), повторное выполнение указанных расчетов и направление данных КО не производится.</w:t>
            </w:r>
          </w:p>
        </w:tc>
        <w:tc>
          <w:tcPr>
            <w:tcW w:w="7088" w:type="dxa"/>
          </w:tcPr>
          <w:p w14:paraId="26D5575B" w14:textId="77777777" w:rsidR="00295C6D" w:rsidRPr="00A5626D" w:rsidRDefault="00295C6D" w:rsidP="00647FA0">
            <w:pPr>
              <w:pStyle w:val="2"/>
              <w:widowControl/>
              <w:numPr>
                <w:ilvl w:val="0"/>
                <w:numId w:val="0"/>
              </w:numPr>
              <w:tabs>
                <w:tab w:val="left" w:pos="1134"/>
                <w:tab w:val="left" w:pos="7938"/>
              </w:tabs>
              <w:suppressAutoHyphens w:val="0"/>
              <w:autoSpaceDE/>
              <w:spacing w:before="120" w:after="120" w:line="22" w:lineRule="atLeast"/>
              <w:ind w:firstLine="601"/>
              <w:jc w:val="both"/>
              <w:rPr>
                <w:rFonts w:ascii="Garamond" w:hAnsi="Garamond" w:cstheme="minorHAnsi"/>
                <w:b w:val="0"/>
                <w:highlight w:val="yellow"/>
              </w:rPr>
            </w:pPr>
            <w:r w:rsidRPr="00A5626D">
              <w:rPr>
                <w:rFonts w:ascii="Garamond" w:hAnsi="Garamond" w:cstheme="minorHAnsi"/>
                <w:b w:val="0"/>
                <w:highlight w:val="yellow"/>
              </w:rPr>
              <w:lastRenderedPageBreak/>
              <w:t>Поставщики электроэнергии формируют акт учета (оборота) по ГТП генерации (макет 51020) согласно следующему порядку:</w:t>
            </w:r>
          </w:p>
          <w:p w14:paraId="61850B28" w14:textId="77777777" w:rsidR="00295C6D" w:rsidRPr="00A5626D" w:rsidRDefault="00295C6D" w:rsidP="00647FA0">
            <w:pPr>
              <w:pStyle w:val="ac"/>
              <w:numPr>
                <w:ilvl w:val="0"/>
                <w:numId w:val="258"/>
              </w:numPr>
              <w:tabs>
                <w:tab w:val="left" w:pos="720"/>
                <w:tab w:val="left" w:pos="1080"/>
                <w:tab w:val="left" w:pos="1134"/>
                <w:tab w:val="left" w:pos="7938"/>
              </w:tabs>
              <w:spacing w:before="120" w:after="120" w:line="22" w:lineRule="atLeast"/>
              <w:ind w:left="0" w:firstLine="601"/>
              <w:contextualSpacing/>
              <w:jc w:val="both"/>
              <w:rPr>
                <w:rFonts w:ascii="Garamond" w:hAnsi="Garamond" w:cstheme="minorHAnsi"/>
                <w:sz w:val="22"/>
                <w:szCs w:val="22"/>
                <w:highlight w:val="yellow"/>
              </w:rPr>
            </w:pPr>
            <w:r w:rsidRPr="00A5626D">
              <w:rPr>
                <w:rFonts w:ascii="Garamond" w:hAnsi="Garamond" w:cstheme="minorHAnsi"/>
                <w:sz w:val="22"/>
                <w:szCs w:val="22"/>
                <w:highlight w:val="yellow"/>
              </w:rPr>
              <w:t>на официальном сайте КО в разделе «Данные АИИС» поставщики электроэнергии в срок до 15:00 (по московскому времени) 4-го числа месяца, следующего за отчетным, определяют часовые временные интервалы в пределах отчетного периода, по которым значения учетных показателей по ГТП генерации будут включены в акт учета (оборота) по ГТП генерации (макет 51020) после его размещения со стороны КО;</w:t>
            </w:r>
          </w:p>
          <w:p w14:paraId="4809FA36" w14:textId="77777777" w:rsidR="00295C6D" w:rsidRPr="00A5626D" w:rsidRDefault="00295C6D" w:rsidP="00647FA0">
            <w:pPr>
              <w:pStyle w:val="ac"/>
              <w:numPr>
                <w:ilvl w:val="0"/>
                <w:numId w:val="258"/>
              </w:numPr>
              <w:tabs>
                <w:tab w:val="left" w:pos="720"/>
                <w:tab w:val="left" w:pos="1080"/>
                <w:tab w:val="left" w:pos="1134"/>
                <w:tab w:val="left" w:pos="7938"/>
              </w:tabs>
              <w:spacing w:before="120" w:after="120" w:line="22" w:lineRule="atLeast"/>
              <w:ind w:left="0" w:firstLine="601"/>
              <w:contextualSpacing/>
              <w:jc w:val="both"/>
              <w:rPr>
                <w:rFonts w:ascii="Garamond" w:hAnsi="Garamond" w:cstheme="minorHAnsi"/>
                <w:sz w:val="22"/>
                <w:szCs w:val="22"/>
                <w:highlight w:val="yellow"/>
              </w:rPr>
            </w:pPr>
            <w:r w:rsidRPr="00A5626D">
              <w:rPr>
                <w:rFonts w:ascii="Garamond" w:hAnsi="Garamond" w:cstheme="minorHAnsi"/>
                <w:sz w:val="22"/>
                <w:szCs w:val="22"/>
                <w:highlight w:val="yellow"/>
              </w:rPr>
              <w:t xml:space="preserve">на официальном сайте КО в разделе «Данные АИИС» поставщики электроэнергии 5-го числа месяца, следующего за отчетным, согласовывают (путем подписания ЭП размещенного акта учета (оборота) по ГТП генерации (макет 51020)) значения учетных показателей по ГТП генерации, рассчитанные в соответствии с алгоритмом, указанным в действующем ПСИ, на основании результатов измерений, сформированных и направленных в соответствии с Приложением № 11.1.1 к </w:t>
            </w:r>
            <w:r w:rsidRPr="00A5626D">
              <w:rPr>
                <w:rFonts w:ascii="Garamond" w:hAnsi="Garamond" w:cstheme="minorHAnsi"/>
                <w:i/>
                <w:sz w:val="22"/>
                <w:szCs w:val="22"/>
                <w:highlight w:val="yellow"/>
              </w:rPr>
              <w:t xml:space="preserve">Положению о порядке получения статуса субъекта оптового рынка и ведения реестра </w:t>
            </w:r>
            <w:r w:rsidRPr="00A5626D">
              <w:rPr>
                <w:rFonts w:ascii="Garamond" w:hAnsi="Garamond" w:cstheme="minorHAnsi"/>
                <w:i/>
                <w:sz w:val="22"/>
                <w:szCs w:val="22"/>
                <w:highlight w:val="yellow"/>
              </w:rPr>
              <w:lastRenderedPageBreak/>
              <w:t>субъектов оптового рынка</w:t>
            </w:r>
            <w:r w:rsidRPr="00A5626D">
              <w:rPr>
                <w:rFonts w:ascii="Garamond" w:hAnsi="Garamond" w:cstheme="minorHAnsi"/>
                <w:sz w:val="22"/>
                <w:szCs w:val="22"/>
                <w:highlight w:val="yellow"/>
              </w:rPr>
              <w:t xml:space="preserve"> (Приложение № 1.1 к </w:t>
            </w:r>
            <w:r w:rsidRPr="00A5626D">
              <w:rPr>
                <w:rFonts w:ascii="Garamond" w:hAnsi="Garamond" w:cstheme="minorHAnsi"/>
                <w:i/>
                <w:sz w:val="22"/>
                <w:szCs w:val="22"/>
                <w:highlight w:val="yellow"/>
              </w:rPr>
              <w:t>Договору о присоединении к торговой системе оптового рынка</w:t>
            </w:r>
            <w:r w:rsidRPr="00A5626D">
              <w:rPr>
                <w:rFonts w:ascii="Garamond" w:hAnsi="Garamond" w:cstheme="minorHAnsi"/>
                <w:sz w:val="22"/>
                <w:szCs w:val="22"/>
                <w:highlight w:val="yellow"/>
              </w:rPr>
              <w:t>). В случае если сформированный поставщиком акт учета (оборота) по ГТП генерации (макет 51020) по состоянию на 00:00 (по московскому времени) 5-го числа месяца, следующего за отчетным, не размещен на официальном сайте КО в разделе «Данные АИИС» (в случаях, когда вышеуказанный акт подлежит размещению в соответствии с требованиями настоящего Регламента), представитель поставщика должен связаться с представителем КО, ответственным за прием информации, с целью локализации и устранения проблемы.</w:t>
            </w:r>
          </w:p>
          <w:p w14:paraId="41D0CD0C" w14:textId="77777777" w:rsidR="00295C6D" w:rsidRPr="00A5626D" w:rsidRDefault="00295C6D" w:rsidP="00647FA0">
            <w:pPr>
              <w:tabs>
                <w:tab w:val="left" w:pos="720"/>
                <w:tab w:val="left" w:pos="1080"/>
                <w:tab w:val="left" w:pos="1134"/>
                <w:tab w:val="left" w:pos="7938"/>
              </w:tabs>
              <w:spacing w:before="120" w:after="120" w:line="22" w:lineRule="atLeast"/>
              <w:ind w:firstLine="629"/>
              <w:jc w:val="both"/>
              <w:rPr>
                <w:rFonts w:ascii="Garamond" w:hAnsi="Garamond" w:cstheme="minorHAnsi"/>
                <w:sz w:val="22"/>
                <w:szCs w:val="22"/>
                <w:highlight w:val="yellow"/>
              </w:rPr>
            </w:pPr>
            <w:r w:rsidRPr="00A5626D">
              <w:rPr>
                <w:rFonts w:ascii="Garamond" w:hAnsi="Garamond" w:cstheme="minorHAnsi"/>
                <w:sz w:val="22"/>
                <w:szCs w:val="22"/>
                <w:highlight w:val="yellow"/>
              </w:rPr>
              <w:t>В случае необходимости согласования значений учетных показателей по ГТП генерации ранее 5-го числа месяца, следующего за отчетным (но не ранее 1-го числа месяца, следующего за отчетным), поставщик электроэнергии после определения часовых временных интервалов в пределах отчетного периода, по которым значения учетных показателей по ГТП генерации будут включены в акт учета (оборота) по ГТП генерации (макет 51020), на официальном сайте КО в разделе «Данные АИИС»:</w:t>
            </w:r>
          </w:p>
          <w:p w14:paraId="025720A0" w14:textId="77777777" w:rsidR="00295C6D" w:rsidRPr="00A5626D" w:rsidRDefault="00295C6D" w:rsidP="00647FA0">
            <w:pPr>
              <w:pStyle w:val="ac"/>
              <w:numPr>
                <w:ilvl w:val="0"/>
                <w:numId w:val="293"/>
              </w:numPr>
              <w:tabs>
                <w:tab w:val="left" w:pos="567"/>
                <w:tab w:val="left" w:pos="1134"/>
                <w:tab w:val="left" w:pos="7938"/>
              </w:tabs>
              <w:spacing w:before="120" w:after="120" w:line="22" w:lineRule="atLeast"/>
              <w:ind w:left="0" w:firstLine="629"/>
              <w:contextualSpacing/>
              <w:jc w:val="both"/>
              <w:rPr>
                <w:rFonts w:ascii="Garamond" w:hAnsi="Garamond" w:cstheme="minorHAnsi"/>
                <w:sz w:val="22"/>
                <w:szCs w:val="22"/>
                <w:highlight w:val="yellow"/>
              </w:rPr>
            </w:pPr>
            <w:r w:rsidRPr="00A5626D">
              <w:rPr>
                <w:rFonts w:ascii="Garamond" w:hAnsi="Garamond" w:cstheme="minorHAnsi"/>
                <w:sz w:val="22"/>
                <w:szCs w:val="22"/>
                <w:highlight w:val="yellow"/>
              </w:rPr>
              <w:t xml:space="preserve">подписывает с использованием ЭП согласие на закрытие приема результатов измерений от АИИС КУЭ (макет 51019). Согласие на закрытие приема результатов измерений от АИИС КУЭ (макет 51019) подписывается по ГТП генерации, по которой требуется сформировать акт учета (оборота) по ГТП генерации (макет 51020). После подписания поставщиком электроэнергии согласия на закрытие приема результатов измерений от АИИС КУЭ (макет 51019) КО прекращает прием результатов измерений в формате макетов 80020 (80040) по группе (области) передаваемой информации «area», сформированной в отношении вышеуказанной ГТП генерации, а также по иным относящимся к тому же атрибуту АИИС группам (областям) передаваемой информации «area», в состав которых входит хотя бы один измерительный канал точки измерений, включенный в состав вышеуказанной группы (области) передаваемой информации «area» (сформированной в отношении ГТП генерации, по которой подписано согласие на закрытие приема результатов измерений от АИИС КУЭ (макет 51019)). Одновременно с этим КО блокирует на официальном сайте КО в разделе «Данные АИИС» возможность корректировки поставщиком часовых временных интервалов в пределах отчетного периода, по которым значения учетных показателей </w:t>
            </w:r>
            <w:r w:rsidRPr="00A5626D">
              <w:rPr>
                <w:rFonts w:ascii="Garamond" w:hAnsi="Garamond" w:cstheme="minorHAnsi"/>
                <w:sz w:val="22"/>
                <w:szCs w:val="22"/>
                <w:highlight w:val="yellow"/>
              </w:rPr>
              <w:lastRenderedPageBreak/>
              <w:t>по ГТП генерации будут включены в акт учета (оборота) по ГТП генерации (макет 51020).</w:t>
            </w:r>
          </w:p>
          <w:p w14:paraId="638B56BD" w14:textId="77777777" w:rsidR="00295C6D" w:rsidRPr="00A5626D" w:rsidRDefault="00295C6D" w:rsidP="00647FA0">
            <w:pPr>
              <w:tabs>
                <w:tab w:val="left" w:pos="720"/>
                <w:tab w:val="left" w:pos="1080"/>
                <w:tab w:val="left" w:pos="1134"/>
                <w:tab w:val="left" w:pos="7938"/>
              </w:tabs>
              <w:spacing w:before="120" w:after="120" w:line="22" w:lineRule="atLeast"/>
              <w:ind w:firstLine="629"/>
              <w:jc w:val="both"/>
              <w:rPr>
                <w:rFonts w:ascii="Garamond" w:hAnsi="Garamond" w:cstheme="minorHAnsi"/>
                <w:sz w:val="22"/>
                <w:szCs w:val="22"/>
                <w:highlight w:val="yellow"/>
              </w:rPr>
            </w:pPr>
            <w:r w:rsidRPr="00A5626D">
              <w:rPr>
                <w:rFonts w:ascii="Garamond" w:hAnsi="Garamond" w:cstheme="minorHAnsi"/>
                <w:sz w:val="22"/>
                <w:szCs w:val="22"/>
                <w:highlight w:val="yellow"/>
              </w:rPr>
              <w:t xml:space="preserve">После подписания согласия на закрытие приема результатов измерений от АИИС КУЭ (макет 51019) поставщик электроэнергии не должен осуществлять передачу результатов измерений в формате макетов 80020 (80040) по группе (области) передаваемой информации «area», сформированной в отношении ГТП генерации, по которой подписано согласие на закрытие приема результатов измерений от АИИС КУЭ (макет 51019), а также по иным относящимся к тому же атрибуту АИИС группам (областям) передаваемой информации «area», в состав которых входит хотя бы один измерительный канал точки измерений, включенный в состав вышеуказанной группы (области) передаваемой информации «area» (сформированной в отношении ГТП генерации, по которой подписано согласие на закрытие приема результатов измерений от АИИС КУЭ (макет 51019)). Ответственность за возможное использование КО в расчетах результатов измерений в формате макетов 80020 (80040) в отношении вышеуказанных групп (областей) передаваемой информации «area», направленных после подписания поставщиком электроэнергии согласия на закрытие приема результатов измерений от АИИС КУЭ (макет 51019), возлагается на вышеуказанного поставщика электроэнергии; </w:t>
            </w:r>
          </w:p>
          <w:p w14:paraId="738B8ED7" w14:textId="77777777" w:rsidR="00295C6D" w:rsidRPr="00A5626D" w:rsidRDefault="00295C6D" w:rsidP="00647FA0">
            <w:pPr>
              <w:pStyle w:val="ac"/>
              <w:numPr>
                <w:ilvl w:val="0"/>
                <w:numId w:val="293"/>
              </w:numPr>
              <w:tabs>
                <w:tab w:val="left" w:pos="567"/>
                <w:tab w:val="left" w:pos="1134"/>
                <w:tab w:val="left" w:pos="7938"/>
              </w:tabs>
              <w:spacing w:before="120" w:after="120" w:line="22" w:lineRule="atLeast"/>
              <w:ind w:left="0" w:firstLine="629"/>
              <w:contextualSpacing/>
              <w:jc w:val="both"/>
              <w:rPr>
                <w:rFonts w:ascii="Garamond" w:hAnsi="Garamond" w:cstheme="minorHAnsi"/>
                <w:sz w:val="22"/>
                <w:szCs w:val="22"/>
                <w:highlight w:val="yellow"/>
              </w:rPr>
            </w:pPr>
            <w:r w:rsidRPr="00A5626D">
              <w:rPr>
                <w:rFonts w:ascii="Garamond" w:hAnsi="Garamond" w:cstheme="minorHAnsi"/>
                <w:sz w:val="22"/>
                <w:szCs w:val="22"/>
                <w:highlight w:val="yellow"/>
              </w:rPr>
              <w:t xml:space="preserve">согласовывает (путем подписания ЭП размещенного акта учета (оборота) по ГТП генерации (макет 51020)) значения учетных показателей по ГТП генерации, рассчитанные в соответствии с алгоритмом, указанным в действующем ПСИ, на основании результатов измерений, сформированных и направленных в соответствии с Приложением № 11.1.1 к </w:t>
            </w:r>
            <w:r w:rsidRPr="00A5626D">
              <w:rPr>
                <w:rFonts w:ascii="Garamond" w:hAnsi="Garamond" w:cstheme="minorHAnsi"/>
                <w:i/>
                <w:sz w:val="22"/>
                <w:szCs w:val="22"/>
                <w:highlight w:val="yellow"/>
              </w:rPr>
              <w:t>Положению о порядке получения статуса субъекта оптового рынка и ведения реестра субъектов оптового рынка</w:t>
            </w:r>
            <w:r w:rsidRPr="00A5626D">
              <w:rPr>
                <w:rFonts w:ascii="Garamond" w:hAnsi="Garamond" w:cstheme="minorHAnsi"/>
                <w:sz w:val="22"/>
                <w:szCs w:val="22"/>
                <w:highlight w:val="yellow"/>
              </w:rPr>
              <w:t xml:space="preserve"> (Приложение № 1.1 к </w:t>
            </w:r>
            <w:r w:rsidRPr="00A5626D">
              <w:rPr>
                <w:rFonts w:ascii="Garamond" w:hAnsi="Garamond" w:cstheme="minorHAnsi"/>
                <w:i/>
                <w:sz w:val="22"/>
                <w:szCs w:val="22"/>
                <w:highlight w:val="yellow"/>
              </w:rPr>
              <w:t>Договору о присоединении к торговой системе оптового рынка</w:t>
            </w:r>
            <w:r w:rsidRPr="00A5626D">
              <w:rPr>
                <w:rFonts w:ascii="Garamond" w:hAnsi="Garamond" w:cstheme="minorHAnsi"/>
                <w:sz w:val="22"/>
                <w:szCs w:val="22"/>
                <w:highlight w:val="yellow"/>
              </w:rPr>
              <w:t>). Размещение акта учета (оборота) по ГТП генерации (макет 51020) осуществляется КО в течение 120 (ста двадцати) минут после подписания поставщиком электроэнергии согласия на закрытие приема результатов измерений от АИИС КУЭ (макет 51019) по ГТП генерации. При отсутствии размещенного акта учета (оборота) по ГТП генерации (макет 51020) по истечении 120 минут после подписания поставщиком электроэнергии согласия на закрытие приема результатов измерений от АИИС КУЭ (макет 51019) представитель поставщика должен связаться с представителем КО, ответственным за прием информации, с целью локализации и устранения проблемы.</w:t>
            </w:r>
          </w:p>
          <w:p w14:paraId="4BF3BA74" w14:textId="77777777" w:rsidR="00295C6D" w:rsidRPr="00A5626D" w:rsidRDefault="00295C6D" w:rsidP="00647FA0">
            <w:pPr>
              <w:tabs>
                <w:tab w:val="left" w:pos="567"/>
                <w:tab w:val="left" w:pos="720"/>
                <w:tab w:val="left" w:pos="1134"/>
                <w:tab w:val="left" w:pos="7938"/>
              </w:tabs>
              <w:spacing w:before="120" w:after="120" w:line="22" w:lineRule="atLeast"/>
              <w:ind w:firstLine="629"/>
              <w:jc w:val="both"/>
              <w:rPr>
                <w:rFonts w:ascii="Garamond" w:hAnsi="Garamond" w:cstheme="minorHAnsi"/>
                <w:sz w:val="22"/>
                <w:szCs w:val="22"/>
                <w:highlight w:val="yellow"/>
              </w:rPr>
            </w:pPr>
            <w:r w:rsidRPr="00A5626D">
              <w:rPr>
                <w:rFonts w:ascii="Garamond" w:hAnsi="Garamond" w:cstheme="minorHAnsi"/>
                <w:sz w:val="22"/>
                <w:szCs w:val="22"/>
                <w:highlight w:val="yellow"/>
              </w:rPr>
              <w:lastRenderedPageBreak/>
              <w:t>Описание формата и пример макета 51019 приведены в приложении 2.1 к настоящему Регламенту.</w:t>
            </w:r>
          </w:p>
          <w:p w14:paraId="6044C0CA" w14:textId="77777777" w:rsidR="00295C6D" w:rsidRPr="00A5626D" w:rsidRDefault="00295C6D" w:rsidP="00647FA0">
            <w:pPr>
              <w:tabs>
                <w:tab w:val="left" w:pos="567"/>
                <w:tab w:val="left" w:pos="720"/>
                <w:tab w:val="left" w:pos="1134"/>
                <w:tab w:val="left" w:pos="7938"/>
              </w:tabs>
              <w:spacing w:before="120" w:after="120" w:line="22" w:lineRule="atLeast"/>
              <w:ind w:firstLine="629"/>
              <w:jc w:val="both"/>
              <w:rPr>
                <w:rFonts w:ascii="Garamond" w:hAnsi="Garamond" w:cstheme="minorHAnsi"/>
                <w:sz w:val="22"/>
                <w:szCs w:val="22"/>
                <w:highlight w:val="yellow"/>
              </w:rPr>
            </w:pPr>
            <w:r w:rsidRPr="00A5626D">
              <w:rPr>
                <w:rFonts w:ascii="Garamond" w:hAnsi="Garamond" w:cstheme="minorHAnsi"/>
                <w:sz w:val="22"/>
                <w:szCs w:val="22"/>
                <w:highlight w:val="yellow"/>
              </w:rPr>
              <w:t>В акте учета (оборота) по ГТП генерации (макет 51020) расчет почасовых значений произведенной электроэнергии осуществляется в соответствии со следующим порядком:</w:t>
            </w:r>
          </w:p>
          <w:p w14:paraId="48A4FE9E" w14:textId="18656427" w:rsidR="00295C6D" w:rsidRPr="00A5626D" w:rsidRDefault="00295C6D" w:rsidP="00E6095F">
            <w:pPr>
              <w:pStyle w:val="ac"/>
              <w:numPr>
                <w:ilvl w:val="0"/>
                <w:numId w:val="346"/>
              </w:numPr>
              <w:tabs>
                <w:tab w:val="left" w:pos="567"/>
                <w:tab w:val="left" w:pos="720"/>
                <w:tab w:val="left" w:pos="1134"/>
                <w:tab w:val="left" w:pos="7938"/>
              </w:tabs>
              <w:spacing w:before="120" w:after="120" w:line="22" w:lineRule="atLeast"/>
              <w:ind w:left="0" w:firstLine="606"/>
              <w:contextualSpacing/>
              <w:jc w:val="both"/>
              <w:rPr>
                <w:rFonts w:ascii="Garamond" w:hAnsi="Garamond" w:cstheme="minorHAnsi"/>
                <w:sz w:val="22"/>
                <w:szCs w:val="22"/>
                <w:highlight w:val="yellow"/>
              </w:rPr>
            </w:pPr>
            <w:r w:rsidRPr="00A5626D">
              <w:rPr>
                <w:rFonts w:ascii="Garamond" w:hAnsi="Garamond" w:cstheme="minorHAnsi"/>
                <w:sz w:val="22"/>
                <w:szCs w:val="22"/>
                <w:highlight w:val="yellow"/>
              </w:rPr>
              <w:t>вычисляются получасовые значения потерь (в кВт∙ч) от точки измерений до точки поставки;</w:t>
            </w:r>
            <w:r w:rsidR="009B5F03" w:rsidRPr="00A5626D">
              <w:rPr>
                <w:rFonts w:ascii="Garamond" w:hAnsi="Garamond" w:cstheme="minorHAnsi"/>
                <w:sz w:val="22"/>
                <w:szCs w:val="22"/>
                <w:highlight w:val="yellow"/>
              </w:rPr>
              <w:t xml:space="preserve"> </w:t>
            </w:r>
          </w:p>
          <w:p w14:paraId="7CC8C930" w14:textId="77777777" w:rsidR="00295C6D" w:rsidRPr="00A5626D" w:rsidRDefault="00295C6D" w:rsidP="00E6095F">
            <w:pPr>
              <w:pStyle w:val="ac"/>
              <w:numPr>
                <w:ilvl w:val="0"/>
                <w:numId w:val="346"/>
              </w:numPr>
              <w:tabs>
                <w:tab w:val="left" w:pos="567"/>
                <w:tab w:val="left" w:pos="720"/>
                <w:tab w:val="left" w:pos="1134"/>
                <w:tab w:val="left" w:pos="7938"/>
              </w:tabs>
              <w:spacing w:before="120" w:after="120" w:line="22" w:lineRule="atLeast"/>
              <w:ind w:left="0" w:firstLine="629"/>
              <w:contextualSpacing/>
              <w:jc w:val="both"/>
              <w:rPr>
                <w:rFonts w:ascii="Garamond" w:hAnsi="Garamond" w:cstheme="minorHAnsi"/>
                <w:sz w:val="22"/>
                <w:szCs w:val="22"/>
                <w:highlight w:val="yellow"/>
              </w:rPr>
            </w:pPr>
            <w:r w:rsidRPr="00A5626D">
              <w:rPr>
                <w:rFonts w:ascii="Garamond" w:hAnsi="Garamond" w:cstheme="minorHAnsi"/>
                <w:sz w:val="22"/>
                <w:szCs w:val="22"/>
                <w:highlight w:val="yellow"/>
              </w:rPr>
              <w:t>вычисляются часовые величины электроэнергии в точке поставки (как сумма за два получаса в пределах одного часа);</w:t>
            </w:r>
          </w:p>
          <w:p w14:paraId="3DDB35D1" w14:textId="77777777" w:rsidR="00295C6D" w:rsidRPr="00A5626D" w:rsidRDefault="00295C6D" w:rsidP="00E6095F">
            <w:pPr>
              <w:pStyle w:val="ac"/>
              <w:numPr>
                <w:ilvl w:val="0"/>
                <w:numId w:val="346"/>
              </w:numPr>
              <w:tabs>
                <w:tab w:val="left" w:pos="567"/>
                <w:tab w:val="left" w:pos="720"/>
                <w:tab w:val="left" w:pos="1134"/>
                <w:tab w:val="left" w:pos="7938"/>
              </w:tabs>
              <w:spacing w:before="120" w:after="120" w:line="22" w:lineRule="atLeast"/>
              <w:ind w:left="0" w:firstLine="629"/>
              <w:contextualSpacing/>
              <w:jc w:val="both"/>
              <w:rPr>
                <w:rFonts w:ascii="Garamond" w:hAnsi="Garamond" w:cstheme="minorHAnsi"/>
                <w:sz w:val="22"/>
                <w:szCs w:val="22"/>
                <w:highlight w:val="yellow"/>
              </w:rPr>
            </w:pPr>
            <w:r w:rsidRPr="00A5626D">
              <w:rPr>
                <w:rFonts w:ascii="Garamond" w:hAnsi="Garamond" w:cstheme="minorHAnsi"/>
                <w:sz w:val="22"/>
                <w:szCs w:val="22"/>
                <w:highlight w:val="yellow"/>
              </w:rPr>
              <w:t>вычисляются часовые значения величины произведенной электроэнергии в ГТП генерации на основании часовых значений в точках поставки;</w:t>
            </w:r>
          </w:p>
          <w:p w14:paraId="1DAC64AD" w14:textId="77777777" w:rsidR="00295C6D" w:rsidRPr="00A5626D" w:rsidRDefault="00295C6D" w:rsidP="00E6095F">
            <w:pPr>
              <w:pStyle w:val="ac"/>
              <w:numPr>
                <w:ilvl w:val="0"/>
                <w:numId w:val="346"/>
              </w:numPr>
              <w:tabs>
                <w:tab w:val="left" w:pos="567"/>
                <w:tab w:val="left" w:pos="720"/>
                <w:tab w:val="left" w:pos="1134"/>
                <w:tab w:val="left" w:pos="7938"/>
              </w:tabs>
              <w:spacing w:before="120" w:after="120" w:line="22" w:lineRule="atLeast"/>
              <w:ind w:left="0" w:firstLine="629"/>
              <w:contextualSpacing/>
              <w:jc w:val="both"/>
              <w:rPr>
                <w:rFonts w:ascii="Garamond" w:hAnsi="Garamond" w:cstheme="minorHAnsi"/>
                <w:sz w:val="22"/>
                <w:szCs w:val="22"/>
                <w:highlight w:val="yellow"/>
              </w:rPr>
            </w:pPr>
            <w:r w:rsidRPr="00A5626D">
              <w:rPr>
                <w:rFonts w:ascii="Garamond" w:hAnsi="Garamond" w:cstheme="minorHAnsi"/>
                <w:sz w:val="22"/>
                <w:szCs w:val="22"/>
                <w:highlight w:val="yellow"/>
              </w:rPr>
              <w:t>округляются до целых часовые значения величины произведенной электроэнергии в ГТП генерации.</w:t>
            </w:r>
          </w:p>
          <w:p w14:paraId="799EFAD7" w14:textId="77777777" w:rsidR="00295C6D" w:rsidRPr="00A5626D" w:rsidRDefault="00295C6D" w:rsidP="00647FA0">
            <w:pPr>
              <w:tabs>
                <w:tab w:val="left" w:pos="720"/>
                <w:tab w:val="left" w:pos="1080"/>
                <w:tab w:val="left" w:pos="1134"/>
                <w:tab w:val="left" w:pos="7938"/>
              </w:tabs>
              <w:spacing w:before="120" w:after="120" w:line="22" w:lineRule="atLeast"/>
              <w:ind w:firstLine="629"/>
              <w:jc w:val="both"/>
              <w:rPr>
                <w:rFonts w:ascii="Garamond" w:hAnsi="Garamond" w:cstheme="minorHAnsi"/>
                <w:sz w:val="22"/>
                <w:szCs w:val="22"/>
                <w:highlight w:val="yellow"/>
              </w:rPr>
            </w:pPr>
            <w:r w:rsidRPr="00A5626D">
              <w:rPr>
                <w:rFonts w:ascii="Garamond" w:hAnsi="Garamond" w:cstheme="minorHAnsi"/>
                <w:sz w:val="22"/>
                <w:szCs w:val="22"/>
                <w:highlight w:val="yellow"/>
              </w:rPr>
              <w:t>Применяется следующий алгоритм округления: дробная часть на часовом интервале округляется до целых кВт∙ч по алгебраическим правилам округления – если десятичная часть больше или равна 5, то результат округляется в большую сторону, если меньше, то в меньшую. Разница между неокругленным значением и округленным (остаток от округления) прибавляется к результату измерений на следующем часовом интервале с учетом знака.</w:t>
            </w:r>
          </w:p>
          <w:p w14:paraId="6309FA92" w14:textId="77777777" w:rsidR="00295C6D" w:rsidRPr="00A5626D" w:rsidRDefault="00295C6D" w:rsidP="00647FA0">
            <w:pPr>
              <w:pStyle w:val="2"/>
              <w:numPr>
                <w:ilvl w:val="0"/>
                <w:numId w:val="0"/>
              </w:numPr>
              <w:tabs>
                <w:tab w:val="left" w:pos="1134"/>
                <w:tab w:val="left" w:pos="7938"/>
              </w:tabs>
              <w:suppressAutoHyphens w:val="0"/>
              <w:spacing w:before="120" w:after="120" w:line="22" w:lineRule="atLeast"/>
              <w:ind w:firstLine="743"/>
              <w:jc w:val="both"/>
              <w:rPr>
                <w:rFonts w:ascii="Garamond" w:hAnsi="Garamond" w:cstheme="minorHAnsi"/>
                <w:b w:val="0"/>
              </w:rPr>
            </w:pPr>
            <w:r w:rsidRPr="00A5626D">
              <w:rPr>
                <w:rFonts w:ascii="Garamond" w:hAnsi="Garamond" w:cstheme="minorHAnsi"/>
                <w:b w:val="0"/>
                <w:highlight w:val="yellow"/>
              </w:rPr>
              <w:t>Поставщики электроэнергии в случаях, указанных в п. 7.6 настоящего Регламента, формируют корректирующий акт учета (оборота) по ГТП генерации (макет 51075) и направляют в КО в виде электронного документа (макет 51075), заверенного ЭП.</w:t>
            </w:r>
          </w:p>
        </w:tc>
      </w:tr>
      <w:tr w:rsidR="00295C6D" w:rsidRPr="00A5626D" w14:paraId="49AD2D0F" w14:textId="77777777" w:rsidTr="00647FA0">
        <w:tc>
          <w:tcPr>
            <w:tcW w:w="1060" w:type="dxa"/>
            <w:vAlign w:val="center"/>
          </w:tcPr>
          <w:p w14:paraId="4883FABB" w14:textId="77777777" w:rsidR="00295C6D" w:rsidRPr="00A5626D" w:rsidRDefault="00295C6D" w:rsidP="00E31AE6">
            <w:pPr>
              <w:widowControl w:val="0"/>
              <w:tabs>
                <w:tab w:val="left" w:pos="1134"/>
                <w:tab w:val="left" w:pos="7938"/>
              </w:tabs>
              <w:spacing w:line="22" w:lineRule="atLeast"/>
              <w:jc w:val="both"/>
              <w:rPr>
                <w:rFonts w:ascii="Garamond" w:hAnsi="Garamond"/>
                <w:b/>
                <w:sz w:val="22"/>
                <w:szCs w:val="22"/>
                <w:lang w:eastAsia="en-US"/>
              </w:rPr>
            </w:pPr>
            <w:r w:rsidRPr="00A5626D">
              <w:rPr>
                <w:rFonts w:ascii="Garamond" w:hAnsi="Garamond"/>
                <w:b/>
                <w:sz w:val="22"/>
                <w:szCs w:val="22"/>
                <w:lang w:eastAsia="en-US"/>
              </w:rPr>
              <w:lastRenderedPageBreak/>
              <w:t>7.4</w:t>
            </w:r>
          </w:p>
        </w:tc>
        <w:tc>
          <w:tcPr>
            <w:tcW w:w="6662" w:type="dxa"/>
          </w:tcPr>
          <w:p w14:paraId="0A36C675" w14:textId="77777777" w:rsidR="00295C6D" w:rsidRPr="00A5626D" w:rsidRDefault="00295C6D" w:rsidP="00647FA0">
            <w:pPr>
              <w:tabs>
                <w:tab w:val="num" w:pos="0"/>
                <w:tab w:val="left" w:pos="1134"/>
                <w:tab w:val="left" w:pos="1200"/>
                <w:tab w:val="left" w:pos="7938"/>
              </w:tabs>
              <w:spacing w:before="120" w:after="120"/>
              <w:ind w:firstLine="600"/>
              <w:jc w:val="both"/>
              <w:rPr>
                <w:rFonts w:ascii="Garamond" w:hAnsi="Garamond" w:cstheme="minorHAnsi"/>
                <w:sz w:val="22"/>
                <w:szCs w:val="22"/>
              </w:rPr>
            </w:pPr>
            <w:r w:rsidRPr="00A5626D">
              <w:rPr>
                <w:rFonts w:ascii="Garamond" w:hAnsi="Garamond" w:cstheme="minorHAnsi"/>
                <w:sz w:val="22"/>
                <w:szCs w:val="22"/>
              </w:rPr>
              <w:t>…</w:t>
            </w:r>
          </w:p>
          <w:p w14:paraId="726826E8" w14:textId="77777777" w:rsidR="00295C6D" w:rsidRPr="00A5626D" w:rsidRDefault="00295C6D" w:rsidP="00647FA0">
            <w:pPr>
              <w:tabs>
                <w:tab w:val="num" w:pos="0"/>
                <w:tab w:val="left" w:pos="1134"/>
                <w:tab w:val="left" w:pos="1200"/>
                <w:tab w:val="left" w:pos="7938"/>
              </w:tabs>
              <w:spacing w:before="120" w:after="120"/>
              <w:ind w:firstLine="600"/>
              <w:jc w:val="both"/>
              <w:rPr>
                <w:rFonts w:ascii="Garamond" w:hAnsi="Garamond" w:cstheme="minorHAnsi"/>
                <w:sz w:val="22"/>
                <w:szCs w:val="22"/>
              </w:rPr>
            </w:pPr>
            <w:r w:rsidRPr="00A5626D">
              <w:rPr>
                <w:rFonts w:ascii="Garamond" w:hAnsi="Garamond" w:cstheme="minorHAnsi"/>
                <w:sz w:val="22"/>
                <w:szCs w:val="22"/>
              </w:rPr>
              <w:t xml:space="preserve">Участники оптового рынка, в ГТП потребления которых входят внутренние сечения, в случаях, предусмотренных п. </w:t>
            </w:r>
            <w:r w:rsidRPr="00A5626D">
              <w:rPr>
                <w:rFonts w:ascii="Garamond" w:hAnsi="Garamond" w:cstheme="minorHAnsi"/>
                <w:sz w:val="22"/>
                <w:szCs w:val="22"/>
                <w:highlight w:val="yellow"/>
              </w:rPr>
              <w:t>3.2 или п. 3.4</w:t>
            </w:r>
            <w:r w:rsidRPr="00A5626D">
              <w:rPr>
                <w:rFonts w:ascii="Garamond" w:hAnsi="Garamond" w:cstheme="minorHAnsi"/>
                <w:sz w:val="22"/>
                <w:szCs w:val="22"/>
              </w:rPr>
              <w:t xml:space="preserve"> настоящего Регламента, формируют корректирующий акт учета перетоков по сечению коммерческого учета (макет 51075) и направляют в КО не позднее 6-го числа месяца, следующего за отчетным, в виде электронного документа (макет 51075), заверенного ЭП.</w:t>
            </w:r>
          </w:p>
        </w:tc>
        <w:tc>
          <w:tcPr>
            <w:tcW w:w="7088" w:type="dxa"/>
          </w:tcPr>
          <w:p w14:paraId="20A97929" w14:textId="77777777" w:rsidR="00295C6D" w:rsidRPr="00A5626D" w:rsidRDefault="00295C6D" w:rsidP="00647FA0">
            <w:pPr>
              <w:tabs>
                <w:tab w:val="num" w:pos="0"/>
                <w:tab w:val="left" w:pos="1134"/>
                <w:tab w:val="left" w:pos="1200"/>
                <w:tab w:val="left" w:pos="7938"/>
              </w:tabs>
              <w:spacing w:before="120" w:after="120"/>
              <w:ind w:firstLine="600"/>
              <w:jc w:val="both"/>
              <w:rPr>
                <w:rFonts w:ascii="Garamond" w:hAnsi="Garamond" w:cstheme="minorHAnsi"/>
                <w:sz w:val="22"/>
                <w:szCs w:val="22"/>
              </w:rPr>
            </w:pPr>
            <w:r w:rsidRPr="00A5626D">
              <w:rPr>
                <w:rFonts w:ascii="Garamond" w:hAnsi="Garamond" w:cstheme="minorHAnsi"/>
                <w:sz w:val="22"/>
                <w:szCs w:val="22"/>
              </w:rPr>
              <w:t>…</w:t>
            </w:r>
          </w:p>
          <w:p w14:paraId="2099DC82" w14:textId="77777777" w:rsidR="00295C6D" w:rsidRPr="00A5626D" w:rsidRDefault="00295C6D" w:rsidP="00647FA0">
            <w:pPr>
              <w:pStyle w:val="2"/>
              <w:numPr>
                <w:ilvl w:val="0"/>
                <w:numId w:val="0"/>
              </w:numPr>
              <w:tabs>
                <w:tab w:val="left" w:pos="1134"/>
                <w:tab w:val="left" w:pos="7938"/>
              </w:tabs>
              <w:suppressAutoHyphens w:val="0"/>
              <w:spacing w:before="120" w:after="120" w:line="22" w:lineRule="atLeast"/>
              <w:ind w:firstLine="601"/>
              <w:jc w:val="both"/>
              <w:rPr>
                <w:rFonts w:ascii="Garamond" w:hAnsi="Garamond" w:cstheme="minorHAnsi"/>
                <w:b w:val="0"/>
              </w:rPr>
            </w:pPr>
            <w:r w:rsidRPr="00A5626D">
              <w:rPr>
                <w:rFonts w:ascii="Garamond" w:hAnsi="Garamond" w:cstheme="minorHAnsi"/>
                <w:b w:val="0"/>
              </w:rPr>
              <w:t xml:space="preserve">Участники оптового рынка, в ГТП потребления которых входят внутренние сечения, в случаях, предусмотренных п. </w:t>
            </w:r>
            <w:r w:rsidRPr="00A5626D">
              <w:rPr>
                <w:rFonts w:ascii="Garamond" w:hAnsi="Garamond" w:cstheme="minorHAnsi"/>
                <w:b w:val="0"/>
                <w:highlight w:val="yellow"/>
              </w:rPr>
              <w:t>5.4</w:t>
            </w:r>
            <w:r w:rsidRPr="00A5626D">
              <w:rPr>
                <w:rFonts w:ascii="Garamond" w:hAnsi="Garamond" w:cstheme="minorHAnsi"/>
                <w:b w:val="0"/>
              </w:rPr>
              <w:t xml:space="preserve"> настоящего Регламента, формируют корректирующий акт учета перетоков по сечению коммерческого учета (макет 51075) и направляют в КО не позднее 6-го числа месяца, следующего за отчетным, в виде электронного документа (макет 51075), заверенного ЭП.</w:t>
            </w:r>
          </w:p>
        </w:tc>
      </w:tr>
      <w:tr w:rsidR="00295C6D" w:rsidRPr="00A5626D" w14:paraId="7653F4ED" w14:textId="77777777" w:rsidTr="00647FA0">
        <w:tc>
          <w:tcPr>
            <w:tcW w:w="1060" w:type="dxa"/>
            <w:vAlign w:val="center"/>
          </w:tcPr>
          <w:p w14:paraId="13A67D61" w14:textId="77777777" w:rsidR="00295C6D" w:rsidRPr="00A5626D" w:rsidRDefault="00295C6D" w:rsidP="00E31AE6">
            <w:pPr>
              <w:widowControl w:val="0"/>
              <w:tabs>
                <w:tab w:val="left" w:pos="1134"/>
                <w:tab w:val="left" w:pos="7938"/>
              </w:tabs>
              <w:spacing w:line="22" w:lineRule="atLeast"/>
              <w:jc w:val="both"/>
              <w:rPr>
                <w:rFonts w:ascii="Garamond" w:hAnsi="Garamond"/>
                <w:b/>
                <w:sz w:val="22"/>
                <w:szCs w:val="22"/>
                <w:lang w:eastAsia="en-US"/>
              </w:rPr>
            </w:pPr>
            <w:r w:rsidRPr="00A5626D">
              <w:rPr>
                <w:rFonts w:ascii="Garamond" w:hAnsi="Garamond"/>
                <w:b/>
                <w:sz w:val="22"/>
                <w:szCs w:val="22"/>
                <w:lang w:eastAsia="en-US"/>
              </w:rPr>
              <w:lastRenderedPageBreak/>
              <w:t>7.6</w:t>
            </w:r>
          </w:p>
        </w:tc>
        <w:tc>
          <w:tcPr>
            <w:tcW w:w="6662" w:type="dxa"/>
          </w:tcPr>
          <w:p w14:paraId="7524BF69" w14:textId="77777777" w:rsidR="00295C6D" w:rsidRPr="00A5626D" w:rsidRDefault="00295C6D" w:rsidP="00647FA0">
            <w:pPr>
              <w:pStyle w:val="2"/>
              <w:widowControl/>
              <w:numPr>
                <w:ilvl w:val="0"/>
                <w:numId w:val="0"/>
              </w:numPr>
              <w:tabs>
                <w:tab w:val="left" w:pos="1134"/>
                <w:tab w:val="left" w:pos="7938"/>
              </w:tabs>
              <w:suppressAutoHyphens w:val="0"/>
              <w:autoSpaceDE/>
              <w:spacing w:before="120" w:after="120"/>
              <w:ind w:firstLine="629"/>
              <w:jc w:val="both"/>
              <w:rPr>
                <w:rFonts w:ascii="Garamond" w:hAnsi="Garamond" w:cstheme="minorHAnsi"/>
                <w:b w:val="0"/>
              </w:rPr>
            </w:pPr>
            <w:bookmarkStart w:id="122" w:name="_Toc139239943"/>
            <w:r w:rsidRPr="00A5626D">
              <w:rPr>
                <w:rFonts w:ascii="Garamond" w:hAnsi="Garamond" w:cstheme="minorHAnsi"/>
                <w:b w:val="0"/>
              </w:rPr>
              <w:t xml:space="preserve">В период, начиная с 20-го числа отчетного месяца и до 15:00 часов 4-го числа месяца, следующего за отчетным, поставщики электроэнергии согласовывают почасовые значения учетных показателей произведенной электроэнергии по каждой ГТП генерации, рассчитанные согласно алгоритму, указанному в действующем ПСИ по ГТП генерации, сформированном в макете 60000 (60090), на основании результатов измерений, сформированных и направленных в соответствии с порядком, изложенным в Приложении № 11.1.1 к </w:t>
            </w:r>
            <w:r w:rsidRPr="00A5626D">
              <w:rPr>
                <w:rFonts w:ascii="Garamond" w:hAnsi="Garamond" w:cstheme="minorHAnsi"/>
                <w:b w:val="0"/>
                <w:i/>
              </w:rPr>
              <w:t>Положению о порядке получения статуса субъекта оптового рынка и ведения реестра субъектов оптового рынка</w:t>
            </w:r>
            <w:r w:rsidRPr="00A5626D">
              <w:rPr>
                <w:rFonts w:ascii="Garamond" w:hAnsi="Garamond" w:cstheme="minorHAnsi"/>
                <w:b w:val="0"/>
              </w:rPr>
              <w:t xml:space="preserve"> (Приложение № 1.1 к </w:t>
            </w:r>
            <w:r w:rsidRPr="00A5626D">
              <w:rPr>
                <w:rFonts w:ascii="Garamond" w:hAnsi="Garamond" w:cstheme="minorHAnsi"/>
                <w:b w:val="0"/>
                <w:i/>
              </w:rPr>
              <w:t>Договору о присоединении к торговой системе оптового рынка</w:t>
            </w:r>
            <w:r w:rsidRPr="00A5626D">
              <w:rPr>
                <w:rFonts w:ascii="Garamond" w:hAnsi="Garamond" w:cstheme="minorHAnsi"/>
                <w:b w:val="0"/>
              </w:rPr>
              <w:t xml:space="preserve">), для формирования акта учета (оборота) по ГТП генерации (макет 51020) в порядке, предусмотренном п. </w:t>
            </w:r>
            <w:r w:rsidRPr="00A5626D">
              <w:rPr>
                <w:rFonts w:ascii="Garamond" w:hAnsi="Garamond" w:cstheme="minorHAnsi"/>
                <w:b w:val="0"/>
                <w:highlight w:val="yellow"/>
              </w:rPr>
              <w:t>3.9</w:t>
            </w:r>
            <w:r w:rsidRPr="00A5626D">
              <w:rPr>
                <w:rFonts w:ascii="Garamond" w:hAnsi="Garamond" w:cstheme="minorHAnsi"/>
                <w:b w:val="0"/>
              </w:rPr>
              <w:t xml:space="preserve"> настоящего Регламента.</w:t>
            </w:r>
            <w:bookmarkEnd w:id="122"/>
          </w:p>
          <w:p w14:paraId="1DD022CC" w14:textId="77777777" w:rsidR="00295C6D" w:rsidRPr="00A5626D" w:rsidRDefault="00295C6D" w:rsidP="00647FA0">
            <w:pPr>
              <w:tabs>
                <w:tab w:val="num" w:pos="0"/>
                <w:tab w:val="left" w:pos="1134"/>
                <w:tab w:val="left" w:pos="1200"/>
                <w:tab w:val="left" w:pos="7938"/>
              </w:tabs>
              <w:spacing w:before="120" w:after="120"/>
              <w:ind w:firstLine="629"/>
              <w:jc w:val="both"/>
              <w:rPr>
                <w:rFonts w:ascii="Garamond" w:hAnsi="Garamond" w:cstheme="minorHAnsi"/>
                <w:sz w:val="22"/>
                <w:szCs w:val="22"/>
              </w:rPr>
            </w:pPr>
            <w:r w:rsidRPr="00A5626D">
              <w:rPr>
                <w:rFonts w:ascii="Garamond" w:hAnsi="Garamond" w:cstheme="minorHAnsi"/>
                <w:sz w:val="22"/>
                <w:szCs w:val="22"/>
              </w:rPr>
              <w:t xml:space="preserve">Участники оптового рынка, в состав ГТП потребления которых входят внутренние сечения, в период, начиная с 20-го числа отчетного месяца и до 15:00 часов 5-го числа месяца, следующего за отчетным, согласовывают почасовые значения учетных показателей по внутреннему сечению, рассчитанные согласно алгоритму, указанному в действующем ПСИ по внутреннему сечению, сформированном в макете 60000, на основании результатов измерений, сформированных и направленных в соответствии с порядком, изложенным в Приложении № 11.1.1 к </w:t>
            </w:r>
            <w:r w:rsidRPr="00A5626D">
              <w:rPr>
                <w:rFonts w:ascii="Garamond" w:hAnsi="Garamond" w:cstheme="minorHAnsi"/>
                <w:i/>
                <w:sz w:val="22"/>
                <w:szCs w:val="22"/>
              </w:rPr>
              <w:t>Положению о порядке получения статуса субъекта оптового рынка и ведения реестра субъектов оптового рынка</w:t>
            </w:r>
            <w:r w:rsidRPr="00A5626D">
              <w:rPr>
                <w:rFonts w:ascii="Garamond" w:hAnsi="Garamond" w:cstheme="minorHAnsi"/>
                <w:sz w:val="22"/>
                <w:szCs w:val="22"/>
              </w:rPr>
              <w:t xml:space="preserve"> (Приложение № 1.1 к </w:t>
            </w:r>
            <w:r w:rsidRPr="00A5626D">
              <w:rPr>
                <w:rFonts w:ascii="Garamond" w:hAnsi="Garamond" w:cstheme="minorHAnsi"/>
                <w:i/>
                <w:sz w:val="22"/>
                <w:szCs w:val="22"/>
              </w:rPr>
              <w:t>Договору о присоединении к торговой системе оптового рынка</w:t>
            </w:r>
            <w:r w:rsidRPr="00A5626D">
              <w:rPr>
                <w:rFonts w:ascii="Garamond" w:hAnsi="Garamond" w:cstheme="minorHAnsi"/>
                <w:sz w:val="22"/>
                <w:szCs w:val="22"/>
              </w:rPr>
              <w:t>), для формирования акта учета перетоков по сечению коммерческого учета (макет 51020) в порядке, предусмотренном п. 7.4 настоящего Регламента.</w:t>
            </w:r>
          </w:p>
          <w:p w14:paraId="54D3A521" w14:textId="77777777" w:rsidR="00295C6D" w:rsidRPr="00A5626D" w:rsidRDefault="00295C6D" w:rsidP="00647FA0">
            <w:pPr>
              <w:tabs>
                <w:tab w:val="num" w:pos="0"/>
                <w:tab w:val="left" w:pos="1134"/>
                <w:tab w:val="left" w:pos="1200"/>
                <w:tab w:val="left" w:pos="7938"/>
              </w:tabs>
              <w:spacing w:before="120" w:after="120"/>
              <w:ind w:firstLine="629"/>
              <w:jc w:val="both"/>
              <w:rPr>
                <w:rFonts w:ascii="Garamond" w:hAnsi="Garamond" w:cstheme="minorHAnsi"/>
                <w:sz w:val="22"/>
                <w:szCs w:val="22"/>
              </w:rPr>
            </w:pPr>
            <w:r w:rsidRPr="00A5626D">
              <w:rPr>
                <w:rFonts w:ascii="Garamond" w:hAnsi="Garamond" w:cstheme="minorHAnsi"/>
                <w:sz w:val="22"/>
                <w:szCs w:val="22"/>
              </w:rPr>
              <w:t xml:space="preserve">Участники оптового рынка (ФСК) в период начиная с 20-го числа отчетного месяца и до 15:00 часов 5-го числа месяца, следующего за отчетным, согласовывают почасовые значения учетных показателей по сечениям </w:t>
            </w:r>
            <w:r w:rsidRPr="00A5626D">
              <w:rPr>
                <w:rFonts w:ascii="Garamond" w:eastAsia="Calibri" w:hAnsi="Garamond" w:cstheme="minorHAnsi"/>
                <w:sz w:val="22"/>
                <w:szCs w:val="22"/>
                <w:lang w:eastAsia="en-US"/>
              </w:rPr>
              <w:t>коммерческого учета</w:t>
            </w:r>
            <w:r w:rsidRPr="00A5626D">
              <w:rPr>
                <w:rFonts w:ascii="Garamond" w:hAnsi="Garamond" w:cstheme="minorHAnsi"/>
                <w:sz w:val="22"/>
                <w:szCs w:val="22"/>
              </w:rPr>
              <w:t xml:space="preserve">, рассчитанные согласно алгоритму, указанному в действующем ПСИ, сформированном в макете 60090 или 60000, на основании результатов измерений, сформированных и направленных в соответствии с порядком, изложенным в Приложении № 11.1.1 к </w:t>
            </w:r>
            <w:r w:rsidRPr="00A5626D">
              <w:rPr>
                <w:rFonts w:ascii="Garamond" w:hAnsi="Garamond" w:cstheme="minorHAnsi"/>
                <w:i/>
                <w:sz w:val="22"/>
                <w:szCs w:val="22"/>
              </w:rPr>
              <w:t>Положению о порядке получения статуса субъекта оптового рынка и ведения реестра субъектов оптового рынка</w:t>
            </w:r>
            <w:r w:rsidRPr="00A5626D">
              <w:rPr>
                <w:rFonts w:ascii="Garamond" w:hAnsi="Garamond" w:cstheme="minorHAnsi"/>
                <w:sz w:val="22"/>
                <w:szCs w:val="22"/>
              </w:rPr>
              <w:t xml:space="preserve"> (Приложение № 1.1 к </w:t>
            </w:r>
            <w:r w:rsidRPr="00A5626D">
              <w:rPr>
                <w:rFonts w:ascii="Garamond" w:hAnsi="Garamond" w:cstheme="minorHAnsi"/>
                <w:i/>
                <w:sz w:val="22"/>
                <w:szCs w:val="22"/>
              </w:rPr>
              <w:t>Договору о присоединении к торговой системе оптового рынка</w:t>
            </w:r>
            <w:r w:rsidRPr="00A5626D">
              <w:rPr>
                <w:rFonts w:ascii="Garamond" w:hAnsi="Garamond" w:cstheme="minorHAnsi"/>
                <w:sz w:val="22"/>
                <w:szCs w:val="22"/>
              </w:rPr>
              <w:t xml:space="preserve">), для формирования акта </w:t>
            </w:r>
            <w:r w:rsidRPr="00A5626D">
              <w:rPr>
                <w:rFonts w:ascii="Garamond" w:hAnsi="Garamond" w:cstheme="minorHAnsi"/>
                <w:sz w:val="22"/>
                <w:szCs w:val="22"/>
              </w:rPr>
              <w:lastRenderedPageBreak/>
              <w:t xml:space="preserve">учета перетоков по сечению </w:t>
            </w:r>
            <w:r w:rsidRPr="00A5626D">
              <w:rPr>
                <w:rFonts w:ascii="Garamond" w:eastAsia="Calibri" w:hAnsi="Garamond" w:cstheme="minorHAnsi"/>
                <w:sz w:val="22"/>
                <w:szCs w:val="22"/>
                <w:lang w:eastAsia="en-US"/>
              </w:rPr>
              <w:t>коммерческого учета</w:t>
            </w:r>
            <w:r w:rsidRPr="00A5626D">
              <w:rPr>
                <w:rFonts w:ascii="Garamond" w:hAnsi="Garamond" w:cstheme="minorHAnsi"/>
                <w:sz w:val="22"/>
                <w:szCs w:val="22"/>
              </w:rPr>
              <w:t xml:space="preserve"> (макет 51020) в порядке, предусмотренном п. 7.2 настоящего Регламента.</w:t>
            </w:r>
          </w:p>
          <w:p w14:paraId="5672C598" w14:textId="77777777" w:rsidR="00295C6D" w:rsidRPr="00A5626D" w:rsidRDefault="00295C6D" w:rsidP="00647FA0">
            <w:pPr>
              <w:tabs>
                <w:tab w:val="num" w:pos="0"/>
                <w:tab w:val="left" w:pos="1134"/>
                <w:tab w:val="left" w:pos="1200"/>
                <w:tab w:val="left" w:pos="7938"/>
              </w:tabs>
              <w:spacing w:before="120" w:after="120"/>
              <w:ind w:firstLine="629"/>
              <w:jc w:val="both"/>
              <w:rPr>
                <w:rFonts w:ascii="Garamond" w:hAnsi="Garamond" w:cstheme="minorHAnsi"/>
                <w:sz w:val="22"/>
                <w:szCs w:val="22"/>
              </w:rPr>
            </w:pPr>
            <w:r w:rsidRPr="00A5626D">
              <w:rPr>
                <w:rFonts w:ascii="Garamond" w:hAnsi="Garamond" w:cstheme="minorHAnsi"/>
                <w:sz w:val="22"/>
                <w:szCs w:val="22"/>
              </w:rPr>
              <w:t xml:space="preserve">У поставщика электроэнергии в отношении ГТП генерации, а также у участников оптового рынка (ФСК) в отношении сечения </w:t>
            </w:r>
            <w:r w:rsidRPr="00A5626D">
              <w:rPr>
                <w:rFonts w:ascii="Garamond" w:eastAsia="Calibri" w:hAnsi="Garamond" w:cstheme="minorHAnsi"/>
                <w:sz w:val="22"/>
                <w:szCs w:val="22"/>
                <w:lang w:eastAsia="en-US"/>
              </w:rPr>
              <w:t>коммерческого учета</w:t>
            </w:r>
            <w:r w:rsidRPr="00A5626D">
              <w:rPr>
                <w:rFonts w:ascii="Garamond" w:hAnsi="Garamond" w:cstheme="minorHAnsi"/>
                <w:sz w:val="22"/>
                <w:szCs w:val="22"/>
              </w:rPr>
              <w:t xml:space="preserve"> отсутствует возможность формирования акта учета (оборота) по ГТП генерации и (или) актов учета перетоков по сечению </w:t>
            </w:r>
            <w:r w:rsidRPr="00A5626D">
              <w:rPr>
                <w:rFonts w:ascii="Garamond" w:eastAsia="Calibri" w:hAnsi="Garamond" w:cstheme="minorHAnsi"/>
                <w:sz w:val="22"/>
                <w:szCs w:val="22"/>
                <w:lang w:eastAsia="en-US"/>
              </w:rPr>
              <w:t>коммерческого учета</w:t>
            </w:r>
            <w:r w:rsidRPr="00A5626D">
              <w:rPr>
                <w:rFonts w:ascii="Garamond" w:hAnsi="Garamond" w:cstheme="minorHAnsi"/>
                <w:sz w:val="22"/>
                <w:szCs w:val="22"/>
              </w:rPr>
              <w:t xml:space="preserve"> в порядке, предусмотренном пп. </w:t>
            </w:r>
            <w:r w:rsidRPr="00A5626D">
              <w:rPr>
                <w:rFonts w:ascii="Garamond" w:hAnsi="Garamond" w:cstheme="minorHAnsi"/>
                <w:sz w:val="22"/>
                <w:szCs w:val="22"/>
                <w:highlight w:val="yellow"/>
              </w:rPr>
              <w:t>3.9 и</w:t>
            </w:r>
            <w:r w:rsidRPr="00A5626D">
              <w:rPr>
                <w:rFonts w:ascii="Garamond" w:hAnsi="Garamond" w:cstheme="minorHAnsi"/>
                <w:sz w:val="22"/>
                <w:szCs w:val="22"/>
              </w:rPr>
              <w:t xml:space="preserve"> 7.2 настоящего Регламента соответственно, в случаях:</w:t>
            </w:r>
          </w:p>
          <w:p w14:paraId="0C13338F" w14:textId="77777777" w:rsidR="00295C6D" w:rsidRPr="00A5626D" w:rsidRDefault="00295C6D" w:rsidP="00647FA0">
            <w:pPr>
              <w:tabs>
                <w:tab w:val="num" w:pos="0"/>
                <w:tab w:val="left" w:pos="1134"/>
                <w:tab w:val="left" w:pos="1200"/>
                <w:tab w:val="left" w:pos="7938"/>
              </w:tabs>
              <w:spacing w:before="120" w:after="120"/>
              <w:ind w:firstLine="629"/>
              <w:jc w:val="both"/>
              <w:rPr>
                <w:rFonts w:ascii="Garamond" w:hAnsi="Garamond" w:cstheme="minorHAnsi"/>
                <w:sz w:val="22"/>
                <w:szCs w:val="22"/>
              </w:rPr>
            </w:pPr>
            <w:r w:rsidRPr="00A5626D">
              <w:rPr>
                <w:rFonts w:ascii="Garamond" w:hAnsi="Garamond" w:cstheme="minorHAnsi"/>
                <w:sz w:val="22"/>
                <w:szCs w:val="22"/>
              </w:rPr>
              <w:t>…</w:t>
            </w:r>
          </w:p>
          <w:p w14:paraId="57ADB889" w14:textId="77777777" w:rsidR="00295C6D" w:rsidRPr="00A5626D" w:rsidRDefault="00295C6D" w:rsidP="00647FA0">
            <w:pPr>
              <w:tabs>
                <w:tab w:val="num" w:pos="0"/>
                <w:tab w:val="left" w:pos="1134"/>
                <w:tab w:val="left" w:pos="1200"/>
                <w:tab w:val="left" w:pos="7938"/>
              </w:tabs>
              <w:spacing w:before="120" w:after="120"/>
              <w:ind w:firstLine="629"/>
              <w:jc w:val="both"/>
              <w:rPr>
                <w:rFonts w:ascii="Garamond" w:hAnsi="Garamond" w:cstheme="minorHAnsi"/>
                <w:sz w:val="22"/>
                <w:szCs w:val="22"/>
              </w:rPr>
            </w:pPr>
            <w:r w:rsidRPr="00A5626D">
              <w:rPr>
                <w:rFonts w:ascii="Garamond" w:hAnsi="Garamond" w:cstheme="minorHAnsi"/>
                <w:sz w:val="22"/>
                <w:szCs w:val="22"/>
              </w:rPr>
              <w:t xml:space="preserve">Корректирующий акт учета (оборота) по ГТП генерации или корректирующий акт учета перетоков по сечению коммерческого учета (макеты 51075) с указанием причины № 5 принимается КО для осуществления расчетов в соответствии с требованиями настоящего Регламента в случае его направления в КО после 12:00 (по московскому времени) 4-го числа месяца, следующего за отчетным, в отношении ГТП генерации и после 12:00 (по московскому времени) 5-го числа месяца, следующего за отчетным, в отношении сечений коммерческого учета или после подписания согласия на закрытие приема результатов измерений от АИИС КУЭ (макет 51019) в соответствии с пп. </w:t>
            </w:r>
            <w:r w:rsidRPr="00A5626D">
              <w:rPr>
                <w:rFonts w:ascii="Garamond" w:hAnsi="Garamond" w:cstheme="minorHAnsi"/>
                <w:sz w:val="22"/>
                <w:szCs w:val="22"/>
                <w:highlight w:val="yellow"/>
              </w:rPr>
              <w:t>3.9,</w:t>
            </w:r>
            <w:r w:rsidRPr="00A5626D">
              <w:rPr>
                <w:rFonts w:ascii="Garamond" w:hAnsi="Garamond" w:cstheme="minorHAnsi"/>
                <w:sz w:val="22"/>
                <w:szCs w:val="22"/>
              </w:rPr>
              <w:t xml:space="preserve"> 7.2 настоящего Регламента.</w:t>
            </w:r>
          </w:p>
          <w:p w14:paraId="3E8D3377" w14:textId="77777777" w:rsidR="00295C6D" w:rsidRPr="00A5626D" w:rsidRDefault="00295C6D" w:rsidP="00647FA0">
            <w:pPr>
              <w:tabs>
                <w:tab w:val="num" w:pos="0"/>
                <w:tab w:val="left" w:pos="1134"/>
                <w:tab w:val="left" w:pos="1200"/>
                <w:tab w:val="left" w:pos="7938"/>
              </w:tabs>
              <w:spacing w:before="120" w:after="120"/>
              <w:ind w:firstLine="629"/>
              <w:jc w:val="both"/>
              <w:rPr>
                <w:rFonts w:ascii="Garamond" w:hAnsi="Garamond" w:cstheme="minorHAnsi"/>
                <w:sz w:val="22"/>
                <w:szCs w:val="22"/>
              </w:rPr>
            </w:pPr>
            <w:r w:rsidRPr="00A5626D">
              <w:rPr>
                <w:rFonts w:ascii="Garamond" w:hAnsi="Garamond" w:cstheme="minorHAnsi"/>
                <w:sz w:val="22"/>
                <w:szCs w:val="22"/>
              </w:rPr>
              <w:t xml:space="preserve">Максимально допустимая величина расхождения в точках поставки или ГТП генерации / сечении коммерческого учета рассчитывается по формуле: ∆ = ±2 кВт∙ч × </w:t>
            </w:r>
            <w:r w:rsidRPr="00A5626D">
              <w:rPr>
                <w:rFonts w:ascii="Garamond" w:hAnsi="Garamond" w:cstheme="minorHAnsi"/>
                <w:i/>
                <w:sz w:val="22"/>
                <w:szCs w:val="22"/>
              </w:rPr>
              <w:t>N</w:t>
            </w:r>
            <w:r w:rsidRPr="00A5626D">
              <w:rPr>
                <w:rFonts w:ascii="Garamond" w:hAnsi="Garamond" w:cstheme="minorHAnsi"/>
                <w:sz w:val="22"/>
                <w:szCs w:val="22"/>
              </w:rPr>
              <w:t xml:space="preserve">, где </w:t>
            </w:r>
            <w:r w:rsidRPr="00A5626D">
              <w:rPr>
                <w:rFonts w:ascii="Garamond" w:hAnsi="Garamond" w:cstheme="minorHAnsi"/>
                <w:i/>
                <w:sz w:val="22"/>
                <w:szCs w:val="22"/>
              </w:rPr>
              <w:t>N</w:t>
            </w:r>
            <w:r w:rsidRPr="00A5626D">
              <w:rPr>
                <w:rFonts w:ascii="Garamond" w:hAnsi="Garamond" w:cstheme="minorHAnsi"/>
                <w:sz w:val="22"/>
                <w:szCs w:val="22"/>
              </w:rPr>
              <w:t xml:space="preserve"> – число точек измерений активной энергии, используемых для расчета итоговой величины электроэнергии в каналах точки поставки или в ГТП генерации / сечении коммерческого учета.</w:t>
            </w:r>
          </w:p>
          <w:p w14:paraId="49FC31F3" w14:textId="77777777" w:rsidR="00295C6D" w:rsidRPr="00A5626D" w:rsidRDefault="00295C6D" w:rsidP="00647FA0">
            <w:pPr>
              <w:tabs>
                <w:tab w:val="num" w:pos="0"/>
                <w:tab w:val="left" w:pos="1134"/>
                <w:tab w:val="left" w:pos="1200"/>
                <w:tab w:val="left" w:pos="7938"/>
              </w:tabs>
              <w:spacing w:before="120" w:after="120" w:line="22" w:lineRule="atLeast"/>
              <w:ind w:firstLine="629"/>
              <w:jc w:val="both"/>
              <w:rPr>
                <w:rFonts w:ascii="Garamond" w:hAnsi="Garamond" w:cstheme="minorHAnsi"/>
                <w:sz w:val="22"/>
                <w:szCs w:val="22"/>
              </w:rPr>
            </w:pPr>
            <w:r w:rsidRPr="00A5626D">
              <w:rPr>
                <w:rFonts w:ascii="Garamond" w:hAnsi="Garamond" w:cstheme="minorHAnsi"/>
                <w:sz w:val="22"/>
                <w:szCs w:val="22"/>
              </w:rPr>
              <w:t>Участник оптового рынка, в состав ГТП потребления которого входит внутреннее сечение, имеет право в период начиная с 20-го числа отчетного месяца и до 6-го числа (включительно) месяца, следующего за отчетным, в случаях, предусмотренных п. 3</w:t>
            </w:r>
            <w:r w:rsidRPr="00A5626D">
              <w:rPr>
                <w:rFonts w:ascii="Garamond" w:hAnsi="Garamond" w:cstheme="minorHAnsi"/>
                <w:sz w:val="22"/>
                <w:szCs w:val="22"/>
                <w:highlight w:val="yellow"/>
              </w:rPr>
              <w:t>.2 или п. 3</w:t>
            </w:r>
            <w:r w:rsidRPr="00A5626D">
              <w:rPr>
                <w:rFonts w:ascii="Garamond" w:hAnsi="Garamond" w:cstheme="minorHAnsi"/>
                <w:sz w:val="22"/>
                <w:szCs w:val="22"/>
              </w:rPr>
              <w:t xml:space="preserve">.4 настоящего Регламента, направить в КО корректирующий акт учета перетоков по внутреннему сечению (макет 51075) с указанием причины № 4 (в таком случае расчет значений учетных показателей осуществляется на основании замещающих методов расчета, приведенных в п. 8.1 настоящего Регламента, с использованием вышеуказанного корректирующего акта учета перетоков по внутреннему сечению </w:t>
            </w:r>
            <w:r w:rsidRPr="00A5626D">
              <w:rPr>
                <w:rFonts w:ascii="Garamond" w:hAnsi="Garamond" w:cstheme="minorHAnsi"/>
                <w:sz w:val="22"/>
                <w:szCs w:val="22"/>
              </w:rPr>
              <w:lastRenderedPageBreak/>
              <w:t xml:space="preserve">(макет 51075)). По истечении сроков, установленных п. </w:t>
            </w:r>
            <w:r w:rsidRPr="00A5626D">
              <w:rPr>
                <w:rFonts w:ascii="Garamond" w:hAnsi="Garamond" w:cstheme="minorHAnsi"/>
                <w:sz w:val="22"/>
                <w:szCs w:val="22"/>
                <w:highlight w:val="yellow"/>
              </w:rPr>
              <w:t>3.2 или п. 3</w:t>
            </w:r>
            <w:r w:rsidRPr="00A5626D">
              <w:rPr>
                <w:rFonts w:ascii="Garamond" w:hAnsi="Garamond" w:cstheme="minorHAnsi"/>
                <w:sz w:val="22"/>
                <w:szCs w:val="22"/>
              </w:rPr>
              <w:t xml:space="preserve">.4 настоящего Регламента для исполнения требований </w:t>
            </w:r>
            <w:r w:rsidRPr="00A5626D">
              <w:rPr>
                <w:rFonts w:ascii="Garamond" w:hAnsi="Garamond" w:cstheme="minorHAnsi"/>
                <w:sz w:val="22"/>
                <w:szCs w:val="22"/>
                <w:highlight w:val="yellow"/>
              </w:rPr>
              <w:t>раздела 5</w:t>
            </w:r>
            <w:r w:rsidRPr="00A5626D">
              <w:rPr>
                <w:rFonts w:ascii="Garamond" w:hAnsi="Garamond" w:cstheme="minorHAnsi"/>
                <w:sz w:val="22"/>
                <w:szCs w:val="22"/>
              </w:rPr>
              <w:t xml:space="preserve"> настоящего Регламента, в случае неисполнения требований </w:t>
            </w:r>
            <w:r w:rsidRPr="00A5626D">
              <w:rPr>
                <w:rFonts w:ascii="Garamond" w:hAnsi="Garamond" w:cstheme="minorHAnsi"/>
                <w:sz w:val="22"/>
                <w:szCs w:val="22"/>
                <w:highlight w:val="yellow"/>
              </w:rPr>
              <w:t>вышеуказанных</w:t>
            </w:r>
            <w:r w:rsidRPr="00A5626D">
              <w:rPr>
                <w:rFonts w:ascii="Garamond" w:hAnsi="Garamond" w:cstheme="minorHAnsi"/>
                <w:sz w:val="22"/>
                <w:szCs w:val="22"/>
              </w:rPr>
              <w:t xml:space="preserve"> </w:t>
            </w:r>
            <w:r w:rsidRPr="00A5626D">
              <w:rPr>
                <w:rFonts w:ascii="Garamond" w:hAnsi="Garamond" w:cstheme="minorHAnsi"/>
                <w:sz w:val="22"/>
                <w:szCs w:val="22"/>
                <w:highlight w:val="yellow"/>
              </w:rPr>
              <w:t>пунктов</w:t>
            </w:r>
            <w:r w:rsidRPr="00A5626D">
              <w:rPr>
                <w:rFonts w:ascii="Garamond" w:hAnsi="Garamond" w:cstheme="minorHAnsi"/>
                <w:sz w:val="22"/>
                <w:szCs w:val="22"/>
              </w:rPr>
              <w:t>, возможность отправки корректирующего акта учета перетоков по внутреннему сечению (макет 51075) у участника оптового рынка отсутствует, КО применяет замещающие методы расчета, предусмотренные п. 8.2 настоящего Регламента.</w:t>
            </w:r>
          </w:p>
          <w:p w14:paraId="6B150952" w14:textId="77777777" w:rsidR="00295C6D" w:rsidRPr="00A5626D" w:rsidRDefault="00295C6D" w:rsidP="00647FA0">
            <w:pPr>
              <w:tabs>
                <w:tab w:val="left" w:pos="1134"/>
                <w:tab w:val="left" w:pos="7938"/>
              </w:tabs>
              <w:spacing w:before="120" w:after="120" w:line="22" w:lineRule="atLeast"/>
              <w:ind w:firstLine="629"/>
              <w:jc w:val="both"/>
              <w:rPr>
                <w:rFonts w:ascii="Garamond" w:hAnsi="Garamond" w:cstheme="minorHAnsi"/>
                <w:sz w:val="22"/>
                <w:szCs w:val="22"/>
              </w:rPr>
            </w:pPr>
            <w:r w:rsidRPr="00A5626D">
              <w:rPr>
                <w:rFonts w:ascii="Garamond" w:hAnsi="Garamond" w:cstheme="minorHAnsi"/>
                <w:sz w:val="22"/>
                <w:szCs w:val="22"/>
              </w:rPr>
              <w:t>Участники оптового рынка (ФСК) при формировании корректирующего акта учета (оборота) по ГТП генерации, корректирующего акта учета перетоков по сечению коммерческого учета (макеты 51075), содержащих значения по точкам поставки, должны осуществлять расчет почасовых значений произведенной/потребленной (переданной) электроэнергии в соответствии со следующим порядком:</w:t>
            </w:r>
          </w:p>
          <w:p w14:paraId="21138B06" w14:textId="296EC314" w:rsidR="00295C6D" w:rsidRPr="00A5626D" w:rsidRDefault="00295C6D" w:rsidP="00647FA0">
            <w:pPr>
              <w:pStyle w:val="ac"/>
              <w:numPr>
                <w:ilvl w:val="0"/>
                <w:numId w:val="260"/>
              </w:numPr>
              <w:tabs>
                <w:tab w:val="left" w:pos="600"/>
                <w:tab w:val="left" w:pos="1134"/>
                <w:tab w:val="left" w:pos="7938"/>
              </w:tabs>
              <w:spacing w:before="120" w:after="120" w:line="22" w:lineRule="atLeast"/>
              <w:ind w:left="0" w:firstLine="629"/>
              <w:jc w:val="both"/>
              <w:rPr>
                <w:rFonts w:ascii="Garamond" w:hAnsi="Garamond" w:cstheme="minorHAnsi"/>
                <w:sz w:val="22"/>
                <w:szCs w:val="22"/>
              </w:rPr>
            </w:pPr>
            <w:r w:rsidRPr="00A5626D">
              <w:rPr>
                <w:rFonts w:ascii="Garamond" w:hAnsi="Garamond" w:cstheme="minorHAnsi"/>
                <w:sz w:val="22"/>
                <w:szCs w:val="22"/>
              </w:rPr>
              <w:t>вычисляются получасовые значения потерь (в кВт∙ч) от точки измерений до точки поставки;</w:t>
            </w:r>
            <w:r w:rsidR="009B5F03" w:rsidRPr="00A5626D">
              <w:rPr>
                <w:rFonts w:ascii="Garamond" w:hAnsi="Garamond" w:cstheme="minorHAnsi"/>
                <w:sz w:val="22"/>
                <w:szCs w:val="22"/>
              </w:rPr>
              <w:t xml:space="preserve"> </w:t>
            </w:r>
          </w:p>
          <w:p w14:paraId="05C91EF4" w14:textId="77777777" w:rsidR="00295C6D" w:rsidRPr="00A5626D" w:rsidRDefault="00295C6D" w:rsidP="00647FA0">
            <w:pPr>
              <w:pStyle w:val="ac"/>
              <w:numPr>
                <w:ilvl w:val="0"/>
                <w:numId w:val="260"/>
              </w:numPr>
              <w:tabs>
                <w:tab w:val="left" w:pos="600"/>
                <w:tab w:val="left" w:pos="1134"/>
                <w:tab w:val="left" w:pos="7938"/>
              </w:tabs>
              <w:spacing w:before="120" w:after="120" w:line="22" w:lineRule="atLeast"/>
              <w:ind w:left="0" w:firstLine="629"/>
              <w:jc w:val="both"/>
              <w:rPr>
                <w:rFonts w:ascii="Garamond" w:hAnsi="Garamond" w:cstheme="minorHAnsi"/>
                <w:sz w:val="22"/>
                <w:szCs w:val="22"/>
              </w:rPr>
            </w:pPr>
            <w:r w:rsidRPr="00A5626D">
              <w:rPr>
                <w:rFonts w:ascii="Garamond" w:hAnsi="Garamond" w:cstheme="minorHAnsi"/>
                <w:sz w:val="22"/>
                <w:szCs w:val="22"/>
              </w:rPr>
              <w:t>вычисляются часовые величины электроэнергии в направлении отдача/прием в точке поставки (как сумма за два получаса в пределах одного часа);</w:t>
            </w:r>
          </w:p>
          <w:p w14:paraId="0FB52BD8" w14:textId="77777777" w:rsidR="00295C6D" w:rsidRPr="00A5626D" w:rsidRDefault="00295C6D" w:rsidP="00647FA0">
            <w:pPr>
              <w:pStyle w:val="ac"/>
              <w:numPr>
                <w:ilvl w:val="0"/>
                <w:numId w:val="260"/>
              </w:numPr>
              <w:tabs>
                <w:tab w:val="left" w:pos="600"/>
                <w:tab w:val="left" w:pos="1134"/>
                <w:tab w:val="left" w:pos="7938"/>
              </w:tabs>
              <w:spacing w:before="120" w:after="120" w:line="22" w:lineRule="atLeast"/>
              <w:ind w:left="0" w:firstLine="629"/>
              <w:jc w:val="both"/>
              <w:rPr>
                <w:rFonts w:ascii="Garamond" w:hAnsi="Garamond" w:cstheme="minorHAnsi"/>
                <w:sz w:val="22"/>
                <w:szCs w:val="22"/>
              </w:rPr>
            </w:pPr>
            <w:r w:rsidRPr="00A5626D">
              <w:rPr>
                <w:rFonts w:ascii="Garamond" w:hAnsi="Garamond" w:cstheme="minorHAnsi"/>
                <w:sz w:val="22"/>
                <w:szCs w:val="22"/>
              </w:rPr>
              <w:t>округляются до целых часовые значения величины электроэнергии в направлении отдача/прием в точке поставки.</w:t>
            </w:r>
          </w:p>
          <w:p w14:paraId="345FAF99" w14:textId="77777777" w:rsidR="00295C6D" w:rsidRPr="00A5626D" w:rsidRDefault="00295C6D" w:rsidP="00647FA0">
            <w:pPr>
              <w:tabs>
                <w:tab w:val="left" w:pos="1134"/>
                <w:tab w:val="left" w:pos="7938"/>
              </w:tabs>
              <w:spacing w:before="120" w:after="120" w:line="22" w:lineRule="atLeast"/>
              <w:ind w:firstLine="629"/>
              <w:jc w:val="both"/>
              <w:rPr>
                <w:rFonts w:ascii="Garamond" w:hAnsi="Garamond" w:cstheme="minorHAnsi"/>
                <w:sz w:val="22"/>
                <w:szCs w:val="22"/>
              </w:rPr>
            </w:pPr>
            <w:r w:rsidRPr="00A5626D">
              <w:rPr>
                <w:rFonts w:ascii="Garamond" w:hAnsi="Garamond" w:cstheme="minorHAnsi"/>
                <w:sz w:val="22"/>
                <w:szCs w:val="22"/>
              </w:rPr>
              <w:t>Применяется следующий алгоритм округления: дробная часть на часовом интервале округляется до целых кВт∙ч по алгебраическим правилам округления – если десятичная часть больше или равна 5, то результат округляется в большую сторону, если меньше, то в меньшую. Разница между неокругленным значением и округленным (остаток от округления) прибавляется к результату измерений на следующем часовом интервале с учетом знака;</w:t>
            </w:r>
          </w:p>
          <w:p w14:paraId="55E047EA" w14:textId="77777777" w:rsidR="00295C6D" w:rsidRPr="00A5626D" w:rsidRDefault="00295C6D" w:rsidP="00647FA0">
            <w:pPr>
              <w:pStyle w:val="ac"/>
              <w:numPr>
                <w:ilvl w:val="0"/>
                <w:numId w:val="260"/>
              </w:numPr>
              <w:tabs>
                <w:tab w:val="left" w:pos="601"/>
                <w:tab w:val="left" w:pos="1134"/>
                <w:tab w:val="left" w:pos="7938"/>
              </w:tabs>
              <w:spacing w:before="120" w:after="120" w:line="22" w:lineRule="atLeast"/>
              <w:ind w:left="0" w:firstLine="629"/>
              <w:jc w:val="both"/>
              <w:rPr>
                <w:rFonts w:ascii="Garamond" w:hAnsi="Garamond" w:cstheme="minorHAnsi"/>
                <w:sz w:val="22"/>
                <w:szCs w:val="22"/>
              </w:rPr>
            </w:pPr>
            <w:r w:rsidRPr="00A5626D">
              <w:rPr>
                <w:rFonts w:ascii="Garamond" w:hAnsi="Garamond" w:cstheme="minorHAnsi"/>
                <w:sz w:val="22"/>
                <w:szCs w:val="22"/>
              </w:rPr>
              <w:t>вычисляются часовые значения величины электроэнергии по ГТП генерации / сечению коммерческого учета на основании округленных часовых значений величины электроэнергии в точках поставки.</w:t>
            </w:r>
          </w:p>
          <w:p w14:paraId="1833B2DA" w14:textId="77777777" w:rsidR="00295C6D" w:rsidRPr="00A5626D" w:rsidRDefault="00295C6D" w:rsidP="00647FA0">
            <w:pPr>
              <w:tabs>
                <w:tab w:val="num" w:pos="0"/>
                <w:tab w:val="left" w:pos="1134"/>
                <w:tab w:val="left" w:pos="1200"/>
                <w:tab w:val="left" w:pos="7938"/>
              </w:tabs>
              <w:spacing w:before="120" w:after="120" w:line="22" w:lineRule="atLeast"/>
              <w:ind w:firstLine="629"/>
              <w:jc w:val="both"/>
              <w:rPr>
                <w:rFonts w:ascii="Garamond" w:hAnsi="Garamond" w:cstheme="minorHAnsi"/>
                <w:sz w:val="22"/>
                <w:szCs w:val="22"/>
              </w:rPr>
            </w:pPr>
            <w:r w:rsidRPr="00A5626D">
              <w:rPr>
                <w:rFonts w:ascii="Garamond" w:hAnsi="Garamond" w:cstheme="minorHAnsi"/>
                <w:sz w:val="22"/>
                <w:szCs w:val="22"/>
              </w:rPr>
              <w:t xml:space="preserve">Расчет часовых величин учетного показателя по ГТП потребления, содержащим внутренние сечения, проводится с использованием замещающих методов расчета, предусмотренных п. </w:t>
            </w:r>
            <w:r w:rsidRPr="00A5626D">
              <w:rPr>
                <w:rFonts w:ascii="Garamond" w:hAnsi="Garamond" w:cstheme="minorHAnsi"/>
                <w:sz w:val="22"/>
                <w:szCs w:val="22"/>
              </w:rPr>
              <w:lastRenderedPageBreak/>
              <w:t>8.2 настоящего Регламента, с учетом особенностей, установленных п</w:t>
            </w:r>
            <w:r w:rsidRPr="00A5626D">
              <w:rPr>
                <w:rFonts w:ascii="Garamond" w:hAnsi="Garamond" w:cstheme="minorHAnsi"/>
                <w:sz w:val="22"/>
                <w:szCs w:val="22"/>
                <w:highlight w:val="yellow"/>
              </w:rPr>
              <w:t>п. 3.2, 3</w:t>
            </w:r>
            <w:r w:rsidRPr="00A5626D">
              <w:rPr>
                <w:rFonts w:ascii="Garamond" w:hAnsi="Garamond" w:cstheme="minorHAnsi"/>
                <w:sz w:val="22"/>
                <w:szCs w:val="22"/>
              </w:rPr>
              <w:t>.4 настоящего Регламента, при выполнении хотя бы одного из нижеперечисленных условий:</w:t>
            </w:r>
          </w:p>
          <w:p w14:paraId="12611CAE" w14:textId="77777777" w:rsidR="00295C6D" w:rsidRPr="00A5626D" w:rsidRDefault="00295C6D" w:rsidP="00647FA0">
            <w:pPr>
              <w:pStyle w:val="a8"/>
              <w:numPr>
                <w:ilvl w:val="0"/>
                <w:numId w:val="259"/>
              </w:numPr>
              <w:tabs>
                <w:tab w:val="clear" w:pos="8100"/>
                <w:tab w:val="left" w:pos="960"/>
                <w:tab w:val="left" w:pos="1134"/>
                <w:tab w:val="left" w:pos="7938"/>
              </w:tabs>
              <w:suppressAutoHyphens w:val="0"/>
              <w:autoSpaceDE w:val="0"/>
              <w:autoSpaceDN w:val="0"/>
              <w:spacing w:before="120" w:after="120" w:line="22" w:lineRule="atLeast"/>
              <w:ind w:left="0" w:firstLine="629"/>
              <w:rPr>
                <w:rFonts w:ascii="Garamond" w:hAnsi="Garamond" w:cstheme="minorHAnsi"/>
                <w:sz w:val="22"/>
                <w:szCs w:val="22"/>
              </w:rPr>
            </w:pPr>
            <w:r w:rsidRPr="00A5626D">
              <w:rPr>
                <w:rFonts w:ascii="Garamond" w:hAnsi="Garamond" w:cstheme="minorHAnsi"/>
                <w:sz w:val="22"/>
                <w:szCs w:val="22"/>
              </w:rPr>
              <w:t>невыполнения требований раздела 5 или п. 7.4 настоящего Регламента;</w:t>
            </w:r>
          </w:p>
          <w:p w14:paraId="3295FDA1" w14:textId="77777777" w:rsidR="00295C6D" w:rsidRPr="00A5626D" w:rsidRDefault="00295C6D" w:rsidP="00647FA0">
            <w:pPr>
              <w:pStyle w:val="a8"/>
              <w:numPr>
                <w:ilvl w:val="0"/>
                <w:numId w:val="259"/>
              </w:numPr>
              <w:tabs>
                <w:tab w:val="clear" w:pos="8100"/>
                <w:tab w:val="left" w:pos="960"/>
                <w:tab w:val="left" w:pos="1134"/>
                <w:tab w:val="left" w:pos="7938"/>
              </w:tabs>
              <w:suppressAutoHyphens w:val="0"/>
              <w:autoSpaceDE w:val="0"/>
              <w:autoSpaceDN w:val="0"/>
              <w:spacing w:before="120" w:after="120" w:line="22" w:lineRule="atLeast"/>
              <w:ind w:left="0" w:firstLine="629"/>
              <w:rPr>
                <w:rFonts w:ascii="Garamond" w:hAnsi="Garamond" w:cstheme="minorHAnsi"/>
                <w:sz w:val="22"/>
                <w:szCs w:val="22"/>
              </w:rPr>
            </w:pPr>
            <w:r w:rsidRPr="00A5626D">
              <w:rPr>
                <w:rFonts w:ascii="Garamond" w:hAnsi="Garamond" w:cstheme="minorHAnsi"/>
                <w:sz w:val="22"/>
                <w:szCs w:val="22"/>
              </w:rPr>
              <w:t>в отношении соответствующих часов – в случае передачи результатов измерений в макетах 80020 (80040) со статусом «некоммерческой информации»;</w:t>
            </w:r>
          </w:p>
          <w:p w14:paraId="3F2FC8BA" w14:textId="77777777" w:rsidR="00295C6D" w:rsidRPr="00A5626D" w:rsidRDefault="00295C6D" w:rsidP="00647FA0">
            <w:pPr>
              <w:pStyle w:val="a8"/>
              <w:numPr>
                <w:ilvl w:val="0"/>
                <w:numId w:val="259"/>
              </w:numPr>
              <w:tabs>
                <w:tab w:val="clear" w:pos="8100"/>
                <w:tab w:val="left" w:pos="960"/>
                <w:tab w:val="left" w:pos="1134"/>
                <w:tab w:val="left" w:pos="7938"/>
              </w:tabs>
              <w:suppressAutoHyphens w:val="0"/>
              <w:autoSpaceDE w:val="0"/>
              <w:autoSpaceDN w:val="0"/>
              <w:spacing w:before="120" w:after="120" w:line="22" w:lineRule="atLeast"/>
              <w:ind w:left="0" w:firstLine="629"/>
              <w:rPr>
                <w:rFonts w:ascii="Garamond" w:hAnsi="Garamond" w:cstheme="minorHAnsi"/>
                <w:sz w:val="22"/>
                <w:szCs w:val="22"/>
              </w:rPr>
            </w:pPr>
            <w:r w:rsidRPr="00A5626D">
              <w:rPr>
                <w:rFonts w:ascii="Garamond" w:hAnsi="Garamond" w:cstheme="minorHAnsi"/>
                <w:sz w:val="22"/>
                <w:szCs w:val="22"/>
              </w:rPr>
              <w:t xml:space="preserve">в отношении соответствующих часов – в случае неполучения КО результатов измерений в макетах 80020 (80040) либо невыполнения иных требований к порядку формирования и направления в КО результатов измерений, установленных Приложением № 11.1.1 к </w:t>
            </w:r>
            <w:r w:rsidRPr="00A5626D">
              <w:rPr>
                <w:rFonts w:ascii="Garamond" w:hAnsi="Garamond" w:cstheme="minorHAnsi"/>
                <w:i/>
                <w:sz w:val="22"/>
                <w:szCs w:val="22"/>
              </w:rPr>
              <w:t>Положению о порядке получения статуса субъекта оптового рынка и ведения реестра субъектов оптового рынка</w:t>
            </w:r>
            <w:r w:rsidRPr="00A5626D">
              <w:rPr>
                <w:rFonts w:ascii="Garamond" w:hAnsi="Garamond" w:cstheme="minorHAnsi"/>
                <w:sz w:val="22"/>
                <w:szCs w:val="22"/>
              </w:rPr>
              <w:t xml:space="preserve"> (Приложение № 1.1 к </w:t>
            </w:r>
            <w:r w:rsidRPr="00A5626D">
              <w:rPr>
                <w:rFonts w:ascii="Garamond" w:hAnsi="Garamond" w:cstheme="minorHAnsi"/>
                <w:i/>
                <w:sz w:val="22"/>
                <w:szCs w:val="22"/>
              </w:rPr>
              <w:t>Договору о присоединении к торговой системе оптового рынка</w:t>
            </w:r>
            <w:r w:rsidRPr="00A5626D">
              <w:rPr>
                <w:rFonts w:ascii="Garamond" w:hAnsi="Garamond" w:cstheme="minorHAnsi"/>
                <w:sz w:val="22"/>
                <w:szCs w:val="22"/>
              </w:rPr>
              <w:t>), необходимых для принятия результатов измерений к коммерческим расчетам.</w:t>
            </w:r>
          </w:p>
        </w:tc>
        <w:tc>
          <w:tcPr>
            <w:tcW w:w="7088" w:type="dxa"/>
          </w:tcPr>
          <w:p w14:paraId="27346D1A" w14:textId="77777777" w:rsidR="00295C6D" w:rsidRPr="00A5626D" w:rsidRDefault="00295C6D" w:rsidP="00647FA0">
            <w:pPr>
              <w:pStyle w:val="2"/>
              <w:widowControl/>
              <w:numPr>
                <w:ilvl w:val="0"/>
                <w:numId w:val="0"/>
              </w:numPr>
              <w:tabs>
                <w:tab w:val="left" w:pos="1134"/>
                <w:tab w:val="left" w:pos="7938"/>
              </w:tabs>
              <w:suppressAutoHyphens w:val="0"/>
              <w:autoSpaceDE/>
              <w:spacing w:before="120" w:after="120"/>
              <w:ind w:firstLine="629"/>
              <w:jc w:val="both"/>
              <w:rPr>
                <w:rFonts w:ascii="Garamond" w:hAnsi="Garamond" w:cstheme="minorHAnsi"/>
                <w:b w:val="0"/>
              </w:rPr>
            </w:pPr>
            <w:r w:rsidRPr="00A5626D">
              <w:rPr>
                <w:rFonts w:ascii="Garamond" w:hAnsi="Garamond" w:cstheme="minorHAnsi"/>
                <w:b w:val="0"/>
              </w:rPr>
              <w:lastRenderedPageBreak/>
              <w:t xml:space="preserve">В период, начиная с 20-го числа отчетного месяца и до 15:00 часов 4-го числа месяца, следующего за отчетным, поставщики электроэнергии согласовывают почасовые значения учетных показателей произведенной электроэнергии по каждой ГТП генерации, рассчитанные согласно алгоритму, указанному в действующем ПСИ по ГТП генерации, сформированном в макете 60000 (60090), на основании результатов измерений, сформированных и направленных в соответствии с порядком, изложенным в Приложении № 11.1.1 к </w:t>
            </w:r>
            <w:r w:rsidRPr="00A5626D">
              <w:rPr>
                <w:rFonts w:ascii="Garamond" w:hAnsi="Garamond" w:cstheme="minorHAnsi"/>
                <w:b w:val="0"/>
                <w:i/>
              </w:rPr>
              <w:t>Положению о порядке получения статуса субъекта оптового рынка и ведения реестра субъектов оптового рынка</w:t>
            </w:r>
            <w:r w:rsidRPr="00A5626D">
              <w:rPr>
                <w:rFonts w:ascii="Garamond" w:hAnsi="Garamond" w:cstheme="minorHAnsi"/>
                <w:b w:val="0"/>
              </w:rPr>
              <w:t xml:space="preserve"> (Приложение № 1.1 к </w:t>
            </w:r>
            <w:r w:rsidRPr="00A5626D">
              <w:rPr>
                <w:rFonts w:ascii="Garamond" w:hAnsi="Garamond" w:cstheme="minorHAnsi"/>
                <w:b w:val="0"/>
                <w:i/>
              </w:rPr>
              <w:t>Договору о присоединении к торговой системе оптового рынка</w:t>
            </w:r>
            <w:r w:rsidRPr="00A5626D">
              <w:rPr>
                <w:rFonts w:ascii="Garamond" w:hAnsi="Garamond" w:cstheme="minorHAnsi"/>
                <w:b w:val="0"/>
              </w:rPr>
              <w:t xml:space="preserve">), для формирования акта учета (оборота) по ГТП генерации (макет 51020) в порядке, предусмотренном п. </w:t>
            </w:r>
            <w:r w:rsidRPr="00A5626D">
              <w:rPr>
                <w:rFonts w:ascii="Garamond" w:hAnsi="Garamond" w:cstheme="minorHAnsi"/>
                <w:b w:val="0"/>
                <w:highlight w:val="yellow"/>
              </w:rPr>
              <w:t>7.3</w:t>
            </w:r>
            <w:r w:rsidRPr="00A5626D">
              <w:rPr>
                <w:rFonts w:ascii="Garamond" w:hAnsi="Garamond" w:cstheme="minorHAnsi"/>
                <w:b w:val="0"/>
              </w:rPr>
              <w:t xml:space="preserve"> настоящего Регламента.</w:t>
            </w:r>
          </w:p>
          <w:p w14:paraId="214A36A5" w14:textId="77777777" w:rsidR="00295C6D" w:rsidRPr="00A5626D" w:rsidRDefault="00295C6D" w:rsidP="00647FA0">
            <w:pPr>
              <w:tabs>
                <w:tab w:val="num" w:pos="0"/>
                <w:tab w:val="left" w:pos="1134"/>
                <w:tab w:val="left" w:pos="1200"/>
                <w:tab w:val="left" w:pos="7938"/>
              </w:tabs>
              <w:spacing w:before="120" w:after="120"/>
              <w:ind w:firstLine="629"/>
              <w:jc w:val="both"/>
              <w:rPr>
                <w:rFonts w:ascii="Garamond" w:hAnsi="Garamond" w:cstheme="minorHAnsi"/>
                <w:sz w:val="22"/>
                <w:szCs w:val="22"/>
              </w:rPr>
            </w:pPr>
            <w:r w:rsidRPr="00A5626D">
              <w:rPr>
                <w:rFonts w:ascii="Garamond" w:hAnsi="Garamond" w:cstheme="minorHAnsi"/>
                <w:sz w:val="22"/>
                <w:szCs w:val="22"/>
              </w:rPr>
              <w:t xml:space="preserve">Участники оптового рынка, в состав ГТП потребления которых входят внутренние сечения, в период, начиная с 20-го числа отчетного месяца и до 15:00 часов 5-го числа месяца, следующего за отчетным, согласовывают почасовые значения учетных показателей по внутреннему сечению, рассчитанные согласно алгоритму, указанному в действующем ПСИ по внутреннему сечению, сформированном в макете 60000, на основании результатов измерений, сформированных и направленных в соответствии с порядком, изложенным в Приложении № 11.1.1 к </w:t>
            </w:r>
            <w:r w:rsidRPr="00A5626D">
              <w:rPr>
                <w:rFonts w:ascii="Garamond" w:hAnsi="Garamond" w:cstheme="minorHAnsi"/>
                <w:i/>
                <w:sz w:val="22"/>
                <w:szCs w:val="22"/>
              </w:rPr>
              <w:t>Положению о порядке получения статуса субъекта оптового рынка и ведения реестра субъектов оптового рынка</w:t>
            </w:r>
            <w:r w:rsidRPr="00A5626D">
              <w:rPr>
                <w:rFonts w:ascii="Garamond" w:hAnsi="Garamond" w:cstheme="minorHAnsi"/>
                <w:sz w:val="22"/>
                <w:szCs w:val="22"/>
              </w:rPr>
              <w:t xml:space="preserve"> (Приложение № 1.1 к </w:t>
            </w:r>
            <w:r w:rsidRPr="00A5626D">
              <w:rPr>
                <w:rFonts w:ascii="Garamond" w:hAnsi="Garamond" w:cstheme="minorHAnsi"/>
                <w:i/>
                <w:sz w:val="22"/>
                <w:szCs w:val="22"/>
              </w:rPr>
              <w:t>Договору о присоединении к торговой системе оптового рынка</w:t>
            </w:r>
            <w:r w:rsidRPr="00A5626D">
              <w:rPr>
                <w:rFonts w:ascii="Garamond" w:hAnsi="Garamond" w:cstheme="minorHAnsi"/>
                <w:sz w:val="22"/>
                <w:szCs w:val="22"/>
              </w:rPr>
              <w:t>), для формирования акта учета перетоков по сечению коммерческого учета (макет 51020) в порядке, предусмотренном п. 7.4 настоящего Регламента.</w:t>
            </w:r>
          </w:p>
          <w:p w14:paraId="371F1442" w14:textId="77777777" w:rsidR="00295C6D" w:rsidRPr="00A5626D" w:rsidRDefault="00295C6D" w:rsidP="00647FA0">
            <w:pPr>
              <w:tabs>
                <w:tab w:val="num" w:pos="0"/>
                <w:tab w:val="left" w:pos="1134"/>
                <w:tab w:val="left" w:pos="1200"/>
                <w:tab w:val="left" w:pos="7938"/>
              </w:tabs>
              <w:spacing w:before="120" w:after="120"/>
              <w:ind w:firstLine="629"/>
              <w:jc w:val="both"/>
              <w:rPr>
                <w:rFonts w:ascii="Garamond" w:hAnsi="Garamond" w:cstheme="minorHAnsi"/>
                <w:sz w:val="22"/>
                <w:szCs w:val="22"/>
              </w:rPr>
            </w:pPr>
            <w:r w:rsidRPr="00A5626D">
              <w:rPr>
                <w:rFonts w:ascii="Garamond" w:hAnsi="Garamond" w:cstheme="minorHAnsi"/>
                <w:sz w:val="22"/>
                <w:szCs w:val="22"/>
              </w:rPr>
              <w:t xml:space="preserve">Участники оптового рынка (ФСК) в период начиная с 20-го числа отчетного месяца и до 15:00 часов 5-го числа месяца, следующего за отчетным, согласовывают почасовые значения учетных показателей по сечениям </w:t>
            </w:r>
            <w:r w:rsidRPr="00A5626D">
              <w:rPr>
                <w:rFonts w:ascii="Garamond" w:eastAsia="Calibri" w:hAnsi="Garamond" w:cstheme="minorHAnsi"/>
                <w:sz w:val="22"/>
                <w:szCs w:val="22"/>
                <w:lang w:eastAsia="en-US"/>
              </w:rPr>
              <w:t>коммерческого учета</w:t>
            </w:r>
            <w:r w:rsidRPr="00A5626D">
              <w:rPr>
                <w:rFonts w:ascii="Garamond" w:hAnsi="Garamond" w:cstheme="minorHAnsi"/>
                <w:sz w:val="22"/>
                <w:szCs w:val="22"/>
              </w:rPr>
              <w:t xml:space="preserve">, рассчитанные согласно алгоритму, указанному в действующем ПСИ, сформированном в макете 60090 или 60000, на основании результатов измерений, сформированных и направленных в соответствии с порядком, изложенным в Приложении № 11.1.1 к </w:t>
            </w:r>
            <w:r w:rsidRPr="00A5626D">
              <w:rPr>
                <w:rFonts w:ascii="Garamond" w:hAnsi="Garamond" w:cstheme="minorHAnsi"/>
                <w:i/>
                <w:sz w:val="22"/>
                <w:szCs w:val="22"/>
              </w:rPr>
              <w:t>Положению о порядке получения статуса субъекта оптового рынка и ведения реестра субъектов оптового рынка</w:t>
            </w:r>
            <w:r w:rsidRPr="00A5626D">
              <w:rPr>
                <w:rFonts w:ascii="Garamond" w:hAnsi="Garamond" w:cstheme="minorHAnsi"/>
                <w:sz w:val="22"/>
                <w:szCs w:val="22"/>
              </w:rPr>
              <w:t xml:space="preserve"> (Приложение № 1.1 к </w:t>
            </w:r>
            <w:r w:rsidRPr="00A5626D">
              <w:rPr>
                <w:rFonts w:ascii="Garamond" w:hAnsi="Garamond" w:cstheme="minorHAnsi"/>
                <w:i/>
                <w:sz w:val="22"/>
                <w:szCs w:val="22"/>
              </w:rPr>
              <w:t>Договору о присоединении к торговой системе оптового рынка</w:t>
            </w:r>
            <w:r w:rsidRPr="00A5626D">
              <w:rPr>
                <w:rFonts w:ascii="Garamond" w:hAnsi="Garamond" w:cstheme="minorHAnsi"/>
                <w:sz w:val="22"/>
                <w:szCs w:val="22"/>
              </w:rPr>
              <w:t xml:space="preserve">), для формирования акта учета перетоков по </w:t>
            </w:r>
            <w:r w:rsidRPr="00A5626D">
              <w:rPr>
                <w:rFonts w:ascii="Garamond" w:hAnsi="Garamond" w:cstheme="minorHAnsi"/>
                <w:sz w:val="22"/>
                <w:szCs w:val="22"/>
              </w:rPr>
              <w:lastRenderedPageBreak/>
              <w:t xml:space="preserve">сечению </w:t>
            </w:r>
            <w:r w:rsidRPr="00A5626D">
              <w:rPr>
                <w:rFonts w:ascii="Garamond" w:eastAsia="Calibri" w:hAnsi="Garamond" w:cstheme="minorHAnsi"/>
                <w:sz w:val="22"/>
                <w:szCs w:val="22"/>
                <w:lang w:eastAsia="en-US"/>
              </w:rPr>
              <w:t>коммерческого учета</w:t>
            </w:r>
            <w:r w:rsidRPr="00A5626D">
              <w:rPr>
                <w:rFonts w:ascii="Garamond" w:hAnsi="Garamond" w:cstheme="minorHAnsi"/>
                <w:sz w:val="22"/>
                <w:szCs w:val="22"/>
              </w:rPr>
              <w:t xml:space="preserve"> (макет 51020) в порядке, предусмотренном п. 7.2 настоящего Регламента.</w:t>
            </w:r>
          </w:p>
          <w:p w14:paraId="3E590A48" w14:textId="602221AF" w:rsidR="00295C6D" w:rsidRPr="00A5626D" w:rsidRDefault="00295C6D" w:rsidP="00647FA0">
            <w:pPr>
              <w:tabs>
                <w:tab w:val="num" w:pos="0"/>
                <w:tab w:val="left" w:pos="1134"/>
                <w:tab w:val="left" w:pos="1200"/>
                <w:tab w:val="left" w:pos="7938"/>
              </w:tabs>
              <w:spacing w:before="120" w:after="120"/>
              <w:ind w:firstLine="629"/>
              <w:jc w:val="both"/>
              <w:rPr>
                <w:rFonts w:ascii="Garamond" w:hAnsi="Garamond" w:cstheme="minorHAnsi"/>
                <w:sz w:val="22"/>
                <w:szCs w:val="22"/>
              </w:rPr>
            </w:pPr>
            <w:r w:rsidRPr="00A5626D">
              <w:rPr>
                <w:rFonts w:ascii="Garamond" w:hAnsi="Garamond" w:cstheme="minorHAnsi"/>
                <w:sz w:val="22"/>
                <w:szCs w:val="22"/>
              </w:rPr>
              <w:t xml:space="preserve">У поставщика электроэнергии в отношении ГТП генерации, а также у участников оптового рынка (ФСК) в отношении сечения </w:t>
            </w:r>
            <w:r w:rsidRPr="00A5626D">
              <w:rPr>
                <w:rFonts w:ascii="Garamond" w:eastAsia="Calibri" w:hAnsi="Garamond" w:cstheme="minorHAnsi"/>
                <w:sz w:val="22"/>
                <w:szCs w:val="22"/>
                <w:lang w:eastAsia="en-US"/>
              </w:rPr>
              <w:t>коммерческого учета</w:t>
            </w:r>
            <w:r w:rsidRPr="00A5626D">
              <w:rPr>
                <w:rFonts w:ascii="Garamond" w:hAnsi="Garamond" w:cstheme="minorHAnsi"/>
                <w:sz w:val="22"/>
                <w:szCs w:val="22"/>
              </w:rPr>
              <w:t xml:space="preserve"> отсутствует возможность формирования акта учета (оборота) по ГТП генерации и (или) актов учета перетоков по сечению </w:t>
            </w:r>
            <w:r w:rsidRPr="00A5626D">
              <w:rPr>
                <w:rFonts w:ascii="Garamond" w:eastAsia="Calibri" w:hAnsi="Garamond" w:cstheme="minorHAnsi"/>
                <w:sz w:val="22"/>
                <w:szCs w:val="22"/>
                <w:lang w:eastAsia="en-US"/>
              </w:rPr>
              <w:t>коммерческого учета</w:t>
            </w:r>
            <w:r w:rsidRPr="00A5626D">
              <w:rPr>
                <w:rFonts w:ascii="Garamond" w:hAnsi="Garamond" w:cstheme="minorHAnsi"/>
                <w:sz w:val="22"/>
                <w:szCs w:val="22"/>
              </w:rPr>
              <w:t xml:space="preserve"> в порядке, предусмотренном пп. </w:t>
            </w:r>
            <w:r w:rsidR="00864408" w:rsidRPr="00A5626D">
              <w:rPr>
                <w:rFonts w:ascii="Garamond" w:hAnsi="Garamond" w:cstheme="minorHAnsi"/>
                <w:sz w:val="22"/>
                <w:szCs w:val="22"/>
              </w:rPr>
              <w:t xml:space="preserve">7.2 </w:t>
            </w:r>
            <w:r w:rsidR="00864408" w:rsidRPr="00A5626D">
              <w:rPr>
                <w:rFonts w:ascii="Garamond" w:hAnsi="Garamond" w:cstheme="minorHAnsi"/>
                <w:sz w:val="22"/>
                <w:szCs w:val="22"/>
                <w:highlight w:val="yellow"/>
              </w:rPr>
              <w:t xml:space="preserve">и </w:t>
            </w:r>
            <w:r w:rsidRPr="00A5626D">
              <w:rPr>
                <w:rFonts w:ascii="Garamond" w:hAnsi="Garamond" w:cstheme="minorHAnsi"/>
                <w:sz w:val="22"/>
                <w:szCs w:val="22"/>
                <w:highlight w:val="yellow"/>
              </w:rPr>
              <w:t>7.3</w:t>
            </w:r>
            <w:r w:rsidRPr="00A5626D">
              <w:rPr>
                <w:rFonts w:ascii="Garamond" w:hAnsi="Garamond" w:cstheme="minorHAnsi"/>
                <w:sz w:val="22"/>
                <w:szCs w:val="22"/>
              </w:rPr>
              <w:t xml:space="preserve"> настоящего Регламента соответственно, в случаях:</w:t>
            </w:r>
          </w:p>
          <w:p w14:paraId="78EC51FB" w14:textId="77777777" w:rsidR="00295C6D" w:rsidRPr="00A5626D" w:rsidRDefault="00295C6D" w:rsidP="00647FA0">
            <w:pPr>
              <w:pStyle w:val="a8"/>
              <w:tabs>
                <w:tab w:val="left" w:pos="960"/>
                <w:tab w:val="left" w:pos="1134"/>
                <w:tab w:val="left" w:pos="7938"/>
              </w:tabs>
              <w:suppressAutoHyphens w:val="0"/>
              <w:autoSpaceDE w:val="0"/>
              <w:autoSpaceDN w:val="0"/>
              <w:spacing w:before="120" w:after="120"/>
              <w:ind w:left="629"/>
              <w:rPr>
                <w:rFonts w:ascii="Garamond" w:hAnsi="Garamond" w:cstheme="minorHAnsi"/>
                <w:sz w:val="22"/>
                <w:szCs w:val="22"/>
              </w:rPr>
            </w:pPr>
            <w:r w:rsidRPr="00A5626D">
              <w:rPr>
                <w:rFonts w:ascii="Garamond" w:hAnsi="Garamond" w:cstheme="minorHAnsi"/>
                <w:sz w:val="22"/>
                <w:szCs w:val="22"/>
              </w:rPr>
              <w:t>…</w:t>
            </w:r>
          </w:p>
          <w:p w14:paraId="1D12049E" w14:textId="2925D8F9" w:rsidR="00295C6D" w:rsidRPr="00A5626D" w:rsidRDefault="00295C6D" w:rsidP="00647FA0">
            <w:pPr>
              <w:tabs>
                <w:tab w:val="num" w:pos="0"/>
                <w:tab w:val="left" w:pos="1134"/>
                <w:tab w:val="left" w:pos="1200"/>
                <w:tab w:val="left" w:pos="7938"/>
              </w:tabs>
              <w:spacing w:before="120" w:after="120"/>
              <w:ind w:firstLine="629"/>
              <w:jc w:val="both"/>
              <w:rPr>
                <w:rFonts w:ascii="Garamond" w:hAnsi="Garamond" w:cstheme="minorHAnsi"/>
                <w:sz w:val="22"/>
                <w:szCs w:val="22"/>
              </w:rPr>
            </w:pPr>
            <w:r w:rsidRPr="00A5626D">
              <w:rPr>
                <w:rFonts w:ascii="Garamond" w:hAnsi="Garamond" w:cstheme="minorHAnsi"/>
                <w:sz w:val="22"/>
                <w:szCs w:val="22"/>
              </w:rPr>
              <w:t xml:space="preserve">Корректирующий акт учета (оборота) по ГТП генерации или корректирующий акт учета перетоков по сечению коммерческого учета (макеты 51075) с указанием причины № 5 принимается КО для осуществления расчетов в соответствии с требованиями настоящего Регламента в случае его направления в КО после 12:00 (по московскому времени) 4-го числа месяца, следующего за отчетным, в отношении ГТП генерации и после 12:00 (по московскому времени) 5-го числа месяца, следующего за отчетным, в отношении сечений коммерческого учета или после подписания согласия на закрытие приема результатов измерений от АИИС КУЭ (макет 51019) в соответствии с пп. </w:t>
            </w:r>
            <w:r w:rsidR="00864408" w:rsidRPr="00A5626D">
              <w:rPr>
                <w:rFonts w:ascii="Garamond" w:hAnsi="Garamond" w:cstheme="minorHAnsi"/>
                <w:sz w:val="22"/>
                <w:szCs w:val="22"/>
              </w:rPr>
              <w:t xml:space="preserve">7.2, </w:t>
            </w:r>
            <w:r w:rsidRPr="00A5626D">
              <w:rPr>
                <w:rFonts w:ascii="Garamond" w:hAnsi="Garamond" w:cstheme="minorHAnsi"/>
                <w:sz w:val="22"/>
                <w:szCs w:val="22"/>
                <w:highlight w:val="yellow"/>
              </w:rPr>
              <w:t>7.3</w:t>
            </w:r>
            <w:r w:rsidRPr="00A5626D">
              <w:rPr>
                <w:rFonts w:ascii="Garamond" w:hAnsi="Garamond" w:cstheme="minorHAnsi"/>
                <w:sz w:val="22"/>
                <w:szCs w:val="22"/>
              </w:rPr>
              <w:t xml:space="preserve"> настоящего Регламента.</w:t>
            </w:r>
          </w:p>
          <w:p w14:paraId="5747F3BE" w14:textId="77777777" w:rsidR="00295C6D" w:rsidRPr="00A5626D" w:rsidRDefault="00295C6D" w:rsidP="00647FA0">
            <w:pPr>
              <w:tabs>
                <w:tab w:val="num" w:pos="0"/>
                <w:tab w:val="left" w:pos="1134"/>
                <w:tab w:val="left" w:pos="1200"/>
                <w:tab w:val="left" w:pos="7938"/>
              </w:tabs>
              <w:spacing w:before="120" w:after="120"/>
              <w:ind w:firstLine="629"/>
              <w:jc w:val="both"/>
              <w:rPr>
                <w:rFonts w:ascii="Garamond" w:hAnsi="Garamond" w:cstheme="minorHAnsi"/>
                <w:sz w:val="22"/>
                <w:szCs w:val="22"/>
              </w:rPr>
            </w:pPr>
            <w:r w:rsidRPr="00A5626D">
              <w:rPr>
                <w:rFonts w:ascii="Garamond" w:hAnsi="Garamond" w:cstheme="minorHAnsi"/>
                <w:sz w:val="22"/>
                <w:szCs w:val="22"/>
              </w:rPr>
              <w:t xml:space="preserve">Максимально допустимая величина расхождения в точках поставки или ГТП генерации / сечении коммерческого учета рассчитывается по формуле: ∆ = ±2 кВт∙ч × </w:t>
            </w:r>
            <w:r w:rsidRPr="00A5626D">
              <w:rPr>
                <w:rFonts w:ascii="Garamond" w:hAnsi="Garamond" w:cstheme="minorHAnsi"/>
                <w:i/>
                <w:sz w:val="22"/>
                <w:szCs w:val="22"/>
              </w:rPr>
              <w:t>N</w:t>
            </w:r>
            <w:r w:rsidRPr="00A5626D">
              <w:rPr>
                <w:rFonts w:ascii="Garamond" w:hAnsi="Garamond" w:cstheme="minorHAnsi"/>
                <w:sz w:val="22"/>
                <w:szCs w:val="22"/>
              </w:rPr>
              <w:t xml:space="preserve">, где </w:t>
            </w:r>
            <w:r w:rsidRPr="00A5626D">
              <w:rPr>
                <w:rFonts w:ascii="Garamond" w:hAnsi="Garamond" w:cstheme="minorHAnsi"/>
                <w:i/>
                <w:sz w:val="22"/>
                <w:szCs w:val="22"/>
              </w:rPr>
              <w:t>N</w:t>
            </w:r>
            <w:r w:rsidRPr="00A5626D">
              <w:rPr>
                <w:rFonts w:ascii="Garamond" w:hAnsi="Garamond" w:cstheme="minorHAnsi"/>
                <w:sz w:val="22"/>
                <w:szCs w:val="22"/>
              </w:rPr>
              <w:t xml:space="preserve"> – число точек измерений активной энергии, используемых для расчета итоговой величины электроэнергии в каналах точки поставки или в ГТП генерации / сечении коммерческого учета.</w:t>
            </w:r>
          </w:p>
          <w:p w14:paraId="7E5EB1C3" w14:textId="0063B2E3" w:rsidR="00295C6D" w:rsidRPr="00A5626D" w:rsidRDefault="00295C6D" w:rsidP="00647FA0">
            <w:pPr>
              <w:tabs>
                <w:tab w:val="num" w:pos="0"/>
                <w:tab w:val="left" w:pos="1134"/>
                <w:tab w:val="left" w:pos="1200"/>
                <w:tab w:val="left" w:pos="7938"/>
              </w:tabs>
              <w:spacing w:before="120" w:after="120" w:line="22" w:lineRule="atLeast"/>
              <w:ind w:firstLine="629"/>
              <w:jc w:val="both"/>
              <w:rPr>
                <w:rFonts w:ascii="Garamond" w:hAnsi="Garamond" w:cstheme="minorHAnsi"/>
                <w:sz w:val="22"/>
                <w:szCs w:val="22"/>
              </w:rPr>
            </w:pPr>
            <w:r w:rsidRPr="00A5626D">
              <w:rPr>
                <w:rFonts w:ascii="Garamond" w:hAnsi="Garamond" w:cstheme="minorHAnsi"/>
                <w:sz w:val="22"/>
                <w:szCs w:val="22"/>
              </w:rPr>
              <w:t xml:space="preserve">Участник оптового рынка, в состав ГТП потребления которого входит внутреннее сечение, имеет право в период начиная с 20-го числа отчетного месяца и до 6-го числа (включительно) месяца, следующего за отчетным, в случаях, предусмотренных п. </w:t>
            </w:r>
            <w:r w:rsidRPr="00A5626D">
              <w:rPr>
                <w:rFonts w:ascii="Garamond" w:hAnsi="Garamond" w:cstheme="minorHAnsi"/>
                <w:sz w:val="22"/>
                <w:szCs w:val="22"/>
                <w:highlight w:val="yellow"/>
              </w:rPr>
              <w:t>5</w:t>
            </w:r>
            <w:r w:rsidRPr="00A5626D">
              <w:rPr>
                <w:rFonts w:ascii="Garamond" w:hAnsi="Garamond" w:cstheme="minorHAnsi"/>
                <w:sz w:val="22"/>
                <w:szCs w:val="22"/>
              </w:rPr>
              <w:t xml:space="preserve">.4 настоящего Регламента, направить в КО корректирующий акт учета перетоков по внутреннему сечению (макет 51075) с указанием причины № 4 (в таком случае расчет значений учетных показателей осуществляется на основании замещающих методов расчета, приведенных в п. 8.1 настоящего Регламента, с использованием вышеуказанного корректирующего акта учета перетоков по внутреннему сечению (макет 51075)). По истечении сроков, </w:t>
            </w:r>
            <w:r w:rsidRPr="00A5626D">
              <w:rPr>
                <w:rFonts w:ascii="Garamond" w:hAnsi="Garamond" w:cstheme="minorHAnsi"/>
                <w:sz w:val="22"/>
                <w:szCs w:val="22"/>
              </w:rPr>
              <w:lastRenderedPageBreak/>
              <w:t xml:space="preserve">установленных п. </w:t>
            </w:r>
            <w:r w:rsidRPr="00A5626D">
              <w:rPr>
                <w:rFonts w:ascii="Garamond" w:hAnsi="Garamond" w:cstheme="minorHAnsi"/>
                <w:sz w:val="22"/>
                <w:szCs w:val="22"/>
                <w:highlight w:val="yellow"/>
              </w:rPr>
              <w:t>5</w:t>
            </w:r>
            <w:r w:rsidRPr="00A5626D">
              <w:rPr>
                <w:rFonts w:ascii="Garamond" w:hAnsi="Garamond" w:cstheme="minorHAnsi"/>
                <w:sz w:val="22"/>
                <w:szCs w:val="22"/>
              </w:rPr>
              <w:t xml:space="preserve">.4 настоящего Регламента для исполнения требований </w:t>
            </w:r>
            <w:r w:rsidRPr="00A5626D">
              <w:rPr>
                <w:rFonts w:ascii="Garamond" w:hAnsi="Garamond" w:cstheme="minorHAnsi"/>
                <w:sz w:val="22"/>
                <w:szCs w:val="22"/>
                <w:highlight w:val="yellow"/>
              </w:rPr>
              <w:t>п. 5.1</w:t>
            </w:r>
            <w:r w:rsidR="000B3419" w:rsidRPr="00A5626D">
              <w:rPr>
                <w:rFonts w:ascii="Garamond" w:hAnsi="Garamond" w:cstheme="minorHAnsi"/>
                <w:sz w:val="22"/>
                <w:szCs w:val="22"/>
                <w:highlight w:val="yellow"/>
              </w:rPr>
              <w:t>–</w:t>
            </w:r>
            <w:r w:rsidRPr="00A5626D">
              <w:rPr>
                <w:rFonts w:ascii="Garamond" w:hAnsi="Garamond" w:cstheme="minorHAnsi"/>
                <w:sz w:val="22"/>
                <w:szCs w:val="22"/>
                <w:highlight w:val="yellow"/>
              </w:rPr>
              <w:t>5.3</w:t>
            </w:r>
            <w:r w:rsidRPr="00A5626D">
              <w:rPr>
                <w:rFonts w:ascii="Garamond" w:hAnsi="Garamond" w:cstheme="minorHAnsi"/>
                <w:sz w:val="22"/>
                <w:szCs w:val="22"/>
              </w:rPr>
              <w:t xml:space="preserve"> настоящего Регламента, в случае неисполнения требований </w:t>
            </w:r>
            <w:r w:rsidRPr="00A5626D">
              <w:rPr>
                <w:rFonts w:ascii="Garamond" w:hAnsi="Garamond" w:cstheme="minorHAnsi"/>
                <w:sz w:val="22"/>
                <w:szCs w:val="22"/>
                <w:highlight w:val="yellow"/>
              </w:rPr>
              <w:t>п. 5.4 настоящего Регламента</w:t>
            </w:r>
            <w:r w:rsidRPr="00A5626D">
              <w:rPr>
                <w:rFonts w:ascii="Garamond" w:hAnsi="Garamond" w:cstheme="minorHAnsi"/>
                <w:sz w:val="22"/>
                <w:szCs w:val="22"/>
              </w:rPr>
              <w:t>, возможность отправки корректирующего акта учета перетоков по внутреннему сечению (макет 51075) у участника оптового рынка отсутствует, КО применяет замещающие методы расчета, предусмотренные п. 8.2 настоящего Регламента.</w:t>
            </w:r>
          </w:p>
          <w:p w14:paraId="11D67BB5" w14:textId="77777777" w:rsidR="00295C6D" w:rsidRPr="00A5626D" w:rsidRDefault="00295C6D" w:rsidP="00647FA0">
            <w:pPr>
              <w:tabs>
                <w:tab w:val="left" w:pos="1134"/>
                <w:tab w:val="left" w:pos="7938"/>
              </w:tabs>
              <w:spacing w:before="120" w:after="120" w:line="22" w:lineRule="atLeast"/>
              <w:ind w:firstLine="629"/>
              <w:jc w:val="both"/>
              <w:rPr>
                <w:rFonts w:ascii="Garamond" w:hAnsi="Garamond" w:cstheme="minorHAnsi"/>
                <w:sz w:val="22"/>
                <w:szCs w:val="22"/>
              </w:rPr>
            </w:pPr>
            <w:r w:rsidRPr="00A5626D">
              <w:rPr>
                <w:rFonts w:ascii="Garamond" w:hAnsi="Garamond" w:cstheme="minorHAnsi"/>
                <w:sz w:val="22"/>
                <w:szCs w:val="22"/>
              </w:rPr>
              <w:t>Участники оптового рынка (ФСК) при формировании корректирующего акта учета (оборота) по ГТП генерации, корректирующего акта учета перетоков по сечению коммерческого учета (макеты 51075), содержащих значения по точкам поставки, должны осуществлять расчет почасовых значений произведенной/потребленной (переданной) электроэнергии в соответствии со следующим порядком:</w:t>
            </w:r>
          </w:p>
          <w:p w14:paraId="6C547796" w14:textId="1034BEBE" w:rsidR="00295C6D" w:rsidRPr="00A5626D" w:rsidRDefault="00295C6D" w:rsidP="00647FA0">
            <w:pPr>
              <w:pStyle w:val="ac"/>
              <w:numPr>
                <w:ilvl w:val="0"/>
                <w:numId w:val="261"/>
              </w:numPr>
              <w:tabs>
                <w:tab w:val="left" w:pos="600"/>
                <w:tab w:val="left" w:pos="1134"/>
                <w:tab w:val="left" w:pos="7938"/>
              </w:tabs>
              <w:spacing w:before="120" w:after="120" w:line="22" w:lineRule="atLeast"/>
              <w:ind w:left="0" w:firstLine="601"/>
              <w:jc w:val="both"/>
              <w:rPr>
                <w:rFonts w:ascii="Garamond" w:hAnsi="Garamond" w:cstheme="minorHAnsi"/>
                <w:sz w:val="22"/>
                <w:szCs w:val="22"/>
              </w:rPr>
            </w:pPr>
            <w:r w:rsidRPr="00A5626D">
              <w:rPr>
                <w:rFonts w:ascii="Garamond" w:hAnsi="Garamond" w:cstheme="minorHAnsi"/>
                <w:sz w:val="22"/>
                <w:szCs w:val="22"/>
              </w:rPr>
              <w:t>вычисляются получасовые значения потерь (в кВт∙ч) от точки измерений до точки поставки;</w:t>
            </w:r>
            <w:r w:rsidR="009B5F03" w:rsidRPr="00A5626D">
              <w:rPr>
                <w:rFonts w:ascii="Garamond" w:hAnsi="Garamond" w:cstheme="minorHAnsi"/>
                <w:sz w:val="22"/>
                <w:szCs w:val="22"/>
              </w:rPr>
              <w:t xml:space="preserve"> </w:t>
            </w:r>
          </w:p>
          <w:p w14:paraId="7F7CB577" w14:textId="77777777" w:rsidR="00295C6D" w:rsidRPr="00A5626D" w:rsidRDefault="00295C6D" w:rsidP="00647FA0">
            <w:pPr>
              <w:pStyle w:val="ac"/>
              <w:numPr>
                <w:ilvl w:val="0"/>
                <w:numId w:val="261"/>
              </w:numPr>
              <w:tabs>
                <w:tab w:val="left" w:pos="600"/>
                <w:tab w:val="left" w:pos="1134"/>
                <w:tab w:val="left" w:pos="7938"/>
              </w:tabs>
              <w:spacing w:before="120" w:after="120" w:line="22" w:lineRule="atLeast"/>
              <w:ind w:left="0" w:firstLine="629"/>
              <w:jc w:val="both"/>
              <w:rPr>
                <w:rFonts w:ascii="Garamond" w:hAnsi="Garamond" w:cstheme="minorHAnsi"/>
                <w:sz w:val="22"/>
                <w:szCs w:val="22"/>
              </w:rPr>
            </w:pPr>
            <w:r w:rsidRPr="00A5626D">
              <w:rPr>
                <w:rFonts w:ascii="Garamond" w:hAnsi="Garamond" w:cstheme="minorHAnsi"/>
                <w:sz w:val="22"/>
                <w:szCs w:val="22"/>
              </w:rPr>
              <w:t>вычисляются часовые величины электроэнергии в направлении отдача/прием в точке поставки (как сумма за два получаса в пределах одного часа);</w:t>
            </w:r>
          </w:p>
          <w:p w14:paraId="6E4A9FB9" w14:textId="77777777" w:rsidR="00295C6D" w:rsidRPr="00A5626D" w:rsidRDefault="00295C6D" w:rsidP="00647FA0">
            <w:pPr>
              <w:pStyle w:val="ac"/>
              <w:numPr>
                <w:ilvl w:val="0"/>
                <w:numId w:val="261"/>
              </w:numPr>
              <w:tabs>
                <w:tab w:val="left" w:pos="600"/>
                <w:tab w:val="left" w:pos="1134"/>
                <w:tab w:val="left" w:pos="7938"/>
              </w:tabs>
              <w:spacing w:before="120" w:after="120" w:line="22" w:lineRule="atLeast"/>
              <w:ind w:left="0" w:firstLine="629"/>
              <w:jc w:val="both"/>
              <w:rPr>
                <w:rFonts w:ascii="Garamond" w:hAnsi="Garamond" w:cstheme="minorHAnsi"/>
                <w:sz w:val="22"/>
                <w:szCs w:val="22"/>
              </w:rPr>
            </w:pPr>
            <w:r w:rsidRPr="00A5626D">
              <w:rPr>
                <w:rFonts w:ascii="Garamond" w:hAnsi="Garamond" w:cstheme="minorHAnsi"/>
                <w:sz w:val="22"/>
                <w:szCs w:val="22"/>
              </w:rPr>
              <w:t>округляются до целых часовые значения величины электроэнергии в направлении отдача/прием в точке поставки.</w:t>
            </w:r>
          </w:p>
          <w:p w14:paraId="3FDE6209" w14:textId="77777777" w:rsidR="00295C6D" w:rsidRPr="00A5626D" w:rsidRDefault="00295C6D" w:rsidP="00647FA0">
            <w:pPr>
              <w:tabs>
                <w:tab w:val="left" w:pos="1134"/>
                <w:tab w:val="left" w:pos="7938"/>
              </w:tabs>
              <w:spacing w:before="120" w:after="120" w:line="22" w:lineRule="atLeast"/>
              <w:ind w:firstLine="629"/>
              <w:jc w:val="both"/>
              <w:rPr>
                <w:rFonts w:ascii="Garamond" w:hAnsi="Garamond" w:cstheme="minorHAnsi"/>
                <w:sz w:val="22"/>
                <w:szCs w:val="22"/>
              </w:rPr>
            </w:pPr>
            <w:r w:rsidRPr="00A5626D">
              <w:rPr>
                <w:rFonts w:ascii="Garamond" w:hAnsi="Garamond" w:cstheme="minorHAnsi"/>
                <w:sz w:val="22"/>
                <w:szCs w:val="22"/>
              </w:rPr>
              <w:t>Применяется следующий алгоритм округления: дробная часть на часовом интервале округляется до целых кВт∙ч по алгебраическим правилам округления – если десятичная часть больше или равна 5, то результат округляется в большую сторону, если меньше, то в меньшую. Разница между неокругленным значением и округленным (остаток от округления) прибавляется к результату измерений на следующем часовом интервале с учетом знака;</w:t>
            </w:r>
          </w:p>
          <w:p w14:paraId="5163C76A" w14:textId="77777777" w:rsidR="00295C6D" w:rsidRPr="00A5626D" w:rsidRDefault="00295C6D" w:rsidP="00647FA0">
            <w:pPr>
              <w:pStyle w:val="ac"/>
              <w:numPr>
                <w:ilvl w:val="0"/>
                <w:numId w:val="261"/>
              </w:numPr>
              <w:tabs>
                <w:tab w:val="left" w:pos="601"/>
                <w:tab w:val="left" w:pos="1134"/>
                <w:tab w:val="left" w:pos="7938"/>
              </w:tabs>
              <w:spacing w:before="120" w:after="120" w:line="22" w:lineRule="atLeast"/>
              <w:ind w:left="0" w:firstLine="629"/>
              <w:jc w:val="both"/>
              <w:rPr>
                <w:rFonts w:ascii="Garamond" w:hAnsi="Garamond" w:cstheme="minorHAnsi"/>
                <w:sz w:val="22"/>
                <w:szCs w:val="22"/>
              </w:rPr>
            </w:pPr>
            <w:r w:rsidRPr="00A5626D">
              <w:rPr>
                <w:rFonts w:ascii="Garamond" w:hAnsi="Garamond" w:cstheme="minorHAnsi"/>
                <w:sz w:val="22"/>
                <w:szCs w:val="22"/>
              </w:rPr>
              <w:t>вычисляются часовые значения величины электроэнергии по ГТП генерации / сечению коммерческого учета на основании округленных часовых значений величины электроэнергии в точках поставки.</w:t>
            </w:r>
          </w:p>
          <w:p w14:paraId="7BE606AB" w14:textId="77777777" w:rsidR="00295C6D" w:rsidRPr="00A5626D" w:rsidRDefault="00295C6D" w:rsidP="00647FA0">
            <w:pPr>
              <w:tabs>
                <w:tab w:val="num" w:pos="0"/>
                <w:tab w:val="left" w:pos="1134"/>
                <w:tab w:val="left" w:pos="1200"/>
                <w:tab w:val="left" w:pos="7938"/>
              </w:tabs>
              <w:spacing w:before="120" w:after="120" w:line="22" w:lineRule="atLeast"/>
              <w:ind w:firstLine="629"/>
              <w:jc w:val="both"/>
              <w:rPr>
                <w:rFonts w:ascii="Garamond" w:hAnsi="Garamond" w:cstheme="minorHAnsi"/>
                <w:sz w:val="22"/>
                <w:szCs w:val="22"/>
              </w:rPr>
            </w:pPr>
            <w:r w:rsidRPr="00A5626D">
              <w:rPr>
                <w:rFonts w:ascii="Garamond" w:hAnsi="Garamond" w:cstheme="minorHAnsi"/>
                <w:sz w:val="22"/>
                <w:szCs w:val="22"/>
              </w:rPr>
              <w:t xml:space="preserve">Расчет часовых величин учетного показателя по ГТП потребления, содержащим внутренние сечения, проводится с использованием замещающих методов расчета, предусмотренных п. 8.2 настоящего Регламента, с учетом особенностей, установленных пп. </w:t>
            </w:r>
            <w:r w:rsidRPr="00A5626D">
              <w:rPr>
                <w:rFonts w:ascii="Garamond" w:hAnsi="Garamond" w:cstheme="minorHAnsi"/>
                <w:sz w:val="22"/>
                <w:szCs w:val="22"/>
                <w:highlight w:val="yellow"/>
              </w:rPr>
              <w:t>5</w:t>
            </w:r>
            <w:r w:rsidRPr="00A5626D">
              <w:rPr>
                <w:rFonts w:ascii="Garamond" w:hAnsi="Garamond" w:cstheme="minorHAnsi"/>
                <w:sz w:val="22"/>
                <w:szCs w:val="22"/>
              </w:rPr>
              <w:t xml:space="preserve">.4 настоящего </w:t>
            </w:r>
            <w:r w:rsidRPr="00A5626D">
              <w:rPr>
                <w:rFonts w:ascii="Garamond" w:hAnsi="Garamond" w:cstheme="minorHAnsi"/>
                <w:sz w:val="22"/>
                <w:szCs w:val="22"/>
              </w:rPr>
              <w:lastRenderedPageBreak/>
              <w:t>Регламента, при выполнении хотя бы одного из нижеперечисленных условий:</w:t>
            </w:r>
          </w:p>
          <w:p w14:paraId="429AD42B" w14:textId="77777777" w:rsidR="00295C6D" w:rsidRPr="00A5626D" w:rsidRDefault="00295C6D" w:rsidP="00647FA0">
            <w:pPr>
              <w:pStyle w:val="a8"/>
              <w:numPr>
                <w:ilvl w:val="0"/>
                <w:numId w:val="259"/>
              </w:numPr>
              <w:tabs>
                <w:tab w:val="clear" w:pos="8100"/>
                <w:tab w:val="left" w:pos="960"/>
                <w:tab w:val="left" w:pos="1134"/>
                <w:tab w:val="left" w:pos="7938"/>
              </w:tabs>
              <w:suppressAutoHyphens w:val="0"/>
              <w:autoSpaceDE w:val="0"/>
              <w:autoSpaceDN w:val="0"/>
              <w:spacing w:before="120" w:after="120" w:line="22" w:lineRule="atLeast"/>
              <w:ind w:left="0" w:firstLine="629"/>
              <w:rPr>
                <w:rFonts w:ascii="Garamond" w:hAnsi="Garamond" w:cstheme="minorHAnsi"/>
                <w:sz w:val="22"/>
                <w:szCs w:val="22"/>
              </w:rPr>
            </w:pPr>
            <w:r w:rsidRPr="00A5626D">
              <w:rPr>
                <w:rFonts w:ascii="Garamond" w:hAnsi="Garamond" w:cstheme="minorHAnsi"/>
                <w:sz w:val="22"/>
                <w:szCs w:val="22"/>
              </w:rPr>
              <w:t>невыполнения требований раздела 5 или п. 7.4 настоящего Регламента;</w:t>
            </w:r>
          </w:p>
          <w:p w14:paraId="48CA4DD0" w14:textId="77777777" w:rsidR="00295C6D" w:rsidRPr="00A5626D" w:rsidRDefault="00295C6D" w:rsidP="00647FA0">
            <w:pPr>
              <w:pStyle w:val="a8"/>
              <w:numPr>
                <w:ilvl w:val="0"/>
                <w:numId w:val="259"/>
              </w:numPr>
              <w:tabs>
                <w:tab w:val="clear" w:pos="8100"/>
                <w:tab w:val="left" w:pos="960"/>
                <w:tab w:val="left" w:pos="1134"/>
                <w:tab w:val="left" w:pos="7938"/>
              </w:tabs>
              <w:suppressAutoHyphens w:val="0"/>
              <w:autoSpaceDE w:val="0"/>
              <w:autoSpaceDN w:val="0"/>
              <w:spacing w:before="120" w:after="120" w:line="22" w:lineRule="atLeast"/>
              <w:ind w:left="0" w:firstLine="629"/>
              <w:rPr>
                <w:rFonts w:ascii="Garamond" w:hAnsi="Garamond" w:cstheme="minorHAnsi"/>
                <w:sz w:val="22"/>
                <w:szCs w:val="22"/>
              </w:rPr>
            </w:pPr>
            <w:r w:rsidRPr="00A5626D">
              <w:rPr>
                <w:rFonts w:ascii="Garamond" w:hAnsi="Garamond" w:cstheme="minorHAnsi"/>
                <w:sz w:val="22"/>
                <w:szCs w:val="22"/>
              </w:rPr>
              <w:t>в отношении соответствующих часов – в случае передачи результатов измерений в макетах 80020 (80040) со статусом «некоммерческой информации»;</w:t>
            </w:r>
          </w:p>
          <w:p w14:paraId="1417F663" w14:textId="77777777" w:rsidR="00295C6D" w:rsidRPr="00A5626D" w:rsidRDefault="00295C6D" w:rsidP="00647FA0">
            <w:pPr>
              <w:pStyle w:val="a8"/>
              <w:numPr>
                <w:ilvl w:val="0"/>
                <w:numId w:val="259"/>
              </w:numPr>
              <w:tabs>
                <w:tab w:val="clear" w:pos="8100"/>
                <w:tab w:val="left" w:pos="960"/>
                <w:tab w:val="left" w:pos="1134"/>
                <w:tab w:val="left" w:pos="7938"/>
              </w:tabs>
              <w:suppressAutoHyphens w:val="0"/>
              <w:autoSpaceDE w:val="0"/>
              <w:autoSpaceDN w:val="0"/>
              <w:spacing w:before="120" w:after="120" w:line="22" w:lineRule="atLeast"/>
              <w:ind w:left="0" w:firstLine="629"/>
              <w:rPr>
                <w:rFonts w:ascii="Garamond" w:hAnsi="Garamond" w:cstheme="minorHAnsi"/>
                <w:sz w:val="22"/>
                <w:szCs w:val="22"/>
              </w:rPr>
            </w:pPr>
            <w:r w:rsidRPr="00A5626D">
              <w:rPr>
                <w:rFonts w:ascii="Garamond" w:hAnsi="Garamond" w:cstheme="minorHAnsi"/>
                <w:sz w:val="22"/>
                <w:szCs w:val="22"/>
              </w:rPr>
              <w:t xml:space="preserve">в отношении соответствующих часов – в случае неполучения КО результатов измерений в макетах 80020 (80040) либо невыполнения иных требований к порядку формирования и направления в КО результатов измерений, установленных Приложением № 11.1.1 к </w:t>
            </w:r>
            <w:r w:rsidRPr="00A5626D">
              <w:rPr>
                <w:rFonts w:ascii="Garamond" w:hAnsi="Garamond" w:cstheme="minorHAnsi"/>
                <w:i/>
                <w:sz w:val="22"/>
                <w:szCs w:val="22"/>
              </w:rPr>
              <w:t>Положению о порядке получения статуса субъекта оптового рынка и ведения реестра субъектов оптового рынка</w:t>
            </w:r>
            <w:r w:rsidRPr="00A5626D">
              <w:rPr>
                <w:rFonts w:ascii="Garamond" w:hAnsi="Garamond" w:cstheme="minorHAnsi"/>
                <w:sz w:val="22"/>
                <w:szCs w:val="22"/>
              </w:rPr>
              <w:t xml:space="preserve"> (Приложение № 1.1 к </w:t>
            </w:r>
            <w:r w:rsidRPr="00A5626D">
              <w:rPr>
                <w:rFonts w:ascii="Garamond" w:hAnsi="Garamond" w:cstheme="minorHAnsi"/>
                <w:i/>
                <w:sz w:val="22"/>
                <w:szCs w:val="22"/>
              </w:rPr>
              <w:t>Договору о присоединении к торговой системе оптового рынка</w:t>
            </w:r>
            <w:r w:rsidRPr="00A5626D">
              <w:rPr>
                <w:rFonts w:ascii="Garamond" w:hAnsi="Garamond" w:cstheme="minorHAnsi"/>
                <w:sz w:val="22"/>
                <w:szCs w:val="22"/>
              </w:rPr>
              <w:t>), необходимых для принятия результатов измерений к коммерческим расчетам.</w:t>
            </w:r>
          </w:p>
        </w:tc>
      </w:tr>
      <w:tr w:rsidR="00295C6D" w:rsidRPr="00A5626D" w14:paraId="479E3CD2" w14:textId="77777777" w:rsidTr="00647FA0">
        <w:tc>
          <w:tcPr>
            <w:tcW w:w="1060" w:type="dxa"/>
            <w:vAlign w:val="center"/>
          </w:tcPr>
          <w:p w14:paraId="0DE81473" w14:textId="77777777" w:rsidR="00295C6D" w:rsidRPr="00A5626D" w:rsidRDefault="00295C6D" w:rsidP="00E31AE6">
            <w:pPr>
              <w:widowControl w:val="0"/>
              <w:tabs>
                <w:tab w:val="left" w:pos="1134"/>
                <w:tab w:val="left" w:pos="7938"/>
              </w:tabs>
              <w:spacing w:line="22" w:lineRule="atLeast"/>
              <w:jc w:val="both"/>
              <w:rPr>
                <w:rFonts w:ascii="Garamond" w:hAnsi="Garamond"/>
                <w:b/>
                <w:sz w:val="22"/>
                <w:szCs w:val="22"/>
                <w:lang w:eastAsia="en-US"/>
              </w:rPr>
            </w:pPr>
            <w:r w:rsidRPr="00A5626D">
              <w:rPr>
                <w:rFonts w:ascii="Garamond" w:hAnsi="Garamond"/>
                <w:b/>
                <w:sz w:val="22"/>
                <w:szCs w:val="22"/>
                <w:lang w:eastAsia="en-US"/>
              </w:rPr>
              <w:lastRenderedPageBreak/>
              <w:t>7.7</w:t>
            </w:r>
          </w:p>
        </w:tc>
        <w:tc>
          <w:tcPr>
            <w:tcW w:w="6662" w:type="dxa"/>
            <w:shd w:val="clear" w:color="auto" w:fill="auto"/>
          </w:tcPr>
          <w:p w14:paraId="1B652611" w14:textId="77777777" w:rsidR="00295C6D" w:rsidRPr="00A5626D" w:rsidRDefault="00295C6D" w:rsidP="00647FA0">
            <w:pPr>
              <w:pStyle w:val="2"/>
              <w:widowControl/>
              <w:numPr>
                <w:ilvl w:val="0"/>
                <w:numId w:val="0"/>
              </w:numPr>
              <w:tabs>
                <w:tab w:val="left" w:pos="1134"/>
                <w:tab w:val="left" w:pos="7938"/>
              </w:tabs>
              <w:suppressAutoHyphens w:val="0"/>
              <w:autoSpaceDE/>
              <w:spacing w:before="120" w:after="120" w:line="259" w:lineRule="auto"/>
              <w:ind w:firstLine="629"/>
              <w:jc w:val="both"/>
              <w:rPr>
                <w:rFonts w:ascii="Garamond" w:hAnsi="Garamond" w:cstheme="minorHAnsi"/>
              </w:rPr>
            </w:pPr>
            <w:r w:rsidRPr="00A5626D">
              <w:rPr>
                <w:rFonts w:ascii="Garamond" w:hAnsi="Garamond" w:cstheme="minorHAnsi"/>
              </w:rPr>
              <w:t>Добавить пункт с последующим изменением нумерации</w:t>
            </w:r>
          </w:p>
        </w:tc>
        <w:tc>
          <w:tcPr>
            <w:tcW w:w="7088" w:type="dxa"/>
          </w:tcPr>
          <w:p w14:paraId="12722D0D" w14:textId="39A7DEC0" w:rsidR="00295C6D" w:rsidRPr="00A5626D" w:rsidRDefault="00295C6D" w:rsidP="00647FA0">
            <w:pPr>
              <w:pStyle w:val="2"/>
              <w:numPr>
                <w:ilvl w:val="0"/>
                <w:numId w:val="0"/>
              </w:numPr>
              <w:tabs>
                <w:tab w:val="left" w:pos="1134"/>
                <w:tab w:val="left" w:pos="7938"/>
              </w:tabs>
              <w:suppressAutoHyphens w:val="0"/>
              <w:spacing w:before="120" w:after="120" w:line="259" w:lineRule="auto"/>
              <w:ind w:firstLine="601"/>
              <w:jc w:val="both"/>
              <w:rPr>
                <w:rFonts w:ascii="Garamond" w:hAnsi="Garamond" w:cstheme="minorHAnsi"/>
                <w:b w:val="0"/>
                <w:highlight w:val="yellow"/>
              </w:rPr>
            </w:pPr>
            <w:r w:rsidRPr="00A5626D">
              <w:rPr>
                <w:rFonts w:ascii="Garamond" w:hAnsi="Garamond" w:cstheme="minorHAnsi"/>
                <w:b w:val="0"/>
                <w:highlight w:val="yellow"/>
              </w:rPr>
              <w:t xml:space="preserve">Агрегатор предоставляет в КО в период с 1-го по 6-е число </w:t>
            </w:r>
            <w:r w:rsidR="00CB5956" w:rsidRPr="00A5626D">
              <w:rPr>
                <w:rFonts w:ascii="Garamond" w:hAnsi="Garamond" w:cstheme="minorHAnsi"/>
                <w:b w:val="0"/>
                <w:highlight w:val="yellow"/>
              </w:rPr>
              <w:t>(</w:t>
            </w:r>
            <w:r w:rsidRPr="00A5626D">
              <w:rPr>
                <w:rFonts w:ascii="Garamond" w:hAnsi="Garamond" w:cstheme="minorHAnsi"/>
                <w:b w:val="0"/>
                <w:highlight w:val="yellow"/>
              </w:rPr>
              <w:t>включительно</w:t>
            </w:r>
            <w:r w:rsidR="00CB5956" w:rsidRPr="00A5626D">
              <w:rPr>
                <w:rFonts w:ascii="Garamond" w:hAnsi="Garamond" w:cstheme="minorHAnsi"/>
                <w:b w:val="0"/>
                <w:highlight w:val="yellow"/>
              </w:rPr>
              <w:t>)</w:t>
            </w:r>
            <w:r w:rsidRPr="00A5626D">
              <w:rPr>
                <w:rFonts w:ascii="Garamond" w:hAnsi="Garamond" w:cstheme="minorHAnsi"/>
                <w:b w:val="0"/>
                <w:highlight w:val="yellow"/>
              </w:rPr>
              <w:t xml:space="preserve"> месяца, следующего за отчетным, в электронном виде с ЭП почасовой акт учета (оборота) по объекту регулирования (макет 21070), согласованный с владельцем ГТП. В случае если агрегатор одновременно является владельцем ГТП, акт учета (оборота) по объекту регулирования (макет 21070) предоставляется без согласования с иными субъектами оптового рынка.</w:t>
            </w:r>
          </w:p>
          <w:p w14:paraId="4136FB27" w14:textId="766AD576" w:rsidR="00295C6D" w:rsidRPr="00A5626D" w:rsidRDefault="002D37AF" w:rsidP="00647FA0">
            <w:pPr>
              <w:tabs>
                <w:tab w:val="left" w:pos="1134"/>
                <w:tab w:val="left" w:pos="7938"/>
              </w:tabs>
              <w:spacing w:before="120" w:after="120"/>
              <w:ind w:firstLine="601"/>
              <w:jc w:val="both"/>
              <w:rPr>
                <w:rFonts w:ascii="Garamond" w:hAnsi="Garamond" w:cstheme="minorHAnsi"/>
                <w:bCs/>
                <w:sz w:val="22"/>
                <w:szCs w:val="22"/>
                <w:highlight w:val="yellow"/>
              </w:rPr>
            </w:pPr>
            <w:r w:rsidRPr="00A5626D">
              <w:rPr>
                <w:rFonts w:ascii="Garamond" w:hAnsi="Garamond" w:cstheme="minorHAnsi"/>
                <w:bCs/>
                <w:sz w:val="22"/>
                <w:szCs w:val="22"/>
                <w:highlight w:val="yellow"/>
              </w:rPr>
              <w:t>К</w:t>
            </w:r>
            <w:r w:rsidR="00870E0B" w:rsidRPr="00A5626D">
              <w:rPr>
                <w:rFonts w:ascii="Garamond" w:hAnsi="Garamond" w:cstheme="minorHAnsi"/>
                <w:bCs/>
                <w:sz w:val="22"/>
                <w:szCs w:val="22"/>
                <w:highlight w:val="yellow"/>
              </w:rPr>
              <w:t>О</w:t>
            </w:r>
            <w:r w:rsidRPr="00A5626D">
              <w:rPr>
                <w:rFonts w:ascii="Garamond" w:hAnsi="Garamond" w:cstheme="minorHAnsi"/>
                <w:bCs/>
                <w:sz w:val="22"/>
                <w:szCs w:val="22"/>
                <w:highlight w:val="yellow"/>
              </w:rPr>
              <w:t xml:space="preserve"> принимает </w:t>
            </w:r>
            <w:r w:rsidR="00295C6D" w:rsidRPr="00A5626D">
              <w:rPr>
                <w:rFonts w:ascii="Garamond" w:hAnsi="Garamond" w:cstheme="minorHAnsi"/>
                <w:bCs/>
                <w:sz w:val="22"/>
                <w:szCs w:val="22"/>
                <w:highlight w:val="yellow"/>
              </w:rPr>
              <w:t>акт</w:t>
            </w:r>
            <w:r w:rsidRPr="00A5626D">
              <w:rPr>
                <w:rFonts w:ascii="Garamond" w:hAnsi="Garamond" w:cstheme="minorHAnsi"/>
                <w:bCs/>
                <w:sz w:val="22"/>
                <w:szCs w:val="22"/>
                <w:highlight w:val="yellow"/>
              </w:rPr>
              <w:t>ы</w:t>
            </w:r>
            <w:r w:rsidR="00295C6D" w:rsidRPr="00A5626D">
              <w:rPr>
                <w:rFonts w:ascii="Garamond" w:hAnsi="Garamond" w:cstheme="minorHAnsi"/>
                <w:bCs/>
                <w:sz w:val="22"/>
                <w:szCs w:val="22"/>
                <w:highlight w:val="yellow"/>
              </w:rPr>
              <w:t xml:space="preserve"> учета (оборота) по объекту регулирования (макет 21070) не ранее первого числа месяца </w:t>
            </w:r>
            <w:r w:rsidR="00295C6D" w:rsidRPr="00A5626D">
              <w:rPr>
                <w:rFonts w:ascii="Garamond" w:hAnsi="Garamond" w:cstheme="minorHAnsi"/>
                <w:bCs/>
                <w:i/>
                <w:sz w:val="22"/>
                <w:szCs w:val="22"/>
                <w:highlight w:val="yellow"/>
              </w:rPr>
              <w:t>М</w:t>
            </w:r>
            <w:r w:rsidR="00295C6D" w:rsidRPr="00A5626D">
              <w:rPr>
                <w:rFonts w:ascii="Garamond" w:hAnsi="Garamond" w:cstheme="minorHAnsi"/>
                <w:bCs/>
                <w:sz w:val="22"/>
                <w:szCs w:val="22"/>
                <w:highlight w:val="yellow"/>
              </w:rPr>
              <w:t>+2</w:t>
            </w:r>
            <w:r w:rsidR="00CB5956" w:rsidRPr="00A5626D">
              <w:rPr>
                <w:rFonts w:ascii="Garamond" w:hAnsi="Garamond" w:cstheme="minorHAnsi"/>
                <w:bCs/>
                <w:sz w:val="22"/>
                <w:szCs w:val="22"/>
                <w:highlight w:val="yellow"/>
              </w:rPr>
              <w:t xml:space="preserve"> в отношении месяца </w:t>
            </w:r>
            <w:r w:rsidR="00CB5956" w:rsidRPr="00A5626D">
              <w:rPr>
                <w:rFonts w:ascii="Garamond" w:hAnsi="Garamond" w:cstheme="minorHAnsi"/>
                <w:bCs/>
                <w:i/>
                <w:sz w:val="22"/>
                <w:szCs w:val="22"/>
                <w:highlight w:val="yellow"/>
              </w:rPr>
              <w:t>М</w:t>
            </w:r>
            <w:r w:rsidR="00BE7DFC" w:rsidRPr="00A5626D">
              <w:rPr>
                <w:rFonts w:ascii="Garamond" w:hAnsi="Garamond" w:cstheme="minorHAnsi"/>
                <w:bCs/>
                <w:sz w:val="22"/>
                <w:szCs w:val="22"/>
                <w:highlight w:val="yellow"/>
              </w:rPr>
              <w:t>+</w:t>
            </w:r>
            <w:r w:rsidR="00CB5956" w:rsidRPr="00A5626D">
              <w:rPr>
                <w:rFonts w:ascii="Garamond" w:hAnsi="Garamond" w:cstheme="minorHAnsi"/>
                <w:bCs/>
                <w:sz w:val="22"/>
                <w:szCs w:val="22"/>
                <w:highlight w:val="yellow"/>
              </w:rPr>
              <w:t>1</w:t>
            </w:r>
            <w:r w:rsidR="00295C6D" w:rsidRPr="00A5626D">
              <w:rPr>
                <w:rFonts w:ascii="Garamond" w:hAnsi="Garamond" w:cstheme="minorHAnsi"/>
                <w:bCs/>
                <w:sz w:val="22"/>
                <w:szCs w:val="22"/>
                <w:highlight w:val="yellow"/>
              </w:rPr>
              <w:t xml:space="preserve">, где </w:t>
            </w:r>
            <w:r w:rsidR="00295C6D" w:rsidRPr="00A5626D">
              <w:rPr>
                <w:rFonts w:ascii="Garamond" w:hAnsi="Garamond" w:cstheme="minorHAnsi"/>
                <w:bCs/>
                <w:i/>
                <w:sz w:val="22"/>
                <w:szCs w:val="22"/>
                <w:highlight w:val="yellow"/>
              </w:rPr>
              <w:t>М</w:t>
            </w:r>
            <w:r w:rsidR="009B5F03" w:rsidRPr="00A5626D">
              <w:rPr>
                <w:rFonts w:ascii="Garamond" w:hAnsi="Garamond" w:cstheme="minorHAnsi"/>
                <w:bCs/>
                <w:sz w:val="22"/>
                <w:szCs w:val="22"/>
                <w:highlight w:val="yellow"/>
              </w:rPr>
              <w:t xml:space="preserve"> – </w:t>
            </w:r>
            <w:r w:rsidR="00295C6D" w:rsidRPr="00A5626D">
              <w:rPr>
                <w:rFonts w:ascii="Garamond" w:hAnsi="Garamond" w:cstheme="minorHAnsi"/>
                <w:bCs/>
                <w:sz w:val="22"/>
                <w:szCs w:val="22"/>
                <w:highlight w:val="yellow"/>
              </w:rPr>
              <w:t xml:space="preserve">месяц регистрации объекта регулирования в порядке, предусмотренном </w:t>
            </w:r>
            <w:r w:rsidR="00295C6D" w:rsidRPr="00A5626D">
              <w:rPr>
                <w:rFonts w:ascii="Garamond" w:hAnsi="Garamond" w:cstheme="minorHAnsi"/>
                <w:bCs/>
                <w:i/>
                <w:sz w:val="22"/>
                <w:szCs w:val="22"/>
                <w:highlight w:val="yellow"/>
              </w:rPr>
              <w:t>Положением о порядке получения статуса субъекта оптового рынка и ведения реестра субъектов оптового рынка</w:t>
            </w:r>
            <w:r w:rsidR="00295C6D" w:rsidRPr="00A5626D">
              <w:rPr>
                <w:rFonts w:ascii="Garamond" w:hAnsi="Garamond" w:cstheme="minorHAnsi"/>
                <w:bCs/>
                <w:sz w:val="22"/>
                <w:szCs w:val="22"/>
                <w:highlight w:val="yellow"/>
              </w:rPr>
              <w:t xml:space="preserve"> (Приложение № 1.1 к </w:t>
            </w:r>
            <w:r w:rsidR="00295C6D" w:rsidRPr="00A5626D">
              <w:rPr>
                <w:rFonts w:ascii="Garamond" w:hAnsi="Garamond" w:cstheme="minorHAnsi"/>
                <w:bCs/>
                <w:i/>
                <w:sz w:val="22"/>
                <w:szCs w:val="22"/>
                <w:highlight w:val="yellow"/>
              </w:rPr>
              <w:t>Договору о присоединении к торговой системе оптового рынка</w:t>
            </w:r>
            <w:r w:rsidR="00295C6D" w:rsidRPr="00A5626D">
              <w:rPr>
                <w:rFonts w:ascii="Garamond" w:hAnsi="Garamond" w:cstheme="minorHAnsi"/>
                <w:bCs/>
                <w:sz w:val="22"/>
                <w:szCs w:val="22"/>
                <w:highlight w:val="yellow"/>
              </w:rPr>
              <w:t>).</w:t>
            </w:r>
          </w:p>
          <w:p w14:paraId="754DE02E" w14:textId="77777777" w:rsidR="00295C6D" w:rsidRPr="00A5626D" w:rsidRDefault="00295C6D" w:rsidP="00647FA0">
            <w:pPr>
              <w:tabs>
                <w:tab w:val="left" w:pos="1134"/>
                <w:tab w:val="left" w:pos="7938"/>
              </w:tabs>
              <w:spacing w:before="120" w:after="120"/>
              <w:ind w:firstLine="601"/>
              <w:jc w:val="both"/>
              <w:rPr>
                <w:rFonts w:ascii="Garamond" w:hAnsi="Garamond" w:cstheme="minorHAnsi"/>
                <w:bCs/>
                <w:sz w:val="22"/>
                <w:szCs w:val="22"/>
              </w:rPr>
            </w:pPr>
            <w:r w:rsidRPr="00A5626D">
              <w:rPr>
                <w:rFonts w:ascii="Garamond" w:hAnsi="Garamond" w:cstheme="minorHAnsi"/>
                <w:bCs/>
                <w:sz w:val="22"/>
                <w:szCs w:val="22"/>
                <w:highlight w:val="yellow"/>
              </w:rPr>
              <w:t>Акт учета (оборота) по объекту регулирования (макет 21070) направляется агрегатором в КО по электронной почте на адрес электронной почты iasuku_crypto@rosenergo.com. Информация в виде электронного документа должна быть включена в почтовое сообщение как вложение.</w:t>
            </w:r>
          </w:p>
        </w:tc>
      </w:tr>
      <w:tr w:rsidR="00295C6D" w:rsidRPr="00A5626D" w14:paraId="0FE4DCB4" w14:textId="77777777" w:rsidTr="00647FA0">
        <w:tc>
          <w:tcPr>
            <w:tcW w:w="1060" w:type="dxa"/>
            <w:vAlign w:val="center"/>
          </w:tcPr>
          <w:p w14:paraId="1C9024B9" w14:textId="77777777" w:rsidR="00295C6D" w:rsidRPr="00A5626D" w:rsidRDefault="00295C6D" w:rsidP="00E31AE6">
            <w:pPr>
              <w:widowControl w:val="0"/>
              <w:tabs>
                <w:tab w:val="left" w:pos="1134"/>
                <w:tab w:val="left" w:pos="7938"/>
              </w:tabs>
              <w:spacing w:line="22" w:lineRule="atLeast"/>
              <w:jc w:val="both"/>
              <w:rPr>
                <w:rFonts w:ascii="Garamond" w:hAnsi="Garamond"/>
                <w:b/>
                <w:sz w:val="22"/>
                <w:szCs w:val="22"/>
                <w:lang w:eastAsia="en-US"/>
              </w:rPr>
            </w:pPr>
            <w:r w:rsidRPr="00A5626D">
              <w:rPr>
                <w:rFonts w:ascii="Garamond" w:hAnsi="Garamond"/>
                <w:b/>
                <w:sz w:val="22"/>
                <w:szCs w:val="22"/>
                <w:lang w:eastAsia="en-US"/>
              </w:rPr>
              <w:lastRenderedPageBreak/>
              <w:t>7.8</w:t>
            </w:r>
          </w:p>
        </w:tc>
        <w:tc>
          <w:tcPr>
            <w:tcW w:w="6662" w:type="dxa"/>
            <w:shd w:val="clear" w:color="auto" w:fill="auto"/>
          </w:tcPr>
          <w:p w14:paraId="60DD9E47" w14:textId="77777777" w:rsidR="00295C6D" w:rsidRPr="00A5626D" w:rsidRDefault="00295C6D" w:rsidP="00647FA0">
            <w:pPr>
              <w:pStyle w:val="2"/>
              <w:widowControl/>
              <w:numPr>
                <w:ilvl w:val="0"/>
                <w:numId w:val="0"/>
              </w:numPr>
              <w:tabs>
                <w:tab w:val="left" w:pos="1134"/>
                <w:tab w:val="left" w:pos="7938"/>
              </w:tabs>
              <w:suppressAutoHyphens w:val="0"/>
              <w:autoSpaceDE/>
              <w:spacing w:before="120" w:after="120" w:line="259" w:lineRule="auto"/>
              <w:ind w:firstLine="629"/>
              <w:jc w:val="both"/>
              <w:rPr>
                <w:rFonts w:ascii="Garamond" w:hAnsi="Garamond" w:cstheme="minorHAnsi"/>
                <w:b w:val="0"/>
              </w:rPr>
            </w:pPr>
            <w:bookmarkStart w:id="123" w:name="_Toc139239944"/>
            <w:r w:rsidRPr="00A5626D">
              <w:rPr>
                <w:rFonts w:ascii="Garamond" w:hAnsi="Garamond" w:cstheme="minorHAnsi"/>
                <w:b w:val="0"/>
              </w:rPr>
              <w:t>Согласованные интегральные акты учета перетоков (макеты 50080) предоставляются в КО в электронном виде, заверенные ЭП участников оптового рынка и ФСК.</w:t>
            </w:r>
            <w:bookmarkEnd w:id="123"/>
          </w:p>
          <w:p w14:paraId="310DF82A" w14:textId="77777777" w:rsidR="00295C6D" w:rsidRPr="00A5626D" w:rsidRDefault="00295C6D" w:rsidP="00647FA0">
            <w:pPr>
              <w:tabs>
                <w:tab w:val="num" w:pos="0"/>
                <w:tab w:val="left" w:pos="1134"/>
                <w:tab w:val="left" w:pos="1200"/>
                <w:tab w:val="left" w:pos="7938"/>
              </w:tabs>
              <w:spacing w:before="120" w:after="120" w:line="259" w:lineRule="auto"/>
              <w:ind w:firstLine="600"/>
              <w:jc w:val="both"/>
              <w:rPr>
                <w:rFonts w:ascii="Garamond" w:hAnsi="Garamond" w:cstheme="minorHAnsi"/>
                <w:sz w:val="22"/>
                <w:szCs w:val="22"/>
              </w:rPr>
            </w:pPr>
            <w:r w:rsidRPr="00A5626D">
              <w:rPr>
                <w:rFonts w:ascii="Garamond" w:hAnsi="Garamond" w:cstheme="minorHAnsi"/>
                <w:sz w:val="22"/>
                <w:szCs w:val="22"/>
              </w:rPr>
              <w:t xml:space="preserve">Корректирующий акт учета (оборота) по ГТП генерации, корректирующий акт учета перетоков по внутреннему сечению (в случаях, предусмотренных п. </w:t>
            </w:r>
            <w:r w:rsidRPr="00A5626D">
              <w:rPr>
                <w:rFonts w:ascii="Garamond" w:hAnsi="Garamond" w:cstheme="minorHAnsi"/>
                <w:sz w:val="22"/>
                <w:szCs w:val="22"/>
                <w:highlight w:val="yellow"/>
              </w:rPr>
              <w:t>3.2 или п. 3</w:t>
            </w:r>
            <w:r w:rsidRPr="00A5626D">
              <w:rPr>
                <w:rFonts w:ascii="Garamond" w:hAnsi="Garamond" w:cstheme="minorHAnsi"/>
                <w:sz w:val="22"/>
                <w:szCs w:val="22"/>
              </w:rPr>
              <w:t>.4 настоящего Регламента) (макеты 51075) предоставляется в КО в электронном виде, заверенный ЭП участника оптового рынка. Корректирующий акт учета перетоков по сечению коммерческого учета, входящему в сечение экспорта-импорта, корректирующий акт учета перетоков по сечению коммерческого учета между ценовыми, а также между ценовыми и неценовыми зонами (за исключением случаев, когда в указанных сечениях между ценовыми, ценовыми и неценовыми зонами оптового рынка точки поставки относятся к ГТП потребления участника оптового рынка) (макеты 51075) предоставляются в КО в электронном виде, заверенные ЭП ФСК. В отношении иных сечений коммерческого учета (в том числе временных сечений) корректирующий акт учета перетоков (макет 51075) предоставляется в КО в электронном виде, заверенный ЭП участников оптового рынка (ФСК).</w:t>
            </w:r>
          </w:p>
          <w:p w14:paraId="7FF62C16" w14:textId="77777777" w:rsidR="00295C6D" w:rsidRPr="00A5626D" w:rsidRDefault="00295C6D" w:rsidP="00647FA0">
            <w:pPr>
              <w:tabs>
                <w:tab w:val="num" w:pos="0"/>
                <w:tab w:val="left" w:pos="1134"/>
                <w:tab w:val="left" w:pos="1200"/>
                <w:tab w:val="left" w:pos="7938"/>
              </w:tabs>
              <w:spacing w:before="120" w:after="120" w:line="259" w:lineRule="auto"/>
              <w:ind w:firstLine="600"/>
              <w:jc w:val="both"/>
              <w:rPr>
                <w:rFonts w:ascii="Garamond" w:hAnsi="Garamond" w:cstheme="minorHAnsi"/>
                <w:sz w:val="22"/>
                <w:szCs w:val="22"/>
              </w:rPr>
            </w:pPr>
            <w:r w:rsidRPr="00A5626D">
              <w:rPr>
                <w:rFonts w:ascii="Garamond" w:hAnsi="Garamond" w:cstheme="minorHAnsi"/>
                <w:sz w:val="22"/>
                <w:szCs w:val="22"/>
              </w:rPr>
              <w:t xml:space="preserve">Акт учета (оборота) по ГТП генерации, акт учета перетоков по внутреннему сечению (макеты 51020) формируются и заверяются ЭП участника оптового рынка в порядке, предусмотренном соответственно пп. </w:t>
            </w:r>
            <w:r w:rsidRPr="00A5626D">
              <w:rPr>
                <w:rFonts w:ascii="Garamond" w:hAnsi="Garamond" w:cstheme="minorHAnsi"/>
                <w:sz w:val="22"/>
                <w:szCs w:val="22"/>
                <w:highlight w:val="yellow"/>
              </w:rPr>
              <w:t>3.9</w:t>
            </w:r>
            <w:r w:rsidRPr="00A5626D">
              <w:rPr>
                <w:rFonts w:ascii="Garamond" w:hAnsi="Garamond" w:cstheme="minorHAnsi"/>
                <w:sz w:val="22"/>
                <w:szCs w:val="22"/>
              </w:rPr>
              <w:t xml:space="preserve"> и 7.4 настоящего Регламента. Акт учета перетоков по сечению коммерческого учета между ценовыми, а также между ценовыми и неценовыми зонами (за исключением случаев, когда в указанных сечениях между ценовыми, ценовыми и неценовыми зонами оптового рынка точки поставки относятся к ГТП потребления участника оптового рынка) (макет 51020) формируется и заверяется ЭП ФСК в порядке, предусмотренном п. 7.2 настоящего Регламента. Акт учета перетоков по иным сечениям коммерческого учета (за исключением временных сечений и сечений коммерческого учета, входящих в сечение экспорта-импорта) (макет 51020) формируется и заверяется ЭП участников оптового рынка (ФСК) в порядке, предусмотренном п. 7.2 настоящего Регламента.</w:t>
            </w:r>
          </w:p>
          <w:p w14:paraId="2206371D" w14:textId="77777777" w:rsidR="00295C6D" w:rsidRPr="00A5626D" w:rsidRDefault="00295C6D" w:rsidP="00647FA0">
            <w:pPr>
              <w:tabs>
                <w:tab w:val="num" w:pos="0"/>
                <w:tab w:val="left" w:pos="1134"/>
                <w:tab w:val="left" w:pos="1200"/>
                <w:tab w:val="left" w:pos="7938"/>
              </w:tabs>
              <w:spacing w:before="120" w:after="120" w:line="259" w:lineRule="auto"/>
              <w:ind w:firstLine="600"/>
              <w:jc w:val="both"/>
              <w:rPr>
                <w:rFonts w:ascii="Garamond" w:hAnsi="Garamond" w:cstheme="minorHAnsi"/>
                <w:sz w:val="22"/>
                <w:szCs w:val="22"/>
              </w:rPr>
            </w:pPr>
            <w:r w:rsidRPr="00A5626D">
              <w:rPr>
                <w:rFonts w:ascii="Garamond" w:hAnsi="Garamond" w:cstheme="minorHAnsi"/>
                <w:sz w:val="22"/>
                <w:szCs w:val="22"/>
              </w:rPr>
              <w:lastRenderedPageBreak/>
              <w:t>Описание макета 51020 приведено в приложении 2 к настоящему Регламенту.</w:t>
            </w:r>
          </w:p>
          <w:p w14:paraId="637D1565" w14:textId="77777777" w:rsidR="00295C6D" w:rsidRPr="00A5626D" w:rsidRDefault="00295C6D" w:rsidP="00647FA0">
            <w:pPr>
              <w:tabs>
                <w:tab w:val="num" w:pos="0"/>
                <w:tab w:val="left" w:pos="1134"/>
                <w:tab w:val="left" w:pos="1200"/>
                <w:tab w:val="left" w:pos="7938"/>
              </w:tabs>
              <w:spacing w:before="120" w:after="120" w:line="259" w:lineRule="auto"/>
              <w:ind w:firstLine="600"/>
              <w:jc w:val="both"/>
              <w:rPr>
                <w:rFonts w:ascii="Garamond" w:hAnsi="Garamond" w:cstheme="minorHAnsi"/>
                <w:sz w:val="22"/>
                <w:szCs w:val="22"/>
              </w:rPr>
            </w:pPr>
            <w:r w:rsidRPr="00A5626D">
              <w:rPr>
                <w:rFonts w:ascii="Garamond" w:hAnsi="Garamond" w:cstheme="minorHAnsi"/>
                <w:sz w:val="22"/>
                <w:szCs w:val="22"/>
              </w:rPr>
              <w:t xml:space="preserve">Описание макета 51075 приведено в приложении 3 к настоящему Регламенту. </w:t>
            </w:r>
          </w:p>
          <w:p w14:paraId="50AAB6EE" w14:textId="77777777" w:rsidR="00295C6D" w:rsidRPr="00A5626D" w:rsidRDefault="00295C6D" w:rsidP="00647FA0">
            <w:pPr>
              <w:tabs>
                <w:tab w:val="num" w:pos="0"/>
                <w:tab w:val="left" w:pos="1134"/>
                <w:tab w:val="left" w:pos="1200"/>
                <w:tab w:val="left" w:pos="7938"/>
              </w:tabs>
              <w:spacing w:before="120" w:after="120" w:line="259" w:lineRule="auto"/>
              <w:ind w:firstLine="600"/>
              <w:jc w:val="both"/>
              <w:rPr>
                <w:rFonts w:ascii="Garamond" w:hAnsi="Garamond" w:cstheme="minorHAnsi"/>
                <w:sz w:val="22"/>
                <w:szCs w:val="22"/>
              </w:rPr>
            </w:pPr>
            <w:r w:rsidRPr="00A5626D">
              <w:rPr>
                <w:rFonts w:ascii="Garamond" w:hAnsi="Garamond" w:cstheme="minorHAnsi"/>
                <w:sz w:val="22"/>
                <w:szCs w:val="22"/>
              </w:rPr>
              <w:t xml:space="preserve">Описание макета 50080 приведено в приложении 4 к настоящему Регламенту. </w:t>
            </w:r>
          </w:p>
          <w:p w14:paraId="4038B03D" w14:textId="77777777" w:rsidR="00727FC1" w:rsidRPr="00A5626D" w:rsidRDefault="00727FC1" w:rsidP="00647FA0">
            <w:pPr>
              <w:tabs>
                <w:tab w:val="num" w:pos="0"/>
                <w:tab w:val="left" w:pos="1134"/>
                <w:tab w:val="left" w:pos="1200"/>
                <w:tab w:val="left" w:pos="7938"/>
              </w:tabs>
              <w:spacing w:before="120" w:after="120" w:line="259" w:lineRule="auto"/>
              <w:ind w:firstLine="600"/>
              <w:jc w:val="both"/>
              <w:rPr>
                <w:rFonts w:ascii="Garamond" w:hAnsi="Garamond" w:cstheme="minorHAnsi"/>
                <w:sz w:val="22"/>
                <w:szCs w:val="22"/>
              </w:rPr>
            </w:pPr>
          </w:p>
        </w:tc>
        <w:tc>
          <w:tcPr>
            <w:tcW w:w="7088" w:type="dxa"/>
          </w:tcPr>
          <w:p w14:paraId="59CDDD97" w14:textId="77777777" w:rsidR="00295C6D" w:rsidRPr="00A5626D" w:rsidRDefault="00295C6D" w:rsidP="00647FA0">
            <w:pPr>
              <w:pStyle w:val="2"/>
              <w:widowControl/>
              <w:numPr>
                <w:ilvl w:val="0"/>
                <w:numId w:val="0"/>
              </w:numPr>
              <w:tabs>
                <w:tab w:val="left" w:pos="1134"/>
                <w:tab w:val="left" w:pos="7938"/>
              </w:tabs>
              <w:suppressAutoHyphens w:val="0"/>
              <w:autoSpaceDE/>
              <w:spacing w:before="120" w:after="120" w:line="259" w:lineRule="auto"/>
              <w:ind w:firstLine="629"/>
              <w:jc w:val="both"/>
              <w:rPr>
                <w:rFonts w:ascii="Garamond" w:hAnsi="Garamond" w:cstheme="minorHAnsi"/>
                <w:b w:val="0"/>
              </w:rPr>
            </w:pPr>
            <w:r w:rsidRPr="00A5626D">
              <w:rPr>
                <w:rFonts w:ascii="Garamond" w:hAnsi="Garamond" w:cstheme="minorHAnsi"/>
                <w:b w:val="0"/>
              </w:rPr>
              <w:lastRenderedPageBreak/>
              <w:t>Согласованные интегральные акты учета перетоков (макеты 50080) предоставляются в КО в электронном виде, заверенные ЭП участников оптового рынка и ФСК.</w:t>
            </w:r>
          </w:p>
          <w:p w14:paraId="49BAC3FE" w14:textId="77777777" w:rsidR="00295C6D" w:rsidRPr="00A5626D" w:rsidRDefault="00295C6D" w:rsidP="00647FA0">
            <w:pPr>
              <w:tabs>
                <w:tab w:val="num" w:pos="0"/>
                <w:tab w:val="left" w:pos="1134"/>
                <w:tab w:val="left" w:pos="1200"/>
                <w:tab w:val="left" w:pos="7938"/>
              </w:tabs>
              <w:spacing w:before="120" w:after="120" w:line="259" w:lineRule="auto"/>
              <w:ind w:firstLine="600"/>
              <w:jc w:val="both"/>
              <w:rPr>
                <w:rFonts w:ascii="Garamond" w:hAnsi="Garamond" w:cstheme="minorHAnsi"/>
                <w:sz w:val="22"/>
                <w:szCs w:val="22"/>
              </w:rPr>
            </w:pPr>
            <w:r w:rsidRPr="00A5626D">
              <w:rPr>
                <w:rFonts w:ascii="Garamond" w:hAnsi="Garamond" w:cstheme="minorHAnsi"/>
                <w:sz w:val="22"/>
                <w:szCs w:val="22"/>
              </w:rPr>
              <w:t xml:space="preserve">Корректирующий акт учета (оборота) по ГТП генерации, корректирующий акт учета перетоков по внутреннему сечению (в случаях, предусмотренных п. </w:t>
            </w:r>
            <w:r w:rsidRPr="00A5626D">
              <w:rPr>
                <w:rFonts w:ascii="Garamond" w:hAnsi="Garamond" w:cstheme="minorHAnsi"/>
                <w:sz w:val="22"/>
                <w:szCs w:val="22"/>
                <w:highlight w:val="yellow"/>
              </w:rPr>
              <w:t>5</w:t>
            </w:r>
            <w:r w:rsidRPr="00A5626D">
              <w:rPr>
                <w:rFonts w:ascii="Garamond" w:hAnsi="Garamond" w:cstheme="minorHAnsi"/>
                <w:sz w:val="22"/>
                <w:szCs w:val="22"/>
              </w:rPr>
              <w:t>.4 настоящего Регламента) (макеты 51075) предоставляется в КО в электронном виде, заверенный ЭП участника оптового рынка. Корректирующий акт учета перетоков по сечению коммерческого учета, входящему в сечение экспорта-импорта, корректирующий акт учета перетоков по сечению коммерческого учета между ценовыми, а также между ценовыми и неценовыми зонами (за исключением случаев, когда в указанных сечениях между ценовыми, ценовыми и неценовыми зонами оптового рынка точки поставки относятся к ГТП потребления участника оптового рынка) (макеты 51075) предоставляются в КО в электронном виде, заверенные ЭП ФСК. В отношении иных сечений коммерческого учета (в том числе временных сечений) корректирующий акт учета перетоков (макет 51075) предоставляется в КО в электронном виде, заверенный ЭП участников оптового рынка (ФСК).</w:t>
            </w:r>
          </w:p>
          <w:p w14:paraId="1CFDD4D2" w14:textId="77777777" w:rsidR="00295C6D" w:rsidRPr="00A5626D" w:rsidRDefault="00295C6D" w:rsidP="00647FA0">
            <w:pPr>
              <w:tabs>
                <w:tab w:val="num" w:pos="0"/>
                <w:tab w:val="left" w:pos="1134"/>
                <w:tab w:val="left" w:pos="1200"/>
                <w:tab w:val="left" w:pos="7938"/>
              </w:tabs>
              <w:spacing w:before="120" w:after="120" w:line="259" w:lineRule="auto"/>
              <w:ind w:firstLine="600"/>
              <w:jc w:val="both"/>
              <w:rPr>
                <w:rFonts w:ascii="Garamond" w:hAnsi="Garamond" w:cstheme="minorHAnsi"/>
                <w:sz w:val="22"/>
                <w:szCs w:val="22"/>
              </w:rPr>
            </w:pPr>
            <w:r w:rsidRPr="00A5626D">
              <w:rPr>
                <w:rFonts w:ascii="Garamond" w:hAnsi="Garamond" w:cstheme="minorHAnsi"/>
                <w:sz w:val="22"/>
                <w:szCs w:val="22"/>
              </w:rPr>
              <w:t xml:space="preserve">Акт учета (оборота) по ГТП генерации, акт учета перетоков по внутреннему сечению (макеты 51020) формируются и заверяются ЭП участника оптового рынка в порядке, предусмотренном соответственно пп. </w:t>
            </w:r>
            <w:r w:rsidRPr="00A5626D">
              <w:rPr>
                <w:rFonts w:ascii="Garamond" w:hAnsi="Garamond" w:cstheme="minorHAnsi"/>
                <w:sz w:val="22"/>
                <w:szCs w:val="22"/>
                <w:highlight w:val="yellow"/>
              </w:rPr>
              <w:t>7.3</w:t>
            </w:r>
            <w:r w:rsidRPr="00A5626D">
              <w:rPr>
                <w:rFonts w:ascii="Garamond" w:hAnsi="Garamond" w:cstheme="minorHAnsi"/>
                <w:sz w:val="22"/>
                <w:szCs w:val="22"/>
              </w:rPr>
              <w:t xml:space="preserve"> и 7.4 настоящего Регламента. Акт учета перетоков по сечению коммерческого учета между ценовыми, а также между ценовыми и неценовыми зонами (за исключением случаев, когда в указанных сечениях между ценовыми, ценовыми и неценовыми зонами оптового рынка точки поставки относятся к ГТП потребления участника оптового рынка) (макет 51020) формируется и заверяется ЭП ФСК в порядке, предусмотренном п. 7.2 настоящего Регламента. Акт учета перетоков по иным сечениям коммерческого учета (за исключением временных сечений и сечений коммерческого учета, входящих в сечение экспорта-импорта) (макет 51020) формируется и заверяется ЭП участников оптового рынка (ФСК) в порядке, предусмотренном п. 7.2 настоящего Регламента.</w:t>
            </w:r>
          </w:p>
          <w:p w14:paraId="50DA4532" w14:textId="3AE91486" w:rsidR="00295C6D" w:rsidRPr="00A5626D" w:rsidRDefault="00295C6D" w:rsidP="00647FA0">
            <w:pPr>
              <w:tabs>
                <w:tab w:val="num" w:pos="0"/>
                <w:tab w:val="left" w:pos="1134"/>
                <w:tab w:val="left" w:pos="1200"/>
                <w:tab w:val="left" w:pos="7938"/>
              </w:tabs>
              <w:spacing w:before="120" w:after="120" w:line="259" w:lineRule="auto"/>
              <w:ind w:firstLine="600"/>
              <w:jc w:val="both"/>
              <w:rPr>
                <w:rFonts w:ascii="Garamond" w:hAnsi="Garamond" w:cstheme="minorHAnsi"/>
                <w:sz w:val="22"/>
                <w:szCs w:val="22"/>
              </w:rPr>
            </w:pPr>
            <w:r w:rsidRPr="00A5626D">
              <w:rPr>
                <w:rFonts w:ascii="Garamond" w:hAnsi="Garamond" w:cstheme="minorHAnsi"/>
                <w:sz w:val="22"/>
                <w:szCs w:val="22"/>
                <w:highlight w:val="yellow"/>
              </w:rPr>
              <w:lastRenderedPageBreak/>
              <w:t>Акт учета (оборота) по объекту регулирования (макет 21070) заверяется ЭП агрегатора и владельца ГТП (в случаях, когда агрегатор одновременно является владельцем ГТП</w:t>
            </w:r>
            <w:r w:rsidR="00B671F1" w:rsidRPr="00A5626D">
              <w:rPr>
                <w:rFonts w:ascii="Garamond" w:hAnsi="Garamond" w:cstheme="minorHAnsi"/>
                <w:sz w:val="22"/>
                <w:szCs w:val="22"/>
                <w:highlight w:val="yellow"/>
              </w:rPr>
              <w:t>,</w:t>
            </w:r>
            <w:r w:rsidRPr="00A5626D">
              <w:rPr>
                <w:rFonts w:ascii="Garamond" w:hAnsi="Garamond" w:cstheme="minorHAnsi"/>
                <w:sz w:val="22"/>
                <w:szCs w:val="22"/>
                <w:highlight w:val="yellow"/>
              </w:rPr>
              <w:t xml:space="preserve"> вышеуказанный акт заверяется только ЭП агрегатора).</w:t>
            </w:r>
          </w:p>
          <w:p w14:paraId="609D5EE3" w14:textId="77777777" w:rsidR="00295C6D" w:rsidRPr="00A5626D" w:rsidRDefault="00295C6D" w:rsidP="00647FA0">
            <w:pPr>
              <w:tabs>
                <w:tab w:val="num" w:pos="0"/>
                <w:tab w:val="left" w:pos="1134"/>
                <w:tab w:val="left" w:pos="1200"/>
                <w:tab w:val="left" w:pos="7938"/>
              </w:tabs>
              <w:spacing w:before="120" w:after="120" w:line="259" w:lineRule="auto"/>
              <w:ind w:firstLine="600"/>
              <w:jc w:val="both"/>
              <w:rPr>
                <w:rFonts w:ascii="Garamond" w:hAnsi="Garamond" w:cstheme="minorHAnsi"/>
                <w:sz w:val="22"/>
                <w:szCs w:val="22"/>
              </w:rPr>
            </w:pPr>
            <w:r w:rsidRPr="00A5626D">
              <w:rPr>
                <w:rFonts w:ascii="Garamond" w:hAnsi="Garamond" w:cstheme="minorHAnsi"/>
                <w:sz w:val="22"/>
                <w:szCs w:val="22"/>
                <w:highlight w:val="yellow"/>
              </w:rPr>
              <w:t>Описание макета 21070 приведено в приложении 1 к настоящему Регламенту.</w:t>
            </w:r>
          </w:p>
          <w:p w14:paraId="104E0E7F" w14:textId="77777777" w:rsidR="00295C6D" w:rsidRPr="00A5626D" w:rsidRDefault="00295C6D" w:rsidP="00647FA0">
            <w:pPr>
              <w:tabs>
                <w:tab w:val="num" w:pos="0"/>
                <w:tab w:val="left" w:pos="1134"/>
                <w:tab w:val="left" w:pos="1200"/>
                <w:tab w:val="left" w:pos="7938"/>
              </w:tabs>
              <w:spacing w:before="120" w:after="120" w:line="259" w:lineRule="auto"/>
              <w:ind w:firstLine="600"/>
              <w:jc w:val="both"/>
              <w:rPr>
                <w:rFonts w:ascii="Garamond" w:hAnsi="Garamond" w:cstheme="minorHAnsi"/>
                <w:sz w:val="22"/>
                <w:szCs w:val="22"/>
              </w:rPr>
            </w:pPr>
            <w:r w:rsidRPr="00A5626D">
              <w:rPr>
                <w:rFonts w:ascii="Garamond" w:hAnsi="Garamond" w:cstheme="minorHAnsi"/>
                <w:sz w:val="22"/>
                <w:szCs w:val="22"/>
              </w:rPr>
              <w:t>Описание макета 51020 приведено в приложении 2 к настоящему Регламенту.</w:t>
            </w:r>
          </w:p>
          <w:p w14:paraId="1D8EE46C" w14:textId="77777777" w:rsidR="00295C6D" w:rsidRPr="00A5626D" w:rsidRDefault="00295C6D" w:rsidP="00647FA0">
            <w:pPr>
              <w:tabs>
                <w:tab w:val="num" w:pos="0"/>
                <w:tab w:val="left" w:pos="1134"/>
                <w:tab w:val="left" w:pos="1200"/>
                <w:tab w:val="left" w:pos="7938"/>
              </w:tabs>
              <w:spacing w:before="120" w:after="120" w:line="259" w:lineRule="auto"/>
              <w:ind w:firstLine="600"/>
              <w:jc w:val="both"/>
              <w:rPr>
                <w:rFonts w:ascii="Garamond" w:hAnsi="Garamond" w:cstheme="minorHAnsi"/>
                <w:sz w:val="22"/>
                <w:szCs w:val="22"/>
              </w:rPr>
            </w:pPr>
            <w:r w:rsidRPr="00A5626D">
              <w:rPr>
                <w:rFonts w:ascii="Garamond" w:hAnsi="Garamond" w:cstheme="minorHAnsi"/>
                <w:sz w:val="22"/>
                <w:szCs w:val="22"/>
              </w:rPr>
              <w:t xml:space="preserve">Описание макета 51075 приведено в приложении 3 к настоящему Регламенту. </w:t>
            </w:r>
          </w:p>
          <w:p w14:paraId="0DDDC540" w14:textId="77777777" w:rsidR="00295C6D" w:rsidRPr="00A5626D" w:rsidRDefault="00295C6D" w:rsidP="00647FA0">
            <w:pPr>
              <w:pStyle w:val="2"/>
              <w:numPr>
                <w:ilvl w:val="0"/>
                <w:numId w:val="0"/>
              </w:numPr>
              <w:tabs>
                <w:tab w:val="left" w:pos="1134"/>
                <w:tab w:val="left" w:pos="7938"/>
              </w:tabs>
              <w:suppressAutoHyphens w:val="0"/>
              <w:spacing w:before="120" w:after="120" w:line="22" w:lineRule="atLeast"/>
              <w:ind w:firstLine="601"/>
              <w:jc w:val="both"/>
              <w:rPr>
                <w:rFonts w:ascii="Garamond" w:hAnsi="Garamond" w:cstheme="minorHAnsi"/>
                <w:b w:val="0"/>
              </w:rPr>
            </w:pPr>
            <w:r w:rsidRPr="00A5626D">
              <w:rPr>
                <w:rFonts w:ascii="Garamond" w:hAnsi="Garamond" w:cstheme="minorHAnsi"/>
                <w:b w:val="0"/>
              </w:rPr>
              <w:t>Описание макета 50080 приведено в приложении 4 к настоящему Регламенту.</w:t>
            </w:r>
          </w:p>
        </w:tc>
      </w:tr>
      <w:tr w:rsidR="00295C6D" w:rsidRPr="00A5626D" w14:paraId="6B642D57" w14:textId="77777777" w:rsidTr="00647FA0">
        <w:tc>
          <w:tcPr>
            <w:tcW w:w="1060" w:type="dxa"/>
            <w:vAlign w:val="center"/>
          </w:tcPr>
          <w:p w14:paraId="59F39E8F" w14:textId="77777777" w:rsidR="00295C6D" w:rsidRPr="00A5626D" w:rsidRDefault="00295C6D" w:rsidP="00E31AE6">
            <w:pPr>
              <w:widowControl w:val="0"/>
              <w:tabs>
                <w:tab w:val="left" w:pos="1134"/>
                <w:tab w:val="left" w:pos="7938"/>
              </w:tabs>
              <w:spacing w:line="22" w:lineRule="atLeast"/>
              <w:jc w:val="both"/>
              <w:rPr>
                <w:rFonts w:ascii="Garamond" w:hAnsi="Garamond"/>
                <w:b/>
                <w:sz w:val="22"/>
                <w:szCs w:val="22"/>
                <w:lang w:eastAsia="en-US"/>
              </w:rPr>
            </w:pPr>
            <w:r w:rsidRPr="00A5626D">
              <w:rPr>
                <w:rFonts w:ascii="Garamond" w:hAnsi="Garamond"/>
                <w:b/>
                <w:sz w:val="22"/>
                <w:szCs w:val="22"/>
                <w:lang w:eastAsia="en-US"/>
              </w:rPr>
              <w:lastRenderedPageBreak/>
              <w:t>7.9</w:t>
            </w:r>
          </w:p>
        </w:tc>
        <w:tc>
          <w:tcPr>
            <w:tcW w:w="6662" w:type="dxa"/>
          </w:tcPr>
          <w:p w14:paraId="7216C47D" w14:textId="77777777" w:rsidR="00295C6D" w:rsidRPr="00A5626D" w:rsidRDefault="00295C6D" w:rsidP="00647FA0">
            <w:pPr>
              <w:pStyle w:val="2"/>
              <w:widowControl/>
              <w:numPr>
                <w:ilvl w:val="0"/>
                <w:numId w:val="0"/>
              </w:numPr>
              <w:tabs>
                <w:tab w:val="left" w:pos="1134"/>
                <w:tab w:val="left" w:pos="7938"/>
              </w:tabs>
              <w:suppressAutoHyphens w:val="0"/>
              <w:autoSpaceDE/>
              <w:spacing w:before="120" w:after="120" w:line="22" w:lineRule="atLeast"/>
              <w:ind w:firstLine="629"/>
              <w:jc w:val="both"/>
              <w:rPr>
                <w:rFonts w:ascii="Garamond" w:hAnsi="Garamond" w:cstheme="minorHAnsi"/>
                <w:b w:val="0"/>
                <w:strike/>
              </w:rPr>
            </w:pPr>
            <w:bookmarkStart w:id="124" w:name="_Toc139239945"/>
            <w:r w:rsidRPr="00A5626D">
              <w:rPr>
                <w:rFonts w:ascii="Garamond" w:hAnsi="Garamond" w:cstheme="minorHAnsi"/>
                <w:b w:val="0"/>
              </w:rPr>
              <w:t>Формирование почасовых объемов электроэнергии по ГТП генерации и сечениям коммерческого учета осуществляется согласно единому учетно-расчетному времени:</w:t>
            </w:r>
            <w:bookmarkEnd w:id="124"/>
          </w:p>
          <w:p w14:paraId="6E7CE8DE" w14:textId="77777777" w:rsidR="00295C6D" w:rsidRPr="00A5626D" w:rsidRDefault="00295C6D" w:rsidP="00647FA0">
            <w:pPr>
              <w:tabs>
                <w:tab w:val="num" w:pos="0"/>
                <w:tab w:val="left" w:pos="1134"/>
                <w:tab w:val="left" w:pos="1200"/>
                <w:tab w:val="left" w:pos="7938"/>
              </w:tabs>
              <w:spacing w:before="120" w:after="120" w:line="22" w:lineRule="atLeast"/>
              <w:ind w:firstLine="600"/>
              <w:jc w:val="both"/>
              <w:rPr>
                <w:rFonts w:ascii="Garamond" w:hAnsi="Garamond" w:cstheme="minorHAnsi"/>
                <w:sz w:val="22"/>
                <w:szCs w:val="22"/>
              </w:rPr>
            </w:pPr>
            <w:r w:rsidRPr="00A5626D">
              <w:rPr>
                <w:rFonts w:ascii="Garamond" w:hAnsi="Garamond" w:cstheme="minorHAnsi"/>
                <w:sz w:val="22"/>
                <w:szCs w:val="22"/>
              </w:rPr>
              <w:t>•</w:t>
            </w:r>
            <w:r w:rsidRPr="00A5626D">
              <w:rPr>
                <w:rFonts w:ascii="Garamond" w:hAnsi="Garamond" w:cstheme="minorHAnsi"/>
                <w:sz w:val="22"/>
                <w:szCs w:val="22"/>
              </w:rPr>
              <w:tab/>
              <w:t>московское время принято:</w:t>
            </w:r>
          </w:p>
          <w:p w14:paraId="48FE776C" w14:textId="77777777" w:rsidR="00295C6D" w:rsidRPr="00A5626D" w:rsidRDefault="00295C6D" w:rsidP="00647FA0">
            <w:pPr>
              <w:pStyle w:val="ac"/>
              <w:numPr>
                <w:ilvl w:val="0"/>
                <w:numId w:val="265"/>
              </w:numPr>
              <w:tabs>
                <w:tab w:val="left" w:pos="600"/>
                <w:tab w:val="left" w:pos="1134"/>
                <w:tab w:val="left" w:pos="7938"/>
              </w:tabs>
              <w:spacing w:before="120" w:after="120" w:line="22" w:lineRule="atLeast"/>
              <w:ind w:left="0" w:firstLine="600"/>
              <w:jc w:val="both"/>
              <w:rPr>
                <w:rFonts w:ascii="Garamond" w:hAnsi="Garamond" w:cstheme="minorHAnsi"/>
                <w:sz w:val="22"/>
                <w:szCs w:val="22"/>
              </w:rPr>
            </w:pPr>
            <w:r w:rsidRPr="00A5626D">
              <w:rPr>
                <w:rFonts w:ascii="Garamond" w:hAnsi="Garamond" w:cstheme="minorHAnsi"/>
                <w:sz w:val="22"/>
                <w:szCs w:val="22"/>
              </w:rPr>
              <w:t>для ценовых и неценовых зон (за исключением второй неценовой зоны);</w:t>
            </w:r>
          </w:p>
          <w:p w14:paraId="65383DED" w14:textId="77777777" w:rsidR="00295C6D" w:rsidRPr="00A5626D" w:rsidRDefault="00295C6D" w:rsidP="00647FA0">
            <w:pPr>
              <w:pStyle w:val="ac"/>
              <w:numPr>
                <w:ilvl w:val="0"/>
                <w:numId w:val="265"/>
              </w:numPr>
              <w:tabs>
                <w:tab w:val="left" w:pos="600"/>
                <w:tab w:val="left" w:pos="1134"/>
                <w:tab w:val="left" w:pos="7938"/>
              </w:tabs>
              <w:spacing w:before="120" w:after="120" w:line="22" w:lineRule="atLeast"/>
              <w:ind w:left="0" w:firstLine="600"/>
              <w:jc w:val="both"/>
              <w:rPr>
                <w:rFonts w:ascii="Garamond" w:hAnsi="Garamond" w:cstheme="minorHAnsi"/>
                <w:sz w:val="22"/>
                <w:szCs w:val="22"/>
              </w:rPr>
            </w:pPr>
            <w:r w:rsidRPr="00A5626D">
              <w:rPr>
                <w:rFonts w:ascii="Garamond" w:hAnsi="Garamond" w:cstheme="minorHAnsi"/>
                <w:sz w:val="22"/>
                <w:szCs w:val="22"/>
              </w:rPr>
              <w:t>сечений коммерческого учета:</w:t>
            </w:r>
          </w:p>
          <w:p w14:paraId="39ACA92E" w14:textId="77777777" w:rsidR="00295C6D" w:rsidRPr="00A5626D" w:rsidRDefault="00295C6D" w:rsidP="00647FA0">
            <w:pPr>
              <w:pStyle w:val="a8"/>
              <w:numPr>
                <w:ilvl w:val="0"/>
                <w:numId w:val="259"/>
              </w:numPr>
              <w:tabs>
                <w:tab w:val="clear" w:pos="8100"/>
                <w:tab w:val="left" w:pos="960"/>
                <w:tab w:val="left" w:pos="1134"/>
                <w:tab w:val="left" w:pos="7938"/>
              </w:tabs>
              <w:suppressAutoHyphens w:val="0"/>
              <w:autoSpaceDE w:val="0"/>
              <w:autoSpaceDN w:val="0"/>
              <w:spacing w:before="120" w:after="120" w:line="22" w:lineRule="atLeast"/>
              <w:ind w:left="0" w:firstLine="600"/>
              <w:rPr>
                <w:rFonts w:ascii="Garamond" w:hAnsi="Garamond" w:cstheme="minorHAnsi"/>
                <w:sz w:val="22"/>
                <w:szCs w:val="22"/>
              </w:rPr>
            </w:pPr>
            <w:r w:rsidRPr="00A5626D">
              <w:rPr>
                <w:rFonts w:ascii="Garamond" w:hAnsi="Garamond" w:cstheme="minorHAnsi"/>
                <w:sz w:val="22"/>
                <w:szCs w:val="22"/>
              </w:rPr>
              <w:t>между второй ценовой зоной и второй неценовой зоной;</w:t>
            </w:r>
          </w:p>
          <w:p w14:paraId="2FE31BC2" w14:textId="77777777" w:rsidR="00295C6D" w:rsidRPr="00A5626D" w:rsidRDefault="00295C6D" w:rsidP="00647FA0">
            <w:pPr>
              <w:pStyle w:val="a8"/>
              <w:numPr>
                <w:ilvl w:val="0"/>
                <w:numId w:val="259"/>
              </w:numPr>
              <w:tabs>
                <w:tab w:val="clear" w:pos="8100"/>
                <w:tab w:val="left" w:pos="960"/>
                <w:tab w:val="left" w:pos="1134"/>
                <w:tab w:val="left" w:pos="7938"/>
              </w:tabs>
              <w:suppressAutoHyphens w:val="0"/>
              <w:autoSpaceDE w:val="0"/>
              <w:autoSpaceDN w:val="0"/>
              <w:spacing w:before="120" w:after="120" w:line="22" w:lineRule="atLeast"/>
              <w:ind w:left="0" w:firstLine="600"/>
              <w:rPr>
                <w:rFonts w:ascii="Garamond" w:hAnsi="Garamond" w:cstheme="minorHAnsi"/>
                <w:sz w:val="22"/>
                <w:szCs w:val="22"/>
              </w:rPr>
            </w:pPr>
            <w:r w:rsidRPr="00A5626D">
              <w:rPr>
                <w:rFonts w:ascii="Garamond" w:hAnsi="Garamond" w:cstheme="minorHAnsi"/>
                <w:sz w:val="22"/>
                <w:szCs w:val="22"/>
              </w:rPr>
              <w:t xml:space="preserve">между внезональным энергорайоном, входящим в ГТП потребления на территории Республики Саха (Якутия), и энергообъектами, расположенными на территории Республики Саха (Якутия), имеющими электрическую связь с энергообъектами, расположенными в ценовой зоне Сибири; </w:t>
            </w:r>
          </w:p>
          <w:p w14:paraId="36ACB758" w14:textId="77777777" w:rsidR="00295C6D" w:rsidRPr="00A5626D" w:rsidRDefault="00295C6D" w:rsidP="00647FA0">
            <w:pPr>
              <w:pStyle w:val="a8"/>
              <w:numPr>
                <w:ilvl w:val="0"/>
                <w:numId w:val="259"/>
              </w:numPr>
              <w:tabs>
                <w:tab w:val="clear" w:pos="8100"/>
                <w:tab w:val="left" w:pos="960"/>
                <w:tab w:val="left" w:pos="1134"/>
                <w:tab w:val="left" w:pos="7938"/>
              </w:tabs>
              <w:suppressAutoHyphens w:val="0"/>
              <w:autoSpaceDE w:val="0"/>
              <w:autoSpaceDN w:val="0"/>
              <w:spacing w:before="120" w:after="120" w:line="22" w:lineRule="atLeast"/>
              <w:ind w:left="0" w:firstLine="600"/>
              <w:rPr>
                <w:rFonts w:ascii="Garamond" w:hAnsi="Garamond" w:cstheme="minorHAnsi"/>
                <w:sz w:val="22"/>
                <w:szCs w:val="22"/>
              </w:rPr>
            </w:pPr>
            <w:r w:rsidRPr="00A5626D">
              <w:rPr>
                <w:rFonts w:ascii="Garamond" w:hAnsi="Garamond" w:cstheme="minorHAnsi"/>
                <w:sz w:val="22"/>
                <w:szCs w:val="22"/>
              </w:rPr>
              <w:t>между внезональным энергорайоном, входящим в ГТП потребления на территории Республики Саха (Якутия), и ГТП смежных участников оптового рынка;</w:t>
            </w:r>
          </w:p>
          <w:p w14:paraId="1B028AF4" w14:textId="77777777" w:rsidR="00295C6D" w:rsidRPr="00A5626D" w:rsidRDefault="00295C6D" w:rsidP="00647FA0">
            <w:pPr>
              <w:pStyle w:val="a8"/>
              <w:numPr>
                <w:ilvl w:val="0"/>
                <w:numId w:val="259"/>
              </w:numPr>
              <w:tabs>
                <w:tab w:val="clear" w:pos="8100"/>
                <w:tab w:val="left" w:pos="960"/>
                <w:tab w:val="left" w:pos="1134"/>
                <w:tab w:val="left" w:pos="7938"/>
              </w:tabs>
              <w:suppressAutoHyphens w:val="0"/>
              <w:autoSpaceDE w:val="0"/>
              <w:autoSpaceDN w:val="0"/>
              <w:spacing w:before="120" w:after="120" w:line="22" w:lineRule="atLeast"/>
              <w:ind w:left="0" w:firstLine="600"/>
              <w:rPr>
                <w:rFonts w:ascii="Garamond" w:hAnsi="Garamond" w:cstheme="minorHAnsi"/>
                <w:sz w:val="22"/>
                <w:szCs w:val="22"/>
              </w:rPr>
            </w:pPr>
            <w:r w:rsidRPr="00A5626D">
              <w:rPr>
                <w:rFonts w:ascii="Garamond" w:hAnsi="Garamond" w:cstheme="minorHAnsi"/>
                <w:sz w:val="22"/>
                <w:szCs w:val="22"/>
              </w:rPr>
              <w:lastRenderedPageBreak/>
              <w:t>между внезональными энергорайонами, входящими в состав ГТП потребления участников оптового рынка на территории Республики Саха (Якутия);</w:t>
            </w:r>
          </w:p>
          <w:p w14:paraId="4B998044" w14:textId="77777777" w:rsidR="00295C6D" w:rsidRPr="00A5626D" w:rsidRDefault="00295C6D" w:rsidP="00647FA0">
            <w:pPr>
              <w:tabs>
                <w:tab w:val="num" w:pos="0"/>
                <w:tab w:val="left" w:pos="1134"/>
                <w:tab w:val="left" w:pos="1200"/>
                <w:tab w:val="left" w:pos="7938"/>
              </w:tabs>
              <w:spacing w:before="120" w:after="120" w:line="22" w:lineRule="atLeast"/>
              <w:ind w:firstLine="600"/>
              <w:jc w:val="both"/>
              <w:rPr>
                <w:rFonts w:ascii="Garamond" w:hAnsi="Garamond" w:cstheme="minorHAnsi"/>
                <w:sz w:val="22"/>
                <w:szCs w:val="22"/>
              </w:rPr>
            </w:pPr>
            <w:r w:rsidRPr="00A5626D">
              <w:rPr>
                <w:rFonts w:ascii="Garamond" w:hAnsi="Garamond" w:cstheme="minorHAnsi"/>
                <w:sz w:val="22"/>
                <w:szCs w:val="22"/>
              </w:rPr>
              <w:t>•</w:t>
            </w:r>
            <w:r w:rsidRPr="00A5626D">
              <w:rPr>
                <w:rFonts w:ascii="Garamond" w:hAnsi="Garamond" w:cstheme="minorHAnsi"/>
                <w:sz w:val="22"/>
                <w:szCs w:val="22"/>
              </w:rPr>
              <w:tab/>
              <w:t>для второй неценовой зоны (за исключением сечений коммерческого учета, указанных в подпункте 2 настоящего пункта) принято хабаровское время.</w:t>
            </w:r>
          </w:p>
          <w:p w14:paraId="5ADA916F" w14:textId="77777777" w:rsidR="00295C6D" w:rsidRPr="00A5626D" w:rsidRDefault="00295C6D" w:rsidP="00647FA0">
            <w:pPr>
              <w:tabs>
                <w:tab w:val="num" w:pos="0"/>
                <w:tab w:val="left" w:pos="1134"/>
                <w:tab w:val="left" w:pos="1200"/>
                <w:tab w:val="left" w:pos="7938"/>
              </w:tabs>
              <w:spacing w:before="120" w:after="120" w:line="22" w:lineRule="atLeast"/>
              <w:ind w:firstLine="600"/>
              <w:jc w:val="both"/>
              <w:rPr>
                <w:rFonts w:ascii="Garamond" w:hAnsi="Garamond" w:cstheme="minorHAnsi"/>
                <w:sz w:val="22"/>
                <w:szCs w:val="22"/>
              </w:rPr>
            </w:pPr>
            <w:r w:rsidRPr="00A5626D">
              <w:rPr>
                <w:rFonts w:ascii="Garamond" w:hAnsi="Garamond" w:cstheme="minorHAnsi"/>
                <w:sz w:val="22"/>
                <w:szCs w:val="22"/>
              </w:rPr>
              <w:t>При формировании данных коммерческого учета по вновь образованным сечениям коммерческого учета, указанным в подпункте 2 настоящего пункта, за первый отчетный период участники оптового рынка (ФСК) обязаны дополнительно сформировать и направить в соответствии с требованиями настоящего Регламента в КО данные коммерческого учета за первые 7 (семь) часов отчетного периода, определенные по хабаровскому времени, при этом указанные данные коммерческого учета формируются и направляются по московскому времени.</w:t>
            </w:r>
          </w:p>
          <w:p w14:paraId="0E0A3C46" w14:textId="77777777" w:rsidR="00295C6D" w:rsidRPr="00A5626D" w:rsidRDefault="00295C6D" w:rsidP="00647FA0">
            <w:pPr>
              <w:tabs>
                <w:tab w:val="num" w:pos="0"/>
                <w:tab w:val="left" w:pos="1134"/>
                <w:tab w:val="left" w:pos="1200"/>
                <w:tab w:val="left" w:pos="7938"/>
              </w:tabs>
              <w:spacing w:before="120" w:after="120" w:line="22" w:lineRule="atLeast"/>
              <w:ind w:firstLine="600"/>
              <w:jc w:val="both"/>
              <w:rPr>
                <w:rFonts w:ascii="Garamond" w:hAnsi="Garamond" w:cstheme="minorHAnsi"/>
                <w:sz w:val="22"/>
                <w:szCs w:val="22"/>
              </w:rPr>
            </w:pPr>
            <w:r w:rsidRPr="00A5626D">
              <w:rPr>
                <w:rFonts w:ascii="Garamond" w:hAnsi="Garamond" w:cstheme="minorHAnsi"/>
                <w:sz w:val="22"/>
                <w:szCs w:val="22"/>
              </w:rPr>
              <w:t>В течение 30 (тридцати) минут со времени поступления от участников оптового рынка или ФСК интегральных актов учета перетоков (макет 50080) КО подтверждает факт получения указанного макета путем направления в адрес участников оптового рынка, ФСК уведомлений в макете 50081, подписанных электронной подписью и содержащих информацию о статусе приема отчетных данных, а также список ошибок и предупреждений. В случае неполучения участником оптового рынка (ФСК) по истечении 30 (тридцати) минут вышеуказанных уведомлений (макет 50081), представитель участника оптового рынка (ФСК) должен связаться с представителем КО, ответственным за прием информации, с целью локализации и устранения проблемы.</w:t>
            </w:r>
          </w:p>
          <w:p w14:paraId="39B700F4" w14:textId="77777777" w:rsidR="00295C6D" w:rsidRPr="00A5626D" w:rsidRDefault="00295C6D" w:rsidP="00647FA0">
            <w:pPr>
              <w:pStyle w:val="2"/>
              <w:numPr>
                <w:ilvl w:val="0"/>
                <w:numId w:val="0"/>
              </w:numPr>
              <w:tabs>
                <w:tab w:val="left" w:pos="1134"/>
                <w:tab w:val="left" w:pos="7938"/>
              </w:tabs>
              <w:suppressAutoHyphens w:val="0"/>
              <w:spacing w:before="120" w:after="120" w:line="22" w:lineRule="atLeast"/>
              <w:ind w:firstLine="629"/>
              <w:jc w:val="both"/>
              <w:rPr>
                <w:rFonts w:ascii="Garamond" w:hAnsi="Garamond" w:cstheme="minorHAnsi"/>
                <w:b w:val="0"/>
              </w:rPr>
            </w:pPr>
            <w:r w:rsidRPr="00A5626D">
              <w:rPr>
                <w:rFonts w:ascii="Garamond" w:hAnsi="Garamond" w:cstheme="minorHAnsi"/>
                <w:b w:val="0"/>
              </w:rPr>
              <w:t xml:space="preserve">В течение 120 (ста двадцати) минут со времени поступления от участников оптового рынка (ФСК) корректирующих актов учета (оборота) по ГТП генерации, корректирующих актов учета перетоков по сечениям коммерческого учета (макеты 51075) КО подтверждает факт получения указанных макетов путем направления в адрес участников оптового рынка (ФСК) уведомлений в макете 51076, подписанных электронной подписью и содержащих информацию о статусе приема отчетных данных, а также список ошибок и предупреждений. В случае неполучения участником оптового рынка </w:t>
            </w:r>
            <w:r w:rsidRPr="00A5626D">
              <w:rPr>
                <w:rFonts w:ascii="Garamond" w:hAnsi="Garamond" w:cstheme="minorHAnsi"/>
                <w:b w:val="0"/>
              </w:rPr>
              <w:lastRenderedPageBreak/>
              <w:t>(ФСК) по истечении 120 (ста двадцати) минут вышеуказанного уведомления (макет 51076), представитель участника оптового рынка (ФСК) должен связаться с представителем КО, ответственным за прием информации, с целью локализации и устранения проблемы.</w:t>
            </w:r>
          </w:p>
        </w:tc>
        <w:tc>
          <w:tcPr>
            <w:tcW w:w="7088" w:type="dxa"/>
          </w:tcPr>
          <w:p w14:paraId="3CAC5AF8" w14:textId="77777777" w:rsidR="00295C6D" w:rsidRPr="00A5626D" w:rsidRDefault="00295C6D" w:rsidP="00647FA0">
            <w:pPr>
              <w:pStyle w:val="2"/>
              <w:widowControl/>
              <w:numPr>
                <w:ilvl w:val="0"/>
                <w:numId w:val="0"/>
              </w:numPr>
              <w:tabs>
                <w:tab w:val="left" w:pos="1134"/>
                <w:tab w:val="left" w:pos="7938"/>
              </w:tabs>
              <w:suppressAutoHyphens w:val="0"/>
              <w:autoSpaceDE/>
              <w:spacing w:before="120" w:after="120" w:line="22" w:lineRule="atLeast"/>
              <w:ind w:firstLine="629"/>
              <w:jc w:val="both"/>
              <w:rPr>
                <w:rFonts w:ascii="Garamond" w:hAnsi="Garamond" w:cstheme="minorHAnsi"/>
                <w:b w:val="0"/>
                <w:strike/>
              </w:rPr>
            </w:pPr>
            <w:r w:rsidRPr="00A5626D">
              <w:rPr>
                <w:rFonts w:ascii="Garamond" w:hAnsi="Garamond" w:cstheme="minorHAnsi"/>
                <w:b w:val="0"/>
              </w:rPr>
              <w:lastRenderedPageBreak/>
              <w:t>Формирование почасовых объемов электроэнергии по ГТП генерации и сечениям коммерческого учета осуществляется согласно единому учетно-расчетному времени:</w:t>
            </w:r>
          </w:p>
          <w:p w14:paraId="3B2ABD20" w14:textId="77777777" w:rsidR="00295C6D" w:rsidRPr="00A5626D" w:rsidRDefault="00295C6D" w:rsidP="00647FA0">
            <w:pPr>
              <w:tabs>
                <w:tab w:val="num" w:pos="0"/>
                <w:tab w:val="left" w:pos="1134"/>
                <w:tab w:val="left" w:pos="1200"/>
                <w:tab w:val="left" w:pos="7938"/>
              </w:tabs>
              <w:spacing w:before="120" w:after="120" w:line="22" w:lineRule="atLeast"/>
              <w:ind w:firstLine="600"/>
              <w:jc w:val="both"/>
              <w:rPr>
                <w:rFonts w:ascii="Garamond" w:hAnsi="Garamond" w:cstheme="minorHAnsi"/>
                <w:sz w:val="22"/>
                <w:szCs w:val="22"/>
              </w:rPr>
            </w:pPr>
            <w:r w:rsidRPr="00A5626D">
              <w:rPr>
                <w:rFonts w:ascii="Garamond" w:hAnsi="Garamond" w:cstheme="minorHAnsi"/>
                <w:sz w:val="22"/>
                <w:szCs w:val="22"/>
              </w:rPr>
              <w:t>•</w:t>
            </w:r>
            <w:r w:rsidRPr="00A5626D">
              <w:rPr>
                <w:rFonts w:ascii="Garamond" w:hAnsi="Garamond" w:cstheme="minorHAnsi"/>
                <w:sz w:val="22"/>
                <w:szCs w:val="22"/>
              </w:rPr>
              <w:tab/>
              <w:t>московское время принято:</w:t>
            </w:r>
          </w:p>
          <w:p w14:paraId="71A65714" w14:textId="77777777" w:rsidR="00295C6D" w:rsidRPr="00A5626D" w:rsidRDefault="00295C6D" w:rsidP="00647FA0">
            <w:pPr>
              <w:pStyle w:val="ac"/>
              <w:numPr>
                <w:ilvl w:val="0"/>
                <w:numId w:val="266"/>
              </w:numPr>
              <w:tabs>
                <w:tab w:val="left" w:pos="600"/>
                <w:tab w:val="left" w:pos="1134"/>
                <w:tab w:val="left" w:pos="7938"/>
              </w:tabs>
              <w:spacing w:before="120" w:after="120" w:line="22" w:lineRule="atLeast"/>
              <w:jc w:val="both"/>
              <w:rPr>
                <w:rFonts w:ascii="Garamond" w:hAnsi="Garamond" w:cstheme="minorHAnsi"/>
                <w:sz w:val="22"/>
                <w:szCs w:val="22"/>
              </w:rPr>
            </w:pPr>
            <w:r w:rsidRPr="00A5626D">
              <w:rPr>
                <w:rFonts w:ascii="Garamond" w:hAnsi="Garamond" w:cstheme="minorHAnsi"/>
                <w:sz w:val="22"/>
                <w:szCs w:val="22"/>
              </w:rPr>
              <w:t>для ценовых и неценовых зон (за исключением второй неценовой зоны);</w:t>
            </w:r>
          </w:p>
          <w:p w14:paraId="15678E08" w14:textId="77777777" w:rsidR="00295C6D" w:rsidRPr="00A5626D" w:rsidRDefault="00295C6D" w:rsidP="00647FA0">
            <w:pPr>
              <w:pStyle w:val="ac"/>
              <w:numPr>
                <w:ilvl w:val="0"/>
                <w:numId w:val="266"/>
              </w:numPr>
              <w:tabs>
                <w:tab w:val="left" w:pos="600"/>
                <w:tab w:val="left" w:pos="1134"/>
                <w:tab w:val="left" w:pos="7938"/>
              </w:tabs>
              <w:spacing w:before="120" w:after="120" w:line="22" w:lineRule="atLeast"/>
              <w:ind w:left="0" w:firstLine="600"/>
              <w:jc w:val="both"/>
              <w:rPr>
                <w:rFonts w:ascii="Garamond" w:hAnsi="Garamond" w:cstheme="minorHAnsi"/>
                <w:sz w:val="22"/>
                <w:szCs w:val="22"/>
              </w:rPr>
            </w:pPr>
            <w:r w:rsidRPr="00A5626D">
              <w:rPr>
                <w:rFonts w:ascii="Garamond" w:hAnsi="Garamond" w:cstheme="minorHAnsi"/>
                <w:sz w:val="22"/>
                <w:szCs w:val="22"/>
              </w:rPr>
              <w:t>сечений коммерческого учета:</w:t>
            </w:r>
          </w:p>
          <w:p w14:paraId="40C094CF" w14:textId="77777777" w:rsidR="00295C6D" w:rsidRPr="00A5626D" w:rsidRDefault="00295C6D" w:rsidP="00647FA0">
            <w:pPr>
              <w:pStyle w:val="a8"/>
              <w:numPr>
                <w:ilvl w:val="0"/>
                <w:numId w:val="259"/>
              </w:numPr>
              <w:tabs>
                <w:tab w:val="clear" w:pos="8100"/>
                <w:tab w:val="left" w:pos="960"/>
                <w:tab w:val="left" w:pos="1134"/>
                <w:tab w:val="left" w:pos="7938"/>
              </w:tabs>
              <w:suppressAutoHyphens w:val="0"/>
              <w:autoSpaceDE w:val="0"/>
              <w:autoSpaceDN w:val="0"/>
              <w:spacing w:before="120" w:after="120" w:line="22" w:lineRule="atLeast"/>
              <w:ind w:left="0" w:firstLine="600"/>
              <w:rPr>
                <w:rFonts w:ascii="Garamond" w:hAnsi="Garamond" w:cstheme="minorHAnsi"/>
                <w:sz w:val="22"/>
                <w:szCs w:val="22"/>
              </w:rPr>
            </w:pPr>
            <w:r w:rsidRPr="00A5626D">
              <w:rPr>
                <w:rFonts w:ascii="Garamond" w:hAnsi="Garamond" w:cstheme="minorHAnsi"/>
                <w:sz w:val="22"/>
                <w:szCs w:val="22"/>
              </w:rPr>
              <w:t>между второй ценовой зоной и второй неценовой зоной;</w:t>
            </w:r>
          </w:p>
          <w:p w14:paraId="3719A31D" w14:textId="77777777" w:rsidR="00295C6D" w:rsidRPr="00A5626D" w:rsidRDefault="00295C6D" w:rsidP="00647FA0">
            <w:pPr>
              <w:pStyle w:val="a8"/>
              <w:numPr>
                <w:ilvl w:val="0"/>
                <w:numId w:val="259"/>
              </w:numPr>
              <w:tabs>
                <w:tab w:val="clear" w:pos="8100"/>
                <w:tab w:val="left" w:pos="960"/>
                <w:tab w:val="left" w:pos="1134"/>
                <w:tab w:val="left" w:pos="7938"/>
              </w:tabs>
              <w:suppressAutoHyphens w:val="0"/>
              <w:autoSpaceDE w:val="0"/>
              <w:autoSpaceDN w:val="0"/>
              <w:spacing w:before="120" w:after="120" w:line="22" w:lineRule="atLeast"/>
              <w:ind w:left="0" w:firstLine="600"/>
              <w:rPr>
                <w:rFonts w:ascii="Garamond" w:hAnsi="Garamond" w:cstheme="minorHAnsi"/>
                <w:sz w:val="22"/>
                <w:szCs w:val="22"/>
              </w:rPr>
            </w:pPr>
            <w:r w:rsidRPr="00A5626D">
              <w:rPr>
                <w:rFonts w:ascii="Garamond" w:hAnsi="Garamond" w:cstheme="minorHAnsi"/>
                <w:sz w:val="22"/>
                <w:szCs w:val="22"/>
              </w:rPr>
              <w:t xml:space="preserve">между внезональным энергорайоном, входящим в ГТП потребления на территории Республики Саха (Якутия), и энергообъектами, расположенными на территории Республики Саха (Якутия), имеющими электрическую связь с энергообъектами, расположенными в ценовой зоне Сибири; </w:t>
            </w:r>
          </w:p>
          <w:p w14:paraId="6D93682C" w14:textId="77777777" w:rsidR="00295C6D" w:rsidRPr="00A5626D" w:rsidRDefault="00295C6D" w:rsidP="00647FA0">
            <w:pPr>
              <w:pStyle w:val="a8"/>
              <w:numPr>
                <w:ilvl w:val="0"/>
                <w:numId w:val="259"/>
              </w:numPr>
              <w:tabs>
                <w:tab w:val="clear" w:pos="8100"/>
                <w:tab w:val="left" w:pos="960"/>
                <w:tab w:val="left" w:pos="1134"/>
                <w:tab w:val="left" w:pos="7938"/>
              </w:tabs>
              <w:suppressAutoHyphens w:val="0"/>
              <w:autoSpaceDE w:val="0"/>
              <w:autoSpaceDN w:val="0"/>
              <w:spacing w:before="120" w:after="120" w:line="22" w:lineRule="atLeast"/>
              <w:ind w:left="0" w:firstLine="600"/>
              <w:rPr>
                <w:rFonts w:ascii="Garamond" w:hAnsi="Garamond" w:cstheme="minorHAnsi"/>
                <w:sz w:val="22"/>
                <w:szCs w:val="22"/>
              </w:rPr>
            </w:pPr>
            <w:r w:rsidRPr="00A5626D">
              <w:rPr>
                <w:rFonts w:ascii="Garamond" w:hAnsi="Garamond" w:cstheme="minorHAnsi"/>
                <w:sz w:val="22"/>
                <w:szCs w:val="22"/>
              </w:rPr>
              <w:t>между внезональным энергорайоном, входящим в ГТП потребления на территории Республики Саха (Якутия), и ГТП смежных участников оптового рынка;</w:t>
            </w:r>
          </w:p>
          <w:p w14:paraId="4B105B9E" w14:textId="77777777" w:rsidR="00295C6D" w:rsidRPr="00A5626D" w:rsidRDefault="00295C6D" w:rsidP="00647FA0">
            <w:pPr>
              <w:pStyle w:val="a8"/>
              <w:numPr>
                <w:ilvl w:val="0"/>
                <w:numId w:val="259"/>
              </w:numPr>
              <w:tabs>
                <w:tab w:val="clear" w:pos="8100"/>
                <w:tab w:val="left" w:pos="960"/>
                <w:tab w:val="left" w:pos="1134"/>
                <w:tab w:val="left" w:pos="7938"/>
              </w:tabs>
              <w:suppressAutoHyphens w:val="0"/>
              <w:autoSpaceDE w:val="0"/>
              <w:autoSpaceDN w:val="0"/>
              <w:spacing w:before="120" w:after="120" w:line="22" w:lineRule="atLeast"/>
              <w:ind w:left="0" w:firstLine="600"/>
              <w:rPr>
                <w:rFonts w:ascii="Garamond" w:hAnsi="Garamond" w:cstheme="minorHAnsi"/>
                <w:sz w:val="22"/>
                <w:szCs w:val="22"/>
              </w:rPr>
            </w:pPr>
            <w:r w:rsidRPr="00A5626D">
              <w:rPr>
                <w:rFonts w:ascii="Garamond" w:hAnsi="Garamond" w:cstheme="minorHAnsi"/>
                <w:sz w:val="22"/>
                <w:szCs w:val="22"/>
              </w:rPr>
              <w:lastRenderedPageBreak/>
              <w:t>между внезональными энергорайонами, входящими в состав ГТП потребления участников оптового рынка на территории Республики Саха (Якутия);</w:t>
            </w:r>
          </w:p>
          <w:p w14:paraId="4D978B26" w14:textId="77777777" w:rsidR="00295C6D" w:rsidRPr="00A5626D" w:rsidRDefault="00295C6D" w:rsidP="00647FA0">
            <w:pPr>
              <w:tabs>
                <w:tab w:val="num" w:pos="0"/>
                <w:tab w:val="left" w:pos="1134"/>
                <w:tab w:val="left" w:pos="1200"/>
                <w:tab w:val="left" w:pos="7938"/>
              </w:tabs>
              <w:spacing w:before="120" w:after="120" w:line="22" w:lineRule="atLeast"/>
              <w:ind w:firstLine="600"/>
              <w:jc w:val="both"/>
              <w:rPr>
                <w:rFonts w:ascii="Garamond" w:hAnsi="Garamond" w:cstheme="minorHAnsi"/>
                <w:sz w:val="22"/>
                <w:szCs w:val="22"/>
              </w:rPr>
            </w:pPr>
            <w:r w:rsidRPr="00A5626D">
              <w:rPr>
                <w:rFonts w:ascii="Garamond" w:hAnsi="Garamond" w:cstheme="minorHAnsi"/>
                <w:sz w:val="22"/>
                <w:szCs w:val="22"/>
              </w:rPr>
              <w:t>•</w:t>
            </w:r>
            <w:r w:rsidRPr="00A5626D">
              <w:rPr>
                <w:rFonts w:ascii="Garamond" w:hAnsi="Garamond" w:cstheme="minorHAnsi"/>
                <w:sz w:val="22"/>
                <w:szCs w:val="22"/>
              </w:rPr>
              <w:tab/>
              <w:t>для второй неценовой зоны (за исключением сечений коммерческого учета, указанных в подпункте 2 настоящего пункта) принято хабаровское время.</w:t>
            </w:r>
          </w:p>
          <w:p w14:paraId="49C206F9" w14:textId="77777777" w:rsidR="00295C6D" w:rsidRPr="00A5626D" w:rsidRDefault="00295C6D" w:rsidP="00647FA0">
            <w:pPr>
              <w:tabs>
                <w:tab w:val="num" w:pos="0"/>
                <w:tab w:val="left" w:pos="1134"/>
                <w:tab w:val="left" w:pos="1200"/>
                <w:tab w:val="left" w:pos="7938"/>
              </w:tabs>
              <w:spacing w:before="120" w:after="120" w:line="22" w:lineRule="atLeast"/>
              <w:ind w:firstLine="600"/>
              <w:jc w:val="both"/>
              <w:rPr>
                <w:rFonts w:ascii="Garamond" w:hAnsi="Garamond" w:cstheme="minorHAnsi"/>
                <w:sz w:val="22"/>
                <w:szCs w:val="22"/>
              </w:rPr>
            </w:pPr>
            <w:r w:rsidRPr="00A5626D">
              <w:rPr>
                <w:rFonts w:ascii="Garamond" w:hAnsi="Garamond" w:cstheme="minorHAnsi"/>
                <w:sz w:val="22"/>
                <w:szCs w:val="22"/>
              </w:rPr>
              <w:t>При формировании данных коммерческого учета по вновь образованным сечениям коммерческого учета, указанным в подпункте 2 настоящего пункта, за первый отчетный период участники оптового рынка (ФСК) обязаны дополнительно сформировать и направить в соответствии с требованиями настоящего Регламента в КО данные коммерческого учета за первые 7 (семь) часов отчетного периода, определенные по хабаровскому времени, при этом указанные данные коммерческого учета формируются и направляются по московскому времени.</w:t>
            </w:r>
          </w:p>
          <w:p w14:paraId="339253F4" w14:textId="77777777" w:rsidR="00295C6D" w:rsidRPr="00A5626D" w:rsidRDefault="00295C6D" w:rsidP="00647FA0">
            <w:pPr>
              <w:tabs>
                <w:tab w:val="left" w:pos="1134"/>
                <w:tab w:val="left" w:pos="7938"/>
              </w:tabs>
              <w:spacing w:before="120" w:after="120"/>
              <w:ind w:firstLine="601"/>
              <w:jc w:val="both"/>
              <w:rPr>
                <w:rFonts w:ascii="Garamond" w:hAnsi="Garamond" w:cstheme="minorHAnsi"/>
                <w:bCs/>
                <w:sz w:val="22"/>
                <w:szCs w:val="22"/>
                <w:highlight w:val="yellow"/>
              </w:rPr>
            </w:pPr>
            <w:r w:rsidRPr="00A5626D">
              <w:rPr>
                <w:rFonts w:ascii="Garamond" w:hAnsi="Garamond" w:cstheme="minorHAnsi"/>
                <w:sz w:val="22"/>
                <w:szCs w:val="22"/>
                <w:highlight w:val="yellow"/>
              </w:rPr>
              <w:t>Формирование почасовых объемов электроэнергии по объекту регулирования осуществляется согласно единому учетно-расчетному времени – московскому.</w:t>
            </w:r>
          </w:p>
          <w:p w14:paraId="0FAB74C9" w14:textId="77777777" w:rsidR="00295C6D" w:rsidRPr="00A5626D" w:rsidRDefault="00295C6D" w:rsidP="00647FA0">
            <w:pPr>
              <w:tabs>
                <w:tab w:val="num" w:pos="0"/>
                <w:tab w:val="left" w:pos="1134"/>
                <w:tab w:val="left" w:pos="1200"/>
                <w:tab w:val="left" w:pos="7938"/>
              </w:tabs>
              <w:spacing w:before="120" w:after="120" w:line="22" w:lineRule="atLeast"/>
              <w:ind w:firstLine="600"/>
              <w:jc w:val="both"/>
              <w:rPr>
                <w:rFonts w:ascii="Garamond" w:hAnsi="Garamond" w:cstheme="minorHAnsi"/>
                <w:sz w:val="22"/>
                <w:szCs w:val="22"/>
              </w:rPr>
            </w:pPr>
            <w:r w:rsidRPr="00A5626D">
              <w:rPr>
                <w:rFonts w:ascii="Garamond" w:hAnsi="Garamond" w:cstheme="minorHAnsi"/>
                <w:sz w:val="22"/>
                <w:szCs w:val="22"/>
              </w:rPr>
              <w:t>В течение 30 (тридцати) минут со времени поступления от участников оптового рынка или ФСК интегральных актов учета перетоков (макет 50080) КО подтверждает факт получения указанного макета путем направления в адрес участников оптового рынка, ФСК уведомлений в макете 50081, подписанных электронной подписью и содержащих информацию о статусе приема отчетных данных, а также список ошибок и предупреждений. В случае неполучения участником оптового рынка (ФСК) по истечении 30 (тридцати) минут вышеуказанных уведомлений (макет 50081), представитель участника оптового рынка (ФСК) должен связаться с представителем КО, ответственным за прием информации, с целью локализации и устранения проблемы.</w:t>
            </w:r>
          </w:p>
          <w:p w14:paraId="3FABFEE3" w14:textId="77777777" w:rsidR="00295C6D" w:rsidRPr="00A5626D" w:rsidRDefault="00295C6D" w:rsidP="00647FA0">
            <w:pPr>
              <w:tabs>
                <w:tab w:val="left" w:pos="1134"/>
                <w:tab w:val="left" w:pos="7938"/>
              </w:tabs>
              <w:spacing w:before="120" w:after="120"/>
              <w:ind w:firstLine="601"/>
              <w:jc w:val="both"/>
              <w:rPr>
                <w:rFonts w:ascii="Garamond" w:hAnsi="Garamond" w:cstheme="minorHAnsi"/>
                <w:sz w:val="22"/>
                <w:szCs w:val="22"/>
              </w:rPr>
            </w:pPr>
            <w:r w:rsidRPr="00A5626D">
              <w:rPr>
                <w:rFonts w:ascii="Garamond" w:hAnsi="Garamond" w:cstheme="minorHAnsi"/>
                <w:sz w:val="22"/>
                <w:szCs w:val="22"/>
              </w:rPr>
              <w:t xml:space="preserve">В течение 120 (ста двадцати) минут со времени поступления от участников оптового рынка (ФСК) корректирующих актов учета (оборота) по ГТП генерации, корректирующих актов учета перетоков по сечениям коммерческого учета (макеты 51075) КО подтверждает факт получения указанных макетов путем направления в адрес участников оптового рынка (ФСК) уведомлений в макете 51076, подписанных электронной подписью и содержащих информацию о статусе приема отчетных данных, а также список ошибок и предупреждений. В случае неполучения участником </w:t>
            </w:r>
            <w:r w:rsidRPr="00A5626D">
              <w:rPr>
                <w:rFonts w:ascii="Garamond" w:hAnsi="Garamond" w:cstheme="minorHAnsi"/>
                <w:sz w:val="22"/>
                <w:szCs w:val="22"/>
              </w:rPr>
              <w:lastRenderedPageBreak/>
              <w:t>оптового рынка (ФСК) по истечении 120 (ста двадцати) минут вышеуказанного уведомления (макет 51076), представитель участника оптового рынка (ФСК) должен связаться с представителем КО, ответственным за прием информации, с целью локализации и устранения проблемы.</w:t>
            </w:r>
          </w:p>
          <w:p w14:paraId="445E2953" w14:textId="77777777" w:rsidR="00295C6D" w:rsidRPr="00A5626D" w:rsidRDefault="00295C6D" w:rsidP="00647FA0">
            <w:pPr>
              <w:tabs>
                <w:tab w:val="left" w:pos="1134"/>
                <w:tab w:val="left" w:pos="7938"/>
              </w:tabs>
              <w:spacing w:before="120" w:after="120"/>
              <w:ind w:firstLine="601"/>
              <w:jc w:val="both"/>
              <w:rPr>
                <w:rFonts w:ascii="Garamond" w:hAnsi="Garamond" w:cstheme="minorHAnsi"/>
                <w:sz w:val="22"/>
                <w:szCs w:val="22"/>
              </w:rPr>
            </w:pPr>
            <w:r w:rsidRPr="00A5626D">
              <w:rPr>
                <w:rFonts w:ascii="Garamond" w:hAnsi="Garamond" w:cstheme="minorHAnsi"/>
                <w:sz w:val="22"/>
                <w:szCs w:val="22"/>
                <w:highlight w:val="yellow"/>
              </w:rPr>
              <w:t>В течение 120 (ста двадцати) минут со времени поступления от агрегатора акта учета (оборота) по объекту регулирования (макет 21070) КО подтверждает факт получения указанного макета путем направления в адрес агрегатора и владельца ГТП (только агрегатора в случаях, когда такой агрегатор является одновременно владельцем ГТП) уведомлений в макете 21071, подписанных электронной подписью и содержащих информацию о статусе приема данных коммерческого учета, а также список ошибок и предупреждений. В случае неполучения агрегатором (владельцем ГТП) по истечении 120 (ста двадцати) минут вышеуказанного уведомления (макет 21071), представитель агрегатора (владельца ГТП) должен связаться с представителем КО, ответственным за прием информации, с целью локализации и устранения проблемы.</w:t>
            </w:r>
          </w:p>
        </w:tc>
      </w:tr>
      <w:tr w:rsidR="00295C6D" w:rsidRPr="00A5626D" w14:paraId="2F7100E2" w14:textId="77777777" w:rsidTr="00647FA0">
        <w:tc>
          <w:tcPr>
            <w:tcW w:w="1060" w:type="dxa"/>
            <w:vAlign w:val="center"/>
          </w:tcPr>
          <w:p w14:paraId="7D2C5AC9" w14:textId="77777777" w:rsidR="00295C6D" w:rsidRPr="00A5626D" w:rsidRDefault="00295C6D" w:rsidP="00E31AE6">
            <w:pPr>
              <w:widowControl w:val="0"/>
              <w:tabs>
                <w:tab w:val="left" w:pos="1134"/>
                <w:tab w:val="left" w:pos="7938"/>
              </w:tabs>
              <w:spacing w:line="22" w:lineRule="atLeast"/>
              <w:jc w:val="both"/>
              <w:rPr>
                <w:rFonts w:ascii="Garamond" w:hAnsi="Garamond"/>
                <w:b/>
                <w:sz w:val="22"/>
                <w:szCs w:val="22"/>
                <w:lang w:eastAsia="en-US"/>
              </w:rPr>
            </w:pPr>
            <w:r w:rsidRPr="00A5626D">
              <w:rPr>
                <w:rFonts w:ascii="Garamond" w:hAnsi="Garamond"/>
                <w:b/>
                <w:sz w:val="22"/>
                <w:szCs w:val="22"/>
                <w:lang w:eastAsia="en-US"/>
              </w:rPr>
              <w:lastRenderedPageBreak/>
              <w:t>7.10</w:t>
            </w:r>
          </w:p>
        </w:tc>
        <w:tc>
          <w:tcPr>
            <w:tcW w:w="6662" w:type="dxa"/>
          </w:tcPr>
          <w:p w14:paraId="29A3DEB6" w14:textId="77777777" w:rsidR="00295C6D" w:rsidRPr="00A5626D" w:rsidRDefault="00295C6D" w:rsidP="00647FA0">
            <w:pPr>
              <w:pStyle w:val="2"/>
              <w:numPr>
                <w:ilvl w:val="0"/>
                <w:numId w:val="0"/>
              </w:numPr>
              <w:tabs>
                <w:tab w:val="left" w:pos="1134"/>
                <w:tab w:val="left" w:pos="7938"/>
              </w:tabs>
              <w:suppressAutoHyphens w:val="0"/>
              <w:spacing w:before="120" w:after="120" w:line="22" w:lineRule="atLeast"/>
              <w:ind w:firstLine="629"/>
              <w:jc w:val="both"/>
              <w:rPr>
                <w:rFonts w:ascii="Garamond" w:hAnsi="Garamond" w:cstheme="minorHAnsi"/>
                <w:b w:val="0"/>
              </w:rPr>
            </w:pPr>
            <w:r w:rsidRPr="00A5626D">
              <w:rPr>
                <w:rFonts w:ascii="Garamond" w:hAnsi="Garamond" w:cstheme="minorHAnsi"/>
                <w:b w:val="0"/>
              </w:rPr>
              <w:t>В случае непредставления в КО до 6-го числа месяца, следующего за отчетным, согласованных интегральных актов учета перетоков (макеты 50080), величина фактических отпусков электрической энергии из электрических сетей, отнесенных к сетям ФСК 330 кВ и выше или сетям ФСК 220 кВ и ниже, определяется на основании замещающих методов расчета учетных показателей в соответствии с п. 8.4 настоящего Регламента.</w:t>
            </w:r>
          </w:p>
          <w:p w14:paraId="0EA3B22E" w14:textId="77777777" w:rsidR="00295C6D" w:rsidRPr="00A5626D" w:rsidRDefault="00295C6D" w:rsidP="00647FA0">
            <w:pPr>
              <w:pStyle w:val="2"/>
              <w:numPr>
                <w:ilvl w:val="0"/>
                <w:numId w:val="0"/>
              </w:numPr>
              <w:tabs>
                <w:tab w:val="left" w:pos="1134"/>
                <w:tab w:val="left" w:pos="7938"/>
              </w:tabs>
              <w:suppressAutoHyphens w:val="0"/>
              <w:spacing w:before="120" w:after="120" w:line="22" w:lineRule="atLeast"/>
              <w:ind w:firstLine="629"/>
              <w:jc w:val="both"/>
              <w:rPr>
                <w:rFonts w:ascii="Garamond" w:hAnsi="Garamond" w:cstheme="minorHAnsi"/>
                <w:b w:val="0"/>
              </w:rPr>
            </w:pPr>
            <w:r w:rsidRPr="00A5626D">
              <w:rPr>
                <w:rFonts w:ascii="Garamond" w:hAnsi="Garamond" w:cstheme="minorHAnsi"/>
                <w:b w:val="0"/>
              </w:rPr>
              <w:t xml:space="preserve">В случае если поставщиками электроэнергии не сформированы в соответствии с п. </w:t>
            </w:r>
            <w:r w:rsidRPr="00A5626D">
              <w:rPr>
                <w:rFonts w:ascii="Garamond" w:hAnsi="Garamond" w:cstheme="minorHAnsi"/>
                <w:b w:val="0"/>
                <w:highlight w:val="yellow"/>
              </w:rPr>
              <w:t>3.9</w:t>
            </w:r>
            <w:r w:rsidRPr="00A5626D">
              <w:rPr>
                <w:rFonts w:ascii="Garamond" w:hAnsi="Garamond" w:cstheme="minorHAnsi"/>
                <w:b w:val="0"/>
              </w:rPr>
              <w:t xml:space="preserve"> настоящего Регламента акты учета (оборота) по ГТП генерации (макет 51020), а также в иных случаях, установленных настоящим Регламентом (в том числе в случае, если КО принят к расчетам корректирующий акт учета (оборота) по ГТП генерации (макет 51075)), почасовые объемы произведенной электроэнергии определяются на основании замещающих методов расчета в соответствии с п. 8.7 настоящего Регламента.</w:t>
            </w:r>
          </w:p>
          <w:p w14:paraId="38F73BD2" w14:textId="77777777" w:rsidR="00295C6D" w:rsidRPr="00A5626D" w:rsidRDefault="00295C6D" w:rsidP="00647FA0">
            <w:pPr>
              <w:pStyle w:val="2"/>
              <w:numPr>
                <w:ilvl w:val="0"/>
                <w:numId w:val="0"/>
              </w:numPr>
              <w:tabs>
                <w:tab w:val="left" w:pos="1134"/>
                <w:tab w:val="left" w:pos="7938"/>
              </w:tabs>
              <w:suppressAutoHyphens w:val="0"/>
              <w:spacing w:before="120" w:after="120" w:line="22" w:lineRule="atLeast"/>
              <w:ind w:firstLine="629"/>
              <w:jc w:val="both"/>
              <w:rPr>
                <w:rFonts w:ascii="Garamond" w:hAnsi="Garamond" w:cstheme="minorHAnsi"/>
                <w:b w:val="0"/>
              </w:rPr>
            </w:pPr>
            <w:r w:rsidRPr="00A5626D">
              <w:rPr>
                <w:rFonts w:ascii="Garamond" w:hAnsi="Garamond" w:cstheme="minorHAnsi"/>
                <w:b w:val="0"/>
              </w:rPr>
              <w:t xml:space="preserve">В случае если участниками оптового рынка, в состав ГТП потребления которых входят внутренние сечения, не сформированы в соответствии с п. 7.4 настоящего Регламента акты учета перетоков по внутреннему сечению (макет 51020), а также в иных случаях, </w:t>
            </w:r>
            <w:r w:rsidRPr="00A5626D">
              <w:rPr>
                <w:rFonts w:ascii="Garamond" w:hAnsi="Garamond" w:cstheme="minorHAnsi"/>
                <w:b w:val="0"/>
              </w:rPr>
              <w:lastRenderedPageBreak/>
              <w:t>установленных настоящим Регламентом (в том числе в случае, если КО принят к расчетам корректирующий акт учета перетоков по внутреннему сечению (макет 51075) в течение сроков, указанных в п</w:t>
            </w:r>
            <w:r w:rsidRPr="00A5626D">
              <w:rPr>
                <w:rFonts w:ascii="Garamond" w:hAnsi="Garamond" w:cstheme="minorHAnsi"/>
                <w:b w:val="0"/>
                <w:highlight w:val="yellow"/>
              </w:rPr>
              <w:t>п</w:t>
            </w:r>
            <w:r w:rsidRPr="00A5626D">
              <w:rPr>
                <w:rFonts w:ascii="Garamond" w:hAnsi="Garamond" w:cstheme="minorHAnsi"/>
                <w:b w:val="0"/>
              </w:rPr>
              <w:t xml:space="preserve">. </w:t>
            </w:r>
            <w:r w:rsidRPr="00A5626D">
              <w:rPr>
                <w:rFonts w:ascii="Garamond" w:hAnsi="Garamond" w:cstheme="minorHAnsi"/>
                <w:b w:val="0"/>
                <w:highlight w:val="yellow"/>
              </w:rPr>
              <w:t>3.2, 3</w:t>
            </w:r>
            <w:r w:rsidRPr="00A5626D">
              <w:rPr>
                <w:rFonts w:ascii="Garamond" w:hAnsi="Garamond" w:cstheme="minorHAnsi"/>
                <w:b w:val="0"/>
              </w:rPr>
              <w:t>.4 настоящего Регламента), почасовые объемы электроэнергии определяются на основании замещающих методов расчета в соответствии с пп. 8.1, 8.2 настоящего Регламента.</w:t>
            </w:r>
          </w:p>
          <w:p w14:paraId="7FBEA819" w14:textId="77777777" w:rsidR="00295C6D" w:rsidRPr="00A5626D" w:rsidRDefault="00295C6D" w:rsidP="00647FA0">
            <w:pPr>
              <w:pStyle w:val="2"/>
              <w:numPr>
                <w:ilvl w:val="0"/>
                <w:numId w:val="0"/>
              </w:numPr>
              <w:tabs>
                <w:tab w:val="left" w:pos="1134"/>
                <w:tab w:val="left" w:pos="7938"/>
              </w:tabs>
              <w:suppressAutoHyphens w:val="0"/>
              <w:spacing w:before="120" w:after="120" w:line="22" w:lineRule="atLeast"/>
              <w:ind w:firstLine="629"/>
              <w:jc w:val="both"/>
              <w:rPr>
                <w:rFonts w:ascii="Garamond" w:hAnsi="Garamond" w:cstheme="minorHAnsi"/>
                <w:b w:val="0"/>
              </w:rPr>
            </w:pPr>
            <w:r w:rsidRPr="00A5626D">
              <w:rPr>
                <w:rFonts w:ascii="Garamond" w:hAnsi="Garamond" w:cstheme="minorHAnsi"/>
                <w:b w:val="0"/>
              </w:rPr>
              <w:t>В случае если участниками оптового рынка (ФСК) не сформированы в соответствии с п. 7.2 настоящего Регламента акты учета перетоков по сечению коммерческого учета (макет 51020), а также в иных случаях, установленных настоящим Регламентом (в том числе в случае, если КО принят к расчетам корректирующий акт учета перетоков по сечению коммерческого учета (макет 51075)), почасовые объемы электроэнергии определяются на основании замещающих методов расчета в соответствии с пп. 8.1–8.3, 8.6 настоящего Регламента.</w:t>
            </w:r>
          </w:p>
        </w:tc>
        <w:tc>
          <w:tcPr>
            <w:tcW w:w="7088" w:type="dxa"/>
          </w:tcPr>
          <w:p w14:paraId="5043CBDB" w14:textId="77777777" w:rsidR="00295C6D" w:rsidRPr="00A5626D" w:rsidRDefault="00295C6D" w:rsidP="00647FA0">
            <w:pPr>
              <w:pStyle w:val="2"/>
              <w:numPr>
                <w:ilvl w:val="0"/>
                <w:numId w:val="0"/>
              </w:numPr>
              <w:tabs>
                <w:tab w:val="left" w:pos="1134"/>
                <w:tab w:val="left" w:pos="7938"/>
              </w:tabs>
              <w:suppressAutoHyphens w:val="0"/>
              <w:spacing w:before="120" w:after="120" w:line="22" w:lineRule="atLeast"/>
              <w:ind w:firstLine="629"/>
              <w:jc w:val="both"/>
              <w:rPr>
                <w:rFonts w:ascii="Garamond" w:hAnsi="Garamond" w:cstheme="minorHAnsi"/>
                <w:b w:val="0"/>
              </w:rPr>
            </w:pPr>
            <w:r w:rsidRPr="00A5626D">
              <w:rPr>
                <w:rFonts w:ascii="Garamond" w:hAnsi="Garamond" w:cstheme="minorHAnsi"/>
                <w:b w:val="0"/>
              </w:rPr>
              <w:lastRenderedPageBreak/>
              <w:t>В случае непредставления в КО до 6-го числа месяца, следующего за отчетным, согласованных интегральных актов учета перетоков (макеты 50080), величина фактических отпусков электрической энергии из электрических сетей, отнесенных к сетям ФСК 330 кВ и выше или сетям ФСК 220 кВ и ниже, определяется на основании замещающих методов расчета учетных показателей в соответствии с п. 8.4 настоящего Регламента.</w:t>
            </w:r>
          </w:p>
          <w:p w14:paraId="53F0654D" w14:textId="77777777" w:rsidR="00295C6D" w:rsidRPr="00A5626D" w:rsidRDefault="00295C6D" w:rsidP="00647FA0">
            <w:pPr>
              <w:pStyle w:val="2"/>
              <w:numPr>
                <w:ilvl w:val="0"/>
                <w:numId w:val="0"/>
              </w:numPr>
              <w:tabs>
                <w:tab w:val="left" w:pos="1134"/>
                <w:tab w:val="left" w:pos="7938"/>
              </w:tabs>
              <w:suppressAutoHyphens w:val="0"/>
              <w:spacing w:before="120" w:after="120" w:line="22" w:lineRule="atLeast"/>
              <w:ind w:firstLine="629"/>
              <w:jc w:val="both"/>
              <w:rPr>
                <w:rFonts w:ascii="Garamond" w:hAnsi="Garamond" w:cstheme="minorHAnsi"/>
                <w:b w:val="0"/>
              </w:rPr>
            </w:pPr>
            <w:r w:rsidRPr="00A5626D">
              <w:rPr>
                <w:rFonts w:ascii="Garamond" w:hAnsi="Garamond" w:cstheme="minorHAnsi"/>
                <w:b w:val="0"/>
              </w:rPr>
              <w:t xml:space="preserve">В случае если поставщиками электроэнергии не сформированы в соответствии с п. </w:t>
            </w:r>
            <w:r w:rsidRPr="00A5626D">
              <w:rPr>
                <w:rFonts w:ascii="Garamond" w:hAnsi="Garamond" w:cstheme="minorHAnsi"/>
                <w:b w:val="0"/>
                <w:highlight w:val="yellow"/>
              </w:rPr>
              <w:t>7.3</w:t>
            </w:r>
            <w:r w:rsidRPr="00A5626D">
              <w:rPr>
                <w:rFonts w:ascii="Garamond" w:hAnsi="Garamond" w:cstheme="minorHAnsi"/>
                <w:b w:val="0"/>
              </w:rPr>
              <w:t xml:space="preserve"> настоящего Регламента акты учета (оборота) по ГТП генерации (макет 51020), а также в иных случаях, установленных настоящим Регламентом (в том числе в случае, если КО принят к расчетам корректирующий акт учета (оборота) по ГТП генерации (макет 51075)), почасовые объемы произведенной электроэнергии определяются на основании замещающих методов расчета в соответствии с п. 8.7 настоящего Регламента.</w:t>
            </w:r>
          </w:p>
          <w:p w14:paraId="486B2585" w14:textId="77777777" w:rsidR="00295C6D" w:rsidRPr="00A5626D" w:rsidRDefault="00295C6D" w:rsidP="00647FA0">
            <w:pPr>
              <w:pStyle w:val="2"/>
              <w:numPr>
                <w:ilvl w:val="0"/>
                <w:numId w:val="0"/>
              </w:numPr>
              <w:tabs>
                <w:tab w:val="left" w:pos="1134"/>
                <w:tab w:val="left" w:pos="7938"/>
              </w:tabs>
              <w:suppressAutoHyphens w:val="0"/>
              <w:spacing w:before="120" w:after="120" w:line="22" w:lineRule="atLeast"/>
              <w:ind w:firstLine="629"/>
              <w:jc w:val="both"/>
              <w:rPr>
                <w:rFonts w:ascii="Garamond" w:hAnsi="Garamond" w:cstheme="minorHAnsi"/>
                <w:b w:val="0"/>
              </w:rPr>
            </w:pPr>
            <w:r w:rsidRPr="00A5626D">
              <w:rPr>
                <w:rFonts w:ascii="Garamond" w:hAnsi="Garamond" w:cstheme="minorHAnsi"/>
                <w:b w:val="0"/>
              </w:rPr>
              <w:t xml:space="preserve">В случае если участниками оптового рынка, в состав ГТП потребления которых входят внутренние сечения, не сформированы в соответствии с п. 7.4 настоящего Регламента акты учета перетоков по внутреннему сечению (макет 51020), а также в иных случаях, установленных настоящим Регламентом (в том числе в случае, если КО принят к расчетам </w:t>
            </w:r>
            <w:r w:rsidRPr="00A5626D">
              <w:rPr>
                <w:rFonts w:ascii="Garamond" w:hAnsi="Garamond" w:cstheme="minorHAnsi"/>
                <w:b w:val="0"/>
              </w:rPr>
              <w:lastRenderedPageBreak/>
              <w:t xml:space="preserve">корректирующий акт учета перетоков по внутреннему сечению (макет 51075) в течение сроков, указанных в п. </w:t>
            </w:r>
            <w:r w:rsidRPr="00A5626D">
              <w:rPr>
                <w:rFonts w:ascii="Garamond" w:hAnsi="Garamond" w:cstheme="minorHAnsi"/>
                <w:b w:val="0"/>
                <w:highlight w:val="yellow"/>
              </w:rPr>
              <w:t>5</w:t>
            </w:r>
            <w:r w:rsidRPr="00A5626D">
              <w:rPr>
                <w:rFonts w:ascii="Garamond" w:hAnsi="Garamond" w:cstheme="minorHAnsi"/>
                <w:b w:val="0"/>
              </w:rPr>
              <w:t>.4 настоящего Регламента), почасовые объемы электроэнергии определяются на основании замещающих методов расчета в соответствии с пп. 8.1, 8.2 настоящего Регламента.</w:t>
            </w:r>
          </w:p>
          <w:p w14:paraId="518B4465" w14:textId="77777777" w:rsidR="00295C6D" w:rsidRPr="00A5626D" w:rsidRDefault="00295C6D" w:rsidP="00647FA0">
            <w:pPr>
              <w:pStyle w:val="2"/>
              <w:numPr>
                <w:ilvl w:val="0"/>
                <w:numId w:val="0"/>
              </w:numPr>
              <w:tabs>
                <w:tab w:val="left" w:pos="1134"/>
                <w:tab w:val="left" w:pos="7938"/>
              </w:tabs>
              <w:suppressAutoHyphens w:val="0"/>
              <w:spacing w:before="120" w:after="120" w:line="22" w:lineRule="atLeast"/>
              <w:ind w:firstLine="743"/>
              <w:jc w:val="both"/>
              <w:rPr>
                <w:rFonts w:ascii="Garamond" w:hAnsi="Garamond" w:cstheme="minorHAnsi"/>
                <w:b w:val="0"/>
              </w:rPr>
            </w:pPr>
            <w:r w:rsidRPr="00A5626D">
              <w:rPr>
                <w:rFonts w:ascii="Garamond" w:hAnsi="Garamond" w:cstheme="minorHAnsi"/>
                <w:b w:val="0"/>
              </w:rPr>
              <w:t>В случае если участниками оптового рынка (ФСК) не сформированы в соответствии с п. 7.2 настоящего Регламента акты учета перетоков по сечению коммерческого учета (макет 51020), а также в иных случаях, установленных настоящим Регламентом (в том числе в случае, если КО принят к расчетам корректирующий акт учета перетоков по сечению коммерческого учета (макет 51075)), почасовые объемы электроэнергии определяются на основании замещающих методов расчета в соответствии с пп. 8.1–8.3, 8.6 настоящего Регламента.</w:t>
            </w:r>
          </w:p>
          <w:p w14:paraId="66CBB1CD" w14:textId="6D0EE6D8" w:rsidR="00295C6D" w:rsidRPr="00A5626D" w:rsidRDefault="00295C6D" w:rsidP="00647FA0">
            <w:pPr>
              <w:tabs>
                <w:tab w:val="left" w:pos="1134"/>
                <w:tab w:val="left" w:pos="7938"/>
              </w:tabs>
              <w:spacing w:before="120" w:after="120"/>
              <w:ind w:firstLine="743"/>
              <w:jc w:val="both"/>
              <w:rPr>
                <w:rFonts w:ascii="Garamond" w:hAnsi="Garamond"/>
                <w:sz w:val="22"/>
                <w:szCs w:val="22"/>
              </w:rPr>
            </w:pPr>
            <w:r w:rsidRPr="00A5626D">
              <w:rPr>
                <w:rFonts w:ascii="Garamond" w:hAnsi="Garamond" w:cstheme="minorHAnsi"/>
                <w:sz w:val="22"/>
                <w:szCs w:val="22"/>
                <w:highlight w:val="yellow"/>
              </w:rPr>
              <w:t>В случае непред</w:t>
            </w:r>
            <w:r w:rsidR="00B671F1" w:rsidRPr="00A5626D">
              <w:rPr>
                <w:rFonts w:ascii="Garamond" w:hAnsi="Garamond" w:cstheme="minorHAnsi"/>
                <w:sz w:val="22"/>
                <w:szCs w:val="22"/>
                <w:highlight w:val="yellow"/>
              </w:rPr>
              <w:t>о</w:t>
            </w:r>
            <w:r w:rsidRPr="00A5626D">
              <w:rPr>
                <w:rFonts w:ascii="Garamond" w:hAnsi="Garamond" w:cstheme="minorHAnsi"/>
                <w:sz w:val="22"/>
                <w:szCs w:val="22"/>
                <w:highlight w:val="yellow"/>
              </w:rPr>
              <w:t>ставления агрегатором в КО до 6-го числа месяца, следующего за отчетным, акта учета (оборота) по объекту регулирования (макеты 21070)</w:t>
            </w:r>
            <w:r w:rsidR="008029A9" w:rsidRPr="00A5626D">
              <w:rPr>
                <w:rFonts w:ascii="Garamond" w:hAnsi="Garamond" w:cstheme="minorHAnsi"/>
                <w:sz w:val="22"/>
                <w:szCs w:val="22"/>
                <w:highlight w:val="yellow"/>
              </w:rPr>
              <w:t xml:space="preserve"> в отношении отчетного месяца</w:t>
            </w:r>
            <w:r w:rsidRPr="00A5626D">
              <w:rPr>
                <w:rFonts w:ascii="Garamond" w:hAnsi="Garamond" w:cstheme="minorHAnsi"/>
                <w:sz w:val="22"/>
                <w:szCs w:val="22"/>
                <w:highlight w:val="yellow"/>
              </w:rPr>
              <w:t>, КО не передает в СО для целей последующего расчета со стороны СО объема оказанных услуг по управлению изменением режима потребления электрической энергии данные коммерческого учета по такому объекту регулирования (в порядке, предусмотренном п. 9.6 настоящего Регламента), при этом замещающие методы расчета объемов электроэнергии не применяются.</w:t>
            </w:r>
          </w:p>
        </w:tc>
      </w:tr>
      <w:tr w:rsidR="00295C6D" w:rsidRPr="00A5626D" w14:paraId="782E8826" w14:textId="77777777" w:rsidTr="00647FA0">
        <w:tc>
          <w:tcPr>
            <w:tcW w:w="1060" w:type="dxa"/>
            <w:vAlign w:val="center"/>
          </w:tcPr>
          <w:p w14:paraId="1D3B97CC" w14:textId="77777777" w:rsidR="00295C6D" w:rsidRPr="00A5626D" w:rsidRDefault="00295C6D" w:rsidP="00E31AE6">
            <w:pPr>
              <w:widowControl w:val="0"/>
              <w:tabs>
                <w:tab w:val="left" w:pos="1134"/>
                <w:tab w:val="left" w:pos="7938"/>
              </w:tabs>
              <w:spacing w:line="22" w:lineRule="atLeast"/>
              <w:jc w:val="both"/>
              <w:rPr>
                <w:rFonts w:ascii="Garamond" w:hAnsi="Garamond"/>
                <w:b/>
                <w:sz w:val="22"/>
                <w:szCs w:val="22"/>
                <w:lang w:eastAsia="en-US"/>
              </w:rPr>
            </w:pPr>
            <w:r w:rsidRPr="00A5626D">
              <w:rPr>
                <w:rFonts w:ascii="Garamond" w:hAnsi="Garamond"/>
                <w:b/>
                <w:sz w:val="22"/>
                <w:szCs w:val="22"/>
                <w:lang w:eastAsia="en-US"/>
              </w:rPr>
              <w:lastRenderedPageBreak/>
              <w:t>7.12</w:t>
            </w:r>
          </w:p>
        </w:tc>
        <w:tc>
          <w:tcPr>
            <w:tcW w:w="6662" w:type="dxa"/>
          </w:tcPr>
          <w:p w14:paraId="123B41B5" w14:textId="77777777" w:rsidR="00295C6D" w:rsidRPr="00A5626D" w:rsidRDefault="00295C6D" w:rsidP="00647FA0">
            <w:pPr>
              <w:pStyle w:val="2"/>
              <w:numPr>
                <w:ilvl w:val="0"/>
                <w:numId w:val="0"/>
              </w:numPr>
              <w:tabs>
                <w:tab w:val="left" w:pos="1134"/>
                <w:tab w:val="left" w:pos="7938"/>
              </w:tabs>
              <w:suppressAutoHyphens w:val="0"/>
              <w:spacing w:before="120" w:after="120" w:line="22" w:lineRule="atLeast"/>
              <w:ind w:firstLine="629"/>
              <w:jc w:val="both"/>
              <w:rPr>
                <w:rFonts w:ascii="Garamond" w:hAnsi="Garamond" w:cstheme="minorHAnsi"/>
                <w:b w:val="0"/>
              </w:rPr>
            </w:pPr>
            <w:r w:rsidRPr="00A5626D">
              <w:rPr>
                <w:rFonts w:ascii="Garamond" w:hAnsi="Garamond" w:cstheme="minorHAnsi"/>
                <w:b w:val="0"/>
              </w:rPr>
              <w:t xml:space="preserve">Участники оптового рынка (ФСК) несут все риски наступления неблагоприятных последствий для результата их деятельности на оптовом рынке электроэнергии, связанные в том числе с невыполнением участником оптового рынка (ФСК) действий по формированию или отсутствием возможности формирования на официальном сайте КО в разделе «Данные АИИС» в соответствии с п. </w:t>
            </w:r>
            <w:r w:rsidRPr="00A5626D">
              <w:rPr>
                <w:rFonts w:ascii="Garamond" w:hAnsi="Garamond" w:cstheme="minorHAnsi"/>
                <w:b w:val="0"/>
                <w:highlight w:val="yellow"/>
              </w:rPr>
              <w:t>3.9, или</w:t>
            </w:r>
            <w:r w:rsidRPr="00A5626D">
              <w:rPr>
                <w:rFonts w:ascii="Garamond" w:hAnsi="Garamond" w:cstheme="minorHAnsi"/>
                <w:b w:val="0"/>
              </w:rPr>
              <w:t xml:space="preserve"> п. 7.2, или п. 7.4 настоящего Регламента актов учета (оборота) по ГТП генерации (макет 51020), или актов учета перетоков по сечению коммерческого учета (макет 51020), а также с непредставлением в КО интегральных актов учета перетоков между участниками оптового рынка и ФСК (макет 50080) в отношении сечений коммерческого учета, указанных в п. 3.8 настоящего Регламента, и вызванные проведением финансовых расчетов на оптовом рынке электроэнергии на основании замещающих методов расчета учетных показателей.</w:t>
            </w:r>
          </w:p>
        </w:tc>
        <w:tc>
          <w:tcPr>
            <w:tcW w:w="7088" w:type="dxa"/>
          </w:tcPr>
          <w:p w14:paraId="06547301" w14:textId="61D4D95C" w:rsidR="00295C6D" w:rsidRPr="00A5626D" w:rsidRDefault="00295C6D" w:rsidP="00647FA0">
            <w:pPr>
              <w:pStyle w:val="2"/>
              <w:numPr>
                <w:ilvl w:val="0"/>
                <w:numId w:val="0"/>
              </w:numPr>
              <w:tabs>
                <w:tab w:val="left" w:pos="1134"/>
                <w:tab w:val="left" w:pos="7938"/>
              </w:tabs>
              <w:suppressAutoHyphens w:val="0"/>
              <w:spacing w:before="120" w:after="120" w:line="22" w:lineRule="atLeast"/>
              <w:ind w:firstLine="743"/>
              <w:jc w:val="both"/>
              <w:rPr>
                <w:rFonts w:ascii="Garamond" w:hAnsi="Garamond" w:cstheme="minorHAnsi"/>
                <w:b w:val="0"/>
              </w:rPr>
            </w:pPr>
            <w:r w:rsidRPr="00A5626D">
              <w:rPr>
                <w:rFonts w:ascii="Garamond" w:hAnsi="Garamond" w:cstheme="minorHAnsi"/>
                <w:b w:val="0"/>
              </w:rPr>
              <w:t xml:space="preserve">Участники оптового рынка (ФСК) несут все риски наступления неблагоприятных последствий для результата их деятельности на оптовом рынке электроэнергии, связанные в том числе с невыполнением участником оптового рынка (ФСК) действий по формированию или отсутствием возможности формирования на официальном сайте КО в разделе «Данные АИИС» в соответствии с п. 7.2, </w:t>
            </w:r>
            <w:r w:rsidR="00B671F1" w:rsidRPr="00A5626D">
              <w:rPr>
                <w:rFonts w:ascii="Garamond" w:hAnsi="Garamond" w:cstheme="minorHAnsi"/>
                <w:b w:val="0"/>
                <w:highlight w:val="yellow"/>
              </w:rPr>
              <w:t>или п. 7.3</w:t>
            </w:r>
            <w:r w:rsidR="00B671F1" w:rsidRPr="00A5626D">
              <w:rPr>
                <w:rFonts w:ascii="Garamond" w:hAnsi="Garamond" w:cstheme="minorHAnsi"/>
                <w:b w:val="0"/>
              </w:rPr>
              <w:t xml:space="preserve">, </w:t>
            </w:r>
            <w:r w:rsidRPr="00A5626D">
              <w:rPr>
                <w:rFonts w:ascii="Garamond" w:hAnsi="Garamond" w:cstheme="minorHAnsi"/>
                <w:b w:val="0"/>
              </w:rPr>
              <w:t xml:space="preserve">или п. 7.4 настоящего Регламента актов учета (оборота) по ГТП генерации (макет 51020), или актов учета перетоков по сечению коммерческого учета (макет 51020), а также с непредставлением в КО интегральных актов учета перетоков между участниками оптового рынка и ФСК (макет 50080) в отношении сечений коммерческого учета, указанных в п. 3.8 настоящего Регламента, и вызванные проведением финансовых расчетов на оптовом рынке электроэнергии на основании замещающих методов расчета учетных </w:t>
            </w:r>
            <w:r w:rsidRPr="00A5626D">
              <w:rPr>
                <w:rFonts w:ascii="Garamond" w:hAnsi="Garamond" w:cstheme="minorHAnsi"/>
                <w:b w:val="0"/>
              </w:rPr>
              <w:lastRenderedPageBreak/>
              <w:t>показателей.</w:t>
            </w:r>
          </w:p>
          <w:p w14:paraId="70CCB451" w14:textId="79474B3A" w:rsidR="00295C6D" w:rsidRPr="00A5626D" w:rsidRDefault="00295C6D" w:rsidP="00647FA0">
            <w:pPr>
              <w:tabs>
                <w:tab w:val="left" w:pos="1134"/>
                <w:tab w:val="left" w:pos="7938"/>
              </w:tabs>
              <w:spacing w:before="120" w:after="120"/>
              <w:ind w:firstLine="743"/>
              <w:jc w:val="both"/>
              <w:rPr>
                <w:rFonts w:ascii="Garamond" w:hAnsi="Garamond"/>
                <w:sz w:val="22"/>
                <w:szCs w:val="22"/>
              </w:rPr>
            </w:pPr>
            <w:r w:rsidRPr="00A5626D">
              <w:rPr>
                <w:rFonts w:ascii="Garamond" w:hAnsi="Garamond" w:cstheme="minorHAnsi"/>
                <w:sz w:val="22"/>
                <w:szCs w:val="22"/>
                <w:highlight w:val="yellow"/>
              </w:rPr>
              <w:t>Агрегаторы несут все риски наступления неблагоприятных последствий для результата их деятельности на оптовом рынке электроэнергии, связанные в том числе с непред</w:t>
            </w:r>
            <w:r w:rsidR="00B671F1" w:rsidRPr="00A5626D">
              <w:rPr>
                <w:rFonts w:ascii="Garamond" w:hAnsi="Garamond" w:cstheme="minorHAnsi"/>
                <w:sz w:val="22"/>
                <w:szCs w:val="22"/>
                <w:highlight w:val="yellow"/>
              </w:rPr>
              <w:t>о</w:t>
            </w:r>
            <w:r w:rsidRPr="00A5626D">
              <w:rPr>
                <w:rFonts w:ascii="Garamond" w:hAnsi="Garamond" w:cstheme="minorHAnsi"/>
                <w:sz w:val="22"/>
                <w:szCs w:val="22"/>
                <w:highlight w:val="yellow"/>
              </w:rPr>
              <w:t>ставлением в КО актов учета (оборота) по объекту регулирования (макет 21070), а также невыполнением предусмотренных настоящим Регламентом условий для направления от КО в СО в порядке, предусмотренном п. 9.6 настоящего Регламента, данных коммерческого учета, используемых СО для расчета объема оказанных услуг по управлению изменением режима потребления электроэнергии.</w:t>
            </w:r>
          </w:p>
        </w:tc>
      </w:tr>
      <w:tr w:rsidR="00295C6D" w:rsidRPr="00A5626D" w14:paraId="752FDD1C" w14:textId="77777777" w:rsidTr="00647FA0">
        <w:tc>
          <w:tcPr>
            <w:tcW w:w="1060" w:type="dxa"/>
            <w:vAlign w:val="center"/>
          </w:tcPr>
          <w:p w14:paraId="2C2A1C68" w14:textId="77777777" w:rsidR="00295C6D" w:rsidRPr="00A5626D" w:rsidRDefault="00295C6D" w:rsidP="00E31AE6">
            <w:pPr>
              <w:widowControl w:val="0"/>
              <w:tabs>
                <w:tab w:val="left" w:pos="1134"/>
                <w:tab w:val="left" w:pos="7938"/>
              </w:tabs>
              <w:spacing w:line="22" w:lineRule="atLeast"/>
              <w:jc w:val="both"/>
              <w:rPr>
                <w:rFonts w:ascii="Garamond" w:hAnsi="Garamond"/>
                <w:b/>
                <w:sz w:val="22"/>
                <w:szCs w:val="22"/>
                <w:lang w:eastAsia="en-US"/>
              </w:rPr>
            </w:pPr>
            <w:r w:rsidRPr="00A5626D">
              <w:rPr>
                <w:rFonts w:ascii="Garamond" w:hAnsi="Garamond"/>
                <w:b/>
                <w:sz w:val="22"/>
                <w:szCs w:val="22"/>
                <w:lang w:eastAsia="en-US"/>
              </w:rPr>
              <w:lastRenderedPageBreak/>
              <w:t>8.1</w:t>
            </w:r>
          </w:p>
        </w:tc>
        <w:tc>
          <w:tcPr>
            <w:tcW w:w="6662" w:type="dxa"/>
          </w:tcPr>
          <w:p w14:paraId="66908C55" w14:textId="77777777" w:rsidR="00295C6D" w:rsidRPr="00A5626D" w:rsidRDefault="00295C6D" w:rsidP="00647FA0">
            <w:pPr>
              <w:pStyle w:val="2"/>
              <w:numPr>
                <w:ilvl w:val="0"/>
                <w:numId w:val="0"/>
              </w:numPr>
              <w:tabs>
                <w:tab w:val="left" w:pos="1134"/>
                <w:tab w:val="left" w:pos="7938"/>
              </w:tabs>
              <w:suppressAutoHyphens w:val="0"/>
              <w:spacing w:before="120" w:after="120" w:line="22" w:lineRule="atLeast"/>
              <w:ind w:firstLine="629"/>
              <w:jc w:val="both"/>
              <w:rPr>
                <w:rFonts w:ascii="Garamond" w:hAnsi="Garamond" w:cstheme="minorHAnsi"/>
                <w:b w:val="0"/>
              </w:rPr>
            </w:pPr>
            <w:r w:rsidRPr="00A5626D">
              <w:rPr>
                <w:rFonts w:ascii="Garamond" w:hAnsi="Garamond" w:cstheme="minorHAnsi"/>
                <w:b w:val="0"/>
              </w:rPr>
              <w:t xml:space="preserve">Расчет часовых величин выработанной электроэнергии в ГТП генерации поставщика электроэнергии, не сформировавшего в соответствии с п. </w:t>
            </w:r>
            <w:r w:rsidRPr="00A5626D">
              <w:rPr>
                <w:rFonts w:ascii="Garamond" w:hAnsi="Garamond" w:cstheme="minorHAnsi"/>
                <w:b w:val="0"/>
                <w:highlight w:val="yellow"/>
              </w:rPr>
              <w:t>3.9</w:t>
            </w:r>
            <w:r w:rsidRPr="00A5626D">
              <w:rPr>
                <w:rFonts w:ascii="Garamond" w:hAnsi="Garamond" w:cstheme="minorHAnsi"/>
                <w:b w:val="0"/>
              </w:rPr>
              <w:t xml:space="preserve"> настоящего Регламента акт учета (оборота) по ГТП генерации (макет 51020), проводится с использованием замещающих методов расчета, представленных в п. 8.7 настоящего Регламента.</w:t>
            </w:r>
          </w:p>
          <w:p w14:paraId="52648ED1" w14:textId="77777777" w:rsidR="00295C6D" w:rsidRPr="00A5626D" w:rsidRDefault="00295C6D" w:rsidP="00647FA0">
            <w:pPr>
              <w:pStyle w:val="2"/>
              <w:numPr>
                <w:ilvl w:val="0"/>
                <w:numId w:val="0"/>
              </w:numPr>
              <w:tabs>
                <w:tab w:val="left" w:pos="1134"/>
                <w:tab w:val="left" w:pos="7938"/>
              </w:tabs>
              <w:suppressAutoHyphens w:val="0"/>
              <w:spacing w:before="120" w:after="120" w:line="22" w:lineRule="atLeast"/>
              <w:ind w:firstLine="629"/>
              <w:jc w:val="both"/>
              <w:rPr>
                <w:rFonts w:ascii="Garamond" w:hAnsi="Garamond" w:cstheme="minorHAnsi"/>
                <w:b w:val="0"/>
              </w:rPr>
            </w:pPr>
            <w:r w:rsidRPr="00A5626D">
              <w:rPr>
                <w:rFonts w:ascii="Garamond" w:hAnsi="Garamond" w:cstheme="minorHAnsi"/>
                <w:b w:val="0"/>
              </w:rPr>
              <w:t xml:space="preserve">Замещающие методы расчета, представленные в п. 8.7 настоящего Регламента, применяются в отношении поставщиков электроэнергии также в случаях наличия расхождений между почасовыми значениями учетных показателей по ГТП генерации, сформированными в соответствии с п. </w:t>
            </w:r>
            <w:r w:rsidRPr="00A5626D">
              <w:rPr>
                <w:rFonts w:ascii="Garamond" w:hAnsi="Garamond" w:cstheme="minorHAnsi"/>
                <w:b w:val="0"/>
                <w:highlight w:val="yellow"/>
              </w:rPr>
              <w:t>3.9</w:t>
            </w:r>
            <w:r w:rsidRPr="00A5626D">
              <w:rPr>
                <w:rFonts w:ascii="Garamond" w:hAnsi="Garamond" w:cstheme="minorHAnsi"/>
                <w:b w:val="0"/>
              </w:rPr>
              <w:t xml:space="preserve"> настоящего Регламента, и почасовыми значениями оперативных данных, полученных от СО в соответствии с п. 4.3 настоящего Регламента, сформированных на основе телеинформации, более чем на 5 %, при этом величина расхождения должна превышать 300 кВт∙ч, а также в случае направления со стороны поставщиков электроэнергии корректирующих актов учета (оборота) по ГТП генерации (макет 51075).</w:t>
            </w:r>
          </w:p>
          <w:p w14:paraId="76C7BE04" w14:textId="77777777" w:rsidR="00295C6D" w:rsidRPr="00A5626D" w:rsidRDefault="00295C6D" w:rsidP="00647FA0">
            <w:pPr>
              <w:pStyle w:val="2"/>
              <w:numPr>
                <w:ilvl w:val="0"/>
                <w:numId w:val="0"/>
              </w:numPr>
              <w:tabs>
                <w:tab w:val="left" w:pos="1134"/>
                <w:tab w:val="left" w:pos="7938"/>
              </w:tabs>
              <w:suppressAutoHyphens w:val="0"/>
              <w:spacing w:before="120" w:after="120" w:line="22" w:lineRule="atLeast"/>
              <w:ind w:firstLine="629"/>
              <w:jc w:val="both"/>
              <w:rPr>
                <w:rFonts w:ascii="Garamond" w:hAnsi="Garamond" w:cstheme="minorHAnsi"/>
                <w:b w:val="0"/>
              </w:rPr>
            </w:pPr>
            <w:r w:rsidRPr="00A5626D">
              <w:rPr>
                <w:rFonts w:ascii="Garamond" w:hAnsi="Garamond" w:cstheme="minorHAnsi"/>
                <w:b w:val="0"/>
              </w:rPr>
              <w:t xml:space="preserve">В случае если для соответствующего часа отчетного месяца смежными участниками оптового рынка (ФСК) по сечению коммерческого учета не сформирован акт учета перетоков (макет 51020) в порядке, предусмотренном п. 7.2 настоящего Регламента, значение учетного показателя для вышеуказанного часа определяется на основании принятого КО к расчетам корректирующего акта учета перетоков по сечению коммерческого учета (макет 51075), </w:t>
            </w:r>
            <w:r w:rsidRPr="00A5626D">
              <w:rPr>
                <w:rFonts w:ascii="Garamond" w:hAnsi="Garamond" w:cstheme="minorHAnsi"/>
                <w:b w:val="0"/>
              </w:rPr>
              <w:lastRenderedPageBreak/>
              <w:t>направленного в КО согласно п. 7.6 настоящего Регламента.</w:t>
            </w:r>
          </w:p>
          <w:p w14:paraId="67D19457" w14:textId="77777777" w:rsidR="00295C6D" w:rsidRPr="00A5626D" w:rsidRDefault="00295C6D" w:rsidP="00647FA0">
            <w:pPr>
              <w:pStyle w:val="2"/>
              <w:numPr>
                <w:ilvl w:val="0"/>
                <w:numId w:val="0"/>
              </w:numPr>
              <w:tabs>
                <w:tab w:val="left" w:pos="1134"/>
                <w:tab w:val="left" w:pos="7938"/>
              </w:tabs>
              <w:suppressAutoHyphens w:val="0"/>
              <w:spacing w:before="120" w:after="120" w:line="22" w:lineRule="atLeast"/>
              <w:ind w:firstLine="629"/>
              <w:jc w:val="both"/>
              <w:rPr>
                <w:rFonts w:ascii="Garamond" w:hAnsi="Garamond" w:cstheme="minorHAnsi"/>
                <w:b w:val="0"/>
              </w:rPr>
            </w:pPr>
            <w:r w:rsidRPr="00A5626D">
              <w:rPr>
                <w:rFonts w:ascii="Garamond" w:hAnsi="Garamond" w:cstheme="minorHAnsi"/>
                <w:b w:val="0"/>
              </w:rPr>
              <w:t>В случае если для соответствующего часа отчетного месяца смежными участниками оптового рынка (ФСК) по сечению коммерческого учета сформирован акт учета перетоков (макет 51020) в порядке, предусмотренном п. 7.2 настоящего Регламента, и при этом КО принят к расчетам корректирующий акт учета перетоков по сечению коммерческого учета (макет 51075) согласно п. 7.6 настоящего Регламента, значение учетного показателя для вышеуказанного часа определяется на основании принятого КО к расчетам корректирующего акта учета перетоков по сечению коммерческого учета (макет 51075).</w:t>
            </w:r>
          </w:p>
          <w:p w14:paraId="6E34B53B" w14:textId="77777777" w:rsidR="00295C6D" w:rsidRPr="00A5626D" w:rsidRDefault="00295C6D" w:rsidP="00647FA0">
            <w:pPr>
              <w:pStyle w:val="2"/>
              <w:numPr>
                <w:ilvl w:val="0"/>
                <w:numId w:val="0"/>
              </w:numPr>
              <w:tabs>
                <w:tab w:val="left" w:pos="1134"/>
                <w:tab w:val="left" w:pos="7938"/>
              </w:tabs>
              <w:suppressAutoHyphens w:val="0"/>
              <w:spacing w:before="120" w:after="120" w:line="22" w:lineRule="atLeast"/>
              <w:ind w:firstLine="629"/>
              <w:jc w:val="both"/>
              <w:rPr>
                <w:rFonts w:ascii="Garamond" w:hAnsi="Garamond" w:cstheme="minorHAnsi"/>
                <w:b w:val="0"/>
              </w:rPr>
            </w:pPr>
            <w:r w:rsidRPr="00A5626D">
              <w:rPr>
                <w:rFonts w:ascii="Garamond" w:hAnsi="Garamond" w:cstheme="minorHAnsi"/>
                <w:b w:val="0"/>
              </w:rPr>
              <w:t xml:space="preserve">Расчет часовых величин потребления в ГТП потребления смежных участников оптового рынка в случае отсутствия сформированного в порядке, предусмотренном п. 7.2 настоящего Регламента, акта учета перетоков по сечению коммерческого учета (макет 51020) и одновременно отсутствия принятого КО к расчетам корректирующего акта учета перетоков по сечению коммерческого учета (макет 51075) согласно п. 7.6 настоящего Регламента, проводится с использованием замещающего метода расчета, представленного в п. 8.2 настоящего Регламента. </w:t>
            </w:r>
          </w:p>
          <w:p w14:paraId="77197A49" w14:textId="77777777" w:rsidR="00295C6D" w:rsidRPr="00A5626D" w:rsidRDefault="00295C6D" w:rsidP="00647FA0">
            <w:pPr>
              <w:pStyle w:val="2"/>
              <w:numPr>
                <w:ilvl w:val="0"/>
                <w:numId w:val="0"/>
              </w:numPr>
              <w:tabs>
                <w:tab w:val="left" w:pos="1134"/>
                <w:tab w:val="left" w:pos="7938"/>
              </w:tabs>
              <w:suppressAutoHyphens w:val="0"/>
              <w:spacing w:before="120" w:after="120" w:line="22" w:lineRule="atLeast"/>
              <w:ind w:firstLine="629"/>
              <w:jc w:val="both"/>
              <w:rPr>
                <w:rFonts w:ascii="Garamond" w:hAnsi="Garamond" w:cstheme="minorHAnsi"/>
                <w:b w:val="0"/>
              </w:rPr>
            </w:pPr>
            <w:r w:rsidRPr="00A5626D">
              <w:rPr>
                <w:rFonts w:ascii="Garamond" w:hAnsi="Garamond" w:cstheme="minorHAnsi"/>
                <w:b w:val="0"/>
              </w:rPr>
              <w:t>Расчет часовых величин перетока в сети ФСК и потребления в ГТП потребления смежного с ФСК участника оптового рынка в случае отсутствия сформированного в порядке, предусмотренном п. 7.2 настоящего Регламента, акта учета перетоков по сечению между ФСК и участником оптового рынка (макет 51020) и одновременно отсутствия принятого КО к расчетам корректирующего акта учета перетоков по сечению между ФСК и участником оптового рынка (макет 51075) согласно п. 7.6 настоящего Регламента, проводится с использованием замещающего метода расчета, представленного в п. 8.3 настоящего Регламента.</w:t>
            </w:r>
          </w:p>
          <w:p w14:paraId="27754B6A" w14:textId="77777777" w:rsidR="00295C6D" w:rsidRPr="00A5626D" w:rsidRDefault="00295C6D" w:rsidP="00647FA0">
            <w:pPr>
              <w:pStyle w:val="2"/>
              <w:numPr>
                <w:ilvl w:val="0"/>
                <w:numId w:val="0"/>
              </w:numPr>
              <w:tabs>
                <w:tab w:val="left" w:pos="1134"/>
                <w:tab w:val="left" w:pos="7938"/>
              </w:tabs>
              <w:suppressAutoHyphens w:val="0"/>
              <w:spacing w:before="120" w:after="120" w:line="22" w:lineRule="atLeast"/>
              <w:ind w:firstLine="629"/>
              <w:jc w:val="both"/>
              <w:rPr>
                <w:rFonts w:ascii="Garamond" w:hAnsi="Garamond" w:cstheme="minorHAnsi"/>
                <w:b w:val="0"/>
              </w:rPr>
            </w:pPr>
            <w:r w:rsidRPr="00A5626D">
              <w:rPr>
                <w:rFonts w:ascii="Garamond" w:hAnsi="Garamond" w:cstheme="minorHAnsi"/>
                <w:b w:val="0"/>
              </w:rPr>
              <w:t xml:space="preserve">Расчет часовых значений учетного показателя по сечению между ценовыми, а также между ценовыми и неценовыми зонами оптового рынка (за исключением сечений между смежными участниками оптового рынка или участником оптового рынка и ФСК) в случае отсутствия сформированного ФСК в порядке, предусмотренном п. 7.2 настоящего Регламента, акта учета перетоков </w:t>
            </w:r>
            <w:r w:rsidRPr="00A5626D">
              <w:rPr>
                <w:rFonts w:ascii="Garamond" w:hAnsi="Garamond" w:cstheme="minorHAnsi"/>
                <w:b w:val="0"/>
              </w:rPr>
              <w:lastRenderedPageBreak/>
              <w:t>по сечению коммерческого учета (макет 51020) и одновременно отсутствия принятого КО к расчетам корректирующего акта учета перетоков по сечению коммерческого учета (макет 51075), направленного ФСК согласно п. 7.6 настоящего Регламента, производится на основе почасовой оперативной информации, переданной СО в соответствии с п. 4.3 настоящего Регламента.</w:t>
            </w:r>
          </w:p>
          <w:p w14:paraId="59DAF5F3" w14:textId="77777777" w:rsidR="00295C6D" w:rsidRPr="00A5626D" w:rsidRDefault="00295C6D" w:rsidP="00647FA0">
            <w:pPr>
              <w:pStyle w:val="2"/>
              <w:numPr>
                <w:ilvl w:val="0"/>
                <w:numId w:val="0"/>
              </w:numPr>
              <w:tabs>
                <w:tab w:val="left" w:pos="1134"/>
                <w:tab w:val="left" w:pos="7938"/>
              </w:tabs>
              <w:suppressAutoHyphens w:val="0"/>
              <w:spacing w:before="120" w:after="120" w:line="22" w:lineRule="atLeast"/>
              <w:ind w:firstLine="629"/>
              <w:jc w:val="both"/>
              <w:rPr>
                <w:rFonts w:ascii="Garamond" w:hAnsi="Garamond" w:cstheme="minorHAnsi"/>
                <w:b w:val="0"/>
              </w:rPr>
            </w:pPr>
            <w:r w:rsidRPr="00A5626D">
              <w:rPr>
                <w:rFonts w:ascii="Garamond" w:hAnsi="Garamond" w:cstheme="minorHAnsi"/>
                <w:b w:val="0"/>
              </w:rPr>
              <w:t>Расчет часовых значений учетного показателя по сечению между ценовыми, а также между ценовыми и неценовыми зонами оптового рынка в случаях, когда указанное сечение образовано смежными участниками оптового рынка или участником оптового рынка и ФСК (расчет объемов потребления в ГТП потребления смежных по вышеуказанному сечению участников оптового рынка), при отсутствии сформированного в порядке, предусмотренном п. 7.2 настоящего Регламента, акта учета перетоков по сечению коммерческого учета (макет 51020) и одновременно при отсутствии принятого КО к расчетам корректирующего акта учета перетоков по сечению коммерческого учета (макет 51075), направленного согласно п. 7.6 настоящего Регламента, проводится с использованием замещающих методов расчета, предусмотренных пп. 8.2, 8.3 настоящего Регламента.</w:t>
            </w:r>
          </w:p>
          <w:p w14:paraId="401A6051" w14:textId="77777777" w:rsidR="00295C6D" w:rsidRPr="00A5626D" w:rsidRDefault="00295C6D" w:rsidP="00647FA0">
            <w:pPr>
              <w:pStyle w:val="2"/>
              <w:numPr>
                <w:ilvl w:val="0"/>
                <w:numId w:val="0"/>
              </w:numPr>
              <w:tabs>
                <w:tab w:val="left" w:pos="1134"/>
                <w:tab w:val="left" w:pos="7938"/>
              </w:tabs>
              <w:suppressAutoHyphens w:val="0"/>
              <w:spacing w:before="120" w:after="120" w:line="22" w:lineRule="atLeast"/>
              <w:ind w:firstLine="629"/>
              <w:jc w:val="both"/>
              <w:rPr>
                <w:rFonts w:ascii="Garamond" w:hAnsi="Garamond" w:cstheme="minorHAnsi"/>
                <w:b w:val="0"/>
              </w:rPr>
            </w:pPr>
            <w:r w:rsidRPr="00A5626D">
              <w:rPr>
                <w:rFonts w:ascii="Garamond" w:hAnsi="Garamond" w:cstheme="minorHAnsi"/>
                <w:b w:val="0"/>
              </w:rPr>
              <w:t>Расчет часовых значений учетного показателя по сечениям коммерческого учета, входящим в сечение экспорта-импорта, в случае отсутствия принятого КО к расчетам корректирующего акта учета перетоков по сечению коммерческого учета, входящему в сечение экспорта-импорта (макет 51075), направленного ФСК согласно п. 7.6 настоящего Регламента, производится на основе почасовой оперативной информации, переданной СО в соответствии с п. 4.3 настоящего Регламента.</w:t>
            </w:r>
          </w:p>
          <w:p w14:paraId="4EEDD2A0" w14:textId="77777777" w:rsidR="00295C6D" w:rsidRPr="00A5626D" w:rsidRDefault="00295C6D" w:rsidP="00647FA0">
            <w:pPr>
              <w:pStyle w:val="2"/>
              <w:numPr>
                <w:ilvl w:val="0"/>
                <w:numId w:val="0"/>
              </w:numPr>
              <w:tabs>
                <w:tab w:val="left" w:pos="1134"/>
                <w:tab w:val="left" w:pos="7938"/>
              </w:tabs>
              <w:suppressAutoHyphens w:val="0"/>
              <w:spacing w:before="120" w:after="120" w:line="22" w:lineRule="atLeast"/>
              <w:ind w:firstLine="629"/>
              <w:jc w:val="both"/>
              <w:rPr>
                <w:rFonts w:ascii="Garamond" w:hAnsi="Garamond" w:cstheme="minorHAnsi"/>
                <w:b w:val="0"/>
              </w:rPr>
            </w:pPr>
            <w:r w:rsidRPr="00A5626D">
              <w:rPr>
                <w:rFonts w:ascii="Garamond" w:hAnsi="Garamond" w:cstheme="minorHAnsi"/>
                <w:b w:val="0"/>
              </w:rPr>
              <w:t xml:space="preserve">Расчет часовых величин учетного показателя по внутренним сечениям производится на основании корректирующего акта учета перетоков по внутреннему сечению (макет 51075) в случаях, предусмотренных п. </w:t>
            </w:r>
            <w:r w:rsidRPr="00A5626D">
              <w:rPr>
                <w:rFonts w:ascii="Garamond" w:hAnsi="Garamond" w:cstheme="minorHAnsi"/>
                <w:b w:val="0"/>
                <w:highlight w:val="yellow"/>
              </w:rPr>
              <w:t>3.2 или п. 3</w:t>
            </w:r>
            <w:r w:rsidRPr="00A5626D">
              <w:rPr>
                <w:rFonts w:ascii="Garamond" w:hAnsi="Garamond" w:cstheme="minorHAnsi"/>
                <w:b w:val="0"/>
              </w:rPr>
              <w:t xml:space="preserve">.4 настоящего Регламента. Если КО в указанных случаях не получен корректирующий акт учета перетоков по внутреннему сечению (макет 51075), расчет часовых величин учетного показателя по внутренним сечениям производится на основании замещающих методов расчета, предусмотренных п. 8.2 настоящего Регламента. По истечении сроков, установленных п. </w:t>
            </w:r>
            <w:r w:rsidRPr="00A5626D">
              <w:rPr>
                <w:rFonts w:ascii="Garamond" w:hAnsi="Garamond" w:cstheme="minorHAnsi"/>
                <w:b w:val="0"/>
                <w:highlight w:val="yellow"/>
              </w:rPr>
              <w:t>3.2 или п. 3</w:t>
            </w:r>
            <w:r w:rsidRPr="00A5626D">
              <w:rPr>
                <w:rFonts w:ascii="Garamond" w:hAnsi="Garamond" w:cstheme="minorHAnsi"/>
                <w:b w:val="0"/>
              </w:rPr>
              <w:t xml:space="preserve">.4 </w:t>
            </w:r>
            <w:r w:rsidRPr="00A5626D">
              <w:rPr>
                <w:rFonts w:ascii="Garamond" w:hAnsi="Garamond" w:cstheme="minorHAnsi"/>
                <w:b w:val="0"/>
              </w:rPr>
              <w:lastRenderedPageBreak/>
              <w:t>настоящего Регламента для исполнения требований раздела 5 настоящего Регламента, в случае невыполнения вышеуказанных требований, расчет часовых величин учетного показателя по внутренним сечениям производится на основании замещающих методов расчета, предусмотренных п. 8.2 настоящего Регламента.</w:t>
            </w:r>
          </w:p>
          <w:p w14:paraId="14B61DBE" w14:textId="77777777" w:rsidR="00295C6D" w:rsidRPr="00A5626D" w:rsidRDefault="00295C6D" w:rsidP="00647FA0">
            <w:pPr>
              <w:pStyle w:val="2"/>
              <w:numPr>
                <w:ilvl w:val="0"/>
                <w:numId w:val="0"/>
              </w:numPr>
              <w:tabs>
                <w:tab w:val="left" w:pos="1134"/>
                <w:tab w:val="left" w:pos="7938"/>
              </w:tabs>
              <w:suppressAutoHyphens w:val="0"/>
              <w:spacing w:before="120" w:after="120" w:line="22" w:lineRule="atLeast"/>
              <w:ind w:firstLine="629"/>
              <w:jc w:val="both"/>
              <w:rPr>
                <w:rFonts w:ascii="Garamond" w:hAnsi="Garamond" w:cstheme="minorHAnsi"/>
                <w:b w:val="0"/>
              </w:rPr>
            </w:pPr>
            <w:r w:rsidRPr="00A5626D">
              <w:rPr>
                <w:rFonts w:ascii="Garamond" w:hAnsi="Garamond" w:cstheme="minorHAnsi"/>
                <w:b w:val="0"/>
              </w:rPr>
              <w:t>Расчет часовых значений учетного показателя по временному сечению коммерческого учета осуществляется на основе направленного участниками оптового рынка (ФСК) согласно п. 7.6 настоящего Регламента корректирующего акта учета перетоков по сечению коммерческого учета (макет 51075).</w:t>
            </w:r>
          </w:p>
          <w:p w14:paraId="299FBECB" w14:textId="77777777" w:rsidR="00295C6D" w:rsidRPr="00A5626D" w:rsidRDefault="00295C6D" w:rsidP="00647FA0">
            <w:pPr>
              <w:pStyle w:val="2"/>
              <w:numPr>
                <w:ilvl w:val="0"/>
                <w:numId w:val="0"/>
              </w:numPr>
              <w:tabs>
                <w:tab w:val="left" w:pos="1134"/>
                <w:tab w:val="left" w:pos="7938"/>
              </w:tabs>
              <w:suppressAutoHyphens w:val="0"/>
              <w:spacing w:before="120" w:after="120" w:line="22" w:lineRule="atLeast"/>
              <w:ind w:firstLine="629"/>
              <w:jc w:val="both"/>
              <w:rPr>
                <w:rFonts w:ascii="Garamond" w:hAnsi="Garamond" w:cstheme="minorHAnsi"/>
                <w:b w:val="0"/>
              </w:rPr>
            </w:pPr>
            <w:r w:rsidRPr="00A5626D">
              <w:rPr>
                <w:rFonts w:ascii="Garamond" w:hAnsi="Garamond" w:cstheme="minorHAnsi"/>
                <w:b w:val="0"/>
              </w:rPr>
              <w:t>Расчет часовых величин потребления в ГТП потребления смежных участников оптового рынка в случае отсутствия принятого КО к расчетам корректирующего акта учета перетоков по временному сечению коммерческого учета (макет 51075), направленного согласно п. 7.6 настоящего Регламента, производится с использованием замещающих методов расчета, предусмотренных п. 8.2 настоящего Регламента.</w:t>
            </w:r>
          </w:p>
          <w:p w14:paraId="70673122" w14:textId="77777777" w:rsidR="00295C6D" w:rsidRPr="00A5626D" w:rsidRDefault="00295C6D" w:rsidP="00647FA0">
            <w:pPr>
              <w:pStyle w:val="2"/>
              <w:numPr>
                <w:ilvl w:val="0"/>
                <w:numId w:val="0"/>
              </w:numPr>
              <w:tabs>
                <w:tab w:val="left" w:pos="1134"/>
                <w:tab w:val="left" w:pos="7938"/>
              </w:tabs>
              <w:suppressAutoHyphens w:val="0"/>
              <w:spacing w:before="120" w:after="120" w:line="22" w:lineRule="atLeast"/>
              <w:ind w:firstLine="629"/>
              <w:jc w:val="both"/>
              <w:rPr>
                <w:rFonts w:ascii="Garamond" w:hAnsi="Garamond" w:cstheme="minorHAnsi"/>
                <w:b w:val="0"/>
              </w:rPr>
            </w:pPr>
            <w:r w:rsidRPr="00A5626D">
              <w:rPr>
                <w:rFonts w:ascii="Garamond" w:hAnsi="Garamond" w:cstheme="minorHAnsi"/>
                <w:b w:val="0"/>
              </w:rPr>
              <w:t>Расчет часовых величин перетока в сети ФСК и потребления в ГТП потребления смежного с ФСК участника оптового рынка в случае отсутствия принятого КО к расчетам корректирующего акта учета перетоков по временному сечению коммерческого учета (макет 51075), направленного согласно п. 7.6 настоящего Регламента, проводится с использованием замещающих методов расчета, предусмотренных п. 8.3 настоящего Регламента.</w:t>
            </w:r>
          </w:p>
          <w:p w14:paraId="41D4D8D1" w14:textId="77777777" w:rsidR="00295C6D" w:rsidRPr="00A5626D" w:rsidRDefault="00295C6D" w:rsidP="00647FA0">
            <w:pPr>
              <w:pStyle w:val="2"/>
              <w:numPr>
                <w:ilvl w:val="0"/>
                <w:numId w:val="0"/>
              </w:numPr>
              <w:tabs>
                <w:tab w:val="left" w:pos="1134"/>
                <w:tab w:val="left" w:pos="7938"/>
              </w:tabs>
              <w:suppressAutoHyphens w:val="0"/>
              <w:spacing w:before="120" w:after="120" w:line="22" w:lineRule="atLeast"/>
              <w:ind w:firstLine="629"/>
              <w:jc w:val="both"/>
              <w:rPr>
                <w:rFonts w:ascii="Garamond" w:hAnsi="Garamond" w:cstheme="minorHAnsi"/>
                <w:b w:val="0"/>
              </w:rPr>
            </w:pPr>
            <w:r w:rsidRPr="00A5626D">
              <w:rPr>
                <w:rFonts w:ascii="Garamond" w:hAnsi="Garamond" w:cstheme="minorHAnsi"/>
                <w:b w:val="0"/>
              </w:rPr>
              <w:t>Для применения замещающих методов расчета при реорганизации субъектов оптового рынка в случаях, установленных п. 7.3 настоящего Регламента, используются значения электрической энергии, содержащиеся в отчетных данных коммерческого учета, сформированных (направленных) после завершения реорганизации Правопредшественника в сроки, установленные настоящим Регламентом для формирования отчетных данных коммерческого учета, но содержащие электронную подпись Правопредшественника.</w:t>
            </w:r>
          </w:p>
        </w:tc>
        <w:tc>
          <w:tcPr>
            <w:tcW w:w="7088" w:type="dxa"/>
          </w:tcPr>
          <w:p w14:paraId="1D8EA052" w14:textId="77777777" w:rsidR="00295C6D" w:rsidRPr="00A5626D" w:rsidRDefault="00295C6D" w:rsidP="00647FA0">
            <w:pPr>
              <w:pStyle w:val="2"/>
              <w:numPr>
                <w:ilvl w:val="0"/>
                <w:numId w:val="0"/>
              </w:numPr>
              <w:tabs>
                <w:tab w:val="left" w:pos="1134"/>
                <w:tab w:val="left" w:pos="7938"/>
              </w:tabs>
              <w:suppressAutoHyphens w:val="0"/>
              <w:spacing w:before="120" w:after="120" w:line="22" w:lineRule="atLeast"/>
              <w:ind w:firstLine="629"/>
              <w:jc w:val="both"/>
              <w:rPr>
                <w:rFonts w:ascii="Garamond" w:hAnsi="Garamond" w:cstheme="minorHAnsi"/>
                <w:b w:val="0"/>
              </w:rPr>
            </w:pPr>
            <w:r w:rsidRPr="00A5626D">
              <w:rPr>
                <w:rFonts w:ascii="Garamond" w:hAnsi="Garamond" w:cstheme="minorHAnsi"/>
                <w:b w:val="0"/>
              </w:rPr>
              <w:lastRenderedPageBreak/>
              <w:t xml:space="preserve">Расчет часовых величин выработанной электроэнергии в ГТП генерации поставщика электроэнергии, не сформировавшего в соответствии с п. </w:t>
            </w:r>
            <w:r w:rsidRPr="00A5626D">
              <w:rPr>
                <w:rFonts w:ascii="Garamond" w:hAnsi="Garamond" w:cstheme="minorHAnsi"/>
                <w:b w:val="0"/>
                <w:highlight w:val="yellow"/>
              </w:rPr>
              <w:t>7.3</w:t>
            </w:r>
            <w:r w:rsidRPr="00A5626D">
              <w:rPr>
                <w:rFonts w:ascii="Garamond" w:hAnsi="Garamond" w:cstheme="minorHAnsi"/>
                <w:b w:val="0"/>
              </w:rPr>
              <w:t xml:space="preserve"> настоящего Регламента акт учета (оборота) по ГТП генерации (макет 51020), проводится с использованием замещающих методов расчета, представленных в п. 8.7 настоящего Регламента.</w:t>
            </w:r>
          </w:p>
          <w:p w14:paraId="03A92DD4" w14:textId="77777777" w:rsidR="00295C6D" w:rsidRPr="00A5626D" w:rsidRDefault="00295C6D" w:rsidP="00647FA0">
            <w:pPr>
              <w:pStyle w:val="2"/>
              <w:numPr>
                <w:ilvl w:val="0"/>
                <w:numId w:val="0"/>
              </w:numPr>
              <w:tabs>
                <w:tab w:val="left" w:pos="1134"/>
                <w:tab w:val="left" w:pos="7938"/>
              </w:tabs>
              <w:suppressAutoHyphens w:val="0"/>
              <w:spacing w:before="120" w:after="120" w:line="22" w:lineRule="atLeast"/>
              <w:ind w:firstLine="629"/>
              <w:jc w:val="both"/>
              <w:rPr>
                <w:rFonts w:ascii="Garamond" w:hAnsi="Garamond" w:cstheme="minorHAnsi"/>
                <w:b w:val="0"/>
              </w:rPr>
            </w:pPr>
            <w:r w:rsidRPr="00A5626D">
              <w:rPr>
                <w:rFonts w:ascii="Garamond" w:hAnsi="Garamond" w:cstheme="minorHAnsi"/>
                <w:b w:val="0"/>
              </w:rPr>
              <w:t xml:space="preserve">Замещающие методы расчета, представленные в п. 8.7 настоящего Регламента, применяются в отношении поставщиков электроэнергии также в случаях наличия расхождений между почасовыми значениями учетных показателей по ГТП генерации, сформированными в соответствии с п. </w:t>
            </w:r>
            <w:r w:rsidRPr="00A5626D">
              <w:rPr>
                <w:rFonts w:ascii="Garamond" w:hAnsi="Garamond" w:cstheme="minorHAnsi"/>
                <w:b w:val="0"/>
                <w:highlight w:val="yellow"/>
              </w:rPr>
              <w:t>7.3</w:t>
            </w:r>
            <w:r w:rsidRPr="00A5626D">
              <w:rPr>
                <w:rFonts w:ascii="Garamond" w:hAnsi="Garamond" w:cstheme="minorHAnsi"/>
                <w:b w:val="0"/>
              </w:rPr>
              <w:t xml:space="preserve"> настоящего Регламента, и почасовыми значениями оперативных данных, полученных от СО в соответствии с п. 4.3 настоящего Регламента, сформированных на основе телеинформации, более чем на 5 %, при этом величина расхождения должна превышать 300 кВт∙ч, а также в случае направления со стороны поставщиков электроэнергии корректирующих актов учета (оборота) по ГТП генерации (макет 51075).</w:t>
            </w:r>
          </w:p>
          <w:p w14:paraId="0C4FCECC" w14:textId="77777777" w:rsidR="00295C6D" w:rsidRPr="00A5626D" w:rsidRDefault="00295C6D" w:rsidP="00647FA0">
            <w:pPr>
              <w:pStyle w:val="2"/>
              <w:numPr>
                <w:ilvl w:val="0"/>
                <w:numId w:val="0"/>
              </w:numPr>
              <w:tabs>
                <w:tab w:val="left" w:pos="1134"/>
                <w:tab w:val="left" w:pos="7938"/>
              </w:tabs>
              <w:suppressAutoHyphens w:val="0"/>
              <w:spacing w:before="120" w:after="120" w:line="22" w:lineRule="atLeast"/>
              <w:ind w:firstLine="629"/>
              <w:jc w:val="both"/>
              <w:rPr>
                <w:rFonts w:ascii="Garamond" w:hAnsi="Garamond" w:cstheme="minorHAnsi"/>
                <w:b w:val="0"/>
              </w:rPr>
            </w:pPr>
            <w:r w:rsidRPr="00A5626D">
              <w:rPr>
                <w:rFonts w:ascii="Garamond" w:hAnsi="Garamond" w:cstheme="minorHAnsi"/>
                <w:b w:val="0"/>
              </w:rPr>
              <w:t>В случае если для соответствующего часа отчетного месяца смежными участниками оптового рынка (ФСК) по сечению коммерческого учета не сформирован акт учета перетоков (макет 51020) в порядке, предусмотренном п. 7.2 настоящего Регламента, значение учетного показателя для вышеуказанного часа определяется на основании принятого КО к расчетам корректирующего акта учета перетоков по сечению коммерческого учета (макет 51075), направленного в КО согласно п. 7.6 настоящего Регламента.</w:t>
            </w:r>
          </w:p>
          <w:p w14:paraId="6CBD2519" w14:textId="77777777" w:rsidR="00295C6D" w:rsidRPr="00A5626D" w:rsidRDefault="00295C6D" w:rsidP="00647FA0">
            <w:pPr>
              <w:pStyle w:val="2"/>
              <w:numPr>
                <w:ilvl w:val="0"/>
                <w:numId w:val="0"/>
              </w:numPr>
              <w:tabs>
                <w:tab w:val="left" w:pos="1134"/>
                <w:tab w:val="left" w:pos="7938"/>
              </w:tabs>
              <w:suppressAutoHyphens w:val="0"/>
              <w:spacing w:before="120" w:after="120" w:line="22" w:lineRule="atLeast"/>
              <w:ind w:firstLine="629"/>
              <w:jc w:val="both"/>
              <w:rPr>
                <w:rFonts w:ascii="Garamond" w:hAnsi="Garamond" w:cstheme="minorHAnsi"/>
                <w:b w:val="0"/>
              </w:rPr>
            </w:pPr>
            <w:r w:rsidRPr="00A5626D">
              <w:rPr>
                <w:rFonts w:ascii="Garamond" w:hAnsi="Garamond" w:cstheme="minorHAnsi"/>
                <w:b w:val="0"/>
              </w:rPr>
              <w:t xml:space="preserve">В случае если для соответствующего часа отчетного месяца смежными участниками оптового рынка (ФСК) по сечению коммерческого </w:t>
            </w:r>
            <w:r w:rsidRPr="00A5626D">
              <w:rPr>
                <w:rFonts w:ascii="Garamond" w:hAnsi="Garamond" w:cstheme="minorHAnsi"/>
                <w:b w:val="0"/>
              </w:rPr>
              <w:lastRenderedPageBreak/>
              <w:t>учета сформирован акт учета перетоков (макет 51020) в порядке, предусмотренном п. 7.2 настоящего Регламента, и при этом КО принят к расчетам корректирующий акт учета перетоков по сечению коммерческого учета (макет 51075) согласно п. 7.6 настоящего Регламента, значение учетного показателя для вышеуказанного часа определяется на основании принятого КО к расчетам корректирующего акта учета перетоков по сечению коммерческого учета (макет 51075).</w:t>
            </w:r>
          </w:p>
          <w:p w14:paraId="2F452ABE" w14:textId="77777777" w:rsidR="00295C6D" w:rsidRPr="00A5626D" w:rsidRDefault="00295C6D" w:rsidP="00647FA0">
            <w:pPr>
              <w:pStyle w:val="2"/>
              <w:numPr>
                <w:ilvl w:val="0"/>
                <w:numId w:val="0"/>
              </w:numPr>
              <w:tabs>
                <w:tab w:val="left" w:pos="1134"/>
                <w:tab w:val="left" w:pos="7938"/>
              </w:tabs>
              <w:suppressAutoHyphens w:val="0"/>
              <w:spacing w:before="120" w:after="120" w:line="22" w:lineRule="atLeast"/>
              <w:ind w:firstLine="629"/>
              <w:jc w:val="both"/>
              <w:rPr>
                <w:rFonts w:ascii="Garamond" w:hAnsi="Garamond" w:cstheme="minorHAnsi"/>
                <w:b w:val="0"/>
              </w:rPr>
            </w:pPr>
            <w:r w:rsidRPr="00A5626D">
              <w:rPr>
                <w:rFonts w:ascii="Garamond" w:hAnsi="Garamond" w:cstheme="minorHAnsi"/>
                <w:b w:val="0"/>
              </w:rPr>
              <w:t xml:space="preserve">Расчет часовых величин потребления в ГТП потребления смежных участников оптового рынка в случае отсутствия сформированного в порядке, предусмотренном п. 7.2 настоящего Регламента, акта учета перетоков по сечению коммерческого учета (макет 51020) и одновременно отсутствия принятого КО к расчетам корректирующего акта учета перетоков по сечению коммерческого учета (макет 51075) согласно п. 7.6 настоящего Регламента, проводится с использованием замещающего метода расчета, представленного в п. 8.2 настоящего Регламента. </w:t>
            </w:r>
          </w:p>
          <w:p w14:paraId="0B857BD7" w14:textId="77777777" w:rsidR="00295C6D" w:rsidRPr="00A5626D" w:rsidRDefault="00295C6D" w:rsidP="00647FA0">
            <w:pPr>
              <w:pStyle w:val="2"/>
              <w:numPr>
                <w:ilvl w:val="0"/>
                <w:numId w:val="0"/>
              </w:numPr>
              <w:tabs>
                <w:tab w:val="left" w:pos="1134"/>
                <w:tab w:val="left" w:pos="7938"/>
              </w:tabs>
              <w:suppressAutoHyphens w:val="0"/>
              <w:spacing w:before="120" w:after="120" w:line="22" w:lineRule="atLeast"/>
              <w:ind w:firstLine="629"/>
              <w:jc w:val="both"/>
              <w:rPr>
                <w:rFonts w:ascii="Garamond" w:hAnsi="Garamond" w:cstheme="minorHAnsi"/>
                <w:b w:val="0"/>
              </w:rPr>
            </w:pPr>
            <w:r w:rsidRPr="00A5626D">
              <w:rPr>
                <w:rFonts w:ascii="Garamond" w:hAnsi="Garamond" w:cstheme="minorHAnsi"/>
                <w:b w:val="0"/>
              </w:rPr>
              <w:t xml:space="preserve">Расчет часовых величин перетока в сети ФСК и потребления в ГТП потребления смежного с ФСК участника оптового рынка в случае отсутствия сформированного в порядке, предусмотренном п. 7.2 настоящего Регламента, акта учета перетоков по сечению </w:t>
            </w:r>
            <w:r w:rsidRPr="00A5626D">
              <w:rPr>
                <w:rFonts w:ascii="Garamond" w:hAnsi="Garamond" w:cstheme="minorHAnsi"/>
                <w:b w:val="0"/>
                <w:highlight w:val="yellow"/>
              </w:rPr>
              <w:t>коммерческого учета</w:t>
            </w:r>
            <w:r w:rsidRPr="00A5626D">
              <w:rPr>
                <w:rFonts w:ascii="Garamond" w:hAnsi="Garamond" w:cstheme="minorHAnsi"/>
                <w:b w:val="0"/>
              </w:rPr>
              <w:t xml:space="preserve"> между ФСК и участником оптового рынка (макет 51020) и одновременно отсутствия принятого КО к расчетам корректирующего акта учета перетоков по сечению </w:t>
            </w:r>
            <w:r w:rsidRPr="00A5626D">
              <w:rPr>
                <w:rFonts w:ascii="Garamond" w:hAnsi="Garamond" w:cstheme="minorHAnsi"/>
                <w:b w:val="0"/>
                <w:highlight w:val="yellow"/>
              </w:rPr>
              <w:t>коммерческого учета</w:t>
            </w:r>
            <w:r w:rsidRPr="00A5626D">
              <w:rPr>
                <w:rFonts w:ascii="Garamond" w:hAnsi="Garamond" w:cstheme="minorHAnsi"/>
                <w:b w:val="0"/>
              </w:rPr>
              <w:t xml:space="preserve"> между ФСК и участником оптового рынка (макет 51075) согласно п. 7.6 настоящего Регламента, проводится с использованием замещающего метода расчета, представленного в п. 8.3 настоящего Регламента.</w:t>
            </w:r>
          </w:p>
          <w:p w14:paraId="1AEC9F28" w14:textId="77777777" w:rsidR="00295C6D" w:rsidRPr="00A5626D" w:rsidRDefault="00295C6D" w:rsidP="00647FA0">
            <w:pPr>
              <w:pStyle w:val="2"/>
              <w:numPr>
                <w:ilvl w:val="0"/>
                <w:numId w:val="0"/>
              </w:numPr>
              <w:tabs>
                <w:tab w:val="left" w:pos="1134"/>
                <w:tab w:val="left" w:pos="7938"/>
              </w:tabs>
              <w:suppressAutoHyphens w:val="0"/>
              <w:spacing w:before="120" w:after="120" w:line="22" w:lineRule="atLeast"/>
              <w:ind w:firstLine="629"/>
              <w:jc w:val="both"/>
              <w:rPr>
                <w:rFonts w:ascii="Garamond" w:hAnsi="Garamond" w:cstheme="minorHAnsi"/>
                <w:b w:val="0"/>
              </w:rPr>
            </w:pPr>
            <w:r w:rsidRPr="00A5626D">
              <w:rPr>
                <w:rFonts w:ascii="Garamond" w:hAnsi="Garamond" w:cstheme="minorHAnsi"/>
                <w:b w:val="0"/>
              </w:rPr>
              <w:t>Расчет часовых значений учетного показателя по сечению между ценовыми, а также между ценовыми и неценовыми зонами оптового рынка (за исключением сечений между смежными участниками оптового рынка или участником оптового рынка и ФСК) в случае отсутствия сформированного ФСК в порядке, предусмотренном п. 7.2 настоящего Регламента, акта учета перетоков по сечению коммерческого учета (макет 51020) и одновременно отсутствия принятого КО к расчетам корректирующего акта учета перетоков по сечению коммерческого учета (макет 51075), направленного ФСК согласно п. 7.6 настоящего Регламента, производится на основе почасовой оперативной информации, переданной СО в соответствии с п. 4.3 настоящего Регламента.</w:t>
            </w:r>
          </w:p>
          <w:p w14:paraId="02A26FEA" w14:textId="77777777" w:rsidR="00295C6D" w:rsidRPr="00A5626D" w:rsidRDefault="00295C6D" w:rsidP="00647FA0">
            <w:pPr>
              <w:pStyle w:val="2"/>
              <w:numPr>
                <w:ilvl w:val="0"/>
                <w:numId w:val="0"/>
              </w:numPr>
              <w:tabs>
                <w:tab w:val="left" w:pos="1134"/>
                <w:tab w:val="left" w:pos="7938"/>
              </w:tabs>
              <w:suppressAutoHyphens w:val="0"/>
              <w:spacing w:before="120" w:after="120" w:line="22" w:lineRule="atLeast"/>
              <w:ind w:firstLine="629"/>
              <w:jc w:val="both"/>
              <w:rPr>
                <w:rFonts w:ascii="Garamond" w:hAnsi="Garamond" w:cstheme="minorHAnsi"/>
                <w:b w:val="0"/>
              </w:rPr>
            </w:pPr>
            <w:r w:rsidRPr="00A5626D">
              <w:rPr>
                <w:rFonts w:ascii="Garamond" w:hAnsi="Garamond" w:cstheme="minorHAnsi"/>
                <w:b w:val="0"/>
              </w:rPr>
              <w:lastRenderedPageBreak/>
              <w:t>Расчет часовых значений учетного показателя по сечению между ценовыми, а также между ценовыми и неценовыми зонами оптового рынка в случаях, когда указанное сечение образовано смежными участниками оптового рынка или участником оптового рынка и ФСК (расчет объемов потребления в ГТП потребления смежных по вышеуказанному сечению участников оптового рынка), при отсутствии сформированного в порядке, предусмотренном п. 7.2 настоящего Регламента, акта учета перетоков по сечению коммерческого учета (макет 51020) и одновременно при отсутствии принятого КО к расчетам корректирующего акта учета перетоков по сечению коммерческого учета (макет 51075), направленного согласно п. 7.6 настоящего Регламента, проводится с использованием замещающих методов расчета, предусмотренных пп. 8.2, 8.3 настоящего Регламента.</w:t>
            </w:r>
          </w:p>
          <w:p w14:paraId="2CAC2832" w14:textId="77777777" w:rsidR="00295C6D" w:rsidRPr="00A5626D" w:rsidRDefault="00295C6D" w:rsidP="00647FA0">
            <w:pPr>
              <w:pStyle w:val="2"/>
              <w:numPr>
                <w:ilvl w:val="0"/>
                <w:numId w:val="0"/>
              </w:numPr>
              <w:tabs>
                <w:tab w:val="left" w:pos="1134"/>
                <w:tab w:val="left" w:pos="7938"/>
              </w:tabs>
              <w:suppressAutoHyphens w:val="0"/>
              <w:spacing w:before="120" w:after="120" w:line="22" w:lineRule="atLeast"/>
              <w:ind w:firstLine="629"/>
              <w:jc w:val="both"/>
              <w:rPr>
                <w:rFonts w:ascii="Garamond" w:hAnsi="Garamond" w:cstheme="minorHAnsi"/>
                <w:b w:val="0"/>
              </w:rPr>
            </w:pPr>
            <w:r w:rsidRPr="00A5626D">
              <w:rPr>
                <w:rFonts w:ascii="Garamond" w:hAnsi="Garamond" w:cstheme="minorHAnsi"/>
                <w:b w:val="0"/>
              </w:rPr>
              <w:t>Расчет часовых значений учетного показателя по сечениям коммерческого учета, входящим в сечение экспорта-импорта, в случае отсутствия принятого КО к расчетам корректирующего акта учета перетоков по сечению коммерческого учета, входящему в сечение экспорта-импорта (макет 51075), направленного ФСК согласно п. 7.6 настоящего Регламента, производится на основе почасовой оперативной информации, переданной СО в соответствии с п. 4.3 настоящего Регламента.</w:t>
            </w:r>
          </w:p>
          <w:p w14:paraId="638EC4E1" w14:textId="77777777" w:rsidR="00295C6D" w:rsidRPr="00A5626D" w:rsidRDefault="00295C6D" w:rsidP="00647FA0">
            <w:pPr>
              <w:pStyle w:val="2"/>
              <w:numPr>
                <w:ilvl w:val="0"/>
                <w:numId w:val="0"/>
              </w:numPr>
              <w:tabs>
                <w:tab w:val="left" w:pos="1134"/>
                <w:tab w:val="left" w:pos="7938"/>
              </w:tabs>
              <w:suppressAutoHyphens w:val="0"/>
              <w:spacing w:before="120" w:after="120" w:line="22" w:lineRule="atLeast"/>
              <w:ind w:firstLine="629"/>
              <w:jc w:val="both"/>
              <w:rPr>
                <w:rFonts w:ascii="Garamond" w:hAnsi="Garamond" w:cstheme="minorHAnsi"/>
                <w:b w:val="0"/>
              </w:rPr>
            </w:pPr>
            <w:r w:rsidRPr="00A5626D">
              <w:rPr>
                <w:rFonts w:ascii="Garamond" w:hAnsi="Garamond" w:cstheme="minorHAnsi"/>
                <w:b w:val="0"/>
              </w:rPr>
              <w:t xml:space="preserve">Расчет часовых величин учетного показателя по внутренним сечениям производится на основании корректирующего акта учета перетоков по внутреннему сечению (макет 51075) в случаях, предусмотренных п. </w:t>
            </w:r>
            <w:r w:rsidRPr="00A5626D">
              <w:rPr>
                <w:rFonts w:ascii="Garamond" w:hAnsi="Garamond" w:cstheme="minorHAnsi"/>
                <w:b w:val="0"/>
                <w:highlight w:val="yellow"/>
              </w:rPr>
              <w:t>5</w:t>
            </w:r>
            <w:r w:rsidRPr="00A5626D">
              <w:rPr>
                <w:rFonts w:ascii="Garamond" w:hAnsi="Garamond" w:cstheme="minorHAnsi"/>
                <w:b w:val="0"/>
              </w:rPr>
              <w:t xml:space="preserve">.4 настоящего Регламента. Если КО в указанных случаях не получен корректирующий акт учета перетоков по внутреннему сечению (макет 51075), расчет часовых величин учетного показателя по внутренним сечениям производится на основании замещающих методов расчета, предусмотренных п. 8.2 настоящего Регламента. По истечении сроков, установленных п. </w:t>
            </w:r>
            <w:r w:rsidRPr="00A5626D">
              <w:rPr>
                <w:rFonts w:ascii="Garamond" w:hAnsi="Garamond" w:cstheme="minorHAnsi"/>
                <w:b w:val="0"/>
                <w:highlight w:val="yellow"/>
              </w:rPr>
              <w:t>5</w:t>
            </w:r>
            <w:r w:rsidRPr="00A5626D">
              <w:rPr>
                <w:rFonts w:ascii="Garamond" w:hAnsi="Garamond" w:cstheme="minorHAnsi"/>
                <w:b w:val="0"/>
              </w:rPr>
              <w:t>.4 настоящего Регламента для исполнения требований раздела 5 настоящего Регламента, в случае невыполнения вышеуказанных требований, расчет часовых величин учетного показателя по внутренним сечениям производится на основании замещающих методов расчета, предусмотренных п. 8.2 настоящего Регламента.</w:t>
            </w:r>
          </w:p>
          <w:p w14:paraId="7723DDDA" w14:textId="77777777" w:rsidR="00295C6D" w:rsidRPr="00A5626D" w:rsidRDefault="00295C6D" w:rsidP="00647FA0">
            <w:pPr>
              <w:pStyle w:val="2"/>
              <w:numPr>
                <w:ilvl w:val="0"/>
                <w:numId w:val="0"/>
              </w:numPr>
              <w:tabs>
                <w:tab w:val="left" w:pos="1134"/>
                <w:tab w:val="left" w:pos="7938"/>
              </w:tabs>
              <w:suppressAutoHyphens w:val="0"/>
              <w:spacing w:before="120" w:after="120" w:line="22" w:lineRule="atLeast"/>
              <w:ind w:firstLine="629"/>
              <w:jc w:val="both"/>
              <w:rPr>
                <w:rFonts w:ascii="Garamond" w:hAnsi="Garamond" w:cstheme="minorHAnsi"/>
                <w:b w:val="0"/>
              </w:rPr>
            </w:pPr>
            <w:r w:rsidRPr="00A5626D">
              <w:rPr>
                <w:rFonts w:ascii="Garamond" w:hAnsi="Garamond" w:cstheme="minorHAnsi"/>
                <w:b w:val="0"/>
              </w:rPr>
              <w:t xml:space="preserve">Расчет часовых значений учетного показателя по временному сечению коммерческого учета осуществляется на основе направленного участниками оптового рынка (ФСК) согласно п. 7.6 настоящего Регламента корректирующего акта учета перетоков по сечению коммерческого учета </w:t>
            </w:r>
            <w:r w:rsidRPr="00A5626D">
              <w:rPr>
                <w:rFonts w:ascii="Garamond" w:hAnsi="Garamond" w:cstheme="minorHAnsi"/>
                <w:b w:val="0"/>
              </w:rPr>
              <w:lastRenderedPageBreak/>
              <w:t>(макет 51075).</w:t>
            </w:r>
          </w:p>
          <w:p w14:paraId="3602E689" w14:textId="77777777" w:rsidR="00295C6D" w:rsidRPr="00A5626D" w:rsidRDefault="00295C6D" w:rsidP="00647FA0">
            <w:pPr>
              <w:pStyle w:val="2"/>
              <w:numPr>
                <w:ilvl w:val="0"/>
                <w:numId w:val="0"/>
              </w:numPr>
              <w:tabs>
                <w:tab w:val="left" w:pos="1134"/>
                <w:tab w:val="left" w:pos="7938"/>
              </w:tabs>
              <w:suppressAutoHyphens w:val="0"/>
              <w:spacing w:before="120" w:after="120" w:line="22" w:lineRule="atLeast"/>
              <w:ind w:firstLine="629"/>
              <w:jc w:val="both"/>
              <w:rPr>
                <w:rFonts w:ascii="Garamond" w:hAnsi="Garamond" w:cstheme="minorHAnsi"/>
                <w:b w:val="0"/>
              </w:rPr>
            </w:pPr>
            <w:r w:rsidRPr="00A5626D">
              <w:rPr>
                <w:rFonts w:ascii="Garamond" w:hAnsi="Garamond" w:cstheme="minorHAnsi"/>
                <w:b w:val="0"/>
              </w:rPr>
              <w:t>Расчет часовых величин потребления в ГТП потребления смежных участников оптового рынка в случае отсутствия принятого КО к расчетам корректирующего акта учета перетоков по временному сечению коммерческого учета (макет 51075), направленного согласно п. 7.6 настоящего Регламента, производится с использованием замещающих методов расчета, предусмотренных п. 8.2 настоящего Регламента.</w:t>
            </w:r>
          </w:p>
          <w:p w14:paraId="2852F6CE" w14:textId="77777777" w:rsidR="00295C6D" w:rsidRPr="00A5626D" w:rsidRDefault="00295C6D" w:rsidP="00647FA0">
            <w:pPr>
              <w:pStyle w:val="2"/>
              <w:numPr>
                <w:ilvl w:val="0"/>
                <w:numId w:val="0"/>
              </w:numPr>
              <w:tabs>
                <w:tab w:val="left" w:pos="1134"/>
                <w:tab w:val="left" w:pos="7938"/>
              </w:tabs>
              <w:suppressAutoHyphens w:val="0"/>
              <w:spacing w:before="120" w:after="120" w:line="22" w:lineRule="atLeast"/>
              <w:ind w:firstLine="629"/>
              <w:jc w:val="both"/>
              <w:rPr>
                <w:rFonts w:ascii="Garamond" w:hAnsi="Garamond" w:cstheme="minorHAnsi"/>
                <w:b w:val="0"/>
              </w:rPr>
            </w:pPr>
            <w:r w:rsidRPr="00A5626D">
              <w:rPr>
                <w:rFonts w:ascii="Garamond" w:hAnsi="Garamond" w:cstheme="minorHAnsi"/>
                <w:b w:val="0"/>
              </w:rPr>
              <w:t>Расчет часовых величин перетока в сети ФСК и потребления в ГТП потребления смежного с ФСК участника оптового рынка в случае отсутствия принятого КО к расчетам корректирующего акта учета перетоков по временному сечению коммерческого учета (макет 51075), направленного согласно п. 7.6 настоящего Регламента, проводится с использованием замещающих методов расчета, предусмотренных п. 8.3 настоящего Регламента.</w:t>
            </w:r>
          </w:p>
          <w:p w14:paraId="11D2F8EE" w14:textId="77777777" w:rsidR="00295C6D" w:rsidRPr="00A5626D" w:rsidRDefault="00295C6D" w:rsidP="00647FA0">
            <w:pPr>
              <w:pStyle w:val="2"/>
              <w:numPr>
                <w:ilvl w:val="0"/>
                <w:numId w:val="0"/>
              </w:numPr>
              <w:tabs>
                <w:tab w:val="left" w:pos="1134"/>
                <w:tab w:val="left" w:pos="7938"/>
              </w:tabs>
              <w:suppressAutoHyphens w:val="0"/>
              <w:spacing w:before="120" w:after="120" w:line="22" w:lineRule="atLeast"/>
              <w:ind w:firstLine="743"/>
              <w:jc w:val="both"/>
              <w:rPr>
                <w:rFonts w:ascii="Garamond" w:hAnsi="Garamond" w:cstheme="minorHAnsi"/>
                <w:b w:val="0"/>
              </w:rPr>
            </w:pPr>
            <w:r w:rsidRPr="00A5626D">
              <w:rPr>
                <w:rFonts w:ascii="Garamond" w:hAnsi="Garamond" w:cstheme="minorHAnsi"/>
                <w:b w:val="0"/>
              </w:rPr>
              <w:t>Для применения замещающих методов расчета при реорганизации субъектов оптового рынка в случаях, установленных п. 7.3 настоящего Регламента, используются значения электрической энергии, содержащиеся в отчетных данных коммерческого учета, сформированных (направленных) после завершения реорганизации Правопредшественника в сроки, установленные настоящим Регламентом для формирования отчетных данных коммерческого учета, но содержащие электронную подпись Правопредшественника.</w:t>
            </w:r>
          </w:p>
          <w:p w14:paraId="65A48FDC" w14:textId="77777777" w:rsidR="00295C6D" w:rsidRPr="00A5626D" w:rsidRDefault="00295C6D" w:rsidP="00647FA0">
            <w:pPr>
              <w:tabs>
                <w:tab w:val="left" w:pos="1134"/>
                <w:tab w:val="left" w:pos="7938"/>
              </w:tabs>
              <w:spacing w:before="120" w:after="120"/>
              <w:ind w:firstLine="743"/>
              <w:jc w:val="both"/>
              <w:rPr>
                <w:rFonts w:ascii="Garamond" w:hAnsi="Garamond"/>
                <w:sz w:val="22"/>
                <w:szCs w:val="22"/>
              </w:rPr>
            </w:pPr>
            <w:r w:rsidRPr="00A5626D">
              <w:rPr>
                <w:rFonts w:ascii="Garamond" w:hAnsi="Garamond"/>
                <w:sz w:val="22"/>
                <w:szCs w:val="22"/>
                <w:highlight w:val="yellow"/>
              </w:rPr>
              <w:t>Замещающие методы расчета объемов электроэнергии в отношении объектов регулирования агрегаторов не применяются.</w:t>
            </w:r>
          </w:p>
        </w:tc>
      </w:tr>
      <w:tr w:rsidR="00295C6D" w:rsidRPr="00A5626D" w14:paraId="52A658BA" w14:textId="77777777" w:rsidTr="00647FA0">
        <w:tc>
          <w:tcPr>
            <w:tcW w:w="1060" w:type="dxa"/>
            <w:vAlign w:val="center"/>
          </w:tcPr>
          <w:p w14:paraId="4842747B" w14:textId="77777777" w:rsidR="00295C6D" w:rsidRPr="00A5626D" w:rsidRDefault="00295C6D" w:rsidP="00E31AE6">
            <w:pPr>
              <w:widowControl w:val="0"/>
              <w:tabs>
                <w:tab w:val="left" w:pos="1134"/>
                <w:tab w:val="left" w:pos="7938"/>
              </w:tabs>
              <w:spacing w:line="22" w:lineRule="atLeast"/>
              <w:jc w:val="both"/>
              <w:rPr>
                <w:rFonts w:ascii="Garamond" w:hAnsi="Garamond"/>
                <w:b/>
                <w:sz w:val="22"/>
                <w:szCs w:val="22"/>
                <w:lang w:eastAsia="en-US"/>
              </w:rPr>
            </w:pPr>
            <w:r w:rsidRPr="00A5626D">
              <w:rPr>
                <w:rFonts w:ascii="Garamond" w:hAnsi="Garamond"/>
                <w:b/>
                <w:sz w:val="22"/>
                <w:szCs w:val="22"/>
                <w:lang w:eastAsia="en-US"/>
              </w:rPr>
              <w:lastRenderedPageBreak/>
              <w:t>8.2</w:t>
            </w:r>
          </w:p>
        </w:tc>
        <w:tc>
          <w:tcPr>
            <w:tcW w:w="6662" w:type="dxa"/>
          </w:tcPr>
          <w:p w14:paraId="387B6F85" w14:textId="77777777" w:rsidR="00295C6D" w:rsidRPr="00A5626D" w:rsidRDefault="00295C6D" w:rsidP="00647FA0">
            <w:pPr>
              <w:pStyle w:val="2"/>
              <w:numPr>
                <w:ilvl w:val="0"/>
                <w:numId w:val="0"/>
              </w:numPr>
              <w:tabs>
                <w:tab w:val="left" w:pos="1134"/>
                <w:tab w:val="left" w:pos="7938"/>
              </w:tabs>
              <w:suppressAutoHyphens w:val="0"/>
              <w:spacing w:before="120" w:after="120" w:line="22" w:lineRule="atLeast"/>
              <w:ind w:firstLine="629"/>
              <w:jc w:val="both"/>
              <w:rPr>
                <w:rFonts w:ascii="Garamond" w:hAnsi="Garamond" w:cstheme="minorHAnsi"/>
                <w:b w:val="0"/>
              </w:rPr>
            </w:pPr>
            <w:r w:rsidRPr="00A5626D">
              <w:rPr>
                <w:rFonts w:ascii="Garamond" w:hAnsi="Garamond" w:cstheme="minorHAnsi"/>
                <w:b w:val="0"/>
              </w:rPr>
              <w:t xml:space="preserve">В случае если для соответствующего часа отчетного месяца смежными участниками оптового рынка по сечению (-ям) коммерческого учета не сформирован (-ы) акт (-ы) учета перетоков </w:t>
            </w:r>
            <w:r w:rsidRPr="00A5626D">
              <w:rPr>
                <w:rFonts w:ascii="Garamond" w:hAnsi="Garamond" w:cstheme="minorHAnsi"/>
                <w:b w:val="0"/>
              </w:rPr>
              <w:lastRenderedPageBreak/>
              <w:t>(макет (-ы) 51020) в порядке, предусмотренном п. 7.2 настоящего Регламента, и при этом отсутствует (-ют) принятый (-ые) КО к расчетам корректирующий (-ие) акт (-ы) учета перетоков по вышеуказанному (-ым) сечению (-ям) коммерческого учета (макет (-ы) 51075), направленный (-ые) в КО согласно п. 7.6 настоящего Регламента, либо если отсутствует (-ют) принятый (-ые) КО к расчетам корректирующий (-ие) акт (-ы) учета перетоков по временному (-ым) сечению (-ям) (макет (-ы) 51075), направленный (-ые) в КО согласно п. 7.6 настоящего Регламента, либо если участником оптового рынка, в состав ГТП потребления которого входит внутреннее сечение, не выполнены требования раздела 5 или п. 7.4 настоящего Регламента или в отношении вышеуказанного внутреннего сечения отсутствует принятый КО к расчетам корректирующий акт учета перетоков по внутреннему сечению (макет 51075) в течение сроков, установленных п</w:t>
            </w:r>
            <w:r w:rsidRPr="00A5626D">
              <w:rPr>
                <w:rFonts w:ascii="Garamond" w:hAnsi="Garamond" w:cstheme="minorHAnsi"/>
                <w:b w:val="0"/>
                <w:highlight w:val="yellow"/>
              </w:rPr>
              <w:t>п</w:t>
            </w:r>
            <w:r w:rsidRPr="00A5626D">
              <w:rPr>
                <w:rFonts w:ascii="Garamond" w:hAnsi="Garamond" w:cstheme="minorHAnsi"/>
                <w:b w:val="0"/>
              </w:rPr>
              <w:t xml:space="preserve">. </w:t>
            </w:r>
            <w:r w:rsidRPr="00A5626D">
              <w:rPr>
                <w:rFonts w:ascii="Garamond" w:hAnsi="Garamond" w:cstheme="minorHAnsi"/>
                <w:b w:val="0"/>
                <w:highlight w:val="yellow"/>
              </w:rPr>
              <w:t>3.2, 3</w:t>
            </w:r>
            <w:r w:rsidRPr="00A5626D">
              <w:rPr>
                <w:rFonts w:ascii="Garamond" w:hAnsi="Garamond" w:cstheme="minorHAnsi"/>
                <w:b w:val="0"/>
              </w:rPr>
              <w:t>.4 настоящего Регламента, часовые величины потребления в ГТП потребления, в состав которых входит (-ят) указанное (-ые) выше сечение (-я) коммерческого учета (далее – ГТП потребления с несогласованным перетоком, сечение коммерческого учета с несогласованным перетоком), определяются по алгоритму:</w:t>
            </w:r>
          </w:p>
          <w:p w14:paraId="72721D2D" w14:textId="77777777" w:rsidR="00295C6D" w:rsidRPr="00A5626D" w:rsidRDefault="00295C6D" w:rsidP="00647FA0">
            <w:pPr>
              <w:tabs>
                <w:tab w:val="left" w:pos="1134"/>
                <w:tab w:val="left" w:pos="7938"/>
              </w:tabs>
              <w:spacing w:before="120" w:after="120"/>
              <w:ind w:firstLine="629"/>
              <w:rPr>
                <w:rFonts w:ascii="Garamond" w:hAnsi="Garamond"/>
                <w:sz w:val="22"/>
                <w:szCs w:val="22"/>
              </w:rPr>
            </w:pPr>
            <w:r w:rsidRPr="00A5626D">
              <w:rPr>
                <w:rFonts w:ascii="Garamond" w:hAnsi="Garamond"/>
                <w:sz w:val="22"/>
                <w:szCs w:val="22"/>
              </w:rPr>
              <w:t>…</w:t>
            </w:r>
          </w:p>
        </w:tc>
        <w:tc>
          <w:tcPr>
            <w:tcW w:w="7088" w:type="dxa"/>
          </w:tcPr>
          <w:p w14:paraId="1ED63BB7" w14:textId="77777777" w:rsidR="00295C6D" w:rsidRPr="00A5626D" w:rsidRDefault="00295C6D" w:rsidP="00647FA0">
            <w:pPr>
              <w:pStyle w:val="2"/>
              <w:numPr>
                <w:ilvl w:val="0"/>
                <w:numId w:val="0"/>
              </w:numPr>
              <w:tabs>
                <w:tab w:val="left" w:pos="1134"/>
                <w:tab w:val="left" w:pos="7938"/>
              </w:tabs>
              <w:suppressAutoHyphens w:val="0"/>
              <w:spacing w:before="120" w:after="120" w:line="22" w:lineRule="atLeast"/>
              <w:ind w:firstLine="629"/>
              <w:jc w:val="both"/>
              <w:rPr>
                <w:rFonts w:ascii="Garamond" w:hAnsi="Garamond" w:cstheme="minorHAnsi"/>
                <w:b w:val="0"/>
              </w:rPr>
            </w:pPr>
            <w:r w:rsidRPr="00A5626D">
              <w:rPr>
                <w:rFonts w:ascii="Garamond" w:hAnsi="Garamond" w:cstheme="minorHAnsi"/>
                <w:b w:val="0"/>
              </w:rPr>
              <w:lastRenderedPageBreak/>
              <w:t xml:space="preserve">В случае если для соответствующего часа отчетного месяца смежными участниками оптового рынка по сечению (-ям) коммерческого учета не сформирован (-ы) акт (-ы) учета перетоков (макет (-ы) 51020) в </w:t>
            </w:r>
            <w:r w:rsidRPr="00A5626D">
              <w:rPr>
                <w:rFonts w:ascii="Garamond" w:hAnsi="Garamond" w:cstheme="minorHAnsi"/>
                <w:b w:val="0"/>
              </w:rPr>
              <w:lastRenderedPageBreak/>
              <w:t xml:space="preserve">порядке, предусмотренном п. 7.2 настоящего Регламента, и при этом отсутствует (-ют) принятый (-ые) КО к расчетам корректирующий (-ие) акт (-ы) учета перетоков по вышеуказанному (-ым) сечению (-ям) коммерческого учета (макет (-ы) 51075), направленный (-ые) в КО согласно п. 7.6 настоящего Регламента, либо если отсутствует (-ют) принятый (-ые) КО к расчетам корректирующий (-ие) акт (-ы) учета перетоков по временному (-ым) сечению (-ям) (макет (-ы) 51075), направленный (-ые) в КО согласно п. 7.6 настоящего Регламента, либо если участником оптового рынка, в состав ГТП потребления которого входит внутреннее сечение, не выполнены требования раздела 5 или п. 7.4 настоящего Регламента или в отношении вышеуказанного внутреннего сечения отсутствует принятый КО к расчетам корректирующий акт учета перетоков по внутреннему сечению (макет 51075) в течение сроков, установленных п. </w:t>
            </w:r>
            <w:r w:rsidRPr="00A5626D">
              <w:rPr>
                <w:rFonts w:ascii="Garamond" w:hAnsi="Garamond" w:cstheme="minorHAnsi"/>
                <w:b w:val="0"/>
                <w:highlight w:val="yellow"/>
              </w:rPr>
              <w:t>5</w:t>
            </w:r>
            <w:r w:rsidRPr="00A5626D">
              <w:rPr>
                <w:rFonts w:ascii="Garamond" w:hAnsi="Garamond" w:cstheme="minorHAnsi"/>
                <w:b w:val="0"/>
              </w:rPr>
              <w:t>.4 настоящего Регламента, часовые величины потребления в ГТП потребления, в состав которых входит (-ят) указанное (-ые) выше сечение (-я) коммерческого учета (далее – ГТП потребления с несогласованным перетоком, сечение коммерческого учета с несогласованным перетоком), определяются по алгоритму:</w:t>
            </w:r>
          </w:p>
          <w:p w14:paraId="1BBD9268" w14:textId="77777777" w:rsidR="00295C6D" w:rsidRPr="00A5626D" w:rsidRDefault="00295C6D" w:rsidP="00647FA0">
            <w:pPr>
              <w:pStyle w:val="2"/>
              <w:numPr>
                <w:ilvl w:val="0"/>
                <w:numId w:val="0"/>
              </w:numPr>
              <w:tabs>
                <w:tab w:val="left" w:pos="1134"/>
                <w:tab w:val="left" w:pos="7938"/>
              </w:tabs>
              <w:suppressAutoHyphens w:val="0"/>
              <w:spacing w:before="120" w:after="120" w:line="22" w:lineRule="atLeast"/>
              <w:ind w:firstLine="743"/>
              <w:jc w:val="both"/>
              <w:rPr>
                <w:rFonts w:ascii="Garamond" w:hAnsi="Garamond" w:cstheme="minorHAnsi"/>
                <w:b w:val="0"/>
              </w:rPr>
            </w:pPr>
            <w:r w:rsidRPr="00A5626D">
              <w:rPr>
                <w:rFonts w:ascii="Garamond" w:hAnsi="Garamond"/>
              </w:rPr>
              <w:t>…</w:t>
            </w:r>
          </w:p>
        </w:tc>
      </w:tr>
      <w:tr w:rsidR="00295C6D" w:rsidRPr="00A5626D" w14:paraId="0F203C60" w14:textId="77777777" w:rsidTr="00647FA0">
        <w:tc>
          <w:tcPr>
            <w:tcW w:w="1060" w:type="dxa"/>
            <w:vAlign w:val="center"/>
          </w:tcPr>
          <w:p w14:paraId="52A6B335" w14:textId="77777777" w:rsidR="00295C6D" w:rsidRPr="00A5626D" w:rsidRDefault="00295C6D" w:rsidP="00E31AE6">
            <w:pPr>
              <w:widowControl w:val="0"/>
              <w:tabs>
                <w:tab w:val="left" w:pos="1134"/>
                <w:tab w:val="left" w:pos="7938"/>
              </w:tabs>
              <w:spacing w:line="22" w:lineRule="atLeast"/>
              <w:jc w:val="both"/>
              <w:rPr>
                <w:rFonts w:ascii="Garamond" w:hAnsi="Garamond"/>
                <w:b/>
                <w:sz w:val="22"/>
                <w:szCs w:val="22"/>
                <w:lang w:eastAsia="en-US"/>
              </w:rPr>
            </w:pPr>
            <w:r w:rsidRPr="00A5626D">
              <w:rPr>
                <w:rFonts w:ascii="Garamond" w:hAnsi="Garamond"/>
                <w:b/>
                <w:sz w:val="22"/>
                <w:szCs w:val="22"/>
                <w:lang w:eastAsia="en-US"/>
              </w:rPr>
              <w:lastRenderedPageBreak/>
              <w:t>8.7</w:t>
            </w:r>
          </w:p>
        </w:tc>
        <w:tc>
          <w:tcPr>
            <w:tcW w:w="6662" w:type="dxa"/>
          </w:tcPr>
          <w:p w14:paraId="6035D7B6" w14:textId="77777777" w:rsidR="00295C6D" w:rsidRPr="00A5626D" w:rsidRDefault="00295C6D" w:rsidP="00647FA0">
            <w:pPr>
              <w:pStyle w:val="2"/>
              <w:widowControl/>
              <w:numPr>
                <w:ilvl w:val="0"/>
                <w:numId w:val="0"/>
              </w:numPr>
              <w:tabs>
                <w:tab w:val="left" w:pos="1134"/>
                <w:tab w:val="left" w:pos="7938"/>
              </w:tabs>
              <w:suppressAutoHyphens w:val="0"/>
              <w:autoSpaceDE/>
              <w:spacing w:before="120" w:after="120" w:line="22" w:lineRule="atLeast"/>
              <w:ind w:firstLine="629"/>
              <w:jc w:val="both"/>
              <w:rPr>
                <w:rFonts w:ascii="Garamond" w:hAnsi="Garamond" w:cstheme="minorHAnsi"/>
                <w:b w:val="0"/>
              </w:rPr>
            </w:pPr>
            <w:bookmarkStart w:id="125" w:name="_Toc139239967"/>
            <w:r w:rsidRPr="00A5626D">
              <w:rPr>
                <w:rFonts w:ascii="Garamond" w:hAnsi="Garamond" w:cstheme="minorHAnsi"/>
                <w:b w:val="0"/>
              </w:rPr>
              <w:t>Замещающие методы расчета, применяемые в отношении ГТП генерации поставщика электроэнергии</w:t>
            </w:r>
            <w:bookmarkEnd w:id="125"/>
          </w:p>
          <w:p w14:paraId="0CA14AB2" w14:textId="77777777" w:rsidR="00295C6D" w:rsidRPr="00A5626D" w:rsidRDefault="00295C6D" w:rsidP="00647FA0">
            <w:pPr>
              <w:pStyle w:val="3"/>
              <w:keepNext w:val="0"/>
              <w:numPr>
                <w:ilvl w:val="2"/>
                <w:numId w:val="263"/>
              </w:numPr>
              <w:tabs>
                <w:tab w:val="left" w:pos="1134"/>
                <w:tab w:val="left" w:pos="7938"/>
              </w:tabs>
              <w:suppressAutoHyphens w:val="0"/>
              <w:spacing w:before="120" w:after="120" w:line="22" w:lineRule="atLeast"/>
              <w:ind w:left="0" w:firstLine="629"/>
              <w:jc w:val="both"/>
              <w:rPr>
                <w:rFonts w:ascii="Garamond" w:hAnsi="Garamond" w:cstheme="minorHAnsi"/>
                <w:b w:val="0"/>
                <w:color w:val="auto"/>
                <w:sz w:val="22"/>
                <w:szCs w:val="22"/>
              </w:rPr>
            </w:pPr>
            <w:bookmarkStart w:id="126" w:name="_Toc139239968"/>
            <w:r w:rsidRPr="00A5626D">
              <w:rPr>
                <w:rFonts w:ascii="Garamond" w:hAnsi="Garamond" w:cstheme="minorHAnsi"/>
                <w:b w:val="0"/>
                <w:color w:val="auto"/>
                <w:sz w:val="22"/>
                <w:szCs w:val="22"/>
              </w:rPr>
              <w:t>В случае если для соответствующего часа отчетного месяца выполняются нижеперечисленные условия:</w:t>
            </w:r>
            <w:bookmarkEnd w:id="126"/>
          </w:p>
          <w:p w14:paraId="22BB3F85" w14:textId="77777777" w:rsidR="00295C6D" w:rsidRPr="00A5626D" w:rsidRDefault="00295C6D" w:rsidP="00647FA0">
            <w:pPr>
              <w:pStyle w:val="a8"/>
              <w:numPr>
                <w:ilvl w:val="0"/>
                <w:numId w:val="259"/>
              </w:numPr>
              <w:tabs>
                <w:tab w:val="clear" w:pos="8100"/>
                <w:tab w:val="left" w:pos="960"/>
                <w:tab w:val="left" w:pos="1134"/>
                <w:tab w:val="left" w:pos="7938"/>
              </w:tabs>
              <w:suppressAutoHyphens w:val="0"/>
              <w:autoSpaceDE w:val="0"/>
              <w:autoSpaceDN w:val="0"/>
              <w:spacing w:before="120" w:after="120" w:line="22" w:lineRule="atLeast"/>
              <w:ind w:left="0" w:firstLine="629"/>
              <w:rPr>
                <w:rFonts w:ascii="Garamond" w:hAnsi="Garamond" w:cstheme="minorHAnsi"/>
                <w:sz w:val="22"/>
                <w:szCs w:val="22"/>
              </w:rPr>
            </w:pPr>
            <w:r w:rsidRPr="00A5626D">
              <w:rPr>
                <w:rFonts w:ascii="Garamond" w:hAnsi="Garamond" w:cstheme="minorHAnsi"/>
                <w:sz w:val="22"/>
                <w:szCs w:val="22"/>
              </w:rPr>
              <w:t>отсутствует направленный участником оптового рынка и принятый КО к расчетам корректирующий акт учета (оборота) по ГТП генерации (макет 51075);</w:t>
            </w:r>
          </w:p>
          <w:p w14:paraId="04809548" w14:textId="77777777" w:rsidR="00295C6D" w:rsidRPr="00A5626D" w:rsidRDefault="00295C6D" w:rsidP="00647FA0">
            <w:pPr>
              <w:pStyle w:val="a8"/>
              <w:numPr>
                <w:ilvl w:val="0"/>
                <w:numId w:val="259"/>
              </w:numPr>
              <w:tabs>
                <w:tab w:val="clear" w:pos="8100"/>
                <w:tab w:val="left" w:pos="960"/>
                <w:tab w:val="left" w:pos="1134"/>
                <w:tab w:val="left" w:pos="7938"/>
              </w:tabs>
              <w:suppressAutoHyphens w:val="0"/>
              <w:autoSpaceDE w:val="0"/>
              <w:autoSpaceDN w:val="0"/>
              <w:spacing w:before="120" w:after="120" w:line="22" w:lineRule="atLeast"/>
              <w:ind w:left="0" w:firstLine="629"/>
              <w:rPr>
                <w:rFonts w:ascii="Garamond" w:hAnsi="Garamond" w:cstheme="minorHAnsi"/>
                <w:sz w:val="22"/>
                <w:szCs w:val="22"/>
              </w:rPr>
            </w:pPr>
            <w:r w:rsidRPr="00A5626D">
              <w:rPr>
                <w:rFonts w:ascii="Garamond" w:hAnsi="Garamond" w:cstheme="minorHAnsi"/>
                <w:sz w:val="22"/>
                <w:szCs w:val="22"/>
              </w:rPr>
              <w:t xml:space="preserve">на официальном сайте КО в разделе «Данные АИИС» в соответствии с п. </w:t>
            </w:r>
            <w:r w:rsidRPr="00A5626D">
              <w:rPr>
                <w:rFonts w:ascii="Garamond" w:hAnsi="Garamond" w:cstheme="minorHAnsi"/>
                <w:sz w:val="22"/>
                <w:szCs w:val="22"/>
                <w:highlight w:val="yellow"/>
              </w:rPr>
              <w:t>3.9</w:t>
            </w:r>
            <w:r w:rsidRPr="00A5626D">
              <w:rPr>
                <w:rFonts w:ascii="Garamond" w:hAnsi="Garamond" w:cstheme="minorHAnsi"/>
                <w:sz w:val="22"/>
                <w:szCs w:val="22"/>
              </w:rPr>
              <w:t xml:space="preserve"> настоящего Регламента поставщиком электроэнергии сформирован акт учета (оборота) по ГТП генерации (макет 51020);</w:t>
            </w:r>
          </w:p>
          <w:p w14:paraId="53EB94F7" w14:textId="77777777" w:rsidR="00295C6D" w:rsidRPr="00A5626D" w:rsidRDefault="00295C6D" w:rsidP="00647FA0">
            <w:pPr>
              <w:pStyle w:val="a8"/>
              <w:numPr>
                <w:ilvl w:val="0"/>
                <w:numId w:val="259"/>
              </w:numPr>
              <w:tabs>
                <w:tab w:val="clear" w:pos="8100"/>
                <w:tab w:val="left" w:pos="960"/>
                <w:tab w:val="left" w:pos="1134"/>
                <w:tab w:val="left" w:pos="7938"/>
              </w:tabs>
              <w:suppressAutoHyphens w:val="0"/>
              <w:autoSpaceDE w:val="0"/>
              <w:autoSpaceDN w:val="0"/>
              <w:spacing w:before="120" w:after="120" w:line="22" w:lineRule="atLeast"/>
              <w:ind w:left="0" w:firstLine="629"/>
              <w:rPr>
                <w:rFonts w:ascii="Garamond" w:hAnsi="Garamond" w:cstheme="minorHAnsi"/>
                <w:sz w:val="22"/>
                <w:szCs w:val="22"/>
              </w:rPr>
            </w:pPr>
            <w:r w:rsidRPr="00A5626D">
              <w:rPr>
                <w:rFonts w:ascii="Garamond" w:hAnsi="Garamond" w:cstheme="minorHAnsi"/>
                <w:sz w:val="22"/>
                <w:szCs w:val="22"/>
              </w:rPr>
              <w:t xml:space="preserve">имеются расхождения между величиной выработки электроэнергии, содержащейся в сформированном в соответствии с п. </w:t>
            </w:r>
            <w:r w:rsidRPr="00A5626D">
              <w:rPr>
                <w:rFonts w:ascii="Garamond" w:hAnsi="Garamond" w:cstheme="minorHAnsi"/>
                <w:sz w:val="22"/>
                <w:szCs w:val="22"/>
                <w:highlight w:val="yellow"/>
              </w:rPr>
              <w:t>3.9</w:t>
            </w:r>
            <w:r w:rsidRPr="00A5626D">
              <w:rPr>
                <w:rFonts w:ascii="Garamond" w:hAnsi="Garamond" w:cstheme="minorHAnsi"/>
                <w:sz w:val="22"/>
                <w:szCs w:val="22"/>
              </w:rPr>
              <w:t xml:space="preserve"> настоящего Регламента акте учета (оборота) по ГТП генерации (макет 51020), и оперативными данными, полученными от СО в </w:t>
            </w:r>
            <w:r w:rsidRPr="00A5626D">
              <w:rPr>
                <w:rFonts w:ascii="Garamond" w:hAnsi="Garamond" w:cstheme="minorHAnsi"/>
                <w:sz w:val="22"/>
                <w:szCs w:val="22"/>
              </w:rPr>
              <w:lastRenderedPageBreak/>
              <w:t>соответствии с п. 4.3 настоящего Регламента, сформированными на основе телеинформации, более чем на 5 %, при этом величина расхождения должна превышать 300 кВт·ч, –</w:t>
            </w:r>
          </w:p>
          <w:p w14:paraId="0FBEAF36" w14:textId="77777777" w:rsidR="00295C6D" w:rsidRPr="00A5626D" w:rsidRDefault="00295C6D" w:rsidP="00647FA0">
            <w:pPr>
              <w:shd w:val="clear" w:color="auto" w:fill="FFFFFF"/>
              <w:tabs>
                <w:tab w:val="left" w:pos="1134"/>
                <w:tab w:val="left" w:pos="7938"/>
              </w:tabs>
              <w:spacing w:before="120" w:after="120" w:line="22" w:lineRule="atLeast"/>
              <w:ind w:firstLine="629"/>
              <w:jc w:val="both"/>
              <w:rPr>
                <w:rFonts w:ascii="Garamond" w:hAnsi="Garamond" w:cstheme="minorHAnsi"/>
                <w:sz w:val="22"/>
                <w:szCs w:val="22"/>
              </w:rPr>
            </w:pPr>
            <w:r w:rsidRPr="00A5626D">
              <w:rPr>
                <w:rFonts w:ascii="Garamond" w:hAnsi="Garamond" w:cstheme="minorHAnsi"/>
                <w:sz w:val="22"/>
                <w:szCs w:val="22"/>
              </w:rPr>
              <w:t xml:space="preserve">значение учетного показателя в ГТП генерации для вышеуказанного часа отчетного месяца равно: </w:t>
            </w:r>
          </w:p>
          <w:p w14:paraId="2154582D" w14:textId="03F929BF" w:rsidR="00295C6D" w:rsidRPr="00A5626D" w:rsidRDefault="008800D7" w:rsidP="00647FA0">
            <w:pPr>
              <w:shd w:val="clear" w:color="auto" w:fill="FFFFFF"/>
              <w:tabs>
                <w:tab w:val="left" w:pos="1134"/>
                <w:tab w:val="left" w:pos="7938"/>
              </w:tabs>
              <w:spacing w:before="120" w:after="120" w:line="22" w:lineRule="atLeast"/>
              <w:ind w:firstLine="629"/>
              <w:jc w:val="both"/>
              <w:rPr>
                <w:rFonts w:ascii="Garamond" w:hAnsi="Garamond" w:cstheme="minorHAnsi"/>
                <w:i/>
                <w:sz w:val="22"/>
                <w:szCs w:val="22"/>
              </w:rPr>
            </w:pPr>
            <m:oMath>
              <m:sSub>
                <m:sSubPr>
                  <m:ctrlPr>
                    <w:rPr>
                      <w:rFonts w:ascii="Cambria Math" w:hAnsi="Cambria Math" w:cstheme="minorHAnsi"/>
                      <w:i/>
                      <w:sz w:val="22"/>
                      <w:szCs w:val="22"/>
                    </w:rPr>
                  </m:ctrlPr>
                </m:sSubPr>
                <m:e>
                  <m:r>
                    <w:rPr>
                      <w:rFonts w:ascii="Cambria Math" w:hAnsi="Cambria Math" w:cstheme="minorHAnsi"/>
                      <w:sz w:val="22"/>
                      <w:szCs w:val="22"/>
                    </w:rPr>
                    <m:t>V</m:t>
                  </m:r>
                </m:e>
                <m:sub>
                  <m:r>
                    <w:rPr>
                      <w:rFonts w:ascii="Cambria Math" w:hAnsi="Cambria Math" w:cstheme="minorHAnsi"/>
                      <w:sz w:val="22"/>
                      <w:szCs w:val="22"/>
                    </w:rPr>
                    <m:t>ген.змр.</m:t>
                  </m:r>
                  <m:r>
                    <w:rPr>
                      <w:rFonts w:ascii="Cambria Math" w:hAnsi="Cambria Math" w:cstheme="minorHAnsi"/>
                      <w:sz w:val="22"/>
                      <w:szCs w:val="22"/>
                      <w:lang w:val="en-US"/>
                    </w:rPr>
                    <m:t>i</m:t>
                  </m:r>
                </m:sub>
              </m:sSub>
              <m:r>
                <w:rPr>
                  <w:rFonts w:ascii="Cambria Math" w:hAnsi="Cambria Math" w:cstheme="minorHAnsi"/>
                  <w:sz w:val="22"/>
                  <w:szCs w:val="22"/>
                </w:rPr>
                <m:t>=</m:t>
              </m:r>
              <m:r>
                <m:rPr>
                  <m:sty m:val="p"/>
                </m:rPr>
                <w:rPr>
                  <w:rFonts w:ascii="Cambria Math" w:hAnsi="Cambria Math" w:cstheme="minorHAnsi"/>
                  <w:sz w:val="22"/>
                  <w:szCs w:val="22"/>
                </w:rPr>
                <m:t>min⁡</m:t>
              </m:r>
              <m:r>
                <w:rPr>
                  <w:rFonts w:ascii="Cambria Math" w:hAnsi="Cambria Math" w:cstheme="minorHAnsi"/>
                  <w:sz w:val="22"/>
                  <w:szCs w:val="22"/>
                </w:rPr>
                <m:t>(</m:t>
              </m:r>
              <m:sSub>
                <m:sSubPr>
                  <m:ctrlPr>
                    <w:rPr>
                      <w:rFonts w:ascii="Cambria Math" w:hAnsi="Cambria Math" w:cstheme="minorHAnsi"/>
                      <w:i/>
                      <w:sz w:val="22"/>
                      <w:szCs w:val="22"/>
                    </w:rPr>
                  </m:ctrlPr>
                </m:sSubPr>
                <m:e>
                  <m:r>
                    <w:rPr>
                      <w:rFonts w:ascii="Cambria Math" w:hAnsi="Cambria Math" w:cstheme="minorHAnsi"/>
                      <w:sz w:val="22"/>
                      <w:szCs w:val="22"/>
                    </w:rPr>
                    <m:t>V</m:t>
                  </m:r>
                </m:e>
                <m:sub>
                  <m:r>
                    <w:rPr>
                      <w:rFonts w:ascii="Cambria Math" w:hAnsi="Cambria Math" w:cstheme="minorHAnsi"/>
                      <w:sz w:val="22"/>
                      <w:szCs w:val="22"/>
                    </w:rPr>
                    <m:t>факт.акт.</m:t>
                  </m:r>
                  <m:r>
                    <w:rPr>
                      <w:rFonts w:ascii="Cambria Math" w:hAnsi="Cambria Math" w:cstheme="minorHAnsi"/>
                      <w:sz w:val="22"/>
                      <w:szCs w:val="22"/>
                      <w:lang w:val="en-US"/>
                    </w:rPr>
                    <m:t>i</m:t>
                  </m:r>
                </m:sub>
              </m:sSub>
              <m:r>
                <w:rPr>
                  <w:rFonts w:ascii="Cambria Math" w:hAnsi="Cambria Math" w:cstheme="minorHAnsi"/>
                  <w:sz w:val="22"/>
                  <w:szCs w:val="22"/>
                </w:rPr>
                <m:t xml:space="preserve">; </m:t>
              </m:r>
              <m:sSubSup>
                <m:sSubSupPr>
                  <m:ctrlPr>
                    <w:rPr>
                      <w:rFonts w:ascii="Cambria Math" w:hAnsi="Cambria Math" w:cstheme="minorHAnsi"/>
                      <w:i/>
                      <w:sz w:val="22"/>
                      <w:szCs w:val="22"/>
                    </w:rPr>
                  </m:ctrlPr>
                </m:sSubSupPr>
                <m:e>
                  <m:r>
                    <w:rPr>
                      <w:rFonts w:ascii="Cambria Math" w:hAnsi="Cambria Math" w:cstheme="minorHAnsi"/>
                      <w:sz w:val="22"/>
                      <w:szCs w:val="22"/>
                      <w:lang w:val="en-US"/>
                    </w:rPr>
                    <m:t>V</m:t>
                  </m:r>
                </m:e>
                <m:sub>
                  <m:r>
                    <w:rPr>
                      <w:rFonts w:ascii="Cambria Math" w:hAnsi="Cambria Math" w:cstheme="minorHAnsi"/>
                      <w:sz w:val="22"/>
                      <w:szCs w:val="22"/>
                    </w:rPr>
                    <m:t>ген.ти.</m:t>
                  </m:r>
                  <m:r>
                    <w:rPr>
                      <w:rFonts w:ascii="Cambria Math" w:hAnsi="Cambria Math" w:cstheme="minorHAnsi"/>
                      <w:sz w:val="22"/>
                      <w:szCs w:val="22"/>
                      <w:lang w:val="en-US"/>
                    </w:rPr>
                    <m:t>i</m:t>
                  </m:r>
                </m:sub>
                <m:sup>
                  <m:r>
                    <w:rPr>
                      <w:rFonts w:ascii="Cambria Math" w:hAnsi="Cambria Math" w:cstheme="minorHAnsi"/>
                      <w:sz w:val="22"/>
                      <w:szCs w:val="22"/>
                    </w:rPr>
                    <m:t>СО</m:t>
                  </m:r>
                </m:sup>
              </m:sSubSup>
              <m:r>
                <w:rPr>
                  <w:rFonts w:ascii="Cambria Math" w:hAnsi="Cambria Math" w:cstheme="minorHAnsi"/>
                  <w:sz w:val="22"/>
                  <w:szCs w:val="22"/>
                </w:rPr>
                <m:t>)</m:t>
              </m:r>
            </m:oMath>
            <w:r w:rsidR="00295C6D" w:rsidRPr="00A5626D">
              <w:rPr>
                <w:rFonts w:ascii="Garamond" w:hAnsi="Garamond" w:cstheme="minorHAnsi"/>
                <w:i/>
                <w:sz w:val="22"/>
                <w:szCs w:val="22"/>
              </w:rPr>
              <w:t>,</w:t>
            </w:r>
          </w:p>
          <w:p w14:paraId="7319B1B8" w14:textId="4B338E26" w:rsidR="00295C6D" w:rsidRPr="00A5626D" w:rsidRDefault="00295C6D" w:rsidP="00647FA0">
            <w:pPr>
              <w:shd w:val="clear" w:color="auto" w:fill="FFFFFF"/>
              <w:tabs>
                <w:tab w:val="left" w:pos="1134"/>
                <w:tab w:val="left" w:pos="7938"/>
              </w:tabs>
              <w:spacing w:before="120" w:after="120" w:line="22" w:lineRule="atLeast"/>
              <w:ind w:firstLine="629"/>
              <w:jc w:val="both"/>
              <w:rPr>
                <w:rFonts w:ascii="Garamond" w:hAnsi="Garamond" w:cstheme="minorHAnsi"/>
                <w:sz w:val="22"/>
                <w:szCs w:val="22"/>
              </w:rPr>
            </w:pPr>
            <w:r w:rsidRPr="00A5626D">
              <w:rPr>
                <w:rFonts w:ascii="Garamond" w:hAnsi="Garamond" w:cstheme="minorHAnsi"/>
                <w:sz w:val="22"/>
                <w:szCs w:val="22"/>
              </w:rPr>
              <w:t xml:space="preserve">где </w:t>
            </w:r>
            <m:oMath>
              <m:sSub>
                <m:sSubPr>
                  <m:ctrlPr>
                    <w:rPr>
                      <w:rFonts w:ascii="Cambria Math" w:hAnsi="Cambria Math" w:cstheme="minorHAnsi"/>
                      <w:i/>
                      <w:sz w:val="22"/>
                      <w:szCs w:val="22"/>
                    </w:rPr>
                  </m:ctrlPr>
                </m:sSubPr>
                <m:e>
                  <m:r>
                    <w:rPr>
                      <w:rFonts w:ascii="Cambria Math" w:hAnsi="Cambria Math" w:cstheme="minorHAnsi"/>
                      <w:sz w:val="22"/>
                      <w:szCs w:val="22"/>
                    </w:rPr>
                    <m:t>V</m:t>
                  </m:r>
                </m:e>
                <m:sub>
                  <m:r>
                    <w:rPr>
                      <w:rFonts w:ascii="Cambria Math" w:hAnsi="Cambria Math" w:cstheme="minorHAnsi"/>
                      <w:sz w:val="22"/>
                      <w:szCs w:val="22"/>
                    </w:rPr>
                    <m:t>ген.змр.</m:t>
                  </m:r>
                  <m:r>
                    <w:rPr>
                      <w:rFonts w:ascii="Cambria Math" w:hAnsi="Cambria Math" w:cstheme="minorHAnsi"/>
                      <w:sz w:val="22"/>
                      <w:szCs w:val="22"/>
                      <w:lang w:val="en-US"/>
                    </w:rPr>
                    <m:t>i</m:t>
                  </m:r>
                </m:sub>
              </m:sSub>
              <m:r>
                <w:rPr>
                  <w:rFonts w:ascii="Cambria Math" w:hAnsi="Cambria Math" w:cstheme="minorHAnsi"/>
                  <w:sz w:val="22"/>
                  <w:szCs w:val="22"/>
                </w:rPr>
                <m:t xml:space="preserve"> </m:t>
              </m:r>
            </m:oMath>
            <w:r w:rsidRPr="00A5626D">
              <w:rPr>
                <w:rFonts w:ascii="Garamond" w:hAnsi="Garamond" w:cstheme="minorHAnsi"/>
                <w:sz w:val="22"/>
                <w:szCs w:val="22"/>
              </w:rPr>
              <w:t xml:space="preserve">– значение учетного показателя в ГТП генерации для часа </w:t>
            </w:r>
            <w:r w:rsidRPr="00A5626D">
              <w:rPr>
                <w:rFonts w:ascii="Garamond" w:hAnsi="Garamond" w:cstheme="minorHAnsi"/>
                <w:i/>
                <w:sz w:val="22"/>
                <w:szCs w:val="22"/>
                <w:lang w:val="en-US"/>
              </w:rPr>
              <w:t>i</w:t>
            </w:r>
            <w:r w:rsidRPr="00A5626D">
              <w:rPr>
                <w:rFonts w:ascii="Garamond" w:hAnsi="Garamond" w:cstheme="minorHAnsi"/>
                <w:sz w:val="22"/>
                <w:szCs w:val="22"/>
              </w:rPr>
              <w:t>, рассчитанное КО с применением замещающих методов расчета, кВт·ч;</w:t>
            </w:r>
          </w:p>
          <w:p w14:paraId="03D2C228" w14:textId="295574CC" w:rsidR="00295C6D" w:rsidRPr="00A5626D" w:rsidRDefault="008800D7" w:rsidP="00647FA0">
            <w:pPr>
              <w:tabs>
                <w:tab w:val="left" w:pos="1134"/>
                <w:tab w:val="left" w:pos="1200"/>
                <w:tab w:val="left" w:pos="7938"/>
              </w:tabs>
              <w:spacing w:before="120" w:after="120" w:line="22" w:lineRule="atLeast"/>
              <w:ind w:firstLine="629"/>
              <w:jc w:val="both"/>
              <w:rPr>
                <w:rFonts w:ascii="Garamond" w:hAnsi="Garamond" w:cstheme="minorHAnsi"/>
                <w:sz w:val="22"/>
                <w:szCs w:val="22"/>
              </w:rPr>
            </w:pPr>
            <m:oMath>
              <m:sSub>
                <m:sSubPr>
                  <m:ctrlPr>
                    <w:rPr>
                      <w:rFonts w:ascii="Cambria Math" w:hAnsi="Cambria Math" w:cstheme="minorHAnsi"/>
                      <w:i/>
                      <w:sz w:val="22"/>
                      <w:szCs w:val="22"/>
                    </w:rPr>
                  </m:ctrlPr>
                </m:sSubPr>
                <m:e>
                  <m:r>
                    <w:rPr>
                      <w:rFonts w:ascii="Cambria Math" w:hAnsi="Cambria Math" w:cstheme="minorHAnsi"/>
                      <w:sz w:val="22"/>
                      <w:szCs w:val="22"/>
                    </w:rPr>
                    <m:t>V</m:t>
                  </m:r>
                </m:e>
                <m:sub>
                  <m:r>
                    <w:rPr>
                      <w:rFonts w:ascii="Cambria Math" w:hAnsi="Cambria Math" w:cstheme="minorHAnsi"/>
                      <w:sz w:val="22"/>
                      <w:szCs w:val="22"/>
                    </w:rPr>
                    <m:t>факт.акт.</m:t>
                  </m:r>
                  <m:r>
                    <w:rPr>
                      <w:rFonts w:ascii="Cambria Math" w:hAnsi="Cambria Math" w:cstheme="minorHAnsi"/>
                      <w:sz w:val="22"/>
                      <w:szCs w:val="22"/>
                      <w:lang w:val="en-US"/>
                    </w:rPr>
                    <m:t>i</m:t>
                  </m:r>
                </m:sub>
              </m:sSub>
            </m:oMath>
            <w:r w:rsidR="00295C6D" w:rsidRPr="00A5626D">
              <w:rPr>
                <w:rFonts w:ascii="Garamond" w:hAnsi="Garamond" w:cstheme="minorHAnsi"/>
                <w:sz w:val="22"/>
                <w:szCs w:val="22"/>
              </w:rPr>
              <w:t xml:space="preserve"> – значение учетного показателя в ГТП генерации для часа </w:t>
            </w:r>
            <w:r w:rsidR="00295C6D" w:rsidRPr="00A5626D">
              <w:rPr>
                <w:rFonts w:ascii="Garamond" w:hAnsi="Garamond" w:cstheme="minorHAnsi"/>
                <w:i/>
                <w:sz w:val="22"/>
                <w:szCs w:val="22"/>
                <w:lang w:val="en-US"/>
              </w:rPr>
              <w:t>i</w:t>
            </w:r>
            <w:r w:rsidR="00295C6D" w:rsidRPr="00A5626D">
              <w:rPr>
                <w:rFonts w:ascii="Garamond" w:hAnsi="Garamond" w:cstheme="minorHAnsi"/>
                <w:sz w:val="22"/>
                <w:szCs w:val="22"/>
              </w:rPr>
              <w:t>, содержащееся в акте учета (оборота) по ГТП генерации (макет 51020), кВт·ч;</w:t>
            </w:r>
          </w:p>
          <w:p w14:paraId="5479982B" w14:textId="6058559F" w:rsidR="00295C6D" w:rsidRPr="00A5626D" w:rsidRDefault="008800D7" w:rsidP="00647FA0">
            <w:pPr>
              <w:tabs>
                <w:tab w:val="left" w:pos="1134"/>
                <w:tab w:val="left" w:pos="1200"/>
                <w:tab w:val="left" w:pos="7938"/>
              </w:tabs>
              <w:spacing w:before="120" w:after="120" w:line="22" w:lineRule="atLeast"/>
              <w:ind w:firstLine="629"/>
              <w:jc w:val="both"/>
              <w:rPr>
                <w:rFonts w:ascii="Garamond" w:hAnsi="Garamond" w:cstheme="minorHAnsi"/>
                <w:sz w:val="22"/>
                <w:szCs w:val="22"/>
              </w:rPr>
            </w:pPr>
            <m:oMath>
              <m:sSubSup>
                <m:sSubSupPr>
                  <m:ctrlPr>
                    <w:rPr>
                      <w:rFonts w:ascii="Cambria Math" w:hAnsi="Cambria Math" w:cstheme="minorHAnsi"/>
                      <w:i/>
                      <w:sz w:val="22"/>
                      <w:szCs w:val="22"/>
                    </w:rPr>
                  </m:ctrlPr>
                </m:sSubSupPr>
                <m:e>
                  <m:r>
                    <w:rPr>
                      <w:rFonts w:ascii="Cambria Math" w:hAnsi="Cambria Math" w:cstheme="minorHAnsi"/>
                      <w:sz w:val="22"/>
                      <w:szCs w:val="22"/>
                      <w:lang w:val="en-US"/>
                    </w:rPr>
                    <m:t>V</m:t>
                  </m:r>
                </m:e>
                <m:sub>
                  <m:r>
                    <w:rPr>
                      <w:rFonts w:ascii="Cambria Math" w:hAnsi="Cambria Math" w:cstheme="minorHAnsi"/>
                      <w:sz w:val="22"/>
                      <w:szCs w:val="22"/>
                    </w:rPr>
                    <m:t>ген.ти.</m:t>
                  </m:r>
                  <m:r>
                    <w:rPr>
                      <w:rFonts w:ascii="Cambria Math" w:hAnsi="Cambria Math" w:cstheme="minorHAnsi"/>
                      <w:sz w:val="22"/>
                      <w:szCs w:val="22"/>
                      <w:lang w:val="en-US"/>
                    </w:rPr>
                    <m:t>i</m:t>
                  </m:r>
                </m:sub>
                <m:sup>
                  <m:r>
                    <w:rPr>
                      <w:rFonts w:ascii="Cambria Math" w:hAnsi="Cambria Math" w:cstheme="minorHAnsi"/>
                      <w:sz w:val="22"/>
                      <w:szCs w:val="22"/>
                    </w:rPr>
                    <m:t>СО</m:t>
                  </m:r>
                </m:sup>
              </m:sSubSup>
            </m:oMath>
            <w:r w:rsidR="00295C6D" w:rsidRPr="00A5626D">
              <w:rPr>
                <w:rFonts w:ascii="Garamond" w:hAnsi="Garamond" w:cstheme="minorHAnsi"/>
                <w:sz w:val="22"/>
                <w:szCs w:val="22"/>
              </w:rPr>
              <w:t xml:space="preserve"> – величина оперативных данных для часа </w:t>
            </w:r>
            <w:r w:rsidR="00295C6D" w:rsidRPr="00A5626D">
              <w:rPr>
                <w:rFonts w:ascii="Garamond" w:hAnsi="Garamond" w:cstheme="minorHAnsi"/>
                <w:i/>
                <w:sz w:val="22"/>
                <w:szCs w:val="22"/>
                <w:lang w:val="en-US"/>
              </w:rPr>
              <w:t>i</w:t>
            </w:r>
            <w:r w:rsidR="00295C6D" w:rsidRPr="00A5626D">
              <w:rPr>
                <w:rFonts w:ascii="Garamond" w:hAnsi="Garamond" w:cstheme="minorHAnsi"/>
                <w:sz w:val="22"/>
                <w:szCs w:val="22"/>
              </w:rPr>
              <w:t>, полученных от СО и сформированных на основе телеинформации, кВт·ч.</w:t>
            </w:r>
          </w:p>
          <w:p w14:paraId="3D8A2B0E" w14:textId="77777777" w:rsidR="00295C6D" w:rsidRPr="00A5626D" w:rsidRDefault="00295C6D" w:rsidP="00647FA0">
            <w:pPr>
              <w:shd w:val="clear" w:color="auto" w:fill="FFFFFF"/>
              <w:tabs>
                <w:tab w:val="left" w:pos="1134"/>
                <w:tab w:val="left" w:pos="7938"/>
              </w:tabs>
              <w:spacing w:before="120" w:after="120" w:line="22" w:lineRule="atLeast"/>
              <w:ind w:firstLine="629"/>
              <w:jc w:val="both"/>
              <w:rPr>
                <w:rFonts w:ascii="Garamond" w:hAnsi="Garamond" w:cstheme="minorHAnsi"/>
                <w:sz w:val="22"/>
                <w:szCs w:val="22"/>
              </w:rPr>
            </w:pPr>
            <w:r w:rsidRPr="00A5626D">
              <w:rPr>
                <w:rFonts w:ascii="Garamond" w:hAnsi="Garamond" w:cstheme="minorHAnsi"/>
                <w:sz w:val="22"/>
                <w:szCs w:val="22"/>
              </w:rPr>
              <w:t>Для целей настоящего Регламента величина расхождений определяется в виде абсолютных величин с применением округления до трех знаков после запятой.</w:t>
            </w:r>
          </w:p>
          <w:p w14:paraId="78A2948B" w14:textId="77777777" w:rsidR="00295C6D" w:rsidRPr="00A5626D" w:rsidRDefault="00295C6D" w:rsidP="00647FA0">
            <w:pPr>
              <w:pStyle w:val="3"/>
              <w:keepNext w:val="0"/>
              <w:numPr>
                <w:ilvl w:val="2"/>
                <w:numId w:val="263"/>
              </w:numPr>
              <w:tabs>
                <w:tab w:val="left" w:pos="1134"/>
                <w:tab w:val="left" w:pos="7938"/>
              </w:tabs>
              <w:suppressAutoHyphens w:val="0"/>
              <w:spacing w:before="120" w:after="120" w:line="22" w:lineRule="atLeast"/>
              <w:ind w:left="0" w:firstLine="629"/>
              <w:jc w:val="both"/>
              <w:rPr>
                <w:rFonts w:ascii="Garamond" w:hAnsi="Garamond" w:cstheme="minorHAnsi"/>
                <w:b w:val="0"/>
                <w:color w:val="auto"/>
                <w:sz w:val="22"/>
                <w:szCs w:val="22"/>
              </w:rPr>
            </w:pPr>
            <w:bookmarkStart w:id="127" w:name="_Toc139239969"/>
            <w:r w:rsidRPr="00A5626D">
              <w:rPr>
                <w:rFonts w:ascii="Garamond" w:hAnsi="Garamond" w:cstheme="minorHAnsi"/>
                <w:b w:val="0"/>
                <w:color w:val="auto"/>
                <w:sz w:val="22"/>
                <w:szCs w:val="22"/>
              </w:rPr>
              <w:t>В случае если для соответствующего часа отчетного месяца выполняются нижеперечисленные условия:</w:t>
            </w:r>
            <w:bookmarkEnd w:id="127"/>
          </w:p>
          <w:p w14:paraId="10299E3F" w14:textId="77777777" w:rsidR="00295C6D" w:rsidRPr="00A5626D" w:rsidRDefault="00295C6D" w:rsidP="00647FA0">
            <w:pPr>
              <w:pStyle w:val="a8"/>
              <w:numPr>
                <w:ilvl w:val="0"/>
                <w:numId w:val="259"/>
              </w:numPr>
              <w:tabs>
                <w:tab w:val="clear" w:pos="8100"/>
                <w:tab w:val="left" w:pos="960"/>
                <w:tab w:val="left" w:pos="1134"/>
                <w:tab w:val="left" w:pos="7938"/>
              </w:tabs>
              <w:suppressAutoHyphens w:val="0"/>
              <w:autoSpaceDE w:val="0"/>
              <w:autoSpaceDN w:val="0"/>
              <w:spacing w:before="120" w:after="120" w:line="22" w:lineRule="atLeast"/>
              <w:ind w:left="0" w:firstLine="629"/>
              <w:rPr>
                <w:rFonts w:ascii="Garamond" w:hAnsi="Garamond" w:cstheme="minorHAnsi"/>
                <w:sz w:val="22"/>
                <w:szCs w:val="22"/>
              </w:rPr>
            </w:pPr>
            <w:r w:rsidRPr="00A5626D">
              <w:rPr>
                <w:rFonts w:ascii="Garamond" w:hAnsi="Garamond" w:cstheme="minorHAnsi"/>
                <w:sz w:val="22"/>
                <w:szCs w:val="22"/>
              </w:rPr>
              <w:t>отсутствует направленный участником оптового рынка и принятый КО к расчетам корректирующий акт учета (оборота) по ГТП генерации (макет 51075);</w:t>
            </w:r>
          </w:p>
          <w:p w14:paraId="27A89335" w14:textId="77777777" w:rsidR="00295C6D" w:rsidRPr="00A5626D" w:rsidRDefault="00295C6D" w:rsidP="00647FA0">
            <w:pPr>
              <w:pStyle w:val="a8"/>
              <w:numPr>
                <w:ilvl w:val="0"/>
                <w:numId w:val="259"/>
              </w:numPr>
              <w:tabs>
                <w:tab w:val="clear" w:pos="8100"/>
                <w:tab w:val="left" w:pos="960"/>
                <w:tab w:val="left" w:pos="1134"/>
                <w:tab w:val="left" w:pos="7938"/>
              </w:tabs>
              <w:suppressAutoHyphens w:val="0"/>
              <w:autoSpaceDE w:val="0"/>
              <w:autoSpaceDN w:val="0"/>
              <w:spacing w:before="120" w:after="120" w:line="22" w:lineRule="atLeast"/>
              <w:ind w:left="0" w:firstLine="629"/>
              <w:rPr>
                <w:rFonts w:ascii="Garamond" w:hAnsi="Garamond" w:cstheme="minorHAnsi"/>
                <w:sz w:val="22"/>
                <w:szCs w:val="22"/>
              </w:rPr>
            </w:pPr>
            <w:r w:rsidRPr="00A5626D">
              <w:rPr>
                <w:rFonts w:ascii="Garamond" w:hAnsi="Garamond" w:cstheme="minorHAnsi"/>
                <w:sz w:val="22"/>
                <w:szCs w:val="22"/>
              </w:rPr>
              <w:t xml:space="preserve">на официальном сайте КО в разделе «Данные АИИС» отсутствует сформированный в соответствии с п. </w:t>
            </w:r>
            <w:r w:rsidRPr="00A5626D">
              <w:rPr>
                <w:rFonts w:ascii="Garamond" w:hAnsi="Garamond" w:cstheme="minorHAnsi"/>
                <w:sz w:val="22"/>
                <w:szCs w:val="22"/>
                <w:highlight w:val="yellow"/>
              </w:rPr>
              <w:t>3.9</w:t>
            </w:r>
            <w:r w:rsidRPr="00A5626D">
              <w:rPr>
                <w:rFonts w:ascii="Garamond" w:hAnsi="Garamond" w:cstheme="minorHAnsi"/>
                <w:sz w:val="22"/>
                <w:szCs w:val="22"/>
              </w:rPr>
              <w:t xml:space="preserve"> настоящего Регламента акт учета (оборота) по ГТП генерации (макет 51020);</w:t>
            </w:r>
          </w:p>
          <w:p w14:paraId="09241433" w14:textId="77777777" w:rsidR="00295C6D" w:rsidRPr="00A5626D" w:rsidRDefault="00295C6D" w:rsidP="00647FA0">
            <w:pPr>
              <w:pStyle w:val="a8"/>
              <w:numPr>
                <w:ilvl w:val="0"/>
                <w:numId w:val="259"/>
              </w:numPr>
              <w:tabs>
                <w:tab w:val="clear" w:pos="8100"/>
                <w:tab w:val="left" w:pos="960"/>
                <w:tab w:val="left" w:pos="1134"/>
                <w:tab w:val="left" w:pos="7938"/>
              </w:tabs>
              <w:suppressAutoHyphens w:val="0"/>
              <w:autoSpaceDE w:val="0"/>
              <w:autoSpaceDN w:val="0"/>
              <w:spacing w:before="120" w:after="120" w:line="22" w:lineRule="atLeast"/>
              <w:ind w:left="0" w:firstLine="629"/>
              <w:rPr>
                <w:rFonts w:ascii="Garamond" w:hAnsi="Garamond" w:cstheme="minorHAnsi"/>
                <w:sz w:val="22"/>
                <w:szCs w:val="22"/>
              </w:rPr>
            </w:pPr>
            <w:r w:rsidRPr="00A5626D">
              <w:rPr>
                <w:rFonts w:ascii="Garamond" w:hAnsi="Garamond" w:cstheme="minorHAnsi"/>
                <w:sz w:val="22"/>
                <w:szCs w:val="22"/>
              </w:rPr>
              <w:t>от СО в соответствии с п. 4.3 настоящего Регламента получены оперативные данные, сформированные на основе телеинформации, –</w:t>
            </w:r>
          </w:p>
          <w:p w14:paraId="4827A7FE" w14:textId="77777777" w:rsidR="00295C6D" w:rsidRPr="00A5626D" w:rsidRDefault="00295C6D" w:rsidP="00647FA0">
            <w:pPr>
              <w:shd w:val="clear" w:color="auto" w:fill="FFFFFF"/>
              <w:tabs>
                <w:tab w:val="left" w:pos="1134"/>
                <w:tab w:val="left" w:pos="7938"/>
              </w:tabs>
              <w:spacing w:before="120" w:after="120" w:line="22" w:lineRule="atLeast"/>
              <w:ind w:firstLine="629"/>
              <w:jc w:val="both"/>
              <w:rPr>
                <w:rFonts w:ascii="Garamond" w:hAnsi="Garamond" w:cstheme="minorHAnsi"/>
                <w:sz w:val="22"/>
                <w:szCs w:val="22"/>
              </w:rPr>
            </w:pPr>
            <w:r w:rsidRPr="00A5626D">
              <w:rPr>
                <w:rFonts w:ascii="Garamond" w:hAnsi="Garamond" w:cstheme="minorHAnsi"/>
                <w:sz w:val="22"/>
                <w:szCs w:val="22"/>
              </w:rPr>
              <w:t>значение учетного показателя в ГТП генерации для вышеуказанного часа отчетного месяца равно:</w:t>
            </w:r>
          </w:p>
          <w:p w14:paraId="34648F58" w14:textId="25AE3D25" w:rsidR="00295C6D" w:rsidRPr="00A5626D" w:rsidRDefault="008800D7" w:rsidP="00647FA0">
            <w:pPr>
              <w:shd w:val="clear" w:color="auto" w:fill="FFFFFF"/>
              <w:tabs>
                <w:tab w:val="left" w:pos="1134"/>
                <w:tab w:val="left" w:pos="7938"/>
              </w:tabs>
              <w:spacing w:before="120" w:after="120" w:line="22" w:lineRule="atLeast"/>
              <w:ind w:firstLine="629"/>
              <w:jc w:val="both"/>
              <w:rPr>
                <w:rFonts w:ascii="Garamond" w:hAnsi="Garamond" w:cstheme="minorHAnsi"/>
                <w:sz w:val="22"/>
                <w:szCs w:val="22"/>
              </w:rPr>
            </w:pPr>
            <m:oMath>
              <m:sSub>
                <m:sSubPr>
                  <m:ctrlPr>
                    <w:rPr>
                      <w:rFonts w:ascii="Cambria Math" w:hAnsi="Cambria Math" w:cstheme="minorHAnsi"/>
                      <w:i/>
                      <w:sz w:val="22"/>
                      <w:szCs w:val="22"/>
                    </w:rPr>
                  </m:ctrlPr>
                </m:sSubPr>
                <m:e>
                  <m:r>
                    <w:rPr>
                      <w:rFonts w:ascii="Cambria Math" w:hAnsi="Cambria Math" w:cstheme="minorHAnsi"/>
                      <w:sz w:val="22"/>
                      <w:szCs w:val="22"/>
                    </w:rPr>
                    <m:t>V</m:t>
                  </m:r>
                </m:e>
                <m:sub>
                  <m:r>
                    <w:rPr>
                      <w:rFonts w:ascii="Cambria Math" w:hAnsi="Cambria Math" w:cstheme="minorHAnsi"/>
                      <w:sz w:val="22"/>
                      <w:szCs w:val="22"/>
                    </w:rPr>
                    <m:t>ген.змр.</m:t>
                  </m:r>
                  <m:r>
                    <w:rPr>
                      <w:rFonts w:ascii="Cambria Math" w:hAnsi="Cambria Math" w:cstheme="minorHAnsi"/>
                      <w:sz w:val="22"/>
                      <w:szCs w:val="22"/>
                      <w:lang w:val="en-US"/>
                    </w:rPr>
                    <m:t>i</m:t>
                  </m:r>
                </m:sub>
              </m:sSub>
              <m:r>
                <w:rPr>
                  <w:rFonts w:ascii="Cambria Math" w:hAnsi="Cambria Math" w:cstheme="minorHAnsi"/>
                  <w:sz w:val="22"/>
                  <w:szCs w:val="22"/>
                </w:rPr>
                <m:t>=</m:t>
              </m:r>
            </m:oMath>
            <w:r w:rsidR="00295C6D" w:rsidRPr="00A5626D">
              <w:rPr>
                <w:rFonts w:ascii="Garamond" w:hAnsi="Garamond" w:cstheme="minorHAnsi"/>
                <w:sz w:val="22"/>
                <w:szCs w:val="22"/>
              </w:rPr>
              <w:t xml:space="preserve"> </w:t>
            </w:r>
            <m:oMath>
              <m:sSubSup>
                <m:sSubSupPr>
                  <m:ctrlPr>
                    <w:rPr>
                      <w:rFonts w:ascii="Cambria Math" w:hAnsi="Cambria Math" w:cstheme="minorHAnsi"/>
                      <w:i/>
                      <w:sz w:val="22"/>
                      <w:szCs w:val="22"/>
                    </w:rPr>
                  </m:ctrlPr>
                </m:sSubSupPr>
                <m:e>
                  <m:r>
                    <w:rPr>
                      <w:rFonts w:ascii="Cambria Math" w:hAnsi="Cambria Math" w:cstheme="minorHAnsi"/>
                      <w:sz w:val="22"/>
                      <w:szCs w:val="22"/>
                      <w:lang w:val="en-US"/>
                    </w:rPr>
                    <m:t>V</m:t>
                  </m:r>
                </m:e>
                <m:sub>
                  <m:r>
                    <w:rPr>
                      <w:rFonts w:ascii="Cambria Math" w:hAnsi="Cambria Math" w:cstheme="minorHAnsi"/>
                      <w:sz w:val="22"/>
                      <w:szCs w:val="22"/>
                    </w:rPr>
                    <m:t>ген.ти.</m:t>
                  </m:r>
                  <m:r>
                    <w:rPr>
                      <w:rFonts w:ascii="Cambria Math" w:hAnsi="Cambria Math" w:cstheme="minorHAnsi"/>
                      <w:sz w:val="22"/>
                      <w:szCs w:val="22"/>
                      <w:lang w:val="en-US"/>
                    </w:rPr>
                    <m:t>i</m:t>
                  </m:r>
                </m:sub>
                <m:sup>
                  <m:r>
                    <w:rPr>
                      <w:rFonts w:ascii="Cambria Math" w:hAnsi="Cambria Math" w:cstheme="minorHAnsi"/>
                      <w:sz w:val="22"/>
                      <w:szCs w:val="22"/>
                    </w:rPr>
                    <m:t>СО</m:t>
                  </m:r>
                </m:sup>
              </m:sSubSup>
            </m:oMath>
            <w:r w:rsidR="00295C6D" w:rsidRPr="00A5626D">
              <w:rPr>
                <w:rFonts w:ascii="Garamond" w:hAnsi="Garamond" w:cstheme="minorHAnsi"/>
                <w:sz w:val="22"/>
                <w:szCs w:val="22"/>
              </w:rPr>
              <w:t>.</w:t>
            </w:r>
          </w:p>
          <w:p w14:paraId="4D353542" w14:textId="77777777" w:rsidR="00295C6D" w:rsidRPr="00A5626D" w:rsidRDefault="00295C6D" w:rsidP="00647FA0">
            <w:pPr>
              <w:pStyle w:val="3"/>
              <w:keepNext w:val="0"/>
              <w:numPr>
                <w:ilvl w:val="2"/>
                <w:numId w:val="263"/>
              </w:numPr>
              <w:tabs>
                <w:tab w:val="left" w:pos="1134"/>
                <w:tab w:val="left" w:pos="7938"/>
              </w:tabs>
              <w:suppressAutoHyphens w:val="0"/>
              <w:spacing w:before="120" w:after="120" w:line="22" w:lineRule="atLeast"/>
              <w:ind w:left="0" w:firstLine="629"/>
              <w:jc w:val="both"/>
              <w:rPr>
                <w:rFonts w:ascii="Garamond" w:hAnsi="Garamond" w:cstheme="minorHAnsi"/>
                <w:b w:val="0"/>
                <w:color w:val="auto"/>
                <w:sz w:val="22"/>
                <w:szCs w:val="22"/>
              </w:rPr>
            </w:pPr>
            <w:bookmarkStart w:id="128" w:name="_Toc139239970"/>
            <w:r w:rsidRPr="00A5626D">
              <w:rPr>
                <w:rFonts w:ascii="Garamond" w:hAnsi="Garamond" w:cstheme="minorHAnsi"/>
                <w:b w:val="0"/>
                <w:color w:val="auto"/>
                <w:sz w:val="22"/>
                <w:szCs w:val="22"/>
              </w:rPr>
              <w:lastRenderedPageBreak/>
              <w:t>В случае если для соответствующего часа отчетного месяца выполняются нижеперечисленные условия:</w:t>
            </w:r>
            <w:bookmarkEnd w:id="128"/>
          </w:p>
          <w:p w14:paraId="0D49021E" w14:textId="77777777" w:rsidR="00295C6D" w:rsidRPr="00A5626D" w:rsidRDefault="00295C6D" w:rsidP="00647FA0">
            <w:pPr>
              <w:pStyle w:val="a8"/>
              <w:numPr>
                <w:ilvl w:val="0"/>
                <w:numId w:val="259"/>
              </w:numPr>
              <w:tabs>
                <w:tab w:val="clear" w:pos="8100"/>
                <w:tab w:val="left" w:pos="960"/>
                <w:tab w:val="left" w:pos="1134"/>
                <w:tab w:val="left" w:pos="7938"/>
              </w:tabs>
              <w:suppressAutoHyphens w:val="0"/>
              <w:autoSpaceDE w:val="0"/>
              <w:autoSpaceDN w:val="0"/>
              <w:spacing w:before="120" w:after="120" w:line="22" w:lineRule="atLeast"/>
              <w:ind w:left="0" w:firstLine="629"/>
              <w:rPr>
                <w:rFonts w:ascii="Garamond" w:hAnsi="Garamond" w:cstheme="minorHAnsi"/>
                <w:sz w:val="22"/>
                <w:szCs w:val="22"/>
              </w:rPr>
            </w:pPr>
            <w:r w:rsidRPr="00A5626D">
              <w:rPr>
                <w:rFonts w:ascii="Garamond" w:hAnsi="Garamond" w:cstheme="minorHAnsi"/>
                <w:sz w:val="22"/>
                <w:szCs w:val="22"/>
              </w:rPr>
              <w:t>отсутствует направленный участником оптового рынка и принятый КО к расчетам корректирующий акт учета (оборота) по ГТП генерации (макет 51075);</w:t>
            </w:r>
          </w:p>
          <w:p w14:paraId="44E2E3E8" w14:textId="77777777" w:rsidR="00295C6D" w:rsidRPr="00A5626D" w:rsidRDefault="00295C6D" w:rsidP="00647FA0">
            <w:pPr>
              <w:pStyle w:val="a8"/>
              <w:numPr>
                <w:ilvl w:val="0"/>
                <w:numId w:val="259"/>
              </w:numPr>
              <w:tabs>
                <w:tab w:val="clear" w:pos="8100"/>
                <w:tab w:val="left" w:pos="960"/>
                <w:tab w:val="left" w:pos="1134"/>
                <w:tab w:val="left" w:pos="7938"/>
              </w:tabs>
              <w:suppressAutoHyphens w:val="0"/>
              <w:autoSpaceDE w:val="0"/>
              <w:autoSpaceDN w:val="0"/>
              <w:spacing w:before="120" w:after="120" w:line="22" w:lineRule="atLeast"/>
              <w:ind w:left="0" w:firstLine="629"/>
              <w:rPr>
                <w:rFonts w:ascii="Garamond" w:hAnsi="Garamond" w:cstheme="minorHAnsi"/>
                <w:sz w:val="22"/>
                <w:szCs w:val="22"/>
              </w:rPr>
            </w:pPr>
            <w:r w:rsidRPr="00A5626D">
              <w:rPr>
                <w:rFonts w:ascii="Garamond" w:hAnsi="Garamond" w:cstheme="minorHAnsi"/>
                <w:sz w:val="22"/>
                <w:szCs w:val="22"/>
              </w:rPr>
              <w:t xml:space="preserve">на официальном сайте КО в разделе «Данные АИИС» отсутствует сформированный в соответствии с п. </w:t>
            </w:r>
            <w:r w:rsidRPr="00A5626D">
              <w:rPr>
                <w:rFonts w:ascii="Garamond" w:hAnsi="Garamond" w:cstheme="minorHAnsi"/>
                <w:sz w:val="22"/>
                <w:szCs w:val="22"/>
                <w:highlight w:val="yellow"/>
              </w:rPr>
              <w:t>3.9</w:t>
            </w:r>
            <w:r w:rsidRPr="00A5626D">
              <w:rPr>
                <w:rFonts w:ascii="Garamond" w:hAnsi="Garamond" w:cstheme="minorHAnsi"/>
                <w:sz w:val="22"/>
                <w:szCs w:val="22"/>
              </w:rPr>
              <w:t xml:space="preserve"> настоящего Регламента акт учета (оборота) по ГТП генерации (макет 51020);</w:t>
            </w:r>
          </w:p>
          <w:p w14:paraId="4F4E1F29" w14:textId="77777777" w:rsidR="00295C6D" w:rsidRPr="00A5626D" w:rsidRDefault="00295C6D" w:rsidP="00647FA0">
            <w:pPr>
              <w:pStyle w:val="a8"/>
              <w:numPr>
                <w:ilvl w:val="0"/>
                <w:numId w:val="259"/>
              </w:numPr>
              <w:tabs>
                <w:tab w:val="clear" w:pos="8100"/>
                <w:tab w:val="left" w:pos="960"/>
                <w:tab w:val="left" w:pos="1134"/>
                <w:tab w:val="left" w:pos="7938"/>
              </w:tabs>
              <w:suppressAutoHyphens w:val="0"/>
              <w:autoSpaceDE w:val="0"/>
              <w:autoSpaceDN w:val="0"/>
              <w:spacing w:before="120" w:after="120" w:line="22" w:lineRule="atLeast"/>
              <w:ind w:left="0" w:firstLine="629"/>
              <w:rPr>
                <w:rFonts w:ascii="Garamond" w:hAnsi="Garamond" w:cstheme="minorHAnsi"/>
                <w:sz w:val="22"/>
                <w:szCs w:val="22"/>
              </w:rPr>
            </w:pPr>
            <w:r w:rsidRPr="00A5626D">
              <w:rPr>
                <w:rFonts w:ascii="Garamond" w:hAnsi="Garamond" w:cstheme="minorHAnsi"/>
                <w:sz w:val="22"/>
                <w:szCs w:val="22"/>
              </w:rPr>
              <w:t>от СО в соответствии с п. 4.3 настоящего Регламента получены данные, сформированные на основе уточненного диспетчерского графика (СО установлен признак недостоверности данных, сформированных на основании телеинформации), –</w:t>
            </w:r>
          </w:p>
          <w:p w14:paraId="030E469C" w14:textId="479E3574" w:rsidR="00295C6D" w:rsidRPr="00A5626D" w:rsidRDefault="00295C6D" w:rsidP="00647FA0">
            <w:pPr>
              <w:shd w:val="clear" w:color="auto" w:fill="FFFFFF"/>
              <w:tabs>
                <w:tab w:val="left" w:pos="1134"/>
                <w:tab w:val="left" w:pos="7938"/>
              </w:tabs>
              <w:spacing w:before="120" w:after="120" w:line="22" w:lineRule="atLeast"/>
              <w:ind w:firstLine="629"/>
              <w:jc w:val="both"/>
              <w:rPr>
                <w:rFonts w:ascii="Garamond" w:hAnsi="Garamond" w:cstheme="minorHAnsi"/>
                <w:sz w:val="22"/>
                <w:szCs w:val="22"/>
              </w:rPr>
            </w:pPr>
            <w:r w:rsidRPr="00A5626D">
              <w:rPr>
                <w:rFonts w:ascii="Garamond" w:hAnsi="Garamond" w:cstheme="minorHAnsi"/>
                <w:sz w:val="22"/>
                <w:szCs w:val="22"/>
              </w:rPr>
              <w:t>значение учетного показателя в ГТП генерации для вышеуказанного часа отчетного месяца равно:</w:t>
            </w:r>
            <w:r w:rsidR="009B5F03" w:rsidRPr="00A5626D">
              <w:rPr>
                <w:rFonts w:ascii="Garamond" w:hAnsi="Garamond" w:cstheme="minorHAnsi"/>
                <w:sz w:val="22"/>
                <w:szCs w:val="22"/>
              </w:rPr>
              <w:t xml:space="preserve"> </w:t>
            </w:r>
          </w:p>
          <w:p w14:paraId="55B77290" w14:textId="08417AA5" w:rsidR="00295C6D" w:rsidRPr="00A5626D" w:rsidRDefault="008800D7" w:rsidP="00647FA0">
            <w:pPr>
              <w:shd w:val="clear" w:color="auto" w:fill="FFFFFF"/>
              <w:tabs>
                <w:tab w:val="left" w:pos="1134"/>
                <w:tab w:val="left" w:pos="7938"/>
              </w:tabs>
              <w:spacing w:before="120" w:after="120" w:line="22" w:lineRule="atLeast"/>
              <w:ind w:firstLine="629"/>
              <w:jc w:val="both"/>
              <w:rPr>
                <w:rFonts w:ascii="Garamond" w:hAnsi="Garamond" w:cstheme="minorHAnsi"/>
                <w:sz w:val="22"/>
                <w:szCs w:val="22"/>
              </w:rPr>
            </w:pPr>
            <m:oMath>
              <m:sSub>
                <m:sSubPr>
                  <m:ctrlPr>
                    <w:rPr>
                      <w:rFonts w:ascii="Cambria Math" w:hAnsi="Cambria Math" w:cstheme="minorHAnsi"/>
                      <w:i/>
                      <w:sz w:val="22"/>
                      <w:szCs w:val="22"/>
                    </w:rPr>
                  </m:ctrlPr>
                </m:sSubPr>
                <m:e>
                  <m:r>
                    <w:rPr>
                      <w:rFonts w:ascii="Cambria Math" w:hAnsi="Cambria Math" w:cstheme="minorHAnsi"/>
                      <w:sz w:val="22"/>
                      <w:szCs w:val="22"/>
                    </w:rPr>
                    <m:t>V</m:t>
                  </m:r>
                </m:e>
                <m:sub>
                  <m:r>
                    <w:rPr>
                      <w:rFonts w:ascii="Cambria Math" w:hAnsi="Cambria Math" w:cstheme="minorHAnsi"/>
                      <w:sz w:val="22"/>
                      <w:szCs w:val="22"/>
                    </w:rPr>
                    <m:t>ген.змр.</m:t>
                  </m:r>
                  <m:r>
                    <w:rPr>
                      <w:rFonts w:ascii="Cambria Math" w:hAnsi="Cambria Math" w:cstheme="minorHAnsi"/>
                      <w:sz w:val="22"/>
                      <w:szCs w:val="22"/>
                      <w:lang w:val="en-US"/>
                    </w:rPr>
                    <m:t>i</m:t>
                  </m:r>
                </m:sub>
              </m:sSub>
              <m:r>
                <w:rPr>
                  <w:rFonts w:ascii="Cambria Math" w:hAnsi="Cambria Math" w:cstheme="minorHAnsi"/>
                  <w:sz w:val="22"/>
                  <w:szCs w:val="22"/>
                </w:rPr>
                <m:t>=</m:t>
              </m:r>
            </m:oMath>
            <w:r w:rsidR="00295C6D" w:rsidRPr="00A5626D">
              <w:rPr>
                <w:rFonts w:ascii="Garamond" w:hAnsi="Garamond" w:cstheme="minorHAnsi"/>
                <w:sz w:val="22"/>
                <w:szCs w:val="22"/>
              </w:rPr>
              <w:t xml:space="preserve"> </w:t>
            </w:r>
            <m:oMath>
              <m:sSubSup>
                <m:sSubSupPr>
                  <m:ctrlPr>
                    <w:rPr>
                      <w:rFonts w:ascii="Cambria Math" w:hAnsi="Cambria Math" w:cstheme="minorHAnsi"/>
                      <w:i/>
                      <w:sz w:val="22"/>
                      <w:szCs w:val="22"/>
                    </w:rPr>
                  </m:ctrlPr>
                </m:sSubSupPr>
                <m:e>
                  <m:r>
                    <w:rPr>
                      <w:rFonts w:ascii="Cambria Math" w:hAnsi="Cambria Math" w:cstheme="minorHAnsi"/>
                      <w:sz w:val="22"/>
                      <w:szCs w:val="22"/>
                      <w:lang w:val="en-US"/>
                    </w:rPr>
                    <m:t>V</m:t>
                  </m:r>
                </m:e>
                <m:sub>
                  <m:r>
                    <w:rPr>
                      <w:rFonts w:ascii="Cambria Math" w:hAnsi="Cambria Math" w:cstheme="minorHAnsi"/>
                      <w:sz w:val="22"/>
                      <w:szCs w:val="22"/>
                    </w:rPr>
                    <m:t>ген.удг.</m:t>
                  </m:r>
                  <m:r>
                    <w:rPr>
                      <w:rFonts w:ascii="Cambria Math" w:hAnsi="Cambria Math" w:cstheme="minorHAnsi"/>
                      <w:sz w:val="22"/>
                      <w:szCs w:val="22"/>
                      <w:lang w:val="en-US"/>
                    </w:rPr>
                    <m:t>i</m:t>
                  </m:r>
                </m:sub>
                <m:sup>
                  <m:r>
                    <w:rPr>
                      <w:rFonts w:ascii="Cambria Math" w:hAnsi="Cambria Math" w:cstheme="minorHAnsi"/>
                      <w:sz w:val="22"/>
                      <w:szCs w:val="22"/>
                    </w:rPr>
                    <m:t>СО</m:t>
                  </m:r>
                </m:sup>
              </m:sSubSup>
            </m:oMath>
            <w:r w:rsidR="00295C6D" w:rsidRPr="00A5626D">
              <w:rPr>
                <w:rFonts w:ascii="Garamond" w:hAnsi="Garamond" w:cstheme="minorHAnsi"/>
                <w:sz w:val="22"/>
                <w:szCs w:val="22"/>
              </w:rPr>
              <w:t>.</w:t>
            </w:r>
          </w:p>
          <w:p w14:paraId="71F781F8" w14:textId="42CA1E21" w:rsidR="00295C6D" w:rsidRPr="00A5626D" w:rsidRDefault="00295C6D" w:rsidP="00647FA0">
            <w:pPr>
              <w:shd w:val="clear" w:color="auto" w:fill="FFFFFF"/>
              <w:tabs>
                <w:tab w:val="left" w:pos="1134"/>
                <w:tab w:val="left" w:pos="7938"/>
              </w:tabs>
              <w:spacing w:before="120" w:after="120" w:line="22" w:lineRule="atLeast"/>
              <w:ind w:firstLine="629"/>
              <w:jc w:val="both"/>
              <w:rPr>
                <w:rFonts w:ascii="Garamond" w:hAnsi="Garamond" w:cstheme="minorHAnsi"/>
                <w:sz w:val="22"/>
                <w:szCs w:val="22"/>
              </w:rPr>
            </w:pPr>
            <w:r w:rsidRPr="00A5626D">
              <w:rPr>
                <w:rFonts w:ascii="Garamond" w:hAnsi="Garamond" w:cstheme="minorHAnsi"/>
                <w:sz w:val="22"/>
                <w:szCs w:val="22"/>
              </w:rPr>
              <w:t xml:space="preserve">где </w:t>
            </w:r>
            <m:oMath>
              <m:sSubSup>
                <m:sSubSupPr>
                  <m:ctrlPr>
                    <w:rPr>
                      <w:rFonts w:ascii="Cambria Math" w:hAnsi="Cambria Math" w:cstheme="minorHAnsi"/>
                      <w:i/>
                      <w:sz w:val="22"/>
                      <w:szCs w:val="22"/>
                    </w:rPr>
                  </m:ctrlPr>
                </m:sSubSupPr>
                <m:e>
                  <m:r>
                    <w:rPr>
                      <w:rFonts w:ascii="Cambria Math" w:hAnsi="Cambria Math" w:cstheme="minorHAnsi"/>
                      <w:sz w:val="22"/>
                      <w:szCs w:val="22"/>
                      <w:lang w:val="en-US"/>
                    </w:rPr>
                    <m:t>V</m:t>
                  </m:r>
                </m:e>
                <m:sub>
                  <m:r>
                    <w:rPr>
                      <w:rFonts w:ascii="Cambria Math" w:hAnsi="Cambria Math" w:cstheme="minorHAnsi"/>
                      <w:sz w:val="22"/>
                      <w:szCs w:val="22"/>
                    </w:rPr>
                    <m:t>ген.удг.</m:t>
                  </m:r>
                  <m:r>
                    <w:rPr>
                      <w:rFonts w:ascii="Cambria Math" w:hAnsi="Cambria Math" w:cstheme="minorHAnsi"/>
                      <w:sz w:val="22"/>
                      <w:szCs w:val="22"/>
                      <w:lang w:val="en-US"/>
                    </w:rPr>
                    <m:t>i</m:t>
                  </m:r>
                </m:sub>
                <m:sup>
                  <m:r>
                    <w:rPr>
                      <w:rFonts w:ascii="Cambria Math" w:hAnsi="Cambria Math" w:cstheme="minorHAnsi"/>
                      <w:sz w:val="22"/>
                      <w:szCs w:val="22"/>
                    </w:rPr>
                    <m:t>СО</m:t>
                  </m:r>
                </m:sup>
              </m:sSubSup>
            </m:oMath>
            <w:r w:rsidRPr="00A5626D">
              <w:rPr>
                <w:rFonts w:ascii="Garamond" w:hAnsi="Garamond" w:cstheme="minorHAnsi"/>
                <w:sz w:val="22"/>
                <w:szCs w:val="22"/>
              </w:rPr>
              <w:t xml:space="preserve"> – величина оперативных данных для часа </w:t>
            </w:r>
            <w:r w:rsidRPr="00A5626D">
              <w:rPr>
                <w:rFonts w:ascii="Garamond" w:hAnsi="Garamond" w:cstheme="minorHAnsi"/>
                <w:i/>
                <w:sz w:val="22"/>
                <w:szCs w:val="22"/>
                <w:lang w:val="en-US"/>
              </w:rPr>
              <w:t>i</w:t>
            </w:r>
            <w:r w:rsidRPr="00A5626D">
              <w:rPr>
                <w:rFonts w:ascii="Garamond" w:hAnsi="Garamond" w:cstheme="minorHAnsi"/>
                <w:sz w:val="22"/>
                <w:szCs w:val="22"/>
              </w:rPr>
              <w:t>, полученных от СО и сформированных на основе уточненного диспетчерского графика, кВт·ч.</w:t>
            </w:r>
          </w:p>
          <w:p w14:paraId="132C7539" w14:textId="77777777" w:rsidR="00295C6D" w:rsidRPr="00A5626D" w:rsidRDefault="00295C6D" w:rsidP="00647FA0">
            <w:pPr>
              <w:shd w:val="clear" w:color="auto" w:fill="FFFFFF"/>
              <w:tabs>
                <w:tab w:val="left" w:pos="1134"/>
                <w:tab w:val="left" w:pos="7938"/>
              </w:tabs>
              <w:spacing w:before="120" w:after="120" w:line="22" w:lineRule="atLeast"/>
              <w:ind w:firstLine="629"/>
              <w:jc w:val="both"/>
              <w:rPr>
                <w:rFonts w:ascii="Garamond" w:hAnsi="Garamond" w:cstheme="minorHAnsi"/>
                <w:sz w:val="22"/>
                <w:szCs w:val="22"/>
              </w:rPr>
            </w:pPr>
            <w:r w:rsidRPr="00A5626D">
              <w:rPr>
                <w:rFonts w:ascii="Garamond" w:hAnsi="Garamond" w:cstheme="minorHAnsi"/>
                <w:sz w:val="22"/>
                <w:szCs w:val="22"/>
              </w:rPr>
              <w:t>…</w:t>
            </w:r>
          </w:p>
          <w:p w14:paraId="2B99B54B" w14:textId="77777777" w:rsidR="00295C6D" w:rsidRPr="00A5626D" w:rsidRDefault="00295C6D" w:rsidP="00647FA0">
            <w:pPr>
              <w:pStyle w:val="3"/>
              <w:keepNext w:val="0"/>
              <w:numPr>
                <w:ilvl w:val="2"/>
                <w:numId w:val="268"/>
              </w:numPr>
              <w:tabs>
                <w:tab w:val="left" w:pos="1134"/>
                <w:tab w:val="left" w:pos="7938"/>
              </w:tabs>
              <w:suppressAutoHyphens w:val="0"/>
              <w:spacing w:before="120" w:after="120" w:line="22" w:lineRule="atLeast"/>
              <w:ind w:left="0" w:firstLine="628"/>
              <w:jc w:val="both"/>
              <w:rPr>
                <w:rFonts w:ascii="Garamond" w:hAnsi="Garamond" w:cstheme="minorHAnsi"/>
                <w:b w:val="0"/>
                <w:color w:val="auto"/>
                <w:sz w:val="22"/>
                <w:szCs w:val="22"/>
              </w:rPr>
            </w:pPr>
            <w:bookmarkStart w:id="129" w:name="_Toc139239975"/>
            <w:r w:rsidRPr="00A5626D">
              <w:rPr>
                <w:rFonts w:ascii="Garamond" w:hAnsi="Garamond" w:cstheme="minorHAnsi"/>
                <w:b w:val="0"/>
                <w:color w:val="auto"/>
                <w:sz w:val="22"/>
                <w:szCs w:val="22"/>
              </w:rPr>
              <w:t xml:space="preserve"> В случае если для соответствующего часа отчетного месяца выполняются нижеперечисленные условия:</w:t>
            </w:r>
            <w:bookmarkEnd w:id="129"/>
          </w:p>
          <w:p w14:paraId="42CCD0D1" w14:textId="77777777" w:rsidR="00295C6D" w:rsidRPr="00A5626D" w:rsidRDefault="00295C6D" w:rsidP="00647FA0">
            <w:pPr>
              <w:pStyle w:val="a8"/>
              <w:numPr>
                <w:ilvl w:val="0"/>
                <w:numId w:val="259"/>
              </w:numPr>
              <w:shd w:val="clear" w:color="auto" w:fill="FFFFFF"/>
              <w:tabs>
                <w:tab w:val="clear" w:pos="8100"/>
                <w:tab w:val="left" w:pos="960"/>
                <w:tab w:val="left" w:pos="1134"/>
                <w:tab w:val="left" w:pos="7938"/>
              </w:tabs>
              <w:suppressAutoHyphens w:val="0"/>
              <w:autoSpaceDE w:val="0"/>
              <w:autoSpaceDN w:val="0"/>
              <w:spacing w:before="120" w:after="120" w:line="22" w:lineRule="atLeast"/>
              <w:ind w:left="0" w:firstLine="629"/>
              <w:rPr>
                <w:rFonts w:ascii="Garamond" w:hAnsi="Garamond" w:cstheme="minorHAnsi"/>
                <w:sz w:val="22"/>
                <w:szCs w:val="22"/>
              </w:rPr>
            </w:pPr>
            <w:r w:rsidRPr="00A5626D">
              <w:rPr>
                <w:rFonts w:ascii="Garamond" w:hAnsi="Garamond" w:cstheme="minorHAnsi"/>
                <w:sz w:val="22"/>
                <w:szCs w:val="22"/>
              </w:rPr>
              <w:t>отсутствует принятый КО к расчетам корректирующий акт учета (оборота) по ГТП генерации (макет 51075);</w:t>
            </w:r>
          </w:p>
          <w:p w14:paraId="4673C235" w14:textId="77777777" w:rsidR="00295C6D" w:rsidRPr="00A5626D" w:rsidRDefault="00295C6D" w:rsidP="00647FA0">
            <w:pPr>
              <w:pStyle w:val="a8"/>
              <w:numPr>
                <w:ilvl w:val="0"/>
                <w:numId w:val="259"/>
              </w:numPr>
              <w:shd w:val="clear" w:color="auto" w:fill="FFFFFF"/>
              <w:tabs>
                <w:tab w:val="clear" w:pos="8100"/>
                <w:tab w:val="left" w:pos="960"/>
                <w:tab w:val="left" w:pos="1134"/>
                <w:tab w:val="left" w:pos="7938"/>
              </w:tabs>
              <w:suppressAutoHyphens w:val="0"/>
              <w:autoSpaceDE w:val="0"/>
              <w:autoSpaceDN w:val="0"/>
              <w:spacing w:before="120" w:after="120" w:line="22" w:lineRule="atLeast"/>
              <w:ind w:left="0" w:firstLine="629"/>
              <w:rPr>
                <w:rFonts w:ascii="Garamond" w:hAnsi="Garamond" w:cstheme="minorHAnsi"/>
                <w:sz w:val="22"/>
                <w:szCs w:val="22"/>
              </w:rPr>
            </w:pPr>
            <w:r w:rsidRPr="00A5626D">
              <w:rPr>
                <w:rFonts w:ascii="Garamond" w:hAnsi="Garamond" w:cstheme="minorHAnsi"/>
                <w:sz w:val="22"/>
                <w:szCs w:val="22"/>
              </w:rPr>
              <w:t xml:space="preserve">на официальном сайте КО в разделе «Данные АИИС» отсутствует сформированный в соответствии с п. </w:t>
            </w:r>
            <w:r w:rsidRPr="00A5626D">
              <w:rPr>
                <w:rFonts w:ascii="Garamond" w:hAnsi="Garamond" w:cstheme="minorHAnsi"/>
                <w:sz w:val="22"/>
                <w:szCs w:val="22"/>
                <w:highlight w:val="yellow"/>
              </w:rPr>
              <w:t>3.9</w:t>
            </w:r>
            <w:r w:rsidRPr="00A5626D">
              <w:rPr>
                <w:rFonts w:ascii="Garamond" w:hAnsi="Garamond" w:cstheme="minorHAnsi"/>
                <w:sz w:val="22"/>
                <w:szCs w:val="22"/>
              </w:rPr>
              <w:t xml:space="preserve"> настоящего Регламента акт учета (оборота) по ГТП генерации (макет 51020);</w:t>
            </w:r>
          </w:p>
          <w:p w14:paraId="61EE54C0" w14:textId="77777777" w:rsidR="00295C6D" w:rsidRPr="00A5626D" w:rsidRDefault="00295C6D" w:rsidP="00647FA0">
            <w:pPr>
              <w:pStyle w:val="a8"/>
              <w:numPr>
                <w:ilvl w:val="0"/>
                <w:numId w:val="259"/>
              </w:numPr>
              <w:shd w:val="clear" w:color="auto" w:fill="FFFFFF"/>
              <w:tabs>
                <w:tab w:val="clear" w:pos="8100"/>
                <w:tab w:val="left" w:pos="960"/>
                <w:tab w:val="left" w:pos="1134"/>
                <w:tab w:val="left" w:pos="1320"/>
                <w:tab w:val="left" w:pos="7938"/>
              </w:tabs>
              <w:suppressAutoHyphens w:val="0"/>
              <w:autoSpaceDE w:val="0"/>
              <w:autoSpaceDN w:val="0"/>
              <w:spacing w:before="120" w:after="120" w:line="22" w:lineRule="atLeast"/>
              <w:ind w:left="0" w:firstLine="629"/>
              <w:contextualSpacing/>
              <w:rPr>
                <w:rFonts w:ascii="Garamond" w:hAnsi="Garamond" w:cstheme="minorHAnsi"/>
                <w:sz w:val="22"/>
                <w:szCs w:val="22"/>
              </w:rPr>
            </w:pPr>
            <w:r w:rsidRPr="00A5626D">
              <w:rPr>
                <w:rFonts w:ascii="Garamond" w:hAnsi="Garamond" w:cstheme="minorHAnsi"/>
                <w:sz w:val="22"/>
                <w:szCs w:val="22"/>
              </w:rPr>
              <w:t>от СО не получена оперативная информация о выработке электроэнергии по ГТП генерации в соответствии с п. 4.3 настоящего Регламента, – значение учетного показателя в ГТП генерации для вышеуказанного часа отчетного месяца принимается равным нулю.</w:t>
            </w:r>
          </w:p>
          <w:p w14:paraId="0F36405D" w14:textId="77777777" w:rsidR="00295C6D" w:rsidRPr="00A5626D" w:rsidRDefault="00295C6D" w:rsidP="00647FA0">
            <w:pPr>
              <w:shd w:val="clear" w:color="auto" w:fill="FFFFFF"/>
              <w:tabs>
                <w:tab w:val="left" w:pos="1134"/>
                <w:tab w:val="left" w:pos="7938"/>
              </w:tabs>
              <w:spacing w:before="120" w:after="120" w:line="22" w:lineRule="atLeast"/>
              <w:ind w:firstLine="629"/>
              <w:jc w:val="both"/>
              <w:rPr>
                <w:rFonts w:ascii="Garamond" w:hAnsi="Garamond" w:cstheme="minorHAnsi"/>
                <w:sz w:val="22"/>
                <w:szCs w:val="22"/>
              </w:rPr>
            </w:pPr>
            <w:r w:rsidRPr="00A5626D">
              <w:rPr>
                <w:rFonts w:ascii="Garamond" w:hAnsi="Garamond" w:cstheme="minorHAnsi"/>
                <w:sz w:val="22"/>
                <w:szCs w:val="22"/>
              </w:rPr>
              <w:t>…</w:t>
            </w:r>
          </w:p>
        </w:tc>
        <w:tc>
          <w:tcPr>
            <w:tcW w:w="7088" w:type="dxa"/>
          </w:tcPr>
          <w:p w14:paraId="2F4FF7DE" w14:textId="77777777" w:rsidR="00295C6D" w:rsidRPr="00A5626D" w:rsidRDefault="00295C6D" w:rsidP="00647FA0">
            <w:pPr>
              <w:pStyle w:val="2"/>
              <w:widowControl/>
              <w:numPr>
                <w:ilvl w:val="0"/>
                <w:numId w:val="0"/>
              </w:numPr>
              <w:tabs>
                <w:tab w:val="left" w:pos="1134"/>
                <w:tab w:val="left" w:pos="7938"/>
              </w:tabs>
              <w:suppressAutoHyphens w:val="0"/>
              <w:autoSpaceDE/>
              <w:spacing w:before="120" w:after="120" w:line="22" w:lineRule="atLeast"/>
              <w:ind w:firstLine="629"/>
              <w:jc w:val="both"/>
              <w:rPr>
                <w:rFonts w:ascii="Garamond" w:hAnsi="Garamond" w:cstheme="minorHAnsi"/>
                <w:b w:val="0"/>
              </w:rPr>
            </w:pPr>
            <w:r w:rsidRPr="00A5626D">
              <w:rPr>
                <w:rFonts w:ascii="Garamond" w:hAnsi="Garamond" w:cstheme="minorHAnsi"/>
                <w:b w:val="0"/>
              </w:rPr>
              <w:lastRenderedPageBreak/>
              <w:t>Замещающие методы расчета, применяемые в отношении ГТП генерации поставщика электроэнергии</w:t>
            </w:r>
          </w:p>
          <w:p w14:paraId="29E4CF73" w14:textId="77777777" w:rsidR="00295C6D" w:rsidRPr="00A5626D" w:rsidRDefault="00295C6D" w:rsidP="00647FA0">
            <w:pPr>
              <w:pStyle w:val="3"/>
              <w:keepNext w:val="0"/>
              <w:numPr>
                <w:ilvl w:val="2"/>
                <w:numId w:val="264"/>
              </w:numPr>
              <w:tabs>
                <w:tab w:val="left" w:pos="1134"/>
                <w:tab w:val="left" w:pos="7938"/>
              </w:tabs>
              <w:suppressAutoHyphens w:val="0"/>
              <w:spacing w:before="120" w:after="120" w:line="22" w:lineRule="atLeast"/>
              <w:ind w:left="0" w:firstLine="601"/>
              <w:jc w:val="both"/>
              <w:rPr>
                <w:rFonts w:ascii="Garamond" w:hAnsi="Garamond" w:cstheme="minorHAnsi"/>
                <w:b w:val="0"/>
                <w:color w:val="auto"/>
                <w:sz w:val="22"/>
                <w:szCs w:val="22"/>
              </w:rPr>
            </w:pPr>
            <w:r w:rsidRPr="00A5626D">
              <w:rPr>
                <w:rFonts w:ascii="Garamond" w:hAnsi="Garamond" w:cstheme="minorHAnsi"/>
                <w:b w:val="0"/>
                <w:color w:val="auto"/>
                <w:sz w:val="22"/>
                <w:szCs w:val="22"/>
              </w:rPr>
              <w:t>В случае если для соответствующего часа отчетного месяца выполняются нижеперечисленные условия:</w:t>
            </w:r>
          </w:p>
          <w:p w14:paraId="49F73369" w14:textId="77777777" w:rsidR="00295C6D" w:rsidRPr="00A5626D" w:rsidRDefault="00295C6D" w:rsidP="00647FA0">
            <w:pPr>
              <w:pStyle w:val="a8"/>
              <w:numPr>
                <w:ilvl w:val="0"/>
                <w:numId w:val="259"/>
              </w:numPr>
              <w:tabs>
                <w:tab w:val="clear" w:pos="8100"/>
                <w:tab w:val="left" w:pos="960"/>
                <w:tab w:val="left" w:pos="1134"/>
                <w:tab w:val="left" w:pos="7938"/>
              </w:tabs>
              <w:suppressAutoHyphens w:val="0"/>
              <w:autoSpaceDE w:val="0"/>
              <w:autoSpaceDN w:val="0"/>
              <w:spacing w:before="120" w:after="120" w:line="22" w:lineRule="atLeast"/>
              <w:ind w:left="0" w:firstLine="629"/>
              <w:rPr>
                <w:rFonts w:ascii="Garamond" w:hAnsi="Garamond" w:cstheme="minorHAnsi"/>
                <w:sz w:val="22"/>
                <w:szCs w:val="22"/>
              </w:rPr>
            </w:pPr>
            <w:r w:rsidRPr="00A5626D">
              <w:rPr>
                <w:rFonts w:ascii="Garamond" w:hAnsi="Garamond" w:cstheme="minorHAnsi"/>
                <w:sz w:val="22"/>
                <w:szCs w:val="22"/>
              </w:rPr>
              <w:t>отсутствует направленный участником оптового рынка и принятый КО к расчетам корректирующий акт учета (оборота) по ГТП генерации (макет 51075);</w:t>
            </w:r>
          </w:p>
          <w:p w14:paraId="2B7C2BAC" w14:textId="77777777" w:rsidR="00295C6D" w:rsidRPr="00A5626D" w:rsidRDefault="00295C6D" w:rsidP="00647FA0">
            <w:pPr>
              <w:pStyle w:val="a8"/>
              <w:numPr>
                <w:ilvl w:val="0"/>
                <w:numId w:val="259"/>
              </w:numPr>
              <w:tabs>
                <w:tab w:val="clear" w:pos="8100"/>
                <w:tab w:val="left" w:pos="960"/>
                <w:tab w:val="left" w:pos="1134"/>
                <w:tab w:val="left" w:pos="7938"/>
              </w:tabs>
              <w:suppressAutoHyphens w:val="0"/>
              <w:autoSpaceDE w:val="0"/>
              <w:autoSpaceDN w:val="0"/>
              <w:spacing w:before="120" w:after="120" w:line="22" w:lineRule="atLeast"/>
              <w:ind w:left="0" w:firstLine="629"/>
              <w:rPr>
                <w:rFonts w:ascii="Garamond" w:hAnsi="Garamond" w:cstheme="minorHAnsi"/>
                <w:sz w:val="22"/>
                <w:szCs w:val="22"/>
              </w:rPr>
            </w:pPr>
            <w:r w:rsidRPr="00A5626D">
              <w:rPr>
                <w:rFonts w:ascii="Garamond" w:hAnsi="Garamond" w:cstheme="minorHAnsi"/>
                <w:sz w:val="22"/>
                <w:szCs w:val="22"/>
              </w:rPr>
              <w:t xml:space="preserve">на официальном сайте КО в разделе «Данные АИИС» в соответствии с п. </w:t>
            </w:r>
            <w:r w:rsidRPr="00A5626D">
              <w:rPr>
                <w:rFonts w:ascii="Garamond" w:hAnsi="Garamond" w:cstheme="minorHAnsi"/>
                <w:sz w:val="22"/>
                <w:szCs w:val="22"/>
                <w:highlight w:val="yellow"/>
              </w:rPr>
              <w:t>7.3</w:t>
            </w:r>
            <w:r w:rsidRPr="00A5626D">
              <w:rPr>
                <w:rFonts w:ascii="Garamond" w:hAnsi="Garamond" w:cstheme="minorHAnsi"/>
                <w:sz w:val="22"/>
                <w:szCs w:val="22"/>
              </w:rPr>
              <w:t xml:space="preserve"> настоящего Регламента поставщиком электроэнергии сформирован акт учета (оборота) по ГТП генерации (макет 51020);</w:t>
            </w:r>
          </w:p>
          <w:p w14:paraId="55A427DF" w14:textId="77777777" w:rsidR="00295C6D" w:rsidRPr="00A5626D" w:rsidRDefault="00295C6D" w:rsidP="00647FA0">
            <w:pPr>
              <w:pStyle w:val="a8"/>
              <w:numPr>
                <w:ilvl w:val="0"/>
                <w:numId w:val="259"/>
              </w:numPr>
              <w:tabs>
                <w:tab w:val="clear" w:pos="8100"/>
                <w:tab w:val="left" w:pos="960"/>
                <w:tab w:val="left" w:pos="1134"/>
                <w:tab w:val="left" w:pos="7938"/>
              </w:tabs>
              <w:suppressAutoHyphens w:val="0"/>
              <w:autoSpaceDE w:val="0"/>
              <w:autoSpaceDN w:val="0"/>
              <w:spacing w:before="120" w:after="120" w:line="22" w:lineRule="atLeast"/>
              <w:ind w:left="0" w:firstLine="629"/>
              <w:rPr>
                <w:rFonts w:ascii="Garamond" w:hAnsi="Garamond" w:cstheme="minorHAnsi"/>
                <w:sz w:val="22"/>
                <w:szCs w:val="22"/>
              </w:rPr>
            </w:pPr>
            <w:r w:rsidRPr="00A5626D">
              <w:rPr>
                <w:rFonts w:ascii="Garamond" w:hAnsi="Garamond" w:cstheme="minorHAnsi"/>
                <w:sz w:val="22"/>
                <w:szCs w:val="22"/>
              </w:rPr>
              <w:t xml:space="preserve">имеются расхождения между величиной выработки электроэнергии, содержащейся в сформированном в соответствии с п. </w:t>
            </w:r>
            <w:r w:rsidRPr="00A5626D">
              <w:rPr>
                <w:rFonts w:ascii="Garamond" w:hAnsi="Garamond" w:cstheme="minorHAnsi"/>
                <w:sz w:val="22"/>
                <w:szCs w:val="22"/>
                <w:highlight w:val="yellow"/>
              </w:rPr>
              <w:t>7.3</w:t>
            </w:r>
            <w:r w:rsidRPr="00A5626D">
              <w:rPr>
                <w:rFonts w:ascii="Garamond" w:hAnsi="Garamond" w:cstheme="minorHAnsi"/>
                <w:sz w:val="22"/>
                <w:szCs w:val="22"/>
              </w:rPr>
              <w:t xml:space="preserve"> настоящего Регламента акте учета (оборота) по ГТП генерации (макет 51020), и оперативными данными, полученными от СО в соответствии с п. 4.3 настоящего Регламента, сформированными на основе телеинформации, </w:t>
            </w:r>
            <w:r w:rsidRPr="00A5626D">
              <w:rPr>
                <w:rFonts w:ascii="Garamond" w:hAnsi="Garamond" w:cstheme="minorHAnsi"/>
                <w:sz w:val="22"/>
                <w:szCs w:val="22"/>
              </w:rPr>
              <w:lastRenderedPageBreak/>
              <w:t>более чем на 5 %, при этом величина расхождения должна превышать 300 кВт·ч, –</w:t>
            </w:r>
          </w:p>
          <w:p w14:paraId="159A6D4E" w14:textId="77777777" w:rsidR="00295C6D" w:rsidRPr="00A5626D" w:rsidRDefault="00295C6D" w:rsidP="00647FA0">
            <w:pPr>
              <w:shd w:val="clear" w:color="auto" w:fill="FFFFFF"/>
              <w:tabs>
                <w:tab w:val="left" w:pos="1134"/>
                <w:tab w:val="left" w:pos="7938"/>
              </w:tabs>
              <w:spacing w:before="120" w:after="120" w:line="22" w:lineRule="atLeast"/>
              <w:ind w:firstLine="629"/>
              <w:jc w:val="both"/>
              <w:rPr>
                <w:rFonts w:ascii="Garamond" w:hAnsi="Garamond" w:cstheme="minorHAnsi"/>
                <w:sz w:val="22"/>
                <w:szCs w:val="22"/>
              </w:rPr>
            </w:pPr>
            <w:r w:rsidRPr="00A5626D">
              <w:rPr>
                <w:rFonts w:ascii="Garamond" w:hAnsi="Garamond" w:cstheme="minorHAnsi"/>
                <w:sz w:val="22"/>
                <w:szCs w:val="22"/>
              </w:rPr>
              <w:t xml:space="preserve">значение учетного показателя в ГТП генерации для вышеуказанного часа отчетного месяца равно: </w:t>
            </w:r>
          </w:p>
          <w:p w14:paraId="60601443" w14:textId="47D9C68B" w:rsidR="00295C6D" w:rsidRPr="00A5626D" w:rsidRDefault="008800D7" w:rsidP="00647FA0">
            <w:pPr>
              <w:shd w:val="clear" w:color="auto" w:fill="FFFFFF"/>
              <w:tabs>
                <w:tab w:val="left" w:pos="1134"/>
                <w:tab w:val="left" w:pos="7938"/>
              </w:tabs>
              <w:spacing w:before="120" w:after="120" w:line="22" w:lineRule="atLeast"/>
              <w:ind w:firstLine="629"/>
              <w:jc w:val="both"/>
              <w:rPr>
                <w:rFonts w:ascii="Garamond" w:hAnsi="Garamond" w:cstheme="minorHAnsi"/>
                <w:i/>
                <w:sz w:val="22"/>
                <w:szCs w:val="22"/>
              </w:rPr>
            </w:pPr>
            <m:oMath>
              <m:sSub>
                <m:sSubPr>
                  <m:ctrlPr>
                    <w:rPr>
                      <w:rFonts w:ascii="Cambria Math" w:hAnsi="Cambria Math" w:cstheme="minorHAnsi"/>
                      <w:i/>
                      <w:sz w:val="22"/>
                      <w:szCs w:val="22"/>
                    </w:rPr>
                  </m:ctrlPr>
                </m:sSubPr>
                <m:e>
                  <m:r>
                    <w:rPr>
                      <w:rFonts w:ascii="Cambria Math" w:hAnsi="Cambria Math" w:cstheme="minorHAnsi"/>
                      <w:sz w:val="22"/>
                      <w:szCs w:val="22"/>
                    </w:rPr>
                    <m:t>V</m:t>
                  </m:r>
                </m:e>
                <m:sub>
                  <m:r>
                    <w:rPr>
                      <w:rFonts w:ascii="Cambria Math" w:hAnsi="Cambria Math" w:cstheme="minorHAnsi"/>
                      <w:sz w:val="22"/>
                      <w:szCs w:val="22"/>
                    </w:rPr>
                    <m:t>ген.змр.</m:t>
                  </m:r>
                  <m:r>
                    <w:rPr>
                      <w:rFonts w:ascii="Cambria Math" w:hAnsi="Cambria Math" w:cstheme="minorHAnsi"/>
                      <w:sz w:val="22"/>
                      <w:szCs w:val="22"/>
                      <w:lang w:val="en-US"/>
                    </w:rPr>
                    <m:t>i</m:t>
                  </m:r>
                </m:sub>
              </m:sSub>
              <m:r>
                <w:rPr>
                  <w:rFonts w:ascii="Cambria Math" w:hAnsi="Cambria Math" w:cstheme="minorHAnsi"/>
                  <w:sz w:val="22"/>
                  <w:szCs w:val="22"/>
                </w:rPr>
                <m:t>=</m:t>
              </m:r>
              <m:r>
                <m:rPr>
                  <m:sty m:val="p"/>
                </m:rPr>
                <w:rPr>
                  <w:rFonts w:ascii="Cambria Math" w:hAnsi="Cambria Math" w:cstheme="minorHAnsi"/>
                  <w:sz w:val="22"/>
                  <w:szCs w:val="22"/>
                </w:rPr>
                <m:t>min⁡</m:t>
              </m:r>
              <m:r>
                <w:rPr>
                  <w:rFonts w:ascii="Cambria Math" w:hAnsi="Cambria Math" w:cstheme="minorHAnsi"/>
                  <w:sz w:val="22"/>
                  <w:szCs w:val="22"/>
                </w:rPr>
                <m:t>(</m:t>
              </m:r>
              <m:sSub>
                <m:sSubPr>
                  <m:ctrlPr>
                    <w:rPr>
                      <w:rFonts w:ascii="Cambria Math" w:hAnsi="Cambria Math" w:cstheme="minorHAnsi"/>
                      <w:i/>
                      <w:sz w:val="22"/>
                      <w:szCs w:val="22"/>
                    </w:rPr>
                  </m:ctrlPr>
                </m:sSubPr>
                <m:e>
                  <m:r>
                    <w:rPr>
                      <w:rFonts w:ascii="Cambria Math" w:hAnsi="Cambria Math" w:cstheme="minorHAnsi"/>
                      <w:sz w:val="22"/>
                      <w:szCs w:val="22"/>
                    </w:rPr>
                    <m:t>V</m:t>
                  </m:r>
                </m:e>
                <m:sub>
                  <m:r>
                    <w:rPr>
                      <w:rFonts w:ascii="Cambria Math" w:hAnsi="Cambria Math" w:cstheme="minorHAnsi"/>
                      <w:sz w:val="22"/>
                      <w:szCs w:val="22"/>
                    </w:rPr>
                    <m:t>факт.акт.</m:t>
                  </m:r>
                  <m:r>
                    <w:rPr>
                      <w:rFonts w:ascii="Cambria Math" w:hAnsi="Cambria Math" w:cstheme="minorHAnsi"/>
                      <w:sz w:val="22"/>
                      <w:szCs w:val="22"/>
                      <w:lang w:val="en-US"/>
                    </w:rPr>
                    <m:t>i</m:t>
                  </m:r>
                </m:sub>
              </m:sSub>
              <m:r>
                <w:rPr>
                  <w:rFonts w:ascii="Cambria Math" w:hAnsi="Cambria Math" w:cstheme="minorHAnsi"/>
                  <w:sz w:val="22"/>
                  <w:szCs w:val="22"/>
                </w:rPr>
                <m:t xml:space="preserve">; </m:t>
              </m:r>
              <m:sSubSup>
                <m:sSubSupPr>
                  <m:ctrlPr>
                    <w:rPr>
                      <w:rFonts w:ascii="Cambria Math" w:hAnsi="Cambria Math" w:cstheme="minorHAnsi"/>
                      <w:i/>
                      <w:sz w:val="22"/>
                      <w:szCs w:val="22"/>
                    </w:rPr>
                  </m:ctrlPr>
                </m:sSubSupPr>
                <m:e>
                  <m:r>
                    <w:rPr>
                      <w:rFonts w:ascii="Cambria Math" w:hAnsi="Cambria Math" w:cstheme="minorHAnsi"/>
                      <w:sz w:val="22"/>
                      <w:szCs w:val="22"/>
                      <w:lang w:val="en-US"/>
                    </w:rPr>
                    <m:t>V</m:t>
                  </m:r>
                </m:e>
                <m:sub>
                  <m:r>
                    <w:rPr>
                      <w:rFonts w:ascii="Cambria Math" w:hAnsi="Cambria Math" w:cstheme="minorHAnsi"/>
                      <w:sz w:val="22"/>
                      <w:szCs w:val="22"/>
                    </w:rPr>
                    <m:t>ген.ти.</m:t>
                  </m:r>
                  <m:r>
                    <w:rPr>
                      <w:rFonts w:ascii="Cambria Math" w:hAnsi="Cambria Math" w:cstheme="minorHAnsi"/>
                      <w:sz w:val="22"/>
                      <w:szCs w:val="22"/>
                      <w:lang w:val="en-US"/>
                    </w:rPr>
                    <m:t>i</m:t>
                  </m:r>
                </m:sub>
                <m:sup>
                  <m:r>
                    <w:rPr>
                      <w:rFonts w:ascii="Cambria Math" w:hAnsi="Cambria Math" w:cstheme="minorHAnsi"/>
                      <w:sz w:val="22"/>
                      <w:szCs w:val="22"/>
                    </w:rPr>
                    <m:t>СО</m:t>
                  </m:r>
                </m:sup>
              </m:sSubSup>
              <m:r>
                <w:rPr>
                  <w:rFonts w:ascii="Cambria Math" w:hAnsi="Cambria Math" w:cstheme="minorHAnsi"/>
                  <w:sz w:val="22"/>
                  <w:szCs w:val="22"/>
                </w:rPr>
                <m:t>)</m:t>
              </m:r>
            </m:oMath>
            <w:r w:rsidR="00295C6D" w:rsidRPr="00A5626D">
              <w:rPr>
                <w:rFonts w:ascii="Garamond" w:hAnsi="Garamond" w:cstheme="minorHAnsi"/>
                <w:i/>
                <w:sz w:val="22"/>
                <w:szCs w:val="22"/>
              </w:rPr>
              <w:t>,</w:t>
            </w:r>
          </w:p>
          <w:p w14:paraId="097C6C7B" w14:textId="5451D09F" w:rsidR="00295C6D" w:rsidRPr="00A5626D" w:rsidRDefault="00295C6D" w:rsidP="00647FA0">
            <w:pPr>
              <w:shd w:val="clear" w:color="auto" w:fill="FFFFFF"/>
              <w:tabs>
                <w:tab w:val="left" w:pos="1134"/>
                <w:tab w:val="left" w:pos="7938"/>
              </w:tabs>
              <w:spacing w:before="120" w:after="120" w:line="22" w:lineRule="atLeast"/>
              <w:ind w:firstLine="629"/>
              <w:jc w:val="both"/>
              <w:rPr>
                <w:rFonts w:ascii="Garamond" w:hAnsi="Garamond" w:cstheme="minorHAnsi"/>
                <w:sz w:val="22"/>
                <w:szCs w:val="22"/>
              </w:rPr>
            </w:pPr>
            <w:r w:rsidRPr="00A5626D">
              <w:rPr>
                <w:rFonts w:ascii="Garamond" w:hAnsi="Garamond" w:cstheme="minorHAnsi"/>
                <w:sz w:val="22"/>
                <w:szCs w:val="22"/>
              </w:rPr>
              <w:t xml:space="preserve">где </w:t>
            </w:r>
            <m:oMath>
              <m:sSub>
                <m:sSubPr>
                  <m:ctrlPr>
                    <w:rPr>
                      <w:rFonts w:ascii="Cambria Math" w:hAnsi="Cambria Math" w:cstheme="minorHAnsi"/>
                      <w:i/>
                      <w:sz w:val="22"/>
                      <w:szCs w:val="22"/>
                    </w:rPr>
                  </m:ctrlPr>
                </m:sSubPr>
                <m:e>
                  <m:r>
                    <w:rPr>
                      <w:rFonts w:ascii="Cambria Math" w:hAnsi="Cambria Math" w:cstheme="minorHAnsi"/>
                      <w:sz w:val="22"/>
                      <w:szCs w:val="22"/>
                    </w:rPr>
                    <m:t>V</m:t>
                  </m:r>
                </m:e>
                <m:sub>
                  <m:r>
                    <w:rPr>
                      <w:rFonts w:ascii="Cambria Math" w:hAnsi="Cambria Math" w:cstheme="minorHAnsi"/>
                      <w:sz w:val="22"/>
                      <w:szCs w:val="22"/>
                    </w:rPr>
                    <m:t>ген.змр.</m:t>
                  </m:r>
                  <m:r>
                    <w:rPr>
                      <w:rFonts w:ascii="Cambria Math" w:hAnsi="Cambria Math" w:cstheme="minorHAnsi"/>
                      <w:sz w:val="22"/>
                      <w:szCs w:val="22"/>
                      <w:lang w:val="en-US"/>
                    </w:rPr>
                    <m:t>i</m:t>
                  </m:r>
                </m:sub>
              </m:sSub>
              <m:r>
                <w:rPr>
                  <w:rFonts w:ascii="Cambria Math" w:hAnsi="Cambria Math" w:cstheme="minorHAnsi"/>
                  <w:sz w:val="22"/>
                  <w:szCs w:val="22"/>
                </w:rPr>
                <m:t xml:space="preserve"> </m:t>
              </m:r>
            </m:oMath>
            <w:r w:rsidRPr="00A5626D">
              <w:rPr>
                <w:rFonts w:ascii="Garamond" w:hAnsi="Garamond" w:cstheme="minorHAnsi"/>
                <w:sz w:val="22"/>
                <w:szCs w:val="22"/>
              </w:rPr>
              <w:t xml:space="preserve">– значение учетного показателя в ГТП генерации для часа </w:t>
            </w:r>
            <w:r w:rsidRPr="00A5626D">
              <w:rPr>
                <w:rFonts w:ascii="Garamond" w:hAnsi="Garamond" w:cstheme="minorHAnsi"/>
                <w:i/>
                <w:sz w:val="22"/>
                <w:szCs w:val="22"/>
                <w:lang w:val="en-US"/>
              </w:rPr>
              <w:t>i</w:t>
            </w:r>
            <w:r w:rsidRPr="00A5626D">
              <w:rPr>
                <w:rFonts w:ascii="Garamond" w:hAnsi="Garamond" w:cstheme="minorHAnsi"/>
                <w:sz w:val="22"/>
                <w:szCs w:val="22"/>
              </w:rPr>
              <w:t>, рассчитанное КО с применением замещающих методов расчета, кВт·ч;</w:t>
            </w:r>
          </w:p>
          <w:p w14:paraId="15516867" w14:textId="30423774" w:rsidR="00295C6D" w:rsidRPr="00A5626D" w:rsidRDefault="008800D7" w:rsidP="00647FA0">
            <w:pPr>
              <w:tabs>
                <w:tab w:val="left" w:pos="1134"/>
                <w:tab w:val="left" w:pos="1200"/>
                <w:tab w:val="left" w:pos="7938"/>
              </w:tabs>
              <w:spacing w:before="120" w:after="120" w:line="22" w:lineRule="atLeast"/>
              <w:ind w:firstLine="629"/>
              <w:jc w:val="both"/>
              <w:rPr>
                <w:rFonts w:ascii="Garamond" w:hAnsi="Garamond" w:cstheme="minorHAnsi"/>
                <w:sz w:val="22"/>
                <w:szCs w:val="22"/>
              </w:rPr>
            </w:pPr>
            <m:oMath>
              <m:sSub>
                <m:sSubPr>
                  <m:ctrlPr>
                    <w:rPr>
                      <w:rFonts w:ascii="Cambria Math" w:hAnsi="Cambria Math" w:cstheme="minorHAnsi"/>
                      <w:i/>
                      <w:sz w:val="22"/>
                      <w:szCs w:val="22"/>
                    </w:rPr>
                  </m:ctrlPr>
                </m:sSubPr>
                <m:e>
                  <m:r>
                    <w:rPr>
                      <w:rFonts w:ascii="Cambria Math" w:hAnsi="Cambria Math" w:cstheme="minorHAnsi"/>
                      <w:sz w:val="22"/>
                      <w:szCs w:val="22"/>
                    </w:rPr>
                    <m:t>V</m:t>
                  </m:r>
                </m:e>
                <m:sub>
                  <m:r>
                    <w:rPr>
                      <w:rFonts w:ascii="Cambria Math" w:hAnsi="Cambria Math" w:cstheme="minorHAnsi"/>
                      <w:sz w:val="22"/>
                      <w:szCs w:val="22"/>
                    </w:rPr>
                    <m:t>факт.акт.</m:t>
                  </m:r>
                  <m:r>
                    <w:rPr>
                      <w:rFonts w:ascii="Cambria Math" w:hAnsi="Cambria Math" w:cstheme="minorHAnsi"/>
                      <w:sz w:val="22"/>
                      <w:szCs w:val="22"/>
                      <w:lang w:val="en-US"/>
                    </w:rPr>
                    <m:t>i</m:t>
                  </m:r>
                </m:sub>
              </m:sSub>
            </m:oMath>
            <w:r w:rsidR="00295C6D" w:rsidRPr="00A5626D">
              <w:rPr>
                <w:rFonts w:ascii="Garamond" w:hAnsi="Garamond" w:cstheme="minorHAnsi"/>
                <w:sz w:val="22"/>
                <w:szCs w:val="22"/>
              </w:rPr>
              <w:t xml:space="preserve"> – значение учетного показателя в ГТП генерации для часа </w:t>
            </w:r>
            <w:r w:rsidR="00295C6D" w:rsidRPr="00A5626D">
              <w:rPr>
                <w:rFonts w:ascii="Garamond" w:hAnsi="Garamond" w:cstheme="minorHAnsi"/>
                <w:i/>
                <w:sz w:val="22"/>
                <w:szCs w:val="22"/>
                <w:lang w:val="en-US"/>
              </w:rPr>
              <w:t>i</w:t>
            </w:r>
            <w:r w:rsidR="00295C6D" w:rsidRPr="00A5626D">
              <w:rPr>
                <w:rFonts w:ascii="Garamond" w:hAnsi="Garamond" w:cstheme="minorHAnsi"/>
                <w:sz w:val="22"/>
                <w:szCs w:val="22"/>
              </w:rPr>
              <w:t>, содержащееся в акте учета (оборота) по ГТП генерации (макет 51020), кВт·ч;</w:t>
            </w:r>
          </w:p>
          <w:p w14:paraId="344A064B" w14:textId="56407012" w:rsidR="00295C6D" w:rsidRPr="00A5626D" w:rsidRDefault="008800D7" w:rsidP="00647FA0">
            <w:pPr>
              <w:tabs>
                <w:tab w:val="left" w:pos="1134"/>
                <w:tab w:val="left" w:pos="1200"/>
                <w:tab w:val="left" w:pos="7938"/>
              </w:tabs>
              <w:spacing w:before="120" w:after="120" w:line="22" w:lineRule="atLeast"/>
              <w:ind w:firstLine="629"/>
              <w:jc w:val="both"/>
              <w:rPr>
                <w:rFonts w:ascii="Garamond" w:hAnsi="Garamond" w:cstheme="minorHAnsi"/>
                <w:sz w:val="22"/>
                <w:szCs w:val="22"/>
              </w:rPr>
            </w:pPr>
            <m:oMath>
              <m:sSubSup>
                <m:sSubSupPr>
                  <m:ctrlPr>
                    <w:rPr>
                      <w:rFonts w:ascii="Cambria Math" w:hAnsi="Cambria Math" w:cstheme="minorHAnsi"/>
                      <w:i/>
                      <w:sz w:val="22"/>
                      <w:szCs w:val="22"/>
                    </w:rPr>
                  </m:ctrlPr>
                </m:sSubSupPr>
                <m:e>
                  <m:r>
                    <w:rPr>
                      <w:rFonts w:ascii="Cambria Math" w:hAnsi="Cambria Math" w:cstheme="minorHAnsi"/>
                      <w:sz w:val="22"/>
                      <w:szCs w:val="22"/>
                      <w:lang w:val="en-US"/>
                    </w:rPr>
                    <m:t>V</m:t>
                  </m:r>
                </m:e>
                <m:sub>
                  <m:r>
                    <w:rPr>
                      <w:rFonts w:ascii="Cambria Math" w:hAnsi="Cambria Math" w:cstheme="minorHAnsi"/>
                      <w:sz w:val="22"/>
                      <w:szCs w:val="22"/>
                    </w:rPr>
                    <m:t>ген.ти.</m:t>
                  </m:r>
                  <m:r>
                    <w:rPr>
                      <w:rFonts w:ascii="Cambria Math" w:hAnsi="Cambria Math" w:cstheme="minorHAnsi"/>
                      <w:sz w:val="22"/>
                      <w:szCs w:val="22"/>
                      <w:lang w:val="en-US"/>
                    </w:rPr>
                    <m:t>i</m:t>
                  </m:r>
                </m:sub>
                <m:sup>
                  <m:r>
                    <w:rPr>
                      <w:rFonts w:ascii="Cambria Math" w:hAnsi="Cambria Math" w:cstheme="minorHAnsi"/>
                      <w:sz w:val="22"/>
                      <w:szCs w:val="22"/>
                    </w:rPr>
                    <m:t>СО</m:t>
                  </m:r>
                </m:sup>
              </m:sSubSup>
            </m:oMath>
            <w:r w:rsidR="00295C6D" w:rsidRPr="00A5626D">
              <w:rPr>
                <w:rFonts w:ascii="Garamond" w:hAnsi="Garamond" w:cstheme="minorHAnsi"/>
                <w:sz w:val="22"/>
                <w:szCs w:val="22"/>
              </w:rPr>
              <w:t xml:space="preserve"> – величина оперативных данных для часа </w:t>
            </w:r>
            <w:r w:rsidR="00295C6D" w:rsidRPr="00A5626D">
              <w:rPr>
                <w:rFonts w:ascii="Garamond" w:hAnsi="Garamond" w:cstheme="minorHAnsi"/>
                <w:i/>
                <w:sz w:val="22"/>
                <w:szCs w:val="22"/>
                <w:lang w:val="en-US"/>
              </w:rPr>
              <w:t>i</w:t>
            </w:r>
            <w:r w:rsidR="00295C6D" w:rsidRPr="00A5626D">
              <w:rPr>
                <w:rFonts w:ascii="Garamond" w:hAnsi="Garamond" w:cstheme="minorHAnsi"/>
                <w:sz w:val="22"/>
                <w:szCs w:val="22"/>
              </w:rPr>
              <w:t>, полученных от СО и сформированных на основе телеинформации, кВт·ч.</w:t>
            </w:r>
          </w:p>
          <w:p w14:paraId="12B67865" w14:textId="77777777" w:rsidR="00295C6D" w:rsidRPr="00A5626D" w:rsidRDefault="00295C6D" w:rsidP="00647FA0">
            <w:pPr>
              <w:shd w:val="clear" w:color="auto" w:fill="FFFFFF"/>
              <w:tabs>
                <w:tab w:val="left" w:pos="1134"/>
                <w:tab w:val="left" w:pos="7938"/>
              </w:tabs>
              <w:spacing w:before="120" w:after="120" w:line="22" w:lineRule="atLeast"/>
              <w:ind w:firstLine="629"/>
              <w:jc w:val="both"/>
              <w:rPr>
                <w:rFonts w:ascii="Garamond" w:hAnsi="Garamond" w:cstheme="minorHAnsi"/>
                <w:sz w:val="22"/>
                <w:szCs w:val="22"/>
              </w:rPr>
            </w:pPr>
            <w:r w:rsidRPr="00A5626D">
              <w:rPr>
                <w:rFonts w:ascii="Garamond" w:hAnsi="Garamond" w:cstheme="minorHAnsi"/>
                <w:sz w:val="22"/>
                <w:szCs w:val="22"/>
              </w:rPr>
              <w:t>Для целей настоящего Регламента величина расхождений определяется в виде абсолютных величин с применением округления до трех знаков после запятой.</w:t>
            </w:r>
          </w:p>
          <w:p w14:paraId="7D356A31" w14:textId="77777777" w:rsidR="00295C6D" w:rsidRPr="00A5626D" w:rsidRDefault="00295C6D" w:rsidP="00647FA0">
            <w:pPr>
              <w:pStyle w:val="3"/>
              <w:keepNext w:val="0"/>
              <w:numPr>
                <w:ilvl w:val="2"/>
                <w:numId w:val="264"/>
              </w:numPr>
              <w:tabs>
                <w:tab w:val="left" w:pos="1134"/>
                <w:tab w:val="left" w:pos="7938"/>
              </w:tabs>
              <w:suppressAutoHyphens w:val="0"/>
              <w:spacing w:before="120" w:after="120" w:line="22" w:lineRule="atLeast"/>
              <w:ind w:left="0" w:firstLine="629"/>
              <w:jc w:val="both"/>
              <w:rPr>
                <w:rFonts w:ascii="Garamond" w:hAnsi="Garamond" w:cstheme="minorHAnsi"/>
                <w:b w:val="0"/>
                <w:color w:val="auto"/>
                <w:sz w:val="22"/>
                <w:szCs w:val="22"/>
              </w:rPr>
            </w:pPr>
            <w:r w:rsidRPr="00A5626D">
              <w:rPr>
                <w:rFonts w:ascii="Garamond" w:hAnsi="Garamond" w:cstheme="minorHAnsi"/>
                <w:b w:val="0"/>
                <w:color w:val="auto"/>
                <w:sz w:val="22"/>
                <w:szCs w:val="22"/>
              </w:rPr>
              <w:t>В случае если для соответствующего часа отчетного месяца выполняются нижеперечисленные условия:</w:t>
            </w:r>
          </w:p>
          <w:p w14:paraId="0537E027" w14:textId="77777777" w:rsidR="00295C6D" w:rsidRPr="00A5626D" w:rsidRDefault="00295C6D" w:rsidP="00647FA0">
            <w:pPr>
              <w:pStyle w:val="a8"/>
              <w:numPr>
                <w:ilvl w:val="0"/>
                <w:numId w:val="259"/>
              </w:numPr>
              <w:tabs>
                <w:tab w:val="clear" w:pos="8100"/>
                <w:tab w:val="left" w:pos="960"/>
                <w:tab w:val="left" w:pos="1134"/>
                <w:tab w:val="left" w:pos="7938"/>
              </w:tabs>
              <w:suppressAutoHyphens w:val="0"/>
              <w:autoSpaceDE w:val="0"/>
              <w:autoSpaceDN w:val="0"/>
              <w:spacing w:before="120" w:after="120" w:line="22" w:lineRule="atLeast"/>
              <w:ind w:left="0" w:firstLine="629"/>
              <w:rPr>
                <w:rFonts w:ascii="Garamond" w:hAnsi="Garamond" w:cstheme="minorHAnsi"/>
                <w:sz w:val="22"/>
                <w:szCs w:val="22"/>
              </w:rPr>
            </w:pPr>
            <w:r w:rsidRPr="00A5626D">
              <w:rPr>
                <w:rFonts w:ascii="Garamond" w:hAnsi="Garamond" w:cstheme="minorHAnsi"/>
                <w:sz w:val="22"/>
                <w:szCs w:val="22"/>
              </w:rPr>
              <w:t>отсутствует направленный участником оптового рынка и принятый КО к расчетам корректирующий акт учета (оборота) по ГТП генерации (макет 51075);</w:t>
            </w:r>
          </w:p>
          <w:p w14:paraId="4B9EDF81" w14:textId="77777777" w:rsidR="00295C6D" w:rsidRPr="00A5626D" w:rsidRDefault="00295C6D" w:rsidP="00647FA0">
            <w:pPr>
              <w:pStyle w:val="a8"/>
              <w:numPr>
                <w:ilvl w:val="0"/>
                <w:numId w:val="259"/>
              </w:numPr>
              <w:tabs>
                <w:tab w:val="clear" w:pos="8100"/>
                <w:tab w:val="left" w:pos="960"/>
                <w:tab w:val="left" w:pos="1134"/>
                <w:tab w:val="left" w:pos="7938"/>
              </w:tabs>
              <w:suppressAutoHyphens w:val="0"/>
              <w:autoSpaceDE w:val="0"/>
              <w:autoSpaceDN w:val="0"/>
              <w:spacing w:before="120" w:after="120" w:line="22" w:lineRule="atLeast"/>
              <w:ind w:left="0" w:firstLine="629"/>
              <w:rPr>
                <w:rFonts w:ascii="Garamond" w:hAnsi="Garamond" w:cstheme="minorHAnsi"/>
                <w:sz w:val="22"/>
                <w:szCs w:val="22"/>
              </w:rPr>
            </w:pPr>
            <w:r w:rsidRPr="00A5626D">
              <w:rPr>
                <w:rFonts w:ascii="Garamond" w:hAnsi="Garamond" w:cstheme="minorHAnsi"/>
                <w:sz w:val="22"/>
                <w:szCs w:val="22"/>
              </w:rPr>
              <w:t xml:space="preserve">на официальном сайте КО в разделе «Данные АИИС» отсутствует сформированный в соответствии с п. </w:t>
            </w:r>
            <w:r w:rsidRPr="00A5626D">
              <w:rPr>
                <w:rFonts w:ascii="Garamond" w:hAnsi="Garamond" w:cstheme="minorHAnsi"/>
                <w:sz w:val="22"/>
                <w:szCs w:val="22"/>
                <w:highlight w:val="yellow"/>
              </w:rPr>
              <w:t>7.3</w:t>
            </w:r>
            <w:r w:rsidRPr="00A5626D">
              <w:rPr>
                <w:rFonts w:ascii="Garamond" w:hAnsi="Garamond" w:cstheme="minorHAnsi"/>
                <w:sz w:val="22"/>
                <w:szCs w:val="22"/>
              </w:rPr>
              <w:t xml:space="preserve"> настоящего Регламента акт учета (оборота) по ГТП генерации (макет 51020);</w:t>
            </w:r>
          </w:p>
          <w:p w14:paraId="28F13F91" w14:textId="77777777" w:rsidR="00295C6D" w:rsidRPr="00A5626D" w:rsidRDefault="00295C6D" w:rsidP="00647FA0">
            <w:pPr>
              <w:pStyle w:val="a8"/>
              <w:numPr>
                <w:ilvl w:val="0"/>
                <w:numId w:val="259"/>
              </w:numPr>
              <w:tabs>
                <w:tab w:val="clear" w:pos="8100"/>
                <w:tab w:val="left" w:pos="960"/>
                <w:tab w:val="left" w:pos="1134"/>
                <w:tab w:val="left" w:pos="7938"/>
              </w:tabs>
              <w:suppressAutoHyphens w:val="0"/>
              <w:autoSpaceDE w:val="0"/>
              <w:autoSpaceDN w:val="0"/>
              <w:spacing w:before="120" w:after="120" w:line="22" w:lineRule="atLeast"/>
              <w:ind w:left="0" w:firstLine="629"/>
              <w:rPr>
                <w:rFonts w:ascii="Garamond" w:hAnsi="Garamond" w:cstheme="minorHAnsi"/>
                <w:sz w:val="22"/>
                <w:szCs w:val="22"/>
              </w:rPr>
            </w:pPr>
            <w:r w:rsidRPr="00A5626D">
              <w:rPr>
                <w:rFonts w:ascii="Garamond" w:hAnsi="Garamond" w:cstheme="minorHAnsi"/>
                <w:sz w:val="22"/>
                <w:szCs w:val="22"/>
              </w:rPr>
              <w:t>от СО в соответствии с п. 4.3 настоящего Регламента получены оперативные данные, сформированные на основе телеинформации, –</w:t>
            </w:r>
          </w:p>
          <w:p w14:paraId="4A206023" w14:textId="77777777" w:rsidR="00295C6D" w:rsidRPr="00A5626D" w:rsidRDefault="00295C6D" w:rsidP="00647FA0">
            <w:pPr>
              <w:shd w:val="clear" w:color="auto" w:fill="FFFFFF"/>
              <w:tabs>
                <w:tab w:val="left" w:pos="1134"/>
                <w:tab w:val="left" w:pos="7938"/>
              </w:tabs>
              <w:spacing w:before="120" w:after="120" w:line="22" w:lineRule="atLeast"/>
              <w:ind w:firstLine="629"/>
              <w:jc w:val="both"/>
              <w:rPr>
                <w:rFonts w:ascii="Garamond" w:hAnsi="Garamond" w:cstheme="minorHAnsi"/>
                <w:sz w:val="22"/>
                <w:szCs w:val="22"/>
              </w:rPr>
            </w:pPr>
            <w:r w:rsidRPr="00A5626D">
              <w:rPr>
                <w:rFonts w:ascii="Garamond" w:hAnsi="Garamond" w:cstheme="minorHAnsi"/>
                <w:sz w:val="22"/>
                <w:szCs w:val="22"/>
              </w:rPr>
              <w:t>значение учетного показателя в ГТП генерации для вышеуказанного часа отчетного месяца равно:</w:t>
            </w:r>
          </w:p>
          <w:p w14:paraId="5714FCF9" w14:textId="533774FB" w:rsidR="00295C6D" w:rsidRPr="00A5626D" w:rsidRDefault="008800D7" w:rsidP="00647FA0">
            <w:pPr>
              <w:shd w:val="clear" w:color="auto" w:fill="FFFFFF"/>
              <w:tabs>
                <w:tab w:val="left" w:pos="1134"/>
                <w:tab w:val="left" w:pos="7938"/>
              </w:tabs>
              <w:spacing w:before="120" w:after="120" w:line="22" w:lineRule="atLeast"/>
              <w:ind w:firstLine="629"/>
              <w:jc w:val="both"/>
              <w:rPr>
                <w:rFonts w:ascii="Garamond" w:hAnsi="Garamond" w:cstheme="minorHAnsi"/>
                <w:sz w:val="22"/>
                <w:szCs w:val="22"/>
              </w:rPr>
            </w:pPr>
            <m:oMath>
              <m:sSub>
                <m:sSubPr>
                  <m:ctrlPr>
                    <w:rPr>
                      <w:rFonts w:ascii="Cambria Math" w:hAnsi="Cambria Math" w:cstheme="minorHAnsi"/>
                      <w:i/>
                      <w:sz w:val="22"/>
                      <w:szCs w:val="22"/>
                    </w:rPr>
                  </m:ctrlPr>
                </m:sSubPr>
                <m:e>
                  <m:r>
                    <w:rPr>
                      <w:rFonts w:ascii="Cambria Math" w:hAnsi="Cambria Math" w:cstheme="minorHAnsi"/>
                      <w:sz w:val="22"/>
                      <w:szCs w:val="22"/>
                    </w:rPr>
                    <m:t>V</m:t>
                  </m:r>
                </m:e>
                <m:sub>
                  <m:r>
                    <w:rPr>
                      <w:rFonts w:ascii="Cambria Math" w:hAnsi="Cambria Math" w:cstheme="minorHAnsi"/>
                      <w:sz w:val="22"/>
                      <w:szCs w:val="22"/>
                    </w:rPr>
                    <m:t>ген.змр.</m:t>
                  </m:r>
                  <m:r>
                    <w:rPr>
                      <w:rFonts w:ascii="Cambria Math" w:hAnsi="Cambria Math" w:cstheme="minorHAnsi"/>
                      <w:sz w:val="22"/>
                      <w:szCs w:val="22"/>
                      <w:lang w:val="en-US"/>
                    </w:rPr>
                    <m:t>i</m:t>
                  </m:r>
                </m:sub>
              </m:sSub>
              <m:r>
                <w:rPr>
                  <w:rFonts w:ascii="Cambria Math" w:hAnsi="Cambria Math" w:cstheme="minorHAnsi"/>
                  <w:sz w:val="22"/>
                  <w:szCs w:val="22"/>
                </w:rPr>
                <m:t>=</m:t>
              </m:r>
            </m:oMath>
            <w:r w:rsidR="00295C6D" w:rsidRPr="00A5626D">
              <w:rPr>
                <w:rFonts w:ascii="Garamond" w:hAnsi="Garamond" w:cstheme="minorHAnsi"/>
                <w:sz w:val="22"/>
                <w:szCs w:val="22"/>
              </w:rPr>
              <w:t xml:space="preserve"> </w:t>
            </w:r>
            <m:oMath>
              <m:sSubSup>
                <m:sSubSupPr>
                  <m:ctrlPr>
                    <w:rPr>
                      <w:rFonts w:ascii="Cambria Math" w:hAnsi="Cambria Math" w:cstheme="minorHAnsi"/>
                      <w:i/>
                      <w:sz w:val="22"/>
                      <w:szCs w:val="22"/>
                    </w:rPr>
                  </m:ctrlPr>
                </m:sSubSupPr>
                <m:e>
                  <m:r>
                    <w:rPr>
                      <w:rFonts w:ascii="Cambria Math" w:hAnsi="Cambria Math" w:cstheme="minorHAnsi"/>
                      <w:sz w:val="22"/>
                      <w:szCs w:val="22"/>
                      <w:lang w:val="en-US"/>
                    </w:rPr>
                    <m:t>V</m:t>
                  </m:r>
                </m:e>
                <m:sub>
                  <m:r>
                    <w:rPr>
                      <w:rFonts w:ascii="Cambria Math" w:hAnsi="Cambria Math" w:cstheme="minorHAnsi"/>
                      <w:sz w:val="22"/>
                      <w:szCs w:val="22"/>
                    </w:rPr>
                    <m:t>ген.ти.</m:t>
                  </m:r>
                  <m:r>
                    <w:rPr>
                      <w:rFonts w:ascii="Cambria Math" w:hAnsi="Cambria Math" w:cstheme="minorHAnsi"/>
                      <w:sz w:val="22"/>
                      <w:szCs w:val="22"/>
                      <w:lang w:val="en-US"/>
                    </w:rPr>
                    <m:t>i</m:t>
                  </m:r>
                </m:sub>
                <m:sup>
                  <m:r>
                    <w:rPr>
                      <w:rFonts w:ascii="Cambria Math" w:hAnsi="Cambria Math" w:cstheme="minorHAnsi"/>
                      <w:sz w:val="22"/>
                      <w:szCs w:val="22"/>
                    </w:rPr>
                    <m:t>СО</m:t>
                  </m:r>
                </m:sup>
              </m:sSubSup>
            </m:oMath>
            <w:r w:rsidR="00295C6D" w:rsidRPr="00A5626D">
              <w:rPr>
                <w:rFonts w:ascii="Garamond" w:hAnsi="Garamond" w:cstheme="minorHAnsi"/>
                <w:sz w:val="22"/>
                <w:szCs w:val="22"/>
              </w:rPr>
              <w:t>.</w:t>
            </w:r>
          </w:p>
          <w:p w14:paraId="1B518A72" w14:textId="77777777" w:rsidR="00295C6D" w:rsidRPr="00A5626D" w:rsidRDefault="00295C6D" w:rsidP="00647FA0">
            <w:pPr>
              <w:pStyle w:val="3"/>
              <w:keepNext w:val="0"/>
              <w:numPr>
                <w:ilvl w:val="2"/>
                <w:numId w:val="264"/>
              </w:numPr>
              <w:tabs>
                <w:tab w:val="left" w:pos="1134"/>
                <w:tab w:val="left" w:pos="7938"/>
              </w:tabs>
              <w:suppressAutoHyphens w:val="0"/>
              <w:spacing w:before="120" w:after="120" w:line="22" w:lineRule="atLeast"/>
              <w:ind w:left="0" w:firstLine="629"/>
              <w:jc w:val="both"/>
              <w:rPr>
                <w:rFonts w:ascii="Garamond" w:hAnsi="Garamond" w:cstheme="minorHAnsi"/>
                <w:b w:val="0"/>
                <w:color w:val="auto"/>
                <w:sz w:val="22"/>
                <w:szCs w:val="22"/>
              </w:rPr>
            </w:pPr>
            <w:r w:rsidRPr="00A5626D">
              <w:rPr>
                <w:rFonts w:ascii="Garamond" w:hAnsi="Garamond" w:cstheme="minorHAnsi"/>
                <w:b w:val="0"/>
                <w:color w:val="auto"/>
                <w:sz w:val="22"/>
                <w:szCs w:val="22"/>
              </w:rPr>
              <w:lastRenderedPageBreak/>
              <w:t>В случае если для соответствующего часа отчетного месяца выполняются нижеперечисленные условия:</w:t>
            </w:r>
          </w:p>
          <w:p w14:paraId="2238E798" w14:textId="77777777" w:rsidR="00295C6D" w:rsidRPr="00A5626D" w:rsidRDefault="00295C6D" w:rsidP="00647FA0">
            <w:pPr>
              <w:pStyle w:val="a8"/>
              <w:numPr>
                <w:ilvl w:val="0"/>
                <w:numId w:val="259"/>
              </w:numPr>
              <w:tabs>
                <w:tab w:val="clear" w:pos="8100"/>
                <w:tab w:val="left" w:pos="960"/>
                <w:tab w:val="left" w:pos="1134"/>
                <w:tab w:val="left" w:pos="7938"/>
              </w:tabs>
              <w:suppressAutoHyphens w:val="0"/>
              <w:autoSpaceDE w:val="0"/>
              <w:autoSpaceDN w:val="0"/>
              <w:spacing w:before="120" w:after="120" w:line="22" w:lineRule="atLeast"/>
              <w:ind w:left="0" w:firstLine="629"/>
              <w:rPr>
                <w:rFonts w:ascii="Garamond" w:hAnsi="Garamond" w:cstheme="minorHAnsi"/>
                <w:sz w:val="22"/>
                <w:szCs w:val="22"/>
              </w:rPr>
            </w:pPr>
            <w:r w:rsidRPr="00A5626D">
              <w:rPr>
                <w:rFonts w:ascii="Garamond" w:hAnsi="Garamond" w:cstheme="minorHAnsi"/>
                <w:sz w:val="22"/>
                <w:szCs w:val="22"/>
              </w:rPr>
              <w:t>отсутствует направленный участником оптового рынка и принятый КО к расчетам корректирующий акт учета (оборота) по ГТП генерации (макет 51075);</w:t>
            </w:r>
          </w:p>
          <w:p w14:paraId="7C198430" w14:textId="77777777" w:rsidR="00295C6D" w:rsidRPr="00A5626D" w:rsidRDefault="00295C6D" w:rsidP="00647FA0">
            <w:pPr>
              <w:pStyle w:val="a8"/>
              <w:numPr>
                <w:ilvl w:val="0"/>
                <w:numId w:val="259"/>
              </w:numPr>
              <w:tabs>
                <w:tab w:val="clear" w:pos="8100"/>
                <w:tab w:val="left" w:pos="960"/>
                <w:tab w:val="left" w:pos="1134"/>
                <w:tab w:val="left" w:pos="7938"/>
              </w:tabs>
              <w:suppressAutoHyphens w:val="0"/>
              <w:autoSpaceDE w:val="0"/>
              <w:autoSpaceDN w:val="0"/>
              <w:spacing w:before="120" w:after="120" w:line="22" w:lineRule="atLeast"/>
              <w:ind w:left="0" w:firstLine="629"/>
              <w:rPr>
                <w:rFonts w:ascii="Garamond" w:hAnsi="Garamond" w:cstheme="minorHAnsi"/>
                <w:sz w:val="22"/>
                <w:szCs w:val="22"/>
              </w:rPr>
            </w:pPr>
            <w:r w:rsidRPr="00A5626D">
              <w:rPr>
                <w:rFonts w:ascii="Garamond" w:hAnsi="Garamond" w:cstheme="minorHAnsi"/>
                <w:sz w:val="22"/>
                <w:szCs w:val="22"/>
              </w:rPr>
              <w:t xml:space="preserve">на официальном сайте КО в разделе «Данные АИИС» отсутствует сформированный в соответствии с п. </w:t>
            </w:r>
            <w:r w:rsidRPr="00A5626D">
              <w:rPr>
                <w:rFonts w:ascii="Garamond" w:hAnsi="Garamond" w:cstheme="minorHAnsi"/>
                <w:sz w:val="22"/>
                <w:szCs w:val="22"/>
                <w:highlight w:val="yellow"/>
              </w:rPr>
              <w:t>7.3</w:t>
            </w:r>
            <w:r w:rsidRPr="00A5626D">
              <w:rPr>
                <w:rFonts w:ascii="Garamond" w:hAnsi="Garamond" w:cstheme="minorHAnsi"/>
                <w:sz w:val="22"/>
                <w:szCs w:val="22"/>
              </w:rPr>
              <w:t xml:space="preserve"> настоящего Регламента акт учета (оборота) по ГТП генерации (макет 51020);</w:t>
            </w:r>
          </w:p>
          <w:p w14:paraId="79F11AB2" w14:textId="77777777" w:rsidR="00295C6D" w:rsidRPr="00A5626D" w:rsidRDefault="00295C6D" w:rsidP="00647FA0">
            <w:pPr>
              <w:pStyle w:val="a8"/>
              <w:numPr>
                <w:ilvl w:val="0"/>
                <w:numId w:val="259"/>
              </w:numPr>
              <w:tabs>
                <w:tab w:val="clear" w:pos="8100"/>
                <w:tab w:val="left" w:pos="960"/>
                <w:tab w:val="left" w:pos="1134"/>
                <w:tab w:val="left" w:pos="7938"/>
              </w:tabs>
              <w:suppressAutoHyphens w:val="0"/>
              <w:autoSpaceDE w:val="0"/>
              <w:autoSpaceDN w:val="0"/>
              <w:spacing w:before="120" w:after="120" w:line="22" w:lineRule="atLeast"/>
              <w:ind w:left="0" w:firstLine="629"/>
              <w:rPr>
                <w:rFonts w:ascii="Garamond" w:hAnsi="Garamond" w:cstheme="minorHAnsi"/>
                <w:sz w:val="22"/>
                <w:szCs w:val="22"/>
              </w:rPr>
            </w:pPr>
            <w:r w:rsidRPr="00A5626D">
              <w:rPr>
                <w:rFonts w:ascii="Garamond" w:hAnsi="Garamond" w:cstheme="minorHAnsi"/>
                <w:sz w:val="22"/>
                <w:szCs w:val="22"/>
              </w:rPr>
              <w:t>от СО в соответствии с п. 4.3 настоящего Регламента получены данные, сформированные на основе уточненного диспетчерского графика (СО установлен признак недостоверности данных, сформированных на основании телеинформации), –</w:t>
            </w:r>
          </w:p>
          <w:p w14:paraId="319A2935" w14:textId="2D8E9D89" w:rsidR="00295C6D" w:rsidRPr="00A5626D" w:rsidRDefault="00295C6D" w:rsidP="00647FA0">
            <w:pPr>
              <w:shd w:val="clear" w:color="auto" w:fill="FFFFFF"/>
              <w:tabs>
                <w:tab w:val="left" w:pos="1134"/>
                <w:tab w:val="left" w:pos="7938"/>
              </w:tabs>
              <w:spacing w:before="120" w:after="120" w:line="22" w:lineRule="atLeast"/>
              <w:ind w:firstLine="629"/>
              <w:jc w:val="both"/>
              <w:rPr>
                <w:rFonts w:ascii="Garamond" w:hAnsi="Garamond" w:cstheme="minorHAnsi"/>
                <w:sz w:val="22"/>
                <w:szCs w:val="22"/>
              </w:rPr>
            </w:pPr>
            <w:r w:rsidRPr="00A5626D">
              <w:rPr>
                <w:rFonts w:ascii="Garamond" w:hAnsi="Garamond" w:cstheme="minorHAnsi"/>
                <w:sz w:val="22"/>
                <w:szCs w:val="22"/>
              </w:rPr>
              <w:t>значение учетного показателя в ГТП генерации для вышеуказанного часа отчетного месяца равно:</w:t>
            </w:r>
            <w:r w:rsidR="009B5F03" w:rsidRPr="00A5626D">
              <w:rPr>
                <w:rFonts w:ascii="Garamond" w:hAnsi="Garamond" w:cstheme="minorHAnsi"/>
                <w:sz w:val="22"/>
                <w:szCs w:val="22"/>
              </w:rPr>
              <w:t xml:space="preserve"> </w:t>
            </w:r>
          </w:p>
          <w:p w14:paraId="022BAA8D" w14:textId="2DBA1522" w:rsidR="00295C6D" w:rsidRPr="00A5626D" w:rsidRDefault="008800D7" w:rsidP="00647FA0">
            <w:pPr>
              <w:shd w:val="clear" w:color="auto" w:fill="FFFFFF"/>
              <w:tabs>
                <w:tab w:val="left" w:pos="1134"/>
                <w:tab w:val="left" w:pos="7938"/>
              </w:tabs>
              <w:spacing w:before="120" w:after="120" w:line="22" w:lineRule="atLeast"/>
              <w:ind w:firstLine="629"/>
              <w:jc w:val="both"/>
              <w:rPr>
                <w:rFonts w:ascii="Garamond" w:hAnsi="Garamond" w:cstheme="minorHAnsi"/>
                <w:sz w:val="22"/>
                <w:szCs w:val="22"/>
              </w:rPr>
            </w:pPr>
            <m:oMath>
              <m:sSub>
                <m:sSubPr>
                  <m:ctrlPr>
                    <w:rPr>
                      <w:rFonts w:ascii="Cambria Math" w:hAnsi="Cambria Math" w:cstheme="minorHAnsi"/>
                      <w:i/>
                      <w:sz w:val="22"/>
                      <w:szCs w:val="22"/>
                    </w:rPr>
                  </m:ctrlPr>
                </m:sSubPr>
                <m:e>
                  <m:r>
                    <w:rPr>
                      <w:rFonts w:ascii="Cambria Math" w:hAnsi="Cambria Math" w:cstheme="minorHAnsi"/>
                      <w:sz w:val="22"/>
                      <w:szCs w:val="22"/>
                    </w:rPr>
                    <m:t>V</m:t>
                  </m:r>
                </m:e>
                <m:sub>
                  <m:r>
                    <w:rPr>
                      <w:rFonts w:ascii="Cambria Math" w:hAnsi="Cambria Math" w:cstheme="minorHAnsi"/>
                      <w:sz w:val="22"/>
                      <w:szCs w:val="22"/>
                    </w:rPr>
                    <m:t>ген.змр.</m:t>
                  </m:r>
                  <m:r>
                    <w:rPr>
                      <w:rFonts w:ascii="Cambria Math" w:hAnsi="Cambria Math" w:cstheme="minorHAnsi"/>
                      <w:sz w:val="22"/>
                      <w:szCs w:val="22"/>
                      <w:lang w:val="en-US"/>
                    </w:rPr>
                    <m:t>i</m:t>
                  </m:r>
                </m:sub>
              </m:sSub>
              <m:r>
                <w:rPr>
                  <w:rFonts w:ascii="Cambria Math" w:hAnsi="Cambria Math" w:cstheme="minorHAnsi"/>
                  <w:sz w:val="22"/>
                  <w:szCs w:val="22"/>
                </w:rPr>
                <m:t>=</m:t>
              </m:r>
            </m:oMath>
            <w:r w:rsidR="00295C6D" w:rsidRPr="00A5626D">
              <w:rPr>
                <w:rFonts w:ascii="Garamond" w:hAnsi="Garamond" w:cstheme="minorHAnsi"/>
                <w:sz w:val="22"/>
                <w:szCs w:val="22"/>
              </w:rPr>
              <w:t xml:space="preserve"> </w:t>
            </w:r>
            <m:oMath>
              <m:sSubSup>
                <m:sSubSupPr>
                  <m:ctrlPr>
                    <w:rPr>
                      <w:rFonts w:ascii="Cambria Math" w:hAnsi="Cambria Math" w:cstheme="minorHAnsi"/>
                      <w:i/>
                      <w:sz w:val="22"/>
                      <w:szCs w:val="22"/>
                    </w:rPr>
                  </m:ctrlPr>
                </m:sSubSupPr>
                <m:e>
                  <m:r>
                    <w:rPr>
                      <w:rFonts w:ascii="Cambria Math" w:hAnsi="Cambria Math" w:cstheme="minorHAnsi"/>
                      <w:sz w:val="22"/>
                      <w:szCs w:val="22"/>
                      <w:lang w:val="en-US"/>
                    </w:rPr>
                    <m:t>V</m:t>
                  </m:r>
                </m:e>
                <m:sub>
                  <m:r>
                    <w:rPr>
                      <w:rFonts w:ascii="Cambria Math" w:hAnsi="Cambria Math" w:cstheme="minorHAnsi"/>
                      <w:sz w:val="22"/>
                      <w:szCs w:val="22"/>
                    </w:rPr>
                    <m:t>ген.удг.</m:t>
                  </m:r>
                  <m:r>
                    <w:rPr>
                      <w:rFonts w:ascii="Cambria Math" w:hAnsi="Cambria Math" w:cstheme="minorHAnsi"/>
                      <w:sz w:val="22"/>
                      <w:szCs w:val="22"/>
                      <w:lang w:val="en-US"/>
                    </w:rPr>
                    <m:t>i</m:t>
                  </m:r>
                </m:sub>
                <m:sup>
                  <m:r>
                    <w:rPr>
                      <w:rFonts w:ascii="Cambria Math" w:hAnsi="Cambria Math" w:cstheme="minorHAnsi"/>
                      <w:sz w:val="22"/>
                      <w:szCs w:val="22"/>
                    </w:rPr>
                    <m:t>СО</m:t>
                  </m:r>
                </m:sup>
              </m:sSubSup>
            </m:oMath>
            <w:r w:rsidR="00295C6D" w:rsidRPr="00A5626D">
              <w:rPr>
                <w:rFonts w:ascii="Garamond" w:hAnsi="Garamond" w:cstheme="minorHAnsi"/>
                <w:sz w:val="22"/>
                <w:szCs w:val="22"/>
              </w:rPr>
              <w:t>.</w:t>
            </w:r>
          </w:p>
          <w:p w14:paraId="1DE9F19F" w14:textId="17EEE489" w:rsidR="00295C6D" w:rsidRPr="00A5626D" w:rsidRDefault="00295C6D" w:rsidP="00647FA0">
            <w:pPr>
              <w:shd w:val="clear" w:color="auto" w:fill="FFFFFF"/>
              <w:tabs>
                <w:tab w:val="left" w:pos="1134"/>
                <w:tab w:val="left" w:pos="7938"/>
              </w:tabs>
              <w:spacing w:before="120" w:after="120" w:line="22" w:lineRule="atLeast"/>
              <w:ind w:firstLine="629"/>
              <w:jc w:val="both"/>
              <w:rPr>
                <w:rFonts w:ascii="Garamond" w:hAnsi="Garamond" w:cstheme="minorHAnsi"/>
                <w:sz w:val="22"/>
                <w:szCs w:val="22"/>
              </w:rPr>
            </w:pPr>
            <w:r w:rsidRPr="00A5626D">
              <w:rPr>
                <w:rFonts w:ascii="Garamond" w:hAnsi="Garamond" w:cstheme="minorHAnsi"/>
                <w:sz w:val="22"/>
                <w:szCs w:val="22"/>
              </w:rPr>
              <w:t xml:space="preserve">где </w:t>
            </w:r>
            <m:oMath>
              <m:sSubSup>
                <m:sSubSupPr>
                  <m:ctrlPr>
                    <w:rPr>
                      <w:rFonts w:ascii="Cambria Math" w:hAnsi="Cambria Math" w:cstheme="minorHAnsi"/>
                      <w:i/>
                      <w:sz w:val="22"/>
                      <w:szCs w:val="22"/>
                    </w:rPr>
                  </m:ctrlPr>
                </m:sSubSupPr>
                <m:e>
                  <m:r>
                    <w:rPr>
                      <w:rFonts w:ascii="Cambria Math" w:hAnsi="Cambria Math" w:cstheme="minorHAnsi"/>
                      <w:sz w:val="22"/>
                      <w:szCs w:val="22"/>
                      <w:lang w:val="en-US"/>
                    </w:rPr>
                    <m:t>V</m:t>
                  </m:r>
                </m:e>
                <m:sub>
                  <m:r>
                    <w:rPr>
                      <w:rFonts w:ascii="Cambria Math" w:hAnsi="Cambria Math" w:cstheme="minorHAnsi"/>
                      <w:sz w:val="22"/>
                      <w:szCs w:val="22"/>
                    </w:rPr>
                    <m:t>ген.удг.</m:t>
                  </m:r>
                  <m:r>
                    <w:rPr>
                      <w:rFonts w:ascii="Cambria Math" w:hAnsi="Cambria Math" w:cstheme="minorHAnsi"/>
                      <w:sz w:val="22"/>
                      <w:szCs w:val="22"/>
                      <w:lang w:val="en-US"/>
                    </w:rPr>
                    <m:t>i</m:t>
                  </m:r>
                </m:sub>
                <m:sup>
                  <m:r>
                    <w:rPr>
                      <w:rFonts w:ascii="Cambria Math" w:hAnsi="Cambria Math" w:cstheme="minorHAnsi"/>
                      <w:sz w:val="22"/>
                      <w:szCs w:val="22"/>
                    </w:rPr>
                    <m:t>СО</m:t>
                  </m:r>
                </m:sup>
              </m:sSubSup>
            </m:oMath>
            <w:r w:rsidRPr="00A5626D">
              <w:rPr>
                <w:rFonts w:ascii="Garamond" w:hAnsi="Garamond" w:cstheme="minorHAnsi"/>
                <w:sz w:val="22"/>
                <w:szCs w:val="22"/>
              </w:rPr>
              <w:t xml:space="preserve"> – величина оперативных данных для часа </w:t>
            </w:r>
            <w:r w:rsidRPr="00A5626D">
              <w:rPr>
                <w:rFonts w:ascii="Garamond" w:hAnsi="Garamond" w:cstheme="minorHAnsi"/>
                <w:i/>
                <w:sz w:val="22"/>
                <w:szCs w:val="22"/>
                <w:lang w:val="en-US"/>
              </w:rPr>
              <w:t>i</w:t>
            </w:r>
            <w:r w:rsidRPr="00A5626D">
              <w:rPr>
                <w:rFonts w:ascii="Garamond" w:hAnsi="Garamond" w:cstheme="minorHAnsi"/>
                <w:sz w:val="22"/>
                <w:szCs w:val="22"/>
              </w:rPr>
              <w:t>, полученных от СО и сформированных на основе уточненного диспетчерского графика, кВт·ч.</w:t>
            </w:r>
          </w:p>
          <w:p w14:paraId="241DF733" w14:textId="77777777" w:rsidR="00295C6D" w:rsidRPr="00A5626D" w:rsidRDefault="00295C6D" w:rsidP="00647FA0">
            <w:pPr>
              <w:shd w:val="clear" w:color="auto" w:fill="FFFFFF"/>
              <w:tabs>
                <w:tab w:val="left" w:pos="1134"/>
                <w:tab w:val="left" w:pos="7938"/>
              </w:tabs>
              <w:spacing w:before="120" w:after="120" w:line="22" w:lineRule="atLeast"/>
              <w:ind w:firstLine="629"/>
              <w:jc w:val="both"/>
              <w:rPr>
                <w:rFonts w:ascii="Garamond" w:hAnsi="Garamond" w:cstheme="minorHAnsi"/>
                <w:sz w:val="22"/>
                <w:szCs w:val="22"/>
              </w:rPr>
            </w:pPr>
            <w:r w:rsidRPr="00A5626D">
              <w:rPr>
                <w:rFonts w:ascii="Garamond" w:hAnsi="Garamond" w:cstheme="minorHAnsi"/>
                <w:sz w:val="22"/>
                <w:szCs w:val="22"/>
              </w:rPr>
              <w:t>…</w:t>
            </w:r>
          </w:p>
          <w:p w14:paraId="2CA12D14" w14:textId="77777777" w:rsidR="00295C6D" w:rsidRPr="00A5626D" w:rsidRDefault="00295C6D" w:rsidP="00647FA0">
            <w:pPr>
              <w:pStyle w:val="3"/>
              <w:keepNext w:val="0"/>
              <w:numPr>
                <w:ilvl w:val="2"/>
                <w:numId w:val="267"/>
              </w:numPr>
              <w:tabs>
                <w:tab w:val="left" w:pos="1134"/>
                <w:tab w:val="left" w:pos="7938"/>
              </w:tabs>
              <w:suppressAutoHyphens w:val="0"/>
              <w:spacing w:before="120" w:after="120" w:line="22" w:lineRule="atLeast"/>
              <w:ind w:left="0" w:firstLine="601"/>
              <w:jc w:val="both"/>
              <w:rPr>
                <w:rFonts w:ascii="Garamond" w:hAnsi="Garamond" w:cstheme="minorHAnsi"/>
                <w:b w:val="0"/>
                <w:color w:val="auto"/>
                <w:sz w:val="22"/>
                <w:szCs w:val="22"/>
              </w:rPr>
            </w:pPr>
            <w:r w:rsidRPr="00A5626D">
              <w:rPr>
                <w:rFonts w:ascii="Garamond" w:hAnsi="Garamond" w:cstheme="minorHAnsi"/>
                <w:b w:val="0"/>
                <w:color w:val="auto"/>
                <w:sz w:val="22"/>
                <w:szCs w:val="22"/>
              </w:rPr>
              <w:t>В случае если для соответствующего часа отчетного месяца выполняются нижеперечисленные условия:</w:t>
            </w:r>
          </w:p>
          <w:p w14:paraId="3E4B3208" w14:textId="77777777" w:rsidR="00295C6D" w:rsidRPr="00A5626D" w:rsidRDefault="00295C6D" w:rsidP="00647FA0">
            <w:pPr>
              <w:pStyle w:val="a8"/>
              <w:numPr>
                <w:ilvl w:val="0"/>
                <w:numId w:val="259"/>
              </w:numPr>
              <w:shd w:val="clear" w:color="auto" w:fill="FFFFFF"/>
              <w:tabs>
                <w:tab w:val="clear" w:pos="8100"/>
                <w:tab w:val="left" w:pos="960"/>
                <w:tab w:val="left" w:pos="1134"/>
                <w:tab w:val="left" w:pos="7938"/>
              </w:tabs>
              <w:suppressAutoHyphens w:val="0"/>
              <w:autoSpaceDE w:val="0"/>
              <w:autoSpaceDN w:val="0"/>
              <w:spacing w:before="120" w:after="120" w:line="22" w:lineRule="atLeast"/>
              <w:ind w:left="0" w:firstLine="629"/>
              <w:rPr>
                <w:rFonts w:ascii="Garamond" w:hAnsi="Garamond" w:cstheme="minorHAnsi"/>
                <w:sz w:val="22"/>
                <w:szCs w:val="22"/>
              </w:rPr>
            </w:pPr>
            <w:r w:rsidRPr="00A5626D">
              <w:rPr>
                <w:rFonts w:ascii="Garamond" w:hAnsi="Garamond" w:cstheme="minorHAnsi"/>
                <w:sz w:val="22"/>
                <w:szCs w:val="22"/>
              </w:rPr>
              <w:t>отсутствует принятый КО к расчетам корректирующий акт учета (оборота) по ГТП генерации (макет 51075);</w:t>
            </w:r>
          </w:p>
          <w:p w14:paraId="65CB279C" w14:textId="77777777" w:rsidR="00295C6D" w:rsidRPr="00A5626D" w:rsidRDefault="00295C6D" w:rsidP="00647FA0">
            <w:pPr>
              <w:pStyle w:val="a8"/>
              <w:numPr>
                <w:ilvl w:val="0"/>
                <w:numId w:val="259"/>
              </w:numPr>
              <w:shd w:val="clear" w:color="auto" w:fill="FFFFFF"/>
              <w:tabs>
                <w:tab w:val="clear" w:pos="8100"/>
                <w:tab w:val="left" w:pos="960"/>
                <w:tab w:val="left" w:pos="1134"/>
                <w:tab w:val="left" w:pos="7938"/>
              </w:tabs>
              <w:suppressAutoHyphens w:val="0"/>
              <w:autoSpaceDE w:val="0"/>
              <w:autoSpaceDN w:val="0"/>
              <w:spacing w:before="120" w:after="120" w:line="22" w:lineRule="atLeast"/>
              <w:ind w:left="0" w:firstLine="629"/>
              <w:rPr>
                <w:rFonts w:ascii="Garamond" w:hAnsi="Garamond" w:cstheme="minorHAnsi"/>
                <w:sz w:val="22"/>
                <w:szCs w:val="22"/>
              </w:rPr>
            </w:pPr>
            <w:r w:rsidRPr="00A5626D">
              <w:rPr>
                <w:rFonts w:ascii="Garamond" w:hAnsi="Garamond" w:cstheme="minorHAnsi"/>
                <w:sz w:val="22"/>
                <w:szCs w:val="22"/>
              </w:rPr>
              <w:t xml:space="preserve">на официальном сайте КО в разделе «Данные АИИС» отсутствует сформированный в соответствии с п. </w:t>
            </w:r>
            <w:r w:rsidRPr="00A5626D">
              <w:rPr>
                <w:rFonts w:ascii="Garamond" w:hAnsi="Garamond" w:cstheme="minorHAnsi"/>
                <w:sz w:val="22"/>
                <w:szCs w:val="22"/>
                <w:highlight w:val="yellow"/>
              </w:rPr>
              <w:t>7.3</w:t>
            </w:r>
            <w:r w:rsidRPr="00A5626D">
              <w:rPr>
                <w:rFonts w:ascii="Garamond" w:hAnsi="Garamond" w:cstheme="minorHAnsi"/>
                <w:sz w:val="22"/>
                <w:szCs w:val="22"/>
              </w:rPr>
              <w:t xml:space="preserve"> настоящего Регламента акт учета (оборота) по ГТП генерации (макет 51020);</w:t>
            </w:r>
          </w:p>
          <w:p w14:paraId="3DBB692F" w14:textId="77777777" w:rsidR="00295C6D" w:rsidRPr="00A5626D" w:rsidRDefault="00295C6D" w:rsidP="00647FA0">
            <w:pPr>
              <w:pStyle w:val="a8"/>
              <w:numPr>
                <w:ilvl w:val="0"/>
                <w:numId w:val="259"/>
              </w:numPr>
              <w:shd w:val="clear" w:color="auto" w:fill="FFFFFF"/>
              <w:tabs>
                <w:tab w:val="clear" w:pos="8100"/>
                <w:tab w:val="left" w:pos="960"/>
                <w:tab w:val="left" w:pos="1134"/>
                <w:tab w:val="left" w:pos="1320"/>
                <w:tab w:val="left" w:pos="7938"/>
              </w:tabs>
              <w:suppressAutoHyphens w:val="0"/>
              <w:autoSpaceDE w:val="0"/>
              <w:autoSpaceDN w:val="0"/>
              <w:spacing w:before="120" w:after="120" w:line="22" w:lineRule="atLeast"/>
              <w:ind w:left="0" w:firstLine="629"/>
              <w:contextualSpacing/>
              <w:rPr>
                <w:rFonts w:ascii="Garamond" w:hAnsi="Garamond" w:cstheme="minorHAnsi"/>
                <w:sz w:val="22"/>
                <w:szCs w:val="22"/>
              </w:rPr>
            </w:pPr>
            <w:r w:rsidRPr="00A5626D">
              <w:rPr>
                <w:rFonts w:ascii="Garamond" w:hAnsi="Garamond" w:cstheme="minorHAnsi"/>
                <w:sz w:val="22"/>
                <w:szCs w:val="22"/>
              </w:rPr>
              <w:t>от СО не получена оперативная информация о выработке электроэнергии по ГТП генерации в соответствии с п. 4.3 настоящего Регламента, – значение учетного показателя в ГТП генерации для вышеуказанного часа отчетного месяца принимается равным нулю.</w:t>
            </w:r>
          </w:p>
          <w:p w14:paraId="59BEFDEC" w14:textId="77777777" w:rsidR="00295C6D" w:rsidRPr="00A5626D" w:rsidRDefault="00295C6D" w:rsidP="00647FA0">
            <w:pPr>
              <w:pStyle w:val="2"/>
              <w:numPr>
                <w:ilvl w:val="0"/>
                <w:numId w:val="0"/>
              </w:numPr>
              <w:tabs>
                <w:tab w:val="left" w:pos="1134"/>
                <w:tab w:val="left" w:pos="7938"/>
              </w:tabs>
              <w:suppressAutoHyphens w:val="0"/>
              <w:spacing w:before="120" w:after="120" w:line="22" w:lineRule="atLeast"/>
              <w:ind w:firstLine="743"/>
              <w:jc w:val="both"/>
              <w:rPr>
                <w:rFonts w:ascii="Garamond" w:hAnsi="Garamond" w:cstheme="minorHAnsi"/>
                <w:b w:val="0"/>
              </w:rPr>
            </w:pPr>
            <w:r w:rsidRPr="00A5626D">
              <w:rPr>
                <w:rFonts w:ascii="Garamond" w:hAnsi="Garamond" w:cstheme="minorHAnsi"/>
                <w:b w:val="0"/>
              </w:rPr>
              <w:t>…</w:t>
            </w:r>
          </w:p>
        </w:tc>
      </w:tr>
      <w:tr w:rsidR="00295C6D" w:rsidRPr="00A5626D" w14:paraId="21242124" w14:textId="77777777" w:rsidTr="00647FA0">
        <w:tc>
          <w:tcPr>
            <w:tcW w:w="1060" w:type="dxa"/>
            <w:vAlign w:val="center"/>
          </w:tcPr>
          <w:p w14:paraId="62B8E918" w14:textId="77777777" w:rsidR="00295C6D" w:rsidRPr="00A5626D" w:rsidRDefault="00295C6D" w:rsidP="00E31AE6">
            <w:pPr>
              <w:widowControl w:val="0"/>
              <w:tabs>
                <w:tab w:val="left" w:pos="1134"/>
                <w:tab w:val="left" w:pos="7938"/>
              </w:tabs>
              <w:spacing w:line="22" w:lineRule="atLeast"/>
              <w:jc w:val="both"/>
              <w:rPr>
                <w:rFonts w:ascii="Garamond" w:hAnsi="Garamond"/>
                <w:b/>
                <w:sz w:val="22"/>
                <w:szCs w:val="22"/>
                <w:lang w:eastAsia="en-US"/>
              </w:rPr>
            </w:pPr>
            <w:r w:rsidRPr="00A5626D">
              <w:rPr>
                <w:rFonts w:ascii="Garamond" w:hAnsi="Garamond"/>
                <w:b/>
                <w:sz w:val="22"/>
                <w:szCs w:val="22"/>
                <w:lang w:eastAsia="en-US"/>
              </w:rPr>
              <w:lastRenderedPageBreak/>
              <w:t>9.1</w:t>
            </w:r>
          </w:p>
        </w:tc>
        <w:tc>
          <w:tcPr>
            <w:tcW w:w="6662" w:type="dxa"/>
          </w:tcPr>
          <w:p w14:paraId="6AD31CBA" w14:textId="77777777" w:rsidR="00295C6D" w:rsidRPr="00A5626D" w:rsidRDefault="00295C6D" w:rsidP="00647FA0">
            <w:pPr>
              <w:pStyle w:val="2"/>
              <w:numPr>
                <w:ilvl w:val="0"/>
                <w:numId w:val="0"/>
              </w:numPr>
              <w:tabs>
                <w:tab w:val="left" w:pos="1134"/>
                <w:tab w:val="left" w:pos="7938"/>
              </w:tabs>
              <w:suppressAutoHyphens w:val="0"/>
              <w:spacing w:before="120" w:after="120" w:line="22" w:lineRule="atLeast"/>
              <w:ind w:firstLine="629"/>
              <w:jc w:val="both"/>
              <w:rPr>
                <w:rFonts w:ascii="Garamond" w:hAnsi="Garamond" w:cstheme="minorHAnsi"/>
                <w:b w:val="0"/>
              </w:rPr>
            </w:pPr>
            <w:r w:rsidRPr="00A5626D">
              <w:rPr>
                <w:rFonts w:ascii="Garamond" w:hAnsi="Garamond" w:cstheme="minorHAnsi"/>
                <w:b w:val="0"/>
              </w:rPr>
              <w:t xml:space="preserve">КО обязуется принять и обработать надлежащим образом данные коммерческого учета, сформированные (направленные) участниками оптового рынка </w:t>
            </w:r>
            <w:r w:rsidRPr="00A5626D">
              <w:rPr>
                <w:rFonts w:ascii="Garamond" w:hAnsi="Garamond" w:cstheme="minorHAnsi"/>
                <w:b w:val="0"/>
                <w:highlight w:val="yellow"/>
              </w:rPr>
              <w:t>(</w:t>
            </w:r>
            <w:r w:rsidRPr="00A5626D">
              <w:rPr>
                <w:rFonts w:ascii="Garamond" w:hAnsi="Garamond" w:cstheme="minorHAnsi"/>
                <w:b w:val="0"/>
              </w:rPr>
              <w:t>ФСК</w:t>
            </w:r>
            <w:r w:rsidRPr="00A5626D">
              <w:rPr>
                <w:rFonts w:ascii="Garamond" w:hAnsi="Garamond" w:cstheme="minorHAnsi"/>
                <w:b w:val="0"/>
                <w:highlight w:val="yellow"/>
              </w:rPr>
              <w:t>)</w:t>
            </w:r>
            <w:r w:rsidRPr="00A5626D">
              <w:rPr>
                <w:rFonts w:ascii="Garamond" w:hAnsi="Garamond" w:cstheme="minorHAnsi"/>
                <w:b w:val="0"/>
              </w:rPr>
              <w:t xml:space="preserve"> в соответствии с условиями настоящего Регламента.</w:t>
            </w:r>
          </w:p>
          <w:p w14:paraId="4001F1B3" w14:textId="77777777" w:rsidR="00295C6D" w:rsidRPr="00A5626D" w:rsidRDefault="00295C6D" w:rsidP="00647FA0">
            <w:pPr>
              <w:pStyle w:val="2"/>
              <w:numPr>
                <w:ilvl w:val="0"/>
                <w:numId w:val="0"/>
              </w:numPr>
              <w:tabs>
                <w:tab w:val="left" w:pos="1134"/>
                <w:tab w:val="left" w:pos="7938"/>
              </w:tabs>
              <w:suppressAutoHyphens w:val="0"/>
              <w:spacing w:before="120" w:after="120" w:line="22" w:lineRule="atLeast"/>
              <w:ind w:firstLine="629"/>
              <w:jc w:val="both"/>
              <w:rPr>
                <w:rFonts w:ascii="Garamond" w:hAnsi="Garamond" w:cstheme="minorHAnsi"/>
                <w:b w:val="0"/>
              </w:rPr>
            </w:pPr>
            <w:r w:rsidRPr="00A5626D">
              <w:rPr>
                <w:rFonts w:ascii="Garamond" w:hAnsi="Garamond" w:cstheme="minorHAnsi"/>
                <w:b w:val="0"/>
              </w:rPr>
              <w:t>Прием и обработка данных коммерческого учета для целей финансовых расчетов производится применительно только к тем сечениям коммерческого учета и группам точек поставки, в отношении которых субъект оптового рынка допущен к торговой системе оптового рынка.</w:t>
            </w:r>
          </w:p>
        </w:tc>
        <w:tc>
          <w:tcPr>
            <w:tcW w:w="7088" w:type="dxa"/>
          </w:tcPr>
          <w:p w14:paraId="25A229AF" w14:textId="77777777" w:rsidR="00295C6D" w:rsidRPr="00A5626D" w:rsidRDefault="00295C6D" w:rsidP="00647FA0">
            <w:pPr>
              <w:pStyle w:val="2"/>
              <w:numPr>
                <w:ilvl w:val="0"/>
                <w:numId w:val="0"/>
              </w:numPr>
              <w:tabs>
                <w:tab w:val="left" w:pos="1134"/>
                <w:tab w:val="left" w:pos="7938"/>
              </w:tabs>
              <w:suppressAutoHyphens w:val="0"/>
              <w:spacing w:before="120" w:after="120" w:line="22" w:lineRule="atLeast"/>
              <w:ind w:firstLine="629"/>
              <w:jc w:val="both"/>
              <w:rPr>
                <w:rFonts w:ascii="Garamond" w:hAnsi="Garamond" w:cstheme="minorHAnsi"/>
                <w:b w:val="0"/>
              </w:rPr>
            </w:pPr>
            <w:r w:rsidRPr="00A5626D">
              <w:rPr>
                <w:rFonts w:ascii="Garamond" w:hAnsi="Garamond" w:cstheme="minorHAnsi"/>
                <w:b w:val="0"/>
              </w:rPr>
              <w:t>КО обязуется принять и обработать надлежащим образом данные коммерческого учета, сформированные (направленные) участниками оптового рынка</w:t>
            </w:r>
            <w:r w:rsidRPr="00A5626D">
              <w:rPr>
                <w:rFonts w:ascii="Garamond" w:hAnsi="Garamond" w:cstheme="minorHAnsi"/>
                <w:b w:val="0"/>
                <w:highlight w:val="yellow"/>
              </w:rPr>
              <w:t>,</w:t>
            </w:r>
            <w:r w:rsidRPr="00A5626D">
              <w:rPr>
                <w:rFonts w:ascii="Garamond" w:hAnsi="Garamond" w:cstheme="minorHAnsi"/>
                <w:b w:val="0"/>
              </w:rPr>
              <w:t xml:space="preserve"> ФСК</w:t>
            </w:r>
            <w:r w:rsidRPr="00A5626D">
              <w:rPr>
                <w:rFonts w:ascii="Garamond" w:hAnsi="Garamond" w:cstheme="minorHAnsi"/>
                <w:b w:val="0"/>
                <w:highlight w:val="yellow"/>
              </w:rPr>
              <w:t>, агрегаторами</w:t>
            </w:r>
            <w:r w:rsidRPr="00A5626D">
              <w:rPr>
                <w:rFonts w:ascii="Garamond" w:hAnsi="Garamond" w:cstheme="minorHAnsi"/>
                <w:b w:val="0"/>
              </w:rPr>
              <w:t xml:space="preserve"> в соответствии с условиями настоящего Регламента.</w:t>
            </w:r>
          </w:p>
          <w:p w14:paraId="5925E741" w14:textId="77777777" w:rsidR="00295C6D" w:rsidRPr="00A5626D" w:rsidRDefault="00295C6D" w:rsidP="00647FA0">
            <w:pPr>
              <w:pStyle w:val="2"/>
              <w:numPr>
                <w:ilvl w:val="0"/>
                <w:numId w:val="0"/>
              </w:numPr>
              <w:tabs>
                <w:tab w:val="left" w:pos="1134"/>
                <w:tab w:val="left" w:pos="7938"/>
              </w:tabs>
              <w:suppressAutoHyphens w:val="0"/>
              <w:spacing w:before="120" w:after="120" w:line="22" w:lineRule="atLeast"/>
              <w:ind w:firstLine="743"/>
              <w:jc w:val="both"/>
              <w:rPr>
                <w:rFonts w:ascii="Garamond" w:hAnsi="Garamond" w:cstheme="minorHAnsi"/>
                <w:b w:val="0"/>
              </w:rPr>
            </w:pPr>
            <w:r w:rsidRPr="00A5626D">
              <w:rPr>
                <w:rFonts w:ascii="Garamond" w:hAnsi="Garamond" w:cstheme="minorHAnsi"/>
                <w:b w:val="0"/>
              </w:rPr>
              <w:t>Прием и обработка данных коммерческого учета для целей финансовых расчетов производится применительно только к тем сечениям коммерческого учета и группам точек поставки, в отношении которых субъект оптового рынка допущен к торговой системе оптового рынка.</w:t>
            </w:r>
          </w:p>
          <w:p w14:paraId="1E2589CC" w14:textId="77777777" w:rsidR="00295C6D" w:rsidRPr="00A5626D" w:rsidRDefault="00295C6D" w:rsidP="00647FA0">
            <w:pPr>
              <w:pStyle w:val="2"/>
              <w:numPr>
                <w:ilvl w:val="0"/>
                <w:numId w:val="0"/>
              </w:numPr>
              <w:tabs>
                <w:tab w:val="left" w:pos="1134"/>
                <w:tab w:val="left" w:pos="7938"/>
              </w:tabs>
              <w:suppressAutoHyphens w:val="0"/>
              <w:spacing w:before="120" w:after="120" w:line="22" w:lineRule="atLeast"/>
              <w:ind w:firstLine="743"/>
              <w:jc w:val="both"/>
              <w:rPr>
                <w:rFonts w:ascii="Garamond" w:hAnsi="Garamond"/>
              </w:rPr>
            </w:pPr>
            <w:r w:rsidRPr="00A5626D">
              <w:rPr>
                <w:rFonts w:ascii="Garamond" w:hAnsi="Garamond" w:cstheme="minorHAnsi"/>
                <w:b w:val="0"/>
                <w:highlight w:val="yellow"/>
              </w:rPr>
              <w:t xml:space="preserve">Прием и обработка данных коммерческого учета для целей последующего определения объема оказанных услуг по управлению изменением режима потребления производится применительно к зарегистрированным объектам регулирования, начиная с отчетного месяца, следующего за месяцем регистрации объекта регулирования в порядке, установленном </w:t>
            </w:r>
            <w:r w:rsidRPr="00A5626D">
              <w:rPr>
                <w:rFonts w:ascii="Garamond" w:hAnsi="Garamond" w:cstheme="minorHAnsi"/>
                <w:b w:val="0"/>
                <w:i/>
                <w:highlight w:val="yellow"/>
              </w:rPr>
              <w:t xml:space="preserve">Положением о порядке получения статуса субъекта оптового рынка и ведения реестра субъектов оптового рынка </w:t>
            </w:r>
            <w:r w:rsidRPr="00A5626D">
              <w:rPr>
                <w:rFonts w:ascii="Garamond" w:hAnsi="Garamond" w:cstheme="minorHAnsi"/>
                <w:b w:val="0"/>
                <w:highlight w:val="yellow"/>
              </w:rPr>
              <w:t xml:space="preserve">(Приложение № 1.1 к </w:t>
            </w:r>
            <w:r w:rsidRPr="00A5626D">
              <w:rPr>
                <w:rFonts w:ascii="Garamond" w:hAnsi="Garamond" w:cstheme="minorHAnsi"/>
                <w:b w:val="0"/>
                <w:i/>
                <w:highlight w:val="yellow"/>
              </w:rPr>
              <w:t>Договору о присоединении к торговой системе оптового рынка</w:t>
            </w:r>
            <w:r w:rsidRPr="00A5626D">
              <w:rPr>
                <w:rFonts w:ascii="Garamond" w:hAnsi="Garamond" w:cstheme="minorHAnsi"/>
                <w:b w:val="0"/>
                <w:highlight w:val="yellow"/>
              </w:rPr>
              <w:t>).</w:t>
            </w:r>
          </w:p>
        </w:tc>
      </w:tr>
      <w:tr w:rsidR="00295C6D" w:rsidRPr="00A5626D" w14:paraId="38AA5E45" w14:textId="77777777" w:rsidTr="00647FA0">
        <w:tc>
          <w:tcPr>
            <w:tcW w:w="1060" w:type="dxa"/>
            <w:vAlign w:val="center"/>
          </w:tcPr>
          <w:p w14:paraId="0218273E" w14:textId="77777777" w:rsidR="00295C6D" w:rsidRPr="00A5626D" w:rsidRDefault="00295C6D" w:rsidP="00E31AE6">
            <w:pPr>
              <w:widowControl w:val="0"/>
              <w:tabs>
                <w:tab w:val="left" w:pos="1134"/>
                <w:tab w:val="left" w:pos="7938"/>
              </w:tabs>
              <w:spacing w:line="22" w:lineRule="atLeast"/>
              <w:jc w:val="both"/>
              <w:rPr>
                <w:rFonts w:ascii="Garamond" w:hAnsi="Garamond"/>
                <w:b/>
                <w:sz w:val="22"/>
                <w:szCs w:val="22"/>
                <w:lang w:eastAsia="en-US"/>
              </w:rPr>
            </w:pPr>
            <w:r w:rsidRPr="00A5626D">
              <w:rPr>
                <w:rFonts w:ascii="Garamond" w:hAnsi="Garamond"/>
                <w:b/>
                <w:sz w:val="22"/>
                <w:szCs w:val="22"/>
                <w:lang w:eastAsia="en-US"/>
              </w:rPr>
              <w:t>9.2</w:t>
            </w:r>
          </w:p>
        </w:tc>
        <w:tc>
          <w:tcPr>
            <w:tcW w:w="6662" w:type="dxa"/>
          </w:tcPr>
          <w:p w14:paraId="73A61BBC" w14:textId="77777777" w:rsidR="00295C6D" w:rsidRPr="00A5626D" w:rsidRDefault="00295C6D" w:rsidP="00647FA0">
            <w:pPr>
              <w:pStyle w:val="2"/>
              <w:numPr>
                <w:ilvl w:val="0"/>
                <w:numId w:val="0"/>
              </w:numPr>
              <w:tabs>
                <w:tab w:val="left" w:pos="1134"/>
                <w:tab w:val="left" w:pos="7938"/>
              </w:tabs>
              <w:suppressAutoHyphens w:val="0"/>
              <w:spacing w:before="120" w:after="120" w:line="22" w:lineRule="atLeast"/>
              <w:ind w:firstLine="629"/>
              <w:jc w:val="both"/>
              <w:rPr>
                <w:rFonts w:ascii="Garamond" w:hAnsi="Garamond" w:cstheme="minorHAnsi"/>
                <w:b w:val="0"/>
              </w:rPr>
            </w:pPr>
            <w:r w:rsidRPr="00A5626D">
              <w:rPr>
                <w:rFonts w:ascii="Garamond" w:hAnsi="Garamond" w:cstheme="minorHAnsi"/>
                <w:b w:val="0"/>
              </w:rPr>
              <w:t xml:space="preserve">Для расчетов на ОРЭМ принимаются значения учетных показателей для соответствующего часа, содержащиеся в акте учета (оборота) по ГТП генерации (макет 51020), сформированном поставщиком электроэнергии в соответствии с п. </w:t>
            </w:r>
            <w:r w:rsidRPr="00A5626D">
              <w:rPr>
                <w:rFonts w:ascii="Garamond" w:hAnsi="Garamond" w:cstheme="minorHAnsi"/>
                <w:b w:val="0"/>
                <w:highlight w:val="yellow"/>
              </w:rPr>
              <w:t>3.9</w:t>
            </w:r>
            <w:r w:rsidRPr="00A5626D">
              <w:rPr>
                <w:rFonts w:ascii="Garamond" w:hAnsi="Garamond" w:cstheme="minorHAnsi"/>
                <w:b w:val="0"/>
              </w:rPr>
              <w:t xml:space="preserve"> настоящего Регламента, при выполнении следующих условий:</w:t>
            </w:r>
          </w:p>
          <w:p w14:paraId="4682ED91" w14:textId="0E119321" w:rsidR="00295C6D" w:rsidRPr="00A5626D" w:rsidRDefault="009B5F03" w:rsidP="00647FA0">
            <w:pPr>
              <w:pStyle w:val="2"/>
              <w:numPr>
                <w:ilvl w:val="0"/>
                <w:numId w:val="0"/>
              </w:numPr>
              <w:tabs>
                <w:tab w:val="left" w:pos="1134"/>
                <w:tab w:val="left" w:pos="7938"/>
              </w:tabs>
              <w:suppressAutoHyphens w:val="0"/>
              <w:spacing w:before="120" w:after="120" w:line="22" w:lineRule="atLeast"/>
              <w:ind w:firstLine="629"/>
              <w:jc w:val="both"/>
              <w:rPr>
                <w:rFonts w:ascii="Garamond" w:hAnsi="Garamond" w:cstheme="minorHAnsi"/>
                <w:b w:val="0"/>
              </w:rPr>
            </w:pPr>
            <w:r w:rsidRPr="00A5626D">
              <w:rPr>
                <w:rFonts w:ascii="Garamond" w:hAnsi="Garamond" w:cstheme="minorHAnsi"/>
                <w:b w:val="0"/>
              </w:rPr>
              <w:t xml:space="preserve">– </w:t>
            </w:r>
            <w:r w:rsidR="00295C6D" w:rsidRPr="00A5626D">
              <w:rPr>
                <w:rFonts w:ascii="Garamond" w:hAnsi="Garamond" w:cstheme="minorHAnsi"/>
                <w:b w:val="0"/>
              </w:rPr>
              <w:t>отсутствует направленный участником оптового рынка и принятый КО к расчетам корректирующий акт учета (оборота) по ГТП генерации (макет 51075) для данного часа;</w:t>
            </w:r>
          </w:p>
          <w:p w14:paraId="27E09E3B" w14:textId="0C0C9DEF" w:rsidR="00295C6D" w:rsidRPr="00A5626D" w:rsidRDefault="009B5F03" w:rsidP="00647FA0">
            <w:pPr>
              <w:pStyle w:val="2"/>
              <w:numPr>
                <w:ilvl w:val="0"/>
                <w:numId w:val="0"/>
              </w:numPr>
              <w:tabs>
                <w:tab w:val="left" w:pos="1134"/>
                <w:tab w:val="left" w:pos="7938"/>
              </w:tabs>
              <w:suppressAutoHyphens w:val="0"/>
              <w:spacing w:before="120" w:after="120" w:line="22" w:lineRule="atLeast"/>
              <w:ind w:firstLine="629"/>
              <w:jc w:val="both"/>
              <w:rPr>
                <w:rFonts w:ascii="Garamond" w:hAnsi="Garamond" w:cstheme="minorHAnsi"/>
                <w:b w:val="0"/>
              </w:rPr>
            </w:pPr>
            <w:r w:rsidRPr="00A5626D">
              <w:rPr>
                <w:rFonts w:ascii="Garamond" w:hAnsi="Garamond" w:cstheme="minorHAnsi"/>
                <w:b w:val="0"/>
              </w:rPr>
              <w:t xml:space="preserve">– </w:t>
            </w:r>
            <w:r w:rsidR="00295C6D" w:rsidRPr="00A5626D">
              <w:rPr>
                <w:rFonts w:ascii="Garamond" w:hAnsi="Garamond" w:cstheme="minorHAnsi"/>
                <w:b w:val="0"/>
              </w:rPr>
              <w:t xml:space="preserve">для данного часа отсутствуют расхождения между величиной выработки электроэнергии, содержащейся в сформированном в соответствии с п. </w:t>
            </w:r>
            <w:r w:rsidR="00295C6D" w:rsidRPr="00A5626D">
              <w:rPr>
                <w:rFonts w:ascii="Garamond" w:hAnsi="Garamond" w:cstheme="minorHAnsi"/>
                <w:b w:val="0"/>
                <w:highlight w:val="yellow"/>
              </w:rPr>
              <w:t>3.9</w:t>
            </w:r>
            <w:r w:rsidR="00295C6D" w:rsidRPr="00A5626D">
              <w:rPr>
                <w:rFonts w:ascii="Garamond" w:hAnsi="Garamond" w:cstheme="minorHAnsi"/>
                <w:b w:val="0"/>
              </w:rPr>
              <w:t xml:space="preserve"> настоящего Регламента акте учета (оборота) по ГТП генерации (макет 51020), и данными, полученными от СО в соответствии с п. 4.3 настоящего Регламента, сформированными на основе телеинформации, превышающие значение 5 %, при этом величина расхождения должна превышать 300 кВт·ч, или если данные, полученные от СО в соответствии с п. 4.3 настоящего Регламента, сформированы на основе уточненного диспетчерского графика (независимо от величины расхождений с величиной выработки электроэнергии, содержащейся в сформированном в соответствии с п. </w:t>
            </w:r>
            <w:r w:rsidR="00295C6D" w:rsidRPr="00A5626D">
              <w:rPr>
                <w:rFonts w:ascii="Garamond" w:hAnsi="Garamond" w:cstheme="minorHAnsi"/>
                <w:b w:val="0"/>
                <w:highlight w:val="yellow"/>
              </w:rPr>
              <w:lastRenderedPageBreak/>
              <w:t>3.9</w:t>
            </w:r>
            <w:r w:rsidR="00295C6D" w:rsidRPr="00A5626D">
              <w:rPr>
                <w:rFonts w:ascii="Garamond" w:hAnsi="Garamond" w:cstheme="minorHAnsi"/>
                <w:b w:val="0"/>
              </w:rPr>
              <w:t xml:space="preserve"> настоящего Регламента акте учета (оборота) по ГТП генерации (макет 51020)), или если от СО не получена оперативная информация в соответствии с п. 4.3 настоящего Регламента.</w:t>
            </w:r>
          </w:p>
          <w:p w14:paraId="6F230D01" w14:textId="77777777" w:rsidR="00295C6D" w:rsidRPr="00A5626D" w:rsidRDefault="00295C6D" w:rsidP="00647FA0">
            <w:pPr>
              <w:pStyle w:val="2"/>
              <w:numPr>
                <w:ilvl w:val="0"/>
                <w:numId w:val="0"/>
              </w:numPr>
              <w:tabs>
                <w:tab w:val="left" w:pos="1134"/>
                <w:tab w:val="left" w:pos="7938"/>
              </w:tabs>
              <w:suppressAutoHyphens w:val="0"/>
              <w:spacing w:before="120" w:after="120" w:line="22" w:lineRule="atLeast"/>
              <w:ind w:firstLine="629"/>
              <w:jc w:val="both"/>
              <w:rPr>
                <w:rFonts w:ascii="Garamond" w:hAnsi="Garamond" w:cstheme="minorHAnsi"/>
                <w:b w:val="0"/>
              </w:rPr>
            </w:pPr>
            <w:r w:rsidRPr="00A5626D">
              <w:rPr>
                <w:rFonts w:ascii="Garamond" w:hAnsi="Garamond" w:cstheme="minorHAnsi"/>
                <w:b w:val="0"/>
              </w:rPr>
              <w:t>При невыполнении вышеуказанных условий КО применяет замещающие методы расчета в соответствии с п. 8.7 настоящего Регламента.</w:t>
            </w:r>
          </w:p>
          <w:p w14:paraId="2EB6DBD2" w14:textId="77777777" w:rsidR="00295C6D" w:rsidRPr="00A5626D" w:rsidRDefault="00295C6D" w:rsidP="00647FA0">
            <w:pPr>
              <w:pStyle w:val="2"/>
              <w:numPr>
                <w:ilvl w:val="0"/>
                <w:numId w:val="0"/>
              </w:numPr>
              <w:tabs>
                <w:tab w:val="left" w:pos="1134"/>
                <w:tab w:val="left" w:pos="7938"/>
              </w:tabs>
              <w:suppressAutoHyphens w:val="0"/>
              <w:spacing w:before="120" w:after="120" w:line="22" w:lineRule="atLeast"/>
              <w:ind w:firstLine="629"/>
              <w:jc w:val="both"/>
              <w:rPr>
                <w:rFonts w:ascii="Garamond" w:hAnsi="Garamond" w:cstheme="minorHAnsi"/>
                <w:b w:val="0"/>
              </w:rPr>
            </w:pPr>
            <w:r w:rsidRPr="00A5626D">
              <w:rPr>
                <w:rFonts w:ascii="Garamond" w:hAnsi="Garamond" w:cstheme="minorHAnsi"/>
                <w:b w:val="0"/>
              </w:rPr>
              <w:t>Для расчетов на ОРЭМ принимаются значения учетных показателей (сальдо перетоков) для соответствующего часа, содержащиеся в акте учета перетоков по сечению коммерческого учета (за исключением временного сечения и сечений коммерческого учета, входящих в сечение экспорта-импорта) (макет 51020), сформированном участниками оптового рынка (ФСК) в соответствии с п. 7.2 настоящего Регламента, при условии отсутствия направленного участниками оптового рынка (ФСК) и принятого КО к расчетам корректирующего акта учета перетоков по сечению коммерческого учета (макет 51075) для данного часа.</w:t>
            </w:r>
          </w:p>
        </w:tc>
        <w:tc>
          <w:tcPr>
            <w:tcW w:w="7088" w:type="dxa"/>
          </w:tcPr>
          <w:p w14:paraId="381BD5E4" w14:textId="77777777" w:rsidR="00295C6D" w:rsidRPr="00A5626D" w:rsidRDefault="00295C6D" w:rsidP="00647FA0">
            <w:pPr>
              <w:pStyle w:val="2"/>
              <w:numPr>
                <w:ilvl w:val="0"/>
                <w:numId w:val="0"/>
              </w:numPr>
              <w:tabs>
                <w:tab w:val="left" w:pos="1134"/>
                <w:tab w:val="left" w:pos="7938"/>
              </w:tabs>
              <w:suppressAutoHyphens w:val="0"/>
              <w:spacing w:before="120" w:after="120" w:line="22" w:lineRule="atLeast"/>
              <w:ind w:firstLine="629"/>
              <w:jc w:val="both"/>
              <w:rPr>
                <w:rFonts w:ascii="Garamond" w:hAnsi="Garamond" w:cstheme="minorHAnsi"/>
                <w:b w:val="0"/>
              </w:rPr>
            </w:pPr>
            <w:r w:rsidRPr="00A5626D">
              <w:rPr>
                <w:rFonts w:ascii="Garamond" w:hAnsi="Garamond" w:cstheme="minorHAnsi"/>
                <w:b w:val="0"/>
              </w:rPr>
              <w:lastRenderedPageBreak/>
              <w:t xml:space="preserve">Для расчетов на ОРЭМ принимаются значения учетных показателей для соответствующего часа, содержащиеся в акте учета (оборота) по ГТП генерации (макет 51020), сформированном поставщиком электроэнергии в соответствии с п. </w:t>
            </w:r>
            <w:r w:rsidRPr="00A5626D">
              <w:rPr>
                <w:rFonts w:ascii="Garamond" w:hAnsi="Garamond" w:cstheme="minorHAnsi"/>
                <w:b w:val="0"/>
                <w:highlight w:val="yellow"/>
              </w:rPr>
              <w:t>7.3</w:t>
            </w:r>
            <w:r w:rsidRPr="00A5626D">
              <w:rPr>
                <w:rFonts w:ascii="Garamond" w:hAnsi="Garamond" w:cstheme="minorHAnsi"/>
                <w:b w:val="0"/>
              </w:rPr>
              <w:t xml:space="preserve"> настоящего Регламента, при выполнении следующих условий:</w:t>
            </w:r>
          </w:p>
          <w:p w14:paraId="1EE95410" w14:textId="71509F1A" w:rsidR="00295C6D" w:rsidRPr="00A5626D" w:rsidRDefault="009B5F03" w:rsidP="00647FA0">
            <w:pPr>
              <w:pStyle w:val="2"/>
              <w:numPr>
                <w:ilvl w:val="0"/>
                <w:numId w:val="0"/>
              </w:numPr>
              <w:tabs>
                <w:tab w:val="left" w:pos="1134"/>
                <w:tab w:val="left" w:pos="7938"/>
              </w:tabs>
              <w:suppressAutoHyphens w:val="0"/>
              <w:spacing w:before="120" w:after="120" w:line="22" w:lineRule="atLeast"/>
              <w:ind w:firstLine="629"/>
              <w:jc w:val="both"/>
              <w:rPr>
                <w:rFonts w:ascii="Garamond" w:hAnsi="Garamond" w:cstheme="minorHAnsi"/>
                <w:b w:val="0"/>
              </w:rPr>
            </w:pPr>
            <w:r w:rsidRPr="00A5626D">
              <w:rPr>
                <w:rFonts w:ascii="Garamond" w:hAnsi="Garamond" w:cstheme="minorHAnsi"/>
                <w:b w:val="0"/>
              </w:rPr>
              <w:t xml:space="preserve">– </w:t>
            </w:r>
            <w:r w:rsidR="00295C6D" w:rsidRPr="00A5626D">
              <w:rPr>
                <w:rFonts w:ascii="Garamond" w:hAnsi="Garamond" w:cstheme="minorHAnsi"/>
                <w:b w:val="0"/>
              </w:rPr>
              <w:t>отсутствует направленный участником оптового рынка и принятый КО к расчетам корректирующий акт учета (оборота) по ГТП генерации (макет 51075) для данного часа;</w:t>
            </w:r>
          </w:p>
          <w:p w14:paraId="784AA12E" w14:textId="17AF6DAE" w:rsidR="00295C6D" w:rsidRPr="00A5626D" w:rsidRDefault="009B5F03" w:rsidP="00647FA0">
            <w:pPr>
              <w:pStyle w:val="2"/>
              <w:numPr>
                <w:ilvl w:val="0"/>
                <w:numId w:val="0"/>
              </w:numPr>
              <w:tabs>
                <w:tab w:val="left" w:pos="1134"/>
                <w:tab w:val="left" w:pos="7938"/>
              </w:tabs>
              <w:suppressAutoHyphens w:val="0"/>
              <w:spacing w:before="120" w:after="120" w:line="22" w:lineRule="atLeast"/>
              <w:ind w:firstLine="629"/>
              <w:jc w:val="both"/>
              <w:rPr>
                <w:rFonts w:ascii="Garamond" w:hAnsi="Garamond" w:cstheme="minorHAnsi"/>
                <w:b w:val="0"/>
              </w:rPr>
            </w:pPr>
            <w:r w:rsidRPr="00A5626D">
              <w:rPr>
                <w:rFonts w:ascii="Garamond" w:hAnsi="Garamond" w:cstheme="minorHAnsi"/>
                <w:b w:val="0"/>
              </w:rPr>
              <w:t xml:space="preserve">– </w:t>
            </w:r>
            <w:r w:rsidR="00295C6D" w:rsidRPr="00A5626D">
              <w:rPr>
                <w:rFonts w:ascii="Garamond" w:hAnsi="Garamond" w:cstheme="minorHAnsi"/>
                <w:b w:val="0"/>
              </w:rPr>
              <w:t xml:space="preserve">для данного часа отсутствуют расхождения между величиной выработки электроэнергии, содержащейся в сформированном в соответствии с п. </w:t>
            </w:r>
            <w:r w:rsidR="00295C6D" w:rsidRPr="00A5626D">
              <w:rPr>
                <w:rFonts w:ascii="Garamond" w:hAnsi="Garamond" w:cstheme="minorHAnsi"/>
                <w:b w:val="0"/>
                <w:highlight w:val="yellow"/>
              </w:rPr>
              <w:t>7.3</w:t>
            </w:r>
            <w:r w:rsidR="00295C6D" w:rsidRPr="00A5626D">
              <w:rPr>
                <w:rFonts w:ascii="Garamond" w:hAnsi="Garamond" w:cstheme="minorHAnsi"/>
                <w:b w:val="0"/>
              </w:rPr>
              <w:t xml:space="preserve"> настоящего Регламента акте учета (оборота) по ГТП генерации (макет 51020), и данными, полученными от СО в соответствии с п. 4.3 настоящего Регламента, сформированными на основе телеинформации, превышающие значение 5 %, при этом величина расхождения должна превышать 300 кВт·ч, или если данные, полученные от СО в соответствии с п. 4.3 настоящего Регламента, сформированы на основе уточненного диспетчерского графика (независимо от величины расхождений с величиной выработки электроэнергии, содержащейся в сформированном в соответствии с п. </w:t>
            </w:r>
            <w:r w:rsidR="00295C6D" w:rsidRPr="00A5626D">
              <w:rPr>
                <w:rFonts w:ascii="Garamond" w:hAnsi="Garamond" w:cstheme="minorHAnsi"/>
                <w:b w:val="0"/>
                <w:highlight w:val="yellow"/>
              </w:rPr>
              <w:t>7.3</w:t>
            </w:r>
            <w:r w:rsidR="00295C6D" w:rsidRPr="00A5626D">
              <w:rPr>
                <w:rFonts w:ascii="Garamond" w:hAnsi="Garamond" w:cstheme="minorHAnsi"/>
                <w:b w:val="0"/>
              </w:rPr>
              <w:t xml:space="preserve"> настоящего Регламента акте учета </w:t>
            </w:r>
            <w:r w:rsidR="00295C6D" w:rsidRPr="00A5626D">
              <w:rPr>
                <w:rFonts w:ascii="Garamond" w:hAnsi="Garamond" w:cstheme="minorHAnsi"/>
                <w:b w:val="0"/>
              </w:rPr>
              <w:lastRenderedPageBreak/>
              <w:t>(оборота) по ГТП генерации (макет 51020)), или если от СО не получена оперативная информация в соответствии с п. 4.3 настоящего Регламента.</w:t>
            </w:r>
          </w:p>
          <w:p w14:paraId="62166AD4" w14:textId="77777777" w:rsidR="00295C6D" w:rsidRPr="00A5626D" w:rsidRDefault="00295C6D" w:rsidP="00647FA0">
            <w:pPr>
              <w:pStyle w:val="2"/>
              <w:numPr>
                <w:ilvl w:val="0"/>
                <w:numId w:val="0"/>
              </w:numPr>
              <w:tabs>
                <w:tab w:val="left" w:pos="1134"/>
                <w:tab w:val="left" w:pos="7938"/>
              </w:tabs>
              <w:suppressAutoHyphens w:val="0"/>
              <w:spacing w:before="120" w:after="120" w:line="22" w:lineRule="atLeast"/>
              <w:ind w:firstLine="629"/>
              <w:jc w:val="both"/>
              <w:rPr>
                <w:rFonts w:ascii="Garamond" w:hAnsi="Garamond" w:cstheme="minorHAnsi"/>
                <w:b w:val="0"/>
              </w:rPr>
            </w:pPr>
            <w:r w:rsidRPr="00A5626D">
              <w:rPr>
                <w:rFonts w:ascii="Garamond" w:hAnsi="Garamond" w:cstheme="minorHAnsi"/>
                <w:b w:val="0"/>
              </w:rPr>
              <w:t>При невыполнении вышеуказанных условий КО применяет замещающие методы расчета в соответствии с п. 8.7 настоящего Регламента.</w:t>
            </w:r>
          </w:p>
          <w:p w14:paraId="110D3071" w14:textId="77777777" w:rsidR="00295C6D" w:rsidRPr="00A5626D" w:rsidRDefault="00295C6D" w:rsidP="00647FA0">
            <w:pPr>
              <w:pStyle w:val="2"/>
              <w:numPr>
                <w:ilvl w:val="0"/>
                <w:numId w:val="0"/>
              </w:numPr>
              <w:tabs>
                <w:tab w:val="left" w:pos="1134"/>
                <w:tab w:val="left" w:pos="7938"/>
              </w:tabs>
              <w:suppressAutoHyphens w:val="0"/>
              <w:spacing w:before="120" w:after="120" w:line="22" w:lineRule="atLeast"/>
              <w:ind w:firstLine="629"/>
              <w:jc w:val="both"/>
              <w:rPr>
                <w:rFonts w:ascii="Garamond" w:hAnsi="Garamond" w:cstheme="minorHAnsi"/>
                <w:b w:val="0"/>
              </w:rPr>
            </w:pPr>
            <w:r w:rsidRPr="00A5626D">
              <w:rPr>
                <w:rFonts w:ascii="Garamond" w:hAnsi="Garamond" w:cstheme="minorHAnsi"/>
                <w:b w:val="0"/>
              </w:rPr>
              <w:t>Для расчетов на ОРЭМ принимаются значения учетных показателей (сальдо перетоков) для соответствующего часа, содержащиеся в акте учета перетоков по сечению коммерческого учета (за исключением временного сечения и сечений коммерческого учета, входящих в сечение экспорта-импорта) (макет 51020), сформированном участниками оптового рынка (ФСК) в соответствии с п. 7.2 настоящего Регламента, при условии отсутствия направленного участниками оптового рынка (ФСК) и принятого КО к расчетам корректирующего акта учета перетоков по сечению коммерческого учета (макет 51075) для данного часа.</w:t>
            </w:r>
          </w:p>
          <w:p w14:paraId="42082855" w14:textId="77777777" w:rsidR="00295C6D" w:rsidRPr="00A5626D" w:rsidRDefault="00295C6D" w:rsidP="00647FA0">
            <w:pPr>
              <w:pStyle w:val="2"/>
              <w:numPr>
                <w:ilvl w:val="0"/>
                <w:numId w:val="0"/>
              </w:numPr>
              <w:tabs>
                <w:tab w:val="left" w:pos="1134"/>
                <w:tab w:val="left" w:pos="7938"/>
              </w:tabs>
              <w:suppressAutoHyphens w:val="0"/>
              <w:spacing w:before="120" w:after="120" w:line="22" w:lineRule="atLeast"/>
              <w:ind w:firstLine="629"/>
              <w:jc w:val="both"/>
              <w:rPr>
                <w:rFonts w:ascii="Garamond" w:hAnsi="Garamond" w:cstheme="minorHAnsi"/>
                <w:b w:val="0"/>
                <w:highlight w:val="yellow"/>
              </w:rPr>
            </w:pPr>
            <w:r w:rsidRPr="00A5626D">
              <w:rPr>
                <w:rFonts w:ascii="Garamond" w:hAnsi="Garamond" w:cstheme="minorHAnsi"/>
                <w:b w:val="0"/>
                <w:highlight w:val="yellow"/>
              </w:rPr>
              <w:t>Для целей последующего расчета со стороны СО объема оказанных услуг по управлению изменением режима потребления электрической энергии используются данные коммерческого учета, содержащиеся в акте учета (оборота) по объекту регулирования (макет 21070), направленные агрегатором в соответствии с п. 7.7 настоящего Регламента</w:t>
            </w:r>
            <w:r w:rsidR="00BE7DFC" w:rsidRPr="00A5626D">
              <w:rPr>
                <w:rFonts w:ascii="Garamond" w:hAnsi="Garamond" w:cstheme="minorHAnsi"/>
                <w:b w:val="0"/>
                <w:highlight w:val="yellow"/>
              </w:rPr>
              <w:t xml:space="preserve"> и принятые КО</w:t>
            </w:r>
            <w:r w:rsidRPr="00A5626D">
              <w:rPr>
                <w:rFonts w:ascii="Garamond" w:hAnsi="Garamond" w:cstheme="minorHAnsi"/>
                <w:b w:val="0"/>
                <w:highlight w:val="yellow"/>
              </w:rPr>
              <w:t>, при одновременном выполнении следующих условий:</w:t>
            </w:r>
          </w:p>
          <w:p w14:paraId="4E001115" w14:textId="6B010B8A" w:rsidR="00295C6D" w:rsidRPr="00A5626D" w:rsidRDefault="009B5F03" w:rsidP="00647FA0">
            <w:pPr>
              <w:tabs>
                <w:tab w:val="left" w:pos="1134"/>
                <w:tab w:val="left" w:pos="7938"/>
              </w:tabs>
              <w:spacing w:before="120" w:after="120"/>
              <w:ind w:firstLine="601"/>
              <w:jc w:val="both"/>
              <w:rPr>
                <w:rFonts w:ascii="Garamond" w:hAnsi="Garamond" w:cstheme="minorHAnsi"/>
                <w:bCs/>
                <w:sz w:val="22"/>
                <w:szCs w:val="22"/>
                <w:highlight w:val="yellow"/>
              </w:rPr>
            </w:pPr>
            <w:r w:rsidRPr="00A5626D">
              <w:rPr>
                <w:rFonts w:ascii="Garamond" w:hAnsi="Garamond" w:cstheme="minorHAnsi"/>
                <w:bCs/>
                <w:sz w:val="22"/>
                <w:szCs w:val="22"/>
                <w:highlight w:val="yellow"/>
              </w:rPr>
              <w:t xml:space="preserve">– </w:t>
            </w:r>
            <w:r w:rsidR="00295C6D" w:rsidRPr="00A5626D">
              <w:rPr>
                <w:rFonts w:ascii="Garamond" w:hAnsi="Garamond" w:cstheme="minorHAnsi"/>
                <w:sz w:val="22"/>
                <w:szCs w:val="22"/>
                <w:highlight w:val="yellow"/>
              </w:rPr>
              <w:t>для соответствующего часа</w:t>
            </w:r>
            <w:r w:rsidR="00295C6D" w:rsidRPr="00A5626D">
              <w:rPr>
                <w:rFonts w:ascii="Garamond" w:hAnsi="Garamond" w:cstheme="minorHAnsi"/>
                <w:bCs/>
                <w:sz w:val="22"/>
                <w:szCs w:val="22"/>
                <w:highlight w:val="yellow"/>
              </w:rPr>
              <w:t xml:space="preserve"> значение учетного показателя по объекту регулирования в акте учета (оборота) по объекту регулирования (макет 21070) не отличается более чем на максимально допустимую величину расхождений от аналогичного значения, содержащегося в макете 20020 со статусом «коммерческая информация», направленном агрегатором в соответствии с требованиями </w:t>
            </w:r>
            <w:r w:rsidR="00295C6D" w:rsidRPr="00A5626D">
              <w:rPr>
                <w:rFonts w:ascii="Garamond" w:eastAsia="Times New Roman" w:hAnsi="Garamond" w:cs="Times New Roman"/>
                <w:sz w:val="22"/>
                <w:szCs w:val="22"/>
                <w:highlight w:val="yellow"/>
              </w:rPr>
              <w:t xml:space="preserve">Приложения № 11.1.1 к </w:t>
            </w:r>
            <w:r w:rsidR="00295C6D" w:rsidRPr="00A5626D">
              <w:rPr>
                <w:rFonts w:ascii="Garamond" w:eastAsia="Times New Roman" w:hAnsi="Garamond" w:cs="Times New Roman"/>
                <w:i/>
                <w:sz w:val="22"/>
                <w:szCs w:val="22"/>
                <w:highlight w:val="yellow"/>
              </w:rPr>
              <w:t>Положению о порядке получения статуса субъекта оптового рынка и ведения реестра субъектов оптового рынка</w:t>
            </w:r>
            <w:r w:rsidR="00295C6D" w:rsidRPr="00A5626D">
              <w:rPr>
                <w:rFonts w:ascii="Garamond" w:eastAsia="Times New Roman" w:hAnsi="Garamond" w:cs="Times New Roman"/>
                <w:sz w:val="22"/>
                <w:szCs w:val="22"/>
                <w:highlight w:val="yellow"/>
              </w:rPr>
              <w:t xml:space="preserve"> (Приложение № 1.1 к </w:t>
            </w:r>
            <w:r w:rsidR="00295C6D" w:rsidRPr="00A5626D">
              <w:rPr>
                <w:rFonts w:ascii="Garamond" w:eastAsia="Times New Roman" w:hAnsi="Garamond" w:cs="Times New Roman"/>
                <w:i/>
                <w:sz w:val="22"/>
                <w:szCs w:val="22"/>
                <w:highlight w:val="yellow"/>
              </w:rPr>
              <w:t>Договору о присоединении к торговой системе оптового рынка</w:t>
            </w:r>
            <w:r w:rsidR="00295C6D" w:rsidRPr="00A5626D">
              <w:rPr>
                <w:rFonts w:ascii="Garamond" w:eastAsia="Times New Roman" w:hAnsi="Garamond" w:cs="Times New Roman"/>
                <w:sz w:val="22"/>
                <w:szCs w:val="22"/>
                <w:highlight w:val="yellow"/>
              </w:rPr>
              <w:t xml:space="preserve">) </w:t>
            </w:r>
            <w:r w:rsidR="00295C6D" w:rsidRPr="00A5626D">
              <w:rPr>
                <w:rFonts w:ascii="Garamond" w:hAnsi="Garamond" w:cstheme="minorHAnsi"/>
                <w:bCs/>
                <w:sz w:val="22"/>
                <w:szCs w:val="22"/>
                <w:highlight w:val="yellow"/>
              </w:rPr>
              <w:t xml:space="preserve">и принятом КО. Максимально допустимая величина расхождения в указанном выше случае рассчитывается по формуле: ∆ = ±2 кВт∙ч × </w:t>
            </w:r>
            <w:r w:rsidR="00295C6D" w:rsidRPr="00A5626D">
              <w:rPr>
                <w:rFonts w:ascii="Garamond" w:hAnsi="Garamond" w:cstheme="minorHAnsi"/>
                <w:bCs/>
                <w:i/>
                <w:sz w:val="22"/>
                <w:szCs w:val="22"/>
                <w:highlight w:val="yellow"/>
              </w:rPr>
              <w:t>N</w:t>
            </w:r>
            <w:r w:rsidR="00295C6D" w:rsidRPr="00A5626D">
              <w:rPr>
                <w:rFonts w:ascii="Garamond" w:hAnsi="Garamond" w:cstheme="minorHAnsi"/>
                <w:bCs/>
                <w:sz w:val="22"/>
                <w:szCs w:val="22"/>
                <w:highlight w:val="yellow"/>
              </w:rPr>
              <w:t xml:space="preserve">, где </w:t>
            </w:r>
            <w:r w:rsidR="00295C6D" w:rsidRPr="00A5626D">
              <w:rPr>
                <w:rFonts w:ascii="Garamond" w:hAnsi="Garamond" w:cstheme="minorHAnsi"/>
                <w:bCs/>
                <w:i/>
                <w:sz w:val="22"/>
                <w:szCs w:val="22"/>
                <w:highlight w:val="yellow"/>
              </w:rPr>
              <w:t>N</w:t>
            </w:r>
            <w:r w:rsidR="00295C6D" w:rsidRPr="00A5626D">
              <w:rPr>
                <w:rFonts w:ascii="Garamond" w:hAnsi="Garamond" w:cstheme="minorHAnsi"/>
                <w:bCs/>
                <w:sz w:val="22"/>
                <w:szCs w:val="22"/>
                <w:highlight w:val="yellow"/>
              </w:rPr>
              <w:t xml:space="preserve"> – число точек измерений активной энергии, используемых для расчета значения учетного показателя по объекту регулирования;</w:t>
            </w:r>
          </w:p>
          <w:p w14:paraId="739C220D" w14:textId="0937AD6B" w:rsidR="00295C6D" w:rsidRPr="00A5626D" w:rsidRDefault="009B5F03" w:rsidP="00647FA0">
            <w:pPr>
              <w:pStyle w:val="2"/>
              <w:numPr>
                <w:ilvl w:val="0"/>
                <w:numId w:val="0"/>
              </w:numPr>
              <w:tabs>
                <w:tab w:val="left" w:pos="1134"/>
                <w:tab w:val="left" w:pos="7938"/>
              </w:tabs>
              <w:suppressAutoHyphens w:val="0"/>
              <w:spacing w:before="120" w:after="120" w:line="22" w:lineRule="atLeast"/>
              <w:ind w:firstLine="629"/>
              <w:jc w:val="both"/>
              <w:rPr>
                <w:rFonts w:ascii="Garamond" w:hAnsi="Garamond" w:cstheme="minorHAnsi"/>
                <w:b w:val="0"/>
              </w:rPr>
            </w:pPr>
            <w:r w:rsidRPr="00A5626D">
              <w:rPr>
                <w:rFonts w:ascii="Garamond" w:hAnsi="Garamond" w:cstheme="minorHAnsi"/>
                <w:b w:val="0"/>
                <w:highlight w:val="yellow"/>
              </w:rPr>
              <w:t xml:space="preserve">– </w:t>
            </w:r>
            <w:r w:rsidR="00295C6D" w:rsidRPr="00A5626D">
              <w:rPr>
                <w:rFonts w:ascii="Garamond" w:hAnsi="Garamond" w:cstheme="minorHAnsi"/>
                <w:b w:val="0"/>
                <w:highlight w:val="yellow"/>
              </w:rPr>
              <w:t xml:space="preserve">в отношении всего отчетного месяца агрегатором по соответствующему объекту регулирования подтверждено соответствие системы учета электроэнергии техническим требованиям ОРЭМ в соответствии с </w:t>
            </w:r>
            <w:r w:rsidR="00295C6D" w:rsidRPr="00A5626D">
              <w:rPr>
                <w:rFonts w:ascii="Garamond" w:hAnsi="Garamond" w:cstheme="minorHAnsi"/>
                <w:b w:val="0"/>
                <w:i/>
                <w:highlight w:val="yellow"/>
              </w:rPr>
              <w:t>Положением о порядке получения статуса субъекта оптового рынка и ведения реестра субъектов оптового рынка</w:t>
            </w:r>
            <w:r w:rsidR="00295C6D" w:rsidRPr="00A5626D">
              <w:rPr>
                <w:rFonts w:ascii="Garamond" w:hAnsi="Garamond" w:cstheme="minorHAnsi"/>
                <w:b w:val="0"/>
                <w:highlight w:val="yellow"/>
              </w:rPr>
              <w:t xml:space="preserve"> (Приложение № 1.1 к </w:t>
            </w:r>
            <w:r w:rsidR="00295C6D" w:rsidRPr="00A5626D">
              <w:rPr>
                <w:rFonts w:ascii="Garamond" w:hAnsi="Garamond" w:cstheme="minorHAnsi"/>
                <w:b w:val="0"/>
                <w:i/>
                <w:highlight w:val="yellow"/>
              </w:rPr>
              <w:t xml:space="preserve">Договору о </w:t>
            </w:r>
            <w:r w:rsidR="00295C6D" w:rsidRPr="00A5626D">
              <w:rPr>
                <w:rFonts w:ascii="Garamond" w:hAnsi="Garamond" w:cstheme="minorHAnsi"/>
                <w:b w:val="0"/>
                <w:i/>
                <w:highlight w:val="yellow"/>
              </w:rPr>
              <w:lastRenderedPageBreak/>
              <w:t>присоединении к торговой системе оптового рынка</w:t>
            </w:r>
            <w:r w:rsidR="00295C6D" w:rsidRPr="00A5626D">
              <w:rPr>
                <w:rFonts w:ascii="Garamond" w:hAnsi="Garamond" w:cstheme="minorHAnsi"/>
                <w:b w:val="0"/>
                <w:highlight w:val="yellow"/>
              </w:rPr>
              <w:t>);</w:t>
            </w:r>
          </w:p>
          <w:p w14:paraId="47D33B3E" w14:textId="5C2EE6D1" w:rsidR="00295C6D" w:rsidRPr="00A5626D" w:rsidRDefault="009B5F03" w:rsidP="00647FA0">
            <w:pPr>
              <w:tabs>
                <w:tab w:val="left" w:pos="1134"/>
                <w:tab w:val="left" w:pos="7938"/>
              </w:tabs>
              <w:spacing w:before="120" w:after="120"/>
              <w:ind w:firstLine="601"/>
              <w:jc w:val="both"/>
              <w:rPr>
                <w:rFonts w:ascii="Garamond" w:hAnsi="Garamond"/>
                <w:sz w:val="22"/>
                <w:szCs w:val="22"/>
              </w:rPr>
            </w:pPr>
            <w:r w:rsidRPr="00A5626D">
              <w:rPr>
                <w:rFonts w:ascii="Garamond" w:hAnsi="Garamond" w:cstheme="minorHAnsi"/>
                <w:sz w:val="22"/>
                <w:szCs w:val="22"/>
                <w:highlight w:val="yellow"/>
              </w:rPr>
              <w:t xml:space="preserve">– </w:t>
            </w:r>
            <w:r w:rsidR="00295C6D" w:rsidRPr="00A5626D">
              <w:rPr>
                <w:rFonts w:ascii="Garamond" w:hAnsi="Garamond" w:cstheme="minorHAnsi"/>
                <w:sz w:val="22"/>
                <w:szCs w:val="22"/>
                <w:highlight w:val="yellow"/>
              </w:rPr>
              <w:t>в отношении любого из часов отчетного месяца до 6</w:t>
            </w:r>
            <w:r w:rsidR="00DC2F89" w:rsidRPr="00A5626D">
              <w:rPr>
                <w:rFonts w:ascii="Garamond" w:hAnsi="Garamond" w:cstheme="minorHAnsi"/>
                <w:sz w:val="22"/>
                <w:szCs w:val="22"/>
                <w:highlight w:val="yellow"/>
              </w:rPr>
              <w:t>-го</w:t>
            </w:r>
            <w:r w:rsidR="00295C6D" w:rsidRPr="00A5626D">
              <w:rPr>
                <w:rFonts w:ascii="Garamond" w:hAnsi="Garamond" w:cstheme="minorHAnsi"/>
                <w:sz w:val="22"/>
                <w:szCs w:val="22"/>
                <w:highlight w:val="yellow"/>
              </w:rPr>
              <w:t xml:space="preserve"> числа месяца, следующего за отчетным, не завершена с отрицательным результатом проверка системы учета электроэнергии агрегатора в соответствии с п. </w:t>
            </w:r>
            <w:r w:rsidR="00BE7DFC" w:rsidRPr="00A5626D">
              <w:rPr>
                <w:rFonts w:ascii="Garamond" w:hAnsi="Garamond" w:cstheme="minorHAnsi"/>
                <w:sz w:val="22"/>
                <w:szCs w:val="22"/>
                <w:highlight w:val="yellow"/>
              </w:rPr>
              <w:t>5.1</w:t>
            </w:r>
            <w:r w:rsidR="00295C6D" w:rsidRPr="00A5626D">
              <w:rPr>
                <w:rFonts w:ascii="Garamond" w:hAnsi="Garamond" w:cstheme="minorHAnsi"/>
                <w:sz w:val="22"/>
                <w:szCs w:val="22"/>
                <w:highlight w:val="yellow"/>
              </w:rPr>
              <w:t xml:space="preserve"> </w:t>
            </w:r>
            <w:r w:rsidR="00295C6D" w:rsidRPr="00A5626D">
              <w:rPr>
                <w:rFonts w:ascii="Garamond" w:hAnsi="Garamond"/>
                <w:i/>
                <w:sz w:val="22"/>
                <w:szCs w:val="22"/>
                <w:highlight w:val="yellow"/>
              </w:rPr>
              <w:t>Регламента проведения проверок систем коммерческого учета субъектов оптового рынка</w:t>
            </w:r>
            <w:r w:rsidR="00295C6D" w:rsidRPr="00A5626D">
              <w:rPr>
                <w:rFonts w:ascii="Garamond" w:hAnsi="Garamond"/>
                <w:sz w:val="22"/>
                <w:szCs w:val="22"/>
                <w:highlight w:val="yellow"/>
              </w:rPr>
              <w:t xml:space="preserve"> (Приложение № 18 к </w:t>
            </w:r>
            <w:r w:rsidR="00295C6D" w:rsidRPr="00A5626D">
              <w:rPr>
                <w:rFonts w:ascii="Garamond" w:hAnsi="Garamond"/>
                <w:i/>
                <w:sz w:val="22"/>
                <w:szCs w:val="22"/>
                <w:highlight w:val="yellow"/>
              </w:rPr>
              <w:t>Договору о присоединении к торговой системе оптового рынка</w:t>
            </w:r>
            <w:r w:rsidR="00295C6D" w:rsidRPr="00A5626D">
              <w:rPr>
                <w:rFonts w:ascii="Garamond" w:hAnsi="Garamond"/>
                <w:sz w:val="22"/>
                <w:szCs w:val="22"/>
                <w:highlight w:val="yellow"/>
              </w:rPr>
              <w:t xml:space="preserve">) </w:t>
            </w:r>
            <w:r w:rsidR="00295C6D" w:rsidRPr="00A5626D">
              <w:rPr>
                <w:rFonts w:ascii="Garamond" w:hAnsi="Garamond" w:cstheme="minorHAnsi"/>
                <w:sz w:val="22"/>
                <w:szCs w:val="22"/>
                <w:highlight w:val="yellow"/>
              </w:rPr>
              <w:t>в отношении соответствующего объекта регулирования</w:t>
            </w:r>
            <w:r w:rsidR="00DC2F89" w:rsidRPr="00A5626D">
              <w:rPr>
                <w:rFonts w:ascii="Garamond" w:hAnsi="Garamond"/>
                <w:sz w:val="22"/>
                <w:szCs w:val="22"/>
                <w:highlight w:val="yellow"/>
              </w:rPr>
              <w:t>;</w:t>
            </w:r>
          </w:p>
          <w:p w14:paraId="0D94905E" w14:textId="3E9EA36C" w:rsidR="00295C6D" w:rsidRPr="00A5626D" w:rsidRDefault="009B5F03" w:rsidP="00647FA0">
            <w:pPr>
              <w:tabs>
                <w:tab w:val="left" w:pos="1134"/>
                <w:tab w:val="left" w:pos="7938"/>
              </w:tabs>
              <w:spacing w:before="120" w:after="120"/>
              <w:ind w:firstLine="601"/>
              <w:jc w:val="both"/>
              <w:rPr>
                <w:rFonts w:ascii="Garamond" w:hAnsi="Garamond"/>
                <w:sz w:val="22"/>
                <w:szCs w:val="22"/>
                <w:highlight w:val="yellow"/>
              </w:rPr>
            </w:pPr>
            <w:r w:rsidRPr="00A5626D">
              <w:rPr>
                <w:rFonts w:ascii="Garamond" w:hAnsi="Garamond" w:cstheme="minorHAnsi"/>
                <w:sz w:val="22"/>
                <w:szCs w:val="22"/>
                <w:highlight w:val="yellow"/>
              </w:rPr>
              <w:t xml:space="preserve">– </w:t>
            </w:r>
            <w:r w:rsidR="00BE7DFC" w:rsidRPr="00A5626D">
              <w:rPr>
                <w:rFonts w:ascii="Garamond" w:hAnsi="Garamond" w:cstheme="minorHAnsi"/>
                <w:sz w:val="22"/>
                <w:szCs w:val="22"/>
                <w:highlight w:val="yellow"/>
              </w:rPr>
              <w:t xml:space="preserve">отчетный месяц не относится </w:t>
            </w:r>
            <w:r w:rsidR="00DC2F89" w:rsidRPr="00A5626D">
              <w:rPr>
                <w:rFonts w:ascii="Garamond" w:hAnsi="Garamond" w:cstheme="minorHAnsi"/>
                <w:sz w:val="22"/>
                <w:szCs w:val="22"/>
                <w:highlight w:val="yellow"/>
              </w:rPr>
              <w:t xml:space="preserve">к </w:t>
            </w:r>
            <w:r w:rsidR="00295C6D" w:rsidRPr="00A5626D">
              <w:rPr>
                <w:rFonts w:ascii="Garamond" w:hAnsi="Garamond" w:cstheme="minorHAnsi"/>
                <w:sz w:val="22"/>
                <w:szCs w:val="22"/>
                <w:highlight w:val="yellow"/>
              </w:rPr>
              <w:t xml:space="preserve">периоду, в течение которого отчетные данные коммерческого учета не направляются в СО для последующего определения объема оказанных услуг по управлению изменением режима потребления электроэнергии, по причине повторного отрицательного завершения проверки системы коммерческого учета агрегатора в отношении соответствующего объекта регулирования в соответствии с п. </w:t>
            </w:r>
            <w:r w:rsidR="00BE7DFC" w:rsidRPr="00A5626D">
              <w:rPr>
                <w:rFonts w:ascii="Garamond" w:hAnsi="Garamond" w:cstheme="minorHAnsi"/>
                <w:sz w:val="22"/>
                <w:szCs w:val="22"/>
                <w:highlight w:val="yellow"/>
              </w:rPr>
              <w:t>5.1</w:t>
            </w:r>
            <w:r w:rsidR="00295C6D" w:rsidRPr="00A5626D">
              <w:rPr>
                <w:rFonts w:ascii="Garamond" w:hAnsi="Garamond" w:cstheme="minorHAnsi"/>
                <w:sz w:val="22"/>
                <w:szCs w:val="22"/>
                <w:highlight w:val="yellow"/>
              </w:rPr>
              <w:t xml:space="preserve"> </w:t>
            </w:r>
            <w:r w:rsidR="00295C6D" w:rsidRPr="00A5626D">
              <w:rPr>
                <w:rFonts w:ascii="Garamond" w:hAnsi="Garamond"/>
                <w:i/>
                <w:sz w:val="22"/>
                <w:szCs w:val="22"/>
                <w:highlight w:val="yellow"/>
              </w:rPr>
              <w:t>Регламента проведения проверок систем коммерческого учета субъектов оптового рынка</w:t>
            </w:r>
            <w:r w:rsidR="00295C6D" w:rsidRPr="00A5626D">
              <w:rPr>
                <w:rFonts w:ascii="Garamond" w:hAnsi="Garamond"/>
                <w:sz w:val="22"/>
                <w:szCs w:val="22"/>
                <w:highlight w:val="yellow"/>
              </w:rPr>
              <w:t xml:space="preserve"> (Приложение № 18 к </w:t>
            </w:r>
            <w:r w:rsidR="00295C6D" w:rsidRPr="00A5626D">
              <w:rPr>
                <w:rFonts w:ascii="Garamond" w:hAnsi="Garamond"/>
                <w:i/>
                <w:sz w:val="22"/>
                <w:szCs w:val="22"/>
                <w:highlight w:val="yellow"/>
              </w:rPr>
              <w:t>Договору о присоединении к торговой системе оптового рынка</w:t>
            </w:r>
            <w:r w:rsidR="00295C6D" w:rsidRPr="00A5626D">
              <w:rPr>
                <w:rFonts w:ascii="Garamond" w:hAnsi="Garamond"/>
                <w:sz w:val="22"/>
                <w:szCs w:val="22"/>
                <w:highlight w:val="yellow"/>
              </w:rPr>
              <w:t>).</w:t>
            </w:r>
          </w:p>
          <w:p w14:paraId="17732DA2" w14:textId="77777777" w:rsidR="00295C6D" w:rsidRPr="00A5626D" w:rsidRDefault="00295C6D" w:rsidP="00647FA0">
            <w:pPr>
              <w:tabs>
                <w:tab w:val="left" w:pos="1134"/>
                <w:tab w:val="left" w:pos="7938"/>
              </w:tabs>
              <w:spacing w:before="120" w:after="120"/>
              <w:ind w:firstLine="601"/>
              <w:jc w:val="both"/>
              <w:rPr>
                <w:rFonts w:ascii="Garamond" w:hAnsi="Garamond"/>
                <w:sz w:val="22"/>
                <w:szCs w:val="22"/>
              </w:rPr>
            </w:pPr>
            <w:r w:rsidRPr="00A5626D">
              <w:rPr>
                <w:rFonts w:ascii="Garamond" w:hAnsi="Garamond"/>
                <w:sz w:val="22"/>
                <w:szCs w:val="22"/>
                <w:highlight w:val="yellow"/>
              </w:rPr>
              <w:t>В случае выполнения вышеперечисленных условий, КО передает в порядке, установленном п. 9.6 настоящего Регламента, данные коммерческого учета по объекту регулирования в СО для последующего расчета объема оказанных услуг по управлению изменением режима потребления электрической энергии.</w:t>
            </w:r>
          </w:p>
        </w:tc>
      </w:tr>
      <w:tr w:rsidR="00295C6D" w:rsidRPr="00A5626D" w14:paraId="6B8435B1" w14:textId="77777777" w:rsidTr="00647FA0">
        <w:tc>
          <w:tcPr>
            <w:tcW w:w="1060" w:type="dxa"/>
            <w:vAlign w:val="center"/>
          </w:tcPr>
          <w:p w14:paraId="7AEF3C4D" w14:textId="77777777" w:rsidR="00295C6D" w:rsidRPr="00A5626D" w:rsidRDefault="00295C6D" w:rsidP="00E31AE6">
            <w:pPr>
              <w:widowControl w:val="0"/>
              <w:tabs>
                <w:tab w:val="left" w:pos="1134"/>
                <w:tab w:val="left" w:pos="7938"/>
              </w:tabs>
              <w:spacing w:line="22" w:lineRule="atLeast"/>
              <w:jc w:val="both"/>
              <w:rPr>
                <w:rFonts w:ascii="Garamond" w:hAnsi="Garamond"/>
                <w:b/>
                <w:sz w:val="22"/>
                <w:szCs w:val="22"/>
                <w:lang w:eastAsia="en-US"/>
              </w:rPr>
            </w:pPr>
            <w:r w:rsidRPr="00A5626D">
              <w:rPr>
                <w:rFonts w:ascii="Garamond" w:hAnsi="Garamond"/>
                <w:b/>
                <w:sz w:val="22"/>
                <w:szCs w:val="22"/>
                <w:lang w:eastAsia="en-US"/>
              </w:rPr>
              <w:lastRenderedPageBreak/>
              <w:t>9.6</w:t>
            </w:r>
          </w:p>
        </w:tc>
        <w:tc>
          <w:tcPr>
            <w:tcW w:w="6662" w:type="dxa"/>
          </w:tcPr>
          <w:p w14:paraId="46E961DD" w14:textId="77777777" w:rsidR="00295C6D" w:rsidRPr="00A5626D" w:rsidRDefault="00295C6D" w:rsidP="00647FA0">
            <w:pPr>
              <w:pStyle w:val="2"/>
              <w:numPr>
                <w:ilvl w:val="0"/>
                <w:numId w:val="0"/>
              </w:numPr>
              <w:tabs>
                <w:tab w:val="left" w:pos="1134"/>
                <w:tab w:val="left" w:pos="7938"/>
              </w:tabs>
              <w:suppressAutoHyphens w:val="0"/>
              <w:spacing w:before="120" w:after="120" w:line="22" w:lineRule="atLeast"/>
              <w:ind w:firstLine="629"/>
              <w:jc w:val="both"/>
              <w:rPr>
                <w:rFonts w:ascii="Garamond" w:hAnsi="Garamond" w:cstheme="minorHAnsi"/>
                <w:b w:val="0"/>
              </w:rPr>
            </w:pPr>
            <w:r w:rsidRPr="00A5626D">
              <w:rPr>
                <w:rFonts w:ascii="Garamond" w:hAnsi="Garamond" w:cstheme="minorHAnsi"/>
                <w:b w:val="0"/>
              </w:rPr>
              <w:t xml:space="preserve">КО формирует сводный фактический баланс производства и потребления электроэнергии на ОРЭМ за расчетный период. </w:t>
            </w:r>
          </w:p>
          <w:p w14:paraId="025C39EC" w14:textId="77777777" w:rsidR="00295C6D" w:rsidRPr="00A5626D" w:rsidRDefault="00295C6D" w:rsidP="00647FA0">
            <w:pPr>
              <w:pStyle w:val="2"/>
              <w:numPr>
                <w:ilvl w:val="0"/>
                <w:numId w:val="0"/>
              </w:numPr>
              <w:tabs>
                <w:tab w:val="left" w:pos="1134"/>
                <w:tab w:val="left" w:pos="7938"/>
              </w:tabs>
              <w:suppressAutoHyphens w:val="0"/>
              <w:spacing w:before="120" w:after="120" w:line="22" w:lineRule="atLeast"/>
              <w:ind w:firstLine="629"/>
              <w:jc w:val="both"/>
              <w:rPr>
                <w:rFonts w:ascii="Garamond" w:hAnsi="Garamond" w:cstheme="minorHAnsi"/>
                <w:b w:val="0"/>
              </w:rPr>
            </w:pPr>
            <w:r w:rsidRPr="00A5626D">
              <w:rPr>
                <w:rFonts w:ascii="Garamond" w:hAnsi="Garamond" w:cstheme="minorHAnsi"/>
                <w:b w:val="0"/>
              </w:rPr>
              <w:t>КО не позднее 7-го числа месяца, следующего за расчетным, направляет в СО отчетные данные коммерческого учета по сечениям коммерческого учета между смежными участниками оптового рынка (участниками оптового рынка и ФСК), а также сформированный сводный баланс производства и потребления электроэнергии на ОРЭМ за расчетный период, данные которого были приняты КО для проведения финансовых расчетов на ОРЭМ, содержащий:</w:t>
            </w:r>
          </w:p>
          <w:p w14:paraId="2726D606" w14:textId="77777777" w:rsidR="00295C6D" w:rsidRPr="00A5626D" w:rsidRDefault="00295C6D" w:rsidP="00647FA0">
            <w:pPr>
              <w:pStyle w:val="2"/>
              <w:numPr>
                <w:ilvl w:val="0"/>
                <w:numId w:val="0"/>
              </w:numPr>
              <w:tabs>
                <w:tab w:val="left" w:pos="1134"/>
                <w:tab w:val="left" w:pos="7938"/>
              </w:tabs>
              <w:suppressAutoHyphens w:val="0"/>
              <w:spacing w:before="120" w:after="120" w:line="22" w:lineRule="atLeast"/>
              <w:ind w:firstLine="629"/>
              <w:jc w:val="both"/>
              <w:rPr>
                <w:rFonts w:ascii="Garamond" w:hAnsi="Garamond" w:cstheme="minorHAnsi"/>
                <w:b w:val="0"/>
              </w:rPr>
            </w:pPr>
            <w:r w:rsidRPr="00A5626D">
              <w:rPr>
                <w:rFonts w:ascii="Garamond" w:hAnsi="Garamond" w:cstheme="minorHAnsi"/>
                <w:b w:val="0"/>
              </w:rPr>
              <w:t>•</w:t>
            </w:r>
            <w:r w:rsidRPr="00A5626D">
              <w:rPr>
                <w:rFonts w:ascii="Garamond" w:hAnsi="Garamond" w:cstheme="minorHAnsi"/>
                <w:b w:val="0"/>
              </w:rPr>
              <w:tab/>
              <w:t>почасовые объемы потребления электроэнергии по каждой ГТП потребления, сечениям экспорта/импорта;</w:t>
            </w:r>
          </w:p>
          <w:p w14:paraId="17ED5C02" w14:textId="77777777" w:rsidR="00295C6D" w:rsidRPr="00A5626D" w:rsidRDefault="00295C6D" w:rsidP="00647FA0">
            <w:pPr>
              <w:pStyle w:val="2"/>
              <w:numPr>
                <w:ilvl w:val="0"/>
                <w:numId w:val="0"/>
              </w:numPr>
              <w:tabs>
                <w:tab w:val="left" w:pos="1134"/>
                <w:tab w:val="left" w:pos="7938"/>
              </w:tabs>
              <w:suppressAutoHyphens w:val="0"/>
              <w:spacing w:before="120" w:after="120" w:line="22" w:lineRule="atLeast"/>
              <w:ind w:firstLine="629"/>
              <w:jc w:val="both"/>
              <w:rPr>
                <w:rFonts w:ascii="Garamond" w:hAnsi="Garamond" w:cstheme="minorHAnsi"/>
                <w:b w:val="0"/>
              </w:rPr>
            </w:pPr>
            <w:r w:rsidRPr="00A5626D">
              <w:rPr>
                <w:rFonts w:ascii="Garamond" w:hAnsi="Garamond" w:cstheme="minorHAnsi"/>
                <w:b w:val="0"/>
              </w:rPr>
              <w:t>•</w:t>
            </w:r>
            <w:r w:rsidRPr="00A5626D">
              <w:rPr>
                <w:rFonts w:ascii="Garamond" w:hAnsi="Garamond" w:cstheme="minorHAnsi"/>
                <w:b w:val="0"/>
              </w:rPr>
              <w:tab/>
              <w:t xml:space="preserve">почасовые объемы производства электроэнергии по </w:t>
            </w:r>
            <w:r w:rsidRPr="00A5626D">
              <w:rPr>
                <w:rFonts w:ascii="Garamond" w:hAnsi="Garamond" w:cstheme="minorHAnsi"/>
                <w:b w:val="0"/>
              </w:rPr>
              <w:lastRenderedPageBreak/>
              <w:t>каждой ГТП генерации.</w:t>
            </w:r>
          </w:p>
          <w:p w14:paraId="07EF6935" w14:textId="77777777" w:rsidR="00295C6D" w:rsidRPr="00A5626D" w:rsidRDefault="00295C6D" w:rsidP="00647FA0">
            <w:pPr>
              <w:pStyle w:val="2"/>
              <w:numPr>
                <w:ilvl w:val="0"/>
                <w:numId w:val="0"/>
              </w:numPr>
              <w:tabs>
                <w:tab w:val="left" w:pos="1134"/>
                <w:tab w:val="left" w:pos="7938"/>
              </w:tabs>
              <w:suppressAutoHyphens w:val="0"/>
              <w:spacing w:before="120" w:after="120" w:line="22" w:lineRule="atLeast"/>
              <w:ind w:firstLine="629"/>
              <w:jc w:val="both"/>
              <w:rPr>
                <w:rFonts w:ascii="Garamond" w:hAnsi="Garamond" w:cstheme="minorHAnsi"/>
                <w:b w:val="0"/>
              </w:rPr>
            </w:pPr>
            <w:r w:rsidRPr="00A5626D">
              <w:rPr>
                <w:rFonts w:ascii="Garamond" w:hAnsi="Garamond" w:cstheme="minorHAnsi"/>
                <w:b w:val="0"/>
              </w:rPr>
              <w:t>При проведении конкурентного отбора заявок для балансирования системы СО формирует ежедневный сводный баланс производства и потребления электроэнергии на БР.</w:t>
            </w:r>
          </w:p>
          <w:p w14:paraId="06A3DDBD" w14:textId="77777777" w:rsidR="00295C6D" w:rsidRPr="00A5626D" w:rsidRDefault="00295C6D" w:rsidP="00647FA0">
            <w:pPr>
              <w:pStyle w:val="2"/>
              <w:numPr>
                <w:ilvl w:val="0"/>
                <w:numId w:val="0"/>
              </w:numPr>
              <w:tabs>
                <w:tab w:val="left" w:pos="1134"/>
                <w:tab w:val="left" w:pos="7938"/>
              </w:tabs>
              <w:suppressAutoHyphens w:val="0"/>
              <w:spacing w:before="120" w:after="120" w:line="22" w:lineRule="atLeast"/>
              <w:ind w:firstLine="629"/>
              <w:jc w:val="both"/>
              <w:rPr>
                <w:rFonts w:ascii="Garamond" w:hAnsi="Garamond" w:cstheme="minorHAnsi"/>
                <w:b w:val="0"/>
              </w:rPr>
            </w:pPr>
            <w:r w:rsidRPr="00A5626D">
              <w:rPr>
                <w:rFonts w:ascii="Garamond" w:hAnsi="Garamond" w:cstheme="minorHAnsi"/>
                <w:b w:val="0"/>
              </w:rPr>
              <w:t>Для целей подтверждения величины заявленных ограничений установленной мощности в месяце m участник оптового рынка не позднее последнего числа месяца m запрашивает у КО информацию для СО о величинах выработки электроэнергии генерирующим оборудованием, с указанием перечня ГЕМ, времени и дат, по которым необходимо предоставление информации.</w:t>
            </w:r>
          </w:p>
          <w:p w14:paraId="577E5A13" w14:textId="77777777" w:rsidR="00295C6D" w:rsidRPr="00A5626D" w:rsidRDefault="00295C6D" w:rsidP="00647FA0">
            <w:pPr>
              <w:pStyle w:val="2"/>
              <w:numPr>
                <w:ilvl w:val="0"/>
                <w:numId w:val="0"/>
              </w:numPr>
              <w:tabs>
                <w:tab w:val="left" w:pos="1134"/>
                <w:tab w:val="left" w:pos="7938"/>
              </w:tabs>
              <w:suppressAutoHyphens w:val="0"/>
              <w:spacing w:before="120" w:after="120" w:line="22" w:lineRule="atLeast"/>
              <w:ind w:firstLine="629"/>
              <w:jc w:val="both"/>
              <w:rPr>
                <w:rFonts w:ascii="Garamond" w:hAnsi="Garamond" w:cstheme="minorHAnsi"/>
                <w:b w:val="0"/>
              </w:rPr>
            </w:pPr>
            <w:r w:rsidRPr="00A5626D">
              <w:rPr>
                <w:rFonts w:ascii="Garamond" w:hAnsi="Garamond" w:cstheme="minorHAnsi"/>
                <w:b w:val="0"/>
              </w:rPr>
              <w:t>По запросу участника оптового рынка для целей подтверждения данными коммерческого учета факта выработки электроэнергии КО не позднее 7-го числа следующего за расчетным месяца m+1 направляет СО в согласованном с ним виде данные коммерческого учета по запрашиваемым ГЕМ, при наличии переданных в КО со статусом «коммерческая информация» результатов измерений в макете 80020 по ГЕМ в запрашиваемые часы и при условии неприменения в отношении ГТП генерации, в состав которой входят соответствующие ГЕМ, в запрашиваемый период замещающих методов расчета, указанных в п. 8.7 настоящего Регламента.</w:t>
            </w:r>
          </w:p>
        </w:tc>
        <w:tc>
          <w:tcPr>
            <w:tcW w:w="7088" w:type="dxa"/>
          </w:tcPr>
          <w:p w14:paraId="25527082" w14:textId="77777777" w:rsidR="00295C6D" w:rsidRPr="00A5626D" w:rsidRDefault="00295C6D" w:rsidP="00647FA0">
            <w:pPr>
              <w:pStyle w:val="2"/>
              <w:numPr>
                <w:ilvl w:val="0"/>
                <w:numId w:val="0"/>
              </w:numPr>
              <w:tabs>
                <w:tab w:val="left" w:pos="1134"/>
                <w:tab w:val="left" w:pos="7938"/>
              </w:tabs>
              <w:suppressAutoHyphens w:val="0"/>
              <w:spacing w:before="120" w:after="120" w:line="22" w:lineRule="atLeast"/>
              <w:ind w:firstLine="629"/>
              <w:jc w:val="both"/>
              <w:rPr>
                <w:rFonts w:ascii="Garamond" w:hAnsi="Garamond" w:cstheme="minorHAnsi"/>
                <w:b w:val="0"/>
              </w:rPr>
            </w:pPr>
            <w:r w:rsidRPr="00A5626D">
              <w:rPr>
                <w:rFonts w:ascii="Garamond" w:hAnsi="Garamond" w:cstheme="minorHAnsi"/>
                <w:b w:val="0"/>
              </w:rPr>
              <w:lastRenderedPageBreak/>
              <w:t>КО формирует сводный фактический баланс производства и потребления электроэнергии на ОРЭМ</w:t>
            </w:r>
            <w:r w:rsidRPr="00A5626D">
              <w:rPr>
                <w:rFonts w:ascii="Garamond" w:hAnsi="Garamond" w:cstheme="minorHAnsi"/>
                <w:b w:val="0"/>
                <w:highlight w:val="yellow"/>
              </w:rPr>
              <w:t>, а также сводные отчетные данные коммерческого учета по объектам регулирования агрегаторов</w:t>
            </w:r>
            <w:r w:rsidRPr="00A5626D">
              <w:rPr>
                <w:rFonts w:ascii="Garamond" w:hAnsi="Garamond" w:cstheme="minorHAnsi"/>
                <w:b w:val="0"/>
              </w:rPr>
              <w:t xml:space="preserve"> за расчетный период. </w:t>
            </w:r>
          </w:p>
          <w:p w14:paraId="66B2EA64" w14:textId="77777777" w:rsidR="00295C6D" w:rsidRPr="00A5626D" w:rsidRDefault="00295C6D" w:rsidP="00647FA0">
            <w:pPr>
              <w:pStyle w:val="2"/>
              <w:numPr>
                <w:ilvl w:val="0"/>
                <w:numId w:val="0"/>
              </w:numPr>
              <w:tabs>
                <w:tab w:val="left" w:pos="1134"/>
                <w:tab w:val="left" w:pos="7938"/>
              </w:tabs>
              <w:suppressAutoHyphens w:val="0"/>
              <w:spacing w:before="120" w:after="120" w:line="22" w:lineRule="atLeast"/>
              <w:ind w:firstLine="629"/>
              <w:jc w:val="both"/>
              <w:rPr>
                <w:rFonts w:ascii="Garamond" w:hAnsi="Garamond" w:cstheme="minorHAnsi"/>
                <w:b w:val="0"/>
              </w:rPr>
            </w:pPr>
            <w:r w:rsidRPr="00A5626D">
              <w:rPr>
                <w:rFonts w:ascii="Garamond" w:hAnsi="Garamond" w:cstheme="minorHAnsi"/>
                <w:b w:val="0"/>
              </w:rPr>
              <w:t>КО не позднее 7-го числа месяца, следующего за расчетным, направляет в СО отчетные данные коммерческого учета по сечениям коммерческого учета между смежными участниками оптового рынка (участниками оптового рынка и ФСК), а также сформированный сводный баланс производства и потребления электроэнергии на ОРЭМ за расчетный период, данные которого были приняты КО для проведения финансовых расчетов на ОРЭМ, содержащий:</w:t>
            </w:r>
          </w:p>
          <w:p w14:paraId="78D6DCE2" w14:textId="77777777" w:rsidR="00295C6D" w:rsidRPr="00A5626D" w:rsidRDefault="00295C6D" w:rsidP="00647FA0">
            <w:pPr>
              <w:pStyle w:val="2"/>
              <w:numPr>
                <w:ilvl w:val="0"/>
                <w:numId w:val="0"/>
              </w:numPr>
              <w:tabs>
                <w:tab w:val="left" w:pos="1134"/>
                <w:tab w:val="left" w:pos="7938"/>
              </w:tabs>
              <w:suppressAutoHyphens w:val="0"/>
              <w:spacing w:before="120" w:after="120" w:line="22" w:lineRule="atLeast"/>
              <w:ind w:firstLine="629"/>
              <w:jc w:val="both"/>
              <w:rPr>
                <w:rFonts w:ascii="Garamond" w:hAnsi="Garamond" w:cstheme="minorHAnsi"/>
                <w:b w:val="0"/>
              </w:rPr>
            </w:pPr>
            <w:r w:rsidRPr="00A5626D">
              <w:rPr>
                <w:rFonts w:ascii="Garamond" w:hAnsi="Garamond" w:cstheme="minorHAnsi"/>
                <w:b w:val="0"/>
              </w:rPr>
              <w:t>•</w:t>
            </w:r>
            <w:r w:rsidRPr="00A5626D">
              <w:rPr>
                <w:rFonts w:ascii="Garamond" w:hAnsi="Garamond" w:cstheme="minorHAnsi"/>
                <w:b w:val="0"/>
              </w:rPr>
              <w:tab/>
              <w:t xml:space="preserve">почасовые объемы потребления электроэнергии по каждой </w:t>
            </w:r>
            <w:r w:rsidRPr="00A5626D">
              <w:rPr>
                <w:rFonts w:ascii="Garamond" w:hAnsi="Garamond" w:cstheme="minorHAnsi"/>
                <w:b w:val="0"/>
              </w:rPr>
              <w:lastRenderedPageBreak/>
              <w:t>ГТП потребления, сечениям экспорта/импорта;</w:t>
            </w:r>
          </w:p>
          <w:p w14:paraId="65E4D325" w14:textId="77777777" w:rsidR="00295C6D" w:rsidRPr="00A5626D" w:rsidRDefault="00295C6D" w:rsidP="00647FA0">
            <w:pPr>
              <w:pStyle w:val="2"/>
              <w:numPr>
                <w:ilvl w:val="0"/>
                <w:numId w:val="0"/>
              </w:numPr>
              <w:tabs>
                <w:tab w:val="left" w:pos="1134"/>
                <w:tab w:val="left" w:pos="7938"/>
              </w:tabs>
              <w:suppressAutoHyphens w:val="0"/>
              <w:spacing w:before="120" w:after="120" w:line="22" w:lineRule="atLeast"/>
              <w:ind w:firstLine="629"/>
              <w:jc w:val="both"/>
              <w:rPr>
                <w:rFonts w:ascii="Garamond" w:hAnsi="Garamond" w:cstheme="minorHAnsi"/>
                <w:b w:val="0"/>
              </w:rPr>
            </w:pPr>
            <w:r w:rsidRPr="00A5626D">
              <w:rPr>
                <w:rFonts w:ascii="Garamond" w:hAnsi="Garamond" w:cstheme="minorHAnsi"/>
                <w:b w:val="0"/>
              </w:rPr>
              <w:t>•</w:t>
            </w:r>
            <w:r w:rsidRPr="00A5626D">
              <w:rPr>
                <w:rFonts w:ascii="Garamond" w:hAnsi="Garamond" w:cstheme="minorHAnsi"/>
                <w:b w:val="0"/>
              </w:rPr>
              <w:tab/>
              <w:t>почасовые объемы производства электроэнергии по каждой ГТП генерации.</w:t>
            </w:r>
          </w:p>
          <w:p w14:paraId="168514D3" w14:textId="1271F105" w:rsidR="00295C6D" w:rsidRPr="00A5626D" w:rsidRDefault="00295C6D" w:rsidP="00647FA0">
            <w:pPr>
              <w:pStyle w:val="2"/>
              <w:numPr>
                <w:ilvl w:val="0"/>
                <w:numId w:val="0"/>
              </w:numPr>
              <w:tabs>
                <w:tab w:val="left" w:pos="1134"/>
                <w:tab w:val="left" w:pos="7938"/>
              </w:tabs>
              <w:suppressAutoHyphens w:val="0"/>
              <w:spacing w:before="120" w:after="120" w:line="22" w:lineRule="atLeast"/>
              <w:ind w:firstLine="629"/>
              <w:jc w:val="both"/>
              <w:rPr>
                <w:rFonts w:ascii="Garamond" w:hAnsi="Garamond" w:cstheme="minorHAnsi"/>
                <w:b w:val="0"/>
              </w:rPr>
            </w:pPr>
            <w:r w:rsidRPr="00A5626D">
              <w:rPr>
                <w:rFonts w:ascii="Garamond" w:hAnsi="Garamond" w:cstheme="minorHAnsi"/>
                <w:b w:val="0"/>
                <w:highlight w:val="yellow"/>
              </w:rPr>
              <w:t>КО не позднее 7-го числа месяца, следующего за расчетным, направляет в СО сводные отчетные данные коммерческого учета по объектам регулирования агрегаторов для последующего расчета объема оказанных услуг по управлению изменением режима потребления,</w:t>
            </w:r>
            <w:r w:rsidR="008029A9" w:rsidRPr="00A5626D">
              <w:rPr>
                <w:rFonts w:ascii="Garamond" w:hAnsi="Garamond" w:cstheme="minorHAnsi"/>
                <w:b w:val="0"/>
                <w:highlight w:val="yellow"/>
              </w:rPr>
              <w:t xml:space="preserve"> </w:t>
            </w:r>
            <w:r w:rsidRPr="00A5626D">
              <w:rPr>
                <w:rFonts w:ascii="Garamond" w:hAnsi="Garamond" w:cstheme="minorHAnsi"/>
                <w:b w:val="0"/>
                <w:highlight w:val="yellow"/>
              </w:rPr>
              <w:t>содержащи</w:t>
            </w:r>
            <w:r w:rsidR="00DC2F89" w:rsidRPr="00A5626D">
              <w:rPr>
                <w:rFonts w:ascii="Garamond" w:hAnsi="Garamond" w:cstheme="minorHAnsi"/>
                <w:b w:val="0"/>
                <w:highlight w:val="yellow"/>
              </w:rPr>
              <w:t>е</w:t>
            </w:r>
            <w:r w:rsidR="008029A9" w:rsidRPr="00A5626D">
              <w:rPr>
                <w:rFonts w:ascii="Garamond" w:hAnsi="Garamond" w:cstheme="minorHAnsi"/>
                <w:b w:val="0"/>
                <w:highlight w:val="yellow"/>
              </w:rPr>
              <w:t xml:space="preserve"> </w:t>
            </w:r>
            <w:r w:rsidRPr="00A5626D">
              <w:rPr>
                <w:rFonts w:ascii="Garamond" w:hAnsi="Garamond" w:cstheme="minorHAnsi"/>
                <w:b w:val="0"/>
                <w:highlight w:val="yellow"/>
              </w:rPr>
              <w:t>почасовые данные коммерческого учета по объектам регулирования, в отношении которых выполнены требования п. 9.2 настоящего Регламента.</w:t>
            </w:r>
          </w:p>
          <w:p w14:paraId="0A7CA917" w14:textId="77777777" w:rsidR="00295C6D" w:rsidRPr="00A5626D" w:rsidRDefault="00295C6D" w:rsidP="00647FA0">
            <w:pPr>
              <w:pStyle w:val="2"/>
              <w:numPr>
                <w:ilvl w:val="0"/>
                <w:numId w:val="0"/>
              </w:numPr>
              <w:tabs>
                <w:tab w:val="left" w:pos="1134"/>
                <w:tab w:val="left" w:pos="7938"/>
              </w:tabs>
              <w:suppressAutoHyphens w:val="0"/>
              <w:spacing w:before="120" w:after="120" w:line="22" w:lineRule="atLeast"/>
              <w:ind w:firstLine="629"/>
              <w:jc w:val="both"/>
              <w:rPr>
                <w:rFonts w:ascii="Garamond" w:hAnsi="Garamond" w:cstheme="minorHAnsi"/>
                <w:b w:val="0"/>
              </w:rPr>
            </w:pPr>
            <w:r w:rsidRPr="00A5626D">
              <w:rPr>
                <w:rFonts w:ascii="Garamond" w:hAnsi="Garamond" w:cstheme="minorHAnsi"/>
                <w:b w:val="0"/>
              </w:rPr>
              <w:t>При проведении конкурентного отбора заявок для балансирования системы СО формирует ежедневный сводный баланс производства и потребления электроэнергии на БР.</w:t>
            </w:r>
          </w:p>
          <w:p w14:paraId="6B6F80F0" w14:textId="77777777" w:rsidR="00295C6D" w:rsidRPr="00A5626D" w:rsidRDefault="00295C6D" w:rsidP="00647FA0">
            <w:pPr>
              <w:pStyle w:val="2"/>
              <w:numPr>
                <w:ilvl w:val="0"/>
                <w:numId w:val="0"/>
              </w:numPr>
              <w:tabs>
                <w:tab w:val="left" w:pos="1134"/>
                <w:tab w:val="left" w:pos="7938"/>
              </w:tabs>
              <w:suppressAutoHyphens w:val="0"/>
              <w:spacing w:before="120" w:after="120" w:line="22" w:lineRule="atLeast"/>
              <w:ind w:firstLine="629"/>
              <w:jc w:val="both"/>
              <w:rPr>
                <w:rFonts w:ascii="Garamond" w:hAnsi="Garamond" w:cstheme="minorHAnsi"/>
                <w:b w:val="0"/>
              </w:rPr>
            </w:pPr>
            <w:r w:rsidRPr="00A5626D">
              <w:rPr>
                <w:rFonts w:ascii="Garamond" w:hAnsi="Garamond" w:cstheme="minorHAnsi"/>
                <w:b w:val="0"/>
              </w:rPr>
              <w:t xml:space="preserve">Для целей подтверждения величины заявленных ограничений установленной мощности в месяце m участник оптового рынка не позднее последнего числа месяца </w:t>
            </w:r>
            <w:r w:rsidRPr="00A5626D">
              <w:rPr>
                <w:rFonts w:ascii="Garamond" w:hAnsi="Garamond" w:cstheme="minorHAnsi"/>
                <w:b w:val="0"/>
                <w:i/>
              </w:rPr>
              <w:t>m</w:t>
            </w:r>
            <w:r w:rsidRPr="00A5626D">
              <w:rPr>
                <w:rFonts w:ascii="Garamond" w:hAnsi="Garamond" w:cstheme="minorHAnsi"/>
                <w:b w:val="0"/>
              </w:rPr>
              <w:t xml:space="preserve"> запрашивает у КО информацию для СО о величинах выработки электроэнергии генерирующим оборудованием, с указанием перечня ГЕМ, времени и дат, по которым необходимо предоставление информации.</w:t>
            </w:r>
          </w:p>
          <w:p w14:paraId="2FB27020" w14:textId="77777777" w:rsidR="00295C6D" w:rsidRPr="00A5626D" w:rsidRDefault="00295C6D" w:rsidP="00647FA0">
            <w:pPr>
              <w:pStyle w:val="2"/>
              <w:numPr>
                <w:ilvl w:val="0"/>
                <w:numId w:val="0"/>
              </w:numPr>
              <w:tabs>
                <w:tab w:val="left" w:pos="1134"/>
                <w:tab w:val="left" w:pos="7938"/>
              </w:tabs>
              <w:suppressAutoHyphens w:val="0"/>
              <w:spacing w:before="120" w:after="120" w:line="22" w:lineRule="atLeast"/>
              <w:ind w:firstLine="629"/>
              <w:jc w:val="both"/>
              <w:rPr>
                <w:rFonts w:ascii="Garamond" w:hAnsi="Garamond" w:cstheme="minorHAnsi"/>
                <w:b w:val="0"/>
              </w:rPr>
            </w:pPr>
            <w:r w:rsidRPr="00A5626D">
              <w:rPr>
                <w:rFonts w:ascii="Garamond" w:hAnsi="Garamond" w:cstheme="minorHAnsi"/>
                <w:b w:val="0"/>
              </w:rPr>
              <w:t xml:space="preserve">По запросу участника оптового рынка для целей подтверждения данными коммерческого учета факта выработки электроэнергии КО не позднее 7-го числа следующего за расчетным месяца </w:t>
            </w:r>
            <w:r w:rsidRPr="00A5626D">
              <w:rPr>
                <w:rFonts w:ascii="Garamond" w:hAnsi="Garamond" w:cstheme="minorHAnsi"/>
                <w:b w:val="0"/>
                <w:i/>
              </w:rPr>
              <w:t>m</w:t>
            </w:r>
            <w:r w:rsidRPr="00A5626D">
              <w:rPr>
                <w:rFonts w:ascii="Garamond" w:hAnsi="Garamond" w:cstheme="minorHAnsi"/>
                <w:b w:val="0"/>
              </w:rPr>
              <w:t>+1 направляет СО в согласованном с ним виде данные коммерческого учета по запрашиваемым ГЕМ, при наличии переданных в КО со статусом «коммерческая информация» результатов измерений в макете 80020 по ГЕМ в запрашиваемые часы и при условии неприменения в отношении ГТП генерации, в состав которой входят соответствующие ГЕМ, в запрашиваемый период замещающих методов расчета, указанных в п. 8.7 настоящего Регламента.</w:t>
            </w:r>
          </w:p>
        </w:tc>
      </w:tr>
      <w:tr w:rsidR="00295C6D" w:rsidRPr="00A5626D" w14:paraId="0513CBFA" w14:textId="77777777" w:rsidTr="00647FA0">
        <w:tc>
          <w:tcPr>
            <w:tcW w:w="1060" w:type="dxa"/>
            <w:vAlign w:val="center"/>
          </w:tcPr>
          <w:p w14:paraId="4A0CBEBC" w14:textId="77777777" w:rsidR="00295C6D" w:rsidRPr="00A5626D" w:rsidRDefault="00295C6D" w:rsidP="00E31AE6">
            <w:pPr>
              <w:widowControl w:val="0"/>
              <w:tabs>
                <w:tab w:val="left" w:pos="1134"/>
                <w:tab w:val="left" w:pos="7938"/>
              </w:tabs>
              <w:spacing w:line="22" w:lineRule="atLeast"/>
              <w:jc w:val="both"/>
              <w:rPr>
                <w:rFonts w:ascii="Garamond" w:hAnsi="Garamond"/>
                <w:b/>
                <w:sz w:val="22"/>
                <w:szCs w:val="22"/>
                <w:lang w:eastAsia="en-US"/>
              </w:rPr>
            </w:pPr>
            <w:r w:rsidRPr="00A5626D">
              <w:rPr>
                <w:rFonts w:ascii="Garamond" w:hAnsi="Garamond"/>
                <w:b/>
                <w:sz w:val="22"/>
                <w:szCs w:val="22"/>
                <w:lang w:eastAsia="en-US"/>
              </w:rPr>
              <w:lastRenderedPageBreak/>
              <w:t>10.2</w:t>
            </w:r>
          </w:p>
        </w:tc>
        <w:tc>
          <w:tcPr>
            <w:tcW w:w="6662" w:type="dxa"/>
          </w:tcPr>
          <w:p w14:paraId="65FE20D0" w14:textId="77777777" w:rsidR="00295C6D" w:rsidRPr="00A5626D" w:rsidRDefault="00295C6D" w:rsidP="00647FA0">
            <w:pPr>
              <w:pStyle w:val="2"/>
              <w:numPr>
                <w:ilvl w:val="0"/>
                <w:numId w:val="0"/>
              </w:numPr>
              <w:tabs>
                <w:tab w:val="left" w:pos="1134"/>
                <w:tab w:val="left" w:pos="7938"/>
              </w:tabs>
              <w:suppressAutoHyphens w:val="0"/>
              <w:spacing w:before="120" w:after="120" w:line="22" w:lineRule="atLeast"/>
              <w:ind w:firstLine="629"/>
              <w:jc w:val="both"/>
              <w:rPr>
                <w:rFonts w:ascii="Garamond" w:hAnsi="Garamond" w:cstheme="minorHAnsi"/>
                <w:b w:val="0"/>
              </w:rPr>
            </w:pPr>
            <w:r w:rsidRPr="00A5626D">
              <w:rPr>
                <w:rFonts w:ascii="Garamond" w:hAnsi="Garamond" w:cstheme="minorHAnsi"/>
                <w:b w:val="0"/>
              </w:rPr>
              <w:t>Обязательному хранению подлежат:</w:t>
            </w:r>
          </w:p>
          <w:p w14:paraId="613DC8B1" w14:textId="77777777" w:rsidR="00295C6D" w:rsidRPr="00A5626D" w:rsidRDefault="00295C6D" w:rsidP="00647FA0">
            <w:pPr>
              <w:pStyle w:val="2"/>
              <w:numPr>
                <w:ilvl w:val="0"/>
                <w:numId w:val="0"/>
              </w:numPr>
              <w:tabs>
                <w:tab w:val="left" w:pos="1134"/>
                <w:tab w:val="left" w:pos="7938"/>
              </w:tabs>
              <w:suppressAutoHyphens w:val="0"/>
              <w:spacing w:before="120" w:after="120" w:line="22" w:lineRule="atLeast"/>
              <w:ind w:firstLine="629"/>
              <w:jc w:val="both"/>
              <w:rPr>
                <w:rFonts w:ascii="Garamond" w:hAnsi="Garamond" w:cstheme="minorHAnsi"/>
                <w:b w:val="0"/>
              </w:rPr>
            </w:pPr>
            <w:r w:rsidRPr="00A5626D">
              <w:rPr>
                <w:rFonts w:ascii="Garamond" w:hAnsi="Garamond" w:cstheme="minorHAnsi"/>
                <w:b w:val="0"/>
              </w:rPr>
              <w:t>•</w:t>
            </w:r>
            <w:r w:rsidRPr="00A5626D">
              <w:rPr>
                <w:rFonts w:ascii="Garamond" w:hAnsi="Garamond" w:cstheme="minorHAnsi"/>
                <w:b w:val="0"/>
              </w:rPr>
              <w:tab/>
              <w:t>первичные данные основных, резервных и контрольных средств измерений;</w:t>
            </w:r>
          </w:p>
          <w:p w14:paraId="1A49152E" w14:textId="77777777" w:rsidR="00295C6D" w:rsidRPr="00A5626D" w:rsidRDefault="00295C6D" w:rsidP="00647FA0">
            <w:pPr>
              <w:pStyle w:val="2"/>
              <w:numPr>
                <w:ilvl w:val="0"/>
                <w:numId w:val="0"/>
              </w:numPr>
              <w:tabs>
                <w:tab w:val="left" w:pos="1134"/>
                <w:tab w:val="left" w:pos="7938"/>
              </w:tabs>
              <w:suppressAutoHyphens w:val="0"/>
              <w:spacing w:before="120" w:after="120" w:line="22" w:lineRule="atLeast"/>
              <w:ind w:firstLine="629"/>
              <w:jc w:val="both"/>
              <w:rPr>
                <w:rFonts w:ascii="Garamond" w:hAnsi="Garamond" w:cstheme="minorHAnsi"/>
                <w:b w:val="0"/>
              </w:rPr>
            </w:pPr>
            <w:r w:rsidRPr="00A5626D">
              <w:rPr>
                <w:rFonts w:ascii="Garamond" w:hAnsi="Garamond" w:cstheme="minorHAnsi"/>
                <w:b w:val="0"/>
              </w:rPr>
              <w:t>•</w:t>
            </w:r>
            <w:r w:rsidRPr="00A5626D">
              <w:rPr>
                <w:rFonts w:ascii="Garamond" w:hAnsi="Garamond" w:cstheme="minorHAnsi"/>
                <w:b w:val="0"/>
              </w:rPr>
              <w:tab/>
              <w:t xml:space="preserve">оперативные данные СО, при условии использования их </w:t>
            </w:r>
            <w:r w:rsidRPr="00A5626D">
              <w:rPr>
                <w:rFonts w:ascii="Garamond" w:hAnsi="Garamond" w:cstheme="minorHAnsi"/>
                <w:b w:val="0"/>
              </w:rPr>
              <w:lastRenderedPageBreak/>
              <w:t>для определения почасовых данных;</w:t>
            </w:r>
          </w:p>
          <w:p w14:paraId="00BE4840" w14:textId="77777777" w:rsidR="00295C6D" w:rsidRPr="00A5626D" w:rsidRDefault="00295C6D" w:rsidP="00647FA0">
            <w:pPr>
              <w:pStyle w:val="2"/>
              <w:numPr>
                <w:ilvl w:val="0"/>
                <w:numId w:val="0"/>
              </w:numPr>
              <w:tabs>
                <w:tab w:val="left" w:pos="1134"/>
                <w:tab w:val="left" w:pos="7938"/>
              </w:tabs>
              <w:suppressAutoHyphens w:val="0"/>
              <w:spacing w:before="120" w:after="120" w:line="22" w:lineRule="atLeast"/>
              <w:ind w:firstLine="629"/>
              <w:jc w:val="both"/>
              <w:rPr>
                <w:rFonts w:ascii="Garamond" w:hAnsi="Garamond" w:cstheme="minorHAnsi"/>
                <w:b w:val="0"/>
              </w:rPr>
            </w:pPr>
            <w:r w:rsidRPr="00A5626D">
              <w:rPr>
                <w:rFonts w:ascii="Garamond" w:hAnsi="Garamond" w:cstheme="minorHAnsi"/>
                <w:b w:val="0"/>
              </w:rPr>
              <w:t>•</w:t>
            </w:r>
            <w:r w:rsidRPr="00A5626D">
              <w:rPr>
                <w:rFonts w:ascii="Garamond" w:hAnsi="Garamond" w:cstheme="minorHAnsi"/>
                <w:b w:val="0"/>
              </w:rPr>
              <w:tab/>
              <w:t>Соглашения;</w:t>
            </w:r>
          </w:p>
          <w:p w14:paraId="1EE67E1E" w14:textId="77777777" w:rsidR="00295C6D" w:rsidRPr="00A5626D" w:rsidRDefault="00295C6D" w:rsidP="00647FA0">
            <w:pPr>
              <w:pStyle w:val="2"/>
              <w:numPr>
                <w:ilvl w:val="0"/>
                <w:numId w:val="0"/>
              </w:numPr>
              <w:tabs>
                <w:tab w:val="left" w:pos="1134"/>
                <w:tab w:val="left" w:pos="7938"/>
              </w:tabs>
              <w:suppressAutoHyphens w:val="0"/>
              <w:spacing w:before="120" w:after="120" w:line="22" w:lineRule="atLeast"/>
              <w:ind w:firstLine="629"/>
              <w:jc w:val="both"/>
              <w:rPr>
                <w:rFonts w:ascii="Garamond" w:hAnsi="Garamond" w:cstheme="minorHAnsi"/>
                <w:b w:val="0"/>
              </w:rPr>
            </w:pPr>
            <w:r w:rsidRPr="00A5626D">
              <w:rPr>
                <w:rFonts w:ascii="Garamond" w:hAnsi="Garamond" w:cstheme="minorHAnsi"/>
                <w:b w:val="0"/>
              </w:rPr>
              <w:t>•</w:t>
            </w:r>
            <w:r w:rsidRPr="00A5626D">
              <w:rPr>
                <w:rFonts w:ascii="Garamond" w:hAnsi="Garamond" w:cstheme="minorHAnsi"/>
                <w:b w:val="0"/>
              </w:rPr>
              <w:tab/>
              <w:t xml:space="preserve">иные документы, связанные с </w:t>
            </w:r>
            <w:r w:rsidRPr="00A5626D">
              <w:rPr>
                <w:rFonts w:ascii="Garamond" w:hAnsi="Garamond" w:cstheme="minorHAnsi"/>
                <w:b w:val="0"/>
                <w:highlight w:val="yellow"/>
              </w:rPr>
              <w:t>предоставлением</w:t>
            </w:r>
            <w:r w:rsidRPr="00A5626D">
              <w:rPr>
                <w:rFonts w:ascii="Garamond" w:hAnsi="Garamond" w:cstheme="minorHAnsi"/>
                <w:b w:val="0"/>
              </w:rPr>
              <w:t>, согласованием и расчетами данных, необходимых для целей коммерческого учета.</w:t>
            </w:r>
          </w:p>
        </w:tc>
        <w:tc>
          <w:tcPr>
            <w:tcW w:w="7088" w:type="dxa"/>
          </w:tcPr>
          <w:p w14:paraId="0B810797" w14:textId="77777777" w:rsidR="00295C6D" w:rsidRPr="00A5626D" w:rsidRDefault="00295C6D" w:rsidP="00647FA0">
            <w:pPr>
              <w:pStyle w:val="2"/>
              <w:numPr>
                <w:ilvl w:val="0"/>
                <w:numId w:val="0"/>
              </w:numPr>
              <w:tabs>
                <w:tab w:val="left" w:pos="1134"/>
                <w:tab w:val="left" w:pos="7938"/>
              </w:tabs>
              <w:suppressAutoHyphens w:val="0"/>
              <w:spacing w:before="120" w:after="120" w:line="22" w:lineRule="atLeast"/>
              <w:ind w:firstLine="629"/>
              <w:jc w:val="both"/>
              <w:rPr>
                <w:rFonts w:ascii="Garamond" w:hAnsi="Garamond" w:cstheme="minorHAnsi"/>
                <w:b w:val="0"/>
              </w:rPr>
            </w:pPr>
            <w:r w:rsidRPr="00A5626D">
              <w:rPr>
                <w:rFonts w:ascii="Garamond" w:hAnsi="Garamond" w:cstheme="minorHAnsi"/>
                <w:b w:val="0"/>
              </w:rPr>
              <w:lastRenderedPageBreak/>
              <w:t>Обязательному хранению подлежат:</w:t>
            </w:r>
          </w:p>
          <w:p w14:paraId="700CDDCB" w14:textId="77777777" w:rsidR="00295C6D" w:rsidRPr="00A5626D" w:rsidRDefault="00295C6D" w:rsidP="00647FA0">
            <w:pPr>
              <w:pStyle w:val="2"/>
              <w:numPr>
                <w:ilvl w:val="0"/>
                <w:numId w:val="0"/>
              </w:numPr>
              <w:tabs>
                <w:tab w:val="left" w:pos="1134"/>
                <w:tab w:val="left" w:pos="7938"/>
              </w:tabs>
              <w:suppressAutoHyphens w:val="0"/>
              <w:spacing w:before="120" w:after="120" w:line="22" w:lineRule="atLeast"/>
              <w:ind w:firstLine="629"/>
              <w:jc w:val="both"/>
              <w:rPr>
                <w:rFonts w:ascii="Garamond" w:hAnsi="Garamond" w:cstheme="minorHAnsi"/>
                <w:b w:val="0"/>
              </w:rPr>
            </w:pPr>
            <w:r w:rsidRPr="00A5626D">
              <w:rPr>
                <w:rFonts w:ascii="Garamond" w:hAnsi="Garamond" w:cstheme="minorHAnsi"/>
                <w:b w:val="0"/>
              </w:rPr>
              <w:t>•</w:t>
            </w:r>
            <w:r w:rsidRPr="00A5626D">
              <w:rPr>
                <w:rFonts w:ascii="Garamond" w:hAnsi="Garamond" w:cstheme="minorHAnsi"/>
                <w:b w:val="0"/>
              </w:rPr>
              <w:tab/>
              <w:t>первичные данные основных, резервных и контрольных средств измерений;</w:t>
            </w:r>
          </w:p>
          <w:p w14:paraId="38A5A434" w14:textId="77777777" w:rsidR="00295C6D" w:rsidRPr="00A5626D" w:rsidRDefault="00295C6D" w:rsidP="00647FA0">
            <w:pPr>
              <w:pStyle w:val="2"/>
              <w:numPr>
                <w:ilvl w:val="0"/>
                <w:numId w:val="0"/>
              </w:numPr>
              <w:tabs>
                <w:tab w:val="left" w:pos="1134"/>
                <w:tab w:val="left" w:pos="7938"/>
              </w:tabs>
              <w:suppressAutoHyphens w:val="0"/>
              <w:spacing w:before="120" w:after="120" w:line="22" w:lineRule="atLeast"/>
              <w:ind w:firstLine="629"/>
              <w:jc w:val="both"/>
              <w:rPr>
                <w:rFonts w:ascii="Garamond" w:hAnsi="Garamond" w:cstheme="minorHAnsi"/>
                <w:b w:val="0"/>
              </w:rPr>
            </w:pPr>
            <w:r w:rsidRPr="00A5626D">
              <w:rPr>
                <w:rFonts w:ascii="Garamond" w:hAnsi="Garamond" w:cstheme="minorHAnsi"/>
                <w:b w:val="0"/>
              </w:rPr>
              <w:t>•</w:t>
            </w:r>
            <w:r w:rsidRPr="00A5626D">
              <w:rPr>
                <w:rFonts w:ascii="Garamond" w:hAnsi="Garamond" w:cstheme="minorHAnsi"/>
                <w:b w:val="0"/>
              </w:rPr>
              <w:tab/>
              <w:t xml:space="preserve">оперативные данные СО, при условии использования их для </w:t>
            </w:r>
            <w:r w:rsidRPr="00A5626D">
              <w:rPr>
                <w:rFonts w:ascii="Garamond" w:hAnsi="Garamond" w:cstheme="minorHAnsi"/>
                <w:b w:val="0"/>
              </w:rPr>
              <w:lastRenderedPageBreak/>
              <w:t xml:space="preserve">определения почасовых данных </w:t>
            </w:r>
            <w:r w:rsidRPr="00A5626D">
              <w:rPr>
                <w:rFonts w:ascii="Garamond" w:hAnsi="Garamond" w:cstheme="minorHAnsi"/>
                <w:b w:val="0"/>
                <w:highlight w:val="yellow"/>
              </w:rPr>
              <w:t>коммерческого учета</w:t>
            </w:r>
            <w:r w:rsidRPr="00A5626D">
              <w:rPr>
                <w:rFonts w:ascii="Garamond" w:hAnsi="Garamond" w:cstheme="minorHAnsi"/>
                <w:b w:val="0"/>
              </w:rPr>
              <w:t>;</w:t>
            </w:r>
          </w:p>
          <w:p w14:paraId="45992CE4" w14:textId="77777777" w:rsidR="00295C6D" w:rsidRPr="00A5626D" w:rsidRDefault="00295C6D" w:rsidP="00647FA0">
            <w:pPr>
              <w:pStyle w:val="2"/>
              <w:numPr>
                <w:ilvl w:val="0"/>
                <w:numId w:val="0"/>
              </w:numPr>
              <w:tabs>
                <w:tab w:val="left" w:pos="1134"/>
                <w:tab w:val="left" w:pos="7938"/>
              </w:tabs>
              <w:suppressAutoHyphens w:val="0"/>
              <w:spacing w:before="120" w:after="120" w:line="22" w:lineRule="atLeast"/>
              <w:ind w:firstLine="629"/>
              <w:jc w:val="both"/>
              <w:rPr>
                <w:rFonts w:ascii="Garamond" w:hAnsi="Garamond" w:cstheme="minorHAnsi"/>
                <w:b w:val="0"/>
              </w:rPr>
            </w:pPr>
            <w:r w:rsidRPr="00A5626D">
              <w:rPr>
                <w:rFonts w:ascii="Garamond" w:hAnsi="Garamond" w:cstheme="minorHAnsi"/>
                <w:b w:val="0"/>
              </w:rPr>
              <w:t>•</w:t>
            </w:r>
            <w:r w:rsidRPr="00A5626D">
              <w:rPr>
                <w:rFonts w:ascii="Garamond" w:hAnsi="Garamond" w:cstheme="minorHAnsi"/>
                <w:b w:val="0"/>
              </w:rPr>
              <w:tab/>
              <w:t>Соглашения;</w:t>
            </w:r>
          </w:p>
          <w:p w14:paraId="205C040B" w14:textId="77777777" w:rsidR="00295C6D" w:rsidRPr="00A5626D" w:rsidRDefault="00295C6D" w:rsidP="00647FA0">
            <w:pPr>
              <w:pStyle w:val="2"/>
              <w:numPr>
                <w:ilvl w:val="0"/>
                <w:numId w:val="0"/>
              </w:numPr>
              <w:tabs>
                <w:tab w:val="left" w:pos="1134"/>
                <w:tab w:val="left" w:pos="7938"/>
              </w:tabs>
              <w:suppressAutoHyphens w:val="0"/>
              <w:spacing w:before="120" w:after="120" w:line="22" w:lineRule="atLeast"/>
              <w:ind w:firstLine="629"/>
              <w:jc w:val="both"/>
              <w:rPr>
                <w:rFonts w:ascii="Garamond" w:hAnsi="Garamond" w:cstheme="minorHAnsi"/>
                <w:b w:val="0"/>
              </w:rPr>
            </w:pPr>
            <w:r w:rsidRPr="00A5626D">
              <w:rPr>
                <w:rFonts w:ascii="Garamond" w:hAnsi="Garamond" w:cstheme="minorHAnsi"/>
                <w:b w:val="0"/>
              </w:rPr>
              <w:t>•</w:t>
            </w:r>
            <w:r w:rsidRPr="00A5626D">
              <w:rPr>
                <w:rFonts w:ascii="Garamond" w:hAnsi="Garamond" w:cstheme="minorHAnsi"/>
                <w:b w:val="0"/>
              </w:rPr>
              <w:tab/>
              <w:t xml:space="preserve">иные документы, связанные с </w:t>
            </w:r>
            <w:r w:rsidRPr="00A5626D">
              <w:rPr>
                <w:rFonts w:ascii="Garamond" w:hAnsi="Garamond" w:cstheme="minorHAnsi"/>
                <w:b w:val="0"/>
                <w:highlight w:val="yellow"/>
              </w:rPr>
              <w:t>формированием, направлением,</w:t>
            </w:r>
            <w:r w:rsidRPr="00A5626D">
              <w:rPr>
                <w:rFonts w:ascii="Garamond" w:hAnsi="Garamond" w:cstheme="minorHAnsi"/>
                <w:b w:val="0"/>
              </w:rPr>
              <w:t xml:space="preserve"> согласованием и расчетами данных, необходимых для целей коммерческого учета </w:t>
            </w:r>
            <w:r w:rsidRPr="00A5626D">
              <w:rPr>
                <w:rFonts w:ascii="Garamond" w:hAnsi="Garamond" w:cstheme="minorHAnsi"/>
                <w:b w:val="0"/>
                <w:highlight w:val="yellow"/>
              </w:rPr>
              <w:t>(в том числе отчетных данных коммерческого учета, предусмотренных настоящим Регламентом)</w:t>
            </w:r>
            <w:r w:rsidRPr="00A5626D">
              <w:rPr>
                <w:rFonts w:ascii="Garamond" w:hAnsi="Garamond" w:cstheme="minorHAnsi"/>
                <w:b w:val="0"/>
              </w:rPr>
              <w:t>.</w:t>
            </w:r>
          </w:p>
        </w:tc>
      </w:tr>
      <w:tr w:rsidR="00295C6D" w:rsidRPr="00A5626D" w14:paraId="6093F988" w14:textId="77777777" w:rsidTr="00647FA0">
        <w:tc>
          <w:tcPr>
            <w:tcW w:w="1060" w:type="dxa"/>
            <w:vAlign w:val="center"/>
          </w:tcPr>
          <w:p w14:paraId="6384EF37" w14:textId="77777777" w:rsidR="00295C6D" w:rsidRPr="00A5626D" w:rsidRDefault="00295C6D" w:rsidP="00E31AE6">
            <w:pPr>
              <w:widowControl w:val="0"/>
              <w:tabs>
                <w:tab w:val="left" w:pos="1134"/>
                <w:tab w:val="left" w:pos="7938"/>
              </w:tabs>
              <w:spacing w:line="22" w:lineRule="atLeast"/>
              <w:jc w:val="both"/>
              <w:rPr>
                <w:rFonts w:ascii="Garamond" w:hAnsi="Garamond"/>
                <w:b/>
                <w:sz w:val="22"/>
                <w:szCs w:val="22"/>
                <w:lang w:eastAsia="en-US"/>
              </w:rPr>
            </w:pPr>
            <w:r w:rsidRPr="00A5626D">
              <w:rPr>
                <w:rFonts w:ascii="Garamond" w:hAnsi="Garamond"/>
                <w:b/>
                <w:sz w:val="22"/>
                <w:szCs w:val="22"/>
                <w:lang w:eastAsia="en-US"/>
              </w:rPr>
              <w:lastRenderedPageBreak/>
              <w:t>10.3</w:t>
            </w:r>
          </w:p>
        </w:tc>
        <w:tc>
          <w:tcPr>
            <w:tcW w:w="6662" w:type="dxa"/>
          </w:tcPr>
          <w:p w14:paraId="7DD9F010" w14:textId="77777777" w:rsidR="00295C6D" w:rsidRPr="00A5626D" w:rsidRDefault="00295C6D" w:rsidP="00647FA0">
            <w:pPr>
              <w:pStyle w:val="2"/>
              <w:widowControl/>
              <w:numPr>
                <w:ilvl w:val="0"/>
                <w:numId w:val="0"/>
              </w:numPr>
              <w:tabs>
                <w:tab w:val="left" w:pos="1134"/>
                <w:tab w:val="left" w:pos="7938"/>
              </w:tabs>
              <w:suppressAutoHyphens w:val="0"/>
              <w:autoSpaceDE/>
              <w:spacing w:before="120" w:after="120" w:line="22" w:lineRule="atLeast"/>
              <w:ind w:firstLine="629"/>
              <w:jc w:val="both"/>
              <w:rPr>
                <w:rFonts w:ascii="Garamond" w:hAnsi="Garamond" w:cstheme="minorHAnsi"/>
                <w:b w:val="0"/>
              </w:rPr>
            </w:pPr>
            <w:bookmarkStart w:id="130" w:name="_Toc139240002"/>
            <w:r w:rsidRPr="00A5626D">
              <w:rPr>
                <w:rFonts w:ascii="Garamond" w:hAnsi="Garamond" w:cstheme="minorHAnsi"/>
                <w:b w:val="0"/>
              </w:rPr>
              <w:t>КО обеспечивает хранение следующей информации:</w:t>
            </w:r>
            <w:bookmarkEnd w:id="130"/>
          </w:p>
          <w:p w14:paraId="2CDB82E9" w14:textId="77777777" w:rsidR="00295C6D" w:rsidRPr="00A5626D" w:rsidRDefault="00295C6D" w:rsidP="00647FA0">
            <w:pPr>
              <w:numPr>
                <w:ilvl w:val="0"/>
                <w:numId w:val="262"/>
              </w:numPr>
              <w:tabs>
                <w:tab w:val="clear" w:pos="413"/>
                <w:tab w:val="left" w:pos="1134"/>
                <w:tab w:val="left" w:pos="1440"/>
                <w:tab w:val="left" w:pos="7938"/>
              </w:tabs>
              <w:suppressAutoHyphens w:val="0"/>
              <w:spacing w:before="120" w:after="120" w:line="22" w:lineRule="atLeast"/>
              <w:ind w:left="0" w:firstLine="629"/>
              <w:jc w:val="both"/>
              <w:rPr>
                <w:rFonts w:ascii="Garamond" w:hAnsi="Garamond" w:cstheme="minorHAnsi"/>
                <w:sz w:val="22"/>
                <w:szCs w:val="22"/>
              </w:rPr>
            </w:pPr>
            <w:r w:rsidRPr="00A5626D">
              <w:rPr>
                <w:rFonts w:ascii="Garamond" w:hAnsi="Garamond" w:cstheme="minorHAnsi"/>
                <w:sz w:val="22"/>
                <w:szCs w:val="22"/>
              </w:rPr>
              <w:t>актов учета (оборота) по ГТП потребления, принятых КО до 07.10.2022, и актов учета (оборота) по ГТП генерации;</w:t>
            </w:r>
          </w:p>
          <w:p w14:paraId="7C39EA1A" w14:textId="77777777" w:rsidR="00295C6D" w:rsidRPr="00A5626D" w:rsidRDefault="00295C6D" w:rsidP="00647FA0">
            <w:pPr>
              <w:numPr>
                <w:ilvl w:val="0"/>
                <w:numId w:val="262"/>
              </w:numPr>
              <w:tabs>
                <w:tab w:val="clear" w:pos="413"/>
                <w:tab w:val="left" w:pos="1134"/>
                <w:tab w:val="left" w:pos="1440"/>
                <w:tab w:val="left" w:pos="7938"/>
              </w:tabs>
              <w:suppressAutoHyphens w:val="0"/>
              <w:spacing w:before="120" w:after="120" w:line="22" w:lineRule="atLeast"/>
              <w:ind w:left="0" w:firstLine="629"/>
              <w:jc w:val="both"/>
              <w:rPr>
                <w:rFonts w:ascii="Garamond" w:hAnsi="Garamond" w:cstheme="minorHAnsi"/>
                <w:sz w:val="22"/>
                <w:szCs w:val="22"/>
              </w:rPr>
            </w:pPr>
            <w:r w:rsidRPr="00A5626D">
              <w:rPr>
                <w:rFonts w:ascii="Garamond" w:hAnsi="Garamond" w:cstheme="minorHAnsi"/>
                <w:sz w:val="22"/>
                <w:szCs w:val="22"/>
              </w:rPr>
              <w:t>актов учета перетоков по сечению коммерческого учета;</w:t>
            </w:r>
          </w:p>
          <w:p w14:paraId="54D6CFE5" w14:textId="77777777" w:rsidR="00295C6D" w:rsidRPr="00A5626D" w:rsidRDefault="00295C6D" w:rsidP="00647FA0">
            <w:pPr>
              <w:numPr>
                <w:ilvl w:val="0"/>
                <w:numId w:val="262"/>
              </w:numPr>
              <w:tabs>
                <w:tab w:val="clear" w:pos="413"/>
                <w:tab w:val="left" w:pos="1134"/>
                <w:tab w:val="left" w:pos="1440"/>
                <w:tab w:val="left" w:pos="7938"/>
              </w:tabs>
              <w:suppressAutoHyphens w:val="0"/>
              <w:spacing w:before="120" w:after="120" w:line="22" w:lineRule="atLeast"/>
              <w:ind w:left="0" w:firstLine="629"/>
              <w:jc w:val="both"/>
              <w:rPr>
                <w:rFonts w:ascii="Garamond" w:hAnsi="Garamond" w:cstheme="minorHAnsi"/>
                <w:sz w:val="22"/>
                <w:szCs w:val="22"/>
              </w:rPr>
            </w:pPr>
            <w:r w:rsidRPr="00A5626D">
              <w:rPr>
                <w:rFonts w:ascii="Garamond" w:hAnsi="Garamond" w:cstheme="minorHAnsi"/>
                <w:sz w:val="22"/>
                <w:szCs w:val="22"/>
              </w:rPr>
              <w:t>интегральных актов учета перетоков;</w:t>
            </w:r>
          </w:p>
          <w:p w14:paraId="4FF2661F" w14:textId="77777777" w:rsidR="00295C6D" w:rsidRPr="00A5626D" w:rsidRDefault="00295C6D" w:rsidP="00647FA0">
            <w:pPr>
              <w:numPr>
                <w:ilvl w:val="0"/>
                <w:numId w:val="262"/>
              </w:numPr>
              <w:tabs>
                <w:tab w:val="clear" w:pos="413"/>
                <w:tab w:val="left" w:pos="1134"/>
                <w:tab w:val="left" w:pos="1440"/>
                <w:tab w:val="left" w:pos="7938"/>
              </w:tabs>
              <w:suppressAutoHyphens w:val="0"/>
              <w:spacing w:before="120" w:after="120" w:line="22" w:lineRule="atLeast"/>
              <w:ind w:left="0" w:firstLine="629"/>
              <w:jc w:val="both"/>
              <w:rPr>
                <w:rFonts w:ascii="Garamond" w:hAnsi="Garamond" w:cstheme="minorHAnsi"/>
                <w:sz w:val="22"/>
                <w:szCs w:val="22"/>
              </w:rPr>
            </w:pPr>
            <w:r w:rsidRPr="00A5626D">
              <w:rPr>
                <w:rFonts w:ascii="Garamond" w:hAnsi="Garamond" w:cstheme="minorHAnsi"/>
                <w:sz w:val="22"/>
                <w:szCs w:val="22"/>
              </w:rPr>
              <w:t>корректирующих актов учета (оборота) по ГТП генерации;</w:t>
            </w:r>
          </w:p>
          <w:p w14:paraId="21449C9D" w14:textId="77777777" w:rsidR="00295C6D" w:rsidRPr="00A5626D" w:rsidRDefault="00295C6D" w:rsidP="00647FA0">
            <w:pPr>
              <w:numPr>
                <w:ilvl w:val="0"/>
                <w:numId w:val="262"/>
              </w:numPr>
              <w:tabs>
                <w:tab w:val="clear" w:pos="413"/>
                <w:tab w:val="left" w:pos="1134"/>
                <w:tab w:val="left" w:pos="1440"/>
                <w:tab w:val="left" w:pos="7938"/>
              </w:tabs>
              <w:suppressAutoHyphens w:val="0"/>
              <w:spacing w:before="120" w:after="120" w:line="22" w:lineRule="atLeast"/>
              <w:ind w:left="0" w:firstLine="629"/>
              <w:jc w:val="both"/>
              <w:rPr>
                <w:rFonts w:ascii="Garamond" w:hAnsi="Garamond" w:cstheme="minorHAnsi"/>
                <w:sz w:val="22"/>
                <w:szCs w:val="22"/>
              </w:rPr>
            </w:pPr>
            <w:r w:rsidRPr="00A5626D">
              <w:rPr>
                <w:rFonts w:ascii="Garamond" w:hAnsi="Garamond" w:cstheme="minorHAnsi"/>
                <w:sz w:val="22"/>
                <w:szCs w:val="22"/>
              </w:rPr>
              <w:t>корректирующих актов учета перетоков по сечению коммерческого учета;</w:t>
            </w:r>
          </w:p>
          <w:p w14:paraId="6038F558" w14:textId="77777777" w:rsidR="00295C6D" w:rsidRPr="00A5626D" w:rsidRDefault="00295C6D" w:rsidP="00647FA0">
            <w:pPr>
              <w:numPr>
                <w:ilvl w:val="0"/>
                <w:numId w:val="262"/>
              </w:numPr>
              <w:tabs>
                <w:tab w:val="clear" w:pos="413"/>
                <w:tab w:val="left" w:pos="1134"/>
                <w:tab w:val="left" w:pos="1440"/>
                <w:tab w:val="left" w:pos="7938"/>
              </w:tabs>
              <w:suppressAutoHyphens w:val="0"/>
              <w:spacing w:before="120" w:after="120" w:line="22" w:lineRule="atLeast"/>
              <w:ind w:left="0" w:firstLine="629"/>
              <w:jc w:val="both"/>
              <w:rPr>
                <w:rFonts w:ascii="Garamond" w:hAnsi="Garamond" w:cstheme="minorHAnsi"/>
                <w:sz w:val="22"/>
                <w:szCs w:val="22"/>
              </w:rPr>
            </w:pPr>
            <w:r w:rsidRPr="00A5626D">
              <w:rPr>
                <w:rFonts w:ascii="Garamond" w:hAnsi="Garamond" w:cstheme="minorHAnsi"/>
                <w:sz w:val="22"/>
                <w:szCs w:val="22"/>
              </w:rPr>
              <w:t>согласий на закрытие приема результатов измерений от АИИС КУЭ;</w:t>
            </w:r>
          </w:p>
          <w:p w14:paraId="042927A9" w14:textId="77777777" w:rsidR="00295C6D" w:rsidRPr="00A5626D" w:rsidRDefault="00295C6D" w:rsidP="00647FA0">
            <w:pPr>
              <w:numPr>
                <w:ilvl w:val="0"/>
                <w:numId w:val="262"/>
              </w:numPr>
              <w:tabs>
                <w:tab w:val="clear" w:pos="413"/>
                <w:tab w:val="left" w:pos="1134"/>
                <w:tab w:val="left" w:pos="1440"/>
                <w:tab w:val="left" w:pos="7938"/>
              </w:tabs>
              <w:suppressAutoHyphens w:val="0"/>
              <w:spacing w:before="120" w:after="120" w:line="22" w:lineRule="atLeast"/>
              <w:ind w:left="0" w:firstLine="629"/>
              <w:jc w:val="both"/>
              <w:rPr>
                <w:rFonts w:ascii="Garamond" w:hAnsi="Garamond" w:cstheme="minorHAnsi"/>
                <w:sz w:val="22"/>
                <w:szCs w:val="22"/>
              </w:rPr>
            </w:pPr>
            <w:r w:rsidRPr="00A5626D">
              <w:rPr>
                <w:rFonts w:ascii="Garamond" w:hAnsi="Garamond" w:cstheme="minorHAnsi"/>
                <w:sz w:val="22"/>
                <w:szCs w:val="22"/>
              </w:rPr>
              <w:t>объемов электроэнергии, рассчитанных на основе замещающих методов расчета;</w:t>
            </w:r>
          </w:p>
          <w:p w14:paraId="39E32715" w14:textId="77777777" w:rsidR="00295C6D" w:rsidRPr="00A5626D" w:rsidRDefault="00295C6D" w:rsidP="00647FA0">
            <w:pPr>
              <w:numPr>
                <w:ilvl w:val="0"/>
                <w:numId w:val="262"/>
              </w:numPr>
              <w:tabs>
                <w:tab w:val="clear" w:pos="413"/>
                <w:tab w:val="left" w:pos="1134"/>
                <w:tab w:val="left" w:pos="1440"/>
                <w:tab w:val="left" w:pos="7938"/>
              </w:tabs>
              <w:suppressAutoHyphens w:val="0"/>
              <w:spacing w:before="120" w:after="120" w:line="22" w:lineRule="atLeast"/>
              <w:ind w:left="0" w:firstLine="629"/>
              <w:jc w:val="both"/>
              <w:rPr>
                <w:rFonts w:ascii="Garamond" w:hAnsi="Garamond" w:cstheme="minorHAnsi"/>
                <w:sz w:val="22"/>
                <w:szCs w:val="22"/>
              </w:rPr>
            </w:pPr>
            <w:r w:rsidRPr="00A5626D">
              <w:rPr>
                <w:rFonts w:ascii="Garamond" w:hAnsi="Garamond" w:cstheme="minorHAnsi"/>
                <w:sz w:val="22"/>
                <w:szCs w:val="22"/>
              </w:rPr>
              <w:t>исходных данных, используемых при замещающих методах расчета;</w:t>
            </w:r>
          </w:p>
          <w:p w14:paraId="5A5F1C4E" w14:textId="77777777" w:rsidR="00295C6D" w:rsidRPr="00A5626D" w:rsidRDefault="00295C6D" w:rsidP="00647FA0">
            <w:pPr>
              <w:numPr>
                <w:ilvl w:val="0"/>
                <w:numId w:val="262"/>
              </w:numPr>
              <w:tabs>
                <w:tab w:val="clear" w:pos="413"/>
                <w:tab w:val="left" w:pos="1134"/>
                <w:tab w:val="left" w:pos="1440"/>
                <w:tab w:val="left" w:pos="7938"/>
              </w:tabs>
              <w:suppressAutoHyphens w:val="0"/>
              <w:spacing w:before="120" w:after="120" w:line="22" w:lineRule="atLeast"/>
              <w:ind w:left="0" w:firstLine="629"/>
              <w:jc w:val="both"/>
              <w:rPr>
                <w:rFonts w:ascii="Garamond" w:hAnsi="Garamond" w:cstheme="minorHAnsi"/>
                <w:sz w:val="22"/>
                <w:szCs w:val="22"/>
              </w:rPr>
            </w:pPr>
            <w:r w:rsidRPr="00A5626D">
              <w:rPr>
                <w:rFonts w:ascii="Garamond" w:hAnsi="Garamond" w:cstheme="minorHAnsi"/>
                <w:sz w:val="22"/>
                <w:szCs w:val="22"/>
              </w:rPr>
              <w:t>сводных балансов производства и потребления электроэнергии на оптовом рынке электроэнергии за расчетный период;</w:t>
            </w:r>
          </w:p>
          <w:p w14:paraId="0DCDC7B6" w14:textId="77777777" w:rsidR="00295C6D" w:rsidRPr="00A5626D" w:rsidRDefault="00295C6D" w:rsidP="00647FA0">
            <w:pPr>
              <w:numPr>
                <w:ilvl w:val="0"/>
                <w:numId w:val="262"/>
              </w:numPr>
              <w:tabs>
                <w:tab w:val="clear" w:pos="413"/>
                <w:tab w:val="left" w:pos="1134"/>
                <w:tab w:val="left" w:pos="1440"/>
                <w:tab w:val="left" w:pos="7938"/>
              </w:tabs>
              <w:suppressAutoHyphens w:val="0"/>
              <w:spacing w:before="120" w:after="120" w:line="22" w:lineRule="atLeast"/>
              <w:ind w:left="0" w:firstLine="629"/>
              <w:jc w:val="both"/>
              <w:rPr>
                <w:rFonts w:ascii="Garamond" w:hAnsi="Garamond" w:cstheme="minorHAnsi"/>
                <w:sz w:val="22"/>
                <w:szCs w:val="22"/>
              </w:rPr>
            </w:pPr>
            <w:r w:rsidRPr="00A5626D">
              <w:rPr>
                <w:rFonts w:ascii="Garamond" w:hAnsi="Garamond" w:cstheme="minorHAnsi"/>
                <w:sz w:val="22"/>
                <w:szCs w:val="22"/>
              </w:rPr>
              <w:t>данных об объемах производства и потребления электроэнергии каждым участником оптового рынка и ФСК.</w:t>
            </w:r>
          </w:p>
        </w:tc>
        <w:tc>
          <w:tcPr>
            <w:tcW w:w="7088" w:type="dxa"/>
          </w:tcPr>
          <w:p w14:paraId="2A734FC2" w14:textId="77777777" w:rsidR="00295C6D" w:rsidRPr="00A5626D" w:rsidRDefault="00295C6D" w:rsidP="00647FA0">
            <w:pPr>
              <w:pStyle w:val="2"/>
              <w:widowControl/>
              <w:numPr>
                <w:ilvl w:val="0"/>
                <w:numId w:val="0"/>
              </w:numPr>
              <w:tabs>
                <w:tab w:val="left" w:pos="1134"/>
                <w:tab w:val="left" w:pos="7938"/>
              </w:tabs>
              <w:suppressAutoHyphens w:val="0"/>
              <w:autoSpaceDE/>
              <w:spacing w:before="120" w:after="120" w:line="22" w:lineRule="atLeast"/>
              <w:ind w:firstLine="629"/>
              <w:jc w:val="both"/>
              <w:rPr>
                <w:rFonts w:ascii="Garamond" w:hAnsi="Garamond" w:cstheme="minorHAnsi"/>
                <w:b w:val="0"/>
              </w:rPr>
            </w:pPr>
            <w:r w:rsidRPr="00A5626D">
              <w:rPr>
                <w:rFonts w:ascii="Garamond" w:hAnsi="Garamond" w:cstheme="minorHAnsi"/>
                <w:b w:val="0"/>
              </w:rPr>
              <w:t>КО обеспечивает хранение следующей информации:</w:t>
            </w:r>
          </w:p>
          <w:p w14:paraId="24C7999F" w14:textId="77777777" w:rsidR="00295C6D" w:rsidRPr="00A5626D" w:rsidRDefault="00295C6D" w:rsidP="00647FA0">
            <w:pPr>
              <w:numPr>
                <w:ilvl w:val="0"/>
                <w:numId w:val="262"/>
              </w:numPr>
              <w:tabs>
                <w:tab w:val="clear" w:pos="413"/>
                <w:tab w:val="left" w:pos="1134"/>
                <w:tab w:val="left" w:pos="1440"/>
                <w:tab w:val="left" w:pos="7938"/>
              </w:tabs>
              <w:suppressAutoHyphens w:val="0"/>
              <w:spacing w:before="120" w:after="120" w:line="22" w:lineRule="atLeast"/>
              <w:ind w:left="0" w:firstLine="629"/>
              <w:jc w:val="both"/>
              <w:rPr>
                <w:rFonts w:ascii="Garamond" w:hAnsi="Garamond" w:cstheme="minorHAnsi"/>
                <w:sz w:val="22"/>
                <w:szCs w:val="22"/>
              </w:rPr>
            </w:pPr>
            <w:r w:rsidRPr="00A5626D">
              <w:rPr>
                <w:rFonts w:ascii="Garamond" w:hAnsi="Garamond" w:cstheme="minorHAnsi"/>
                <w:sz w:val="22"/>
                <w:szCs w:val="22"/>
              </w:rPr>
              <w:t>актов учета (оборота) по ГТП потребления, принятых КО до 07.10.2022, и актов учета (оборота) по ГТП генерации;</w:t>
            </w:r>
          </w:p>
          <w:p w14:paraId="185D41EE" w14:textId="77777777" w:rsidR="00295C6D" w:rsidRPr="00A5626D" w:rsidRDefault="00295C6D" w:rsidP="00647FA0">
            <w:pPr>
              <w:numPr>
                <w:ilvl w:val="0"/>
                <w:numId w:val="262"/>
              </w:numPr>
              <w:tabs>
                <w:tab w:val="clear" w:pos="413"/>
                <w:tab w:val="left" w:pos="1134"/>
                <w:tab w:val="left" w:pos="1440"/>
                <w:tab w:val="left" w:pos="7938"/>
              </w:tabs>
              <w:suppressAutoHyphens w:val="0"/>
              <w:spacing w:before="120" w:after="120" w:line="22" w:lineRule="atLeast"/>
              <w:ind w:left="0" w:firstLine="629"/>
              <w:jc w:val="both"/>
              <w:rPr>
                <w:rFonts w:ascii="Garamond" w:hAnsi="Garamond" w:cstheme="minorHAnsi"/>
                <w:sz w:val="22"/>
                <w:szCs w:val="22"/>
              </w:rPr>
            </w:pPr>
            <w:r w:rsidRPr="00A5626D">
              <w:rPr>
                <w:rFonts w:ascii="Garamond" w:hAnsi="Garamond" w:cstheme="minorHAnsi"/>
                <w:sz w:val="22"/>
                <w:szCs w:val="22"/>
              </w:rPr>
              <w:t>актов учета перетоков по сечению коммерческого учета;</w:t>
            </w:r>
          </w:p>
          <w:p w14:paraId="4CB700C8" w14:textId="77777777" w:rsidR="00295C6D" w:rsidRPr="00A5626D" w:rsidRDefault="00295C6D" w:rsidP="00647FA0">
            <w:pPr>
              <w:numPr>
                <w:ilvl w:val="0"/>
                <w:numId w:val="262"/>
              </w:numPr>
              <w:tabs>
                <w:tab w:val="clear" w:pos="413"/>
                <w:tab w:val="left" w:pos="1134"/>
                <w:tab w:val="left" w:pos="1440"/>
                <w:tab w:val="left" w:pos="7938"/>
              </w:tabs>
              <w:suppressAutoHyphens w:val="0"/>
              <w:spacing w:before="120" w:after="120" w:line="22" w:lineRule="atLeast"/>
              <w:ind w:left="0" w:firstLine="629"/>
              <w:jc w:val="both"/>
              <w:rPr>
                <w:rFonts w:ascii="Garamond" w:hAnsi="Garamond" w:cstheme="minorHAnsi"/>
                <w:sz w:val="22"/>
                <w:szCs w:val="22"/>
              </w:rPr>
            </w:pPr>
            <w:r w:rsidRPr="00A5626D">
              <w:rPr>
                <w:rFonts w:ascii="Garamond" w:hAnsi="Garamond" w:cstheme="minorHAnsi"/>
                <w:sz w:val="22"/>
                <w:szCs w:val="22"/>
              </w:rPr>
              <w:t>интегральных актов учета перетоков;</w:t>
            </w:r>
          </w:p>
          <w:p w14:paraId="23A5D0C6" w14:textId="77777777" w:rsidR="00295C6D" w:rsidRPr="00A5626D" w:rsidRDefault="00295C6D" w:rsidP="00647FA0">
            <w:pPr>
              <w:numPr>
                <w:ilvl w:val="0"/>
                <w:numId w:val="262"/>
              </w:numPr>
              <w:tabs>
                <w:tab w:val="clear" w:pos="413"/>
                <w:tab w:val="left" w:pos="1134"/>
                <w:tab w:val="left" w:pos="1440"/>
                <w:tab w:val="left" w:pos="7938"/>
              </w:tabs>
              <w:suppressAutoHyphens w:val="0"/>
              <w:spacing w:before="120" w:after="120" w:line="22" w:lineRule="atLeast"/>
              <w:ind w:left="0" w:firstLine="629"/>
              <w:jc w:val="both"/>
              <w:rPr>
                <w:rFonts w:ascii="Garamond" w:hAnsi="Garamond" w:cstheme="minorHAnsi"/>
                <w:sz w:val="22"/>
                <w:szCs w:val="22"/>
              </w:rPr>
            </w:pPr>
            <w:r w:rsidRPr="00A5626D">
              <w:rPr>
                <w:rFonts w:ascii="Garamond" w:hAnsi="Garamond" w:cstheme="minorHAnsi"/>
                <w:sz w:val="22"/>
                <w:szCs w:val="22"/>
              </w:rPr>
              <w:t>корректирующих актов учета (оборота) по ГТП генерации;</w:t>
            </w:r>
          </w:p>
          <w:p w14:paraId="2B4706C9" w14:textId="77777777" w:rsidR="00295C6D" w:rsidRPr="00A5626D" w:rsidRDefault="00295C6D" w:rsidP="00647FA0">
            <w:pPr>
              <w:numPr>
                <w:ilvl w:val="0"/>
                <w:numId w:val="262"/>
              </w:numPr>
              <w:tabs>
                <w:tab w:val="clear" w:pos="413"/>
                <w:tab w:val="left" w:pos="1134"/>
                <w:tab w:val="left" w:pos="1440"/>
                <w:tab w:val="left" w:pos="7938"/>
              </w:tabs>
              <w:suppressAutoHyphens w:val="0"/>
              <w:spacing w:before="120" w:after="120" w:line="22" w:lineRule="atLeast"/>
              <w:ind w:left="0" w:firstLine="629"/>
              <w:jc w:val="both"/>
              <w:rPr>
                <w:rFonts w:ascii="Garamond" w:hAnsi="Garamond" w:cstheme="minorHAnsi"/>
                <w:sz w:val="22"/>
                <w:szCs w:val="22"/>
              </w:rPr>
            </w:pPr>
            <w:r w:rsidRPr="00A5626D">
              <w:rPr>
                <w:rFonts w:ascii="Garamond" w:hAnsi="Garamond" w:cstheme="minorHAnsi"/>
                <w:sz w:val="22"/>
                <w:szCs w:val="22"/>
              </w:rPr>
              <w:t>корректирующих актов учета перетоков по сечению коммерческого учета;</w:t>
            </w:r>
          </w:p>
          <w:p w14:paraId="5EDC121A" w14:textId="77777777" w:rsidR="00295C6D" w:rsidRPr="00A5626D" w:rsidRDefault="00295C6D" w:rsidP="00647FA0">
            <w:pPr>
              <w:numPr>
                <w:ilvl w:val="0"/>
                <w:numId w:val="262"/>
              </w:numPr>
              <w:tabs>
                <w:tab w:val="clear" w:pos="413"/>
                <w:tab w:val="left" w:pos="1134"/>
                <w:tab w:val="left" w:pos="1440"/>
                <w:tab w:val="left" w:pos="7938"/>
              </w:tabs>
              <w:suppressAutoHyphens w:val="0"/>
              <w:spacing w:before="120" w:after="120" w:line="22" w:lineRule="atLeast"/>
              <w:ind w:left="0" w:firstLine="629"/>
              <w:jc w:val="both"/>
              <w:rPr>
                <w:rFonts w:ascii="Garamond" w:hAnsi="Garamond" w:cstheme="minorHAnsi"/>
                <w:sz w:val="22"/>
                <w:szCs w:val="22"/>
                <w:highlight w:val="yellow"/>
              </w:rPr>
            </w:pPr>
            <w:r w:rsidRPr="00A5626D">
              <w:rPr>
                <w:rFonts w:ascii="Garamond" w:hAnsi="Garamond" w:cstheme="minorHAnsi"/>
                <w:sz w:val="22"/>
                <w:szCs w:val="22"/>
                <w:highlight w:val="yellow"/>
              </w:rPr>
              <w:t>актов учета (оборота) по объекту регулирования;</w:t>
            </w:r>
          </w:p>
          <w:p w14:paraId="3BAF5B6B" w14:textId="77777777" w:rsidR="00295C6D" w:rsidRPr="00A5626D" w:rsidRDefault="00295C6D" w:rsidP="00647FA0">
            <w:pPr>
              <w:numPr>
                <w:ilvl w:val="0"/>
                <w:numId w:val="262"/>
              </w:numPr>
              <w:tabs>
                <w:tab w:val="clear" w:pos="413"/>
                <w:tab w:val="left" w:pos="1134"/>
                <w:tab w:val="left" w:pos="1440"/>
                <w:tab w:val="left" w:pos="7938"/>
              </w:tabs>
              <w:suppressAutoHyphens w:val="0"/>
              <w:spacing w:before="120" w:after="120" w:line="22" w:lineRule="atLeast"/>
              <w:ind w:left="0" w:firstLine="629"/>
              <w:jc w:val="both"/>
              <w:rPr>
                <w:rFonts w:ascii="Garamond" w:hAnsi="Garamond" w:cstheme="minorHAnsi"/>
                <w:sz w:val="22"/>
                <w:szCs w:val="22"/>
              </w:rPr>
            </w:pPr>
            <w:r w:rsidRPr="00A5626D">
              <w:rPr>
                <w:rFonts w:ascii="Garamond" w:hAnsi="Garamond" w:cstheme="minorHAnsi"/>
                <w:sz w:val="22"/>
                <w:szCs w:val="22"/>
              </w:rPr>
              <w:t>согласий на закрытие приема результатов измерений от АИИС КУЭ;</w:t>
            </w:r>
          </w:p>
          <w:p w14:paraId="5152E7E5" w14:textId="77777777" w:rsidR="00295C6D" w:rsidRPr="00A5626D" w:rsidRDefault="00295C6D" w:rsidP="00647FA0">
            <w:pPr>
              <w:numPr>
                <w:ilvl w:val="0"/>
                <w:numId w:val="262"/>
              </w:numPr>
              <w:tabs>
                <w:tab w:val="clear" w:pos="413"/>
                <w:tab w:val="left" w:pos="1134"/>
                <w:tab w:val="left" w:pos="1440"/>
                <w:tab w:val="left" w:pos="7938"/>
              </w:tabs>
              <w:suppressAutoHyphens w:val="0"/>
              <w:spacing w:before="120" w:after="120" w:line="22" w:lineRule="atLeast"/>
              <w:ind w:left="0" w:firstLine="629"/>
              <w:jc w:val="both"/>
              <w:rPr>
                <w:rFonts w:ascii="Garamond" w:hAnsi="Garamond" w:cstheme="minorHAnsi"/>
                <w:sz w:val="22"/>
                <w:szCs w:val="22"/>
              </w:rPr>
            </w:pPr>
            <w:r w:rsidRPr="00A5626D">
              <w:rPr>
                <w:rFonts w:ascii="Garamond" w:hAnsi="Garamond" w:cstheme="minorHAnsi"/>
                <w:sz w:val="22"/>
                <w:szCs w:val="22"/>
              </w:rPr>
              <w:t>объемов электроэнергии, рассчитанных на основе замещающих методов расчета;</w:t>
            </w:r>
          </w:p>
          <w:p w14:paraId="749715BA" w14:textId="77777777" w:rsidR="00295C6D" w:rsidRPr="00A5626D" w:rsidRDefault="00295C6D" w:rsidP="00647FA0">
            <w:pPr>
              <w:numPr>
                <w:ilvl w:val="0"/>
                <w:numId w:val="262"/>
              </w:numPr>
              <w:tabs>
                <w:tab w:val="clear" w:pos="413"/>
                <w:tab w:val="left" w:pos="1134"/>
                <w:tab w:val="left" w:pos="1440"/>
                <w:tab w:val="left" w:pos="7938"/>
              </w:tabs>
              <w:suppressAutoHyphens w:val="0"/>
              <w:spacing w:before="120" w:after="120" w:line="22" w:lineRule="atLeast"/>
              <w:ind w:left="0" w:firstLine="629"/>
              <w:jc w:val="both"/>
              <w:rPr>
                <w:rFonts w:ascii="Garamond" w:hAnsi="Garamond" w:cstheme="minorHAnsi"/>
                <w:sz w:val="22"/>
                <w:szCs w:val="22"/>
              </w:rPr>
            </w:pPr>
            <w:r w:rsidRPr="00A5626D">
              <w:rPr>
                <w:rFonts w:ascii="Garamond" w:hAnsi="Garamond" w:cstheme="minorHAnsi"/>
                <w:sz w:val="22"/>
                <w:szCs w:val="22"/>
              </w:rPr>
              <w:t>исходных данных, используемых при замещающих методах расчета;</w:t>
            </w:r>
          </w:p>
          <w:p w14:paraId="63298318" w14:textId="77777777" w:rsidR="00295C6D" w:rsidRPr="00A5626D" w:rsidRDefault="00295C6D" w:rsidP="00647FA0">
            <w:pPr>
              <w:numPr>
                <w:ilvl w:val="0"/>
                <w:numId w:val="262"/>
              </w:numPr>
              <w:tabs>
                <w:tab w:val="clear" w:pos="413"/>
                <w:tab w:val="left" w:pos="1134"/>
                <w:tab w:val="left" w:pos="1440"/>
                <w:tab w:val="left" w:pos="7938"/>
              </w:tabs>
              <w:suppressAutoHyphens w:val="0"/>
              <w:spacing w:before="120" w:after="120" w:line="22" w:lineRule="atLeast"/>
              <w:ind w:left="0" w:firstLine="629"/>
              <w:jc w:val="both"/>
              <w:rPr>
                <w:rFonts w:ascii="Garamond" w:hAnsi="Garamond" w:cstheme="minorHAnsi"/>
                <w:sz w:val="22"/>
                <w:szCs w:val="22"/>
              </w:rPr>
            </w:pPr>
            <w:r w:rsidRPr="00A5626D">
              <w:rPr>
                <w:rFonts w:ascii="Garamond" w:hAnsi="Garamond" w:cstheme="minorHAnsi"/>
                <w:sz w:val="22"/>
                <w:szCs w:val="22"/>
              </w:rPr>
              <w:t>сводных балансов производства и потребления электроэнергии на оптовом рынке электроэнергии за расчетный период;</w:t>
            </w:r>
          </w:p>
          <w:p w14:paraId="4A9719BE" w14:textId="77777777" w:rsidR="00295C6D" w:rsidRPr="00A5626D" w:rsidRDefault="00295C6D" w:rsidP="00647FA0">
            <w:pPr>
              <w:numPr>
                <w:ilvl w:val="0"/>
                <w:numId w:val="262"/>
              </w:numPr>
              <w:tabs>
                <w:tab w:val="clear" w:pos="413"/>
                <w:tab w:val="left" w:pos="1134"/>
                <w:tab w:val="left" w:pos="1440"/>
                <w:tab w:val="left" w:pos="7938"/>
              </w:tabs>
              <w:suppressAutoHyphens w:val="0"/>
              <w:spacing w:before="120" w:after="120" w:line="22" w:lineRule="atLeast"/>
              <w:ind w:left="0" w:firstLine="629"/>
              <w:jc w:val="both"/>
              <w:rPr>
                <w:rFonts w:ascii="Garamond" w:hAnsi="Garamond" w:cstheme="minorHAnsi"/>
                <w:sz w:val="22"/>
                <w:szCs w:val="22"/>
                <w:highlight w:val="yellow"/>
              </w:rPr>
            </w:pPr>
            <w:r w:rsidRPr="00A5626D">
              <w:rPr>
                <w:rFonts w:ascii="Garamond" w:hAnsi="Garamond" w:cstheme="minorHAnsi"/>
                <w:sz w:val="22"/>
                <w:szCs w:val="22"/>
              </w:rPr>
              <w:t>данных об объемах производства и потребления электроэнергии каждым участником оптового рынка и ФСК</w:t>
            </w:r>
            <w:r w:rsidRPr="00A5626D">
              <w:rPr>
                <w:rFonts w:ascii="Garamond" w:hAnsi="Garamond" w:cstheme="minorHAnsi"/>
                <w:sz w:val="22"/>
                <w:szCs w:val="22"/>
                <w:highlight w:val="yellow"/>
              </w:rPr>
              <w:t>;</w:t>
            </w:r>
          </w:p>
          <w:p w14:paraId="21C368B0" w14:textId="77777777" w:rsidR="00295C6D" w:rsidRPr="00A5626D" w:rsidRDefault="00295C6D" w:rsidP="00647FA0">
            <w:pPr>
              <w:numPr>
                <w:ilvl w:val="0"/>
                <w:numId w:val="262"/>
              </w:numPr>
              <w:tabs>
                <w:tab w:val="clear" w:pos="413"/>
                <w:tab w:val="left" w:pos="1134"/>
                <w:tab w:val="left" w:pos="1440"/>
                <w:tab w:val="left" w:pos="7938"/>
              </w:tabs>
              <w:suppressAutoHyphens w:val="0"/>
              <w:spacing w:before="120" w:after="120" w:line="22" w:lineRule="atLeast"/>
              <w:ind w:left="0" w:firstLine="629"/>
              <w:jc w:val="both"/>
              <w:rPr>
                <w:rFonts w:ascii="Garamond" w:hAnsi="Garamond" w:cstheme="minorHAnsi"/>
                <w:sz w:val="22"/>
                <w:szCs w:val="22"/>
              </w:rPr>
            </w:pPr>
            <w:r w:rsidRPr="00A5626D">
              <w:rPr>
                <w:rFonts w:ascii="Garamond" w:hAnsi="Garamond" w:cstheme="minorHAnsi"/>
                <w:sz w:val="22"/>
                <w:szCs w:val="22"/>
                <w:highlight w:val="yellow"/>
              </w:rPr>
              <w:t>данных коммерческого учета по объектам регулирования</w:t>
            </w:r>
            <w:r w:rsidRPr="00A5626D">
              <w:rPr>
                <w:rFonts w:ascii="Garamond" w:hAnsi="Garamond" w:cstheme="minorHAnsi"/>
                <w:sz w:val="22"/>
                <w:szCs w:val="22"/>
              </w:rPr>
              <w:t>.</w:t>
            </w:r>
          </w:p>
        </w:tc>
      </w:tr>
      <w:tr w:rsidR="00295C6D" w:rsidRPr="00A5626D" w14:paraId="5D0F332E" w14:textId="77777777" w:rsidTr="00647FA0">
        <w:tc>
          <w:tcPr>
            <w:tcW w:w="1060" w:type="dxa"/>
            <w:vAlign w:val="center"/>
          </w:tcPr>
          <w:p w14:paraId="27D8CF31" w14:textId="77777777" w:rsidR="00295C6D" w:rsidRPr="00A5626D" w:rsidRDefault="00295C6D" w:rsidP="00E31AE6">
            <w:pPr>
              <w:widowControl w:val="0"/>
              <w:tabs>
                <w:tab w:val="left" w:pos="1134"/>
                <w:tab w:val="left" w:pos="7938"/>
              </w:tabs>
              <w:spacing w:line="22" w:lineRule="atLeast"/>
              <w:jc w:val="both"/>
              <w:rPr>
                <w:rFonts w:ascii="Garamond" w:hAnsi="Garamond"/>
                <w:b/>
                <w:sz w:val="22"/>
                <w:szCs w:val="22"/>
                <w:lang w:eastAsia="en-US"/>
              </w:rPr>
            </w:pPr>
            <w:r w:rsidRPr="00A5626D">
              <w:rPr>
                <w:rFonts w:ascii="Garamond" w:hAnsi="Garamond"/>
                <w:b/>
                <w:sz w:val="22"/>
                <w:szCs w:val="22"/>
                <w:lang w:eastAsia="en-US"/>
              </w:rPr>
              <w:t>10.4</w:t>
            </w:r>
          </w:p>
        </w:tc>
        <w:tc>
          <w:tcPr>
            <w:tcW w:w="6662" w:type="dxa"/>
          </w:tcPr>
          <w:p w14:paraId="43915D26" w14:textId="77777777" w:rsidR="00295C6D" w:rsidRPr="00A5626D" w:rsidRDefault="00295C6D" w:rsidP="00647FA0">
            <w:pPr>
              <w:pStyle w:val="2"/>
              <w:numPr>
                <w:ilvl w:val="0"/>
                <w:numId w:val="0"/>
              </w:numPr>
              <w:tabs>
                <w:tab w:val="left" w:pos="1134"/>
                <w:tab w:val="left" w:pos="7938"/>
              </w:tabs>
              <w:suppressAutoHyphens w:val="0"/>
              <w:spacing w:before="120" w:after="120" w:line="22" w:lineRule="atLeast"/>
              <w:ind w:firstLine="629"/>
              <w:jc w:val="both"/>
              <w:rPr>
                <w:rFonts w:ascii="Garamond" w:hAnsi="Garamond" w:cstheme="minorHAnsi"/>
                <w:b w:val="0"/>
              </w:rPr>
            </w:pPr>
            <w:r w:rsidRPr="00A5626D">
              <w:rPr>
                <w:rFonts w:ascii="Garamond" w:hAnsi="Garamond" w:cstheme="minorHAnsi"/>
                <w:b w:val="0"/>
                <w:highlight w:val="yellow"/>
              </w:rPr>
              <w:t>10.4.1</w:t>
            </w:r>
            <w:r w:rsidRPr="00A5626D">
              <w:rPr>
                <w:rFonts w:ascii="Garamond" w:hAnsi="Garamond" w:cstheme="minorHAnsi"/>
                <w:b w:val="0"/>
              </w:rPr>
              <w:tab/>
              <w:t xml:space="preserve">СР и КО имеют право запрашивать у субъектов оптового </w:t>
            </w:r>
            <w:r w:rsidRPr="00A5626D">
              <w:rPr>
                <w:rFonts w:ascii="Garamond" w:hAnsi="Garamond" w:cstheme="minorHAnsi"/>
                <w:b w:val="0"/>
              </w:rPr>
              <w:lastRenderedPageBreak/>
              <w:t>рынка информацию:</w:t>
            </w:r>
          </w:p>
          <w:p w14:paraId="3AAF462F" w14:textId="77777777" w:rsidR="00295C6D" w:rsidRPr="00A5626D" w:rsidRDefault="00295C6D" w:rsidP="00647FA0">
            <w:pPr>
              <w:pStyle w:val="2"/>
              <w:numPr>
                <w:ilvl w:val="0"/>
                <w:numId w:val="0"/>
              </w:numPr>
              <w:tabs>
                <w:tab w:val="left" w:pos="1134"/>
                <w:tab w:val="left" w:pos="7938"/>
              </w:tabs>
              <w:suppressAutoHyphens w:val="0"/>
              <w:spacing w:before="120" w:after="120" w:line="22" w:lineRule="atLeast"/>
              <w:ind w:firstLine="629"/>
              <w:jc w:val="both"/>
              <w:rPr>
                <w:rFonts w:ascii="Garamond" w:hAnsi="Garamond" w:cstheme="minorHAnsi"/>
                <w:b w:val="0"/>
              </w:rPr>
            </w:pPr>
            <w:r w:rsidRPr="00A5626D">
              <w:rPr>
                <w:rFonts w:ascii="Garamond" w:hAnsi="Garamond" w:cstheme="minorHAnsi"/>
                <w:b w:val="0"/>
              </w:rPr>
              <w:t>–</w:t>
            </w:r>
            <w:r w:rsidRPr="00A5626D">
              <w:rPr>
                <w:rFonts w:ascii="Garamond" w:hAnsi="Garamond" w:cstheme="minorHAnsi"/>
                <w:b w:val="0"/>
              </w:rPr>
              <w:tab/>
              <w:t>указанную в п. 10.2 настоящего Регламента;</w:t>
            </w:r>
          </w:p>
          <w:p w14:paraId="71244892" w14:textId="77777777" w:rsidR="00295C6D" w:rsidRPr="00A5626D" w:rsidRDefault="00295C6D" w:rsidP="00647FA0">
            <w:pPr>
              <w:pStyle w:val="2"/>
              <w:numPr>
                <w:ilvl w:val="0"/>
                <w:numId w:val="0"/>
              </w:numPr>
              <w:tabs>
                <w:tab w:val="left" w:pos="1134"/>
                <w:tab w:val="left" w:pos="7938"/>
              </w:tabs>
              <w:suppressAutoHyphens w:val="0"/>
              <w:spacing w:before="120" w:after="120" w:line="22" w:lineRule="atLeast"/>
              <w:ind w:firstLine="629"/>
              <w:jc w:val="both"/>
              <w:rPr>
                <w:rFonts w:ascii="Garamond" w:hAnsi="Garamond" w:cstheme="minorHAnsi"/>
                <w:b w:val="0"/>
              </w:rPr>
            </w:pPr>
            <w:r w:rsidRPr="00A5626D">
              <w:rPr>
                <w:rFonts w:ascii="Garamond" w:hAnsi="Garamond" w:cstheme="minorHAnsi"/>
                <w:b w:val="0"/>
              </w:rPr>
              <w:t>–</w:t>
            </w:r>
            <w:r w:rsidRPr="00A5626D">
              <w:rPr>
                <w:rFonts w:ascii="Garamond" w:hAnsi="Garamond" w:cstheme="minorHAnsi"/>
                <w:b w:val="0"/>
              </w:rPr>
              <w:tab/>
              <w:t xml:space="preserve">о причинах отсутствия передачи результатов измерений от </w:t>
            </w:r>
            <w:r w:rsidRPr="00A5626D">
              <w:rPr>
                <w:rFonts w:ascii="Garamond" w:hAnsi="Garamond" w:cstheme="minorHAnsi"/>
                <w:b w:val="0"/>
                <w:highlight w:val="yellow"/>
              </w:rPr>
              <w:t>АИИС КУЭ</w:t>
            </w:r>
            <w:r w:rsidRPr="00A5626D">
              <w:rPr>
                <w:rFonts w:ascii="Garamond" w:hAnsi="Garamond" w:cstheme="minorHAnsi"/>
                <w:b w:val="0"/>
              </w:rPr>
              <w:t xml:space="preserve"> в сроки, </w:t>
            </w:r>
            <w:r w:rsidRPr="00A5626D">
              <w:rPr>
                <w:rFonts w:ascii="Garamond" w:hAnsi="Garamond" w:cstheme="minorHAnsi"/>
                <w:b w:val="0"/>
                <w:highlight w:val="yellow"/>
              </w:rPr>
              <w:t>превышающие установленные п. 3.1 Формата и регламента предоставления результатов измерений, состояний объектов измерений в АО «АТС», АО «СО ЕЭС» и смежным субъектам (</w:t>
            </w:r>
            <w:r w:rsidRPr="00A5626D">
              <w:rPr>
                <w:rFonts w:ascii="Garamond" w:hAnsi="Garamond" w:cstheme="minorHAnsi"/>
                <w:b w:val="0"/>
              </w:rPr>
              <w:t>Приложение № 11.1.1 к Положению о порядке получения статуса субъекта оптового рынка и ведения реестра субъектов оптового рынка (Приложение № 1.1 к Договору о присоединении к торговой системе оптового рынка)</w:t>
            </w:r>
            <w:r w:rsidRPr="00A5626D">
              <w:rPr>
                <w:rFonts w:ascii="Garamond" w:hAnsi="Garamond" w:cstheme="minorHAnsi"/>
                <w:b w:val="0"/>
                <w:highlight w:val="yellow"/>
              </w:rPr>
              <w:t>)</w:t>
            </w:r>
            <w:r w:rsidRPr="00A5626D">
              <w:rPr>
                <w:rFonts w:ascii="Garamond" w:hAnsi="Garamond" w:cstheme="minorHAnsi"/>
                <w:b w:val="0"/>
              </w:rPr>
              <w:t>;</w:t>
            </w:r>
          </w:p>
          <w:p w14:paraId="1800FE88" w14:textId="77777777" w:rsidR="00295C6D" w:rsidRPr="00A5626D" w:rsidRDefault="00295C6D" w:rsidP="00647FA0">
            <w:pPr>
              <w:pStyle w:val="2"/>
              <w:numPr>
                <w:ilvl w:val="0"/>
                <w:numId w:val="0"/>
              </w:numPr>
              <w:tabs>
                <w:tab w:val="left" w:pos="1134"/>
                <w:tab w:val="left" w:pos="7938"/>
              </w:tabs>
              <w:suppressAutoHyphens w:val="0"/>
              <w:spacing w:before="120" w:after="120" w:line="22" w:lineRule="atLeast"/>
              <w:ind w:firstLine="629"/>
              <w:jc w:val="both"/>
              <w:rPr>
                <w:rFonts w:ascii="Garamond" w:hAnsi="Garamond" w:cstheme="minorHAnsi"/>
                <w:b w:val="0"/>
              </w:rPr>
            </w:pPr>
            <w:r w:rsidRPr="00A5626D">
              <w:rPr>
                <w:rFonts w:ascii="Garamond" w:hAnsi="Garamond" w:cstheme="minorHAnsi"/>
                <w:b w:val="0"/>
              </w:rPr>
              <w:t>–</w:t>
            </w:r>
            <w:r w:rsidRPr="00A5626D">
              <w:rPr>
                <w:rFonts w:ascii="Garamond" w:hAnsi="Garamond" w:cstheme="minorHAnsi"/>
                <w:b w:val="0"/>
              </w:rPr>
              <w:tab/>
              <w:t>иную информацию по коммерческому учету субъекта оптового рынка.</w:t>
            </w:r>
          </w:p>
          <w:p w14:paraId="793153B0" w14:textId="77777777" w:rsidR="00295C6D" w:rsidRPr="00A5626D" w:rsidRDefault="00295C6D" w:rsidP="00647FA0">
            <w:pPr>
              <w:pStyle w:val="2"/>
              <w:numPr>
                <w:ilvl w:val="0"/>
                <w:numId w:val="0"/>
              </w:numPr>
              <w:tabs>
                <w:tab w:val="left" w:pos="1134"/>
                <w:tab w:val="left" w:pos="7938"/>
              </w:tabs>
              <w:suppressAutoHyphens w:val="0"/>
              <w:spacing w:before="120" w:after="120" w:line="22" w:lineRule="atLeast"/>
              <w:ind w:firstLine="629"/>
              <w:jc w:val="both"/>
              <w:rPr>
                <w:rFonts w:ascii="Garamond" w:hAnsi="Garamond" w:cstheme="minorHAnsi"/>
                <w:b w:val="0"/>
              </w:rPr>
            </w:pPr>
            <w:r w:rsidRPr="00A5626D">
              <w:rPr>
                <w:rFonts w:ascii="Garamond" w:hAnsi="Garamond" w:cstheme="minorHAnsi"/>
                <w:b w:val="0"/>
              </w:rPr>
              <w:t>КО также вправе использовать данные от иных источников информации (в том числе от инфраструктурных организаций) и проводить проверки систем коммерческого учета в соответствии с Регламентом проведения проверок систем коммерческого учета субъектов оптового рынка (Приложение № 18 к Договору о присоединении к торговой системе оптового рынка).</w:t>
            </w:r>
          </w:p>
          <w:p w14:paraId="74646E30" w14:textId="77777777" w:rsidR="00295C6D" w:rsidRPr="00A5626D" w:rsidRDefault="00295C6D" w:rsidP="00647FA0">
            <w:pPr>
              <w:pStyle w:val="2"/>
              <w:numPr>
                <w:ilvl w:val="0"/>
                <w:numId w:val="0"/>
              </w:numPr>
              <w:tabs>
                <w:tab w:val="left" w:pos="1134"/>
                <w:tab w:val="left" w:pos="7938"/>
              </w:tabs>
              <w:suppressAutoHyphens w:val="0"/>
              <w:spacing w:before="120" w:after="120" w:line="22" w:lineRule="atLeast"/>
              <w:ind w:firstLine="629"/>
              <w:jc w:val="both"/>
              <w:rPr>
                <w:rFonts w:ascii="Garamond" w:hAnsi="Garamond" w:cstheme="minorHAnsi"/>
                <w:b w:val="0"/>
              </w:rPr>
            </w:pPr>
            <w:r w:rsidRPr="00A5626D">
              <w:rPr>
                <w:rFonts w:ascii="Garamond" w:hAnsi="Garamond" w:cstheme="minorHAnsi"/>
                <w:b w:val="0"/>
              </w:rPr>
              <w:t>Запрашиваемая информация предоставляется в КО и (или) СР в виде оригиналов либо копий документов, заверенных уполномоченным лицом с указанием расшифровки и даты подписи, а также по усмотрению субъекта оптового рынка с печатью в срок, не превышающий 10 (десять) рабочих дней с момента получения запроса КО (СР).</w:t>
            </w:r>
          </w:p>
        </w:tc>
        <w:tc>
          <w:tcPr>
            <w:tcW w:w="7088" w:type="dxa"/>
          </w:tcPr>
          <w:p w14:paraId="4BE40CF7" w14:textId="77777777" w:rsidR="00295C6D" w:rsidRPr="00A5626D" w:rsidRDefault="00295C6D" w:rsidP="00647FA0">
            <w:pPr>
              <w:pStyle w:val="2"/>
              <w:numPr>
                <w:ilvl w:val="0"/>
                <w:numId w:val="0"/>
              </w:numPr>
              <w:tabs>
                <w:tab w:val="left" w:pos="1134"/>
                <w:tab w:val="left" w:pos="7938"/>
              </w:tabs>
              <w:suppressAutoHyphens w:val="0"/>
              <w:spacing w:before="120" w:after="120" w:line="22" w:lineRule="atLeast"/>
              <w:ind w:firstLine="629"/>
              <w:jc w:val="both"/>
              <w:rPr>
                <w:rFonts w:ascii="Garamond" w:hAnsi="Garamond" w:cstheme="minorHAnsi"/>
                <w:b w:val="0"/>
              </w:rPr>
            </w:pPr>
            <w:r w:rsidRPr="00A5626D">
              <w:rPr>
                <w:rFonts w:ascii="Garamond" w:hAnsi="Garamond" w:cstheme="minorHAnsi"/>
                <w:b w:val="0"/>
              </w:rPr>
              <w:lastRenderedPageBreak/>
              <w:t xml:space="preserve">СР и КО имеют право запрашивать у субъектов оптового рынка </w:t>
            </w:r>
            <w:r w:rsidRPr="00A5626D">
              <w:rPr>
                <w:rFonts w:ascii="Garamond" w:hAnsi="Garamond" w:cstheme="minorHAnsi"/>
                <w:b w:val="0"/>
              </w:rPr>
              <w:lastRenderedPageBreak/>
              <w:t>информацию:</w:t>
            </w:r>
          </w:p>
          <w:p w14:paraId="06D23E5E" w14:textId="77777777" w:rsidR="00295C6D" w:rsidRPr="00A5626D" w:rsidRDefault="00295C6D" w:rsidP="00647FA0">
            <w:pPr>
              <w:pStyle w:val="2"/>
              <w:numPr>
                <w:ilvl w:val="0"/>
                <w:numId w:val="0"/>
              </w:numPr>
              <w:tabs>
                <w:tab w:val="left" w:pos="1134"/>
                <w:tab w:val="left" w:pos="7938"/>
              </w:tabs>
              <w:suppressAutoHyphens w:val="0"/>
              <w:spacing w:before="120" w:after="120" w:line="22" w:lineRule="atLeast"/>
              <w:ind w:firstLine="629"/>
              <w:jc w:val="both"/>
              <w:rPr>
                <w:rFonts w:ascii="Garamond" w:hAnsi="Garamond" w:cstheme="minorHAnsi"/>
                <w:b w:val="0"/>
              </w:rPr>
            </w:pPr>
            <w:r w:rsidRPr="00A5626D">
              <w:rPr>
                <w:rFonts w:ascii="Garamond" w:hAnsi="Garamond" w:cstheme="minorHAnsi"/>
                <w:b w:val="0"/>
              </w:rPr>
              <w:t>–</w:t>
            </w:r>
            <w:r w:rsidRPr="00A5626D">
              <w:rPr>
                <w:rFonts w:ascii="Garamond" w:hAnsi="Garamond" w:cstheme="minorHAnsi"/>
                <w:b w:val="0"/>
              </w:rPr>
              <w:tab/>
              <w:t>указанную в п. 10.2 настоящего Регламента;</w:t>
            </w:r>
          </w:p>
          <w:p w14:paraId="4AAF5F6F" w14:textId="77777777" w:rsidR="00295C6D" w:rsidRPr="00A5626D" w:rsidRDefault="00295C6D" w:rsidP="00647FA0">
            <w:pPr>
              <w:pStyle w:val="2"/>
              <w:numPr>
                <w:ilvl w:val="0"/>
                <w:numId w:val="0"/>
              </w:numPr>
              <w:tabs>
                <w:tab w:val="left" w:pos="1134"/>
                <w:tab w:val="left" w:pos="7938"/>
              </w:tabs>
              <w:suppressAutoHyphens w:val="0"/>
              <w:spacing w:before="120" w:after="120" w:line="22" w:lineRule="atLeast"/>
              <w:ind w:firstLine="629"/>
              <w:jc w:val="both"/>
              <w:rPr>
                <w:rFonts w:ascii="Garamond" w:hAnsi="Garamond" w:cstheme="minorHAnsi"/>
                <w:b w:val="0"/>
              </w:rPr>
            </w:pPr>
            <w:r w:rsidRPr="00A5626D">
              <w:rPr>
                <w:rFonts w:ascii="Garamond" w:hAnsi="Garamond" w:cstheme="minorHAnsi"/>
                <w:b w:val="0"/>
              </w:rPr>
              <w:t>–</w:t>
            </w:r>
            <w:r w:rsidRPr="00A5626D">
              <w:rPr>
                <w:rFonts w:ascii="Garamond" w:hAnsi="Garamond" w:cstheme="minorHAnsi"/>
                <w:b w:val="0"/>
              </w:rPr>
              <w:tab/>
              <w:t xml:space="preserve">о причинах отсутствия передачи результатов измерений от </w:t>
            </w:r>
            <w:r w:rsidRPr="00A5626D">
              <w:rPr>
                <w:rFonts w:ascii="Garamond" w:hAnsi="Garamond" w:cstheme="minorHAnsi"/>
                <w:b w:val="0"/>
                <w:highlight w:val="yellow"/>
              </w:rPr>
              <w:t>систем учета электроэнергии</w:t>
            </w:r>
            <w:r w:rsidRPr="00A5626D">
              <w:rPr>
                <w:rFonts w:ascii="Garamond" w:hAnsi="Garamond" w:cstheme="minorHAnsi"/>
                <w:b w:val="0"/>
              </w:rPr>
              <w:t xml:space="preserve"> в сроки, </w:t>
            </w:r>
            <w:r w:rsidRPr="00A5626D">
              <w:rPr>
                <w:rFonts w:ascii="Garamond" w:hAnsi="Garamond" w:cstheme="minorHAnsi"/>
                <w:b w:val="0"/>
                <w:highlight w:val="yellow"/>
              </w:rPr>
              <w:t>предусмотренные</w:t>
            </w:r>
            <w:r w:rsidRPr="00A5626D">
              <w:rPr>
                <w:rFonts w:ascii="Garamond" w:hAnsi="Garamond" w:cstheme="minorHAnsi"/>
                <w:b w:val="0"/>
              </w:rPr>
              <w:t xml:space="preserve"> Приложение</w:t>
            </w:r>
            <w:r w:rsidRPr="00A5626D">
              <w:rPr>
                <w:rFonts w:ascii="Garamond" w:hAnsi="Garamond" w:cstheme="minorHAnsi"/>
                <w:b w:val="0"/>
                <w:highlight w:val="yellow"/>
              </w:rPr>
              <w:t>м</w:t>
            </w:r>
            <w:r w:rsidRPr="00A5626D">
              <w:rPr>
                <w:rFonts w:ascii="Garamond" w:hAnsi="Garamond" w:cstheme="minorHAnsi"/>
                <w:b w:val="0"/>
              </w:rPr>
              <w:t xml:space="preserve"> № 11.1.1 к </w:t>
            </w:r>
            <w:r w:rsidRPr="00A5626D">
              <w:rPr>
                <w:rFonts w:ascii="Garamond" w:hAnsi="Garamond" w:cstheme="minorHAnsi"/>
                <w:b w:val="0"/>
                <w:i/>
              </w:rPr>
              <w:t>Положению о порядке получения статуса субъекта оптового рынка и ведения реестра субъектов оптового рынка</w:t>
            </w:r>
            <w:r w:rsidRPr="00A5626D">
              <w:rPr>
                <w:rFonts w:ascii="Garamond" w:hAnsi="Garamond" w:cstheme="minorHAnsi"/>
                <w:b w:val="0"/>
              </w:rPr>
              <w:t xml:space="preserve"> (Приложение № 1.1 к </w:t>
            </w:r>
            <w:r w:rsidRPr="00A5626D">
              <w:rPr>
                <w:rFonts w:ascii="Garamond" w:hAnsi="Garamond" w:cstheme="minorHAnsi"/>
                <w:b w:val="0"/>
                <w:i/>
              </w:rPr>
              <w:t>Договору о присоединении к торговой системе оптового рынка</w:t>
            </w:r>
            <w:r w:rsidRPr="00A5626D">
              <w:rPr>
                <w:rFonts w:ascii="Garamond" w:hAnsi="Garamond" w:cstheme="minorHAnsi"/>
                <w:b w:val="0"/>
              </w:rPr>
              <w:t>);</w:t>
            </w:r>
          </w:p>
          <w:p w14:paraId="44ED0382" w14:textId="77777777" w:rsidR="00295C6D" w:rsidRPr="00A5626D" w:rsidRDefault="00295C6D" w:rsidP="00647FA0">
            <w:pPr>
              <w:pStyle w:val="2"/>
              <w:numPr>
                <w:ilvl w:val="0"/>
                <w:numId w:val="0"/>
              </w:numPr>
              <w:tabs>
                <w:tab w:val="left" w:pos="1134"/>
                <w:tab w:val="left" w:pos="7938"/>
              </w:tabs>
              <w:suppressAutoHyphens w:val="0"/>
              <w:spacing w:before="120" w:after="120" w:line="22" w:lineRule="atLeast"/>
              <w:ind w:firstLine="629"/>
              <w:jc w:val="both"/>
              <w:rPr>
                <w:rFonts w:ascii="Garamond" w:hAnsi="Garamond" w:cstheme="minorHAnsi"/>
                <w:b w:val="0"/>
              </w:rPr>
            </w:pPr>
            <w:r w:rsidRPr="00A5626D">
              <w:rPr>
                <w:rFonts w:ascii="Garamond" w:hAnsi="Garamond" w:cstheme="minorHAnsi"/>
                <w:b w:val="0"/>
              </w:rPr>
              <w:t>–</w:t>
            </w:r>
            <w:r w:rsidRPr="00A5626D">
              <w:rPr>
                <w:rFonts w:ascii="Garamond" w:hAnsi="Garamond" w:cstheme="minorHAnsi"/>
                <w:b w:val="0"/>
              </w:rPr>
              <w:tab/>
              <w:t>иную информацию по коммерческому учету субъекта оптового рынка.</w:t>
            </w:r>
          </w:p>
          <w:p w14:paraId="53AC786E" w14:textId="77777777" w:rsidR="00295C6D" w:rsidRPr="00A5626D" w:rsidRDefault="00295C6D" w:rsidP="00647FA0">
            <w:pPr>
              <w:pStyle w:val="2"/>
              <w:numPr>
                <w:ilvl w:val="0"/>
                <w:numId w:val="0"/>
              </w:numPr>
              <w:tabs>
                <w:tab w:val="left" w:pos="1134"/>
                <w:tab w:val="left" w:pos="7938"/>
              </w:tabs>
              <w:suppressAutoHyphens w:val="0"/>
              <w:spacing w:before="120" w:after="120" w:line="22" w:lineRule="atLeast"/>
              <w:ind w:firstLine="629"/>
              <w:jc w:val="both"/>
              <w:rPr>
                <w:rFonts w:ascii="Garamond" w:hAnsi="Garamond" w:cstheme="minorHAnsi"/>
                <w:b w:val="0"/>
              </w:rPr>
            </w:pPr>
            <w:r w:rsidRPr="00A5626D">
              <w:rPr>
                <w:rFonts w:ascii="Garamond" w:hAnsi="Garamond" w:cstheme="minorHAnsi"/>
                <w:b w:val="0"/>
              </w:rPr>
              <w:t xml:space="preserve">КО также вправе использовать данные от иных источников информации (в том числе от инфраструктурных организаций) и проводить проверки систем коммерческого учета в соответствии с </w:t>
            </w:r>
            <w:r w:rsidRPr="00A5626D">
              <w:rPr>
                <w:rFonts w:ascii="Garamond" w:hAnsi="Garamond" w:cstheme="minorHAnsi"/>
                <w:b w:val="0"/>
                <w:i/>
              </w:rPr>
              <w:t>Регламентом проведения проверок систем коммерческого учета субъектов оптового рынка</w:t>
            </w:r>
            <w:r w:rsidRPr="00A5626D">
              <w:rPr>
                <w:rFonts w:ascii="Garamond" w:hAnsi="Garamond" w:cstheme="minorHAnsi"/>
                <w:b w:val="0"/>
              </w:rPr>
              <w:t xml:space="preserve"> (Приложение № 18 к </w:t>
            </w:r>
            <w:r w:rsidRPr="00A5626D">
              <w:rPr>
                <w:rFonts w:ascii="Garamond" w:hAnsi="Garamond" w:cstheme="minorHAnsi"/>
                <w:b w:val="0"/>
                <w:i/>
              </w:rPr>
              <w:t>Договору о присоединении к торговой системе оптового рынка</w:t>
            </w:r>
            <w:r w:rsidRPr="00A5626D">
              <w:rPr>
                <w:rFonts w:ascii="Garamond" w:hAnsi="Garamond" w:cstheme="minorHAnsi"/>
                <w:b w:val="0"/>
              </w:rPr>
              <w:t>).</w:t>
            </w:r>
          </w:p>
          <w:p w14:paraId="1A94E483" w14:textId="77777777" w:rsidR="00295C6D" w:rsidRPr="00A5626D" w:rsidRDefault="00295C6D" w:rsidP="00647FA0">
            <w:pPr>
              <w:pStyle w:val="2"/>
              <w:numPr>
                <w:ilvl w:val="0"/>
                <w:numId w:val="0"/>
              </w:numPr>
              <w:tabs>
                <w:tab w:val="left" w:pos="1134"/>
                <w:tab w:val="left" w:pos="7938"/>
              </w:tabs>
              <w:suppressAutoHyphens w:val="0"/>
              <w:spacing w:before="120" w:after="120" w:line="22" w:lineRule="atLeast"/>
              <w:ind w:firstLine="629"/>
              <w:jc w:val="both"/>
              <w:rPr>
                <w:rFonts w:ascii="Garamond" w:hAnsi="Garamond" w:cstheme="minorHAnsi"/>
                <w:b w:val="0"/>
              </w:rPr>
            </w:pPr>
            <w:r w:rsidRPr="00A5626D">
              <w:rPr>
                <w:rFonts w:ascii="Garamond" w:hAnsi="Garamond" w:cstheme="minorHAnsi"/>
                <w:b w:val="0"/>
              </w:rPr>
              <w:t>Запрашиваемая информация предоставляется в КО и (или) СР в виде оригиналов либо копий документов, заверенных уполномоченным лицом с указанием расшифровки и даты подписи, а также по усмотрению субъекта оптового рынка с печатью в срок, не превышающий 10 (десять) рабочих дней с момента получения запроса КО (СР).</w:t>
            </w:r>
          </w:p>
        </w:tc>
      </w:tr>
      <w:tr w:rsidR="00295C6D" w:rsidRPr="00A5626D" w14:paraId="74AC3F63" w14:textId="77777777" w:rsidTr="00647FA0">
        <w:tc>
          <w:tcPr>
            <w:tcW w:w="1060" w:type="dxa"/>
            <w:vAlign w:val="center"/>
          </w:tcPr>
          <w:p w14:paraId="2B2B5164" w14:textId="77777777" w:rsidR="00295C6D" w:rsidRPr="00A5626D" w:rsidRDefault="00295C6D" w:rsidP="00E31AE6">
            <w:pPr>
              <w:widowControl w:val="0"/>
              <w:tabs>
                <w:tab w:val="left" w:pos="1134"/>
                <w:tab w:val="left" w:pos="7938"/>
              </w:tabs>
              <w:spacing w:line="22" w:lineRule="atLeast"/>
              <w:jc w:val="both"/>
              <w:rPr>
                <w:rFonts w:ascii="Garamond" w:hAnsi="Garamond"/>
                <w:b/>
                <w:sz w:val="22"/>
                <w:szCs w:val="22"/>
                <w:lang w:eastAsia="en-US"/>
              </w:rPr>
            </w:pPr>
            <w:r w:rsidRPr="00A5626D">
              <w:rPr>
                <w:rFonts w:ascii="Garamond" w:hAnsi="Garamond"/>
                <w:b/>
                <w:sz w:val="22"/>
                <w:szCs w:val="22"/>
                <w:lang w:eastAsia="en-US"/>
              </w:rPr>
              <w:lastRenderedPageBreak/>
              <w:t>10.5</w:t>
            </w:r>
          </w:p>
        </w:tc>
        <w:tc>
          <w:tcPr>
            <w:tcW w:w="6662" w:type="dxa"/>
          </w:tcPr>
          <w:p w14:paraId="37DE2F76" w14:textId="77777777" w:rsidR="00295C6D" w:rsidRPr="00A5626D" w:rsidRDefault="00295C6D" w:rsidP="00647FA0">
            <w:pPr>
              <w:pStyle w:val="2"/>
              <w:numPr>
                <w:ilvl w:val="0"/>
                <w:numId w:val="0"/>
              </w:numPr>
              <w:tabs>
                <w:tab w:val="left" w:pos="1134"/>
                <w:tab w:val="left" w:pos="7938"/>
              </w:tabs>
              <w:suppressAutoHyphens w:val="0"/>
              <w:spacing w:before="120" w:after="120" w:line="22" w:lineRule="atLeast"/>
              <w:ind w:firstLine="629"/>
              <w:jc w:val="both"/>
              <w:rPr>
                <w:rFonts w:ascii="Garamond" w:hAnsi="Garamond" w:cstheme="minorHAnsi"/>
                <w:b w:val="0"/>
                <w:highlight w:val="yellow"/>
              </w:rPr>
            </w:pPr>
            <w:r w:rsidRPr="00A5626D">
              <w:rPr>
                <w:rFonts w:ascii="Garamond" w:hAnsi="Garamond" w:cstheme="minorHAnsi"/>
                <w:b w:val="0"/>
              </w:rPr>
              <w:t xml:space="preserve">При установлении факта (фактов) нарушений в сфере коммерческого учета в отношении участников оптового рынка </w:t>
            </w:r>
            <w:r w:rsidRPr="00A5626D">
              <w:rPr>
                <w:rFonts w:ascii="Garamond" w:hAnsi="Garamond" w:cstheme="minorHAnsi"/>
                <w:b w:val="0"/>
                <w:highlight w:val="yellow"/>
              </w:rPr>
              <w:t>и (или)</w:t>
            </w:r>
            <w:r w:rsidRPr="00A5626D">
              <w:rPr>
                <w:rFonts w:ascii="Garamond" w:hAnsi="Garamond" w:cstheme="minorHAnsi"/>
                <w:b w:val="0"/>
              </w:rPr>
              <w:t xml:space="preserve"> ФСК предусматривается ответственность в соответствии с </w:t>
            </w:r>
            <w:r w:rsidRPr="00A5626D">
              <w:rPr>
                <w:rFonts w:ascii="Garamond" w:hAnsi="Garamond" w:cstheme="minorHAnsi"/>
                <w:b w:val="0"/>
                <w:i/>
              </w:rPr>
              <w:t>Положением о применении санкций на оптовом рынке электрической энергии и мощности</w:t>
            </w:r>
            <w:r w:rsidRPr="00A5626D">
              <w:rPr>
                <w:rFonts w:ascii="Garamond" w:hAnsi="Garamond" w:cstheme="minorHAnsi"/>
                <w:b w:val="0"/>
              </w:rPr>
              <w:t xml:space="preserve"> (Приложение № 21 к </w:t>
            </w:r>
            <w:r w:rsidRPr="00A5626D">
              <w:rPr>
                <w:rFonts w:ascii="Garamond" w:hAnsi="Garamond" w:cstheme="minorHAnsi"/>
                <w:b w:val="0"/>
                <w:i/>
              </w:rPr>
              <w:t>Договору о присоединении к торговой системе оптового рынка</w:t>
            </w:r>
            <w:r w:rsidRPr="00A5626D">
              <w:rPr>
                <w:rFonts w:ascii="Garamond" w:hAnsi="Garamond" w:cstheme="minorHAnsi"/>
                <w:b w:val="0"/>
              </w:rPr>
              <w:t>).</w:t>
            </w:r>
          </w:p>
        </w:tc>
        <w:tc>
          <w:tcPr>
            <w:tcW w:w="7088" w:type="dxa"/>
          </w:tcPr>
          <w:p w14:paraId="61CF9C4E" w14:textId="77777777" w:rsidR="00295C6D" w:rsidRPr="00A5626D" w:rsidRDefault="00295C6D" w:rsidP="00647FA0">
            <w:pPr>
              <w:pStyle w:val="2"/>
              <w:numPr>
                <w:ilvl w:val="0"/>
                <w:numId w:val="0"/>
              </w:numPr>
              <w:tabs>
                <w:tab w:val="left" w:pos="1134"/>
                <w:tab w:val="left" w:pos="7938"/>
              </w:tabs>
              <w:suppressAutoHyphens w:val="0"/>
              <w:spacing w:before="120" w:after="120" w:line="22" w:lineRule="atLeast"/>
              <w:ind w:firstLine="629"/>
              <w:jc w:val="both"/>
              <w:rPr>
                <w:rFonts w:ascii="Garamond" w:hAnsi="Garamond" w:cstheme="minorHAnsi"/>
                <w:b w:val="0"/>
              </w:rPr>
            </w:pPr>
            <w:r w:rsidRPr="00A5626D">
              <w:rPr>
                <w:rFonts w:ascii="Garamond" w:hAnsi="Garamond" w:cstheme="minorHAnsi"/>
                <w:b w:val="0"/>
              </w:rPr>
              <w:t>При установлении факта (фактов) нарушений в сфере коммерческого учета в отношении участников оптового рынка</w:t>
            </w:r>
            <w:r w:rsidRPr="00A5626D">
              <w:rPr>
                <w:rFonts w:ascii="Garamond" w:hAnsi="Garamond" w:cstheme="minorHAnsi"/>
                <w:b w:val="0"/>
                <w:highlight w:val="yellow"/>
              </w:rPr>
              <w:t>,</w:t>
            </w:r>
            <w:r w:rsidRPr="00A5626D">
              <w:rPr>
                <w:rFonts w:ascii="Garamond" w:hAnsi="Garamond" w:cstheme="minorHAnsi"/>
                <w:b w:val="0"/>
              </w:rPr>
              <w:t xml:space="preserve"> ФСК</w:t>
            </w:r>
            <w:r w:rsidRPr="00A5626D">
              <w:rPr>
                <w:rFonts w:ascii="Garamond" w:hAnsi="Garamond" w:cstheme="minorHAnsi"/>
                <w:b w:val="0"/>
                <w:highlight w:val="yellow"/>
              </w:rPr>
              <w:t>,</w:t>
            </w:r>
            <w:r w:rsidRPr="00A5626D">
              <w:rPr>
                <w:rFonts w:ascii="Garamond" w:hAnsi="Garamond" w:cstheme="minorHAnsi"/>
                <w:b w:val="0"/>
              </w:rPr>
              <w:t xml:space="preserve"> </w:t>
            </w:r>
            <w:r w:rsidRPr="00A5626D">
              <w:rPr>
                <w:rFonts w:ascii="Garamond" w:hAnsi="Garamond" w:cstheme="minorHAnsi"/>
                <w:b w:val="0"/>
                <w:highlight w:val="yellow"/>
              </w:rPr>
              <w:t xml:space="preserve">агрегаторов </w:t>
            </w:r>
            <w:r w:rsidRPr="00A5626D">
              <w:rPr>
                <w:rFonts w:ascii="Garamond" w:hAnsi="Garamond" w:cstheme="minorHAnsi"/>
                <w:b w:val="0"/>
              </w:rPr>
              <w:t xml:space="preserve">предусматривается ответственность в соответствии с </w:t>
            </w:r>
            <w:r w:rsidRPr="00A5626D">
              <w:rPr>
                <w:rFonts w:ascii="Garamond" w:hAnsi="Garamond" w:cstheme="minorHAnsi"/>
                <w:b w:val="0"/>
                <w:i/>
              </w:rPr>
              <w:t>Положением о применении санкций на оптовом рынке электрической энергии и мощности</w:t>
            </w:r>
            <w:r w:rsidRPr="00A5626D">
              <w:rPr>
                <w:rFonts w:ascii="Garamond" w:hAnsi="Garamond" w:cstheme="minorHAnsi"/>
                <w:b w:val="0"/>
              </w:rPr>
              <w:t xml:space="preserve"> (Приложение № 21 к </w:t>
            </w:r>
            <w:r w:rsidRPr="00A5626D">
              <w:rPr>
                <w:rFonts w:ascii="Garamond" w:hAnsi="Garamond" w:cstheme="minorHAnsi"/>
                <w:b w:val="0"/>
                <w:i/>
              </w:rPr>
              <w:t>Договору о присоединении к торговой системе оптового рынка</w:t>
            </w:r>
            <w:r w:rsidRPr="00A5626D">
              <w:rPr>
                <w:rFonts w:ascii="Garamond" w:hAnsi="Garamond" w:cstheme="minorHAnsi"/>
                <w:b w:val="0"/>
              </w:rPr>
              <w:t>).</w:t>
            </w:r>
          </w:p>
        </w:tc>
      </w:tr>
      <w:tr w:rsidR="00295C6D" w:rsidRPr="00A5626D" w14:paraId="616FFA87" w14:textId="77777777" w:rsidTr="00647FA0">
        <w:tc>
          <w:tcPr>
            <w:tcW w:w="1060" w:type="dxa"/>
            <w:vAlign w:val="center"/>
          </w:tcPr>
          <w:p w14:paraId="0F08BE1E" w14:textId="77777777" w:rsidR="00295C6D" w:rsidRPr="00A5626D" w:rsidRDefault="00295C6D" w:rsidP="00E31AE6">
            <w:pPr>
              <w:widowControl w:val="0"/>
              <w:tabs>
                <w:tab w:val="left" w:pos="1134"/>
                <w:tab w:val="left" w:pos="7938"/>
              </w:tabs>
              <w:spacing w:line="22" w:lineRule="atLeast"/>
              <w:jc w:val="both"/>
              <w:rPr>
                <w:rFonts w:ascii="Garamond" w:hAnsi="Garamond"/>
                <w:b/>
                <w:sz w:val="22"/>
                <w:szCs w:val="22"/>
                <w:lang w:eastAsia="en-US"/>
              </w:rPr>
            </w:pPr>
            <w:r w:rsidRPr="00A5626D">
              <w:rPr>
                <w:rFonts w:ascii="Garamond" w:hAnsi="Garamond"/>
                <w:b/>
                <w:sz w:val="22"/>
                <w:szCs w:val="22"/>
                <w:lang w:eastAsia="en-US"/>
              </w:rPr>
              <w:t>Приложение 1</w:t>
            </w:r>
          </w:p>
        </w:tc>
        <w:tc>
          <w:tcPr>
            <w:tcW w:w="6662" w:type="dxa"/>
          </w:tcPr>
          <w:p w14:paraId="5D722FD5" w14:textId="77777777" w:rsidR="00295C6D" w:rsidRPr="00A5626D" w:rsidRDefault="00295C6D" w:rsidP="00B77857">
            <w:pPr>
              <w:pStyle w:val="2"/>
              <w:numPr>
                <w:ilvl w:val="0"/>
                <w:numId w:val="0"/>
              </w:numPr>
              <w:tabs>
                <w:tab w:val="left" w:pos="1134"/>
                <w:tab w:val="left" w:pos="7938"/>
              </w:tabs>
              <w:suppressAutoHyphens w:val="0"/>
              <w:spacing w:before="120" w:after="120"/>
              <w:ind w:firstLine="629"/>
              <w:jc w:val="both"/>
              <w:rPr>
                <w:rFonts w:ascii="Garamond" w:hAnsi="Garamond" w:cstheme="minorHAnsi"/>
                <w:b w:val="0"/>
              </w:rPr>
            </w:pPr>
          </w:p>
        </w:tc>
        <w:tc>
          <w:tcPr>
            <w:tcW w:w="7088" w:type="dxa"/>
          </w:tcPr>
          <w:p w14:paraId="00A1DB4B" w14:textId="77777777" w:rsidR="00295C6D" w:rsidRPr="00A5626D" w:rsidRDefault="00295C6D" w:rsidP="00B77857">
            <w:pPr>
              <w:pStyle w:val="10"/>
              <w:spacing w:before="120" w:after="120" w:line="240" w:lineRule="auto"/>
              <w:rPr>
                <w:rFonts w:ascii="Garamond" w:hAnsi="Garamond" w:cstheme="minorHAnsi"/>
                <w:sz w:val="22"/>
                <w:szCs w:val="22"/>
                <w:highlight w:val="yellow"/>
              </w:rPr>
            </w:pPr>
            <w:bookmarkStart w:id="131" w:name="_Toc139240011"/>
            <w:r w:rsidRPr="00A5626D">
              <w:rPr>
                <w:rFonts w:ascii="Garamond" w:hAnsi="Garamond" w:cstheme="minorHAnsi"/>
                <w:caps/>
                <w:sz w:val="22"/>
                <w:szCs w:val="22"/>
                <w:highlight w:val="yellow"/>
                <w:lang w:eastAsia="en-US"/>
              </w:rPr>
              <w:t>ОПИСАНИЕ</w:t>
            </w:r>
            <w:r w:rsidRPr="00A5626D">
              <w:rPr>
                <w:rFonts w:ascii="Garamond" w:hAnsi="Garamond" w:cstheme="minorHAnsi"/>
                <w:sz w:val="22"/>
                <w:szCs w:val="22"/>
                <w:highlight w:val="yellow"/>
              </w:rPr>
              <w:t xml:space="preserve"> МАКЕТА 21070 ЭЛЕКТРОННОГО ДОКУМЕНТА «АКТ УЧЕТА (ОБОРОТА) ПО ОБЪЕКТУ РЕГУЛИРОВАНИЯ»</w:t>
            </w:r>
            <w:bookmarkEnd w:id="131"/>
          </w:p>
          <w:p w14:paraId="5C6688B6" w14:textId="77777777" w:rsidR="00295C6D" w:rsidRPr="00A5626D" w:rsidRDefault="00295C6D" w:rsidP="00B77857">
            <w:pPr>
              <w:widowControl w:val="0"/>
              <w:numPr>
                <w:ilvl w:val="0"/>
                <w:numId w:val="276"/>
              </w:numPr>
              <w:tabs>
                <w:tab w:val="left" w:pos="960"/>
              </w:tabs>
              <w:suppressAutoHyphens w:val="0"/>
              <w:autoSpaceDE w:val="0"/>
              <w:autoSpaceDN w:val="0"/>
              <w:adjustRightInd w:val="0"/>
              <w:spacing w:before="120" w:after="120"/>
              <w:jc w:val="both"/>
              <w:rPr>
                <w:rFonts w:ascii="Garamond" w:eastAsia="MS Mincho" w:hAnsi="Garamond" w:cstheme="minorHAnsi"/>
                <w:b/>
                <w:sz w:val="22"/>
                <w:szCs w:val="22"/>
                <w:highlight w:val="yellow"/>
              </w:rPr>
            </w:pPr>
            <w:r w:rsidRPr="00A5626D">
              <w:rPr>
                <w:rFonts w:ascii="Garamond" w:eastAsia="MS Mincho" w:hAnsi="Garamond" w:cstheme="minorHAnsi"/>
                <w:b/>
                <w:sz w:val="22"/>
                <w:szCs w:val="22"/>
                <w:highlight w:val="yellow"/>
              </w:rPr>
              <w:t>Общие положения и порядок передачи</w:t>
            </w:r>
          </w:p>
          <w:p w14:paraId="64979E5C" w14:textId="77777777" w:rsidR="00295C6D" w:rsidRPr="00A5626D" w:rsidRDefault="00295C6D" w:rsidP="00B77857">
            <w:pPr>
              <w:spacing w:before="120" w:after="120"/>
              <w:ind w:left="360"/>
              <w:jc w:val="both"/>
              <w:rPr>
                <w:rFonts w:ascii="Garamond" w:hAnsi="Garamond" w:cstheme="minorHAnsi"/>
                <w:sz w:val="22"/>
                <w:szCs w:val="22"/>
                <w:highlight w:val="yellow"/>
                <w:lang w:bidi="en-US"/>
              </w:rPr>
            </w:pPr>
            <w:r w:rsidRPr="00A5626D">
              <w:rPr>
                <w:rFonts w:ascii="Garamond" w:hAnsi="Garamond" w:cstheme="minorHAnsi"/>
                <w:sz w:val="22"/>
                <w:szCs w:val="22"/>
                <w:highlight w:val="yellow"/>
              </w:rPr>
              <w:lastRenderedPageBreak/>
              <w:t>Макет документа используется для направления в КО фактических данных коммерческого учета по объекту регулирования</w:t>
            </w:r>
            <w:r w:rsidRPr="00A5626D">
              <w:rPr>
                <w:rFonts w:ascii="Garamond" w:hAnsi="Garamond" w:cstheme="minorHAnsi"/>
                <w:sz w:val="22"/>
                <w:szCs w:val="22"/>
                <w:highlight w:val="yellow"/>
                <w:lang w:bidi="en-US"/>
              </w:rPr>
              <w:t>.</w:t>
            </w:r>
          </w:p>
          <w:p w14:paraId="27A31879" w14:textId="77777777" w:rsidR="00295C6D" w:rsidRPr="00A5626D" w:rsidRDefault="00295C6D" w:rsidP="00B77857">
            <w:pPr>
              <w:spacing w:before="120" w:after="120"/>
              <w:ind w:left="360"/>
              <w:jc w:val="both"/>
              <w:rPr>
                <w:rFonts w:ascii="Garamond" w:hAnsi="Garamond" w:cstheme="minorHAnsi"/>
                <w:sz w:val="22"/>
                <w:szCs w:val="22"/>
                <w:highlight w:val="yellow"/>
                <w:lang w:bidi="en-US"/>
              </w:rPr>
            </w:pPr>
            <w:r w:rsidRPr="00A5626D">
              <w:rPr>
                <w:rFonts w:ascii="Garamond" w:hAnsi="Garamond" w:cstheme="minorHAnsi"/>
                <w:sz w:val="22"/>
                <w:szCs w:val="22"/>
                <w:highlight w:val="yellow"/>
                <w:lang w:bidi="en-US"/>
              </w:rPr>
              <w:t xml:space="preserve">При передаче электронного документа используется расширяемый язык разметки в соответствии со спецификацией </w:t>
            </w:r>
            <w:r w:rsidRPr="00A5626D">
              <w:rPr>
                <w:rFonts w:ascii="Garamond" w:hAnsi="Garamond" w:cstheme="minorHAnsi"/>
                <w:sz w:val="22"/>
                <w:szCs w:val="22"/>
                <w:highlight w:val="yellow"/>
                <w:lang w:val="en-US" w:bidi="en-US"/>
              </w:rPr>
              <w:t>Extensible</w:t>
            </w:r>
            <w:r w:rsidRPr="00A5626D">
              <w:rPr>
                <w:rFonts w:ascii="Garamond" w:hAnsi="Garamond" w:cstheme="minorHAnsi"/>
                <w:sz w:val="22"/>
                <w:szCs w:val="22"/>
                <w:highlight w:val="yellow"/>
                <w:lang w:bidi="en-US"/>
              </w:rPr>
              <w:t xml:space="preserve"> </w:t>
            </w:r>
            <w:r w:rsidRPr="00A5626D">
              <w:rPr>
                <w:rFonts w:ascii="Garamond" w:hAnsi="Garamond" w:cstheme="minorHAnsi"/>
                <w:sz w:val="22"/>
                <w:szCs w:val="22"/>
                <w:highlight w:val="yellow"/>
                <w:lang w:val="en-US" w:bidi="en-US"/>
              </w:rPr>
              <w:t>Markup</w:t>
            </w:r>
            <w:r w:rsidRPr="00A5626D">
              <w:rPr>
                <w:rFonts w:ascii="Garamond" w:hAnsi="Garamond" w:cstheme="minorHAnsi"/>
                <w:sz w:val="22"/>
                <w:szCs w:val="22"/>
                <w:highlight w:val="yellow"/>
                <w:lang w:bidi="en-US"/>
              </w:rPr>
              <w:t xml:space="preserve"> </w:t>
            </w:r>
            <w:r w:rsidRPr="00A5626D">
              <w:rPr>
                <w:rFonts w:ascii="Garamond" w:hAnsi="Garamond" w:cstheme="minorHAnsi"/>
                <w:sz w:val="22"/>
                <w:szCs w:val="22"/>
                <w:highlight w:val="yellow"/>
                <w:lang w:val="en-US" w:bidi="en-US"/>
              </w:rPr>
              <w:t>Language</w:t>
            </w:r>
            <w:r w:rsidRPr="00A5626D">
              <w:rPr>
                <w:rFonts w:ascii="Garamond" w:hAnsi="Garamond" w:cstheme="minorHAnsi"/>
                <w:sz w:val="22"/>
                <w:szCs w:val="22"/>
                <w:highlight w:val="yellow"/>
                <w:lang w:bidi="en-US"/>
              </w:rPr>
              <w:t xml:space="preserve"> (</w:t>
            </w:r>
            <w:r w:rsidRPr="00A5626D">
              <w:rPr>
                <w:rFonts w:ascii="Garamond" w:hAnsi="Garamond" w:cstheme="minorHAnsi"/>
                <w:sz w:val="22"/>
                <w:szCs w:val="22"/>
                <w:highlight w:val="yellow"/>
                <w:lang w:val="en-US" w:bidi="en-US"/>
              </w:rPr>
              <w:t>XML</w:t>
            </w:r>
            <w:r w:rsidRPr="00A5626D">
              <w:rPr>
                <w:rFonts w:ascii="Garamond" w:hAnsi="Garamond" w:cstheme="minorHAnsi"/>
                <w:sz w:val="22"/>
                <w:szCs w:val="22"/>
                <w:highlight w:val="yellow"/>
                <w:lang w:bidi="en-US"/>
              </w:rPr>
              <w:t>) 1.0.</w:t>
            </w:r>
          </w:p>
          <w:p w14:paraId="36EEA6C2" w14:textId="77777777" w:rsidR="00295C6D" w:rsidRPr="00A5626D" w:rsidRDefault="00295C6D" w:rsidP="00B77857">
            <w:pPr>
              <w:spacing w:before="120" w:after="120"/>
              <w:ind w:left="360"/>
              <w:jc w:val="both"/>
              <w:rPr>
                <w:rFonts w:ascii="Garamond" w:hAnsi="Garamond" w:cstheme="minorHAnsi"/>
                <w:sz w:val="22"/>
                <w:szCs w:val="22"/>
                <w:highlight w:val="yellow"/>
                <w:lang w:bidi="en-US"/>
              </w:rPr>
            </w:pPr>
            <w:r w:rsidRPr="00A5626D">
              <w:rPr>
                <w:rFonts w:ascii="Garamond" w:hAnsi="Garamond" w:cstheme="minorHAnsi"/>
                <w:sz w:val="22"/>
                <w:szCs w:val="22"/>
                <w:highlight w:val="yellow"/>
                <w:lang w:bidi="en-US"/>
              </w:rPr>
              <w:t xml:space="preserve">При декларации кодировки, являющейся частью декларации </w:t>
            </w:r>
            <w:r w:rsidRPr="00A5626D">
              <w:rPr>
                <w:rFonts w:ascii="Garamond" w:hAnsi="Garamond" w:cstheme="minorHAnsi"/>
                <w:sz w:val="22"/>
                <w:szCs w:val="22"/>
                <w:highlight w:val="yellow"/>
                <w:lang w:val="en-US" w:bidi="en-US"/>
              </w:rPr>
              <w:t>XML</w:t>
            </w:r>
            <w:r w:rsidRPr="00A5626D">
              <w:rPr>
                <w:rFonts w:ascii="Garamond" w:hAnsi="Garamond" w:cstheme="minorHAnsi"/>
                <w:sz w:val="22"/>
                <w:szCs w:val="22"/>
                <w:highlight w:val="yellow"/>
                <w:lang w:bidi="en-US"/>
              </w:rPr>
              <w:t xml:space="preserve">, используются названия и псевдонимы русскоязычных наборов символов, зарегистрированных в </w:t>
            </w:r>
            <w:r w:rsidRPr="00A5626D">
              <w:rPr>
                <w:rFonts w:ascii="Garamond" w:hAnsi="Garamond" w:cstheme="minorHAnsi"/>
                <w:sz w:val="22"/>
                <w:szCs w:val="22"/>
                <w:highlight w:val="yellow"/>
                <w:lang w:val="en-US" w:bidi="en-US"/>
              </w:rPr>
              <w:t>Internet</w:t>
            </w:r>
            <w:r w:rsidRPr="00A5626D">
              <w:rPr>
                <w:rFonts w:ascii="Garamond" w:hAnsi="Garamond" w:cstheme="minorHAnsi"/>
                <w:sz w:val="22"/>
                <w:szCs w:val="22"/>
                <w:highlight w:val="yellow"/>
                <w:lang w:bidi="en-US"/>
              </w:rPr>
              <w:t xml:space="preserve"> </w:t>
            </w:r>
            <w:r w:rsidRPr="00A5626D">
              <w:rPr>
                <w:rFonts w:ascii="Garamond" w:hAnsi="Garamond" w:cstheme="minorHAnsi"/>
                <w:sz w:val="22"/>
                <w:szCs w:val="22"/>
                <w:highlight w:val="yellow"/>
                <w:lang w:val="en-US" w:bidi="en-US"/>
              </w:rPr>
              <w:t>Assigned</w:t>
            </w:r>
            <w:r w:rsidRPr="00A5626D">
              <w:rPr>
                <w:rFonts w:ascii="Garamond" w:hAnsi="Garamond" w:cstheme="minorHAnsi"/>
                <w:sz w:val="22"/>
                <w:szCs w:val="22"/>
                <w:highlight w:val="yellow"/>
                <w:lang w:bidi="en-US"/>
              </w:rPr>
              <w:t xml:space="preserve"> </w:t>
            </w:r>
            <w:r w:rsidRPr="00A5626D">
              <w:rPr>
                <w:rFonts w:ascii="Garamond" w:hAnsi="Garamond" w:cstheme="minorHAnsi"/>
                <w:sz w:val="22"/>
                <w:szCs w:val="22"/>
                <w:highlight w:val="yellow"/>
                <w:lang w:val="en-US" w:bidi="en-US"/>
              </w:rPr>
              <w:t>Numbers</w:t>
            </w:r>
            <w:r w:rsidRPr="00A5626D">
              <w:rPr>
                <w:rFonts w:ascii="Garamond" w:hAnsi="Garamond" w:cstheme="minorHAnsi"/>
                <w:sz w:val="22"/>
                <w:szCs w:val="22"/>
                <w:highlight w:val="yellow"/>
                <w:lang w:bidi="en-US"/>
              </w:rPr>
              <w:t xml:space="preserve"> </w:t>
            </w:r>
            <w:r w:rsidRPr="00A5626D">
              <w:rPr>
                <w:rFonts w:ascii="Garamond" w:hAnsi="Garamond" w:cstheme="minorHAnsi"/>
                <w:sz w:val="22"/>
                <w:szCs w:val="22"/>
                <w:highlight w:val="yellow"/>
                <w:lang w:val="en-US" w:bidi="en-US"/>
              </w:rPr>
              <w:t>Authority</w:t>
            </w:r>
            <w:r w:rsidRPr="00A5626D">
              <w:rPr>
                <w:rFonts w:ascii="Garamond" w:hAnsi="Garamond" w:cstheme="minorHAnsi"/>
                <w:sz w:val="22"/>
                <w:szCs w:val="22"/>
                <w:highlight w:val="yellow"/>
                <w:lang w:bidi="en-US"/>
              </w:rPr>
              <w:t>. Для данного электронного документа используется кодировка «</w:t>
            </w:r>
            <w:r w:rsidRPr="00A5626D">
              <w:rPr>
                <w:rFonts w:ascii="Garamond" w:hAnsi="Garamond" w:cstheme="minorHAnsi"/>
                <w:sz w:val="22"/>
                <w:szCs w:val="22"/>
                <w:highlight w:val="yellow"/>
                <w:lang w:val="en-US" w:bidi="en-US"/>
              </w:rPr>
              <w:t>windows</w:t>
            </w:r>
            <w:r w:rsidRPr="00A5626D">
              <w:rPr>
                <w:rFonts w:ascii="Garamond" w:hAnsi="Garamond" w:cstheme="minorHAnsi"/>
                <w:sz w:val="22"/>
                <w:szCs w:val="22"/>
                <w:highlight w:val="yellow"/>
                <w:lang w:bidi="en-US"/>
              </w:rPr>
              <w:t>-1251».</w:t>
            </w:r>
          </w:p>
          <w:p w14:paraId="7C804148" w14:textId="77777777" w:rsidR="00295C6D" w:rsidRPr="00A5626D" w:rsidRDefault="00295C6D" w:rsidP="00B77857">
            <w:pPr>
              <w:spacing w:before="120" w:after="120"/>
              <w:ind w:left="360"/>
              <w:jc w:val="both"/>
              <w:rPr>
                <w:rFonts w:ascii="Garamond" w:hAnsi="Garamond" w:cstheme="minorHAnsi"/>
                <w:sz w:val="22"/>
                <w:szCs w:val="22"/>
                <w:highlight w:val="yellow"/>
                <w:lang w:bidi="en-US"/>
              </w:rPr>
            </w:pPr>
            <w:r w:rsidRPr="00A5626D">
              <w:rPr>
                <w:rFonts w:ascii="Garamond" w:hAnsi="Garamond" w:cstheme="minorHAnsi"/>
                <w:sz w:val="22"/>
                <w:szCs w:val="22"/>
                <w:highlight w:val="yellow"/>
                <w:lang w:bidi="en-US"/>
              </w:rPr>
              <w:t>Передача актов учета (оборота) по объекту регулирования (макет 21070) производится на адрес электронной почты iasuku_crypto@rosenergo.com.</w:t>
            </w:r>
          </w:p>
          <w:p w14:paraId="5F555B12" w14:textId="77777777" w:rsidR="00295C6D" w:rsidRPr="00A5626D" w:rsidRDefault="00295C6D" w:rsidP="00B77857">
            <w:pPr>
              <w:spacing w:before="120" w:after="120"/>
              <w:ind w:left="360"/>
              <w:jc w:val="both"/>
              <w:rPr>
                <w:rFonts w:ascii="Garamond" w:hAnsi="Garamond" w:cstheme="minorHAnsi"/>
                <w:sz w:val="22"/>
                <w:szCs w:val="22"/>
                <w:highlight w:val="yellow"/>
                <w:lang w:bidi="en-US"/>
              </w:rPr>
            </w:pPr>
            <w:r w:rsidRPr="00A5626D">
              <w:rPr>
                <w:rFonts w:ascii="Garamond" w:hAnsi="Garamond" w:cstheme="minorHAnsi"/>
                <w:sz w:val="22"/>
                <w:szCs w:val="22"/>
                <w:highlight w:val="yellow"/>
              </w:rPr>
              <w:t>В течение 120 (ста двадцати) минут со времени поступления от агрегатора актов учета (оборота) по объекту регулирования</w:t>
            </w:r>
            <w:r w:rsidRPr="00A5626D">
              <w:rPr>
                <w:rFonts w:ascii="Garamond" w:hAnsi="Garamond" w:cstheme="minorHAnsi"/>
                <w:sz w:val="22"/>
                <w:szCs w:val="22"/>
                <w:highlight w:val="yellow"/>
                <w:lang w:bidi="en-US"/>
              </w:rPr>
              <w:t xml:space="preserve"> (макет 21070)</w:t>
            </w:r>
            <w:r w:rsidRPr="00A5626D">
              <w:rPr>
                <w:rFonts w:ascii="Garamond" w:hAnsi="Garamond" w:cstheme="minorHAnsi"/>
                <w:sz w:val="22"/>
                <w:szCs w:val="22"/>
                <w:highlight w:val="yellow"/>
              </w:rPr>
              <w:t xml:space="preserve"> КО подтверждает факт получения указанных макетов путем направления в адрес агрегатора и владельца ГТП уведомлений в макете 21071 (описание и пример структуры документа приведены в пункте 4 данного приложения), подписанных электронной подписью и содержащих информацию о статусе приема отчетных данных, а также список ошибок и предупреждений.</w:t>
            </w:r>
          </w:p>
          <w:p w14:paraId="68939B60" w14:textId="77777777" w:rsidR="00295C6D" w:rsidRPr="00A5626D" w:rsidRDefault="00295C6D" w:rsidP="00B77857">
            <w:pPr>
              <w:spacing w:before="120" w:after="120"/>
              <w:ind w:left="360"/>
              <w:jc w:val="both"/>
              <w:rPr>
                <w:rFonts w:ascii="Garamond" w:hAnsi="Garamond" w:cstheme="minorHAnsi"/>
                <w:sz w:val="22"/>
                <w:szCs w:val="22"/>
                <w:highlight w:val="yellow"/>
                <w:lang w:bidi="en-US"/>
              </w:rPr>
            </w:pPr>
            <w:r w:rsidRPr="00A5626D">
              <w:rPr>
                <w:rFonts w:ascii="Garamond" w:hAnsi="Garamond" w:cstheme="minorHAnsi"/>
                <w:sz w:val="22"/>
                <w:szCs w:val="22"/>
                <w:highlight w:val="yellow"/>
                <w:lang w:bidi="en-US"/>
              </w:rPr>
              <w:t>Имя файла, содержащего электронный документ, должно составляться в формате:</w:t>
            </w:r>
          </w:p>
          <w:p w14:paraId="01BCA9EA" w14:textId="77777777" w:rsidR="00295C6D" w:rsidRPr="00A5626D" w:rsidRDefault="00295C6D" w:rsidP="00B77857">
            <w:pPr>
              <w:spacing w:before="120" w:after="120"/>
              <w:ind w:left="360"/>
              <w:jc w:val="both"/>
              <w:rPr>
                <w:rFonts w:ascii="Garamond" w:hAnsi="Garamond" w:cstheme="minorHAnsi"/>
                <w:sz w:val="22"/>
                <w:szCs w:val="22"/>
                <w:highlight w:val="yellow"/>
                <w:lang w:bidi="en-US"/>
              </w:rPr>
            </w:pPr>
            <w:r w:rsidRPr="00A5626D">
              <w:rPr>
                <w:rFonts w:ascii="Garamond" w:hAnsi="Garamond" w:cstheme="minorHAnsi"/>
                <w:sz w:val="22"/>
                <w:szCs w:val="22"/>
                <w:highlight w:val="yellow"/>
                <w:lang w:bidi="en-US"/>
              </w:rPr>
              <w:t>«&lt;тип документа&gt;_&lt;ИНН&gt;_&lt;отчетный месяц&gt;_&lt;дата формирования&gt;_&lt;код ОР&gt;», где:</w:t>
            </w:r>
          </w:p>
          <w:p w14:paraId="3DCF2909" w14:textId="77777777" w:rsidR="00295C6D" w:rsidRPr="00A5626D" w:rsidRDefault="00295C6D" w:rsidP="00B77857">
            <w:pPr>
              <w:widowControl w:val="0"/>
              <w:numPr>
                <w:ilvl w:val="0"/>
                <w:numId w:val="240"/>
              </w:numPr>
              <w:suppressAutoHyphens w:val="0"/>
              <w:autoSpaceDE w:val="0"/>
              <w:autoSpaceDN w:val="0"/>
              <w:adjustRightInd w:val="0"/>
              <w:spacing w:before="120" w:after="120"/>
              <w:jc w:val="both"/>
              <w:rPr>
                <w:rFonts w:ascii="Garamond" w:eastAsia="MS Mincho" w:hAnsi="Garamond" w:cstheme="minorHAnsi"/>
                <w:sz w:val="22"/>
                <w:szCs w:val="22"/>
                <w:highlight w:val="yellow"/>
                <w:lang w:bidi="en-US"/>
              </w:rPr>
            </w:pPr>
            <w:r w:rsidRPr="00A5626D">
              <w:rPr>
                <w:rFonts w:ascii="Garamond" w:eastAsia="MS Mincho" w:hAnsi="Garamond" w:cstheme="minorHAnsi"/>
                <w:sz w:val="22"/>
                <w:szCs w:val="22"/>
                <w:highlight w:val="yellow"/>
                <w:lang w:bidi="en-US"/>
              </w:rPr>
              <w:t>тип документа – номер, присвоенный КО данному типу документа (21070);</w:t>
            </w:r>
          </w:p>
          <w:p w14:paraId="4F660C7F" w14:textId="77777777" w:rsidR="00295C6D" w:rsidRPr="00A5626D" w:rsidRDefault="00295C6D" w:rsidP="00B77857">
            <w:pPr>
              <w:widowControl w:val="0"/>
              <w:numPr>
                <w:ilvl w:val="0"/>
                <w:numId w:val="240"/>
              </w:numPr>
              <w:suppressAutoHyphens w:val="0"/>
              <w:autoSpaceDE w:val="0"/>
              <w:autoSpaceDN w:val="0"/>
              <w:adjustRightInd w:val="0"/>
              <w:spacing w:before="120" w:after="120"/>
              <w:jc w:val="both"/>
              <w:rPr>
                <w:rFonts w:ascii="Garamond" w:eastAsia="MS Mincho" w:hAnsi="Garamond" w:cstheme="minorHAnsi"/>
                <w:sz w:val="22"/>
                <w:szCs w:val="22"/>
                <w:highlight w:val="yellow"/>
                <w:lang w:bidi="en-US"/>
              </w:rPr>
            </w:pPr>
            <w:r w:rsidRPr="00A5626D">
              <w:rPr>
                <w:rFonts w:ascii="Garamond" w:hAnsi="Garamond" w:cstheme="minorHAnsi"/>
                <w:sz w:val="22"/>
                <w:szCs w:val="22"/>
                <w:highlight w:val="yellow"/>
                <w:lang w:bidi="en-US"/>
              </w:rPr>
              <w:t xml:space="preserve">ИНН – ИНН организации, предоставляющей информацию, длина ИНН – 10 символов; </w:t>
            </w:r>
          </w:p>
          <w:p w14:paraId="18FA46E5" w14:textId="56A80C45" w:rsidR="00295C6D" w:rsidRPr="00A5626D" w:rsidRDefault="00295C6D" w:rsidP="00B77857">
            <w:pPr>
              <w:widowControl w:val="0"/>
              <w:numPr>
                <w:ilvl w:val="0"/>
                <w:numId w:val="240"/>
              </w:numPr>
              <w:suppressAutoHyphens w:val="0"/>
              <w:autoSpaceDE w:val="0"/>
              <w:autoSpaceDN w:val="0"/>
              <w:adjustRightInd w:val="0"/>
              <w:spacing w:before="120" w:after="120"/>
              <w:jc w:val="both"/>
              <w:rPr>
                <w:rFonts w:ascii="Garamond" w:eastAsia="MS Mincho" w:hAnsi="Garamond" w:cstheme="minorHAnsi"/>
                <w:sz w:val="22"/>
                <w:szCs w:val="22"/>
                <w:highlight w:val="yellow"/>
                <w:lang w:bidi="en-US"/>
              </w:rPr>
            </w:pPr>
            <w:r w:rsidRPr="00A5626D">
              <w:rPr>
                <w:rFonts w:ascii="Garamond" w:hAnsi="Garamond" w:cstheme="minorHAnsi"/>
                <w:sz w:val="22"/>
                <w:szCs w:val="22"/>
                <w:highlight w:val="yellow"/>
                <w:lang w:bidi="en-US"/>
              </w:rPr>
              <w:t>отчетный месяц</w:t>
            </w:r>
            <w:r w:rsidR="009B5F03" w:rsidRPr="00A5626D">
              <w:rPr>
                <w:rFonts w:ascii="Garamond" w:hAnsi="Garamond" w:cstheme="minorHAnsi"/>
                <w:sz w:val="22"/>
                <w:szCs w:val="22"/>
                <w:highlight w:val="yellow"/>
                <w:lang w:bidi="en-US"/>
              </w:rPr>
              <w:t xml:space="preserve"> – </w:t>
            </w:r>
            <w:r w:rsidRPr="00A5626D">
              <w:rPr>
                <w:rFonts w:ascii="Garamond" w:hAnsi="Garamond" w:cstheme="minorHAnsi"/>
                <w:sz w:val="22"/>
                <w:szCs w:val="22"/>
                <w:highlight w:val="yellow"/>
                <w:lang w:bidi="en-US"/>
              </w:rPr>
              <w:t>месяц, за который предоставляются данные коммерческого учета, в формате «ГГГГММ», где «ГГГГ» – год, «ММ» – порядковый номер месяца. Длина поля &lt;отчетный месяц&gt; – 6 знаков. Использование пробелов внутри формата указания даты не допускается;</w:t>
            </w:r>
          </w:p>
          <w:p w14:paraId="547E821A" w14:textId="4EA93A9A" w:rsidR="00295C6D" w:rsidRPr="00A5626D" w:rsidRDefault="00295C6D" w:rsidP="00B77857">
            <w:pPr>
              <w:widowControl w:val="0"/>
              <w:numPr>
                <w:ilvl w:val="0"/>
                <w:numId w:val="240"/>
              </w:numPr>
              <w:suppressAutoHyphens w:val="0"/>
              <w:autoSpaceDE w:val="0"/>
              <w:autoSpaceDN w:val="0"/>
              <w:adjustRightInd w:val="0"/>
              <w:spacing w:before="120" w:after="120"/>
              <w:jc w:val="both"/>
              <w:rPr>
                <w:rFonts w:ascii="Garamond" w:eastAsia="MS Mincho" w:hAnsi="Garamond" w:cstheme="minorHAnsi"/>
                <w:sz w:val="22"/>
                <w:szCs w:val="22"/>
                <w:highlight w:val="yellow"/>
                <w:lang w:bidi="en-US"/>
              </w:rPr>
            </w:pPr>
            <w:r w:rsidRPr="00A5626D">
              <w:rPr>
                <w:rFonts w:ascii="Garamond" w:hAnsi="Garamond" w:cstheme="minorHAnsi"/>
                <w:sz w:val="22"/>
                <w:szCs w:val="22"/>
                <w:highlight w:val="yellow"/>
                <w:lang w:bidi="en-US"/>
              </w:rPr>
              <w:lastRenderedPageBreak/>
              <w:t>дата формирования – дата и время формирования документа, предоставляется в московском времени в формате «ГГГГММДДччммсс», где «ГГГГ» – год, «ММ» – порядковый номер месяца, «ДД» – день, «чч» – час в 24-часовом формате, «мм» – минут</w:t>
            </w:r>
            <w:r w:rsidR="00B77857" w:rsidRPr="00A5626D">
              <w:rPr>
                <w:rFonts w:ascii="Garamond" w:hAnsi="Garamond" w:cstheme="minorHAnsi"/>
                <w:sz w:val="22"/>
                <w:szCs w:val="22"/>
                <w:highlight w:val="yellow"/>
                <w:lang w:bidi="en-US"/>
              </w:rPr>
              <w:t>ы</w:t>
            </w:r>
            <w:r w:rsidRPr="00A5626D">
              <w:rPr>
                <w:rFonts w:ascii="Garamond" w:hAnsi="Garamond" w:cstheme="minorHAnsi"/>
                <w:sz w:val="22"/>
                <w:szCs w:val="22"/>
                <w:highlight w:val="yellow"/>
                <w:lang w:bidi="en-US"/>
              </w:rPr>
              <w:t>, «сс» – секунд</w:t>
            </w:r>
            <w:r w:rsidR="00B77857" w:rsidRPr="00A5626D">
              <w:rPr>
                <w:rFonts w:ascii="Garamond" w:hAnsi="Garamond" w:cstheme="minorHAnsi"/>
                <w:sz w:val="22"/>
                <w:szCs w:val="22"/>
                <w:highlight w:val="yellow"/>
                <w:lang w:bidi="en-US"/>
              </w:rPr>
              <w:t>ы</w:t>
            </w:r>
            <w:r w:rsidRPr="00A5626D">
              <w:rPr>
                <w:rFonts w:ascii="Garamond" w:hAnsi="Garamond" w:cstheme="minorHAnsi"/>
                <w:sz w:val="22"/>
                <w:szCs w:val="22"/>
                <w:highlight w:val="yellow"/>
                <w:lang w:bidi="en-US"/>
              </w:rPr>
              <w:t>. Длина поля &lt;дата&gt; – 14 знаков. Использование пробелов внутри формата указания даты и времени не допускается;</w:t>
            </w:r>
          </w:p>
          <w:p w14:paraId="14520128" w14:textId="0D40B6EB" w:rsidR="00295C6D" w:rsidRPr="00A5626D" w:rsidRDefault="00295C6D" w:rsidP="00B77857">
            <w:pPr>
              <w:widowControl w:val="0"/>
              <w:numPr>
                <w:ilvl w:val="0"/>
                <w:numId w:val="240"/>
              </w:numPr>
              <w:suppressAutoHyphens w:val="0"/>
              <w:autoSpaceDE w:val="0"/>
              <w:autoSpaceDN w:val="0"/>
              <w:adjustRightInd w:val="0"/>
              <w:spacing w:before="120" w:after="120"/>
              <w:jc w:val="both"/>
              <w:rPr>
                <w:rFonts w:ascii="Garamond" w:eastAsia="MS Mincho" w:hAnsi="Garamond" w:cstheme="minorHAnsi"/>
                <w:sz w:val="22"/>
                <w:szCs w:val="22"/>
                <w:highlight w:val="yellow"/>
                <w:lang w:bidi="en-US"/>
              </w:rPr>
            </w:pPr>
            <w:r w:rsidRPr="00A5626D">
              <w:rPr>
                <w:rFonts w:ascii="Garamond" w:hAnsi="Garamond" w:cstheme="minorHAnsi"/>
                <w:sz w:val="22"/>
                <w:szCs w:val="22"/>
                <w:highlight w:val="yellow"/>
                <w:lang w:bidi="en-US"/>
              </w:rPr>
              <w:t xml:space="preserve">код ОР – указывается код объекта регулирования в формате </w:t>
            </w:r>
            <w:r w:rsidRPr="00A5626D">
              <w:rPr>
                <w:rFonts w:ascii="Garamond" w:hAnsi="Garamond" w:cstheme="minorHAnsi"/>
                <w:sz w:val="22"/>
                <w:szCs w:val="22"/>
                <w:highlight w:val="yellow"/>
                <w:lang w:val="en-US" w:bidi="en-US"/>
              </w:rPr>
              <w:t>ORXXXXXX</w:t>
            </w:r>
            <w:r w:rsidRPr="00A5626D">
              <w:rPr>
                <w:rFonts w:ascii="Garamond" w:hAnsi="Garamond" w:cstheme="minorHAnsi"/>
                <w:sz w:val="22"/>
                <w:szCs w:val="22"/>
                <w:highlight w:val="yellow"/>
                <w:lang w:bidi="en-US"/>
              </w:rPr>
              <w:t xml:space="preserve">. Код ОР </w:t>
            </w:r>
            <w:r w:rsidRPr="00A5626D">
              <w:rPr>
                <w:rFonts w:ascii="Garamond" w:eastAsia="MS Mincho" w:hAnsi="Garamond" w:cstheme="minorHAnsi"/>
                <w:sz w:val="22"/>
                <w:szCs w:val="22"/>
                <w:highlight w:val="yellow"/>
                <w:lang w:bidi="en-US"/>
              </w:rPr>
              <w:t>состоит из 8 (восьми) символов, включающих строчные или прописные буквы латинского алфавита и (или) цифры</w:t>
            </w:r>
            <w:r w:rsidR="00B77857" w:rsidRPr="00A5626D">
              <w:rPr>
                <w:rFonts w:ascii="Garamond" w:eastAsia="MS Mincho" w:hAnsi="Garamond" w:cstheme="minorHAnsi"/>
                <w:sz w:val="22"/>
                <w:szCs w:val="22"/>
                <w:highlight w:val="yellow"/>
                <w:lang w:bidi="en-US"/>
              </w:rPr>
              <w:t>.</w:t>
            </w:r>
          </w:p>
          <w:p w14:paraId="2903099D" w14:textId="77777777" w:rsidR="00295C6D" w:rsidRPr="00A5626D" w:rsidRDefault="00295C6D" w:rsidP="00B77857">
            <w:pPr>
              <w:spacing w:before="120" w:after="120"/>
              <w:ind w:left="360"/>
              <w:jc w:val="both"/>
              <w:rPr>
                <w:rFonts w:ascii="Garamond" w:hAnsi="Garamond" w:cstheme="minorHAnsi"/>
                <w:sz w:val="22"/>
                <w:szCs w:val="22"/>
                <w:highlight w:val="yellow"/>
                <w:lang w:bidi="en-US"/>
              </w:rPr>
            </w:pPr>
            <w:r w:rsidRPr="00A5626D">
              <w:rPr>
                <w:rFonts w:ascii="Garamond" w:hAnsi="Garamond" w:cstheme="minorHAnsi"/>
                <w:sz w:val="22"/>
                <w:szCs w:val="22"/>
                <w:highlight w:val="yellow"/>
                <w:lang w:bidi="en-US"/>
              </w:rPr>
              <w:t>Пример наименования файла: 21070_5405270341_202203_20220403104425_OR</w:t>
            </w:r>
            <w:r w:rsidRPr="00A5626D">
              <w:rPr>
                <w:rFonts w:ascii="Garamond" w:eastAsia="MS Mincho" w:hAnsi="Garamond" w:cstheme="minorHAnsi"/>
                <w:sz w:val="22"/>
                <w:szCs w:val="22"/>
                <w:highlight w:val="yellow"/>
                <w:lang w:val="en-US" w:bidi="en-US"/>
              </w:rPr>
              <w:t>EXMPLE</w:t>
            </w:r>
            <w:r w:rsidRPr="00A5626D">
              <w:rPr>
                <w:rFonts w:ascii="Garamond" w:hAnsi="Garamond" w:cstheme="minorHAnsi"/>
                <w:sz w:val="22"/>
                <w:szCs w:val="22"/>
                <w:highlight w:val="yellow"/>
                <w:lang w:bidi="en-US"/>
              </w:rPr>
              <w:t>.xml</w:t>
            </w:r>
          </w:p>
          <w:p w14:paraId="74949AB5" w14:textId="77777777" w:rsidR="00295C6D" w:rsidRPr="00A5626D" w:rsidRDefault="00295C6D" w:rsidP="00B77857">
            <w:pPr>
              <w:spacing w:before="120" w:after="120"/>
              <w:ind w:left="360"/>
              <w:jc w:val="both"/>
              <w:rPr>
                <w:rFonts w:ascii="Garamond" w:hAnsi="Garamond" w:cstheme="minorHAnsi"/>
                <w:sz w:val="22"/>
                <w:szCs w:val="22"/>
                <w:highlight w:val="yellow"/>
                <w:lang w:bidi="en-US"/>
              </w:rPr>
            </w:pPr>
          </w:p>
          <w:p w14:paraId="1025881E" w14:textId="44A03C35" w:rsidR="00295C6D" w:rsidRPr="00A5626D" w:rsidRDefault="00295C6D" w:rsidP="00B77857">
            <w:pPr>
              <w:widowControl w:val="0"/>
              <w:numPr>
                <w:ilvl w:val="0"/>
                <w:numId w:val="276"/>
              </w:numPr>
              <w:tabs>
                <w:tab w:val="left" w:pos="960"/>
              </w:tabs>
              <w:suppressAutoHyphens w:val="0"/>
              <w:autoSpaceDE w:val="0"/>
              <w:autoSpaceDN w:val="0"/>
              <w:adjustRightInd w:val="0"/>
              <w:spacing w:before="120" w:after="120"/>
              <w:ind w:left="720"/>
              <w:jc w:val="both"/>
              <w:rPr>
                <w:rFonts w:ascii="Garamond" w:hAnsi="Garamond" w:cstheme="minorHAnsi"/>
                <w:sz w:val="22"/>
                <w:szCs w:val="22"/>
                <w:highlight w:val="yellow"/>
              </w:rPr>
            </w:pPr>
            <w:r w:rsidRPr="00A5626D">
              <w:rPr>
                <w:rFonts w:ascii="Garamond" w:eastAsia="MS Mincho" w:hAnsi="Garamond" w:cstheme="minorHAnsi"/>
                <w:b/>
                <w:sz w:val="22"/>
                <w:szCs w:val="22"/>
                <w:highlight w:val="yellow"/>
              </w:rPr>
              <w:t>Описание</w:t>
            </w:r>
            <w:r w:rsidRPr="00A5626D">
              <w:rPr>
                <w:rFonts w:ascii="Garamond" w:eastAsia="MS Mincho" w:hAnsi="Garamond" w:cstheme="minorHAnsi"/>
                <w:b/>
                <w:i/>
                <w:iCs/>
                <w:sz w:val="22"/>
                <w:szCs w:val="22"/>
                <w:highlight w:val="yellow"/>
              </w:rPr>
              <w:t xml:space="preserve"> </w:t>
            </w:r>
            <w:r w:rsidRPr="00A5626D">
              <w:rPr>
                <w:rFonts w:ascii="Garamond" w:eastAsia="MS Mincho" w:hAnsi="Garamond" w:cstheme="minorHAnsi"/>
                <w:b/>
                <w:iCs/>
                <w:sz w:val="22"/>
                <w:szCs w:val="22"/>
                <w:highlight w:val="yellow"/>
              </w:rPr>
              <w:t>структуры документа</w:t>
            </w:r>
          </w:p>
          <w:p w14:paraId="0AE3AAA3" w14:textId="5F9D651E" w:rsidR="00295C6D" w:rsidRPr="00A5626D" w:rsidRDefault="00295C6D" w:rsidP="00B77857">
            <w:pPr>
              <w:numPr>
                <w:ilvl w:val="1"/>
                <w:numId w:val="277"/>
              </w:numPr>
              <w:suppressAutoHyphens w:val="0"/>
              <w:spacing w:before="120" w:after="120"/>
              <w:rPr>
                <w:rFonts w:ascii="Garamond" w:hAnsi="Garamond" w:cstheme="minorHAnsi"/>
                <w:sz w:val="22"/>
                <w:szCs w:val="22"/>
                <w:highlight w:val="yellow"/>
              </w:rPr>
            </w:pPr>
            <w:r w:rsidRPr="00A5626D">
              <w:rPr>
                <w:rFonts w:ascii="Garamond" w:eastAsia="MS Mincho" w:hAnsi="Garamond" w:cstheme="minorHAnsi"/>
                <w:sz w:val="22"/>
                <w:szCs w:val="22"/>
                <w:highlight w:val="yellow"/>
              </w:rPr>
              <w:t>Описание корневого элемента &lt;</w:t>
            </w:r>
            <w:r w:rsidRPr="00A5626D">
              <w:rPr>
                <w:rFonts w:ascii="Garamond" w:eastAsia="MS Mincho" w:hAnsi="Garamond" w:cstheme="minorHAnsi"/>
                <w:sz w:val="22"/>
                <w:szCs w:val="22"/>
                <w:highlight w:val="yellow"/>
                <w:lang w:val="en-US"/>
              </w:rPr>
              <w:t>package</w:t>
            </w:r>
            <w:r w:rsidRPr="00A5626D">
              <w:rPr>
                <w:rFonts w:ascii="Garamond" w:eastAsia="MS Mincho" w:hAnsi="Garamond" w:cstheme="minorHAnsi"/>
                <w:sz w:val="22"/>
                <w:szCs w:val="22"/>
                <w:highlight w:val="yellow"/>
              </w:rPr>
              <w:t>&gt;</w:t>
            </w:r>
          </w:p>
          <w:p w14:paraId="5B15EA7B" w14:textId="1C49D9BF" w:rsidR="00295C6D" w:rsidRPr="00A5626D" w:rsidRDefault="00295C6D" w:rsidP="00B77857">
            <w:pPr>
              <w:widowControl w:val="0"/>
              <w:autoSpaceDE w:val="0"/>
              <w:autoSpaceDN w:val="0"/>
              <w:adjustRightInd w:val="0"/>
              <w:spacing w:before="120" w:after="120"/>
              <w:jc w:val="both"/>
              <w:rPr>
                <w:rFonts w:ascii="Garamond" w:eastAsia="MS Mincho" w:hAnsi="Garamond" w:cstheme="minorHAnsi"/>
                <w:sz w:val="22"/>
                <w:szCs w:val="22"/>
                <w:highlight w:val="yellow"/>
              </w:rPr>
            </w:pPr>
            <w:r w:rsidRPr="00A5626D">
              <w:rPr>
                <w:rFonts w:ascii="Garamond" w:hAnsi="Garamond" w:cstheme="minorHAnsi"/>
                <w:sz w:val="22"/>
                <w:szCs w:val="22"/>
                <w:highlight w:val="yellow"/>
              </w:rPr>
              <w:t>Элемент &lt;</w:t>
            </w:r>
            <w:r w:rsidRPr="00A5626D">
              <w:rPr>
                <w:rFonts w:ascii="Garamond" w:eastAsia="MS Mincho" w:hAnsi="Garamond" w:cstheme="minorHAnsi"/>
                <w:b/>
                <w:sz w:val="22"/>
                <w:szCs w:val="22"/>
                <w:highlight w:val="yellow"/>
                <w:lang w:val="en-US"/>
              </w:rPr>
              <w:t>package</w:t>
            </w:r>
            <w:r w:rsidRPr="00A5626D">
              <w:rPr>
                <w:rFonts w:ascii="Garamond" w:hAnsi="Garamond" w:cstheme="minorHAnsi"/>
                <w:sz w:val="22"/>
                <w:szCs w:val="22"/>
                <w:highlight w:val="yellow"/>
              </w:rPr>
              <w:t>&gt; является обязательным корневым элементом.</w:t>
            </w:r>
          </w:p>
          <w:p w14:paraId="72D16485" w14:textId="77777777" w:rsidR="00295C6D" w:rsidRPr="00A5626D" w:rsidRDefault="00295C6D" w:rsidP="00B77857">
            <w:pPr>
              <w:widowControl w:val="0"/>
              <w:autoSpaceDE w:val="0"/>
              <w:autoSpaceDN w:val="0"/>
              <w:adjustRightInd w:val="0"/>
              <w:spacing w:before="120" w:after="120"/>
              <w:jc w:val="both"/>
              <w:rPr>
                <w:rFonts w:ascii="Garamond" w:eastAsia="MS Mincho" w:hAnsi="Garamond" w:cstheme="minorHAnsi"/>
                <w:sz w:val="22"/>
                <w:szCs w:val="22"/>
                <w:highlight w:val="yellow"/>
              </w:rPr>
            </w:pPr>
            <w:r w:rsidRPr="00A5626D">
              <w:rPr>
                <w:rFonts w:ascii="Garamond" w:eastAsia="MS Mincho" w:hAnsi="Garamond" w:cstheme="minorHAnsi"/>
                <w:sz w:val="22"/>
                <w:szCs w:val="22"/>
                <w:highlight w:val="yellow"/>
              </w:rPr>
              <w:t>В электронном документе допускается наличие только одного корневого элемента &lt;</w:t>
            </w:r>
            <w:r w:rsidRPr="00A5626D">
              <w:rPr>
                <w:rFonts w:ascii="Garamond" w:eastAsia="MS Mincho" w:hAnsi="Garamond" w:cstheme="minorHAnsi"/>
                <w:b/>
                <w:sz w:val="22"/>
                <w:szCs w:val="22"/>
                <w:highlight w:val="yellow"/>
                <w:lang w:val="en-US"/>
              </w:rPr>
              <w:t>package</w:t>
            </w:r>
            <w:r w:rsidRPr="00A5626D">
              <w:rPr>
                <w:rFonts w:ascii="Garamond" w:eastAsia="MS Mincho" w:hAnsi="Garamond" w:cstheme="minorHAnsi"/>
                <w:sz w:val="22"/>
                <w:szCs w:val="22"/>
                <w:highlight w:val="yellow"/>
              </w:rPr>
              <w:t>&gt;.</w:t>
            </w:r>
          </w:p>
          <w:p w14:paraId="660A3B79" w14:textId="6CE85BAC" w:rsidR="00295C6D" w:rsidRPr="00A5626D" w:rsidRDefault="00295C6D" w:rsidP="00B77857">
            <w:pPr>
              <w:widowControl w:val="0"/>
              <w:autoSpaceDE w:val="0"/>
              <w:autoSpaceDN w:val="0"/>
              <w:adjustRightInd w:val="0"/>
              <w:spacing w:before="120" w:after="120"/>
              <w:jc w:val="both"/>
              <w:rPr>
                <w:rFonts w:ascii="Garamond" w:eastAsia="MS Mincho" w:hAnsi="Garamond" w:cstheme="minorHAnsi"/>
                <w:sz w:val="22"/>
                <w:szCs w:val="22"/>
                <w:highlight w:val="yellow"/>
              </w:rPr>
            </w:pPr>
            <w:r w:rsidRPr="00A5626D">
              <w:rPr>
                <w:rFonts w:ascii="Garamond" w:hAnsi="Garamond" w:cstheme="minorHAnsi"/>
                <w:sz w:val="22"/>
                <w:szCs w:val="22"/>
                <w:highlight w:val="yellow"/>
              </w:rPr>
              <w:t>Атрибутами элемента &lt;</w:t>
            </w:r>
            <w:r w:rsidRPr="00A5626D">
              <w:rPr>
                <w:rFonts w:ascii="Garamond" w:eastAsia="MS Mincho" w:hAnsi="Garamond" w:cstheme="minorHAnsi"/>
                <w:b/>
                <w:sz w:val="22"/>
                <w:szCs w:val="22"/>
                <w:highlight w:val="yellow"/>
                <w:lang w:val="en-US"/>
              </w:rPr>
              <w:t>package</w:t>
            </w:r>
            <w:r w:rsidRPr="00A5626D">
              <w:rPr>
                <w:rFonts w:ascii="Garamond" w:hAnsi="Garamond" w:cstheme="minorHAnsi"/>
                <w:sz w:val="22"/>
                <w:szCs w:val="22"/>
                <w:highlight w:val="yellow"/>
              </w:rPr>
              <w:t>&gt; являются:</w:t>
            </w:r>
          </w:p>
          <w:p w14:paraId="31988639" w14:textId="39A8E24C" w:rsidR="00295C6D" w:rsidRPr="00A5626D" w:rsidRDefault="00295C6D" w:rsidP="00B77857">
            <w:pPr>
              <w:widowControl w:val="0"/>
              <w:numPr>
                <w:ilvl w:val="0"/>
                <w:numId w:val="240"/>
              </w:numPr>
              <w:suppressAutoHyphens w:val="0"/>
              <w:autoSpaceDE w:val="0"/>
              <w:autoSpaceDN w:val="0"/>
              <w:adjustRightInd w:val="0"/>
              <w:spacing w:before="120" w:after="120"/>
              <w:ind w:left="426"/>
              <w:jc w:val="both"/>
              <w:rPr>
                <w:rFonts w:ascii="Garamond" w:hAnsi="Garamond" w:cstheme="minorHAnsi"/>
                <w:sz w:val="22"/>
                <w:szCs w:val="22"/>
                <w:highlight w:val="yellow"/>
              </w:rPr>
            </w:pPr>
            <w:r w:rsidRPr="00A5626D">
              <w:rPr>
                <w:rFonts w:ascii="Garamond" w:hAnsi="Garamond" w:cstheme="minorHAnsi"/>
                <w:sz w:val="22"/>
                <w:szCs w:val="22"/>
                <w:highlight w:val="yellow"/>
              </w:rPr>
              <w:t>class</w:t>
            </w:r>
            <w:r w:rsidR="009B5F03" w:rsidRPr="00A5626D">
              <w:rPr>
                <w:rFonts w:ascii="Garamond" w:hAnsi="Garamond" w:cstheme="minorHAnsi"/>
                <w:sz w:val="22"/>
                <w:szCs w:val="22"/>
                <w:highlight w:val="yellow"/>
              </w:rPr>
              <w:t xml:space="preserve"> – </w:t>
            </w:r>
            <w:r w:rsidRPr="00A5626D">
              <w:rPr>
                <w:rFonts w:ascii="Garamond" w:eastAsia="MS Mincho" w:hAnsi="Garamond" w:cstheme="minorHAnsi"/>
                <w:sz w:val="22"/>
                <w:szCs w:val="22"/>
                <w:highlight w:val="yellow"/>
              </w:rPr>
              <w:t>обязательный атрибут, содержит данные о типе электронного документа. Значение атрибута class должно быть равно</w:t>
            </w:r>
            <w:r w:rsidRPr="00A5626D">
              <w:rPr>
                <w:rFonts w:ascii="Garamond" w:hAnsi="Garamond" w:cstheme="minorHAnsi"/>
                <w:sz w:val="22"/>
                <w:szCs w:val="22"/>
                <w:highlight w:val="yellow"/>
              </w:rPr>
              <w:t xml:space="preserve"> 21070.</w:t>
            </w:r>
          </w:p>
          <w:p w14:paraId="4361F673" w14:textId="77777777" w:rsidR="00295C6D" w:rsidRPr="00A5626D" w:rsidRDefault="00295C6D" w:rsidP="00B77857">
            <w:pPr>
              <w:widowControl w:val="0"/>
              <w:numPr>
                <w:ilvl w:val="0"/>
                <w:numId w:val="240"/>
              </w:numPr>
              <w:suppressAutoHyphens w:val="0"/>
              <w:autoSpaceDE w:val="0"/>
              <w:autoSpaceDN w:val="0"/>
              <w:adjustRightInd w:val="0"/>
              <w:spacing w:before="120" w:after="120"/>
              <w:ind w:left="426"/>
              <w:jc w:val="both"/>
              <w:rPr>
                <w:rFonts w:ascii="Garamond" w:eastAsia="MS Mincho" w:hAnsi="Garamond" w:cstheme="minorHAnsi"/>
                <w:sz w:val="22"/>
                <w:szCs w:val="22"/>
                <w:highlight w:val="yellow"/>
              </w:rPr>
            </w:pPr>
            <w:r w:rsidRPr="00A5626D">
              <w:rPr>
                <w:rFonts w:ascii="Garamond" w:hAnsi="Garamond" w:cstheme="minorHAnsi"/>
                <w:sz w:val="22"/>
                <w:szCs w:val="22"/>
                <w:highlight w:val="yellow"/>
              </w:rPr>
              <w:t>version</w:t>
            </w:r>
            <w:r w:rsidRPr="00A5626D">
              <w:rPr>
                <w:rFonts w:ascii="Garamond" w:eastAsia="MS Mincho" w:hAnsi="Garamond" w:cstheme="minorHAnsi"/>
                <w:sz w:val="22"/>
                <w:szCs w:val="22"/>
                <w:highlight w:val="yellow"/>
              </w:rPr>
              <w:t xml:space="preserve"> – обязательный атрибут, содержит данные о версии формата (версии набора элементов). Данный атрибут определяет версию макета 21070 (равен 1);</w:t>
            </w:r>
          </w:p>
          <w:p w14:paraId="20386708" w14:textId="61E5CCA8" w:rsidR="00295C6D" w:rsidRPr="00A5626D" w:rsidRDefault="00295C6D" w:rsidP="00B77857">
            <w:pPr>
              <w:widowControl w:val="0"/>
              <w:numPr>
                <w:ilvl w:val="0"/>
                <w:numId w:val="240"/>
              </w:numPr>
              <w:suppressAutoHyphens w:val="0"/>
              <w:autoSpaceDE w:val="0"/>
              <w:autoSpaceDN w:val="0"/>
              <w:adjustRightInd w:val="0"/>
              <w:spacing w:before="120" w:after="120"/>
              <w:ind w:left="426"/>
              <w:jc w:val="both"/>
              <w:rPr>
                <w:rFonts w:ascii="Garamond" w:hAnsi="Garamond" w:cstheme="minorHAnsi"/>
                <w:sz w:val="22"/>
                <w:szCs w:val="22"/>
                <w:highlight w:val="yellow"/>
              </w:rPr>
            </w:pPr>
            <w:r w:rsidRPr="00A5626D">
              <w:rPr>
                <w:rFonts w:ascii="Garamond" w:hAnsi="Garamond" w:cstheme="minorHAnsi"/>
                <w:sz w:val="22"/>
                <w:szCs w:val="22"/>
                <w:highlight w:val="yellow"/>
              </w:rPr>
              <w:t>sender – обязательный атрибут, содержит идентификационный номер налогоплательщика – агрегатора, предоставляющего информацию. Длина поля – 10 знаков</w:t>
            </w:r>
            <w:r w:rsidR="00B77857" w:rsidRPr="00A5626D">
              <w:rPr>
                <w:rFonts w:ascii="Garamond" w:hAnsi="Garamond" w:cstheme="minorHAnsi"/>
                <w:sz w:val="22"/>
                <w:szCs w:val="22"/>
                <w:highlight w:val="yellow"/>
              </w:rPr>
              <w:t>;</w:t>
            </w:r>
          </w:p>
          <w:p w14:paraId="2ED55BCC" w14:textId="53E274D3" w:rsidR="00295C6D" w:rsidRPr="00A5626D" w:rsidRDefault="00295C6D" w:rsidP="00B77857">
            <w:pPr>
              <w:widowControl w:val="0"/>
              <w:numPr>
                <w:ilvl w:val="0"/>
                <w:numId w:val="240"/>
              </w:numPr>
              <w:suppressAutoHyphens w:val="0"/>
              <w:autoSpaceDE w:val="0"/>
              <w:autoSpaceDN w:val="0"/>
              <w:adjustRightInd w:val="0"/>
              <w:spacing w:before="120" w:after="120"/>
              <w:ind w:left="426"/>
              <w:jc w:val="both"/>
              <w:rPr>
                <w:rFonts w:ascii="Garamond" w:eastAsia="MS Mincho" w:hAnsi="Garamond" w:cstheme="minorHAnsi"/>
                <w:sz w:val="22"/>
                <w:szCs w:val="22"/>
                <w:highlight w:val="yellow"/>
              </w:rPr>
            </w:pPr>
            <w:r w:rsidRPr="00A5626D">
              <w:rPr>
                <w:rFonts w:ascii="Garamond" w:hAnsi="Garamond" w:cstheme="minorHAnsi"/>
                <w:sz w:val="22"/>
                <w:szCs w:val="22"/>
                <w:highlight w:val="yellow"/>
              </w:rPr>
              <w:t xml:space="preserve">targetmonth </w:t>
            </w:r>
            <w:r w:rsidRPr="00A5626D">
              <w:rPr>
                <w:rFonts w:ascii="Garamond" w:eastAsia="MS Mincho" w:hAnsi="Garamond" w:cstheme="minorHAnsi"/>
                <w:sz w:val="22"/>
                <w:szCs w:val="22"/>
                <w:highlight w:val="yellow"/>
              </w:rPr>
              <w:t xml:space="preserve">– обязательный атрибут, содержит дату отчетного периода, за который формируется документ. Дата в формате «ГГГГММ», где </w:t>
            </w:r>
            <w:r w:rsidR="00B77857" w:rsidRPr="00A5626D">
              <w:rPr>
                <w:rFonts w:ascii="Garamond" w:eastAsia="MS Mincho" w:hAnsi="Garamond" w:cstheme="minorHAnsi"/>
                <w:sz w:val="22"/>
                <w:szCs w:val="22"/>
                <w:highlight w:val="yellow"/>
              </w:rPr>
              <w:t>«</w:t>
            </w:r>
            <w:r w:rsidRPr="00A5626D">
              <w:rPr>
                <w:rFonts w:ascii="Garamond" w:eastAsia="MS Mincho" w:hAnsi="Garamond" w:cstheme="minorHAnsi"/>
                <w:sz w:val="22"/>
                <w:szCs w:val="22"/>
                <w:highlight w:val="yellow"/>
              </w:rPr>
              <w:t>ГГГГ</w:t>
            </w:r>
            <w:r w:rsidR="00B77857" w:rsidRPr="00A5626D">
              <w:rPr>
                <w:rFonts w:ascii="Garamond" w:eastAsia="MS Mincho" w:hAnsi="Garamond" w:cstheme="minorHAnsi"/>
                <w:sz w:val="22"/>
                <w:szCs w:val="22"/>
                <w:highlight w:val="yellow"/>
              </w:rPr>
              <w:t>»</w:t>
            </w:r>
            <w:r w:rsidRPr="00A5626D">
              <w:rPr>
                <w:rFonts w:ascii="Garamond" w:eastAsia="MS Mincho" w:hAnsi="Garamond" w:cstheme="minorHAnsi"/>
                <w:sz w:val="22"/>
                <w:szCs w:val="22"/>
                <w:highlight w:val="yellow"/>
              </w:rPr>
              <w:t xml:space="preserve"> – год, </w:t>
            </w:r>
            <w:r w:rsidR="00B77857" w:rsidRPr="00A5626D">
              <w:rPr>
                <w:rFonts w:ascii="Garamond" w:eastAsia="MS Mincho" w:hAnsi="Garamond" w:cstheme="minorHAnsi"/>
                <w:sz w:val="22"/>
                <w:szCs w:val="22"/>
                <w:highlight w:val="yellow"/>
              </w:rPr>
              <w:t>«</w:t>
            </w:r>
            <w:r w:rsidRPr="00A5626D">
              <w:rPr>
                <w:rFonts w:ascii="Garamond" w:eastAsia="MS Mincho" w:hAnsi="Garamond" w:cstheme="minorHAnsi"/>
                <w:sz w:val="22"/>
                <w:szCs w:val="22"/>
                <w:highlight w:val="yellow"/>
              </w:rPr>
              <w:t>ММ</w:t>
            </w:r>
            <w:r w:rsidR="00B77857" w:rsidRPr="00A5626D">
              <w:rPr>
                <w:rFonts w:ascii="Garamond" w:eastAsia="MS Mincho" w:hAnsi="Garamond" w:cstheme="minorHAnsi"/>
                <w:sz w:val="22"/>
                <w:szCs w:val="22"/>
                <w:highlight w:val="yellow"/>
              </w:rPr>
              <w:t>»</w:t>
            </w:r>
            <w:r w:rsidRPr="00A5626D">
              <w:rPr>
                <w:rFonts w:ascii="Garamond" w:eastAsia="MS Mincho" w:hAnsi="Garamond" w:cstheme="minorHAnsi"/>
                <w:sz w:val="22"/>
                <w:szCs w:val="22"/>
                <w:highlight w:val="yellow"/>
              </w:rPr>
              <w:t xml:space="preserve"> – порядковый номер месяца. Длина поля – 6 знаков;</w:t>
            </w:r>
          </w:p>
          <w:p w14:paraId="4A2F7C4C" w14:textId="01A4A4F0" w:rsidR="00295C6D" w:rsidRPr="00A5626D" w:rsidRDefault="00295C6D" w:rsidP="00B77857">
            <w:pPr>
              <w:widowControl w:val="0"/>
              <w:numPr>
                <w:ilvl w:val="0"/>
                <w:numId w:val="240"/>
              </w:numPr>
              <w:suppressAutoHyphens w:val="0"/>
              <w:autoSpaceDE w:val="0"/>
              <w:autoSpaceDN w:val="0"/>
              <w:adjustRightInd w:val="0"/>
              <w:spacing w:before="120" w:after="120"/>
              <w:ind w:left="426"/>
              <w:jc w:val="both"/>
              <w:rPr>
                <w:rFonts w:ascii="Garamond" w:hAnsi="Garamond" w:cstheme="minorHAnsi"/>
                <w:sz w:val="22"/>
                <w:szCs w:val="22"/>
                <w:highlight w:val="yellow"/>
              </w:rPr>
            </w:pPr>
            <w:r w:rsidRPr="00A5626D">
              <w:rPr>
                <w:rFonts w:ascii="Garamond" w:hAnsi="Garamond" w:cstheme="minorHAnsi"/>
                <w:sz w:val="22"/>
                <w:szCs w:val="22"/>
                <w:highlight w:val="yellow"/>
              </w:rPr>
              <w:t xml:space="preserve">created – обязательный атрибут, содержит дату и время создания электронного документа. Дата и время создания электронного документа предоставляются в московском времени в формате </w:t>
            </w:r>
            <w:r w:rsidR="00B77857" w:rsidRPr="00A5626D">
              <w:rPr>
                <w:rFonts w:ascii="Garamond" w:hAnsi="Garamond" w:cstheme="minorHAnsi"/>
                <w:sz w:val="22"/>
                <w:szCs w:val="22"/>
                <w:highlight w:val="yellow"/>
              </w:rPr>
              <w:lastRenderedPageBreak/>
              <w:t>«</w:t>
            </w:r>
            <w:r w:rsidRPr="00A5626D">
              <w:rPr>
                <w:rFonts w:ascii="Garamond" w:hAnsi="Garamond" w:cstheme="minorHAnsi"/>
                <w:sz w:val="22"/>
                <w:szCs w:val="22"/>
                <w:highlight w:val="yellow"/>
              </w:rPr>
              <w:t>ГГГГММДДччммсс</w:t>
            </w:r>
            <w:r w:rsidR="00B77857" w:rsidRPr="00A5626D">
              <w:rPr>
                <w:rFonts w:ascii="Garamond" w:hAnsi="Garamond" w:cstheme="minorHAnsi"/>
                <w:sz w:val="22"/>
                <w:szCs w:val="22"/>
                <w:highlight w:val="yellow"/>
              </w:rPr>
              <w:t>»</w:t>
            </w:r>
            <w:r w:rsidRPr="00A5626D">
              <w:rPr>
                <w:rFonts w:ascii="Garamond" w:hAnsi="Garamond" w:cstheme="minorHAnsi"/>
                <w:sz w:val="22"/>
                <w:szCs w:val="22"/>
                <w:highlight w:val="yellow"/>
              </w:rPr>
              <w:t xml:space="preserve">, где </w:t>
            </w:r>
            <w:r w:rsidR="00B77857" w:rsidRPr="00A5626D">
              <w:rPr>
                <w:rFonts w:ascii="Garamond" w:hAnsi="Garamond" w:cstheme="minorHAnsi"/>
                <w:sz w:val="22"/>
                <w:szCs w:val="22"/>
                <w:highlight w:val="yellow"/>
              </w:rPr>
              <w:t>«</w:t>
            </w:r>
            <w:r w:rsidRPr="00A5626D">
              <w:rPr>
                <w:rFonts w:ascii="Garamond" w:hAnsi="Garamond" w:cstheme="minorHAnsi"/>
                <w:sz w:val="22"/>
                <w:szCs w:val="22"/>
                <w:highlight w:val="yellow"/>
              </w:rPr>
              <w:t>ГГГГ</w:t>
            </w:r>
            <w:r w:rsidR="00B77857" w:rsidRPr="00A5626D">
              <w:rPr>
                <w:rFonts w:ascii="Garamond" w:hAnsi="Garamond" w:cstheme="minorHAnsi"/>
                <w:sz w:val="22"/>
                <w:szCs w:val="22"/>
                <w:highlight w:val="yellow"/>
              </w:rPr>
              <w:t>»</w:t>
            </w:r>
            <w:r w:rsidRPr="00A5626D">
              <w:rPr>
                <w:rFonts w:ascii="Garamond" w:hAnsi="Garamond" w:cstheme="minorHAnsi"/>
                <w:sz w:val="22"/>
                <w:szCs w:val="22"/>
                <w:highlight w:val="yellow"/>
              </w:rPr>
              <w:t xml:space="preserve"> – год, </w:t>
            </w:r>
            <w:r w:rsidR="00B77857" w:rsidRPr="00A5626D">
              <w:rPr>
                <w:rFonts w:ascii="Garamond" w:hAnsi="Garamond" w:cstheme="minorHAnsi"/>
                <w:sz w:val="22"/>
                <w:szCs w:val="22"/>
                <w:highlight w:val="yellow"/>
              </w:rPr>
              <w:t>«</w:t>
            </w:r>
            <w:r w:rsidRPr="00A5626D">
              <w:rPr>
                <w:rFonts w:ascii="Garamond" w:hAnsi="Garamond" w:cstheme="minorHAnsi"/>
                <w:sz w:val="22"/>
                <w:szCs w:val="22"/>
                <w:highlight w:val="yellow"/>
              </w:rPr>
              <w:t>ММ</w:t>
            </w:r>
            <w:r w:rsidR="00B77857" w:rsidRPr="00A5626D">
              <w:rPr>
                <w:rFonts w:ascii="Garamond" w:hAnsi="Garamond" w:cstheme="minorHAnsi"/>
                <w:sz w:val="22"/>
                <w:szCs w:val="22"/>
                <w:highlight w:val="yellow"/>
              </w:rPr>
              <w:t>»</w:t>
            </w:r>
            <w:r w:rsidRPr="00A5626D">
              <w:rPr>
                <w:rFonts w:ascii="Garamond" w:hAnsi="Garamond" w:cstheme="minorHAnsi"/>
                <w:sz w:val="22"/>
                <w:szCs w:val="22"/>
                <w:highlight w:val="yellow"/>
              </w:rPr>
              <w:t xml:space="preserve"> – порядковый номер месяца, </w:t>
            </w:r>
            <w:r w:rsidR="00B77857" w:rsidRPr="00A5626D">
              <w:rPr>
                <w:rFonts w:ascii="Garamond" w:hAnsi="Garamond" w:cstheme="minorHAnsi"/>
                <w:sz w:val="22"/>
                <w:szCs w:val="22"/>
                <w:highlight w:val="yellow"/>
              </w:rPr>
              <w:t>«</w:t>
            </w:r>
            <w:r w:rsidRPr="00A5626D">
              <w:rPr>
                <w:rFonts w:ascii="Garamond" w:hAnsi="Garamond" w:cstheme="minorHAnsi"/>
                <w:sz w:val="22"/>
                <w:szCs w:val="22"/>
                <w:highlight w:val="yellow"/>
              </w:rPr>
              <w:t>ДД</w:t>
            </w:r>
            <w:r w:rsidR="00B77857" w:rsidRPr="00A5626D">
              <w:rPr>
                <w:rFonts w:ascii="Garamond" w:hAnsi="Garamond" w:cstheme="minorHAnsi"/>
                <w:sz w:val="22"/>
                <w:szCs w:val="22"/>
                <w:highlight w:val="yellow"/>
              </w:rPr>
              <w:t>»</w:t>
            </w:r>
            <w:r w:rsidRPr="00A5626D">
              <w:rPr>
                <w:rFonts w:ascii="Garamond" w:hAnsi="Garamond" w:cstheme="minorHAnsi"/>
                <w:sz w:val="22"/>
                <w:szCs w:val="22"/>
                <w:highlight w:val="yellow"/>
              </w:rPr>
              <w:t xml:space="preserve"> – день, </w:t>
            </w:r>
            <w:r w:rsidR="00B77857" w:rsidRPr="00A5626D">
              <w:rPr>
                <w:rFonts w:ascii="Garamond" w:hAnsi="Garamond" w:cstheme="minorHAnsi"/>
                <w:sz w:val="22"/>
                <w:szCs w:val="22"/>
                <w:highlight w:val="yellow"/>
              </w:rPr>
              <w:t>«</w:t>
            </w:r>
            <w:r w:rsidRPr="00A5626D">
              <w:rPr>
                <w:rFonts w:ascii="Garamond" w:hAnsi="Garamond" w:cstheme="minorHAnsi"/>
                <w:sz w:val="22"/>
                <w:szCs w:val="22"/>
                <w:highlight w:val="yellow"/>
              </w:rPr>
              <w:t>чч</w:t>
            </w:r>
            <w:r w:rsidR="00B77857" w:rsidRPr="00A5626D">
              <w:rPr>
                <w:rFonts w:ascii="Garamond" w:hAnsi="Garamond" w:cstheme="minorHAnsi"/>
                <w:sz w:val="22"/>
                <w:szCs w:val="22"/>
                <w:highlight w:val="yellow"/>
              </w:rPr>
              <w:t>»</w:t>
            </w:r>
            <w:r w:rsidRPr="00A5626D">
              <w:rPr>
                <w:rFonts w:ascii="Garamond" w:hAnsi="Garamond" w:cstheme="minorHAnsi"/>
                <w:sz w:val="22"/>
                <w:szCs w:val="22"/>
                <w:highlight w:val="yellow"/>
              </w:rPr>
              <w:t xml:space="preserve"> – час, </w:t>
            </w:r>
            <w:r w:rsidR="00B77857" w:rsidRPr="00A5626D">
              <w:rPr>
                <w:rFonts w:ascii="Garamond" w:hAnsi="Garamond" w:cstheme="minorHAnsi"/>
                <w:sz w:val="22"/>
                <w:szCs w:val="22"/>
                <w:highlight w:val="yellow"/>
              </w:rPr>
              <w:t>«</w:t>
            </w:r>
            <w:r w:rsidRPr="00A5626D">
              <w:rPr>
                <w:rFonts w:ascii="Garamond" w:hAnsi="Garamond" w:cstheme="minorHAnsi"/>
                <w:sz w:val="22"/>
                <w:szCs w:val="22"/>
                <w:highlight w:val="yellow"/>
              </w:rPr>
              <w:t>мм</w:t>
            </w:r>
            <w:r w:rsidR="00B77857" w:rsidRPr="00A5626D">
              <w:rPr>
                <w:rFonts w:ascii="Garamond" w:hAnsi="Garamond" w:cstheme="minorHAnsi"/>
                <w:sz w:val="22"/>
                <w:szCs w:val="22"/>
                <w:highlight w:val="yellow"/>
              </w:rPr>
              <w:t>»</w:t>
            </w:r>
            <w:r w:rsidRPr="00A5626D">
              <w:rPr>
                <w:rFonts w:ascii="Garamond" w:hAnsi="Garamond" w:cstheme="minorHAnsi"/>
                <w:sz w:val="22"/>
                <w:szCs w:val="22"/>
                <w:highlight w:val="yellow"/>
              </w:rPr>
              <w:t xml:space="preserve"> – минуты, </w:t>
            </w:r>
            <w:r w:rsidR="00B77857" w:rsidRPr="00A5626D">
              <w:rPr>
                <w:rFonts w:ascii="Garamond" w:hAnsi="Garamond" w:cstheme="minorHAnsi"/>
                <w:sz w:val="22"/>
                <w:szCs w:val="22"/>
                <w:highlight w:val="yellow"/>
              </w:rPr>
              <w:t>«</w:t>
            </w:r>
            <w:r w:rsidRPr="00A5626D">
              <w:rPr>
                <w:rFonts w:ascii="Garamond" w:hAnsi="Garamond" w:cstheme="minorHAnsi"/>
                <w:sz w:val="22"/>
                <w:szCs w:val="22"/>
                <w:highlight w:val="yellow"/>
              </w:rPr>
              <w:t>сс</w:t>
            </w:r>
            <w:r w:rsidR="00B77857" w:rsidRPr="00A5626D">
              <w:rPr>
                <w:rFonts w:ascii="Garamond" w:hAnsi="Garamond" w:cstheme="minorHAnsi"/>
                <w:sz w:val="22"/>
                <w:szCs w:val="22"/>
                <w:highlight w:val="yellow"/>
              </w:rPr>
              <w:t>»</w:t>
            </w:r>
            <w:r w:rsidRPr="00A5626D">
              <w:rPr>
                <w:rFonts w:ascii="Garamond" w:hAnsi="Garamond" w:cstheme="minorHAnsi"/>
                <w:sz w:val="22"/>
                <w:szCs w:val="22"/>
                <w:highlight w:val="yellow"/>
              </w:rPr>
              <w:t xml:space="preserve"> – секунды. </w:t>
            </w:r>
            <w:r w:rsidRPr="00A5626D">
              <w:rPr>
                <w:rFonts w:ascii="Garamond" w:eastAsia="MS Mincho" w:hAnsi="Garamond" w:cstheme="minorHAnsi"/>
                <w:sz w:val="22"/>
                <w:szCs w:val="22"/>
                <w:highlight w:val="yellow"/>
              </w:rPr>
              <w:t>Использование пробелов внутри формата указания времени не допускается;</w:t>
            </w:r>
          </w:p>
          <w:p w14:paraId="1AC04BA0" w14:textId="77777777" w:rsidR="00295C6D" w:rsidRPr="00A5626D" w:rsidRDefault="00295C6D" w:rsidP="00B77857">
            <w:pPr>
              <w:widowControl w:val="0"/>
              <w:numPr>
                <w:ilvl w:val="0"/>
                <w:numId w:val="240"/>
              </w:numPr>
              <w:suppressAutoHyphens w:val="0"/>
              <w:autoSpaceDE w:val="0"/>
              <w:autoSpaceDN w:val="0"/>
              <w:adjustRightInd w:val="0"/>
              <w:spacing w:before="120" w:after="120"/>
              <w:ind w:left="426"/>
              <w:jc w:val="both"/>
              <w:rPr>
                <w:rFonts w:ascii="Garamond" w:hAnsi="Garamond" w:cstheme="minorHAnsi"/>
                <w:sz w:val="22"/>
                <w:szCs w:val="22"/>
                <w:highlight w:val="yellow"/>
              </w:rPr>
            </w:pPr>
            <w:r w:rsidRPr="00A5626D">
              <w:rPr>
                <w:rFonts w:ascii="Garamond" w:hAnsi="Garamond" w:cstheme="minorHAnsi"/>
                <w:sz w:val="22"/>
                <w:szCs w:val="22"/>
                <w:highlight w:val="yellow"/>
                <w:lang w:val="en-US"/>
              </w:rPr>
              <w:t>id</w:t>
            </w:r>
            <w:r w:rsidRPr="00A5626D">
              <w:rPr>
                <w:rFonts w:ascii="Garamond" w:hAnsi="Garamond" w:cstheme="minorHAnsi"/>
                <w:sz w:val="22"/>
                <w:szCs w:val="22"/>
                <w:highlight w:val="yellow"/>
              </w:rPr>
              <w:t xml:space="preserve"> – необязательный атрибут, содержит уникальный идентификатор электронного документа (globally unique identifier (GUID)).</w:t>
            </w:r>
          </w:p>
          <w:p w14:paraId="5E21EEB2" w14:textId="77777777" w:rsidR="00295C6D" w:rsidRPr="00A5626D" w:rsidRDefault="00295C6D" w:rsidP="00B77857">
            <w:pPr>
              <w:widowControl w:val="0"/>
              <w:autoSpaceDE w:val="0"/>
              <w:autoSpaceDN w:val="0"/>
              <w:adjustRightInd w:val="0"/>
              <w:spacing w:before="120" w:after="120"/>
              <w:jc w:val="both"/>
              <w:rPr>
                <w:rFonts w:ascii="Garamond" w:eastAsia="MS Mincho" w:hAnsi="Garamond" w:cstheme="minorHAnsi"/>
                <w:sz w:val="22"/>
                <w:szCs w:val="22"/>
                <w:highlight w:val="yellow"/>
              </w:rPr>
            </w:pPr>
            <w:r w:rsidRPr="00A5626D">
              <w:rPr>
                <w:rFonts w:ascii="Garamond" w:eastAsia="MS Mincho" w:hAnsi="Garamond" w:cstheme="minorHAnsi"/>
                <w:sz w:val="22"/>
                <w:szCs w:val="22"/>
                <w:highlight w:val="yellow"/>
              </w:rPr>
              <w:t>Потомком корневого элемента &lt;</w:t>
            </w:r>
            <w:r w:rsidRPr="00A5626D">
              <w:rPr>
                <w:rFonts w:ascii="Garamond" w:eastAsia="MS Mincho" w:hAnsi="Garamond" w:cstheme="minorHAnsi"/>
                <w:b/>
                <w:sz w:val="22"/>
                <w:szCs w:val="22"/>
                <w:highlight w:val="yellow"/>
                <w:lang w:val="en-US"/>
              </w:rPr>
              <w:t>package</w:t>
            </w:r>
            <w:r w:rsidRPr="00A5626D">
              <w:rPr>
                <w:rFonts w:ascii="Garamond" w:eastAsia="MS Mincho" w:hAnsi="Garamond" w:cstheme="minorHAnsi"/>
                <w:sz w:val="22"/>
                <w:szCs w:val="22"/>
                <w:highlight w:val="yellow"/>
              </w:rPr>
              <w:t>&gt; является элемент &lt;</w:t>
            </w:r>
            <w:r w:rsidRPr="00A5626D">
              <w:rPr>
                <w:rFonts w:ascii="Garamond" w:eastAsia="MS Mincho" w:hAnsi="Garamond" w:cstheme="minorHAnsi"/>
                <w:b/>
                <w:sz w:val="22"/>
                <w:szCs w:val="22"/>
                <w:highlight w:val="yellow"/>
                <w:lang w:val="en-US"/>
              </w:rPr>
              <w:t>regulation</w:t>
            </w:r>
            <w:r w:rsidRPr="00A5626D">
              <w:rPr>
                <w:rFonts w:ascii="Garamond" w:eastAsia="MS Mincho" w:hAnsi="Garamond" w:cstheme="minorHAnsi"/>
                <w:b/>
                <w:sz w:val="22"/>
                <w:szCs w:val="22"/>
                <w:highlight w:val="yellow"/>
              </w:rPr>
              <w:t>-</w:t>
            </w:r>
            <w:r w:rsidRPr="00A5626D">
              <w:rPr>
                <w:rFonts w:ascii="Garamond" w:eastAsia="MS Mincho" w:hAnsi="Garamond" w:cstheme="minorHAnsi"/>
                <w:b/>
                <w:sz w:val="22"/>
                <w:szCs w:val="22"/>
                <w:highlight w:val="yellow"/>
                <w:lang w:val="en-US"/>
              </w:rPr>
              <w:t>object</w:t>
            </w:r>
            <w:r w:rsidRPr="00A5626D">
              <w:rPr>
                <w:rFonts w:ascii="Garamond" w:eastAsia="MS Mincho" w:hAnsi="Garamond" w:cstheme="minorHAnsi"/>
                <w:sz w:val="22"/>
                <w:szCs w:val="22"/>
                <w:highlight w:val="yellow"/>
              </w:rPr>
              <w:t>&gt;.</w:t>
            </w:r>
          </w:p>
          <w:p w14:paraId="56CF1DFF" w14:textId="7A39CBF7" w:rsidR="00295C6D" w:rsidRPr="00A5626D" w:rsidRDefault="00295C6D" w:rsidP="00B77857">
            <w:pPr>
              <w:numPr>
                <w:ilvl w:val="1"/>
                <w:numId w:val="277"/>
              </w:numPr>
              <w:suppressAutoHyphens w:val="0"/>
              <w:spacing w:before="120" w:after="120"/>
              <w:rPr>
                <w:rFonts w:ascii="Garamond" w:hAnsi="Garamond" w:cstheme="minorHAnsi"/>
                <w:sz w:val="22"/>
                <w:szCs w:val="22"/>
                <w:highlight w:val="yellow"/>
              </w:rPr>
            </w:pPr>
            <w:r w:rsidRPr="00A5626D">
              <w:rPr>
                <w:rFonts w:ascii="Garamond" w:eastAsia="MS Mincho" w:hAnsi="Garamond" w:cstheme="minorHAnsi"/>
                <w:sz w:val="22"/>
                <w:szCs w:val="22"/>
                <w:highlight w:val="yellow"/>
              </w:rPr>
              <w:t>Описание элемента &lt;</w:t>
            </w:r>
            <w:r w:rsidRPr="00A5626D">
              <w:rPr>
                <w:rFonts w:ascii="Garamond" w:eastAsia="MS Mincho" w:hAnsi="Garamond" w:cstheme="minorHAnsi"/>
                <w:b/>
                <w:sz w:val="22"/>
                <w:szCs w:val="22"/>
                <w:highlight w:val="yellow"/>
                <w:lang w:val="en-US"/>
              </w:rPr>
              <w:t>regulation</w:t>
            </w:r>
            <w:r w:rsidRPr="00A5626D">
              <w:rPr>
                <w:rFonts w:ascii="Garamond" w:eastAsia="MS Mincho" w:hAnsi="Garamond" w:cstheme="minorHAnsi"/>
                <w:b/>
                <w:sz w:val="22"/>
                <w:szCs w:val="22"/>
                <w:highlight w:val="yellow"/>
              </w:rPr>
              <w:t>-</w:t>
            </w:r>
            <w:r w:rsidRPr="00A5626D">
              <w:rPr>
                <w:rFonts w:ascii="Garamond" w:eastAsia="MS Mincho" w:hAnsi="Garamond" w:cstheme="minorHAnsi"/>
                <w:b/>
                <w:sz w:val="22"/>
                <w:szCs w:val="22"/>
                <w:highlight w:val="yellow"/>
                <w:lang w:val="en-US"/>
              </w:rPr>
              <w:t>object</w:t>
            </w:r>
            <w:r w:rsidR="00B77857" w:rsidRPr="00A5626D">
              <w:rPr>
                <w:rFonts w:ascii="Garamond" w:eastAsia="MS Mincho" w:hAnsi="Garamond" w:cstheme="minorHAnsi"/>
                <w:sz w:val="22"/>
                <w:szCs w:val="22"/>
                <w:highlight w:val="yellow"/>
              </w:rPr>
              <w:t>&gt;</w:t>
            </w:r>
          </w:p>
          <w:p w14:paraId="62BE98BA" w14:textId="77777777" w:rsidR="00295C6D" w:rsidRPr="00A5626D" w:rsidRDefault="00295C6D" w:rsidP="00B77857">
            <w:pPr>
              <w:widowControl w:val="0"/>
              <w:autoSpaceDE w:val="0"/>
              <w:autoSpaceDN w:val="0"/>
              <w:adjustRightInd w:val="0"/>
              <w:spacing w:before="120" w:after="120"/>
              <w:jc w:val="both"/>
              <w:rPr>
                <w:rFonts w:ascii="Garamond" w:eastAsia="MS Mincho" w:hAnsi="Garamond" w:cstheme="minorHAnsi"/>
                <w:sz w:val="22"/>
                <w:szCs w:val="22"/>
                <w:highlight w:val="yellow"/>
              </w:rPr>
            </w:pPr>
            <w:r w:rsidRPr="00A5626D">
              <w:rPr>
                <w:rFonts w:ascii="Garamond" w:eastAsia="MS Mincho" w:hAnsi="Garamond" w:cstheme="minorHAnsi"/>
                <w:sz w:val="22"/>
                <w:szCs w:val="22"/>
                <w:highlight w:val="yellow"/>
              </w:rPr>
              <w:t>Элемент &lt;</w:t>
            </w:r>
            <w:r w:rsidRPr="00A5626D">
              <w:rPr>
                <w:rFonts w:ascii="Garamond" w:eastAsia="MS Mincho" w:hAnsi="Garamond" w:cstheme="minorHAnsi"/>
                <w:b/>
                <w:sz w:val="22"/>
                <w:szCs w:val="22"/>
                <w:highlight w:val="yellow"/>
              </w:rPr>
              <w:t>regulation-object</w:t>
            </w:r>
            <w:r w:rsidRPr="00A5626D">
              <w:rPr>
                <w:rFonts w:ascii="Garamond" w:eastAsia="MS Mincho" w:hAnsi="Garamond" w:cstheme="minorHAnsi"/>
                <w:sz w:val="22"/>
                <w:szCs w:val="22"/>
                <w:highlight w:val="yellow"/>
              </w:rPr>
              <w:t>&gt; является обязательным и содержит информацию об объекте регулирования, по которому передаются данные коммерческого учета.</w:t>
            </w:r>
          </w:p>
          <w:p w14:paraId="44F5F049" w14:textId="3A4CB6C2" w:rsidR="00295C6D" w:rsidRPr="00A5626D" w:rsidRDefault="00295C6D" w:rsidP="00B77857">
            <w:pPr>
              <w:widowControl w:val="0"/>
              <w:autoSpaceDE w:val="0"/>
              <w:autoSpaceDN w:val="0"/>
              <w:adjustRightInd w:val="0"/>
              <w:spacing w:before="120" w:after="120"/>
              <w:jc w:val="both"/>
              <w:rPr>
                <w:rFonts w:ascii="Garamond" w:eastAsia="MS Mincho" w:hAnsi="Garamond" w:cstheme="minorHAnsi"/>
                <w:sz w:val="22"/>
                <w:szCs w:val="22"/>
                <w:highlight w:val="yellow"/>
              </w:rPr>
            </w:pPr>
            <w:r w:rsidRPr="00A5626D">
              <w:rPr>
                <w:rFonts w:ascii="Garamond" w:hAnsi="Garamond" w:cstheme="minorHAnsi"/>
                <w:sz w:val="22"/>
                <w:szCs w:val="22"/>
                <w:highlight w:val="yellow"/>
              </w:rPr>
              <w:t>Атрибут</w:t>
            </w:r>
            <w:r w:rsidR="00B77857" w:rsidRPr="00A5626D">
              <w:rPr>
                <w:rFonts w:ascii="Garamond" w:hAnsi="Garamond" w:cstheme="minorHAnsi"/>
                <w:sz w:val="22"/>
                <w:szCs w:val="22"/>
                <w:highlight w:val="yellow"/>
              </w:rPr>
              <w:t>ом</w:t>
            </w:r>
            <w:r w:rsidRPr="00A5626D">
              <w:rPr>
                <w:rFonts w:ascii="Garamond" w:hAnsi="Garamond" w:cstheme="minorHAnsi"/>
                <w:sz w:val="22"/>
                <w:szCs w:val="22"/>
                <w:highlight w:val="yellow"/>
              </w:rPr>
              <w:t xml:space="preserve"> элемента &lt;</w:t>
            </w:r>
            <w:r w:rsidRPr="00A5626D">
              <w:rPr>
                <w:rFonts w:ascii="Garamond" w:eastAsia="MS Mincho" w:hAnsi="Garamond" w:cstheme="minorHAnsi"/>
                <w:b/>
                <w:sz w:val="22"/>
                <w:szCs w:val="22"/>
                <w:highlight w:val="yellow"/>
              </w:rPr>
              <w:t>regulation-object</w:t>
            </w:r>
            <w:r w:rsidRPr="00A5626D">
              <w:rPr>
                <w:rFonts w:ascii="Garamond" w:hAnsi="Garamond" w:cstheme="minorHAnsi"/>
                <w:sz w:val="22"/>
                <w:szCs w:val="22"/>
                <w:highlight w:val="yellow"/>
              </w:rPr>
              <w:t>&gt; явля</w:t>
            </w:r>
            <w:r w:rsidR="00B77857" w:rsidRPr="00A5626D">
              <w:rPr>
                <w:rFonts w:ascii="Garamond" w:hAnsi="Garamond" w:cstheme="minorHAnsi"/>
                <w:sz w:val="22"/>
                <w:szCs w:val="22"/>
                <w:highlight w:val="yellow"/>
              </w:rPr>
              <w:t>е</w:t>
            </w:r>
            <w:r w:rsidRPr="00A5626D">
              <w:rPr>
                <w:rFonts w:ascii="Garamond" w:hAnsi="Garamond" w:cstheme="minorHAnsi"/>
                <w:sz w:val="22"/>
                <w:szCs w:val="22"/>
                <w:highlight w:val="yellow"/>
              </w:rPr>
              <w:t>тся:</w:t>
            </w:r>
          </w:p>
          <w:p w14:paraId="2A0FFCC2" w14:textId="77777777" w:rsidR="00295C6D" w:rsidRPr="00A5626D" w:rsidRDefault="00295C6D" w:rsidP="00B77857">
            <w:pPr>
              <w:widowControl w:val="0"/>
              <w:numPr>
                <w:ilvl w:val="0"/>
                <w:numId w:val="240"/>
              </w:numPr>
              <w:suppressAutoHyphens w:val="0"/>
              <w:autoSpaceDE w:val="0"/>
              <w:autoSpaceDN w:val="0"/>
              <w:adjustRightInd w:val="0"/>
              <w:spacing w:before="120" w:after="120"/>
              <w:jc w:val="both"/>
              <w:rPr>
                <w:rFonts w:ascii="Garamond" w:eastAsia="MS Mincho" w:hAnsi="Garamond" w:cstheme="minorHAnsi"/>
                <w:sz w:val="22"/>
                <w:szCs w:val="22"/>
                <w:highlight w:val="yellow"/>
                <w:lang w:bidi="en-US"/>
              </w:rPr>
            </w:pPr>
            <w:r w:rsidRPr="00A5626D">
              <w:rPr>
                <w:rFonts w:ascii="Garamond" w:hAnsi="Garamond" w:cstheme="minorHAnsi"/>
                <w:sz w:val="22"/>
                <w:szCs w:val="22"/>
                <w:highlight w:val="yellow"/>
                <w:lang w:val="en-US"/>
              </w:rPr>
              <w:t>code</w:t>
            </w:r>
            <w:r w:rsidRPr="00A5626D">
              <w:rPr>
                <w:rFonts w:ascii="Garamond" w:hAnsi="Garamond" w:cstheme="minorHAnsi"/>
                <w:sz w:val="22"/>
                <w:szCs w:val="22"/>
                <w:highlight w:val="yellow"/>
              </w:rPr>
              <w:t xml:space="preserve"> – обязательный атрибут, содержит </w:t>
            </w:r>
            <w:r w:rsidRPr="00A5626D">
              <w:rPr>
                <w:rFonts w:ascii="Garamond" w:hAnsi="Garamond" w:cstheme="minorHAnsi"/>
                <w:sz w:val="22"/>
                <w:szCs w:val="22"/>
                <w:highlight w:val="yellow"/>
                <w:lang w:bidi="en-US"/>
              </w:rPr>
              <w:t xml:space="preserve">код объекта регулирования, по которому предоставляется информация, в формате </w:t>
            </w:r>
            <w:r w:rsidRPr="00A5626D">
              <w:rPr>
                <w:rFonts w:ascii="Garamond" w:hAnsi="Garamond" w:cstheme="minorHAnsi"/>
                <w:sz w:val="22"/>
                <w:szCs w:val="22"/>
                <w:highlight w:val="yellow"/>
                <w:lang w:val="en-US" w:bidi="en-US"/>
              </w:rPr>
              <w:t>ORXXXXXX</w:t>
            </w:r>
            <w:r w:rsidRPr="00A5626D">
              <w:rPr>
                <w:rFonts w:ascii="Garamond" w:hAnsi="Garamond" w:cstheme="minorHAnsi"/>
                <w:sz w:val="22"/>
                <w:szCs w:val="22"/>
                <w:highlight w:val="yellow"/>
                <w:lang w:bidi="en-US"/>
              </w:rPr>
              <w:t xml:space="preserve">. Код </w:t>
            </w:r>
            <w:r w:rsidRPr="00A5626D">
              <w:rPr>
                <w:rFonts w:ascii="Garamond" w:eastAsia="MS Mincho" w:hAnsi="Garamond" w:cstheme="minorHAnsi"/>
                <w:sz w:val="22"/>
                <w:szCs w:val="22"/>
                <w:highlight w:val="yellow"/>
                <w:lang w:bidi="en-US"/>
              </w:rPr>
              <w:t>состоит из 8 (восьми) символов, включающих строчные или прописные буквы латинского алфавита и (или) цифры.</w:t>
            </w:r>
          </w:p>
          <w:p w14:paraId="426068F5" w14:textId="77777777" w:rsidR="00295C6D" w:rsidRPr="00A5626D" w:rsidRDefault="00295C6D" w:rsidP="00B77857">
            <w:pPr>
              <w:widowControl w:val="0"/>
              <w:autoSpaceDE w:val="0"/>
              <w:autoSpaceDN w:val="0"/>
              <w:adjustRightInd w:val="0"/>
              <w:spacing w:before="120" w:after="120"/>
              <w:jc w:val="both"/>
              <w:rPr>
                <w:rFonts w:ascii="Garamond" w:eastAsia="MS Mincho" w:hAnsi="Garamond" w:cstheme="minorHAnsi"/>
                <w:sz w:val="22"/>
                <w:szCs w:val="22"/>
                <w:highlight w:val="yellow"/>
              </w:rPr>
            </w:pPr>
            <w:r w:rsidRPr="00A5626D">
              <w:rPr>
                <w:rFonts w:ascii="Garamond" w:eastAsia="MS Mincho" w:hAnsi="Garamond" w:cstheme="minorHAnsi"/>
                <w:sz w:val="22"/>
                <w:szCs w:val="22"/>
                <w:highlight w:val="yellow"/>
              </w:rPr>
              <w:t>В электронном документе допускается наличие только одного элемента &lt;</w:t>
            </w:r>
            <w:r w:rsidRPr="00A5626D">
              <w:rPr>
                <w:rFonts w:ascii="Garamond" w:eastAsia="MS Mincho" w:hAnsi="Garamond" w:cstheme="minorHAnsi"/>
                <w:b/>
                <w:sz w:val="22"/>
                <w:szCs w:val="22"/>
                <w:highlight w:val="yellow"/>
              </w:rPr>
              <w:t>regulation-object</w:t>
            </w:r>
            <w:r w:rsidRPr="00A5626D">
              <w:rPr>
                <w:rFonts w:ascii="Garamond" w:eastAsia="MS Mincho" w:hAnsi="Garamond" w:cstheme="minorHAnsi"/>
                <w:sz w:val="22"/>
                <w:szCs w:val="22"/>
                <w:highlight w:val="yellow"/>
              </w:rPr>
              <w:t>&gt;. Потомком элемента &lt;</w:t>
            </w:r>
            <w:r w:rsidRPr="00A5626D">
              <w:rPr>
                <w:rFonts w:ascii="Garamond" w:eastAsia="MS Mincho" w:hAnsi="Garamond" w:cstheme="minorHAnsi"/>
                <w:b/>
                <w:sz w:val="22"/>
                <w:szCs w:val="22"/>
                <w:highlight w:val="yellow"/>
              </w:rPr>
              <w:t>regulation-object</w:t>
            </w:r>
            <w:r w:rsidRPr="00A5626D">
              <w:rPr>
                <w:rFonts w:ascii="Garamond" w:eastAsia="MS Mincho" w:hAnsi="Garamond" w:cstheme="minorHAnsi"/>
                <w:sz w:val="22"/>
                <w:szCs w:val="22"/>
                <w:highlight w:val="yellow"/>
              </w:rPr>
              <w:t>&gt; является элемент &lt;</w:t>
            </w:r>
            <w:r w:rsidRPr="00A5626D">
              <w:rPr>
                <w:rFonts w:ascii="Garamond" w:eastAsia="MS Mincho" w:hAnsi="Garamond" w:cstheme="minorHAnsi"/>
                <w:b/>
                <w:sz w:val="22"/>
                <w:szCs w:val="22"/>
                <w:highlight w:val="yellow"/>
              </w:rPr>
              <w:t>flow</w:t>
            </w:r>
            <w:r w:rsidRPr="00A5626D">
              <w:rPr>
                <w:rFonts w:ascii="Garamond" w:eastAsia="MS Mincho" w:hAnsi="Garamond" w:cstheme="minorHAnsi"/>
                <w:sz w:val="22"/>
                <w:szCs w:val="22"/>
                <w:highlight w:val="yellow"/>
              </w:rPr>
              <w:t>&gt;.</w:t>
            </w:r>
          </w:p>
          <w:p w14:paraId="07A7479D" w14:textId="77777777" w:rsidR="00295C6D" w:rsidRPr="00A5626D" w:rsidRDefault="00295C6D" w:rsidP="00B77857">
            <w:pPr>
              <w:numPr>
                <w:ilvl w:val="1"/>
                <w:numId w:val="277"/>
              </w:numPr>
              <w:suppressAutoHyphens w:val="0"/>
              <w:spacing w:before="120" w:after="120"/>
              <w:rPr>
                <w:rFonts w:ascii="Garamond" w:hAnsi="Garamond" w:cstheme="minorHAnsi"/>
                <w:sz w:val="22"/>
                <w:szCs w:val="22"/>
                <w:highlight w:val="yellow"/>
              </w:rPr>
            </w:pPr>
            <w:r w:rsidRPr="00A5626D">
              <w:rPr>
                <w:rFonts w:ascii="Garamond" w:eastAsia="MS Mincho" w:hAnsi="Garamond" w:cstheme="minorHAnsi"/>
                <w:sz w:val="22"/>
                <w:szCs w:val="22"/>
                <w:highlight w:val="yellow"/>
              </w:rPr>
              <w:t>Описание элемента &lt;</w:t>
            </w:r>
            <w:r w:rsidRPr="00A5626D">
              <w:rPr>
                <w:rFonts w:ascii="Garamond" w:eastAsia="MS Mincho" w:hAnsi="Garamond" w:cstheme="minorHAnsi"/>
                <w:b/>
                <w:sz w:val="22"/>
                <w:szCs w:val="22"/>
                <w:highlight w:val="yellow"/>
              </w:rPr>
              <w:t>flow</w:t>
            </w:r>
            <w:r w:rsidRPr="00A5626D">
              <w:rPr>
                <w:rFonts w:ascii="Garamond" w:eastAsia="MS Mincho" w:hAnsi="Garamond" w:cstheme="minorHAnsi"/>
                <w:sz w:val="22"/>
                <w:szCs w:val="22"/>
                <w:highlight w:val="yellow"/>
              </w:rPr>
              <w:t>&gt;</w:t>
            </w:r>
          </w:p>
          <w:p w14:paraId="377305E3" w14:textId="77777777" w:rsidR="00295C6D" w:rsidRPr="00A5626D" w:rsidRDefault="00295C6D" w:rsidP="00B77857">
            <w:pPr>
              <w:widowControl w:val="0"/>
              <w:autoSpaceDE w:val="0"/>
              <w:autoSpaceDN w:val="0"/>
              <w:adjustRightInd w:val="0"/>
              <w:spacing w:before="120" w:after="120"/>
              <w:jc w:val="both"/>
              <w:rPr>
                <w:rFonts w:ascii="Garamond" w:eastAsia="MS Mincho" w:hAnsi="Garamond" w:cstheme="minorHAnsi"/>
                <w:sz w:val="22"/>
                <w:szCs w:val="22"/>
                <w:highlight w:val="yellow"/>
              </w:rPr>
            </w:pPr>
            <w:r w:rsidRPr="00A5626D">
              <w:rPr>
                <w:rFonts w:ascii="Garamond" w:eastAsia="MS Mincho" w:hAnsi="Garamond" w:cstheme="minorHAnsi"/>
                <w:sz w:val="22"/>
                <w:szCs w:val="22"/>
                <w:highlight w:val="yellow"/>
              </w:rPr>
              <w:t>Элемент &lt;</w:t>
            </w:r>
            <w:r w:rsidRPr="00A5626D">
              <w:rPr>
                <w:rFonts w:ascii="Garamond" w:eastAsia="MS Mincho" w:hAnsi="Garamond" w:cstheme="minorHAnsi"/>
                <w:b/>
                <w:sz w:val="22"/>
                <w:szCs w:val="22"/>
                <w:highlight w:val="yellow"/>
              </w:rPr>
              <w:t>flow</w:t>
            </w:r>
            <w:r w:rsidRPr="00A5626D">
              <w:rPr>
                <w:rFonts w:ascii="Garamond" w:eastAsia="MS Mincho" w:hAnsi="Garamond" w:cstheme="minorHAnsi"/>
                <w:sz w:val="22"/>
                <w:szCs w:val="22"/>
                <w:highlight w:val="yellow"/>
              </w:rPr>
              <w:t>&gt; является обязательным и содержит информацию о фактических объемах потребления объекта регулирования.</w:t>
            </w:r>
          </w:p>
          <w:p w14:paraId="52B5A39D" w14:textId="77777777" w:rsidR="00295C6D" w:rsidRPr="00A5626D" w:rsidRDefault="00295C6D" w:rsidP="00B77857">
            <w:pPr>
              <w:widowControl w:val="0"/>
              <w:autoSpaceDE w:val="0"/>
              <w:autoSpaceDN w:val="0"/>
              <w:adjustRightInd w:val="0"/>
              <w:spacing w:before="120" w:after="120"/>
              <w:jc w:val="both"/>
              <w:rPr>
                <w:rFonts w:ascii="Garamond" w:eastAsia="MS Mincho" w:hAnsi="Garamond" w:cstheme="minorHAnsi"/>
                <w:sz w:val="22"/>
                <w:szCs w:val="22"/>
                <w:highlight w:val="yellow"/>
              </w:rPr>
            </w:pPr>
            <w:r w:rsidRPr="00A5626D">
              <w:rPr>
                <w:rFonts w:ascii="Garamond" w:hAnsi="Garamond" w:cstheme="minorHAnsi"/>
                <w:sz w:val="22"/>
                <w:szCs w:val="22"/>
                <w:highlight w:val="yellow"/>
              </w:rPr>
              <w:t>Атрибутами элемента &lt;</w:t>
            </w:r>
            <w:r w:rsidRPr="00A5626D">
              <w:rPr>
                <w:rFonts w:ascii="Garamond" w:eastAsia="MS Mincho" w:hAnsi="Garamond" w:cstheme="minorHAnsi"/>
                <w:b/>
                <w:sz w:val="22"/>
                <w:szCs w:val="22"/>
                <w:highlight w:val="yellow"/>
              </w:rPr>
              <w:t>flow</w:t>
            </w:r>
            <w:r w:rsidRPr="00A5626D">
              <w:rPr>
                <w:rFonts w:ascii="Garamond" w:hAnsi="Garamond" w:cstheme="minorHAnsi"/>
                <w:sz w:val="22"/>
                <w:szCs w:val="22"/>
                <w:highlight w:val="yellow"/>
              </w:rPr>
              <w:t>&gt; являются:</w:t>
            </w:r>
          </w:p>
          <w:p w14:paraId="1D52A92F" w14:textId="7FFAF665" w:rsidR="00295C6D" w:rsidRPr="00A5626D" w:rsidRDefault="00295C6D" w:rsidP="00B77857">
            <w:pPr>
              <w:widowControl w:val="0"/>
              <w:numPr>
                <w:ilvl w:val="0"/>
                <w:numId w:val="240"/>
              </w:numPr>
              <w:suppressAutoHyphens w:val="0"/>
              <w:autoSpaceDE w:val="0"/>
              <w:autoSpaceDN w:val="0"/>
              <w:adjustRightInd w:val="0"/>
              <w:spacing w:before="120" w:after="120"/>
              <w:ind w:left="426"/>
              <w:jc w:val="both"/>
              <w:rPr>
                <w:rFonts w:ascii="Garamond" w:hAnsi="Garamond" w:cstheme="minorHAnsi"/>
                <w:sz w:val="22"/>
                <w:szCs w:val="22"/>
                <w:highlight w:val="yellow"/>
              </w:rPr>
            </w:pPr>
            <w:r w:rsidRPr="00A5626D">
              <w:rPr>
                <w:rFonts w:ascii="Garamond" w:hAnsi="Garamond" w:cstheme="minorHAnsi"/>
                <w:sz w:val="22"/>
                <w:szCs w:val="22"/>
                <w:highlight w:val="yellow"/>
              </w:rPr>
              <w:t>begin – обязательный атрибут, содержит дату и время измерения. Дата и время предоставля</w:t>
            </w:r>
            <w:r w:rsidR="00B77857" w:rsidRPr="00A5626D">
              <w:rPr>
                <w:rFonts w:ascii="Garamond" w:hAnsi="Garamond" w:cstheme="minorHAnsi"/>
                <w:sz w:val="22"/>
                <w:szCs w:val="22"/>
                <w:highlight w:val="yellow"/>
              </w:rPr>
              <w:t>ю</w:t>
            </w:r>
            <w:r w:rsidRPr="00A5626D">
              <w:rPr>
                <w:rFonts w:ascii="Garamond" w:hAnsi="Garamond" w:cstheme="minorHAnsi"/>
                <w:sz w:val="22"/>
                <w:szCs w:val="22"/>
                <w:highlight w:val="yellow"/>
              </w:rPr>
              <w:t xml:space="preserve">тся в московском времени в формате </w:t>
            </w:r>
            <w:r w:rsidR="00B77857" w:rsidRPr="00A5626D">
              <w:rPr>
                <w:rFonts w:ascii="Garamond" w:hAnsi="Garamond" w:cstheme="minorHAnsi"/>
                <w:sz w:val="22"/>
                <w:szCs w:val="22"/>
                <w:highlight w:val="yellow"/>
              </w:rPr>
              <w:t>«ГГГГММДДччмм»</w:t>
            </w:r>
            <w:r w:rsidRPr="00A5626D">
              <w:rPr>
                <w:rFonts w:ascii="Garamond" w:hAnsi="Garamond" w:cstheme="minorHAnsi"/>
                <w:sz w:val="22"/>
                <w:szCs w:val="22"/>
                <w:highlight w:val="yellow"/>
              </w:rPr>
              <w:t xml:space="preserve">, где </w:t>
            </w:r>
            <w:r w:rsidR="00B77857" w:rsidRPr="00A5626D">
              <w:rPr>
                <w:rFonts w:ascii="Garamond" w:hAnsi="Garamond" w:cstheme="minorHAnsi"/>
                <w:sz w:val="22"/>
                <w:szCs w:val="22"/>
                <w:highlight w:val="yellow"/>
              </w:rPr>
              <w:t>«</w:t>
            </w:r>
            <w:r w:rsidRPr="00A5626D">
              <w:rPr>
                <w:rFonts w:ascii="Garamond" w:hAnsi="Garamond" w:cstheme="minorHAnsi"/>
                <w:sz w:val="22"/>
                <w:szCs w:val="22"/>
                <w:highlight w:val="yellow"/>
              </w:rPr>
              <w:t>ГГГГ</w:t>
            </w:r>
            <w:r w:rsidR="00B77857" w:rsidRPr="00A5626D">
              <w:rPr>
                <w:rFonts w:ascii="Garamond" w:hAnsi="Garamond" w:cstheme="minorHAnsi"/>
                <w:sz w:val="22"/>
                <w:szCs w:val="22"/>
                <w:highlight w:val="yellow"/>
              </w:rPr>
              <w:t>»</w:t>
            </w:r>
            <w:r w:rsidRPr="00A5626D">
              <w:rPr>
                <w:rFonts w:ascii="Garamond" w:hAnsi="Garamond" w:cstheme="minorHAnsi"/>
                <w:sz w:val="22"/>
                <w:szCs w:val="22"/>
                <w:highlight w:val="yellow"/>
              </w:rPr>
              <w:t xml:space="preserve"> – год, </w:t>
            </w:r>
            <w:r w:rsidR="00B77857" w:rsidRPr="00A5626D">
              <w:rPr>
                <w:rFonts w:ascii="Garamond" w:hAnsi="Garamond" w:cstheme="minorHAnsi"/>
                <w:sz w:val="22"/>
                <w:szCs w:val="22"/>
                <w:highlight w:val="yellow"/>
              </w:rPr>
              <w:t>«</w:t>
            </w:r>
            <w:r w:rsidRPr="00A5626D">
              <w:rPr>
                <w:rFonts w:ascii="Garamond" w:hAnsi="Garamond" w:cstheme="minorHAnsi"/>
                <w:sz w:val="22"/>
                <w:szCs w:val="22"/>
                <w:highlight w:val="yellow"/>
              </w:rPr>
              <w:t>ММ</w:t>
            </w:r>
            <w:r w:rsidR="00B77857" w:rsidRPr="00A5626D">
              <w:rPr>
                <w:rFonts w:ascii="Garamond" w:hAnsi="Garamond" w:cstheme="minorHAnsi"/>
                <w:sz w:val="22"/>
                <w:szCs w:val="22"/>
                <w:highlight w:val="yellow"/>
              </w:rPr>
              <w:t>»</w:t>
            </w:r>
            <w:r w:rsidRPr="00A5626D">
              <w:rPr>
                <w:rFonts w:ascii="Garamond" w:hAnsi="Garamond" w:cstheme="minorHAnsi"/>
                <w:sz w:val="22"/>
                <w:szCs w:val="22"/>
                <w:highlight w:val="yellow"/>
              </w:rPr>
              <w:t xml:space="preserve"> – порядковый номер месяца, </w:t>
            </w:r>
            <w:r w:rsidR="00B77857" w:rsidRPr="00A5626D">
              <w:rPr>
                <w:rFonts w:ascii="Garamond" w:hAnsi="Garamond" w:cstheme="minorHAnsi"/>
                <w:sz w:val="22"/>
                <w:szCs w:val="22"/>
                <w:highlight w:val="yellow"/>
              </w:rPr>
              <w:t>«</w:t>
            </w:r>
            <w:r w:rsidRPr="00A5626D">
              <w:rPr>
                <w:rFonts w:ascii="Garamond" w:hAnsi="Garamond" w:cstheme="minorHAnsi"/>
                <w:sz w:val="22"/>
                <w:szCs w:val="22"/>
                <w:highlight w:val="yellow"/>
              </w:rPr>
              <w:t>ДД</w:t>
            </w:r>
            <w:r w:rsidR="00B77857" w:rsidRPr="00A5626D">
              <w:rPr>
                <w:rFonts w:ascii="Garamond" w:hAnsi="Garamond" w:cstheme="minorHAnsi"/>
                <w:sz w:val="22"/>
                <w:szCs w:val="22"/>
                <w:highlight w:val="yellow"/>
              </w:rPr>
              <w:t>»</w:t>
            </w:r>
            <w:r w:rsidRPr="00A5626D">
              <w:rPr>
                <w:rFonts w:ascii="Garamond" w:hAnsi="Garamond" w:cstheme="minorHAnsi"/>
                <w:sz w:val="22"/>
                <w:szCs w:val="22"/>
                <w:highlight w:val="yellow"/>
              </w:rPr>
              <w:t xml:space="preserve"> – день, </w:t>
            </w:r>
            <w:r w:rsidR="00B77857" w:rsidRPr="00A5626D">
              <w:rPr>
                <w:rFonts w:ascii="Garamond" w:hAnsi="Garamond" w:cstheme="minorHAnsi"/>
                <w:sz w:val="22"/>
                <w:szCs w:val="22"/>
                <w:highlight w:val="yellow"/>
              </w:rPr>
              <w:t>«</w:t>
            </w:r>
            <w:r w:rsidRPr="00A5626D">
              <w:rPr>
                <w:rFonts w:ascii="Garamond" w:hAnsi="Garamond" w:cstheme="minorHAnsi"/>
                <w:sz w:val="22"/>
                <w:szCs w:val="22"/>
                <w:highlight w:val="yellow"/>
              </w:rPr>
              <w:t>чч</w:t>
            </w:r>
            <w:r w:rsidR="00B77857" w:rsidRPr="00A5626D">
              <w:rPr>
                <w:rFonts w:ascii="Garamond" w:hAnsi="Garamond" w:cstheme="minorHAnsi"/>
                <w:sz w:val="22"/>
                <w:szCs w:val="22"/>
                <w:highlight w:val="yellow"/>
              </w:rPr>
              <w:t>»</w:t>
            </w:r>
            <w:r w:rsidRPr="00A5626D">
              <w:rPr>
                <w:rFonts w:ascii="Garamond" w:hAnsi="Garamond" w:cstheme="minorHAnsi"/>
                <w:sz w:val="22"/>
                <w:szCs w:val="22"/>
                <w:highlight w:val="yellow"/>
              </w:rPr>
              <w:t xml:space="preserve"> – час, </w:t>
            </w:r>
            <w:r w:rsidR="00B77857" w:rsidRPr="00A5626D">
              <w:rPr>
                <w:rFonts w:ascii="Garamond" w:hAnsi="Garamond" w:cstheme="minorHAnsi"/>
                <w:sz w:val="22"/>
                <w:szCs w:val="22"/>
                <w:highlight w:val="yellow"/>
              </w:rPr>
              <w:t>«</w:t>
            </w:r>
            <w:r w:rsidRPr="00A5626D">
              <w:rPr>
                <w:rFonts w:ascii="Garamond" w:hAnsi="Garamond" w:cstheme="minorHAnsi"/>
                <w:sz w:val="22"/>
                <w:szCs w:val="22"/>
                <w:highlight w:val="yellow"/>
              </w:rPr>
              <w:t>мм</w:t>
            </w:r>
            <w:r w:rsidR="00B77857" w:rsidRPr="00A5626D">
              <w:rPr>
                <w:rFonts w:ascii="Garamond" w:hAnsi="Garamond" w:cstheme="minorHAnsi"/>
                <w:sz w:val="22"/>
                <w:szCs w:val="22"/>
                <w:highlight w:val="yellow"/>
              </w:rPr>
              <w:t>»</w:t>
            </w:r>
            <w:r w:rsidRPr="00A5626D">
              <w:rPr>
                <w:rFonts w:ascii="Garamond" w:hAnsi="Garamond" w:cstheme="minorHAnsi"/>
                <w:sz w:val="22"/>
                <w:szCs w:val="22"/>
                <w:highlight w:val="yellow"/>
              </w:rPr>
              <w:t xml:space="preserve"> – минуты;</w:t>
            </w:r>
          </w:p>
          <w:p w14:paraId="0731402D" w14:textId="0E288E94" w:rsidR="00295C6D" w:rsidRPr="00A5626D" w:rsidRDefault="00295C6D" w:rsidP="00B77857">
            <w:pPr>
              <w:widowControl w:val="0"/>
              <w:numPr>
                <w:ilvl w:val="0"/>
                <w:numId w:val="240"/>
              </w:numPr>
              <w:suppressAutoHyphens w:val="0"/>
              <w:autoSpaceDE w:val="0"/>
              <w:autoSpaceDN w:val="0"/>
              <w:adjustRightInd w:val="0"/>
              <w:spacing w:before="120" w:after="120"/>
              <w:ind w:left="426"/>
              <w:jc w:val="both"/>
              <w:rPr>
                <w:rFonts w:ascii="Garamond" w:hAnsi="Garamond" w:cstheme="minorHAnsi"/>
                <w:sz w:val="22"/>
                <w:szCs w:val="22"/>
                <w:highlight w:val="yellow"/>
              </w:rPr>
            </w:pPr>
            <w:r w:rsidRPr="00A5626D">
              <w:rPr>
                <w:rFonts w:ascii="Garamond" w:hAnsi="Garamond" w:cstheme="minorHAnsi"/>
                <w:sz w:val="22"/>
                <w:szCs w:val="22"/>
                <w:highlight w:val="yellow"/>
                <w:lang w:val="en-US"/>
              </w:rPr>
              <w:t>end</w:t>
            </w:r>
            <w:r w:rsidRPr="00A5626D">
              <w:rPr>
                <w:rFonts w:ascii="Garamond" w:hAnsi="Garamond" w:cstheme="minorHAnsi"/>
                <w:sz w:val="22"/>
                <w:szCs w:val="22"/>
                <w:highlight w:val="yellow"/>
              </w:rPr>
              <w:t xml:space="preserve"> – обязательный атрибут, содержит дату и время конца измерения. Дата и время предоставля</w:t>
            </w:r>
            <w:r w:rsidR="00B77857" w:rsidRPr="00A5626D">
              <w:rPr>
                <w:rFonts w:ascii="Garamond" w:hAnsi="Garamond" w:cstheme="minorHAnsi"/>
                <w:sz w:val="22"/>
                <w:szCs w:val="22"/>
                <w:highlight w:val="yellow"/>
              </w:rPr>
              <w:t>ю</w:t>
            </w:r>
            <w:r w:rsidRPr="00A5626D">
              <w:rPr>
                <w:rFonts w:ascii="Garamond" w:hAnsi="Garamond" w:cstheme="minorHAnsi"/>
                <w:sz w:val="22"/>
                <w:szCs w:val="22"/>
                <w:highlight w:val="yellow"/>
              </w:rPr>
              <w:t xml:space="preserve">тся в московском времени в формате </w:t>
            </w:r>
            <w:r w:rsidR="00B77857" w:rsidRPr="00A5626D">
              <w:rPr>
                <w:rFonts w:ascii="Garamond" w:hAnsi="Garamond" w:cstheme="minorHAnsi"/>
                <w:sz w:val="22"/>
                <w:szCs w:val="22"/>
                <w:highlight w:val="yellow"/>
              </w:rPr>
              <w:t>«</w:t>
            </w:r>
            <w:r w:rsidRPr="00A5626D">
              <w:rPr>
                <w:rFonts w:ascii="Garamond" w:hAnsi="Garamond" w:cstheme="minorHAnsi"/>
                <w:sz w:val="22"/>
                <w:szCs w:val="22"/>
                <w:highlight w:val="yellow"/>
              </w:rPr>
              <w:t>ГГГГММДДччмм</w:t>
            </w:r>
            <w:r w:rsidR="00B77857" w:rsidRPr="00A5626D">
              <w:rPr>
                <w:rFonts w:ascii="Garamond" w:hAnsi="Garamond" w:cstheme="minorHAnsi"/>
                <w:sz w:val="22"/>
                <w:szCs w:val="22"/>
                <w:highlight w:val="yellow"/>
              </w:rPr>
              <w:t>»</w:t>
            </w:r>
            <w:r w:rsidRPr="00A5626D">
              <w:rPr>
                <w:rFonts w:ascii="Garamond" w:hAnsi="Garamond" w:cstheme="minorHAnsi"/>
                <w:sz w:val="22"/>
                <w:szCs w:val="22"/>
                <w:highlight w:val="yellow"/>
              </w:rPr>
              <w:t xml:space="preserve">, где </w:t>
            </w:r>
            <w:r w:rsidR="00B77857" w:rsidRPr="00A5626D">
              <w:rPr>
                <w:rFonts w:ascii="Garamond" w:hAnsi="Garamond" w:cstheme="minorHAnsi"/>
                <w:sz w:val="22"/>
                <w:szCs w:val="22"/>
                <w:highlight w:val="yellow"/>
              </w:rPr>
              <w:t>«</w:t>
            </w:r>
            <w:r w:rsidRPr="00A5626D">
              <w:rPr>
                <w:rFonts w:ascii="Garamond" w:hAnsi="Garamond" w:cstheme="minorHAnsi"/>
                <w:sz w:val="22"/>
                <w:szCs w:val="22"/>
                <w:highlight w:val="yellow"/>
              </w:rPr>
              <w:t>ГГГГ</w:t>
            </w:r>
            <w:r w:rsidR="00B77857" w:rsidRPr="00A5626D">
              <w:rPr>
                <w:rFonts w:ascii="Garamond" w:hAnsi="Garamond" w:cstheme="minorHAnsi"/>
                <w:sz w:val="22"/>
                <w:szCs w:val="22"/>
                <w:highlight w:val="yellow"/>
              </w:rPr>
              <w:t>»</w:t>
            </w:r>
            <w:r w:rsidRPr="00A5626D">
              <w:rPr>
                <w:rFonts w:ascii="Garamond" w:hAnsi="Garamond" w:cstheme="minorHAnsi"/>
                <w:sz w:val="22"/>
                <w:szCs w:val="22"/>
                <w:highlight w:val="yellow"/>
              </w:rPr>
              <w:t xml:space="preserve"> – год, </w:t>
            </w:r>
            <w:r w:rsidR="00B77857" w:rsidRPr="00A5626D">
              <w:rPr>
                <w:rFonts w:ascii="Garamond" w:hAnsi="Garamond" w:cstheme="minorHAnsi"/>
                <w:sz w:val="22"/>
                <w:szCs w:val="22"/>
                <w:highlight w:val="yellow"/>
              </w:rPr>
              <w:t>«</w:t>
            </w:r>
            <w:r w:rsidRPr="00A5626D">
              <w:rPr>
                <w:rFonts w:ascii="Garamond" w:hAnsi="Garamond" w:cstheme="minorHAnsi"/>
                <w:sz w:val="22"/>
                <w:szCs w:val="22"/>
                <w:highlight w:val="yellow"/>
              </w:rPr>
              <w:t>ММ</w:t>
            </w:r>
            <w:r w:rsidR="00B77857" w:rsidRPr="00A5626D">
              <w:rPr>
                <w:rFonts w:ascii="Garamond" w:hAnsi="Garamond" w:cstheme="minorHAnsi"/>
                <w:sz w:val="22"/>
                <w:szCs w:val="22"/>
                <w:highlight w:val="yellow"/>
              </w:rPr>
              <w:t>»</w:t>
            </w:r>
            <w:r w:rsidRPr="00A5626D">
              <w:rPr>
                <w:rFonts w:ascii="Garamond" w:hAnsi="Garamond" w:cstheme="minorHAnsi"/>
                <w:sz w:val="22"/>
                <w:szCs w:val="22"/>
                <w:highlight w:val="yellow"/>
              </w:rPr>
              <w:t xml:space="preserve"> – порядковый номер месяца, </w:t>
            </w:r>
            <w:r w:rsidR="00B77857" w:rsidRPr="00A5626D">
              <w:rPr>
                <w:rFonts w:ascii="Garamond" w:hAnsi="Garamond" w:cstheme="minorHAnsi"/>
                <w:sz w:val="22"/>
                <w:szCs w:val="22"/>
                <w:highlight w:val="yellow"/>
              </w:rPr>
              <w:t>«</w:t>
            </w:r>
            <w:r w:rsidRPr="00A5626D">
              <w:rPr>
                <w:rFonts w:ascii="Garamond" w:hAnsi="Garamond" w:cstheme="minorHAnsi"/>
                <w:sz w:val="22"/>
                <w:szCs w:val="22"/>
                <w:highlight w:val="yellow"/>
              </w:rPr>
              <w:t>ДД</w:t>
            </w:r>
            <w:r w:rsidR="00B77857" w:rsidRPr="00A5626D">
              <w:rPr>
                <w:rFonts w:ascii="Garamond" w:hAnsi="Garamond" w:cstheme="minorHAnsi"/>
                <w:sz w:val="22"/>
                <w:szCs w:val="22"/>
                <w:highlight w:val="yellow"/>
              </w:rPr>
              <w:t>»</w:t>
            </w:r>
            <w:r w:rsidRPr="00A5626D">
              <w:rPr>
                <w:rFonts w:ascii="Garamond" w:hAnsi="Garamond" w:cstheme="minorHAnsi"/>
                <w:sz w:val="22"/>
                <w:szCs w:val="22"/>
                <w:highlight w:val="yellow"/>
              </w:rPr>
              <w:t xml:space="preserve"> – день, </w:t>
            </w:r>
            <w:r w:rsidR="00B77857" w:rsidRPr="00A5626D">
              <w:rPr>
                <w:rFonts w:ascii="Garamond" w:hAnsi="Garamond" w:cstheme="minorHAnsi"/>
                <w:sz w:val="22"/>
                <w:szCs w:val="22"/>
                <w:highlight w:val="yellow"/>
              </w:rPr>
              <w:t>«</w:t>
            </w:r>
            <w:r w:rsidRPr="00A5626D">
              <w:rPr>
                <w:rFonts w:ascii="Garamond" w:hAnsi="Garamond" w:cstheme="minorHAnsi"/>
                <w:sz w:val="22"/>
                <w:szCs w:val="22"/>
                <w:highlight w:val="yellow"/>
              </w:rPr>
              <w:t>чч</w:t>
            </w:r>
            <w:r w:rsidR="00B77857" w:rsidRPr="00A5626D">
              <w:rPr>
                <w:rFonts w:ascii="Garamond" w:hAnsi="Garamond" w:cstheme="minorHAnsi"/>
                <w:sz w:val="22"/>
                <w:szCs w:val="22"/>
                <w:highlight w:val="yellow"/>
              </w:rPr>
              <w:t>»</w:t>
            </w:r>
            <w:r w:rsidRPr="00A5626D">
              <w:rPr>
                <w:rFonts w:ascii="Garamond" w:hAnsi="Garamond" w:cstheme="minorHAnsi"/>
                <w:sz w:val="22"/>
                <w:szCs w:val="22"/>
                <w:highlight w:val="yellow"/>
              </w:rPr>
              <w:t xml:space="preserve"> – час, </w:t>
            </w:r>
            <w:r w:rsidR="00B77857" w:rsidRPr="00A5626D">
              <w:rPr>
                <w:rFonts w:ascii="Garamond" w:hAnsi="Garamond" w:cstheme="minorHAnsi"/>
                <w:sz w:val="22"/>
                <w:szCs w:val="22"/>
                <w:highlight w:val="yellow"/>
              </w:rPr>
              <w:t>«</w:t>
            </w:r>
            <w:r w:rsidRPr="00A5626D">
              <w:rPr>
                <w:rFonts w:ascii="Garamond" w:hAnsi="Garamond" w:cstheme="minorHAnsi"/>
                <w:sz w:val="22"/>
                <w:szCs w:val="22"/>
                <w:highlight w:val="yellow"/>
              </w:rPr>
              <w:t>мм</w:t>
            </w:r>
            <w:r w:rsidR="00B77857" w:rsidRPr="00A5626D">
              <w:rPr>
                <w:rFonts w:ascii="Garamond" w:hAnsi="Garamond" w:cstheme="minorHAnsi"/>
                <w:sz w:val="22"/>
                <w:szCs w:val="22"/>
                <w:highlight w:val="yellow"/>
              </w:rPr>
              <w:t>»</w:t>
            </w:r>
            <w:r w:rsidRPr="00A5626D">
              <w:rPr>
                <w:rFonts w:ascii="Garamond" w:hAnsi="Garamond" w:cstheme="minorHAnsi"/>
                <w:sz w:val="22"/>
                <w:szCs w:val="22"/>
                <w:highlight w:val="yellow"/>
              </w:rPr>
              <w:t xml:space="preserve"> – минуты;</w:t>
            </w:r>
          </w:p>
          <w:p w14:paraId="0777B87F" w14:textId="5C06E64B" w:rsidR="00295C6D" w:rsidRPr="00A5626D" w:rsidRDefault="00295C6D" w:rsidP="00B77857">
            <w:pPr>
              <w:widowControl w:val="0"/>
              <w:numPr>
                <w:ilvl w:val="0"/>
                <w:numId w:val="240"/>
              </w:numPr>
              <w:suppressAutoHyphens w:val="0"/>
              <w:autoSpaceDE w:val="0"/>
              <w:autoSpaceDN w:val="0"/>
              <w:adjustRightInd w:val="0"/>
              <w:spacing w:before="120" w:after="120"/>
              <w:ind w:left="426"/>
              <w:jc w:val="both"/>
              <w:rPr>
                <w:rFonts w:ascii="Garamond" w:hAnsi="Garamond" w:cstheme="minorHAnsi"/>
                <w:sz w:val="22"/>
                <w:szCs w:val="22"/>
                <w:highlight w:val="yellow"/>
              </w:rPr>
            </w:pPr>
            <w:r w:rsidRPr="00A5626D">
              <w:rPr>
                <w:rFonts w:ascii="Garamond" w:hAnsi="Garamond" w:cstheme="minorHAnsi"/>
                <w:sz w:val="22"/>
                <w:szCs w:val="22"/>
                <w:highlight w:val="yellow"/>
                <w:lang w:val="en-US"/>
              </w:rPr>
              <w:lastRenderedPageBreak/>
              <w:t>power</w:t>
            </w:r>
            <w:r w:rsidRPr="00A5626D">
              <w:rPr>
                <w:rFonts w:ascii="Garamond" w:hAnsi="Garamond" w:cstheme="minorHAnsi"/>
                <w:sz w:val="22"/>
                <w:szCs w:val="22"/>
                <w:highlight w:val="yellow"/>
              </w:rPr>
              <w:t xml:space="preserve"> – обязательный атрибут, содержит </w:t>
            </w:r>
            <w:r w:rsidRPr="00A5626D">
              <w:rPr>
                <w:rFonts w:ascii="Garamond" w:eastAsia="MS Mincho" w:hAnsi="Garamond" w:cstheme="minorHAnsi"/>
                <w:sz w:val="22"/>
                <w:szCs w:val="22"/>
                <w:highlight w:val="yellow"/>
              </w:rPr>
              <w:t>информацию о количестве электроэнергии. Количество электроэнергии предоставляется в кВт</w:t>
            </w:r>
            <w:r w:rsidR="00B77857" w:rsidRPr="00A5626D">
              <w:rPr>
                <w:rFonts w:ascii="Garamond" w:eastAsia="MS Mincho" w:hAnsi="Garamond" w:cstheme="minorHAnsi"/>
                <w:sz w:val="22"/>
                <w:szCs w:val="22"/>
                <w:highlight w:val="yellow"/>
              </w:rPr>
              <w:t>∙</w:t>
            </w:r>
            <w:r w:rsidRPr="00A5626D">
              <w:rPr>
                <w:rFonts w:ascii="Garamond" w:eastAsia="MS Mincho" w:hAnsi="Garamond" w:cstheme="minorHAnsi"/>
                <w:sz w:val="22"/>
                <w:szCs w:val="22"/>
                <w:highlight w:val="yellow"/>
              </w:rPr>
              <w:t>ч и должно быть целым числом.</w:t>
            </w:r>
          </w:p>
          <w:p w14:paraId="16ED91D1" w14:textId="77777777" w:rsidR="00295C6D" w:rsidRPr="00A5626D" w:rsidRDefault="00295C6D" w:rsidP="00B77857">
            <w:pPr>
              <w:widowControl w:val="0"/>
              <w:autoSpaceDE w:val="0"/>
              <w:autoSpaceDN w:val="0"/>
              <w:adjustRightInd w:val="0"/>
              <w:spacing w:before="120" w:after="120"/>
              <w:jc w:val="both"/>
              <w:rPr>
                <w:rFonts w:ascii="Garamond" w:eastAsia="MS Mincho" w:hAnsi="Garamond" w:cstheme="minorHAnsi"/>
                <w:sz w:val="22"/>
                <w:szCs w:val="22"/>
                <w:highlight w:val="yellow"/>
              </w:rPr>
            </w:pPr>
            <w:r w:rsidRPr="00A5626D">
              <w:rPr>
                <w:rFonts w:ascii="Garamond" w:eastAsia="MS Mincho" w:hAnsi="Garamond" w:cstheme="minorHAnsi"/>
                <w:sz w:val="22"/>
                <w:szCs w:val="22"/>
                <w:highlight w:val="yellow"/>
              </w:rPr>
              <w:t>В электронном документе допускается наличие нескольких элементов &lt;</w:t>
            </w:r>
            <w:r w:rsidRPr="00A5626D">
              <w:rPr>
                <w:rFonts w:ascii="Garamond" w:eastAsia="MS Mincho" w:hAnsi="Garamond" w:cstheme="minorHAnsi"/>
                <w:b/>
                <w:sz w:val="22"/>
                <w:szCs w:val="22"/>
                <w:highlight w:val="yellow"/>
                <w:lang w:val="en-US"/>
              </w:rPr>
              <w:t>flow</w:t>
            </w:r>
            <w:r w:rsidRPr="00A5626D">
              <w:rPr>
                <w:rFonts w:ascii="Garamond" w:eastAsia="MS Mincho" w:hAnsi="Garamond" w:cstheme="minorHAnsi"/>
                <w:sz w:val="22"/>
                <w:szCs w:val="22"/>
                <w:highlight w:val="yellow"/>
              </w:rPr>
              <w:t>&gt;.</w:t>
            </w:r>
          </w:p>
          <w:p w14:paraId="32FFC2D0" w14:textId="77777777" w:rsidR="00295C6D" w:rsidRPr="00A5626D" w:rsidRDefault="00295C6D" w:rsidP="00B77857">
            <w:pPr>
              <w:widowControl w:val="0"/>
              <w:autoSpaceDE w:val="0"/>
              <w:autoSpaceDN w:val="0"/>
              <w:adjustRightInd w:val="0"/>
              <w:spacing w:before="120" w:after="120"/>
              <w:ind w:right="-143"/>
              <w:jc w:val="both"/>
              <w:rPr>
                <w:rFonts w:ascii="Garamond" w:eastAsia="MS Mincho" w:hAnsi="Garamond" w:cstheme="minorHAnsi"/>
                <w:sz w:val="22"/>
                <w:szCs w:val="22"/>
                <w:highlight w:val="yellow"/>
              </w:rPr>
            </w:pPr>
          </w:p>
          <w:p w14:paraId="1B6340CD" w14:textId="59138326" w:rsidR="00295C6D" w:rsidRPr="00A5626D" w:rsidRDefault="00295C6D" w:rsidP="00B77857">
            <w:pPr>
              <w:pStyle w:val="ac"/>
              <w:widowControl w:val="0"/>
              <w:numPr>
                <w:ilvl w:val="0"/>
                <w:numId w:val="276"/>
              </w:numPr>
              <w:autoSpaceDE w:val="0"/>
              <w:autoSpaceDN w:val="0"/>
              <w:adjustRightInd w:val="0"/>
              <w:spacing w:before="120" w:after="120"/>
              <w:contextualSpacing/>
              <w:jc w:val="both"/>
              <w:rPr>
                <w:rFonts w:ascii="Garamond" w:eastAsia="MS Mincho" w:hAnsi="Garamond" w:cstheme="minorHAnsi"/>
                <w:sz w:val="22"/>
                <w:szCs w:val="22"/>
                <w:highlight w:val="yellow"/>
              </w:rPr>
            </w:pPr>
            <w:r w:rsidRPr="00A5626D">
              <w:rPr>
                <w:rFonts w:ascii="Garamond" w:hAnsi="Garamond" w:cstheme="minorHAnsi"/>
                <w:b/>
                <w:sz w:val="22"/>
                <w:szCs w:val="22"/>
                <w:highlight w:val="yellow"/>
              </w:rPr>
              <w:t>Пример макета 21070 электронного документа «</w:t>
            </w:r>
            <w:r w:rsidR="00B77857" w:rsidRPr="00A5626D">
              <w:rPr>
                <w:rFonts w:ascii="Garamond" w:hAnsi="Garamond" w:cstheme="minorHAnsi"/>
                <w:b/>
                <w:sz w:val="22"/>
                <w:szCs w:val="22"/>
                <w:highlight w:val="yellow"/>
              </w:rPr>
              <w:t>А</w:t>
            </w:r>
            <w:r w:rsidRPr="00A5626D">
              <w:rPr>
                <w:rFonts w:ascii="Garamond" w:hAnsi="Garamond" w:cstheme="minorHAnsi"/>
                <w:b/>
                <w:sz w:val="22"/>
                <w:szCs w:val="22"/>
                <w:highlight w:val="yellow"/>
              </w:rPr>
              <w:t xml:space="preserve">кт учета (оборота) по объекту регулирования» </w:t>
            </w:r>
          </w:p>
          <w:p w14:paraId="49B9CC04" w14:textId="77777777" w:rsidR="00295C6D" w:rsidRPr="00A5626D" w:rsidRDefault="00295C6D" w:rsidP="00B77857">
            <w:pPr>
              <w:spacing w:before="120" w:after="120"/>
              <w:ind w:left="360"/>
              <w:jc w:val="both"/>
              <w:rPr>
                <w:rFonts w:ascii="Garamond" w:hAnsi="Garamond"/>
                <w:sz w:val="22"/>
                <w:szCs w:val="22"/>
                <w:highlight w:val="yellow"/>
                <w:lang w:val="en-US"/>
              </w:rPr>
            </w:pPr>
            <w:r w:rsidRPr="00A5626D">
              <w:rPr>
                <w:rFonts w:ascii="Garamond" w:hAnsi="Garamond"/>
                <w:sz w:val="22"/>
                <w:szCs w:val="22"/>
                <w:highlight w:val="yellow"/>
                <w:lang w:val="en-US"/>
              </w:rPr>
              <w:t>&lt;?xml version="1.0" encoding="windows-1251"?&gt;</w:t>
            </w:r>
          </w:p>
          <w:p w14:paraId="77D4A398" w14:textId="77777777" w:rsidR="00295C6D" w:rsidRPr="00A5626D" w:rsidRDefault="00295C6D" w:rsidP="00B77857">
            <w:pPr>
              <w:spacing w:before="120" w:after="120"/>
              <w:ind w:left="360"/>
              <w:jc w:val="both"/>
              <w:rPr>
                <w:rFonts w:ascii="Garamond" w:hAnsi="Garamond"/>
                <w:sz w:val="22"/>
                <w:szCs w:val="22"/>
                <w:highlight w:val="yellow"/>
                <w:lang w:val="en-US"/>
              </w:rPr>
            </w:pPr>
            <w:r w:rsidRPr="00A5626D">
              <w:rPr>
                <w:rFonts w:ascii="Garamond" w:hAnsi="Garamond"/>
                <w:sz w:val="22"/>
                <w:szCs w:val="22"/>
                <w:highlight w:val="yellow"/>
                <w:lang w:val="en-US"/>
              </w:rPr>
              <w:t>&lt;package class="21070" version="1" sender="</w:t>
            </w:r>
            <w:r w:rsidRPr="00A5626D">
              <w:rPr>
                <w:rFonts w:ascii="Garamond" w:hAnsi="Garamond" w:cstheme="minorHAnsi"/>
                <w:sz w:val="22"/>
                <w:szCs w:val="22"/>
                <w:highlight w:val="yellow"/>
                <w:lang w:val="en-US" w:bidi="en-US"/>
              </w:rPr>
              <w:t>5405270341</w:t>
            </w:r>
            <w:r w:rsidRPr="00A5626D">
              <w:rPr>
                <w:rFonts w:ascii="Garamond" w:hAnsi="Garamond"/>
                <w:sz w:val="22"/>
                <w:szCs w:val="22"/>
                <w:highlight w:val="yellow"/>
                <w:lang w:val="en-US"/>
              </w:rPr>
              <w:t>" targetmonth="202204" created="20220420124534" id="BFCEF422B07148F3A63A11D65B9AFD52"&gt;</w:t>
            </w:r>
          </w:p>
          <w:p w14:paraId="3394FEDF" w14:textId="77777777" w:rsidR="00295C6D" w:rsidRPr="00A5626D" w:rsidRDefault="00295C6D" w:rsidP="00B77857">
            <w:pPr>
              <w:spacing w:before="120" w:after="120"/>
              <w:ind w:left="360"/>
              <w:jc w:val="both"/>
              <w:rPr>
                <w:rFonts w:ascii="Garamond" w:hAnsi="Garamond"/>
                <w:sz w:val="22"/>
                <w:szCs w:val="22"/>
                <w:highlight w:val="yellow"/>
                <w:lang w:val="en-US"/>
              </w:rPr>
            </w:pPr>
            <w:r w:rsidRPr="00A5626D">
              <w:rPr>
                <w:rFonts w:ascii="Garamond" w:hAnsi="Garamond"/>
                <w:sz w:val="22"/>
                <w:szCs w:val="22"/>
                <w:highlight w:val="yellow"/>
                <w:lang w:val="en-US"/>
              </w:rPr>
              <w:t xml:space="preserve"> &lt;regulation-object code="ORXXXXXX"&gt;</w:t>
            </w:r>
          </w:p>
          <w:p w14:paraId="76028634" w14:textId="77777777" w:rsidR="00295C6D" w:rsidRPr="00A5626D" w:rsidRDefault="00295C6D" w:rsidP="00B77857">
            <w:pPr>
              <w:spacing w:before="120" w:after="120"/>
              <w:ind w:left="360"/>
              <w:jc w:val="both"/>
              <w:rPr>
                <w:rFonts w:ascii="Garamond" w:hAnsi="Garamond"/>
                <w:sz w:val="22"/>
                <w:szCs w:val="22"/>
                <w:highlight w:val="yellow"/>
                <w:lang w:val="en-US"/>
              </w:rPr>
            </w:pPr>
            <w:r w:rsidRPr="00A5626D">
              <w:rPr>
                <w:rFonts w:ascii="Garamond" w:hAnsi="Garamond"/>
                <w:sz w:val="22"/>
                <w:szCs w:val="22"/>
                <w:highlight w:val="yellow"/>
                <w:lang w:val="en-US"/>
              </w:rPr>
              <w:t xml:space="preserve"> &lt;flow begin="202204200000" end="202204200100" power="45500"</w:t>
            </w:r>
          </w:p>
          <w:p w14:paraId="59E366E2" w14:textId="77777777" w:rsidR="00295C6D" w:rsidRPr="00A5626D" w:rsidRDefault="00295C6D" w:rsidP="00B77857">
            <w:pPr>
              <w:spacing w:before="120" w:after="120"/>
              <w:ind w:left="360"/>
              <w:jc w:val="both"/>
              <w:rPr>
                <w:rFonts w:ascii="Garamond" w:hAnsi="Garamond"/>
                <w:sz w:val="22"/>
                <w:szCs w:val="22"/>
                <w:highlight w:val="yellow"/>
                <w:lang w:val="en-US"/>
              </w:rPr>
            </w:pPr>
            <w:r w:rsidRPr="00A5626D">
              <w:rPr>
                <w:rFonts w:ascii="Garamond" w:hAnsi="Garamond"/>
                <w:sz w:val="22"/>
                <w:szCs w:val="22"/>
                <w:highlight w:val="yellow"/>
                <w:lang w:val="en-US"/>
              </w:rPr>
              <w:t>&lt;/flow&gt;</w:t>
            </w:r>
          </w:p>
          <w:p w14:paraId="03EEDED2" w14:textId="77777777" w:rsidR="00295C6D" w:rsidRPr="00A5626D" w:rsidRDefault="00295C6D" w:rsidP="00B77857">
            <w:pPr>
              <w:spacing w:before="120" w:after="120"/>
              <w:ind w:left="360"/>
              <w:jc w:val="both"/>
              <w:rPr>
                <w:rFonts w:ascii="Garamond" w:hAnsi="Garamond"/>
                <w:sz w:val="22"/>
                <w:szCs w:val="22"/>
                <w:highlight w:val="yellow"/>
                <w:lang w:val="en-US"/>
              </w:rPr>
            </w:pPr>
            <w:r w:rsidRPr="00A5626D">
              <w:rPr>
                <w:rFonts w:ascii="Garamond" w:hAnsi="Garamond"/>
                <w:sz w:val="22"/>
                <w:szCs w:val="22"/>
                <w:highlight w:val="yellow"/>
                <w:lang w:val="en-US"/>
              </w:rPr>
              <w:t>&lt;flow begin="202204200100" end="202204200200" power="37000"</w:t>
            </w:r>
          </w:p>
          <w:p w14:paraId="7DE6D548" w14:textId="77777777" w:rsidR="00295C6D" w:rsidRPr="00A5626D" w:rsidRDefault="00295C6D" w:rsidP="00B77857">
            <w:pPr>
              <w:spacing w:before="120" w:after="120"/>
              <w:ind w:left="360"/>
              <w:jc w:val="both"/>
              <w:rPr>
                <w:rFonts w:ascii="Garamond" w:hAnsi="Garamond"/>
                <w:sz w:val="22"/>
                <w:szCs w:val="22"/>
                <w:highlight w:val="yellow"/>
                <w:lang w:val="en-US"/>
              </w:rPr>
            </w:pPr>
            <w:r w:rsidRPr="00A5626D">
              <w:rPr>
                <w:rFonts w:ascii="Garamond" w:hAnsi="Garamond"/>
                <w:sz w:val="22"/>
                <w:szCs w:val="22"/>
                <w:highlight w:val="yellow"/>
                <w:lang w:val="en-US"/>
              </w:rPr>
              <w:t>&lt;/flow&gt;</w:t>
            </w:r>
          </w:p>
          <w:p w14:paraId="1B9137CD" w14:textId="77777777" w:rsidR="00295C6D" w:rsidRPr="00A5626D" w:rsidRDefault="00295C6D" w:rsidP="00B77857">
            <w:pPr>
              <w:spacing w:before="120" w:after="120"/>
              <w:ind w:left="360"/>
              <w:jc w:val="both"/>
              <w:rPr>
                <w:rFonts w:ascii="Garamond" w:hAnsi="Garamond"/>
                <w:sz w:val="22"/>
                <w:szCs w:val="22"/>
                <w:highlight w:val="yellow"/>
                <w:lang w:val="en-US"/>
              </w:rPr>
            </w:pPr>
            <w:r w:rsidRPr="00A5626D">
              <w:rPr>
                <w:rFonts w:ascii="Garamond" w:hAnsi="Garamond"/>
                <w:sz w:val="22"/>
                <w:szCs w:val="22"/>
                <w:highlight w:val="yellow"/>
                <w:lang w:val="en-US"/>
              </w:rPr>
              <w:t>…</w:t>
            </w:r>
          </w:p>
          <w:p w14:paraId="2D1664B4" w14:textId="77777777" w:rsidR="00295C6D" w:rsidRPr="00A5626D" w:rsidRDefault="00295C6D" w:rsidP="00B77857">
            <w:pPr>
              <w:spacing w:before="120" w:after="120"/>
              <w:ind w:left="360"/>
              <w:jc w:val="both"/>
              <w:rPr>
                <w:rFonts w:ascii="Garamond" w:hAnsi="Garamond"/>
                <w:sz w:val="22"/>
                <w:szCs w:val="22"/>
                <w:highlight w:val="yellow"/>
                <w:lang w:val="en-US"/>
              </w:rPr>
            </w:pPr>
            <w:r w:rsidRPr="00A5626D">
              <w:rPr>
                <w:rFonts w:ascii="Garamond" w:hAnsi="Garamond"/>
                <w:sz w:val="22"/>
                <w:szCs w:val="22"/>
                <w:highlight w:val="yellow"/>
                <w:lang w:val="en-US"/>
              </w:rPr>
              <w:t>&lt;flow begin="202204200200" end="202204200300" power="39500"/&gt;</w:t>
            </w:r>
          </w:p>
          <w:p w14:paraId="4F220DD4" w14:textId="77777777" w:rsidR="00295C6D" w:rsidRPr="00A5626D" w:rsidRDefault="00295C6D" w:rsidP="00B77857">
            <w:pPr>
              <w:spacing w:before="120" w:after="120"/>
              <w:ind w:left="360"/>
              <w:jc w:val="both"/>
              <w:rPr>
                <w:rFonts w:ascii="Garamond" w:hAnsi="Garamond"/>
                <w:sz w:val="22"/>
                <w:szCs w:val="22"/>
                <w:highlight w:val="yellow"/>
                <w:lang w:val="en-US"/>
              </w:rPr>
            </w:pPr>
            <w:r w:rsidRPr="00A5626D">
              <w:rPr>
                <w:rFonts w:ascii="Garamond" w:hAnsi="Garamond"/>
                <w:sz w:val="22"/>
                <w:szCs w:val="22"/>
                <w:highlight w:val="yellow"/>
                <w:lang w:val="en-US"/>
              </w:rPr>
              <w:t xml:space="preserve">  &lt;flow begin="202204200300" end="202204200400" power="33200"/&gt;</w:t>
            </w:r>
          </w:p>
          <w:p w14:paraId="68795FF2" w14:textId="77777777" w:rsidR="00295C6D" w:rsidRPr="00A5626D" w:rsidRDefault="00295C6D" w:rsidP="00B77857">
            <w:pPr>
              <w:spacing w:before="120" w:after="120"/>
              <w:ind w:left="360"/>
              <w:jc w:val="both"/>
              <w:rPr>
                <w:rFonts w:ascii="Garamond" w:hAnsi="Garamond"/>
                <w:sz w:val="22"/>
                <w:szCs w:val="22"/>
                <w:highlight w:val="yellow"/>
                <w:lang w:val="en-US"/>
              </w:rPr>
            </w:pPr>
            <w:r w:rsidRPr="00A5626D">
              <w:rPr>
                <w:rFonts w:ascii="Garamond" w:hAnsi="Garamond"/>
                <w:sz w:val="22"/>
                <w:szCs w:val="22"/>
                <w:highlight w:val="yellow"/>
                <w:lang w:val="en-US"/>
              </w:rPr>
              <w:t xml:space="preserve"> &lt;flow begin="202204200400" end="202204200500" power="42300"/&gt;</w:t>
            </w:r>
          </w:p>
          <w:p w14:paraId="1362B044" w14:textId="77777777" w:rsidR="00295C6D" w:rsidRPr="00A5626D" w:rsidRDefault="00295C6D" w:rsidP="00B77857">
            <w:pPr>
              <w:spacing w:before="120" w:after="120"/>
              <w:ind w:left="360"/>
              <w:jc w:val="both"/>
              <w:rPr>
                <w:rFonts w:ascii="Garamond" w:hAnsi="Garamond"/>
                <w:sz w:val="22"/>
                <w:szCs w:val="22"/>
                <w:highlight w:val="yellow"/>
                <w:lang w:val="en-US"/>
              </w:rPr>
            </w:pPr>
            <w:r w:rsidRPr="00A5626D">
              <w:rPr>
                <w:rFonts w:ascii="Garamond" w:hAnsi="Garamond"/>
                <w:sz w:val="22"/>
                <w:szCs w:val="22"/>
                <w:highlight w:val="yellow"/>
                <w:lang w:val="en-US"/>
              </w:rPr>
              <w:t>&lt;flow begin="202204200500" end="202204200600" power="42800"/&gt;</w:t>
            </w:r>
          </w:p>
          <w:p w14:paraId="4C10E304" w14:textId="77777777" w:rsidR="00295C6D" w:rsidRPr="00A5626D" w:rsidRDefault="00295C6D" w:rsidP="00B77857">
            <w:pPr>
              <w:spacing w:before="120" w:after="120"/>
              <w:ind w:left="360"/>
              <w:jc w:val="both"/>
              <w:rPr>
                <w:rFonts w:ascii="Garamond" w:hAnsi="Garamond"/>
                <w:sz w:val="22"/>
                <w:szCs w:val="22"/>
                <w:highlight w:val="yellow"/>
                <w:lang w:val="en-US"/>
              </w:rPr>
            </w:pPr>
            <w:r w:rsidRPr="00A5626D">
              <w:rPr>
                <w:rFonts w:ascii="Garamond" w:hAnsi="Garamond"/>
                <w:sz w:val="22"/>
                <w:szCs w:val="22"/>
                <w:highlight w:val="yellow"/>
                <w:lang w:val="en-US"/>
              </w:rPr>
              <w:t>&lt;/regulation-object&gt;</w:t>
            </w:r>
          </w:p>
          <w:p w14:paraId="3EE1E0C7" w14:textId="77777777" w:rsidR="00295C6D" w:rsidRPr="00A5626D" w:rsidRDefault="00295C6D" w:rsidP="00B77857">
            <w:pPr>
              <w:spacing w:before="120" w:after="120"/>
              <w:ind w:left="360"/>
              <w:jc w:val="both"/>
              <w:rPr>
                <w:rFonts w:ascii="Garamond" w:hAnsi="Garamond"/>
                <w:sz w:val="22"/>
                <w:szCs w:val="22"/>
                <w:highlight w:val="yellow"/>
                <w:lang w:val="en-US"/>
              </w:rPr>
            </w:pPr>
            <w:r w:rsidRPr="00A5626D">
              <w:rPr>
                <w:rFonts w:ascii="Garamond" w:hAnsi="Garamond"/>
                <w:sz w:val="22"/>
                <w:szCs w:val="22"/>
                <w:highlight w:val="yellow"/>
                <w:lang w:val="en-US"/>
              </w:rPr>
              <w:t>&lt;/package&gt;</w:t>
            </w:r>
          </w:p>
          <w:p w14:paraId="7A790157" w14:textId="77777777" w:rsidR="00295C6D" w:rsidRPr="00A5626D" w:rsidRDefault="00295C6D" w:rsidP="00B77857">
            <w:pPr>
              <w:spacing w:before="120" w:after="120"/>
              <w:ind w:left="360"/>
              <w:jc w:val="both"/>
              <w:rPr>
                <w:rFonts w:ascii="Garamond" w:hAnsi="Garamond"/>
                <w:sz w:val="22"/>
                <w:szCs w:val="22"/>
                <w:highlight w:val="yellow"/>
                <w:lang w:val="en-US"/>
              </w:rPr>
            </w:pPr>
          </w:p>
          <w:p w14:paraId="0F3558A6" w14:textId="77777777" w:rsidR="00295C6D" w:rsidRPr="00A5626D" w:rsidRDefault="00295C6D" w:rsidP="00B77857">
            <w:pPr>
              <w:pStyle w:val="afff1"/>
              <w:numPr>
                <w:ilvl w:val="0"/>
                <w:numId w:val="276"/>
              </w:numPr>
              <w:spacing w:before="120" w:after="120"/>
              <w:rPr>
                <w:rFonts w:ascii="Garamond" w:hAnsi="Garamond" w:cstheme="minorHAnsi"/>
                <w:b/>
                <w:highlight w:val="yellow"/>
              </w:rPr>
            </w:pPr>
            <w:r w:rsidRPr="00A5626D">
              <w:rPr>
                <w:rFonts w:ascii="Garamond" w:hAnsi="Garamond" w:cstheme="minorHAnsi"/>
                <w:b/>
                <w:highlight w:val="yellow"/>
              </w:rPr>
              <w:t>Описание формата электронного документа «Уведомление о получении КО акта учета (оборота) по объекту регулирования. Макет 21071»</w:t>
            </w:r>
          </w:p>
          <w:p w14:paraId="0C969D78" w14:textId="77777777" w:rsidR="00295C6D" w:rsidRPr="00A5626D" w:rsidRDefault="00295C6D" w:rsidP="00B77857">
            <w:pPr>
              <w:pStyle w:val="ac"/>
              <w:numPr>
                <w:ilvl w:val="1"/>
                <w:numId w:val="276"/>
              </w:numPr>
              <w:spacing w:before="120" w:after="120"/>
              <w:contextualSpacing/>
              <w:rPr>
                <w:rFonts w:ascii="Garamond" w:hAnsi="Garamond"/>
                <w:b/>
                <w:sz w:val="22"/>
                <w:szCs w:val="22"/>
                <w:highlight w:val="yellow"/>
                <w:lang w:eastAsia="en-US"/>
              </w:rPr>
            </w:pPr>
            <w:r w:rsidRPr="00A5626D">
              <w:rPr>
                <w:rFonts w:ascii="Garamond" w:hAnsi="Garamond"/>
                <w:b/>
                <w:sz w:val="22"/>
                <w:szCs w:val="22"/>
                <w:highlight w:val="yellow"/>
                <w:lang w:eastAsia="en-US"/>
              </w:rPr>
              <w:lastRenderedPageBreak/>
              <w:t>Описание документа</w:t>
            </w:r>
          </w:p>
          <w:p w14:paraId="0923AAD0" w14:textId="77777777" w:rsidR="00295C6D" w:rsidRPr="00A5626D" w:rsidRDefault="00295C6D" w:rsidP="00B77857">
            <w:pPr>
              <w:spacing w:before="120" w:after="120"/>
              <w:ind w:left="792"/>
              <w:jc w:val="both"/>
              <w:rPr>
                <w:rFonts w:ascii="Garamond" w:hAnsi="Garamond" w:cstheme="minorHAnsi"/>
                <w:sz w:val="22"/>
                <w:szCs w:val="22"/>
                <w:highlight w:val="yellow"/>
                <w:lang w:bidi="en-US"/>
              </w:rPr>
            </w:pPr>
            <w:r w:rsidRPr="00A5626D">
              <w:rPr>
                <w:rFonts w:ascii="Garamond" w:hAnsi="Garamond" w:cstheme="minorHAnsi"/>
                <w:sz w:val="22"/>
                <w:szCs w:val="22"/>
                <w:highlight w:val="yellow"/>
                <w:lang w:bidi="en-US"/>
              </w:rPr>
              <w:t>Формат документа используется для информирования о результатах приема макета 21070. Документ содержит информацию о результате автоматической проверки ЭП, структуры присланного макета 21070 и содержащейся в нем информации о фактических данных коммерческого учета.</w:t>
            </w:r>
          </w:p>
          <w:p w14:paraId="385C931A" w14:textId="77777777" w:rsidR="00295C6D" w:rsidRPr="00A5626D" w:rsidRDefault="00295C6D" w:rsidP="00B77857">
            <w:pPr>
              <w:spacing w:before="120" w:after="120"/>
              <w:ind w:left="792"/>
              <w:jc w:val="both"/>
              <w:rPr>
                <w:rFonts w:ascii="Garamond" w:hAnsi="Garamond" w:cstheme="minorHAnsi"/>
                <w:sz w:val="22"/>
                <w:szCs w:val="22"/>
                <w:highlight w:val="yellow"/>
                <w:lang w:bidi="en-US"/>
              </w:rPr>
            </w:pPr>
            <w:r w:rsidRPr="00A5626D">
              <w:rPr>
                <w:rFonts w:ascii="Garamond" w:hAnsi="Garamond" w:cstheme="minorHAnsi"/>
                <w:sz w:val="22"/>
                <w:szCs w:val="22"/>
                <w:highlight w:val="yellow"/>
                <w:lang w:bidi="en-US"/>
              </w:rPr>
              <w:t xml:space="preserve">При передаче электронного документа используется расширяемый язык разметки в соответствии со спецификацией </w:t>
            </w:r>
            <w:r w:rsidRPr="00A5626D">
              <w:rPr>
                <w:rFonts w:ascii="Garamond" w:hAnsi="Garamond" w:cstheme="minorHAnsi"/>
                <w:sz w:val="22"/>
                <w:szCs w:val="22"/>
                <w:highlight w:val="yellow"/>
                <w:lang w:val="en-US" w:bidi="en-US"/>
              </w:rPr>
              <w:t>Extensible</w:t>
            </w:r>
            <w:r w:rsidRPr="00A5626D">
              <w:rPr>
                <w:rFonts w:ascii="Garamond" w:hAnsi="Garamond" w:cstheme="minorHAnsi"/>
                <w:sz w:val="22"/>
                <w:szCs w:val="22"/>
                <w:highlight w:val="yellow"/>
                <w:lang w:bidi="en-US"/>
              </w:rPr>
              <w:t xml:space="preserve"> </w:t>
            </w:r>
            <w:r w:rsidRPr="00A5626D">
              <w:rPr>
                <w:rFonts w:ascii="Garamond" w:hAnsi="Garamond" w:cstheme="minorHAnsi"/>
                <w:sz w:val="22"/>
                <w:szCs w:val="22"/>
                <w:highlight w:val="yellow"/>
                <w:lang w:val="en-US" w:bidi="en-US"/>
              </w:rPr>
              <w:t>Markup</w:t>
            </w:r>
            <w:r w:rsidRPr="00A5626D">
              <w:rPr>
                <w:rFonts w:ascii="Garamond" w:hAnsi="Garamond" w:cstheme="minorHAnsi"/>
                <w:sz w:val="22"/>
                <w:szCs w:val="22"/>
                <w:highlight w:val="yellow"/>
                <w:lang w:bidi="en-US"/>
              </w:rPr>
              <w:t xml:space="preserve"> </w:t>
            </w:r>
            <w:r w:rsidRPr="00A5626D">
              <w:rPr>
                <w:rFonts w:ascii="Garamond" w:hAnsi="Garamond" w:cstheme="minorHAnsi"/>
                <w:sz w:val="22"/>
                <w:szCs w:val="22"/>
                <w:highlight w:val="yellow"/>
                <w:lang w:val="en-US" w:bidi="en-US"/>
              </w:rPr>
              <w:t>Language</w:t>
            </w:r>
            <w:r w:rsidRPr="00A5626D">
              <w:rPr>
                <w:rFonts w:ascii="Garamond" w:hAnsi="Garamond" w:cstheme="minorHAnsi"/>
                <w:sz w:val="22"/>
                <w:szCs w:val="22"/>
                <w:highlight w:val="yellow"/>
                <w:lang w:bidi="en-US"/>
              </w:rPr>
              <w:t xml:space="preserve"> (</w:t>
            </w:r>
            <w:r w:rsidRPr="00A5626D">
              <w:rPr>
                <w:rFonts w:ascii="Garamond" w:hAnsi="Garamond" w:cstheme="minorHAnsi"/>
                <w:sz w:val="22"/>
                <w:szCs w:val="22"/>
                <w:highlight w:val="yellow"/>
                <w:lang w:val="en-US" w:bidi="en-US"/>
              </w:rPr>
              <w:t>XML</w:t>
            </w:r>
            <w:r w:rsidRPr="00A5626D">
              <w:rPr>
                <w:rFonts w:ascii="Garamond" w:hAnsi="Garamond" w:cstheme="minorHAnsi"/>
                <w:sz w:val="22"/>
                <w:szCs w:val="22"/>
                <w:highlight w:val="yellow"/>
                <w:lang w:bidi="en-US"/>
              </w:rPr>
              <w:t>) 1.0.</w:t>
            </w:r>
          </w:p>
          <w:p w14:paraId="5284265C" w14:textId="77777777" w:rsidR="00295C6D" w:rsidRPr="00A5626D" w:rsidRDefault="00295C6D" w:rsidP="00B77857">
            <w:pPr>
              <w:spacing w:before="120" w:after="120"/>
              <w:ind w:left="792"/>
              <w:jc w:val="both"/>
              <w:rPr>
                <w:rFonts w:ascii="Garamond" w:hAnsi="Garamond" w:cstheme="minorHAnsi"/>
                <w:sz w:val="22"/>
                <w:szCs w:val="22"/>
                <w:highlight w:val="yellow"/>
                <w:lang w:bidi="en-US"/>
              </w:rPr>
            </w:pPr>
            <w:r w:rsidRPr="00A5626D">
              <w:rPr>
                <w:rFonts w:ascii="Garamond" w:hAnsi="Garamond" w:cstheme="minorHAnsi"/>
                <w:sz w:val="22"/>
                <w:szCs w:val="22"/>
                <w:highlight w:val="yellow"/>
                <w:lang w:bidi="en-US"/>
              </w:rPr>
              <w:t xml:space="preserve">При декларации кодировки, являющейся частью декларации </w:t>
            </w:r>
            <w:r w:rsidRPr="00A5626D">
              <w:rPr>
                <w:rFonts w:ascii="Garamond" w:hAnsi="Garamond" w:cstheme="minorHAnsi"/>
                <w:sz w:val="22"/>
                <w:szCs w:val="22"/>
                <w:highlight w:val="yellow"/>
                <w:lang w:val="en-US" w:bidi="en-US"/>
              </w:rPr>
              <w:t>XML</w:t>
            </w:r>
            <w:r w:rsidRPr="00A5626D">
              <w:rPr>
                <w:rFonts w:ascii="Garamond" w:hAnsi="Garamond" w:cstheme="minorHAnsi"/>
                <w:sz w:val="22"/>
                <w:szCs w:val="22"/>
                <w:highlight w:val="yellow"/>
                <w:lang w:bidi="en-US"/>
              </w:rPr>
              <w:t xml:space="preserve">, используются названия и псевдонимы русскоязычных наборов символов, зарегистрированных в </w:t>
            </w:r>
            <w:r w:rsidRPr="00A5626D">
              <w:rPr>
                <w:rFonts w:ascii="Garamond" w:hAnsi="Garamond" w:cstheme="minorHAnsi"/>
                <w:sz w:val="22"/>
                <w:szCs w:val="22"/>
                <w:highlight w:val="yellow"/>
                <w:lang w:val="en-US" w:bidi="en-US"/>
              </w:rPr>
              <w:t>Internet</w:t>
            </w:r>
            <w:r w:rsidRPr="00A5626D">
              <w:rPr>
                <w:rFonts w:ascii="Garamond" w:hAnsi="Garamond" w:cstheme="minorHAnsi"/>
                <w:sz w:val="22"/>
                <w:szCs w:val="22"/>
                <w:highlight w:val="yellow"/>
                <w:lang w:bidi="en-US"/>
              </w:rPr>
              <w:t xml:space="preserve"> </w:t>
            </w:r>
            <w:r w:rsidRPr="00A5626D">
              <w:rPr>
                <w:rFonts w:ascii="Garamond" w:hAnsi="Garamond" w:cstheme="minorHAnsi"/>
                <w:sz w:val="22"/>
                <w:szCs w:val="22"/>
                <w:highlight w:val="yellow"/>
                <w:lang w:val="en-US" w:bidi="en-US"/>
              </w:rPr>
              <w:t>Assigned</w:t>
            </w:r>
            <w:r w:rsidRPr="00A5626D">
              <w:rPr>
                <w:rFonts w:ascii="Garamond" w:hAnsi="Garamond" w:cstheme="minorHAnsi"/>
                <w:sz w:val="22"/>
                <w:szCs w:val="22"/>
                <w:highlight w:val="yellow"/>
                <w:lang w:bidi="en-US"/>
              </w:rPr>
              <w:t xml:space="preserve"> </w:t>
            </w:r>
            <w:r w:rsidRPr="00A5626D">
              <w:rPr>
                <w:rFonts w:ascii="Garamond" w:hAnsi="Garamond" w:cstheme="minorHAnsi"/>
                <w:sz w:val="22"/>
                <w:szCs w:val="22"/>
                <w:highlight w:val="yellow"/>
                <w:lang w:val="en-US" w:bidi="en-US"/>
              </w:rPr>
              <w:t>Numbers</w:t>
            </w:r>
            <w:r w:rsidRPr="00A5626D">
              <w:rPr>
                <w:rFonts w:ascii="Garamond" w:hAnsi="Garamond" w:cstheme="minorHAnsi"/>
                <w:sz w:val="22"/>
                <w:szCs w:val="22"/>
                <w:highlight w:val="yellow"/>
                <w:lang w:bidi="en-US"/>
              </w:rPr>
              <w:t xml:space="preserve"> </w:t>
            </w:r>
            <w:r w:rsidRPr="00A5626D">
              <w:rPr>
                <w:rFonts w:ascii="Garamond" w:hAnsi="Garamond" w:cstheme="minorHAnsi"/>
                <w:sz w:val="22"/>
                <w:szCs w:val="22"/>
                <w:highlight w:val="yellow"/>
                <w:lang w:val="en-US" w:bidi="en-US"/>
              </w:rPr>
              <w:t>Authority</w:t>
            </w:r>
            <w:r w:rsidRPr="00A5626D">
              <w:rPr>
                <w:rFonts w:ascii="Garamond" w:hAnsi="Garamond" w:cstheme="minorHAnsi"/>
                <w:sz w:val="22"/>
                <w:szCs w:val="22"/>
                <w:highlight w:val="yellow"/>
                <w:lang w:bidi="en-US"/>
              </w:rPr>
              <w:t>. Для данного электронного документа используется кодировка «</w:t>
            </w:r>
            <w:r w:rsidRPr="00A5626D">
              <w:rPr>
                <w:rFonts w:ascii="Garamond" w:hAnsi="Garamond" w:cstheme="minorHAnsi"/>
                <w:sz w:val="22"/>
                <w:szCs w:val="22"/>
                <w:highlight w:val="yellow"/>
                <w:lang w:val="en-US" w:bidi="en-US"/>
              </w:rPr>
              <w:t>windows</w:t>
            </w:r>
            <w:r w:rsidRPr="00A5626D">
              <w:rPr>
                <w:rFonts w:ascii="Garamond" w:hAnsi="Garamond" w:cstheme="minorHAnsi"/>
                <w:sz w:val="22"/>
                <w:szCs w:val="22"/>
                <w:highlight w:val="yellow"/>
                <w:lang w:bidi="en-US"/>
              </w:rPr>
              <w:t>-1251».</w:t>
            </w:r>
          </w:p>
          <w:p w14:paraId="32C07010" w14:textId="77777777" w:rsidR="00295C6D" w:rsidRPr="00A5626D" w:rsidRDefault="00295C6D" w:rsidP="00B77857">
            <w:pPr>
              <w:spacing w:before="120" w:after="120"/>
              <w:ind w:left="792"/>
              <w:jc w:val="both"/>
              <w:rPr>
                <w:rFonts w:ascii="Garamond" w:hAnsi="Garamond" w:cstheme="minorHAnsi"/>
                <w:sz w:val="22"/>
                <w:szCs w:val="22"/>
                <w:highlight w:val="yellow"/>
                <w:lang w:bidi="en-US"/>
              </w:rPr>
            </w:pPr>
          </w:p>
          <w:p w14:paraId="1B97EB15" w14:textId="77777777" w:rsidR="00295C6D" w:rsidRPr="00A5626D" w:rsidRDefault="00295C6D" w:rsidP="00B77857">
            <w:pPr>
              <w:pStyle w:val="ac"/>
              <w:numPr>
                <w:ilvl w:val="1"/>
                <w:numId w:val="276"/>
              </w:numPr>
              <w:spacing w:before="120" w:after="120"/>
              <w:contextualSpacing/>
              <w:rPr>
                <w:rFonts w:ascii="Garamond" w:hAnsi="Garamond"/>
                <w:b/>
                <w:sz w:val="22"/>
                <w:szCs w:val="22"/>
                <w:highlight w:val="yellow"/>
                <w:lang w:eastAsia="en-US"/>
              </w:rPr>
            </w:pPr>
            <w:r w:rsidRPr="00A5626D">
              <w:rPr>
                <w:rFonts w:ascii="Garamond" w:hAnsi="Garamond"/>
                <w:b/>
                <w:sz w:val="22"/>
                <w:szCs w:val="22"/>
                <w:highlight w:val="yellow"/>
                <w:lang w:eastAsia="en-US"/>
              </w:rPr>
              <w:t>Описание структуры документа</w:t>
            </w:r>
          </w:p>
          <w:p w14:paraId="2E22533B" w14:textId="77777777" w:rsidR="00295C6D" w:rsidRPr="00A5626D" w:rsidRDefault="00295C6D" w:rsidP="00B77857">
            <w:pPr>
              <w:pStyle w:val="ac"/>
              <w:spacing w:before="120" w:after="120"/>
              <w:ind w:left="792"/>
              <w:rPr>
                <w:rFonts w:ascii="Garamond" w:hAnsi="Garamond"/>
                <w:b/>
                <w:sz w:val="22"/>
                <w:szCs w:val="22"/>
                <w:highlight w:val="yellow"/>
                <w:lang w:eastAsia="en-US"/>
              </w:rPr>
            </w:pPr>
          </w:p>
          <w:p w14:paraId="75DFC6A9" w14:textId="77777777" w:rsidR="00295C6D" w:rsidRPr="00A5626D" w:rsidRDefault="00295C6D" w:rsidP="00B77857">
            <w:pPr>
              <w:pStyle w:val="ac"/>
              <w:numPr>
                <w:ilvl w:val="2"/>
                <w:numId w:val="276"/>
              </w:numPr>
              <w:spacing w:before="120" w:after="120"/>
              <w:contextualSpacing/>
              <w:rPr>
                <w:rFonts w:ascii="Garamond" w:hAnsi="Garamond"/>
                <w:b/>
                <w:sz w:val="22"/>
                <w:szCs w:val="22"/>
                <w:highlight w:val="yellow"/>
                <w:lang w:eastAsia="en-US"/>
              </w:rPr>
            </w:pPr>
            <w:r w:rsidRPr="00A5626D">
              <w:rPr>
                <w:rFonts w:ascii="Garamond" w:hAnsi="Garamond"/>
                <w:sz w:val="22"/>
                <w:szCs w:val="22"/>
                <w:highlight w:val="yellow"/>
              </w:rPr>
              <w:t>&lt;</w:t>
            </w:r>
            <w:r w:rsidRPr="00A5626D">
              <w:rPr>
                <w:rFonts w:ascii="Garamond" w:hAnsi="Garamond"/>
                <w:b/>
                <w:bCs/>
                <w:sz w:val="22"/>
                <w:szCs w:val="22"/>
                <w:highlight w:val="yellow"/>
              </w:rPr>
              <w:t>message</w:t>
            </w:r>
            <w:r w:rsidRPr="00A5626D">
              <w:rPr>
                <w:rFonts w:ascii="Garamond" w:hAnsi="Garamond"/>
                <w:sz w:val="22"/>
                <w:szCs w:val="22"/>
                <w:highlight w:val="yellow"/>
              </w:rPr>
              <w:t>&gt;</w:t>
            </w:r>
          </w:p>
          <w:p w14:paraId="24D5457F" w14:textId="77777777" w:rsidR="00295C6D" w:rsidRPr="00A5626D" w:rsidRDefault="00295C6D" w:rsidP="00B77857">
            <w:pPr>
              <w:tabs>
                <w:tab w:val="left" w:pos="1080"/>
              </w:tabs>
              <w:spacing w:before="120" w:after="120"/>
              <w:ind w:firstLine="539"/>
              <w:jc w:val="both"/>
              <w:rPr>
                <w:rFonts w:ascii="Garamond" w:hAnsi="Garamond" w:cs="Times New Roman"/>
                <w:sz w:val="22"/>
                <w:szCs w:val="22"/>
                <w:highlight w:val="yellow"/>
              </w:rPr>
            </w:pPr>
            <w:r w:rsidRPr="00A5626D">
              <w:rPr>
                <w:rFonts w:ascii="Garamond" w:hAnsi="Garamond" w:cs="Times New Roman"/>
                <w:bCs/>
                <w:sz w:val="22"/>
                <w:szCs w:val="22"/>
                <w:highlight w:val="yellow"/>
              </w:rPr>
              <w:t>Корневым</w:t>
            </w:r>
            <w:r w:rsidRPr="00A5626D">
              <w:rPr>
                <w:rFonts w:ascii="Garamond" w:hAnsi="Garamond" w:cs="Times New Roman"/>
                <w:sz w:val="22"/>
                <w:szCs w:val="22"/>
                <w:highlight w:val="yellow"/>
              </w:rPr>
              <w:t xml:space="preserve"> элементом электронного документа является &lt;</w:t>
            </w:r>
            <w:r w:rsidRPr="00A5626D">
              <w:rPr>
                <w:rFonts w:ascii="Garamond" w:hAnsi="Garamond" w:cs="Times New Roman"/>
                <w:b/>
                <w:sz w:val="22"/>
                <w:szCs w:val="22"/>
                <w:highlight w:val="yellow"/>
              </w:rPr>
              <w:t>message</w:t>
            </w:r>
            <w:r w:rsidRPr="00A5626D">
              <w:rPr>
                <w:rFonts w:ascii="Garamond" w:hAnsi="Garamond" w:cs="Times New Roman"/>
                <w:sz w:val="22"/>
                <w:szCs w:val="22"/>
                <w:highlight w:val="yellow"/>
              </w:rPr>
              <w:t>&gt;. В документе допускается наличие только одного элемента &lt;message&gt;.</w:t>
            </w:r>
          </w:p>
          <w:p w14:paraId="24D7D59B" w14:textId="77777777" w:rsidR="00295C6D" w:rsidRPr="00A5626D" w:rsidRDefault="00295C6D" w:rsidP="00B77857">
            <w:pPr>
              <w:tabs>
                <w:tab w:val="left" w:pos="1080"/>
              </w:tabs>
              <w:spacing w:before="120" w:after="120"/>
              <w:ind w:firstLine="539"/>
              <w:jc w:val="both"/>
              <w:rPr>
                <w:rFonts w:ascii="Garamond" w:hAnsi="Garamond" w:cs="Times New Roman"/>
                <w:sz w:val="22"/>
                <w:szCs w:val="22"/>
                <w:highlight w:val="yellow"/>
              </w:rPr>
            </w:pPr>
            <w:r w:rsidRPr="00A5626D">
              <w:rPr>
                <w:rFonts w:ascii="Garamond" w:hAnsi="Garamond" w:cs="Times New Roman"/>
                <w:bCs/>
                <w:sz w:val="22"/>
                <w:szCs w:val="22"/>
                <w:highlight w:val="yellow"/>
              </w:rPr>
              <w:t>Атрибуты</w:t>
            </w:r>
            <w:r w:rsidRPr="00A5626D">
              <w:rPr>
                <w:rFonts w:ascii="Garamond" w:hAnsi="Garamond" w:cs="Times New Roman"/>
                <w:sz w:val="22"/>
                <w:szCs w:val="22"/>
                <w:highlight w:val="yellow"/>
              </w:rPr>
              <w:t xml:space="preserve"> элемента &lt;</w:t>
            </w:r>
            <w:r w:rsidRPr="00A5626D">
              <w:rPr>
                <w:rFonts w:ascii="Garamond" w:hAnsi="Garamond" w:cs="Times New Roman"/>
                <w:sz w:val="22"/>
                <w:szCs w:val="22"/>
                <w:highlight w:val="yellow"/>
                <w:lang w:val="en-US"/>
              </w:rPr>
              <w:t>message</w:t>
            </w:r>
            <w:r w:rsidRPr="00A5626D">
              <w:rPr>
                <w:rFonts w:ascii="Garamond" w:hAnsi="Garamond" w:cs="Times New Roman"/>
                <w:sz w:val="22"/>
                <w:szCs w:val="22"/>
                <w:highlight w:val="yellow"/>
              </w:rPr>
              <w:t>&gt;:</w:t>
            </w:r>
          </w:p>
          <w:p w14:paraId="072A6531" w14:textId="77777777" w:rsidR="00295C6D" w:rsidRPr="00A5626D" w:rsidRDefault="00295C6D" w:rsidP="00B77857">
            <w:pPr>
              <w:numPr>
                <w:ilvl w:val="0"/>
                <w:numId w:val="234"/>
              </w:numPr>
              <w:tabs>
                <w:tab w:val="left" w:pos="885"/>
              </w:tabs>
              <w:suppressAutoHyphens w:val="0"/>
              <w:spacing w:before="120" w:after="120"/>
              <w:jc w:val="both"/>
              <w:rPr>
                <w:rFonts w:ascii="Garamond" w:hAnsi="Garamond" w:cs="Times New Roman"/>
                <w:sz w:val="22"/>
                <w:szCs w:val="22"/>
                <w:highlight w:val="yellow"/>
              </w:rPr>
            </w:pPr>
            <w:r w:rsidRPr="00A5626D">
              <w:rPr>
                <w:rFonts w:ascii="Garamond" w:hAnsi="Garamond" w:cs="Times New Roman"/>
                <w:sz w:val="22"/>
                <w:szCs w:val="22"/>
                <w:highlight w:val="yellow"/>
              </w:rPr>
              <w:t>class – является обязательным и содержит данные о типе документа. Значение атрибута class должно быть равно «21071»;</w:t>
            </w:r>
          </w:p>
          <w:p w14:paraId="0078C007" w14:textId="77777777" w:rsidR="00295C6D" w:rsidRPr="00A5626D" w:rsidRDefault="00295C6D" w:rsidP="00B77857">
            <w:pPr>
              <w:numPr>
                <w:ilvl w:val="0"/>
                <w:numId w:val="234"/>
              </w:numPr>
              <w:tabs>
                <w:tab w:val="left" w:pos="885"/>
              </w:tabs>
              <w:suppressAutoHyphens w:val="0"/>
              <w:spacing w:before="120" w:after="120"/>
              <w:jc w:val="both"/>
              <w:rPr>
                <w:rFonts w:ascii="Garamond" w:hAnsi="Garamond" w:cs="Times New Roman"/>
                <w:sz w:val="22"/>
                <w:szCs w:val="22"/>
                <w:highlight w:val="yellow"/>
              </w:rPr>
            </w:pPr>
            <w:r w:rsidRPr="00A5626D">
              <w:rPr>
                <w:rFonts w:ascii="Garamond" w:hAnsi="Garamond" w:cs="Times New Roman"/>
                <w:sz w:val="22"/>
                <w:szCs w:val="22"/>
                <w:highlight w:val="yellow"/>
              </w:rPr>
              <w:t>version – является обязательным и содержит данные о версии документа. Текущее значение версии равно «1»;</w:t>
            </w:r>
          </w:p>
          <w:p w14:paraId="336B7B00" w14:textId="77777777" w:rsidR="00295C6D" w:rsidRPr="00A5626D" w:rsidRDefault="00295C6D" w:rsidP="00B77857">
            <w:pPr>
              <w:numPr>
                <w:ilvl w:val="0"/>
                <w:numId w:val="234"/>
              </w:numPr>
              <w:tabs>
                <w:tab w:val="left" w:pos="885"/>
              </w:tabs>
              <w:suppressAutoHyphens w:val="0"/>
              <w:spacing w:before="120" w:after="120"/>
              <w:jc w:val="both"/>
              <w:rPr>
                <w:rFonts w:ascii="Garamond" w:hAnsi="Garamond" w:cs="Times New Roman"/>
                <w:sz w:val="22"/>
                <w:szCs w:val="22"/>
                <w:highlight w:val="yellow"/>
              </w:rPr>
            </w:pPr>
            <w:r w:rsidRPr="00A5626D">
              <w:rPr>
                <w:rFonts w:ascii="Garamond" w:hAnsi="Garamond" w:cs="Times New Roman"/>
                <w:sz w:val="22"/>
                <w:szCs w:val="22"/>
                <w:highlight w:val="yellow"/>
              </w:rPr>
              <w:t>id – является необязательным и содержит уникальный цифровой код сообщения;</w:t>
            </w:r>
          </w:p>
          <w:p w14:paraId="3D5A7A28" w14:textId="5947EA9B" w:rsidR="00295C6D" w:rsidRPr="00A5626D" w:rsidRDefault="00295C6D" w:rsidP="00B77857">
            <w:pPr>
              <w:numPr>
                <w:ilvl w:val="0"/>
                <w:numId w:val="234"/>
              </w:numPr>
              <w:tabs>
                <w:tab w:val="left" w:pos="885"/>
              </w:tabs>
              <w:suppressAutoHyphens w:val="0"/>
              <w:spacing w:before="120" w:after="120"/>
              <w:jc w:val="both"/>
              <w:rPr>
                <w:rFonts w:ascii="Garamond" w:hAnsi="Garamond" w:cs="Times New Roman"/>
                <w:sz w:val="22"/>
                <w:szCs w:val="22"/>
                <w:highlight w:val="yellow"/>
              </w:rPr>
            </w:pPr>
            <w:r w:rsidRPr="00A5626D">
              <w:rPr>
                <w:rFonts w:ascii="Garamond" w:hAnsi="Garamond" w:cs="Times New Roman"/>
                <w:sz w:val="22"/>
                <w:szCs w:val="22"/>
                <w:highlight w:val="yellow"/>
              </w:rPr>
              <w:t>datetime – является необязательным и содержит дату создания ответного сообщения в виде «ГГГГММДДччммсс», где «ГГГГ» – год, «ММ» – месяц, «ДД» – день, «чч» – час в 24-часовом формате, «мм» – минут</w:t>
            </w:r>
            <w:r w:rsidR="00A5626D">
              <w:rPr>
                <w:rFonts w:ascii="Garamond" w:hAnsi="Garamond" w:cs="Times New Roman"/>
                <w:sz w:val="22"/>
                <w:szCs w:val="22"/>
                <w:highlight w:val="yellow"/>
              </w:rPr>
              <w:t>ы</w:t>
            </w:r>
            <w:r w:rsidRPr="00A5626D">
              <w:rPr>
                <w:rFonts w:ascii="Garamond" w:hAnsi="Garamond" w:cs="Times New Roman"/>
                <w:sz w:val="22"/>
                <w:szCs w:val="22"/>
                <w:highlight w:val="yellow"/>
              </w:rPr>
              <w:t>, «сс» – секунд</w:t>
            </w:r>
            <w:r w:rsidR="00A5626D">
              <w:rPr>
                <w:rFonts w:ascii="Garamond" w:hAnsi="Garamond" w:cs="Times New Roman"/>
                <w:sz w:val="22"/>
                <w:szCs w:val="22"/>
                <w:highlight w:val="yellow"/>
              </w:rPr>
              <w:t>ы</w:t>
            </w:r>
            <w:r w:rsidRPr="00A5626D">
              <w:rPr>
                <w:rFonts w:ascii="Garamond" w:hAnsi="Garamond" w:cs="Times New Roman"/>
                <w:sz w:val="22"/>
                <w:szCs w:val="22"/>
                <w:highlight w:val="yellow"/>
              </w:rPr>
              <w:t>.</w:t>
            </w:r>
          </w:p>
          <w:p w14:paraId="530D16A0" w14:textId="77777777" w:rsidR="00295C6D" w:rsidRPr="00A5626D" w:rsidRDefault="00295C6D" w:rsidP="00B77857">
            <w:pPr>
              <w:tabs>
                <w:tab w:val="left" w:pos="1080"/>
              </w:tabs>
              <w:spacing w:before="120" w:after="120"/>
              <w:ind w:firstLine="539"/>
              <w:jc w:val="both"/>
              <w:rPr>
                <w:rFonts w:ascii="Garamond" w:hAnsi="Garamond" w:cs="Times New Roman"/>
                <w:bCs/>
                <w:sz w:val="22"/>
                <w:szCs w:val="22"/>
                <w:highlight w:val="yellow"/>
                <w:lang w:val="en-US"/>
              </w:rPr>
            </w:pPr>
            <w:r w:rsidRPr="00A5626D">
              <w:rPr>
                <w:rFonts w:ascii="Garamond" w:hAnsi="Garamond" w:cs="Times New Roman"/>
                <w:bCs/>
                <w:sz w:val="22"/>
                <w:szCs w:val="22"/>
                <w:highlight w:val="yellow"/>
              </w:rPr>
              <w:lastRenderedPageBreak/>
              <w:t>Потомками</w:t>
            </w:r>
            <w:r w:rsidRPr="00A5626D">
              <w:rPr>
                <w:rFonts w:ascii="Garamond" w:hAnsi="Garamond" w:cs="Times New Roman"/>
                <w:bCs/>
                <w:sz w:val="22"/>
                <w:szCs w:val="22"/>
                <w:highlight w:val="yellow"/>
                <w:lang w:val="en-US"/>
              </w:rPr>
              <w:t xml:space="preserve"> </w:t>
            </w:r>
            <w:r w:rsidRPr="00A5626D">
              <w:rPr>
                <w:rFonts w:ascii="Garamond" w:hAnsi="Garamond" w:cs="Times New Roman"/>
                <w:bCs/>
                <w:sz w:val="22"/>
                <w:szCs w:val="22"/>
                <w:highlight w:val="yellow"/>
              </w:rPr>
              <w:t>элемента</w:t>
            </w:r>
            <w:r w:rsidRPr="00A5626D">
              <w:rPr>
                <w:rFonts w:ascii="Garamond" w:hAnsi="Garamond" w:cs="Times New Roman"/>
                <w:bCs/>
                <w:sz w:val="22"/>
                <w:szCs w:val="22"/>
                <w:highlight w:val="yellow"/>
                <w:lang w:val="en-US"/>
              </w:rPr>
              <w:t xml:space="preserve"> &lt;message&gt; </w:t>
            </w:r>
            <w:r w:rsidRPr="00A5626D">
              <w:rPr>
                <w:rFonts w:ascii="Garamond" w:hAnsi="Garamond" w:cs="Times New Roman"/>
                <w:bCs/>
                <w:sz w:val="22"/>
                <w:szCs w:val="22"/>
                <w:highlight w:val="yellow"/>
              </w:rPr>
              <w:t>являются</w:t>
            </w:r>
            <w:r w:rsidRPr="00A5626D">
              <w:rPr>
                <w:rFonts w:ascii="Garamond" w:hAnsi="Garamond" w:cs="Times New Roman"/>
                <w:bCs/>
                <w:sz w:val="22"/>
                <w:szCs w:val="22"/>
                <w:highlight w:val="yellow"/>
                <w:lang w:val="en-US"/>
              </w:rPr>
              <w:t xml:space="preserve"> </w:t>
            </w:r>
            <w:r w:rsidRPr="00A5626D">
              <w:rPr>
                <w:rFonts w:ascii="Garamond" w:hAnsi="Garamond" w:cs="Times New Roman"/>
                <w:bCs/>
                <w:sz w:val="22"/>
                <w:szCs w:val="22"/>
                <w:highlight w:val="yellow"/>
              </w:rPr>
              <w:t>элементы</w:t>
            </w:r>
            <w:r w:rsidRPr="00A5626D">
              <w:rPr>
                <w:rFonts w:ascii="Garamond" w:hAnsi="Garamond" w:cs="Times New Roman"/>
                <w:bCs/>
                <w:sz w:val="22"/>
                <w:szCs w:val="22"/>
                <w:highlight w:val="yellow"/>
                <w:lang w:val="en-US"/>
              </w:rPr>
              <w:t xml:space="preserve"> &lt;file&gt;, &lt;reply&gt;, &lt;regulation-object&gt;.</w:t>
            </w:r>
          </w:p>
          <w:p w14:paraId="3829E239" w14:textId="77777777" w:rsidR="00295C6D" w:rsidRPr="00A5626D" w:rsidRDefault="00295C6D" w:rsidP="00B77857">
            <w:pPr>
              <w:pStyle w:val="ac"/>
              <w:numPr>
                <w:ilvl w:val="3"/>
                <w:numId w:val="276"/>
              </w:numPr>
              <w:spacing w:before="120" w:after="120"/>
              <w:contextualSpacing/>
              <w:rPr>
                <w:rFonts w:ascii="Garamond" w:hAnsi="Garamond"/>
                <w:b/>
                <w:sz w:val="22"/>
                <w:szCs w:val="22"/>
                <w:highlight w:val="yellow"/>
                <w:lang w:eastAsia="en-US"/>
              </w:rPr>
            </w:pPr>
            <w:r w:rsidRPr="00A5626D">
              <w:rPr>
                <w:rFonts w:ascii="Garamond" w:hAnsi="Garamond"/>
                <w:sz w:val="22"/>
                <w:szCs w:val="22"/>
                <w:highlight w:val="yellow"/>
              </w:rPr>
              <w:t>&lt;</w:t>
            </w:r>
            <w:r w:rsidRPr="00A5626D">
              <w:rPr>
                <w:rFonts w:ascii="Garamond" w:hAnsi="Garamond"/>
                <w:sz w:val="22"/>
                <w:szCs w:val="22"/>
                <w:highlight w:val="yellow"/>
                <w:lang w:val="en-US"/>
              </w:rPr>
              <w:t>file</w:t>
            </w:r>
            <w:r w:rsidRPr="00A5626D">
              <w:rPr>
                <w:rFonts w:ascii="Garamond" w:hAnsi="Garamond"/>
                <w:sz w:val="22"/>
                <w:szCs w:val="22"/>
                <w:highlight w:val="yellow"/>
              </w:rPr>
              <w:t>&gt;</w:t>
            </w:r>
          </w:p>
          <w:p w14:paraId="39D88657" w14:textId="77777777" w:rsidR="00295C6D" w:rsidRPr="00A5626D" w:rsidRDefault="00295C6D" w:rsidP="00B77857">
            <w:pPr>
              <w:tabs>
                <w:tab w:val="left" w:pos="1080"/>
              </w:tabs>
              <w:spacing w:before="120" w:after="120"/>
              <w:ind w:firstLine="539"/>
              <w:jc w:val="both"/>
              <w:rPr>
                <w:rFonts w:ascii="Garamond" w:hAnsi="Garamond" w:cs="Times New Roman"/>
                <w:sz w:val="22"/>
                <w:szCs w:val="22"/>
                <w:highlight w:val="yellow"/>
              </w:rPr>
            </w:pPr>
            <w:r w:rsidRPr="00A5626D">
              <w:rPr>
                <w:rFonts w:ascii="Garamond" w:hAnsi="Garamond" w:cs="Times New Roman"/>
                <w:sz w:val="22"/>
                <w:szCs w:val="22"/>
                <w:highlight w:val="yellow"/>
              </w:rPr>
              <w:t>Элемент &lt;file&gt; является потомком корневого элемента &lt;message&gt; и содержит информацию о вложенном в электронное сообщение файле XML. В документе допускается наличие только одного элемента &lt;</w:t>
            </w:r>
            <w:r w:rsidRPr="00A5626D">
              <w:rPr>
                <w:rFonts w:ascii="Garamond" w:hAnsi="Garamond" w:cs="Times New Roman"/>
                <w:sz w:val="22"/>
                <w:szCs w:val="22"/>
                <w:highlight w:val="yellow"/>
                <w:lang w:val="en-US" w:eastAsia="zh-CN"/>
              </w:rPr>
              <w:t>file</w:t>
            </w:r>
            <w:r w:rsidRPr="00A5626D">
              <w:rPr>
                <w:rFonts w:ascii="Garamond" w:hAnsi="Garamond" w:cs="Times New Roman"/>
                <w:sz w:val="22"/>
                <w:szCs w:val="22"/>
                <w:highlight w:val="yellow"/>
              </w:rPr>
              <w:t>&gt;. Потомками элемента &lt;</w:t>
            </w:r>
            <w:r w:rsidRPr="00A5626D">
              <w:rPr>
                <w:rFonts w:ascii="Garamond" w:hAnsi="Garamond" w:cs="Times New Roman"/>
                <w:sz w:val="22"/>
                <w:szCs w:val="22"/>
                <w:highlight w:val="yellow"/>
                <w:lang w:val="en-US"/>
              </w:rPr>
              <w:t>file</w:t>
            </w:r>
            <w:r w:rsidRPr="00A5626D">
              <w:rPr>
                <w:rFonts w:ascii="Garamond" w:hAnsi="Garamond" w:cs="Times New Roman"/>
                <w:sz w:val="22"/>
                <w:szCs w:val="22"/>
                <w:highlight w:val="yellow"/>
              </w:rPr>
              <w:t>&gt; являются элементы &lt;</w:t>
            </w:r>
            <w:r w:rsidRPr="00A5626D">
              <w:rPr>
                <w:rFonts w:ascii="Garamond" w:hAnsi="Garamond" w:cs="Times New Roman"/>
                <w:sz w:val="22"/>
                <w:szCs w:val="22"/>
                <w:highlight w:val="yellow"/>
                <w:lang w:val="en-US"/>
              </w:rPr>
              <w:t>fromaddr</w:t>
            </w:r>
            <w:r w:rsidRPr="00A5626D">
              <w:rPr>
                <w:rFonts w:ascii="Garamond" w:hAnsi="Garamond" w:cs="Times New Roman"/>
                <w:sz w:val="22"/>
                <w:szCs w:val="22"/>
                <w:highlight w:val="yellow"/>
              </w:rPr>
              <w:t>&gt;, &lt;</w:t>
            </w:r>
            <w:r w:rsidRPr="00A5626D">
              <w:rPr>
                <w:rFonts w:ascii="Garamond" w:hAnsi="Garamond" w:cs="Times New Roman"/>
                <w:sz w:val="22"/>
                <w:szCs w:val="22"/>
                <w:highlight w:val="yellow"/>
                <w:lang w:val="en-US"/>
              </w:rPr>
              <w:t>name</w:t>
            </w:r>
            <w:r w:rsidRPr="00A5626D">
              <w:rPr>
                <w:rFonts w:ascii="Garamond" w:hAnsi="Garamond" w:cs="Times New Roman"/>
                <w:sz w:val="22"/>
                <w:szCs w:val="22"/>
                <w:highlight w:val="yellow"/>
              </w:rPr>
              <w:t>&gt;, &lt;</w:t>
            </w:r>
            <w:r w:rsidRPr="00A5626D">
              <w:rPr>
                <w:rFonts w:ascii="Garamond" w:hAnsi="Garamond" w:cs="Times New Roman"/>
                <w:sz w:val="22"/>
                <w:szCs w:val="22"/>
                <w:highlight w:val="yellow"/>
                <w:lang w:val="en-US"/>
              </w:rPr>
              <w:t>sender</w:t>
            </w:r>
            <w:r w:rsidRPr="00A5626D">
              <w:rPr>
                <w:rFonts w:ascii="Garamond" w:hAnsi="Garamond" w:cs="Times New Roman"/>
                <w:sz w:val="22"/>
                <w:szCs w:val="22"/>
                <w:highlight w:val="yellow"/>
              </w:rPr>
              <w:t>&gt;, &lt;</w:t>
            </w:r>
            <w:r w:rsidRPr="00A5626D">
              <w:rPr>
                <w:rFonts w:ascii="Garamond" w:hAnsi="Garamond" w:cs="Times New Roman"/>
                <w:sz w:val="22"/>
                <w:szCs w:val="22"/>
                <w:highlight w:val="yellow"/>
                <w:lang w:val="en-US"/>
              </w:rPr>
              <w:t>orig</w:t>
            </w:r>
            <w:r w:rsidRPr="00A5626D">
              <w:rPr>
                <w:rFonts w:ascii="Garamond" w:hAnsi="Garamond" w:cs="Times New Roman"/>
                <w:sz w:val="22"/>
                <w:szCs w:val="22"/>
                <w:highlight w:val="yellow"/>
              </w:rPr>
              <w:t>-</w:t>
            </w:r>
            <w:r w:rsidRPr="00A5626D">
              <w:rPr>
                <w:rFonts w:ascii="Garamond" w:hAnsi="Garamond" w:cs="Times New Roman"/>
                <w:sz w:val="22"/>
                <w:szCs w:val="22"/>
                <w:highlight w:val="yellow"/>
                <w:lang w:val="en-US"/>
              </w:rPr>
              <w:t>message</w:t>
            </w:r>
            <w:r w:rsidRPr="00A5626D">
              <w:rPr>
                <w:rFonts w:ascii="Garamond" w:hAnsi="Garamond" w:cs="Times New Roman"/>
                <w:sz w:val="22"/>
                <w:szCs w:val="22"/>
                <w:highlight w:val="yellow"/>
              </w:rPr>
              <w:t>-</w:t>
            </w:r>
            <w:r w:rsidRPr="00A5626D">
              <w:rPr>
                <w:rFonts w:ascii="Garamond" w:hAnsi="Garamond" w:cs="Times New Roman"/>
                <w:sz w:val="22"/>
                <w:szCs w:val="22"/>
                <w:highlight w:val="yellow"/>
                <w:lang w:val="en-US"/>
              </w:rPr>
              <w:t>created</w:t>
            </w:r>
            <w:r w:rsidRPr="00A5626D">
              <w:rPr>
                <w:rFonts w:ascii="Garamond" w:hAnsi="Garamond" w:cs="Times New Roman"/>
                <w:sz w:val="22"/>
                <w:szCs w:val="22"/>
                <w:highlight w:val="yellow"/>
              </w:rPr>
              <w:t>&gt;, &lt;</w:t>
            </w:r>
            <w:r w:rsidRPr="00A5626D">
              <w:rPr>
                <w:rFonts w:ascii="Garamond" w:hAnsi="Garamond" w:cs="Times New Roman"/>
                <w:sz w:val="22"/>
                <w:szCs w:val="22"/>
                <w:highlight w:val="yellow"/>
                <w:lang w:val="en-US"/>
              </w:rPr>
              <w:t>month</w:t>
            </w:r>
            <w:r w:rsidRPr="00A5626D">
              <w:rPr>
                <w:rFonts w:ascii="Garamond" w:hAnsi="Garamond" w:cs="Times New Roman"/>
                <w:sz w:val="22"/>
                <w:szCs w:val="22"/>
                <w:highlight w:val="yellow"/>
              </w:rPr>
              <w:t>&gt;, &lt;</w:t>
            </w:r>
            <w:r w:rsidRPr="00A5626D">
              <w:rPr>
                <w:rFonts w:ascii="Garamond" w:hAnsi="Garamond" w:cs="Times New Roman"/>
                <w:sz w:val="22"/>
                <w:szCs w:val="22"/>
                <w:highlight w:val="yellow"/>
                <w:lang w:val="en-US"/>
              </w:rPr>
              <w:t>id</w:t>
            </w:r>
            <w:r w:rsidRPr="00A5626D">
              <w:rPr>
                <w:rFonts w:ascii="Garamond" w:hAnsi="Garamond" w:cs="Times New Roman"/>
                <w:sz w:val="22"/>
                <w:szCs w:val="22"/>
                <w:highlight w:val="yellow"/>
              </w:rPr>
              <w:t>&gt;, &lt;</w:t>
            </w:r>
            <w:r w:rsidRPr="00A5626D">
              <w:rPr>
                <w:rFonts w:ascii="Garamond" w:hAnsi="Garamond" w:cs="Times New Roman"/>
                <w:sz w:val="22"/>
                <w:szCs w:val="22"/>
                <w:highlight w:val="yellow"/>
                <w:lang w:val="en-US"/>
              </w:rPr>
              <w:t>received</w:t>
            </w:r>
            <w:r w:rsidRPr="00A5626D">
              <w:rPr>
                <w:rFonts w:ascii="Garamond" w:hAnsi="Garamond" w:cs="Times New Roman"/>
                <w:sz w:val="22"/>
                <w:szCs w:val="22"/>
                <w:highlight w:val="yellow"/>
              </w:rPr>
              <w:t>&gt;.</w:t>
            </w:r>
          </w:p>
          <w:p w14:paraId="42A68515" w14:textId="77777777" w:rsidR="00295C6D" w:rsidRPr="00A5626D" w:rsidRDefault="00295C6D" w:rsidP="00B77857">
            <w:pPr>
              <w:pStyle w:val="ac"/>
              <w:numPr>
                <w:ilvl w:val="4"/>
                <w:numId w:val="276"/>
              </w:numPr>
              <w:spacing w:before="120" w:after="120"/>
              <w:contextualSpacing/>
              <w:rPr>
                <w:rFonts w:ascii="Garamond" w:hAnsi="Garamond"/>
                <w:b/>
                <w:sz w:val="22"/>
                <w:szCs w:val="22"/>
                <w:highlight w:val="yellow"/>
                <w:lang w:eastAsia="en-US"/>
              </w:rPr>
            </w:pPr>
            <w:r w:rsidRPr="00A5626D">
              <w:rPr>
                <w:rFonts w:ascii="Garamond" w:hAnsi="Garamond"/>
                <w:sz w:val="22"/>
                <w:szCs w:val="22"/>
                <w:highlight w:val="yellow"/>
              </w:rPr>
              <w:t>&lt;</w:t>
            </w:r>
            <w:r w:rsidRPr="00A5626D">
              <w:rPr>
                <w:rFonts w:ascii="Garamond" w:hAnsi="Garamond"/>
                <w:sz w:val="22"/>
                <w:szCs w:val="22"/>
                <w:highlight w:val="yellow"/>
                <w:lang w:val="en-US"/>
              </w:rPr>
              <w:t>fromaddr</w:t>
            </w:r>
            <w:r w:rsidRPr="00A5626D">
              <w:rPr>
                <w:rFonts w:ascii="Garamond" w:hAnsi="Garamond"/>
                <w:sz w:val="22"/>
                <w:szCs w:val="22"/>
                <w:highlight w:val="yellow"/>
              </w:rPr>
              <w:t>&gt;</w:t>
            </w:r>
          </w:p>
          <w:p w14:paraId="094C496E" w14:textId="77777777" w:rsidR="00295C6D" w:rsidRPr="00A5626D" w:rsidRDefault="00295C6D" w:rsidP="00B77857">
            <w:pPr>
              <w:tabs>
                <w:tab w:val="left" w:pos="1080"/>
              </w:tabs>
              <w:spacing w:before="120" w:after="120"/>
              <w:ind w:firstLine="539"/>
              <w:jc w:val="both"/>
              <w:rPr>
                <w:rFonts w:ascii="Garamond" w:hAnsi="Garamond" w:cs="Times New Roman"/>
                <w:sz w:val="22"/>
                <w:szCs w:val="22"/>
                <w:highlight w:val="yellow"/>
              </w:rPr>
            </w:pPr>
            <w:r w:rsidRPr="00A5626D">
              <w:rPr>
                <w:rFonts w:ascii="Garamond" w:hAnsi="Garamond" w:cs="Times New Roman"/>
                <w:sz w:val="22"/>
                <w:szCs w:val="22"/>
                <w:highlight w:val="yellow"/>
              </w:rPr>
              <w:t xml:space="preserve">Элемент </w:t>
            </w:r>
            <w:r w:rsidRPr="00A5626D">
              <w:rPr>
                <w:rFonts w:ascii="Garamond" w:hAnsi="Garamond" w:cs="Times New Roman"/>
                <w:sz w:val="22"/>
                <w:szCs w:val="22"/>
                <w:highlight w:val="yellow"/>
                <w:lang w:eastAsia="zh-CN"/>
              </w:rPr>
              <w:t>&lt;</w:t>
            </w:r>
            <w:r w:rsidRPr="00A5626D">
              <w:rPr>
                <w:rFonts w:ascii="Garamond" w:hAnsi="Garamond" w:cs="Times New Roman"/>
                <w:sz w:val="22"/>
                <w:szCs w:val="22"/>
                <w:highlight w:val="yellow"/>
                <w:lang w:val="en-US" w:eastAsia="zh-CN"/>
              </w:rPr>
              <w:t>fromaddr</w:t>
            </w:r>
            <w:r w:rsidRPr="00A5626D">
              <w:rPr>
                <w:rFonts w:ascii="Garamond" w:hAnsi="Garamond" w:cs="Times New Roman"/>
                <w:sz w:val="22"/>
                <w:szCs w:val="22"/>
                <w:highlight w:val="yellow"/>
                <w:lang w:eastAsia="zh-CN"/>
              </w:rPr>
              <w:t>&gt; является необязательным потомком элемента &lt;</w:t>
            </w:r>
            <w:r w:rsidRPr="00A5626D">
              <w:rPr>
                <w:rFonts w:ascii="Garamond" w:hAnsi="Garamond" w:cs="Times New Roman"/>
                <w:sz w:val="22"/>
                <w:szCs w:val="22"/>
                <w:highlight w:val="yellow"/>
                <w:lang w:val="en-US" w:eastAsia="zh-CN"/>
              </w:rPr>
              <w:t>file</w:t>
            </w:r>
            <w:r w:rsidRPr="00A5626D">
              <w:rPr>
                <w:rFonts w:ascii="Garamond" w:hAnsi="Garamond" w:cs="Times New Roman"/>
                <w:sz w:val="22"/>
                <w:szCs w:val="22"/>
                <w:highlight w:val="yellow"/>
                <w:lang w:eastAsia="zh-CN"/>
              </w:rPr>
              <w:t>&gt; и содержит адрес электронной почты, с которой пришло письмо, содержащее входящий файл формата 21070, на который было сформировано данное ответное сообщение.</w:t>
            </w:r>
          </w:p>
          <w:p w14:paraId="4EA9A96C" w14:textId="77777777" w:rsidR="00295C6D" w:rsidRPr="00A5626D" w:rsidRDefault="00295C6D" w:rsidP="00B77857">
            <w:pPr>
              <w:pStyle w:val="ac"/>
              <w:numPr>
                <w:ilvl w:val="4"/>
                <w:numId w:val="276"/>
              </w:numPr>
              <w:spacing w:before="120" w:after="120"/>
              <w:contextualSpacing/>
              <w:rPr>
                <w:rFonts w:ascii="Garamond" w:hAnsi="Garamond"/>
                <w:sz w:val="22"/>
                <w:szCs w:val="22"/>
                <w:highlight w:val="yellow"/>
              </w:rPr>
            </w:pPr>
            <w:r w:rsidRPr="00A5626D">
              <w:rPr>
                <w:rFonts w:ascii="Garamond" w:hAnsi="Garamond"/>
                <w:sz w:val="22"/>
                <w:szCs w:val="22"/>
                <w:highlight w:val="yellow"/>
              </w:rPr>
              <w:t>&lt;name&gt;</w:t>
            </w:r>
          </w:p>
          <w:p w14:paraId="5DD5715E" w14:textId="3FEA9784" w:rsidR="00295C6D" w:rsidRPr="00A5626D" w:rsidRDefault="00295C6D" w:rsidP="00B77857">
            <w:pPr>
              <w:tabs>
                <w:tab w:val="left" w:pos="1080"/>
              </w:tabs>
              <w:spacing w:before="120" w:after="120"/>
              <w:ind w:firstLine="539"/>
              <w:jc w:val="both"/>
              <w:rPr>
                <w:rFonts w:ascii="Garamond" w:hAnsi="Garamond" w:cs="Times New Roman"/>
                <w:sz w:val="22"/>
                <w:szCs w:val="22"/>
                <w:highlight w:val="yellow"/>
              </w:rPr>
            </w:pPr>
            <w:r w:rsidRPr="00A5626D">
              <w:rPr>
                <w:rFonts w:ascii="Garamond" w:hAnsi="Garamond" w:cs="Times New Roman"/>
                <w:sz w:val="22"/>
                <w:szCs w:val="22"/>
                <w:highlight w:val="yellow"/>
              </w:rPr>
              <w:t xml:space="preserve">Элемент &lt;name&gt; является обязательным </w:t>
            </w:r>
            <w:r w:rsidRPr="00A5626D">
              <w:rPr>
                <w:rFonts w:ascii="Garamond" w:hAnsi="Garamond" w:cs="Times New Roman"/>
                <w:sz w:val="22"/>
                <w:szCs w:val="22"/>
                <w:highlight w:val="yellow"/>
                <w:lang w:eastAsia="zh-CN"/>
              </w:rPr>
              <w:t>потомком элемента &lt;</w:t>
            </w:r>
            <w:r w:rsidRPr="00A5626D">
              <w:rPr>
                <w:rFonts w:ascii="Garamond" w:hAnsi="Garamond" w:cs="Times New Roman"/>
                <w:sz w:val="22"/>
                <w:szCs w:val="22"/>
                <w:highlight w:val="yellow"/>
                <w:lang w:val="en-US" w:eastAsia="zh-CN"/>
              </w:rPr>
              <w:t>file</w:t>
            </w:r>
            <w:r w:rsidRPr="00A5626D">
              <w:rPr>
                <w:rFonts w:ascii="Garamond" w:hAnsi="Garamond" w:cs="Times New Roman"/>
                <w:sz w:val="22"/>
                <w:szCs w:val="22"/>
                <w:highlight w:val="yellow"/>
                <w:lang w:eastAsia="zh-CN"/>
              </w:rPr>
              <w:t xml:space="preserve">&gt; </w:t>
            </w:r>
            <w:r w:rsidR="00A5626D">
              <w:rPr>
                <w:rFonts w:ascii="Garamond" w:hAnsi="Garamond" w:cs="Times New Roman"/>
                <w:sz w:val="22"/>
                <w:szCs w:val="22"/>
                <w:highlight w:val="yellow"/>
              </w:rPr>
              <w:t>и содержит название файла xml-</w:t>
            </w:r>
            <w:r w:rsidRPr="00A5626D">
              <w:rPr>
                <w:rFonts w:ascii="Garamond" w:hAnsi="Garamond" w:cs="Times New Roman"/>
                <w:sz w:val="22"/>
                <w:szCs w:val="22"/>
                <w:highlight w:val="yellow"/>
                <w:lang w:eastAsia="zh-CN"/>
              </w:rPr>
              <w:t>формата 21070, на который было сформировано данное ответное сообщение</w:t>
            </w:r>
            <w:r w:rsidRPr="00A5626D">
              <w:rPr>
                <w:rFonts w:ascii="Garamond" w:hAnsi="Garamond" w:cs="Times New Roman"/>
                <w:sz w:val="22"/>
                <w:szCs w:val="22"/>
                <w:highlight w:val="yellow"/>
              </w:rPr>
              <w:t>.</w:t>
            </w:r>
          </w:p>
          <w:p w14:paraId="606B1AE2" w14:textId="77777777" w:rsidR="00295C6D" w:rsidRPr="00A5626D" w:rsidRDefault="00295C6D" w:rsidP="00B77857">
            <w:pPr>
              <w:pStyle w:val="ac"/>
              <w:numPr>
                <w:ilvl w:val="4"/>
                <w:numId w:val="276"/>
              </w:numPr>
              <w:spacing w:before="120" w:after="120"/>
              <w:contextualSpacing/>
              <w:rPr>
                <w:rFonts w:ascii="Garamond" w:hAnsi="Garamond"/>
                <w:sz w:val="22"/>
                <w:szCs w:val="22"/>
                <w:highlight w:val="yellow"/>
              </w:rPr>
            </w:pPr>
            <w:r w:rsidRPr="00A5626D">
              <w:rPr>
                <w:rFonts w:ascii="Garamond" w:hAnsi="Garamond"/>
                <w:sz w:val="22"/>
                <w:szCs w:val="22"/>
                <w:highlight w:val="yellow"/>
              </w:rPr>
              <w:t>&lt;</w:t>
            </w:r>
            <w:r w:rsidRPr="00A5626D">
              <w:rPr>
                <w:rFonts w:ascii="Garamond" w:hAnsi="Garamond"/>
                <w:sz w:val="22"/>
                <w:szCs w:val="22"/>
                <w:highlight w:val="yellow"/>
                <w:lang w:val="en-US"/>
              </w:rPr>
              <w:t>sender</w:t>
            </w:r>
            <w:r w:rsidRPr="00A5626D">
              <w:rPr>
                <w:rFonts w:ascii="Garamond" w:hAnsi="Garamond"/>
                <w:sz w:val="22"/>
                <w:szCs w:val="22"/>
                <w:highlight w:val="yellow"/>
              </w:rPr>
              <w:t>&gt;</w:t>
            </w:r>
          </w:p>
          <w:p w14:paraId="07F333FC" w14:textId="77777777" w:rsidR="00295C6D" w:rsidRPr="00A5626D" w:rsidRDefault="00295C6D" w:rsidP="00B77857">
            <w:pPr>
              <w:tabs>
                <w:tab w:val="left" w:pos="1080"/>
              </w:tabs>
              <w:spacing w:before="120" w:after="120"/>
              <w:ind w:firstLine="539"/>
              <w:jc w:val="both"/>
              <w:rPr>
                <w:rFonts w:ascii="Garamond" w:hAnsi="Garamond" w:cs="Times New Roman"/>
                <w:sz w:val="22"/>
                <w:szCs w:val="22"/>
                <w:highlight w:val="yellow"/>
              </w:rPr>
            </w:pPr>
            <w:r w:rsidRPr="00A5626D">
              <w:rPr>
                <w:rFonts w:ascii="Garamond" w:hAnsi="Garamond" w:cs="Times New Roman"/>
                <w:sz w:val="22"/>
                <w:szCs w:val="22"/>
                <w:highlight w:val="yellow"/>
              </w:rPr>
              <w:t>Элемент &lt;sender&gt; является необязательным потомком элемента &lt;file&gt; и содержит ИНН организации – поставщика информации, которая сформировала входящий файл.</w:t>
            </w:r>
          </w:p>
          <w:p w14:paraId="181E02E5" w14:textId="77777777" w:rsidR="00295C6D" w:rsidRPr="00A5626D" w:rsidRDefault="00295C6D" w:rsidP="00B77857">
            <w:pPr>
              <w:pStyle w:val="ac"/>
              <w:numPr>
                <w:ilvl w:val="4"/>
                <w:numId w:val="276"/>
              </w:numPr>
              <w:spacing w:before="120" w:after="120"/>
              <w:contextualSpacing/>
              <w:rPr>
                <w:rFonts w:ascii="Garamond" w:hAnsi="Garamond"/>
                <w:sz w:val="22"/>
                <w:szCs w:val="22"/>
                <w:highlight w:val="yellow"/>
              </w:rPr>
            </w:pPr>
            <w:r w:rsidRPr="00A5626D">
              <w:rPr>
                <w:rFonts w:ascii="Garamond" w:hAnsi="Garamond"/>
                <w:sz w:val="22"/>
                <w:szCs w:val="22"/>
                <w:highlight w:val="yellow"/>
                <w:lang w:val="en-US"/>
              </w:rPr>
              <w:t>&lt;orig-message-created&gt;</w:t>
            </w:r>
          </w:p>
          <w:p w14:paraId="5261D572" w14:textId="30608F68" w:rsidR="00295C6D" w:rsidRPr="00A5626D" w:rsidRDefault="00295C6D" w:rsidP="00B77857">
            <w:pPr>
              <w:tabs>
                <w:tab w:val="left" w:pos="567"/>
              </w:tabs>
              <w:spacing w:before="120" w:after="120"/>
              <w:ind w:firstLine="539"/>
              <w:jc w:val="both"/>
              <w:rPr>
                <w:rFonts w:ascii="Garamond" w:hAnsi="Garamond" w:cs="Times New Roman"/>
                <w:sz w:val="22"/>
                <w:szCs w:val="22"/>
                <w:highlight w:val="yellow"/>
              </w:rPr>
            </w:pPr>
            <w:r w:rsidRPr="00A5626D">
              <w:rPr>
                <w:rFonts w:ascii="Garamond" w:hAnsi="Garamond" w:cs="Times New Roman"/>
                <w:sz w:val="22"/>
                <w:szCs w:val="22"/>
                <w:highlight w:val="yellow"/>
              </w:rPr>
              <w:tab/>
              <w:t xml:space="preserve">Элемент &lt;orig-message-created&gt; является обязательным потомком элемента &lt;file&gt; и содержит дату и время </w:t>
            </w:r>
            <w:r w:rsidRPr="00A5626D">
              <w:rPr>
                <w:rFonts w:ascii="Garamond" w:hAnsi="Garamond" w:cs="Times New Roman"/>
                <w:sz w:val="22"/>
                <w:szCs w:val="22"/>
                <w:highlight w:val="yellow"/>
                <w:lang w:eastAsia="zh-CN"/>
              </w:rPr>
              <w:t xml:space="preserve">входящего файла </w:t>
            </w:r>
            <w:r w:rsidRPr="00A5626D">
              <w:rPr>
                <w:rFonts w:ascii="Garamond" w:hAnsi="Garamond" w:cs="Times New Roman"/>
                <w:sz w:val="22"/>
                <w:szCs w:val="22"/>
                <w:highlight w:val="yellow"/>
              </w:rPr>
              <w:t xml:space="preserve">21070, по результатам обработки которого сформировано уведомление. Дата и время создания электронного сообщения предоставляются в формате </w:t>
            </w:r>
            <w:r w:rsidR="00A5626D">
              <w:rPr>
                <w:rFonts w:ascii="Garamond" w:hAnsi="Garamond" w:cs="Times New Roman"/>
                <w:sz w:val="22"/>
                <w:szCs w:val="22"/>
                <w:highlight w:val="yellow"/>
              </w:rPr>
              <w:t>«</w:t>
            </w:r>
            <w:r w:rsidRPr="00A5626D">
              <w:rPr>
                <w:rFonts w:ascii="Garamond" w:hAnsi="Garamond" w:cs="Times New Roman"/>
                <w:sz w:val="22"/>
                <w:szCs w:val="22"/>
                <w:highlight w:val="yellow"/>
              </w:rPr>
              <w:t>ГГГГММДДччммсс</w:t>
            </w:r>
            <w:r w:rsidR="00A5626D">
              <w:rPr>
                <w:rFonts w:ascii="Garamond" w:hAnsi="Garamond" w:cs="Times New Roman"/>
                <w:sz w:val="22"/>
                <w:szCs w:val="22"/>
                <w:highlight w:val="yellow"/>
              </w:rPr>
              <w:t>»</w:t>
            </w:r>
            <w:r w:rsidRPr="00A5626D">
              <w:rPr>
                <w:rFonts w:ascii="Garamond" w:hAnsi="Garamond" w:cs="Times New Roman"/>
                <w:sz w:val="22"/>
                <w:szCs w:val="22"/>
                <w:highlight w:val="yellow"/>
              </w:rPr>
              <w:t xml:space="preserve">, где </w:t>
            </w:r>
            <w:r w:rsidR="00A5626D">
              <w:rPr>
                <w:rFonts w:ascii="Garamond" w:hAnsi="Garamond" w:cs="Times New Roman"/>
                <w:sz w:val="22"/>
                <w:szCs w:val="22"/>
                <w:highlight w:val="yellow"/>
              </w:rPr>
              <w:t>«</w:t>
            </w:r>
            <w:r w:rsidRPr="00A5626D">
              <w:rPr>
                <w:rFonts w:ascii="Garamond" w:hAnsi="Garamond" w:cs="Times New Roman"/>
                <w:sz w:val="22"/>
                <w:szCs w:val="22"/>
                <w:highlight w:val="yellow"/>
              </w:rPr>
              <w:t>ГГГГ</w:t>
            </w:r>
            <w:r w:rsidR="00A5626D">
              <w:rPr>
                <w:rFonts w:ascii="Garamond" w:hAnsi="Garamond" w:cs="Times New Roman"/>
                <w:sz w:val="22"/>
                <w:szCs w:val="22"/>
                <w:highlight w:val="yellow"/>
              </w:rPr>
              <w:t>»</w:t>
            </w:r>
            <w:r w:rsidRPr="00A5626D">
              <w:rPr>
                <w:rFonts w:ascii="Garamond" w:hAnsi="Garamond" w:cs="Times New Roman"/>
                <w:sz w:val="22"/>
                <w:szCs w:val="22"/>
                <w:highlight w:val="yellow"/>
              </w:rPr>
              <w:t xml:space="preserve"> – год, </w:t>
            </w:r>
            <w:r w:rsidR="00A5626D">
              <w:rPr>
                <w:rFonts w:ascii="Garamond" w:hAnsi="Garamond" w:cs="Times New Roman"/>
                <w:sz w:val="22"/>
                <w:szCs w:val="22"/>
                <w:highlight w:val="yellow"/>
              </w:rPr>
              <w:t>«</w:t>
            </w:r>
            <w:r w:rsidRPr="00A5626D">
              <w:rPr>
                <w:rFonts w:ascii="Garamond" w:hAnsi="Garamond" w:cs="Times New Roman"/>
                <w:sz w:val="22"/>
                <w:szCs w:val="22"/>
                <w:highlight w:val="yellow"/>
              </w:rPr>
              <w:t>ММ</w:t>
            </w:r>
            <w:r w:rsidR="00A5626D">
              <w:rPr>
                <w:rFonts w:ascii="Garamond" w:hAnsi="Garamond" w:cs="Times New Roman"/>
                <w:sz w:val="22"/>
                <w:szCs w:val="22"/>
                <w:highlight w:val="yellow"/>
              </w:rPr>
              <w:t>»</w:t>
            </w:r>
            <w:r w:rsidRPr="00A5626D">
              <w:rPr>
                <w:rFonts w:ascii="Garamond" w:hAnsi="Garamond" w:cs="Times New Roman"/>
                <w:sz w:val="22"/>
                <w:szCs w:val="22"/>
                <w:highlight w:val="yellow"/>
              </w:rPr>
              <w:t xml:space="preserve"> – порядковый номер месяца, </w:t>
            </w:r>
            <w:r w:rsidR="00A5626D">
              <w:rPr>
                <w:rFonts w:ascii="Garamond" w:hAnsi="Garamond" w:cs="Times New Roman"/>
                <w:sz w:val="22"/>
                <w:szCs w:val="22"/>
                <w:highlight w:val="yellow"/>
              </w:rPr>
              <w:t>«</w:t>
            </w:r>
            <w:r w:rsidRPr="00A5626D">
              <w:rPr>
                <w:rFonts w:ascii="Garamond" w:hAnsi="Garamond" w:cs="Times New Roman"/>
                <w:sz w:val="22"/>
                <w:szCs w:val="22"/>
                <w:highlight w:val="yellow"/>
              </w:rPr>
              <w:t>ДД</w:t>
            </w:r>
            <w:r w:rsidR="00A5626D">
              <w:rPr>
                <w:rFonts w:ascii="Garamond" w:hAnsi="Garamond" w:cs="Times New Roman"/>
                <w:sz w:val="22"/>
                <w:szCs w:val="22"/>
                <w:highlight w:val="yellow"/>
              </w:rPr>
              <w:t>»</w:t>
            </w:r>
            <w:r w:rsidRPr="00A5626D">
              <w:rPr>
                <w:rFonts w:ascii="Garamond" w:hAnsi="Garamond" w:cs="Times New Roman"/>
                <w:sz w:val="22"/>
                <w:szCs w:val="22"/>
                <w:highlight w:val="yellow"/>
              </w:rPr>
              <w:t xml:space="preserve"> – день, </w:t>
            </w:r>
            <w:r w:rsidR="00A5626D">
              <w:rPr>
                <w:rFonts w:ascii="Garamond" w:hAnsi="Garamond" w:cs="Times New Roman"/>
                <w:sz w:val="22"/>
                <w:szCs w:val="22"/>
                <w:highlight w:val="yellow"/>
              </w:rPr>
              <w:t>«</w:t>
            </w:r>
            <w:r w:rsidRPr="00A5626D">
              <w:rPr>
                <w:rFonts w:ascii="Garamond" w:hAnsi="Garamond" w:cs="Times New Roman"/>
                <w:sz w:val="22"/>
                <w:szCs w:val="22"/>
                <w:highlight w:val="yellow"/>
              </w:rPr>
              <w:t>чч</w:t>
            </w:r>
            <w:r w:rsidR="00A5626D">
              <w:rPr>
                <w:rFonts w:ascii="Garamond" w:hAnsi="Garamond" w:cs="Times New Roman"/>
                <w:sz w:val="22"/>
                <w:szCs w:val="22"/>
                <w:highlight w:val="yellow"/>
              </w:rPr>
              <w:t>»</w:t>
            </w:r>
            <w:r w:rsidRPr="00A5626D">
              <w:rPr>
                <w:rFonts w:ascii="Garamond" w:hAnsi="Garamond" w:cs="Times New Roman"/>
                <w:sz w:val="22"/>
                <w:szCs w:val="22"/>
                <w:highlight w:val="yellow"/>
              </w:rPr>
              <w:t xml:space="preserve"> – час, </w:t>
            </w:r>
            <w:r w:rsidR="00A5626D">
              <w:rPr>
                <w:rFonts w:ascii="Garamond" w:hAnsi="Garamond" w:cs="Times New Roman"/>
                <w:sz w:val="22"/>
                <w:szCs w:val="22"/>
                <w:highlight w:val="yellow"/>
              </w:rPr>
              <w:t>«</w:t>
            </w:r>
            <w:r w:rsidRPr="00A5626D">
              <w:rPr>
                <w:rFonts w:ascii="Garamond" w:hAnsi="Garamond" w:cs="Times New Roman"/>
                <w:sz w:val="22"/>
                <w:szCs w:val="22"/>
                <w:highlight w:val="yellow"/>
              </w:rPr>
              <w:t>мм</w:t>
            </w:r>
            <w:r w:rsidR="00A5626D">
              <w:rPr>
                <w:rFonts w:ascii="Garamond" w:hAnsi="Garamond" w:cs="Times New Roman"/>
                <w:sz w:val="22"/>
                <w:szCs w:val="22"/>
                <w:highlight w:val="yellow"/>
              </w:rPr>
              <w:t>»</w:t>
            </w:r>
            <w:r w:rsidRPr="00A5626D">
              <w:rPr>
                <w:rFonts w:ascii="Garamond" w:hAnsi="Garamond" w:cs="Times New Roman"/>
                <w:sz w:val="22"/>
                <w:szCs w:val="22"/>
                <w:highlight w:val="yellow"/>
              </w:rPr>
              <w:t xml:space="preserve"> – минуты, </w:t>
            </w:r>
            <w:r w:rsidR="00A5626D">
              <w:rPr>
                <w:rFonts w:ascii="Garamond" w:hAnsi="Garamond" w:cs="Times New Roman"/>
                <w:sz w:val="22"/>
                <w:szCs w:val="22"/>
                <w:highlight w:val="yellow"/>
              </w:rPr>
              <w:t>«</w:t>
            </w:r>
            <w:r w:rsidRPr="00A5626D">
              <w:rPr>
                <w:rFonts w:ascii="Garamond" w:hAnsi="Garamond" w:cs="Times New Roman"/>
                <w:sz w:val="22"/>
                <w:szCs w:val="22"/>
                <w:highlight w:val="yellow"/>
              </w:rPr>
              <w:t>сс</w:t>
            </w:r>
            <w:r w:rsidR="00A5626D">
              <w:rPr>
                <w:rFonts w:ascii="Garamond" w:hAnsi="Garamond" w:cs="Times New Roman"/>
                <w:sz w:val="22"/>
                <w:szCs w:val="22"/>
                <w:highlight w:val="yellow"/>
              </w:rPr>
              <w:t>»</w:t>
            </w:r>
            <w:r w:rsidRPr="00A5626D">
              <w:rPr>
                <w:rFonts w:ascii="Garamond" w:hAnsi="Garamond" w:cs="Times New Roman"/>
                <w:sz w:val="22"/>
                <w:szCs w:val="22"/>
                <w:highlight w:val="yellow"/>
              </w:rPr>
              <w:t xml:space="preserve"> – секунды. </w:t>
            </w:r>
          </w:p>
          <w:p w14:paraId="0E46507B" w14:textId="77777777" w:rsidR="00295C6D" w:rsidRPr="00A5626D" w:rsidRDefault="00295C6D" w:rsidP="00B77857">
            <w:pPr>
              <w:pStyle w:val="ac"/>
              <w:numPr>
                <w:ilvl w:val="4"/>
                <w:numId w:val="276"/>
              </w:numPr>
              <w:spacing w:before="120" w:after="120"/>
              <w:contextualSpacing/>
              <w:rPr>
                <w:rFonts w:ascii="Garamond" w:hAnsi="Garamond"/>
                <w:sz w:val="22"/>
                <w:szCs w:val="22"/>
                <w:highlight w:val="yellow"/>
                <w:lang w:val="en-US"/>
              </w:rPr>
            </w:pPr>
            <w:r w:rsidRPr="00A5626D">
              <w:rPr>
                <w:rFonts w:ascii="Garamond" w:hAnsi="Garamond"/>
                <w:sz w:val="22"/>
                <w:szCs w:val="22"/>
                <w:highlight w:val="yellow"/>
                <w:lang w:val="en-US"/>
              </w:rPr>
              <w:t>&lt;month&gt;</w:t>
            </w:r>
          </w:p>
          <w:p w14:paraId="3A8A3EE6" w14:textId="77777777" w:rsidR="00295C6D" w:rsidRPr="00A5626D" w:rsidRDefault="00295C6D" w:rsidP="00B77857">
            <w:pPr>
              <w:tabs>
                <w:tab w:val="left" w:pos="1080"/>
              </w:tabs>
              <w:spacing w:before="120" w:after="120"/>
              <w:ind w:firstLine="539"/>
              <w:jc w:val="both"/>
              <w:rPr>
                <w:rFonts w:ascii="Garamond" w:hAnsi="Garamond" w:cs="Times New Roman"/>
                <w:sz w:val="22"/>
                <w:szCs w:val="22"/>
                <w:highlight w:val="yellow"/>
              </w:rPr>
            </w:pPr>
            <w:r w:rsidRPr="00A5626D">
              <w:rPr>
                <w:rFonts w:ascii="Garamond" w:hAnsi="Garamond" w:cs="Times New Roman"/>
                <w:sz w:val="22"/>
                <w:szCs w:val="22"/>
                <w:highlight w:val="yellow"/>
                <w:lang w:eastAsia="zh-CN"/>
              </w:rPr>
              <w:t>Элемент &lt;</w:t>
            </w:r>
            <w:r w:rsidRPr="00A5626D">
              <w:rPr>
                <w:rFonts w:ascii="Garamond" w:hAnsi="Garamond" w:cs="Times New Roman"/>
                <w:sz w:val="22"/>
                <w:szCs w:val="22"/>
                <w:highlight w:val="yellow"/>
                <w:lang w:val="en-US" w:eastAsia="zh-CN"/>
              </w:rPr>
              <w:t>month</w:t>
            </w:r>
            <w:r w:rsidRPr="00A5626D">
              <w:rPr>
                <w:rFonts w:ascii="Garamond" w:hAnsi="Garamond" w:cs="Times New Roman"/>
                <w:sz w:val="22"/>
                <w:szCs w:val="22"/>
                <w:highlight w:val="yellow"/>
                <w:lang w:eastAsia="zh-CN"/>
              </w:rPr>
              <w:t>&gt; является необязательным потомком элемента &lt;</w:t>
            </w:r>
            <w:r w:rsidRPr="00A5626D">
              <w:rPr>
                <w:rFonts w:ascii="Garamond" w:hAnsi="Garamond" w:cs="Times New Roman"/>
                <w:sz w:val="22"/>
                <w:szCs w:val="22"/>
                <w:highlight w:val="yellow"/>
                <w:lang w:val="en-US" w:eastAsia="zh-CN"/>
              </w:rPr>
              <w:t>file</w:t>
            </w:r>
            <w:r w:rsidRPr="00A5626D">
              <w:rPr>
                <w:rFonts w:ascii="Garamond" w:hAnsi="Garamond" w:cs="Times New Roman"/>
                <w:sz w:val="22"/>
                <w:szCs w:val="22"/>
                <w:highlight w:val="yellow"/>
                <w:lang w:eastAsia="zh-CN"/>
              </w:rPr>
              <w:t>&gt; и содержит отчетный месяц, за который был сформирован входящий файл, в формате «ГГГГММ», где «</w:t>
            </w:r>
            <w:r w:rsidRPr="00A5626D">
              <w:rPr>
                <w:rFonts w:ascii="Garamond" w:hAnsi="Garamond" w:cs="Times New Roman"/>
                <w:sz w:val="22"/>
                <w:szCs w:val="22"/>
                <w:highlight w:val="yellow"/>
              </w:rPr>
              <w:t>ГГГГ» – год, «ММ» – месяц.</w:t>
            </w:r>
          </w:p>
          <w:p w14:paraId="649BCA94" w14:textId="77777777" w:rsidR="00295C6D" w:rsidRPr="00A5626D" w:rsidRDefault="00295C6D" w:rsidP="00B77857">
            <w:pPr>
              <w:pStyle w:val="ac"/>
              <w:numPr>
                <w:ilvl w:val="4"/>
                <w:numId w:val="276"/>
              </w:numPr>
              <w:spacing w:before="120" w:after="120"/>
              <w:contextualSpacing/>
              <w:rPr>
                <w:rFonts w:ascii="Garamond" w:hAnsi="Garamond"/>
                <w:sz w:val="22"/>
                <w:szCs w:val="22"/>
                <w:highlight w:val="yellow"/>
                <w:lang w:val="en-US"/>
              </w:rPr>
            </w:pPr>
            <w:r w:rsidRPr="00A5626D">
              <w:rPr>
                <w:rFonts w:ascii="Garamond" w:hAnsi="Garamond"/>
                <w:sz w:val="22"/>
                <w:szCs w:val="22"/>
                <w:highlight w:val="yellow"/>
                <w:lang w:val="en-US"/>
              </w:rPr>
              <w:lastRenderedPageBreak/>
              <w:t>&lt;id&gt;</w:t>
            </w:r>
          </w:p>
          <w:p w14:paraId="47B7857A" w14:textId="72B5FF91" w:rsidR="00295C6D" w:rsidRPr="00A5626D" w:rsidRDefault="00295C6D" w:rsidP="00B77857">
            <w:pPr>
              <w:tabs>
                <w:tab w:val="left" w:pos="1080"/>
              </w:tabs>
              <w:spacing w:before="120" w:after="120"/>
              <w:ind w:firstLine="539"/>
              <w:jc w:val="both"/>
              <w:rPr>
                <w:rFonts w:ascii="Garamond" w:hAnsi="Garamond" w:cs="Times New Roman"/>
                <w:sz w:val="22"/>
                <w:szCs w:val="22"/>
                <w:highlight w:val="yellow"/>
              </w:rPr>
            </w:pPr>
            <w:r w:rsidRPr="00A5626D">
              <w:rPr>
                <w:rFonts w:ascii="Garamond" w:hAnsi="Garamond" w:cs="Times New Roman"/>
                <w:sz w:val="22"/>
                <w:szCs w:val="22"/>
                <w:highlight w:val="yellow"/>
              </w:rPr>
              <w:t xml:space="preserve">Элемент &lt;id&gt; является обязательным потомком элемента &lt;file&gt; и содержит идентификатор входящего </w:t>
            </w:r>
            <w:r w:rsidR="00A5626D" w:rsidRPr="00A5626D">
              <w:rPr>
                <w:rFonts w:ascii="Garamond" w:hAnsi="Garamond" w:cs="Times New Roman"/>
                <w:sz w:val="22"/>
                <w:szCs w:val="22"/>
                <w:highlight w:val="yellow"/>
              </w:rPr>
              <w:t>xml</w:t>
            </w:r>
            <w:r w:rsidRPr="00A5626D">
              <w:rPr>
                <w:rFonts w:ascii="Garamond" w:hAnsi="Garamond" w:cs="Times New Roman"/>
                <w:sz w:val="22"/>
                <w:szCs w:val="22"/>
                <w:highlight w:val="yellow"/>
              </w:rPr>
              <w:t>-файла в ПАК КО.</w:t>
            </w:r>
          </w:p>
          <w:p w14:paraId="668880DF" w14:textId="77777777" w:rsidR="00295C6D" w:rsidRPr="00A5626D" w:rsidRDefault="00295C6D" w:rsidP="00B77857">
            <w:pPr>
              <w:pStyle w:val="ac"/>
              <w:numPr>
                <w:ilvl w:val="4"/>
                <w:numId w:val="276"/>
              </w:numPr>
              <w:spacing w:before="120" w:after="120"/>
              <w:contextualSpacing/>
              <w:rPr>
                <w:rFonts w:ascii="Garamond" w:hAnsi="Garamond"/>
                <w:sz w:val="22"/>
                <w:szCs w:val="22"/>
                <w:highlight w:val="yellow"/>
                <w:lang w:val="en-US"/>
              </w:rPr>
            </w:pPr>
            <w:r w:rsidRPr="00A5626D">
              <w:rPr>
                <w:rFonts w:ascii="Garamond" w:hAnsi="Garamond"/>
                <w:sz w:val="22"/>
                <w:szCs w:val="22"/>
                <w:highlight w:val="yellow"/>
                <w:lang w:val="en-US"/>
              </w:rPr>
              <w:t>&lt;received&gt;</w:t>
            </w:r>
          </w:p>
          <w:p w14:paraId="1DC4C5E7" w14:textId="0F7F048A" w:rsidR="00295C6D" w:rsidRPr="00A5626D" w:rsidRDefault="00295C6D" w:rsidP="00B77857">
            <w:pPr>
              <w:tabs>
                <w:tab w:val="left" w:pos="1080"/>
              </w:tabs>
              <w:spacing w:before="120" w:after="120"/>
              <w:ind w:firstLine="539"/>
              <w:jc w:val="both"/>
              <w:rPr>
                <w:rFonts w:ascii="Garamond" w:hAnsi="Garamond" w:cs="Times New Roman"/>
                <w:sz w:val="22"/>
                <w:szCs w:val="22"/>
                <w:highlight w:val="yellow"/>
              </w:rPr>
            </w:pPr>
            <w:r w:rsidRPr="00A5626D">
              <w:rPr>
                <w:rFonts w:ascii="Garamond" w:hAnsi="Garamond" w:cs="Times New Roman"/>
                <w:sz w:val="22"/>
                <w:szCs w:val="22"/>
                <w:highlight w:val="yellow"/>
                <w:lang w:eastAsia="zh-CN"/>
              </w:rPr>
              <w:t>Элемент &lt;</w:t>
            </w:r>
            <w:r w:rsidRPr="00A5626D">
              <w:rPr>
                <w:rFonts w:ascii="Garamond" w:hAnsi="Garamond" w:cs="Times New Roman"/>
                <w:sz w:val="22"/>
                <w:szCs w:val="22"/>
                <w:highlight w:val="yellow"/>
                <w:lang w:val="en-US" w:eastAsia="zh-CN"/>
              </w:rPr>
              <w:t>received</w:t>
            </w:r>
            <w:r w:rsidRPr="00A5626D">
              <w:rPr>
                <w:rFonts w:ascii="Garamond" w:hAnsi="Garamond" w:cs="Times New Roman"/>
                <w:sz w:val="22"/>
                <w:szCs w:val="22"/>
                <w:highlight w:val="yellow"/>
                <w:lang w:eastAsia="zh-CN"/>
              </w:rPr>
              <w:t>&gt; является обязательным потомком элемента &lt;</w:t>
            </w:r>
            <w:r w:rsidRPr="00A5626D">
              <w:rPr>
                <w:rFonts w:ascii="Garamond" w:hAnsi="Garamond" w:cs="Times New Roman"/>
                <w:sz w:val="22"/>
                <w:szCs w:val="22"/>
                <w:highlight w:val="yellow"/>
                <w:lang w:val="en-US" w:eastAsia="zh-CN"/>
              </w:rPr>
              <w:t>file</w:t>
            </w:r>
            <w:r w:rsidRPr="00A5626D">
              <w:rPr>
                <w:rFonts w:ascii="Garamond" w:hAnsi="Garamond" w:cs="Times New Roman"/>
                <w:sz w:val="22"/>
                <w:szCs w:val="22"/>
                <w:highlight w:val="yellow"/>
                <w:lang w:eastAsia="zh-CN"/>
              </w:rPr>
              <w:t xml:space="preserve">&gt; и содержит дату получения входящего файла </w:t>
            </w:r>
            <w:r w:rsidRPr="00A5626D">
              <w:rPr>
                <w:rFonts w:ascii="Garamond" w:hAnsi="Garamond" w:cs="Times New Roman"/>
                <w:sz w:val="22"/>
                <w:szCs w:val="22"/>
                <w:highlight w:val="yellow"/>
              </w:rPr>
              <w:t>ПАК КО</w:t>
            </w:r>
            <w:r w:rsidRPr="00A5626D">
              <w:rPr>
                <w:rFonts w:ascii="Garamond" w:hAnsi="Garamond" w:cs="Times New Roman"/>
                <w:sz w:val="22"/>
                <w:szCs w:val="22"/>
                <w:highlight w:val="yellow"/>
                <w:lang w:eastAsia="zh-CN"/>
              </w:rPr>
              <w:t xml:space="preserve"> в виде «ГГГГММДДччммсс», </w:t>
            </w:r>
            <w:r w:rsidRPr="00A5626D">
              <w:rPr>
                <w:rFonts w:ascii="Garamond" w:hAnsi="Garamond" w:cs="Times New Roman"/>
                <w:sz w:val="22"/>
                <w:szCs w:val="22"/>
                <w:highlight w:val="yellow"/>
              </w:rPr>
              <w:t>где «ГГГГ» – год, «ММ» – месяц, «ДД» – день, «чч» – час в 24-часовом формате, «мм» – минут</w:t>
            </w:r>
            <w:r w:rsidR="00A5626D">
              <w:rPr>
                <w:rFonts w:ascii="Garamond" w:hAnsi="Garamond" w:cs="Times New Roman"/>
                <w:sz w:val="22"/>
                <w:szCs w:val="22"/>
                <w:highlight w:val="yellow"/>
              </w:rPr>
              <w:t>ы</w:t>
            </w:r>
            <w:r w:rsidRPr="00A5626D">
              <w:rPr>
                <w:rFonts w:ascii="Garamond" w:hAnsi="Garamond" w:cs="Times New Roman"/>
                <w:sz w:val="22"/>
                <w:szCs w:val="22"/>
                <w:highlight w:val="yellow"/>
              </w:rPr>
              <w:t>, «сс» – секунд</w:t>
            </w:r>
            <w:r w:rsidR="00A5626D">
              <w:rPr>
                <w:rFonts w:ascii="Garamond" w:hAnsi="Garamond" w:cs="Times New Roman"/>
                <w:sz w:val="22"/>
                <w:szCs w:val="22"/>
                <w:highlight w:val="yellow"/>
              </w:rPr>
              <w:t>ы</w:t>
            </w:r>
            <w:r w:rsidRPr="00A5626D">
              <w:rPr>
                <w:rFonts w:ascii="Garamond" w:hAnsi="Garamond" w:cs="Times New Roman"/>
                <w:sz w:val="22"/>
                <w:szCs w:val="22"/>
                <w:highlight w:val="yellow"/>
              </w:rPr>
              <w:t>.</w:t>
            </w:r>
          </w:p>
          <w:p w14:paraId="20E8EF0F" w14:textId="77777777" w:rsidR="00295C6D" w:rsidRPr="00A5626D" w:rsidRDefault="00295C6D" w:rsidP="00B77857">
            <w:pPr>
              <w:pStyle w:val="ac"/>
              <w:numPr>
                <w:ilvl w:val="3"/>
                <w:numId w:val="276"/>
              </w:numPr>
              <w:spacing w:before="120" w:after="120"/>
              <w:contextualSpacing/>
              <w:rPr>
                <w:rFonts w:ascii="Garamond" w:hAnsi="Garamond"/>
                <w:sz w:val="22"/>
                <w:szCs w:val="22"/>
                <w:highlight w:val="yellow"/>
              </w:rPr>
            </w:pPr>
            <w:r w:rsidRPr="00A5626D">
              <w:rPr>
                <w:rFonts w:ascii="Garamond" w:hAnsi="Garamond"/>
                <w:sz w:val="22"/>
                <w:szCs w:val="22"/>
                <w:highlight w:val="yellow"/>
              </w:rPr>
              <w:t>&lt;</w:t>
            </w:r>
            <w:r w:rsidRPr="00A5626D">
              <w:rPr>
                <w:rFonts w:ascii="Garamond" w:hAnsi="Garamond"/>
                <w:sz w:val="22"/>
                <w:szCs w:val="22"/>
                <w:highlight w:val="yellow"/>
                <w:lang w:val="en-US"/>
              </w:rPr>
              <w:t>reply</w:t>
            </w:r>
            <w:r w:rsidRPr="00A5626D">
              <w:rPr>
                <w:rFonts w:ascii="Garamond" w:hAnsi="Garamond"/>
                <w:sz w:val="22"/>
                <w:szCs w:val="22"/>
                <w:highlight w:val="yellow"/>
              </w:rPr>
              <w:t>&gt;</w:t>
            </w:r>
          </w:p>
          <w:p w14:paraId="2327D882" w14:textId="77777777" w:rsidR="00295C6D" w:rsidRPr="00A5626D" w:rsidRDefault="00295C6D" w:rsidP="00B77857">
            <w:pPr>
              <w:tabs>
                <w:tab w:val="left" w:pos="1080"/>
              </w:tabs>
              <w:spacing w:before="120" w:after="120"/>
              <w:ind w:firstLine="539"/>
              <w:jc w:val="both"/>
              <w:rPr>
                <w:rFonts w:ascii="Garamond" w:hAnsi="Garamond" w:cs="Times New Roman"/>
                <w:sz w:val="22"/>
                <w:szCs w:val="22"/>
                <w:highlight w:val="yellow"/>
                <w:lang w:eastAsia="zh-CN"/>
              </w:rPr>
            </w:pPr>
            <w:r w:rsidRPr="00A5626D">
              <w:rPr>
                <w:rFonts w:ascii="Garamond" w:hAnsi="Garamond" w:cs="Times New Roman"/>
                <w:sz w:val="22"/>
                <w:szCs w:val="22"/>
                <w:highlight w:val="yellow"/>
              </w:rPr>
              <w:t>Элемент</w:t>
            </w:r>
            <w:r w:rsidRPr="00A5626D">
              <w:rPr>
                <w:rFonts w:ascii="Garamond" w:hAnsi="Garamond" w:cs="Times New Roman"/>
                <w:sz w:val="22"/>
                <w:szCs w:val="22"/>
                <w:highlight w:val="yellow"/>
                <w:lang w:eastAsia="zh-CN"/>
              </w:rPr>
              <w:t xml:space="preserve"> &lt;</w:t>
            </w:r>
            <w:r w:rsidRPr="00A5626D">
              <w:rPr>
                <w:rFonts w:ascii="Garamond" w:hAnsi="Garamond" w:cs="Times New Roman"/>
                <w:sz w:val="22"/>
                <w:szCs w:val="22"/>
                <w:highlight w:val="yellow"/>
                <w:lang w:val="en-US" w:eastAsia="zh-CN"/>
              </w:rPr>
              <w:t>reply</w:t>
            </w:r>
            <w:r w:rsidRPr="00A5626D">
              <w:rPr>
                <w:rFonts w:ascii="Garamond" w:hAnsi="Garamond" w:cs="Times New Roman"/>
                <w:sz w:val="22"/>
                <w:szCs w:val="22"/>
                <w:highlight w:val="yellow"/>
                <w:lang w:eastAsia="zh-CN"/>
              </w:rPr>
              <w:t>&gt; является обязательным потомком корневого элемента &lt;</w:t>
            </w:r>
            <w:r w:rsidRPr="00A5626D">
              <w:rPr>
                <w:rFonts w:ascii="Garamond" w:hAnsi="Garamond" w:cs="Times New Roman"/>
                <w:sz w:val="22"/>
                <w:szCs w:val="22"/>
                <w:highlight w:val="yellow"/>
                <w:lang w:val="en-US" w:eastAsia="zh-CN"/>
              </w:rPr>
              <w:t>message</w:t>
            </w:r>
            <w:r w:rsidRPr="00A5626D">
              <w:rPr>
                <w:rFonts w:ascii="Garamond" w:hAnsi="Garamond" w:cs="Times New Roman"/>
                <w:sz w:val="22"/>
                <w:szCs w:val="22"/>
                <w:highlight w:val="yellow"/>
                <w:lang w:eastAsia="zh-CN"/>
              </w:rPr>
              <w:t xml:space="preserve">&gt; и содержит информацию по ошибкам файла и статусу его обработки. </w:t>
            </w:r>
            <w:r w:rsidRPr="00A5626D">
              <w:rPr>
                <w:rFonts w:ascii="Garamond" w:hAnsi="Garamond" w:cs="Times New Roman"/>
                <w:sz w:val="22"/>
                <w:szCs w:val="22"/>
                <w:highlight w:val="yellow"/>
              </w:rPr>
              <w:t>В документе допускается наличие только одного элемента &lt;</w:t>
            </w:r>
            <w:r w:rsidRPr="00A5626D">
              <w:rPr>
                <w:rFonts w:ascii="Garamond" w:hAnsi="Garamond" w:cs="Times New Roman"/>
                <w:sz w:val="22"/>
                <w:szCs w:val="22"/>
                <w:highlight w:val="yellow"/>
                <w:lang w:val="en-US"/>
              </w:rPr>
              <w:t>reply</w:t>
            </w:r>
            <w:r w:rsidRPr="00A5626D">
              <w:rPr>
                <w:rFonts w:ascii="Garamond" w:hAnsi="Garamond" w:cs="Times New Roman"/>
                <w:sz w:val="22"/>
                <w:szCs w:val="22"/>
                <w:highlight w:val="yellow"/>
              </w:rPr>
              <w:t xml:space="preserve">&gt;. </w:t>
            </w:r>
            <w:r w:rsidRPr="00A5626D">
              <w:rPr>
                <w:rFonts w:ascii="Garamond" w:hAnsi="Garamond" w:cs="Times New Roman"/>
                <w:sz w:val="22"/>
                <w:szCs w:val="22"/>
                <w:highlight w:val="yellow"/>
                <w:lang w:eastAsia="zh-CN"/>
              </w:rPr>
              <w:t>Потомками элемента &lt;</w:t>
            </w:r>
            <w:r w:rsidRPr="00A5626D">
              <w:rPr>
                <w:rFonts w:ascii="Garamond" w:hAnsi="Garamond" w:cs="Times New Roman"/>
                <w:sz w:val="22"/>
                <w:szCs w:val="22"/>
                <w:highlight w:val="yellow"/>
                <w:lang w:val="en-US" w:eastAsia="zh-CN"/>
              </w:rPr>
              <w:t>reply</w:t>
            </w:r>
            <w:r w:rsidRPr="00A5626D">
              <w:rPr>
                <w:rFonts w:ascii="Garamond" w:hAnsi="Garamond" w:cs="Times New Roman"/>
                <w:sz w:val="22"/>
                <w:szCs w:val="22"/>
                <w:highlight w:val="yellow"/>
                <w:lang w:eastAsia="zh-CN"/>
              </w:rPr>
              <w:t>&gt; являются элементы &lt;</w:t>
            </w:r>
            <w:r w:rsidRPr="00A5626D">
              <w:rPr>
                <w:rFonts w:ascii="Garamond" w:hAnsi="Garamond" w:cs="Times New Roman"/>
                <w:sz w:val="22"/>
                <w:szCs w:val="22"/>
                <w:highlight w:val="yellow"/>
                <w:lang w:val="en-US" w:eastAsia="zh-CN"/>
              </w:rPr>
              <w:t>error</w:t>
            </w:r>
            <w:r w:rsidRPr="00A5626D">
              <w:rPr>
                <w:rFonts w:ascii="Garamond" w:hAnsi="Garamond" w:cs="Times New Roman"/>
                <w:sz w:val="22"/>
                <w:szCs w:val="22"/>
                <w:highlight w:val="yellow"/>
                <w:lang w:eastAsia="zh-CN"/>
              </w:rPr>
              <w:t>&gt;.</w:t>
            </w:r>
          </w:p>
          <w:p w14:paraId="4AA9C6B2" w14:textId="77777777" w:rsidR="00295C6D" w:rsidRPr="00A5626D" w:rsidRDefault="00295C6D" w:rsidP="00B77857">
            <w:pPr>
              <w:tabs>
                <w:tab w:val="left" w:pos="1080"/>
              </w:tabs>
              <w:spacing w:before="120" w:after="120"/>
              <w:ind w:firstLine="539"/>
              <w:jc w:val="both"/>
              <w:rPr>
                <w:rFonts w:ascii="Garamond" w:hAnsi="Garamond" w:cs="Times New Roman"/>
                <w:sz w:val="22"/>
                <w:szCs w:val="22"/>
                <w:highlight w:val="yellow"/>
                <w:lang w:eastAsia="zh-CN"/>
              </w:rPr>
            </w:pPr>
            <w:r w:rsidRPr="00A5626D">
              <w:rPr>
                <w:rFonts w:ascii="Garamond" w:hAnsi="Garamond" w:cs="Times New Roman"/>
                <w:sz w:val="22"/>
                <w:szCs w:val="22"/>
                <w:highlight w:val="yellow"/>
                <w:lang w:eastAsia="zh-CN"/>
              </w:rPr>
              <w:t>Атрибуты элемента &lt;</w:t>
            </w:r>
            <w:r w:rsidRPr="00A5626D">
              <w:rPr>
                <w:rFonts w:ascii="Garamond" w:hAnsi="Garamond" w:cs="Times New Roman"/>
                <w:sz w:val="22"/>
                <w:szCs w:val="22"/>
                <w:highlight w:val="yellow"/>
                <w:lang w:val="en-US" w:eastAsia="zh-CN"/>
              </w:rPr>
              <w:t>reply</w:t>
            </w:r>
            <w:r w:rsidRPr="00A5626D">
              <w:rPr>
                <w:rFonts w:ascii="Garamond" w:hAnsi="Garamond" w:cs="Times New Roman"/>
                <w:sz w:val="22"/>
                <w:szCs w:val="22"/>
                <w:highlight w:val="yellow"/>
                <w:lang w:eastAsia="zh-CN"/>
              </w:rPr>
              <w:t>&gt;:</w:t>
            </w:r>
          </w:p>
          <w:p w14:paraId="6E3881D6" w14:textId="77777777" w:rsidR="00295C6D" w:rsidRPr="00A5626D" w:rsidRDefault="00295C6D" w:rsidP="00B77857">
            <w:pPr>
              <w:numPr>
                <w:ilvl w:val="0"/>
                <w:numId w:val="234"/>
              </w:numPr>
              <w:tabs>
                <w:tab w:val="left" w:pos="885"/>
              </w:tabs>
              <w:suppressAutoHyphens w:val="0"/>
              <w:spacing w:before="120" w:after="120"/>
              <w:jc w:val="both"/>
              <w:rPr>
                <w:rFonts w:ascii="Garamond" w:hAnsi="Garamond" w:cs="Times New Roman"/>
                <w:sz w:val="22"/>
                <w:szCs w:val="22"/>
                <w:highlight w:val="yellow"/>
              </w:rPr>
            </w:pPr>
            <w:r w:rsidRPr="00A5626D">
              <w:rPr>
                <w:rFonts w:ascii="Garamond" w:hAnsi="Garamond" w:cs="Times New Roman"/>
                <w:sz w:val="22"/>
                <w:szCs w:val="22"/>
                <w:highlight w:val="yellow"/>
              </w:rPr>
              <w:t xml:space="preserve">filestatus – </w:t>
            </w:r>
            <w:r w:rsidRPr="00A5626D">
              <w:rPr>
                <w:rFonts w:ascii="Garamond" w:hAnsi="Garamond" w:cs="Times New Roman"/>
                <w:sz w:val="22"/>
                <w:szCs w:val="22"/>
                <w:highlight w:val="yellow"/>
                <w:lang w:eastAsia="zh-CN"/>
              </w:rPr>
              <w:t xml:space="preserve">является обязательным и содержит цифровой код статуса обработки файла. Может принимать следующие значения: «0» </w:t>
            </w:r>
            <w:r w:rsidRPr="00A5626D">
              <w:rPr>
                <w:rFonts w:ascii="Garamond" w:hAnsi="Garamond" w:cs="Times New Roman"/>
                <w:sz w:val="22"/>
                <w:szCs w:val="22"/>
                <w:highlight w:val="yellow"/>
              </w:rPr>
              <w:t xml:space="preserve">― </w:t>
            </w:r>
            <w:r w:rsidRPr="00A5626D">
              <w:rPr>
                <w:rFonts w:ascii="Garamond" w:hAnsi="Garamond" w:cs="Times New Roman"/>
                <w:sz w:val="22"/>
                <w:szCs w:val="22"/>
                <w:highlight w:val="yellow"/>
                <w:lang w:eastAsia="zh-CN"/>
              </w:rPr>
              <w:t xml:space="preserve">ошибок при обработке не обнаружено, данные приняты; «3» и другие значения (кроме «0») </w:t>
            </w:r>
            <w:r w:rsidRPr="00A5626D">
              <w:rPr>
                <w:rFonts w:ascii="Garamond" w:hAnsi="Garamond" w:cs="Times New Roman"/>
                <w:sz w:val="22"/>
                <w:szCs w:val="22"/>
                <w:highlight w:val="yellow"/>
              </w:rPr>
              <w:t>―</w:t>
            </w:r>
            <w:r w:rsidRPr="00A5626D">
              <w:rPr>
                <w:rFonts w:ascii="Garamond" w:hAnsi="Garamond" w:cs="Times New Roman"/>
                <w:sz w:val="22"/>
                <w:szCs w:val="22"/>
                <w:highlight w:val="yellow"/>
                <w:lang w:eastAsia="zh-CN"/>
              </w:rPr>
              <w:t xml:space="preserve"> файл содержал ошибки, весь файл либо некоторые данные не были приняты;</w:t>
            </w:r>
          </w:p>
          <w:p w14:paraId="08D9F385" w14:textId="77777777" w:rsidR="00295C6D" w:rsidRPr="00A5626D" w:rsidRDefault="00295C6D" w:rsidP="00B77857">
            <w:pPr>
              <w:numPr>
                <w:ilvl w:val="0"/>
                <w:numId w:val="234"/>
              </w:numPr>
              <w:tabs>
                <w:tab w:val="left" w:pos="885"/>
              </w:tabs>
              <w:suppressAutoHyphens w:val="0"/>
              <w:spacing w:before="120" w:after="120"/>
              <w:jc w:val="both"/>
              <w:rPr>
                <w:rFonts w:ascii="Garamond" w:hAnsi="Garamond" w:cs="Times New Roman"/>
                <w:sz w:val="22"/>
                <w:szCs w:val="22"/>
                <w:highlight w:val="yellow"/>
              </w:rPr>
            </w:pPr>
            <w:r w:rsidRPr="00A5626D">
              <w:rPr>
                <w:rFonts w:ascii="Garamond" w:hAnsi="Garamond" w:cs="Times New Roman"/>
                <w:sz w:val="22"/>
                <w:szCs w:val="22"/>
                <w:highlight w:val="yellow"/>
              </w:rPr>
              <w:t xml:space="preserve">desc – </w:t>
            </w:r>
            <w:r w:rsidRPr="00A5626D">
              <w:rPr>
                <w:rFonts w:ascii="Garamond" w:hAnsi="Garamond" w:cs="Times New Roman"/>
                <w:sz w:val="22"/>
                <w:szCs w:val="22"/>
                <w:highlight w:val="yellow"/>
                <w:lang w:eastAsia="zh-CN"/>
              </w:rPr>
              <w:t xml:space="preserve">является необязательным и содержит короткое текстовое описание кода статуса обработки из атрибута </w:t>
            </w:r>
            <w:r w:rsidRPr="00A5626D">
              <w:rPr>
                <w:rFonts w:ascii="Garamond" w:hAnsi="Garamond" w:cs="Times New Roman"/>
                <w:sz w:val="22"/>
                <w:szCs w:val="22"/>
                <w:highlight w:val="yellow"/>
                <w:lang w:val="en-US" w:eastAsia="zh-CN"/>
              </w:rPr>
              <w:t>filestatus</w:t>
            </w:r>
            <w:r w:rsidRPr="00A5626D">
              <w:rPr>
                <w:rFonts w:ascii="Garamond" w:hAnsi="Garamond" w:cs="Times New Roman"/>
                <w:sz w:val="22"/>
                <w:szCs w:val="22"/>
                <w:highlight w:val="yellow"/>
                <w:lang w:eastAsia="zh-CN"/>
              </w:rPr>
              <w:t>.</w:t>
            </w:r>
          </w:p>
          <w:p w14:paraId="2C5FE3B3" w14:textId="77777777" w:rsidR="00295C6D" w:rsidRPr="00A5626D" w:rsidRDefault="00295C6D" w:rsidP="00B77857">
            <w:pPr>
              <w:pStyle w:val="ac"/>
              <w:numPr>
                <w:ilvl w:val="4"/>
                <w:numId w:val="276"/>
              </w:numPr>
              <w:tabs>
                <w:tab w:val="left" w:pos="1080"/>
              </w:tabs>
              <w:spacing w:before="120" w:after="120"/>
              <w:contextualSpacing/>
              <w:jc w:val="both"/>
              <w:rPr>
                <w:rFonts w:ascii="Garamond" w:hAnsi="Garamond"/>
                <w:sz w:val="22"/>
                <w:szCs w:val="22"/>
                <w:highlight w:val="yellow"/>
                <w:lang w:eastAsia="zh-CN"/>
              </w:rPr>
            </w:pPr>
            <w:r w:rsidRPr="00A5626D">
              <w:rPr>
                <w:rFonts w:ascii="Garamond" w:hAnsi="Garamond"/>
                <w:sz w:val="22"/>
                <w:szCs w:val="22"/>
                <w:highlight w:val="yellow"/>
                <w:lang w:eastAsia="zh-CN"/>
              </w:rPr>
              <w:t>&lt;</w:t>
            </w:r>
            <w:r w:rsidRPr="00A5626D">
              <w:rPr>
                <w:rFonts w:ascii="Garamond" w:hAnsi="Garamond"/>
                <w:sz w:val="22"/>
                <w:szCs w:val="22"/>
                <w:highlight w:val="yellow"/>
                <w:lang w:val="en-US" w:eastAsia="zh-CN"/>
              </w:rPr>
              <w:t>error</w:t>
            </w:r>
            <w:r w:rsidRPr="00A5626D">
              <w:rPr>
                <w:rFonts w:ascii="Garamond" w:hAnsi="Garamond"/>
                <w:sz w:val="22"/>
                <w:szCs w:val="22"/>
                <w:highlight w:val="yellow"/>
                <w:lang w:eastAsia="zh-CN"/>
              </w:rPr>
              <w:t>&gt;</w:t>
            </w:r>
          </w:p>
          <w:p w14:paraId="75AF0E36" w14:textId="77777777" w:rsidR="00295C6D" w:rsidRPr="00A5626D" w:rsidRDefault="00295C6D" w:rsidP="00B77857">
            <w:pPr>
              <w:tabs>
                <w:tab w:val="left" w:pos="1080"/>
              </w:tabs>
              <w:spacing w:before="120" w:after="120"/>
              <w:ind w:firstLine="539"/>
              <w:jc w:val="both"/>
              <w:rPr>
                <w:rFonts w:ascii="Garamond" w:hAnsi="Garamond" w:cs="Times New Roman"/>
                <w:sz w:val="22"/>
                <w:szCs w:val="22"/>
                <w:highlight w:val="yellow"/>
                <w:lang w:eastAsia="zh-CN"/>
              </w:rPr>
            </w:pPr>
            <w:r w:rsidRPr="00A5626D">
              <w:rPr>
                <w:rFonts w:ascii="Garamond" w:hAnsi="Garamond" w:cs="Times New Roman"/>
                <w:sz w:val="22"/>
                <w:szCs w:val="22"/>
                <w:highlight w:val="yellow"/>
                <w:lang w:eastAsia="zh-CN"/>
              </w:rPr>
              <w:t>Элемент &lt;</w:t>
            </w:r>
            <w:r w:rsidRPr="00A5626D">
              <w:rPr>
                <w:rFonts w:ascii="Garamond" w:hAnsi="Garamond" w:cs="Times New Roman"/>
                <w:sz w:val="22"/>
                <w:szCs w:val="22"/>
                <w:highlight w:val="yellow"/>
                <w:lang w:val="en-US" w:eastAsia="zh-CN"/>
              </w:rPr>
              <w:t>error</w:t>
            </w:r>
            <w:r w:rsidRPr="00A5626D">
              <w:rPr>
                <w:rFonts w:ascii="Garamond" w:hAnsi="Garamond" w:cs="Times New Roman"/>
                <w:sz w:val="22"/>
                <w:szCs w:val="22"/>
                <w:highlight w:val="yellow"/>
                <w:lang w:eastAsia="zh-CN"/>
              </w:rPr>
              <w:t>&gt; является необязательным потомком элемента &lt;</w:t>
            </w:r>
            <w:r w:rsidRPr="00A5626D">
              <w:rPr>
                <w:rFonts w:ascii="Garamond" w:hAnsi="Garamond" w:cs="Times New Roman"/>
                <w:sz w:val="22"/>
                <w:szCs w:val="22"/>
                <w:highlight w:val="yellow"/>
                <w:lang w:val="en-US" w:eastAsia="zh-CN"/>
              </w:rPr>
              <w:t>reply</w:t>
            </w:r>
            <w:r w:rsidRPr="00A5626D">
              <w:rPr>
                <w:rFonts w:ascii="Garamond" w:hAnsi="Garamond" w:cs="Times New Roman"/>
                <w:sz w:val="22"/>
                <w:szCs w:val="22"/>
                <w:highlight w:val="yellow"/>
                <w:lang w:eastAsia="zh-CN"/>
              </w:rPr>
              <w:t>&gt; и содержит текст ошибки, найденной во входящем файле. В документе допускается наличие нескольких элементов &lt;</w:t>
            </w:r>
            <w:r w:rsidRPr="00A5626D">
              <w:rPr>
                <w:rFonts w:ascii="Garamond" w:hAnsi="Garamond" w:cs="Times New Roman"/>
                <w:sz w:val="22"/>
                <w:szCs w:val="22"/>
                <w:highlight w:val="yellow"/>
                <w:lang w:val="en-US" w:eastAsia="zh-CN"/>
              </w:rPr>
              <w:t>error</w:t>
            </w:r>
            <w:r w:rsidRPr="00A5626D">
              <w:rPr>
                <w:rFonts w:ascii="Garamond" w:hAnsi="Garamond" w:cs="Times New Roman"/>
                <w:sz w:val="22"/>
                <w:szCs w:val="22"/>
                <w:highlight w:val="yellow"/>
                <w:lang w:eastAsia="zh-CN"/>
              </w:rPr>
              <w:t>&gt;.</w:t>
            </w:r>
          </w:p>
          <w:p w14:paraId="57C112B2" w14:textId="77777777" w:rsidR="00295C6D" w:rsidRPr="00A5626D" w:rsidRDefault="00295C6D" w:rsidP="00B77857">
            <w:pPr>
              <w:tabs>
                <w:tab w:val="left" w:pos="1080"/>
              </w:tabs>
              <w:spacing w:before="120" w:after="120"/>
              <w:ind w:firstLine="539"/>
              <w:jc w:val="both"/>
              <w:rPr>
                <w:rFonts w:ascii="Garamond" w:hAnsi="Garamond" w:cs="Times New Roman"/>
                <w:sz w:val="22"/>
                <w:szCs w:val="22"/>
                <w:highlight w:val="yellow"/>
                <w:lang w:eastAsia="zh-CN"/>
              </w:rPr>
            </w:pPr>
            <w:r w:rsidRPr="00A5626D">
              <w:rPr>
                <w:rFonts w:ascii="Garamond" w:hAnsi="Garamond" w:cs="Times New Roman"/>
                <w:sz w:val="22"/>
                <w:szCs w:val="22"/>
                <w:highlight w:val="yellow"/>
                <w:lang w:eastAsia="zh-CN"/>
              </w:rPr>
              <w:t>Атрибуты элемента &lt;</w:t>
            </w:r>
            <w:r w:rsidRPr="00A5626D">
              <w:rPr>
                <w:rFonts w:ascii="Garamond" w:hAnsi="Garamond" w:cs="Times New Roman"/>
                <w:sz w:val="22"/>
                <w:szCs w:val="22"/>
                <w:highlight w:val="yellow"/>
                <w:lang w:val="en-US" w:eastAsia="zh-CN"/>
              </w:rPr>
              <w:t>error</w:t>
            </w:r>
            <w:r w:rsidRPr="00A5626D">
              <w:rPr>
                <w:rFonts w:ascii="Garamond" w:hAnsi="Garamond" w:cs="Times New Roman"/>
                <w:sz w:val="22"/>
                <w:szCs w:val="22"/>
                <w:highlight w:val="yellow"/>
                <w:lang w:eastAsia="zh-CN"/>
              </w:rPr>
              <w:t>&gt;:</w:t>
            </w:r>
          </w:p>
          <w:p w14:paraId="24F711DB" w14:textId="77777777" w:rsidR="00295C6D" w:rsidRPr="00A5626D" w:rsidRDefault="00295C6D" w:rsidP="00B77857">
            <w:pPr>
              <w:numPr>
                <w:ilvl w:val="0"/>
                <w:numId w:val="234"/>
              </w:numPr>
              <w:tabs>
                <w:tab w:val="left" w:pos="885"/>
              </w:tabs>
              <w:suppressAutoHyphens w:val="0"/>
              <w:spacing w:before="120" w:after="120"/>
              <w:jc w:val="both"/>
              <w:rPr>
                <w:rFonts w:ascii="Garamond" w:hAnsi="Garamond" w:cs="Times New Roman"/>
                <w:sz w:val="22"/>
                <w:szCs w:val="22"/>
                <w:highlight w:val="yellow"/>
              </w:rPr>
            </w:pPr>
            <w:r w:rsidRPr="00A5626D">
              <w:rPr>
                <w:rFonts w:ascii="Garamond" w:hAnsi="Garamond" w:cs="Times New Roman"/>
                <w:sz w:val="22"/>
                <w:szCs w:val="22"/>
                <w:highlight w:val="yellow"/>
              </w:rPr>
              <w:t>type – является необязательным и содержит цифровой код типа ошибки;</w:t>
            </w:r>
          </w:p>
          <w:p w14:paraId="3574B435" w14:textId="77777777" w:rsidR="00295C6D" w:rsidRPr="00A5626D" w:rsidRDefault="00295C6D" w:rsidP="00B77857">
            <w:pPr>
              <w:numPr>
                <w:ilvl w:val="0"/>
                <w:numId w:val="234"/>
              </w:numPr>
              <w:tabs>
                <w:tab w:val="left" w:pos="885"/>
              </w:tabs>
              <w:suppressAutoHyphens w:val="0"/>
              <w:spacing w:before="120" w:after="120"/>
              <w:jc w:val="both"/>
              <w:rPr>
                <w:rFonts w:ascii="Garamond" w:hAnsi="Garamond" w:cs="Times New Roman"/>
                <w:sz w:val="22"/>
                <w:szCs w:val="22"/>
                <w:highlight w:val="yellow"/>
              </w:rPr>
            </w:pPr>
            <w:r w:rsidRPr="00A5626D">
              <w:rPr>
                <w:rFonts w:ascii="Garamond" w:hAnsi="Garamond" w:cs="Times New Roman"/>
                <w:sz w:val="22"/>
                <w:szCs w:val="22"/>
                <w:highlight w:val="yellow"/>
              </w:rPr>
              <w:t>subtype – является необязательным и содержит цифровой код подтипа ошибки.</w:t>
            </w:r>
          </w:p>
          <w:p w14:paraId="59323131" w14:textId="77777777" w:rsidR="00295C6D" w:rsidRPr="00A5626D" w:rsidRDefault="00295C6D" w:rsidP="00B77857">
            <w:pPr>
              <w:pStyle w:val="ac"/>
              <w:widowControl w:val="0"/>
              <w:numPr>
                <w:ilvl w:val="3"/>
                <w:numId w:val="276"/>
              </w:numPr>
              <w:tabs>
                <w:tab w:val="num" w:pos="1152"/>
              </w:tabs>
              <w:autoSpaceDE w:val="0"/>
              <w:autoSpaceDN w:val="0"/>
              <w:adjustRightInd w:val="0"/>
              <w:spacing w:before="120" w:after="120"/>
              <w:contextualSpacing/>
              <w:jc w:val="both"/>
              <w:rPr>
                <w:rFonts w:ascii="Garamond" w:hAnsi="Garamond"/>
                <w:sz w:val="22"/>
                <w:szCs w:val="22"/>
                <w:highlight w:val="yellow"/>
              </w:rPr>
            </w:pPr>
            <w:r w:rsidRPr="00A5626D">
              <w:rPr>
                <w:rFonts w:ascii="Garamond" w:hAnsi="Garamond"/>
                <w:sz w:val="22"/>
                <w:szCs w:val="22"/>
                <w:highlight w:val="yellow"/>
              </w:rPr>
              <w:t>Описание элемента &lt;regulation-object&gt;</w:t>
            </w:r>
          </w:p>
          <w:p w14:paraId="7595F9C4" w14:textId="77777777" w:rsidR="00295C6D" w:rsidRPr="00A5626D" w:rsidRDefault="00295C6D" w:rsidP="00B77857">
            <w:pPr>
              <w:spacing w:before="120" w:after="120"/>
              <w:ind w:firstLine="709"/>
              <w:jc w:val="both"/>
              <w:rPr>
                <w:rFonts w:ascii="Garamond" w:hAnsi="Garamond" w:cs="Times New Roman"/>
                <w:sz w:val="22"/>
                <w:szCs w:val="22"/>
                <w:highlight w:val="yellow"/>
              </w:rPr>
            </w:pPr>
            <w:r w:rsidRPr="00A5626D">
              <w:rPr>
                <w:rFonts w:ascii="Garamond" w:hAnsi="Garamond" w:cs="Times New Roman"/>
                <w:sz w:val="22"/>
                <w:szCs w:val="22"/>
                <w:highlight w:val="yellow"/>
              </w:rPr>
              <w:lastRenderedPageBreak/>
              <w:t xml:space="preserve">Элемент &lt;regulation-object&gt; </w:t>
            </w:r>
            <w:r w:rsidRPr="00A5626D">
              <w:rPr>
                <w:rFonts w:ascii="Garamond" w:hAnsi="Garamond" w:cs="Times New Roman"/>
                <w:sz w:val="22"/>
                <w:szCs w:val="22"/>
                <w:highlight w:val="yellow"/>
                <w:lang w:eastAsia="zh-CN"/>
              </w:rPr>
              <w:t>является необязательным потомком корневого элемента &lt;</w:t>
            </w:r>
            <w:r w:rsidRPr="00A5626D">
              <w:rPr>
                <w:rFonts w:ascii="Garamond" w:hAnsi="Garamond" w:cs="Times New Roman"/>
                <w:sz w:val="22"/>
                <w:szCs w:val="22"/>
                <w:highlight w:val="yellow"/>
                <w:lang w:val="en-US" w:eastAsia="zh-CN"/>
              </w:rPr>
              <w:t>message</w:t>
            </w:r>
            <w:r w:rsidRPr="00A5626D">
              <w:rPr>
                <w:rFonts w:ascii="Garamond" w:hAnsi="Garamond" w:cs="Times New Roman"/>
                <w:sz w:val="22"/>
                <w:szCs w:val="22"/>
                <w:highlight w:val="yellow"/>
                <w:lang w:eastAsia="zh-CN"/>
              </w:rPr>
              <w:t xml:space="preserve">&gt; и </w:t>
            </w:r>
            <w:r w:rsidRPr="00A5626D">
              <w:rPr>
                <w:rFonts w:ascii="Garamond" w:hAnsi="Garamond" w:cs="Times New Roman"/>
                <w:sz w:val="22"/>
                <w:szCs w:val="22"/>
                <w:highlight w:val="yellow"/>
              </w:rPr>
              <w:t>содержит информацию о результатах обработки КО значений данных коммерческого учета электроэнергии ОР, переданных в сообщении формата 21070. Элемент &lt;regulation-object&gt; формируется в ответном сообщение в случае наличия этого элемента в исходном сообщении формата 21070. Элемент &lt;regulation-object&gt; содержит следующие атрибуты:</w:t>
            </w:r>
          </w:p>
          <w:p w14:paraId="159BD3A9" w14:textId="11327BE6" w:rsidR="00295C6D" w:rsidRPr="00A5626D" w:rsidRDefault="00295C6D" w:rsidP="00B77857">
            <w:pPr>
              <w:numPr>
                <w:ilvl w:val="0"/>
                <w:numId w:val="234"/>
              </w:numPr>
              <w:tabs>
                <w:tab w:val="left" w:pos="885"/>
              </w:tabs>
              <w:suppressAutoHyphens w:val="0"/>
              <w:spacing w:before="120" w:after="120"/>
              <w:jc w:val="both"/>
              <w:rPr>
                <w:rFonts w:ascii="Garamond" w:hAnsi="Garamond" w:cs="Times New Roman"/>
                <w:sz w:val="22"/>
                <w:szCs w:val="22"/>
                <w:highlight w:val="yellow"/>
              </w:rPr>
            </w:pPr>
            <w:r w:rsidRPr="00A5626D">
              <w:rPr>
                <w:rFonts w:ascii="Garamond" w:hAnsi="Garamond" w:cs="Times New Roman"/>
                <w:sz w:val="22"/>
                <w:szCs w:val="22"/>
                <w:highlight w:val="yellow"/>
              </w:rPr>
              <w:t>с</w:t>
            </w:r>
            <w:r w:rsidRPr="00A5626D">
              <w:rPr>
                <w:rFonts w:ascii="Garamond" w:hAnsi="Garamond" w:cs="Times New Roman"/>
                <w:sz w:val="22"/>
                <w:szCs w:val="22"/>
                <w:highlight w:val="yellow"/>
                <w:lang w:val="en-US"/>
              </w:rPr>
              <w:t>ode</w:t>
            </w:r>
            <w:r w:rsidRPr="00A5626D">
              <w:rPr>
                <w:rFonts w:ascii="Garamond" w:hAnsi="Garamond" w:cs="Times New Roman"/>
                <w:sz w:val="22"/>
                <w:szCs w:val="22"/>
                <w:highlight w:val="yellow"/>
              </w:rPr>
              <w:t xml:space="preserve"> – является обязательным и содержит </w:t>
            </w:r>
            <w:r w:rsidRPr="00A5626D">
              <w:rPr>
                <w:rFonts w:ascii="Garamond" w:hAnsi="Garamond" w:cs="Times New Roman"/>
                <w:spacing w:val="1"/>
                <w:sz w:val="22"/>
                <w:szCs w:val="22"/>
                <w:highlight w:val="yellow"/>
              </w:rPr>
              <w:t xml:space="preserve">код, присваиваемый КО объекту регулирования, </w:t>
            </w:r>
            <w:r w:rsidR="00A5626D">
              <w:rPr>
                <w:rFonts w:ascii="Garamond" w:eastAsia="MS Mincho" w:hAnsi="Garamond" w:cs="Times New Roman"/>
                <w:sz w:val="22"/>
                <w:szCs w:val="22"/>
                <w:highlight w:val="yellow"/>
                <w:lang w:bidi="en-US"/>
              </w:rPr>
              <w:t>длина АТС-</w:t>
            </w:r>
            <w:r w:rsidRPr="00A5626D">
              <w:rPr>
                <w:rFonts w:ascii="Garamond" w:eastAsia="MS Mincho" w:hAnsi="Garamond" w:cs="Times New Roman"/>
                <w:sz w:val="22"/>
                <w:szCs w:val="22"/>
                <w:highlight w:val="yellow"/>
                <w:lang w:bidi="en-US"/>
              </w:rPr>
              <w:t xml:space="preserve">кода </w:t>
            </w:r>
            <w:r w:rsidRPr="00A5626D">
              <w:rPr>
                <w:rFonts w:ascii="Garamond" w:hAnsi="Garamond" w:cs="Times New Roman"/>
                <w:spacing w:val="1"/>
                <w:sz w:val="22"/>
                <w:szCs w:val="22"/>
                <w:highlight w:val="yellow"/>
              </w:rPr>
              <w:t>ОР</w:t>
            </w:r>
            <w:r w:rsidRPr="00A5626D">
              <w:rPr>
                <w:rFonts w:ascii="Garamond" w:eastAsia="MS Mincho" w:hAnsi="Garamond" w:cs="Times New Roman"/>
                <w:sz w:val="22"/>
                <w:szCs w:val="22"/>
                <w:highlight w:val="yellow"/>
                <w:lang w:bidi="en-US"/>
              </w:rPr>
              <w:t xml:space="preserve"> – 8 символов</w:t>
            </w:r>
            <w:r w:rsidRPr="00A5626D">
              <w:rPr>
                <w:rFonts w:ascii="Garamond" w:hAnsi="Garamond" w:cs="Times New Roman"/>
                <w:sz w:val="22"/>
                <w:szCs w:val="22"/>
                <w:highlight w:val="yellow"/>
              </w:rPr>
              <w:t>;</w:t>
            </w:r>
          </w:p>
          <w:p w14:paraId="1613ACD3" w14:textId="77777777" w:rsidR="00295C6D" w:rsidRPr="00A5626D" w:rsidRDefault="00295C6D" w:rsidP="00B77857">
            <w:pPr>
              <w:numPr>
                <w:ilvl w:val="0"/>
                <w:numId w:val="234"/>
              </w:numPr>
              <w:tabs>
                <w:tab w:val="left" w:pos="885"/>
              </w:tabs>
              <w:suppressAutoHyphens w:val="0"/>
              <w:spacing w:before="120" w:after="120"/>
              <w:jc w:val="both"/>
              <w:rPr>
                <w:rFonts w:ascii="Garamond" w:hAnsi="Garamond" w:cs="Times New Roman"/>
                <w:sz w:val="22"/>
                <w:szCs w:val="22"/>
                <w:highlight w:val="yellow"/>
              </w:rPr>
            </w:pPr>
            <w:r w:rsidRPr="00A5626D">
              <w:rPr>
                <w:rFonts w:ascii="Garamond" w:hAnsi="Garamond" w:cs="Times New Roman"/>
                <w:sz w:val="22"/>
                <w:szCs w:val="22"/>
                <w:highlight w:val="yellow"/>
                <w:lang w:val="en-US"/>
              </w:rPr>
              <w:t>flows</w:t>
            </w:r>
            <w:r w:rsidRPr="00A5626D">
              <w:rPr>
                <w:rFonts w:ascii="Garamond" w:hAnsi="Garamond" w:cs="Times New Roman"/>
                <w:sz w:val="22"/>
                <w:szCs w:val="22"/>
                <w:highlight w:val="yellow"/>
              </w:rPr>
              <w:t xml:space="preserve"> – является обязательным и содержит число успешно обработанных интервалов (часов).</w:t>
            </w:r>
          </w:p>
          <w:p w14:paraId="0BD9D77F" w14:textId="77777777" w:rsidR="00295C6D" w:rsidRPr="00A5626D" w:rsidRDefault="00295C6D" w:rsidP="00B77857">
            <w:pPr>
              <w:spacing w:before="120" w:after="120"/>
              <w:ind w:firstLine="709"/>
              <w:jc w:val="both"/>
              <w:rPr>
                <w:rFonts w:ascii="Garamond" w:hAnsi="Garamond" w:cs="Times New Roman"/>
                <w:b/>
                <w:sz w:val="22"/>
                <w:szCs w:val="22"/>
                <w:highlight w:val="yellow"/>
              </w:rPr>
            </w:pPr>
            <w:r w:rsidRPr="00A5626D">
              <w:rPr>
                <w:rFonts w:ascii="Garamond" w:hAnsi="Garamond" w:cs="Times New Roman"/>
                <w:sz w:val="22"/>
                <w:szCs w:val="22"/>
                <w:highlight w:val="yellow"/>
              </w:rPr>
              <w:t>Потомками элемента &lt;regulation-object&gt; являются элементы &lt;flow&gt;.</w:t>
            </w:r>
          </w:p>
          <w:p w14:paraId="3F2CE97F" w14:textId="77777777" w:rsidR="00295C6D" w:rsidRPr="00A5626D" w:rsidRDefault="00295C6D" w:rsidP="00B77857">
            <w:pPr>
              <w:pStyle w:val="ac"/>
              <w:widowControl w:val="0"/>
              <w:numPr>
                <w:ilvl w:val="4"/>
                <w:numId w:val="276"/>
              </w:numPr>
              <w:tabs>
                <w:tab w:val="num" w:pos="1152"/>
              </w:tabs>
              <w:autoSpaceDE w:val="0"/>
              <w:autoSpaceDN w:val="0"/>
              <w:adjustRightInd w:val="0"/>
              <w:spacing w:before="120" w:after="120"/>
              <w:contextualSpacing/>
              <w:jc w:val="both"/>
              <w:rPr>
                <w:rFonts w:ascii="Garamond" w:hAnsi="Garamond"/>
                <w:sz w:val="22"/>
                <w:szCs w:val="22"/>
                <w:highlight w:val="yellow"/>
              </w:rPr>
            </w:pPr>
            <w:r w:rsidRPr="00A5626D">
              <w:rPr>
                <w:rFonts w:ascii="Garamond" w:hAnsi="Garamond"/>
                <w:sz w:val="22"/>
                <w:szCs w:val="22"/>
                <w:highlight w:val="yellow"/>
              </w:rPr>
              <w:t>Описание элемента &lt;flow&gt;</w:t>
            </w:r>
          </w:p>
          <w:p w14:paraId="3906761E" w14:textId="77777777" w:rsidR="00295C6D" w:rsidRPr="00A5626D" w:rsidRDefault="00295C6D" w:rsidP="00B77857">
            <w:pPr>
              <w:spacing w:before="120" w:after="120"/>
              <w:ind w:firstLine="709"/>
              <w:jc w:val="both"/>
              <w:rPr>
                <w:rFonts w:ascii="Garamond" w:hAnsi="Garamond" w:cs="Times New Roman"/>
                <w:sz w:val="22"/>
                <w:szCs w:val="22"/>
                <w:highlight w:val="yellow"/>
              </w:rPr>
            </w:pPr>
            <w:r w:rsidRPr="00A5626D">
              <w:rPr>
                <w:rFonts w:ascii="Garamond" w:hAnsi="Garamond" w:cs="Times New Roman"/>
                <w:sz w:val="22"/>
                <w:szCs w:val="22"/>
                <w:highlight w:val="yellow"/>
              </w:rPr>
              <w:t>Элемент &lt;flow&gt; содержит информацию о результатах обработки передаваемых значений фактических объемов электроэнергии сообщения формата 21070. Элемент &lt;flow&gt; является необязательным и формируется для каждого элемента &lt;flow&gt; исходного сообщения формата 21070, который был без ошибок принят и сохранен в БД КО. Элемент &lt;</w:t>
            </w:r>
            <w:r w:rsidRPr="00A5626D">
              <w:rPr>
                <w:rFonts w:ascii="Garamond" w:hAnsi="Garamond" w:cs="Times New Roman"/>
                <w:sz w:val="22"/>
                <w:szCs w:val="22"/>
                <w:highlight w:val="yellow"/>
                <w:lang w:val="en-US"/>
              </w:rPr>
              <w:t>flow</w:t>
            </w:r>
            <w:r w:rsidRPr="00A5626D">
              <w:rPr>
                <w:rFonts w:ascii="Garamond" w:hAnsi="Garamond" w:cs="Times New Roman"/>
                <w:sz w:val="22"/>
                <w:szCs w:val="22"/>
                <w:highlight w:val="yellow"/>
              </w:rPr>
              <w:t>&gt; содержит следующие атрибуты:</w:t>
            </w:r>
          </w:p>
          <w:p w14:paraId="47EE3397" w14:textId="11AAFB3E" w:rsidR="00295C6D" w:rsidRPr="00A5626D" w:rsidRDefault="00295C6D" w:rsidP="00B77857">
            <w:pPr>
              <w:numPr>
                <w:ilvl w:val="0"/>
                <w:numId w:val="234"/>
              </w:numPr>
              <w:tabs>
                <w:tab w:val="left" w:pos="885"/>
              </w:tabs>
              <w:suppressAutoHyphens w:val="0"/>
              <w:spacing w:before="120" w:after="120"/>
              <w:jc w:val="both"/>
              <w:rPr>
                <w:rFonts w:ascii="Garamond" w:hAnsi="Garamond" w:cs="Times New Roman"/>
                <w:sz w:val="22"/>
                <w:szCs w:val="22"/>
                <w:highlight w:val="yellow"/>
              </w:rPr>
            </w:pPr>
            <w:r w:rsidRPr="00A5626D">
              <w:rPr>
                <w:rFonts w:ascii="Garamond" w:hAnsi="Garamond" w:cs="Times New Roman"/>
                <w:sz w:val="22"/>
                <w:szCs w:val="22"/>
                <w:highlight w:val="yellow"/>
              </w:rPr>
              <w:t xml:space="preserve">begin – является обязательным и содержит дату и время начала измерения. Дата и время предоставляются в формате </w:t>
            </w:r>
            <w:r w:rsidR="00A5626D">
              <w:rPr>
                <w:rFonts w:ascii="Garamond" w:hAnsi="Garamond" w:cs="Times New Roman"/>
                <w:sz w:val="22"/>
                <w:szCs w:val="22"/>
                <w:highlight w:val="yellow"/>
              </w:rPr>
              <w:t>«</w:t>
            </w:r>
            <w:r w:rsidRPr="00A5626D">
              <w:rPr>
                <w:rFonts w:ascii="Garamond" w:hAnsi="Garamond" w:cs="Times New Roman"/>
                <w:sz w:val="22"/>
                <w:szCs w:val="22"/>
                <w:highlight w:val="yellow"/>
              </w:rPr>
              <w:t>ГГГГММДДччмм</w:t>
            </w:r>
            <w:r w:rsidR="00A5626D">
              <w:rPr>
                <w:rFonts w:ascii="Garamond" w:hAnsi="Garamond" w:cs="Times New Roman"/>
                <w:sz w:val="22"/>
                <w:szCs w:val="22"/>
                <w:highlight w:val="yellow"/>
              </w:rPr>
              <w:t>»</w:t>
            </w:r>
            <w:r w:rsidRPr="00A5626D">
              <w:rPr>
                <w:rFonts w:ascii="Garamond" w:hAnsi="Garamond" w:cs="Times New Roman"/>
                <w:sz w:val="22"/>
                <w:szCs w:val="22"/>
                <w:highlight w:val="yellow"/>
              </w:rPr>
              <w:t xml:space="preserve">, где </w:t>
            </w:r>
            <w:r w:rsidR="00A5626D">
              <w:rPr>
                <w:rFonts w:ascii="Garamond" w:hAnsi="Garamond" w:cs="Times New Roman"/>
                <w:sz w:val="22"/>
                <w:szCs w:val="22"/>
                <w:highlight w:val="yellow"/>
              </w:rPr>
              <w:t>«</w:t>
            </w:r>
            <w:r w:rsidRPr="00A5626D">
              <w:rPr>
                <w:rFonts w:ascii="Garamond" w:hAnsi="Garamond" w:cs="Times New Roman"/>
                <w:sz w:val="22"/>
                <w:szCs w:val="22"/>
                <w:highlight w:val="yellow"/>
              </w:rPr>
              <w:t>ГГГГ</w:t>
            </w:r>
            <w:r w:rsidR="00A5626D">
              <w:rPr>
                <w:rFonts w:ascii="Garamond" w:hAnsi="Garamond" w:cs="Times New Roman"/>
                <w:sz w:val="22"/>
                <w:szCs w:val="22"/>
                <w:highlight w:val="yellow"/>
              </w:rPr>
              <w:t>»</w:t>
            </w:r>
            <w:r w:rsidRPr="00A5626D">
              <w:rPr>
                <w:rFonts w:ascii="Garamond" w:hAnsi="Garamond" w:cs="Times New Roman"/>
                <w:sz w:val="22"/>
                <w:szCs w:val="22"/>
                <w:highlight w:val="yellow"/>
              </w:rPr>
              <w:t xml:space="preserve"> – год, </w:t>
            </w:r>
            <w:r w:rsidR="00A5626D">
              <w:rPr>
                <w:rFonts w:ascii="Garamond" w:hAnsi="Garamond" w:cs="Times New Roman"/>
                <w:sz w:val="22"/>
                <w:szCs w:val="22"/>
                <w:highlight w:val="yellow"/>
              </w:rPr>
              <w:t>«</w:t>
            </w:r>
            <w:r w:rsidRPr="00A5626D">
              <w:rPr>
                <w:rFonts w:ascii="Garamond" w:hAnsi="Garamond" w:cs="Times New Roman"/>
                <w:sz w:val="22"/>
                <w:szCs w:val="22"/>
                <w:highlight w:val="yellow"/>
              </w:rPr>
              <w:t>ММ</w:t>
            </w:r>
            <w:r w:rsidR="00A5626D">
              <w:rPr>
                <w:rFonts w:ascii="Garamond" w:hAnsi="Garamond" w:cs="Times New Roman"/>
                <w:sz w:val="22"/>
                <w:szCs w:val="22"/>
                <w:highlight w:val="yellow"/>
              </w:rPr>
              <w:t>»</w:t>
            </w:r>
            <w:r w:rsidRPr="00A5626D">
              <w:rPr>
                <w:rFonts w:ascii="Garamond" w:hAnsi="Garamond" w:cs="Times New Roman"/>
                <w:sz w:val="22"/>
                <w:szCs w:val="22"/>
                <w:highlight w:val="yellow"/>
              </w:rPr>
              <w:t xml:space="preserve"> – порядковый номер месяца, </w:t>
            </w:r>
            <w:r w:rsidR="00A5626D">
              <w:rPr>
                <w:rFonts w:ascii="Garamond" w:hAnsi="Garamond" w:cs="Times New Roman"/>
                <w:sz w:val="22"/>
                <w:szCs w:val="22"/>
                <w:highlight w:val="yellow"/>
              </w:rPr>
              <w:t>«</w:t>
            </w:r>
            <w:r w:rsidRPr="00A5626D">
              <w:rPr>
                <w:rFonts w:ascii="Garamond" w:hAnsi="Garamond" w:cs="Times New Roman"/>
                <w:sz w:val="22"/>
                <w:szCs w:val="22"/>
                <w:highlight w:val="yellow"/>
              </w:rPr>
              <w:t>ДД</w:t>
            </w:r>
            <w:r w:rsidR="00A5626D">
              <w:rPr>
                <w:rFonts w:ascii="Garamond" w:hAnsi="Garamond" w:cs="Times New Roman"/>
                <w:sz w:val="22"/>
                <w:szCs w:val="22"/>
                <w:highlight w:val="yellow"/>
              </w:rPr>
              <w:t>»</w:t>
            </w:r>
            <w:r w:rsidRPr="00A5626D">
              <w:rPr>
                <w:rFonts w:ascii="Garamond" w:hAnsi="Garamond" w:cs="Times New Roman"/>
                <w:sz w:val="22"/>
                <w:szCs w:val="22"/>
                <w:highlight w:val="yellow"/>
              </w:rPr>
              <w:t xml:space="preserve"> – день, </w:t>
            </w:r>
            <w:r w:rsidR="00A5626D">
              <w:rPr>
                <w:rFonts w:ascii="Garamond" w:hAnsi="Garamond" w:cs="Times New Roman"/>
                <w:sz w:val="22"/>
                <w:szCs w:val="22"/>
                <w:highlight w:val="yellow"/>
              </w:rPr>
              <w:t>«</w:t>
            </w:r>
            <w:r w:rsidRPr="00A5626D">
              <w:rPr>
                <w:rFonts w:ascii="Garamond" w:hAnsi="Garamond" w:cs="Times New Roman"/>
                <w:sz w:val="22"/>
                <w:szCs w:val="22"/>
                <w:highlight w:val="yellow"/>
              </w:rPr>
              <w:t>чч</w:t>
            </w:r>
            <w:r w:rsidR="00A5626D">
              <w:rPr>
                <w:rFonts w:ascii="Garamond" w:hAnsi="Garamond" w:cs="Times New Roman"/>
                <w:sz w:val="22"/>
                <w:szCs w:val="22"/>
                <w:highlight w:val="yellow"/>
              </w:rPr>
              <w:t>»</w:t>
            </w:r>
            <w:r w:rsidRPr="00A5626D">
              <w:rPr>
                <w:rFonts w:ascii="Garamond" w:hAnsi="Garamond" w:cs="Times New Roman"/>
                <w:sz w:val="22"/>
                <w:szCs w:val="22"/>
                <w:highlight w:val="yellow"/>
              </w:rPr>
              <w:t xml:space="preserve"> – час, </w:t>
            </w:r>
            <w:r w:rsidR="00A5626D">
              <w:rPr>
                <w:rFonts w:ascii="Garamond" w:hAnsi="Garamond" w:cs="Times New Roman"/>
                <w:sz w:val="22"/>
                <w:szCs w:val="22"/>
                <w:highlight w:val="yellow"/>
              </w:rPr>
              <w:t>«</w:t>
            </w:r>
            <w:r w:rsidRPr="00A5626D">
              <w:rPr>
                <w:rFonts w:ascii="Garamond" w:hAnsi="Garamond" w:cs="Times New Roman"/>
                <w:sz w:val="22"/>
                <w:szCs w:val="22"/>
                <w:highlight w:val="yellow"/>
              </w:rPr>
              <w:t>мм</w:t>
            </w:r>
            <w:r w:rsidR="00A5626D">
              <w:rPr>
                <w:rFonts w:ascii="Garamond" w:hAnsi="Garamond" w:cs="Times New Roman"/>
                <w:sz w:val="22"/>
                <w:szCs w:val="22"/>
                <w:highlight w:val="yellow"/>
              </w:rPr>
              <w:t>»</w:t>
            </w:r>
            <w:r w:rsidRPr="00A5626D">
              <w:rPr>
                <w:rFonts w:ascii="Garamond" w:hAnsi="Garamond" w:cs="Times New Roman"/>
                <w:sz w:val="22"/>
                <w:szCs w:val="22"/>
                <w:highlight w:val="yellow"/>
              </w:rPr>
              <w:t xml:space="preserve"> – минуты</w:t>
            </w:r>
            <w:r w:rsidR="00A5626D">
              <w:rPr>
                <w:rFonts w:ascii="Garamond" w:hAnsi="Garamond" w:cs="Times New Roman"/>
                <w:sz w:val="22"/>
                <w:szCs w:val="22"/>
                <w:highlight w:val="yellow"/>
              </w:rPr>
              <w:t>;</w:t>
            </w:r>
          </w:p>
          <w:p w14:paraId="183E07C4" w14:textId="629EB401" w:rsidR="00295C6D" w:rsidRPr="00A5626D" w:rsidRDefault="00295C6D" w:rsidP="00B77857">
            <w:pPr>
              <w:numPr>
                <w:ilvl w:val="0"/>
                <w:numId w:val="234"/>
              </w:numPr>
              <w:tabs>
                <w:tab w:val="left" w:pos="885"/>
              </w:tabs>
              <w:suppressAutoHyphens w:val="0"/>
              <w:spacing w:before="120" w:after="120"/>
              <w:jc w:val="both"/>
              <w:rPr>
                <w:rFonts w:ascii="Garamond" w:hAnsi="Garamond" w:cs="Times New Roman"/>
                <w:sz w:val="22"/>
                <w:szCs w:val="22"/>
                <w:highlight w:val="yellow"/>
              </w:rPr>
            </w:pPr>
            <w:r w:rsidRPr="00A5626D">
              <w:rPr>
                <w:rFonts w:ascii="Garamond" w:hAnsi="Garamond" w:cs="Times New Roman"/>
                <w:sz w:val="22"/>
                <w:szCs w:val="22"/>
                <w:highlight w:val="yellow"/>
              </w:rPr>
              <w:t xml:space="preserve">end – является обязательным и содержит дату и время конца измерения. Дата и время предоставляются в формате </w:t>
            </w:r>
            <w:r w:rsidR="00A5626D">
              <w:rPr>
                <w:rFonts w:ascii="Garamond" w:hAnsi="Garamond" w:cs="Times New Roman"/>
                <w:sz w:val="22"/>
                <w:szCs w:val="22"/>
                <w:highlight w:val="yellow"/>
              </w:rPr>
              <w:t>«ГГГГММДДччмм»</w:t>
            </w:r>
            <w:r w:rsidRPr="00A5626D">
              <w:rPr>
                <w:rFonts w:ascii="Garamond" w:hAnsi="Garamond" w:cs="Times New Roman"/>
                <w:sz w:val="22"/>
                <w:szCs w:val="22"/>
                <w:highlight w:val="yellow"/>
              </w:rPr>
              <w:t xml:space="preserve">, где </w:t>
            </w:r>
            <w:r w:rsidR="00A5626D">
              <w:rPr>
                <w:rFonts w:ascii="Garamond" w:hAnsi="Garamond" w:cs="Times New Roman"/>
                <w:sz w:val="22"/>
                <w:szCs w:val="22"/>
                <w:highlight w:val="yellow"/>
              </w:rPr>
              <w:t>«</w:t>
            </w:r>
            <w:r w:rsidRPr="00A5626D">
              <w:rPr>
                <w:rFonts w:ascii="Garamond" w:hAnsi="Garamond" w:cs="Times New Roman"/>
                <w:sz w:val="22"/>
                <w:szCs w:val="22"/>
                <w:highlight w:val="yellow"/>
              </w:rPr>
              <w:t>ГГГГ</w:t>
            </w:r>
            <w:r w:rsidR="00A5626D">
              <w:rPr>
                <w:rFonts w:ascii="Garamond" w:hAnsi="Garamond" w:cs="Times New Roman"/>
                <w:sz w:val="22"/>
                <w:szCs w:val="22"/>
                <w:highlight w:val="yellow"/>
              </w:rPr>
              <w:t>»</w:t>
            </w:r>
            <w:r w:rsidRPr="00A5626D">
              <w:rPr>
                <w:rFonts w:ascii="Garamond" w:hAnsi="Garamond" w:cs="Times New Roman"/>
                <w:sz w:val="22"/>
                <w:szCs w:val="22"/>
                <w:highlight w:val="yellow"/>
              </w:rPr>
              <w:t xml:space="preserve"> – год, </w:t>
            </w:r>
            <w:r w:rsidR="00A5626D">
              <w:rPr>
                <w:rFonts w:ascii="Garamond" w:hAnsi="Garamond" w:cs="Times New Roman"/>
                <w:sz w:val="22"/>
                <w:szCs w:val="22"/>
                <w:highlight w:val="yellow"/>
              </w:rPr>
              <w:t>«</w:t>
            </w:r>
            <w:r w:rsidRPr="00A5626D">
              <w:rPr>
                <w:rFonts w:ascii="Garamond" w:hAnsi="Garamond" w:cs="Times New Roman"/>
                <w:sz w:val="22"/>
                <w:szCs w:val="22"/>
                <w:highlight w:val="yellow"/>
              </w:rPr>
              <w:t>ММ</w:t>
            </w:r>
            <w:r w:rsidR="00A5626D">
              <w:rPr>
                <w:rFonts w:ascii="Garamond" w:hAnsi="Garamond" w:cs="Times New Roman"/>
                <w:sz w:val="22"/>
                <w:szCs w:val="22"/>
                <w:highlight w:val="yellow"/>
              </w:rPr>
              <w:t>»</w:t>
            </w:r>
            <w:r w:rsidRPr="00A5626D">
              <w:rPr>
                <w:rFonts w:ascii="Garamond" w:hAnsi="Garamond" w:cs="Times New Roman"/>
                <w:sz w:val="22"/>
                <w:szCs w:val="22"/>
                <w:highlight w:val="yellow"/>
              </w:rPr>
              <w:t xml:space="preserve"> – порядковый номер месяца, </w:t>
            </w:r>
            <w:r w:rsidR="00A5626D">
              <w:rPr>
                <w:rFonts w:ascii="Garamond" w:hAnsi="Garamond" w:cs="Times New Roman"/>
                <w:sz w:val="22"/>
                <w:szCs w:val="22"/>
                <w:highlight w:val="yellow"/>
              </w:rPr>
              <w:t>«</w:t>
            </w:r>
            <w:r w:rsidRPr="00A5626D">
              <w:rPr>
                <w:rFonts w:ascii="Garamond" w:hAnsi="Garamond" w:cs="Times New Roman"/>
                <w:sz w:val="22"/>
                <w:szCs w:val="22"/>
                <w:highlight w:val="yellow"/>
              </w:rPr>
              <w:t>ДД</w:t>
            </w:r>
            <w:r w:rsidR="00A5626D">
              <w:rPr>
                <w:rFonts w:ascii="Garamond" w:hAnsi="Garamond" w:cs="Times New Roman"/>
                <w:sz w:val="22"/>
                <w:szCs w:val="22"/>
                <w:highlight w:val="yellow"/>
              </w:rPr>
              <w:t>»</w:t>
            </w:r>
            <w:r w:rsidRPr="00A5626D">
              <w:rPr>
                <w:rFonts w:ascii="Garamond" w:hAnsi="Garamond" w:cs="Times New Roman"/>
                <w:sz w:val="22"/>
                <w:szCs w:val="22"/>
                <w:highlight w:val="yellow"/>
              </w:rPr>
              <w:t xml:space="preserve"> – день, </w:t>
            </w:r>
            <w:r w:rsidR="00A5626D">
              <w:rPr>
                <w:rFonts w:ascii="Garamond" w:hAnsi="Garamond" w:cs="Times New Roman"/>
                <w:sz w:val="22"/>
                <w:szCs w:val="22"/>
                <w:highlight w:val="yellow"/>
              </w:rPr>
              <w:t>«</w:t>
            </w:r>
            <w:r w:rsidRPr="00A5626D">
              <w:rPr>
                <w:rFonts w:ascii="Garamond" w:hAnsi="Garamond" w:cs="Times New Roman"/>
                <w:sz w:val="22"/>
                <w:szCs w:val="22"/>
                <w:highlight w:val="yellow"/>
              </w:rPr>
              <w:t>чч</w:t>
            </w:r>
            <w:r w:rsidR="00A5626D">
              <w:rPr>
                <w:rFonts w:ascii="Garamond" w:hAnsi="Garamond" w:cs="Times New Roman"/>
                <w:sz w:val="22"/>
                <w:szCs w:val="22"/>
                <w:highlight w:val="yellow"/>
              </w:rPr>
              <w:t>»</w:t>
            </w:r>
            <w:r w:rsidRPr="00A5626D">
              <w:rPr>
                <w:rFonts w:ascii="Garamond" w:hAnsi="Garamond" w:cs="Times New Roman"/>
                <w:sz w:val="22"/>
                <w:szCs w:val="22"/>
                <w:highlight w:val="yellow"/>
              </w:rPr>
              <w:t xml:space="preserve"> – час, </w:t>
            </w:r>
            <w:r w:rsidR="00A5626D">
              <w:rPr>
                <w:rFonts w:ascii="Garamond" w:hAnsi="Garamond" w:cs="Times New Roman"/>
                <w:sz w:val="22"/>
                <w:szCs w:val="22"/>
                <w:highlight w:val="yellow"/>
              </w:rPr>
              <w:t>«</w:t>
            </w:r>
            <w:r w:rsidRPr="00A5626D">
              <w:rPr>
                <w:rFonts w:ascii="Garamond" w:hAnsi="Garamond" w:cs="Times New Roman"/>
                <w:sz w:val="22"/>
                <w:szCs w:val="22"/>
                <w:highlight w:val="yellow"/>
              </w:rPr>
              <w:t>мм</w:t>
            </w:r>
            <w:r w:rsidR="00A5626D">
              <w:rPr>
                <w:rFonts w:ascii="Garamond" w:hAnsi="Garamond" w:cs="Times New Roman"/>
                <w:sz w:val="22"/>
                <w:szCs w:val="22"/>
                <w:highlight w:val="yellow"/>
              </w:rPr>
              <w:t>»</w:t>
            </w:r>
            <w:r w:rsidRPr="00A5626D">
              <w:rPr>
                <w:rFonts w:ascii="Garamond" w:hAnsi="Garamond" w:cs="Times New Roman"/>
                <w:sz w:val="22"/>
                <w:szCs w:val="22"/>
                <w:highlight w:val="yellow"/>
              </w:rPr>
              <w:t xml:space="preserve"> – минуты</w:t>
            </w:r>
            <w:r w:rsidR="00A5626D">
              <w:rPr>
                <w:rFonts w:ascii="Garamond" w:hAnsi="Garamond" w:cs="Times New Roman"/>
                <w:sz w:val="22"/>
                <w:szCs w:val="22"/>
                <w:highlight w:val="yellow"/>
              </w:rPr>
              <w:t>;</w:t>
            </w:r>
          </w:p>
          <w:p w14:paraId="1EBCB0DD" w14:textId="77777777" w:rsidR="00295C6D" w:rsidRPr="00A5626D" w:rsidRDefault="00295C6D" w:rsidP="00B77857">
            <w:pPr>
              <w:numPr>
                <w:ilvl w:val="0"/>
                <w:numId w:val="234"/>
              </w:numPr>
              <w:tabs>
                <w:tab w:val="left" w:pos="885"/>
              </w:tabs>
              <w:suppressAutoHyphens w:val="0"/>
              <w:spacing w:before="120" w:after="120"/>
              <w:jc w:val="both"/>
              <w:rPr>
                <w:rFonts w:ascii="Garamond" w:hAnsi="Garamond" w:cs="Times New Roman"/>
                <w:b/>
                <w:sz w:val="22"/>
                <w:szCs w:val="22"/>
                <w:highlight w:val="yellow"/>
              </w:rPr>
            </w:pPr>
            <w:r w:rsidRPr="00A5626D">
              <w:rPr>
                <w:rFonts w:ascii="Garamond" w:hAnsi="Garamond" w:cs="Times New Roman"/>
                <w:sz w:val="22"/>
                <w:szCs w:val="22"/>
                <w:highlight w:val="yellow"/>
              </w:rPr>
              <w:t xml:space="preserve">power – является обязательным и содержит информацию о количестве электроэнергии, сохраненном в ПАК КО. </w:t>
            </w:r>
          </w:p>
          <w:p w14:paraId="47D9CCC6" w14:textId="77777777" w:rsidR="00295C6D" w:rsidRPr="00A5626D" w:rsidRDefault="00295C6D" w:rsidP="00B77857">
            <w:pPr>
              <w:spacing w:before="120" w:after="120"/>
              <w:rPr>
                <w:rFonts w:ascii="Garamond" w:hAnsi="Garamond" w:cstheme="minorHAnsi"/>
                <w:b/>
                <w:bCs/>
                <w:iCs/>
                <w:sz w:val="22"/>
                <w:szCs w:val="22"/>
                <w:highlight w:val="yellow"/>
                <w:lang w:eastAsia="en-US"/>
              </w:rPr>
            </w:pPr>
          </w:p>
          <w:p w14:paraId="0991B481" w14:textId="77777777" w:rsidR="00295C6D" w:rsidRPr="00A5626D" w:rsidRDefault="00295C6D" w:rsidP="00B77857">
            <w:pPr>
              <w:pStyle w:val="afff1"/>
              <w:numPr>
                <w:ilvl w:val="0"/>
                <w:numId w:val="278"/>
              </w:numPr>
              <w:spacing w:before="120" w:after="120"/>
              <w:rPr>
                <w:rFonts w:ascii="Garamond" w:hAnsi="Garamond" w:cstheme="minorHAnsi"/>
                <w:b/>
                <w:highlight w:val="yellow"/>
              </w:rPr>
            </w:pPr>
            <w:r w:rsidRPr="00A5626D">
              <w:rPr>
                <w:rFonts w:ascii="Garamond" w:hAnsi="Garamond" w:cstheme="minorHAnsi"/>
                <w:b/>
                <w:highlight w:val="yellow"/>
              </w:rPr>
              <w:lastRenderedPageBreak/>
              <w:t>Пример формата электронного документа «Уведомление о получении КО акта учета (оборота) по объекту регулирования. Макет 21071» (данные приняты)</w:t>
            </w:r>
          </w:p>
          <w:p w14:paraId="35C673E8" w14:textId="77777777" w:rsidR="00295C6D" w:rsidRPr="00A5626D" w:rsidRDefault="00295C6D" w:rsidP="00B77857">
            <w:pPr>
              <w:spacing w:before="120" w:after="120"/>
              <w:jc w:val="both"/>
              <w:rPr>
                <w:rFonts w:ascii="Garamond" w:hAnsi="Garamond"/>
                <w:sz w:val="22"/>
                <w:szCs w:val="22"/>
                <w:highlight w:val="yellow"/>
                <w:lang w:val="en-US"/>
              </w:rPr>
            </w:pPr>
            <w:r w:rsidRPr="00A5626D">
              <w:rPr>
                <w:rFonts w:ascii="Garamond" w:hAnsi="Garamond"/>
                <w:sz w:val="22"/>
                <w:szCs w:val="22"/>
                <w:highlight w:val="yellow"/>
                <w:lang w:val="en-US"/>
              </w:rPr>
              <w:t xml:space="preserve">&lt;?xml version="1.0" encoding=" windows-1251"?&gt; </w:t>
            </w:r>
          </w:p>
          <w:p w14:paraId="19596A38" w14:textId="77777777" w:rsidR="00295C6D" w:rsidRPr="00A5626D" w:rsidRDefault="00295C6D" w:rsidP="00B77857">
            <w:pPr>
              <w:spacing w:before="120" w:after="120"/>
              <w:jc w:val="both"/>
              <w:rPr>
                <w:rFonts w:ascii="Garamond" w:hAnsi="Garamond"/>
                <w:sz w:val="22"/>
                <w:szCs w:val="22"/>
                <w:highlight w:val="yellow"/>
                <w:lang w:val="en-US"/>
              </w:rPr>
            </w:pPr>
            <w:r w:rsidRPr="00A5626D">
              <w:rPr>
                <w:rFonts w:ascii="Garamond" w:hAnsi="Garamond"/>
                <w:sz w:val="22"/>
                <w:szCs w:val="22"/>
                <w:highlight w:val="yellow"/>
                <w:lang w:val="en-US"/>
              </w:rPr>
              <w:t>&lt;message class="21071" version="1" id="34867565kjsgkjdfs945834" datetime</w:t>
            </w:r>
            <w:r w:rsidRPr="00A5626D" w:rsidDel="0002555E">
              <w:rPr>
                <w:rFonts w:ascii="Garamond" w:hAnsi="Garamond"/>
                <w:sz w:val="22"/>
                <w:szCs w:val="22"/>
                <w:highlight w:val="yellow"/>
                <w:lang w:val="en-US"/>
              </w:rPr>
              <w:t xml:space="preserve"> </w:t>
            </w:r>
            <w:r w:rsidRPr="00A5626D">
              <w:rPr>
                <w:rFonts w:ascii="Garamond" w:hAnsi="Garamond"/>
                <w:sz w:val="22"/>
                <w:szCs w:val="22"/>
                <w:highlight w:val="yellow"/>
                <w:lang w:val="en-US"/>
              </w:rPr>
              <w:t xml:space="preserve">="20231003174924"&gt; </w:t>
            </w:r>
          </w:p>
          <w:p w14:paraId="164C9F24" w14:textId="77777777" w:rsidR="00295C6D" w:rsidRPr="00A5626D" w:rsidRDefault="00295C6D" w:rsidP="00B77857">
            <w:pPr>
              <w:spacing w:before="120" w:after="120"/>
              <w:jc w:val="both"/>
              <w:rPr>
                <w:rFonts w:ascii="Garamond" w:hAnsi="Garamond"/>
                <w:sz w:val="22"/>
                <w:szCs w:val="22"/>
                <w:highlight w:val="yellow"/>
                <w:lang w:val="en-US"/>
              </w:rPr>
            </w:pPr>
            <w:r w:rsidRPr="00A5626D">
              <w:rPr>
                <w:rFonts w:ascii="Garamond" w:hAnsi="Garamond"/>
                <w:sz w:val="22"/>
                <w:szCs w:val="22"/>
                <w:highlight w:val="yellow"/>
                <w:lang w:val="en-US"/>
              </w:rPr>
              <w:t>&lt;file&gt;</w:t>
            </w:r>
          </w:p>
          <w:p w14:paraId="1481F5C8" w14:textId="77777777" w:rsidR="00295C6D" w:rsidRPr="00A5626D" w:rsidRDefault="00295C6D" w:rsidP="00B77857">
            <w:pPr>
              <w:spacing w:before="120" w:after="120"/>
              <w:jc w:val="both"/>
              <w:rPr>
                <w:rFonts w:ascii="Garamond" w:hAnsi="Garamond"/>
                <w:sz w:val="22"/>
                <w:szCs w:val="22"/>
                <w:highlight w:val="yellow"/>
                <w:lang w:val="en-US"/>
              </w:rPr>
            </w:pPr>
            <w:r w:rsidRPr="00A5626D">
              <w:rPr>
                <w:rFonts w:ascii="Garamond" w:hAnsi="Garamond"/>
                <w:sz w:val="22"/>
                <w:szCs w:val="22"/>
                <w:highlight w:val="yellow"/>
                <w:lang w:val="en-US"/>
              </w:rPr>
              <w:tab/>
              <w:t>&lt;fromaddr&gt;&lt;![CDATA[a@b.c]]&gt;&lt;/fromaddr&gt;</w:t>
            </w:r>
          </w:p>
          <w:p w14:paraId="58BEBAFE" w14:textId="77777777" w:rsidR="00295C6D" w:rsidRPr="00A5626D" w:rsidRDefault="00295C6D" w:rsidP="00B77857">
            <w:pPr>
              <w:spacing w:before="120" w:after="120"/>
              <w:jc w:val="both"/>
              <w:rPr>
                <w:rFonts w:ascii="Garamond" w:hAnsi="Garamond"/>
                <w:sz w:val="22"/>
                <w:szCs w:val="22"/>
                <w:highlight w:val="yellow"/>
                <w:lang w:val="en-US"/>
              </w:rPr>
            </w:pPr>
            <w:r w:rsidRPr="00A5626D">
              <w:rPr>
                <w:rFonts w:ascii="Garamond" w:hAnsi="Garamond"/>
                <w:sz w:val="22"/>
                <w:szCs w:val="22"/>
                <w:highlight w:val="yellow"/>
                <w:lang w:val="en-US"/>
              </w:rPr>
              <w:tab/>
              <w:t>&lt;name&gt;21070_5405270341_202309_20231003154924_ORXXXXXX.xml&lt;/name&gt;</w:t>
            </w:r>
          </w:p>
          <w:p w14:paraId="28188B1A" w14:textId="77777777" w:rsidR="00295C6D" w:rsidRPr="00A5626D" w:rsidRDefault="00295C6D" w:rsidP="00B77857">
            <w:pPr>
              <w:spacing w:before="120" w:after="120"/>
              <w:jc w:val="both"/>
              <w:rPr>
                <w:rFonts w:ascii="Garamond" w:hAnsi="Garamond"/>
                <w:sz w:val="22"/>
                <w:szCs w:val="22"/>
                <w:highlight w:val="yellow"/>
                <w:lang w:val="en-US"/>
              </w:rPr>
            </w:pPr>
            <w:r w:rsidRPr="00A5626D">
              <w:rPr>
                <w:rFonts w:ascii="Garamond" w:hAnsi="Garamond"/>
                <w:sz w:val="22"/>
                <w:szCs w:val="22"/>
                <w:highlight w:val="yellow"/>
                <w:lang w:val="en-US"/>
              </w:rPr>
              <w:tab/>
              <w:t>&lt;sender&gt;5405270341&lt;/sender&gt;</w:t>
            </w:r>
          </w:p>
          <w:p w14:paraId="509D1C57" w14:textId="77777777" w:rsidR="00295C6D" w:rsidRPr="00A5626D" w:rsidRDefault="00295C6D" w:rsidP="00B77857">
            <w:pPr>
              <w:spacing w:before="120" w:after="120"/>
              <w:jc w:val="both"/>
              <w:rPr>
                <w:rFonts w:ascii="Garamond" w:hAnsi="Garamond"/>
                <w:sz w:val="22"/>
                <w:szCs w:val="22"/>
                <w:highlight w:val="yellow"/>
                <w:lang w:val="en-US"/>
              </w:rPr>
            </w:pPr>
            <w:r w:rsidRPr="00A5626D">
              <w:rPr>
                <w:rFonts w:ascii="Garamond" w:hAnsi="Garamond"/>
                <w:sz w:val="22"/>
                <w:szCs w:val="22"/>
                <w:highlight w:val="yellow"/>
                <w:lang w:val="en-US"/>
              </w:rPr>
              <w:tab/>
              <w:t>&lt;orig-message-created&gt;20231003154924&lt;/orig-message-created&gt;</w:t>
            </w:r>
          </w:p>
          <w:p w14:paraId="365522C7" w14:textId="77777777" w:rsidR="00295C6D" w:rsidRPr="00A5626D" w:rsidRDefault="00295C6D" w:rsidP="00B77857">
            <w:pPr>
              <w:spacing w:before="120" w:after="120"/>
              <w:jc w:val="both"/>
              <w:rPr>
                <w:rFonts w:ascii="Garamond" w:hAnsi="Garamond"/>
                <w:sz w:val="22"/>
                <w:szCs w:val="22"/>
                <w:highlight w:val="yellow"/>
                <w:lang w:val="en-US"/>
              </w:rPr>
            </w:pPr>
            <w:r w:rsidRPr="00A5626D">
              <w:rPr>
                <w:rFonts w:ascii="Garamond" w:hAnsi="Garamond"/>
                <w:sz w:val="22"/>
                <w:szCs w:val="22"/>
                <w:highlight w:val="yellow"/>
                <w:lang w:val="en-US"/>
              </w:rPr>
              <w:t>&lt;month&gt;202309&lt;/month&gt;</w:t>
            </w:r>
          </w:p>
          <w:p w14:paraId="7B23F8B7" w14:textId="77777777" w:rsidR="00295C6D" w:rsidRPr="00A5626D" w:rsidRDefault="00295C6D" w:rsidP="00B77857">
            <w:pPr>
              <w:spacing w:before="120" w:after="120"/>
              <w:jc w:val="both"/>
              <w:rPr>
                <w:rFonts w:ascii="Garamond" w:hAnsi="Garamond"/>
                <w:sz w:val="22"/>
                <w:szCs w:val="22"/>
                <w:highlight w:val="yellow"/>
                <w:lang w:val="en-US"/>
              </w:rPr>
            </w:pPr>
            <w:r w:rsidRPr="00A5626D">
              <w:rPr>
                <w:rFonts w:ascii="Garamond" w:hAnsi="Garamond"/>
                <w:sz w:val="22"/>
                <w:szCs w:val="22"/>
                <w:highlight w:val="yellow"/>
                <w:lang w:val="en-US"/>
              </w:rPr>
              <w:tab/>
              <w:t>&lt;id&gt;1234567&lt;/id&gt;</w:t>
            </w:r>
          </w:p>
          <w:p w14:paraId="2E098F2D" w14:textId="77777777" w:rsidR="00295C6D" w:rsidRPr="00A5626D" w:rsidRDefault="00295C6D" w:rsidP="00B77857">
            <w:pPr>
              <w:spacing w:before="120" w:after="120"/>
              <w:jc w:val="both"/>
              <w:rPr>
                <w:rFonts w:ascii="Garamond" w:hAnsi="Garamond"/>
                <w:sz w:val="22"/>
                <w:szCs w:val="22"/>
                <w:highlight w:val="yellow"/>
                <w:lang w:val="en-US"/>
              </w:rPr>
            </w:pPr>
            <w:r w:rsidRPr="00A5626D">
              <w:rPr>
                <w:rFonts w:ascii="Garamond" w:hAnsi="Garamond"/>
                <w:sz w:val="22"/>
                <w:szCs w:val="22"/>
                <w:highlight w:val="yellow"/>
                <w:lang w:val="en-US"/>
              </w:rPr>
              <w:tab/>
              <w:t>&lt;received&gt;20231003174524&lt;/received&gt;</w:t>
            </w:r>
          </w:p>
          <w:p w14:paraId="3FC66D37" w14:textId="77777777" w:rsidR="00295C6D" w:rsidRPr="00A5626D" w:rsidRDefault="00295C6D" w:rsidP="00B77857">
            <w:pPr>
              <w:spacing w:before="120" w:after="120"/>
              <w:jc w:val="both"/>
              <w:rPr>
                <w:rFonts w:ascii="Garamond" w:hAnsi="Garamond"/>
                <w:sz w:val="22"/>
                <w:szCs w:val="22"/>
                <w:highlight w:val="yellow"/>
              </w:rPr>
            </w:pPr>
            <w:r w:rsidRPr="00A5626D">
              <w:rPr>
                <w:rFonts w:ascii="Garamond" w:hAnsi="Garamond"/>
                <w:sz w:val="22"/>
                <w:szCs w:val="22"/>
                <w:highlight w:val="yellow"/>
              </w:rPr>
              <w:t>&lt;/</w:t>
            </w:r>
            <w:r w:rsidRPr="00A5626D">
              <w:rPr>
                <w:rFonts w:ascii="Garamond" w:hAnsi="Garamond"/>
                <w:sz w:val="22"/>
                <w:szCs w:val="22"/>
                <w:highlight w:val="yellow"/>
                <w:lang w:val="en-US"/>
              </w:rPr>
              <w:t>file</w:t>
            </w:r>
            <w:r w:rsidRPr="00A5626D">
              <w:rPr>
                <w:rFonts w:ascii="Garamond" w:hAnsi="Garamond"/>
                <w:sz w:val="22"/>
                <w:szCs w:val="22"/>
                <w:highlight w:val="yellow"/>
              </w:rPr>
              <w:t>&gt;</w:t>
            </w:r>
          </w:p>
          <w:p w14:paraId="3A58B5D7" w14:textId="77777777" w:rsidR="00295C6D" w:rsidRPr="00A5626D" w:rsidRDefault="00295C6D" w:rsidP="00B77857">
            <w:pPr>
              <w:spacing w:before="120" w:after="120"/>
              <w:jc w:val="both"/>
              <w:rPr>
                <w:rFonts w:ascii="Garamond" w:hAnsi="Garamond"/>
                <w:sz w:val="22"/>
                <w:szCs w:val="22"/>
                <w:highlight w:val="yellow"/>
              </w:rPr>
            </w:pPr>
            <w:r w:rsidRPr="00A5626D">
              <w:rPr>
                <w:rFonts w:ascii="Garamond" w:hAnsi="Garamond"/>
                <w:sz w:val="22"/>
                <w:szCs w:val="22"/>
                <w:highlight w:val="yellow"/>
              </w:rPr>
              <w:t>&lt;</w:t>
            </w:r>
            <w:r w:rsidRPr="00A5626D">
              <w:rPr>
                <w:rFonts w:ascii="Garamond" w:hAnsi="Garamond"/>
                <w:sz w:val="22"/>
                <w:szCs w:val="22"/>
                <w:highlight w:val="yellow"/>
                <w:lang w:val="en-US"/>
              </w:rPr>
              <w:t>reply</w:t>
            </w:r>
            <w:r w:rsidRPr="00A5626D">
              <w:rPr>
                <w:rFonts w:ascii="Garamond" w:hAnsi="Garamond"/>
                <w:sz w:val="22"/>
                <w:szCs w:val="22"/>
                <w:highlight w:val="yellow"/>
              </w:rPr>
              <w:t xml:space="preserve"> </w:t>
            </w:r>
            <w:r w:rsidRPr="00A5626D">
              <w:rPr>
                <w:rFonts w:ascii="Garamond" w:hAnsi="Garamond"/>
                <w:sz w:val="22"/>
                <w:szCs w:val="22"/>
                <w:highlight w:val="yellow"/>
                <w:lang w:val="en-US"/>
              </w:rPr>
              <w:t>filestatus</w:t>
            </w:r>
            <w:r w:rsidRPr="00A5626D">
              <w:rPr>
                <w:rFonts w:ascii="Garamond" w:hAnsi="Garamond"/>
                <w:sz w:val="22"/>
                <w:szCs w:val="22"/>
                <w:highlight w:val="yellow"/>
              </w:rPr>
              <w:t xml:space="preserve">="1" </w:t>
            </w:r>
            <w:r w:rsidRPr="00A5626D">
              <w:rPr>
                <w:rFonts w:ascii="Garamond" w:hAnsi="Garamond"/>
                <w:sz w:val="22"/>
                <w:szCs w:val="22"/>
                <w:highlight w:val="yellow"/>
                <w:lang w:val="en-US"/>
              </w:rPr>
              <w:t>desc</w:t>
            </w:r>
            <w:r w:rsidRPr="00A5626D">
              <w:rPr>
                <w:rFonts w:ascii="Garamond" w:hAnsi="Garamond"/>
                <w:sz w:val="22"/>
                <w:szCs w:val="22"/>
                <w:highlight w:val="yellow"/>
              </w:rPr>
              <w:t>="Ошибка, некоторые данные не приняты"&gt;</w:t>
            </w:r>
          </w:p>
          <w:p w14:paraId="7844D14B" w14:textId="7F0D04ED" w:rsidR="00295C6D" w:rsidRPr="00A5626D" w:rsidRDefault="00295C6D" w:rsidP="00B77857">
            <w:pPr>
              <w:spacing w:before="120" w:after="120"/>
              <w:jc w:val="both"/>
              <w:rPr>
                <w:rFonts w:ascii="Garamond" w:hAnsi="Garamond"/>
                <w:sz w:val="22"/>
                <w:szCs w:val="22"/>
                <w:highlight w:val="yellow"/>
              </w:rPr>
            </w:pPr>
            <w:r w:rsidRPr="00A5626D">
              <w:rPr>
                <w:rFonts w:ascii="Garamond" w:hAnsi="Garamond"/>
                <w:sz w:val="22"/>
                <w:szCs w:val="22"/>
                <w:highlight w:val="yellow"/>
              </w:rPr>
              <w:t>&lt;</w:t>
            </w:r>
            <w:r w:rsidRPr="00A5626D">
              <w:rPr>
                <w:rFonts w:ascii="Garamond" w:hAnsi="Garamond"/>
                <w:sz w:val="22"/>
                <w:szCs w:val="22"/>
                <w:highlight w:val="yellow"/>
                <w:lang w:val="en-US"/>
              </w:rPr>
              <w:t>error</w:t>
            </w:r>
            <w:r w:rsidRPr="00A5626D">
              <w:rPr>
                <w:rFonts w:ascii="Garamond" w:hAnsi="Garamond"/>
                <w:sz w:val="22"/>
                <w:szCs w:val="22"/>
                <w:highlight w:val="yellow"/>
              </w:rPr>
              <w:t xml:space="preserve"> </w:t>
            </w:r>
            <w:r w:rsidRPr="00A5626D">
              <w:rPr>
                <w:rFonts w:ascii="Garamond" w:hAnsi="Garamond"/>
                <w:sz w:val="22"/>
                <w:szCs w:val="22"/>
                <w:highlight w:val="yellow"/>
                <w:lang w:val="en-US"/>
              </w:rPr>
              <w:t>message</w:t>
            </w:r>
            <w:r w:rsidRPr="00A5626D">
              <w:rPr>
                <w:rFonts w:ascii="Garamond" w:hAnsi="Garamond"/>
                <w:sz w:val="22"/>
                <w:szCs w:val="22"/>
                <w:highlight w:val="yellow"/>
              </w:rPr>
              <w:t xml:space="preserve">="Дублирующийся интервал у элемента </w:t>
            </w:r>
            <w:r w:rsidRPr="00A5626D">
              <w:rPr>
                <w:rFonts w:ascii="Garamond" w:hAnsi="Garamond"/>
                <w:sz w:val="22"/>
                <w:szCs w:val="22"/>
                <w:highlight w:val="yellow"/>
                <w:lang w:val="en-US"/>
              </w:rPr>
              <w:t>flow</w:t>
            </w:r>
            <w:r w:rsidRPr="00A5626D">
              <w:rPr>
                <w:rFonts w:ascii="Garamond" w:hAnsi="Garamond"/>
                <w:sz w:val="22"/>
                <w:szCs w:val="22"/>
                <w:highlight w:val="yellow"/>
              </w:rPr>
              <w:t>, данный период не будет принят (элемент &lt;</w:t>
            </w:r>
            <w:r w:rsidRPr="00A5626D">
              <w:rPr>
                <w:rFonts w:ascii="Garamond" w:hAnsi="Garamond"/>
                <w:sz w:val="22"/>
                <w:szCs w:val="22"/>
                <w:highlight w:val="yellow"/>
                <w:lang w:val="en-US"/>
              </w:rPr>
              <w:t>regulation</w:t>
            </w:r>
            <w:r w:rsidRPr="00A5626D">
              <w:rPr>
                <w:rFonts w:ascii="Garamond" w:hAnsi="Garamond"/>
                <w:sz w:val="22"/>
                <w:szCs w:val="22"/>
                <w:highlight w:val="yellow"/>
              </w:rPr>
              <w:t>-</w:t>
            </w:r>
            <w:r w:rsidRPr="00A5626D">
              <w:rPr>
                <w:rFonts w:ascii="Garamond" w:hAnsi="Garamond"/>
                <w:sz w:val="22"/>
                <w:szCs w:val="22"/>
                <w:highlight w:val="yellow"/>
                <w:lang w:val="en-US"/>
              </w:rPr>
              <w:t>object</w:t>
            </w:r>
            <w:r w:rsidRPr="00A5626D">
              <w:rPr>
                <w:rFonts w:ascii="Garamond" w:hAnsi="Garamond"/>
                <w:sz w:val="22"/>
                <w:szCs w:val="22"/>
                <w:highlight w:val="yellow"/>
              </w:rPr>
              <w:t xml:space="preserve">&gt; </w:t>
            </w:r>
            <w:r w:rsidRPr="00A5626D">
              <w:rPr>
                <w:rFonts w:ascii="Garamond" w:hAnsi="Garamond"/>
                <w:sz w:val="22"/>
                <w:szCs w:val="22"/>
                <w:highlight w:val="yellow"/>
                <w:lang w:val="en-US"/>
              </w:rPr>
              <w:t>ORXXXXXX</w:t>
            </w:r>
            <w:r w:rsidRPr="00A5626D">
              <w:rPr>
                <w:rFonts w:ascii="Garamond" w:hAnsi="Garamond"/>
                <w:sz w:val="22"/>
                <w:szCs w:val="22"/>
                <w:highlight w:val="yellow"/>
              </w:rPr>
              <w:t>-&gt; &lt;</w:t>
            </w:r>
            <w:r w:rsidRPr="00A5626D">
              <w:rPr>
                <w:rFonts w:ascii="Garamond" w:hAnsi="Garamond"/>
                <w:sz w:val="22"/>
                <w:szCs w:val="22"/>
                <w:highlight w:val="yellow"/>
                <w:lang w:val="en-US"/>
              </w:rPr>
              <w:t>flow</w:t>
            </w:r>
            <w:r w:rsidRPr="00A5626D">
              <w:rPr>
                <w:rFonts w:ascii="Garamond" w:hAnsi="Garamond"/>
                <w:sz w:val="22"/>
                <w:szCs w:val="22"/>
                <w:highlight w:val="yellow"/>
              </w:rPr>
              <w:t xml:space="preserve">&gt; #23 202309300000-202309300100: 1050)" </w:t>
            </w:r>
            <w:r w:rsidRPr="00A5626D">
              <w:rPr>
                <w:rFonts w:ascii="Garamond" w:hAnsi="Garamond"/>
                <w:sz w:val="22"/>
                <w:szCs w:val="22"/>
                <w:highlight w:val="yellow"/>
                <w:lang w:val="en-US"/>
              </w:rPr>
              <w:t>type</w:t>
            </w:r>
            <w:r w:rsidRPr="00A5626D">
              <w:rPr>
                <w:rFonts w:ascii="Garamond" w:hAnsi="Garamond"/>
                <w:sz w:val="22"/>
                <w:szCs w:val="22"/>
                <w:highlight w:val="yellow"/>
              </w:rPr>
              <w:t xml:space="preserve">="6" </w:t>
            </w:r>
            <w:r w:rsidRPr="00A5626D">
              <w:rPr>
                <w:rFonts w:ascii="Garamond" w:hAnsi="Garamond"/>
                <w:sz w:val="22"/>
                <w:szCs w:val="22"/>
                <w:highlight w:val="yellow"/>
                <w:lang w:val="en-US"/>
              </w:rPr>
              <w:t>subtype</w:t>
            </w:r>
            <w:r w:rsidRPr="00A5626D">
              <w:rPr>
                <w:rFonts w:ascii="Garamond" w:hAnsi="Garamond"/>
                <w:sz w:val="22"/>
                <w:szCs w:val="22"/>
                <w:highlight w:val="yellow"/>
              </w:rPr>
              <w:t>="4"/&gt;</w:t>
            </w:r>
          </w:p>
          <w:p w14:paraId="031E226F" w14:textId="7CF3B163" w:rsidR="00295C6D" w:rsidRPr="00A5626D" w:rsidRDefault="00295C6D" w:rsidP="00B77857">
            <w:pPr>
              <w:spacing w:before="120" w:after="120"/>
              <w:jc w:val="both"/>
              <w:rPr>
                <w:rFonts w:ascii="Garamond" w:hAnsi="Garamond"/>
                <w:sz w:val="22"/>
                <w:szCs w:val="22"/>
                <w:highlight w:val="yellow"/>
              </w:rPr>
            </w:pPr>
            <w:r w:rsidRPr="00A5626D">
              <w:rPr>
                <w:rFonts w:ascii="Garamond" w:hAnsi="Garamond"/>
                <w:sz w:val="22"/>
                <w:szCs w:val="22"/>
                <w:highlight w:val="yellow"/>
              </w:rPr>
              <w:t>&lt;</w:t>
            </w:r>
            <w:r w:rsidRPr="00A5626D">
              <w:rPr>
                <w:rFonts w:ascii="Garamond" w:hAnsi="Garamond"/>
                <w:sz w:val="22"/>
                <w:szCs w:val="22"/>
                <w:highlight w:val="yellow"/>
                <w:lang w:val="en-US"/>
              </w:rPr>
              <w:t>error</w:t>
            </w:r>
            <w:r w:rsidRPr="00A5626D">
              <w:rPr>
                <w:rFonts w:ascii="Garamond" w:hAnsi="Garamond"/>
                <w:sz w:val="22"/>
                <w:szCs w:val="22"/>
                <w:highlight w:val="yellow"/>
              </w:rPr>
              <w:t xml:space="preserve"> </w:t>
            </w:r>
            <w:r w:rsidRPr="00A5626D">
              <w:rPr>
                <w:rFonts w:ascii="Garamond" w:hAnsi="Garamond"/>
                <w:sz w:val="22"/>
                <w:szCs w:val="22"/>
                <w:highlight w:val="yellow"/>
                <w:lang w:val="en-US"/>
              </w:rPr>
              <w:t>message</w:t>
            </w:r>
            <w:r w:rsidRPr="00A5626D">
              <w:rPr>
                <w:rFonts w:ascii="Garamond" w:hAnsi="Garamond"/>
                <w:sz w:val="22"/>
                <w:szCs w:val="22"/>
                <w:highlight w:val="yellow"/>
              </w:rPr>
              <w:t>="Временной интервал выходит за пределы отчетного месяца 202309, данный час не будет принят (элемент &lt;</w:t>
            </w:r>
            <w:r w:rsidRPr="00A5626D">
              <w:rPr>
                <w:rFonts w:ascii="Garamond" w:hAnsi="Garamond"/>
                <w:sz w:val="22"/>
                <w:szCs w:val="22"/>
                <w:highlight w:val="yellow"/>
                <w:lang w:val="en-US"/>
              </w:rPr>
              <w:t>regulation</w:t>
            </w:r>
            <w:r w:rsidRPr="00A5626D">
              <w:rPr>
                <w:rFonts w:ascii="Garamond" w:hAnsi="Garamond"/>
                <w:sz w:val="22"/>
                <w:szCs w:val="22"/>
                <w:highlight w:val="yellow"/>
              </w:rPr>
              <w:t>-</w:t>
            </w:r>
            <w:r w:rsidRPr="00A5626D">
              <w:rPr>
                <w:rFonts w:ascii="Garamond" w:hAnsi="Garamond"/>
                <w:sz w:val="22"/>
                <w:szCs w:val="22"/>
                <w:highlight w:val="yellow"/>
                <w:lang w:val="en-US"/>
              </w:rPr>
              <w:t>object</w:t>
            </w:r>
            <w:r w:rsidRPr="00A5626D">
              <w:rPr>
                <w:rFonts w:ascii="Garamond" w:hAnsi="Garamond"/>
                <w:sz w:val="22"/>
                <w:szCs w:val="22"/>
                <w:highlight w:val="yellow"/>
              </w:rPr>
              <w:t xml:space="preserve">&gt; </w:t>
            </w:r>
            <w:r w:rsidRPr="00A5626D">
              <w:rPr>
                <w:rFonts w:ascii="Garamond" w:hAnsi="Garamond"/>
                <w:sz w:val="22"/>
                <w:szCs w:val="22"/>
                <w:highlight w:val="yellow"/>
                <w:lang w:val="en-US"/>
              </w:rPr>
              <w:t>ORXXXXXX</w:t>
            </w:r>
            <w:r w:rsidRPr="00A5626D">
              <w:rPr>
                <w:rFonts w:ascii="Garamond" w:hAnsi="Garamond"/>
                <w:sz w:val="22"/>
                <w:szCs w:val="22"/>
                <w:highlight w:val="yellow"/>
              </w:rPr>
              <w:t>-&gt; &lt;</w:t>
            </w:r>
            <w:r w:rsidRPr="00A5626D">
              <w:rPr>
                <w:rFonts w:ascii="Garamond" w:hAnsi="Garamond"/>
                <w:sz w:val="22"/>
                <w:szCs w:val="22"/>
                <w:highlight w:val="yellow"/>
                <w:lang w:val="en-US"/>
              </w:rPr>
              <w:t>flow</w:t>
            </w:r>
            <w:r w:rsidRPr="00A5626D">
              <w:rPr>
                <w:rFonts w:ascii="Garamond" w:hAnsi="Garamond"/>
                <w:sz w:val="22"/>
                <w:szCs w:val="22"/>
                <w:highlight w:val="yellow"/>
              </w:rPr>
              <w:t xml:space="preserve">&gt; #24 202310301300-202310301400: 1000)" </w:t>
            </w:r>
            <w:r w:rsidRPr="00A5626D">
              <w:rPr>
                <w:rFonts w:ascii="Garamond" w:hAnsi="Garamond"/>
                <w:sz w:val="22"/>
                <w:szCs w:val="22"/>
                <w:highlight w:val="yellow"/>
                <w:lang w:val="en-US"/>
              </w:rPr>
              <w:t>type</w:t>
            </w:r>
            <w:r w:rsidRPr="00A5626D">
              <w:rPr>
                <w:rFonts w:ascii="Garamond" w:hAnsi="Garamond"/>
                <w:sz w:val="22"/>
                <w:szCs w:val="22"/>
                <w:highlight w:val="yellow"/>
              </w:rPr>
              <w:t xml:space="preserve">="7" </w:t>
            </w:r>
            <w:r w:rsidRPr="00A5626D">
              <w:rPr>
                <w:rFonts w:ascii="Garamond" w:hAnsi="Garamond"/>
                <w:sz w:val="22"/>
                <w:szCs w:val="22"/>
                <w:highlight w:val="yellow"/>
                <w:lang w:val="en-US"/>
              </w:rPr>
              <w:t>subtype</w:t>
            </w:r>
            <w:r w:rsidRPr="00A5626D">
              <w:rPr>
                <w:rFonts w:ascii="Garamond" w:hAnsi="Garamond"/>
                <w:sz w:val="22"/>
                <w:szCs w:val="22"/>
                <w:highlight w:val="yellow"/>
              </w:rPr>
              <w:t>="1"/&gt;</w:t>
            </w:r>
          </w:p>
          <w:p w14:paraId="361BBD4A" w14:textId="77777777" w:rsidR="00295C6D" w:rsidRPr="00A5626D" w:rsidRDefault="00295C6D" w:rsidP="00B77857">
            <w:pPr>
              <w:spacing w:before="120" w:after="120"/>
              <w:jc w:val="both"/>
              <w:rPr>
                <w:rFonts w:ascii="Garamond" w:hAnsi="Garamond"/>
                <w:sz w:val="22"/>
                <w:szCs w:val="22"/>
                <w:highlight w:val="yellow"/>
                <w:lang w:val="en-US"/>
              </w:rPr>
            </w:pPr>
            <w:r w:rsidRPr="00A5626D">
              <w:rPr>
                <w:rFonts w:ascii="Garamond" w:hAnsi="Garamond"/>
                <w:sz w:val="22"/>
                <w:szCs w:val="22"/>
                <w:highlight w:val="yellow"/>
                <w:lang w:val="en-US"/>
              </w:rPr>
              <w:t>&lt;/reply&gt;</w:t>
            </w:r>
          </w:p>
          <w:p w14:paraId="613985DE" w14:textId="77777777" w:rsidR="00295C6D" w:rsidRPr="00A5626D" w:rsidRDefault="00295C6D" w:rsidP="00B77857">
            <w:pPr>
              <w:spacing w:before="120" w:after="120"/>
              <w:jc w:val="both"/>
              <w:rPr>
                <w:rFonts w:ascii="Garamond" w:hAnsi="Garamond"/>
                <w:sz w:val="22"/>
                <w:szCs w:val="22"/>
                <w:highlight w:val="yellow"/>
                <w:lang w:val="en-US"/>
              </w:rPr>
            </w:pPr>
            <w:r w:rsidRPr="00A5626D">
              <w:rPr>
                <w:rFonts w:ascii="Garamond" w:hAnsi="Garamond"/>
                <w:sz w:val="22"/>
                <w:szCs w:val="22"/>
                <w:highlight w:val="yellow"/>
                <w:lang w:val="en-US"/>
              </w:rPr>
              <w:t>&lt;regulation-object code="ORXXXXXX" flows="22"&gt;</w:t>
            </w:r>
          </w:p>
          <w:p w14:paraId="76D17926" w14:textId="77777777" w:rsidR="00295C6D" w:rsidRPr="00A5626D" w:rsidRDefault="00295C6D" w:rsidP="00B77857">
            <w:pPr>
              <w:spacing w:before="120" w:after="120"/>
              <w:jc w:val="both"/>
              <w:rPr>
                <w:rFonts w:ascii="Garamond" w:hAnsi="Garamond"/>
                <w:sz w:val="22"/>
                <w:szCs w:val="22"/>
                <w:highlight w:val="yellow"/>
                <w:lang w:val="en-US"/>
              </w:rPr>
            </w:pPr>
            <w:r w:rsidRPr="00A5626D">
              <w:rPr>
                <w:rFonts w:ascii="Garamond" w:hAnsi="Garamond"/>
                <w:sz w:val="22"/>
                <w:szCs w:val="22"/>
                <w:highlight w:val="yellow"/>
                <w:lang w:val="en-US"/>
              </w:rPr>
              <w:t>&lt;flow begin="202309300000" end="202309300100" power="1000"/&gt;</w:t>
            </w:r>
          </w:p>
          <w:p w14:paraId="5D21AF66" w14:textId="77777777" w:rsidR="00295C6D" w:rsidRPr="00A5626D" w:rsidRDefault="00295C6D" w:rsidP="00B77857">
            <w:pPr>
              <w:spacing w:before="120" w:after="120"/>
              <w:jc w:val="both"/>
              <w:rPr>
                <w:rFonts w:ascii="Garamond" w:hAnsi="Garamond"/>
                <w:sz w:val="22"/>
                <w:szCs w:val="22"/>
                <w:highlight w:val="yellow"/>
                <w:lang w:val="en-US"/>
              </w:rPr>
            </w:pPr>
            <w:r w:rsidRPr="00A5626D">
              <w:rPr>
                <w:rFonts w:ascii="Garamond" w:hAnsi="Garamond"/>
                <w:sz w:val="22"/>
                <w:szCs w:val="22"/>
                <w:highlight w:val="yellow"/>
                <w:lang w:val="en-US"/>
              </w:rPr>
              <w:t xml:space="preserve">    ...   </w:t>
            </w:r>
          </w:p>
          <w:p w14:paraId="7052BAFC" w14:textId="77777777" w:rsidR="00295C6D" w:rsidRPr="00A5626D" w:rsidRDefault="00295C6D" w:rsidP="00B77857">
            <w:pPr>
              <w:spacing w:before="120" w:after="120"/>
              <w:jc w:val="both"/>
              <w:rPr>
                <w:rFonts w:ascii="Garamond" w:hAnsi="Garamond"/>
                <w:sz w:val="22"/>
                <w:szCs w:val="22"/>
                <w:highlight w:val="yellow"/>
                <w:lang w:val="en-US"/>
              </w:rPr>
            </w:pPr>
            <w:r w:rsidRPr="00A5626D">
              <w:rPr>
                <w:rFonts w:ascii="Garamond" w:hAnsi="Garamond"/>
                <w:sz w:val="22"/>
                <w:szCs w:val="22"/>
                <w:highlight w:val="yellow"/>
                <w:lang w:val="en-US"/>
              </w:rPr>
              <w:t>&lt;flow begin="202309302300" end="202310010000" power="1000"/&gt;</w:t>
            </w:r>
          </w:p>
          <w:p w14:paraId="30DC5B12" w14:textId="77777777" w:rsidR="00295C6D" w:rsidRPr="00A5626D" w:rsidRDefault="00295C6D" w:rsidP="00B77857">
            <w:pPr>
              <w:spacing w:before="120" w:after="120"/>
              <w:jc w:val="both"/>
              <w:rPr>
                <w:rFonts w:ascii="Garamond" w:hAnsi="Garamond"/>
                <w:sz w:val="22"/>
                <w:szCs w:val="22"/>
                <w:highlight w:val="yellow"/>
                <w:lang w:val="en-US"/>
              </w:rPr>
            </w:pPr>
            <w:r w:rsidRPr="00A5626D">
              <w:rPr>
                <w:rFonts w:ascii="Garamond" w:hAnsi="Garamond"/>
                <w:sz w:val="22"/>
                <w:szCs w:val="22"/>
                <w:highlight w:val="yellow"/>
                <w:lang w:val="en-US"/>
              </w:rPr>
              <w:lastRenderedPageBreak/>
              <w:t>&lt;/regulation-object&gt;</w:t>
            </w:r>
          </w:p>
          <w:p w14:paraId="2DEFBE9B" w14:textId="7BD3BA77" w:rsidR="00295C6D" w:rsidRPr="00673C6F" w:rsidRDefault="00295C6D" w:rsidP="00673C6F">
            <w:pPr>
              <w:spacing w:before="120" w:after="120"/>
              <w:jc w:val="both"/>
              <w:rPr>
                <w:rFonts w:ascii="Garamond" w:hAnsi="Garamond"/>
                <w:sz w:val="22"/>
                <w:szCs w:val="22"/>
                <w:highlight w:val="yellow"/>
                <w:lang w:val="en-US"/>
              </w:rPr>
            </w:pPr>
            <w:bookmarkStart w:id="132" w:name="_Toc6934156"/>
            <w:bookmarkStart w:id="133" w:name="_Toc9438281"/>
            <w:bookmarkStart w:id="134" w:name="_Toc15042411"/>
            <w:bookmarkStart w:id="135" w:name="_Toc46857402"/>
            <w:bookmarkStart w:id="136" w:name="_Toc52641330"/>
            <w:bookmarkStart w:id="137" w:name="_Toc89643331"/>
            <w:r w:rsidRPr="00A5626D">
              <w:rPr>
                <w:rFonts w:ascii="Garamond" w:hAnsi="Garamond"/>
                <w:sz w:val="22"/>
                <w:szCs w:val="22"/>
                <w:highlight w:val="yellow"/>
                <w:lang w:val="en-US"/>
              </w:rPr>
              <w:t>&lt;/message&gt;</w:t>
            </w:r>
            <w:bookmarkEnd w:id="132"/>
            <w:bookmarkEnd w:id="133"/>
            <w:bookmarkEnd w:id="134"/>
            <w:bookmarkEnd w:id="135"/>
            <w:bookmarkEnd w:id="136"/>
            <w:bookmarkEnd w:id="137"/>
          </w:p>
        </w:tc>
      </w:tr>
      <w:tr w:rsidR="00C34DAF" w:rsidRPr="00A5626D" w14:paraId="426545D0" w14:textId="77777777" w:rsidTr="00647FA0">
        <w:tc>
          <w:tcPr>
            <w:tcW w:w="1060" w:type="dxa"/>
            <w:vAlign w:val="center"/>
          </w:tcPr>
          <w:p w14:paraId="1FEAEC0E" w14:textId="14B2661A" w:rsidR="00C34DAF" w:rsidRPr="00A5626D" w:rsidRDefault="00C34DAF" w:rsidP="00403069">
            <w:pPr>
              <w:widowControl w:val="0"/>
              <w:tabs>
                <w:tab w:val="left" w:pos="1134"/>
                <w:tab w:val="left" w:pos="7938"/>
              </w:tabs>
              <w:spacing w:line="22" w:lineRule="atLeast"/>
              <w:jc w:val="both"/>
              <w:rPr>
                <w:rFonts w:ascii="Garamond" w:hAnsi="Garamond"/>
                <w:b/>
                <w:sz w:val="22"/>
                <w:szCs w:val="22"/>
                <w:lang w:eastAsia="en-US"/>
              </w:rPr>
            </w:pPr>
            <w:r w:rsidRPr="00A5626D">
              <w:rPr>
                <w:rFonts w:ascii="Garamond" w:hAnsi="Garamond"/>
                <w:b/>
                <w:sz w:val="22"/>
                <w:szCs w:val="22"/>
                <w:lang w:eastAsia="en-US"/>
              </w:rPr>
              <w:lastRenderedPageBreak/>
              <w:t>Приложение 2, п.</w:t>
            </w:r>
            <w:r w:rsidR="000B3419" w:rsidRPr="00A5626D">
              <w:rPr>
                <w:rFonts w:ascii="Garamond" w:hAnsi="Garamond"/>
                <w:b/>
                <w:sz w:val="22"/>
                <w:szCs w:val="22"/>
                <w:lang w:eastAsia="en-US"/>
              </w:rPr>
              <w:t> 2.2</w:t>
            </w:r>
          </w:p>
        </w:tc>
        <w:tc>
          <w:tcPr>
            <w:tcW w:w="6662" w:type="dxa"/>
          </w:tcPr>
          <w:p w14:paraId="126E94DA" w14:textId="77777777" w:rsidR="00C34DAF" w:rsidRPr="00A5626D" w:rsidRDefault="00C34DAF" w:rsidP="00403069">
            <w:pPr>
              <w:rPr>
                <w:rFonts w:ascii="Garamond" w:hAnsi="Garamond" w:cstheme="minorHAnsi"/>
                <w:sz w:val="22"/>
                <w:szCs w:val="22"/>
              </w:rPr>
            </w:pPr>
            <w:r w:rsidRPr="00A5626D">
              <w:rPr>
                <w:rFonts w:ascii="Garamond" w:hAnsi="Garamond" w:cstheme="minorHAnsi"/>
                <w:sz w:val="22"/>
                <w:szCs w:val="22"/>
              </w:rPr>
              <w:t>&lt;</w:t>
            </w:r>
            <w:r w:rsidRPr="00A5626D">
              <w:rPr>
                <w:rFonts w:ascii="Garamond" w:hAnsi="Garamond" w:cstheme="minorHAnsi"/>
                <w:sz w:val="22"/>
                <w:szCs w:val="22"/>
                <w:lang w:val="en-US"/>
              </w:rPr>
              <w:t>organizations</w:t>
            </w:r>
            <w:r w:rsidRPr="00A5626D">
              <w:rPr>
                <w:rFonts w:ascii="Garamond" w:hAnsi="Garamond" w:cstheme="minorHAnsi"/>
                <w:sz w:val="22"/>
                <w:szCs w:val="22"/>
              </w:rPr>
              <w:t>&gt;</w:t>
            </w:r>
          </w:p>
          <w:p w14:paraId="375138C7" w14:textId="77777777" w:rsidR="00C34DAF" w:rsidRPr="00A5626D" w:rsidRDefault="00C34DAF" w:rsidP="00403069">
            <w:pPr>
              <w:spacing w:before="120" w:after="120"/>
              <w:ind w:left="360"/>
              <w:jc w:val="both"/>
              <w:rPr>
                <w:rFonts w:ascii="Garamond" w:hAnsi="Garamond" w:cstheme="minorHAnsi"/>
                <w:sz w:val="22"/>
                <w:szCs w:val="22"/>
              </w:rPr>
            </w:pPr>
            <w:r w:rsidRPr="00A5626D">
              <w:rPr>
                <w:rFonts w:ascii="Garamond" w:hAnsi="Garamond" w:cstheme="minorHAnsi"/>
                <w:sz w:val="22"/>
                <w:szCs w:val="22"/>
              </w:rPr>
              <w:t>Элемент &lt;</w:t>
            </w:r>
            <w:r w:rsidRPr="00A5626D">
              <w:rPr>
                <w:rFonts w:ascii="Garamond" w:hAnsi="Garamond" w:cstheme="minorHAnsi"/>
                <w:b/>
                <w:sz w:val="22"/>
                <w:szCs w:val="22"/>
              </w:rPr>
              <w:t>organization</w:t>
            </w:r>
            <w:r w:rsidRPr="00A5626D">
              <w:rPr>
                <w:rFonts w:ascii="Garamond" w:hAnsi="Garamond" w:cstheme="minorHAnsi"/>
                <w:b/>
                <w:sz w:val="22"/>
                <w:szCs w:val="22"/>
                <w:lang w:val="en-US"/>
              </w:rPr>
              <w:t>s</w:t>
            </w:r>
            <w:r w:rsidRPr="00A5626D">
              <w:rPr>
                <w:rFonts w:ascii="Garamond" w:hAnsi="Garamond" w:cstheme="minorHAnsi"/>
                <w:sz w:val="22"/>
                <w:szCs w:val="22"/>
              </w:rPr>
              <w:t xml:space="preserve">&gt; описывает организации, перечисленные в макете </w:t>
            </w:r>
            <w:r w:rsidRPr="00A5626D">
              <w:rPr>
                <w:rFonts w:ascii="Garamond" w:hAnsi="Garamond" w:cstheme="minorHAnsi"/>
                <w:sz w:val="22"/>
                <w:szCs w:val="22"/>
                <w:highlight w:val="yellow"/>
              </w:rPr>
              <w:t>81020</w:t>
            </w:r>
            <w:r w:rsidRPr="00A5626D">
              <w:rPr>
                <w:rFonts w:ascii="Garamond" w:hAnsi="Garamond" w:cstheme="minorHAnsi"/>
                <w:sz w:val="22"/>
                <w:szCs w:val="22"/>
              </w:rPr>
              <w:t>.</w:t>
            </w:r>
          </w:p>
          <w:p w14:paraId="41FBEC01" w14:textId="77777777" w:rsidR="00C34DAF" w:rsidRPr="00A5626D" w:rsidRDefault="00C34DAF" w:rsidP="00403069">
            <w:pPr>
              <w:spacing w:before="120" w:after="120"/>
              <w:ind w:left="360"/>
              <w:jc w:val="both"/>
              <w:rPr>
                <w:rFonts w:ascii="Garamond" w:hAnsi="Garamond" w:cstheme="minorHAnsi"/>
                <w:sz w:val="22"/>
                <w:szCs w:val="22"/>
              </w:rPr>
            </w:pPr>
            <w:r w:rsidRPr="00A5626D">
              <w:rPr>
                <w:rFonts w:ascii="Garamond" w:hAnsi="Garamond" w:cstheme="minorHAnsi"/>
                <w:bCs/>
                <w:sz w:val="22"/>
                <w:szCs w:val="22"/>
              </w:rPr>
              <w:t>Обязательный элемент</w:t>
            </w:r>
            <w:r w:rsidRPr="00A5626D">
              <w:rPr>
                <w:rFonts w:ascii="Garamond" w:hAnsi="Garamond" w:cstheme="minorHAnsi"/>
                <w:sz w:val="22"/>
                <w:szCs w:val="22"/>
              </w:rPr>
              <w:t>, допускается наличие только одного элемента.</w:t>
            </w:r>
          </w:p>
          <w:p w14:paraId="3E8DB4C7" w14:textId="2F5BB449" w:rsidR="00C34DAF" w:rsidRPr="00A5626D" w:rsidRDefault="00C34DAF" w:rsidP="000B3419">
            <w:pPr>
              <w:spacing w:before="120" w:after="120"/>
              <w:ind w:left="360"/>
              <w:jc w:val="both"/>
              <w:rPr>
                <w:rFonts w:ascii="Garamond" w:hAnsi="Garamond" w:cstheme="minorHAnsi"/>
                <w:sz w:val="22"/>
                <w:szCs w:val="22"/>
              </w:rPr>
            </w:pPr>
            <w:r w:rsidRPr="00A5626D">
              <w:rPr>
                <w:rFonts w:ascii="Garamond" w:eastAsia="MS Mincho" w:hAnsi="Garamond" w:cstheme="minorHAnsi"/>
                <w:sz w:val="22"/>
                <w:szCs w:val="22"/>
              </w:rPr>
              <w:t xml:space="preserve">Потомком элемента </w:t>
            </w:r>
            <w:r w:rsidRPr="00A5626D">
              <w:rPr>
                <w:rFonts w:ascii="Garamond" w:hAnsi="Garamond" w:cstheme="minorHAnsi"/>
                <w:b/>
                <w:sz w:val="22"/>
                <w:szCs w:val="22"/>
              </w:rPr>
              <w:t>&lt;</w:t>
            </w:r>
            <w:r w:rsidRPr="00A5626D">
              <w:rPr>
                <w:rFonts w:ascii="Garamond" w:hAnsi="Garamond" w:cstheme="minorHAnsi"/>
                <w:b/>
                <w:sz w:val="22"/>
                <w:szCs w:val="22"/>
                <w:lang w:val="en-US"/>
              </w:rPr>
              <w:t>organizations</w:t>
            </w:r>
            <w:r w:rsidRPr="00A5626D">
              <w:rPr>
                <w:rFonts w:ascii="Garamond" w:hAnsi="Garamond" w:cstheme="minorHAnsi"/>
                <w:b/>
                <w:sz w:val="22"/>
                <w:szCs w:val="22"/>
              </w:rPr>
              <w:t xml:space="preserve">&gt; </w:t>
            </w:r>
            <w:r w:rsidRPr="00A5626D">
              <w:rPr>
                <w:rFonts w:ascii="Garamond" w:hAnsi="Garamond" w:cstheme="minorHAnsi"/>
                <w:sz w:val="22"/>
                <w:szCs w:val="22"/>
              </w:rPr>
              <w:t xml:space="preserve">является элемент </w:t>
            </w:r>
            <w:r w:rsidRPr="00A5626D">
              <w:rPr>
                <w:rFonts w:ascii="Garamond" w:hAnsi="Garamond" w:cstheme="minorHAnsi"/>
                <w:b/>
                <w:sz w:val="22"/>
                <w:szCs w:val="22"/>
              </w:rPr>
              <w:t>&lt;</w:t>
            </w:r>
            <w:r w:rsidRPr="00A5626D">
              <w:rPr>
                <w:rFonts w:ascii="Garamond" w:hAnsi="Garamond" w:cstheme="minorHAnsi"/>
                <w:b/>
                <w:sz w:val="22"/>
                <w:szCs w:val="22"/>
                <w:lang w:val="en-US"/>
              </w:rPr>
              <w:t>organization</w:t>
            </w:r>
            <w:r w:rsidRPr="00A5626D">
              <w:rPr>
                <w:rFonts w:ascii="Garamond" w:hAnsi="Garamond" w:cstheme="minorHAnsi"/>
                <w:b/>
                <w:sz w:val="22"/>
                <w:szCs w:val="22"/>
              </w:rPr>
              <w:t>&gt;.</w:t>
            </w:r>
          </w:p>
        </w:tc>
        <w:tc>
          <w:tcPr>
            <w:tcW w:w="7088" w:type="dxa"/>
          </w:tcPr>
          <w:p w14:paraId="5D5CFF0C" w14:textId="77777777" w:rsidR="00C34DAF" w:rsidRPr="00A5626D" w:rsidRDefault="00C34DAF" w:rsidP="00403069">
            <w:pPr>
              <w:rPr>
                <w:rFonts w:ascii="Garamond" w:hAnsi="Garamond" w:cstheme="minorHAnsi"/>
                <w:sz w:val="22"/>
                <w:szCs w:val="22"/>
              </w:rPr>
            </w:pPr>
            <w:r w:rsidRPr="00A5626D">
              <w:rPr>
                <w:rFonts w:ascii="Garamond" w:hAnsi="Garamond" w:cstheme="minorHAnsi"/>
                <w:sz w:val="22"/>
                <w:szCs w:val="22"/>
              </w:rPr>
              <w:t>&lt;</w:t>
            </w:r>
            <w:r w:rsidRPr="00A5626D">
              <w:rPr>
                <w:rFonts w:ascii="Garamond" w:hAnsi="Garamond" w:cstheme="minorHAnsi"/>
                <w:sz w:val="22"/>
                <w:szCs w:val="22"/>
                <w:lang w:val="en-US"/>
              </w:rPr>
              <w:t>organizations</w:t>
            </w:r>
            <w:r w:rsidRPr="00A5626D">
              <w:rPr>
                <w:rFonts w:ascii="Garamond" w:hAnsi="Garamond" w:cstheme="minorHAnsi"/>
                <w:sz w:val="22"/>
                <w:szCs w:val="22"/>
              </w:rPr>
              <w:t>&gt;</w:t>
            </w:r>
          </w:p>
          <w:p w14:paraId="53B15782" w14:textId="77777777" w:rsidR="00C34DAF" w:rsidRPr="00A5626D" w:rsidRDefault="00C34DAF" w:rsidP="00403069">
            <w:pPr>
              <w:spacing w:before="120" w:after="120"/>
              <w:ind w:left="360"/>
              <w:jc w:val="both"/>
              <w:rPr>
                <w:rFonts w:ascii="Garamond" w:hAnsi="Garamond" w:cstheme="minorHAnsi"/>
                <w:sz w:val="22"/>
                <w:szCs w:val="22"/>
              </w:rPr>
            </w:pPr>
            <w:r w:rsidRPr="00A5626D">
              <w:rPr>
                <w:rFonts w:ascii="Garamond" w:hAnsi="Garamond" w:cstheme="minorHAnsi"/>
                <w:sz w:val="22"/>
                <w:szCs w:val="22"/>
              </w:rPr>
              <w:t>Элемент &lt;</w:t>
            </w:r>
            <w:r w:rsidRPr="00A5626D">
              <w:rPr>
                <w:rFonts w:ascii="Garamond" w:hAnsi="Garamond" w:cstheme="minorHAnsi"/>
                <w:b/>
                <w:sz w:val="22"/>
                <w:szCs w:val="22"/>
              </w:rPr>
              <w:t>organization</w:t>
            </w:r>
            <w:r w:rsidRPr="00A5626D">
              <w:rPr>
                <w:rFonts w:ascii="Garamond" w:hAnsi="Garamond" w:cstheme="minorHAnsi"/>
                <w:b/>
                <w:sz w:val="22"/>
                <w:szCs w:val="22"/>
                <w:lang w:val="en-US"/>
              </w:rPr>
              <w:t>s</w:t>
            </w:r>
            <w:r w:rsidRPr="00A5626D">
              <w:rPr>
                <w:rFonts w:ascii="Garamond" w:hAnsi="Garamond" w:cstheme="minorHAnsi"/>
                <w:sz w:val="22"/>
                <w:szCs w:val="22"/>
              </w:rPr>
              <w:t xml:space="preserve">&gt; описывает организации, перечисленные в макете </w:t>
            </w:r>
            <w:r w:rsidRPr="00A5626D">
              <w:rPr>
                <w:rFonts w:ascii="Garamond" w:hAnsi="Garamond" w:cstheme="minorHAnsi"/>
                <w:sz w:val="22"/>
                <w:szCs w:val="22"/>
                <w:highlight w:val="yellow"/>
              </w:rPr>
              <w:t>51020</w:t>
            </w:r>
            <w:r w:rsidRPr="00A5626D">
              <w:rPr>
                <w:rFonts w:ascii="Garamond" w:hAnsi="Garamond" w:cstheme="minorHAnsi"/>
                <w:sz w:val="22"/>
                <w:szCs w:val="22"/>
              </w:rPr>
              <w:t>.</w:t>
            </w:r>
          </w:p>
          <w:p w14:paraId="5577027F" w14:textId="77777777" w:rsidR="00C34DAF" w:rsidRPr="00A5626D" w:rsidRDefault="00C34DAF" w:rsidP="00403069">
            <w:pPr>
              <w:spacing w:before="120" w:after="120"/>
              <w:ind w:left="360"/>
              <w:jc w:val="both"/>
              <w:rPr>
                <w:rFonts w:ascii="Garamond" w:hAnsi="Garamond" w:cstheme="minorHAnsi"/>
                <w:sz w:val="22"/>
                <w:szCs w:val="22"/>
              </w:rPr>
            </w:pPr>
            <w:r w:rsidRPr="00A5626D">
              <w:rPr>
                <w:rFonts w:ascii="Garamond" w:hAnsi="Garamond" w:cstheme="minorHAnsi"/>
                <w:bCs/>
                <w:sz w:val="22"/>
                <w:szCs w:val="22"/>
              </w:rPr>
              <w:t>Обязательный элемент</w:t>
            </w:r>
            <w:r w:rsidRPr="00A5626D">
              <w:rPr>
                <w:rFonts w:ascii="Garamond" w:hAnsi="Garamond" w:cstheme="minorHAnsi"/>
                <w:sz w:val="22"/>
                <w:szCs w:val="22"/>
              </w:rPr>
              <w:t>, допускается наличие только одного элемента.</w:t>
            </w:r>
          </w:p>
          <w:p w14:paraId="51A7AE08" w14:textId="77777777" w:rsidR="00C34DAF" w:rsidRPr="00A5626D" w:rsidRDefault="00C34DAF" w:rsidP="00403069">
            <w:pPr>
              <w:spacing w:before="120" w:after="120"/>
              <w:ind w:left="360"/>
              <w:jc w:val="both"/>
              <w:rPr>
                <w:rFonts w:ascii="Garamond" w:hAnsi="Garamond" w:cstheme="minorHAnsi"/>
                <w:sz w:val="22"/>
                <w:szCs w:val="22"/>
              </w:rPr>
            </w:pPr>
            <w:r w:rsidRPr="00A5626D">
              <w:rPr>
                <w:rFonts w:ascii="Garamond" w:eastAsia="MS Mincho" w:hAnsi="Garamond" w:cstheme="minorHAnsi"/>
                <w:sz w:val="22"/>
                <w:szCs w:val="22"/>
              </w:rPr>
              <w:t xml:space="preserve">Потомком элемента </w:t>
            </w:r>
            <w:r w:rsidRPr="00A5626D">
              <w:rPr>
                <w:rFonts w:ascii="Garamond" w:hAnsi="Garamond" w:cstheme="minorHAnsi"/>
                <w:b/>
                <w:sz w:val="22"/>
                <w:szCs w:val="22"/>
              </w:rPr>
              <w:t>&lt;</w:t>
            </w:r>
            <w:r w:rsidRPr="00A5626D">
              <w:rPr>
                <w:rFonts w:ascii="Garamond" w:hAnsi="Garamond" w:cstheme="minorHAnsi"/>
                <w:b/>
                <w:sz w:val="22"/>
                <w:szCs w:val="22"/>
                <w:lang w:val="en-US"/>
              </w:rPr>
              <w:t>organizations</w:t>
            </w:r>
            <w:r w:rsidRPr="00A5626D">
              <w:rPr>
                <w:rFonts w:ascii="Garamond" w:hAnsi="Garamond" w:cstheme="minorHAnsi"/>
                <w:b/>
                <w:sz w:val="22"/>
                <w:szCs w:val="22"/>
              </w:rPr>
              <w:t xml:space="preserve">&gt; </w:t>
            </w:r>
            <w:r w:rsidRPr="00A5626D">
              <w:rPr>
                <w:rFonts w:ascii="Garamond" w:hAnsi="Garamond" w:cstheme="minorHAnsi"/>
                <w:sz w:val="22"/>
                <w:szCs w:val="22"/>
              </w:rPr>
              <w:t xml:space="preserve">является элемент </w:t>
            </w:r>
            <w:r w:rsidRPr="00A5626D">
              <w:rPr>
                <w:rFonts w:ascii="Garamond" w:hAnsi="Garamond" w:cstheme="minorHAnsi"/>
                <w:b/>
                <w:sz w:val="22"/>
                <w:szCs w:val="22"/>
              </w:rPr>
              <w:t>&lt;</w:t>
            </w:r>
            <w:r w:rsidRPr="00A5626D">
              <w:rPr>
                <w:rFonts w:ascii="Garamond" w:hAnsi="Garamond" w:cstheme="minorHAnsi"/>
                <w:b/>
                <w:sz w:val="22"/>
                <w:szCs w:val="22"/>
                <w:lang w:val="en-US"/>
              </w:rPr>
              <w:t>organization</w:t>
            </w:r>
            <w:r w:rsidRPr="00A5626D">
              <w:rPr>
                <w:rFonts w:ascii="Garamond" w:hAnsi="Garamond" w:cstheme="minorHAnsi"/>
                <w:b/>
                <w:sz w:val="22"/>
                <w:szCs w:val="22"/>
              </w:rPr>
              <w:t>&gt;.</w:t>
            </w:r>
          </w:p>
          <w:p w14:paraId="28CC5854" w14:textId="77777777" w:rsidR="00C34DAF" w:rsidRPr="00A5626D" w:rsidRDefault="00C34DAF" w:rsidP="00403069">
            <w:pPr>
              <w:pStyle w:val="2"/>
              <w:numPr>
                <w:ilvl w:val="0"/>
                <w:numId w:val="0"/>
              </w:numPr>
              <w:tabs>
                <w:tab w:val="left" w:pos="1134"/>
                <w:tab w:val="left" w:pos="7938"/>
              </w:tabs>
              <w:suppressAutoHyphens w:val="0"/>
              <w:spacing w:line="22" w:lineRule="atLeast"/>
              <w:ind w:firstLine="629"/>
              <w:jc w:val="both"/>
              <w:rPr>
                <w:rFonts w:ascii="Garamond" w:hAnsi="Garamond" w:cstheme="minorHAnsi"/>
                <w:b w:val="0"/>
              </w:rPr>
            </w:pPr>
          </w:p>
        </w:tc>
      </w:tr>
      <w:tr w:rsidR="00BE7DFC" w:rsidRPr="00A5626D" w14:paraId="735748E2" w14:textId="77777777" w:rsidTr="00647FA0">
        <w:tc>
          <w:tcPr>
            <w:tcW w:w="1060" w:type="dxa"/>
            <w:vAlign w:val="center"/>
          </w:tcPr>
          <w:p w14:paraId="4234185A" w14:textId="77777777" w:rsidR="00BE7DFC" w:rsidRPr="00A5626D" w:rsidRDefault="00BE7DFC" w:rsidP="00E31AE6">
            <w:pPr>
              <w:widowControl w:val="0"/>
              <w:tabs>
                <w:tab w:val="left" w:pos="1134"/>
                <w:tab w:val="left" w:pos="7938"/>
              </w:tabs>
              <w:spacing w:line="22" w:lineRule="atLeast"/>
              <w:jc w:val="both"/>
              <w:rPr>
                <w:rFonts w:ascii="Garamond" w:hAnsi="Garamond"/>
                <w:b/>
                <w:sz w:val="22"/>
                <w:szCs w:val="22"/>
                <w:lang w:eastAsia="en-US"/>
              </w:rPr>
            </w:pPr>
            <w:r w:rsidRPr="00A5626D">
              <w:rPr>
                <w:rFonts w:ascii="Garamond" w:hAnsi="Garamond"/>
                <w:b/>
                <w:sz w:val="22"/>
                <w:szCs w:val="22"/>
                <w:lang w:eastAsia="en-US"/>
              </w:rPr>
              <w:t>Приложение 5</w:t>
            </w:r>
          </w:p>
        </w:tc>
        <w:tc>
          <w:tcPr>
            <w:tcW w:w="6662" w:type="dxa"/>
          </w:tcPr>
          <w:p w14:paraId="6396FBBA" w14:textId="77777777" w:rsidR="00BE7DFC" w:rsidRPr="00A5626D" w:rsidRDefault="00BE7DFC" w:rsidP="00E31AE6">
            <w:pPr>
              <w:pStyle w:val="2"/>
              <w:numPr>
                <w:ilvl w:val="0"/>
                <w:numId w:val="0"/>
              </w:numPr>
              <w:tabs>
                <w:tab w:val="left" w:pos="1134"/>
                <w:tab w:val="left" w:pos="7938"/>
              </w:tabs>
              <w:suppressAutoHyphens w:val="0"/>
              <w:spacing w:line="22" w:lineRule="atLeast"/>
              <w:ind w:firstLine="629"/>
              <w:jc w:val="both"/>
              <w:rPr>
                <w:rFonts w:ascii="Garamond" w:hAnsi="Garamond" w:cstheme="minorHAnsi"/>
                <w:b w:val="0"/>
              </w:rPr>
            </w:pPr>
            <w:r w:rsidRPr="00A5626D">
              <w:rPr>
                <w:rFonts w:ascii="Garamond" w:hAnsi="Garamond"/>
                <w:b w:val="0"/>
              </w:rPr>
              <w:t xml:space="preserve">ПОРЯДОК ОФОРМЛЕНИЯ И СОГЛАСОВАНИЯ </w:t>
            </w:r>
            <w:r w:rsidRPr="00A5626D">
              <w:rPr>
                <w:rFonts w:ascii="Garamond" w:hAnsi="Garamond"/>
                <w:b w:val="0"/>
                <w:highlight w:val="yellow"/>
              </w:rPr>
              <w:t>ПЕРЕЧНЕЙ СРЕДСТВ ИЗМЕРЕНИЙ ДЛЯ ЦЕЛЕЙ КОММЕРЧЕСКОГО УЧЕТА. ОПИСАНИЕ МАКЕТА И РЕГЛАМЕНТ ПЕРЕДАЧИ В КО ЭЛЕКТРОННОГО ДОКУМЕНТА «ПЕРЕЧЕНЬ СРЕДСТВ ИЗМЕРЕНИЙ ДЛЯ ЦЕЛЕЙ КОММЕРЧЕСКОГО УЧЕТА</w:t>
            </w:r>
            <w:r w:rsidRPr="00A5626D">
              <w:rPr>
                <w:rFonts w:ascii="Garamond" w:hAnsi="Garamond"/>
                <w:b w:val="0"/>
              </w:rPr>
              <w:t>»</w:t>
            </w:r>
          </w:p>
        </w:tc>
        <w:tc>
          <w:tcPr>
            <w:tcW w:w="7088" w:type="dxa"/>
          </w:tcPr>
          <w:p w14:paraId="3243EFE7" w14:textId="77777777" w:rsidR="00BE7DFC" w:rsidRPr="00A5626D" w:rsidRDefault="00BE7DFC" w:rsidP="00E31AE6">
            <w:pPr>
              <w:pStyle w:val="2"/>
              <w:numPr>
                <w:ilvl w:val="0"/>
                <w:numId w:val="0"/>
              </w:numPr>
              <w:tabs>
                <w:tab w:val="left" w:pos="1134"/>
                <w:tab w:val="left" w:pos="7938"/>
              </w:tabs>
              <w:suppressAutoHyphens w:val="0"/>
              <w:spacing w:line="22" w:lineRule="atLeast"/>
              <w:ind w:firstLine="629"/>
              <w:jc w:val="both"/>
              <w:rPr>
                <w:rFonts w:ascii="Garamond" w:hAnsi="Garamond" w:cstheme="minorHAnsi"/>
                <w:b w:val="0"/>
              </w:rPr>
            </w:pPr>
            <w:r w:rsidRPr="00A5626D">
              <w:rPr>
                <w:rFonts w:ascii="Garamond" w:hAnsi="Garamond" w:cstheme="minorHAnsi"/>
                <w:b w:val="0"/>
              </w:rPr>
              <w:t xml:space="preserve">ПОРЯДОК ОФОРМЛЕНИЯ И СОГЛАСОВАНИЯ </w:t>
            </w:r>
            <w:r w:rsidRPr="00A5626D">
              <w:rPr>
                <w:rFonts w:ascii="Garamond" w:hAnsi="Garamond" w:cstheme="minorHAnsi"/>
                <w:b w:val="0"/>
                <w:highlight w:val="yellow"/>
              </w:rPr>
              <w:t>ПСИ</w:t>
            </w:r>
          </w:p>
        </w:tc>
      </w:tr>
      <w:tr w:rsidR="00295C6D" w:rsidRPr="00A5626D" w14:paraId="63D2B643" w14:textId="77777777" w:rsidTr="00647FA0">
        <w:tc>
          <w:tcPr>
            <w:tcW w:w="1060" w:type="dxa"/>
            <w:vAlign w:val="center"/>
          </w:tcPr>
          <w:p w14:paraId="7693E961" w14:textId="77777777" w:rsidR="00295C6D" w:rsidRPr="00A5626D" w:rsidRDefault="00295C6D" w:rsidP="00E31AE6">
            <w:pPr>
              <w:widowControl w:val="0"/>
              <w:tabs>
                <w:tab w:val="left" w:pos="1134"/>
                <w:tab w:val="left" w:pos="7938"/>
              </w:tabs>
              <w:spacing w:line="22" w:lineRule="atLeast"/>
              <w:jc w:val="both"/>
              <w:rPr>
                <w:rFonts w:ascii="Garamond" w:hAnsi="Garamond"/>
                <w:b/>
                <w:sz w:val="22"/>
                <w:szCs w:val="22"/>
                <w:lang w:eastAsia="en-US"/>
              </w:rPr>
            </w:pPr>
            <w:r w:rsidRPr="00A5626D">
              <w:rPr>
                <w:rFonts w:ascii="Garamond" w:hAnsi="Garamond"/>
                <w:b/>
                <w:sz w:val="22"/>
                <w:szCs w:val="22"/>
                <w:lang w:eastAsia="en-US"/>
              </w:rPr>
              <w:t>Приложение 5, п. 1.1</w:t>
            </w:r>
          </w:p>
        </w:tc>
        <w:tc>
          <w:tcPr>
            <w:tcW w:w="6662" w:type="dxa"/>
          </w:tcPr>
          <w:p w14:paraId="236D2201" w14:textId="77777777" w:rsidR="00295C6D" w:rsidRPr="00A5626D" w:rsidRDefault="00295C6D" w:rsidP="00E31AE6">
            <w:pPr>
              <w:pStyle w:val="2"/>
              <w:numPr>
                <w:ilvl w:val="0"/>
                <w:numId w:val="0"/>
              </w:numPr>
              <w:tabs>
                <w:tab w:val="left" w:pos="1134"/>
                <w:tab w:val="left" w:pos="7938"/>
              </w:tabs>
              <w:suppressAutoHyphens w:val="0"/>
              <w:spacing w:line="22" w:lineRule="atLeast"/>
              <w:ind w:firstLine="629"/>
              <w:jc w:val="both"/>
              <w:rPr>
                <w:rFonts w:ascii="Garamond" w:hAnsi="Garamond" w:cstheme="minorHAnsi"/>
                <w:b w:val="0"/>
              </w:rPr>
            </w:pPr>
            <w:r w:rsidRPr="00A5626D">
              <w:rPr>
                <w:rFonts w:ascii="Garamond" w:hAnsi="Garamond" w:cstheme="minorHAnsi"/>
                <w:b w:val="0"/>
              </w:rPr>
              <w:t xml:space="preserve">ПСИ оформляется субъектом оптового рынка (заявителем) и смежным с ним субъектом оптового рынка </w:t>
            </w:r>
            <w:r w:rsidRPr="00A5626D">
              <w:rPr>
                <w:rFonts w:ascii="Garamond" w:hAnsi="Garamond" w:cstheme="minorHAnsi"/>
                <w:b w:val="0"/>
                <w:highlight w:val="yellow"/>
              </w:rPr>
              <w:t>или оформляется</w:t>
            </w:r>
            <w:r w:rsidRPr="00A5626D">
              <w:rPr>
                <w:rFonts w:ascii="Garamond" w:hAnsi="Garamond" w:cstheme="minorHAnsi"/>
                <w:b w:val="0"/>
              </w:rPr>
              <w:t xml:space="preserve"> субъектом оптового рынка (заявителем) и согласуется в части способов формирования оперативной информации с СО </w:t>
            </w:r>
            <w:r w:rsidRPr="00A5626D">
              <w:rPr>
                <w:rFonts w:ascii="Garamond" w:hAnsi="Garamond" w:cstheme="minorHAnsi"/>
                <w:b w:val="0"/>
                <w:highlight w:val="yellow"/>
              </w:rPr>
              <w:t>в виде макета 60000</w:t>
            </w:r>
            <w:r w:rsidRPr="00A5626D">
              <w:rPr>
                <w:rFonts w:ascii="Garamond" w:hAnsi="Garamond" w:cstheme="minorHAnsi"/>
                <w:b w:val="0"/>
              </w:rPr>
              <w:t xml:space="preserve">. При этом каждый субъект оптового рынка самостоятельно вносит в ПСИ информацию по закодированным за данным субъектом оптового рынка точкам измерений, которые используются для определения количества электроэнергии в соответствующих точках поставки, и информацию по незакодированным точкам измерений, расположенным на электрооборудовании, в отношении которого за данным субъектом оптового рынка зарегистрированы точки поставки либо планируется регистрация точек поставки </w:t>
            </w:r>
            <w:r w:rsidRPr="00A5626D">
              <w:rPr>
                <w:rFonts w:ascii="Garamond" w:hAnsi="Garamond" w:cstheme="minorHAnsi"/>
                <w:b w:val="0"/>
                <w:highlight w:val="yellow"/>
              </w:rPr>
              <w:t>в случае изменения состава ТП или согласования новой ГТП</w:t>
            </w:r>
            <w:r w:rsidRPr="00A5626D">
              <w:rPr>
                <w:rFonts w:ascii="Garamond" w:hAnsi="Garamond" w:cstheme="minorHAnsi"/>
                <w:b w:val="0"/>
              </w:rPr>
              <w:t>, при этом такие точки измерения должны быть отображены на однолинейной схеме присоединения к внешней электрической сети, предоставленной в рамках соответствующей процедуры согласования ГТП / внесения изменений в регистрационную информацию.</w:t>
            </w:r>
          </w:p>
          <w:p w14:paraId="2CBE4C44" w14:textId="77777777" w:rsidR="00295C6D" w:rsidRPr="00A5626D" w:rsidRDefault="00295C6D" w:rsidP="00E31AE6">
            <w:pPr>
              <w:pStyle w:val="2"/>
              <w:numPr>
                <w:ilvl w:val="0"/>
                <w:numId w:val="0"/>
              </w:numPr>
              <w:tabs>
                <w:tab w:val="left" w:pos="1134"/>
                <w:tab w:val="left" w:pos="7938"/>
              </w:tabs>
              <w:suppressAutoHyphens w:val="0"/>
              <w:spacing w:line="22" w:lineRule="atLeast"/>
              <w:ind w:firstLine="629"/>
              <w:jc w:val="both"/>
              <w:rPr>
                <w:rFonts w:ascii="Garamond" w:hAnsi="Garamond" w:cstheme="minorHAnsi"/>
                <w:b w:val="0"/>
              </w:rPr>
            </w:pPr>
            <w:r w:rsidRPr="00A5626D">
              <w:rPr>
                <w:rFonts w:ascii="Garamond" w:hAnsi="Garamond" w:cstheme="minorHAnsi"/>
                <w:b w:val="0"/>
              </w:rPr>
              <w:t xml:space="preserve">На каждое сечение коммерческого учета, внутреннее сечение </w:t>
            </w:r>
            <w:r w:rsidRPr="00A5626D">
              <w:rPr>
                <w:rFonts w:ascii="Garamond" w:hAnsi="Garamond" w:cstheme="minorHAnsi"/>
                <w:b w:val="0"/>
                <w:highlight w:val="yellow"/>
              </w:rPr>
              <w:t>коммерческого учета</w:t>
            </w:r>
            <w:r w:rsidRPr="00A5626D">
              <w:rPr>
                <w:rFonts w:ascii="Garamond" w:hAnsi="Garamond" w:cstheme="minorHAnsi"/>
                <w:b w:val="0"/>
              </w:rPr>
              <w:t xml:space="preserve">, ГТП генерации оформляется отдельный </w:t>
            </w:r>
            <w:r w:rsidRPr="00A5626D">
              <w:rPr>
                <w:rFonts w:ascii="Garamond" w:hAnsi="Garamond" w:cstheme="minorHAnsi"/>
                <w:b w:val="0"/>
              </w:rPr>
              <w:lastRenderedPageBreak/>
              <w:t xml:space="preserve">перечень средств измерений. </w:t>
            </w:r>
          </w:p>
          <w:p w14:paraId="1B80A69F" w14:textId="77777777" w:rsidR="00295C6D" w:rsidRPr="00A5626D" w:rsidRDefault="00295C6D" w:rsidP="00E31AE6">
            <w:pPr>
              <w:pStyle w:val="2"/>
              <w:numPr>
                <w:ilvl w:val="0"/>
                <w:numId w:val="0"/>
              </w:numPr>
              <w:tabs>
                <w:tab w:val="left" w:pos="1134"/>
                <w:tab w:val="left" w:pos="7938"/>
              </w:tabs>
              <w:suppressAutoHyphens w:val="0"/>
              <w:spacing w:line="22" w:lineRule="atLeast"/>
              <w:ind w:firstLine="629"/>
              <w:jc w:val="both"/>
              <w:rPr>
                <w:rFonts w:ascii="Garamond" w:hAnsi="Garamond" w:cstheme="minorHAnsi"/>
                <w:b w:val="0"/>
              </w:rPr>
            </w:pPr>
            <w:r w:rsidRPr="00A5626D">
              <w:rPr>
                <w:rFonts w:ascii="Garamond" w:hAnsi="Garamond" w:cstheme="minorHAnsi"/>
                <w:b w:val="0"/>
              </w:rPr>
              <w:t>ПСИ должен быть подписан с использованием ЭП следующими субъектами оптового рынка:</w:t>
            </w:r>
          </w:p>
          <w:p w14:paraId="3184D40A" w14:textId="77777777" w:rsidR="00295C6D" w:rsidRPr="00A5626D" w:rsidRDefault="00295C6D" w:rsidP="00E31AE6">
            <w:pPr>
              <w:pStyle w:val="2"/>
              <w:numPr>
                <w:ilvl w:val="0"/>
                <w:numId w:val="0"/>
              </w:numPr>
              <w:tabs>
                <w:tab w:val="left" w:pos="1134"/>
                <w:tab w:val="left" w:pos="7938"/>
              </w:tabs>
              <w:suppressAutoHyphens w:val="0"/>
              <w:spacing w:line="22" w:lineRule="atLeast"/>
              <w:ind w:firstLine="629"/>
              <w:jc w:val="both"/>
              <w:rPr>
                <w:rFonts w:ascii="Garamond" w:hAnsi="Garamond" w:cstheme="minorHAnsi"/>
                <w:b w:val="0"/>
              </w:rPr>
            </w:pPr>
            <w:r w:rsidRPr="00A5626D">
              <w:rPr>
                <w:rFonts w:ascii="Garamond" w:hAnsi="Garamond" w:cstheme="minorHAnsi"/>
                <w:b w:val="0"/>
              </w:rPr>
              <w:t>–</w:t>
            </w:r>
            <w:r w:rsidRPr="00A5626D">
              <w:rPr>
                <w:rFonts w:ascii="Garamond" w:hAnsi="Garamond" w:cstheme="minorHAnsi"/>
                <w:b w:val="0"/>
              </w:rPr>
              <w:tab/>
              <w:t>ПСИ по ГТП генерации, а также по сечениям коммерческого учета, входящим в сечения экспорта-импорта, и сечениям между ценовыми, а также между ценовыми и неценовыми зонами оптового рынка должны быть подписаны заявителем и согласованы с СО в части способов формирования оперативной информации;</w:t>
            </w:r>
          </w:p>
          <w:p w14:paraId="4FC758E7" w14:textId="77777777" w:rsidR="00295C6D" w:rsidRPr="00A5626D" w:rsidRDefault="00295C6D" w:rsidP="00E31AE6">
            <w:pPr>
              <w:pStyle w:val="2"/>
              <w:numPr>
                <w:ilvl w:val="0"/>
                <w:numId w:val="0"/>
              </w:numPr>
              <w:tabs>
                <w:tab w:val="left" w:pos="1134"/>
                <w:tab w:val="left" w:pos="7938"/>
              </w:tabs>
              <w:suppressAutoHyphens w:val="0"/>
              <w:spacing w:line="22" w:lineRule="atLeast"/>
              <w:ind w:firstLine="629"/>
              <w:jc w:val="both"/>
              <w:rPr>
                <w:rFonts w:ascii="Garamond" w:hAnsi="Garamond" w:cstheme="minorHAnsi"/>
                <w:b w:val="0"/>
              </w:rPr>
            </w:pPr>
            <w:r w:rsidRPr="00A5626D">
              <w:rPr>
                <w:rFonts w:ascii="Garamond" w:hAnsi="Garamond" w:cstheme="minorHAnsi"/>
                <w:b w:val="0"/>
              </w:rPr>
              <w:t>–</w:t>
            </w:r>
            <w:r w:rsidRPr="00A5626D">
              <w:rPr>
                <w:rFonts w:ascii="Garamond" w:hAnsi="Garamond" w:cstheme="minorHAnsi"/>
                <w:b w:val="0"/>
              </w:rPr>
              <w:tab/>
              <w:t xml:space="preserve">ПСИ по сечениям коммерческого учета (за исключением внутренних сечений), в том числе по временному сечению, должны быть подписаны заявителем и смежным субъектом оптового рынка. ПСИ по внутреннему сечению </w:t>
            </w:r>
            <w:r w:rsidRPr="00A5626D">
              <w:rPr>
                <w:rFonts w:ascii="Garamond" w:hAnsi="Garamond" w:cstheme="minorHAnsi"/>
                <w:b w:val="0"/>
                <w:highlight w:val="yellow"/>
              </w:rPr>
              <w:t>коммерческого учета</w:t>
            </w:r>
            <w:r w:rsidRPr="00A5626D">
              <w:rPr>
                <w:rFonts w:ascii="Garamond" w:hAnsi="Garamond" w:cstheme="minorHAnsi"/>
                <w:b w:val="0"/>
              </w:rPr>
              <w:t xml:space="preserve"> подписывается только заявителем.</w:t>
            </w:r>
          </w:p>
          <w:p w14:paraId="2DAA6485" w14:textId="77777777" w:rsidR="00295C6D" w:rsidRPr="00A5626D" w:rsidRDefault="00295C6D" w:rsidP="00E31AE6">
            <w:pPr>
              <w:pStyle w:val="2"/>
              <w:numPr>
                <w:ilvl w:val="0"/>
                <w:numId w:val="0"/>
              </w:numPr>
              <w:tabs>
                <w:tab w:val="left" w:pos="1134"/>
                <w:tab w:val="left" w:pos="7938"/>
              </w:tabs>
              <w:suppressAutoHyphens w:val="0"/>
              <w:spacing w:line="22" w:lineRule="atLeast"/>
              <w:ind w:firstLine="629"/>
              <w:jc w:val="both"/>
              <w:rPr>
                <w:rFonts w:ascii="Garamond" w:hAnsi="Garamond" w:cstheme="minorHAnsi"/>
                <w:b w:val="0"/>
              </w:rPr>
            </w:pPr>
            <w:r w:rsidRPr="00A5626D">
              <w:rPr>
                <w:rFonts w:ascii="Garamond" w:hAnsi="Garamond" w:cstheme="minorHAnsi"/>
                <w:b w:val="0"/>
              </w:rPr>
              <w:t xml:space="preserve">Ответственность за формирование данных в составе ПСИ, в т.ч. данных о местах установки </w:t>
            </w:r>
            <w:r w:rsidRPr="00A5626D">
              <w:rPr>
                <w:rFonts w:ascii="Garamond" w:hAnsi="Garamond" w:cstheme="minorHAnsi"/>
                <w:b w:val="0"/>
                <w:highlight w:val="yellow"/>
              </w:rPr>
              <w:t>счетчиков</w:t>
            </w:r>
            <w:r w:rsidRPr="00A5626D">
              <w:rPr>
                <w:rFonts w:ascii="Garamond" w:hAnsi="Garamond" w:cstheme="minorHAnsi"/>
                <w:b w:val="0"/>
              </w:rPr>
              <w:t xml:space="preserve">, методах восстановления информации, алгоритмов расчета величины произведенной электроэнергии в ГТП генерации / сальдо перетоков электроэнергии в сечении коммерческого учета, несут участники оптового рынка </w:t>
            </w:r>
            <w:r w:rsidRPr="00A5626D">
              <w:rPr>
                <w:rFonts w:ascii="Garamond" w:hAnsi="Garamond" w:cstheme="minorHAnsi"/>
                <w:b w:val="0"/>
                <w:highlight w:val="yellow"/>
              </w:rPr>
              <w:t>и</w:t>
            </w:r>
            <w:r w:rsidRPr="00A5626D">
              <w:rPr>
                <w:rFonts w:ascii="Garamond" w:hAnsi="Garamond" w:cstheme="minorHAnsi"/>
                <w:b w:val="0"/>
              </w:rPr>
              <w:t xml:space="preserve"> ФСК.</w:t>
            </w:r>
          </w:p>
          <w:p w14:paraId="7CDF0A8B" w14:textId="77777777" w:rsidR="00295C6D" w:rsidRPr="00A5626D" w:rsidRDefault="00295C6D" w:rsidP="00E31AE6">
            <w:pPr>
              <w:pStyle w:val="2"/>
              <w:numPr>
                <w:ilvl w:val="0"/>
                <w:numId w:val="0"/>
              </w:numPr>
              <w:tabs>
                <w:tab w:val="left" w:pos="1134"/>
                <w:tab w:val="left" w:pos="7938"/>
              </w:tabs>
              <w:suppressAutoHyphens w:val="0"/>
              <w:spacing w:line="22" w:lineRule="atLeast"/>
              <w:ind w:firstLine="629"/>
              <w:jc w:val="both"/>
              <w:rPr>
                <w:rFonts w:ascii="Garamond" w:hAnsi="Garamond" w:cstheme="minorHAnsi"/>
                <w:b w:val="0"/>
              </w:rPr>
            </w:pPr>
            <w:r w:rsidRPr="00A5626D">
              <w:rPr>
                <w:rFonts w:ascii="Garamond" w:hAnsi="Garamond" w:cstheme="minorHAnsi"/>
                <w:b w:val="0"/>
              </w:rPr>
              <w:t>СО в рамках настоящего Регламента осуществляется согласование ПСИ только в части данных о способах формирования оперативной информации, включающих в себя следующие указываемые участниками оптового рынка сведения:</w:t>
            </w:r>
          </w:p>
          <w:p w14:paraId="13A47A99" w14:textId="77777777" w:rsidR="00295C6D" w:rsidRPr="00A5626D" w:rsidRDefault="00295C6D" w:rsidP="00E31AE6">
            <w:pPr>
              <w:tabs>
                <w:tab w:val="left" w:pos="1134"/>
                <w:tab w:val="left" w:pos="7938"/>
              </w:tabs>
              <w:ind w:firstLine="629"/>
              <w:rPr>
                <w:rFonts w:ascii="Garamond" w:hAnsi="Garamond"/>
                <w:sz w:val="22"/>
                <w:szCs w:val="22"/>
              </w:rPr>
            </w:pPr>
            <w:r w:rsidRPr="00A5626D">
              <w:rPr>
                <w:rFonts w:ascii="Garamond" w:hAnsi="Garamond"/>
                <w:sz w:val="22"/>
                <w:szCs w:val="22"/>
              </w:rPr>
              <w:t>…</w:t>
            </w:r>
          </w:p>
        </w:tc>
        <w:tc>
          <w:tcPr>
            <w:tcW w:w="7088" w:type="dxa"/>
          </w:tcPr>
          <w:p w14:paraId="27FFFC0D" w14:textId="77777777" w:rsidR="00295C6D" w:rsidRPr="00A5626D" w:rsidRDefault="00295C6D" w:rsidP="00E31AE6">
            <w:pPr>
              <w:pStyle w:val="2"/>
              <w:numPr>
                <w:ilvl w:val="0"/>
                <w:numId w:val="0"/>
              </w:numPr>
              <w:tabs>
                <w:tab w:val="left" w:pos="1134"/>
                <w:tab w:val="left" w:pos="7938"/>
              </w:tabs>
              <w:suppressAutoHyphens w:val="0"/>
              <w:spacing w:line="22" w:lineRule="atLeast"/>
              <w:ind w:firstLine="629"/>
              <w:jc w:val="both"/>
              <w:rPr>
                <w:rFonts w:ascii="Garamond" w:hAnsi="Garamond" w:cstheme="minorHAnsi"/>
                <w:b w:val="0"/>
                <w:highlight w:val="yellow"/>
              </w:rPr>
            </w:pPr>
            <w:r w:rsidRPr="00A5626D">
              <w:rPr>
                <w:rFonts w:ascii="Garamond" w:hAnsi="Garamond" w:cstheme="minorHAnsi"/>
                <w:b w:val="0"/>
              </w:rPr>
              <w:lastRenderedPageBreak/>
              <w:t xml:space="preserve">ПСИ оформляется </w:t>
            </w:r>
            <w:r w:rsidRPr="00A5626D">
              <w:rPr>
                <w:rFonts w:ascii="Garamond" w:hAnsi="Garamond" w:cstheme="minorHAnsi"/>
                <w:b w:val="0"/>
                <w:highlight w:val="yellow"/>
              </w:rPr>
              <w:t>в виде макета 60000:</w:t>
            </w:r>
          </w:p>
          <w:p w14:paraId="2275489B" w14:textId="37395EAD" w:rsidR="00295C6D" w:rsidRPr="00A5626D" w:rsidRDefault="009B5F03" w:rsidP="00E31AE6">
            <w:pPr>
              <w:pStyle w:val="2"/>
              <w:numPr>
                <w:ilvl w:val="0"/>
                <w:numId w:val="0"/>
              </w:numPr>
              <w:tabs>
                <w:tab w:val="left" w:pos="1134"/>
                <w:tab w:val="left" w:pos="7938"/>
              </w:tabs>
              <w:suppressAutoHyphens w:val="0"/>
              <w:spacing w:line="22" w:lineRule="atLeast"/>
              <w:ind w:firstLine="629"/>
              <w:jc w:val="both"/>
              <w:rPr>
                <w:rFonts w:ascii="Garamond" w:hAnsi="Garamond" w:cstheme="minorHAnsi"/>
                <w:b w:val="0"/>
              </w:rPr>
            </w:pPr>
            <w:r w:rsidRPr="00A5626D">
              <w:rPr>
                <w:rFonts w:ascii="Garamond" w:hAnsi="Garamond" w:cstheme="minorHAnsi"/>
                <w:b w:val="0"/>
                <w:highlight w:val="yellow"/>
              </w:rPr>
              <w:t xml:space="preserve">– </w:t>
            </w:r>
            <w:r w:rsidR="00295C6D" w:rsidRPr="00A5626D">
              <w:rPr>
                <w:rFonts w:ascii="Garamond" w:hAnsi="Garamond" w:cstheme="minorHAnsi"/>
                <w:b w:val="0"/>
              </w:rPr>
              <w:t xml:space="preserve">субъектом оптового рынка (заявителем) и смежным с ним субъектом оптового рынка </w:t>
            </w:r>
            <w:r w:rsidR="00295C6D" w:rsidRPr="00A5626D">
              <w:rPr>
                <w:rFonts w:ascii="Garamond" w:hAnsi="Garamond" w:cstheme="minorHAnsi"/>
                <w:b w:val="0"/>
                <w:highlight w:val="yellow"/>
              </w:rPr>
              <w:t>(при наличии);</w:t>
            </w:r>
          </w:p>
          <w:p w14:paraId="086F1989" w14:textId="20B971CD" w:rsidR="00295C6D" w:rsidRPr="00A5626D" w:rsidRDefault="009B5F03" w:rsidP="00E31AE6">
            <w:pPr>
              <w:pStyle w:val="2"/>
              <w:numPr>
                <w:ilvl w:val="0"/>
                <w:numId w:val="0"/>
              </w:numPr>
              <w:tabs>
                <w:tab w:val="left" w:pos="1134"/>
                <w:tab w:val="left" w:pos="7938"/>
              </w:tabs>
              <w:suppressAutoHyphens w:val="0"/>
              <w:spacing w:line="22" w:lineRule="atLeast"/>
              <w:ind w:firstLine="629"/>
              <w:jc w:val="both"/>
              <w:rPr>
                <w:rFonts w:ascii="Garamond" w:hAnsi="Garamond" w:cstheme="minorHAnsi"/>
                <w:b w:val="0"/>
              </w:rPr>
            </w:pPr>
            <w:r w:rsidRPr="00A5626D">
              <w:rPr>
                <w:rFonts w:ascii="Garamond" w:hAnsi="Garamond" w:cstheme="minorHAnsi"/>
                <w:b w:val="0"/>
                <w:highlight w:val="yellow"/>
              </w:rPr>
              <w:t xml:space="preserve">– </w:t>
            </w:r>
            <w:r w:rsidR="00295C6D" w:rsidRPr="00A5626D">
              <w:rPr>
                <w:rFonts w:ascii="Garamond" w:hAnsi="Garamond" w:cstheme="minorHAnsi"/>
                <w:b w:val="0"/>
              </w:rPr>
              <w:t xml:space="preserve">субъектом оптового рынка (заявителем) и согласуется в части способов формирования оперативной информации с СО </w:t>
            </w:r>
            <w:r w:rsidR="00295C6D" w:rsidRPr="00A5626D">
              <w:rPr>
                <w:rFonts w:ascii="Garamond" w:hAnsi="Garamond" w:cstheme="minorHAnsi"/>
                <w:b w:val="0"/>
                <w:highlight w:val="yellow"/>
              </w:rPr>
              <w:t>(по ГТП генерации, а также по сечениям коммерческого учета, входящим в сечения экспорта-импорта, и сечениям между ценовыми, а также между ценовыми и неценовыми зонами оптового рынка)</w:t>
            </w:r>
            <w:r w:rsidR="00295C6D" w:rsidRPr="00A5626D">
              <w:rPr>
                <w:rFonts w:ascii="Garamond" w:hAnsi="Garamond" w:cstheme="minorHAnsi"/>
                <w:b w:val="0"/>
              </w:rPr>
              <w:t>;</w:t>
            </w:r>
          </w:p>
          <w:p w14:paraId="29334B3A" w14:textId="11BD9F1D" w:rsidR="00295C6D" w:rsidRPr="00A5626D" w:rsidRDefault="009B5F03" w:rsidP="00E31AE6">
            <w:pPr>
              <w:pStyle w:val="2"/>
              <w:numPr>
                <w:ilvl w:val="0"/>
                <w:numId w:val="0"/>
              </w:numPr>
              <w:tabs>
                <w:tab w:val="left" w:pos="1134"/>
                <w:tab w:val="left" w:pos="7938"/>
              </w:tabs>
              <w:suppressAutoHyphens w:val="0"/>
              <w:spacing w:line="22" w:lineRule="atLeast"/>
              <w:ind w:firstLine="629"/>
              <w:jc w:val="both"/>
              <w:rPr>
                <w:rFonts w:ascii="Garamond" w:hAnsi="Garamond" w:cstheme="minorHAnsi"/>
                <w:b w:val="0"/>
              </w:rPr>
            </w:pPr>
            <w:r w:rsidRPr="00A5626D">
              <w:rPr>
                <w:rFonts w:ascii="Garamond" w:hAnsi="Garamond" w:cstheme="minorHAnsi"/>
                <w:b w:val="0"/>
                <w:highlight w:val="yellow"/>
              </w:rPr>
              <w:t xml:space="preserve">– </w:t>
            </w:r>
            <w:r w:rsidR="00295C6D" w:rsidRPr="00A5626D">
              <w:rPr>
                <w:rFonts w:ascii="Garamond" w:hAnsi="Garamond" w:cstheme="minorHAnsi"/>
                <w:b w:val="0"/>
                <w:highlight w:val="yellow"/>
              </w:rPr>
              <w:t>агрегатором и владельцем ГТП по объектам регулирования (согласование с владельцем ГТП не требуется, когда агрегатор является владельцем ГТП).</w:t>
            </w:r>
          </w:p>
          <w:p w14:paraId="2FD9BB3A" w14:textId="77777777" w:rsidR="00295C6D" w:rsidRPr="00A5626D" w:rsidRDefault="00295C6D" w:rsidP="00E31AE6">
            <w:pPr>
              <w:pStyle w:val="2"/>
              <w:numPr>
                <w:ilvl w:val="0"/>
                <w:numId w:val="0"/>
              </w:numPr>
              <w:tabs>
                <w:tab w:val="left" w:pos="1134"/>
                <w:tab w:val="left" w:pos="7938"/>
              </w:tabs>
              <w:suppressAutoHyphens w:val="0"/>
              <w:spacing w:line="22" w:lineRule="atLeast"/>
              <w:ind w:firstLine="629"/>
              <w:jc w:val="both"/>
              <w:rPr>
                <w:rFonts w:ascii="Garamond" w:hAnsi="Garamond" w:cstheme="minorHAnsi"/>
                <w:b w:val="0"/>
              </w:rPr>
            </w:pPr>
            <w:r w:rsidRPr="00A5626D">
              <w:rPr>
                <w:rFonts w:ascii="Garamond" w:hAnsi="Garamond" w:cstheme="minorHAnsi"/>
                <w:b w:val="0"/>
              </w:rPr>
              <w:t xml:space="preserve">При этом каждый субъект оптового рынка </w:t>
            </w:r>
            <w:r w:rsidRPr="00A5626D">
              <w:rPr>
                <w:rFonts w:ascii="Garamond" w:hAnsi="Garamond" w:cstheme="minorHAnsi"/>
                <w:b w:val="0"/>
                <w:highlight w:val="yellow"/>
              </w:rPr>
              <w:t>(в том числе агрегатор)</w:t>
            </w:r>
            <w:r w:rsidRPr="00A5626D">
              <w:rPr>
                <w:rFonts w:ascii="Garamond" w:hAnsi="Garamond" w:cstheme="minorHAnsi"/>
                <w:b w:val="0"/>
              </w:rPr>
              <w:t xml:space="preserve"> самостоятельно вносит в ПСИ информацию по закодированным за данным субъектом оптового рынка точкам измерений, которые используются для определения количества электроэнергии в соответствующих точках поставки </w:t>
            </w:r>
            <w:r w:rsidRPr="00A5626D">
              <w:rPr>
                <w:rFonts w:ascii="Garamond" w:hAnsi="Garamond" w:cstheme="minorHAnsi"/>
                <w:b w:val="0"/>
                <w:highlight w:val="yellow"/>
              </w:rPr>
              <w:t>(точках присоединения, входящих в объект регулирования)</w:t>
            </w:r>
            <w:r w:rsidRPr="00A5626D">
              <w:rPr>
                <w:rFonts w:ascii="Garamond" w:hAnsi="Garamond" w:cstheme="minorHAnsi"/>
                <w:b w:val="0"/>
              </w:rPr>
              <w:t xml:space="preserve">, и информацию по незакодированным точкам измерений, расположенным на электрооборудовании, в отношении которого за данным субъектом оптового рынка </w:t>
            </w:r>
            <w:r w:rsidRPr="00A5626D">
              <w:rPr>
                <w:rFonts w:ascii="Garamond" w:hAnsi="Garamond" w:cstheme="minorHAnsi"/>
                <w:b w:val="0"/>
                <w:highlight w:val="yellow"/>
              </w:rPr>
              <w:t>(агрегатором)</w:t>
            </w:r>
            <w:r w:rsidRPr="00A5626D">
              <w:rPr>
                <w:rFonts w:ascii="Garamond" w:hAnsi="Garamond" w:cstheme="minorHAnsi"/>
                <w:b w:val="0"/>
              </w:rPr>
              <w:t xml:space="preserve"> зарегистрированы точки поставки </w:t>
            </w:r>
            <w:r w:rsidRPr="00A5626D">
              <w:rPr>
                <w:rFonts w:ascii="Garamond" w:hAnsi="Garamond" w:cstheme="minorHAnsi"/>
                <w:b w:val="0"/>
                <w:highlight w:val="yellow"/>
              </w:rPr>
              <w:t>(объект регулирования)</w:t>
            </w:r>
            <w:r w:rsidRPr="00A5626D">
              <w:rPr>
                <w:rFonts w:ascii="Garamond" w:hAnsi="Garamond" w:cstheme="minorHAnsi"/>
                <w:b w:val="0"/>
              </w:rPr>
              <w:t xml:space="preserve"> либо планируется регистрация точек поставки </w:t>
            </w:r>
            <w:r w:rsidRPr="00A5626D">
              <w:rPr>
                <w:rFonts w:ascii="Garamond" w:hAnsi="Garamond" w:cstheme="minorHAnsi"/>
                <w:b w:val="0"/>
                <w:highlight w:val="yellow"/>
              </w:rPr>
              <w:t xml:space="preserve">(объекта </w:t>
            </w:r>
            <w:r w:rsidRPr="00A5626D">
              <w:rPr>
                <w:rFonts w:ascii="Garamond" w:hAnsi="Garamond" w:cstheme="minorHAnsi"/>
                <w:b w:val="0"/>
                <w:highlight w:val="yellow"/>
              </w:rPr>
              <w:lastRenderedPageBreak/>
              <w:t>регулирования)</w:t>
            </w:r>
            <w:r w:rsidRPr="00A5626D">
              <w:rPr>
                <w:rFonts w:ascii="Garamond" w:hAnsi="Garamond" w:cstheme="minorHAnsi"/>
                <w:b w:val="0"/>
              </w:rPr>
              <w:t xml:space="preserve">, при этом такие точки измерения должны быть отображены на однолинейной схеме присоединения к внешней электрической сети, предоставленной в рамках соответствующей процедуры согласования ГТП / внесения изменений в регистрационную информацию </w:t>
            </w:r>
            <w:r w:rsidR="002317A3" w:rsidRPr="00A5626D">
              <w:rPr>
                <w:rFonts w:ascii="Garamond" w:hAnsi="Garamond" w:cstheme="minorHAnsi"/>
                <w:b w:val="0"/>
                <w:highlight w:val="yellow"/>
              </w:rPr>
              <w:t xml:space="preserve">по ГТП </w:t>
            </w:r>
            <w:r w:rsidRPr="00A5626D">
              <w:rPr>
                <w:rFonts w:ascii="Garamond" w:hAnsi="Garamond" w:cstheme="minorHAnsi"/>
                <w:b w:val="0"/>
                <w:highlight w:val="yellow"/>
              </w:rPr>
              <w:t>/ регистрации объекта регулирования</w:t>
            </w:r>
            <w:r w:rsidR="002317A3" w:rsidRPr="00A5626D">
              <w:rPr>
                <w:rFonts w:ascii="Garamond" w:hAnsi="Garamond" w:cstheme="minorHAnsi"/>
                <w:b w:val="0"/>
                <w:highlight w:val="yellow"/>
              </w:rPr>
              <w:t xml:space="preserve"> / внесения изменений в регистрационную информацию по объекту регулирования</w:t>
            </w:r>
            <w:r w:rsidRPr="00A5626D">
              <w:rPr>
                <w:rFonts w:ascii="Garamond" w:hAnsi="Garamond" w:cstheme="minorHAnsi"/>
                <w:b w:val="0"/>
              </w:rPr>
              <w:t>.</w:t>
            </w:r>
          </w:p>
          <w:p w14:paraId="4EF05AAA" w14:textId="77777777" w:rsidR="00295C6D" w:rsidRPr="00A5626D" w:rsidRDefault="00295C6D" w:rsidP="00E31AE6">
            <w:pPr>
              <w:pStyle w:val="2"/>
              <w:numPr>
                <w:ilvl w:val="0"/>
                <w:numId w:val="0"/>
              </w:numPr>
              <w:tabs>
                <w:tab w:val="left" w:pos="1134"/>
                <w:tab w:val="left" w:pos="7938"/>
              </w:tabs>
              <w:suppressAutoHyphens w:val="0"/>
              <w:spacing w:line="22" w:lineRule="atLeast"/>
              <w:ind w:firstLine="629"/>
              <w:jc w:val="both"/>
              <w:rPr>
                <w:rFonts w:ascii="Garamond" w:hAnsi="Garamond" w:cstheme="minorHAnsi"/>
                <w:b w:val="0"/>
              </w:rPr>
            </w:pPr>
            <w:r w:rsidRPr="00A5626D">
              <w:rPr>
                <w:rFonts w:ascii="Garamond" w:hAnsi="Garamond" w:cstheme="minorHAnsi"/>
                <w:b w:val="0"/>
              </w:rPr>
              <w:t>На каждое сечение коммерческого учета, внутреннее сечение, ГТП генерации</w:t>
            </w:r>
            <w:r w:rsidRPr="00A5626D">
              <w:rPr>
                <w:rFonts w:ascii="Garamond" w:hAnsi="Garamond" w:cstheme="minorHAnsi"/>
                <w:b w:val="0"/>
                <w:highlight w:val="yellow"/>
              </w:rPr>
              <w:t>, объект регулирования</w:t>
            </w:r>
            <w:r w:rsidRPr="00A5626D">
              <w:rPr>
                <w:rFonts w:ascii="Garamond" w:hAnsi="Garamond" w:cstheme="minorHAnsi"/>
                <w:b w:val="0"/>
              </w:rPr>
              <w:t xml:space="preserve"> оформляется отдельный перечень средств измерений. </w:t>
            </w:r>
          </w:p>
          <w:p w14:paraId="75D3073E" w14:textId="77777777" w:rsidR="00295C6D" w:rsidRPr="00A5626D" w:rsidRDefault="00295C6D" w:rsidP="00E31AE6">
            <w:pPr>
              <w:pStyle w:val="2"/>
              <w:numPr>
                <w:ilvl w:val="0"/>
                <w:numId w:val="0"/>
              </w:numPr>
              <w:tabs>
                <w:tab w:val="left" w:pos="1134"/>
                <w:tab w:val="left" w:pos="7938"/>
              </w:tabs>
              <w:suppressAutoHyphens w:val="0"/>
              <w:spacing w:line="22" w:lineRule="atLeast"/>
              <w:ind w:firstLine="629"/>
              <w:jc w:val="both"/>
              <w:rPr>
                <w:rFonts w:ascii="Garamond" w:hAnsi="Garamond" w:cstheme="minorHAnsi"/>
                <w:b w:val="0"/>
              </w:rPr>
            </w:pPr>
            <w:r w:rsidRPr="00A5626D">
              <w:rPr>
                <w:rFonts w:ascii="Garamond" w:hAnsi="Garamond" w:cstheme="minorHAnsi"/>
                <w:b w:val="0"/>
              </w:rPr>
              <w:t>ПСИ должен быть подписан с использованием ЭП следующими субъектами оптового рынка:</w:t>
            </w:r>
          </w:p>
          <w:p w14:paraId="3BC9CD69" w14:textId="77777777" w:rsidR="00295C6D" w:rsidRPr="00A5626D" w:rsidRDefault="00295C6D" w:rsidP="00E31AE6">
            <w:pPr>
              <w:pStyle w:val="2"/>
              <w:numPr>
                <w:ilvl w:val="0"/>
                <w:numId w:val="0"/>
              </w:numPr>
              <w:tabs>
                <w:tab w:val="left" w:pos="1134"/>
                <w:tab w:val="left" w:pos="7938"/>
              </w:tabs>
              <w:suppressAutoHyphens w:val="0"/>
              <w:spacing w:line="22" w:lineRule="atLeast"/>
              <w:ind w:firstLine="629"/>
              <w:jc w:val="both"/>
              <w:rPr>
                <w:rFonts w:ascii="Garamond" w:hAnsi="Garamond" w:cstheme="minorHAnsi"/>
                <w:b w:val="0"/>
              </w:rPr>
            </w:pPr>
            <w:r w:rsidRPr="00A5626D">
              <w:rPr>
                <w:rFonts w:ascii="Garamond" w:hAnsi="Garamond" w:cstheme="minorHAnsi"/>
                <w:b w:val="0"/>
              </w:rPr>
              <w:t>–</w:t>
            </w:r>
            <w:r w:rsidRPr="00A5626D">
              <w:rPr>
                <w:rFonts w:ascii="Garamond" w:hAnsi="Garamond" w:cstheme="minorHAnsi"/>
                <w:b w:val="0"/>
              </w:rPr>
              <w:tab/>
              <w:t>ПСИ по ГТП генерации, а также по сечениям коммерческого учета, входящим в сечения экспорта-импорта, и сечениям между ценовыми, а также между ценовыми и неценовыми зонами оптового рынка должны быть подписаны заявителем и согласованы с СО в части способов формирования оперативной информации;</w:t>
            </w:r>
          </w:p>
          <w:p w14:paraId="47DA0099" w14:textId="77777777" w:rsidR="00295C6D" w:rsidRPr="00A5626D" w:rsidRDefault="00295C6D" w:rsidP="00E31AE6">
            <w:pPr>
              <w:pStyle w:val="2"/>
              <w:numPr>
                <w:ilvl w:val="0"/>
                <w:numId w:val="0"/>
              </w:numPr>
              <w:tabs>
                <w:tab w:val="left" w:pos="1134"/>
                <w:tab w:val="left" w:pos="7938"/>
              </w:tabs>
              <w:suppressAutoHyphens w:val="0"/>
              <w:spacing w:line="22" w:lineRule="atLeast"/>
              <w:ind w:firstLine="629"/>
              <w:jc w:val="both"/>
              <w:rPr>
                <w:rFonts w:ascii="Garamond" w:hAnsi="Garamond" w:cstheme="minorHAnsi"/>
                <w:b w:val="0"/>
                <w:highlight w:val="yellow"/>
              </w:rPr>
            </w:pPr>
            <w:r w:rsidRPr="00A5626D">
              <w:rPr>
                <w:rFonts w:ascii="Garamond" w:hAnsi="Garamond" w:cstheme="minorHAnsi"/>
                <w:b w:val="0"/>
              </w:rPr>
              <w:t>–</w:t>
            </w:r>
            <w:r w:rsidRPr="00A5626D">
              <w:rPr>
                <w:rFonts w:ascii="Garamond" w:hAnsi="Garamond" w:cstheme="minorHAnsi"/>
                <w:b w:val="0"/>
              </w:rPr>
              <w:tab/>
              <w:t>ПСИ по сечениям коммерческого учета (за исключением внутренних сечений), в том числе по временному сечению, должны быть подписаны заявителем и смежным субъектом оптового рынка. ПСИ по внутреннему сечению подписывается только заявителем</w:t>
            </w:r>
            <w:r w:rsidRPr="00A5626D">
              <w:rPr>
                <w:rFonts w:ascii="Garamond" w:hAnsi="Garamond" w:cstheme="minorHAnsi"/>
                <w:b w:val="0"/>
                <w:highlight w:val="yellow"/>
              </w:rPr>
              <w:t>;</w:t>
            </w:r>
          </w:p>
          <w:p w14:paraId="1155C40D" w14:textId="5FD8D9D7" w:rsidR="00295C6D" w:rsidRPr="00A5626D" w:rsidRDefault="00295C6D" w:rsidP="00E31AE6">
            <w:pPr>
              <w:pStyle w:val="2"/>
              <w:numPr>
                <w:ilvl w:val="0"/>
                <w:numId w:val="0"/>
              </w:numPr>
              <w:tabs>
                <w:tab w:val="left" w:pos="1134"/>
                <w:tab w:val="left" w:pos="7938"/>
              </w:tabs>
              <w:suppressAutoHyphens w:val="0"/>
              <w:spacing w:line="22" w:lineRule="atLeast"/>
              <w:ind w:firstLine="629"/>
              <w:jc w:val="both"/>
              <w:rPr>
                <w:rFonts w:ascii="Garamond" w:hAnsi="Garamond" w:cstheme="minorHAnsi"/>
                <w:b w:val="0"/>
              </w:rPr>
            </w:pPr>
            <w:r w:rsidRPr="00A5626D">
              <w:rPr>
                <w:rFonts w:ascii="Garamond" w:hAnsi="Garamond" w:cstheme="minorHAnsi"/>
                <w:b w:val="0"/>
                <w:highlight w:val="yellow"/>
              </w:rPr>
              <w:t>–</w:t>
            </w:r>
            <w:r w:rsidRPr="00A5626D">
              <w:rPr>
                <w:rFonts w:ascii="Garamond" w:hAnsi="Garamond" w:cstheme="minorHAnsi"/>
                <w:b w:val="0"/>
                <w:highlight w:val="yellow"/>
              </w:rPr>
              <w:tab/>
              <w:t>ПСИ по объектам регулирования должны быть подписаны заявителем (агрегатором) и владельцем ГТП. В случае если заявитель (агрегатор) является владельцем ГТП, ПСИ по объекту регулирования подписывается только заявителем (агрегатором)</w:t>
            </w:r>
            <w:r w:rsidRPr="00A5626D">
              <w:rPr>
                <w:rFonts w:ascii="Garamond" w:hAnsi="Garamond" w:cstheme="minorHAnsi"/>
                <w:b w:val="0"/>
              </w:rPr>
              <w:t>.</w:t>
            </w:r>
          </w:p>
          <w:p w14:paraId="224EF1BA" w14:textId="77777777" w:rsidR="00295C6D" w:rsidRPr="00A5626D" w:rsidRDefault="00295C6D" w:rsidP="00E31AE6">
            <w:pPr>
              <w:pStyle w:val="2"/>
              <w:numPr>
                <w:ilvl w:val="0"/>
                <w:numId w:val="0"/>
              </w:numPr>
              <w:tabs>
                <w:tab w:val="left" w:pos="1134"/>
                <w:tab w:val="left" w:pos="7938"/>
              </w:tabs>
              <w:suppressAutoHyphens w:val="0"/>
              <w:spacing w:line="22" w:lineRule="atLeast"/>
              <w:ind w:firstLine="629"/>
              <w:jc w:val="both"/>
              <w:rPr>
                <w:rFonts w:ascii="Garamond" w:hAnsi="Garamond" w:cstheme="minorHAnsi"/>
                <w:b w:val="0"/>
              </w:rPr>
            </w:pPr>
            <w:r w:rsidRPr="00A5626D">
              <w:rPr>
                <w:rFonts w:ascii="Garamond" w:hAnsi="Garamond" w:cstheme="minorHAnsi"/>
                <w:b w:val="0"/>
              </w:rPr>
              <w:t xml:space="preserve">Ответственность за формирование данных в составе ПСИ, в т.ч. данных о местах установки </w:t>
            </w:r>
            <w:r w:rsidRPr="00A5626D">
              <w:rPr>
                <w:rFonts w:ascii="Garamond" w:hAnsi="Garamond" w:cstheme="minorHAnsi"/>
                <w:b w:val="0"/>
                <w:highlight w:val="yellow"/>
              </w:rPr>
              <w:t>средств измерений</w:t>
            </w:r>
            <w:r w:rsidRPr="00A5626D">
              <w:rPr>
                <w:rFonts w:ascii="Garamond" w:hAnsi="Garamond" w:cstheme="minorHAnsi"/>
                <w:b w:val="0"/>
              </w:rPr>
              <w:t xml:space="preserve">, методах восстановления информации </w:t>
            </w:r>
            <w:r w:rsidRPr="00A5626D">
              <w:rPr>
                <w:rFonts w:ascii="Garamond" w:hAnsi="Garamond" w:cstheme="minorHAnsi"/>
                <w:b w:val="0"/>
                <w:highlight w:val="yellow"/>
              </w:rPr>
              <w:t>(кроме ПСИ, сформированных в отношении объектов регулирования</w:t>
            </w:r>
            <w:r w:rsidRPr="00A5626D">
              <w:rPr>
                <w:rFonts w:ascii="Garamond" w:hAnsi="Garamond" w:cstheme="minorHAnsi"/>
                <w:b w:val="0"/>
              </w:rPr>
              <w:t xml:space="preserve">), алгоритмов расчета величины произведенной электроэнергии в ГТП генерации / сальдо перетоков электроэнергии в сечении коммерческого учета </w:t>
            </w:r>
            <w:r w:rsidRPr="00A5626D">
              <w:rPr>
                <w:rFonts w:ascii="Garamond" w:hAnsi="Garamond" w:cstheme="minorHAnsi"/>
                <w:b w:val="0"/>
                <w:highlight w:val="yellow"/>
              </w:rPr>
              <w:t>/ сальдо перетоков электроэнергии для объекта регулирования</w:t>
            </w:r>
            <w:r w:rsidRPr="00A5626D">
              <w:rPr>
                <w:rFonts w:ascii="Garamond" w:hAnsi="Garamond" w:cstheme="minorHAnsi"/>
                <w:b w:val="0"/>
              </w:rPr>
              <w:t xml:space="preserve"> несут </w:t>
            </w:r>
            <w:r w:rsidRPr="00A5626D">
              <w:rPr>
                <w:rFonts w:ascii="Garamond" w:hAnsi="Garamond" w:cstheme="minorHAnsi"/>
                <w:b w:val="0"/>
                <w:highlight w:val="yellow"/>
              </w:rPr>
              <w:t>соответственно</w:t>
            </w:r>
            <w:r w:rsidRPr="00A5626D">
              <w:rPr>
                <w:rFonts w:ascii="Garamond" w:hAnsi="Garamond" w:cstheme="minorHAnsi"/>
                <w:b w:val="0"/>
              </w:rPr>
              <w:t xml:space="preserve"> участники оптового рынка</w:t>
            </w:r>
            <w:r w:rsidRPr="00A5626D">
              <w:rPr>
                <w:rFonts w:ascii="Garamond" w:hAnsi="Garamond" w:cstheme="minorHAnsi"/>
                <w:b w:val="0"/>
                <w:highlight w:val="yellow"/>
              </w:rPr>
              <w:t>,</w:t>
            </w:r>
            <w:r w:rsidRPr="00A5626D">
              <w:rPr>
                <w:rFonts w:ascii="Garamond" w:hAnsi="Garamond" w:cstheme="minorHAnsi"/>
                <w:b w:val="0"/>
              </w:rPr>
              <w:t xml:space="preserve"> ФСК</w:t>
            </w:r>
            <w:r w:rsidRPr="00A5626D">
              <w:rPr>
                <w:rFonts w:ascii="Garamond" w:hAnsi="Garamond" w:cstheme="minorHAnsi"/>
                <w:b w:val="0"/>
                <w:highlight w:val="yellow"/>
              </w:rPr>
              <w:t>, агрегатор</w:t>
            </w:r>
            <w:r w:rsidRPr="00A5626D">
              <w:rPr>
                <w:rFonts w:ascii="Garamond" w:hAnsi="Garamond" w:cstheme="minorHAnsi"/>
                <w:b w:val="0"/>
              </w:rPr>
              <w:t>.</w:t>
            </w:r>
          </w:p>
          <w:p w14:paraId="499C3F97" w14:textId="77777777" w:rsidR="00295C6D" w:rsidRPr="00A5626D" w:rsidRDefault="00295C6D" w:rsidP="00E31AE6">
            <w:pPr>
              <w:pStyle w:val="2"/>
              <w:numPr>
                <w:ilvl w:val="0"/>
                <w:numId w:val="0"/>
              </w:numPr>
              <w:tabs>
                <w:tab w:val="left" w:pos="1134"/>
                <w:tab w:val="left" w:pos="7938"/>
              </w:tabs>
              <w:suppressAutoHyphens w:val="0"/>
              <w:spacing w:line="22" w:lineRule="atLeast"/>
              <w:ind w:firstLine="629"/>
              <w:jc w:val="both"/>
              <w:rPr>
                <w:rFonts w:ascii="Garamond" w:hAnsi="Garamond" w:cstheme="minorHAnsi"/>
                <w:b w:val="0"/>
              </w:rPr>
            </w:pPr>
            <w:r w:rsidRPr="00A5626D">
              <w:rPr>
                <w:rFonts w:ascii="Garamond" w:hAnsi="Garamond" w:cstheme="minorHAnsi"/>
                <w:b w:val="0"/>
              </w:rPr>
              <w:t xml:space="preserve">СО в рамках настоящего Регламента осуществляется согласование ПСИ только в части данных о способах формирования оперативной информации, включающих в себя следующие указываемые участниками оптового рынка </w:t>
            </w:r>
            <w:r w:rsidRPr="00A5626D">
              <w:rPr>
                <w:rFonts w:ascii="Garamond" w:hAnsi="Garamond" w:cstheme="minorHAnsi"/>
                <w:b w:val="0"/>
                <w:highlight w:val="yellow"/>
              </w:rPr>
              <w:t>(ФСК)</w:t>
            </w:r>
            <w:r w:rsidRPr="00A5626D">
              <w:rPr>
                <w:rFonts w:ascii="Garamond" w:hAnsi="Garamond" w:cstheme="minorHAnsi"/>
                <w:b w:val="0"/>
              </w:rPr>
              <w:t xml:space="preserve"> сведения:</w:t>
            </w:r>
          </w:p>
          <w:p w14:paraId="0A406797" w14:textId="77777777" w:rsidR="00295C6D" w:rsidRPr="00A5626D" w:rsidRDefault="00295C6D" w:rsidP="00E31AE6">
            <w:pPr>
              <w:pStyle w:val="2"/>
              <w:numPr>
                <w:ilvl w:val="0"/>
                <w:numId w:val="0"/>
              </w:numPr>
              <w:tabs>
                <w:tab w:val="left" w:pos="1134"/>
                <w:tab w:val="left" w:pos="7938"/>
              </w:tabs>
              <w:suppressAutoHyphens w:val="0"/>
              <w:spacing w:line="22" w:lineRule="atLeast"/>
              <w:ind w:firstLine="629"/>
              <w:jc w:val="both"/>
              <w:rPr>
                <w:rFonts w:ascii="Garamond" w:hAnsi="Garamond" w:cstheme="minorHAnsi"/>
                <w:b w:val="0"/>
              </w:rPr>
            </w:pPr>
            <w:r w:rsidRPr="00A5626D">
              <w:rPr>
                <w:rFonts w:ascii="Garamond" w:hAnsi="Garamond"/>
                <w:b w:val="0"/>
              </w:rPr>
              <w:t>…</w:t>
            </w:r>
          </w:p>
        </w:tc>
      </w:tr>
      <w:tr w:rsidR="00295C6D" w:rsidRPr="00A5626D" w14:paraId="5577EA71" w14:textId="77777777" w:rsidTr="00647FA0">
        <w:tc>
          <w:tcPr>
            <w:tcW w:w="1060" w:type="dxa"/>
            <w:vAlign w:val="center"/>
          </w:tcPr>
          <w:p w14:paraId="25A72133" w14:textId="0F2F3695" w:rsidR="00295C6D" w:rsidRPr="00A5626D" w:rsidRDefault="00295C6D" w:rsidP="00E31AE6">
            <w:pPr>
              <w:widowControl w:val="0"/>
              <w:tabs>
                <w:tab w:val="left" w:pos="1134"/>
                <w:tab w:val="left" w:pos="7938"/>
              </w:tabs>
              <w:spacing w:line="22" w:lineRule="atLeast"/>
              <w:jc w:val="both"/>
              <w:rPr>
                <w:rFonts w:ascii="Garamond" w:hAnsi="Garamond"/>
                <w:b/>
                <w:sz w:val="22"/>
                <w:szCs w:val="22"/>
                <w:lang w:eastAsia="en-US"/>
              </w:rPr>
            </w:pPr>
            <w:r w:rsidRPr="00A5626D">
              <w:rPr>
                <w:rFonts w:ascii="Garamond" w:hAnsi="Garamond"/>
                <w:b/>
                <w:sz w:val="22"/>
                <w:szCs w:val="22"/>
                <w:lang w:eastAsia="en-US"/>
              </w:rPr>
              <w:lastRenderedPageBreak/>
              <w:t>Прилож</w:t>
            </w:r>
            <w:r w:rsidRPr="00A5626D">
              <w:rPr>
                <w:rFonts w:ascii="Garamond" w:hAnsi="Garamond"/>
                <w:b/>
                <w:sz w:val="22"/>
                <w:szCs w:val="22"/>
                <w:lang w:eastAsia="en-US"/>
              </w:rPr>
              <w:lastRenderedPageBreak/>
              <w:t>ение 5, п.</w:t>
            </w:r>
            <w:r w:rsidR="000B3419" w:rsidRPr="00A5626D">
              <w:rPr>
                <w:rFonts w:ascii="Garamond" w:hAnsi="Garamond"/>
                <w:b/>
                <w:sz w:val="22"/>
                <w:szCs w:val="22"/>
                <w:lang w:eastAsia="en-US"/>
              </w:rPr>
              <w:t> </w:t>
            </w:r>
            <w:r w:rsidRPr="00A5626D">
              <w:rPr>
                <w:rFonts w:ascii="Garamond" w:hAnsi="Garamond"/>
                <w:b/>
                <w:sz w:val="22"/>
                <w:szCs w:val="22"/>
                <w:lang w:eastAsia="en-US"/>
              </w:rPr>
              <w:t>1.4</w:t>
            </w:r>
          </w:p>
        </w:tc>
        <w:tc>
          <w:tcPr>
            <w:tcW w:w="6662" w:type="dxa"/>
          </w:tcPr>
          <w:p w14:paraId="17B17AD8" w14:textId="77777777" w:rsidR="00295C6D" w:rsidRPr="00A5626D" w:rsidRDefault="00295C6D" w:rsidP="00E31AE6">
            <w:pPr>
              <w:pStyle w:val="2"/>
              <w:numPr>
                <w:ilvl w:val="0"/>
                <w:numId w:val="0"/>
              </w:numPr>
              <w:tabs>
                <w:tab w:val="left" w:pos="1134"/>
                <w:tab w:val="left" w:pos="7938"/>
              </w:tabs>
              <w:suppressAutoHyphens w:val="0"/>
              <w:spacing w:line="22" w:lineRule="atLeast"/>
              <w:ind w:firstLine="629"/>
              <w:jc w:val="both"/>
              <w:rPr>
                <w:rFonts w:ascii="Garamond" w:hAnsi="Garamond" w:cstheme="minorHAnsi"/>
                <w:b w:val="0"/>
              </w:rPr>
            </w:pPr>
            <w:r w:rsidRPr="00A5626D">
              <w:rPr>
                <w:rFonts w:ascii="Garamond" w:hAnsi="Garamond" w:cstheme="minorHAnsi"/>
                <w:b w:val="0"/>
              </w:rPr>
              <w:lastRenderedPageBreak/>
              <w:t xml:space="preserve">В одном файле макета 60000 субъект оптового рынка (заявитель) </w:t>
            </w:r>
            <w:r w:rsidRPr="00A5626D">
              <w:rPr>
                <w:rFonts w:ascii="Garamond" w:hAnsi="Garamond" w:cstheme="minorHAnsi"/>
                <w:b w:val="0"/>
              </w:rPr>
              <w:lastRenderedPageBreak/>
              <w:t xml:space="preserve">должен передать информацию, относящуюся только к одному сечению коммерческого учета, внутреннему сечению </w:t>
            </w:r>
            <w:r w:rsidRPr="00A5626D">
              <w:rPr>
                <w:rFonts w:ascii="Garamond" w:hAnsi="Garamond" w:cstheme="minorHAnsi"/>
                <w:b w:val="0"/>
                <w:highlight w:val="yellow"/>
              </w:rPr>
              <w:t>коммерческого учета</w:t>
            </w:r>
            <w:r w:rsidRPr="00A5626D">
              <w:rPr>
                <w:rFonts w:ascii="Garamond" w:hAnsi="Garamond" w:cstheme="minorHAnsi"/>
                <w:b w:val="0"/>
              </w:rPr>
              <w:t xml:space="preserve"> или одной ГТП генерации.</w:t>
            </w:r>
          </w:p>
        </w:tc>
        <w:tc>
          <w:tcPr>
            <w:tcW w:w="7088" w:type="dxa"/>
          </w:tcPr>
          <w:p w14:paraId="0EC277BB" w14:textId="77777777" w:rsidR="00295C6D" w:rsidRPr="00A5626D" w:rsidRDefault="00295C6D" w:rsidP="00E31AE6">
            <w:pPr>
              <w:pStyle w:val="2"/>
              <w:numPr>
                <w:ilvl w:val="0"/>
                <w:numId w:val="0"/>
              </w:numPr>
              <w:tabs>
                <w:tab w:val="left" w:pos="1134"/>
                <w:tab w:val="left" w:pos="7938"/>
              </w:tabs>
              <w:suppressAutoHyphens w:val="0"/>
              <w:spacing w:line="22" w:lineRule="atLeast"/>
              <w:ind w:firstLine="629"/>
              <w:jc w:val="both"/>
              <w:rPr>
                <w:rFonts w:ascii="Garamond" w:hAnsi="Garamond" w:cstheme="minorHAnsi"/>
                <w:b w:val="0"/>
              </w:rPr>
            </w:pPr>
            <w:r w:rsidRPr="00A5626D">
              <w:rPr>
                <w:rFonts w:ascii="Garamond" w:hAnsi="Garamond" w:cstheme="minorHAnsi"/>
                <w:b w:val="0"/>
              </w:rPr>
              <w:lastRenderedPageBreak/>
              <w:t xml:space="preserve">В одном файле макета 60000 субъект оптового рынка (заявитель) </w:t>
            </w:r>
            <w:r w:rsidRPr="00A5626D">
              <w:rPr>
                <w:rFonts w:ascii="Garamond" w:hAnsi="Garamond" w:cstheme="minorHAnsi"/>
                <w:b w:val="0"/>
              </w:rPr>
              <w:lastRenderedPageBreak/>
              <w:t>должен передать информацию, относящуюся только к одному сечению коммерческого учета, внутреннему сечению</w:t>
            </w:r>
            <w:r w:rsidRPr="00A5626D">
              <w:rPr>
                <w:rFonts w:ascii="Garamond" w:hAnsi="Garamond" w:cstheme="minorHAnsi"/>
                <w:b w:val="0"/>
                <w:highlight w:val="yellow"/>
              </w:rPr>
              <w:t>, объекту регулирования</w:t>
            </w:r>
            <w:r w:rsidRPr="00A5626D">
              <w:rPr>
                <w:rFonts w:ascii="Garamond" w:hAnsi="Garamond" w:cstheme="minorHAnsi"/>
                <w:b w:val="0"/>
              </w:rPr>
              <w:t xml:space="preserve"> или одной ГТП генерации.</w:t>
            </w:r>
          </w:p>
        </w:tc>
      </w:tr>
      <w:tr w:rsidR="00295C6D" w:rsidRPr="00A5626D" w14:paraId="028CA203" w14:textId="77777777" w:rsidTr="00647FA0">
        <w:tc>
          <w:tcPr>
            <w:tcW w:w="1060" w:type="dxa"/>
            <w:vAlign w:val="center"/>
          </w:tcPr>
          <w:p w14:paraId="7469E304" w14:textId="4A414133" w:rsidR="00295C6D" w:rsidRPr="00A5626D" w:rsidRDefault="00295C6D" w:rsidP="00E31AE6">
            <w:pPr>
              <w:widowControl w:val="0"/>
              <w:tabs>
                <w:tab w:val="left" w:pos="1134"/>
                <w:tab w:val="left" w:pos="7938"/>
              </w:tabs>
              <w:spacing w:line="22" w:lineRule="atLeast"/>
              <w:jc w:val="both"/>
              <w:rPr>
                <w:rFonts w:ascii="Garamond" w:hAnsi="Garamond"/>
                <w:b/>
                <w:sz w:val="22"/>
                <w:szCs w:val="22"/>
                <w:lang w:eastAsia="en-US"/>
              </w:rPr>
            </w:pPr>
            <w:r w:rsidRPr="00A5626D">
              <w:rPr>
                <w:rFonts w:ascii="Garamond" w:hAnsi="Garamond"/>
                <w:b/>
                <w:sz w:val="22"/>
                <w:szCs w:val="22"/>
                <w:lang w:eastAsia="en-US"/>
              </w:rPr>
              <w:lastRenderedPageBreak/>
              <w:t>Приложение 5, п.</w:t>
            </w:r>
            <w:r w:rsidR="000B3419" w:rsidRPr="00A5626D">
              <w:rPr>
                <w:rFonts w:ascii="Garamond" w:hAnsi="Garamond"/>
                <w:b/>
                <w:sz w:val="22"/>
                <w:szCs w:val="22"/>
                <w:lang w:eastAsia="en-US"/>
              </w:rPr>
              <w:t> </w:t>
            </w:r>
            <w:r w:rsidRPr="00A5626D">
              <w:rPr>
                <w:rFonts w:ascii="Garamond" w:hAnsi="Garamond"/>
                <w:b/>
                <w:sz w:val="22"/>
                <w:szCs w:val="22"/>
                <w:lang w:eastAsia="en-US"/>
              </w:rPr>
              <w:t>1.5</w:t>
            </w:r>
          </w:p>
        </w:tc>
        <w:tc>
          <w:tcPr>
            <w:tcW w:w="6662" w:type="dxa"/>
          </w:tcPr>
          <w:p w14:paraId="1D36F4DC" w14:textId="77777777" w:rsidR="00295C6D" w:rsidRPr="00A5626D" w:rsidRDefault="00295C6D" w:rsidP="00E31AE6">
            <w:pPr>
              <w:pStyle w:val="2"/>
              <w:numPr>
                <w:ilvl w:val="0"/>
                <w:numId w:val="0"/>
              </w:numPr>
              <w:tabs>
                <w:tab w:val="left" w:pos="1134"/>
                <w:tab w:val="left" w:pos="7938"/>
              </w:tabs>
              <w:suppressAutoHyphens w:val="0"/>
              <w:spacing w:line="22" w:lineRule="atLeast"/>
              <w:ind w:firstLine="629"/>
              <w:jc w:val="both"/>
              <w:rPr>
                <w:rFonts w:ascii="Garamond" w:hAnsi="Garamond" w:cstheme="minorHAnsi"/>
                <w:b w:val="0"/>
              </w:rPr>
            </w:pPr>
            <w:r w:rsidRPr="00A5626D">
              <w:rPr>
                <w:rFonts w:ascii="Garamond" w:hAnsi="Garamond" w:cstheme="minorHAnsi"/>
                <w:b w:val="0"/>
              </w:rPr>
              <w:t xml:space="preserve">ПСИ в виде электронного документа в макете 60000 </w:t>
            </w:r>
            <w:r w:rsidRPr="00A5626D">
              <w:rPr>
                <w:rFonts w:ascii="Garamond" w:hAnsi="Garamond" w:cstheme="minorHAnsi"/>
                <w:b w:val="0"/>
                <w:highlight w:val="yellow"/>
              </w:rPr>
              <w:t>содержит информацию по ТП в сечении КУ / внутреннем сечении КУ /ГТП генерации и</w:t>
            </w:r>
            <w:r w:rsidRPr="00A5626D">
              <w:rPr>
                <w:rFonts w:ascii="Garamond" w:hAnsi="Garamond" w:cstheme="minorHAnsi"/>
                <w:b w:val="0"/>
              </w:rPr>
              <w:t xml:space="preserve"> включает в себя:</w:t>
            </w:r>
          </w:p>
          <w:p w14:paraId="605C5EAE" w14:textId="77777777" w:rsidR="00295C6D" w:rsidRPr="00A5626D" w:rsidRDefault="00295C6D" w:rsidP="00E31AE6">
            <w:pPr>
              <w:pStyle w:val="2"/>
              <w:numPr>
                <w:ilvl w:val="0"/>
                <w:numId w:val="0"/>
              </w:numPr>
              <w:tabs>
                <w:tab w:val="left" w:pos="1134"/>
                <w:tab w:val="left" w:pos="7938"/>
              </w:tabs>
              <w:suppressAutoHyphens w:val="0"/>
              <w:spacing w:line="22" w:lineRule="atLeast"/>
              <w:ind w:firstLine="629"/>
              <w:jc w:val="both"/>
              <w:rPr>
                <w:rFonts w:ascii="Garamond" w:hAnsi="Garamond" w:cstheme="minorHAnsi"/>
                <w:b w:val="0"/>
              </w:rPr>
            </w:pPr>
            <w:r w:rsidRPr="00A5626D">
              <w:rPr>
                <w:rFonts w:ascii="Garamond" w:hAnsi="Garamond" w:cstheme="minorHAnsi"/>
                <w:b w:val="0"/>
              </w:rPr>
              <w:t>–</w:t>
            </w:r>
            <w:r w:rsidRPr="00A5626D">
              <w:rPr>
                <w:rFonts w:ascii="Garamond" w:hAnsi="Garamond" w:cstheme="minorHAnsi"/>
                <w:b w:val="0"/>
              </w:rPr>
              <w:tab/>
              <w:t>раздел с информацией о составе точек поставки в сечении КУ/ внутреннем сечении КУ/ ГТП генерации;</w:t>
            </w:r>
          </w:p>
          <w:p w14:paraId="52A93358" w14:textId="77777777" w:rsidR="00295C6D" w:rsidRPr="00A5626D" w:rsidRDefault="00295C6D" w:rsidP="00E31AE6">
            <w:pPr>
              <w:pStyle w:val="2"/>
              <w:numPr>
                <w:ilvl w:val="0"/>
                <w:numId w:val="0"/>
              </w:numPr>
              <w:tabs>
                <w:tab w:val="left" w:pos="1134"/>
                <w:tab w:val="left" w:pos="7938"/>
              </w:tabs>
              <w:suppressAutoHyphens w:val="0"/>
              <w:spacing w:line="22" w:lineRule="atLeast"/>
              <w:ind w:firstLine="629"/>
              <w:jc w:val="both"/>
              <w:rPr>
                <w:rFonts w:ascii="Garamond" w:hAnsi="Garamond" w:cstheme="minorHAnsi"/>
                <w:b w:val="0"/>
              </w:rPr>
            </w:pPr>
            <w:r w:rsidRPr="00A5626D">
              <w:rPr>
                <w:rFonts w:ascii="Garamond" w:hAnsi="Garamond" w:cstheme="minorHAnsi"/>
                <w:b w:val="0"/>
              </w:rPr>
              <w:t>–</w:t>
            </w:r>
            <w:r w:rsidRPr="00A5626D">
              <w:rPr>
                <w:rFonts w:ascii="Garamond" w:hAnsi="Garamond" w:cstheme="minorHAnsi"/>
                <w:b w:val="0"/>
              </w:rPr>
              <w:tab/>
              <w:t xml:space="preserve">раздел с информацией о составе средств измерения, обеспечивающих расчет учетных показателей по точкам поставки в сечении КУ / внутреннем сечении </w:t>
            </w:r>
            <w:r w:rsidRPr="00A5626D">
              <w:rPr>
                <w:rFonts w:ascii="Garamond" w:hAnsi="Garamond" w:cstheme="minorHAnsi"/>
                <w:b w:val="0"/>
                <w:highlight w:val="yellow"/>
              </w:rPr>
              <w:t>КУ</w:t>
            </w:r>
            <w:r w:rsidRPr="00A5626D">
              <w:rPr>
                <w:rFonts w:ascii="Garamond" w:hAnsi="Garamond" w:cstheme="minorHAnsi"/>
                <w:b w:val="0"/>
              </w:rPr>
              <w:t xml:space="preserve"> /ГТП генерации, их расположении и их участии в основных/резервных способах расчета (п. 1 раздела 2 настоящего приложения);</w:t>
            </w:r>
          </w:p>
          <w:p w14:paraId="402393A8" w14:textId="77777777" w:rsidR="00295C6D" w:rsidRPr="00A5626D" w:rsidRDefault="00295C6D" w:rsidP="00E31AE6">
            <w:pPr>
              <w:pStyle w:val="2"/>
              <w:numPr>
                <w:ilvl w:val="0"/>
                <w:numId w:val="0"/>
              </w:numPr>
              <w:tabs>
                <w:tab w:val="left" w:pos="1134"/>
                <w:tab w:val="left" w:pos="7938"/>
              </w:tabs>
              <w:suppressAutoHyphens w:val="0"/>
              <w:spacing w:line="22" w:lineRule="atLeast"/>
              <w:ind w:firstLine="629"/>
              <w:jc w:val="both"/>
              <w:rPr>
                <w:rFonts w:ascii="Garamond" w:hAnsi="Garamond" w:cstheme="minorHAnsi"/>
                <w:b w:val="0"/>
              </w:rPr>
            </w:pPr>
            <w:r w:rsidRPr="00A5626D">
              <w:rPr>
                <w:rFonts w:ascii="Garamond" w:hAnsi="Garamond" w:cstheme="minorHAnsi"/>
                <w:b w:val="0"/>
              </w:rPr>
              <w:t>–</w:t>
            </w:r>
            <w:r w:rsidRPr="00A5626D">
              <w:rPr>
                <w:rFonts w:ascii="Garamond" w:hAnsi="Garamond" w:cstheme="minorHAnsi"/>
                <w:b w:val="0"/>
              </w:rPr>
              <w:tab/>
              <w:t>раздел с информацией об Алгоритме расчета величины сальдо перетоков электроэнергии в сечении КУ или произведенной электроэнергии в ГТП генерации (далее – Алгоритм), включающем точки измерения заявителя (п. 2 раздела 2 настоящего приложения);</w:t>
            </w:r>
          </w:p>
          <w:p w14:paraId="2FE461F5" w14:textId="77777777" w:rsidR="00295C6D" w:rsidRPr="00A5626D" w:rsidRDefault="00295C6D" w:rsidP="00E31AE6">
            <w:pPr>
              <w:pStyle w:val="2"/>
              <w:numPr>
                <w:ilvl w:val="0"/>
                <w:numId w:val="0"/>
              </w:numPr>
              <w:tabs>
                <w:tab w:val="left" w:pos="1134"/>
                <w:tab w:val="left" w:pos="7938"/>
              </w:tabs>
              <w:suppressAutoHyphens w:val="0"/>
              <w:spacing w:line="22" w:lineRule="atLeast"/>
              <w:ind w:firstLine="629"/>
              <w:jc w:val="both"/>
              <w:rPr>
                <w:rFonts w:ascii="Garamond" w:hAnsi="Garamond" w:cstheme="minorHAnsi"/>
                <w:b w:val="0"/>
              </w:rPr>
            </w:pPr>
            <w:r w:rsidRPr="00A5626D">
              <w:rPr>
                <w:rFonts w:ascii="Garamond" w:hAnsi="Garamond" w:cstheme="minorHAnsi"/>
                <w:b w:val="0"/>
              </w:rPr>
              <w:t>–</w:t>
            </w:r>
            <w:r w:rsidRPr="00A5626D">
              <w:rPr>
                <w:rFonts w:ascii="Garamond" w:hAnsi="Garamond" w:cstheme="minorHAnsi"/>
                <w:b w:val="0"/>
              </w:rPr>
              <w:tab/>
              <w:t>раздел с информацией об Алгоритме, включающем точки измерения смежного субъекта оптового рынка;</w:t>
            </w:r>
          </w:p>
          <w:p w14:paraId="678ECA3F" w14:textId="77777777" w:rsidR="00295C6D" w:rsidRPr="00A5626D" w:rsidRDefault="00295C6D" w:rsidP="00E31AE6">
            <w:pPr>
              <w:pStyle w:val="2"/>
              <w:numPr>
                <w:ilvl w:val="0"/>
                <w:numId w:val="0"/>
              </w:numPr>
              <w:tabs>
                <w:tab w:val="left" w:pos="1134"/>
                <w:tab w:val="left" w:pos="7938"/>
              </w:tabs>
              <w:suppressAutoHyphens w:val="0"/>
              <w:spacing w:line="22" w:lineRule="atLeast"/>
              <w:ind w:firstLine="629"/>
              <w:jc w:val="both"/>
              <w:rPr>
                <w:rFonts w:ascii="Garamond" w:hAnsi="Garamond" w:cstheme="minorHAnsi"/>
                <w:b w:val="0"/>
              </w:rPr>
            </w:pPr>
            <w:r w:rsidRPr="00A5626D">
              <w:rPr>
                <w:rFonts w:ascii="Garamond" w:hAnsi="Garamond" w:cstheme="minorHAnsi"/>
                <w:b w:val="0"/>
              </w:rPr>
              <w:t>–</w:t>
            </w:r>
            <w:r w:rsidRPr="00A5626D">
              <w:rPr>
                <w:rFonts w:ascii="Garamond" w:hAnsi="Garamond" w:cstheme="minorHAnsi"/>
                <w:b w:val="0"/>
              </w:rPr>
              <w:tab/>
              <w:t xml:space="preserve">раздел с информацией о контрольных значениях расчета учетного показателя в сечении КУ / внутреннем сечении </w:t>
            </w:r>
            <w:r w:rsidRPr="00A5626D">
              <w:rPr>
                <w:rFonts w:ascii="Garamond" w:hAnsi="Garamond" w:cstheme="minorHAnsi"/>
                <w:b w:val="0"/>
                <w:highlight w:val="yellow"/>
              </w:rPr>
              <w:t>КУ</w:t>
            </w:r>
            <w:r w:rsidRPr="00A5626D">
              <w:rPr>
                <w:rFonts w:ascii="Garamond" w:hAnsi="Garamond" w:cstheme="minorHAnsi"/>
                <w:b w:val="0"/>
              </w:rPr>
              <w:t xml:space="preserve"> / ГТП генерации. Допускается заполнение указанных значений с использованием результатов измерений. Для вновь вводимого объекта при отсутствии результатов измерений, которые отражают объемы потребленной (произведенной) электрической энергии в выбранные календарные дни, допускается предоставление нулевых значений.</w:t>
            </w:r>
          </w:p>
          <w:p w14:paraId="6BF1AF59" w14:textId="77777777" w:rsidR="00295C6D" w:rsidRPr="00A5626D" w:rsidRDefault="00295C6D" w:rsidP="00E31AE6">
            <w:pPr>
              <w:pStyle w:val="2"/>
              <w:numPr>
                <w:ilvl w:val="0"/>
                <w:numId w:val="0"/>
              </w:numPr>
              <w:tabs>
                <w:tab w:val="left" w:pos="1134"/>
                <w:tab w:val="left" w:pos="7938"/>
              </w:tabs>
              <w:suppressAutoHyphens w:val="0"/>
              <w:spacing w:line="22" w:lineRule="atLeast"/>
              <w:ind w:firstLine="629"/>
              <w:jc w:val="both"/>
              <w:rPr>
                <w:rFonts w:ascii="Garamond" w:hAnsi="Garamond" w:cstheme="minorHAnsi"/>
                <w:b w:val="0"/>
              </w:rPr>
            </w:pPr>
            <w:r w:rsidRPr="00A5626D">
              <w:rPr>
                <w:rFonts w:ascii="Garamond" w:hAnsi="Garamond" w:cstheme="minorHAnsi"/>
                <w:b w:val="0"/>
              </w:rPr>
              <w:t>Расхождение контрольных значений расчета учетного показателя, полученных смежными субъектами оптового рынка, не является основанием для несогласования ПСИ.</w:t>
            </w:r>
          </w:p>
          <w:p w14:paraId="31E0C8B8" w14:textId="77777777" w:rsidR="00295C6D" w:rsidRPr="00A5626D" w:rsidRDefault="00295C6D" w:rsidP="00E31AE6">
            <w:pPr>
              <w:pStyle w:val="2"/>
              <w:numPr>
                <w:ilvl w:val="0"/>
                <w:numId w:val="0"/>
              </w:numPr>
              <w:tabs>
                <w:tab w:val="left" w:pos="1134"/>
                <w:tab w:val="left" w:pos="7938"/>
              </w:tabs>
              <w:suppressAutoHyphens w:val="0"/>
              <w:spacing w:line="22" w:lineRule="atLeast"/>
              <w:ind w:firstLine="629"/>
              <w:jc w:val="both"/>
              <w:rPr>
                <w:rFonts w:ascii="Garamond" w:hAnsi="Garamond" w:cstheme="minorHAnsi"/>
                <w:b w:val="0"/>
              </w:rPr>
            </w:pPr>
            <w:r w:rsidRPr="00A5626D">
              <w:rPr>
                <w:rFonts w:ascii="Garamond" w:hAnsi="Garamond" w:cstheme="minorHAnsi"/>
                <w:b w:val="0"/>
              </w:rPr>
              <w:t>Информация, указанная в соответствующих разделах ПСИ, не должна содержать взаимоисключающих положений, а также противоречить данным однолинейной (-ых) схемы (схем) присоединения к внешней электрической сети, предоставленной в рамках соответствующей процедуры согласования ГТП / внесения изменений в регистрационную информацию либо содержащейся в регистрационном деле по соответствующему действующему составу точек поставки и точек измерений.</w:t>
            </w:r>
          </w:p>
        </w:tc>
        <w:tc>
          <w:tcPr>
            <w:tcW w:w="7088" w:type="dxa"/>
          </w:tcPr>
          <w:p w14:paraId="1780F72A" w14:textId="77777777" w:rsidR="00295C6D" w:rsidRPr="00A5626D" w:rsidRDefault="00295C6D" w:rsidP="00E31AE6">
            <w:pPr>
              <w:pStyle w:val="2"/>
              <w:numPr>
                <w:ilvl w:val="0"/>
                <w:numId w:val="0"/>
              </w:numPr>
              <w:tabs>
                <w:tab w:val="left" w:pos="1134"/>
                <w:tab w:val="left" w:pos="7938"/>
              </w:tabs>
              <w:suppressAutoHyphens w:val="0"/>
              <w:spacing w:line="22" w:lineRule="atLeast"/>
              <w:ind w:firstLine="629"/>
              <w:jc w:val="both"/>
              <w:rPr>
                <w:rFonts w:ascii="Garamond" w:hAnsi="Garamond" w:cstheme="minorHAnsi"/>
                <w:b w:val="0"/>
              </w:rPr>
            </w:pPr>
            <w:r w:rsidRPr="00A5626D">
              <w:rPr>
                <w:rFonts w:ascii="Garamond" w:hAnsi="Garamond" w:cstheme="minorHAnsi"/>
                <w:b w:val="0"/>
              </w:rPr>
              <w:t>ПСИ в виде электронного документа в макете 60000 включает в себя:</w:t>
            </w:r>
          </w:p>
          <w:p w14:paraId="4996C233" w14:textId="418B0453" w:rsidR="00295C6D" w:rsidRPr="00A5626D" w:rsidRDefault="00295C6D" w:rsidP="00E31AE6">
            <w:pPr>
              <w:pStyle w:val="2"/>
              <w:numPr>
                <w:ilvl w:val="0"/>
                <w:numId w:val="0"/>
              </w:numPr>
              <w:tabs>
                <w:tab w:val="left" w:pos="1134"/>
                <w:tab w:val="left" w:pos="7938"/>
              </w:tabs>
              <w:suppressAutoHyphens w:val="0"/>
              <w:spacing w:line="22" w:lineRule="atLeast"/>
              <w:ind w:firstLine="629"/>
              <w:jc w:val="both"/>
              <w:rPr>
                <w:rFonts w:ascii="Garamond" w:hAnsi="Garamond" w:cstheme="minorHAnsi"/>
                <w:b w:val="0"/>
              </w:rPr>
            </w:pPr>
            <w:r w:rsidRPr="00A5626D">
              <w:rPr>
                <w:rFonts w:ascii="Garamond" w:hAnsi="Garamond" w:cstheme="minorHAnsi"/>
                <w:b w:val="0"/>
              </w:rPr>
              <w:t>–</w:t>
            </w:r>
            <w:r w:rsidRPr="00A5626D">
              <w:rPr>
                <w:rFonts w:ascii="Garamond" w:hAnsi="Garamond" w:cstheme="minorHAnsi"/>
                <w:b w:val="0"/>
              </w:rPr>
              <w:tab/>
              <w:t>раздел с информацией о составе точек поставки в сечении КУ</w:t>
            </w:r>
            <w:r w:rsidR="00ED21EC">
              <w:rPr>
                <w:rFonts w:ascii="Garamond" w:hAnsi="Garamond" w:cstheme="minorHAnsi"/>
                <w:b w:val="0"/>
              </w:rPr>
              <w:t xml:space="preserve"> </w:t>
            </w:r>
            <w:r w:rsidRPr="00A5626D">
              <w:rPr>
                <w:rFonts w:ascii="Garamond" w:hAnsi="Garamond" w:cstheme="minorHAnsi"/>
                <w:b w:val="0"/>
              </w:rPr>
              <w:t>/ внутреннем сечении</w:t>
            </w:r>
            <w:r w:rsidR="00ED21EC">
              <w:rPr>
                <w:rFonts w:ascii="Garamond" w:hAnsi="Garamond" w:cstheme="minorHAnsi"/>
                <w:b w:val="0"/>
              </w:rPr>
              <w:t xml:space="preserve"> </w:t>
            </w:r>
            <w:r w:rsidRPr="00A5626D">
              <w:rPr>
                <w:rFonts w:ascii="Garamond" w:hAnsi="Garamond" w:cstheme="minorHAnsi"/>
                <w:b w:val="0"/>
              </w:rPr>
              <w:t xml:space="preserve">/ ГТП генерации </w:t>
            </w:r>
            <w:r w:rsidRPr="00A5626D">
              <w:rPr>
                <w:rFonts w:ascii="Garamond" w:hAnsi="Garamond" w:cstheme="minorHAnsi"/>
                <w:b w:val="0"/>
                <w:highlight w:val="yellow"/>
              </w:rPr>
              <w:t>либо составе точек присоединения в объекте регулирования</w:t>
            </w:r>
            <w:r w:rsidRPr="00A5626D">
              <w:rPr>
                <w:rFonts w:ascii="Garamond" w:hAnsi="Garamond" w:cstheme="minorHAnsi"/>
                <w:b w:val="0"/>
              </w:rPr>
              <w:t>;</w:t>
            </w:r>
          </w:p>
          <w:p w14:paraId="37A5045B" w14:textId="77777777" w:rsidR="00295C6D" w:rsidRPr="00A5626D" w:rsidRDefault="00295C6D" w:rsidP="00E31AE6">
            <w:pPr>
              <w:pStyle w:val="2"/>
              <w:numPr>
                <w:ilvl w:val="0"/>
                <w:numId w:val="0"/>
              </w:numPr>
              <w:tabs>
                <w:tab w:val="left" w:pos="1134"/>
                <w:tab w:val="left" w:pos="7938"/>
              </w:tabs>
              <w:suppressAutoHyphens w:val="0"/>
              <w:spacing w:line="22" w:lineRule="atLeast"/>
              <w:ind w:firstLine="629"/>
              <w:jc w:val="both"/>
              <w:rPr>
                <w:rFonts w:ascii="Garamond" w:hAnsi="Garamond" w:cstheme="minorHAnsi"/>
                <w:b w:val="0"/>
              </w:rPr>
            </w:pPr>
            <w:r w:rsidRPr="00A5626D">
              <w:rPr>
                <w:rFonts w:ascii="Garamond" w:hAnsi="Garamond" w:cstheme="minorHAnsi"/>
                <w:b w:val="0"/>
              </w:rPr>
              <w:t>–</w:t>
            </w:r>
            <w:r w:rsidRPr="00A5626D">
              <w:rPr>
                <w:rFonts w:ascii="Garamond" w:hAnsi="Garamond" w:cstheme="minorHAnsi"/>
                <w:b w:val="0"/>
              </w:rPr>
              <w:tab/>
              <w:t xml:space="preserve">раздел с информацией о составе средств измерения, обеспечивающих расчет учетных показателей по точкам поставки в сечении КУ / внутреннем сечении / ГТП генерации </w:t>
            </w:r>
            <w:r w:rsidRPr="00A5626D">
              <w:rPr>
                <w:rFonts w:ascii="Garamond" w:hAnsi="Garamond" w:cstheme="minorHAnsi"/>
                <w:b w:val="0"/>
                <w:highlight w:val="yellow"/>
              </w:rPr>
              <w:t>/ объекте регулирования</w:t>
            </w:r>
            <w:r w:rsidRPr="00A5626D">
              <w:rPr>
                <w:rFonts w:ascii="Garamond" w:hAnsi="Garamond" w:cstheme="minorHAnsi"/>
                <w:b w:val="0"/>
              </w:rPr>
              <w:t>, их расположении и их участии в основных/резервных способах расчета (п. 1 раздела 2 настоящего приложения);</w:t>
            </w:r>
          </w:p>
          <w:p w14:paraId="50A4EB21" w14:textId="77777777" w:rsidR="00295C6D" w:rsidRPr="00A5626D" w:rsidRDefault="00295C6D" w:rsidP="00E31AE6">
            <w:pPr>
              <w:pStyle w:val="2"/>
              <w:numPr>
                <w:ilvl w:val="0"/>
                <w:numId w:val="0"/>
              </w:numPr>
              <w:tabs>
                <w:tab w:val="left" w:pos="1134"/>
                <w:tab w:val="left" w:pos="7938"/>
              </w:tabs>
              <w:suppressAutoHyphens w:val="0"/>
              <w:spacing w:line="22" w:lineRule="atLeast"/>
              <w:ind w:firstLine="629"/>
              <w:jc w:val="both"/>
              <w:rPr>
                <w:rFonts w:ascii="Garamond" w:hAnsi="Garamond" w:cstheme="minorHAnsi"/>
                <w:b w:val="0"/>
              </w:rPr>
            </w:pPr>
            <w:r w:rsidRPr="00A5626D">
              <w:rPr>
                <w:rFonts w:ascii="Garamond" w:hAnsi="Garamond" w:cstheme="minorHAnsi"/>
                <w:b w:val="0"/>
              </w:rPr>
              <w:t>–</w:t>
            </w:r>
            <w:r w:rsidRPr="00A5626D">
              <w:rPr>
                <w:rFonts w:ascii="Garamond" w:hAnsi="Garamond" w:cstheme="minorHAnsi"/>
                <w:b w:val="0"/>
              </w:rPr>
              <w:tab/>
              <w:t>раздел с информацией об Алгоритме расчета величины сальдо перетоков электроэнергии в сечении КУ</w:t>
            </w:r>
            <w:r w:rsidRPr="00A5626D">
              <w:rPr>
                <w:rFonts w:ascii="Garamond" w:hAnsi="Garamond" w:cstheme="minorHAnsi"/>
                <w:b w:val="0"/>
                <w:highlight w:val="yellow"/>
              </w:rPr>
              <w:t>,</w:t>
            </w:r>
            <w:r w:rsidRPr="00A5626D">
              <w:rPr>
                <w:rFonts w:ascii="Garamond" w:hAnsi="Garamond" w:cstheme="minorHAnsi"/>
                <w:b w:val="0"/>
              </w:rPr>
              <w:t xml:space="preserve"> или произведенной электроэнергии в ГТП генерации, </w:t>
            </w:r>
            <w:r w:rsidRPr="00A5626D">
              <w:rPr>
                <w:rFonts w:ascii="Garamond" w:hAnsi="Garamond" w:cstheme="minorHAnsi"/>
                <w:b w:val="0"/>
                <w:highlight w:val="yellow"/>
              </w:rPr>
              <w:t>или сальдо перетоков электроэнергии для объекта регулирования</w:t>
            </w:r>
            <w:r w:rsidRPr="00A5626D">
              <w:rPr>
                <w:rFonts w:ascii="Garamond" w:hAnsi="Garamond" w:cstheme="minorHAnsi"/>
                <w:b w:val="0"/>
              </w:rPr>
              <w:t xml:space="preserve"> (далее – Алгоритм), включающем точки измерения заявителя (п. 2 раздела 2 настоящего приложения);</w:t>
            </w:r>
          </w:p>
          <w:p w14:paraId="61DD232F" w14:textId="77777777" w:rsidR="00295C6D" w:rsidRPr="00A5626D" w:rsidRDefault="00295C6D" w:rsidP="00E31AE6">
            <w:pPr>
              <w:pStyle w:val="2"/>
              <w:numPr>
                <w:ilvl w:val="0"/>
                <w:numId w:val="0"/>
              </w:numPr>
              <w:tabs>
                <w:tab w:val="left" w:pos="1134"/>
                <w:tab w:val="left" w:pos="7938"/>
              </w:tabs>
              <w:suppressAutoHyphens w:val="0"/>
              <w:spacing w:line="22" w:lineRule="atLeast"/>
              <w:ind w:firstLine="629"/>
              <w:jc w:val="both"/>
              <w:rPr>
                <w:rFonts w:ascii="Garamond" w:hAnsi="Garamond" w:cstheme="minorHAnsi"/>
                <w:b w:val="0"/>
              </w:rPr>
            </w:pPr>
            <w:r w:rsidRPr="00A5626D">
              <w:rPr>
                <w:rFonts w:ascii="Garamond" w:hAnsi="Garamond" w:cstheme="minorHAnsi"/>
                <w:b w:val="0"/>
              </w:rPr>
              <w:t>–</w:t>
            </w:r>
            <w:r w:rsidRPr="00A5626D">
              <w:rPr>
                <w:rFonts w:ascii="Garamond" w:hAnsi="Garamond" w:cstheme="minorHAnsi"/>
                <w:b w:val="0"/>
              </w:rPr>
              <w:tab/>
              <w:t xml:space="preserve">раздел с информацией об Алгоритме, включающем точки измерения смежного субъекта оптового рынка </w:t>
            </w:r>
            <w:r w:rsidRPr="00A5626D">
              <w:rPr>
                <w:rFonts w:ascii="Garamond" w:hAnsi="Garamond" w:cstheme="minorHAnsi"/>
                <w:b w:val="0"/>
                <w:highlight w:val="yellow"/>
              </w:rPr>
              <w:t>(кроме Алгоритма расчета величины сальдо перетоков электроэнергии для объекта регулирования)</w:t>
            </w:r>
            <w:r w:rsidRPr="00A5626D">
              <w:rPr>
                <w:rFonts w:ascii="Garamond" w:hAnsi="Garamond" w:cstheme="minorHAnsi"/>
                <w:b w:val="0"/>
              </w:rPr>
              <w:t>;</w:t>
            </w:r>
          </w:p>
          <w:p w14:paraId="7B9BA5E0" w14:textId="77777777" w:rsidR="00295C6D" w:rsidRPr="00A5626D" w:rsidRDefault="00295C6D" w:rsidP="00E31AE6">
            <w:pPr>
              <w:pStyle w:val="2"/>
              <w:numPr>
                <w:ilvl w:val="0"/>
                <w:numId w:val="0"/>
              </w:numPr>
              <w:tabs>
                <w:tab w:val="left" w:pos="1134"/>
                <w:tab w:val="left" w:pos="7938"/>
              </w:tabs>
              <w:suppressAutoHyphens w:val="0"/>
              <w:spacing w:line="22" w:lineRule="atLeast"/>
              <w:ind w:firstLine="629"/>
              <w:jc w:val="both"/>
              <w:rPr>
                <w:rFonts w:ascii="Garamond" w:hAnsi="Garamond" w:cstheme="minorHAnsi"/>
                <w:b w:val="0"/>
              </w:rPr>
            </w:pPr>
            <w:r w:rsidRPr="00A5626D">
              <w:rPr>
                <w:rFonts w:ascii="Garamond" w:hAnsi="Garamond" w:cstheme="minorHAnsi"/>
                <w:b w:val="0"/>
              </w:rPr>
              <w:t>–</w:t>
            </w:r>
            <w:r w:rsidRPr="00A5626D">
              <w:rPr>
                <w:rFonts w:ascii="Garamond" w:hAnsi="Garamond" w:cstheme="minorHAnsi"/>
                <w:b w:val="0"/>
              </w:rPr>
              <w:tab/>
              <w:t xml:space="preserve">раздел с информацией о контрольных значениях расчета учетного показателя в сечении КУ / внутреннем сечении / ГТП генерации </w:t>
            </w:r>
            <w:r w:rsidRPr="00A5626D">
              <w:rPr>
                <w:rFonts w:ascii="Garamond" w:hAnsi="Garamond" w:cstheme="minorHAnsi"/>
                <w:b w:val="0"/>
                <w:highlight w:val="yellow"/>
              </w:rPr>
              <w:t>(для объектов регулирования контрольные значения расчета учетного показателя не указываются)</w:t>
            </w:r>
            <w:r w:rsidRPr="00A5626D">
              <w:rPr>
                <w:rFonts w:ascii="Garamond" w:hAnsi="Garamond" w:cstheme="minorHAnsi"/>
                <w:b w:val="0"/>
              </w:rPr>
              <w:t>. Допускается заполнение указанных значений с использованием результатов измерений. Для вновь вводимого объекта при отсутствии результатов измерений, которые отражают объемы потребленной (произведенной) электрической энергии в выбранные календарные дни, допускается предоставление нулевых значений.</w:t>
            </w:r>
          </w:p>
          <w:p w14:paraId="1D37807B" w14:textId="77777777" w:rsidR="00295C6D" w:rsidRPr="00A5626D" w:rsidRDefault="00295C6D" w:rsidP="00E31AE6">
            <w:pPr>
              <w:pStyle w:val="2"/>
              <w:numPr>
                <w:ilvl w:val="0"/>
                <w:numId w:val="0"/>
              </w:numPr>
              <w:tabs>
                <w:tab w:val="left" w:pos="1134"/>
                <w:tab w:val="left" w:pos="7938"/>
              </w:tabs>
              <w:suppressAutoHyphens w:val="0"/>
              <w:spacing w:line="22" w:lineRule="atLeast"/>
              <w:ind w:firstLine="629"/>
              <w:jc w:val="both"/>
              <w:rPr>
                <w:rFonts w:ascii="Garamond" w:hAnsi="Garamond" w:cstheme="minorHAnsi"/>
                <w:b w:val="0"/>
              </w:rPr>
            </w:pPr>
            <w:r w:rsidRPr="00A5626D">
              <w:rPr>
                <w:rFonts w:ascii="Garamond" w:hAnsi="Garamond" w:cstheme="minorHAnsi"/>
                <w:b w:val="0"/>
              </w:rPr>
              <w:t>Расхождение контрольных значений расчета учетного показателя, полученных смежными субъектами оптового рынка, не является основанием для несогласования ПСИ.</w:t>
            </w:r>
          </w:p>
          <w:p w14:paraId="7548BD21" w14:textId="77777777" w:rsidR="00295C6D" w:rsidRPr="00A5626D" w:rsidRDefault="00295C6D" w:rsidP="008776D8">
            <w:pPr>
              <w:pStyle w:val="2"/>
              <w:numPr>
                <w:ilvl w:val="0"/>
                <w:numId w:val="0"/>
              </w:numPr>
              <w:tabs>
                <w:tab w:val="left" w:pos="1134"/>
                <w:tab w:val="left" w:pos="7938"/>
              </w:tabs>
              <w:suppressAutoHyphens w:val="0"/>
              <w:spacing w:line="22" w:lineRule="atLeast"/>
              <w:ind w:firstLine="629"/>
              <w:jc w:val="both"/>
              <w:rPr>
                <w:rFonts w:ascii="Garamond" w:hAnsi="Garamond" w:cstheme="minorHAnsi"/>
                <w:b w:val="0"/>
              </w:rPr>
            </w:pPr>
            <w:r w:rsidRPr="00A5626D">
              <w:rPr>
                <w:rFonts w:ascii="Garamond" w:hAnsi="Garamond" w:cstheme="minorHAnsi"/>
                <w:b w:val="0"/>
              </w:rPr>
              <w:t xml:space="preserve">Информация, указанная в соответствующих разделах ПСИ, не должна содержать взаимоисключающих положений, а также противоречить данным однолинейной (-ых) схемы (схем) присоединения к внешней электрической сети, предоставленной в рамках соответствующей процедуры согласования ГТП / внесения изменений в регистрационную информацию </w:t>
            </w:r>
            <w:r w:rsidRPr="00A5626D">
              <w:rPr>
                <w:rFonts w:ascii="Garamond" w:hAnsi="Garamond" w:cstheme="minorHAnsi"/>
                <w:b w:val="0"/>
                <w:highlight w:val="yellow"/>
              </w:rPr>
              <w:t>/ регистрации объекта регулирования / внесения изменений в регистрационную информацию по объекту регулирования</w:t>
            </w:r>
            <w:r w:rsidRPr="00A5626D">
              <w:rPr>
                <w:rFonts w:ascii="Garamond" w:hAnsi="Garamond" w:cstheme="minorHAnsi"/>
                <w:b w:val="0"/>
              </w:rPr>
              <w:t xml:space="preserve"> либо </w:t>
            </w:r>
            <w:r w:rsidRPr="00A5626D">
              <w:rPr>
                <w:rFonts w:ascii="Garamond" w:hAnsi="Garamond" w:cstheme="minorHAnsi"/>
                <w:b w:val="0"/>
              </w:rPr>
              <w:lastRenderedPageBreak/>
              <w:t>содержащейся в регистрационном деле по соответствующему действующему составу точек поставки и точек измерений</w:t>
            </w:r>
            <w:r w:rsidRPr="00A5626D">
              <w:rPr>
                <w:rFonts w:ascii="Garamond" w:hAnsi="Garamond" w:cstheme="minorHAnsi"/>
                <w:b w:val="0"/>
                <w:highlight w:val="yellow"/>
              </w:rPr>
              <w:t xml:space="preserve">, </w:t>
            </w:r>
            <w:r w:rsidR="008776D8" w:rsidRPr="00A5626D">
              <w:rPr>
                <w:rFonts w:ascii="Garamond" w:hAnsi="Garamond" w:cstheme="minorHAnsi"/>
                <w:b w:val="0"/>
                <w:highlight w:val="yellow"/>
              </w:rPr>
              <w:t xml:space="preserve">зарегистрированному </w:t>
            </w:r>
            <w:r w:rsidRPr="00A5626D">
              <w:rPr>
                <w:rFonts w:ascii="Garamond" w:hAnsi="Garamond" w:cstheme="minorHAnsi"/>
                <w:b w:val="0"/>
                <w:highlight w:val="yellow"/>
              </w:rPr>
              <w:t>объекту регулирования</w:t>
            </w:r>
            <w:r w:rsidRPr="00A5626D">
              <w:rPr>
                <w:rFonts w:ascii="Garamond" w:hAnsi="Garamond" w:cstheme="minorHAnsi"/>
                <w:b w:val="0"/>
              </w:rPr>
              <w:t>.</w:t>
            </w:r>
          </w:p>
        </w:tc>
      </w:tr>
      <w:tr w:rsidR="00295C6D" w:rsidRPr="00A5626D" w14:paraId="355C9943" w14:textId="77777777" w:rsidTr="00647FA0">
        <w:tc>
          <w:tcPr>
            <w:tcW w:w="1060" w:type="dxa"/>
            <w:vAlign w:val="center"/>
          </w:tcPr>
          <w:p w14:paraId="68300CDA" w14:textId="15D60C64" w:rsidR="00295C6D" w:rsidRPr="00A5626D" w:rsidRDefault="00295C6D" w:rsidP="00E31AE6">
            <w:pPr>
              <w:widowControl w:val="0"/>
              <w:tabs>
                <w:tab w:val="left" w:pos="1134"/>
                <w:tab w:val="left" w:pos="7938"/>
              </w:tabs>
              <w:spacing w:line="22" w:lineRule="atLeast"/>
              <w:jc w:val="both"/>
              <w:rPr>
                <w:rFonts w:ascii="Garamond" w:hAnsi="Garamond"/>
                <w:b/>
                <w:sz w:val="22"/>
                <w:szCs w:val="22"/>
                <w:lang w:eastAsia="en-US"/>
              </w:rPr>
            </w:pPr>
            <w:r w:rsidRPr="00A5626D">
              <w:rPr>
                <w:rFonts w:ascii="Garamond" w:hAnsi="Garamond"/>
                <w:b/>
                <w:sz w:val="22"/>
                <w:szCs w:val="22"/>
                <w:lang w:eastAsia="en-US"/>
              </w:rPr>
              <w:lastRenderedPageBreak/>
              <w:t>Приложение 5, п.</w:t>
            </w:r>
            <w:r w:rsidR="000B3419" w:rsidRPr="00A5626D">
              <w:rPr>
                <w:rFonts w:ascii="Garamond" w:hAnsi="Garamond"/>
                <w:b/>
                <w:sz w:val="22"/>
                <w:szCs w:val="22"/>
                <w:lang w:eastAsia="en-US"/>
              </w:rPr>
              <w:t> </w:t>
            </w:r>
            <w:r w:rsidRPr="00A5626D">
              <w:rPr>
                <w:rFonts w:ascii="Garamond" w:hAnsi="Garamond"/>
                <w:b/>
                <w:sz w:val="22"/>
                <w:szCs w:val="22"/>
                <w:lang w:eastAsia="en-US"/>
              </w:rPr>
              <w:t>1.6</w:t>
            </w:r>
          </w:p>
        </w:tc>
        <w:tc>
          <w:tcPr>
            <w:tcW w:w="6662" w:type="dxa"/>
          </w:tcPr>
          <w:p w14:paraId="1669F725" w14:textId="77777777" w:rsidR="00295C6D" w:rsidRPr="00A5626D" w:rsidRDefault="00295C6D" w:rsidP="00E31AE6">
            <w:pPr>
              <w:pStyle w:val="2"/>
              <w:numPr>
                <w:ilvl w:val="0"/>
                <w:numId w:val="0"/>
              </w:numPr>
              <w:tabs>
                <w:tab w:val="left" w:pos="1134"/>
                <w:tab w:val="left" w:pos="7938"/>
              </w:tabs>
              <w:suppressAutoHyphens w:val="0"/>
              <w:spacing w:line="22" w:lineRule="atLeast"/>
              <w:ind w:firstLine="629"/>
              <w:jc w:val="both"/>
              <w:rPr>
                <w:rFonts w:ascii="Garamond" w:hAnsi="Garamond" w:cstheme="minorHAnsi"/>
                <w:b w:val="0"/>
              </w:rPr>
            </w:pPr>
            <w:r w:rsidRPr="00A5626D">
              <w:rPr>
                <w:rFonts w:ascii="Garamond" w:hAnsi="Garamond" w:cstheme="minorHAnsi"/>
                <w:b w:val="0"/>
              </w:rPr>
              <w:t>Смежные с заявителем участники оптового рынка (ФСК) обязаны согласовать перечни средств измерений для целей коммерческого учета в течение 10 (десяти) рабочих дней с даты их получения от заявителя, в противном случае предоставить заявителю обоснованные причины несоответствия предоставленных ПСИ требованиям настоящего Регламента и Положения о порядке получения статуса субъекта оптового рынка и ведения реестра субъектов оптового рынка (Приложение № 1.1 к Договору о присоединении к торговой системе оптового рынка). В качестве причин несоответствия предоставленных ПСИ требованиям настоящего Регламента и Положения о порядке получения статуса субъекта оптового рынка и ведения реестра субъектов оптового рынка (Приложение № 1.1 к Договору о присоединении к торговой системе оптового рынка) не может быть указано отсутствие в ПСИ информации по закодированным КО за смежным субъектом оптового рынка точкам измерений, которые используются для определения количества электроэнергии в соответствующих точках поставки, и информации по незакодированным точкам измерения, расположенным на электрооборудовании, в отношении которого за смежным субъектом оптового рынка зарегистрированы точки поставки. Обязанность по внесению указанной информации возлагается на смежного субъекта оптового рынка при согласовании ПСИ.</w:t>
            </w:r>
          </w:p>
          <w:p w14:paraId="7A3AF8CA" w14:textId="77777777" w:rsidR="00295C6D" w:rsidRPr="00A5626D" w:rsidRDefault="00295C6D" w:rsidP="00E31AE6">
            <w:pPr>
              <w:pStyle w:val="2"/>
              <w:numPr>
                <w:ilvl w:val="0"/>
                <w:numId w:val="0"/>
              </w:numPr>
              <w:tabs>
                <w:tab w:val="left" w:pos="1134"/>
                <w:tab w:val="left" w:pos="7938"/>
              </w:tabs>
              <w:suppressAutoHyphens w:val="0"/>
              <w:spacing w:line="22" w:lineRule="atLeast"/>
              <w:ind w:firstLine="629"/>
              <w:jc w:val="both"/>
              <w:rPr>
                <w:rFonts w:ascii="Garamond" w:hAnsi="Garamond" w:cstheme="minorHAnsi"/>
                <w:b w:val="0"/>
              </w:rPr>
            </w:pPr>
            <w:r w:rsidRPr="00A5626D">
              <w:rPr>
                <w:rFonts w:ascii="Garamond" w:hAnsi="Garamond" w:cstheme="minorHAnsi"/>
                <w:b w:val="0"/>
              </w:rPr>
              <w:t xml:space="preserve">В случае невозможности согласования ПСИ со смежным субъектом оптового рынка заявитель имеет право обратиться в Конфликтную комиссию при Наблюдательном совете Совета рынка с целью признания такого ПСИ согласованным со смежным субъектом. При этом в тексте обращения в Конфликтную комиссию при Наблюдательном совете Совета рынка заявителю необходимо указать регистрационный номер (id-номер) комплекта документов в ПСЗ, которым ПСИ был направлен на согласование смежному субъекту оптового рынка. </w:t>
            </w:r>
          </w:p>
          <w:p w14:paraId="43675FFC" w14:textId="77777777" w:rsidR="00295C6D" w:rsidRPr="00A5626D" w:rsidRDefault="00295C6D" w:rsidP="00E31AE6">
            <w:pPr>
              <w:pStyle w:val="2"/>
              <w:numPr>
                <w:ilvl w:val="0"/>
                <w:numId w:val="0"/>
              </w:numPr>
              <w:tabs>
                <w:tab w:val="left" w:pos="1134"/>
                <w:tab w:val="left" w:pos="7938"/>
              </w:tabs>
              <w:suppressAutoHyphens w:val="0"/>
              <w:spacing w:line="22" w:lineRule="atLeast"/>
              <w:ind w:firstLine="629"/>
              <w:jc w:val="both"/>
              <w:rPr>
                <w:rFonts w:ascii="Garamond" w:hAnsi="Garamond" w:cstheme="minorHAnsi"/>
                <w:b w:val="0"/>
              </w:rPr>
            </w:pPr>
            <w:r w:rsidRPr="00A5626D">
              <w:rPr>
                <w:rFonts w:ascii="Garamond" w:hAnsi="Garamond" w:cstheme="minorHAnsi"/>
                <w:b w:val="0"/>
              </w:rPr>
              <w:t>Конфликтная комиссия при Наблюдательном совете Совета рынка вправе признать ПСИ согласованным со смежным субъектом оптового рынка при одновременном соблюдении следующих условий:</w:t>
            </w:r>
          </w:p>
          <w:p w14:paraId="6FDA1119" w14:textId="77777777" w:rsidR="00295C6D" w:rsidRPr="00A5626D" w:rsidRDefault="00295C6D" w:rsidP="00E31AE6">
            <w:pPr>
              <w:pStyle w:val="2"/>
              <w:numPr>
                <w:ilvl w:val="0"/>
                <w:numId w:val="0"/>
              </w:numPr>
              <w:tabs>
                <w:tab w:val="left" w:pos="1134"/>
                <w:tab w:val="left" w:pos="7938"/>
              </w:tabs>
              <w:suppressAutoHyphens w:val="0"/>
              <w:spacing w:line="22" w:lineRule="atLeast"/>
              <w:ind w:firstLine="629"/>
              <w:jc w:val="both"/>
              <w:rPr>
                <w:rFonts w:ascii="Garamond" w:hAnsi="Garamond" w:cstheme="minorHAnsi"/>
                <w:b w:val="0"/>
              </w:rPr>
            </w:pPr>
            <w:r w:rsidRPr="00A5626D">
              <w:rPr>
                <w:rFonts w:ascii="Garamond" w:hAnsi="Garamond" w:cstheme="minorHAnsi"/>
                <w:b w:val="0"/>
              </w:rPr>
              <w:t xml:space="preserve">– заявитель является организацией, имеющей намерение </w:t>
            </w:r>
            <w:r w:rsidRPr="00A5626D">
              <w:rPr>
                <w:rFonts w:ascii="Garamond" w:hAnsi="Garamond" w:cstheme="minorHAnsi"/>
                <w:b w:val="0"/>
              </w:rPr>
              <w:lastRenderedPageBreak/>
              <w:t>участвовать в отношениях, связанных с обращением на оптовом рынке электрической энергии;</w:t>
            </w:r>
          </w:p>
          <w:p w14:paraId="1BCEE206" w14:textId="77777777" w:rsidR="00295C6D" w:rsidRPr="00A5626D" w:rsidRDefault="00295C6D" w:rsidP="00E31AE6">
            <w:pPr>
              <w:pStyle w:val="2"/>
              <w:numPr>
                <w:ilvl w:val="0"/>
                <w:numId w:val="0"/>
              </w:numPr>
              <w:tabs>
                <w:tab w:val="left" w:pos="1134"/>
                <w:tab w:val="left" w:pos="7938"/>
              </w:tabs>
              <w:suppressAutoHyphens w:val="0"/>
              <w:spacing w:line="22" w:lineRule="atLeast"/>
              <w:ind w:firstLine="629"/>
              <w:jc w:val="both"/>
              <w:rPr>
                <w:rFonts w:ascii="Garamond" w:hAnsi="Garamond" w:cstheme="minorHAnsi"/>
                <w:b w:val="0"/>
              </w:rPr>
            </w:pPr>
            <w:r w:rsidRPr="00A5626D">
              <w:rPr>
                <w:rFonts w:ascii="Garamond" w:hAnsi="Garamond" w:cstheme="minorHAnsi"/>
                <w:b w:val="0"/>
              </w:rPr>
              <w:t>– в течение 10 (десяти) рабочих дней с даты получения от заявителя ПСИ смежным субъектом оптового рынка этот ПСИ не был им согласован, в том числе если инициатором не был получен от него ответ;</w:t>
            </w:r>
          </w:p>
          <w:p w14:paraId="6AC1B00E" w14:textId="77777777" w:rsidR="00295C6D" w:rsidRPr="00A5626D" w:rsidRDefault="00295C6D" w:rsidP="00E31AE6">
            <w:pPr>
              <w:pStyle w:val="2"/>
              <w:numPr>
                <w:ilvl w:val="0"/>
                <w:numId w:val="0"/>
              </w:numPr>
              <w:tabs>
                <w:tab w:val="left" w:pos="1134"/>
                <w:tab w:val="left" w:pos="7938"/>
              </w:tabs>
              <w:suppressAutoHyphens w:val="0"/>
              <w:spacing w:line="22" w:lineRule="atLeast"/>
              <w:ind w:firstLine="629"/>
              <w:jc w:val="both"/>
              <w:rPr>
                <w:rFonts w:ascii="Garamond" w:hAnsi="Garamond" w:cstheme="minorHAnsi"/>
                <w:b w:val="0"/>
              </w:rPr>
            </w:pPr>
            <w:r w:rsidRPr="00A5626D">
              <w:rPr>
                <w:rFonts w:ascii="Garamond" w:hAnsi="Garamond" w:cstheme="minorHAnsi"/>
                <w:b w:val="0"/>
              </w:rPr>
              <w:t>– заявителем подана жалоба на указанные выше действия (бездействие) смежного субъекта оптового рынка в Конфликтную комиссию при Наблюдательном совете Совета рынка. Ответственность за достоверность информации, содержащейся в ПСИ, несет заявитель;</w:t>
            </w:r>
          </w:p>
          <w:p w14:paraId="238C0BEA" w14:textId="77777777" w:rsidR="00295C6D" w:rsidRPr="00A5626D" w:rsidRDefault="00295C6D" w:rsidP="00E31AE6">
            <w:pPr>
              <w:pStyle w:val="2"/>
              <w:numPr>
                <w:ilvl w:val="0"/>
                <w:numId w:val="0"/>
              </w:numPr>
              <w:tabs>
                <w:tab w:val="left" w:pos="1134"/>
                <w:tab w:val="left" w:pos="7938"/>
              </w:tabs>
              <w:suppressAutoHyphens w:val="0"/>
              <w:spacing w:line="22" w:lineRule="atLeast"/>
              <w:ind w:firstLine="629"/>
              <w:jc w:val="both"/>
              <w:rPr>
                <w:rFonts w:ascii="Garamond" w:hAnsi="Garamond" w:cstheme="minorHAnsi"/>
                <w:b w:val="0"/>
              </w:rPr>
            </w:pPr>
            <w:r w:rsidRPr="00A5626D">
              <w:rPr>
                <w:rFonts w:ascii="Garamond" w:hAnsi="Garamond" w:cstheme="minorHAnsi"/>
                <w:b w:val="0"/>
              </w:rPr>
              <w:t>– Конфликтной комиссией установлен факт нарушения смежным субъектом оптового рынка Правил оптового рынка электрической энергии, выражающийся в препятствовании регистрации ГТП потребления заявителя на оптовом рынке электроэнергии.</w:t>
            </w:r>
          </w:p>
          <w:p w14:paraId="4EB1C907" w14:textId="77777777" w:rsidR="00295C6D" w:rsidRPr="00A5626D" w:rsidRDefault="00295C6D" w:rsidP="00E31AE6">
            <w:pPr>
              <w:pStyle w:val="2"/>
              <w:numPr>
                <w:ilvl w:val="0"/>
                <w:numId w:val="0"/>
              </w:numPr>
              <w:tabs>
                <w:tab w:val="left" w:pos="1134"/>
                <w:tab w:val="left" w:pos="7938"/>
              </w:tabs>
              <w:suppressAutoHyphens w:val="0"/>
              <w:spacing w:line="22" w:lineRule="atLeast"/>
              <w:ind w:firstLine="629"/>
              <w:jc w:val="both"/>
              <w:rPr>
                <w:rFonts w:ascii="Garamond" w:hAnsi="Garamond" w:cstheme="minorHAnsi"/>
                <w:b w:val="0"/>
              </w:rPr>
            </w:pPr>
            <w:r w:rsidRPr="00A5626D">
              <w:rPr>
                <w:rFonts w:ascii="Garamond" w:hAnsi="Garamond" w:cstheme="minorHAnsi"/>
                <w:b w:val="0"/>
              </w:rPr>
              <w:t>При этом при направлении заявителем в адрес КО уведомления о принятии Конфликтной комиссией при Наблюдательном совете Совета рынка решения о признании ПСИ согласованным со смежным субъектом оптового рынка КО в срок не более 2 (двух) рабочих дней направляет соответствующий запрос в Конфликтную комиссию при Наблюдательном совете Совета рынка с целью подтверждения вышеуказанного факта.</w:t>
            </w:r>
          </w:p>
          <w:p w14:paraId="1579F427" w14:textId="77777777" w:rsidR="00295C6D" w:rsidRPr="00A5626D" w:rsidRDefault="00295C6D" w:rsidP="00E31AE6">
            <w:pPr>
              <w:pStyle w:val="2"/>
              <w:numPr>
                <w:ilvl w:val="0"/>
                <w:numId w:val="0"/>
              </w:numPr>
              <w:tabs>
                <w:tab w:val="left" w:pos="1134"/>
                <w:tab w:val="left" w:pos="7938"/>
              </w:tabs>
              <w:suppressAutoHyphens w:val="0"/>
              <w:spacing w:line="22" w:lineRule="atLeast"/>
              <w:ind w:firstLine="629"/>
              <w:jc w:val="both"/>
              <w:rPr>
                <w:rFonts w:ascii="Garamond" w:hAnsi="Garamond" w:cstheme="minorHAnsi"/>
                <w:b w:val="0"/>
              </w:rPr>
            </w:pPr>
            <w:r w:rsidRPr="00A5626D">
              <w:rPr>
                <w:rFonts w:ascii="Garamond" w:hAnsi="Garamond" w:cstheme="minorHAnsi"/>
                <w:b w:val="0"/>
              </w:rPr>
              <w:t>Конфликтная комиссия при Наблюдательном совете Совета рынка в срок не более 5 (пяти) рабочих дней направляет в адрес КО соответствующий ответ на запрос.</w:t>
            </w:r>
          </w:p>
          <w:p w14:paraId="02983125" w14:textId="77777777" w:rsidR="00295C6D" w:rsidRPr="00A5626D" w:rsidRDefault="00295C6D" w:rsidP="00E31AE6">
            <w:pPr>
              <w:pStyle w:val="2"/>
              <w:numPr>
                <w:ilvl w:val="0"/>
                <w:numId w:val="0"/>
              </w:numPr>
              <w:tabs>
                <w:tab w:val="left" w:pos="1134"/>
                <w:tab w:val="left" w:pos="7938"/>
              </w:tabs>
              <w:suppressAutoHyphens w:val="0"/>
              <w:spacing w:line="22" w:lineRule="atLeast"/>
              <w:ind w:firstLine="629"/>
              <w:jc w:val="both"/>
              <w:rPr>
                <w:rFonts w:ascii="Garamond" w:hAnsi="Garamond" w:cstheme="minorHAnsi"/>
                <w:b w:val="0"/>
              </w:rPr>
            </w:pPr>
            <w:r w:rsidRPr="00A5626D">
              <w:rPr>
                <w:rFonts w:ascii="Garamond" w:hAnsi="Garamond" w:cstheme="minorHAnsi"/>
                <w:b w:val="0"/>
              </w:rPr>
              <w:t>В случае подтверждения Конфликтной комиссией при Наблюдательном совете Совета рынка факта принятия решения о признании ПСИ по заявляемому сечению коммерческого учета согласованным со смежным субъектом оптового рынка, КО в срок не более 3 (трех) рабочих дней загружает в ПАК КО ПСИ и направляет в адрес заявителя ответную квитанцию в формате XML (макет 60001) с положительным результатом приема ПСИ (макет 60000) в ПАК КО.</w:t>
            </w:r>
          </w:p>
          <w:p w14:paraId="23A21C07" w14:textId="77777777" w:rsidR="00295C6D" w:rsidRPr="00A5626D" w:rsidRDefault="00295C6D" w:rsidP="00E31AE6">
            <w:pPr>
              <w:pStyle w:val="2"/>
              <w:numPr>
                <w:ilvl w:val="0"/>
                <w:numId w:val="0"/>
              </w:numPr>
              <w:tabs>
                <w:tab w:val="left" w:pos="1134"/>
                <w:tab w:val="left" w:pos="7938"/>
              </w:tabs>
              <w:suppressAutoHyphens w:val="0"/>
              <w:spacing w:line="22" w:lineRule="atLeast"/>
              <w:ind w:firstLine="629"/>
              <w:jc w:val="both"/>
              <w:rPr>
                <w:rFonts w:ascii="Garamond" w:hAnsi="Garamond" w:cstheme="minorHAnsi"/>
                <w:b w:val="0"/>
              </w:rPr>
            </w:pPr>
            <w:r w:rsidRPr="00A5626D">
              <w:rPr>
                <w:rFonts w:ascii="Garamond" w:hAnsi="Garamond" w:cstheme="minorHAnsi"/>
                <w:b w:val="0"/>
              </w:rPr>
              <w:t>В случае невозможности загрузки ПСИ (макет 60000) в ПАК КО заявителю направляется ответная квитанция в формате XML (макет 60001) с отрицательным результатом приема ПСИ (макет 60000) в ПАК КО. В этом случае заявителю необходимо повторно инициировать процедуру согласования ПСИ (макет 60000) со смежным субъектом оптового рынка.</w:t>
            </w:r>
          </w:p>
          <w:p w14:paraId="1D1A0C3E" w14:textId="77777777" w:rsidR="00295C6D" w:rsidRPr="00A5626D" w:rsidRDefault="00295C6D" w:rsidP="00E31AE6">
            <w:pPr>
              <w:pStyle w:val="2"/>
              <w:numPr>
                <w:ilvl w:val="0"/>
                <w:numId w:val="0"/>
              </w:numPr>
              <w:tabs>
                <w:tab w:val="left" w:pos="1134"/>
                <w:tab w:val="left" w:pos="7938"/>
              </w:tabs>
              <w:suppressAutoHyphens w:val="0"/>
              <w:spacing w:line="22" w:lineRule="atLeast"/>
              <w:ind w:firstLine="629"/>
              <w:jc w:val="both"/>
              <w:rPr>
                <w:rFonts w:ascii="Garamond" w:hAnsi="Garamond" w:cstheme="minorHAnsi"/>
                <w:b w:val="0"/>
              </w:rPr>
            </w:pPr>
            <w:r w:rsidRPr="00A5626D">
              <w:rPr>
                <w:rFonts w:ascii="Garamond" w:hAnsi="Garamond" w:cstheme="minorHAnsi"/>
                <w:b w:val="0"/>
              </w:rPr>
              <w:lastRenderedPageBreak/>
              <w:t xml:space="preserve">В случае неподтверждения Конфликтной комиссией при Наблюдательном совете Совета рынка факта принятия решения о признании ПСИ согласованным со смежным субъектом оптового рынка, КО в срок не более 3 (трех) рабочих дней направляет в адрес заявителя соответствующее уведомление (уведомление направляется на бумажном носителе).  </w:t>
            </w:r>
          </w:p>
        </w:tc>
        <w:tc>
          <w:tcPr>
            <w:tcW w:w="7088" w:type="dxa"/>
          </w:tcPr>
          <w:p w14:paraId="0B546CE2" w14:textId="77777777" w:rsidR="00295C6D" w:rsidRPr="00A5626D" w:rsidRDefault="00295C6D" w:rsidP="00E31AE6">
            <w:pPr>
              <w:pStyle w:val="2"/>
              <w:numPr>
                <w:ilvl w:val="0"/>
                <w:numId w:val="0"/>
              </w:numPr>
              <w:tabs>
                <w:tab w:val="left" w:pos="1134"/>
                <w:tab w:val="left" w:pos="7938"/>
              </w:tabs>
              <w:suppressAutoHyphens w:val="0"/>
              <w:spacing w:line="22" w:lineRule="atLeast"/>
              <w:ind w:firstLine="629"/>
              <w:jc w:val="both"/>
              <w:rPr>
                <w:rFonts w:ascii="Garamond" w:hAnsi="Garamond" w:cstheme="minorHAnsi"/>
                <w:b w:val="0"/>
              </w:rPr>
            </w:pPr>
            <w:r w:rsidRPr="00A5626D">
              <w:rPr>
                <w:rFonts w:ascii="Garamond" w:hAnsi="Garamond" w:cstheme="minorHAnsi"/>
                <w:b w:val="0"/>
              </w:rPr>
              <w:lastRenderedPageBreak/>
              <w:t>Смежные с заявителем участники оптового рынка (ФСК)</w:t>
            </w:r>
            <w:r w:rsidRPr="00A5626D">
              <w:rPr>
                <w:rFonts w:ascii="Garamond" w:hAnsi="Garamond" w:cstheme="minorHAnsi"/>
                <w:b w:val="0"/>
                <w:highlight w:val="yellow"/>
              </w:rPr>
              <w:t>, владельцы ГТП</w:t>
            </w:r>
            <w:r w:rsidRPr="00A5626D">
              <w:rPr>
                <w:rFonts w:ascii="Garamond" w:hAnsi="Garamond" w:cstheme="minorHAnsi"/>
                <w:b w:val="0"/>
              </w:rPr>
              <w:t xml:space="preserve"> обязаны согласовать перечни средств измерений для целей коммерческого учета в течение 10 (десяти) рабочих дней с даты их получения от заявителя, в противном случае предоставить заявителю обоснованные причины несоответствия предоставленных ПСИ требованиям настоящего Регламента</w:t>
            </w:r>
            <w:r w:rsidRPr="00A5626D">
              <w:rPr>
                <w:rFonts w:ascii="Garamond" w:hAnsi="Garamond" w:cstheme="minorHAnsi"/>
                <w:b w:val="0"/>
                <w:highlight w:val="yellow"/>
              </w:rPr>
              <w:t>,</w:t>
            </w:r>
            <w:r w:rsidRPr="00A5626D">
              <w:rPr>
                <w:rFonts w:ascii="Garamond" w:hAnsi="Garamond" w:cstheme="minorHAnsi"/>
                <w:b w:val="0"/>
              </w:rPr>
              <w:t xml:space="preserve"> </w:t>
            </w:r>
            <w:r w:rsidRPr="00A5626D">
              <w:rPr>
                <w:rFonts w:ascii="Garamond" w:hAnsi="Garamond" w:cstheme="minorHAnsi"/>
                <w:b w:val="0"/>
                <w:i/>
              </w:rPr>
              <w:t>Положения о порядке получения статуса субъекта оптового рынка и ведения реестра субъектов оптового рынка</w:t>
            </w:r>
            <w:r w:rsidRPr="00A5626D">
              <w:rPr>
                <w:rFonts w:ascii="Garamond" w:hAnsi="Garamond" w:cstheme="minorHAnsi"/>
                <w:b w:val="0"/>
              </w:rPr>
              <w:t xml:space="preserve"> (Приложение № 1.1 к </w:t>
            </w:r>
            <w:r w:rsidRPr="00A5626D">
              <w:rPr>
                <w:rFonts w:ascii="Garamond" w:hAnsi="Garamond" w:cstheme="minorHAnsi"/>
                <w:b w:val="0"/>
                <w:i/>
              </w:rPr>
              <w:t>Договору о присоединении к торговой системе оптового рынка</w:t>
            </w:r>
            <w:r w:rsidRPr="00A5626D">
              <w:rPr>
                <w:rFonts w:ascii="Garamond" w:hAnsi="Garamond" w:cstheme="minorHAnsi"/>
                <w:b w:val="0"/>
              </w:rPr>
              <w:t>).</w:t>
            </w:r>
          </w:p>
          <w:p w14:paraId="40E1E315" w14:textId="77777777" w:rsidR="00295C6D" w:rsidRPr="00A5626D" w:rsidRDefault="00295C6D" w:rsidP="00E31AE6">
            <w:pPr>
              <w:pStyle w:val="2"/>
              <w:numPr>
                <w:ilvl w:val="0"/>
                <w:numId w:val="0"/>
              </w:numPr>
              <w:tabs>
                <w:tab w:val="left" w:pos="1134"/>
                <w:tab w:val="left" w:pos="7938"/>
              </w:tabs>
              <w:suppressAutoHyphens w:val="0"/>
              <w:spacing w:line="22" w:lineRule="atLeast"/>
              <w:ind w:firstLine="629"/>
              <w:jc w:val="both"/>
              <w:rPr>
                <w:rFonts w:ascii="Garamond" w:hAnsi="Garamond" w:cstheme="minorHAnsi"/>
                <w:b w:val="0"/>
              </w:rPr>
            </w:pPr>
            <w:r w:rsidRPr="00A5626D">
              <w:rPr>
                <w:rFonts w:ascii="Garamond" w:hAnsi="Garamond" w:cstheme="minorHAnsi"/>
                <w:b w:val="0"/>
              </w:rPr>
              <w:t>В качестве причин несоответствия предоставленных ПСИ</w:t>
            </w:r>
            <w:r w:rsidRPr="00A5626D">
              <w:rPr>
                <w:rFonts w:ascii="Garamond" w:hAnsi="Garamond" w:cstheme="minorHAnsi"/>
                <w:b w:val="0"/>
                <w:highlight w:val="yellow"/>
              </w:rPr>
              <w:t>, сформированных в отношении сечений коммерческого учета,</w:t>
            </w:r>
            <w:r w:rsidRPr="00A5626D">
              <w:rPr>
                <w:rFonts w:ascii="Garamond" w:hAnsi="Garamond" w:cstheme="minorHAnsi"/>
                <w:b w:val="0"/>
              </w:rPr>
              <w:t xml:space="preserve"> требованиям настоящего Регламента и </w:t>
            </w:r>
            <w:r w:rsidRPr="00A5626D">
              <w:rPr>
                <w:rFonts w:ascii="Garamond" w:hAnsi="Garamond" w:cstheme="minorHAnsi"/>
                <w:b w:val="0"/>
                <w:i/>
              </w:rPr>
              <w:t>Положения о порядке получения статуса субъекта оптового рынка и ведения реестра субъектов оптового рынка</w:t>
            </w:r>
            <w:r w:rsidRPr="00A5626D">
              <w:rPr>
                <w:rFonts w:ascii="Garamond" w:hAnsi="Garamond" w:cstheme="minorHAnsi"/>
                <w:b w:val="0"/>
              </w:rPr>
              <w:t xml:space="preserve"> (Приложение № 1.1 к </w:t>
            </w:r>
            <w:r w:rsidRPr="00A5626D">
              <w:rPr>
                <w:rFonts w:ascii="Garamond" w:hAnsi="Garamond" w:cstheme="minorHAnsi"/>
                <w:b w:val="0"/>
                <w:i/>
              </w:rPr>
              <w:t>Договору о присоединении к торговой системе оптового рынка</w:t>
            </w:r>
            <w:r w:rsidRPr="00A5626D">
              <w:rPr>
                <w:rFonts w:ascii="Garamond" w:hAnsi="Garamond" w:cstheme="minorHAnsi"/>
                <w:b w:val="0"/>
              </w:rPr>
              <w:t>) не может быть указано отсутствие в ПСИ информации по закодированным КО за смежным субъектом оптового рынка точкам измерений, которые используются для определения количества электроэнергии в соответствующих точках поставки, и информации по незакодированным точкам измерения, расположенным на электрооборудовании, в отношении которого за смежным субъектом оптового рынка зарегистрированы точки поставки. Обязанность по внесению указанной информации возлагается на смежного субъекта оптового рынка при согласовании ПСИ.</w:t>
            </w:r>
          </w:p>
          <w:p w14:paraId="34D17352" w14:textId="694D209C" w:rsidR="00295C6D" w:rsidRPr="00A5626D" w:rsidRDefault="00295C6D" w:rsidP="00E31AE6">
            <w:pPr>
              <w:pStyle w:val="2"/>
              <w:numPr>
                <w:ilvl w:val="0"/>
                <w:numId w:val="0"/>
              </w:numPr>
              <w:tabs>
                <w:tab w:val="left" w:pos="1134"/>
                <w:tab w:val="left" w:pos="7938"/>
              </w:tabs>
              <w:suppressAutoHyphens w:val="0"/>
              <w:spacing w:line="22" w:lineRule="atLeast"/>
              <w:ind w:firstLine="629"/>
              <w:jc w:val="both"/>
              <w:rPr>
                <w:rFonts w:ascii="Garamond" w:hAnsi="Garamond" w:cstheme="minorHAnsi"/>
                <w:b w:val="0"/>
              </w:rPr>
            </w:pPr>
            <w:r w:rsidRPr="00A5626D">
              <w:rPr>
                <w:rFonts w:ascii="Garamond" w:hAnsi="Garamond" w:cstheme="minorHAnsi"/>
                <w:b w:val="0"/>
                <w:highlight w:val="yellow"/>
              </w:rPr>
              <w:t xml:space="preserve">В случае формирования ПСИ в отношении объекта регулирования в указанный ПСИ </w:t>
            </w:r>
            <w:r w:rsidR="007174F5" w:rsidRPr="00A5626D">
              <w:rPr>
                <w:rFonts w:ascii="Garamond" w:hAnsi="Garamond" w:cstheme="minorHAnsi"/>
                <w:b w:val="0"/>
                <w:highlight w:val="yellow"/>
              </w:rPr>
              <w:t xml:space="preserve">могут включаться только </w:t>
            </w:r>
            <w:r w:rsidRPr="00A5626D">
              <w:rPr>
                <w:rFonts w:ascii="Garamond" w:hAnsi="Garamond" w:cstheme="minorHAnsi"/>
                <w:b w:val="0"/>
                <w:highlight w:val="yellow"/>
              </w:rPr>
              <w:t>точки измерений, в которых установлены приборы учета, являющиеся в соответствии с Основными положениями функционирования розничных рынков электрической энергии (утв. постановлением Правительства Р</w:t>
            </w:r>
            <w:r w:rsidR="00ED21EC">
              <w:rPr>
                <w:rFonts w:ascii="Garamond" w:hAnsi="Garamond" w:cstheme="minorHAnsi"/>
                <w:b w:val="0"/>
                <w:highlight w:val="yellow"/>
              </w:rPr>
              <w:t xml:space="preserve">оссийской </w:t>
            </w:r>
            <w:r w:rsidRPr="00A5626D">
              <w:rPr>
                <w:rFonts w:ascii="Garamond" w:hAnsi="Garamond" w:cstheme="minorHAnsi"/>
                <w:b w:val="0"/>
                <w:highlight w:val="yellow"/>
              </w:rPr>
              <w:t>Ф</w:t>
            </w:r>
            <w:r w:rsidR="00ED21EC">
              <w:rPr>
                <w:rFonts w:ascii="Garamond" w:hAnsi="Garamond" w:cstheme="minorHAnsi"/>
                <w:b w:val="0"/>
                <w:highlight w:val="yellow"/>
              </w:rPr>
              <w:t>едерации</w:t>
            </w:r>
            <w:r w:rsidRPr="00A5626D">
              <w:rPr>
                <w:rFonts w:ascii="Garamond" w:hAnsi="Garamond" w:cstheme="minorHAnsi"/>
                <w:b w:val="0"/>
                <w:highlight w:val="yellow"/>
              </w:rPr>
              <w:t xml:space="preserve"> от 04.05.2012 № 442) расчетными или контрольными по соответствующим договорам энергоснабжения (купли-продажи электрической энергии) и введенными (допущенными) в эксплуатацию в порядке, установленном вышеуказанным постановлением Правительства </w:t>
            </w:r>
            <w:r w:rsidR="00ED21EC" w:rsidRPr="00A5626D">
              <w:rPr>
                <w:rFonts w:ascii="Garamond" w:hAnsi="Garamond" w:cstheme="minorHAnsi"/>
                <w:b w:val="0"/>
                <w:highlight w:val="yellow"/>
              </w:rPr>
              <w:t>Р</w:t>
            </w:r>
            <w:r w:rsidR="00ED21EC">
              <w:rPr>
                <w:rFonts w:ascii="Garamond" w:hAnsi="Garamond" w:cstheme="minorHAnsi"/>
                <w:b w:val="0"/>
                <w:highlight w:val="yellow"/>
              </w:rPr>
              <w:t xml:space="preserve">оссийской </w:t>
            </w:r>
            <w:r w:rsidR="00ED21EC" w:rsidRPr="00A5626D">
              <w:rPr>
                <w:rFonts w:ascii="Garamond" w:hAnsi="Garamond" w:cstheme="minorHAnsi"/>
                <w:b w:val="0"/>
                <w:highlight w:val="yellow"/>
              </w:rPr>
              <w:t>Ф</w:t>
            </w:r>
            <w:r w:rsidR="00ED21EC">
              <w:rPr>
                <w:rFonts w:ascii="Garamond" w:hAnsi="Garamond" w:cstheme="minorHAnsi"/>
                <w:b w:val="0"/>
                <w:highlight w:val="yellow"/>
              </w:rPr>
              <w:t>едерации</w:t>
            </w:r>
            <w:r w:rsidRPr="00A5626D">
              <w:rPr>
                <w:rFonts w:ascii="Garamond" w:hAnsi="Garamond" w:cstheme="minorHAnsi"/>
                <w:b w:val="0"/>
                <w:highlight w:val="yellow"/>
              </w:rPr>
              <w:t>.</w:t>
            </w:r>
            <w:r w:rsidR="00BE7DFC" w:rsidRPr="00A5626D">
              <w:rPr>
                <w:rFonts w:ascii="Garamond" w:hAnsi="Garamond" w:cstheme="minorHAnsi"/>
                <w:b w:val="0"/>
                <w:highlight w:val="yellow"/>
              </w:rPr>
              <w:t xml:space="preserve"> Проверку выполнения </w:t>
            </w:r>
            <w:r w:rsidR="00201A2B" w:rsidRPr="00A5626D">
              <w:rPr>
                <w:rFonts w:ascii="Garamond" w:hAnsi="Garamond" w:cstheme="minorHAnsi"/>
                <w:b w:val="0"/>
                <w:highlight w:val="yellow"/>
              </w:rPr>
              <w:t xml:space="preserve">агрегатором </w:t>
            </w:r>
            <w:r w:rsidR="00BE7DFC" w:rsidRPr="00A5626D">
              <w:rPr>
                <w:rFonts w:ascii="Garamond" w:hAnsi="Garamond" w:cstheme="minorHAnsi"/>
                <w:b w:val="0"/>
                <w:highlight w:val="yellow"/>
              </w:rPr>
              <w:t>указанной обязанности осуществляет владелец ГТП</w:t>
            </w:r>
            <w:r w:rsidR="00201A2B" w:rsidRPr="00A5626D">
              <w:rPr>
                <w:rFonts w:ascii="Garamond" w:hAnsi="Garamond" w:cstheme="minorHAnsi"/>
                <w:b w:val="0"/>
                <w:highlight w:val="yellow"/>
              </w:rPr>
              <w:t xml:space="preserve"> при согласовании ПСИ, направленного таким агрегатором.</w:t>
            </w:r>
          </w:p>
          <w:p w14:paraId="6241F0B2" w14:textId="77777777" w:rsidR="00295C6D" w:rsidRPr="00A5626D" w:rsidRDefault="00295C6D" w:rsidP="00E31AE6">
            <w:pPr>
              <w:pStyle w:val="2"/>
              <w:numPr>
                <w:ilvl w:val="0"/>
                <w:numId w:val="0"/>
              </w:numPr>
              <w:tabs>
                <w:tab w:val="left" w:pos="1134"/>
                <w:tab w:val="left" w:pos="7938"/>
              </w:tabs>
              <w:suppressAutoHyphens w:val="0"/>
              <w:spacing w:line="22" w:lineRule="atLeast"/>
              <w:ind w:firstLine="629"/>
              <w:jc w:val="both"/>
              <w:rPr>
                <w:rFonts w:ascii="Garamond" w:hAnsi="Garamond" w:cstheme="minorHAnsi"/>
                <w:b w:val="0"/>
              </w:rPr>
            </w:pPr>
            <w:r w:rsidRPr="00A5626D">
              <w:rPr>
                <w:rFonts w:ascii="Garamond" w:hAnsi="Garamond" w:cstheme="minorHAnsi"/>
                <w:b w:val="0"/>
              </w:rPr>
              <w:t>В случае невозможности согласования ПСИ со смежным субъектом оптового рынка</w:t>
            </w:r>
            <w:r w:rsidRPr="00A5626D">
              <w:rPr>
                <w:rFonts w:ascii="Garamond" w:hAnsi="Garamond" w:cstheme="minorHAnsi"/>
                <w:b w:val="0"/>
                <w:highlight w:val="yellow"/>
              </w:rPr>
              <w:t>, владельцем ГТП</w:t>
            </w:r>
            <w:r w:rsidRPr="00A5626D">
              <w:rPr>
                <w:rFonts w:ascii="Garamond" w:hAnsi="Garamond" w:cstheme="minorHAnsi"/>
                <w:b w:val="0"/>
              </w:rPr>
              <w:t xml:space="preserve"> заявитель имеет право обратиться в Конфликтную комиссию при Наблюдательном совете Совета рынка с </w:t>
            </w:r>
            <w:r w:rsidRPr="00A5626D">
              <w:rPr>
                <w:rFonts w:ascii="Garamond" w:hAnsi="Garamond" w:cstheme="minorHAnsi"/>
                <w:b w:val="0"/>
              </w:rPr>
              <w:lastRenderedPageBreak/>
              <w:t>целью признания такого ПСИ согласованным со смежным субъектом</w:t>
            </w:r>
            <w:r w:rsidRPr="00A5626D">
              <w:rPr>
                <w:rFonts w:ascii="Garamond" w:hAnsi="Garamond" w:cstheme="minorHAnsi"/>
                <w:b w:val="0"/>
                <w:highlight w:val="yellow"/>
              </w:rPr>
              <w:t>, владельцем ГТП</w:t>
            </w:r>
            <w:r w:rsidRPr="00A5626D">
              <w:rPr>
                <w:rFonts w:ascii="Garamond" w:hAnsi="Garamond" w:cstheme="minorHAnsi"/>
                <w:b w:val="0"/>
              </w:rPr>
              <w:t>. При этом в тексте обращения в Конфликтную комиссию при Наблюдательном совете Совета рынка заявителю необходимо указать регистрационный номер (id-номер) комплекта документов в ПСЗ, которым ПСИ был направлен на согласование смежному субъекту оптового рынка</w:t>
            </w:r>
            <w:r w:rsidRPr="00A5626D">
              <w:rPr>
                <w:rFonts w:ascii="Garamond" w:hAnsi="Garamond" w:cstheme="minorHAnsi"/>
                <w:b w:val="0"/>
                <w:highlight w:val="yellow"/>
              </w:rPr>
              <w:t>, владельцу ГТП</w:t>
            </w:r>
            <w:r w:rsidRPr="00A5626D">
              <w:rPr>
                <w:rFonts w:ascii="Garamond" w:hAnsi="Garamond" w:cstheme="minorHAnsi"/>
                <w:b w:val="0"/>
              </w:rPr>
              <w:t xml:space="preserve">. </w:t>
            </w:r>
          </w:p>
          <w:p w14:paraId="16BBC9B0" w14:textId="77777777" w:rsidR="00295C6D" w:rsidRPr="00A5626D" w:rsidRDefault="00295C6D" w:rsidP="00E31AE6">
            <w:pPr>
              <w:pStyle w:val="2"/>
              <w:numPr>
                <w:ilvl w:val="0"/>
                <w:numId w:val="0"/>
              </w:numPr>
              <w:tabs>
                <w:tab w:val="left" w:pos="1134"/>
                <w:tab w:val="left" w:pos="7938"/>
              </w:tabs>
              <w:suppressAutoHyphens w:val="0"/>
              <w:spacing w:line="22" w:lineRule="atLeast"/>
              <w:ind w:firstLine="629"/>
              <w:jc w:val="both"/>
              <w:rPr>
                <w:rFonts w:ascii="Garamond" w:hAnsi="Garamond" w:cstheme="minorHAnsi"/>
                <w:b w:val="0"/>
              </w:rPr>
            </w:pPr>
            <w:r w:rsidRPr="00A5626D">
              <w:rPr>
                <w:rFonts w:ascii="Garamond" w:hAnsi="Garamond" w:cstheme="minorHAnsi"/>
                <w:b w:val="0"/>
              </w:rPr>
              <w:t>Конфликтная комиссия при Наблюдательном совете Совета рынка вправе признать ПСИ согласованным со смежным субъектом оптового рынка</w:t>
            </w:r>
            <w:r w:rsidRPr="00A5626D">
              <w:rPr>
                <w:rFonts w:ascii="Garamond" w:hAnsi="Garamond" w:cstheme="minorHAnsi"/>
                <w:b w:val="0"/>
                <w:highlight w:val="yellow"/>
              </w:rPr>
              <w:t>, владельцем ГТП</w:t>
            </w:r>
            <w:r w:rsidRPr="00A5626D">
              <w:rPr>
                <w:rFonts w:ascii="Garamond" w:hAnsi="Garamond" w:cstheme="minorHAnsi"/>
                <w:b w:val="0"/>
              </w:rPr>
              <w:t xml:space="preserve"> при одновременном соблюдении следующих условий:</w:t>
            </w:r>
          </w:p>
          <w:p w14:paraId="3D35236E" w14:textId="7F36AFDC" w:rsidR="00295C6D" w:rsidRPr="00A5626D" w:rsidRDefault="00295C6D" w:rsidP="00E31AE6">
            <w:pPr>
              <w:pStyle w:val="2"/>
              <w:numPr>
                <w:ilvl w:val="0"/>
                <w:numId w:val="0"/>
              </w:numPr>
              <w:tabs>
                <w:tab w:val="left" w:pos="1134"/>
                <w:tab w:val="left" w:pos="7938"/>
              </w:tabs>
              <w:suppressAutoHyphens w:val="0"/>
              <w:spacing w:line="22" w:lineRule="atLeast"/>
              <w:ind w:firstLine="629"/>
              <w:jc w:val="both"/>
              <w:rPr>
                <w:rFonts w:ascii="Garamond" w:hAnsi="Garamond" w:cstheme="minorHAnsi"/>
                <w:b w:val="0"/>
              </w:rPr>
            </w:pPr>
            <w:r w:rsidRPr="00A5626D">
              <w:rPr>
                <w:rFonts w:ascii="Garamond" w:hAnsi="Garamond" w:cstheme="minorHAnsi"/>
                <w:b w:val="0"/>
              </w:rPr>
              <w:t>– заявитель является организацией, имеющей намерение участвовать в отношениях, связанных с обращением на оптовом рынке электрической энергии</w:t>
            </w:r>
            <w:r w:rsidRPr="00A5626D">
              <w:rPr>
                <w:rFonts w:ascii="Garamond" w:hAnsi="Garamond" w:cstheme="minorHAnsi"/>
                <w:b w:val="0"/>
                <w:highlight w:val="yellow"/>
              </w:rPr>
              <w:t xml:space="preserve"> или оказанием услуг по управлению изменением режима потребления электрической энергии</w:t>
            </w:r>
            <w:r w:rsidRPr="00A5626D">
              <w:rPr>
                <w:rFonts w:ascii="Garamond" w:hAnsi="Garamond" w:cstheme="minorHAnsi"/>
                <w:b w:val="0"/>
              </w:rPr>
              <w:t>;</w:t>
            </w:r>
          </w:p>
          <w:p w14:paraId="3A9CF92B" w14:textId="77777777" w:rsidR="00295C6D" w:rsidRPr="00A5626D" w:rsidRDefault="00295C6D" w:rsidP="00E31AE6">
            <w:pPr>
              <w:pStyle w:val="2"/>
              <w:numPr>
                <w:ilvl w:val="0"/>
                <w:numId w:val="0"/>
              </w:numPr>
              <w:tabs>
                <w:tab w:val="left" w:pos="1134"/>
                <w:tab w:val="left" w:pos="7938"/>
              </w:tabs>
              <w:suppressAutoHyphens w:val="0"/>
              <w:spacing w:line="22" w:lineRule="atLeast"/>
              <w:ind w:firstLine="629"/>
              <w:jc w:val="both"/>
              <w:rPr>
                <w:rFonts w:ascii="Garamond" w:hAnsi="Garamond" w:cstheme="minorHAnsi"/>
                <w:b w:val="0"/>
              </w:rPr>
            </w:pPr>
            <w:r w:rsidRPr="00A5626D">
              <w:rPr>
                <w:rFonts w:ascii="Garamond" w:hAnsi="Garamond" w:cstheme="minorHAnsi"/>
                <w:b w:val="0"/>
              </w:rPr>
              <w:t>– в течение 10 (десяти) рабочих дней с даты получения от заявителя ПСИ смежным субъектом оптового рынка</w:t>
            </w:r>
            <w:r w:rsidRPr="00A5626D">
              <w:rPr>
                <w:rFonts w:ascii="Garamond" w:hAnsi="Garamond" w:cstheme="minorHAnsi"/>
                <w:b w:val="0"/>
                <w:highlight w:val="yellow"/>
              </w:rPr>
              <w:t>, владельцем ГТП</w:t>
            </w:r>
            <w:r w:rsidRPr="00A5626D">
              <w:rPr>
                <w:rFonts w:ascii="Garamond" w:hAnsi="Garamond" w:cstheme="minorHAnsi"/>
                <w:b w:val="0"/>
              </w:rPr>
              <w:t xml:space="preserve"> этот ПСИ не был им согласован, в том числе если инициатором не был получен от него ответ;</w:t>
            </w:r>
          </w:p>
          <w:p w14:paraId="330FC807" w14:textId="77777777" w:rsidR="00295C6D" w:rsidRPr="00A5626D" w:rsidRDefault="00295C6D" w:rsidP="00E31AE6">
            <w:pPr>
              <w:pStyle w:val="2"/>
              <w:numPr>
                <w:ilvl w:val="0"/>
                <w:numId w:val="0"/>
              </w:numPr>
              <w:tabs>
                <w:tab w:val="left" w:pos="1134"/>
                <w:tab w:val="left" w:pos="7938"/>
              </w:tabs>
              <w:suppressAutoHyphens w:val="0"/>
              <w:spacing w:line="22" w:lineRule="atLeast"/>
              <w:ind w:firstLine="629"/>
              <w:jc w:val="both"/>
              <w:rPr>
                <w:rFonts w:ascii="Garamond" w:hAnsi="Garamond" w:cstheme="minorHAnsi"/>
                <w:b w:val="0"/>
              </w:rPr>
            </w:pPr>
            <w:r w:rsidRPr="00A5626D">
              <w:rPr>
                <w:rFonts w:ascii="Garamond" w:hAnsi="Garamond" w:cstheme="minorHAnsi"/>
                <w:b w:val="0"/>
              </w:rPr>
              <w:t>– заявителем подана жалоба на указанные выше действия (бездействие) смежного субъекта оптового рынка</w:t>
            </w:r>
            <w:r w:rsidRPr="00A5626D">
              <w:rPr>
                <w:rFonts w:ascii="Garamond" w:hAnsi="Garamond" w:cstheme="minorHAnsi"/>
                <w:b w:val="0"/>
                <w:highlight w:val="yellow"/>
              </w:rPr>
              <w:t>, владельца ГТП</w:t>
            </w:r>
            <w:r w:rsidRPr="00A5626D">
              <w:rPr>
                <w:rFonts w:ascii="Garamond" w:hAnsi="Garamond" w:cstheme="minorHAnsi"/>
                <w:b w:val="0"/>
              </w:rPr>
              <w:t xml:space="preserve"> в Конфликтную комиссию при Наблюдательном совете Совета рынка. Ответственность за достоверность информации, содержащейся в ПСИ, несет заявитель;</w:t>
            </w:r>
          </w:p>
          <w:p w14:paraId="7F799379" w14:textId="77777777" w:rsidR="00295C6D" w:rsidRPr="00A5626D" w:rsidRDefault="00295C6D" w:rsidP="00E31AE6">
            <w:pPr>
              <w:pStyle w:val="2"/>
              <w:numPr>
                <w:ilvl w:val="0"/>
                <w:numId w:val="0"/>
              </w:numPr>
              <w:tabs>
                <w:tab w:val="left" w:pos="1134"/>
                <w:tab w:val="left" w:pos="7938"/>
              </w:tabs>
              <w:suppressAutoHyphens w:val="0"/>
              <w:spacing w:line="22" w:lineRule="atLeast"/>
              <w:ind w:firstLine="629"/>
              <w:jc w:val="both"/>
              <w:rPr>
                <w:rFonts w:ascii="Garamond" w:hAnsi="Garamond" w:cstheme="minorHAnsi"/>
                <w:b w:val="0"/>
              </w:rPr>
            </w:pPr>
            <w:r w:rsidRPr="00A5626D">
              <w:rPr>
                <w:rFonts w:ascii="Garamond" w:hAnsi="Garamond" w:cstheme="minorHAnsi"/>
                <w:b w:val="0"/>
              </w:rPr>
              <w:t>– Конфликтной комиссией установлен факт нарушения смежным субъектом оптового рынка</w:t>
            </w:r>
            <w:r w:rsidRPr="00A5626D">
              <w:rPr>
                <w:rFonts w:ascii="Garamond" w:hAnsi="Garamond" w:cstheme="minorHAnsi"/>
                <w:b w:val="0"/>
                <w:highlight w:val="yellow"/>
              </w:rPr>
              <w:t>, владельцем ГТП</w:t>
            </w:r>
            <w:r w:rsidRPr="00A5626D">
              <w:rPr>
                <w:rFonts w:ascii="Garamond" w:hAnsi="Garamond" w:cstheme="minorHAnsi"/>
                <w:b w:val="0"/>
              </w:rPr>
              <w:t xml:space="preserve"> Правил оптового рынка электрической энергии, выражающийся в препятствовании регистрации ГТП потребления </w:t>
            </w:r>
            <w:r w:rsidRPr="00A5626D">
              <w:rPr>
                <w:rFonts w:ascii="Garamond" w:hAnsi="Garamond" w:cstheme="minorHAnsi"/>
                <w:b w:val="0"/>
                <w:highlight w:val="yellow"/>
              </w:rPr>
              <w:t>/ объекта регулирования</w:t>
            </w:r>
            <w:r w:rsidRPr="00A5626D">
              <w:rPr>
                <w:rFonts w:ascii="Garamond" w:hAnsi="Garamond" w:cstheme="minorHAnsi"/>
                <w:b w:val="0"/>
              </w:rPr>
              <w:t xml:space="preserve"> заявителя на оптовом рынке электроэнергии.</w:t>
            </w:r>
          </w:p>
          <w:p w14:paraId="761B8E7A" w14:textId="77777777" w:rsidR="00295C6D" w:rsidRPr="00A5626D" w:rsidRDefault="00295C6D" w:rsidP="00E31AE6">
            <w:pPr>
              <w:pStyle w:val="2"/>
              <w:numPr>
                <w:ilvl w:val="0"/>
                <w:numId w:val="0"/>
              </w:numPr>
              <w:tabs>
                <w:tab w:val="left" w:pos="1134"/>
                <w:tab w:val="left" w:pos="7938"/>
              </w:tabs>
              <w:suppressAutoHyphens w:val="0"/>
              <w:spacing w:line="22" w:lineRule="atLeast"/>
              <w:ind w:firstLine="629"/>
              <w:jc w:val="both"/>
              <w:rPr>
                <w:rFonts w:ascii="Garamond" w:hAnsi="Garamond" w:cstheme="minorHAnsi"/>
                <w:b w:val="0"/>
              </w:rPr>
            </w:pPr>
            <w:r w:rsidRPr="00A5626D">
              <w:rPr>
                <w:rFonts w:ascii="Garamond" w:hAnsi="Garamond" w:cstheme="minorHAnsi"/>
                <w:b w:val="0"/>
              </w:rPr>
              <w:t>При этом при направлении заявителем в адрес КО уведомления о принятии Конфликтной комиссией при Наблюдательном совете Совета рынка решения о признании ПСИ согласованным со смежным субъектом оптового рынка</w:t>
            </w:r>
            <w:r w:rsidRPr="00A5626D">
              <w:rPr>
                <w:rFonts w:ascii="Garamond" w:hAnsi="Garamond" w:cstheme="minorHAnsi"/>
                <w:b w:val="0"/>
                <w:highlight w:val="yellow"/>
              </w:rPr>
              <w:t>, владельцем ГТП</w:t>
            </w:r>
            <w:r w:rsidRPr="00A5626D">
              <w:rPr>
                <w:rFonts w:ascii="Garamond" w:hAnsi="Garamond" w:cstheme="minorHAnsi"/>
                <w:b w:val="0"/>
              </w:rPr>
              <w:t xml:space="preserve"> КО в срок не более 2 (двух) рабочих дней направляет соответствующий запрос в Конфликтную комиссию при Наблюдательном совете Совета рынка с целью подтверждения вышеуказанного факта.</w:t>
            </w:r>
          </w:p>
          <w:p w14:paraId="1A35D289" w14:textId="77777777" w:rsidR="00295C6D" w:rsidRPr="00A5626D" w:rsidRDefault="00295C6D" w:rsidP="00E31AE6">
            <w:pPr>
              <w:pStyle w:val="2"/>
              <w:numPr>
                <w:ilvl w:val="0"/>
                <w:numId w:val="0"/>
              </w:numPr>
              <w:tabs>
                <w:tab w:val="left" w:pos="1134"/>
                <w:tab w:val="left" w:pos="7938"/>
              </w:tabs>
              <w:suppressAutoHyphens w:val="0"/>
              <w:spacing w:line="22" w:lineRule="atLeast"/>
              <w:ind w:firstLine="629"/>
              <w:jc w:val="both"/>
              <w:rPr>
                <w:rFonts w:ascii="Garamond" w:hAnsi="Garamond" w:cstheme="minorHAnsi"/>
                <w:b w:val="0"/>
              </w:rPr>
            </w:pPr>
            <w:r w:rsidRPr="00A5626D">
              <w:rPr>
                <w:rFonts w:ascii="Garamond" w:hAnsi="Garamond" w:cstheme="minorHAnsi"/>
                <w:b w:val="0"/>
              </w:rPr>
              <w:t>Конфликтная комиссия при Наблюдательном совете Совета рынка в срок не более 5 (пяти) рабочих дней направляет в адрес КО соответствующий ответ на запрос.</w:t>
            </w:r>
          </w:p>
          <w:p w14:paraId="1DDAA11F" w14:textId="77777777" w:rsidR="00295C6D" w:rsidRPr="00A5626D" w:rsidRDefault="00295C6D" w:rsidP="00E31AE6">
            <w:pPr>
              <w:pStyle w:val="2"/>
              <w:numPr>
                <w:ilvl w:val="0"/>
                <w:numId w:val="0"/>
              </w:numPr>
              <w:tabs>
                <w:tab w:val="left" w:pos="1134"/>
                <w:tab w:val="left" w:pos="7938"/>
              </w:tabs>
              <w:suppressAutoHyphens w:val="0"/>
              <w:spacing w:line="22" w:lineRule="atLeast"/>
              <w:ind w:firstLine="629"/>
              <w:jc w:val="both"/>
              <w:rPr>
                <w:rFonts w:ascii="Garamond" w:hAnsi="Garamond" w:cstheme="minorHAnsi"/>
                <w:b w:val="0"/>
              </w:rPr>
            </w:pPr>
            <w:r w:rsidRPr="00A5626D">
              <w:rPr>
                <w:rFonts w:ascii="Garamond" w:hAnsi="Garamond" w:cstheme="minorHAnsi"/>
                <w:b w:val="0"/>
              </w:rPr>
              <w:lastRenderedPageBreak/>
              <w:t>В случае подтверждения Конфликтной комиссией при Наблюдательном совете Совета рынка факта принятия решения о признании ПСИ по заявляемому сечению коммерческого учета</w:t>
            </w:r>
            <w:r w:rsidRPr="00A5626D">
              <w:rPr>
                <w:rFonts w:ascii="Garamond" w:hAnsi="Garamond" w:cstheme="minorHAnsi"/>
                <w:b w:val="0"/>
                <w:highlight w:val="yellow"/>
              </w:rPr>
              <w:t>, объекту регулирования</w:t>
            </w:r>
            <w:r w:rsidRPr="00A5626D">
              <w:rPr>
                <w:rFonts w:ascii="Garamond" w:hAnsi="Garamond" w:cstheme="minorHAnsi"/>
                <w:b w:val="0"/>
              </w:rPr>
              <w:t xml:space="preserve"> согласованным со смежным субъектом оптового рынка</w:t>
            </w:r>
            <w:r w:rsidRPr="00A5626D">
              <w:rPr>
                <w:rFonts w:ascii="Garamond" w:hAnsi="Garamond" w:cstheme="minorHAnsi"/>
                <w:b w:val="0"/>
                <w:highlight w:val="yellow"/>
              </w:rPr>
              <w:t>, владельцем ГТП</w:t>
            </w:r>
            <w:r w:rsidRPr="00A5626D">
              <w:rPr>
                <w:rFonts w:ascii="Garamond" w:hAnsi="Garamond" w:cstheme="minorHAnsi"/>
                <w:b w:val="0"/>
              </w:rPr>
              <w:t>, КО в срок не более 3 (трех) рабочих дней загружает в ПАК КО ПСИ и направляет в адрес заявителя ответную квитанцию в формате XML (макет 60001) с положительным результатом приема ПСИ (макет 60000) в ПАК КО.</w:t>
            </w:r>
          </w:p>
          <w:p w14:paraId="6763E372" w14:textId="77777777" w:rsidR="00295C6D" w:rsidRPr="00A5626D" w:rsidRDefault="00295C6D" w:rsidP="00E31AE6">
            <w:pPr>
              <w:pStyle w:val="2"/>
              <w:numPr>
                <w:ilvl w:val="0"/>
                <w:numId w:val="0"/>
              </w:numPr>
              <w:tabs>
                <w:tab w:val="left" w:pos="1134"/>
                <w:tab w:val="left" w:pos="7938"/>
              </w:tabs>
              <w:suppressAutoHyphens w:val="0"/>
              <w:spacing w:line="22" w:lineRule="atLeast"/>
              <w:ind w:firstLine="629"/>
              <w:jc w:val="both"/>
              <w:rPr>
                <w:rFonts w:ascii="Garamond" w:hAnsi="Garamond" w:cstheme="minorHAnsi"/>
                <w:b w:val="0"/>
              </w:rPr>
            </w:pPr>
            <w:r w:rsidRPr="00A5626D">
              <w:rPr>
                <w:rFonts w:ascii="Garamond" w:hAnsi="Garamond" w:cstheme="minorHAnsi"/>
                <w:b w:val="0"/>
              </w:rPr>
              <w:t>В случае невозможности загрузки ПСИ (макет 60000) в ПАК КО заявителю направляется ответная квитанция в формате XML (макет 60001) с отрицательным результатом приема ПСИ (макет 60000) в ПАК КО. В этом случае заявителю необходимо повторно инициировать процедуру согласования ПСИ (макет 60000) со смежным субъектом оптового рынка</w:t>
            </w:r>
            <w:r w:rsidRPr="00A5626D">
              <w:rPr>
                <w:rFonts w:ascii="Garamond" w:hAnsi="Garamond" w:cstheme="minorHAnsi"/>
                <w:b w:val="0"/>
                <w:highlight w:val="yellow"/>
              </w:rPr>
              <w:t>, владельцем ГТП</w:t>
            </w:r>
            <w:r w:rsidRPr="00A5626D">
              <w:rPr>
                <w:rFonts w:ascii="Garamond" w:hAnsi="Garamond" w:cstheme="minorHAnsi"/>
                <w:b w:val="0"/>
              </w:rPr>
              <w:t>.</w:t>
            </w:r>
          </w:p>
          <w:p w14:paraId="7E198DA9" w14:textId="77777777" w:rsidR="00295C6D" w:rsidRPr="00A5626D" w:rsidRDefault="00295C6D" w:rsidP="00E31AE6">
            <w:pPr>
              <w:pStyle w:val="2"/>
              <w:numPr>
                <w:ilvl w:val="0"/>
                <w:numId w:val="0"/>
              </w:numPr>
              <w:tabs>
                <w:tab w:val="left" w:pos="1134"/>
                <w:tab w:val="left" w:pos="7938"/>
              </w:tabs>
              <w:suppressAutoHyphens w:val="0"/>
              <w:spacing w:line="22" w:lineRule="atLeast"/>
              <w:ind w:firstLine="629"/>
              <w:jc w:val="both"/>
              <w:rPr>
                <w:rFonts w:ascii="Garamond" w:hAnsi="Garamond" w:cstheme="minorHAnsi"/>
                <w:b w:val="0"/>
              </w:rPr>
            </w:pPr>
            <w:r w:rsidRPr="00A5626D">
              <w:rPr>
                <w:rFonts w:ascii="Garamond" w:hAnsi="Garamond" w:cstheme="minorHAnsi"/>
                <w:b w:val="0"/>
              </w:rPr>
              <w:t>В случае неподтверждения Конфликтной комиссией при Наблюдательном совете Совета рынка факта принятия решения о признании ПСИ согласованным со смежным субъектом оптового рынка</w:t>
            </w:r>
            <w:r w:rsidRPr="00A5626D">
              <w:rPr>
                <w:rFonts w:ascii="Garamond" w:hAnsi="Garamond" w:cstheme="minorHAnsi"/>
                <w:b w:val="0"/>
                <w:highlight w:val="yellow"/>
              </w:rPr>
              <w:t>, владельцем ГТП</w:t>
            </w:r>
            <w:r w:rsidRPr="00A5626D">
              <w:rPr>
                <w:rFonts w:ascii="Garamond" w:hAnsi="Garamond" w:cstheme="minorHAnsi"/>
                <w:b w:val="0"/>
              </w:rPr>
              <w:t>, КО в срок не более 3 (трех) рабочих дней направляет в адрес заявителя соответствующее уведомление (уведомление направляется на бумажном носителе).</w:t>
            </w:r>
          </w:p>
        </w:tc>
      </w:tr>
      <w:tr w:rsidR="00295C6D" w:rsidRPr="00A5626D" w14:paraId="183F0193" w14:textId="77777777" w:rsidTr="00647FA0">
        <w:tc>
          <w:tcPr>
            <w:tcW w:w="1060" w:type="dxa"/>
            <w:vAlign w:val="center"/>
          </w:tcPr>
          <w:p w14:paraId="3C706566" w14:textId="358C1FAE" w:rsidR="00295C6D" w:rsidRPr="00A5626D" w:rsidRDefault="00295C6D" w:rsidP="00E31AE6">
            <w:pPr>
              <w:widowControl w:val="0"/>
              <w:tabs>
                <w:tab w:val="left" w:pos="1134"/>
                <w:tab w:val="left" w:pos="7938"/>
              </w:tabs>
              <w:spacing w:line="22" w:lineRule="atLeast"/>
              <w:jc w:val="both"/>
              <w:rPr>
                <w:rFonts w:ascii="Garamond" w:hAnsi="Garamond"/>
                <w:b/>
                <w:sz w:val="22"/>
                <w:szCs w:val="22"/>
                <w:lang w:eastAsia="en-US"/>
              </w:rPr>
            </w:pPr>
            <w:r w:rsidRPr="00A5626D">
              <w:rPr>
                <w:rFonts w:ascii="Garamond" w:hAnsi="Garamond"/>
                <w:b/>
                <w:sz w:val="22"/>
                <w:szCs w:val="22"/>
                <w:lang w:eastAsia="en-US"/>
              </w:rPr>
              <w:lastRenderedPageBreak/>
              <w:t>Приложение 5 п.</w:t>
            </w:r>
            <w:r w:rsidR="000B3419" w:rsidRPr="00A5626D">
              <w:rPr>
                <w:rFonts w:ascii="Garamond" w:hAnsi="Garamond"/>
                <w:b/>
                <w:sz w:val="22"/>
                <w:szCs w:val="22"/>
                <w:lang w:eastAsia="en-US"/>
              </w:rPr>
              <w:t> </w:t>
            </w:r>
            <w:r w:rsidRPr="00A5626D">
              <w:rPr>
                <w:rFonts w:ascii="Garamond" w:hAnsi="Garamond"/>
                <w:b/>
                <w:sz w:val="22"/>
                <w:szCs w:val="22"/>
                <w:lang w:eastAsia="en-US"/>
              </w:rPr>
              <w:t>2.1</w:t>
            </w:r>
          </w:p>
        </w:tc>
        <w:tc>
          <w:tcPr>
            <w:tcW w:w="6662" w:type="dxa"/>
          </w:tcPr>
          <w:p w14:paraId="3EEECD86" w14:textId="77777777" w:rsidR="00295C6D" w:rsidRPr="00A5626D" w:rsidRDefault="00295C6D" w:rsidP="00E31AE6">
            <w:pPr>
              <w:pStyle w:val="2"/>
              <w:numPr>
                <w:ilvl w:val="0"/>
                <w:numId w:val="0"/>
              </w:numPr>
              <w:tabs>
                <w:tab w:val="left" w:pos="1134"/>
                <w:tab w:val="left" w:pos="7938"/>
              </w:tabs>
              <w:suppressAutoHyphens w:val="0"/>
              <w:spacing w:line="22" w:lineRule="atLeast"/>
              <w:ind w:firstLine="629"/>
              <w:jc w:val="both"/>
              <w:rPr>
                <w:rFonts w:ascii="Garamond" w:hAnsi="Garamond" w:cstheme="minorHAnsi"/>
                <w:b w:val="0"/>
              </w:rPr>
            </w:pPr>
            <w:r w:rsidRPr="00A5626D">
              <w:rPr>
                <w:rFonts w:ascii="Garamond" w:hAnsi="Garamond" w:cstheme="minorHAnsi"/>
                <w:b w:val="0"/>
              </w:rPr>
              <w:t xml:space="preserve">Требования к заполнению ПСИ в части информации о составе точек поставки и точек измерений в сечении КУ / внутреннем сечении </w:t>
            </w:r>
            <w:r w:rsidRPr="00A5626D">
              <w:rPr>
                <w:rFonts w:ascii="Garamond" w:hAnsi="Garamond" w:cstheme="minorHAnsi"/>
                <w:b w:val="0"/>
                <w:highlight w:val="yellow"/>
              </w:rPr>
              <w:t>КУ</w:t>
            </w:r>
            <w:r w:rsidRPr="00A5626D">
              <w:rPr>
                <w:rFonts w:ascii="Garamond" w:hAnsi="Garamond" w:cstheme="minorHAnsi"/>
                <w:b w:val="0"/>
              </w:rPr>
              <w:t xml:space="preserve"> / ГТП генерации, кодируемых измерительных каналах в приборах учета</w:t>
            </w:r>
          </w:p>
          <w:p w14:paraId="6A4F74DB" w14:textId="77777777" w:rsidR="00295C6D" w:rsidRPr="00A5626D" w:rsidRDefault="00295C6D" w:rsidP="00E31AE6">
            <w:pPr>
              <w:pStyle w:val="2"/>
              <w:numPr>
                <w:ilvl w:val="0"/>
                <w:numId w:val="0"/>
              </w:numPr>
              <w:tabs>
                <w:tab w:val="left" w:pos="1134"/>
                <w:tab w:val="left" w:pos="7938"/>
              </w:tabs>
              <w:suppressAutoHyphens w:val="0"/>
              <w:spacing w:line="22" w:lineRule="atLeast"/>
              <w:ind w:firstLine="629"/>
              <w:jc w:val="both"/>
              <w:rPr>
                <w:rFonts w:ascii="Garamond" w:hAnsi="Garamond" w:cstheme="minorHAnsi"/>
                <w:b w:val="0"/>
              </w:rPr>
            </w:pPr>
            <w:r w:rsidRPr="00A5626D">
              <w:rPr>
                <w:rFonts w:ascii="Garamond" w:hAnsi="Garamond" w:cstheme="minorHAnsi"/>
                <w:b w:val="0"/>
              </w:rPr>
              <w:t>В отчетной форме ПСИ в столбце «точка поставки (наименование точки поставки, номер точки поставки)» для каждой точки поставки должна содержаться следующая информация</w:t>
            </w:r>
            <w:r w:rsidRPr="00A5626D">
              <w:rPr>
                <w:rFonts w:ascii="Garamond" w:hAnsi="Garamond" w:cstheme="minorHAnsi"/>
                <w:b w:val="0"/>
                <w:highlight w:val="yellow"/>
              </w:rPr>
              <w:t>, касающаяся точек поставки в сечении КУ / внутреннем сечении КУ / ГТП генерации номер точки поставки,</w:t>
            </w:r>
            <w:r w:rsidRPr="00A5626D">
              <w:rPr>
                <w:rFonts w:ascii="Garamond" w:hAnsi="Garamond" w:cstheme="minorHAnsi"/>
                <w:b w:val="0"/>
              </w:rPr>
              <w:t xml:space="preserve"> наименование </w:t>
            </w:r>
            <w:r w:rsidRPr="00A5626D">
              <w:rPr>
                <w:rFonts w:ascii="Garamond" w:hAnsi="Garamond" w:cstheme="minorHAnsi"/>
                <w:b w:val="0"/>
                <w:highlight w:val="yellow"/>
              </w:rPr>
              <w:t>точки поставки в электрической сети</w:t>
            </w:r>
            <w:r w:rsidRPr="00A5626D">
              <w:rPr>
                <w:rFonts w:ascii="Garamond" w:hAnsi="Garamond" w:cstheme="minorHAnsi"/>
                <w:b w:val="0"/>
              </w:rPr>
              <w:t xml:space="preserve"> в соответствии с однолинейной схемой.</w:t>
            </w:r>
          </w:p>
          <w:p w14:paraId="0542D3F9" w14:textId="77777777" w:rsidR="00295C6D" w:rsidRPr="00A5626D" w:rsidRDefault="00295C6D" w:rsidP="00E31AE6">
            <w:pPr>
              <w:pStyle w:val="2"/>
              <w:numPr>
                <w:ilvl w:val="0"/>
                <w:numId w:val="0"/>
              </w:numPr>
              <w:tabs>
                <w:tab w:val="left" w:pos="1134"/>
                <w:tab w:val="left" w:pos="7938"/>
              </w:tabs>
              <w:suppressAutoHyphens w:val="0"/>
              <w:spacing w:line="22" w:lineRule="atLeast"/>
              <w:ind w:firstLine="629"/>
              <w:jc w:val="both"/>
              <w:rPr>
                <w:rFonts w:ascii="Garamond" w:hAnsi="Garamond" w:cstheme="minorHAnsi"/>
                <w:b w:val="0"/>
              </w:rPr>
            </w:pPr>
            <w:r w:rsidRPr="00A5626D">
              <w:rPr>
                <w:rFonts w:ascii="Garamond" w:hAnsi="Garamond" w:cstheme="minorHAnsi"/>
                <w:b w:val="0"/>
                <w:highlight w:val="yellow"/>
              </w:rPr>
              <w:t>В отчетной форме ПСИ</w:t>
            </w:r>
            <w:r w:rsidRPr="00A5626D">
              <w:rPr>
                <w:rFonts w:ascii="Garamond" w:hAnsi="Garamond" w:cstheme="minorHAnsi"/>
                <w:b w:val="0"/>
              </w:rPr>
              <w:t xml:space="preserve"> в столбце «Центр питания (ПС 110 кВ и выше, электростанция)» для каждой точки поставки должно быть указано диспетчерское наименование центра питания, который соотнесен на общей однолинейной схеме или однолинейной схеме по сечению (для случая выполнения требования п. 2.7 приложения 5 к Положению о порядке получения статуса субъекта оптового рынка и ведения реестра субъектов оптового рынка (Приложение № 1.1 к Договору о присоединении к торговой системе оптового рынка)) с </w:t>
            </w:r>
            <w:r w:rsidRPr="00A5626D">
              <w:rPr>
                <w:rFonts w:ascii="Garamond" w:hAnsi="Garamond" w:cstheme="minorHAnsi"/>
                <w:b w:val="0"/>
              </w:rPr>
              <w:lastRenderedPageBreak/>
              <w:t xml:space="preserve">соответствующей точкой поставки. </w:t>
            </w:r>
          </w:p>
          <w:p w14:paraId="6FCAA5D6" w14:textId="77777777" w:rsidR="00295C6D" w:rsidRPr="00A5626D" w:rsidRDefault="00295C6D" w:rsidP="00E31AE6">
            <w:pPr>
              <w:pStyle w:val="2"/>
              <w:numPr>
                <w:ilvl w:val="0"/>
                <w:numId w:val="0"/>
              </w:numPr>
              <w:tabs>
                <w:tab w:val="left" w:pos="1134"/>
                <w:tab w:val="left" w:pos="7938"/>
              </w:tabs>
              <w:suppressAutoHyphens w:val="0"/>
              <w:spacing w:line="22" w:lineRule="atLeast"/>
              <w:ind w:firstLine="629"/>
              <w:jc w:val="both"/>
              <w:rPr>
                <w:rFonts w:ascii="Garamond" w:hAnsi="Garamond" w:cstheme="minorHAnsi"/>
                <w:b w:val="0"/>
              </w:rPr>
            </w:pPr>
            <w:r w:rsidRPr="00A5626D">
              <w:rPr>
                <w:rFonts w:ascii="Garamond" w:hAnsi="Garamond" w:cstheme="minorHAnsi"/>
                <w:b w:val="0"/>
                <w:highlight w:val="yellow"/>
              </w:rPr>
              <w:t>В соответствии с Перечнем определений и принятых сокращений (Приложение № 17 к Договору о присоединении к торговой системе оптового рынка)</w:t>
            </w:r>
            <w:r w:rsidRPr="00A5626D">
              <w:rPr>
                <w:rFonts w:ascii="Garamond" w:hAnsi="Garamond" w:cstheme="minorHAnsi"/>
                <w:b w:val="0"/>
              </w:rPr>
              <w:t xml:space="preserve"> под «центром питания» понимается:</w:t>
            </w:r>
          </w:p>
          <w:p w14:paraId="4C48ED4A" w14:textId="77777777" w:rsidR="00295C6D" w:rsidRPr="00A5626D" w:rsidRDefault="00295C6D" w:rsidP="00E31AE6">
            <w:pPr>
              <w:pStyle w:val="2"/>
              <w:numPr>
                <w:ilvl w:val="0"/>
                <w:numId w:val="0"/>
              </w:numPr>
              <w:tabs>
                <w:tab w:val="left" w:pos="1134"/>
                <w:tab w:val="left" w:pos="7938"/>
              </w:tabs>
              <w:suppressAutoHyphens w:val="0"/>
              <w:spacing w:line="22" w:lineRule="atLeast"/>
              <w:ind w:firstLine="629"/>
              <w:jc w:val="both"/>
              <w:rPr>
                <w:rFonts w:ascii="Garamond" w:hAnsi="Garamond" w:cstheme="minorHAnsi"/>
                <w:b w:val="0"/>
              </w:rPr>
            </w:pPr>
            <w:r w:rsidRPr="00A5626D">
              <w:rPr>
                <w:rFonts w:ascii="Garamond" w:hAnsi="Garamond" w:cstheme="minorHAnsi"/>
                <w:b w:val="0"/>
              </w:rPr>
              <w:t>– подстанция 110 кВ и выше или электростанция, электрически связанная в нормальном режиме работы энергосистемы с энергообъектом, на котором расположена точка поставки, или</w:t>
            </w:r>
          </w:p>
          <w:p w14:paraId="24C4151D" w14:textId="77777777" w:rsidR="00295C6D" w:rsidRPr="00A5626D" w:rsidRDefault="00295C6D" w:rsidP="00E31AE6">
            <w:pPr>
              <w:pStyle w:val="2"/>
              <w:numPr>
                <w:ilvl w:val="0"/>
                <w:numId w:val="0"/>
              </w:numPr>
              <w:tabs>
                <w:tab w:val="left" w:pos="1134"/>
                <w:tab w:val="left" w:pos="7938"/>
              </w:tabs>
              <w:suppressAutoHyphens w:val="0"/>
              <w:spacing w:line="22" w:lineRule="atLeast"/>
              <w:ind w:firstLine="629"/>
              <w:jc w:val="both"/>
              <w:rPr>
                <w:rFonts w:ascii="Garamond" w:hAnsi="Garamond" w:cstheme="minorHAnsi"/>
                <w:b w:val="0"/>
              </w:rPr>
            </w:pPr>
            <w:r w:rsidRPr="00A5626D">
              <w:rPr>
                <w:rFonts w:ascii="Garamond" w:hAnsi="Garamond" w:cstheme="minorHAnsi"/>
                <w:b w:val="0"/>
              </w:rPr>
              <w:t>– подстанция 110 кВ и выше или электростанция, если точка поставки расположена на указанном энергообъекте.</w:t>
            </w:r>
          </w:p>
          <w:p w14:paraId="116ABC39" w14:textId="77777777" w:rsidR="00295C6D" w:rsidRPr="00A5626D" w:rsidRDefault="00295C6D" w:rsidP="00E31AE6">
            <w:pPr>
              <w:pStyle w:val="2"/>
              <w:numPr>
                <w:ilvl w:val="0"/>
                <w:numId w:val="0"/>
              </w:numPr>
              <w:tabs>
                <w:tab w:val="left" w:pos="1134"/>
                <w:tab w:val="left" w:pos="7938"/>
              </w:tabs>
              <w:suppressAutoHyphens w:val="0"/>
              <w:spacing w:line="22" w:lineRule="atLeast"/>
              <w:ind w:firstLine="629"/>
              <w:jc w:val="both"/>
              <w:rPr>
                <w:rFonts w:ascii="Garamond" w:hAnsi="Garamond" w:cstheme="minorHAnsi"/>
                <w:b w:val="0"/>
              </w:rPr>
            </w:pPr>
            <w:r w:rsidRPr="00A5626D">
              <w:rPr>
                <w:rFonts w:ascii="Garamond" w:hAnsi="Garamond" w:cstheme="minorHAnsi"/>
                <w:b w:val="0"/>
              </w:rPr>
              <w:t xml:space="preserve">Сведения о диспетчерском наименовании центра питания, указываемые в соответствии со справочником центров питания, публикуемым на официальном сайте АО «АТС», не должны противоречить диспетчерским наименованиям центров питания, отображенных на общей однолинейной схеме или однолинейной схеме по сечению (для случая выполнения требования п. 2.7 приложения 5 к Положению о порядке получения статуса субъекта оптового рынка и ведения реестра субъектов оптового рынка (Приложение № 1.1 к Договору о присоединении к торговой системе оптового рынка). Порядок внесения изменений в справочник центров питания определен п. 2.2.8 настоящего приложения. </w:t>
            </w:r>
          </w:p>
          <w:p w14:paraId="46C3A382" w14:textId="77777777" w:rsidR="00295C6D" w:rsidRPr="00A5626D" w:rsidRDefault="00295C6D" w:rsidP="00E31AE6">
            <w:pPr>
              <w:pStyle w:val="2"/>
              <w:numPr>
                <w:ilvl w:val="0"/>
                <w:numId w:val="0"/>
              </w:numPr>
              <w:tabs>
                <w:tab w:val="left" w:pos="1134"/>
                <w:tab w:val="left" w:pos="7938"/>
              </w:tabs>
              <w:suppressAutoHyphens w:val="0"/>
              <w:spacing w:line="22" w:lineRule="atLeast"/>
              <w:ind w:firstLine="629"/>
              <w:jc w:val="both"/>
              <w:rPr>
                <w:rFonts w:ascii="Garamond" w:hAnsi="Garamond" w:cstheme="minorHAnsi"/>
                <w:b w:val="0"/>
              </w:rPr>
            </w:pPr>
            <w:r w:rsidRPr="00A5626D">
              <w:rPr>
                <w:rFonts w:ascii="Garamond" w:hAnsi="Garamond" w:cstheme="minorHAnsi"/>
                <w:b w:val="0"/>
                <w:highlight w:val="yellow"/>
              </w:rPr>
              <w:t>В отчетной форме ПСИ</w:t>
            </w:r>
            <w:r w:rsidRPr="00A5626D">
              <w:rPr>
                <w:rFonts w:ascii="Garamond" w:hAnsi="Garamond" w:cstheme="minorHAnsi"/>
                <w:b w:val="0"/>
              </w:rPr>
              <w:t xml:space="preserve"> в столбце «точки приема-передачи электроэнергии (мощности)» / «точки измерений электроэнергии и мощности» должна содержаться следующая информация, касающаяся средств измерений, участвующих в формировании данных о величине сальдо перетоков / произведенной электроэнергии:</w:t>
            </w:r>
          </w:p>
          <w:p w14:paraId="5A649308" w14:textId="77777777" w:rsidR="00295C6D" w:rsidRPr="00A5626D" w:rsidRDefault="00295C6D" w:rsidP="00E31AE6">
            <w:pPr>
              <w:pStyle w:val="2"/>
              <w:numPr>
                <w:ilvl w:val="0"/>
                <w:numId w:val="0"/>
              </w:numPr>
              <w:tabs>
                <w:tab w:val="left" w:pos="1134"/>
                <w:tab w:val="left" w:pos="7938"/>
              </w:tabs>
              <w:suppressAutoHyphens w:val="0"/>
              <w:spacing w:line="22" w:lineRule="atLeast"/>
              <w:ind w:firstLine="629"/>
              <w:jc w:val="both"/>
              <w:rPr>
                <w:rFonts w:ascii="Garamond" w:hAnsi="Garamond" w:cstheme="minorHAnsi"/>
                <w:b w:val="0"/>
              </w:rPr>
            </w:pPr>
            <w:r w:rsidRPr="00A5626D">
              <w:rPr>
                <w:rFonts w:ascii="Garamond" w:hAnsi="Garamond" w:cstheme="minorHAnsi"/>
                <w:b w:val="0"/>
              </w:rPr>
              <w:t xml:space="preserve">– наименование точки измерений, в которой установлены основные или резервные </w:t>
            </w:r>
            <w:r w:rsidRPr="00A5626D">
              <w:rPr>
                <w:rFonts w:ascii="Garamond" w:hAnsi="Garamond" w:cstheme="minorHAnsi"/>
                <w:b w:val="0"/>
                <w:highlight w:val="yellow"/>
              </w:rPr>
              <w:t>измерительные</w:t>
            </w:r>
            <w:r w:rsidRPr="00A5626D">
              <w:rPr>
                <w:rFonts w:ascii="Garamond" w:hAnsi="Garamond" w:cstheme="minorHAnsi"/>
                <w:b w:val="0"/>
              </w:rPr>
              <w:t xml:space="preserve"> приборы учета, – присваивается в соответствии с местом расположения трансформатора тока или местом присоединения </w:t>
            </w:r>
            <w:r w:rsidRPr="00A5626D">
              <w:rPr>
                <w:rFonts w:ascii="Garamond" w:hAnsi="Garamond" w:cstheme="minorHAnsi"/>
                <w:b w:val="0"/>
                <w:highlight w:val="yellow"/>
              </w:rPr>
              <w:t xml:space="preserve">счетчика </w:t>
            </w:r>
            <w:r w:rsidRPr="00A5626D">
              <w:rPr>
                <w:rFonts w:ascii="Garamond" w:hAnsi="Garamond" w:cstheme="minorHAnsi"/>
                <w:b w:val="0"/>
              </w:rPr>
              <w:t xml:space="preserve">прямого включения на однолинейной схеме, номер точки измерения, типы и модификации </w:t>
            </w:r>
            <w:r w:rsidRPr="00A5626D">
              <w:rPr>
                <w:rFonts w:ascii="Garamond" w:hAnsi="Garamond" w:cstheme="minorHAnsi"/>
                <w:b w:val="0"/>
                <w:highlight w:val="yellow"/>
              </w:rPr>
              <w:t>счетчиков</w:t>
            </w:r>
            <w:r w:rsidRPr="00A5626D">
              <w:rPr>
                <w:rFonts w:ascii="Garamond" w:hAnsi="Garamond" w:cstheme="minorHAnsi"/>
                <w:b w:val="0"/>
              </w:rPr>
              <w:t>, установленных в точках измерени</w:t>
            </w:r>
            <w:r w:rsidRPr="00A5626D">
              <w:rPr>
                <w:rFonts w:ascii="Garamond" w:hAnsi="Garamond" w:cstheme="minorHAnsi"/>
                <w:b w:val="0"/>
                <w:highlight w:val="yellow"/>
              </w:rPr>
              <w:t>я</w:t>
            </w:r>
            <w:r w:rsidRPr="00A5626D">
              <w:rPr>
                <w:rFonts w:ascii="Garamond" w:hAnsi="Garamond" w:cstheme="minorHAnsi"/>
                <w:b w:val="0"/>
              </w:rPr>
              <w:t>, направление измеряемой электроэнергии.</w:t>
            </w:r>
          </w:p>
          <w:p w14:paraId="5F698DD2" w14:textId="77777777" w:rsidR="00295C6D" w:rsidRPr="00A5626D" w:rsidRDefault="00295C6D" w:rsidP="00E31AE6">
            <w:pPr>
              <w:pStyle w:val="2"/>
              <w:numPr>
                <w:ilvl w:val="0"/>
                <w:numId w:val="0"/>
              </w:numPr>
              <w:tabs>
                <w:tab w:val="left" w:pos="1134"/>
                <w:tab w:val="left" w:pos="7938"/>
              </w:tabs>
              <w:suppressAutoHyphens w:val="0"/>
              <w:spacing w:line="22" w:lineRule="atLeast"/>
              <w:ind w:firstLine="629"/>
              <w:jc w:val="both"/>
              <w:rPr>
                <w:rFonts w:ascii="Garamond" w:hAnsi="Garamond" w:cstheme="minorHAnsi"/>
                <w:b w:val="0"/>
              </w:rPr>
            </w:pPr>
            <w:r w:rsidRPr="00A5626D">
              <w:rPr>
                <w:rFonts w:ascii="Garamond" w:hAnsi="Garamond" w:cstheme="minorHAnsi"/>
                <w:b w:val="0"/>
              </w:rPr>
              <w:t xml:space="preserve"> Направление «Отдача» и «Прием» заполняются в отношении расположения прибора учета относительно границы балансовой принадлежности. При заполнении информации о направлении измеряемой электроэнергии в измерительном канале «отдача» необходимо указывать направление энергии от точки измерени</w:t>
            </w:r>
            <w:r w:rsidRPr="00A5626D">
              <w:rPr>
                <w:rFonts w:ascii="Garamond" w:hAnsi="Garamond" w:cstheme="minorHAnsi"/>
                <w:b w:val="0"/>
                <w:highlight w:val="yellow"/>
              </w:rPr>
              <w:t>я</w:t>
            </w:r>
            <w:r w:rsidRPr="00A5626D">
              <w:rPr>
                <w:rFonts w:ascii="Garamond" w:hAnsi="Garamond" w:cstheme="minorHAnsi"/>
                <w:b w:val="0"/>
              </w:rPr>
              <w:t xml:space="preserve"> к точке поставки, в измерительном канале «прием» ― в направлении от </w:t>
            </w:r>
            <w:r w:rsidRPr="00A5626D">
              <w:rPr>
                <w:rFonts w:ascii="Garamond" w:hAnsi="Garamond" w:cstheme="minorHAnsi"/>
                <w:b w:val="0"/>
              </w:rPr>
              <w:lastRenderedPageBreak/>
              <w:t>точки поставки к точке измерени</w:t>
            </w:r>
            <w:r w:rsidRPr="00A5626D">
              <w:rPr>
                <w:rFonts w:ascii="Garamond" w:hAnsi="Garamond" w:cstheme="minorHAnsi"/>
                <w:b w:val="0"/>
                <w:highlight w:val="yellow"/>
              </w:rPr>
              <w:t>я</w:t>
            </w:r>
            <w:r w:rsidRPr="00A5626D">
              <w:rPr>
                <w:rFonts w:ascii="Garamond" w:hAnsi="Garamond" w:cstheme="minorHAnsi"/>
                <w:b w:val="0"/>
              </w:rPr>
              <w:t xml:space="preserve">. Сведения о типе и модификации </w:t>
            </w:r>
            <w:r w:rsidRPr="00A5626D">
              <w:rPr>
                <w:rFonts w:ascii="Garamond" w:hAnsi="Garamond" w:cstheme="minorHAnsi"/>
                <w:b w:val="0"/>
                <w:highlight w:val="yellow"/>
              </w:rPr>
              <w:t>счетчика</w:t>
            </w:r>
            <w:r w:rsidRPr="00A5626D">
              <w:rPr>
                <w:rFonts w:ascii="Garamond" w:hAnsi="Garamond" w:cstheme="minorHAnsi"/>
                <w:b w:val="0"/>
              </w:rPr>
              <w:t xml:space="preserve"> (или варианте исполнения) указываются в соответствии со справочником приборов учета, формируемым КО на основании данных, содержащихся в Федеральном информационном фонде по обеспечению единства измерений, и публикуемым на официальном сайте АО «АТС». </w:t>
            </w:r>
          </w:p>
          <w:p w14:paraId="6F728B0D" w14:textId="77777777" w:rsidR="00295C6D" w:rsidRPr="00A5626D" w:rsidRDefault="00295C6D" w:rsidP="00E31AE6">
            <w:pPr>
              <w:pStyle w:val="2"/>
              <w:numPr>
                <w:ilvl w:val="0"/>
                <w:numId w:val="0"/>
              </w:numPr>
              <w:tabs>
                <w:tab w:val="left" w:pos="1134"/>
                <w:tab w:val="left" w:pos="7938"/>
              </w:tabs>
              <w:suppressAutoHyphens w:val="0"/>
              <w:spacing w:line="22" w:lineRule="atLeast"/>
              <w:ind w:firstLine="629"/>
              <w:jc w:val="both"/>
              <w:rPr>
                <w:rFonts w:ascii="Garamond" w:hAnsi="Garamond" w:cstheme="minorHAnsi"/>
                <w:b w:val="0"/>
              </w:rPr>
            </w:pPr>
            <w:r w:rsidRPr="00A5626D">
              <w:rPr>
                <w:rFonts w:ascii="Garamond" w:hAnsi="Garamond" w:cstheme="minorHAnsi"/>
                <w:b w:val="0"/>
              </w:rPr>
              <w:t>В случае отсутствия в вышеуказанном справочнике типа и (или) модификации прибора учета, планируемого к включению в ПСИ, субъекту оптового рынка (заявителю) необходимо направить в КО на адрес электронной почты spravka_dku@rosenergo.com заявку в электронном виде без использования ЭП по форме, опубликованной на официальном сайте АО «АТС», в разделе «Коммерческий учет», с приложением сведений о типе и модификации указанного прибора учета и его номере в Государственном реестре средств измерений Федерального информационного фонда по обеспечению единства измерений, а также электронные копии документации, содержащей технические характеристики указанного прибора учета (паспорт, описание типа средств измерений). В срок не позднее 5 (пяти) рабочих дней после получения вышеуказанной информации КО вносит в справочник приборов учета сведения о соответствующем приборе учета;</w:t>
            </w:r>
          </w:p>
          <w:p w14:paraId="184D62CB" w14:textId="77777777" w:rsidR="00295C6D" w:rsidRPr="00A5626D" w:rsidRDefault="00295C6D" w:rsidP="00E31AE6">
            <w:pPr>
              <w:pStyle w:val="2"/>
              <w:numPr>
                <w:ilvl w:val="0"/>
                <w:numId w:val="0"/>
              </w:numPr>
              <w:tabs>
                <w:tab w:val="left" w:pos="1134"/>
                <w:tab w:val="left" w:pos="7938"/>
              </w:tabs>
              <w:suppressAutoHyphens w:val="0"/>
              <w:spacing w:line="22" w:lineRule="atLeast"/>
              <w:ind w:firstLine="629"/>
              <w:jc w:val="both"/>
              <w:rPr>
                <w:rFonts w:ascii="Garamond" w:hAnsi="Garamond" w:cstheme="minorHAnsi"/>
                <w:b w:val="0"/>
              </w:rPr>
            </w:pPr>
            <w:r w:rsidRPr="00A5626D">
              <w:rPr>
                <w:rFonts w:ascii="Garamond" w:hAnsi="Garamond" w:cstheme="minorHAnsi"/>
                <w:b w:val="0"/>
              </w:rPr>
              <w:t>– признак включения в АИИС КУЭ. Признак включения в АИИС КУЭ может указываться при отсутствии Акта о соответствии АИИС КУЭ техническим требованиям оптового рынка;</w:t>
            </w:r>
          </w:p>
          <w:p w14:paraId="6BD3BCF7" w14:textId="77777777" w:rsidR="00295C6D" w:rsidRPr="00A5626D" w:rsidRDefault="00295C6D" w:rsidP="00E31AE6">
            <w:pPr>
              <w:pStyle w:val="2"/>
              <w:numPr>
                <w:ilvl w:val="0"/>
                <w:numId w:val="0"/>
              </w:numPr>
              <w:tabs>
                <w:tab w:val="left" w:pos="1134"/>
                <w:tab w:val="left" w:pos="7938"/>
              </w:tabs>
              <w:suppressAutoHyphens w:val="0"/>
              <w:spacing w:line="22" w:lineRule="atLeast"/>
              <w:ind w:firstLine="629"/>
              <w:jc w:val="both"/>
              <w:rPr>
                <w:rFonts w:ascii="Garamond" w:hAnsi="Garamond" w:cstheme="minorHAnsi"/>
                <w:b w:val="0"/>
              </w:rPr>
            </w:pPr>
            <w:r w:rsidRPr="00A5626D">
              <w:rPr>
                <w:rFonts w:ascii="Garamond" w:hAnsi="Garamond" w:cstheme="minorHAnsi"/>
                <w:b w:val="0"/>
              </w:rPr>
              <w:t>– признак кодирования измерительного канала. Признак кодирования измерительного канала указывается в отношении измерительных каналов, которые необходимо закодировать.</w:t>
            </w:r>
          </w:p>
          <w:p w14:paraId="35054AEA" w14:textId="77777777" w:rsidR="00295C6D" w:rsidRPr="00A5626D" w:rsidRDefault="00295C6D" w:rsidP="00E31AE6">
            <w:pPr>
              <w:pStyle w:val="2"/>
              <w:numPr>
                <w:ilvl w:val="0"/>
                <w:numId w:val="0"/>
              </w:numPr>
              <w:tabs>
                <w:tab w:val="left" w:pos="1134"/>
                <w:tab w:val="left" w:pos="7938"/>
              </w:tabs>
              <w:suppressAutoHyphens w:val="0"/>
              <w:spacing w:line="22" w:lineRule="atLeast"/>
              <w:ind w:firstLine="629"/>
              <w:jc w:val="both"/>
              <w:rPr>
                <w:rFonts w:ascii="Garamond" w:hAnsi="Garamond" w:cstheme="minorHAnsi"/>
                <w:b w:val="0"/>
              </w:rPr>
            </w:pPr>
            <w:r w:rsidRPr="00A5626D">
              <w:rPr>
                <w:rFonts w:ascii="Garamond" w:hAnsi="Garamond" w:cstheme="minorHAnsi"/>
                <w:b w:val="0"/>
                <w:highlight w:val="yellow"/>
              </w:rPr>
              <w:t>В отчетной форме ПСИ</w:t>
            </w:r>
            <w:r w:rsidRPr="00A5626D">
              <w:rPr>
                <w:rFonts w:ascii="Garamond" w:hAnsi="Garamond" w:cstheme="minorHAnsi"/>
                <w:b w:val="0"/>
              </w:rPr>
              <w:t xml:space="preserve"> в столбце «Источник формирования оперативной информации СО (преобразователь ТМ или псевдоизмерения)» указывается информация о </w:t>
            </w:r>
            <w:r w:rsidRPr="00A5626D">
              <w:rPr>
                <w:rFonts w:ascii="Garamond" w:hAnsi="Garamond" w:cstheme="minorHAnsi"/>
                <w:b w:val="0"/>
                <w:highlight w:val="yellow"/>
              </w:rPr>
              <w:t>приоритетных</w:t>
            </w:r>
            <w:r w:rsidRPr="00A5626D">
              <w:rPr>
                <w:rFonts w:ascii="Garamond" w:hAnsi="Garamond" w:cstheme="minorHAnsi"/>
                <w:b w:val="0"/>
              </w:rPr>
              <w:t xml:space="preserve"> источниках формирования данных о сальдо перетоках или данных по генерации.</w:t>
            </w:r>
          </w:p>
          <w:p w14:paraId="2717BE2A" w14:textId="77777777" w:rsidR="00295C6D" w:rsidRPr="00A5626D" w:rsidRDefault="00295C6D" w:rsidP="00E31AE6">
            <w:pPr>
              <w:pStyle w:val="2"/>
              <w:numPr>
                <w:ilvl w:val="0"/>
                <w:numId w:val="0"/>
              </w:numPr>
              <w:tabs>
                <w:tab w:val="left" w:pos="1134"/>
                <w:tab w:val="left" w:pos="7938"/>
              </w:tabs>
              <w:suppressAutoHyphens w:val="0"/>
              <w:spacing w:line="22" w:lineRule="atLeast"/>
              <w:ind w:firstLine="629"/>
              <w:jc w:val="both"/>
              <w:rPr>
                <w:rFonts w:ascii="Garamond" w:hAnsi="Garamond" w:cstheme="minorHAnsi"/>
                <w:b w:val="0"/>
              </w:rPr>
            </w:pPr>
            <w:r w:rsidRPr="00A5626D">
              <w:rPr>
                <w:rFonts w:ascii="Garamond" w:hAnsi="Garamond" w:cstheme="minorHAnsi"/>
                <w:b w:val="0"/>
                <w:highlight w:val="yellow"/>
              </w:rPr>
              <w:t>В отчетной форме ПСИ поле</w:t>
            </w:r>
            <w:r w:rsidRPr="00A5626D">
              <w:rPr>
                <w:rFonts w:ascii="Garamond" w:hAnsi="Garamond" w:cstheme="minorHAnsi"/>
                <w:b w:val="0"/>
              </w:rPr>
              <w:t xml:space="preserve"> «Примечания» может содержать указание на возможность использования для формирования оперативной информации помимо данных, сформированных на основании </w:t>
            </w:r>
            <w:r w:rsidRPr="00A5626D">
              <w:rPr>
                <w:rFonts w:ascii="Garamond" w:hAnsi="Garamond" w:cstheme="minorHAnsi"/>
                <w:b w:val="0"/>
                <w:highlight w:val="yellow"/>
              </w:rPr>
              <w:t>приоритетных</w:t>
            </w:r>
            <w:r w:rsidRPr="00A5626D">
              <w:rPr>
                <w:rFonts w:ascii="Garamond" w:hAnsi="Garamond" w:cstheme="minorHAnsi"/>
                <w:b w:val="0"/>
              </w:rPr>
              <w:t xml:space="preserve"> источников формирования данных, указанных в столбце «Источник формирования оперативной информации СО (преобразователь ТМ или псевдоизмерения)», иные </w:t>
            </w:r>
            <w:r w:rsidRPr="00A5626D">
              <w:rPr>
                <w:rFonts w:ascii="Garamond" w:hAnsi="Garamond" w:cstheme="minorHAnsi"/>
                <w:b w:val="0"/>
              </w:rPr>
              <w:lastRenderedPageBreak/>
              <w:t>имеющиеся в распоряжении СО данные.</w:t>
            </w:r>
          </w:p>
          <w:p w14:paraId="54E70BDA" w14:textId="77777777" w:rsidR="00295C6D" w:rsidRPr="00A5626D" w:rsidRDefault="00295C6D" w:rsidP="00E31AE6">
            <w:pPr>
              <w:pStyle w:val="2"/>
              <w:numPr>
                <w:ilvl w:val="0"/>
                <w:numId w:val="0"/>
              </w:numPr>
              <w:tabs>
                <w:tab w:val="left" w:pos="1134"/>
                <w:tab w:val="left" w:pos="7938"/>
              </w:tabs>
              <w:suppressAutoHyphens w:val="0"/>
              <w:spacing w:line="22" w:lineRule="atLeast"/>
              <w:ind w:firstLine="629"/>
              <w:jc w:val="both"/>
              <w:rPr>
                <w:rFonts w:ascii="Garamond" w:hAnsi="Garamond" w:cstheme="minorHAnsi"/>
                <w:b w:val="0"/>
              </w:rPr>
            </w:pPr>
            <w:r w:rsidRPr="00A5626D">
              <w:rPr>
                <w:rFonts w:ascii="Garamond" w:hAnsi="Garamond" w:cstheme="minorHAnsi"/>
                <w:b w:val="0"/>
              </w:rPr>
              <w:t>Вышеперечисленная информация указывается в соответствующих атрибутах в макете 60000 и описана в настоящем приложении.</w:t>
            </w:r>
          </w:p>
          <w:p w14:paraId="3EBE85AF" w14:textId="77777777" w:rsidR="00295C6D" w:rsidRPr="00A5626D" w:rsidRDefault="00295C6D" w:rsidP="00E31AE6">
            <w:pPr>
              <w:pStyle w:val="2"/>
              <w:numPr>
                <w:ilvl w:val="0"/>
                <w:numId w:val="0"/>
              </w:numPr>
              <w:tabs>
                <w:tab w:val="left" w:pos="1134"/>
                <w:tab w:val="left" w:pos="7938"/>
              </w:tabs>
              <w:suppressAutoHyphens w:val="0"/>
              <w:spacing w:line="22" w:lineRule="atLeast"/>
              <w:ind w:firstLine="629"/>
              <w:jc w:val="both"/>
              <w:rPr>
                <w:rFonts w:ascii="Garamond" w:hAnsi="Garamond" w:cstheme="minorHAnsi"/>
                <w:b w:val="0"/>
                <w:highlight w:val="yellow"/>
              </w:rPr>
            </w:pPr>
            <w:r w:rsidRPr="00A5626D">
              <w:rPr>
                <w:rFonts w:ascii="Garamond" w:hAnsi="Garamond" w:cstheme="minorHAnsi"/>
                <w:b w:val="0"/>
                <w:highlight w:val="yellow"/>
              </w:rPr>
              <w:t>Выбор основных и резервных приборов учета, а также основных и резервных методов должен производиться в соответствии с требованиями настоящего Регламента.</w:t>
            </w:r>
          </w:p>
          <w:p w14:paraId="2E1B5C19" w14:textId="77777777" w:rsidR="00295C6D" w:rsidRPr="00A5626D" w:rsidRDefault="00295C6D" w:rsidP="00E31AE6">
            <w:pPr>
              <w:pStyle w:val="2"/>
              <w:numPr>
                <w:ilvl w:val="0"/>
                <w:numId w:val="0"/>
              </w:numPr>
              <w:tabs>
                <w:tab w:val="left" w:pos="1134"/>
                <w:tab w:val="left" w:pos="7938"/>
              </w:tabs>
              <w:suppressAutoHyphens w:val="0"/>
              <w:spacing w:line="22" w:lineRule="atLeast"/>
              <w:ind w:firstLine="629"/>
              <w:jc w:val="both"/>
              <w:rPr>
                <w:rFonts w:ascii="Garamond" w:hAnsi="Garamond" w:cstheme="minorHAnsi"/>
                <w:b w:val="0"/>
              </w:rPr>
            </w:pPr>
            <w:r w:rsidRPr="00A5626D">
              <w:rPr>
                <w:rFonts w:ascii="Garamond" w:hAnsi="Garamond" w:cstheme="minorHAnsi"/>
                <w:b w:val="0"/>
                <w:highlight w:val="yellow"/>
              </w:rPr>
              <w:t>В отчетной форме ПСИ в столбце «Информация о расчете потерь» указывается информация о необходимости выполнения расчета потерь электроэнергии от ТИ до ТП.</w:t>
            </w:r>
          </w:p>
          <w:p w14:paraId="6AA8F688" w14:textId="77777777" w:rsidR="00295C6D" w:rsidRPr="00A5626D" w:rsidRDefault="00295C6D" w:rsidP="00E31AE6">
            <w:pPr>
              <w:pStyle w:val="2"/>
              <w:numPr>
                <w:ilvl w:val="0"/>
                <w:numId w:val="0"/>
              </w:numPr>
              <w:tabs>
                <w:tab w:val="left" w:pos="1134"/>
                <w:tab w:val="left" w:pos="7938"/>
              </w:tabs>
              <w:suppressAutoHyphens w:val="0"/>
              <w:spacing w:line="22" w:lineRule="atLeast"/>
              <w:ind w:firstLine="629"/>
              <w:jc w:val="both"/>
              <w:rPr>
                <w:rFonts w:ascii="Garamond" w:hAnsi="Garamond" w:cstheme="minorHAnsi"/>
                <w:b w:val="0"/>
              </w:rPr>
            </w:pPr>
            <w:r w:rsidRPr="00A5626D">
              <w:rPr>
                <w:rFonts w:ascii="Garamond" w:hAnsi="Garamond" w:cstheme="minorHAnsi"/>
                <w:b w:val="0"/>
                <w:highlight w:val="yellow"/>
              </w:rPr>
              <w:t>В отчетной форме ПСИ в столбце «Примечания» приводятся необходимые разъяснения, в том числе приводится ссылка на алгоритм расчета величины сальдо перетоков электроэнергии (при необходимости).</w:t>
            </w:r>
          </w:p>
        </w:tc>
        <w:tc>
          <w:tcPr>
            <w:tcW w:w="7088" w:type="dxa"/>
          </w:tcPr>
          <w:p w14:paraId="6F06BC3C" w14:textId="32184323" w:rsidR="00295C6D" w:rsidRPr="00A5626D" w:rsidRDefault="00295C6D" w:rsidP="00E31AE6">
            <w:pPr>
              <w:pStyle w:val="2"/>
              <w:numPr>
                <w:ilvl w:val="0"/>
                <w:numId w:val="0"/>
              </w:numPr>
              <w:tabs>
                <w:tab w:val="left" w:pos="1134"/>
                <w:tab w:val="left" w:pos="7938"/>
              </w:tabs>
              <w:suppressAutoHyphens w:val="0"/>
              <w:spacing w:line="22" w:lineRule="atLeast"/>
              <w:ind w:firstLine="629"/>
              <w:jc w:val="both"/>
              <w:rPr>
                <w:rFonts w:ascii="Garamond" w:hAnsi="Garamond" w:cstheme="minorHAnsi"/>
                <w:b w:val="0"/>
              </w:rPr>
            </w:pPr>
            <w:r w:rsidRPr="00A5626D">
              <w:rPr>
                <w:rFonts w:ascii="Garamond" w:hAnsi="Garamond" w:cstheme="minorHAnsi"/>
                <w:b w:val="0"/>
              </w:rPr>
              <w:lastRenderedPageBreak/>
              <w:t xml:space="preserve">Требования к заполнению ПСИ в части информации о составе точек поставки </w:t>
            </w:r>
            <w:r w:rsidRPr="00A5626D">
              <w:rPr>
                <w:rFonts w:ascii="Garamond" w:hAnsi="Garamond" w:cstheme="minorHAnsi"/>
                <w:b w:val="0"/>
                <w:highlight w:val="yellow"/>
              </w:rPr>
              <w:t>(точек присоединения)</w:t>
            </w:r>
            <w:r w:rsidRPr="00A5626D">
              <w:rPr>
                <w:rFonts w:ascii="Garamond" w:hAnsi="Garamond" w:cstheme="minorHAnsi"/>
                <w:b w:val="0"/>
              </w:rPr>
              <w:t xml:space="preserve"> и точек измерений в сечении КУ / внутреннем сечении / ГТП генерации </w:t>
            </w:r>
            <w:r w:rsidRPr="00A5626D">
              <w:rPr>
                <w:rFonts w:ascii="Garamond" w:hAnsi="Garamond" w:cstheme="minorHAnsi"/>
                <w:b w:val="0"/>
                <w:highlight w:val="yellow"/>
              </w:rPr>
              <w:t>/ объекте регулирования</w:t>
            </w:r>
            <w:r w:rsidRPr="00A5626D">
              <w:rPr>
                <w:rFonts w:ascii="Garamond" w:hAnsi="Garamond" w:cstheme="minorHAnsi"/>
                <w:b w:val="0"/>
              </w:rPr>
              <w:t>, кодируемых измерительных каналах в приборах учета</w:t>
            </w:r>
          </w:p>
          <w:p w14:paraId="70703B29" w14:textId="77777777" w:rsidR="00295C6D" w:rsidRPr="00A5626D" w:rsidRDefault="00295C6D" w:rsidP="00E31AE6">
            <w:pPr>
              <w:pStyle w:val="2"/>
              <w:numPr>
                <w:ilvl w:val="0"/>
                <w:numId w:val="0"/>
              </w:numPr>
              <w:tabs>
                <w:tab w:val="left" w:pos="629"/>
                <w:tab w:val="left" w:pos="1134"/>
                <w:tab w:val="left" w:pos="7938"/>
              </w:tabs>
              <w:suppressAutoHyphens w:val="0"/>
              <w:spacing w:line="22" w:lineRule="atLeast"/>
              <w:ind w:firstLine="601"/>
              <w:jc w:val="both"/>
              <w:rPr>
                <w:rFonts w:ascii="Garamond" w:hAnsi="Garamond" w:cstheme="minorHAnsi"/>
                <w:b w:val="0"/>
                <w:highlight w:val="yellow"/>
              </w:rPr>
            </w:pPr>
            <w:r w:rsidRPr="00A5626D">
              <w:rPr>
                <w:rFonts w:ascii="Garamond" w:hAnsi="Garamond" w:cstheme="minorHAnsi"/>
                <w:b w:val="0"/>
              </w:rPr>
              <w:t xml:space="preserve">В отчетной форме ПСИ </w:t>
            </w:r>
            <w:r w:rsidRPr="00A5626D">
              <w:rPr>
                <w:rFonts w:ascii="Garamond" w:hAnsi="Garamond" w:cstheme="minorHAnsi"/>
                <w:b w:val="0"/>
                <w:highlight w:val="yellow"/>
              </w:rPr>
              <w:t>по сечению коммерческого учета / ГТП генерации:</w:t>
            </w:r>
          </w:p>
          <w:p w14:paraId="1C9A8D5B" w14:textId="773EDE89" w:rsidR="00295C6D" w:rsidRPr="00A5626D" w:rsidRDefault="00295C6D" w:rsidP="00E31AE6">
            <w:pPr>
              <w:pStyle w:val="2"/>
              <w:numPr>
                <w:ilvl w:val="0"/>
                <w:numId w:val="0"/>
              </w:numPr>
              <w:tabs>
                <w:tab w:val="left" w:pos="629"/>
                <w:tab w:val="left" w:pos="1134"/>
                <w:tab w:val="left" w:pos="7938"/>
              </w:tabs>
              <w:suppressAutoHyphens w:val="0"/>
              <w:spacing w:line="22" w:lineRule="atLeast"/>
              <w:ind w:firstLine="601"/>
              <w:jc w:val="both"/>
              <w:rPr>
                <w:rFonts w:ascii="Garamond" w:hAnsi="Garamond" w:cstheme="minorHAnsi"/>
                <w:b w:val="0"/>
              </w:rPr>
            </w:pPr>
            <w:r w:rsidRPr="00A5626D">
              <w:rPr>
                <w:rFonts w:ascii="Garamond" w:hAnsi="Garamond" w:cstheme="minorHAnsi"/>
                <w:b w:val="0"/>
                <w:highlight w:val="yellow"/>
              </w:rPr>
              <w:t>1)</w:t>
            </w:r>
            <w:r w:rsidRPr="00A5626D">
              <w:rPr>
                <w:rFonts w:ascii="Garamond" w:hAnsi="Garamond" w:cstheme="minorHAnsi"/>
                <w:b w:val="0"/>
              </w:rPr>
              <w:t xml:space="preserve"> в столбце «точка поставки (наименование точки поставки, номер точки поставки)» для каждой точки поставки должн</w:t>
            </w:r>
            <w:r w:rsidRPr="00A5626D">
              <w:rPr>
                <w:rFonts w:ascii="Garamond" w:hAnsi="Garamond" w:cstheme="minorHAnsi"/>
                <w:b w:val="0"/>
                <w:highlight w:val="yellow"/>
              </w:rPr>
              <w:t>ы быть указаны е</w:t>
            </w:r>
            <w:r w:rsidR="00BC4FC4" w:rsidRPr="00A5626D">
              <w:rPr>
                <w:rFonts w:ascii="Garamond" w:hAnsi="Garamond" w:cstheme="minorHAnsi"/>
                <w:b w:val="0"/>
                <w:highlight w:val="yellow"/>
              </w:rPr>
              <w:t>е</w:t>
            </w:r>
            <w:r w:rsidRPr="00A5626D">
              <w:rPr>
                <w:rFonts w:ascii="Garamond" w:hAnsi="Garamond" w:cstheme="minorHAnsi"/>
                <w:b w:val="0"/>
              </w:rPr>
              <w:t xml:space="preserve"> наименование </w:t>
            </w:r>
            <w:r w:rsidRPr="00A5626D">
              <w:rPr>
                <w:rFonts w:ascii="Garamond" w:hAnsi="Garamond" w:cstheme="minorHAnsi"/>
                <w:b w:val="0"/>
                <w:highlight w:val="yellow"/>
              </w:rPr>
              <w:t xml:space="preserve">и номер </w:t>
            </w:r>
            <w:r w:rsidRPr="00A5626D">
              <w:rPr>
                <w:rFonts w:ascii="Garamond" w:hAnsi="Garamond" w:cstheme="minorHAnsi"/>
                <w:b w:val="0"/>
              </w:rPr>
              <w:t>в соответствии с однолинейной схемой</w:t>
            </w:r>
            <w:r w:rsidR="00ED21EC">
              <w:rPr>
                <w:rFonts w:ascii="Garamond" w:hAnsi="Garamond" w:cstheme="minorHAnsi"/>
                <w:b w:val="0"/>
              </w:rPr>
              <w:t>;</w:t>
            </w:r>
          </w:p>
          <w:p w14:paraId="702DA077" w14:textId="77777777" w:rsidR="00295C6D" w:rsidRPr="00A5626D" w:rsidRDefault="00295C6D" w:rsidP="00E31AE6">
            <w:pPr>
              <w:pStyle w:val="2"/>
              <w:numPr>
                <w:ilvl w:val="0"/>
                <w:numId w:val="0"/>
              </w:numPr>
              <w:tabs>
                <w:tab w:val="left" w:pos="629"/>
                <w:tab w:val="left" w:pos="1134"/>
                <w:tab w:val="left" w:pos="7938"/>
              </w:tabs>
              <w:suppressAutoHyphens w:val="0"/>
              <w:spacing w:line="22" w:lineRule="atLeast"/>
              <w:ind w:firstLine="601"/>
              <w:jc w:val="both"/>
              <w:rPr>
                <w:rFonts w:ascii="Garamond" w:hAnsi="Garamond" w:cstheme="minorHAnsi"/>
                <w:b w:val="0"/>
              </w:rPr>
            </w:pPr>
            <w:r w:rsidRPr="00A5626D">
              <w:rPr>
                <w:rFonts w:ascii="Garamond" w:hAnsi="Garamond" w:cstheme="minorHAnsi"/>
                <w:b w:val="0"/>
                <w:highlight w:val="yellow"/>
              </w:rPr>
              <w:t>2)</w:t>
            </w:r>
            <w:r w:rsidRPr="00A5626D">
              <w:rPr>
                <w:rFonts w:ascii="Garamond" w:hAnsi="Garamond" w:cstheme="minorHAnsi"/>
                <w:b w:val="0"/>
              </w:rPr>
              <w:t xml:space="preserve"> в столбце «Центр питания (ПС 110 кВ и выше, электростанция)» для каждой точки поставки должно быть указано диспетчерское наименование центра питания, который соотнесен на общей однолинейной схеме или однолинейной схеме по сечению (для случая выполнения требования п. 2.7 приложения 5 к </w:t>
            </w:r>
            <w:r w:rsidRPr="00A5626D">
              <w:rPr>
                <w:rFonts w:ascii="Garamond" w:hAnsi="Garamond" w:cstheme="minorHAnsi"/>
                <w:b w:val="0"/>
                <w:i/>
              </w:rPr>
              <w:t>Положению о порядке получения статуса субъекта оптового рынка и ведения реестра субъектов оптового рынка</w:t>
            </w:r>
            <w:r w:rsidRPr="00A5626D">
              <w:rPr>
                <w:rFonts w:ascii="Garamond" w:hAnsi="Garamond" w:cstheme="minorHAnsi"/>
                <w:b w:val="0"/>
              </w:rPr>
              <w:t xml:space="preserve"> (Приложение № 1.1 к </w:t>
            </w:r>
            <w:r w:rsidRPr="00A5626D">
              <w:rPr>
                <w:rFonts w:ascii="Garamond" w:hAnsi="Garamond" w:cstheme="minorHAnsi"/>
                <w:b w:val="0"/>
                <w:i/>
              </w:rPr>
              <w:t>Договору о присоединении к торговой системе оптового рынка</w:t>
            </w:r>
            <w:r w:rsidRPr="00A5626D">
              <w:rPr>
                <w:rFonts w:ascii="Garamond" w:hAnsi="Garamond" w:cstheme="minorHAnsi"/>
                <w:b w:val="0"/>
              </w:rPr>
              <w:t xml:space="preserve">)) с соответствующей точкой поставки. </w:t>
            </w:r>
            <w:r w:rsidRPr="00A5626D">
              <w:rPr>
                <w:rFonts w:ascii="Garamond" w:hAnsi="Garamond" w:cstheme="minorHAnsi"/>
                <w:b w:val="0"/>
                <w:highlight w:val="yellow"/>
              </w:rPr>
              <w:t>При этом</w:t>
            </w:r>
            <w:r w:rsidRPr="00A5626D">
              <w:rPr>
                <w:rFonts w:ascii="Garamond" w:hAnsi="Garamond" w:cstheme="minorHAnsi"/>
                <w:b w:val="0"/>
              </w:rPr>
              <w:t xml:space="preserve"> под «центром питания» </w:t>
            </w:r>
            <w:r w:rsidRPr="00A5626D">
              <w:rPr>
                <w:rFonts w:ascii="Garamond" w:hAnsi="Garamond" w:cstheme="minorHAnsi"/>
                <w:b w:val="0"/>
              </w:rPr>
              <w:lastRenderedPageBreak/>
              <w:t>понимается:</w:t>
            </w:r>
          </w:p>
          <w:p w14:paraId="2171EF37" w14:textId="77777777" w:rsidR="00295C6D" w:rsidRPr="00A5626D" w:rsidRDefault="00295C6D" w:rsidP="00E31AE6">
            <w:pPr>
              <w:pStyle w:val="2"/>
              <w:numPr>
                <w:ilvl w:val="0"/>
                <w:numId w:val="0"/>
              </w:numPr>
              <w:tabs>
                <w:tab w:val="left" w:pos="629"/>
                <w:tab w:val="left" w:pos="1134"/>
                <w:tab w:val="left" w:pos="7938"/>
              </w:tabs>
              <w:suppressAutoHyphens w:val="0"/>
              <w:spacing w:line="22" w:lineRule="atLeast"/>
              <w:ind w:firstLine="601"/>
              <w:jc w:val="both"/>
              <w:rPr>
                <w:rFonts w:ascii="Garamond" w:hAnsi="Garamond" w:cstheme="minorHAnsi"/>
                <w:b w:val="0"/>
              </w:rPr>
            </w:pPr>
            <w:r w:rsidRPr="00A5626D">
              <w:rPr>
                <w:rFonts w:ascii="Garamond" w:hAnsi="Garamond" w:cstheme="minorHAnsi"/>
                <w:b w:val="0"/>
              </w:rPr>
              <w:t>– подстанция 110 кВ и выше или электростанция, электрически связанная в нормальном режиме работы энергосистемы с энергообъектом, на котором расположена точка поставки, или</w:t>
            </w:r>
          </w:p>
          <w:p w14:paraId="2AF2DFBB" w14:textId="77777777" w:rsidR="00295C6D" w:rsidRPr="00A5626D" w:rsidRDefault="00295C6D" w:rsidP="00E31AE6">
            <w:pPr>
              <w:pStyle w:val="2"/>
              <w:numPr>
                <w:ilvl w:val="0"/>
                <w:numId w:val="0"/>
              </w:numPr>
              <w:tabs>
                <w:tab w:val="left" w:pos="629"/>
                <w:tab w:val="left" w:pos="1134"/>
                <w:tab w:val="left" w:pos="7938"/>
              </w:tabs>
              <w:suppressAutoHyphens w:val="0"/>
              <w:spacing w:line="22" w:lineRule="atLeast"/>
              <w:ind w:firstLine="601"/>
              <w:jc w:val="both"/>
              <w:rPr>
                <w:rFonts w:ascii="Garamond" w:hAnsi="Garamond" w:cstheme="minorHAnsi"/>
                <w:b w:val="0"/>
              </w:rPr>
            </w:pPr>
            <w:r w:rsidRPr="00A5626D">
              <w:rPr>
                <w:rFonts w:ascii="Garamond" w:hAnsi="Garamond" w:cstheme="minorHAnsi"/>
                <w:b w:val="0"/>
              </w:rPr>
              <w:t>– подстанция 110 кВ и выше или электростанция, если точка поставки расположена на указанном энергообъекте.</w:t>
            </w:r>
          </w:p>
          <w:p w14:paraId="427DDF1A" w14:textId="2CF05BF4" w:rsidR="00295C6D" w:rsidRPr="00A5626D" w:rsidRDefault="00295C6D" w:rsidP="00E31AE6">
            <w:pPr>
              <w:pStyle w:val="2"/>
              <w:numPr>
                <w:ilvl w:val="0"/>
                <w:numId w:val="0"/>
              </w:numPr>
              <w:tabs>
                <w:tab w:val="left" w:pos="629"/>
                <w:tab w:val="left" w:pos="1134"/>
                <w:tab w:val="left" w:pos="7938"/>
              </w:tabs>
              <w:suppressAutoHyphens w:val="0"/>
              <w:spacing w:line="22" w:lineRule="atLeast"/>
              <w:ind w:firstLine="601"/>
              <w:jc w:val="both"/>
              <w:rPr>
                <w:rFonts w:ascii="Garamond" w:hAnsi="Garamond" w:cstheme="minorHAnsi"/>
                <w:b w:val="0"/>
              </w:rPr>
            </w:pPr>
            <w:r w:rsidRPr="00A5626D">
              <w:rPr>
                <w:rFonts w:ascii="Garamond" w:hAnsi="Garamond" w:cstheme="minorHAnsi"/>
                <w:b w:val="0"/>
              </w:rPr>
              <w:t xml:space="preserve">Сведения о диспетчерском наименовании центра питания, указываемые в соответствии со справочником центров питания, публикуемым на официальном сайте АО «АТС», не должны противоречить диспетчерским наименованиям центров питания, отображенных на общей однолинейной схеме или однолинейной схеме по сечению (для случая выполнения требования п. 2.7 приложения 5 к </w:t>
            </w:r>
            <w:r w:rsidRPr="00A5626D">
              <w:rPr>
                <w:rFonts w:ascii="Garamond" w:hAnsi="Garamond" w:cstheme="minorHAnsi"/>
                <w:b w:val="0"/>
                <w:i/>
              </w:rPr>
              <w:t>Положению о порядке получения статуса субъекта оптового рынка и ведения реестра субъектов оптового рынка</w:t>
            </w:r>
            <w:r w:rsidRPr="00A5626D">
              <w:rPr>
                <w:rFonts w:ascii="Garamond" w:hAnsi="Garamond" w:cstheme="minorHAnsi"/>
                <w:b w:val="0"/>
              </w:rPr>
              <w:t xml:space="preserve"> (Приложение № 1.1 к </w:t>
            </w:r>
            <w:r w:rsidRPr="00A5626D">
              <w:rPr>
                <w:rFonts w:ascii="Garamond" w:hAnsi="Garamond" w:cstheme="minorHAnsi"/>
                <w:b w:val="0"/>
                <w:i/>
              </w:rPr>
              <w:t>Договору о присоединении к торговой системе оптового рынка</w:t>
            </w:r>
            <w:r w:rsidRPr="00A5626D">
              <w:rPr>
                <w:rFonts w:ascii="Garamond" w:hAnsi="Garamond" w:cstheme="minorHAnsi"/>
                <w:b w:val="0"/>
              </w:rPr>
              <w:t>). Порядок внесения изменений в справочник центров питания определен п. 2.2.8 настоящего приложения</w:t>
            </w:r>
            <w:r w:rsidR="00ED21EC">
              <w:rPr>
                <w:rFonts w:ascii="Garamond" w:hAnsi="Garamond" w:cstheme="minorHAnsi"/>
                <w:b w:val="0"/>
              </w:rPr>
              <w:t>;</w:t>
            </w:r>
            <w:r w:rsidRPr="00A5626D">
              <w:rPr>
                <w:rFonts w:ascii="Garamond" w:hAnsi="Garamond" w:cstheme="minorHAnsi"/>
                <w:b w:val="0"/>
              </w:rPr>
              <w:t xml:space="preserve"> </w:t>
            </w:r>
          </w:p>
          <w:p w14:paraId="71E4BDF0" w14:textId="77777777" w:rsidR="00295C6D" w:rsidRPr="00A5626D" w:rsidRDefault="00295C6D" w:rsidP="00E31AE6">
            <w:pPr>
              <w:pStyle w:val="2"/>
              <w:numPr>
                <w:ilvl w:val="0"/>
                <w:numId w:val="0"/>
              </w:numPr>
              <w:tabs>
                <w:tab w:val="left" w:pos="1134"/>
                <w:tab w:val="left" w:pos="7938"/>
              </w:tabs>
              <w:suppressAutoHyphens w:val="0"/>
              <w:spacing w:line="22" w:lineRule="atLeast"/>
              <w:ind w:firstLine="629"/>
              <w:jc w:val="both"/>
              <w:rPr>
                <w:rFonts w:ascii="Garamond" w:hAnsi="Garamond" w:cstheme="minorHAnsi"/>
                <w:b w:val="0"/>
              </w:rPr>
            </w:pPr>
            <w:r w:rsidRPr="00A5626D">
              <w:rPr>
                <w:rFonts w:ascii="Garamond" w:hAnsi="Garamond" w:cstheme="minorHAnsi"/>
                <w:b w:val="0"/>
                <w:highlight w:val="yellow"/>
              </w:rPr>
              <w:t>3)</w:t>
            </w:r>
            <w:r w:rsidRPr="00A5626D">
              <w:rPr>
                <w:rFonts w:ascii="Garamond" w:hAnsi="Garamond" w:cstheme="minorHAnsi"/>
                <w:b w:val="0"/>
              </w:rPr>
              <w:t xml:space="preserve"> в столбце «точки приема-передачи электроэнергии (мощности)» / «точки измерений электроэнергии и мощности» должна содержаться следующая информация, касающаяся средств измерений, участвующих в формировании данных о величине сальдо перетоков / произведенной электроэнергии:</w:t>
            </w:r>
          </w:p>
          <w:p w14:paraId="6F5783B1" w14:textId="77777777" w:rsidR="00295C6D" w:rsidRPr="00A5626D" w:rsidRDefault="00295C6D" w:rsidP="00E31AE6">
            <w:pPr>
              <w:pStyle w:val="2"/>
              <w:numPr>
                <w:ilvl w:val="0"/>
                <w:numId w:val="0"/>
              </w:numPr>
              <w:tabs>
                <w:tab w:val="left" w:pos="1134"/>
                <w:tab w:val="left" w:pos="7938"/>
              </w:tabs>
              <w:suppressAutoHyphens w:val="0"/>
              <w:spacing w:line="22" w:lineRule="atLeast"/>
              <w:ind w:firstLine="629"/>
              <w:jc w:val="both"/>
              <w:rPr>
                <w:rFonts w:ascii="Garamond" w:hAnsi="Garamond" w:cstheme="minorHAnsi"/>
                <w:b w:val="0"/>
              </w:rPr>
            </w:pPr>
            <w:r w:rsidRPr="00A5626D">
              <w:rPr>
                <w:rFonts w:ascii="Garamond" w:hAnsi="Garamond" w:cstheme="minorHAnsi"/>
                <w:b w:val="0"/>
              </w:rPr>
              <w:t xml:space="preserve">– наименование точки измерений, в которой установлены основные или резервные приборы учета – присваивается в соответствии с местом расположения трансформатора тока или местом присоединения </w:t>
            </w:r>
            <w:r w:rsidRPr="00A5626D">
              <w:rPr>
                <w:rFonts w:ascii="Garamond" w:hAnsi="Garamond" w:cstheme="minorHAnsi"/>
                <w:b w:val="0"/>
                <w:highlight w:val="yellow"/>
              </w:rPr>
              <w:t>прибора учета</w:t>
            </w:r>
            <w:r w:rsidRPr="00A5626D">
              <w:rPr>
                <w:rFonts w:ascii="Garamond" w:hAnsi="Garamond" w:cstheme="minorHAnsi"/>
                <w:b w:val="0"/>
              </w:rPr>
              <w:t xml:space="preserve"> прямого включения на однолинейной схеме, номер точки измерения, типы и модификации </w:t>
            </w:r>
            <w:r w:rsidRPr="00A5626D">
              <w:rPr>
                <w:rFonts w:ascii="Garamond" w:hAnsi="Garamond" w:cstheme="minorHAnsi"/>
                <w:b w:val="0"/>
                <w:highlight w:val="yellow"/>
              </w:rPr>
              <w:t>приборов учета</w:t>
            </w:r>
            <w:r w:rsidRPr="00A5626D">
              <w:rPr>
                <w:rFonts w:ascii="Garamond" w:hAnsi="Garamond" w:cstheme="minorHAnsi"/>
                <w:b w:val="0"/>
              </w:rPr>
              <w:t>, установленных в точках измерени</w:t>
            </w:r>
            <w:r w:rsidRPr="00A5626D">
              <w:rPr>
                <w:rFonts w:ascii="Garamond" w:hAnsi="Garamond" w:cstheme="minorHAnsi"/>
                <w:b w:val="0"/>
                <w:highlight w:val="yellow"/>
              </w:rPr>
              <w:t>й</w:t>
            </w:r>
            <w:r w:rsidRPr="00A5626D">
              <w:rPr>
                <w:rFonts w:ascii="Garamond" w:hAnsi="Garamond" w:cstheme="minorHAnsi"/>
                <w:b w:val="0"/>
              </w:rPr>
              <w:t>, направление измеряемой электроэнергии.</w:t>
            </w:r>
          </w:p>
          <w:p w14:paraId="0B63FF89" w14:textId="77777777" w:rsidR="00295C6D" w:rsidRPr="00A5626D" w:rsidRDefault="00295C6D" w:rsidP="00E31AE6">
            <w:pPr>
              <w:pStyle w:val="2"/>
              <w:numPr>
                <w:ilvl w:val="0"/>
                <w:numId w:val="0"/>
              </w:numPr>
              <w:tabs>
                <w:tab w:val="left" w:pos="1134"/>
                <w:tab w:val="left" w:pos="7938"/>
              </w:tabs>
              <w:suppressAutoHyphens w:val="0"/>
              <w:spacing w:line="22" w:lineRule="atLeast"/>
              <w:ind w:firstLine="629"/>
              <w:jc w:val="both"/>
              <w:rPr>
                <w:rFonts w:ascii="Garamond" w:hAnsi="Garamond" w:cstheme="minorHAnsi"/>
                <w:b w:val="0"/>
              </w:rPr>
            </w:pPr>
            <w:r w:rsidRPr="00A5626D">
              <w:rPr>
                <w:rFonts w:ascii="Garamond" w:hAnsi="Garamond" w:cstheme="minorHAnsi"/>
                <w:b w:val="0"/>
              </w:rPr>
              <w:t xml:space="preserve"> Направление «Отдача» и «Прием» заполняются в отношении расположения прибора учета относительно границы балансовой принадлежности. При заполнении информации о направлении измеряемой электроэнергии в измерительном канале «отдача» необходимо указывать направление энергии от точки измерени</w:t>
            </w:r>
            <w:r w:rsidRPr="00A5626D">
              <w:rPr>
                <w:rFonts w:ascii="Garamond" w:hAnsi="Garamond" w:cstheme="minorHAnsi"/>
                <w:b w:val="0"/>
                <w:highlight w:val="yellow"/>
              </w:rPr>
              <w:t>й</w:t>
            </w:r>
            <w:r w:rsidRPr="00A5626D">
              <w:rPr>
                <w:rFonts w:ascii="Garamond" w:hAnsi="Garamond" w:cstheme="minorHAnsi"/>
                <w:b w:val="0"/>
              </w:rPr>
              <w:t xml:space="preserve"> к точке поставки, в измерительном канале «прием» ― в направлении от точки поставки к точке измерени</w:t>
            </w:r>
            <w:r w:rsidRPr="00A5626D">
              <w:rPr>
                <w:rFonts w:ascii="Garamond" w:hAnsi="Garamond" w:cstheme="minorHAnsi"/>
                <w:b w:val="0"/>
                <w:highlight w:val="yellow"/>
              </w:rPr>
              <w:t>й</w:t>
            </w:r>
            <w:r w:rsidRPr="00A5626D" w:rsidDel="00E30BB7">
              <w:rPr>
                <w:rFonts w:ascii="Garamond" w:hAnsi="Garamond" w:cstheme="minorHAnsi"/>
                <w:b w:val="0"/>
              </w:rPr>
              <w:t xml:space="preserve"> </w:t>
            </w:r>
            <w:r w:rsidRPr="00A5626D">
              <w:rPr>
                <w:rFonts w:ascii="Garamond" w:hAnsi="Garamond" w:cstheme="minorHAnsi"/>
                <w:b w:val="0"/>
              </w:rPr>
              <w:t xml:space="preserve">Сведения о типе и модификации </w:t>
            </w:r>
            <w:r w:rsidRPr="00A5626D">
              <w:rPr>
                <w:rFonts w:ascii="Garamond" w:hAnsi="Garamond" w:cstheme="minorHAnsi"/>
                <w:b w:val="0"/>
                <w:highlight w:val="yellow"/>
              </w:rPr>
              <w:t>прибора учета</w:t>
            </w:r>
            <w:r w:rsidRPr="00A5626D">
              <w:rPr>
                <w:rFonts w:ascii="Garamond" w:hAnsi="Garamond" w:cstheme="minorHAnsi"/>
                <w:b w:val="0"/>
              </w:rPr>
              <w:t xml:space="preserve"> (или варианте исполнения) указываются в соответствии со справочником приборов учета, формируемым КО на основании данных, содержащихся в Федеральном информационном фонде по обеспечению единства измерений, и публикуемым на официальном сайте АО «АТС». В случае отсутствия в </w:t>
            </w:r>
            <w:r w:rsidRPr="00A5626D">
              <w:rPr>
                <w:rFonts w:ascii="Garamond" w:hAnsi="Garamond" w:cstheme="minorHAnsi"/>
                <w:b w:val="0"/>
              </w:rPr>
              <w:lastRenderedPageBreak/>
              <w:t>вышеуказанном справочнике типа и (или) модификации прибора учета, планируемого к включению в ПСИ, субъекту оптового рынка (заявителю) необходимо направить в КО на адрес электронной почты spravka_dku@rosenergo.com заявку в электронном виде без использования ЭП по форме, опубликованной на официальном сайте АО «АТС», в разделе «Коммерческий учет», с приложением сведений о типе и модификации указанного прибора учета и его номере в Государственном реестре средств измерений Федерального информационного фонда по обеспечению единства измерений, а также электронные копии документации, содержащей технические характеристики указанного прибора учета (паспорт, описание типа средств измерений). В срок не позднее 5 (пяти) рабочих дней после получения вышеуказанной информации КО вносит в справочник приборов учета сведения о соответствующем приборе учета;</w:t>
            </w:r>
          </w:p>
          <w:p w14:paraId="164EE358" w14:textId="77777777" w:rsidR="00295C6D" w:rsidRPr="00A5626D" w:rsidRDefault="00295C6D" w:rsidP="00E31AE6">
            <w:pPr>
              <w:pStyle w:val="2"/>
              <w:numPr>
                <w:ilvl w:val="0"/>
                <w:numId w:val="0"/>
              </w:numPr>
              <w:tabs>
                <w:tab w:val="left" w:pos="1134"/>
                <w:tab w:val="left" w:pos="7938"/>
              </w:tabs>
              <w:suppressAutoHyphens w:val="0"/>
              <w:spacing w:line="22" w:lineRule="atLeast"/>
              <w:ind w:firstLine="629"/>
              <w:jc w:val="both"/>
              <w:rPr>
                <w:rFonts w:ascii="Garamond" w:hAnsi="Garamond" w:cstheme="minorHAnsi"/>
                <w:b w:val="0"/>
              </w:rPr>
            </w:pPr>
            <w:r w:rsidRPr="00A5626D">
              <w:rPr>
                <w:rFonts w:ascii="Garamond" w:hAnsi="Garamond" w:cstheme="minorHAnsi"/>
                <w:b w:val="0"/>
              </w:rPr>
              <w:t>– признак включения в АИИС КУЭ. Признак включения в АИИС КУЭ может указываться при отсутствии Акта о соответствии АИИС КУЭ техническим требованиям оптового рынка;</w:t>
            </w:r>
          </w:p>
          <w:p w14:paraId="6B745FC3" w14:textId="77777777" w:rsidR="00295C6D" w:rsidRPr="00A5626D" w:rsidRDefault="00295C6D" w:rsidP="00E31AE6">
            <w:pPr>
              <w:pStyle w:val="2"/>
              <w:numPr>
                <w:ilvl w:val="0"/>
                <w:numId w:val="0"/>
              </w:numPr>
              <w:tabs>
                <w:tab w:val="left" w:pos="1134"/>
                <w:tab w:val="left" w:pos="7938"/>
              </w:tabs>
              <w:suppressAutoHyphens w:val="0"/>
              <w:spacing w:line="22" w:lineRule="atLeast"/>
              <w:ind w:firstLine="629"/>
              <w:jc w:val="both"/>
              <w:rPr>
                <w:rFonts w:ascii="Garamond" w:hAnsi="Garamond" w:cstheme="minorHAnsi"/>
                <w:b w:val="0"/>
              </w:rPr>
            </w:pPr>
            <w:r w:rsidRPr="00A5626D">
              <w:rPr>
                <w:rFonts w:ascii="Garamond" w:hAnsi="Garamond" w:cstheme="minorHAnsi"/>
                <w:b w:val="0"/>
              </w:rPr>
              <w:t xml:space="preserve">– признак кодирования измерительного канала. Признак кодирования измерительного канала указывается в отношении измерительных каналов, которые необходимо закодировать </w:t>
            </w:r>
            <w:r w:rsidRPr="00A5626D">
              <w:rPr>
                <w:rFonts w:ascii="Garamond" w:hAnsi="Garamond" w:cstheme="minorHAnsi"/>
                <w:b w:val="0"/>
                <w:highlight w:val="yellow"/>
              </w:rPr>
              <w:t xml:space="preserve">КО в порядке, предусмотренном </w:t>
            </w:r>
            <w:r w:rsidRPr="00A5626D">
              <w:rPr>
                <w:rFonts w:ascii="Garamond" w:hAnsi="Garamond" w:cstheme="minorHAnsi"/>
                <w:b w:val="0"/>
                <w:i/>
                <w:highlight w:val="yellow"/>
              </w:rPr>
              <w:t>Положением о порядке получения статуса субъекта оптового рынка и ведения реестра субъектов оптового рынка</w:t>
            </w:r>
            <w:r w:rsidRPr="00A5626D">
              <w:rPr>
                <w:rFonts w:ascii="Garamond" w:hAnsi="Garamond" w:cstheme="minorHAnsi"/>
                <w:b w:val="0"/>
                <w:highlight w:val="yellow"/>
              </w:rPr>
              <w:t xml:space="preserve"> (Приложение № 1.1 к </w:t>
            </w:r>
            <w:r w:rsidRPr="00A5626D">
              <w:rPr>
                <w:rFonts w:ascii="Garamond" w:hAnsi="Garamond" w:cstheme="minorHAnsi"/>
                <w:b w:val="0"/>
                <w:i/>
                <w:highlight w:val="yellow"/>
              </w:rPr>
              <w:t>Договору о присоединении к торговой системе оптового рынка</w:t>
            </w:r>
            <w:r w:rsidR="00E4538C" w:rsidRPr="00A5626D">
              <w:rPr>
                <w:rFonts w:ascii="Garamond" w:hAnsi="Garamond" w:cstheme="minorHAnsi"/>
                <w:b w:val="0"/>
                <w:highlight w:val="yellow"/>
              </w:rPr>
              <w:t>)</w:t>
            </w:r>
            <w:r w:rsidR="00E4538C" w:rsidRPr="00A5626D">
              <w:rPr>
                <w:rFonts w:ascii="Garamond" w:hAnsi="Garamond" w:cstheme="minorHAnsi"/>
                <w:b w:val="0"/>
              </w:rPr>
              <w:t>;</w:t>
            </w:r>
          </w:p>
          <w:p w14:paraId="6A8AAFE7" w14:textId="77777777" w:rsidR="00295C6D" w:rsidRPr="00A5626D" w:rsidRDefault="00295C6D" w:rsidP="00E31AE6">
            <w:pPr>
              <w:pStyle w:val="2"/>
              <w:numPr>
                <w:ilvl w:val="0"/>
                <w:numId w:val="0"/>
              </w:numPr>
              <w:tabs>
                <w:tab w:val="left" w:pos="1134"/>
                <w:tab w:val="left" w:pos="7938"/>
              </w:tabs>
              <w:suppressAutoHyphens w:val="0"/>
              <w:spacing w:line="22" w:lineRule="atLeast"/>
              <w:ind w:firstLine="629"/>
              <w:jc w:val="both"/>
              <w:rPr>
                <w:rFonts w:ascii="Garamond" w:hAnsi="Garamond" w:cstheme="minorHAnsi"/>
                <w:b w:val="0"/>
              </w:rPr>
            </w:pPr>
            <w:r w:rsidRPr="00A5626D">
              <w:rPr>
                <w:rFonts w:ascii="Garamond" w:hAnsi="Garamond" w:cstheme="minorHAnsi"/>
                <w:b w:val="0"/>
                <w:highlight w:val="yellow"/>
              </w:rPr>
              <w:t>4)</w:t>
            </w:r>
            <w:r w:rsidRPr="00A5626D">
              <w:rPr>
                <w:rFonts w:ascii="Garamond" w:hAnsi="Garamond" w:cstheme="minorHAnsi"/>
                <w:b w:val="0"/>
              </w:rPr>
              <w:t xml:space="preserve"> в столбце «Источник формирования оперативной информации СО (преобразователь ТМ или псевдоизмерения)» указывается информация о</w:t>
            </w:r>
            <w:r w:rsidRPr="00A5626D">
              <w:rPr>
                <w:rFonts w:ascii="Garamond" w:hAnsi="Garamond" w:cstheme="minorHAnsi"/>
                <w:b w:val="0"/>
                <w:highlight w:val="yellow"/>
              </w:rPr>
              <w:t>б</w:t>
            </w:r>
            <w:r w:rsidRPr="00A5626D">
              <w:rPr>
                <w:rFonts w:ascii="Garamond" w:hAnsi="Garamond" w:cstheme="minorHAnsi"/>
                <w:b w:val="0"/>
              </w:rPr>
              <w:t xml:space="preserve"> источниках формирования данных о сальдо перетоках или данных по генерации </w:t>
            </w:r>
            <w:r w:rsidRPr="00A5626D">
              <w:rPr>
                <w:rFonts w:ascii="Garamond" w:hAnsi="Garamond" w:cstheme="minorHAnsi"/>
                <w:b w:val="0"/>
                <w:highlight w:val="yellow"/>
              </w:rPr>
              <w:t>с использованием телеизмерений или псевдоизмерений</w:t>
            </w:r>
            <w:r w:rsidR="00E4538C" w:rsidRPr="00A5626D">
              <w:rPr>
                <w:rFonts w:ascii="Garamond" w:hAnsi="Garamond" w:cstheme="minorHAnsi"/>
                <w:b w:val="0"/>
              </w:rPr>
              <w:t>;</w:t>
            </w:r>
          </w:p>
          <w:p w14:paraId="658B18B1" w14:textId="4AE09659" w:rsidR="00295C6D" w:rsidRPr="00A5626D" w:rsidRDefault="00295C6D" w:rsidP="00E31AE6">
            <w:pPr>
              <w:pStyle w:val="2"/>
              <w:numPr>
                <w:ilvl w:val="0"/>
                <w:numId w:val="0"/>
              </w:numPr>
              <w:tabs>
                <w:tab w:val="left" w:pos="1134"/>
                <w:tab w:val="left" w:pos="7938"/>
              </w:tabs>
              <w:suppressAutoHyphens w:val="0"/>
              <w:spacing w:line="22" w:lineRule="atLeast"/>
              <w:ind w:firstLine="629"/>
              <w:jc w:val="both"/>
              <w:rPr>
                <w:rFonts w:ascii="Garamond" w:hAnsi="Garamond" w:cstheme="minorHAnsi"/>
                <w:b w:val="0"/>
              </w:rPr>
            </w:pPr>
            <w:r w:rsidRPr="00A5626D">
              <w:rPr>
                <w:rFonts w:ascii="Garamond" w:hAnsi="Garamond" w:cstheme="minorHAnsi"/>
                <w:b w:val="0"/>
              </w:rPr>
              <w:t xml:space="preserve">5) </w:t>
            </w:r>
            <w:r w:rsidRPr="00A5626D">
              <w:rPr>
                <w:rFonts w:ascii="Garamond" w:hAnsi="Garamond" w:cstheme="minorHAnsi"/>
                <w:b w:val="0"/>
                <w:highlight w:val="yellow"/>
              </w:rPr>
              <w:t>в столбце</w:t>
            </w:r>
            <w:r w:rsidRPr="00A5626D">
              <w:rPr>
                <w:rFonts w:ascii="Garamond" w:hAnsi="Garamond" w:cstheme="minorHAnsi"/>
                <w:b w:val="0"/>
              </w:rPr>
              <w:t xml:space="preserve"> «Примечания» </w:t>
            </w:r>
            <w:r w:rsidRPr="00A5626D">
              <w:rPr>
                <w:rFonts w:ascii="Garamond" w:hAnsi="Garamond" w:cstheme="minorHAnsi"/>
                <w:b w:val="0"/>
                <w:highlight w:val="yellow"/>
              </w:rPr>
              <w:t>в отношении ГТП генерации, сечений коммерческого учета, входящих в состав сечений экспорта/импорта, сечений между ценовыми, а также между ценовыми и неценовыми зонами оптового рынка</w:t>
            </w:r>
            <w:r w:rsidRPr="00A5626D">
              <w:rPr>
                <w:rFonts w:ascii="Garamond" w:hAnsi="Garamond" w:cstheme="minorHAnsi"/>
                <w:b w:val="0"/>
              </w:rPr>
              <w:t xml:space="preserve"> может содержать</w:t>
            </w:r>
            <w:r w:rsidRPr="00A5626D">
              <w:rPr>
                <w:rFonts w:ascii="Garamond" w:hAnsi="Garamond" w:cstheme="minorHAnsi"/>
                <w:b w:val="0"/>
                <w:highlight w:val="yellow"/>
              </w:rPr>
              <w:t>ся</w:t>
            </w:r>
            <w:r w:rsidRPr="00A5626D">
              <w:rPr>
                <w:rFonts w:ascii="Garamond" w:hAnsi="Garamond" w:cstheme="minorHAnsi"/>
                <w:b w:val="0"/>
              </w:rPr>
              <w:t xml:space="preserve"> указание на возможность использования для формирования оперативной информации помимо данных, сформированных на основании источников формирования </w:t>
            </w:r>
            <w:r w:rsidRPr="00A5626D">
              <w:rPr>
                <w:rFonts w:ascii="Garamond" w:hAnsi="Garamond" w:cstheme="minorHAnsi"/>
                <w:b w:val="0"/>
                <w:highlight w:val="yellow"/>
              </w:rPr>
              <w:t>оперативных</w:t>
            </w:r>
            <w:r w:rsidRPr="00A5626D">
              <w:rPr>
                <w:rFonts w:ascii="Garamond" w:hAnsi="Garamond" w:cstheme="minorHAnsi"/>
                <w:b w:val="0"/>
              </w:rPr>
              <w:t xml:space="preserve"> данных, указанных в столбце «Источник формирования оперативной информации СО (преобразователь ТМ или псевдоизмерения)», иные имеющиеся в распоряжении СО данные. </w:t>
            </w:r>
            <w:r w:rsidRPr="00A5626D">
              <w:rPr>
                <w:rFonts w:ascii="Garamond" w:hAnsi="Garamond" w:cstheme="minorHAnsi"/>
                <w:b w:val="0"/>
                <w:highlight w:val="yellow"/>
              </w:rPr>
              <w:t>В указанном столбце в отношении сечений коммерческого учета приводится (при необходимости) ссылка на алгоритм расчета величины сальдо перетоков электроэнергии</w:t>
            </w:r>
            <w:r w:rsidR="00ED21EC" w:rsidRPr="00BB15FE">
              <w:rPr>
                <w:rFonts w:ascii="Garamond" w:hAnsi="Garamond" w:cstheme="minorHAnsi"/>
                <w:b w:val="0"/>
                <w:highlight w:val="yellow"/>
              </w:rPr>
              <w:t>;</w:t>
            </w:r>
          </w:p>
          <w:p w14:paraId="243F2E19" w14:textId="77777777" w:rsidR="00295C6D" w:rsidRPr="00A5626D" w:rsidRDefault="00295C6D" w:rsidP="00E31AE6">
            <w:pPr>
              <w:tabs>
                <w:tab w:val="left" w:pos="1134"/>
                <w:tab w:val="left" w:pos="7938"/>
              </w:tabs>
              <w:ind w:firstLine="601"/>
              <w:jc w:val="both"/>
              <w:rPr>
                <w:rFonts w:ascii="Garamond" w:hAnsi="Garamond"/>
                <w:sz w:val="22"/>
                <w:szCs w:val="22"/>
              </w:rPr>
            </w:pPr>
            <w:r w:rsidRPr="00A5626D">
              <w:rPr>
                <w:rFonts w:ascii="Garamond" w:hAnsi="Garamond" w:cstheme="minorHAnsi"/>
                <w:sz w:val="22"/>
                <w:szCs w:val="22"/>
                <w:highlight w:val="yellow"/>
              </w:rPr>
              <w:lastRenderedPageBreak/>
              <w:t>6) в столбце «Информация о расчете потерь» указывается о необходимости выполнения расчета потерь электроэнергии в объектах электросетевого хозяйства между точкой измерений и точкой поставки.</w:t>
            </w:r>
          </w:p>
          <w:p w14:paraId="26D828DC" w14:textId="77777777" w:rsidR="00295C6D" w:rsidRPr="00A5626D" w:rsidRDefault="00295C6D" w:rsidP="00E31AE6">
            <w:pPr>
              <w:pStyle w:val="2"/>
              <w:numPr>
                <w:ilvl w:val="0"/>
                <w:numId w:val="0"/>
              </w:numPr>
              <w:tabs>
                <w:tab w:val="left" w:pos="629"/>
                <w:tab w:val="left" w:pos="1134"/>
                <w:tab w:val="left" w:pos="7938"/>
              </w:tabs>
              <w:suppressAutoHyphens w:val="0"/>
              <w:spacing w:line="22" w:lineRule="atLeast"/>
              <w:ind w:firstLine="601"/>
              <w:jc w:val="both"/>
              <w:rPr>
                <w:rFonts w:ascii="Garamond" w:hAnsi="Garamond" w:cstheme="minorHAnsi"/>
                <w:b w:val="0"/>
                <w:highlight w:val="yellow"/>
              </w:rPr>
            </w:pPr>
            <w:r w:rsidRPr="00A5626D">
              <w:rPr>
                <w:rFonts w:ascii="Garamond" w:hAnsi="Garamond" w:cstheme="minorHAnsi"/>
                <w:b w:val="0"/>
                <w:highlight w:val="yellow"/>
              </w:rPr>
              <w:t>В отчетной форме ПСИ по объекту регулирования:</w:t>
            </w:r>
          </w:p>
          <w:p w14:paraId="4DA4471A" w14:textId="4C5AEE60" w:rsidR="00295C6D" w:rsidRPr="00A5626D" w:rsidRDefault="00295C6D" w:rsidP="00E31AE6">
            <w:pPr>
              <w:pStyle w:val="2"/>
              <w:numPr>
                <w:ilvl w:val="0"/>
                <w:numId w:val="0"/>
              </w:numPr>
              <w:tabs>
                <w:tab w:val="left" w:pos="1134"/>
                <w:tab w:val="left" w:pos="7938"/>
              </w:tabs>
              <w:suppressAutoHyphens w:val="0"/>
              <w:spacing w:line="22" w:lineRule="atLeast"/>
              <w:ind w:firstLine="601"/>
              <w:jc w:val="both"/>
              <w:rPr>
                <w:rFonts w:ascii="Garamond" w:hAnsi="Garamond" w:cstheme="minorHAnsi"/>
                <w:b w:val="0"/>
              </w:rPr>
            </w:pPr>
            <w:r w:rsidRPr="00A5626D">
              <w:rPr>
                <w:rFonts w:ascii="Garamond" w:hAnsi="Garamond" w:cstheme="minorHAnsi"/>
                <w:b w:val="0"/>
                <w:highlight w:val="yellow"/>
              </w:rPr>
              <w:t>1) в столбце «Точка присоединения (наименование точки присоединения, номер точки присоединения)» для каждой точки присоединения должны быть указаны е</w:t>
            </w:r>
            <w:r w:rsidR="00BC4FC4" w:rsidRPr="00A5626D">
              <w:rPr>
                <w:rFonts w:ascii="Garamond" w:hAnsi="Garamond" w:cstheme="minorHAnsi"/>
                <w:b w:val="0"/>
                <w:highlight w:val="yellow"/>
              </w:rPr>
              <w:t>е</w:t>
            </w:r>
            <w:r w:rsidRPr="00A5626D">
              <w:rPr>
                <w:rFonts w:ascii="Garamond" w:hAnsi="Garamond" w:cstheme="minorHAnsi"/>
                <w:b w:val="0"/>
                <w:highlight w:val="yellow"/>
              </w:rPr>
              <w:t xml:space="preserve"> наименование и номер в соответствии с однолинейной схемой</w:t>
            </w:r>
            <w:r w:rsidR="00BB15FE">
              <w:rPr>
                <w:rFonts w:ascii="Garamond" w:hAnsi="Garamond" w:cstheme="minorHAnsi"/>
                <w:b w:val="0"/>
              </w:rPr>
              <w:t>;</w:t>
            </w:r>
          </w:p>
          <w:p w14:paraId="32489FB7" w14:textId="79B7C23C" w:rsidR="00295C6D" w:rsidRPr="00A5626D" w:rsidRDefault="00295C6D" w:rsidP="00E31AE6">
            <w:pPr>
              <w:pStyle w:val="2"/>
              <w:numPr>
                <w:ilvl w:val="0"/>
                <w:numId w:val="0"/>
              </w:numPr>
              <w:tabs>
                <w:tab w:val="left" w:pos="1134"/>
                <w:tab w:val="left" w:pos="7938"/>
              </w:tabs>
              <w:suppressAutoHyphens w:val="0"/>
              <w:spacing w:line="22" w:lineRule="atLeast"/>
              <w:ind w:firstLine="601"/>
              <w:jc w:val="both"/>
              <w:rPr>
                <w:rFonts w:ascii="Garamond" w:hAnsi="Garamond" w:cstheme="minorHAnsi"/>
                <w:b w:val="0"/>
                <w:highlight w:val="yellow"/>
              </w:rPr>
            </w:pPr>
            <w:r w:rsidRPr="00A5626D">
              <w:rPr>
                <w:rFonts w:ascii="Garamond" w:hAnsi="Garamond" w:cstheme="minorHAnsi"/>
                <w:b w:val="0"/>
                <w:highlight w:val="yellow"/>
              </w:rPr>
              <w:t>2) в столбце «Точка измерений. Место установки основного/резервного измерительного прибора (место подключения ТТ</w:t>
            </w:r>
            <w:r w:rsidR="00BB15FE">
              <w:rPr>
                <w:rFonts w:ascii="Garamond" w:hAnsi="Garamond" w:cstheme="minorHAnsi"/>
                <w:b w:val="0"/>
                <w:highlight w:val="yellow"/>
              </w:rPr>
              <w:t xml:space="preserve"> </w:t>
            </w:r>
            <w:r w:rsidRPr="00A5626D">
              <w:rPr>
                <w:rFonts w:ascii="Garamond" w:hAnsi="Garamond" w:cstheme="minorHAnsi"/>
                <w:b w:val="0"/>
                <w:highlight w:val="yellow"/>
              </w:rPr>
              <w:t>/</w:t>
            </w:r>
            <w:r w:rsidR="00BB15FE">
              <w:rPr>
                <w:rFonts w:ascii="Garamond" w:hAnsi="Garamond" w:cstheme="minorHAnsi"/>
                <w:b w:val="0"/>
                <w:highlight w:val="yellow"/>
              </w:rPr>
              <w:t xml:space="preserve"> </w:t>
            </w:r>
            <w:r w:rsidRPr="00A5626D">
              <w:rPr>
                <w:rFonts w:ascii="Garamond" w:hAnsi="Garamond" w:cstheme="minorHAnsi"/>
                <w:b w:val="0"/>
                <w:highlight w:val="yellow"/>
              </w:rPr>
              <w:t>прибора учета)</w:t>
            </w:r>
            <w:r w:rsidR="00C2374B">
              <w:rPr>
                <w:rFonts w:ascii="Garamond" w:hAnsi="Garamond" w:cstheme="minorHAnsi"/>
                <w:b w:val="0"/>
                <w:highlight w:val="yellow"/>
              </w:rPr>
              <w:t>,</w:t>
            </w:r>
            <w:r w:rsidRPr="00A5626D">
              <w:rPr>
                <w:rFonts w:ascii="Garamond" w:hAnsi="Garamond" w:cstheme="minorHAnsi"/>
                <w:b w:val="0"/>
                <w:highlight w:val="yellow"/>
              </w:rPr>
              <w:t xml:space="preserve"> тип и модификация прибора учета</w:t>
            </w:r>
            <w:r w:rsidR="00C2374B">
              <w:rPr>
                <w:rFonts w:ascii="Garamond" w:hAnsi="Garamond" w:cstheme="minorHAnsi"/>
                <w:b w:val="0"/>
                <w:highlight w:val="yellow"/>
              </w:rPr>
              <w:t>,</w:t>
            </w:r>
            <w:r w:rsidRPr="00A5626D">
              <w:rPr>
                <w:rFonts w:ascii="Garamond" w:hAnsi="Garamond" w:cstheme="minorHAnsi"/>
                <w:b w:val="0"/>
                <w:highlight w:val="yellow"/>
              </w:rPr>
              <w:t xml:space="preserve"> признак включения точки измерений в состав </w:t>
            </w:r>
            <w:r w:rsidR="00BB15FE">
              <w:rPr>
                <w:rFonts w:ascii="Garamond" w:hAnsi="Garamond" w:cstheme="minorHAnsi"/>
                <w:b w:val="0"/>
                <w:highlight w:val="yellow"/>
              </w:rPr>
              <w:t>с</w:t>
            </w:r>
            <w:r w:rsidRPr="00A5626D">
              <w:rPr>
                <w:rFonts w:ascii="Garamond" w:hAnsi="Garamond" w:cstheme="minorHAnsi"/>
                <w:b w:val="0"/>
                <w:highlight w:val="yellow"/>
              </w:rPr>
              <w:t>истемы учета</w:t>
            </w:r>
            <w:r w:rsidR="00C2374B">
              <w:rPr>
                <w:rFonts w:ascii="Garamond" w:hAnsi="Garamond" w:cstheme="minorHAnsi"/>
                <w:b w:val="0"/>
                <w:highlight w:val="yellow"/>
              </w:rPr>
              <w:t>,</w:t>
            </w:r>
            <w:r w:rsidRPr="00A5626D">
              <w:rPr>
                <w:rFonts w:ascii="Garamond" w:hAnsi="Garamond" w:cstheme="minorHAnsi"/>
                <w:b w:val="0"/>
                <w:highlight w:val="yellow"/>
              </w:rPr>
              <w:t xml:space="preserve"> наименование поставщика информации</w:t>
            </w:r>
            <w:r w:rsidR="00C2374B">
              <w:rPr>
                <w:rFonts w:ascii="Garamond" w:hAnsi="Garamond" w:cstheme="minorHAnsi"/>
                <w:b w:val="0"/>
                <w:highlight w:val="yellow"/>
              </w:rPr>
              <w:t>,</w:t>
            </w:r>
            <w:r w:rsidRPr="00A5626D">
              <w:rPr>
                <w:rFonts w:ascii="Garamond" w:hAnsi="Garamond" w:cstheme="minorHAnsi"/>
                <w:b w:val="0"/>
                <w:highlight w:val="yellow"/>
              </w:rPr>
              <w:t xml:space="preserve"> номер точки измерений» должна содержаться следующая информация, касающаяся средств измерений, участвующих в формировании данных коммерческого учета по объекту регулирования:</w:t>
            </w:r>
          </w:p>
          <w:p w14:paraId="2723FF35" w14:textId="77777777" w:rsidR="00295C6D" w:rsidRPr="00A5626D" w:rsidRDefault="00295C6D" w:rsidP="00E31AE6">
            <w:pPr>
              <w:pStyle w:val="2"/>
              <w:numPr>
                <w:ilvl w:val="0"/>
                <w:numId w:val="0"/>
              </w:numPr>
              <w:tabs>
                <w:tab w:val="left" w:pos="1134"/>
                <w:tab w:val="left" w:pos="7938"/>
              </w:tabs>
              <w:suppressAutoHyphens w:val="0"/>
              <w:spacing w:line="22" w:lineRule="atLeast"/>
              <w:ind w:firstLine="629"/>
              <w:jc w:val="both"/>
              <w:rPr>
                <w:rFonts w:ascii="Garamond" w:hAnsi="Garamond" w:cstheme="minorHAnsi"/>
                <w:b w:val="0"/>
                <w:highlight w:val="yellow"/>
              </w:rPr>
            </w:pPr>
            <w:r w:rsidRPr="00A5626D">
              <w:rPr>
                <w:rFonts w:ascii="Garamond" w:hAnsi="Garamond" w:cstheme="minorHAnsi"/>
                <w:b w:val="0"/>
                <w:highlight w:val="yellow"/>
              </w:rPr>
              <w:t>– наименование точки измерений, в которой установлены основные или резервные приборы учета – присваивается в соответствии с местом расположения трансформатора тока или местом присоединения прибора учета прямого включения на однолинейной схеме;</w:t>
            </w:r>
          </w:p>
          <w:p w14:paraId="2B0251EC" w14:textId="2CA1696C" w:rsidR="00295C6D" w:rsidRPr="00A5626D" w:rsidRDefault="009B5F03" w:rsidP="00E31AE6">
            <w:pPr>
              <w:pStyle w:val="2"/>
              <w:numPr>
                <w:ilvl w:val="0"/>
                <w:numId w:val="0"/>
              </w:numPr>
              <w:tabs>
                <w:tab w:val="left" w:pos="1134"/>
                <w:tab w:val="left" w:pos="7938"/>
              </w:tabs>
              <w:suppressAutoHyphens w:val="0"/>
              <w:spacing w:line="22" w:lineRule="atLeast"/>
              <w:ind w:firstLine="629"/>
              <w:jc w:val="both"/>
              <w:rPr>
                <w:rFonts w:ascii="Garamond" w:hAnsi="Garamond" w:cstheme="minorHAnsi"/>
                <w:b w:val="0"/>
                <w:highlight w:val="yellow"/>
              </w:rPr>
            </w:pPr>
            <w:r w:rsidRPr="00A5626D">
              <w:rPr>
                <w:rFonts w:ascii="Garamond" w:hAnsi="Garamond" w:cstheme="minorHAnsi"/>
                <w:b w:val="0"/>
                <w:highlight w:val="yellow"/>
              </w:rPr>
              <w:t xml:space="preserve">– </w:t>
            </w:r>
            <w:r w:rsidR="00295C6D" w:rsidRPr="00A5626D">
              <w:rPr>
                <w:rFonts w:ascii="Garamond" w:hAnsi="Garamond" w:cstheme="minorHAnsi"/>
                <w:b w:val="0"/>
                <w:highlight w:val="yellow"/>
              </w:rPr>
              <w:t>типы и модификации приборов учета, установленных в точках измерений. Сведения о типе и модификации прибора учета (или варианте исполнения) указываются в соответствии со справочником приборов учета, формируемым КО на основании данных, содержащихся в Федеральном информационном фонде по обеспечению единства измерений, и публикуемым на официальном сайте АО «АТС». В случае отсутствия в вышеуказанном справочнике типа и (или) модификации прибора учета, планируемого к включению в ПСИ, субъекту оптового рынка (заявителю) необходимо направить в КО на адрес электронной почты spravka_dku@rosenergo.com заявку в электронном виде без использования ЭП по форме, опубликованной на официальном сайте АО «АТС», в разделе «Коммерческий учет», с приложением сведений о типе и модификации указанного прибора учета и его номере в Государственном реестре средств измерений Федерального информационного фонда по обеспечению единства измерений, а также электронные копии документации, содержащей технические характеристики указанного прибора учета (паспорт, описание типа средств измерений). В срок не позднее 5 (пяти) рабочих дней после получения вышеуказанной информации КО вносит в справочник приборов учета сведения о соответствующем приборе учета;</w:t>
            </w:r>
          </w:p>
          <w:p w14:paraId="130D9105" w14:textId="014EEFA1" w:rsidR="00295C6D" w:rsidRPr="00A5626D" w:rsidRDefault="00295C6D" w:rsidP="00E31AE6">
            <w:pPr>
              <w:pStyle w:val="2"/>
              <w:numPr>
                <w:ilvl w:val="0"/>
                <w:numId w:val="0"/>
              </w:numPr>
              <w:tabs>
                <w:tab w:val="left" w:pos="1134"/>
                <w:tab w:val="left" w:pos="7938"/>
              </w:tabs>
              <w:suppressAutoHyphens w:val="0"/>
              <w:spacing w:line="22" w:lineRule="atLeast"/>
              <w:ind w:firstLine="629"/>
              <w:jc w:val="both"/>
              <w:rPr>
                <w:rFonts w:ascii="Garamond" w:hAnsi="Garamond" w:cstheme="minorHAnsi"/>
                <w:b w:val="0"/>
                <w:highlight w:val="yellow"/>
              </w:rPr>
            </w:pPr>
            <w:r w:rsidRPr="00A5626D">
              <w:rPr>
                <w:rFonts w:ascii="Garamond" w:hAnsi="Garamond" w:cstheme="minorHAnsi"/>
                <w:b w:val="0"/>
                <w:highlight w:val="yellow"/>
              </w:rPr>
              <w:lastRenderedPageBreak/>
              <w:t xml:space="preserve">– признак включения точки измерений в систему учета электроэнергии, предусмотренную </w:t>
            </w:r>
            <w:r w:rsidRPr="00A5626D">
              <w:rPr>
                <w:rFonts w:ascii="Garamond" w:eastAsia="Times New Roman" w:hAnsi="Garamond" w:cs="Times New Roman"/>
                <w:b w:val="0"/>
                <w:highlight w:val="yellow"/>
              </w:rPr>
              <w:t xml:space="preserve">Приложением № 11.1.1 к </w:t>
            </w:r>
            <w:r w:rsidRPr="00A5626D">
              <w:rPr>
                <w:rFonts w:ascii="Garamond" w:eastAsia="Times New Roman" w:hAnsi="Garamond" w:cs="Times New Roman"/>
                <w:b w:val="0"/>
                <w:i/>
                <w:highlight w:val="yellow"/>
              </w:rPr>
              <w:t>Положению о порядке получения статуса субъекта оптового рынка и ведения реестра субъектов оптового рынка</w:t>
            </w:r>
            <w:r w:rsidRPr="00A5626D">
              <w:rPr>
                <w:rFonts w:ascii="Garamond" w:eastAsia="Times New Roman" w:hAnsi="Garamond" w:cs="Times New Roman"/>
                <w:b w:val="0"/>
                <w:highlight w:val="yellow"/>
              </w:rPr>
              <w:t xml:space="preserve"> (Приложение № 1.1 к </w:t>
            </w:r>
            <w:r w:rsidRPr="00A5626D">
              <w:rPr>
                <w:rFonts w:ascii="Garamond" w:eastAsia="Times New Roman" w:hAnsi="Garamond" w:cs="Times New Roman"/>
                <w:b w:val="0"/>
                <w:i/>
                <w:highlight w:val="yellow"/>
              </w:rPr>
              <w:t>Договору о присоединении к торговой системе оптового рынка</w:t>
            </w:r>
            <w:r w:rsidRPr="00A5626D">
              <w:rPr>
                <w:rFonts w:ascii="Garamond" w:eastAsia="Times New Roman" w:hAnsi="Garamond" w:cs="Times New Roman"/>
                <w:b w:val="0"/>
                <w:highlight w:val="yellow"/>
              </w:rPr>
              <w:t>)</w:t>
            </w:r>
            <w:r w:rsidRPr="00A5626D">
              <w:rPr>
                <w:rFonts w:ascii="Garamond" w:hAnsi="Garamond" w:cstheme="minorHAnsi"/>
                <w:b w:val="0"/>
                <w:highlight w:val="yellow"/>
              </w:rPr>
              <w:t>. В отношении объектов регулирования допускается использование только точек измерений, включенных в систему учета электроэнергии</w:t>
            </w:r>
            <w:r w:rsidR="00FF68DF">
              <w:rPr>
                <w:rFonts w:ascii="Garamond" w:hAnsi="Garamond" w:cstheme="minorHAnsi"/>
                <w:b w:val="0"/>
                <w:highlight w:val="yellow"/>
              </w:rPr>
              <w:t>;</w:t>
            </w:r>
          </w:p>
          <w:p w14:paraId="0A812ED5" w14:textId="77777777" w:rsidR="00295C6D" w:rsidRPr="00A5626D" w:rsidRDefault="00295C6D" w:rsidP="00E31AE6">
            <w:pPr>
              <w:pStyle w:val="2"/>
              <w:numPr>
                <w:ilvl w:val="0"/>
                <w:numId w:val="0"/>
              </w:numPr>
              <w:tabs>
                <w:tab w:val="left" w:pos="1134"/>
                <w:tab w:val="left" w:pos="7938"/>
              </w:tabs>
              <w:suppressAutoHyphens w:val="0"/>
              <w:spacing w:line="22" w:lineRule="atLeast"/>
              <w:ind w:firstLine="629"/>
              <w:jc w:val="both"/>
              <w:rPr>
                <w:rFonts w:ascii="Garamond" w:hAnsi="Garamond" w:cstheme="minorHAnsi"/>
                <w:b w:val="0"/>
                <w:highlight w:val="yellow"/>
              </w:rPr>
            </w:pPr>
            <w:r w:rsidRPr="00A5626D">
              <w:rPr>
                <w:rFonts w:ascii="Garamond" w:hAnsi="Garamond" w:cstheme="minorHAnsi"/>
                <w:b w:val="0"/>
                <w:highlight w:val="yellow"/>
              </w:rPr>
              <w:t xml:space="preserve">– признак кодирования измерительного канала. Признак кодирования измерительного канала указывается в отношении измерительных каналов, которые необходимо закодировать КО в порядке, предусмотренном </w:t>
            </w:r>
            <w:r w:rsidRPr="00A5626D">
              <w:rPr>
                <w:rFonts w:ascii="Garamond" w:hAnsi="Garamond" w:cstheme="minorHAnsi"/>
                <w:b w:val="0"/>
                <w:i/>
                <w:highlight w:val="yellow"/>
              </w:rPr>
              <w:t>Положением о порядке получения статуса субъекта оптового рынка и ведения реестра субъектов оптового рынка</w:t>
            </w:r>
            <w:r w:rsidRPr="00A5626D">
              <w:rPr>
                <w:rFonts w:ascii="Garamond" w:hAnsi="Garamond" w:cstheme="minorHAnsi"/>
                <w:b w:val="0"/>
                <w:highlight w:val="yellow"/>
              </w:rPr>
              <w:t xml:space="preserve"> (Приложение № 1.1 к </w:t>
            </w:r>
            <w:r w:rsidRPr="00A5626D">
              <w:rPr>
                <w:rFonts w:ascii="Garamond" w:hAnsi="Garamond" w:cstheme="minorHAnsi"/>
                <w:b w:val="0"/>
                <w:i/>
                <w:highlight w:val="yellow"/>
              </w:rPr>
              <w:t>Договору о присоединении к торговой системе оптового рынка</w:t>
            </w:r>
            <w:r w:rsidRPr="00A5626D">
              <w:rPr>
                <w:rFonts w:ascii="Garamond" w:hAnsi="Garamond" w:cstheme="minorHAnsi"/>
                <w:b w:val="0"/>
                <w:highlight w:val="yellow"/>
              </w:rPr>
              <w:t>);</w:t>
            </w:r>
          </w:p>
          <w:p w14:paraId="18EE55D5" w14:textId="55DA7F99" w:rsidR="00295C6D" w:rsidRPr="00A5626D" w:rsidRDefault="009B5F03" w:rsidP="00E31AE6">
            <w:pPr>
              <w:tabs>
                <w:tab w:val="left" w:pos="1134"/>
                <w:tab w:val="left" w:pos="7938"/>
              </w:tabs>
              <w:ind w:firstLine="601"/>
              <w:jc w:val="both"/>
              <w:rPr>
                <w:rFonts w:ascii="Garamond" w:hAnsi="Garamond" w:cstheme="minorHAnsi"/>
                <w:bCs/>
                <w:sz w:val="22"/>
                <w:szCs w:val="22"/>
                <w:highlight w:val="yellow"/>
              </w:rPr>
            </w:pPr>
            <w:r w:rsidRPr="00A5626D">
              <w:rPr>
                <w:rFonts w:ascii="Garamond" w:hAnsi="Garamond" w:cstheme="minorHAnsi"/>
                <w:bCs/>
                <w:sz w:val="22"/>
                <w:szCs w:val="22"/>
                <w:highlight w:val="yellow"/>
              </w:rPr>
              <w:t xml:space="preserve">– </w:t>
            </w:r>
            <w:r w:rsidR="00444807" w:rsidRPr="00A5626D">
              <w:rPr>
                <w:rFonts w:ascii="Garamond" w:hAnsi="Garamond" w:cstheme="minorHAnsi"/>
                <w:bCs/>
                <w:sz w:val="22"/>
                <w:szCs w:val="22"/>
                <w:highlight w:val="yellow"/>
              </w:rPr>
              <w:t>субъект оптового рынка</w:t>
            </w:r>
            <w:r w:rsidR="00295C6D" w:rsidRPr="00A5626D">
              <w:rPr>
                <w:rFonts w:ascii="Garamond" w:hAnsi="Garamond" w:cstheme="minorHAnsi"/>
                <w:bCs/>
                <w:sz w:val="22"/>
                <w:szCs w:val="22"/>
                <w:highlight w:val="yellow"/>
              </w:rPr>
              <w:t>, обеспечивающий направление результатов измерений по объекту регулирования (указывается агрегатор, сформировавший ПСИ);</w:t>
            </w:r>
          </w:p>
          <w:p w14:paraId="0A5F858E" w14:textId="56C7C162" w:rsidR="00295C6D" w:rsidRPr="00A5626D" w:rsidRDefault="009B5F03" w:rsidP="00E31AE6">
            <w:pPr>
              <w:tabs>
                <w:tab w:val="left" w:pos="1134"/>
                <w:tab w:val="left" w:pos="7938"/>
              </w:tabs>
              <w:ind w:firstLine="601"/>
              <w:jc w:val="both"/>
              <w:rPr>
                <w:rFonts w:ascii="Garamond" w:hAnsi="Garamond" w:cstheme="minorHAnsi"/>
                <w:bCs/>
                <w:sz w:val="22"/>
                <w:szCs w:val="22"/>
                <w:highlight w:val="yellow"/>
              </w:rPr>
            </w:pPr>
            <w:r w:rsidRPr="00A5626D">
              <w:rPr>
                <w:rFonts w:ascii="Garamond" w:hAnsi="Garamond" w:cstheme="minorHAnsi"/>
                <w:bCs/>
                <w:sz w:val="22"/>
                <w:szCs w:val="22"/>
                <w:highlight w:val="yellow"/>
              </w:rPr>
              <w:t xml:space="preserve">– </w:t>
            </w:r>
            <w:r w:rsidR="00295C6D" w:rsidRPr="00A5626D">
              <w:rPr>
                <w:rFonts w:ascii="Garamond" w:hAnsi="Garamond" w:cstheme="minorHAnsi"/>
                <w:bCs/>
                <w:sz w:val="22"/>
                <w:szCs w:val="22"/>
                <w:highlight w:val="yellow"/>
              </w:rPr>
              <w:t>номер точки измерений</w:t>
            </w:r>
            <w:r w:rsidR="00FF68DF">
              <w:rPr>
                <w:rFonts w:ascii="Garamond" w:hAnsi="Garamond" w:cstheme="minorHAnsi"/>
                <w:bCs/>
                <w:sz w:val="22"/>
                <w:szCs w:val="22"/>
                <w:highlight w:val="yellow"/>
              </w:rPr>
              <w:t xml:space="preserve"> –</w:t>
            </w:r>
            <w:r w:rsidR="00295C6D" w:rsidRPr="00A5626D">
              <w:rPr>
                <w:rFonts w:ascii="Garamond" w:hAnsi="Garamond" w:cstheme="minorHAnsi"/>
                <w:bCs/>
                <w:sz w:val="22"/>
                <w:szCs w:val="22"/>
                <w:highlight w:val="yellow"/>
              </w:rPr>
              <w:t xml:space="preserve"> присваивается в соответствии с однолинейной схемой</w:t>
            </w:r>
            <w:r w:rsidR="00FF68DF">
              <w:rPr>
                <w:rFonts w:ascii="Garamond" w:hAnsi="Garamond" w:cstheme="minorHAnsi"/>
                <w:bCs/>
                <w:sz w:val="22"/>
                <w:szCs w:val="22"/>
                <w:highlight w:val="yellow"/>
              </w:rPr>
              <w:t>;</w:t>
            </w:r>
          </w:p>
          <w:p w14:paraId="0D933C68" w14:textId="677A6AE0" w:rsidR="00295C6D" w:rsidRPr="00A5626D" w:rsidRDefault="00295C6D" w:rsidP="00E31AE6">
            <w:pPr>
              <w:pStyle w:val="2"/>
              <w:numPr>
                <w:ilvl w:val="0"/>
                <w:numId w:val="0"/>
              </w:numPr>
              <w:tabs>
                <w:tab w:val="left" w:pos="1134"/>
                <w:tab w:val="left" w:pos="7938"/>
              </w:tabs>
              <w:suppressAutoHyphens w:val="0"/>
              <w:spacing w:line="22" w:lineRule="atLeast"/>
              <w:ind w:firstLine="601"/>
              <w:jc w:val="both"/>
              <w:rPr>
                <w:rFonts w:ascii="Garamond" w:hAnsi="Garamond" w:cstheme="minorHAnsi"/>
                <w:b w:val="0"/>
                <w:highlight w:val="yellow"/>
              </w:rPr>
            </w:pPr>
            <w:r w:rsidRPr="00A5626D">
              <w:rPr>
                <w:rFonts w:ascii="Garamond" w:hAnsi="Garamond" w:cstheme="minorHAnsi"/>
                <w:b w:val="0"/>
                <w:highlight w:val="yellow"/>
              </w:rPr>
              <w:t>3) в столбце «Заводской номер прибора учета</w:t>
            </w:r>
            <w:r w:rsidR="00C2374B">
              <w:rPr>
                <w:rFonts w:ascii="Garamond" w:hAnsi="Garamond" w:cstheme="minorHAnsi"/>
                <w:b w:val="0"/>
                <w:highlight w:val="yellow"/>
              </w:rPr>
              <w:t>,</w:t>
            </w:r>
            <w:r w:rsidRPr="00A5626D">
              <w:rPr>
                <w:rFonts w:ascii="Garamond" w:hAnsi="Garamond" w:cstheme="minorHAnsi"/>
                <w:b w:val="0"/>
                <w:highlight w:val="yellow"/>
              </w:rPr>
              <w:t xml:space="preserve"> срок действия поверки прибора учета</w:t>
            </w:r>
            <w:r w:rsidR="00C2374B">
              <w:rPr>
                <w:rFonts w:ascii="Garamond" w:hAnsi="Garamond" w:cstheme="minorHAnsi"/>
                <w:b w:val="0"/>
                <w:highlight w:val="yellow"/>
              </w:rPr>
              <w:t>,</w:t>
            </w:r>
            <w:r w:rsidRPr="00A5626D">
              <w:rPr>
                <w:rFonts w:ascii="Garamond" w:hAnsi="Garamond" w:cstheme="minorHAnsi"/>
                <w:b w:val="0"/>
                <w:highlight w:val="yellow"/>
              </w:rPr>
              <w:t xml:space="preserve"> номер свидетельства о поверке прибора учета» должна содержаться следующая информация, касающаяся средств измерений, участвующих в формировании данных коммерческого учета по объекту регулирования:</w:t>
            </w:r>
          </w:p>
          <w:p w14:paraId="64810E83" w14:textId="77777777" w:rsidR="00295C6D" w:rsidRPr="00A5626D" w:rsidRDefault="00295C6D" w:rsidP="00E31AE6">
            <w:pPr>
              <w:pStyle w:val="2"/>
              <w:numPr>
                <w:ilvl w:val="0"/>
                <w:numId w:val="0"/>
              </w:numPr>
              <w:tabs>
                <w:tab w:val="left" w:pos="1134"/>
                <w:tab w:val="left" w:pos="7938"/>
              </w:tabs>
              <w:suppressAutoHyphens w:val="0"/>
              <w:spacing w:line="22" w:lineRule="atLeast"/>
              <w:ind w:firstLine="629"/>
              <w:jc w:val="both"/>
              <w:rPr>
                <w:rFonts w:ascii="Garamond" w:hAnsi="Garamond" w:cstheme="minorHAnsi"/>
                <w:b w:val="0"/>
                <w:highlight w:val="yellow"/>
              </w:rPr>
            </w:pPr>
            <w:r w:rsidRPr="00A5626D">
              <w:rPr>
                <w:rFonts w:ascii="Garamond" w:hAnsi="Garamond" w:cstheme="minorHAnsi"/>
                <w:b w:val="0"/>
                <w:highlight w:val="yellow"/>
              </w:rPr>
              <w:t>– заводской номер прибора учета;</w:t>
            </w:r>
          </w:p>
          <w:p w14:paraId="4616A24A" w14:textId="77777777" w:rsidR="00295C6D" w:rsidRPr="00A5626D" w:rsidRDefault="00295C6D" w:rsidP="00E31AE6">
            <w:pPr>
              <w:pStyle w:val="2"/>
              <w:numPr>
                <w:ilvl w:val="0"/>
                <w:numId w:val="0"/>
              </w:numPr>
              <w:tabs>
                <w:tab w:val="left" w:pos="1134"/>
                <w:tab w:val="left" w:pos="7938"/>
              </w:tabs>
              <w:suppressAutoHyphens w:val="0"/>
              <w:spacing w:line="22" w:lineRule="atLeast"/>
              <w:ind w:firstLine="629"/>
              <w:jc w:val="both"/>
              <w:rPr>
                <w:rFonts w:ascii="Garamond" w:hAnsi="Garamond" w:cstheme="minorHAnsi"/>
                <w:b w:val="0"/>
                <w:highlight w:val="yellow"/>
              </w:rPr>
            </w:pPr>
            <w:r w:rsidRPr="00A5626D">
              <w:rPr>
                <w:rFonts w:ascii="Garamond" w:hAnsi="Garamond" w:cstheme="minorHAnsi"/>
                <w:b w:val="0"/>
                <w:highlight w:val="yellow"/>
              </w:rPr>
              <w:t>– дата (день, месяц, год), по которую действует свидетельство о поверке прибора учета;</w:t>
            </w:r>
          </w:p>
          <w:p w14:paraId="6D5CBD88" w14:textId="31E338CB" w:rsidR="00295C6D" w:rsidRPr="00A5626D" w:rsidRDefault="00295C6D" w:rsidP="00E31AE6">
            <w:pPr>
              <w:pStyle w:val="2"/>
              <w:numPr>
                <w:ilvl w:val="0"/>
                <w:numId w:val="0"/>
              </w:numPr>
              <w:tabs>
                <w:tab w:val="left" w:pos="1134"/>
                <w:tab w:val="left" w:pos="7938"/>
              </w:tabs>
              <w:suppressAutoHyphens w:val="0"/>
              <w:spacing w:line="22" w:lineRule="atLeast"/>
              <w:ind w:firstLine="629"/>
              <w:jc w:val="both"/>
              <w:rPr>
                <w:rFonts w:ascii="Garamond" w:hAnsi="Garamond" w:cstheme="minorHAnsi"/>
                <w:b w:val="0"/>
                <w:highlight w:val="yellow"/>
              </w:rPr>
            </w:pPr>
            <w:r w:rsidRPr="00A5626D">
              <w:rPr>
                <w:rFonts w:ascii="Garamond" w:hAnsi="Garamond" w:cstheme="minorHAnsi"/>
                <w:b w:val="0"/>
                <w:highlight w:val="yellow"/>
              </w:rPr>
              <w:t xml:space="preserve">– номер свидетельства о поверке. Номер свидетельства о поверке прибора учета необходимо указывать в соответствии со сведениями, размещенными в Федеральном информационном фонде по обеспечению единства измерений, при условии, что поверка прибора учета </w:t>
            </w:r>
            <w:r w:rsidR="00E75302" w:rsidRPr="00A5626D">
              <w:rPr>
                <w:rFonts w:ascii="Garamond" w:hAnsi="Garamond" w:cstheme="minorHAnsi"/>
                <w:b w:val="0"/>
                <w:highlight w:val="yellow"/>
              </w:rPr>
              <w:t>выполнена</w:t>
            </w:r>
            <w:r w:rsidRPr="00A5626D">
              <w:rPr>
                <w:rFonts w:ascii="Garamond" w:hAnsi="Garamond" w:cstheme="minorHAnsi"/>
                <w:b w:val="0"/>
                <w:highlight w:val="yellow"/>
              </w:rPr>
              <w:t xml:space="preserve"> начиная с 24.09.2020. В случае </w:t>
            </w:r>
            <w:r w:rsidR="00201A2B" w:rsidRPr="00A5626D">
              <w:rPr>
                <w:rFonts w:ascii="Garamond" w:hAnsi="Garamond" w:cstheme="minorHAnsi"/>
                <w:b w:val="0"/>
                <w:highlight w:val="yellow"/>
              </w:rPr>
              <w:t xml:space="preserve">выполнения </w:t>
            </w:r>
            <w:r w:rsidRPr="00A5626D">
              <w:rPr>
                <w:rFonts w:ascii="Garamond" w:hAnsi="Garamond" w:cstheme="minorHAnsi"/>
                <w:b w:val="0"/>
                <w:highlight w:val="yellow"/>
              </w:rPr>
              <w:t xml:space="preserve">первичной поверки прибора учета до 24.09.2020 и при отсутствии сведений о результатах поверки, включенных в Федеральный информационный фонд по обеспечению единства измерений, </w:t>
            </w:r>
            <w:r w:rsidR="00201A2B" w:rsidRPr="00A5626D">
              <w:rPr>
                <w:rFonts w:ascii="Garamond" w:hAnsi="Garamond" w:cstheme="minorHAnsi"/>
                <w:b w:val="0"/>
                <w:highlight w:val="yellow"/>
              </w:rPr>
              <w:t xml:space="preserve">при формировании ПСИ </w:t>
            </w:r>
            <w:r w:rsidRPr="00A5626D">
              <w:rPr>
                <w:rFonts w:ascii="Garamond" w:hAnsi="Garamond" w:cstheme="minorHAnsi"/>
                <w:b w:val="0"/>
                <w:highlight w:val="yellow"/>
              </w:rPr>
              <w:t>необходимо указать «Паспорт»</w:t>
            </w:r>
            <w:r w:rsidR="00FF68DF">
              <w:rPr>
                <w:rFonts w:ascii="Garamond" w:hAnsi="Garamond" w:cstheme="minorHAnsi"/>
                <w:b w:val="0"/>
                <w:highlight w:val="yellow"/>
              </w:rPr>
              <w:t>;</w:t>
            </w:r>
          </w:p>
          <w:p w14:paraId="19E003A5" w14:textId="2F7CA62F" w:rsidR="00295C6D" w:rsidRPr="00A5626D" w:rsidRDefault="00295C6D" w:rsidP="00E31AE6">
            <w:pPr>
              <w:pStyle w:val="2"/>
              <w:numPr>
                <w:ilvl w:val="0"/>
                <w:numId w:val="0"/>
              </w:numPr>
              <w:tabs>
                <w:tab w:val="left" w:pos="1134"/>
                <w:tab w:val="left" w:pos="7938"/>
              </w:tabs>
              <w:suppressAutoHyphens w:val="0"/>
              <w:spacing w:line="22" w:lineRule="atLeast"/>
              <w:ind w:firstLine="629"/>
              <w:jc w:val="both"/>
              <w:rPr>
                <w:rFonts w:ascii="Garamond" w:hAnsi="Garamond" w:cstheme="minorHAnsi"/>
                <w:b w:val="0"/>
                <w:highlight w:val="yellow"/>
              </w:rPr>
            </w:pPr>
            <w:r w:rsidRPr="00A5626D">
              <w:rPr>
                <w:rFonts w:ascii="Garamond" w:hAnsi="Garamond" w:cstheme="minorHAnsi"/>
                <w:b w:val="0"/>
                <w:highlight w:val="yellow"/>
              </w:rPr>
              <w:t xml:space="preserve">4) в столбце «Информация о расчете потерь» указывается о необходимости выполнения расчета потерь электроэнергии в объектах электросетевого хозяйства между точкой измерений и точкой </w:t>
            </w:r>
            <w:r w:rsidRPr="00A5626D">
              <w:rPr>
                <w:rFonts w:ascii="Garamond" w:hAnsi="Garamond" w:cstheme="minorHAnsi"/>
                <w:b w:val="0"/>
                <w:highlight w:val="yellow"/>
              </w:rPr>
              <w:lastRenderedPageBreak/>
              <w:t>присоединения</w:t>
            </w:r>
            <w:r w:rsidR="00FF68DF">
              <w:rPr>
                <w:rFonts w:ascii="Garamond" w:hAnsi="Garamond" w:cstheme="minorHAnsi"/>
                <w:b w:val="0"/>
                <w:highlight w:val="yellow"/>
              </w:rPr>
              <w:t>;</w:t>
            </w:r>
          </w:p>
          <w:p w14:paraId="41F88085" w14:textId="77777777" w:rsidR="00295C6D" w:rsidRPr="00A5626D" w:rsidRDefault="00295C6D" w:rsidP="00E31AE6">
            <w:pPr>
              <w:pStyle w:val="2"/>
              <w:numPr>
                <w:ilvl w:val="0"/>
                <w:numId w:val="0"/>
              </w:numPr>
              <w:tabs>
                <w:tab w:val="left" w:pos="1134"/>
                <w:tab w:val="left" w:pos="7938"/>
              </w:tabs>
              <w:suppressAutoHyphens w:val="0"/>
              <w:spacing w:line="22" w:lineRule="atLeast"/>
              <w:ind w:firstLine="629"/>
              <w:jc w:val="both"/>
              <w:rPr>
                <w:rFonts w:ascii="Garamond" w:hAnsi="Garamond" w:cstheme="minorHAnsi"/>
                <w:b w:val="0"/>
                <w:highlight w:val="yellow"/>
              </w:rPr>
            </w:pPr>
            <w:r w:rsidRPr="00A5626D">
              <w:rPr>
                <w:rFonts w:ascii="Garamond" w:hAnsi="Garamond" w:cstheme="minorHAnsi"/>
                <w:b w:val="0"/>
                <w:highlight w:val="yellow"/>
              </w:rPr>
              <w:t>5) в столбце «Примечания» приводится (при необходимости) ссылка на алгоритм расчета величины сальдо перетоков электроэнергии для объекта регулирования.</w:t>
            </w:r>
          </w:p>
          <w:p w14:paraId="75675544" w14:textId="77777777" w:rsidR="00295C6D" w:rsidRPr="00A5626D" w:rsidRDefault="00295C6D" w:rsidP="00E31AE6">
            <w:pPr>
              <w:pStyle w:val="2"/>
              <w:numPr>
                <w:ilvl w:val="0"/>
                <w:numId w:val="0"/>
              </w:numPr>
              <w:tabs>
                <w:tab w:val="left" w:pos="1134"/>
                <w:tab w:val="left" w:pos="7938"/>
              </w:tabs>
              <w:suppressAutoHyphens w:val="0"/>
              <w:spacing w:line="22" w:lineRule="atLeast"/>
              <w:ind w:firstLine="629"/>
              <w:jc w:val="both"/>
              <w:rPr>
                <w:rFonts w:ascii="Garamond" w:hAnsi="Garamond" w:cstheme="minorHAnsi"/>
                <w:b w:val="0"/>
              </w:rPr>
            </w:pPr>
            <w:r w:rsidRPr="00A5626D">
              <w:rPr>
                <w:rFonts w:ascii="Garamond" w:hAnsi="Garamond" w:cstheme="minorHAnsi"/>
                <w:b w:val="0"/>
              </w:rPr>
              <w:t>Вышеперечисленная информация указывается в соответствующих атрибутах в макете 60000 и описана в настоящем приложении.</w:t>
            </w:r>
          </w:p>
        </w:tc>
      </w:tr>
      <w:tr w:rsidR="00295C6D" w:rsidRPr="00A5626D" w14:paraId="1C0D8C7D" w14:textId="77777777" w:rsidTr="00647FA0">
        <w:tc>
          <w:tcPr>
            <w:tcW w:w="1060" w:type="dxa"/>
            <w:vAlign w:val="center"/>
          </w:tcPr>
          <w:p w14:paraId="442C1F39" w14:textId="3660BE1A" w:rsidR="00295C6D" w:rsidRPr="00A5626D" w:rsidRDefault="00295C6D" w:rsidP="00E31AE6">
            <w:pPr>
              <w:widowControl w:val="0"/>
              <w:tabs>
                <w:tab w:val="left" w:pos="1134"/>
                <w:tab w:val="left" w:pos="7938"/>
              </w:tabs>
              <w:spacing w:line="22" w:lineRule="atLeast"/>
              <w:jc w:val="both"/>
              <w:rPr>
                <w:rFonts w:ascii="Garamond" w:hAnsi="Garamond"/>
                <w:b/>
                <w:sz w:val="22"/>
                <w:szCs w:val="22"/>
                <w:lang w:eastAsia="en-US"/>
              </w:rPr>
            </w:pPr>
            <w:r w:rsidRPr="00A5626D">
              <w:rPr>
                <w:rFonts w:ascii="Garamond" w:hAnsi="Garamond"/>
                <w:b/>
                <w:sz w:val="22"/>
                <w:szCs w:val="22"/>
                <w:lang w:eastAsia="en-US"/>
              </w:rPr>
              <w:lastRenderedPageBreak/>
              <w:t>Приложение 5 п.</w:t>
            </w:r>
            <w:r w:rsidR="000B3419" w:rsidRPr="00A5626D">
              <w:rPr>
                <w:rFonts w:ascii="Garamond" w:hAnsi="Garamond"/>
                <w:b/>
                <w:sz w:val="22"/>
                <w:szCs w:val="22"/>
                <w:lang w:eastAsia="en-US"/>
              </w:rPr>
              <w:t xml:space="preserve"> </w:t>
            </w:r>
            <w:r w:rsidRPr="00A5626D">
              <w:rPr>
                <w:rFonts w:ascii="Garamond" w:hAnsi="Garamond"/>
                <w:b/>
                <w:sz w:val="22"/>
                <w:szCs w:val="22"/>
                <w:lang w:eastAsia="en-US"/>
              </w:rPr>
              <w:t>2.1.1</w:t>
            </w:r>
          </w:p>
        </w:tc>
        <w:tc>
          <w:tcPr>
            <w:tcW w:w="6662" w:type="dxa"/>
          </w:tcPr>
          <w:p w14:paraId="6BB697BC" w14:textId="77777777" w:rsidR="00295C6D" w:rsidRPr="00A5626D" w:rsidRDefault="00295C6D" w:rsidP="00E31AE6">
            <w:pPr>
              <w:pStyle w:val="2"/>
              <w:numPr>
                <w:ilvl w:val="0"/>
                <w:numId w:val="0"/>
              </w:numPr>
              <w:tabs>
                <w:tab w:val="left" w:pos="1134"/>
                <w:tab w:val="left" w:pos="7938"/>
              </w:tabs>
              <w:suppressAutoHyphens w:val="0"/>
              <w:spacing w:line="22" w:lineRule="atLeast"/>
              <w:ind w:firstLine="629"/>
              <w:jc w:val="both"/>
              <w:rPr>
                <w:rFonts w:ascii="Garamond" w:hAnsi="Garamond" w:cstheme="minorHAnsi"/>
                <w:b w:val="0"/>
              </w:rPr>
            </w:pPr>
            <w:r w:rsidRPr="00A5626D">
              <w:rPr>
                <w:rFonts w:ascii="Garamond" w:hAnsi="Garamond" w:cstheme="minorHAnsi"/>
                <w:b w:val="0"/>
              </w:rPr>
              <w:t xml:space="preserve">Значение учетного показателя в точке поставки при формировании данных коммерческого учета рассчитывается в порядке, предусмотренном настоящим Регламентом, по основному методу расчета на основании результатов измерений основного измерительного прибора (ОИП) либо по резервному методу расчета на основании результатов измерений резервного измерительного прибора (РИП). </w:t>
            </w:r>
          </w:p>
          <w:p w14:paraId="56E7F2D1" w14:textId="77777777" w:rsidR="00295C6D" w:rsidRPr="00A5626D" w:rsidRDefault="00295C6D" w:rsidP="00E31AE6">
            <w:pPr>
              <w:pStyle w:val="2"/>
              <w:numPr>
                <w:ilvl w:val="0"/>
                <w:numId w:val="0"/>
              </w:numPr>
              <w:tabs>
                <w:tab w:val="left" w:pos="1134"/>
                <w:tab w:val="left" w:pos="7938"/>
              </w:tabs>
              <w:suppressAutoHyphens w:val="0"/>
              <w:spacing w:line="22" w:lineRule="atLeast"/>
              <w:ind w:firstLine="629"/>
              <w:jc w:val="both"/>
              <w:rPr>
                <w:rFonts w:ascii="Garamond" w:hAnsi="Garamond" w:cstheme="minorHAnsi"/>
                <w:b w:val="0"/>
              </w:rPr>
            </w:pPr>
            <w:r w:rsidRPr="00A5626D">
              <w:rPr>
                <w:rFonts w:ascii="Garamond" w:hAnsi="Garamond" w:cstheme="minorHAnsi"/>
                <w:b w:val="0"/>
                <w:highlight w:val="yellow"/>
              </w:rPr>
              <w:t>При этом т</w:t>
            </w:r>
            <w:r w:rsidRPr="00A5626D">
              <w:rPr>
                <w:rFonts w:ascii="Garamond" w:hAnsi="Garamond" w:cstheme="minorHAnsi"/>
                <w:b w:val="0"/>
              </w:rPr>
              <w:t>очки измерени</w:t>
            </w:r>
            <w:r w:rsidRPr="00A5626D">
              <w:rPr>
                <w:rFonts w:ascii="Garamond" w:hAnsi="Garamond" w:cstheme="minorHAnsi"/>
                <w:b w:val="0"/>
                <w:highlight w:val="yellow"/>
              </w:rPr>
              <w:t>я</w:t>
            </w:r>
            <w:r w:rsidRPr="00A5626D">
              <w:rPr>
                <w:rFonts w:ascii="Garamond" w:hAnsi="Garamond" w:cstheme="minorHAnsi"/>
                <w:b w:val="0"/>
              </w:rPr>
              <w:t xml:space="preserve"> по основному и резервному методу могут быть закодированы в отношении одного или другого (смежного) субъекта оптового рынка, который и производит передачу результатов измерений по соответствующим точкам измерения в ПАК КО.</w:t>
            </w:r>
          </w:p>
          <w:p w14:paraId="1B5B2EF1" w14:textId="77777777" w:rsidR="00295C6D" w:rsidRPr="00A5626D" w:rsidRDefault="00295C6D" w:rsidP="00E31AE6">
            <w:pPr>
              <w:pStyle w:val="2"/>
              <w:numPr>
                <w:ilvl w:val="0"/>
                <w:numId w:val="0"/>
              </w:numPr>
              <w:tabs>
                <w:tab w:val="left" w:pos="1134"/>
                <w:tab w:val="left" w:pos="7938"/>
              </w:tabs>
              <w:suppressAutoHyphens w:val="0"/>
              <w:spacing w:line="22" w:lineRule="atLeast"/>
              <w:ind w:firstLine="629"/>
              <w:jc w:val="both"/>
              <w:rPr>
                <w:rFonts w:ascii="Garamond" w:hAnsi="Garamond" w:cstheme="minorHAnsi"/>
                <w:b w:val="0"/>
              </w:rPr>
            </w:pPr>
            <w:r w:rsidRPr="00A5626D">
              <w:rPr>
                <w:rFonts w:ascii="Garamond" w:hAnsi="Garamond" w:cstheme="minorHAnsi"/>
                <w:b w:val="0"/>
              </w:rPr>
              <w:t>В отношении каждой точки поставки задается не менее одного метода расчета величины электроэнергии.</w:t>
            </w:r>
          </w:p>
          <w:p w14:paraId="1424A66D" w14:textId="77777777" w:rsidR="00295C6D" w:rsidRPr="00A5626D" w:rsidRDefault="00295C6D" w:rsidP="00E31AE6">
            <w:pPr>
              <w:pStyle w:val="2"/>
              <w:numPr>
                <w:ilvl w:val="0"/>
                <w:numId w:val="0"/>
              </w:numPr>
              <w:tabs>
                <w:tab w:val="left" w:pos="1134"/>
                <w:tab w:val="left" w:pos="7938"/>
              </w:tabs>
              <w:suppressAutoHyphens w:val="0"/>
              <w:spacing w:line="22" w:lineRule="atLeast"/>
              <w:ind w:firstLine="629"/>
              <w:jc w:val="both"/>
              <w:rPr>
                <w:rFonts w:ascii="Garamond" w:hAnsi="Garamond" w:cstheme="minorHAnsi"/>
                <w:b w:val="0"/>
              </w:rPr>
            </w:pPr>
            <w:r w:rsidRPr="00A5626D">
              <w:rPr>
                <w:rFonts w:ascii="Garamond" w:hAnsi="Garamond" w:cstheme="minorHAnsi"/>
                <w:b w:val="0"/>
                <w:highlight w:val="yellow"/>
              </w:rPr>
              <w:t>При наличии статуса «некоммерческая информация» хотя бы в одном получасовом интервале результатов измерений, переданных в макете 80020 (80040), при выборе ОИП и РИП для целей расчета значений учетного показателя в соответствии с требованиями настоящего Регламента вышеуказанный статус «некоммерческой информации» используется в отношении всего часового интервала.</w:t>
            </w:r>
          </w:p>
        </w:tc>
        <w:tc>
          <w:tcPr>
            <w:tcW w:w="7088" w:type="dxa"/>
          </w:tcPr>
          <w:p w14:paraId="5D115307" w14:textId="77777777" w:rsidR="00295C6D" w:rsidRPr="00A5626D" w:rsidRDefault="00295C6D" w:rsidP="00E31AE6">
            <w:pPr>
              <w:pStyle w:val="2"/>
              <w:numPr>
                <w:ilvl w:val="0"/>
                <w:numId w:val="0"/>
              </w:numPr>
              <w:tabs>
                <w:tab w:val="left" w:pos="1134"/>
                <w:tab w:val="left" w:pos="7938"/>
              </w:tabs>
              <w:suppressAutoHyphens w:val="0"/>
              <w:spacing w:line="22" w:lineRule="atLeast"/>
              <w:ind w:firstLine="629"/>
              <w:jc w:val="both"/>
              <w:rPr>
                <w:rFonts w:ascii="Garamond" w:hAnsi="Garamond"/>
              </w:rPr>
            </w:pPr>
            <w:r w:rsidRPr="00A5626D">
              <w:rPr>
                <w:rFonts w:ascii="Garamond" w:hAnsi="Garamond" w:cstheme="minorHAnsi"/>
                <w:b w:val="0"/>
              </w:rPr>
              <w:t xml:space="preserve">Значение учетного показателя в точке поставки </w:t>
            </w:r>
            <w:r w:rsidRPr="00A5626D">
              <w:rPr>
                <w:rFonts w:ascii="Garamond" w:hAnsi="Garamond" w:cstheme="minorHAnsi"/>
                <w:b w:val="0"/>
                <w:highlight w:val="yellow"/>
              </w:rPr>
              <w:t>в ГТП генерации / сечении коммерческого учета</w:t>
            </w:r>
            <w:r w:rsidRPr="00A5626D">
              <w:rPr>
                <w:rFonts w:ascii="Garamond" w:hAnsi="Garamond" w:cstheme="minorHAnsi"/>
                <w:b w:val="0"/>
              </w:rPr>
              <w:t xml:space="preserve"> при формировании данных коммерческого учета рассчитывается в порядке, предусмотренном настоящим Регламентом, по основному методу расчета на основании результатов измерений основного измерительного прибора (ОИП) либо по резервному методу расчета на основании результатов измерений резервного измерительного прибора (РИП). </w:t>
            </w:r>
            <w:r w:rsidRPr="00A5626D">
              <w:rPr>
                <w:rFonts w:ascii="Garamond" w:hAnsi="Garamond" w:cstheme="minorHAnsi"/>
                <w:b w:val="0"/>
                <w:highlight w:val="yellow"/>
              </w:rPr>
              <w:t>При наличии статуса «некоммерческая информация» хотя бы в одном получасовом интервале результатов измерений, переданных в макете 80020 (80040), при выборе ОИП и РИП для целей расчета значений учетного показателя в точке поставки в ГТП генерации / сечении коммерческого учета в соответствии с требованиями настоящего Регламента вышеуказанный статус «некоммерческой информации» используется в отношении всего часового интервала.</w:t>
            </w:r>
          </w:p>
          <w:p w14:paraId="7CAB0C8E" w14:textId="6F0C8441" w:rsidR="00295C6D" w:rsidRPr="00A5626D" w:rsidRDefault="00295C6D" w:rsidP="00E31AE6">
            <w:pPr>
              <w:pStyle w:val="2"/>
              <w:numPr>
                <w:ilvl w:val="0"/>
                <w:numId w:val="0"/>
              </w:numPr>
              <w:tabs>
                <w:tab w:val="left" w:pos="1134"/>
                <w:tab w:val="left" w:pos="7938"/>
              </w:tabs>
              <w:suppressAutoHyphens w:val="0"/>
              <w:spacing w:line="22" w:lineRule="atLeast"/>
              <w:ind w:firstLine="629"/>
              <w:jc w:val="both"/>
              <w:rPr>
                <w:rFonts w:ascii="Garamond" w:eastAsia="Times New Roman" w:hAnsi="Garamond" w:cs="Courier New"/>
                <w:b w:val="0"/>
              </w:rPr>
            </w:pPr>
            <w:r w:rsidRPr="00A5626D">
              <w:rPr>
                <w:rFonts w:ascii="Garamond" w:hAnsi="Garamond" w:cstheme="minorHAnsi"/>
                <w:b w:val="0"/>
                <w:highlight w:val="yellow"/>
              </w:rPr>
              <w:t xml:space="preserve">Значение учетного показателя в точке присоединения по объекту регулирования рассчитывается на основании результатов измерений основного измерительного прибора (ОИП) либо на основании результатов измерений резервного измерительного прибора (РИП). </w:t>
            </w:r>
            <w:r w:rsidRPr="00A5626D">
              <w:rPr>
                <w:rFonts w:ascii="Garamond" w:eastAsia="Times New Roman" w:hAnsi="Garamond" w:cs="Courier New"/>
                <w:b w:val="0"/>
                <w:highlight w:val="yellow"/>
              </w:rPr>
              <w:t xml:space="preserve">В случае, когда в составе алгоритма расчета величины сальдо перетоков электроэнергии для объекта регулирования используются </w:t>
            </w:r>
            <w:r w:rsidR="00FF68DF">
              <w:rPr>
                <w:rFonts w:ascii="Garamond" w:eastAsia="Times New Roman" w:hAnsi="Garamond" w:cs="Courier New"/>
                <w:b w:val="0"/>
                <w:highlight w:val="yellow"/>
              </w:rPr>
              <w:t>два</w:t>
            </w:r>
            <w:r w:rsidRPr="00A5626D">
              <w:rPr>
                <w:rFonts w:ascii="Garamond" w:eastAsia="Times New Roman" w:hAnsi="Garamond" w:cs="Courier New"/>
                <w:b w:val="0"/>
                <w:highlight w:val="yellow"/>
              </w:rPr>
              <w:t xml:space="preserve"> измерительных прибора (ОИП и РИП), для расчета часового значения учетного показателя по точке присоединения и объекту регулирования используются:</w:t>
            </w:r>
          </w:p>
          <w:p w14:paraId="490D9BB2" w14:textId="77777777" w:rsidR="00295C6D" w:rsidRPr="00A5626D" w:rsidRDefault="00295C6D" w:rsidP="00E31AE6">
            <w:pPr>
              <w:tabs>
                <w:tab w:val="num" w:pos="0"/>
                <w:tab w:val="left" w:pos="1134"/>
                <w:tab w:val="left" w:pos="1200"/>
                <w:tab w:val="left" w:pos="7938"/>
              </w:tabs>
              <w:suppressAutoHyphens w:val="0"/>
              <w:ind w:firstLine="600"/>
              <w:jc w:val="both"/>
              <w:rPr>
                <w:rFonts w:ascii="Garamond" w:eastAsia="Times New Roman" w:hAnsi="Garamond" w:cs="Courier New"/>
                <w:sz w:val="22"/>
                <w:szCs w:val="22"/>
                <w:highlight w:val="yellow"/>
              </w:rPr>
            </w:pPr>
            <w:r w:rsidRPr="00A5626D">
              <w:rPr>
                <w:rFonts w:ascii="Garamond" w:eastAsia="Times New Roman" w:hAnsi="Garamond" w:cs="Courier New"/>
                <w:sz w:val="22"/>
                <w:szCs w:val="22"/>
              </w:rPr>
              <w:t>•</w:t>
            </w:r>
            <w:r w:rsidRPr="00A5626D">
              <w:rPr>
                <w:rFonts w:ascii="Garamond" w:eastAsia="Times New Roman" w:hAnsi="Garamond" w:cs="Courier New"/>
                <w:sz w:val="22"/>
                <w:szCs w:val="22"/>
              </w:rPr>
              <w:tab/>
            </w:r>
            <w:r w:rsidRPr="00A5626D">
              <w:rPr>
                <w:rFonts w:ascii="Garamond" w:eastAsia="Times New Roman" w:hAnsi="Garamond" w:cs="Courier New"/>
                <w:sz w:val="22"/>
                <w:szCs w:val="22"/>
                <w:highlight w:val="yellow"/>
              </w:rPr>
              <w:t>для получасовых интервалов времени, по которым КО приняты результаты измерений, сформированные в макете 20020 со статусом «коммерческая информация» по ОИП – вышеуказанные результаты измерений, направленные в отношении ОИП;</w:t>
            </w:r>
          </w:p>
          <w:p w14:paraId="2A1ADC19" w14:textId="77777777" w:rsidR="00295C6D" w:rsidRPr="00A5626D" w:rsidRDefault="00295C6D" w:rsidP="00E31AE6">
            <w:pPr>
              <w:tabs>
                <w:tab w:val="num" w:pos="0"/>
                <w:tab w:val="left" w:pos="1134"/>
                <w:tab w:val="left" w:pos="1200"/>
                <w:tab w:val="left" w:pos="7938"/>
              </w:tabs>
              <w:suppressAutoHyphens w:val="0"/>
              <w:ind w:firstLine="600"/>
              <w:jc w:val="both"/>
              <w:rPr>
                <w:rFonts w:ascii="Garamond" w:eastAsia="Times New Roman" w:hAnsi="Garamond" w:cs="Courier New"/>
                <w:sz w:val="22"/>
                <w:szCs w:val="22"/>
                <w:highlight w:val="yellow"/>
              </w:rPr>
            </w:pPr>
            <w:r w:rsidRPr="00A5626D">
              <w:rPr>
                <w:rFonts w:ascii="Garamond" w:eastAsia="Times New Roman" w:hAnsi="Garamond" w:cs="Courier New"/>
                <w:sz w:val="22"/>
                <w:szCs w:val="22"/>
              </w:rPr>
              <w:t>•</w:t>
            </w:r>
            <w:r w:rsidRPr="00A5626D">
              <w:rPr>
                <w:rFonts w:ascii="Garamond" w:eastAsia="Times New Roman" w:hAnsi="Garamond" w:cs="Courier New"/>
                <w:sz w:val="22"/>
                <w:szCs w:val="22"/>
              </w:rPr>
              <w:tab/>
            </w:r>
            <w:r w:rsidRPr="00A5626D">
              <w:rPr>
                <w:rFonts w:ascii="Garamond" w:eastAsia="Times New Roman" w:hAnsi="Garamond" w:cs="Courier New"/>
                <w:sz w:val="22"/>
                <w:szCs w:val="22"/>
                <w:highlight w:val="yellow"/>
              </w:rPr>
              <w:t>для получасовых интервалов времени, по которым КО приняты результаты измерений, сформированные в макете 20020 со статусом «некоммерческая информация» по ОИП – принятые КО результаты измерений, сформированные в макете 20020 со статусом «коммерческая информация» по РИП;</w:t>
            </w:r>
          </w:p>
          <w:p w14:paraId="637A7C27" w14:textId="77777777" w:rsidR="00295C6D" w:rsidRPr="00A5626D" w:rsidRDefault="00295C6D" w:rsidP="00E31AE6">
            <w:pPr>
              <w:pStyle w:val="2"/>
              <w:numPr>
                <w:ilvl w:val="0"/>
                <w:numId w:val="0"/>
              </w:numPr>
              <w:tabs>
                <w:tab w:val="left" w:pos="1134"/>
                <w:tab w:val="left" w:pos="7938"/>
              </w:tabs>
              <w:suppressAutoHyphens w:val="0"/>
              <w:spacing w:line="22" w:lineRule="atLeast"/>
              <w:ind w:firstLine="629"/>
              <w:jc w:val="both"/>
              <w:rPr>
                <w:rFonts w:ascii="Garamond" w:eastAsia="Times New Roman" w:hAnsi="Garamond" w:cs="Courier New"/>
                <w:b w:val="0"/>
                <w:highlight w:val="yellow"/>
              </w:rPr>
            </w:pPr>
            <w:r w:rsidRPr="00A5626D">
              <w:rPr>
                <w:rFonts w:ascii="Garamond" w:eastAsia="Times New Roman" w:hAnsi="Garamond" w:cs="Courier New"/>
              </w:rPr>
              <w:t>•</w:t>
            </w:r>
            <w:r w:rsidRPr="00A5626D">
              <w:rPr>
                <w:rFonts w:ascii="Garamond" w:eastAsia="Times New Roman" w:hAnsi="Garamond" w:cs="Courier New"/>
              </w:rPr>
              <w:tab/>
            </w:r>
            <w:r w:rsidRPr="00A5626D">
              <w:rPr>
                <w:rFonts w:ascii="Garamond" w:eastAsia="Times New Roman" w:hAnsi="Garamond" w:cs="Courier New"/>
                <w:b w:val="0"/>
                <w:highlight w:val="yellow"/>
              </w:rPr>
              <w:t>для получасовых интервал</w:t>
            </w:r>
            <w:r w:rsidR="00201A2B" w:rsidRPr="00A5626D">
              <w:rPr>
                <w:rFonts w:ascii="Garamond" w:eastAsia="Times New Roman" w:hAnsi="Garamond" w:cs="Courier New"/>
                <w:b w:val="0"/>
                <w:highlight w:val="yellow"/>
              </w:rPr>
              <w:t>ов</w:t>
            </w:r>
            <w:r w:rsidRPr="00A5626D">
              <w:rPr>
                <w:rFonts w:ascii="Garamond" w:eastAsia="Times New Roman" w:hAnsi="Garamond" w:cs="Courier New"/>
                <w:b w:val="0"/>
                <w:highlight w:val="yellow"/>
              </w:rPr>
              <w:t xml:space="preserve"> времени, по которым КО приняты результаты</w:t>
            </w:r>
            <w:r w:rsidRPr="00A5626D">
              <w:rPr>
                <w:rFonts w:ascii="Garamond" w:eastAsia="Times New Roman" w:hAnsi="Garamond" w:cs="Courier New"/>
                <w:highlight w:val="yellow"/>
              </w:rPr>
              <w:t xml:space="preserve"> </w:t>
            </w:r>
            <w:r w:rsidRPr="00A5626D">
              <w:rPr>
                <w:rFonts w:ascii="Garamond" w:eastAsia="Times New Roman" w:hAnsi="Garamond" w:cs="Courier New"/>
                <w:b w:val="0"/>
                <w:highlight w:val="yellow"/>
              </w:rPr>
              <w:t xml:space="preserve">измерений, сформированные в макете 20020 со статусом </w:t>
            </w:r>
            <w:r w:rsidRPr="00A5626D">
              <w:rPr>
                <w:rFonts w:ascii="Garamond" w:eastAsia="Times New Roman" w:hAnsi="Garamond" w:cs="Courier New"/>
                <w:b w:val="0"/>
                <w:highlight w:val="yellow"/>
              </w:rPr>
              <w:lastRenderedPageBreak/>
              <w:t>«некоммерческая информация» по ОИП и РИП, значение учетного показателя по точке присоединения и объекту регулирования не определяется для всего часа.</w:t>
            </w:r>
          </w:p>
          <w:p w14:paraId="6CF9D289" w14:textId="77777777" w:rsidR="00295C6D" w:rsidRPr="00A5626D" w:rsidRDefault="00295C6D" w:rsidP="00E31AE6">
            <w:pPr>
              <w:pStyle w:val="2"/>
              <w:numPr>
                <w:ilvl w:val="0"/>
                <w:numId w:val="0"/>
              </w:numPr>
              <w:tabs>
                <w:tab w:val="left" w:pos="1134"/>
                <w:tab w:val="left" w:pos="7938"/>
              </w:tabs>
              <w:suppressAutoHyphens w:val="0"/>
              <w:spacing w:line="22" w:lineRule="atLeast"/>
              <w:ind w:firstLine="629"/>
              <w:jc w:val="both"/>
              <w:rPr>
                <w:rFonts w:ascii="Garamond" w:hAnsi="Garamond" w:cstheme="minorHAnsi"/>
                <w:b w:val="0"/>
              </w:rPr>
            </w:pPr>
            <w:r w:rsidRPr="00A5626D">
              <w:rPr>
                <w:rFonts w:ascii="Garamond" w:hAnsi="Garamond" w:cstheme="minorHAnsi"/>
                <w:b w:val="0"/>
                <w:highlight w:val="yellow"/>
              </w:rPr>
              <w:t>Т</w:t>
            </w:r>
            <w:r w:rsidRPr="00A5626D">
              <w:rPr>
                <w:rFonts w:ascii="Garamond" w:hAnsi="Garamond" w:cstheme="minorHAnsi"/>
                <w:b w:val="0"/>
              </w:rPr>
              <w:t>очки измерени</w:t>
            </w:r>
            <w:r w:rsidRPr="00A5626D">
              <w:rPr>
                <w:rFonts w:ascii="Garamond" w:hAnsi="Garamond" w:cstheme="minorHAnsi"/>
                <w:b w:val="0"/>
                <w:highlight w:val="yellow"/>
              </w:rPr>
              <w:t>й, входящие в состав ГТП генерации или сечения коммерческого учета,</w:t>
            </w:r>
            <w:r w:rsidRPr="00A5626D">
              <w:rPr>
                <w:rFonts w:ascii="Garamond" w:hAnsi="Garamond" w:cstheme="minorHAnsi"/>
                <w:b w:val="0"/>
              </w:rPr>
              <w:t xml:space="preserve"> по основному и резервному методу могут быть закодированы в отношении одного или другого (смежного) субъекта оптового рынка, который и производит передачу результатов измерений по соответствующим точкам измерения в ПАК КО. </w:t>
            </w:r>
            <w:r w:rsidRPr="00A5626D">
              <w:rPr>
                <w:rFonts w:ascii="Garamond" w:hAnsi="Garamond" w:cstheme="minorHAnsi"/>
                <w:b w:val="0"/>
                <w:highlight w:val="yellow"/>
              </w:rPr>
              <w:t>В отношении объекта регулирования точки измерений могут быть закодированы только за агрегатором</w:t>
            </w:r>
            <w:r w:rsidRPr="00A5626D">
              <w:rPr>
                <w:rFonts w:ascii="Garamond" w:hAnsi="Garamond" w:cstheme="minorHAnsi"/>
                <w:b w:val="0"/>
              </w:rPr>
              <w:t>.</w:t>
            </w:r>
          </w:p>
          <w:p w14:paraId="470EC0F7" w14:textId="77777777" w:rsidR="00295C6D" w:rsidRPr="00A5626D" w:rsidRDefault="00295C6D" w:rsidP="00E31AE6">
            <w:pPr>
              <w:pStyle w:val="2"/>
              <w:numPr>
                <w:ilvl w:val="0"/>
                <w:numId w:val="0"/>
              </w:numPr>
              <w:tabs>
                <w:tab w:val="left" w:pos="1134"/>
                <w:tab w:val="left" w:pos="7938"/>
              </w:tabs>
              <w:suppressAutoHyphens w:val="0"/>
              <w:spacing w:line="22" w:lineRule="atLeast"/>
              <w:ind w:firstLine="629"/>
              <w:jc w:val="both"/>
              <w:rPr>
                <w:rFonts w:ascii="Garamond" w:hAnsi="Garamond" w:cstheme="minorHAnsi"/>
                <w:b w:val="0"/>
              </w:rPr>
            </w:pPr>
            <w:r w:rsidRPr="00A5626D">
              <w:rPr>
                <w:rFonts w:ascii="Garamond" w:hAnsi="Garamond" w:cstheme="minorHAnsi"/>
                <w:b w:val="0"/>
              </w:rPr>
              <w:t>В отношении каждой точки поставки</w:t>
            </w:r>
            <w:r w:rsidRPr="00A5626D">
              <w:rPr>
                <w:rFonts w:ascii="Garamond" w:hAnsi="Garamond" w:cstheme="minorHAnsi"/>
                <w:b w:val="0"/>
                <w:highlight w:val="yellow"/>
              </w:rPr>
              <w:t>, точки присоединения</w:t>
            </w:r>
            <w:r w:rsidRPr="00A5626D">
              <w:rPr>
                <w:rFonts w:ascii="Garamond" w:hAnsi="Garamond" w:cstheme="minorHAnsi"/>
                <w:b w:val="0"/>
              </w:rPr>
              <w:t xml:space="preserve"> задается не менее одного метода расчета величины электроэнергии.</w:t>
            </w:r>
          </w:p>
        </w:tc>
      </w:tr>
      <w:tr w:rsidR="00295C6D" w:rsidRPr="00A5626D" w14:paraId="09B50333" w14:textId="77777777" w:rsidTr="00647FA0">
        <w:tc>
          <w:tcPr>
            <w:tcW w:w="1060" w:type="dxa"/>
            <w:vAlign w:val="center"/>
          </w:tcPr>
          <w:p w14:paraId="4ED35932" w14:textId="43DCC590" w:rsidR="00295C6D" w:rsidRPr="00A5626D" w:rsidRDefault="00295C6D" w:rsidP="00E31AE6">
            <w:pPr>
              <w:widowControl w:val="0"/>
              <w:tabs>
                <w:tab w:val="left" w:pos="1134"/>
                <w:tab w:val="left" w:pos="7938"/>
              </w:tabs>
              <w:spacing w:line="22" w:lineRule="atLeast"/>
              <w:jc w:val="both"/>
              <w:rPr>
                <w:rFonts w:ascii="Garamond" w:hAnsi="Garamond"/>
                <w:b/>
                <w:sz w:val="22"/>
                <w:szCs w:val="22"/>
                <w:lang w:eastAsia="en-US"/>
              </w:rPr>
            </w:pPr>
            <w:r w:rsidRPr="00A5626D">
              <w:rPr>
                <w:rFonts w:ascii="Garamond" w:hAnsi="Garamond"/>
                <w:b/>
                <w:sz w:val="22"/>
                <w:szCs w:val="22"/>
                <w:lang w:eastAsia="en-US"/>
              </w:rPr>
              <w:lastRenderedPageBreak/>
              <w:t>Приложение 5, п.</w:t>
            </w:r>
            <w:r w:rsidR="000B3419" w:rsidRPr="00A5626D">
              <w:rPr>
                <w:rFonts w:ascii="Garamond" w:hAnsi="Garamond"/>
                <w:b/>
                <w:sz w:val="22"/>
                <w:szCs w:val="22"/>
                <w:lang w:eastAsia="en-US"/>
              </w:rPr>
              <w:t xml:space="preserve"> </w:t>
            </w:r>
            <w:r w:rsidRPr="00A5626D">
              <w:rPr>
                <w:rFonts w:ascii="Garamond" w:hAnsi="Garamond"/>
                <w:b/>
                <w:sz w:val="22"/>
                <w:szCs w:val="22"/>
                <w:lang w:eastAsia="en-US"/>
              </w:rPr>
              <w:t>2.1.2</w:t>
            </w:r>
          </w:p>
        </w:tc>
        <w:tc>
          <w:tcPr>
            <w:tcW w:w="6662" w:type="dxa"/>
          </w:tcPr>
          <w:p w14:paraId="1D11BF70" w14:textId="77777777" w:rsidR="00295C6D" w:rsidRPr="00A5626D" w:rsidRDefault="00295C6D" w:rsidP="00E31AE6">
            <w:pPr>
              <w:pStyle w:val="2"/>
              <w:numPr>
                <w:ilvl w:val="0"/>
                <w:numId w:val="0"/>
              </w:numPr>
              <w:tabs>
                <w:tab w:val="left" w:pos="1134"/>
                <w:tab w:val="left" w:pos="7938"/>
              </w:tabs>
              <w:suppressAutoHyphens w:val="0"/>
              <w:spacing w:line="22" w:lineRule="atLeast"/>
              <w:ind w:firstLine="629"/>
              <w:jc w:val="both"/>
              <w:rPr>
                <w:rFonts w:ascii="Garamond" w:hAnsi="Garamond" w:cstheme="minorHAnsi"/>
                <w:b w:val="0"/>
              </w:rPr>
            </w:pPr>
            <w:r w:rsidRPr="00A5626D">
              <w:rPr>
                <w:rFonts w:ascii="Garamond" w:hAnsi="Garamond" w:cstheme="minorHAnsi"/>
                <w:b w:val="0"/>
              </w:rPr>
              <w:t xml:space="preserve">Выбор ОИП и РИП при формировании и согласовании ПСИ производится участниками оптового рынка (ФСК) в соответствии со следующими положениями: </w:t>
            </w:r>
          </w:p>
          <w:p w14:paraId="4CE9F138" w14:textId="77777777" w:rsidR="00295C6D" w:rsidRPr="00A5626D" w:rsidRDefault="00295C6D" w:rsidP="00E31AE6">
            <w:pPr>
              <w:pStyle w:val="2"/>
              <w:numPr>
                <w:ilvl w:val="0"/>
                <w:numId w:val="0"/>
              </w:numPr>
              <w:tabs>
                <w:tab w:val="left" w:pos="1134"/>
                <w:tab w:val="left" w:pos="7938"/>
              </w:tabs>
              <w:suppressAutoHyphens w:val="0"/>
              <w:spacing w:line="22" w:lineRule="atLeast"/>
              <w:ind w:firstLine="629"/>
              <w:jc w:val="both"/>
              <w:rPr>
                <w:rFonts w:ascii="Garamond" w:hAnsi="Garamond" w:cstheme="minorHAnsi"/>
                <w:b w:val="0"/>
              </w:rPr>
            </w:pPr>
            <w:r w:rsidRPr="00A5626D">
              <w:rPr>
                <w:rFonts w:ascii="Garamond" w:hAnsi="Garamond" w:cstheme="minorHAnsi"/>
                <w:b w:val="0"/>
              </w:rPr>
              <w:t>а)</w:t>
            </w:r>
            <w:r w:rsidRPr="00A5626D">
              <w:rPr>
                <w:rFonts w:ascii="Garamond" w:hAnsi="Garamond" w:cstheme="minorHAnsi"/>
                <w:b w:val="0"/>
              </w:rPr>
              <w:tab/>
              <w:t xml:space="preserve">при наличии в отношении ТП двух (или более) ТИ, позволяющих независимо определить величину электроэнергии в данной ТП, выбор ОИП из соответствующих данным ТИ измерительным приборам </w:t>
            </w:r>
            <w:r w:rsidRPr="00A5626D">
              <w:rPr>
                <w:rFonts w:ascii="Garamond" w:hAnsi="Garamond" w:cstheme="minorHAnsi"/>
                <w:b w:val="0"/>
                <w:highlight w:val="yellow"/>
              </w:rPr>
              <w:t>(счетчикам)</w:t>
            </w:r>
            <w:r w:rsidRPr="00A5626D">
              <w:rPr>
                <w:rFonts w:ascii="Garamond" w:hAnsi="Garamond" w:cstheme="minorHAnsi"/>
                <w:b w:val="0"/>
              </w:rPr>
              <w:t xml:space="preserve"> осуществляется исходя из следующих критериев (в порядке убывания приоритета): </w:t>
            </w:r>
          </w:p>
          <w:p w14:paraId="45D7E0C3" w14:textId="1F2B37F9" w:rsidR="00295C6D" w:rsidRPr="00A5626D" w:rsidRDefault="009B5F03" w:rsidP="00E31AE6">
            <w:pPr>
              <w:pStyle w:val="2"/>
              <w:numPr>
                <w:ilvl w:val="0"/>
                <w:numId w:val="0"/>
              </w:numPr>
              <w:tabs>
                <w:tab w:val="left" w:pos="1134"/>
                <w:tab w:val="left" w:pos="7938"/>
              </w:tabs>
              <w:suppressAutoHyphens w:val="0"/>
              <w:spacing w:line="22" w:lineRule="atLeast"/>
              <w:ind w:firstLine="629"/>
              <w:jc w:val="both"/>
              <w:rPr>
                <w:rFonts w:ascii="Garamond" w:hAnsi="Garamond" w:cstheme="minorHAnsi"/>
                <w:b w:val="0"/>
              </w:rPr>
            </w:pPr>
            <w:r w:rsidRPr="00A5626D">
              <w:rPr>
                <w:rFonts w:ascii="Garamond" w:hAnsi="Garamond" w:cstheme="minorHAnsi"/>
                <w:b w:val="0"/>
              </w:rPr>
              <w:t xml:space="preserve">– </w:t>
            </w:r>
            <w:r w:rsidR="00295C6D" w:rsidRPr="00A5626D">
              <w:rPr>
                <w:rFonts w:ascii="Garamond" w:hAnsi="Garamond" w:cstheme="minorHAnsi"/>
                <w:b w:val="0"/>
              </w:rPr>
              <w:t>измерительный прибор используется в составе АИИС КУЭ;</w:t>
            </w:r>
          </w:p>
          <w:p w14:paraId="05D67681" w14:textId="4107DF25" w:rsidR="00295C6D" w:rsidRPr="00A5626D" w:rsidRDefault="009B5F03" w:rsidP="00E31AE6">
            <w:pPr>
              <w:pStyle w:val="2"/>
              <w:numPr>
                <w:ilvl w:val="0"/>
                <w:numId w:val="0"/>
              </w:numPr>
              <w:tabs>
                <w:tab w:val="left" w:pos="1134"/>
                <w:tab w:val="left" w:pos="7938"/>
              </w:tabs>
              <w:suppressAutoHyphens w:val="0"/>
              <w:spacing w:line="22" w:lineRule="atLeast"/>
              <w:ind w:firstLine="629"/>
              <w:jc w:val="both"/>
              <w:rPr>
                <w:rFonts w:ascii="Garamond" w:hAnsi="Garamond" w:cstheme="minorHAnsi"/>
                <w:b w:val="0"/>
              </w:rPr>
            </w:pPr>
            <w:r w:rsidRPr="00A5626D">
              <w:rPr>
                <w:rFonts w:ascii="Garamond" w:hAnsi="Garamond" w:cstheme="minorHAnsi"/>
                <w:b w:val="0"/>
              </w:rPr>
              <w:t xml:space="preserve">– </w:t>
            </w:r>
            <w:r w:rsidR="00295C6D" w:rsidRPr="00A5626D">
              <w:rPr>
                <w:rFonts w:ascii="Garamond" w:hAnsi="Garamond" w:cstheme="minorHAnsi"/>
                <w:b w:val="0"/>
              </w:rPr>
              <w:t>минимальная величина потерь электрической энергии от ТИ до ТП (при номинальных токах и напряжениях);</w:t>
            </w:r>
          </w:p>
          <w:p w14:paraId="0F8CE84A" w14:textId="6D7C8FAD" w:rsidR="00295C6D" w:rsidRPr="00A5626D" w:rsidRDefault="009B5F03" w:rsidP="00E31AE6">
            <w:pPr>
              <w:pStyle w:val="2"/>
              <w:numPr>
                <w:ilvl w:val="0"/>
                <w:numId w:val="0"/>
              </w:numPr>
              <w:tabs>
                <w:tab w:val="left" w:pos="1134"/>
                <w:tab w:val="left" w:pos="7938"/>
              </w:tabs>
              <w:suppressAutoHyphens w:val="0"/>
              <w:spacing w:line="22" w:lineRule="atLeast"/>
              <w:ind w:firstLine="629"/>
              <w:jc w:val="both"/>
              <w:rPr>
                <w:rFonts w:ascii="Garamond" w:hAnsi="Garamond" w:cstheme="minorHAnsi"/>
                <w:b w:val="0"/>
              </w:rPr>
            </w:pPr>
            <w:r w:rsidRPr="00A5626D">
              <w:rPr>
                <w:rFonts w:ascii="Garamond" w:hAnsi="Garamond" w:cstheme="minorHAnsi"/>
                <w:b w:val="0"/>
              </w:rPr>
              <w:t xml:space="preserve">– </w:t>
            </w:r>
            <w:r w:rsidR="00295C6D" w:rsidRPr="00A5626D">
              <w:rPr>
                <w:rFonts w:ascii="Garamond" w:hAnsi="Garamond" w:cstheme="minorHAnsi"/>
                <w:b w:val="0"/>
              </w:rPr>
              <w:t>минимальная величина погрешности измерительного комплекса (измерительных комплексов), выполняющего (выполняющих) измерения в отношении ТП;</w:t>
            </w:r>
          </w:p>
          <w:p w14:paraId="2BB825EB" w14:textId="22CE4B1D" w:rsidR="00295C6D" w:rsidRPr="00A5626D" w:rsidRDefault="009B5F03" w:rsidP="00E31AE6">
            <w:pPr>
              <w:pStyle w:val="2"/>
              <w:numPr>
                <w:ilvl w:val="0"/>
                <w:numId w:val="0"/>
              </w:numPr>
              <w:tabs>
                <w:tab w:val="left" w:pos="1134"/>
                <w:tab w:val="left" w:pos="7938"/>
              </w:tabs>
              <w:suppressAutoHyphens w:val="0"/>
              <w:spacing w:line="22" w:lineRule="atLeast"/>
              <w:ind w:firstLine="629"/>
              <w:jc w:val="both"/>
              <w:rPr>
                <w:rFonts w:ascii="Garamond" w:hAnsi="Garamond" w:cstheme="minorHAnsi"/>
                <w:b w:val="0"/>
              </w:rPr>
            </w:pPr>
            <w:r w:rsidRPr="00A5626D">
              <w:rPr>
                <w:rFonts w:ascii="Garamond" w:hAnsi="Garamond" w:cstheme="minorHAnsi"/>
                <w:b w:val="0"/>
              </w:rPr>
              <w:t xml:space="preserve">– </w:t>
            </w:r>
            <w:r w:rsidR="00295C6D" w:rsidRPr="00A5626D">
              <w:rPr>
                <w:rFonts w:ascii="Garamond" w:hAnsi="Garamond" w:cstheme="minorHAnsi"/>
                <w:b w:val="0"/>
              </w:rPr>
              <w:t xml:space="preserve">использование в ТИ интервальных </w:t>
            </w:r>
            <w:r w:rsidR="00295C6D" w:rsidRPr="00A5626D">
              <w:rPr>
                <w:rFonts w:ascii="Garamond" w:hAnsi="Garamond" w:cstheme="minorHAnsi"/>
                <w:b w:val="0"/>
                <w:highlight w:val="yellow"/>
              </w:rPr>
              <w:t>счетчиков</w:t>
            </w:r>
            <w:r w:rsidR="00295C6D" w:rsidRPr="00A5626D">
              <w:rPr>
                <w:rFonts w:ascii="Garamond" w:hAnsi="Garamond" w:cstheme="minorHAnsi"/>
                <w:b w:val="0"/>
              </w:rPr>
              <w:t>;</w:t>
            </w:r>
          </w:p>
          <w:p w14:paraId="52936357" w14:textId="02502D02" w:rsidR="00295C6D" w:rsidRPr="00A5626D" w:rsidRDefault="009B5F03" w:rsidP="00E31AE6">
            <w:pPr>
              <w:pStyle w:val="2"/>
              <w:numPr>
                <w:ilvl w:val="0"/>
                <w:numId w:val="0"/>
              </w:numPr>
              <w:tabs>
                <w:tab w:val="left" w:pos="1134"/>
                <w:tab w:val="left" w:pos="7938"/>
              </w:tabs>
              <w:suppressAutoHyphens w:val="0"/>
              <w:spacing w:line="22" w:lineRule="atLeast"/>
              <w:ind w:firstLine="629"/>
              <w:jc w:val="both"/>
              <w:rPr>
                <w:rFonts w:ascii="Garamond" w:hAnsi="Garamond" w:cstheme="minorHAnsi"/>
                <w:b w:val="0"/>
              </w:rPr>
            </w:pPr>
            <w:r w:rsidRPr="00A5626D">
              <w:rPr>
                <w:rFonts w:ascii="Garamond" w:hAnsi="Garamond" w:cstheme="minorHAnsi"/>
                <w:b w:val="0"/>
              </w:rPr>
              <w:t xml:space="preserve">– </w:t>
            </w:r>
            <w:r w:rsidR="00295C6D" w:rsidRPr="00A5626D">
              <w:rPr>
                <w:rFonts w:ascii="Garamond" w:hAnsi="Garamond" w:cstheme="minorHAnsi"/>
                <w:b w:val="0"/>
              </w:rPr>
              <w:t>минимальное количество ТИ, позволяющих определить величину электроэнергии в ТП.</w:t>
            </w:r>
          </w:p>
          <w:p w14:paraId="7B56D891" w14:textId="77777777" w:rsidR="00295C6D" w:rsidRPr="00A5626D" w:rsidRDefault="00295C6D" w:rsidP="00E31AE6">
            <w:pPr>
              <w:pStyle w:val="2"/>
              <w:numPr>
                <w:ilvl w:val="0"/>
                <w:numId w:val="0"/>
              </w:numPr>
              <w:tabs>
                <w:tab w:val="left" w:pos="1134"/>
                <w:tab w:val="left" w:pos="7938"/>
              </w:tabs>
              <w:suppressAutoHyphens w:val="0"/>
              <w:spacing w:line="22" w:lineRule="atLeast"/>
              <w:ind w:firstLine="629"/>
              <w:jc w:val="both"/>
              <w:rPr>
                <w:rFonts w:ascii="Garamond" w:hAnsi="Garamond" w:cstheme="minorHAnsi"/>
                <w:b w:val="0"/>
              </w:rPr>
            </w:pPr>
            <w:r w:rsidRPr="00A5626D">
              <w:rPr>
                <w:rFonts w:ascii="Garamond" w:hAnsi="Garamond" w:cstheme="minorHAnsi"/>
                <w:b w:val="0"/>
              </w:rPr>
              <w:t>Измерительный прибор, не выбранный в качестве ОИП, может быть выбран в качестве РИП;</w:t>
            </w:r>
          </w:p>
          <w:p w14:paraId="4DBF3C52" w14:textId="77777777" w:rsidR="00295C6D" w:rsidRPr="00A5626D" w:rsidRDefault="00295C6D" w:rsidP="00E31AE6">
            <w:pPr>
              <w:pStyle w:val="2"/>
              <w:numPr>
                <w:ilvl w:val="0"/>
                <w:numId w:val="0"/>
              </w:numPr>
              <w:tabs>
                <w:tab w:val="left" w:pos="1134"/>
                <w:tab w:val="left" w:pos="7938"/>
              </w:tabs>
              <w:suppressAutoHyphens w:val="0"/>
              <w:spacing w:line="22" w:lineRule="atLeast"/>
              <w:ind w:firstLine="629"/>
              <w:jc w:val="both"/>
              <w:rPr>
                <w:rFonts w:ascii="Garamond" w:hAnsi="Garamond" w:cstheme="minorHAnsi"/>
                <w:b w:val="0"/>
              </w:rPr>
            </w:pPr>
            <w:r w:rsidRPr="00A5626D">
              <w:rPr>
                <w:rFonts w:ascii="Garamond" w:hAnsi="Garamond" w:cstheme="minorHAnsi"/>
                <w:b w:val="0"/>
              </w:rPr>
              <w:t>б)</w:t>
            </w:r>
            <w:r w:rsidRPr="00A5626D">
              <w:rPr>
                <w:rFonts w:ascii="Garamond" w:hAnsi="Garamond" w:cstheme="minorHAnsi"/>
                <w:b w:val="0"/>
              </w:rPr>
              <w:tab/>
              <w:t xml:space="preserve">интегральные приборы учета могут использоваться в качестве ОИП только в случаях, указанных в </w:t>
            </w:r>
            <w:r w:rsidRPr="00A5626D">
              <w:rPr>
                <w:rFonts w:ascii="Garamond" w:hAnsi="Garamond" w:cstheme="minorHAnsi"/>
                <w:b w:val="0"/>
                <w:highlight w:val="yellow"/>
              </w:rPr>
              <w:t xml:space="preserve">п. 1.2 </w:t>
            </w:r>
            <w:r w:rsidRPr="00A5626D">
              <w:rPr>
                <w:rFonts w:ascii="Garamond" w:hAnsi="Garamond" w:cstheme="minorHAnsi"/>
                <w:b w:val="0"/>
              </w:rPr>
              <w:t>Приложени</w:t>
            </w:r>
            <w:r w:rsidRPr="00A5626D">
              <w:rPr>
                <w:rFonts w:ascii="Garamond" w:hAnsi="Garamond" w:cstheme="minorHAnsi"/>
                <w:b w:val="0"/>
                <w:highlight w:val="yellow"/>
              </w:rPr>
              <w:t>я</w:t>
            </w:r>
            <w:r w:rsidRPr="00A5626D">
              <w:rPr>
                <w:rFonts w:ascii="Garamond" w:hAnsi="Garamond" w:cstheme="minorHAnsi"/>
                <w:b w:val="0"/>
              </w:rPr>
              <w:t xml:space="preserve"> </w:t>
            </w:r>
            <w:r w:rsidRPr="00FF68DF">
              <w:rPr>
                <w:rFonts w:ascii="Garamond" w:hAnsi="Garamond" w:cstheme="minorHAnsi"/>
                <w:b w:val="0"/>
                <w:highlight w:val="yellow"/>
              </w:rPr>
              <w:t>№ 1</w:t>
            </w:r>
            <w:r w:rsidRPr="00A5626D">
              <w:rPr>
                <w:rFonts w:ascii="Garamond" w:hAnsi="Garamond" w:cstheme="minorHAnsi"/>
                <w:b w:val="0"/>
                <w:highlight w:val="yellow"/>
              </w:rPr>
              <w:t>1.1 (Автоматизированные информационно-измерительные системы коммерческого учета электрической энергии (мощности). Технические требования)</w:t>
            </w:r>
            <w:r w:rsidRPr="00A5626D">
              <w:rPr>
                <w:rFonts w:ascii="Garamond" w:hAnsi="Garamond" w:cstheme="minorHAnsi"/>
                <w:b w:val="0"/>
              </w:rPr>
              <w:t xml:space="preserve"> к Положению о порядке получения статуса субъекта оптового рынка и ведения реестра субъектов оптового рынка (Приложение № 1.1 к Договору о присоединении к торговой системе </w:t>
            </w:r>
            <w:r w:rsidRPr="00A5626D">
              <w:rPr>
                <w:rFonts w:ascii="Garamond" w:hAnsi="Garamond" w:cstheme="minorHAnsi"/>
                <w:b w:val="0"/>
              </w:rPr>
              <w:lastRenderedPageBreak/>
              <w:t>оптового рынка).</w:t>
            </w:r>
          </w:p>
          <w:p w14:paraId="3C79E331" w14:textId="77777777" w:rsidR="00295C6D" w:rsidRPr="00A5626D" w:rsidRDefault="00295C6D" w:rsidP="00E31AE6">
            <w:pPr>
              <w:pStyle w:val="2"/>
              <w:numPr>
                <w:ilvl w:val="0"/>
                <w:numId w:val="0"/>
              </w:numPr>
              <w:tabs>
                <w:tab w:val="left" w:pos="1134"/>
                <w:tab w:val="left" w:pos="7938"/>
              </w:tabs>
              <w:suppressAutoHyphens w:val="0"/>
              <w:spacing w:line="22" w:lineRule="atLeast"/>
              <w:ind w:firstLine="629"/>
              <w:jc w:val="both"/>
              <w:rPr>
                <w:rFonts w:ascii="Garamond" w:hAnsi="Garamond" w:cstheme="minorHAnsi"/>
                <w:b w:val="0"/>
              </w:rPr>
            </w:pPr>
            <w:r w:rsidRPr="00A5626D">
              <w:rPr>
                <w:rFonts w:ascii="Garamond" w:hAnsi="Garamond" w:cstheme="minorHAnsi"/>
                <w:b w:val="0"/>
              </w:rPr>
              <w:t>Порядок использования ОИП и РИП для расчета значения учетного показателя по точке поставки при формировании отчетных данных коммерческого учета по сечениям коммерческого учета (кроме временных сечений и сечений коммерческого учета, входящих в сечение экспорта-импорта) и по внутренним сечениям осуществляется в порядке, предусмотренном п. 7.2 и п. 7.4 настоящего Регламента соответственно.</w:t>
            </w:r>
          </w:p>
        </w:tc>
        <w:tc>
          <w:tcPr>
            <w:tcW w:w="7088" w:type="dxa"/>
          </w:tcPr>
          <w:p w14:paraId="2B0D9AA1" w14:textId="77777777" w:rsidR="00295C6D" w:rsidRPr="00A5626D" w:rsidRDefault="00295C6D" w:rsidP="00E31AE6">
            <w:pPr>
              <w:pStyle w:val="2"/>
              <w:numPr>
                <w:ilvl w:val="0"/>
                <w:numId w:val="0"/>
              </w:numPr>
              <w:tabs>
                <w:tab w:val="left" w:pos="1134"/>
                <w:tab w:val="left" w:pos="7938"/>
              </w:tabs>
              <w:suppressAutoHyphens w:val="0"/>
              <w:spacing w:line="22" w:lineRule="atLeast"/>
              <w:ind w:firstLine="629"/>
              <w:jc w:val="both"/>
              <w:rPr>
                <w:rFonts w:ascii="Garamond" w:hAnsi="Garamond" w:cstheme="minorHAnsi"/>
                <w:b w:val="0"/>
              </w:rPr>
            </w:pPr>
            <w:r w:rsidRPr="00A5626D">
              <w:rPr>
                <w:rFonts w:ascii="Garamond" w:hAnsi="Garamond" w:cstheme="minorHAnsi"/>
                <w:b w:val="0"/>
              </w:rPr>
              <w:lastRenderedPageBreak/>
              <w:t xml:space="preserve">Выбор ОИП и РИП при формировании и согласовании ПСИ </w:t>
            </w:r>
            <w:r w:rsidRPr="00A5626D">
              <w:rPr>
                <w:rFonts w:ascii="Garamond" w:hAnsi="Garamond" w:cstheme="minorHAnsi"/>
                <w:b w:val="0"/>
                <w:highlight w:val="yellow"/>
              </w:rPr>
              <w:t>по ГТП генерации / сечению коммерческого учета</w:t>
            </w:r>
            <w:r w:rsidRPr="00A5626D">
              <w:rPr>
                <w:rFonts w:ascii="Garamond" w:hAnsi="Garamond" w:cstheme="minorHAnsi"/>
                <w:b w:val="0"/>
              </w:rPr>
              <w:t xml:space="preserve"> производится участниками оптового рынка (ФСК) в соответствии со следующими положениями: </w:t>
            </w:r>
          </w:p>
          <w:p w14:paraId="43F1E56F" w14:textId="77777777" w:rsidR="00295C6D" w:rsidRPr="00A5626D" w:rsidRDefault="00295C6D" w:rsidP="00E31AE6">
            <w:pPr>
              <w:pStyle w:val="2"/>
              <w:numPr>
                <w:ilvl w:val="0"/>
                <w:numId w:val="0"/>
              </w:numPr>
              <w:tabs>
                <w:tab w:val="left" w:pos="1134"/>
                <w:tab w:val="left" w:pos="7938"/>
              </w:tabs>
              <w:suppressAutoHyphens w:val="0"/>
              <w:spacing w:line="22" w:lineRule="atLeast"/>
              <w:ind w:firstLine="629"/>
              <w:jc w:val="both"/>
              <w:rPr>
                <w:rFonts w:ascii="Garamond" w:hAnsi="Garamond" w:cstheme="minorHAnsi"/>
                <w:b w:val="0"/>
              </w:rPr>
            </w:pPr>
            <w:r w:rsidRPr="00A5626D">
              <w:rPr>
                <w:rFonts w:ascii="Garamond" w:hAnsi="Garamond" w:cstheme="minorHAnsi"/>
                <w:b w:val="0"/>
              </w:rPr>
              <w:t>а)</w:t>
            </w:r>
            <w:r w:rsidRPr="00A5626D">
              <w:rPr>
                <w:rFonts w:ascii="Garamond" w:hAnsi="Garamond" w:cstheme="minorHAnsi"/>
                <w:b w:val="0"/>
              </w:rPr>
              <w:tab/>
              <w:t xml:space="preserve">при наличии в отношении ТП двух (или более) ТИ, позволяющих независимо определить величину электроэнергии в данной ТП, выбор ОИП из соответствующих данным ТИ измерительным приборам осуществляется исходя из следующих критериев (в порядке убывания приоритета): </w:t>
            </w:r>
          </w:p>
          <w:p w14:paraId="31FBB016" w14:textId="3E1BED4C" w:rsidR="00295C6D" w:rsidRPr="00A5626D" w:rsidRDefault="009B5F03" w:rsidP="00E31AE6">
            <w:pPr>
              <w:pStyle w:val="2"/>
              <w:numPr>
                <w:ilvl w:val="0"/>
                <w:numId w:val="0"/>
              </w:numPr>
              <w:tabs>
                <w:tab w:val="left" w:pos="1134"/>
                <w:tab w:val="left" w:pos="7938"/>
              </w:tabs>
              <w:suppressAutoHyphens w:val="0"/>
              <w:spacing w:line="22" w:lineRule="atLeast"/>
              <w:ind w:firstLine="629"/>
              <w:jc w:val="both"/>
              <w:rPr>
                <w:rFonts w:ascii="Garamond" w:hAnsi="Garamond" w:cstheme="minorHAnsi"/>
                <w:b w:val="0"/>
              </w:rPr>
            </w:pPr>
            <w:r w:rsidRPr="00A5626D">
              <w:rPr>
                <w:rFonts w:ascii="Garamond" w:hAnsi="Garamond" w:cstheme="minorHAnsi"/>
                <w:b w:val="0"/>
              </w:rPr>
              <w:t xml:space="preserve">– </w:t>
            </w:r>
            <w:r w:rsidR="00295C6D" w:rsidRPr="00A5626D">
              <w:rPr>
                <w:rFonts w:ascii="Garamond" w:hAnsi="Garamond" w:cstheme="minorHAnsi"/>
                <w:b w:val="0"/>
              </w:rPr>
              <w:t>измерительный прибор используется в составе АИИС КУЭ;</w:t>
            </w:r>
          </w:p>
          <w:p w14:paraId="1F9F10E3" w14:textId="707189A8" w:rsidR="00295C6D" w:rsidRPr="00A5626D" w:rsidRDefault="009B5F03" w:rsidP="00E31AE6">
            <w:pPr>
              <w:pStyle w:val="2"/>
              <w:numPr>
                <w:ilvl w:val="0"/>
                <w:numId w:val="0"/>
              </w:numPr>
              <w:tabs>
                <w:tab w:val="left" w:pos="1134"/>
                <w:tab w:val="left" w:pos="7938"/>
              </w:tabs>
              <w:suppressAutoHyphens w:val="0"/>
              <w:spacing w:line="22" w:lineRule="atLeast"/>
              <w:ind w:firstLine="629"/>
              <w:jc w:val="both"/>
              <w:rPr>
                <w:rFonts w:ascii="Garamond" w:hAnsi="Garamond" w:cstheme="minorHAnsi"/>
                <w:b w:val="0"/>
              </w:rPr>
            </w:pPr>
            <w:r w:rsidRPr="00A5626D">
              <w:rPr>
                <w:rFonts w:ascii="Garamond" w:hAnsi="Garamond" w:cstheme="minorHAnsi"/>
                <w:b w:val="0"/>
              </w:rPr>
              <w:t xml:space="preserve">– </w:t>
            </w:r>
            <w:r w:rsidR="00295C6D" w:rsidRPr="00A5626D">
              <w:rPr>
                <w:rFonts w:ascii="Garamond" w:hAnsi="Garamond" w:cstheme="minorHAnsi"/>
                <w:b w:val="0"/>
              </w:rPr>
              <w:t>минимальная величина потерь электрической энергии от ТИ до ТП (при номинальных токах и напряжениях);</w:t>
            </w:r>
          </w:p>
          <w:p w14:paraId="3457A696" w14:textId="004AA9A2" w:rsidR="00295C6D" w:rsidRPr="00A5626D" w:rsidRDefault="009B5F03" w:rsidP="00E31AE6">
            <w:pPr>
              <w:pStyle w:val="2"/>
              <w:numPr>
                <w:ilvl w:val="0"/>
                <w:numId w:val="0"/>
              </w:numPr>
              <w:tabs>
                <w:tab w:val="left" w:pos="1134"/>
                <w:tab w:val="left" w:pos="7938"/>
              </w:tabs>
              <w:suppressAutoHyphens w:val="0"/>
              <w:spacing w:line="22" w:lineRule="atLeast"/>
              <w:ind w:firstLine="629"/>
              <w:jc w:val="both"/>
              <w:rPr>
                <w:rFonts w:ascii="Garamond" w:hAnsi="Garamond" w:cstheme="minorHAnsi"/>
                <w:b w:val="0"/>
              </w:rPr>
            </w:pPr>
            <w:r w:rsidRPr="00A5626D">
              <w:rPr>
                <w:rFonts w:ascii="Garamond" w:hAnsi="Garamond" w:cstheme="minorHAnsi"/>
                <w:b w:val="0"/>
              </w:rPr>
              <w:t xml:space="preserve">– </w:t>
            </w:r>
            <w:r w:rsidR="00295C6D" w:rsidRPr="00A5626D">
              <w:rPr>
                <w:rFonts w:ascii="Garamond" w:hAnsi="Garamond" w:cstheme="minorHAnsi"/>
                <w:b w:val="0"/>
              </w:rPr>
              <w:t>минимальная величина погрешности измерительного комплекса (измерительных комплексов), выполняющего (выполняющих) измерения в отношении ТП;</w:t>
            </w:r>
          </w:p>
          <w:p w14:paraId="219EA555" w14:textId="18D4B1A8" w:rsidR="00295C6D" w:rsidRPr="00A5626D" w:rsidRDefault="009B5F03" w:rsidP="00E31AE6">
            <w:pPr>
              <w:pStyle w:val="2"/>
              <w:numPr>
                <w:ilvl w:val="0"/>
                <w:numId w:val="0"/>
              </w:numPr>
              <w:tabs>
                <w:tab w:val="left" w:pos="1134"/>
                <w:tab w:val="left" w:pos="7938"/>
              </w:tabs>
              <w:suppressAutoHyphens w:val="0"/>
              <w:spacing w:line="22" w:lineRule="atLeast"/>
              <w:ind w:firstLine="629"/>
              <w:jc w:val="both"/>
              <w:rPr>
                <w:rFonts w:ascii="Garamond" w:hAnsi="Garamond" w:cstheme="minorHAnsi"/>
                <w:b w:val="0"/>
              </w:rPr>
            </w:pPr>
            <w:r w:rsidRPr="00A5626D">
              <w:rPr>
                <w:rFonts w:ascii="Garamond" w:hAnsi="Garamond" w:cstheme="minorHAnsi"/>
                <w:b w:val="0"/>
              </w:rPr>
              <w:t xml:space="preserve">– </w:t>
            </w:r>
            <w:r w:rsidR="00295C6D" w:rsidRPr="00A5626D">
              <w:rPr>
                <w:rFonts w:ascii="Garamond" w:hAnsi="Garamond" w:cstheme="minorHAnsi"/>
                <w:b w:val="0"/>
              </w:rPr>
              <w:t xml:space="preserve">использование в ТИ интервальных </w:t>
            </w:r>
            <w:r w:rsidR="00295C6D" w:rsidRPr="00A5626D">
              <w:rPr>
                <w:rFonts w:ascii="Garamond" w:hAnsi="Garamond" w:cstheme="minorHAnsi"/>
                <w:b w:val="0"/>
                <w:highlight w:val="yellow"/>
              </w:rPr>
              <w:t>приборов учета</w:t>
            </w:r>
            <w:r w:rsidR="00295C6D" w:rsidRPr="00A5626D">
              <w:rPr>
                <w:rFonts w:ascii="Garamond" w:hAnsi="Garamond" w:cstheme="minorHAnsi"/>
                <w:b w:val="0"/>
              </w:rPr>
              <w:t>;</w:t>
            </w:r>
          </w:p>
          <w:p w14:paraId="5E396360" w14:textId="54641C28" w:rsidR="00295C6D" w:rsidRPr="00A5626D" w:rsidRDefault="009B5F03" w:rsidP="00E31AE6">
            <w:pPr>
              <w:pStyle w:val="2"/>
              <w:numPr>
                <w:ilvl w:val="0"/>
                <w:numId w:val="0"/>
              </w:numPr>
              <w:tabs>
                <w:tab w:val="left" w:pos="1134"/>
                <w:tab w:val="left" w:pos="7938"/>
              </w:tabs>
              <w:suppressAutoHyphens w:val="0"/>
              <w:spacing w:line="22" w:lineRule="atLeast"/>
              <w:ind w:firstLine="629"/>
              <w:jc w:val="both"/>
              <w:rPr>
                <w:rFonts w:ascii="Garamond" w:hAnsi="Garamond" w:cstheme="minorHAnsi"/>
                <w:b w:val="0"/>
              </w:rPr>
            </w:pPr>
            <w:r w:rsidRPr="00A5626D">
              <w:rPr>
                <w:rFonts w:ascii="Garamond" w:hAnsi="Garamond" w:cstheme="minorHAnsi"/>
                <w:b w:val="0"/>
              </w:rPr>
              <w:t xml:space="preserve">– </w:t>
            </w:r>
            <w:r w:rsidR="00295C6D" w:rsidRPr="00A5626D">
              <w:rPr>
                <w:rFonts w:ascii="Garamond" w:hAnsi="Garamond" w:cstheme="minorHAnsi"/>
                <w:b w:val="0"/>
              </w:rPr>
              <w:t>минимальное количество ТИ, позволяющих определить величину электроэнергии в ТП.</w:t>
            </w:r>
          </w:p>
          <w:p w14:paraId="5AA64E3D" w14:textId="77777777" w:rsidR="00295C6D" w:rsidRPr="00A5626D" w:rsidRDefault="00295C6D" w:rsidP="00E31AE6">
            <w:pPr>
              <w:pStyle w:val="2"/>
              <w:numPr>
                <w:ilvl w:val="0"/>
                <w:numId w:val="0"/>
              </w:numPr>
              <w:tabs>
                <w:tab w:val="left" w:pos="1134"/>
                <w:tab w:val="left" w:pos="7938"/>
              </w:tabs>
              <w:suppressAutoHyphens w:val="0"/>
              <w:spacing w:line="22" w:lineRule="atLeast"/>
              <w:ind w:firstLine="629"/>
              <w:jc w:val="both"/>
              <w:rPr>
                <w:rFonts w:ascii="Garamond" w:hAnsi="Garamond" w:cstheme="minorHAnsi"/>
                <w:b w:val="0"/>
              </w:rPr>
            </w:pPr>
            <w:r w:rsidRPr="00A5626D">
              <w:rPr>
                <w:rFonts w:ascii="Garamond" w:hAnsi="Garamond" w:cstheme="minorHAnsi"/>
                <w:b w:val="0"/>
              </w:rPr>
              <w:t>Измерительный прибор, не выбранный в качестве ОИП, может быть выбран в качестве РИП;</w:t>
            </w:r>
          </w:p>
          <w:p w14:paraId="3914575F" w14:textId="62E63AA7" w:rsidR="00295C6D" w:rsidRPr="00A5626D" w:rsidRDefault="00295C6D" w:rsidP="00E31AE6">
            <w:pPr>
              <w:pStyle w:val="2"/>
              <w:numPr>
                <w:ilvl w:val="0"/>
                <w:numId w:val="0"/>
              </w:numPr>
              <w:tabs>
                <w:tab w:val="left" w:pos="1134"/>
                <w:tab w:val="left" w:pos="7938"/>
              </w:tabs>
              <w:suppressAutoHyphens w:val="0"/>
              <w:spacing w:line="22" w:lineRule="atLeast"/>
              <w:ind w:firstLine="629"/>
              <w:jc w:val="both"/>
              <w:rPr>
                <w:rFonts w:ascii="Garamond" w:hAnsi="Garamond" w:cstheme="minorHAnsi"/>
                <w:b w:val="0"/>
              </w:rPr>
            </w:pPr>
            <w:r w:rsidRPr="00A5626D">
              <w:rPr>
                <w:rFonts w:ascii="Garamond" w:hAnsi="Garamond" w:cstheme="minorHAnsi"/>
                <w:b w:val="0"/>
              </w:rPr>
              <w:t>б)</w:t>
            </w:r>
            <w:r w:rsidRPr="00A5626D">
              <w:rPr>
                <w:rFonts w:ascii="Garamond" w:hAnsi="Garamond" w:cstheme="minorHAnsi"/>
                <w:b w:val="0"/>
              </w:rPr>
              <w:tab/>
              <w:t xml:space="preserve">интегральные приборы учета могут использоваться в качестве ОИП только в случаях, указанных в </w:t>
            </w:r>
            <w:r w:rsidR="00FF68DF" w:rsidRPr="00FF68DF">
              <w:rPr>
                <w:rFonts w:ascii="Garamond" w:hAnsi="Garamond" w:cstheme="minorHAnsi"/>
                <w:b w:val="0"/>
                <w:highlight w:val="yellow"/>
              </w:rPr>
              <w:t>п</w:t>
            </w:r>
            <w:r w:rsidRPr="00A5626D">
              <w:rPr>
                <w:rFonts w:ascii="Garamond" w:hAnsi="Garamond" w:cstheme="minorHAnsi"/>
                <w:b w:val="0"/>
              </w:rPr>
              <w:t>риложени</w:t>
            </w:r>
            <w:r w:rsidRPr="00A5626D">
              <w:rPr>
                <w:rFonts w:ascii="Garamond" w:hAnsi="Garamond" w:cstheme="minorHAnsi"/>
                <w:b w:val="0"/>
                <w:highlight w:val="yellow"/>
              </w:rPr>
              <w:t>и</w:t>
            </w:r>
            <w:r w:rsidRPr="00A5626D">
              <w:rPr>
                <w:rFonts w:ascii="Garamond" w:hAnsi="Garamond" w:cstheme="minorHAnsi"/>
                <w:b w:val="0"/>
              </w:rPr>
              <w:t xml:space="preserve"> </w:t>
            </w:r>
            <w:r w:rsidRPr="00A5626D">
              <w:rPr>
                <w:rFonts w:ascii="Garamond" w:hAnsi="Garamond" w:cstheme="minorHAnsi"/>
                <w:b w:val="0"/>
                <w:highlight w:val="yellow"/>
              </w:rPr>
              <w:t>8</w:t>
            </w:r>
            <w:r w:rsidRPr="00A5626D">
              <w:rPr>
                <w:rFonts w:ascii="Garamond" w:hAnsi="Garamond" w:cstheme="minorHAnsi"/>
                <w:b w:val="0"/>
              </w:rPr>
              <w:t xml:space="preserve"> к </w:t>
            </w:r>
            <w:r w:rsidRPr="00A5626D">
              <w:rPr>
                <w:rFonts w:ascii="Garamond" w:hAnsi="Garamond" w:cstheme="minorHAnsi"/>
                <w:b w:val="0"/>
                <w:i/>
              </w:rPr>
              <w:t>Положению о порядке получения статуса субъекта оптового рынка и ведения реестра субъектов оптового рынка</w:t>
            </w:r>
            <w:r w:rsidRPr="00A5626D">
              <w:rPr>
                <w:rFonts w:ascii="Garamond" w:hAnsi="Garamond" w:cstheme="minorHAnsi"/>
                <w:b w:val="0"/>
              </w:rPr>
              <w:t xml:space="preserve"> (Приложение № 1.1 к </w:t>
            </w:r>
            <w:r w:rsidRPr="00A5626D">
              <w:rPr>
                <w:rFonts w:ascii="Garamond" w:hAnsi="Garamond" w:cstheme="minorHAnsi"/>
                <w:b w:val="0"/>
                <w:i/>
              </w:rPr>
              <w:t>Договору о присоединении к торговой системе оптового рынка</w:t>
            </w:r>
            <w:r w:rsidRPr="00A5626D">
              <w:rPr>
                <w:rFonts w:ascii="Garamond" w:hAnsi="Garamond" w:cstheme="minorHAnsi"/>
                <w:b w:val="0"/>
              </w:rPr>
              <w:t>).</w:t>
            </w:r>
          </w:p>
          <w:p w14:paraId="5C68AFDA" w14:textId="77777777" w:rsidR="00295C6D" w:rsidRPr="00A5626D" w:rsidRDefault="00295C6D" w:rsidP="00E31AE6">
            <w:pPr>
              <w:pStyle w:val="2"/>
              <w:numPr>
                <w:ilvl w:val="0"/>
                <w:numId w:val="0"/>
              </w:numPr>
              <w:tabs>
                <w:tab w:val="left" w:pos="1134"/>
                <w:tab w:val="left" w:pos="7938"/>
              </w:tabs>
              <w:suppressAutoHyphens w:val="0"/>
              <w:spacing w:line="22" w:lineRule="atLeast"/>
              <w:ind w:firstLine="629"/>
              <w:jc w:val="both"/>
              <w:rPr>
                <w:rFonts w:ascii="Garamond" w:hAnsi="Garamond" w:cstheme="minorHAnsi"/>
                <w:b w:val="0"/>
              </w:rPr>
            </w:pPr>
            <w:r w:rsidRPr="00A5626D">
              <w:rPr>
                <w:rFonts w:ascii="Garamond" w:hAnsi="Garamond" w:cstheme="minorHAnsi"/>
                <w:b w:val="0"/>
              </w:rPr>
              <w:t xml:space="preserve">Порядок использования ОИП и РИП для расчета значения учетного показателя по точке поставки при формировании отчетных данных коммерческого учета по сечениям коммерческого учета (кроме временных </w:t>
            </w:r>
            <w:r w:rsidRPr="00A5626D">
              <w:rPr>
                <w:rFonts w:ascii="Garamond" w:hAnsi="Garamond" w:cstheme="minorHAnsi"/>
                <w:b w:val="0"/>
              </w:rPr>
              <w:lastRenderedPageBreak/>
              <w:t>сечений и сечений коммерческого учета, входящих в сечение экспорта-импорта) и по внутренним сечениям осуществляется в порядке, предусмотренном п. 7.2 и п. 7.4 настоящего Регламента соответственно.</w:t>
            </w:r>
          </w:p>
          <w:p w14:paraId="372F1DF4" w14:textId="77777777" w:rsidR="00295C6D" w:rsidRPr="00A5626D" w:rsidRDefault="00295C6D" w:rsidP="00E31AE6">
            <w:pPr>
              <w:tabs>
                <w:tab w:val="left" w:pos="1134"/>
                <w:tab w:val="left" w:pos="7938"/>
              </w:tabs>
              <w:ind w:firstLine="743"/>
              <w:jc w:val="both"/>
              <w:rPr>
                <w:rFonts w:ascii="Garamond" w:hAnsi="Garamond" w:cstheme="minorHAnsi"/>
                <w:bCs/>
                <w:sz w:val="22"/>
                <w:szCs w:val="22"/>
              </w:rPr>
            </w:pPr>
            <w:r w:rsidRPr="00A5626D">
              <w:rPr>
                <w:rFonts w:ascii="Garamond" w:hAnsi="Garamond" w:cstheme="minorHAnsi"/>
                <w:bCs/>
                <w:sz w:val="22"/>
                <w:szCs w:val="22"/>
                <w:highlight w:val="yellow"/>
              </w:rPr>
              <w:t>Выбор ОИП и РИП (при наличии РИП) при формировании агрегатором ПСИ по объекту регулирования и согласовании его владельцем ГТП производится в соответствии со следующими положениями</w:t>
            </w:r>
            <w:r w:rsidRPr="00A5626D">
              <w:rPr>
                <w:rFonts w:ascii="Garamond" w:hAnsi="Garamond" w:cstheme="minorHAnsi"/>
                <w:bCs/>
                <w:sz w:val="22"/>
                <w:szCs w:val="22"/>
              </w:rPr>
              <w:t>:</w:t>
            </w:r>
          </w:p>
          <w:p w14:paraId="259CF8BA" w14:textId="29B001EF" w:rsidR="00295C6D" w:rsidRPr="00A5626D" w:rsidRDefault="009B5F03" w:rsidP="00E31AE6">
            <w:pPr>
              <w:tabs>
                <w:tab w:val="left" w:pos="1134"/>
                <w:tab w:val="left" w:pos="7938"/>
              </w:tabs>
              <w:ind w:firstLine="743"/>
              <w:jc w:val="both"/>
              <w:rPr>
                <w:rFonts w:ascii="Garamond" w:hAnsi="Garamond" w:cstheme="minorHAnsi"/>
                <w:sz w:val="22"/>
                <w:szCs w:val="22"/>
                <w:highlight w:val="yellow"/>
              </w:rPr>
            </w:pPr>
            <w:r w:rsidRPr="00A5626D">
              <w:rPr>
                <w:rFonts w:ascii="Garamond" w:hAnsi="Garamond" w:cstheme="minorHAnsi"/>
                <w:bCs/>
                <w:sz w:val="22"/>
                <w:szCs w:val="22"/>
                <w:highlight w:val="yellow"/>
              </w:rPr>
              <w:t xml:space="preserve">– </w:t>
            </w:r>
            <w:r w:rsidR="00295C6D" w:rsidRPr="00A5626D">
              <w:rPr>
                <w:rFonts w:ascii="Garamond" w:hAnsi="Garamond" w:cstheme="minorHAnsi"/>
                <w:bCs/>
                <w:sz w:val="22"/>
                <w:szCs w:val="22"/>
                <w:highlight w:val="yellow"/>
              </w:rPr>
              <w:t xml:space="preserve">в качестве ОИП выбирается </w:t>
            </w:r>
            <w:r w:rsidR="00295C6D" w:rsidRPr="00A5626D">
              <w:rPr>
                <w:rFonts w:ascii="Garamond" w:hAnsi="Garamond" w:cstheme="minorHAnsi"/>
                <w:sz w:val="22"/>
                <w:szCs w:val="22"/>
                <w:highlight w:val="yellow"/>
              </w:rPr>
              <w:t xml:space="preserve">прибор учета, являющийся в соответствии с Основными положениями функционирования розничных рынков электрической энергии (утв. постановлением Правительства </w:t>
            </w:r>
            <w:r w:rsidR="00FF68DF" w:rsidRPr="00FF68DF">
              <w:rPr>
                <w:rFonts w:ascii="Garamond" w:hAnsi="Garamond" w:cstheme="minorHAnsi"/>
                <w:sz w:val="22"/>
                <w:szCs w:val="22"/>
                <w:highlight w:val="yellow"/>
              </w:rPr>
              <w:t>Российской Федерации</w:t>
            </w:r>
            <w:r w:rsidR="00295C6D" w:rsidRPr="00A5626D">
              <w:rPr>
                <w:rFonts w:ascii="Garamond" w:hAnsi="Garamond" w:cstheme="minorHAnsi"/>
                <w:sz w:val="22"/>
                <w:szCs w:val="22"/>
                <w:highlight w:val="yellow"/>
              </w:rPr>
              <w:t xml:space="preserve"> от 04.05.2012 № 442) расчетным по соответствующим договорам энергоснабжения (купли-продажи электрической энергии) и введенным (допущенным) в эксплуатацию в порядке, установленном вышеуказанным постановлением Правительства </w:t>
            </w:r>
            <w:r w:rsidR="00FF68DF" w:rsidRPr="00FF68DF">
              <w:rPr>
                <w:rFonts w:ascii="Garamond" w:hAnsi="Garamond" w:cstheme="minorHAnsi"/>
                <w:sz w:val="22"/>
                <w:szCs w:val="22"/>
                <w:highlight w:val="yellow"/>
              </w:rPr>
              <w:t>Российской Федерации</w:t>
            </w:r>
            <w:r w:rsidR="00295C6D" w:rsidRPr="00A5626D">
              <w:rPr>
                <w:rFonts w:ascii="Garamond" w:hAnsi="Garamond" w:cstheme="minorHAnsi"/>
                <w:sz w:val="22"/>
                <w:szCs w:val="22"/>
                <w:highlight w:val="yellow"/>
              </w:rPr>
              <w:t>;</w:t>
            </w:r>
          </w:p>
          <w:p w14:paraId="11FEBE4E" w14:textId="095F6C92" w:rsidR="00295C6D" w:rsidRPr="00FF68DF" w:rsidRDefault="009B5F03" w:rsidP="00E31AE6">
            <w:pPr>
              <w:tabs>
                <w:tab w:val="left" w:pos="1134"/>
                <w:tab w:val="left" w:pos="7938"/>
              </w:tabs>
              <w:ind w:firstLine="743"/>
              <w:jc w:val="both"/>
              <w:rPr>
                <w:rFonts w:ascii="Garamond" w:hAnsi="Garamond" w:cstheme="minorHAnsi"/>
                <w:sz w:val="22"/>
                <w:szCs w:val="22"/>
                <w:highlight w:val="yellow"/>
              </w:rPr>
            </w:pPr>
            <w:r w:rsidRPr="00A5626D">
              <w:rPr>
                <w:rFonts w:ascii="Garamond" w:hAnsi="Garamond" w:cstheme="minorHAnsi"/>
                <w:bCs/>
                <w:sz w:val="22"/>
                <w:szCs w:val="22"/>
                <w:highlight w:val="yellow"/>
              </w:rPr>
              <w:t xml:space="preserve">– </w:t>
            </w:r>
            <w:r w:rsidR="00295C6D" w:rsidRPr="00A5626D">
              <w:rPr>
                <w:rFonts w:ascii="Garamond" w:hAnsi="Garamond" w:cstheme="minorHAnsi"/>
                <w:bCs/>
                <w:sz w:val="22"/>
                <w:szCs w:val="22"/>
                <w:highlight w:val="yellow"/>
              </w:rPr>
              <w:t xml:space="preserve">в качестве РИП выбирается </w:t>
            </w:r>
            <w:r w:rsidR="00295C6D" w:rsidRPr="00A5626D">
              <w:rPr>
                <w:rFonts w:ascii="Garamond" w:hAnsi="Garamond" w:cstheme="minorHAnsi"/>
                <w:sz w:val="22"/>
                <w:szCs w:val="22"/>
                <w:highlight w:val="yellow"/>
              </w:rPr>
              <w:t xml:space="preserve">прибор учета, являющийся в соответствии с Основными положениями функционирования розничных рынков электрической энергии (утв. постановлением Правительства </w:t>
            </w:r>
            <w:r w:rsidR="00FF68DF" w:rsidRPr="00FF68DF">
              <w:rPr>
                <w:rFonts w:ascii="Garamond" w:hAnsi="Garamond" w:cstheme="minorHAnsi"/>
                <w:sz w:val="22"/>
                <w:szCs w:val="22"/>
                <w:highlight w:val="yellow"/>
              </w:rPr>
              <w:t>Российской Федерации</w:t>
            </w:r>
            <w:r w:rsidR="00295C6D" w:rsidRPr="00A5626D">
              <w:rPr>
                <w:rFonts w:ascii="Garamond" w:hAnsi="Garamond" w:cstheme="minorHAnsi"/>
                <w:sz w:val="22"/>
                <w:szCs w:val="22"/>
                <w:highlight w:val="yellow"/>
              </w:rPr>
              <w:t xml:space="preserve"> от 04.05.2012 № 442) контрольным по соответствующим договорам энергоснабжения (купли-продажи электрической энергии) и введенным (допущенным) в эксплуатацию в порядке, установленном вышеуказанным постановлением Правительства </w:t>
            </w:r>
            <w:r w:rsidR="00FF68DF" w:rsidRPr="00FF68DF">
              <w:rPr>
                <w:rFonts w:ascii="Garamond" w:hAnsi="Garamond" w:cstheme="minorHAnsi"/>
                <w:sz w:val="22"/>
                <w:szCs w:val="22"/>
                <w:highlight w:val="yellow"/>
              </w:rPr>
              <w:t>Российской Федерации</w:t>
            </w:r>
            <w:r w:rsidR="00295C6D" w:rsidRPr="00A5626D">
              <w:rPr>
                <w:rFonts w:ascii="Garamond" w:hAnsi="Garamond" w:cstheme="minorHAnsi"/>
                <w:sz w:val="22"/>
                <w:szCs w:val="22"/>
                <w:highlight w:val="yellow"/>
              </w:rPr>
              <w:t>.</w:t>
            </w:r>
          </w:p>
          <w:p w14:paraId="74D77BCB" w14:textId="77777777" w:rsidR="00F57690" w:rsidRPr="00A5626D" w:rsidRDefault="00F57690" w:rsidP="00F57690">
            <w:pPr>
              <w:tabs>
                <w:tab w:val="left" w:pos="1134"/>
                <w:tab w:val="left" w:pos="7938"/>
              </w:tabs>
              <w:ind w:firstLine="743"/>
              <w:jc w:val="both"/>
              <w:rPr>
                <w:rFonts w:ascii="Garamond" w:hAnsi="Garamond"/>
                <w:sz w:val="22"/>
                <w:szCs w:val="22"/>
              </w:rPr>
            </w:pPr>
            <w:r w:rsidRPr="00A5626D">
              <w:rPr>
                <w:rFonts w:ascii="Garamond" w:hAnsi="Garamond" w:cstheme="minorHAnsi"/>
                <w:sz w:val="22"/>
                <w:szCs w:val="22"/>
                <w:highlight w:val="yellow"/>
              </w:rPr>
              <w:t>Проверку корректности выбора ОИП и РИП агрегатором осуществляет владелец ГТП при согласовании ПСИ, направленного таким агрегатором</w:t>
            </w:r>
            <w:r w:rsidRPr="00A5626D">
              <w:rPr>
                <w:rFonts w:ascii="Garamond" w:hAnsi="Garamond" w:cstheme="minorHAnsi"/>
                <w:sz w:val="22"/>
                <w:szCs w:val="22"/>
              </w:rPr>
              <w:t>.</w:t>
            </w:r>
          </w:p>
        </w:tc>
      </w:tr>
      <w:tr w:rsidR="00295C6D" w:rsidRPr="00A5626D" w14:paraId="5C5512FA" w14:textId="77777777" w:rsidTr="00647FA0">
        <w:tc>
          <w:tcPr>
            <w:tcW w:w="1060" w:type="dxa"/>
            <w:vAlign w:val="center"/>
          </w:tcPr>
          <w:p w14:paraId="00487719" w14:textId="07413018" w:rsidR="00295C6D" w:rsidRPr="00A5626D" w:rsidRDefault="00295C6D" w:rsidP="00E31AE6">
            <w:pPr>
              <w:widowControl w:val="0"/>
              <w:tabs>
                <w:tab w:val="left" w:pos="1134"/>
                <w:tab w:val="left" w:pos="7938"/>
              </w:tabs>
              <w:spacing w:line="22" w:lineRule="atLeast"/>
              <w:jc w:val="both"/>
              <w:rPr>
                <w:rFonts w:ascii="Garamond" w:hAnsi="Garamond"/>
                <w:b/>
                <w:sz w:val="22"/>
                <w:szCs w:val="22"/>
                <w:lang w:eastAsia="en-US"/>
              </w:rPr>
            </w:pPr>
            <w:r w:rsidRPr="00A5626D">
              <w:rPr>
                <w:rFonts w:ascii="Garamond" w:hAnsi="Garamond"/>
                <w:b/>
                <w:sz w:val="22"/>
                <w:szCs w:val="22"/>
                <w:lang w:eastAsia="en-US"/>
              </w:rPr>
              <w:lastRenderedPageBreak/>
              <w:t>Приложение 5, п.</w:t>
            </w:r>
            <w:r w:rsidR="000B3419" w:rsidRPr="00A5626D">
              <w:rPr>
                <w:rFonts w:ascii="Garamond" w:hAnsi="Garamond"/>
                <w:b/>
                <w:sz w:val="22"/>
                <w:szCs w:val="22"/>
                <w:lang w:eastAsia="en-US"/>
              </w:rPr>
              <w:t xml:space="preserve"> </w:t>
            </w:r>
            <w:r w:rsidRPr="00A5626D">
              <w:rPr>
                <w:rFonts w:ascii="Garamond" w:hAnsi="Garamond"/>
                <w:b/>
                <w:sz w:val="22"/>
                <w:szCs w:val="22"/>
                <w:lang w:eastAsia="en-US"/>
              </w:rPr>
              <w:t>2.2</w:t>
            </w:r>
          </w:p>
        </w:tc>
        <w:tc>
          <w:tcPr>
            <w:tcW w:w="6662" w:type="dxa"/>
          </w:tcPr>
          <w:p w14:paraId="770DBD11" w14:textId="77777777" w:rsidR="00295C6D" w:rsidRPr="00A5626D" w:rsidRDefault="00295C6D" w:rsidP="00E31AE6">
            <w:pPr>
              <w:pStyle w:val="2"/>
              <w:numPr>
                <w:ilvl w:val="0"/>
                <w:numId w:val="0"/>
              </w:numPr>
              <w:tabs>
                <w:tab w:val="left" w:pos="1134"/>
                <w:tab w:val="left" w:pos="7938"/>
              </w:tabs>
              <w:suppressAutoHyphens w:val="0"/>
              <w:spacing w:line="22" w:lineRule="atLeast"/>
              <w:ind w:firstLine="629"/>
              <w:jc w:val="both"/>
              <w:rPr>
                <w:rFonts w:ascii="Garamond" w:hAnsi="Garamond" w:cstheme="minorHAnsi"/>
                <w:b w:val="0"/>
              </w:rPr>
            </w:pPr>
            <w:r w:rsidRPr="00A5626D">
              <w:rPr>
                <w:rFonts w:ascii="Garamond" w:hAnsi="Garamond" w:cstheme="minorHAnsi"/>
                <w:b w:val="0"/>
              </w:rPr>
              <w:t xml:space="preserve">Требования к формированию ПСИ в части Алгоритма расчета величины сальдо перетоков электроэнергии в сечении КУ </w:t>
            </w:r>
            <w:r w:rsidRPr="00A5626D">
              <w:rPr>
                <w:rFonts w:ascii="Garamond" w:hAnsi="Garamond" w:cstheme="minorHAnsi"/>
                <w:b w:val="0"/>
                <w:highlight w:val="yellow"/>
              </w:rPr>
              <w:t>или</w:t>
            </w:r>
            <w:r w:rsidRPr="00A5626D">
              <w:rPr>
                <w:rFonts w:ascii="Garamond" w:hAnsi="Garamond" w:cstheme="minorHAnsi"/>
                <w:b w:val="0"/>
              </w:rPr>
              <w:t xml:space="preserve"> произведенной электроэнергии в ГТП генерации</w:t>
            </w:r>
          </w:p>
        </w:tc>
        <w:tc>
          <w:tcPr>
            <w:tcW w:w="7088" w:type="dxa"/>
          </w:tcPr>
          <w:p w14:paraId="651B1DDA" w14:textId="1DDF7F95" w:rsidR="00295C6D" w:rsidRPr="00A5626D" w:rsidRDefault="00295C6D" w:rsidP="00E31AE6">
            <w:pPr>
              <w:pStyle w:val="2"/>
              <w:numPr>
                <w:ilvl w:val="0"/>
                <w:numId w:val="0"/>
              </w:numPr>
              <w:tabs>
                <w:tab w:val="left" w:pos="1134"/>
                <w:tab w:val="left" w:pos="7938"/>
              </w:tabs>
              <w:suppressAutoHyphens w:val="0"/>
              <w:spacing w:line="22" w:lineRule="atLeast"/>
              <w:ind w:firstLine="629"/>
              <w:jc w:val="both"/>
              <w:rPr>
                <w:rFonts w:ascii="Garamond" w:hAnsi="Garamond" w:cstheme="minorHAnsi"/>
                <w:b w:val="0"/>
              </w:rPr>
            </w:pPr>
            <w:r w:rsidRPr="00A5626D">
              <w:rPr>
                <w:rFonts w:ascii="Garamond" w:hAnsi="Garamond" w:cstheme="minorHAnsi"/>
                <w:b w:val="0"/>
              </w:rPr>
              <w:t xml:space="preserve">Требования к формированию ПСИ в части Алгоритма расчета величины сальдо перетоков электроэнергии в сечении КУ </w:t>
            </w:r>
            <w:r w:rsidRPr="00A5626D">
              <w:rPr>
                <w:rFonts w:ascii="Garamond" w:hAnsi="Garamond" w:cstheme="minorHAnsi"/>
                <w:b w:val="0"/>
                <w:highlight w:val="yellow"/>
              </w:rPr>
              <w:t>/</w:t>
            </w:r>
            <w:r w:rsidR="009B5F03" w:rsidRPr="00A5626D">
              <w:rPr>
                <w:rFonts w:ascii="Garamond" w:hAnsi="Garamond" w:cstheme="minorHAnsi"/>
                <w:b w:val="0"/>
              </w:rPr>
              <w:t xml:space="preserve"> </w:t>
            </w:r>
            <w:r w:rsidRPr="00A5626D">
              <w:rPr>
                <w:rFonts w:ascii="Garamond" w:hAnsi="Garamond" w:cstheme="minorHAnsi"/>
                <w:b w:val="0"/>
              </w:rPr>
              <w:t xml:space="preserve">произведенной электроэнергии в ГТП генерации </w:t>
            </w:r>
            <w:r w:rsidRPr="00A5626D">
              <w:rPr>
                <w:rFonts w:ascii="Garamond" w:hAnsi="Garamond" w:cstheme="minorHAnsi"/>
                <w:b w:val="0"/>
                <w:highlight w:val="yellow"/>
              </w:rPr>
              <w:t>/ сальдо перетоков электроэн</w:t>
            </w:r>
            <w:r w:rsidR="00E71E3F">
              <w:rPr>
                <w:rFonts w:ascii="Garamond" w:hAnsi="Garamond" w:cstheme="minorHAnsi"/>
                <w:b w:val="0"/>
                <w:highlight w:val="yellow"/>
              </w:rPr>
              <w:t>ергии для объекта регулирования</w:t>
            </w:r>
          </w:p>
        </w:tc>
      </w:tr>
      <w:tr w:rsidR="00295C6D" w:rsidRPr="00A5626D" w14:paraId="40704806" w14:textId="77777777" w:rsidTr="00647FA0">
        <w:tc>
          <w:tcPr>
            <w:tcW w:w="1060" w:type="dxa"/>
            <w:vAlign w:val="center"/>
          </w:tcPr>
          <w:p w14:paraId="46C5F868" w14:textId="3933ECEC" w:rsidR="00295C6D" w:rsidRPr="00A5626D" w:rsidRDefault="00295C6D" w:rsidP="00E31AE6">
            <w:pPr>
              <w:widowControl w:val="0"/>
              <w:tabs>
                <w:tab w:val="left" w:pos="1134"/>
                <w:tab w:val="left" w:pos="7938"/>
              </w:tabs>
              <w:spacing w:line="22" w:lineRule="atLeast"/>
              <w:jc w:val="both"/>
              <w:rPr>
                <w:rFonts w:ascii="Garamond" w:hAnsi="Garamond"/>
                <w:b/>
                <w:sz w:val="22"/>
                <w:szCs w:val="22"/>
                <w:lang w:eastAsia="en-US"/>
              </w:rPr>
            </w:pPr>
            <w:r w:rsidRPr="00A5626D">
              <w:rPr>
                <w:rFonts w:ascii="Garamond" w:hAnsi="Garamond"/>
                <w:b/>
                <w:sz w:val="22"/>
                <w:szCs w:val="22"/>
                <w:lang w:eastAsia="en-US"/>
              </w:rPr>
              <w:t>Приложение 5, п.</w:t>
            </w:r>
            <w:r w:rsidR="000B3419" w:rsidRPr="00A5626D">
              <w:rPr>
                <w:rFonts w:ascii="Garamond" w:hAnsi="Garamond"/>
                <w:b/>
                <w:sz w:val="22"/>
                <w:szCs w:val="22"/>
                <w:lang w:eastAsia="en-US"/>
              </w:rPr>
              <w:t xml:space="preserve"> </w:t>
            </w:r>
            <w:r w:rsidRPr="00A5626D">
              <w:rPr>
                <w:rFonts w:ascii="Garamond" w:hAnsi="Garamond"/>
                <w:b/>
                <w:sz w:val="22"/>
                <w:szCs w:val="22"/>
                <w:lang w:eastAsia="en-US"/>
              </w:rPr>
              <w:t>2.2.1</w:t>
            </w:r>
          </w:p>
        </w:tc>
        <w:tc>
          <w:tcPr>
            <w:tcW w:w="6662" w:type="dxa"/>
          </w:tcPr>
          <w:p w14:paraId="33D783BA" w14:textId="77777777" w:rsidR="00295C6D" w:rsidRPr="00A5626D" w:rsidRDefault="00295C6D" w:rsidP="00E31AE6">
            <w:pPr>
              <w:pStyle w:val="2"/>
              <w:numPr>
                <w:ilvl w:val="0"/>
                <w:numId w:val="0"/>
              </w:numPr>
              <w:tabs>
                <w:tab w:val="left" w:pos="1134"/>
                <w:tab w:val="left" w:pos="7938"/>
              </w:tabs>
              <w:suppressAutoHyphens w:val="0"/>
              <w:spacing w:line="22" w:lineRule="atLeast"/>
              <w:ind w:firstLine="629"/>
              <w:jc w:val="both"/>
              <w:rPr>
                <w:rFonts w:ascii="Garamond" w:hAnsi="Garamond" w:cstheme="minorHAnsi"/>
                <w:b w:val="0"/>
              </w:rPr>
            </w:pPr>
            <w:r w:rsidRPr="00A5626D">
              <w:rPr>
                <w:rFonts w:ascii="Garamond" w:hAnsi="Garamond" w:cstheme="minorHAnsi"/>
                <w:b w:val="0"/>
              </w:rPr>
              <w:t xml:space="preserve">Алгоритм является основанием для расчета почасовой величины </w:t>
            </w:r>
            <w:r w:rsidRPr="00A5626D">
              <w:rPr>
                <w:rFonts w:ascii="Garamond" w:hAnsi="Garamond" w:cstheme="minorHAnsi"/>
                <w:b w:val="0"/>
                <w:highlight w:val="yellow"/>
              </w:rPr>
              <w:t>сальдо перетоков</w:t>
            </w:r>
            <w:r w:rsidRPr="00A5626D">
              <w:rPr>
                <w:rFonts w:ascii="Garamond" w:hAnsi="Garamond" w:cstheme="minorHAnsi"/>
                <w:b w:val="0"/>
              </w:rPr>
              <w:t xml:space="preserve"> в точках поставки </w:t>
            </w:r>
            <w:r w:rsidRPr="00A5626D">
              <w:rPr>
                <w:rFonts w:ascii="Garamond" w:hAnsi="Garamond" w:cstheme="minorHAnsi"/>
                <w:b w:val="0"/>
                <w:highlight w:val="yellow"/>
              </w:rPr>
              <w:t>в составе</w:t>
            </w:r>
            <w:r w:rsidRPr="00A5626D">
              <w:rPr>
                <w:rFonts w:ascii="Garamond" w:hAnsi="Garamond" w:cstheme="minorHAnsi"/>
                <w:b w:val="0"/>
              </w:rPr>
              <w:t xml:space="preserve"> сечени</w:t>
            </w:r>
            <w:r w:rsidRPr="00A5626D">
              <w:rPr>
                <w:rFonts w:ascii="Garamond" w:hAnsi="Garamond" w:cstheme="minorHAnsi"/>
                <w:b w:val="0"/>
                <w:highlight w:val="yellow"/>
              </w:rPr>
              <w:t>я</w:t>
            </w:r>
            <w:r w:rsidRPr="00A5626D">
              <w:rPr>
                <w:rFonts w:ascii="Garamond" w:hAnsi="Garamond" w:cstheme="minorHAnsi"/>
                <w:b w:val="0"/>
              </w:rPr>
              <w:t xml:space="preserve"> КУ </w:t>
            </w:r>
            <w:r w:rsidRPr="00A5626D">
              <w:rPr>
                <w:rFonts w:ascii="Garamond" w:hAnsi="Garamond" w:cstheme="minorHAnsi"/>
                <w:b w:val="0"/>
                <w:highlight w:val="yellow"/>
              </w:rPr>
              <w:t>(величины почасового значения произведенной электроэнергии в</w:t>
            </w:r>
            <w:r w:rsidRPr="00A5626D">
              <w:rPr>
                <w:rFonts w:ascii="Garamond" w:hAnsi="Garamond" w:cstheme="minorHAnsi"/>
                <w:b w:val="0"/>
              </w:rPr>
              <w:t xml:space="preserve"> ГТП генерации</w:t>
            </w:r>
            <w:r w:rsidRPr="00A5626D">
              <w:rPr>
                <w:rFonts w:ascii="Garamond" w:hAnsi="Garamond" w:cstheme="minorHAnsi"/>
                <w:b w:val="0"/>
                <w:highlight w:val="yellow"/>
              </w:rPr>
              <w:t>)</w:t>
            </w:r>
            <w:r w:rsidRPr="00A5626D">
              <w:rPr>
                <w:rFonts w:ascii="Garamond" w:hAnsi="Garamond" w:cstheme="minorHAnsi"/>
                <w:b w:val="0"/>
              </w:rPr>
              <w:t xml:space="preserve">, </w:t>
            </w:r>
            <w:r w:rsidRPr="00A5626D">
              <w:rPr>
                <w:rFonts w:ascii="Garamond" w:hAnsi="Garamond" w:cstheme="minorHAnsi"/>
                <w:b w:val="0"/>
                <w:highlight w:val="yellow"/>
              </w:rPr>
              <w:t>а также величины сальдо перетоков по соответствующему сечению</w:t>
            </w:r>
            <w:r w:rsidRPr="00A5626D">
              <w:rPr>
                <w:rFonts w:ascii="Garamond" w:hAnsi="Garamond" w:cstheme="minorHAnsi"/>
                <w:b w:val="0"/>
              </w:rPr>
              <w:t>.</w:t>
            </w:r>
          </w:p>
          <w:p w14:paraId="6DE53728" w14:textId="77777777" w:rsidR="00295C6D" w:rsidRPr="00A5626D" w:rsidRDefault="00295C6D" w:rsidP="00E31AE6">
            <w:pPr>
              <w:pStyle w:val="2"/>
              <w:numPr>
                <w:ilvl w:val="0"/>
                <w:numId w:val="0"/>
              </w:numPr>
              <w:tabs>
                <w:tab w:val="left" w:pos="1134"/>
                <w:tab w:val="left" w:pos="7938"/>
              </w:tabs>
              <w:suppressAutoHyphens w:val="0"/>
              <w:spacing w:line="22" w:lineRule="atLeast"/>
              <w:ind w:firstLine="629"/>
              <w:jc w:val="both"/>
              <w:rPr>
                <w:rFonts w:ascii="Garamond" w:hAnsi="Garamond" w:cstheme="minorHAnsi"/>
                <w:b w:val="0"/>
              </w:rPr>
            </w:pPr>
            <w:r w:rsidRPr="00A5626D">
              <w:rPr>
                <w:rFonts w:ascii="Garamond" w:hAnsi="Garamond" w:cstheme="minorHAnsi"/>
                <w:b w:val="0"/>
              </w:rPr>
              <w:t xml:space="preserve">По </w:t>
            </w:r>
            <w:r w:rsidRPr="00A5626D">
              <w:rPr>
                <w:rFonts w:ascii="Garamond" w:hAnsi="Garamond" w:cstheme="minorHAnsi"/>
                <w:b w:val="0"/>
                <w:highlight w:val="yellow"/>
              </w:rPr>
              <w:t>счетчикам</w:t>
            </w:r>
            <w:r w:rsidRPr="00A5626D">
              <w:rPr>
                <w:rFonts w:ascii="Garamond" w:hAnsi="Garamond" w:cstheme="minorHAnsi"/>
                <w:b w:val="0"/>
              </w:rPr>
              <w:t xml:space="preserve"> для обходного или шиносоединительного (секционного) выключателя, используемого в качестве обходного выключателя (далее по тексту – ОВ), необходимо исходить из </w:t>
            </w:r>
            <w:r w:rsidRPr="00A5626D">
              <w:rPr>
                <w:rFonts w:ascii="Garamond" w:hAnsi="Garamond" w:cstheme="minorHAnsi"/>
                <w:b w:val="0"/>
              </w:rPr>
              <w:lastRenderedPageBreak/>
              <w:t>следующих правил:</w:t>
            </w:r>
          </w:p>
          <w:p w14:paraId="0D81E967" w14:textId="77777777" w:rsidR="00295C6D" w:rsidRPr="00A5626D" w:rsidRDefault="00295C6D" w:rsidP="00E31AE6">
            <w:pPr>
              <w:pStyle w:val="2"/>
              <w:numPr>
                <w:ilvl w:val="0"/>
                <w:numId w:val="0"/>
              </w:numPr>
              <w:tabs>
                <w:tab w:val="left" w:pos="1134"/>
                <w:tab w:val="left" w:pos="7938"/>
              </w:tabs>
              <w:suppressAutoHyphens w:val="0"/>
              <w:spacing w:line="22" w:lineRule="atLeast"/>
              <w:ind w:firstLine="629"/>
              <w:jc w:val="both"/>
              <w:rPr>
                <w:rFonts w:ascii="Garamond" w:hAnsi="Garamond" w:cstheme="minorHAnsi"/>
                <w:b w:val="0"/>
              </w:rPr>
            </w:pPr>
            <w:r w:rsidRPr="00A5626D">
              <w:rPr>
                <w:rFonts w:ascii="Garamond" w:hAnsi="Garamond" w:cstheme="minorHAnsi"/>
                <w:b w:val="0"/>
              </w:rPr>
              <w:t>-</w:t>
            </w:r>
            <w:r w:rsidRPr="00A5626D">
              <w:rPr>
                <w:rFonts w:ascii="Garamond" w:hAnsi="Garamond" w:cstheme="minorHAnsi"/>
                <w:b w:val="0"/>
              </w:rPr>
              <w:tab/>
              <w:t>переход на обходной выключатель (ОВ) является штатной операцией и не входит во множество резервных методов.</w:t>
            </w:r>
          </w:p>
          <w:p w14:paraId="4BE3CF3C" w14:textId="77777777" w:rsidR="00295C6D" w:rsidRPr="00A5626D" w:rsidRDefault="00295C6D" w:rsidP="00E31AE6">
            <w:pPr>
              <w:pStyle w:val="2"/>
              <w:numPr>
                <w:ilvl w:val="0"/>
                <w:numId w:val="0"/>
              </w:numPr>
              <w:tabs>
                <w:tab w:val="left" w:pos="1134"/>
                <w:tab w:val="left" w:pos="7938"/>
              </w:tabs>
              <w:suppressAutoHyphens w:val="0"/>
              <w:spacing w:line="22" w:lineRule="atLeast"/>
              <w:ind w:firstLine="629"/>
              <w:jc w:val="both"/>
              <w:rPr>
                <w:rFonts w:ascii="Garamond" w:hAnsi="Garamond" w:cstheme="minorHAnsi"/>
                <w:b w:val="0"/>
              </w:rPr>
            </w:pPr>
            <w:r w:rsidRPr="00A5626D">
              <w:rPr>
                <w:rFonts w:ascii="Garamond" w:hAnsi="Garamond" w:cstheme="minorHAnsi"/>
                <w:b w:val="0"/>
              </w:rPr>
              <w:t>-</w:t>
            </w:r>
            <w:r w:rsidRPr="00A5626D">
              <w:rPr>
                <w:rFonts w:ascii="Garamond" w:hAnsi="Garamond" w:cstheme="minorHAnsi"/>
                <w:b w:val="0"/>
              </w:rPr>
              <w:tab/>
              <w:t xml:space="preserve">измерительный канал (далее – ИК) </w:t>
            </w:r>
            <w:r w:rsidRPr="00A5626D">
              <w:rPr>
                <w:rFonts w:ascii="Garamond" w:hAnsi="Garamond" w:cstheme="minorHAnsi"/>
                <w:b w:val="0"/>
                <w:highlight w:val="yellow"/>
              </w:rPr>
              <w:t>счетчика</w:t>
            </w:r>
            <w:r w:rsidRPr="00A5626D">
              <w:rPr>
                <w:rFonts w:ascii="Garamond" w:hAnsi="Garamond" w:cstheme="minorHAnsi"/>
                <w:b w:val="0"/>
              </w:rPr>
              <w:t xml:space="preserve"> для ОВ участвует в расчете для всех присоединений (в сечении), </w:t>
            </w:r>
            <w:r w:rsidRPr="00A5626D">
              <w:rPr>
                <w:rFonts w:ascii="Garamond" w:hAnsi="Garamond" w:cstheme="minorHAnsi"/>
                <w:b w:val="0"/>
                <w:highlight w:val="yellow"/>
              </w:rPr>
              <w:t>которые этот счетчик может «дополнять» или «замещать»</w:t>
            </w:r>
            <w:r w:rsidRPr="00A5626D">
              <w:rPr>
                <w:rFonts w:ascii="Garamond" w:hAnsi="Garamond" w:cstheme="minorHAnsi"/>
                <w:b w:val="0"/>
              </w:rPr>
              <w:t xml:space="preserve">, при этом ОВ всегда </w:t>
            </w:r>
            <w:r w:rsidRPr="00A5626D">
              <w:rPr>
                <w:rFonts w:ascii="Garamond" w:hAnsi="Garamond" w:cstheme="minorHAnsi"/>
                <w:b w:val="0"/>
                <w:highlight w:val="yellow"/>
              </w:rPr>
              <w:t>присутствует в расчете в составе суммы</w:t>
            </w:r>
            <w:r w:rsidRPr="00A5626D">
              <w:rPr>
                <w:rFonts w:ascii="Garamond" w:hAnsi="Garamond" w:cstheme="minorHAnsi"/>
                <w:b w:val="0"/>
              </w:rPr>
              <w:t xml:space="preserve"> (при формировании макета 60000 необходимо использовать только элемент «calcsum», указанный в п. 4.1.1 настоящего приложения) </w:t>
            </w:r>
            <w:r w:rsidRPr="00A5626D">
              <w:rPr>
                <w:rFonts w:ascii="Garamond" w:hAnsi="Garamond" w:cstheme="minorHAnsi"/>
                <w:b w:val="0"/>
                <w:highlight w:val="yellow"/>
              </w:rPr>
              <w:t>с точкой измерения, на которую он может сработать</w:t>
            </w:r>
            <w:r w:rsidRPr="00A5626D">
              <w:rPr>
                <w:rFonts w:ascii="Garamond" w:hAnsi="Garamond" w:cstheme="minorHAnsi"/>
                <w:b w:val="0"/>
              </w:rPr>
              <w:t>;</w:t>
            </w:r>
          </w:p>
          <w:p w14:paraId="7D922130" w14:textId="77777777" w:rsidR="00295C6D" w:rsidRPr="00A5626D" w:rsidRDefault="00295C6D" w:rsidP="00E31AE6">
            <w:pPr>
              <w:pStyle w:val="2"/>
              <w:numPr>
                <w:ilvl w:val="0"/>
                <w:numId w:val="0"/>
              </w:numPr>
              <w:tabs>
                <w:tab w:val="left" w:pos="1134"/>
                <w:tab w:val="left" w:pos="7938"/>
              </w:tabs>
              <w:suppressAutoHyphens w:val="0"/>
              <w:spacing w:line="22" w:lineRule="atLeast"/>
              <w:ind w:firstLine="629"/>
              <w:jc w:val="both"/>
              <w:rPr>
                <w:rFonts w:ascii="Garamond" w:hAnsi="Garamond" w:cstheme="minorHAnsi"/>
                <w:b w:val="0"/>
              </w:rPr>
            </w:pPr>
            <w:r w:rsidRPr="00A5626D">
              <w:rPr>
                <w:rFonts w:ascii="Garamond" w:hAnsi="Garamond" w:cstheme="minorHAnsi"/>
                <w:b w:val="0"/>
              </w:rPr>
              <w:t>-</w:t>
            </w:r>
            <w:r w:rsidRPr="00A5626D">
              <w:rPr>
                <w:rFonts w:ascii="Garamond" w:hAnsi="Garamond" w:cstheme="minorHAnsi"/>
                <w:b w:val="0"/>
              </w:rPr>
              <w:tab/>
              <w:t xml:space="preserve">результаты измерений ИК </w:t>
            </w:r>
            <w:r w:rsidRPr="00A5626D">
              <w:rPr>
                <w:rFonts w:ascii="Garamond" w:hAnsi="Garamond" w:cstheme="minorHAnsi"/>
                <w:b w:val="0"/>
                <w:highlight w:val="yellow"/>
              </w:rPr>
              <w:t>счетчика</w:t>
            </w:r>
            <w:r w:rsidRPr="00A5626D">
              <w:rPr>
                <w:rFonts w:ascii="Garamond" w:hAnsi="Garamond" w:cstheme="minorHAnsi"/>
                <w:b w:val="0"/>
              </w:rPr>
              <w:t xml:space="preserve"> для ОВ складываются раздельно для каналов</w:t>
            </w:r>
            <w:r w:rsidRPr="00A5626D">
              <w:rPr>
                <w:rFonts w:ascii="Garamond" w:hAnsi="Garamond" w:cstheme="minorHAnsi"/>
                <w:b w:val="0"/>
                <w:highlight w:val="yellow"/>
              </w:rPr>
              <w:t>:</w:t>
            </w:r>
            <w:r w:rsidRPr="00A5626D">
              <w:rPr>
                <w:rFonts w:ascii="Garamond" w:hAnsi="Garamond" w:cstheme="minorHAnsi"/>
                <w:b w:val="0"/>
              </w:rPr>
              <w:t xml:space="preserve"> «отдача активной электроэнергии», «прием активной электроэнергии», «отдача реактивной электроэнергии», «прием реактивной электроэнергии» с результатами измерений соответствующих ИК основного </w:t>
            </w:r>
            <w:r w:rsidRPr="00A5626D">
              <w:rPr>
                <w:rFonts w:ascii="Garamond" w:hAnsi="Garamond" w:cstheme="minorHAnsi"/>
                <w:b w:val="0"/>
                <w:highlight w:val="yellow"/>
              </w:rPr>
              <w:t>счетчика</w:t>
            </w:r>
            <w:r w:rsidRPr="00A5626D">
              <w:rPr>
                <w:rFonts w:ascii="Garamond" w:hAnsi="Garamond" w:cstheme="minorHAnsi"/>
                <w:b w:val="0"/>
              </w:rPr>
              <w:t xml:space="preserve"> при работе конкретного присоединения через ОВ, при этом в течение получасового интервала </w:t>
            </w:r>
            <w:r w:rsidRPr="00A5626D">
              <w:rPr>
                <w:rFonts w:ascii="Garamond" w:hAnsi="Garamond" w:cstheme="minorHAnsi"/>
                <w:b w:val="0"/>
                <w:highlight w:val="yellow"/>
              </w:rPr>
              <w:t>счетчик</w:t>
            </w:r>
            <w:r w:rsidRPr="00A5626D">
              <w:rPr>
                <w:rFonts w:ascii="Garamond" w:hAnsi="Garamond" w:cstheme="minorHAnsi"/>
                <w:b w:val="0"/>
              </w:rPr>
              <w:t xml:space="preserve"> для ОВ </w:t>
            </w:r>
            <w:r w:rsidRPr="00A5626D">
              <w:rPr>
                <w:rFonts w:ascii="Garamond" w:hAnsi="Garamond" w:cstheme="minorHAnsi"/>
                <w:b w:val="0"/>
                <w:highlight w:val="yellow"/>
              </w:rPr>
              <w:t>не «заменяет (дополняет)»</w:t>
            </w:r>
            <w:r w:rsidRPr="00A5626D">
              <w:rPr>
                <w:rFonts w:ascii="Garamond" w:hAnsi="Garamond" w:cstheme="minorHAnsi"/>
                <w:b w:val="0"/>
              </w:rPr>
              <w:t xml:space="preserve"> более одного основного </w:t>
            </w:r>
            <w:r w:rsidRPr="00A5626D">
              <w:rPr>
                <w:rFonts w:ascii="Garamond" w:hAnsi="Garamond" w:cstheme="minorHAnsi"/>
                <w:b w:val="0"/>
                <w:highlight w:val="yellow"/>
              </w:rPr>
              <w:t>счетчика</w:t>
            </w:r>
            <w:r w:rsidRPr="00A5626D">
              <w:rPr>
                <w:rFonts w:ascii="Garamond" w:hAnsi="Garamond" w:cstheme="minorHAnsi"/>
                <w:b w:val="0"/>
              </w:rPr>
              <w:t xml:space="preserve">. Отнесение результатов измерений в ИК для ОВ к основному </w:t>
            </w:r>
            <w:r w:rsidRPr="00A5626D">
              <w:rPr>
                <w:rFonts w:ascii="Garamond" w:hAnsi="Garamond" w:cstheme="minorHAnsi"/>
                <w:b w:val="0"/>
                <w:highlight w:val="yellow"/>
              </w:rPr>
              <w:t>счетчику</w:t>
            </w:r>
            <w:r w:rsidRPr="00A5626D">
              <w:rPr>
                <w:rFonts w:ascii="Garamond" w:hAnsi="Garamond" w:cstheme="minorHAnsi"/>
                <w:b w:val="0"/>
              </w:rPr>
              <w:t xml:space="preserve"> должно выполняться в соответствии с Приложением № 11.1.1 к </w:t>
            </w:r>
            <w:r w:rsidRPr="00E71E3F">
              <w:rPr>
                <w:rFonts w:ascii="Garamond" w:hAnsi="Garamond" w:cstheme="minorHAnsi"/>
                <w:b w:val="0"/>
                <w:i/>
              </w:rPr>
              <w:t>Положению о порядке получения статуса субъекта оптового рынка и ведения реестра субъектов оптового рынка</w:t>
            </w:r>
            <w:r w:rsidRPr="00A5626D">
              <w:rPr>
                <w:rFonts w:ascii="Garamond" w:hAnsi="Garamond" w:cstheme="minorHAnsi"/>
                <w:b w:val="0"/>
              </w:rPr>
              <w:t xml:space="preserve"> (Приложение № 1.1 к </w:t>
            </w:r>
            <w:r w:rsidRPr="00E71E3F">
              <w:rPr>
                <w:rFonts w:ascii="Garamond" w:hAnsi="Garamond" w:cstheme="minorHAnsi"/>
                <w:b w:val="0"/>
                <w:i/>
              </w:rPr>
              <w:t>Договору о присоединении к торговой системе оптового рынка</w:t>
            </w:r>
            <w:r w:rsidRPr="00A5626D">
              <w:rPr>
                <w:rFonts w:ascii="Garamond" w:hAnsi="Garamond" w:cstheme="minorHAnsi"/>
                <w:b w:val="0"/>
              </w:rPr>
              <w:t>).</w:t>
            </w:r>
          </w:p>
        </w:tc>
        <w:tc>
          <w:tcPr>
            <w:tcW w:w="7088" w:type="dxa"/>
          </w:tcPr>
          <w:p w14:paraId="6A1019F5" w14:textId="77777777" w:rsidR="00295C6D" w:rsidRPr="00A5626D" w:rsidRDefault="00295C6D" w:rsidP="00E31AE6">
            <w:pPr>
              <w:pStyle w:val="2"/>
              <w:numPr>
                <w:ilvl w:val="0"/>
                <w:numId w:val="0"/>
              </w:numPr>
              <w:tabs>
                <w:tab w:val="left" w:pos="1134"/>
                <w:tab w:val="left" w:pos="7938"/>
              </w:tabs>
              <w:suppressAutoHyphens w:val="0"/>
              <w:spacing w:line="22" w:lineRule="atLeast"/>
              <w:ind w:firstLine="629"/>
              <w:jc w:val="both"/>
              <w:rPr>
                <w:rFonts w:ascii="Garamond" w:hAnsi="Garamond" w:cstheme="minorHAnsi"/>
                <w:b w:val="0"/>
              </w:rPr>
            </w:pPr>
            <w:r w:rsidRPr="00A5626D">
              <w:rPr>
                <w:rFonts w:ascii="Garamond" w:hAnsi="Garamond" w:cstheme="minorHAnsi"/>
                <w:b w:val="0"/>
              </w:rPr>
              <w:lastRenderedPageBreak/>
              <w:t xml:space="preserve">Алгоритм является основанием для расчета почасовой величины </w:t>
            </w:r>
            <w:r w:rsidRPr="00A5626D">
              <w:rPr>
                <w:rFonts w:ascii="Garamond" w:hAnsi="Garamond" w:cstheme="minorHAnsi"/>
                <w:b w:val="0"/>
                <w:highlight w:val="yellow"/>
              </w:rPr>
              <w:t>учетного показателя</w:t>
            </w:r>
            <w:r w:rsidRPr="00A5626D">
              <w:rPr>
                <w:rFonts w:ascii="Garamond" w:hAnsi="Garamond" w:cstheme="minorHAnsi"/>
                <w:b w:val="0"/>
              </w:rPr>
              <w:t xml:space="preserve"> в точках поставки </w:t>
            </w:r>
            <w:r w:rsidRPr="00A5626D">
              <w:rPr>
                <w:rFonts w:ascii="Garamond" w:hAnsi="Garamond" w:cstheme="minorHAnsi"/>
                <w:b w:val="0"/>
                <w:highlight w:val="yellow"/>
              </w:rPr>
              <w:t>(точках присоединения) и</w:t>
            </w:r>
            <w:r w:rsidRPr="00A5626D">
              <w:rPr>
                <w:rFonts w:ascii="Garamond" w:hAnsi="Garamond" w:cstheme="minorHAnsi"/>
                <w:b w:val="0"/>
              </w:rPr>
              <w:t xml:space="preserve"> сечени</w:t>
            </w:r>
            <w:r w:rsidRPr="00A5626D">
              <w:rPr>
                <w:rFonts w:ascii="Garamond" w:hAnsi="Garamond" w:cstheme="minorHAnsi"/>
                <w:b w:val="0"/>
                <w:highlight w:val="yellow"/>
              </w:rPr>
              <w:t>и</w:t>
            </w:r>
            <w:r w:rsidRPr="00A5626D">
              <w:rPr>
                <w:rFonts w:ascii="Garamond" w:hAnsi="Garamond" w:cstheme="minorHAnsi"/>
                <w:b w:val="0"/>
              </w:rPr>
              <w:t xml:space="preserve"> КУ</w:t>
            </w:r>
            <w:r w:rsidRPr="00A5626D">
              <w:rPr>
                <w:rFonts w:ascii="Garamond" w:hAnsi="Garamond" w:cstheme="minorHAnsi"/>
                <w:b w:val="0"/>
                <w:highlight w:val="yellow"/>
              </w:rPr>
              <w:t>,</w:t>
            </w:r>
            <w:r w:rsidRPr="00A5626D">
              <w:rPr>
                <w:rFonts w:ascii="Garamond" w:hAnsi="Garamond" w:cstheme="minorHAnsi"/>
                <w:b w:val="0"/>
              </w:rPr>
              <w:t xml:space="preserve"> ГТП генерации, </w:t>
            </w:r>
            <w:r w:rsidRPr="00A5626D">
              <w:rPr>
                <w:rFonts w:ascii="Garamond" w:hAnsi="Garamond" w:cstheme="minorHAnsi"/>
                <w:b w:val="0"/>
                <w:highlight w:val="yellow"/>
              </w:rPr>
              <w:t>объекте регулирования</w:t>
            </w:r>
            <w:r w:rsidRPr="00A5626D">
              <w:rPr>
                <w:rFonts w:ascii="Garamond" w:hAnsi="Garamond" w:cstheme="minorHAnsi"/>
                <w:b w:val="0"/>
              </w:rPr>
              <w:t>.</w:t>
            </w:r>
          </w:p>
          <w:p w14:paraId="06C0BF06" w14:textId="77777777" w:rsidR="00295C6D" w:rsidRPr="00A5626D" w:rsidRDefault="00295C6D" w:rsidP="00E31AE6">
            <w:pPr>
              <w:pStyle w:val="2"/>
              <w:numPr>
                <w:ilvl w:val="0"/>
                <w:numId w:val="0"/>
              </w:numPr>
              <w:tabs>
                <w:tab w:val="left" w:pos="1134"/>
                <w:tab w:val="left" w:pos="7938"/>
              </w:tabs>
              <w:suppressAutoHyphens w:val="0"/>
              <w:spacing w:line="22" w:lineRule="atLeast"/>
              <w:ind w:firstLine="629"/>
              <w:jc w:val="both"/>
              <w:rPr>
                <w:rFonts w:ascii="Garamond" w:hAnsi="Garamond" w:cstheme="minorHAnsi"/>
                <w:b w:val="0"/>
              </w:rPr>
            </w:pPr>
            <w:r w:rsidRPr="00A5626D">
              <w:rPr>
                <w:rFonts w:ascii="Garamond" w:hAnsi="Garamond" w:cstheme="minorHAnsi"/>
                <w:b w:val="0"/>
              </w:rPr>
              <w:t xml:space="preserve">По </w:t>
            </w:r>
            <w:r w:rsidRPr="00A5626D">
              <w:rPr>
                <w:rFonts w:ascii="Garamond" w:hAnsi="Garamond" w:cstheme="minorHAnsi"/>
                <w:b w:val="0"/>
                <w:highlight w:val="yellow"/>
              </w:rPr>
              <w:t>приборам учета</w:t>
            </w:r>
            <w:r w:rsidRPr="00A5626D">
              <w:rPr>
                <w:rFonts w:ascii="Garamond" w:hAnsi="Garamond" w:cstheme="minorHAnsi"/>
                <w:b w:val="0"/>
              </w:rPr>
              <w:t xml:space="preserve"> для обходного или шиносоединительного (секционного) выключателя, используемого в качестве обходного выключателя (далее по тексту – ОВ), необходимо исходить из следующих правил:</w:t>
            </w:r>
          </w:p>
          <w:p w14:paraId="2B6CF5B0" w14:textId="2AECD299" w:rsidR="00295C6D" w:rsidRPr="00A5626D" w:rsidRDefault="0074776E" w:rsidP="00E31AE6">
            <w:pPr>
              <w:pStyle w:val="2"/>
              <w:numPr>
                <w:ilvl w:val="0"/>
                <w:numId w:val="0"/>
              </w:numPr>
              <w:tabs>
                <w:tab w:val="left" w:pos="1134"/>
                <w:tab w:val="left" w:pos="7938"/>
              </w:tabs>
              <w:suppressAutoHyphens w:val="0"/>
              <w:spacing w:line="22" w:lineRule="atLeast"/>
              <w:ind w:firstLine="629"/>
              <w:jc w:val="both"/>
              <w:rPr>
                <w:rFonts w:ascii="Garamond" w:hAnsi="Garamond" w:cstheme="minorHAnsi"/>
                <w:b w:val="0"/>
              </w:rPr>
            </w:pPr>
            <w:r w:rsidRPr="00A5626D">
              <w:rPr>
                <w:rFonts w:ascii="Garamond" w:hAnsi="Garamond" w:cstheme="minorHAnsi"/>
                <w:b w:val="0"/>
              </w:rPr>
              <w:t>–</w:t>
            </w:r>
            <w:r w:rsidR="00295C6D" w:rsidRPr="00A5626D">
              <w:rPr>
                <w:rFonts w:ascii="Garamond" w:hAnsi="Garamond" w:cstheme="minorHAnsi"/>
                <w:b w:val="0"/>
              </w:rPr>
              <w:tab/>
              <w:t xml:space="preserve">переход на обходной выключатель (ОВ) является штатной </w:t>
            </w:r>
            <w:r w:rsidR="00295C6D" w:rsidRPr="00A5626D">
              <w:rPr>
                <w:rFonts w:ascii="Garamond" w:hAnsi="Garamond" w:cstheme="minorHAnsi"/>
                <w:b w:val="0"/>
              </w:rPr>
              <w:lastRenderedPageBreak/>
              <w:t>операцией и не входит во множество резервных методов</w:t>
            </w:r>
            <w:r w:rsidR="00E71E3F" w:rsidRPr="00E71E3F">
              <w:rPr>
                <w:rFonts w:ascii="Garamond" w:hAnsi="Garamond" w:cstheme="minorHAnsi"/>
                <w:b w:val="0"/>
                <w:highlight w:val="yellow"/>
              </w:rPr>
              <w:t>;</w:t>
            </w:r>
          </w:p>
          <w:p w14:paraId="0E1A36BC" w14:textId="66B52FE6" w:rsidR="00295C6D" w:rsidRPr="00A5626D" w:rsidRDefault="0074776E" w:rsidP="00E31AE6">
            <w:pPr>
              <w:pStyle w:val="2"/>
              <w:numPr>
                <w:ilvl w:val="0"/>
                <w:numId w:val="0"/>
              </w:numPr>
              <w:tabs>
                <w:tab w:val="left" w:pos="1134"/>
                <w:tab w:val="left" w:pos="7938"/>
              </w:tabs>
              <w:suppressAutoHyphens w:val="0"/>
              <w:spacing w:line="22" w:lineRule="atLeast"/>
              <w:ind w:firstLine="629"/>
              <w:jc w:val="both"/>
              <w:rPr>
                <w:rFonts w:ascii="Garamond" w:hAnsi="Garamond" w:cstheme="minorHAnsi"/>
                <w:b w:val="0"/>
              </w:rPr>
            </w:pPr>
            <w:r w:rsidRPr="00A5626D">
              <w:rPr>
                <w:rFonts w:ascii="Garamond" w:hAnsi="Garamond" w:cstheme="minorHAnsi"/>
                <w:b w:val="0"/>
              </w:rPr>
              <w:t>–</w:t>
            </w:r>
            <w:r w:rsidR="00295C6D" w:rsidRPr="00A5626D">
              <w:rPr>
                <w:rFonts w:ascii="Garamond" w:hAnsi="Garamond" w:cstheme="minorHAnsi"/>
                <w:b w:val="0"/>
              </w:rPr>
              <w:tab/>
              <w:t xml:space="preserve">измерительный канал (далее – ИК) </w:t>
            </w:r>
            <w:r w:rsidR="00295C6D" w:rsidRPr="00A5626D">
              <w:rPr>
                <w:rFonts w:ascii="Garamond" w:hAnsi="Garamond" w:cstheme="minorHAnsi"/>
                <w:b w:val="0"/>
                <w:highlight w:val="yellow"/>
              </w:rPr>
              <w:t>прибора учета</w:t>
            </w:r>
            <w:r w:rsidR="00295C6D" w:rsidRPr="00A5626D">
              <w:rPr>
                <w:rFonts w:ascii="Garamond" w:hAnsi="Garamond" w:cstheme="minorHAnsi"/>
                <w:b w:val="0"/>
              </w:rPr>
              <w:t xml:space="preserve"> для ОВ участвует в расчете для всех присоединений (в сечении </w:t>
            </w:r>
            <w:r w:rsidR="00295C6D" w:rsidRPr="00A5626D">
              <w:rPr>
                <w:rFonts w:ascii="Garamond" w:hAnsi="Garamond" w:cstheme="minorHAnsi"/>
                <w:b w:val="0"/>
                <w:highlight w:val="yellow"/>
              </w:rPr>
              <w:t>КУ, объекте регулирования</w:t>
            </w:r>
            <w:r w:rsidR="00295C6D" w:rsidRPr="00A5626D">
              <w:rPr>
                <w:rFonts w:ascii="Garamond" w:hAnsi="Garamond" w:cstheme="minorHAnsi"/>
                <w:b w:val="0"/>
              </w:rPr>
              <w:t xml:space="preserve">), </w:t>
            </w:r>
            <w:r w:rsidR="00295C6D" w:rsidRPr="00A5626D">
              <w:rPr>
                <w:rFonts w:ascii="Garamond" w:hAnsi="Garamond" w:cstheme="minorHAnsi"/>
                <w:b w:val="0"/>
                <w:highlight w:val="yellow"/>
              </w:rPr>
              <w:t>в отношении которых такой ОВ может использоваться</w:t>
            </w:r>
            <w:r w:rsidR="00295C6D" w:rsidRPr="00A5626D">
              <w:rPr>
                <w:rFonts w:ascii="Garamond" w:hAnsi="Garamond" w:cstheme="minorHAnsi"/>
                <w:b w:val="0"/>
              </w:rPr>
              <w:t xml:space="preserve">, при этом </w:t>
            </w:r>
            <w:r w:rsidR="00295C6D" w:rsidRPr="00A5626D">
              <w:rPr>
                <w:rFonts w:ascii="Garamond" w:hAnsi="Garamond" w:cstheme="minorHAnsi"/>
                <w:b w:val="0"/>
                <w:highlight w:val="yellow"/>
              </w:rPr>
              <w:t>при формировании макета 60000 измерения по</w:t>
            </w:r>
            <w:r w:rsidR="00295C6D" w:rsidRPr="00A5626D">
              <w:rPr>
                <w:rFonts w:ascii="Garamond" w:hAnsi="Garamond" w:cstheme="minorHAnsi"/>
                <w:b w:val="0"/>
              </w:rPr>
              <w:t xml:space="preserve"> ОВ всегда </w:t>
            </w:r>
            <w:r w:rsidR="00295C6D" w:rsidRPr="00A5626D">
              <w:rPr>
                <w:rFonts w:ascii="Garamond" w:hAnsi="Garamond" w:cstheme="minorHAnsi"/>
                <w:b w:val="0"/>
                <w:highlight w:val="yellow"/>
              </w:rPr>
              <w:t>суммируются с измерениями по соответствующим присоединениям, в отношении которых такой ОВ может использоваться</w:t>
            </w:r>
            <w:r w:rsidR="00295C6D" w:rsidRPr="00A5626D">
              <w:rPr>
                <w:rFonts w:ascii="Garamond" w:hAnsi="Garamond" w:cstheme="minorHAnsi"/>
                <w:b w:val="0"/>
              </w:rPr>
              <w:t xml:space="preserve"> (при формировании макета 60000 необходимо использовать только элемент «calcsum», указанный в п. 4.1.1 настоящего приложения);</w:t>
            </w:r>
          </w:p>
          <w:p w14:paraId="1EB27CF3" w14:textId="05A77057" w:rsidR="00295C6D" w:rsidRPr="00A5626D" w:rsidRDefault="0074776E" w:rsidP="00E31AE6">
            <w:pPr>
              <w:pStyle w:val="2"/>
              <w:numPr>
                <w:ilvl w:val="0"/>
                <w:numId w:val="0"/>
              </w:numPr>
              <w:tabs>
                <w:tab w:val="left" w:pos="1134"/>
                <w:tab w:val="left" w:pos="7938"/>
              </w:tabs>
              <w:suppressAutoHyphens w:val="0"/>
              <w:spacing w:line="22" w:lineRule="atLeast"/>
              <w:ind w:firstLine="629"/>
              <w:jc w:val="both"/>
              <w:rPr>
                <w:rFonts w:ascii="Garamond" w:hAnsi="Garamond" w:cstheme="minorHAnsi"/>
                <w:b w:val="0"/>
              </w:rPr>
            </w:pPr>
            <w:r w:rsidRPr="00A5626D">
              <w:rPr>
                <w:rFonts w:ascii="Garamond" w:hAnsi="Garamond" w:cstheme="minorHAnsi"/>
                <w:b w:val="0"/>
              </w:rPr>
              <w:t>–</w:t>
            </w:r>
            <w:r w:rsidR="00295C6D" w:rsidRPr="00A5626D">
              <w:rPr>
                <w:rFonts w:ascii="Garamond" w:hAnsi="Garamond" w:cstheme="minorHAnsi"/>
                <w:b w:val="0"/>
              </w:rPr>
              <w:tab/>
              <w:t xml:space="preserve">результаты измерений ИК </w:t>
            </w:r>
            <w:r w:rsidR="00295C6D" w:rsidRPr="00A5626D">
              <w:rPr>
                <w:rFonts w:ascii="Garamond" w:hAnsi="Garamond" w:cstheme="minorHAnsi"/>
                <w:b w:val="0"/>
                <w:highlight w:val="yellow"/>
              </w:rPr>
              <w:t>прибора учета</w:t>
            </w:r>
            <w:r w:rsidR="00295C6D" w:rsidRPr="00A5626D">
              <w:rPr>
                <w:rFonts w:ascii="Garamond" w:hAnsi="Garamond" w:cstheme="minorHAnsi"/>
                <w:b w:val="0"/>
              </w:rPr>
              <w:t xml:space="preserve"> для ОВ складываются раздельно для каналов «отдача активной электроэнергии», «прием активной электроэнергии», «отдача реактивной электроэнергии», «прием реактивной электроэнергии» с результатами измерений соответствующих ИК основного </w:t>
            </w:r>
            <w:r w:rsidR="00295C6D" w:rsidRPr="00A5626D">
              <w:rPr>
                <w:rFonts w:ascii="Garamond" w:hAnsi="Garamond" w:cstheme="minorHAnsi"/>
                <w:b w:val="0"/>
                <w:highlight w:val="yellow"/>
              </w:rPr>
              <w:t>прибора учета</w:t>
            </w:r>
            <w:r w:rsidR="00295C6D" w:rsidRPr="00A5626D">
              <w:rPr>
                <w:rFonts w:ascii="Garamond" w:hAnsi="Garamond" w:cstheme="minorHAnsi"/>
                <w:b w:val="0"/>
              </w:rPr>
              <w:t xml:space="preserve"> при работе конкретного присоединения через ОВ, при этом в течение получасового интервала </w:t>
            </w:r>
            <w:r w:rsidR="00295C6D" w:rsidRPr="00A5626D">
              <w:rPr>
                <w:rFonts w:ascii="Garamond" w:hAnsi="Garamond" w:cstheme="minorHAnsi"/>
                <w:b w:val="0"/>
                <w:highlight w:val="yellow"/>
              </w:rPr>
              <w:t>прибор учета</w:t>
            </w:r>
            <w:r w:rsidR="00295C6D" w:rsidRPr="00A5626D">
              <w:rPr>
                <w:rFonts w:ascii="Garamond" w:hAnsi="Garamond" w:cstheme="minorHAnsi"/>
                <w:b w:val="0"/>
              </w:rPr>
              <w:t xml:space="preserve"> для ОВ </w:t>
            </w:r>
            <w:r w:rsidR="00295C6D" w:rsidRPr="00A5626D">
              <w:rPr>
                <w:rFonts w:ascii="Garamond" w:hAnsi="Garamond" w:cstheme="minorHAnsi"/>
                <w:b w:val="0"/>
                <w:highlight w:val="yellow"/>
              </w:rPr>
              <w:t>может замещать не</w:t>
            </w:r>
            <w:r w:rsidR="00295C6D" w:rsidRPr="00A5626D">
              <w:rPr>
                <w:rFonts w:ascii="Garamond" w:hAnsi="Garamond" w:cstheme="minorHAnsi"/>
                <w:b w:val="0"/>
              </w:rPr>
              <w:t xml:space="preserve"> более одного основного </w:t>
            </w:r>
            <w:r w:rsidR="00295C6D" w:rsidRPr="00A5626D">
              <w:rPr>
                <w:rFonts w:ascii="Garamond" w:hAnsi="Garamond" w:cstheme="minorHAnsi"/>
                <w:b w:val="0"/>
                <w:highlight w:val="yellow"/>
              </w:rPr>
              <w:t>прибора учета</w:t>
            </w:r>
            <w:r w:rsidR="00295C6D" w:rsidRPr="00A5626D">
              <w:rPr>
                <w:rFonts w:ascii="Garamond" w:hAnsi="Garamond" w:cstheme="minorHAnsi"/>
                <w:b w:val="0"/>
              </w:rPr>
              <w:t xml:space="preserve">. Отнесение результатов измерений в ИК для ОВ к основному </w:t>
            </w:r>
            <w:r w:rsidR="00295C6D" w:rsidRPr="00A5626D">
              <w:rPr>
                <w:rFonts w:ascii="Garamond" w:hAnsi="Garamond" w:cstheme="minorHAnsi"/>
                <w:b w:val="0"/>
                <w:highlight w:val="yellow"/>
              </w:rPr>
              <w:t>прибору учета</w:t>
            </w:r>
            <w:r w:rsidR="00295C6D" w:rsidRPr="00A5626D">
              <w:rPr>
                <w:rFonts w:ascii="Garamond" w:hAnsi="Garamond" w:cstheme="minorHAnsi"/>
                <w:b w:val="0"/>
              </w:rPr>
              <w:t xml:space="preserve"> должно выполняться в соответствии с Приложением № 11.1.1 к </w:t>
            </w:r>
            <w:r w:rsidR="00295C6D" w:rsidRPr="00A5626D">
              <w:rPr>
                <w:rFonts w:ascii="Garamond" w:hAnsi="Garamond" w:cstheme="minorHAnsi"/>
                <w:b w:val="0"/>
                <w:i/>
              </w:rPr>
              <w:t>Положению о порядке получения статуса субъекта оптового рынка и ведения реестра субъектов оптового рынка</w:t>
            </w:r>
            <w:r w:rsidR="00295C6D" w:rsidRPr="00A5626D">
              <w:rPr>
                <w:rFonts w:ascii="Garamond" w:hAnsi="Garamond" w:cstheme="minorHAnsi"/>
                <w:b w:val="0"/>
              </w:rPr>
              <w:t xml:space="preserve"> (Приложение № 1.1 к </w:t>
            </w:r>
            <w:r w:rsidR="00295C6D" w:rsidRPr="00A5626D">
              <w:rPr>
                <w:rFonts w:ascii="Garamond" w:hAnsi="Garamond" w:cstheme="minorHAnsi"/>
                <w:b w:val="0"/>
                <w:i/>
              </w:rPr>
              <w:t>Договору о присоединении к торговой системе оптового рынка</w:t>
            </w:r>
            <w:r w:rsidR="00295C6D" w:rsidRPr="00A5626D">
              <w:rPr>
                <w:rFonts w:ascii="Garamond" w:hAnsi="Garamond" w:cstheme="minorHAnsi"/>
                <w:b w:val="0"/>
              </w:rPr>
              <w:t>).</w:t>
            </w:r>
          </w:p>
        </w:tc>
      </w:tr>
      <w:tr w:rsidR="00295C6D" w:rsidRPr="00A5626D" w14:paraId="0326ED58" w14:textId="77777777" w:rsidTr="00647FA0">
        <w:tc>
          <w:tcPr>
            <w:tcW w:w="1060" w:type="dxa"/>
            <w:vAlign w:val="center"/>
          </w:tcPr>
          <w:p w14:paraId="2E87EE8A" w14:textId="51936778" w:rsidR="00295C6D" w:rsidRPr="00A5626D" w:rsidRDefault="00295C6D" w:rsidP="00E31AE6">
            <w:pPr>
              <w:widowControl w:val="0"/>
              <w:tabs>
                <w:tab w:val="left" w:pos="1134"/>
                <w:tab w:val="left" w:pos="7938"/>
              </w:tabs>
              <w:spacing w:line="22" w:lineRule="atLeast"/>
              <w:jc w:val="both"/>
              <w:rPr>
                <w:rFonts w:ascii="Garamond" w:hAnsi="Garamond"/>
                <w:b/>
                <w:sz w:val="22"/>
                <w:szCs w:val="22"/>
                <w:lang w:eastAsia="en-US"/>
              </w:rPr>
            </w:pPr>
            <w:r w:rsidRPr="00A5626D">
              <w:rPr>
                <w:rFonts w:ascii="Garamond" w:hAnsi="Garamond"/>
                <w:b/>
                <w:sz w:val="22"/>
                <w:szCs w:val="22"/>
                <w:lang w:eastAsia="en-US"/>
              </w:rPr>
              <w:lastRenderedPageBreak/>
              <w:t>Приложение 5, п.</w:t>
            </w:r>
            <w:r w:rsidR="000B3419" w:rsidRPr="00A5626D">
              <w:rPr>
                <w:rFonts w:ascii="Garamond" w:hAnsi="Garamond"/>
                <w:b/>
                <w:sz w:val="22"/>
                <w:szCs w:val="22"/>
                <w:lang w:eastAsia="en-US"/>
              </w:rPr>
              <w:t xml:space="preserve"> </w:t>
            </w:r>
            <w:r w:rsidRPr="00A5626D">
              <w:rPr>
                <w:rFonts w:ascii="Garamond" w:hAnsi="Garamond"/>
                <w:b/>
                <w:sz w:val="22"/>
                <w:szCs w:val="22"/>
                <w:lang w:eastAsia="en-US"/>
              </w:rPr>
              <w:t>2.2.2</w:t>
            </w:r>
          </w:p>
        </w:tc>
        <w:tc>
          <w:tcPr>
            <w:tcW w:w="6662" w:type="dxa"/>
          </w:tcPr>
          <w:p w14:paraId="2FD6EE3D" w14:textId="77777777" w:rsidR="00295C6D" w:rsidRPr="00A5626D" w:rsidRDefault="00295C6D" w:rsidP="00E31AE6">
            <w:pPr>
              <w:pStyle w:val="2"/>
              <w:numPr>
                <w:ilvl w:val="0"/>
                <w:numId w:val="0"/>
              </w:numPr>
              <w:tabs>
                <w:tab w:val="left" w:pos="1134"/>
                <w:tab w:val="left" w:pos="7938"/>
              </w:tabs>
              <w:suppressAutoHyphens w:val="0"/>
              <w:spacing w:line="22" w:lineRule="atLeast"/>
              <w:ind w:firstLine="629"/>
              <w:jc w:val="both"/>
              <w:rPr>
                <w:rFonts w:ascii="Garamond" w:hAnsi="Garamond" w:cstheme="minorHAnsi"/>
                <w:b w:val="0"/>
              </w:rPr>
            </w:pPr>
            <w:r w:rsidRPr="00A5626D">
              <w:rPr>
                <w:rFonts w:ascii="Garamond" w:hAnsi="Garamond" w:cstheme="minorHAnsi"/>
                <w:b w:val="0"/>
              </w:rPr>
              <w:t>В случае невозможности задания однозначного алгоритма для определения значения учетных показателей в точке поставки допускается задание алгоритма для определения значения в групп</w:t>
            </w:r>
            <w:r w:rsidRPr="00A5626D">
              <w:rPr>
                <w:rFonts w:ascii="Garamond" w:hAnsi="Garamond" w:cstheme="minorHAnsi"/>
                <w:b w:val="0"/>
                <w:highlight w:val="yellow"/>
              </w:rPr>
              <w:t>е</w:t>
            </w:r>
            <w:r w:rsidRPr="00A5626D">
              <w:rPr>
                <w:rFonts w:ascii="Garamond" w:hAnsi="Garamond" w:cstheme="minorHAnsi"/>
                <w:b w:val="0"/>
              </w:rPr>
              <w:t xml:space="preserve"> точ</w:t>
            </w:r>
            <w:r w:rsidRPr="00A5626D">
              <w:rPr>
                <w:rFonts w:ascii="Garamond" w:hAnsi="Garamond" w:cstheme="minorHAnsi"/>
                <w:b w:val="0"/>
                <w:highlight w:val="yellow"/>
              </w:rPr>
              <w:t>ек</w:t>
            </w:r>
            <w:r w:rsidRPr="00A5626D">
              <w:rPr>
                <w:rFonts w:ascii="Garamond" w:hAnsi="Garamond" w:cstheme="minorHAnsi"/>
                <w:b w:val="0"/>
              </w:rPr>
              <w:t xml:space="preserve"> поставки в составе сечения КУ. В вышеуказанном случае при наличии в алгоритме субъекта оптового рынка основного и резервного методов расчета все методы расчета, применяемые субъектом оптового рынка в алгоритме, должны определять значение учетного показателя в групповой точке поставки.</w:t>
            </w:r>
          </w:p>
        </w:tc>
        <w:tc>
          <w:tcPr>
            <w:tcW w:w="7088" w:type="dxa"/>
          </w:tcPr>
          <w:p w14:paraId="637E6649" w14:textId="77777777" w:rsidR="00295C6D" w:rsidRPr="00A5626D" w:rsidRDefault="00295C6D" w:rsidP="00E31AE6">
            <w:pPr>
              <w:pStyle w:val="2"/>
              <w:numPr>
                <w:ilvl w:val="0"/>
                <w:numId w:val="0"/>
              </w:numPr>
              <w:tabs>
                <w:tab w:val="left" w:pos="1134"/>
                <w:tab w:val="left" w:pos="7938"/>
              </w:tabs>
              <w:suppressAutoHyphens w:val="0"/>
              <w:spacing w:line="22" w:lineRule="atLeast"/>
              <w:ind w:firstLine="629"/>
              <w:jc w:val="both"/>
              <w:rPr>
                <w:rFonts w:ascii="Garamond" w:hAnsi="Garamond" w:cstheme="minorHAnsi"/>
                <w:b w:val="0"/>
              </w:rPr>
            </w:pPr>
            <w:r w:rsidRPr="00A5626D">
              <w:rPr>
                <w:rFonts w:ascii="Garamond" w:hAnsi="Garamond" w:cstheme="minorHAnsi"/>
                <w:b w:val="0"/>
              </w:rPr>
              <w:t xml:space="preserve">В случае невозможности задания однозначного алгоритма для определения значения учетных показателей в точке поставки </w:t>
            </w:r>
            <w:r w:rsidRPr="00A5626D">
              <w:rPr>
                <w:rFonts w:ascii="Garamond" w:hAnsi="Garamond" w:cstheme="minorHAnsi"/>
                <w:b w:val="0"/>
                <w:highlight w:val="yellow"/>
              </w:rPr>
              <w:t>(точке присоединения объекта регулирования)</w:t>
            </w:r>
            <w:r w:rsidRPr="00A5626D">
              <w:rPr>
                <w:rFonts w:ascii="Garamond" w:hAnsi="Garamond" w:cstheme="minorHAnsi"/>
                <w:b w:val="0"/>
              </w:rPr>
              <w:t xml:space="preserve"> допускается задание алгоритма для определения значения в групп</w:t>
            </w:r>
            <w:r w:rsidRPr="00A5626D">
              <w:rPr>
                <w:rFonts w:ascii="Garamond" w:hAnsi="Garamond" w:cstheme="minorHAnsi"/>
                <w:b w:val="0"/>
                <w:highlight w:val="yellow"/>
              </w:rPr>
              <w:t>овой</w:t>
            </w:r>
            <w:r w:rsidRPr="00A5626D">
              <w:rPr>
                <w:rFonts w:ascii="Garamond" w:hAnsi="Garamond" w:cstheme="minorHAnsi"/>
                <w:b w:val="0"/>
              </w:rPr>
              <w:t xml:space="preserve"> точк</w:t>
            </w:r>
            <w:r w:rsidRPr="00A5626D">
              <w:rPr>
                <w:rFonts w:ascii="Garamond" w:hAnsi="Garamond" w:cstheme="minorHAnsi"/>
                <w:b w:val="0"/>
                <w:highlight w:val="yellow"/>
              </w:rPr>
              <w:t>е</w:t>
            </w:r>
            <w:r w:rsidRPr="00A5626D">
              <w:rPr>
                <w:rFonts w:ascii="Garamond" w:hAnsi="Garamond" w:cstheme="minorHAnsi"/>
                <w:b w:val="0"/>
              </w:rPr>
              <w:t xml:space="preserve"> поставки в составе сечения КУ </w:t>
            </w:r>
            <w:r w:rsidRPr="00A5626D">
              <w:rPr>
                <w:rFonts w:ascii="Garamond" w:hAnsi="Garamond" w:cstheme="minorHAnsi"/>
                <w:b w:val="0"/>
                <w:highlight w:val="yellow"/>
              </w:rPr>
              <w:t>(групповой точке присоединения в составе объекта регулирования)</w:t>
            </w:r>
            <w:r w:rsidRPr="00A5626D">
              <w:rPr>
                <w:rFonts w:ascii="Garamond" w:hAnsi="Garamond" w:cstheme="minorHAnsi"/>
                <w:b w:val="0"/>
              </w:rPr>
              <w:t xml:space="preserve">. В вышеуказанном случае при наличии в алгоритме субъекта оптового рынка основного и резервного методов расчета все методы расчета, применяемые субъектом оптового рынка в алгоритме, должны определять значение учетного показателя в групповой точке поставки </w:t>
            </w:r>
            <w:r w:rsidRPr="00A5626D">
              <w:rPr>
                <w:rFonts w:ascii="Garamond" w:hAnsi="Garamond" w:cstheme="minorHAnsi"/>
                <w:b w:val="0"/>
                <w:highlight w:val="yellow"/>
              </w:rPr>
              <w:t>(групповой точке присоединения)</w:t>
            </w:r>
            <w:r w:rsidRPr="00A5626D">
              <w:rPr>
                <w:rFonts w:ascii="Garamond" w:hAnsi="Garamond" w:cstheme="minorHAnsi"/>
                <w:b w:val="0"/>
              </w:rPr>
              <w:t>.</w:t>
            </w:r>
          </w:p>
        </w:tc>
      </w:tr>
      <w:tr w:rsidR="00295C6D" w:rsidRPr="00A5626D" w14:paraId="70F5A169" w14:textId="77777777" w:rsidTr="00647FA0">
        <w:tc>
          <w:tcPr>
            <w:tcW w:w="1060" w:type="dxa"/>
            <w:vAlign w:val="center"/>
          </w:tcPr>
          <w:p w14:paraId="076BEEE3" w14:textId="66FC3968" w:rsidR="00295C6D" w:rsidRPr="00A5626D" w:rsidRDefault="00295C6D" w:rsidP="00E31AE6">
            <w:pPr>
              <w:widowControl w:val="0"/>
              <w:tabs>
                <w:tab w:val="left" w:pos="1134"/>
                <w:tab w:val="left" w:pos="7938"/>
              </w:tabs>
              <w:spacing w:line="22" w:lineRule="atLeast"/>
              <w:jc w:val="both"/>
              <w:rPr>
                <w:rFonts w:ascii="Garamond" w:hAnsi="Garamond"/>
                <w:b/>
                <w:sz w:val="22"/>
                <w:szCs w:val="22"/>
                <w:lang w:eastAsia="en-US"/>
              </w:rPr>
            </w:pPr>
            <w:r w:rsidRPr="00A5626D">
              <w:rPr>
                <w:rFonts w:ascii="Garamond" w:hAnsi="Garamond"/>
                <w:b/>
                <w:sz w:val="22"/>
                <w:szCs w:val="22"/>
                <w:lang w:eastAsia="en-US"/>
              </w:rPr>
              <w:t>Приложение 5, п.</w:t>
            </w:r>
            <w:r w:rsidR="000B3419" w:rsidRPr="00A5626D">
              <w:rPr>
                <w:rFonts w:ascii="Garamond" w:hAnsi="Garamond"/>
                <w:b/>
                <w:sz w:val="22"/>
                <w:szCs w:val="22"/>
                <w:lang w:eastAsia="en-US"/>
              </w:rPr>
              <w:t xml:space="preserve"> </w:t>
            </w:r>
            <w:r w:rsidRPr="00A5626D">
              <w:rPr>
                <w:rFonts w:ascii="Garamond" w:hAnsi="Garamond"/>
                <w:b/>
                <w:sz w:val="22"/>
                <w:szCs w:val="22"/>
                <w:lang w:eastAsia="en-US"/>
              </w:rPr>
              <w:t>2.2.3</w:t>
            </w:r>
          </w:p>
        </w:tc>
        <w:tc>
          <w:tcPr>
            <w:tcW w:w="6662" w:type="dxa"/>
          </w:tcPr>
          <w:p w14:paraId="52B82A7F" w14:textId="77777777" w:rsidR="00295C6D" w:rsidRPr="00A5626D" w:rsidRDefault="00295C6D" w:rsidP="00E31AE6">
            <w:pPr>
              <w:pStyle w:val="2"/>
              <w:numPr>
                <w:ilvl w:val="0"/>
                <w:numId w:val="0"/>
              </w:numPr>
              <w:tabs>
                <w:tab w:val="left" w:pos="1134"/>
                <w:tab w:val="left" w:pos="7938"/>
              </w:tabs>
              <w:suppressAutoHyphens w:val="0"/>
              <w:spacing w:line="22" w:lineRule="atLeast"/>
              <w:ind w:firstLine="629"/>
              <w:jc w:val="both"/>
              <w:rPr>
                <w:rFonts w:ascii="Garamond" w:hAnsi="Garamond" w:cstheme="minorHAnsi"/>
                <w:b w:val="0"/>
              </w:rPr>
            </w:pPr>
            <w:r w:rsidRPr="00A5626D">
              <w:rPr>
                <w:rFonts w:ascii="Garamond" w:hAnsi="Garamond" w:cstheme="minorHAnsi"/>
                <w:b w:val="0"/>
              </w:rPr>
              <w:t xml:space="preserve">Для корректного расчета величины учетного показателя </w:t>
            </w:r>
            <w:r w:rsidRPr="00A5626D">
              <w:rPr>
                <w:rFonts w:ascii="Garamond" w:hAnsi="Garamond" w:cstheme="minorHAnsi"/>
                <w:b w:val="0"/>
                <w:highlight w:val="yellow"/>
              </w:rPr>
              <w:t>должны</w:t>
            </w:r>
            <w:r w:rsidRPr="00A5626D">
              <w:rPr>
                <w:rFonts w:ascii="Garamond" w:hAnsi="Garamond" w:cstheme="minorHAnsi"/>
                <w:b w:val="0"/>
              </w:rPr>
              <w:t xml:space="preserve"> быть отражены варианты схем электроснабжения, а также учитываться технические характеристики линий электропередач и иных объектов электросетевого хозяйства. Коды объектам измерений ГТП присваиваются КО на основании вариантов схем электроснабжения. Для передачи данных о состоянии объектов измерений в КО </w:t>
            </w:r>
            <w:r w:rsidRPr="00A5626D">
              <w:rPr>
                <w:rFonts w:ascii="Garamond" w:hAnsi="Garamond" w:cstheme="minorHAnsi"/>
                <w:b w:val="0"/>
              </w:rPr>
              <w:lastRenderedPageBreak/>
              <w:t>используются макеты 80020 (80040). Порядок предоставления вариантов схем электроснабжения устанавливается Положением о порядке получения статуса субъекта оптового рынка и ведения реестра субъектов оптового рынка (Приложение № 1.1 к Договору о присоединении к торговой системе оптового рынка).</w:t>
            </w:r>
          </w:p>
        </w:tc>
        <w:tc>
          <w:tcPr>
            <w:tcW w:w="7088" w:type="dxa"/>
          </w:tcPr>
          <w:p w14:paraId="7E432529" w14:textId="77777777" w:rsidR="00295C6D" w:rsidRPr="00A5626D" w:rsidRDefault="00295C6D" w:rsidP="00E31AE6">
            <w:pPr>
              <w:pStyle w:val="2"/>
              <w:numPr>
                <w:ilvl w:val="0"/>
                <w:numId w:val="0"/>
              </w:numPr>
              <w:tabs>
                <w:tab w:val="left" w:pos="1134"/>
                <w:tab w:val="left" w:pos="7938"/>
              </w:tabs>
              <w:suppressAutoHyphens w:val="0"/>
              <w:spacing w:line="22" w:lineRule="atLeast"/>
              <w:ind w:firstLine="629"/>
              <w:jc w:val="both"/>
              <w:rPr>
                <w:rFonts w:ascii="Garamond" w:hAnsi="Garamond" w:cstheme="minorHAnsi"/>
                <w:b w:val="0"/>
              </w:rPr>
            </w:pPr>
            <w:r w:rsidRPr="00A5626D">
              <w:rPr>
                <w:rFonts w:ascii="Garamond" w:hAnsi="Garamond" w:cstheme="minorHAnsi"/>
                <w:b w:val="0"/>
              </w:rPr>
              <w:lastRenderedPageBreak/>
              <w:t xml:space="preserve">Для корректного расчета величины учетного показателя </w:t>
            </w:r>
            <w:r w:rsidRPr="00A5626D">
              <w:rPr>
                <w:rFonts w:ascii="Garamond" w:hAnsi="Garamond" w:cstheme="minorHAnsi"/>
                <w:b w:val="0"/>
                <w:highlight w:val="yellow"/>
              </w:rPr>
              <w:t>могут</w:t>
            </w:r>
            <w:r w:rsidRPr="00A5626D">
              <w:rPr>
                <w:rFonts w:ascii="Garamond" w:hAnsi="Garamond" w:cstheme="minorHAnsi"/>
                <w:b w:val="0"/>
              </w:rPr>
              <w:t xml:space="preserve"> быть отражены варианты схем электроснабжения, а также </w:t>
            </w:r>
            <w:r w:rsidRPr="00A5626D">
              <w:rPr>
                <w:rFonts w:ascii="Garamond" w:hAnsi="Garamond" w:cstheme="minorHAnsi"/>
                <w:b w:val="0"/>
                <w:highlight w:val="yellow"/>
              </w:rPr>
              <w:t>должны</w:t>
            </w:r>
            <w:r w:rsidRPr="00A5626D">
              <w:rPr>
                <w:rFonts w:ascii="Garamond" w:hAnsi="Garamond" w:cstheme="minorHAnsi"/>
                <w:b w:val="0"/>
              </w:rPr>
              <w:t xml:space="preserve"> учитываться технические характеристики линий электропередач и иных объектов электросетевого хозяйства. Коды объектам измерений ГТП присваиваются КО на основании вариантов схем электроснабжения </w:t>
            </w:r>
            <w:r w:rsidRPr="00A5626D">
              <w:rPr>
                <w:rFonts w:ascii="Garamond" w:hAnsi="Garamond" w:cstheme="minorHAnsi"/>
                <w:b w:val="0"/>
                <w:highlight w:val="yellow"/>
              </w:rPr>
              <w:t xml:space="preserve">в соответствии с </w:t>
            </w:r>
            <w:r w:rsidRPr="00A5626D">
              <w:rPr>
                <w:rFonts w:ascii="Garamond" w:hAnsi="Garamond" w:cstheme="minorHAnsi"/>
                <w:b w:val="0"/>
                <w:i/>
                <w:highlight w:val="yellow"/>
              </w:rPr>
              <w:t xml:space="preserve">Положением о порядке получения статуса субъекта оптового рынка и ведения реестра </w:t>
            </w:r>
            <w:r w:rsidRPr="00A5626D">
              <w:rPr>
                <w:rFonts w:ascii="Garamond" w:hAnsi="Garamond" w:cstheme="minorHAnsi"/>
                <w:b w:val="0"/>
                <w:i/>
                <w:highlight w:val="yellow"/>
              </w:rPr>
              <w:lastRenderedPageBreak/>
              <w:t>субъектов оптового рынка</w:t>
            </w:r>
            <w:r w:rsidRPr="00A5626D">
              <w:rPr>
                <w:rFonts w:ascii="Garamond" w:hAnsi="Garamond" w:cstheme="minorHAnsi"/>
                <w:b w:val="0"/>
                <w:highlight w:val="yellow"/>
              </w:rPr>
              <w:t xml:space="preserve"> (Приложение № 1.1 к </w:t>
            </w:r>
            <w:r w:rsidRPr="00A5626D">
              <w:rPr>
                <w:rFonts w:ascii="Garamond" w:hAnsi="Garamond" w:cstheme="minorHAnsi"/>
                <w:b w:val="0"/>
                <w:i/>
                <w:highlight w:val="yellow"/>
              </w:rPr>
              <w:t>Договору о присоединении к торговой системе оптового рынка</w:t>
            </w:r>
            <w:r w:rsidRPr="00A5626D">
              <w:rPr>
                <w:rFonts w:ascii="Garamond" w:hAnsi="Garamond" w:cstheme="minorHAnsi"/>
                <w:b w:val="0"/>
                <w:highlight w:val="yellow"/>
              </w:rPr>
              <w:t>)</w:t>
            </w:r>
            <w:r w:rsidRPr="00A5626D">
              <w:rPr>
                <w:rFonts w:ascii="Garamond" w:hAnsi="Garamond" w:cstheme="minorHAnsi"/>
                <w:b w:val="0"/>
              </w:rPr>
              <w:t>. Для передачи данных о состоянии объектов измерений в КО используются макеты 80020 (80040)</w:t>
            </w:r>
            <w:r w:rsidRPr="00A5626D">
              <w:rPr>
                <w:rFonts w:ascii="Garamond" w:hAnsi="Garamond" w:cstheme="minorHAnsi"/>
                <w:b w:val="0"/>
                <w:highlight w:val="yellow"/>
              </w:rPr>
              <w:t>, 20020</w:t>
            </w:r>
            <w:r w:rsidRPr="00A5626D">
              <w:rPr>
                <w:rFonts w:ascii="Garamond" w:hAnsi="Garamond" w:cstheme="minorHAnsi"/>
                <w:b w:val="0"/>
              </w:rPr>
              <w:t xml:space="preserve">. Порядок предоставления вариантов схем электроснабжения устанавливается </w:t>
            </w:r>
            <w:r w:rsidRPr="00A5626D">
              <w:rPr>
                <w:rFonts w:ascii="Garamond" w:hAnsi="Garamond" w:cstheme="minorHAnsi"/>
                <w:b w:val="0"/>
                <w:i/>
              </w:rPr>
              <w:t>Положением о порядке получения статуса субъекта оптового рынка и ведения реестра субъектов оптового рынка</w:t>
            </w:r>
            <w:r w:rsidRPr="00A5626D">
              <w:rPr>
                <w:rFonts w:ascii="Garamond" w:hAnsi="Garamond" w:cstheme="minorHAnsi"/>
                <w:b w:val="0"/>
              </w:rPr>
              <w:t xml:space="preserve"> (Приложение № 1.1 к </w:t>
            </w:r>
            <w:r w:rsidRPr="00A5626D">
              <w:rPr>
                <w:rFonts w:ascii="Garamond" w:hAnsi="Garamond" w:cstheme="minorHAnsi"/>
                <w:b w:val="0"/>
                <w:i/>
              </w:rPr>
              <w:t>Договору о присоединении к торговой системе оптового рынка</w:t>
            </w:r>
            <w:r w:rsidRPr="00A5626D">
              <w:rPr>
                <w:rFonts w:ascii="Garamond" w:hAnsi="Garamond" w:cstheme="minorHAnsi"/>
                <w:b w:val="0"/>
              </w:rPr>
              <w:t>).</w:t>
            </w:r>
          </w:p>
        </w:tc>
      </w:tr>
      <w:tr w:rsidR="00295C6D" w:rsidRPr="00A5626D" w14:paraId="3A36BE0F" w14:textId="77777777" w:rsidTr="00647FA0">
        <w:tc>
          <w:tcPr>
            <w:tcW w:w="1060" w:type="dxa"/>
            <w:vAlign w:val="center"/>
          </w:tcPr>
          <w:p w14:paraId="1A3E1B61" w14:textId="20A6DD68" w:rsidR="00295C6D" w:rsidRPr="00A5626D" w:rsidRDefault="00295C6D" w:rsidP="00E31AE6">
            <w:pPr>
              <w:widowControl w:val="0"/>
              <w:tabs>
                <w:tab w:val="left" w:pos="1134"/>
                <w:tab w:val="left" w:pos="7938"/>
              </w:tabs>
              <w:spacing w:line="22" w:lineRule="atLeast"/>
              <w:jc w:val="both"/>
              <w:rPr>
                <w:rFonts w:ascii="Garamond" w:hAnsi="Garamond"/>
                <w:b/>
                <w:sz w:val="22"/>
                <w:szCs w:val="22"/>
                <w:lang w:eastAsia="en-US"/>
              </w:rPr>
            </w:pPr>
            <w:r w:rsidRPr="00A5626D">
              <w:rPr>
                <w:rFonts w:ascii="Garamond" w:hAnsi="Garamond"/>
                <w:b/>
                <w:sz w:val="22"/>
                <w:szCs w:val="22"/>
                <w:lang w:eastAsia="en-US"/>
              </w:rPr>
              <w:lastRenderedPageBreak/>
              <w:t>Приложение 5, п.</w:t>
            </w:r>
            <w:r w:rsidR="000B3419" w:rsidRPr="00A5626D">
              <w:rPr>
                <w:rFonts w:ascii="Garamond" w:hAnsi="Garamond"/>
                <w:b/>
                <w:sz w:val="22"/>
                <w:szCs w:val="22"/>
                <w:lang w:eastAsia="en-US"/>
              </w:rPr>
              <w:t xml:space="preserve"> </w:t>
            </w:r>
            <w:r w:rsidRPr="00A5626D">
              <w:rPr>
                <w:rFonts w:ascii="Garamond" w:hAnsi="Garamond"/>
                <w:b/>
                <w:sz w:val="22"/>
                <w:szCs w:val="22"/>
                <w:lang w:eastAsia="en-US"/>
              </w:rPr>
              <w:t>2.2.4</w:t>
            </w:r>
          </w:p>
        </w:tc>
        <w:tc>
          <w:tcPr>
            <w:tcW w:w="6662" w:type="dxa"/>
          </w:tcPr>
          <w:p w14:paraId="5BAD10CF" w14:textId="77777777" w:rsidR="00295C6D" w:rsidRPr="00A5626D" w:rsidRDefault="00295C6D" w:rsidP="00E31AE6">
            <w:pPr>
              <w:pStyle w:val="2"/>
              <w:numPr>
                <w:ilvl w:val="0"/>
                <w:numId w:val="0"/>
              </w:numPr>
              <w:tabs>
                <w:tab w:val="left" w:pos="1134"/>
                <w:tab w:val="left" w:pos="7938"/>
              </w:tabs>
              <w:suppressAutoHyphens w:val="0"/>
              <w:spacing w:line="22" w:lineRule="atLeast"/>
              <w:ind w:firstLine="629"/>
              <w:jc w:val="both"/>
              <w:rPr>
                <w:rFonts w:ascii="Garamond" w:hAnsi="Garamond" w:cstheme="minorHAnsi"/>
                <w:b w:val="0"/>
              </w:rPr>
            </w:pPr>
            <w:r w:rsidRPr="00A5626D">
              <w:rPr>
                <w:rFonts w:ascii="Garamond" w:hAnsi="Garamond" w:cstheme="minorHAnsi"/>
                <w:b w:val="0"/>
              </w:rPr>
              <w:t>Под потерями в настоящем документе понимаются потери активной электрической энергии в элементах электрической сети между точкой измерений (точками измерений) и точкой поставки (групповой точкой поставки).</w:t>
            </w:r>
          </w:p>
          <w:p w14:paraId="196AB45C" w14:textId="77777777" w:rsidR="00295C6D" w:rsidRPr="00A5626D" w:rsidRDefault="00295C6D" w:rsidP="00E31AE6">
            <w:pPr>
              <w:pStyle w:val="2"/>
              <w:numPr>
                <w:ilvl w:val="0"/>
                <w:numId w:val="0"/>
              </w:numPr>
              <w:tabs>
                <w:tab w:val="left" w:pos="1134"/>
                <w:tab w:val="left" w:pos="7938"/>
              </w:tabs>
              <w:suppressAutoHyphens w:val="0"/>
              <w:spacing w:line="22" w:lineRule="atLeast"/>
              <w:ind w:firstLine="629"/>
              <w:jc w:val="both"/>
              <w:rPr>
                <w:rFonts w:ascii="Garamond" w:hAnsi="Garamond" w:cstheme="minorHAnsi"/>
                <w:b w:val="0"/>
              </w:rPr>
            </w:pPr>
            <w:r w:rsidRPr="00A5626D">
              <w:rPr>
                <w:rFonts w:ascii="Garamond" w:hAnsi="Garamond" w:cstheme="minorHAnsi"/>
                <w:b w:val="0"/>
              </w:rPr>
              <w:t xml:space="preserve">Расчет величины потерь осуществляется в соответствии с алгоритмом расчета потерь, согласованным смежными субъектами оптового рынка </w:t>
            </w:r>
            <w:r w:rsidRPr="00A5626D">
              <w:rPr>
                <w:rFonts w:ascii="Garamond" w:hAnsi="Garamond" w:cstheme="minorHAnsi"/>
                <w:b w:val="0"/>
                <w:highlight w:val="yellow"/>
              </w:rPr>
              <w:t>в ПСИ</w:t>
            </w:r>
            <w:r w:rsidRPr="00A5626D">
              <w:rPr>
                <w:rFonts w:ascii="Garamond" w:hAnsi="Garamond" w:cstheme="minorHAnsi"/>
                <w:b w:val="0"/>
              </w:rPr>
              <w:t xml:space="preserve">. Формирование алгоритма расчета величины потерь осуществляется смежными субъектами оптового рынка в соответствии с </w:t>
            </w:r>
            <w:r w:rsidRPr="00A5626D">
              <w:rPr>
                <w:rFonts w:ascii="Garamond" w:hAnsi="Garamond" w:cstheme="minorHAnsi"/>
                <w:b w:val="0"/>
                <w:highlight w:val="yellow"/>
              </w:rPr>
              <w:t>актом уполномоченного федерального органа, регламентирующим расчет нормативов технологических потерь электрической энергии при ее передаче по электрическим сетям</w:t>
            </w:r>
            <w:r w:rsidRPr="00A5626D">
              <w:rPr>
                <w:rFonts w:ascii="Garamond" w:hAnsi="Garamond" w:cstheme="minorHAnsi"/>
                <w:b w:val="0"/>
              </w:rPr>
              <w:t xml:space="preserve">. Если смежными субъектами оптового рынка согласован алгоритм расчета потерь, включенный в методику выполнения измерений, аттестованную в установленном порядке, то при расчете величины потерь используется такой алгоритм, кроме случаев, когда одна из сторон заявила о необходимости использования </w:t>
            </w:r>
            <w:r w:rsidRPr="00A5626D">
              <w:rPr>
                <w:rFonts w:ascii="Garamond" w:hAnsi="Garamond" w:cstheme="minorHAnsi"/>
                <w:b w:val="0"/>
                <w:highlight w:val="yellow"/>
              </w:rPr>
              <w:t>указанного в настоящем пункте акта уполномоченного федерального органа</w:t>
            </w:r>
            <w:r w:rsidRPr="00A5626D">
              <w:rPr>
                <w:rFonts w:ascii="Garamond" w:hAnsi="Garamond" w:cstheme="minorHAnsi"/>
                <w:b w:val="0"/>
              </w:rPr>
              <w:t>.</w:t>
            </w:r>
          </w:p>
          <w:p w14:paraId="2D95FB20" w14:textId="77777777" w:rsidR="00295C6D" w:rsidRPr="00A5626D" w:rsidRDefault="00295C6D" w:rsidP="00E31AE6">
            <w:pPr>
              <w:pStyle w:val="2"/>
              <w:numPr>
                <w:ilvl w:val="0"/>
                <w:numId w:val="0"/>
              </w:numPr>
              <w:tabs>
                <w:tab w:val="left" w:pos="1134"/>
                <w:tab w:val="left" w:pos="7938"/>
              </w:tabs>
              <w:suppressAutoHyphens w:val="0"/>
              <w:spacing w:line="22" w:lineRule="atLeast"/>
              <w:ind w:firstLine="629"/>
              <w:jc w:val="both"/>
              <w:rPr>
                <w:rFonts w:ascii="Garamond" w:hAnsi="Garamond" w:cstheme="minorHAnsi"/>
                <w:b w:val="0"/>
              </w:rPr>
            </w:pPr>
            <w:r w:rsidRPr="00A5626D">
              <w:rPr>
                <w:rFonts w:ascii="Garamond" w:hAnsi="Garamond" w:cstheme="minorHAnsi"/>
                <w:b w:val="0"/>
              </w:rPr>
              <w:t xml:space="preserve">При использовании в алгоритме коэффициентов, умножаемых на величину активной электроэнергии в отношении соответствующего измерительного канала (без возведения вышеуказанных величин электроэнергии во вторую степень), необходимо в примечании в отношении такой точки поставки в </w:t>
            </w:r>
            <w:r w:rsidRPr="00A5626D">
              <w:rPr>
                <w:rFonts w:ascii="Garamond" w:hAnsi="Garamond" w:cstheme="minorHAnsi"/>
                <w:b w:val="0"/>
                <w:highlight w:val="yellow"/>
              </w:rPr>
              <w:t>Перечне средств измерений</w:t>
            </w:r>
            <w:r w:rsidRPr="00A5626D">
              <w:rPr>
                <w:rFonts w:ascii="Garamond" w:hAnsi="Garamond" w:cstheme="minorHAnsi"/>
                <w:b w:val="0"/>
              </w:rPr>
              <w:t xml:space="preserve"> (атрибут comment, подп. 4.2.1.1.3.1.1.1.1 пункта 4.2 настоящего приложения) указать ссылку на соответствующий пункт </w:t>
            </w:r>
            <w:r w:rsidRPr="00A5626D">
              <w:rPr>
                <w:rFonts w:ascii="Garamond" w:hAnsi="Garamond" w:cstheme="minorHAnsi"/>
                <w:b w:val="0"/>
                <w:highlight w:val="yellow"/>
              </w:rPr>
              <w:t>акта уполномоченного федерального органа, регламентирующего расчет нормативов технологических потерь электрической энергии при ее передаче по электрическим сетям</w:t>
            </w:r>
            <w:r w:rsidRPr="00A5626D">
              <w:rPr>
                <w:rFonts w:ascii="Garamond" w:hAnsi="Garamond" w:cstheme="minorHAnsi"/>
                <w:b w:val="0"/>
              </w:rPr>
              <w:t xml:space="preserve">, или методики выполнения измерений, аттестованной в установленном порядке, содержащей значение указанного коэффициента либо формулу расчета такого значения. КО не проверяет достоверность значений, используемых в формулах, и не несет ответственности за использование значений, не </w:t>
            </w:r>
            <w:r w:rsidRPr="00A5626D">
              <w:rPr>
                <w:rFonts w:ascii="Garamond" w:hAnsi="Garamond" w:cstheme="minorHAnsi"/>
                <w:b w:val="0"/>
              </w:rPr>
              <w:lastRenderedPageBreak/>
              <w:t xml:space="preserve">соответствующих требованиям вышеуказанных </w:t>
            </w:r>
            <w:r w:rsidRPr="00A5626D">
              <w:rPr>
                <w:rFonts w:ascii="Garamond" w:hAnsi="Garamond" w:cstheme="minorHAnsi"/>
                <w:b w:val="0"/>
                <w:highlight w:val="yellow"/>
              </w:rPr>
              <w:t>акта</w:t>
            </w:r>
            <w:r w:rsidRPr="00A5626D">
              <w:rPr>
                <w:rFonts w:ascii="Garamond" w:hAnsi="Garamond" w:cstheme="minorHAnsi"/>
                <w:b w:val="0"/>
              </w:rPr>
              <w:t xml:space="preserve"> и методики, в том числе значений, используемых для расчета вышеуказанного коэффициента.</w:t>
            </w:r>
          </w:p>
          <w:p w14:paraId="6DCFBBF6" w14:textId="77777777" w:rsidR="00295C6D" w:rsidRPr="00A5626D" w:rsidRDefault="00295C6D" w:rsidP="00E31AE6">
            <w:pPr>
              <w:pStyle w:val="2"/>
              <w:numPr>
                <w:ilvl w:val="0"/>
                <w:numId w:val="0"/>
              </w:numPr>
              <w:tabs>
                <w:tab w:val="left" w:pos="1134"/>
                <w:tab w:val="left" w:pos="7938"/>
              </w:tabs>
              <w:suppressAutoHyphens w:val="0"/>
              <w:spacing w:line="22" w:lineRule="atLeast"/>
              <w:ind w:firstLine="629"/>
              <w:jc w:val="both"/>
              <w:rPr>
                <w:rFonts w:ascii="Garamond" w:hAnsi="Garamond" w:cstheme="minorHAnsi"/>
                <w:b w:val="0"/>
              </w:rPr>
            </w:pPr>
            <w:r w:rsidRPr="00A5626D">
              <w:rPr>
                <w:rFonts w:ascii="Garamond" w:hAnsi="Garamond" w:cstheme="minorHAnsi"/>
                <w:b w:val="0"/>
              </w:rPr>
              <w:t xml:space="preserve">В отношении РИП, не включенных в АИИС КУЭ и не использующихся в Алгоритме расчета величины сальдо перетоков электроэнергии в сечении коммерческого учета (приложение 2 к </w:t>
            </w:r>
            <w:r w:rsidRPr="00A5626D">
              <w:rPr>
                <w:rFonts w:ascii="Garamond" w:hAnsi="Garamond" w:cstheme="minorHAnsi"/>
                <w:b w:val="0"/>
                <w:highlight w:val="yellow"/>
              </w:rPr>
              <w:t>Перечню средств измерений</w:t>
            </w:r>
            <w:r w:rsidRPr="00A5626D">
              <w:rPr>
                <w:rFonts w:ascii="Garamond" w:hAnsi="Garamond" w:cstheme="minorHAnsi"/>
                <w:b w:val="0"/>
              </w:rPr>
              <w:t xml:space="preserve">), допускается вместо формул алгоритма расчета величины потерь указывать ссылку на документ (с указанием наименования, даты, регистрационного номера документа), в соответствии с которым смежными субъектами оптового рынка в вышеуказанном порядке согласован алгоритм расчета величины потерь. Ссылка указывается в примечании для соответствующей точки поставки (для каждой точки поставки в группе точек поставки) в </w:t>
            </w:r>
            <w:r w:rsidRPr="00A5626D">
              <w:rPr>
                <w:rFonts w:ascii="Garamond" w:hAnsi="Garamond" w:cstheme="minorHAnsi"/>
                <w:b w:val="0"/>
                <w:highlight w:val="yellow"/>
              </w:rPr>
              <w:t>Перечне средств измерений</w:t>
            </w:r>
            <w:r w:rsidRPr="00A5626D">
              <w:rPr>
                <w:rFonts w:ascii="Garamond" w:hAnsi="Garamond" w:cstheme="minorHAnsi"/>
                <w:b w:val="0"/>
              </w:rPr>
              <w:t xml:space="preserve"> (атрибут comment, подп. 4.2.1.1.1.6.1.2 пункта 4.2 настоящего приложения).</w:t>
            </w:r>
          </w:p>
          <w:p w14:paraId="556AB531" w14:textId="77777777" w:rsidR="00295C6D" w:rsidRPr="00A5626D" w:rsidRDefault="00295C6D" w:rsidP="00E31AE6">
            <w:pPr>
              <w:pStyle w:val="2"/>
              <w:numPr>
                <w:ilvl w:val="0"/>
                <w:numId w:val="0"/>
              </w:numPr>
              <w:tabs>
                <w:tab w:val="left" w:pos="1134"/>
                <w:tab w:val="left" w:pos="7938"/>
              </w:tabs>
              <w:suppressAutoHyphens w:val="0"/>
              <w:spacing w:line="22" w:lineRule="atLeast"/>
              <w:ind w:firstLine="629"/>
              <w:jc w:val="both"/>
              <w:rPr>
                <w:rFonts w:ascii="Garamond" w:hAnsi="Garamond" w:cstheme="minorHAnsi"/>
                <w:b w:val="0"/>
              </w:rPr>
            </w:pPr>
            <w:r w:rsidRPr="00A5626D">
              <w:rPr>
                <w:rFonts w:ascii="Garamond" w:hAnsi="Garamond" w:cstheme="minorHAnsi"/>
                <w:b w:val="0"/>
              </w:rPr>
              <w:t xml:space="preserve">КО вправе запросить путем направления запроса на адрес электронной почты, указанный в </w:t>
            </w:r>
            <w:r w:rsidRPr="00A5626D">
              <w:rPr>
                <w:rFonts w:ascii="Garamond" w:hAnsi="Garamond" w:cstheme="minorHAnsi"/>
                <w:b w:val="0"/>
                <w:highlight w:val="yellow"/>
              </w:rPr>
              <w:t>Перечне средств измерений</w:t>
            </w:r>
            <w:r w:rsidRPr="00A5626D">
              <w:rPr>
                <w:rFonts w:ascii="Garamond" w:hAnsi="Garamond" w:cstheme="minorHAnsi"/>
                <w:b w:val="0"/>
              </w:rPr>
              <w:t xml:space="preserve"> (атрибут contact-info, подп. 4.2.1.1.1.1.1 пункта 4.2 настоящего приложения), методику выполнения измерений, в соответствии с которой определен порядок корректировки показаний измерительного прибора на величину потерь для соответствующей точки поставки, в случае отсутствия в Федеральном информационном фонде по обеспечению единства измерений на дату завершения процедур проверки ПСИ, указанных в п. 2.6.2.6 Положения о порядке получения статуса субъекта оптового рынка и ведения реестра субъектов оптового рынка (Приложение № 1.1 к Договору о присоединении к торговой системе оптового рынка), методики выполнения измерений, реквизиты которой указаны в ПСИ для соответствующего алгоритма, используемого субъектом оптового рынка (заявителем). В случае если указанный документ КО запросил не позднее чем за 4 рабочих дня до окончания регламентных сроков вышеуказанной проверки ПСИ, предусмотренных подп. 3 п. 2.6.2.6 Положения о порядке получения статуса субъекта оптового рынка и ведения реестра субъектов оптового рынка (Приложение № 1.1 к Договору о присоединении к торговой системе оптового рынка), заявитель или смежный субъект оптового рынка, в алгоритме которого используется методика выполнения измерений, получившие соответствующий запрос, обязаны предоставить его в КО в течение 3 рабочих дней с даты получения </w:t>
            </w:r>
            <w:r w:rsidRPr="00A5626D">
              <w:rPr>
                <w:rFonts w:ascii="Garamond" w:hAnsi="Garamond" w:cstheme="minorHAnsi"/>
                <w:b w:val="0"/>
              </w:rPr>
              <w:lastRenderedPageBreak/>
              <w:t>запроса на электронный адрес spravka_dku@rosenergo.com. При наличии у заявителя полученной от смежного субъекта оптового рынка методики выполнения измерений, используемой смежным субъектом оптового рынка при формировании алгоритма вышеуказанного смежного субъекта оптового рынка в ПСИ, такую методику вправе предоставить в указанном выше порядке в КО заявитель.</w:t>
            </w:r>
          </w:p>
          <w:p w14:paraId="79B5F722" w14:textId="77777777" w:rsidR="00295C6D" w:rsidRPr="00A5626D" w:rsidRDefault="00295C6D" w:rsidP="00E31AE6">
            <w:pPr>
              <w:pStyle w:val="2"/>
              <w:numPr>
                <w:ilvl w:val="0"/>
                <w:numId w:val="0"/>
              </w:numPr>
              <w:tabs>
                <w:tab w:val="left" w:pos="1134"/>
                <w:tab w:val="left" w:pos="7938"/>
              </w:tabs>
              <w:suppressAutoHyphens w:val="0"/>
              <w:spacing w:line="22" w:lineRule="atLeast"/>
              <w:ind w:firstLine="629"/>
              <w:jc w:val="both"/>
              <w:rPr>
                <w:rFonts w:ascii="Garamond" w:hAnsi="Garamond" w:cstheme="minorHAnsi"/>
                <w:b w:val="0"/>
              </w:rPr>
            </w:pPr>
            <w:r w:rsidRPr="00A5626D">
              <w:rPr>
                <w:rFonts w:ascii="Garamond" w:hAnsi="Garamond" w:cstheme="minorHAnsi"/>
                <w:b w:val="0"/>
              </w:rPr>
              <w:t>Потери в сечениях коммерческого учета, входящих в сечения экспорта/импорта, определяются в соответствии с условиями договоров о параллельной работе.</w:t>
            </w:r>
          </w:p>
        </w:tc>
        <w:tc>
          <w:tcPr>
            <w:tcW w:w="7088" w:type="dxa"/>
          </w:tcPr>
          <w:p w14:paraId="54D6C77D" w14:textId="77777777" w:rsidR="00295C6D" w:rsidRPr="00A5626D" w:rsidRDefault="00295C6D" w:rsidP="00E31AE6">
            <w:pPr>
              <w:pStyle w:val="2"/>
              <w:numPr>
                <w:ilvl w:val="0"/>
                <w:numId w:val="0"/>
              </w:numPr>
              <w:tabs>
                <w:tab w:val="left" w:pos="1134"/>
                <w:tab w:val="left" w:pos="7938"/>
              </w:tabs>
              <w:suppressAutoHyphens w:val="0"/>
              <w:spacing w:line="22" w:lineRule="atLeast"/>
              <w:ind w:firstLine="629"/>
              <w:jc w:val="both"/>
              <w:rPr>
                <w:rFonts w:ascii="Garamond" w:hAnsi="Garamond" w:cstheme="minorHAnsi"/>
                <w:b w:val="0"/>
              </w:rPr>
            </w:pPr>
            <w:r w:rsidRPr="00A5626D">
              <w:rPr>
                <w:rFonts w:ascii="Garamond" w:hAnsi="Garamond" w:cstheme="minorHAnsi"/>
                <w:b w:val="0"/>
              </w:rPr>
              <w:lastRenderedPageBreak/>
              <w:t xml:space="preserve">Под потерями в настоящем документе понимаются потери активной электрической энергии в элементах электрической сети между точкой измерений (точками измерений) и точкой поставки (групповой точкой поставки) </w:t>
            </w:r>
            <w:r w:rsidRPr="00A5626D">
              <w:rPr>
                <w:rFonts w:ascii="Garamond" w:hAnsi="Garamond" w:cstheme="minorHAnsi"/>
                <w:b w:val="0"/>
                <w:highlight w:val="yellow"/>
              </w:rPr>
              <w:t>либо точкой присоединения (групповой точкой присоединения)</w:t>
            </w:r>
            <w:r w:rsidRPr="00A5626D">
              <w:rPr>
                <w:rFonts w:ascii="Garamond" w:hAnsi="Garamond" w:cstheme="minorHAnsi"/>
                <w:b w:val="0"/>
              </w:rPr>
              <w:t>.</w:t>
            </w:r>
          </w:p>
          <w:p w14:paraId="4EAFF53B" w14:textId="77777777" w:rsidR="00295C6D" w:rsidRPr="00A5626D" w:rsidRDefault="00295C6D" w:rsidP="00E31AE6">
            <w:pPr>
              <w:pStyle w:val="2"/>
              <w:numPr>
                <w:ilvl w:val="0"/>
                <w:numId w:val="0"/>
              </w:numPr>
              <w:tabs>
                <w:tab w:val="left" w:pos="1134"/>
                <w:tab w:val="left" w:pos="7938"/>
              </w:tabs>
              <w:suppressAutoHyphens w:val="0"/>
              <w:spacing w:line="22" w:lineRule="atLeast"/>
              <w:ind w:firstLine="629"/>
              <w:jc w:val="both"/>
              <w:rPr>
                <w:rFonts w:ascii="Garamond" w:hAnsi="Garamond" w:cstheme="minorHAnsi"/>
                <w:b w:val="0"/>
              </w:rPr>
            </w:pPr>
            <w:r w:rsidRPr="00A5626D">
              <w:rPr>
                <w:rFonts w:ascii="Garamond" w:hAnsi="Garamond" w:cstheme="minorHAnsi"/>
                <w:b w:val="0"/>
              </w:rPr>
              <w:t xml:space="preserve">Расчет величины потерь осуществляется в соответствии с алгоритмом расчета потерь, согласованным </w:t>
            </w:r>
            <w:r w:rsidRPr="00A5626D">
              <w:rPr>
                <w:rFonts w:ascii="Garamond" w:hAnsi="Garamond" w:cstheme="minorHAnsi"/>
                <w:b w:val="0"/>
                <w:highlight w:val="yellow"/>
              </w:rPr>
              <w:t>в ПСИ</w:t>
            </w:r>
            <w:r w:rsidRPr="00A5626D">
              <w:rPr>
                <w:rFonts w:ascii="Garamond" w:hAnsi="Garamond" w:cstheme="minorHAnsi"/>
                <w:b w:val="0"/>
              </w:rPr>
              <w:t xml:space="preserve"> смежными субъектами оптового рынка </w:t>
            </w:r>
            <w:r w:rsidRPr="00A5626D">
              <w:rPr>
                <w:rFonts w:ascii="Garamond" w:hAnsi="Garamond" w:cstheme="minorHAnsi"/>
                <w:b w:val="0"/>
                <w:highlight w:val="yellow"/>
              </w:rPr>
              <w:t>(субъектом оптового рынка в случаях, предусмотренных настоящим Регламентом) либо агрегатором и владельцем ГТП (агрегатором в случаях, когда он является владельцем ГТП)</w:t>
            </w:r>
            <w:r w:rsidRPr="00A5626D">
              <w:rPr>
                <w:rFonts w:ascii="Garamond" w:hAnsi="Garamond" w:cstheme="minorHAnsi"/>
                <w:b w:val="0"/>
              </w:rPr>
              <w:t xml:space="preserve">. Формирование алгоритма расчета величины потерь осуществляется смежными субъектами оптового рынка </w:t>
            </w:r>
            <w:r w:rsidRPr="00A5626D">
              <w:rPr>
                <w:rFonts w:ascii="Garamond" w:hAnsi="Garamond" w:cstheme="minorHAnsi"/>
                <w:b w:val="0"/>
                <w:highlight w:val="yellow"/>
              </w:rPr>
              <w:t>(субъектом оптового рынка в случаях, предусмотренных настоящим Регламентом), агрегатором</w:t>
            </w:r>
            <w:r w:rsidRPr="00A5626D">
              <w:rPr>
                <w:rFonts w:ascii="Garamond" w:hAnsi="Garamond" w:cstheme="minorHAnsi"/>
                <w:b w:val="0"/>
              </w:rPr>
              <w:t xml:space="preserve"> в соответствии с </w:t>
            </w:r>
            <w:r w:rsidRPr="00A5626D">
              <w:rPr>
                <w:rFonts w:ascii="Garamond" w:hAnsi="Garamond" w:cstheme="minorHAnsi"/>
                <w:b w:val="0"/>
                <w:highlight w:val="yellow"/>
              </w:rPr>
              <w:t>Приказом Министерства энергетики Российской Федерации от 30.12.2008 № 326</w:t>
            </w:r>
            <w:r w:rsidRPr="00A5626D">
              <w:rPr>
                <w:rFonts w:ascii="Garamond" w:hAnsi="Garamond" w:cstheme="minorHAnsi"/>
                <w:b w:val="0"/>
              </w:rPr>
              <w:t xml:space="preserve">. Если смежными субъектами оптового рынка </w:t>
            </w:r>
            <w:r w:rsidRPr="00A5626D">
              <w:rPr>
                <w:rFonts w:ascii="Garamond" w:hAnsi="Garamond" w:cstheme="minorHAnsi"/>
                <w:b w:val="0"/>
                <w:highlight w:val="yellow"/>
              </w:rPr>
              <w:t>по сечению коммерческого учета</w:t>
            </w:r>
            <w:r w:rsidRPr="00A5626D">
              <w:rPr>
                <w:rFonts w:ascii="Garamond" w:hAnsi="Garamond" w:cstheme="minorHAnsi"/>
                <w:b w:val="0"/>
              </w:rPr>
              <w:t xml:space="preserve"> согласован алгоритм расчета потерь, включенный в методику выполнения измерений, аттестованную в установленном порядке, то при расчете величины потерь используется такой алгоритм, кроме случаев, когда одна из сторон заявила о необходимости использования </w:t>
            </w:r>
            <w:r w:rsidRPr="00A5626D">
              <w:rPr>
                <w:rFonts w:ascii="Garamond" w:hAnsi="Garamond" w:cstheme="minorHAnsi"/>
                <w:b w:val="0"/>
                <w:highlight w:val="yellow"/>
              </w:rPr>
              <w:t>Приказа Министерства энергетики Российской Федерации от 30.12.2008 № 326</w:t>
            </w:r>
            <w:r w:rsidRPr="00A5626D">
              <w:rPr>
                <w:rFonts w:ascii="Garamond" w:hAnsi="Garamond" w:cstheme="minorHAnsi"/>
                <w:b w:val="0"/>
              </w:rPr>
              <w:t>.</w:t>
            </w:r>
          </w:p>
          <w:p w14:paraId="4F5FA4B6" w14:textId="6D6CA22E" w:rsidR="00295C6D" w:rsidRPr="00A5626D" w:rsidRDefault="00295C6D" w:rsidP="00E31AE6">
            <w:pPr>
              <w:pStyle w:val="2"/>
              <w:numPr>
                <w:ilvl w:val="0"/>
                <w:numId w:val="0"/>
              </w:numPr>
              <w:tabs>
                <w:tab w:val="left" w:pos="1134"/>
                <w:tab w:val="left" w:pos="7938"/>
              </w:tabs>
              <w:suppressAutoHyphens w:val="0"/>
              <w:spacing w:line="22" w:lineRule="atLeast"/>
              <w:ind w:firstLine="629"/>
              <w:jc w:val="both"/>
              <w:rPr>
                <w:rFonts w:ascii="Garamond" w:hAnsi="Garamond" w:cstheme="minorHAnsi"/>
                <w:b w:val="0"/>
              </w:rPr>
            </w:pPr>
            <w:r w:rsidRPr="00A5626D">
              <w:rPr>
                <w:rFonts w:ascii="Garamond" w:hAnsi="Garamond" w:cstheme="minorHAnsi"/>
                <w:b w:val="0"/>
              </w:rPr>
              <w:t xml:space="preserve">При использовании в алгоритме коэффициентов, умножаемых на величину активной электроэнергии в отношении соответствующего измерительного канала (без возведения вышеуказанных величин электроэнергии во вторую степень), необходимо в примечании в отношении такой точки поставки </w:t>
            </w:r>
            <w:r w:rsidRPr="00A5626D">
              <w:rPr>
                <w:rFonts w:ascii="Garamond" w:hAnsi="Garamond" w:cstheme="minorHAnsi"/>
                <w:b w:val="0"/>
                <w:highlight w:val="yellow"/>
              </w:rPr>
              <w:t>(точки присоединения)</w:t>
            </w:r>
            <w:r w:rsidRPr="00A5626D">
              <w:rPr>
                <w:rFonts w:ascii="Garamond" w:hAnsi="Garamond" w:cstheme="minorHAnsi"/>
                <w:b w:val="0"/>
              </w:rPr>
              <w:t xml:space="preserve"> в </w:t>
            </w:r>
            <w:r w:rsidRPr="00A5626D">
              <w:rPr>
                <w:rFonts w:ascii="Garamond" w:hAnsi="Garamond" w:cstheme="minorHAnsi"/>
                <w:b w:val="0"/>
                <w:highlight w:val="yellow"/>
              </w:rPr>
              <w:t>ПСИ</w:t>
            </w:r>
            <w:r w:rsidRPr="00A5626D">
              <w:rPr>
                <w:rFonts w:ascii="Garamond" w:hAnsi="Garamond" w:cstheme="minorHAnsi"/>
                <w:b w:val="0"/>
              </w:rPr>
              <w:t xml:space="preserve"> (атрибут comment, подп. 4.2.1.1.3.1.1.1.1 пункта 4.2 настоящего приложения) указать ссылку на соответствующий пункт </w:t>
            </w:r>
            <w:r w:rsidRPr="00A5626D">
              <w:rPr>
                <w:rFonts w:ascii="Garamond" w:hAnsi="Garamond" w:cstheme="minorHAnsi"/>
                <w:b w:val="0"/>
                <w:highlight w:val="yellow"/>
              </w:rPr>
              <w:t>Приказа Министерства энергетики Российской Федерации от 30.12.2008 № 326</w:t>
            </w:r>
            <w:r w:rsidRPr="00A5626D">
              <w:rPr>
                <w:rFonts w:ascii="Garamond" w:hAnsi="Garamond" w:cstheme="minorHAnsi"/>
                <w:b w:val="0"/>
              </w:rPr>
              <w:t xml:space="preserve"> или методики выполнения измерений </w:t>
            </w:r>
            <w:r w:rsidRPr="00A5626D">
              <w:rPr>
                <w:rFonts w:ascii="Garamond" w:hAnsi="Garamond" w:cstheme="minorHAnsi"/>
                <w:b w:val="0"/>
                <w:highlight w:val="yellow"/>
              </w:rPr>
              <w:t>(за исключением точек присоединения объектов регулирования)</w:t>
            </w:r>
            <w:r w:rsidRPr="00A5626D">
              <w:rPr>
                <w:rFonts w:ascii="Garamond" w:hAnsi="Garamond" w:cstheme="minorHAnsi"/>
                <w:b w:val="0"/>
              </w:rPr>
              <w:t xml:space="preserve">, аттестованной в установленном порядке, содержащей значение указанного коэффициента либо формулу расчета такого значения. КО не проверяет достоверность значений, используемых в </w:t>
            </w:r>
            <w:r w:rsidRPr="00A5626D">
              <w:rPr>
                <w:rFonts w:ascii="Garamond" w:hAnsi="Garamond" w:cstheme="minorHAnsi"/>
                <w:b w:val="0"/>
              </w:rPr>
              <w:lastRenderedPageBreak/>
              <w:t xml:space="preserve">формулах, и не несет ответственности за использование значений, не соответствующих требованиям вышеуказанных </w:t>
            </w:r>
            <w:r w:rsidRPr="00A5626D">
              <w:rPr>
                <w:rFonts w:ascii="Garamond" w:hAnsi="Garamond" w:cstheme="minorHAnsi"/>
                <w:b w:val="0"/>
                <w:highlight w:val="yellow"/>
              </w:rPr>
              <w:t>Приказа Министерства энергетики Российской Федерации</w:t>
            </w:r>
            <w:r w:rsidRPr="00A5626D">
              <w:rPr>
                <w:rFonts w:ascii="Garamond" w:hAnsi="Garamond" w:cstheme="minorHAnsi"/>
                <w:b w:val="0"/>
              </w:rPr>
              <w:t xml:space="preserve"> и методики, в том числе значений, используемых для расчета вышеуказанного коэффициента.</w:t>
            </w:r>
          </w:p>
          <w:p w14:paraId="233EB083" w14:textId="77777777" w:rsidR="00295C6D" w:rsidRPr="00A5626D" w:rsidRDefault="00295C6D" w:rsidP="00E31AE6">
            <w:pPr>
              <w:pStyle w:val="2"/>
              <w:numPr>
                <w:ilvl w:val="0"/>
                <w:numId w:val="0"/>
              </w:numPr>
              <w:tabs>
                <w:tab w:val="left" w:pos="1134"/>
                <w:tab w:val="left" w:pos="7938"/>
              </w:tabs>
              <w:suppressAutoHyphens w:val="0"/>
              <w:spacing w:line="22" w:lineRule="atLeast"/>
              <w:ind w:firstLine="629"/>
              <w:jc w:val="both"/>
              <w:rPr>
                <w:rFonts w:ascii="Garamond" w:hAnsi="Garamond" w:cstheme="minorHAnsi"/>
                <w:b w:val="0"/>
              </w:rPr>
            </w:pPr>
            <w:r w:rsidRPr="00A5626D">
              <w:rPr>
                <w:rFonts w:ascii="Garamond" w:hAnsi="Garamond" w:cstheme="minorHAnsi"/>
                <w:b w:val="0"/>
              </w:rPr>
              <w:t xml:space="preserve">В отношении РИП, не включенных в АИИС КУЭ и не использующихся в Алгоритме расчета величины сальдо перетоков электроэнергии в сечении коммерческого учета (приложение 2 к </w:t>
            </w:r>
            <w:r w:rsidRPr="00A5626D">
              <w:rPr>
                <w:rFonts w:ascii="Garamond" w:hAnsi="Garamond" w:cstheme="minorHAnsi"/>
                <w:b w:val="0"/>
                <w:highlight w:val="yellow"/>
              </w:rPr>
              <w:t>ПСИ</w:t>
            </w:r>
            <w:r w:rsidRPr="00A5626D">
              <w:rPr>
                <w:rFonts w:ascii="Garamond" w:hAnsi="Garamond" w:cstheme="minorHAnsi"/>
                <w:b w:val="0"/>
              </w:rPr>
              <w:t xml:space="preserve">), допускается вместо формул алгоритма расчета величины потерь указывать ссылку на документ (с указанием наименования, даты, регистрационного номера документа), в соответствии с которым смежными субъектами оптового рынка в вышеуказанном порядке согласован алгоритм расчета величины потерь. Ссылка указывается в примечании для соответствующей точки поставки (для каждой точки поставки в группе точек поставки) в </w:t>
            </w:r>
            <w:r w:rsidRPr="00A5626D">
              <w:rPr>
                <w:rFonts w:ascii="Garamond" w:hAnsi="Garamond" w:cstheme="minorHAnsi"/>
                <w:b w:val="0"/>
                <w:highlight w:val="yellow"/>
              </w:rPr>
              <w:t>ПСИ</w:t>
            </w:r>
            <w:r w:rsidRPr="00A5626D">
              <w:rPr>
                <w:rFonts w:ascii="Garamond" w:hAnsi="Garamond" w:cstheme="minorHAnsi"/>
                <w:b w:val="0"/>
              </w:rPr>
              <w:t xml:space="preserve"> (атрибут comment, подп. 4.2.1.1.1.6.1.2 пункта 4.2 настоящего приложения).</w:t>
            </w:r>
          </w:p>
          <w:p w14:paraId="370655A0" w14:textId="77777777" w:rsidR="00295C6D" w:rsidRPr="00A5626D" w:rsidRDefault="00295C6D" w:rsidP="00E31AE6">
            <w:pPr>
              <w:pStyle w:val="2"/>
              <w:numPr>
                <w:ilvl w:val="0"/>
                <w:numId w:val="0"/>
              </w:numPr>
              <w:tabs>
                <w:tab w:val="left" w:pos="1134"/>
                <w:tab w:val="left" w:pos="7938"/>
              </w:tabs>
              <w:suppressAutoHyphens w:val="0"/>
              <w:spacing w:line="22" w:lineRule="atLeast"/>
              <w:ind w:firstLine="629"/>
              <w:jc w:val="both"/>
              <w:rPr>
                <w:rFonts w:ascii="Garamond" w:hAnsi="Garamond" w:cstheme="minorHAnsi"/>
                <w:b w:val="0"/>
              </w:rPr>
            </w:pPr>
            <w:r w:rsidRPr="00A5626D">
              <w:rPr>
                <w:rFonts w:ascii="Garamond" w:hAnsi="Garamond" w:cstheme="minorHAnsi"/>
                <w:b w:val="0"/>
              </w:rPr>
              <w:t xml:space="preserve">КО вправе запросить путем направления запроса на адрес электронной почты, указанный в </w:t>
            </w:r>
            <w:r w:rsidRPr="00A5626D">
              <w:rPr>
                <w:rFonts w:ascii="Garamond" w:hAnsi="Garamond" w:cstheme="minorHAnsi"/>
                <w:b w:val="0"/>
                <w:highlight w:val="yellow"/>
              </w:rPr>
              <w:t>ПСИ</w:t>
            </w:r>
            <w:r w:rsidRPr="00A5626D">
              <w:rPr>
                <w:rFonts w:ascii="Garamond" w:hAnsi="Garamond" w:cstheme="minorHAnsi"/>
                <w:b w:val="0"/>
              </w:rPr>
              <w:t xml:space="preserve"> (атрибут contact-info, подп. 4.2.1.1.1.1.1 пункта 4.2 настоящего приложения), методику выполнения измерений, в соответствии с которой определен порядок корректировки показаний измерительного прибора на величину потерь для соответствующей точки поставки, в случае отсутствия в Федеральном информационном фонде по обеспечению единства измерений на дату завершения процедур проверки ПСИ, указанных в п. 2.6.2.6 Положения о порядке получения статуса субъекта оптового рынка и ведения реестра субъектов оптового рынка (Приложение № 1.1 к Договору о присоединении к торговой системе оптового рынка), методики выполнения измерений, реквизиты которой указаны в ПСИ для соответствующего алгоритма, используемого субъектом оптового рынка (заявителем). В случае если указанный документ КО запросил не позднее чем за 4 рабочих дня до окончания регламентных сроков вышеуказанной проверки ПСИ, предусмотренных подп. 3 п. 2.6.2.6 Положения о порядке получения статуса субъекта оптового рынка и ведения реестра субъектов оптового рынка (Приложение № 1.1 к Договору о присоединении к торговой системе оптового рынка), заявитель или смежный субъект оптового рынка, в алгоритме которого используется методика выполнения измерений, получившие соответствующий запрос, обязаны предоставить его в КО в течение 3 рабочих дней с даты получения запроса на электронный адрес spravka_dku@rosenergo.com. При наличии у заявителя полученной от смежного субъекта оптового рынка методики выполнения измерений, </w:t>
            </w:r>
            <w:r w:rsidRPr="00A5626D">
              <w:rPr>
                <w:rFonts w:ascii="Garamond" w:hAnsi="Garamond" w:cstheme="minorHAnsi"/>
                <w:b w:val="0"/>
              </w:rPr>
              <w:lastRenderedPageBreak/>
              <w:t>используемой смежным субъектом оптового рынка при формировании алгоритма вышеуказанного смежного субъекта оптового рынка в ПСИ, такую методику вправе предоставить в указанном выше порядке в КО заявитель.</w:t>
            </w:r>
          </w:p>
          <w:p w14:paraId="090FB245" w14:textId="77777777" w:rsidR="00295C6D" w:rsidRPr="00A5626D" w:rsidRDefault="00295C6D" w:rsidP="00E31AE6">
            <w:pPr>
              <w:pStyle w:val="2"/>
              <w:numPr>
                <w:ilvl w:val="0"/>
                <w:numId w:val="0"/>
              </w:numPr>
              <w:tabs>
                <w:tab w:val="left" w:pos="1134"/>
                <w:tab w:val="left" w:pos="7938"/>
              </w:tabs>
              <w:suppressAutoHyphens w:val="0"/>
              <w:spacing w:line="22" w:lineRule="atLeast"/>
              <w:ind w:firstLine="629"/>
              <w:jc w:val="both"/>
              <w:rPr>
                <w:rFonts w:ascii="Garamond" w:hAnsi="Garamond" w:cstheme="minorHAnsi"/>
                <w:b w:val="0"/>
              </w:rPr>
            </w:pPr>
            <w:r w:rsidRPr="00A5626D">
              <w:rPr>
                <w:rFonts w:ascii="Garamond" w:hAnsi="Garamond" w:cstheme="minorHAnsi"/>
                <w:b w:val="0"/>
              </w:rPr>
              <w:t>Потери в сечениях коммерческого учета, входящих в сечения экспорта/импорта, определяются в соответствии с условиями договоров о параллельной работе.</w:t>
            </w:r>
          </w:p>
        </w:tc>
      </w:tr>
      <w:tr w:rsidR="00295C6D" w:rsidRPr="00A5626D" w14:paraId="6230983D" w14:textId="77777777" w:rsidTr="00647FA0">
        <w:tc>
          <w:tcPr>
            <w:tcW w:w="1060" w:type="dxa"/>
            <w:vAlign w:val="center"/>
          </w:tcPr>
          <w:p w14:paraId="612619BE" w14:textId="0FA91341" w:rsidR="00295C6D" w:rsidRPr="00A5626D" w:rsidRDefault="00295C6D" w:rsidP="00E31AE6">
            <w:pPr>
              <w:widowControl w:val="0"/>
              <w:tabs>
                <w:tab w:val="left" w:pos="1134"/>
                <w:tab w:val="left" w:pos="7938"/>
              </w:tabs>
              <w:spacing w:line="22" w:lineRule="atLeast"/>
              <w:jc w:val="both"/>
              <w:rPr>
                <w:rFonts w:ascii="Garamond" w:hAnsi="Garamond"/>
                <w:b/>
                <w:sz w:val="22"/>
                <w:szCs w:val="22"/>
                <w:lang w:eastAsia="en-US"/>
              </w:rPr>
            </w:pPr>
            <w:r w:rsidRPr="00A5626D">
              <w:rPr>
                <w:rFonts w:ascii="Garamond" w:hAnsi="Garamond"/>
                <w:b/>
                <w:sz w:val="22"/>
                <w:szCs w:val="22"/>
                <w:lang w:eastAsia="en-US"/>
              </w:rPr>
              <w:lastRenderedPageBreak/>
              <w:t>Приложение 5, п.</w:t>
            </w:r>
            <w:r w:rsidR="000B3419" w:rsidRPr="00A5626D">
              <w:rPr>
                <w:rFonts w:ascii="Garamond" w:hAnsi="Garamond"/>
                <w:b/>
                <w:sz w:val="22"/>
                <w:szCs w:val="22"/>
                <w:lang w:eastAsia="en-US"/>
              </w:rPr>
              <w:t> </w:t>
            </w:r>
            <w:r w:rsidRPr="00A5626D">
              <w:rPr>
                <w:rFonts w:ascii="Garamond" w:hAnsi="Garamond"/>
                <w:b/>
                <w:sz w:val="22"/>
                <w:szCs w:val="22"/>
                <w:lang w:eastAsia="en-US"/>
              </w:rPr>
              <w:t>2.2.5</w:t>
            </w:r>
          </w:p>
        </w:tc>
        <w:tc>
          <w:tcPr>
            <w:tcW w:w="6662" w:type="dxa"/>
          </w:tcPr>
          <w:p w14:paraId="0DB67521" w14:textId="77777777" w:rsidR="00295C6D" w:rsidRPr="00A5626D" w:rsidRDefault="00295C6D" w:rsidP="00E31AE6">
            <w:pPr>
              <w:pStyle w:val="2"/>
              <w:numPr>
                <w:ilvl w:val="0"/>
                <w:numId w:val="0"/>
              </w:numPr>
              <w:tabs>
                <w:tab w:val="left" w:pos="1134"/>
                <w:tab w:val="left" w:pos="7938"/>
              </w:tabs>
              <w:suppressAutoHyphens w:val="0"/>
              <w:spacing w:line="22" w:lineRule="atLeast"/>
              <w:ind w:firstLine="629"/>
              <w:jc w:val="both"/>
              <w:rPr>
                <w:rFonts w:ascii="Garamond" w:hAnsi="Garamond" w:cstheme="minorHAnsi"/>
                <w:b w:val="0"/>
              </w:rPr>
            </w:pPr>
            <w:r w:rsidRPr="00A5626D">
              <w:rPr>
                <w:rFonts w:ascii="Garamond" w:hAnsi="Garamond" w:cstheme="minorHAnsi"/>
                <w:b w:val="0"/>
              </w:rPr>
              <w:t>Алгоритмы расчета потерь должны составляться с учетом следующего:</w:t>
            </w:r>
          </w:p>
          <w:p w14:paraId="2BB82411" w14:textId="77777777" w:rsidR="00295C6D" w:rsidRPr="00A5626D" w:rsidRDefault="00295C6D" w:rsidP="00E31AE6">
            <w:pPr>
              <w:pStyle w:val="2"/>
              <w:numPr>
                <w:ilvl w:val="0"/>
                <w:numId w:val="0"/>
              </w:numPr>
              <w:tabs>
                <w:tab w:val="left" w:pos="1134"/>
                <w:tab w:val="left" w:pos="7938"/>
              </w:tabs>
              <w:suppressAutoHyphens w:val="0"/>
              <w:spacing w:line="22" w:lineRule="atLeast"/>
              <w:ind w:firstLine="629"/>
              <w:jc w:val="both"/>
              <w:rPr>
                <w:rFonts w:ascii="Garamond" w:hAnsi="Garamond" w:cstheme="minorHAnsi"/>
                <w:b w:val="0"/>
              </w:rPr>
            </w:pPr>
            <w:r w:rsidRPr="00A5626D">
              <w:rPr>
                <w:rFonts w:ascii="Garamond" w:hAnsi="Garamond" w:cstheme="minorHAnsi"/>
                <w:b w:val="0"/>
              </w:rPr>
              <w:t>…</w:t>
            </w:r>
          </w:p>
          <w:p w14:paraId="524C790A" w14:textId="77777777" w:rsidR="00295C6D" w:rsidRPr="00A5626D" w:rsidRDefault="00295C6D" w:rsidP="00E31AE6">
            <w:pPr>
              <w:pStyle w:val="2"/>
              <w:numPr>
                <w:ilvl w:val="0"/>
                <w:numId w:val="0"/>
              </w:numPr>
              <w:tabs>
                <w:tab w:val="left" w:pos="1134"/>
                <w:tab w:val="left" w:pos="7938"/>
              </w:tabs>
              <w:suppressAutoHyphens w:val="0"/>
              <w:spacing w:line="22" w:lineRule="atLeast"/>
              <w:ind w:firstLine="629"/>
              <w:jc w:val="both"/>
              <w:rPr>
                <w:rFonts w:ascii="Garamond" w:hAnsi="Garamond" w:cstheme="minorHAnsi"/>
                <w:b w:val="0"/>
              </w:rPr>
            </w:pPr>
            <w:r w:rsidRPr="00A5626D">
              <w:rPr>
                <w:rFonts w:ascii="Garamond" w:hAnsi="Garamond" w:cstheme="minorHAnsi"/>
                <w:b w:val="0"/>
              </w:rPr>
              <w:t>6)</w:t>
            </w:r>
            <w:r w:rsidRPr="00A5626D">
              <w:rPr>
                <w:rFonts w:ascii="Garamond" w:hAnsi="Garamond" w:cstheme="minorHAnsi"/>
                <w:b w:val="0"/>
              </w:rPr>
              <w:tab/>
              <w:t>алгоритм расчета потерь в отношении точки поставки может быть задан в виде последовательности нескольких формул с вычислением и использованием промежуточных результатов.</w:t>
            </w:r>
          </w:p>
        </w:tc>
        <w:tc>
          <w:tcPr>
            <w:tcW w:w="7088" w:type="dxa"/>
          </w:tcPr>
          <w:p w14:paraId="5ACC5ECE" w14:textId="77777777" w:rsidR="00295C6D" w:rsidRPr="00A5626D" w:rsidRDefault="00295C6D" w:rsidP="00E31AE6">
            <w:pPr>
              <w:pStyle w:val="2"/>
              <w:numPr>
                <w:ilvl w:val="0"/>
                <w:numId w:val="0"/>
              </w:numPr>
              <w:tabs>
                <w:tab w:val="left" w:pos="1134"/>
                <w:tab w:val="left" w:pos="7938"/>
              </w:tabs>
              <w:suppressAutoHyphens w:val="0"/>
              <w:spacing w:line="22" w:lineRule="atLeast"/>
              <w:ind w:firstLine="629"/>
              <w:jc w:val="both"/>
              <w:rPr>
                <w:rFonts w:ascii="Garamond" w:hAnsi="Garamond" w:cstheme="minorHAnsi"/>
                <w:b w:val="0"/>
              </w:rPr>
            </w:pPr>
            <w:r w:rsidRPr="00A5626D">
              <w:rPr>
                <w:rFonts w:ascii="Garamond" w:hAnsi="Garamond" w:cstheme="minorHAnsi"/>
                <w:b w:val="0"/>
              </w:rPr>
              <w:t>Алгоритмы расчета потерь должны составляться с учетом следующего:</w:t>
            </w:r>
          </w:p>
          <w:p w14:paraId="6D5DED6F" w14:textId="77777777" w:rsidR="00295C6D" w:rsidRPr="00A5626D" w:rsidRDefault="00295C6D" w:rsidP="00E31AE6">
            <w:pPr>
              <w:pStyle w:val="2"/>
              <w:numPr>
                <w:ilvl w:val="0"/>
                <w:numId w:val="0"/>
              </w:numPr>
              <w:tabs>
                <w:tab w:val="left" w:pos="1134"/>
                <w:tab w:val="left" w:pos="7938"/>
              </w:tabs>
              <w:suppressAutoHyphens w:val="0"/>
              <w:spacing w:line="22" w:lineRule="atLeast"/>
              <w:ind w:firstLine="629"/>
              <w:jc w:val="both"/>
              <w:rPr>
                <w:rFonts w:ascii="Garamond" w:hAnsi="Garamond" w:cstheme="minorHAnsi"/>
                <w:b w:val="0"/>
              </w:rPr>
            </w:pPr>
            <w:r w:rsidRPr="00A5626D">
              <w:rPr>
                <w:rFonts w:ascii="Garamond" w:hAnsi="Garamond" w:cstheme="minorHAnsi"/>
                <w:b w:val="0"/>
              </w:rPr>
              <w:t>…</w:t>
            </w:r>
          </w:p>
          <w:p w14:paraId="476AAB0B" w14:textId="77777777" w:rsidR="00295C6D" w:rsidRPr="00A5626D" w:rsidRDefault="00295C6D" w:rsidP="00E31AE6">
            <w:pPr>
              <w:pStyle w:val="2"/>
              <w:numPr>
                <w:ilvl w:val="0"/>
                <w:numId w:val="0"/>
              </w:numPr>
              <w:tabs>
                <w:tab w:val="left" w:pos="1134"/>
                <w:tab w:val="left" w:pos="7938"/>
              </w:tabs>
              <w:suppressAutoHyphens w:val="0"/>
              <w:spacing w:line="22" w:lineRule="atLeast"/>
              <w:ind w:firstLine="629"/>
              <w:jc w:val="both"/>
              <w:rPr>
                <w:rFonts w:ascii="Garamond" w:hAnsi="Garamond" w:cstheme="minorHAnsi"/>
                <w:b w:val="0"/>
              </w:rPr>
            </w:pPr>
            <w:r w:rsidRPr="00A5626D">
              <w:rPr>
                <w:rFonts w:ascii="Garamond" w:hAnsi="Garamond" w:cstheme="minorHAnsi"/>
                <w:b w:val="0"/>
              </w:rPr>
              <w:t>6)</w:t>
            </w:r>
            <w:r w:rsidRPr="00A5626D">
              <w:rPr>
                <w:rFonts w:ascii="Garamond" w:hAnsi="Garamond" w:cstheme="minorHAnsi"/>
                <w:b w:val="0"/>
              </w:rPr>
              <w:tab/>
              <w:t xml:space="preserve">алгоритм расчета потерь в отношении точки поставки </w:t>
            </w:r>
            <w:r w:rsidRPr="00A5626D">
              <w:rPr>
                <w:rFonts w:ascii="Garamond" w:hAnsi="Garamond" w:cstheme="minorHAnsi"/>
                <w:b w:val="0"/>
                <w:highlight w:val="yellow"/>
              </w:rPr>
              <w:t>(точки присоединения)</w:t>
            </w:r>
            <w:r w:rsidRPr="00A5626D">
              <w:rPr>
                <w:rFonts w:ascii="Garamond" w:hAnsi="Garamond" w:cstheme="minorHAnsi"/>
                <w:b w:val="0"/>
              </w:rPr>
              <w:t xml:space="preserve"> может быть задан в виде последовательности нескольких формул с вычислением и использованием промежуточных результатов.</w:t>
            </w:r>
          </w:p>
        </w:tc>
      </w:tr>
      <w:tr w:rsidR="00295C6D" w:rsidRPr="00A5626D" w14:paraId="6866ECCE" w14:textId="77777777" w:rsidTr="00647FA0">
        <w:tc>
          <w:tcPr>
            <w:tcW w:w="1060" w:type="dxa"/>
            <w:vAlign w:val="center"/>
          </w:tcPr>
          <w:p w14:paraId="7D4D54CB" w14:textId="4516DE69" w:rsidR="00295C6D" w:rsidRPr="00A5626D" w:rsidRDefault="00295C6D" w:rsidP="00E31AE6">
            <w:pPr>
              <w:widowControl w:val="0"/>
              <w:tabs>
                <w:tab w:val="left" w:pos="1134"/>
                <w:tab w:val="left" w:pos="7938"/>
              </w:tabs>
              <w:spacing w:line="22" w:lineRule="atLeast"/>
              <w:jc w:val="both"/>
              <w:rPr>
                <w:rFonts w:ascii="Garamond" w:hAnsi="Garamond"/>
                <w:b/>
                <w:sz w:val="22"/>
                <w:szCs w:val="22"/>
                <w:lang w:eastAsia="en-US"/>
              </w:rPr>
            </w:pPr>
            <w:r w:rsidRPr="00A5626D">
              <w:rPr>
                <w:rFonts w:ascii="Garamond" w:hAnsi="Garamond"/>
                <w:b/>
                <w:sz w:val="22"/>
                <w:szCs w:val="22"/>
                <w:lang w:eastAsia="en-US"/>
              </w:rPr>
              <w:t>Приложение 5, п.</w:t>
            </w:r>
            <w:r w:rsidR="000B3419" w:rsidRPr="00A5626D">
              <w:rPr>
                <w:rFonts w:ascii="Garamond" w:hAnsi="Garamond"/>
                <w:b/>
                <w:sz w:val="22"/>
                <w:szCs w:val="22"/>
                <w:lang w:eastAsia="en-US"/>
              </w:rPr>
              <w:t> </w:t>
            </w:r>
            <w:r w:rsidRPr="00A5626D">
              <w:rPr>
                <w:rFonts w:ascii="Garamond" w:hAnsi="Garamond"/>
                <w:b/>
                <w:sz w:val="22"/>
                <w:szCs w:val="22"/>
                <w:lang w:eastAsia="en-US"/>
              </w:rPr>
              <w:t>2.2.6</w:t>
            </w:r>
          </w:p>
        </w:tc>
        <w:tc>
          <w:tcPr>
            <w:tcW w:w="6662" w:type="dxa"/>
          </w:tcPr>
          <w:p w14:paraId="1ABADA86" w14:textId="77777777" w:rsidR="00295C6D" w:rsidRPr="00A5626D" w:rsidRDefault="00295C6D" w:rsidP="00E31AE6">
            <w:pPr>
              <w:pStyle w:val="2"/>
              <w:numPr>
                <w:ilvl w:val="0"/>
                <w:numId w:val="0"/>
              </w:numPr>
              <w:tabs>
                <w:tab w:val="left" w:pos="1134"/>
                <w:tab w:val="left" w:pos="7938"/>
              </w:tabs>
              <w:suppressAutoHyphens w:val="0"/>
              <w:spacing w:line="22" w:lineRule="atLeast"/>
              <w:ind w:firstLine="629"/>
              <w:jc w:val="both"/>
              <w:rPr>
                <w:rFonts w:ascii="Garamond" w:hAnsi="Garamond" w:cstheme="minorHAnsi"/>
                <w:b w:val="0"/>
              </w:rPr>
            </w:pPr>
            <w:r w:rsidRPr="00A5626D">
              <w:rPr>
                <w:rFonts w:ascii="Garamond" w:hAnsi="Garamond" w:cstheme="minorHAnsi"/>
                <w:b w:val="0"/>
              </w:rPr>
              <w:t xml:space="preserve">Указываемые в формулах константы должны выражаться в </w:t>
            </w:r>
            <w:r w:rsidRPr="00A5626D">
              <w:rPr>
                <w:rFonts w:ascii="Garamond" w:hAnsi="Garamond" w:cstheme="minorHAnsi"/>
                <w:b w:val="0"/>
                <w:highlight w:val="yellow"/>
              </w:rPr>
              <w:t>кратности</w:t>
            </w:r>
            <w:r w:rsidRPr="00A5626D">
              <w:rPr>
                <w:rFonts w:ascii="Garamond" w:hAnsi="Garamond" w:cstheme="minorHAnsi"/>
                <w:b w:val="0"/>
              </w:rPr>
              <w:t>, соответствующей кВт∙ч (например, полная мощность трансформатора приводится в кВ∙А, номинальное напряжение в кВ).</w:t>
            </w:r>
          </w:p>
        </w:tc>
        <w:tc>
          <w:tcPr>
            <w:tcW w:w="7088" w:type="dxa"/>
          </w:tcPr>
          <w:p w14:paraId="0D5DF404" w14:textId="77777777" w:rsidR="00295C6D" w:rsidRPr="00A5626D" w:rsidRDefault="00295C6D" w:rsidP="00E31AE6">
            <w:pPr>
              <w:pStyle w:val="2"/>
              <w:numPr>
                <w:ilvl w:val="0"/>
                <w:numId w:val="0"/>
              </w:numPr>
              <w:tabs>
                <w:tab w:val="left" w:pos="1134"/>
                <w:tab w:val="left" w:pos="7938"/>
              </w:tabs>
              <w:suppressAutoHyphens w:val="0"/>
              <w:spacing w:line="22" w:lineRule="atLeast"/>
              <w:ind w:firstLine="629"/>
              <w:jc w:val="both"/>
              <w:rPr>
                <w:rFonts w:ascii="Garamond" w:hAnsi="Garamond" w:cstheme="minorHAnsi"/>
                <w:b w:val="0"/>
              </w:rPr>
            </w:pPr>
            <w:r w:rsidRPr="00A5626D">
              <w:rPr>
                <w:rFonts w:ascii="Garamond" w:hAnsi="Garamond" w:cstheme="minorHAnsi"/>
                <w:b w:val="0"/>
              </w:rPr>
              <w:t xml:space="preserve">Указываемые в формулах константы должны выражаться в </w:t>
            </w:r>
            <w:r w:rsidRPr="00A5626D">
              <w:rPr>
                <w:rFonts w:ascii="Garamond" w:hAnsi="Garamond" w:cstheme="minorHAnsi"/>
                <w:b w:val="0"/>
                <w:highlight w:val="yellow"/>
              </w:rPr>
              <w:t>размерности</w:t>
            </w:r>
            <w:r w:rsidRPr="00A5626D">
              <w:rPr>
                <w:rFonts w:ascii="Garamond" w:hAnsi="Garamond" w:cstheme="minorHAnsi"/>
                <w:b w:val="0"/>
              </w:rPr>
              <w:t>, соответствующей кВт∙ч (например, полная мощность трансформатора приводится в кВ∙А, номинальное напряжение в кВ).</w:t>
            </w:r>
          </w:p>
        </w:tc>
      </w:tr>
      <w:tr w:rsidR="00295C6D" w:rsidRPr="00A5626D" w14:paraId="0DB534A3" w14:textId="77777777" w:rsidTr="00647FA0">
        <w:tc>
          <w:tcPr>
            <w:tcW w:w="1060" w:type="dxa"/>
            <w:vAlign w:val="center"/>
          </w:tcPr>
          <w:p w14:paraId="4F97933F" w14:textId="244F1B1F" w:rsidR="00295C6D" w:rsidRPr="00A5626D" w:rsidRDefault="00295C6D" w:rsidP="00E31AE6">
            <w:pPr>
              <w:widowControl w:val="0"/>
              <w:tabs>
                <w:tab w:val="left" w:pos="1134"/>
                <w:tab w:val="left" w:pos="7938"/>
              </w:tabs>
              <w:spacing w:line="22" w:lineRule="atLeast"/>
              <w:jc w:val="both"/>
              <w:rPr>
                <w:rFonts w:ascii="Garamond" w:hAnsi="Garamond"/>
                <w:b/>
                <w:sz w:val="22"/>
                <w:szCs w:val="22"/>
                <w:lang w:eastAsia="en-US"/>
              </w:rPr>
            </w:pPr>
            <w:r w:rsidRPr="00A5626D">
              <w:rPr>
                <w:rFonts w:ascii="Garamond" w:hAnsi="Garamond"/>
                <w:b/>
                <w:sz w:val="22"/>
                <w:szCs w:val="22"/>
                <w:lang w:eastAsia="en-US"/>
              </w:rPr>
              <w:t>Приложение 5, п.</w:t>
            </w:r>
            <w:r w:rsidR="000B3419" w:rsidRPr="00A5626D">
              <w:rPr>
                <w:rFonts w:ascii="Garamond" w:hAnsi="Garamond"/>
                <w:b/>
                <w:sz w:val="22"/>
                <w:szCs w:val="22"/>
                <w:lang w:eastAsia="en-US"/>
              </w:rPr>
              <w:t> </w:t>
            </w:r>
            <w:r w:rsidRPr="00A5626D">
              <w:rPr>
                <w:rFonts w:ascii="Garamond" w:hAnsi="Garamond"/>
                <w:b/>
                <w:sz w:val="22"/>
                <w:szCs w:val="22"/>
                <w:lang w:eastAsia="en-US"/>
              </w:rPr>
              <w:t>2.2.7</w:t>
            </w:r>
          </w:p>
        </w:tc>
        <w:tc>
          <w:tcPr>
            <w:tcW w:w="6662" w:type="dxa"/>
          </w:tcPr>
          <w:p w14:paraId="04F8ADC2" w14:textId="77777777" w:rsidR="00295C6D" w:rsidRPr="00A5626D" w:rsidRDefault="00295C6D" w:rsidP="00E31AE6">
            <w:pPr>
              <w:pStyle w:val="2"/>
              <w:numPr>
                <w:ilvl w:val="0"/>
                <w:numId w:val="0"/>
              </w:numPr>
              <w:tabs>
                <w:tab w:val="left" w:pos="1134"/>
                <w:tab w:val="left" w:pos="7938"/>
              </w:tabs>
              <w:suppressAutoHyphens w:val="0"/>
              <w:spacing w:line="22" w:lineRule="atLeast"/>
              <w:ind w:firstLine="629"/>
              <w:jc w:val="both"/>
              <w:rPr>
                <w:rFonts w:ascii="Garamond" w:hAnsi="Garamond" w:cstheme="minorHAnsi"/>
                <w:b w:val="0"/>
              </w:rPr>
            </w:pPr>
            <w:r w:rsidRPr="00A5626D">
              <w:rPr>
                <w:rFonts w:ascii="Garamond" w:hAnsi="Garamond" w:cstheme="minorHAnsi"/>
                <w:b w:val="0"/>
              </w:rPr>
              <w:t>Кроме вышеописанных требований, необходимо придерживаться правил разработки алгоритмов:</w:t>
            </w:r>
          </w:p>
          <w:p w14:paraId="532EA518" w14:textId="77777777" w:rsidR="00295C6D" w:rsidRPr="00A5626D" w:rsidRDefault="00295C6D" w:rsidP="00E31AE6">
            <w:pPr>
              <w:pStyle w:val="2"/>
              <w:numPr>
                <w:ilvl w:val="0"/>
                <w:numId w:val="0"/>
              </w:numPr>
              <w:tabs>
                <w:tab w:val="left" w:pos="1134"/>
                <w:tab w:val="left" w:pos="7938"/>
              </w:tabs>
              <w:suppressAutoHyphens w:val="0"/>
              <w:spacing w:line="22" w:lineRule="atLeast"/>
              <w:ind w:firstLine="629"/>
              <w:jc w:val="both"/>
              <w:rPr>
                <w:rFonts w:ascii="Garamond" w:hAnsi="Garamond" w:cstheme="minorHAnsi"/>
                <w:b w:val="0"/>
              </w:rPr>
            </w:pPr>
            <w:r w:rsidRPr="00A5626D">
              <w:rPr>
                <w:rFonts w:ascii="Garamond" w:hAnsi="Garamond" w:cstheme="minorHAnsi"/>
                <w:b w:val="0"/>
              </w:rPr>
              <w:t>-</w:t>
            </w:r>
            <w:r w:rsidRPr="00A5626D">
              <w:rPr>
                <w:rFonts w:ascii="Garamond" w:hAnsi="Garamond" w:cstheme="minorHAnsi"/>
                <w:b w:val="0"/>
              </w:rPr>
              <w:tab/>
              <w:t>алгоритм не должен содержать избыточные элементы, неиспользуемые, лишние переменные (не должен содержать элементы, без которых можно обойтись);</w:t>
            </w:r>
          </w:p>
          <w:p w14:paraId="3F807DB5" w14:textId="77777777" w:rsidR="00295C6D" w:rsidRPr="00A5626D" w:rsidRDefault="00295C6D" w:rsidP="00E31AE6">
            <w:pPr>
              <w:pStyle w:val="2"/>
              <w:numPr>
                <w:ilvl w:val="0"/>
                <w:numId w:val="0"/>
              </w:numPr>
              <w:tabs>
                <w:tab w:val="left" w:pos="1134"/>
                <w:tab w:val="left" w:pos="7938"/>
              </w:tabs>
              <w:suppressAutoHyphens w:val="0"/>
              <w:spacing w:line="22" w:lineRule="atLeast"/>
              <w:ind w:firstLine="629"/>
              <w:jc w:val="both"/>
              <w:rPr>
                <w:rFonts w:ascii="Garamond" w:hAnsi="Garamond" w:cstheme="minorHAnsi"/>
                <w:b w:val="0"/>
              </w:rPr>
            </w:pPr>
            <w:r w:rsidRPr="00A5626D">
              <w:rPr>
                <w:rFonts w:ascii="Garamond" w:hAnsi="Garamond" w:cstheme="minorHAnsi"/>
                <w:b w:val="0"/>
              </w:rPr>
              <w:t>-</w:t>
            </w:r>
            <w:r w:rsidRPr="00A5626D">
              <w:rPr>
                <w:rFonts w:ascii="Garamond" w:hAnsi="Garamond" w:cstheme="minorHAnsi"/>
                <w:b w:val="0"/>
              </w:rPr>
              <w:tab/>
              <w:t>должны проверяться диапазоны вводимых пользователем значений и параметров;</w:t>
            </w:r>
          </w:p>
          <w:p w14:paraId="3F63697D" w14:textId="77777777" w:rsidR="00295C6D" w:rsidRPr="00A5626D" w:rsidRDefault="00295C6D" w:rsidP="00E31AE6">
            <w:pPr>
              <w:pStyle w:val="2"/>
              <w:numPr>
                <w:ilvl w:val="0"/>
                <w:numId w:val="0"/>
              </w:numPr>
              <w:tabs>
                <w:tab w:val="left" w:pos="1134"/>
                <w:tab w:val="left" w:pos="7938"/>
              </w:tabs>
              <w:suppressAutoHyphens w:val="0"/>
              <w:spacing w:line="22" w:lineRule="atLeast"/>
              <w:ind w:firstLine="629"/>
              <w:jc w:val="both"/>
              <w:rPr>
                <w:rFonts w:ascii="Garamond" w:hAnsi="Garamond" w:cstheme="minorHAnsi"/>
                <w:b w:val="0"/>
              </w:rPr>
            </w:pPr>
            <w:r w:rsidRPr="00A5626D">
              <w:rPr>
                <w:rFonts w:ascii="Garamond" w:hAnsi="Garamond" w:cstheme="minorHAnsi"/>
                <w:b w:val="0"/>
              </w:rPr>
              <w:t>-</w:t>
            </w:r>
            <w:r w:rsidRPr="00A5626D">
              <w:rPr>
                <w:rFonts w:ascii="Garamond" w:hAnsi="Garamond" w:cstheme="minorHAnsi"/>
                <w:b w:val="0"/>
              </w:rPr>
              <w:tab/>
              <w:t>в ПСИ должен быть представлен алгоритм, соответствующий основному (нормальному) режиму работы электрооборудования. Допускается использование в алгоритме иных электрических режимов, кроме основного (нормального) режима работы электрооборудования. При этом наличие в ПСИ алгоритма, соответствующего только основному (нормальному) режиму работы электрооборудования или основному (нормальному) и иным режимам работы электрооборудования, не является для смежного субъекта оптового рынка основанием для отказа в согласовании ПСИ.</w:t>
            </w:r>
          </w:p>
          <w:p w14:paraId="63D2A6FE" w14:textId="77777777" w:rsidR="00295C6D" w:rsidRPr="00A5626D" w:rsidRDefault="00295C6D" w:rsidP="00E31AE6">
            <w:pPr>
              <w:pStyle w:val="2"/>
              <w:numPr>
                <w:ilvl w:val="0"/>
                <w:numId w:val="0"/>
              </w:numPr>
              <w:tabs>
                <w:tab w:val="left" w:pos="1134"/>
                <w:tab w:val="left" w:pos="7938"/>
              </w:tabs>
              <w:suppressAutoHyphens w:val="0"/>
              <w:spacing w:line="22" w:lineRule="atLeast"/>
              <w:ind w:firstLine="629"/>
              <w:jc w:val="both"/>
              <w:rPr>
                <w:rFonts w:ascii="Garamond" w:hAnsi="Garamond" w:cstheme="minorHAnsi"/>
                <w:b w:val="0"/>
              </w:rPr>
            </w:pPr>
            <w:r w:rsidRPr="00A5626D">
              <w:rPr>
                <w:rFonts w:ascii="Garamond" w:hAnsi="Garamond" w:cstheme="minorHAnsi"/>
                <w:b w:val="0"/>
              </w:rPr>
              <w:t xml:space="preserve">В случае применения субъектом оптового рынка в алгоритме вариантов схем электроснабжения, алгоритм должен рассчитываться в отношении представленных схем, и указанных на них положений коммутационных аппаратов, установленных на электроустановках, </w:t>
            </w:r>
            <w:r w:rsidRPr="00A5626D">
              <w:rPr>
                <w:rFonts w:ascii="Garamond" w:hAnsi="Garamond" w:cstheme="minorHAnsi"/>
                <w:b w:val="0"/>
              </w:rPr>
              <w:lastRenderedPageBreak/>
              <w:t>входящих в группу точек поставки вышеуказанного субъекта оптового рынка.</w:t>
            </w:r>
            <w:r w:rsidRPr="00A5626D">
              <w:rPr>
                <w:rFonts w:ascii="Garamond" w:hAnsi="Garamond" w:cstheme="minorHAnsi"/>
                <w:b w:val="0"/>
              </w:rPr>
              <w:tab/>
            </w:r>
          </w:p>
          <w:p w14:paraId="235D3C29" w14:textId="77777777" w:rsidR="00295C6D" w:rsidRPr="00A5626D" w:rsidRDefault="00295C6D" w:rsidP="00E31AE6">
            <w:pPr>
              <w:pStyle w:val="2"/>
              <w:numPr>
                <w:ilvl w:val="0"/>
                <w:numId w:val="0"/>
              </w:numPr>
              <w:tabs>
                <w:tab w:val="left" w:pos="1134"/>
                <w:tab w:val="left" w:pos="7938"/>
              </w:tabs>
              <w:suppressAutoHyphens w:val="0"/>
              <w:spacing w:line="22" w:lineRule="atLeast"/>
              <w:ind w:firstLine="629"/>
              <w:jc w:val="both"/>
              <w:rPr>
                <w:rFonts w:ascii="Garamond" w:hAnsi="Garamond" w:cstheme="minorHAnsi"/>
                <w:b w:val="0"/>
              </w:rPr>
            </w:pPr>
            <w:r w:rsidRPr="00A5626D">
              <w:rPr>
                <w:rFonts w:ascii="Garamond" w:hAnsi="Garamond" w:cstheme="minorHAnsi"/>
                <w:b w:val="0"/>
              </w:rPr>
              <w:t xml:space="preserve">Для расчета величины </w:t>
            </w:r>
            <w:r w:rsidRPr="00A5626D">
              <w:rPr>
                <w:rFonts w:ascii="Garamond" w:hAnsi="Garamond" w:cstheme="minorHAnsi"/>
                <w:b w:val="0"/>
                <w:highlight w:val="yellow"/>
              </w:rPr>
              <w:t>сальдо перетоков электроэнергии</w:t>
            </w:r>
            <w:r w:rsidRPr="00A5626D">
              <w:rPr>
                <w:rFonts w:ascii="Garamond" w:hAnsi="Garamond" w:cstheme="minorHAnsi"/>
                <w:b w:val="0"/>
              </w:rPr>
              <w:t xml:space="preserve"> в сечении КУ </w:t>
            </w:r>
            <w:r w:rsidRPr="00A5626D">
              <w:rPr>
                <w:rFonts w:ascii="Garamond" w:hAnsi="Garamond" w:cstheme="minorHAnsi"/>
                <w:b w:val="0"/>
                <w:highlight w:val="yellow"/>
              </w:rPr>
              <w:t>или произведенной электроэнергии в</w:t>
            </w:r>
            <w:r w:rsidRPr="00A5626D">
              <w:rPr>
                <w:rFonts w:ascii="Garamond" w:hAnsi="Garamond" w:cstheme="minorHAnsi"/>
                <w:b w:val="0"/>
              </w:rPr>
              <w:t xml:space="preserve"> ГТП генерации допускается в алгоритме использовать меньшее количество измерительных каналов относительно закодированных каналов прибора учета, выданных КО субъекту оптового рынка (заявителю) и смежному субъекту оптового рынка в рамках процедуры кодирования.</w:t>
            </w:r>
          </w:p>
        </w:tc>
        <w:tc>
          <w:tcPr>
            <w:tcW w:w="7088" w:type="dxa"/>
          </w:tcPr>
          <w:p w14:paraId="4AD9BB39" w14:textId="77777777" w:rsidR="00295C6D" w:rsidRPr="00A5626D" w:rsidRDefault="00295C6D" w:rsidP="00E31AE6">
            <w:pPr>
              <w:pStyle w:val="2"/>
              <w:numPr>
                <w:ilvl w:val="0"/>
                <w:numId w:val="0"/>
              </w:numPr>
              <w:tabs>
                <w:tab w:val="left" w:pos="1134"/>
                <w:tab w:val="left" w:pos="7938"/>
              </w:tabs>
              <w:suppressAutoHyphens w:val="0"/>
              <w:spacing w:line="22" w:lineRule="atLeast"/>
              <w:ind w:firstLine="629"/>
              <w:jc w:val="both"/>
              <w:rPr>
                <w:rFonts w:ascii="Garamond" w:hAnsi="Garamond" w:cstheme="minorHAnsi"/>
                <w:b w:val="0"/>
              </w:rPr>
            </w:pPr>
            <w:r w:rsidRPr="00A5626D">
              <w:rPr>
                <w:rFonts w:ascii="Garamond" w:hAnsi="Garamond" w:cstheme="minorHAnsi"/>
                <w:b w:val="0"/>
              </w:rPr>
              <w:lastRenderedPageBreak/>
              <w:t>Кроме вышеописанных требований, необходимо придерживаться правил разработки алгоритмов:</w:t>
            </w:r>
          </w:p>
          <w:p w14:paraId="1DF05ABE" w14:textId="6972C131" w:rsidR="00295C6D" w:rsidRPr="00A5626D" w:rsidRDefault="00F5510F" w:rsidP="00E31AE6">
            <w:pPr>
              <w:pStyle w:val="2"/>
              <w:numPr>
                <w:ilvl w:val="0"/>
                <w:numId w:val="0"/>
              </w:numPr>
              <w:tabs>
                <w:tab w:val="left" w:pos="1134"/>
                <w:tab w:val="left" w:pos="7938"/>
              </w:tabs>
              <w:suppressAutoHyphens w:val="0"/>
              <w:spacing w:line="22" w:lineRule="atLeast"/>
              <w:ind w:firstLine="629"/>
              <w:jc w:val="both"/>
              <w:rPr>
                <w:rFonts w:ascii="Garamond" w:hAnsi="Garamond" w:cstheme="minorHAnsi"/>
                <w:b w:val="0"/>
              </w:rPr>
            </w:pPr>
            <w:r>
              <w:rPr>
                <w:rFonts w:ascii="Garamond" w:hAnsi="Garamond" w:cstheme="minorHAnsi"/>
                <w:b w:val="0"/>
              </w:rPr>
              <w:t>–</w:t>
            </w:r>
            <w:r w:rsidR="00295C6D" w:rsidRPr="00A5626D">
              <w:rPr>
                <w:rFonts w:ascii="Garamond" w:hAnsi="Garamond" w:cstheme="minorHAnsi"/>
                <w:b w:val="0"/>
              </w:rPr>
              <w:tab/>
              <w:t>алгоритм не должен содержать избыточные элементы, неиспользуемые, лишние переменные (не должен содержать элементы, без которых можно обойтись);</w:t>
            </w:r>
          </w:p>
          <w:p w14:paraId="28D5E71E" w14:textId="771F68C8" w:rsidR="00295C6D" w:rsidRPr="00A5626D" w:rsidRDefault="00F5510F" w:rsidP="00E31AE6">
            <w:pPr>
              <w:pStyle w:val="2"/>
              <w:numPr>
                <w:ilvl w:val="0"/>
                <w:numId w:val="0"/>
              </w:numPr>
              <w:tabs>
                <w:tab w:val="left" w:pos="1134"/>
                <w:tab w:val="left" w:pos="7938"/>
              </w:tabs>
              <w:suppressAutoHyphens w:val="0"/>
              <w:spacing w:line="22" w:lineRule="atLeast"/>
              <w:ind w:firstLine="629"/>
              <w:jc w:val="both"/>
              <w:rPr>
                <w:rFonts w:ascii="Garamond" w:hAnsi="Garamond" w:cstheme="minorHAnsi"/>
                <w:b w:val="0"/>
              </w:rPr>
            </w:pPr>
            <w:r>
              <w:rPr>
                <w:rFonts w:ascii="Garamond" w:hAnsi="Garamond" w:cstheme="minorHAnsi"/>
                <w:b w:val="0"/>
              </w:rPr>
              <w:t>–</w:t>
            </w:r>
            <w:r w:rsidR="00295C6D" w:rsidRPr="00A5626D">
              <w:rPr>
                <w:rFonts w:ascii="Garamond" w:hAnsi="Garamond" w:cstheme="minorHAnsi"/>
                <w:b w:val="0"/>
              </w:rPr>
              <w:tab/>
              <w:t>должны проверяться диапазоны вводимых пользователем значений и параметров;</w:t>
            </w:r>
          </w:p>
          <w:p w14:paraId="3110374D" w14:textId="548733B8" w:rsidR="00295C6D" w:rsidRPr="00A5626D" w:rsidRDefault="00F5510F" w:rsidP="00E31AE6">
            <w:pPr>
              <w:pStyle w:val="2"/>
              <w:numPr>
                <w:ilvl w:val="0"/>
                <w:numId w:val="0"/>
              </w:numPr>
              <w:tabs>
                <w:tab w:val="left" w:pos="1134"/>
                <w:tab w:val="left" w:pos="7938"/>
              </w:tabs>
              <w:suppressAutoHyphens w:val="0"/>
              <w:spacing w:line="22" w:lineRule="atLeast"/>
              <w:ind w:firstLine="629"/>
              <w:jc w:val="both"/>
              <w:rPr>
                <w:rFonts w:ascii="Garamond" w:hAnsi="Garamond" w:cstheme="minorHAnsi"/>
                <w:b w:val="0"/>
              </w:rPr>
            </w:pPr>
            <w:r>
              <w:rPr>
                <w:rFonts w:ascii="Garamond" w:hAnsi="Garamond" w:cstheme="minorHAnsi"/>
                <w:b w:val="0"/>
              </w:rPr>
              <w:t>–</w:t>
            </w:r>
            <w:r w:rsidR="00295C6D" w:rsidRPr="00A5626D">
              <w:rPr>
                <w:rFonts w:ascii="Garamond" w:hAnsi="Garamond" w:cstheme="minorHAnsi"/>
                <w:b w:val="0"/>
              </w:rPr>
              <w:tab/>
              <w:t>в ПСИ должен быть представлен алгоритм, соответствующий основному (нормальному) режиму работы электрооборудования. Допускается использование в алгоритме иных электрических режимов, кроме основного (нормального) режима работы электрооборудования. При этом наличие в ПСИ алгоритма, соответствующего только основному (нормальному) режиму работы электрооборудования или основному (нормальному) и иным режимам работы электрооборудования, не является для смежного субъекта оптового рынка</w:t>
            </w:r>
            <w:r w:rsidR="00295C6D" w:rsidRPr="00A5626D">
              <w:rPr>
                <w:rFonts w:ascii="Garamond" w:hAnsi="Garamond" w:cstheme="minorHAnsi"/>
                <w:b w:val="0"/>
                <w:highlight w:val="yellow"/>
              </w:rPr>
              <w:t>, владельца ГТП</w:t>
            </w:r>
            <w:r w:rsidR="00295C6D" w:rsidRPr="00A5626D">
              <w:rPr>
                <w:rFonts w:ascii="Garamond" w:hAnsi="Garamond" w:cstheme="minorHAnsi"/>
                <w:b w:val="0"/>
              </w:rPr>
              <w:t xml:space="preserve"> основанием для отказа в согласовании ПСИ.</w:t>
            </w:r>
          </w:p>
          <w:p w14:paraId="562650CD" w14:textId="3B353565" w:rsidR="00295C6D" w:rsidRPr="00A5626D" w:rsidRDefault="00295C6D" w:rsidP="00E31AE6">
            <w:pPr>
              <w:pStyle w:val="2"/>
              <w:numPr>
                <w:ilvl w:val="0"/>
                <w:numId w:val="0"/>
              </w:numPr>
              <w:tabs>
                <w:tab w:val="left" w:pos="1134"/>
                <w:tab w:val="left" w:pos="7938"/>
              </w:tabs>
              <w:suppressAutoHyphens w:val="0"/>
              <w:spacing w:line="22" w:lineRule="atLeast"/>
              <w:ind w:firstLine="629"/>
              <w:jc w:val="both"/>
              <w:rPr>
                <w:rFonts w:ascii="Garamond" w:hAnsi="Garamond" w:cstheme="minorHAnsi"/>
                <w:b w:val="0"/>
              </w:rPr>
            </w:pPr>
            <w:r w:rsidRPr="00A5626D">
              <w:rPr>
                <w:rFonts w:ascii="Garamond" w:hAnsi="Garamond" w:cstheme="minorHAnsi"/>
                <w:b w:val="0"/>
              </w:rPr>
              <w:t xml:space="preserve">В случае применения субъектом оптового рынка в алгоритме вариантов схем электроснабжения, алгоритм должен рассчитываться в отношении представленных схем, и указанных на них положений коммутационных аппаратов, установленных на электроустановках, </w:t>
            </w:r>
            <w:r w:rsidRPr="00A5626D">
              <w:rPr>
                <w:rFonts w:ascii="Garamond" w:hAnsi="Garamond" w:cstheme="minorHAnsi"/>
                <w:b w:val="0"/>
              </w:rPr>
              <w:lastRenderedPageBreak/>
              <w:t>входящих в группу точек поставки</w:t>
            </w:r>
            <w:r w:rsidRPr="00A5626D">
              <w:rPr>
                <w:rFonts w:ascii="Garamond" w:hAnsi="Garamond" w:cstheme="minorHAnsi"/>
                <w:b w:val="0"/>
                <w:highlight w:val="yellow"/>
              </w:rPr>
              <w:t>, объект регулирования</w:t>
            </w:r>
            <w:r w:rsidRPr="00A5626D">
              <w:rPr>
                <w:rFonts w:ascii="Garamond" w:hAnsi="Garamond" w:cstheme="minorHAnsi"/>
                <w:b w:val="0"/>
              </w:rPr>
              <w:t xml:space="preserve"> вышеуказ</w:t>
            </w:r>
            <w:r w:rsidR="00F5510F">
              <w:rPr>
                <w:rFonts w:ascii="Garamond" w:hAnsi="Garamond" w:cstheme="minorHAnsi"/>
                <w:b w:val="0"/>
              </w:rPr>
              <w:t>анного субъекта оптового рынка.</w:t>
            </w:r>
          </w:p>
          <w:p w14:paraId="16F69B6C" w14:textId="77777777" w:rsidR="00295C6D" w:rsidRPr="00A5626D" w:rsidRDefault="00295C6D" w:rsidP="00E31AE6">
            <w:pPr>
              <w:pStyle w:val="2"/>
              <w:numPr>
                <w:ilvl w:val="0"/>
                <w:numId w:val="0"/>
              </w:numPr>
              <w:tabs>
                <w:tab w:val="left" w:pos="1134"/>
                <w:tab w:val="left" w:pos="7938"/>
              </w:tabs>
              <w:suppressAutoHyphens w:val="0"/>
              <w:spacing w:line="22" w:lineRule="atLeast"/>
              <w:ind w:firstLine="629"/>
              <w:jc w:val="both"/>
              <w:rPr>
                <w:rFonts w:ascii="Garamond" w:hAnsi="Garamond" w:cstheme="minorHAnsi"/>
                <w:b w:val="0"/>
              </w:rPr>
            </w:pPr>
            <w:r w:rsidRPr="00A5626D">
              <w:rPr>
                <w:rFonts w:ascii="Garamond" w:hAnsi="Garamond" w:cstheme="minorHAnsi"/>
                <w:b w:val="0"/>
              </w:rPr>
              <w:t xml:space="preserve">Для расчета величины </w:t>
            </w:r>
            <w:r w:rsidRPr="00A5626D">
              <w:rPr>
                <w:rFonts w:ascii="Garamond" w:hAnsi="Garamond" w:cstheme="minorHAnsi"/>
                <w:b w:val="0"/>
                <w:highlight w:val="yellow"/>
              </w:rPr>
              <w:t>учетного показателя</w:t>
            </w:r>
            <w:r w:rsidRPr="00A5626D">
              <w:rPr>
                <w:rFonts w:ascii="Garamond" w:hAnsi="Garamond" w:cstheme="minorHAnsi"/>
                <w:b w:val="0"/>
              </w:rPr>
              <w:t xml:space="preserve"> в сечении КУ, ГТП генерации</w:t>
            </w:r>
            <w:r w:rsidRPr="00A5626D">
              <w:rPr>
                <w:rFonts w:ascii="Garamond" w:hAnsi="Garamond" w:cstheme="minorHAnsi"/>
                <w:b w:val="0"/>
                <w:highlight w:val="yellow"/>
              </w:rPr>
              <w:t>, объекте регулирования</w:t>
            </w:r>
            <w:r w:rsidRPr="00A5626D">
              <w:rPr>
                <w:rFonts w:ascii="Garamond" w:hAnsi="Garamond" w:cstheme="minorHAnsi"/>
                <w:b w:val="0"/>
              </w:rPr>
              <w:t xml:space="preserve"> допускается в алгоритме использовать меньшее количество измерительных каналов относительно закодированных каналов прибора учета, выданных КО субъекту оптового рынка (заявителю) и смежному субъекту оптового рынка </w:t>
            </w:r>
            <w:r w:rsidRPr="00A5626D">
              <w:rPr>
                <w:rFonts w:ascii="Garamond" w:hAnsi="Garamond" w:cstheme="minorHAnsi"/>
                <w:b w:val="0"/>
                <w:highlight w:val="yellow"/>
              </w:rPr>
              <w:t>(при наличии)</w:t>
            </w:r>
            <w:r w:rsidRPr="00A5626D">
              <w:rPr>
                <w:rFonts w:ascii="Garamond" w:hAnsi="Garamond" w:cstheme="minorHAnsi"/>
                <w:b w:val="0"/>
              </w:rPr>
              <w:t xml:space="preserve"> в рамках процедуры кодирования.</w:t>
            </w:r>
          </w:p>
        </w:tc>
      </w:tr>
      <w:tr w:rsidR="00295C6D" w:rsidRPr="00A5626D" w14:paraId="56A0090B" w14:textId="77777777" w:rsidTr="00647FA0">
        <w:tc>
          <w:tcPr>
            <w:tcW w:w="1060" w:type="dxa"/>
            <w:vAlign w:val="center"/>
          </w:tcPr>
          <w:p w14:paraId="7BB0FFBE" w14:textId="7405E8CE" w:rsidR="00295C6D" w:rsidRPr="00A5626D" w:rsidRDefault="00295C6D" w:rsidP="00E31AE6">
            <w:pPr>
              <w:widowControl w:val="0"/>
              <w:tabs>
                <w:tab w:val="left" w:pos="1134"/>
                <w:tab w:val="left" w:pos="7938"/>
              </w:tabs>
              <w:spacing w:line="22" w:lineRule="atLeast"/>
              <w:jc w:val="both"/>
              <w:rPr>
                <w:rFonts w:ascii="Garamond" w:hAnsi="Garamond"/>
                <w:b/>
                <w:sz w:val="22"/>
                <w:szCs w:val="22"/>
                <w:lang w:eastAsia="en-US"/>
              </w:rPr>
            </w:pPr>
            <w:r w:rsidRPr="00A5626D">
              <w:rPr>
                <w:rFonts w:ascii="Garamond" w:hAnsi="Garamond"/>
                <w:b/>
                <w:sz w:val="22"/>
                <w:szCs w:val="22"/>
                <w:lang w:eastAsia="en-US"/>
              </w:rPr>
              <w:lastRenderedPageBreak/>
              <w:t>Приложение 5, п.</w:t>
            </w:r>
            <w:r w:rsidR="000B3419" w:rsidRPr="00A5626D">
              <w:rPr>
                <w:rFonts w:ascii="Garamond" w:hAnsi="Garamond"/>
                <w:b/>
                <w:sz w:val="22"/>
                <w:szCs w:val="22"/>
                <w:lang w:eastAsia="en-US"/>
              </w:rPr>
              <w:t> </w:t>
            </w:r>
            <w:r w:rsidRPr="00A5626D">
              <w:rPr>
                <w:rFonts w:ascii="Garamond" w:hAnsi="Garamond"/>
                <w:b/>
                <w:sz w:val="22"/>
                <w:szCs w:val="22"/>
                <w:lang w:eastAsia="en-US"/>
              </w:rPr>
              <w:t>2.2.8</w:t>
            </w:r>
          </w:p>
        </w:tc>
        <w:tc>
          <w:tcPr>
            <w:tcW w:w="6662" w:type="dxa"/>
          </w:tcPr>
          <w:p w14:paraId="2B2F9C10" w14:textId="44DD5259" w:rsidR="00295C6D" w:rsidRPr="00A5626D" w:rsidRDefault="00295C6D" w:rsidP="00F5510F">
            <w:pPr>
              <w:pStyle w:val="2"/>
              <w:numPr>
                <w:ilvl w:val="0"/>
                <w:numId w:val="0"/>
              </w:numPr>
              <w:tabs>
                <w:tab w:val="left" w:pos="1134"/>
                <w:tab w:val="left" w:pos="7938"/>
              </w:tabs>
              <w:suppressAutoHyphens w:val="0"/>
              <w:spacing w:line="22" w:lineRule="atLeast"/>
              <w:ind w:firstLine="629"/>
              <w:jc w:val="both"/>
              <w:rPr>
                <w:rFonts w:ascii="Garamond" w:hAnsi="Garamond" w:cstheme="minorHAnsi"/>
                <w:b w:val="0"/>
              </w:rPr>
            </w:pPr>
            <w:r w:rsidRPr="00A5626D">
              <w:rPr>
                <w:rFonts w:ascii="Garamond" w:hAnsi="Garamond" w:cstheme="minorHAnsi"/>
                <w:b w:val="0"/>
              </w:rPr>
              <w:t>Порядок включения центра питания в справочник центров питания и корректирования наименования центра питания и (или) точек поставки / точек измерени</w:t>
            </w:r>
            <w:r w:rsidRPr="00A5626D">
              <w:rPr>
                <w:rFonts w:ascii="Garamond" w:hAnsi="Garamond" w:cstheme="minorHAnsi"/>
                <w:b w:val="0"/>
                <w:highlight w:val="yellow"/>
              </w:rPr>
              <w:t>я</w:t>
            </w:r>
            <w:r w:rsidRPr="00A5626D">
              <w:rPr>
                <w:rFonts w:ascii="Garamond" w:hAnsi="Garamond" w:cstheme="minorHAnsi"/>
                <w:b w:val="0"/>
              </w:rPr>
              <w:t>, расположенных на нем (в части, касающейся корректирован</w:t>
            </w:r>
            <w:r w:rsidR="00F5510F">
              <w:rPr>
                <w:rFonts w:ascii="Garamond" w:hAnsi="Garamond" w:cstheme="minorHAnsi"/>
                <w:b w:val="0"/>
              </w:rPr>
              <w:t>ия наименования центра питания)</w:t>
            </w:r>
          </w:p>
        </w:tc>
        <w:tc>
          <w:tcPr>
            <w:tcW w:w="7088" w:type="dxa"/>
          </w:tcPr>
          <w:p w14:paraId="25E4D3DA" w14:textId="68AE780F" w:rsidR="00295C6D" w:rsidRPr="00A5626D" w:rsidRDefault="00295C6D" w:rsidP="00F5510F">
            <w:pPr>
              <w:pStyle w:val="2"/>
              <w:numPr>
                <w:ilvl w:val="0"/>
                <w:numId w:val="0"/>
              </w:numPr>
              <w:tabs>
                <w:tab w:val="left" w:pos="1134"/>
                <w:tab w:val="left" w:pos="7938"/>
              </w:tabs>
              <w:suppressAutoHyphens w:val="0"/>
              <w:spacing w:line="22" w:lineRule="atLeast"/>
              <w:ind w:firstLine="629"/>
              <w:jc w:val="both"/>
              <w:rPr>
                <w:rFonts w:ascii="Garamond" w:hAnsi="Garamond" w:cstheme="minorHAnsi"/>
                <w:b w:val="0"/>
              </w:rPr>
            </w:pPr>
            <w:r w:rsidRPr="00A5626D">
              <w:rPr>
                <w:rFonts w:ascii="Garamond" w:hAnsi="Garamond" w:cstheme="minorHAnsi"/>
                <w:b w:val="0"/>
              </w:rPr>
              <w:t xml:space="preserve">Порядок включения центра питания в справочник центров питания и корректирования наименования центра питания и (или) точек поставки </w:t>
            </w:r>
            <w:r w:rsidRPr="00A5626D">
              <w:rPr>
                <w:rFonts w:ascii="Garamond" w:hAnsi="Garamond" w:cstheme="minorHAnsi"/>
                <w:b w:val="0"/>
                <w:highlight w:val="yellow"/>
              </w:rPr>
              <w:t>/ точек присоединения</w:t>
            </w:r>
            <w:r w:rsidRPr="00A5626D">
              <w:rPr>
                <w:rFonts w:ascii="Garamond" w:hAnsi="Garamond" w:cstheme="minorHAnsi"/>
                <w:b w:val="0"/>
              </w:rPr>
              <w:t xml:space="preserve"> / точек измерени</w:t>
            </w:r>
            <w:r w:rsidRPr="00A5626D">
              <w:rPr>
                <w:rFonts w:ascii="Garamond" w:hAnsi="Garamond" w:cstheme="minorHAnsi"/>
                <w:b w:val="0"/>
                <w:highlight w:val="yellow"/>
              </w:rPr>
              <w:t>й</w:t>
            </w:r>
            <w:r w:rsidRPr="00A5626D">
              <w:rPr>
                <w:rFonts w:ascii="Garamond" w:hAnsi="Garamond" w:cstheme="minorHAnsi"/>
                <w:b w:val="0"/>
              </w:rPr>
              <w:t>, расположенных на нем (в части, касающейся корректирован</w:t>
            </w:r>
            <w:r w:rsidR="00F5510F">
              <w:rPr>
                <w:rFonts w:ascii="Garamond" w:hAnsi="Garamond" w:cstheme="minorHAnsi"/>
                <w:b w:val="0"/>
              </w:rPr>
              <w:t>ия наименования центра питания)</w:t>
            </w:r>
          </w:p>
        </w:tc>
      </w:tr>
      <w:tr w:rsidR="00295C6D" w:rsidRPr="00A5626D" w14:paraId="0938B1DF" w14:textId="77777777" w:rsidTr="00647FA0">
        <w:tc>
          <w:tcPr>
            <w:tcW w:w="1060" w:type="dxa"/>
            <w:vAlign w:val="center"/>
          </w:tcPr>
          <w:p w14:paraId="5487C356" w14:textId="050D2AEF" w:rsidR="00295C6D" w:rsidRPr="00A5626D" w:rsidRDefault="00295C6D" w:rsidP="00E31AE6">
            <w:pPr>
              <w:widowControl w:val="0"/>
              <w:tabs>
                <w:tab w:val="left" w:pos="1134"/>
                <w:tab w:val="left" w:pos="7938"/>
              </w:tabs>
              <w:spacing w:line="22" w:lineRule="atLeast"/>
              <w:jc w:val="both"/>
              <w:rPr>
                <w:rFonts w:ascii="Garamond" w:hAnsi="Garamond"/>
                <w:b/>
                <w:sz w:val="22"/>
                <w:szCs w:val="22"/>
                <w:lang w:eastAsia="en-US"/>
              </w:rPr>
            </w:pPr>
            <w:r w:rsidRPr="00A5626D">
              <w:rPr>
                <w:rFonts w:ascii="Garamond" w:hAnsi="Garamond"/>
                <w:b/>
                <w:sz w:val="22"/>
                <w:szCs w:val="22"/>
                <w:lang w:eastAsia="en-US"/>
              </w:rPr>
              <w:t>Приложение 5, п.</w:t>
            </w:r>
            <w:r w:rsidR="000B3419" w:rsidRPr="00A5626D">
              <w:rPr>
                <w:rFonts w:ascii="Garamond" w:hAnsi="Garamond"/>
                <w:b/>
                <w:sz w:val="22"/>
                <w:szCs w:val="22"/>
                <w:lang w:eastAsia="en-US"/>
              </w:rPr>
              <w:t> </w:t>
            </w:r>
            <w:r w:rsidRPr="00A5626D">
              <w:rPr>
                <w:rFonts w:ascii="Garamond" w:hAnsi="Garamond"/>
                <w:b/>
                <w:sz w:val="22"/>
                <w:szCs w:val="22"/>
                <w:lang w:eastAsia="en-US"/>
              </w:rPr>
              <w:t>2.2.8.1</w:t>
            </w:r>
          </w:p>
        </w:tc>
        <w:tc>
          <w:tcPr>
            <w:tcW w:w="6662" w:type="dxa"/>
          </w:tcPr>
          <w:p w14:paraId="775D99FF" w14:textId="77777777" w:rsidR="00295C6D" w:rsidRPr="00A5626D" w:rsidRDefault="00295C6D" w:rsidP="00E31AE6">
            <w:pPr>
              <w:pStyle w:val="2"/>
              <w:numPr>
                <w:ilvl w:val="0"/>
                <w:numId w:val="0"/>
              </w:numPr>
              <w:tabs>
                <w:tab w:val="left" w:pos="1134"/>
                <w:tab w:val="left" w:pos="7938"/>
              </w:tabs>
              <w:suppressAutoHyphens w:val="0"/>
              <w:spacing w:line="22" w:lineRule="atLeast"/>
              <w:ind w:firstLine="629"/>
              <w:jc w:val="both"/>
              <w:rPr>
                <w:rFonts w:ascii="Garamond" w:hAnsi="Garamond" w:cstheme="minorHAnsi"/>
                <w:b w:val="0"/>
              </w:rPr>
            </w:pPr>
            <w:r w:rsidRPr="00A5626D">
              <w:rPr>
                <w:rFonts w:ascii="Garamond" w:hAnsi="Garamond" w:cstheme="minorHAnsi"/>
                <w:b w:val="0"/>
              </w:rPr>
              <w:t>В случае отсутствия в справочнике центров питания соответствующего центра питания, планируемого к включению в ПСИ, до инициирования процедуры согласования ГТП (сечений коммерческого учета ФСК) и регистрации ПСИ или внесения изменений в регистрационную информацию по ГТП (сечениям коммерческого учета ФСК, сечениям экспорта-импорта), субъекту оптового рынка (заявителю) необходимо направить в КО на адрес электронной почты spravka_dku@rosenergo.com заявку в электронном виде без использования ЭП по форме, опубликованной на официальном сайте АО «АТС», в разделе «Коммерческий учет», с приложением для каждого центра питания нормальной схемы подстанции (станции) или однолинейной схемы, содержащей сведения о подстанции (станции), подписанных владельцем электроустановки.</w:t>
            </w:r>
          </w:p>
          <w:p w14:paraId="5CE9D115" w14:textId="77777777" w:rsidR="00295C6D" w:rsidRPr="00A5626D" w:rsidRDefault="00295C6D" w:rsidP="00E31AE6">
            <w:pPr>
              <w:spacing w:before="120" w:after="120"/>
              <w:ind w:left="33" w:right="34" w:firstLine="567"/>
              <w:jc w:val="both"/>
              <w:rPr>
                <w:rFonts w:ascii="Garamond" w:hAnsi="Garamond" w:cstheme="minorHAnsi"/>
                <w:bCs/>
                <w:sz w:val="22"/>
                <w:szCs w:val="22"/>
              </w:rPr>
            </w:pPr>
            <w:r w:rsidRPr="00A5626D">
              <w:rPr>
                <w:rFonts w:ascii="Garamond" w:hAnsi="Garamond" w:cstheme="minorHAnsi"/>
                <w:bCs/>
                <w:sz w:val="22"/>
                <w:szCs w:val="22"/>
              </w:rPr>
              <w:t>В случае необходимости внесения изменений в наименование центра питания, содержащегося в вышеуказанном справочнике, до инициирования процедуры согласования ГТП (сечений коммерческого учета ФСК) и регистрации ПСИ или внесения изменений в регистрационную информацию по ГТП (сечениям коммерческого учета ФСК, сечениям экспорта-импорта), субъекту оптового рынка (заявителю) необходимо направить в КО на адрес электронной почты spravka_dku@rosenergo.com заявку в электронном виде без использования ЭП по форме, опубликованной на официальном сайте АО «АТС», в разделе «Коммерческий учет», с приложением для каждого центра питания одного из следующих документов:</w:t>
            </w:r>
          </w:p>
          <w:p w14:paraId="1106FFCD" w14:textId="37632E53" w:rsidR="00295C6D" w:rsidRPr="00A5626D" w:rsidRDefault="000B3419" w:rsidP="00E31AE6">
            <w:pPr>
              <w:rPr>
                <w:rFonts w:ascii="Garamond" w:hAnsi="Garamond" w:cstheme="minorHAnsi"/>
                <w:bCs/>
                <w:sz w:val="22"/>
                <w:szCs w:val="22"/>
                <w:lang w:val="en-US"/>
              </w:rPr>
            </w:pPr>
            <w:r w:rsidRPr="00A5626D">
              <w:rPr>
                <w:rFonts w:ascii="Garamond" w:hAnsi="Garamond" w:cstheme="minorHAnsi"/>
                <w:bCs/>
                <w:sz w:val="22"/>
                <w:szCs w:val="22"/>
                <w:lang w:val="en-US"/>
              </w:rPr>
              <w:lastRenderedPageBreak/>
              <w:t>…</w:t>
            </w:r>
          </w:p>
        </w:tc>
        <w:tc>
          <w:tcPr>
            <w:tcW w:w="7088" w:type="dxa"/>
          </w:tcPr>
          <w:p w14:paraId="549027E6" w14:textId="7FE1B7E0" w:rsidR="00295C6D" w:rsidRPr="00A5626D" w:rsidRDefault="00295C6D" w:rsidP="00E31AE6">
            <w:pPr>
              <w:pStyle w:val="2"/>
              <w:numPr>
                <w:ilvl w:val="0"/>
                <w:numId w:val="0"/>
              </w:numPr>
              <w:tabs>
                <w:tab w:val="left" w:pos="1134"/>
                <w:tab w:val="left" w:pos="7938"/>
              </w:tabs>
              <w:suppressAutoHyphens w:val="0"/>
              <w:spacing w:line="22" w:lineRule="atLeast"/>
              <w:ind w:firstLine="629"/>
              <w:jc w:val="both"/>
              <w:rPr>
                <w:rFonts w:ascii="Garamond" w:hAnsi="Garamond" w:cstheme="minorHAnsi"/>
                <w:b w:val="0"/>
              </w:rPr>
            </w:pPr>
            <w:r w:rsidRPr="00A5626D">
              <w:rPr>
                <w:rFonts w:ascii="Garamond" w:hAnsi="Garamond" w:cstheme="minorHAnsi"/>
                <w:b w:val="0"/>
              </w:rPr>
              <w:lastRenderedPageBreak/>
              <w:t>В случае отсутствия в справочнике центров питания соответствующего центра питания, планируемого к включению в ПСИ</w:t>
            </w:r>
            <w:r w:rsidR="007C1767" w:rsidRPr="00A5626D">
              <w:rPr>
                <w:rFonts w:ascii="Garamond" w:hAnsi="Garamond" w:cstheme="minorHAnsi"/>
                <w:b w:val="0"/>
              </w:rPr>
              <w:t xml:space="preserve"> </w:t>
            </w:r>
            <w:r w:rsidR="007C1767" w:rsidRPr="00A5626D">
              <w:rPr>
                <w:rFonts w:ascii="Garamond" w:hAnsi="Garamond" w:cstheme="minorHAnsi"/>
                <w:b w:val="0"/>
                <w:highlight w:val="yellow"/>
              </w:rPr>
              <w:t>по сечениям коммерческого учета</w:t>
            </w:r>
            <w:r w:rsidR="00F5510F">
              <w:rPr>
                <w:rFonts w:ascii="Garamond" w:hAnsi="Garamond" w:cstheme="minorHAnsi"/>
                <w:b w:val="0"/>
                <w:highlight w:val="yellow"/>
              </w:rPr>
              <w:t xml:space="preserve"> </w:t>
            </w:r>
            <w:r w:rsidR="007C1767" w:rsidRPr="00A5626D">
              <w:rPr>
                <w:rFonts w:ascii="Garamond" w:hAnsi="Garamond" w:cstheme="minorHAnsi"/>
                <w:b w:val="0"/>
                <w:highlight w:val="yellow"/>
              </w:rPr>
              <w:t>/</w:t>
            </w:r>
            <w:r w:rsidR="00F5510F">
              <w:rPr>
                <w:rFonts w:ascii="Garamond" w:hAnsi="Garamond" w:cstheme="minorHAnsi"/>
                <w:b w:val="0"/>
                <w:highlight w:val="yellow"/>
              </w:rPr>
              <w:t xml:space="preserve"> </w:t>
            </w:r>
            <w:r w:rsidR="007C1767" w:rsidRPr="00A5626D">
              <w:rPr>
                <w:rFonts w:ascii="Garamond" w:hAnsi="Garamond" w:cstheme="minorHAnsi"/>
                <w:b w:val="0"/>
                <w:highlight w:val="yellow"/>
              </w:rPr>
              <w:t>ГТП генерации, либо отсутствия в указанном справочнике центра питания, на котором расположены точки присоединений и (или) точки измерений объекта регулирования</w:t>
            </w:r>
            <w:r w:rsidRPr="00A5626D">
              <w:rPr>
                <w:rFonts w:ascii="Garamond" w:hAnsi="Garamond" w:cstheme="minorHAnsi"/>
                <w:b w:val="0"/>
              </w:rPr>
              <w:t xml:space="preserve">, до инициирования процедуры согласования ГТП (сечений </w:t>
            </w:r>
            <w:r w:rsidRPr="00A5626D">
              <w:rPr>
                <w:rFonts w:ascii="Garamond" w:hAnsi="Garamond" w:cstheme="minorHAnsi"/>
                <w:b w:val="0"/>
                <w:highlight w:val="yellow"/>
              </w:rPr>
              <w:t xml:space="preserve">коммерческого учета ФСК) и регистрации ПСИ, </w:t>
            </w:r>
            <w:r w:rsidR="000C3043" w:rsidRPr="00A5626D">
              <w:rPr>
                <w:rFonts w:ascii="Garamond" w:hAnsi="Garamond" w:cstheme="minorHAnsi"/>
                <w:b w:val="0"/>
                <w:highlight w:val="yellow"/>
              </w:rPr>
              <w:t>регистрации</w:t>
            </w:r>
            <w:r w:rsidRPr="00A5626D">
              <w:rPr>
                <w:rFonts w:ascii="Garamond" w:hAnsi="Garamond" w:cstheme="minorHAnsi"/>
                <w:b w:val="0"/>
                <w:highlight w:val="yellow"/>
              </w:rPr>
              <w:t xml:space="preserve"> объекта регулирования</w:t>
            </w:r>
            <w:r w:rsidRPr="00A5626D">
              <w:rPr>
                <w:rFonts w:ascii="Garamond" w:hAnsi="Garamond" w:cstheme="minorHAnsi"/>
                <w:b w:val="0"/>
              </w:rPr>
              <w:t xml:space="preserve"> или внесения изменений в регистрационную информацию по ГТП (сечениям коммерческого учета ФСК, сечениям экспорта-импорта) </w:t>
            </w:r>
            <w:r w:rsidR="007C1767" w:rsidRPr="00A5626D">
              <w:rPr>
                <w:rFonts w:ascii="Garamond" w:hAnsi="Garamond" w:cstheme="minorHAnsi"/>
                <w:b w:val="0"/>
                <w:highlight w:val="yellow"/>
              </w:rPr>
              <w:t>либо</w:t>
            </w:r>
            <w:r w:rsidRPr="00A5626D">
              <w:rPr>
                <w:rFonts w:ascii="Garamond" w:hAnsi="Garamond" w:cstheme="minorHAnsi"/>
                <w:b w:val="0"/>
                <w:highlight w:val="yellow"/>
              </w:rPr>
              <w:t xml:space="preserve"> объекту регулирования</w:t>
            </w:r>
            <w:r w:rsidRPr="00A5626D">
              <w:rPr>
                <w:rFonts w:ascii="Garamond" w:hAnsi="Garamond" w:cstheme="minorHAnsi"/>
                <w:b w:val="0"/>
              </w:rPr>
              <w:t xml:space="preserve"> субъекту оптового рынка (заявителю) необходимо направить в КО на адрес электронной почты spravka_dku@rosenergo.com заявку в электронном виде без использования ЭП по форме, опубликованной на официальном сайте АО «АТС», в разделе «Коммерческий учет», с приложением для каждого центра питания нормальной схемы подстанции (станции) или однолинейной схемы, содержащей сведения о подстанции (станции), подписанных владельцем электроустановки.</w:t>
            </w:r>
          </w:p>
          <w:p w14:paraId="395786E2" w14:textId="28EECA9B" w:rsidR="00295C6D" w:rsidRPr="00A5626D" w:rsidRDefault="00295C6D" w:rsidP="00E31AE6">
            <w:pPr>
              <w:spacing w:before="120" w:after="120"/>
              <w:ind w:left="33" w:right="34" w:firstLine="567"/>
              <w:jc w:val="both"/>
              <w:rPr>
                <w:rFonts w:ascii="Garamond" w:hAnsi="Garamond" w:cstheme="minorHAnsi"/>
                <w:bCs/>
                <w:sz w:val="22"/>
                <w:szCs w:val="22"/>
              </w:rPr>
            </w:pPr>
            <w:r w:rsidRPr="00A5626D">
              <w:rPr>
                <w:rFonts w:ascii="Garamond" w:hAnsi="Garamond" w:cstheme="minorHAnsi"/>
                <w:bCs/>
                <w:sz w:val="22"/>
                <w:szCs w:val="22"/>
              </w:rPr>
              <w:t>В случае необходимости внесения изменений в наименование центра питания, содержащегося в вышеуказанном справочнике</w:t>
            </w:r>
            <w:r w:rsidR="007C1767" w:rsidRPr="00A5626D">
              <w:rPr>
                <w:rFonts w:ascii="Garamond" w:hAnsi="Garamond" w:cstheme="minorHAnsi"/>
                <w:bCs/>
                <w:sz w:val="22"/>
                <w:szCs w:val="22"/>
              </w:rPr>
              <w:t xml:space="preserve"> </w:t>
            </w:r>
            <w:r w:rsidR="007C1767" w:rsidRPr="00A5626D">
              <w:rPr>
                <w:rFonts w:ascii="Garamond" w:hAnsi="Garamond" w:cstheme="minorHAnsi"/>
                <w:bCs/>
                <w:sz w:val="22"/>
                <w:szCs w:val="22"/>
                <w:highlight w:val="yellow"/>
              </w:rPr>
              <w:t>(</w:t>
            </w:r>
            <w:r w:rsidR="00A3368F" w:rsidRPr="00A5626D">
              <w:rPr>
                <w:rFonts w:ascii="Garamond" w:hAnsi="Garamond" w:cstheme="minorHAnsi"/>
                <w:bCs/>
                <w:sz w:val="22"/>
                <w:szCs w:val="22"/>
                <w:highlight w:val="yellow"/>
              </w:rPr>
              <w:t>в том числе в случае</w:t>
            </w:r>
            <w:r w:rsidR="007C1767" w:rsidRPr="00A5626D">
              <w:rPr>
                <w:rFonts w:ascii="Garamond" w:hAnsi="Garamond" w:cstheme="minorHAnsi"/>
                <w:bCs/>
                <w:sz w:val="22"/>
                <w:szCs w:val="22"/>
                <w:highlight w:val="yellow"/>
              </w:rPr>
              <w:t xml:space="preserve">, когда наименование центра питания в справочнике </w:t>
            </w:r>
            <w:r w:rsidR="00DE3201" w:rsidRPr="00A5626D">
              <w:rPr>
                <w:rFonts w:ascii="Garamond" w:hAnsi="Garamond" w:cstheme="minorHAnsi"/>
                <w:bCs/>
                <w:sz w:val="22"/>
                <w:szCs w:val="22"/>
                <w:highlight w:val="yellow"/>
              </w:rPr>
              <w:t>не соответству</w:t>
            </w:r>
            <w:r w:rsidR="00F5510F">
              <w:rPr>
                <w:rFonts w:ascii="Garamond" w:hAnsi="Garamond" w:cstheme="minorHAnsi"/>
                <w:bCs/>
                <w:sz w:val="22"/>
                <w:szCs w:val="22"/>
                <w:highlight w:val="yellow"/>
              </w:rPr>
              <w:t>е</w:t>
            </w:r>
            <w:r w:rsidR="00DE3201" w:rsidRPr="00A5626D">
              <w:rPr>
                <w:rFonts w:ascii="Garamond" w:hAnsi="Garamond" w:cstheme="minorHAnsi"/>
                <w:bCs/>
                <w:sz w:val="22"/>
                <w:szCs w:val="22"/>
                <w:highlight w:val="yellow"/>
              </w:rPr>
              <w:t>т</w:t>
            </w:r>
            <w:r w:rsidR="007C1767" w:rsidRPr="00A5626D">
              <w:rPr>
                <w:rFonts w:ascii="Garamond" w:hAnsi="Garamond" w:cstheme="minorHAnsi"/>
                <w:bCs/>
                <w:sz w:val="22"/>
                <w:szCs w:val="22"/>
                <w:highlight w:val="yellow"/>
              </w:rPr>
              <w:t xml:space="preserve"> наименовани</w:t>
            </w:r>
            <w:r w:rsidR="00DE3201" w:rsidRPr="00A5626D">
              <w:rPr>
                <w:rFonts w:ascii="Garamond" w:hAnsi="Garamond" w:cstheme="minorHAnsi"/>
                <w:bCs/>
                <w:sz w:val="22"/>
                <w:szCs w:val="22"/>
                <w:highlight w:val="yellow"/>
              </w:rPr>
              <w:t>ю</w:t>
            </w:r>
            <w:r w:rsidR="007C1767" w:rsidRPr="00A5626D">
              <w:rPr>
                <w:rFonts w:ascii="Garamond" w:hAnsi="Garamond" w:cstheme="minorHAnsi"/>
                <w:bCs/>
                <w:sz w:val="22"/>
                <w:szCs w:val="22"/>
                <w:highlight w:val="yellow"/>
              </w:rPr>
              <w:t xml:space="preserve"> точек пр</w:t>
            </w:r>
            <w:r w:rsidR="00F5510F">
              <w:rPr>
                <w:rFonts w:ascii="Garamond" w:hAnsi="Garamond" w:cstheme="minorHAnsi"/>
                <w:bCs/>
                <w:sz w:val="22"/>
                <w:szCs w:val="22"/>
                <w:highlight w:val="yellow"/>
              </w:rPr>
              <w:t>и</w:t>
            </w:r>
            <w:r w:rsidR="007C1767" w:rsidRPr="00A5626D">
              <w:rPr>
                <w:rFonts w:ascii="Garamond" w:hAnsi="Garamond" w:cstheme="minorHAnsi"/>
                <w:bCs/>
                <w:sz w:val="22"/>
                <w:szCs w:val="22"/>
                <w:highlight w:val="yellow"/>
              </w:rPr>
              <w:t>соединения и (или) точек измерений объекта регулирования, планируемы</w:t>
            </w:r>
            <w:r w:rsidR="00633420" w:rsidRPr="00A5626D">
              <w:rPr>
                <w:rFonts w:ascii="Garamond" w:hAnsi="Garamond" w:cstheme="minorHAnsi"/>
                <w:bCs/>
                <w:sz w:val="22"/>
                <w:szCs w:val="22"/>
                <w:highlight w:val="yellow"/>
              </w:rPr>
              <w:t>х</w:t>
            </w:r>
            <w:r w:rsidR="007C1767" w:rsidRPr="00A5626D">
              <w:rPr>
                <w:rFonts w:ascii="Garamond" w:hAnsi="Garamond" w:cstheme="minorHAnsi"/>
                <w:bCs/>
                <w:sz w:val="22"/>
                <w:szCs w:val="22"/>
                <w:highlight w:val="yellow"/>
              </w:rPr>
              <w:t xml:space="preserve"> к включению в ПСИ и расположенных на таком центре питания)</w:t>
            </w:r>
            <w:r w:rsidRPr="00A5626D">
              <w:rPr>
                <w:rFonts w:ascii="Garamond" w:hAnsi="Garamond" w:cstheme="minorHAnsi"/>
                <w:bCs/>
                <w:sz w:val="22"/>
                <w:szCs w:val="22"/>
              </w:rPr>
              <w:t xml:space="preserve">, до инициирования процедуры согласования ГТП (сечений коммерческого учета ФСК) и регистрации ПСИ, </w:t>
            </w:r>
            <w:r w:rsidR="000C3043" w:rsidRPr="00A5626D">
              <w:rPr>
                <w:rFonts w:ascii="Garamond" w:hAnsi="Garamond" w:cstheme="minorHAnsi"/>
                <w:sz w:val="22"/>
                <w:szCs w:val="22"/>
                <w:highlight w:val="yellow"/>
              </w:rPr>
              <w:t>регистрации</w:t>
            </w:r>
            <w:r w:rsidRPr="00A5626D">
              <w:rPr>
                <w:rFonts w:ascii="Garamond" w:hAnsi="Garamond" w:cstheme="minorHAnsi"/>
                <w:bCs/>
                <w:sz w:val="22"/>
                <w:szCs w:val="22"/>
                <w:highlight w:val="yellow"/>
              </w:rPr>
              <w:t xml:space="preserve"> объекта регулирования</w:t>
            </w:r>
            <w:r w:rsidRPr="00A5626D">
              <w:rPr>
                <w:rFonts w:ascii="Garamond" w:hAnsi="Garamond" w:cstheme="minorHAnsi"/>
                <w:bCs/>
                <w:sz w:val="22"/>
                <w:szCs w:val="22"/>
              </w:rPr>
              <w:t xml:space="preserve"> или внесения изменений в регистрационную информацию по ГТП (сечениям коммерческого учета ФСК, сечениям экспорта-импорта) </w:t>
            </w:r>
            <w:r w:rsidRPr="00A5626D">
              <w:rPr>
                <w:rFonts w:ascii="Garamond" w:hAnsi="Garamond" w:cstheme="minorHAnsi"/>
                <w:bCs/>
                <w:sz w:val="22"/>
                <w:szCs w:val="22"/>
                <w:highlight w:val="yellow"/>
              </w:rPr>
              <w:t>или объекту регулирования</w:t>
            </w:r>
            <w:r w:rsidRPr="00A5626D">
              <w:rPr>
                <w:rFonts w:ascii="Garamond" w:hAnsi="Garamond" w:cstheme="minorHAnsi"/>
                <w:bCs/>
                <w:sz w:val="22"/>
                <w:szCs w:val="22"/>
              </w:rPr>
              <w:t xml:space="preserve">, субъекту </w:t>
            </w:r>
            <w:r w:rsidRPr="00A5626D">
              <w:rPr>
                <w:rFonts w:ascii="Garamond" w:hAnsi="Garamond" w:cstheme="minorHAnsi"/>
                <w:bCs/>
                <w:sz w:val="22"/>
                <w:szCs w:val="22"/>
              </w:rPr>
              <w:lastRenderedPageBreak/>
              <w:t>оптового рынка (заявителю) необходимо направить в КО на адрес электронной почты spravka_dku@rosenergo.com заявку в электронном виде без использования ЭП по форме, опубликованной на официальном сайте АО «АТС», в разделе «Коммерческий учет», с приложением для каждого центра питания одного из следующих документов:</w:t>
            </w:r>
          </w:p>
          <w:p w14:paraId="6DDE6E41" w14:textId="2F7D5851" w:rsidR="00295C6D" w:rsidRPr="00A5626D" w:rsidRDefault="000B3419" w:rsidP="00E31AE6">
            <w:pPr>
              <w:rPr>
                <w:rFonts w:ascii="Garamond" w:hAnsi="Garamond"/>
                <w:sz w:val="22"/>
                <w:szCs w:val="22"/>
              </w:rPr>
            </w:pPr>
            <w:r w:rsidRPr="00A5626D">
              <w:rPr>
                <w:rFonts w:ascii="Garamond" w:hAnsi="Garamond" w:cstheme="minorHAnsi"/>
                <w:bCs/>
                <w:sz w:val="22"/>
                <w:szCs w:val="22"/>
                <w:lang w:val="en-US"/>
              </w:rPr>
              <w:t>…</w:t>
            </w:r>
          </w:p>
        </w:tc>
      </w:tr>
      <w:tr w:rsidR="00295C6D" w:rsidRPr="00A5626D" w14:paraId="3D566ECD" w14:textId="77777777" w:rsidTr="00647FA0">
        <w:tc>
          <w:tcPr>
            <w:tcW w:w="1060" w:type="dxa"/>
            <w:vAlign w:val="center"/>
          </w:tcPr>
          <w:p w14:paraId="5F0C6E09" w14:textId="0D56243D" w:rsidR="00295C6D" w:rsidRPr="00A5626D" w:rsidRDefault="00295C6D" w:rsidP="00E31AE6">
            <w:pPr>
              <w:widowControl w:val="0"/>
              <w:tabs>
                <w:tab w:val="left" w:pos="1134"/>
                <w:tab w:val="left" w:pos="7938"/>
              </w:tabs>
              <w:spacing w:line="22" w:lineRule="atLeast"/>
              <w:jc w:val="both"/>
              <w:rPr>
                <w:rFonts w:ascii="Garamond" w:hAnsi="Garamond"/>
                <w:b/>
                <w:sz w:val="22"/>
                <w:szCs w:val="22"/>
                <w:lang w:eastAsia="en-US"/>
              </w:rPr>
            </w:pPr>
            <w:r w:rsidRPr="00A5626D">
              <w:rPr>
                <w:rFonts w:ascii="Garamond" w:hAnsi="Garamond"/>
                <w:b/>
                <w:sz w:val="22"/>
                <w:szCs w:val="22"/>
                <w:lang w:eastAsia="en-US"/>
              </w:rPr>
              <w:lastRenderedPageBreak/>
              <w:t>Приложение 5, п.</w:t>
            </w:r>
            <w:r w:rsidR="000B3419" w:rsidRPr="00A5626D">
              <w:rPr>
                <w:rFonts w:ascii="Garamond" w:hAnsi="Garamond"/>
                <w:b/>
                <w:sz w:val="22"/>
                <w:szCs w:val="22"/>
                <w:lang w:eastAsia="en-US"/>
              </w:rPr>
              <w:t> </w:t>
            </w:r>
            <w:r w:rsidRPr="00A5626D">
              <w:rPr>
                <w:rFonts w:ascii="Garamond" w:hAnsi="Garamond"/>
                <w:b/>
                <w:sz w:val="22"/>
                <w:szCs w:val="22"/>
                <w:lang w:eastAsia="en-US"/>
              </w:rPr>
              <w:t>2.2.8.2</w:t>
            </w:r>
          </w:p>
        </w:tc>
        <w:tc>
          <w:tcPr>
            <w:tcW w:w="6662" w:type="dxa"/>
          </w:tcPr>
          <w:p w14:paraId="7AE627AF" w14:textId="77777777" w:rsidR="00295C6D" w:rsidRPr="00A5626D" w:rsidRDefault="00295C6D" w:rsidP="00E31AE6">
            <w:pPr>
              <w:spacing w:before="120" w:after="120"/>
              <w:ind w:left="33" w:right="34" w:firstLine="567"/>
              <w:jc w:val="both"/>
              <w:rPr>
                <w:rFonts w:ascii="Garamond" w:hAnsi="Garamond" w:cstheme="minorHAnsi"/>
                <w:bCs/>
                <w:sz w:val="22"/>
                <w:szCs w:val="22"/>
              </w:rPr>
            </w:pPr>
            <w:r w:rsidRPr="00A5626D">
              <w:rPr>
                <w:rFonts w:ascii="Garamond" w:hAnsi="Garamond" w:cstheme="minorHAnsi"/>
                <w:bCs/>
                <w:sz w:val="22"/>
                <w:szCs w:val="22"/>
              </w:rPr>
              <w:t>Субъект оптового рынка вправе инициировать внесение изменений в наименование центра питания и (или) наименование точек поставки / точек измерени</w:t>
            </w:r>
            <w:r w:rsidRPr="00A5626D">
              <w:rPr>
                <w:rFonts w:ascii="Garamond" w:hAnsi="Garamond" w:cstheme="minorHAnsi"/>
                <w:bCs/>
                <w:sz w:val="22"/>
                <w:szCs w:val="22"/>
                <w:highlight w:val="yellow"/>
              </w:rPr>
              <w:t>я</w:t>
            </w:r>
            <w:r w:rsidRPr="00A5626D">
              <w:rPr>
                <w:rFonts w:ascii="Garamond" w:hAnsi="Garamond" w:cstheme="minorHAnsi"/>
                <w:bCs/>
                <w:sz w:val="22"/>
                <w:szCs w:val="22"/>
              </w:rPr>
              <w:t>, расположенных на нем (в части, касающейся корректировки наименования центра питания), содержащи</w:t>
            </w:r>
            <w:r w:rsidRPr="00A5626D">
              <w:rPr>
                <w:rFonts w:ascii="Garamond" w:hAnsi="Garamond" w:cstheme="minorHAnsi"/>
                <w:bCs/>
                <w:sz w:val="22"/>
                <w:szCs w:val="22"/>
                <w:highlight w:val="yellow"/>
              </w:rPr>
              <w:t>е</w:t>
            </w:r>
            <w:r w:rsidRPr="00A5626D">
              <w:rPr>
                <w:rFonts w:ascii="Garamond" w:hAnsi="Garamond" w:cstheme="minorHAnsi"/>
                <w:bCs/>
                <w:sz w:val="22"/>
                <w:szCs w:val="22"/>
              </w:rPr>
              <w:t xml:space="preserve">ся в сформированном субъектом оптового рынка ПСИ в макете 60000 и (или) в актуальном справочнике центров питания, при инициировании процедуры согласования ГТП (сечений коммерческого учета ФСК или сечений экспорта-импорта) и регистрации ПСИ или процедуры внесения изменений в регистрационную информацию по ГТП (сечениям коммерческого учета ФСК, сечениям экспорта-импорта). </w:t>
            </w:r>
          </w:p>
          <w:p w14:paraId="6A8D4B4C" w14:textId="77777777" w:rsidR="00295C6D" w:rsidRPr="00A5626D" w:rsidRDefault="00295C6D" w:rsidP="00E31AE6">
            <w:pPr>
              <w:spacing w:before="120" w:after="120"/>
              <w:ind w:left="33" w:right="34" w:firstLine="567"/>
              <w:jc w:val="both"/>
              <w:rPr>
                <w:rFonts w:ascii="Garamond" w:hAnsi="Garamond" w:cstheme="minorHAnsi"/>
                <w:bCs/>
                <w:sz w:val="22"/>
                <w:szCs w:val="22"/>
              </w:rPr>
            </w:pPr>
            <w:r w:rsidRPr="00A5626D">
              <w:rPr>
                <w:rFonts w:ascii="Garamond" w:hAnsi="Garamond" w:cstheme="minorHAnsi"/>
                <w:bCs/>
                <w:sz w:val="22"/>
                <w:szCs w:val="22"/>
              </w:rPr>
              <w:t>В данном случае субъекту оптового рынка дополнительно к комплекту документов для согласования ГТП (сечений коммерческого учета ФСК или сечений экспорта-импорта) и регистрации ПСИ или процедуры внесения изменений в регистрационную информацию по ГТП (сечениям коммерческого учета ФСК, сечениям экспорта-импорта), предусмотренному Положением о порядке получения статуса субъекта оптового рынка и ведения реестра субъектов оптового рынка (Приложение № 1.1 к Договору о присоединении к торговой системе оптового рынка), необходимо представить в КО через ПСЗ для соответствующих центров питания один из следующих документов:</w:t>
            </w:r>
          </w:p>
          <w:p w14:paraId="498EA403" w14:textId="50BDC506" w:rsidR="00295C6D" w:rsidRPr="00A5626D" w:rsidRDefault="000B3419" w:rsidP="00E31AE6">
            <w:pPr>
              <w:spacing w:before="120" w:after="120"/>
              <w:ind w:left="33" w:right="34" w:firstLine="567"/>
              <w:jc w:val="both"/>
              <w:rPr>
                <w:rFonts w:ascii="Garamond" w:hAnsi="Garamond" w:cstheme="minorHAnsi"/>
                <w:bCs/>
                <w:sz w:val="22"/>
                <w:szCs w:val="22"/>
                <w:lang w:val="en-US"/>
              </w:rPr>
            </w:pPr>
            <w:r w:rsidRPr="00A5626D">
              <w:rPr>
                <w:rFonts w:ascii="Garamond" w:hAnsi="Garamond" w:cstheme="minorHAnsi"/>
                <w:bCs/>
                <w:sz w:val="22"/>
                <w:szCs w:val="22"/>
                <w:lang w:val="en-US"/>
              </w:rPr>
              <w:t>…</w:t>
            </w:r>
          </w:p>
        </w:tc>
        <w:tc>
          <w:tcPr>
            <w:tcW w:w="7088" w:type="dxa"/>
          </w:tcPr>
          <w:p w14:paraId="0036D52B" w14:textId="1248EF45" w:rsidR="00295C6D" w:rsidRPr="00A5626D" w:rsidRDefault="00295C6D" w:rsidP="00E31AE6">
            <w:pPr>
              <w:spacing w:before="120" w:after="120"/>
              <w:ind w:left="33" w:right="34" w:firstLine="567"/>
              <w:jc w:val="both"/>
              <w:rPr>
                <w:rFonts w:ascii="Garamond" w:hAnsi="Garamond" w:cstheme="minorHAnsi"/>
                <w:bCs/>
                <w:sz w:val="22"/>
                <w:szCs w:val="22"/>
              </w:rPr>
            </w:pPr>
            <w:r w:rsidRPr="00A5626D">
              <w:rPr>
                <w:rFonts w:ascii="Garamond" w:hAnsi="Garamond" w:cstheme="minorHAnsi"/>
                <w:bCs/>
                <w:sz w:val="22"/>
                <w:szCs w:val="22"/>
              </w:rPr>
              <w:t>Субъект оптового рынка вправе инициировать внесение изменений в наименование центра питания</w:t>
            </w:r>
            <w:r w:rsidR="00633420" w:rsidRPr="00A5626D">
              <w:rPr>
                <w:rFonts w:ascii="Garamond" w:hAnsi="Garamond" w:cstheme="minorHAnsi"/>
                <w:bCs/>
                <w:sz w:val="22"/>
                <w:szCs w:val="22"/>
              </w:rPr>
              <w:t xml:space="preserve"> </w:t>
            </w:r>
            <w:r w:rsidR="00633420" w:rsidRPr="00A5626D">
              <w:rPr>
                <w:rFonts w:ascii="Garamond" w:hAnsi="Garamond" w:cstheme="minorHAnsi"/>
                <w:bCs/>
                <w:sz w:val="22"/>
                <w:szCs w:val="22"/>
                <w:highlight w:val="yellow"/>
              </w:rPr>
              <w:t xml:space="preserve">(для объектов регулирования – в случае, когда наименование центра питания в справочнике </w:t>
            </w:r>
            <w:r w:rsidR="00DE3201" w:rsidRPr="00A5626D">
              <w:rPr>
                <w:rFonts w:ascii="Garamond" w:hAnsi="Garamond" w:cstheme="minorHAnsi"/>
                <w:bCs/>
                <w:sz w:val="22"/>
                <w:szCs w:val="22"/>
                <w:highlight w:val="yellow"/>
              </w:rPr>
              <w:t>центров питания не соответствует</w:t>
            </w:r>
            <w:r w:rsidR="00633420" w:rsidRPr="00A5626D">
              <w:rPr>
                <w:rFonts w:ascii="Garamond" w:hAnsi="Garamond" w:cstheme="minorHAnsi"/>
                <w:bCs/>
                <w:sz w:val="22"/>
                <w:szCs w:val="22"/>
                <w:highlight w:val="yellow"/>
              </w:rPr>
              <w:t xml:space="preserve"> наименовани</w:t>
            </w:r>
            <w:r w:rsidR="00DE3201" w:rsidRPr="00A5626D">
              <w:rPr>
                <w:rFonts w:ascii="Garamond" w:hAnsi="Garamond" w:cstheme="minorHAnsi"/>
                <w:bCs/>
                <w:sz w:val="22"/>
                <w:szCs w:val="22"/>
                <w:highlight w:val="yellow"/>
              </w:rPr>
              <w:t>ю</w:t>
            </w:r>
            <w:r w:rsidR="00633420" w:rsidRPr="00A5626D">
              <w:rPr>
                <w:rFonts w:ascii="Garamond" w:hAnsi="Garamond" w:cstheme="minorHAnsi"/>
                <w:bCs/>
                <w:sz w:val="22"/>
                <w:szCs w:val="22"/>
                <w:highlight w:val="yellow"/>
              </w:rPr>
              <w:t xml:space="preserve"> точек пр</w:t>
            </w:r>
            <w:r w:rsidR="00F5510F">
              <w:rPr>
                <w:rFonts w:ascii="Garamond" w:hAnsi="Garamond" w:cstheme="minorHAnsi"/>
                <w:bCs/>
                <w:sz w:val="22"/>
                <w:szCs w:val="22"/>
                <w:highlight w:val="yellow"/>
              </w:rPr>
              <w:t>и</w:t>
            </w:r>
            <w:r w:rsidR="00633420" w:rsidRPr="00A5626D">
              <w:rPr>
                <w:rFonts w:ascii="Garamond" w:hAnsi="Garamond" w:cstheme="minorHAnsi"/>
                <w:bCs/>
                <w:sz w:val="22"/>
                <w:szCs w:val="22"/>
                <w:highlight w:val="yellow"/>
              </w:rPr>
              <w:t>соединения и (или) точек измерений объекта регулирования, включенных в ПСИ и расположенных на таком центре питания)</w:t>
            </w:r>
            <w:r w:rsidRPr="00A5626D">
              <w:rPr>
                <w:rFonts w:ascii="Garamond" w:hAnsi="Garamond" w:cstheme="minorHAnsi"/>
                <w:bCs/>
                <w:sz w:val="22"/>
                <w:szCs w:val="22"/>
              </w:rPr>
              <w:t xml:space="preserve"> и (или) наименование точек поставки / </w:t>
            </w:r>
            <w:r w:rsidRPr="00A5626D">
              <w:rPr>
                <w:rFonts w:ascii="Garamond" w:hAnsi="Garamond" w:cstheme="minorHAnsi"/>
                <w:bCs/>
                <w:sz w:val="22"/>
                <w:szCs w:val="22"/>
                <w:highlight w:val="yellow"/>
              </w:rPr>
              <w:t>точек присоединения /</w:t>
            </w:r>
            <w:r w:rsidRPr="00A5626D">
              <w:rPr>
                <w:rFonts w:ascii="Garamond" w:hAnsi="Garamond" w:cstheme="minorHAnsi"/>
                <w:bCs/>
                <w:sz w:val="22"/>
                <w:szCs w:val="22"/>
              </w:rPr>
              <w:t xml:space="preserve"> точек измерени</w:t>
            </w:r>
            <w:r w:rsidRPr="00A5626D">
              <w:rPr>
                <w:rFonts w:ascii="Garamond" w:hAnsi="Garamond" w:cstheme="minorHAnsi"/>
                <w:bCs/>
                <w:sz w:val="22"/>
                <w:szCs w:val="22"/>
                <w:highlight w:val="yellow"/>
              </w:rPr>
              <w:t>й</w:t>
            </w:r>
            <w:r w:rsidRPr="00A5626D">
              <w:rPr>
                <w:rFonts w:ascii="Garamond" w:hAnsi="Garamond" w:cstheme="minorHAnsi"/>
                <w:bCs/>
                <w:sz w:val="22"/>
                <w:szCs w:val="22"/>
              </w:rPr>
              <w:t>, расположенных на нем (в части, касающейся корректировки наименования центра питания), содержащи</w:t>
            </w:r>
            <w:r w:rsidR="00A3368F" w:rsidRPr="00A5626D">
              <w:rPr>
                <w:rFonts w:ascii="Garamond" w:hAnsi="Garamond" w:cstheme="minorHAnsi"/>
                <w:bCs/>
                <w:sz w:val="22"/>
                <w:szCs w:val="22"/>
                <w:highlight w:val="yellow"/>
              </w:rPr>
              <w:t>х</w:t>
            </w:r>
            <w:r w:rsidRPr="00A5626D">
              <w:rPr>
                <w:rFonts w:ascii="Garamond" w:hAnsi="Garamond" w:cstheme="minorHAnsi"/>
                <w:bCs/>
                <w:sz w:val="22"/>
                <w:szCs w:val="22"/>
              </w:rPr>
              <w:t xml:space="preserve">ся в сформированном субъектом оптового рынка ПСИ в макете 60000 и (или) в актуальном справочнике центров питания, при инициировании процедуры согласования ГТП (сечений коммерческого учета ФСК или сечений экспорта-импорта) и регистрации ПСИ, </w:t>
            </w:r>
            <w:r w:rsidRPr="00A5626D">
              <w:rPr>
                <w:rFonts w:ascii="Garamond" w:hAnsi="Garamond" w:cstheme="minorHAnsi"/>
                <w:bCs/>
                <w:sz w:val="22"/>
                <w:szCs w:val="22"/>
                <w:highlight w:val="yellow"/>
              </w:rPr>
              <w:t xml:space="preserve">процедуры </w:t>
            </w:r>
            <w:r w:rsidR="000C3043" w:rsidRPr="00A5626D">
              <w:rPr>
                <w:rFonts w:ascii="Garamond" w:hAnsi="Garamond" w:cstheme="minorHAnsi"/>
                <w:sz w:val="22"/>
                <w:szCs w:val="22"/>
                <w:highlight w:val="yellow"/>
              </w:rPr>
              <w:t>регистрации</w:t>
            </w:r>
            <w:r w:rsidRPr="00A5626D">
              <w:rPr>
                <w:rFonts w:ascii="Garamond" w:hAnsi="Garamond" w:cstheme="minorHAnsi"/>
                <w:bCs/>
                <w:sz w:val="22"/>
                <w:szCs w:val="22"/>
                <w:highlight w:val="yellow"/>
              </w:rPr>
              <w:t xml:space="preserve"> объекта регулирования</w:t>
            </w:r>
            <w:r w:rsidRPr="00A5626D">
              <w:rPr>
                <w:rFonts w:ascii="Garamond" w:hAnsi="Garamond" w:cstheme="minorHAnsi"/>
                <w:bCs/>
                <w:sz w:val="22"/>
                <w:szCs w:val="22"/>
              </w:rPr>
              <w:t xml:space="preserve"> или процедуры внесения изменений в регистрационную информацию по ГТП (сечениям коммерческого учета ФСК, сечениям экспорта-импорта) </w:t>
            </w:r>
            <w:r w:rsidRPr="00A5626D">
              <w:rPr>
                <w:rFonts w:ascii="Garamond" w:hAnsi="Garamond" w:cstheme="minorHAnsi"/>
                <w:bCs/>
                <w:sz w:val="22"/>
                <w:szCs w:val="22"/>
                <w:highlight w:val="yellow"/>
              </w:rPr>
              <w:t>или объекту регулирования</w:t>
            </w:r>
            <w:r w:rsidRPr="00A5626D">
              <w:rPr>
                <w:rFonts w:ascii="Garamond" w:hAnsi="Garamond" w:cstheme="minorHAnsi"/>
                <w:bCs/>
                <w:sz w:val="22"/>
                <w:szCs w:val="22"/>
              </w:rPr>
              <w:t xml:space="preserve">. </w:t>
            </w:r>
          </w:p>
          <w:p w14:paraId="529C9070" w14:textId="77777777" w:rsidR="00295C6D" w:rsidRPr="00A5626D" w:rsidRDefault="00295C6D" w:rsidP="00E31AE6">
            <w:pPr>
              <w:spacing w:before="120" w:after="120"/>
              <w:ind w:left="33" w:right="34" w:firstLine="567"/>
              <w:jc w:val="both"/>
              <w:rPr>
                <w:rFonts w:ascii="Garamond" w:hAnsi="Garamond" w:cstheme="minorHAnsi"/>
                <w:bCs/>
                <w:sz w:val="22"/>
                <w:szCs w:val="22"/>
              </w:rPr>
            </w:pPr>
            <w:r w:rsidRPr="00A5626D">
              <w:rPr>
                <w:rFonts w:ascii="Garamond" w:hAnsi="Garamond" w:cstheme="minorHAnsi"/>
                <w:bCs/>
                <w:sz w:val="22"/>
                <w:szCs w:val="22"/>
              </w:rPr>
              <w:t xml:space="preserve">В данном случае субъекту оптового рынка дополнительно к комплекту документов для согласования ГТП (сечений коммерческого учета ФСК или сечений экспорта-импорта) и регистрации ПСИ, </w:t>
            </w:r>
            <w:r w:rsidR="000C3043" w:rsidRPr="00A5626D">
              <w:rPr>
                <w:rFonts w:ascii="Garamond" w:hAnsi="Garamond" w:cstheme="minorHAnsi"/>
                <w:sz w:val="22"/>
                <w:szCs w:val="22"/>
                <w:highlight w:val="yellow"/>
              </w:rPr>
              <w:t>регистрации</w:t>
            </w:r>
            <w:r w:rsidRPr="00A5626D">
              <w:rPr>
                <w:rFonts w:ascii="Garamond" w:hAnsi="Garamond" w:cstheme="minorHAnsi"/>
                <w:bCs/>
                <w:sz w:val="22"/>
                <w:szCs w:val="22"/>
                <w:highlight w:val="yellow"/>
              </w:rPr>
              <w:t xml:space="preserve"> объекта регулирования</w:t>
            </w:r>
            <w:r w:rsidRPr="00A5626D">
              <w:rPr>
                <w:rFonts w:ascii="Garamond" w:hAnsi="Garamond" w:cstheme="minorHAnsi"/>
                <w:bCs/>
                <w:sz w:val="22"/>
                <w:szCs w:val="22"/>
              </w:rPr>
              <w:t xml:space="preserve"> или процедуры внесения изменений в регистрационную информацию по ГТП (сечениям коммерческого учета ФСК, сечениям экспорта-импорта) </w:t>
            </w:r>
            <w:r w:rsidRPr="00A5626D">
              <w:rPr>
                <w:rFonts w:ascii="Garamond" w:hAnsi="Garamond" w:cstheme="minorHAnsi"/>
                <w:bCs/>
                <w:sz w:val="22"/>
                <w:szCs w:val="22"/>
                <w:highlight w:val="yellow"/>
              </w:rPr>
              <w:t>или объекту регулирования</w:t>
            </w:r>
            <w:r w:rsidRPr="00A5626D">
              <w:rPr>
                <w:rFonts w:ascii="Garamond" w:hAnsi="Garamond" w:cstheme="minorHAnsi"/>
                <w:bCs/>
                <w:sz w:val="22"/>
                <w:szCs w:val="22"/>
              </w:rPr>
              <w:t xml:space="preserve">, предусмотренному </w:t>
            </w:r>
            <w:r w:rsidRPr="00F5510F">
              <w:rPr>
                <w:rFonts w:ascii="Garamond" w:hAnsi="Garamond" w:cstheme="minorHAnsi"/>
                <w:bCs/>
                <w:i/>
                <w:sz w:val="22"/>
                <w:szCs w:val="22"/>
              </w:rPr>
              <w:t>Положением о порядке получения статуса субъекта оптового рынка и ведения реестра субъектов оптового рынка</w:t>
            </w:r>
            <w:r w:rsidRPr="00A5626D">
              <w:rPr>
                <w:rFonts w:ascii="Garamond" w:hAnsi="Garamond" w:cstheme="minorHAnsi"/>
                <w:bCs/>
                <w:sz w:val="22"/>
                <w:szCs w:val="22"/>
              </w:rPr>
              <w:t xml:space="preserve"> (Приложение № 1.1 к </w:t>
            </w:r>
            <w:r w:rsidRPr="00F5510F">
              <w:rPr>
                <w:rFonts w:ascii="Garamond" w:hAnsi="Garamond" w:cstheme="minorHAnsi"/>
                <w:bCs/>
                <w:i/>
                <w:sz w:val="22"/>
                <w:szCs w:val="22"/>
              </w:rPr>
              <w:t>Договору о присоединении к торговой системе оптового рынка</w:t>
            </w:r>
            <w:r w:rsidRPr="00A5626D">
              <w:rPr>
                <w:rFonts w:ascii="Garamond" w:hAnsi="Garamond" w:cstheme="minorHAnsi"/>
                <w:bCs/>
                <w:sz w:val="22"/>
                <w:szCs w:val="22"/>
              </w:rPr>
              <w:t>), необходимо представить в КО через ПСЗ для соответствующих центров питания один из следующих документов:</w:t>
            </w:r>
          </w:p>
          <w:p w14:paraId="5B5DECE8" w14:textId="10897067" w:rsidR="00295C6D" w:rsidRPr="00A5626D" w:rsidRDefault="000B3419" w:rsidP="00E31AE6">
            <w:pPr>
              <w:spacing w:before="120" w:after="120"/>
              <w:ind w:left="33" w:right="34" w:firstLine="567"/>
              <w:jc w:val="both"/>
              <w:rPr>
                <w:rFonts w:ascii="Garamond" w:hAnsi="Garamond" w:cstheme="minorHAnsi"/>
                <w:bCs/>
                <w:sz w:val="22"/>
                <w:szCs w:val="22"/>
              </w:rPr>
            </w:pPr>
            <w:r w:rsidRPr="00A5626D">
              <w:rPr>
                <w:rFonts w:ascii="Garamond" w:hAnsi="Garamond" w:cstheme="minorHAnsi"/>
                <w:bCs/>
                <w:sz w:val="22"/>
                <w:szCs w:val="22"/>
                <w:lang w:val="en-US"/>
              </w:rPr>
              <w:t>…</w:t>
            </w:r>
          </w:p>
        </w:tc>
      </w:tr>
      <w:tr w:rsidR="00295C6D" w:rsidRPr="00A5626D" w14:paraId="6B60841D" w14:textId="77777777" w:rsidTr="00647FA0">
        <w:tc>
          <w:tcPr>
            <w:tcW w:w="1060" w:type="dxa"/>
            <w:vAlign w:val="center"/>
          </w:tcPr>
          <w:p w14:paraId="37E5853E" w14:textId="24906C28" w:rsidR="00295C6D" w:rsidRPr="00A5626D" w:rsidRDefault="00295C6D" w:rsidP="00E31AE6">
            <w:pPr>
              <w:widowControl w:val="0"/>
              <w:tabs>
                <w:tab w:val="left" w:pos="1134"/>
                <w:tab w:val="left" w:pos="7938"/>
              </w:tabs>
              <w:spacing w:line="22" w:lineRule="atLeast"/>
              <w:jc w:val="both"/>
              <w:rPr>
                <w:rFonts w:ascii="Garamond" w:hAnsi="Garamond"/>
                <w:b/>
                <w:sz w:val="22"/>
                <w:szCs w:val="22"/>
                <w:lang w:val="en-US" w:eastAsia="en-US"/>
              </w:rPr>
            </w:pPr>
            <w:r w:rsidRPr="00A5626D">
              <w:rPr>
                <w:rFonts w:ascii="Garamond" w:hAnsi="Garamond"/>
                <w:b/>
                <w:sz w:val="22"/>
                <w:szCs w:val="22"/>
                <w:lang w:eastAsia="en-US"/>
              </w:rPr>
              <w:t>Приложение 5, п.</w:t>
            </w:r>
            <w:r w:rsidR="000B3419" w:rsidRPr="00A5626D">
              <w:rPr>
                <w:rFonts w:ascii="Garamond" w:hAnsi="Garamond"/>
                <w:b/>
                <w:sz w:val="22"/>
                <w:szCs w:val="22"/>
                <w:lang w:eastAsia="en-US"/>
              </w:rPr>
              <w:t> </w:t>
            </w:r>
            <w:r w:rsidRPr="00A5626D">
              <w:rPr>
                <w:rFonts w:ascii="Garamond" w:hAnsi="Garamond"/>
                <w:b/>
                <w:sz w:val="22"/>
                <w:szCs w:val="22"/>
                <w:lang w:eastAsia="en-US"/>
              </w:rPr>
              <w:t>2.2.8.</w:t>
            </w:r>
            <w:r w:rsidRPr="00A5626D">
              <w:rPr>
                <w:rFonts w:ascii="Garamond" w:hAnsi="Garamond"/>
                <w:b/>
                <w:sz w:val="22"/>
                <w:szCs w:val="22"/>
                <w:lang w:val="en-US" w:eastAsia="en-US"/>
              </w:rPr>
              <w:t>3</w:t>
            </w:r>
          </w:p>
        </w:tc>
        <w:tc>
          <w:tcPr>
            <w:tcW w:w="6662" w:type="dxa"/>
          </w:tcPr>
          <w:p w14:paraId="7B355C09" w14:textId="77777777" w:rsidR="00295C6D" w:rsidRPr="00A5626D" w:rsidRDefault="00295C6D" w:rsidP="00E31AE6">
            <w:pPr>
              <w:spacing w:before="120" w:after="120"/>
              <w:ind w:left="33" w:right="34" w:firstLine="567"/>
              <w:jc w:val="both"/>
              <w:rPr>
                <w:rFonts w:ascii="Garamond" w:hAnsi="Garamond" w:cstheme="minorHAnsi"/>
                <w:bCs/>
                <w:sz w:val="22"/>
                <w:szCs w:val="22"/>
              </w:rPr>
            </w:pPr>
            <w:r w:rsidRPr="00A5626D">
              <w:rPr>
                <w:rFonts w:ascii="Garamond" w:hAnsi="Garamond" w:cstheme="minorHAnsi"/>
                <w:bCs/>
                <w:sz w:val="22"/>
                <w:szCs w:val="22"/>
              </w:rPr>
              <w:t xml:space="preserve">В случае если необходимость внесения изменений в наименование центра питания и (или) точек поставки / точек </w:t>
            </w:r>
            <w:r w:rsidRPr="00A5626D">
              <w:rPr>
                <w:rFonts w:ascii="Garamond" w:hAnsi="Garamond" w:cstheme="minorHAnsi"/>
                <w:bCs/>
                <w:sz w:val="22"/>
                <w:szCs w:val="22"/>
              </w:rPr>
              <w:lastRenderedPageBreak/>
              <w:t>измерени</w:t>
            </w:r>
            <w:r w:rsidRPr="00A5626D">
              <w:rPr>
                <w:rFonts w:ascii="Garamond" w:hAnsi="Garamond" w:cstheme="minorHAnsi"/>
                <w:bCs/>
                <w:sz w:val="22"/>
                <w:szCs w:val="22"/>
                <w:highlight w:val="yellow"/>
              </w:rPr>
              <w:t>я</w:t>
            </w:r>
            <w:r w:rsidRPr="00A5626D">
              <w:rPr>
                <w:rFonts w:ascii="Garamond" w:hAnsi="Garamond" w:cstheme="minorHAnsi"/>
                <w:bCs/>
                <w:sz w:val="22"/>
                <w:szCs w:val="22"/>
              </w:rPr>
              <w:t>, расположенных на нем (в части, касающейся корректировки наименования центра питания), в приложении к ПСИ в макете 60002 и (или) справочнике ценров питания, в том числе в случаях их корректирования со стороны КО при проведении процедуры кодирования в порядке, установленном Положением о порядке получения статуса субъекта оптового рынка и ведения реестра субъектов оптового рынка (Приложение № 1.1 к Договору о присоединении к торговой системе оптового рынка), возникает после завершения процедуры согласования ГТП (сечений коммерческого учета ФСК или сечений экспорта-импорта) и регистрации ПСИ, внесение таких изменений осуществляется в порядке, предусмотренном п. 4.3.2 Положения о порядке получения статуса субъекта оптового рынка и ведения реестра субъектов оптового рынка (Приложение № 1.1 к Договору о присоединении к торговой системе оптового рынка), при условии, что субъектом вносятся изменения в регистрационную информацию только в части изменения наименования центра питания и (или) точек поставки / точек измерения, расположенных на нем (в части, касающейся наименования центра питания), с обязательным приложением в том числе нормальной схемы подстанции (станции), подтверждающей предложенное заявителем и смежным субъектом наименование, оформленной в соответствии с п. 2.2.8.2 настоящего приложения. В таком случае заявитель или смежный субъект в форме заявления на внесение изменений в регистрационную информацию, определенной п. 4.3.2 Положения о порядке получения статуса субъекта оптового рынка и ведения реестра субъектов оптового рынка (Приложение № 1.1 к Договору о присоединении к торговой системе оптового рынка), в качестве оснований для изменений в обязательном порядке указывает основание «Внесение изменений в наименование центра питания и (или) точек поставки / точек измерения, расположенных на нем (в части, касающейся корректировки наименования центра питания)».</w:t>
            </w:r>
          </w:p>
          <w:p w14:paraId="4918AE2B" w14:textId="77777777" w:rsidR="00295C6D" w:rsidRPr="00A5626D" w:rsidRDefault="00295C6D" w:rsidP="00E31AE6">
            <w:pPr>
              <w:spacing w:before="120" w:after="120"/>
              <w:ind w:left="33" w:right="34" w:firstLine="567"/>
              <w:jc w:val="both"/>
              <w:rPr>
                <w:rFonts w:ascii="Garamond" w:hAnsi="Garamond" w:cstheme="minorHAnsi"/>
                <w:bCs/>
                <w:sz w:val="22"/>
                <w:szCs w:val="22"/>
              </w:rPr>
            </w:pPr>
            <w:r w:rsidRPr="00A5626D">
              <w:rPr>
                <w:rFonts w:ascii="Garamond" w:hAnsi="Garamond" w:cstheme="minorHAnsi"/>
                <w:bCs/>
                <w:sz w:val="22"/>
                <w:szCs w:val="22"/>
              </w:rPr>
              <w:t xml:space="preserve">В ходе процедуры кодирования КО проверяет соответствие приложенной нормальной схемы подстанции (станции) требованиям п. 2.2.8.2 настоящего приложения и оценивает необходимость внесения изменений в справочник центров питания и (или) в приложение к ПСИ в макете 60002. При наличии такой необходимости вышеуказанные изменения вносятся в справочник </w:t>
            </w:r>
            <w:r w:rsidRPr="00A5626D">
              <w:rPr>
                <w:rFonts w:ascii="Garamond" w:hAnsi="Garamond" w:cstheme="minorHAnsi"/>
                <w:bCs/>
                <w:sz w:val="22"/>
                <w:szCs w:val="22"/>
              </w:rPr>
              <w:lastRenderedPageBreak/>
              <w:t>центров питания и (или) в приложение к ПСИ в макете 60002 при проведении процедуры кодирования.</w:t>
            </w:r>
          </w:p>
          <w:p w14:paraId="52DE8CD9" w14:textId="77777777" w:rsidR="00295C6D" w:rsidRPr="00A5626D" w:rsidRDefault="00295C6D" w:rsidP="00E31AE6">
            <w:pPr>
              <w:spacing w:before="120" w:after="120"/>
              <w:ind w:left="33" w:right="34" w:firstLine="567"/>
              <w:jc w:val="both"/>
              <w:rPr>
                <w:rFonts w:ascii="Garamond" w:hAnsi="Garamond" w:cstheme="minorHAnsi"/>
                <w:bCs/>
                <w:sz w:val="22"/>
                <w:szCs w:val="22"/>
              </w:rPr>
            </w:pPr>
            <w:r w:rsidRPr="00A5626D">
              <w:rPr>
                <w:rFonts w:ascii="Garamond" w:hAnsi="Garamond" w:cstheme="minorHAnsi"/>
                <w:bCs/>
                <w:sz w:val="22"/>
                <w:szCs w:val="22"/>
              </w:rPr>
              <w:t>В случае несоответствия приложенной нормальной схемы подстанции (станции) требованиям п. 2.2.8.2 настоящего приложения, или отсутствия в комплекте документов вышеуказанной схемы, или если КО не установлена необходимость внесения изменений в справочник центров питания и (или) в приложение к ПСИ в макете 60002 (в том числе по причине наличия у КО нормальной схемы подстанции (станции), содержащей иное наименование центра питания, и согласованной с СО более поздней датой), процедура кодирования завершается с отрицательным результатом.</w:t>
            </w:r>
          </w:p>
          <w:p w14:paraId="3ECE49E2" w14:textId="77777777" w:rsidR="00295C6D" w:rsidRPr="00A5626D" w:rsidRDefault="00295C6D" w:rsidP="00E31AE6">
            <w:pPr>
              <w:pStyle w:val="2"/>
              <w:numPr>
                <w:ilvl w:val="0"/>
                <w:numId w:val="0"/>
              </w:numPr>
              <w:tabs>
                <w:tab w:val="left" w:pos="1134"/>
                <w:tab w:val="left" w:pos="7938"/>
              </w:tabs>
              <w:suppressAutoHyphens w:val="0"/>
              <w:spacing w:line="22" w:lineRule="atLeast"/>
              <w:ind w:left="33" w:firstLine="629"/>
              <w:jc w:val="both"/>
              <w:rPr>
                <w:rFonts w:ascii="Garamond" w:hAnsi="Garamond" w:cstheme="minorHAnsi"/>
                <w:b w:val="0"/>
              </w:rPr>
            </w:pPr>
          </w:p>
        </w:tc>
        <w:tc>
          <w:tcPr>
            <w:tcW w:w="7088" w:type="dxa"/>
          </w:tcPr>
          <w:p w14:paraId="0AF52FE8" w14:textId="77777777" w:rsidR="00295C6D" w:rsidRPr="00A5626D" w:rsidRDefault="00295C6D" w:rsidP="00E31AE6">
            <w:pPr>
              <w:spacing w:before="120" w:after="120"/>
              <w:ind w:left="33" w:right="34" w:firstLine="567"/>
              <w:jc w:val="both"/>
              <w:rPr>
                <w:rFonts w:ascii="Garamond" w:hAnsi="Garamond" w:cstheme="minorHAnsi"/>
                <w:bCs/>
                <w:sz w:val="22"/>
                <w:szCs w:val="22"/>
              </w:rPr>
            </w:pPr>
            <w:r w:rsidRPr="00A5626D">
              <w:rPr>
                <w:rFonts w:ascii="Garamond" w:hAnsi="Garamond" w:cstheme="minorHAnsi"/>
                <w:bCs/>
                <w:sz w:val="22"/>
                <w:szCs w:val="22"/>
              </w:rPr>
              <w:lastRenderedPageBreak/>
              <w:t>В случае если необходимость внесения изменений в наименование центра питания</w:t>
            </w:r>
            <w:r w:rsidR="00633420" w:rsidRPr="00A5626D">
              <w:rPr>
                <w:rFonts w:ascii="Garamond" w:hAnsi="Garamond" w:cstheme="minorHAnsi"/>
                <w:bCs/>
                <w:sz w:val="22"/>
                <w:szCs w:val="22"/>
              </w:rPr>
              <w:t xml:space="preserve"> </w:t>
            </w:r>
            <w:r w:rsidR="00633420" w:rsidRPr="00A5626D">
              <w:rPr>
                <w:rFonts w:ascii="Garamond" w:hAnsi="Garamond" w:cstheme="minorHAnsi"/>
                <w:bCs/>
                <w:sz w:val="22"/>
                <w:szCs w:val="22"/>
                <w:highlight w:val="yellow"/>
              </w:rPr>
              <w:t>по сечениям коммерческого учета</w:t>
            </w:r>
            <w:r w:rsidR="00E4538C" w:rsidRPr="00A5626D">
              <w:rPr>
                <w:rFonts w:ascii="Garamond" w:hAnsi="Garamond" w:cstheme="minorHAnsi"/>
                <w:bCs/>
                <w:sz w:val="22"/>
                <w:szCs w:val="22"/>
                <w:highlight w:val="yellow"/>
              </w:rPr>
              <w:t xml:space="preserve"> </w:t>
            </w:r>
            <w:r w:rsidR="00633420" w:rsidRPr="00A5626D">
              <w:rPr>
                <w:rFonts w:ascii="Garamond" w:hAnsi="Garamond" w:cstheme="minorHAnsi"/>
                <w:bCs/>
                <w:sz w:val="22"/>
                <w:szCs w:val="22"/>
                <w:highlight w:val="yellow"/>
              </w:rPr>
              <w:t>/</w:t>
            </w:r>
            <w:r w:rsidR="00E4538C" w:rsidRPr="00A5626D">
              <w:rPr>
                <w:rFonts w:ascii="Garamond" w:hAnsi="Garamond" w:cstheme="minorHAnsi"/>
                <w:bCs/>
                <w:sz w:val="22"/>
                <w:szCs w:val="22"/>
                <w:highlight w:val="yellow"/>
              </w:rPr>
              <w:t xml:space="preserve"> </w:t>
            </w:r>
            <w:r w:rsidR="00633420" w:rsidRPr="00A5626D">
              <w:rPr>
                <w:rFonts w:ascii="Garamond" w:hAnsi="Garamond" w:cstheme="minorHAnsi"/>
                <w:bCs/>
                <w:sz w:val="22"/>
                <w:szCs w:val="22"/>
                <w:highlight w:val="yellow"/>
              </w:rPr>
              <w:t>ГТП генерации</w:t>
            </w:r>
            <w:r w:rsidRPr="00A5626D">
              <w:rPr>
                <w:rFonts w:ascii="Garamond" w:hAnsi="Garamond" w:cstheme="minorHAnsi"/>
                <w:bCs/>
                <w:sz w:val="22"/>
                <w:szCs w:val="22"/>
              </w:rPr>
              <w:t xml:space="preserve"> и (или) </w:t>
            </w:r>
            <w:r w:rsidRPr="00A5626D">
              <w:rPr>
                <w:rFonts w:ascii="Garamond" w:hAnsi="Garamond" w:cstheme="minorHAnsi"/>
                <w:bCs/>
                <w:sz w:val="22"/>
                <w:szCs w:val="22"/>
              </w:rPr>
              <w:lastRenderedPageBreak/>
              <w:t>точек поставки / точек измерени</w:t>
            </w:r>
            <w:r w:rsidRPr="00A5626D">
              <w:rPr>
                <w:rFonts w:ascii="Garamond" w:hAnsi="Garamond" w:cstheme="minorHAnsi"/>
                <w:bCs/>
                <w:sz w:val="22"/>
                <w:szCs w:val="22"/>
                <w:highlight w:val="yellow"/>
              </w:rPr>
              <w:t>й</w:t>
            </w:r>
            <w:r w:rsidRPr="00A5626D">
              <w:rPr>
                <w:rFonts w:ascii="Garamond" w:hAnsi="Garamond" w:cstheme="minorHAnsi"/>
                <w:bCs/>
                <w:sz w:val="22"/>
                <w:szCs w:val="22"/>
              </w:rPr>
              <w:t>, расположенных на нем (в части, касающейся корректировки наименования центра питания), в приложении к ПСИ в макете 60002 и (или) справочнике цен</w:t>
            </w:r>
            <w:r w:rsidRPr="00A5626D">
              <w:rPr>
                <w:rFonts w:ascii="Garamond" w:hAnsi="Garamond" w:cstheme="minorHAnsi"/>
                <w:bCs/>
                <w:sz w:val="22"/>
                <w:szCs w:val="22"/>
                <w:highlight w:val="yellow"/>
              </w:rPr>
              <w:t>т</w:t>
            </w:r>
            <w:r w:rsidRPr="00A5626D">
              <w:rPr>
                <w:rFonts w:ascii="Garamond" w:hAnsi="Garamond" w:cstheme="minorHAnsi"/>
                <w:bCs/>
                <w:sz w:val="22"/>
                <w:szCs w:val="22"/>
              </w:rPr>
              <w:t xml:space="preserve">ров питания, в том числе в случаях их корректирования со стороны КО при проведении процедуры кодирования в порядке, установленном </w:t>
            </w:r>
            <w:r w:rsidRPr="004371EF">
              <w:rPr>
                <w:rFonts w:ascii="Garamond" w:hAnsi="Garamond" w:cstheme="minorHAnsi"/>
                <w:bCs/>
                <w:i/>
                <w:sz w:val="22"/>
                <w:szCs w:val="22"/>
              </w:rPr>
              <w:t>Положением о порядке получения статуса субъекта оптового рынка и ведения реестра субъектов оптового рынка</w:t>
            </w:r>
            <w:r w:rsidRPr="00A5626D">
              <w:rPr>
                <w:rFonts w:ascii="Garamond" w:hAnsi="Garamond" w:cstheme="minorHAnsi"/>
                <w:bCs/>
                <w:sz w:val="22"/>
                <w:szCs w:val="22"/>
              </w:rPr>
              <w:t xml:space="preserve"> (Приложение № 1.1 к </w:t>
            </w:r>
            <w:r w:rsidRPr="004371EF">
              <w:rPr>
                <w:rFonts w:ascii="Garamond" w:hAnsi="Garamond" w:cstheme="minorHAnsi"/>
                <w:bCs/>
                <w:i/>
                <w:sz w:val="22"/>
                <w:szCs w:val="22"/>
              </w:rPr>
              <w:t>Договору о присоединении к торговой системе оптового рынка</w:t>
            </w:r>
            <w:r w:rsidRPr="00A5626D">
              <w:rPr>
                <w:rFonts w:ascii="Garamond" w:hAnsi="Garamond" w:cstheme="minorHAnsi"/>
                <w:bCs/>
                <w:sz w:val="22"/>
                <w:szCs w:val="22"/>
              </w:rPr>
              <w:t xml:space="preserve">), возникает после завершения процедуры согласования ГТП (сечений коммерческого учета ФСК или сечений экспорта-импорта) и регистрации ПСИ, внесение таких изменений осуществляется в порядке, предусмотренном п. 4.3.2 </w:t>
            </w:r>
            <w:r w:rsidRPr="004371EF">
              <w:rPr>
                <w:rFonts w:ascii="Garamond" w:hAnsi="Garamond" w:cstheme="minorHAnsi"/>
                <w:bCs/>
                <w:i/>
                <w:sz w:val="22"/>
                <w:szCs w:val="22"/>
              </w:rPr>
              <w:t>Положения о порядке получения статуса субъекта оптового рынка и ведения реестра субъектов оптового рынка</w:t>
            </w:r>
            <w:r w:rsidRPr="00A5626D">
              <w:rPr>
                <w:rFonts w:ascii="Garamond" w:hAnsi="Garamond" w:cstheme="minorHAnsi"/>
                <w:bCs/>
                <w:sz w:val="22"/>
                <w:szCs w:val="22"/>
              </w:rPr>
              <w:t xml:space="preserve"> (Приложение № 1.1 к </w:t>
            </w:r>
            <w:r w:rsidRPr="004371EF">
              <w:rPr>
                <w:rFonts w:ascii="Garamond" w:hAnsi="Garamond" w:cstheme="minorHAnsi"/>
                <w:bCs/>
                <w:i/>
                <w:sz w:val="22"/>
                <w:szCs w:val="22"/>
              </w:rPr>
              <w:t>Договору о присоединении к торговой системе оптового рынка</w:t>
            </w:r>
            <w:r w:rsidRPr="00A5626D">
              <w:rPr>
                <w:rFonts w:ascii="Garamond" w:hAnsi="Garamond" w:cstheme="minorHAnsi"/>
                <w:bCs/>
                <w:sz w:val="22"/>
                <w:szCs w:val="22"/>
              </w:rPr>
              <w:t xml:space="preserve">), при условии, что субъектом вносятся изменения в регистрационную информацию только в части изменения наименования центра питания и (или) точек поставки / точек измерения, расположенных на нем (в части, касающейся наименования центра питания), с обязательным приложением в том числе нормальной схемы подстанции (станции), подтверждающей предложенное заявителем и смежным субъектом наименование, оформленной в соответствии с п. 2.2.8.2 настоящего приложения. В таком случае заявитель или смежный субъект в форме заявления на внесение изменений в регистрационную информацию, определенной п. 4.3.2 </w:t>
            </w:r>
            <w:r w:rsidRPr="004371EF">
              <w:rPr>
                <w:rFonts w:ascii="Garamond" w:hAnsi="Garamond" w:cstheme="minorHAnsi"/>
                <w:bCs/>
                <w:i/>
                <w:sz w:val="22"/>
                <w:szCs w:val="22"/>
              </w:rPr>
              <w:t>Положения о порядке получения статуса субъекта оптового рынка и ведения реестра субъектов оптового рынка</w:t>
            </w:r>
            <w:r w:rsidRPr="00A5626D">
              <w:rPr>
                <w:rFonts w:ascii="Garamond" w:hAnsi="Garamond" w:cstheme="minorHAnsi"/>
                <w:bCs/>
                <w:sz w:val="22"/>
                <w:szCs w:val="22"/>
              </w:rPr>
              <w:t xml:space="preserve"> (Приложение № 1.1 к </w:t>
            </w:r>
            <w:r w:rsidRPr="004371EF">
              <w:rPr>
                <w:rFonts w:ascii="Garamond" w:hAnsi="Garamond" w:cstheme="minorHAnsi"/>
                <w:bCs/>
                <w:i/>
                <w:sz w:val="22"/>
                <w:szCs w:val="22"/>
              </w:rPr>
              <w:t>Договору о присоединении к торговой системе оптового рынка</w:t>
            </w:r>
            <w:r w:rsidRPr="00A5626D">
              <w:rPr>
                <w:rFonts w:ascii="Garamond" w:hAnsi="Garamond" w:cstheme="minorHAnsi"/>
                <w:bCs/>
                <w:sz w:val="22"/>
                <w:szCs w:val="22"/>
              </w:rPr>
              <w:t>), в качестве оснований для изменений в обязательном порядке указывает основание «Внесение изменений в наименование центра питания и (или) точек поставки / точек измерения, расположенных на нем (в части, касающейся корректировки наименования центра питания)».</w:t>
            </w:r>
          </w:p>
          <w:p w14:paraId="7B3B91B9" w14:textId="72CD7E92" w:rsidR="00295C6D" w:rsidRPr="00A5626D" w:rsidRDefault="00295C6D" w:rsidP="00E31AE6">
            <w:pPr>
              <w:spacing w:before="120" w:after="120"/>
              <w:ind w:left="33" w:right="34" w:firstLine="567"/>
              <w:jc w:val="both"/>
              <w:rPr>
                <w:rFonts w:ascii="Garamond" w:hAnsi="Garamond" w:cstheme="minorHAnsi"/>
                <w:bCs/>
                <w:sz w:val="22"/>
                <w:szCs w:val="22"/>
              </w:rPr>
            </w:pPr>
            <w:r w:rsidRPr="00A5626D">
              <w:rPr>
                <w:rFonts w:ascii="Garamond" w:hAnsi="Garamond" w:cstheme="minorHAnsi"/>
                <w:bCs/>
                <w:sz w:val="22"/>
                <w:szCs w:val="22"/>
                <w:highlight w:val="yellow"/>
              </w:rPr>
              <w:t>В случае если необходимость внесения изменений в наименовани</w:t>
            </w:r>
            <w:r w:rsidR="00633420" w:rsidRPr="00A5626D">
              <w:rPr>
                <w:rFonts w:ascii="Garamond" w:hAnsi="Garamond" w:cstheme="minorHAnsi"/>
                <w:bCs/>
                <w:sz w:val="22"/>
                <w:szCs w:val="22"/>
                <w:highlight w:val="yellow"/>
              </w:rPr>
              <w:t>е</w:t>
            </w:r>
            <w:r w:rsidRPr="00A5626D">
              <w:rPr>
                <w:rFonts w:ascii="Garamond" w:hAnsi="Garamond" w:cstheme="minorHAnsi"/>
                <w:bCs/>
                <w:sz w:val="22"/>
                <w:szCs w:val="22"/>
                <w:highlight w:val="yellow"/>
              </w:rPr>
              <w:t xml:space="preserve"> центра питания </w:t>
            </w:r>
            <w:r w:rsidR="00633420" w:rsidRPr="00A5626D">
              <w:rPr>
                <w:rFonts w:ascii="Garamond" w:hAnsi="Garamond" w:cstheme="minorHAnsi"/>
                <w:bCs/>
                <w:sz w:val="22"/>
                <w:szCs w:val="22"/>
                <w:highlight w:val="yellow"/>
              </w:rPr>
              <w:t>в справочнике центров питания</w:t>
            </w:r>
            <w:r w:rsidR="00DE3201" w:rsidRPr="00A5626D">
              <w:rPr>
                <w:rFonts w:ascii="Garamond" w:hAnsi="Garamond" w:cstheme="minorHAnsi"/>
                <w:bCs/>
                <w:sz w:val="22"/>
                <w:szCs w:val="22"/>
                <w:highlight w:val="yellow"/>
              </w:rPr>
              <w:t xml:space="preserve"> (в случае, когда наименование центра питания в указанном справочнике не соответствует наименованию точек пр</w:t>
            </w:r>
            <w:r w:rsidR="004371EF">
              <w:rPr>
                <w:rFonts w:ascii="Garamond" w:hAnsi="Garamond" w:cstheme="minorHAnsi"/>
                <w:bCs/>
                <w:sz w:val="22"/>
                <w:szCs w:val="22"/>
                <w:highlight w:val="yellow"/>
              </w:rPr>
              <w:t>и</w:t>
            </w:r>
            <w:r w:rsidR="00DE3201" w:rsidRPr="00A5626D">
              <w:rPr>
                <w:rFonts w:ascii="Garamond" w:hAnsi="Garamond" w:cstheme="minorHAnsi"/>
                <w:bCs/>
                <w:sz w:val="22"/>
                <w:szCs w:val="22"/>
                <w:highlight w:val="yellow"/>
              </w:rPr>
              <w:t>соединения и (или) точек измерений объекта регулирования, расположенных на таком центре питания)</w:t>
            </w:r>
            <w:r w:rsidR="00633420" w:rsidRPr="00A5626D">
              <w:rPr>
                <w:rFonts w:ascii="Garamond" w:hAnsi="Garamond" w:cstheme="minorHAnsi"/>
                <w:bCs/>
                <w:sz w:val="22"/>
                <w:szCs w:val="22"/>
                <w:highlight w:val="yellow"/>
              </w:rPr>
              <w:t xml:space="preserve"> </w:t>
            </w:r>
            <w:r w:rsidRPr="00A5626D">
              <w:rPr>
                <w:rFonts w:ascii="Garamond" w:hAnsi="Garamond" w:cstheme="minorHAnsi"/>
                <w:bCs/>
                <w:sz w:val="22"/>
                <w:szCs w:val="22"/>
                <w:highlight w:val="yellow"/>
              </w:rPr>
              <w:t>и (или) точек присоединения / точек измерений</w:t>
            </w:r>
            <w:r w:rsidR="00633420" w:rsidRPr="00A5626D">
              <w:rPr>
                <w:rFonts w:ascii="Garamond" w:hAnsi="Garamond" w:cstheme="minorHAnsi"/>
                <w:bCs/>
                <w:sz w:val="22"/>
                <w:szCs w:val="22"/>
                <w:highlight w:val="yellow"/>
              </w:rPr>
              <w:t xml:space="preserve"> объекта регулирования</w:t>
            </w:r>
            <w:r w:rsidRPr="00A5626D">
              <w:rPr>
                <w:rFonts w:ascii="Garamond" w:hAnsi="Garamond" w:cstheme="minorHAnsi"/>
                <w:bCs/>
                <w:sz w:val="22"/>
                <w:szCs w:val="22"/>
                <w:highlight w:val="yellow"/>
              </w:rPr>
              <w:t xml:space="preserve">, расположенных на нем (в части, касающейся корректировки наименования центра питания), в приложении к ПСИ в макете 60002, в том числе в случаях их корректирования со стороны КО при проведении процедуры кодирования </w:t>
            </w:r>
            <w:r w:rsidRPr="00A5626D">
              <w:rPr>
                <w:rFonts w:ascii="Garamond" w:hAnsi="Garamond" w:cstheme="minorHAnsi"/>
                <w:bCs/>
                <w:sz w:val="22"/>
                <w:szCs w:val="22"/>
                <w:highlight w:val="yellow"/>
              </w:rPr>
              <w:lastRenderedPageBreak/>
              <w:t xml:space="preserve">в порядке, установленном </w:t>
            </w:r>
            <w:r w:rsidRPr="00A5626D">
              <w:rPr>
                <w:rFonts w:ascii="Garamond" w:hAnsi="Garamond" w:cstheme="minorHAnsi"/>
                <w:bCs/>
                <w:i/>
                <w:sz w:val="22"/>
                <w:szCs w:val="22"/>
                <w:highlight w:val="yellow"/>
              </w:rPr>
              <w:t>Положением о порядке получения статуса субъекта оптового рынка и ведения реестра субъектов оптового рынка</w:t>
            </w:r>
            <w:r w:rsidRPr="00A5626D">
              <w:rPr>
                <w:rFonts w:ascii="Garamond" w:hAnsi="Garamond" w:cstheme="minorHAnsi"/>
                <w:bCs/>
                <w:sz w:val="22"/>
                <w:szCs w:val="22"/>
                <w:highlight w:val="yellow"/>
              </w:rPr>
              <w:t xml:space="preserve"> (Приложение № 1.1 к </w:t>
            </w:r>
            <w:r w:rsidRPr="00A5626D">
              <w:rPr>
                <w:rFonts w:ascii="Garamond" w:hAnsi="Garamond" w:cstheme="minorHAnsi"/>
                <w:bCs/>
                <w:i/>
                <w:sz w:val="22"/>
                <w:szCs w:val="22"/>
                <w:highlight w:val="yellow"/>
              </w:rPr>
              <w:t>Договору о присоединении к торговой системе оптового рынка</w:t>
            </w:r>
            <w:r w:rsidRPr="00A5626D">
              <w:rPr>
                <w:rFonts w:ascii="Garamond" w:hAnsi="Garamond" w:cstheme="minorHAnsi"/>
                <w:bCs/>
                <w:sz w:val="22"/>
                <w:szCs w:val="22"/>
                <w:highlight w:val="yellow"/>
              </w:rPr>
              <w:t xml:space="preserve">), возникает после завершения процедуры </w:t>
            </w:r>
            <w:r w:rsidR="000C3043" w:rsidRPr="00A5626D">
              <w:rPr>
                <w:rFonts w:ascii="Garamond" w:hAnsi="Garamond" w:cstheme="minorHAnsi"/>
                <w:bCs/>
                <w:sz w:val="22"/>
                <w:szCs w:val="22"/>
                <w:highlight w:val="yellow"/>
              </w:rPr>
              <w:t>регистрации</w:t>
            </w:r>
            <w:r w:rsidRPr="00A5626D">
              <w:rPr>
                <w:rFonts w:ascii="Garamond" w:hAnsi="Garamond" w:cstheme="minorHAnsi"/>
                <w:bCs/>
                <w:sz w:val="22"/>
                <w:szCs w:val="22"/>
                <w:highlight w:val="yellow"/>
              </w:rPr>
              <w:t xml:space="preserve"> объекта регулирования, внесение таких изменений осуществляется в порядке, предусмотренном </w:t>
            </w:r>
            <w:r w:rsidR="000C3043" w:rsidRPr="00A5626D">
              <w:rPr>
                <w:rFonts w:ascii="Garamond" w:hAnsi="Garamond" w:cstheme="minorHAnsi"/>
                <w:bCs/>
                <w:sz w:val="22"/>
                <w:szCs w:val="22"/>
                <w:highlight w:val="yellow"/>
              </w:rPr>
              <w:t>разделом</w:t>
            </w:r>
            <w:r w:rsidRPr="00A5626D">
              <w:rPr>
                <w:rFonts w:ascii="Garamond" w:hAnsi="Garamond" w:cstheme="minorHAnsi"/>
                <w:bCs/>
                <w:sz w:val="22"/>
                <w:szCs w:val="22"/>
                <w:highlight w:val="yellow"/>
              </w:rPr>
              <w:t xml:space="preserve"> </w:t>
            </w:r>
            <w:r w:rsidR="00296028" w:rsidRPr="00A5626D">
              <w:rPr>
                <w:rFonts w:ascii="Garamond" w:hAnsi="Garamond" w:cstheme="minorHAnsi"/>
                <w:bCs/>
                <w:sz w:val="22"/>
                <w:szCs w:val="22"/>
                <w:highlight w:val="yellow"/>
              </w:rPr>
              <w:t>4</w:t>
            </w:r>
            <w:r w:rsidRPr="00A5626D">
              <w:rPr>
                <w:rFonts w:ascii="Garamond" w:hAnsi="Garamond" w:cstheme="minorHAnsi"/>
                <w:bCs/>
                <w:sz w:val="22"/>
                <w:szCs w:val="22"/>
                <w:highlight w:val="yellow"/>
              </w:rPr>
              <w:t xml:space="preserve"> </w:t>
            </w:r>
            <w:r w:rsidR="008F0710" w:rsidRPr="00A5626D">
              <w:rPr>
                <w:rFonts w:ascii="Garamond" w:hAnsi="Garamond" w:cstheme="minorHAnsi"/>
                <w:bCs/>
                <w:sz w:val="22"/>
                <w:szCs w:val="22"/>
                <w:highlight w:val="yellow"/>
              </w:rPr>
              <w:t>п</w:t>
            </w:r>
            <w:r w:rsidRPr="00A5626D">
              <w:rPr>
                <w:rFonts w:ascii="Garamond" w:hAnsi="Garamond" w:cstheme="minorHAnsi"/>
                <w:bCs/>
                <w:sz w:val="22"/>
                <w:szCs w:val="22"/>
                <w:highlight w:val="yellow"/>
              </w:rPr>
              <w:t xml:space="preserve">риложения 9 к </w:t>
            </w:r>
            <w:r w:rsidRPr="00A5626D">
              <w:rPr>
                <w:rFonts w:ascii="Garamond" w:hAnsi="Garamond" w:cstheme="minorHAnsi"/>
                <w:bCs/>
                <w:i/>
                <w:sz w:val="22"/>
                <w:szCs w:val="22"/>
                <w:highlight w:val="yellow"/>
              </w:rPr>
              <w:t>Положению о порядке получения статуса субъекта оптового рынка и ведения реестра субъектов оптового рынка</w:t>
            </w:r>
            <w:r w:rsidRPr="00A5626D">
              <w:rPr>
                <w:rFonts w:ascii="Garamond" w:hAnsi="Garamond" w:cstheme="minorHAnsi"/>
                <w:bCs/>
                <w:sz w:val="22"/>
                <w:szCs w:val="22"/>
                <w:highlight w:val="yellow"/>
              </w:rPr>
              <w:t xml:space="preserve"> (Приложение № 1.1 к </w:t>
            </w:r>
            <w:r w:rsidRPr="00A5626D">
              <w:rPr>
                <w:rFonts w:ascii="Garamond" w:hAnsi="Garamond" w:cstheme="minorHAnsi"/>
                <w:bCs/>
                <w:i/>
                <w:sz w:val="22"/>
                <w:szCs w:val="22"/>
                <w:highlight w:val="yellow"/>
              </w:rPr>
              <w:t>Договору о присоединении к торговой системе оптового рынка</w:t>
            </w:r>
            <w:r w:rsidRPr="00A5626D">
              <w:rPr>
                <w:rFonts w:ascii="Garamond" w:hAnsi="Garamond" w:cstheme="minorHAnsi"/>
                <w:bCs/>
                <w:sz w:val="22"/>
                <w:szCs w:val="22"/>
                <w:highlight w:val="yellow"/>
              </w:rPr>
              <w:t>), при условии, что заявителем вносятся изменения в регистрационную информацию только в части изменения наименовани</w:t>
            </w:r>
            <w:r w:rsidR="00A3368F" w:rsidRPr="00A5626D">
              <w:rPr>
                <w:rFonts w:ascii="Garamond" w:hAnsi="Garamond" w:cstheme="minorHAnsi"/>
                <w:bCs/>
                <w:sz w:val="22"/>
                <w:szCs w:val="22"/>
                <w:highlight w:val="yellow"/>
              </w:rPr>
              <w:t>й</w:t>
            </w:r>
            <w:r w:rsidRPr="00A5626D">
              <w:rPr>
                <w:rFonts w:ascii="Garamond" w:hAnsi="Garamond" w:cstheme="minorHAnsi"/>
                <w:bCs/>
                <w:sz w:val="22"/>
                <w:szCs w:val="22"/>
                <w:highlight w:val="yellow"/>
              </w:rPr>
              <w:t xml:space="preserve"> точек присоединения / точек измерений, расположенных на </w:t>
            </w:r>
            <w:r w:rsidR="00A3368F" w:rsidRPr="00A5626D">
              <w:rPr>
                <w:rFonts w:ascii="Garamond" w:hAnsi="Garamond" w:cstheme="minorHAnsi"/>
                <w:bCs/>
                <w:sz w:val="22"/>
                <w:szCs w:val="22"/>
                <w:highlight w:val="yellow"/>
              </w:rPr>
              <w:t>центре питания</w:t>
            </w:r>
            <w:r w:rsidRPr="00A5626D">
              <w:rPr>
                <w:rFonts w:ascii="Garamond" w:hAnsi="Garamond" w:cstheme="minorHAnsi"/>
                <w:bCs/>
                <w:sz w:val="22"/>
                <w:szCs w:val="22"/>
                <w:highlight w:val="yellow"/>
              </w:rPr>
              <w:t xml:space="preserve">, с обязательным приложением в том числе нормальной схемы подстанции (станции), подтверждающей предложенное </w:t>
            </w:r>
            <w:r w:rsidR="000C3043" w:rsidRPr="00A5626D">
              <w:rPr>
                <w:rFonts w:ascii="Garamond" w:hAnsi="Garamond" w:cstheme="minorHAnsi"/>
                <w:bCs/>
                <w:sz w:val="22"/>
                <w:szCs w:val="22"/>
                <w:highlight w:val="yellow"/>
              </w:rPr>
              <w:t>агрегатором (</w:t>
            </w:r>
            <w:r w:rsidRPr="00A5626D">
              <w:rPr>
                <w:rFonts w:ascii="Garamond" w:hAnsi="Garamond" w:cstheme="minorHAnsi"/>
                <w:bCs/>
                <w:sz w:val="22"/>
                <w:szCs w:val="22"/>
                <w:highlight w:val="yellow"/>
              </w:rPr>
              <w:t>заявителем</w:t>
            </w:r>
            <w:r w:rsidR="000C3043" w:rsidRPr="00A5626D">
              <w:rPr>
                <w:rFonts w:ascii="Garamond" w:hAnsi="Garamond" w:cstheme="minorHAnsi"/>
                <w:bCs/>
                <w:sz w:val="22"/>
                <w:szCs w:val="22"/>
                <w:highlight w:val="yellow"/>
              </w:rPr>
              <w:t>)</w:t>
            </w:r>
            <w:r w:rsidRPr="00A5626D">
              <w:rPr>
                <w:rFonts w:ascii="Garamond" w:hAnsi="Garamond" w:cstheme="minorHAnsi"/>
                <w:bCs/>
                <w:sz w:val="22"/>
                <w:szCs w:val="22"/>
                <w:highlight w:val="yellow"/>
              </w:rPr>
              <w:t xml:space="preserve"> наименование, оформленной в соответствии с п. 2.2.8.2 настоящего приложения. В таком случае </w:t>
            </w:r>
            <w:r w:rsidR="002E762B" w:rsidRPr="00A5626D">
              <w:rPr>
                <w:rFonts w:ascii="Garamond" w:hAnsi="Garamond" w:cstheme="minorHAnsi"/>
                <w:bCs/>
                <w:sz w:val="22"/>
                <w:szCs w:val="22"/>
                <w:highlight w:val="yellow"/>
              </w:rPr>
              <w:t>агрегатор (</w:t>
            </w:r>
            <w:r w:rsidRPr="00A5626D">
              <w:rPr>
                <w:rFonts w:ascii="Garamond" w:hAnsi="Garamond" w:cstheme="minorHAnsi"/>
                <w:bCs/>
                <w:sz w:val="22"/>
                <w:szCs w:val="22"/>
                <w:highlight w:val="yellow"/>
              </w:rPr>
              <w:t>заявитель</w:t>
            </w:r>
            <w:r w:rsidR="002E762B" w:rsidRPr="00A5626D">
              <w:rPr>
                <w:rFonts w:ascii="Garamond" w:hAnsi="Garamond" w:cstheme="minorHAnsi"/>
                <w:bCs/>
                <w:sz w:val="22"/>
                <w:szCs w:val="22"/>
                <w:highlight w:val="yellow"/>
              </w:rPr>
              <w:t>)</w:t>
            </w:r>
            <w:r w:rsidRPr="00A5626D">
              <w:rPr>
                <w:rFonts w:ascii="Garamond" w:hAnsi="Garamond" w:cstheme="minorHAnsi"/>
                <w:bCs/>
                <w:sz w:val="22"/>
                <w:szCs w:val="22"/>
                <w:highlight w:val="yellow"/>
              </w:rPr>
              <w:t xml:space="preserve"> в форме заявления на внесение изменений в регистрационную информацию объекта регулирования, определенной </w:t>
            </w:r>
            <w:r w:rsidR="002E762B" w:rsidRPr="00A5626D">
              <w:rPr>
                <w:rFonts w:ascii="Garamond" w:hAnsi="Garamond" w:cstheme="minorHAnsi"/>
                <w:bCs/>
                <w:sz w:val="22"/>
                <w:szCs w:val="22"/>
                <w:highlight w:val="yellow"/>
              </w:rPr>
              <w:t>разделом</w:t>
            </w:r>
            <w:r w:rsidR="00296028" w:rsidRPr="00A5626D">
              <w:rPr>
                <w:rFonts w:ascii="Garamond" w:hAnsi="Garamond" w:cstheme="minorHAnsi"/>
                <w:bCs/>
                <w:sz w:val="22"/>
                <w:szCs w:val="22"/>
                <w:highlight w:val="yellow"/>
              </w:rPr>
              <w:t xml:space="preserve"> 4</w:t>
            </w:r>
            <w:r w:rsidRPr="00A5626D">
              <w:rPr>
                <w:rFonts w:ascii="Garamond" w:hAnsi="Garamond" w:cstheme="minorHAnsi"/>
                <w:bCs/>
                <w:sz w:val="22"/>
                <w:szCs w:val="22"/>
                <w:highlight w:val="yellow"/>
              </w:rPr>
              <w:t xml:space="preserve"> </w:t>
            </w:r>
            <w:r w:rsidR="008F0710" w:rsidRPr="00A5626D">
              <w:rPr>
                <w:rFonts w:ascii="Garamond" w:hAnsi="Garamond" w:cstheme="minorHAnsi"/>
                <w:bCs/>
                <w:sz w:val="22"/>
                <w:szCs w:val="22"/>
                <w:highlight w:val="yellow"/>
              </w:rPr>
              <w:t>п</w:t>
            </w:r>
            <w:r w:rsidRPr="00A5626D">
              <w:rPr>
                <w:rFonts w:ascii="Garamond" w:hAnsi="Garamond" w:cstheme="minorHAnsi"/>
                <w:bCs/>
                <w:sz w:val="22"/>
                <w:szCs w:val="22"/>
                <w:highlight w:val="yellow"/>
              </w:rPr>
              <w:t xml:space="preserve">риложения 9 к </w:t>
            </w:r>
            <w:r w:rsidRPr="00A5626D">
              <w:rPr>
                <w:rFonts w:ascii="Garamond" w:hAnsi="Garamond" w:cstheme="minorHAnsi"/>
                <w:bCs/>
                <w:i/>
                <w:sz w:val="22"/>
                <w:szCs w:val="22"/>
                <w:highlight w:val="yellow"/>
              </w:rPr>
              <w:t>Положению о порядке получения статуса субъекта оптового рынка и ведения реестра субъектов оптового рынка</w:t>
            </w:r>
            <w:r w:rsidRPr="00A5626D">
              <w:rPr>
                <w:rFonts w:ascii="Garamond" w:hAnsi="Garamond" w:cstheme="minorHAnsi"/>
                <w:bCs/>
                <w:sz w:val="22"/>
                <w:szCs w:val="22"/>
                <w:highlight w:val="yellow"/>
              </w:rPr>
              <w:t xml:space="preserve"> (Приложение № 1.1 к </w:t>
            </w:r>
            <w:r w:rsidRPr="00A5626D">
              <w:rPr>
                <w:rFonts w:ascii="Garamond" w:hAnsi="Garamond" w:cstheme="minorHAnsi"/>
                <w:bCs/>
                <w:i/>
                <w:sz w:val="22"/>
                <w:szCs w:val="22"/>
                <w:highlight w:val="yellow"/>
              </w:rPr>
              <w:t>Договору о присоединении к торговой системе оптового рынка</w:t>
            </w:r>
            <w:r w:rsidRPr="00A5626D">
              <w:rPr>
                <w:rFonts w:ascii="Garamond" w:hAnsi="Garamond" w:cstheme="minorHAnsi"/>
                <w:bCs/>
                <w:sz w:val="22"/>
                <w:szCs w:val="22"/>
                <w:highlight w:val="yellow"/>
              </w:rPr>
              <w:t xml:space="preserve">), в качестве оснований для изменений в обязательном порядке указывает основание «Внесение изменений в наименование точек присоединения / точек измерений, расположенных на </w:t>
            </w:r>
            <w:r w:rsidR="00A3368F" w:rsidRPr="00A5626D">
              <w:rPr>
                <w:rFonts w:ascii="Garamond" w:hAnsi="Garamond" w:cstheme="minorHAnsi"/>
                <w:bCs/>
                <w:sz w:val="22"/>
                <w:szCs w:val="22"/>
                <w:highlight w:val="yellow"/>
              </w:rPr>
              <w:t>центре питания</w:t>
            </w:r>
            <w:r w:rsidRPr="00A5626D">
              <w:rPr>
                <w:rFonts w:ascii="Garamond" w:hAnsi="Garamond" w:cstheme="minorHAnsi"/>
                <w:bCs/>
                <w:sz w:val="22"/>
                <w:szCs w:val="22"/>
                <w:highlight w:val="yellow"/>
              </w:rPr>
              <w:t>».</w:t>
            </w:r>
          </w:p>
          <w:p w14:paraId="37525A1F" w14:textId="77777777" w:rsidR="00295C6D" w:rsidRPr="00A5626D" w:rsidRDefault="00295C6D" w:rsidP="00E31AE6">
            <w:pPr>
              <w:spacing w:before="120" w:after="120"/>
              <w:ind w:left="33" w:right="34" w:firstLine="567"/>
              <w:jc w:val="both"/>
              <w:rPr>
                <w:rFonts w:ascii="Garamond" w:hAnsi="Garamond" w:cstheme="minorHAnsi"/>
                <w:bCs/>
                <w:sz w:val="22"/>
                <w:szCs w:val="22"/>
              </w:rPr>
            </w:pPr>
            <w:r w:rsidRPr="00A5626D">
              <w:rPr>
                <w:rFonts w:ascii="Garamond" w:hAnsi="Garamond" w:cstheme="minorHAnsi"/>
                <w:bCs/>
                <w:sz w:val="22"/>
                <w:szCs w:val="22"/>
              </w:rPr>
              <w:t>В ходе процедуры кодирования КО проверяет соответствие приложенной нормальной схемы подстанции (станции) требованиям п. 2.2.8.2 настоящего приложения и оценивает необходимость внесения изменений в справочник центров питания и (или) в приложение к ПСИ в макете 60002. При наличии такой необходимости вышеуказанные изменения вносятся в справочник центров питания и (или) в приложение к ПСИ в макете 60002 при проведении процедуры кодирования.</w:t>
            </w:r>
          </w:p>
          <w:p w14:paraId="6D583119" w14:textId="77777777" w:rsidR="00295C6D" w:rsidRPr="00A5626D" w:rsidRDefault="00295C6D" w:rsidP="00E31AE6">
            <w:pPr>
              <w:spacing w:before="120" w:after="120"/>
              <w:ind w:left="33" w:right="34" w:firstLine="567"/>
              <w:jc w:val="both"/>
              <w:rPr>
                <w:rFonts w:ascii="Garamond" w:hAnsi="Garamond" w:cstheme="minorHAnsi"/>
                <w:bCs/>
                <w:sz w:val="22"/>
                <w:szCs w:val="22"/>
              </w:rPr>
            </w:pPr>
            <w:r w:rsidRPr="00A5626D">
              <w:rPr>
                <w:rFonts w:ascii="Garamond" w:hAnsi="Garamond" w:cstheme="minorHAnsi"/>
                <w:bCs/>
                <w:sz w:val="22"/>
                <w:szCs w:val="22"/>
              </w:rPr>
              <w:t xml:space="preserve">В случае несоответствия приложенной нормальной схемы подстанции (станции) требованиям п. 2.2.8.2 настоящего приложения, или отсутствия в комплекте документов вышеуказанной схемы, или если КО не установлена необходимость внесения изменений в справочник центров питания и (или) в приложение к ПСИ в макете 60002 (в том числе по причине наличия у КО нормальной схемы подстанции (станции), содержащей иное наименование центра питания, и согласованной с СО </w:t>
            </w:r>
            <w:r w:rsidRPr="00A5626D">
              <w:rPr>
                <w:rFonts w:ascii="Garamond" w:hAnsi="Garamond" w:cstheme="minorHAnsi"/>
                <w:bCs/>
                <w:sz w:val="22"/>
                <w:szCs w:val="22"/>
              </w:rPr>
              <w:lastRenderedPageBreak/>
              <w:t>более поздней датой), процедура кодирования завершается с отрицательным результатом.</w:t>
            </w:r>
          </w:p>
        </w:tc>
      </w:tr>
      <w:tr w:rsidR="00295C6D" w:rsidRPr="00A5626D" w14:paraId="471E909C" w14:textId="77777777" w:rsidTr="00647FA0">
        <w:tc>
          <w:tcPr>
            <w:tcW w:w="1060" w:type="dxa"/>
            <w:vAlign w:val="center"/>
          </w:tcPr>
          <w:p w14:paraId="70B94C6F" w14:textId="66F002C4" w:rsidR="00295C6D" w:rsidRPr="00A5626D" w:rsidRDefault="00295C6D" w:rsidP="00E31AE6">
            <w:pPr>
              <w:widowControl w:val="0"/>
              <w:tabs>
                <w:tab w:val="left" w:pos="1134"/>
                <w:tab w:val="left" w:pos="7938"/>
              </w:tabs>
              <w:spacing w:line="22" w:lineRule="atLeast"/>
              <w:jc w:val="both"/>
              <w:rPr>
                <w:rFonts w:ascii="Garamond" w:hAnsi="Garamond"/>
                <w:b/>
                <w:sz w:val="22"/>
                <w:szCs w:val="22"/>
                <w:lang w:eastAsia="en-US"/>
              </w:rPr>
            </w:pPr>
            <w:r w:rsidRPr="00A5626D">
              <w:rPr>
                <w:rFonts w:ascii="Garamond" w:hAnsi="Garamond"/>
                <w:b/>
                <w:sz w:val="22"/>
                <w:szCs w:val="22"/>
                <w:lang w:eastAsia="en-US"/>
              </w:rPr>
              <w:lastRenderedPageBreak/>
              <w:t>Приложение 5, п.</w:t>
            </w:r>
            <w:r w:rsidR="000B3419" w:rsidRPr="00A5626D">
              <w:rPr>
                <w:rFonts w:ascii="Garamond" w:hAnsi="Garamond"/>
                <w:b/>
                <w:sz w:val="22"/>
                <w:szCs w:val="22"/>
                <w:lang w:eastAsia="en-US"/>
              </w:rPr>
              <w:t> </w:t>
            </w:r>
            <w:r w:rsidRPr="00A5626D">
              <w:rPr>
                <w:rFonts w:ascii="Garamond" w:hAnsi="Garamond"/>
                <w:b/>
                <w:sz w:val="22"/>
                <w:szCs w:val="22"/>
                <w:lang w:eastAsia="en-US"/>
              </w:rPr>
              <w:t>2.2.8.</w:t>
            </w:r>
            <w:r w:rsidRPr="00A5626D">
              <w:rPr>
                <w:rFonts w:ascii="Garamond" w:hAnsi="Garamond"/>
                <w:b/>
                <w:sz w:val="22"/>
                <w:szCs w:val="22"/>
                <w:lang w:val="en-US" w:eastAsia="en-US"/>
              </w:rPr>
              <w:t>4</w:t>
            </w:r>
          </w:p>
        </w:tc>
        <w:tc>
          <w:tcPr>
            <w:tcW w:w="6662" w:type="dxa"/>
          </w:tcPr>
          <w:p w14:paraId="0FB640ED" w14:textId="77777777" w:rsidR="00295C6D" w:rsidRPr="00A5626D" w:rsidRDefault="00295C6D" w:rsidP="00E31AE6">
            <w:pPr>
              <w:spacing w:before="120" w:after="120"/>
              <w:ind w:left="33" w:right="34" w:firstLine="567"/>
              <w:jc w:val="both"/>
              <w:rPr>
                <w:rFonts w:ascii="Garamond" w:hAnsi="Garamond" w:cstheme="minorHAnsi"/>
                <w:bCs/>
                <w:sz w:val="22"/>
                <w:szCs w:val="22"/>
              </w:rPr>
            </w:pPr>
            <w:r w:rsidRPr="00A5626D">
              <w:rPr>
                <w:rFonts w:ascii="Garamond" w:hAnsi="Garamond" w:cstheme="minorHAnsi"/>
                <w:bCs/>
                <w:sz w:val="22"/>
                <w:szCs w:val="22"/>
              </w:rPr>
              <w:t>При инициировании последующих процедур согласования ГТП (сечений коммерческого учета ФСК или сечений экспорта-импорта) и регистрации ПСИ или внесения изменений в регистрационную информацию по ГТП (сечениям коммерческого учета ФСК, сечениям экспорта-импорта) субъект оптового рынка обязан учесть выполненные КО корректировки наименований центра питания и (или) точек поставки / точек измерени</w:t>
            </w:r>
            <w:r w:rsidRPr="00A5626D">
              <w:rPr>
                <w:rFonts w:ascii="Garamond" w:hAnsi="Garamond" w:cstheme="minorHAnsi"/>
                <w:bCs/>
                <w:sz w:val="22"/>
                <w:szCs w:val="22"/>
                <w:highlight w:val="yellow"/>
              </w:rPr>
              <w:t>я</w:t>
            </w:r>
            <w:r w:rsidRPr="00A5626D">
              <w:rPr>
                <w:rFonts w:ascii="Garamond" w:hAnsi="Garamond" w:cstheme="minorHAnsi"/>
                <w:bCs/>
                <w:sz w:val="22"/>
                <w:szCs w:val="22"/>
              </w:rPr>
              <w:t>, расположенных на нем (в части, касающейся корректировки наименования центра питания), при формировании ПСИ в макете 60000 и фрагментов однолинейной схемы присоединения к внешней электрической сети, кроме следующих случаев:</w:t>
            </w:r>
          </w:p>
          <w:p w14:paraId="5DE58EA6" w14:textId="77777777" w:rsidR="00295C6D" w:rsidRPr="00A5626D" w:rsidRDefault="00295C6D" w:rsidP="00295C6D">
            <w:pPr>
              <w:numPr>
                <w:ilvl w:val="0"/>
                <w:numId w:val="280"/>
              </w:numPr>
              <w:tabs>
                <w:tab w:val="left" w:pos="960"/>
              </w:tabs>
              <w:suppressAutoHyphens w:val="0"/>
              <w:spacing w:before="120" w:after="120"/>
              <w:ind w:left="0" w:firstLine="600"/>
              <w:jc w:val="both"/>
              <w:rPr>
                <w:rFonts w:ascii="Garamond" w:hAnsi="Garamond" w:cstheme="minorHAnsi"/>
                <w:bCs/>
                <w:sz w:val="22"/>
                <w:szCs w:val="22"/>
              </w:rPr>
            </w:pPr>
            <w:r w:rsidRPr="00A5626D">
              <w:rPr>
                <w:rFonts w:ascii="Garamond" w:hAnsi="Garamond" w:cstheme="minorHAnsi"/>
                <w:bCs/>
                <w:sz w:val="22"/>
                <w:szCs w:val="22"/>
              </w:rPr>
              <w:t>субъектом оптового рынка внесены изменения в наименование центра питания до инициирования процедур согласования ГТП (сечений коммерческого учета ФСК или сечений экспорта-импорта) и регистрации ПСИ или внесения изменений в регистрационную информацию по ГТП (сечениям коммерческого учета ФСК, сечениям экспорта-импорта) в соответствии с п. 2.2.8.1 настоящего приложения;</w:t>
            </w:r>
          </w:p>
          <w:p w14:paraId="4A9E6C3E" w14:textId="77777777" w:rsidR="00295C6D" w:rsidRPr="00A5626D" w:rsidRDefault="00295C6D" w:rsidP="00295C6D">
            <w:pPr>
              <w:numPr>
                <w:ilvl w:val="0"/>
                <w:numId w:val="280"/>
              </w:numPr>
              <w:tabs>
                <w:tab w:val="left" w:pos="960"/>
              </w:tabs>
              <w:suppressAutoHyphens w:val="0"/>
              <w:spacing w:before="120" w:after="120"/>
              <w:ind w:left="0" w:firstLine="600"/>
              <w:jc w:val="both"/>
              <w:rPr>
                <w:rFonts w:ascii="Garamond" w:hAnsi="Garamond" w:cstheme="minorHAnsi"/>
                <w:bCs/>
                <w:sz w:val="22"/>
                <w:szCs w:val="22"/>
              </w:rPr>
            </w:pPr>
            <w:r w:rsidRPr="00A5626D">
              <w:rPr>
                <w:rFonts w:ascii="Garamond" w:hAnsi="Garamond" w:cstheme="minorHAnsi"/>
                <w:bCs/>
                <w:sz w:val="22"/>
                <w:szCs w:val="22"/>
              </w:rPr>
              <w:t>субъектом оптового рынка в числе документов, предоставляемых в КО при инициировании процедуры согласования ГТП (сечений коммерческого учета ФСК или сечений экспорта-импорта) и регистрации ПСИ или процедуры внесения изменений в регистрационную информацию по ГТП (сечениям коммерческого учета ФСК, сечениям экспорта-импорта), приложена в том числе нормальная схема подстанции (станции), подтверждающая предложенное заявителем и смежным субъектом наименование, оформленная в соответствии с п. 2.2.8.2 настоящего приложения;</w:t>
            </w:r>
          </w:p>
          <w:p w14:paraId="3AAB5C9E" w14:textId="77777777" w:rsidR="00295C6D" w:rsidRPr="00A5626D" w:rsidRDefault="00295C6D" w:rsidP="00295C6D">
            <w:pPr>
              <w:numPr>
                <w:ilvl w:val="0"/>
                <w:numId w:val="280"/>
              </w:numPr>
              <w:tabs>
                <w:tab w:val="left" w:pos="960"/>
              </w:tabs>
              <w:suppressAutoHyphens w:val="0"/>
              <w:spacing w:before="120" w:after="120"/>
              <w:ind w:left="0" w:firstLine="600"/>
              <w:jc w:val="both"/>
              <w:rPr>
                <w:rFonts w:ascii="Garamond" w:hAnsi="Garamond" w:cstheme="minorHAnsi"/>
                <w:bCs/>
                <w:sz w:val="22"/>
                <w:szCs w:val="22"/>
              </w:rPr>
            </w:pPr>
            <w:r w:rsidRPr="00A5626D">
              <w:rPr>
                <w:rFonts w:ascii="Garamond" w:hAnsi="Garamond" w:cstheme="minorHAnsi"/>
                <w:bCs/>
                <w:sz w:val="22"/>
                <w:szCs w:val="22"/>
              </w:rPr>
              <w:t>субъектом оптового рынка внесены изменения в регистрационную информацию с целью корректировки наименования центра питания и (или) точек поставки / точек измерени</w:t>
            </w:r>
            <w:r w:rsidRPr="00A5626D">
              <w:rPr>
                <w:rFonts w:ascii="Garamond" w:hAnsi="Garamond" w:cstheme="minorHAnsi"/>
                <w:bCs/>
                <w:sz w:val="22"/>
                <w:szCs w:val="22"/>
                <w:highlight w:val="yellow"/>
              </w:rPr>
              <w:t>я</w:t>
            </w:r>
            <w:r w:rsidRPr="00A5626D">
              <w:rPr>
                <w:rFonts w:ascii="Garamond" w:hAnsi="Garamond" w:cstheme="minorHAnsi"/>
                <w:bCs/>
                <w:sz w:val="22"/>
                <w:szCs w:val="22"/>
              </w:rPr>
              <w:t xml:space="preserve">, расположенных на нем (в части, касающейся корректировки наименования центра питания), в порядке, предусмотренном п. 4.3.2 Положения о порядке получения статуса субъекта оптового рынка и ведения реестра субъектов оптового рынка (Приложение № 1.1 к </w:t>
            </w:r>
            <w:r w:rsidRPr="00A5626D">
              <w:rPr>
                <w:rFonts w:ascii="Garamond" w:hAnsi="Garamond" w:cstheme="minorHAnsi"/>
                <w:bCs/>
                <w:sz w:val="22"/>
                <w:szCs w:val="22"/>
              </w:rPr>
              <w:lastRenderedPageBreak/>
              <w:t>Договору о присоединении к торговой системе оптового рынка), в соответствии с п. 2.2.8.3 настоящего приложения.</w:t>
            </w:r>
          </w:p>
          <w:p w14:paraId="5B0CE7EC" w14:textId="77777777" w:rsidR="00295C6D" w:rsidRPr="00A5626D" w:rsidRDefault="00295C6D" w:rsidP="00E31AE6">
            <w:pPr>
              <w:pStyle w:val="2"/>
              <w:numPr>
                <w:ilvl w:val="0"/>
                <w:numId w:val="0"/>
              </w:numPr>
              <w:tabs>
                <w:tab w:val="left" w:pos="1134"/>
                <w:tab w:val="left" w:pos="7938"/>
              </w:tabs>
              <w:suppressAutoHyphens w:val="0"/>
              <w:spacing w:line="22" w:lineRule="atLeast"/>
              <w:ind w:firstLine="629"/>
              <w:jc w:val="both"/>
              <w:rPr>
                <w:rFonts w:ascii="Garamond" w:hAnsi="Garamond" w:cstheme="minorHAnsi"/>
                <w:b w:val="0"/>
              </w:rPr>
            </w:pPr>
          </w:p>
        </w:tc>
        <w:tc>
          <w:tcPr>
            <w:tcW w:w="7088" w:type="dxa"/>
          </w:tcPr>
          <w:p w14:paraId="192A305D" w14:textId="0673894D" w:rsidR="00295C6D" w:rsidRPr="00A5626D" w:rsidRDefault="00295C6D" w:rsidP="00E31AE6">
            <w:pPr>
              <w:spacing w:before="120" w:after="120"/>
              <w:ind w:left="33" w:right="34" w:firstLine="567"/>
              <w:jc w:val="both"/>
              <w:rPr>
                <w:rFonts w:ascii="Garamond" w:hAnsi="Garamond" w:cstheme="minorHAnsi"/>
                <w:bCs/>
                <w:sz w:val="22"/>
                <w:szCs w:val="22"/>
              </w:rPr>
            </w:pPr>
            <w:r w:rsidRPr="00A5626D">
              <w:rPr>
                <w:rFonts w:ascii="Garamond" w:hAnsi="Garamond" w:cstheme="minorHAnsi"/>
                <w:bCs/>
                <w:sz w:val="22"/>
                <w:szCs w:val="22"/>
              </w:rPr>
              <w:lastRenderedPageBreak/>
              <w:t>При инициировании последующих процедур согласования ГТП (сечений коммерческого учета ФСК или сечений экспорта-импорта) и регистрации ПСИ</w:t>
            </w:r>
            <w:r w:rsidRPr="00A5626D">
              <w:rPr>
                <w:rFonts w:ascii="Garamond" w:hAnsi="Garamond" w:cstheme="minorHAnsi"/>
                <w:bCs/>
                <w:sz w:val="22"/>
                <w:szCs w:val="22"/>
                <w:highlight w:val="yellow"/>
              </w:rPr>
              <w:t>,</w:t>
            </w:r>
            <w:r w:rsidRPr="00A5626D">
              <w:rPr>
                <w:rFonts w:ascii="Garamond" w:hAnsi="Garamond" w:cstheme="minorHAnsi"/>
                <w:bCs/>
                <w:sz w:val="22"/>
                <w:szCs w:val="22"/>
              </w:rPr>
              <w:t xml:space="preserve"> </w:t>
            </w:r>
            <w:r w:rsidR="002E762B" w:rsidRPr="00A5626D">
              <w:rPr>
                <w:rFonts w:ascii="Garamond" w:hAnsi="Garamond" w:cstheme="minorHAnsi"/>
                <w:bCs/>
                <w:sz w:val="22"/>
                <w:szCs w:val="22"/>
                <w:highlight w:val="yellow"/>
              </w:rPr>
              <w:t>регистрации</w:t>
            </w:r>
            <w:r w:rsidRPr="00A5626D">
              <w:rPr>
                <w:rFonts w:ascii="Garamond" w:hAnsi="Garamond" w:cstheme="minorHAnsi"/>
                <w:bCs/>
                <w:sz w:val="22"/>
                <w:szCs w:val="22"/>
                <w:highlight w:val="yellow"/>
              </w:rPr>
              <w:t xml:space="preserve"> объекта регулирования</w:t>
            </w:r>
            <w:r w:rsidRPr="00A5626D">
              <w:rPr>
                <w:rFonts w:ascii="Garamond" w:hAnsi="Garamond" w:cstheme="minorHAnsi"/>
                <w:bCs/>
                <w:sz w:val="22"/>
                <w:szCs w:val="22"/>
              </w:rPr>
              <w:t xml:space="preserve"> или внесения изменений в регистрационную информацию по ГТП (сечениям коммерческого учета ФСК, сечениям экспорта-импорта) </w:t>
            </w:r>
            <w:r w:rsidRPr="00A5626D">
              <w:rPr>
                <w:rFonts w:ascii="Garamond" w:hAnsi="Garamond" w:cstheme="minorHAnsi"/>
                <w:bCs/>
                <w:sz w:val="22"/>
                <w:szCs w:val="22"/>
                <w:highlight w:val="yellow"/>
              </w:rPr>
              <w:t>или объекту регулирования</w:t>
            </w:r>
            <w:r w:rsidRPr="00A5626D">
              <w:rPr>
                <w:rFonts w:ascii="Garamond" w:hAnsi="Garamond" w:cstheme="minorHAnsi"/>
                <w:bCs/>
                <w:sz w:val="22"/>
                <w:szCs w:val="22"/>
              </w:rPr>
              <w:t xml:space="preserve"> субъект оптового рынка обязан учесть выполненные КО корректировки наименований центра питания и (или) точек поставки / </w:t>
            </w:r>
            <w:r w:rsidRPr="00A5626D">
              <w:rPr>
                <w:rFonts w:ascii="Garamond" w:hAnsi="Garamond" w:cstheme="minorHAnsi"/>
                <w:bCs/>
                <w:sz w:val="22"/>
                <w:szCs w:val="22"/>
                <w:highlight w:val="yellow"/>
              </w:rPr>
              <w:t>точек присоединения /</w:t>
            </w:r>
            <w:r w:rsidRPr="00A5626D">
              <w:rPr>
                <w:rFonts w:ascii="Garamond" w:hAnsi="Garamond" w:cstheme="minorHAnsi"/>
                <w:bCs/>
                <w:sz w:val="22"/>
                <w:szCs w:val="22"/>
              </w:rPr>
              <w:t xml:space="preserve"> точек измерени</w:t>
            </w:r>
            <w:r w:rsidRPr="00A5626D">
              <w:rPr>
                <w:rFonts w:ascii="Garamond" w:hAnsi="Garamond" w:cstheme="minorHAnsi"/>
                <w:bCs/>
                <w:sz w:val="22"/>
                <w:szCs w:val="22"/>
                <w:highlight w:val="yellow"/>
              </w:rPr>
              <w:t>й</w:t>
            </w:r>
            <w:r w:rsidRPr="00A5626D">
              <w:rPr>
                <w:rFonts w:ascii="Garamond" w:hAnsi="Garamond" w:cstheme="minorHAnsi"/>
                <w:bCs/>
                <w:sz w:val="22"/>
                <w:szCs w:val="22"/>
              </w:rPr>
              <w:t>, расположенных на нем (в части, касающейся корректировки наименования центра питания), при формировании ПСИ в макете 60000 и фрагментов однолинейной схемы присоединения к внешней электрической сети, кроме следующих случаев:</w:t>
            </w:r>
          </w:p>
          <w:p w14:paraId="028E1B48" w14:textId="77777777" w:rsidR="00295C6D" w:rsidRPr="00A5626D" w:rsidRDefault="00295C6D" w:rsidP="00295C6D">
            <w:pPr>
              <w:numPr>
                <w:ilvl w:val="0"/>
                <w:numId w:val="280"/>
              </w:numPr>
              <w:tabs>
                <w:tab w:val="left" w:pos="960"/>
              </w:tabs>
              <w:suppressAutoHyphens w:val="0"/>
              <w:spacing w:before="120" w:after="120"/>
              <w:ind w:left="0" w:firstLine="600"/>
              <w:jc w:val="both"/>
              <w:rPr>
                <w:rFonts w:ascii="Garamond" w:hAnsi="Garamond" w:cstheme="minorHAnsi"/>
                <w:bCs/>
                <w:sz w:val="22"/>
                <w:szCs w:val="22"/>
              </w:rPr>
            </w:pPr>
            <w:r w:rsidRPr="00A5626D">
              <w:rPr>
                <w:rFonts w:ascii="Garamond" w:hAnsi="Garamond" w:cstheme="minorHAnsi"/>
                <w:bCs/>
                <w:sz w:val="22"/>
                <w:szCs w:val="22"/>
              </w:rPr>
              <w:t xml:space="preserve">субъектом оптового рынка внесены изменения в наименование центра питания до инициирования процедур согласования ГТП (сечений коммерческого учета ФСК или сечений экспорта-импорта) и регистрации ПСИ, </w:t>
            </w:r>
            <w:r w:rsidR="002E762B" w:rsidRPr="00A5626D">
              <w:rPr>
                <w:rFonts w:ascii="Garamond" w:hAnsi="Garamond" w:cstheme="minorHAnsi"/>
                <w:bCs/>
                <w:sz w:val="22"/>
                <w:szCs w:val="22"/>
                <w:highlight w:val="yellow"/>
              </w:rPr>
              <w:t>регистрации</w:t>
            </w:r>
            <w:r w:rsidRPr="00A5626D">
              <w:rPr>
                <w:rFonts w:ascii="Garamond" w:hAnsi="Garamond" w:cstheme="minorHAnsi"/>
                <w:bCs/>
                <w:sz w:val="22"/>
                <w:szCs w:val="22"/>
                <w:highlight w:val="yellow"/>
              </w:rPr>
              <w:t xml:space="preserve"> объекта регулирования</w:t>
            </w:r>
            <w:r w:rsidRPr="00A5626D">
              <w:rPr>
                <w:rFonts w:ascii="Garamond" w:hAnsi="Garamond" w:cstheme="minorHAnsi"/>
                <w:bCs/>
                <w:sz w:val="22"/>
                <w:szCs w:val="22"/>
              </w:rPr>
              <w:t xml:space="preserve"> или внесения изменений в регистрационную информацию по ГТП (сечениям коммерческого учета ФСК, сечениям экспорта-импорта) </w:t>
            </w:r>
            <w:r w:rsidRPr="00A5626D">
              <w:rPr>
                <w:rFonts w:ascii="Garamond" w:hAnsi="Garamond" w:cstheme="minorHAnsi"/>
                <w:bCs/>
                <w:sz w:val="22"/>
                <w:szCs w:val="22"/>
                <w:highlight w:val="yellow"/>
              </w:rPr>
              <w:t>или объекту регулирования</w:t>
            </w:r>
            <w:r w:rsidRPr="00A5626D">
              <w:rPr>
                <w:rFonts w:ascii="Garamond" w:hAnsi="Garamond" w:cstheme="minorHAnsi"/>
                <w:bCs/>
                <w:sz w:val="22"/>
                <w:szCs w:val="22"/>
              </w:rPr>
              <w:t xml:space="preserve"> в соответствии с п. 2.2.8.1 настоящего приложения;</w:t>
            </w:r>
          </w:p>
          <w:p w14:paraId="20B9552D" w14:textId="77777777" w:rsidR="00295C6D" w:rsidRPr="00A5626D" w:rsidRDefault="00295C6D" w:rsidP="00295C6D">
            <w:pPr>
              <w:numPr>
                <w:ilvl w:val="0"/>
                <w:numId w:val="280"/>
              </w:numPr>
              <w:tabs>
                <w:tab w:val="left" w:pos="960"/>
              </w:tabs>
              <w:suppressAutoHyphens w:val="0"/>
              <w:spacing w:before="120" w:after="120"/>
              <w:ind w:left="0" w:firstLine="600"/>
              <w:jc w:val="both"/>
              <w:rPr>
                <w:rFonts w:ascii="Garamond" w:hAnsi="Garamond" w:cstheme="minorHAnsi"/>
                <w:bCs/>
                <w:sz w:val="22"/>
                <w:szCs w:val="22"/>
              </w:rPr>
            </w:pPr>
            <w:r w:rsidRPr="00A5626D">
              <w:rPr>
                <w:rFonts w:ascii="Garamond" w:hAnsi="Garamond" w:cstheme="minorHAnsi"/>
                <w:bCs/>
                <w:sz w:val="22"/>
                <w:szCs w:val="22"/>
              </w:rPr>
              <w:t>субъектом оптового рынка в числе документов, предоставляемых в КО при инициировании процедуры согласования ГТП (сечений коммерческого учета ФСК или сечений экспорта-импорта) и регистрации ПСИ</w:t>
            </w:r>
            <w:r w:rsidRPr="00A5626D">
              <w:rPr>
                <w:rFonts w:ascii="Garamond" w:hAnsi="Garamond" w:cstheme="minorHAnsi"/>
                <w:bCs/>
                <w:sz w:val="22"/>
                <w:szCs w:val="22"/>
                <w:highlight w:val="yellow"/>
              </w:rPr>
              <w:t>,</w:t>
            </w:r>
            <w:r w:rsidRPr="00A5626D">
              <w:rPr>
                <w:rFonts w:ascii="Garamond" w:hAnsi="Garamond" w:cstheme="minorHAnsi"/>
                <w:bCs/>
                <w:sz w:val="22"/>
                <w:szCs w:val="22"/>
              </w:rPr>
              <w:t xml:space="preserve"> </w:t>
            </w:r>
            <w:r w:rsidRPr="00A5626D">
              <w:rPr>
                <w:rFonts w:ascii="Garamond" w:hAnsi="Garamond" w:cstheme="minorHAnsi"/>
                <w:bCs/>
                <w:sz w:val="22"/>
                <w:szCs w:val="22"/>
                <w:highlight w:val="yellow"/>
              </w:rPr>
              <w:t xml:space="preserve">процедуры </w:t>
            </w:r>
            <w:r w:rsidR="002E762B" w:rsidRPr="00A5626D">
              <w:rPr>
                <w:rFonts w:ascii="Garamond" w:hAnsi="Garamond" w:cstheme="minorHAnsi"/>
                <w:bCs/>
                <w:sz w:val="22"/>
                <w:szCs w:val="22"/>
                <w:highlight w:val="yellow"/>
              </w:rPr>
              <w:t>регистрации</w:t>
            </w:r>
            <w:r w:rsidRPr="00A5626D">
              <w:rPr>
                <w:rFonts w:ascii="Garamond" w:hAnsi="Garamond" w:cstheme="minorHAnsi"/>
                <w:bCs/>
                <w:sz w:val="22"/>
                <w:szCs w:val="22"/>
                <w:highlight w:val="yellow"/>
              </w:rPr>
              <w:t xml:space="preserve"> объекта регулирования</w:t>
            </w:r>
            <w:r w:rsidRPr="00A5626D">
              <w:rPr>
                <w:rFonts w:ascii="Garamond" w:hAnsi="Garamond" w:cstheme="minorHAnsi"/>
                <w:bCs/>
                <w:sz w:val="22"/>
                <w:szCs w:val="22"/>
              </w:rPr>
              <w:t xml:space="preserve"> или процедуры внесения изменений в регистрационную информацию по ГТП (сечениям коммерческого учета ФСК, сечениям экспорта-импорта) </w:t>
            </w:r>
            <w:r w:rsidRPr="00A5626D">
              <w:rPr>
                <w:rFonts w:ascii="Garamond" w:hAnsi="Garamond" w:cstheme="minorHAnsi"/>
                <w:bCs/>
                <w:sz w:val="22"/>
                <w:szCs w:val="22"/>
                <w:highlight w:val="yellow"/>
              </w:rPr>
              <w:t>или объекту регулирования</w:t>
            </w:r>
            <w:r w:rsidRPr="00A5626D">
              <w:rPr>
                <w:rFonts w:ascii="Garamond" w:hAnsi="Garamond" w:cstheme="minorHAnsi"/>
                <w:bCs/>
                <w:sz w:val="22"/>
                <w:szCs w:val="22"/>
              </w:rPr>
              <w:t xml:space="preserve">, приложена в том числе нормальная схема подстанции (станции), подтверждающая предложенное заявителем и смежным субъектом </w:t>
            </w:r>
            <w:r w:rsidRPr="00A5626D">
              <w:rPr>
                <w:rFonts w:ascii="Garamond" w:hAnsi="Garamond" w:cstheme="minorHAnsi"/>
                <w:bCs/>
                <w:sz w:val="22"/>
                <w:szCs w:val="22"/>
                <w:highlight w:val="yellow"/>
              </w:rPr>
              <w:t>(</w:t>
            </w:r>
            <w:r w:rsidR="00C00A65" w:rsidRPr="00A5626D">
              <w:rPr>
                <w:rFonts w:ascii="Garamond" w:hAnsi="Garamond" w:cstheme="minorHAnsi"/>
                <w:bCs/>
                <w:sz w:val="22"/>
                <w:szCs w:val="22"/>
                <w:highlight w:val="yellow"/>
              </w:rPr>
              <w:t>при наличии</w:t>
            </w:r>
            <w:r w:rsidRPr="00A5626D">
              <w:rPr>
                <w:rFonts w:ascii="Garamond" w:hAnsi="Garamond" w:cstheme="minorHAnsi"/>
                <w:bCs/>
                <w:sz w:val="22"/>
                <w:szCs w:val="22"/>
                <w:highlight w:val="yellow"/>
              </w:rPr>
              <w:t>)</w:t>
            </w:r>
            <w:r w:rsidRPr="00A5626D">
              <w:rPr>
                <w:rFonts w:ascii="Garamond" w:hAnsi="Garamond" w:cstheme="minorHAnsi"/>
                <w:bCs/>
                <w:sz w:val="22"/>
                <w:szCs w:val="22"/>
              </w:rPr>
              <w:t xml:space="preserve"> наименование, оформленная в соответствии с п. 2.2.8.2 настоящего приложения;</w:t>
            </w:r>
          </w:p>
          <w:p w14:paraId="010565C9" w14:textId="77777777" w:rsidR="00295C6D" w:rsidRPr="00A5626D" w:rsidRDefault="00295C6D" w:rsidP="0049567D">
            <w:pPr>
              <w:numPr>
                <w:ilvl w:val="0"/>
                <w:numId w:val="280"/>
              </w:numPr>
              <w:tabs>
                <w:tab w:val="left" w:pos="960"/>
              </w:tabs>
              <w:suppressAutoHyphens w:val="0"/>
              <w:spacing w:before="120" w:after="120"/>
              <w:ind w:left="0" w:firstLine="600"/>
              <w:jc w:val="both"/>
              <w:rPr>
                <w:rFonts w:ascii="Garamond" w:hAnsi="Garamond" w:cstheme="minorHAnsi"/>
                <w:b/>
                <w:sz w:val="22"/>
                <w:szCs w:val="22"/>
              </w:rPr>
            </w:pPr>
            <w:r w:rsidRPr="00A5626D">
              <w:rPr>
                <w:rFonts w:ascii="Garamond" w:hAnsi="Garamond" w:cstheme="minorHAnsi"/>
                <w:bCs/>
                <w:sz w:val="22"/>
                <w:szCs w:val="22"/>
              </w:rPr>
              <w:t xml:space="preserve">субъектом оптового рынка внесены изменения в регистрационную информацию с целью корректировки наименования центра питания и (или) точек поставки / </w:t>
            </w:r>
            <w:r w:rsidRPr="00A5626D">
              <w:rPr>
                <w:rFonts w:ascii="Garamond" w:hAnsi="Garamond" w:cstheme="minorHAnsi"/>
                <w:bCs/>
                <w:sz w:val="22"/>
                <w:szCs w:val="22"/>
                <w:highlight w:val="yellow"/>
              </w:rPr>
              <w:t>точек присоединения /</w:t>
            </w:r>
            <w:r w:rsidRPr="00A5626D">
              <w:rPr>
                <w:rFonts w:ascii="Garamond" w:hAnsi="Garamond" w:cstheme="minorHAnsi"/>
                <w:bCs/>
                <w:sz w:val="22"/>
                <w:szCs w:val="22"/>
              </w:rPr>
              <w:t xml:space="preserve"> точек измерени</w:t>
            </w:r>
            <w:r w:rsidRPr="00A5626D">
              <w:rPr>
                <w:rFonts w:ascii="Garamond" w:hAnsi="Garamond" w:cstheme="minorHAnsi"/>
                <w:bCs/>
                <w:sz w:val="22"/>
                <w:szCs w:val="22"/>
                <w:highlight w:val="yellow"/>
              </w:rPr>
              <w:t>й</w:t>
            </w:r>
            <w:r w:rsidRPr="00A5626D">
              <w:rPr>
                <w:rFonts w:ascii="Garamond" w:hAnsi="Garamond" w:cstheme="minorHAnsi"/>
                <w:bCs/>
                <w:sz w:val="22"/>
                <w:szCs w:val="22"/>
              </w:rPr>
              <w:t xml:space="preserve">, расположенных на нем (в части, касающейся корректировки наименования центра питания), в порядке, предусмотренном п. 4.3.2 </w:t>
            </w:r>
            <w:r w:rsidRPr="00A5626D">
              <w:rPr>
                <w:rFonts w:ascii="Garamond" w:hAnsi="Garamond" w:cstheme="minorHAnsi"/>
                <w:bCs/>
                <w:i/>
                <w:sz w:val="22"/>
                <w:szCs w:val="22"/>
              </w:rPr>
              <w:t xml:space="preserve">Положения о порядке получения статуса субъекта оптового рынка и ведения реестра </w:t>
            </w:r>
            <w:r w:rsidRPr="00A5626D">
              <w:rPr>
                <w:rFonts w:ascii="Garamond" w:hAnsi="Garamond" w:cstheme="minorHAnsi"/>
                <w:bCs/>
                <w:i/>
                <w:sz w:val="22"/>
                <w:szCs w:val="22"/>
              </w:rPr>
              <w:lastRenderedPageBreak/>
              <w:t>субъектов оптового рынка</w:t>
            </w:r>
            <w:r w:rsidRPr="00A5626D">
              <w:rPr>
                <w:rFonts w:ascii="Garamond" w:hAnsi="Garamond" w:cstheme="minorHAnsi"/>
                <w:bCs/>
                <w:sz w:val="22"/>
                <w:szCs w:val="22"/>
              </w:rPr>
              <w:t xml:space="preserve"> (Приложение № 1.1 к </w:t>
            </w:r>
            <w:r w:rsidRPr="00A5626D">
              <w:rPr>
                <w:rFonts w:ascii="Garamond" w:hAnsi="Garamond" w:cstheme="minorHAnsi"/>
                <w:bCs/>
                <w:i/>
                <w:sz w:val="22"/>
                <w:szCs w:val="22"/>
              </w:rPr>
              <w:t>Договору о присоединении к торговой системе оптового рынка</w:t>
            </w:r>
            <w:r w:rsidRPr="00A5626D">
              <w:rPr>
                <w:rFonts w:ascii="Garamond" w:hAnsi="Garamond" w:cstheme="minorHAnsi"/>
                <w:bCs/>
                <w:sz w:val="22"/>
                <w:szCs w:val="22"/>
              </w:rPr>
              <w:t xml:space="preserve">) </w:t>
            </w:r>
            <w:r w:rsidRPr="00A5626D">
              <w:rPr>
                <w:rFonts w:ascii="Garamond" w:hAnsi="Garamond" w:cstheme="minorHAnsi"/>
                <w:bCs/>
                <w:sz w:val="22"/>
                <w:szCs w:val="22"/>
                <w:highlight w:val="yellow"/>
              </w:rPr>
              <w:t xml:space="preserve">или </w:t>
            </w:r>
            <w:r w:rsidR="002E762B" w:rsidRPr="00A5626D">
              <w:rPr>
                <w:rFonts w:ascii="Garamond" w:hAnsi="Garamond" w:cstheme="minorHAnsi"/>
                <w:bCs/>
                <w:sz w:val="22"/>
                <w:szCs w:val="22"/>
                <w:highlight w:val="yellow"/>
              </w:rPr>
              <w:t xml:space="preserve">разделом </w:t>
            </w:r>
            <w:r w:rsidR="0049567D" w:rsidRPr="00A5626D">
              <w:rPr>
                <w:rFonts w:ascii="Garamond" w:hAnsi="Garamond" w:cstheme="minorHAnsi"/>
                <w:bCs/>
                <w:sz w:val="22"/>
                <w:szCs w:val="22"/>
                <w:highlight w:val="yellow"/>
              </w:rPr>
              <w:t>4</w:t>
            </w:r>
            <w:r w:rsidRPr="00A5626D">
              <w:rPr>
                <w:rFonts w:ascii="Garamond" w:hAnsi="Garamond" w:cstheme="minorHAnsi"/>
                <w:bCs/>
                <w:sz w:val="22"/>
                <w:szCs w:val="22"/>
                <w:highlight w:val="yellow"/>
              </w:rPr>
              <w:t xml:space="preserve"> </w:t>
            </w:r>
            <w:r w:rsidR="008F0710" w:rsidRPr="00A5626D">
              <w:rPr>
                <w:rFonts w:ascii="Garamond" w:hAnsi="Garamond" w:cstheme="minorHAnsi"/>
                <w:bCs/>
                <w:sz w:val="22"/>
                <w:szCs w:val="22"/>
                <w:highlight w:val="yellow"/>
              </w:rPr>
              <w:t>п</w:t>
            </w:r>
            <w:r w:rsidRPr="00A5626D">
              <w:rPr>
                <w:rFonts w:ascii="Garamond" w:hAnsi="Garamond" w:cstheme="minorHAnsi"/>
                <w:bCs/>
                <w:sz w:val="22"/>
                <w:szCs w:val="22"/>
                <w:highlight w:val="yellow"/>
              </w:rPr>
              <w:t xml:space="preserve">риложения 9 к </w:t>
            </w:r>
            <w:r w:rsidRPr="00A5626D">
              <w:rPr>
                <w:rFonts w:ascii="Garamond" w:hAnsi="Garamond" w:cstheme="minorHAnsi"/>
                <w:bCs/>
                <w:i/>
                <w:sz w:val="22"/>
                <w:szCs w:val="22"/>
                <w:highlight w:val="yellow"/>
              </w:rPr>
              <w:t>Положению о порядке получения статуса субъекта оптового рынка и ведения реестра субъектов оптового рынка</w:t>
            </w:r>
            <w:r w:rsidRPr="00A5626D">
              <w:rPr>
                <w:rFonts w:ascii="Garamond" w:hAnsi="Garamond" w:cstheme="minorHAnsi"/>
                <w:bCs/>
                <w:sz w:val="22"/>
                <w:szCs w:val="22"/>
                <w:highlight w:val="yellow"/>
              </w:rPr>
              <w:t xml:space="preserve"> (Приложение № 1.1 к </w:t>
            </w:r>
            <w:r w:rsidRPr="00A5626D">
              <w:rPr>
                <w:rFonts w:ascii="Garamond" w:hAnsi="Garamond" w:cstheme="minorHAnsi"/>
                <w:bCs/>
                <w:i/>
                <w:sz w:val="22"/>
                <w:szCs w:val="22"/>
                <w:highlight w:val="yellow"/>
              </w:rPr>
              <w:t>Договору о присоединении к торговой системе оптового рынка</w:t>
            </w:r>
            <w:r w:rsidRPr="00A5626D">
              <w:rPr>
                <w:rFonts w:ascii="Garamond" w:hAnsi="Garamond" w:cstheme="minorHAnsi"/>
                <w:bCs/>
                <w:sz w:val="22"/>
                <w:szCs w:val="22"/>
                <w:highlight w:val="yellow"/>
              </w:rPr>
              <w:t>)</w:t>
            </w:r>
            <w:r w:rsidRPr="00A5626D">
              <w:rPr>
                <w:rFonts w:ascii="Garamond" w:hAnsi="Garamond" w:cstheme="minorHAnsi"/>
                <w:bCs/>
                <w:sz w:val="22"/>
                <w:szCs w:val="22"/>
              </w:rPr>
              <w:t>, в соответствии с п. 2.2.8.3 настоящего приложения.</w:t>
            </w:r>
            <w:r w:rsidRPr="00A5626D">
              <w:rPr>
                <w:rFonts w:ascii="Garamond" w:hAnsi="Garamond" w:cstheme="minorHAnsi"/>
                <w:bCs/>
                <w:sz w:val="22"/>
                <w:szCs w:val="22"/>
                <w:highlight w:val="yellow"/>
              </w:rPr>
              <w:t xml:space="preserve"> </w:t>
            </w:r>
          </w:p>
        </w:tc>
      </w:tr>
      <w:tr w:rsidR="003A630D" w:rsidRPr="00A5626D" w14:paraId="21490B1F" w14:textId="77777777" w:rsidTr="00647FA0">
        <w:tc>
          <w:tcPr>
            <w:tcW w:w="1060" w:type="dxa"/>
            <w:vAlign w:val="center"/>
          </w:tcPr>
          <w:p w14:paraId="7A9E7A2D" w14:textId="639ECA0B" w:rsidR="003A630D" w:rsidRPr="00A5626D" w:rsidRDefault="003A630D" w:rsidP="00E31AE6">
            <w:pPr>
              <w:widowControl w:val="0"/>
              <w:tabs>
                <w:tab w:val="left" w:pos="1134"/>
                <w:tab w:val="left" w:pos="7938"/>
              </w:tabs>
              <w:spacing w:line="22" w:lineRule="atLeast"/>
              <w:jc w:val="both"/>
              <w:rPr>
                <w:rFonts w:ascii="Garamond" w:hAnsi="Garamond"/>
                <w:b/>
                <w:sz w:val="22"/>
                <w:szCs w:val="22"/>
                <w:lang w:eastAsia="en-US"/>
              </w:rPr>
            </w:pPr>
            <w:r w:rsidRPr="00A5626D">
              <w:rPr>
                <w:rFonts w:ascii="Garamond" w:hAnsi="Garamond"/>
                <w:b/>
                <w:sz w:val="22"/>
                <w:szCs w:val="22"/>
                <w:lang w:eastAsia="en-US"/>
              </w:rPr>
              <w:lastRenderedPageBreak/>
              <w:t>Приложение 5, п.</w:t>
            </w:r>
            <w:r w:rsidR="000B3419" w:rsidRPr="00A5626D">
              <w:rPr>
                <w:rFonts w:ascii="Garamond" w:hAnsi="Garamond"/>
                <w:b/>
                <w:sz w:val="22"/>
                <w:szCs w:val="22"/>
                <w:lang w:eastAsia="en-US"/>
              </w:rPr>
              <w:t> </w:t>
            </w:r>
            <w:r w:rsidRPr="00A5626D">
              <w:rPr>
                <w:rFonts w:ascii="Garamond" w:hAnsi="Garamond"/>
                <w:b/>
                <w:sz w:val="22"/>
                <w:szCs w:val="22"/>
                <w:lang w:eastAsia="en-US"/>
              </w:rPr>
              <w:t>2.2.8.</w:t>
            </w:r>
            <w:r w:rsidRPr="00A5626D">
              <w:rPr>
                <w:rFonts w:ascii="Garamond" w:hAnsi="Garamond"/>
                <w:b/>
                <w:sz w:val="22"/>
                <w:szCs w:val="22"/>
                <w:lang w:val="en-US" w:eastAsia="en-US"/>
              </w:rPr>
              <w:t>5</w:t>
            </w:r>
          </w:p>
        </w:tc>
        <w:tc>
          <w:tcPr>
            <w:tcW w:w="6662" w:type="dxa"/>
          </w:tcPr>
          <w:p w14:paraId="2CC1FCEC" w14:textId="77777777" w:rsidR="003A630D" w:rsidRPr="00A5626D" w:rsidRDefault="008F0710" w:rsidP="00E31AE6">
            <w:pPr>
              <w:spacing w:before="120" w:after="120"/>
              <w:ind w:left="33" w:right="34" w:firstLine="567"/>
              <w:jc w:val="both"/>
              <w:rPr>
                <w:rFonts w:ascii="Garamond" w:hAnsi="Garamond" w:cstheme="minorHAnsi"/>
                <w:b/>
                <w:bCs/>
                <w:sz w:val="22"/>
                <w:szCs w:val="22"/>
              </w:rPr>
            </w:pPr>
            <w:r w:rsidRPr="00A5626D">
              <w:rPr>
                <w:rFonts w:ascii="Garamond" w:hAnsi="Garamond" w:cstheme="minorHAnsi"/>
                <w:b/>
                <w:bCs/>
                <w:sz w:val="22"/>
                <w:szCs w:val="22"/>
              </w:rPr>
              <w:t>Добавить пункт</w:t>
            </w:r>
          </w:p>
        </w:tc>
        <w:tc>
          <w:tcPr>
            <w:tcW w:w="7088" w:type="dxa"/>
          </w:tcPr>
          <w:p w14:paraId="2910A4DB" w14:textId="79AE4360" w:rsidR="003A630D" w:rsidRPr="00A5626D" w:rsidRDefault="003A630D" w:rsidP="00941E81">
            <w:pPr>
              <w:spacing w:before="120" w:after="120"/>
              <w:ind w:left="33" w:right="34" w:firstLine="567"/>
              <w:jc w:val="both"/>
              <w:rPr>
                <w:rFonts w:ascii="Garamond" w:hAnsi="Garamond" w:cstheme="minorHAnsi"/>
                <w:sz w:val="22"/>
                <w:szCs w:val="22"/>
                <w:highlight w:val="yellow"/>
              </w:rPr>
            </w:pPr>
            <w:r w:rsidRPr="00A5626D">
              <w:rPr>
                <w:rFonts w:ascii="Garamond" w:hAnsi="Garamond" w:cstheme="minorHAnsi"/>
                <w:sz w:val="22"/>
                <w:szCs w:val="22"/>
                <w:highlight w:val="yellow"/>
              </w:rPr>
              <w:t>В случае если точка присоединения и (или) точка измерений объекта регулирования, планируемая к включению в ПСИ, расположена на центре питания и при этом в справочнике центров питания отсутствует такой центр питания, агрегатор</w:t>
            </w:r>
            <w:r w:rsidR="00941E81" w:rsidRPr="00A5626D">
              <w:rPr>
                <w:rFonts w:ascii="Garamond" w:hAnsi="Garamond" w:cstheme="minorHAnsi"/>
                <w:sz w:val="22"/>
                <w:szCs w:val="22"/>
                <w:highlight w:val="yellow"/>
              </w:rPr>
              <w:t>у</w:t>
            </w:r>
            <w:r w:rsidR="00941E81" w:rsidRPr="00A5626D">
              <w:rPr>
                <w:rFonts w:ascii="Garamond" w:hAnsi="Garamond"/>
                <w:sz w:val="22"/>
                <w:szCs w:val="22"/>
                <w:highlight w:val="yellow"/>
              </w:rPr>
              <w:t xml:space="preserve"> </w:t>
            </w:r>
            <w:r w:rsidR="00941E81" w:rsidRPr="00A5626D">
              <w:rPr>
                <w:rFonts w:ascii="Garamond" w:hAnsi="Garamond" w:cstheme="minorHAnsi"/>
                <w:sz w:val="22"/>
                <w:szCs w:val="22"/>
                <w:highlight w:val="yellow"/>
              </w:rPr>
              <w:t>необходимо направить в КО заявку на добавление его в справочник центров питания в порядке, предусмотренном п.</w:t>
            </w:r>
            <w:r w:rsidR="00C00A65" w:rsidRPr="00A5626D">
              <w:rPr>
                <w:rFonts w:ascii="Garamond" w:hAnsi="Garamond" w:cstheme="minorHAnsi"/>
                <w:sz w:val="22"/>
                <w:szCs w:val="22"/>
                <w:highlight w:val="yellow"/>
              </w:rPr>
              <w:t xml:space="preserve"> </w:t>
            </w:r>
            <w:r w:rsidR="00941E81" w:rsidRPr="00A5626D">
              <w:rPr>
                <w:rFonts w:ascii="Garamond" w:hAnsi="Garamond" w:cstheme="minorHAnsi"/>
                <w:sz w:val="22"/>
                <w:szCs w:val="22"/>
                <w:highlight w:val="yellow"/>
              </w:rPr>
              <w:t xml:space="preserve">2.2.8.1 настоящего </w:t>
            </w:r>
            <w:r w:rsidR="002B0CE1">
              <w:rPr>
                <w:rFonts w:ascii="Garamond" w:hAnsi="Garamond" w:cstheme="minorHAnsi"/>
                <w:sz w:val="22"/>
                <w:szCs w:val="22"/>
                <w:highlight w:val="yellow"/>
              </w:rPr>
              <w:t>п</w:t>
            </w:r>
            <w:r w:rsidR="00941E81" w:rsidRPr="00A5626D">
              <w:rPr>
                <w:rFonts w:ascii="Garamond" w:hAnsi="Garamond" w:cstheme="minorHAnsi"/>
                <w:sz w:val="22"/>
                <w:szCs w:val="22"/>
                <w:highlight w:val="yellow"/>
              </w:rPr>
              <w:t>риложения.</w:t>
            </w:r>
          </w:p>
          <w:p w14:paraId="7E912518" w14:textId="59A06C7F" w:rsidR="00941E81" w:rsidRPr="00A5626D" w:rsidRDefault="00941E81" w:rsidP="002B0CE1">
            <w:pPr>
              <w:spacing w:before="120" w:after="120"/>
              <w:ind w:left="33" w:right="34" w:firstLine="567"/>
              <w:jc w:val="both"/>
              <w:rPr>
                <w:rFonts w:ascii="Garamond" w:hAnsi="Garamond" w:cstheme="minorHAnsi"/>
                <w:bCs/>
                <w:sz w:val="22"/>
                <w:szCs w:val="22"/>
              </w:rPr>
            </w:pPr>
            <w:r w:rsidRPr="00A5626D">
              <w:rPr>
                <w:rFonts w:ascii="Garamond" w:hAnsi="Garamond" w:cstheme="minorHAnsi"/>
                <w:sz w:val="22"/>
                <w:szCs w:val="22"/>
                <w:highlight w:val="yellow"/>
              </w:rPr>
              <w:t>В случае если точка присоединения и (или) точка измерений объекта регулирования, включенная (планируемая к включению) в ПСИ, расположена на центре питания и при этом наименовани</w:t>
            </w:r>
            <w:r w:rsidR="00C00A65" w:rsidRPr="00A5626D">
              <w:rPr>
                <w:rFonts w:ascii="Garamond" w:hAnsi="Garamond" w:cstheme="minorHAnsi"/>
                <w:sz w:val="22"/>
                <w:szCs w:val="22"/>
                <w:highlight w:val="yellow"/>
              </w:rPr>
              <w:t>е</w:t>
            </w:r>
            <w:r w:rsidRPr="00A5626D">
              <w:rPr>
                <w:rFonts w:ascii="Garamond" w:hAnsi="Garamond" w:cstheme="minorHAnsi"/>
                <w:sz w:val="22"/>
                <w:szCs w:val="22"/>
                <w:highlight w:val="yellow"/>
              </w:rPr>
              <w:t xml:space="preserve"> такого центра питания в справочнике центров питания</w:t>
            </w:r>
            <w:r w:rsidR="00C00A65" w:rsidRPr="00A5626D">
              <w:rPr>
                <w:rFonts w:ascii="Garamond" w:hAnsi="Garamond" w:cstheme="minorHAnsi"/>
                <w:sz w:val="22"/>
                <w:szCs w:val="22"/>
                <w:highlight w:val="yellow"/>
              </w:rPr>
              <w:t xml:space="preserve"> не соответствует наименованию вышеуказанной точки</w:t>
            </w:r>
            <w:r w:rsidR="009B5F03" w:rsidRPr="00A5626D">
              <w:rPr>
                <w:rFonts w:ascii="Garamond" w:hAnsi="Garamond" w:cstheme="minorHAnsi"/>
                <w:sz w:val="22"/>
                <w:szCs w:val="22"/>
                <w:highlight w:val="yellow"/>
              </w:rPr>
              <w:t xml:space="preserve"> </w:t>
            </w:r>
            <w:r w:rsidR="00C00A65" w:rsidRPr="00A5626D">
              <w:rPr>
                <w:rFonts w:ascii="Garamond" w:hAnsi="Garamond" w:cstheme="minorHAnsi"/>
                <w:sz w:val="22"/>
                <w:szCs w:val="22"/>
                <w:highlight w:val="yellow"/>
              </w:rPr>
              <w:t>присоединения и (или) точки измерений</w:t>
            </w:r>
            <w:r w:rsidRPr="00A5626D">
              <w:rPr>
                <w:rFonts w:ascii="Garamond" w:hAnsi="Garamond" w:cstheme="minorHAnsi"/>
                <w:sz w:val="22"/>
                <w:szCs w:val="22"/>
                <w:highlight w:val="yellow"/>
              </w:rPr>
              <w:t>, агрегатору</w:t>
            </w:r>
            <w:r w:rsidRPr="00A5626D">
              <w:rPr>
                <w:rFonts w:ascii="Garamond" w:hAnsi="Garamond"/>
                <w:sz w:val="22"/>
                <w:szCs w:val="22"/>
                <w:highlight w:val="yellow"/>
              </w:rPr>
              <w:t xml:space="preserve"> </w:t>
            </w:r>
            <w:r w:rsidRPr="00A5626D">
              <w:rPr>
                <w:rFonts w:ascii="Garamond" w:hAnsi="Garamond" w:cstheme="minorHAnsi"/>
                <w:sz w:val="22"/>
                <w:szCs w:val="22"/>
                <w:highlight w:val="yellow"/>
              </w:rPr>
              <w:t xml:space="preserve">необходимо инициировать внесение соответствующих изменений в наименование центра питания </w:t>
            </w:r>
            <w:r w:rsidR="00C00A65" w:rsidRPr="00A5626D">
              <w:rPr>
                <w:rFonts w:ascii="Garamond" w:hAnsi="Garamond" w:cstheme="minorHAnsi"/>
                <w:sz w:val="22"/>
                <w:szCs w:val="22"/>
                <w:highlight w:val="yellow"/>
              </w:rPr>
              <w:t xml:space="preserve">в справочнике центров питания </w:t>
            </w:r>
            <w:r w:rsidRPr="00A5626D">
              <w:rPr>
                <w:rFonts w:ascii="Garamond" w:hAnsi="Garamond" w:cstheme="minorHAnsi"/>
                <w:sz w:val="22"/>
                <w:szCs w:val="22"/>
                <w:highlight w:val="yellow"/>
              </w:rPr>
              <w:t>в порядке</w:t>
            </w:r>
            <w:r w:rsidR="007C1767" w:rsidRPr="00A5626D">
              <w:rPr>
                <w:rFonts w:ascii="Garamond" w:hAnsi="Garamond" w:cstheme="minorHAnsi"/>
                <w:sz w:val="22"/>
                <w:szCs w:val="22"/>
                <w:highlight w:val="yellow"/>
              </w:rPr>
              <w:t xml:space="preserve">, </w:t>
            </w:r>
            <w:r w:rsidR="00C00A65" w:rsidRPr="00A5626D">
              <w:rPr>
                <w:rFonts w:ascii="Garamond" w:hAnsi="Garamond" w:cstheme="minorHAnsi"/>
                <w:sz w:val="22"/>
                <w:szCs w:val="22"/>
                <w:highlight w:val="yellow"/>
              </w:rPr>
              <w:t>указанном в</w:t>
            </w:r>
            <w:r w:rsidR="002B0CE1">
              <w:rPr>
                <w:rFonts w:ascii="Garamond" w:hAnsi="Garamond" w:cstheme="minorHAnsi"/>
                <w:sz w:val="22"/>
                <w:szCs w:val="22"/>
                <w:highlight w:val="yellow"/>
              </w:rPr>
              <w:t xml:space="preserve"> п</w:t>
            </w:r>
            <w:r w:rsidR="00C00A65" w:rsidRPr="00A5626D">
              <w:rPr>
                <w:rFonts w:ascii="Garamond" w:hAnsi="Garamond" w:cstheme="minorHAnsi"/>
                <w:sz w:val="22"/>
                <w:szCs w:val="22"/>
                <w:highlight w:val="yellow"/>
              </w:rPr>
              <w:t>п.</w:t>
            </w:r>
            <w:r w:rsidR="007C1767" w:rsidRPr="00A5626D">
              <w:rPr>
                <w:rFonts w:ascii="Garamond" w:hAnsi="Garamond" w:cstheme="minorHAnsi"/>
                <w:sz w:val="22"/>
                <w:szCs w:val="22"/>
                <w:highlight w:val="yellow"/>
              </w:rPr>
              <w:t xml:space="preserve"> 2.2.8.1</w:t>
            </w:r>
            <w:r w:rsidR="002B0CE1">
              <w:rPr>
                <w:rFonts w:ascii="Garamond" w:hAnsi="Garamond" w:cstheme="minorHAnsi"/>
                <w:sz w:val="22"/>
                <w:szCs w:val="22"/>
                <w:highlight w:val="yellow"/>
              </w:rPr>
              <w:t>–</w:t>
            </w:r>
            <w:r w:rsidR="007C1767" w:rsidRPr="00A5626D">
              <w:rPr>
                <w:rFonts w:ascii="Garamond" w:hAnsi="Garamond" w:cstheme="minorHAnsi"/>
                <w:sz w:val="22"/>
                <w:szCs w:val="22"/>
                <w:highlight w:val="yellow"/>
              </w:rPr>
              <w:t>2.2.8.3</w:t>
            </w:r>
            <w:r w:rsidRPr="00A5626D">
              <w:rPr>
                <w:rFonts w:ascii="Garamond" w:hAnsi="Garamond" w:cstheme="minorHAnsi"/>
                <w:sz w:val="22"/>
                <w:szCs w:val="22"/>
                <w:highlight w:val="yellow"/>
              </w:rPr>
              <w:t xml:space="preserve"> настоящего </w:t>
            </w:r>
            <w:r w:rsidR="002B0CE1">
              <w:rPr>
                <w:rFonts w:ascii="Garamond" w:hAnsi="Garamond" w:cstheme="minorHAnsi"/>
                <w:sz w:val="22"/>
                <w:szCs w:val="22"/>
                <w:highlight w:val="yellow"/>
              </w:rPr>
              <w:t>п</w:t>
            </w:r>
            <w:r w:rsidRPr="00A5626D">
              <w:rPr>
                <w:rFonts w:ascii="Garamond" w:hAnsi="Garamond" w:cstheme="minorHAnsi"/>
                <w:sz w:val="22"/>
                <w:szCs w:val="22"/>
                <w:highlight w:val="yellow"/>
              </w:rPr>
              <w:t>риложения</w:t>
            </w:r>
            <w:r w:rsidR="00C00A65" w:rsidRPr="00A5626D">
              <w:rPr>
                <w:rFonts w:ascii="Garamond" w:hAnsi="Garamond" w:cstheme="minorHAnsi"/>
                <w:sz w:val="22"/>
                <w:szCs w:val="22"/>
                <w:highlight w:val="yellow"/>
              </w:rPr>
              <w:t xml:space="preserve"> (при условии неактуальности либо некорректности наименования центра питания в справочнике центров питания)</w:t>
            </w:r>
            <w:r w:rsidR="007C1767" w:rsidRPr="00A5626D">
              <w:rPr>
                <w:rFonts w:ascii="Garamond" w:hAnsi="Garamond" w:cstheme="minorHAnsi"/>
                <w:sz w:val="22"/>
                <w:szCs w:val="22"/>
                <w:highlight w:val="yellow"/>
              </w:rPr>
              <w:t>.</w:t>
            </w:r>
          </w:p>
        </w:tc>
      </w:tr>
      <w:tr w:rsidR="00295C6D" w:rsidRPr="00A5626D" w14:paraId="70CD2279" w14:textId="77777777" w:rsidTr="00647FA0">
        <w:tc>
          <w:tcPr>
            <w:tcW w:w="1060" w:type="dxa"/>
            <w:vAlign w:val="center"/>
          </w:tcPr>
          <w:p w14:paraId="0A3C726A" w14:textId="791D7DC4" w:rsidR="00295C6D" w:rsidRPr="00A5626D" w:rsidRDefault="00295C6D" w:rsidP="00E31AE6">
            <w:pPr>
              <w:widowControl w:val="0"/>
              <w:tabs>
                <w:tab w:val="left" w:pos="1134"/>
                <w:tab w:val="left" w:pos="7938"/>
              </w:tabs>
              <w:spacing w:line="22" w:lineRule="atLeast"/>
              <w:jc w:val="both"/>
              <w:rPr>
                <w:rFonts w:ascii="Garamond" w:hAnsi="Garamond"/>
                <w:b/>
                <w:sz w:val="22"/>
                <w:szCs w:val="22"/>
                <w:lang w:eastAsia="en-US"/>
              </w:rPr>
            </w:pPr>
            <w:r w:rsidRPr="00A5626D">
              <w:rPr>
                <w:rFonts w:ascii="Garamond" w:hAnsi="Garamond"/>
                <w:b/>
                <w:sz w:val="22"/>
                <w:szCs w:val="22"/>
                <w:lang w:eastAsia="en-US"/>
              </w:rPr>
              <w:t>Приложение 5, п.</w:t>
            </w:r>
            <w:r w:rsidR="000B3419" w:rsidRPr="00A5626D">
              <w:rPr>
                <w:rFonts w:ascii="Garamond" w:hAnsi="Garamond"/>
                <w:b/>
                <w:sz w:val="22"/>
                <w:szCs w:val="22"/>
                <w:lang w:eastAsia="en-US"/>
              </w:rPr>
              <w:t xml:space="preserve"> </w:t>
            </w:r>
            <w:r w:rsidRPr="00A5626D">
              <w:rPr>
                <w:rFonts w:ascii="Garamond" w:hAnsi="Garamond"/>
                <w:b/>
                <w:sz w:val="22"/>
                <w:szCs w:val="22"/>
                <w:lang w:eastAsia="en-US"/>
              </w:rPr>
              <w:t>3.3</w:t>
            </w:r>
          </w:p>
        </w:tc>
        <w:tc>
          <w:tcPr>
            <w:tcW w:w="6662" w:type="dxa"/>
          </w:tcPr>
          <w:p w14:paraId="4BFE114B" w14:textId="77777777" w:rsidR="00295C6D" w:rsidRPr="00A5626D" w:rsidRDefault="00295C6D" w:rsidP="00E31AE6">
            <w:pPr>
              <w:pStyle w:val="2"/>
              <w:numPr>
                <w:ilvl w:val="0"/>
                <w:numId w:val="0"/>
              </w:numPr>
              <w:tabs>
                <w:tab w:val="left" w:pos="1134"/>
                <w:tab w:val="left" w:pos="7938"/>
              </w:tabs>
              <w:suppressAutoHyphens w:val="0"/>
              <w:spacing w:line="22" w:lineRule="atLeast"/>
              <w:ind w:firstLine="629"/>
              <w:jc w:val="both"/>
              <w:rPr>
                <w:rFonts w:ascii="Garamond" w:hAnsi="Garamond" w:cstheme="minorHAnsi"/>
                <w:b w:val="0"/>
              </w:rPr>
            </w:pPr>
            <w:r w:rsidRPr="00A5626D">
              <w:rPr>
                <w:rFonts w:ascii="Garamond" w:hAnsi="Garamond" w:cstheme="minorHAnsi"/>
                <w:b w:val="0"/>
              </w:rPr>
              <w:t xml:space="preserve">В случае успешного машинного разбора в ПАК КО на основе переданного макета 60000 формируются алгоритмы расчета учетных показателей в отношении субъектов оптового рынка, а также Алгоритм расчета учетных показателей сечения КУ / внутреннего сечения </w:t>
            </w:r>
            <w:r w:rsidRPr="00A5626D">
              <w:rPr>
                <w:rFonts w:ascii="Garamond" w:hAnsi="Garamond" w:cstheme="minorHAnsi"/>
                <w:b w:val="0"/>
                <w:highlight w:val="yellow"/>
              </w:rPr>
              <w:t>КУ</w:t>
            </w:r>
            <w:r w:rsidRPr="00A5626D">
              <w:rPr>
                <w:rFonts w:ascii="Garamond" w:hAnsi="Garamond" w:cstheme="minorHAnsi"/>
                <w:b w:val="0"/>
              </w:rPr>
              <w:t xml:space="preserve"> / ГТП генерации в отношении </w:t>
            </w:r>
            <w:r w:rsidRPr="00A5626D">
              <w:rPr>
                <w:rFonts w:ascii="Garamond" w:hAnsi="Garamond" w:cstheme="minorHAnsi"/>
                <w:b w:val="0"/>
                <w:highlight w:val="yellow"/>
              </w:rPr>
              <w:t>приборов</w:t>
            </w:r>
            <w:r w:rsidRPr="00A5626D">
              <w:rPr>
                <w:rFonts w:ascii="Garamond" w:hAnsi="Garamond" w:cstheme="minorHAnsi"/>
                <w:b w:val="0"/>
              </w:rPr>
              <w:t xml:space="preserve"> ОИП и РИП.</w:t>
            </w:r>
          </w:p>
        </w:tc>
        <w:tc>
          <w:tcPr>
            <w:tcW w:w="7088" w:type="dxa"/>
          </w:tcPr>
          <w:p w14:paraId="6CEA3A58" w14:textId="77777777" w:rsidR="00295C6D" w:rsidRPr="00A5626D" w:rsidRDefault="00295C6D" w:rsidP="00E31AE6">
            <w:pPr>
              <w:pStyle w:val="2"/>
              <w:numPr>
                <w:ilvl w:val="0"/>
                <w:numId w:val="0"/>
              </w:numPr>
              <w:tabs>
                <w:tab w:val="left" w:pos="1134"/>
                <w:tab w:val="left" w:pos="7938"/>
              </w:tabs>
              <w:suppressAutoHyphens w:val="0"/>
              <w:spacing w:line="22" w:lineRule="atLeast"/>
              <w:ind w:firstLine="629"/>
              <w:jc w:val="both"/>
              <w:rPr>
                <w:rFonts w:ascii="Garamond" w:hAnsi="Garamond" w:cstheme="minorHAnsi"/>
                <w:b w:val="0"/>
              </w:rPr>
            </w:pPr>
            <w:r w:rsidRPr="00A5626D">
              <w:rPr>
                <w:rFonts w:ascii="Garamond" w:hAnsi="Garamond" w:cstheme="minorHAnsi"/>
                <w:b w:val="0"/>
              </w:rPr>
              <w:t xml:space="preserve">В случае успешного машинного разбора в ПАК КО на основе переданного макета 60000 формируются алгоритмы расчета учетных показателей в отношении субъектов оптового рынка, а также Алгоритм расчета учетных показателей сечения КУ / внутреннего сечения / ГТП генерации </w:t>
            </w:r>
            <w:r w:rsidRPr="00A5626D">
              <w:rPr>
                <w:rFonts w:ascii="Garamond" w:hAnsi="Garamond" w:cstheme="minorHAnsi"/>
                <w:b w:val="0"/>
                <w:highlight w:val="yellow"/>
              </w:rPr>
              <w:t>/ объекта регулирования</w:t>
            </w:r>
            <w:r w:rsidRPr="00A5626D">
              <w:rPr>
                <w:rFonts w:ascii="Garamond" w:hAnsi="Garamond" w:cstheme="minorHAnsi"/>
                <w:b w:val="0"/>
              </w:rPr>
              <w:t xml:space="preserve"> в отношении ОИП и РИП.</w:t>
            </w:r>
          </w:p>
        </w:tc>
      </w:tr>
      <w:tr w:rsidR="00295C6D" w:rsidRPr="00A5626D" w14:paraId="43899593" w14:textId="77777777" w:rsidTr="00647FA0">
        <w:tc>
          <w:tcPr>
            <w:tcW w:w="1060" w:type="dxa"/>
            <w:vAlign w:val="center"/>
          </w:tcPr>
          <w:p w14:paraId="08B07A5D" w14:textId="2577EB65" w:rsidR="00295C6D" w:rsidRPr="00A5626D" w:rsidRDefault="00295C6D" w:rsidP="00E31AE6">
            <w:pPr>
              <w:widowControl w:val="0"/>
              <w:tabs>
                <w:tab w:val="left" w:pos="1134"/>
                <w:tab w:val="left" w:pos="7938"/>
              </w:tabs>
              <w:spacing w:line="22" w:lineRule="atLeast"/>
              <w:jc w:val="both"/>
              <w:rPr>
                <w:rFonts w:ascii="Garamond" w:hAnsi="Garamond"/>
                <w:b/>
                <w:sz w:val="22"/>
                <w:szCs w:val="22"/>
                <w:lang w:eastAsia="en-US"/>
              </w:rPr>
            </w:pPr>
            <w:r w:rsidRPr="00A5626D">
              <w:rPr>
                <w:rFonts w:ascii="Garamond" w:hAnsi="Garamond"/>
                <w:b/>
                <w:sz w:val="22"/>
                <w:szCs w:val="22"/>
                <w:lang w:eastAsia="en-US"/>
              </w:rPr>
              <w:t>Приложение 5, п.</w:t>
            </w:r>
            <w:r w:rsidR="000B3419" w:rsidRPr="00A5626D">
              <w:rPr>
                <w:rFonts w:ascii="Garamond" w:hAnsi="Garamond"/>
                <w:b/>
                <w:sz w:val="22"/>
                <w:szCs w:val="22"/>
                <w:lang w:eastAsia="en-US"/>
              </w:rPr>
              <w:t xml:space="preserve"> </w:t>
            </w:r>
            <w:r w:rsidRPr="00A5626D">
              <w:rPr>
                <w:rFonts w:ascii="Garamond" w:hAnsi="Garamond"/>
                <w:b/>
                <w:sz w:val="22"/>
                <w:szCs w:val="22"/>
                <w:lang w:eastAsia="en-US"/>
              </w:rPr>
              <w:t>3.4</w:t>
            </w:r>
          </w:p>
        </w:tc>
        <w:tc>
          <w:tcPr>
            <w:tcW w:w="6662" w:type="dxa"/>
          </w:tcPr>
          <w:p w14:paraId="755305BE" w14:textId="77777777" w:rsidR="00295C6D" w:rsidRPr="00A5626D" w:rsidRDefault="00295C6D" w:rsidP="00E31AE6">
            <w:pPr>
              <w:pStyle w:val="2"/>
              <w:numPr>
                <w:ilvl w:val="0"/>
                <w:numId w:val="0"/>
              </w:numPr>
              <w:tabs>
                <w:tab w:val="left" w:pos="1134"/>
                <w:tab w:val="left" w:pos="7938"/>
              </w:tabs>
              <w:suppressAutoHyphens w:val="0"/>
              <w:spacing w:line="22" w:lineRule="atLeast"/>
              <w:ind w:firstLine="629"/>
              <w:jc w:val="both"/>
              <w:rPr>
                <w:rFonts w:ascii="Garamond" w:hAnsi="Garamond" w:cstheme="minorHAnsi"/>
                <w:b w:val="0"/>
              </w:rPr>
            </w:pPr>
            <w:r w:rsidRPr="00A5626D">
              <w:rPr>
                <w:rFonts w:ascii="Garamond" w:hAnsi="Garamond" w:cstheme="minorHAnsi"/>
                <w:b w:val="0"/>
              </w:rPr>
              <w:t>В случае невозможности машинного разбора в ответной квитанции заявителю направляется список ошибок, обнаруженных при анализе полученного документа. Для формирования ПСИ субъект оптового рынка должен устранить ошибки, указанные в макете 60001, повторно согласовать ПСИ со смежным субъектом оптового рынка (СО) и повторить передачу документа в КО. Макет 60001 формируется в виде документа формата xml, подписывается ЭП КО и отправляется по электронной почте на адрес субъекта оптового рынка, с которого был получен макет 60000.</w:t>
            </w:r>
          </w:p>
        </w:tc>
        <w:tc>
          <w:tcPr>
            <w:tcW w:w="7088" w:type="dxa"/>
          </w:tcPr>
          <w:p w14:paraId="0D104090" w14:textId="77777777" w:rsidR="00295C6D" w:rsidRPr="00A5626D" w:rsidRDefault="00295C6D" w:rsidP="00E31AE6">
            <w:pPr>
              <w:pStyle w:val="2"/>
              <w:numPr>
                <w:ilvl w:val="0"/>
                <w:numId w:val="0"/>
              </w:numPr>
              <w:tabs>
                <w:tab w:val="left" w:pos="1134"/>
                <w:tab w:val="left" w:pos="7938"/>
              </w:tabs>
              <w:suppressAutoHyphens w:val="0"/>
              <w:spacing w:line="22" w:lineRule="atLeast"/>
              <w:ind w:firstLine="629"/>
              <w:jc w:val="both"/>
              <w:rPr>
                <w:rFonts w:ascii="Garamond" w:hAnsi="Garamond" w:cstheme="minorHAnsi"/>
                <w:b w:val="0"/>
              </w:rPr>
            </w:pPr>
            <w:r w:rsidRPr="00A5626D">
              <w:rPr>
                <w:rFonts w:ascii="Garamond" w:hAnsi="Garamond" w:cstheme="minorHAnsi"/>
                <w:b w:val="0"/>
              </w:rPr>
              <w:t>В случае невозможности машинного разбора в ответной квитанции заявителю направляется список ошибок, обнаруженных при анализе полученного документа. Для формирования ПСИ субъект оптового рынка должен устранить ошибки, указанные в макете 60001, повторно согласовать ПСИ со смежным субъектом оптового рынка (СО</w:t>
            </w:r>
            <w:r w:rsidRPr="00A5626D">
              <w:rPr>
                <w:rFonts w:ascii="Garamond" w:hAnsi="Garamond" w:cstheme="minorHAnsi"/>
                <w:b w:val="0"/>
                <w:highlight w:val="yellow"/>
              </w:rPr>
              <w:t>, владельцем ГТП</w:t>
            </w:r>
            <w:r w:rsidRPr="00A5626D">
              <w:rPr>
                <w:rFonts w:ascii="Garamond" w:hAnsi="Garamond" w:cstheme="minorHAnsi"/>
                <w:b w:val="0"/>
              </w:rPr>
              <w:t>) и повторить передачу документа в КО. Макет 60001 формируется в виде документа формата xml, подписывается ЭП КО и отправляется по электронной почте на адрес субъекта оптового рынка, с которого был получен макет 60000.</w:t>
            </w:r>
          </w:p>
        </w:tc>
      </w:tr>
      <w:tr w:rsidR="00295C6D" w:rsidRPr="00A5626D" w14:paraId="2D1D2C57" w14:textId="77777777" w:rsidTr="00647FA0">
        <w:tc>
          <w:tcPr>
            <w:tcW w:w="1060" w:type="dxa"/>
            <w:vAlign w:val="center"/>
          </w:tcPr>
          <w:p w14:paraId="103C0A43" w14:textId="4906E8B5" w:rsidR="00295C6D" w:rsidRPr="00A5626D" w:rsidRDefault="00295C6D" w:rsidP="00E31AE6">
            <w:pPr>
              <w:widowControl w:val="0"/>
              <w:tabs>
                <w:tab w:val="left" w:pos="1134"/>
                <w:tab w:val="left" w:pos="7938"/>
              </w:tabs>
              <w:spacing w:line="22" w:lineRule="atLeast"/>
              <w:jc w:val="both"/>
              <w:rPr>
                <w:rFonts w:ascii="Garamond" w:hAnsi="Garamond"/>
                <w:b/>
                <w:sz w:val="22"/>
                <w:szCs w:val="22"/>
                <w:lang w:eastAsia="en-US"/>
              </w:rPr>
            </w:pPr>
            <w:r w:rsidRPr="00A5626D">
              <w:rPr>
                <w:rFonts w:ascii="Garamond" w:hAnsi="Garamond"/>
                <w:b/>
                <w:sz w:val="22"/>
                <w:szCs w:val="22"/>
                <w:lang w:eastAsia="en-US"/>
              </w:rPr>
              <w:lastRenderedPageBreak/>
              <w:t>Приложение 5, п.</w:t>
            </w:r>
            <w:r w:rsidR="000B3419" w:rsidRPr="00A5626D">
              <w:rPr>
                <w:rFonts w:ascii="Garamond" w:hAnsi="Garamond"/>
                <w:b/>
                <w:sz w:val="22"/>
                <w:szCs w:val="22"/>
                <w:lang w:eastAsia="en-US"/>
              </w:rPr>
              <w:t xml:space="preserve"> </w:t>
            </w:r>
            <w:r w:rsidRPr="00A5626D">
              <w:rPr>
                <w:rFonts w:ascii="Garamond" w:hAnsi="Garamond"/>
                <w:b/>
                <w:sz w:val="22"/>
                <w:szCs w:val="22"/>
                <w:lang w:eastAsia="en-US"/>
              </w:rPr>
              <w:t>4.1</w:t>
            </w:r>
          </w:p>
        </w:tc>
        <w:tc>
          <w:tcPr>
            <w:tcW w:w="6662" w:type="dxa"/>
          </w:tcPr>
          <w:p w14:paraId="6A62685B" w14:textId="77777777" w:rsidR="00295C6D" w:rsidRPr="00A5626D" w:rsidRDefault="00295C6D" w:rsidP="00E31AE6">
            <w:pPr>
              <w:tabs>
                <w:tab w:val="left" w:pos="1134"/>
                <w:tab w:val="left" w:pos="7938"/>
              </w:tabs>
              <w:spacing w:before="120" w:after="120"/>
              <w:ind w:firstLine="567"/>
              <w:jc w:val="both"/>
              <w:rPr>
                <w:rFonts w:ascii="Garamond" w:hAnsi="Garamond" w:cstheme="minorHAnsi"/>
                <w:bCs/>
                <w:sz w:val="22"/>
                <w:szCs w:val="22"/>
              </w:rPr>
            </w:pPr>
            <w:r w:rsidRPr="00A5626D">
              <w:rPr>
                <w:rFonts w:ascii="Garamond" w:hAnsi="Garamond" w:cstheme="minorHAnsi"/>
                <w:bCs/>
                <w:sz w:val="22"/>
                <w:szCs w:val="22"/>
              </w:rPr>
              <w:t>Формат документа используется для направления в КО данных для кодирования и ПСИ, а также для выгрузки результатов кодирования.</w:t>
            </w:r>
          </w:p>
          <w:p w14:paraId="5C4A57DA" w14:textId="77777777" w:rsidR="00295C6D" w:rsidRPr="00A5626D" w:rsidRDefault="00295C6D" w:rsidP="00E31AE6">
            <w:pPr>
              <w:tabs>
                <w:tab w:val="left" w:pos="1134"/>
                <w:tab w:val="left" w:pos="7938"/>
              </w:tabs>
              <w:spacing w:before="120" w:after="120"/>
              <w:ind w:firstLine="567"/>
              <w:jc w:val="both"/>
              <w:rPr>
                <w:rFonts w:ascii="Garamond" w:hAnsi="Garamond" w:cstheme="minorHAnsi"/>
                <w:bCs/>
                <w:sz w:val="22"/>
                <w:szCs w:val="22"/>
              </w:rPr>
            </w:pPr>
            <w:r w:rsidRPr="00A5626D">
              <w:rPr>
                <w:rFonts w:ascii="Garamond" w:hAnsi="Garamond" w:cstheme="minorHAnsi"/>
                <w:bCs/>
                <w:sz w:val="22"/>
                <w:szCs w:val="22"/>
              </w:rPr>
              <w:t>При передаче электронного документа используется расширяемый язык разметки (XML) в соответствии со спецификацией Extensible Markup Language (XML) 1.0.</w:t>
            </w:r>
          </w:p>
          <w:p w14:paraId="2B193C82" w14:textId="77777777" w:rsidR="00295C6D" w:rsidRPr="00A5626D" w:rsidRDefault="00295C6D" w:rsidP="00E31AE6">
            <w:pPr>
              <w:tabs>
                <w:tab w:val="left" w:pos="1134"/>
                <w:tab w:val="left" w:pos="7938"/>
              </w:tabs>
              <w:spacing w:before="120" w:after="120"/>
              <w:ind w:firstLine="567"/>
              <w:jc w:val="both"/>
              <w:rPr>
                <w:rFonts w:ascii="Garamond" w:hAnsi="Garamond" w:cstheme="minorHAnsi"/>
                <w:bCs/>
                <w:sz w:val="22"/>
                <w:szCs w:val="22"/>
              </w:rPr>
            </w:pPr>
            <w:r w:rsidRPr="00A5626D">
              <w:rPr>
                <w:rFonts w:ascii="Garamond" w:hAnsi="Garamond" w:cstheme="minorHAnsi"/>
                <w:bCs/>
                <w:sz w:val="22"/>
                <w:szCs w:val="22"/>
              </w:rPr>
              <w:t>При декларации кодировки, являющейся частью декларации XML, используются названия и псевдонимы русскоязычных наборов символов, зарегистрированных в Internet Assigned Numbers Authority. Для данного электронного документа используется кодировка “windows-1251”.</w:t>
            </w:r>
          </w:p>
          <w:p w14:paraId="023319CD" w14:textId="77777777" w:rsidR="00295C6D" w:rsidRPr="00A5626D" w:rsidRDefault="00295C6D" w:rsidP="00E31AE6">
            <w:pPr>
              <w:tabs>
                <w:tab w:val="left" w:pos="1134"/>
                <w:tab w:val="left" w:pos="7938"/>
              </w:tabs>
              <w:spacing w:before="120" w:after="120"/>
              <w:ind w:firstLine="567"/>
              <w:jc w:val="both"/>
              <w:rPr>
                <w:rFonts w:ascii="Garamond" w:hAnsi="Garamond" w:cstheme="minorHAnsi"/>
                <w:bCs/>
                <w:sz w:val="22"/>
                <w:szCs w:val="22"/>
              </w:rPr>
            </w:pPr>
            <w:r w:rsidRPr="00A5626D">
              <w:rPr>
                <w:rFonts w:ascii="Garamond" w:hAnsi="Garamond" w:cstheme="minorHAnsi"/>
                <w:bCs/>
                <w:sz w:val="22"/>
                <w:szCs w:val="22"/>
              </w:rPr>
              <w:t>Атрибуты, которые согласно настоящему документу являются необязательными, могут отсутствовать либо быть незаполненными.</w:t>
            </w:r>
          </w:p>
          <w:p w14:paraId="7D718764" w14:textId="77777777" w:rsidR="00295C6D" w:rsidRPr="00A5626D" w:rsidRDefault="00295C6D" w:rsidP="00E31AE6">
            <w:pPr>
              <w:tabs>
                <w:tab w:val="left" w:pos="1134"/>
                <w:tab w:val="left" w:pos="7938"/>
              </w:tabs>
              <w:spacing w:before="120" w:after="120"/>
              <w:ind w:firstLine="567"/>
              <w:jc w:val="both"/>
              <w:rPr>
                <w:rFonts w:ascii="Garamond" w:hAnsi="Garamond" w:cstheme="minorHAnsi"/>
                <w:bCs/>
                <w:sz w:val="22"/>
                <w:szCs w:val="22"/>
              </w:rPr>
            </w:pPr>
            <w:r w:rsidRPr="00A5626D">
              <w:rPr>
                <w:rFonts w:ascii="Garamond" w:hAnsi="Garamond" w:cstheme="minorHAnsi"/>
                <w:bCs/>
                <w:sz w:val="22"/>
                <w:szCs w:val="22"/>
              </w:rPr>
              <w:t>Имя файла, содержащего электронный документ, должно составляться в формате:</w:t>
            </w:r>
          </w:p>
          <w:p w14:paraId="0763F0D5" w14:textId="77777777" w:rsidR="00295C6D" w:rsidRPr="00A5626D" w:rsidRDefault="00295C6D" w:rsidP="00E31AE6">
            <w:pPr>
              <w:tabs>
                <w:tab w:val="left" w:pos="1134"/>
                <w:tab w:val="left" w:pos="7938"/>
              </w:tabs>
              <w:spacing w:before="120" w:after="120"/>
              <w:ind w:firstLine="567"/>
              <w:jc w:val="both"/>
              <w:rPr>
                <w:rFonts w:ascii="Garamond" w:hAnsi="Garamond" w:cstheme="minorHAnsi"/>
                <w:bCs/>
                <w:sz w:val="22"/>
                <w:szCs w:val="22"/>
              </w:rPr>
            </w:pPr>
            <w:r w:rsidRPr="00A5626D">
              <w:rPr>
                <w:rFonts w:ascii="Garamond" w:hAnsi="Garamond" w:cstheme="minorHAnsi"/>
                <w:bCs/>
                <w:sz w:val="22"/>
                <w:szCs w:val="22"/>
              </w:rPr>
              <w:t>«&lt;тип документа&gt;_&lt;ИНН&gt;_&lt;дата&gt;_&lt;код ГТП или сечения&gt;», где</w:t>
            </w:r>
          </w:p>
          <w:p w14:paraId="201ADC58" w14:textId="77777777" w:rsidR="00295C6D" w:rsidRPr="00A5626D" w:rsidRDefault="00295C6D" w:rsidP="00295C6D">
            <w:pPr>
              <w:widowControl w:val="0"/>
              <w:numPr>
                <w:ilvl w:val="0"/>
                <w:numId w:val="240"/>
              </w:numPr>
              <w:tabs>
                <w:tab w:val="left" w:pos="1134"/>
                <w:tab w:val="left" w:pos="7938"/>
              </w:tabs>
              <w:suppressAutoHyphens w:val="0"/>
              <w:autoSpaceDE w:val="0"/>
              <w:autoSpaceDN w:val="0"/>
              <w:adjustRightInd w:val="0"/>
              <w:spacing w:before="60" w:after="60"/>
              <w:ind w:left="0" w:firstLine="567"/>
              <w:jc w:val="both"/>
              <w:rPr>
                <w:rFonts w:ascii="Garamond" w:hAnsi="Garamond" w:cstheme="minorHAnsi"/>
                <w:bCs/>
                <w:sz w:val="22"/>
                <w:szCs w:val="22"/>
              </w:rPr>
            </w:pPr>
            <w:r w:rsidRPr="00A5626D">
              <w:rPr>
                <w:rFonts w:ascii="Garamond" w:hAnsi="Garamond" w:cstheme="minorHAnsi"/>
                <w:bCs/>
                <w:sz w:val="22"/>
                <w:szCs w:val="22"/>
              </w:rPr>
              <w:t>тип документа – номер, присвоенный КО данному типу документа (60000);</w:t>
            </w:r>
          </w:p>
          <w:p w14:paraId="4183E1F4" w14:textId="77777777" w:rsidR="00295C6D" w:rsidRPr="00A5626D" w:rsidRDefault="00295C6D" w:rsidP="00295C6D">
            <w:pPr>
              <w:widowControl w:val="0"/>
              <w:numPr>
                <w:ilvl w:val="0"/>
                <w:numId w:val="240"/>
              </w:numPr>
              <w:tabs>
                <w:tab w:val="left" w:pos="1134"/>
                <w:tab w:val="left" w:pos="7938"/>
              </w:tabs>
              <w:suppressAutoHyphens w:val="0"/>
              <w:autoSpaceDE w:val="0"/>
              <w:autoSpaceDN w:val="0"/>
              <w:adjustRightInd w:val="0"/>
              <w:spacing w:before="60" w:after="60"/>
              <w:ind w:left="0" w:firstLine="567"/>
              <w:jc w:val="both"/>
              <w:rPr>
                <w:rFonts w:ascii="Garamond" w:hAnsi="Garamond" w:cstheme="minorHAnsi"/>
                <w:bCs/>
                <w:sz w:val="22"/>
                <w:szCs w:val="22"/>
              </w:rPr>
            </w:pPr>
            <w:r w:rsidRPr="00A5626D">
              <w:rPr>
                <w:rFonts w:ascii="Garamond" w:hAnsi="Garamond" w:cstheme="minorHAnsi"/>
                <w:bCs/>
                <w:sz w:val="22"/>
                <w:szCs w:val="22"/>
              </w:rPr>
              <w:t xml:space="preserve">ИНН – ИНН организации, предоставляющей информацию, длина ИНН – 10 символов; </w:t>
            </w:r>
          </w:p>
          <w:p w14:paraId="7B801A24" w14:textId="77777777" w:rsidR="00295C6D" w:rsidRPr="00A5626D" w:rsidRDefault="00295C6D" w:rsidP="00295C6D">
            <w:pPr>
              <w:widowControl w:val="0"/>
              <w:numPr>
                <w:ilvl w:val="0"/>
                <w:numId w:val="240"/>
              </w:numPr>
              <w:tabs>
                <w:tab w:val="left" w:pos="1134"/>
                <w:tab w:val="left" w:pos="7938"/>
              </w:tabs>
              <w:suppressAutoHyphens w:val="0"/>
              <w:autoSpaceDE w:val="0"/>
              <w:autoSpaceDN w:val="0"/>
              <w:adjustRightInd w:val="0"/>
              <w:spacing w:before="60" w:after="60"/>
              <w:ind w:left="0" w:firstLine="567"/>
              <w:jc w:val="both"/>
              <w:rPr>
                <w:rFonts w:ascii="Garamond" w:hAnsi="Garamond" w:cstheme="minorHAnsi"/>
                <w:bCs/>
                <w:sz w:val="22"/>
                <w:szCs w:val="22"/>
              </w:rPr>
            </w:pPr>
            <w:r w:rsidRPr="00A5626D">
              <w:rPr>
                <w:rFonts w:ascii="Garamond" w:hAnsi="Garamond" w:cstheme="minorHAnsi"/>
                <w:bCs/>
                <w:sz w:val="22"/>
                <w:szCs w:val="22"/>
              </w:rPr>
              <w:t>дата – момент времени, в который был сформирован макет, в формате “ГГГГММДДччммсс”, где ГГГГ – год, ММ – порядковый номер месяца, ДД – день, чч – час, мм – минуты, сс – секунды. Длина поля &lt;дата&gt; – 14 знаков. Указывается по московскому времени;</w:t>
            </w:r>
          </w:p>
          <w:p w14:paraId="7C77C25F" w14:textId="77777777" w:rsidR="00295C6D" w:rsidRPr="00A5626D" w:rsidRDefault="00295C6D" w:rsidP="00295C6D">
            <w:pPr>
              <w:widowControl w:val="0"/>
              <w:numPr>
                <w:ilvl w:val="0"/>
                <w:numId w:val="240"/>
              </w:numPr>
              <w:tabs>
                <w:tab w:val="left" w:pos="1134"/>
                <w:tab w:val="left" w:pos="7938"/>
              </w:tabs>
              <w:suppressAutoHyphens w:val="0"/>
              <w:autoSpaceDE w:val="0"/>
              <w:autoSpaceDN w:val="0"/>
              <w:adjustRightInd w:val="0"/>
              <w:spacing w:before="60" w:after="60"/>
              <w:ind w:left="0" w:firstLine="567"/>
              <w:jc w:val="both"/>
              <w:rPr>
                <w:rFonts w:ascii="Garamond" w:hAnsi="Garamond" w:cstheme="minorHAnsi"/>
                <w:bCs/>
                <w:sz w:val="22"/>
                <w:szCs w:val="22"/>
              </w:rPr>
            </w:pPr>
            <w:r w:rsidRPr="00A5626D">
              <w:rPr>
                <w:rFonts w:ascii="Garamond" w:hAnsi="Garamond" w:cstheme="minorHAnsi"/>
                <w:bCs/>
                <w:sz w:val="22"/>
                <w:szCs w:val="22"/>
              </w:rPr>
              <w:t>код ГТП или сечения – указывается либо код ГТП генерации в формате GXXXXXXX, либо код сечения КУ в формате XXXXXXXX_YYYYYYYY, состоящий из кодов ГТП потребления</w:t>
            </w:r>
            <w:r w:rsidRPr="00C15199">
              <w:rPr>
                <w:rFonts w:ascii="Garamond" w:hAnsi="Garamond" w:cstheme="minorHAnsi"/>
                <w:bCs/>
                <w:sz w:val="22"/>
                <w:szCs w:val="22"/>
                <w:highlight w:val="yellow"/>
              </w:rPr>
              <w:t>/</w:t>
            </w:r>
            <w:r w:rsidRPr="00A5626D">
              <w:rPr>
                <w:rFonts w:ascii="Garamond" w:hAnsi="Garamond" w:cstheme="minorHAnsi"/>
                <w:bCs/>
                <w:sz w:val="22"/>
                <w:szCs w:val="22"/>
              </w:rPr>
              <w:t xml:space="preserve">сечения смежных субъектов оптового рынка, разделенных знаком «_». </w:t>
            </w:r>
          </w:p>
          <w:p w14:paraId="1968BAEA" w14:textId="77777777" w:rsidR="00295C6D" w:rsidRPr="00A5626D" w:rsidRDefault="00295C6D" w:rsidP="00E31AE6">
            <w:pPr>
              <w:widowControl w:val="0"/>
              <w:tabs>
                <w:tab w:val="left" w:pos="1134"/>
                <w:tab w:val="left" w:pos="7938"/>
              </w:tabs>
              <w:autoSpaceDE w:val="0"/>
              <w:autoSpaceDN w:val="0"/>
              <w:adjustRightInd w:val="0"/>
              <w:spacing w:before="60" w:after="60"/>
              <w:ind w:firstLine="567"/>
              <w:jc w:val="both"/>
              <w:rPr>
                <w:rFonts w:ascii="Garamond" w:hAnsi="Garamond" w:cstheme="minorHAnsi"/>
                <w:bCs/>
                <w:sz w:val="22"/>
                <w:szCs w:val="22"/>
              </w:rPr>
            </w:pPr>
            <w:r w:rsidRPr="00A5626D">
              <w:rPr>
                <w:rFonts w:ascii="Garamond" w:hAnsi="Garamond" w:cstheme="minorHAnsi"/>
                <w:bCs/>
                <w:sz w:val="22"/>
                <w:szCs w:val="22"/>
              </w:rPr>
              <w:t xml:space="preserve">При этом код ГТП потребления / код ГТП генерации состоит из 8 (восьми) символов, включающих строчные или прописные буквы </w:t>
            </w:r>
            <w:r w:rsidRPr="00A5626D">
              <w:rPr>
                <w:rFonts w:ascii="Garamond" w:hAnsi="Garamond" w:cstheme="minorHAnsi"/>
                <w:bCs/>
                <w:sz w:val="22"/>
                <w:szCs w:val="22"/>
              </w:rPr>
              <w:lastRenderedPageBreak/>
              <w:t>латинского алфавита и (или) цифры.</w:t>
            </w:r>
          </w:p>
          <w:p w14:paraId="61D754FC" w14:textId="77777777" w:rsidR="00295C6D" w:rsidRPr="00A5626D" w:rsidRDefault="00295C6D" w:rsidP="00E31AE6">
            <w:pPr>
              <w:widowControl w:val="0"/>
              <w:tabs>
                <w:tab w:val="left" w:pos="1134"/>
                <w:tab w:val="left" w:pos="7938"/>
              </w:tabs>
              <w:autoSpaceDE w:val="0"/>
              <w:autoSpaceDN w:val="0"/>
              <w:adjustRightInd w:val="0"/>
              <w:spacing w:before="60" w:after="60" w:line="256" w:lineRule="auto"/>
              <w:ind w:firstLine="567"/>
              <w:jc w:val="both"/>
              <w:rPr>
                <w:rFonts w:ascii="Garamond" w:hAnsi="Garamond" w:cstheme="minorHAnsi"/>
                <w:bCs/>
                <w:sz w:val="22"/>
                <w:szCs w:val="22"/>
              </w:rPr>
            </w:pPr>
            <w:r w:rsidRPr="00A5626D">
              <w:rPr>
                <w:rFonts w:ascii="Garamond" w:hAnsi="Garamond" w:cstheme="minorHAnsi"/>
                <w:bCs/>
                <w:sz w:val="22"/>
                <w:szCs w:val="22"/>
              </w:rPr>
              <w:t xml:space="preserve">В случае формирования ПСИ по новой ГТП, для которой КО в отношении данного заявителя не присвоен уникальный код, заявитель должен обозначить код следующим образом: </w:t>
            </w:r>
          </w:p>
          <w:p w14:paraId="1CE4274F" w14:textId="77777777" w:rsidR="00295C6D" w:rsidRPr="00A5626D" w:rsidRDefault="00295C6D" w:rsidP="00295C6D">
            <w:pPr>
              <w:widowControl w:val="0"/>
              <w:numPr>
                <w:ilvl w:val="0"/>
                <w:numId w:val="269"/>
              </w:numPr>
              <w:tabs>
                <w:tab w:val="left" w:pos="1134"/>
                <w:tab w:val="left" w:pos="7938"/>
              </w:tabs>
              <w:suppressAutoHyphens w:val="0"/>
              <w:autoSpaceDE w:val="0"/>
              <w:autoSpaceDN w:val="0"/>
              <w:adjustRightInd w:val="0"/>
              <w:spacing w:before="60" w:after="60" w:line="256" w:lineRule="auto"/>
              <w:ind w:left="0" w:firstLine="567"/>
              <w:jc w:val="both"/>
              <w:rPr>
                <w:rFonts w:ascii="Garamond" w:hAnsi="Garamond" w:cstheme="minorHAnsi"/>
                <w:bCs/>
                <w:sz w:val="22"/>
                <w:szCs w:val="22"/>
              </w:rPr>
            </w:pPr>
            <w:r w:rsidRPr="00A5626D">
              <w:rPr>
                <w:rFonts w:ascii="Garamond" w:hAnsi="Garamond" w:cstheme="minorHAnsi"/>
                <w:bCs/>
                <w:sz w:val="22"/>
                <w:szCs w:val="22"/>
              </w:rPr>
              <w:t>код ГТП генерации: GXXXXXXX;</w:t>
            </w:r>
          </w:p>
          <w:p w14:paraId="77C4BA6B" w14:textId="77777777" w:rsidR="00295C6D" w:rsidRPr="00A5626D" w:rsidRDefault="00295C6D" w:rsidP="00295C6D">
            <w:pPr>
              <w:widowControl w:val="0"/>
              <w:numPr>
                <w:ilvl w:val="0"/>
                <w:numId w:val="269"/>
              </w:numPr>
              <w:tabs>
                <w:tab w:val="left" w:pos="1134"/>
                <w:tab w:val="left" w:pos="7938"/>
              </w:tabs>
              <w:suppressAutoHyphens w:val="0"/>
              <w:autoSpaceDE w:val="0"/>
              <w:autoSpaceDN w:val="0"/>
              <w:adjustRightInd w:val="0"/>
              <w:spacing w:before="60" w:after="60" w:line="256" w:lineRule="auto"/>
              <w:ind w:left="0" w:firstLine="567"/>
              <w:jc w:val="both"/>
              <w:rPr>
                <w:rFonts w:ascii="Garamond" w:hAnsi="Garamond" w:cstheme="minorHAnsi"/>
                <w:bCs/>
                <w:sz w:val="22"/>
                <w:szCs w:val="22"/>
              </w:rPr>
            </w:pPr>
            <w:r w:rsidRPr="00A5626D">
              <w:rPr>
                <w:rFonts w:ascii="Garamond" w:hAnsi="Garamond" w:cstheme="minorHAnsi"/>
                <w:bCs/>
                <w:sz w:val="22"/>
                <w:szCs w:val="22"/>
              </w:rPr>
              <w:t>код ГТП потребления: PXXXXXXX.</w:t>
            </w:r>
          </w:p>
          <w:p w14:paraId="4DDCFA8D" w14:textId="5045D4B8" w:rsidR="00295C6D" w:rsidRPr="00C15199" w:rsidRDefault="00295C6D" w:rsidP="00C15199">
            <w:pPr>
              <w:widowControl w:val="0"/>
              <w:tabs>
                <w:tab w:val="left" w:pos="1134"/>
                <w:tab w:val="left" w:pos="7938"/>
              </w:tabs>
              <w:autoSpaceDE w:val="0"/>
              <w:autoSpaceDN w:val="0"/>
              <w:adjustRightInd w:val="0"/>
              <w:spacing w:before="60" w:after="60"/>
              <w:ind w:firstLine="567"/>
              <w:jc w:val="both"/>
              <w:rPr>
                <w:rFonts w:ascii="Garamond" w:hAnsi="Garamond"/>
                <w:b/>
                <w:caps/>
                <w:sz w:val="22"/>
                <w:szCs w:val="22"/>
              </w:rPr>
            </w:pPr>
            <w:r w:rsidRPr="00A5626D">
              <w:rPr>
                <w:rFonts w:ascii="Garamond" w:hAnsi="Garamond" w:cstheme="minorHAnsi"/>
                <w:bCs/>
                <w:sz w:val="22"/>
                <w:szCs w:val="22"/>
              </w:rPr>
              <w:t>В случае формирования ПСИ по временному сечению необходимо указывать коды ГТП (код сечения с ФСК), используемые в закрепленных за смежными субъектами оптового рынка ГТП (сечении с ФСК).</w:t>
            </w:r>
          </w:p>
        </w:tc>
        <w:tc>
          <w:tcPr>
            <w:tcW w:w="7088" w:type="dxa"/>
          </w:tcPr>
          <w:p w14:paraId="3184DBAD" w14:textId="77777777" w:rsidR="00295C6D" w:rsidRPr="00A5626D" w:rsidRDefault="00295C6D" w:rsidP="00E31AE6">
            <w:pPr>
              <w:tabs>
                <w:tab w:val="left" w:pos="1134"/>
                <w:tab w:val="left" w:pos="7938"/>
              </w:tabs>
              <w:spacing w:before="120" w:after="120"/>
              <w:ind w:firstLine="567"/>
              <w:jc w:val="both"/>
              <w:rPr>
                <w:rFonts w:ascii="Garamond" w:hAnsi="Garamond" w:cstheme="minorHAnsi"/>
                <w:bCs/>
                <w:sz w:val="22"/>
                <w:szCs w:val="22"/>
              </w:rPr>
            </w:pPr>
            <w:r w:rsidRPr="00A5626D">
              <w:rPr>
                <w:rFonts w:ascii="Garamond" w:hAnsi="Garamond" w:cstheme="minorHAnsi"/>
                <w:bCs/>
                <w:sz w:val="22"/>
                <w:szCs w:val="22"/>
              </w:rPr>
              <w:lastRenderedPageBreak/>
              <w:t>Формат документа используется для направления в КО данных для кодирования и ПСИ, а также для выгрузки результатов кодирования.</w:t>
            </w:r>
          </w:p>
          <w:p w14:paraId="50EC3744" w14:textId="77777777" w:rsidR="00295C6D" w:rsidRPr="00A5626D" w:rsidRDefault="00295C6D" w:rsidP="00E31AE6">
            <w:pPr>
              <w:tabs>
                <w:tab w:val="left" w:pos="1134"/>
                <w:tab w:val="left" w:pos="7938"/>
              </w:tabs>
              <w:spacing w:before="120" w:after="120"/>
              <w:ind w:firstLine="567"/>
              <w:jc w:val="both"/>
              <w:rPr>
                <w:rFonts w:ascii="Garamond" w:hAnsi="Garamond" w:cstheme="minorHAnsi"/>
                <w:bCs/>
                <w:sz w:val="22"/>
                <w:szCs w:val="22"/>
              </w:rPr>
            </w:pPr>
            <w:r w:rsidRPr="00A5626D">
              <w:rPr>
                <w:rFonts w:ascii="Garamond" w:hAnsi="Garamond" w:cstheme="minorHAnsi"/>
                <w:bCs/>
                <w:sz w:val="22"/>
                <w:szCs w:val="22"/>
              </w:rPr>
              <w:t>При передаче электронного документа используется расширяемый язык разметки (XML) в соответствии со спецификацией Extensible Markup Language (XML) 1.0.</w:t>
            </w:r>
          </w:p>
          <w:p w14:paraId="1111071E" w14:textId="77777777" w:rsidR="00295C6D" w:rsidRPr="00A5626D" w:rsidRDefault="00295C6D" w:rsidP="00E31AE6">
            <w:pPr>
              <w:tabs>
                <w:tab w:val="left" w:pos="1134"/>
                <w:tab w:val="left" w:pos="7938"/>
              </w:tabs>
              <w:spacing w:before="120" w:after="120"/>
              <w:ind w:firstLine="567"/>
              <w:jc w:val="both"/>
              <w:rPr>
                <w:rFonts w:ascii="Garamond" w:hAnsi="Garamond" w:cstheme="minorHAnsi"/>
                <w:bCs/>
                <w:sz w:val="22"/>
                <w:szCs w:val="22"/>
              </w:rPr>
            </w:pPr>
            <w:r w:rsidRPr="00A5626D">
              <w:rPr>
                <w:rFonts w:ascii="Garamond" w:hAnsi="Garamond" w:cstheme="minorHAnsi"/>
                <w:bCs/>
                <w:sz w:val="22"/>
                <w:szCs w:val="22"/>
              </w:rPr>
              <w:t>При декларации кодировки, являющейся частью декларации XML, используются названия и псевдонимы русскоязычных наборов символов, зарегистрированных в Internet Assigned Numbers Authority. Для данного электронного документа используется кодировка “windows-1251”.</w:t>
            </w:r>
          </w:p>
          <w:p w14:paraId="554AD473" w14:textId="77777777" w:rsidR="00295C6D" w:rsidRPr="00A5626D" w:rsidRDefault="00295C6D" w:rsidP="00E31AE6">
            <w:pPr>
              <w:tabs>
                <w:tab w:val="left" w:pos="1134"/>
                <w:tab w:val="left" w:pos="7938"/>
              </w:tabs>
              <w:spacing w:before="120" w:after="120"/>
              <w:ind w:firstLine="567"/>
              <w:jc w:val="both"/>
              <w:rPr>
                <w:rFonts w:ascii="Garamond" w:hAnsi="Garamond" w:cstheme="minorHAnsi"/>
                <w:bCs/>
                <w:sz w:val="22"/>
                <w:szCs w:val="22"/>
              </w:rPr>
            </w:pPr>
            <w:r w:rsidRPr="00A5626D">
              <w:rPr>
                <w:rFonts w:ascii="Garamond" w:hAnsi="Garamond" w:cstheme="minorHAnsi"/>
                <w:bCs/>
                <w:sz w:val="22"/>
                <w:szCs w:val="22"/>
              </w:rPr>
              <w:t>Атрибуты, которые согласно настоящему документу являются необязательными, могут отсутствовать либо быть незаполненными.</w:t>
            </w:r>
          </w:p>
          <w:p w14:paraId="32C535B7" w14:textId="77777777" w:rsidR="00295C6D" w:rsidRPr="00A5626D" w:rsidRDefault="00295C6D" w:rsidP="00E31AE6">
            <w:pPr>
              <w:tabs>
                <w:tab w:val="left" w:pos="1134"/>
                <w:tab w:val="left" w:pos="7938"/>
              </w:tabs>
              <w:spacing w:before="120" w:after="120"/>
              <w:ind w:firstLine="567"/>
              <w:jc w:val="both"/>
              <w:rPr>
                <w:rFonts w:ascii="Garamond" w:hAnsi="Garamond" w:cstheme="minorHAnsi"/>
                <w:bCs/>
                <w:sz w:val="22"/>
                <w:szCs w:val="22"/>
              </w:rPr>
            </w:pPr>
            <w:r w:rsidRPr="00A5626D">
              <w:rPr>
                <w:rFonts w:ascii="Garamond" w:hAnsi="Garamond" w:cstheme="minorHAnsi"/>
                <w:bCs/>
                <w:sz w:val="22"/>
                <w:szCs w:val="22"/>
              </w:rPr>
              <w:t>Имя файла, содержащего электронный документ, должно составляться в формате:</w:t>
            </w:r>
          </w:p>
          <w:p w14:paraId="52AA8392" w14:textId="77777777" w:rsidR="00295C6D" w:rsidRPr="00A5626D" w:rsidRDefault="00295C6D" w:rsidP="00E31AE6">
            <w:pPr>
              <w:tabs>
                <w:tab w:val="left" w:pos="1134"/>
                <w:tab w:val="left" w:pos="7938"/>
              </w:tabs>
              <w:suppressAutoHyphens w:val="0"/>
              <w:spacing w:before="120" w:after="120"/>
              <w:ind w:left="41" w:firstLine="425"/>
              <w:jc w:val="both"/>
              <w:rPr>
                <w:rFonts w:ascii="Garamond" w:hAnsi="Garamond" w:cstheme="minorHAnsi"/>
                <w:bCs/>
                <w:sz w:val="22"/>
                <w:szCs w:val="22"/>
              </w:rPr>
            </w:pPr>
            <w:r w:rsidRPr="00A5626D">
              <w:rPr>
                <w:rFonts w:ascii="Garamond" w:hAnsi="Garamond" w:cstheme="minorHAnsi"/>
                <w:bCs/>
                <w:sz w:val="22"/>
                <w:szCs w:val="22"/>
              </w:rPr>
              <w:t xml:space="preserve"> «&lt;тип документа&gt;_&lt;ИНН&gt;_&lt;дата&gt;_&lt;код ГТП</w:t>
            </w:r>
            <w:r w:rsidR="002E762B" w:rsidRPr="00A5626D">
              <w:rPr>
                <w:rFonts w:ascii="Garamond" w:hAnsi="Garamond" w:cstheme="minorHAnsi"/>
                <w:bCs/>
                <w:sz w:val="22"/>
                <w:szCs w:val="22"/>
              </w:rPr>
              <w:t>,</w:t>
            </w:r>
            <w:r w:rsidRPr="00A5626D">
              <w:rPr>
                <w:rFonts w:ascii="Garamond" w:hAnsi="Garamond" w:cstheme="minorHAnsi"/>
                <w:bCs/>
                <w:sz w:val="22"/>
                <w:szCs w:val="22"/>
              </w:rPr>
              <w:t xml:space="preserve"> или сечения </w:t>
            </w:r>
            <w:r w:rsidRPr="00A5626D">
              <w:rPr>
                <w:rFonts w:ascii="Garamond" w:hAnsi="Garamond" w:cstheme="minorHAnsi"/>
                <w:bCs/>
                <w:sz w:val="22"/>
                <w:szCs w:val="22"/>
                <w:highlight w:val="yellow"/>
              </w:rPr>
              <w:t>КУ</w:t>
            </w:r>
            <w:r w:rsidR="002E762B" w:rsidRPr="00A5626D">
              <w:rPr>
                <w:rFonts w:ascii="Garamond" w:hAnsi="Garamond" w:cstheme="minorHAnsi"/>
                <w:bCs/>
                <w:sz w:val="22"/>
                <w:szCs w:val="22"/>
                <w:highlight w:val="yellow"/>
              </w:rPr>
              <w:t>,</w:t>
            </w:r>
            <w:r w:rsidRPr="00A5626D">
              <w:rPr>
                <w:rFonts w:ascii="Garamond" w:hAnsi="Garamond" w:cstheme="minorHAnsi"/>
                <w:bCs/>
                <w:sz w:val="22"/>
                <w:szCs w:val="22"/>
                <w:highlight w:val="yellow"/>
              </w:rPr>
              <w:t xml:space="preserve"> или объекта регулирования</w:t>
            </w:r>
            <w:r w:rsidRPr="00A5626D">
              <w:rPr>
                <w:rFonts w:ascii="Garamond" w:hAnsi="Garamond" w:cstheme="minorHAnsi"/>
                <w:bCs/>
                <w:sz w:val="22"/>
                <w:szCs w:val="22"/>
              </w:rPr>
              <w:t>&gt;», где:</w:t>
            </w:r>
          </w:p>
          <w:p w14:paraId="72866CED" w14:textId="77777777" w:rsidR="00295C6D" w:rsidRPr="00A5626D" w:rsidRDefault="00295C6D" w:rsidP="00295C6D">
            <w:pPr>
              <w:widowControl w:val="0"/>
              <w:numPr>
                <w:ilvl w:val="0"/>
                <w:numId w:val="240"/>
              </w:numPr>
              <w:tabs>
                <w:tab w:val="left" w:pos="1134"/>
                <w:tab w:val="left" w:pos="7938"/>
              </w:tabs>
              <w:suppressAutoHyphens w:val="0"/>
              <w:autoSpaceDE w:val="0"/>
              <w:autoSpaceDN w:val="0"/>
              <w:adjustRightInd w:val="0"/>
              <w:spacing w:before="60" w:after="60" w:line="259" w:lineRule="auto"/>
              <w:ind w:left="0" w:firstLine="425"/>
              <w:jc w:val="both"/>
              <w:rPr>
                <w:rFonts w:ascii="Garamond" w:hAnsi="Garamond" w:cstheme="minorHAnsi"/>
                <w:bCs/>
                <w:sz w:val="22"/>
                <w:szCs w:val="22"/>
              </w:rPr>
            </w:pPr>
            <w:r w:rsidRPr="00A5626D">
              <w:rPr>
                <w:rFonts w:ascii="Garamond" w:hAnsi="Garamond" w:cstheme="minorHAnsi"/>
                <w:bCs/>
                <w:sz w:val="22"/>
                <w:szCs w:val="22"/>
              </w:rPr>
              <w:t>тип документа – номер, присвоенный КО данному типу документа (60000);</w:t>
            </w:r>
          </w:p>
          <w:p w14:paraId="2A0DA7BA" w14:textId="77777777" w:rsidR="00295C6D" w:rsidRPr="00A5626D" w:rsidRDefault="00295C6D" w:rsidP="00295C6D">
            <w:pPr>
              <w:widowControl w:val="0"/>
              <w:numPr>
                <w:ilvl w:val="0"/>
                <w:numId w:val="240"/>
              </w:numPr>
              <w:tabs>
                <w:tab w:val="left" w:pos="1134"/>
                <w:tab w:val="left" w:pos="7938"/>
              </w:tabs>
              <w:suppressAutoHyphens w:val="0"/>
              <w:autoSpaceDE w:val="0"/>
              <w:autoSpaceDN w:val="0"/>
              <w:adjustRightInd w:val="0"/>
              <w:spacing w:before="60" w:after="60" w:line="259" w:lineRule="auto"/>
              <w:ind w:left="0" w:firstLine="425"/>
              <w:jc w:val="both"/>
              <w:rPr>
                <w:rFonts w:ascii="Garamond" w:hAnsi="Garamond" w:cstheme="minorHAnsi"/>
                <w:bCs/>
                <w:sz w:val="22"/>
                <w:szCs w:val="22"/>
              </w:rPr>
            </w:pPr>
            <w:r w:rsidRPr="00A5626D">
              <w:rPr>
                <w:rFonts w:ascii="Garamond" w:hAnsi="Garamond" w:cstheme="minorHAnsi"/>
                <w:bCs/>
                <w:sz w:val="22"/>
                <w:szCs w:val="22"/>
              </w:rPr>
              <w:t xml:space="preserve">ИНН – ИНН организации, предоставляющей информацию, длина inn – 10 символов; </w:t>
            </w:r>
          </w:p>
          <w:p w14:paraId="68E84623" w14:textId="77777777" w:rsidR="00295C6D" w:rsidRPr="00A5626D" w:rsidRDefault="00295C6D" w:rsidP="00295C6D">
            <w:pPr>
              <w:widowControl w:val="0"/>
              <w:numPr>
                <w:ilvl w:val="0"/>
                <w:numId w:val="240"/>
              </w:numPr>
              <w:tabs>
                <w:tab w:val="left" w:pos="1134"/>
                <w:tab w:val="left" w:pos="7938"/>
              </w:tabs>
              <w:suppressAutoHyphens w:val="0"/>
              <w:autoSpaceDE w:val="0"/>
              <w:autoSpaceDN w:val="0"/>
              <w:adjustRightInd w:val="0"/>
              <w:spacing w:before="60" w:after="60" w:line="259" w:lineRule="auto"/>
              <w:ind w:left="0" w:firstLine="425"/>
              <w:jc w:val="both"/>
              <w:rPr>
                <w:rFonts w:ascii="Garamond" w:hAnsi="Garamond" w:cstheme="minorHAnsi"/>
                <w:bCs/>
                <w:sz w:val="22"/>
                <w:szCs w:val="22"/>
              </w:rPr>
            </w:pPr>
            <w:r w:rsidRPr="00A5626D">
              <w:rPr>
                <w:rFonts w:ascii="Garamond" w:hAnsi="Garamond" w:cstheme="minorHAnsi"/>
                <w:bCs/>
                <w:sz w:val="22"/>
                <w:szCs w:val="22"/>
              </w:rPr>
              <w:t>дата – момент времени, в который был сформирован макет, в формате “ГГГГММДДччммсс”, где ГГГГ – год, ММ – порядковый номер месяца, ДД – день, чч-час, мм-минуты, сс – секунды. Длина поля &lt;дата&gt; – 14 знаков. Указывается по московскому времени;</w:t>
            </w:r>
          </w:p>
          <w:p w14:paraId="31D79611" w14:textId="7887A489" w:rsidR="00295C6D" w:rsidRPr="00A5626D" w:rsidRDefault="00295C6D" w:rsidP="00295C6D">
            <w:pPr>
              <w:widowControl w:val="0"/>
              <w:numPr>
                <w:ilvl w:val="0"/>
                <w:numId w:val="240"/>
              </w:numPr>
              <w:tabs>
                <w:tab w:val="left" w:pos="1134"/>
                <w:tab w:val="left" w:pos="7938"/>
              </w:tabs>
              <w:suppressAutoHyphens w:val="0"/>
              <w:autoSpaceDE w:val="0"/>
              <w:autoSpaceDN w:val="0"/>
              <w:adjustRightInd w:val="0"/>
              <w:spacing w:before="60" w:after="60" w:line="259" w:lineRule="auto"/>
              <w:ind w:left="0" w:firstLine="466"/>
              <w:jc w:val="both"/>
              <w:rPr>
                <w:rFonts w:ascii="Garamond" w:hAnsi="Garamond" w:cstheme="minorHAnsi"/>
                <w:bCs/>
                <w:sz w:val="22"/>
                <w:szCs w:val="22"/>
              </w:rPr>
            </w:pPr>
            <w:r w:rsidRPr="00A5626D">
              <w:rPr>
                <w:rFonts w:ascii="Garamond" w:hAnsi="Garamond" w:cstheme="minorHAnsi"/>
                <w:bCs/>
                <w:sz w:val="22"/>
                <w:szCs w:val="22"/>
              </w:rPr>
              <w:t>код ГТП</w:t>
            </w:r>
            <w:r w:rsidR="002E762B" w:rsidRPr="00A5626D">
              <w:rPr>
                <w:rFonts w:ascii="Garamond" w:hAnsi="Garamond" w:cstheme="minorHAnsi"/>
                <w:bCs/>
                <w:sz w:val="22"/>
                <w:szCs w:val="22"/>
              </w:rPr>
              <w:t>,</w:t>
            </w:r>
            <w:r w:rsidRPr="00A5626D">
              <w:rPr>
                <w:rFonts w:ascii="Garamond" w:hAnsi="Garamond" w:cstheme="minorHAnsi"/>
                <w:bCs/>
                <w:sz w:val="22"/>
                <w:szCs w:val="22"/>
              </w:rPr>
              <w:t xml:space="preserve"> или сечения </w:t>
            </w:r>
            <w:r w:rsidRPr="00A5626D">
              <w:rPr>
                <w:rFonts w:ascii="Garamond" w:hAnsi="Garamond" w:cstheme="minorHAnsi"/>
                <w:bCs/>
                <w:sz w:val="22"/>
                <w:szCs w:val="22"/>
                <w:highlight w:val="yellow"/>
              </w:rPr>
              <w:t>КУ</w:t>
            </w:r>
            <w:r w:rsidR="002E762B" w:rsidRPr="00A5626D">
              <w:rPr>
                <w:rFonts w:ascii="Garamond" w:hAnsi="Garamond" w:cstheme="minorHAnsi"/>
                <w:bCs/>
                <w:sz w:val="22"/>
                <w:szCs w:val="22"/>
                <w:highlight w:val="yellow"/>
              </w:rPr>
              <w:t>,</w:t>
            </w:r>
            <w:r w:rsidRPr="00A5626D">
              <w:rPr>
                <w:rFonts w:ascii="Garamond" w:hAnsi="Garamond" w:cstheme="minorHAnsi"/>
                <w:bCs/>
                <w:sz w:val="22"/>
                <w:szCs w:val="22"/>
                <w:highlight w:val="yellow"/>
              </w:rPr>
              <w:t xml:space="preserve"> или объекта регулирования</w:t>
            </w:r>
            <w:r w:rsidRPr="00A5626D">
              <w:rPr>
                <w:rFonts w:ascii="Garamond" w:hAnsi="Garamond" w:cstheme="minorHAnsi"/>
                <w:bCs/>
                <w:sz w:val="22"/>
                <w:szCs w:val="22"/>
              </w:rPr>
              <w:t xml:space="preserve"> – указывается либо код ГТП генерации в формате GXXXXXXX, либо код сечения КУ в формате XXXXXXXX_YYYYYYYY, состоящий из кодов ГТП потребления</w:t>
            </w:r>
            <w:r w:rsidR="00C15199">
              <w:rPr>
                <w:rFonts w:ascii="Garamond" w:hAnsi="Garamond" w:cstheme="minorHAnsi"/>
                <w:bCs/>
                <w:sz w:val="22"/>
                <w:szCs w:val="22"/>
              </w:rPr>
              <w:t xml:space="preserve"> </w:t>
            </w:r>
            <w:r w:rsidRPr="00C15199">
              <w:rPr>
                <w:rFonts w:ascii="Garamond" w:hAnsi="Garamond" w:cstheme="minorHAnsi"/>
                <w:bCs/>
                <w:sz w:val="22"/>
                <w:szCs w:val="22"/>
                <w:highlight w:val="yellow"/>
              </w:rPr>
              <w:t>/</w:t>
            </w:r>
            <w:r w:rsidR="00C15199">
              <w:rPr>
                <w:rFonts w:ascii="Garamond" w:hAnsi="Garamond" w:cstheme="minorHAnsi"/>
                <w:bCs/>
                <w:sz w:val="22"/>
                <w:szCs w:val="22"/>
              </w:rPr>
              <w:t xml:space="preserve"> </w:t>
            </w:r>
            <w:r w:rsidRPr="00A5626D">
              <w:rPr>
                <w:rFonts w:ascii="Garamond" w:hAnsi="Garamond" w:cstheme="minorHAnsi"/>
                <w:bCs/>
                <w:sz w:val="22"/>
                <w:szCs w:val="22"/>
              </w:rPr>
              <w:t xml:space="preserve">сечения </w:t>
            </w:r>
            <w:r w:rsidRPr="00A5626D">
              <w:rPr>
                <w:rFonts w:ascii="Garamond" w:hAnsi="Garamond" w:cstheme="minorHAnsi"/>
                <w:bCs/>
                <w:sz w:val="22"/>
                <w:szCs w:val="22"/>
                <w:highlight w:val="yellow"/>
              </w:rPr>
              <w:t>КУ</w:t>
            </w:r>
            <w:r w:rsidRPr="00A5626D">
              <w:rPr>
                <w:rFonts w:ascii="Garamond" w:hAnsi="Garamond" w:cstheme="minorHAnsi"/>
                <w:bCs/>
                <w:sz w:val="22"/>
                <w:szCs w:val="22"/>
              </w:rPr>
              <w:t xml:space="preserve"> смежных субъектов оптового рынка, разделенных знаком «_»</w:t>
            </w:r>
            <w:r w:rsidRPr="00A5626D">
              <w:rPr>
                <w:rFonts w:ascii="Garamond" w:hAnsi="Garamond" w:cstheme="minorHAnsi"/>
                <w:bCs/>
                <w:sz w:val="22"/>
                <w:szCs w:val="22"/>
                <w:highlight w:val="yellow"/>
              </w:rPr>
              <w:t>, либо код объекта регулирования (далее – ОР) в формате ORXXXXXX.</w:t>
            </w:r>
            <w:r w:rsidRPr="00A5626D">
              <w:rPr>
                <w:rFonts w:ascii="Garamond" w:hAnsi="Garamond" w:cstheme="minorHAnsi"/>
                <w:bCs/>
                <w:sz w:val="22"/>
                <w:szCs w:val="22"/>
              </w:rPr>
              <w:t xml:space="preserve"> </w:t>
            </w:r>
          </w:p>
          <w:p w14:paraId="36A4CC7D" w14:textId="6618DDD0" w:rsidR="00295C6D" w:rsidRPr="00A5626D" w:rsidRDefault="00295C6D" w:rsidP="00E31AE6">
            <w:pPr>
              <w:widowControl w:val="0"/>
              <w:tabs>
                <w:tab w:val="left" w:pos="1134"/>
                <w:tab w:val="left" w:pos="7938"/>
              </w:tabs>
              <w:suppressAutoHyphens w:val="0"/>
              <w:autoSpaceDE w:val="0"/>
              <w:autoSpaceDN w:val="0"/>
              <w:adjustRightInd w:val="0"/>
              <w:spacing w:before="60" w:after="60"/>
              <w:ind w:firstLine="466"/>
              <w:jc w:val="both"/>
              <w:rPr>
                <w:rFonts w:ascii="Garamond" w:hAnsi="Garamond" w:cstheme="minorHAnsi"/>
                <w:bCs/>
                <w:sz w:val="22"/>
                <w:szCs w:val="22"/>
              </w:rPr>
            </w:pPr>
            <w:r w:rsidRPr="00A5626D">
              <w:rPr>
                <w:rFonts w:ascii="Garamond" w:hAnsi="Garamond" w:cstheme="minorHAnsi"/>
                <w:bCs/>
                <w:sz w:val="22"/>
                <w:szCs w:val="22"/>
              </w:rPr>
              <w:t>При этом код ГТП потребления</w:t>
            </w:r>
            <w:r w:rsidR="000B3419" w:rsidRPr="00A5626D">
              <w:rPr>
                <w:rFonts w:ascii="Garamond" w:hAnsi="Garamond" w:cstheme="minorHAnsi"/>
                <w:bCs/>
                <w:sz w:val="22"/>
                <w:szCs w:val="22"/>
              </w:rPr>
              <w:t xml:space="preserve"> </w:t>
            </w:r>
            <w:r w:rsidRPr="00A5626D">
              <w:rPr>
                <w:rFonts w:ascii="Garamond" w:hAnsi="Garamond" w:cstheme="minorHAnsi"/>
                <w:bCs/>
                <w:sz w:val="22"/>
                <w:szCs w:val="22"/>
              </w:rPr>
              <w:t>/</w:t>
            </w:r>
            <w:r w:rsidR="000B3419" w:rsidRPr="00A5626D">
              <w:rPr>
                <w:rFonts w:ascii="Garamond" w:hAnsi="Garamond" w:cstheme="minorHAnsi"/>
                <w:bCs/>
                <w:sz w:val="22"/>
                <w:szCs w:val="22"/>
              </w:rPr>
              <w:t xml:space="preserve"> </w:t>
            </w:r>
            <w:r w:rsidRPr="00A5626D">
              <w:rPr>
                <w:rFonts w:ascii="Garamond" w:hAnsi="Garamond" w:cstheme="minorHAnsi"/>
                <w:bCs/>
                <w:sz w:val="22"/>
                <w:szCs w:val="22"/>
              </w:rPr>
              <w:t>код ГТП генерации</w:t>
            </w:r>
            <w:r w:rsidR="000B3419" w:rsidRPr="00A5626D">
              <w:rPr>
                <w:rFonts w:ascii="Garamond" w:hAnsi="Garamond" w:cstheme="minorHAnsi"/>
                <w:bCs/>
                <w:sz w:val="22"/>
                <w:szCs w:val="22"/>
              </w:rPr>
              <w:t xml:space="preserve"> </w:t>
            </w:r>
            <w:r w:rsidRPr="00A5626D">
              <w:rPr>
                <w:rFonts w:ascii="Garamond" w:hAnsi="Garamond" w:cstheme="minorHAnsi"/>
                <w:bCs/>
                <w:sz w:val="22"/>
                <w:szCs w:val="22"/>
              </w:rPr>
              <w:t>/</w:t>
            </w:r>
            <w:r w:rsidR="000B3419" w:rsidRPr="00A5626D">
              <w:rPr>
                <w:rFonts w:ascii="Garamond" w:hAnsi="Garamond" w:cstheme="minorHAnsi"/>
                <w:bCs/>
                <w:sz w:val="22"/>
                <w:szCs w:val="22"/>
              </w:rPr>
              <w:t xml:space="preserve"> </w:t>
            </w:r>
            <w:r w:rsidRPr="00A5626D">
              <w:rPr>
                <w:rFonts w:ascii="Garamond" w:hAnsi="Garamond" w:cstheme="minorHAnsi"/>
                <w:bCs/>
                <w:sz w:val="22"/>
                <w:szCs w:val="22"/>
                <w:highlight w:val="yellow"/>
              </w:rPr>
              <w:t>код ОР</w:t>
            </w:r>
            <w:r w:rsidRPr="00A5626D">
              <w:rPr>
                <w:rFonts w:ascii="Garamond" w:hAnsi="Garamond" w:cstheme="minorHAnsi"/>
                <w:bCs/>
                <w:sz w:val="22"/>
                <w:szCs w:val="22"/>
              </w:rPr>
              <w:t xml:space="preserve"> состоит из 8 (восьми) символов, включающих строчные или прописные буквы латинского алфавита и (или) цифры.</w:t>
            </w:r>
          </w:p>
          <w:p w14:paraId="6B45A7BB" w14:textId="77777777" w:rsidR="00295C6D" w:rsidRPr="00A5626D" w:rsidRDefault="00295C6D" w:rsidP="00E31AE6">
            <w:pPr>
              <w:widowControl w:val="0"/>
              <w:tabs>
                <w:tab w:val="left" w:pos="1134"/>
                <w:tab w:val="left" w:pos="7938"/>
              </w:tabs>
              <w:suppressAutoHyphens w:val="0"/>
              <w:autoSpaceDE w:val="0"/>
              <w:autoSpaceDN w:val="0"/>
              <w:adjustRightInd w:val="0"/>
              <w:spacing w:before="60" w:after="60" w:line="256" w:lineRule="auto"/>
              <w:ind w:firstLine="466"/>
              <w:jc w:val="both"/>
              <w:rPr>
                <w:rFonts w:ascii="Garamond" w:hAnsi="Garamond" w:cstheme="minorHAnsi"/>
                <w:bCs/>
                <w:sz w:val="22"/>
                <w:szCs w:val="22"/>
              </w:rPr>
            </w:pPr>
            <w:r w:rsidRPr="00A5626D">
              <w:rPr>
                <w:rFonts w:ascii="Garamond" w:hAnsi="Garamond" w:cstheme="minorHAnsi"/>
                <w:bCs/>
                <w:sz w:val="22"/>
                <w:szCs w:val="22"/>
              </w:rPr>
              <w:lastRenderedPageBreak/>
              <w:t>В случае формирования ПСИ по новой ГТП</w:t>
            </w:r>
            <w:r w:rsidRPr="00A5626D">
              <w:rPr>
                <w:rFonts w:ascii="Garamond" w:hAnsi="Garamond" w:cstheme="minorHAnsi"/>
                <w:bCs/>
                <w:sz w:val="22"/>
                <w:szCs w:val="22"/>
                <w:highlight w:val="yellow"/>
              </w:rPr>
              <w:t>/ОР</w:t>
            </w:r>
            <w:r w:rsidRPr="00A5626D">
              <w:rPr>
                <w:rFonts w:ascii="Garamond" w:hAnsi="Garamond" w:cstheme="minorHAnsi"/>
                <w:bCs/>
                <w:sz w:val="22"/>
                <w:szCs w:val="22"/>
              </w:rPr>
              <w:t>, для которой КО в отношении данного заявителя не присвоен уникальный код, заявитель должен обозначить код следующим образом:</w:t>
            </w:r>
          </w:p>
          <w:p w14:paraId="6A40A658" w14:textId="77777777" w:rsidR="00295C6D" w:rsidRPr="00A5626D" w:rsidRDefault="00295C6D" w:rsidP="00295C6D">
            <w:pPr>
              <w:widowControl w:val="0"/>
              <w:numPr>
                <w:ilvl w:val="0"/>
                <w:numId w:val="269"/>
              </w:numPr>
              <w:tabs>
                <w:tab w:val="left" w:pos="1134"/>
                <w:tab w:val="left" w:pos="7938"/>
              </w:tabs>
              <w:suppressAutoHyphens w:val="0"/>
              <w:autoSpaceDE w:val="0"/>
              <w:autoSpaceDN w:val="0"/>
              <w:adjustRightInd w:val="0"/>
              <w:spacing w:before="60" w:after="60" w:line="256" w:lineRule="auto"/>
              <w:ind w:left="0" w:firstLine="346"/>
              <w:jc w:val="both"/>
              <w:rPr>
                <w:rFonts w:ascii="Garamond" w:hAnsi="Garamond" w:cstheme="minorHAnsi"/>
                <w:bCs/>
                <w:sz w:val="22"/>
                <w:szCs w:val="22"/>
              </w:rPr>
            </w:pPr>
            <w:r w:rsidRPr="00A5626D">
              <w:rPr>
                <w:rFonts w:ascii="Garamond" w:hAnsi="Garamond" w:cstheme="minorHAnsi"/>
                <w:bCs/>
                <w:sz w:val="22"/>
                <w:szCs w:val="22"/>
              </w:rPr>
              <w:t>код ГТП генерации: GXXXXXXX;</w:t>
            </w:r>
          </w:p>
          <w:p w14:paraId="4D3A7016" w14:textId="77777777" w:rsidR="00295C6D" w:rsidRPr="00A5626D" w:rsidRDefault="00295C6D" w:rsidP="00295C6D">
            <w:pPr>
              <w:widowControl w:val="0"/>
              <w:numPr>
                <w:ilvl w:val="0"/>
                <w:numId w:val="269"/>
              </w:numPr>
              <w:tabs>
                <w:tab w:val="left" w:pos="1134"/>
                <w:tab w:val="left" w:pos="7938"/>
              </w:tabs>
              <w:suppressAutoHyphens w:val="0"/>
              <w:autoSpaceDE w:val="0"/>
              <w:autoSpaceDN w:val="0"/>
              <w:adjustRightInd w:val="0"/>
              <w:spacing w:before="60" w:after="60" w:line="256" w:lineRule="auto"/>
              <w:ind w:left="0" w:firstLine="346"/>
              <w:jc w:val="both"/>
              <w:rPr>
                <w:rFonts w:ascii="Garamond" w:hAnsi="Garamond" w:cstheme="minorHAnsi"/>
                <w:bCs/>
                <w:sz w:val="22"/>
                <w:szCs w:val="22"/>
              </w:rPr>
            </w:pPr>
            <w:r w:rsidRPr="00A5626D">
              <w:rPr>
                <w:rFonts w:ascii="Garamond" w:hAnsi="Garamond" w:cstheme="minorHAnsi"/>
                <w:bCs/>
                <w:sz w:val="22"/>
                <w:szCs w:val="22"/>
              </w:rPr>
              <w:t>код ГТП потребления: PXXXXXXX;</w:t>
            </w:r>
          </w:p>
          <w:p w14:paraId="55EAC7F8" w14:textId="77777777" w:rsidR="00295C6D" w:rsidRPr="00A5626D" w:rsidRDefault="00295C6D" w:rsidP="00295C6D">
            <w:pPr>
              <w:widowControl w:val="0"/>
              <w:numPr>
                <w:ilvl w:val="0"/>
                <w:numId w:val="269"/>
              </w:numPr>
              <w:tabs>
                <w:tab w:val="left" w:pos="1134"/>
                <w:tab w:val="left" w:pos="7938"/>
              </w:tabs>
              <w:suppressAutoHyphens w:val="0"/>
              <w:autoSpaceDE w:val="0"/>
              <w:autoSpaceDN w:val="0"/>
              <w:adjustRightInd w:val="0"/>
              <w:spacing w:before="60" w:after="60" w:line="256" w:lineRule="auto"/>
              <w:ind w:left="0" w:firstLine="346"/>
              <w:jc w:val="both"/>
              <w:rPr>
                <w:rFonts w:ascii="Garamond" w:hAnsi="Garamond" w:cstheme="minorHAnsi"/>
                <w:bCs/>
                <w:sz w:val="22"/>
                <w:szCs w:val="22"/>
                <w:highlight w:val="yellow"/>
              </w:rPr>
            </w:pPr>
            <w:r w:rsidRPr="00A5626D">
              <w:rPr>
                <w:rFonts w:ascii="Garamond" w:hAnsi="Garamond" w:cstheme="minorHAnsi"/>
                <w:bCs/>
                <w:sz w:val="22"/>
                <w:szCs w:val="22"/>
                <w:highlight w:val="yellow"/>
              </w:rPr>
              <w:t>код ОР: ORXXXXXX.</w:t>
            </w:r>
          </w:p>
          <w:p w14:paraId="2B0655FA" w14:textId="77777777" w:rsidR="00295C6D" w:rsidRPr="00A5626D" w:rsidRDefault="00295C6D" w:rsidP="00E31AE6">
            <w:pPr>
              <w:widowControl w:val="0"/>
              <w:tabs>
                <w:tab w:val="left" w:pos="1134"/>
                <w:tab w:val="left" w:pos="7938"/>
              </w:tabs>
              <w:suppressAutoHyphens w:val="0"/>
              <w:autoSpaceDE w:val="0"/>
              <w:autoSpaceDN w:val="0"/>
              <w:adjustRightInd w:val="0"/>
              <w:spacing w:before="60" w:after="60"/>
              <w:ind w:left="41" w:firstLine="425"/>
              <w:jc w:val="both"/>
              <w:rPr>
                <w:rFonts w:ascii="Garamond" w:hAnsi="Garamond" w:cstheme="minorHAnsi"/>
                <w:b/>
                <w:sz w:val="22"/>
                <w:szCs w:val="22"/>
              </w:rPr>
            </w:pPr>
            <w:r w:rsidRPr="00A5626D">
              <w:rPr>
                <w:rFonts w:ascii="Garamond" w:hAnsi="Garamond" w:cstheme="minorHAnsi"/>
                <w:bCs/>
                <w:sz w:val="22"/>
                <w:szCs w:val="22"/>
              </w:rPr>
              <w:t>В случае формирования ПСИ по временному сечению необходимо указывать коды ГТП (код сечения с ФСК), используемые в закрепленных за смежными субъектами оптового рынка ГТП (сечении с ФСК).</w:t>
            </w:r>
          </w:p>
        </w:tc>
      </w:tr>
      <w:tr w:rsidR="00295C6D" w:rsidRPr="00A5626D" w14:paraId="7FDA64B7" w14:textId="77777777" w:rsidTr="00647FA0">
        <w:tc>
          <w:tcPr>
            <w:tcW w:w="1060" w:type="dxa"/>
            <w:vAlign w:val="center"/>
          </w:tcPr>
          <w:p w14:paraId="533ADB3F" w14:textId="2FCBC0E6" w:rsidR="00295C6D" w:rsidRPr="00A5626D" w:rsidRDefault="00295C6D" w:rsidP="00E31AE6">
            <w:pPr>
              <w:widowControl w:val="0"/>
              <w:tabs>
                <w:tab w:val="left" w:pos="1134"/>
                <w:tab w:val="left" w:pos="7938"/>
              </w:tabs>
              <w:spacing w:line="22" w:lineRule="atLeast"/>
              <w:jc w:val="both"/>
              <w:rPr>
                <w:rFonts w:ascii="Garamond" w:hAnsi="Garamond"/>
                <w:b/>
                <w:sz w:val="22"/>
                <w:szCs w:val="22"/>
                <w:lang w:eastAsia="en-US"/>
              </w:rPr>
            </w:pPr>
            <w:r w:rsidRPr="00A5626D">
              <w:rPr>
                <w:rFonts w:ascii="Garamond" w:hAnsi="Garamond"/>
                <w:b/>
                <w:sz w:val="22"/>
                <w:szCs w:val="22"/>
                <w:lang w:eastAsia="en-US"/>
              </w:rPr>
              <w:lastRenderedPageBreak/>
              <w:t>Приложение 5, п.</w:t>
            </w:r>
            <w:r w:rsidR="000B3419" w:rsidRPr="00A5626D">
              <w:rPr>
                <w:rFonts w:ascii="Garamond" w:hAnsi="Garamond"/>
                <w:b/>
                <w:sz w:val="22"/>
                <w:szCs w:val="22"/>
                <w:lang w:eastAsia="en-US"/>
              </w:rPr>
              <w:t> </w:t>
            </w:r>
            <w:r w:rsidRPr="00A5626D">
              <w:rPr>
                <w:rFonts w:ascii="Garamond" w:hAnsi="Garamond"/>
                <w:b/>
                <w:sz w:val="22"/>
                <w:szCs w:val="22"/>
                <w:lang w:eastAsia="en-US"/>
              </w:rPr>
              <w:t>4.2.1.1.1.</w:t>
            </w:r>
          </w:p>
        </w:tc>
        <w:tc>
          <w:tcPr>
            <w:tcW w:w="6662" w:type="dxa"/>
          </w:tcPr>
          <w:p w14:paraId="13F9F155" w14:textId="77777777" w:rsidR="00295C6D" w:rsidRPr="00A5626D" w:rsidRDefault="00295C6D" w:rsidP="00E31AE6">
            <w:pPr>
              <w:tabs>
                <w:tab w:val="left" w:pos="1134"/>
                <w:tab w:val="left" w:pos="7938"/>
              </w:tabs>
              <w:spacing w:before="120" w:after="120"/>
              <w:ind w:firstLine="567"/>
              <w:jc w:val="both"/>
              <w:rPr>
                <w:rFonts w:ascii="Garamond" w:hAnsi="Garamond" w:cstheme="minorHAnsi"/>
                <w:sz w:val="22"/>
                <w:szCs w:val="22"/>
              </w:rPr>
            </w:pPr>
            <w:r w:rsidRPr="00A5626D">
              <w:rPr>
                <w:rFonts w:ascii="Garamond" w:hAnsi="Garamond" w:cstheme="minorHAnsi"/>
                <w:sz w:val="22"/>
                <w:szCs w:val="22"/>
              </w:rPr>
              <w:t>&lt;</w:t>
            </w:r>
            <w:r w:rsidRPr="00A5626D">
              <w:rPr>
                <w:rFonts w:ascii="Garamond" w:hAnsi="Garamond" w:cstheme="minorHAnsi"/>
                <w:b/>
                <w:sz w:val="22"/>
                <w:szCs w:val="22"/>
                <w:lang w:val="en-US"/>
              </w:rPr>
              <w:t>dictionaries</w:t>
            </w:r>
            <w:r w:rsidRPr="00A5626D">
              <w:rPr>
                <w:rFonts w:ascii="Garamond" w:hAnsi="Garamond" w:cstheme="minorHAnsi"/>
                <w:sz w:val="22"/>
                <w:szCs w:val="22"/>
              </w:rPr>
              <w:t>&gt;</w:t>
            </w:r>
          </w:p>
          <w:p w14:paraId="76ABFD80" w14:textId="671D9933" w:rsidR="00295C6D" w:rsidRPr="00A5626D" w:rsidRDefault="00295C6D" w:rsidP="00E31AE6">
            <w:pPr>
              <w:tabs>
                <w:tab w:val="left" w:pos="1134"/>
                <w:tab w:val="left" w:pos="7938"/>
              </w:tabs>
              <w:spacing w:before="120" w:after="120"/>
              <w:ind w:firstLine="567"/>
              <w:jc w:val="both"/>
              <w:rPr>
                <w:rFonts w:ascii="Garamond" w:hAnsi="Garamond" w:cstheme="minorHAnsi"/>
                <w:sz w:val="22"/>
                <w:szCs w:val="22"/>
              </w:rPr>
            </w:pPr>
            <w:r w:rsidRPr="00A5626D">
              <w:rPr>
                <w:rFonts w:ascii="Garamond" w:hAnsi="Garamond" w:cstheme="minorHAnsi"/>
                <w:sz w:val="22"/>
                <w:szCs w:val="22"/>
              </w:rPr>
              <w:t>В элементе &lt;</w:t>
            </w:r>
            <w:r w:rsidRPr="00A5626D">
              <w:rPr>
                <w:rFonts w:ascii="Garamond" w:hAnsi="Garamond" w:cstheme="minorHAnsi"/>
                <w:b/>
                <w:sz w:val="22"/>
                <w:szCs w:val="22"/>
                <w:lang w:val="en-US"/>
              </w:rPr>
              <w:t>dictionaries</w:t>
            </w:r>
            <w:r w:rsidRPr="00A5626D">
              <w:rPr>
                <w:rFonts w:ascii="Garamond" w:hAnsi="Garamond" w:cstheme="minorHAnsi"/>
                <w:sz w:val="22"/>
                <w:szCs w:val="22"/>
              </w:rPr>
              <w:t>&gt; описывается справочная информация. Содержит набор словарей (справочников) с информацией об организациях, подписавших документ, собственниках оборудования, энергообъектах, модификациях измерительных приборов, точках поставки, точках измерени</w:t>
            </w:r>
            <w:r w:rsidRPr="00A5626D">
              <w:rPr>
                <w:rFonts w:ascii="Garamond" w:hAnsi="Garamond" w:cstheme="minorHAnsi"/>
                <w:sz w:val="22"/>
                <w:szCs w:val="22"/>
                <w:highlight w:val="yellow"/>
              </w:rPr>
              <w:t>я</w:t>
            </w:r>
            <w:r w:rsidRPr="00A5626D">
              <w:rPr>
                <w:rFonts w:ascii="Garamond" w:hAnsi="Garamond" w:cstheme="minorHAnsi"/>
                <w:sz w:val="22"/>
                <w:szCs w:val="22"/>
              </w:rPr>
              <w:t>, измерительных приборах, измерительных каналах и объектах измерения.</w:t>
            </w:r>
            <w:r w:rsidR="009B5F03" w:rsidRPr="00A5626D">
              <w:rPr>
                <w:rFonts w:ascii="Garamond" w:hAnsi="Garamond" w:cstheme="minorHAnsi"/>
                <w:sz w:val="22"/>
                <w:szCs w:val="22"/>
              </w:rPr>
              <w:t xml:space="preserve"> </w:t>
            </w:r>
          </w:p>
          <w:p w14:paraId="3F291D79" w14:textId="77777777" w:rsidR="00295C6D" w:rsidRPr="00A5626D" w:rsidRDefault="00295C6D" w:rsidP="00E31AE6">
            <w:pPr>
              <w:tabs>
                <w:tab w:val="left" w:pos="1134"/>
                <w:tab w:val="left" w:pos="7938"/>
              </w:tabs>
              <w:spacing w:before="120" w:after="120"/>
              <w:ind w:firstLine="567"/>
              <w:jc w:val="both"/>
              <w:rPr>
                <w:rFonts w:ascii="Garamond" w:hAnsi="Garamond" w:cstheme="minorHAnsi"/>
                <w:sz w:val="22"/>
                <w:szCs w:val="22"/>
              </w:rPr>
            </w:pPr>
            <w:r w:rsidRPr="00A5626D">
              <w:rPr>
                <w:rFonts w:ascii="Garamond" w:hAnsi="Garamond" w:cstheme="minorHAnsi"/>
                <w:bCs/>
                <w:sz w:val="22"/>
                <w:szCs w:val="22"/>
              </w:rPr>
              <w:t>Обязательный элемент</w:t>
            </w:r>
            <w:r w:rsidRPr="00A5626D">
              <w:rPr>
                <w:rFonts w:ascii="Garamond" w:hAnsi="Garamond" w:cstheme="minorHAnsi"/>
                <w:sz w:val="22"/>
                <w:szCs w:val="22"/>
              </w:rPr>
              <w:t>. Допускается наличие только одного элемента.</w:t>
            </w:r>
          </w:p>
          <w:p w14:paraId="275C7C1B" w14:textId="77777777" w:rsidR="00295C6D" w:rsidRPr="00A5626D" w:rsidRDefault="00295C6D" w:rsidP="00E31AE6">
            <w:pPr>
              <w:tabs>
                <w:tab w:val="left" w:pos="1134"/>
                <w:tab w:val="left" w:pos="7938"/>
              </w:tabs>
              <w:spacing w:before="120" w:after="120"/>
              <w:ind w:firstLine="567"/>
              <w:jc w:val="both"/>
              <w:rPr>
                <w:rFonts w:ascii="Garamond" w:hAnsi="Garamond" w:cstheme="minorHAnsi"/>
                <w:b/>
                <w:sz w:val="22"/>
                <w:szCs w:val="22"/>
                <w:lang w:val="en-US"/>
              </w:rPr>
            </w:pPr>
            <w:r w:rsidRPr="00A5626D">
              <w:rPr>
                <w:rFonts w:ascii="Garamond" w:hAnsi="Garamond" w:cstheme="minorHAnsi"/>
                <w:sz w:val="22"/>
                <w:szCs w:val="22"/>
              </w:rPr>
              <w:t>Дочерними</w:t>
            </w:r>
            <w:r w:rsidRPr="00A5626D">
              <w:rPr>
                <w:rFonts w:ascii="Garamond" w:hAnsi="Garamond" w:cstheme="minorHAnsi"/>
                <w:sz w:val="22"/>
                <w:szCs w:val="22"/>
                <w:lang w:val="en-US"/>
              </w:rPr>
              <w:t xml:space="preserve"> </w:t>
            </w:r>
            <w:r w:rsidRPr="00A5626D">
              <w:rPr>
                <w:rFonts w:ascii="Garamond" w:hAnsi="Garamond" w:cstheme="minorHAnsi"/>
                <w:sz w:val="22"/>
                <w:szCs w:val="22"/>
              </w:rPr>
              <w:t>элементами</w:t>
            </w:r>
            <w:r w:rsidRPr="00A5626D">
              <w:rPr>
                <w:rFonts w:ascii="Garamond" w:hAnsi="Garamond" w:cstheme="minorHAnsi"/>
                <w:sz w:val="22"/>
                <w:szCs w:val="22"/>
                <w:lang w:val="en-US"/>
              </w:rPr>
              <w:t xml:space="preserve"> </w:t>
            </w:r>
            <w:r w:rsidRPr="00A5626D">
              <w:rPr>
                <w:rFonts w:ascii="Garamond" w:hAnsi="Garamond" w:cstheme="minorHAnsi"/>
                <w:sz w:val="22"/>
                <w:szCs w:val="22"/>
              </w:rPr>
              <w:t>являются</w:t>
            </w:r>
            <w:r w:rsidRPr="00A5626D">
              <w:rPr>
                <w:rFonts w:ascii="Garamond" w:hAnsi="Garamond" w:cstheme="minorHAnsi"/>
                <w:sz w:val="22"/>
                <w:szCs w:val="22"/>
                <w:lang w:val="en-US"/>
              </w:rPr>
              <w:t xml:space="preserve">: </w:t>
            </w:r>
            <w:r w:rsidRPr="00A5626D">
              <w:rPr>
                <w:rFonts w:ascii="Garamond" w:hAnsi="Garamond" w:cstheme="minorHAnsi"/>
                <w:b/>
                <w:sz w:val="22"/>
                <w:szCs w:val="22"/>
                <w:lang w:val="en-US"/>
              </w:rPr>
              <w:t>&lt;organizations&gt;, &lt;gtps&gt;, &lt;power-object-owners&gt;, &lt;aiises&gt;, &lt;power-objects&gt;, &lt;delivery-points&gt;, &lt;measuring-device-modifications&gt;, &lt;measuring-points&gt;, &lt;measuring-objects&gt;.</w:t>
            </w:r>
          </w:p>
        </w:tc>
        <w:tc>
          <w:tcPr>
            <w:tcW w:w="7088" w:type="dxa"/>
          </w:tcPr>
          <w:p w14:paraId="2211E6C9" w14:textId="77777777" w:rsidR="00295C6D" w:rsidRPr="00A5626D" w:rsidRDefault="00295C6D" w:rsidP="00E31AE6">
            <w:pPr>
              <w:tabs>
                <w:tab w:val="left" w:pos="1134"/>
                <w:tab w:val="left" w:pos="7938"/>
              </w:tabs>
              <w:spacing w:before="120" w:after="120"/>
              <w:ind w:firstLine="567"/>
              <w:jc w:val="both"/>
              <w:rPr>
                <w:rFonts w:ascii="Garamond" w:hAnsi="Garamond" w:cstheme="minorHAnsi"/>
                <w:sz w:val="22"/>
                <w:szCs w:val="22"/>
              </w:rPr>
            </w:pPr>
            <w:r w:rsidRPr="00A5626D">
              <w:rPr>
                <w:rFonts w:ascii="Garamond" w:hAnsi="Garamond" w:cstheme="minorHAnsi"/>
                <w:sz w:val="22"/>
                <w:szCs w:val="22"/>
              </w:rPr>
              <w:t>&lt;</w:t>
            </w:r>
            <w:r w:rsidRPr="00A5626D">
              <w:rPr>
                <w:rFonts w:ascii="Garamond" w:hAnsi="Garamond" w:cstheme="minorHAnsi"/>
                <w:b/>
                <w:sz w:val="22"/>
                <w:szCs w:val="22"/>
                <w:lang w:val="en-US"/>
              </w:rPr>
              <w:t>dictionaries</w:t>
            </w:r>
            <w:r w:rsidRPr="00A5626D">
              <w:rPr>
                <w:rFonts w:ascii="Garamond" w:hAnsi="Garamond" w:cstheme="minorHAnsi"/>
                <w:sz w:val="22"/>
                <w:szCs w:val="22"/>
              </w:rPr>
              <w:t>&gt;</w:t>
            </w:r>
          </w:p>
          <w:p w14:paraId="23CF71BB" w14:textId="509C80DB" w:rsidR="00295C6D" w:rsidRPr="00A5626D" w:rsidRDefault="00295C6D" w:rsidP="00E31AE6">
            <w:pPr>
              <w:tabs>
                <w:tab w:val="left" w:pos="1134"/>
                <w:tab w:val="left" w:pos="7938"/>
              </w:tabs>
              <w:spacing w:before="120" w:after="120"/>
              <w:ind w:firstLine="567"/>
              <w:jc w:val="both"/>
              <w:rPr>
                <w:rFonts w:ascii="Garamond" w:hAnsi="Garamond" w:cstheme="minorHAnsi"/>
                <w:sz w:val="22"/>
                <w:szCs w:val="22"/>
              </w:rPr>
            </w:pPr>
            <w:r w:rsidRPr="00A5626D">
              <w:rPr>
                <w:rFonts w:ascii="Garamond" w:hAnsi="Garamond" w:cstheme="minorHAnsi"/>
                <w:sz w:val="22"/>
                <w:szCs w:val="22"/>
              </w:rPr>
              <w:t>В элементе &lt;</w:t>
            </w:r>
            <w:r w:rsidRPr="00A5626D">
              <w:rPr>
                <w:rFonts w:ascii="Garamond" w:hAnsi="Garamond" w:cstheme="minorHAnsi"/>
                <w:b/>
                <w:sz w:val="22"/>
                <w:szCs w:val="22"/>
                <w:lang w:val="en-US"/>
              </w:rPr>
              <w:t>dictionaries</w:t>
            </w:r>
            <w:r w:rsidRPr="00A5626D">
              <w:rPr>
                <w:rFonts w:ascii="Garamond" w:hAnsi="Garamond" w:cstheme="minorHAnsi"/>
                <w:sz w:val="22"/>
                <w:szCs w:val="22"/>
              </w:rPr>
              <w:t xml:space="preserve">&gt; описывается справочная информация. Содержит набор словарей (справочников) с информацией об организациях, подписавших документ, собственниках оборудования, энергообъектах, модификациях измерительных приборов, точках поставки, </w:t>
            </w:r>
            <w:r w:rsidRPr="00A5626D">
              <w:rPr>
                <w:rFonts w:ascii="Garamond" w:hAnsi="Garamond" w:cstheme="minorHAnsi"/>
                <w:sz w:val="22"/>
                <w:szCs w:val="22"/>
                <w:highlight w:val="yellow"/>
              </w:rPr>
              <w:t>точках присоединения</w:t>
            </w:r>
            <w:r w:rsidRPr="00A5626D">
              <w:rPr>
                <w:rFonts w:ascii="Garamond" w:hAnsi="Garamond" w:cstheme="minorHAnsi"/>
                <w:sz w:val="22"/>
                <w:szCs w:val="22"/>
              </w:rPr>
              <w:t>, точках измерени</w:t>
            </w:r>
            <w:r w:rsidRPr="00A5626D">
              <w:rPr>
                <w:rFonts w:ascii="Garamond" w:hAnsi="Garamond" w:cstheme="minorHAnsi"/>
                <w:sz w:val="22"/>
                <w:szCs w:val="22"/>
                <w:highlight w:val="yellow"/>
              </w:rPr>
              <w:t>й</w:t>
            </w:r>
            <w:r w:rsidRPr="00A5626D">
              <w:rPr>
                <w:rFonts w:ascii="Garamond" w:hAnsi="Garamond" w:cstheme="minorHAnsi"/>
                <w:sz w:val="22"/>
                <w:szCs w:val="22"/>
              </w:rPr>
              <w:t>, измерительных приборах, измерительных каналах и объектах измерения.</w:t>
            </w:r>
            <w:r w:rsidR="009B5F03" w:rsidRPr="00A5626D">
              <w:rPr>
                <w:rFonts w:ascii="Garamond" w:hAnsi="Garamond" w:cstheme="minorHAnsi"/>
                <w:sz w:val="22"/>
                <w:szCs w:val="22"/>
              </w:rPr>
              <w:t xml:space="preserve"> </w:t>
            </w:r>
          </w:p>
          <w:p w14:paraId="684ADC10" w14:textId="77777777" w:rsidR="00295C6D" w:rsidRPr="00A5626D" w:rsidRDefault="00295C6D" w:rsidP="00E31AE6">
            <w:pPr>
              <w:tabs>
                <w:tab w:val="left" w:pos="1134"/>
                <w:tab w:val="left" w:pos="7938"/>
              </w:tabs>
              <w:spacing w:before="120" w:after="120"/>
              <w:ind w:firstLine="567"/>
              <w:jc w:val="both"/>
              <w:rPr>
                <w:rFonts w:ascii="Garamond" w:hAnsi="Garamond" w:cstheme="minorHAnsi"/>
                <w:sz w:val="22"/>
                <w:szCs w:val="22"/>
              </w:rPr>
            </w:pPr>
            <w:r w:rsidRPr="00A5626D">
              <w:rPr>
                <w:rFonts w:ascii="Garamond" w:hAnsi="Garamond" w:cstheme="minorHAnsi"/>
                <w:bCs/>
                <w:sz w:val="22"/>
                <w:szCs w:val="22"/>
              </w:rPr>
              <w:t>Обязательный элемент</w:t>
            </w:r>
            <w:r w:rsidRPr="00A5626D">
              <w:rPr>
                <w:rFonts w:ascii="Garamond" w:hAnsi="Garamond" w:cstheme="minorHAnsi"/>
                <w:sz w:val="22"/>
                <w:szCs w:val="22"/>
              </w:rPr>
              <w:t>. Допускается наличие только одного элемента.</w:t>
            </w:r>
          </w:p>
          <w:p w14:paraId="1AE93672" w14:textId="77777777" w:rsidR="00295C6D" w:rsidRPr="00A5626D" w:rsidRDefault="00295C6D" w:rsidP="00E31AE6">
            <w:pPr>
              <w:pStyle w:val="2"/>
              <w:numPr>
                <w:ilvl w:val="0"/>
                <w:numId w:val="0"/>
              </w:numPr>
              <w:tabs>
                <w:tab w:val="left" w:pos="1134"/>
                <w:tab w:val="left" w:pos="7938"/>
              </w:tabs>
              <w:suppressAutoHyphens w:val="0"/>
              <w:spacing w:line="22" w:lineRule="atLeast"/>
              <w:ind w:firstLine="629"/>
              <w:jc w:val="both"/>
              <w:rPr>
                <w:rFonts w:ascii="Garamond" w:hAnsi="Garamond" w:cstheme="minorHAnsi"/>
                <w:b w:val="0"/>
                <w:lang w:val="en-US"/>
              </w:rPr>
            </w:pPr>
            <w:r w:rsidRPr="00A5626D">
              <w:rPr>
                <w:rFonts w:ascii="Garamond" w:hAnsi="Garamond" w:cstheme="minorHAnsi"/>
                <w:b w:val="0"/>
              </w:rPr>
              <w:t>Дочерними</w:t>
            </w:r>
            <w:r w:rsidRPr="00A5626D">
              <w:rPr>
                <w:rFonts w:ascii="Garamond" w:hAnsi="Garamond" w:cstheme="minorHAnsi"/>
                <w:b w:val="0"/>
                <w:lang w:val="en-US"/>
              </w:rPr>
              <w:t xml:space="preserve"> </w:t>
            </w:r>
            <w:r w:rsidRPr="00A5626D">
              <w:rPr>
                <w:rFonts w:ascii="Garamond" w:hAnsi="Garamond" w:cstheme="minorHAnsi"/>
                <w:b w:val="0"/>
              </w:rPr>
              <w:t>элементами</w:t>
            </w:r>
            <w:r w:rsidRPr="00A5626D">
              <w:rPr>
                <w:rFonts w:ascii="Garamond" w:hAnsi="Garamond" w:cstheme="minorHAnsi"/>
                <w:b w:val="0"/>
                <w:lang w:val="en-US"/>
              </w:rPr>
              <w:t xml:space="preserve"> </w:t>
            </w:r>
            <w:r w:rsidRPr="00A5626D">
              <w:rPr>
                <w:rFonts w:ascii="Garamond" w:hAnsi="Garamond" w:cstheme="minorHAnsi"/>
                <w:b w:val="0"/>
              </w:rPr>
              <w:t>являются</w:t>
            </w:r>
            <w:r w:rsidRPr="00A5626D">
              <w:rPr>
                <w:rFonts w:ascii="Garamond" w:hAnsi="Garamond" w:cstheme="minorHAnsi"/>
                <w:b w:val="0"/>
                <w:lang w:val="en-US"/>
              </w:rPr>
              <w:t>:</w:t>
            </w:r>
            <w:r w:rsidRPr="00A5626D">
              <w:rPr>
                <w:rFonts w:ascii="Garamond" w:hAnsi="Garamond" w:cstheme="minorHAnsi"/>
                <w:lang w:val="en-US"/>
              </w:rPr>
              <w:t xml:space="preserve"> &lt;organizations&gt;, &lt;gtps&gt;, &lt;power-object-owners&gt;, &lt;aiises&gt;, &lt;power-objects&gt;, &lt;delivery-points&gt;, &lt;measuring-device-modifications&gt;, &lt;measuring-points&gt;, &lt;measuring-objects&gt;.</w:t>
            </w:r>
          </w:p>
        </w:tc>
      </w:tr>
      <w:tr w:rsidR="00295C6D" w:rsidRPr="00A5626D" w14:paraId="22DD7383" w14:textId="77777777" w:rsidTr="00647FA0">
        <w:tc>
          <w:tcPr>
            <w:tcW w:w="1060" w:type="dxa"/>
            <w:vAlign w:val="center"/>
          </w:tcPr>
          <w:p w14:paraId="7856AE3F" w14:textId="4F0804CE" w:rsidR="00295C6D" w:rsidRPr="00A5626D" w:rsidRDefault="00295C6D" w:rsidP="00E31AE6">
            <w:pPr>
              <w:widowControl w:val="0"/>
              <w:tabs>
                <w:tab w:val="left" w:pos="1134"/>
                <w:tab w:val="left" w:pos="7938"/>
              </w:tabs>
              <w:spacing w:line="22" w:lineRule="atLeast"/>
              <w:jc w:val="both"/>
              <w:rPr>
                <w:rFonts w:ascii="Garamond" w:hAnsi="Garamond"/>
                <w:b/>
                <w:sz w:val="22"/>
                <w:szCs w:val="22"/>
                <w:lang w:val="en-US" w:eastAsia="en-US"/>
              </w:rPr>
            </w:pPr>
            <w:r w:rsidRPr="00A5626D">
              <w:rPr>
                <w:rFonts w:ascii="Garamond" w:hAnsi="Garamond"/>
                <w:b/>
                <w:sz w:val="22"/>
                <w:szCs w:val="22"/>
                <w:lang w:eastAsia="en-US"/>
              </w:rPr>
              <w:t>Приложение 5,</w:t>
            </w:r>
            <w:r w:rsidR="000B3419" w:rsidRPr="00A5626D">
              <w:rPr>
                <w:rFonts w:ascii="Garamond" w:hAnsi="Garamond"/>
                <w:b/>
                <w:sz w:val="22"/>
                <w:szCs w:val="22"/>
                <w:lang w:eastAsia="en-US"/>
              </w:rPr>
              <w:t xml:space="preserve"> п. </w:t>
            </w:r>
            <w:r w:rsidRPr="00A5626D">
              <w:rPr>
                <w:rFonts w:ascii="Garamond" w:hAnsi="Garamond"/>
                <w:b/>
                <w:sz w:val="22"/>
                <w:szCs w:val="22"/>
                <w:lang w:eastAsia="en-US"/>
              </w:rPr>
              <w:t>4.2.1.1.1.2</w:t>
            </w:r>
          </w:p>
        </w:tc>
        <w:tc>
          <w:tcPr>
            <w:tcW w:w="6662" w:type="dxa"/>
          </w:tcPr>
          <w:p w14:paraId="3067AB23" w14:textId="77777777" w:rsidR="00295C6D" w:rsidRPr="00A5626D" w:rsidRDefault="00295C6D" w:rsidP="00E31AE6">
            <w:pPr>
              <w:widowControl w:val="0"/>
              <w:tabs>
                <w:tab w:val="left" w:pos="1134"/>
                <w:tab w:val="left" w:pos="7938"/>
              </w:tabs>
              <w:autoSpaceDE w:val="0"/>
              <w:autoSpaceDN w:val="0"/>
              <w:adjustRightInd w:val="0"/>
              <w:spacing w:before="60" w:after="60" w:line="276" w:lineRule="auto"/>
              <w:ind w:firstLine="567"/>
              <w:jc w:val="both"/>
              <w:rPr>
                <w:rFonts w:ascii="Garamond" w:hAnsi="Garamond" w:cstheme="minorHAnsi"/>
                <w:sz w:val="22"/>
                <w:szCs w:val="22"/>
              </w:rPr>
            </w:pPr>
            <w:r w:rsidRPr="00A5626D">
              <w:rPr>
                <w:rFonts w:ascii="Garamond" w:hAnsi="Garamond" w:cstheme="minorHAnsi"/>
                <w:sz w:val="22"/>
                <w:szCs w:val="22"/>
              </w:rPr>
              <w:t>&lt;gtps&gt;</w:t>
            </w:r>
          </w:p>
          <w:p w14:paraId="141D281F" w14:textId="77777777" w:rsidR="00295C6D" w:rsidRPr="00A5626D" w:rsidRDefault="00295C6D" w:rsidP="00E31AE6">
            <w:pPr>
              <w:widowControl w:val="0"/>
              <w:tabs>
                <w:tab w:val="left" w:pos="1134"/>
                <w:tab w:val="left" w:pos="7938"/>
              </w:tabs>
              <w:autoSpaceDE w:val="0"/>
              <w:autoSpaceDN w:val="0"/>
              <w:adjustRightInd w:val="0"/>
              <w:spacing w:before="60" w:after="60" w:line="276" w:lineRule="auto"/>
              <w:ind w:firstLine="567"/>
              <w:jc w:val="both"/>
              <w:rPr>
                <w:rFonts w:ascii="Garamond" w:hAnsi="Garamond" w:cstheme="minorHAnsi"/>
                <w:sz w:val="22"/>
                <w:szCs w:val="22"/>
              </w:rPr>
            </w:pPr>
            <w:r w:rsidRPr="00A5626D">
              <w:rPr>
                <w:rFonts w:ascii="Garamond" w:hAnsi="Garamond" w:cstheme="minorHAnsi"/>
                <w:sz w:val="22"/>
                <w:szCs w:val="22"/>
              </w:rPr>
              <w:t>Элемент &lt;</w:t>
            </w:r>
            <w:r w:rsidRPr="00A5626D">
              <w:rPr>
                <w:rFonts w:ascii="Garamond" w:hAnsi="Garamond" w:cstheme="minorHAnsi"/>
                <w:b/>
                <w:sz w:val="22"/>
                <w:szCs w:val="22"/>
                <w:lang w:val="en-US"/>
              </w:rPr>
              <w:t>gtps</w:t>
            </w:r>
            <w:r w:rsidRPr="00A5626D">
              <w:rPr>
                <w:rFonts w:ascii="Garamond" w:hAnsi="Garamond" w:cstheme="minorHAnsi"/>
                <w:sz w:val="22"/>
                <w:szCs w:val="22"/>
              </w:rPr>
              <w:t>&gt; содержит информацию по ГТП, представленным в макете 60000.</w:t>
            </w:r>
          </w:p>
          <w:p w14:paraId="3D98EEE6" w14:textId="77777777" w:rsidR="00295C6D" w:rsidRPr="00A5626D" w:rsidRDefault="00295C6D" w:rsidP="00E31AE6">
            <w:pPr>
              <w:widowControl w:val="0"/>
              <w:tabs>
                <w:tab w:val="left" w:pos="1134"/>
                <w:tab w:val="left" w:pos="7938"/>
              </w:tabs>
              <w:autoSpaceDE w:val="0"/>
              <w:autoSpaceDN w:val="0"/>
              <w:adjustRightInd w:val="0"/>
              <w:spacing w:before="60" w:after="60" w:line="276" w:lineRule="auto"/>
              <w:ind w:firstLine="567"/>
              <w:jc w:val="both"/>
              <w:rPr>
                <w:rFonts w:ascii="Garamond" w:hAnsi="Garamond" w:cstheme="minorHAnsi"/>
                <w:sz w:val="22"/>
                <w:szCs w:val="22"/>
              </w:rPr>
            </w:pPr>
            <w:r w:rsidRPr="00A5626D">
              <w:rPr>
                <w:rFonts w:ascii="Garamond" w:hAnsi="Garamond" w:cstheme="minorHAnsi"/>
                <w:bCs/>
                <w:sz w:val="22"/>
                <w:szCs w:val="22"/>
              </w:rPr>
              <w:t>Обязательный элемент</w:t>
            </w:r>
            <w:r w:rsidRPr="00A5626D">
              <w:rPr>
                <w:rFonts w:ascii="Garamond" w:hAnsi="Garamond" w:cstheme="minorHAnsi"/>
                <w:sz w:val="22"/>
                <w:szCs w:val="22"/>
              </w:rPr>
              <w:t>. Допускается наличие только одного элемента.</w:t>
            </w:r>
          </w:p>
          <w:p w14:paraId="2F11CBE4" w14:textId="77777777" w:rsidR="00295C6D" w:rsidRPr="00A5626D" w:rsidRDefault="00295C6D" w:rsidP="00E31AE6">
            <w:pPr>
              <w:widowControl w:val="0"/>
              <w:tabs>
                <w:tab w:val="left" w:pos="1134"/>
                <w:tab w:val="left" w:pos="7938"/>
              </w:tabs>
              <w:autoSpaceDE w:val="0"/>
              <w:autoSpaceDN w:val="0"/>
              <w:adjustRightInd w:val="0"/>
              <w:spacing w:before="60" w:after="60" w:line="276" w:lineRule="auto"/>
              <w:ind w:firstLine="567"/>
              <w:jc w:val="both"/>
              <w:rPr>
                <w:rFonts w:ascii="Garamond" w:hAnsi="Garamond" w:cstheme="minorHAnsi"/>
                <w:b/>
                <w:sz w:val="22"/>
                <w:szCs w:val="22"/>
              </w:rPr>
            </w:pPr>
            <w:r w:rsidRPr="00A5626D">
              <w:rPr>
                <w:rFonts w:ascii="Garamond" w:hAnsi="Garamond" w:cstheme="minorHAnsi"/>
                <w:sz w:val="22"/>
                <w:szCs w:val="22"/>
              </w:rPr>
              <w:t>Дочерними элементами являются: &lt;</w:t>
            </w:r>
            <w:r w:rsidRPr="00A5626D">
              <w:rPr>
                <w:rFonts w:ascii="Garamond" w:hAnsi="Garamond" w:cstheme="minorHAnsi"/>
                <w:b/>
                <w:sz w:val="22"/>
                <w:szCs w:val="22"/>
                <w:lang w:val="en-US"/>
              </w:rPr>
              <w:t>gtpp</w:t>
            </w:r>
            <w:r w:rsidRPr="00A5626D">
              <w:rPr>
                <w:rFonts w:ascii="Garamond" w:hAnsi="Garamond" w:cstheme="minorHAnsi"/>
                <w:b/>
                <w:sz w:val="22"/>
                <w:szCs w:val="22"/>
              </w:rPr>
              <w:t>&gt;.</w:t>
            </w:r>
          </w:p>
        </w:tc>
        <w:tc>
          <w:tcPr>
            <w:tcW w:w="7088" w:type="dxa"/>
          </w:tcPr>
          <w:p w14:paraId="58C7B79A" w14:textId="77777777" w:rsidR="00295C6D" w:rsidRPr="00A5626D" w:rsidRDefault="00295C6D" w:rsidP="00E31AE6">
            <w:pPr>
              <w:widowControl w:val="0"/>
              <w:tabs>
                <w:tab w:val="left" w:pos="1134"/>
                <w:tab w:val="left" w:pos="7938"/>
              </w:tabs>
              <w:autoSpaceDE w:val="0"/>
              <w:autoSpaceDN w:val="0"/>
              <w:adjustRightInd w:val="0"/>
              <w:spacing w:before="60" w:after="60" w:line="276" w:lineRule="auto"/>
              <w:ind w:firstLine="567"/>
              <w:jc w:val="both"/>
              <w:rPr>
                <w:rFonts w:ascii="Garamond" w:hAnsi="Garamond" w:cstheme="minorHAnsi"/>
                <w:sz w:val="22"/>
                <w:szCs w:val="22"/>
              </w:rPr>
            </w:pPr>
            <w:r w:rsidRPr="00A5626D">
              <w:rPr>
                <w:rFonts w:ascii="Garamond" w:hAnsi="Garamond" w:cstheme="minorHAnsi"/>
                <w:sz w:val="22"/>
                <w:szCs w:val="22"/>
              </w:rPr>
              <w:t>&lt;gtps&gt;</w:t>
            </w:r>
          </w:p>
          <w:p w14:paraId="00DB7D9E" w14:textId="77777777" w:rsidR="00295C6D" w:rsidRPr="00A5626D" w:rsidRDefault="00295C6D" w:rsidP="00E31AE6">
            <w:pPr>
              <w:widowControl w:val="0"/>
              <w:tabs>
                <w:tab w:val="left" w:pos="1134"/>
                <w:tab w:val="left" w:pos="7938"/>
              </w:tabs>
              <w:autoSpaceDE w:val="0"/>
              <w:autoSpaceDN w:val="0"/>
              <w:adjustRightInd w:val="0"/>
              <w:spacing w:before="60" w:after="60" w:line="276" w:lineRule="auto"/>
              <w:ind w:firstLine="567"/>
              <w:jc w:val="both"/>
              <w:rPr>
                <w:rFonts w:ascii="Garamond" w:hAnsi="Garamond" w:cstheme="minorHAnsi"/>
                <w:sz w:val="22"/>
                <w:szCs w:val="22"/>
              </w:rPr>
            </w:pPr>
            <w:r w:rsidRPr="00A5626D">
              <w:rPr>
                <w:rFonts w:ascii="Garamond" w:hAnsi="Garamond" w:cstheme="minorHAnsi"/>
                <w:sz w:val="22"/>
                <w:szCs w:val="22"/>
              </w:rPr>
              <w:t>Элемент &lt;</w:t>
            </w:r>
            <w:r w:rsidRPr="00A5626D">
              <w:rPr>
                <w:rFonts w:ascii="Garamond" w:hAnsi="Garamond" w:cstheme="minorHAnsi"/>
                <w:b/>
                <w:sz w:val="22"/>
                <w:szCs w:val="22"/>
                <w:lang w:val="en-US"/>
              </w:rPr>
              <w:t>gtps</w:t>
            </w:r>
            <w:r w:rsidRPr="00A5626D">
              <w:rPr>
                <w:rFonts w:ascii="Garamond" w:hAnsi="Garamond" w:cstheme="minorHAnsi"/>
                <w:sz w:val="22"/>
                <w:szCs w:val="22"/>
              </w:rPr>
              <w:t xml:space="preserve">&gt; содержит информацию по ГТП </w:t>
            </w:r>
            <w:r w:rsidRPr="00A5626D">
              <w:rPr>
                <w:rFonts w:ascii="Garamond" w:hAnsi="Garamond" w:cstheme="minorHAnsi"/>
                <w:sz w:val="22"/>
                <w:szCs w:val="22"/>
                <w:highlight w:val="yellow"/>
              </w:rPr>
              <w:t>/ ОР</w:t>
            </w:r>
            <w:r w:rsidRPr="00A5626D">
              <w:rPr>
                <w:rFonts w:ascii="Garamond" w:hAnsi="Garamond" w:cstheme="minorHAnsi"/>
                <w:sz w:val="22"/>
                <w:szCs w:val="22"/>
              </w:rPr>
              <w:t>, представленным в макете 60000.</w:t>
            </w:r>
          </w:p>
          <w:p w14:paraId="7F6ED4BC" w14:textId="77777777" w:rsidR="00295C6D" w:rsidRPr="00A5626D" w:rsidRDefault="00295C6D" w:rsidP="00E31AE6">
            <w:pPr>
              <w:widowControl w:val="0"/>
              <w:tabs>
                <w:tab w:val="left" w:pos="1134"/>
                <w:tab w:val="left" w:pos="7938"/>
              </w:tabs>
              <w:autoSpaceDE w:val="0"/>
              <w:autoSpaceDN w:val="0"/>
              <w:adjustRightInd w:val="0"/>
              <w:spacing w:before="60" w:after="60" w:line="276" w:lineRule="auto"/>
              <w:ind w:firstLine="567"/>
              <w:jc w:val="both"/>
              <w:rPr>
                <w:rFonts w:ascii="Garamond" w:hAnsi="Garamond" w:cstheme="minorHAnsi"/>
                <w:sz w:val="22"/>
                <w:szCs w:val="22"/>
              </w:rPr>
            </w:pPr>
            <w:r w:rsidRPr="00A5626D">
              <w:rPr>
                <w:rFonts w:ascii="Garamond" w:hAnsi="Garamond" w:cstheme="minorHAnsi"/>
                <w:bCs/>
                <w:sz w:val="22"/>
                <w:szCs w:val="22"/>
              </w:rPr>
              <w:t>Обязательный элемент</w:t>
            </w:r>
            <w:r w:rsidRPr="00A5626D">
              <w:rPr>
                <w:rFonts w:ascii="Garamond" w:hAnsi="Garamond" w:cstheme="minorHAnsi"/>
                <w:sz w:val="22"/>
                <w:szCs w:val="22"/>
              </w:rPr>
              <w:t>. Допускается наличие только одного элемента.</w:t>
            </w:r>
          </w:p>
          <w:p w14:paraId="59E4354B" w14:textId="77777777" w:rsidR="00295C6D" w:rsidRPr="00A5626D" w:rsidRDefault="00295C6D" w:rsidP="00E31AE6">
            <w:pPr>
              <w:pStyle w:val="2"/>
              <w:numPr>
                <w:ilvl w:val="0"/>
                <w:numId w:val="0"/>
              </w:numPr>
              <w:tabs>
                <w:tab w:val="left" w:pos="1134"/>
                <w:tab w:val="left" w:pos="7938"/>
              </w:tabs>
              <w:suppressAutoHyphens w:val="0"/>
              <w:spacing w:line="22" w:lineRule="atLeast"/>
              <w:ind w:firstLine="629"/>
              <w:jc w:val="both"/>
              <w:rPr>
                <w:rFonts w:ascii="Garamond" w:hAnsi="Garamond" w:cstheme="minorHAnsi"/>
                <w:b w:val="0"/>
              </w:rPr>
            </w:pPr>
            <w:r w:rsidRPr="00A5626D">
              <w:rPr>
                <w:rFonts w:ascii="Garamond" w:hAnsi="Garamond" w:cstheme="minorHAnsi"/>
                <w:b w:val="0"/>
              </w:rPr>
              <w:t>Дочерними элементами являются:</w:t>
            </w:r>
            <w:r w:rsidRPr="00A5626D">
              <w:rPr>
                <w:rFonts w:ascii="Garamond" w:hAnsi="Garamond" w:cstheme="minorHAnsi"/>
              </w:rPr>
              <w:t xml:space="preserve"> &lt;gtpp&gt;</w:t>
            </w:r>
            <w:r w:rsidRPr="00C15199">
              <w:rPr>
                <w:rFonts w:ascii="Garamond" w:hAnsi="Garamond" w:cstheme="minorHAnsi"/>
                <w:highlight w:val="yellow"/>
              </w:rPr>
              <w:t>, &lt;</w:t>
            </w:r>
            <w:r w:rsidRPr="00A5626D">
              <w:rPr>
                <w:rFonts w:ascii="Garamond" w:hAnsi="Garamond" w:cstheme="minorHAnsi"/>
                <w:highlight w:val="yellow"/>
              </w:rPr>
              <w:t>gtp-regulation-object&gt;.</w:t>
            </w:r>
          </w:p>
        </w:tc>
      </w:tr>
      <w:tr w:rsidR="00295C6D" w:rsidRPr="00A5626D" w14:paraId="6B16F512" w14:textId="77777777" w:rsidTr="00647FA0">
        <w:tc>
          <w:tcPr>
            <w:tcW w:w="1060" w:type="dxa"/>
            <w:vAlign w:val="center"/>
          </w:tcPr>
          <w:p w14:paraId="24A52655" w14:textId="6E9249D2" w:rsidR="00295C6D" w:rsidRPr="00A5626D" w:rsidRDefault="00295C6D" w:rsidP="00E31AE6">
            <w:pPr>
              <w:widowControl w:val="0"/>
              <w:tabs>
                <w:tab w:val="left" w:pos="1134"/>
                <w:tab w:val="left" w:pos="7938"/>
              </w:tabs>
              <w:spacing w:line="22" w:lineRule="atLeast"/>
              <w:jc w:val="both"/>
              <w:rPr>
                <w:rFonts w:ascii="Garamond" w:hAnsi="Garamond"/>
                <w:b/>
                <w:sz w:val="22"/>
                <w:szCs w:val="22"/>
                <w:lang w:eastAsia="en-US"/>
              </w:rPr>
            </w:pPr>
            <w:r w:rsidRPr="00A5626D">
              <w:rPr>
                <w:rFonts w:ascii="Garamond" w:hAnsi="Garamond"/>
                <w:b/>
                <w:sz w:val="22"/>
                <w:szCs w:val="22"/>
                <w:lang w:eastAsia="en-US"/>
              </w:rPr>
              <w:lastRenderedPageBreak/>
              <w:t>Приложение 5, п.</w:t>
            </w:r>
            <w:r w:rsidR="000B3419" w:rsidRPr="00A5626D">
              <w:rPr>
                <w:rFonts w:ascii="Garamond" w:hAnsi="Garamond"/>
                <w:b/>
                <w:sz w:val="22"/>
                <w:szCs w:val="22"/>
                <w:lang w:eastAsia="en-US"/>
              </w:rPr>
              <w:t> </w:t>
            </w:r>
            <w:r w:rsidRPr="00A5626D">
              <w:rPr>
                <w:rFonts w:ascii="Garamond" w:hAnsi="Garamond"/>
                <w:b/>
                <w:sz w:val="22"/>
                <w:szCs w:val="22"/>
                <w:lang w:eastAsia="en-US"/>
              </w:rPr>
              <w:t>4.2.1.1.1.2.3</w:t>
            </w:r>
          </w:p>
        </w:tc>
        <w:tc>
          <w:tcPr>
            <w:tcW w:w="6662" w:type="dxa"/>
          </w:tcPr>
          <w:p w14:paraId="6EBC5821" w14:textId="77777777" w:rsidR="00295C6D" w:rsidRPr="00A5626D" w:rsidRDefault="00727FC1" w:rsidP="00E31AE6">
            <w:pPr>
              <w:pStyle w:val="2"/>
              <w:numPr>
                <w:ilvl w:val="0"/>
                <w:numId w:val="0"/>
              </w:numPr>
              <w:tabs>
                <w:tab w:val="left" w:pos="1134"/>
                <w:tab w:val="left" w:pos="7938"/>
              </w:tabs>
              <w:suppressAutoHyphens w:val="0"/>
              <w:spacing w:line="22" w:lineRule="atLeast"/>
              <w:ind w:firstLine="629"/>
              <w:jc w:val="both"/>
              <w:rPr>
                <w:rFonts w:ascii="Garamond" w:hAnsi="Garamond" w:cstheme="minorHAnsi"/>
              </w:rPr>
            </w:pPr>
            <w:r w:rsidRPr="00A5626D">
              <w:rPr>
                <w:rFonts w:ascii="Garamond" w:hAnsi="Garamond" w:cstheme="minorHAnsi"/>
              </w:rPr>
              <w:t>Добавить пункт</w:t>
            </w:r>
          </w:p>
        </w:tc>
        <w:tc>
          <w:tcPr>
            <w:tcW w:w="7088" w:type="dxa"/>
          </w:tcPr>
          <w:p w14:paraId="4A8DCE3E" w14:textId="77777777" w:rsidR="00295C6D" w:rsidRPr="00A5626D" w:rsidRDefault="00295C6D" w:rsidP="00E31AE6">
            <w:pPr>
              <w:pStyle w:val="5"/>
              <w:numPr>
                <w:ilvl w:val="4"/>
                <w:numId w:val="0"/>
              </w:numPr>
              <w:tabs>
                <w:tab w:val="left" w:pos="1134"/>
                <w:tab w:val="left" w:pos="7938"/>
              </w:tabs>
              <w:suppressAutoHyphens w:val="0"/>
              <w:spacing w:line="259" w:lineRule="auto"/>
              <w:ind w:left="1008" w:hanging="431"/>
              <w:rPr>
                <w:rFonts w:ascii="Garamond" w:hAnsi="Garamond"/>
                <w:color w:val="auto"/>
                <w:sz w:val="22"/>
                <w:szCs w:val="22"/>
                <w:highlight w:val="yellow"/>
              </w:rPr>
            </w:pPr>
            <w:r w:rsidRPr="00A5626D">
              <w:rPr>
                <w:rFonts w:ascii="Garamond" w:hAnsi="Garamond"/>
                <w:color w:val="auto"/>
                <w:sz w:val="22"/>
                <w:szCs w:val="22"/>
                <w:highlight w:val="yellow"/>
              </w:rPr>
              <w:t>&lt;</w:t>
            </w:r>
            <w:r w:rsidRPr="00A5626D">
              <w:rPr>
                <w:rFonts w:ascii="Garamond" w:hAnsi="Garamond"/>
                <w:color w:val="auto"/>
                <w:sz w:val="22"/>
                <w:szCs w:val="22"/>
                <w:highlight w:val="yellow"/>
                <w:lang w:val="en-US"/>
              </w:rPr>
              <w:t>gtp</w:t>
            </w:r>
            <w:r w:rsidRPr="00A5626D">
              <w:rPr>
                <w:rFonts w:ascii="Garamond" w:hAnsi="Garamond"/>
                <w:color w:val="auto"/>
                <w:sz w:val="22"/>
                <w:szCs w:val="22"/>
                <w:highlight w:val="yellow"/>
              </w:rPr>
              <w:t>-regulation-object&gt;</w:t>
            </w:r>
          </w:p>
          <w:p w14:paraId="3D2DFBDD" w14:textId="77777777" w:rsidR="00295C6D" w:rsidRPr="00A5626D" w:rsidRDefault="00295C6D" w:rsidP="00E31AE6">
            <w:pPr>
              <w:widowControl w:val="0"/>
              <w:tabs>
                <w:tab w:val="left" w:pos="1134"/>
                <w:tab w:val="left" w:pos="7938"/>
              </w:tabs>
              <w:autoSpaceDE w:val="0"/>
              <w:autoSpaceDN w:val="0"/>
              <w:adjustRightInd w:val="0"/>
              <w:spacing w:beforeLines="40" w:before="96" w:afterLines="40" w:after="96"/>
              <w:ind w:firstLine="577"/>
              <w:jc w:val="both"/>
              <w:rPr>
                <w:rFonts w:ascii="Garamond" w:hAnsi="Garamond"/>
                <w:sz w:val="22"/>
                <w:szCs w:val="22"/>
                <w:highlight w:val="yellow"/>
              </w:rPr>
            </w:pPr>
            <w:r w:rsidRPr="00A5626D">
              <w:rPr>
                <w:rFonts w:ascii="Garamond" w:hAnsi="Garamond"/>
                <w:sz w:val="22"/>
                <w:szCs w:val="22"/>
                <w:highlight w:val="yellow"/>
              </w:rPr>
              <w:t xml:space="preserve">Элемент </w:t>
            </w:r>
            <w:r w:rsidRPr="00A5626D">
              <w:rPr>
                <w:rFonts w:ascii="Garamond" w:hAnsi="Garamond"/>
                <w:b/>
                <w:sz w:val="22"/>
                <w:szCs w:val="22"/>
                <w:highlight w:val="yellow"/>
              </w:rPr>
              <w:t>&lt;</w:t>
            </w:r>
            <w:r w:rsidRPr="00A5626D">
              <w:rPr>
                <w:rFonts w:ascii="Garamond" w:hAnsi="Garamond"/>
                <w:b/>
                <w:sz w:val="22"/>
                <w:szCs w:val="22"/>
                <w:highlight w:val="yellow"/>
                <w:lang w:val="en-US"/>
              </w:rPr>
              <w:t>gtp</w:t>
            </w:r>
            <w:r w:rsidRPr="00A5626D">
              <w:rPr>
                <w:rFonts w:ascii="Garamond" w:hAnsi="Garamond"/>
                <w:b/>
                <w:sz w:val="22"/>
                <w:szCs w:val="22"/>
                <w:highlight w:val="yellow"/>
              </w:rPr>
              <w:t>-regulation-object&gt;</w:t>
            </w:r>
            <w:r w:rsidRPr="00A5626D">
              <w:rPr>
                <w:rFonts w:ascii="Garamond" w:hAnsi="Garamond"/>
                <w:sz w:val="22"/>
                <w:szCs w:val="22"/>
                <w:highlight w:val="yellow"/>
              </w:rPr>
              <w:t xml:space="preserve"> содержит информацию об объекте регулирования. Элемент передается только в макетах 60000 по объектам регулирования.</w:t>
            </w:r>
          </w:p>
          <w:p w14:paraId="282410DF" w14:textId="77777777" w:rsidR="00295C6D" w:rsidRPr="00A5626D" w:rsidRDefault="00295C6D" w:rsidP="00E31AE6">
            <w:pPr>
              <w:widowControl w:val="0"/>
              <w:tabs>
                <w:tab w:val="left" w:pos="1134"/>
                <w:tab w:val="left" w:pos="7938"/>
              </w:tabs>
              <w:autoSpaceDE w:val="0"/>
              <w:autoSpaceDN w:val="0"/>
              <w:adjustRightInd w:val="0"/>
              <w:spacing w:beforeLines="40" w:before="96" w:afterLines="40" w:after="96"/>
              <w:ind w:firstLine="577"/>
              <w:jc w:val="both"/>
              <w:rPr>
                <w:rFonts w:ascii="Garamond" w:hAnsi="Garamond"/>
                <w:sz w:val="22"/>
                <w:szCs w:val="22"/>
                <w:highlight w:val="yellow"/>
              </w:rPr>
            </w:pPr>
            <w:r w:rsidRPr="00A5626D">
              <w:rPr>
                <w:rFonts w:ascii="Garamond" w:hAnsi="Garamond"/>
                <w:sz w:val="22"/>
                <w:szCs w:val="22"/>
                <w:highlight w:val="yellow"/>
              </w:rPr>
              <w:t>Необязательный элемент при наличии элемента &lt;</w:t>
            </w:r>
            <w:r w:rsidRPr="00A5626D">
              <w:rPr>
                <w:rFonts w:ascii="Garamond" w:hAnsi="Garamond"/>
                <w:sz w:val="22"/>
                <w:szCs w:val="22"/>
                <w:highlight w:val="yellow"/>
                <w:lang w:val="en-US"/>
              </w:rPr>
              <w:t>gtpp</w:t>
            </w:r>
            <w:r w:rsidRPr="00A5626D">
              <w:rPr>
                <w:rFonts w:ascii="Garamond" w:hAnsi="Garamond"/>
                <w:sz w:val="22"/>
                <w:szCs w:val="22"/>
                <w:highlight w:val="yellow"/>
              </w:rPr>
              <w:t>&gt; или &lt;</w:t>
            </w:r>
            <w:r w:rsidRPr="00A5626D">
              <w:rPr>
                <w:rFonts w:ascii="Garamond" w:hAnsi="Garamond"/>
                <w:sz w:val="22"/>
                <w:szCs w:val="22"/>
                <w:highlight w:val="yellow"/>
                <w:lang w:val="en-US"/>
              </w:rPr>
              <w:t>gtpg</w:t>
            </w:r>
            <w:r w:rsidRPr="00A5626D">
              <w:rPr>
                <w:rFonts w:ascii="Garamond" w:hAnsi="Garamond"/>
                <w:sz w:val="22"/>
                <w:szCs w:val="22"/>
                <w:highlight w:val="yellow"/>
              </w:rPr>
              <w:t>&gt;, обязательный при их отсутствии. Допускается наличие только одного элемента.</w:t>
            </w:r>
          </w:p>
          <w:p w14:paraId="0AA80EB6" w14:textId="77777777" w:rsidR="00295C6D" w:rsidRPr="00A5626D" w:rsidRDefault="00295C6D" w:rsidP="00E31AE6">
            <w:pPr>
              <w:tabs>
                <w:tab w:val="left" w:pos="1134"/>
                <w:tab w:val="left" w:pos="7938"/>
              </w:tabs>
              <w:spacing w:beforeLines="40" w:before="96" w:afterLines="40" w:after="96"/>
              <w:ind w:firstLine="577"/>
              <w:jc w:val="both"/>
              <w:rPr>
                <w:rFonts w:ascii="Garamond" w:hAnsi="Garamond" w:cstheme="minorHAnsi"/>
                <w:sz w:val="22"/>
                <w:szCs w:val="22"/>
                <w:highlight w:val="yellow"/>
              </w:rPr>
            </w:pPr>
            <w:r w:rsidRPr="00A5626D">
              <w:rPr>
                <w:rFonts w:ascii="Garamond" w:hAnsi="Garamond"/>
                <w:sz w:val="22"/>
                <w:szCs w:val="22"/>
                <w:highlight w:val="yellow"/>
              </w:rPr>
              <w:t>Атрибутами элемента &lt;</w:t>
            </w:r>
            <w:r w:rsidRPr="00A5626D">
              <w:rPr>
                <w:rFonts w:ascii="Garamond" w:hAnsi="Garamond"/>
                <w:sz w:val="22"/>
                <w:szCs w:val="22"/>
                <w:highlight w:val="yellow"/>
                <w:lang w:val="en-US"/>
              </w:rPr>
              <w:t>gtp</w:t>
            </w:r>
            <w:r w:rsidRPr="00A5626D">
              <w:rPr>
                <w:rFonts w:ascii="Garamond" w:hAnsi="Garamond"/>
                <w:sz w:val="22"/>
                <w:szCs w:val="22"/>
                <w:highlight w:val="yellow"/>
              </w:rPr>
              <w:t>-regulation-object&gt; являются:</w:t>
            </w:r>
          </w:p>
          <w:p w14:paraId="6C490B78" w14:textId="77777777" w:rsidR="00295C6D" w:rsidRPr="00A5626D" w:rsidRDefault="00295C6D" w:rsidP="00295C6D">
            <w:pPr>
              <w:pStyle w:val="ac"/>
              <w:widowControl w:val="0"/>
              <w:numPr>
                <w:ilvl w:val="0"/>
                <w:numId w:val="270"/>
              </w:numPr>
              <w:tabs>
                <w:tab w:val="left" w:pos="1134"/>
                <w:tab w:val="left" w:pos="7938"/>
              </w:tabs>
              <w:autoSpaceDE w:val="0"/>
              <w:autoSpaceDN w:val="0"/>
              <w:adjustRightInd w:val="0"/>
              <w:spacing w:before="60" w:after="60" w:line="276" w:lineRule="auto"/>
              <w:ind w:left="10" w:firstLine="567"/>
              <w:contextualSpacing/>
              <w:jc w:val="both"/>
              <w:rPr>
                <w:rFonts w:ascii="Garamond" w:hAnsi="Garamond"/>
                <w:sz w:val="22"/>
                <w:szCs w:val="22"/>
                <w:highlight w:val="yellow"/>
              </w:rPr>
            </w:pPr>
            <w:r w:rsidRPr="00A5626D">
              <w:rPr>
                <w:rFonts w:ascii="Garamond" w:hAnsi="Garamond"/>
                <w:sz w:val="22"/>
                <w:szCs w:val="22"/>
                <w:highlight w:val="yellow"/>
              </w:rPr>
              <w:t>id-gtp – внутренний идентификатор ОР в макете 60000 для агрегаторов. Число из одного знака. Является обязательным атрибутом;</w:t>
            </w:r>
          </w:p>
          <w:p w14:paraId="4949F301" w14:textId="77777777" w:rsidR="00295C6D" w:rsidRPr="00A5626D" w:rsidRDefault="00295C6D" w:rsidP="00295C6D">
            <w:pPr>
              <w:pStyle w:val="ac"/>
              <w:widowControl w:val="0"/>
              <w:numPr>
                <w:ilvl w:val="0"/>
                <w:numId w:val="270"/>
              </w:numPr>
              <w:tabs>
                <w:tab w:val="left" w:pos="1134"/>
                <w:tab w:val="left" w:pos="7938"/>
              </w:tabs>
              <w:autoSpaceDE w:val="0"/>
              <w:autoSpaceDN w:val="0"/>
              <w:adjustRightInd w:val="0"/>
              <w:spacing w:before="60" w:after="60" w:line="276" w:lineRule="auto"/>
              <w:ind w:left="10" w:firstLine="567"/>
              <w:contextualSpacing/>
              <w:jc w:val="both"/>
              <w:rPr>
                <w:rFonts w:ascii="Garamond" w:hAnsi="Garamond"/>
                <w:sz w:val="22"/>
                <w:szCs w:val="22"/>
                <w:highlight w:val="yellow"/>
              </w:rPr>
            </w:pPr>
            <w:r w:rsidRPr="00A5626D">
              <w:rPr>
                <w:rFonts w:ascii="Garamond" w:hAnsi="Garamond"/>
                <w:sz w:val="22"/>
                <w:szCs w:val="22"/>
                <w:highlight w:val="yellow"/>
                <w:lang w:val="en-US"/>
              </w:rPr>
              <w:t>gtp</w:t>
            </w:r>
            <w:r w:rsidRPr="00A5626D">
              <w:rPr>
                <w:rFonts w:ascii="Garamond" w:hAnsi="Garamond"/>
                <w:sz w:val="22"/>
                <w:szCs w:val="22"/>
                <w:highlight w:val="yellow"/>
              </w:rPr>
              <w:t>-code – код ОР, присвоенный КО. Текст ровно из 8 символов. Является обязательным атрибутом;</w:t>
            </w:r>
          </w:p>
          <w:p w14:paraId="34FC434F" w14:textId="77777777" w:rsidR="00295C6D" w:rsidRPr="00A5626D" w:rsidRDefault="00295C6D" w:rsidP="00295C6D">
            <w:pPr>
              <w:pStyle w:val="ac"/>
              <w:widowControl w:val="0"/>
              <w:numPr>
                <w:ilvl w:val="0"/>
                <w:numId w:val="270"/>
              </w:numPr>
              <w:tabs>
                <w:tab w:val="left" w:pos="1134"/>
                <w:tab w:val="left" w:pos="7938"/>
              </w:tabs>
              <w:autoSpaceDE w:val="0"/>
              <w:autoSpaceDN w:val="0"/>
              <w:adjustRightInd w:val="0"/>
              <w:spacing w:before="60" w:after="60" w:line="276" w:lineRule="auto"/>
              <w:ind w:left="10" w:firstLine="567"/>
              <w:contextualSpacing/>
              <w:jc w:val="both"/>
              <w:rPr>
                <w:rFonts w:ascii="Garamond" w:hAnsi="Garamond"/>
                <w:sz w:val="22"/>
                <w:szCs w:val="22"/>
                <w:highlight w:val="yellow"/>
              </w:rPr>
            </w:pPr>
            <w:r w:rsidRPr="00A5626D">
              <w:rPr>
                <w:rFonts w:ascii="Garamond" w:hAnsi="Garamond"/>
                <w:sz w:val="22"/>
                <w:szCs w:val="22"/>
                <w:highlight w:val="yellow"/>
                <w:lang w:val="en-US"/>
              </w:rPr>
              <w:t>gtp</w:t>
            </w:r>
            <w:r w:rsidRPr="00A5626D">
              <w:rPr>
                <w:rFonts w:ascii="Garamond" w:hAnsi="Garamond"/>
                <w:sz w:val="22"/>
                <w:szCs w:val="22"/>
                <w:highlight w:val="yellow"/>
              </w:rPr>
              <w:t>-</w:t>
            </w:r>
            <w:r w:rsidRPr="00A5626D">
              <w:rPr>
                <w:rFonts w:ascii="Garamond" w:hAnsi="Garamond"/>
                <w:sz w:val="22"/>
                <w:szCs w:val="22"/>
                <w:highlight w:val="yellow"/>
                <w:lang w:val="en-US"/>
              </w:rPr>
              <w:t>name</w:t>
            </w:r>
            <w:r w:rsidRPr="00A5626D">
              <w:rPr>
                <w:rFonts w:ascii="Garamond" w:hAnsi="Garamond"/>
                <w:sz w:val="22"/>
                <w:szCs w:val="22"/>
                <w:highlight w:val="yellow"/>
              </w:rPr>
              <w:t xml:space="preserve"> – наименование ОР. Текст до 250 символов. Является обязательным атрибутом;</w:t>
            </w:r>
          </w:p>
          <w:p w14:paraId="4CAEEE49" w14:textId="77777777" w:rsidR="00295C6D" w:rsidRPr="00A5626D" w:rsidRDefault="00295C6D" w:rsidP="00295C6D">
            <w:pPr>
              <w:pStyle w:val="ac"/>
              <w:widowControl w:val="0"/>
              <w:numPr>
                <w:ilvl w:val="0"/>
                <w:numId w:val="270"/>
              </w:numPr>
              <w:tabs>
                <w:tab w:val="left" w:pos="1134"/>
                <w:tab w:val="left" w:pos="7938"/>
              </w:tabs>
              <w:autoSpaceDE w:val="0"/>
              <w:autoSpaceDN w:val="0"/>
              <w:adjustRightInd w:val="0"/>
              <w:spacing w:before="60" w:after="60" w:line="276" w:lineRule="auto"/>
              <w:ind w:left="10" w:firstLine="567"/>
              <w:contextualSpacing/>
              <w:jc w:val="both"/>
              <w:rPr>
                <w:rFonts w:ascii="Garamond" w:hAnsi="Garamond"/>
                <w:sz w:val="22"/>
                <w:szCs w:val="22"/>
              </w:rPr>
            </w:pPr>
            <w:r w:rsidRPr="00A5626D">
              <w:rPr>
                <w:rFonts w:ascii="Garamond" w:hAnsi="Garamond"/>
                <w:sz w:val="22"/>
                <w:szCs w:val="22"/>
                <w:highlight w:val="yellow"/>
              </w:rPr>
              <w:t>id-org – ссылка на внутренний идентификатор организации, формирующей ОР. Число из одного символа. Является обязательным атрибутом</w:t>
            </w:r>
            <w:r w:rsidRPr="00A5626D">
              <w:rPr>
                <w:rFonts w:ascii="Garamond" w:hAnsi="Garamond"/>
                <w:sz w:val="22"/>
                <w:szCs w:val="22"/>
                <w:highlight w:val="yellow"/>
                <w:lang w:val="en-US"/>
              </w:rPr>
              <w:t>;</w:t>
            </w:r>
          </w:p>
          <w:p w14:paraId="6DF85663" w14:textId="3D95445F" w:rsidR="00295C6D" w:rsidRPr="00A5626D" w:rsidRDefault="00295C6D" w:rsidP="00295C6D">
            <w:pPr>
              <w:pStyle w:val="ac"/>
              <w:widowControl w:val="0"/>
              <w:numPr>
                <w:ilvl w:val="0"/>
                <w:numId w:val="270"/>
              </w:numPr>
              <w:tabs>
                <w:tab w:val="left" w:pos="1134"/>
                <w:tab w:val="left" w:pos="7938"/>
              </w:tabs>
              <w:autoSpaceDE w:val="0"/>
              <w:autoSpaceDN w:val="0"/>
              <w:adjustRightInd w:val="0"/>
              <w:spacing w:before="60" w:after="60" w:line="276" w:lineRule="auto"/>
              <w:ind w:left="10" w:firstLine="567"/>
              <w:contextualSpacing/>
              <w:jc w:val="both"/>
              <w:rPr>
                <w:rFonts w:ascii="Garamond" w:hAnsi="Garamond" w:cstheme="minorHAnsi"/>
                <w:b/>
                <w:sz w:val="22"/>
                <w:szCs w:val="22"/>
              </w:rPr>
            </w:pPr>
            <w:r w:rsidRPr="00A5626D">
              <w:rPr>
                <w:rFonts w:ascii="Garamond" w:hAnsi="Garamond"/>
                <w:sz w:val="22"/>
                <w:szCs w:val="22"/>
                <w:highlight w:val="yellow"/>
              </w:rPr>
              <w:t>gtp-owner-trader-code</w:t>
            </w:r>
            <w:r w:rsidR="009B5F03" w:rsidRPr="00A5626D">
              <w:rPr>
                <w:rFonts w:ascii="Garamond" w:hAnsi="Garamond"/>
                <w:sz w:val="22"/>
                <w:szCs w:val="22"/>
                <w:highlight w:val="yellow"/>
              </w:rPr>
              <w:t xml:space="preserve"> – </w:t>
            </w:r>
            <w:r w:rsidRPr="00A5626D">
              <w:rPr>
                <w:rFonts w:ascii="Garamond" w:hAnsi="Garamond"/>
                <w:sz w:val="22"/>
                <w:szCs w:val="22"/>
                <w:highlight w:val="yellow"/>
              </w:rPr>
              <w:t>торговый код организации – владельца ГТП. Длина поля – ровно 8 символов, состоит из латинских букв и цифр. Является обязательным атрибутом, если макет 60000 передан по объекту регулирования.</w:t>
            </w:r>
          </w:p>
        </w:tc>
      </w:tr>
      <w:tr w:rsidR="00295C6D" w:rsidRPr="00A5626D" w14:paraId="4ED6EE93" w14:textId="77777777" w:rsidTr="00647FA0">
        <w:tc>
          <w:tcPr>
            <w:tcW w:w="1060" w:type="dxa"/>
            <w:vAlign w:val="center"/>
          </w:tcPr>
          <w:p w14:paraId="6AC49CF6" w14:textId="1CE89E67" w:rsidR="00295C6D" w:rsidRPr="00A5626D" w:rsidRDefault="00295C6D" w:rsidP="00E31AE6">
            <w:pPr>
              <w:widowControl w:val="0"/>
              <w:tabs>
                <w:tab w:val="left" w:pos="1134"/>
                <w:tab w:val="left" w:pos="7938"/>
              </w:tabs>
              <w:spacing w:line="22" w:lineRule="atLeast"/>
              <w:jc w:val="both"/>
              <w:rPr>
                <w:rFonts w:ascii="Garamond" w:hAnsi="Garamond"/>
                <w:b/>
                <w:sz w:val="22"/>
                <w:szCs w:val="22"/>
                <w:lang w:eastAsia="en-US"/>
              </w:rPr>
            </w:pPr>
            <w:r w:rsidRPr="00A5626D">
              <w:rPr>
                <w:rFonts w:ascii="Garamond" w:hAnsi="Garamond"/>
                <w:b/>
                <w:sz w:val="22"/>
                <w:szCs w:val="22"/>
                <w:lang w:eastAsia="en-US"/>
              </w:rPr>
              <w:t>Приложение 5, п.</w:t>
            </w:r>
            <w:r w:rsidR="000B3419" w:rsidRPr="00A5626D">
              <w:rPr>
                <w:rFonts w:ascii="Garamond" w:hAnsi="Garamond"/>
                <w:b/>
                <w:sz w:val="22"/>
                <w:szCs w:val="22"/>
                <w:lang w:eastAsia="en-US"/>
              </w:rPr>
              <w:t> </w:t>
            </w:r>
            <w:r w:rsidRPr="00A5626D">
              <w:rPr>
                <w:rFonts w:ascii="Garamond" w:hAnsi="Garamond"/>
                <w:b/>
                <w:sz w:val="22"/>
                <w:szCs w:val="22"/>
                <w:lang w:eastAsia="en-US"/>
              </w:rPr>
              <w:t>4.2.1.1.1.3.1</w:t>
            </w:r>
          </w:p>
        </w:tc>
        <w:tc>
          <w:tcPr>
            <w:tcW w:w="6662" w:type="dxa"/>
          </w:tcPr>
          <w:p w14:paraId="13C67917" w14:textId="77777777" w:rsidR="00295C6D" w:rsidRPr="00A5626D" w:rsidRDefault="00295C6D" w:rsidP="00E31AE6">
            <w:pPr>
              <w:widowControl w:val="0"/>
              <w:tabs>
                <w:tab w:val="left" w:pos="1134"/>
                <w:tab w:val="left" w:pos="7938"/>
              </w:tabs>
              <w:autoSpaceDE w:val="0"/>
              <w:autoSpaceDN w:val="0"/>
              <w:adjustRightInd w:val="0"/>
              <w:spacing w:before="60" w:after="60" w:line="276" w:lineRule="auto"/>
              <w:ind w:firstLine="567"/>
              <w:jc w:val="both"/>
              <w:rPr>
                <w:rFonts w:ascii="Garamond" w:hAnsi="Garamond" w:cstheme="minorHAnsi"/>
                <w:b/>
                <w:sz w:val="22"/>
                <w:szCs w:val="22"/>
              </w:rPr>
            </w:pPr>
            <w:r w:rsidRPr="00A5626D">
              <w:rPr>
                <w:rFonts w:ascii="Garamond" w:hAnsi="Garamond" w:cstheme="minorHAnsi"/>
                <w:b/>
                <w:sz w:val="22"/>
                <w:szCs w:val="22"/>
              </w:rPr>
              <w:t>&lt;</w:t>
            </w:r>
            <w:r w:rsidRPr="00A5626D">
              <w:rPr>
                <w:rFonts w:ascii="Garamond" w:hAnsi="Garamond" w:cstheme="minorHAnsi"/>
                <w:b/>
                <w:sz w:val="22"/>
                <w:szCs w:val="22"/>
                <w:lang w:val="en-US"/>
              </w:rPr>
              <w:t>power</w:t>
            </w:r>
            <w:r w:rsidRPr="00A5626D">
              <w:rPr>
                <w:rFonts w:ascii="Garamond" w:hAnsi="Garamond" w:cstheme="minorHAnsi"/>
                <w:b/>
                <w:sz w:val="22"/>
                <w:szCs w:val="22"/>
              </w:rPr>
              <w:t>-</w:t>
            </w:r>
            <w:r w:rsidRPr="00A5626D">
              <w:rPr>
                <w:rFonts w:ascii="Garamond" w:hAnsi="Garamond" w:cstheme="minorHAnsi"/>
                <w:b/>
                <w:sz w:val="22"/>
                <w:szCs w:val="22"/>
                <w:lang w:val="en-US"/>
              </w:rPr>
              <w:t>object</w:t>
            </w:r>
            <w:r w:rsidRPr="00A5626D">
              <w:rPr>
                <w:rFonts w:ascii="Garamond" w:hAnsi="Garamond" w:cstheme="minorHAnsi"/>
                <w:b/>
                <w:sz w:val="22"/>
                <w:szCs w:val="22"/>
              </w:rPr>
              <w:t>-</w:t>
            </w:r>
            <w:r w:rsidRPr="00A5626D">
              <w:rPr>
                <w:rFonts w:ascii="Garamond" w:hAnsi="Garamond" w:cstheme="minorHAnsi"/>
                <w:b/>
                <w:sz w:val="22"/>
                <w:szCs w:val="22"/>
                <w:lang w:val="en-US"/>
              </w:rPr>
              <w:t>owner</w:t>
            </w:r>
            <w:r w:rsidRPr="00A5626D">
              <w:rPr>
                <w:rFonts w:ascii="Garamond" w:hAnsi="Garamond" w:cstheme="minorHAnsi"/>
                <w:b/>
                <w:sz w:val="22"/>
                <w:szCs w:val="22"/>
                <w:highlight w:val="yellow"/>
                <w:lang w:val="en-US"/>
              </w:rPr>
              <w:t>s</w:t>
            </w:r>
            <w:r w:rsidRPr="00A5626D">
              <w:rPr>
                <w:rFonts w:ascii="Garamond" w:hAnsi="Garamond" w:cstheme="minorHAnsi"/>
                <w:b/>
                <w:sz w:val="22"/>
                <w:szCs w:val="22"/>
              </w:rPr>
              <w:t>&gt;</w:t>
            </w:r>
          </w:p>
          <w:p w14:paraId="4020143D" w14:textId="77777777" w:rsidR="00295C6D" w:rsidRPr="00A5626D" w:rsidRDefault="00295C6D" w:rsidP="00E31AE6">
            <w:pPr>
              <w:widowControl w:val="0"/>
              <w:tabs>
                <w:tab w:val="left" w:pos="1134"/>
                <w:tab w:val="left" w:pos="7938"/>
              </w:tabs>
              <w:autoSpaceDE w:val="0"/>
              <w:autoSpaceDN w:val="0"/>
              <w:adjustRightInd w:val="0"/>
              <w:spacing w:before="60" w:after="60" w:line="276" w:lineRule="auto"/>
              <w:ind w:firstLine="567"/>
              <w:jc w:val="both"/>
              <w:rPr>
                <w:rFonts w:ascii="Garamond" w:hAnsi="Garamond" w:cstheme="minorHAnsi"/>
                <w:sz w:val="22"/>
                <w:szCs w:val="22"/>
              </w:rPr>
            </w:pPr>
            <w:r w:rsidRPr="00A5626D">
              <w:rPr>
                <w:rFonts w:ascii="Garamond" w:hAnsi="Garamond" w:cstheme="minorHAnsi"/>
                <w:sz w:val="22"/>
                <w:szCs w:val="22"/>
              </w:rPr>
              <w:t>Элемент &lt;</w:t>
            </w:r>
            <w:r w:rsidRPr="00A5626D">
              <w:rPr>
                <w:rFonts w:ascii="Garamond" w:hAnsi="Garamond" w:cstheme="minorHAnsi"/>
                <w:b/>
                <w:sz w:val="22"/>
                <w:szCs w:val="22"/>
                <w:lang w:val="en-US"/>
              </w:rPr>
              <w:t>power</w:t>
            </w:r>
            <w:r w:rsidRPr="00A5626D">
              <w:rPr>
                <w:rFonts w:ascii="Garamond" w:hAnsi="Garamond" w:cstheme="minorHAnsi"/>
                <w:b/>
                <w:sz w:val="22"/>
                <w:szCs w:val="22"/>
              </w:rPr>
              <w:t>-</w:t>
            </w:r>
            <w:r w:rsidRPr="00A5626D">
              <w:rPr>
                <w:rFonts w:ascii="Garamond" w:hAnsi="Garamond" w:cstheme="minorHAnsi"/>
                <w:b/>
                <w:sz w:val="22"/>
                <w:szCs w:val="22"/>
                <w:lang w:val="en-US"/>
              </w:rPr>
              <w:t>object</w:t>
            </w:r>
            <w:r w:rsidRPr="00A5626D">
              <w:rPr>
                <w:rFonts w:ascii="Garamond" w:hAnsi="Garamond" w:cstheme="minorHAnsi"/>
                <w:b/>
                <w:sz w:val="22"/>
                <w:szCs w:val="22"/>
              </w:rPr>
              <w:t>-</w:t>
            </w:r>
            <w:r w:rsidRPr="00A5626D">
              <w:rPr>
                <w:rFonts w:ascii="Garamond" w:hAnsi="Garamond" w:cstheme="minorHAnsi"/>
                <w:b/>
                <w:sz w:val="22"/>
                <w:szCs w:val="22"/>
                <w:lang w:val="en-US"/>
              </w:rPr>
              <w:t>owner</w:t>
            </w:r>
            <w:r w:rsidRPr="00A5626D">
              <w:rPr>
                <w:rFonts w:ascii="Garamond" w:hAnsi="Garamond" w:cstheme="minorHAnsi"/>
                <w:sz w:val="22"/>
                <w:szCs w:val="22"/>
              </w:rPr>
              <w:t>&gt; описывает собственника оборудования.</w:t>
            </w:r>
          </w:p>
          <w:p w14:paraId="29B53A6F" w14:textId="77777777" w:rsidR="00295C6D" w:rsidRPr="00A5626D" w:rsidRDefault="00295C6D" w:rsidP="00E31AE6">
            <w:pPr>
              <w:widowControl w:val="0"/>
              <w:tabs>
                <w:tab w:val="left" w:pos="1134"/>
                <w:tab w:val="left" w:pos="7938"/>
              </w:tabs>
              <w:autoSpaceDE w:val="0"/>
              <w:autoSpaceDN w:val="0"/>
              <w:adjustRightInd w:val="0"/>
              <w:spacing w:before="60" w:after="60" w:line="276" w:lineRule="auto"/>
              <w:ind w:firstLine="567"/>
              <w:jc w:val="both"/>
              <w:rPr>
                <w:rFonts w:ascii="Garamond" w:hAnsi="Garamond" w:cstheme="minorHAnsi"/>
                <w:sz w:val="22"/>
                <w:szCs w:val="22"/>
              </w:rPr>
            </w:pPr>
            <w:r w:rsidRPr="00A5626D">
              <w:rPr>
                <w:rFonts w:ascii="Garamond" w:hAnsi="Garamond" w:cstheme="minorHAnsi"/>
                <w:bCs/>
                <w:sz w:val="22"/>
                <w:szCs w:val="22"/>
              </w:rPr>
              <w:t>Обязательный элемент</w:t>
            </w:r>
            <w:r w:rsidRPr="00A5626D">
              <w:rPr>
                <w:rFonts w:ascii="Garamond" w:hAnsi="Garamond" w:cstheme="minorHAnsi"/>
                <w:sz w:val="22"/>
                <w:szCs w:val="22"/>
              </w:rPr>
              <w:t>. Допускается наличие не более одного элемента для каждой ГТП, если в макете присутствует алгоритм расчета учетного показателя данной организации.</w:t>
            </w:r>
          </w:p>
          <w:p w14:paraId="288F78BC" w14:textId="77777777" w:rsidR="00295C6D" w:rsidRPr="00A5626D" w:rsidRDefault="00295C6D" w:rsidP="00E31AE6">
            <w:pPr>
              <w:tabs>
                <w:tab w:val="left" w:pos="1134"/>
                <w:tab w:val="left" w:pos="7938"/>
              </w:tabs>
              <w:spacing w:before="120" w:after="120"/>
              <w:ind w:firstLine="567"/>
              <w:jc w:val="both"/>
              <w:rPr>
                <w:rFonts w:ascii="Garamond" w:hAnsi="Garamond" w:cstheme="minorHAnsi"/>
                <w:sz w:val="22"/>
                <w:szCs w:val="22"/>
              </w:rPr>
            </w:pPr>
            <w:r w:rsidRPr="00A5626D">
              <w:rPr>
                <w:rFonts w:ascii="Garamond" w:hAnsi="Garamond" w:cstheme="minorHAnsi"/>
                <w:sz w:val="22"/>
                <w:szCs w:val="22"/>
              </w:rPr>
              <w:t>Атрибутами элемента &lt;</w:t>
            </w:r>
            <w:r w:rsidRPr="00A5626D">
              <w:rPr>
                <w:rFonts w:ascii="Garamond" w:hAnsi="Garamond" w:cstheme="minorHAnsi"/>
                <w:sz w:val="22"/>
                <w:szCs w:val="22"/>
                <w:lang w:val="en-US"/>
              </w:rPr>
              <w:t>power</w:t>
            </w:r>
            <w:r w:rsidRPr="00A5626D">
              <w:rPr>
                <w:rFonts w:ascii="Garamond" w:hAnsi="Garamond" w:cstheme="minorHAnsi"/>
                <w:sz w:val="22"/>
                <w:szCs w:val="22"/>
              </w:rPr>
              <w:t>-</w:t>
            </w:r>
            <w:r w:rsidRPr="00A5626D">
              <w:rPr>
                <w:rFonts w:ascii="Garamond" w:hAnsi="Garamond" w:cstheme="minorHAnsi"/>
                <w:sz w:val="22"/>
                <w:szCs w:val="22"/>
                <w:lang w:val="en-US"/>
              </w:rPr>
              <w:t>object</w:t>
            </w:r>
            <w:r w:rsidRPr="00A5626D">
              <w:rPr>
                <w:rFonts w:ascii="Garamond" w:hAnsi="Garamond" w:cstheme="minorHAnsi"/>
                <w:sz w:val="22"/>
                <w:szCs w:val="22"/>
              </w:rPr>
              <w:t>-</w:t>
            </w:r>
            <w:r w:rsidRPr="00A5626D">
              <w:rPr>
                <w:rFonts w:ascii="Garamond" w:hAnsi="Garamond" w:cstheme="minorHAnsi"/>
                <w:sz w:val="22"/>
                <w:szCs w:val="22"/>
                <w:lang w:val="en-US"/>
              </w:rPr>
              <w:t>owner</w:t>
            </w:r>
            <w:r w:rsidRPr="00A5626D">
              <w:rPr>
                <w:rFonts w:ascii="Garamond" w:hAnsi="Garamond" w:cstheme="minorHAnsi"/>
                <w:sz w:val="22"/>
                <w:szCs w:val="22"/>
              </w:rPr>
              <w:t>&gt; являются:</w:t>
            </w:r>
          </w:p>
          <w:p w14:paraId="231797EB" w14:textId="77777777" w:rsidR="00295C6D" w:rsidRPr="00A5626D" w:rsidRDefault="00295C6D" w:rsidP="00295C6D">
            <w:pPr>
              <w:pStyle w:val="ac"/>
              <w:widowControl w:val="0"/>
              <w:numPr>
                <w:ilvl w:val="0"/>
                <w:numId w:val="271"/>
              </w:numPr>
              <w:tabs>
                <w:tab w:val="left" w:pos="1134"/>
                <w:tab w:val="left" w:pos="7938"/>
              </w:tabs>
              <w:autoSpaceDE w:val="0"/>
              <w:autoSpaceDN w:val="0"/>
              <w:adjustRightInd w:val="0"/>
              <w:spacing w:before="60" w:after="60" w:line="276" w:lineRule="auto"/>
              <w:ind w:left="0" w:firstLine="567"/>
              <w:contextualSpacing/>
              <w:jc w:val="both"/>
              <w:rPr>
                <w:rFonts w:ascii="Garamond" w:hAnsi="Garamond" w:cstheme="minorHAnsi"/>
                <w:sz w:val="22"/>
                <w:szCs w:val="22"/>
              </w:rPr>
            </w:pPr>
            <w:r w:rsidRPr="00A5626D">
              <w:rPr>
                <w:rFonts w:ascii="Garamond" w:hAnsi="Garamond" w:cstheme="minorHAnsi"/>
                <w:sz w:val="22"/>
                <w:szCs w:val="22"/>
              </w:rPr>
              <w:t xml:space="preserve">name – наименование организации, обладающей правом собственности на энергообъект. Длина наименования до 250 символов. Является обязательным атрибутом, если в макете присутствует </w:t>
            </w:r>
            <w:r w:rsidRPr="00A5626D">
              <w:rPr>
                <w:rFonts w:ascii="Garamond" w:hAnsi="Garamond" w:cstheme="minorHAnsi"/>
                <w:sz w:val="22"/>
                <w:szCs w:val="22"/>
              </w:rPr>
              <w:lastRenderedPageBreak/>
              <w:t>алгоритм расчета учетного показателя данной организации;</w:t>
            </w:r>
          </w:p>
          <w:p w14:paraId="5B2BE11F" w14:textId="77777777" w:rsidR="00295C6D" w:rsidRPr="00A5626D" w:rsidRDefault="00295C6D" w:rsidP="00295C6D">
            <w:pPr>
              <w:pStyle w:val="ac"/>
              <w:widowControl w:val="0"/>
              <w:numPr>
                <w:ilvl w:val="0"/>
                <w:numId w:val="271"/>
              </w:numPr>
              <w:tabs>
                <w:tab w:val="left" w:pos="1134"/>
                <w:tab w:val="left" w:pos="7938"/>
              </w:tabs>
              <w:autoSpaceDE w:val="0"/>
              <w:autoSpaceDN w:val="0"/>
              <w:adjustRightInd w:val="0"/>
              <w:spacing w:before="60" w:after="60" w:line="276" w:lineRule="auto"/>
              <w:ind w:left="0" w:firstLine="567"/>
              <w:contextualSpacing/>
              <w:jc w:val="both"/>
              <w:rPr>
                <w:rFonts w:ascii="Garamond" w:hAnsi="Garamond" w:cstheme="minorHAnsi"/>
                <w:sz w:val="22"/>
                <w:szCs w:val="22"/>
              </w:rPr>
            </w:pPr>
            <w:r w:rsidRPr="00A5626D">
              <w:rPr>
                <w:rFonts w:ascii="Garamond" w:hAnsi="Garamond" w:cstheme="minorHAnsi"/>
                <w:sz w:val="22"/>
                <w:szCs w:val="22"/>
                <w:lang w:val="en-US"/>
              </w:rPr>
              <w:t>inn</w:t>
            </w:r>
            <w:r w:rsidRPr="00A5626D">
              <w:rPr>
                <w:rFonts w:ascii="Garamond" w:hAnsi="Garamond" w:cstheme="minorHAnsi"/>
                <w:sz w:val="22"/>
                <w:szCs w:val="22"/>
              </w:rPr>
              <w:t xml:space="preserve"> – ИНН организации, обладающей правом собственности на энергообъект. Представляет собой число из 10 цифр. Является обязательным атрибутом, если в макете присутствует алгоритм расчета учетного показателя данной организации;</w:t>
            </w:r>
          </w:p>
          <w:p w14:paraId="3D68386E" w14:textId="77777777" w:rsidR="00295C6D" w:rsidRPr="00A5626D" w:rsidRDefault="00295C6D" w:rsidP="00295C6D">
            <w:pPr>
              <w:pStyle w:val="ac"/>
              <w:widowControl w:val="0"/>
              <w:numPr>
                <w:ilvl w:val="0"/>
                <w:numId w:val="271"/>
              </w:numPr>
              <w:tabs>
                <w:tab w:val="left" w:pos="1134"/>
                <w:tab w:val="left" w:pos="7938"/>
              </w:tabs>
              <w:autoSpaceDE w:val="0"/>
              <w:autoSpaceDN w:val="0"/>
              <w:adjustRightInd w:val="0"/>
              <w:spacing w:before="60" w:after="60" w:line="276" w:lineRule="auto"/>
              <w:ind w:left="0" w:firstLine="567"/>
              <w:contextualSpacing/>
              <w:jc w:val="both"/>
              <w:rPr>
                <w:rFonts w:ascii="Garamond" w:hAnsi="Garamond" w:cstheme="minorHAnsi"/>
                <w:sz w:val="22"/>
                <w:szCs w:val="22"/>
              </w:rPr>
            </w:pPr>
            <w:r w:rsidRPr="00A5626D">
              <w:rPr>
                <w:rFonts w:ascii="Garamond" w:hAnsi="Garamond" w:cstheme="minorHAnsi"/>
                <w:sz w:val="22"/>
                <w:szCs w:val="22"/>
                <w:lang w:val="en-US"/>
              </w:rPr>
              <w:t>id</w:t>
            </w:r>
            <w:r w:rsidRPr="00A5626D">
              <w:rPr>
                <w:rFonts w:ascii="Garamond" w:hAnsi="Garamond" w:cstheme="minorHAnsi"/>
                <w:sz w:val="22"/>
                <w:szCs w:val="22"/>
              </w:rPr>
              <w:t>-</w:t>
            </w:r>
            <w:r w:rsidRPr="00A5626D">
              <w:rPr>
                <w:rFonts w:ascii="Garamond" w:hAnsi="Garamond" w:cstheme="minorHAnsi"/>
                <w:sz w:val="22"/>
                <w:szCs w:val="22"/>
                <w:lang w:val="en-US"/>
              </w:rPr>
              <w:t>power</w:t>
            </w:r>
            <w:r w:rsidRPr="00A5626D">
              <w:rPr>
                <w:rFonts w:ascii="Garamond" w:hAnsi="Garamond" w:cstheme="minorHAnsi"/>
                <w:sz w:val="22"/>
                <w:szCs w:val="22"/>
              </w:rPr>
              <w:t>-</w:t>
            </w:r>
            <w:r w:rsidRPr="00A5626D">
              <w:rPr>
                <w:rFonts w:ascii="Garamond" w:hAnsi="Garamond" w:cstheme="minorHAnsi"/>
                <w:sz w:val="22"/>
                <w:szCs w:val="22"/>
                <w:lang w:val="en-US"/>
              </w:rPr>
              <w:t>object</w:t>
            </w:r>
            <w:r w:rsidRPr="00A5626D">
              <w:rPr>
                <w:rFonts w:ascii="Garamond" w:hAnsi="Garamond" w:cstheme="minorHAnsi"/>
                <w:sz w:val="22"/>
                <w:szCs w:val="22"/>
              </w:rPr>
              <w:t>-</w:t>
            </w:r>
            <w:r w:rsidRPr="00A5626D">
              <w:rPr>
                <w:rFonts w:ascii="Garamond" w:hAnsi="Garamond" w:cstheme="minorHAnsi"/>
                <w:sz w:val="22"/>
                <w:szCs w:val="22"/>
                <w:lang w:val="en-US"/>
              </w:rPr>
              <w:t>owner</w:t>
            </w:r>
            <w:r w:rsidRPr="00A5626D">
              <w:rPr>
                <w:rFonts w:ascii="Garamond" w:hAnsi="Garamond" w:cstheme="minorHAnsi"/>
                <w:sz w:val="22"/>
                <w:szCs w:val="22"/>
              </w:rPr>
              <w:t xml:space="preserve"> – идентификатор организации, обладающей правом собственности на энергообъект. Число до 4 знаков (1, 01, 001 и 0001 считаются одинаковыми идентификаторами). Является обязательным атрибутом.</w:t>
            </w:r>
          </w:p>
        </w:tc>
        <w:tc>
          <w:tcPr>
            <w:tcW w:w="7088" w:type="dxa"/>
          </w:tcPr>
          <w:p w14:paraId="6249A974" w14:textId="77777777" w:rsidR="00295C6D" w:rsidRPr="00A5626D" w:rsidRDefault="00295C6D" w:rsidP="00E31AE6">
            <w:pPr>
              <w:widowControl w:val="0"/>
              <w:tabs>
                <w:tab w:val="left" w:pos="1134"/>
                <w:tab w:val="left" w:pos="7938"/>
              </w:tabs>
              <w:autoSpaceDE w:val="0"/>
              <w:autoSpaceDN w:val="0"/>
              <w:adjustRightInd w:val="0"/>
              <w:spacing w:before="60" w:after="60" w:line="276" w:lineRule="auto"/>
              <w:ind w:firstLine="567"/>
              <w:jc w:val="both"/>
              <w:rPr>
                <w:rFonts w:ascii="Garamond" w:hAnsi="Garamond" w:cstheme="minorHAnsi"/>
                <w:b/>
                <w:sz w:val="22"/>
                <w:szCs w:val="22"/>
              </w:rPr>
            </w:pPr>
            <w:r w:rsidRPr="00A5626D">
              <w:rPr>
                <w:rFonts w:ascii="Garamond" w:hAnsi="Garamond" w:cstheme="minorHAnsi"/>
                <w:b/>
                <w:sz w:val="22"/>
                <w:szCs w:val="22"/>
              </w:rPr>
              <w:lastRenderedPageBreak/>
              <w:t>&lt;</w:t>
            </w:r>
            <w:r w:rsidRPr="00A5626D">
              <w:rPr>
                <w:rFonts w:ascii="Garamond" w:hAnsi="Garamond" w:cstheme="minorHAnsi"/>
                <w:b/>
                <w:sz w:val="22"/>
                <w:szCs w:val="22"/>
                <w:lang w:val="en-US"/>
              </w:rPr>
              <w:t>power</w:t>
            </w:r>
            <w:r w:rsidRPr="00A5626D">
              <w:rPr>
                <w:rFonts w:ascii="Garamond" w:hAnsi="Garamond" w:cstheme="minorHAnsi"/>
                <w:b/>
                <w:sz w:val="22"/>
                <w:szCs w:val="22"/>
              </w:rPr>
              <w:t>-</w:t>
            </w:r>
            <w:r w:rsidRPr="00A5626D">
              <w:rPr>
                <w:rFonts w:ascii="Garamond" w:hAnsi="Garamond" w:cstheme="minorHAnsi"/>
                <w:b/>
                <w:sz w:val="22"/>
                <w:szCs w:val="22"/>
                <w:lang w:val="en-US"/>
              </w:rPr>
              <w:t>object</w:t>
            </w:r>
            <w:r w:rsidRPr="00A5626D">
              <w:rPr>
                <w:rFonts w:ascii="Garamond" w:hAnsi="Garamond" w:cstheme="minorHAnsi"/>
                <w:b/>
                <w:sz w:val="22"/>
                <w:szCs w:val="22"/>
              </w:rPr>
              <w:t>-</w:t>
            </w:r>
            <w:r w:rsidRPr="00A5626D">
              <w:rPr>
                <w:rFonts w:ascii="Garamond" w:hAnsi="Garamond" w:cstheme="minorHAnsi"/>
                <w:b/>
                <w:sz w:val="22"/>
                <w:szCs w:val="22"/>
                <w:lang w:val="en-US"/>
              </w:rPr>
              <w:t>owner</w:t>
            </w:r>
            <w:r w:rsidRPr="00A5626D">
              <w:rPr>
                <w:rFonts w:ascii="Garamond" w:hAnsi="Garamond" w:cstheme="minorHAnsi"/>
                <w:b/>
                <w:sz w:val="22"/>
                <w:szCs w:val="22"/>
              </w:rPr>
              <w:t>&gt;</w:t>
            </w:r>
          </w:p>
          <w:p w14:paraId="3EF6AAA5" w14:textId="77777777" w:rsidR="00295C6D" w:rsidRPr="00A5626D" w:rsidRDefault="00295C6D" w:rsidP="00E31AE6">
            <w:pPr>
              <w:widowControl w:val="0"/>
              <w:tabs>
                <w:tab w:val="left" w:pos="1134"/>
                <w:tab w:val="left" w:pos="7938"/>
              </w:tabs>
              <w:autoSpaceDE w:val="0"/>
              <w:autoSpaceDN w:val="0"/>
              <w:adjustRightInd w:val="0"/>
              <w:spacing w:before="60" w:after="60" w:line="276" w:lineRule="auto"/>
              <w:ind w:firstLine="567"/>
              <w:jc w:val="both"/>
              <w:rPr>
                <w:rFonts w:ascii="Garamond" w:hAnsi="Garamond" w:cstheme="minorHAnsi"/>
                <w:sz w:val="22"/>
                <w:szCs w:val="22"/>
              </w:rPr>
            </w:pPr>
            <w:r w:rsidRPr="00A5626D">
              <w:rPr>
                <w:rFonts w:ascii="Garamond" w:hAnsi="Garamond" w:cstheme="minorHAnsi"/>
                <w:sz w:val="22"/>
                <w:szCs w:val="22"/>
              </w:rPr>
              <w:t>Элемент &lt;</w:t>
            </w:r>
            <w:r w:rsidRPr="00A5626D">
              <w:rPr>
                <w:rFonts w:ascii="Garamond" w:hAnsi="Garamond" w:cstheme="minorHAnsi"/>
                <w:b/>
                <w:sz w:val="22"/>
                <w:szCs w:val="22"/>
                <w:lang w:val="en-US"/>
              </w:rPr>
              <w:t>power</w:t>
            </w:r>
            <w:r w:rsidRPr="00A5626D">
              <w:rPr>
                <w:rFonts w:ascii="Garamond" w:hAnsi="Garamond" w:cstheme="minorHAnsi"/>
                <w:b/>
                <w:sz w:val="22"/>
                <w:szCs w:val="22"/>
              </w:rPr>
              <w:t>-</w:t>
            </w:r>
            <w:r w:rsidRPr="00A5626D">
              <w:rPr>
                <w:rFonts w:ascii="Garamond" w:hAnsi="Garamond" w:cstheme="minorHAnsi"/>
                <w:b/>
                <w:sz w:val="22"/>
                <w:szCs w:val="22"/>
                <w:lang w:val="en-US"/>
              </w:rPr>
              <w:t>object</w:t>
            </w:r>
            <w:r w:rsidRPr="00A5626D">
              <w:rPr>
                <w:rFonts w:ascii="Garamond" w:hAnsi="Garamond" w:cstheme="minorHAnsi"/>
                <w:b/>
                <w:sz w:val="22"/>
                <w:szCs w:val="22"/>
              </w:rPr>
              <w:t>-</w:t>
            </w:r>
            <w:r w:rsidRPr="00A5626D">
              <w:rPr>
                <w:rFonts w:ascii="Garamond" w:hAnsi="Garamond" w:cstheme="minorHAnsi"/>
                <w:b/>
                <w:sz w:val="22"/>
                <w:szCs w:val="22"/>
                <w:lang w:val="en-US"/>
              </w:rPr>
              <w:t>owner</w:t>
            </w:r>
            <w:r w:rsidRPr="00A5626D">
              <w:rPr>
                <w:rFonts w:ascii="Garamond" w:hAnsi="Garamond" w:cstheme="minorHAnsi"/>
                <w:sz w:val="22"/>
                <w:szCs w:val="22"/>
              </w:rPr>
              <w:t>&gt; описывает собственника оборудования.</w:t>
            </w:r>
          </w:p>
          <w:p w14:paraId="17FD5E2D" w14:textId="77777777" w:rsidR="00295C6D" w:rsidRPr="00A5626D" w:rsidRDefault="00295C6D" w:rsidP="00E31AE6">
            <w:pPr>
              <w:widowControl w:val="0"/>
              <w:tabs>
                <w:tab w:val="left" w:pos="1134"/>
                <w:tab w:val="left" w:pos="7938"/>
              </w:tabs>
              <w:autoSpaceDE w:val="0"/>
              <w:autoSpaceDN w:val="0"/>
              <w:adjustRightInd w:val="0"/>
              <w:spacing w:before="60" w:after="60" w:line="276" w:lineRule="auto"/>
              <w:ind w:firstLine="567"/>
              <w:jc w:val="both"/>
              <w:rPr>
                <w:rFonts w:ascii="Garamond" w:hAnsi="Garamond" w:cstheme="minorHAnsi"/>
                <w:sz w:val="22"/>
                <w:szCs w:val="22"/>
              </w:rPr>
            </w:pPr>
            <w:r w:rsidRPr="00A5626D">
              <w:rPr>
                <w:rFonts w:ascii="Garamond" w:hAnsi="Garamond" w:cstheme="minorHAnsi"/>
                <w:bCs/>
                <w:sz w:val="22"/>
                <w:szCs w:val="22"/>
              </w:rPr>
              <w:t>Обязательный элемент</w:t>
            </w:r>
            <w:r w:rsidRPr="00A5626D">
              <w:rPr>
                <w:rFonts w:ascii="Garamond" w:hAnsi="Garamond" w:cstheme="minorHAnsi"/>
                <w:sz w:val="22"/>
                <w:szCs w:val="22"/>
              </w:rPr>
              <w:t xml:space="preserve">. Допускается наличие не более одного элемента для каждой ГТП </w:t>
            </w:r>
            <w:r w:rsidRPr="00A5626D">
              <w:rPr>
                <w:rFonts w:ascii="Garamond" w:hAnsi="Garamond" w:cstheme="minorHAnsi"/>
                <w:sz w:val="22"/>
                <w:szCs w:val="22"/>
                <w:highlight w:val="yellow"/>
              </w:rPr>
              <w:t>или ОР</w:t>
            </w:r>
            <w:r w:rsidRPr="00A5626D">
              <w:rPr>
                <w:rFonts w:ascii="Garamond" w:hAnsi="Garamond" w:cstheme="minorHAnsi"/>
                <w:sz w:val="22"/>
                <w:szCs w:val="22"/>
              </w:rPr>
              <w:t>, если в макете присутствует алгоритм расчета учетного показателя данной организации.</w:t>
            </w:r>
          </w:p>
          <w:p w14:paraId="6E129CD7" w14:textId="77777777" w:rsidR="00295C6D" w:rsidRPr="00A5626D" w:rsidRDefault="00295C6D" w:rsidP="00E31AE6">
            <w:pPr>
              <w:tabs>
                <w:tab w:val="left" w:pos="1134"/>
                <w:tab w:val="left" w:pos="7938"/>
              </w:tabs>
              <w:spacing w:before="120" w:after="120"/>
              <w:ind w:firstLine="567"/>
              <w:jc w:val="both"/>
              <w:rPr>
                <w:rFonts w:ascii="Garamond" w:hAnsi="Garamond" w:cstheme="minorHAnsi"/>
                <w:sz w:val="22"/>
                <w:szCs w:val="22"/>
              </w:rPr>
            </w:pPr>
            <w:r w:rsidRPr="00A5626D">
              <w:rPr>
                <w:rFonts w:ascii="Garamond" w:hAnsi="Garamond" w:cstheme="minorHAnsi"/>
                <w:sz w:val="22"/>
                <w:szCs w:val="22"/>
              </w:rPr>
              <w:t>Атрибутами элемента &lt;</w:t>
            </w:r>
            <w:r w:rsidRPr="00A5626D">
              <w:rPr>
                <w:rFonts w:ascii="Garamond" w:hAnsi="Garamond" w:cstheme="minorHAnsi"/>
                <w:sz w:val="22"/>
                <w:szCs w:val="22"/>
                <w:lang w:val="en-US"/>
              </w:rPr>
              <w:t>power</w:t>
            </w:r>
            <w:r w:rsidRPr="00A5626D">
              <w:rPr>
                <w:rFonts w:ascii="Garamond" w:hAnsi="Garamond" w:cstheme="minorHAnsi"/>
                <w:sz w:val="22"/>
                <w:szCs w:val="22"/>
              </w:rPr>
              <w:t>-</w:t>
            </w:r>
            <w:r w:rsidRPr="00A5626D">
              <w:rPr>
                <w:rFonts w:ascii="Garamond" w:hAnsi="Garamond" w:cstheme="minorHAnsi"/>
                <w:sz w:val="22"/>
                <w:szCs w:val="22"/>
                <w:lang w:val="en-US"/>
              </w:rPr>
              <w:t>object</w:t>
            </w:r>
            <w:r w:rsidRPr="00A5626D">
              <w:rPr>
                <w:rFonts w:ascii="Garamond" w:hAnsi="Garamond" w:cstheme="minorHAnsi"/>
                <w:sz w:val="22"/>
                <w:szCs w:val="22"/>
              </w:rPr>
              <w:t>-</w:t>
            </w:r>
            <w:r w:rsidRPr="00A5626D">
              <w:rPr>
                <w:rFonts w:ascii="Garamond" w:hAnsi="Garamond" w:cstheme="minorHAnsi"/>
                <w:sz w:val="22"/>
                <w:szCs w:val="22"/>
                <w:lang w:val="en-US"/>
              </w:rPr>
              <w:t>owner</w:t>
            </w:r>
            <w:r w:rsidRPr="00A5626D">
              <w:rPr>
                <w:rFonts w:ascii="Garamond" w:hAnsi="Garamond" w:cstheme="minorHAnsi"/>
                <w:sz w:val="22"/>
                <w:szCs w:val="22"/>
              </w:rPr>
              <w:t>&gt; являются:</w:t>
            </w:r>
          </w:p>
          <w:p w14:paraId="5B17E2A8" w14:textId="77777777" w:rsidR="00295C6D" w:rsidRPr="00A5626D" w:rsidRDefault="00295C6D" w:rsidP="00295C6D">
            <w:pPr>
              <w:pStyle w:val="ac"/>
              <w:widowControl w:val="0"/>
              <w:numPr>
                <w:ilvl w:val="0"/>
                <w:numId w:val="271"/>
              </w:numPr>
              <w:tabs>
                <w:tab w:val="left" w:pos="1134"/>
                <w:tab w:val="left" w:pos="7938"/>
              </w:tabs>
              <w:autoSpaceDE w:val="0"/>
              <w:autoSpaceDN w:val="0"/>
              <w:adjustRightInd w:val="0"/>
              <w:spacing w:before="60" w:after="60" w:line="276" w:lineRule="auto"/>
              <w:ind w:left="0" w:firstLine="567"/>
              <w:contextualSpacing/>
              <w:jc w:val="both"/>
              <w:rPr>
                <w:rFonts w:ascii="Garamond" w:hAnsi="Garamond" w:cstheme="minorHAnsi"/>
                <w:sz w:val="22"/>
                <w:szCs w:val="22"/>
              </w:rPr>
            </w:pPr>
            <w:r w:rsidRPr="00A5626D">
              <w:rPr>
                <w:rFonts w:ascii="Garamond" w:hAnsi="Garamond" w:cstheme="minorHAnsi"/>
                <w:sz w:val="22"/>
                <w:szCs w:val="22"/>
              </w:rPr>
              <w:t xml:space="preserve">name – наименование организации, обладающей правом собственности на энергообъект. Длина наименования до 250 символов. Является обязательным атрибутом, если в макете присутствует алгоритм </w:t>
            </w:r>
            <w:r w:rsidRPr="00A5626D">
              <w:rPr>
                <w:rFonts w:ascii="Garamond" w:hAnsi="Garamond" w:cstheme="minorHAnsi"/>
                <w:sz w:val="22"/>
                <w:szCs w:val="22"/>
              </w:rPr>
              <w:lastRenderedPageBreak/>
              <w:t>расчета учетного показателя данной организации;</w:t>
            </w:r>
          </w:p>
          <w:p w14:paraId="3E5F3F4B" w14:textId="77777777" w:rsidR="00295C6D" w:rsidRPr="00A5626D" w:rsidRDefault="00295C6D" w:rsidP="00295C6D">
            <w:pPr>
              <w:pStyle w:val="ac"/>
              <w:widowControl w:val="0"/>
              <w:numPr>
                <w:ilvl w:val="0"/>
                <w:numId w:val="271"/>
              </w:numPr>
              <w:tabs>
                <w:tab w:val="left" w:pos="1134"/>
                <w:tab w:val="left" w:pos="7938"/>
              </w:tabs>
              <w:autoSpaceDE w:val="0"/>
              <w:autoSpaceDN w:val="0"/>
              <w:adjustRightInd w:val="0"/>
              <w:spacing w:before="60" w:after="60" w:line="276" w:lineRule="auto"/>
              <w:ind w:left="0" w:firstLine="567"/>
              <w:contextualSpacing/>
              <w:jc w:val="both"/>
              <w:rPr>
                <w:rFonts w:ascii="Garamond" w:hAnsi="Garamond" w:cstheme="minorHAnsi"/>
                <w:sz w:val="22"/>
                <w:szCs w:val="22"/>
              </w:rPr>
            </w:pPr>
            <w:r w:rsidRPr="00A5626D">
              <w:rPr>
                <w:rFonts w:ascii="Garamond" w:hAnsi="Garamond" w:cstheme="minorHAnsi"/>
                <w:sz w:val="22"/>
                <w:szCs w:val="22"/>
                <w:lang w:val="en-US"/>
              </w:rPr>
              <w:t>inn</w:t>
            </w:r>
            <w:r w:rsidRPr="00A5626D">
              <w:rPr>
                <w:rFonts w:ascii="Garamond" w:hAnsi="Garamond" w:cstheme="minorHAnsi"/>
                <w:sz w:val="22"/>
                <w:szCs w:val="22"/>
              </w:rPr>
              <w:t xml:space="preserve"> – ИНН организации, обладающей правом собственности на энергообъект. Представляет собой число из 10 цифр. Является обязательным атрибутом, если в макете присутствует алгоритм расчета учетного показателя данной организации;</w:t>
            </w:r>
          </w:p>
          <w:p w14:paraId="670BE82D" w14:textId="77777777" w:rsidR="00295C6D" w:rsidRPr="00A5626D" w:rsidRDefault="00295C6D" w:rsidP="00295C6D">
            <w:pPr>
              <w:pStyle w:val="ac"/>
              <w:widowControl w:val="0"/>
              <w:numPr>
                <w:ilvl w:val="0"/>
                <w:numId w:val="271"/>
              </w:numPr>
              <w:tabs>
                <w:tab w:val="left" w:pos="1134"/>
                <w:tab w:val="left" w:pos="7938"/>
              </w:tabs>
              <w:autoSpaceDE w:val="0"/>
              <w:autoSpaceDN w:val="0"/>
              <w:adjustRightInd w:val="0"/>
              <w:spacing w:before="60" w:after="60" w:line="276" w:lineRule="auto"/>
              <w:ind w:left="0" w:firstLine="567"/>
              <w:contextualSpacing/>
              <w:jc w:val="both"/>
              <w:rPr>
                <w:rFonts w:ascii="Garamond" w:hAnsi="Garamond" w:cstheme="minorHAnsi"/>
                <w:sz w:val="22"/>
                <w:szCs w:val="22"/>
              </w:rPr>
            </w:pPr>
            <w:r w:rsidRPr="00A5626D">
              <w:rPr>
                <w:rFonts w:ascii="Garamond" w:hAnsi="Garamond" w:cstheme="minorHAnsi"/>
                <w:sz w:val="22"/>
                <w:szCs w:val="22"/>
                <w:lang w:val="en-US"/>
              </w:rPr>
              <w:t>id</w:t>
            </w:r>
            <w:r w:rsidRPr="00A5626D">
              <w:rPr>
                <w:rFonts w:ascii="Garamond" w:hAnsi="Garamond" w:cstheme="minorHAnsi"/>
                <w:sz w:val="22"/>
                <w:szCs w:val="22"/>
              </w:rPr>
              <w:t>-</w:t>
            </w:r>
            <w:r w:rsidRPr="00A5626D">
              <w:rPr>
                <w:rFonts w:ascii="Garamond" w:hAnsi="Garamond" w:cstheme="minorHAnsi"/>
                <w:sz w:val="22"/>
                <w:szCs w:val="22"/>
                <w:lang w:val="en-US"/>
              </w:rPr>
              <w:t>power</w:t>
            </w:r>
            <w:r w:rsidRPr="00A5626D">
              <w:rPr>
                <w:rFonts w:ascii="Garamond" w:hAnsi="Garamond" w:cstheme="minorHAnsi"/>
                <w:sz w:val="22"/>
                <w:szCs w:val="22"/>
              </w:rPr>
              <w:t>-</w:t>
            </w:r>
            <w:r w:rsidRPr="00A5626D">
              <w:rPr>
                <w:rFonts w:ascii="Garamond" w:hAnsi="Garamond" w:cstheme="minorHAnsi"/>
                <w:sz w:val="22"/>
                <w:szCs w:val="22"/>
                <w:lang w:val="en-US"/>
              </w:rPr>
              <w:t>object</w:t>
            </w:r>
            <w:r w:rsidRPr="00A5626D">
              <w:rPr>
                <w:rFonts w:ascii="Garamond" w:hAnsi="Garamond" w:cstheme="minorHAnsi"/>
                <w:sz w:val="22"/>
                <w:szCs w:val="22"/>
              </w:rPr>
              <w:t>-</w:t>
            </w:r>
            <w:r w:rsidRPr="00A5626D">
              <w:rPr>
                <w:rFonts w:ascii="Garamond" w:hAnsi="Garamond" w:cstheme="minorHAnsi"/>
                <w:sz w:val="22"/>
                <w:szCs w:val="22"/>
                <w:lang w:val="en-US"/>
              </w:rPr>
              <w:t>owner</w:t>
            </w:r>
            <w:r w:rsidRPr="00A5626D">
              <w:rPr>
                <w:rFonts w:ascii="Garamond" w:hAnsi="Garamond" w:cstheme="minorHAnsi"/>
                <w:sz w:val="22"/>
                <w:szCs w:val="22"/>
              </w:rPr>
              <w:t xml:space="preserve"> – идентификатор организации, обладающей правом собственности на энергообъект. Число до 4 знаков (1, 01, 001 и 0001 считаются одинаковыми идентификаторами). Является обязательным атрибутом.</w:t>
            </w:r>
          </w:p>
        </w:tc>
      </w:tr>
      <w:tr w:rsidR="00295C6D" w:rsidRPr="00A5626D" w14:paraId="7C958FB3" w14:textId="77777777" w:rsidTr="00647FA0">
        <w:tc>
          <w:tcPr>
            <w:tcW w:w="1060" w:type="dxa"/>
            <w:vAlign w:val="center"/>
          </w:tcPr>
          <w:p w14:paraId="268B4A48" w14:textId="126D06BE" w:rsidR="00295C6D" w:rsidRPr="00A5626D" w:rsidRDefault="00295C6D" w:rsidP="00E31AE6">
            <w:pPr>
              <w:widowControl w:val="0"/>
              <w:tabs>
                <w:tab w:val="left" w:pos="1134"/>
                <w:tab w:val="left" w:pos="7938"/>
              </w:tabs>
              <w:spacing w:line="22" w:lineRule="atLeast"/>
              <w:jc w:val="both"/>
              <w:rPr>
                <w:rFonts w:ascii="Garamond" w:hAnsi="Garamond"/>
                <w:b/>
                <w:sz w:val="22"/>
                <w:szCs w:val="22"/>
                <w:lang w:eastAsia="en-US"/>
              </w:rPr>
            </w:pPr>
            <w:r w:rsidRPr="00A5626D">
              <w:rPr>
                <w:rFonts w:ascii="Garamond" w:hAnsi="Garamond"/>
                <w:b/>
                <w:sz w:val="22"/>
                <w:szCs w:val="22"/>
                <w:lang w:eastAsia="en-US"/>
              </w:rPr>
              <w:lastRenderedPageBreak/>
              <w:t>Приложение 5, п.</w:t>
            </w:r>
            <w:r w:rsidR="000B3419" w:rsidRPr="00A5626D">
              <w:rPr>
                <w:rFonts w:ascii="Garamond" w:hAnsi="Garamond"/>
                <w:b/>
                <w:sz w:val="22"/>
                <w:szCs w:val="22"/>
                <w:lang w:eastAsia="en-US"/>
              </w:rPr>
              <w:t> </w:t>
            </w:r>
            <w:r w:rsidRPr="00A5626D">
              <w:rPr>
                <w:rFonts w:ascii="Garamond" w:hAnsi="Garamond"/>
                <w:b/>
                <w:sz w:val="22"/>
                <w:szCs w:val="22"/>
                <w:lang w:eastAsia="en-US"/>
              </w:rPr>
              <w:t>4.2.1.1.1.4</w:t>
            </w:r>
          </w:p>
        </w:tc>
        <w:tc>
          <w:tcPr>
            <w:tcW w:w="6662" w:type="dxa"/>
          </w:tcPr>
          <w:p w14:paraId="48AD6D92" w14:textId="77777777" w:rsidR="00295C6D" w:rsidRPr="00A5626D" w:rsidRDefault="00295C6D" w:rsidP="00E31AE6">
            <w:pPr>
              <w:tabs>
                <w:tab w:val="left" w:pos="1134"/>
                <w:tab w:val="left" w:pos="7938"/>
              </w:tabs>
              <w:spacing w:before="120" w:after="120"/>
              <w:ind w:firstLine="567"/>
              <w:jc w:val="both"/>
              <w:rPr>
                <w:rFonts w:ascii="Garamond" w:hAnsi="Garamond" w:cstheme="minorHAnsi"/>
                <w:sz w:val="22"/>
                <w:szCs w:val="22"/>
              </w:rPr>
            </w:pPr>
            <w:r w:rsidRPr="00A5626D">
              <w:rPr>
                <w:rFonts w:ascii="Garamond" w:hAnsi="Garamond" w:cstheme="minorHAnsi"/>
                <w:sz w:val="22"/>
                <w:szCs w:val="22"/>
              </w:rPr>
              <w:t>&lt;</w:t>
            </w:r>
            <w:r w:rsidRPr="00A5626D">
              <w:rPr>
                <w:rFonts w:ascii="Garamond" w:hAnsi="Garamond" w:cstheme="minorHAnsi"/>
                <w:sz w:val="22"/>
                <w:szCs w:val="22"/>
                <w:lang w:val="en-US"/>
              </w:rPr>
              <w:t>aiises</w:t>
            </w:r>
            <w:r w:rsidRPr="00A5626D">
              <w:rPr>
                <w:rFonts w:ascii="Garamond" w:hAnsi="Garamond" w:cstheme="minorHAnsi"/>
                <w:sz w:val="22"/>
                <w:szCs w:val="22"/>
              </w:rPr>
              <w:t>&gt;</w:t>
            </w:r>
          </w:p>
          <w:p w14:paraId="40514378" w14:textId="77777777" w:rsidR="00295C6D" w:rsidRPr="00A5626D" w:rsidRDefault="00295C6D" w:rsidP="00E31AE6">
            <w:pPr>
              <w:tabs>
                <w:tab w:val="left" w:pos="1134"/>
                <w:tab w:val="left" w:pos="7938"/>
              </w:tabs>
              <w:spacing w:before="120" w:after="120"/>
              <w:ind w:firstLine="567"/>
              <w:jc w:val="both"/>
              <w:rPr>
                <w:rFonts w:ascii="Garamond" w:hAnsi="Garamond" w:cstheme="minorHAnsi"/>
                <w:sz w:val="22"/>
                <w:szCs w:val="22"/>
              </w:rPr>
            </w:pPr>
            <w:r w:rsidRPr="00A5626D">
              <w:rPr>
                <w:rFonts w:ascii="Garamond" w:hAnsi="Garamond" w:cstheme="minorHAnsi"/>
                <w:sz w:val="22"/>
                <w:szCs w:val="22"/>
              </w:rPr>
              <w:t>Элемент &lt;</w:t>
            </w:r>
            <w:r w:rsidRPr="00A5626D">
              <w:rPr>
                <w:rFonts w:ascii="Garamond" w:hAnsi="Garamond" w:cstheme="minorHAnsi"/>
                <w:b/>
                <w:sz w:val="22"/>
                <w:szCs w:val="22"/>
                <w:lang w:val="en-US"/>
              </w:rPr>
              <w:t>aiises</w:t>
            </w:r>
            <w:r w:rsidRPr="00A5626D">
              <w:rPr>
                <w:rFonts w:ascii="Garamond" w:hAnsi="Garamond" w:cstheme="minorHAnsi"/>
                <w:sz w:val="22"/>
                <w:szCs w:val="22"/>
              </w:rPr>
              <w:t>&gt; содержит список АИИС, с которых осуществляется передача результатов измерений.</w:t>
            </w:r>
          </w:p>
          <w:p w14:paraId="08962CBC" w14:textId="77777777" w:rsidR="00295C6D" w:rsidRPr="00A5626D" w:rsidRDefault="00295C6D" w:rsidP="00E31AE6">
            <w:pPr>
              <w:widowControl w:val="0"/>
              <w:tabs>
                <w:tab w:val="left" w:pos="1134"/>
                <w:tab w:val="left" w:pos="7938"/>
              </w:tabs>
              <w:autoSpaceDE w:val="0"/>
              <w:autoSpaceDN w:val="0"/>
              <w:adjustRightInd w:val="0"/>
              <w:spacing w:before="60" w:after="60" w:line="276" w:lineRule="auto"/>
              <w:ind w:firstLine="567"/>
              <w:jc w:val="both"/>
              <w:rPr>
                <w:rFonts w:ascii="Garamond" w:hAnsi="Garamond" w:cstheme="minorHAnsi"/>
                <w:sz w:val="22"/>
                <w:szCs w:val="22"/>
              </w:rPr>
            </w:pPr>
            <w:r w:rsidRPr="00A5626D">
              <w:rPr>
                <w:rFonts w:ascii="Garamond" w:hAnsi="Garamond" w:cstheme="minorHAnsi"/>
                <w:bCs/>
                <w:sz w:val="22"/>
                <w:szCs w:val="22"/>
              </w:rPr>
              <w:t>Обязательный элемент</w:t>
            </w:r>
            <w:r w:rsidRPr="00A5626D">
              <w:rPr>
                <w:rFonts w:ascii="Garamond" w:hAnsi="Garamond" w:cstheme="minorHAnsi"/>
                <w:sz w:val="22"/>
                <w:szCs w:val="22"/>
              </w:rPr>
              <w:t>. Допускается наличие только одного элемента.</w:t>
            </w:r>
          </w:p>
          <w:p w14:paraId="043EEF7C" w14:textId="77777777" w:rsidR="00295C6D" w:rsidRPr="00A5626D" w:rsidRDefault="00295C6D" w:rsidP="00E31AE6">
            <w:pPr>
              <w:tabs>
                <w:tab w:val="left" w:pos="1134"/>
                <w:tab w:val="left" w:pos="7938"/>
              </w:tabs>
              <w:spacing w:before="120" w:after="120"/>
              <w:ind w:firstLine="567"/>
              <w:jc w:val="both"/>
              <w:rPr>
                <w:rFonts w:ascii="Garamond" w:hAnsi="Garamond" w:cstheme="minorHAnsi"/>
                <w:sz w:val="22"/>
                <w:szCs w:val="22"/>
              </w:rPr>
            </w:pPr>
            <w:r w:rsidRPr="00A5626D">
              <w:rPr>
                <w:rFonts w:ascii="Garamond" w:hAnsi="Garamond" w:cstheme="minorHAnsi"/>
                <w:sz w:val="22"/>
                <w:szCs w:val="22"/>
              </w:rPr>
              <w:t>Дочерними элементами являются: &lt;</w:t>
            </w:r>
            <w:r w:rsidRPr="00A5626D">
              <w:rPr>
                <w:rFonts w:ascii="Garamond" w:hAnsi="Garamond" w:cstheme="minorHAnsi"/>
                <w:b/>
                <w:sz w:val="22"/>
                <w:szCs w:val="22"/>
                <w:lang w:val="en-US"/>
              </w:rPr>
              <w:t>aiis</w:t>
            </w:r>
            <w:r w:rsidRPr="00A5626D">
              <w:rPr>
                <w:rFonts w:ascii="Garamond" w:hAnsi="Garamond" w:cstheme="minorHAnsi"/>
                <w:sz w:val="22"/>
                <w:szCs w:val="22"/>
              </w:rPr>
              <w:t>&gt;.</w:t>
            </w:r>
          </w:p>
        </w:tc>
        <w:tc>
          <w:tcPr>
            <w:tcW w:w="7088" w:type="dxa"/>
          </w:tcPr>
          <w:p w14:paraId="7D760A96" w14:textId="77777777" w:rsidR="00295C6D" w:rsidRPr="00A5626D" w:rsidRDefault="00295C6D" w:rsidP="00E31AE6">
            <w:pPr>
              <w:tabs>
                <w:tab w:val="left" w:pos="1134"/>
                <w:tab w:val="left" w:pos="7938"/>
              </w:tabs>
              <w:spacing w:before="120" w:after="120"/>
              <w:ind w:firstLine="567"/>
              <w:jc w:val="both"/>
              <w:rPr>
                <w:rFonts w:ascii="Garamond" w:hAnsi="Garamond" w:cstheme="minorHAnsi"/>
                <w:sz w:val="22"/>
                <w:szCs w:val="22"/>
              </w:rPr>
            </w:pPr>
            <w:r w:rsidRPr="00A5626D">
              <w:rPr>
                <w:rFonts w:ascii="Garamond" w:hAnsi="Garamond" w:cstheme="minorHAnsi"/>
                <w:sz w:val="22"/>
                <w:szCs w:val="22"/>
              </w:rPr>
              <w:t>&lt;</w:t>
            </w:r>
            <w:r w:rsidRPr="00A5626D">
              <w:rPr>
                <w:rFonts w:ascii="Garamond" w:hAnsi="Garamond" w:cstheme="minorHAnsi"/>
                <w:sz w:val="22"/>
                <w:szCs w:val="22"/>
                <w:lang w:val="en-US"/>
              </w:rPr>
              <w:t>aiises</w:t>
            </w:r>
            <w:r w:rsidRPr="00A5626D">
              <w:rPr>
                <w:rFonts w:ascii="Garamond" w:hAnsi="Garamond" w:cstheme="minorHAnsi"/>
                <w:sz w:val="22"/>
                <w:szCs w:val="22"/>
              </w:rPr>
              <w:t>&gt;</w:t>
            </w:r>
          </w:p>
          <w:p w14:paraId="34811295" w14:textId="11620708" w:rsidR="00295C6D" w:rsidRPr="00A5626D" w:rsidRDefault="00295C6D" w:rsidP="00E31AE6">
            <w:pPr>
              <w:tabs>
                <w:tab w:val="left" w:pos="1134"/>
                <w:tab w:val="left" w:pos="7938"/>
              </w:tabs>
              <w:spacing w:before="120" w:after="120"/>
              <w:ind w:firstLine="567"/>
              <w:jc w:val="both"/>
              <w:rPr>
                <w:rFonts w:ascii="Garamond" w:hAnsi="Garamond" w:cstheme="minorHAnsi"/>
                <w:sz w:val="22"/>
                <w:szCs w:val="22"/>
              </w:rPr>
            </w:pPr>
            <w:r w:rsidRPr="00A5626D">
              <w:rPr>
                <w:rFonts w:ascii="Garamond" w:hAnsi="Garamond" w:cstheme="minorHAnsi"/>
                <w:sz w:val="22"/>
                <w:szCs w:val="22"/>
              </w:rPr>
              <w:t>Элемент &lt;</w:t>
            </w:r>
            <w:r w:rsidRPr="00A5626D">
              <w:rPr>
                <w:rFonts w:ascii="Garamond" w:hAnsi="Garamond" w:cstheme="minorHAnsi"/>
                <w:b/>
                <w:sz w:val="22"/>
                <w:szCs w:val="22"/>
                <w:lang w:val="en-US"/>
              </w:rPr>
              <w:t>aiises</w:t>
            </w:r>
            <w:r w:rsidRPr="00A5626D">
              <w:rPr>
                <w:rFonts w:ascii="Garamond" w:hAnsi="Garamond" w:cstheme="minorHAnsi"/>
                <w:sz w:val="22"/>
                <w:szCs w:val="22"/>
              </w:rPr>
              <w:t>&gt; содержит список АИИС</w:t>
            </w:r>
            <w:r w:rsidR="000B3419" w:rsidRPr="00A5626D">
              <w:rPr>
                <w:rFonts w:ascii="Garamond" w:hAnsi="Garamond" w:cstheme="minorHAnsi"/>
                <w:sz w:val="22"/>
                <w:szCs w:val="22"/>
              </w:rPr>
              <w:t xml:space="preserve"> </w:t>
            </w:r>
            <w:r w:rsidRPr="00A5626D">
              <w:rPr>
                <w:rFonts w:ascii="Garamond" w:hAnsi="Garamond" w:cstheme="minorHAnsi"/>
                <w:sz w:val="22"/>
                <w:szCs w:val="22"/>
                <w:highlight w:val="yellow"/>
              </w:rPr>
              <w:t xml:space="preserve">/ </w:t>
            </w:r>
            <w:r w:rsidR="00C15199">
              <w:rPr>
                <w:rFonts w:ascii="Garamond" w:hAnsi="Garamond" w:cstheme="minorHAnsi"/>
                <w:sz w:val="22"/>
                <w:szCs w:val="22"/>
                <w:highlight w:val="yellow"/>
              </w:rPr>
              <w:t>с</w:t>
            </w:r>
            <w:r w:rsidRPr="00A5626D">
              <w:rPr>
                <w:rFonts w:ascii="Garamond" w:hAnsi="Garamond" w:cstheme="minorHAnsi"/>
                <w:sz w:val="22"/>
                <w:szCs w:val="22"/>
                <w:highlight w:val="yellow"/>
              </w:rPr>
              <w:t>писок ОР</w:t>
            </w:r>
            <w:r w:rsidRPr="00A5626D">
              <w:rPr>
                <w:rFonts w:ascii="Garamond" w:hAnsi="Garamond" w:cstheme="minorHAnsi"/>
                <w:sz w:val="22"/>
                <w:szCs w:val="22"/>
              </w:rPr>
              <w:t>, с которых осуществляется передача результатов измерений.</w:t>
            </w:r>
          </w:p>
          <w:p w14:paraId="56B29BCB" w14:textId="77777777" w:rsidR="00295C6D" w:rsidRPr="00A5626D" w:rsidRDefault="00295C6D" w:rsidP="00E31AE6">
            <w:pPr>
              <w:widowControl w:val="0"/>
              <w:tabs>
                <w:tab w:val="left" w:pos="1134"/>
                <w:tab w:val="left" w:pos="7938"/>
              </w:tabs>
              <w:autoSpaceDE w:val="0"/>
              <w:autoSpaceDN w:val="0"/>
              <w:adjustRightInd w:val="0"/>
              <w:spacing w:before="60" w:after="60" w:line="276" w:lineRule="auto"/>
              <w:ind w:firstLine="567"/>
              <w:jc w:val="both"/>
              <w:rPr>
                <w:rFonts w:ascii="Garamond" w:hAnsi="Garamond" w:cstheme="minorHAnsi"/>
                <w:sz w:val="22"/>
                <w:szCs w:val="22"/>
              </w:rPr>
            </w:pPr>
            <w:r w:rsidRPr="00A5626D">
              <w:rPr>
                <w:rFonts w:ascii="Garamond" w:hAnsi="Garamond" w:cstheme="minorHAnsi"/>
                <w:bCs/>
                <w:sz w:val="22"/>
                <w:szCs w:val="22"/>
              </w:rPr>
              <w:t>Обязательный элемент</w:t>
            </w:r>
            <w:r w:rsidRPr="00A5626D">
              <w:rPr>
                <w:rFonts w:ascii="Garamond" w:hAnsi="Garamond" w:cstheme="minorHAnsi"/>
                <w:sz w:val="22"/>
                <w:szCs w:val="22"/>
              </w:rPr>
              <w:t>. Допускается наличие только одного элемента.</w:t>
            </w:r>
          </w:p>
          <w:p w14:paraId="1D0FA765" w14:textId="77777777" w:rsidR="00295C6D" w:rsidRPr="00A5626D" w:rsidRDefault="00295C6D" w:rsidP="00E31AE6">
            <w:pPr>
              <w:pStyle w:val="2"/>
              <w:numPr>
                <w:ilvl w:val="0"/>
                <w:numId w:val="0"/>
              </w:numPr>
              <w:tabs>
                <w:tab w:val="left" w:pos="1134"/>
                <w:tab w:val="left" w:pos="7938"/>
              </w:tabs>
              <w:suppressAutoHyphens w:val="0"/>
              <w:spacing w:line="22" w:lineRule="atLeast"/>
              <w:ind w:firstLine="629"/>
              <w:jc w:val="both"/>
              <w:rPr>
                <w:rFonts w:ascii="Garamond" w:hAnsi="Garamond" w:cstheme="minorHAnsi"/>
                <w:b w:val="0"/>
              </w:rPr>
            </w:pPr>
            <w:r w:rsidRPr="00A5626D">
              <w:rPr>
                <w:rFonts w:ascii="Garamond" w:hAnsi="Garamond" w:cstheme="minorHAnsi"/>
                <w:b w:val="0"/>
              </w:rPr>
              <w:t>Дочерними элементами являются: &lt;</w:t>
            </w:r>
            <w:r w:rsidRPr="00A5626D">
              <w:rPr>
                <w:rFonts w:ascii="Garamond" w:hAnsi="Garamond" w:cstheme="minorHAnsi"/>
                <w:b w:val="0"/>
                <w:lang w:val="en-US"/>
              </w:rPr>
              <w:t>aiis</w:t>
            </w:r>
            <w:r w:rsidRPr="00A5626D">
              <w:rPr>
                <w:rFonts w:ascii="Garamond" w:hAnsi="Garamond" w:cstheme="minorHAnsi"/>
                <w:b w:val="0"/>
              </w:rPr>
              <w:t>&gt;.</w:t>
            </w:r>
          </w:p>
        </w:tc>
      </w:tr>
      <w:tr w:rsidR="00295C6D" w:rsidRPr="00A5626D" w14:paraId="4CB5DDD8" w14:textId="77777777" w:rsidTr="00647FA0">
        <w:tc>
          <w:tcPr>
            <w:tcW w:w="1060" w:type="dxa"/>
            <w:vAlign w:val="center"/>
          </w:tcPr>
          <w:p w14:paraId="10B6C735" w14:textId="0BDBDF14" w:rsidR="00295C6D" w:rsidRPr="00A5626D" w:rsidRDefault="000B3419" w:rsidP="00E31AE6">
            <w:pPr>
              <w:widowControl w:val="0"/>
              <w:tabs>
                <w:tab w:val="left" w:pos="1134"/>
                <w:tab w:val="left" w:pos="7938"/>
              </w:tabs>
              <w:spacing w:line="22" w:lineRule="atLeast"/>
              <w:jc w:val="both"/>
              <w:rPr>
                <w:rFonts w:ascii="Garamond" w:hAnsi="Garamond"/>
                <w:b/>
                <w:sz w:val="22"/>
                <w:szCs w:val="22"/>
                <w:lang w:eastAsia="en-US"/>
              </w:rPr>
            </w:pPr>
            <w:r w:rsidRPr="00A5626D">
              <w:rPr>
                <w:rFonts w:ascii="Garamond" w:hAnsi="Garamond"/>
                <w:b/>
                <w:sz w:val="22"/>
                <w:szCs w:val="22"/>
                <w:lang w:eastAsia="en-US"/>
              </w:rPr>
              <w:t>Приложение 5, п. </w:t>
            </w:r>
            <w:r w:rsidR="00295C6D" w:rsidRPr="00A5626D">
              <w:rPr>
                <w:rFonts w:ascii="Garamond" w:hAnsi="Garamond"/>
                <w:b/>
                <w:sz w:val="22"/>
                <w:szCs w:val="22"/>
                <w:lang w:eastAsia="en-US"/>
              </w:rPr>
              <w:t>4.2.1.1.1.4.1</w:t>
            </w:r>
            <w:r w:rsidR="009B5F03" w:rsidRPr="00A5626D">
              <w:rPr>
                <w:rFonts w:ascii="Garamond" w:hAnsi="Garamond" w:cstheme="minorHAnsi"/>
                <w:b/>
                <w:sz w:val="22"/>
                <w:szCs w:val="22"/>
              </w:rPr>
              <w:t xml:space="preserve"> </w:t>
            </w:r>
          </w:p>
        </w:tc>
        <w:tc>
          <w:tcPr>
            <w:tcW w:w="6662" w:type="dxa"/>
          </w:tcPr>
          <w:p w14:paraId="4F04F56C" w14:textId="77777777" w:rsidR="00295C6D" w:rsidRPr="00A5626D" w:rsidRDefault="00295C6D" w:rsidP="00E31AE6">
            <w:pPr>
              <w:tabs>
                <w:tab w:val="left" w:pos="1134"/>
                <w:tab w:val="left" w:pos="7938"/>
              </w:tabs>
              <w:spacing w:before="120" w:after="120"/>
              <w:ind w:firstLine="567"/>
              <w:jc w:val="both"/>
              <w:rPr>
                <w:rFonts w:ascii="Garamond" w:hAnsi="Garamond" w:cstheme="minorHAnsi"/>
                <w:sz w:val="22"/>
                <w:szCs w:val="22"/>
              </w:rPr>
            </w:pPr>
            <w:r w:rsidRPr="00A5626D">
              <w:rPr>
                <w:rFonts w:ascii="Garamond" w:hAnsi="Garamond" w:cstheme="minorHAnsi"/>
                <w:sz w:val="22"/>
                <w:szCs w:val="22"/>
              </w:rPr>
              <w:t>&lt;</w:t>
            </w:r>
            <w:r w:rsidRPr="00A5626D">
              <w:rPr>
                <w:rFonts w:ascii="Garamond" w:hAnsi="Garamond" w:cstheme="minorHAnsi"/>
                <w:sz w:val="22"/>
                <w:szCs w:val="22"/>
                <w:lang w:val="en-US"/>
              </w:rPr>
              <w:t>aiis</w:t>
            </w:r>
            <w:r w:rsidRPr="00A5626D">
              <w:rPr>
                <w:rFonts w:ascii="Garamond" w:hAnsi="Garamond" w:cstheme="minorHAnsi"/>
                <w:sz w:val="22"/>
                <w:szCs w:val="22"/>
              </w:rPr>
              <w:t>&gt;</w:t>
            </w:r>
          </w:p>
          <w:p w14:paraId="0C4820C8" w14:textId="77777777" w:rsidR="00295C6D" w:rsidRPr="00A5626D" w:rsidRDefault="00295C6D" w:rsidP="00E31AE6">
            <w:pPr>
              <w:tabs>
                <w:tab w:val="left" w:pos="1134"/>
                <w:tab w:val="left" w:pos="7938"/>
              </w:tabs>
              <w:spacing w:before="120" w:after="120"/>
              <w:ind w:firstLine="567"/>
              <w:jc w:val="both"/>
              <w:rPr>
                <w:rFonts w:ascii="Garamond" w:hAnsi="Garamond" w:cstheme="minorHAnsi"/>
                <w:sz w:val="22"/>
                <w:szCs w:val="22"/>
              </w:rPr>
            </w:pPr>
            <w:r w:rsidRPr="00A5626D">
              <w:rPr>
                <w:rFonts w:ascii="Garamond" w:hAnsi="Garamond" w:cstheme="minorHAnsi"/>
                <w:sz w:val="22"/>
                <w:szCs w:val="22"/>
              </w:rPr>
              <w:t>Элемент &lt;</w:t>
            </w:r>
            <w:r w:rsidRPr="00A5626D">
              <w:rPr>
                <w:rFonts w:ascii="Garamond" w:hAnsi="Garamond" w:cstheme="minorHAnsi"/>
                <w:b/>
                <w:sz w:val="22"/>
                <w:szCs w:val="22"/>
                <w:lang w:val="en-US"/>
              </w:rPr>
              <w:t>aiis</w:t>
            </w:r>
            <w:r w:rsidRPr="00A5626D">
              <w:rPr>
                <w:rFonts w:ascii="Garamond" w:hAnsi="Garamond" w:cstheme="minorHAnsi"/>
                <w:sz w:val="22"/>
                <w:szCs w:val="22"/>
              </w:rPr>
              <w:t>&gt; содержит информацию об АИИС.</w:t>
            </w:r>
          </w:p>
          <w:p w14:paraId="461E4563" w14:textId="77777777" w:rsidR="00295C6D" w:rsidRPr="00A5626D" w:rsidRDefault="00295C6D" w:rsidP="00E31AE6">
            <w:pPr>
              <w:widowControl w:val="0"/>
              <w:tabs>
                <w:tab w:val="left" w:pos="1134"/>
                <w:tab w:val="left" w:pos="7938"/>
              </w:tabs>
              <w:autoSpaceDE w:val="0"/>
              <w:autoSpaceDN w:val="0"/>
              <w:adjustRightInd w:val="0"/>
              <w:spacing w:before="60" w:after="60" w:line="276" w:lineRule="auto"/>
              <w:ind w:firstLine="567"/>
              <w:jc w:val="both"/>
              <w:rPr>
                <w:rFonts w:ascii="Garamond" w:hAnsi="Garamond" w:cstheme="minorHAnsi"/>
                <w:sz w:val="22"/>
                <w:szCs w:val="22"/>
              </w:rPr>
            </w:pPr>
            <w:r w:rsidRPr="00A5626D">
              <w:rPr>
                <w:rFonts w:ascii="Garamond" w:hAnsi="Garamond" w:cstheme="minorHAnsi"/>
                <w:bCs/>
                <w:sz w:val="22"/>
                <w:szCs w:val="22"/>
              </w:rPr>
              <w:t>Обязательный элемент</w:t>
            </w:r>
            <w:r w:rsidRPr="00A5626D">
              <w:rPr>
                <w:rFonts w:ascii="Garamond" w:hAnsi="Garamond" w:cstheme="minorHAnsi"/>
                <w:sz w:val="22"/>
                <w:szCs w:val="22"/>
              </w:rPr>
              <w:t>. Допускается наличие не более одного элемента для каждой ГТП.</w:t>
            </w:r>
          </w:p>
          <w:p w14:paraId="1258D1AA" w14:textId="77777777" w:rsidR="00295C6D" w:rsidRPr="00A5626D" w:rsidRDefault="00295C6D" w:rsidP="00E31AE6">
            <w:pPr>
              <w:tabs>
                <w:tab w:val="left" w:pos="1134"/>
                <w:tab w:val="left" w:pos="7938"/>
              </w:tabs>
              <w:spacing w:before="120" w:after="120"/>
              <w:ind w:firstLine="567"/>
              <w:jc w:val="both"/>
              <w:rPr>
                <w:rFonts w:ascii="Garamond" w:hAnsi="Garamond" w:cstheme="minorHAnsi"/>
                <w:sz w:val="22"/>
                <w:szCs w:val="22"/>
              </w:rPr>
            </w:pPr>
            <w:r w:rsidRPr="00A5626D">
              <w:rPr>
                <w:rFonts w:ascii="Garamond" w:hAnsi="Garamond" w:cstheme="minorHAnsi"/>
                <w:sz w:val="22"/>
                <w:szCs w:val="22"/>
              </w:rPr>
              <w:t>Атрибутами элемента &lt;</w:t>
            </w:r>
            <w:r w:rsidRPr="00A5626D">
              <w:rPr>
                <w:rFonts w:ascii="Garamond" w:hAnsi="Garamond" w:cstheme="minorHAnsi"/>
                <w:sz w:val="22"/>
                <w:szCs w:val="22"/>
                <w:lang w:val="en-US"/>
              </w:rPr>
              <w:t>aiis</w:t>
            </w:r>
            <w:r w:rsidRPr="00A5626D">
              <w:rPr>
                <w:rFonts w:ascii="Garamond" w:hAnsi="Garamond" w:cstheme="minorHAnsi"/>
                <w:sz w:val="22"/>
                <w:szCs w:val="22"/>
              </w:rPr>
              <w:t>&gt; являются:</w:t>
            </w:r>
          </w:p>
          <w:p w14:paraId="74703368" w14:textId="77777777" w:rsidR="00295C6D" w:rsidRPr="00A5626D" w:rsidRDefault="00295C6D" w:rsidP="00295C6D">
            <w:pPr>
              <w:pStyle w:val="ac"/>
              <w:numPr>
                <w:ilvl w:val="0"/>
                <w:numId w:val="272"/>
              </w:numPr>
              <w:tabs>
                <w:tab w:val="left" w:pos="1134"/>
                <w:tab w:val="left" w:pos="7938"/>
              </w:tabs>
              <w:spacing w:before="120" w:after="120" w:line="259" w:lineRule="auto"/>
              <w:ind w:left="0" w:firstLine="567"/>
              <w:contextualSpacing/>
              <w:jc w:val="both"/>
              <w:rPr>
                <w:rFonts w:ascii="Garamond" w:hAnsi="Garamond" w:cstheme="minorHAnsi"/>
                <w:sz w:val="22"/>
                <w:szCs w:val="22"/>
              </w:rPr>
            </w:pPr>
            <w:r w:rsidRPr="00A5626D">
              <w:rPr>
                <w:rFonts w:ascii="Garamond" w:hAnsi="Garamond" w:cstheme="minorHAnsi"/>
                <w:sz w:val="22"/>
                <w:szCs w:val="22"/>
              </w:rPr>
              <w:t>id-aiis – внутренний идентификатор АИИС. Число из одного знака. Является обязательным атрибутом;</w:t>
            </w:r>
          </w:p>
          <w:p w14:paraId="0F711605" w14:textId="77777777" w:rsidR="00295C6D" w:rsidRPr="00A5626D" w:rsidRDefault="00295C6D" w:rsidP="00295C6D">
            <w:pPr>
              <w:pStyle w:val="ac"/>
              <w:numPr>
                <w:ilvl w:val="0"/>
                <w:numId w:val="272"/>
              </w:numPr>
              <w:tabs>
                <w:tab w:val="left" w:pos="1134"/>
                <w:tab w:val="left" w:pos="7938"/>
              </w:tabs>
              <w:spacing w:before="120" w:after="120" w:line="259" w:lineRule="auto"/>
              <w:ind w:left="0" w:firstLine="567"/>
              <w:contextualSpacing/>
              <w:jc w:val="both"/>
              <w:rPr>
                <w:rFonts w:ascii="Garamond" w:hAnsi="Garamond" w:cstheme="minorHAnsi"/>
                <w:sz w:val="22"/>
                <w:szCs w:val="22"/>
              </w:rPr>
            </w:pPr>
            <w:r w:rsidRPr="00A5626D">
              <w:rPr>
                <w:rFonts w:ascii="Garamond" w:hAnsi="Garamond" w:cstheme="minorHAnsi"/>
                <w:sz w:val="22"/>
                <w:szCs w:val="22"/>
              </w:rPr>
              <w:t>id-gtp – ссылка на внутренний идентификатор ГТП потребления, к которой относится данная АИИС. Число, состоящее из одного знака. Является обязательным атрибутом;</w:t>
            </w:r>
          </w:p>
          <w:p w14:paraId="00666D66" w14:textId="77777777" w:rsidR="00295C6D" w:rsidRPr="00A5626D" w:rsidRDefault="00295C6D" w:rsidP="00295C6D">
            <w:pPr>
              <w:pStyle w:val="ac"/>
              <w:numPr>
                <w:ilvl w:val="0"/>
                <w:numId w:val="272"/>
              </w:numPr>
              <w:tabs>
                <w:tab w:val="left" w:pos="1134"/>
                <w:tab w:val="left" w:pos="7938"/>
              </w:tabs>
              <w:spacing w:before="120" w:after="120" w:line="259" w:lineRule="auto"/>
              <w:ind w:left="0" w:firstLine="567"/>
              <w:contextualSpacing/>
              <w:jc w:val="both"/>
              <w:rPr>
                <w:rFonts w:ascii="Garamond" w:hAnsi="Garamond" w:cstheme="minorHAnsi"/>
                <w:sz w:val="22"/>
                <w:szCs w:val="22"/>
              </w:rPr>
            </w:pPr>
            <w:r w:rsidRPr="00A5626D">
              <w:rPr>
                <w:rFonts w:ascii="Garamond" w:hAnsi="Garamond" w:cstheme="minorHAnsi"/>
                <w:sz w:val="22"/>
                <w:szCs w:val="22"/>
                <w:lang w:val="en-US"/>
              </w:rPr>
              <w:t>time</w:t>
            </w:r>
            <w:r w:rsidRPr="00A5626D">
              <w:rPr>
                <w:rFonts w:ascii="Garamond" w:hAnsi="Garamond" w:cstheme="minorHAnsi"/>
                <w:sz w:val="22"/>
                <w:szCs w:val="22"/>
              </w:rPr>
              <w:t>-</w:t>
            </w:r>
            <w:r w:rsidRPr="00A5626D">
              <w:rPr>
                <w:rFonts w:ascii="Garamond" w:hAnsi="Garamond" w:cstheme="minorHAnsi"/>
                <w:sz w:val="22"/>
                <w:szCs w:val="22"/>
                <w:lang w:val="en-US"/>
              </w:rPr>
              <w:t>zone</w:t>
            </w:r>
            <w:r w:rsidRPr="00A5626D">
              <w:rPr>
                <w:rFonts w:ascii="Garamond" w:hAnsi="Garamond" w:cstheme="minorHAnsi"/>
                <w:sz w:val="22"/>
                <w:szCs w:val="22"/>
              </w:rPr>
              <w:t xml:space="preserve"> – атрибут, указывающий на временной пояс, по которому организация присылает данные КУ в рамках данного сечения или ГТП генерации. Принимает значения «1» – временной пояс, соответствующий московскому времени, или «3» – временной пояс, соответствующий хабаровскому времени. Является обязательным </w:t>
            </w:r>
            <w:r w:rsidRPr="00A5626D">
              <w:rPr>
                <w:rFonts w:ascii="Garamond" w:hAnsi="Garamond" w:cstheme="minorHAnsi"/>
                <w:sz w:val="22"/>
                <w:szCs w:val="22"/>
              </w:rPr>
              <w:lastRenderedPageBreak/>
              <w:t xml:space="preserve">атрибутом. </w:t>
            </w:r>
            <w:r w:rsidRPr="00A5626D">
              <w:rPr>
                <w:rFonts w:ascii="Garamond" w:eastAsia="Calibri" w:hAnsi="Garamond" w:cstheme="minorHAnsi"/>
                <w:bCs/>
                <w:sz w:val="22"/>
                <w:szCs w:val="22"/>
              </w:rPr>
              <w:t xml:space="preserve">Если в макете присутствуют два элемента &lt;aiis&gt;, то значения атрибутов time-zone этих элементов должны совпадать и соответствовать используемому для данного сечения коммерческого учета или ГТП генерации учетно-расчетному времени, указанному в п. </w:t>
            </w:r>
            <w:r w:rsidRPr="00A5626D">
              <w:rPr>
                <w:rFonts w:ascii="Garamond" w:eastAsia="Calibri" w:hAnsi="Garamond" w:cstheme="minorHAnsi"/>
                <w:bCs/>
                <w:sz w:val="22"/>
                <w:szCs w:val="22"/>
                <w:highlight w:val="yellow"/>
              </w:rPr>
              <w:t>7.8</w:t>
            </w:r>
            <w:r w:rsidRPr="00A5626D">
              <w:rPr>
                <w:rFonts w:ascii="Garamond" w:eastAsia="Calibri" w:hAnsi="Garamond" w:cstheme="minorHAnsi"/>
                <w:bCs/>
                <w:sz w:val="22"/>
                <w:szCs w:val="22"/>
              </w:rPr>
              <w:t xml:space="preserve"> настоящего Регламента. В отношении ранее принятых КО макетов, в которых по состоянию на 01.05.2021 заполнены атрибуты </w:t>
            </w:r>
            <w:r w:rsidRPr="00A5626D">
              <w:rPr>
                <w:rFonts w:ascii="Garamond" w:eastAsia="Calibri" w:hAnsi="Garamond" w:cstheme="minorHAnsi"/>
                <w:bCs/>
                <w:sz w:val="22"/>
                <w:szCs w:val="22"/>
                <w:lang w:val="en-US"/>
              </w:rPr>
              <w:t>time</w:t>
            </w:r>
            <w:r w:rsidRPr="00A5626D">
              <w:rPr>
                <w:rFonts w:ascii="Garamond" w:eastAsia="Calibri" w:hAnsi="Garamond" w:cstheme="minorHAnsi"/>
                <w:bCs/>
                <w:sz w:val="22"/>
                <w:szCs w:val="22"/>
              </w:rPr>
              <w:t>-</w:t>
            </w:r>
            <w:r w:rsidRPr="00A5626D">
              <w:rPr>
                <w:rFonts w:ascii="Garamond" w:eastAsia="Calibri" w:hAnsi="Garamond" w:cstheme="minorHAnsi"/>
                <w:bCs/>
                <w:sz w:val="22"/>
                <w:szCs w:val="22"/>
                <w:lang w:val="en-US"/>
              </w:rPr>
              <w:t>zone</w:t>
            </w:r>
            <w:r w:rsidRPr="00A5626D">
              <w:rPr>
                <w:rFonts w:ascii="Garamond" w:eastAsia="Calibri" w:hAnsi="Garamond" w:cstheme="minorHAnsi"/>
                <w:bCs/>
                <w:sz w:val="22"/>
                <w:szCs w:val="22"/>
              </w:rPr>
              <w:t xml:space="preserve"> с разными значениями, вышеуказанный атрибут приводится КО к единому значению. В отношении ранее принятых КО макетов, в которых по состоянию на 01.03.2023 выбранный в соответствии с атрибутом </w:t>
            </w:r>
            <w:r w:rsidRPr="00A5626D">
              <w:rPr>
                <w:rFonts w:ascii="Garamond" w:eastAsia="Calibri" w:hAnsi="Garamond" w:cstheme="minorHAnsi"/>
                <w:bCs/>
                <w:sz w:val="22"/>
                <w:szCs w:val="22"/>
                <w:lang w:val="en-US"/>
              </w:rPr>
              <w:t>time</w:t>
            </w:r>
            <w:r w:rsidRPr="00A5626D">
              <w:rPr>
                <w:rFonts w:ascii="Garamond" w:eastAsia="Calibri" w:hAnsi="Garamond" w:cstheme="minorHAnsi"/>
                <w:bCs/>
                <w:sz w:val="22"/>
                <w:szCs w:val="22"/>
              </w:rPr>
              <w:t>-</w:t>
            </w:r>
            <w:r w:rsidRPr="00A5626D">
              <w:rPr>
                <w:rFonts w:ascii="Garamond" w:eastAsia="Calibri" w:hAnsi="Garamond" w:cstheme="minorHAnsi"/>
                <w:bCs/>
                <w:sz w:val="22"/>
                <w:szCs w:val="22"/>
                <w:lang w:val="en-US"/>
              </w:rPr>
              <w:t>zone</w:t>
            </w:r>
            <w:r w:rsidRPr="00A5626D">
              <w:rPr>
                <w:rFonts w:ascii="Garamond" w:eastAsia="Calibri" w:hAnsi="Garamond" w:cstheme="minorHAnsi"/>
                <w:bCs/>
                <w:sz w:val="22"/>
                <w:szCs w:val="22"/>
              </w:rPr>
              <w:t xml:space="preserve"> временной пояс не соответствует временному поясу, указанному в п. </w:t>
            </w:r>
            <w:r w:rsidRPr="00A5626D">
              <w:rPr>
                <w:rFonts w:ascii="Garamond" w:eastAsia="Calibri" w:hAnsi="Garamond" w:cstheme="minorHAnsi"/>
                <w:bCs/>
                <w:sz w:val="22"/>
                <w:szCs w:val="22"/>
                <w:highlight w:val="yellow"/>
              </w:rPr>
              <w:t>7.8</w:t>
            </w:r>
            <w:r w:rsidRPr="00A5626D">
              <w:rPr>
                <w:rFonts w:ascii="Garamond" w:eastAsia="Calibri" w:hAnsi="Garamond" w:cstheme="minorHAnsi"/>
                <w:bCs/>
                <w:sz w:val="22"/>
                <w:szCs w:val="22"/>
              </w:rPr>
              <w:t xml:space="preserve"> настоящего Регламента, КО приводит данный атрибут в соответствие требованиям вышеуказанного пункта настоящего Регламента;</w:t>
            </w:r>
          </w:p>
          <w:p w14:paraId="747FA2A4" w14:textId="77777777" w:rsidR="00295C6D" w:rsidRPr="00A5626D" w:rsidRDefault="00295C6D" w:rsidP="00295C6D">
            <w:pPr>
              <w:pStyle w:val="ac"/>
              <w:numPr>
                <w:ilvl w:val="0"/>
                <w:numId w:val="272"/>
              </w:numPr>
              <w:tabs>
                <w:tab w:val="left" w:pos="1134"/>
                <w:tab w:val="left" w:pos="7938"/>
              </w:tabs>
              <w:spacing w:before="120" w:after="120" w:line="259" w:lineRule="auto"/>
              <w:ind w:left="0" w:firstLine="567"/>
              <w:contextualSpacing/>
              <w:jc w:val="both"/>
              <w:rPr>
                <w:rFonts w:ascii="Garamond" w:hAnsi="Garamond" w:cstheme="minorHAnsi"/>
                <w:sz w:val="22"/>
                <w:szCs w:val="22"/>
              </w:rPr>
            </w:pPr>
            <w:r w:rsidRPr="00A5626D">
              <w:rPr>
                <w:rFonts w:ascii="Garamond" w:hAnsi="Garamond" w:cstheme="minorHAnsi"/>
                <w:sz w:val="22"/>
                <w:szCs w:val="22"/>
                <w:lang w:val="en-US"/>
              </w:rPr>
              <w:t>ats</w:t>
            </w:r>
            <w:r w:rsidRPr="00A5626D">
              <w:rPr>
                <w:rFonts w:ascii="Garamond" w:hAnsi="Garamond" w:cstheme="minorHAnsi"/>
                <w:sz w:val="22"/>
                <w:szCs w:val="22"/>
              </w:rPr>
              <w:t>-</w:t>
            </w:r>
            <w:r w:rsidRPr="00A5626D">
              <w:rPr>
                <w:rFonts w:ascii="Garamond" w:hAnsi="Garamond" w:cstheme="minorHAnsi"/>
                <w:sz w:val="22"/>
                <w:szCs w:val="22"/>
                <w:lang w:val="en-US"/>
              </w:rPr>
              <w:t>code</w:t>
            </w:r>
            <w:r w:rsidRPr="00A5626D">
              <w:rPr>
                <w:rFonts w:ascii="Garamond" w:hAnsi="Garamond" w:cstheme="minorHAnsi"/>
                <w:sz w:val="22"/>
                <w:szCs w:val="22"/>
              </w:rPr>
              <w:t xml:space="preserve"> – код АИИС, присвоенный КО. Число из 10 символов. Является необязательным атрибутом.</w:t>
            </w:r>
          </w:p>
        </w:tc>
        <w:tc>
          <w:tcPr>
            <w:tcW w:w="7088" w:type="dxa"/>
          </w:tcPr>
          <w:p w14:paraId="5F8F5D72" w14:textId="77777777" w:rsidR="00295C6D" w:rsidRPr="00A5626D" w:rsidRDefault="00295C6D" w:rsidP="00E31AE6">
            <w:pPr>
              <w:tabs>
                <w:tab w:val="left" w:pos="1134"/>
                <w:tab w:val="left" w:pos="7938"/>
              </w:tabs>
              <w:spacing w:before="120" w:after="120"/>
              <w:ind w:firstLine="435"/>
              <w:jc w:val="both"/>
              <w:rPr>
                <w:rFonts w:ascii="Garamond" w:eastAsia="Calibri" w:hAnsi="Garamond" w:cs="Times New Roman"/>
                <w:sz w:val="22"/>
                <w:szCs w:val="22"/>
              </w:rPr>
            </w:pPr>
            <w:r w:rsidRPr="00A5626D">
              <w:rPr>
                <w:rFonts w:ascii="Garamond" w:hAnsi="Garamond" w:cstheme="minorHAnsi"/>
                <w:sz w:val="22"/>
                <w:szCs w:val="22"/>
              </w:rPr>
              <w:lastRenderedPageBreak/>
              <w:t>&lt;</w:t>
            </w:r>
            <w:r w:rsidRPr="00A5626D">
              <w:rPr>
                <w:rFonts w:ascii="Garamond" w:hAnsi="Garamond" w:cstheme="minorHAnsi"/>
                <w:sz w:val="22"/>
                <w:szCs w:val="22"/>
                <w:lang w:val="en-US"/>
              </w:rPr>
              <w:t>aiis</w:t>
            </w:r>
            <w:r w:rsidRPr="00A5626D">
              <w:rPr>
                <w:rFonts w:ascii="Garamond" w:hAnsi="Garamond" w:cstheme="minorHAnsi"/>
                <w:sz w:val="22"/>
                <w:szCs w:val="22"/>
              </w:rPr>
              <w:t>&gt;</w:t>
            </w:r>
          </w:p>
          <w:p w14:paraId="1A00CDFC" w14:textId="3E515918" w:rsidR="00295C6D" w:rsidRPr="00A5626D" w:rsidRDefault="00295C6D" w:rsidP="00E31AE6">
            <w:pPr>
              <w:tabs>
                <w:tab w:val="left" w:pos="1134"/>
                <w:tab w:val="left" w:pos="7938"/>
              </w:tabs>
              <w:spacing w:before="120" w:after="120"/>
              <w:ind w:firstLine="435"/>
              <w:jc w:val="both"/>
              <w:rPr>
                <w:rFonts w:ascii="Garamond" w:eastAsia="Calibri" w:hAnsi="Garamond" w:cs="Times New Roman"/>
                <w:sz w:val="22"/>
                <w:szCs w:val="22"/>
              </w:rPr>
            </w:pPr>
            <w:r w:rsidRPr="00A5626D">
              <w:rPr>
                <w:rFonts w:ascii="Garamond" w:eastAsia="Calibri" w:hAnsi="Garamond" w:cs="Times New Roman"/>
                <w:sz w:val="22"/>
                <w:szCs w:val="22"/>
              </w:rPr>
              <w:t>Элемент &lt;</w:t>
            </w:r>
            <w:r w:rsidRPr="00A5626D">
              <w:rPr>
                <w:rFonts w:ascii="Garamond" w:eastAsia="Calibri" w:hAnsi="Garamond" w:cs="Times New Roman"/>
                <w:b/>
                <w:sz w:val="22"/>
                <w:szCs w:val="22"/>
                <w:lang w:val="en-US"/>
              </w:rPr>
              <w:t>aiis</w:t>
            </w:r>
            <w:r w:rsidRPr="00A5626D">
              <w:rPr>
                <w:rFonts w:ascii="Garamond" w:eastAsia="Calibri" w:hAnsi="Garamond" w:cs="Times New Roman"/>
                <w:sz w:val="22"/>
                <w:szCs w:val="22"/>
              </w:rPr>
              <w:t>&gt; содержит информацию об АИИС</w:t>
            </w:r>
            <w:r w:rsidR="000B3419" w:rsidRPr="00A5626D">
              <w:rPr>
                <w:rFonts w:ascii="Garamond" w:eastAsia="Calibri" w:hAnsi="Garamond" w:cs="Times New Roman"/>
                <w:sz w:val="22"/>
                <w:szCs w:val="22"/>
              </w:rPr>
              <w:t xml:space="preserve"> </w:t>
            </w:r>
            <w:r w:rsidRPr="00A5626D">
              <w:rPr>
                <w:rFonts w:ascii="Garamond" w:eastAsia="Calibri" w:hAnsi="Garamond" w:cs="Times New Roman"/>
                <w:sz w:val="22"/>
                <w:szCs w:val="22"/>
                <w:highlight w:val="yellow"/>
              </w:rPr>
              <w:t>/</w:t>
            </w:r>
            <w:r w:rsidR="000B3419" w:rsidRPr="00A5626D">
              <w:rPr>
                <w:rFonts w:ascii="Garamond" w:eastAsia="Calibri" w:hAnsi="Garamond" w:cs="Times New Roman"/>
                <w:sz w:val="22"/>
                <w:szCs w:val="22"/>
                <w:highlight w:val="yellow"/>
              </w:rPr>
              <w:t xml:space="preserve"> </w:t>
            </w:r>
            <w:r w:rsidR="00C15199">
              <w:rPr>
                <w:rFonts w:ascii="Garamond" w:eastAsia="Calibri" w:hAnsi="Garamond" w:cs="Times New Roman"/>
                <w:sz w:val="22"/>
                <w:szCs w:val="22"/>
                <w:highlight w:val="yellow"/>
              </w:rPr>
              <w:t>с</w:t>
            </w:r>
            <w:r w:rsidRPr="00A5626D">
              <w:rPr>
                <w:rFonts w:ascii="Garamond" w:eastAsia="Calibri" w:hAnsi="Garamond" w:cs="Times New Roman"/>
                <w:sz w:val="22"/>
                <w:szCs w:val="22"/>
                <w:highlight w:val="yellow"/>
              </w:rPr>
              <w:t>писке ОР</w:t>
            </w:r>
            <w:r w:rsidRPr="00A5626D">
              <w:rPr>
                <w:rFonts w:ascii="Garamond" w:eastAsia="Calibri" w:hAnsi="Garamond" w:cs="Times New Roman"/>
                <w:sz w:val="22"/>
                <w:szCs w:val="22"/>
              </w:rPr>
              <w:t>.</w:t>
            </w:r>
          </w:p>
          <w:p w14:paraId="2BEB01C8" w14:textId="77777777" w:rsidR="00295C6D" w:rsidRPr="00A5626D" w:rsidRDefault="00295C6D" w:rsidP="00E31AE6">
            <w:pPr>
              <w:widowControl w:val="0"/>
              <w:tabs>
                <w:tab w:val="left" w:pos="1134"/>
                <w:tab w:val="left" w:pos="7938"/>
              </w:tabs>
              <w:autoSpaceDE w:val="0"/>
              <w:autoSpaceDN w:val="0"/>
              <w:adjustRightInd w:val="0"/>
              <w:spacing w:before="60" w:after="60" w:line="276" w:lineRule="auto"/>
              <w:ind w:firstLine="435"/>
              <w:jc w:val="both"/>
              <w:rPr>
                <w:rFonts w:ascii="Garamond" w:hAnsi="Garamond"/>
                <w:sz w:val="22"/>
                <w:szCs w:val="22"/>
              </w:rPr>
            </w:pPr>
            <w:r w:rsidRPr="00A5626D">
              <w:rPr>
                <w:rFonts w:ascii="Garamond" w:hAnsi="Garamond"/>
                <w:bCs/>
                <w:sz w:val="22"/>
                <w:szCs w:val="22"/>
              </w:rPr>
              <w:t>Обязательный элемент</w:t>
            </w:r>
            <w:r w:rsidRPr="00A5626D">
              <w:rPr>
                <w:rFonts w:ascii="Garamond" w:hAnsi="Garamond"/>
                <w:sz w:val="22"/>
                <w:szCs w:val="22"/>
              </w:rPr>
              <w:t xml:space="preserve">. Допускается наличие не более одного элемента для каждой ГТП </w:t>
            </w:r>
            <w:r w:rsidRPr="00A5626D">
              <w:rPr>
                <w:rFonts w:ascii="Garamond" w:hAnsi="Garamond"/>
                <w:sz w:val="22"/>
                <w:szCs w:val="22"/>
                <w:highlight w:val="yellow"/>
              </w:rPr>
              <w:t>или ОР</w:t>
            </w:r>
            <w:r w:rsidRPr="00A5626D">
              <w:rPr>
                <w:rFonts w:ascii="Garamond" w:hAnsi="Garamond"/>
                <w:sz w:val="22"/>
                <w:szCs w:val="22"/>
              </w:rPr>
              <w:t>.</w:t>
            </w:r>
          </w:p>
          <w:p w14:paraId="71B02933" w14:textId="77777777" w:rsidR="00295C6D" w:rsidRPr="00A5626D" w:rsidRDefault="00295C6D" w:rsidP="00E31AE6">
            <w:pPr>
              <w:tabs>
                <w:tab w:val="left" w:pos="1134"/>
                <w:tab w:val="left" w:pos="7938"/>
              </w:tabs>
              <w:spacing w:before="120" w:after="120"/>
              <w:ind w:firstLine="435"/>
              <w:jc w:val="both"/>
              <w:rPr>
                <w:rFonts w:ascii="Garamond" w:eastAsia="Calibri" w:hAnsi="Garamond" w:cs="Times New Roman"/>
                <w:sz w:val="22"/>
                <w:szCs w:val="22"/>
              </w:rPr>
            </w:pPr>
            <w:r w:rsidRPr="00A5626D">
              <w:rPr>
                <w:rFonts w:ascii="Garamond" w:hAnsi="Garamond"/>
                <w:sz w:val="22"/>
                <w:szCs w:val="22"/>
              </w:rPr>
              <w:t>Атрибутами элемента &lt;</w:t>
            </w:r>
            <w:r w:rsidRPr="00A5626D">
              <w:rPr>
                <w:rFonts w:ascii="Garamond" w:hAnsi="Garamond"/>
                <w:sz w:val="22"/>
                <w:szCs w:val="22"/>
                <w:lang w:val="en-US"/>
              </w:rPr>
              <w:t>aiis</w:t>
            </w:r>
            <w:r w:rsidRPr="00A5626D">
              <w:rPr>
                <w:rFonts w:ascii="Garamond" w:hAnsi="Garamond"/>
                <w:sz w:val="22"/>
                <w:szCs w:val="22"/>
              </w:rPr>
              <w:t>&gt; являются</w:t>
            </w:r>
            <w:r w:rsidRPr="00A5626D">
              <w:rPr>
                <w:rFonts w:ascii="Garamond" w:eastAsia="Calibri" w:hAnsi="Garamond" w:cs="Times New Roman"/>
                <w:sz w:val="22"/>
                <w:szCs w:val="22"/>
              </w:rPr>
              <w:t>:</w:t>
            </w:r>
          </w:p>
          <w:p w14:paraId="0E2977AD" w14:textId="7CF58351" w:rsidR="00295C6D" w:rsidRPr="00A5626D" w:rsidRDefault="00295C6D" w:rsidP="00295C6D">
            <w:pPr>
              <w:pStyle w:val="ac"/>
              <w:numPr>
                <w:ilvl w:val="0"/>
                <w:numId w:val="272"/>
              </w:numPr>
              <w:tabs>
                <w:tab w:val="left" w:pos="1134"/>
                <w:tab w:val="left" w:pos="7938"/>
              </w:tabs>
              <w:spacing w:before="120" w:after="120" w:line="259" w:lineRule="auto"/>
              <w:ind w:left="10" w:firstLine="425"/>
              <w:contextualSpacing/>
              <w:jc w:val="both"/>
              <w:rPr>
                <w:rFonts w:ascii="Garamond" w:hAnsi="Garamond"/>
                <w:sz w:val="22"/>
                <w:szCs w:val="22"/>
              </w:rPr>
            </w:pPr>
            <w:r w:rsidRPr="00A5626D">
              <w:rPr>
                <w:rFonts w:ascii="Garamond" w:hAnsi="Garamond"/>
                <w:sz w:val="22"/>
                <w:szCs w:val="22"/>
              </w:rPr>
              <w:t xml:space="preserve">id-aiis – внутренний идентификатор АИИС </w:t>
            </w:r>
            <w:r w:rsidRPr="00A5626D">
              <w:rPr>
                <w:rFonts w:ascii="Garamond" w:hAnsi="Garamond"/>
                <w:sz w:val="22"/>
                <w:szCs w:val="22"/>
                <w:highlight w:val="yellow"/>
              </w:rPr>
              <w:t>(</w:t>
            </w:r>
            <w:r w:rsidR="00C15199">
              <w:rPr>
                <w:rFonts w:ascii="Garamond" w:hAnsi="Garamond"/>
                <w:sz w:val="22"/>
                <w:szCs w:val="22"/>
                <w:highlight w:val="yellow"/>
              </w:rPr>
              <w:t>с</w:t>
            </w:r>
            <w:r w:rsidRPr="00A5626D">
              <w:rPr>
                <w:rFonts w:ascii="Garamond" w:hAnsi="Garamond"/>
                <w:sz w:val="22"/>
                <w:szCs w:val="22"/>
                <w:highlight w:val="yellow"/>
              </w:rPr>
              <w:t>писка ОР)</w:t>
            </w:r>
            <w:r w:rsidRPr="00A5626D">
              <w:rPr>
                <w:rFonts w:ascii="Garamond" w:hAnsi="Garamond"/>
                <w:sz w:val="22"/>
                <w:szCs w:val="22"/>
              </w:rPr>
              <w:t>. Число из одного знака. Является обязательным атрибутом;</w:t>
            </w:r>
          </w:p>
          <w:p w14:paraId="67E0DBEC" w14:textId="2928759F" w:rsidR="00295C6D" w:rsidRPr="00A5626D" w:rsidRDefault="00295C6D" w:rsidP="00295C6D">
            <w:pPr>
              <w:pStyle w:val="ac"/>
              <w:numPr>
                <w:ilvl w:val="0"/>
                <w:numId w:val="272"/>
              </w:numPr>
              <w:tabs>
                <w:tab w:val="left" w:pos="1134"/>
                <w:tab w:val="left" w:pos="7938"/>
              </w:tabs>
              <w:spacing w:before="120" w:after="120" w:line="259" w:lineRule="auto"/>
              <w:ind w:left="10" w:firstLine="425"/>
              <w:contextualSpacing/>
              <w:jc w:val="both"/>
              <w:rPr>
                <w:rFonts w:ascii="Garamond" w:hAnsi="Garamond"/>
                <w:sz w:val="22"/>
                <w:szCs w:val="22"/>
              </w:rPr>
            </w:pPr>
            <w:r w:rsidRPr="00A5626D">
              <w:rPr>
                <w:rFonts w:ascii="Garamond" w:hAnsi="Garamond"/>
                <w:sz w:val="22"/>
                <w:szCs w:val="22"/>
              </w:rPr>
              <w:t>id-gtp – ссылка на внутренний идентификатор ГТП потребления</w:t>
            </w:r>
            <w:r w:rsidR="00C15199">
              <w:rPr>
                <w:rFonts w:ascii="Garamond" w:hAnsi="Garamond"/>
                <w:sz w:val="22"/>
                <w:szCs w:val="22"/>
              </w:rPr>
              <w:t xml:space="preserve"> </w:t>
            </w:r>
            <w:r w:rsidRPr="00A5626D">
              <w:rPr>
                <w:rFonts w:ascii="Garamond" w:hAnsi="Garamond"/>
                <w:sz w:val="22"/>
                <w:szCs w:val="22"/>
                <w:highlight w:val="yellow"/>
              </w:rPr>
              <w:t>/</w:t>
            </w:r>
            <w:r w:rsidR="00C15199">
              <w:rPr>
                <w:rFonts w:ascii="Garamond" w:hAnsi="Garamond"/>
                <w:sz w:val="22"/>
                <w:szCs w:val="22"/>
                <w:highlight w:val="yellow"/>
              </w:rPr>
              <w:t xml:space="preserve"> </w:t>
            </w:r>
            <w:r w:rsidRPr="00A5626D">
              <w:rPr>
                <w:rFonts w:ascii="Garamond" w:hAnsi="Garamond"/>
                <w:sz w:val="22"/>
                <w:szCs w:val="22"/>
                <w:highlight w:val="yellow"/>
              </w:rPr>
              <w:t>ОР</w:t>
            </w:r>
            <w:r w:rsidRPr="00A5626D">
              <w:rPr>
                <w:rFonts w:ascii="Garamond" w:hAnsi="Garamond"/>
                <w:sz w:val="22"/>
                <w:szCs w:val="22"/>
              </w:rPr>
              <w:t xml:space="preserve">, к которой относится данная АИИС </w:t>
            </w:r>
            <w:r w:rsidRPr="00A5626D">
              <w:rPr>
                <w:rFonts w:ascii="Garamond" w:hAnsi="Garamond"/>
                <w:sz w:val="22"/>
                <w:szCs w:val="22"/>
                <w:highlight w:val="yellow"/>
              </w:rPr>
              <w:t>(</w:t>
            </w:r>
            <w:r w:rsidR="00C15199">
              <w:rPr>
                <w:rFonts w:ascii="Garamond" w:hAnsi="Garamond"/>
                <w:sz w:val="22"/>
                <w:szCs w:val="22"/>
                <w:highlight w:val="yellow"/>
              </w:rPr>
              <w:t>с</w:t>
            </w:r>
            <w:r w:rsidRPr="00A5626D">
              <w:rPr>
                <w:rFonts w:ascii="Garamond" w:hAnsi="Garamond"/>
                <w:sz w:val="22"/>
                <w:szCs w:val="22"/>
                <w:highlight w:val="yellow"/>
              </w:rPr>
              <w:t>писок ОР)</w:t>
            </w:r>
            <w:r w:rsidRPr="00A5626D">
              <w:rPr>
                <w:rFonts w:ascii="Garamond" w:hAnsi="Garamond"/>
                <w:sz w:val="22"/>
                <w:szCs w:val="22"/>
              </w:rPr>
              <w:t>. Число, состоящее из одного знака. Является обязательным атрибутом;</w:t>
            </w:r>
          </w:p>
          <w:p w14:paraId="3861CFCA" w14:textId="3CE617AC" w:rsidR="00295C6D" w:rsidRPr="00A5626D" w:rsidRDefault="00295C6D" w:rsidP="00295C6D">
            <w:pPr>
              <w:pStyle w:val="ac"/>
              <w:numPr>
                <w:ilvl w:val="0"/>
                <w:numId w:val="272"/>
              </w:numPr>
              <w:tabs>
                <w:tab w:val="left" w:pos="1134"/>
                <w:tab w:val="left" w:pos="7938"/>
              </w:tabs>
              <w:spacing w:before="120" w:after="120" w:line="259" w:lineRule="auto"/>
              <w:ind w:left="10" w:firstLine="425"/>
              <w:contextualSpacing/>
              <w:jc w:val="both"/>
              <w:rPr>
                <w:rFonts w:ascii="Garamond" w:hAnsi="Garamond"/>
                <w:sz w:val="22"/>
                <w:szCs w:val="22"/>
              </w:rPr>
            </w:pPr>
            <w:r w:rsidRPr="00A5626D">
              <w:rPr>
                <w:rFonts w:ascii="Garamond" w:eastAsiaTheme="minorHAnsi" w:hAnsi="Garamond"/>
                <w:sz w:val="22"/>
                <w:szCs w:val="22"/>
                <w:lang w:val="en-US"/>
              </w:rPr>
              <w:t>time</w:t>
            </w:r>
            <w:r w:rsidRPr="00A5626D">
              <w:rPr>
                <w:rFonts w:ascii="Garamond" w:eastAsiaTheme="minorHAnsi" w:hAnsi="Garamond"/>
                <w:sz w:val="22"/>
                <w:szCs w:val="22"/>
              </w:rPr>
              <w:t>-</w:t>
            </w:r>
            <w:r w:rsidRPr="00A5626D">
              <w:rPr>
                <w:rFonts w:ascii="Garamond" w:eastAsiaTheme="minorHAnsi" w:hAnsi="Garamond"/>
                <w:sz w:val="22"/>
                <w:szCs w:val="22"/>
                <w:lang w:val="en-US"/>
              </w:rPr>
              <w:t>zone</w:t>
            </w:r>
            <w:r w:rsidRPr="00A5626D">
              <w:rPr>
                <w:rFonts w:ascii="Garamond" w:eastAsia="Calibri" w:hAnsi="Garamond"/>
                <w:sz w:val="22"/>
                <w:szCs w:val="22"/>
              </w:rPr>
              <w:t xml:space="preserve"> </w:t>
            </w:r>
            <w:r w:rsidRPr="00A5626D">
              <w:rPr>
                <w:rFonts w:ascii="Garamond" w:hAnsi="Garamond"/>
                <w:sz w:val="22"/>
                <w:szCs w:val="22"/>
              </w:rPr>
              <w:t>–</w:t>
            </w:r>
            <w:r w:rsidRPr="00A5626D">
              <w:rPr>
                <w:rFonts w:ascii="Garamond" w:eastAsia="Calibri" w:hAnsi="Garamond"/>
                <w:sz w:val="22"/>
                <w:szCs w:val="22"/>
              </w:rPr>
              <w:t xml:space="preserve"> </w:t>
            </w:r>
            <w:r w:rsidRPr="00A5626D">
              <w:rPr>
                <w:rFonts w:ascii="Garamond" w:hAnsi="Garamond"/>
                <w:sz w:val="22"/>
                <w:szCs w:val="22"/>
              </w:rPr>
              <w:t xml:space="preserve">атрибут, указывающий на временной пояс, по которому организация присылает данные КУ в рамках данного сечения </w:t>
            </w:r>
            <w:r w:rsidRPr="00A5626D">
              <w:rPr>
                <w:rFonts w:ascii="Garamond" w:hAnsi="Garamond"/>
                <w:sz w:val="22"/>
                <w:szCs w:val="22"/>
                <w:highlight w:val="yellow"/>
              </w:rPr>
              <w:t>КУ</w:t>
            </w:r>
            <w:r w:rsidR="002E762B" w:rsidRPr="00A5626D">
              <w:rPr>
                <w:rFonts w:ascii="Garamond" w:hAnsi="Garamond"/>
                <w:sz w:val="22"/>
                <w:szCs w:val="22"/>
              </w:rPr>
              <w:t>,</w:t>
            </w:r>
            <w:r w:rsidRPr="00A5626D">
              <w:rPr>
                <w:rFonts w:ascii="Garamond" w:hAnsi="Garamond"/>
                <w:sz w:val="22"/>
                <w:szCs w:val="22"/>
              </w:rPr>
              <w:t xml:space="preserve"> или ГТП генерации</w:t>
            </w:r>
            <w:r w:rsidR="002E762B" w:rsidRPr="00C15199">
              <w:rPr>
                <w:rFonts w:ascii="Garamond" w:hAnsi="Garamond"/>
                <w:sz w:val="22"/>
                <w:szCs w:val="22"/>
                <w:highlight w:val="yellow"/>
              </w:rPr>
              <w:t>,</w:t>
            </w:r>
            <w:r w:rsidRPr="00C15199">
              <w:rPr>
                <w:rFonts w:ascii="Garamond" w:hAnsi="Garamond"/>
                <w:sz w:val="22"/>
                <w:szCs w:val="22"/>
                <w:highlight w:val="yellow"/>
              </w:rPr>
              <w:t xml:space="preserve"> и</w:t>
            </w:r>
            <w:r w:rsidRPr="00A5626D">
              <w:rPr>
                <w:rFonts w:ascii="Garamond" w:hAnsi="Garamond"/>
                <w:sz w:val="22"/>
                <w:szCs w:val="22"/>
                <w:highlight w:val="yellow"/>
              </w:rPr>
              <w:t>ли ОР</w:t>
            </w:r>
            <w:r w:rsidRPr="00A5626D">
              <w:rPr>
                <w:rFonts w:ascii="Garamond" w:hAnsi="Garamond"/>
                <w:sz w:val="22"/>
                <w:szCs w:val="22"/>
              </w:rPr>
              <w:t xml:space="preserve">. </w:t>
            </w:r>
            <w:r w:rsidRPr="00A5626D">
              <w:rPr>
                <w:rFonts w:ascii="Garamond" w:hAnsi="Garamond" w:cstheme="minorHAnsi"/>
                <w:sz w:val="22"/>
                <w:szCs w:val="22"/>
              </w:rPr>
              <w:t>Принимает значения «1» – временной пояс, соответствующий московскому времени, или «3» – временной пояс, соответствующий хабаровскому времени</w:t>
            </w:r>
            <w:r w:rsidRPr="00C15199">
              <w:rPr>
                <w:rFonts w:ascii="Garamond" w:hAnsi="Garamond" w:cstheme="minorHAnsi"/>
                <w:sz w:val="22"/>
                <w:szCs w:val="22"/>
                <w:highlight w:val="yellow"/>
              </w:rPr>
              <w:t xml:space="preserve">, </w:t>
            </w:r>
            <w:r w:rsidRPr="00C15199">
              <w:rPr>
                <w:rFonts w:ascii="Garamond" w:hAnsi="Garamond"/>
                <w:sz w:val="22"/>
                <w:szCs w:val="22"/>
                <w:highlight w:val="yellow"/>
              </w:rPr>
              <w:t>д</w:t>
            </w:r>
            <w:r w:rsidRPr="00A5626D">
              <w:rPr>
                <w:rFonts w:ascii="Garamond" w:hAnsi="Garamond"/>
                <w:sz w:val="22"/>
                <w:szCs w:val="22"/>
                <w:highlight w:val="yellow"/>
              </w:rPr>
              <w:t>ля ГТП генерации</w:t>
            </w:r>
            <w:r w:rsidR="00C15199">
              <w:rPr>
                <w:rFonts w:ascii="Garamond" w:hAnsi="Garamond"/>
                <w:sz w:val="22"/>
                <w:szCs w:val="22"/>
                <w:highlight w:val="yellow"/>
              </w:rPr>
              <w:t xml:space="preserve"> </w:t>
            </w:r>
            <w:r w:rsidRPr="00A5626D">
              <w:rPr>
                <w:rFonts w:ascii="Garamond" w:hAnsi="Garamond"/>
                <w:sz w:val="22"/>
                <w:szCs w:val="22"/>
                <w:highlight w:val="yellow"/>
              </w:rPr>
              <w:t>/</w:t>
            </w:r>
            <w:r w:rsidR="00C15199">
              <w:rPr>
                <w:rFonts w:ascii="Garamond" w:hAnsi="Garamond"/>
                <w:sz w:val="22"/>
                <w:szCs w:val="22"/>
                <w:highlight w:val="yellow"/>
              </w:rPr>
              <w:t xml:space="preserve"> </w:t>
            </w:r>
            <w:r w:rsidRPr="00A5626D">
              <w:rPr>
                <w:rFonts w:ascii="Garamond" w:hAnsi="Garamond"/>
                <w:sz w:val="22"/>
                <w:szCs w:val="22"/>
                <w:highlight w:val="yellow"/>
              </w:rPr>
              <w:t xml:space="preserve">сечений КУ </w:t>
            </w:r>
            <w:r w:rsidRPr="00A5626D">
              <w:rPr>
                <w:rFonts w:ascii="Garamond" w:hAnsi="Garamond"/>
                <w:sz w:val="22"/>
                <w:szCs w:val="22"/>
                <w:highlight w:val="yellow"/>
              </w:rPr>
              <w:lastRenderedPageBreak/>
              <w:t>и только значение «1» для ОР</w:t>
            </w:r>
            <w:r w:rsidRPr="00A5626D">
              <w:rPr>
                <w:rFonts w:ascii="Garamond" w:hAnsi="Garamond" w:cstheme="minorHAnsi"/>
                <w:sz w:val="22"/>
                <w:szCs w:val="22"/>
              </w:rPr>
              <w:t xml:space="preserve">. </w:t>
            </w:r>
            <w:r w:rsidRPr="00A5626D">
              <w:rPr>
                <w:rFonts w:ascii="Garamond" w:hAnsi="Garamond"/>
                <w:sz w:val="22"/>
                <w:szCs w:val="22"/>
              </w:rPr>
              <w:t xml:space="preserve">Является обязательным атрибутом. </w:t>
            </w:r>
            <w:r w:rsidRPr="00A5626D">
              <w:rPr>
                <w:rFonts w:ascii="Garamond" w:eastAsia="Calibri" w:hAnsi="Garamond" w:cstheme="minorHAnsi"/>
                <w:bCs/>
                <w:sz w:val="22"/>
                <w:szCs w:val="22"/>
              </w:rPr>
              <w:t xml:space="preserve">Если в макете присутствуют два элемента &lt;aiis&gt;, то значения атрибутов time-zone этих элементов должны совпадать и соответствовать используемому для данного сечения коммерческого учета или ГТП генерации учетно-расчетному времени, указанному в п. </w:t>
            </w:r>
            <w:r w:rsidRPr="00A5626D">
              <w:rPr>
                <w:rFonts w:ascii="Garamond" w:eastAsia="Calibri" w:hAnsi="Garamond" w:cstheme="minorHAnsi"/>
                <w:bCs/>
                <w:sz w:val="22"/>
                <w:szCs w:val="22"/>
                <w:highlight w:val="yellow"/>
              </w:rPr>
              <w:t>7.9</w:t>
            </w:r>
            <w:r w:rsidRPr="00A5626D">
              <w:rPr>
                <w:rFonts w:ascii="Garamond" w:eastAsia="Calibri" w:hAnsi="Garamond" w:cstheme="minorHAnsi"/>
                <w:bCs/>
                <w:sz w:val="22"/>
                <w:szCs w:val="22"/>
              </w:rPr>
              <w:t xml:space="preserve"> настоящего Регламента. В отношении ранее принятых КО макетов, в которых по состоянию на 01.05.2021 заполнены атрибуты </w:t>
            </w:r>
            <w:r w:rsidRPr="00A5626D">
              <w:rPr>
                <w:rFonts w:ascii="Garamond" w:eastAsia="Calibri" w:hAnsi="Garamond" w:cstheme="minorHAnsi"/>
                <w:bCs/>
                <w:sz w:val="22"/>
                <w:szCs w:val="22"/>
                <w:lang w:val="en-US"/>
              </w:rPr>
              <w:t>time</w:t>
            </w:r>
            <w:r w:rsidRPr="00A5626D">
              <w:rPr>
                <w:rFonts w:ascii="Garamond" w:eastAsia="Calibri" w:hAnsi="Garamond" w:cstheme="minorHAnsi"/>
                <w:bCs/>
                <w:sz w:val="22"/>
                <w:szCs w:val="22"/>
              </w:rPr>
              <w:t>-</w:t>
            </w:r>
            <w:r w:rsidRPr="00A5626D">
              <w:rPr>
                <w:rFonts w:ascii="Garamond" w:eastAsia="Calibri" w:hAnsi="Garamond" w:cstheme="minorHAnsi"/>
                <w:bCs/>
                <w:sz w:val="22"/>
                <w:szCs w:val="22"/>
                <w:lang w:val="en-US"/>
              </w:rPr>
              <w:t>zone</w:t>
            </w:r>
            <w:r w:rsidRPr="00A5626D">
              <w:rPr>
                <w:rFonts w:ascii="Garamond" w:eastAsia="Calibri" w:hAnsi="Garamond" w:cstheme="minorHAnsi"/>
                <w:bCs/>
                <w:sz w:val="22"/>
                <w:szCs w:val="22"/>
              </w:rPr>
              <w:t xml:space="preserve"> с разными значениями, вышеуказанный атрибут приводится КО к единому значению. В отношении ранее принятых КО макетов, в которых по состоянию на 01.03.2023 выбранный в соответствии с атрибутом </w:t>
            </w:r>
            <w:r w:rsidRPr="00A5626D">
              <w:rPr>
                <w:rFonts w:ascii="Garamond" w:eastAsia="Calibri" w:hAnsi="Garamond" w:cstheme="minorHAnsi"/>
                <w:bCs/>
                <w:sz w:val="22"/>
                <w:szCs w:val="22"/>
                <w:lang w:val="en-US"/>
              </w:rPr>
              <w:t>time</w:t>
            </w:r>
            <w:r w:rsidRPr="00A5626D">
              <w:rPr>
                <w:rFonts w:ascii="Garamond" w:eastAsia="Calibri" w:hAnsi="Garamond" w:cstheme="minorHAnsi"/>
                <w:bCs/>
                <w:sz w:val="22"/>
                <w:szCs w:val="22"/>
              </w:rPr>
              <w:t>-</w:t>
            </w:r>
            <w:r w:rsidRPr="00A5626D">
              <w:rPr>
                <w:rFonts w:ascii="Garamond" w:eastAsia="Calibri" w:hAnsi="Garamond" w:cstheme="minorHAnsi"/>
                <w:bCs/>
                <w:sz w:val="22"/>
                <w:szCs w:val="22"/>
                <w:lang w:val="en-US"/>
              </w:rPr>
              <w:t>zone</w:t>
            </w:r>
            <w:r w:rsidRPr="00A5626D">
              <w:rPr>
                <w:rFonts w:ascii="Garamond" w:eastAsia="Calibri" w:hAnsi="Garamond" w:cstheme="minorHAnsi"/>
                <w:bCs/>
                <w:sz w:val="22"/>
                <w:szCs w:val="22"/>
              </w:rPr>
              <w:t xml:space="preserve"> временной пояс не соответствует временному поясу, указанному в п. </w:t>
            </w:r>
            <w:r w:rsidRPr="00A5626D">
              <w:rPr>
                <w:rFonts w:ascii="Garamond" w:eastAsia="Calibri" w:hAnsi="Garamond" w:cstheme="minorHAnsi"/>
                <w:bCs/>
                <w:sz w:val="22"/>
                <w:szCs w:val="22"/>
                <w:highlight w:val="yellow"/>
              </w:rPr>
              <w:t>7.9</w:t>
            </w:r>
            <w:r w:rsidRPr="00A5626D">
              <w:rPr>
                <w:rFonts w:ascii="Garamond" w:eastAsia="Calibri" w:hAnsi="Garamond" w:cstheme="minorHAnsi"/>
                <w:bCs/>
                <w:sz w:val="22"/>
                <w:szCs w:val="22"/>
              </w:rPr>
              <w:t xml:space="preserve"> настоящего Регламента, КО приводит данный атрибут в соответствие требованиям вышеуказанного пункта настоящего Регламента;</w:t>
            </w:r>
          </w:p>
          <w:p w14:paraId="1B6D572B" w14:textId="26CB5D2D" w:rsidR="00295C6D" w:rsidRPr="00A5626D" w:rsidRDefault="00295C6D" w:rsidP="00C15199">
            <w:pPr>
              <w:pStyle w:val="ac"/>
              <w:numPr>
                <w:ilvl w:val="0"/>
                <w:numId w:val="272"/>
              </w:numPr>
              <w:tabs>
                <w:tab w:val="left" w:pos="1134"/>
                <w:tab w:val="left" w:pos="7938"/>
              </w:tabs>
              <w:spacing w:before="120" w:after="120" w:line="259" w:lineRule="auto"/>
              <w:ind w:left="10" w:firstLine="425"/>
              <w:contextualSpacing/>
              <w:jc w:val="both"/>
              <w:rPr>
                <w:rFonts w:ascii="Garamond" w:hAnsi="Garamond"/>
                <w:sz w:val="22"/>
                <w:szCs w:val="22"/>
              </w:rPr>
            </w:pPr>
            <w:r w:rsidRPr="00A5626D">
              <w:rPr>
                <w:rFonts w:ascii="Garamond" w:hAnsi="Garamond"/>
                <w:sz w:val="22"/>
                <w:szCs w:val="22"/>
                <w:lang w:val="en-US"/>
              </w:rPr>
              <w:t>ats</w:t>
            </w:r>
            <w:r w:rsidRPr="00A5626D">
              <w:rPr>
                <w:rFonts w:ascii="Garamond" w:hAnsi="Garamond"/>
                <w:sz w:val="22"/>
                <w:szCs w:val="22"/>
              </w:rPr>
              <w:t>-</w:t>
            </w:r>
            <w:r w:rsidRPr="00A5626D">
              <w:rPr>
                <w:rFonts w:ascii="Garamond" w:hAnsi="Garamond"/>
                <w:sz w:val="22"/>
                <w:szCs w:val="22"/>
                <w:lang w:val="en-US"/>
              </w:rPr>
              <w:t>code</w:t>
            </w:r>
            <w:r w:rsidRPr="00A5626D">
              <w:rPr>
                <w:rFonts w:ascii="Garamond" w:hAnsi="Garamond"/>
                <w:sz w:val="22"/>
                <w:szCs w:val="22"/>
              </w:rPr>
              <w:t xml:space="preserve"> – код АИИС </w:t>
            </w:r>
            <w:r w:rsidRPr="00A5626D">
              <w:rPr>
                <w:rFonts w:ascii="Garamond" w:hAnsi="Garamond"/>
                <w:sz w:val="22"/>
                <w:szCs w:val="22"/>
                <w:highlight w:val="yellow"/>
              </w:rPr>
              <w:t>(</w:t>
            </w:r>
            <w:r w:rsidR="00C15199">
              <w:rPr>
                <w:rFonts w:ascii="Garamond" w:hAnsi="Garamond"/>
                <w:sz w:val="22"/>
                <w:szCs w:val="22"/>
                <w:highlight w:val="yellow"/>
              </w:rPr>
              <w:t>с</w:t>
            </w:r>
            <w:r w:rsidRPr="00A5626D">
              <w:rPr>
                <w:rFonts w:ascii="Garamond" w:hAnsi="Garamond"/>
                <w:sz w:val="22"/>
                <w:szCs w:val="22"/>
                <w:highlight w:val="yellow"/>
              </w:rPr>
              <w:t>писка ОР)</w:t>
            </w:r>
            <w:r w:rsidRPr="00A5626D">
              <w:rPr>
                <w:rFonts w:ascii="Garamond" w:hAnsi="Garamond"/>
                <w:sz w:val="22"/>
                <w:szCs w:val="22"/>
              </w:rPr>
              <w:t>, присвоенный КО. Число из 10 символов. Является необязательным атрибутом.</w:t>
            </w:r>
          </w:p>
        </w:tc>
      </w:tr>
      <w:tr w:rsidR="00295C6D" w:rsidRPr="00A5626D" w14:paraId="6F3199E7" w14:textId="77777777" w:rsidTr="00647FA0">
        <w:tc>
          <w:tcPr>
            <w:tcW w:w="1060" w:type="dxa"/>
            <w:vAlign w:val="center"/>
          </w:tcPr>
          <w:p w14:paraId="780C7D69" w14:textId="39D2BC20" w:rsidR="00295C6D" w:rsidRPr="00A5626D" w:rsidRDefault="00295C6D" w:rsidP="00E31AE6">
            <w:pPr>
              <w:widowControl w:val="0"/>
              <w:tabs>
                <w:tab w:val="left" w:pos="1134"/>
                <w:tab w:val="left" w:pos="7938"/>
              </w:tabs>
              <w:spacing w:line="22" w:lineRule="atLeast"/>
              <w:jc w:val="both"/>
              <w:rPr>
                <w:rFonts w:ascii="Garamond" w:hAnsi="Garamond"/>
                <w:b/>
                <w:sz w:val="22"/>
                <w:szCs w:val="22"/>
                <w:lang w:eastAsia="en-US"/>
              </w:rPr>
            </w:pPr>
            <w:r w:rsidRPr="00A5626D">
              <w:rPr>
                <w:rFonts w:ascii="Garamond" w:hAnsi="Garamond"/>
                <w:b/>
                <w:sz w:val="22"/>
                <w:szCs w:val="22"/>
                <w:lang w:eastAsia="en-US"/>
              </w:rPr>
              <w:lastRenderedPageBreak/>
              <w:t>Приложение 5, п.</w:t>
            </w:r>
            <w:r w:rsidR="00647FA0" w:rsidRPr="00A5626D">
              <w:rPr>
                <w:rFonts w:ascii="Garamond" w:hAnsi="Garamond"/>
                <w:b/>
                <w:sz w:val="22"/>
                <w:szCs w:val="22"/>
                <w:lang w:eastAsia="en-US"/>
              </w:rPr>
              <w:t> </w:t>
            </w:r>
            <w:r w:rsidRPr="00A5626D">
              <w:rPr>
                <w:rFonts w:ascii="Garamond" w:hAnsi="Garamond"/>
                <w:b/>
                <w:sz w:val="22"/>
                <w:szCs w:val="22"/>
                <w:lang w:eastAsia="en-US"/>
              </w:rPr>
              <w:t>4.2.1.1.1.5</w:t>
            </w:r>
            <w:r w:rsidRPr="00A5626D">
              <w:rPr>
                <w:rFonts w:ascii="Garamond" w:hAnsi="Garamond" w:cstheme="minorHAnsi"/>
                <w:b/>
                <w:sz w:val="22"/>
                <w:szCs w:val="22"/>
              </w:rPr>
              <w:t xml:space="preserve"> </w:t>
            </w:r>
          </w:p>
        </w:tc>
        <w:tc>
          <w:tcPr>
            <w:tcW w:w="6662" w:type="dxa"/>
          </w:tcPr>
          <w:p w14:paraId="12340C19" w14:textId="77777777" w:rsidR="00295C6D" w:rsidRPr="00A5626D" w:rsidRDefault="00295C6D" w:rsidP="00E31AE6">
            <w:pPr>
              <w:tabs>
                <w:tab w:val="left" w:pos="1134"/>
                <w:tab w:val="left" w:pos="7938"/>
              </w:tabs>
              <w:spacing w:before="120" w:after="120"/>
              <w:ind w:firstLine="567"/>
              <w:jc w:val="both"/>
              <w:rPr>
                <w:rFonts w:ascii="Garamond" w:hAnsi="Garamond" w:cstheme="minorHAnsi"/>
                <w:sz w:val="22"/>
                <w:szCs w:val="22"/>
              </w:rPr>
            </w:pPr>
            <w:r w:rsidRPr="00A5626D">
              <w:rPr>
                <w:rFonts w:ascii="Garamond" w:hAnsi="Garamond" w:cstheme="minorHAnsi"/>
                <w:sz w:val="22"/>
                <w:szCs w:val="22"/>
              </w:rPr>
              <w:t>&lt;</w:t>
            </w:r>
            <w:r w:rsidRPr="00A5626D">
              <w:rPr>
                <w:rFonts w:ascii="Garamond" w:hAnsi="Garamond" w:cstheme="minorHAnsi"/>
                <w:sz w:val="22"/>
                <w:szCs w:val="22"/>
                <w:lang w:val="en-US"/>
              </w:rPr>
              <w:t>power</w:t>
            </w:r>
            <w:r w:rsidRPr="00A5626D">
              <w:rPr>
                <w:rFonts w:ascii="Garamond" w:hAnsi="Garamond" w:cstheme="minorHAnsi"/>
                <w:sz w:val="22"/>
                <w:szCs w:val="22"/>
              </w:rPr>
              <w:t>-</w:t>
            </w:r>
            <w:r w:rsidRPr="00A5626D">
              <w:rPr>
                <w:rFonts w:ascii="Garamond" w:hAnsi="Garamond" w:cstheme="minorHAnsi"/>
                <w:sz w:val="22"/>
                <w:szCs w:val="22"/>
                <w:lang w:val="en-US"/>
              </w:rPr>
              <w:t>objects</w:t>
            </w:r>
            <w:r w:rsidRPr="00A5626D">
              <w:rPr>
                <w:rFonts w:ascii="Garamond" w:hAnsi="Garamond" w:cstheme="minorHAnsi"/>
                <w:sz w:val="22"/>
                <w:szCs w:val="22"/>
              </w:rPr>
              <w:t>&gt;</w:t>
            </w:r>
          </w:p>
          <w:p w14:paraId="71C0E4BC" w14:textId="77777777" w:rsidR="00295C6D" w:rsidRPr="00A5626D" w:rsidRDefault="00295C6D" w:rsidP="00E31AE6">
            <w:pPr>
              <w:tabs>
                <w:tab w:val="left" w:pos="1134"/>
                <w:tab w:val="left" w:pos="7938"/>
              </w:tabs>
              <w:spacing w:before="120" w:after="120"/>
              <w:ind w:firstLine="567"/>
              <w:jc w:val="both"/>
              <w:rPr>
                <w:rFonts w:ascii="Garamond" w:hAnsi="Garamond" w:cstheme="minorHAnsi"/>
                <w:sz w:val="22"/>
                <w:szCs w:val="22"/>
              </w:rPr>
            </w:pPr>
            <w:r w:rsidRPr="00A5626D">
              <w:rPr>
                <w:rFonts w:ascii="Garamond" w:hAnsi="Garamond" w:cstheme="minorHAnsi"/>
                <w:sz w:val="22"/>
                <w:szCs w:val="22"/>
              </w:rPr>
              <w:t>Элемент &lt;</w:t>
            </w:r>
            <w:r w:rsidRPr="00A5626D">
              <w:rPr>
                <w:rFonts w:ascii="Garamond" w:hAnsi="Garamond" w:cstheme="minorHAnsi"/>
                <w:b/>
                <w:sz w:val="22"/>
                <w:szCs w:val="22"/>
                <w:lang w:val="en-US"/>
              </w:rPr>
              <w:t>power</w:t>
            </w:r>
            <w:r w:rsidRPr="00A5626D">
              <w:rPr>
                <w:rFonts w:ascii="Garamond" w:hAnsi="Garamond" w:cstheme="minorHAnsi"/>
                <w:b/>
                <w:sz w:val="22"/>
                <w:szCs w:val="22"/>
              </w:rPr>
              <w:t>-</w:t>
            </w:r>
            <w:r w:rsidRPr="00A5626D">
              <w:rPr>
                <w:rFonts w:ascii="Garamond" w:hAnsi="Garamond" w:cstheme="minorHAnsi"/>
                <w:b/>
                <w:sz w:val="22"/>
                <w:szCs w:val="22"/>
                <w:lang w:val="en-US"/>
              </w:rPr>
              <w:t>objects</w:t>
            </w:r>
            <w:r w:rsidRPr="00A5626D">
              <w:rPr>
                <w:rFonts w:ascii="Garamond" w:hAnsi="Garamond" w:cstheme="minorHAnsi"/>
                <w:sz w:val="22"/>
                <w:szCs w:val="22"/>
              </w:rPr>
              <w:t>&gt; содержит список энергообъектов, на которых расположены точки поставки и точки измерени</w:t>
            </w:r>
            <w:r w:rsidRPr="00A5626D">
              <w:rPr>
                <w:rFonts w:ascii="Garamond" w:hAnsi="Garamond" w:cstheme="minorHAnsi"/>
                <w:sz w:val="22"/>
                <w:szCs w:val="22"/>
                <w:highlight w:val="yellow"/>
              </w:rPr>
              <w:t>я</w:t>
            </w:r>
            <w:r w:rsidRPr="00A5626D">
              <w:rPr>
                <w:rFonts w:ascii="Garamond" w:hAnsi="Garamond" w:cstheme="minorHAnsi"/>
                <w:sz w:val="22"/>
                <w:szCs w:val="22"/>
              </w:rPr>
              <w:t>, заявленные в ГТП генерации / сечении.</w:t>
            </w:r>
          </w:p>
          <w:p w14:paraId="1013EF58" w14:textId="77777777" w:rsidR="00295C6D" w:rsidRPr="00A5626D" w:rsidRDefault="00295C6D" w:rsidP="00E31AE6">
            <w:pPr>
              <w:widowControl w:val="0"/>
              <w:tabs>
                <w:tab w:val="left" w:pos="1134"/>
                <w:tab w:val="left" w:pos="7938"/>
              </w:tabs>
              <w:autoSpaceDE w:val="0"/>
              <w:autoSpaceDN w:val="0"/>
              <w:adjustRightInd w:val="0"/>
              <w:spacing w:before="60" w:after="60" w:line="276" w:lineRule="auto"/>
              <w:ind w:firstLine="567"/>
              <w:jc w:val="both"/>
              <w:rPr>
                <w:rFonts w:ascii="Garamond" w:hAnsi="Garamond" w:cstheme="minorHAnsi"/>
                <w:sz w:val="22"/>
                <w:szCs w:val="22"/>
              </w:rPr>
            </w:pPr>
            <w:r w:rsidRPr="00A5626D">
              <w:rPr>
                <w:rFonts w:ascii="Garamond" w:hAnsi="Garamond" w:cstheme="minorHAnsi"/>
                <w:bCs/>
                <w:sz w:val="22"/>
                <w:szCs w:val="22"/>
              </w:rPr>
              <w:t>Обязательный элемент</w:t>
            </w:r>
            <w:r w:rsidRPr="00A5626D">
              <w:rPr>
                <w:rFonts w:ascii="Garamond" w:hAnsi="Garamond" w:cstheme="minorHAnsi"/>
                <w:sz w:val="22"/>
                <w:szCs w:val="22"/>
              </w:rPr>
              <w:t>. Допускается наличие только одного элемента.</w:t>
            </w:r>
          </w:p>
          <w:p w14:paraId="67D1BDEF" w14:textId="77777777" w:rsidR="00295C6D" w:rsidRPr="00A5626D" w:rsidRDefault="00295C6D" w:rsidP="00E31AE6">
            <w:pPr>
              <w:tabs>
                <w:tab w:val="left" w:pos="1134"/>
                <w:tab w:val="left" w:pos="7938"/>
              </w:tabs>
              <w:spacing w:before="120" w:after="120"/>
              <w:ind w:firstLine="567"/>
              <w:jc w:val="both"/>
              <w:rPr>
                <w:rFonts w:ascii="Garamond" w:hAnsi="Garamond" w:cstheme="minorHAnsi"/>
                <w:sz w:val="22"/>
                <w:szCs w:val="22"/>
              </w:rPr>
            </w:pPr>
            <w:r w:rsidRPr="00A5626D">
              <w:rPr>
                <w:rFonts w:ascii="Garamond" w:hAnsi="Garamond" w:cstheme="minorHAnsi"/>
                <w:sz w:val="22"/>
                <w:szCs w:val="22"/>
              </w:rPr>
              <w:t>Атрибутами элемента &lt;</w:t>
            </w:r>
            <w:r w:rsidRPr="00A5626D">
              <w:rPr>
                <w:rFonts w:ascii="Garamond" w:hAnsi="Garamond" w:cstheme="minorHAnsi"/>
                <w:sz w:val="22"/>
                <w:szCs w:val="22"/>
                <w:lang w:val="en-US"/>
              </w:rPr>
              <w:t>power</w:t>
            </w:r>
            <w:r w:rsidRPr="00A5626D">
              <w:rPr>
                <w:rFonts w:ascii="Garamond" w:hAnsi="Garamond" w:cstheme="minorHAnsi"/>
                <w:sz w:val="22"/>
                <w:szCs w:val="22"/>
              </w:rPr>
              <w:t>-</w:t>
            </w:r>
            <w:r w:rsidRPr="00A5626D">
              <w:rPr>
                <w:rFonts w:ascii="Garamond" w:hAnsi="Garamond" w:cstheme="minorHAnsi"/>
                <w:sz w:val="22"/>
                <w:szCs w:val="22"/>
                <w:lang w:val="en-US"/>
              </w:rPr>
              <w:t>objects</w:t>
            </w:r>
            <w:r w:rsidRPr="00A5626D">
              <w:rPr>
                <w:rFonts w:ascii="Garamond" w:hAnsi="Garamond" w:cstheme="minorHAnsi"/>
                <w:sz w:val="22"/>
                <w:szCs w:val="22"/>
              </w:rPr>
              <w:t>&gt; являются:</w:t>
            </w:r>
          </w:p>
          <w:p w14:paraId="74707827" w14:textId="77777777" w:rsidR="00295C6D" w:rsidRPr="00A5626D" w:rsidRDefault="00295C6D" w:rsidP="00295C6D">
            <w:pPr>
              <w:pStyle w:val="ac"/>
              <w:numPr>
                <w:ilvl w:val="0"/>
                <w:numId w:val="272"/>
              </w:numPr>
              <w:tabs>
                <w:tab w:val="left" w:pos="1134"/>
                <w:tab w:val="left" w:pos="7938"/>
              </w:tabs>
              <w:spacing w:before="120" w:after="120" w:line="259" w:lineRule="auto"/>
              <w:ind w:left="0" w:firstLine="567"/>
              <w:contextualSpacing/>
              <w:jc w:val="both"/>
              <w:rPr>
                <w:rFonts w:ascii="Garamond" w:hAnsi="Garamond" w:cstheme="minorHAnsi"/>
                <w:sz w:val="22"/>
                <w:szCs w:val="22"/>
              </w:rPr>
            </w:pPr>
            <w:r w:rsidRPr="00A5626D">
              <w:rPr>
                <w:rFonts w:ascii="Garamond" w:hAnsi="Garamond" w:cstheme="minorHAnsi"/>
                <w:sz w:val="22"/>
                <w:szCs w:val="22"/>
                <w:lang w:val="en-US"/>
              </w:rPr>
              <w:t>base</w:t>
            </w:r>
            <w:r w:rsidRPr="00A5626D">
              <w:rPr>
                <w:rFonts w:ascii="Garamond" w:hAnsi="Garamond" w:cstheme="minorHAnsi"/>
                <w:sz w:val="22"/>
                <w:szCs w:val="22"/>
              </w:rPr>
              <w:t>-</w:t>
            </w:r>
            <w:r w:rsidRPr="00A5626D">
              <w:rPr>
                <w:rFonts w:ascii="Garamond" w:hAnsi="Garamond" w:cstheme="minorHAnsi"/>
                <w:sz w:val="22"/>
                <w:szCs w:val="22"/>
                <w:lang w:val="en-US"/>
              </w:rPr>
              <w:t>on</w:t>
            </w:r>
            <w:r w:rsidRPr="00A5626D">
              <w:rPr>
                <w:rFonts w:ascii="Garamond" w:hAnsi="Garamond" w:cstheme="minorHAnsi"/>
                <w:sz w:val="22"/>
                <w:szCs w:val="22"/>
              </w:rPr>
              <w:t>-</w:t>
            </w:r>
            <w:r w:rsidRPr="00A5626D">
              <w:rPr>
                <w:rFonts w:ascii="Garamond" w:hAnsi="Garamond" w:cstheme="minorHAnsi"/>
                <w:sz w:val="22"/>
                <w:szCs w:val="22"/>
                <w:lang w:val="en-US"/>
              </w:rPr>
              <w:t>file</w:t>
            </w:r>
            <w:r w:rsidRPr="00A5626D">
              <w:rPr>
                <w:rFonts w:ascii="Garamond" w:hAnsi="Garamond" w:cstheme="minorHAnsi"/>
                <w:sz w:val="22"/>
                <w:szCs w:val="22"/>
              </w:rPr>
              <w:t xml:space="preserve"> – наименование файла справочника центров питания, который был опубликован на сайте КО и использовался при подготовке макета. Текст до 250 символов. Является обязательным атрибутом;</w:t>
            </w:r>
          </w:p>
          <w:p w14:paraId="19BE5373" w14:textId="77777777" w:rsidR="00295C6D" w:rsidRPr="00A5626D" w:rsidRDefault="00295C6D" w:rsidP="00295C6D">
            <w:pPr>
              <w:pStyle w:val="ac"/>
              <w:widowControl w:val="0"/>
              <w:numPr>
                <w:ilvl w:val="0"/>
                <w:numId w:val="272"/>
              </w:numPr>
              <w:tabs>
                <w:tab w:val="left" w:pos="1134"/>
                <w:tab w:val="left" w:pos="7938"/>
              </w:tabs>
              <w:autoSpaceDE w:val="0"/>
              <w:autoSpaceDN w:val="0"/>
              <w:adjustRightInd w:val="0"/>
              <w:spacing w:before="60" w:after="60" w:line="276" w:lineRule="auto"/>
              <w:ind w:left="0" w:firstLine="567"/>
              <w:contextualSpacing/>
              <w:jc w:val="both"/>
              <w:rPr>
                <w:rFonts w:ascii="Garamond" w:hAnsi="Garamond" w:cstheme="minorHAnsi"/>
                <w:sz w:val="22"/>
                <w:szCs w:val="22"/>
              </w:rPr>
            </w:pPr>
            <w:r w:rsidRPr="00A5626D">
              <w:rPr>
                <w:rFonts w:ascii="Garamond" w:hAnsi="Garamond" w:cstheme="minorHAnsi"/>
                <w:sz w:val="22"/>
                <w:szCs w:val="22"/>
                <w:lang w:val="en-US"/>
              </w:rPr>
              <w:t>base</w:t>
            </w:r>
            <w:r w:rsidRPr="00A5626D">
              <w:rPr>
                <w:rFonts w:ascii="Garamond" w:hAnsi="Garamond" w:cstheme="minorHAnsi"/>
                <w:sz w:val="22"/>
                <w:szCs w:val="22"/>
              </w:rPr>
              <w:t>-</w:t>
            </w:r>
            <w:r w:rsidRPr="00A5626D">
              <w:rPr>
                <w:rFonts w:ascii="Garamond" w:hAnsi="Garamond" w:cstheme="minorHAnsi"/>
                <w:sz w:val="22"/>
                <w:szCs w:val="22"/>
                <w:lang w:val="en-US"/>
              </w:rPr>
              <w:t>on</w:t>
            </w:r>
            <w:r w:rsidRPr="00A5626D">
              <w:rPr>
                <w:rFonts w:ascii="Garamond" w:hAnsi="Garamond" w:cstheme="minorHAnsi"/>
                <w:sz w:val="22"/>
                <w:szCs w:val="22"/>
              </w:rPr>
              <w:t>-</w:t>
            </w:r>
            <w:r w:rsidRPr="00A5626D">
              <w:rPr>
                <w:rFonts w:ascii="Garamond" w:hAnsi="Garamond" w:cstheme="minorHAnsi"/>
                <w:sz w:val="22"/>
                <w:szCs w:val="22"/>
                <w:lang w:val="en-US"/>
              </w:rPr>
              <w:t>file</w:t>
            </w:r>
            <w:r w:rsidRPr="00A5626D">
              <w:rPr>
                <w:rFonts w:ascii="Garamond" w:hAnsi="Garamond" w:cstheme="minorHAnsi"/>
                <w:sz w:val="22"/>
                <w:szCs w:val="22"/>
              </w:rPr>
              <w:t>-</w:t>
            </w:r>
            <w:r w:rsidRPr="00A5626D">
              <w:rPr>
                <w:rFonts w:ascii="Garamond" w:hAnsi="Garamond" w:cstheme="minorHAnsi"/>
                <w:sz w:val="22"/>
                <w:szCs w:val="22"/>
                <w:lang w:val="en-US"/>
              </w:rPr>
              <w:t>hash</w:t>
            </w:r>
            <w:r w:rsidRPr="00A5626D">
              <w:rPr>
                <w:rFonts w:ascii="Garamond" w:hAnsi="Garamond" w:cstheme="minorHAnsi"/>
                <w:sz w:val="22"/>
                <w:szCs w:val="22"/>
              </w:rPr>
              <w:t xml:space="preserve"> – хэш файла справочника центров питания, который был опубликован на сайте КО и использовался при подготовке макета. Текст, состоящий из 64 символов. Является обязательным атрибутом.</w:t>
            </w:r>
          </w:p>
        </w:tc>
        <w:tc>
          <w:tcPr>
            <w:tcW w:w="7088" w:type="dxa"/>
          </w:tcPr>
          <w:p w14:paraId="3594302E" w14:textId="77777777" w:rsidR="00295C6D" w:rsidRPr="00A5626D" w:rsidRDefault="00295C6D" w:rsidP="00E31AE6">
            <w:pPr>
              <w:tabs>
                <w:tab w:val="left" w:pos="1134"/>
                <w:tab w:val="left" w:pos="7938"/>
              </w:tabs>
              <w:spacing w:before="120" w:after="120"/>
              <w:ind w:firstLine="567"/>
              <w:jc w:val="both"/>
              <w:rPr>
                <w:rFonts w:ascii="Garamond" w:hAnsi="Garamond" w:cstheme="minorHAnsi"/>
                <w:sz w:val="22"/>
                <w:szCs w:val="22"/>
              </w:rPr>
            </w:pPr>
            <w:r w:rsidRPr="00A5626D">
              <w:rPr>
                <w:rFonts w:ascii="Garamond" w:hAnsi="Garamond" w:cstheme="minorHAnsi"/>
                <w:sz w:val="22"/>
                <w:szCs w:val="22"/>
              </w:rPr>
              <w:t>&lt;</w:t>
            </w:r>
            <w:r w:rsidRPr="00A5626D">
              <w:rPr>
                <w:rFonts w:ascii="Garamond" w:hAnsi="Garamond" w:cstheme="minorHAnsi"/>
                <w:sz w:val="22"/>
                <w:szCs w:val="22"/>
                <w:lang w:val="en-US"/>
              </w:rPr>
              <w:t>power</w:t>
            </w:r>
            <w:r w:rsidRPr="00A5626D">
              <w:rPr>
                <w:rFonts w:ascii="Garamond" w:hAnsi="Garamond" w:cstheme="minorHAnsi"/>
                <w:sz w:val="22"/>
                <w:szCs w:val="22"/>
              </w:rPr>
              <w:t>-</w:t>
            </w:r>
            <w:r w:rsidRPr="00A5626D">
              <w:rPr>
                <w:rFonts w:ascii="Garamond" w:hAnsi="Garamond" w:cstheme="minorHAnsi"/>
                <w:sz w:val="22"/>
                <w:szCs w:val="22"/>
                <w:lang w:val="en-US"/>
              </w:rPr>
              <w:t>objects</w:t>
            </w:r>
            <w:r w:rsidRPr="00A5626D">
              <w:rPr>
                <w:rFonts w:ascii="Garamond" w:hAnsi="Garamond" w:cstheme="minorHAnsi"/>
                <w:sz w:val="22"/>
                <w:szCs w:val="22"/>
              </w:rPr>
              <w:t>&gt;</w:t>
            </w:r>
          </w:p>
          <w:p w14:paraId="1109208B" w14:textId="2B8BA3F5" w:rsidR="00295C6D" w:rsidRPr="00A5626D" w:rsidRDefault="00295C6D" w:rsidP="00E31AE6">
            <w:pPr>
              <w:tabs>
                <w:tab w:val="left" w:pos="1134"/>
                <w:tab w:val="left" w:pos="7938"/>
              </w:tabs>
              <w:spacing w:before="120" w:after="120"/>
              <w:ind w:firstLine="567"/>
              <w:jc w:val="both"/>
              <w:rPr>
                <w:rFonts w:ascii="Garamond" w:hAnsi="Garamond" w:cstheme="minorHAnsi"/>
                <w:sz w:val="22"/>
                <w:szCs w:val="22"/>
              </w:rPr>
            </w:pPr>
            <w:r w:rsidRPr="00A5626D">
              <w:rPr>
                <w:rFonts w:ascii="Garamond" w:hAnsi="Garamond" w:cstheme="minorHAnsi"/>
                <w:sz w:val="22"/>
                <w:szCs w:val="22"/>
              </w:rPr>
              <w:t>Элемент &lt;</w:t>
            </w:r>
            <w:r w:rsidRPr="00A5626D">
              <w:rPr>
                <w:rFonts w:ascii="Garamond" w:hAnsi="Garamond" w:cstheme="minorHAnsi"/>
                <w:b/>
                <w:sz w:val="22"/>
                <w:szCs w:val="22"/>
                <w:lang w:val="en-US"/>
              </w:rPr>
              <w:t>power</w:t>
            </w:r>
            <w:r w:rsidRPr="00A5626D">
              <w:rPr>
                <w:rFonts w:ascii="Garamond" w:hAnsi="Garamond" w:cstheme="minorHAnsi"/>
                <w:b/>
                <w:sz w:val="22"/>
                <w:szCs w:val="22"/>
              </w:rPr>
              <w:t>-</w:t>
            </w:r>
            <w:r w:rsidRPr="00A5626D">
              <w:rPr>
                <w:rFonts w:ascii="Garamond" w:hAnsi="Garamond" w:cstheme="minorHAnsi"/>
                <w:b/>
                <w:sz w:val="22"/>
                <w:szCs w:val="22"/>
                <w:lang w:val="en-US"/>
              </w:rPr>
              <w:t>objects</w:t>
            </w:r>
            <w:r w:rsidRPr="00A5626D">
              <w:rPr>
                <w:rFonts w:ascii="Garamond" w:hAnsi="Garamond" w:cstheme="minorHAnsi"/>
                <w:sz w:val="22"/>
                <w:szCs w:val="22"/>
              </w:rPr>
              <w:t xml:space="preserve">&gt; содержит список энергообъектов, на которых расположены точки поставки </w:t>
            </w:r>
            <w:r w:rsidRPr="00A5626D">
              <w:rPr>
                <w:rFonts w:ascii="Garamond" w:hAnsi="Garamond" w:cstheme="minorHAnsi"/>
                <w:sz w:val="22"/>
                <w:szCs w:val="22"/>
                <w:highlight w:val="yellow"/>
              </w:rPr>
              <w:t>(точки присоединения)</w:t>
            </w:r>
            <w:r w:rsidRPr="00A5626D">
              <w:rPr>
                <w:rFonts w:ascii="Garamond" w:hAnsi="Garamond" w:cstheme="minorHAnsi"/>
                <w:sz w:val="22"/>
                <w:szCs w:val="22"/>
              </w:rPr>
              <w:t xml:space="preserve"> и точки измерени</w:t>
            </w:r>
            <w:r w:rsidRPr="00A5626D">
              <w:rPr>
                <w:rFonts w:ascii="Garamond" w:hAnsi="Garamond" w:cstheme="minorHAnsi"/>
                <w:sz w:val="22"/>
                <w:szCs w:val="22"/>
                <w:highlight w:val="yellow"/>
              </w:rPr>
              <w:t>й</w:t>
            </w:r>
            <w:r w:rsidRPr="00A5626D">
              <w:rPr>
                <w:rFonts w:ascii="Garamond" w:hAnsi="Garamond" w:cstheme="minorHAnsi"/>
                <w:sz w:val="22"/>
                <w:szCs w:val="22"/>
              </w:rPr>
              <w:t xml:space="preserve">, заявленные в ГТП генерации / сечении </w:t>
            </w:r>
            <w:r w:rsidRPr="00A5626D">
              <w:rPr>
                <w:rFonts w:ascii="Garamond" w:hAnsi="Garamond" w:cstheme="minorHAnsi"/>
                <w:sz w:val="22"/>
                <w:szCs w:val="22"/>
                <w:highlight w:val="yellow"/>
              </w:rPr>
              <w:t>КУ</w:t>
            </w:r>
            <w:r w:rsidR="00C15199">
              <w:rPr>
                <w:rFonts w:ascii="Garamond" w:hAnsi="Garamond" w:cstheme="minorHAnsi"/>
                <w:sz w:val="22"/>
                <w:szCs w:val="22"/>
                <w:highlight w:val="yellow"/>
              </w:rPr>
              <w:t xml:space="preserve"> </w:t>
            </w:r>
            <w:r w:rsidRPr="00A5626D">
              <w:rPr>
                <w:rFonts w:ascii="Garamond" w:hAnsi="Garamond" w:cstheme="minorHAnsi"/>
                <w:sz w:val="22"/>
                <w:szCs w:val="22"/>
                <w:highlight w:val="yellow"/>
              </w:rPr>
              <w:t>/ ОР.</w:t>
            </w:r>
          </w:p>
          <w:p w14:paraId="26322115" w14:textId="77777777" w:rsidR="00295C6D" w:rsidRPr="00A5626D" w:rsidRDefault="00295C6D" w:rsidP="00E31AE6">
            <w:pPr>
              <w:widowControl w:val="0"/>
              <w:tabs>
                <w:tab w:val="left" w:pos="1134"/>
                <w:tab w:val="left" w:pos="7938"/>
              </w:tabs>
              <w:autoSpaceDE w:val="0"/>
              <w:autoSpaceDN w:val="0"/>
              <w:adjustRightInd w:val="0"/>
              <w:spacing w:before="60" w:after="60" w:line="276" w:lineRule="auto"/>
              <w:ind w:firstLine="567"/>
              <w:jc w:val="both"/>
              <w:rPr>
                <w:rFonts w:ascii="Garamond" w:hAnsi="Garamond" w:cstheme="minorHAnsi"/>
                <w:sz w:val="22"/>
                <w:szCs w:val="22"/>
              </w:rPr>
            </w:pPr>
            <w:r w:rsidRPr="00A5626D">
              <w:rPr>
                <w:rFonts w:ascii="Garamond" w:hAnsi="Garamond" w:cstheme="minorHAnsi"/>
                <w:bCs/>
                <w:sz w:val="22"/>
                <w:szCs w:val="22"/>
              </w:rPr>
              <w:t>Обязательный элемент</w:t>
            </w:r>
            <w:r w:rsidRPr="00A5626D">
              <w:rPr>
                <w:rFonts w:ascii="Garamond" w:hAnsi="Garamond" w:cstheme="minorHAnsi"/>
                <w:sz w:val="22"/>
                <w:szCs w:val="22"/>
              </w:rPr>
              <w:t>. Допускается наличие только одного элемента.</w:t>
            </w:r>
          </w:p>
          <w:p w14:paraId="6C2BD906" w14:textId="77777777" w:rsidR="00295C6D" w:rsidRPr="00A5626D" w:rsidRDefault="00295C6D" w:rsidP="00E31AE6">
            <w:pPr>
              <w:tabs>
                <w:tab w:val="left" w:pos="1134"/>
                <w:tab w:val="left" w:pos="7938"/>
              </w:tabs>
              <w:spacing w:before="120" w:after="120"/>
              <w:ind w:firstLine="567"/>
              <w:jc w:val="both"/>
              <w:rPr>
                <w:rFonts w:ascii="Garamond" w:hAnsi="Garamond" w:cstheme="minorHAnsi"/>
                <w:sz w:val="22"/>
                <w:szCs w:val="22"/>
              </w:rPr>
            </w:pPr>
            <w:r w:rsidRPr="00A5626D">
              <w:rPr>
                <w:rFonts w:ascii="Garamond" w:hAnsi="Garamond" w:cstheme="minorHAnsi"/>
                <w:sz w:val="22"/>
                <w:szCs w:val="22"/>
              </w:rPr>
              <w:t>Атрибутами элемента &lt;</w:t>
            </w:r>
            <w:r w:rsidRPr="00A5626D">
              <w:rPr>
                <w:rFonts w:ascii="Garamond" w:hAnsi="Garamond" w:cstheme="minorHAnsi"/>
                <w:sz w:val="22"/>
                <w:szCs w:val="22"/>
                <w:lang w:val="en-US"/>
              </w:rPr>
              <w:t>power</w:t>
            </w:r>
            <w:r w:rsidRPr="00A5626D">
              <w:rPr>
                <w:rFonts w:ascii="Garamond" w:hAnsi="Garamond" w:cstheme="minorHAnsi"/>
                <w:sz w:val="22"/>
                <w:szCs w:val="22"/>
              </w:rPr>
              <w:t>-</w:t>
            </w:r>
            <w:r w:rsidRPr="00A5626D">
              <w:rPr>
                <w:rFonts w:ascii="Garamond" w:hAnsi="Garamond" w:cstheme="minorHAnsi"/>
                <w:sz w:val="22"/>
                <w:szCs w:val="22"/>
                <w:lang w:val="en-US"/>
              </w:rPr>
              <w:t>objects</w:t>
            </w:r>
            <w:r w:rsidRPr="00A5626D">
              <w:rPr>
                <w:rFonts w:ascii="Garamond" w:hAnsi="Garamond" w:cstheme="minorHAnsi"/>
                <w:sz w:val="22"/>
                <w:szCs w:val="22"/>
              </w:rPr>
              <w:t>&gt; являются:</w:t>
            </w:r>
          </w:p>
          <w:p w14:paraId="6931B66F" w14:textId="77777777" w:rsidR="00295C6D" w:rsidRPr="00A5626D" w:rsidRDefault="00295C6D" w:rsidP="00295C6D">
            <w:pPr>
              <w:pStyle w:val="ac"/>
              <w:numPr>
                <w:ilvl w:val="0"/>
                <w:numId w:val="272"/>
              </w:numPr>
              <w:tabs>
                <w:tab w:val="left" w:pos="1134"/>
                <w:tab w:val="left" w:pos="7938"/>
              </w:tabs>
              <w:spacing w:before="120" w:after="120" w:line="259" w:lineRule="auto"/>
              <w:ind w:left="0" w:firstLine="567"/>
              <w:contextualSpacing/>
              <w:jc w:val="both"/>
              <w:rPr>
                <w:rFonts w:ascii="Garamond" w:hAnsi="Garamond" w:cstheme="minorHAnsi"/>
                <w:sz w:val="22"/>
                <w:szCs w:val="22"/>
              </w:rPr>
            </w:pPr>
            <w:r w:rsidRPr="00A5626D">
              <w:rPr>
                <w:rFonts w:ascii="Garamond" w:hAnsi="Garamond" w:cstheme="minorHAnsi"/>
                <w:sz w:val="22"/>
                <w:szCs w:val="22"/>
                <w:lang w:val="en-US"/>
              </w:rPr>
              <w:t>base</w:t>
            </w:r>
            <w:r w:rsidRPr="00A5626D">
              <w:rPr>
                <w:rFonts w:ascii="Garamond" w:hAnsi="Garamond" w:cstheme="minorHAnsi"/>
                <w:sz w:val="22"/>
                <w:szCs w:val="22"/>
              </w:rPr>
              <w:t>-</w:t>
            </w:r>
            <w:r w:rsidRPr="00A5626D">
              <w:rPr>
                <w:rFonts w:ascii="Garamond" w:hAnsi="Garamond" w:cstheme="minorHAnsi"/>
                <w:sz w:val="22"/>
                <w:szCs w:val="22"/>
                <w:lang w:val="en-US"/>
              </w:rPr>
              <w:t>on</w:t>
            </w:r>
            <w:r w:rsidRPr="00A5626D">
              <w:rPr>
                <w:rFonts w:ascii="Garamond" w:hAnsi="Garamond" w:cstheme="minorHAnsi"/>
                <w:sz w:val="22"/>
                <w:szCs w:val="22"/>
              </w:rPr>
              <w:t>-</w:t>
            </w:r>
            <w:r w:rsidRPr="00A5626D">
              <w:rPr>
                <w:rFonts w:ascii="Garamond" w:hAnsi="Garamond" w:cstheme="minorHAnsi"/>
                <w:sz w:val="22"/>
                <w:szCs w:val="22"/>
                <w:lang w:val="en-US"/>
              </w:rPr>
              <w:t>file</w:t>
            </w:r>
            <w:r w:rsidRPr="00A5626D">
              <w:rPr>
                <w:rFonts w:ascii="Garamond" w:hAnsi="Garamond" w:cstheme="minorHAnsi"/>
                <w:sz w:val="22"/>
                <w:szCs w:val="22"/>
              </w:rPr>
              <w:t xml:space="preserve"> – наименование файла справочника центров питания, который был опубликован на сайте КО и использовался при подготовке макета. Текст до 250 символов. Является обязательным атрибутом;</w:t>
            </w:r>
          </w:p>
          <w:p w14:paraId="3330B8E3" w14:textId="77777777" w:rsidR="00295C6D" w:rsidRPr="00A5626D" w:rsidRDefault="00295C6D" w:rsidP="00295C6D">
            <w:pPr>
              <w:pStyle w:val="ac"/>
              <w:widowControl w:val="0"/>
              <w:numPr>
                <w:ilvl w:val="0"/>
                <w:numId w:val="272"/>
              </w:numPr>
              <w:tabs>
                <w:tab w:val="left" w:pos="1134"/>
                <w:tab w:val="left" w:pos="7938"/>
              </w:tabs>
              <w:autoSpaceDE w:val="0"/>
              <w:autoSpaceDN w:val="0"/>
              <w:adjustRightInd w:val="0"/>
              <w:spacing w:before="60" w:after="60" w:line="276" w:lineRule="auto"/>
              <w:ind w:left="0" w:firstLine="567"/>
              <w:contextualSpacing/>
              <w:jc w:val="both"/>
              <w:rPr>
                <w:rFonts w:ascii="Garamond" w:hAnsi="Garamond" w:cstheme="minorHAnsi"/>
                <w:b/>
                <w:sz w:val="22"/>
                <w:szCs w:val="22"/>
              </w:rPr>
            </w:pPr>
            <w:r w:rsidRPr="00A5626D">
              <w:rPr>
                <w:rFonts w:ascii="Garamond" w:hAnsi="Garamond" w:cstheme="minorHAnsi"/>
                <w:sz w:val="22"/>
                <w:szCs w:val="22"/>
                <w:lang w:val="en-US"/>
              </w:rPr>
              <w:t>base</w:t>
            </w:r>
            <w:r w:rsidRPr="00A5626D">
              <w:rPr>
                <w:rFonts w:ascii="Garamond" w:hAnsi="Garamond" w:cstheme="minorHAnsi"/>
                <w:sz w:val="22"/>
                <w:szCs w:val="22"/>
              </w:rPr>
              <w:t>-</w:t>
            </w:r>
            <w:r w:rsidRPr="00A5626D">
              <w:rPr>
                <w:rFonts w:ascii="Garamond" w:hAnsi="Garamond" w:cstheme="minorHAnsi"/>
                <w:sz w:val="22"/>
                <w:szCs w:val="22"/>
                <w:lang w:val="en-US"/>
              </w:rPr>
              <w:t>on</w:t>
            </w:r>
            <w:r w:rsidRPr="00A5626D">
              <w:rPr>
                <w:rFonts w:ascii="Garamond" w:hAnsi="Garamond" w:cstheme="minorHAnsi"/>
                <w:sz w:val="22"/>
                <w:szCs w:val="22"/>
              </w:rPr>
              <w:t>-</w:t>
            </w:r>
            <w:r w:rsidRPr="00A5626D">
              <w:rPr>
                <w:rFonts w:ascii="Garamond" w:hAnsi="Garamond" w:cstheme="minorHAnsi"/>
                <w:sz w:val="22"/>
                <w:szCs w:val="22"/>
                <w:lang w:val="en-US"/>
              </w:rPr>
              <w:t>file</w:t>
            </w:r>
            <w:r w:rsidRPr="00A5626D">
              <w:rPr>
                <w:rFonts w:ascii="Garamond" w:hAnsi="Garamond" w:cstheme="minorHAnsi"/>
                <w:sz w:val="22"/>
                <w:szCs w:val="22"/>
              </w:rPr>
              <w:t>-</w:t>
            </w:r>
            <w:r w:rsidRPr="00A5626D">
              <w:rPr>
                <w:rFonts w:ascii="Garamond" w:hAnsi="Garamond" w:cstheme="minorHAnsi"/>
                <w:sz w:val="22"/>
                <w:szCs w:val="22"/>
                <w:lang w:val="en-US"/>
              </w:rPr>
              <w:t>hash</w:t>
            </w:r>
            <w:r w:rsidRPr="00A5626D">
              <w:rPr>
                <w:rFonts w:ascii="Garamond" w:hAnsi="Garamond" w:cstheme="minorHAnsi"/>
                <w:sz w:val="22"/>
                <w:szCs w:val="22"/>
              </w:rPr>
              <w:t xml:space="preserve"> – хэш файла справочника центров питания, который был опубликован на сайте КО и использовался при подготовке макета. Текст, состоящий из 64 символов. Является обязательным атрибутом.</w:t>
            </w:r>
          </w:p>
        </w:tc>
      </w:tr>
      <w:tr w:rsidR="00295C6D" w:rsidRPr="00A5626D" w14:paraId="37BB3B4D" w14:textId="77777777" w:rsidTr="00647FA0">
        <w:tc>
          <w:tcPr>
            <w:tcW w:w="1060" w:type="dxa"/>
            <w:vAlign w:val="center"/>
          </w:tcPr>
          <w:p w14:paraId="5CEA3105" w14:textId="73097A86" w:rsidR="00295C6D" w:rsidRPr="00A5626D" w:rsidRDefault="00295C6D" w:rsidP="00E31AE6">
            <w:pPr>
              <w:widowControl w:val="0"/>
              <w:tabs>
                <w:tab w:val="left" w:pos="1134"/>
                <w:tab w:val="left" w:pos="7938"/>
              </w:tabs>
              <w:spacing w:line="22" w:lineRule="atLeast"/>
              <w:jc w:val="both"/>
              <w:rPr>
                <w:rFonts w:ascii="Garamond" w:hAnsi="Garamond"/>
                <w:b/>
                <w:sz w:val="22"/>
                <w:szCs w:val="22"/>
                <w:lang w:eastAsia="en-US"/>
              </w:rPr>
            </w:pPr>
            <w:r w:rsidRPr="00A5626D">
              <w:rPr>
                <w:rFonts w:ascii="Garamond" w:hAnsi="Garamond"/>
                <w:b/>
                <w:sz w:val="22"/>
                <w:szCs w:val="22"/>
                <w:lang w:eastAsia="en-US"/>
              </w:rPr>
              <w:t>Приложение 5, п.</w:t>
            </w:r>
            <w:r w:rsidR="00647FA0" w:rsidRPr="00A5626D">
              <w:rPr>
                <w:rFonts w:ascii="Garamond" w:hAnsi="Garamond"/>
                <w:b/>
                <w:sz w:val="22"/>
                <w:szCs w:val="22"/>
                <w:lang w:eastAsia="en-US"/>
              </w:rPr>
              <w:t> </w:t>
            </w:r>
            <w:r w:rsidRPr="00A5626D">
              <w:rPr>
                <w:rFonts w:ascii="Garamond" w:hAnsi="Garamond"/>
                <w:b/>
                <w:sz w:val="22"/>
                <w:szCs w:val="22"/>
                <w:lang w:eastAsia="en-US"/>
              </w:rPr>
              <w:t>4.2.1.1</w:t>
            </w:r>
            <w:r w:rsidRPr="00A5626D">
              <w:rPr>
                <w:rFonts w:ascii="Garamond" w:hAnsi="Garamond"/>
                <w:b/>
                <w:sz w:val="22"/>
                <w:szCs w:val="22"/>
                <w:lang w:eastAsia="en-US"/>
              </w:rPr>
              <w:lastRenderedPageBreak/>
              <w:t>.1.6</w:t>
            </w:r>
            <w:r w:rsidR="009B5F03" w:rsidRPr="00A5626D">
              <w:rPr>
                <w:rFonts w:ascii="Garamond" w:hAnsi="Garamond" w:cstheme="minorHAnsi"/>
                <w:b/>
                <w:sz w:val="22"/>
                <w:szCs w:val="22"/>
              </w:rPr>
              <w:t xml:space="preserve"> </w:t>
            </w:r>
          </w:p>
        </w:tc>
        <w:tc>
          <w:tcPr>
            <w:tcW w:w="6662" w:type="dxa"/>
          </w:tcPr>
          <w:p w14:paraId="1F6781A2" w14:textId="77777777" w:rsidR="00295C6D" w:rsidRPr="00A5626D" w:rsidRDefault="00295C6D" w:rsidP="00E31AE6">
            <w:pPr>
              <w:tabs>
                <w:tab w:val="left" w:pos="1134"/>
                <w:tab w:val="left" w:pos="7938"/>
              </w:tabs>
              <w:spacing w:before="120" w:after="120"/>
              <w:ind w:firstLine="567"/>
              <w:jc w:val="both"/>
              <w:rPr>
                <w:rFonts w:ascii="Garamond" w:hAnsi="Garamond" w:cstheme="minorHAnsi"/>
                <w:sz w:val="22"/>
                <w:szCs w:val="22"/>
              </w:rPr>
            </w:pPr>
            <w:r w:rsidRPr="00A5626D">
              <w:rPr>
                <w:rFonts w:ascii="Garamond" w:hAnsi="Garamond" w:cstheme="minorHAnsi"/>
                <w:sz w:val="22"/>
                <w:szCs w:val="22"/>
              </w:rPr>
              <w:lastRenderedPageBreak/>
              <w:t>&lt;</w:t>
            </w:r>
            <w:r w:rsidRPr="00A5626D">
              <w:rPr>
                <w:rFonts w:ascii="Garamond" w:hAnsi="Garamond" w:cstheme="minorHAnsi"/>
                <w:sz w:val="22"/>
                <w:szCs w:val="22"/>
                <w:lang w:val="en-US"/>
              </w:rPr>
              <w:t>delivery</w:t>
            </w:r>
            <w:r w:rsidRPr="00A5626D">
              <w:rPr>
                <w:rFonts w:ascii="Garamond" w:hAnsi="Garamond" w:cstheme="minorHAnsi"/>
                <w:sz w:val="22"/>
                <w:szCs w:val="22"/>
              </w:rPr>
              <w:t>-</w:t>
            </w:r>
            <w:r w:rsidRPr="00A5626D">
              <w:rPr>
                <w:rFonts w:ascii="Garamond" w:hAnsi="Garamond" w:cstheme="minorHAnsi"/>
                <w:sz w:val="22"/>
                <w:szCs w:val="22"/>
                <w:lang w:val="en-US"/>
              </w:rPr>
              <w:t>points</w:t>
            </w:r>
            <w:r w:rsidRPr="00A5626D">
              <w:rPr>
                <w:rFonts w:ascii="Garamond" w:hAnsi="Garamond" w:cstheme="minorHAnsi"/>
                <w:sz w:val="22"/>
                <w:szCs w:val="22"/>
              </w:rPr>
              <w:t>&gt;</w:t>
            </w:r>
          </w:p>
          <w:p w14:paraId="60E4DE25" w14:textId="77777777" w:rsidR="00295C6D" w:rsidRPr="00A5626D" w:rsidRDefault="00295C6D" w:rsidP="00E31AE6">
            <w:pPr>
              <w:tabs>
                <w:tab w:val="left" w:pos="1134"/>
                <w:tab w:val="left" w:pos="7938"/>
              </w:tabs>
              <w:spacing w:before="120" w:after="120"/>
              <w:ind w:firstLine="567"/>
              <w:jc w:val="both"/>
              <w:rPr>
                <w:rFonts w:ascii="Garamond" w:hAnsi="Garamond" w:cstheme="minorHAnsi"/>
                <w:sz w:val="22"/>
                <w:szCs w:val="22"/>
              </w:rPr>
            </w:pPr>
            <w:r w:rsidRPr="00A5626D">
              <w:rPr>
                <w:rFonts w:ascii="Garamond" w:hAnsi="Garamond" w:cstheme="minorHAnsi"/>
                <w:sz w:val="22"/>
                <w:szCs w:val="22"/>
              </w:rPr>
              <w:lastRenderedPageBreak/>
              <w:t>Элемент &lt;</w:t>
            </w:r>
            <w:r w:rsidRPr="00A5626D">
              <w:rPr>
                <w:rFonts w:ascii="Garamond" w:hAnsi="Garamond" w:cstheme="minorHAnsi"/>
                <w:b/>
                <w:sz w:val="22"/>
                <w:szCs w:val="22"/>
                <w:lang w:val="en-US"/>
              </w:rPr>
              <w:t>delivery</w:t>
            </w:r>
            <w:r w:rsidRPr="00A5626D">
              <w:rPr>
                <w:rFonts w:ascii="Garamond" w:hAnsi="Garamond" w:cstheme="minorHAnsi"/>
                <w:b/>
                <w:sz w:val="22"/>
                <w:szCs w:val="22"/>
              </w:rPr>
              <w:t>-</w:t>
            </w:r>
            <w:r w:rsidRPr="00A5626D">
              <w:rPr>
                <w:rFonts w:ascii="Garamond" w:hAnsi="Garamond" w:cstheme="minorHAnsi"/>
                <w:b/>
                <w:sz w:val="22"/>
                <w:szCs w:val="22"/>
                <w:lang w:val="en-US"/>
              </w:rPr>
              <w:t>points</w:t>
            </w:r>
            <w:r w:rsidRPr="00A5626D">
              <w:rPr>
                <w:rFonts w:ascii="Garamond" w:hAnsi="Garamond" w:cstheme="minorHAnsi"/>
                <w:sz w:val="22"/>
                <w:szCs w:val="22"/>
              </w:rPr>
              <w:t xml:space="preserve">&gt; </w:t>
            </w:r>
            <w:r w:rsidRPr="00A5626D">
              <w:rPr>
                <w:rFonts w:ascii="Garamond" w:hAnsi="Garamond" w:cstheme="minorHAnsi"/>
                <w:sz w:val="22"/>
                <w:szCs w:val="22"/>
                <w:lang w:val="en-US"/>
              </w:rPr>
              <w:t>c</w:t>
            </w:r>
            <w:r w:rsidRPr="00A5626D">
              <w:rPr>
                <w:rFonts w:ascii="Garamond" w:hAnsi="Garamond" w:cstheme="minorHAnsi"/>
                <w:sz w:val="22"/>
                <w:szCs w:val="22"/>
              </w:rPr>
              <w:t xml:space="preserve">одержит справочник заявленных в сечении / ГТП генерации </w:t>
            </w:r>
            <w:r w:rsidRPr="00A5626D">
              <w:rPr>
                <w:rFonts w:ascii="Garamond" w:hAnsi="Garamond" w:cstheme="minorHAnsi"/>
                <w:sz w:val="22"/>
                <w:szCs w:val="22"/>
                <w:highlight w:val="yellow"/>
              </w:rPr>
              <w:t>точек поставки</w:t>
            </w:r>
            <w:r w:rsidRPr="00A5626D">
              <w:rPr>
                <w:rFonts w:ascii="Garamond" w:hAnsi="Garamond" w:cstheme="minorHAnsi"/>
                <w:sz w:val="22"/>
                <w:szCs w:val="22"/>
              </w:rPr>
              <w:t>.</w:t>
            </w:r>
          </w:p>
          <w:p w14:paraId="472B176B" w14:textId="77777777" w:rsidR="00295C6D" w:rsidRPr="00A5626D" w:rsidRDefault="00295C6D" w:rsidP="00E31AE6">
            <w:pPr>
              <w:widowControl w:val="0"/>
              <w:tabs>
                <w:tab w:val="left" w:pos="1134"/>
                <w:tab w:val="left" w:pos="7938"/>
              </w:tabs>
              <w:autoSpaceDE w:val="0"/>
              <w:autoSpaceDN w:val="0"/>
              <w:adjustRightInd w:val="0"/>
              <w:spacing w:before="60" w:after="60" w:line="276" w:lineRule="auto"/>
              <w:ind w:firstLine="567"/>
              <w:jc w:val="both"/>
              <w:rPr>
                <w:rFonts w:ascii="Garamond" w:hAnsi="Garamond" w:cstheme="minorHAnsi"/>
                <w:sz w:val="22"/>
                <w:szCs w:val="22"/>
              </w:rPr>
            </w:pPr>
            <w:r w:rsidRPr="00A5626D">
              <w:rPr>
                <w:rFonts w:ascii="Garamond" w:hAnsi="Garamond" w:cstheme="minorHAnsi"/>
                <w:bCs/>
                <w:sz w:val="22"/>
                <w:szCs w:val="22"/>
              </w:rPr>
              <w:t>Обязательный элемент</w:t>
            </w:r>
            <w:r w:rsidRPr="00A5626D">
              <w:rPr>
                <w:rFonts w:ascii="Garamond" w:hAnsi="Garamond" w:cstheme="minorHAnsi"/>
                <w:sz w:val="22"/>
                <w:szCs w:val="22"/>
              </w:rPr>
              <w:t>. Допускается наличие только одного элемента.</w:t>
            </w:r>
          </w:p>
          <w:p w14:paraId="5B2E45E0" w14:textId="77777777" w:rsidR="00295C6D" w:rsidRPr="00A5626D" w:rsidRDefault="00295C6D" w:rsidP="00E31AE6">
            <w:pPr>
              <w:tabs>
                <w:tab w:val="left" w:pos="1134"/>
                <w:tab w:val="left" w:pos="7938"/>
              </w:tabs>
              <w:spacing w:before="120" w:after="120"/>
              <w:ind w:firstLine="567"/>
              <w:jc w:val="both"/>
              <w:rPr>
                <w:rFonts w:ascii="Garamond" w:hAnsi="Garamond" w:cstheme="minorHAnsi"/>
                <w:b/>
                <w:sz w:val="22"/>
                <w:szCs w:val="22"/>
              </w:rPr>
            </w:pPr>
            <w:r w:rsidRPr="00A5626D">
              <w:rPr>
                <w:rFonts w:ascii="Garamond" w:hAnsi="Garamond" w:cstheme="minorHAnsi"/>
                <w:sz w:val="22"/>
                <w:szCs w:val="22"/>
              </w:rPr>
              <w:t xml:space="preserve">Дочерними элементами являются: </w:t>
            </w:r>
            <w:r w:rsidRPr="00A5626D">
              <w:rPr>
                <w:rFonts w:ascii="Garamond" w:hAnsi="Garamond" w:cstheme="minorHAnsi"/>
                <w:b/>
                <w:sz w:val="22"/>
                <w:szCs w:val="22"/>
              </w:rPr>
              <w:t>&lt;</w:t>
            </w:r>
            <w:r w:rsidRPr="00A5626D">
              <w:rPr>
                <w:rFonts w:ascii="Garamond" w:hAnsi="Garamond" w:cstheme="minorHAnsi"/>
                <w:b/>
                <w:sz w:val="22"/>
                <w:szCs w:val="22"/>
                <w:lang w:val="en-US"/>
              </w:rPr>
              <w:t>delivery</w:t>
            </w:r>
            <w:r w:rsidRPr="00A5626D">
              <w:rPr>
                <w:rFonts w:ascii="Garamond" w:hAnsi="Garamond" w:cstheme="minorHAnsi"/>
                <w:b/>
                <w:sz w:val="22"/>
                <w:szCs w:val="22"/>
              </w:rPr>
              <w:t>-</w:t>
            </w:r>
            <w:r w:rsidRPr="00A5626D">
              <w:rPr>
                <w:rFonts w:ascii="Garamond" w:hAnsi="Garamond" w:cstheme="minorHAnsi"/>
                <w:b/>
                <w:sz w:val="22"/>
                <w:szCs w:val="22"/>
                <w:lang w:val="en-US"/>
              </w:rPr>
              <w:t>point</w:t>
            </w:r>
            <w:r w:rsidRPr="00A5626D">
              <w:rPr>
                <w:rFonts w:ascii="Garamond" w:hAnsi="Garamond" w:cstheme="minorHAnsi"/>
                <w:b/>
                <w:sz w:val="22"/>
                <w:szCs w:val="22"/>
              </w:rPr>
              <w:t>&gt;.</w:t>
            </w:r>
          </w:p>
        </w:tc>
        <w:tc>
          <w:tcPr>
            <w:tcW w:w="7088" w:type="dxa"/>
          </w:tcPr>
          <w:p w14:paraId="193B92B2" w14:textId="77777777" w:rsidR="00295C6D" w:rsidRPr="00A5626D" w:rsidRDefault="00295C6D" w:rsidP="00E31AE6">
            <w:pPr>
              <w:tabs>
                <w:tab w:val="left" w:pos="1134"/>
                <w:tab w:val="left" w:pos="7938"/>
              </w:tabs>
              <w:spacing w:before="120" w:after="120"/>
              <w:ind w:firstLine="567"/>
              <w:jc w:val="both"/>
              <w:rPr>
                <w:rFonts w:ascii="Garamond" w:hAnsi="Garamond" w:cstheme="minorHAnsi"/>
                <w:sz w:val="22"/>
                <w:szCs w:val="22"/>
              </w:rPr>
            </w:pPr>
            <w:r w:rsidRPr="00A5626D">
              <w:rPr>
                <w:rFonts w:ascii="Garamond" w:hAnsi="Garamond" w:cstheme="minorHAnsi"/>
                <w:sz w:val="22"/>
                <w:szCs w:val="22"/>
              </w:rPr>
              <w:lastRenderedPageBreak/>
              <w:t>&lt;</w:t>
            </w:r>
            <w:r w:rsidRPr="00A5626D">
              <w:rPr>
                <w:rFonts w:ascii="Garamond" w:hAnsi="Garamond" w:cstheme="minorHAnsi"/>
                <w:sz w:val="22"/>
                <w:szCs w:val="22"/>
                <w:lang w:val="en-US"/>
              </w:rPr>
              <w:t>delivery</w:t>
            </w:r>
            <w:r w:rsidRPr="00A5626D">
              <w:rPr>
                <w:rFonts w:ascii="Garamond" w:hAnsi="Garamond" w:cstheme="minorHAnsi"/>
                <w:sz w:val="22"/>
                <w:szCs w:val="22"/>
              </w:rPr>
              <w:t>-</w:t>
            </w:r>
            <w:r w:rsidRPr="00A5626D">
              <w:rPr>
                <w:rFonts w:ascii="Garamond" w:hAnsi="Garamond" w:cstheme="minorHAnsi"/>
                <w:sz w:val="22"/>
                <w:szCs w:val="22"/>
                <w:lang w:val="en-US"/>
              </w:rPr>
              <w:t>points</w:t>
            </w:r>
            <w:r w:rsidRPr="00A5626D">
              <w:rPr>
                <w:rFonts w:ascii="Garamond" w:hAnsi="Garamond" w:cstheme="minorHAnsi"/>
                <w:sz w:val="22"/>
                <w:szCs w:val="22"/>
              </w:rPr>
              <w:t>&gt;</w:t>
            </w:r>
          </w:p>
          <w:p w14:paraId="1D7774DB" w14:textId="77777777" w:rsidR="00295C6D" w:rsidRPr="00A5626D" w:rsidRDefault="00295C6D" w:rsidP="00E31AE6">
            <w:pPr>
              <w:tabs>
                <w:tab w:val="left" w:pos="1134"/>
                <w:tab w:val="left" w:pos="7938"/>
              </w:tabs>
              <w:spacing w:before="120" w:after="120"/>
              <w:ind w:firstLine="567"/>
              <w:jc w:val="both"/>
              <w:rPr>
                <w:rFonts w:ascii="Garamond" w:hAnsi="Garamond" w:cstheme="minorHAnsi"/>
                <w:sz w:val="22"/>
                <w:szCs w:val="22"/>
              </w:rPr>
            </w:pPr>
            <w:r w:rsidRPr="00A5626D">
              <w:rPr>
                <w:rFonts w:ascii="Garamond" w:hAnsi="Garamond" w:cstheme="minorHAnsi"/>
                <w:sz w:val="22"/>
                <w:szCs w:val="22"/>
              </w:rPr>
              <w:lastRenderedPageBreak/>
              <w:t>Элемент &lt;</w:t>
            </w:r>
            <w:r w:rsidRPr="00A5626D">
              <w:rPr>
                <w:rFonts w:ascii="Garamond" w:hAnsi="Garamond" w:cstheme="minorHAnsi"/>
                <w:b/>
                <w:sz w:val="22"/>
                <w:szCs w:val="22"/>
                <w:lang w:val="en-US"/>
              </w:rPr>
              <w:t>delivery</w:t>
            </w:r>
            <w:r w:rsidRPr="00A5626D">
              <w:rPr>
                <w:rFonts w:ascii="Garamond" w:hAnsi="Garamond" w:cstheme="minorHAnsi"/>
                <w:b/>
                <w:sz w:val="22"/>
                <w:szCs w:val="22"/>
              </w:rPr>
              <w:t>-</w:t>
            </w:r>
            <w:r w:rsidRPr="00A5626D">
              <w:rPr>
                <w:rFonts w:ascii="Garamond" w:hAnsi="Garamond" w:cstheme="minorHAnsi"/>
                <w:b/>
                <w:sz w:val="22"/>
                <w:szCs w:val="22"/>
                <w:lang w:val="en-US"/>
              </w:rPr>
              <w:t>points</w:t>
            </w:r>
            <w:r w:rsidRPr="00A5626D">
              <w:rPr>
                <w:rFonts w:ascii="Garamond" w:hAnsi="Garamond" w:cstheme="minorHAnsi"/>
                <w:sz w:val="22"/>
                <w:szCs w:val="22"/>
              </w:rPr>
              <w:t xml:space="preserve">&gt; </w:t>
            </w:r>
            <w:r w:rsidRPr="00A5626D">
              <w:rPr>
                <w:rFonts w:ascii="Garamond" w:hAnsi="Garamond" w:cstheme="minorHAnsi"/>
                <w:sz w:val="22"/>
                <w:szCs w:val="22"/>
                <w:lang w:val="en-US"/>
              </w:rPr>
              <w:t>c</w:t>
            </w:r>
            <w:r w:rsidRPr="00A5626D">
              <w:rPr>
                <w:rFonts w:ascii="Garamond" w:hAnsi="Garamond" w:cstheme="minorHAnsi"/>
                <w:sz w:val="22"/>
                <w:szCs w:val="22"/>
              </w:rPr>
              <w:t xml:space="preserve">одержит справочник заявленных </w:t>
            </w:r>
            <w:r w:rsidRPr="00A5626D">
              <w:rPr>
                <w:rFonts w:ascii="Garamond" w:hAnsi="Garamond" w:cstheme="minorHAnsi"/>
                <w:sz w:val="22"/>
                <w:szCs w:val="22"/>
                <w:highlight w:val="yellow"/>
              </w:rPr>
              <w:t>точек поставки</w:t>
            </w:r>
            <w:r w:rsidRPr="00A5626D">
              <w:rPr>
                <w:rFonts w:ascii="Garamond" w:hAnsi="Garamond" w:cstheme="minorHAnsi"/>
                <w:sz w:val="22"/>
                <w:szCs w:val="22"/>
              </w:rPr>
              <w:t xml:space="preserve"> </w:t>
            </w:r>
            <w:r w:rsidRPr="00A5626D">
              <w:rPr>
                <w:rFonts w:ascii="Garamond" w:hAnsi="Garamond" w:cstheme="minorHAnsi"/>
                <w:sz w:val="22"/>
                <w:szCs w:val="22"/>
                <w:highlight w:val="yellow"/>
              </w:rPr>
              <w:t>(точек присоединения)</w:t>
            </w:r>
            <w:r w:rsidRPr="00A5626D">
              <w:rPr>
                <w:rFonts w:ascii="Garamond" w:hAnsi="Garamond" w:cstheme="minorHAnsi"/>
                <w:sz w:val="22"/>
                <w:szCs w:val="22"/>
              </w:rPr>
              <w:t xml:space="preserve"> в сечении </w:t>
            </w:r>
            <w:r w:rsidRPr="00A5626D">
              <w:rPr>
                <w:rFonts w:ascii="Garamond" w:hAnsi="Garamond" w:cstheme="minorHAnsi"/>
                <w:sz w:val="22"/>
                <w:szCs w:val="22"/>
                <w:highlight w:val="yellow"/>
              </w:rPr>
              <w:t>КУ</w:t>
            </w:r>
            <w:r w:rsidRPr="00A5626D">
              <w:rPr>
                <w:rFonts w:ascii="Garamond" w:hAnsi="Garamond" w:cstheme="minorHAnsi"/>
                <w:sz w:val="22"/>
                <w:szCs w:val="22"/>
              </w:rPr>
              <w:t xml:space="preserve"> / ГТП генерации </w:t>
            </w:r>
            <w:r w:rsidRPr="00A5626D">
              <w:rPr>
                <w:rFonts w:ascii="Garamond" w:hAnsi="Garamond" w:cstheme="minorHAnsi"/>
                <w:sz w:val="22"/>
                <w:szCs w:val="22"/>
                <w:highlight w:val="yellow"/>
              </w:rPr>
              <w:t>/ ОР.</w:t>
            </w:r>
          </w:p>
          <w:p w14:paraId="0ACAC643" w14:textId="77777777" w:rsidR="00295C6D" w:rsidRPr="00A5626D" w:rsidRDefault="00295C6D" w:rsidP="00E31AE6">
            <w:pPr>
              <w:widowControl w:val="0"/>
              <w:tabs>
                <w:tab w:val="left" w:pos="1134"/>
                <w:tab w:val="left" w:pos="7938"/>
              </w:tabs>
              <w:autoSpaceDE w:val="0"/>
              <w:autoSpaceDN w:val="0"/>
              <w:adjustRightInd w:val="0"/>
              <w:spacing w:before="60" w:after="60" w:line="276" w:lineRule="auto"/>
              <w:ind w:firstLine="567"/>
              <w:jc w:val="both"/>
              <w:rPr>
                <w:rFonts w:ascii="Garamond" w:hAnsi="Garamond" w:cstheme="minorHAnsi"/>
                <w:sz w:val="22"/>
                <w:szCs w:val="22"/>
              </w:rPr>
            </w:pPr>
            <w:r w:rsidRPr="00A5626D">
              <w:rPr>
                <w:rFonts w:ascii="Garamond" w:hAnsi="Garamond" w:cstheme="minorHAnsi"/>
                <w:bCs/>
                <w:sz w:val="22"/>
                <w:szCs w:val="22"/>
              </w:rPr>
              <w:t>Обязательный элемент</w:t>
            </w:r>
            <w:r w:rsidRPr="00A5626D">
              <w:rPr>
                <w:rFonts w:ascii="Garamond" w:hAnsi="Garamond" w:cstheme="minorHAnsi"/>
                <w:sz w:val="22"/>
                <w:szCs w:val="22"/>
              </w:rPr>
              <w:t>. Допускается наличие только одного элемента.</w:t>
            </w:r>
          </w:p>
          <w:p w14:paraId="20249D82" w14:textId="77777777" w:rsidR="00295C6D" w:rsidRPr="00A5626D" w:rsidRDefault="00295C6D" w:rsidP="00E31AE6">
            <w:pPr>
              <w:pStyle w:val="2"/>
              <w:numPr>
                <w:ilvl w:val="0"/>
                <w:numId w:val="0"/>
              </w:numPr>
              <w:tabs>
                <w:tab w:val="left" w:pos="1134"/>
                <w:tab w:val="left" w:pos="7938"/>
              </w:tabs>
              <w:suppressAutoHyphens w:val="0"/>
              <w:spacing w:line="22" w:lineRule="atLeast"/>
              <w:ind w:firstLine="629"/>
              <w:jc w:val="both"/>
              <w:rPr>
                <w:rFonts w:ascii="Garamond" w:hAnsi="Garamond" w:cstheme="minorHAnsi"/>
                <w:b w:val="0"/>
              </w:rPr>
            </w:pPr>
            <w:r w:rsidRPr="00A5626D">
              <w:rPr>
                <w:rFonts w:ascii="Garamond" w:hAnsi="Garamond" w:cstheme="minorHAnsi"/>
                <w:b w:val="0"/>
              </w:rPr>
              <w:t>Дочерними элементами являются:</w:t>
            </w:r>
            <w:r w:rsidRPr="00A5626D">
              <w:rPr>
                <w:rFonts w:ascii="Garamond" w:hAnsi="Garamond" w:cstheme="minorHAnsi"/>
              </w:rPr>
              <w:t xml:space="preserve"> &lt;</w:t>
            </w:r>
            <w:r w:rsidRPr="00A5626D">
              <w:rPr>
                <w:rFonts w:ascii="Garamond" w:hAnsi="Garamond" w:cstheme="minorHAnsi"/>
                <w:lang w:val="en-US"/>
              </w:rPr>
              <w:t>delivery</w:t>
            </w:r>
            <w:r w:rsidRPr="00A5626D">
              <w:rPr>
                <w:rFonts w:ascii="Garamond" w:hAnsi="Garamond" w:cstheme="minorHAnsi"/>
              </w:rPr>
              <w:t>-</w:t>
            </w:r>
            <w:r w:rsidRPr="00A5626D">
              <w:rPr>
                <w:rFonts w:ascii="Garamond" w:hAnsi="Garamond" w:cstheme="minorHAnsi"/>
                <w:lang w:val="en-US"/>
              </w:rPr>
              <w:t>point</w:t>
            </w:r>
            <w:r w:rsidRPr="00A5626D">
              <w:rPr>
                <w:rFonts w:ascii="Garamond" w:hAnsi="Garamond" w:cstheme="minorHAnsi"/>
              </w:rPr>
              <w:t>&gt;.</w:t>
            </w:r>
          </w:p>
        </w:tc>
      </w:tr>
      <w:tr w:rsidR="00295C6D" w:rsidRPr="00A5626D" w14:paraId="6D67B00C" w14:textId="77777777" w:rsidTr="00647FA0">
        <w:tc>
          <w:tcPr>
            <w:tcW w:w="1060" w:type="dxa"/>
            <w:vAlign w:val="center"/>
          </w:tcPr>
          <w:p w14:paraId="24DEBFDB" w14:textId="27134C36" w:rsidR="00295C6D" w:rsidRPr="00A5626D" w:rsidRDefault="00295C6D" w:rsidP="00E31AE6">
            <w:pPr>
              <w:widowControl w:val="0"/>
              <w:tabs>
                <w:tab w:val="left" w:pos="1134"/>
                <w:tab w:val="left" w:pos="7938"/>
              </w:tabs>
              <w:spacing w:line="22" w:lineRule="atLeast"/>
              <w:jc w:val="both"/>
              <w:rPr>
                <w:rFonts w:ascii="Garamond" w:hAnsi="Garamond"/>
                <w:b/>
                <w:sz w:val="22"/>
                <w:szCs w:val="22"/>
                <w:lang w:eastAsia="en-US"/>
              </w:rPr>
            </w:pPr>
            <w:r w:rsidRPr="00A5626D">
              <w:rPr>
                <w:rFonts w:ascii="Garamond" w:hAnsi="Garamond"/>
                <w:b/>
                <w:sz w:val="22"/>
                <w:szCs w:val="22"/>
                <w:lang w:eastAsia="en-US"/>
              </w:rPr>
              <w:lastRenderedPageBreak/>
              <w:t>Приложение 5, п.</w:t>
            </w:r>
            <w:r w:rsidR="00647FA0" w:rsidRPr="00A5626D">
              <w:rPr>
                <w:rFonts w:ascii="Garamond" w:hAnsi="Garamond"/>
                <w:b/>
                <w:sz w:val="22"/>
                <w:szCs w:val="22"/>
                <w:lang w:eastAsia="en-US"/>
              </w:rPr>
              <w:t> </w:t>
            </w:r>
            <w:r w:rsidRPr="00A5626D">
              <w:rPr>
                <w:rFonts w:ascii="Garamond" w:hAnsi="Garamond"/>
                <w:b/>
                <w:sz w:val="22"/>
                <w:szCs w:val="22"/>
                <w:lang w:eastAsia="en-US"/>
              </w:rPr>
              <w:t>4.2.1.1.1.6.1</w:t>
            </w:r>
          </w:p>
        </w:tc>
        <w:tc>
          <w:tcPr>
            <w:tcW w:w="6662" w:type="dxa"/>
          </w:tcPr>
          <w:p w14:paraId="107307F5" w14:textId="77777777" w:rsidR="00295C6D" w:rsidRPr="00A5626D" w:rsidRDefault="00295C6D" w:rsidP="00E31AE6">
            <w:pPr>
              <w:tabs>
                <w:tab w:val="left" w:pos="1134"/>
                <w:tab w:val="left" w:pos="7938"/>
              </w:tabs>
              <w:spacing w:before="120" w:after="120"/>
              <w:ind w:firstLine="567"/>
              <w:jc w:val="both"/>
              <w:rPr>
                <w:rFonts w:ascii="Garamond" w:hAnsi="Garamond" w:cstheme="minorHAnsi"/>
                <w:sz w:val="22"/>
                <w:szCs w:val="22"/>
              </w:rPr>
            </w:pPr>
            <w:r w:rsidRPr="00A5626D">
              <w:rPr>
                <w:rFonts w:ascii="Garamond" w:hAnsi="Garamond" w:cstheme="minorHAnsi"/>
                <w:sz w:val="22"/>
                <w:szCs w:val="22"/>
              </w:rPr>
              <w:t>&lt;</w:t>
            </w:r>
            <w:r w:rsidRPr="00A5626D">
              <w:rPr>
                <w:rFonts w:ascii="Garamond" w:hAnsi="Garamond" w:cstheme="minorHAnsi"/>
                <w:sz w:val="22"/>
                <w:szCs w:val="22"/>
                <w:lang w:val="en-US"/>
              </w:rPr>
              <w:t>delivery</w:t>
            </w:r>
            <w:r w:rsidRPr="00A5626D">
              <w:rPr>
                <w:rFonts w:ascii="Garamond" w:hAnsi="Garamond" w:cstheme="minorHAnsi"/>
                <w:sz w:val="22"/>
                <w:szCs w:val="22"/>
              </w:rPr>
              <w:t>-</w:t>
            </w:r>
            <w:r w:rsidRPr="00A5626D">
              <w:rPr>
                <w:rFonts w:ascii="Garamond" w:hAnsi="Garamond" w:cstheme="minorHAnsi"/>
                <w:sz w:val="22"/>
                <w:szCs w:val="22"/>
                <w:lang w:val="en-US"/>
              </w:rPr>
              <w:t>point</w:t>
            </w:r>
            <w:r w:rsidRPr="00A5626D">
              <w:rPr>
                <w:rFonts w:ascii="Garamond" w:hAnsi="Garamond" w:cstheme="minorHAnsi"/>
                <w:sz w:val="22"/>
                <w:szCs w:val="22"/>
              </w:rPr>
              <w:t>&gt;</w:t>
            </w:r>
          </w:p>
          <w:p w14:paraId="2804FBDA" w14:textId="77777777" w:rsidR="00295C6D" w:rsidRPr="00A5626D" w:rsidRDefault="00295C6D" w:rsidP="00E31AE6">
            <w:pPr>
              <w:tabs>
                <w:tab w:val="left" w:pos="1134"/>
                <w:tab w:val="left" w:pos="7938"/>
              </w:tabs>
              <w:spacing w:before="120" w:after="120"/>
              <w:ind w:firstLine="567"/>
              <w:jc w:val="both"/>
              <w:rPr>
                <w:rFonts w:ascii="Garamond" w:hAnsi="Garamond" w:cstheme="minorHAnsi"/>
                <w:sz w:val="22"/>
                <w:szCs w:val="22"/>
              </w:rPr>
            </w:pPr>
            <w:r w:rsidRPr="00A5626D">
              <w:rPr>
                <w:rFonts w:ascii="Garamond" w:hAnsi="Garamond" w:cstheme="minorHAnsi"/>
                <w:sz w:val="22"/>
                <w:szCs w:val="22"/>
              </w:rPr>
              <w:t>Элемент &lt;</w:t>
            </w:r>
            <w:r w:rsidRPr="00A5626D">
              <w:rPr>
                <w:rFonts w:ascii="Garamond" w:hAnsi="Garamond" w:cstheme="minorHAnsi"/>
                <w:b/>
                <w:sz w:val="22"/>
                <w:szCs w:val="22"/>
                <w:lang w:val="en-US"/>
              </w:rPr>
              <w:t>delivery</w:t>
            </w:r>
            <w:r w:rsidRPr="00A5626D">
              <w:rPr>
                <w:rFonts w:ascii="Garamond" w:hAnsi="Garamond" w:cstheme="minorHAnsi"/>
                <w:b/>
                <w:sz w:val="22"/>
                <w:szCs w:val="22"/>
              </w:rPr>
              <w:t>-</w:t>
            </w:r>
            <w:r w:rsidRPr="00A5626D">
              <w:rPr>
                <w:rFonts w:ascii="Garamond" w:hAnsi="Garamond" w:cstheme="minorHAnsi"/>
                <w:b/>
                <w:sz w:val="22"/>
                <w:szCs w:val="22"/>
                <w:lang w:val="en-US"/>
              </w:rPr>
              <w:t>point</w:t>
            </w:r>
            <w:r w:rsidRPr="00A5626D">
              <w:rPr>
                <w:rFonts w:ascii="Garamond" w:hAnsi="Garamond" w:cstheme="minorHAnsi"/>
                <w:sz w:val="22"/>
                <w:szCs w:val="22"/>
              </w:rPr>
              <w:t xml:space="preserve">&gt; </w:t>
            </w:r>
            <w:r w:rsidRPr="00A5626D">
              <w:rPr>
                <w:rFonts w:ascii="Garamond" w:hAnsi="Garamond" w:cstheme="minorHAnsi"/>
                <w:sz w:val="22"/>
                <w:szCs w:val="22"/>
                <w:lang w:val="en-US"/>
              </w:rPr>
              <w:t>c</w:t>
            </w:r>
            <w:r w:rsidRPr="00A5626D">
              <w:rPr>
                <w:rFonts w:ascii="Garamond" w:hAnsi="Garamond" w:cstheme="minorHAnsi"/>
                <w:sz w:val="22"/>
                <w:szCs w:val="22"/>
              </w:rPr>
              <w:t>одержит информацию по точке поставки.</w:t>
            </w:r>
          </w:p>
          <w:p w14:paraId="623E965C" w14:textId="77777777" w:rsidR="00295C6D" w:rsidRPr="00A5626D" w:rsidRDefault="00295C6D" w:rsidP="00E31AE6">
            <w:pPr>
              <w:widowControl w:val="0"/>
              <w:tabs>
                <w:tab w:val="left" w:pos="1134"/>
                <w:tab w:val="left" w:pos="7938"/>
              </w:tabs>
              <w:autoSpaceDE w:val="0"/>
              <w:autoSpaceDN w:val="0"/>
              <w:adjustRightInd w:val="0"/>
              <w:spacing w:before="60" w:after="60" w:line="276" w:lineRule="auto"/>
              <w:ind w:firstLine="567"/>
              <w:jc w:val="both"/>
              <w:rPr>
                <w:rFonts w:ascii="Garamond" w:hAnsi="Garamond" w:cstheme="minorHAnsi"/>
                <w:sz w:val="22"/>
                <w:szCs w:val="22"/>
              </w:rPr>
            </w:pPr>
            <w:r w:rsidRPr="00A5626D">
              <w:rPr>
                <w:rFonts w:ascii="Garamond" w:hAnsi="Garamond" w:cstheme="minorHAnsi"/>
                <w:bCs/>
                <w:sz w:val="22"/>
                <w:szCs w:val="22"/>
              </w:rPr>
              <w:t>Обязательный элемент</w:t>
            </w:r>
            <w:r w:rsidRPr="00A5626D">
              <w:rPr>
                <w:rFonts w:ascii="Garamond" w:hAnsi="Garamond" w:cstheme="minorHAnsi"/>
                <w:sz w:val="22"/>
                <w:szCs w:val="22"/>
              </w:rPr>
              <w:t>. Количество элементов &lt;</w:t>
            </w:r>
            <w:r w:rsidRPr="00A5626D">
              <w:rPr>
                <w:rFonts w:ascii="Garamond" w:hAnsi="Garamond" w:cstheme="minorHAnsi"/>
                <w:sz w:val="22"/>
                <w:szCs w:val="22"/>
                <w:lang w:val="en-US"/>
              </w:rPr>
              <w:t>delivery</w:t>
            </w:r>
            <w:r w:rsidRPr="00A5626D">
              <w:rPr>
                <w:rFonts w:ascii="Garamond" w:hAnsi="Garamond" w:cstheme="minorHAnsi"/>
                <w:sz w:val="22"/>
                <w:szCs w:val="22"/>
              </w:rPr>
              <w:t>-</w:t>
            </w:r>
            <w:r w:rsidRPr="00A5626D">
              <w:rPr>
                <w:rFonts w:ascii="Garamond" w:hAnsi="Garamond" w:cstheme="minorHAnsi"/>
                <w:sz w:val="22"/>
                <w:szCs w:val="22"/>
                <w:lang w:val="en-US"/>
              </w:rPr>
              <w:t>point</w:t>
            </w:r>
            <w:r w:rsidRPr="00A5626D">
              <w:rPr>
                <w:rFonts w:ascii="Garamond" w:hAnsi="Garamond" w:cstheme="minorHAnsi"/>
                <w:sz w:val="22"/>
                <w:szCs w:val="22"/>
              </w:rPr>
              <w:t>&gt; должно соответствовать суммарному количеству точек поставки и</w:t>
            </w:r>
            <w:r w:rsidRPr="00A5626D">
              <w:rPr>
                <w:rFonts w:ascii="Garamond" w:hAnsi="Garamond" w:cstheme="minorHAnsi"/>
                <w:bCs/>
                <w:sz w:val="22"/>
                <w:szCs w:val="22"/>
              </w:rPr>
              <w:t xml:space="preserve"> групповых точек</w:t>
            </w:r>
            <w:r w:rsidRPr="00A5626D">
              <w:rPr>
                <w:rFonts w:ascii="Garamond" w:hAnsi="Garamond" w:cstheme="minorHAnsi"/>
                <w:sz w:val="22"/>
                <w:szCs w:val="22"/>
              </w:rPr>
              <w:t xml:space="preserve"> поставки</w:t>
            </w:r>
            <w:r w:rsidRPr="00A5626D">
              <w:rPr>
                <w:rFonts w:ascii="Garamond" w:hAnsi="Garamond" w:cstheme="minorHAnsi"/>
                <w:bCs/>
                <w:sz w:val="22"/>
                <w:szCs w:val="22"/>
              </w:rPr>
              <w:t>, представленных в сечении или ГТП генерации</w:t>
            </w:r>
            <w:r w:rsidRPr="00A5626D">
              <w:rPr>
                <w:rFonts w:ascii="Garamond" w:hAnsi="Garamond" w:cstheme="minorHAnsi"/>
                <w:sz w:val="22"/>
                <w:szCs w:val="22"/>
              </w:rPr>
              <w:t>.</w:t>
            </w:r>
          </w:p>
          <w:p w14:paraId="161B4228" w14:textId="77777777" w:rsidR="00295C6D" w:rsidRPr="00A5626D" w:rsidRDefault="00295C6D" w:rsidP="00E31AE6">
            <w:pPr>
              <w:tabs>
                <w:tab w:val="left" w:pos="1134"/>
                <w:tab w:val="left" w:pos="7938"/>
              </w:tabs>
              <w:spacing w:before="120" w:after="120"/>
              <w:ind w:firstLine="567"/>
              <w:jc w:val="both"/>
              <w:rPr>
                <w:rFonts w:ascii="Garamond" w:hAnsi="Garamond" w:cstheme="minorHAnsi"/>
                <w:sz w:val="22"/>
                <w:szCs w:val="22"/>
              </w:rPr>
            </w:pPr>
            <w:r w:rsidRPr="00A5626D">
              <w:rPr>
                <w:rFonts w:ascii="Garamond" w:hAnsi="Garamond" w:cstheme="minorHAnsi"/>
                <w:sz w:val="22"/>
                <w:szCs w:val="22"/>
              </w:rPr>
              <w:t>Атрибутами элемента &lt;</w:t>
            </w:r>
            <w:r w:rsidRPr="00A5626D">
              <w:rPr>
                <w:rFonts w:ascii="Garamond" w:hAnsi="Garamond" w:cstheme="minorHAnsi"/>
                <w:sz w:val="22"/>
                <w:szCs w:val="22"/>
                <w:lang w:val="en-US"/>
              </w:rPr>
              <w:t>delivery</w:t>
            </w:r>
            <w:r w:rsidRPr="00A5626D">
              <w:rPr>
                <w:rFonts w:ascii="Garamond" w:hAnsi="Garamond" w:cstheme="minorHAnsi"/>
                <w:sz w:val="22"/>
                <w:szCs w:val="22"/>
              </w:rPr>
              <w:t>-</w:t>
            </w:r>
            <w:r w:rsidRPr="00A5626D">
              <w:rPr>
                <w:rFonts w:ascii="Garamond" w:hAnsi="Garamond" w:cstheme="minorHAnsi"/>
                <w:sz w:val="22"/>
                <w:szCs w:val="22"/>
                <w:lang w:val="en-US"/>
              </w:rPr>
              <w:t>point</w:t>
            </w:r>
            <w:r w:rsidRPr="00A5626D">
              <w:rPr>
                <w:rFonts w:ascii="Garamond" w:hAnsi="Garamond" w:cstheme="minorHAnsi"/>
                <w:sz w:val="22"/>
                <w:szCs w:val="22"/>
              </w:rPr>
              <w:t>&gt; являются:</w:t>
            </w:r>
          </w:p>
          <w:p w14:paraId="2EC5C03D" w14:textId="77777777" w:rsidR="00295C6D" w:rsidRPr="00A5626D" w:rsidRDefault="00295C6D" w:rsidP="00295C6D">
            <w:pPr>
              <w:pStyle w:val="ac"/>
              <w:numPr>
                <w:ilvl w:val="0"/>
                <w:numId w:val="272"/>
              </w:numPr>
              <w:tabs>
                <w:tab w:val="left" w:pos="1134"/>
                <w:tab w:val="left" w:pos="7938"/>
              </w:tabs>
              <w:spacing w:before="120" w:after="120" w:line="259" w:lineRule="auto"/>
              <w:ind w:left="0" w:firstLine="567"/>
              <w:contextualSpacing/>
              <w:jc w:val="both"/>
              <w:rPr>
                <w:rFonts w:ascii="Garamond" w:hAnsi="Garamond" w:cstheme="minorHAnsi"/>
                <w:sz w:val="22"/>
                <w:szCs w:val="22"/>
                <w:lang w:val="en-US"/>
              </w:rPr>
            </w:pPr>
            <w:r w:rsidRPr="00A5626D">
              <w:rPr>
                <w:rFonts w:ascii="Garamond" w:hAnsi="Garamond" w:cstheme="minorHAnsi"/>
                <w:sz w:val="22"/>
                <w:szCs w:val="22"/>
                <w:lang w:val="en-US"/>
              </w:rPr>
              <w:t>id</w:t>
            </w:r>
            <w:r w:rsidRPr="00A5626D">
              <w:rPr>
                <w:rFonts w:ascii="Garamond" w:hAnsi="Garamond" w:cstheme="minorHAnsi"/>
                <w:sz w:val="22"/>
                <w:szCs w:val="22"/>
              </w:rPr>
              <w:t>-</w:t>
            </w:r>
            <w:r w:rsidRPr="00A5626D">
              <w:rPr>
                <w:rFonts w:ascii="Garamond" w:hAnsi="Garamond" w:cstheme="minorHAnsi"/>
                <w:sz w:val="22"/>
                <w:szCs w:val="22"/>
                <w:lang w:val="en-US"/>
              </w:rPr>
              <w:t>delivery</w:t>
            </w:r>
            <w:r w:rsidRPr="00A5626D">
              <w:rPr>
                <w:rFonts w:ascii="Garamond" w:hAnsi="Garamond" w:cstheme="minorHAnsi"/>
                <w:sz w:val="22"/>
                <w:szCs w:val="22"/>
              </w:rPr>
              <w:t>-</w:t>
            </w:r>
            <w:r w:rsidRPr="00A5626D">
              <w:rPr>
                <w:rFonts w:ascii="Garamond" w:hAnsi="Garamond" w:cstheme="minorHAnsi"/>
                <w:sz w:val="22"/>
                <w:szCs w:val="22"/>
                <w:lang w:val="en-US"/>
              </w:rPr>
              <w:t>point</w:t>
            </w:r>
            <w:r w:rsidRPr="00A5626D">
              <w:rPr>
                <w:rFonts w:ascii="Garamond" w:hAnsi="Garamond" w:cstheme="minorHAnsi"/>
                <w:sz w:val="22"/>
                <w:szCs w:val="22"/>
              </w:rPr>
              <w:t xml:space="preserve"> – внутренний идентификатор точки поставки. Число до 4 знаков (1, 01, 001 и 0001 считаются одинаковыми идентификаторами). </w:t>
            </w:r>
            <w:r w:rsidRPr="00A5626D">
              <w:rPr>
                <w:rFonts w:ascii="Garamond" w:hAnsi="Garamond" w:cstheme="minorHAnsi"/>
                <w:sz w:val="22"/>
                <w:szCs w:val="22"/>
                <w:lang w:val="en-US"/>
              </w:rPr>
              <w:t>Является обязательным атрибутом;</w:t>
            </w:r>
          </w:p>
          <w:p w14:paraId="736CB77A" w14:textId="77777777" w:rsidR="00295C6D" w:rsidRPr="00A5626D" w:rsidRDefault="00295C6D" w:rsidP="00295C6D">
            <w:pPr>
              <w:pStyle w:val="ac"/>
              <w:numPr>
                <w:ilvl w:val="0"/>
                <w:numId w:val="272"/>
              </w:numPr>
              <w:tabs>
                <w:tab w:val="left" w:pos="1134"/>
                <w:tab w:val="left" w:pos="7938"/>
              </w:tabs>
              <w:spacing w:before="120" w:after="120" w:line="259" w:lineRule="auto"/>
              <w:ind w:left="0" w:firstLine="567"/>
              <w:contextualSpacing/>
              <w:jc w:val="both"/>
              <w:rPr>
                <w:rFonts w:ascii="Garamond" w:hAnsi="Garamond" w:cstheme="minorHAnsi"/>
                <w:sz w:val="22"/>
                <w:szCs w:val="22"/>
                <w:lang w:val="en-US"/>
              </w:rPr>
            </w:pPr>
            <w:r w:rsidRPr="00A5626D">
              <w:rPr>
                <w:rFonts w:ascii="Garamond" w:hAnsi="Garamond" w:cstheme="minorHAnsi"/>
                <w:sz w:val="22"/>
                <w:szCs w:val="22"/>
                <w:lang w:val="en-US"/>
              </w:rPr>
              <w:t>guid</w:t>
            </w:r>
            <w:r w:rsidRPr="00A5626D">
              <w:rPr>
                <w:rFonts w:ascii="Garamond" w:hAnsi="Garamond" w:cstheme="minorHAnsi"/>
                <w:sz w:val="22"/>
                <w:szCs w:val="22"/>
              </w:rPr>
              <w:t xml:space="preserve"> – уникальный идентификатор ТП, присваиваемый системой, формирующей файл. </w:t>
            </w:r>
            <w:r w:rsidRPr="00A5626D">
              <w:rPr>
                <w:rFonts w:ascii="Garamond" w:hAnsi="Garamond" w:cstheme="minorHAnsi"/>
                <w:sz w:val="22"/>
                <w:szCs w:val="22"/>
                <w:lang w:val="en-US"/>
              </w:rPr>
              <w:t>Текстовое поле с 36 символами. Является обязательным атрибутом;</w:t>
            </w:r>
          </w:p>
          <w:p w14:paraId="2CC7C2ED" w14:textId="77777777" w:rsidR="00295C6D" w:rsidRPr="00A5626D" w:rsidRDefault="00295C6D" w:rsidP="00295C6D">
            <w:pPr>
              <w:pStyle w:val="ac"/>
              <w:numPr>
                <w:ilvl w:val="0"/>
                <w:numId w:val="272"/>
              </w:numPr>
              <w:tabs>
                <w:tab w:val="left" w:pos="1134"/>
                <w:tab w:val="left" w:pos="7938"/>
              </w:tabs>
              <w:spacing w:before="120" w:after="120" w:line="259" w:lineRule="auto"/>
              <w:ind w:left="0" w:firstLine="567"/>
              <w:contextualSpacing/>
              <w:jc w:val="both"/>
              <w:rPr>
                <w:rFonts w:ascii="Garamond" w:hAnsi="Garamond" w:cstheme="minorHAnsi"/>
                <w:sz w:val="22"/>
                <w:szCs w:val="22"/>
                <w:lang w:val="en-US"/>
              </w:rPr>
            </w:pPr>
            <w:r w:rsidRPr="00A5626D">
              <w:rPr>
                <w:rFonts w:ascii="Garamond" w:hAnsi="Garamond" w:cstheme="minorHAnsi"/>
                <w:sz w:val="22"/>
                <w:szCs w:val="22"/>
                <w:lang w:val="en-US"/>
              </w:rPr>
              <w:t>is</w:t>
            </w:r>
            <w:r w:rsidRPr="00A5626D">
              <w:rPr>
                <w:rFonts w:ascii="Garamond" w:hAnsi="Garamond" w:cstheme="minorHAnsi"/>
                <w:sz w:val="22"/>
                <w:szCs w:val="22"/>
              </w:rPr>
              <w:t>-</w:t>
            </w:r>
            <w:r w:rsidRPr="00A5626D">
              <w:rPr>
                <w:rFonts w:ascii="Garamond" w:hAnsi="Garamond" w:cstheme="minorHAnsi"/>
                <w:sz w:val="22"/>
                <w:szCs w:val="22"/>
                <w:lang w:val="en-US"/>
              </w:rPr>
              <w:t>group</w:t>
            </w:r>
            <w:r w:rsidRPr="00A5626D">
              <w:rPr>
                <w:rFonts w:ascii="Garamond" w:hAnsi="Garamond" w:cstheme="minorHAnsi"/>
                <w:sz w:val="22"/>
                <w:szCs w:val="22"/>
              </w:rPr>
              <w:t>-</w:t>
            </w:r>
            <w:r w:rsidRPr="00A5626D">
              <w:rPr>
                <w:rFonts w:ascii="Garamond" w:hAnsi="Garamond" w:cstheme="minorHAnsi"/>
                <w:sz w:val="22"/>
                <w:szCs w:val="22"/>
                <w:lang w:val="en-US"/>
              </w:rPr>
              <w:t>delivery</w:t>
            </w:r>
            <w:r w:rsidRPr="00A5626D">
              <w:rPr>
                <w:rFonts w:ascii="Garamond" w:hAnsi="Garamond" w:cstheme="minorHAnsi"/>
                <w:sz w:val="22"/>
                <w:szCs w:val="22"/>
              </w:rPr>
              <w:t>-</w:t>
            </w:r>
            <w:r w:rsidRPr="00A5626D">
              <w:rPr>
                <w:rFonts w:ascii="Garamond" w:hAnsi="Garamond" w:cstheme="minorHAnsi"/>
                <w:sz w:val="22"/>
                <w:szCs w:val="22"/>
                <w:lang w:val="en-US"/>
              </w:rPr>
              <w:t>point</w:t>
            </w:r>
            <w:r w:rsidRPr="00A5626D">
              <w:rPr>
                <w:rFonts w:ascii="Garamond" w:hAnsi="Garamond" w:cstheme="minorHAnsi"/>
                <w:sz w:val="22"/>
                <w:szCs w:val="22"/>
              </w:rPr>
              <w:t xml:space="preserve"> – признак того, что ТП является групповой. Может принимать значения: </w:t>
            </w:r>
            <w:r w:rsidRPr="00A5626D">
              <w:rPr>
                <w:rFonts w:ascii="Garamond" w:hAnsi="Garamond" w:cstheme="minorHAnsi"/>
                <w:sz w:val="22"/>
                <w:szCs w:val="22"/>
                <w:lang w:val="en-US"/>
              </w:rPr>
              <w:t>true</w:t>
            </w:r>
            <w:r w:rsidRPr="00A5626D">
              <w:rPr>
                <w:rFonts w:ascii="Garamond" w:hAnsi="Garamond" w:cstheme="minorHAnsi"/>
                <w:sz w:val="22"/>
                <w:szCs w:val="22"/>
              </w:rPr>
              <w:t xml:space="preserve">, если точка групповая, </w:t>
            </w:r>
            <w:r w:rsidRPr="00A5626D">
              <w:rPr>
                <w:rFonts w:ascii="Garamond" w:hAnsi="Garamond" w:cstheme="minorHAnsi"/>
                <w:sz w:val="22"/>
                <w:szCs w:val="22"/>
                <w:lang w:val="en-US"/>
              </w:rPr>
              <w:t>false</w:t>
            </w:r>
            <w:r w:rsidRPr="00A5626D">
              <w:rPr>
                <w:rFonts w:ascii="Garamond" w:hAnsi="Garamond" w:cstheme="minorHAnsi"/>
                <w:sz w:val="22"/>
                <w:szCs w:val="22"/>
              </w:rPr>
              <w:t xml:space="preserve">, если точка негрупповая. </w:t>
            </w:r>
            <w:r w:rsidRPr="00A5626D">
              <w:rPr>
                <w:rFonts w:ascii="Garamond" w:hAnsi="Garamond" w:cstheme="minorHAnsi"/>
                <w:sz w:val="22"/>
                <w:szCs w:val="22"/>
                <w:lang w:val="en-US"/>
              </w:rPr>
              <w:t>Является обязательным атрибутом.</w:t>
            </w:r>
          </w:p>
          <w:p w14:paraId="068DBE77" w14:textId="77777777" w:rsidR="00295C6D" w:rsidRPr="00A5626D" w:rsidRDefault="00295C6D" w:rsidP="00295C6D">
            <w:pPr>
              <w:pStyle w:val="ac"/>
              <w:numPr>
                <w:ilvl w:val="0"/>
                <w:numId w:val="272"/>
              </w:numPr>
              <w:tabs>
                <w:tab w:val="left" w:pos="1134"/>
                <w:tab w:val="left" w:pos="7938"/>
              </w:tabs>
              <w:spacing w:before="120" w:after="120" w:line="259" w:lineRule="auto"/>
              <w:ind w:left="0" w:firstLine="567"/>
              <w:contextualSpacing/>
              <w:jc w:val="both"/>
              <w:rPr>
                <w:rFonts w:ascii="Garamond" w:hAnsi="Garamond" w:cstheme="minorHAnsi"/>
                <w:sz w:val="22"/>
                <w:szCs w:val="22"/>
                <w:lang w:val="en-US"/>
              </w:rPr>
            </w:pPr>
            <w:r w:rsidRPr="00A5626D">
              <w:rPr>
                <w:rFonts w:ascii="Garamond" w:hAnsi="Garamond" w:cstheme="minorHAnsi"/>
                <w:sz w:val="22"/>
                <w:szCs w:val="22"/>
                <w:lang w:val="en-US"/>
              </w:rPr>
              <w:t>Если признак равен true, то атрибуты id-power-object, method, schemanum, power, point-voltage не обязательны к заполнению, а элемент &lt;group-delivery-point-composition&gt; в элементе &lt;links&gt; обязателен к заполнению;</w:t>
            </w:r>
          </w:p>
          <w:p w14:paraId="06D08FD5" w14:textId="77777777" w:rsidR="00295C6D" w:rsidRPr="00A5626D" w:rsidRDefault="00295C6D" w:rsidP="00295C6D">
            <w:pPr>
              <w:pStyle w:val="ac"/>
              <w:numPr>
                <w:ilvl w:val="0"/>
                <w:numId w:val="272"/>
              </w:numPr>
              <w:tabs>
                <w:tab w:val="left" w:pos="1134"/>
                <w:tab w:val="left" w:pos="7938"/>
              </w:tabs>
              <w:spacing w:before="120" w:after="120" w:line="259" w:lineRule="auto"/>
              <w:ind w:left="0" w:firstLine="567"/>
              <w:contextualSpacing/>
              <w:jc w:val="both"/>
              <w:rPr>
                <w:rFonts w:ascii="Garamond" w:hAnsi="Garamond" w:cstheme="minorHAnsi"/>
                <w:sz w:val="22"/>
                <w:szCs w:val="22"/>
              </w:rPr>
            </w:pPr>
            <w:r w:rsidRPr="00A5626D">
              <w:rPr>
                <w:rFonts w:ascii="Garamond" w:hAnsi="Garamond" w:cstheme="minorHAnsi"/>
                <w:sz w:val="22"/>
                <w:szCs w:val="22"/>
                <w:lang w:val="en-US"/>
              </w:rPr>
              <w:t>is</w:t>
            </w:r>
            <w:r w:rsidRPr="00A5626D">
              <w:rPr>
                <w:rFonts w:ascii="Garamond" w:hAnsi="Garamond" w:cstheme="minorHAnsi"/>
                <w:sz w:val="22"/>
                <w:szCs w:val="22"/>
              </w:rPr>
              <w:t>-</w:t>
            </w:r>
            <w:r w:rsidRPr="00A5626D">
              <w:rPr>
                <w:rFonts w:ascii="Garamond" w:hAnsi="Garamond" w:cstheme="minorHAnsi"/>
                <w:sz w:val="22"/>
                <w:szCs w:val="22"/>
                <w:lang w:val="en-US"/>
              </w:rPr>
              <w:t>for</w:t>
            </w:r>
            <w:r w:rsidRPr="00A5626D">
              <w:rPr>
                <w:rFonts w:ascii="Garamond" w:hAnsi="Garamond" w:cstheme="minorHAnsi"/>
                <w:sz w:val="22"/>
                <w:szCs w:val="22"/>
              </w:rPr>
              <w:t>-</w:t>
            </w:r>
            <w:r w:rsidRPr="00A5626D">
              <w:rPr>
                <w:rFonts w:ascii="Garamond" w:hAnsi="Garamond" w:cstheme="minorHAnsi"/>
                <w:sz w:val="22"/>
                <w:szCs w:val="22"/>
                <w:lang w:val="en-US"/>
              </w:rPr>
              <w:t>coding</w:t>
            </w:r>
            <w:r w:rsidRPr="00A5626D">
              <w:rPr>
                <w:rFonts w:ascii="Garamond" w:hAnsi="Garamond" w:cstheme="minorHAnsi"/>
                <w:sz w:val="22"/>
                <w:szCs w:val="22"/>
              </w:rPr>
              <w:t xml:space="preserve"> – признак, определяющий необходимость кодирования данной ТП. Может принимать значения: </w:t>
            </w:r>
            <w:r w:rsidRPr="00A5626D">
              <w:rPr>
                <w:rFonts w:ascii="Garamond" w:hAnsi="Garamond" w:cstheme="minorHAnsi"/>
                <w:sz w:val="22"/>
                <w:szCs w:val="22"/>
                <w:lang w:val="en-US"/>
              </w:rPr>
              <w:t>true</w:t>
            </w:r>
            <w:r w:rsidRPr="00A5626D">
              <w:rPr>
                <w:rFonts w:ascii="Garamond" w:hAnsi="Garamond" w:cstheme="minorHAnsi"/>
                <w:sz w:val="22"/>
                <w:szCs w:val="22"/>
              </w:rPr>
              <w:t xml:space="preserve">, если данную ТП необходимо кодировать, </w:t>
            </w:r>
            <w:r w:rsidRPr="00A5626D">
              <w:rPr>
                <w:rFonts w:ascii="Garamond" w:hAnsi="Garamond" w:cstheme="minorHAnsi"/>
                <w:sz w:val="22"/>
                <w:szCs w:val="22"/>
                <w:lang w:val="en-US"/>
              </w:rPr>
              <w:t>false</w:t>
            </w:r>
            <w:r w:rsidRPr="00A5626D">
              <w:rPr>
                <w:rFonts w:ascii="Garamond" w:hAnsi="Garamond" w:cstheme="minorHAnsi"/>
                <w:sz w:val="22"/>
                <w:szCs w:val="22"/>
              </w:rPr>
              <w:t>, если данная ТП не предназначена для кодирования. Является обязательным атрибутом;</w:t>
            </w:r>
          </w:p>
          <w:p w14:paraId="0A2AA57D" w14:textId="77777777" w:rsidR="00295C6D" w:rsidRPr="00A5626D" w:rsidRDefault="00295C6D" w:rsidP="00295C6D">
            <w:pPr>
              <w:pStyle w:val="ac"/>
              <w:numPr>
                <w:ilvl w:val="0"/>
                <w:numId w:val="272"/>
              </w:numPr>
              <w:tabs>
                <w:tab w:val="left" w:pos="1134"/>
                <w:tab w:val="left" w:pos="7938"/>
              </w:tabs>
              <w:spacing w:before="120" w:after="120" w:line="259" w:lineRule="auto"/>
              <w:ind w:left="0" w:firstLine="567"/>
              <w:contextualSpacing/>
              <w:jc w:val="both"/>
              <w:rPr>
                <w:rFonts w:ascii="Garamond" w:hAnsi="Garamond" w:cstheme="minorHAnsi"/>
                <w:sz w:val="22"/>
                <w:szCs w:val="22"/>
              </w:rPr>
            </w:pPr>
            <w:r w:rsidRPr="00A5626D">
              <w:rPr>
                <w:rFonts w:ascii="Garamond" w:hAnsi="Garamond" w:cstheme="minorHAnsi"/>
                <w:sz w:val="22"/>
                <w:szCs w:val="22"/>
                <w:lang w:val="en-US"/>
              </w:rPr>
              <w:t>ats</w:t>
            </w:r>
            <w:r w:rsidRPr="00A5626D">
              <w:rPr>
                <w:rFonts w:ascii="Garamond" w:hAnsi="Garamond" w:cstheme="minorHAnsi"/>
                <w:sz w:val="22"/>
                <w:szCs w:val="22"/>
              </w:rPr>
              <w:t>-</w:t>
            </w:r>
            <w:r w:rsidRPr="00A5626D">
              <w:rPr>
                <w:rFonts w:ascii="Garamond" w:hAnsi="Garamond" w:cstheme="minorHAnsi"/>
                <w:sz w:val="22"/>
                <w:szCs w:val="22"/>
                <w:lang w:val="en-US"/>
              </w:rPr>
              <w:t>code</w:t>
            </w:r>
            <w:r w:rsidRPr="00A5626D">
              <w:rPr>
                <w:rFonts w:ascii="Garamond" w:hAnsi="Garamond" w:cstheme="minorHAnsi"/>
                <w:sz w:val="22"/>
                <w:szCs w:val="22"/>
              </w:rPr>
              <w:t xml:space="preserve"> – уникальный код, присвоенный КО точке поставки. Число из 15 знаков. Является необязательным атрибутом. </w:t>
            </w:r>
            <w:r w:rsidRPr="00A5626D">
              <w:rPr>
                <w:rFonts w:ascii="Garamond" w:hAnsi="Garamond" w:cstheme="minorHAnsi"/>
                <w:sz w:val="22"/>
                <w:szCs w:val="22"/>
              </w:rPr>
              <w:lastRenderedPageBreak/>
              <w:t>Заполняется для всех ранее закодированных КО точек поставки вне зависимости от того, в какой АИИС ТП получила код АТС – заявителя или смежного участника;</w:t>
            </w:r>
          </w:p>
          <w:p w14:paraId="211B6E59" w14:textId="77777777" w:rsidR="00295C6D" w:rsidRPr="00A5626D" w:rsidRDefault="00295C6D" w:rsidP="00295C6D">
            <w:pPr>
              <w:pStyle w:val="ac"/>
              <w:numPr>
                <w:ilvl w:val="0"/>
                <w:numId w:val="272"/>
              </w:numPr>
              <w:tabs>
                <w:tab w:val="left" w:pos="1134"/>
                <w:tab w:val="left" w:pos="7938"/>
              </w:tabs>
              <w:spacing w:before="120" w:after="120" w:line="259" w:lineRule="auto"/>
              <w:ind w:left="0" w:firstLine="567"/>
              <w:contextualSpacing/>
              <w:jc w:val="both"/>
              <w:rPr>
                <w:rFonts w:ascii="Garamond" w:hAnsi="Garamond" w:cstheme="minorHAnsi"/>
                <w:sz w:val="22"/>
                <w:szCs w:val="22"/>
              </w:rPr>
            </w:pPr>
            <w:r w:rsidRPr="00A5626D">
              <w:rPr>
                <w:rFonts w:ascii="Garamond" w:hAnsi="Garamond" w:cstheme="minorHAnsi"/>
                <w:sz w:val="22"/>
                <w:szCs w:val="22"/>
                <w:lang w:val="en-US"/>
              </w:rPr>
              <w:t>composite</w:t>
            </w:r>
            <w:r w:rsidRPr="00A5626D">
              <w:rPr>
                <w:rFonts w:ascii="Garamond" w:hAnsi="Garamond" w:cstheme="minorHAnsi"/>
                <w:sz w:val="22"/>
                <w:szCs w:val="22"/>
              </w:rPr>
              <w:t>-</w:t>
            </w:r>
            <w:r w:rsidRPr="00A5626D">
              <w:rPr>
                <w:rFonts w:ascii="Garamond" w:hAnsi="Garamond" w:cstheme="minorHAnsi"/>
                <w:sz w:val="22"/>
                <w:szCs w:val="22"/>
                <w:lang w:val="en-US"/>
              </w:rPr>
              <w:t>name</w:t>
            </w:r>
            <w:r w:rsidRPr="00A5626D">
              <w:rPr>
                <w:rFonts w:ascii="Garamond" w:hAnsi="Garamond" w:cstheme="minorHAnsi"/>
                <w:sz w:val="22"/>
                <w:szCs w:val="22"/>
              </w:rPr>
              <w:t xml:space="preserve"> – составное наименование точки поставки. Текстовое поле не более 512 символов. Является обязательным атрибутом для групповой точки, для остальных точек не заполняется; </w:t>
            </w:r>
          </w:p>
          <w:p w14:paraId="3465202E" w14:textId="77777777" w:rsidR="00295C6D" w:rsidRPr="00A5626D" w:rsidRDefault="00295C6D" w:rsidP="00295C6D">
            <w:pPr>
              <w:pStyle w:val="ac"/>
              <w:numPr>
                <w:ilvl w:val="0"/>
                <w:numId w:val="272"/>
              </w:numPr>
              <w:tabs>
                <w:tab w:val="left" w:pos="1134"/>
                <w:tab w:val="left" w:pos="7938"/>
              </w:tabs>
              <w:spacing w:before="120" w:after="120" w:line="259" w:lineRule="auto"/>
              <w:ind w:left="0" w:firstLine="567"/>
              <w:contextualSpacing/>
              <w:jc w:val="both"/>
              <w:rPr>
                <w:rFonts w:ascii="Garamond" w:hAnsi="Garamond" w:cstheme="minorHAnsi"/>
                <w:sz w:val="22"/>
                <w:szCs w:val="22"/>
              </w:rPr>
            </w:pPr>
            <w:r w:rsidRPr="00A5626D">
              <w:rPr>
                <w:rFonts w:ascii="Garamond" w:hAnsi="Garamond" w:cstheme="minorHAnsi"/>
                <w:sz w:val="22"/>
                <w:szCs w:val="22"/>
                <w:lang w:val="en-US"/>
              </w:rPr>
              <w:t>id</w:t>
            </w:r>
            <w:r w:rsidRPr="00A5626D">
              <w:rPr>
                <w:rFonts w:ascii="Garamond" w:hAnsi="Garamond" w:cstheme="minorHAnsi"/>
                <w:sz w:val="22"/>
                <w:szCs w:val="22"/>
              </w:rPr>
              <w:t>-</w:t>
            </w:r>
            <w:r w:rsidRPr="00A5626D">
              <w:rPr>
                <w:rFonts w:ascii="Garamond" w:hAnsi="Garamond" w:cstheme="minorHAnsi"/>
                <w:sz w:val="22"/>
                <w:szCs w:val="22"/>
                <w:lang w:val="en-US"/>
              </w:rPr>
              <w:t>power</w:t>
            </w:r>
            <w:r w:rsidRPr="00A5626D">
              <w:rPr>
                <w:rFonts w:ascii="Garamond" w:hAnsi="Garamond" w:cstheme="minorHAnsi"/>
                <w:sz w:val="22"/>
                <w:szCs w:val="22"/>
              </w:rPr>
              <w:t>-</w:t>
            </w:r>
            <w:r w:rsidRPr="00A5626D">
              <w:rPr>
                <w:rFonts w:ascii="Garamond" w:hAnsi="Garamond" w:cstheme="minorHAnsi"/>
                <w:sz w:val="22"/>
                <w:szCs w:val="22"/>
                <w:lang w:val="en-US"/>
              </w:rPr>
              <w:t>object</w:t>
            </w:r>
            <w:r w:rsidRPr="00A5626D">
              <w:rPr>
                <w:rFonts w:ascii="Garamond" w:hAnsi="Garamond" w:cstheme="minorHAnsi"/>
                <w:sz w:val="22"/>
                <w:szCs w:val="22"/>
              </w:rPr>
              <w:t xml:space="preserve"> – ссылка на энергообъект, на котором расположена точка поставки. Значение из справочника энергообъектов (элемент &lt;</w:t>
            </w:r>
            <w:r w:rsidRPr="00A5626D">
              <w:rPr>
                <w:rFonts w:ascii="Garamond" w:hAnsi="Garamond" w:cstheme="minorHAnsi"/>
                <w:sz w:val="22"/>
                <w:szCs w:val="22"/>
                <w:lang w:val="en-US"/>
              </w:rPr>
              <w:t>power</w:t>
            </w:r>
            <w:r w:rsidRPr="00A5626D">
              <w:rPr>
                <w:rFonts w:ascii="Garamond" w:hAnsi="Garamond" w:cstheme="minorHAnsi"/>
                <w:sz w:val="22"/>
                <w:szCs w:val="22"/>
              </w:rPr>
              <w:t>-</w:t>
            </w:r>
            <w:r w:rsidRPr="00A5626D">
              <w:rPr>
                <w:rFonts w:ascii="Garamond" w:hAnsi="Garamond" w:cstheme="minorHAnsi"/>
                <w:sz w:val="22"/>
                <w:szCs w:val="22"/>
                <w:lang w:val="en-US"/>
              </w:rPr>
              <w:t>objects</w:t>
            </w:r>
            <w:r w:rsidRPr="00A5626D">
              <w:rPr>
                <w:rFonts w:ascii="Garamond" w:hAnsi="Garamond" w:cstheme="minorHAnsi"/>
                <w:sz w:val="22"/>
                <w:szCs w:val="22"/>
              </w:rPr>
              <w:t>&gt;). Является обязательным атрибутом для всех ТП, кроме групповых, для групповых точек не заполняется;</w:t>
            </w:r>
          </w:p>
          <w:p w14:paraId="26904201" w14:textId="77777777" w:rsidR="00295C6D" w:rsidRPr="00A5626D" w:rsidRDefault="00295C6D" w:rsidP="00295C6D">
            <w:pPr>
              <w:pStyle w:val="ac"/>
              <w:numPr>
                <w:ilvl w:val="0"/>
                <w:numId w:val="272"/>
              </w:numPr>
              <w:tabs>
                <w:tab w:val="left" w:pos="1134"/>
                <w:tab w:val="left" w:pos="7938"/>
              </w:tabs>
              <w:spacing w:before="120" w:after="120" w:line="259" w:lineRule="auto"/>
              <w:ind w:left="0" w:firstLine="567"/>
              <w:contextualSpacing/>
              <w:jc w:val="both"/>
              <w:rPr>
                <w:rFonts w:ascii="Garamond" w:hAnsi="Garamond" w:cstheme="minorHAnsi"/>
                <w:sz w:val="22"/>
                <w:szCs w:val="22"/>
                <w:lang w:val="en-US"/>
              </w:rPr>
            </w:pPr>
            <w:r w:rsidRPr="00A5626D">
              <w:rPr>
                <w:rFonts w:ascii="Garamond" w:hAnsi="Garamond" w:cstheme="minorHAnsi"/>
                <w:sz w:val="22"/>
                <w:szCs w:val="22"/>
                <w:lang w:val="en-US"/>
              </w:rPr>
              <w:t>method</w:t>
            </w:r>
            <w:r w:rsidRPr="00A5626D">
              <w:rPr>
                <w:rFonts w:ascii="Garamond" w:hAnsi="Garamond" w:cstheme="minorHAnsi"/>
                <w:sz w:val="22"/>
                <w:szCs w:val="22"/>
              </w:rPr>
              <w:t xml:space="preserve"> – алгоритм приведения показаний незакодированных РИП (РИП) к значению количества электроэнергии в точке поставки. Недопустимо заполнять поле информацией, которая присутствует в части Алгоритма в разделе &lt;</w:t>
            </w:r>
            <w:r w:rsidRPr="00A5626D">
              <w:rPr>
                <w:rFonts w:ascii="Garamond" w:hAnsi="Garamond" w:cstheme="minorHAnsi"/>
                <w:sz w:val="22"/>
                <w:szCs w:val="22"/>
                <w:lang w:val="en-US"/>
              </w:rPr>
              <w:t>aup</w:t>
            </w:r>
            <w:r w:rsidRPr="00A5626D">
              <w:rPr>
                <w:rFonts w:ascii="Garamond" w:hAnsi="Garamond" w:cstheme="minorHAnsi"/>
                <w:sz w:val="22"/>
                <w:szCs w:val="22"/>
              </w:rPr>
              <w:t>-</w:t>
            </w:r>
            <w:r w:rsidRPr="00A5626D">
              <w:rPr>
                <w:rFonts w:ascii="Garamond" w:hAnsi="Garamond" w:cstheme="minorHAnsi"/>
                <w:sz w:val="22"/>
                <w:szCs w:val="22"/>
                <w:lang w:val="en-US"/>
              </w:rPr>
              <w:t>delivery</w:t>
            </w:r>
            <w:r w:rsidRPr="00A5626D">
              <w:rPr>
                <w:rFonts w:ascii="Garamond" w:hAnsi="Garamond" w:cstheme="minorHAnsi"/>
                <w:sz w:val="22"/>
                <w:szCs w:val="22"/>
              </w:rPr>
              <w:t>-</w:t>
            </w:r>
            <w:r w:rsidRPr="00A5626D">
              <w:rPr>
                <w:rFonts w:ascii="Garamond" w:hAnsi="Garamond" w:cstheme="minorHAnsi"/>
                <w:sz w:val="22"/>
                <w:szCs w:val="22"/>
                <w:lang w:val="en-US"/>
              </w:rPr>
              <w:t>points</w:t>
            </w:r>
            <w:r w:rsidRPr="00A5626D">
              <w:rPr>
                <w:rFonts w:ascii="Garamond" w:hAnsi="Garamond" w:cstheme="minorHAnsi"/>
                <w:sz w:val="22"/>
                <w:szCs w:val="22"/>
              </w:rPr>
              <w:t xml:space="preserve">&gt;. Текстовое поле длиной не более 250 символов. Обязательный атрибут для ТП, которые имеют незакодированные РИП. </w:t>
            </w:r>
            <w:r w:rsidRPr="00A5626D">
              <w:rPr>
                <w:rFonts w:ascii="Garamond" w:hAnsi="Garamond" w:cstheme="minorHAnsi"/>
                <w:sz w:val="22"/>
                <w:szCs w:val="22"/>
                <w:lang w:val="en-US"/>
              </w:rPr>
              <w:t>Не должен заполняться для всех остальных ТП;</w:t>
            </w:r>
          </w:p>
          <w:p w14:paraId="0740EA2C" w14:textId="77777777" w:rsidR="00295C6D" w:rsidRPr="00A5626D" w:rsidRDefault="00295C6D" w:rsidP="00295C6D">
            <w:pPr>
              <w:pStyle w:val="ac"/>
              <w:numPr>
                <w:ilvl w:val="0"/>
                <w:numId w:val="272"/>
              </w:numPr>
              <w:tabs>
                <w:tab w:val="left" w:pos="1134"/>
                <w:tab w:val="left" w:pos="7938"/>
              </w:tabs>
              <w:spacing w:before="120" w:after="120" w:line="259" w:lineRule="auto"/>
              <w:ind w:left="0" w:firstLine="567"/>
              <w:contextualSpacing/>
              <w:jc w:val="both"/>
              <w:rPr>
                <w:rFonts w:ascii="Garamond" w:hAnsi="Garamond" w:cstheme="minorHAnsi"/>
                <w:sz w:val="22"/>
                <w:szCs w:val="22"/>
              </w:rPr>
            </w:pPr>
            <w:r w:rsidRPr="00A5626D">
              <w:rPr>
                <w:rFonts w:ascii="Garamond" w:hAnsi="Garamond" w:cstheme="minorHAnsi"/>
                <w:sz w:val="22"/>
                <w:szCs w:val="22"/>
                <w:lang w:val="en-US"/>
              </w:rPr>
              <w:t>schemanum</w:t>
            </w:r>
            <w:r w:rsidRPr="00A5626D">
              <w:rPr>
                <w:rFonts w:ascii="Garamond" w:hAnsi="Garamond" w:cstheme="minorHAnsi"/>
                <w:sz w:val="22"/>
                <w:szCs w:val="22"/>
              </w:rPr>
              <w:t xml:space="preserve"> – номер точки поставки в соответствии с однолинейной схемой. Текстовое поле не более 10 символов. Обязателен к заполнению для всех ТП, кроме групповых;</w:t>
            </w:r>
          </w:p>
          <w:p w14:paraId="60644A3D" w14:textId="77777777" w:rsidR="00295C6D" w:rsidRPr="00A5626D" w:rsidRDefault="00295C6D" w:rsidP="00295C6D">
            <w:pPr>
              <w:pStyle w:val="ac"/>
              <w:numPr>
                <w:ilvl w:val="0"/>
                <w:numId w:val="272"/>
              </w:numPr>
              <w:tabs>
                <w:tab w:val="left" w:pos="1134"/>
                <w:tab w:val="left" w:pos="7938"/>
              </w:tabs>
              <w:spacing w:before="120" w:after="120" w:line="259" w:lineRule="auto"/>
              <w:ind w:left="0" w:firstLine="567"/>
              <w:contextualSpacing/>
              <w:jc w:val="both"/>
              <w:rPr>
                <w:rFonts w:ascii="Garamond" w:hAnsi="Garamond" w:cstheme="minorHAnsi"/>
                <w:sz w:val="22"/>
                <w:szCs w:val="22"/>
              </w:rPr>
            </w:pPr>
            <w:r w:rsidRPr="00A5626D">
              <w:rPr>
                <w:rFonts w:ascii="Garamond" w:hAnsi="Garamond" w:cstheme="minorHAnsi"/>
                <w:sz w:val="22"/>
                <w:szCs w:val="22"/>
                <w:lang w:val="en-US"/>
              </w:rPr>
              <w:t>power</w:t>
            </w:r>
            <w:r w:rsidRPr="00A5626D">
              <w:rPr>
                <w:rFonts w:ascii="Garamond" w:hAnsi="Garamond" w:cstheme="minorHAnsi"/>
                <w:sz w:val="22"/>
                <w:szCs w:val="22"/>
              </w:rPr>
              <w:t xml:space="preserve"> – значение присоединенной мощности «малой» точки поставки в ВА. Заполняется числовым значением. Является обязательным атрибутом для ТП, которая связана хотя бы с одной ТИ, не включенной в АИИС;</w:t>
            </w:r>
          </w:p>
          <w:p w14:paraId="0280DF1B" w14:textId="77777777" w:rsidR="00295C6D" w:rsidRPr="00A5626D" w:rsidRDefault="00295C6D" w:rsidP="00295C6D">
            <w:pPr>
              <w:pStyle w:val="ac"/>
              <w:numPr>
                <w:ilvl w:val="0"/>
                <w:numId w:val="272"/>
              </w:numPr>
              <w:tabs>
                <w:tab w:val="left" w:pos="1134"/>
                <w:tab w:val="left" w:pos="7938"/>
              </w:tabs>
              <w:spacing w:before="120" w:after="120" w:line="259" w:lineRule="auto"/>
              <w:ind w:left="0" w:firstLine="567"/>
              <w:contextualSpacing/>
              <w:jc w:val="both"/>
              <w:rPr>
                <w:rFonts w:ascii="Garamond" w:hAnsi="Garamond" w:cstheme="minorHAnsi"/>
                <w:b/>
                <w:sz w:val="22"/>
                <w:szCs w:val="22"/>
              </w:rPr>
            </w:pPr>
            <w:r w:rsidRPr="00A5626D">
              <w:rPr>
                <w:rFonts w:ascii="Garamond" w:hAnsi="Garamond" w:cstheme="minorHAnsi"/>
                <w:sz w:val="22"/>
                <w:szCs w:val="22"/>
                <w:lang w:val="en-US"/>
              </w:rPr>
              <w:t>point</w:t>
            </w:r>
            <w:r w:rsidRPr="00A5626D">
              <w:rPr>
                <w:rFonts w:ascii="Garamond" w:hAnsi="Garamond" w:cstheme="minorHAnsi"/>
                <w:sz w:val="22"/>
                <w:szCs w:val="22"/>
              </w:rPr>
              <w:t>-</w:t>
            </w:r>
            <w:r w:rsidRPr="00A5626D">
              <w:rPr>
                <w:rFonts w:ascii="Garamond" w:hAnsi="Garamond" w:cstheme="minorHAnsi"/>
                <w:sz w:val="22"/>
                <w:szCs w:val="22"/>
                <w:lang w:val="en-US"/>
              </w:rPr>
              <w:t>voltage</w:t>
            </w:r>
            <w:r w:rsidRPr="00A5626D">
              <w:rPr>
                <w:rFonts w:ascii="Garamond" w:hAnsi="Garamond" w:cstheme="minorHAnsi"/>
                <w:sz w:val="22"/>
                <w:szCs w:val="22"/>
              </w:rPr>
              <w:t xml:space="preserve"> – уровень напряжения точки, размерность: В (вольт). Число не более 10 символов, значение «0» недопустимо. Является обязательным атрибутом, если точка является не групповой, для групповой не заполняется. Дочерними элементами являются: </w:t>
            </w:r>
            <w:r w:rsidRPr="00A5626D">
              <w:rPr>
                <w:rFonts w:ascii="Garamond" w:hAnsi="Garamond" w:cstheme="minorHAnsi"/>
                <w:b/>
                <w:sz w:val="22"/>
                <w:szCs w:val="22"/>
              </w:rPr>
              <w:t>&lt;</w:t>
            </w:r>
            <w:r w:rsidRPr="00A5626D">
              <w:rPr>
                <w:rFonts w:ascii="Garamond" w:hAnsi="Garamond" w:cstheme="minorHAnsi"/>
                <w:b/>
                <w:sz w:val="22"/>
                <w:szCs w:val="22"/>
                <w:lang w:val="en-US"/>
              </w:rPr>
              <w:t>name</w:t>
            </w:r>
            <w:r w:rsidRPr="00A5626D">
              <w:rPr>
                <w:rFonts w:ascii="Garamond" w:hAnsi="Garamond" w:cstheme="minorHAnsi"/>
                <w:b/>
                <w:sz w:val="22"/>
                <w:szCs w:val="22"/>
              </w:rPr>
              <w:t>&gt;, &lt;</w:t>
            </w:r>
            <w:r w:rsidRPr="00A5626D">
              <w:rPr>
                <w:rFonts w:ascii="Garamond" w:hAnsi="Garamond" w:cstheme="minorHAnsi"/>
                <w:b/>
                <w:sz w:val="22"/>
                <w:szCs w:val="22"/>
                <w:lang w:val="en-US"/>
              </w:rPr>
              <w:t>comment</w:t>
            </w:r>
            <w:r w:rsidRPr="00A5626D">
              <w:rPr>
                <w:rFonts w:ascii="Garamond" w:hAnsi="Garamond" w:cstheme="minorHAnsi"/>
                <w:b/>
                <w:sz w:val="22"/>
                <w:szCs w:val="22"/>
              </w:rPr>
              <w:t>&gt;.</w:t>
            </w:r>
          </w:p>
        </w:tc>
        <w:tc>
          <w:tcPr>
            <w:tcW w:w="7088" w:type="dxa"/>
          </w:tcPr>
          <w:p w14:paraId="24FBB33A" w14:textId="77777777" w:rsidR="00295C6D" w:rsidRPr="00A5626D" w:rsidRDefault="00295C6D" w:rsidP="00E31AE6">
            <w:pPr>
              <w:tabs>
                <w:tab w:val="left" w:pos="1134"/>
                <w:tab w:val="left" w:pos="7938"/>
              </w:tabs>
              <w:spacing w:before="120" w:after="120"/>
              <w:ind w:firstLine="567"/>
              <w:jc w:val="both"/>
              <w:rPr>
                <w:rFonts w:ascii="Garamond" w:hAnsi="Garamond" w:cstheme="minorHAnsi"/>
                <w:sz w:val="22"/>
                <w:szCs w:val="22"/>
              </w:rPr>
            </w:pPr>
            <w:r w:rsidRPr="00A5626D">
              <w:rPr>
                <w:rFonts w:ascii="Garamond" w:hAnsi="Garamond" w:cstheme="minorHAnsi"/>
                <w:sz w:val="22"/>
                <w:szCs w:val="22"/>
              </w:rPr>
              <w:lastRenderedPageBreak/>
              <w:t>&lt;</w:t>
            </w:r>
            <w:r w:rsidRPr="00A5626D">
              <w:rPr>
                <w:rFonts w:ascii="Garamond" w:hAnsi="Garamond" w:cstheme="minorHAnsi"/>
                <w:sz w:val="22"/>
                <w:szCs w:val="22"/>
                <w:lang w:val="en-US"/>
              </w:rPr>
              <w:t>delivery</w:t>
            </w:r>
            <w:r w:rsidRPr="00A5626D">
              <w:rPr>
                <w:rFonts w:ascii="Garamond" w:hAnsi="Garamond" w:cstheme="minorHAnsi"/>
                <w:sz w:val="22"/>
                <w:szCs w:val="22"/>
              </w:rPr>
              <w:t>-</w:t>
            </w:r>
            <w:r w:rsidRPr="00A5626D">
              <w:rPr>
                <w:rFonts w:ascii="Garamond" w:hAnsi="Garamond" w:cstheme="minorHAnsi"/>
                <w:sz w:val="22"/>
                <w:szCs w:val="22"/>
                <w:lang w:val="en-US"/>
              </w:rPr>
              <w:t>point</w:t>
            </w:r>
            <w:r w:rsidRPr="00A5626D">
              <w:rPr>
                <w:rFonts w:ascii="Garamond" w:hAnsi="Garamond" w:cstheme="minorHAnsi"/>
                <w:sz w:val="22"/>
                <w:szCs w:val="22"/>
              </w:rPr>
              <w:t>&gt;</w:t>
            </w:r>
          </w:p>
          <w:p w14:paraId="67177630" w14:textId="77777777" w:rsidR="00295C6D" w:rsidRPr="00A5626D" w:rsidRDefault="00295C6D" w:rsidP="00E31AE6">
            <w:pPr>
              <w:tabs>
                <w:tab w:val="left" w:pos="1134"/>
                <w:tab w:val="left" w:pos="7938"/>
              </w:tabs>
              <w:spacing w:before="120" w:after="120"/>
              <w:ind w:firstLine="567"/>
              <w:jc w:val="both"/>
              <w:rPr>
                <w:rFonts w:ascii="Garamond" w:hAnsi="Garamond" w:cstheme="minorHAnsi"/>
                <w:sz w:val="22"/>
                <w:szCs w:val="22"/>
              </w:rPr>
            </w:pPr>
            <w:r w:rsidRPr="00A5626D">
              <w:rPr>
                <w:rFonts w:ascii="Garamond" w:hAnsi="Garamond" w:cstheme="minorHAnsi"/>
                <w:sz w:val="22"/>
                <w:szCs w:val="22"/>
              </w:rPr>
              <w:t>Элемент &lt;</w:t>
            </w:r>
            <w:r w:rsidRPr="00A5626D">
              <w:rPr>
                <w:rFonts w:ascii="Garamond" w:hAnsi="Garamond" w:cstheme="minorHAnsi"/>
                <w:b/>
                <w:sz w:val="22"/>
                <w:szCs w:val="22"/>
                <w:lang w:val="en-US"/>
              </w:rPr>
              <w:t>delivery</w:t>
            </w:r>
            <w:r w:rsidRPr="00A5626D">
              <w:rPr>
                <w:rFonts w:ascii="Garamond" w:hAnsi="Garamond" w:cstheme="minorHAnsi"/>
                <w:b/>
                <w:sz w:val="22"/>
                <w:szCs w:val="22"/>
              </w:rPr>
              <w:t>-</w:t>
            </w:r>
            <w:r w:rsidRPr="00A5626D">
              <w:rPr>
                <w:rFonts w:ascii="Garamond" w:hAnsi="Garamond" w:cstheme="minorHAnsi"/>
                <w:b/>
                <w:sz w:val="22"/>
                <w:szCs w:val="22"/>
                <w:lang w:val="en-US"/>
              </w:rPr>
              <w:t>point</w:t>
            </w:r>
            <w:r w:rsidRPr="00A5626D">
              <w:rPr>
                <w:rFonts w:ascii="Garamond" w:hAnsi="Garamond" w:cstheme="minorHAnsi"/>
                <w:sz w:val="22"/>
                <w:szCs w:val="22"/>
              </w:rPr>
              <w:t xml:space="preserve">&gt; </w:t>
            </w:r>
            <w:r w:rsidRPr="00A5626D">
              <w:rPr>
                <w:rFonts w:ascii="Garamond" w:hAnsi="Garamond" w:cstheme="minorHAnsi"/>
                <w:sz w:val="22"/>
                <w:szCs w:val="22"/>
                <w:lang w:val="en-US"/>
              </w:rPr>
              <w:t>c</w:t>
            </w:r>
            <w:r w:rsidRPr="00A5626D">
              <w:rPr>
                <w:rFonts w:ascii="Garamond" w:hAnsi="Garamond" w:cstheme="minorHAnsi"/>
                <w:sz w:val="22"/>
                <w:szCs w:val="22"/>
              </w:rPr>
              <w:t xml:space="preserve">одержит информацию по точке поставки </w:t>
            </w:r>
            <w:r w:rsidRPr="00A5626D">
              <w:rPr>
                <w:rFonts w:ascii="Garamond" w:hAnsi="Garamond" w:cstheme="minorHAnsi"/>
                <w:sz w:val="22"/>
                <w:szCs w:val="22"/>
                <w:highlight w:val="yellow"/>
              </w:rPr>
              <w:t>(точке присоединения).</w:t>
            </w:r>
          </w:p>
          <w:p w14:paraId="0A1DF02C" w14:textId="6F42BDCE" w:rsidR="00295C6D" w:rsidRPr="00A5626D" w:rsidRDefault="00295C6D" w:rsidP="00E31AE6">
            <w:pPr>
              <w:widowControl w:val="0"/>
              <w:tabs>
                <w:tab w:val="left" w:pos="1134"/>
                <w:tab w:val="left" w:pos="7938"/>
              </w:tabs>
              <w:autoSpaceDE w:val="0"/>
              <w:autoSpaceDN w:val="0"/>
              <w:adjustRightInd w:val="0"/>
              <w:spacing w:before="60" w:after="60" w:line="276" w:lineRule="auto"/>
              <w:ind w:firstLine="567"/>
              <w:jc w:val="both"/>
              <w:rPr>
                <w:rFonts w:ascii="Garamond" w:hAnsi="Garamond" w:cstheme="minorHAnsi"/>
                <w:sz w:val="22"/>
                <w:szCs w:val="22"/>
              </w:rPr>
            </w:pPr>
            <w:r w:rsidRPr="00A5626D">
              <w:rPr>
                <w:rFonts w:ascii="Garamond" w:hAnsi="Garamond" w:cstheme="minorHAnsi"/>
                <w:bCs/>
                <w:sz w:val="22"/>
                <w:szCs w:val="22"/>
              </w:rPr>
              <w:t>Обязательный элемент</w:t>
            </w:r>
            <w:r w:rsidRPr="00A5626D">
              <w:rPr>
                <w:rFonts w:ascii="Garamond" w:hAnsi="Garamond" w:cstheme="minorHAnsi"/>
                <w:sz w:val="22"/>
                <w:szCs w:val="22"/>
              </w:rPr>
              <w:t>. Количество элементов &lt;</w:t>
            </w:r>
            <w:r w:rsidRPr="00A5626D">
              <w:rPr>
                <w:rFonts w:ascii="Garamond" w:hAnsi="Garamond" w:cstheme="minorHAnsi"/>
                <w:sz w:val="22"/>
                <w:szCs w:val="22"/>
                <w:lang w:val="en-US"/>
              </w:rPr>
              <w:t>delivery</w:t>
            </w:r>
            <w:r w:rsidRPr="00A5626D">
              <w:rPr>
                <w:rFonts w:ascii="Garamond" w:hAnsi="Garamond" w:cstheme="minorHAnsi"/>
                <w:sz w:val="22"/>
                <w:szCs w:val="22"/>
              </w:rPr>
              <w:t>-</w:t>
            </w:r>
            <w:r w:rsidRPr="00A5626D">
              <w:rPr>
                <w:rFonts w:ascii="Garamond" w:hAnsi="Garamond" w:cstheme="minorHAnsi"/>
                <w:sz w:val="22"/>
                <w:szCs w:val="22"/>
                <w:lang w:val="en-US"/>
              </w:rPr>
              <w:t>point</w:t>
            </w:r>
            <w:r w:rsidRPr="00A5626D">
              <w:rPr>
                <w:rFonts w:ascii="Garamond" w:hAnsi="Garamond" w:cstheme="minorHAnsi"/>
                <w:sz w:val="22"/>
                <w:szCs w:val="22"/>
              </w:rPr>
              <w:t xml:space="preserve">&gt; должно соответствовать суммарному количеству точек поставки </w:t>
            </w:r>
            <w:r w:rsidRPr="00A5626D">
              <w:rPr>
                <w:rFonts w:ascii="Garamond" w:hAnsi="Garamond" w:cstheme="minorHAnsi"/>
                <w:sz w:val="22"/>
                <w:szCs w:val="22"/>
                <w:highlight w:val="yellow"/>
              </w:rPr>
              <w:t>(точек присоединения)</w:t>
            </w:r>
            <w:r w:rsidRPr="00A5626D">
              <w:rPr>
                <w:rFonts w:ascii="Garamond" w:hAnsi="Garamond" w:cstheme="minorHAnsi"/>
                <w:sz w:val="22"/>
                <w:szCs w:val="22"/>
              </w:rPr>
              <w:t xml:space="preserve"> и</w:t>
            </w:r>
            <w:r w:rsidRPr="00A5626D">
              <w:rPr>
                <w:rFonts w:ascii="Garamond" w:hAnsi="Garamond" w:cstheme="minorHAnsi"/>
                <w:bCs/>
                <w:sz w:val="22"/>
                <w:szCs w:val="22"/>
              </w:rPr>
              <w:t xml:space="preserve"> групповых точек</w:t>
            </w:r>
            <w:r w:rsidRPr="00A5626D">
              <w:rPr>
                <w:rFonts w:ascii="Garamond" w:hAnsi="Garamond" w:cstheme="minorHAnsi"/>
                <w:sz w:val="22"/>
                <w:szCs w:val="22"/>
              </w:rPr>
              <w:t xml:space="preserve"> поставки </w:t>
            </w:r>
            <w:r w:rsidRPr="00A5626D">
              <w:rPr>
                <w:rFonts w:ascii="Garamond" w:hAnsi="Garamond" w:cstheme="minorHAnsi"/>
                <w:sz w:val="22"/>
                <w:szCs w:val="22"/>
                <w:highlight w:val="yellow"/>
              </w:rPr>
              <w:t>(групповых точек присоединения)</w:t>
            </w:r>
            <w:r w:rsidRPr="00A5626D">
              <w:rPr>
                <w:rFonts w:ascii="Garamond" w:hAnsi="Garamond" w:cstheme="minorHAnsi"/>
                <w:bCs/>
                <w:sz w:val="22"/>
                <w:szCs w:val="22"/>
              </w:rPr>
              <w:t xml:space="preserve">, представленных в сечении </w:t>
            </w:r>
            <w:r w:rsidRPr="00A5626D">
              <w:rPr>
                <w:rFonts w:ascii="Garamond" w:hAnsi="Garamond" w:cstheme="minorHAnsi"/>
                <w:bCs/>
                <w:sz w:val="22"/>
                <w:szCs w:val="22"/>
                <w:highlight w:val="yellow"/>
              </w:rPr>
              <w:t>КУ</w:t>
            </w:r>
            <w:r w:rsidR="0080351A" w:rsidRPr="0080351A">
              <w:rPr>
                <w:rFonts w:ascii="Garamond" w:hAnsi="Garamond" w:cstheme="minorHAnsi"/>
                <w:bCs/>
                <w:sz w:val="22"/>
                <w:szCs w:val="22"/>
                <w:highlight w:val="yellow"/>
              </w:rPr>
              <w:t>,</w:t>
            </w:r>
            <w:r w:rsidRPr="00A5626D">
              <w:rPr>
                <w:rFonts w:ascii="Garamond" w:hAnsi="Garamond" w:cstheme="minorHAnsi"/>
                <w:bCs/>
                <w:sz w:val="22"/>
                <w:szCs w:val="22"/>
              </w:rPr>
              <w:t xml:space="preserve"> или ГТП генерации</w:t>
            </w:r>
            <w:r w:rsidR="0080351A" w:rsidRPr="0080351A">
              <w:rPr>
                <w:rFonts w:ascii="Garamond" w:hAnsi="Garamond" w:cstheme="minorHAnsi"/>
                <w:bCs/>
                <w:sz w:val="22"/>
                <w:szCs w:val="22"/>
                <w:highlight w:val="yellow"/>
              </w:rPr>
              <w:t>,</w:t>
            </w:r>
            <w:r w:rsidRPr="0080351A">
              <w:rPr>
                <w:rFonts w:ascii="Garamond" w:hAnsi="Garamond" w:cstheme="minorHAnsi"/>
                <w:bCs/>
                <w:sz w:val="22"/>
                <w:szCs w:val="22"/>
                <w:highlight w:val="yellow"/>
              </w:rPr>
              <w:t xml:space="preserve"> и</w:t>
            </w:r>
            <w:r w:rsidRPr="00A5626D">
              <w:rPr>
                <w:rFonts w:ascii="Garamond" w:hAnsi="Garamond" w:cstheme="minorHAnsi"/>
                <w:bCs/>
                <w:sz w:val="22"/>
                <w:szCs w:val="22"/>
                <w:highlight w:val="yellow"/>
              </w:rPr>
              <w:t>ли ОР</w:t>
            </w:r>
            <w:r w:rsidRPr="00A5626D">
              <w:rPr>
                <w:rFonts w:ascii="Garamond" w:hAnsi="Garamond" w:cstheme="minorHAnsi"/>
                <w:sz w:val="22"/>
                <w:szCs w:val="22"/>
                <w:highlight w:val="yellow"/>
              </w:rPr>
              <w:t>.</w:t>
            </w:r>
          </w:p>
          <w:p w14:paraId="39938E91" w14:textId="77777777" w:rsidR="00295C6D" w:rsidRPr="00A5626D" w:rsidRDefault="00295C6D" w:rsidP="00E31AE6">
            <w:pPr>
              <w:tabs>
                <w:tab w:val="left" w:pos="1134"/>
                <w:tab w:val="left" w:pos="7938"/>
              </w:tabs>
              <w:spacing w:before="120" w:after="120"/>
              <w:ind w:firstLine="567"/>
              <w:jc w:val="both"/>
              <w:rPr>
                <w:rFonts w:ascii="Garamond" w:hAnsi="Garamond" w:cstheme="minorHAnsi"/>
                <w:sz w:val="22"/>
                <w:szCs w:val="22"/>
              </w:rPr>
            </w:pPr>
            <w:r w:rsidRPr="00A5626D">
              <w:rPr>
                <w:rFonts w:ascii="Garamond" w:hAnsi="Garamond" w:cstheme="minorHAnsi"/>
                <w:sz w:val="22"/>
                <w:szCs w:val="22"/>
              </w:rPr>
              <w:t>Атрибутами элемента &lt;</w:t>
            </w:r>
            <w:r w:rsidRPr="00A5626D">
              <w:rPr>
                <w:rFonts w:ascii="Garamond" w:hAnsi="Garamond" w:cstheme="minorHAnsi"/>
                <w:sz w:val="22"/>
                <w:szCs w:val="22"/>
                <w:lang w:val="en-US"/>
              </w:rPr>
              <w:t>delivery</w:t>
            </w:r>
            <w:r w:rsidRPr="00A5626D">
              <w:rPr>
                <w:rFonts w:ascii="Garamond" w:hAnsi="Garamond" w:cstheme="minorHAnsi"/>
                <w:sz w:val="22"/>
                <w:szCs w:val="22"/>
              </w:rPr>
              <w:t>-</w:t>
            </w:r>
            <w:r w:rsidRPr="00A5626D">
              <w:rPr>
                <w:rFonts w:ascii="Garamond" w:hAnsi="Garamond" w:cstheme="minorHAnsi"/>
                <w:sz w:val="22"/>
                <w:szCs w:val="22"/>
                <w:lang w:val="en-US"/>
              </w:rPr>
              <w:t>point</w:t>
            </w:r>
            <w:r w:rsidRPr="00A5626D">
              <w:rPr>
                <w:rFonts w:ascii="Garamond" w:hAnsi="Garamond" w:cstheme="minorHAnsi"/>
                <w:sz w:val="22"/>
                <w:szCs w:val="22"/>
              </w:rPr>
              <w:t>&gt; являются:</w:t>
            </w:r>
          </w:p>
          <w:p w14:paraId="6CD12E8F" w14:textId="77777777" w:rsidR="00295C6D" w:rsidRPr="00A5626D" w:rsidRDefault="00295C6D" w:rsidP="00295C6D">
            <w:pPr>
              <w:pStyle w:val="ac"/>
              <w:numPr>
                <w:ilvl w:val="0"/>
                <w:numId w:val="272"/>
              </w:numPr>
              <w:tabs>
                <w:tab w:val="left" w:pos="1134"/>
                <w:tab w:val="left" w:pos="7938"/>
              </w:tabs>
              <w:spacing w:before="120" w:after="120" w:line="259" w:lineRule="auto"/>
              <w:ind w:left="0" w:firstLine="567"/>
              <w:contextualSpacing/>
              <w:jc w:val="both"/>
              <w:rPr>
                <w:rFonts w:ascii="Garamond" w:hAnsi="Garamond" w:cstheme="minorHAnsi"/>
                <w:sz w:val="22"/>
                <w:szCs w:val="22"/>
              </w:rPr>
            </w:pPr>
            <w:r w:rsidRPr="00A5626D">
              <w:rPr>
                <w:rFonts w:ascii="Garamond" w:hAnsi="Garamond" w:cstheme="minorHAnsi"/>
                <w:sz w:val="22"/>
                <w:szCs w:val="22"/>
                <w:lang w:val="en-US"/>
              </w:rPr>
              <w:t>id</w:t>
            </w:r>
            <w:r w:rsidRPr="00A5626D">
              <w:rPr>
                <w:rFonts w:ascii="Garamond" w:hAnsi="Garamond" w:cstheme="minorHAnsi"/>
                <w:sz w:val="22"/>
                <w:szCs w:val="22"/>
              </w:rPr>
              <w:t>-</w:t>
            </w:r>
            <w:r w:rsidRPr="00A5626D">
              <w:rPr>
                <w:rFonts w:ascii="Garamond" w:hAnsi="Garamond" w:cstheme="minorHAnsi"/>
                <w:sz w:val="22"/>
                <w:szCs w:val="22"/>
                <w:lang w:val="en-US"/>
              </w:rPr>
              <w:t>delivery</w:t>
            </w:r>
            <w:r w:rsidRPr="00A5626D">
              <w:rPr>
                <w:rFonts w:ascii="Garamond" w:hAnsi="Garamond" w:cstheme="minorHAnsi"/>
                <w:sz w:val="22"/>
                <w:szCs w:val="22"/>
              </w:rPr>
              <w:t>-</w:t>
            </w:r>
            <w:r w:rsidRPr="00A5626D">
              <w:rPr>
                <w:rFonts w:ascii="Garamond" w:hAnsi="Garamond" w:cstheme="minorHAnsi"/>
                <w:sz w:val="22"/>
                <w:szCs w:val="22"/>
                <w:lang w:val="en-US"/>
              </w:rPr>
              <w:t>point</w:t>
            </w:r>
            <w:r w:rsidRPr="00A5626D">
              <w:rPr>
                <w:rFonts w:ascii="Garamond" w:hAnsi="Garamond" w:cstheme="minorHAnsi"/>
                <w:sz w:val="22"/>
                <w:szCs w:val="22"/>
              </w:rPr>
              <w:t xml:space="preserve"> – внутренний идентификатор точки поставки </w:t>
            </w:r>
            <w:r w:rsidRPr="00A5626D">
              <w:rPr>
                <w:rFonts w:ascii="Garamond" w:hAnsi="Garamond" w:cstheme="minorHAnsi"/>
                <w:sz w:val="22"/>
                <w:szCs w:val="22"/>
                <w:highlight w:val="yellow"/>
              </w:rPr>
              <w:t>(точки присоединения).</w:t>
            </w:r>
            <w:r w:rsidRPr="00A5626D">
              <w:rPr>
                <w:rFonts w:ascii="Garamond" w:hAnsi="Garamond" w:cstheme="minorHAnsi"/>
                <w:sz w:val="22"/>
                <w:szCs w:val="22"/>
              </w:rPr>
              <w:t xml:space="preserve"> Число до 4 знаков (1, 01, 001 и 0001 считаются одинаковыми идентификаторами). Является обязательным атрибутом;</w:t>
            </w:r>
          </w:p>
          <w:p w14:paraId="2FF414A5" w14:textId="77777777" w:rsidR="00295C6D" w:rsidRPr="00A5626D" w:rsidRDefault="00295C6D" w:rsidP="00295C6D">
            <w:pPr>
              <w:pStyle w:val="ac"/>
              <w:numPr>
                <w:ilvl w:val="0"/>
                <w:numId w:val="272"/>
              </w:numPr>
              <w:tabs>
                <w:tab w:val="left" w:pos="1134"/>
                <w:tab w:val="left" w:pos="7938"/>
              </w:tabs>
              <w:spacing w:before="120" w:after="120" w:line="259" w:lineRule="auto"/>
              <w:ind w:left="0" w:firstLine="567"/>
              <w:contextualSpacing/>
              <w:jc w:val="both"/>
              <w:rPr>
                <w:rFonts w:ascii="Garamond" w:hAnsi="Garamond" w:cstheme="minorHAnsi"/>
                <w:sz w:val="22"/>
                <w:szCs w:val="22"/>
                <w:lang w:val="en-US"/>
              </w:rPr>
            </w:pPr>
            <w:r w:rsidRPr="00A5626D">
              <w:rPr>
                <w:rFonts w:ascii="Garamond" w:hAnsi="Garamond" w:cstheme="minorHAnsi"/>
                <w:sz w:val="22"/>
                <w:szCs w:val="22"/>
                <w:lang w:val="en-US"/>
              </w:rPr>
              <w:t>guid</w:t>
            </w:r>
            <w:r w:rsidRPr="00A5626D">
              <w:rPr>
                <w:rFonts w:ascii="Garamond" w:hAnsi="Garamond" w:cstheme="minorHAnsi"/>
                <w:sz w:val="22"/>
                <w:szCs w:val="22"/>
              </w:rPr>
              <w:t xml:space="preserve"> – уникальный идентификатор ТП, присваиваемый системой, формирующей файл. </w:t>
            </w:r>
            <w:r w:rsidRPr="00A5626D">
              <w:rPr>
                <w:rFonts w:ascii="Garamond" w:hAnsi="Garamond" w:cstheme="minorHAnsi"/>
                <w:sz w:val="22"/>
                <w:szCs w:val="22"/>
                <w:lang w:val="en-US"/>
              </w:rPr>
              <w:t>Текстовое поле с 36 символами. Является обязательным атрибутом;</w:t>
            </w:r>
          </w:p>
          <w:p w14:paraId="41C8B89C" w14:textId="77777777" w:rsidR="00295C6D" w:rsidRPr="00A5626D" w:rsidRDefault="00295C6D" w:rsidP="00295C6D">
            <w:pPr>
              <w:pStyle w:val="ac"/>
              <w:numPr>
                <w:ilvl w:val="0"/>
                <w:numId w:val="272"/>
              </w:numPr>
              <w:tabs>
                <w:tab w:val="left" w:pos="1134"/>
                <w:tab w:val="left" w:pos="7938"/>
              </w:tabs>
              <w:spacing w:before="120" w:after="120" w:line="259" w:lineRule="auto"/>
              <w:ind w:left="0" w:firstLine="567"/>
              <w:contextualSpacing/>
              <w:jc w:val="both"/>
              <w:rPr>
                <w:rFonts w:ascii="Garamond" w:hAnsi="Garamond" w:cstheme="minorHAnsi"/>
                <w:sz w:val="22"/>
                <w:szCs w:val="22"/>
                <w:lang w:val="en-US"/>
              </w:rPr>
            </w:pPr>
            <w:r w:rsidRPr="00A5626D">
              <w:rPr>
                <w:rFonts w:ascii="Garamond" w:hAnsi="Garamond" w:cstheme="minorHAnsi"/>
                <w:sz w:val="22"/>
                <w:szCs w:val="22"/>
                <w:lang w:val="en-US"/>
              </w:rPr>
              <w:t>is</w:t>
            </w:r>
            <w:r w:rsidRPr="00A5626D">
              <w:rPr>
                <w:rFonts w:ascii="Garamond" w:hAnsi="Garamond" w:cstheme="minorHAnsi"/>
                <w:sz w:val="22"/>
                <w:szCs w:val="22"/>
              </w:rPr>
              <w:t>-</w:t>
            </w:r>
            <w:r w:rsidRPr="00A5626D">
              <w:rPr>
                <w:rFonts w:ascii="Garamond" w:hAnsi="Garamond" w:cstheme="minorHAnsi"/>
                <w:sz w:val="22"/>
                <w:szCs w:val="22"/>
                <w:lang w:val="en-US"/>
              </w:rPr>
              <w:t>group</w:t>
            </w:r>
            <w:r w:rsidRPr="00A5626D">
              <w:rPr>
                <w:rFonts w:ascii="Garamond" w:hAnsi="Garamond" w:cstheme="minorHAnsi"/>
                <w:sz w:val="22"/>
                <w:szCs w:val="22"/>
              </w:rPr>
              <w:t>-</w:t>
            </w:r>
            <w:r w:rsidRPr="00A5626D">
              <w:rPr>
                <w:rFonts w:ascii="Garamond" w:hAnsi="Garamond" w:cstheme="minorHAnsi"/>
                <w:sz w:val="22"/>
                <w:szCs w:val="22"/>
                <w:lang w:val="en-US"/>
              </w:rPr>
              <w:t>delivery</w:t>
            </w:r>
            <w:r w:rsidRPr="00A5626D">
              <w:rPr>
                <w:rFonts w:ascii="Garamond" w:hAnsi="Garamond" w:cstheme="minorHAnsi"/>
                <w:sz w:val="22"/>
                <w:szCs w:val="22"/>
              </w:rPr>
              <w:t>-</w:t>
            </w:r>
            <w:r w:rsidRPr="00A5626D">
              <w:rPr>
                <w:rFonts w:ascii="Garamond" w:hAnsi="Garamond" w:cstheme="minorHAnsi"/>
                <w:sz w:val="22"/>
                <w:szCs w:val="22"/>
                <w:lang w:val="en-US"/>
              </w:rPr>
              <w:t>point</w:t>
            </w:r>
            <w:r w:rsidRPr="00A5626D">
              <w:rPr>
                <w:rFonts w:ascii="Garamond" w:hAnsi="Garamond" w:cstheme="minorHAnsi"/>
                <w:sz w:val="22"/>
                <w:szCs w:val="22"/>
              </w:rPr>
              <w:t xml:space="preserve"> – признак того, что ТП является групповой. Может принимать значения: </w:t>
            </w:r>
            <w:r w:rsidRPr="00A5626D">
              <w:rPr>
                <w:rFonts w:ascii="Garamond" w:hAnsi="Garamond" w:cstheme="minorHAnsi"/>
                <w:sz w:val="22"/>
                <w:szCs w:val="22"/>
                <w:lang w:val="en-US"/>
              </w:rPr>
              <w:t>true</w:t>
            </w:r>
            <w:r w:rsidRPr="00A5626D">
              <w:rPr>
                <w:rFonts w:ascii="Garamond" w:hAnsi="Garamond" w:cstheme="minorHAnsi"/>
                <w:sz w:val="22"/>
                <w:szCs w:val="22"/>
              </w:rPr>
              <w:t xml:space="preserve">, если точка групповая, </w:t>
            </w:r>
            <w:r w:rsidRPr="00A5626D">
              <w:rPr>
                <w:rFonts w:ascii="Garamond" w:hAnsi="Garamond" w:cstheme="minorHAnsi"/>
                <w:sz w:val="22"/>
                <w:szCs w:val="22"/>
                <w:lang w:val="en-US"/>
              </w:rPr>
              <w:t>false</w:t>
            </w:r>
            <w:r w:rsidRPr="00A5626D">
              <w:rPr>
                <w:rFonts w:ascii="Garamond" w:hAnsi="Garamond" w:cstheme="minorHAnsi"/>
                <w:sz w:val="22"/>
                <w:szCs w:val="22"/>
              </w:rPr>
              <w:t xml:space="preserve">, если точка негрупповая. </w:t>
            </w:r>
            <w:r w:rsidRPr="00A5626D">
              <w:rPr>
                <w:rFonts w:ascii="Garamond" w:hAnsi="Garamond" w:cstheme="minorHAnsi"/>
                <w:sz w:val="22"/>
                <w:szCs w:val="22"/>
                <w:lang w:val="en-US"/>
              </w:rPr>
              <w:t>Является обязательным атрибутом.</w:t>
            </w:r>
          </w:p>
          <w:p w14:paraId="4C5F1B21" w14:textId="77777777" w:rsidR="00295C6D" w:rsidRPr="00A5626D" w:rsidRDefault="00295C6D" w:rsidP="00295C6D">
            <w:pPr>
              <w:pStyle w:val="ac"/>
              <w:numPr>
                <w:ilvl w:val="0"/>
                <w:numId w:val="272"/>
              </w:numPr>
              <w:tabs>
                <w:tab w:val="left" w:pos="1134"/>
                <w:tab w:val="left" w:pos="7938"/>
              </w:tabs>
              <w:spacing w:before="120" w:after="120" w:line="259" w:lineRule="auto"/>
              <w:ind w:left="0" w:firstLine="567"/>
              <w:contextualSpacing/>
              <w:jc w:val="both"/>
              <w:rPr>
                <w:rFonts w:ascii="Garamond" w:hAnsi="Garamond" w:cstheme="minorHAnsi"/>
                <w:sz w:val="22"/>
                <w:szCs w:val="22"/>
                <w:lang w:val="en-US"/>
              </w:rPr>
            </w:pPr>
            <w:r w:rsidRPr="00A5626D">
              <w:rPr>
                <w:rFonts w:ascii="Garamond" w:hAnsi="Garamond" w:cstheme="minorHAnsi"/>
                <w:sz w:val="22"/>
                <w:szCs w:val="22"/>
                <w:lang w:val="en-US"/>
              </w:rPr>
              <w:t>Если признак равен true, то атрибуты id-power-object, method, schemanum, power, point-voltage не обязательны к заполнению, а элемент &lt;group-delivery-point-composition&gt; в элементе &lt;links&gt; обязателен к заполнению;</w:t>
            </w:r>
          </w:p>
          <w:p w14:paraId="77A08E63" w14:textId="77777777" w:rsidR="00295C6D" w:rsidRPr="00A5626D" w:rsidRDefault="00295C6D" w:rsidP="00295C6D">
            <w:pPr>
              <w:pStyle w:val="ac"/>
              <w:numPr>
                <w:ilvl w:val="0"/>
                <w:numId w:val="272"/>
              </w:numPr>
              <w:tabs>
                <w:tab w:val="left" w:pos="1134"/>
                <w:tab w:val="left" w:pos="7938"/>
              </w:tabs>
              <w:spacing w:before="120" w:after="120" w:line="259" w:lineRule="auto"/>
              <w:ind w:left="0" w:firstLine="567"/>
              <w:contextualSpacing/>
              <w:jc w:val="both"/>
              <w:rPr>
                <w:rFonts w:ascii="Garamond" w:hAnsi="Garamond" w:cstheme="minorHAnsi"/>
                <w:sz w:val="22"/>
                <w:szCs w:val="22"/>
              </w:rPr>
            </w:pPr>
            <w:r w:rsidRPr="00A5626D">
              <w:rPr>
                <w:rFonts w:ascii="Garamond" w:hAnsi="Garamond" w:cstheme="minorHAnsi"/>
                <w:sz w:val="22"/>
                <w:szCs w:val="22"/>
                <w:lang w:val="en-US"/>
              </w:rPr>
              <w:t>is</w:t>
            </w:r>
            <w:r w:rsidRPr="00A5626D">
              <w:rPr>
                <w:rFonts w:ascii="Garamond" w:hAnsi="Garamond" w:cstheme="minorHAnsi"/>
                <w:sz w:val="22"/>
                <w:szCs w:val="22"/>
              </w:rPr>
              <w:t>-</w:t>
            </w:r>
            <w:r w:rsidRPr="00A5626D">
              <w:rPr>
                <w:rFonts w:ascii="Garamond" w:hAnsi="Garamond" w:cstheme="minorHAnsi"/>
                <w:sz w:val="22"/>
                <w:szCs w:val="22"/>
                <w:lang w:val="en-US"/>
              </w:rPr>
              <w:t>for</w:t>
            </w:r>
            <w:r w:rsidRPr="00A5626D">
              <w:rPr>
                <w:rFonts w:ascii="Garamond" w:hAnsi="Garamond" w:cstheme="minorHAnsi"/>
                <w:sz w:val="22"/>
                <w:szCs w:val="22"/>
              </w:rPr>
              <w:t>-</w:t>
            </w:r>
            <w:r w:rsidRPr="00A5626D">
              <w:rPr>
                <w:rFonts w:ascii="Garamond" w:hAnsi="Garamond" w:cstheme="minorHAnsi"/>
                <w:sz w:val="22"/>
                <w:szCs w:val="22"/>
                <w:lang w:val="en-US"/>
              </w:rPr>
              <w:t>coding</w:t>
            </w:r>
            <w:r w:rsidRPr="00A5626D">
              <w:rPr>
                <w:rFonts w:ascii="Garamond" w:hAnsi="Garamond" w:cstheme="minorHAnsi"/>
                <w:sz w:val="22"/>
                <w:szCs w:val="22"/>
              </w:rPr>
              <w:t xml:space="preserve"> – признак, определяющий необходимость кодирования данной ТП. Может принимать значения: </w:t>
            </w:r>
            <w:r w:rsidRPr="00A5626D">
              <w:rPr>
                <w:rFonts w:ascii="Garamond" w:hAnsi="Garamond" w:cstheme="minorHAnsi"/>
                <w:sz w:val="22"/>
                <w:szCs w:val="22"/>
                <w:lang w:val="en-US"/>
              </w:rPr>
              <w:t>true</w:t>
            </w:r>
            <w:r w:rsidRPr="00A5626D">
              <w:rPr>
                <w:rFonts w:ascii="Garamond" w:hAnsi="Garamond" w:cstheme="minorHAnsi"/>
                <w:sz w:val="22"/>
                <w:szCs w:val="22"/>
              </w:rPr>
              <w:t xml:space="preserve">, если данную ТП необходимо кодировать, </w:t>
            </w:r>
            <w:r w:rsidRPr="00A5626D">
              <w:rPr>
                <w:rFonts w:ascii="Garamond" w:hAnsi="Garamond" w:cstheme="minorHAnsi"/>
                <w:sz w:val="22"/>
                <w:szCs w:val="22"/>
                <w:lang w:val="en-US"/>
              </w:rPr>
              <w:t>false</w:t>
            </w:r>
            <w:r w:rsidRPr="00A5626D">
              <w:rPr>
                <w:rFonts w:ascii="Garamond" w:hAnsi="Garamond" w:cstheme="minorHAnsi"/>
                <w:sz w:val="22"/>
                <w:szCs w:val="22"/>
              </w:rPr>
              <w:t>, если данная ТП не предназначена для кодирования. Является обязательным атрибутом;</w:t>
            </w:r>
          </w:p>
          <w:p w14:paraId="65835E27" w14:textId="147E7D00" w:rsidR="00295C6D" w:rsidRPr="00A5626D" w:rsidRDefault="00295C6D" w:rsidP="00295C6D">
            <w:pPr>
              <w:pStyle w:val="ac"/>
              <w:numPr>
                <w:ilvl w:val="0"/>
                <w:numId w:val="272"/>
              </w:numPr>
              <w:tabs>
                <w:tab w:val="left" w:pos="1134"/>
                <w:tab w:val="left" w:pos="7938"/>
              </w:tabs>
              <w:spacing w:before="120" w:after="120" w:line="259" w:lineRule="auto"/>
              <w:ind w:left="0" w:firstLine="567"/>
              <w:contextualSpacing/>
              <w:jc w:val="both"/>
              <w:rPr>
                <w:rFonts w:ascii="Garamond" w:hAnsi="Garamond" w:cstheme="minorHAnsi"/>
                <w:sz w:val="22"/>
                <w:szCs w:val="22"/>
              </w:rPr>
            </w:pPr>
            <w:r w:rsidRPr="00A5626D">
              <w:rPr>
                <w:rFonts w:ascii="Garamond" w:hAnsi="Garamond" w:cstheme="minorHAnsi"/>
                <w:sz w:val="22"/>
                <w:szCs w:val="22"/>
                <w:lang w:val="en-US"/>
              </w:rPr>
              <w:lastRenderedPageBreak/>
              <w:t>ats</w:t>
            </w:r>
            <w:r w:rsidRPr="00A5626D">
              <w:rPr>
                <w:rFonts w:ascii="Garamond" w:hAnsi="Garamond" w:cstheme="minorHAnsi"/>
                <w:sz w:val="22"/>
                <w:szCs w:val="22"/>
              </w:rPr>
              <w:t>-</w:t>
            </w:r>
            <w:r w:rsidRPr="00A5626D">
              <w:rPr>
                <w:rFonts w:ascii="Garamond" w:hAnsi="Garamond" w:cstheme="minorHAnsi"/>
                <w:sz w:val="22"/>
                <w:szCs w:val="22"/>
                <w:lang w:val="en-US"/>
              </w:rPr>
              <w:t>code</w:t>
            </w:r>
            <w:r w:rsidRPr="00A5626D">
              <w:rPr>
                <w:rFonts w:ascii="Garamond" w:hAnsi="Garamond" w:cstheme="minorHAnsi"/>
                <w:sz w:val="22"/>
                <w:szCs w:val="22"/>
              </w:rPr>
              <w:t xml:space="preserve"> – уникальный код, присвоенный КО точке поставки </w:t>
            </w:r>
            <w:r w:rsidRPr="00A5626D">
              <w:rPr>
                <w:rFonts w:ascii="Garamond" w:hAnsi="Garamond" w:cstheme="minorHAnsi"/>
                <w:sz w:val="22"/>
                <w:szCs w:val="22"/>
                <w:highlight w:val="yellow"/>
              </w:rPr>
              <w:t>(точке присоединения).</w:t>
            </w:r>
            <w:r w:rsidRPr="00A5626D">
              <w:rPr>
                <w:rFonts w:ascii="Garamond" w:hAnsi="Garamond" w:cstheme="minorHAnsi"/>
                <w:sz w:val="22"/>
                <w:szCs w:val="22"/>
              </w:rPr>
              <w:t xml:space="preserve"> Число из 15 знаков. Является необязательным атрибутом. Заполняется для всех ранее закодированных КО точек поставки </w:t>
            </w:r>
            <w:r w:rsidRPr="00A5626D">
              <w:rPr>
                <w:rFonts w:ascii="Garamond" w:hAnsi="Garamond" w:cstheme="minorHAnsi"/>
                <w:sz w:val="22"/>
                <w:szCs w:val="22"/>
                <w:highlight w:val="yellow"/>
              </w:rPr>
              <w:t>(точек присоединения)</w:t>
            </w:r>
            <w:r w:rsidRPr="00A5626D">
              <w:rPr>
                <w:rFonts w:ascii="Garamond" w:hAnsi="Garamond" w:cstheme="minorHAnsi"/>
                <w:sz w:val="22"/>
                <w:szCs w:val="22"/>
              </w:rPr>
              <w:t xml:space="preserve"> вне зависимости от того, в какой АИИС </w:t>
            </w:r>
            <w:r w:rsidRPr="00A5626D">
              <w:rPr>
                <w:rFonts w:ascii="Garamond" w:hAnsi="Garamond" w:cstheme="minorHAnsi"/>
                <w:sz w:val="22"/>
                <w:szCs w:val="22"/>
                <w:highlight w:val="yellow"/>
              </w:rPr>
              <w:t xml:space="preserve">/ </w:t>
            </w:r>
            <w:r w:rsidR="00090347">
              <w:rPr>
                <w:rFonts w:ascii="Garamond" w:hAnsi="Garamond" w:cstheme="minorHAnsi"/>
                <w:sz w:val="22"/>
                <w:szCs w:val="22"/>
                <w:highlight w:val="yellow"/>
              </w:rPr>
              <w:t>с</w:t>
            </w:r>
            <w:r w:rsidRPr="00A5626D">
              <w:rPr>
                <w:rFonts w:ascii="Garamond" w:hAnsi="Garamond" w:cstheme="minorHAnsi"/>
                <w:sz w:val="22"/>
                <w:szCs w:val="22"/>
                <w:highlight w:val="yellow"/>
              </w:rPr>
              <w:t>писке ОР</w:t>
            </w:r>
            <w:r w:rsidRPr="00A5626D">
              <w:rPr>
                <w:rFonts w:ascii="Garamond" w:hAnsi="Garamond" w:cstheme="minorHAnsi"/>
                <w:sz w:val="22"/>
                <w:szCs w:val="22"/>
              </w:rPr>
              <w:t xml:space="preserve"> ТП получила код АТС – заявителя или смежного участника;</w:t>
            </w:r>
          </w:p>
          <w:p w14:paraId="7BBFF779" w14:textId="77777777" w:rsidR="00295C6D" w:rsidRPr="00A5626D" w:rsidRDefault="00295C6D" w:rsidP="00295C6D">
            <w:pPr>
              <w:pStyle w:val="ac"/>
              <w:numPr>
                <w:ilvl w:val="0"/>
                <w:numId w:val="272"/>
              </w:numPr>
              <w:tabs>
                <w:tab w:val="left" w:pos="1134"/>
                <w:tab w:val="left" w:pos="7938"/>
              </w:tabs>
              <w:spacing w:before="120" w:after="120" w:line="259" w:lineRule="auto"/>
              <w:ind w:left="0" w:firstLine="567"/>
              <w:contextualSpacing/>
              <w:jc w:val="both"/>
              <w:rPr>
                <w:rFonts w:ascii="Garamond" w:hAnsi="Garamond" w:cstheme="minorHAnsi"/>
                <w:sz w:val="22"/>
                <w:szCs w:val="22"/>
              </w:rPr>
            </w:pPr>
            <w:r w:rsidRPr="00A5626D">
              <w:rPr>
                <w:rFonts w:ascii="Garamond" w:hAnsi="Garamond" w:cstheme="minorHAnsi"/>
                <w:sz w:val="22"/>
                <w:szCs w:val="22"/>
                <w:lang w:val="en-US"/>
              </w:rPr>
              <w:t>composite</w:t>
            </w:r>
            <w:r w:rsidRPr="00A5626D">
              <w:rPr>
                <w:rFonts w:ascii="Garamond" w:hAnsi="Garamond" w:cstheme="minorHAnsi"/>
                <w:sz w:val="22"/>
                <w:szCs w:val="22"/>
              </w:rPr>
              <w:t>-</w:t>
            </w:r>
            <w:r w:rsidRPr="00A5626D">
              <w:rPr>
                <w:rFonts w:ascii="Garamond" w:hAnsi="Garamond" w:cstheme="minorHAnsi"/>
                <w:sz w:val="22"/>
                <w:szCs w:val="22"/>
                <w:lang w:val="en-US"/>
              </w:rPr>
              <w:t>name</w:t>
            </w:r>
            <w:r w:rsidRPr="00A5626D">
              <w:rPr>
                <w:rFonts w:ascii="Garamond" w:hAnsi="Garamond" w:cstheme="minorHAnsi"/>
                <w:sz w:val="22"/>
                <w:szCs w:val="22"/>
              </w:rPr>
              <w:t xml:space="preserve"> – составное наименование точки поставки </w:t>
            </w:r>
            <w:r w:rsidRPr="00A5626D">
              <w:rPr>
                <w:rFonts w:ascii="Garamond" w:hAnsi="Garamond" w:cstheme="minorHAnsi"/>
                <w:sz w:val="22"/>
                <w:szCs w:val="22"/>
                <w:highlight w:val="yellow"/>
              </w:rPr>
              <w:t>(точки присоединения)</w:t>
            </w:r>
            <w:r w:rsidRPr="00A5626D">
              <w:rPr>
                <w:rFonts w:ascii="Garamond" w:hAnsi="Garamond" w:cstheme="minorHAnsi"/>
                <w:sz w:val="22"/>
                <w:szCs w:val="22"/>
              </w:rPr>
              <w:t xml:space="preserve">. Текстовое поле не более 512 символов. Является обязательным атрибутом для групповой точки, для остальных точек не заполняется; </w:t>
            </w:r>
          </w:p>
          <w:p w14:paraId="0E85E016" w14:textId="77777777" w:rsidR="00295C6D" w:rsidRPr="00A5626D" w:rsidRDefault="00295C6D" w:rsidP="00295C6D">
            <w:pPr>
              <w:pStyle w:val="ac"/>
              <w:numPr>
                <w:ilvl w:val="0"/>
                <w:numId w:val="272"/>
              </w:numPr>
              <w:tabs>
                <w:tab w:val="left" w:pos="1134"/>
                <w:tab w:val="left" w:pos="7938"/>
              </w:tabs>
              <w:spacing w:before="120" w:after="120" w:line="259" w:lineRule="auto"/>
              <w:ind w:left="0" w:firstLine="567"/>
              <w:contextualSpacing/>
              <w:jc w:val="both"/>
              <w:rPr>
                <w:rFonts w:ascii="Garamond" w:hAnsi="Garamond" w:cstheme="minorHAnsi"/>
                <w:sz w:val="22"/>
                <w:szCs w:val="22"/>
              </w:rPr>
            </w:pPr>
            <w:r w:rsidRPr="00A5626D">
              <w:rPr>
                <w:rFonts w:ascii="Garamond" w:hAnsi="Garamond" w:cstheme="minorHAnsi"/>
                <w:sz w:val="22"/>
                <w:szCs w:val="22"/>
                <w:lang w:val="en-US"/>
              </w:rPr>
              <w:t>id</w:t>
            </w:r>
            <w:r w:rsidRPr="00A5626D">
              <w:rPr>
                <w:rFonts w:ascii="Garamond" w:hAnsi="Garamond" w:cstheme="minorHAnsi"/>
                <w:sz w:val="22"/>
                <w:szCs w:val="22"/>
              </w:rPr>
              <w:t>-</w:t>
            </w:r>
            <w:r w:rsidRPr="00A5626D">
              <w:rPr>
                <w:rFonts w:ascii="Garamond" w:hAnsi="Garamond" w:cstheme="minorHAnsi"/>
                <w:sz w:val="22"/>
                <w:szCs w:val="22"/>
                <w:lang w:val="en-US"/>
              </w:rPr>
              <w:t>power</w:t>
            </w:r>
            <w:r w:rsidRPr="00A5626D">
              <w:rPr>
                <w:rFonts w:ascii="Garamond" w:hAnsi="Garamond" w:cstheme="minorHAnsi"/>
                <w:sz w:val="22"/>
                <w:szCs w:val="22"/>
              </w:rPr>
              <w:t>-</w:t>
            </w:r>
            <w:r w:rsidRPr="00A5626D">
              <w:rPr>
                <w:rFonts w:ascii="Garamond" w:hAnsi="Garamond" w:cstheme="minorHAnsi"/>
                <w:sz w:val="22"/>
                <w:szCs w:val="22"/>
                <w:lang w:val="en-US"/>
              </w:rPr>
              <w:t>object</w:t>
            </w:r>
            <w:r w:rsidRPr="00A5626D">
              <w:rPr>
                <w:rFonts w:ascii="Garamond" w:hAnsi="Garamond" w:cstheme="minorHAnsi"/>
                <w:sz w:val="22"/>
                <w:szCs w:val="22"/>
              </w:rPr>
              <w:t xml:space="preserve"> – ссылка на энергообъект, на котором расположена точка поставки </w:t>
            </w:r>
            <w:r w:rsidRPr="00A5626D">
              <w:rPr>
                <w:rFonts w:ascii="Garamond" w:hAnsi="Garamond" w:cstheme="minorHAnsi"/>
                <w:sz w:val="22"/>
                <w:szCs w:val="22"/>
                <w:highlight w:val="yellow"/>
              </w:rPr>
              <w:t>(точка присоединения)</w:t>
            </w:r>
            <w:r w:rsidRPr="00A5626D">
              <w:rPr>
                <w:rFonts w:ascii="Garamond" w:hAnsi="Garamond" w:cstheme="minorHAnsi"/>
                <w:sz w:val="22"/>
                <w:szCs w:val="22"/>
              </w:rPr>
              <w:t>. Значение из справочника энергообъектов (элемент &lt;</w:t>
            </w:r>
            <w:r w:rsidRPr="00A5626D">
              <w:rPr>
                <w:rFonts w:ascii="Garamond" w:hAnsi="Garamond" w:cstheme="minorHAnsi"/>
                <w:sz w:val="22"/>
                <w:szCs w:val="22"/>
                <w:lang w:val="en-US"/>
              </w:rPr>
              <w:t>power</w:t>
            </w:r>
            <w:r w:rsidRPr="00A5626D">
              <w:rPr>
                <w:rFonts w:ascii="Garamond" w:hAnsi="Garamond" w:cstheme="minorHAnsi"/>
                <w:sz w:val="22"/>
                <w:szCs w:val="22"/>
              </w:rPr>
              <w:t>-</w:t>
            </w:r>
            <w:r w:rsidRPr="00A5626D">
              <w:rPr>
                <w:rFonts w:ascii="Garamond" w:hAnsi="Garamond" w:cstheme="minorHAnsi"/>
                <w:sz w:val="22"/>
                <w:szCs w:val="22"/>
                <w:lang w:val="en-US"/>
              </w:rPr>
              <w:t>objects</w:t>
            </w:r>
            <w:r w:rsidRPr="00A5626D">
              <w:rPr>
                <w:rFonts w:ascii="Garamond" w:hAnsi="Garamond" w:cstheme="minorHAnsi"/>
                <w:sz w:val="22"/>
                <w:szCs w:val="22"/>
              </w:rPr>
              <w:t>&gt;). Является обязательным атрибутом для всех ТП, кроме групповых, для групповых точек не заполняется;</w:t>
            </w:r>
          </w:p>
          <w:p w14:paraId="40F25AAC" w14:textId="77777777" w:rsidR="00295C6D" w:rsidRPr="00A5626D" w:rsidRDefault="00295C6D" w:rsidP="00295C6D">
            <w:pPr>
              <w:pStyle w:val="ac"/>
              <w:numPr>
                <w:ilvl w:val="0"/>
                <w:numId w:val="272"/>
              </w:numPr>
              <w:tabs>
                <w:tab w:val="left" w:pos="1134"/>
                <w:tab w:val="left" w:pos="7938"/>
              </w:tabs>
              <w:spacing w:before="120" w:after="120" w:line="259" w:lineRule="auto"/>
              <w:ind w:left="0" w:firstLine="567"/>
              <w:contextualSpacing/>
              <w:jc w:val="both"/>
              <w:rPr>
                <w:rFonts w:ascii="Garamond" w:hAnsi="Garamond" w:cstheme="minorHAnsi"/>
                <w:sz w:val="22"/>
                <w:szCs w:val="22"/>
                <w:lang w:val="en-US"/>
              </w:rPr>
            </w:pPr>
            <w:r w:rsidRPr="00A5626D">
              <w:rPr>
                <w:rFonts w:ascii="Garamond" w:hAnsi="Garamond" w:cstheme="minorHAnsi"/>
                <w:sz w:val="22"/>
                <w:szCs w:val="22"/>
                <w:lang w:val="en-US"/>
              </w:rPr>
              <w:t>method</w:t>
            </w:r>
            <w:r w:rsidRPr="00A5626D">
              <w:rPr>
                <w:rFonts w:ascii="Garamond" w:hAnsi="Garamond" w:cstheme="minorHAnsi"/>
                <w:sz w:val="22"/>
                <w:szCs w:val="22"/>
              </w:rPr>
              <w:t xml:space="preserve"> – алгоритм приведения показаний незакодированных РИП (РИП) к значению количества электроэнергии в точке поставки. Недопустимо заполнять поле информацией, которая присутствует в части Алгоритма в разделе &lt;</w:t>
            </w:r>
            <w:r w:rsidRPr="00A5626D">
              <w:rPr>
                <w:rFonts w:ascii="Garamond" w:hAnsi="Garamond" w:cstheme="minorHAnsi"/>
                <w:sz w:val="22"/>
                <w:szCs w:val="22"/>
                <w:lang w:val="en-US"/>
              </w:rPr>
              <w:t>aup</w:t>
            </w:r>
            <w:r w:rsidRPr="00A5626D">
              <w:rPr>
                <w:rFonts w:ascii="Garamond" w:hAnsi="Garamond" w:cstheme="minorHAnsi"/>
                <w:sz w:val="22"/>
                <w:szCs w:val="22"/>
              </w:rPr>
              <w:t>-</w:t>
            </w:r>
            <w:r w:rsidRPr="00A5626D">
              <w:rPr>
                <w:rFonts w:ascii="Garamond" w:hAnsi="Garamond" w:cstheme="minorHAnsi"/>
                <w:sz w:val="22"/>
                <w:szCs w:val="22"/>
                <w:lang w:val="en-US"/>
              </w:rPr>
              <w:t>delivery</w:t>
            </w:r>
            <w:r w:rsidRPr="00A5626D">
              <w:rPr>
                <w:rFonts w:ascii="Garamond" w:hAnsi="Garamond" w:cstheme="minorHAnsi"/>
                <w:sz w:val="22"/>
                <w:szCs w:val="22"/>
              </w:rPr>
              <w:t>-</w:t>
            </w:r>
            <w:r w:rsidRPr="00A5626D">
              <w:rPr>
                <w:rFonts w:ascii="Garamond" w:hAnsi="Garamond" w:cstheme="minorHAnsi"/>
                <w:sz w:val="22"/>
                <w:szCs w:val="22"/>
                <w:lang w:val="en-US"/>
              </w:rPr>
              <w:t>points</w:t>
            </w:r>
            <w:r w:rsidRPr="00A5626D">
              <w:rPr>
                <w:rFonts w:ascii="Garamond" w:hAnsi="Garamond" w:cstheme="minorHAnsi"/>
                <w:sz w:val="22"/>
                <w:szCs w:val="22"/>
              </w:rPr>
              <w:t xml:space="preserve">&gt;. Текстовое поле длиной не более 250 символов. Обязательный атрибут для ТП, которые имеют незакодированные РИП. </w:t>
            </w:r>
            <w:r w:rsidRPr="00A5626D">
              <w:rPr>
                <w:rFonts w:ascii="Garamond" w:hAnsi="Garamond" w:cstheme="minorHAnsi"/>
                <w:sz w:val="22"/>
                <w:szCs w:val="22"/>
                <w:lang w:val="en-US"/>
              </w:rPr>
              <w:t>Не должен заполняться для всех остальных ТП;</w:t>
            </w:r>
          </w:p>
          <w:p w14:paraId="2C8D588B" w14:textId="77777777" w:rsidR="00295C6D" w:rsidRPr="00A5626D" w:rsidRDefault="00295C6D" w:rsidP="00295C6D">
            <w:pPr>
              <w:pStyle w:val="ac"/>
              <w:numPr>
                <w:ilvl w:val="0"/>
                <w:numId w:val="272"/>
              </w:numPr>
              <w:tabs>
                <w:tab w:val="left" w:pos="1134"/>
                <w:tab w:val="left" w:pos="7938"/>
              </w:tabs>
              <w:spacing w:before="120" w:after="120" w:line="259" w:lineRule="auto"/>
              <w:ind w:left="0" w:firstLine="567"/>
              <w:contextualSpacing/>
              <w:jc w:val="both"/>
              <w:rPr>
                <w:rFonts w:ascii="Garamond" w:hAnsi="Garamond" w:cstheme="minorHAnsi"/>
                <w:sz w:val="22"/>
                <w:szCs w:val="22"/>
              </w:rPr>
            </w:pPr>
            <w:r w:rsidRPr="00A5626D">
              <w:rPr>
                <w:rFonts w:ascii="Garamond" w:hAnsi="Garamond" w:cstheme="minorHAnsi"/>
                <w:sz w:val="22"/>
                <w:szCs w:val="22"/>
                <w:lang w:val="en-US"/>
              </w:rPr>
              <w:t>schemanum</w:t>
            </w:r>
            <w:r w:rsidRPr="00A5626D">
              <w:rPr>
                <w:rFonts w:ascii="Garamond" w:hAnsi="Garamond" w:cstheme="minorHAnsi"/>
                <w:sz w:val="22"/>
                <w:szCs w:val="22"/>
              </w:rPr>
              <w:t xml:space="preserve"> – номер точки поставки </w:t>
            </w:r>
            <w:r w:rsidRPr="00A5626D">
              <w:rPr>
                <w:rFonts w:ascii="Garamond" w:hAnsi="Garamond" w:cstheme="minorHAnsi"/>
                <w:sz w:val="22"/>
                <w:szCs w:val="22"/>
                <w:highlight w:val="yellow"/>
              </w:rPr>
              <w:t>(точки присоединения)</w:t>
            </w:r>
            <w:r w:rsidRPr="00A5626D">
              <w:rPr>
                <w:rFonts w:ascii="Garamond" w:hAnsi="Garamond" w:cstheme="minorHAnsi"/>
                <w:sz w:val="22"/>
                <w:szCs w:val="22"/>
              </w:rPr>
              <w:t xml:space="preserve"> в соответствии с однолинейной схемой. Текстовое поле не более 10 символов. Обязателен к заполнению для всех ТП, кроме групповых;</w:t>
            </w:r>
          </w:p>
          <w:p w14:paraId="458AA117" w14:textId="77777777" w:rsidR="00295C6D" w:rsidRPr="00A5626D" w:rsidRDefault="00295C6D" w:rsidP="00295C6D">
            <w:pPr>
              <w:pStyle w:val="ac"/>
              <w:numPr>
                <w:ilvl w:val="0"/>
                <w:numId w:val="272"/>
              </w:numPr>
              <w:tabs>
                <w:tab w:val="left" w:pos="1134"/>
                <w:tab w:val="left" w:pos="7938"/>
              </w:tabs>
              <w:spacing w:before="120" w:after="120" w:line="259" w:lineRule="auto"/>
              <w:ind w:left="0" w:firstLine="567"/>
              <w:contextualSpacing/>
              <w:jc w:val="both"/>
              <w:rPr>
                <w:rFonts w:ascii="Garamond" w:hAnsi="Garamond" w:cstheme="minorHAnsi"/>
                <w:sz w:val="22"/>
                <w:szCs w:val="22"/>
              </w:rPr>
            </w:pPr>
            <w:r w:rsidRPr="00A5626D">
              <w:rPr>
                <w:rFonts w:ascii="Garamond" w:hAnsi="Garamond" w:cstheme="minorHAnsi"/>
                <w:sz w:val="22"/>
                <w:szCs w:val="22"/>
                <w:lang w:val="en-US"/>
              </w:rPr>
              <w:t>power</w:t>
            </w:r>
            <w:r w:rsidRPr="00A5626D">
              <w:rPr>
                <w:rFonts w:ascii="Garamond" w:hAnsi="Garamond" w:cstheme="minorHAnsi"/>
                <w:sz w:val="22"/>
                <w:szCs w:val="22"/>
              </w:rPr>
              <w:t xml:space="preserve"> – значение присоединенной мощности «малой» точки поставки в ВА. Заполняется числовым значением. Является обязательным атрибутом для ТП, которая связана хотя бы с одной ТИ, не включенной в АИИС;</w:t>
            </w:r>
          </w:p>
          <w:p w14:paraId="7252CBF7" w14:textId="77777777" w:rsidR="00295C6D" w:rsidRPr="00A5626D" w:rsidRDefault="00295C6D" w:rsidP="00295C6D">
            <w:pPr>
              <w:pStyle w:val="ac"/>
              <w:numPr>
                <w:ilvl w:val="0"/>
                <w:numId w:val="272"/>
              </w:numPr>
              <w:tabs>
                <w:tab w:val="left" w:pos="1134"/>
                <w:tab w:val="left" w:pos="7938"/>
              </w:tabs>
              <w:spacing w:before="120" w:after="120" w:line="259" w:lineRule="auto"/>
              <w:ind w:left="0" w:firstLine="567"/>
              <w:contextualSpacing/>
              <w:jc w:val="both"/>
              <w:rPr>
                <w:rFonts w:ascii="Garamond" w:hAnsi="Garamond" w:cstheme="minorHAnsi"/>
                <w:sz w:val="22"/>
                <w:szCs w:val="22"/>
              </w:rPr>
            </w:pPr>
            <w:r w:rsidRPr="00A5626D">
              <w:rPr>
                <w:rFonts w:ascii="Garamond" w:hAnsi="Garamond" w:cstheme="minorHAnsi"/>
                <w:sz w:val="22"/>
                <w:szCs w:val="22"/>
                <w:lang w:val="en-US"/>
              </w:rPr>
              <w:t>point</w:t>
            </w:r>
            <w:r w:rsidRPr="00A5626D">
              <w:rPr>
                <w:rFonts w:ascii="Garamond" w:hAnsi="Garamond" w:cstheme="minorHAnsi"/>
                <w:sz w:val="22"/>
                <w:szCs w:val="22"/>
              </w:rPr>
              <w:t>-</w:t>
            </w:r>
            <w:r w:rsidRPr="00A5626D">
              <w:rPr>
                <w:rFonts w:ascii="Garamond" w:hAnsi="Garamond" w:cstheme="minorHAnsi"/>
                <w:sz w:val="22"/>
                <w:szCs w:val="22"/>
                <w:lang w:val="en-US"/>
              </w:rPr>
              <w:t>voltage</w:t>
            </w:r>
            <w:r w:rsidRPr="00A5626D">
              <w:rPr>
                <w:rFonts w:ascii="Garamond" w:hAnsi="Garamond" w:cstheme="minorHAnsi"/>
                <w:sz w:val="22"/>
                <w:szCs w:val="22"/>
              </w:rPr>
              <w:t xml:space="preserve"> – уровень напряжения точки, размерность: В (вольт). Число не более 10 символов, значение «0» недопустимо. Является обязательным атрибутом, если точка является не групповой, для групповой не заполняется. Дочерними элементами являются: </w:t>
            </w:r>
            <w:r w:rsidRPr="00A5626D">
              <w:rPr>
                <w:rFonts w:ascii="Garamond" w:hAnsi="Garamond" w:cstheme="minorHAnsi"/>
                <w:b/>
                <w:sz w:val="22"/>
                <w:szCs w:val="22"/>
              </w:rPr>
              <w:t>&lt;</w:t>
            </w:r>
            <w:r w:rsidRPr="00A5626D">
              <w:rPr>
                <w:rFonts w:ascii="Garamond" w:hAnsi="Garamond" w:cstheme="minorHAnsi"/>
                <w:b/>
                <w:sz w:val="22"/>
                <w:szCs w:val="22"/>
                <w:lang w:val="en-US"/>
              </w:rPr>
              <w:t>name</w:t>
            </w:r>
            <w:r w:rsidRPr="00A5626D">
              <w:rPr>
                <w:rFonts w:ascii="Garamond" w:hAnsi="Garamond" w:cstheme="minorHAnsi"/>
                <w:b/>
                <w:sz w:val="22"/>
                <w:szCs w:val="22"/>
              </w:rPr>
              <w:t>&gt;, &lt;</w:t>
            </w:r>
            <w:r w:rsidRPr="00A5626D">
              <w:rPr>
                <w:rFonts w:ascii="Garamond" w:hAnsi="Garamond" w:cstheme="minorHAnsi"/>
                <w:b/>
                <w:sz w:val="22"/>
                <w:szCs w:val="22"/>
                <w:lang w:val="en-US"/>
              </w:rPr>
              <w:t>comment</w:t>
            </w:r>
            <w:r w:rsidRPr="00A5626D">
              <w:rPr>
                <w:rFonts w:ascii="Garamond" w:hAnsi="Garamond" w:cstheme="minorHAnsi"/>
                <w:b/>
                <w:sz w:val="22"/>
                <w:szCs w:val="22"/>
              </w:rPr>
              <w:t>&gt;.</w:t>
            </w:r>
          </w:p>
        </w:tc>
      </w:tr>
      <w:tr w:rsidR="00295C6D" w:rsidRPr="00A5626D" w14:paraId="068B926C" w14:textId="77777777" w:rsidTr="00647FA0">
        <w:tc>
          <w:tcPr>
            <w:tcW w:w="1060" w:type="dxa"/>
            <w:vAlign w:val="center"/>
          </w:tcPr>
          <w:p w14:paraId="3DD9BD29" w14:textId="53CBF5F4" w:rsidR="00295C6D" w:rsidRPr="00A5626D" w:rsidRDefault="00295C6D" w:rsidP="00E31AE6">
            <w:pPr>
              <w:widowControl w:val="0"/>
              <w:tabs>
                <w:tab w:val="left" w:pos="1134"/>
                <w:tab w:val="left" w:pos="7938"/>
              </w:tabs>
              <w:spacing w:line="22" w:lineRule="atLeast"/>
              <w:jc w:val="both"/>
              <w:rPr>
                <w:rFonts w:ascii="Garamond" w:hAnsi="Garamond"/>
                <w:b/>
                <w:sz w:val="22"/>
                <w:szCs w:val="22"/>
                <w:lang w:eastAsia="en-US"/>
              </w:rPr>
            </w:pPr>
            <w:r w:rsidRPr="00A5626D">
              <w:rPr>
                <w:rFonts w:ascii="Garamond" w:hAnsi="Garamond"/>
                <w:b/>
                <w:sz w:val="22"/>
                <w:szCs w:val="22"/>
                <w:lang w:eastAsia="en-US"/>
              </w:rPr>
              <w:lastRenderedPageBreak/>
              <w:t>Приложение 5, п.</w:t>
            </w:r>
            <w:r w:rsidR="00647FA0" w:rsidRPr="00A5626D">
              <w:rPr>
                <w:rFonts w:ascii="Garamond" w:hAnsi="Garamond"/>
                <w:b/>
                <w:sz w:val="22"/>
                <w:szCs w:val="22"/>
                <w:lang w:eastAsia="en-US"/>
              </w:rPr>
              <w:t> </w:t>
            </w:r>
            <w:r w:rsidRPr="00A5626D">
              <w:rPr>
                <w:rFonts w:ascii="Garamond" w:hAnsi="Garamond"/>
                <w:b/>
                <w:sz w:val="22"/>
                <w:szCs w:val="22"/>
                <w:lang w:eastAsia="en-US"/>
              </w:rPr>
              <w:t>4.2.1.1.1.6.1.1</w:t>
            </w:r>
            <w:r w:rsidR="009B5F03" w:rsidRPr="00A5626D">
              <w:rPr>
                <w:rFonts w:ascii="Garamond" w:hAnsi="Garamond" w:cstheme="minorHAnsi"/>
                <w:b/>
                <w:sz w:val="22"/>
                <w:szCs w:val="22"/>
              </w:rPr>
              <w:t xml:space="preserve"> </w:t>
            </w:r>
          </w:p>
        </w:tc>
        <w:tc>
          <w:tcPr>
            <w:tcW w:w="6662" w:type="dxa"/>
          </w:tcPr>
          <w:p w14:paraId="653AB106" w14:textId="77777777" w:rsidR="00295C6D" w:rsidRPr="00A5626D" w:rsidRDefault="00295C6D" w:rsidP="00E31AE6">
            <w:pPr>
              <w:tabs>
                <w:tab w:val="left" w:pos="1134"/>
                <w:tab w:val="left" w:pos="7938"/>
              </w:tabs>
              <w:spacing w:before="120" w:after="120"/>
              <w:ind w:firstLine="567"/>
              <w:jc w:val="both"/>
              <w:rPr>
                <w:rFonts w:ascii="Garamond" w:hAnsi="Garamond" w:cstheme="minorHAnsi"/>
                <w:b/>
                <w:sz w:val="22"/>
                <w:szCs w:val="22"/>
              </w:rPr>
            </w:pPr>
            <w:r w:rsidRPr="00A5626D">
              <w:rPr>
                <w:rFonts w:ascii="Garamond" w:hAnsi="Garamond" w:cstheme="minorHAnsi"/>
                <w:b/>
                <w:sz w:val="22"/>
                <w:szCs w:val="22"/>
              </w:rPr>
              <w:t>&lt;</w:t>
            </w:r>
            <w:r w:rsidRPr="00A5626D">
              <w:rPr>
                <w:rFonts w:ascii="Garamond" w:hAnsi="Garamond" w:cstheme="minorHAnsi"/>
                <w:b/>
                <w:sz w:val="22"/>
                <w:szCs w:val="22"/>
                <w:lang w:val="en-US"/>
              </w:rPr>
              <w:t>name</w:t>
            </w:r>
            <w:r w:rsidRPr="00A5626D">
              <w:rPr>
                <w:rFonts w:ascii="Garamond" w:hAnsi="Garamond" w:cstheme="minorHAnsi"/>
                <w:b/>
                <w:sz w:val="22"/>
                <w:szCs w:val="22"/>
              </w:rPr>
              <w:t>&gt;</w:t>
            </w:r>
          </w:p>
          <w:p w14:paraId="17A618EF" w14:textId="77777777" w:rsidR="00295C6D" w:rsidRPr="00A5626D" w:rsidRDefault="00295C6D" w:rsidP="00E31AE6">
            <w:pPr>
              <w:tabs>
                <w:tab w:val="left" w:pos="1134"/>
                <w:tab w:val="left" w:pos="7938"/>
              </w:tabs>
              <w:spacing w:before="120" w:after="120"/>
              <w:ind w:firstLine="567"/>
              <w:jc w:val="both"/>
              <w:rPr>
                <w:rFonts w:ascii="Garamond" w:hAnsi="Garamond" w:cstheme="minorHAnsi"/>
                <w:sz w:val="22"/>
                <w:szCs w:val="22"/>
              </w:rPr>
            </w:pPr>
            <w:r w:rsidRPr="00A5626D">
              <w:rPr>
                <w:rFonts w:ascii="Garamond" w:hAnsi="Garamond" w:cstheme="minorHAnsi"/>
                <w:sz w:val="22"/>
                <w:szCs w:val="22"/>
              </w:rPr>
              <w:lastRenderedPageBreak/>
              <w:t>Элемент &lt;</w:t>
            </w:r>
            <w:r w:rsidRPr="00A5626D">
              <w:rPr>
                <w:rFonts w:ascii="Garamond" w:hAnsi="Garamond" w:cstheme="minorHAnsi"/>
                <w:b/>
                <w:sz w:val="22"/>
                <w:szCs w:val="22"/>
                <w:lang w:val="en-US"/>
              </w:rPr>
              <w:t>name</w:t>
            </w:r>
            <w:r w:rsidRPr="00A5626D">
              <w:rPr>
                <w:rFonts w:ascii="Garamond" w:hAnsi="Garamond" w:cstheme="minorHAnsi"/>
                <w:sz w:val="22"/>
                <w:szCs w:val="22"/>
              </w:rPr>
              <w:t xml:space="preserve">&gt; </w:t>
            </w:r>
            <w:r w:rsidRPr="00A5626D">
              <w:rPr>
                <w:rFonts w:ascii="Garamond" w:hAnsi="Garamond" w:cstheme="minorHAnsi"/>
                <w:sz w:val="22"/>
                <w:szCs w:val="22"/>
                <w:lang w:val="en-US"/>
              </w:rPr>
              <w:t>c</w:t>
            </w:r>
            <w:r w:rsidRPr="00A5626D">
              <w:rPr>
                <w:rFonts w:ascii="Garamond" w:hAnsi="Garamond" w:cstheme="minorHAnsi"/>
                <w:sz w:val="22"/>
                <w:szCs w:val="22"/>
              </w:rPr>
              <w:t>одержит атрибуты, на основании которых формируется наименование точки поставки.</w:t>
            </w:r>
          </w:p>
          <w:p w14:paraId="5A1755ED" w14:textId="77777777" w:rsidR="00295C6D" w:rsidRPr="00A5626D" w:rsidRDefault="00295C6D" w:rsidP="00E31AE6">
            <w:pPr>
              <w:widowControl w:val="0"/>
              <w:tabs>
                <w:tab w:val="left" w:pos="1134"/>
                <w:tab w:val="left" w:pos="7938"/>
              </w:tabs>
              <w:autoSpaceDE w:val="0"/>
              <w:autoSpaceDN w:val="0"/>
              <w:adjustRightInd w:val="0"/>
              <w:spacing w:before="60" w:after="60" w:line="276" w:lineRule="auto"/>
              <w:ind w:firstLine="567"/>
              <w:jc w:val="both"/>
              <w:rPr>
                <w:rFonts w:ascii="Garamond" w:hAnsi="Garamond" w:cstheme="minorHAnsi"/>
                <w:sz w:val="22"/>
                <w:szCs w:val="22"/>
              </w:rPr>
            </w:pPr>
            <w:r w:rsidRPr="00A5626D">
              <w:rPr>
                <w:rFonts w:ascii="Garamond" w:hAnsi="Garamond" w:cstheme="minorHAnsi"/>
                <w:bCs/>
                <w:sz w:val="22"/>
                <w:szCs w:val="22"/>
              </w:rPr>
              <w:t>Обязательный элемент для не групповой точки, для групповой точки должен отсутствовать</w:t>
            </w:r>
            <w:r w:rsidRPr="00A5626D">
              <w:rPr>
                <w:rFonts w:ascii="Garamond" w:hAnsi="Garamond" w:cstheme="minorHAnsi"/>
                <w:sz w:val="22"/>
                <w:szCs w:val="22"/>
              </w:rPr>
              <w:t>. Допускается наличие только одного элемента.</w:t>
            </w:r>
          </w:p>
          <w:p w14:paraId="4C483B6A" w14:textId="77777777" w:rsidR="00295C6D" w:rsidRPr="00A5626D" w:rsidRDefault="00295C6D" w:rsidP="00E31AE6">
            <w:pPr>
              <w:tabs>
                <w:tab w:val="left" w:pos="1134"/>
                <w:tab w:val="left" w:pos="7938"/>
              </w:tabs>
              <w:spacing w:before="120" w:after="120"/>
              <w:ind w:firstLine="567"/>
              <w:jc w:val="both"/>
              <w:rPr>
                <w:rFonts w:ascii="Garamond" w:hAnsi="Garamond" w:cstheme="minorHAnsi"/>
                <w:sz w:val="22"/>
                <w:szCs w:val="22"/>
              </w:rPr>
            </w:pPr>
            <w:r w:rsidRPr="00A5626D">
              <w:rPr>
                <w:rFonts w:ascii="Garamond" w:hAnsi="Garamond" w:cstheme="minorHAnsi"/>
                <w:sz w:val="22"/>
                <w:szCs w:val="22"/>
              </w:rPr>
              <w:t>Атрибутами элемента &lt;</w:t>
            </w:r>
            <w:r w:rsidRPr="00A5626D">
              <w:rPr>
                <w:rFonts w:ascii="Garamond" w:hAnsi="Garamond" w:cstheme="minorHAnsi"/>
                <w:sz w:val="22"/>
                <w:szCs w:val="22"/>
                <w:lang w:val="en-US"/>
              </w:rPr>
              <w:t>name</w:t>
            </w:r>
            <w:r w:rsidRPr="00A5626D">
              <w:rPr>
                <w:rFonts w:ascii="Garamond" w:hAnsi="Garamond" w:cstheme="minorHAnsi"/>
                <w:sz w:val="22"/>
                <w:szCs w:val="22"/>
              </w:rPr>
              <w:t>&gt; являются:</w:t>
            </w:r>
          </w:p>
          <w:p w14:paraId="0A1C34F1" w14:textId="77777777" w:rsidR="00295C6D" w:rsidRPr="00A5626D" w:rsidRDefault="00295C6D" w:rsidP="00295C6D">
            <w:pPr>
              <w:widowControl w:val="0"/>
              <w:numPr>
                <w:ilvl w:val="0"/>
                <w:numId w:val="240"/>
              </w:numPr>
              <w:tabs>
                <w:tab w:val="left" w:pos="1134"/>
                <w:tab w:val="left" w:pos="7938"/>
              </w:tabs>
              <w:suppressAutoHyphens w:val="0"/>
              <w:autoSpaceDE w:val="0"/>
              <w:autoSpaceDN w:val="0"/>
              <w:adjustRightInd w:val="0"/>
              <w:spacing w:before="60" w:after="60"/>
              <w:ind w:left="0" w:firstLine="567"/>
              <w:jc w:val="both"/>
              <w:rPr>
                <w:rFonts w:ascii="Garamond" w:hAnsi="Garamond" w:cstheme="minorHAnsi"/>
                <w:sz w:val="22"/>
                <w:szCs w:val="22"/>
              </w:rPr>
            </w:pPr>
            <w:r w:rsidRPr="00A5626D">
              <w:rPr>
                <w:rFonts w:ascii="Garamond" w:hAnsi="Garamond" w:cstheme="minorHAnsi"/>
                <w:sz w:val="22"/>
                <w:szCs w:val="22"/>
                <w:lang w:val="en-US"/>
              </w:rPr>
              <w:t>power</w:t>
            </w:r>
            <w:r w:rsidRPr="00A5626D">
              <w:rPr>
                <w:rFonts w:ascii="Garamond" w:hAnsi="Garamond" w:cstheme="minorHAnsi"/>
                <w:sz w:val="22"/>
                <w:szCs w:val="22"/>
              </w:rPr>
              <w:t>-</w:t>
            </w:r>
            <w:r w:rsidRPr="00A5626D">
              <w:rPr>
                <w:rFonts w:ascii="Garamond" w:hAnsi="Garamond" w:cstheme="minorHAnsi"/>
                <w:sz w:val="22"/>
                <w:szCs w:val="22"/>
                <w:lang w:val="en-US"/>
              </w:rPr>
              <w:t>object</w:t>
            </w:r>
            <w:r w:rsidRPr="00A5626D">
              <w:rPr>
                <w:rFonts w:ascii="Garamond" w:hAnsi="Garamond" w:cstheme="minorHAnsi"/>
                <w:sz w:val="22"/>
                <w:szCs w:val="22"/>
              </w:rPr>
              <w:t>-</w:t>
            </w:r>
            <w:r w:rsidRPr="00A5626D">
              <w:rPr>
                <w:rFonts w:ascii="Garamond" w:hAnsi="Garamond" w:cstheme="minorHAnsi"/>
                <w:sz w:val="22"/>
                <w:szCs w:val="22"/>
                <w:lang w:val="en-US"/>
              </w:rPr>
              <w:t>name</w:t>
            </w:r>
            <w:r w:rsidRPr="00A5626D">
              <w:rPr>
                <w:rFonts w:ascii="Garamond" w:hAnsi="Garamond" w:cstheme="minorHAnsi"/>
                <w:sz w:val="22"/>
                <w:szCs w:val="22"/>
              </w:rPr>
              <w:t xml:space="preserve"> – наименование энергообъекта, на котором располагается точка поставки. Наименование энергообъекта указывается на основании раздела 4 «Правила присвоения наименований точкам поставки» приложения 5 к </w:t>
            </w:r>
            <w:r w:rsidRPr="00A5626D">
              <w:rPr>
                <w:rFonts w:ascii="Garamond" w:hAnsi="Garamond" w:cstheme="minorHAnsi"/>
                <w:i/>
                <w:sz w:val="22"/>
                <w:szCs w:val="22"/>
              </w:rPr>
              <w:t>Положению о порядке получения статуса субъекта оптового рынка и ведения реестра субъектов оптового рынка</w:t>
            </w:r>
            <w:r w:rsidRPr="00A5626D">
              <w:rPr>
                <w:rFonts w:ascii="Garamond" w:hAnsi="Garamond" w:cstheme="minorHAnsi"/>
                <w:sz w:val="22"/>
                <w:szCs w:val="22"/>
              </w:rPr>
              <w:t xml:space="preserve"> </w:t>
            </w:r>
            <w:r w:rsidRPr="00A5626D">
              <w:rPr>
                <w:rFonts w:ascii="Garamond" w:eastAsia="Batang" w:hAnsi="Garamond" w:cstheme="minorHAnsi"/>
                <w:sz w:val="22"/>
                <w:szCs w:val="22"/>
                <w:lang w:eastAsia="ko-KR"/>
              </w:rPr>
              <w:t xml:space="preserve">(Приложение № 1.1 к </w:t>
            </w:r>
            <w:r w:rsidRPr="00A5626D">
              <w:rPr>
                <w:rFonts w:ascii="Garamond" w:eastAsia="Batang" w:hAnsi="Garamond" w:cstheme="minorHAnsi"/>
                <w:i/>
                <w:sz w:val="22"/>
                <w:szCs w:val="22"/>
                <w:lang w:eastAsia="ko-KR"/>
              </w:rPr>
              <w:t>Договору о присоединении к торговой системе оптового рынка</w:t>
            </w:r>
            <w:r w:rsidRPr="00A5626D">
              <w:rPr>
                <w:rFonts w:ascii="Garamond" w:eastAsia="Batang" w:hAnsi="Garamond" w:cstheme="minorHAnsi"/>
                <w:sz w:val="22"/>
                <w:szCs w:val="22"/>
                <w:lang w:eastAsia="ko-KR"/>
              </w:rPr>
              <w:t>)</w:t>
            </w:r>
            <w:r w:rsidRPr="00A5626D">
              <w:rPr>
                <w:rFonts w:ascii="Garamond" w:hAnsi="Garamond" w:cstheme="minorHAnsi"/>
                <w:sz w:val="22"/>
                <w:szCs w:val="22"/>
              </w:rPr>
              <w:t xml:space="preserve"> в соответствии с типом энергообъекта (оборудования</w:t>
            </w:r>
            <w:r w:rsidRPr="00A5626D">
              <w:rPr>
                <w:rFonts w:ascii="Garamond" w:hAnsi="Garamond" w:cstheme="minorHAnsi"/>
                <w:sz w:val="22"/>
                <w:szCs w:val="22"/>
                <w:highlight w:val="yellow"/>
              </w:rPr>
              <w:t>), на котором расположена точка поставки.</w:t>
            </w:r>
            <w:r w:rsidRPr="00A5626D">
              <w:rPr>
                <w:rFonts w:ascii="Garamond" w:hAnsi="Garamond" w:cstheme="minorHAnsi"/>
                <w:sz w:val="22"/>
                <w:szCs w:val="22"/>
              </w:rPr>
              <w:t xml:space="preserve"> Текстовое поле не более 250 символов. Является обязательным атрибутом;</w:t>
            </w:r>
          </w:p>
          <w:p w14:paraId="7727B672" w14:textId="77777777" w:rsidR="00295C6D" w:rsidRPr="00A5626D" w:rsidRDefault="00295C6D" w:rsidP="00295C6D">
            <w:pPr>
              <w:numPr>
                <w:ilvl w:val="0"/>
                <w:numId w:val="240"/>
              </w:numPr>
              <w:tabs>
                <w:tab w:val="left" w:pos="851"/>
                <w:tab w:val="left" w:pos="1134"/>
                <w:tab w:val="left" w:pos="7938"/>
              </w:tabs>
              <w:suppressAutoHyphens w:val="0"/>
              <w:spacing w:before="120" w:after="120"/>
              <w:ind w:left="0" w:firstLine="567"/>
              <w:jc w:val="both"/>
              <w:rPr>
                <w:rFonts w:ascii="Garamond" w:hAnsi="Garamond" w:cstheme="minorHAnsi"/>
                <w:sz w:val="22"/>
                <w:szCs w:val="22"/>
              </w:rPr>
            </w:pPr>
            <w:r w:rsidRPr="00A5626D">
              <w:rPr>
                <w:rFonts w:ascii="Garamond" w:hAnsi="Garamond" w:cstheme="minorHAnsi"/>
                <w:sz w:val="22"/>
                <w:szCs w:val="22"/>
              </w:rPr>
              <w:t xml:space="preserve">location-description – описание месторасположения точки поставки на однолинейной схеме. Описание месторасположения указывается на основании раздела 4 «Правила присвоения наименований точкам поставки» приложения 5 к </w:t>
            </w:r>
            <w:r w:rsidRPr="00A5626D">
              <w:rPr>
                <w:rFonts w:ascii="Garamond" w:hAnsi="Garamond" w:cstheme="minorHAnsi"/>
                <w:i/>
                <w:sz w:val="22"/>
                <w:szCs w:val="22"/>
              </w:rPr>
              <w:t>Положению о порядке получения статуса субъекта оптового рынка и ведения реестра субъектов оптового рынка</w:t>
            </w:r>
            <w:r w:rsidRPr="00A5626D">
              <w:rPr>
                <w:rFonts w:ascii="Garamond" w:hAnsi="Garamond" w:cstheme="minorHAnsi"/>
                <w:sz w:val="22"/>
                <w:szCs w:val="22"/>
              </w:rPr>
              <w:t xml:space="preserve"> (Приложение № 1.1 к </w:t>
            </w:r>
            <w:r w:rsidRPr="00A5626D">
              <w:rPr>
                <w:rFonts w:ascii="Garamond" w:hAnsi="Garamond" w:cstheme="minorHAnsi"/>
                <w:i/>
                <w:sz w:val="22"/>
                <w:szCs w:val="22"/>
              </w:rPr>
              <w:t>Договору о присоединении к торговой системе оптового рынка</w:t>
            </w:r>
            <w:r w:rsidRPr="00A5626D">
              <w:rPr>
                <w:rFonts w:ascii="Garamond" w:hAnsi="Garamond" w:cstheme="minorHAnsi"/>
                <w:sz w:val="22"/>
                <w:szCs w:val="22"/>
              </w:rPr>
              <w:t>) в соответствии с типом энергообъекта (оборудования), на котором расположена точка поставки. Текстовое поле не более 250 символов. Является обязательным атрибутом, если не заполнен атрибут &lt;connection-name&gt;;</w:t>
            </w:r>
          </w:p>
          <w:p w14:paraId="498F3CC2" w14:textId="77777777" w:rsidR="00295C6D" w:rsidRPr="00A5626D" w:rsidRDefault="00295C6D" w:rsidP="00295C6D">
            <w:pPr>
              <w:widowControl w:val="0"/>
              <w:numPr>
                <w:ilvl w:val="0"/>
                <w:numId w:val="240"/>
              </w:numPr>
              <w:tabs>
                <w:tab w:val="left" w:pos="851"/>
                <w:tab w:val="left" w:pos="1134"/>
                <w:tab w:val="left" w:pos="7938"/>
              </w:tabs>
              <w:suppressAutoHyphens w:val="0"/>
              <w:autoSpaceDE w:val="0"/>
              <w:autoSpaceDN w:val="0"/>
              <w:adjustRightInd w:val="0"/>
              <w:ind w:left="0" w:firstLine="567"/>
              <w:jc w:val="both"/>
              <w:rPr>
                <w:rFonts w:ascii="Garamond" w:hAnsi="Garamond" w:cstheme="minorHAnsi"/>
                <w:sz w:val="22"/>
                <w:szCs w:val="22"/>
              </w:rPr>
            </w:pPr>
            <w:r w:rsidRPr="00A5626D">
              <w:rPr>
                <w:rFonts w:ascii="Garamond" w:hAnsi="Garamond" w:cstheme="minorHAnsi"/>
                <w:sz w:val="22"/>
                <w:szCs w:val="22"/>
              </w:rPr>
              <w:t xml:space="preserve">connection-name – наименование присоединения для точки поставки. Наименование присоединения указывается на основании раздела 4 «Правила присвоения наименований точкам поставки» приложения 5 к </w:t>
            </w:r>
            <w:r w:rsidRPr="00A5626D">
              <w:rPr>
                <w:rFonts w:ascii="Garamond" w:hAnsi="Garamond" w:cstheme="minorHAnsi"/>
                <w:i/>
                <w:sz w:val="22"/>
                <w:szCs w:val="22"/>
              </w:rPr>
              <w:t>Положению о порядке получения статуса субъекта оптового рынка и ведения реестра субъектов оптового рынка</w:t>
            </w:r>
            <w:r w:rsidRPr="00A5626D">
              <w:rPr>
                <w:rFonts w:ascii="Garamond" w:hAnsi="Garamond" w:cstheme="minorHAnsi"/>
                <w:sz w:val="22"/>
                <w:szCs w:val="22"/>
              </w:rPr>
              <w:t xml:space="preserve"> (Приложение № 1.1 к </w:t>
            </w:r>
            <w:r w:rsidRPr="00A5626D">
              <w:rPr>
                <w:rFonts w:ascii="Garamond" w:hAnsi="Garamond" w:cstheme="minorHAnsi"/>
                <w:i/>
                <w:sz w:val="22"/>
                <w:szCs w:val="22"/>
              </w:rPr>
              <w:t>Договору о присоединении к торговой системе оптового рынка</w:t>
            </w:r>
            <w:r w:rsidRPr="00A5626D">
              <w:rPr>
                <w:rFonts w:ascii="Garamond" w:hAnsi="Garamond" w:cstheme="minorHAnsi"/>
                <w:sz w:val="22"/>
                <w:szCs w:val="22"/>
              </w:rPr>
              <w:t>) в соответствии с типом энергообъекта (оборудования), на котором расположена точка поставки. Текстовое поле не более 250 символов. Является обязательным атрибутом, если не заполнен атрибут &lt;location-description&gt;.</w:t>
            </w:r>
          </w:p>
        </w:tc>
        <w:tc>
          <w:tcPr>
            <w:tcW w:w="7088" w:type="dxa"/>
          </w:tcPr>
          <w:p w14:paraId="171AB65F" w14:textId="77777777" w:rsidR="00295C6D" w:rsidRPr="00A5626D" w:rsidRDefault="00295C6D" w:rsidP="00E31AE6">
            <w:pPr>
              <w:tabs>
                <w:tab w:val="left" w:pos="1134"/>
                <w:tab w:val="left" w:pos="7938"/>
              </w:tabs>
              <w:spacing w:before="120" w:after="120"/>
              <w:ind w:firstLine="567"/>
              <w:jc w:val="both"/>
              <w:rPr>
                <w:rFonts w:ascii="Garamond" w:hAnsi="Garamond" w:cstheme="minorHAnsi"/>
                <w:b/>
                <w:sz w:val="22"/>
                <w:szCs w:val="22"/>
              </w:rPr>
            </w:pPr>
            <w:r w:rsidRPr="00A5626D">
              <w:rPr>
                <w:rFonts w:ascii="Garamond" w:hAnsi="Garamond" w:cstheme="minorHAnsi"/>
                <w:b/>
                <w:sz w:val="22"/>
                <w:szCs w:val="22"/>
              </w:rPr>
              <w:lastRenderedPageBreak/>
              <w:t>&lt;</w:t>
            </w:r>
            <w:r w:rsidRPr="00A5626D">
              <w:rPr>
                <w:rFonts w:ascii="Garamond" w:hAnsi="Garamond" w:cstheme="minorHAnsi"/>
                <w:b/>
                <w:sz w:val="22"/>
                <w:szCs w:val="22"/>
                <w:lang w:val="en-US"/>
              </w:rPr>
              <w:t>name</w:t>
            </w:r>
            <w:r w:rsidRPr="00A5626D">
              <w:rPr>
                <w:rFonts w:ascii="Garamond" w:hAnsi="Garamond" w:cstheme="minorHAnsi"/>
                <w:b/>
                <w:sz w:val="22"/>
                <w:szCs w:val="22"/>
              </w:rPr>
              <w:t>&gt;</w:t>
            </w:r>
          </w:p>
          <w:p w14:paraId="76D31075" w14:textId="77777777" w:rsidR="00295C6D" w:rsidRPr="00A5626D" w:rsidRDefault="00295C6D" w:rsidP="00E31AE6">
            <w:pPr>
              <w:tabs>
                <w:tab w:val="left" w:pos="1134"/>
                <w:tab w:val="left" w:pos="7938"/>
              </w:tabs>
              <w:spacing w:before="120" w:after="120"/>
              <w:ind w:firstLine="567"/>
              <w:jc w:val="both"/>
              <w:rPr>
                <w:rFonts w:ascii="Garamond" w:hAnsi="Garamond" w:cstheme="minorHAnsi"/>
                <w:sz w:val="22"/>
                <w:szCs w:val="22"/>
              </w:rPr>
            </w:pPr>
            <w:r w:rsidRPr="00A5626D">
              <w:rPr>
                <w:rFonts w:ascii="Garamond" w:hAnsi="Garamond" w:cstheme="minorHAnsi"/>
                <w:sz w:val="22"/>
                <w:szCs w:val="22"/>
              </w:rPr>
              <w:lastRenderedPageBreak/>
              <w:t>Элемент &lt;</w:t>
            </w:r>
            <w:r w:rsidRPr="00A5626D">
              <w:rPr>
                <w:rFonts w:ascii="Garamond" w:hAnsi="Garamond" w:cstheme="minorHAnsi"/>
                <w:sz w:val="22"/>
                <w:szCs w:val="22"/>
                <w:lang w:val="en-US"/>
              </w:rPr>
              <w:t>name</w:t>
            </w:r>
            <w:r w:rsidRPr="00A5626D">
              <w:rPr>
                <w:rFonts w:ascii="Garamond" w:hAnsi="Garamond" w:cstheme="minorHAnsi"/>
                <w:sz w:val="22"/>
                <w:szCs w:val="22"/>
              </w:rPr>
              <w:t xml:space="preserve">&gt; </w:t>
            </w:r>
            <w:r w:rsidRPr="00A5626D">
              <w:rPr>
                <w:rFonts w:ascii="Garamond" w:hAnsi="Garamond" w:cstheme="minorHAnsi"/>
                <w:sz w:val="22"/>
                <w:szCs w:val="22"/>
                <w:lang w:val="en-US"/>
              </w:rPr>
              <w:t>c</w:t>
            </w:r>
            <w:r w:rsidRPr="00A5626D">
              <w:rPr>
                <w:rFonts w:ascii="Garamond" w:hAnsi="Garamond" w:cstheme="minorHAnsi"/>
                <w:sz w:val="22"/>
                <w:szCs w:val="22"/>
              </w:rPr>
              <w:t xml:space="preserve">одержит атрибуты, на основании которых формируется наименование точки поставки </w:t>
            </w:r>
            <w:r w:rsidRPr="00A5626D">
              <w:rPr>
                <w:rFonts w:ascii="Garamond" w:hAnsi="Garamond" w:cstheme="minorHAnsi"/>
                <w:sz w:val="22"/>
                <w:szCs w:val="22"/>
                <w:highlight w:val="yellow"/>
              </w:rPr>
              <w:t>(точки присоединения)</w:t>
            </w:r>
            <w:r w:rsidRPr="00A5626D">
              <w:rPr>
                <w:rFonts w:ascii="Garamond" w:hAnsi="Garamond" w:cstheme="minorHAnsi"/>
                <w:sz w:val="22"/>
                <w:szCs w:val="22"/>
              </w:rPr>
              <w:t>.</w:t>
            </w:r>
          </w:p>
          <w:p w14:paraId="1A2B5051" w14:textId="77777777" w:rsidR="00295C6D" w:rsidRPr="00A5626D" w:rsidRDefault="00295C6D" w:rsidP="00E31AE6">
            <w:pPr>
              <w:widowControl w:val="0"/>
              <w:tabs>
                <w:tab w:val="left" w:pos="1134"/>
                <w:tab w:val="left" w:pos="7938"/>
              </w:tabs>
              <w:autoSpaceDE w:val="0"/>
              <w:autoSpaceDN w:val="0"/>
              <w:adjustRightInd w:val="0"/>
              <w:spacing w:before="60" w:after="60" w:line="276" w:lineRule="auto"/>
              <w:ind w:firstLine="567"/>
              <w:jc w:val="both"/>
              <w:rPr>
                <w:rFonts w:ascii="Garamond" w:hAnsi="Garamond" w:cstheme="minorHAnsi"/>
                <w:sz w:val="22"/>
                <w:szCs w:val="22"/>
              </w:rPr>
            </w:pPr>
            <w:r w:rsidRPr="00A5626D">
              <w:rPr>
                <w:rFonts w:ascii="Garamond" w:hAnsi="Garamond" w:cstheme="minorHAnsi"/>
                <w:bCs/>
                <w:sz w:val="22"/>
                <w:szCs w:val="22"/>
              </w:rPr>
              <w:t>Обязательный элемент для не групповой точки, для групповой точки должен отсутствовать</w:t>
            </w:r>
            <w:r w:rsidRPr="00A5626D">
              <w:rPr>
                <w:rFonts w:ascii="Garamond" w:hAnsi="Garamond" w:cstheme="minorHAnsi"/>
                <w:sz w:val="22"/>
                <w:szCs w:val="22"/>
              </w:rPr>
              <w:t>. Допускается наличие только одного элемента.</w:t>
            </w:r>
          </w:p>
          <w:p w14:paraId="0AB4F7FD" w14:textId="77777777" w:rsidR="00295C6D" w:rsidRPr="00A5626D" w:rsidRDefault="00295C6D" w:rsidP="00E31AE6">
            <w:pPr>
              <w:tabs>
                <w:tab w:val="left" w:pos="1134"/>
                <w:tab w:val="left" w:pos="7938"/>
              </w:tabs>
              <w:spacing w:before="120" w:after="120"/>
              <w:ind w:firstLine="567"/>
              <w:jc w:val="both"/>
              <w:rPr>
                <w:rFonts w:ascii="Garamond" w:hAnsi="Garamond" w:cstheme="minorHAnsi"/>
                <w:sz w:val="22"/>
                <w:szCs w:val="22"/>
              </w:rPr>
            </w:pPr>
            <w:r w:rsidRPr="00A5626D">
              <w:rPr>
                <w:rFonts w:ascii="Garamond" w:hAnsi="Garamond" w:cstheme="minorHAnsi"/>
                <w:sz w:val="22"/>
                <w:szCs w:val="22"/>
              </w:rPr>
              <w:t>Атрибутами элемента &lt;</w:t>
            </w:r>
            <w:r w:rsidRPr="00A5626D">
              <w:rPr>
                <w:rFonts w:ascii="Garamond" w:hAnsi="Garamond" w:cstheme="minorHAnsi"/>
                <w:sz w:val="22"/>
                <w:szCs w:val="22"/>
                <w:lang w:val="en-US"/>
              </w:rPr>
              <w:t>name</w:t>
            </w:r>
            <w:r w:rsidRPr="00A5626D">
              <w:rPr>
                <w:rFonts w:ascii="Garamond" w:hAnsi="Garamond" w:cstheme="minorHAnsi"/>
                <w:sz w:val="22"/>
                <w:szCs w:val="22"/>
              </w:rPr>
              <w:t>&gt; являются:</w:t>
            </w:r>
          </w:p>
          <w:p w14:paraId="5B9A601A" w14:textId="3D1CF056" w:rsidR="00295C6D" w:rsidRPr="00A5626D" w:rsidRDefault="00295C6D" w:rsidP="00295C6D">
            <w:pPr>
              <w:widowControl w:val="0"/>
              <w:numPr>
                <w:ilvl w:val="0"/>
                <w:numId w:val="240"/>
              </w:numPr>
              <w:tabs>
                <w:tab w:val="left" w:pos="1134"/>
                <w:tab w:val="left" w:pos="7938"/>
              </w:tabs>
              <w:suppressAutoHyphens w:val="0"/>
              <w:autoSpaceDE w:val="0"/>
              <w:autoSpaceDN w:val="0"/>
              <w:adjustRightInd w:val="0"/>
              <w:spacing w:before="60" w:after="60"/>
              <w:ind w:left="0" w:firstLine="567"/>
              <w:jc w:val="both"/>
              <w:rPr>
                <w:rFonts w:ascii="Garamond" w:hAnsi="Garamond" w:cstheme="minorHAnsi"/>
                <w:sz w:val="22"/>
                <w:szCs w:val="22"/>
              </w:rPr>
            </w:pPr>
            <w:r w:rsidRPr="00A5626D">
              <w:rPr>
                <w:rFonts w:ascii="Garamond" w:hAnsi="Garamond" w:cstheme="minorHAnsi"/>
                <w:sz w:val="22"/>
                <w:szCs w:val="22"/>
                <w:lang w:val="en-US"/>
              </w:rPr>
              <w:t>power</w:t>
            </w:r>
            <w:r w:rsidRPr="00A5626D">
              <w:rPr>
                <w:rFonts w:ascii="Garamond" w:hAnsi="Garamond" w:cstheme="minorHAnsi"/>
                <w:sz w:val="22"/>
                <w:szCs w:val="22"/>
              </w:rPr>
              <w:t>-</w:t>
            </w:r>
            <w:r w:rsidRPr="00A5626D">
              <w:rPr>
                <w:rFonts w:ascii="Garamond" w:hAnsi="Garamond" w:cstheme="minorHAnsi"/>
                <w:sz w:val="22"/>
                <w:szCs w:val="22"/>
                <w:lang w:val="en-US"/>
              </w:rPr>
              <w:t>object</w:t>
            </w:r>
            <w:r w:rsidRPr="00A5626D">
              <w:rPr>
                <w:rFonts w:ascii="Garamond" w:hAnsi="Garamond" w:cstheme="minorHAnsi"/>
                <w:sz w:val="22"/>
                <w:szCs w:val="22"/>
              </w:rPr>
              <w:t>-</w:t>
            </w:r>
            <w:r w:rsidRPr="00A5626D">
              <w:rPr>
                <w:rFonts w:ascii="Garamond" w:hAnsi="Garamond" w:cstheme="minorHAnsi"/>
                <w:sz w:val="22"/>
                <w:szCs w:val="22"/>
                <w:lang w:val="en-US"/>
              </w:rPr>
              <w:t>name</w:t>
            </w:r>
            <w:r w:rsidRPr="00A5626D">
              <w:rPr>
                <w:rFonts w:ascii="Garamond" w:hAnsi="Garamond" w:cstheme="minorHAnsi"/>
                <w:sz w:val="22"/>
                <w:szCs w:val="22"/>
              </w:rPr>
              <w:t xml:space="preserve"> – наименование энергообъекта, на котором располагается точка поставки </w:t>
            </w:r>
            <w:r w:rsidRPr="00A5626D">
              <w:rPr>
                <w:rFonts w:ascii="Garamond" w:hAnsi="Garamond" w:cstheme="minorHAnsi"/>
                <w:sz w:val="22"/>
                <w:szCs w:val="22"/>
                <w:highlight w:val="yellow"/>
              </w:rPr>
              <w:t>(точка присоединения)</w:t>
            </w:r>
            <w:r w:rsidRPr="00A5626D">
              <w:rPr>
                <w:rFonts w:ascii="Garamond" w:hAnsi="Garamond" w:cstheme="minorHAnsi"/>
                <w:sz w:val="22"/>
                <w:szCs w:val="22"/>
              </w:rPr>
              <w:t>. Наименование энергообъекта</w:t>
            </w:r>
            <w:r w:rsidRPr="00A5626D">
              <w:rPr>
                <w:rFonts w:ascii="Garamond" w:hAnsi="Garamond" w:cstheme="minorHAnsi"/>
                <w:sz w:val="22"/>
                <w:szCs w:val="22"/>
                <w:highlight w:val="yellow"/>
              </w:rPr>
              <w:t>, на котором расположена точка поставки,</w:t>
            </w:r>
            <w:r w:rsidRPr="00A5626D">
              <w:rPr>
                <w:rFonts w:ascii="Garamond" w:hAnsi="Garamond" w:cstheme="minorHAnsi"/>
                <w:sz w:val="22"/>
                <w:szCs w:val="22"/>
              </w:rPr>
              <w:t xml:space="preserve"> указывается на основании раздела 4 «Правила присвоения наименований точкам поставки» приложения 5 к </w:t>
            </w:r>
            <w:r w:rsidRPr="00A5626D">
              <w:rPr>
                <w:rFonts w:ascii="Garamond" w:hAnsi="Garamond" w:cstheme="minorHAnsi"/>
                <w:i/>
                <w:sz w:val="22"/>
                <w:szCs w:val="22"/>
              </w:rPr>
              <w:t>Положению о порядке получения статуса субъекта оптового рынка и ведения реестра субъектов оптового рынка</w:t>
            </w:r>
            <w:r w:rsidRPr="00A5626D">
              <w:rPr>
                <w:rFonts w:ascii="Garamond" w:hAnsi="Garamond" w:cstheme="minorHAnsi"/>
                <w:sz w:val="22"/>
                <w:szCs w:val="22"/>
              </w:rPr>
              <w:t xml:space="preserve"> </w:t>
            </w:r>
            <w:r w:rsidRPr="00A5626D">
              <w:rPr>
                <w:rFonts w:ascii="Garamond" w:eastAsia="Batang" w:hAnsi="Garamond" w:cstheme="minorHAnsi"/>
                <w:sz w:val="22"/>
                <w:szCs w:val="22"/>
                <w:lang w:eastAsia="ko-KR"/>
              </w:rPr>
              <w:t xml:space="preserve">(Приложение № 1.1 к </w:t>
            </w:r>
            <w:r w:rsidRPr="00A5626D">
              <w:rPr>
                <w:rFonts w:ascii="Garamond" w:eastAsia="Batang" w:hAnsi="Garamond" w:cstheme="minorHAnsi"/>
                <w:i/>
                <w:sz w:val="22"/>
                <w:szCs w:val="22"/>
                <w:lang w:eastAsia="ko-KR"/>
              </w:rPr>
              <w:t>Договору о присоединении к торговой системе оптового рынка</w:t>
            </w:r>
            <w:r w:rsidRPr="00A5626D">
              <w:rPr>
                <w:rFonts w:ascii="Garamond" w:eastAsia="Batang" w:hAnsi="Garamond" w:cstheme="minorHAnsi"/>
                <w:sz w:val="22"/>
                <w:szCs w:val="22"/>
                <w:lang w:eastAsia="ko-KR"/>
              </w:rPr>
              <w:t>)</w:t>
            </w:r>
            <w:r w:rsidRPr="00A5626D">
              <w:rPr>
                <w:rFonts w:ascii="Garamond" w:hAnsi="Garamond" w:cstheme="minorHAnsi"/>
                <w:sz w:val="22"/>
                <w:szCs w:val="22"/>
              </w:rPr>
              <w:t xml:space="preserve"> в соответствии с типом энергообъекта (оборудования)</w:t>
            </w:r>
            <w:r w:rsidR="00CD1572" w:rsidRPr="00A5626D">
              <w:rPr>
                <w:rFonts w:ascii="Garamond" w:hAnsi="Garamond" w:cstheme="minorHAnsi"/>
                <w:sz w:val="22"/>
                <w:szCs w:val="22"/>
              </w:rPr>
              <w:t>.</w:t>
            </w:r>
            <w:r w:rsidRPr="00A5626D">
              <w:rPr>
                <w:rFonts w:ascii="Garamond" w:hAnsi="Garamond" w:cstheme="minorHAnsi"/>
                <w:sz w:val="22"/>
                <w:szCs w:val="22"/>
              </w:rPr>
              <w:t xml:space="preserve"> </w:t>
            </w:r>
            <w:r w:rsidRPr="00A5626D">
              <w:rPr>
                <w:rFonts w:ascii="Garamond" w:hAnsi="Garamond" w:cstheme="minorHAnsi"/>
                <w:sz w:val="22"/>
                <w:szCs w:val="22"/>
                <w:highlight w:val="yellow"/>
              </w:rPr>
              <w:t>Наименование энергообъекта, на котором расположена точка присоединения,</w:t>
            </w:r>
            <w:r w:rsidR="009B5F03" w:rsidRPr="00A5626D">
              <w:rPr>
                <w:rFonts w:ascii="Garamond" w:hAnsi="Garamond" w:cstheme="minorHAnsi"/>
                <w:sz w:val="22"/>
                <w:szCs w:val="22"/>
                <w:highlight w:val="yellow"/>
              </w:rPr>
              <w:t xml:space="preserve"> </w:t>
            </w:r>
            <w:r w:rsidRPr="00A5626D">
              <w:rPr>
                <w:rFonts w:ascii="Garamond" w:hAnsi="Garamond" w:cstheme="minorHAnsi"/>
                <w:sz w:val="22"/>
                <w:szCs w:val="22"/>
                <w:highlight w:val="yellow"/>
              </w:rPr>
              <w:t xml:space="preserve">указывается на основании раздела 2 «Правила присвоения наименований точкам присоединения» приложения 11 к </w:t>
            </w:r>
            <w:r w:rsidRPr="00A5626D">
              <w:rPr>
                <w:rFonts w:ascii="Garamond" w:hAnsi="Garamond" w:cstheme="minorHAnsi"/>
                <w:i/>
                <w:sz w:val="22"/>
                <w:szCs w:val="22"/>
                <w:highlight w:val="yellow"/>
              </w:rPr>
              <w:t>Положению о порядке получения статуса субъекта оптового рынка и ведения реестра субъектов оптового рынка</w:t>
            </w:r>
            <w:r w:rsidRPr="00A5626D">
              <w:rPr>
                <w:rFonts w:ascii="Garamond" w:hAnsi="Garamond" w:cstheme="minorHAnsi"/>
                <w:sz w:val="22"/>
                <w:szCs w:val="22"/>
                <w:highlight w:val="yellow"/>
              </w:rPr>
              <w:t xml:space="preserve"> </w:t>
            </w:r>
            <w:r w:rsidRPr="00A5626D">
              <w:rPr>
                <w:rFonts w:ascii="Garamond" w:eastAsia="Batang" w:hAnsi="Garamond" w:cstheme="minorHAnsi"/>
                <w:sz w:val="22"/>
                <w:szCs w:val="22"/>
                <w:highlight w:val="yellow"/>
                <w:lang w:eastAsia="ko-KR"/>
              </w:rPr>
              <w:t xml:space="preserve">(Приложение № 1.1 к </w:t>
            </w:r>
            <w:r w:rsidRPr="00A5626D">
              <w:rPr>
                <w:rFonts w:ascii="Garamond" w:eastAsia="Batang" w:hAnsi="Garamond" w:cstheme="minorHAnsi"/>
                <w:i/>
                <w:sz w:val="22"/>
                <w:szCs w:val="22"/>
                <w:highlight w:val="yellow"/>
                <w:lang w:eastAsia="ko-KR"/>
              </w:rPr>
              <w:t>Договору о присоединении к торговой системе оптового рынка</w:t>
            </w:r>
            <w:r w:rsidRPr="00A5626D">
              <w:rPr>
                <w:rFonts w:ascii="Garamond" w:eastAsia="Batang" w:hAnsi="Garamond" w:cstheme="minorHAnsi"/>
                <w:sz w:val="22"/>
                <w:szCs w:val="22"/>
                <w:highlight w:val="yellow"/>
                <w:lang w:eastAsia="ko-KR"/>
              </w:rPr>
              <w:t>)</w:t>
            </w:r>
            <w:r w:rsidRPr="00A5626D">
              <w:rPr>
                <w:rFonts w:ascii="Garamond" w:hAnsi="Garamond" w:cstheme="minorHAnsi"/>
                <w:sz w:val="22"/>
                <w:szCs w:val="22"/>
                <w:highlight w:val="yellow"/>
              </w:rPr>
              <w:t xml:space="preserve"> в соответствии с типом энергообъекта (оборудования).</w:t>
            </w:r>
            <w:r w:rsidRPr="00A5626D">
              <w:rPr>
                <w:rFonts w:ascii="Garamond" w:hAnsi="Garamond" w:cstheme="minorHAnsi"/>
                <w:sz w:val="22"/>
                <w:szCs w:val="22"/>
              </w:rPr>
              <w:t xml:space="preserve"> Текстовое поле не более 250 символов. Является обязательным атрибутом;</w:t>
            </w:r>
          </w:p>
          <w:p w14:paraId="4C65B251" w14:textId="77777777" w:rsidR="00295C6D" w:rsidRPr="00A5626D" w:rsidRDefault="00295C6D" w:rsidP="00295C6D">
            <w:pPr>
              <w:numPr>
                <w:ilvl w:val="0"/>
                <w:numId w:val="240"/>
              </w:numPr>
              <w:tabs>
                <w:tab w:val="left" w:pos="851"/>
                <w:tab w:val="left" w:pos="1134"/>
                <w:tab w:val="left" w:pos="7938"/>
              </w:tabs>
              <w:suppressAutoHyphens w:val="0"/>
              <w:spacing w:before="120" w:after="120"/>
              <w:ind w:left="0" w:firstLine="567"/>
              <w:jc w:val="both"/>
              <w:rPr>
                <w:rFonts w:ascii="Garamond" w:hAnsi="Garamond" w:cstheme="minorHAnsi"/>
                <w:sz w:val="22"/>
                <w:szCs w:val="22"/>
              </w:rPr>
            </w:pPr>
            <w:r w:rsidRPr="00A5626D">
              <w:rPr>
                <w:rFonts w:ascii="Garamond" w:hAnsi="Garamond" w:cstheme="minorHAnsi"/>
                <w:sz w:val="22"/>
                <w:szCs w:val="22"/>
              </w:rPr>
              <w:t xml:space="preserve">location-description – описание месторасположения точки поставки </w:t>
            </w:r>
            <w:r w:rsidRPr="00A5626D">
              <w:rPr>
                <w:rFonts w:ascii="Garamond" w:hAnsi="Garamond" w:cstheme="minorHAnsi"/>
                <w:sz w:val="22"/>
                <w:szCs w:val="22"/>
                <w:highlight w:val="yellow"/>
              </w:rPr>
              <w:t>(точки присоединения)</w:t>
            </w:r>
            <w:r w:rsidRPr="00A5626D">
              <w:rPr>
                <w:rFonts w:ascii="Garamond" w:hAnsi="Garamond" w:cstheme="minorHAnsi"/>
                <w:sz w:val="22"/>
                <w:szCs w:val="22"/>
              </w:rPr>
              <w:t xml:space="preserve"> на однолинейной схеме. Описание месторасположения </w:t>
            </w:r>
            <w:r w:rsidRPr="00A5626D">
              <w:rPr>
                <w:rFonts w:ascii="Garamond" w:hAnsi="Garamond" w:cstheme="minorHAnsi"/>
                <w:sz w:val="22"/>
                <w:szCs w:val="22"/>
                <w:highlight w:val="yellow"/>
              </w:rPr>
              <w:t>точки поставки</w:t>
            </w:r>
            <w:r w:rsidRPr="00A5626D">
              <w:rPr>
                <w:rFonts w:ascii="Garamond" w:hAnsi="Garamond" w:cstheme="minorHAnsi"/>
                <w:sz w:val="22"/>
                <w:szCs w:val="22"/>
              </w:rPr>
              <w:t xml:space="preserve"> указывается на основании раздела 4 «Правила присвоения наименований точкам поставки» приложения 5 к </w:t>
            </w:r>
            <w:r w:rsidRPr="00A5626D">
              <w:rPr>
                <w:rFonts w:ascii="Garamond" w:hAnsi="Garamond" w:cstheme="minorHAnsi"/>
                <w:i/>
                <w:sz w:val="22"/>
                <w:szCs w:val="22"/>
              </w:rPr>
              <w:t>Положению о порядке получения статуса субъекта оптового рынка и ведения реестра субъектов оптового рынка</w:t>
            </w:r>
            <w:r w:rsidRPr="00A5626D">
              <w:rPr>
                <w:rFonts w:ascii="Garamond" w:hAnsi="Garamond" w:cstheme="minorHAnsi"/>
                <w:sz w:val="22"/>
                <w:szCs w:val="22"/>
              </w:rPr>
              <w:t xml:space="preserve"> (Приложение № 1.1 к </w:t>
            </w:r>
            <w:r w:rsidRPr="00A5626D">
              <w:rPr>
                <w:rFonts w:ascii="Garamond" w:hAnsi="Garamond" w:cstheme="minorHAnsi"/>
                <w:i/>
                <w:sz w:val="22"/>
                <w:szCs w:val="22"/>
              </w:rPr>
              <w:t>Договору о присоединении к торговой системе оптового рынка</w:t>
            </w:r>
            <w:r w:rsidRPr="00A5626D">
              <w:rPr>
                <w:rFonts w:ascii="Garamond" w:hAnsi="Garamond" w:cstheme="minorHAnsi"/>
                <w:sz w:val="22"/>
                <w:szCs w:val="22"/>
              </w:rPr>
              <w:t xml:space="preserve">) в соответствии с типом энергообъекта (оборудования), на котором расположена точка поставки. </w:t>
            </w:r>
            <w:r w:rsidRPr="00A5626D">
              <w:rPr>
                <w:rFonts w:ascii="Garamond" w:hAnsi="Garamond" w:cstheme="minorHAnsi"/>
                <w:sz w:val="22"/>
                <w:szCs w:val="22"/>
                <w:highlight w:val="yellow"/>
              </w:rPr>
              <w:t>Описание месторасположения точки</w:t>
            </w:r>
            <w:r w:rsidR="00CD1572" w:rsidRPr="00A5626D">
              <w:rPr>
                <w:rFonts w:ascii="Garamond" w:hAnsi="Garamond" w:cstheme="minorHAnsi"/>
                <w:sz w:val="22"/>
                <w:szCs w:val="22"/>
                <w:highlight w:val="yellow"/>
              </w:rPr>
              <w:t xml:space="preserve"> </w:t>
            </w:r>
            <w:r w:rsidRPr="00A5626D">
              <w:rPr>
                <w:rFonts w:ascii="Garamond" w:hAnsi="Garamond" w:cstheme="minorHAnsi"/>
                <w:sz w:val="22"/>
                <w:szCs w:val="22"/>
                <w:highlight w:val="yellow"/>
              </w:rPr>
              <w:t xml:space="preserve">присоединения указывается на основании раздела 2 «Правила присвоения наименований точкам присоединения» приложения 11 к </w:t>
            </w:r>
            <w:r w:rsidRPr="00A5626D">
              <w:rPr>
                <w:rFonts w:ascii="Garamond" w:hAnsi="Garamond" w:cstheme="minorHAnsi"/>
                <w:i/>
                <w:sz w:val="22"/>
                <w:szCs w:val="22"/>
                <w:highlight w:val="yellow"/>
              </w:rPr>
              <w:t>Положению о порядке получения статуса субъекта оптового рынка и ведения реестра субъектов оптового рынка</w:t>
            </w:r>
            <w:r w:rsidRPr="00A5626D">
              <w:rPr>
                <w:rFonts w:ascii="Garamond" w:hAnsi="Garamond" w:cstheme="minorHAnsi"/>
                <w:sz w:val="22"/>
                <w:szCs w:val="22"/>
                <w:highlight w:val="yellow"/>
              </w:rPr>
              <w:t xml:space="preserve"> </w:t>
            </w:r>
            <w:r w:rsidRPr="00A5626D">
              <w:rPr>
                <w:rFonts w:ascii="Garamond" w:eastAsia="Batang" w:hAnsi="Garamond" w:cstheme="minorHAnsi"/>
                <w:sz w:val="22"/>
                <w:szCs w:val="22"/>
                <w:highlight w:val="yellow"/>
                <w:lang w:eastAsia="ko-KR"/>
              </w:rPr>
              <w:t xml:space="preserve">(Приложение № 1.1 к </w:t>
            </w:r>
            <w:r w:rsidRPr="00A5626D">
              <w:rPr>
                <w:rFonts w:ascii="Garamond" w:eastAsia="Batang" w:hAnsi="Garamond" w:cstheme="minorHAnsi"/>
                <w:i/>
                <w:sz w:val="22"/>
                <w:szCs w:val="22"/>
                <w:highlight w:val="yellow"/>
                <w:lang w:eastAsia="ko-KR"/>
              </w:rPr>
              <w:t>Договору о присоединении к торговой системе оптового рынка</w:t>
            </w:r>
            <w:r w:rsidRPr="00A5626D">
              <w:rPr>
                <w:rFonts w:ascii="Garamond" w:eastAsia="Batang" w:hAnsi="Garamond" w:cstheme="minorHAnsi"/>
                <w:sz w:val="22"/>
                <w:szCs w:val="22"/>
                <w:highlight w:val="yellow"/>
                <w:lang w:eastAsia="ko-KR"/>
              </w:rPr>
              <w:t>)</w:t>
            </w:r>
            <w:r w:rsidRPr="00A5626D">
              <w:rPr>
                <w:rFonts w:ascii="Garamond" w:hAnsi="Garamond" w:cstheme="minorHAnsi"/>
                <w:sz w:val="22"/>
                <w:szCs w:val="22"/>
                <w:highlight w:val="yellow"/>
              </w:rPr>
              <w:t xml:space="preserve"> в соответствии с типом энергообъекта (оборудования).</w:t>
            </w:r>
            <w:r w:rsidRPr="00A5626D">
              <w:rPr>
                <w:rFonts w:ascii="Garamond" w:hAnsi="Garamond" w:cstheme="minorHAnsi"/>
                <w:sz w:val="22"/>
                <w:szCs w:val="22"/>
              </w:rPr>
              <w:t xml:space="preserve"> Текстовое поле не более 250 символов. Является обязательным атрибутом, если не заполнен атрибут &lt;connection-name&gt;;</w:t>
            </w:r>
          </w:p>
          <w:p w14:paraId="7476A457" w14:textId="6F1B3DFD" w:rsidR="00295C6D" w:rsidRPr="00A5626D" w:rsidRDefault="00295C6D" w:rsidP="00295C6D">
            <w:pPr>
              <w:numPr>
                <w:ilvl w:val="0"/>
                <w:numId w:val="240"/>
              </w:numPr>
              <w:tabs>
                <w:tab w:val="left" w:pos="851"/>
                <w:tab w:val="left" w:pos="1134"/>
                <w:tab w:val="left" w:pos="7938"/>
              </w:tabs>
              <w:suppressAutoHyphens w:val="0"/>
              <w:spacing w:before="120" w:after="120"/>
              <w:ind w:left="0" w:firstLine="567"/>
              <w:jc w:val="both"/>
              <w:rPr>
                <w:rFonts w:ascii="Garamond" w:hAnsi="Garamond" w:cstheme="minorHAnsi"/>
                <w:sz w:val="22"/>
                <w:szCs w:val="22"/>
              </w:rPr>
            </w:pPr>
            <w:r w:rsidRPr="00A5626D">
              <w:rPr>
                <w:rFonts w:ascii="Garamond" w:hAnsi="Garamond" w:cstheme="minorHAnsi"/>
                <w:sz w:val="22"/>
                <w:szCs w:val="22"/>
              </w:rPr>
              <w:lastRenderedPageBreak/>
              <w:t xml:space="preserve">connection-name – наименование присоединения для точки поставки </w:t>
            </w:r>
            <w:r w:rsidRPr="00A5626D">
              <w:rPr>
                <w:rFonts w:ascii="Garamond" w:hAnsi="Garamond" w:cstheme="minorHAnsi"/>
                <w:sz w:val="22"/>
                <w:szCs w:val="22"/>
                <w:highlight w:val="yellow"/>
              </w:rPr>
              <w:t>(точки присоединения)</w:t>
            </w:r>
            <w:r w:rsidRPr="00A5626D">
              <w:rPr>
                <w:rFonts w:ascii="Garamond" w:hAnsi="Garamond" w:cstheme="minorHAnsi"/>
                <w:sz w:val="22"/>
                <w:szCs w:val="22"/>
              </w:rPr>
              <w:t xml:space="preserve">. Наименование </w:t>
            </w:r>
            <w:r w:rsidRPr="00A5626D">
              <w:rPr>
                <w:rFonts w:ascii="Garamond" w:hAnsi="Garamond" w:cstheme="minorHAnsi"/>
                <w:sz w:val="22"/>
                <w:szCs w:val="22"/>
                <w:highlight w:val="yellow"/>
              </w:rPr>
              <w:t>присоединения для точки поставки</w:t>
            </w:r>
            <w:r w:rsidRPr="00A5626D">
              <w:rPr>
                <w:rFonts w:ascii="Garamond" w:hAnsi="Garamond" w:cstheme="minorHAnsi"/>
                <w:sz w:val="22"/>
                <w:szCs w:val="22"/>
              </w:rPr>
              <w:t xml:space="preserve"> указывается на основании раздела 4 «Правила присвоения наименований точкам поставки» приложения 5 к </w:t>
            </w:r>
            <w:r w:rsidRPr="00A5626D">
              <w:rPr>
                <w:rFonts w:ascii="Garamond" w:hAnsi="Garamond" w:cstheme="minorHAnsi"/>
                <w:i/>
                <w:sz w:val="22"/>
                <w:szCs w:val="22"/>
              </w:rPr>
              <w:t>Положению о порядке получения статуса субъекта оптового рынка и ведения реестра субъектов оптового рынка</w:t>
            </w:r>
            <w:r w:rsidRPr="00A5626D">
              <w:rPr>
                <w:rFonts w:ascii="Garamond" w:hAnsi="Garamond" w:cstheme="minorHAnsi"/>
                <w:sz w:val="22"/>
                <w:szCs w:val="22"/>
              </w:rPr>
              <w:t xml:space="preserve"> (Приложение № 1.1 к </w:t>
            </w:r>
            <w:r w:rsidRPr="00A5626D">
              <w:rPr>
                <w:rFonts w:ascii="Garamond" w:hAnsi="Garamond" w:cstheme="minorHAnsi"/>
                <w:i/>
                <w:sz w:val="22"/>
                <w:szCs w:val="22"/>
              </w:rPr>
              <w:t>Договору о присоединении к торговой системе оптового рынка</w:t>
            </w:r>
            <w:r w:rsidRPr="00A5626D">
              <w:rPr>
                <w:rFonts w:ascii="Garamond" w:hAnsi="Garamond" w:cstheme="minorHAnsi"/>
                <w:sz w:val="22"/>
                <w:szCs w:val="22"/>
              </w:rPr>
              <w:t>) в соответствии с типом энергообъекта (оборудования), на котором расположена точка поставки.</w:t>
            </w:r>
            <w:r w:rsidR="009B5F03" w:rsidRPr="00A5626D">
              <w:rPr>
                <w:rFonts w:ascii="Garamond" w:hAnsi="Garamond" w:cstheme="minorHAnsi"/>
                <w:sz w:val="22"/>
                <w:szCs w:val="22"/>
              </w:rPr>
              <w:t xml:space="preserve"> </w:t>
            </w:r>
            <w:r w:rsidRPr="00A5626D">
              <w:rPr>
                <w:rFonts w:ascii="Garamond" w:hAnsi="Garamond" w:cstheme="minorHAnsi"/>
                <w:sz w:val="22"/>
                <w:szCs w:val="22"/>
                <w:highlight w:val="yellow"/>
              </w:rPr>
              <w:t xml:space="preserve">Наименование присоединения для точки присоединения указывается на основании раздела 2 «Правила присвоения наименований точкам присоединения» приложения 11 к </w:t>
            </w:r>
            <w:r w:rsidRPr="00A5626D">
              <w:rPr>
                <w:rFonts w:ascii="Garamond" w:hAnsi="Garamond" w:cstheme="minorHAnsi"/>
                <w:i/>
                <w:sz w:val="22"/>
                <w:szCs w:val="22"/>
                <w:highlight w:val="yellow"/>
              </w:rPr>
              <w:t>Положению о порядке получения статуса субъекта оптового рынка и ведения реестра субъектов оптового рынка</w:t>
            </w:r>
            <w:r w:rsidRPr="00A5626D">
              <w:rPr>
                <w:rFonts w:ascii="Garamond" w:hAnsi="Garamond" w:cstheme="minorHAnsi"/>
                <w:sz w:val="22"/>
                <w:szCs w:val="22"/>
                <w:highlight w:val="yellow"/>
              </w:rPr>
              <w:t xml:space="preserve"> </w:t>
            </w:r>
            <w:r w:rsidRPr="00A5626D">
              <w:rPr>
                <w:rFonts w:ascii="Garamond" w:eastAsia="Batang" w:hAnsi="Garamond" w:cstheme="minorHAnsi"/>
                <w:sz w:val="22"/>
                <w:szCs w:val="22"/>
                <w:highlight w:val="yellow"/>
                <w:lang w:eastAsia="ko-KR"/>
              </w:rPr>
              <w:t xml:space="preserve">(Приложение № 1.1 к </w:t>
            </w:r>
            <w:r w:rsidRPr="00A5626D">
              <w:rPr>
                <w:rFonts w:ascii="Garamond" w:eastAsia="Batang" w:hAnsi="Garamond" w:cstheme="minorHAnsi"/>
                <w:i/>
                <w:sz w:val="22"/>
                <w:szCs w:val="22"/>
                <w:highlight w:val="yellow"/>
                <w:lang w:eastAsia="ko-KR"/>
              </w:rPr>
              <w:t>Договору о присоединении к торговой системе оптового рынка</w:t>
            </w:r>
            <w:r w:rsidRPr="00A5626D">
              <w:rPr>
                <w:rFonts w:ascii="Garamond" w:eastAsia="Batang" w:hAnsi="Garamond" w:cstheme="minorHAnsi"/>
                <w:sz w:val="22"/>
                <w:szCs w:val="22"/>
                <w:highlight w:val="yellow"/>
                <w:lang w:eastAsia="ko-KR"/>
              </w:rPr>
              <w:t>)</w:t>
            </w:r>
            <w:r w:rsidRPr="00A5626D">
              <w:rPr>
                <w:rFonts w:ascii="Garamond" w:hAnsi="Garamond" w:cstheme="minorHAnsi"/>
                <w:sz w:val="22"/>
                <w:szCs w:val="22"/>
                <w:highlight w:val="yellow"/>
              </w:rPr>
              <w:t xml:space="preserve"> в соответствии с типом энергообъекта (оборудования).</w:t>
            </w:r>
            <w:r w:rsidRPr="00A5626D">
              <w:rPr>
                <w:rFonts w:ascii="Garamond" w:hAnsi="Garamond" w:cstheme="minorHAnsi"/>
                <w:sz w:val="22"/>
                <w:szCs w:val="22"/>
              </w:rPr>
              <w:t xml:space="preserve"> Текстовое поле не более 250 символов. Является обязательным атрибутом, если не заполнен атрибут &lt;location-description&gt;.</w:t>
            </w:r>
          </w:p>
        </w:tc>
      </w:tr>
      <w:tr w:rsidR="00295C6D" w:rsidRPr="00A5626D" w14:paraId="1ADDE743" w14:textId="77777777" w:rsidTr="00647FA0">
        <w:tc>
          <w:tcPr>
            <w:tcW w:w="1060" w:type="dxa"/>
            <w:vAlign w:val="center"/>
          </w:tcPr>
          <w:p w14:paraId="337CF39B" w14:textId="3BA6EC74" w:rsidR="00295C6D" w:rsidRPr="00A5626D" w:rsidRDefault="00295C6D" w:rsidP="00E31AE6">
            <w:pPr>
              <w:widowControl w:val="0"/>
              <w:tabs>
                <w:tab w:val="left" w:pos="1134"/>
                <w:tab w:val="left" w:pos="7938"/>
              </w:tabs>
              <w:spacing w:line="22" w:lineRule="atLeast"/>
              <w:jc w:val="both"/>
              <w:rPr>
                <w:rFonts w:ascii="Garamond" w:hAnsi="Garamond"/>
                <w:b/>
                <w:sz w:val="22"/>
                <w:szCs w:val="22"/>
                <w:lang w:eastAsia="en-US"/>
              </w:rPr>
            </w:pPr>
            <w:r w:rsidRPr="00A5626D">
              <w:rPr>
                <w:rFonts w:ascii="Garamond" w:hAnsi="Garamond"/>
                <w:b/>
                <w:sz w:val="22"/>
                <w:szCs w:val="22"/>
                <w:lang w:eastAsia="en-US"/>
              </w:rPr>
              <w:lastRenderedPageBreak/>
              <w:t>Приложение 5, п.</w:t>
            </w:r>
            <w:r w:rsidR="00647FA0" w:rsidRPr="00A5626D">
              <w:rPr>
                <w:rFonts w:ascii="Garamond" w:hAnsi="Garamond"/>
                <w:b/>
                <w:sz w:val="22"/>
                <w:szCs w:val="22"/>
                <w:lang w:eastAsia="en-US"/>
              </w:rPr>
              <w:t> </w:t>
            </w:r>
            <w:r w:rsidRPr="00A5626D">
              <w:rPr>
                <w:rFonts w:ascii="Garamond" w:hAnsi="Garamond"/>
                <w:b/>
                <w:sz w:val="22"/>
                <w:szCs w:val="22"/>
                <w:lang w:eastAsia="en-US"/>
              </w:rPr>
              <w:t>4.2.1.1.1.8</w:t>
            </w:r>
          </w:p>
        </w:tc>
        <w:tc>
          <w:tcPr>
            <w:tcW w:w="6662" w:type="dxa"/>
          </w:tcPr>
          <w:p w14:paraId="5B9A47E4" w14:textId="77777777" w:rsidR="00295C6D" w:rsidRPr="00A5626D" w:rsidRDefault="00295C6D" w:rsidP="00E31AE6">
            <w:pPr>
              <w:widowControl w:val="0"/>
              <w:tabs>
                <w:tab w:val="left" w:pos="1134"/>
                <w:tab w:val="left" w:pos="7938"/>
              </w:tabs>
              <w:autoSpaceDE w:val="0"/>
              <w:autoSpaceDN w:val="0"/>
              <w:adjustRightInd w:val="0"/>
              <w:spacing w:before="60" w:after="60"/>
              <w:ind w:firstLine="567"/>
              <w:jc w:val="both"/>
              <w:rPr>
                <w:rFonts w:ascii="Garamond" w:hAnsi="Garamond" w:cstheme="minorHAnsi"/>
                <w:sz w:val="22"/>
                <w:szCs w:val="22"/>
              </w:rPr>
            </w:pPr>
            <w:r w:rsidRPr="00A5626D">
              <w:rPr>
                <w:rFonts w:ascii="Garamond" w:hAnsi="Garamond" w:cstheme="minorHAnsi"/>
                <w:sz w:val="22"/>
                <w:szCs w:val="22"/>
              </w:rPr>
              <w:t>&lt;</w:t>
            </w:r>
            <w:r w:rsidRPr="00A5626D">
              <w:rPr>
                <w:rFonts w:ascii="Garamond" w:hAnsi="Garamond" w:cstheme="minorHAnsi"/>
                <w:sz w:val="22"/>
                <w:szCs w:val="22"/>
                <w:lang w:val="en-US"/>
              </w:rPr>
              <w:t>measuring</w:t>
            </w:r>
            <w:r w:rsidRPr="00A5626D">
              <w:rPr>
                <w:rFonts w:ascii="Garamond" w:hAnsi="Garamond" w:cstheme="minorHAnsi"/>
                <w:sz w:val="22"/>
                <w:szCs w:val="22"/>
              </w:rPr>
              <w:t>-</w:t>
            </w:r>
            <w:r w:rsidRPr="00A5626D">
              <w:rPr>
                <w:rFonts w:ascii="Garamond" w:hAnsi="Garamond" w:cstheme="minorHAnsi"/>
                <w:sz w:val="22"/>
                <w:szCs w:val="22"/>
                <w:lang w:val="en-US"/>
              </w:rPr>
              <w:t>points</w:t>
            </w:r>
            <w:r w:rsidRPr="00A5626D">
              <w:rPr>
                <w:rFonts w:ascii="Garamond" w:hAnsi="Garamond" w:cstheme="minorHAnsi"/>
                <w:sz w:val="22"/>
                <w:szCs w:val="22"/>
              </w:rPr>
              <w:t>&gt;</w:t>
            </w:r>
          </w:p>
          <w:p w14:paraId="48C4D3B7" w14:textId="77777777" w:rsidR="00295C6D" w:rsidRPr="00A5626D" w:rsidRDefault="00295C6D" w:rsidP="00E31AE6">
            <w:pPr>
              <w:widowControl w:val="0"/>
              <w:tabs>
                <w:tab w:val="left" w:pos="1134"/>
                <w:tab w:val="left" w:pos="7938"/>
              </w:tabs>
              <w:autoSpaceDE w:val="0"/>
              <w:autoSpaceDN w:val="0"/>
              <w:adjustRightInd w:val="0"/>
              <w:spacing w:before="60" w:after="60"/>
              <w:ind w:firstLine="567"/>
              <w:jc w:val="both"/>
              <w:rPr>
                <w:rFonts w:ascii="Garamond" w:hAnsi="Garamond" w:cstheme="minorHAnsi"/>
                <w:sz w:val="22"/>
                <w:szCs w:val="22"/>
              </w:rPr>
            </w:pPr>
            <w:r w:rsidRPr="00A5626D">
              <w:rPr>
                <w:rFonts w:ascii="Garamond" w:hAnsi="Garamond" w:cstheme="minorHAnsi"/>
                <w:sz w:val="22"/>
                <w:szCs w:val="22"/>
              </w:rPr>
              <w:t xml:space="preserve">Элемент </w:t>
            </w:r>
            <w:r w:rsidRPr="00A5626D">
              <w:rPr>
                <w:rFonts w:ascii="Garamond" w:hAnsi="Garamond" w:cstheme="minorHAnsi"/>
                <w:b/>
                <w:sz w:val="22"/>
                <w:szCs w:val="22"/>
              </w:rPr>
              <w:t>&lt;</w:t>
            </w:r>
            <w:r w:rsidRPr="00A5626D">
              <w:rPr>
                <w:rFonts w:ascii="Garamond" w:hAnsi="Garamond" w:cstheme="minorHAnsi"/>
                <w:b/>
                <w:sz w:val="22"/>
                <w:szCs w:val="22"/>
                <w:lang w:val="en-US"/>
              </w:rPr>
              <w:t>measuring</w:t>
            </w:r>
            <w:r w:rsidRPr="00A5626D">
              <w:rPr>
                <w:rFonts w:ascii="Garamond" w:hAnsi="Garamond" w:cstheme="minorHAnsi"/>
                <w:b/>
                <w:sz w:val="22"/>
                <w:szCs w:val="22"/>
              </w:rPr>
              <w:t>-</w:t>
            </w:r>
            <w:r w:rsidRPr="00A5626D">
              <w:rPr>
                <w:rFonts w:ascii="Garamond" w:hAnsi="Garamond" w:cstheme="minorHAnsi"/>
                <w:b/>
                <w:sz w:val="22"/>
                <w:szCs w:val="22"/>
                <w:lang w:val="en-US"/>
              </w:rPr>
              <w:t>points</w:t>
            </w:r>
            <w:r w:rsidRPr="00A5626D">
              <w:rPr>
                <w:rFonts w:ascii="Garamond" w:hAnsi="Garamond" w:cstheme="minorHAnsi"/>
                <w:b/>
                <w:sz w:val="22"/>
                <w:szCs w:val="22"/>
              </w:rPr>
              <w:t>&gt;</w:t>
            </w:r>
            <w:r w:rsidRPr="00A5626D">
              <w:rPr>
                <w:rFonts w:ascii="Garamond" w:hAnsi="Garamond" w:cstheme="minorHAnsi"/>
                <w:sz w:val="22"/>
                <w:szCs w:val="22"/>
              </w:rPr>
              <w:t xml:space="preserve"> содержит справочник точек измерени</w:t>
            </w:r>
            <w:r w:rsidRPr="00A5626D">
              <w:rPr>
                <w:rFonts w:ascii="Garamond" w:hAnsi="Garamond" w:cstheme="minorHAnsi"/>
                <w:sz w:val="22"/>
                <w:szCs w:val="22"/>
                <w:highlight w:val="yellow"/>
              </w:rPr>
              <w:t>я</w:t>
            </w:r>
            <w:r w:rsidRPr="00A5626D">
              <w:rPr>
                <w:rFonts w:ascii="Garamond" w:hAnsi="Garamond" w:cstheme="minorHAnsi"/>
                <w:sz w:val="22"/>
                <w:szCs w:val="22"/>
              </w:rPr>
              <w:t xml:space="preserve">. </w:t>
            </w:r>
          </w:p>
          <w:p w14:paraId="41FADDCF" w14:textId="77777777" w:rsidR="00295C6D" w:rsidRPr="00A5626D" w:rsidRDefault="00295C6D" w:rsidP="00E31AE6">
            <w:pPr>
              <w:tabs>
                <w:tab w:val="left" w:pos="1134"/>
                <w:tab w:val="left" w:pos="7938"/>
              </w:tabs>
              <w:spacing w:before="120" w:after="120"/>
              <w:ind w:firstLine="567"/>
              <w:jc w:val="both"/>
              <w:rPr>
                <w:rFonts w:ascii="Garamond" w:hAnsi="Garamond" w:cstheme="minorHAnsi"/>
                <w:sz w:val="22"/>
                <w:szCs w:val="22"/>
              </w:rPr>
            </w:pPr>
            <w:r w:rsidRPr="00A5626D">
              <w:rPr>
                <w:rFonts w:ascii="Garamond" w:hAnsi="Garamond" w:cstheme="minorHAnsi"/>
                <w:sz w:val="22"/>
                <w:szCs w:val="22"/>
              </w:rPr>
              <w:t>Потомками элемента &lt;</w:t>
            </w:r>
            <w:r w:rsidRPr="00A5626D">
              <w:rPr>
                <w:rFonts w:ascii="Garamond" w:hAnsi="Garamond" w:cstheme="minorHAnsi"/>
                <w:b/>
                <w:sz w:val="22"/>
                <w:szCs w:val="22"/>
                <w:lang w:val="en-US"/>
              </w:rPr>
              <w:t>measuring</w:t>
            </w:r>
            <w:r w:rsidRPr="00A5626D">
              <w:rPr>
                <w:rFonts w:ascii="Garamond" w:hAnsi="Garamond" w:cstheme="minorHAnsi"/>
                <w:b/>
                <w:sz w:val="22"/>
                <w:szCs w:val="22"/>
              </w:rPr>
              <w:t>-</w:t>
            </w:r>
            <w:r w:rsidRPr="00A5626D">
              <w:rPr>
                <w:rFonts w:ascii="Garamond" w:hAnsi="Garamond" w:cstheme="minorHAnsi"/>
                <w:b/>
                <w:sz w:val="22"/>
                <w:szCs w:val="22"/>
                <w:lang w:val="en-US"/>
              </w:rPr>
              <w:t>points</w:t>
            </w:r>
            <w:r w:rsidRPr="00A5626D">
              <w:rPr>
                <w:rFonts w:ascii="Garamond" w:hAnsi="Garamond" w:cstheme="minorHAnsi"/>
                <w:sz w:val="22"/>
                <w:szCs w:val="22"/>
              </w:rPr>
              <w:t>&gt; являются элементы &lt;</w:t>
            </w:r>
            <w:r w:rsidRPr="00A5626D">
              <w:rPr>
                <w:rFonts w:ascii="Garamond" w:hAnsi="Garamond" w:cstheme="minorHAnsi"/>
                <w:sz w:val="22"/>
                <w:szCs w:val="22"/>
                <w:lang w:val="en-US"/>
              </w:rPr>
              <w:t>measuring</w:t>
            </w:r>
            <w:r w:rsidRPr="00A5626D">
              <w:rPr>
                <w:rFonts w:ascii="Garamond" w:hAnsi="Garamond" w:cstheme="minorHAnsi"/>
                <w:sz w:val="22"/>
                <w:szCs w:val="22"/>
              </w:rPr>
              <w:t>-</w:t>
            </w:r>
            <w:r w:rsidRPr="00A5626D">
              <w:rPr>
                <w:rFonts w:ascii="Garamond" w:hAnsi="Garamond" w:cstheme="minorHAnsi"/>
                <w:sz w:val="22"/>
                <w:szCs w:val="22"/>
                <w:lang w:val="en-US"/>
              </w:rPr>
              <w:t>point</w:t>
            </w:r>
            <w:r w:rsidRPr="00A5626D">
              <w:rPr>
                <w:rFonts w:ascii="Garamond" w:hAnsi="Garamond" w:cstheme="minorHAnsi"/>
                <w:sz w:val="22"/>
                <w:szCs w:val="22"/>
              </w:rPr>
              <w:t>&gt;. Количество элементов &lt;</w:t>
            </w:r>
            <w:r w:rsidRPr="00A5626D">
              <w:rPr>
                <w:rFonts w:ascii="Garamond" w:hAnsi="Garamond" w:cstheme="minorHAnsi"/>
                <w:sz w:val="22"/>
                <w:szCs w:val="22"/>
                <w:lang w:val="en-US"/>
              </w:rPr>
              <w:t>measuring</w:t>
            </w:r>
            <w:r w:rsidRPr="00A5626D">
              <w:rPr>
                <w:rFonts w:ascii="Garamond" w:hAnsi="Garamond" w:cstheme="minorHAnsi"/>
                <w:sz w:val="22"/>
                <w:szCs w:val="22"/>
              </w:rPr>
              <w:t>-</w:t>
            </w:r>
            <w:r w:rsidRPr="00A5626D">
              <w:rPr>
                <w:rFonts w:ascii="Garamond" w:hAnsi="Garamond" w:cstheme="minorHAnsi"/>
                <w:sz w:val="22"/>
                <w:szCs w:val="22"/>
                <w:lang w:val="en-US"/>
              </w:rPr>
              <w:t>point</w:t>
            </w:r>
            <w:r w:rsidRPr="00A5626D">
              <w:rPr>
                <w:rFonts w:ascii="Garamond" w:hAnsi="Garamond" w:cstheme="minorHAnsi"/>
                <w:sz w:val="22"/>
                <w:szCs w:val="22"/>
              </w:rPr>
              <w:t>&gt; соответствует количеству точек измерени</w:t>
            </w:r>
            <w:r w:rsidRPr="00A5626D">
              <w:rPr>
                <w:rFonts w:ascii="Garamond" w:hAnsi="Garamond" w:cstheme="minorHAnsi"/>
                <w:sz w:val="22"/>
                <w:szCs w:val="22"/>
                <w:highlight w:val="yellow"/>
              </w:rPr>
              <w:t>я</w:t>
            </w:r>
            <w:r w:rsidRPr="00A5626D">
              <w:rPr>
                <w:rFonts w:ascii="Garamond" w:hAnsi="Garamond" w:cstheme="minorHAnsi"/>
                <w:bCs/>
                <w:sz w:val="22"/>
                <w:szCs w:val="22"/>
              </w:rPr>
              <w:t xml:space="preserve">, включая </w:t>
            </w:r>
            <w:r w:rsidRPr="00A5626D">
              <w:rPr>
                <w:rFonts w:ascii="Garamond" w:hAnsi="Garamond" w:cstheme="minorHAnsi"/>
                <w:sz w:val="22"/>
                <w:szCs w:val="22"/>
              </w:rPr>
              <w:t>ОВ/ПГ, и параметров СО</w:t>
            </w:r>
            <w:r w:rsidRPr="00A5626D">
              <w:rPr>
                <w:rFonts w:ascii="Garamond" w:hAnsi="Garamond" w:cstheme="minorHAnsi"/>
                <w:bCs/>
                <w:sz w:val="22"/>
                <w:szCs w:val="22"/>
              </w:rPr>
              <w:t>, представленных в сечении или ГТП генерации</w:t>
            </w:r>
            <w:r w:rsidRPr="00A5626D">
              <w:rPr>
                <w:rFonts w:ascii="Garamond" w:hAnsi="Garamond" w:cstheme="minorHAnsi"/>
                <w:sz w:val="22"/>
                <w:szCs w:val="22"/>
              </w:rPr>
              <w:t>.</w:t>
            </w:r>
          </w:p>
        </w:tc>
        <w:tc>
          <w:tcPr>
            <w:tcW w:w="7088" w:type="dxa"/>
          </w:tcPr>
          <w:p w14:paraId="501C2F3B" w14:textId="77777777" w:rsidR="00295C6D" w:rsidRPr="00A5626D" w:rsidRDefault="00295C6D" w:rsidP="00E31AE6">
            <w:pPr>
              <w:widowControl w:val="0"/>
              <w:tabs>
                <w:tab w:val="left" w:pos="1134"/>
                <w:tab w:val="left" w:pos="7938"/>
              </w:tabs>
              <w:autoSpaceDE w:val="0"/>
              <w:autoSpaceDN w:val="0"/>
              <w:adjustRightInd w:val="0"/>
              <w:spacing w:before="60" w:after="60"/>
              <w:ind w:firstLine="567"/>
              <w:jc w:val="both"/>
              <w:rPr>
                <w:rFonts w:ascii="Garamond" w:hAnsi="Garamond" w:cstheme="minorHAnsi"/>
                <w:sz w:val="22"/>
                <w:szCs w:val="22"/>
              </w:rPr>
            </w:pPr>
            <w:r w:rsidRPr="00A5626D">
              <w:rPr>
                <w:rFonts w:ascii="Garamond" w:hAnsi="Garamond" w:cstheme="minorHAnsi"/>
                <w:sz w:val="22"/>
                <w:szCs w:val="22"/>
              </w:rPr>
              <w:t>&lt;</w:t>
            </w:r>
            <w:r w:rsidRPr="00A5626D">
              <w:rPr>
                <w:rFonts w:ascii="Garamond" w:hAnsi="Garamond" w:cstheme="minorHAnsi"/>
                <w:sz w:val="22"/>
                <w:szCs w:val="22"/>
                <w:lang w:val="en-US"/>
              </w:rPr>
              <w:t>measuring</w:t>
            </w:r>
            <w:r w:rsidRPr="00A5626D">
              <w:rPr>
                <w:rFonts w:ascii="Garamond" w:hAnsi="Garamond" w:cstheme="minorHAnsi"/>
                <w:sz w:val="22"/>
                <w:szCs w:val="22"/>
              </w:rPr>
              <w:t>-</w:t>
            </w:r>
            <w:r w:rsidRPr="00A5626D">
              <w:rPr>
                <w:rFonts w:ascii="Garamond" w:hAnsi="Garamond" w:cstheme="minorHAnsi"/>
                <w:sz w:val="22"/>
                <w:szCs w:val="22"/>
                <w:lang w:val="en-US"/>
              </w:rPr>
              <w:t>points</w:t>
            </w:r>
            <w:r w:rsidRPr="00A5626D">
              <w:rPr>
                <w:rFonts w:ascii="Garamond" w:hAnsi="Garamond" w:cstheme="minorHAnsi"/>
                <w:sz w:val="22"/>
                <w:szCs w:val="22"/>
              </w:rPr>
              <w:t>&gt;</w:t>
            </w:r>
          </w:p>
          <w:p w14:paraId="644CCCE3" w14:textId="77777777" w:rsidR="00295C6D" w:rsidRPr="00A5626D" w:rsidRDefault="00295C6D" w:rsidP="00E31AE6">
            <w:pPr>
              <w:widowControl w:val="0"/>
              <w:tabs>
                <w:tab w:val="left" w:pos="1134"/>
                <w:tab w:val="left" w:pos="7938"/>
              </w:tabs>
              <w:autoSpaceDE w:val="0"/>
              <w:autoSpaceDN w:val="0"/>
              <w:adjustRightInd w:val="0"/>
              <w:spacing w:before="60" w:after="60"/>
              <w:ind w:firstLine="567"/>
              <w:jc w:val="both"/>
              <w:rPr>
                <w:rFonts w:ascii="Garamond" w:hAnsi="Garamond" w:cstheme="minorHAnsi"/>
                <w:sz w:val="22"/>
                <w:szCs w:val="22"/>
              </w:rPr>
            </w:pPr>
            <w:r w:rsidRPr="00A5626D">
              <w:rPr>
                <w:rFonts w:ascii="Garamond" w:hAnsi="Garamond" w:cstheme="minorHAnsi"/>
                <w:sz w:val="22"/>
                <w:szCs w:val="22"/>
              </w:rPr>
              <w:t xml:space="preserve">Элемент </w:t>
            </w:r>
            <w:r w:rsidRPr="00A5626D">
              <w:rPr>
                <w:rFonts w:ascii="Garamond" w:hAnsi="Garamond" w:cstheme="minorHAnsi"/>
                <w:b/>
                <w:sz w:val="22"/>
                <w:szCs w:val="22"/>
              </w:rPr>
              <w:t>&lt;</w:t>
            </w:r>
            <w:r w:rsidRPr="00A5626D">
              <w:rPr>
                <w:rFonts w:ascii="Garamond" w:hAnsi="Garamond" w:cstheme="minorHAnsi"/>
                <w:b/>
                <w:sz w:val="22"/>
                <w:szCs w:val="22"/>
                <w:lang w:val="en-US"/>
              </w:rPr>
              <w:t>measuring</w:t>
            </w:r>
            <w:r w:rsidRPr="00A5626D">
              <w:rPr>
                <w:rFonts w:ascii="Garamond" w:hAnsi="Garamond" w:cstheme="minorHAnsi"/>
                <w:b/>
                <w:sz w:val="22"/>
                <w:szCs w:val="22"/>
              </w:rPr>
              <w:t>-</w:t>
            </w:r>
            <w:r w:rsidRPr="00A5626D">
              <w:rPr>
                <w:rFonts w:ascii="Garamond" w:hAnsi="Garamond" w:cstheme="minorHAnsi"/>
                <w:b/>
                <w:sz w:val="22"/>
                <w:szCs w:val="22"/>
                <w:lang w:val="en-US"/>
              </w:rPr>
              <w:t>points</w:t>
            </w:r>
            <w:r w:rsidRPr="00A5626D">
              <w:rPr>
                <w:rFonts w:ascii="Garamond" w:hAnsi="Garamond" w:cstheme="minorHAnsi"/>
                <w:b/>
                <w:sz w:val="22"/>
                <w:szCs w:val="22"/>
              </w:rPr>
              <w:t>&gt;</w:t>
            </w:r>
            <w:r w:rsidRPr="00A5626D">
              <w:rPr>
                <w:rFonts w:ascii="Garamond" w:hAnsi="Garamond" w:cstheme="minorHAnsi"/>
                <w:sz w:val="22"/>
                <w:szCs w:val="22"/>
              </w:rPr>
              <w:t xml:space="preserve"> содержит справочник точек измерени</w:t>
            </w:r>
            <w:r w:rsidRPr="00A5626D">
              <w:rPr>
                <w:rFonts w:ascii="Garamond" w:hAnsi="Garamond" w:cstheme="minorHAnsi"/>
                <w:sz w:val="22"/>
                <w:szCs w:val="22"/>
                <w:highlight w:val="yellow"/>
              </w:rPr>
              <w:t>й</w:t>
            </w:r>
            <w:r w:rsidRPr="00A5626D">
              <w:rPr>
                <w:rFonts w:ascii="Garamond" w:hAnsi="Garamond" w:cstheme="minorHAnsi"/>
                <w:sz w:val="22"/>
                <w:szCs w:val="22"/>
              </w:rPr>
              <w:t xml:space="preserve">. </w:t>
            </w:r>
          </w:p>
          <w:p w14:paraId="715D143A" w14:textId="12C1E859" w:rsidR="00295C6D" w:rsidRPr="00A5626D" w:rsidRDefault="00295C6D" w:rsidP="00E31AE6">
            <w:pPr>
              <w:pStyle w:val="2"/>
              <w:numPr>
                <w:ilvl w:val="0"/>
                <w:numId w:val="0"/>
              </w:numPr>
              <w:tabs>
                <w:tab w:val="left" w:pos="1134"/>
                <w:tab w:val="left" w:pos="7938"/>
              </w:tabs>
              <w:suppressAutoHyphens w:val="0"/>
              <w:spacing w:line="22" w:lineRule="atLeast"/>
              <w:ind w:firstLine="629"/>
              <w:jc w:val="both"/>
              <w:rPr>
                <w:rFonts w:ascii="Garamond" w:hAnsi="Garamond" w:cstheme="minorHAnsi"/>
                <w:b w:val="0"/>
              </w:rPr>
            </w:pPr>
            <w:r w:rsidRPr="00A5626D">
              <w:rPr>
                <w:rFonts w:ascii="Garamond" w:hAnsi="Garamond" w:cstheme="minorHAnsi"/>
                <w:b w:val="0"/>
              </w:rPr>
              <w:t xml:space="preserve">Потомками элемента </w:t>
            </w:r>
            <w:r w:rsidRPr="00A5626D">
              <w:rPr>
                <w:rFonts w:ascii="Garamond" w:hAnsi="Garamond" w:cstheme="minorHAnsi"/>
              </w:rPr>
              <w:t>&lt;</w:t>
            </w:r>
            <w:r w:rsidRPr="00A5626D">
              <w:rPr>
                <w:rFonts w:ascii="Garamond" w:hAnsi="Garamond" w:cstheme="minorHAnsi"/>
                <w:lang w:val="en-US"/>
              </w:rPr>
              <w:t>measuring</w:t>
            </w:r>
            <w:r w:rsidRPr="00A5626D">
              <w:rPr>
                <w:rFonts w:ascii="Garamond" w:hAnsi="Garamond" w:cstheme="minorHAnsi"/>
              </w:rPr>
              <w:t>-</w:t>
            </w:r>
            <w:r w:rsidRPr="00A5626D">
              <w:rPr>
                <w:rFonts w:ascii="Garamond" w:hAnsi="Garamond" w:cstheme="minorHAnsi"/>
                <w:lang w:val="en-US"/>
              </w:rPr>
              <w:t>points</w:t>
            </w:r>
            <w:r w:rsidRPr="00A5626D">
              <w:rPr>
                <w:rFonts w:ascii="Garamond" w:hAnsi="Garamond" w:cstheme="minorHAnsi"/>
              </w:rPr>
              <w:t>&gt;</w:t>
            </w:r>
            <w:r w:rsidRPr="00A5626D">
              <w:rPr>
                <w:rFonts w:ascii="Garamond" w:hAnsi="Garamond" w:cstheme="minorHAnsi"/>
                <w:b w:val="0"/>
              </w:rPr>
              <w:t xml:space="preserve"> являются элементы &lt;</w:t>
            </w:r>
            <w:r w:rsidRPr="00A5626D">
              <w:rPr>
                <w:rFonts w:ascii="Garamond" w:hAnsi="Garamond" w:cstheme="minorHAnsi"/>
                <w:b w:val="0"/>
                <w:lang w:val="en-US"/>
              </w:rPr>
              <w:t>measuring</w:t>
            </w:r>
            <w:r w:rsidRPr="00A5626D">
              <w:rPr>
                <w:rFonts w:ascii="Garamond" w:hAnsi="Garamond" w:cstheme="minorHAnsi"/>
                <w:b w:val="0"/>
              </w:rPr>
              <w:t>-</w:t>
            </w:r>
            <w:r w:rsidRPr="00A5626D">
              <w:rPr>
                <w:rFonts w:ascii="Garamond" w:hAnsi="Garamond" w:cstheme="minorHAnsi"/>
                <w:b w:val="0"/>
                <w:lang w:val="en-US"/>
              </w:rPr>
              <w:t>point</w:t>
            </w:r>
            <w:r w:rsidRPr="00A5626D">
              <w:rPr>
                <w:rFonts w:ascii="Garamond" w:hAnsi="Garamond" w:cstheme="minorHAnsi"/>
                <w:b w:val="0"/>
              </w:rPr>
              <w:t>&gt;. Количество элементов &lt;</w:t>
            </w:r>
            <w:r w:rsidRPr="00A5626D">
              <w:rPr>
                <w:rFonts w:ascii="Garamond" w:hAnsi="Garamond" w:cstheme="minorHAnsi"/>
                <w:b w:val="0"/>
                <w:lang w:val="en-US"/>
              </w:rPr>
              <w:t>measuring</w:t>
            </w:r>
            <w:r w:rsidRPr="00A5626D">
              <w:rPr>
                <w:rFonts w:ascii="Garamond" w:hAnsi="Garamond" w:cstheme="minorHAnsi"/>
                <w:b w:val="0"/>
              </w:rPr>
              <w:t>-</w:t>
            </w:r>
            <w:r w:rsidRPr="00A5626D">
              <w:rPr>
                <w:rFonts w:ascii="Garamond" w:hAnsi="Garamond" w:cstheme="minorHAnsi"/>
                <w:b w:val="0"/>
                <w:lang w:val="en-US"/>
              </w:rPr>
              <w:t>point</w:t>
            </w:r>
            <w:r w:rsidRPr="00A5626D">
              <w:rPr>
                <w:rFonts w:ascii="Garamond" w:hAnsi="Garamond" w:cstheme="minorHAnsi"/>
                <w:b w:val="0"/>
              </w:rPr>
              <w:t>&gt; соответствует количеству точек измерени</w:t>
            </w:r>
            <w:r w:rsidRPr="00A5626D">
              <w:rPr>
                <w:rFonts w:ascii="Garamond" w:hAnsi="Garamond" w:cstheme="minorHAnsi"/>
                <w:b w:val="0"/>
                <w:highlight w:val="yellow"/>
              </w:rPr>
              <w:t>й</w:t>
            </w:r>
            <w:r w:rsidRPr="00A5626D">
              <w:rPr>
                <w:rFonts w:ascii="Garamond" w:hAnsi="Garamond" w:cstheme="minorHAnsi"/>
                <w:b w:val="0"/>
              </w:rPr>
              <w:t xml:space="preserve">, включая ОВ/ПГ, и параметров СО, представленных в сечении </w:t>
            </w:r>
            <w:r w:rsidRPr="00A5626D">
              <w:rPr>
                <w:rFonts w:ascii="Garamond" w:hAnsi="Garamond" w:cstheme="minorHAnsi"/>
                <w:b w:val="0"/>
                <w:highlight w:val="yellow"/>
              </w:rPr>
              <w:t>КУ</w:t>
            </w:r>
            <w:r w:rsidR="0001419A" w:rsidRPr="0001419A">
              <w:rPr>
                <w:rFonts w:ascii="Garamond" w:hAnsi="Garamond" w:cstheme="minorHAnsi"/>
                <w:b w:val="0"/>
                <w:highlight w:val="yellow"/>
              </w:rPr>
              <w:t>,</w:t>
            </w:r>
            <w:r w:rsidRPr="00A5626D">
              <w:rPr>
                <w:rFonts w:ascii="Garamond" w:hAnsi="Garamond" w:cstheme="minorHAnsi"/>
                <w:b w:val="0"/>
              </w:rPr>
              <w:t xml:space="preserve"> или ГТП генерации</w:t>
            </w:r>
            <w:r w:rsidR="0001419A" w:rsidRPr="0001419A">
              <w:rPr>
                <w:rFonts w:ascii="Garamond" w:hAnsi="Garamond" w:cstheme="minorHAnsi"/>
                <w:b w:val="0"/>
                <w:highlight w:val="yellow"/>
              </w:rPr>
              <w:t>,</w:t>
            </w:r>
            <w:r w:rsidRPr="0001419A">
              <w:rPr>
                <w:rFonts w:ascii="Garamond" w:hAnsi="Garamond" w:cstheme="minorHAnsi"/>
                <w:b w:val="0"/>
                <w:highlight w:val="yellow"/>
              </w:rPr>
              <w:t xml:space="preserve"> или </w:t>
            </w:r>
            <w:r w:rsidRPr="00A5626D">
              <w:rPr>
                <w:rFonts w:ascii="Garamond" w:hAnsi="Garamond" w:cstheme="minorHAnsi"/>
                <w:b w:val="0"/>
                <w:highlight w:val="yellow"/>
              </w:rPr>
              <w:t>ОР</w:t>
            </w:r>
            <w:r w:rsidRPr="00A5626D">
              <w:rPr>
                <w:rFonts w:ascii="Garamond" w:hAnsi="Garamond" w:cstheme="minorHAnsi"/>
                <w:b w:val="0"/>
              </w:rPr>
              <w:t>.</w:t>
            </w:r>
          </w:p>
        </w:tc>
      </w:tr>
      <w:tr w:rsidR="00295C6D" w:rsidRPr="00A5626D" w14:paraId="2F943D06" w14:textId="77777777" w:rsidTr="00647FA0">
        <w:tc>
          <w:tcPr>
            <w:tcW w:w="1060" w:type="dxa"/>
            <w:vAlign w:val="center"/>
          </w:tcPr>
          <w:p w14:paraId="4DFDC849" w14:textId="7EA2169B" w:rsidR="00295C6D" w:rsidRPr="00A5626D" w:rsidRDefault="00295C6D" w:rsidP="00E31AE6">
            <w:pPr>
              <w:widowControl w:val="0"/>
              <w:tabs>
                <w:tab w:val="left" w:pos="1134"/>
                <w:tab w:val="left" w:pos="7938"/>
              </w:tabs>
              <w:spacing w:line="22" w:lineRule="atLeast"/>
              <w:jc w:val="both"/>
              <w:rPr>
                <w:rFonts w:ascii="Garamond" w:hAnsi="Garamond"/>
                <w:b/>
                <w:sz w:val="22"/>
                <w:szCs w:val="22"/>
                <w:lang w:eastAsia="en-US"/>
              </w:rPr>
            </w:pPr>
            <w:r w:rsidRPr="00A5626D">
              <w:rPr>
                <w:rFonts w:ascii="Garamond" w:hAnsi="Garamond"/>
                <w:b/>
                <w:sz w:val="22"/>
                <w:szCs w:val="22"/>
                <w:lang w:eastAsia="en-US"/>
              </w:rPr>
              <w:t>Приложение 5, п.</w:t>
            </w:r>
            <w:r w:rsidR="00647FA0" w:rsidRPr="00A5626D">
              <w:rPr>
                <w:rFonts w:ascii="Garamond" w:hAnsi="Garamond"/>
                <w:b/>
                <w:sz w:val="22"/>
                <w:szCs w:val="22"/>
                <w:lang w:eastAsia="en-US"/>
              </w:rPr>
              <w:t> </w:t>
            </w:r>
            <w:r w:rsidRPr="00A5626D">
              <w:rPr>
                <w:rFonts w:ascii="Garamond" w:hAnsi="Garamond"/>
                <w:b/>
                <w:sz w:val="22"/>
                <w:szCs w:val="22"/>
                <w:lang w:eastAsia="en-US"/>
              </w:rPr>
              <w:t>4.2.1.1.1.8.1</w:t>
            </w:r>
          </w:p>
        </w:tc>
        <w:tc>
          <w:tcPr>
            <w:tcW w:w="6662" w:type="dxa"/>
          </w:tcPr>
          <w:p w14:paraId="1BF97549" w14:textId="77777777" w:rsidR="00295C6D" w:rsidRPr="00A5626D" w:rsidRDefault="00295C6D" w:rsidP="00E31AE6">
            <w:pPr>
              <w:tabs>
                <w:tab w:val="left" w:pos="1134"/>
                <w:tab w:val="left" w:pos="7938"/>
              </w:tabs>
              <w:spacing w:before="120" w:after="120"/>
              <w:ind w:firstLine="567"/>
              <w:jc w:val="both"/>
              <w:rPr>
                <w:rFonts w:ascii="Garamond" w:hAnsi="Garamond" w:cstheme="minorHAnsi"/>
                <w:sz w:val="22"/>
                <w:szCs w:val="22"/>
              </w:rPr>
            </w:pPr>
            <w:r w:rsidRPr="00A5626D">
              <w:rPr>
                <w:rFonts w:ascii="Garamond" w:hAnsi="Garamond" w:cstheme="minorHAnsi"/>
                <w:sz w:val="22"/>
                <w:szCs w:val="22"/>
              </w:rPr>
              <w:t>&lt;</w:t>
            </w:r>
            <w:r w:rsidRPr="00A5626D">
              <w:rPr>
                <w:rFonts w:ascii="Garamond" w:hAnsi="Garamond" w:cstheme="minorHAnsi"/>
                <w:sz w:val="22"/>
                <w:szCs w:val="22"/>
                <w:lang w:val="en-US"/>
              </w:rPr>
              <w:t>measuring</w:t>
            </w:r>
            <w:r w:rsidRPr="00A5626D">
              <w:rPr>
                <w:rFonts w:ascii="Garamond" w:hAnsi="Garamond" w:cstheme="minorHAnsi"/>
                <w:sz w:val="22"/>
                <w:szCs w:val="22"/>
              </w:rPr>
              <w:t>-</w:t>
            </w:r>
            <w:r w:rsidRPr="00A5626D">
              <w:rPr>
                <w:rFonts w:ascii="Garamond" w:hAnsi="Garamond" w:cstheme="minorHAnsi"/>
                <w:sz w:val="22"/>
                <w:szCs w:val="22"/>
                <w:lang w:val="en-US"/>
              </w:rPr>
              <w:t>point</w:t>
            </w:r>
            <w:r w:rsidRPr="00A5626D">
              <w:rPr>
                <w:rFonts w:ascii="Garamond" w:hAnsi="Garamond" w:cstheme="minorHAnsi"/>
                <w:sz w:val="22"/>
                <w:szCs w:val="22"/>
              </w:rPr>
              <w:t>&gt;</w:t>
            </w:r>
          </w:p>
          <w:p w14:paraId="4C15200D" w14:textId="77777777" w:rsidR="00295C6D" w:rsidRPr="00A5626D" w:rsidRDefault="00295C6D" w:rsidP="00E31AE6">
            <w:pPr>
              <w:tabs>
                <w:tab w:val="left" w:pos="1134"/>
                <w:tab w:val="left" w:pos="7938"/>
              </w:tabs>
              <w:spacing w:before="120" w:after="120"/>
              <w:ind w:firstLine="567"/>
              <w:jc w:val="both"/>
              <w:rPr>
                <w:rFonts w:ascii="Garamond" w:hAnsi="Garamond" w:cstheme="minorHAnsi"/>
                <w:sz w:val="22"/>
                <w:szCs w:val="22"/>
              </w:rPr>
            </w:pPr>
            <w:r w:rsidRPr="00A5626D">
              <w:rPr>
                <w:rFonts w:ascii="Garamond" w:hAnsi="Garamond" w:cstheme="minorHAnsi"/>
                <w:sz w:val="22"/>
                <w:szCs w:val="22"/>
              </w:rPr>
              <w:t>Элемент &lt;</w:t>
            </w:r>
            <w:r w:rsidRPr="00A5626D">
              <w:rPr>
                <w:rFonts w:ascii="Garamond" w:hAnsi="Garamond" w:cstheme="minorHAnsi"/>
                <w:b/>
                <w:sz w:val="22"/>
                <w:szCs w:val="22"/>
                <w:lang w:val="en-US"/>
              </w:rPr>
              <w:t>measuring</w:t>
            </w:r>
            <w:r w:rsidRPr="00A5626D">
              <w:rPr>
                <w:rFonts w:ascii="Garamond" w:hAnsi="Garamond" w:cstheme="minorHAnsi"/>
                <w:b/>
                <w:sz w:val="22"/>
                <w:szCs w:val="22"/>
              </w:rPr>
              <w:t>-</w:t>
            </w:r>
            <w:r w:rsidRPr="00A5626D">
              <w:rPr>
                <w:rFonts w:ascii="Garamond" w:hAnsi="Garamond" w:cstheme="minorHAnsi"/>
                <w:b/>
                <w:sz w:val="22"/>
                <w:szCs w:val="22"/>
                <w:lang w:val="en-US"/>
              </w:rPr>
              <w:t>point</w:t>
            </w:r>
            <w:r w:rsidRPr="00A5626D">
              <w:rPr>
                <w:rFonts w:ascii="Garamond" w:hAnsi="Garamond" w:cstheme="minorHAnsi"/>
                <w:sz w:val="22"/>
                <w:szCs w:val="22"/>
              </w:rPr>
              <w:t>&gt; содержит информацию о точке измерени</w:t>
            </w:r>
            <w:r w:rsidRPr="00A5626D">
              <w:rPr>
                <w:rFonts w:ascii="Garamond" w:hAnsi="Garamond" w:cstheme="minorHAnsi"/>
                <w:sz w:val="22"/>
                <w:szCs w:val="22"/>
                <w:highlight w:val="yellow"/>
              </w:rPr>
              <w:t>я</w:t>
            </w:r>
            <w:r w:rsidRPr="00A5626D">
              <w:rPr>
                <w:rFonts w:ascii="Garamond" w:hAnsi="Garamond" w:cstheme="minorHAnsi"/>
                <w:sz w:val="22"/>
                <w:szCs w:val="22"/>
              </w:rPr>
              <w:t>.</w:t>
            </w:r>
          </w:p>
          <w:p w14:paraId="617B64D8" w14:textId="77777777" w:rsidR="00295C6D" w:rsidRPr="00A5626D" w:rsidRDefault="00295C6D" w:rsidP="00E31AE6">
            <w:pPr>
              <w:tabs>
                <w:tab w:val="left" w:pos="1134"/>
                <w:tab w:val="left" w:pos="7938"/>
              </w:tabs>
              <w:spacing w:before="120" w:after="120"/>
              <w:ind w:firstLine="567"/>
              <w:jc w:val="both"/>
              <w:rPr>
                <w:rFonts w:ascii="Garamond" w:hAnsi="Garamond" w:cstheme="minorHAnsi"/>
                <w:sz w:val="22"/>
                <w:szCs w:val="22"/>
              </w:rPr>
            </w:pPr>
            <w:r w:rsidRPr="00A5626D">
              <w:rPr>
                <w:rFonts w:ascii="Garamond" w:hAnsi="Garamond" w:cstheme="minorHAnsi"/>
                <w:sz w:val="22"/>
                <w:szCs w:val="22"/>
              </w:rPr>
              <w:t>Атрибутами элемента &lt;</w:t>
            </w:r>
            <w:r w:rsidRPr="00A5626D">
              <w:rPr>
                <w:rFonts w:ascii="Garamond" w:hAnsi="Garamond" w:cstheme="minorHAnsi"/>
                <w:b/>
                <w:sz w:val="22"/>
                <w:szCs w:val="22"/>
                <w:lang w:val="en-US"/>
              </w:rPr>
              <w:t>measuring</w:t>
            </w:r>
            <w:r w:rsidRPr="00A5626D">
              <w:rPr>
                <w:rFonts w:ascii="Garamond" w:hAnsi="Garamond" w:cstheme="minorHAnsi"/>
                <w:b/>
                <w:sz w:val="22"/>
                <w:szCs w:val="22"/>
              </w:rPr>
              <w:t>-</w:t>
            </w:r>
            <w:r w:rsidRPr="00A5626D">
              <w:rPr>
                <w:rFonts w:ascii="Garamond" w:hAnsi="Garamond" w:cstheme="minorHAnsi"/>
                <w:b/>
                <w:sz w:val="22"/>
                <w:szCs w:val="22"/>
                <w:lang w:val="en-US"/>
              </w:rPr>
              <w:t>point</w:t>
            </w:r>
            <w:r w:rsidRPr="00A5626D">
              <w:rPr>
                <w:rFonts w:ascii="Garamond" w:hAnsi="Garamond" w:cstheme="minorHAnsi"/>
                <w:sz w:val="22"/>
                <w:szCs w:val="22"/>
              </w:rPr>
              <w:t>&gt; являются:</w:t>
            </w:r>
          </w:p>
          <w:p w14:paraId="55D88F4E" w14:textId="77777777" w:rsidR="00295C6D" w:rsidRPr="00A5626D" w:rsidRDefault="00295C6D" w:rsidP="00295C6D">
            <w:pPr>
              <w:widowControl w:val="0"/>
              <w:numPr>
                <w:ilvl w:val="0"/>
                <w:numId w:val="240"/>
              </w:numPr>
              <w:tabs>
                <w:tab w:val="left" w:pos="1134"/>
                <w:tab w:val="left" w:pos="7938"/>
              </w:tabs>
              <w:suppressAutoHyphens w:val="0"/>
              <w:autoSpaceDE w:val="0"/>
              <w:autoSpaceDN w:val="0"/>
              <w:adjustRightInd w:val="0"/>
              <w:spacing w:before="60" w:after="60"/>
              <w:ind w:left="0" w:firstLine="567"/>
              <w:jc w:val="both"/>
              <w:rPr>
                <w:rFonts w:ascii="Garamond" w:hAnsi="Garamond" w:cstheme="minorHAnsi"/>
                <w:sz w:val="22"/>
                <w:szCs w:val="22"/>
              </w:rPr>
            </w:pPr>
            <w:r w:rsidRPr="00A5626D">
              <w:rPr>
                <w:rFonts w:ascii="Garamond" w:hAnsi="Garamond" w:cstheme="minorHAnsi"/>
                <w:sz w:val="22"/>
                <w:szCs w:val="22"/>
                <w:lang w:val="en-US"/>
              </w:rPr>
              <w:t xml:space="preserve">measuring-point-type – </w:t>
            </w:r>
            <w:r w:rsidRPr="00A5626D">
              <w:rPr>
                <w:rFonts w:ascii="Garamond" w:hAnsi="Garamond" w:cstheme="minorHAnsi"/>
                <w:sz w:val="22"/>
                <w:szCs w:val="22"/>
              </w:rPr>
              <w:t>тип</w:t>
            </w:r>
            <w:r w:rsidRPr="00A5626D">
              <w:rPr>
                <w:rFonts w:ascii="Garamond" w:hAnsi="Garamond" w:cstheme="minorHAnsi"/>
                <w:sz w:val="22"/>
                <w:szCs w:val="22"/>
                <w:lang w:val="en-US"/>
              </w:rPr>
              <w:t xml:space="preserve"> </w:t>
            </w:r>
            <w:r w:rsidRPr="00A5626D">
              <w:rPr>
                <w:rFonts w:ascii="Garamond" w:hAnsi="Garamond" w:cstheme="minorHAnsi"/>
                <w:sz w:val="22"/>
                <w:szCs w:val="22"/>
              </w:rPr>
              <w:t>ТИ</w:t>
            </w:r>
            <w:r w:rsidRPr="00A5626D">
              <w:rPr>
                <w:rFonts w:ascii="Garamond" w:hAnsi="Garamond" w:cstheme="minorHAnsi"/>
                <w:sz w:val="22"/>
                <w:szCs w:val="22"/>
                <w:lang w:val="en-US"/>
              </w:rPr>
              <w:t xml:space="preserve">. </w:t>
            </w:r>
            <w:r w:rsidRPr="00A5626D">
              <w:rPr>
                <w:rFonts w:ascii="Garamond" w:hAnsi="Garamond" w:cstheme="minorHAnsi"/>
                <w:sz w:val="22"/>
                <w:szCs w:val="22"/>
              </w:rPr>
              <w:t>Для обычных точек измерени</w:t>
            </w:r>
            <w:r w:rsidRPr="00A5626D">
              <w:rPr>
                <w:rFonts w:ascii="Garamond" w:hAnsi="Garamond" w:cstheme="minorHAnsi"/>
                <w:sz w:val="22"/>
                <w:szCs w:val="22"/>
                <w:highlight w:val="yellow"/>
              </w:rPr>
              <w:t>я</w:t>
            </w:r>
            <w:r w:rsidRPr="00A5626D">
              <w:rPr>
                <w:rFonts w:ascii="Garamond" w:hAnsi="Garamond" w:cstheme="minorHAnsi"/>
                <w:sz w:val="22"/>
                <w:szCs w:val="22"/>
              </w:rPr>
              <w:t xml:space="preserve"> он принимает значение general, для параметров СО – so, для обходных выключателей и точек плавки гололеда – ov. Обязателен к заполнению для всех ТИ;</w:t>
            </w:r>
          </w:p>
          <w:p w14:paraId="6FFE7F32" w14:textId="77777777" w:rsidR="00295C6D" w:rsidRPr="00A5626D" w:rsidRDefault="00295C6D" w:rsidP="00295C6D">
            <w:pPr>
              <w:widowControl w:val="0"/>
              <w:numPr>
                <w:ilvl w:val="0"/>
                <w:numId w:val="240"/>
              </w:numPr>
              <w:tabs>
                <w:tab w:val="left" w:pos="1134"/>
                <w:tab w:val="left" w:pos="7938"/>
              </w:tabs>
              <w:suppressAutoHyphens w:val="0"/>
              <w:autoSpaceDE w:val="0"/>
              <w:autoSpaceDN w:val="0"/>
              <w:adjustRightInd w:val="0"/>
              <w:spacing w:before="60" w:after="60"/>
              <w:ind w:left="0" w:firstLine="567"/>
              <w:jc w:val="both"/>
              <w:rPr>
                <w:rFonts w:ascii="Garamond" w:hAnsi="Garamond" w:cstheme="minorHAnsi"/>
                <w:sz w:val="22"/>
                <w:szCs w:val="22"/>
              </w:rPr>
            </w:pPr>
            <w:r w:rsidRPr="00A5626D">
              <w:rPr>
                <w:rFonts w:ascii="Garamond" w:hAnsi="Garamond" w:cstheme="minorHAnsi"/>
                <w:sz w:val="22"/>
                <w:szCs w:val="22"/>
              </w:rPr>
              <w:t>schemanum – номер ТИ на однолинейной схеме. Атрибут обязателен к заполнению для обычных точек измерени</w:t>
            </w:r>
            <w:r w:rsidRPr="00A5626D">
              <w:rPr>
                <w:rFonts w:ascii="Garamond" w:hAnsi="Garamond" w:cstheme="minorHAnsi"/>
                <w:sz w:val="22"/>
                <w:szCs w:val="22"/>
                <w:highlight w:val="yellow"/>
              </w:rPr>
              <w:t>я</w:t>
            </w:r>
            <w:r w:rsidRPr="00A5626D">
              <w:rPr>
                <w:rFonts w:ascii="Garamond" w:hAnsi="Garamond" w:cstheme="minorHAnsi"/>
                <w:sz w:val="22"/>
                <w:szCs w:val="22"/>
              </w:rPr>
              <w:t>, обходных выключателей и ТИ плавки гололеда. Является текстовым полем длиной не более 10 знаков;</w:t>
            </w:r>
          </w:p>
          <w:p w14:paraId="11629588" w14:textId="77777777" w:rsidR="00295C6D" w:rsidRPr="00A5626D" w:rsidRDefault="00295C6D" w:rsidP="00295C6D">
            <w:pPr>
              <w:widowControl w:val="0"/>
              <w:numPr>
                <w:ilvl w:val="0"/>
                <w:numId w:val="240"/>
              </w:numPr>
              <w:tabs>
                <w:tab w:val="left" w:pos="1134"/>
                <w:tab w:val="left" w:pos="7938"/>
              </w:tabs>
              <w:suppressAutoHyphens w:val="0"/>
              <w:autoSpaceDE w:val="0"/>
              <w:autoSpaceDN w:val="0"/>
              <w:adjustRightInd w:val="0"/>
              <w:spacing w:before="60" w:after="60"/>
              <w:ind w:left="0" w:firstLine="567"/>
              <w:jc w:val="both"/>
              <w:rPr>
                <w:rFonts w:ascii="Garamond" w:hAnsi="Garamond" w:cstheme="minorHAnsi"/>
                <w:sz w:val="22"/>
                <w:szCs w:val="22"/>
              </w:rPr>
            </w:pPr>
            <w:r w:rsidRPr="00A5626D">
              <w:rPr>
                <w:rFonts w:ascii="Garamond" w:hAnsi="Garamond" w:cstheme="minorHAnsi"/>
                <w:sz w:val="22"/>
                <w:szCs w:val="22"/>
              </w:rPr>
              <w:lastRenderedPageBreak/>
              <w:t>ats-code – уникальный код, присвоенный КО точке измерени</w:t>
            </w:r>
            <w:r w:rsidRPr="00A5626D">
              <w:rPr>
                <w:rFonts w:ascii="Garamond" w:hAnsi="Garamond" w:cstheme="minorHAnsi"/>
                <w:sz w:val="22"/>
                <w:szCs w:val="22"/>
                <w:highlight w:val="yellow"/>
              </w:rPr>
              <w:t>я</w:t>
            </w:r>
            <w:r w:rsidRPr="00A5626D">
              <w:rPr>
                <w:rFonts w:ascii="Garamond" w:hAnsi="Garamond" w:cstheme="minorHAnsi"/>
                <w:sz w:val="22"/>
                <w:szCs w:val="22"/>
              </w:rPr>
              <w:t xml:space="preserve">. Является необязательным атрибутом и </w:t>
            </w:r>
            <w:r w:rsidRPr="00A5626D">
              <w:rPr>
                <w:rFonts w:ascii="Garamond" w:hAnsi="Garamond" w:cstheme="minorHAnsi"/>
                <w:bCs/>
                <w:sz w:val="22"/>
                <w:szCs w:val="22"/>
              </w:rPr>
              <w:t>состоит</w:t>
            </w:r>
            <w:r w:rsidRPr="00A5626D">
              <w:rPr>
                <w:rFonts w:ascii="Garamond" w:hAnsi="Garamond" w:cstheme="minorHAnsi"/>
                <w:sz w:val="22"/>
                <w:szCs w:val="22"/>
              </w:rPr>
              <w:t xml:space="preserve"> из 15 знаков. Заполняется для всех ранее закодированных КО в АИИС точек измерени</w:t>
            </w:r>
            <w:r w:rsidRPr="00A5626D">
              <w:rPr>
                <w:rFonts w:ascii="Garamond" w:hAnsi="Garamond" w:cstheme="minorHAnsi"/>
                <w:sz w:val="22"/>
                <w:szCs w:val="22"/>
                <w:highlight w:val="yellow"/>
              </w:rPr>
              <w:t>я</w:t>
            </w:r>
            <w:r w:rsidRPr="00A5626D">
              <w:rPr>
                <w:rFonts w:ascii="Garamond" w:hAnsi="Garamond" w:cstheme="minorHAnsi"/>
                <w:sz w:val="22"/>
                <w:szCs w:val="22"/>
              </w:rPr>
              <w:t>;</w:t>
            </w:r>
          </w:p>
          <w:p w14:paraId="0E0F3955" w14:textId="77777777" w:rsidR="00295C6D" w:rsidRPr="00A5626D" w:rsidRDefault="00295C6D" w:rsidP="00295C6D">
            <w:pPr>
              <w:widowControl w:val="0"/>
              <w:numPr>
                <w:ilvl w:val="0"/>
                <w:numId w:val="240"/>
              </w:numPr>
              <w:tabs>
                <w:tab w:val="left" w:pos="1134"/>
                <w:tab w:val="left" w:pos="7938"/>
              </w:tabs>
              <w:suppressAutoHyphens w:val="0"/>
              <w:autoSpaceDE w:val="0"/>
              <w:autoSpaceDN w:val="0"/>
              <w:adjustRightInd w:val="0"/>
              <w:spacing w:before="60" w:after="60"/>
              <w:ind w:left="0" w:firstLine="567"/>
              <w:jc w:val="both"/>
              <w:rPr>
                <w:rFonts w:ascii="Garamond" w:eastAsia="MS Mincho" w:hAnsi="Garamond" w:cstheme="minorHAnsi"/>
                <w:sz w:val="22"/>
                <w:szCs w:val="22"/>
              </w:rPr>
            </w:pPr>
            <w:r w:rsidRPr="00A5626D">
              <w:rPr>
                <w:rFonts w:ascii="Garamond" w:hAnsi="Garamond" w:cstheme="minorHAnsi"/>
                <w:sz w:val="22"/>
                <w:szCs w:val="22"/>
                <w:lang w:val="en-US"/>
              </w:rPr>
              <w:t>guid</w:t>
            </w:r>
            <w:r w:rsidRPr="00A5626D">
              <w:rPr>
                <w:rFonts w:ascii="Garamond" w:hAnsi="Garamond" w:cstheme="minorHAnsi"/>
                <w:sz w:val="22"/>
                <w:szCs w:val="22"/>
              </w:rPr>
              <w:t xml:space="preserve"> </w:t>
            </w:r>
            <w:r w:rsidRPr="00A5626D">
              <w:rPr>
                <w:rFonts w:ascii="Garamond" w:eastAsia="MS Mincho" w:hAnsi="Garamond" w:cstheme="minorHAnsi"/>
                <w:sz w:val="22"/>
                <w:szCs w:val="22"/>
              </w:rPr>
              <w:t>– уникальный идентификатор ТИ, присваиваемый системой, формирующей файл. Является текстовым полем с 36 символами, обязательный атрибут;</w:t>
            </w:r>
          </w:p>
          <w:p w14:paraId="79172AD2" w14:textId="77777777" w:rsidR="00295C6D" w:rsidRPr="00A5626D" w:rsidRDefault="00295C6D" w:rsidP="00295C6D">
            <w:pPr>
              <w:widowControl w:val="0"/>
              <w:numPr>
                <w:ilvl w:val="0"/>
                <w:numId w:val="240"/>
              </w:numPr>
              <w:tabs>
                <w:tab w:val="left" w:pos="1134"/>
                <w:tab w:val="left" w:pos="7938"/>
              </w:tabs>
              <w:suppressAutoHyphens w:val="0"/>
              <w:autoSpaceDE w:val="0"/>
              <w:autoSpaceDN w:val="0"/>
              <w:adjustRightInd w:val="0"/>
              <w:spacing w:before="60" w:after="60"/>
              <w:ind w:left="0" w:firstLine="567"/>
              <w:jc w:val="both"/>
              <w:rPr>
                <w:rFonts w:ascii="Garamond" w:eastAsia="MS Mincho" w:hAnsi="Garamond" w:cstheme="minorHAnsi"/>
                <w:sz w:val="22"/>
                <w:szCs w:val="22"/>
              </w:rPr>
            </w:pPr>
            <w:r w:rsidRPr="00A5626D">
              <w:rPr>
                <w:rFonts w:ascii="Garamond" w:hAnsi="Garamond" w:cstheme="minorHAnsi"/>
                <w:sz w:val="22"/>
                <w:szCs w:val="22"/>
                <w:lang w:val="en-US"/>
              </w:rPr>
              <w:t>id</w:t>
            </w:r>
            <w:r w:rsidRPr="00A5626D">
              <w:rPr>
                <w:rFonts w:ascii="Garamond" w:hAnsi="Garamond" w:cstheme="minorHAnsi"/>
                <w:sz w:val="22"/>
                <w:szCs w:val="22"/>
              </w:rPr>
              <w:t>-</w:t>
            </w:r>
            <w:r w:rsidRPr="00A5626D">
              <w:rPr>
                <w:rFonts w:ascii="Garamond" w:hAnsi="Garamond" w:cstheme="minorHAnsi"/>
                <w:sz w:val="22"/>
                <w:szCs w:val="22"/>
                <w:lang w:val="en-US"/>
              </w:rPr>
              <w:t>gtp</w:t>
            </w:r>
            <w:r w:rsidRPr="00A5626D">
              <w:rPr>
                <w:rFonts w:ascii="Garamond" w:eastAsia="MS Mincho" w:hAnsi="Garamond" w:cstheme="minorHAnsi"/>
                <w:sz w:val="22"/>
                <w:szCs w:val="22"/>
              </w:rPr>
              <w:t xml:space="preserve"> – атрибут, указывающий на расположение точки измерени</w:t>
            </w:r>
            <w:r w:rsidRPr="00A5626D">
              <w:rPr>
                <w:rFonts w:ascii="Garamond" w:eastAsia="MS Mincho" w:hAnsi="Garamond" w:cstheme="minorHAnsi"/>
                <w:sz w:val="22"/>
                <w:szCs w:val="22"/>
                <w:highlight w:val="yellow"/>
              </w:rPr>
              <w:t>я</w:t>
            </w:r>
            <w:r w:rsidRPr="00A5626D">
              <w:rPr>
                <w:rFonts w:ascii="Garamond" w:eastAsia="MS Mincho" w:hAnsi="Garamond" w:cstheme="minorHAnsi"/>
                <w:sz w:val="22"/>
                <w:szCs w:val="22"/>
              </w:rPr>
              <w:t xml:space="preserve"> относительно границы балансовой принадлежности. Ссылка на идентификатор ГТП из справочника ГТП </w:t>
            </w:r>
            <w:r w:rsidRPr="00A5626D">
              <w:rPr>
                <w:rFonts w:ascii="Garamond" w:hAnsi="Garamond" w:cstheme="minorHAnsi"/>
                <w:sz w:val="22"/>
                <w:szCs w:val="22"/>
              </w:rPr>
              <w:t>потребления</w:t>
            </w:r>
            <w:r w:rsidRPr="00A5626D">
              <w:rPr>
                <w:rFonts w:ascii="Garamond" w:eastAsia="MS Mincho" w:hAnsi="Garamond" w:cstheme="minorHAnsi"/>
                <w:sz w:val="22"/>
                <w:szCs w:val="22"/>
              </w:rPr>
              <w:t>. Обязательный атрибут;</w:t>
            </w:r>
          </w:p>
          <w:p w14:paraId="08D2BC4B" w14:textId="77777777" w:rsidR="00295C6D" w:rsidRPr="00A5626D" w:rsidRDefault="00295C6D" w:rsidP="00295C6D">
            <w:pPr>
              <w:pStyle w:val="ac"/>
              <w:numPr>
                <w:ilvl w:val="0"/>
                <w:numId w:val="240"/>
              </w:numPr>
              <w:tabs>
                <w:tab w:val="left" w:pos="1134"/>
                <w:tab w:val="left" w:pos="7938"/>
              </w:tabs>
              <w:spacing w:after="160" w:line="259" w:lineRule="auto"/>
              <w:ind w:left="0" w:firstLine="567"/>
              <w:contextualSpacing/>
              <w:jc w:val="both"/>
              <w:rPr>
                <w:rFonts w:ascii="Garamond" w:hAnsi="Garamond" w:cstheme="minorHAnsi"/>
                <w:sz w:val="22"/>
                <w:szCs w:val="22"/>
              </w:rPr>
            </w:pPr>
            <w:r w:rsidRPr="00A5626D">
              <w:rPr>
                <w:rFonts w:ascii="Garamond" w:hAnsi="Garamond" w:cstheme="minorHAnsi"/>
                <w:sz w:val="22"/>
                <w:szCs w:val="22"/>
              </w:rPr>
              <w:t>id-measuring-point – внутренний идентификатор точки измерени</w:t>
            </w:r>
            <w:r w:rsidRPr="00A5626D">
              <w:rPr>
                <w:rFonts w:ascii="Garamond" w:hAnsi="Garamond" w:cstheme="minorHAnsi"/>
                <w:sz w:val="22"/>
                <w:szCs w:val="22"/>
                <w:highlight w:val="yellow"/>
              </w:rPr>
              <w:t>я</w:t>
            </w:r>
            <w:r w:rsidRPr="00A5626D">
              <w:rPr>
                <w:rFonts w:ascii="Garamond" w:hAnsi="Garamond" w:cstheme="minorHAnsi"/>
                <w:sz w:val="22"/>
                <w:szCs w:val="22"/>
              </w:rPr>
              <w:t>, используемый в элементах макета в качестве ссылок. Число до 4 знаков (1, 01, 001 и 0001 считаются одинаковыми идентификаторами). Является обязательным атрибутом;</w:t>
            </w:r>
          </w:p>
          <w:p w14:paraId="178E426B" w14:textId="77777777" w:rsidR="00295C6D" w:rsidRPr="00A5626D" w:rsidRDefault="00295C6D" w:rsidP="00295C6D">
            <w:pPr>
              <w:widowControl w:val="0"/>
              <w:numPr>
                <w:ilvl w:val="0"/>
                <w:numId w:val="240"/>
              </w:numPr>
              <w:tabs>
                <w:tab w:val="left" w:pos="1134"/>
                <w:tab w:val="left" w:pos="7938"/>
              </w:tabs>
              <w:suppressAutoHyphens w:val="0"/>
              <w:autoSpaceDE w:val="0"/>
              <w:autoSpaceDN w:val="0"/>
              <w:adjustRightInd w:val="0"/>
              <w:spacing w:before="60" w:after="60"/>
              <w:ind w:left="0" w:firstLine="567"/>
              <w:jc w:val="both"/>
              <w:rPr>
                <w:rFonts w:ascii="Garamond" w:hAnsi="Garamond" w:cstheme="minorHAnsi"/>
                <w:sz w:val="22"/>
                <w:szCs w:val="22"/>
              </w:rPr>
            </w:pPr>
            <w:r w:rsidRPr="00A5626D">
              <w:rPr>
                <w:rFonts w:ascii="Garamond" w:hAnsi="Garamond" w:cstheme="minorHAnsi"/>
                <w:sz w:val="22"/>
                <w:szCs w:val="22"/>
                <w:lang w:val="en-US"/>
              </w:rPr>
              <w:t>id</w:t>
            </w:r>
            <w:r w:rsidRPr="00A5626D">
              <w:rPr>
                <w:rFonts w:ascii="Garamond" w:hAnsi="Garamond" w:cstheme="minorHAnsi"/>
                <w:sz w:val="22"/>
                <w:szCs w:val="22"/>
              </w:rPr>
              <w:t>-</w:t>
            </w:r>
            <w:r w:rsidRPr="00A5626D">
              <w:rPr>
                <w:rFonts w:ascii="Garamond" w:hAnsi="Garamond" w:cstheme="minorHAnsi"/>
                <w:sz w:val="22"/>
                <w:szCs w:val="22"/>
                <w:lang w:val="en-US"/>
              </w:rPr>
              <w:t>power</w:t>
            </w:r>
            <w:r w:rsidRPr="00A5626D">
              <w:rPr>
                <w:rFonts w:ascii="Garamond" w:hAnsi="Garamond" w:cstheme="minorHAnsi"/>
                <w:sz w:val="22"/>
                <w:szCs w:val="22"/>
              </w:rPr>
              <w:t>-</w:t>
            </w:r>
            <w:r w:rsidRPr="00A5626D">
              <w:rPr>
                <w:rFonts w:ascii="Garamond" w:hAnsi="Garamond" w:cstheme="minorHAnsi"/>
                <w:sz w:val="22"/>
                <w:szCs w:val="22"/>
                <w:lang w:val="en-US"/>
              </w:rPr>
              <w:t>object</w:t>
            </w:r>
            <w:r w:rsidRPr="00A5626D">
              <w:rPr>
                <w:rFonts w:ascii="Garamond" w:hAnsi="Garamond" w:cstheme="minorHAnsi"/>
                <w:sz w:val="22"/>
                <w:szCs w:val="22"/>
              </w:rPr>
              <w:t xml:space="preserve"> – ссылка на энергообъект, на котором расположена точка измерени</w:t>
            </w:r>
            <w:r w:rsidRPr="00A5626D">
              <w:rPr>
                <w:rFonts w:ascii="Garamond" w:hAnsi="Garamond" w:cstheme="minorHAnsi"/>
                <w:sz w:val="22"/>
                <w:szCs w:val="22"/>
                <w:highlight w:val="yellow"/>
              </w:rPr>
              <w:t>я</w:t>
            </w:r>
            <w:r w:rsidRPr="00A5626D">
              <w:rPr>
                <w:rFonts w:ascii="Garamond" w:hAnsi="Garamond" w:cstheme="minorHAnsi"/>
                <w:sz w:val="22"/>
                <w:szCs w:val="22"/>
              </w:rPr>
              <w:t>. Значение из справочника энергообъектов (элемент &lt;</w:t>
            </w:r>
            <w:r w:rsidRPr="00A5626D">
              <w:rPr>
                <w:rFonts w:ascii="Garamond" w:hAnsi="Garamond" w:cstheme="minorHAnsi"/>
                <w:sz w:val="22"/>
                <w:szCs w:val="22"/>
                <w:lang w:val="en-US"/>
              </w:rPr>
              <w:t>power</w:t>
            </w:r>
            <w:r w:rsidRPr="00A5626D">
              <w:rPr>
                <w:rFonts w:ascii="Garamond" w:hAnsi="Garamond" w:cstheme="minorHAnsi"/>
                <w:sz w:val="22"/>
                <w:szCs w:val="22"/>
              </w:rPr>
              <w:t>-</w:t>
            </w:r>
            <w:r w:rsidRPr="00A5626D">
              <w:rPr>
                <w:rFonts w:ascii="Garamond" w:hAnsi="Garamond" w:cstheme="minorHAnsi"/>
                <w:sz w:val="22"/>
                <w:szCs w:val="22"/>
                <w:lang w:val="en-US"/>
              </w:rPr>
              <w:t>objects</w:t>
            </w:r>
            <w:r w:rsidRPr="00A5626D">
              <w:rPr>
                <w:rFonts w:ascii="Garamond" w:hAnsi="Garamond" w:cstheme="minorHAnsi"/>
                <w:sz w:val="22"/>
                <w:szCs w:val="22"/>
              </w:rPr>
              <w:t>&gt;). Является обязательным атрибутом для всех ТИ, за исключением параметров СО. Для параметров СО не заполняется;</w:t>
            </w:r>
          </w:p>
          <w:p w14:paraId="4796CD0D" w14:textId="77777777" w:rsidR="00295C6D" w:rsidRPr="00A5626D" w:rsidRDefault="00295C6D" w:rsidP="00295C6D">
            <w:pPr>
              <w:widowControl w:val="0"/>
              <w:numPr>
                <w:ilvl w:val="0"/>
                <w:numId w:val="240"/>
              </w:numPr>
              <w:tabs>
                <w:tab w:val="left" w:pos="1134"/>
                <w:tab w:val="left" w:pos="7938"/>
              </w:tabs>
              <w:suppressAutoHyphens w:val="0"/>
              <w:autoSpaceDE w:val="0"/>
              <w:autoSpaceDN w:val="0"/>
              <w:adjustRightInd w:val="0"/>
              <w:spacing w:before="60" w:after="60"/>
              <w:ind w:left="0" w:firstLine="567"/>
              <w:jc w:val="both"/>
              <w:rPr>
                <w:rFonts w:ascii="Garamond" w:hAnsi="Garamond" w:cstheme="minorHAnsi"/>
                <w:sz w:val="22"/>
                <w:szCs w:val="22"/>
              </w:rPr>
            </w:pPr>
            <w:r w:rsidRPr="00A5626D">
              <w:rPr>
                <w:rFonts w:ascii="Garamond" w:hAnsi="Garamond" w:cstheme="minorHAnsi"/>
                <w:sz w:val="22"/>
                <w:szCs w:val="22"/>
              </w:rPr>
              <w:t>point-voltage – уровень напряжения точки, размерность: В (вольт). Число не более 10 символов, значение «0» недопустимо. Является обязательным атрибутом для всех точек измерений, за исключением параметров СО. Для параметров СО не заполняется.</w:t>
            </w:r>
          </w:p>
          <w:p w14:paraId="7F453ED1" w14:textId="77777777" w:rsidR="00295C6D" w:rsidRPr="00A5626D" w:rsidRDefault="00295C6D" w:rsidP="00E31AE6">
            <w:pPr>
              <w:widowControl w:val="0"/>
              <w:tabs>
                <w:tab w:val="left" w:pos="1134"/>
                <w:tab w:val="left" w:pos="7938"/>
              </w:tabs>
              <w:autoSpaceDE w:val="0"/>
              <w:autoSpaceDN w:val="0"/>
              <w:adjustRightInd w:val="0"/>
              <w:spacing w:before="120" w:after="120"/>
              <w:ind w:firstLine="567"/>
              <w:jc w:val="both"/>
              <w:rPr>
                <w:rFonts w:ascii="Garamond" w:hAnsi="Garamond" w:cstheme="minorHAnsi"/>
                <w:b/>
                <w:sz w:val="22"/>
                <w:szCs w:val="22"/>
                <w:lang w:val="en-US"/>
              </w:rPr>
            </w:pPr>
            <w:r w:rsidRPr="00A5626D">
              <w:rPr>
                <w:rFonts w:ascii="Garamond" w:hAnsi="Garamond" w:cstheme="minorHAnsi"/>
                <w:sz w:val="22"/>
                <w:szCs w:val="22"/>
              </w:rPr>
              <w:t>Дочерними</w:t>
            </w:r>
            <w:r w:rsidRPr="00A5626D">
              <w:rPr>
                <w:rFonts w:ascii="Garamond" w:hAnsi="Garamond" w:cstheme="minorHAnsi"/>
                <w:sz w:val="22"/>
                <w:szCs w:val="22"/>
                <w:lang w:val="en-US"/>
              </w:rPr>
              <w:t xml:space="preserve"> </w:t>
            </w:r>
            <w:r w:rsidRPr="00A5626D">
              <w:rPr>
                <w:rFonts w:ascii="Garamond" w:hAnsi="Garamond" w:cstheme="minorHAnsi"/>
                <w:sz w:val="22"/>
                <w:szCs w:val="22"/>
              </w:rPr>
              <w:t>элементами</w:t>
            </w:r>
            <w:r w:rsidRPr="00A5626D">
              <w:rPr>
                <w:rFonts w:ascii="Garamond" w:hAnsi="Garamond" w:cstheme="minorHAnsi"/>
                <w:sz w:val="22"/>
                <w:szCs w:val="22"/>
                <w:lang w:val="en-US"/>
              </w:rPr>
              <w:t xml:space="preserve"> </w:t>
            </w:r>
            <w:r w:rsidRPr="00A5626D">
              <w:rPr>
                <w:rFonts w:ascii="Garamond" w:hAnsi="Garamond" w:cstheme="minorHAnsi"/>
                <w:sz w:val="22"/>
                <w:szCs w:val="22"/>
              </w:rPr>
              <w:t>являются</w:t>
            </w:r>
            <w:r w:rsidRPr="00A5626D">
              <w:rPr>
                <w:rFonts w:ascii="Garamond" w:hAnsi="Garamond" w:cstheme="minorHAnsi"/>
                <w:sz w:val="22"/>
                <w:szCs w:val="22"/>
                <w:lang w:val="en-US"/>
              </w:rPr>
              <w:t xml:space="preserve">: </w:t>
            </w:r>
            <w:r w:rsidRPr="00A5626D">
              <w:rPr>
                <w:rFonts w:ascii="Garamond" w:hAnsi="Garamond" w:cstheme="minorHAnsi"/>
                <w:b/>
                <w:sz w:val="22"/>
                <w:szCs w:val="22"/>
                <w:lang w:val="en-US"/>
              </w:rPr>
              <w:t>&lt;name&gt;, &lt;comment&gt;, &lt;measuring-device&gt;.</w:t>
            </w:r>
          </w:p>
        </w:tc>
        <w:tc>
          <w:tcPr>
            <w:tcW w:w="7088" w:type="dxa"/>
          </w:tcPr>
          <w:p w14:paraId="1E87C2A0" w14:textId="77777777" w:rsidR="00295C6D" w:rsidRPr="00A5626D" w:rsidRDefault="00295C6D" w:rsidP="00E31AE6">
            <w:pPr>
              <w:tabs>
                <w:tab w:val="left" w:pos="1134"/>
                <w:tab w:val="left" w:pos="7938"/>
              </w:tabs>
              <w:spacing w:before="120" w:after="120"/>
              <w:ind w:firstLine="567"/>
              <w:jc w:val="both"/>
              <w:rPr>
                <w:rFonts w:ascii="Garamond" w:hAnsi="Garamond" w:cstheme="minorHAnsi"/>
                <w:sz w:val="22"/>
                <w:szCs w:val="22"/>
              </w:rPr>
            </w:pPr>
            <w:r w:rsidRPr="00A5626D">
              <w:rPr>
                <w:rFonts w:ascii="Garamond" w:hAnsi="Garamond" w:cstheme="minorHAnsi"/>
                <w:sz w:val="22"/>
                <w:szCs w:val="22"/>
              </w:rPr>
              <w:lastRenderedPageBreak/>
              <w:t>&lt;</w:t>
            </w:r>
            <w:r w:rsidRPr="00A5626D">
              <w:rPr>
                <w:rFonts w:ascii="Garamond" w:hAnsi="Garamond" w:cstheme="minorHAnsi"/>
                <w:sz w:val="22"/>
                <w:szCs w:val="22"/>
                <w:lang w:val="en-US"/>
              </w:rPr>
              <w:t>measuring</w:t>
            </w:r>
            <w:r w:rsidRPr="00A5626D">
              <w:rPr>
                <w:rFonts w:ascii="Garamond" w:hAnsi="Garamond" w:cstheme="minorHAnsi"/>
                <w:sz w:val="22"/>
                <w:szCs w:val="22"/>
              </w:rPr>
              <w:t>-</w:t>
            </w:r>
            <w:r w:rsidRPr="00A5626D">
              <w:rPr>
                <w:rFonts w:ascii="Garamond" w:hAnsi="Garamond" w:cstheme="minorHAnsi"/>
                <w:sz w:val="22"/>
                <w:szCs w:val="22"/>
                <w:lang w:val="en-US"/>
              </w:rPr>
              <w:t>point</w:t>
            </w:r>
            <w:r w:rsidRPr="00A5626D">
              <w:rPr>
                <w:rFonts w:ascii="Garamond" w:hAnsi="Garamond" w:cstheme="minorHAnsi"/>
                <w:sz w:val="22"/>
                <w:szCs w:val="22"/>
              </w:rPr>
              <w:t>&gt;</w:t>
            </w:r>
          </w:p>
          <w:p w14:paraId="594240C7" w14:textId="77777777" w:rsidR="00295C6D" w:rsidRPr="00A5626D" w:rsidRDefault="00295C6D" w:rsidP="00E31AE6">
            <w:pPr>
              <w:tabs>
                <w:tab w:val="left" w:pos="1134"/>
                <w:tab w:val="left" w:pos="7938"/>
              </w:tabs>
              <w:spacing w:before="120" w:after="120"/>
              <w:ind w:firstLine="567"/>
              <w:jc w:val="both"/>
              <w:rPr>
                <w:rFonts w:ascii="Garamond" w:hAnsi="Garamond" w:cstheme="minorHAnsi"/>
                <w:sz w:val="22"/>
                <w:szCs w:val="22"/>
              </w:rPr>
            </w:pPr>
            <w:r w:rsidRPr="00A5626D">
              <w:rPr>
                <w:rFonts w:ascii="Garamond" w:hAnsi="Garamond" w:cstheme="minorHAnsi"/>
                <w:sz w:val="22"/>
                <w:szCs w:val="22"/>
              </w:rPr>
              <w:t>Элемент &lt;</w:t>
            </w:r>
            <w:r w:rsidRPr="00A5626D">
              <w:rPr>
                <w:rFonts w:ascii="Garamond" w:hAnsi="Garamond" w:cstheme="minorHAnsi"/>
                <w:b/>
                <w:sz w:val="22"/>
                <w:szCs w:val="22"/>
                <w:lang w:val="en-US"/>
              </w:rPr>
              <w:t>measuring</w:t>
            </w:r>
            <w:r w:rsidRPr="00A5626D">
              <w:rPr>
                <w:rFonts w:ascii="Garamond" w:hAnsi="Garamond" w:cstheme="minorHAnsi"/>
                <w:b/>
                <w:sz w:val="22"/>
                <w:szCs w:val="22"/>
              </w:rPr>
              <w:t>-</w:t>
            </w:r>
            <w:r w:rsidRPr="00A5626D">
              <w:rPr>
                <w:rFonts w:ascii="Garamond" w:hAnsi="Garamond" w:cstheme="minorHAnsi"/>
                <w:b/>
                <w:sz w:val="22"/>
                <w:szCs w:val="22"/>
                <w:lang w:val="en-US"/>
              </w:rPr>
              <w:t>point</w:t>
            </w:r>
            <w:r w:rsidRPr="00A5626D">
              <w:rPr>
                <w:rFonts w:ascii="Garamond" w:hAnsi="Garamond" w:cstheme="minorHAnsi"/>
                <w:sz w:val="22"/>
                <w:szCs w:val="22"/>
              </w:rPr>
              <w:t>&gt; содержит информацию о точке измерени</w:t>
            </w:r>
            <w:r w:rsidRPr="00A5626D">
              <w:rPr>
                <w:rFonts w:ascii="Garamond" w:hAnsi="Garamond" w:cstheme="minorHAnsi"/>
                <w:sz w:val="22"/>
                <w:szCs w:val="22"/>
                <w:highlight w:val="yellow"/>
              </w:rPr>
              <w:t>й</w:t>
            </w:r>
            <w:r w:rsidRPr="00A5626D">
              <w:rPr>
                <w:rFonts w:ascii="Garamond" w:hAnsi="Garamond" w:cstheme="minorHAnsi"/>
                <w:sz w:val="22"/>
                <w:szCs w:val="22"/>
              </w:rPr>
              <w:t>.</w:t>
            </w:r>
          </w:p>
          <w:p w14:paraId="5DBBE52A" w14:textId="77777777" w:rsidR="00295C6D" w:rsidRPr="00A5626D" w:rsidRDefault="00295C6D" w:rsidP="00E31AE6">
            <w:pPr>
              <w:tabs>
                <w:tab w:val="left" w:pos="1134"/>
                <w:tab w:val="left" w:pos="7938"/>
              </w:tabs>
              <w:spacing w:before="120" w:after="120"/>
              <w:ind w:firstLine="567"/>
              <w:jc w:val="both"/>
              <w:rPr>
                <w:rFonts w:ascii="Garamond" w:hAnsi="Garamond" w:cstheme="minorHAnsi"/>
                <w:sz w:val="22"/>
                <w:szCs w:val="22"/>
              </w:rPr>
            </w:pPr>
            <w:r w:rsidRPr="00A5626D">
              <w:rPr>
                <w:rFonts w:ascii="Garamond" w:hAnsi="Garamond" w:cstheme="minorHAnsi"/>
                <w:sz w:val="22"/>
                <w:szCs w:val="22"/>
              </w:rPr>
              <w:t>Атрибутами элемента &lt;</w:t>
            </w:r>
            <w:r w:rsidRPr="00A5626D">
              <w:rPr>
                <w:rFonts w:ascii="Garamond" w:hAnsi="Garamond" w:cstheme="minorHAnsi"/>
                <w:b/>
                <w:sz w:val="22"/>
                <w:szCs w:val="22"/>
                <w:lang w:val="en-US"/>
              </w:rPr>
              <w:t>measuring</w:t>
            </w:r>
            <w:r w:rsidRPr="00A5626D">
              <w:rPr>
                <w:rFonts w:ascii="Garamond" w:hAnsi="Garamond" w:cstheme="minorHAnsi"/>
                <w:b/>
                <w:sz w:val="22"/>
                <w:szCs w:val="22"/>
              </w:rPr>
              <w:t>-</w:t>
            </w:r>
            <w:r w:rsidRPr="00A5626D">
              <w:rPr>
                <w:rFonts w:ascii="Garamond" w:hAnsi="Garamond" w:cstheme="minorHAnsi"/>
                <w:b/>
                <w:sz w:val="22"/>
                <w:szCs w:val="22"/>
                <w:lang w:val="en-US"/>
              </w:rPr>
              <w:t>point</w:t>
            </w:r>
            <w:r w:rsidRPr="00A5626D">
              <w:rPr>
                <w:rFonts w:ascii="Garamond" w:hAnsi="Garamond" w:cstheme="minorHAnsi"/>
                <w:sz w:val="22"/>
                <w:szCs w:val="22"/>
              </w:rPr>
              <w:t>&gt; являются:</w:t>
            </w:r>
          </w:p>
          <w:p w14:paraId="0C53520E" w14:textId="77777777" w:rsidR="00295C6D" w:rsidRPr="00A5626D" w:rsidRDefault="00295C6D" w:rsidP="00295C6D">
            <w:pPr>
              <w:widowControl w:val="0"/>
              <w:numPr>
                <w:ilvl w:val="0"/>
                <w:numId w:val="240"/>
              </w:numPr>
              <w:tabs>
                <w:tab w:val="left" w:pos="1134"/>
                <w:tab w:val="left" w:pos="7938"/>
              </w:tabs>
              <w:suppressAutoHyphens w:val="0"/>
              <w:autoSpaceDE w:val="0"/>
              <w:autoSpaceDN w:val="0"/>
              <w:adjustRightInd w:val="0"/>
              <w:spacing w:before="60" w:after="60"/>
              <w:ind w:left="0" w:firstLine="567"/>
              <w:jc w:val="both"/>
              <w:rPr>
                <w:rFonts w:ascii="Garamond" w:hAnsi="Garamond" w:cstheme="minorHAnsi"/>
                <w:sz w:val="22"/>
                <w:szCs w:val="22"/>
              </w:rPr>
            </w:pPr>
            <w:r w:rsidRPr="00A5626D">
              <w:rPr>
                <w:rFonts w:ascii="Garamond" w:hAnsi="Garamond" w:cstheme="minorHAnsi"/>
                <w:sz w:val="22"/>
                <w:szCs w:val="22"/>
                <w:lang w:val="en-US"/>
              </w:rPr>
              <w:t xml:space="preserve">measuring-point-type – </w:t>
            </w:r>
            <w:r w:rsidRPr="00A5626D">
              <w:rPr>
                <w:rFonts w:ascii="Garamond" w:hAnsi="Garamond" w:cstheme="minorHAnsi"/>
                <w:sz w:val="22"/>
                <w:szCs w:val="22"/>
              </w:rPr>
              <w:t>тип</w:t>
            </w:r>
            <w:r w:rsidRPr="00A5626D">
              <w:rPr>
                <w:rFonts w:ascii="Garamond" w:hAnsi="Garamond" w:cstheme="minorHAnsi"/>
                <w:sz w:val="22"/>
                <w:szCs w:val="22"/>
                <w:lang w:val="en-US"/>
              </w:rPr>
              <w:t xml:space="preserve"> </w:t>
            </w:r>
            <w:r w:rsidRPr="00A5626D">
              <w:rPr>
                <w:rFonts w:ascii="Garamond" w:hAnsi="Garamond" w:cstheme="minorHAnsi"/>
                <w:sz w:val="22"/>
                <w:szCs w:val="22"/>
              </w:rPr>
              <w:t>ТИ</w:t>
            </w:r>
            <w:r w:rsidRPr="00A5626D">
              <w:rPr>
                <w:rFonts w:ascii="Garamond" w:hAnsi="Garamond" w:cstheme="minorHAnsi"/>
                <w:sz w:val="22"/>
                <w:szCs w:val="22"/>
                <w:lang w:val="en-US"/>
              </w:rPr>
              <w:t xml:space="preserve">. </w:t>
            </w:r>
            <w:r w:rsidRPr="00A5626D">
              <w:rPr>
                <w:rFonts w:ascii="Garamond" w:hAnsi="Garamond" w:cstheme="minorHAnsi"/>
                <w:sz w:val="22"/>
                <w:szCs w:val="22"/>
              </w:rPr>
              <w:t>Для обычных точек измерени</w:t>
            </w:r>
            <w:r w:rsidRPr="00A5626D">
              <w:rPr>
                <w:rFonts w:ascii="Garamond" w:hAnsi="Garamond" w:cstheme="minorHAnsi"/>
                <w:sz w:val="22"/>
                <w:szCs w:val="22"/>
                <w:highlight w:val="yellow"/>
              </w:rPr>
              <w:t>й</w:t>
            </w:r>
            <w:r w:rsidRPr="00A5626D">
              <w:rPr>
                <w:rFonts w:ascii="Garamond" w:hAnsi="Garamond" w:cstheme="minorHAnsi"/>
                <w:sz w:val="22"/>
                <w:szCs w:val="22"/>
              </w:rPr>
              <w:t xml:space="preserve"> он принимает значение general, для параметров СО – so, для обходных выключателей и точек плавки гололеда – ov. Обязателен к заполнению для всех ТИ;</w:t>
            </w:r>
          </w:p>
          <w:p w14:paraId="737F95BC" w14:textId="77777777" w:rsidR="00295C6D" w:rsidRPr="00A5626D" w:rsidRDefault="00295C6D" w:rsidP="00295C6D">
            <w:pPr>
              <w:widowControl w:val="0"/>
              <w:numPr>
                <w:ilvl w:val="0"/>
                <w:numId w:val="240"/>
              </w:numPr>
              <w:tabs>
                <w:tab w:val="left" w:pos="1134"/>
                <w:tab w:val="left" w:pos="7938"/>
              </w:tabs>
              <w:suppressAutoHyphens w:val="0"/>
              <w:autoSpaceDE w:val="0"/>
              <w:autoSpaceDN w:val="0"/>
              <w:adjustRightInd w:val="0"/>
              <w:spacing w:before="60" w:after="60"/>
              <w:ind w:left="0" w:firstLine="567"/>
              <w:jc w:val="both"/>
              <w:rPr>
                <w:rFonts w:ascii="Garamond" w:hAnsi="Garamond" w:cstheme="minorHAnsi"/>
                <w:sz w:val="22"/>
                <w:szCs w:val="22"/>
              </w:rPr>
            </w:pPr>
            <w:r w:rsidRPr="00A5626D">
              <w:rPr>
                <w:rFonts w:ascii="Garamond" w:hAnsi="Garamond" w:cstheme="minorHAnsi"/>
                <w:sz w:val="22"/>
                <w:szCs w:val="22"/>
              </w:rPr>
              <w:t>schemanum – номер ТИ на однолинейной схеме. Атрибут обязателен к заполнению для обычных точек измерени</w:t>
            </w:r>
            <w:r w:rsidRPr="00A5626D">
              <w:rPr>
                <w:rFonts w:ascii="Garamond" w:hAnsi="Garamond" w:cstheme="minorHAnsi"/>
                <w:sz w:val="22"/>
                <w:szCs w:val="22"/>
                <w:highlight w:val="yellow"/>
              </w:rPr>
              <w:t>й</w:t>
            </w:r>
            <w:r w:rsidRPr="00A5626D">
              <w:rPr>
                <w:rFonts w:ascii="Garamond" w:hAnsi="Garamond" w:cstheme="minorHAnsi"/>
                <w:sz w:val="22"/>
                <w:szCs w:val="22"/>
              </w:rPr>
              <w:t>, обходных выключателей и ТИ плавки гололеда. Является текстовым полем длиной не более 10 знаков;</w:t>
            </w:r>
          </w:p>
          <w:p w14:paraId="00A04569" w14:textId="2C1AA551" w:rsidR="00295C6D" w:rsidRPr="00A5626D" w:rsidRDefault="00295C6D" w:rsidP="00295C6D">
            <w:pPr>
              <w:widowControl w:val="0"/>
              <w:numPr>
                <w:ilvl w:val="0"/>
                <w:numId w:val="240"/>
              </w:numPr>
              <w:tabs>
                <w:tab w:val="left" w:pos="1134"/>
                <w:tab w:val="left" w:pos="7938"/>
              </w:tabs>
              <w:suppressAutoHyphens w:val="0"/>
              <w:autoSpaceDE w:val="0"/>
              <w:autoSpaceDN w:val="0"/>
              <w:adjustRightInd w:val="0"/>
              <w:spacing w:before="60" w:after="60"/>
              <w:ind w:left="0" w:firstLine="567"/>
              <w:jc w:val="both"/>
              <w:rPr>
                <w:rFonts w:ascii="Garamond" w:hAnsi="Garamond" w:cstheme="minorHAnsi"/>
                <w:sz w:val="22"/>
                <w:szCs w:val="22"/>
              </w:rPr>
            </w:pPr>
            <w:r w:rsidRPr="00A5626D">
              <w:rPr>
                <w:rFonts w:ascii="Garamond" w:hAnsi="Garamond" w:cstheme="minorHAnsi"/>
                <w:sz w:val="22"/>
                <w:szCs w:val="22"/>
              </w:rPr>
              <w:lastRenderedPageBreak/>
              <w:t>ats-code – уникальный код, присвоенный КО точке измерени</w:t>
            </w:r>
            <w:r w:rsidRPr="00A5626D">
              <w:rPr>
                <w:rFonts w:ascii="Garamond" w:hAnsi="Garamond" w:cstheme="minorHAnsi"/>
                <w:sz w:val="22"/>
                <w:szCs w:val="22"/>
                <w:highlight w:val="yellow"/>
              </w:rPr>
              <w:t>й</w:t>
            </w:r>
            <w:r w:rsidRPr="00A5626D">
              <w:rPr>
                <w:rFonts w:ascii="Garamond" w:hAnsi="Garamond" w:cstheme="minorHAnsi"/>
                <w:sz w:val="22"/>
                <w:szCs w:val="22"/>
              </w:rPr>
              <w:t xml:space="preserve">. Является необязательным атрибутом и </w:t>
            </w:r>
            <w:r w:rsidRPr="00A5626D">
              <w:rPr>
                <w:rFonts w:ascii="Garamond" w:hAnsi="Garamond" w:cstheme="minorHAnsi"/>
                <w:bCs/>
                <w:sz w:val="22"/>
                <w:szCs w:val="22"/>
              </w:rPr>
              <w:t>состоит</w:t>
            </w:r>
            <w:r w:rsidRPr="00A5626D">
              <w:rPr>
                <w:rFonts w:ascii="Garamond" w:hAnsi="Garamond" w:cstheme="minorHAnsi"/>
                <w:sz w:val="22"/>
                <w:szCs w:val="22"/>
              </w:rPr>
              <w:t xml:space="preserve"> из 15 знаков. Заполняется для всех ранее закодированных КО в АИИС / </w:t>
            </w:r>
            <w:r w:rsidR="0001419A">
              <w:rPr>
                <w:rFonts w:ascii="Garamond" w:hAnsi="Garamond" w:cstheme="minorHAnsi"/>
                <w:sz w:val="22"/>
                <w:szCs w:val="22"/>
                <w:highlight w:val="yellow"/>
              </w:rPr>
              <w:t>с</w:t>
            </w:r>
            <w:r w:rsidRPr="00A5626D">
              <w:rPr>
                <w:rFonts w:ascii="Garamond" w:hAnsi="Garamond" w:cstheme="minorHAnsi"/>
                <w:sz w:val="22"/>
                <w:szCs w:val="22"/>
                <w:highlight w:val="yellow"/>
              </w:rPr>
              <w:t>писке ОР</w:t>
            </w:r>
            <w:r w:rsidRPr="00A5626D">
              <w:rPr>
                <w:rFonts w:ascii="Garamond" w:hAnsi="Garamond" w:cstheme="minorHAnsi"/>
                <w:sz w:val="22"/>
                <w:szCs w:val="22"/>
              </w:rPr>
              <w:t xml:space="preserve"> точек измерени</w:t>
            </w:r>
            <w:r w:rsidRPr="00A5626D">
              <w:rPr>
                <w:rFonts w:ascii="Garamond" w:hAnsi="Garamond" w:cstheme="minorHAnsi"/>
                <w:sz w:val="22"/>
                <w:szCs w:val="22"/>
                <w:highlight w:val="yellow"/>
              </w:rPr>
              <w:t>й</w:t>
            </w:r>
            <w:r w:rsidRPr="00A5626D">
              <w:rPr>
                <w:rFonts w:ascii="Garamond" w:hAnsi="Garamond" w:cstheme="minorHAnsi"/>
                <w:sz w:val="22"/>
                <w:szCs w:val="22"/>
              </w:rPr>
              <w:t>;</w:t>
            </w:r>
          </w:p>
          <w:p w14:paraId="1F938737" w14:textId="77777777" w:rsidR="00295C6D" w:rsidRPr="00A5626D" w:rsidRDefault="00295C6D" w:rsidP="00295C6D">
            <w:pPr>
              <w:widowControl w:val="0"/>
              <w:numPr>
                <w:ilvl w:val="0"/>
                <w:numId w:val="240"/>
              </w:numPr>
              <w:tabs>
                <w:tab w:val="left" w:pos="1134"/>
                <w:tab w:val="left" w:pos="7938"/>
              </w:tabs>
              <w:suppressAutoHyphens w:val="0"/>
              <w:autoSpaceDE w:val="0"/>
              <w:autoSpaceDN w:val="0"/>
              <w:adjustRightInd w:val="0"/>
              <w:spacing w:before="60" w:after="60"/>
              <w:ind w:left="0" w:firstLine="567"/>
              <w:jc w:val="both"/>
              <w:rPr>
                <w:rFonts w:ascii="Garamond" w:eastAsia="MS Mincho" w:hAnsi="Garamond" w:cstheme="minorHAnsi"/>
                <w:sz w:val="22"/>
                <w:szCs w:val="22"/>
              </w:rPr>
            </w:pPr>
            <w:r w:rsidRPr="00A5626D">
              <w:rPr>
                <w:rFonts w:ascii="Garamond" w:hAnsi="Garamond" w:cstheme="minorHAnsi"/>
                <w:sz w:val="22"/>
                <w:szCs w:val="22"/>
                <w:lang w:val="en-US"/>
              </w:rPr>
              <w:t>guid</w:t>
            </w:r>
            <w:r w:rsidRPr="00A5626D">
              <w:rPr>
                <w:rFonts w:ascii="Garamond" w:hAnsi="Garamond" w:cstheme="minorHAnsi"/>
                <w:sz w:val="22"/>
                <w:szCs w:val="22"/>
              </w:rPr>
              <w:t xml:space="preserve"> </w:t>
            </w:r>
            <w:r w:rsidRPr="00A5626D">
              <w:rPr>
                <w:rFonts w:ascii="Garamond" w:eastAsia="MS Mincho" w:hAnsi="Garamond" w:cstheme="minorHAnsi"/>
                <w:sz w:val="22"/>
                <w:szCs w:val="22"/>
              </w:rPr>
              <w:t>– уникальный идентификатор ТИ, присваиваемый системой, формирующей файл. Является текстовым полем с 36 символами, обязательный атрибут;</w:t>
            </w:r>
          </w:p>
          <w:p w14:paraId="79B71A0D" w14:textId="77777777" w:rsidR="00295C6D" w:rsidRPr="00A5626D" w:rsidRDefault="00295C6D" w:rsidP="00295C6D">
            <w:pPr>
              <w:widowControl w:val="0"/>
              <w:numPr>
                <w:ilvl w:val="0"/>
                <w:numId w:val="240"/>
              </w:numPr>
              <w:tabs>
                <w:tab w:val="left" w:pos="1134"/>
                <w:tab w:val="left" w:pos="7938"/>
              </w:tabs>
              <w:suppressAutoHyphens w:val="0"/>
              <w:autoSpaceDE w:val="0"/>
              <w:autoSpaceDN w:val="0"/>
              <w:adjustRightInd w:val="0"/>
              <w:spacing w:before="60" w:after="60"/>
              <w:ind w:left="0" w:firstLine="567"/>
              <w:jc w:val="both"/>
              <w:rPr>
                <w:rFonts w:ascii="Garamond" w:eastAsia="MS Mincho" w:hAnsi="Garamond" w:cstheme="minorHAnsi"/>
                <w:sz w:val="22"/>
                <w:szCs w:val="22"/>
              </w:rPr>
            </w:pPr>
            <w:r w:rsidRPr="00A5626D">
              <w:rPr>
                <w:rFonts w:ascii="Garamond" w:hAnsi="Garamond" w:cstheme="minorHAnsi"/>
                <w:sz w:val="22"/>
                <w:szCs w:val="22"/>
                <w:lang w:val="en-US"/>
              </w:rPr>
              <w:t>id</w:t>
            </w:r>
            <w:r w:rsidRPr="00A5626D">
              <w:rPr>
                <w:rFonts w:ascii="Garamond" w:hAnsi="Garamond" w:cstheme="minorHAnsi"/>
                <w:sz w:val="22"/>
                <w:szCs w:val="22"/>
              </w:rPr>
              <w:t>-</w:t>
            </w:r>
            <w:r w:rsidRPr="00A5626D">
              <w:rPr>
                <w:rFonts w:ascii="Garamond" w:hAnsi="Garamond" w:cstheme="minorHAnsi"/>
                <w:sz w:val="22"/>
                <w:szCs w:val="22"/>
                <w:lang w:val="en-US"/>
              </w:rPr>
              <w:t>gtp</w:t>
            </w:r>
            <w:r w:rsidRPr="00A5626D">
              <w:rPr>
                <w:rFonts w:ascii="Garamond" w:eastAsia="MS Mincho" w:hAnsi="Garamond" w:cstheme="minorHAnsi"/>
                <w:sz w:val="22"/>
                <w:szCs w:val="22"/>
              </w:rPr>
              <w:t xml:space="preserve"> – атрибут, указывающий на расположение точки измерени</w:t>
            </w:r>
            <w:r w:rsidRPr="00A5626D">
              <w:rPr>
                <w:rFonts w:ascii="Garamond" w:eastAsia="MS Mincho" w:hAnsi="Garamond" w:cstheme="minorHAnsi"/>
                <w:sz w:val="22"/>
                <w:szCs w:val="22"/>
                <w:highlight w:val="yellow"/>
              </w:rPr>
              <w:t>й</w:t>
            </w:r>
            <w:r w:rsidRPr="00A5626D">
              <w:rPr>
                <w:rFonts w:ascii="Garamond" w:eastAsia="MS Mincho" w:hAnsi="Garamond" w:cstheme="minorHAnsi"/>
                <w:sz w:val="22"/>
                <w:szCs w:val="22"/>
              </w:rPr>
              <w:t xml:space="preserve"> относительно границы балансовой принадлежности. Ссылка на идентификатор ГТП из справочника ГТП </w:t>
            </w:r>
            <w:r w:rsidRPr="00A5626D">
              <w:rPr>
                <w:rFonts w:ascii="Garamond" w:hAnsi="Garamond" w:cstheme="minorHAnsi"/>
                <w:sz w:val="22"/>
                <w:szCs w:val="22"/>
              </w:rPr>
              <w:t xml:space="preserve">потребления </w:t>
            </w:r>
            <w:r w:rsidRPr="00A5626D">
              <w:rPr>
                <w:rFonts w:ascii="Garamond" w:hAnsi="Garamond" w:cstheme="minorHAnsi"/>
                <w:sz w:val="22"/>
                <w:szCs w:val="22"/>
                <w:highlight w:val="yellow"/>
              </w:rPr>
              <w:t>или на идентификатор ОР</w:t>
            </w:r>
            <w:r w:rsidRPr="00A5626D">
              <w:rPr>
                <w:rFonts w:ascii="Garamond" w:eastAsia="MS Mincho" w:hAnsi="Garamond" w:cstheme="minorHAnsi"/>
                <w:sz w:val="22"/>
                <w:szCs w:val="22"/>
              </w:rPr>
              <w:t xml:space="preserve">. Обязательный атрибут; </w:t>
            </w:r>
          </w:p>
          <w:p w14:paraId="006F5E99" w14:textId="77777777" w:rsidR="00295C6D" w:rsidRPr="00A5626D" w:rsidRDefault="00295C6D" w:rsidP="00295C6D">
            <w:pPr>
              <w:pStyle w:val="ac"/>
              <w:numPr>
                <w:ilvl w:val="0"/>
                <w:numId w:val="240"/>
              </w:numPr>
              <w:tabs>
                <w:tab w:val="left" w:pos="1134"/>
                <w:tab w:val="left" w:pos="7938"/>
              </w:tabs>
              <w:spacing w:after="160" w:line="259" w:lineRule="auto"/>
              <w:ind w:left="0" w:firstLine="567"/>
              <w:contextualSpacing/>
              <w:jc w:val="both"/>
              <w:rPr>
                <w:rFonts w:ascii="Garamond" w:hAnsi="Garamond" w:cstheme="minorHAnsi"/>
                <w:sz w:val="22"/>
                <w:szCs w:val="22"/>
              </w:rPr>
            </w:pPr>
            <w:r w:rsidRPr="00A5626D">
              <w:rPr>
                <w:rFonts w:ascii="Garamond" w:hAnsi="Garamond" w:cstheme="minorHAnsi"/>
                <w:sz w:val="22"/>
                <w:szCs w:val="22"/>
              </w:rPr>
              <w:t>id-measuring-point – внутренний идентификатор точки измерени</w:t>
            </w:r>
            <w:r w:rsidRPr="00A5626D">
              <w:rPr>
                <w:rFonts w:ascii="Garamond" w:hAnsi="Garamond" w:cstheme="minorHAnsi"/>
                <w:sz w:val="22"/>
                <w:szCs w:val="22"/>
                <w:highlight w:val="yellow"/>
              </w:rPr>
              <w:t>й</w:t>
            </w:r>
            <w:r w:rsidRPr="00A5626D">
              <w:rPr>
                <w:rFonts w:ascii="Garamond" w:hAnsi="Garamond" w:cstheme="minorHAnsi"/>
                <w:sz w:val="22"/>
                <w:szCs w:val="22"/>
              </w:rPr>
              <w:t>, используемый в элементах макета в качестве ссылок. Число до 4 знаков (1, 01, 001 и 0001 считаются одинаковыми идентификаторами). Является обязательным атрибутом;</w:t>
            </w:r>
          </w:p>
          <w:p w14:paraId="4B8CC4CF" w14:textId="77777777" w:rsidR="00295C6D" w:rsidRPr="00A5626D" w:rsidRDefault="00295C6D" w:rsidP="00295C6D">
            <w:pPr>
              <w:widowControl w:val="0"/>
              <w:numPr>
                <w:ilvl w:val="0"/>
                <w:numId w:val="240"/>
              </w:numPr>
              <w:tabs>
                <w:tab w:val="left" w:pos="1134"/>
                <w:tab w:val="left" w:pos="7938"/>
              </w:tabs>
              <w:suppressAutoHyphens w:val="0"/>
              <w:autoSpaceDE w:val="0"/>
              <w:autoSpaceDN w:val="0"/>
              <w:adjustRightInd w:val="0"/>
              <w:spacing w:before="60" w:after="60"/>
              <w:ind w:left="0" w:firstLine="567"/>
              <w:jc w:val="both"/>
              <w:rPr>
                <w:rFonts w:ascii="Garamond" w:hAnsi="Garamond" w:cstheme="minorHAnsi"/>
                <w:sz w:val="22"/>
                <w:szCs w:val="22"/>
              </w:rPr>
            </w:pPr>
            <w:r w:rsidRPr="00A5626D">
              <w:rPr>
                <w:rFonts w:ascii="Garamond" w:hAnsi="Garamond" w:cstheme="minorHAnsi"/>
                <w:sz w:val="22"/>
                <w:szCs w:val="22"/>
                <w:lang w:val="en-US"/>
              </w:rPr>
              <w:t>id</w:t>
            </w:r>
            <w:r w:rsidRPr="00A5626D">
              <w:rPr>
                <w:rFonts w:ascii="Garamond" w:hAnsi="Garamond" w:cstheme="minorHAnsi"/>
                <w:sz w:val="22"/>
                <w:szCs w:val="22"/>
              </w:rPr>
              <w:t>-</w:t>
            </w:r>
            <w:r w:rsidRPr="00A5626D">
              <w:rPr>
                <w:rFonts w:ascii="Garamond" w:hAnsi="Garamond" w:cstheme="minorHAnsi"/>
                <w:sz w:val="22"/>
                <w:szCs w:val="22"/>
                <w:lang w:val="en-US"/>
              </w:rPr>
              <w:t>power</w:t>
            </w:r>
            <w:r w:rsidRPr="00A5626D">
              <w:rPr>
                <w:rFonts w:ascii="Garamond" w:hAnsi="Garamond" w:cstheme="minorHAnsi"/>
                <w:sz w:val="22"/>
                <w:szCs w:val="22"/>
              </w:rPr>
              <w:t>-</w:t>
            </w:r>
            <w:r w:rsidRPr="00A5626D">
              <w:rPr>
                <w:rFonts w:ascii="Garamond" w:hAnsi="Garamond" w:cstheme="minorHAnsi"/>
                <w:sz w:val="22"/>
                <w:szCs w:val="22"/>
                <w:lang w:val="en-US"/>
              </w:rPr>
              <w:t>object</w:t>
            </w:r>
            <w:r w:rsidRPr="00A5626D">
              <w:rPr>
                <w:rFonts w:ascii="Garamond" w:hAnsi="Garamond" w:cstheme="minorHAnsi"/>
                <w:sz w:val="22"/>
                <w:szCs w:val="22"/>
              </w:rPr>
              <w:t xml:space="preserve"> – ссылка на энергообъект, на котором расположена точка измерени</w:t>
            </w:r>
            <w:r w:rsidRPr="00A5626D">
              <w:rPr>
                <w:rFonts w:ascii="Garamond" w:hAnsi="Garamond" w:cstheme="minorHAnsi"/>
                <w:sz w:val="22"/>
                <w:szCs w:val="22"/>
                <w:highlight w:val="yellow"/>
              </w:rPr>
              <w:t>й</w:t>
            </w:r>
            <w:r w:rsidRPr="00A5626D">
              <w:rPr>
                <w:rFonts w:ascii="Garamond" w:hAnsi="Garamond" w:cstheme="minorHAnsi"/>
                <w:sz w:val="22"/>
                <w:szCs w:val="22"/>
              </w:rPr>
              <w:t>. Значение из справочника энергообъектов (элемент &lt;</w:t>
            </w:r>
            <w:r w:rsidRPr="00A5626D">
              <w:rPr>
                <w:rFonts w:ascii="Garamond" w:hAnsi="Garamond" w:cstheme="minorHAnsi"/>
                <w:sz w:val="22"/>
                <w:szCs w:val="22"/>
                <w:lang w:val="en-US"/>
              </w:rPr>
              <w:t>power</w:t>
            </w:r>
            <w:r w:rsidRPr="00A5626D">
              <w:rPr>
                <w:rFonts w:ascii="Garamond" w:hAnsi="Garamond" w:cstheme="minorHAnsi"/>
                <w:sz w:val="22"/>
                <w:szCs w:val="22"/>
              </w:rPr>
              <w:t>-</w:t>
            </w:r>
            <w:r w:rsidRPr="00A5626D">
              <w:rPr>
                <w:rFonts w:ascii="Garamond" w:hAnsi="Garamond" w:cstheme="minorHAnsi"/>
                <w:sz w:val="22"/>
                <w:szCs w:val="22"/>
                <w:lang w:val="en-US"/>
              </w:rPr>
              <w:t>objects</w:t>
            </w:r>
            <w:r w:rsidRPr="00A5626D">
              <w:rPr>
                <w:rFonts w:ascii="Garamond" w:hAnsi="Garamond" w:cstheme="minorHAnsi"/>
                <w:sz w:val="22"/>
                <w:szCs w:val="22"/>
              </w:rPr>
              <w:t>&gt;). Является обязательным атрибутом для всех ТИ, за исключением параметров СО. Для параметров СО не заполняется;</w:t>
            </w:r>
          </w:p>
          <w:p w14:paraId="72672000" w14:textId="77777777" w:rsidR="00295C6D" w:rsidRPr="00A5626D" w:rsidRDefault="00295C6D" w:rsidP="00295C6D">
            <w:pPr>
              <w:widowControl w:val="0"/>
              <w:numPr>
                <w:ilvl w:val="0"/>
                <w:numId w:val="240"/>
              </w:numPr>
              <w:tabs>
                <w:tab w:val="left" w:pos="1134"/>
                <w:tab w:val="left" w:pos="7938"/>
              </w:tabs>
              <w:suppressAutoHyphens w:val="0"/>
              <w:autoSpaceDE w:val="0"/>
              <w:autoSpaceDN w:val="0"/>
              <w:adjustRightInd w:val="0"/>
              <w:spacing w:before="60" w:after="60"/>
              <w:ind w:left="0" w:firstLine="567"/>
              <w:jc w:val="both"/>
              <w:rPr>
                <w:rFonts w:ascii="Garamond" w:hAnsi="Garamond" w:cstheme="minorHAnsi"/>
                <w:sz w:val="22"/>
                <w:szCs w:val="22"/>
              </w:rPr>
            </w:pPr>
            <w:r w:rsidRPr="00A5626D">
              <w:rPr>
                <w:rFonts w:ascii="Garamond" w:hAnsi="Garamond" w:cstheme="minorHAnsi"/>
                <w:sz w:val="22"/>
                <w:szCs w:val="22"/>
              </w:rPr>
              <w:t>point-voltage – уровень напряжения точки, размерность: В (вольт). Число не более 10 символов, значение «0» недопустимо. Является обязательным атрибутом для всех точек измерений, за исключением параметров СО. Для параметров СО не заполняется.</w:t>
            </w:r>
          </w:p>
          <w:p w14:paraId="79438D64" w14:textId="77777777" w:rsidR="00295C6D" w:rsidRPr="00A5626D" w:rsidRDefault="00295C6D" w:rsidP="00E31AE6">
            <w:pPr>
              <w:pStyle w:val="2"/>
              <w:numPr>
                <w:ilvl w:val="0"/>
                <w:numId w:val="0"/>
              </w:numPr>
              <w:tabs>
                <w:tab w:val="left" w:pos="1134"/>
                <w:tab w:val="left" w:pos="7938"/>
              </w:tabs>
              <w:suppressAutoHyphens w:val="0"/>
              <w:spacing w:line="22" w:lineRule="atLeast"/>
              <w:ind w:firstLine="629"/>
              <w:jc w:val="both"/>
              <w:rPr>
                <w:rFonts w:ascii="Garamond" w:hAnsi="Garamond" w:cstheme="minorHAnsi"/>
                <w:b w:val="0"/>
                <w:lang w:val="en-US"/>
              </w:rPr>
            </w:pPr>
            <w:r w:rsidRPr="00A5626D">
              <w:rPr>
                <w:rFonts w:ascii="Garamond" w:hAnsi="Garamond" w:cstheme="minorHAnsi"/>
                <w:b w:val="0"/>
              </w:rPr>
              <w:t>Дочерними</w:t>
            </w:r>
            <w:r w:rsidRPr="00A5626D">
              <w:rPr>
                <w:rFonts w:ascii="Garamond" w:hAnsi="Garamond" w:cstheme="minorHAnsi"/>
                <w:b w:val="0"/>
                <w:lang w:val="en-US"/>
              </w:rPr>
              <w:t xml:space="preserve"> </w:t>
            </w:r>
            <w:r w:rsidRPr="00A5626D">
              <w:rPr>
                <w:rFonts w:ascii="Garamond" w:hAnsi="Garamond" w:cstheme="minorHAnsi"/>
                <w:b w:val="0"/>
              </w:rPr>
              <w:t>элементами</w:t>
            </w:r>
            <w:r w:rsidRPr="00A5626D">
              <w:rPr>
                <w:rFonts w:ascii="Garamond" w:hAnsi="Garamond" w:cstheme="minorHAnsi"/>
                <w:b w:val="0"/>
                <w:lang w:val="en-US"/>
              </w:rPr>
              <w:t xml:space="preserve"> </w:t>
            </w:r>
            <w:r w:rsidRPr="00A5626D">
              <w:rPr>
                <w:rFonts w:ascii="Garamond" w:hAnsi="Garamond" w:cstheme="minorHAnsi"/>
                <w:b w:val="0"/>
              </w:rPr>
              <w:t>являются</w:t>
            </w:r>
            <w:r w:rsidRPr="00A5626D">
              <w:rPr>
                <w:rFonts w:ascii="Garamond" w:hAnsi="Garamond" w:cstheme="minorHAnsi"/>
                <w:b w:val="0"/>
                <w:lang w:val="en-US"/>
              </w:rPr>
              <w:t>:</w:t>
            </w:r>
            <w:r w:rsidRPr="00A5626D">
              <w:rPr>
                <w:rFonts w:ascii="Garamond" w:hAnsi="Garamond" w:cstheme="minorHAnsi"/>
                <w:lang w:val="en-US"/>
              </w:rPr>
              <w:t xml:space="preserve"> &lt;name&gt;, &lt;comment&gt;, &lt;measuring-device&gt;</w:t>
            </w:r>
            <w:r w:rsidRPr="00A5626D">
              <w:rPr>
                <w:rFonts w:ascii="Garamond" w:hAnsi="Garamond" w:cstheme="minorHAnsi"/>
                <w:b w:val="0"/>
                <w:lang w:val="en-US"/>
              </w:rPr>
              <w:t>.</w:t>
            </w:r>
          </w:p>
        </w:tc>
      </w:tr>
      <w:tr w:rsidR="00295C6D" w:rsidRPr="00A5626D" w14:paraId="17E492DC" w14:textId="77777777" w:rsidTr="00647FA0">
        <w:tc>
          <w:tcPr>
            <w:tcW w:w="1060" w:type="dxa"/>
            <w:vAlign w:val="center"/>
          </w:tcPr>
          <w:p w14:paraId="64F5E738" w14:textId="13ACADDB" w:rsidR="00295C6D" w:rsidRPr="00A5626D" w:rsidRDefault="00295C6D" w:rsidP="00E31AE6">
            <w:pPr>
              <w:widowControl w:val="0"/>
              <w:tabs>
                <w:tab w:val="left" w:pos="1134"/>
                <w:tab w:val="left" w:pos="7938"/>
              </w:tabs>
              <w:spacing w:line="22" w:lineRule="atLeast"/>
              <w:jc w:val="both"/>
              <w:rPr>
                <w:rFonts w:ascii="Garamond" w:hAnsi="Garamond"/>
                <w:b/>
                <w:sz w:val="22"/>
                <w:szCs w:val="22"/>
                <w:highlight w:val="yellow"/>
                <w:lang w:eastAsia="en-US"/>
              </w:rPr>
            </w:pPr>
            <w:r w:rsidRPr="00A5626D">
              <w:rPr>
                <w:rFonts w:ascii="Garamond" w:hAnsi="Garamond"/>
                <w:b/>
                <w:sz w:val="22"/>
                <w:szCs w:val="22"/>
                <w:lang w:eastAsia="en-US"/>
              </w:rPr>
              <w:lastRenderedPageBreak/>
              <w:t>Приложение 5, п.</w:t>
            </w:r>
            <w:r w:rsidR="00647FA0" w:rsidRPr="00A5626D">
              <w:rPr>
                <w:rFonts w:ascii="Garamond" w:hAnsi="Garamond"/>
                <w:b/>
                <w:sz w:val="22"/>
                <w:szCs w:val="22"/>
                <w:lang w:eastAsia="en-US"/>
              </w:rPr>
              <w:t> </w:t>
            </w:r>
            <w:r w:rsidRPr="00A5626D">
              <w:rPr>
                <w:rFonts w:ascii="Garamond" w:hAnsi="Garamond"/>
                <w:b/>
                <w:sz w:val="22"/>
                <w:szCs w:val="22"/>
                <w:lang w:eastAsia="en-US"/>
              </w:rPr>
              <w:t>4.2.1.1.1.8.1.3</w:t>
            </w:r>
            <w:r w:rsidR="009B5F03" w:rsidRPr="00A5626D">
              <w:rPr>
                <w:rFonts w:ascii="Garamond" w:hAnsi="Garamond"/>
                <w:b/>
                <w:sz w:val="22"/>
                <w:szCs w:val="22"/>
                <w:lang w:eastAsia="en-US"/>
              </w:rPr>
              <w:t xml:space="preserve"> </w:t>
            </w:r>
          </w:p>
        </w:tc>
        <w:tc>
          <w:tcPr>
            <w:tcW w:w="6662" w:type="dxa"/>
          </w:tcPr>
          <w:p w14:paraId="48B43998" w14:textId="77777777" w:rsidR="00295C6D" w:rsidRPr="00A5626D" w:rsidRDefault="00295C6D" w:rsidP="00E31AE6">
            <w:pPr>
              <w:tabs>
                <w:tab w:val="left" w:pos="1134"/>
                <w:tab w:val="left" w:pos="7938"/>
              </w:tabs>
              <w:spacing w:before="120" w:after="120"/>
              <w:ind w:firstLine="567"/>
              <w:jc w:val="both"/>
              <w:rPr>
                <w:rFonts w:ascii="Garamond" w:hAnsi="Garamond" w:cstheme="minorHAnsi"/>
                <w:sz w:val="22"/>
                <w:szCs w:val="22"/>
              </w:rPr>
            </w:pPr>
            <w:r w:rsidRPr="00A5626D">
              <w:rPr>
                <w:rFonts w:ascii="Garamond" w:hAnsi="Garamond" w:cstheme="minorHAnsi"/>
                <w:sz w:val="22"/>
                <w:szCs w:val="22"/>
              </w:rPr>
              <w:t>&lt;</w:t>
            </w:r>
            <w:r w:rsidRPr="00A5626D">
              <w:rPr>
                <w:rFonts w:ascii="Garamond" w:hAnsi="Garamond" w:cstheme="minorHAnsi"/>
                <w:sz w:val="22"/>
                <w:szCs w:val="22"/>
                <w:lang w:val="en-US"/>
              </w:rPr>
              <w:t>measuring</w:t>
            </w:r>
            <w:r w:rsidRPr="00A5626D">
              <w:rPr>
                <w:rFonts w:ascii="Garamond" w:hAnsi="Garamond" w:cstheme="minorHAnsi"/>
                <w:sz w:val="22"/>
                <w:szCs w:val="22"/>
              </w:rPr>
              <w:t>-</w:t>
            </w:r>
            <w:r w:rsidRPr="00A5626D">
              <w:rPr>
                <w:rFonts w:ascii="Garamond" w:hAnsi="Garamond" w:cstheme="minorHAnsi"/>
                <w:sz w:val="22"/>
                <w:szCs w:val="22"/>
                <w:lang w:val="en-US"/>
              </w:rPr>
              <w:t>device</w:t>
            </w:r>
            <w:r w:rsidRPr="00A5626D">
              <w:rPr>
                <w:rFonts w:ascii="Garamond" w:hAnsi="Garamond" w:cstheme="minorHAnsi"/>
                <w:sz w:val="22"/>
                <w:szCs w:val="22"/>
              </w:rPr>
              <w:t>&gt;</w:t>
            </w:r>
          </w:p>
          <w:p w14:paraId="4512456C" w14:textId="77777777" w:rsidR="00295C6D" w:rsidRPr="00A5626D" w:rsidRDefault="00295C6D" w:rsidP="00E31AE6">
            <w:pPr>
              <w:tabs>
                <w:tab w:val="left" w:pos="1134"/>
                <w:tab w:val="left" w:pos="7938"/>
              </w:tabs>
              <w:spacing w:before="120" w:after="120"/>
              <w:ind w:firstLine="567"/>
              <w:jc w:val="both"/>
              <w:rPr>
                <w:rFonts w:ascii="Garamond" w:hAnsi="Garamond" w:cstheme="minorHAnsi"/>
                <w:sz w:val="22"/>
                <w:szCs w:val="22"/>
              </w:rPr>
            </w:pPr>
            <w:r w:rsidRPr="00A5626D">
              <w:rPr>
                <w:rFonts w:ascii="Garamond" w:hAnsi="Garamond" w:cstheme="minorHAnsi"/>
                <w:sz w:val="22"/>
                <w:szCs w:val="22"/>
              </w:rPr>
              <w:t>Элемент &lt;</w:t>
            </w:r>
            <w:r w:rsidRPr="00A5626D">
              <w:rPr>
                <w:rFonts w:ascii="Garamond" w:hAnsi="Garamond" w:cstheme="minorHAnsi"/>
                <w:b/>
                <w:sz w:val="22"/>
                <w:szCs w:val="22"/>
                <w:lang w:val="en-US"/>
              </w:rPr>
              <w:t>measuring</w:t>
            </w:r>
            <w:r w:rsidRPr="00A5626D">
              <w:rPr>
                <w:rFonts w:ascii="Garamond" w:hAnsi="Garamond" w:cstheme="minorHAnsi"/>
                <w:b/>
                <w:sz w:val="22"/>
                <w:szCs w:val="22"/>
              </w:rPr>
              <w:t>-</w:t>
            </w:r>
            <w:r w:rsidRPr="00A5626D">
              <w:rPr>
                <w:rFonts w:ascii="Garamond" w:hAnsi="Garamond" w:cstheme="minorHAnsi"/>
                <w:b/>
                <w:sz w:val="22"/>
                <w:szCs w:val="22"/>
                <w:lang w:val="en-US"/>
              </w:rPr>
              <w:t>device</w:t>
            </w:r>
            <w:r w:rsidRPr="00A5626D">
              <w:rPr>
                <w:rFonts w:ascii="Garamond" w:hAnsi="Garamond" w:cstheme="minorHAnsi"/>
                <w:sz w:val="22"/>
                <w:szCs w:val="22"/>
              </w:rPr>
              <w:t xml:space="preserve">&gt; </w:t>
            </w:r>
            <w:r w:rsidRPr="00A5626D">
              <w:rPr>
                <w:rFonts w:ascii="Garamond" w:hAnsi="Garamond" w:cstheme="minorHAnsi"/>
                <w:sz w:val="22"/>
                <w:szCs w:val="22"/>
                <w:lang w:val="en-US"/>
              </w:rPr>
              <w:t>c</w:t>
            </w:r>
            <w:r w:rsidRPr="00A5626D">
              <w:rPr>
                <w:rFonts w:ascii="Garamond" w:hAnsi="Garamond" w:cstheme="minorHAnsi"/>
                <w:bCs/>
                <w:sz w:val="22"/>
                <w:szCs w:val="22"/>
              </w:rPr>
              <w:t>одержит</w:t>
            </w:r>
            <w:r w:rsidRPr="00A5626D">
              <w:rPr>
                <w:rFonts w:ascii="Garamond" w:hAnsi="Garamond" w:cstheme="minorHAnsi"/>
                <w:sz w:val="22"/>
                <w:szCs w:val="22"/>
              </w:rPr>
              <w:t xml:space="preserve"> справочник измерительных приборов, заявленных субъектами оптового рынка. </w:t>
            </w:r>
          </w:p>
          <w:p w14:paraId="68FE2BD4" w14:textId="77777777" w:rsidR="00295C6D" w:rsidRPr="00A5626D" w:rsidRDefault="00295C6D" w:rsidP="00E31AE6">
            <w:pPr>
              <w:tabs>
                <w:tab w:val="left" w:pos="1134"/>
                <w:tab w:val="left" w:pos="7938"/>
              </w:tabs>
              <w:spacing w:before="120" w:after="120"/>
              <w:ind w:firstLine="567"/>
              <w:jc w:val="both"/>
              <w:rPr>
                <w:rFonts w:ascii="Garamond" w:hAnsi="Garamond" w:cstheme="minorHAnsi"/>
                <w:sz w:val="22"/>
                <w:szCs w:val="22"/>
              </w:rPr>
            </w:pPr>
            <w:r w:rsidRPr="00A5626D">
              <w:rPr>
                <w:rFonts w:ascii="Garamond" w:hAnsi="Garamond" w:cstheme="minorHAnsi"/>
                <w:sz w:val="22"/>
                <w:szCs w:val="22"/>
              </w:rPr>
              <w:t>Атрибутами элемента &lt;</w:t>
            </w:r>
            <w:r w:rsidRPr="00A5626D">
              <w:rPr>
                <w:rFonts w:ascii="Garamond" w:hAnsi="Garamond" w:cstheme="minorHAnsi"/>
                <w:b/>
                <w:sz w:val="22"/>
                <w:szCs w:val="22"/>
                <w:lang w:val="en-US"/>
              </w:rPr>
              <w:t>measuring</w:t>
            </w:r>
            <w:r w:rsidRPr="00A5626D">
              <w:rPr>
                <w:rFonts w:ascii="Garamond" w:hAnsi="Garamond" w:cstheme="minorHAnsi"/>
                <w:b/>
                <w:sz w:val="22"/>
                <w:szCs w:val="22"/>
              </w:rPr>
              <w:t>-</w:t>
            </w:r>
            <w:r w:rsidRPr="00A5626D">
              <w:rPr>
                <w:rFonts w:ascii="Garamond" w:hAnsi="Garamond" w:cstheme="minorHAnsi"/>
                <w:b/>
                <w:sz w:val="22"/>
                <w:szCs w:val="22"/>
                <w:lang w:val="en-US"/>
              </w:rPr>
              <w:t>device</w:t>
            </w:r>
            <w:r w:rsidRPr="00A5626D">
              <w:rPr>
                <w:rFonts w:ascii="Garamond" w:hAnsi="Garamond" w:cstheme="minorHAnsi"/>
                <w:sz w:val="22"/>
                <w:szCs w:val="22"/>
              </w:rPr>
              <w:t>&gt; являются:</w:t>
            </w:r>
          </w:p>
          <w:p w14:paraId="79E45DEC" w14:textId="77777777" w:rsidR="00295C6D" w:rsidRPr="00A5626D" w:rsidRDefault="00295C6D" w:rsidP="00295C6D">
            <w:pPr>
              <w:widowControl w:val="0"/>
              <w:numPr>
                <w:ilvl w:val="0"/>
                <w:numId w:val="240"/>
              </w:numPr>
              <w:tabs>
                <w:tab w:val="left" w:pos="1134"/>
                <w:tab w:val="left" w:pos="7938"/>
              </w:tabs>
              <w:suppressAutoHyphens w:val="0"/>
              <w:autoSpaceDE w:val="0"/>
              <w:autoSpaceDN w:val="0"/>
              <w:adjustRightInd w:val="0"/>
              <w:spacing w:before="60" w:after="60"/>
              <w:ind w:left="0" w:firstLine="567"/>
              <w:jc w:val="both"/>
              <w:rPr>
                <w:rFonts w:ascii="Garamond" w:hAnsi="Garamond" w:cstheme="minorHAnsi"/>
                <w:sz w:val="22"/>
                <w:szCs w:val="22"/>
              </w:rPr>
            </w:pPr>
            <w:r w:rsidRPr="00A5626D">
              <w:rPr>
                <w:rFonts w:ascii="Garamond" w:hAnsi="Garamond" w:cstheme="minorHAnsi"/>
                <w:sz w:val="22"/>
                <w:szCs w:val="22"/>
                <w:lang w:val="en-US"/>
              </w:rPr>
              <w:t>guid</w:t>
            </w:r>
            <w:r w:rsidRPr="00A5626D">
              <w:rPr>
                <w:rFonts w:ascii="Garamond" w:hAnsi="Garamond" w:cstheme="minorHAnsi"/>
                <w:sz w:val="22"/>
                <w:szCs w:val="22"/>
              </w:rPr>
              <w:t xml:space="preserve"> </w:t>
            </w:r>
            <w:r w:rsidRPr="00A5626D">
              <w:rPr>
                <w:rFonts w:ascii="Garamond" w:eastAsia="MS Mincho" w:hAnsi="Garamond" w:cstheme="minorHAnsi"/>
                <w:sz w:val="22"/>
                <w:szCs w:val="22"/>
              </w:rPr>
              <w:t>– уникальный идентификатор ПУ, присваиваемый системой, формирующей файл. Является текстовым полем с 36 символами, обязательный атрибут;</w:t>
            </w:r>
          </w:p>
          <w:p w14:paraId="48F414E1" w14:textId="77777777" w:rsidR="00295C6D" w:rsidRPr="00A5626D" w:rsidRDefault="00295C6D" w:rsidP="00295C6D">
            <w:pPr>
              <w:widowControl w:val="0"/>
              <w:numPr>
                <w:ilvl w:val="0"/>
                <w:numId w:val="240"/>
              </w:numPr>
              <w:tabs>
                <w:tab w:val="left" w:pos="1134"/>
                <w:tab w:val="left" w:pos="7938"/>
              </w:tabs>
              <w:suppressAutoHyphens w:val="0"/>
              <w:autoSpaceDE w:val="0"/>
              <w:autoSpaceDN w:val="0"/>
              <w:adjustRightInd w:val="0"/>
              <w:spacing w:before="60" w:after="60"/>
              <w:ind w:left="0" w:firstLine="567"/>
              <w:jc w:val="both"/>
              <w:rPr>
                <w:rFonts w:ascii="Garamond" w:hAnsi="Garamond" w:cstheme="minorHAnsi"/>
                <w:sz w:val="22"/>
                <w:szCs w:val="22"/>
              </w:rPr>
            </w:pPr>
            <w:r w:rsidRPr="00A5626D">
              <w:rPr>
                <w:rFonts w:ascii="Garamond" w:hAnsi="Garamond" w:cstheme="minorHAnsi"/>
                <w:sz w:val="22"/>
                <w:szCs w:val="22"/>
                <w:lang w:val="en-US"/>
              </w:rPr>
              <w:lastRenderedPageBreak/>
              <w:t>id</w:t>
            </w:r>
            <w:r w:rsidRPr="00A5626D">
              <w:rPr>
                <w:rFonts w:ascii="Garamond" w:hAnsi="Garamond" w:cstheme="minorHAnsi"/>
                <w:sz w:val="22"/>
                <w:szCs w:val="22"/>
              </w:rPr>
              <w:t>-</w:t>
            </w:r>
            <w:r w:rsidRPr="00A5626D">
              <w:rPr>
                <w:rFonts w:ascii="Garamond" w:hAnsi="Garamond" w:cstheme="minorHAnsi"/>
                <w:sz w:val="22"/>
                <w:szCs w:val="22"/>
                <w:lang w:val="en-US"/>
              </w:rPr>
              <w:t>device</w:t>
            </w:r>
            <w:r w:rsidRPr="00A5626D">
              <w:rPr>
                <w:rFonts w:ascii="Garamond" w:hAnsi="Garamond" w:cstheme="minorHAnsi"/>
                <w:sz w:val="22"/>
                <w:szCs w:val="22"/>
              </w:rPr>
              <w:t>-</w:t>
            </w:r>
            <w:r w:rsidRPr="00A5626D">
              <w:rPr>
                <w:rFonts w:ascii="Garamond" w:hAnsi="Garamond" w:cstheme="minorHAnsi"/>
                <w:sz w:val="22"/>
                <w:szCs w:val="22"/>
                <w:lang w:val="en-US"/>
              </w:rPr>
              <w:t>modification</w:t>
            </w:r>
            <w:r w:rsidRPr="00A5626D">
              <w:rPr>
                <w:rFonts w:ascii="Garamond" w:hAnsi="Garamond" w:cstheme="minorHAnsi"/>
                <w:sz w:val="22"/>
                <w:szCs w:val="22"/>
              </w:rPr>
              <w:t xml:space="preserve"> – идентификатор модификации ПУ из справочника типов и модификаций ПУ. Обязательный к заполнению атрибут для всех измерительных приборов, кроме параметров СО</w:t>
            </w:r>
            <w:r w:rsidRPr="00A5626D" w:rsidDel="00B446E0">
              <w:rPr>
                <w:rFonts w:ascii="Garamond" w:hAnsi="Garamond" w:cstheme="minorHAnsi"/>
                <w:sz w:val="22"/>
                <w:szCs w:val="22"/>
              </w:rPr>
              <w:t xml:space="preserve"> </w:t>
            </w:r>
            <w:r w:rsidRPr="00A5626D">
              <w:rPr>
                <w:rFonts w:ascii="Garamond" w:hAnsi="Garamond" w:cstheme="minorHAnsi"/>
                <w:sz w:val="22"/>
                <w:szCs w:val="22"/>
              </w:rPr>
              <w:t>(</w:t>
            </w:r>
            <w:r w:rsidRPr="00A5626D">
              <w:rPr>
                <w:rFonts w:ascii="Garamond" w:hAnsi="Garamond" w:cstheme="minorHAnsi"/>
                <w:sz w:val="22"/>
                <w:szCs w:val="22"/>
                <w:lang w:val="en-US"/>
              </w:rPr>
              <w:t>type</w:t>
            </w:r>
            <w:r w:rsidRPr="00A5626D">
              <w:rPr>
                <w:rFonts w:ascii="Garamond" w:hAnsi="Garamond" w:cstheme="minorHAnsi"/>
                <w:sz w:val="22"/>
                <w:szCs w:val="22"/>
              </w:rPr>
              <w:t xml:space="preserve"> = «</w:t>
            </w:r>
            <w:r w:rsidRPr="00A5626D">
              <w:rPr>
                <w:rFonts w:ascii="Garamond" w:hAnsi="Garamond" w:cstheme="minorHAnsi"/>
                <w:sz w:val="22"/>
                <w:szCs w:val="22"/>
                <w:lang w:val="en-US"/>
              </w:rPr>
              <w:t>so</w:t>
            </w:r>
            <w:r w:rsidRPr="00A5626D">
              <w:rPr>
                <w:rFonts w:ascii="Garamond" w:hAnsi="Garamond" w:cstheme="minorHAnsi"/>
                <w:sz w:val="22"/>
                <w:szCs w:val="22"/>
              </w:rPr>
              <w:t>»). Цифровое поле длиной не более 4 символов;</w:t>
            </w:r>
          </w:p>
          <w:p w14:paraId="56D1D62D" w14:textId="77777777" w:rsidR="00295C6D" w:rsidRPr="00A5626D" w:rsidRDefault="00295C6D" w:rsidP="00295C6D">
            <w:pPr>
              <w:widowControl w:val="0"/>
              <w:numPr>
                <w:ilvl w:val="0"/>
                <w:numId w:val="240"/>
              </w:numPr>
              <w:tabs>
                <w:tab w:val="left" w:pos="1134"/>
                <w:tab w:val="left" w:pos="7938"/>
              </w:tabs>
              <w:suppressAutoHyphens w:val="0"/>
              <w:autoSpaceDE w:val="0"/>
              <w:autoSpaceDN w:val="0"/>
              <w:adjustRightInd w:val="0"/>
              <w:spacing w:before="60" w:after="60"/>
              <w:ind w:left="0" w:firstLine="567"/>
              <w:jc w:val="both"/>
              <w:rPr>
                <w:rFonts w:ascii="Garamond" w:hAnsi="Garamond" w:cstheme="minorHAnsi"/>
                <w:sz w:val="22"/>
                <w:szCs w:val="22"/>
              </w:rPr>
            </w:pPr>
            <w:r w:rsidRPr="00A5626D">
              <w:rPr>
                <w:rFonts w:ascii="Garamond" w:hAnsi="Garamond" w:cstheme="minorHAnsi"/>
                <w:sz w:val="22"/>
                <w:szCs w:val="22"/>
                <w:lang w:val="en-US"/>
              </w:rPr>
              <w:t>so</w:t>
            </w:r>
            <w:r w:rsidRPr="00A5626D">
              <w:rPr>
                <w:rFonts w:ascii="Garamond" w:hAnsi="Garamond" w:cstheme="minorHAnsi"/>
                <w:sz w:val="22"/>
                <w:szCs w:val="22"/>
              </w:rPr>
              <w:t>-</w:t>
            </w:r>
            <w:r w:rsidRPr="00A5626D">
              <w:rPr>
                <w:rFonts w:ascii="Garamond" w:hAnsi="Garamond" w:cstheme="minorHAnsi"/>
                <w:sz w:val="22"/>
                <w:szCs w:val="22"/>
                <w:lang w:val="en-US"/>
              </w:rPr>
              <w:t>device</w:t>
            </w:r>
            <w:r w:rsidRPr="00A5626D">
              <w:rPr>
                <w:rFonts w:ascii="Garamond" w:hAnsi="Garamond" w:cstheme="minorHAnsi"/>
                <w:sz w:val="22"/>
                <w:szCs w:val="22"/>
              </w:rPr>
              <w:t>-</w:t>
            </w:r>
            <w:r w:rsidRPr="00A5626D">
              <w:rPr>
                <w:rFonts w:ascii="Garamond" w:hAnsi="Garamond" w:cstheme="minorHAnsi"/>
                <w:sz w:val="22"/>
                <w:szCs w:val="22"/>
                <w:lang w:val="en-US"/>
              </w:rPr>
              <w:t>modification</w:t>
            </w:r>
            <w:r w:rsidRPr="00A5626D">
              <w:rPr>
                <w:rFonts w:ascii="Garamond" w:hAnsi="Garamond" w:cstheme="minorHAnsi"/>
                <w:sz w:val="22"/>
                <w:szCs w:val="22"/>
              </w:rPr>
              <w:t>-</w:t>
            </w:r>
            <w:r w:rsidRPr="00A5626D">
              <w:rPr>
                <w:rFonts w:ascii="Garamond" w:hAnsi="Garamond" w:cstheme="minorHAnsi"/>
                <w:sz w:val="22"/>
                <w:szCs w:val="22"/>
                <w:lang w:val="en-US"/>
              </w:rPr>
              <w:t>name</w:t>
            </w:r>
            <w:r w:rsidRPr="00A5626D">
              <w:rPr>
                <w:rFonts w:ascii="Garamond" w:hAnsi="Garamond" w:cstheme="minorHAnsi"/>
                <w:sz w:val="22"/>
                <w:szCs w:val="22"/>
              </w:rPr>
              <w:t xml:space="preserve"> – наименование параметра телеизмерения активной мощности по ЕГО (их совокупности) или по линиям электропередач (их совокупности), информация об использовании псевдоизмерений. Текстовое поле длиной не более 80 символов. Является обязательным, когда атрибут measuring-point-type = «so»;</w:t>
            </w:r>
          </w:p>
          <w:p w14:paraId="4B125F67" w14:textId="77777777" w:rsidR="00295C6D" w:rsidRPr="00A5626D" w:rsidRDefault="00295C6D" w:rsidP="00295C6D">
            <w:pPr>
              <w:widowControl w:val="0"/>
              <w:numPr>
                <w:ilvl w:val="0"/>
                <w:numId w:val="240"/>
              </w:numPr>
              <w:tabs>
                <w:tab w:val="left" w:pos="1134"/>
                <w:tab w:val="left" w:pos="7938"/>
              </w:tabs>
              <w:suppressAutoHyphens w:val="0"/>
              <w:autoSpaceDE w:val="0"/>
              <w:autoSpaceDN w:val="0"/>
              <w:adjustRightInd w:val="0"/>
              <w:spacing w:before="60" w:after="60"/>
              <w:ind w:left="0" w:firstLine="567"/>
              <w:jc w:val="both"/>
              <w:rPr>
                <w:rFonts w:ascii="Garamond" w:hAnsi="Garamond" w:cstheme="minorHAnsi"/>
                <w:sz w:val="22"/>
                <w:szCs w:val="22"/>
              </w:rPr>
            </w:pPr>
            <w:r w:rsidRPr="00A5626D">
              <w:rPr>
                <w:rFonts w:ascii="Garamond" w:hAnsi="Garamond" w:cstheme="minorHAnsi"/>
                <w:sz w:val="22"/>
                <w:szCs w:val="22"/>
                <w:lang w:val="en-US"/>
              </w:rPr>
              <w:t>is</w:t>
            </w:r>
            <w:r w:rsidRPr="00A5626D">
              <w:rPr>
                <w:rFonts w:ascii="Garamond" w:hAnsi="Garamond" w:cstheme="minorHAnsi"/>
                <w:sz w:val="22"/>
                <w:szCs w:val="22"/>
              </w:rPr>
              <w:t>-</w:t>
            </w:r>
            <w:r w:rsidRPr="00A5626D">
              <w:rPr>
                <w:rFonts w:ascii="Garamond" w:hAnsi="Garamond" w:cstheme="minorHAnsi"/>
                <w:sz w:val="22"/>
                <w:szCs w:val="22"/>
                <w:lang w:val="en-US"/>
              </w:rPr>
              <w:t>for</w:t>
            </w:r>
            <w:r w:rsidRPr="00A5626D">
              <w:rPr>
                <w:rFonts w:ascii="Garamond" w:hAnsi="Garamond" w:cstheme="minorHAnsi"/>
                <w:sz w:val="22"/>
                <w:szCs w:val="22"/>
              </w:rPr>
              <w:t>-</w:t>
            </w:r>
            <w:r w:rsidRPr="00A5626D">
              <w:rPr>
                <w:rFonts w:ascii="Garamond" w:hAnsi="Garamond" w:cstheme="minorHAnsi"/>
                <w:sz w:val="22"/>
                <w:szCs w:val="22"/>
                <w:lang w:val="en-US"/>
              </w:rPr>
              <w:t>coding</w:t>
            </w:r>
            <w:r w:rsidRPr="00A5626D">
              <w:rPr>
                <w:rFonts w:ascii="Garamond" w:hAnsi="Garamond" w:cstheme="minorHAnsi"/>
                <w:sz w:val="22"/>
                <w:szCs w:val="22"/>
              </w:rPr>
              <w:t xml:space="preserve"> – признак, определяющий необходимость кодирования данного ПУ. Обязательный к заполнению атрибут для всех измерительных приборов. Принимает значение «</w:t>
            </w:r>
            <w:r w:rsidRPr="00A5626D">
              <w:rPr>
                <w:rFonts w:ascii="Garamond" w:hAnsi="Garamond" w:cstheme="minorHAnsi"/>
                <w:sz w:val="22"/>
                <w:szCs w:val="22"/>
                <w:lang w:val="en-US"/>
              </w:rPr>
              <w:t>true</w:t>
            </w:r>
            <w:r w:rsidRPr="00A5626D">
              <w:rPr>
                <w:rFonts w:ascii="Garamond" w:hAnsi="Garamond" w:cstheme="minorHAnsi"/>
                <w:sz w:val="22"/>
                <w:szCs w:val="22"/>
              </w:rPr>
              <w:t>», если данный ПУ необходимо кодировать, «</w:t>
            </w:r>
            <w:r w:rsidRPr="00A5626D">
              <w:rPr>
                <w:rFonts w:ascii="Garamond" w:hAnsi="Garamond" w:cstheme="minorHAnsi"/>
                <w:sz w:val="22"/>
                <w:szCs w:val="22"/>
                <w:lang w:val="en-US"/>
              </w:rPr>
              <w:t>false</w:t>
            </w:r>
            <w:r w:rsidRPr="00A5626D">
              <w:rPr>
                <w:rFonts w:ascii="Garamond" w:hAnsi="Garamond" w:cstheme="minorHAnsi"/>
                <w:sz w:val="22"/>
                <w:szCs w:val="22"/>
              </w:rPr>
              <w:t xml:space="preserve">», если данный ПУ не предназначен для кодирования. Для параметров СО с </w:t>
            </w:r>
            <w:r w:rsidRPr="00A5626D">
              <w:rPr>
                <w:rFonts w:ascii="Garamond" w:hAnsi="Garamond" w:cstheme="minorHAnsi"/>
                <w:sz w:val="22"/>
                <w:szCs w:val="22"/>
                <w:lang w:val="en-US"/>
              </w:rPr>
              <w:t>type</w:t>
            </w:r>
            <w:r w:rsidRPr="00A5626D">
              <w:rPr>
                <w:rFonts w:ascii="Garamond" w:hAnsi="Garamond" w:cstheme="minorHAnsi"/>
                <w:sz w:val="22"/>
                <w:szCs w:val="22"/>
              </w:rPr>
              <w:t xml:space="preserve"> = «</w:t>
            </w:r>
            <w:r w:rsidRPr="00A5626D">
              <w:rPr>
                <w:rFonts w:ascii="Garamond" w:hAnsi="Garamond" w:cstheme="minorHAnsi"/>
                <w:sz w:val="22"/>
                <w:szCs w:val="22"/>
                <w:lang w:val="en-US"/>
              </w:rPr>
              <w:t>so</w:t>
            </w:r>
            <w:r w:rsidRPr="00A5626D">
              <w:rPr>
                <w:rFonts w:ascii="Garamond" w:hAnsi="Garamond" w:cstheme="minorHAnsi"/>
                <w:sz w:val="22"/>
                <w:szCs w:val="22"/>
              </w:rPr>
              <w:t>» значение должно быть «</w:t>
            </w:r>
            <w:r w:rsidRPr="00A5626D">
              <w:rPr>
                <w:rFonts w:ascii="Garamond" w:hAnsi="Garamond" w:cstheme="minorHAnsi"/>
                <w:sz w:val="22"/>
                <w:szCs w:val="22"/>
                <w:lang w:val="en-US"/>
              </w:rPr>
              <w:t>false</w:t>
            </w:r>
            <w:r w:rsidRPr="00A5626D">
              <w:rPr>
                <w:rFonts w:ascii="Garamond" w:hAnsi="Garamond" w:cstheme="minorHAnsi"/>
                <w:sz w:val="22"/>
                <w:szCs w:val="22"/>
              </w:rPr>
              <w:t>»;</w:t>
            </w:r>
          </w:p>
          <w:p w14:paraId="1AE2D134" w14:textId="77777777" w:rsidR="00295C6D" w:rsidRPr="00A5626D" w:rsidRDefault="00295C6D" w:rsidP="00295C6D">
            <w:pPr>
              <w:pStyle w:val="ac"/>
              <w:numPr>
                <w:ilvl w:val="0"/>
                <w:numId w:val="240"/>
              </w:numPr>
              <w:tabs>
                <w:tab w:val="left" w:pos="1134"/>
                <w:tab w:val="left" w:pos="7938"/>
              </w:tabs>
              <w:spacing w:after="160" w:line="259" w:lineRule="auto"/>
              <w:ind w:left="0" w:firstLine="567"/>
              <w:contextualSpacing/>
              <w:jc w:val="both"/>
              <w:rPr>
                <w:rFonts w:ascii="Garamond" w:hAnsi="Garamond" w:cstheme="minorHAnsi"/>
                <w:sz w:val="22"/>
                <w:szCs w:val="22"/>
              </w:rPr>
            </w:pPr>
            <w:r w:rsidRPr="00A5626D">
              <w:rPr>
                <w:rFonts w:ascii="Garamond" w:hAnsi="Garamond" w:cstheme="minorHAnsi"/>
                <w:sz w:val="22"/>
                <w:szCs w:val="22"/>
                <w:lang w:val="en-US"/>
              </w:rPr>
              <w:t>precision</w:t>
            </w:r>
            <w:r w:rsidRPr="00A5626D">
              <w:rPr>
                <w:rFonts w:ascii="Garamond" w:hAnsi="Garamond" w:cstheme="minorHAnsi"/>
                <w:sz w:val="22"/>
                <w:szCs w:val="22"/>
              </w:rPr>
              <w:t>-</w:t>
            </w:r>
            <w:r w:rsidRPr="00A5626D">
              <w:rPr>
                <w:rFonts w:ascii="Garamond" w:hAnsi="Garamond" w:cstheme="minorHAnsi"/>
                <w:sz w:val="22"/>
                <w:szCs w:val="22"/>
                <w:lang w:val="en-US"/>
              </w:rPr>
              <w:t>class</w:t>
            </w:r>
            <w:r w:rsidRPr="00A5626D">
              <w:rPr>
                <w:rFonts w:ascii="Garamond" w:hAnsi="Garamond" w:cstheme="minorHAnsi"/>
                <w:sz w:val="22"/>
                <w:szCs w:val="22"/>
              </w:rPr>
              <w:t>-</w:t>
            </w:r>
            <w:r w:rsidRPr="00A5626D">
              <w:rPr>
                <w:rFonts w:ascii="Garamond" w:hAnsi="Garamond" w:cstheme="minorHAnsi"/>
                <w:sz w:val="22"/>
                <w:szCs w:val="22"/>
                <w:lang w:val="en-US"/>
              </w:rPr>
              <w:t>active</w:t>
            </w:r>
            <w:r w:rsidRPr="00A5626D">
              <w:rPr>
                <w:rFonts w:ascii="Garamond" w:hAnsi="Garamond" w:cstheme="minorHAnsi"/>
                <w:sz w:val="22"/>
                <w:szCs w:val="22"/>
              </w:rPr>
              <w:t xml:space="preserve"> – класс точности ПУ по активной энергии. Принимает значения из числа допустимых классов точности для данной модификации, указанных в справочнике типов и модификаций ПУ. В качестве десятичного разделителя должна быть использована точка. Обязательный атрибут для ПУ, обеспечивающих возможность измерения активной энергии. Указывается справочно. Проверка класса точности ПУ на соответствие техническим требованиям ОРЭМ производится КО в порядке, указанном в Приложении № 11.3 к </w:t>
            </w:r>
            <w:r w:rsidRPr="00A5626D">
              <w:rPr>
                <w:rFonts w:ascii="Garamond" w:hAnsi="Garamond" w:cstheme="minorHAnsi"/>
                <w:i/>
                <w:sz w:val="22"/>
                <w:szCs w:val="22"/>
              </w:rPr>
              <w:t xml:space="preserve">Положению о порядке получения статуса субъекта оптового рынка и ведения реестра субъектов оптового рынка </w:t>
            </w:r>
            <w:r w:rsidRPr="00A5626D">
              <w:rPr>
                <w:rFonts w:ascii="Garamond" w:eastAsia="Batang" w:hAnsi="Garamond" w:cstheme="minorHAnsi"/>
                <w:sz w:val="22"/>
                <w:szCs w:val="22"/>
                <w:lang w:eastAsia="ko-KR"/>
              </w:rPr>
              <w:t xml:space="preserve">(Приложение № 1.1 к </w:t>
            </w:r>
            <w:r w:rsidRPr="00A5626D">
              <w:rPr>
                <w:rFonts w:ascii="Garamond" w:eastAsia="Batang" w:hAnsi="Garamond" w:cstheme="minorHAnsi"/>
                <w:i/>
                <w:sz w:val="22"/>
                <w:szCs w:val="22"/>
                <w:lang w:eastAsia="ko-KR"/>
              </w:rPr>
              <w:t>Договору о присоединении к торговой системе оптового рынка</w:t>
            </w:r>
            <w:r w:rsidRPr="00A5626D">
              <w:rPr>
                <w:rFonts w:ascii="Garamond" w:eastAsia="Batang" w:hAnsi="Garamond" w:cstheme="minorHAnsi"/>
                <w:sz w:val="22"/>
                <w:szCs w:val="22"/>
                <w:lang w:eastAsia="ko-KR"/>
              </w:rPr>
              <w:t>)</w:t>
            </w:r>
            <w:r w:rsidRPr="00A5626D">
              <w:rPr>
                <w:rFonts w:ascii="Garamond" w:hAnsi="Garamond" w:cstheme="minorHAnsi"/>
                <w:sz w:val="22"/>
                <w:szCs w:val="22"/>
              </w:rPr>
              <w:t>;</w:t>
            </w:r>
          </w:p>
          <w:p w14:paraId="0A80891E" w14:textId="77777777" w:rsidR="00295C6D" w:rsidRPr="00A5626D" w:rsidRDefault="00295C6D" w:rsidP="00295C6D">
            <w:pPr>
              <w:pStyle w:val="ac"/>
              <w:numPr>
                <w:ilvl w:val="0"/>
                <w:numId w:val="240"/>
              </w:numPr>
              <w:tabs>
                <w:tab w:val="left" w:pos="1134"/>
                <w:tab w:val="left" w:pos="7938"/>
              </w:tabs>
              <w:spacing w:after="160" w:line="259" w:lineRule="auto"/>
              <w:ind w:left="0" w:firstLine="567"/>
              <w:contextualSpacing/>
              <w:jc w:val="both"/>
              <w:rPr>
                <w:rFonts w:ascii="Garamond" w:hAnsi="Garamond" w:cstheme="minorHAnsi"/>
                <w:sz w:val="22"/>
                <w:szCs w:val="22"/>
              </w:rPr>
            </w:pPr>
            <w:r w:rsidRPr="00A5626D">
              <w:rPr>
                <w:rFonts w:ascii="Garamond" w:hAnsi="Garamond" w:cstheme="minorHAnsi"/>
                <w:sz w:val="22"/>
                <w:szCs w:val="22"/>
                <w:lang w:val="en-US"/>
              </w:rPr>
              <w:t>precision</w:t>
            </w:r>
            <w:r w:rsidRPr="00A5626D">
              <w:rPr>
                <w:rFonts w:ascii="Garamond" w:hAnsi="Garamond" w:cstheme="minorHAnsi"/>
                <w:sz w:val="22"/>
                <w:szCs w:val="22"/>
              </w:rPr>
              <w:t>-</w:t>
            </w:r>
            <w:r w:rsidRPr="00A5626D">
              <w:rPr>
                <w:rFonts w:ascii="Garamond" w:hAnsi="Garamond" w:cstheme="minorHAnsi"/>
                <w:sz w:val="22"/>
                <w:szCs w:val="22"/>
                <w:lang w:val="en-US"/>
              </w:rPr>
              <w:t>class</w:t>
            </w:r>
            <w:r w:rsidRPr="00A5626D">
              <w:rPr>
                <w:rFonts w:ascii="Garamond" w:hAnsi="Garamond" w:cstheme="minorHAnsi"/>
                <w:sz w:val="22"/>
                <w:szCs w:val="22"/>
              </w:rPr>
              <w:t>-</w:t>
            </w:r>
            <w:r w:rsidRPr="00A5626D">
              <w:rPr>
                <w:rFonts w:ascii="Garamond" w:hAnsi="Garamond" w:cstheme="minorHAnsi"/>
                <w:sz w:val="22"/>
                <w:szCs w:val="22"/>
                <w:lang w:val="en-US"/>
              </w:rPr>
              <w:t>reactive</w:t>
            </w:r>
            <w:r w:rsidRPr="00A5626D">
              <w:rPr>
                <w:rFonts w:ascii="Garamond" w:hAnsi="Garamond" w:cstheme="minorHAnsi"/>
                <w:sz w:val="22"/>
                <w:szCs w:val="22"/>
              </w:rPr>
              <w:t xml:space="preserve"> – класс точности ПУ по реактивной энергии. Принимает значения из числа допустимых классов точности для данной модификации, указанных в справочнике типов и модификаций ПУ. В качестве десятичного разделителя должна быть использована точка. Обязательный атрибут для ПУ, обеспечивающих возможность измерения реактивной энергии. Указывается справочно;</w:t>
            </w:r>
          </w:p>
          <w:p w14:paraId="0018F37B" w14:textId="77777777" w:rsidR="00295C6D" w:rsidRPr="00A5626D" w:rsidRDefault="00295C6D" w:rsidP="00295C6D">
            <w:pPr>
              <w:widowControl w:val="0"/>
              <w:numPr>
                <w:ilvl w:val="0"/>
                <w:numId w:val="240"/>
              </w:numPr>
              <w:tabs>
                <w:tab w:val="left" w:pos="1134"/>
                <w:tab w:val="left" w:pos="7938"/>
              </w:tabs>
              <w:suppressAutoHyphens w:val="0"/>
              <w:autoSpaceDE w:val="0"/>
              <w:autoSpaceDN w:val="0"/>
              <w:adjustRightInd w:val="0"/>
              <w:spacing w:before="60" w:after="60"/>
              <w:ind w:left="0" w:firstLine="567"/>
              <w:jc w:val="both"/>
              <w:rPr>
                <w:rFonts w:ascii="Garamond" w:hAnsi="Garamond" w:cstheme="minorHAnsi"/>
                <w:sz w:val="22"/>
                <w:szCs w:val="22"/>
              </w:rPr>
            </w:pPr>
            <w:r w:rsidRPr="00A5626D">
              <w:rPr>
                <w:rFonts w:ascii="Garamond" w:hAnsi="Garamond" w:cstheme="minorHAnsi"/>
                <w:sz w:val="22"/>
                <w:szCs w:val="22"/>
              </w:rPr>
              <w:t xml:space="preserve">ats-code – уникальный код, присвоенный КО прибору </w:t>
            </w:r>
            <w:r w:rsidRPr="00A5626D">
              <w:rPr>
                <w:rFonts w:ascii="Garamond" w:hAnsi="Garamond" w:cstheme="minorHAnsi"/>
                <w:sz w:val="22"/>
                <w:szCs w:val="22"/>
              </w:rPr>
              <w:lastRenderedPageBreak/>
              <w:t>учета. Необязательный атрибут. Является числом из двух символов;</w:t>
            </w:r>
          </w:p>
          <w:p w14:paraId="58417645" w14:textId="77777777" w:rsidR="00295C6D" w:rsidRPr="00A5626D" w:rsidRDefault="00295C6D" w:rsidP="00295C6D">
            <w:pPr>
              <w:widowControl w:val="0"/>
              <w:numPr>
                <w:ilvl w:val="0"/>
                <w:numId w:val="240"/>
              </w:numPr>
              <w:tabs>
                <w:tab w:val="left" w:pos="1134"/>
                <w:tab w:val="left" w:pos="7938"/>
              </w:tabs>
              <w:suppressAutoHyphens w:val="0"/>
              <w:autoSpaceDE w:val="0"/>
              <w:autoSpaceDN w:val="0"/>
              <w:adjustRightInd w:val="0"/>
              <w:spacing w:before="60" w:after="60"/>
              <w:ind w:left="0" w:firstLine="567"/>
              <w:jc w:val="both"/>
              <w:rPr>
                <w:rFonts w:ascii="Garamond" w:hAnsi="Garamond" w:cstheme="minorHAnsi"/>
                <w:sz w:val="22"/>
                <w:szCs w:val="22"/>
              </w:rPr>
            </w:pPr>
            <w:r w:rsidRPr="00A5626D">
              <w:rPr>
                <w:rFonts w:ascii="Garamond" w:hAnsi="Garamond" w:cstheme="minorHAnsi"/>
                <w:sz w:val="22"/>
                <w:szCs w:val="22"/>
                <w:lang w:val="en-US"/>
              </w:rPr>
              <w:t>id</w:t>
            </w:r>
            <w:r w:rsidRPr="00A5626D">
              <w:rPr>
                <w:rFonts w:ascii="Garamond" w:hAnsi="Garamond" w:cstheme="minorHAnsi"/>
                <w:sz w:val="22"/>
                <w:szCs w:val="22"/>
              </w:rPr>
              <w:t>-</w:t>
            </w:r>
            <w:r w:rsidRPr="00A5626D">
              <w:rPr>
                <w:rFonts w:ascii="Garamond" w:hAnsi="Garamond" w:cstheme="minorHAnsi"/>
                <w:sz w:val="22"/>
                <w:szCs w:val="22"/>
                <w:lang w:val="en-US"/>
              </w:rPr>
              <w:t>measuring</w:t>
            </w:r>
            <w:r w:rsidRPr="00A5626D">
              <w:rPr>
                <w:rFonts w:ascii="Garamond" w:hAnsi="Garamond" w:cstheme="minorHAnsi"/>
                <w:sz w:val="22"/>
                <w:szCs w:val="22"/>
              </w:rPr>
              <w:t>-</w:t>
            </w:r>
            <w:r w:rsidRPr="00A5626D">
              <w:rPr>
                <w:rFonts w:ascii="Garamond" w:hAnsi="Garamond" w:cstheme="minorHAnsi"/>
                <w:sz w:val="22"/>
                <w:szCs w:val="22"/>
                <w:lang w:val="en-US"/>
              </w:rPr>
              <w:t>device</w:t>
            </w:r>
            <w:r w:rsidRPr="00A5626D">
              <w:rPr>
                <w:rFonts w:ascii="Garamond" w:hAnsi="Garamond" w:cstheme="minorHAnsi"/>
                <w:sz w:val="22"/>
                <w:szCs w:val="22"/>
              </w:rPr>
              <w:t xml:space="preserve"> – внутренний идентификатор прибора учета, используемый в элементах макета в качестве ссылок. Число до 4 знаков (1, 01, 001 и 0001 считаются одинаковыми идентификаторами). Является обязательным атрибутом;</w:t>
            </w:r>
          </w:p>
          <w:p w14:paraId="626324EF" w14:textId="77777777" w:rsidR="00295C6D" w:rsidRPr="00A5626D" w:rsidRDefault="00295C6D" w:rsidP="00295C6D">
            <w:pPr>
              <w:widowControl w:val="0"/>
              <w:numPr>
                <w:ilvl w:val="0"/>
                <w:numId w:val="240"/>
              </w:numPr>
              <w:tabs>
                <w:tab w:val="left" w:pos="1134"/>
                <w:tab w:val="left" w:pos="7938"/>
              </w:tabs>
              <w:suppressAutoHyphens w:val="0"/>
              <w:autoSpaceDE w:val="0"/>
              <w:autoSpaceDN w:val="0"/>
              <w:adjustRightInd w:val="0"/>
              <w:spacing w:before="60" w:after="60"/>
              <w:ind w:left="0" w:firstLine="567"/>
              <w:jc w:val="both"/>
              <w:rPr>
                <w:rFonts w:ascii="Garamond" w:hAnsi="Garamond" w:cstheme="minorHAnsi"/>
                <w:sz w:val="22"/>
                <w:szCs w:val="22"/>
              </w:rPr>
            </w:pPr>
            <w:r w:rsidRPr="00A5626D">
              <w:rPr>
                <w:rFonts w:ascii="Garamond" w:hAnsi="Garamond" w:cstheme="minorHAnsi"/>
                <w:sz w:val="22"/>
                <w:szCs w:val="22"/>
                <w:lang w:val="en-US"/>
              </w:rPr>
              <w:t>serial</w:t>
            </w:r>
            <w:r w:rsidRPr="00A5626D">
              <w:rPr>
                <w:rFonts w:ascii="Garamond" w:hAnsi="Garamond" w:cstheme="minorHAnsi"/>
                <w:sz w:val="22"/>
                <w:szCs w:val="22"/>
              </w:rPr>
              <w:t xml:space="preserve">-number – серийный (заводской) номер прибора учета. </w:t>
            </w:r>
            <w:r w:rsidRPr="00A5626D">
              <w:rPr>
                <w:rFonts w:ascii="Garamond" w:hAnsi="Garamond" w:cstheme="minorHAnsi"/>
                <w:sz w:val="22"/>
                <w:szCs w:val="22"/>
                <w:highlight w:val="yellow"/>
              </w:rPr>
              <w:t>Необязательный атрибут.</w:t>
            </w:r>
            <w:r w:rsidRPr="00A5626D">
              <w:rPr>
                <w:rFonts w:ascii="Garamond" w:hAnsi="Garamond" w:cstheme="minorHAnsi"/>
                <w:sz w:val="22"/>
                <w:szCs w:val="22"/>
              </w:rPr>
              <w:t xml:space="preserve"> В рамках одного сечения / ГТП генерации не допускается использование одинаковых серийных номеров для однотипных приборов учета. Является числом максимум из 250 символов.</w:t>
            </w:r>
          </w:p>
          <w:p w14:paraId="108CD392" w14:textId="77777777" w:rsidR="00295C6D" w:rsidRPr="00A5626D" w:rsidRDefault="00295C6D" w:rsidP="00E31AE6">
            <w:pPr>
              <w:tabs>
                <w:tab w:val="left" w:pos="1134"/>
                <w:tab w:val="left" w:pos="7938"/>
              </w:tabs>
              <w:spacing w:before="120" w:after="120"/>
              <w:ind w:firstLine="567"/>
              <w:jc w:val="both"/>
              <w:rPr>
                <w:rFonts w:ascii="Garamond" w:hAnsi="Garamond" w:cstheme="minorHAnsi"/>
                <w:b/>
                <w:sz w:val="22"/>
                <w:szCs w:val="22"/>
              </w:rPr>
            </w:pPr>
            <w:r w:rsidRPr="00A5626D">
              <w:rPr>
                <w:rFonts w:ascii="Garamond" w:hAnsi="Garamond" w:cstheme="minorHAnsi"/>
                <w:sz w:val="22"/>
                <w:szCs w:val="22"/>
              </w:rPr>
              <w:t xml:space="preserve">Дочерними элементами являются: </w:t>
            </w:r>
            <w:r w:rsidRPr="00A5626D">
              <w:rPr>
                <w:rFonts w:ascii="Garamond" w:hAnsi="Garamond" w:cstheme="minorHAnsi"/>
                <w:b/>
                <w:sz w:val="22"/>
                <w:szCs w:val="22"/>
              </w:rPr>
              <w:t>&lt;</w:t>
            </w:r>
            <w:r w:rsidRPr="00A5626D">
              <w:rPr>
                <w:rFonts w:ascii="Garamond" w:hAnsi="Garamond" w:cstheme="minorHAnsi"/>
                <w:b/>
                <w:sz w:val="22"/>
                <w:szCs w:val="22"/>
                <w:lang w:val="en-US"/>
              </w:rPr>
              <w:t>measuring</w:t>
            </w:r>
            <w:r w:rsidRPr="00A5626D">
              <w:rPr>
                <w:rFonts w:ascii="Garamond" w:hAnsi="Garamond" w:cstheme="minorHAnsi"/>
                <w:b/>
                <w:sz w:val="22"/>
                <w:szCs w:val="22"/>
              </w:rPr>
              <w:t>-</w:t>
            </w:r>
            <w:r w:rsidRPr="00A5626D">
              <w:rPr>
                <w:rFonts w:ascii="Garamond" w:hAnsi="Garamond" w:cstheme="minorHAnsi"/>
                <w:b/>
                <w:sz w:val="22"/>
                <w:szCs w:val="22"/>
                <w:lang w:val="en-US"/>
              </w:rPr>
              <w:t>channel</w:t>
            </w:r>
            <w:r w:rsidRPr="00A5626D">
              <w:rPr>
                <w:rFonts w:ascii="Garamond" w:hAnsi="Garamond" w:cstheme="minorHAnsi"/>
                <w:b/>
                <w:sz w:val="22"/>
                <w:szCs w:val="22"/>
              </w:rPr>
              <w:t>&gt;.</w:t>
            </w:r>
          </w:p>
        </w:tc>
        <w:tc>
          <w:tcPr>
            <w:tcW w:w="7088" w:type="dxa"/>
          </w:tcPr>
          <w:p w14:paraId="059D4D5A" w14:textId="77777777" w:rsidR="00295C6D" w:rsidRPr="00A5626D" w:rsidRDefault="00295C6D" w:rsidP="00E31AE6">
            <w:pPr>
              <w:tabs>
                <w:tab w:val="left" w:pos="1134"/>
                <w:tab w:val="left" w:pos="7938"/>
              </w:tabs>
              <w:spacing w:before="120" w:after="120"/>
              <w:ind w:firstLine="567"/>
              <w:jc w:val="both"/>
              <w:rPr>
                <w:rFonts w:ascii="Garamond" w:hAnsi="Garamond" w:cstheme="minorHAnsi"/>
                <w:sz w:val="22"/>
                <w:szCs w:val="22"/>
              </w:rPr>
            </w:pPr>
            <w:r w:rsidRPr="00A5626D">
              <w:rPr>
                <w:rFonts w:ascii="Garamond" w:hAnsi="Garamond" w:cstheme="minorHAnsi"/>
                <w:sz w:val="22"/>
                <w:szCs w:val="22"/>
              </w:rPr>
              <w:lastRenderedPageBreak/>
              <w:t>&lt;</w:t>
            </w:r>
            <w:r w:rsidRPr="00A5626D">
              <w:rPr>
                <w:rFonts w:ascii="Garamond" w:hAnsi="Garamond" w:cstheme="minorHAnsi"/>
                <w:sz w:val="22"/>
                <w:szCs w:val="22"/>
                <w:lang w:val="en-US"/>
              </w:rPr>
              <w:t>measuring</w:t>
            </w:r>
            <w:r w:rsidRPr="00A5626D">
              <w:rPr>
                <w:rFonts w:ascii="Garamond" w:hAnsi="Garamond" w:cstheme="minorHAnsi"/>
                <w:sz w:val="22"/>
                <w:szCs w:val="22"/>
              </w:rPr>
              <w:t>-</w:t>
            </w:r>
            <w:r w:rsidRPr="00A5626D">
              <w:rPr>
                <w:rFonts w:ascii="Garamond" w:hAnsi="Garamond" w:cstheme="minorHAnsi"/>
                <w:sz w:val="22"/>
                <w:szCs w:val="22"/>
                <w:lang w:val="en-US"/>
              </w:rPr>
              <w:t>device</w:t>
            </w:r>
            <w:r w:rsidRPr="00A5626D">
              <w:rPr>
                <w:rFonts w:ascii="Garamond" w:hAnsi="Garamond" w:cstheme="minorHAnsi"/>
                <w:sz w:val="22"/>
                <w:szCs w:val="22"/>
              </w:rPr>
              <w:t>&gt;</w:t>
            </w:r>
          </w:p>
          <w:p w14:paraId="7EAD29D8" w14:textId="77777777" w:rsidR="00295C6D" w:rsidRPr="00A5626D" w:rsidRDefault="00295C6D" w:rsidP="00E31AE6">
            <w:pPr>
              <w:tabs>
                <w:tab w:val="left" w:pos="1134"/>
                <w:tab w:val="left" w:pos="7938"/>
              </w:tabs>
              <w:spacing w:before="120" w:after="120"/>
              <w:ind w:firstLine="567"/>
              <w:jc w:val="both"/>
              <w:rPr>
                <w:rFonts w:ascii="Garamond" w:hAnsi="Garamond" w:cstheme="minorHAnsi"/>
                <w:sz w:val="22"/>
                <w:szCs w:val="22"/>
              </w:rPr>
            </w:pPr>
            <w:r w:rsidRPr="00A5626D">
              <w:rPr>
                <w:rFonts w:ascii="Garamond" w:hAnsi="Garamond" w:cstheme="minorHAnsi"/>
                <w:sz w:val="22"/>
                <w:szCs w:val="22"/>
              </w:rPr>
              <w:t>Элемент &lt;</w:t>
            </w:r>
            <w:r w:rsidRPr="00A5626D">
              <w:rPr>
                <w:rFonts w:ascii="Garamond" w:hAnsi="Garamond" w:cstheme="minorHAnsi"/>
                <w:b/>
                <w:sz w:val="22"/>
                <w:szCs w:val="22"/>
                <w:lang w:val="en-US"/>
              </w:rPr>
              <w:t>measuring</w:t>
            </w:r>
            <w:r w:rsidRPr="00A5626D">
              <w:rPr>
                <w:rFonts w:ascii="Garamond" w:hAnsi="Garamond" w:cstheme="minorHAnsi"/>
                <w:b/>
                <w:sz w:val="22"/>
                <w:szCs w:val="22"/>
              </w:rPr>
              <w:t>-</w:t>
            </w:r>
            <w:r w:rsidRPr="00A5626D">
              <w:rPr>
                <w:rFonts w:ascii="Garamond" w:hAnsi="Garamond" w:cstheme="minorHAnsi"/>
                <w:b/>
                <w:sz w:val="22"/>
                <w:szCs w:val="22"/>
                <w:lang w:val="en-US"/>
              </w:rPr>
              <w:t>device</w:t>
            </w:r>
            <w:r w:rsidRPr="00A5626D">
              <w:rPr>
                <w:rFonts w:ascii="Garamond" w:hAnsi="Garamond" w:cstheme="minorHAnsi"/>
                <w:sz w:val="22"/>
                <w:szCs w:val="22"/>
              </w:rPr>
              <w:t xml:space="preserve">&gt; </w:t>
            </w:r>
            <w:r w:rsidRPr="00A5626D">
              <w:rPr>
                <w:rFonts w:ascii="Garamond" w:hAnsi="Garamond" w:cstheme="minorHAnsi"/>
                <w:sz w:val="22"/>
                <w:szCs w:val="22"/>
                <w:lang w:val="en-US"/>
              </w:rPr>
              <w:t>c</w:t>
            </w:r>
            <w:r w:rsidRPr="00A5626D">
              <w:rPr>
                <w:rFonts w:ascii="Garamond" w:hAnsi="Garamond" w:cstheme="minorHAnsi"/>
                <w:bCs/>
                <w:sz w:val="22"/>
                <w:szCs w:val="22"/>
              </w:rPr>
              <w:t>одержит</w:t>
            </w:r>
            <w:r w:rsidRPr="00A5626D">
              <w:rPr>
                <w:rFonts w:ascii="Garamond" w:hAnsi="Garamond" w:cstheme="minorHAnsi"/>
                <w:sz w:val="22"/>
                <w:szCs w:val="22"/>
              </w:rPr>
              <w:t xml:space="preserve"> справочник измерительных приборов, заявленных субъектами оптового рынка. </w:t>
            </w:r>
          </w:p>
          <w:p w14:paraId="542B2D7E" w14:textId="77777777" w:rsidR="00295C6D" w:rsidRPr="00A5626D" w:rsidRDefault="00295C6D" w:rsidP="00E31AE6">
            <w:pPr>
              <w:tabs>
                <w:tab w:val="left" w:pos="1134"/>
                <w:tab w:val="left" w:pos="7938"/>
              </w:tabs>
              <w:spacing w:before="120" w:after="120"/>
              <w:ind w:firstLine="567"/>
              <w:jc w:val="both"/>
              <w:rPr>
                <w:rFonts w:ascii="Garamond" w:hAnsi="Garamond" w:cstheme="minorHAnsi"/>
                <w:sz w:val="22"/>
                <w:szCs w:val="22"/>
              </w:rPr>
            </w:pPr>
            <w:r w:rsidRPr="00A5626D">
              <w:rPr>
                <w:rFonts w:ascii="Garamond" w:hAnsi="Garamond" w:cstheme="minorHAnsi"/>
                <w:sz w:val="22"/>
                <w:szCs w:val="22"/>
              </w:rPr>
              <w:t>Атрибутами элемента &lt;</w:t>
            </w:r>
            <w:r w:rsidRPr="00A5626D">
              <w:rPr>
                <w:rFonts w:ascii="Garamond" w:hAnsi="Garamond" w:cstheme="minorHAnsi"/>
                <w:b/>
                <w:sz w:val="22"/>
                <w:szCs w:val="22"/>
                <w:lang w:val="en-US"/>
              </w:rPr>
              <w:t>measuring</w:t>
            </w:r>
            <w:r w:rsidRPr="00A5626D">
              <w:rPr>
                <w:rFonts w:ascii="Garamond" w:hAnsi="Garamond" w:cstheme="minorHAnsi"/>
                <w:b/>
                <w:sz w:val="22"/>
                <w:szCs w:val="22"/>
              </w:rPr>
              <w:t>-</w:t>
            </w:r>
            <w:r w:rsidRPr="00A5626D">
              <w:rPr>
                <w:rFonts w:ascii="Garamond" w:hAnsi="Garamond" w:cstheme="minorHAnsi"/>
                <w:b/>
                <w:sz w:val="22"/>
                <w:szCs w:val="22"/>
                <w:lang w:val="en-US"/>
              </w:rPr>
              <w:t>device</w:t>
            </w:r>
            <w:r w:rsidRPr="00A5626D">
              <w:rPr>
                <w:rFonts w:ascii="Garamond" w:hAnsi="Garamond" w:cstheme="minorHAnsi"/>
                <w:sz w:val="22"/>
                <w:szCs w:val="22"/>
              </w:rPr>
              <w:t>&gt; являются:</w:t>
            </w:r>
          </w:p>
          <w:p w14:paraId="177D1584" w14:textId="77777777" w:rsidR="00295C6D" w:rsidRPr="00A5626D" w:rsidRDefault="00295C6D" w:rsidP="00295C6D">
            <w:pPr>
              <w:widowControl w:val="0"/>
              <w:numPr>
                <w:ilvl w:val="0"/>
                <w:numId w:val="240"/>
              </w:numPr>
              <w:tabs>
                <w:tab w:val="left" w:pos="1134"/>
                <w:tab w:val="left" w:pos="7938"/>
              </w:tabs>
              <w:suppressAutoHyphens w:val="0"/>
              <w:autoSpaceDE w:val="0"/>
              <w:autoSpaceDN w:val="0"/>
              <w:adjustRightInd w:val="0"/>
              <w:spacing w:before="60" w:after="60"/>
              <w:ind w:left="0" w:firstLine="567"/>
              <w:jc w:val="both"/>
              <w:rPr>
                <w:rFonts w:ascii="Garamond" w:hAnsi="Garamond" w:cstheme="minorHAnsi"/>
                <w:sz w:val="22"/>
                <w:szCs w:val="22"/>
              </w:rPr>
            </w:pPr>
            <w:r w:rsidRPr="00A5626D">
              <w:rPr>
                <w:rFonts w:ascii="Garamond" w:hAnsi="Garamond" w:cstheme="minorHAnsi"/>
                <w:sz w:val="22"/>
                <w:szCs w:val="22"/>
                <w:lang w:val="en-US"/>
              </w:rPr>
              <w:t>guid</w:t>
            </w:r>
            <w:r w:rsidRPr="00A5626D">
              <w:rPr>
                <w:rFonts w:ascii="Garamond" w:hAnsi="Garamond" w:cstheme="minorHAnsi"/>
                <w:sz w:val="22"/>
                <w:szCs w:val="22"/>
              </w:rPr>
              <w:t xml:space="preserve"> </w:t>
            </w:r>
            <w:r w:rsidRPr="00A5626D">
              <w:rPr>
                <w:rFonts w:ascii="Garamond" w:eastAsia="MS Mincho" w:hAnsi="Garamond" w:cstheme="minorHAnsi"/>
                <w:sz w:val="22"/>
                <w:szCs w:val="22"/>
              </w:rPr>
              <w:t>– уникальный идентификатор ПУ, присваиваемый системой, формирующей файл. Является текстовым полем с 36 символами, обязательный атрибут;</w:t>
            </w:r>
          </w:p>
          <w:p w14:paraId="34AF1B28" w14:textId="77777777" w:rsidR="00295C6D" w:rsidRPr="00A5626D" w:rsidRDefault="00295C6D" w:rsidP="00295C6D">
            <w:pPr>
              <w:widowControl w:val="0"/>
              <w:numPr>
                <w:ilvl w:val="0"/>
                <w:numId w:val="240"/>
              </w:numPr>
              <w:tabs>
                <w:tab w:val="left" w:pos="1134"/>
                <w:tab w:val="left" w:pos="7938"/>
              </w:tabs>
              <w:suppressAutoHyphens w:val="0"/>
              <w:autoSpaceDE w:val="0"/>
              <w:autoSpaceDN w:val="0"/>
              <w:adjustRightInd w:val="0"/>
              <w:spacing w:before="60" w:after="60"/>
              <w:ind w:left="0" w:firstLine="567"/>
              <w:jc w:val="both"/>
              <w:rPr>
                <w:rFonts w:ascii="Garamond" w:hAnsi="Garamond" w:cstheme="minorHAnsi"/>
                <w:sz w:val="22"/>
                <w:szCs w:val="22"/>
              </w:rPr>
            </w:pPr>
            <w:r w:rsidRPr="00A5626D">
              <w:rPr>
                <w:rFonts w:ascii="Garamond" w:hAnsi="Garamond" w:cstheme="minorHAnsi"/>
                <w:sz w:val="22"/>
                <w:szCs w:val="22"/>
                <w:lang w:val="en-US"/>
              </w:rPr>
              <w:lastRenderedPageBreak/>
              <w:t>id</w:t>
            </w:r>
            <w:r w:rsidRPr="00A5626D">
              <w:rPr>
                <w:rFonts w:ascii="Garamond" w:hAnsi="Garamond" w:cstheme="minorHAnsi"/>
                <w:sz w:val="22"/>
                <w:szCs w:val="22"/>
              </w:rPr>
              <w:t>-</w:t>
            </w:r>
            <w:r w:rsidRPr="00A5626D">
              <w:rPr>
                <w:rFonts w:ascii="Garamond" w:hAnsi="Garamond" w:cstheme="minorHAnsi"/>
                <w:sz w:val="22"/>
                <w:szCs w:val="22"/>
                <w:lang w:val="en-US"/>
              </w:rPr>
              <w:t>device</w:t>
            </w:r>
            <w:r w:rsidRPr="00A5626D">
              <w:rPr>
                <w:rFonts w:ascii="Garamond" w:hAnsi="Garamond" w:cstheme="minorHAnsi"/>
                <w:sz w:val="22"/>
                <w:szCs w:val="22"/>
              </w:rPr>
              <w:t>-</w:t>
            </w:r>
            <w:r w:rsidRPr="00A5626D">
              <w:rPr>
                <w:rFonts w:ascii="Garamond" w:hAnsi="Garamond" w:cstheme="minorHAnsi"/>
                <w:sz w:val="22"/>
                <w:szCs w:val="22"/>
                <w:lang w:val="en-US"/>
              </w:rPr>
              <w:t>modification</w:t>
            </w:r>
            <w:r w:rsidRPr="00A5626D">
              <w:rPr>
                <w:rFonts w:ascii="Garamond" w:hAnsi="Garamond" w:cstheme="minorHAnsi"/>
                <w:sz w:val="22"/>
                <w:szCs w:val="22"/>
              </w:rPr>
              <w:t xml:space="preserve"> – идентификатор модификации ПУ из справочника типов и модификаций ПУ. Обязательный к заполнению атрибут для всех измерительных приборов, кроме параметров СО</w:t>
            </w:r>
            <w:r w:rsidRPr="00A5626D" w:rsidDel="00B446E0">
              <w:rPr>
                <w:rFonts w:ascii="Garamond" w:hAnsi="Garamond" w:cstheme="minorHAnsi"/>
                <w:sz w:val="22"/>
                <w:szCs w:val="22"/>
              </w:rPr>
              <w:t xml:space="preserve"> </w:t>
            </w:r>
            <w:r w:rsidRPr="00A5626D">
              <w:rPr>
                <w:rFonts w:ascii="Garamond" w:hAnsi="Garamond" w:cstheme="minorHAnsi"/>
                <w:sz w:val="22"/>
                <w:szCs w:val="22"/>
              </w:rPr>
              <w:t>(</w:t>
            </w:r>
            <w:r w:rsidRPr="00A5626D">
              <w:rPr>
                <w:rFonts w:ascii="Garamond" w:hAnsi="Garamond" w:cstheme="minorHAnsi"/>
                <w:sz w:val="22"/>
                <w:szCs w:val="22"/>
                <w:lang w:val="en-US"/>
              </w:rPr>
              <w:t>type</w:t>
            </w:r>
            <w:r w:rsidRPr="00A5626D">
              <w:rPr>
                <w:rFonts w:ascii="Garamond" w:hAnsi="Garamond" w:cstheme="minorHAnsi"/>
                <w:sz w:val="22"/>
                <w:szCs w:val="22"/>
              </w:rPr>
              <w:t xml:space="preserve"> = «</w:t>
            </w:r>
            <w:r w:rsidRPr="00A5626D">
              <w:rPr>
                <w:rFonts w:ascii="Garamond" w:hAnsi="Garamond" w:cstheme="minorHAnsi"/>
                <w:sz w:val="22"/>
                <w:szCs w:val="22"/>
                <w:lang w:val="en-US"/>
              </w:rPr>
              <w:t>so</w:t>
            </w:r>
            <w:r w:rsidRPr="00A5626D">
              <w:rPr>
                <w:rFonts w:ascii="Garamond" w:hAnsi="Garamond" w:cstheme="minorHAnsi"/>
                <w:sz w:val="22"/>
                <w:szCs w:val="22"/>
              </w:rPr>
              <w:t>»). Цифровое поле длиной не более 4 символов;</w:t>
            </w:r>
          </w:p>
          <w:p w14:paraId="3CB19BD5" w14:textId="77777777" w:rsidR="00295C6D" w:rsidRPr="00A5626D" w:rsidRDefault="00295C6D" w:rsidP="00295C6D">
            <w:pPr>
              <w:widowControl w:val="0"/>
              <w:numPr>
                <w:ilvl w:val="0"/>
                <w:numId w:val="240"/>
              </w:numPr>
              <w:tabs>
                <w:tab w:val="left" w:pos="1134"/>
                <w:tab w:val="left" w:pos="7938"/>
              </w:tabs>
              <w:suppressAutoHyphens w:val="0"/>
              <w:autoSpaceDE w:val="0"/>
              <w:autoSpaceDN w:val="0"/>
              <w:adjustRightInd w:val="0"/>
              <w:spacing w:before="60" w:after="60"/>
              <w:ind w:left="0" w:firstLine="567"/>
              <w:jc w:val="both"/>
              <w:rPr>
                <w:rFonts w:ascii="Garamond" w:hAnsi="Garamond" w:cstheme="minorHAnsi"/>
                <w:sz w:val="22"/>
                <w:szCs w:val="22"/>
              </w:rPr>
            </w:pPr>
            <w:r w:rsidRPr="00A5626D">
              <w:rPr>
                <w:rFonts w:ascii="Garamond" w:hAnsi="Garamond" w:cstheme="minorHAnsi"/>
                <w:sz w:val="22"/>
                <w:szCs w:val="22"/>
                <w:lang w:val="en-US"/>
              </w:rPr>
              <w:t>so</w:t>
            </w:r>
            <w:r w:rsidRPr="00A5626D">
              <w:rPr>
                <w:rFonts w:ascii="Garamond" w:hAnsi="Garamond" w:cstheme="minorHAnsi"/>
                <w:sz w:val="22"/>
                <w:szCs w:val="22"/>
              </w:rPr>
              <w:t>-</w:t>
            </w:r>
            <w:r w:rsidRPr="00A5626D">
              <w:rPr>
                <w:rFonts w:ascii="Garamond" w:hAnsi="Garamond" w:cstheme="minorHAnsi"/>
                <w:sz w:val="22"/>
                <w:szCs w:val="22"/>
                <w:lang w:val="en-US"/>
              </w:rPr>
              <w:t>device</w:t>
            </w:r>
            <w:r w:rsidRPr="00A5626D">
              <w:rPr>
                <w:rFonts w:ascii="Garamond" w:hAnsi="Garamond" w:cstheme="minorHAnsi"/>
                <w:sz w:val="22"/>
                <w:szCs w:val="22"/>
              </w:rPr>
              <w:t>-</w:t>
            </w:r>
            <w:r w:rsidRPr="00A5626D">
              <w:rPr>
                <w:rFonts w:ascii="Garamond" w:hAnsi="Garamond" w:cstheme="minorHAnsi"/>
                <w:sz w:val="22"/>
                <w:szCs w:val="22"/>
                <w:lang w:val="en-US"/>
              </w:rPr>
              <w:t>modification</w:t>
            </w:r>
            <w:r w:rsidRPr="00A5626D">
              <w:rPr>
                <w:rFonts w:ascii="Garamond" w:hAnsi="Garamond" w:cstheme="minorHAnsi"/>
                <w:sz w:val="22"/>
                <w:szCs w:val="22"/>
              </w:rPr>
              <w:t>-</w:t>
            </w:r>
            <w:r w:rsidRPr="00A5626D">
              <w:rPr>
                <w:rFonts w:ascii="Garamond" w:hAnsi="Garamond" w:cstheme="minorHAnsi"/>
                <w:sz w:val="22"/>
                <w:szCs w:val="22"/>
                <w:lang w:val="en-US"/>
              </w:rPr>
              <w:t>name</w:t>
            </w:r>
            <w:r w:rsidRPr="00A5626D">
              <w:rPr>
                <w:rFonts w:ascii="Garamond" w:hAnsi="Garamond" w:cstheme="minorHAnsi"/>
                <w:sz w:val="22"/>
                <w:szCs w:val="22"/>
              </w:rPr>
              <w:t xml:space="preserve"> – наименование параметра телеизмерения активной мощности по ЕГО (их совокупности) или по линиям электропередач (их совокупности), информация об использовании псевдоизмерений. Текстовое поле длиной не более 80 символов. Является обязательным, когда атрибут measuring-point-type = «so»;</w:t>
            </w:r>
          </w:p>
          <w:p w14:paraId="04B40D1B" w14:textId="77777777" w:rsidR="00295C6D" w:rsidRPr="00A5626D" w:rsidRDefault="00295C6D" w:rsidP="00295C6D">
            <w:pPr>
              <w:widowControl w:val="0"/>
              <w:numPr>
                <w:ilvl w:val="0"/>
                <w:numId w:val="240"/>
              </w:numPr>
              <w:tabs>
                <w:tab w:val="left" w:pos="1134"/>
                <w:tab w:val="left" w:pos="7938"/>
              </w:tabs>
              <w:suppressAutoHyphens w:val="0"/>
              <w:autoSpaceDE w:val="0"/>
              <w:autoSpaceDN w:val="0"/>
              <w:adjustRightInd w:val="0"/>
              <w:spacing w:before="60" w:after="60"/>
              <w:ind w:left="0" w:firstLine="567"/>
              <w:jc w:val="both"/>
              <w:rPr>
                <w:rFonts w:ascii="Garamond" w:hAnsi="Garamond" w:cstheme="minorHAnsi"/>
                <w:sz w:val="22"/>
                <w:szCs w:val="22"/>
              </w:rPr>
            </w:pPr>
            <w:r w:rsidRPr="00A5626D">
              <w:rPr>
                <w:rFonts w:ascii="Garamond" w:hAnsi="Garamond" w:cstheme="minorHAnsi"/>
                <w:sz w:val="22"/>
                <w:szCs w:val="22"/>
                <w:lang w:val="en-US"/>
              </w:rPr>
              <w:t>is</w:t>
            </w:r>
            <w:r w:rsidRPr="00A5626D">
              <w:rPr>
                <w:rFonts w:ascii="Garamond" w:hAnsi="Garamond" w:cstheme="minorHAnsi"/>
                <w:sz w:val="22"/>
                <w:szCs w:val="22"/>
              </w:rPr>
              <w:t>-</w:t>
            </w:r>
            <w:r w:rsidRPr="00A5626D">
              <w:rPr>
                <w:rFonts w:ascii="Garamond" w:hAnsi="Garamond" w:cstheme="minorHAnsi"/>
                <w:sz w:val="22"/>
                <w:szCs w:val="22"/>
                <w:lang w:val="en-US"/>
              </w:rPr>
              <w:t>for</w:t>
            </w:r>
            <w:r w:rsidRPr="00A5626D">
              <w:rPr>
                <w:rFonts w:ascii="Garamond" w:hAnsi="Garamond" w:cstheme="minorHAnsi"/>
                <w:sz w:val="22"/>
                <w:szCs w:val="22"/>
              </w:rPr>
              <w:t>-</w:t>
            </w:r>
            <w:r w:rsidRPr="00A5626D">
              <w:rPr>
                <w:rFonts w:ascii="Garamond" w:hAnsi="Garamond" w:cstheme="minorHAnsi"/>
                <w:sz w:val="22"/>
                <w:szCs w:val="22"/>
                <w:lang w:val="en-US"/>
              </w:rPr>
              <w:t>coding</w:t>
            </w:r>
            <w:r w:rsidRPr="00A5626D">
              <w:rPr>
                <w:rFonts w:ascii="Garamond" w:hAnsi="Garamond" w:cstheme="minorHAnsi"/>
                <w:sz w:val="22"/>
                <w:szCs w:val="22"/>
              </w:rPr>
              <w:t xml:space="preserve"> – признак, определяющий необходимость кодирования данного ПУ. Обязательный к заполнению атрибут для всех измерительных приборов. Принимает значение «</w:t>
            </w:r>
            <w:r w:rsidRPr="00A5626D">
              <w:rPr>
                <w:rFonts w:ascii="Garamond" w:hAnsi="Garamond" w:cstheme="minorHAnsi"/>
                <w:sz w:val="22"/>
                <w:szCs w:val="22"/>
                <w:lang w:val="en-US"/>
              </w:rPr>
              <w:t>true</w:t>
            </w:r>
            <w:r w:rsidRPr="00A5626D">
              <w:rPr>
                <w:rFonts w:ascii="Garamond" w:hAnsi="Garamond" w:cstheme="minorHAnsi"/>
                <w:sz w:val="22"/>
                <w:szCs w:val="22"/>
              </w:rPr>
              <w:t>», если данный ПУ необходимо кодировать, «</w:t>
            </w:r>
            <w:r w:rsidRPr="00A5626D">
              <w:rPr>
                <w:rFonts w:ascii="Garamond" w:hAnsi="Garamond" w:cstheme="minorHAnsi"/>
                <w:sz w:val="22"/>
                <w:szCs w:val="22"/>
                <w:lang w:val="en-US"/>
              </w:rPr>
              <w:t>false</w:t>
            </w:r>
            <w:r w:rsidRPr="00A5626D">
              <w:rPr>
                <w:rFonts w:ascii="Garamond" w:hAnsi="Garamond" w:cstheme="minorHAnsi"/>
                <w:sz w:val="22"/>
                <w:szCs w:val="22"/>
              </w:rPr>
              <w:t xml:space="preserve">», если данный ПУ не предназначен для кодирования. Для параметров СО с </w:t>
            </w:r>
            <w:r w:rsidRPr="00A5626D">
              <w:rPr>
                <w:rFonts w:ascii="Garamond" w:hAnsi="Garamond" w:cstheme="minorHAnsi"/>
                <w:sz w:val="22"/>
                <w:szCs w:val="22"/>
                <w:lang w:val="en-US"/>
              </w:rPr>
              <w:t>type</w:t>
            </w:r>
            <w:r w:rsidRPr="00A5626D">
              <w:rPr>
                <w:rFonts w:ascii="Garamond" w:hAnsi="Garamond" w:cstheme="minorHAnsi"/>
                <w:sz w:val="22"/>
                <w:szCs w:val="22"/>
              </w:rPr>
              <w:t xml:space="preserve"> = «</w:t>
            </w:r>
            <w:r w:rsidRPr="00A5626D">
              <w:rPr>
                <w:rFonts w:ascii="Garamond" w:hAnsi="Garamond" w:cstheme="minorHAnsi"/>
                <w:sz w:val="22"/>
                <w:szCs w:val="22"/>
                <w:lang w:val="en-US"/>
              </w:rPr>
              <w:t>so</w:t>
            </w:r>
            <w:r w:rsidRPr="00A5626D">
              <w:rPr>
                <w:rFonts w:ascii="Garamond" w:hAnsi="Garamond" w:cstheme="minorHAnsi"/>
                <w:sz w:val="22"/>
                <w:szCs w:val="22"/>
              </w:rPr>
              <w:t>» значение должно быть «</w:t>
            </w:r>
            <w:r w:rsidRPr="00A5626D">
              <w:rPr>
                <w:rFonts w:ascii="Garamond" w:hAnsi="Garamond" w:cstheme="minorHAnsi"/>
                <w:sz w:val="22"/>
                <w:szCs w:val="22"/>
                <w:lang w:val="en-US"/>
              </w:rPr>
              <w:t>false</w:t>
            </w:r>
            <w:r w:rsidRPr="00A5626D">
              <w:rPr>
                <w:rFonts w:ascii="Garamond" w:hAnsi="Garamond" w:cstheme="minorHAnsi"/>
                <w:sz w:val="22"/>
                <w:szCs w:val="22"/>
              </w:rPr>
              <w:t>»;</w:t>
            </w:r>
          </w:p>
          <w:p w14:paraId="0A67664E" w14:textId="77777777" w:rsidR="00295C6D" w:rsidRPr="00A5626D" w:rsidRDefault="00295C6D" w:rsidP="00295C6D">
            <w:pPr>
              <w:pStyle w:val="ac"/>
              <w:numPr>
                <w:ilvl w:val="0"/>
                <w:numId w:val="240"/>
              </w:numPr>
              <w:tabs>
                <w:tab w:val="left" w:pos="1134"/>
                <w:tab w:val="left" w:pos="7938"/>
              </w:tabs>
              <w:spacing w:after="160" w:line="259" w:lineRule="auto"/>
              <w:ind w:left="0" w:firstLine="567"/>
              <w:contextualSpacing/>
              <w:jc w:val="both"/>
              <w:rPr>
                <w:rFonts w:ascii="Garamond" w:hAnsi="Garamond" w:cstheme="minorHAnsi"/>
                <w:sz w:val="22"/>
                <w:szCs w:val="22"/>
              </w:rPr>
            </w:pPr>
            <w:r w:rsidRPr="00A5626D">
              <w:rPr>
                <w:rFonts w:ascii="Garamond" w:hAnsi="Garamond" w:cstheme="minorHAnsi"/>
                <w:sz w:val="22"/>
                <w:szCs w:val="22"/>
                <w:lang w:val="en-US"/>
              </w:rPr>
              <w:t>precision</w:t>
            </w:r>
            <w:r w:rsidRPr="00A5626D">
              <w:rPr>
                <w:rFonts w:ascii="Garamond" w:hAnsi="Garamond" w:cstheme="minorHAnsi"/>
                <w:sz w:val="22"/>
                <w:szCs w:val="22"/>
              </w:rPr>
              <w:t>-</w:t>
            </w:r>
            <w:r w:rsidRPr="00A5626D">
              <w:rPr>
                <w:rFonts w:ascii="Garamond" w:hAnsi="Garamond" w:cstheme="minorHAnsi"/>
                <w:sz w:val="22"/>
                <w:szCs w:val="22"/>
                <w:lang w:val="en-US"/>
              </w:rPr>
              <w:t>class</w:t>
            </w:r>
            <w:r w:rsidRPr="00A5626D">
              <w:rPr>
                <w:rFonts w:ascii="Garamond" w:hAnsi="Garamond" w:cstheme="minorHAnsi"/>
                <w:sz w:val="22"/>
                <w:szCs w:val="22"/>
              </w:rPr>
              <w:t>-</w:t>
            </w:r>
            <w:r w:rsidRPr="00A5626D">
              <w:rPr>
                <w:rFonts w:ascii="Garamond" w:hAnsi="Garamond" w:cstheme="minorHAnsi"/>
                <w:sz w:val="22"/>
                <w:szCs w:val="22"/>
                <w:lang w:val="en-US"/>
              </w:rPr>
              <w:t>active</w:t>
            </w:r>
            <w:r w:rsidRPr="00A5626D">
              <w:rPr>
                <w:rFonts w:ascii="Garamond" w:hAnsi="Garamond" w:cstheme="minorHAnsi"/>
                <w:sz w:val="22"/>
                <w:szCs w:val="22"/>
              </w:rPr>
              <w:t xml:space="preserve"> – класс точности ПУ по активной энергии. Принимает значения из числа допустимых классов точности для данной модификации, указанных в справочнике типов и модификаций ПУ. В качестве десятичного разделителя должна быть использована точка. Обязательный атрибут для ПУ, обеспечивающих возможность измерения активной энергии. Указывается справочно. Проверка класса точности ПУ на соответствие техническим требованиям ОРЭМ производится КО в порядке, указанном в Приложении № 11.3 к </w:t>
            </w:r>
            <w:r w:rsidRPr="00A5626D">
              <w:rPr>
                <w:rFonts w:ascii="Garamond" w:hAnsi="Garamond" w:cstheme="minorHAnsi"/>
                <w:i/>
                <w:sz w:val="22"/>
                <w:szCs w:val="22"/>
              </w:rPr>
              <w:t xml:space="preserve">Положению о порядке получения статуса субъекта оптового рынка и ведения реестра субъектов оптового рынка </w:t>
            </w:r>
            <w:r w:rsidRPr="00A5626D">
              <w:rPr>
                <w:rFonts w:ascii="Garamond" w:eastAsia="Batang" w:hAnsi="Garamond" w:cstheme="minorHAnsi"/>
                <w:sz w:val="22"/>
                <w:szCs w:val="22"/>
                <w:lang w:eastAsia="ko-KR"/>
              </w:rPr>
              <w:t xml:space="preserve">(Приложение № 1.1 к </w:t>
            </w:r>
            <w:r w:rsidRPr="00A5626D">
              <w:rPr>
                <w:rFonts w:ascii="Garamond" w:eastAsia="Batang" w:hAnsi="Garamond" w:cstheme="minorHAnsi"/>
                <w:i/>
                <w:sz w:val="22"/>
                <w:szCs w:val="22"/>
                <w:lang w:eastAsia="ko-KR"/>
              </w:rPr>
              <w:t>Договору о присоединении к торговой системе оптового рынка</w:t>
            </w:r>
            <w:r w:rsidRPr="00A5626D">
              <w:rPr>
                <w:rFonts w:ascii="Garamond" w:eastAsia="Batang" w:hAnsi="Garamond" w:cstheme="minorHAnsi"/>
                <w:sz w:val="22"/>
                <w:szCs w:val="22"/>
                <w:lang w:eastAsia="ko-KR"/>
              </w:rPr>
              <w:t>)</w:t>
            </w:r>
            <w:r w:rsidRPr="00A5626D">
              <w:rPr>
                <w:rFonts w:ascii="Garamond" w:hAnsi="Garamond" w:cstheme="minorHAnsi"/>
                <w:sz w:val="22"/>
                <w:szCs w:val="22"/>
              </w:rPr>
              <w:t>;</w:t>
            </w:r>
          </w:p>
          <w:p w14:paraId="3BCC793B" w14:textId="77777777" w:rsidR="00295C6D" w:rsidRPr="00A5626D" w:rsidRDefault="00295C6D" w:rsidP="00295C6D">
            <w:pPr>
              <w:pStyle w:val="ac"/>
              <w:numPr>
                <w:ilvl w:val="0"/>
                <w:numId w:val="240"/>
              </w:numPr>
              <w:tabs>
                <w:tab w:val="left" w:pos="1134"/>
                <w:tab w:val="left" w:pos="7938"/>
              </w:tabs>
              <w:spacing w:after="160" w:line="259" w:lineRule="auto"/>
              <w:ind w:left="0" w:firstLine="567"/>
              <w:contextualSpacing/>
              <w:jc w:val="both"/>
              <w:rPr>
                <w:rFonts w:ascii="Garamond" w:hAnsi="Garamond" w:cstheme="minorHAnsi"/>
                <w:sz w:val="22"/>
                <w:szCs w:val="22"/>
              </w:rPr>
            </w:pPr>
            <w:r w:rsidRPr="00A5626D">
              <w:rPr>
                <w:rFonts w:ascii="Garamond" w:hAnsi="Garamond" w:cstheme="minorHAnsi"/>
                <w:sz w:val="22"/>
                <w:szCs w:val="22"/>
                <w:lang w:val="en-US"/>
              </w:rPr>
              <w:t>precision</w:t>
            </w:r>
            <w:r w:rsidRPr="00A5626D">
              <w:rPr>
                <w:rFonts w:ascii="Garamond" w:hAnsi="Garamond" w:cstheme="minorHAnsi"/>
                <w:sz w:val="22"/>
                <w:szCs w:val="22"/>
              </w:rPr>
              <w:t>-</w:t>
            </w:r>
            <w:r w:rsidRPr="00A5626D">
              <w:rPr>
                <w:rFonts w:ascii="Garamond" w:hAnsi="Garamond" w:cstheme="minorHAnsi"/>
                <w:sz w:val="22"/>
                <w:szCs w:val="22"/>
                <w:lang w:val="en-US"/>
              </w:rPr>
              <w:t>class</w:t>
            </w:r>
            <w:r w:rsidRPr="00A5626D">
              <w:rPr>
                <w:rFonts w:ascii="Garamond" w:hAnsi="Garamond" w:cstheme="minorHAnsi"/>
                <w:sz w:val="22"/>
                <w:szCs w:val="22"/>
              </w:rPr>
              <w:t>-</w:t>
            </w:r>
            <w:r w:rsidRPr="00A5626D">
              <w:rPr>
                <w:rFonts w:ascii="Garamond" w:hAnsi="Garamond" w:cstheme="minorHAnsi"/>
                <w:sz w:val="22"/>
                <w:szCs w:val="22"/>
                <w:lang w:val="en-US"/>
              </w:rPr>
              <w:t>reactive</w:t>
            </w:r>
            <w:r w:rsidRPr="00A5626D">
              <w:rPr>
                <w:rFonts w:ascii="Garamond" w:hAnsi="Garamond" w:cstheme="minorHAnsi"/>
                <w:sz w:val="22"/>
                <w:szCs w:val="22"/>
              </w:rPr>
              <w:t xml:space="preserve"> – класс точности ПУ по реактивной энергии. Принимает значения из числа допустимых классов точности для данной модификации, указанных в справочнике типов и модификаций ПУ. В качестве десятичного разделителя должна быть использована точка. Обязательный атрибут для ПУ, обеспечивающих возможность измерения реактивной энергии. Указывается справочно;</w:t>
            </w:r>
          </w:p>
          <w:p w14:paraId="2E539D6F" w14:textId="77777777" w:rsidR="00295C6D" w:rsidRPr="00A5626D" w:rsidRDefault="00295C6D" w:rsidP="00295C6D">
            <w:pPr>
              <w:widowControl w:val="0"/>
              <w:numPr>
                <w:ilvl w:val="0"/>
                <w:numId w:val="240"/>
              </w:numPr>
              <w:tabs>
                <w:tab w:val="left" w:pos="1134"/>
                <w:tab w:val="left" w:pos="7938"/>
              </w:tabs>
              <w:suppressAutoHyphens w:val="0"/>
              <w:autoSpaceDE w:val="0"/>
              <w:autoSpaceDN w:val="0"/>
              <w:adjustRightInd w:val="0"/>
              <w:spacing w:before="60" w:after="60"/>
              <w:ind w:left="0" w:firstLine="567"/>
              <w:jc w:val="both"/>
              <w:rPr>
                <w:rFonts w:ascii="Garamond" w:hAnsi="Garamond" w:cstheme="minorHAnsi"/>
                <w:sz w:val="22"/>
                <w:szCs w:val="22"/>
              </w:rPr>
            </w:pPr>
            <w:r w:rsidRPr="00A5626D">
              <w:rPr>
                <w:rFonts w:ascii="Garamond" w:hAnsi="Garamond" w:cstheme="minorHAnsi"/>
                <w:sz w:val="22"/>
                <w:szCs w:val="22"/>
              </w:rPr>
              <w:t>ats-code – уникальный код, присвоенный КО прибору учета. Необязательный атрибут. Является числом из двух символов;</w:t>
            </w:r>
          </w:p>
          <w:p w14:paraId="58CB6C5C" w14:textId="77777777" w:rsidR="00295C6D" w:rsidRPr="00A5626D" w:rsidRDefault="00295C6D" w:rsidP="00295C6D">
            <w:pPr>
              <w:widowControl w:val="0"/>
              <w:numPr>
                <w:ilvl w:val="0"/>
                <w:numId w:val="240"/>
              </w:numPr>
              <w:tabs>
                <w:tab w:val="left" w:pos="1134"/>
                <w:tab w:val="left" w:pos="7938"/>
              </w:tabs>
              <w:suppressAutoHyphens w:val="0"/>
              <w:autoSpaceDE w:val="0"/>
              <w:autoSpaceDN w:val="0"/>
              <w:adjustRightInd w:val="0"/>
              <w:spacing w:before="60" w:after="60"/>
              <w:ind w:left="0" w:firstLine="567"/>
              <w:jc w:val="both"/>
              <w:rPr>
                <w:rFonts w:ascii="Garamond" w:hAnsi="Garamond" w:cstheme="minorHAnsi"/>
                <w:sz w:val="22"/>
                <w:szCs w:val="22"/>
              </w:rPr>
            </w:pPr>
            <w:r w:rsidRPr="00A5626D">
              <w:rPr>
                <w:rFonts w:ascii="Garamond" w:hAnsi="Garamond" w:cstheme="minorHAnsi"/>
                <w:sz w:val="22"/>
                <w:szCs w:val="22"/>
                <w:lang w:val="en-US"/>
              </w:rPr>
              <w:t>id</w:t>
            </w:r>
            <w:r w:rsidRPr="00A5626D">
              <w:rPr>
                <w:rFonts w:ascii="Garamond" w:hAnsi="Garamond" w:cstheme="minorHAnsi"/>
                <w:sz w:val="22"/>
                <w:szCs w:val="22"/>
              </w:rPr>
              <w:t>-</w:t>
            </w:r>
            <w:r w:rsidRPr="00A5626D">
              <w:rPr>
                <w:rFonts w:ascii="Garamond" w:hAnsi="Garamond" w:cstheme="minorHAnsi"/>
                <w:sz w:val="22"/>
                <w:szCs w:val="22"/>
                <w:lang w:val="en-US"/>
              </w:rPr>
              <w:t>measuring</w:t>
            </w:r>
            <w:r w:rsidRPr="00A5626D">
              <w:rPr>
                <w:rFonts w:ascii="Garamond" w:hAnsi="Garamond" w:cstheme="minorHAnsi"/>
                <w:sz w:val="22"/>
                <w:szCs w:val="22"/>
              </w:rPr>
              <w:t>-</w:t>
            </w:r>
            <w:r w:rsidRPr="00A5626D">
              <w:rPr>
                <w:rFonts w:ascii="Garamond" w:hAnsi="Garamond" w:cstheme="minorHAnsi"/>
                <w:sz w:val="22"/>
                <w:szCs w:val="22"/>
                <w:lang w:val="en-US"/>
              </w:rPr>
              <w:t>device</w:t>
            </w:r>
            <w:r w:rsidRPr="00A5626D">
              <w:rPr>
                <w:rFonts w:ascii="Garamond" w:hAnsi="Garamond" w:cstheme="minorHAnsi"/>
                <w:sz w:val="22"/>
                <w:szCs w:val="22"/>
              </w:rPr>
              <w:t xml:space="preserve"> – внутренний идентификатор прибора учета, используемый в элементах макета в качестве ссылок. Число до 4 </w:t>
            </w:r>
            <w:r w:rsidRPr="00A5626D">
              <w:rPr>
                <w:rFonts w:ascii="Garamond" w:hAnsi="Garamond" w:cstheme="minorHAnsi"/>
                <w:sz w:val="22"/>
                <w:szCs w:val="22"/>
              </w:rPr>
              <w:lastRenderedPageBreak/>
              <w:t>знаков (1, 01, 001 и 0001 считаются одинаковыми идентификаторами). Является обязательным атрибутом;</w:t>
            </w:r>
          </w:p>
          <w:p w14:paraId="0F08F8BD" w14:textId="27E420A3" w:rsidR="00295C6D" w:rsidRPr="00A5626D" w:rsidRDefault="00295C6D" w:rsidP="00295C6D">
            <w:pPr>
              <w:widowControl w:val="0"/>
              <w:numPr>
                <w:ilvl w:val="0"/>
                <w:numId w:val="240"/>
              </w:numPr>
              <w:tabs>
                <w:tab w:val="left" w:pos="1134"/>
                <w:tab w:val="left" w:pos="7938"/>
              </w:tabs>
              <w:suppressAutoHyphens w:val="0"/>
              <w:autoSpaceDE w:val="0"/>
              <w:autoSpaceDN w:val="0"/>
              <w:adjustRightInd w:val="0"/>
              <w:spacing w:before="60" w:after="60"/>
              <w:ind w:left="0" w:firstLine="567"/>
              <w:jc w:val="both"/>
              <w:rPr>
                <w:rFonts w:ascii="Garamond" w:hAnsi="Garamond" w:cstheme="minorHAnsi"/>
                <w:sz w:val="22"/>
                <w:szCs w:val="22"/>
                <w:highlight w:val="yellow"/>
              </w:rPr>
            </w:pPr>
            <w:r w:rsidRPr="00A5626D">
              <w:rPr>
                <w:rFonts w:ascii="Garamond" w:hAnsi="Garamond" w:cstheme="minorHAnsi"/>
                <w:sz w:val="22"/>
                <w:szCs w:val="22"/>
                <w:highlight w:val="yellow"/>
                <w:lang w:val="en-US"/>
              </w:rPr>
              <w:t>certificate</w:t>
            </w:r>
            <w:r w:rsidRPr="00A5626D">
              <w:rPr>
                <w:rFonts w:ascii="Garamond" w:hAnsi="Garamond" w:cstheme="minorHAnsi"/>
                <w:sz w:val="22"/>
                <w:szCs w:val="22"/>
                <w:highlight w:val="yellow"/>
              </w:rPr>
              <w:t>-</w:t>
            </w:r>
            <w:r w:rsidRPr="00A5626D">
              <w:rPr>
                <w:rFonts w:ascii="Garamond" w:hAnsi="Garamond" w:cstheme="minorHAnsi"/>
                <w:sz w:val="22"/>
                <w:szCs w:val="22"/>
                <w:highlight w:val="yellow"/>
                <w:lang w:val="en-US"/>
              </w:rPr>
              <w:t>number</w:t>
            </w:r>
            <w:r w:rsidRPr="00A5626D">
              <w:rPr>
                <w:rFonts w:ascii="Garamond" w:hAnsi="Garamond" w:cstheme="minorHAnsi"/>
                <w:sz w:val="22"/>
                <w:szCs w:val="22"/>
                <w:highlight w:val="yellow"/>
              </w:rPr>
              <w:t xml:space="preserve"> – номер свидетельства о поверке прибора учета.</w:t>
            </w:r>
            <w:r w:rsidR="002E762B" w:rsidRPr="00A5626D">
              <w:rPr>
                <w:rFonts w:ascii="Garamond" w:hAnsi="Garamond" w:cstheme="minorHAnsi"/>
                <w:sz w:val="22"/>
                <w:szCs w:val="22"/>
                <w:highlight w:val="yellow"/>
              </w:rPr>
              <w:t xml:space="preserve"> Номер свидетельства о поверке прибора учета необходимо указывать в соответствии со сведениями, размещенными в Федеральном информационном фонде по обеспечению единства измерений, при условии, что поверка прибора учета выполнена начиная с 24.09.2020. В случае выполнения первичной поверки прибора учета до 24.09.2020 и при отсутствии сведений о результатах поверки, включенных в Федеральный информационный фонд по обеспечению единства измерений, необходимо указать «Паспорт»</w:t>
            </w:r>
            <w:r w:rsidRPr="00A5626D">
              <w:rPr>
                <w:rFonts w:ascii="Garamond" w:hAnsi="Garamond" w:cstheme="minorHAnsi"/>
                <w:sz w:val="22"/>
                <w:szCs w:val="22"/>
                <w:highlight w:val="yellow"/>
              </w:rPr>
              <w:t xml:space="preserve">. Обязательный атрибут для всех приборов учета, переданных в </w:t>
            </w:r>
            <w:r w:rsidR="00E6095F">
              <w:rPr>
                <w:rFonts w:ascii="Garamond" w:hAnsi="Garamond" w:cstheme="minorHAnsi"/>
                <w:sz w:val="22"/>
                <w:szCs w:val="22"/>
                <w:highlight w:val="yellow"/>
              </w:rPr>
              <w:t xml:space="preserve">макете </w:t>
            </w:r>
            <w:r w:rsidRPr="00A5626D">
              <w:rPr>
                <w:rFonts w:ascii="Garamond" w:hAnsi="Garamond" w:cstheme="minorHAnsi"/>
                <w:sz w:val="22"/>
                <w:szCs w:val="22"/>
                <w:highlight w:val="yellow"/>
              </w:rPr>
              <w:t>60000 по ОР (атрибут не заполняется в 60000 по ГТП генерации</w:t>
            </w:r>
            <w:r w:rsidR="0001419A">
              <w:rPr>
                <w:rFonts w:ascii="Garamond" w:hAnsi="Garamond" w:cstheme="minorHAnsi"/>
                <w:sz w:val="22"/>
                <w:szCs w:val="22"/>
                <w:highlight w:val="yellow"/>
              </w:rPr>
              <w:t xml:space="preserve"> </w:t>
            </w:r>
            <w:r w:rsidRPr="00A5626D">
              <w:rPr>
                <w:rFonts w:ascii="Garamond" w:hAnsi="Garamond" w:cstheme="minorHAnsi"/>
                <w:sz w:val="22"/>
                <w:szCs w:val="22"/>
                <w:highlight w:val="yellow"/>
              </w:rPr>
              <w:t>/</w:t>
            </w:r>
            <w:r w:rsidR="0001419A">
              <w:rPr>
                <w:rFonts w:ascii="Garamond" w:hAnsi="Garamond" w:cstheme="minorHAnsi"/>
                <w:sz w:val="22"/>
                <w:szCs w:val="22"/>
                <w:highlight w:val="yellow"/>
              </w:rPr>
              <w:t xml:space="preserve"> </w:t>
            </w:r>
            <w:r w:rsidRPr="00A5626D">
              <w:rPr>
                <w:rFonts w:ascii="Garamond" w:hAnsi="Garamond" w:cstheme="minorHAnsi"/>
                <w:sz w:val="22"/>
                <w:szCs w:val="22"/>
                <w:highlight w:val="yellow"/>
              </w:rPr>
              <w:t>сечениям КУ). Текстовое поле до 30 символов</w:t>
            </w:r>
            <w:r w:rsidR="0001419A">
              <w:rPr>
                <w:rFonts w:ascii="Garamond" w:hAnsi="Garamond" w:cstheme="minorHAnsi"/>
                <w:sz w:val="22"/>
                <w:szCs w:val="22"/>
                <w:highlight w:val="yellow"/>
              </w:rPr>
              <w:t>.</w:t>
            </w:r>
            <w:r w:rsidRPr="00A5626D">
              <w:rPr>
                <w:rFonts w:ascii="Garamond" w:hAnsi="Garamond" w:cstheme="minorHAnsi"/>
                <w:sz w:val="22"/>
                <w:szCs w:val="22"/>
                <w:highlight w:val="yellow"/>
              </w:rPr>
              <w:t xml:space="preserve"> Допускается ввод символов -/ (Например, С-ВБ/24-09-2021/108975094);</w:t>
            </w:r>
          </w:p>
          <w:p w14:paraId="663B330A" w14:textId="53211832" w:rsidR="00295C6D" w:rsidRPr="00A5626D" w:rsidRDefault="00295C6D" w:rsidP="00295C6D">
            <w:pPr>
              <w:widowControl w:val="0"/>
              <w:numPr>
                <w:ilvl w:val="0"/>
                <w:numId w:val="240"/>
              </w:numPr>
              <w:tabs>
                <w:tab w:val="left" w:pos="1134"/>
                <w:tab w:val="left" w:pos="7938"/>
              </w:tabs>
              <w:suppressAutoHyphens w:val="0"/>
              <w:autoSpaceDE w:val="0"/>
              <w:autoSpaceDN w:val="0"/>
              <w:adjustRightInd w:val="0"/>
              <w:spacing w:before="60" w:after="60"/>
              <w:ind w:left="0" w:firstLine="567"/>
              <w:jc w:val="both"/>
              <w:rPr>
                <w:rFonts w:ascii="Garamond" w:hAnsi="Garamond" w:cstheme="minorHAnsi"/>
                <w:sz w:val="22"/>
                <w:szCs w:val="22"/>
                <w:highlight w:val="yellow"/>
              </w:rPr>
            </w:pPr>
            <w:r w:rsidRPr="00A5626D">
              <w:rPr>
                <w:rFonts w:ascii="Garamond" w:hAnsi="Garamond" w:cstheme="minorHAnsi"/>
                <w:sz w:val="22"/>
                <w:szCs w:val="22"/>
                <w:highlight w:val="yellow"/>
                <w:lang w:val="en-US"/>
              </w:rPr>
              <w:t>certificate</w:t>
            </w:r>
            <w:r w:rsidRPr="00A5626D">
              <w:rPr>
                <w:rFonts w:ascii="Garamond" w:hAnsi="Garamond" w:cstheme="minorHAnsi"/>
                <w:sz w:val="22"/>
                <w:szCs w:val="22"/>
                <w:highlight w:val="yellow"/>
              </w:rPr>
              <w:t>-</w:t>
            </w:r>
            <w:r w:rsidRPr="00A5626D">
              <w:rPr>
                <w:rFonts w:ascii="Garamond" w:hAnsi="Garamond" w:cstheme="minorHAnsi"/>
                <w:sz w:val="22"/>
                <w:szCs w:val="22"/>
                <w:highlight w:val="yellow"/>
                <w:lang w:val="en-US"/>
              </w:rPr>
              <w:t>expiration</w:t>
            </w:r>
            <w:r w:rsidRPr="00A5626D">
              <w:rPr>
                <w:rFonts w:ascii="Garamond" w:hAnsi="Garamond" w:cstheme="minorHAnsi"/>
                <w:sz w:val="22"/>
                <w:szCs w:val="22"/>
                <w:highlight w:val="yellow"/>
              </w:rPr>
              <w:t>-</w:t>
            </w:r>
            <w:r w:rsidRPr="00A5626D">
              <w:rPr>
                <w:rFonts w:ascii="Garamond" w:hAnsi="Garamond" w:cstheme="minorHAnsi"/>
                <w:sz w:val="22"/>
                <w:szCs w:val="22"/>
                <w:highlight w:val="yellow"/>
                <w:lang w:val="en-US"/>
              </w:rPr>
              <w:t>date</w:t>
            </w:r>
            <w:r w:rsidRPr="00A5626D">
              <w:rPr>
                <w:rFonts w:ascii="Garamond" w:hAnsi="Garamond" w:cstheme="minorHAnsi"/>
                <w:sz w:val="22"/>
                <w:szCs w:val="22"/>
                <w:highlight w:val="yellow"/>
              </w:rPr>
              <w:t xml:space="preserve"> – срок действия свидетельства о поверке прибора учета. Дата в формате «ГГГГММДД». Является обязательным атрибутом для всех приборов учета, переданных в </w:t>
            </w:r>
            <w:r w:rsidR="00E6095F">
              <w:rPr>
                <w:rFonts w:ascii="Garamond" w:hAnsi="Garamond" w:cstheme="minorHAnsi"/>
                <w:sz w:val="22"/>
                <w:szCs w:val="22"/>
                <w:highlight w:val="yellow"/>
              </w:rPr>
              <w:t xml:space="preserve">макете </w:t>
            </w:r>
            <w:r w:rsidRPr="00A5626D">
              <w:rPr>
                <w:rFonts w:ascii="Garamond" w:hAnsi="Garamond" w:cstheme="minorHAnsi"/>
                <w:sz w:val="22"/>
                <w:szCs w:val="22"/>
                <w:highlight w:val="yellow"/>
              </w:rPr>
              <w:t xml:space="preserve">60000 по ОР (атрибут не заполняется в </w:t>
            </w:r>
            <w:r w:rsidR="00E6095F">
              <w:rPr>
                <w:rFonts w:ascii="Garamond" w:hAnsi="Garamond" w:cstheme="minorHAnsi"/>
                <w:sz w:val="22"/>
                <w:szCs w:val="22"/>
                <w:highlight w:val="yellow"/>
              </w:rPr>
              <w:t xml:space="preserve">макете </w:t>
            </w:r>
            <w:r w:rsidRPr="00A5626D">
              <w:rPr>
                <w:rFonts w:ascii="Garamond" w:hAnsi="Garamond" w:cstheme="minorHAnsi"/>
                <w:sz w:val="22"/>
                <w:szCs w:val="22"/>
                <w:highlight w:val="yellow"/>
              </w:rPr>
              <w:t>60000 по ГТП генерации</w:t>
            </w:r>
            <w:r w:rsidR="0001419A">
              <w:rPr>
                <w:rFonts w:ascii="Garamond" w:hAnsi="Garamond" w:cstheme="minorHAnsi"/>
                <w:sz w:val="22"/>
                <w:szCs w:val="22"/>
                <w:highlight w:val="yellow"/>
              </w:rPr>
              <w:t xml:space="preserve"> </w:t>
            </w:r>
            <w:r w:rsidRPr="00A5626D">
              <w:rPr>
                <w:rFonts w:ascii="Garamond" w:hAnsi="Garamond" w:cstheme="minorHAnsi"/>
                <w:sz w:val="22"/>
                <w:szCs w:val="22"/>
                <w:highlight w:val="yellow"/>
              </w:rPr>
              <w:t>/</w:t>
            </w:r>
            <w:r w:rsidR="0001419A">
              <w:rPr>
                <w:rFonts w:ascii="Garamond" w:hAnsi="Garamond" w:cstheme="minorHAnsi"/>
                <w:sz w:val="22"/>
                <w:szCs w:val="22"/>
                <w:highlight w:val="yellow"/>
              </w:rPr>
              <w:t xml:space="preserve"> </w:t>
            </w:r>
            <w:r w:rsidRPr="00A5626D">
              <w:rPr>
                <w:rFonts w:ascii="Garamond" w:hAnsi="Garamond" w:cstheme="minorHAnsi"/>
                <w:sz w:val="22"/>
                <w:szCs w:val="22"/>
                <w:highlight w:val="yellow"/>
              </w:rPr>
              <w:t>сечениям КУ). Не допускается указывать дату меньше текущей даты</w:t>
            </w:r>
            <w:r w:rsidR="0001419A">
              <w:rPr>
                <w:rFonts w:ascii="Garamond" w:hAnsi="Garamond" w:cstheme="minorHAnsi"/>
                <w:sz w:val="22"/>
                <w:szCs w:val="22"/>
                <w:highlight w:val="yellow"/>
              </w:rPr>
              <w:t>;</w:t>
            </w:r>
          </w:p>
          <w:p w14:paraId="0821F24F" w14:textId="61C12737" w:rsidR="00295C6D" w:rsidRPr="00A5626D" w:rsidRDefault="00295C6D" w:rsidP="00295C6D">
            <w:pPr>
              <w:widowControl w:val="0"/>
              <w:numPr>
                <w:ilvl w:val="0"/>
                <w:numId w:val="240"/>
              </w:numPr>
              <w:tabs>
                <w:tab w:val="left" w:pos="1134"/>
                <w:tab w:val="left" w:pos="7938"/>
              </w:tabs>
              <w:suppressAutoHyphens w:val="0"/>
              <w:autoSpaceDE w:val="0"/>
              <w:autoSpaceDN w:val="0"/>
              <w:adjustRightInd w:val="0"/>
              <w:spacing w:before="60" w:after="60"/>
              <w:ind w:left="10" w:firstLine="567"/>
              <w:jc w:val="both"/>
              <w:rPr>
                <w:rFonts w:ascii="Garamond" w:hAnsi="Garamond" w:cstheme="minorHAnsi"/>
                <w:sz w:val="22"/>
                <w:szCs w:val="22"/>
              </w:rPr>
            </w:pPr>
            <w:r w:rsidRPr="00A5626D">
              <w:rPr>
                <w:rFonts w:ascii="Garamond" w:hAnsi="Garamond" w:cstheme="minorHAnsi"/>
                <w:sz w:val="22"/>
                <w:szCs w:val="22"/>
                <w:lang w:val="en-US"/>
              </w:rPr>
              <w:t>serial</w:t>
            </w:r>
            <w:r w:rsidRPr="00A5626D">
              <w:rPr>
                <w:rFonts w:ascii="Garamond" w:hAnsi="Garamond" w:cstheme="minorHAnsi"/>
                <w:sz w:val="22"/>
                <w:szCs w:val="22"/>
              </w:rPr>
              <w:t>-</w:t>
            </w:r>
            <w:r w:rsidRPr="00A5626D">
              <w:rPr>
                <w:rFonts w:ascii="Garamond" w:hAnsi="Garamond" w:cstheme="minorHAnsi"/>
                <w:sz w:val="22"/>
                <w:szCs w:val="22"/>
                <w:lang w:val="en-US"/>
              </w:rPr>
              <w:t>number</w:t>
            </w:r>
            <w:r w:rsidRPr="00A5626D">
              <w:rPr>
                <w:rFonts w:ascii="Garamond" w:hAnsi="Garamond" w:cstheme="minorHAnsi"/>
                <w:sz w:val="22"/>
                <w:szCs w:val="22"/>
              </w:rPr>
              <w:t xml:space="preserve"> – серийный (заводской) номер прибора учета. </w:t>
            </w:r>
            <w:r w:rsidRPr="00A5626D">
              <w:rPr>
                <w:rFonts w:ascii="Garamond" w:hAnsi="Garamond" w:cstheme="minorHAnsi"/>
                <w:sz w:val="22"/>
                <w:szCs w:val="22"/>
                <w:highlight w:val="yellow"/>
              </w:rPr>
              <w:t xml:space="preserve">Является обязательным атрибутом для всех приборов учета, переданных в </w:t>
            </w:r>
            <w:r w:rsidR="00E6095F">
              <w:rPr>
                <w:rFonts w:ascii="Garamond" w:hAnsi="Garamond" w:cstheme="minorHAnsi"/>
                <w:sz w:val="22"/>
                <w:szCs w:val="22"/>
                <w:highlight w:val="yellow"/>
              </w:rPr>
              <w:t xml:space="preserve">макете </w:t>
            </w:r>
            <w:r w:rsidRPr="00A5626D">
              <w:rPr>
                <w:rFonts w:ascii="Garamond" w:hAnsi="Garamond" w:cstheme="minorHAnsi"/>
                <w:sz w:val="22"/>
                <w:szCs w:val="22"/>
                <w:highlight w:val="yellow"/>
              </w:rPr>
              <w:t xml:space="preserve">60000 по ОР (атрибут необязателен в </w:t>
            </w:r>
            <w:r w:rsidR="00E6095F">
              <w:rPr>
                <w:rFonts w:ascii="Garamond" w:hAnsi="Garamond" w:cstheme="minorHAnsi"/>
                <w:sz w:val="22"/>
                <w:szCs w:val="22"/>
                <w:highlight w:val="yellow"/>
              </w:rPr>
              <w:t xml:space="preserve">макете </w:t>
            </w:r>
            <w:r w:rsidRPr="00A5626D">
              <w:rPr>
                <w:rFonts w:ascii="Garamond" w:hAnsi="Garamond" w:cstheme="minorHAnsi"/>
                <w:sz w:val="22"/>
                <w:szCs w:val="22"/>
                <w:highlight w:val="yellow"/>
              </w:rPr>
              <w:t>60000 по ГТП генерации</w:t>
            </w:r>
            <w:r w:rsidR="0001419A">
              <w:rPr>
                <w:rFonts w:ascii="Garamond" w:hAnsi="Garamond" w:cstheme="minorHAnsi"/>
                <w:sz w:val="22"/>
                <w:szCs w:val="22"/>
                <w:highlight w:val="yellow"/>
              </w:rPr>
              <w:t xml:space="preserve"> </w:t>
            </w:r>
            <w:r w:rsidRPr="00A5626D">
              <w:rPr>
                <w:rFonts w:ascii="Garamond" w:hAnsi="Garamond" w:cstheme="minorHAnsi"/>
                <w:sz w:val="22"/>
                <w:szCs w:val="22"/>
                <w:highlight w:val="yellow"/>
              </w:rPr>
              <w:t>/</w:t>
            </w:r>
            <w:r w:rsidR="0001419A">
              <w:rPr>
                <w:rFonts w:ascii="Garamond" w:hAnsi="Garamond" w:cstheme="minorHAnsi"/>
                <w:sz w:val="22"/>
                <w:szCs w:val="22"/>
                <w:highlight w:val="yellow"/>
              </w:rPr>
              <w:t xml:space="preserve"> </w:t>
            </w:r>
            <w:r w:rsidRPr="00A5626D">
              <w:rPr>
                <w:rFonts w:ascii="Garamond" w:hAnsi="Garamond" w:cstheme="minorHAnsi"/>
                <w:sz w:val="22"/>
                <w:szCs w:val="22"/>
                <w:highlight w:val="yellow"/>
              </w:rPr>
              <w:t>сечениям КУ)</w:t>
            </w:r>
            <w:r w:rsidRPr="00A5626D">
              <w:rPr>
                <w:rFonts w:ascii="Garamond" w:hAnsi="Garamond" w:cstheme="minorHAnsi"/>
                <w:sz w:val="22"/>
                <w:szCs w:val="22"/>
              </w:rPr>
              <w:t xml:space="preserve">. В рамках одного сечения </w:t>
            </w:r>
            <w:r w:rsidRPr="00A5626D">
              <w:rPr>
                <w:rFonts w:ascii="Garamond" w:hAnsi="Garamond" w:cstheme="minorHAnsi"/>
                <w:sz w:val="22"/>
                <w:szCs w:val="22"/>
                <w:highlight w:val="yellow"/>
              </w:rPr>
              <w:t>КУ</w:t>
            </w:r>
            <w:r w:rsidR="0001419A">
              <w:rPr>
                <w:rFonts w:ascii="Garamond" w:hAnsi="Garamond" w:cstheme="minorHAnsi"/>
                <w:sz w:val="22"/>
                <w:szCs w:val="22"/>
              </w:rPr>
              <w:t xml:space="preserve"> </w:t>
            </w:r>
            <w:r w:rsidRPr="00A5626D">
              <w:rPr>
                <w:rFonts w:ascii="Garamond" w:hAnsi="Garamond" w:cstheme="minorHAnsi"/>
                <w:sz w:val="22"/>
                <w:szCs w:val="22"/>
              </w:rPr>
              <w:t xml:space="preserve">/ ГТП генерации </w:t>
            </w:r>
            <w:r w:rsidRPr="00A5626D">
              <w:rPr>
                <w:rFonts w:ascii="Garamond" w:hAnsi="Garamond" w:cstheme="minorHAnsi"/>
                <w:sz w:val="22"/>
                <w:szCs w:val="22"/>
                <w:highlight w:val="yellow"/>
              </w:rPr>
              <w:t>/ ОР</w:t>
            </w:r>
            <w:r w:rsidRPr="00A5626D">
              <w:rPr>
                <w:rFonts w:ascii="Garamond" w:hAnsi="Garamond" w:cstheme="minorHAnsi"/>
                <w:sz w:val="22"/>
                <w:szCs w:val="22"/>
              </w:rPr>
              <w:t xml:space="preserve"> не допускается использование одинаковых серийных номеров для однотипных приборов учета. Является числом максимум из 250 символов.</w:t>
            </w:r>
          </w:p>
          <w:p w14:paraId="195974DA" w14:textId="77777777" w:rsidR="00295C6D" w:rsidRPr="00A5626D" w:rsidRDefault="00295C6D" w:rsidP="00E31AE6">
            <w:pPr>
              <w:pStyle w:val="2"/>
              <w:numPr>
                <w:ilvl w:val="0"/>
                <w:numId w:val="0"/>
              </w:numPr>
              <w:tabs>
                <w:tab w:val="left" w:pos="1134"/>
                <w:tab w:val="left" w:pos="7938"/>
              </w:tabs>
              <w:suppressAutoHyphens w:val="0"/>
              <w:spacing w:line="22" w:lineRule="atLeast"/>
              <w:ind w:firstLine="629"/>
              <w:jc w:val="both"/>
              <w:rPr>
                <w:rFonts w:ascii="Garamond" w:hAnsi="Garamond" w:cstheme="minorHAnsi"/>
                <w:b w:val="0"/>
              </w:rPr>
            </w:pPr>
            <w:r w:rsidRPr="00A5626D">
              <w:rPr>
                <w:rFonts w:ascii="Garamond" w:hAnsi="Garamond" w:cstheme="minorHAnsi"/>
                <w:b w:val="0"/>
              </w:rPr>
              <w:t>Дочерними элементами являются:</w:t>
            </w:r>
            <w:r w:rsidRPr="00A5626D">
              <w:rPr>
                <w:rFonts w:ascii="Garamond" w:hAnsi="Garamond" w:cstheme="minorHAnsi"/>
              </w:rPr>
              <w:t xml:space="preserve"> &lt;</w:t>
            </w:r>
            <w:r w:rsidRPr="00A5626D">
              <w:rPr>
                <w:rFonts w:ascii="Garamond" w:hAnsi="Garamond" w:cstheme="minorHAnsi"/>
                <w:lang w:val="en-US"/>
              </w:rPr>
              <w:t>measuring</w:t>
            </w:r>
            <w:r w:rsidRPr="00A5626D">
              <w:rPr>
                <w:rFonts w:ascii="Garamond" w:hAnsi="Garamond" w:cstheme="minorHAnsi"/>
              </w:rPr>
              <w:t>-</w:t>
            </w:r>
            <w:r w:rsidRPr="00A5626D">
              <w:rPr>
                <w:rFonts w:ascii="Garamond" w:hAnsi="Garamond" w:cstheme="minorHAnsi"/>
                <w:lang w:val="en-US"/>
              </w:rPr>
              <w:t>channel</w:t>
            </w:r>
            <w:r w:rsidRPr="00A5626D">
              <w:rPr>
                <w:rFonts w:ascii="Garamond" w:hAnsi="Garamond" w:cstheme="minorHAnsi"/>
              </w:rPr>
              <w:t>&gt;.</w:t>
            </w:r>
          </w:p>
        </w:tc>
      </w:tr>
      <w:tr w:rsidR="00295C6D" w:rsidRPr="00A5626D" w14:paraId="6FBCCADB" w14:textId="77777777" w:rsidTr="00647FA0">
        <w:tc>
          <w:tcPr>
            <w:tcW w:w="1060" w:type="dxa"/>
            <w:vAlign w:val="center"/>
          </w:tcPr>
          <w:p w14:paraId="36E2B639" w14:textId="3D5EADA1" w:rsidR="00295C6D" w:rsidRPr="00A5626D" w:rsidRDefault="00295C6D" w:rsidP="00E31AE6">
            <w:pPr>
              <w:widowControl w:val="0"/>
              <w:tabs>
                <w:tab w:val="left" w:pos="1134"/>
                <w:tab w:val="left" w:pos="7938"/>
              </w:tabs>
              <w:spacing w:line="22" w:lineRule="atLeast"/>
              <w:jc w:val="both"/>
              <w:rPr>
                <w:rFonts w:ascii="Garamond" w:hAnsi="Garamond"/>
                <w:b/>
                <w:sz w:val="22"/>
                <w:szCs w:val="22"/>
                <w:highlight w:val="yellow"/>
                <w:lang w:eastAsia="en-US"/>
              </w:rPr>
            </w:pPr>
            <w:r w:rsidRPr="00A5626D">
              <w:rPr>
                <w:rFonts w:ascii="Garamond" w:hAnsi="Garamond"/>
                <w:b/>
                <w:sz w:val="22"/>
                <w:szCs w:val="22"/>
                <w:lang w:eastAsia="en-US"/>
              </w:rPr>
              <w:lastRenderedPageBreak/>
              <w:t>Приложение 5, п.</w:t>
            </w:r>
            <w:r w:rsidR="00647FA0" w:rsidRPr="00A5626D">
              <w:rPr>
                <w:rFonts w:ascii="Garamond" w:hAnsi="Garamond"/>
                <w:b/>
                <w:sz w:val="22"/>
                <w:szCs w:val="22"/>
                <w:lang w:eastAsia="en-US"/>
              </w:rPr>
              <w:t> </w:t>
            </w:r>
            <w:r w:rsidRPr="00A5626D">
              <w:rPr>
                <w:rFonts w:ascii="Garamond" w:hAnsi="Garamond"/>
                <w:b/>
                <w:sz w:val="22"/>
                <w:szCs w:val="22"/>
                <w:lang w:eastAsia="en-US"/>
              </w:rPr>
              <w:t>4.2.1.1.2.2</w:t>
            </w:r>
            <w:r w:rsidR="009B5F03" w:rsidRPr="00A5626D">
              <w:rPr>
                <w:rFonts w:ascii="Garamond" w:hAnsi="Garamond" w:cstheme="minorHAnsi"/>
                <w:b/>
                <w:sz w:val="22"/>
                <w:szCs w:val="22"/>
                <w:lang w:val="en-US"/>
              </w:rPr>
              <w:t xml:space="preserve"> </w:t>
            </w:r>
            <w:r w:rsidRPr="00A5626D">
              <w:rPr>
                <w:rFonts w:ascii="Garamond" w:hAnsi="Garamond" w:cstheme="minorHAnsi"/>
                <w:b/>
                <w:sz w:val="22"/>
                <w:szCs w:val="22"/>
                <w:lang w:val="en-US"/>
              </w:rPr>
              <w:t xml:space="preserve"> </w:t>
            </w:r>
          </w:p>
        </w:tc>
        <w:tc>
          <w:tcPr>
            <w:tcW w:w="6662" w:type="dxa"/>
          </w:tcPr>
          <w:p w14:paraId="32757A4E" w14:textId="77777777" w:rsidR="00295C6D" w:rsidRPr="00A5626D" w:rsidRDefault="00295C6D" w:rsidP="00E31AE6">
            <w:pPr>
              <w:tabs>
                <w:tab w:val="left" w:pos="1134"/>
                <w:tab w:val="left" w:pos="7938"/>
              </w:tabs>
              <w:spacing w:before="120" w:after="120"/>
              <w:ind w:firstLine="567"/>
              <w:jc w:val="both"/>
              <w:rPr>
                <w:rFonts w:ascii="Garamond" w:hAnsi="Garamond" w:cstheme="minorHAnsi"/>
                <w:sz w:val="22"/>
                <w:szCs w:val="22"/>
                <w:lang w:val="en-US"/>
              </w:rPr>
            </w:pPr>
            <w:r w:rsidRPr="00A5626D">
              <w:rPr>
                <w:rFonts w:ascii="Garamond" w:hAnsi="Garamond" w:cstheme="minorHAnsi"/>
                <w:sz w:val="22"/>
                <w:szCs w:val="22"/>
                <w:lang w:val="en-US"/>
              </w:rPr>
              <w:t>&lt;group-delivery-point-composition&gt;</w:t>
            </w:r>
          </w:p>
          <w:p w14:paraId="5FE1D4C1" w14:textId="77777777" w:rsidR="00295C6D" w:rsidRPr="00A5626D" w:rsidRDefault="00295C6D" w:rsidP="00E31AE6">
            <w:pPr>
              <w:tabs>
                <w:tab w:val="left" w:pos="1134"/>
                <w:tab w:val="left" w:pos="7938"/>
              </w:tabs>
              <w:spacing w:before="120" w:after="120"/>
              <w:ind w:firstLine="567"/>
              <w:jc w:val="both"/>
              <w:rPr>
                <w:rFonts w:ascii="Garamond" w:hAnsi="Garamond" w:cstheme="minorHAnsi"/>
                <w:sz w:val="22"/>
                <w:szCs w:val="22"/>
                <w:lang w:val="en-US"/>
              </w:rPr>
            </w:pPr>
            <w:r w:rsidRPr="00A5626D">
              <w:rPr>
                <w:rFonts w:ascii="Garamond" w:hAnsi="Garamond" w:cstheme="minorHAnsi"/>
                <w:sz w:val="22"/>
                <w:szCs w:val="22"/>
              </w:rPr>
              <w:t>Элемент</w:t>
            </w:r>
            <w:r w:rsidRPr="00A5626D">
              <w:rPr>
                <w:rFonts w:ascii="Garamond" w:hAnsi="Garamond" w:cstheme="minorHAnsi"/>
                <w:sz w:val="22"/>
                <w:szCs w:val="22"/>
                <w:lang w:val="en-US"/>
              </w:rPr>
              <w:t xml:space="preserve"> &lt;group-delivery-point-composition&gt; </w:t>
            </w:r>
            <w:r w:rsidRPr="00A5626D">
              <w:rPr>
                <w:rFonts w:ascii="Garamond" w:hAnsi="Garamond" w:cstheme="minorHAnsi"/>
                <w:sz w:val="22"/>
                <w:szCs w:val="22"/>
              </w:rPr>
              <w:t>описывает</w:t>
            </w:r>
            <w:r w:rsidRPr="00A5626D">
              <w:rPr>
                <w:rFonts w:ascii="Garamond" w:hAnsi="Garamond" w:cstheme="minorHAnsi"/>
                <w:sz w:val="22"/>
                <w:szCs w:val="22"/>
                <w:lang w:val="en-US"/>
              </w:rPr>
              <w:t xml:space="preserve"> </w:t>
            </w:r>
            <w:r w:rsidRPr="00A5626D">
              <w:rPr>
                <w:rFonts w:ascii="Garamond" w:hAnsi="Garamond" w:cstheme="minorHAnsi"/>
                <w:sz w:val="22"/>
                <w:szCs w:val="22"/>
              </w:rPr>
              <w:t>связи</w:t>
            </w:r>
            <w:r w:rsidRPr="00A5626D">
              <w:rPr>
                <w:rFonts w:ascii="Garamond" w:hAnsi="Garamond" w:cstheme="minorHAnsi"/>
                <w:sz w:val="22"/>
                <w:szCs w:val="22"/>
                <w:lang w:val="en-US"/>
              </w:rPr>
              <w:t xml:space="preserve"> </w:t>
            </w:r>
            <w:r w:rsidRPr="00A5626D">
              <w:rPr>
                <w:rFonts w:ascii="Garamond" w:hAnsi="Garamond" w:cstheme="minorHAnsi"/>
                <w:sz w:val="22"/>
                <w:szCs w:val="22"/>
              </w:rPr>
              <w:t>внутри</w:t>
            </w:r>
            <w:r w:rsidRPr="00A5626D">
              <w:rPr>
                <w:rFonts w:ascii="Garamond" w:hAnsi="Garamond" w:cstheme="minorHAnsi"/>
                <w:sz w:val="22"/>
                <w:szCs w:val="22"/>
                <w:lang w:val="en-US"/>
              </w:rPr>
              <w:t xml:space="preserve"> </w:t>
            </w:r>
            <w:r w:rsidRPr="00A5626D">
              <w:rPr>
                <w:rFonts w:ascii="Garamond" w:hAnsi="Garamond" w:cstheme="minorHAnsi"/>
                <w:sz w:val="22"/>
                <w:szCs w:val="22"/>
              </w:rPr>
              <w:t>групповых</w:t>
            </w:r>
            <w:r w:rsidRPr="00A5626D">
              <w:rPr>
                <w:rFonts w:ascii="Garamond" w:hAnsi="Garamond" w:cstheme="minorHAnsi"/>
                <w:sz w:val="22"/>
                <w:szCs w:val="22"/>
                <w:lang w:val="en-US"/>
              </w:rPr>
              <w:t xml:space="preserve"> </w:t>
            </w:r>
            <w:r w:rsidRPr="00A5626D">
              <w:rPr>
                <w:rFonts w:ascii="Garamond" w:hAnsi="Garamond" w:cstheme="minorHAnsi"/>
                <w:sz w:val="22"/>
                <w:szCs w:val="22"/>
              </w:rPr>
              <w:t>точек</w:t>
            </w:r>
            <w:r w:rsidRPr="00A5626D">
              <w:rPr>
                <w:rFonts w:ascii="Garamond" w:hAnsi="Garamond" w:cstheme="minorHAnsi"/>
                <w:sz w:val="22"/>
                <w:szCs w:val="22"/>
                <w:lang w:val="en-US"/>
              </w:rPr>
              <w:t xml:space="preserve"> </w:t>
            </w:r>
            <w:r w:rsidRPr="00A5626D">
              <w:rPr>
                <w:rFonts w:ascii="Garamond" w:hAnsi="Garamond" w:cstheme="minorHAnsi"/>
                <w:sz w:val="22"/>
                <w:szCs w:val="22"/>
              </w:rPr>
              <w:t>поставки</w:t>
            </w:r>
            <w:r w:rsidRPr="00A5626D">
              <w:rPr>
                <w:rFonts w:ascii="Garamond" w:hAnsi="Garamond" w:cstheme="minorHAnsi"/>
                <w:sz w:val="22"/>
                <w:szCs w:val="22"/>
                <w:lang w:val="en-US"/>
              </w:rPr>
              <w:t>.</w:t>
            </w:r>
          </w:p>
          <w:p w14:paraId="75ABE8D2" w14:textId="77777777" w:rsidR="00295C6D" w:rsidRPr="00A5626D" w:rsidRDefault="00295C6D" w:rsidP="00E31AE6">
            <w:pPr>
              <w:tabs>
                <w:tab w:val="left" w:pos="1134"/>
                <w:tab w:val="left" w:pos="7938"/>
              </w:tabs>
              <w:spacing w:before="120" w:after="120"/>
              <w:ind w:firstLine="567"/>
              <w:jc w:val="both"/>
              <w:rPr>
                <w:rFonts w:ascii="Garamond" w:hAnsi="Garamond" w:cstheme="minorHAnsi"/>
                <w:sz w:val="22"/>
                <w:szCs w:val="22"/>
                <w:lang w:val="en-US"/>
              </w:rPr>
            </w:pPr>
            <w:r w:rsidRPr="00A5626D">
              <w:rPr>
                <w:rFonts w:ascii="Garamond" w:hAnsi="Garamond" w:cstheme="minorHAnsi"/>
                <w:sz w:val="22"/>
                <w:szCs w:val="22"/>
              </w:rPr>
              <w:t>Потомком</w:t>
            </w:r>
            <w:r w:rsidRPr="00A5626D">
              <w:rPr>
                <w:rFonts w:ascii="Garamond" w:hAnsi="Garamond" w:cstheme="minorHAnsi"/>
                <w:sz w:val="22"/>
                <w:szCs w:val="22"/>
                <w:lang w:val="en-US"/>
              </w:rPr>
              <w:t xml:space="preserve"> </w:t>
            </w:r>
            <w:r w:rsidRPr="00A5626D">
              <w:rPr>
                <w:rFonts w:ascii="Garamond" w:hAnsi="Garamond" w:cstheme="minorHAnsi"/>
                <w:sz w:val="22"/>
                <w:szCs w:val="22"/>
              </w:rPr>
              <w:t>элемента</w:t>
            </w:r>
            <w:r w:rsidRPr="00A5626D">
              <w:rPr>
                <w:rFonts w:ascii="Garamond" w:hAnsi="Garamond" w:cstheme="minorHAnsi"/>
                <w:sz w:val="22"/>
                <w:szCs w:val="22"/>
                <w:lang w:val="en-US"/>
              </w:rPr>
              <w:t xml:space="preserve"> &lt;group-delivery-point-composition&gt; </w:t>
            </w:r>
            <w:r w:rsidRPr="00A5626D">
              <w:rPr>
                <w:rFonts w:ascii="Garamond" w:hAnsi="Garamond" w:cstheme="minorHAnsi"/>
                <w:sz w:val="22"/>
                <w:szCs w:val="22"/>
              </w:rPr>
              <w:t>является</w:t>
            </w:r>
            <w:r w:rsidRPr="00A5626D">
              <w:rPr>
                <w:rFonts w:ascii="Garamond" w:hAnsi="Garamond" w:cstheme="minorHAnsi"/>
                <w:sz w:val="22"/>
                <w:szCs w:val="22"/>
                <w:lang w:val="en-US"/>
              </w:rPr>
              <w:t xml:space="preserve"> </w:t>
            </w:r>
            <w:r w:rsidRPr="00A5626D">
              <w:rPr>
                <w:rFonts w:ascii="Garamond" w:hAnsi="Garamond" w:cstheme="minorHAnsi"/>
                <w:sz w:val="22"/>
                <w:szCs w:val="22"/>
              </w:rPr>
              <w:t>элемент</w:t>
            </w:r>
            <w:r w:rsidRPr="00A5626D">
              <w:rPr>
                <w:rFonts w:ascii="Garamond" w:hAnsi="Garamond" w:cstheme="minorHAnsi"/>
                <w:sz w:val="22"/>
                <w:szCs w:val="22"/>
                <w:lang w:val="en-US"/>
              </w:rPr>
              <w:t xml:space="preserve"> &lt;group-delivery-point&gt;.</w:t>
            </w:r>
          </w:p>
        </w:tc>
        <w:tc>
          <w:tcPr>
            <w:tcW w:w="7088" w:type="dxa"/>
          </w:tcPr>
          <w:p w14:paraId="5F0FB207" w14:textId="77777777" w:rsidR="00295C6D" w:rsidRPr="00A5626D" w:rsidRDefault="00295C6D" w:rsidP="00E31AE6">
            <w:pPr>
              <w:tabs>
                <w:tab w:val="left" w:pos="1134"/>
                <w:tab w:val="left" w:pos="7938"/>
              </w:tabs>
              <w:spacing w:before="120" w:after="120"/>
              <w:ind w:firstLine="567"/>
              <w:jc w:val="both"/>
              <w:rPr>
                <w:rFonts w:ascii="Garamond" w:hAnsi="Garamond" w:cstheme="minorHAnsi"/>
                <w:sz w:val="22"/>
                <w:szCs w:val="22"/>
                <w:lang w:val="en-US"/>
              </w:rPr>
            </w:pPr>
            <w:r w:rsidRPr="00A5626D">
              <w:rPr>
                <w:rFonts w:ascii="Garamond" w:hAnsi="Garamond" w:cstheme="minorHAnsi"/>
                <w:sz w:val="22"/>
                <w:szCs w:val="22"/>
                <w:lang w:val="en-US"/>
              </w:rPr>
              <w:t>&lt;group-delivery-point-composition&gt;</w:t>
            </w:r>
          </w:p>
          <w:p w14:paraId="782DAC8D" w14:textId="77777777" w:rsidR="00295C6D" w:rsidRPr="00A5626D" w:rsidRDefault="00295C6D" w:rsidP="00E31AE6">
            <w:pPr>
              <w:tabs>
                <w:tab w:val="left" w:pos="1134"/>
                <w:tab w:val="left" w:pos="7938"/>
              </w:tabs>
              <w:spacing w:before="120" w:after="120"/>
              <w:ind w:firstLine="567"/>
              <w:jc w:val="both"/>
              <w:rPr>
                <w:rFonts w:ascii="Garamond" w:hAnsi="Garamond" w:cstheme="minorHAnsi"/>
                <w:sz w:val="22"/>
                <w:szCs w:val="22"/>
                <w:lang w:val="en-US"/>
              </w:rPr>
            </w:pPr>
            <w:r w:rsidRPr="00A5626D">
              <w:rPr>
                <w:rFonts w:ascii="Garamond" w:hAnsi="Garamond" w:cstheme="minorHAnsi"/>
                <w:sz w:val="22"/>
                <w:szCs w:val="22"/>
              </w:rPr>
              <w:t>Элемент</w:t>
            </w:r>
            <w:r w:rsidRPr="00A5626D">
              <w:rPr>
                <w:rFonts w:ascii="Garamond" w:hAnsi="Garamond" w:cstheme="minorHAnsi"/>
                <w:sz w:val="22"/>
                <w:szCs w:val="22"/>
                <w:lang w:val="en-US"/>
              </w:rPr>
              <w:t xml:space="preserve"> &lt;group-delivery-point-composition&gt; </w:t>
            </w:r>
            <w:r w:rsidRPr="00A5626D">
              <w:rPr>
                <w:rFonts w:ascii="Garamond" w:hAnsi="Garamond" w:cstheme="minorHAnsi"/>
                <w:sz w:val="22"/>
                <w:szCs w:val="22"/>
              </w:rPr>
              <w:t>описывает</w:t>
            </w:r>
            <w:r w:rsidRPr="00A5626D">
              <w:rPr>
                <w:rFonts w:ascii="Garamond" w:hAnsi="Garamond" w:cstheme="minorHAnsi"/>
                <w:sz w:val="22"/>
                <w:szCs w:val="22"/>
                <w:lang w:val="en-US"/>
              </w:rPr>
              <w:t xml:space="preserve"> </w:t>
            </w:r>
            <w:r w:rsidRPr="00A5626D">
              <w:rPr>
                <w:rFonts w:ascii="Garamond" w:hAnsi="Garamond" w:cstheme="minorHAnsi"/>
                <w:sz w:val="22"/>
                <w:szCs w:val="22"/>
              </w:rPr>
              <w:t>связи</w:t>
            </w:r>
            <w:r w:rsidRPr="00A5626D">
              <w:rPr>
                <w:rFonts w:ascii="Garamond" w:hAnsi="Garamond" w:cstheme="minorHAnsi"/>
                <w:sz w:val="22"/>
                <w:szCs w:val="22"/>
                <w:lang w:val="en-US"/>
              </w:rPr>
              <w:t xml:space="preserve"> </w:t>
            </w:r>
            <w:r w:rsidRPr="00A5626D">
              <w:rPr>
                <w:rFonts w:ascii="Garamond" w:hAnsi="Garamond" w:cstheme="minorHAnsi"/>
                <w:sz w:val="22"/>
                <w:szCs w:val="22"/>
              </w:rPr>
              <w:t>внутри</w:t>
            </w:r>
            <w:r w:rsidRPr="00A5626D">
              <w:rPr>
                <w:rFonts w:ascii="Garamond" w:hAnsi="Garamond" w:cstheme="minorHAnsi"/>
                <w:sz w:val="22"/>
                <w:szCs w:val="22"/>
                <w:lang w:val="en-US"/>
              </w:rPr>
              <w:t xml:space="preserve"> </w:t>
            </w:r>
            <w:r w:rsidRPr="00A5626D">
              <w:rPr>
                <w:rFonts w:ascii="Garamond" w:hAnsi="Garamond" w:cstheme="minorHAnsi"/>
                <w:sz w:val="22"/>
                <w:szCs w:val="22"/>
              </w:rPr>
              <w:t>групповых</w:t>
            </w:r>
            <w:r w:rsidRPr="00A5626D">
              <w:rPr>
                <w:rFonts w:ascii="Garamond" w:hAnsi="Garamond" w:cstheme="minorHAnsi"/>
                <w:sz w:val="22"/>
                <w:szCs w:val="22"/>
                <w:lang w:val="en-US"/>
              </w:rPr>
              <w:t xml:space="preserve"> </w:t>
            </w:r>
            <w:r w:rsidRPr="00A5626D">
              <w:rPr>
                <w:rFonts w:ascii="Garamond" w:hAnsi="Garamond" w:cstheme="minorHAnsi"/>
                <w:sz w:val="22"/>
                <w:szCs w:val="22"/>
              </w:rPr>
              <w:t>точек</w:t>
            </w:r>
            <w:r w:rsidRPr="00A5626D">
              <w:rPr>
                <w:rFonts w:ascii="Garamond" w:hAnsi="Garamond" w:cstheme="minorHAnsi"/>
                <w:sz w:val="22"/>
                <w:szCs w:val="22"/>
                <w:lang w:val="en-US"/>
              </w:rPr>
              <w:t xml:space="preserve"> </w:t>
            </w:r>
            <w:r w:rsidRPr="00A5626D">
              <w:rPr>
                <w:rFonts w:ascii="Garamond" w:hAnsi="Garamond" w:cstheme="minorHAnsi"/>
                <w:sz w:val="22"/>
                <w:szCs w:val="22"/>
              </w:rPr>
              <w:t>поставки</w:t>
            </w:r>
            <w:r w:rsidRPr="00A5626D">
              <w:rPr>
                <w:rFonts w:ascii="Garamond" w:hAnsi="Garamond" w:cstheme="minorHAnsi"/>
                <w:sz w:val="22"/>
                <w:szCs w:val="22"/>
                <w:lang w:val="en-US"/>
              </w:rPr>
              <w:t xml:space="preserve"> </w:t>
            </w:r>
            <w:r w:rsidRPr="00A5626D">
              <w:rPr>
                <w:rFonts w:ascii="Garamond" w:hAnsi="Garamond" w:cstheme="minorHAnsi"/>
                <w:sz w:val="22"/>
                <w:szCs w:val="22"/>
                <w:highlight w:val="yellow"/>
                <w:lang w:val="en-US"/>
              </w:rPr>
              <w:t>(</w:t>
            </w:r>
            <w:r w:rsidRPr="00A5626D">
              <w:rPr>
                <w:rFonts w:ascii="Garamond" w:hAnsi="Garamond" w:cstheme="minorHAnsi"/>
                <w:sz w:val="22"/>
                <w:szCs w:val="22"/>
                <w:highlight w:val="yellow"/>
              </w:rPr>
              <w:t>групповых</w:t>
            </w:r>
            <w:r w:rsidRPr="00A5626D">
              <w:rPr>
                <w:rFonts w:ascii="Garamond" w:hAnsi="Garamond" w:cstheme="minorHAnsi"/>
                <w:sz w:val="22"/>
                <w:szCs w:val="22"/>
                <w:highlight w:val="yellow"/>
                <w:lang w:val="en-US"/>
              </w:rPr>
              <w:t xml:space="preserve"> </w:t>
            </w:r>
            <w:r w:rsidRPr="00A5626D">
              <w:rPr>
                <w:rFonts w:ascii="Garamond" w:hAnsi="Garamond" w:cstheme="minorHAnsi"/>
                <w:sz w:val="22"/>
                <w:szCs w:val="22"/>
                <w:highlight w:val="yellow"/>
              </w:rPr>
              <w:t>точек</w:t>
            </w:r>
            <w:r w:rsidRPr="00A5626D">
              <w:rPr>
                <w:rFonts w:ascii="Garamond" w:hAnsi="Garamond" w:cstheme="minorHAnsi"/>
                <w:sz w:val="22"/>
                <w:szCs w:val="22"/>
                <w:highlight w:val="yellow"/>
                <w:lang w:val="en-US"/>
              </w:rPr>
              <w:t xml:space="preserve"> </w:t>
            </w:r>
            <w:r w:rsidRPr="00A5626D">
              <w:rPr>
                <w:rFonts w:ascii="Garamond" w:hAnsi="Garamond" w:cstheme="minorHAnsi"/>
                <w:sz w:val="22"/>
                <w:szCs w:val="22"/>
                <w:highlight w:val="yellow"/>
              </w:rPr>
              <w:t>присоединения</w:t>
            </w:r>
            <w:r w:rsidRPr="00A5626D">
              <w:rPr>
                <w:rFonts w:ascii="Garamond" w:hAnsi="Garamond" w:cstheme="minorHAnsi"/>
                <w:sz w:val="22"/>
                <w:szCs w:val="22"/>
                <w:highlight w:val="yellow"/>
                <w:lang w:val="en-US"/>
              </w:rPr>
              <w:t>)</w:t>
            </w:r>
            <w:r w:rsidRPr="00A5626D">
              <w:rPr>
                <w:rFonts w:ascii="Garamond" w:hAnsi="Garamond" w:cstheme="minorHAnsi"/>
                <w:sz w:val="22"/>
                <w:szCs w:val="22"/>
                <w:lang w:val="en-US"/>
              </w:rPr>
              <w:t>.</w:t>
            </w:r>
          </w:p>
          <w:p w14:paraId="0B41A0A7" w14:textId="77777777" w:rsidR="00295C6D" w:rsidRPr="00A5626D" w:rsidRDefault="00295C6D" w:rsidP="00E31AE6">
            <w:pPr>
              <w:pStyle w:val="2"/>
              <w:numPr>
                <w:ilvl w:val="0"/>
                <w:numId w:val="0"/>
              </w:numPr>
              <w:tabs>
                <w:tab w:val="left" w:pos="1134"/>
                <w:tab w:val="left" w:pos="7938"/>
              </w:tabs>
              <w:suppressAutoHyphens w:val="0"/>
              <w:spacing w:line="22" w:lineRule="atLeast"/>
              <w:ind w:firstLine="629"/>
              <w:jc w:val="both"/>
              <w:rPr>
                <w:rFonts w:ascii="Garamond" w:hAnsi="Garamond" w:cstheme="minorHAnsi"/>
                <w:b w:val="0"/>
                <w:lang w:val="en-US"/>
              </w:rPr>
            </w:pPr>
            <w:r w:rsidRPr="00A5626D">
              <w:rPr>
                <w:rFonts w:ascii="Garamond" w:hAnsi="Garamond" w:cstheme="minorHAnsi"/>
                <w:b w:val="0"/>
              </w:rPr>
              <w:t>Потомком</w:t>
            </w:r>
            <w:r w:rsidRPr="00A5626D">
              <w:rPr>
                <w:rFonts w:ascii="Garamond" w:hAnsi="Garamond" w:cstheme="minorHAnsi"/>
                <w:b w:val="0"/>
                <w:lang w:val="en-US"/>
              </w:rPr>
              <w:t xml:space="preserve"> </w:t>
            </w:r>
            <w:r w:rsidRPr="00A5626D">
              <w:rPr>
                <w:rFonts w:ascii="Garamond" w:hAnsi="Garamond" w:cstheme="minorHAnsi"/>
                <w:b w:val="0"/>
              </w:rPr>
              <w:t>элемента</w:t>
            </w:r>
            <w:r w:rsidRPr="00A5626D">
              <w:rPr>
                <w:rFonts w:ascii="Garamond" w:hAnsi="Garamond" w:cstheme="minorHAnsi"/>
                <w:b w:val="0"/>
                <w:lang w:val="en-US"/>
              </w:rPr>
              <w:t xml:space="preserve"> &lt;group-delivery-point-composition&gt; </w:t>
            </w:r>
            <w:r w:rsidRPr="00A5626D">
              <w:rPr>
                <w:rFonts w:ascii="Garamond" w:hAnsi="Garamond" w:cstheme="minorHAnsi"/>
                <w:b w:val="0"/>
              </w:rPr>
              <w:t>является</w:t>
            </w:r>
            <w:r w:rsidRPr="00A5626D">
              <w:rPr>
                <w:rFonts w:ascii="Garamond" w:hAnsi="Garamond" w:cstheme="minorHAnsi"/>
                <w:b w:val="0"/>
                <w:lang w:val="en-US"/>
              </w:rPr>
              <w:t xml:space="preserve"> </w:t>
            </w:r>
            <w:r w:rsidRPr="00A5626D">
              <w:rPr>
                <w:rFonts w:ascii="Garamond" w:hAnsi="Garamond" w:cstheme="minorHAnsi"/>
                <w:b w:val="0"/>
              </w:rPr>
              <w:t>элемент</w:t>
            </w:r>
            <w:r w:rsidRPr="00A5626D">
              <w:rPr>
                <w:rFonts w:ascii="Garamond" w:hAnsi="Garamond" w:cstheme="minorHAnsi"/>
                <w:b w:val="0"/>
                <w:lang w:val="en-US"/>
              </w:rPr>
              <w:t xml:space="preserve"> &lt;group-delivery-point&gt;.</w:t>
            </w:r>
          </w:p>
        </w:tc>
      </w:tr>
      <w:tr w:rsidR="00295C6D" w:rsidRPr="00A5626D" w14:paraId="6D2ADF72" w14:textId="77777777" w:rsidTr="00647FA0">
        <w:tc>
          <w:tcPr>
            <w:tcW w:w="1060" w:type="dxa"/>
            <w:vAlign w:val="center"/>
          </w:tcPr>
          <w:p w14:paraId="38BF297F" w14:textId="1564CEA2" w:rsidR="00295C6D" w:rsidRPr="00A5626D" w:rsidRDefault="00295C6D" w:rsidP="00E31AE6">
            <w:pPr>
              <w:widowControl w:val="0"/>
              <w:tabs>
                <w:tab w:val="left" w:pos="1134"/>
                <w:tab w:val="left" w:pos="7938"/>
              </w:tabs>
              <w:spacing w:line="22" w:lineRule="atLeast"/>
              <w:jc w:val="both"/>
              <w:rPr>
                <w:rFonts w:ascii="Garamond" w:hAnsi="Garamond"/>
                <w:b/>
                <w:sz w:val="22"/>
                <w:szCs w:val="22"/>
                <w:lang w:val="en-US" w:eastAsia="en-US"/>
              </w:rPr>
            </w:pPr>
            <w:r w:rsidRPr="00A5626D">
              <w:rPr>
                <w:rFonts w:ascii="Garamond" w:hAnsi="Garamond"/>
                <w:b/>
                <w:sz w:val="22"/>
                <w:szCs w:val="22"/>
                <w:lang w:eastAsia="en-US"/>
              </w:rPr>
              <w:t>Приложение 5, п.</w:t>
            </w:r>
            <w:r w:rsidR="00647FA0" w:rsidRPr="00A5626D">
              <w:rPr>
                <w:rFonts w:ascii="Garamond" w:hAnsi="Garamond"/>
                <w:b/>
                <w:sz w:val="22"/>
                <w:szCs w:val="22"/>
                <w:lang w:eastAsia="en-US"/>
              </w:rPr>
              <w:t> </w:t>
            </w:r>
            <w:r w:rsidRPr="00A5626D">
              <w:rPr>
                <w:rFonts w:ascii="Garamond" w:hAnsi="Garamond"/>
                <w:b/>
                <w:sz w:val="22"/>
                <w:szCs w:val="22"/>
                <w:lang w:eastAsia="en-US"/>
              </w:rPr>
              <w:t>4.2.1.1.2.2.1</w:t>
            </w:r>
            <w:r w:rsidR="009B5F03" w:rsidRPr="00A5626D">
              <w:rPr>
                <w:rFonts w:ascii="Garamond" w:hAnsi="Garamond" w:cstheme="minorHAnsi"/>
                <w:b/>
                <w:sz w:val="22"/>
                <w:szCs w:val="22"/>
                <w:lang w:val="en-US"/>
              </w:rPr>
              <w:t xml:space="preserve"> </w:t>
            </w:r>
            <w:r w:rsidRPr="00A5626D">
              <w:rPr>
                <w:rFonts w:ascii="Garamond" w:hAnsi="Garamond" w:cstheme="minorHAnsi"/>
                <w:b/>
                <w:sz w:val="22"/>
                <w:szCs w:val="22"/>
                <w:lang w:val="en-US"/>
              </w:rPr>
              <w:t xml:space="preserve"> </w:t>
            </w:r>
          </w:p>
        </w:tc>
        <w:tc>
          <w:tcPr>
            <w:tcW w:w="6662" w:type="dxa"/>
          </w:tcPr>
          <w:p w14:paraId="18A7C362" w14:textId="77777777" w:rsidR="00295C6D" w:rsidRPr="00A5626D" w:rsidRDefault="00295C6D" w:rsidP="00E31AE6">
            <w:pPr>
              <w:tabs>
                <w:tab w:val="left" w:pos="1134"/>
                <w:tab w:val="left" w:pos="7938"/>
              </w:tabs>
              <w:spacing w:before="120" w:after="120"/>
              <w:ind w:firstLine="567"/>
              <w:jc w:val="both"/>
              <w:rPr>
                <w:rFonts w:ascii="Garamond" w:hAnsi="Garamond" w:cstheme="minorHAnsi"/>
                <w:sz w:val="22"/>
                <w:szCs w:val="22"/>
                <w:lang w:val="en-US"/>
              </w:rPr>
            </w:pPr>
            <w:r w:rsidRPr="00A5626D">
              <w:rPr>
                <w:rFonts w:ascii="Garamond" w:hAnsi="Garamond" w:cstheme="minorHAnsi"/>
                <w:sz w:val="22"/>
                <w:szCs w:val="22"/>
              </w:rPr>
              <w:t>Элемент</w:t>
            </w:r>
            <w:r w:rsidRPr="00A5626D">
              <w:rPr>
                <w:rFonts w:ascii="Garamond" w:hAnsi="Garamond" w:cstheme="minorHAnsi"/>
                <w:sz w:val="22"/>
                <w:szCs w:val="22"/>
                <w:lang w:val="en-US"/>
              </w:rPr>
              <w:t xml:space="preserve"> &lt;group-delivery-point&gt; </w:t>
            </w:r>
            <w:r w:rsidRPr="00A5626D">
              <w:rPr>
                <w:rFonts w:ascii="Garamond" w:hAnsi="Garamond" w:cstheme="minorHAnsi"/>
                <w:sz w:val="22"/>
                <w:szCs w:val="22"/>
              </w:rPr>
              <w:t>содержит</w:t>
            </w:r>
            <w:r w:rsidRPr="00A5626D">
              <w:rPr>
                <w:rFonts w:ascii="Garamond" w:hAnsi="Garamond" w:cstheme="minorHAnsi"/>
                <w:sz w:val="22"/>
                <w:szCs w:val="22"/>
                <w:lang w:val="en-US"/>
              </w:rPr>
              <w:t xml:space="preserve"> </w:t>
            </w:r>
            <w:r w:rsidRPr="00A5626D">
              <w:rPr>
                <w:rFonts w:ascii="Garamond" w:hAnsi="Garamond" w:cstheme="minorHAnsi"/>
                <w:sz w:val="22"/>
                <w:szCs w:val="22"/>
              </w:rPr>
              <w:t>атрибут</w:t>
            </w:r>
            <w:r w:rsidRPr="00A5626D">
              <w:rPr>
                <w:rFonts w:ascii="Garamond" w:hAnsi="Garamond" w:cstheme="minorHAnsi"/>
                <w:sz w:val="22"/>
                <w:szCs w:val="22"/>
                <w:lang w:val="en-US"/>
              </w:rPr>
              <w:t>:</w:t>
            </w:r>
          </w:p>
          <w:p w14:paraId="76FF3CB2" w14:textId="77777777" w:rsidR="00295C6D" w:rsidRPr="00A5626D" w:rsidRDefault="00295C6D" w:rsidP="00295C6D">
            <w:pPr>
              <w:pStyle w:val="ac"/>
              <w:numPr>
                <w:ilvl w:val="0"/>
                <w:numId w:val="242"/>
              </w:numPr>
              <w:tabs>
                <w:tab w:val="left" w:pos="1134"/>
                <w:tab w:val="left" w:pos="7938"/>
              </w:tabs>
              <w:spacing w:before="120" w:after="120" w:line="259" w:lineRule="auto"/>
              <w:ind w:left="0" w:firstLine="567"/>
              <w:contextualSpacing/>
              <w:jc w:val="both"/>
              <w:rPr>
                <w:rFonts w:ascii="Garamond" w:hAnsi="Garamond" w:cstheme="minorHAnsi"/>
                <w:sz w:val="22"/>
                <w:szCs w:val="22"/>
              </w:rPr>
            </w:pPr>
            <w:r w:rsidRPr="00A5626D">
              <w:rPr>
                <w:rFonts w:ascii="Garamond" w:hAnsi="Garamond" w:cstheme="minorHAnsi"/>
                <w:sz w:val="22"/>
                <w:szCs w:val="22"/>
                <w:lang w:val="en-US"/>
              </w:rPr>
              <w:t>id</w:t>
            </w:r>
            <w:r w:rsidRPr="00A5626D">
              <w:rPr>
                <w:rFonts w:ascii="Garamond" w:hAnsi="Garamond" w:cstheme="minorHAnsi"/>
                <w:sz w:val="22"/>
                <w:szCs w:val="22"/>
              </w:rPr>
              <w:t>-</w:t>
            </w:r>
            <w:r w:rsidRPr="00A5626D">
              <w:rPr>
                <w:rFonts w:ascii="Garamond" w:hAnsi="Garamond" w:cstheme="minorHAnsi"/>
                <w:sz w:val="22"/>
                <w:szCs w:val="22"/>
                <w:lang w:val="en-US"/>
              </w:rPr>
              <w:t>group</w:t>
            </w:r>
            <w:r w:rsidRPr="00A5626D">
              <w:rPr>
                <w:rFonts w:ascii="Garamond" w:hAnsi="Garamond" w:cstheme="minorHAnsi"/>
                <w:sz w:val="22"/>
                <w:szCs w:val="22"/>
              </w:rPr>
              <w:t>-</w:t>
            </w:r>
            <w:r w:rsidRPr="00A5626D">
              <w:rPr>
                <w:rFonts w:ascii="Garamond" w:hAnsi="Garamond" w:cstheme="minorHAnsi"/>
                <w:sz w:val="22"/>
                <w:szCs w:val="22"/>
                <w:lang w:val="en-US"/>
              </w:rPr>
              <w:t>delivery</w:t>
            </w:r>
            <w:r w:rsidRPr="00A5626D">
              <w:rPr>
                <w:rFonts w:ascii="Garamond" w:hAnsi="Garamond" w:cstheme="minorHAnsi"/>
                <w:sz w:val="22"/>
                <w:szCs w:val="22"/>
              </w:rPr>
              <w:t>-</w:t>
            </w:r>
            <w:r w:rsidRPr="00A5626D">
              <w:rPr>
                <w:rFonts w:ascii="Garamond" w:hAnsi="Garamond" w:cstheme="minorHAnsi"/>
                <w:sz w:val="22"/>
                <w:szCs w:val="22"/>
                <w:lang w:val="en-US"/>
              </w:rPr>
              <w:t>point</w:t>
            </w:r>
            <w:r w:rsidRPr="00A5626D">
              <w:rPr>
                <w:rFonts w:ascii="Garamond" w:hAnsi="Garamond" w:cstheme="minorHAnsi"/>
                <w:sz w:val="22"/>
                <w:szCs w:val="22"/>
              </w:rPr>
              <w:t xml:space="preserve"> – ссылка на групповую точку поставки;</w:t>
            </w:r>
          </w:p>
          <w:p w14:paraId="38C87E69" w14:textId="77777777" w:rsidR="00295C6D" w:rsidRPr="00A5626D" w:rsidRDefault="00295C6D" w:rsidP="00295C6D">
            <w:pPr>
              <w:pStyle w:val="ac"/>
              <w:numPr>
                <w:ilvl w:val="0"/>
                <w:numId w:val="242"/>
              </w:numPr>
              <w:tabs>
                <w:tab w:val="left" w:pos="1134"/>
                <w:tab w:val="left" w:pos="7938"/>
              </w:tabs>
              <w:spacing w:before="120" w:after="120" w:line="259" w:lineRule="auto"/>
              <w:ind w:left="0" w:firstLine="567"/>
              <w:contextualSpacing/>
              <w:jc w:val="both"/>
              <w:rPr>
                <w:rFonts w:ascii="Garamond" w:hAnsi="Garamond" w:cstheme="minorHAnsi"/>
                <w:sz w:val="22"/>
                <w:szCs w:val="22"/>
              </w:rPr>
            </w:pPr>
            <w:r w:rsidRPr="00A5626D">
              <w:rPr>
                <w:rFonts w:ascii="Garamond" w:hAnsi="Garamond" w:cstheme="minorHAnsi"/>
                <w:sz w:val="22"/>
                <w:szCs w:val="22"/>
                <w:lang w:val="en-US"/>
              </w:rPr>
              <w:lastRenderedPageBreak/>
              <w:t>id</w:t>
            </w:r>
            <w:r w:rsidRPr="00A5626D">
              <w:rPr>
                <w:rFonts w:ascii="Garamond" w:hAnsi="Garamond" w:cstheme="minorHAnsi"/>
                <w:sz w:val="22"/>
                <w:szCs w:val="22"/>
              </w:rPr>
              <w:t>-</w:t>
            </w:r>
            <w:r w:rsidRPr="00A5626D">
              <w:rPr>
                <w:rFonts w:ascii="Garamond" w:hAnsi="Garamond" w:cstheme="minorHAnsi"/>
                <w:sz w:val="22"/>
                <w:szCs w:val="22"/>
                <w:lang w:val="en-US"/>
              </w:rPr>
              <w:t>simple</w:t>
            </w:r>
            <w:r w:rsidRPr="00A5626D">
              <w:rPr>
                <w:rFonts w:ascii="Garamond" w:hAnsi="Garamond" w:cstheme="minorHAnsi"/>
                <w:sz w:val="22"/>
                <w:szCs w:val="22"/>
              </w:rPr>
              <w:t>-</w:t>
            </w:r>
            <w:r w:rsidRPr="00A5626D">
              <w:rPr>
                <w:rFonts w:ascii="Garamond" w:hAnsi="Garamond" w:cstheme="minorHAnsi"/>
                <w:sz w:val="22"/>
                <w:szCs w:val="22"/>
                <w:lang w:val="en-US"/>
              </w:rPr>
              <w:t>delivery</w:t>
            </w:r>
            <w:r w:rsidRPr="00A5626D">
              <w:rPr>
                <w:rFonts w:ascii="Garamond" w:hAnsi="Garamond" w:cstheme="minorHAnsi"/>
                <w:sz w:val="22"/>
                <w:szCs w:val="22"/>
              </w:rPr>
              <w:t>-</w:t>
            </w:r>
            <w:r w:rsidRPr="00A5626D">
              <w:rPr>
                <w:rFonts w:ascii="Garamond" w:hAnsi="Garamond" w:cstheme="minorHAnsi"/>
                <w:sz w:val="22"/>
                <w:szCs w:val="22"/>
                <w:lang w:val="en-US"/>
              </w:rPr>
              <w:t>point</w:t>
            </w:r>
            <w:r w:rsidRPr="00A5626D">
              <w:rPr>
                <w:rFonts w:ascii="Garamond" w:hAnsi="Garamond" w:cstheme="minorHAnsi"/>
                <w:sz w:val="22"/>
                <w:szCs w:val="22"/>
              </w:rPr>
              <w:t xml:space="preserve"> – ссылка на связанную точку поставки.</w:t>
            </w:r>
          </w:p>
        </w:tc>
        <w:tc>
          <w:tcPr>
            <w:tcW w:w="7088" w:type="dxa"/>
          </w:tcPr>
          <w:p w14:paraId="7EA664D2" w14:textId="77777777" w:rsidR="00295C6D" w:rsidRPr="00A5626D" w:rsidRDefault="00295C6D" w:rsidP="00E31AE6">
            <w:pPr>
              <w:tabs>
                <w:tab w:val="left" w:pos="1134"/>
                <w:tab w:val="left" w:pos="7938"/>
              </w:tabs>
              <w:spacing w:before="120" w:after="120"/>
              <w:ind w:firstLine="567"/>
              <w:jc w:val="both"/>
              <w:rPr>
                <w:rFonts w:ascii="Garamond" w:hAnsi="Garamond" w:cstheme="minorHAnsi"/>
                <w:sz w:val="22"/>
                <w:szCs w:val="22"/>
                <w:lang w:val="en-US"/>
              </w:rPr>
            </w:pPr>
            <w:r w:rsidRPr="00A5626D">
              <w:rPr>
                <w:rFonts w:ascii="Garamond" w:hAnsi="Garamond" w:cstheme="minorHAnsi"/>
                <w:sz w:val="22"/>
                <w:szCs w:val="22"/>
              </w:rPr>
              <w:lastRenderedPageBreak/>
              <w:t>Элемент</w:t>
            </w:r>
            <w:r w:rsidRPr="00A5626D">
              <w:rPr>
                <w:rFonts w:ascii="Garamond" w:hAnsi="Garamond" w:cstheme="minorHAnsi"/>
                <w:sz w:val="22"/>
                <w:szCs w:val="22"/>
                <w:lang w:val="en-US"/>
              </w:rPr>
              <w:t xml:space="preserve"> &lt;group-delivery-point&gt; </w:t>
            </w:r>
            <w:r w:rsidRPr="00A5626D">
              <w:rPr>
                <w:rFonts w:ascii="Garamond" w:hAnsi="Garamond" w:cstheme="minorHAnsi"/>
                <w:sz w:val="22"/>
                <w:szCs w:val="22"/>
              </w:rPr>
              <w:t>содержит</w:t>
            </w:r>
            <w:r w:rsidRPr="00A5626D">
              <w:rPr>
                <w:rFonts w:ascii="Garamond" w:hAnsi="Garamond" w:cstheme="minorHAnsi"/>
                <w:sz w:val="22"/>
                <w:szCs w:val="22"/>
                <w:lang w:val="en-US"/>
              </w:rPr>
              <w:t xml:space="preserve"> </w:t>
            </w:r>
            <w:r w:rsidRPr="00A5626D">
              <w:rPr>
                <w:rFonts w:ascii="Garamond" w:hAnsi="Garamond" w:cstheme="minorHAnsi"/>
                <w:sz w:val="22"/>
                <w:szCs w:val="22"/>
              </w:rPr>
              <w:t>атрибут</w:t>
            </w:r>
            <w:r w:rsidRPr="00A5626D">
              <w:rPr>
                <w:rFonts w:ascii="Garamond" w:hAnsi="Garamond" w:cstheme="minorHAnsi"/>
                <w:sz w:val="22"/>
                <w:szCs w:val="22"/>
                <w:lang w:val="en-US"/>
              </w:rPr>
              <w:t>:</w:t>
            </w:r>
          </w:p>
          <w:p w14:paraId="5076D4F5" w14:textId="77777777" w:rsidR="00295C6D" w:rsidRPr="00A5626D" w:rsidRDefault="00295C6D" w:rsidP="00295C6D">
            <w:pPr>
              <w:pStyle w:val="ac"/>
              <w:numPr>
                <w:ilvl w:val="0"/>
                <w:numId w:val="242"/>
              </w:numPr>
              <w:tabs>
                <w:tab w:val="left" w:pos="1134"/>
                <w:tab w:val="left" w:pos="7938"/>
              </w:tabs>
              <w:spacing w:before="120" w:after="120" w:line="259" w:lineRule="auto"/>
              <w:ind w:left="0" w:firstLine="567"/>
              <w:contextualSpacing/>
              <w:jc w:val="both"/>
              <w:rPr>
                <w:rFonts w:ascii="Garamond" w:hAnsi="Garamond" w:cstheme="minorHAnsi"/>
                <w:sz w:val="22"/>
                <w:szCs w:val="22"/>
              </w:rPr>
            </w:pPr>
            <w:r w:rsidRPr="00A5626D">
              <w:rPr>
                <w:rFonts w:ascii="Garamond" w:hAnsi="Garamond" w:cstheme="minorHAnsi"/>
                <w:sz w:val="22"/>
                <w:szCs w:val="22"/>
                <w:lang w:val="en-US"/>
              </w:rPr>
              <w:t>id</w:t>
            </w:r>
            <w:r w:rsidRPr="00A5626D">
              <w:rPr>
                <w:rFonts w:ascii="Garamond" w:hAnsi="Garamond" w:cstheme="minorHAnsi"/>
                <w:sz w:val="22"/>
                <w:szCs w:val="22"/>
              </w:rPr>
              <w:t>-</w:t>
            </w:r>
            <w:r w:rsidRPr="00A5626D">
              <w:rPr>
                <w:rFonts w:ascii="Garamond" w:hAnsi="Garamond" w:cstheme="minorHAnsi"/>
                <w:sz w:val="22"/>
                <w:szCs w:val="22"/>
                <w:lang w:val="en-US"/>
              </w:rPr>
              <w:t>group</w:t>
            </w:r>
            <w:r w:rsidRPr="00A5626D">
              <w:rPr>
                <w:rFonts w:ascii="Garamond" w:hAnsi="Garamond" w:cstheme="minorHAnsi"/>
                <w:sz w:val="22"/>
                <w:szCs w:val="22"/>
              </w:rPr>
              <w:t>-</w:t>
            </w:r>
            <w:r w:rsidRPr="00A5626D">
              <w:rPr>
                <w:rFonts w:ascii="Garamond" w:hAnsi="Garamond" w:cstheme="minorHAnsi"/>
                <w:sz w:val="22"/>
                <w:szCs w:val="22"/>
                <w:lang w:val="en-US"/>
              </w:rPr>
              <w:t>delivery</w:t>
            </w:r>
            <w:r w:rsidRPr="00A5626D">
              <w:rPr>
                <w:rFonts w:ascii="Garamond" w:hAnsi="Garamond" w:cstheme="minorHAnsi"/>
                <w:sz w:val="22"/>
                <w:szCs w:val="22"/>
              </w:rPr>
              <w:t>-</w:t>
            </w:r>
            <w:r w:rsidRPr="00A5626D">
              <w:rPr>
                <w:rFonts w:ascii="Garamond" w:hAnsi="Garamond" w:cstheme="minorHAnsi"/>
                <w:sz w:val="22"/>
                <w:szCs w:val="22"/>
                <w:lang w:val="en-US"/>
              </w:rPr>
              <w:t>point</w:t>
            </w:r>
            <w:r w:rsidRPr="00A5626D">
              <w:rPr>
                <w:rFonts w:ascii="Garamond" w:hAnsi="Garamond" w:cstheme="minorHAnsi"/>
                <w:sz w:val="22"/>
                <w:szCs w:val="22"/>
              </w:rPr>
              <w:t xml:space="preserve"> – ссылка на групповую точку поставки </w:t>
            </w:r>
            <w:r w:rsidRPr="00A5626D">
              <w:rPr>
                <w:rFonts w:ascii="Garamond" w:hAnsi="Garamond" w:cstheme="minorHAnsi"/>
                <w:sz w:val="22"/>
                <w:szCs w:val="22"/>
                <w:highlight w:val="yellow"/>
              </w:rPr>
              <w:t>(точку присоединения)</w:t>
            </w:r>
            <w:r w:rsidRPr="00A5626D">
              <w:rPr>
                <w:rFonts w:ascii="Garamond" w:hAnsi="Garamond" w:cstheme="minorHAnsi"/>
                <w:sz w:val="22"/>
                <w:szCs w:val="22"/>
              </w:rPr>
              <w:t>;</w:t>
            </w:r>
          </w:p>
          <w:p w14:paraId="79D4A0D4" w14:textId="77777777" w:rsidR="00295C6D" w:rsidRPr="00A5626D" w:rsidRDefault="00295C6D" w:rsidP="00295C6D">
            <w:pPr>
              <w:pStyle w:val="ac"/>
              <w:numPr>
                <w:ilvl w:val="0"/>
                <w:numId w:val="242"/>
              </w:numPr>
              <w:tabs>
                <w:tab w:val="left" w:pos="1134"/>
                <w:tab w:val="left" w:pos="7938"/>
              </w:tabs>
              <w:spacing w:before="120" w:after="120" w:line="259" w:lineRule="auto"/>
              <w:ind w:left="0" w:firstLine="567"/>
              <w:contextualSpacing/>
              <w:jc w:val="both"/>
              <w:rPr>
                <w:rFonts w:ascii="Garamond" w:hAnsi="Garamond" w:cstheme="minorHAnsi"/>
                <w:sz w:val="22"/>
                <w:szCs w:val="22"/>
              </w:rPr>
            </w:pPr>
            <w:r w:rsidRPr="00A5626D">
              <w:rPr>
                <w:rFonts w:ascii="Garamond" w:hAnsi="Garamond" w:cstheme="minorHAnsi"/>
                <w:sz w:val="22"/>
                <w:szCs w:val="22"/>
                <w:lang w:val="en-US"/>
              </w:rPr>
              <w:lastRenderedPageBreak/>
              <w:t>id</w:t>
            </w:r>
            <w:r w:rsidRPr="00A5626D">
              <w:rPr>
                <w:rFonts w:ascii="Garamond" w:hAnsi="Garamond" w:cstheme="minorHAnsi"/>
                <w:sz w:val="22"/>
                <w:szCs w:val="22"/>
              </w:rPr>
              <w:t>-</w:t>
            </w:r>
            <w:r w:rsidRPr="00A5626D">
              <w:rPr>
                <w:rFonts w:ascii="Garamond" w:hAnsi="Garamond" w:cstheme="minorHAnsi"/>
                <w:sz w:val="22"/>
                <w:szCs w:val="22"/>
                <w:lang w:val="en-US"/>
              </w:rPr>
              <w:t>simple</w:t>
            </w:r>
            <w:r w:rsidRPr="00A5626D">
              <w:rPr>
                <w:rFonts w:ascii="Garamond" w:hAnsi="Garamond" w:cstheme="minorHAnsi"/>
                <w:sz w:val="22"/>
                <w:szCs w:val="22"/>
              </w:rPr>
              <w:t>-</w:t>
            </w:r>
            <w:r w:rsidRPr="00A5626D">
              <w:rPr>
                <w:rFonts w:ascii="Garamond" w:hAnsi="Garamond" w:cstheme="minorHAnsi"/>
                <w:sz w:val="22"/>
                <w:szCs w:val="22"/>
                <w:lang w:val="en-US"/>
              </w:rPr>
              <w:t>delivery</w:t>
            </w:r>
            <w:r w:rsidRPr="00A5626D">
              <w:rPr>
                <w:rFonts w:ascii="Garamond" w:hAnsi="Garamond" w:cstheme="minorHAnsi"/>
                <w:sz w:val="22"/>
                <w:szCs w:val="22"/>
              </w:rPr>
              <w:t>-</w:t>
            </w:r>
            <w:r w:rsidRPr="00A5626D">
              <w:rPr>
                <w:rFonts w:ascii="Garamond" w:hAnsi="Garamond" w:cstheme="minorHAnsi"/>
                <w:sz w:val="22"/>
                <w:szCs w:val="22"/>
                <w:lang w:val="en-US"/>
              </w:rPr>
              <w:t>point</w:t>
            </w:r>
            <w:r w:rsidRPr="00A5626D">
              <w:rPr>
                <w:rFonts w:ascii="Garamond" w:hAnsi="Garamond" w:cstheme="minorHAnsi"/>
                <w:sz w:val="22"/>
                <w:szCs w:val="22"/>
              </w:rPr>
              <w:t xml:space="preserve"> – ссылка на связанную точку поставки </w:t>
            </w:r>
            <w:r w:rsidRPr="00A5626D">
              <w:rPr>
                <w:rFonts w:ascii="Garamond" w:hAnsi="Garamond" w:cstheme="minorHAnsi"/>
                <w:sz w:val="22"/>
                <w:szCs w:val="22"/>
                <w:highlight w:val="yellow"/>
              </w:rPr>
              <w:t>(точку присоединения)</w:t>
            </w:r>
            <w:r w:rsidRPr="00A5626D">
              <w:rPr>
                <w:rFonts w:ascii="Garamond" w:hAnsi="Garamond" w:cstheme="minorHAnsi"/>
                <w:sz w:val="22"/>
                <w:szCs w:val="22"/>
              </w:rPr>
              <w:t>.</w:t>
            </w:r>
          </w:p>
        </w:tc>
      </w:tr>
      <w:tr w:rsidR="00295C6D" w:rsidRPr="00A5626D" w14:paraId="7D27285B" w14:textId="77777777" w:rsidTr="00647FA0">
        <w:tc>
          <w:tcPr>
            <w:tcW w:w="1060" w:type="dxa"/>
            <w:vAlign w:val="center"/>
          </w:tcPr>
          <w:p w14:paraId="20CB1120" w14:textId="6F32CBD7" w:rsidR="00295C6D" w:rsidRPr="00A5626D" w:rsidRDefault="00295C6D" w:rsidP="00E31AE6">
            <w:pPr>
              <w:widowControl w:val="0"/>
              <w:tabs>
                <w:tab w:val="left" w:pos="1134"/>
                <w:tab w:val="left" w:pos="7938"/>
              </w:tabs>
              <w:spacing w:line="22" w:lineRule="atLeast"/>
              <w:jc w:val="both"/>
              <w:rPr>
                <w:rFonts w:ascii="Garamond" w:hAnsi="Garamond"/>
                <w:b/>
                <w:sz w:val="22"/>
                <w:szCs w:val="22"/>
                <w:lang w:eastAsia="en-US"/>
              </w:rPr>
            </w:pPr>
            <w:r w:rsidRPr="00A5626D">
              <w:rPr>
                <w:rFonts w:ascii="Garamond" w:hAnsi="Garamond"/>
                <w:b/>
                <w:sz w:val="22"/>
                <w:szCs w:val="22"/>
                <w:lang w:eastAsia="en-US"/>
              </w:rPr>
              <w:lastRenderedPageBreak/>
              <w:t>Приложение 5, п.</w:t>
            </w:r>
            <w:r w:rsidR="00647FA0" w:rsidRPr="00A5626D">
              <w:rPr>
                <w:rFonts w:ascii="Garamond" w:hAnsi="Garamond"/>
                <w:b/>
                <w:sz w:val="22"/>
                <w:szCs w:val="22"/>
                <w:lang w:eastAsia="en-US"/>
              </w:rPr>
              <w:t> </w:t>
            </w:r>
            <w:r w:rsidRPr="00A5626D">
              <w:rPr>
                <w:rFonts w:ascii="Garamond" w:hAnsi="Garamond"/>
                <w:b/>
                <w:sz w:val="22"/>
                <w:szCs w:val="22"/>
                <w:lang w:eastAsia="en-US"/>
              </w:rPr>
              <w:t>4.2.1.1.2.3</w:t>
            </w:r>
            <w:r w:rsidR="009B5F03" w:rsidRPr="00A5626D">
              <w:rPr>
                <w:rFonts w:ascii="Garamond" w:hAnsi="Garamond" w:cstheme="minorHAnsi"/>
                <w:b/>
                <w:sz w:val="22"/>
                <w:szCs w:val="22"/>
              </w:rPr>
              <w:t xml:space="preserve">  </w:t>
            </w:r>
            <w:r w:rsidR="009B5F03" w:rsidRPr="00A5626D">
              <w:rPr>
                <w:rFonts w:ascii="Garamond" w:hAnsi="Garamond" w:cstheme="minorHAnsi"/>
                <w:b/>
                <w:sz w:val="22"/>
                <w:szCs w:val="22"/>
                <w:lang w:val="en-US"/>
              </w:rPr>
              <w:t xml:space="preserve"> </w:t>
            </w:r>
            <w:r w:rsidRPr="00A5626D">
              <w:rPr>
                <w:rFonts w:ascii="Garamond" w:hAnsi="Garamond" w:cstheme="minorHAnsi"/>
                <w:b/>
                <w:sz w:val="22"/>
                <w:szCs w:val="22"/>
                <w:lang w:val="en-US"/>
              </w:rPr>
              <w:t xml:space="preserve"> </w:t>
            </w:r>
          </w:p>
        </w:tc>
        <w:tc>
          <w:tcPr>
            <w:tcW w:w="6662" w:type="dxa"/>
          </w:tcPr>
          <w:p w14:paraId="295CC414" w14:textId="77777777" w:rsidR="00295C6D" w:rsidRPr="00A5626D" w:rsidRDefault="00295C6D" w:rsidP="00E31AE6">
            <w:pPr>
              <w:tabs>
                <w:tab w:val="left" w:pos="1134"/>
                <w:tab w:val="left" w:pos="7938"/>
              </w:tabs>
              <w:spacing w:before="120" w:after="120"/>
              <w:ind w:firstLine="567"/>
              <w:jc w:val="both"/>
              <w:rPr>
                <w:rFonts w:ascii="Garamond" w:hAnsi="Garamond" w:cstheme="minorHAnsi"/>
                <w:sz w:val="22"/>
                <w:szCs w:val="22"/>
              </w:rPr>
            </w:pPr>
            <w:r w:rsidRPr="00A5626D">
              <w:rPr>
                <w:rFonts w:ascii="Garamond" w:hAnsi="Garamond" w:cstheme="minorHAnsi"/>
                <w:sz w:val="22"/>
                <w:szCs w:val="22"/>
              </w:rPr>
              <w:t>&lt;</w:t>
            </w:r>
            <w:r w:rsidRPr="00A5626D">
              <w:rPr>
                <w:rFonts w:ascii="Garamond" w:hAnsi="Garamond" w:cstheme="minorHAnsi"/>
                <w:sz w:val="22"/>
                <w:szCs w:val="22"/>
                <w:lang w:val="en-US"/>
              </w:rPr>
              <w:t>aiis</w:t>
            </w:r>
            <w:r w:rsidRPr="00A5626D">
              <w:rPr>
                <w:rFonts w:ascii="Garamond" w:hAnsi="Garamond" w:cstheme="minorHAnsi"/>
                <w:sz w:val="22"/>
                <w:szCs w:val="22"/>
              </w:rPr>
              <w:t>-</w:t>
            </w:r>
            <w:r w:rsidRPr="00A5626D">
              <w:rPr>
                <w:rFonts w:ascii="Garamond" w:hAnsi="Garamond" w:cstheme="minorHAnsi"/>
                <w:sz w:val="22"/>
                <w:szCs w:val="22"/>
                <w:lang w:val="en-US"/>
              </w:rPr>
              <w:t>small</w:t>
            </w:r>
            <w:r w:rsidRPr="00A5626D">
              <w:rPr>
                <w:rFonts w:ascii="Garamond" w:hAnsi="Garamond" w:cstheme="minorHAnsi"/>
                <w:sz w:val="22"/>
                <w:szCs w:val="22"/>
              </w:rPr>
              <w:t>-</w:t>
            </w:r>
            <w:r w:rsidRPr="00A5626D">
              <w:rPr>
                <w:rFonts w:ascii="Garamond" w:hAnsi="Garamond" w:cstheme="minorHAnsi"/>
                <w:sz w:val="22"/>
                <w:szCs w:val="22"/>
                <w:lang w:val="en-US"/>
              </w:rPr>
              <w:t>measuring</w:t>
            </w:r>
            <w:r w:rsidRPr="00A5626D">
              <w:rPr>
                <w:rFonts w:ascii="Garamond" w:hAnsi="Garamond" w:cstheme="minorHAnsi"/>
                <w:sz w:val="22"/>
                <w:szCs w:val="22"/>
              </w:rPr>
              <w:t>-</w:t>
            </w:r>
            <w:r w:rsidRPr="00A5626D">
              <w:rPr>
                <w:rFonts w:ascii="Garamond" w:hAnsi="Garamond" w:cstheme="minorHAnsi"/>
                <w:sz w:val="22"/>
                <w:szCs w:val="22"/>
                <w:lang w:val="en-US"/>
              </w:rPr>
              <w:t>devices</w:t>
            </w:r>
            <w:r w:rsidRPr="00A5626D">
              <w:rPr>
                <w:rFonts w:ascii="Garamond" w:hAnsi="Garamond" w:cstheme="minorHAnsi"/>
                <w:sz w:val="22"/>
                <w:szCs w:val="22"/>
              </w:rPr>
              <w:t>&gt;</w:t>
            </w:r>
          </w:p>
          <w:p w14:paraId="66DB09BB" w14:textId="77777777" w:rsidR="00295C6D" w:rsidRPr="00A5626D" w:rsidRDefault="00295C6D" w:rsidP="00E31AE6">
            <w:pPr>
              <w:tabs>
                <w:tab w:val="left" w:pos="1134"/>
                <w:tab w:val="left" w:pos="7938"/>
              </w:tabs>
              <w:spacing w:before="120" w:after="120"/>
              <w:ind w:firstLine="567"/>
              <w:jc w:val="both"/>
              <w:rPr>
                <w:rFonts w:ascii="Garamond" w:hAnsi="Garamond" w:cstheme="minorHAnsi"/>
                <w:sz w:val="22"/>
                <w:szCs w:val="22"/>
              </w:rPr>
            </w:pPr>
            <w:r w:rsidRPr="00A5626D">
              <w:rPr>
                <w:rFonts w:ascii="Garamond" w:hAnsi="Garamond" w:cstheme="minorHAnsi"/>
                <w:sz w:val="22"/>
                <w:szCs w:val="22"/>
              </w:rPr>
              <w:t>Элемент &lt;</w:t>
            </w:r>
            <w:r w:rsidRPr="00A5626D">
              <w:rPr>
                <w:rFonts w:ascii="Garamond" w:hAnsi="Garamond" w:cstheme="minorHAnsi"/>
                <w:b/>
                <w:sz w:val="22"/>
                <w:szCs w:val="22"/>
                <w:lang w:val="en-US"/>
              </w:rPr>
              <w:t>aiis</w:t>
            </w:r>
            <w:r w:rsidRPr="00A5626D">
              <w:rPr>
                <w:rFonts w:ascii="Garamond" w:hAnsi="Garamond" w:cstheme="minorHAnsi"/>
                <w:b/>
                <w:sz w:val="22"/>
                <w:szCs w:val="22"/>
              </w:rPr>
              <w:t>-</w:t>
            </w:r>
            <w:r w:rsidRPr="00A5626D">
              <w:rPr>
                <w:rFonts w:ascii="Garamond" w:hAnsi="Garamond" w:cstheme="minorHAnsi"/>
                <w:b/>
                <w:sz w:val="22"/>
                <w:szCs w:val="22"/>
                <w:lang w:val="en-US"/>
              </w:rPr>
              <w:t>small</w:t>
            </w:r>
            <w:r w:rsidRPr="00A5626D">
              <w:rPr>
                <w:rFonts w:ascii="Garamond" w:hAnsi="Garamond" w:cstheme="minorHAnsi"/>
                <w:b/>
                <w:sz w:val="22"/>
                <w:szCs w:val="22"/>
              </w:rPr>
              <w:t>-</w:t>
            </w:r>
            <w:r w:rsidRPr="00A5626D">
              <w:rPr>
                <w:rFonts w:ascii="Garamond" w:hAnsi="Garamond" w:cstheme="minorHAnsi"/>
                <w:b/>
                <w:sz w:val="22"/>
                <w:szCs w:val="22"/>
                <w:lang w:val="en-US"/>
              </w:rPr>
              <w:t>measuring</w:t>
            </w:r>
            <w:r w:rsidRPr="00A5626D">
              <w:rPr>
                <w:rFonts w:ascii="Garamond" w:hAnsi="Garamond" w:cstheme="minorHAnsi"/>
                <w:b/>
                <w:sz w:val="22"/>
                <w:szCs w:val="22"/>
              </w:rPr>
              <w:t>-</w:t>
            </w:r>
            <w:r w:rsidRPr="00A5626D">
              <w:rPr>
                <w:rFonts w:ascii="Garamond" w:hAnsi="Garamond" w:cstheme="minorHAnsi"/>
                <w:b/>
                <w:sz w:val="22"/>
                <w:szCs w:val="22"/>
                <w:lang w:val="en-US"/>
              </w:rPr>
              <w:t>devices</w:t>
            </w:r>
            <w:r w:rsidRPr="00A5626D">
              <w:rPr>
                <w:rFonts w:ascii="Garamond" w:hAnsi="Garamond" w:cstheme="minorHAnsi"/>
                <w:sz w:val="22"/>
                <w:szCs w:val="22"/>
              </w:rPr>
              <w:t xml:space="preserve">&gt; содержит информацию о включении ПУ в группы «малых». Недопустимо заполнение для </w:t>
            </w:r>
            <w:r w:rsidRPr="00A5626D">
              <w:rPr>
                <w:rFonts w:ascii="Garamond" w:hAnsi="Garamond" w:cstheme="minorHAnsi"/>
                <w:sz w:val="22"/>
                <w:szCs w:val="22"/>
                <w:highlight w:val="yellow"/>
              </w:rPr>
              <w:t>ГТПГ</w:t>
            </w:r>
            <w:r w:rsidRPr="00A5626D">
              <w:rPr>
                <w:rFonts w:ascii="Garamond" w:hAnsi="Garamond" w:cstheme="minorHAnsi"/>
                <w:sz w:val="22"/>
                <w:szCs w:val="22"/>
              </w:rPr>
              <w:t>.</w:t>
            </w:r>
          </w:p>
          <w:p w14:paraId="7C113C4C" w14:textId="77777777" w:rsidR="00295C6D" w:rsidRPr="00A5626D" w:rsidRDefault="00295C6D" w:rsidP="00E31AE6">
            <w:pPr>
              <w:tabs>
                <w:tab w:val="left" w:pos="1134"/>
                <w:tab w:val="left" w:pos="7938"/>
              </w:tabs>
              <w:spacing w:before="120" w:after="120"/>
              <w:ind w:firstLine="567"/>
              <w:jc w:val="both"/>
              <w:rPr>
                <w:rFonts w:ascii="Garamond" w:hAnsi="Garamond" w:cstheme="minorHAnsi"/>
                <w:sz w:val="22"/>
                <w:szCs w:val="22"/>
              </w:rPr>
            </w:pPr>
            <w:r w:rsidRPr="00A5626D">
              <w:rPr>
                <w:rFonts w:ascii="Garamond" w:hAnsi="Garamond" w:cstheme="minorHAnsi"/>
                <w:sz w:val="22"/>
                <w:szCs w:val="22"/>
              </w:rPr>
              <w:t>Содержит дочерние элементы: &lt;</w:t>
            </w:r>
            <w:r w:rsidRPr="00A5626D">
              <w:rPr>
                <w:rFonts w:ascii="Garamond" w:hAnsi="Garamond" w:cstheme="minorHAnsi"/>
                <w:sz w:val="22"/>
                <w:szCs w:val="22"/>
                <w:lang w:val="en-US"/>
              </w:rPr>
              <w:t>aiis</w:t>
            </w:r>
            <w:r w:rsidRPr="00A5626D">
              <w:rPr>
                <w:rFonts w:ascii="Garamond" w:hAnsi="Garamond" w:cstheme="minorHAnsi"/>
                <w:sz w:val="22"/>
                <w:szCs w:val="22"/>
              </w:rPr>
              <w:t>-</w:t>
            </w:r>
            <w:r w:rsidRPr="00A5626D">
              <w:rPr>
                <w:rFonts w:ascii="Garamond" w:hAnsi="Garamond" w:cstheme="minorHAnsi"/>
                <w:sz w:val="22"/>
                <w:szCs w:val="22"/>
                <w:lang w:val="en-US"/>
              </w:rPr>
              <w:t>small</w:t>
            </w:r>
            <w:r w:rsidRPr="00A5626D">
              <w:rPr>
                <w:rFonts w:ascii="Garamond" w:hAnsi="Garamond" w:cstheme="minorHAnsi"/>
                <w:sz w:val="22"/>
                <w:szCs w:val="22"/>
              </w:rPr>
              <w:t>-</w:t>
            </w:r>
            <w:r w:rsidRPr="00A5626D">
              <w:rPr>
                <w:rFonts w:ascii="Garamond" w:hAnsi="Garamond" w:cstheme="minorHAnsi"/>
                <w:sz w:val="22"/>
                <w:szCs w:val="22"/>
                <w:lang w:val="en-US"/>
              </w:rPr>
              <w:t>measuring</w:t>
            </w:r>
            <w:r w:rsidRPr="00A5626D">
              <w:rPr>
                <w:rFonts w:ascii="Garamond" w:hAnsi="Garamond" w:cstheme="minorHAnsi"/>
                <w:sz w:val="22"/>
                <w:szCs w:val="22"/>
              </w:rPr>
              <w:t>-</w:t>
            </w:r>
            <w:r w:rsidRPr="00A5626D">
              <w:rPr>
                <w:rFonts w:ascii="Garamond" w:hAnsi="Garamond" w:cstheme="minorHAnsi"/>
                <w:sz w:val="22"/>
                <w:szCs w:val="22"/>
                <w:lang w:val="en-US"/>
              </w:rPr>
              <w:t>device</w:t>
            </w:r>
            <w:r w:rsidRPr="00A5626D">
              <w:rPr>
                <w:rFonts w:ascii="Garamond" w:hAnsi="Garamond" w:cstheme="minorHAnsi"/>
                <w:sz w:val="22"/>
                <w:szCs w:val="22"/>
              </w:rPr>
              <w:t>&gt;.</w:t>
            </w:r>
          </w:p>
        </w:tc>
        <w:tc>
          <w:tcPr>
            <w:tcW w:w="7088" w:type="dxa"/>
          </w:tcPr>
          <w:p w14:paraId="3C4328FE" w14:textId="77777777" w:rsidR="00295C6D" w:rsidRPr="00A5626D" w:rsidRDefault="00295C6D" w:rsidP="00E31AE6">
            <w:pPr>
              <w:tabs>
                <w:tab w:val="left" w:pos="1134"/>
                <w:tab w:val="left" w:pos="7938"/>
              </w:tabs>
              <w:spacing w:before="120" w:after="120"/>
              <w:ind w:firstLine="567"/>
              <w:jc w:val="both"/>
              <w:rPr>
                <w:rFonts w:ascii="Garamond" w:hAnsi="Garamond" w:cstheme="minorHAnsi"/>
                <w:sz w:val="22"/>
                <w:szCs w:val="22"/>
              </w:rPr>
            </w:pPr>
            <w:r w:rsidRPr="00A5626D">
              <w:rPr>
                <w:rFonts w:ascii="Garamond" w:hAnsi="Garamond" w:cstheme="minorHAnsi"/>
                <w:sz w:val="22"/>
                <w:szCs w:val="22"/>
              </w:rPr>
              <w:t>&lt;</w:t>
            </w:r>
            <w:r w:rsidRPr="00A5626D">
              <w:rPr>
                <w:rFonts w:ascii="Garamond" w:hAnsi="Garamond" w:cstheme="minorHAnsi"/>
                <w:sz w:val="22"/>
                <w:szCs w:val="22"/>
                <w:lang w:val="en-US"/>
              </w:rPr>
              <w:t>aiis</w:t>
            </w:r>
            <w:r w:rsidRPr="00A5626D">
              <w:rPr>
                <w:rFonts w:ascii="Garamond" w:hAnsi="Garamond" w:cstheme="minorHAnsi"/>
                <w:sz w:val="22"/>
                <w:szCs w:val="22"/>
              </w:rPr>
              <w:t>-</w:t>
            </w:r>
            <w:r w:rsidRPr="00A5626D">
              <w:rPr>
                <w:rFonts w:ascii="Garamond" w:hAnsi="Garamond" w:cstheme="minorHAnsi"/>
                <w:sz w:val="22"/>
                <w:szCs w:val="22"/>
                <w:lang w:val="en-US"/>
              </w:rPr>
              <w:t>small</w:t>
            </w:r>
            <w:r w:rsidRPr="00A5626D">
              <w:rPr>
                <w:rFonts w:ascii="Garamond" w:hAnsi="Garamond" w:cstheme="minorHAnsi"/>
                <w:sz w:val="22"/>
                <w:szCs w:val="22"/>
              </w:rPr>
              <w:t>-</w:t>
            </w:r>
            <w:r w:rsidRPr="00A5626D">
              <w:rPr>
                <w:rFonts w:ascii="Garamond" w:hAnsi="Garamond" w:cstheme="minorHAnsi"/>
                <w:sz w:val="22"/>
                <w:szCs w:val="22"/>
                <w:lang w:val="en-US"/>
              </w:rPr>
              <w:t>measuring</w:t>
            </w:r>
            <w:r w:rsidRPr="00A5626D">
              <w:rPr>
                <w:rFonts w:ascii="Garamond" w:hAnsi="Garamond" w:cstheme="minorHAnsi"/>
                <w:sz w:val="22"/>
                <w:szCs w:val="22"/>
              </w:rPr>
              <w:t>-</w:t>
            </w:r>
            <w:r w:rsidRPr="00A5626D">
              <w:rPr>
                <w:rFonts w:ascii="Garamond" w:hAnsi="Garamond" w:cstheme="minorHAnsi"/>
                <w:sz w:val="22"/>
                <w:szCs w:val="22"/>
                <w:lang w:val="en-US"/>
              </w:rPr>
              <w:t>devices</w:t>
            </w:r>
            <w:r w:rsidRPr="00A5626D">
              <w:rPr>
                <w:rFonts w:ascii="Garamond" w:hAnsi="Garamond" w:cstheme="minorHAnsi"/>
                <w:sz w:val="22"/>
                <w:szCs w:val="22"/>
              </w:rPr>
              <w:t>&gt;</w:t>
            </w:r>
          </w:p>
          <w:p w14:paraId="77887C00" w14:textId="77777777" w:rsidR="00295C6D" w:rsidRPr="00A5626D" w:rsidRDefault="00295C6D" w:rsidP="00E31AE6">
            <w:pPr>
              <w:tabs>
                <w:tab w:val="left" w:pos="1134"/>
                <w:tab w:val="left" w:pos="7938"/>
              </w:tabs>
              <w:spacing w:before="120" w:after="120"/>
              <w:ind w:firstLine="567"/>
              <w:jc w:val="both"/>
              <w:rPr>
                <w:rFonts w:ascii="Garamond" w:hAnsi="Garamond" w:cstheme="minorHAnsi"/>
                <w:sz w:val="22"/>
                <w:szCs w:val="22"/>
              </w:rPr>
            </w:pPr>
            <w:r w:rsidRPr="00A5626D">
              <w:rPr>
                <w:rFonts w:ascii="Garamond" w:hAnsi="Garamond" w:cstheme="minorHAnsi"/>
                <w:sz w:val="22"/>
                <w:szCs w:val="22"/>
              </w:rPr>
              <w:t>Элемент &lt;</w:t>
            </w:r>
            <w:r w:rsidRPr="00A5626D">
              <w:rPr>
                <w:rFonts w:ascii="Garamond" w:hAnsi="Garamond" w:cstheme="minorHAnsi"/>
                <w:b/>
                <w:sz w:val="22"/>
                <w:szCs w:val="22"/>
                <w:lang w:val="en-US"/>
              </w:rPr>
              <w:t>aiis</w:t>
            </w:r>
            <w:r w:rsidRPr="00A5626D">
              <w:rPr>
                <w:rFonts w:ascii="Garamond" w:hAnsi="Garamond" w:cstheme="minorHAnsi"/>
                <w:b/>
                <w:sz w:val="22"/>
                <w:szCs w:val="22"/>
              </w:rPr>
              <w:t>-</w:t>
            </w:r>
            <w:r w:rsidRPr="00A5626D">
              <w:rPr>
                <w:rFonts w:ascii="Garamond" w:hAnsi="Garamond" w:cstheme="minorHAnsi"/>
                <w:b/>
                <w:sz w:val="22"/>
                <w:szCs w:val="22"/>
                <w:lang w:val="en-US"/>
              </w:rPr>
              <w:t>small</w:t>
            </w:r>
            <w:r w:rsidRPr="00A5626D">
              <w:rPr>
                <w:rFonts w:ascii="Garamond" w:hAnsi="Garamond" w:cstheme="minorHAnsi"/>
                <w:b/>
                <w:sz w:val="22"/>
                <w:szCs w:val="22"/>
              </w:rPr>
              <w:t>-</w:t>
            </w:r>
            <w:r w:rsidRPr="00A5626D">
              <w:rPr>
                <w:rFonts w:ascii="Garamond" w:hAnsi="Garamond" w:cstheme="minorHAnsi"/>
                <w:b/>
                <w:sz w:val="22"/>
                <w:szCs w:val="22"/>
                <w:lang w:val="en-US"/>
              </w:rPr>
              <w:t>measuring</w:t>
            </w:r>
            <w:r w:rsidRPr="00A5626D">
              <w:rPr>
                <w:rFonts w:ascii="Garamond" w:hAnsi="Garamond" w:cstheme="minorHAnsi"/>
                <w:b/>
                <w:sz w:val="22"/>
                <w:szCs w:val="22"/>
              </w:rPr>
              <w:t>-</w:t>
            </w:r>
            <w:r w:rsidRPr="00A5626D">
              <w:rPr>
                <w:rFonts w:ascii="Garamond" w:hAnsi="Garamond" w:cstheme="minorHAnsi"/>
                <w:b/>
                <w:sz w:val="22"/>
                <w:szCs w:val="22"/>
                <w:lang w:val="en-US"/>
              </w:rPr>
              <w:t>devices</w:t>
            </w:r>
            <w:r w:rsidRPr="00A5626D">
              <w:rPr>
                <w:rFonts w:ascii="Garamond" w:hAnsi="Garamond" w:cstheme="minorHAnsi"/>
                <w:sz w:val="22"/>
                <w:szCs w:val="22"/>
              </w:rPr>
              <w:t xml:space="preserve">&gt; содержит информацию о включении ПУ в группы «малых». Недопустимо заполнение для </w:t>
            </w:r>
            <w:r w:rsidRPr="00A5626D">
              <w:rPr>
                <w:rFonts w:ascii="Garamond" w:hAnsi="Garamond" w:cstheme="minorHAnsi"/>
                <w:sz w:val="22"/>
                <w:szCs w:val="22"/>
                <w:highlight w:val="yellow"/>
              </w:rPr>
              <w:t>ГТП генерации и ОР</w:t>
            </w:r>
            <w:r w:rsidRPr="00A5626D">
              <w:rPr>
                <w:rFonts w:ascii="Garamond" w:hAnsi="Garamond" w:cstheme="minorHAnsi"/>
                <w:sz w:val="22"/>
                <w:szCs w:val="22"/>
              </w:rPr>
              <w:t>.</w:t>
            </w:r>
          </w:p>
          <w:p w14:paraId="4A0A0323" w14:textId="77777777" w:rsidR="00295C6D" w:rsidRPr="00A5626D" w:rsidRDefault="00295C6D" w:rsidP="00E31AE6">
            <w:pPr>
              <w:pStyle w:val="2"/>
              <w:numPr>
                <w:ilvl w:val="0"/>
                <w:numId w:val="0"/>
              </w:numPr>
              <w:tabs>
                <w:tab w:val="left" w:pos="1134"/>
                <w:tab w:val="left" w:pos="7938"/>
              </w:tabs>
              <w:suppressAutoHyphens w:val="0"/>
              <w:spacing w:line="22" w:lineRule="atLeast"/>
              <w:ind w:firstLine="629"/>
              <w:jc w:val="both"/>
              <w:rPr>
                <w:rFonts w:ascii="Garamond" w:hAnsi="Garamond" w:cstheme="minorHAnsi"/>
                <w:b w:val="0"/>
              </w:rPr>
            </w:pPr>
            <w:r w:rsidRPr="00A5626D">
              <w:rPr>
                <w:rFonts w:ascii="Garamond" w:hAnsi="Garamond" w:cstheme="minorHAnsi"/>
                <w:b w:val="0"/>
              </w:rPr>
              <w:t>Содержит дочерние элементы: &lt;</w:t>
            </w:r>
            <w:r w:rsidRPr="00A5626D">
              <w:rPr>
                <w:rFonts w:ascii="Garamond" w:hAnsi="Garamond" w:cstheme="minorHAnsi"/>
                <w:b w:val="0"/>
                <w:lang w:val="en-US"/>
              </w:rPr>
              <w:t>aiis</w:t>
            </w:r>
            <w:r w:rsidRPr="00A5626D">
              <w:rPr>
                <w:rFonts w:ascii="Garamond" w:hAnsi="Garamond" w:cstheme="minorHAnsi"/>
                <w:b w:val="0"/>
              </w:rPr>
              <w:t>-</w:t>
            </w:r>
            <w:r w:rsidRPr="00A5626D">
              <w:rPr>
                <w:rFonts w:ascii="Garamond" w:hAnsi="Garamond" w:cstheme="minorHAnsi"/>
                <w:b w:val="0"/>
                <w:lang w:val="en-US"/>
              </w:rPr>
              <w:t>small</w:t>
            </w:r>
            <w:r w:rsidRPr="00A5626D">
              <w:rPr>
                <w:rFonts w:ascii="Garamond" w:hAnsi="Garamond" w:cstheme="minorHAnsi"/>
                <w:b w:val="0"/>
              </w:rPr>
              <w:t>-</w:t>
            </w:r>
            <w:r w:rsidRPr="00A5626D">
              <w:rPr>
                <w:rFonts w:ascii="Garamond" w:hAnsi="Garamond" w:cstheme="minorHAnsi"/>
                <w:b w:val="0"/>
                <w:lang w:val="en-US"/>
              </w:rPr>
              <w:t>measuring</w:t>
            </w:r>
            <w:r w:rsidRPr="00A5626D">
              <w:rPr>
                <w:rFonts w:ascii="Garamond" w:hAnsi="Garamond" w:cstheme="minorHAnsi"/>
                <w:b w:val="0"/>
              </w:rPr>
              <w:t>-</w:t>
            </w:r>
            <w:r w:rsidRPr="00A5626D">
              <w:rPr>
                <w:rFonts w:ascii="Garamond" w:hAnsi="Garamond" w:cstheme="minorHAnsi"/>
                <w:b w:val="0"/>
                <w:lang w:val="en-US"/>
              </w:rPr>
              <w:t>device</w:t>
            </w:r>
            <w:r w:rsidRPr="00A5626D">
              <w:rPr>
                <w:rFonts w:ascii="Garamond" w:hAnsi="Garamond" w:cstheme="minorHAnsi"/>
                <w:b w:val="0"/>
              </w:rPr>
              <w:t>&gt;.</w:t>
            </w:r>
          </w:p>
        </w:tc>
      </w:tr>
      <w:tr w:rsidR="00295C6D" w:rsidRPr="00A5626D" w14:paraId="7B79E581" w14:textId="77777777" w:rsidTr="00647FA0">
        <w:tc>
          <w:tcPr>
            <w:tcW w:w="1060" w:type="dxa"/>
            <w:vAlign w:val="center"/>
          </w:tcPr>
          <w:p w14:paraId="624438AC" w14:textId="35B80217" w:rsidR="00295C6D" w:rsidRPr="00A5626D" w:rsidRDefault="00295C6D" w:rsidP="00E31AE6">
            <w:pPr>
              <w:widowControl w:val="0"/>
              <w:tabs>
                <w:tab w:val="left" w:pos="1134"/>
                <w:tab w:val="left" w:pos="7938"/>
              </w:tabs>
              <w:spacing w:line="22" w:lineRule="atLeast"/>
              <w:jc w:val="both"/>
              <w:rPr>
                <w:rFonts w:ascii="Garamond" w:hAnsi="Garamond"/>
                <w:b/>
                <w:sz w:val="22"/>
                <w:szCs w:val="22"/>
                <w:lang w:eastAsia="en-US"/>
              </w:rPr>
            </w:pPr>
            <w:r w:rsidRPr="00A5626D">
              <w:rPr>
                <w:rFonts w:ascii="Garamond" w:hAnsi="Garamond"/>
                <w:b/>
                <w:sz w:val="22"/>
                <w:szCs w:val="22"/>
                <w:lang w:eastAsia="en-US"/>
              </w:rPr>
              <w:t>Приложение 5, п.</w:t>
            </w:r>
            <w:r w:rsidR="00647FA0" w:rsidRPr="00A5626D">
              <w:rPr>
                <w:rFonts w:ascii="Garamond" w:hAnsi="Garamond"/>
                <w:b/>
                <w:sz w:val="22"/>
                <w:szCs w:val="22"/>
                <w:lang w:eastAsia="en-US"/>
              </w:rPr>
              <w:t> </w:t>
            </w:r>
            <w:r w:rsidRPr="00A5626D">
              <w:rPr>
                <w:rFonts w:ascii="Garamond" w:hAnsi="Garamond"/>
                <w:b/>
                <w:sz w:val="22"/>
                <w:szCs w:val="22"/>
                <w:lang w:eastAsia="en-US"/>
              </w:rPr>
              <w:t>4.2.1.1.2.4</w:t>
            </w:r>
            <w:r w:rsidR="009B5F03" w:rsidRPr="00A5626D">
              <w:rPr>
                <w:rFonts w:ascii="Garamond" w:hAnsi="Garamond" w:cstheme="minorHAnsi"/>
                <w:b/>
                <w:sz w:val="22"/>
                <w:szCs w:val="22"/>
                <w:lang w:val="en-US"/>
              </w:rPr>
              <w:t xml:space="preserve">  </w:t>
            </w:r>
          </w:p>
        </w:tc>
        <w:tc>
          <w:tcPr>
            <w:tcW w:w="6662" w:type="dxa"/>
          </w:tcPr>
          <w:p w14:paraId="6E3F0402" w14:textId="77777777" w:rsidR="00295C6D" w:rsidRPr="00A5626D" w:rsidRDefault="00295C6D" w:rsidP="00E31AE6">
            <w:pPr>
              <w:tabs>
                <w:tab w:val="left" w:pos="1134"/>
                <w:tab w:val="left" w:pos="7938"/>
              </w:tabs>
              <w:spacing w:before="120" w:after="120"/>
              <w:ind w:firstLine="567"/>
              <w:jc w:val="both"/>
              <w:rPr>
                <w:rFonts w:ascii="Garamond" w:hAnsi="Garamond" w:cstheme="minorHAnsi"/>
                <w:sz w:val="22"/>
                <w:szCs w:val="22"/>
                <w:lang w:val="en-US"/>
              </w:rPr>
            </w:pPr>
            <w:r w:rsidRPr="00A5626D">
              <w:rPr>
                <w:rFonts w:ascii="Garamond" w:hAnsi="Garamond" w:cstheme="minorHAnsi"/>
                <w:sz w:val="22"/>
                <w:szCs w:val="22"/>
                <w:lang w:val="en-US"/>
              </w:rPr>
              <w:t>&lt;power-center-power-object-links&gt;</w:t>
            </w:r>
          </w:p>
          <w:p w14:paraId="0289C5A7" w14:textId="77777777" w:rsidR="00295C6D" w:rsidRPr="00A5626D" w:rsidRDefault="00295C6D" w:rsidP="00E31AE6">
            <w:pPr>
              <w:tabs>
                <w:tab w:val="left" w:pos="1134"/>
                <w:tab w:val="left" w:pos="7938"/>
              </w:tabs>
              <w:spacing w:before="120" w:after="120"/>
              <w:ind w:firstLine="567"/>
              <w:jc w:val="both"/>
              <w:rPr>
                <w:rFonts w:ascii="Garamond" w:hAnsi="Garamond" w:cstheme="minorHAnsi"/>
                <w:sz w:val="22"/>
                <w:szCs w:val="22"/>
              </w:rPr>
            </w:pPr>
            <w:r w:rsidRPr="00A5626D">
              <w:rPr>
                <w:rFonts w:ascii="Garamond" w:hAnsi="Garamond" w:cstheme="minorHAnsi"/>
                <w:sz w:val="22"/>
                <w:szCs w:val="22"/>
              </w:rPr>
              <w:t>Элемент &lt;</w:t>
            </w:r>
            <w:r w:rsidRPr="00A5626D">
              <w:rPr>
                <w:rFonts w:ascii="Garamond" w:hAnsi="Garamond" w:cstheme="minorHAnsi"/>
                <w:b/>
                <w:sz w:val="22"/>
                <w:szCs w:val="22"/>
                <w:lang w:val="en-US"/>
              </w:rPr>
              <w:t>power</w:t>
            </w:r>
            <w:r w:rsidRPr="00A5626D">
              <w:rPr>
                <w:rFonts w:ascii="Garamond" w:hAnsi="Garamond" w:cstheme="minorHAnsi"/>
                <w:b/>
                <w:sz w:val="22"/>
                <w:szCs w:val="22"/>
              </w:rPr>
              <w:t>-</w:t>
            </w:r>
            <w:r w:rsidRPr="00A5626D">
              <w:rPr>
                <w:rFonts w:ascii="Garamond" w:hAnsi="Garamond" w:cstheme="minorHAnsi"/>
                <w:b/>
                <w:sz w:val="22"/>
                <w:szCs w:val="22"/>
                <w:lang w:val="en-US"/>
              </w:rPr>
              <w:t>center</w:t>
            </w:r>
            <w:r w:rsidRPr="00A5626D">
              <w:rPr>
                <w:rFonts w:ascii="Garamond" w:hAnsi="Garamond" w:cstheme="minorHAnsi"/>
                <w:b/>
                <w:sz w:val="22"/>
                <w:szCs w:val="22"/>
              </w:rPr>
              <w:t>-</w:t>
            </w:r>
            <w:r w:rsidRPr="00A5626D">
              <w:rPr>
                <w:rFonts w:ascii="Garamond" w:hAnsi="Garamond" w:cstheme="minorHAnsi"/>
                <w:b/>
                <w:sz w:val="22"/>
                <w:szCs w:val="22"/>
                <w:lang w:val="en-US"/>
              </w:rPr>
              <w:t>power</w:t>
            </w:r>
            <w:r w:rsidRPr="00A5626D">
              <w:rPr>
                <w:rFonts w:ascii="Garamond" w:hAnsi="Garamond" w:cstheme="minorHAnsi"/>
                <w:b/>
                <w:sz w:val="22"/>
                <w:szCs w:val="22"/>
              </w:rPr>
              <w:t>-</w:t>
            </w:r>
            <w:r w:rsidRPr="00A5626D">
              <w:rPr>
                <w:rFonts w:ascii="Garamond" w:hAnsi="Garamond" w:cstheme="minorHAnsi"/>
                <w:b/>
                <w:sz w:val="22"/>
                <w:szCs w:val="22"/>
                <w:lang w:val="en-US"/>
              </w:rPr>
              <w:t>object</w:t>
            </w:r>
            <w:r w:rsidRPr="00A5626D">
              <w:rPr>
                <w:rFonts w:ascii="Garamond" w:hAnsi="Garamond" w:cstheme="minorHAnsi"/>
                <w:b/>
                <w:sz w:val="22"/>
                <w:szCs w:val="22"/>
              </w:rPr>
              <w:t>-</w:t>
            </w:r>
            <w:r w:rsidRPr="00A5626D">
              <w:rPr>
                <w:rFonts w:ascii="Garamond" w:hAnsi="Garamond" w:cstheme="minorHAnsi"/>
                <w:b/>
                <w:sz w:val="22"/>
                <w:szCs w:val="22"/>
                <w:lang w:val="en-US"/>
              </w:rPr>
              <w:t>links</w:t>
            </w:r>
            <w:r w:rsidRPr="00A5626D">
              <w:rPr>
                <w:rFonts w:ascii="Garamond" w:hAnsi="Garamond" w:cstheme="minorHAnsi"/>
                <w:sz w:val="22"/>
                <w:szCs w:val="22"/>
              </w:rPr>
              <w:t>&gt; содержит информацию о связях энергообъектов с центрами питания.</w:t>
            </w:r>
          </w:p>
          <w:p w14:paraId="7A705422" w14:textId="77777777" w:rsidR="00295C6D" w:rsidRPr="00A5626D" w:rsidRDefault="00295C6D" w:rsidP="00E31AE6">
            <w:pPr>
              <w:tabs>
                <w:tab w:val="left" w:pos="1134"/>
                <w:tab w:val="left" w:pos="7938"/>
              </w:tabs>
              <w:spacing w:before="120" w:after="120"/>
              <w:ind w:firstLine="567"/>
              <w:jc w:val="both"/>
              <w:rPr>
                <w:rFonts w:ascii="Garamond" w:hAnsi="Garamond" w:cstheme="minorHAnsi"/>
                <w:sz w:val="22"/>
                <w:szCs w:val="22"/>
                <w:lang w:val="en-US"/>
              </w:rPr>
            </w:pPr>
            <w:r w:rsidRPr="00A5626D">
              <w:rPr>
                <w:rFonts w:ascii="Garamond" w:hAnsi="Garamond" w:cstheme="minorHAnsi"/>
                <w:sz w:val="22"/>
                <w:szCs w:val="22"/>
              </w:rPr>
              <w:t>Дочерними</w:t>
            </w:r>
            <w:r w:rsidRPr="00A5626D">
              <w:rPr>
                <w:rFonts w:ascii="Garamond" w:hAnsi="Garamond" w:cstheme="minorHAnsi"/>
                <w:sz w:val="22"/>
                <w:szCs w:val="22"/>
                <w:lang w:val="en-US"/>
              </w:rPr>
              <w:t xml:space="preserve"> </w:t>
            </w:r>
            <w:r w:rsidRPr="00A5626D">
              <w:rPr>
                <w:rFonts w:ascii="Garamond" w:hAnsi="Garamond" w:cstheme="minorHAnsi"/>
                <w:sz w:val="22"/>
                <w:szCs w:val="22"/>
              </w:rPr>
              <w:t>элементами</w:t>
            </w:r>
            <w:r w:rsidRPr="00A5626D">
              <w:rPr>
                <w:rFonts w:ascii="Garamond" w:hAnsi="Garamond" w:cstheme="minorHAnsi"/>
                <w:sz w:val="22"/>
                <w:szCs w:val="22"/>
                <w:lang w:val="en-US"/>
              </w:rPr>
              <w:t xml:space="preserve"> </w:t>
            </w:r>
            <w:r w:rsidRPr="00A5626D">
              <w:rPr>
                <w:rFonts w:ascii="Garamond" w:hAnsi="Garamond" w:cstheme="minorHAnsi"/>
                <w:sz w:val="22"/>
                <w:szCs w:val="22"/>
              </w:rPr>
              <w:t>являются</w:t>
            </w:r>
            <w:r w:rsidRPr="00A5626D">
              <w:rPr>
                <w:rFonts w:ascii="Garamond" w:hAnsi="Garamond" w:cstheme="minorHAnsi"/>
                <w:sz w:val="22"/>
                <w:szCs w:val="22"/>
                <w:lang w:val="en-US"/>
              </w:rPr>
              <w:t>: &lt;power-center-power-object-link&gt;.</w:t>
            </w:r>
          </w:p>
        </w:tc>
        <w:tc>
          <w:tcPr>
            <w:tcW w:w="7088" w:type="dxa"/>
          </w:tcPr>
          <w:p w14:paraId="42588C99" w14:textId="77777777" w:rsidR="00295C6D" w:rsidRPr="00A5626D" w:rsidRDefault="00295C6D" w:rsidP="00E31AE6">
            <w:pPr>
              <w:tabs>
                <w:tab w:val="left" w:pos="1134"/>
                <w:tab w:val="left" w:pos="7938"/>
              </w:tabs>
              <w:spacing w:before="120" w:after="120"/>
              <w:ind w:firstLine="567"/>
              <w:jc w:val="both"/>
              <w:rPr>
                <w:rFonts w:ascii="Garamond" w:hAnsi="Garamond" w:cstheme="minorHAnsi"/>
                <w:sz w:val="22"/>
                <w:szCs w:val="22"/>
                <w:lang w:val="en-US"/>
              </w:rPr>
            </w:pPr>
            <w:r w:rsidRPr="00A5626D">
              <w:rPr>
                <w:rFonts w:ascii="Garamond" w:hAnsi="Garamond" w:cstheme="minorHAnsi"/>
                <w:sz w:val="22"/>
                <w:szCs w:val="22"/>
                <w:lang w:val="en-US"/>
              </w:rPr>
              <w:t>&lt;power-center-power-object-links&gt;</w:t>
            </w:r>
          </w:p>
          <w:p w14:paraId="5A1697E1" w14:textId="77777777" w:rsidR="00295C6D" w:rsidRPr="00A5626D" w:rsidRDefault="00295C6D" w:rsidP="00E31AE6">
            <w:pPr>
              <w:tabs>
                <w:tab w:val="left" w:pos="1134"/>
                <w:tab w:val="left" w:pos="7938"/>
              </w:tabs>
              <w:spacing w:before="120" w:after="120"/>
              <w:ind w:firstLine="567"/>
              <w:jc w:val="both"/>
              <w:rPr>
                <w:rFonts w:ascii="Garamond" w:hAnsi="Garamond" w:cstheme="minorHAnsi"/>
                <w:sz w:val="22"/>
                <w:szCs w:val="22"/>
              </w:rPr>
            </w:pPr>
            <w:r w:rsidRPr="00A5626D">
              <w:rPr>
                <w:rFonts w:ascii="Garamond" w:hAnsi="Garamond" w:cstheme="minorHAnsi"/>
                <w:sz w:val="22"/>
                <w:szCs w:val="22"/>
              </w:rPr>
              <w:t>Элемент &lt;</w:t>
            </w:r>
            <w:r w:rsidRPr="00A5626D">
              <w:rPr>
                <w:rFonts w:ascii="Garamond" w:hAnsi="Garamond" w:cstheme="minorHAnsi"/>
                <w:b/>
                <w:sz w:val="22"/>
                <w:szCs w:val="22"/>
                <w:lang w:val="en-US"/>
              </w:rPr>
              <w:t>power</w:t>
            </w:r>
            <w:r w:rsidRPr="00A5626D">
              <w:rPr>
                <w:rFonts w:ascii="Garamond" w:hAnsi="Garamond" w:cstheme="minorHAnsi"/>
                <w:b/>
                <w:sz w:val="22"/>
                <w:szCs w:val="22"/>
              </w:rPr>
              <w:t>-</w:t>
            </w:r>
            <w:r w:rsidRPr="00A5626D">
              <w:rPr>
                <w:rFonts w:ascii="Garamond" w:hAnsi="Garamond" w:cstheme="minorHAnsi"/>
                <w:b/>
                <w:sz w:val="22"/>
                <w:szCs w:val="22"/>
                <w:lang w:val="en-US"/>
              </w:rPr>
              <w:t>center</w:t>
            </w:r>
            <w:r w:rsidRPr="00A5626D">
              <w:rPr>
                <w:rFonts w:ascii="Garamond" w:hAnsi="Garamond" w:cstheme="minorHAnsi"/>
                <w:b/>
                <w:sz w:val="22"/>
                <w:szCs w:val="22"/>
              </w:rPr>
              <w:t>-</w:t>
            </w:r>
            <w:r w:rsidRPr="00A5626D">
              <w:rPr>
                <w:rFonts w:ascii="Garamond" w:hAnsi="Garamond" w:cstheme="minorHAnsi"/>
                <w:b/>
                <w:sz w:val="22"/>
                <w:szCs w:val="22"/>
                <w:lang w:val="en-US"/>
              </w:rPr>
              <w:t>power</w:t>
            </w:r>
            <w:r w:rsidRPr="00A5626D">
              <w:rPr>
                <w:rFonts w:ascii="Garamond" w:hAnsi="Garamond" w:cstheme="minorHAnsi"/>
                <w:b/>
                <w:sz w:val="22"/>
                <w:szCs w:val="22"/>
              </w:rPr>
              <w:t>-</w:t>
            </w:r>
            <w:r w:rsidRPr="00A5626D">
              <w:rPr>
                <w:rFonts w:ascii="Garamond" w:hAnsi="Garamond" w:cstheme="minorHAnsi"/>
                <w:b/>
                <w:sz w:val="22"/>
                <w:szCs w:val="22"/>
                <w:lang w:val="en-US"/>
              </w:rPr>
              <w:t>object</w:t>
            </w:r>
            <w:r w:rsidRPr="00A5626D">
              <w:rPr>
                <w:rFonts w:ascii="Garamond" w:hAnsi="Garamond" w:cstheme="minorHAnsi"/>
                <w:b/>
                <w:sz w:val="22"/>
                <w:szCs w:val="22"/>
              </w:rPr>
              <w:t>-</w:t>
            </w:r>
            <w:r w:rsidRPr="00A5626D">
              <w:rPr>
                <w:rFonts w:ascii="Garamond" w:hAnsi="Garamond" w:cstheme="minorHAnsi"/>
                <w:b/>
                <w:sz w:val="22"/>
                <w:szCs w:val="22"/>
                <w:lang w:val="en-US"/>
              </w:rPr>
              <w:t>links</w:t>
            </w:r>
            <w:r w:rsidRPr="00A5626D">
              <w:rPr>
                <w:rFonts w:ascii="Garamond" w:hAnsi="Garamond" w:cstheme="minorHAnsi"/>
                <w:sz w:val="22"/>
                <w:szCs w:val="22"/>
              </w:rPr>
              <w:t xml:space="preserve">&gt; содержит информацию о связях энергообъектов с центрами питания. </w:t>
            </w:r>
            <w:r w:rsidRPr="00A5626D">
              <w:rPr>
                <w:rFonts w:ascii="Garamond" w:hAnsi="Garamond" w:cstheme="minorHAnsi"/>
                <w:bCs/>
                <w:sz w:val="22"/>
                <w:szCs w:val="22"/>
                <w:highlight w:val="yellow"/>
              </w:rPr>
              <w:t>Недопустимо заполнение для ОР</w:t>
            </w:r>
            <w:r w:rsidRPr="00A5626D">
              <w:rPr>
                <w:rFonts w:ascii="Garamond" w:eastAsia="Calibri" w:hAnsi="Garamond" w:cs="Times New Roman"/>
                <w:sz w:val="22"/>
                <w:szCs w:val="22"/>
                <w:highlight w:val="yellow"/>
              </w:rPr>
              <w:t>.</w:t>
            </w:r>
          </w:p>
          <w:p w14:paraId="2FCD8BD3" w14:textId="77777777" w:rsidR="00295C6D" w:rsidRPr="00A5626D" w:rsidRDefault="00295C6D" w:rsidP="00E31AE6">
            <w:pPr>
              <w:pStyle w:val="2"/>
              <w:numPr>
                <w:ilvl w:val="0"/>
                <w:numId w:val="0"/>
              </w:numPr>
              <w:tabs>
                <w:tab w:val="left" w:pos="1134"/>
                <w:tab w:val="left" w:pos="7938"/>
              </w:tabs>
              <w:suppressAutoHyphens w:val="0"/>
              <w:spacing w:line="22" w:lineRule="atLeast"/>
              <w:ind w:firstLine="629"/>
              <w:jc w:val="both"/>
              <w:rPr>
                <w:rFonts w:ascii="Garamond" w:hAnsi="Garamond" w:cstheme="minorHAnsi"/>
                <w:b w:val="0"/>
              </w:rPr>
            </w:pPr>
            <w:r w:rsidRPr="00A5626D">
              <w:rPr>
                <w:rFonts w:ascii="Garamond" w:hAnsi="Garamond" w:cstheme="minorHAnsi"/>
                <w:b w:val="0"/>
              </w:rPr>
              <w:t>Дочерними элементами являются: &lt;</w:t>
            </w:r>
            <w:r w:rsidRPr="00A5626D">
              <w:rPr>
                <w:rFonts w:ascii="Garamond" w:hAnsi="Garamond" w:cstheme="minorHAnsi"/>
                <w:b w:val="0"/>
                <w:lang w:val="en-US"/>
              </w:rPr>
              <w:t>power</w:t>
            </w:r>
            <w:r w:rsidRPr="00A5626D">
              <w:rPr>
                <w:rFonts w:ascii="Garamond" w:hAnsi="Garamond" w:cstheme="minorHAnsi"/>
                <w:b w:val="0"/>
              </w:rPr>
              <w:t>-</w:t>
            </w:r>
            <w:r w:rsidRPr="00A5626D">
              <w:rPr>
                <w:rFonts w:ascii="Garamond" w:hAnsi="Garamond" w:cstheme="minorHAnsi"/>
                <w:b w:val="0"/>
                <w:lang w:val="en-US"/>
              </w:rPr>
              <w:t>center</w:t>
            </w:r>
            <w:r w:rsidRPr="00A5626D">
              <w:rPr>
                <w:rFonts w:ascii="Garamond" w:hAnsi="Garamond" w:cstheme="minorHAnsi"/>
                <w:b w:val="0"/>
              </w:rPr>
              <w:t>-</w:t>
            </w:r>
            <w:r w:rsidRPr="00A5626D">
              <w:rPr>
                <w:rFonts w:ascii="Garamond" w:hAnsi="Garamond" w:cstheme="minorHAnsi"/>
                <w:b w:val="0"/>
                <w:lang w:val="en-US"/>
              </w:rPr>
              <w:t>power</w:t>
            </w:r>
            <w:r w:rsidRPr="00A5626D">
              <w:rPr>
                <w:rFonts w:ascii="Garamond" w:hAnsi="Garamond" w:cstheme="minorHAnsi"/>
                <w:b w:val="0"/>
              </w:rPr>
              <w:t>-</w:t>
            </w:r>
            <w:r w:rsidRPr="00A5626D">
              <w:rPr>
                <w:rFonts w:ascii="Garamond" w:hAnsi="Garamond" w:cstheme="minorHAnsi"/>
                <w:b w:val="0"/>
                <w:lang w:val="en-US"/>
              </w:rPr>
              <w:t>object</w:t>
            </w:r>
            <w:r w:rsidRPr="00A5626D">
              <w:rPr>
                <w:rFonts w:ascii="Garamond" w:hAnsi="Garamond" w:cstheme="minorHAnsi"/>
                <w:b w:val="0"/>
              </w:rPr>
              <w:t>-</w:t>
            </w:r>
            <w:r w:rsidRPr="00A5626D">
              <w:rPr>
                <w:rFonts w:ascii="Garamond" w:hAnsi="Garamond" w:cstheme="minorHAnsi"/>
                <w:b w:val="0"/>
                <w:lang w:val="en-US"/>
              </w:rPr>
              <w:t>link</w:t>
            </w:r>
            <w:r w:rsidRPr="00A5626D">
              <w:rPr>
                <w:rFonts w:ascii="Garamond" w:hAnsi="Garamond" w:cstheme="minorHAnsi"/>
                <w:b w:val="0"/>
              </w:rPr>
              <w:t>&gt;.</w:t>
            </w:r>
          </w:p>
        </w:tc>
      </w:tr>
      <w:tr w:rsidR="00295C6D" w:rsidRPr="00A5626D" w14:paraId="6A71CBA5" w14:textId="77777777" w:rsidTr="00647FA0">
        <w:tc>
          <w:tcPr>
            <w:tcW w:w="1060" w:type="dxa"/>
            <w:vAlign w:val="center"/>
          </w:tcPr>
          <w:p w14:paraId="0E668D7D" w14:textId="638DA604" w:rsidR="00295C6D" w:rsidRPr="00A5626D" w:rsidRDefault="00295C6D" w:rsidP="00E31AE6">
            <w:pPr>
              <w:widowControl w:val="0"/>
              <w:tabs>
                <w:tab w:val="left" w:pos="1134"/>
                <w:tab w:val="left" w:pos="7938"/>
              </w:tabs>
              <w:spacing w:line="22" w:lineRule="atLeast"/>
              <w:jc w:val="both"/>
              <w:rPr>
                <w:rFonts w:ascii="Garamond" w:hAnsi="Garamond"/>
                <w:b/>
                <w:sz w:val="22"/>
                <w:szCs w:val="22"/>
                <w:lang w:val="en-US" w:eastAsia="en-US"/>
              </w:rPr>
            </w:pPr>
            <w:r w:rsidRPr="00A5626D">
              <w:rPr>
                <w:rFonts w:ascii="Garamond" w:hAnsi="Garamond"/>
                <w:b/>
                <w:sz w:val="22"/>
                <w:szCs w:val="22"/>
                <w:lang w:eastAsia="en-US"/>
              </w:rPr>
              <w:t>Приложение 5, п.</w:t>
            </w:r>
            <w:r w:rsidR="00647FA0" w:rsidRPr="00A5626D">
              <w:rPr>
                <w:rFonts w:ascii="Garamond" w:hAnsi="Garamond"/>
                <w:b/>
                <w:sz w:val="22"/>
                <w:szCs w:val="22"/>
                <w:lang w:eastAsia="en-US"/>
              </w:rPr>
              <w:t> </w:t>
            </w:r>
            <w:r w:rsidRPr="00A5626D">
              <w:rPr>
                <w:rFonts w:ascii="Garamond" w:hAnsi="Garamond"/>
                <w:b/>
                <w:sz w:val="22"/>
                <w:szCs w:val="22"/>
                <w:lang w:eastAsia="en-US"/>
              </w:rPr>
              <w:t>4.2.1.1.2.5</w:t>
            </w:r>
          </w:p>
        </w:tc>
        <w:tc>
          <w:tcPr>
            <w:tcW w:w="6662" w:type="dxa"/>
          </w:tcPr>
          <w:p w14:paraId="0F4E9F33" w14:textId="77777777" w:rsidR="00295C6D" w:rsidRPr="00A5626D" w:rsidRDefault="00295C6D" w:rsidP="00E31AE6">
            <w:pPr>
              <w:tabs>
                <w:tab w:val="left" w:pos="1134"/>
                <w:tab w:val="left" w:pos="7938"/>
              </w:tabs>
              <w:spacing w:before="120" w:after="120"/>
              <w:ind w:firstLine="567"/>
              <w:jc w:val="both"/>
              <w:rPr>
                <w:rFonts w:ascii="Garamond" w:hAnsi="Garamond" w:cstheme="minorHAnsi"/>
                <w:sz w:val="22"/>
                <w:szCs w:val="22"/>
                <w:lang w:val="en-US"/>
              </w:rPr>
            </w:pPr>
            <w:r w:rsidRPr="00A5626D">
              <w:rPr>
                <w:rFonts w:ascii="Garamond" w:hAnsi="Garamond" w:cstheme="minorHAnsi"/>
                <w:sz w:val="22"/>
                <w:szCs w:val="22"/>
                <w:lang w:val="en-US"/>
              </w:rPr>
              <w:t>&lt;power-object-owner-gtp-links&gt;</w:t>
            </w:r>
          </w:p>
          <w:p w14:paraId="563E1023" w14:textId="77777777" w:rsidR="00295C6D" w:rsidRPr="00A5626D" w:rsidRDefault="00295C6D" w:rsidP="00E31AE6">
            <w:pPr>
              <w:tabs>
                <w:tab w:val="left" w:pos="1134"/>
                <w:tab w:val="left" w:pos="7938"/>
              </w:tabs>
              <w:spacing w:before="120" w:after="120"/>
              <w:ind w:firstLine="567"/>
              <w:jc w:val="both"/>
              <w:rPr>
                <w:rFonts w:ascii="Garamond" w:hAnsi="Garamond" w:cstheme="minorHAnsi"/>
                <w:sz w:val="22"/>
                <w:szCs w:val="22"/>
              </w:rPr>
            </w:pPr>
            <w:r w:rsidRPr="00A5626D">
              <w:rPr>
                <w:rFonts w:ascii="Garamond" w:hAnsi="Garamond" w:cstheme="minorHAnsi"/>
                <w:sz w:val="22"/>
                <w:szCs w:val="22"/>
              </w:rPr>
              <w:t>Элемент &lt;power-object-owner-gtp-links&gt; содержит информацию о связях организации, обладающей правом собственности на энергообъект, и ГТП, на стороне которой расположены энергообъекты.</w:t>
            </w:r>
          </w:p>
          <w:p w14:paraId="25FDF9CA" w14:textId="77777777" w:rsidR="00295C6D" w:rsidRPr="00A5626D" w:rsidRDefault="00295C6D" w:rsidP="00E31AE6">
            <w:pPr>
              <w:pStyle w:val="ac"/>
              <w:tabs>
                <w:tab w:val="left" w:pos="1134"/>
                <w:tab w:val="left" w:pos="7938"/>
              </w:tabs>
              <w:spacing w:before="120" w:after="120" w:line="259" w:lineRule="auto"/>
              <w:ind w:left="0" w:firstLine="567"/>
              <w:jc w:val="both"/>
              <w:rPr>
                <w:rFonts w:ascii="Garamond" w:hAnsi="Garamond" w:cstheme="minorHAnsi"/>
                <w:sz w:val="22"/>
                <w:szCs w:val="22"/>
              </w:rPr>
            </w:pPr>
            <w:r w:rsidRPr="00A5626D">
              <w:rPr>
                <w:rFonts w:ascii="Garamond" w:hAnsi="Garamond" w:cstheme="minorHAnsi"/>
                <w:sz w:val="22"/>
                <w:szCs w:val="22"/>
              </w:rPr>
              <w:t>Дочерними элементами являются &lt;power-object-owner-gtp-link&gt;.</w:t>
            </w:r>
          </w:p>
        </w:tc>
        <w:tc>
          <w:tcPr>
            <w:tcW w:w="7088" w:type="dxa"/>
          </w:tcPr>
          <w:p w14:paraId="1B648384" w14:textId="77777777" w:rsidR="00295C6D" w:rsidRPr="00A5626D" w:rsidRDefault="00295C6D" w:rsidP="00E31AE6">
            <w:pPr>
              <w:tabs>
                <w:tab w:val="left" w:pos="1134"/>
                <w:tab w:val="left" w:pos="7938"/>
              </w:tabs>
              <w:spacing w:before="120" w:after="120"/>
              <w:ind w:firstLine="567"/>
              <w:jc w:val="both"/>
              <w:rPr>
                <w:rFonts w:ascii="Garamond" w:hAnsi="Garamond" w:cstheme="minorHAnsi"/>
                <w:sz w:val="22"/>
                <w:szCs w:val="22"/>
                <w:lang w:val="en-US"/>
              </w:rPr>
            </w:pPr>
            <w:r w:rsidRPr="00A5626D">
              <w:rPr>
                <w:rFonts w:ascii="Garamond" w:hAnsi="Garamond" w:cstheme="minorHAnsi"/>
                <w:sz w:val="22"/>
                <w:szCs w:val="22"/>
                <w:lang w:val="en-US"/>
              </w:rPr>
              <w:t>&lt;power-object-owner-gtp-links&gt;</w:t>
            </w:r>
          </w:p>
          <w:p w14:paraId="7A161D37" w14:textId="77777777" w:rsidR="00295C6D" w:rsidRPr="00A5626D" w:rsidRDefault="00295C6D" w:rsidP="00E31AE6">
            <w:pPr>
              <w:tabs>
                <w:tab w:val="left" w:pos="1134"/>
                <w:tab w:val="left" w:pos="7938"/>
              </w:tabs>
              <w:spacing w:before="120" w:after="120"/>
              <w:ind w:firstLine="567"/>
              <w:jc w:val="both"/>
              <w:rPr>
                <w:rFonts w:ascii="Garamond" w:hAnsi="Garamond" w:cstheme="minorHAnsi"/>
                <w:sz w:val="22"/>
                <w:szCs w:val="22"/>
              </w:rPr>
            </w:pPr>
            <w:r w:rsidRPr="00A5626D">
              <w:rPr>
                <w:rFonts w:ascii="Garamond" w:hAnsi="Garamond" w:cstheme="minorHAnsi"/>
                <w:sz w:val="22"/>
                <w:szCs w:val="22"/>
              </w:rPr>
              <w:t xml:space="preserve">Элемент &lt;power-object-owner-gtp-links&gt; содержит информацию о связях организации, обладающей правом собственности на энергообъект, и ГТП, на стороне которой расположены энергообъекты. </w:t>
            </w:r>
            <w:r w:rsidRPr="00A5626D">
              <w:rPr>
                <w:rFonts w:ascii="Garamond" w:hAnsi="Garamond" w:cstheme="minorHAnsi"/>
                <w:bCs/>
                <w:sz w:val="22"/>
                <w:szCs w:val="22"/>
                <w:highlight w:val="yellow"/>
              </w:rPr>
              <w:t>Недопустимо заполнение для ОР</w:t>
            </w:r>
            <w:r w:rsidRPr="00A5626D">
              <w:rPr>
                <w:rFonts w:ascii="Garamond" w:eastAsia="Calibri" w:hAnsi="Garamond" w:cs="Times New Roman"/>
                <w:sz w:val="22"/>
                <w:szCs w:val="22"/>
                <w:highlight w:val="yellow"/>
              </w:rPr>
              <w:t>.</w:t>
            </w:r>
          </w:p>
          <w:p w14:paraId="3D6BC503" w14:textId="77777777" w:rsidR="00295C6D" w:rsidRPr="00A5626D" w:rsidRDefault="00295C6D" w:rsidP="00E31AE6">
            <w:pPr>
              <w:pStyle w:val="2"/>
              <w:numPr>
                <w:ilvl w:val="0"/>
                <w:numId w:val="0"/>
              </w:numPr>
              <w:tabs>
                <w:tab w:val="left" w:pos="1134"/>
                <w:tab w:val="left" w:pos="7938"/>
              </w:tabs>
              <w:suppressAutoHyphens w:val="0"/>
              <w:spacing w:line="22" w:lineRule="atLeast"/>
              <w:ind w:firstLine="629"/>
              <w:jc w:val="both"/>
              <w:rPr>
                <w:rFonts w:ascii="Garamond" w:hAnsi="Garamond" w:cstheme="minorHAnsi"/>
                <w:b w:val="0"/>
              </w:rPr>
            </w:pPr>
            <w:r w:rsidRPr="00A5626D">
              <w:rPr>
                <w:rFonts w:ascii="Garamond" w:hAnsi="Garamond" w:cstheme="minorHAnsi"/>
                <w:b w:val="0"/>
              </w:rPr>
              <w:t>Дочерними элементами являются &lt;power-object-owner-gtp-link&gt;.</w:t>
            </w:r>
          </w:p>
        </w:tc>
      </w:tr>
      <w:tr w:rsidR="00295C6D" w:rsidRPr="00A5626D" w14:paraId="255F65F5" w14:textId="77777777" w:rsidTr="00647FA0">
        <w:tc>
          <w:tcPr>
            <w:tcW w:w="1060" w:type="dxa"/>
            <w:vAlign w:val="center"/>
          </w:tcPr>
          <w:p w14:paraId="2A9E64B1" w14:textId="1E93E7C1" w:rsidR="00295C6D" w:rsidRPr="00A5626D" w:rsidRDefault="00295C6D" w:rsidP="00E31AE6">
            <w:pPr>
              <w:widowControl w:val="0"/>
              <w:tabs>
                <w:tab w:val="left" w:pos="1134"/>
                <w:tab w:val="left" w:pos="7938"/>
              </w:tabs>
              <w:spacing w:line="22" w:lineRule="atLeast"/>
              <w:jc w:val="both"/>
              <w:rPr>
                <w:rFonts w:ascii="Garamond" w:hAnsi="Garamond"/>
                <w:b/>
                <w:sz w:val="22"/>
                <w:szCs w:val="22"/>
                <w:lang w:eastAsia="en-US"/>
              </w:rPr>
            </w:pPr>
            <w:r w:rsidRPr="00A5626D">
              <w:rPr>
                <w:rFonts w:ascii="Garamond" w:hAnsi="Garamond"/>
                <w:b/>
                <w:sz w:val="22"/>
                <w:szCs w:val="22"/>
                <w:lang w:eastAsia="en-US"/>
              </w:rPr>
              <w:t>Приложение 5, п.</w:t>
            </w:r>
            <w:r w:rsidR="00647FA0" w:rsidRPr="00A5626D">
              <w:rPr>
                <w:rFonts w:ascii="Garamond" w:hAnsi="Garamond"/>
                <w:b/>
                <w:sz w:val="22"/>
                <w:szCs w:val="22"/>
                <w:lang w:eastAsia="en-US"/>
              </w:rPr>
              <w:t> </w:t>
            </w:r>
            <w:r w:rsidRPr="00A5626D">
              <w:rPr>
                <w:rFonts w:ascii="Garamond" w:hAnsi="Garamond"/>
                <w:b/>
                <w:sz w:val="22"/>
                <w:szCs w:val="22"/>
                <w:lang w:eastAsia="en-US"/>
              </w:rPr>
              <w:t>4.2.1.1.3</w:t>
            </w:r>
            <w:r w:rsidR="009B5F03" w:rsidRPr="00A5626D">
              <w:rPr>
                <w:rFonts w:ascii="Garamond" w:hAnsi="Garamond" w:cstheme="minorHAnsi"/>
                <w:b/>
                <w:bCs/>
                <w:sz w:val="22"/>
                <w:szCs w:val="22"/>
              </w:rPr>
              <w:t xml:space="preserve"> </w:t>
            </w:r>
          </w:p>
        </w:tc>
        <w:tc>
          <w:tcPr>
            <w:tcW w:w="6662" w:type="dxa"/>
          </w:tcPr>
          <w:p w14:paraId="1989956C" w14:textId="77777777" w:rsidR="00295C6D" w:rsidRPr="00A5626D" w:rsidRDefault="00295C6D" w:rsidP="00E31AE6">
            <w:pPr>
              <w:tabs>
                <w:tab w:val="left" w:pos="1134"/>
                <w:tab w:val="left" w:pos="7938"/>
              </w:tabs>
              <w:spacing w:before="120" w:after="120"/>
              <w:ind w:firstLine="567"/>
              <w:jc w:val="both"/>
              <w:rPr>
                <w:rFonts w:ascii="Garamond" w:hAnsi="Garamond" w:cstheme="minorHAnsi"/>
                <w:b/>
                <w:sz w:val="22"/>
                <w:szCs w:val="22"/>
              </w:rPr>
            </w:pPr>
            <w:r w:rsidRPr="00A5626D">
              <w:rPr>
                <w:rFonts w:ascii="Garamond" w:hAnsi="Garamond" w:cstheme="minorHAnsi"/>
                <w:b/>
                <w:sz w:val="22"/>
                <w:szCs w:val="22"/>
              </w:rPr>
              <w:t>&lt;</w:t>
            </w:r>
            <w:r w:rsidRPr="00A5626D">
              <w:rPr>
                <w:rFonts w:ascii="Garamond" w:hAnsi="Garamond" w:cstheme="minorHAnsi"/>
                <w:b/>
                <w:sz w:val="22"/>
                <w:szCs w:val="22"/>
                <w:lang w:val="en-US"/>
              </w:rPr>
              <w:t>algorithm</w:t>
            </w:r>
            <w:r w:rsidRPr="00A5626D">
              <w:rPr>
                <w:rFonts w:ascii="Garamond" w:hAnsi="Garamond" w:cstheme="minorHAnsi"/>
                <w:b/>
                <w:sz w:val="22"/>
                <w:szCs w:val="22"/>
              </w:rPr>
              <w:t>&gt;</w:t>
            </w:r>
          </w:p>
          <w:p w14:paraId="4E360FC6" w14:textId="2BEC1A04" w:rsidR="00295C6D" w:rsidRPr="00A5626D" w:rsidRDefault="00295C6D" w:rsidP="00E31AE6">
            <w:pPr>
              <w:tabs>
                <w:tab w:val="left" w:pos="1134"/>
                <w:tab w:val="left" w:pos="7938"/>
              </w:tabs>
              <w:spacing w:before="120" w:after="120"/>
              <w:ind w:firstLine="567"/>
              <w:jc w:val="both"/>
              <w:rPr>
                <w:rFonts w:ascii="Garamond" w:hAnsi="Garamond" w:cstheme="minorHAnsi"/>
                <w:sz w:val="22"/>
                <w:szCs w:val="22"/>
              </w:rPr>
            </w:pPr>
            <w:r w:rsidRPr="00A5626D">
              <w:rPr>
                <w:rFonts w:ascii="Garamond" w:hAnsi="Garamond" w:cstheme="minorHAnsi"/>
                <w:sz w:val="22"/>
                <w:szCs w:val="22"/>
              </w:rPr>
              <w:t>Элемент &lt;</w:t>
            </w:r>
            <w:r w:rsidRPr="00A5626D">
              <w:rPr>
                <w:rFonts w:ascii="Garamond" w:hAnsi="Garamond" w:cstheme="minorHAnsi"/>
                <w:sz w:val="22"/>
                <w:szCs w:val="22"/>
                <w:lang w:val="en-US"/>
              </w:rPr>
              <w:t>algorithm</w:t>
            </w:r>
            <w:r w:rsidRPr="00A5626D">
              <w:rPr>
                <w:rFonts w:ascii="Garamond" w:hAnsi="Garamond" w:cstheme="minorHAnsi"/>
                <w:sz w:val="22"/>
                <w:szCs w:val="22"/>
              </w:rPr>
              <w:t>&gt; содержит в себе алгоритм расчета точек поставок, а также смешанный алгоритм на весь переток для сечений или алгоритм для ГТП генерации.</w:t>
            </w:r>
            <w:r w:rsidR="009B5F03" w:rsidRPr="00A5626D">
              <w:rPr>
                <w:rFonts w:ascii="Garamond" w:hAnsi="Garamond" w:cstheme="minorHAnsi"/>
                <w:sz w:val="22"/>
                <w:szCs w:val="22"/>
              </w:rPr>
              <w:t xml:space="preserve"> </w:t>
            </w:r>
          </w:p>
          <w:p w14:paraId="0B07F9F9" w14:textId="77777777" w:rsidR="00295C6D" w:rsidRPr="00A5626D" w:rsidRDefault="00295C6D" w:rsidP="00E31AE6">
            <w:pPr>
              <w:tabs>
                <w:tab w:val="left" w:pos="1134"/>
                <w:tab w:val="left" w:pos="7938"/>
              </w:tabs>
              <w:spacing w:before="120" w:after="120"/>
              <w:ind w:firstLine="567"/>
              <w:jc w:val="both"/>
              <w:rPr>
                <w:rFonts w:ascii="Garamond" w:hAnsi="Garamond" w:cstheme="minorHAnsi"/>
                <w:sz w:val="22"/>
                <w:szCs w:val="22"/>
              </w:rPr>
            </w:pPr>
            <w:r w:rsidRPr="00A5626D">
              <w:rPr>
                <w:rFonts w:ascii="Garamond" w:hAnsi="Garamond" w:cstheme="minorHAnsi"/>
                <w:bCs/>
                <w:sz w:val="22"/>
                <w:szCs w:val="22"/>
              </w:rPr>
              <w:t>Обязательный элемент</w:t>
            </w:r>
            <w:r w:rsidRPr="00A5626D">
              <w:rPr>
                <w:rFonts w:ascii="Garamond" w:hAnsi="Garamond" w:cstheme="minorHAnsi"/>
                <w:sz w:val="22"/>
                <w:szCs w:val="22"/>
              </w:rPr>
              <w:t>. Допускается наличие только одного элемента.</w:t>
            </w:r>
          </w:p>
          <w:p w14:paraId="4C0D6D2B" w14:textId="77777777" w:rsidR="00295C6D" w:rsidRPr="00A5626D" w:rsidRDefault="00295C6D" w:rsidP="00E31AE6">
            <w:pPr>
              <w:tabs>
                <w:tab w:val="left" w:pos="1134"/>
                <w:tab w:val="left" w:pos="7938"/>
              </w:tabs>
              <w:spacing w:line="276" w:lineRule="auto"/>
              <w:ind w:firstLine="567"/>
              <w:jc w:val="both"/>
              <w:rPr>
                <w:rFonts w:ascii="Garamond" w:hAnsi="Garamond" w:cstheme="minorHAnsi"/>
                <w:sz w:val="22"/>
                <w:szCs w:val="22"/>
                <w:lang w:val="en-US"/>
              </w:rPr>
            </w:pPr>
            <w:r w:rsidRPr="00A5626D">
              <w:rPr>
                <w:rFonts w:ascii="Garamond" w:hAnsi="Garamond" w:cstheme="minorHAnsi"/>
                <w:sz w:val="22"/>
                <w:szCs w:val="22"/>
              </w:rPr>
              <w:t>Дочерними</w:t>
            </w:r>
            <w:r w:rsidRPr="00A5626D">
              <w:rPr>
                <w:rFonts w:ascii="Garamond" w:hAnsi="Garamond" w:cstheme="minorHAnsi"/>
                <w:sz w:val="22"/>
                <w:szCs w:val="22"/>
                <w:lang w:val="en-US"/>
              </w:rPr>
              <w:t xml:space="preserve"> </w:t>
            </w:r>
            <w:r w:rsidRPr="00A5626D">
              <w:rPr>
                <w:rFonts w:ascii="Garamond" w:hAnsi="Garamond" w:cstheme="minorHAnsi"/>
                <w:sz w:val="22"/>
                <w:szCs w:val="22"/>
              </w:rPr>
              <w:t>элементами</w:t>
            </w:r>
            <w:r w:rsidRPr="00A5626D">
              <w:rPr>
                <w:rFonts w:ascii="Garamond" w:hAnsi="Garamond" w:cstheme="minorHAnsi"/>
                <w:sz w:val="22"/>
                <w:szCs w:val="22"/>
                <w:lang w:val="en-US"/>
              </w:rPr>
              <w:t xml:space="preserve"> </w:t>
            </w:r>
            <w:r w:rsidRPr="00A5626D">
              <w:rPr>
                <w:rFonts w:ascii="Garamond" w:hAnsi="Garamond" w:cstheme="minorHAnsi"/>
                <w:sz w:val="22"/>
                <w:szCs w:val="22"/>
              </w:rPr>
              <w:t>являются</w:t>
            </w:r>
            <w:r w:rsidRPr="00A5626D">
              <w:rPr>
                <w:rFonts w:ascii="Garamond" w:hAnsi="Garamond" w:cstheme="minorHAnsi"/>
                <w:sz w:val="22"/>
                <w:szCs w:val="22"/>
                <w:lang w:val="en-US"/>
              </w:rPr>
              <w:t>: &lt;aup-delivery-points&gt;, &lt;peretok&gt;, &lt;generation&gt;.</w:t>
            </w:r>
          </w:p>
        </w:tc>
        <w:tc>
          <w:tcPr>
            <w:tcW w:w="7088" w:type="dxa"/>
          </w:tcPr>
          <w:p w14:paraId="3A21EECD" w14:textId="77777777" w:rsidR="00295C6D" w:rsidRPr="00A5626D" w:rsidRDefault="00295C6D" w:rsidP="00E31AE6">
            <w:pPr>
              <w:tabs>
                <w:tab w:val="left" w:pos="1134"/>
                <w:tab w:val="left" w:pos="7938"/>
              </w:tabs>
              <w:spacing w:before="120" w:after="120"/>
              <w:ind w:firstLine="567"/>
              <w:jc w:val="both"/>
              <w:rPr>
                <w:rFonts w:ascii="Garamond" w:hAnsi="Garamond" w:cstheme="minorHAnsi"/>
                <w:b/>
                <w:sz w:val="22"/>
                <w:szCs w:val="22"/>
              </w:rPr>
            </w:pPr>
            <w:r w:rsidRPr="00A5626D">
              <w:rPr>
                <w:rFonts w:ascii="Garamond" w:hAnsi="Garamond" w:cstheme="minorHAnsi"/>
                <w:b/>
                <w:sz w:val="22"/>
                <w:szCs w:val="22"/>
              </w:rPr>
              <w:t>&lt;</w:t>
            </w:r>
            <w:r w:rsidRPr="00A5626D">
              <w:rPr>
                <w:rFonts w:ascii="Garamond" w:hAnsi="Garamond" w:cstheme="minorHAnsi"/>
                <w:b/>
                <w:sz w:val="22"/>
                <w:szCs w:val="22"/>
                <w:lang w:val="en-US"/>
              </w:rPr>
              <w:t>algorithm</w:t>
            </w:r>
            <w:r w:rsidRPr="00A5626D">
              <w:rPr>
                <w:rFonts w:ascii="Garamond" w:hAnsi="Garamond" w:cstheme="minorHAnsi"/>
                <w:b/>
                <w:sz w:val="22"/>
                <w:szCs w:val="22"/>
              </w:rPr>
              <w:t xml:space="preserve">&gt; </w:t>
            </w:r>
          </w:p>
          <w:p w14:paraId="42D302B1" w14:textId="2877232D" w:rsidR="00295C6D" w:rsidRPr="00A5626D" w:rsidRDefault="00295C6D" w:rsidP="00E31AE6">
            <w:pPr>
              <w:tabs>
                <w:tab w:val="left" w:pos="1134"/>
                <w:tab w:val="left" w:pos="7938"/>
              </w:tabs>
              <w:spacing w:before="120" w:after="120"/>
              <w:ind w:firstLine="567"/>
              <w:jc w:val="both"/>
              <w:rPr>
                <w:rFonts w:ascii="Garamond" w:hAnsi="Garamond" w:cstheme="minorHAnsi"/>
                <w:sz w:val="22"/>
                <w:szCs w:val="22"/>
              </w:rPr>
            </w:pPr>
            <w:r w:rsidRPr="00A5626D">
              <w:rPr>
                <w:rFonts w:ascii="Garamond" w:hAnsi="Garamond" w:cstheme="minorHAnsi"/>
                <w:sz w:val="22"/>
                <w:szCs w:val="22"/>
              </w:rPr>
              <w:t>Элемент &lt;</w:t>
            </w:r>
            <w:r w:rsidRPr="00A5626D">
              <w:rPr>
                <w:rFonts w:ascii="Garamond" w:hAnsi="Garamond" w:cstheme="minorHAnsi"/>
                <w:sz w:val="22"/>
                <w:szCs w:val="22"/>
                <w:lang w:val="en-US"/>
              </w:rPr>
              <w:t>algorithm</w:t>
            </w:r>
            <w:r w:rsidRPr="00A5626D">
              <w:rPr>
                <w:rFonts w:ascii="Garamond" w:hAnsi="Garamond" w:cstheme="minorHAnsi"/>
                <w:sz w:val="22"/>
                <w:szCs w:val="22"/>
              </w:rPr>
              <w:t xml:space="preserve">&gt; содержит в себе алгоритм расчета точек поставок </w:t>
            </w:r>
            <w:r w:rsidRPr="00A5626D">
              <w:rPr>
                <w:rFonts w:ascii="Garamond" w:hAnsi="Garamond" w:cstheme="minorHAnsi"/>
                <w:sz w:val="22"/>
                <w:szCs w:val="22"/>
                <w:highlight w:val="yellow"/>
              </w:rPr>
              <w:t>(точек присоединения)</w:t>
            </w:r>
            <w:r w:rsidRPr="00A5626D">
              <w:rPr>
                <w:rFonts w:ascii="Garamond" w:hAnsi="Garamond" w:cstheme="minorHAnsi"/>
                <w:sz w:val="22"/>
                <w:szCs w:val="22"/>
              </w:rPr>
              <w:t xml:space="preserve">, а также смешанный алгоритм на весь переток для сечений </w:t>
            </w:r>
            <w:r w:rsidRPr="00A5626D">
              <w:rPr>
                <w:rFonts w:ascii="Garamond" w:hAnsi="Garamond" w:cstheme="minorHAnsi"/>
                <w:sz w:val="22"/>
                <w:szCs w:val="22"/>
                <w:highlight w:val="yellow"/>
              </w:rPr>
              <w:t>КУ</w:t>
            </w:r>
            <w:r w:rsidRPr="00A5626D">
              <w:rPr>
                <w:rFonts w:ascii="Garamond" w:hAnsi="Garamond" w:cstheme="minorHAnsi"/>
                <w:sz w:val="22"/>
                <w:szCs w:val="22"/>
              </w:rPr>
              <w:t xml:space="preserve"> или алгоритм для ГТП генерации </w:t>
            </w:r>
            <w:r w:rsidRPr="00A5626D">
              <w:rPr>
                <w:rFonts w:ascii="Garamond" w:hAnsi="Garamond" w:cstheme="minorHAnsi"/>
                <w:sz w:val="22"/>
                <w:szCs w:val="22"/>
                <w:highlight w:val="yellow"/>
              </w:rPr>
              <w:t>или ОР</w:t>
            </w:r>
            <w:r w:rsidRPr="00A5626D">
              <w:rPr>
                <w:rFonts w:ascii="Garamond" w:hAnsi="Garamond" w:cstheme="minorHAnsi"/>
                <w:sz w:val="22"/>
                <w:szCs w:val="22"/>
              </w:rPr>
              <w:t>.</w:t>
            </w:r>
            <w:r w:rsidR="009B5F03" w:rsidRPr="00A5626D">
              <w:rPr>
                <w:rFonts w:ascii="Garamond" w:hAnsi="Garamond" w:cstheme="minorHAnsi"/>
                <w:sz w:val="22"/>
                <w:szCs w:val="22"/>
              </w:rPr>
              <w:t xml:space="preserve"> </w:t>
            </w:r>
          </w:p>
          <w:p w14:paraId="341B206F" w14:textId="77777777" w:rsidR="00295C6D" w:rsidRPr="00A5626D" w:rsidRDefault="00295C6D" w:rsidP="00E31AE6">
            <w:pPr>
              <w:tabs>
                <w:tab w:val="left" w:pos="1134"/>
                <w:tab w:val="left" w:pos="7938"/>
              </w:tabs>
              <w:spacing w:before="120" w:after="120"/>
              <w:ind w:firstLine="567"/>
              <w:jc w:val="both"/>
              <w:rPr>
                <w:rFonts w:ascii="Garamond" w:hAnsi="Garamond" w:cstheme="minorHAnsi"/>
                <w:sz w:val="22"/>
                <w:szCs w:val="22"/>
              </w:rPr>
            </w:pPr>
            <w:r w:rsidRPr="00A5626D">
              <w:rPr>
                <w:rFonts w:ascii="Garamond" w:hAnsi="Garamond" w:cstheme="minorHAnsi"/>
                <w:bCs/>
                <w:sz w:val="22"/>
                <w:szCs w:val="22"/>
              </w:rPr>
              <w:t>Обязательный элемент</w:t>
            </w:r>
            <w:r w:rsidRPr="00A5626D">
              <w:rPr>
                <w:rFonts w:ascii="Garamond" w:hAnsi="Garamond" w:cstheme="minorHAnsi"/>
                <w:sz w:val="22"/>
                <w:szCs w:val="22"/>
              </w:rPr>
              <w:t>. Допускается наличие только одного элемента.</w:t>
            </w:r>
          </w:p>
          <w:p w14:paraId="0FB81DE4" w14:textId="77777777" w:rsidR="00295C6D" w:rsidRPr="00A5626D" w:rsidRDefault="00295C6D" w:rsidP="00E31AE6">
            <w:pPr>
              <w:tabs>
                <w:tab w:val="left" w:pos="1134"/>
                <w:tab w:val="left" w:pos="7938"/>
              </w:tabs>
              <w:spacing w:line="276" w:lineRule="auto"/>
              <w:rPr>
                <w:rFonts w:ascii="Garamond" w:eastAsia="Calibri" w:hAnsi="Garamond" w:cs="Times New Roman"/>
                <w:sz w:val="22"/>
                <w:szCs w:val="22"/>
                <w:lang w:val="en-US"/>
              </w:rPr>
            </w:pPr>
            <w:r w:rsidRPr="00A5626D">
              <w:rPr>
                <w:rFonts w:ascii="Garamond" w:hAnsi="Garamond" w:cstheme="minorHAnsi"/>
                <w:sz w:val="22"/>
                <w:szCs w:val="22"/>
              </w:rPr>
              <w:t>Дочерними</w:t>
            </w:r>
            <w:r w:rsidRPr="00A5626D">
              <w:rPr>
                <w:rFonts w:ascii="Garamond" w:hAnsi="Garamond" w:cstheme="minorHAnsi"/>
                <w:sz w:val="22"/>
                <w:szCs w:val="22"/>
                <w:lang w:val="en-US"/>
              </w:rPr>
              <w:t xml:space="preserve"> </w:t>
            </w:r>
            <w:r w:rsidRPr="00A5626D">
              <w:rPr>
                <w:rFonts w:ascii="Garamond" w:hAnsi="Garamond" w:cstheme="minorHAnsi"/>
                <w:sz w:val="22"/>
                <w:szCs w:val="22"/>
              </w:rPr>
              <w:t>элементами</w:t>
            </w:r>
            <w:r w:rsidRPr="00A5626D">
              <w:rPr>
                <w:rFonts w:ascii="Garamond" w:hAnsi="Garamond" w:cstheme="minorHAnsi"/>
                <w:sz w:val="22"/>
                <w:szCs w:val="22"/>
                <w:lang w:val="en-US"/>
              </w:rPr>
              <w:t xml:space="preserve"> </w:t>
            </w:r>
            <w:r w:rsidRPr="00A5626D">
              <w:rPr>
                <w:rFonts w:ascii="Garamond" w:hAnsi="Garamond" w:cstheme="minorHAnsi"/>
                <w:sz w:val="22"/>
                <w:szCs w:val="22"/>
              </w:rPr>
              <w:t>являются</w:t>
            </w:r>
            <w:r w:rsidRPr="00A5626D">
              <w:rPr>
                <w:rFonts w:ascii="Garamond" w:hAnsi="Garamond" w:cstheme="minorHAnsi"/>
                <w:sz w:val="22"/>
                <w:szCs w:val="22"/>
                <w:lang w:val="en-US"/>
              </w:rPr>
              <w:t>: &lt;aup-delivery-points&gt;, &lt;peretok&gt;, &lt;generation&gt;</w:t>
            </w:r>
            <w:r w:rsidRPr="00A5626D">
              <w:rPr>
                <w:rFonts w:ascii="Garamond" w:eastAsia="Calibri" w:hAnsi="Garamond" w:cs="Times New Roman"/>
                <w:sz w:val="22"/>
                <w:szCs w:val="22"/>
                <w:highlight w:val="yellow"/>
                <w:lang w:val="en-US"/>
              </w:rPr>
              <w:t>, &lt;regulation-object&gt;</w:t>
            </w:r>
            <w:r w:rsidRPr="00A5626D">
              <w:rPr>
                <w:rFonts w:ascii="Garamond" w:hAnsi="Garamond" w:cstheme="minorHAnsi"/>
                <w:sz w:val="22"/>
                <w:szCs w:val="22"/>
                <w:lang w:val="en-US"/>
              </w:rPr>
              <w:t>.</w:t>
            </w:r>
          </w:p>
        </w:tc>
      </w:tr>
      <w:tr w:rsidR="00295C6D" w:rsidRPr="00A5626D" w14:paraId="1D3EF10C" w14:textId="77777777" w:rsidTr="00647FA0">
        <w:tc>
          <w:tcPr>
            <w:tcW w:w="1060" w:type="dxa"/>
            <w:vAlign w:val="center"/>
          </w:tcPr>
          <w:p w14:paraId="57D72F56" w14:textId="158F9153" w:rsidR="00295C6D" w:rsidRPr="00A5626D" w:rsidRDefault="00295C6D" w:rsidP="00E31AE6">
            <w:pPr>
              <w:widowControl w:val="0"/>
              <w:tabs>
                <w:tab w:val="left" w:pos="1134"/>
                <w:tab w:val="left" w:pos="7938"/>
              </w:tabs>
              <w:spacing w:line="22" w:lineRule="atLeast"/>
              <w:jc w:val="both"/>
              <w:rPr>
                <w:rFonts w:ascii="Garamond" w:hAnsi="Garamond"/>
                <w:b/>
                <w:sz w:val="22"/>
                <w:szCs w:val="22"/>
                <w:lang w:val="en-US" w:eastAsia="en-US"/>
              </w:rPr>
            </w:pPr>
            <w:r w:rsidRPr="00A5626D">
              <w:rPr>
                <w:rFonts w:ascii="Garamond" w:hAnsi="Garamond"/>
                <w:b/>
                <w:sz w:val="22"/>
                <w:szCs w:val="22"/>
                <w:lang w:eastAsia="en-US"/>
              </w:rPr>
              <w:t>Приложение 5, п.</w:t>
            </w:r>
            <w:r w:rsidR="00647FA0" w:rsidRPr="00A5626D">
              <w:rPr>
                <w:rFonts w:ascii="Garamond" w:hAnsi="Garamond"/>
                <w:b/>
                <w:sz w:val="22"/>
                <w:szCs w:val="22"/>
                <w:lang w:eastAsia="en-US"/>
              </w:rPr>
              <w:t> </w:t>
            </w:r>
            <w:r w:rsidRPr="00A5626D">
              <w:rPr>
                <w:rFonts w:ascii="Garamond" w:hAnsi="Garamond"/>
                <w:b/>
                <w:sz w:val="22"/>
                <w:szCs w:val="22"/>
                <w:lang w:eastAsia="en-US"/>
              </w:rPr>
              <w:t>4.2.1.1</w:t>
            </w:r>
            <w:r w:rsidRPr="00A5626D">
              <w:rPr>
                <w:rFonts w:ascii="Garamond" w:hAnsi="Garamond"/>
                <w:b/>
                <w:sz w:val="22"/>
                <w:szCs w:val="22"/>
                <w:lang w:eastAsia="en-US"/>
              </w:rPr>
              <w:lastRenderedPageBreak/>
              <w:t>.3.1</w:t>
            </w:r>
          </w:p>
        </w:tc>
        <w:tc>
          <w:tcPr>
            <w:tcW w:w="6662" w:type="dxa"/>
          </w:tcPr>
          <w:p w14:paraId="753FCD15" w14:textId="77777777" w:rsidR="00295C6D" w:rsidRPr="00A5626D" w:rsidRDefault="00295C6D" w:rsidP="00E31AE6">
            <w:pPr>
              <w:tabs>
                <w:tab w:val="left" w:pos="1134"/>
                <w:tab w:val="left" w:pos="7938"/>
              </w:tabs>
              <w:spacing w:before="120" w:after="120"/>
              <w:ind w:firstLine="567"/>
              <w:jc w:val="both"/>
              <w:rPr>
                <w:rFonts w:ascii="Garamond" w:hAnsi="Garamond" w:cstheme="minorHAnsi"/>
                <w:sz w:val="22"/>
                <w:szCs w:val="22"/>
              </w:rPr>
            </w:pPr>
            <w:r w:rsidRPr="00A5626D">
              <w:rPr>
                <w:rFonts w:ascii="Garamond" w:hAnsi="Garamond" w:cstheme="minorHAnsi"/>
                <w:sz w:val="22"/>
                <w:szCs w:val="22"/>
              </w:rPr>
              <w:lastRenderedPageBreak/>
              <w:t xml:space="preserve">&lt;aup-delivery-points&gt; </w:t>
            </w:r>
          </w:p>
          <w:p w14:paraId="2BAB8C7A" w14:textId="77777777" w:rsidR="00295C6D" w:rsidRPr="00A5626D" w:rsidRDefault="00295C6D" w:rsidP="00E31AE6">
            <w:pPr>
              <w:tabs>
                <w:tab w:val="left" w:pos="1134"/>
                <w:tab w:val="left" w:pos="7938"/>
              </w:tabs>
              <w:spacing w:before="120" w:after="120"/>
              <w:ind w:firstLine="567"/>
              <w:jc w:val="both"/>
              <w:rPr>
                <w:rFonts w:ascii="Garamond" w:hAnsi="Garamond" w:cstheme="minorHAnsi"/>
                <w:sz w:val="22"/>
                <w:szCs w:val="22"/>
              </w:rPr>
            </w:pPr>
            <w:r w:rsidRPr="00A5626D">
              <w:rPr>
                <w:rFonts w:ascii="Garamond" w:hAnsi="Garamond" w:cstheme="minorHAnsi"/>
                <w:sz w:val="22"/>
                <w:szCs w:val="22"/>
              </w:rPr>
              <w:lastRenderedPageBreak/>
              <w:t>Элемент &lt;</w:t>
            </w:r>
            <w:r w:rsidRPr="00A5626D">
              <w:rPr>
                <w:rFonts w:ascii="Garamond" w:hAnsi="Garamond" w:cstheme="minorHAnsi"/>
                <w:b/>
                <w:sz w:val="22"/>
                <w:szCs w:val="22"/>
              </w:rPr>
              <w:t>aup-delivery-points</w:t>
            </w:r>
            <w:r w:rsidRPr="00A5626D">
              <w:rPr>
                <w:rFonts w:ascii="Garamond" w:hAnsi="Garamond" w:cstheme="minorHAnsi"/>
                <w:sz w:val="22"/>
                <w:szCs w:val="22"/>
              </w:rPr>
              <w:t xml:space="preserve">&gt; описывает алгоритм расчета величины электроэнергии в точках поставки. </w:t>
            </w:r>
          </w:p>
          <w:p w14:paraId="6F38E2E2" w14:textId="77777777" w:rsidR="00295C6D" w:rsidRPr="00A5626D" w:rsidRDefault="00295C6D" w:rsidP="00E31AE6">
            <w:pPr>
              <w:tabs>
                <w:tab w:val="left" w:pos="1134"/>
                <w:tab w:val="left" w:pos="7938"/>
              </w:tabs>
              <w:spacing w:before="120" w:after="120"/>
              <w:ind w:firstLine="567"/>
              <w:jc w:val="both"/>
              <w:rPr>
                <w:rFonts w:ascii="Garamond" w:hAnsi="Garamond" w:cstheme="minorHAnsi"/>
                <w:bCs/>
                <w:sz w:val="22"/>
                <w:szCs w:val="22"/>
              </w:rPr>
            </w:pPr>
            <w:r w:rsidRPr="00A5626D">
              <w:rPr>
                <w:rFonts w:ascii="Garamond" w:hAnsi="Garamond" w:cstheme="minorHAnsi"/>
                <w:sz w:val="22"/>
                <w:szCs w:val="22"/>
              </w:rPr>
              <w:t>В макете должен быть один элемент &lt;aup-delivery-points&gt;.</w:t>
            </w:r>
          </w:p>
          <w:p w14:paraId="7464EBA3" w14:textId="77777777" w:rsidR="00295C6D" w:rsidRPr="00A5626D" w:rsidRDefault="00295C6D" w:rsidP="00E31AE6">
            <w:pPr>
              <w:tabs>
                <w:tab w:val="left" w:pos="1134"/>
                <w:tab w:val="left" w:pos="7938"/>
              </w:tabs>
              <w:spacing w:before="120" w:after="120"/>
              <w:ind w:firstLine="567"/>
              <w:jc w:val="both"/>
              <w:rPr>
                <w:rFonts w:ascii="Garamond" w:hAnsi="Garamond" w:cstheme="minorHAnsi"/>
                <w:sz w:val="22"/>
                <w:szCs w:val="22"/>
              </w:rPr>
            </w:pPr>
            <w:r w:rsidRPr="00A5626D">
              <w:rPr>
                <w:rFonts w:ascii="Garamond" w:hAnsi="Garamond" w:cstheme="minorHAnsi"/>
                <w:sz w:val="22"/>
                <w:szCs w:val="22"/>
              </w:rPr>
              <w:t>Потомками элемента &lt;aup-delivery-points&gt; являются элементы &lt;aup-delivery-point&gt;, число которых соответствует числу точек поставки.</w:t>
            </w:r>
          </w:p>
        </w:tc>
        <w:tc>
          <w:tcPr>
            <w:tcW w:w="7088" w:type="dxa"/>
          </w:tcPr>
          <w:p w14:paraId="5EB0D003" w14:textId="77777777" w:rsidR="00295C6D" w:rsidRPr="00A5626D" w:rsidRDefault="00295C6D" w:rsidP="00E31AE6">
            <w:pPr>
              <w:tabs>
                <w:tab w:val="left" w:pos="1134"/>
                <w:tab w:val="left" w:pos="7938"/>
              </w:tabs>
              <w:spacing w:before="120" w:after="120"/>
              <w:ind w:firstLine="567"/>
              <w:jc w:val="both"/>
              <w:rPr>
                <w:rFonts w:ascii="Garamond" w:hAnsi="Garamond" w:cstheme="minorHAnsi"/>
                <w:sz w:val="22"/>
                <w:szCs w:val="22"/>
              </w:rPr>
            </w:pPr>
            <w:r w:rsidRPr="00A5626D">
              <w:rPr>
                <w:rFonts w:ascii="Garamond" w:hAnsi="Garamond" w:cstheme="minorHAnsi"/>
                <w:sz w:val="22"/>
                <w:szCs w:val="22"/>
              </w:rPr>
              <w:lastRenderedPageBreak/>
              <w:t xml:space="preserve">&lt;aup-delivery-points&gt; </w:t>
            </w:r>
          </w:p>
          <w:p w14:paraId="4028F069" w14:textId="77777777" w:rsidR="00295C6D" w:rsidRPr="00A5626D" w:rsidRDefault="00295C6D" w:rsidP="00E31AE6">
            <w:pPr>
              <w:tabs>
                <w:tab w:val="left" w:pos="1134"/>
                <w:tab w:val="left" w:pos="7938"/>
              </w:tabs>
              <w:spacing w:before="120" w:after="120"/>
              <w:ind w:firstLine="567"/>
              <w:jc w:val="both"/>
              <w:rPr>
                <w:rFonts w:ascii="Garamond" w:hAnsi="Garamond" w:cstheme="minorHAnsi"/>
                <w:sz w:val="22"/>
                <w:szCs w:val="22"/>
              </w:rPr>
            </w:pPr>
            <w:r w:rsidRPr="00A5626D">
              <w:rPr>
                <w:rFonts w:ascii="Garamond" w:hAnsi="Garamond" w:cstheme="minorHAnsi"/>
                <w:sz w:val="22"/>
                <w:szCs w:val="22"/>
              </w:rPr>
              <w:lastRenderedPageBreak/>
              <w:t>Элемент &lt;</w:t>
            </w:r>
            <w:r w:rsidRPr="00A5626D">
              <w:rPr>
                <w:rFonts w:ascii="Garamond" w:hAnsi="Garamond" w:cstheme="minorHAnsi"/>
                <w:b/>
                <w:sz w:val="22"/>
                <w:szCs w:val="22"/>
              </w:rPr>
              <w:t>aup-delivery-points</w:t>
            </w:r>
            <w:r w:rsidRPr="00A5626D">
              <w:rPr>
                <w:rFonts w:ascii="Garamond" w:hAnsi="Garamond" w:cstheme="minorHAnsi"/>
                <w:sz w:val="22"/>
                <w:szCs w:val="22"/>
              </w:rPr>
              <w:t xml:space="preserve">&gt; описывает алгоритм расчета величины электроэнергии в точках поставки </w:t>
            </w:r>
            <w:r w:rsidRPr="00A5626D">
              <w:rPr>
                <w:rFonts w:ascii="Garamond" w:hAnsi="Garamond" w:cstheme="minorHAnsi"/>
                <w:sz w:val="22"/>
                <w:szCs w:val="22"/>
                <w:highlight w:val="yellow"/>
              </w:rPr>
              <w:t>(точках присоединения)</w:t>
            </w:r>
            <w:r w:rsidRPr="00A5626D">
              <w:rPr>
                <w:rFonts w:ascii="Garamond" w:hAnsi="Garamond" w:cstheme="minorHAnsi"/>
                <w:sz w:val="22"/>
                <w:szCs w:val="22"/>
              </w:rPr>
              <w:t xml:space="preserve">. </w:t>
            </w:r>
          </w:p>
          <w:p w14:paraId="7D9BC681" w14:textId="77777777" w:rsidR="00295C6D" w:rsidRPr="00A5626D" w:rsidRDefault="00295C6D" w:rsidP="00E31AE6">
            <w:pPr>
              <w:tabs>
                <w:tab w:val="left" w:pos="1134"/>
                <w:tab w:val="left" w:pos="7938"/>
              </w:tabs>
              <w:spacing w:before="120" w:after="120"/>
              <w:ind w:firstLine="567"/>
              <w:jc w:val="both"/>
              <w:rPr>
                <w:rFonts w:ascii="Garamond" w:hAnsi="Garamond" w:cstheme="minorHAnsi"/>
                <w:bCs/>
                <w:sz w:val="22"/>
                <w:szCs w:val="22"/>
              </w:rPr>
            </w:pPr>
            <w:r w:rsidRPr="00A5626D">
              <w:rPr>
                <w:rFonts w:ascii="Garamond" w:hAnsi="Garamond" w:cstheme="minorHAnsi"/>
                <w:sz w:val="22"/>
                <w:szCs w:val="22"/>
              </w:rPr>
              <w:t>В макете должен быть один элемент &lt;aup-delivery-points&gt;.</w:t>
            </w:r>
          </w:p>
          <w:p w14:paraId="5C1B4550" w14:textId="77777777" w:rsidR="00295C6D" w:rsidRPr="00A5626D" w:rsidRDefault="00295C6D" w:rsidP="00E31AE6">
            <w:pPr>
              <w:pStyle w:val="2"/>
              <w:numPr>
                <w:ilvl w:val="0"/>
                <w:numId w:val="0"/>
              </w:numPr>
              <w:tabs>
                <w:tab w:val="left" w:pos="1134"/>
                <w:tab w:val="left" w:pos="7938"/>
              </w:tabs>
              <w:suppressAutoHyphens w:val="0"/>
              <w:spacing w:line="22" w:lineRule="atLeast"/>
              <w:ind w:firstLine="629"/>
              <w:jc w:val="both"/>
              <w:rPr>
                <w:rFonts w:ascii="Garamond" w:hAnsi="Garamond" w:cstheme="minorHAnsi"/>
                <w:b w:val="0"/>
              </w:rPr>
            </w:pPr>
            <w:r w:rsidRPr="00A5626D">
              <w:rPr>
                <w:rFonts w:ascii="Garamond" w:hAnsi="Garamond" w:cstheme="minorHAnsi"/>
                <w:b w:val="0"/>
              </w:rPr>
              <w:t xml:space="preserve">Потомками элемента &lt;aup-delivery-points&gt; являются элементы &lt;aup-delivery-point&gt;, число которых соответствует числу точек поставки </w:t>
            </w:r>
            <w:r w:rsidRPr="00A5626D">
              <w:rPr>
                <w:rFonts w:ascii="Garamond" w:hAnsi="Garamond" w:cstheme="minorHAnsi"/>
                <w:b w:val="0"/>
                <w:highlight w:val="yellow"/>
              </w:rPr>
              <w:t>(точек присоединения)</w:t>
            </w:r>
            <w:r w:rsidRPr="00A5626D">
              <w:rPr>
                <w:rFonts w:ascii="Garamond" w:hAnsi="Garamond" w:cstheme="minorHAnsi"/>
                <w:b w:val="0"/>
              </w:rPr>
              <w:t>.</w:t>
            </w:r>
          </w:p>
        </w:tc>
      </w:tr>
      <w:tr w:rsidR="00295C6D" w:rsidRPr="00A5626D" w14:paraId="5A867217" w14:textId="77777777" w:rsidTr="00647FA0">
        <w:tc>
          <w:tcPr>
            <w:tcW w:w="1060" w:type="dxa"/>
            <w:vAlign w:val="center"/>
          </w:tcPr>
          <w:p w14:paraId="12B20AD1" w14:textId="7A33BFB3" w:rsidR="00295C6D" w:rsidRPr="00A5626D" w:rsidRDefault="00295C6D" w:rsidP="00E31AE6">
            <w:pPr>
              <w:widowControl w:val="0"/>
              <w:tabs>
                <w:tab w:val="left" w:pos="1134"/>
                <w:tab w:val="left" w:pos="7938"/>
              </w:tabs>
              <w:spacing w:line="22" w:lineRule="atLeast"/>
              <w:jc w:val="both"/>
              <w:rPr>
                <w:rFonts w:ascii="Garamond" w:hAnsi="Garamond"/>
                <w:b/>
                <w:sz w:val="22"/>
                <w:szCs w:val="22"/>
                <w:lang w:eastAsia="en-US"/>
              </w:rPr>
            </w:pPr>
            <w:r w:rsidRPr="00A5626D">
              <w:rPr>
                <w:rFonts w:ascii="Garamond" w:hAnsi="Garamond"/>
                <w:b/>
                <w:sz w:val="22"/>
                <w:szCs w:val="22"/>
                <w:lang w:eastAsia="en-US"/>
              </w:rPr>
              <w:lastRenderedPageBreak/>
              <w:t>Приложение 5, п.</w:t>
            </w:r>
            <w:r w:rsidR="00647FA0" w:rsidRPr="00A5626D">
              <w:rPr>
                <w:rFonts w:ascii="Garamond" w:hAnsi="Garamond"/>
                <w:b/>
                <w:sz w:val="22"/>
                <w:szCs w:val="22"/>
                <w:lang w:eastAsia="en-US"/>
              </w:rPr>
              <w:t> </w:t>
            </w:r>
            <w:r w:rsidRPr="00A5626D">
              <w:rPr>
                <w:rFonts w:ascii="Garamond" w:hAnsi="Garamond"/>
                <w:b/>
                <w:sz w:val="22"/>
                <w:szCs w:val="22"/>
                <w:lang w:eastAsia="en-US"/>
              </w:rPr>
              <w:t>4.2.1.1.3.1.1</w:t>
            </w:r>
          </w:p>
        </w:tc>
        <w:tc>
          <w:tcPr>
            <w:tcW w:w="6662" w:type="dxa"/>
          </w:tcPr>
          <w:p w14:paraId="5355A2E8" w14:textId="77777777" w:rsidR="00295C6D" w:rsidRPr="00A5626D" w:rsidRDefault="00295C6D" w:rsidP="00E31AE6">
            <w:pPr>
              <w:tabs>
                <w:tab w:val="left" w:pos="1134"/>
                <w:tab w:val="left" w:pos="7938"/>
              </w:tabs>
              <w:spacing w:before="120" w:after="120"/>
              <w:ind w:firstLine="567"/>
              <w:jc w:val="both"/>
              <w:rPr>
                <w:rFonts w:ascii="Garamond" w:hAnsi="Garamond" w:cstheme="minorHAnsi"/>
                <w:sz w:val="22"/>
                <w:szCs w:val="22"/>
              </w:rPr>
            </w:pPr>
            <w:r w:rsidRPr="00A5626D">
              <w:rPr>
                <w:rFonts w:ascii="Garamond" w:hAnsi="Garamond" w:cstheme="minorHAnsi"/>
                <w:sz w:val="22"/>
                <w:szCs w:val="22"/>
              </w:rPr>
              <w:t>&lt;aup-delivery-point&gt;</w:t>
            </w:r>
          </w:p>
          <w:p w14:paraId="175773DA" w14:textId="77777777" w:rsidR="00295C6D" w:rsidRPr="00A5626D" w:rsidRDefault="00295C6D" w:rsidP="00E31AE6">
            <w:pPr>
              <w:tabs>
                <w:tab w:val="left" w:pos="1134"/>
                <w:tab w:val="left" w:pos="7938"/>
              </w:tabs>
              <w:spacing w:before="120" w:after="120"/>
              <w:ind w:firstLine="567"/>
              <w:jc w:val="both"/>
              <w:rPr>
                <w:rFonts w:ascii="Garamond" w:hAnsi="Garamond" w:cstheme="minorHAnsi"/>
                <w:bCs/>
                <w:sz w:val="22"/>
                <w:szCs w:val="22"/>
              </w:rPr>
            </w:pPr>
            <w:r w:rsidRPr="00A5626D">
              <w:rPr>
                <w:rFonts w:ascii="Garamond" w:hAnsi="Garamond" w:cstheme="minorHAnsi"/>
                <w:sz w:val="22"/>
                <w:szCs w:val="22"/>
              </w:rPr>
              <w:t>В макете должен быть хотя бы один элемент &lt;aup-delivery-point&gt;.</w:t>
            </w:r>
          </w:p>
          <w:p w14:paraId="1104364F" w14:textId="77777777" w:rsidR="00295C6D" w:rsidRPr="00A5626D" w:rsidRDefault="00295C6D" w:rsidP="00E31AE6">
            <w:pPr>
              <w:tabs>
                <w:tab w:val="left" w:pos="1134"/>
                <w:tab w:val="left" w:pos="7938"/>
              </w:tabs>
              <w:spacing w:before="120" w:after="120"/>
              <w:ind w:firstLine="567"/>
              <w:jc w:val="both"/>
              <w:rPr>
                <w:rFonts w:ascii="Garamond" w:hAnsi="Garamond" w:cstheme="minorHAnsi"/>
                <w:sz w:val="22"/>
                <w:szCs w:val="22"/>
              </w:rPr>
            </w:pPr>
            <w:r w:rsidRPr="00A5626D">
              <w:rPr>
                <w:rFonts w:ascii="Garamond" w:hAnsi="Garamond" w:cstheme="minorHAnsi"/>
                <w:sz w:val="22"/>
                <w:szCs w:val="22"/>
              </w:rPr>
              <w:t>Атрибутами элемента &lt;aup-delivery-point&gt; являются:</w:t>
            </w:r>
          </w:p>
          <w:p w14:paraId="69A42C72" w14:textId="77777777" w:rsidR="00295C6D" w:rsidRPr="00A5626D" w:rsidRDefault="00295C6D" w:rsidP="00295C6D">
            <w:pPr>
              <w:widowControl w:val="0"/>
              <w:numPr>
                <w:ilvl w:val="0"/>
                <w:numId w:val="240"/>
              </w:numPr>
              <w:tabs>
                <w:tab w:val="left" w:pos="1134"/>
                <w:tab w:val="left" w:pos="7938"/>
              </w:tabs>
              <w:suppressAutoHyphens w:val="0"/>
              <w:autoSpaceDE w:val="0"/>
              <w:autoSpaceDN w:val="0"/>
              <w:adjustRightInd w:val="0"/>
              <w:spacing w:before="60" w:after="60"/>
              <w:ind w:left="0" w:firstLine="567"/>
              <w:jc w:val="both"/>
              <w:rPr>
                <w:rFonts w:ascii="Garamond" w:hAnsi="Garamond" w:cstheme="minorHAnsi"/>
                <w:sz w:val="22"/>
                <w:szCs w:val="22"/>
              </w:rPr>
            </w:pPr>
            <w:r w:rsidRPr="00A5626D">
              <w:rPr>
                <w:rFonts w:ascii="Garamond" w:hAnsi="Garamond" w:cstheme="minorHAnsi"/>
                <w:sz w:val="22"/>
                <w:szCs w:val="22"/>
                <w:lang w:val="en-US"/>
              </w:rPr>
              <w:t>id</w:t>
            </w:r>
            <w:r w:rsidRPr="00A5626D">
              <w:rPr>
                <w:rFonts w:ascii="Garamond" w:hAnsi="Garamond" w:cstheme="minorHAnsi"/>
                <w:sz w:val="22"/>
                <w:szCs w:val="22"/>
              </w:rPr>
              <w:t>-</w:t>
            </w:r>
            <w:r w:rsidRPr="00A5626D">
              <w:rPr>
                <w:rFonts w:ascii="Garamond" w:hAnsi="Garamond" w:cstheme="minorHAnsi"/>
                <w:sz w:val="22"/>
                <w:szCs w:val="22"/>
                <w:lang w:val="en-US"/>
              </w:rPr>
              <w:t>org</w:t>
            </w:r>
            <w:r w:rsidRPr="00A5626D">
              <w:rPr>
                <w:rFonts w:ascii="Garamond" w:hAnsi="Garamond" w:cstheme="minorHAnsi"/>
                <w:sz w:val="22"/>
                <w:szCs w:val="22"/>
              </w:rPr>
              <w:t xml:space="preserve"> – ссылка на поставщика информации. Является обязательным атрибутом, является числом из одного знака;</w:t>
            </w:r>
          </w:p>
          <w:p w14:paraId="5A49F0A6" w14:textId="77777777" w:rsidR="00295C6D" w:rsidRPr="00A5626D" w:rsidRDefault="00295C6D" w:rsidP="00295C6D">
            <w:pPr>
              <w:widowControl w:val="0"/>
              <w:numPr>
                <w:ilvl w:val="0"/>
                <w:numId w:val="240"/>
              </w:numPr>
              <w:tabs>
                <w:tab w:val="left" w:pos="1134"/>
                <w:tab w:val="left" w:pos="7938"/>
              </w:tabs>
              <w:suppressAutoHyphens w:val="0"/>
              <w:autoSpaceDE w:val="0"/>
              <w:autoSpaceDN w:val="0"/>
              <w:adjustRightInd w:val="0"/>
              <w:spacing w:before="60" w:after="60"/>
              <w:ind w:left="0" w:firstLine="567"/>
              <w:jc w:val="both"/>
              <w:rPr>
                <w:rFonts w:ascii="Garamond" w:hAnsi="Garamond" w:cstheme="minorHAnsi"/>
                <w:sz w:val="22"/>
                <w:szCs w:val="22"/>
              </w:rPr>
            </w:pPr>
            <w:r w:rsidRPr="00A5626D">
              <w:rPr>
                <w:rFonts w:ascii="Garamond" w:hAnsi="Garamond" w:cstheme="minorHAnsi"/>
                <w:sz w:val="22"/>
                <w:szCs w:val="22"/>
              </w:rPr>
              <w:t>id-delivery-point – внутренний идентификатор точки поставки, совпадает с соответствующим атрибутом &lt;</w:t>
            </w:r>
            <w:r w:rsidRPr="00A5626D">
              <w:rPr>
                <w:rFonts w:ascii="Garamond" w:hAnsi="Garamond" w:cstheme="minorHAnsi"/>
                <w:sz w:val="22"/>
                <w:szCs w:val="22"/>
                <w:lang w:val="en-US"/>
              </w:rPr>
              <w:t>delivery</w:t>
            </w:r>
            <w:r w:rsidRPr="00A5626D">
              <w:rPr>
                <w:rFonts w:ascii="Garamond" w:hAnsi="Garamond" w:cstheme="minorHAnsi"/>
                <w:sz w:val="22"/>
                <w:szCs w:val="22"/>
              </w:rPr>
              <w:t>-p</w:t>
            </w:r>
            <w:r w:rsidRPr="00A5626D">
              <w:rPr>
                <w:rFonts w:ascii="Garamond" w:hAnsi="Garamond" w:cstheme="minorHAnsi"/>
                <w:sz w:val="22"/>
                <w:szCs w:val="22"/>
                <w:lang w:val="en-US"/>
              </w:rPr>
              <w:t>oints</w:t>
            </w:r>
            <w:r w:rsidRPr="00A5626D">
              <w:rPr>
                <w:rFonts w:ascii="Garamond" w:hAnsi="Garamond" w:cstheme="minorHAnsi"/>
                <w:sz w:val="22"/>
                <w:szCs w:val="22"/>
              </w:rPr>
              <w:t>&gt;. Число до 4 знаков (1, 01, 001 и 0001 считаются одинаковыми идентификаторами). Является обязательным атрибутом;</w:t>
            </w:r>
          </w:p>
          <w:p w14:paraId="61A1E4F9" w14:textId="77777777" w:rsidR="00295C6D" w:rsidRPr="00A5626D" w:rsidRDefault="00295C6D" w:rsidP="00295C6D">
            <w:pPr>
              <w:widowControl w:val="0"/>
              <w:numPr>
                <w:ilvl w:val="0"/>
                <w:numId w:val="240"/>
              </w:numPr>
              <w:tabs>
                <w:tab w:val="left" w:pos="1134"/>
                <w:tab w:val="left" w:pos="7938"/>
              </w:tabs>
              <w:suppressAutoHyphens w:val="0"/>
              <w:autoSpaceDE w:val="0"/>
              <w:autoSpaceDN w:val="0"/>
              <w:adjustRightInd w:val="0"/>
              <w:spacing w:before="60" w:after="60"/>
              <w:ind w:left="0" w:firstLine="567"/>
              <w:jc w:val="both"/>
              <w:rPr>
                <w:rFonts w:ascii="Garamond" w:hAnsi="Garamond" w:cstheme="minorHAnsi"/>
                <w:sz w:val="22"/>
                <w:szCs w:val="22"/>
              </w:rPr>
            </w:pPr>
            <w:r w:rsidRPr="00A5626D">
              <w:rPr>
                <w:rFonts w:ascii="Garamond" w:hAnsi="Garamond" w:cstheme="minorHAnsi"/>
                <w:sz w:val="22"/>
                <w:szCs w:val="22"/>
              </w:rPr>
              <w:t>id-aiis – ссылка на идентификатор АИИС для данной конфигурации точки поставки.</w:t>
            </w:r>
          </w:p>
          <w:p w14:paraId="1ADA080A" w14:textId="77777777" w:rsidR="00295C6D" w:rsidRPr="00A5626D" w:rsidRDefault="00295C6D" w:rsidP="00E31AE6">
            <w:pPr>
              <w:tabs>
                <w:tab w:val="left" w:pos="1134"/>
                <w:tab w:val="left" w:pos="7938"/>
              </w:tabs>
              <w:spacing w:before="120" w:after="120"/>
              <w:ind w:firstLine="567"/>
              <w:jc w:val="both"/>
              <w:rPr>
                <w:rFonts w:ascii="Garamond" w:hAnsi="Garamond" w:cstheme="minorHAnsi"/>
                <w:bCs/>
                <w:sz w:val="22"/>
                <w:szCs w:val="22"/>
              </w:rPr>
            </w:pPr>
            <w:r w:rsidRPr="00A5626D">
              <w:rPr>
                <w:rFonts w:ascii="Garamond" w:hAnsi="Garamond" w:cstheme="minorHAnsi"/>
                <w:sz w:val="22"/>
                <w:szCs w:val="22"/>
              </w:rPr>
              <w:t>Дочерними</w:t>
            </w:r>
            <w:r w:rsidRPr="00A5626D">
              <w:rPr>
                <w:rFonts w:ascii="Garamond" w:hAnsi="Garamond" w:cstheme="minorHAnsi"/>
                <w:sz w:val="22"/>
                <w:szCs w:val="22"/>
                <w:lang w:val="en-US"/>
              </w:rPr>
              <w:t xml:space="preserve"> </w:t>
            </w:r>
            <w:r w:rsidRPr="00A5626D">
              <w:rPr>
                <w:rFonts w:ascii="Garamond" w:hAnsi="Garamond" w:cstheme="minorHAnsi"/>
                <w:sz w:val="22"/>
                <w:szCs w:val="22"/>
              </w:rPr>
              <w:t>элементами</w:t>
            </w:r>
            <w:r w:rsidRPr="00A5626D">
              <w:rPr>
                <w:rFonts w:ascii="Garamond" w:hAnsi="Garamond" w:cstheme="minorHAnsi"/>
                <w:sz w:val="22"/>
                <w:szCs w:val="22"/>
                <w:lang w:val="en-US"/>
              </w:rPr>
              <w:t xml:space="preserve"> </w:t>
            </w:r>
            <w:r w:rsidRPr="00A5626D">
              <w:rPr>
                <w:rFonts w:ascii="Garamond" w:hAnsi="Garamond" w:cstheme="minorHAnsi"/>
                <w:sz w:val="22"/>
                <w:szCs w:val="22"/>
              </w:rPr>
              <w:t>являются</w:t>
            </w:r>
            <w:r w:rsidRPr="00A5626D">
              <w:rPr>
                <w:rFonts w:ascii="Garamond" w:hAnsi="Garamond" w:cstheme="minorHAnsi"/>
                <w:sz w:val="22"/>
                <w:szCs w:val="22"/>
                <w:lang w:val="en-US"/>
              </w:rPr>
              <w:t xml:space="preserve">: &lt;send&gt;, &lt;send-losses&gt;, &lt;receive&gt;, &lt;receive-losses&gt;. </w:t>
            </w:r>
            <w:r w:rsidRPr="00A5626D">
              <w:rPr>
                <w:rFonts w:ascii="Garamond" w:hAnsi="Garamond" w:cstheme="minorHAnsi"/>
                <w:sz w:val="22"/>
                <w:szCs w:val="22"/>
              </w:rPr>
              <w:t xml:space="preserve">В макете должен присутствовать хотя бы один элемент &lt;send&gt; или &lt;receive&gt;. Элементы &lt;send-losses&gt;, &lt;receive-losses&gt; обязательны только в случае, если необходимо учитывать потери </w:t>
            </w:r>
            <w:r w:rsidRPr="00A5626D">
              <w:rPr>
                <w:rFonts w:ascii="Garamond" w:hAnsi="Garamond" w:cstheme="minorHAnsi"/>
                <w:bCs/>
                <w:sz w:val="22"/>
                <w:szCs w:val="22"/>
              </w:rPr>
              <w:t>электроэнергии</w:t>
            </w:r>
            <w:r w:rsidRPr="00A5626D">
              <w:rPr>
                <w:rFonts w:ascii="Garamond" w:hAnsi="Garamond" w:cstheme="minorHAnsi"/>
                <w:sz w:val="22"/>
                <w:szCs w:val="22"/>
              </w:rPr>
              <w:t xml:space="preserve"> при приведении результатов измерений ТИ к значению электроэнергии в ТП.</w:t>
            </w:r>
          </w:p>
        </w:tc>
        <w:tc>
          <w:tcPr>
            <w:tcW w:w="7088" w:type="dxa"/>
          </w:tcPr>
          <w:p w14:paraId="39732A78" w14:textId="77777777" w:rsidR="00295C6D" w:rsidRPr="00A5626D" w:rsidRDefault="00295C6D" w:rsidP="00E31AE6">
            <w:pPr>
              <w:tabs>
                <w:tab w:val="left" w:pos="1134"/>
                <w:tab w:val="left" w:pos="7938"/>
              </w:tabs>
              <w:spacing w:before="120" w:after="120"/>
              <w:ind w:firstLine="567"/>
              <w:jc w:val="both"/>
              <w:rPr>
                <w:rFonts w:ascii="Garamond" w:hAnsi="Garamond" w:cstheme="minorHAnsi"/>
                <w:sz w:val="22"/>
                <w:szCs w:val="22"/>
              </w:rPr>
            </w:pPr>
            <w:r w:rsidRPr="00A5626D">
              <w:rPr>
                <w:rFonts w:ascii="Garamond" w:hAnsi="Garamond" w:cstheme="minorHAnsi"/>
                <w:sz w:val="22"/>
                <w:szCs w:val="22"/>
              </w:rPr>
              <w:t>&lt;aup-delivery-point&gt;</w:t>
            </w:r>
          </w:p>
          <w:p w14:paraId="12311856" w14:textId="77777777" w:rsidR="00295C6D" w:rsidRPr="00A5626D" w:rsidRDefault="00295C6D" w:rsidP="00E31AE6">
            <w:pPr>
              <w:tabs>
                <w:tab w:val="left" w:pos="1134"/>
                <w:tab w:val="left" w:pos="7938"/>
              </w:tabs>
              <w:spacing w:before="120" w:after="120"/>
              <w:ind w:firstLine="567"/>
              <w:jc w:val="both"/>
              <w:rPr>
                <w:rFonts w:ascii="Garamond" w:hAnsi="Garamond" w:cstheme="minorHAnsi"/>
                <w:bCs/>
                <w:sz w:val="22"/>
                <w:szCs w:val="22"/>
              </w:rPr>
            </w:pPr>
            <w:r w:rsidRPr="00A5626D">
              <w:rPr>
                <w:rFonts w:ascii="Garamond" w:hAnsi="Garamond" w:cstheme="minorHAnsi"/>
                <w:sz w:val="22"/>
                <w:szCs w:val="22"/>
              </w:rPr>
              <w:t>В макете должен быть хотя бы один элемент &lt;aup-delivery-point&gt;.</w:t>
            </w:r>
          </w:p>
          <w:p w14:paraId="007F4D73" w14:textId="77777777" w:rsidR="00295C6D" w:rsidRPr="00A5626D" w:rsidRDefault="00295C6D" w:rsidP="00E31AE6">
            <w:pPr>
              <w:tabs>
                <w:tab w:val="left" w:pos="1134"/>
                <w:tab w:val="left" w:pos="7938"/>
              </w:tabs>
              <w:spacing w:before="120" w:after="120"/>
              <w:ind w:firstLine="567"/>
              <w:jc w:val="both"/>
              <w:rPr>
                <w:rFonts w:ascii="Garamond" w:hAnsi="Garamond" w:cstheme="minorHAnsi"/>
                <w:sz w:val="22"/>
                <w:szCs w:val="22"/>
              </w:rPr>
            </w:pPr>
            <w:r w:rsidRPr="00A5626D">
              <w:rPr>
                <w:rFonts w:ascii="Garamond" w:hAnsi="Garamond" w:cstheme="minorHAnsi"/>
                <w:sz w:val="22"/>
                <w:szCs w:val="22"/>
              </w:rPr>
              <w:t>Атрибутами элемента &lt;aup-delivery-point&gt; являются:</w:t>
            </w:r>
          </w:p>
          <w:p w14:paraId="2ECADCB7" w14:textId="77777777" w:rsidR="00295C6D" w:rsidRPr="00A5626D" w:rsidRDefault="00295C6D" w:rsidP="00295C6D">
            <w:pPr>
              <w:widowControl w:val="0"/>
              <w:numPr>
                <w:ilvl w:val="0"/>
                <w:numId w:val="240"/>
              </w:numPr>
              <w:tabs>
                <w:tab w:val="left" w:pos="1134"/>
                <w:tab w:val="left" w:pos="7938"/>
              </w:tabs>
              <w:suppressAutoHyphens w:val="0"/>
              <w:autoSpaceDE w:val="0"/>
              <w:autoSpaceDN w:val="0"/>
              <w:adjustRightInd w:val="0"/>
              <w:spacing w:before="60" w:after="60"/>
              <w:ind w:left="0" w:firstLine="567"/>
              <w:jc w:val="both"/>
              <w:rPr>
                <w:rFonts w:ascii="Garamond" w:hAnsi="Garamond" w:cstheme="minorHAnsi"/>
                <w:sz w:val="22"/>
                <w:szCs w:val="22"/>
              </w:rPr>
            </w:pPr>
            <w:r w:rsidRPr="00A5626D">
              <w:rPr>
                <w:rFonts w:ascii="Garamond" w:hAnsi="Garamond" w:cstheme="minorHAnsi"/>
                <w:sz w:val="22"/>
                <w:szCs w:val="22"/>
                <w:lang w:val="en-US"/>
              </w:rPr>
              <w:t>id</w:t>
            </w:r>
            <w:r w:rsidRPr="00A5626D">
              <w:rPr>
                <w:rFonts w:ascii="Garamond" w:hAnsi="Garamond" w:cstheme="minorHAnsi"/>
                <w:sz w:val="22"/>
                <w:szCs w:val="22"/>
              </w:rPr>
              <w:t>-</w:t>
            </w:r>
            <w:r w:rsidRPr="00A5626D">
              <w:rPr>
                <w:rFonts w:ascii="Garamond" w:hAnsi="Garamond" w:cstheme="minorHAnsi"/>
                <w:sz w:val="22"/>
                <w:szCs w:val="22"/>
                <w:lang w:val="en-US"/>
              </w:rPr>
              <w:t>org</w:t>
            </w:r>
            <w:r w:rsidRPr="00A5626D">
              <w:rPr>
                <w:rFonts w:ascii="Garamond" w:hAnsi="Garamond" w:cstheme="minorHAnsi"/>
                <w:sz w:val="22"/>
                <w:szCs w:val="22"/>
              </w:rPr>
              <w:t xml:space="preserve"> – ссылка на поставщика информации. Является обязательным атрибутом, является числом из одного знака;</w:t>
            </w:r>
          </w:p>
          <w:p w14:paraId="37822B34" w14:textId="77777777" w:rsidR="00295C6D" w:rsidRPr="00A5626D" w:rsidRDefault="00295C6D" w:rsidP="00295C6D">
            <w:pPr>
              <w:widowControl w:val="0"/>
              <w:numPr>
                <w:ilvl w:val="0"/>
                <w:numId w:val="240"/>
              </w:numPr>
              <w:tabs>
                <w:tab w:val="left" w:pos="1134"/>
                <w:tab w:val="left" w:pos="7938"/>
              </w:tabs>
              <w:suppressAutoHyphens w:val="0"/>
              <w:autoSpaceDE w:val="0"/>
              <w:autoSpaceDN w:val="0"/>
              <w:adjustRightInd w:val="0"/>
              <w:spacing w:before="60" w:after="60"/>
              <w:ind w:left="0" w:firstLine="567"/>
              <w:jc w:val="both"/>
              <w:rPr>
                <w:rFonts w:ascii="Garamond" w:hAnsi="Garamond" w:cstheme="minorHAnsi"/>
                <w:sz w:val="22"/>
                <w:szCs w:val="22"/>
              </w:rPr>
            </w:pPr>
            <w:r w:rsidRPr="00A5626D">
              <w:rPr>
                <w:rFonts w:ascii="Garamond" w:hAnsi="Garamond" w:cstheme="minorHAnsi"/>
                <w:sz w:val="22"/>
                <w:szCs w:val="22"/>
              </w:rPr>
              <w:t xml:space="preserve">id-delivery-point – внутренний идентификатор точки поставки </w:t>
            </w:r>
            <w:r w:rsidRPr="00A5626D">
              <w:rPr>
                <w:rFonts w:ascii="Garamond" w:hAnsi="Garamond" w:cstheme="minorHAnsi"/>
                <w:sz w:val="22"/>
                <w:szCs w:val="22"/>
                <w:highlight w:val="yellow"/>
              </w:rPr>
              <w:t>(точки присоединения)</w:t>
            </w:r>
            <w:r w:rsidRPr="00A5626D">
              <w:rPr>
                <w:rFonts w:ascii="Garamond" w:hAnsi="Garamond" w:cstheme="minorHAnsi"/>
                <w:sz w:val="22"/>
                <w:szCs w:val="22"/>
              </w:rPr>
              <w:t>, совпадает с соответствующим атрибутом &lt;</w:t>
            </w:r>
            <w:r w:rsidRPr="00A5626D">
              <w:rPr>
                <w:rFonts w:ascii="Garamond" w:hAnsi="Garamond" w:cstheme="minorHAnsi"/>
                <w:sz w:val="22"/>
                <w:szCs w:val="22"/>
                <w:lang w:val="en-US"/>
              </w:rPr>
              <w:t>delivery</w:t>
            </w:r>
            <w:r w:rsidRPr="00A5626D">
              <w:rPr>
                <w:rFonts w:ascii="Garamond" w:hAnsi="Garamond" w:cstheme="minorHAnsi"/>
                <w:sz w:val="22"/>
                <w:szCs w:val="22"/>
              </w:rPr>
              <w:t>-p</w:t>
            </w:r>
            <w:r w:rsidRPr="00A5626D">
              <w:rPr>
                <w:rFonts w:ascii="Garamond" w:hAnsi="Garamond" w:cstheme="minorHAnsi"/>
                <w:sz w:val="22"/>
                <w:szCs w:val="22"/>
                <w:lang w:val="en-US"/>
              </w:rPr>
              <w:t>oints</w:t>
            </w:r>
            <w:r w:rsidRPr="00A5626D">
              <w:rPr>
                <w:rFonts w:ascii="Garamond" w:hAnsi="Garamond" w:cstheme="minorHAnsi"/>
                <w:sz w:val="22"/>
                <w:szCs w:val="22"/>
              </w:rPr>
              <w:t>&gt;. Число до 4 знаков (1, 01, 001 и 0001 считаются одинаковыми идентификаторами). Является обязательным атрибутом;</w:t>
            </w:r>
          </w:p>
          <w:p w14:paraId="17C03D40" w14:textId="7F912F1A" w:rsidR="00295C6D" w:rsidRPr="00A5626D" w:rsidRDefault="00295C6D" w:rsidP="00295C6D">
            <w:pPr>
              <w:widowControl w:val="0"/>
              <w:numPr>
                <w:ilvl w:val="0"/>
                <w:numId w:val="240"/>
              </w:numPr>
              <w:tabs>
                <w:tab w:val="left" w:pos="1134"/>
                <w:tab w:val="left" w:pos="7938"/>
              </w:tabs>
              <w:suppressAutoHyphens w:val="0"/>
              <w:autoSpaceDE w:val="0"/>
              <w:autoSpaceDN w:val="0"/>
              <w:adjustRightInd w:val="0"/>
              <w:spacing w:before="60" w:after="60"/>
              <w:ind w:left="0" w:firstLine="567"/>
              <w:jc w:val="both"/>
              <w:rPr>
                <w:rFonts w:ascii="Garamond" w:hAnsi="Garamond" w:cstheme="minorHAnsi"/>
                <w:sz w:val="22"/>
                <w:szCs w:val="22"/>
              </w:rPr>
            </w:pPr>
            <w:r w:rsidRPr="00A5626D">
              <w:rPr>
                <w:rFonts w:ascii="Garamond" w:hAnsi="Garamond" w:cstheme="minorHAnsi"/>
                <w:sz w:val="22"/>
                <w:szCs w:val="22"/>
              </w:rPr>
              <w:t xml:space="preserve">id-aiis – ссылка на идентификатор АИИС </w:t>
            </w:r>
            <w:r w:rsidRPr="00A5626D">
              <w:rPr>
                <w:rFonts w:ascii="Garamond" w:hAnsi="Garamond" w:cstheme="minorHAnsi"/>
                <w:sz w:val="22"/>
                <w:szCs w:val="22"/>
                <w:highlight w:val="yellow"/>
              </w:rPr>
              <w:t>/</w:t>
            </w:r>
            <w:r w:rsidR="0001419A">
              <w:rPr>
                <w:rFonts w:ascii="Garamond" w:hAnsi="Garamond" w:cstheme="minorHAnsi"/>
                <w:sz w:val="22"/>
                <w:szCs w:val="22"/>
                <w:highlight w:val="yellow"/>
              </w:rPr>
              <w:t xml:space="preserve"> с</w:t>
            </w:r>
            <w:r w:rsidRPr="00A5626D">
              <w:rPr>
                <w:rFonts w:ascii="Garamond" w:hAnsi="Garamond" w:cstheme="minorHAnsi"/>
                <w:sz w:val="22"/>
                <w:szCs w:val="22"/>
                <w:highlight w:val="yellow"/>
              </w:rPr>
              <w:t>писок ОР</w:t>
            </w:r>
            <w:r w:rsidRPr="00A5626D">
              <w:rPr>
                <w:rFonts w:ascii="Garamond" w:hAnsi="Garamond" w:cstheme="minorHAnsi"/>
                <w:sz w:val="22"/>
                <w:szCs w:val="22"/>
              </w:rPr>
              <w:t xml:space="preserve"> для данной конфигурации точки поставки </w:t>
            </w:r>
            <w:r w:rsidRPr="00A5626D">
              <w:rPr>
                <w:rFonts w:ascii="Garamond" w:hAnsi="Garamond" w:cstheme="minorHAnsi"/>
                <w:sz w:val="22"/>
                <w:szCs w:val="22"/>
                <w:highlight w:val="yellow"/>
              </w:rPr>
              <w:t>(точки присоединения)</w:t>
            </w:r>
            <w:r w:rsidRPr="00A5626D">
              <w:rPr>
                <w:rFonts w:ascii="Garamond" w:hAnsi="Garamond" w:cstheme="minorHAnsi"/>
                <w:sz w:val="22"/>
                <w:szCs w:val="22"/>
              </w:rPr>
              <w:t>.</w:t>
            </w:r>
          </w:p>
          <w:p w14:paraId="44FA89D4" w14:textId="77777777" w:rsidR="00295C6D" w:rsidRPr="00A5626D" w:rsidRDefault="00295C6D" w:rsidP="00E31AE6">
            <w:pPr>
              <w:pStyle w:val="2"/>
              <w:numPr>
                <w:ilvl w:val="0"/>
                <w:numId w:val="0"/>
              </w:numPr>
              <w:tabs>
                <w:tab w:val="left" w:pos="1134"/>
                <w:tab w:val="left" w:pos="7938"/>
              </w:tabs>
              <w:suppressAutoHyphens w:val="0"/>
              <w:spacing w:line="22" w:lineRule="atLeast"/>
              <w:ind w:firstLine="629"/>
              <w:jc w:val="both"/>
              <w:rPr>
                <w:rFonts w:ascii="Garamond" w:hAnsi="Garamond" w:cstheme="minorHAnsi"/>
                <w:b w:val="0"/>
              </w:rPr>
            </w:pPr>
            <w:r w:rsidRPr="00A5626D">
              <w:rPr>
                <w:rFonts w:ascii="Garamond" w:hAnsi="Garamond" w:cstheme="minorHAnsi"/>
                <w:b w:val="0"/>
              </w:rPr>
              <w:t>Дочерними</w:t>
            </w:r>
            <w:r w:rsidRPr="00A5626D">
              <w:rPr>
                <w:rFonts w:ascii="Garamond" w:hAnsi="Garamond" w:cstheme="minorHAnsi"/>
                <w:b w:val="0"/>
                <w:lang w:val="en-US"/>
              </w:rPr>
              <w:t xml:space="preserve"> </w:t>
            </w:r>
            <w:r w:rsidRPr="00A5626D">
              <w:rPr>
                <w:rFonts w:ascii="Garamond" w:hAnsi="Garamond" w:cstheme="minorHAnsi"/>
                <w:b w:val="0"/>
              </w:rPr>
              <w:t>элементами</w:t>
            </w:r>
            <w:r w:rsidRPr="00A5626D">
              <w:rPr>
                <w:rFonts w:ascii="Garamond" w:hAnsi="Garamond" w:cstheme="minorHAnsi"/>
                <w:b w:val="0"/>
                <w:lang w:val="en-US"/>
              </w:rPr>
              <w:t xml:space="preserve"> </w:t>
            </w:r>
            <w:r w:rsidRPr="00A5626D">
              <w:rPr>
                <w:rFonts w:ascii="Garamond" w:hAnsi="Garamond" w:cstheme="minorHAnsi"/>
                <w:b w:val="0"/>
              </w:rPr>
              <w:t>являются</w:t>
            </w:r>
            <w:r w:rsidRPr="00A5626D">
              <w:rPr>
                <w:rFonts w:ascii="Garamond" w:hAnsi="Garamond" w:cstheme="minorHAnsi"/>
                <w:b w:val="0"/>
                <w:lang w:val="en-US"/>
              </w:rPr>
              <w:t xml:space="preserve">: &lt;send&gt;, &lt;send-losses&gt;, &lt;receive&gt;, &lt;receive-losses&gt;. </w:t>
            </w:r>
            <w:r w:rsidRPr="00A5626D">
              <w:rPr>
                <w:rFonts w:ascii="Garamond" w:hAnsi="Garamond" w:cstheme="minorHAnsi"/>
                <w:b w:val="0"/>
              </w:rPr>
              <w:t>В макете должен присутствовать хотя бы один элемент &lt;send&gt; или &lt;receive&gt;. Элементы &lt;send-losses&gt;, &lt;receive-losses&gt; обязательны только в случае, если необходимо учитывать потери электроэнергии при приведении результатов измерений ТИ к значению электроэнергии в ТП.</w:t>
            </w:r>
          </w:p>
        </w:tc>
      </w:tr>
      <w:tr w:rsidR="00295C6D" w:rsidRPr="00A5626D" w14:paraId="57B0F66A" w14:textId="77777777" w:rsidTr="00647FA0">
        <w:tc>
          <w:tcPr>
            <w:tcW w:w="1060" w:type="dxa"/>
            <w:vAlign w:val="center"/>
          </w:tcPr>
          <w:p w14:paraId="72D3C1A8" w14:textId="1D13614A" w:rsidR="00295C6D" w:rsidRPr="00A5626D" w:rsidRDefault="00295C6D" w:rsidP="00E31AE6">
            <w:pPr>
              <w:widowControl w:val="0"/>
              <w:tabs>
                <w:tab w:val="left" w:pos="1134"/>
                <w:tab w:val="left" w:pos="7938"/>
              </w:tabs>
              <w:spacing w:line="22" w:lineRule="atLeast"/>
              <w:jc w:val="both"/>
              <w:rPr>
                <w:rFonts w:ascii="Garamond" w:hAnsi="Garamond"/>
                <w:b/>
                <w:sz w:val="22"/>
                <w:szCs w:val="22"/>
                <w:lang w:eastAsia="en-US"/>
              </w:rPr>
            </w:pPr>
            <w:r w:rsidRPr="00A5626D">
              <w:rPr>
                <w:rFonts w:ascii="Garamond" w:hAnsi="Garamond"/>
                <w:b/>
                <w:sz w:val="22"/>
                <w:szCs w:val="22"/>
                <w:lang w:eastAsia="en-US"/>
              </w:rPr>
              <w:t>Приложение 5, п.</w:t>
            </w:r>
            <w:r w:rsidR="00647FA0" w:rsidRPr="00A5626D">
              <w:rPr>
                <w:rFonts w:ascii="Garamond" w:hAnsi="Garamond"/>
                <w:b/>
                <w:sz w:val="22"/>
                <w:szCs w:val="22"/>
                <w:lang w:eastAsia="en-US"/>
              </w:rPr>
              <w:t> </w:t>
            </w:r>
            <w:r w:rsidRPr="00A5626D">
              <w:rPr>
                <w:rFonts w:ascii="Garamond" w:hAnsi="Garamond"/>
                <w:b/>
                <w:sz w:val="22"/>
                <w:szCs w:val="22"/>
                <w:lang w:eastAsia="en-US"/>
              </w:rPr>
              <w:t>4.2.1.1.3.2.1.1</w:t>
            </w:r>
            <w:r w:rsidR="009B5F03" w:rsidRPr="00A5626D">
              <w:rPr>
                <w:rFonts w:ascii="Garamond" w:hAnsi="Garamond" w:cstheme="minorHAnsi"/>
                <w:b/>
                <w:sz w:val="22"/>
                <w:szCs w:val="22"/>
              </w:rPr>
              <w:t xml:space="preserve"> </w:t>
            </w:r>
            <w:r w:rsidRPr="00A5626D">
              <w:rPr>
                <w:rFonts w:ascii="Garamond" w:hAnsi="Garamond" w:cstheme="minorHAnsi"/>
                <w:b/>
                <w:sz w:val="22"/>
                <w:szCs w:val="22"/>
              </w:rPr>
              <w:t xml:space="preserve"> </w:t>
            </w:r>
          </w:p>
        </w:tc>
        <w:tc>
          <w:tcPr>
            <w:tcW w:w="6662" w:type="dxa"/>
          </w:tcPr>
          <w:p w14:paraId="40B93A0D" w14:textId="77777777" w:rsidR="00295C6D" w:rsidRPr="00A5626D" w:rsidRDefault="00295C6D" w:rsidP="00E31AE6">
            <w:pPr>
              <w:tabs>
                <w:tab w:val="left" w:pos="1134"/>
                <w:tab w:val="left" w:pos="7938"/>
              </w:tabs>
              <w:spacing w:before="120" w:after="120"/>
              <w:ind w:firstLine="567"/>
              <w:jc w:val="both"/>
              <w:rPr>
                <w:rFonts w:ascii="Garamond" w:hAnsi="Garamond" w:cstheme="minorHAnsi"/>
                <w:sz w:val="22"/>
                <w:szCs w:val="22"/>
              </w:rPr>
            </w:pPr>
            <w:r w:rsidRPr="00A5626D">
              <w:rPr>
                <w:rFonts w:ascii="Garamond" w:hAnsi="Garamond" w:cstheme="minorHAnsi"/>
                <w:sz w:val="22"/>
                <w:szCs w:val="22"/>
              </w:rPr>
              <w:t xml:space="preserve">&lt;or&gt; </w:t>
            </w:r>
          </w:p>
          <w:p w14:paraId="1CF4CD7B" w14:textId="77777777" w:rsidR="00295C6D" w:rsidRPr="00A5626D" w:rsidRDefault="00295C6D" w:rsidP="00E31AE6">
            <w:pPr>
              <w:tabs>
                <w:tab w:val="left" w:pos="1134"/>
                <w:tab w:val="left" w:pos="7938"/>
              </w:tabs>
              <w:spacing w:before="120" w:after="120"/>
              <w:ind w:firstLine="567"/>
              <w:jc w:val="both"/>
              <w:rPr>
                <w:rFonts w:ascii="Garamond" w:hAnsi="Garamond" w:cstheme="minorHAnsi"/>
                <w:sz w:val="22"/>
                <w:szCs w:val="22"/>
              </w:rPr>
            </w:pPr>
            <w:r w:rsidRPr="00A5626D">
              <w:rPr>
                <w:rFonts w:ascii="Garamond" w:hAnsi="Garamond" w:cstheme="minorHAnsi"/>
                <w:sz w:val="22"/>
                <w:szCs w:val="22"/>
              </w:rPr>
              <w:t xml:space="preserve">Атрибуты элемента &lt;or&gt; не должны вступать в противоречие с атрибутами и потомками соответствующих элементов &lt;aup-delivery-point&gt;. </w:t>
            </w:r>
          </w:p>
          <w:p w14:paraId="767BA978" w14:textId="77777777" w:rsidR="00295C6D" w:rsidRPr="00A5626D" w:rsidRDefault="00295C6D" w:rsidP="00E31AE6">
            <w:pPr>
              <w:tabs>
                <w:tab w:val="left" w:pos="1134"/>
                <w:tab w:val="left" w:pos="7938"/>
              </w:tabs>
              <w:spacing w:before="120" w:after="120"/>
              <w:ind w:firstLine="567"/>
              <w:jc w:val="both"/>
              <w:rPr>
                <w:rFonts w:ascii="Garamond" w:hAnsi="Garamond" w:cstheme="minorHAnsi"/>
                <w:sz w:val="22"/>
                <w:szCs w:val="22"/>
              </w:rPr>
            </w:pPr>
            <w:r w:rsidRPr="00A5626D">
              <w:rPr>
                <w:rFonts w:ascii="Garamond" w:hAnsi="Garamond" w:cstheme="minorHAnsi"/>
                <w:sz w:val="22"/>
                <w:szCs w:val="22"/>
              </w:rPr>
              <w:t>Атрибутами элемента &lt;or&gt; являются:</w:t>
            </w:r>
          </w:p>
          <w:p w14:paraId="01214CDF" w14:textId="77777777" w:rsidR="00295C6D" w:rsidRPr="00A5626D" w:rsidRDefault="00295C6D" w:rsidP="00295C6D">
            <w:pPr>
              <w:widowControl w:val="0"/>
              <w:numPr>
                <w:ilvl w:val="0"/>
                <w:numId w:val="240"/>
              </w:numPr>
              <w:tabs>
                <w:tab w:val="left" w:pos="1134"/>
                <w:tab w:val="left" w:pos="7938"/>
              </w:tabs>
              <w:suppressAutoHyphens w:val="0"/>
              <w:autoSpaceDE w:val="0"/>
              <w:autoSpaceDN w:val="0"/>
              <w:adjustRightInd w:val="0"/>
              <w:spacing w:before="60" w:after="60"/>
              <w:ind w:left="0" w:firstLine="567"/>
              <w:jc w:val="both"/>
              <w:rPr>
                <w:rFonts w:ascii="Garamond" w:hAnsi="Garamond" w:cstheme="minorHAnsi"/>
                <w:sz w:val="22"/>
                <w:szCs w:val="22"/>
              </w:rPr>
            </w:pPr>
            <w:r w:rsidRPr="00A5626D">
              <w:rPr>
                <w:rFonts w:ascii="Garamond" w:hAnsi="Garamond" w:cstheme="minorHAnsi"/>
                <w:sz w:val="22"/>
                <w:szCs w:val="22"/>
              </w:rPr>
              <w:t xml:space="preserve">coefficient – коэффициент, определяющий знак, с которым входит в расчет величина по направлению «приема»/«отдачи» </w:t>
            </w:r>
            <w:r w:rsidRPr="00A5626D">
              <w:rPr>
                <w:rFonts w:ascii="Garamond" w:hAnsi="Garamond" w:cstheme="minorHAnsi"/>
                <w:sz w:val="22"/>
                <w:szCs w:val="22"/>
              </w:rPr>
              <w:lastRenderedPageBreak/>
              <w:t>для стороны заявителя. Обязательный атрибут, число длиной до 32 знаков;</w:t>
            </w:r>
          </w:p>
          <w:p w14:paraId="758EA641" w14:textId="77777777" w:rsidR="00295C6D" w:rsidRPr="00A5626D" w:rsidRDefault="00295C6D" w:rsidP="00295C6D">
            <w:pPr>
              <w:widowControl w:val="0"/>
              <w:numPr>
                <w:ilvl w:val="0"/>
                <w:numId w:val="240"/>
              </w:numPr>
              <w:tabs>
                <w:tab w:val="left" w:pos="1134"/>
                <w:tab w:val="left" w:pos="7938"/>
              </w:tabs>
              <w:suppressAutoHyphens w:val="0"/>
              <w:autoSpaceDE w:val="0"/>
              <w:autoSpaceDN w:val="0"/>
              <w:adjustRightInd w:val="0"/>
              <w:spacing w:before="60" w:after="60"/>
              <w:ind w:left="0" w:firstLine="567"/>
              <w:jc w:val="both"/>
              <w:rPr>
                <w:rFonts w:ascii="Garamond" w:hAnsi="Garamond" w:cstheme="minorHAnsi"/>
                <w:sz w:val="22"/>
                <w:szCs w:val="22"/>
              </w:rPr>
            </w:pPr>
            <w:r w:rsidRPr="00A5626D">
              <w:rPr>
                <w:rFonts w:ascii="Garamond" w:hAnsi="Garamond" w:cstheme="minorHAnsi"/>
                <w:sz w:val="22"/>
                <w:szCs w:val="22"/>
                <w:lang w:val="en-US"/>
              </w:rPr>
              <w:t>id</w:t>
            </w:r>
            <w:r w:rsidRPr="00A5626D">
              <w:rPr>
                <w:rFonts w:ascii="Garamond" w:hAnsi="Garamond" w:cstheme="minorHAnsi"/>
                <w:sz w:val="22"/>
                <w:szCs w:val="22"/>
              </w:rPr>
              <w:t>-</w:t>
            </w:r>
            <w:r w:rsidRPr="00A5626D">
              <w:rPr>
                <w:rFonts w:ascii="Garamond" w:hAnsi="Garamond" w:cstheme="minorHAnsi"/>
                <w:sz w:val="22"/>
                <w:szCs w:val="22"/>
                <w:lang w:val="en-US"/>
              </w:rPr>
              <w:t>org</w:t>
            </w:r>
            <w:r w:rsidRPr="00A5626D">
              <w:rPr>
                <w:rFonts w:ascii="Garamond" w:hAnsi="Garamond" w:cstheme="minorHAnsi"/>
                <w:sz w:val="22"/>
                <w:szCs w:val="22"/>
              </w:rPr>
              <w:t xml:space="preserve"> – ссылка на поставщика информации. Является числом из одного знака, обязательный атрибут;</w:t>
            </w:r>
          </w:p>
          <w:p w14:paraId="7C8D01FF" w14:textId="77777777" w:rsidR="00295C6D" w:rsidRPr="00A5626D" w:rsidRDefault="00295C6D" w:rsidP="00295C6D">
            <w:pPr>
              <w:widowControl w:val="0"/>
              <w:numPr>
                <w:ilvl w:val="0"/>
                <w:numId w:val="240"/>
              </w:numPr>
              <w:tabs>
                <w:tab w:val="left" w:pos="1134"/>
                <w:tab w:val="left" w:pos="7938"/>
              </w:tabs>
              <w:suppressAutoHyphens w:val="0"/>
              <w:autoSpaceDE w:val="0"/>
              <w:autoSpaceDN w:val="0"/>
              <w:adjustRightInd w:val="0"/>
              <w:spacing w:before="60" w:after="60"/>
              <w:ind w:left="0" w:firstLine="567"/>
              <w:jc w:val="both"/>
              <w:rPr>
                <w:rFonts w:ascii="Garamond" w:hAnsi="Garamond" w:cstheme="minorHAnsi"/>
                <w:sz w:val="22"/>
                <w:szCs w:val="22"/>
              </w:rPr>
            </w:pPr>
            <w:r w:rsidRPr="00A5626D">
              <w:rPr>
                <w:rFonts w:ascii="Garamond" w:hAnsi="Garamond" w:cstheme="minorHAnsi"/>
                <w:sz w:val="22"/>
                <w:szCs w:val="22"/>
                <w:lang w:val="en-US"/>
              </w:rPr>
              <w:t>id</w:t>
            </w:r>
            <w:r w:rsidRPr="00A5626D">
              <w:rPr>
                <w:rFonts w:ascii="Garamond" w:hAnsi="Garamond" w:cstheme="minorHAnsi"/>
                <w:sz w:val="22"/>
                <w:szCs w:val="22"/>
              </w:rPr>
              <w:t>-</w:t>
            </w:r>
            <w:r w:rsidRPr="00A5626D">
              <w:rPr>
                <w:rFonts w:ascii="Garamond" w:hAnsi="Garamond" w:cstheme="minorHAnsi"/>
                <w:sz w:val="22"/>
                <w:szCs w:val="22"/>
                <w:lang w:val="en-US"/>
              </w:rPr>
              <w:t>aiis</w:t>
            </w:r>
            <w:r w:rsidRPr="00A5626D">
              <w:rPr>
                <w:rFonts w:ascii="Garamond" w:hAnsi="Garamond" w:cstheme="minorHAnsi"/>
                <w:sz w:val="22"/>
                <w:szCs w:val="22"/>
              </w:rPr>
              <w:t xml:space="preserve"> – идентификатор АИИС. Обязательный атрибут, состоит из одного знака;</w:t>
            </w:r>
          </w:p>
          <w:p w14:paraId="48929F14" w14:textId="77777777" w:rsidR="00295C6D" w:rsidRPr="00A5626D" w:rsidRDefault="00295C6D" w:rsidP="00295C6D">
            <w:pPr>
              <w:widowControl w:val="0"/>
              <w:numPr>
                <w:ilvl w:val="0"/>
                <w:numId w:val="240"/>
              </w:numPr>
              <w:tabs>
                <w:tab w:val="left" w:pos="1134"/>
                <w:tab w:val="left" w:pos="7938"/>
              </w:tabs>
              <w:suppressAutoHyphens w:val="0"/>
              <w:autoSpaceDE w:val="0"/>
              <w:autoSpaceDN w:val="0"/>
              <w:adjustRightInd w:val="0"/>
              <w:spacing w:before="60" w:after="60"/>
              <w:ind w:left="0" w:firstLine="567"/>
              <w:jc w:val="both"/>
              <w:rPr>
                <w:rFonts w:ascii="Garamond" w:hAnsi="Garamond" w:cstheme="minorHAnsi"/>
                <w:sz w:val="22"/>
                <w:szCs w:val="22"/>
              </w:rPr>
            </w:pPr>
            <w:r w:rsidRPr="00A5626D">
              <w:rPr>
                <w:rFonts w:ascii="Garamond" w:hAnsi="Garamond" w:cstheme="minorHAnsi"/>
                <w:sz w:val="22"/>
                <w:szCs w:val="22"/>
              </w:rPr>
              <w:t>send-receive – направление перетока. Принимает только значения «send» или «receive». Обязательный атрибут;</w:t>
            </w:r>
          </w:p>
          <w:p w14:paraId="3BED9D74" w14:textId="77777777" w:rsidR="00295C6D" w:rsidRPr="00A5626D" w:rsidRDefault="00295C6D" w:rsidP="00295C6D">
            <w:pPr>
              <w:widowControl w:val="0"/>
              <w:numPr>
                <w:ilvl w:val="0"/>
                <w:numId w:val="240"/>
              </w:numPr>
              <w:tabs>
                <w:tab w:val="left" w:pos="1134"/>
                <w:tab w:val="left" w:pos="7938"/>
              </w:tabs>
              <w:suppressAutoHyphens w:val="0"/>
              <w:autoSpaceDE w:val="0"/>
              <w:autoSpaceDN w:val="0"/>
              <w:adjustRightInd w:val="0"/>
              <w:spacing w:before="60" w:after="60"/>
              <w:ind w:left="0" w:firstLine="567"/>
              <w:jc w:val="both"/>
              <w:rPr>
                <w:rFonts w:ascii="Garamond" w:hAnsi="Garamond" w:cstheme="minorHAnsi"/>
                <w:sz w:val="22"/>
                <w:szCs w:val="22"/>
              </w:rPr>
            </w:pPr>
            <w:r w:rsidRPr="00A5626D">
              <w:rPr>
                <w:rFonts w:ascii="Garamond" w:hAnsi="Garamond" w:cstheme="minorHAnsi"/>
                <w:sz w:val="22"/>
                <w:szCs w:val="22"/>
              </w:rPr>
              <w:t>id-delivery-point – идентификатор точки поставки в соответствии с элементом &lt;</w:t>
            </w:r>
            <w:r w:rsidRPr="00A5626D">
              <w:rPr>
                <w:rFonts w:ascii="Garamond" w:hAnsi="Garamond" w:cstheme="minorHAnsi"/>
                <w:sz w:val="22"/>
                <w:szCs w:val="22"/>
                <w:lang w:val="en-US"/>
              </w:rPr>
              <w:t>delivery</w:t>
            </w:r>
            <w:r w:rsidRPr="00A5626D">
              <w:rPr>
                <w:rFonts w:ascii="Garamond" w:hAnsi="Garamond" w:cstheme="minorHAnsi"/>
                <w:sz w:val="22"/>
                <w:szCs w:val="22"/>
              </w:rPr>
              <w:t>-</w:t>
            </w:r>
            <w:r w:rsidRPr="00A5626D">
              <w:rPr>
                <w:rFonts w:ascii="Garamond" w:hAnsi="Garamond" w:cstheme="minorHAnsi"/>
                <w:sz w:val="22"/>
                <w:szCs w:val="22"/>
                <w:lang w:val="en-US"/>
              </w:rPr>
              <w:t>point</w:t>
            </w:r>
            <w:r w:rsidRPr="00A5626D">
              <w:rPr>
                <w:rFonts w:ascii="Garamond" w:hAnsi="Garamond" w:cstheme="minorHAnsi"/>
                <w:sz w:val="22"/>
                <w:szCs w:val="22"/>
              </w:rPr>
              <w:t>&gt;. Является обязательным атрибутом. Может принимать значения из справочника точек поставки (элемент &lt;</w:t>
            </w:r>
            <w:r w:rsidRPr="00A5626D">
              <w:rPr>
                <w:rFonts w:ascii="Garamond" w:hAnsi="Garamond" w:cstheme="minorHAnsi"/>
                <w:sz w:val="22"/>
                <w:szCs w:val="22"/>
                <w:lang w:val="en-US"/>
              </w:rPr>
              <w:t>delivery</w:t>
            </w:r>
            <w:r w:rsidRPr="00A5626D">
              <w:rPr>
                <w:rFonts w:ascii="Garamond" w:hAnsi="Garamond" w:cstheme="minorHAnsi"/>
                <w:sz w:val="22"/>
                <w:szCs w:val="22"/>
              </w:rPr>
              <w:t>-</w:t>
            </w:r>
            <w:r w:rsidRPr="00A5626D">
              <w:rPr>
                <w:rFonts w:ascii="Garamond" w:hAnsi="Garamond" w:cstheme="minorHAnsi"/>
                <w:sz w:val="22"/>
                <w:szCs w:val="22"/>
                <w:lang w:val="en-US"/>
              </w:rPr>
              <w:t>points</w:t>
            </w:r>
            <w:r w:rsidRPr="00A5626D">
              <w:rPr>
                <w:rFonts w:ascii="Garamond" w:hAnsi="Garamond" w:cstheme="minorHAnsi"/>
                <w:sz w:val="22"/>
                <w:szCs w:val="22"/>
              </w:rPr>
              <w:t>&gt;).</w:t>
            </w:r>
          </w:p>
        </w:tc>
        <w:tc>
          <w:tcPr>
            <w:tcW w:w="7088" w:type="dxa"/>
          </w:tcPr>
          <w:p w14:paraId="25BE4728" w14:textId="77777777" w:rsidR="00295C6D" w:rsidRPr="00A5626D" w:rsidRDefault="00295C6D" w:rsidP="00E31AE6">
            <w:pPr>
              <w:tabs>
                <w:tab w:val="left" w:pos="1134"/>
                <w:tab w:val="left" w:pos="7938"/>
              </w:tabs>
              <w:spacing w:before="120" w:after="120"/>
              <w:ind w:firstLine="567"/>
              <w:jc w:val="both"/>
              <w:rPr>
                <w:rFonts w:ascii="Garamond" w:hAnsi="Garamond" w:cstheme="minorHAnsi"/>
                <w:sz w:val="22"/>
                <w:szCs w:val="22"/>
              </w:rPr>
            </w:pPr>
            <w:r w:rsidRPr="00A5626D">
              <w:rPr>
                <w:rFonts w:ascii="Garamond" w:hAnsi="Garamond" w:cstheme="minorHAnsi"/>
                <w:sz w:val="22"/>
                <w:szCs w:val="22"/>
              </w:rPr>
              <w:lastRenderedPageBreak/>
              <w:t xml:space="preserve">&lt;or&gt; </w:t>
            </w:r>
          </w:p>
          <w:p w14:paraId="0FBC7F1C" w14:textId="77777777" w:rsidR="00295C6D" w:rsidRPr="00A5626D" w:rsidRDefault="00295C6D" w:rsidP="00E31AE6">
            <w:pPr>
              <w:tabs>
                <w:tab w:val="left" w:pos="1134"/>
                <w:tab w:val="left" w:pos="7938"/>
              </w:tabs>
              <w:spacing w:before="120" w:after="120"/>
              <w:ind w:firstLine="567"/>
              <w:jc w:val="both"/>
              <w:rPr>
                <w:rFonts w:ascii="Garamond" w:hAnsi="Garamond" w:cstheme="minorHAnsi"/>
                <w:sz w:val="22"/>
                <w:szCs w:val="22"/>
              </w:rPr>
            </w:pPr>
            <w:r w:rsidRPr="00A5626D">
              <w:rPr>
                <w:rFonts w:ascii="Garamond" w:hAnsi="Garamond" w:cstheme="minorHAnsi"/>
                <w:sz w:val="22"/>
                <w:szCs w:val="22"/>
              </w:rPr>
              <w:t xml:space="preserve">Атрибуты элемента &lt;or&gt; не должны вступать в противоречие с атрибутами и потомками соответствующих элементов &lt;aup-delivery-point&gt;. </w:t>
            </w:r>
          </w:p>
          <w:p w14:paraId="4D6503C7" w14:textId="77777777" w:rsidR="00295C6D" w:rsidRPr="00A5626D" w:rsidRDefault="00295C6D" w:rsidP="00E31AE6">
            <w:pPr>
              <w:tabs>
                <w:tab w:val="left" w:pos="1134"/>
                <w:tab w:val="left" w:pos="7938"/>
              </w:tabs>
              <w:spacing w:before="120" w:after="120"/>
              <w:ind w:firstLine="567"/>
              <w:jc w:val="both"/>
              <w:rPr>
                <w:rFonts w:ascii="Garamond" w:hAnsi="Garamond" w:cstheme="minorHAnsi"/>
                <w:sz w:val="22"/>
                <w:szCs w:val="22"/>
              </w:rPr>
            </w:pPr>
            <w:r w:rsidRPr="00A5626D">
              <w:rPr>
                <w:rFonts w:ascii="Garamond" w:hAnsi="Garamond" w:cstheme="minorHAnsi"/>
                <w:sz w:val="22"/>
                <w:szCs w:val="22"/>
              </w:rPr>
              <w:t>Атрибутами элемента &lt;or&gt; являются:</w:t>
            </w:r>
          </w:p>
          <w:p w14:paraId="374EC262" w14:textId="77777777" w:rsidR="00295C6D" w:rsidRPr="00A5626D" w:rsidRDefault="00295C6D" w:rsidP="00295C6D">
            <w:pPr>
              <w:widowControl w:val="0"/>
              <w:numPr>
                <w:ilvl w:val="0"/>
                <w:numId w:val="240"/>
              </w:numPr>
              <w:tabs>
                <w:tab w:val="left" w:pos="1134"/>
                <w:tab w:val="left" w:pos="7938"/>
              </w:tabs>
              <w:suppressAutoHyphens w:val="0"/>
              <w:autoSpaceDE w:val="0"/>
              <w:autoSpaceDN w:val="0"/>
              <w:adjustRightInd w:val="0"/>
              <w:spacing w:before="60" w:after="60"/>
              <w:ind w:left="0" w:firstLine="567"/>
              <w:jc w:val="both"/>
              <w:rPr>
                <w:rFonts w:ascii="Garamond" w:hAnsi="Garamond" w:cstheme="minorHAnsi"/>
                <w:sz w:val="22"/>
                <w:szCs w:val="22"/>
              </w:rPr>
            </w:pPr>
            <w:r w:rsidRPr="00A5626D">
              <w:rPr>
                <w:rFonts w:ascii="Garamond" w:hAnsi="Garamond" w:cstheme="minorHAnsi"/>
                <w:sz w:val="22"/>
                <w:szCs w:val="22"/>
              </w:rPr>
              <w:t>coefficient – коэффициент, определяющий знак, с которым входит в расчет величина по направлению «приема»/«отдачи» для стороны заявителя. Обязательный атрибут, число длиной до 32 знаков;</w:t>
            </w:r>
          </w:p>
          <w:p w14:paraId="63840251" w14:textId="77777777" w:rsidR="00295C6D" w:rsidRPr="00A5626D" w:rsidRDefault="00295C6D" w:rsidP="00295C6D">
            <w:pPr>
              <w:widowControl w:val="0"/>
              <w:numPr>
                <w:ilvl w:val="0"/>
                <w:numId w:val="240"/>
              </w:numPr>
              <w:tabs>
                <w:tab w:val="left" w:pos="1134"/>
                <w:tab w:val="left" w:pos="7938"/>
              </w:tabs>
              <w:suppressAutoHyphens w:val="0"/>
              <w:autoSpaceDE w:val="0"/>
              <w:autoSpaceDN w:val="0"/>
              <w:adjustRightInd w:val="0"/>
              <w:spacing w:before="60" w:after="60"/>
              <w:ind w:left="0" w:firstLine="567"/>
              <w:jc w:val="both"/>
              <w:rPr>
                <w:rFonts w:ascii="Garamond" w:hAnsi="Garamond" w:cstheme="minorHAnsi"/>
                <w:sz w:val="22"/>
                <w:szCs w:val="22"/>
              </w:rPr>
            </w:pPr>
            <w:r w:rsidRPr="00A5626D">
              <w:rPr>
                <w:rFonts w:ascii="Garamond" w:hAnsi="Garamond" w:cstheme="minorHAnsi"/>
                <w:sz w:val="22"/>
                <w:szCs w:val="22"/>
                <w:lang w:val="en-US"/>
              </w:rPr>
              <w:lastRenderedPageBreak/>
              <w:t>id</w:t>
            </w:r>
            <w:r w:rsidRPr="00A5626D">
              <w:rPr>
                <w:rFonts w:ascii="Garamond" w:hAnsi="Garamond" w:cstheme="minorHAnsi"/>
                <w:sz w:val="22"/>
                <w:szCs w:val="22"/>
              </w:rPr>
              <w:t>-</w:t>
            </w:r>
            <w:r w:rsidRPr="00A5626D">
              <w:rPr>
                <w:rFonts w:ascii="Garamond" w:hAnsi="Garamond" w:cstheme="minorHAnsi"/>
                <w:sz w:val="22"/>
                <w:szCs w:val="22"/>
                <w:lang w:val="en-US"/>
              </w:rPr>
              <w:t>org</w:t>
            </w:r>
            <w:r w:rsidRPr="00A5626D">
              <w:rPr>
                <w:rFonts w:ascii="Garamond" w:hAnsi="Garamond" w:cstheme="minorHAnsi"/>
                <w:sz w:val="22"/>
                <w:szCs w:val="22"/>
              </w:rPr>
              <w:t xml:space="preserve"> – ссылка на поставщика информации. Является числом из одного знака, обязательный атрибут;</w:t>
            </w:r>
          </w:p>
          <w:p w14:paraId="5A59B9A9" w14:textId="4B01411C" w:rsidR="00295C6D" w:rsidRPr="00A5626D" w:rsidRDefault="00295C6D" w:rsidP="00295C6D">
            <w:pPr>
              <w:widowControl w:val="0"/>
              <w:numPr>
                <w:ilvl w:val="0"/>
                <w:numId w:val="240"/>
              </w:numPr>
              <w:tabs>
                <w:tab w:val="left" w:pos="1134"/>
                <w:tab w:val="left" w:pos="7938"/>
              </w:tabs>
              <w:suppressAutoHyphens w:val="0"/>
              <w:autoSpaceDE w:val="0"/>
              <w:autoSpaceDN w:val="0"/>
              <w:adjustRightInd w:val="0"/>
              <w:spacing w:before="60" w:after="60"/>
              <w:ind w:left="0" w:firstLine="567"/>
              <w:jc w:val="both"/>
              <w:rPr>
                <w:rFonts w:ascii="Garamond" w:hAnsi="Garamond" w:cstheme="minorHAnsi"/>
                <w:sz w:val="22"/>
                <w:szCs w:val="22"/>
              </w:rPr>
            </w:pPr>
            <w:r w:rsidRPr="00A5626D">
              <w:rPr>
                <w:rFonts w:ascii="Garamond" w:hAnsi="Garamond" w:cstheme="minorHAnsi"/>
                <w:sz w:val="22"/>
                <w:szCs w:val="22"/>
                <w:lang w:val="en-US"/>
              </w:rPr>
              <w:t>id</w:t>
            </w:r>
            <w:r w:rsidRPr="00A5626D">
              <w:rPr>
                <w:rFonts w:ascii="Garamond" w:hAnsi="Garamond" w:cstheme="minorHAnsi"/>
                <w:sz w:val="22"/>
                <w:szCs w:val="22"/>
              </w:rPr>
              <w:t>-</w:t>
            </w:r>
            <w:r w:rsidRPr="00A5626D">
              <w:rPr>
                <w:rFonts w:ascii="Garamond" w:hAnsi="Garamond" w:cstheme="minorHAnsi"/>
                <w:sz w:val="22"/>
                <w:szCs w:val="22"/>
                <w:lang w:val="en-US"/>
              </w:rPr>
              <w:t>aiis</w:t>
            </w:r>
            <w:r w:rsidRPr="00A5626D">
              <w:rPr>
                <w:rFonts w:ascii="Garamond" w:hAnsi="Garamond" w:cstheme="minorHAnsi"/>
                <w:sz w:val="22"/>
                <w:szCs w:val="22"/>
              </w:rPr>
              <w:t xml:space="preserve"> – идентификатор АИИС </w:t>
            </w:r>
            <w:r w:rsidRPr="00A5626D">
              <w:rPr>
                <w:rFonts w:ascii="Garamond" w:hAnsi="Garamond" w:cstheme="minorHAnsi"/>
                <w:sz w:val="22"/>
                <w:szCs w:val="22"/>
                <w:highlight w:val="yellow"/>
              </w:rPr>
              <w:t xml:space="preserve">/ </w:t>
            </w:r>
            <w:r w:rsidR="0001419A">
              <w:rPr>
                <w:rFonts w:ascii="Garamond" w:hAnsi="Garamond" w:cstheme="minorHAnsi"/>
                <w:sz w:val="22"/>
                <w:szCs w:val="22"/>
                <w:highlight w:val="yellow"/>
              </w:rPr>
              <w:t>с</w:t>
            </w:r>
            <w:r w:rsidRPr="00A5626D">
              <w:rPr>
                <w:rFonts w:ascii="Garamond" w:hAnsi="Garamond" w:cstheme="minorHAnsi"/>
                <w:sz w:val="22"/>
                <w:szCs w:val="22"/>
                <w:highlight w:val="yellow"/>
              </w:rPr>
              <w:t>писка ОР</w:t>
            </w:r>
            <w:r w:rsidRPr="00A5626D">
              <w:rPr>
                <w:rFonts w:ascii="Garamond" w:hAnsi="Garamond" w:cstheme="minorHAnsi"/>
                <w:sz w:val="22"/>
                <w:szCs w:val="22"/>
              </w:rPr>
              <w:t>. Обязательный атрибут, состоит из одного знака;</w:t>
            </w:r>
          </w:p>
          <w:p w14:paraId="3F34793D" w14:textId="77777777" w:rsidR="00295C6D" w:rsidRPr="00A5626D" w:rsidRDefault="00295C6D" w:rsidP="00295C6D">
            <w:pPr>
              <w:widowControl w:val="0"/>
              <w:numPr>
                <w:ilvl w:val="0"/>
                <w:numId w:val="240"/>
              </w:numPr>
              <w:tabs>
                <w:tab w:val="left" w:pos="1134"/>
                <w:tab w:val="left" w:pos="7938"/>
              </w:tabs>
              <w:suppressAutoHyphens w:val="0"/>
              <w:autoSpaceDE w:val="0"/>
              <w:autoSpaceDN w:val="0"/>
              <w:adjustRightInd w:val="0"/>
              <w:spacing w:before="60" w:after="60"/>
              <w:ind w:left="0" w:firstLine="567"/>
              <w:jc w:val="both"/>
              <w:rPr>
                <w:rFonts w:ascii="Garamond" w:hAnsi="Garamond" w:cstheme="minorHAnsi"/>
                <w:sz w:val="22"/>
                <w:szCs w:val="22"/>
              </w:rPr>
            </w:pPr>
            <w:r w:rsidRPr="00A5626D">
              <w:rPr>
                <w:rFonts w:ascii="Garamond" w:hAnsi="Garamond" w:cstheme="minorHAnsi"/>
                <w:sz w:val="22"/>
                <w:szCs w:val="22"/>
              </w:rPr>
              <w:t>send-receive – направление перетока. Принимает только значения «send» или «receive». Обязательный атрибут;</w:t>
            </w:r>
          </w:p>
          <w:p w14:paraId="5B1BE1C4" w14:textId="77777777" w:rsidR="00295C6D" w:rsidRPr="00A5626D" w:rsidRDefault="00295C6D" w:rsidP="00295C6D">
            <w:pPr>
              <w:widowControl w:val="0"/>
              <w:numPr>
                <w:ilvl w:val="0"/>
                <w:numId w:val="240"/>
              </w:numPr>
              <w:tabs>
                <w:tab w:val="left" w:pos="1134"/>
                <w:tab w:val="left" w:pos="7938"/>
              </w:tabs>
              <w:suppressAutoHyphens w:val="0"/>
              <w:autoSpaceDE w:val="0"/>
              <w:autoSpaceDN w:val="0"/>
              <w:adjustRightInd w:val="0"/>
              <w:spacing w:before="60" w:after="60"/>
              <w:ind w:left="0" w:firstLine="567"/>
              <w:jc w:val="both"/>
              <w:rPr>
                <w:rFonts w:ascii="Garamond" w:hAnsi="Garamond" w:cstheme="minorHAnsi"/>
                <w:b/>
                <w:sz w:val="22"/>
                <w:szCs w:val="22"/>
              </w:rPr>
            </w:pPr>
            <w:r w:rsidRPr="00A5626D">
              <w:rPr>
                <w:rFonts w:ascii="Garamond" w:hAnsi="Garamond" w:cstheme="minorHAnsi"/>
                <w:sz w:val="22"/>
                <w:szCs w:val="22"/>
              </w:rPr>
              <w:t xml:space="preserve">id-delivery-point – идентификатор точки поставки </w:t>
            </w:r>
            <w:r w:rsidRPr="00A5626D">
              <w:rPr>
                <w:rFonts w:ascii="Garamond" w:hAnsi="Garamond" w:cstheme="minorHAnsi"/>
                <w:sz w:val="22"/>
                <w:szCs w:val="22"/>
                <w:highlight w:val="yellow"/>
              </w:rPr>
              <w:t>(точки присоединения)</w:t>
            </w:r>
            <w:r w:rsidRPr="00A5626D">
              <w:rPr>
                <w:rFonts w:ascii="Garamond" w:hAnsi="Garamond" w:cstheme="minorHAnsi"/>
                <w:sz w:val="22"/>
                <w:szCs w:val="22"/>
              </w:rPr>
              <w:t xml:space="preserve"> в соответствии с элементом &lt;</w:t>
            </w:r>
            <w:r w:rsidRPr="00A5626D">
              <w:rPr>
                <w:rFonts w:ascii="Garamond" w:hAnsi="Garamond" w:cstheme="minorHAnsi"/>
                <w:sz w:val="22"/>
                <w:szCs w:val="22"/>
                <w:lang w:val="en-US"/>
              </w:rPr>
              <w:t>delivery</w:t>
            </w:r>
            <w:r w:rsidRPr="00A5626D">
              <w:rPr>
                <w:rFonts w:ascii="Garamond" w:hAnsi="Garamond" w:cstheme="minorHAnsi"/>
                <w:sz w:val="22"/>
                <w:szCs w:val="22"/>
              </w:rPr>
              <w:t>-</w:t>
            </w:r>
            <w:r w:rsidRPr="00A5626D">
              <w:rPr>
                <w:rFonts w:ascii="Garamond" w:hAnsi="Garamond" w:cstheme="minorHAnsi"/>
                <w:sz w:val="22"/>
                <w:szCs w:val="22"/>
                <w:lang w:val="en-US"/>
              </w:rPr>
              <w:t>point</w:t>
            </w:r>
            <w:r w:rsidRPr="00A5626D">
              <w:rPr>
                <w:rFonts w:ascii="Garamond" w:hAnsi="Garamond" w:cstheme="minorHAnsi"/>
                <w:sz w:val="22"/>
                <w:szCs w:val="22"/>
              </w:rPr>
              <w:t xml:space="preserve">&gt;. Является обязательным атрибутом. Может принимать значения из справочника точек поставки </w:t>
            </w:r>
            <w:r w:rsidRPr="00A5626D">
              <w:rPr>
                <w:rFonts w:ascii="Garamond" w:hAnsi="Garamond" w:cstheme="minorHAnsi"/>
                <w:sz w:val="22"/>
                <w:szCs w:val="22"/>
                <w:highlight w:val="yellow"/>
              </w:rPr>
              <w:t>(точек присоединения)</w:t>
            </w:r>
            <w:r w:rsidRPr="00A5626D">
              <w:rPr>
                <w:rFonts w:ascii="Garamond" w:hAnsi="Garamond" w:cstheme="minorHAnsi"/>
                <w:sz w:val="22"/>
                <w:szCs w:val="22"/>
              </w:rPr>
              <w:t xml:space="preserve"> (элемент &lt;</w:t>
            </w:r>
            <w:r w:rsidRPr="00A5626D">
              <w:rPr>
                <w:rFonts w:ascii="Garamond" w:hAnsi="Garamond" w:cstheme="minorHAnsi"/>
                <w:sz w:val="22"/>
                <w:szCs w:val="22"/>
                <w:lang w:val="en-US"/>
              </w:rPr>
              <w:t>delivery</w:t>
            </w:r>
            <w:r w:rsidRPr="00A5626D">
              <w:rPr>
                <w:rFonts w:ascii="Garamond" w:hAnsi="Garamond" w:cstheme="minorHAnsi"/>
                <w:sz w:val="22"/>
                <w:szCs w:val="22"/>
              </w:rPr>
              <w:t>-</w:t>
            </w:r>
            <w:r w:rsidRPr="00A5626D">
              <w:rPr>
                <w:rFonts w:ascii="Garamond" w:hAnsi="Garamond" w:cstheme="minorHAnsi"/>
                <w:sz w:val="22"/>
                <w:szCs w:val="22"/>
                <w:lang w:val="en-US"/>
              </w:rPr>
              <w:t>points</w:t>
            </w:r>
            <w:r w:rsidRPr="00A5626D">
              <w:rPr>
                <w:rFonts w:ascii="Garamond" w:hAnsi="Garamond" w:cstheme="minorHAnsi"/>
                <w:sz w:val="22"/>
                <w:szCs w:val="22"/>
              </w:rPr>
              <w:t>&gt;).</w:t>
            </w:r>
          </w:p>
        </w:tc>
      </w:tr>
      <w:tr w:rsidR="00295C6D" w:rsidRPr="00A5626D" w14:paraId="0322C019" w14:textId="77777777" w:rsidTr="00647FA0">
        <w:tc>
          <w:tcPr>
            <w:tcW w:w="1060" w:type="dxa"/>
            <w:vAlign w:val="center"/>
          </w:tcPr>
          <w:p w14:paraId="3AEA3506" w14:textId="3FD7276E" w:rsidR="00295C6D" w:rsidRPr="00A5626D" w:rsidRDefault="00295C6D" w:rsidP="00E31AE6">
            <w:pPr>
              <w:widowControl w:val="0"/>
              <w:tabs>
                <w:tab w:val="left" w:pos="1134"/>
                <w:tab w:val="left" w:pos="7938"/>
              </w:tabs>
              <w:spacing w:line="22" w:lineRule="atLeast"/>
              <w:jc w:val="both"/>
              <w:rPr>
                <w:rFonts w:ascii="Garamond" w:hAnsi="Garamond"/>
                <w:b/>
                <w:sz w:val="22"/>
                <w:szCs w:val="22"/>
                <w:lang w:eastAsia="en-US"/>
              </w:rPr>
            </w:pPr>
            <w:r w:rsidRPr="00A5626D">
              <w:rPr>
                <w:rFonts w:ascii="Garamond" w:hAnsi="Garamond"/>
                <w:b/>
                <w:sz w:val="22"/>
                <w:szCs w:val="22"/>
                <w:lang w:eastAsia="en-US"/>
              </w:rPr>
              <w:lastRenderedPageBreak/>
              <w:t>Приложение 5, п.</w:t>
            </w:r>
            <w:r w:rsidR="00647FA0" w:rsidRPr="00A5626D">
              <w:rPr>
                <w:rFonts w:ascii="Garamond" w:hAnsi="Garamond"/>
                <w:b/>
                <w:sz w:val="22"/>
                <w:szCs w:val="22"/>
                <w:lang w:eastAsia="en-US"/>
              </w:rPr>
              <w:t> </w:t>
            </w:r>
            <w:r w:rsidRPr="00A5626D">
              <w:rPr>
                <w:rFonts w:ascii="Garamond" w:hAnsi="Garamond"/>
                <w:b/>
                <w:sz w:val="22"/>
                <w:szCs w:val="22"/>
                <w:lang w:eastAsia="en-US"/>
              </w:rPr>
              <w:t>4.2.1.1.3.4</w:t>
            </w:r>
          </w:p>
        </w:tc>
        <w:tc>
          <w:tcPr>
            <w:tcW w:w="6662" w:type="dxa"/>
          </w:tcPr>
          <w:p w14:paraId="4600EBF7" w14:textId="77777777" w:rsidR="00295C6D" w:rsidRPr="00A5626D" w:rsidRDefault="00295C6D" w:rsidP="00E31AE6">
            <w:pPr>
              <w:pStyle w:val="2"/>
              <w:numPr>
                <w:ilvl w:val="0"/>
                <w:numId w:val="0"/>
              </w:numPr>
              <w:tabs>
                <w:tab w:val="left" w:pos="1134"/>
                <w:tab w:val="left" w:pos="7938"/>
              </w:tabs>
              <w:suppressAutoHyphens w:val="0"/>
              <w:spacing w:line="22" w:lineRule="atLeast"/>
              <w:ind w:firstLine="629"/>
              <w:jc w:val="both"/>
              <w:rPr>
                <w:rFonts w:ascii="Garamond" w:hAnsi="Garamond" w:cstheme="minorHAnsi"/>
                <w:b w:val="0"/>
              </w:rPr>
            </w:pPr>
            <w:r w:rsidRPr="00A5626D">
              <w:rPr>
                <w:rFonts w:ascii="Garamond" w:hAnsi="Garamond" w:cstheme="minorHAnsi"/>
                <w:b w:val="0"/>
              </w:rPr>
              <w:t>Отсутствует</w:t>
            </w:r>
          </w:p>
        </w:tc>
        <w:tc>
          <w:tcPr>
            <w:tcW w:w="7088" w:type="dxa"/>
          </w:tcPr>
          <w:p w14:paraId="2C6932D5" w14:textId="77777777" w:rsidR="00295C6D" w:rsidRPr="00A5626D" w:rsidRDefault="00295C6D" w:rsidP="00E31AE6">
            <w:pPr>
              <w:tabs>
                <w:tab w:val="left" w:pos="1134"/>
                <w:tab w:val="left" w:pos="7938"/>
              </w:tabs>
              <w:spacing w:before="120" w:after="120"/>
              <w:ind w:firstLine="577"/>
              <w:jc w:val="both"/>
              <w:rPr>
                <w:rFonts w:ascii="Garamond" w:hAnsi="Garamond" w:cs="Times New Roman"/>
                <w:sz w:val="22"/>
                <w:szCs w:val="22"/>
                <w:highlight w:val="yellow"/>
              </w:rPr>
            </w:pPr>
            <w:r w:rsidRPr="00A5626D">
              <w:rPr>
                <w:rFonts w:ascii="Garamond" w:hAnsi="Garamond"/>
                <w:sz w:val="22"/>
                <w:szCs w:val="22"/>
                <w:highlight w:val="yellow"/>
                <w:lang w:eastAsia="en-US"/>
              </w:rPr>
              <w:t>&lt;regulation-object&gt;</w:t>
            </w:r>
          </w:p>
          <w:p w14:paraId="5ACFCF86" w14:textId="77777777" w:rsidR="00295C6D" w:rsidRPr="00A5626D" w:rsidRDefault="00295C6D" w:rsidP="00E31AE6">
            <w:pPr>
              <w:tabs>
                <w:tab w:val="left" w:pos="1134"/>
                <w:tab w:val="left" w:pos="7938"/>
              </w:tabs>
              <w:spacing w:before="120" w:after="120"/>
              <w:ind w:firstLine="577"/>
              <w:jc w:val="both"/>
              <w:rPr>
                <w:rFonts w:ascii="Garamond" w:hAnsi="Garamond" w:cs="Times New Roman"/>
                <w:bCs/>
                <w:sz w:val="22"/>
                <w:szCs w:val="22"/>
                <w:highlight w:val="yellow"/>
              </w:rPr>
            </w:pPr>
            <w:r w:rsidRPr="00A5626D">
              <w:rPr>
                <w:rFonts w:ascii="Garamond" w:hAnsi="Garamond" w:cs="Times New Roman"/>
                <w:sz w:val="22"/>
                <w:szCs w:val="22"/>
                <w:highlight w:val="yellow"/>
              </w:rPr>
              <w:t xml:space="preserve">Элемент </w:t>
            </w:r>
            <w:r w:rsidRPr="00A5626D">
              <w:rPr>
                <w:rFonts w:ascii="Garamond" w:eastAsia="Calibri" w:hAnsi="Garamond" w:cs="Times New Roman"/>
                <w:b/>
                <w:sz w:val="22"/>
                <w:szCs w:val="22"/>
                <w:highlight w:val="yellow"/>
              </w:rPr>
              <w:t>&lt;</w:t>
            </w:r>
            <w:r w:rsidRPr="00A5626D">
              <w:rPr>
                <w:rFonts w:ascii="Garamond" w:eastAsia="Calibri" w:hAnsi="Garamond" w:cs="Times New Roman"/>
                <w:b/>
                <w:sz w:val="22"/>
                <w:szCs w:val="22"/>
                <w:highlight w:val="yellow"/>
                <w:lang w:val="en-US"/>
              </w:rPr>
              <w:t>regulation</w:t>
            </w:r>
            <w:r w:rsidRPr="00A5626D">
              <w:rPr>
                <w:rFonts w:ascii="Garamond" w:eastAsia="Calibri" w:hAnsi="Garamond" w:cs="Times New Roman"/>
                <w:b/>
                <w:sz w:val="22"/>
                <w:szCs w:val="22"/>
                <w:highlight w:val="yellow"/>
              </w:rPr>
              <w:t>-</w:t>
            </w:r>
            <w:r w:rsidRPr="00A5626D">
              <w:rPr>
                <w:rFonts w:ascii="Garamond" w:eastAsia="Calibri" w:hAnsi="Garamond" w:cs="Times New Roman"/>
                <w:b/>
                <w:sz w:val="22"/>
                <w:szCs w:val="22"/>
                <w:highlight w:val="yellow"/>
                <w:lang w:val="en-US"/>
              </w:rPr>
              <w:t>object</w:t>
            </w:r>
            <w:r w:rsidRPr="00A5626D">
              <w:rPr>
                <w:rFonts w:ascii="Garamond" w:eastAsia="Calibri" w:hAnsi="Garamond" w:cs="Times New Roman"/>
                <w:b/>
                <w:sz w:val="22"/>
                <w:szCs w:val="22"/>
                <w:highlight w:val="yellow"/>
              </w:rPr>
              <w:t>&gt;</w:t>
            </w:r>
            <w:r w:rsidRPr="00A5626D">
              <w:rPr>
                <w:rFonts w:ascii="Garamond" w:hAnsi="Garamond" w:cs="Times New Roman"/>
                <w:sz w:val="22"/>
                <w:szCs w:val="22"/>
                <w:highlight w:val="yellow"/>
              </w:rPr>
              <w:t xml:space="preserve"> является потомком корневого элемента &lt;</w:t>
            </w:r>
            <w:r w:rsidRPr="00A5626D">
              <w:rPr>
                <w:rFonts w:ascii="Garamond" w:hAnsi="Garamond" w:cs="Times New Roman"/>
                <w:b/>
                <w:sz w:val="22"/>
                <w:szCs w:val="22"/>
                <w:highlight w:val="yellow"/>
                <w:lang w:val="en-US"/>
              </w:rPr>
              <w:t>algorithm</w:t>
            </w:r>
            <w:r w:rsidRPr="00A5626D">
              <w:rPr>
                <w:rFonts w:ascii="Garamond" w:hAnsi="Garamond" w:cs="Times New Roman"/>
                <w:sz w:val="22"/>
                <w:szCs w:val="22"/>
                <w:highlight w:val="yellow"/>
              </w:rPr>
              <w:t>&gt;.</w:t>
            </w:r>
          </w:p>
          <w:p w14:paraId="71591FB8" w14:textId="77777777" w:rsidR="00295C6D" w:rsidRPr="00A5626D" w:rsidRDefault="00295C6D" w:rsidP="00E31AE6">
            <w:pPr>
              <w:tabs>
                <w:tab w:val="left" w:pos="1134"/>
                <w:tab w:val="left" w:pos="7938"/>
              </w:tabs>
              <w:spacing w:before="120" w:after="120"/>
              <w:ind w:firstLine="577"/>
              <w:jc w:val="both"/>
              <w:rPr>
                <w:rFonts w:ascii="Garamond" w:hAnsi="Garamond" w:cstheme="minorHAnsi"/>
                <w:b/>
                <w:sz w:val="22"/>
                <w:szCs w:val="22"/>
              </w:rPr>
            </w:pPr>
            <w:r w:rsidRPr="00A5626D">
              <w:rPr>
                <w:rFonts w:ascii="Garamond" w:hAnsi="Garamond"/>
                <w:sz w:val="22"/>
                <w:szCs w:val="22"/>
                <w:highlight w:val="yellow"/>
              </w:rPr>
              <w:t xml:space="preserve">Элемент </w:t>
            </w:r>
            <w:r w:rsidRPr="00A5626D">
              <w:rPr>
                <w:rFonts w:ascii="Garamond" w:eastAsia="Calibri" w:hAnsi="Garamond" w:cs="Times New Roman"/>
                <w:b/>
                <w:sz w:val="22"/>
                <w:szCs w:val="22"/>
                <w:highlight w:val="yellow"/>
              </w:rPr>
              <w:t>&lt;</w:t>
            </w:r>
            <w:r w:rsidRPr="00A5626D">
              <w:rPr>
                <w:rFonts w:ascii="Garamond" w:eastAsia="Calibri" w:hAnsi="Garamond" w:cs="Times New Roman"/>
                <w:b/>
                <w:sz w:val="22"/>
                <w:szCs w:val="22"/>
                <w:highlight w:val="yellow"/>
                <w:lang w:val="en-US"/>
              </w:rPr>
              <w:t>regulation</w:t>
            </w:r>
            <w:r w:rsidRPr="00A5626D">
              <w:rPr>
                <w:rFonts w:ascii="Garamond" w:eastAsia="Calibri" w:hAnsi="Garamond" w:cs="Times New Roman"/>
                <w:b/>
                <w:sz w:val="22"/>
                <w:szCs w:val="22"/>
                <w:highlight w:val="yellow"/>
              </w:rPr>
              <w:t>-</w:t>
            </w:r>
            <w:r w:rsidRPr="00A5626D">
              <w:rPr>
                <w:rFonts w:ascii="Garamond" w:eastAsia="Calibri" w:hAnsi="Garamond" w:cs="Times New Roman"/>
                <w:b/>
                <w:sz w:val="22"/>
                <w:szCs w:val="22"/>
                <w:highlight w:val="yellow"/>
                <w:lang w:val="en-US"/>
              </w:rPr>
              <w:t>object</w:t>
            </w:r>
            <w:r w:rsidRPr="00A5626D">
              <w:rPr>
                <w:rFonts w:ascii="Garamond" w:eastAsia="Calibri" w:hAnsi="Garamond" w:cs="Times New Roman"/>
                <w:b/>
                <w:sz w:val="22"/>
                <w:szCs w:val="22"/>
                <w:highlight w:val="yellow"/>
              </w:rPr>
              <w:t>&gt;</w:t>
            </w:r>
            <w:r w:rsidRPr="00A5626D">
              <w:rPr>
                <w:rFonts w:ascii="Garamond" w:hAnsi="Garamond"/>
                <w:sz w:val="22"/>
                <w:szCs w:val="22"/>
                <w:highlight w:val="yellow"/>
              </w:rPr>
              <w:t xml:space="preserve"> содержит информацию об ОР, в отношении которого необходимо произвести кодирование. Атрибуты и потомки элемента </w:t>
            </w:r>
            <w:r w:rsidRPr="00A5626D">
              <w:rPr>
                <w:rFonts w:ascii="Garamond" w:eastAsia="Calibri" w:hAnsi="Garamond" w:cs="Times New Roman"/>
                <w:b/>
                <w:sz w:val="22"/>
                <w:szCs w:val="22"/>
                <w:highlight w:val="yellow"/>
              </w:rPr>
              <w:t>&lt;</w:t>
            </w:r>
            <w:r w:rsidRPr="00A5626D">
              <w:rPr>
                <w:rFonts w:ascii="Garamond" w:eastAsia="Calibri" w:hAnsi="Garamond" w:cs="Times New Roman"/>
                <w:b/>
                <w:sz w:val="22"/>
                <w:szCs w:val="22"/>
                <w:highlight w:val="yellow"/>
                <w:lang w:val="en-US"/>
              </w:rPr>
              <w:t>regulation</w:t>
            </w:r>
            <w:r w:rsidRPr="00A5626D">
              <w:rPr>
                <w:rFonts w:ascii="Garamond" w:eastAsia="Calibri" w:hAnsi="Garamond" w:cs="Times New Roman"/>
                <w:b/>
                <w:sz w:val="22"/>
                <w:szCs w:val="22"/>
                <w:highlight w:val="yellow"/>
              </w:rPr>
              <w:t>-</w:t>
            </w:r>
            <w:r w:rsidRPr="00A5626D">
              <w:rPr>
                <w:rFonts w:ascii="Garamond" w:eastAsia="Calibri" w:hAnsi="Garamond" w:cs="Times New Roman"/>
                <w:b/>
                <w:sz w:val="22"/>
                <w:szCs w:val="22"/>
                <w:highlight w:val="yellow"/>
                <w:lang w:val="en-US"/>
              </w:rPr>
              <w:t>object</w:t>
            </w:r>
            <w:r w:rsidRPr="00A5626D">
              <w:rPr>
                <w:rFonts w:ascii="Garamond" w:eastAsia="Calibri" w:hAnsi="Garamond" w:cs="Times New Roman"/>
                <w:b/>
                <w:sz w:val="22"/>
                <w:szCs w:val="22"/>
                <w:highlight w:val="yellow"/>
              </w:rPr>
              <w:t>&gt;</w:t>
            </w:r>
            <w:r w:rsidRPr="00A5626D">
              <w:rPr>
                <w:rFonts w:ascii="Garamond" w:eastAsia="Calibri" w:hAnsi="Garamond" w:cs="Times New Roman"/>
                <w:sz w:val="22"/>
                <w:szCs w:val="22"/>
                <w:highlight w:val="yellow"/>
              </w:rPr>
              <w:t xml:space="preserve"> полностью аналогичны элементу </w:t>
            </w:r>
            <w:r w:rsidRPr="00A5626D">
              <w:rPr>
                <w:rFonts w:ascii="Garamond" w:eastAsia="Calibri" w:hAnsi="Garamond" w:cs="Times New Roman"/>
                <w:b/>
                <w:sz w:val="22"/>
                <w:szCs w:val="22"/>
                <w:highlight w:val="yellow"/>
              </w:rPr>
              <w:t>&lt;</w:t>
            </w:r>
            <w:r w:rsidRPr="00A5626D">
              <w:rPr>
                <w:rFonts w:ascii="Garamond" w:eastAsia="Calibri" w:hAnsi="Garamond" w:cs="Times New Roman"/>
                <w:b/>
                <w:sz w:val="22"/>
                <w:szCs w:val="22"/>
                <w:highlight w:val="yellow"/>
                <w:lang w:val="en-US"/>
              </w:rPr>
              <w:t>generation</w:t>
            </w:r>
            <w:r w:rsidRPr="00A5626D">
              <w:rPr>
                <w:rFonts w:ascii="Garamond" w:eastAsia="Calibri" w:hAnsi="Garamond" w:cs="Times New Roman"/>
                <w:b/>
                <w:sz w:val="22"/>
                <w:szCs w:val="22"/>
                <w:highlight w:val="yellow"/>
              </w:rPr>
              <w:t>&gt;</w:t>
            </w:r>
            <w:r w:rsidRPr="00A5626D">
              <w:rPr>
                <w:rFonts w:ascii="Garamond" w:eastAsia="Calibri" w:hAnsi="Garamond" w:cs="Times New Roman"/>
                <w:sz w:val="22"/>
                <w:szCs w:val="22"/>
                <w:highlight w:val="yellow"/>
              </w:rPr>
              <w:t>.</w:t>
            </w:r>
          </w:p>
        </w:tc>
      </w:tr>
      <w:tr w:rsidR="00295C6D" w:rsidRPr="00A5626D" w14:paraId="4DA5232C" w14:textId="77777777" w:rsidTr="00647FA0">
        <w:tc>
          <w:tcPr>
            <w:tcW w:w="1060" w:type="dxa"/>
            <w:vAlign w:val="center"/>
          </w:tcPr>
          <w:p w14:paraId="67302212" w14:textId="7DD87DCD" w:rsidR="00295C6D" w:rsidRPr="00A5626D" w:rsidRDefault="00295C6D" w:rsidP="00E31AE6">
            <w:pPr>
              <w:widowControl w:val="0"/>
              <w:tabs>
                <w:tab w:val="left" w:pos="1134"/>
                <w:tab w:val="left" w:pos="7938"/>
              </w:tabs>
              <w:spacing w:line="22" w:lineRule="atLeast"/>
              <w:jc w:val="both"/>
              <w:rPr>
                <w:rFonts w:ascii="Garamond" w:hAnsi="Garamond"/>
                <w:b/>
                <w:sz w:val="22"/>
                <w:szCs w:val="22"/>
                <w:lang w:eastAsia="en-US"/>
              </w:rPr>
            </w:pPr>
            <w:r w:rsidRPr="00A5626D">
              <w:rPr>
                <w:rFonts w:ascii="Garamond" w:hAnsi="Garamond"/>
                <w:b/>
                <w:sz w:val="22"/>
                <w:szCs w:val="22"/>
                <w:lang w:eastAsia="en-US"/>
              </w:rPr>
              <w:t>Приложение 5, п.</w:t>
            </w:r>
            <w:r w:rsidR="00647FA0" w:rsidRPr="00A5626D">
              <w:rPr>
                <w:rFonts w:ascii="Garamond" w:hAnsi="Garamond"/>
                <w:b/>
                <w:sz w:val="22"/>
                <w:szCs w:val="22"/>
                <w:lang w:eastAsia="en-US"/>
              </w:rPr>
              <w:t> </w:t>
            </w:r>
            <w:r w:rsidRPr="00A5626D">
              <w:rPr>
                <w:rFonts w:ascii="Garamond" w:hAnsi="Garamond"/>
                <w:b/>
                <w:sz w:val="22"/>
                <w:szCs w:val="22"/>
                <w:lang w:eastAsia="en-US"/>
              </w:rPr>
              <w:t>4.2.1.1.4</w:t>
            </w:r>
            <w:r w:rsidR="009B5F03" w:rsidRPr="00A5626D">
              <w:rPr>
                <w:rFonts w:ascii="Garamond" w:hAnsi="Garamond" w:cstheme="minorHAnsi"/>
                <w:b/>
                <w:bCs/>
                <w:sz w:val="22"/>
                <w:szCs w:val="22"/>
              </w:rPr>
              <w:t xml:space="preserve"> </w:t>
            </w:r>
          </w:p>
        </w:tc>
        <w:tc>
          <w:tcPr>
            <w:tcW w:w="6662" w:type="dxa"/>
          </w:tcPr>
          <w:p w14:paraId="3C980613" w14:textId="77777777" w:rsidR="00295C6D" w:rsidRPr="00A5626D" w:rsidRDefault="00295C6D" w:rsidP="00E31AE6">
            <w:pPr>
              <w:pStyle w:val="2"/>
              <w:numPr>
                <w:ilvl w:val="0"/>
                <w:numId w:val="0"/>
              </w:numPr>
              <w:tabs>
                <w:tab w:val="left" w:pos="1134"/>
                <w:tab w:val="left" w:pos="7938"/>
              </w:tabs>
              <w:suppressAutoHyphens w:val="0"/>
              <w:spacing w:line="22" w:lineRule="atLeast"/>
              <w:ind w:firstLine="606"/>
              <w:jc w:val="both"/>
              <w:rPr>
                <w:rFonts w:ascii="Garamond" w:hAnsi="Garamond" w:cstheme="minorHAnsi"/>
              </w:rPr>
            </w:pPr>
            <w:r w:rsidRPr="00A5626D">
              <w:rPr>
                <w:rFonts w:ascii="Garamond" w:hAnsi="Garamond" w:cstheme="minorHAnsi"/>
              </w:rPr>
              <w:t>&lt;psi&gt;</w:t>
            </w:r>
          </w:p>
          <w:p w14:paraId="2F2DE936" w14:textId="77777777" w:rsidR="00295C6D" w:rsidRPr="00A5626D" w:rsidRDefault="00295C6D" w:rsidP="00E31AE6">
            <w:pPr>
              <w:tabs>
                <w:tab w:val="left" w:pos="1134"/>
                <w:tab w:val="left" w:pos="7938"/>
              </w:tabs>
              <w:spacing w:before="120" w:after="120"/>
              <w:ind w:firstLine="567"/>
              <w:jc w:val="both"/>
              <w:rPr>
                <w:rFonts w:ascii="Garamond" w:hAnsi="Garamond" w:cstheme="minorHAnsi"/>
                <w:sz w:val="22"/>
                <w:szCs w:val="22"/>
              </w:rPr>
            </w:pPr>
            <w:r w:rsidRPr="00A5626D">
              <w:rPr>
                <w:rFonts w:ascii="Garamond" w:hAnsi="Garamond" w:cstheme="minorHAnsi"/>
                <w:sz w:val="22"/>
                <w:szCs w:val="22"/>
              </w:rPr>
              <w:t>Элемент &lt;</w:t>
            </w:r>
            <w:r w:rsidRPr="00A5626D">
              <w:rPr>
                <w:rFonts w:ascii="Garamond" w:hAnsi="Garamond" w:cstheme="minorHAnsi"/>
                <w:b/>
                <w:sz w:val="22"/>
                <w:szCs w:val="22"/>
              </w:rPr>
              <w:t>psi</w:t>
            </w:r>
            <w:r w:rsidRPr="00A5626D">
              <w:rPr>
                <w:rFonts w:ascii="Garamond" w:hAnsi="Garamond" w:cstheme="minorHAnsi"/>
                <w:sz w:val="22"/>
                <w:szCs w:val="22"/>
              </w:rPr>
              <w:t>&gt; является потомком корневого элемента &lt;</w:t>
            </w:r>
            <w:r w:rsidRPr="00A5626D">
              <w:rPr>
                <w:rFonts w:ascii="Garamond" w:hAnsi="Garamond" w:cstheme="minorHAnsi"/>
                <w:sz w:val="22"/>
                <w:szCs w:val="22"/>
                <w:lang w:val="en-US"/>
              </w:rPr>
              <w:t>body</w:t>
            </w:r>
            <w:r w:rsidRPr="00A5626D">
              <w:rPr>
                <w:rFonts w:ascii="Garamond" w:hAnsi="Garamond" w:cstheme="minorHAnsi"/>
                <w:sz w:val="22"/>
                <w:szCs w:val="22"/>
              </w:rPr>
              <w:t>&gt;. Является обязательным элементом.</w:t>
            </w:r>
            <w:r w:rsidRPr="00A5626D">
              <w:rPr>
                <w:rFonts w:ascii="Garamond" w:hAnsi="Garamond" w:cstheme="minorHAnsi"/>
                <w:bCs/>
                <w:sz w:val="22"/>
                <w:szCs w:val="22"/>
              </w:rPr>
              <w:t xml:space="preserve"> В документе должен быть только один элемент &lt;psi&gt;.</w:t>
            </w:r>
          </w:p>
          <w:p w14:paraId="0F587C16" w14:textId="77777777" w:rsidR="00295C6D" w:rsidRPr="00A5626D" w:rsidRDefault="00295C6D" w:rsidP="00E31AE6">
            <w:pPr>
              <w:tabs>
                <w:tab w:val="left" w:pos="1134"/>
                <w:tab w:val="left" w:pos="7938"/>
              </w:tabs>
              <w:spacing w:before="120" w:after="120"/>
              <w:ind w:firstLine="567"/>
              <w:jc w:val="both"/>
              <w:rPr>
                <w:rFonts w:ascii="Garamond" w:hAnsi="Garamond" w:cstheme="minorHAnsi"/>
                <w:sz w:val="22"/>
                <w:szCs w:val="22"/>
              </w:rPr>
            </w:pPr>
            <w:r w:rsidRPr="00A5626D">
              <w:rPr>
                <w:rFonts w:ascii="Garamond" w:hAnsi="Garamond" w:cstheme="minorHAnsi"/>
                <w:sz w:val="22"/>
                <w:szCs w:val="22"/>
              </w:rPr>
              <w:t xml:space="preserve">Описывает </w:t>
            </w:r>
            <w:r w:rsidRPr="00A5626D">
              <w:rPr>
                <w:rFonts w:ascii="Garamond" w:hAnsi="Garamond" w:cstheme="minorHAnsi"/>
                <w:bCs/>
                <w:sz w:val="22"/>
                <w:szCs w:val="22"/>
              </w:rPr>
              <w:t>связи</w:t>
            </w:r>
            <w:r w:rsidRPr="00A5626D">
              <w:rPr>
                <w:rFonts w:ascii="Garamond" w:hAnsi="Garamond" w:cstheme="minorHAnsi"/>
                <w:sz w:val="22"/>
                <w:szCs w:val="22"/>
              </w:rPr>
              <w:t xml:space="preserve"> ТИ </w:t>
            </w:r>
            <w:r w:rsidRPr="00A5626D">
              <w:rPr>
                <w:rFonts w:ascii="Garamond" w:hAnsi="Garamond" w:cstheme="minorHAnsi"/>
                <w:bCs/>
                <w:sz w:val="22"/>
                <w:szCs w:val="22"/>
              </w:rPr>
              <w:t>и ТП в части ПСИ, а также отнесение ТИ к типам</w:t>
            </w:r>
            <w:r w:rsidRPr="00A5626D">
              <w:rPr>
                <w:rFonts w:ascii="Garamond" w:hAnsi="Garamond" w:cstheme="minorHAnsi"/>
                <w:sz w:val="22"/>
                <w:szCs w:val="22"/>
              </w:rPr>
              <w:t xml:space="preserve"> ОИП </w:t>
            </w:r>
            <w:r w:rsidRPr="00A5626D">
              <w:rPr>
                <w:rFonts w:ascii="Garamond" w:hAnsi="Garamond" w:cstheme="minorHAnsi"/>
                <w:bCs/>
                <w:sz w:val="22"/>
                <w:szCs w:val="22"/>
              </w:rPr>
              <w:t>/</w:t>
            </w:r>
            <w:r w:rsidRPr="00A5626D">
              <w:rPr>
                <w:rFonts w:ascii="Garamond" w:hAnsi="Garamond" w:cstheme="minorHAnsi"/>
                <w:sz w:val="22"/>
                <w:szCs w:val="22"/>
              </w:rPr>
              <w:t xml:space="preserve"> РИП. Содержит атрибут:</w:t>
            </w:r>
          </w:p>
          <w:p w14:paraId="509D05B3" w14:textId="77777777" w:rsidR="00295C6D" w:rsidRPr="00A5626D" w:rsidRDefault="00295C6D" w:rsidP="00295C6D">
            <w:pPr>
              <w:widowControl w:val="0"/>
              <w:numPr>
                <w:ilvl w:val="0"/>
                <w:numId w:val="240"/>
              </w:numPr>
              <w:tabs>
                <w:tab w:val="left" w:pos="1134"/>
                <w:tab w:val="left" w:pos="7938"/>
              </w:tabs>
              <w:suppressAutoHyphens w:val="0"/>
              <w:autoSpaceDE w:val="0"/>
              <w:autoSpaceDN w:val="0"/>
              <w:adjustRightInd w:val="0"/>
              <w:spacing w:before="60" w:after="60"/>
              <w:ind w:left="0" w:firstLine="567"/>
              <w:jc w:val="both"/>
              <w:rPr>
                <w:rFonts w:ascii="Garamond" w:hAnsi="Garamond" w:cstheme="minorHAnsi"/>
                <w:sz w:val="22"/>
                <w:szCs w:val="22"/>
              </w:rPr>
            </w:pPr>
            <w:r w:rsidRPr="00A5626D">
              <w:rPr>
                <w:rFonts w:ascii="Garamond" w:hAnsi="Garamond" w:cstheme="minorHAnsi"/>
                <w:sz w:val="22"/>
                <w:szCs w:val="22"/>
              </w:rPr>
              <w:t xml:space="preserve">calc-side – атрибут, указывающий на стороны, вычисляющие величину электроэнергии по ТП и предоставляющие отчетность по данному сечению. Может принимать значения «1», если это только сторона заявителя, «2» – только сторона смежного субъекта, «3» – обе стороны. </w:t>
            </w:r>
          </w:p>
          <w:p w14:paraId="32F0763A" w14:textId="77777777" w:rsidR="00295C6D" w:rsidRPr="00A5626D" w:rsidRDefault="00295C6D" w:rsidP="00E31AE6">
            <w:pPr>
              <w:tabs>
                <w:tab w:val="left" w:pos="1134"/>
                <w:tab w:val="left" w:pos="7938"/>
              </w:tabs>
              <w:spacing w:before="120" w:after="120"/>
              <w:ind w:firstLine="567"/>
              <w:jc w:val="both"/>
              <w:rPr>
                <w:rFonts w:ascii="Garamond" w:hAnsi="Garamond"/>
                <w:sz w:val="22"/>
                <w:szCs w:val="22"/>
                <w:lang w:val="en-US"/>
              </w:rPr>
            </w:pPr>
            <w:r w:rsidRPr="00A5626D">
              <w:rPr>
                <w:rFonts w:ascii="Garamond" w:hAnsi="Garamond" w:cstheme="minorHAnsi"/>
                <w:sz w:val="22"/>
                <w:szCs w:val="22"/>
              </w:rPr>
              <w:t>Потомками</w:t>
            </w:r>
            <w:r w:rsidRPr="00A5626D">
              <w:rPr>
                <w:rFonts w:ascii="Garamond" w:hAnsi="Garamond" w:cstheme="minorHAnsi"/>
                <w:sz w:val="22"/>
                <w:szCs w:val="22"/>
                <w:lang w:val="en-US"/>
              </w:rPr>
              <w:t xml:space="preserve"> </w:t>
            </w:r>
            <w:r w:rsidRPr="00A5626D">
              <w:rPr>
                <w:rFonts w:ascii="Garamond" w:hAnsi="Garamond" w:cstheme="minorHAnsi"/>
                <w:sz w:val="22"/>
                <w:szCs w:val="22"/>
              </w:rPr>
              <w:t>элемента</w:t>
            </w:r>
            <w:r w:rsidRPr="00A5626D">
              <w:rPr>
                <w:rFonts w:ascii="Garamond" w:hAnsi="Garamond" w:cstheme="minorHAnsi"/>
                <w:sz w:val="22"/>
                <w:szCs w:val="22"/>
                <w:lang w:val="en-US"/>
              </w:rPr>
              <w:t xml:space="preserve"> &lt;psi&gt; являются элементы: &lt;delivery-point-measuring-device-link&gt;, &lt;comment&gt; </w:t>
            </w:r>
            <w:r w:rsidRPr="00A5626D">
              <w:rPr>
                <w:rFonts w:ascii="Garamond" w:hAnsi="Garamond" w:cstheme="minorHAnsi"/>
                <w:sz w:val="22"/>
                <w:szCs w:val="22"/>
              </w:rPr>
              <w:t>и</w:t>
            </w:r>
            <w:r w:rsidRPr="00A5626D">
              <w:rPr>
                <w:rFonts w:ascii="Garamond" w:hAnsi="Garamond" w:cstheme="minorHAnsi"/>
                <w:sz w:val="22"/>
                <w:szCs w:val="22"/>
                <w:lang w:val="en-US"/>
              </w:rPr>
              <w:t xml:space="preserve"> &lt;so-comment&gt;. </w:t>
            </w:r>
          </w:p>
        </w:tc>
        <w:tc>
          <w:tcPr>
            <w:tcW w:w="7088" w:type="dxa"/>
          </w:tcPr>
          <w:p w14:paraId="4DF44C83" w14:textId="77777777" w:rsidR="00295C6D" w:rsidRPr="00A5626D" w:rsidRDefault="00295C6D" w:rsidP="00E31AE6">
            <w:pPr>
              <w:pStyle w:val="2"/>
              <w:numPr>
                <w:ilvl w:val="0"/>
                <w:numId w:val="0"/>
              </w:numPr>
              <w:tabs>
                <w:tab w:val="left" w:pos="1134"/>
                <w:tab w:val="left" w:pos="7938"/>
              </w:tabs>
              <w:suppressAutoHyphens w:val="0"/>
              <w:spacing w:line="22" w:lineRule="atLeast"/>
              <w:ind w:firstLine="606"/>
              <w:jc w:val="both"/>
              <w:rPr>
                <w:rFonts w:ascii="Garamond" w:hAnsi="Garamond" w:cstheme="minorHAnsi"/>
              </w:rPr>
            </w:pPr>
            <w:r w:rsidRPr="00A5626D">
              <w:rPr>
                <w:rFonts w:ascii="Garamond" w:hAnsi="Garamond" w:cstheme="minorHAnsi"/>
              </w:rPr>
              <w:t>&lt;psi&gt;</w:t>
            </w:r>
          </w:p>
          <w:p w14:paraId="30281555" w14:textId="77777777" w:rsidR="00295C6D" w:rsidRPr="00A5626D" w:rsidRDefault="00295C6D" w:rsidP="00E31AE6">
            <w:pPr>
              <w:tabs>
                <w:tab w:val="left" w:pos="1134"/>
                <w:tab w:val="left" w:pos="7938"/>
              </w:tabs>
              <w:spacing w:before="120" w:after="120"/>
              <w:ind w:firstLine="567"/>
              <w:jc w:val="both"/>
              <w:rPr>
                <w:rFonts w:ascii="Garamond" w:hAnsi="Garamond" w:cstheme="minorHAnsi"/>
                <w:sz w:val="22"/>
                <w:szCs w:val="22"/>
              </w:rPr>
            </w:pPr>
            <w:r w:rsidRPr="00A5626D">
              <w:rPr>
                <w:rFonts w:ascii="Garamond" w:hAnsi="Garamond" w:cstheme="minorHAnsi"/>
                <w:sz w:val="22"/>
                <w:szCs w:val="22"/>
              </w:rPr>
              <w:t>Элемент &lt;</w:t>
            </w:r>
            <w:r w:rsidRPr="00A5626D">
              <w:rPr>
                <w:rFonts w:ascii="Garamond" w:hAnsi="Garamond" w:cstheme="minorHAnsi"/>
                <w:b/>
                <w:sz w:val="22"/>
                <w:szCs w:val="22"/>
              </w:rPr>
              <w:t>psi</w:t>
            </w:r>
            <w:r w:rsidRPr="00A5626D">
              <w:rPr>
                <w:rFonts w:ascii="Garamond" w:hAnsi="Garamond" w:cstheme="minorHAnsi"/>
                <w:sz w:val="22"/>
                <w:szCs w:val="22"/>
              </w:rPr>
              <w:t>&gt; является потомком корневого элемента &lt;</w:t>
            </w:r>
            <w:r w:rsidRPr="00A5626D">
              <w:rPr>
                <w:rFonts w:ascii="Garamond" w:hAnsi="Garamond" w:cstheme="minorHAnsi"/>
                <w:sz w:val="22"/>
                <w:szCs w:val="22"/>
                <w:lang w:val="en-US"/>
              </w:rPr>
              <w:t>body</w:t>
            </w:r>
            <w:r w:rsidRPr="00A5626D">
              <w:rPr>
                <w:rFonts w:ascii="Garamond" w:hAnsi="Garamond" w:cstheme="minorHAnsi"/>
                <w:sz w:val="22"/>
                <w:szCs w:val="22"/>
              </w:rPr>
              <w:t>&gt;. Является обязательным элементом.</w:t>
            </w:r>
            <w:r w:rsidRPr="00A5626D">
              <w:rPr>
                <w:rFonts w:ascii="Garamond" w:hAnsi="Garamond" w:cstheme="minorHAnsi"/>
                <w:bCs/>
                <w:sz w:val="22"/>
                <w:szCs w:val="22"/>
              </w:rPr>
              <w:t xml:space="preserve"> В документе должен быть только один элемент &lt;psi&gt;.</w:t>
            </w:r>
          </w:p>
          <w:p w14:paraId="0CC72C42" w14:textId="77777777" w:rsidR="00295C6D" w:rsidRPr="00A5626D" w:rsidRDefault="00295C6D" w:rsidP="00E31AE6">
            <w:pPr>
              <w:tabs>
                <w:tab w:val="left" w:pos="1134"/>
                <w:tab w:val="left" w:pos="7938"/>
              </w:tabs>
              <w:spacing w:before="120" w:after="120"/>
              <w:ind w:firstLine="567"/>
              <w:jc w:val="both"/>
              <w:rPr>
                <w:rFonts w:ascii="Garamond" w:hAnsi="Garamond" w:cstheme="minorHAnsi"/>
                <w:sz w:val="22"/>
                <w:szCs w:val="22"/>
              </w:rPr>
            </w:pPr>
            <w:r w:rsidRPr="00A5626D">
              <w:rPr>
                <w:rFonts w:ascii="Garamond" w:hAnsi="Garamond" w:cstheme="minorHAnsi"/>
                <w:sz w:val="22"/>
                <w:szCs w:val="22"/>
              </w:rPr>
              <w:t xml:space="preserve">Описывает </w:t>
            </w:r>
            <w:r w:rsidRPr="00A5626D">
              <w:rPr>
                <w:rFonts w:ascii="Garamond" w:hAnsi="Garamond" w:cstheme="minorHAnsi"/>
                <w:bCs/>
                <w:sz w:val="22"/>
                <w:szCs w:val="22"/>
              </w:rPr>
              <w:t>связи</w:t>
            </w:r>
            <w:r w:rsidRPr="00A5626D">
              <w:rPr>
                <w:rFonts w:ascii="Garamond" w:hAnsi="Garamond" w:cstheme="minorHAnsi"/>
                <w:sz w:val="22"/>
                <w:szCs w:val="22"/>
              </w:rPr>
              <w:t xml:space="preserve"> ТИ </w:t>
            </w:r>
            <w:r w:rsidRPr="00A5626D">
              <w:rPr>
                <w:rFonts w:ascii="Garamond" w:hAnsi="Garamond" w:cstheme="minorHAnsi"/>
                <w:bCs/>
                <w:sz w:val="22"/>
                <w:szCs w:val="22"/>
              </w:rPr>
              <w:t>и ТП в части ПСИ, а также отнесение ТИ к типам</w:t>
            </w:r>
            <w:r w:rsidRPr="00A5626D">
              <w:rPr>
                <w:rFonts w:ascii="Garamond" w:hAnsi="Garamond" w:cstheme="minorHAnsi"/>
                <w:sz w:val="22"/>
                <w:szCs w:val="22"/>
              </w:rPr>
              <w:t xml:space="preserve"> ОИП </w:t>
            </w:r>
            <w:r w:rsidRPr="00A5626D">
              <w:rPr>
                <w:rFonts w:ascii="Garamond" w:hAnsi="Garamond" w:cstheme="minorHAnsi"/>
                <w:bCs/>
                <w:sz w:val="22"/>
                <w:szCs w:val="22"/>
              </w:rPr>
              <w:t>/</w:t>
            </w:r>
            <w:r w:rsidRPr="00A5626D">
              <w:rPr>
                <w:rFonts w:ascii="Garamond" w:hAnsi="Garamond" w:cstheme="minorHAnsi"/>
                <w:sz w:val="22"/>
                <w:szCs w:val="22"/>
              </w:rPr>
              <w:t xml:space="preserve"> РИП. Содержит атрибут:</w:t>
            </w:r>
          </w:p>
          <w:p w14:paraId="4FF9934D" w14:textId="77777777" w:rsidR="00295C6D" w:rsidRPr="00A5626D" w:rsidRDefault="00295C6D" w:rsidP="00295C6D">
            <w:pPr>
              <w:widowControl w:val="0"/>
              <w:numPr>
                <w:ilvl w:val="0"/>
                <w:numId w:val="240"/>
              </w:numPr>
              <w:tabs>
                <w:tab w:val="left" w:pos="1134"/>
                <w:tab w:val="left" w:pos="7938"/>
              </w:tabs>
              <w:suppressAutoHyphens w:val="0"/>
              <w:autoSpaceDE w:val="0"/>
              <w:autoSpaceDN w:val="0"/>
              <w:adjustRightInd w:val="0"/>
              <w:spacing w:before="60" w:after="60"/>
              <w:ind w:left="0" w:firstLine="567"/>
              <w:jc w:val="both"/>
              <w:rPr>
                <w:rFonts w:ascii="Garamond" w:hAnsi="Garamond" w:cstheme="minorHAnsi"/>
                <w:sz w:val="22"/>
                <w:szCs w:val="22"/>
              </w:rPr>
            </w:pPr>
            <w:r w:rsidRPr="00A5626D">
              <w:rPr>
                <w:rFonts w:ascii="Garamond" w:hAnsi="Garamond" w:cstheme="minorHAnsi"/>
                <w:sz w:val="22"/>
                <w:szCs w:val="22"/>
              </w:rPr>
              <w:t xml:space="preserve">calc-side – атрибут, указывающий на стороны, вычисляющие величину электроэнергии по ТП и предоставляющие отчетность по данному сечению </w:t>
            </w:r>
            <w:r w:rsidRPr="00A5626D">
              <w:rPr>
                <w:rFonts w:ascii="Garamond" w:hAnsi="Garamond" w:cstheme="minorHAnsi"/>
                <w:sz w:val="22"/>
                <w:szCs w:val="22"/>
                <w:highlight w:val="yellow"/>
              </w:rPr>
              <w:t>КУ</w:t>
            </w:r>
            <w:r w:rsidRPr="00A5626D">
              <w:rPr>
                <w:rFonts w:ascii="Garamond" w:hAnsi="Garamond" w:cstheme="minorHAnsi"/>
                <w:sz w:val="22"/>
                <w:szCs w:val="22"/>
              </w:rPr>
              <w:t xml:space="preserve">. Может принимать значения «1», если это только сторона заявителя, «2» – только сторона смежного субъекта, «3» – обе стороны. </w:t>
            </w:r>
            <w:r w:rsidRPr="00A5626D">
              <w:rPr>
                <w:rFonts w:ascii="Garamond" w:hAnsi="Garamond" w:cstheme="minorHAnsi"/>
                <w:sz w:val="22"/>
                <w:szCs w:val="22"/>
                <w:highlight w:val="yellow"/>
              </w:rPr>
              <w:t>Для ОР атрибут всегда принимает значение «1».</w:t>
            </w:r>
          </w:p>
          <w:p w14:paraId="3494DB12" w14:textId="77777777" w:rsidR="00295C6D" w:rsidRPr="00A5626D" w:rsidRDefault="00295C6D" w:rsidP="00E31AE6">
            <w:pPr>
              <w:pStyle w:val="2"/>
              <w:numPr>
                <w:ilvl w:val="0"/>
                <w:numId w:val="0"/>
              </w:numPr>
              <w:tabs>
                <w:tab w:val="left" w:pos="1134"/>
                <w:tab w:val="left" w:pos="7938"/>
              </w:tabs>
              <w:suppressAutoHyphens w:val="0"/>
              <w:spacing w:line="22" w:lineRule="atLeast"/>
              <w:ind w:firstLine="629"/>
              <w:jc w:val="both"/>
              <w:rPr>
                <w:rFonts w:ascii="Garamond" w:hAnsi="Garamond" w:cstheme="minorHAnsi"/>
                <w:b w:val="0"/>
                <w:lang w:val="en-US"/>
              </w:rPr>
            </w:pPr>
            <w:r w:rsidRPr="00A5626D">
              <w:rPr>
                <w:rFonts w:ascii="Garamond" w:hAnsi="Garamond" w:cstheme="minorHAnsi"/>
                <w:b w:val="0"/>
              </w:rPr>
              <w:t>Потомками</w:t>
            </w:r>
            <w:r w:rsidRPr="00A5626D">
              <w:rPr>
                <w:rFonts w:ascii="Garamond" w:hAnsi="Garamond" w:cstheme="minorHAnsi"/>
                <w:b w:val="0"/>
                <w:lang w:val="en-US"/>
              </w:rPr>
              <w:t xml:space="preserve"> </w:t>
            </w:r>
            <w:r w:rsidRPr="00A5626D">
              <w:rPr>
                <w:rFonts w:ascii="Garamond" w:hAnsi="Garamond" w:cstheme="minorHAnsi"/>
                <w:b w:val="0"/>
              </w:rPr>
              <w:t>элемента</w:t>
            </w:r>
            <w:r w:rsidRPr="00A5626D">
              <w:rPr>
                <w:rFonts w:ascii="Garamond" w:hAnsi="Garamond" w:cstheme="minorHAnsi"/>
                <w:b w:val="0"/>
                <w:lang w:val="en-US"/>
              </w:rPr>
              <w:t xml:space="preserve"> &lt;psi&gt; являются элементы: &lt;delivery-point-measuring-device-link&gt;, &lt;comment&gt; </w:t>
            </w:r>
            <w:r w:rsidRPr="00A5626D">
              <w:rPr>
                <w:rFonts w:ascii="Garamond" w:hAnsi="Garamond" w:cstheme="minorHAnsi"/>
                <w:b w:val="0"/>
              </w:rPr>
              <w:t>и</w:t>
            </w:r>
            <w:r w:rsidRPr="00A5626D">
              <w:rPr>
                <w:rFonts w:ascii="Garamond" w:hAnsi="Garamond" w:cstheme="minorHAnsi"/>
                <w:b w:val="0"/>
                <w:lang w:val="en-US"/>
              </w:rPr>
              <w:t xml:space="preserve"> &lt;so-comment&gt;.</w:t>
            </w:r>
          </w:p>
        </w:tc>
      </w:tr>
      <w:tr w:rsidR="00295C6D" w:rsidRPr="00A5626D" w14:paraId="0131C2BA" w14:textId="77777777" w:rsidTr="00647FA0">
        <w:tc>
          <w:tcPr>
            <w:tcW w:w="1060" w:type="dxa"/>
            <w:vAlign w:val="center"/>
          </w:tcPr>
          <w:p w14:paraId="53431C76" w14:textId="7BCD4B4F" w:rsidR="00295C6D" w:rsidRPr="00A5626D" w:rsidRDefault="00295C6D" w:rsidP="00E31AE6">
            <w:pPr>
              <w:widowControl w:val="0"/>
              <w:tabs>
                <w:tab w:val="left" w:pos="1134"/>
                <w:tab w:val="left" w:pos="7938"/>
              </w:tabs>
              <w:spacing w:line="22" w:lineRule="atLeast"/>
              <w:jc w:val="both"/>
              <w:rPr>
                <w:rFonts w:ascii="Garamond" w:hAnsi="Garamond"/>
                <w:b/>
                <w:sz w:val="22"/>
                <w:szCs w:val="22"/>
                <w:lang w:val="en-US" w:eastAsia="en-US"/>
              </w:rPr>
            </w:pPr>
            <w:r w:rsidRPr="00A5626D">
              <w:rPr>
                <w:rFonts w:ascii="Garamond" w:hAnsi="Garamond"/>
                <w:b/>
                <w:sz w:val="22"/>
                <w:szCs w:val="22"/>
                <w:lang w:eastAsia="en-US"/>
              </w:rPr>
              <w:lastRenderedPageBreak/>
              <w:t>Приложение 5, п.</w:t>
            </w:r>
            <w:r w:rsidR="00647FA0" w:rsidRPr="00A5626D">
              <w:rPr>
                <w:rFonts w:ascii="Garamond" w:hAnsi="Garamond"/>
                <w:b/>
                <w:sz w:val="22"/>
                <w:szCs w:val="22"/>
                <w:lang w:eastAsia="en-US"/>
              </w:rPr>
              <w:t> </w:t>
            </w:r>
            <w:r w:rsidRPr="00A5626D">
              <w:rPr>
                <w:rFonts w:ascii="Garamond" w:hAnsi="Garamond"/>
                <w:b/>
                <w:sz w:val="22"/>
                <w:szCs w:val="22"/>
                <w:lang w:eastAsia="en-US"/>
              </w:rPr>
              <w:t>4.2.1.1.4.1</w:t>
            </w:r>
            <w:r w:rsidR="009B5F03" w:rsidRPr="00A5626D">
              <w:rPr>
                <w:rFonts w:ascii="Garamond" w:hAnsi="Garamond" w:cstheme="minorHAnsi"/>
                <w:b/>
                <w:sz w:val="22"/>
                <w:szCs w:val="22"/>
                <w:lang w:val="en-US"/>
              </w:rPr>
              <w:t xml:space="preserve"> </w:t>
            </w:r>
            <w:r w:rsidRPr="00A5626D">
              <w:rPr>
                <w:rFonts w:ascii="Garamond" w:hAnsi="Garamond" w:cstheme="minorHAnsi"/>
                <w:b/>
                <w:sz w:val="22"/>
                <w:szCs w:val="22"/>
                <w:lang w:val="en-US"/>
              </w:rPr>
              <w:t xml:space="preserve"> </w:t>
            </w:r>
          </w:p>
        </w:tc>
        <w:tc>
          <w:tcPr>
            <w:tcW w:w="6662" w:type="dxa"/>
          </w:tcPr>
          <w:p w14:paraId="50A7ADAA" w14:textId="77777777" w:rsidR="00295C6D" w:rsidRPr="00A5626D" w:rsidRDefault="00295C6D" w:rsidP="00E31AE6">
            <w:pPr>
              <w:pStyle w:val="2"/>
              <w:numPr>
                <w:ilvl w:val="0"/>
                <w:numId w:val="0"/>
              </w:numPr>
              <w:tabs>
                <w:tab w:val="left" w:pos="1134"/>
                <w:tab w:val="left" w:pos="7938"/>
              </w:tabs>
              <w:suppressAutoHyphens w:val="0"/>
              <w:spacing w:line="22" w:lineRule="atLeast"/>
              <w:ind w:firstLine="629"/>
              <w:jc w:val="both"/>
              <w:rPr>
                <w:rFonts w:ascii="Garamond" w:hAnsi="Garamond" w:cstheme="minorHAnsi"/>
                <w:b w:val="0"/>
                <w:lang w:val="en-US"/>
              </w:rPr>
            </w:pPr>
            <w:r w:rsidRPr="00A5626D">
              <w:rPr>
                <w:rFonts w:ascii="Garamond" w:hAnsi="Garamond" w:cstheme="minorHAnsi"/>
                <w:b w:val="0"/>
                <w:lang w:val="en-US"/>
              </w:rPr>
              <w:t>&lt;delivery-point-measuring-device-link&gt;</w:t>
            </w:r>
          </w:p>
          <w:p w14:paraId="4BBE2195" w14:textId="77777777" w:rsidR="00295C6D" w:rsidRPr="00A5626D" w:rsidRDefault="00295C6D" w:rsidP="00E31AE6">
            <w:pPr>
              <w:tabs>
                <w:tab w:val="left" w:pos="1134"/>
                <w:tab w:val="left" w:pos="7938"/>
              </w:tabs>
              <w:spacing w:before="120" w:after="120"/>
              <w:ind w:firstLine="567"/>
              <w:jc w:val="both"/>
              <w:rPr>
                <w:rFonts w:ascii="Garamond" w:hAnsi="Garamond" w:cstheme="minorHAnsi"/>
                <w:sz w:val="22"/>
                <w:szCs w:val="22"/>
              </w:rPr>
            </w:pPr>
            <w:r w:rsidRPr="00A5626D">
              <w:rPr>
                <w:rFonts w:ascii="Garamond" w:hAnsi="Garamond" w:cstheme="minorHAnsi"/>
                <w:sz w:val="22"/>
                <w:szCs w:val="22"/>
              </w:rPr>
              <w:t>Элемент &lt;</w:t>
            </w:r>
            <w:r w:rsidRPr="00A5626D">
              <w:rPr>
                <w:rFonts w:ascii="Garamond" w:hAnsi="Garamond" w:cstheme="minorHAnsi"/>
                <w:sz w:val="22"/>
                <w:szCs w:val="22"/>
                <w:lang w:val="en-US"/>
              </w:rPr>
              <w:t>delivery</w:t>
            </w:r>
            <w:r w:rsidRPr="00A5626D">
              <w:rPr>
                <w:rFonts w:ascii="Garamond" w:hAnsi="Garamond" w:cstheme="minorHAnsi"/>
                <w:sz w:val="22"/>
                <w:szCs w:val="22"/>
              </w:rPr>
              <w:t>-</w:t>
            </w:r>
            <w:r w:rsidRPr="00A5626D">
              <w:rPr>
                <w:rFonts w:ascii="Garamond" w:hAnsi="Garamond" w:cstheme="minorHAnsi"/>
                <w:sz w:val="22"/>
                <w:szCs w:val="22"/>
                <w:lang w:val="en-US"/>
              </w:rPr>
              <w:t>point</w:t>
            </w:r>
            <w:r w:rsidRPr="00A5626D">
              <w:rPr>
                <w:rFonts w:ascii="Garamond" w:hAnsi="Garamond" w:cstheme="minorHAnsi"/>
                <w:sz w:val="22"/>
                <w:szCs w:val="22"/>
              </w:rPr>
              <w:t>-</w:t>
            </w:r>
            <w:r w:rsidRPr="00A5626D">
              <w:rPr>
                <w:rFonts w:ascii="Garamond" w:hAnsi="Garamond" w:cstheme="minorHAnsi"/>
                <w:sz w:val="22"/>
                <w:szCs w:val="22"/>
                <w:lang w:val="en-US"/>
              </w:rPr>
              <w:t>measuring</w:t>
            </w:r>
            <w:r w:rsidRPr="00A5626D">
              <w:rPr>
                <w:rFonts w:ascii="Garamond" w:hAnsi="Garamond" w:cstheme="minorHAnsi"/>
                <w:sz w:val="22"/>
                <w:szCs w:val="22"/>
              </w:rPr>
              <w:t>-</w:t>
            </w:r>
            <w:r w:rsidRPr="00A5626D">
              <w:rPr>
                <w:rFonts w:ascii="Garamond" w:hAnsi="Garamond" w:cstheme="minorHAnsi"/>
                <w:sz w:val="22"/>
                <w:szCs w:val="22"/>
                <w:lang w:val="en-US"/>
              </w:rPr>
              <w:t>device</w:t>
            </w:r>
            <w:r w:rsidRPr="00A5626D">
              <w:rPr>
                <w:rFonts w:ascii="Garamond" w:hAnsi="Garamond" w:cstheme="minorHAnsi"/>
                <w:sz w:val="22"/>
                <w:szCs w:val="22"/>
              </w:rPr>
              <w:t>-</w:t>
            </w:r>
            <w:r w:rsidRPr="00A5626D">
              <w:rPr>
                <w:rFonts w:ascii="Garamond" w:hAnsi="Garamond" w:cstheme="minorHAnsi"/>
                <w:sz w:val="22"/>
                <w:szCs w:val="22"/>
                <w:lang w:val="en-US"/>
              </w:rPr>
              <w:t>link</w:t>
            </w:r>
            <w:r w:rsidRPr="00A5626D">
              <w:rPr>
                <w:rFonts w:ascii="Garamond" w:hAnsi="Garamond" w:cstheme="minorHAnsi"/>
                <w:sz w:val="22"/>
                <w:szCs w:val="22"/>
              </w:rPr>
              <w:t>&gt; содержит информацию о связи точек поставки и измерительных приборов в ПСИ.</w:t>
            </w:r>
          </w:p>
          <w:p w14:paraId="581B2E43" w14:textId="77777777" w:rsidR="00295C6D" w:rsidRPr="00A5626D" w:rsidRDefault="00295C6D" w:rsidP="00E31AE6">
            <w:pPr>
              <w:tabs>
                <w:tab w:val="left" w:pos="1134"/>
                <w:tab w:val="left" w:pos="7938"/>
              </w:tabs>
              <w:spacing w:before="120" w:after="120"/>
              <w:ind w:firstLine="567"/>
              <w:jc w:val="both"/>
              <w:rPr>
                <w:rFonts w:ascii="Garamond" w:hAnsi="Garamond" w:cstheme="minorHAnsi"/>
                <w:sz w:val="22"/>
                <w:szCs w:val="22"/>
              </w:rPr>
            </w:pPr>
            <w:r w:rsidRPr="00A5626D">
              <w:rPr>
                <w:rFonts w:ascii="Garamond" w:hAnsi="Garamond" w:cstheme="minorHAnsi"/>
                <w:sz w:val="22"/>
                <w:szCs w:val="22"/>
              </w:rPr>
              <w:t>Обязательным атрибутом элемента являются:</w:t>
            </w:r>
          </w:p>
          <w:p w14:paraId="25CAB814" w14:textId="77777777" w:rsidR="00295C6D" w:rsidRPr="00A5626D" w:rsidRDefault="00295C6D" w:rsidP="00295C6D">
            <w:pPr>
              <w:pStyle w:val="ac"/>
              <w:widowControl w:val="0"/>
              <w:numPr>
                <w:ilvl w:val="0"/>
                <w:numId w:val="273"/>
              </w:numPr>
              <w:tabs>
                <w:tab w:val="left" w:pos="1134"/>
                <w:tab w:val="left" w:pos="7938"/>
              </w:tabs>
              <w:autoSpaceDE w:val="0"/>
              <w:autoSpaceDN w:val="0"/>
              <w:adjustRightInd w:val="0"/>
              <w:spacing w:before="60" w:after="60"/>
              <w:ind w:left="0" w:firstLine="567"/>
              <w:contextualSpacing/>
              <w:jc w:val="both"/>
              <w:rPr>
                <w:rFonts w:ascii="Garamond" w:hAnsi="Garamond" w:cstheme="minorHAnsi"/>
                <w:sz w:val="22"/>
                <w:szCs w:val="22"/>
              </w:rPr>
            </w:pPr>
            <w:r w:rsidRPr="00A5626D">
              <w:rPr>
                <w:rFonts w:ascii="Garamond" w:hAnsi="Garamond" w:cstheme="minorHAnsi"/>
                <w:sz w:val="22"/>
                <w:szCs w:val="22"/>
              </w:rPr>
              <w:t>id-delivery-point – ссылка на внутренний идентификатор точки поставки;</w:t>
            </w:r>
          </w:p>
          <w:p w14:paraId="6D0494C8" w14:textId="77777777" w:rsidR="00295C6D" w:rsidRPr="00A5626D" w:rsidRDefault="00295C6D" w:rsidP="00295C6D">
            <w:pPr>
              <w:pStyle w:val="ac"/>
              <w:widowControl w:val="0"/>
              <w:numPr>
                <w:ilvl w:val="0"/>
                <w:numId w:val="273"/>
              </w:numPr>
              <w:tabs>
                <w:tab w:val="left" w:pos="1134"/>
                <w:tab w:val="left" w:pos="7938"/>
              </w:tabs>
              <w:autoSpaceDE w:val="0"/>
              <w:autoSpaceDN w:val="0"/>
              <w:adjustRightInd w:val="0"/>
              <w:spacing w:before="60" w:after="60"/>
              <w:ind w:left="0" w:firstLine="567"/>
              <w:contextualSpacing/>
              <w:jc w:val="both"/>
              <w:rPr>
                <w:rFonts w:ascii="Garamond" w:hAnsi="Garamond" w:cstheme="minorHAnsi"/>
                <w:sz w:val="22"/>
                <w:szCs w:val="22"/>
              </w:rPr>
            </w:pPr>
            <w:r w:rsidRPr="00A5626D">
              <w:rPr>
                <w:rFonts w:ascii="Garamond" w:hAnsi="Garamond" w:cstheme="minorHAnsi"/>
                <w:sz w:val="22"/>
                <w:szCs w:val="22"/>
              </w:rPr>
              <w:t>id-measuring-device – ссылка на измерительный прибор, описанный в секции словарей;</w:t>
            </w:r>
          </w:p>
          <w:p w14:paraId="63CC9B5D" w14:textId="77777777" w:rsidR="00295C6D" w:rsidRPr="00A5626D" w:rsidRDefault="00295C6D" w:rsidP="00295C6D">
            <w:pPr>
              <w:pStyle w:val="ac"/>
              <w:widowControl w:val="0"/>
              <w:numPr>
                <w:ilvl w:val="0"/>
                <w:numId w:val="273"/>
              </w:numPr>
              <w:tabs>
                <w:tab w:val="left" w:pos="1134"/>
                <w:tab w:val="left" w:pos="7938"/>
              </w:tabs>
              <w:autoSpaceDE w:val="0"/>
              <w:autoSpaceDN w:val="0"/>
              <w:adjustRightInd w:val="0"/>
              <w:spacing w:before="60" w:after="60"/>
              <w:ind w:left="0" w:firstLine="567"/>
              <w:contextualSpacing/>
              <w:jc w:val="both"/>
              <w:rPr>
                <w:rFonts w:ascii="Garamond" w:hAnsi="Garamond" w:cstheme="minorHAnsi"/>
                <w:sz w:val="22"/>
                <w:szCs w:val="22"/>
              </w:rPr>
            </w:pPr>
            <w:r w:rsidRPr="00A5626D">
              <w:rPr>
                <w:rFonts w:ascii="Garamond" w:hAnsi="Garamond" w:cstheme="minorHAnsi"/>
                <w:sz w:val="22"/>
                <w:szCs w:val="22"/>
              </w:rPr>
              <w:t xml:space="preserve">direction – информация о направлении перетока. Атрибут обязателен к заполнению для всех ТИ, </w:t>
            </w:r>
            <w:r w:rsidRPr="00A5626D">
              <w:rPr>
                <w:rFonts w:ascii="Garamond" w:hAnsi="Garamond" w:cstheme="minorHAnsi"/>
                <w:sz w:val="22"/>
                <w:szCs w:val="22"/>
                <w:highlight w:val="yellow"/>
              </w:rPr>
              <w:t>кроме параметров СО</w:t>
            </w:r>
            <w:r w:rsidRPr="00A5626D">
              <w:rPr>
                <w:rFonts w:ascii="Garamond" w:hAnsi="Garamond" w:cstheme="minorHAnsi"/>
                <w:sz w:val="22"/>
                <w:szCs w:val="22"/>
              </w:rPr>
              <w:t>. Атрибут принимает значения «send» для отдачи, «receive» – приема, «send-receive» – приема/отдачи;</w:t>
            </w:r>
          </w:p>
          <w:p w14:paraId="3B712F67" w14:textId="77777777" w:rsidR="00295C6D" w:rsidRPr="00A5626D" w:rsidRDefault="00295C6D" w:rsidP="00295C6D">
            <w:pPr>
              <w:pStyle w:val="ac"/>
              <w:widowControl w:val="0"/>
              <w:numPr>
                <w:ilvl w:val="0"/>
                <w:numId w:val="273"/>
              </w:numPr>
              <w:tabs>
                <w:tab w:val="left" w:pos="1134"/>
                <w:tab w:val="left" w:pos="7938"/>
              </w:tabs>
              <w:autoSpaceDE w:val="0"/>
              <w:autoSpaceDN w:val="0"/>
              <w:adjustRightInd w:val="0"/>
              <w:spacing w:before="60" w:after="60"/>
              <w:ind w:left="0" w:firstLine="567"/>
              <w:contextualSpacing/>
              <w:jc w:val="both"/>
              <w:rPr>
                <w:rFonts w:ascii="Garamond" w:hAnsi="Garamond" w:cstheme="minorHAnsi"/>
                <w:sz w:val="22"/>
                <w:szCs w:val="22"/>
              </w:rPr>
            </w:pPr>
            <w:r w:rsidRPr="00A5626D">
              <w:rPr>
                <w:rFonts w:ascii="Garamond" w:hAnsi="Garamond" w:cstheme="minorHAnsi"/>
                <w:sz w:val="22"/>
                <w:szCs w:val="22"/>
                <w:lang w:val="en-US"/>
              </w:rPr>
              <w:t>is</w:t>
            </w:r>
            <w:r w:rsidRPr="00A5626D">
              <w:rPr>
                <w:rFonts w:ascii="Garamond" w:hAnsi="Garamond" w:cstheme="minorHAnsi"/>
                <w:sz w:val="22"/>
                <w:szCs w:val="22"/>
              </w:rPr>
              <w:t>-</w:t>
            </w:r>
            <w:r w:rsidRPr="00A5626D">
              <w:rPr>
                <w:rFonts w:ascii="Garamond" w:hAnsi="Garamond" w:cstheme="minorHAnsi"/>
                <w:sz w:val="22"/>
                <w:szCs w:val="22"/>
                <w:lang w:val="en-US"/>
              </w:rPr>
              <w:t>inverse</w:t>
            </w:r>
            <w:r w:rsidRPr="00A5626D">
              <w:rPr>
                <w:rFonts w:ascii="Garamond" w:hAnsi="Garamond" w:cstheme="minorHAnsi"/>
                <w:sz w:val="22"/>
                <w:szCs w:val="22"/>
              </w:rPr>
              <w:t>-</w:t>
            </w:r>
            <w:r w:rsidRPr="00A5626D">
              <w:rPr>
                <w:rFonts w:ascii="Garamond" w:hAnsi="Garamond" w:cstheme="minorHAnsi"/>
                <w:sz w:val="22"/>
                <w:szCs w:val="22"/>
                <w:lang w:val="en-US"/>
              </w:rPr>
              <w:t>connection</w:t>
            </w:r>
            <w:r w:rsidRPr="00A5626D">
              <w:rPr>
                <w:rFonts w:ascii="Garamond" w:hAnsi="Garamond" w:cstheme="minorHAnsi"/>
                <w:sz w:val="22"/>
                <w:szCs w:val="22"/>
              </w:rPr>
              <w:t xml:space="preserve"> – признак, определяющий подключение, при котором направление измеряемой электрической энергии, фиксируемое ПУ (прием, отдача), не соответствует направлению перетока через границу балансовой принадлежности (точку поставки) относительно субъекта, на стороне которого расположен прибор учета (далее – инверсное подключение). Обязательный к заполнению атрибут только для измерительных приборов с атрибутом «</w:t>
            </w:r>
            <w:r w:rsidRPr="00A5626D">
              <w:rPr>
                <w:rFonts w:ascii="Garamond" w:hAnsi="Garamond" w:cstheme="minorHAnsi"/>
                <w:sz w:val="22"/>
                <w:szCs w:val="22"/>
                <w:lang w:val="en-US"/>
              </w:rPr>
              <w:t>is</w:t>
            </w:r>
            <w:r w:rsidRPr="00A5626D">
              <w:rPr>
                <w:rFonts w:ascii="Garamond" w:hAnsi="Garamond" w:cstheme="minorHAnsi"/>
                <w:sz w:val="22"/>
                <w:szCs w:val="22"/>
              </w:rPr>
              <w:t>-</w:t>
            </w:r>
            <w:r w:rsidRPr="00A5626D">
              <w:rPr>
                <w:rFonts w:ascii="Garamond" w:hAnsi="Garamond" w:cstheme="minorHAnsi"/>
                <w:sz w:val="22"/>
                <w:szCs w:val="22"/>
                <w:lang w:val="en-US"/>
              </w:rPr>
              <w:t>for</w:t>
            </w:r>
            <w:r w:rsidRPr="00A5626D">
              <w:rPr>
                <w:rFonts w:ascii="Garamond" w:hAnsi="Garamond" w:cstheme="minorHAnsi"/>
                <w:sz w:val="22"/>
                <w:szCs w:val="22"/>
              </w:rPr>
              <w:t>-</w:t>
            </w:r>
            <w:r w:rsidRPr="00A5626D">
              <w:rPr>
                <w:rFonts w:ascii="Garamond" w:hAnsi="Garamond" w:cstheme="minorHAnsi"/>
                <w:sz w:val="22"/>
                <w:szCs w:val="22"/>
                <w:lang w:val="en-US"/>
              </w:rPr>
              <w:t>coding</w:t>
            </w:r>
            <w:r w:rsidRPr="00A5626D">
              <w:rPr>
                <w:rFonts w:ascii="Garamond" w:hAnsi="Garamond" w:cstheme="minorHAnsi"/>
                <w:sz w:val="22"/>
                <w:szCs w:val="22"/>
              </w:rPr>
              <w:t>=</w:t>
            </w:r>
            <w:r w:rsidRPr="00A5626D">
              <w:rPr>
                <w:rFonts w:ascii="Garamond" w:hAnsi="Garamond" w:cstheme="minorHAnsi"/>
                <w:sz w:val="22"/>
                <w:szCs w:val="22"/>
                <w:lang w:val="en-US"/>
              </w:rPr>
              <w:t>true</w:t>
            </w:r>
            <w:r w:rsidRPr="00A5626D">
              <w:rPr>
                <w:rFonts w:ascii="Garamond" w:hAnsi="Garamond" w:cstheme="minorHAnsi"/>
                <w:sz w:val="22"/>
                <w:szCs w:val="22"/>
              </w:rPr>
              <w:t>», относящихся к точкам измерения с атрибутом «</w:t>
            </w:r>
            <w:r w:rsidRPr="00A5626D">
              <w:rPr>
                <w:rFonts w:ascii="Garamond" w:hAnsi="Garamond" w:cstheme="minorHAnsi"/>
                <w:sz w:val="22"/>
                <w:szCs w:val="22"/>
                <w:lang w:val="en-US"/>
              </w:rPr>
              <w:t>type</w:t>
            </w:r>
            <w:r w:rsidRPr="00A5626D">
              <w:rPr>
                <w:rFonts w:ascii="Garamond" w:hAnsi="Garamond" w:cstheme="minorHAnsi"/>
                <w:sz w:val="22"/>
                <w:szCs w:val="22"/>
              </w:rPr>
              <w:t>=</w:t>
            </w:r>
            <w:r w:rsidRPr="00A5626D">
              <w:rPr>
                <w:rFonts w:ascii="Garamond" w:hAnsi="Garamond" w:cstheme="minorHAnsi"/>
                <w:sz w:val="22"/>
                <w:szCs w:val="22"/>
                <w:lang w:val="en-US"/>
              </w:rPr>
              <w:t>general</w:t>
            </w:r>
            <w:r w:rsidRPr="00A5626D">
              <w:rPr>
                <w:rFonts w:ascii="Garamond" w:hAnsi="Garamond" w:cstheme="minorHAnsi"/>
                <w:sz w:val="22"/>
                <w:szCs w:val="22"/>
              </w:rPr>
              <w:t>». Принимает значение «</w:t>
            </w:r>
            <w:r w:rsidRPr="00A5626D">
              <w:rPr>
                <w:rFonts w:ascii="Garamond" w:hAnsi="Garamond" w:cstheme="minorHAnsi"/>
                <w:sz w:val="22"/>
                <w:szCs w:val="22"/>
                <w:lang w:val="en-US"/>
              </w:rPr>
              <w:t>true</w:t>
            </w:r>
            <w:r w:rsidRPr="00A5626D">
              <w:rPr>
                <w:rFonts w:ascii="Garamond" w:hAnsi="Garamond" w:cstheme="minorHAnsi"/>
                <w:sz w:val="22"/>
                <w:szCs w:val="22"/>
              </w:rPr>
              <w:t>», если для ПУ указано инверсное подключение, «</w:t>
            </w:r>
            <w:r w:rsidRPr="00A5626D">
              <w:rPr>
                <w:rFonts w:ascii="Garamond" w:hAnsi="Garamond" w:cstheme="minorHAnsi"/>
                <w:sz w:val="22"/>
                <w:szCs w:val="22"/>
                <w:lang w:val="en-US"/>
              </w:rPr>
              <w:t>false</w:t>
            </w:r>
            <w:r w:rsidRPr="00A5626D">
              <w:rPr>
                <w:rFonts w:ascii="Garamond" w:hAnsi="Garamond" w:cstheme="minorHAnsi"/>
                <w:sz w:val="22"/>
                <w:szCs w:val="22"/>
              </w:rPr>
              <w:t>», если инверсное подключение не указано;</w:t>
            </w:r>
          </w:p>
          <w:p w14:paraId="00345C7C" w14:textId="77777777" w:rsidR="00295C6D" w:rsidRPr="00A5626D" w:rsidRDefault="00295C6D" w:rsidP="00295C6D">
            <w:pPr>
              <w:pStyle w:val="ac"/>
              <w:widowControl w:val="0"/>
              <w:numPr>
                <w:ilvl w:val="0"/>
                <w:numId w:val="273"/>
              </w:numPr>
              <w:tabs>
                <w:tab w:val="left" w:pos="1134"/>
                <w:tab w:val="left" w:pos="7938"/>
              </w:tabs>
              <w:autoSpaceDE w:val="0"/>
              <w:autoSpaceDN w:val="0"/>
              <w:adjustRightInd w:val="0"/>
              <w:spacing w:before="60" w:after="60"/>
              <w:ind w:left="0" w:firstLine="567"/>
              <w:contextualSpacing/>
              <w:jc w:val="both"/>
              <w:rPr>
                <w:rFonts w:ascii="Garamond" w:hAnsi="Garamond" w:cstheme="minorHAnsi"/>
                <w:sz w:val="22"/>
                <w:szCs w:val="22"/>
              </w:rPr>
            </w:pPr>
            <w:r w:rsidRPr="00A5626D">
              <w:rPr>
                <w:rFonts w:ascii="Garamond" w:hAnsi="Garamond" w:cstheme="minorHAnsi"/>
                <w:sz w:val="22"/>
                <w:szCs w:val="22"/>
                <w:lang w:val="en-US"/>
              </w:rPr>
              <w:t>oip</w:t>
            </w:r>
            <w:r w:rsidRPr="00A5626D">
              <w:rPr>
                <w:rFonts w:ascii="Garamond" w:hAnsi="Garamond" w:cstheme="minorHAnsi"/>
                <w:sz w:val="22"/>
                <w:szCs w:val="22"/>
              </w:rPr>
              <w:t>-</w:t>
            </w:r>
            <w:r w:rsidRPr="00A5626D">
              <w:rPr>
                <w:rFonts w:ascii="Garamond" w:hAnsi="Garamond" w:cstheme="minorHAnsi"/>
                <w:sz w:val="22"/>
                <w:szCs w:val="22"/>
                <w:lang w:val="en-US"/>
              </w:rPr>
              <w:t>rip</w:t>
            </w:r>
            <w:r w:rsidRPr="00A5626D">
              <w:rPr>
                <w:rFonts w:ascii="Garamond" w:hAnsi="Garamond" w:cstheme="minorHAnsi"/>
                <w:sz w:val="22"/>
                <w:szCs w:val="22"/>
              </w:rPr>
              <w:t>-</w:t>
            </w:r>
            <w:r w:rsidRPr="00A5626D">
              <w:rPr>
                <w:rFonts w:ascii="Garamond" w:hAnsi="Garamond" w:cstheme="minorHAnsi"/>
                <w:sz w:val="22"/>
                <w:szCs w:val="22"/>
                <w:lang w:val="en-US"/>
              </w:rPr>
              <w:t>so</w:t>
            </w:r>
            <w:r w:rsidRPr="00A5626D">
              <w:rPr>
                <w:rFonts w:ascii="Garamond" w:hAnsi="Garamond" w:cstheme="minorHAnsi"/>
                <w:sz w:val="22"/>
                <w:szCs w:val="22"/>
              </w:rPr>
              <w:t xml:space="preserve"> – информация о том, является ли данный прибор основным, резервным или является параметром СО. Атрибут принимает значения «</w:t>
            </w:r>
            <w:r w:rsidRPr="00A5626D">
              <w:rPr>
                <w:rFonts w:ascii="Garamond" w:hAnsi="Garamond" w:cstheme="minorHAnsi"/>
                <w:sz w:val="22"/>
                <w:szCs w:val="22"/>
                <w:lang w:val="en-US"/>
              </w:rPr>
              <w:t>oip</w:t>
            </w:r>
            <w:r w:rsidRPr="00A5626D">
              <w:rPr>
                <w:rFonts w:ascii="Garamond" w:hAnsi="Garamond" w:cstheme="minorHAnsi"/>
                <w:sz w:val="22"/>
                <w:szCs w:val="22"/>
              </w:rPr>
              <w:t>» – основной измерительный прибор (ОИП), «r</w:t>
            </w:r>
            <w:r w:rsidRPr="00A5626D">
              <w:rPr>
                <w:rFonts w:ascii="Garamond" w:hAnsi="Garamond" w:cstheme="minorHAnsi"/>
                <w:sz w:val="22"/>
                <w:szCs w:val="22"/>
                <w:lang w:val="en-US"/>
              </w:rPr>
              <w:t>ip</w:t>
            </w:r>
            <w:r w:rsidRPr="00A5626D">
              <w:rPr>
                <w:rFonts w:ascii="Garamond" w:hAnsi="Garamond" w:cstheme="minorHAnsi"/>
                <w:sz w:val="22"/>
                <w:szCs w:val="22"/>
              </w:rPr>
              <w:t>» – резервный измерительный прибор (РИП), «</w:t>
            </w:r>
            <w:r w:rsidRPr="00A5626D">
              <w:rPr>
                <w:rFonts w:ascii="Garamond" w:hAnsi="Garamond" w:cstheme="minorHAnsi"/>
                <w:sz w:val="22"/>
                <w:szCs w:val="22"/>
                <w:lang w:val="en-US"/>
              </w:rPr>
              <w:t>so</w:t>
            </w:r>
            <w:r w:rsidRPr="00A5626D">
              <w:rPr>
                <w:rFonts w:ascii="Garamond" w:hAnsi="Garamond" w:cstheme="minorHAnsi"/>
                <w:sz w:val="22"/>
                <w:szCs w:val="22"/>
              </w:rPr>
              <w:t>» – параметр СО, относящийся к данной ТП.</w:t>
            </w:r>
          </w:p>
        </w:tc>
        <w:tc>
          <w:tcPr>
            <w:tcW w:w="7088" w:type="dxa"/>
          </w:tcPr>
          <w:p w14:paraId="73CCC142" w14:textId="77777777" w:rsidR="00295C6D" w:rsidRPr="00A5626D" w:rsidRDefault="00295C6D" w:rsidP="00E31AE6">
            <w:pPr>
              <w:pStyle w:val="2"/>
              <w:numPr>
                <w:ilvl w:val="0"/>
                <w:numId w:val="0"/>
              </w:numPr>
              <w:tabs>
                <w:tab w:val="left" w:pos="1134"/>
                <w:tab w:val="left" w:pos="7938"/>
              </w:tabs>
              <w:suppressAutoHyphens w:val="0"/>
              <w:spacing w:line="22" w:lineRule="atLeast"/>
              <w:ind w:firstLine="629"/>
              <w:jc w:val="both"/>
              <w:rPr>
                <w:rFonts w:ascii="Garamond" w:hAnsi="Garamond" w:cstheme="minorHAnsi"/>
                <w:b w:val="0"/>
                <w:lang w:val="en-US"/>
              </w:rPr>
            </w:pPr>
            <w:r w:rsidRPr="00A5626D">
              <w:rPr>
                <w:rFonts w:ascii="Garamond" w:hAnsi="Garamond" w:cstheme="minorHAnsi"/>
                <w:b w:val="0"/>
                <w:lang w:val="en-US"/>
              </w:rPr>
              <w:t>&lt;delivery-point-measuring-device-link&gt;</w:t>
            </w:r>
          </w:p>
          <w:p w14:paraId="111EF45F" w14:textId="77777777" w:rsidR="00295C6D" w:rsidRPr="00A5626D" w:rsidRDefault="00295C6D" w:rsidP="00E31AE6">
            <w:pPr>
              <w:tabs>
                <w:tab w:val="left" w:pos="1134"/>
                <w:tab w:val="left" w:pos="7938"/>
              </w:tabs>
              <w:spacing w:before="120" w:after="120"/>
              <w:ind w:firstLine="567"/>
              <w:jc w:val="both"/>
              <w:rPr>
                <w:rFonts w:ascii="Garamond" w:hAnsi="Garamond" w:cstheme="minorHAnsi"/>
                <w:sz w:val="22"/>
                <w:szCs w:val="22"/>
              </w:rPr>
            </w:pPr>
            <w:r w:rsidRPr="00A5626D">
              <w:rPr>
                <w:rFonts w:ascii="Garamond" w:hAnsi="Garamond" w:cstheme="minorHAnsi"/>
                <w:sz w:val="22"/>
                <w:szCs w:val="22"/>
              </w:rPr>
              <w:t>Элемент &lt;</w:t>
            </w:r>
            <w:r w:rsidRPr="00A5626D">
              <w:rPr>
                <w:rFonts w:ascii="Garamond" w:hAnsi="Garamond" w:cstheme="minorHAnsi"/>
                <w:sz w:val="22"/>
                <w:szCs w:val="22"/>
                <w:lang w:val="en-US"/>
              </w:rPr>
              <w:t>delivery</w:t>
            </w:r>
            <w:r w:rsidRPr="00A5626D">
              <w:rPr>
                <w:rFonts w:ascii="Garamond" w:hAnsi="Garamond" w:cstheme="minorHAnsi"/>
                <w:sz w:val="22"/>
                <w:szCs w:val="22"/>
              </w:rPr>
              <w:t>-</w:t>
            </w:r>
            <w:r w:rsidRPr="00A5626D">
              <w:rPr>
                <w:rFonts w:ascii="Garamond" w:hAnsi="Garamond" w:cstheme="minorHAnsi"/>
                <w:sz w:val="22"/>
                <w:szCs w:val="22"/>
                <w:lang w:val="en-US"/>
              </w:rPr>
              <w:t>point</w:t>
            </w:r>
            <w:r w:rsidRPr="00A5626D">
              <w:rPr>
                <w:rFonts w:ascii="Garamond" w:hAnsi="Garamond" w:cstheme="minorHAnsi"/>
                <w:sz w:val="22"/>
                <w:szCs w:val="22"/>
              </w:rPr>
              <w:t>-</w:t>
            </w:r>
            <w:r w:rsidRPr="00A5626D">
              <w:rPr>
                <w:rFonts w:ascii="Garamond" w:hAnsi="Garamond" w:cstheme="minorHAnsi"/>
                <w:sz w:val="22"/>
                <w:szCs w:val="22"/>
                <w:lang w:val="en-US"/>
              </w:rPr>
              <w:t>measuring</w:t>
            </w:r>
            <w:r w:rsidRPr="00A5626D">
              <w:rPr>
                <w:rFonts w:ascii="Garamond" w:hAnsi="Garamond" w:cstheme="minorHAnsi"/>
                <w:sz w:val="22"/>
                <w:szCs w:val="22"/>
              </w:rPr>
              <w:t>-</w:t>
            </w:r>
            <w:r w:rsidRPr="00A5626D">
              <w:rPr>
                <w:rFonts w:ascii="Garamond" w:hAnsi="Garamond" w:cstheme="minorHAnsi"/>
                <w:sz w:val="22"/>
                <w:szCs w:val="22"/>
                <w:lang w:val="en-US"/>
              </w:rPr>
              <w:t>device</w:t>
            </w:r>
            <w:r w:rsidRPr="00A5626D">
              <w:rPr>
                <w:rFonts w:ascii="Garamond" w:hAnsi="Garamond" w:cstheme="minorHAnsi"/>
                <w:sz w:val="22"/>
                <w:szCs w:val="22"/>
              </w:rPr>
              <w:t>-</w:t>
            </w:r>
            <w:r w:rsidRPr="00A5626D">
              <w:rPr>
                <w:rFonts w:ascii="Garamond" w:hAnsi="Garamond" w:cstheme="minorHAnsi"/>
                <w:sz w:val="22"/>
                <w:szCs w:val="22"/>
                <w:lang w:val="en-US"/>
              </w:rPr>
              <w:t>link</w:t>
            </w:r>
            <w:r w:rsidRPr="00A5626D">
              <w:rPr>
                <w:rFonts w:ascii="Garamond" w:hAnsi="Garamond" w:cstheme="minorHAnsi"/>
                <w:sz w:val="22"/>
                <w:szCs w:val="22"/>
              </w:rPr>
              <w:t xml:space="preserve">&gt; содержит информацию о связи точек поставки </w:t>
            </w:r>
            <w:r w:rsidRPr="00A5626D">
              <w:rPr>
                <w:rFonts w:ascii="Garamond" w:hAnsi="Garamond" w:cstheme="minorHAnsi"/>
                <w:sz w:val="22"/>
                <w:szCs w:val="22"/>
                <w:highlight w:val="yellow"/>
              </w:rPr>
              <w:t>(точек присоединения)</w:t>
            </w:r>
            <w:r w:rsidRPr="00A5626D">
              <w:rPr>
                <w:rFonts w:ascii="Garamond" w:hAnsi="Garamond" w:cstheme="minorHAnsi"/>
                <w:sz w:val="22"/>
                <w:szCs w:val="22"/>
              </w:rPr>
              <w:t xml:space="preserve"> и измерительных приборов в ПСИ.</w:t>
            </w:r>
          </w:p>
          <w:p w14:paraId="6B9197E2" w14:textId="77777777" w:rsidR="00295C6D" w:rsidRPr="00A5626D" w:rsidRDefault="00295C6D" w:rsidP="00E31AE6">
            <w:pPr>
              <w:tabs>
                <w:tab w:val="left" w:pos="1134"/>
                <w:tab w:val="left" w:pos="7938"/>
              </w:tabs>
              <w:spacing w:before="120" w:after="120"/>
              <w:ind w:firstLine="567"/>
              <w:jc w:val="both"/>
              <w:rPr>
                <w:rFonts w:ascii="Garamond" w:hAnsi="Garamond" w:cstheme="minorHAnsi"/>
                <w:sz w:val="22"/>
                <w:szCs w:val="22"/>
              </w:rPr>
            </w:pPr>
            <w:r w:rsidRPr="00A5626D">
              <w:rPr>
                <w:rFonts w:ascii="Garamond" w:hAnsi="Garamond" w:cstheme="minorHAnsi"/>
                <w:sz w:val="22"/>
                <w:szCs w:val="22"/>
              </w:rPr>
              <w:t>Обязательным атрибутом элемента являются:</w:t>
            </w:r>
          </w:p>
          <w:p w14:paraId="4B7C9BDB" w14:textId="77777777" w:rsidR="00295C6D" w:rsidRPr="00A5626D" w:rsidRDefault="00295C6D" w:rsidP="00295C6D">
            <w:pPr>
              <w:pStyle w:val="ac"/>
              <w:widowControl w:val="0"/>
              <w:numPr>
                <w:ilvl w:val="0"/>
                <w:numId w:val="273"/>
              </w:numPr>
              <w:tabs>
                <w:tab w:val="left" w:pos="1134"/>
                <w:tab w:val="left" w:pos="7938"/>
              </w:tabs>
              <w:autoSpaceDE w:val="0"/>
              <w:autoSpaceDN w:val="0"/>
              <w:adjustRightInd w:val="0"/>
              <w:spacing w:before="60" w:after="60"/>
              <w:ind w:left="0" w:firstLine="567"/>
              <w:contextualSpacing/>
              <w:jc w:val="both"/>
              <w:rPr>
                <w:rFonts w:ascii="Garamond" w:hAnsi="Garamond" w:cstheme="minorHAnsi"/>
                <w:sz w:val="22"/>
                <w:szCs w:val="22"/>
              </w:rPr>
            </w:pPr>
            <w:r w:rsidRPr="00A5626D">
              <w:rPr>
                <w:rFonts w:ascii="Garamond" w:hAnsi="Garamond" w:cstheme="minorHAnsi"/>
                <w:sz w:val="22"/>
                <w:szCs w:val="22"/>
              </w:rPr>
              <w:t xml:space="preserve">id-delivery-point – ссылка на внутренний идентификатор точки поставки </w:t>
            </w:r>
            <w:r w:rsidRPr="00A5626D">
              <w:rPr>
                <w:rFonts w:ascii="Garamond" w:hAnsi="Garamond" w:cstheme="minorHAnsi"/>
                <w:sz w:val="22"/>
                <w:szCs w:val="22"/>
                <w:highlight w:val="yellow"/>
              </w:rPr>
              <w:t>(точки присоединения)</w:t>
            </w:r>
            <w:r w:rsidRPr="00A5626D">
              <w:rPr>
                <w:rFonts w:ascii="Garamond" w:hAnsi="Garamond" w:cstheme="minorHAnsi"/>
                <w:sz w:val="22"/>
                <w:szCs w:val="22"/>
              </w:rPr>
              <w:t>;</w:t>
            </w:r>
          </w:p>
          <w:p w14:paraId="067409FD" w14:textId="77777777" w:rsidR="00295C6D" w:rsidRPr="00A5626D" w:rsidRDefault="00295C6D" w:rsidP="00295C6D">
            <w:pPr>
              <w:pStyle w:val="ac"/>
              <w:widowControl w:val="0"/>
              <w:numPr>
                <w:ilvl w:val="0"/>
                <w:numId w:val="273"/>
              </w:numPr>
              <w:tabs>
                <w:tab w:val="left" w:pos="1134"/>
                <w:tab w:val="left" w:pos="7938"/>
              </w:tabs>
              <w:autoSpaceDE w:val="0"/>
              <w:autoSpaceDN w:val="0"/>
              <w:adjustRightInd w:val="0"/>
              <w:spacing w:before="60" w:after="60"/>
              <w:ind w:left="0" w:firstLine="567"/>
              <w:contextualSpacing/>
              <w:jc w:val="both"/>
              <w:rPr>
                <w:rFonts w:ascii="Garamond" w:hAnsi="Garamond" w:cstheme="minorHAnsi"/>
                <w:sz w:val="22"/>
                <w:szCs w:val="22"/>
              </w:rPr>
            </w:pPr>
            <w:r w:rsidRPr="00A5626D">
              <w:rPr>
                <w:rFonts w:ascii="Garamond" w:hAnsi="Garamond" w:cstheme="minorHAnsi"/>
                <w:sz w:val="22"/>
                <w:szCs w:val="22"/>
              </w:rPr>
              <w:t>id-measuring-device – ссылка на измерительный прибор, описанный в секции словарей;</w:t>
            </w:r>
          </w:p>
          <w:p w14:paraId="2CAFD1D4" w14:textId="43D0BDB2" w:rsidR="00295C6D" w:rsidRPr="00A5626D" w:rsidRDefault="00295C6D" w:rsidP="00295C6D">
            <w:pPr>
              <w:pStyle w:val="ac"/>
              <w:widowControl w:val="0"/>
              <w:numPr>
                <w:ilvl w:val="0"/>
                <w:numId w:val="273"/>
              </w:numPr>
              <w:tabs>
                <w:tab w:val="left" w:pos="1134"/>
                <w:tab w:val="left" w:pos="7938"/>
              </w:tabs>
              <w:autoSpaceDE w:val="0"/>
              <w:autoSpaceDN w:val="0"/>
              <w:adjustRightInd w:val="0"/>
              <w:spacing w:before="60" w:after="60"/>
              <w:ind w:left="0" w:firstLine="567"/>
              <w:contextualSpacing/>
              <w:jc w:val="both"/>
              <w:rPr>
                <w:rFonts w:ascii="Garamond" w:hAnsi="Garamond" w:cstheme="minorHAnsi"/>
                <w:sz w:val="22"/>
                <w:szCs w:val="22"/>
              </w:rPr>
            </w:pPr>
            <w:r w:rsidRPr="00A5626D">
              <w:rPr>
                <w:rFonts w:ascii="Garamond" w:hAnsi="Garamond" w:cstheme="minorHAnsi"/>
                <w:sz w:val="22"/>
                <w:szCs w:val="22"/>
              </w:rPr>
              <w:t>direction – информация о направлении перетока. Атрибут обязателен к заполнению для всех ТИ</w:t>
            </w:r>
            <w:r w:rsidRPr="00A5626D">
              <w:rPr>
                <w:rFonts w:ascii="Garamond" w:hAnsi="Garamond"/>
                <w:sz w:val="22"/>
                <w:szCs w:val="22"/>
                <w:highlight w:val="yellow"/>
              </w:rPr>
              <w:t>, переданных по ГТП генерации</w:t>
            </w:r>
            <w:r w:rsidR="0001419A">
              <w:rPr>
                <w:rFonts w:ascii="Garamond" w:hAnsi="Garamond"/>
                <w:sz w:val="22"/>
                <w:szCs w:val="22"/>
                <w:highlight w:val="yellow"/>
              </w:rPr>
              <w:t xml:space="preserve"> </w:t>
            </w:r>
            <w:r w:rsidRPr="00A5626D">
              <w:rPr>
                <w:rFonts w:ascii="Garamond" w:hAnsi="Garamond"/>
                <w:sz w:val="22"/>
                <w:szCs w:val="22"/>
                <w:highlight w:val="yellow"/>
              </w:rPr>
              <w:t>/</w:t>
            </w:r>
            <w:r w:rsidR="0001419A">
              <w:rPr>
                <w:rFonts w:ascii="Garamond" w:hAnsi="Garamond"/>
                <w:sz w:val="22"/>
                <w:szCs w:val="22"/>
                <w:highlight w:val="yellow"/>
              </w:rPr>
              <w:t xml:space="preserve"> </w:t>
            </w:r>
            <w:r w:rsidRPr="00A5626D">
              <w:rPr>
                <w:rFonts w:ascii="Garamond" w:hAnsi="Garamond"/>
                <w:sz w:val="22"/>
                <w:szCs w:val="22"/>
                <w:highlight w:val="yellow"/>
              </w:rPr>
              <w:t>сечению КУ. Для ТИ ОР и параметров СО атрибут не заполняется</w:t>
            </w:r>
            <w:r w:rsidRPr="00A5626D">
              <w:rPr>
                <w:rFonts w:ascii="Garamond" w:hAnsi="Garamond" w:cstheme="minorHAnsi"/>
                <w:sz w:val="22"/>
                <w:szCs w:val="22"/>
              </w:rPr>
              <w:t>. Атрибут принимает значения «send» для отдачи, «receive» – приема, «send-receive» – приема/отдачи;</w:t>
            </w:r>
          </w:p>
          <w:p w14:paraId="70117E37" w14:textId="77777777" w:rsidR="00295C6D" w:rsidRPr="00A5626D" w:rsidRDefault="00295C6D" w:rsidP="00295C6D">
            <w:pPr>
              <w:pStyle w:val="ac"/>
              <w:widowControl w:val="0"/>
              <w:numPr>
                <w:ilvl w:val="0"/>
                <w:numId w:val="273"/>
              </w:numPr>
              <w:tabs>
                <w:tab w:val="left" w:pos="1134"/>
                <w:tab w:val="left" w:pos="7938"/>
              </w:tabs>
              <w:autoSpaceDE w:val="0"/>
              <w:autoSpaceDN w:val="0"/>
              <w:adjustRightInd w:val="0"/>
              <w:spacing w:before="60" w:after="60"/>
              <w:ind w:left="0" w:firstLine="567"/>
              <w:contextualSpacing/>
              <w:jc w:val="both"/>
              <w:rPr>
                <w:rFonts w:ascii="Garamond" w:hAnsi="Garamond" w:cstheme="minorHAnsi"/>
                <w:sz w:val="22"/>
                <w:szCs w:val="22"/>
              </w:rPr>
            </w:pPr>
            <w:r w:rsidRPr="00A5626D">
              <w:rPr>
                <w:rFonts w:ascii="Garamond" w:hAnsi="Garamond" w:cstheme="minorHAnsi"/>
                <w:sz w:val="22"/>
                <w:szCs w:val="22"/>
                <w:lang w:val="en-US"/>
              </w:rPr>
              <w:t>is</w:t>
            </w:r>
            <w:r w:rsidRPr="00A5626D">
              <w:rPr>
                <w:rFonts w:ascii="Garamond" w:hAnsi="Garamond" w:cstheme="minorHAnsi"/>
                <w:sz w:val="22"/>
                <w:szCs w:val="22"/>
              </w:rPr>
              <w:t>-</w:t>
            </w:r>
            <w:r w:rsidRPr="00A5626D">
              <w:rPr>
                <w:rFonts w:ascii="Garamond" w:hAnsi="Garamond" w:cstheme="minorHAnsi"/>
                <w:sz w:val="22"/>
                <w:szCs w:val="22"/>
                <w:lang w:val="en-US"/>
              </w:rPr>
              <w:t>inverse</w:t>
            </w:r>
            <w:r w:rsidRPr="00A5626D">
              <w:rPr>
                <w:rFonts w:ascii="Garamond" w:hAnsi="Garamond" w:cstheme="minorHAnsi"/>
                <w:sz w:val="22"/>
                <w:szCs w:val="22"/>
              </w:rPr>
              <w:t>-</w:t>
            </w:r>
            <w:r w:rsidRPr="00A5626D">
              <w:rPr>
                <w:rFonts w:ascii="Garamond" w:hAnsi="Garamond" w:cstheme="minorHAnsi"/>
                <w:sz w:val="22"/>
                <w:szCs w:val="22"/>
                <w:lang w:val="en-US"/>
              </w:rPr>
              <w:t>connection</w:t>
            </w:r>
            <w:r w:rsidRPr="00A5626D">
              <w:rPr>
                <w:rFonts w:ascii="Garamond" w:hAnsi="Garamond" w:cstheme="minorHAnsi"/>
                <w:sz w:val="22"/>
                <w:szCs w:val="22"/>
              </w:rPr>
              <w:t xml:space="preserve"> – признак, определяющий подключение, при котором направление измеряемой электрической энергии, фиксируемое ПУ (прием, отдача), не соответствует направлению перетока через границу балансовой принадлежности (точку поставки) относительно субъекта, на стороне которого расположен прибор учета (далее – инверсное подключение). Обязательный к заполнению атрибут только для измерительных приборов с атрибутом «</w:t>
            </w:r>
            <w:r w:rsidRPr="00A5626D">
              <w:rPr>
                <w:rFonts w:ascii="Garamond" w:hAnsi="Garamond" w:cstheme="minorHAnsi"/>
                <w:sz w:val="22"/>
                <w:szCs w:val="22"/>
                <w:lang w:val="en-US"/>
              </w:rPr>
              <w:t>is</w:t>
            </w:r>
            <w:r w:rsidRPr="00A5626D">
              <w:rPr>
                <w:rFonts w:ascii="Garamond" w:hAnsi="Garamond" w:cstheme="minorHAnsi"/>
                <w:sz w:val="22"/>
                <w:szCs w:val="22"/>
              </w:rPr>
              <w:t>-</w:t>
            </w:r>
            <w:r w:rsidRPr="00A5626D">
              <w:rPr>
                <w:rFonts w:ascii="Garamond" w:hAnsi="Garamond" w:cstheme="minorHAnsi"/>
                <w:sz w:val="22"/>
                <w:szCs w:val="22"/>
                <w:lang w:val="en-US"/>
              </w:rPr>
              <w:t>for</w:t>
            </w:r>
            <w:r w:rsidRPr="00A5626D">
              <w:rPr>
                <w:rFonts w:ascii="Garamond" w:hAnsi="Garamond" w:cstheme="minorHAnsi"/>
                <w:sz w:val="22"/>
                <w:szCs w:val="22"/>
              </w:rPr>
              <w:t>-</w:t>
            </w:r>
            <w:r w:rsidRPr="00A5626D">
              <w:rPr>
                <w:rFonts w:ascii="Garamond" w:hAnsi="Garamond" w:cstheme="minorHAnsi"/>
                <w:sz w:val="22"/>
                <w:szCs w:val="22"/>
                <w:lang w:val="en-US"/>
              </w:rPr>
              <w:t>coding</w:t>
            </w:r>
            <w:r w:rsidRPr="00A5626D">
              <w:rPr>
                <w:rFonts w:ascii="Garamond" w:hAnsi="Garamond" w:cstheme="minorHAnsi"/>
                <w:sz w:val="22"/>
                <w:szCs w:val="22"/>
              </w:rPr>
              <w:t>=</w:t>
            </w:r>
            <w:r w:rsidRPr="00A5626D">
              <w:rPr>
                <w:rFonts w:ascii="Garamond" w:hAnsi="Garamond" w:cstheme="minorHAnsi"/>
                <w:sz w:val="22"/>
                <w:szCs w:val="22"/>
                <w:lang w:val="en-US"/>
              </w:rPr>
              <w:t>true</w:t>
            </w:r>
            <w:r w:rsidRPr="00A5626D">
              <w:rPr>
                <w:rFonts w:ascii="Garamond" w:hAnsi="Garamond" w:cstheme="minorHAnsi"/>
                <w:sz w:val="22"/>
                <w:szCs w:val="22"/>
              </w:rPr>
              <w:t>», относящихся к точкам измерения с атрибутом «</w:t>
            </w:r>
            <w:r w:rsidRPr="00A5626D">
              <w:rPr>
                <w:rFonts w:ascii="Garamond" w:hAnsi="Garamond" w:cstheme="minorHAnsi"/>
                <w:sz w:val="22"/>
                <w:szCs w:val="22"/>
                <w:lang w:val="en-US"/>
              </w:rPr>
              <w:t>type</w:t>
            </w:r>
            <w:r w:rsidRPr="00A5626D">
              <w:rPr>
                <w:rFonts w:ascii="Garamond" w:hAnsi="Garamond" w:cstheme="minorHAnsi"/>
                <w:sz w:val="22"/>
                <w:szCs w:val="22"/>
              </w:rPr>
              <w:t>=</w:t>
            </w:r>
            <w:r w:rsidRPr="00A5626D">
              <w:rPr>
                <w:rFonts w:ascii="Garamond" w:hAnsi="Garamond" w:cstheme="minorHAnsi"/>
                <w:sz w:val="22"/>
                <w:szCs w:val="22"/>
                <w:lang w:val="en-US"/>
              </w:rPr>
              <w:t>general</w:t>
            </w:r>
            <w:r w:rsidRPr="00A5626D">
              <w:rPr>
                <w:rFonts w:ascii="Garamond" w:hAnsi="Garamond" w:cstheme="minorHAnsi"/>
                <w:sz w:val="22"/>
                <w:szCs w:val="22"/>
              </w:rPr>
              <w:t>». Принимает значение «</w:t>
            </w:r>
            <w:r w:rsidRPr="00A5626D">
              <w:rPr>
                <w:rFonts w:ascii="Garamond" w:hAnsi="Garamond" w:cstheme="minorHAnsi"/>
                <w:sz w:val="22"/>
                <w:szCs w:val="22"/>
                <w:lang w:val="en-US"/>
              </w:rPr>
              <w:t>true</w:t>
            </w:r>
            <w:r w:rsidRPr="00A5626D">
              <w:rPr>
                <w:rFonts w:ascii="Garamond" w:hAnsi="Garamond" w:cstheme="minorHAnsi"/>
                <w:sz w:val="22"/>
                <w:szCs w:val="22"/>
              </w:rPr>
              <w:t>», если для ПУ указано инверсное подключение, «</w:t>
            </w:r>
            <w:r w:rsidRPr="00A5626D">
              <w:rPr>
                <w:rFonts w:ascii="Garamond" w:hAnsi="Garamond" w:cstheme="minorHAnsi"/>
                <w:sz w:val="22"/>
                <w:szCs w:val="22"/>
                <w:lang w:val="en-US"/>
              </w:rPr>
              <w:t>false</w:t>
            </w:r>
            <w:r w:rsidRPr="00A5626D">
              <w:rPr>
                <w:rFonts w:ascii="Garamond" w:hAnsi="Garamond" w:cstheme="minorHAnsi"/>
                <w:sz w:val="22"/>
                <w:szCs w:val="22"/>
              </w:rPr>
              <w:t>», если инверсное подключение не указано</w:t>
            </w:r>
            <w:r w:rsidRPr="0001419A">
              <w:rPr>
                <w:rFonts w:ascii="Garamond" w:hAnsi="Garamond" w:cstheme="minorHAnsi"/>
                <w:sz w:val="22"/>
                <w:szCs w:val="22"/>
                <w:highlight w:val="yellow"/>
              </w:rPr>
              <w:t xml:space="preserve">. </w:t>
            </w:r>
            <w:r w:rsidRPr="0001419A">
              <w:rPr>
                <w:rFonts w:ascii="Garamond" w:hAnsi="Garamond"/>
                <w:sz w:val="22"/>
                <w:szCs w:val="22"/>
                <w:highlight w:val="yellow"/>
              </w:rPr>
              <w:t>Д</w:t>
            </w:r>
            <w:r w:rsidRPr="00A5626D">
              <w:rPr>
                <w:rFonts w:ascii="Garamond" w:hAnsi="Garamond"/>
                <w:sz w:val="22"/>
                <w:szCs w:val="22"/>
                <w:highlight w:val="yellow"/>
              </w:rPr>
              <w:t>ля ТИ ОР не заполняется</w:t>
            </w:r>
            <w:r w:rsidRPr="00A5626D">
              <w:rPr>
                <w:rFonts w:ascii="Garamond" w:hAnsi="Garamond" w:cstheme="minorHAnsi"/>
                <w:sz w:val="22"/>
                <w:szCs w:val="22"/>
              </w:rPr>
              <w:t>;</w:t>
            </w:r>
          </w:p>
          <w:p w14:paraId="6A23F9C4" w14:textId="77777777" w:rsidR="00295C6D" w:rsidRPr="00A5626D" w:rsidRDefault="00295C6D" w:rsidP="00295C6D">
            <w:pPr>
              <w:pStyle w:val="ac"/>
              <w:widowControl w:val="0"/>
              <w:numPr>
                <w:ilvl w:val="0"/>
                <w:numId w:val="273"/>
              </w:numPr>
              <w:tabs>
                <w:tab w:val="left" w:pos="1134"/>
                <w:tab w:val="left" w:pos="7938"/>
              </w:tabs>
              <w:autoSpaceDE w:val="0"/>
              <w:autoSpaceDN w:val="0"/>
              <w:adjustRightInd w:val="0"/>
              <w:spacing w:before="60" w:after="60"/>
              <w:ind w:left="0" w:firstLine="567"/>
              <w:contextualSpacing/>
              <w:jc w:val="both"/>
              <w:rPr>
                <w:rFonts w:ascii="Garamond" w:hAnsi="Garamond" w:cstheme="minorHAnsi"/>
                <w:sz w:val="22"/>
                <w:szCs w:val="22"/>
              </w:rPr>
            </w:pPr>
            <w:r w:rsidRPr="00A5626D">
              <w:rPr>
                <w:rFonts w:ascii="Garamond" w:hAnsi="Garamond" w:cstheme="minorHAnsi"/>
                <w:sz w:val="22"/>
                <w:szCs w:val="22"/>
                <w:lang w:val="en-US"/>
              </w:rPr>
              <w:t>oip</w:t>
            </w:r>
            <w:r w:rsidRPr="00A5626D">
              <w:rPr>
                <w:rFonts w:ascii="Garamond" w:hAnsi="Garamond" w:cstheme="minorHAnsi"/>
                <w:sz w:val="22"/>
                <w:szCs w:val="22"/>
              </w:rPr>
              <w:t>-</w:t>
            </w:r>
            <w:r w:rsidRPr="00A5626D">
              <w:rPr>
                <w:rFonts w:ascii="Garamond" w:hAnsi="Garamond" w:cstheme="minorHAnsi"/>
                <w:sz w:val="22"/>
                <w:szCs w:val="22"/>
                <w:lang w:val="en-US"/>
              </w:rPr>
              <w:t>rip</w:t>
            </w:r>
            <w:r w:rsidRPr="00A5626D">
              <w:rPr>
                <w:rFonts w:ascii="Garamond" w:hAnsi="Garamond" w:cstheme="minorHAnsi"/>
                <w:sz w:val="22"/>
                <w:szCs w:val="22"/>
              </w:rPr>
              <w:t>-</w:t>
            </w:r>
            <w:r w:rsidRPr="00A5626D">
              <w:rPr>
                <w:rFonts w:ascii="Garamond" w:hAnsi="Garamond" w:cstheme="minorHAnsi"/>
                <w:sz w:val="22"/>
                <w:szCs w:val="22"/>
                <w:lang w:val="en-US"/>
              </w:rPr>
              <w:t>so</w:t>
            </w:r>
            <w:r w:rsidRPr="00A5626D">
              <w:rPr>
                <w:rFonts w:ascii="Garamond" w:hAnsi="Garamond" w:cstheme="minorHAnsi"/>
                <w:sz w:val="22"/>
                <w:szCs w:val="22"/>
              </w:rPr>
              <w:t xml:space="preserve"> – информация о том, является ли данный прибор основным, резервным или является параметром СО. Атрибут принимает значения «</w:t>
            </w:r>
            <w:r w:rsidRPr="00A5626D">
              <w:rPr>
                <w:rFonts w:ascii="Garamond" w:hAnsi="Garamond" w:cstheme="minorHAnsi"/>
                <w:sz w:val="22"/>
                <w:szCs w:val="22"/>
                <w:lang w:val="en-US"/>
              </w:rPr>
              <w:t>oip</w:t>
            </w:r>
            <w:r w:rsidRPr="00A5626D">
              <w:rPr>
                <w:rFonts w:ascii="Garamond" w:hAnsi="Garamond" w:cstheme="minorHAnsi"/>
                <w:sz w:val="22"/>
                <w:szCs w:val="22"/>
              </w:rPr>
              <w:t>» – основной измерительный прибор (ОИП), «r</w:t>
            </w:r>
            <w:r w:rsidRPr="00A5626D">
              <w:rPr>
                <w:rFonts w:ascii="Garamond" w:hAnsi="Garamond" w:cstheme="minorHAnsi"/>
                <w:sz w:val="22"/>
                <w:szCs w:val="22"/>
                <w:lang w:val="en-US"/>
              </w:rPr>
              <w:t>ip</w:t>
            </w:r>
            <w:r w:rsidRPr="00A5626D">
              <w:rPr>
                <w:rFonts w:ascii="Garamond" w:hAnsi="Garamond" w:cstheme="minorHAnsi"/>
                <w:sz w:val="22"/>
                <w:szCs w:val="22"/>
              </w:rPr>
              <w:t>» – резервный измерительный прибор (РИП), «</w:t>
            </w:r>
            <w:r w:rsidRPr="00A5626D">
              <w:rPr>
                <w:rFonts w:ascii="Garamond" w:hAnsi="Garamond" w:cstheme="minorHAnsi"/>
                <w:sz w:val="22"/>
                <w:szCs w:val="22"/>
                <w:lang w:val="en-US"/>
              </w:rPr>
              <w:t>so</w:t>
            </w:r>
            <w:r w:rsidRPr="00A5626D">
              <w:rPr>
                <w:rFonts w:ascii="Garamond" w:hAnsi="Garamond" w:cstheme="minorHAnsi"/>
                <w:sz w:val="22"/>
                <w:szCs w:val="22"/>
              </w:rPr>
              <w:t>» – параметр СО, относящийся к данной ТП.</w:t>
            </w:r>
          </w:p>
        </w:tc>
      </w:tr>
      <w:tr w:rsidR="00295C6D" w:rsidRPr="00A5626D" w14:paraId="0860B162" w14:textId="77777777" w:rsidTr="00647FA0">
        <w:tc>
          <w:tcPr>
            <w:tcW w:w="1060" w:type="dxa"/>
            <w:vAlign w:val="center"/>
          </w:tcPr>
          <w:p w14:paraId="6D0809F9" w14:textId="0FE59992" w:rsidR="00295C6D" w:rsidRPr="00A5626D" w:rsidRDefault="00295C6D" w:rsidP="00E31AE6">
            <w:pPr>
              <w:widowControl w:val="0"/>
              <w:tabs>
                <w:tab w:val="left" w:pos="1134"/>
                <w:tab w:val="left" w:pos="7938"/>
              </w:tabs>
              <w:spacing w:line="22" w:lineRule="atLeast"/>
              <w:jc w:val="both"/>
              <w:rPr>
                <w:rFonts w:ascii="Garamond" w:hAnsi="Garamond"/>
                <w:b/>
                <w:sz w:val="22"/>
                <w:szCs w:val="22"/>
                <w:lang w:eastAsia="en-US"/>
              </w:rPr>
            </w:pPr>
            <w:r w:rsidRPr="00A5626D">
              <w:rPr>
                <w:rFonts w:ascii="Garamond" w:hAnsi="Garamond"/>
                <w:b/>
                <w:sz w:val="22"/>
                <w:szCs w:val="22"/>
                <w:lang w:eastAsia="en-US"/>
              </w:rPr>
              <w:t>Приложение 5, п.</w:t>
            </w:r>
            <w:r w:rsidR="00647FA0" w:rsidRPr="00A5626D">
              <w:rPr>
                <w:rFonts w:ascii="Garamond" w:hAnsi="Garamond"/>
                <w:b/>
                <w:sz w:val="22"/>
                <w:szCs w:val="22"/>
                <w:lang w:eastAsia="en-US"/>
              </w:rPr>
              <w:t> </w:t>
            </w:r>
            <w:r w:rsidRPr="00A5626D">
              <w:rPr>
                <w:rFonts w:ascii="Garamond" w:hAnsi="Garamond"/>
                <w:b/>
                <w:sz w:val="22"/>
                <w:szCs w:val="22"/>
                <w:lang w:eastAsia="en-US"/>
              </w:rPr>
              <w:t>4.2.1.1.4.2</w:t>
            </w:r>
            <w:r w:rsidR="009B5F03" w:rsidRPr="00A5626D">
              <w:rPr>
                <w:rFonts w:ascii="Garamond" w:hAnsi="Garamond" w:cstheme="minorHAnsi"/>
                <w:b/>
                <w:sz w:val="22"/>
                <w:szCs w:val="22"/>
                <w:lang w:val="en-US"/>
              </w:rPr>
              <w:t xml:space="preserve"> </w:t>
            </w:r>
            <w:r w:rsidRPr="00A5626D">
              <w:rPr>
                <w:rFonts w:ascii="Garamond" w:hAnsi="Garamond" w:cstheme="minorHAnsi"/>
                <w:b/>
                <w:sz w:val="22"/>
                <w:szCs w:val="22"/>
                <w:lang w:val="en-US"/>
              </w:rPr>
              <w:t xml:space="preserve"> </w:t>
            </w:r>
          </w:p>
        </w:tc>
        <w:tc>
          <w:tcPr>
            <w:tcW w:w="6662" w:type="dxa"/>
          </w:tcPr>
          <w:p w14:paraId="68737C55" w14:textId="77777777" w:rsidR="00295C6D" w:rsidRPr="00A5626D" w:rsidRDefault="00295C6D" w:rsidP="00E31AE6">
            <w:pPr>
              <w:pStyle w:val="2"/>
              <w:numPr>
                <w:ilvl w:val="0"/>
                <w:numId w:val="0"/>
              </w:numPr>
              <w:tabs>
                <w:tab w:val="left" w:pos="1134"/>
                <w:tab w:val="left" w:pos="7938"/>
              </w:tabs>
              <w:suppressAutoHyphens w:val="0"/>
              <w:spacing w:line="22" w:lineRule="atLeast"/>
              <w:ind w:firstLine="629"/>
              <w:jc w:val="both"/>
              <w:rPr>
                <w:rFonts w:ascii="Garamond" w:hAnsi="Garamond" w:cstheme="minorHAnsi"/>
                <w:b w:val="0"/>
              </w:rPr>
            </w:pPr>
            <w:r w:rsidRPr="00A5626D">
              <w:rPr>
                <w:rFonts w:ascii="Garamond" w:hAnsi="Garamond" w:cstheme="minorHAnsi"/>
                <w:b w:val="0"/>
              </w:rPr>
              <w:t>&lt;</w:t>
            </w:r>
            <w:r w:rsidRPr="00A5626D">
              <w:rPr>
                <w:rFonts w:ascii="Garamond" w:hAnsi="Garamond" w:cstheme="minorHAnsi"/>
                <w:b w:val="0"/>
                <w:lang w:val="en-US"/>
              </w:rPr>
              <w:t>comment</w:t>
            </w:r>
            <w:r w:rsidRPr="00A5626D">
              <w:rPr>
                <w:rFonts w:ascii="Garamond" w:hAnsi="Garamond" w:cstheme="minorHAnsi"/>
                <w:b w:val="0"/>
              </w:rPr>
              <w:t>&gt;</w:t>
            </w:r>
          </w:p>
          <w:p w14:paraId="3175BD65" w14:textId="77777777" w:rsidR="00295C6D" w:rsidRPr="00A5626D" w:rsidRDefault="00295C6D" w:rsidP="00E31AE6">
            <w:pPr>
              <w:tabs>
                <w:tab w:val="left" w:pos="1134"/>
                <w:tab w:val="left" w:pos="7938"/>
              </w:tabs>
              <w:spacing w:before="120" w:after="120"/>
              <w:ind w:firstLine="567"/>
              <w:jc w:val="both"/>
              <w:rPr>
                <w:rFonts w:ascii="Garamond" w:hAnsi="Garamond" w:cstheme="minorHAnsi"/>
                <w:sz w:val="22"/>
                <w:szCs w:val="22"/>
              </w:rPr>
            </w:pPr>
            <w:r w:rsidRPr="00A5626D">
              <w:rPr>
                <w:rFonts w:ascii="Garamond" w:hAnsi="Garamond" w:cstheme="minorHAnsi"/>
                <w:sz w:val="22"/>
                <w:szCs w:val="22"/>
              </w:rPr>
              <w:t>Потомком элемента &lt;</w:t>
            </w:r>
            <w:r w:rsidRPr="00A5626D">
              <w:rPr>
                <w:rFonts w:ascii="Garamond" w:hAnsi="Garamond" w:cstheme="minorHAnsi"/>
                <w:sz w:val="22"/>
                <w:szCs w:val="22"/>
                <w:lang w:val="en-US"/>
              </w:rPr>
              <w:t>psi</w:t>
            </w:r>
            <w:r w:rsidRPr="00A5626D">
              <w:rPr>
                <w:rFonts w:ascii="Garamond" w:hAnsi="Garamond" w:cstheme="minorHAnsi"/>
                <w:sz w:val="22"/>
                <w:szCs w:val="22"/>
              </w:rPr>
              <w:t xml:space="preserve">&gt; является &lt;comment&gt;, который содержит общий комментарий к ПСИ. Элемент &lt;comment&gt; является необязательным для ГТП генерации и обязательным для сечения КУ / экспорта-импорта / сечения между ценовой и неценовой зонами. </w:t>
            </w:r>
            <w:r w:rsidRPr="00A5626D">
              <w:rPr>
                <w:rFonts w:ascii="Garamond" w:hAnsi="Garamond" w:cstheme="minorHAnsi"/>
                <w:sz w:val="22"/>
                <w:szCs w:val="22"/>
              </w:rPr>
              <w:lastRenderedPageBreak/>
              <w:t>Потомком элемента &lt;comment&gt; является элемент формата: &lt;![CDATA[…]]&gt;. Текстовое поле, длина не более 2000 символов.</w:t>
            </w:r>
          </w:p>
        </w:tc>
        <w:tc>
          <w:tcPr>
            <w:tcW w:w="7088" w:type="dxa"/>
          </w:tcPr>
          <w:p w14:paraId="0CEF907B" w14:textId="77777777" w:rsidR="00295C6D" w:rsidRPr="00A5626D" w:rsidRDefault="00295C6D" w:rsidP="00E31AE6">
            <w:pPr>
              <w:tabs>
                <w:tab w:val="left" w:pos="1134"/>
                <w:tab w:val="left" w:pos="7938"/>
              </w:tabs>
              <w:spacing w:before="120" w:after="120"/>
              <w:ind w:firstLine="567"/>
              <w:jc w:val="both"/>
              <w:rPr>
                <w:rFonts w:ascii="Garamond" w:hAnsi="Garamond" w:cstheme="minorHAnsi"/>
                <w:sz w:val="22"/>
                <w:szCs w:val="22"/>
              </w:rPr>
            </w:pPr>
            <w:r w:rsidRPr="00A5626D">
              <w:rPr>
                <w:rFonts w:ascii="Garamond" w:hAnsi="Garamond" w:cstheme="minorHAnsi"/>
                <w:sz w:val="22"/>
                <w:szCs w:val="22"/>
              </w:rPr>
              <w:lastRenderedPageBreak/>
              <w:t>&lt;</w:t>
            </w:r>
            <w:r w:rsidRPr="00A5626D">
              <w:rPr>
                <w:rFonts w:ascii="Garamond" w:hAnsi="Garamond" w:cstheme="minorHAnsi"/>
                <w:sz w:val="22"/>
                <w:szCs w:val="22"/>
                <w:lang w:val="en-US"/>
              </w:rPr>
              <w:t>comment</w:t>
            </w:r>
            <w:r w:rsidRPr="00A5626D">
              <w:rPr>
                <w:rFonts w:ascii="Garamond" w:hAnsi="Garamond" w:cstheme="minorHAnsi"/>
                <w:sz w:val="22"/>
                <w:szCs w:val="22"/>
              </w:rPr>
              <w:t>&gt;</w:t>
            </w:r>
          </w:p>
          <w:p w14:paraId="5D86686B" w14:textId="77777777" w:rsidR="00295C6D" w:rsidRPr="00A5626D" w:rsidRDefault="00295C6D" w:rsidP="00E31AE6">
            <w:pPr>
              <w:tabs>
                <w:tab w:val="left" w:pos="1134"/>
                <w:tab w:val="left" w:pos="7938"/>
              </w:tabs>
              <w:spacing w:before="120" w:after="120"/>
              <w:ind w:firstLine="567"/>
              <w:jc w:val="both"/>
              <w:rPr>
                <w:rFonts w:ascii="Garamond" w:hAnsi="Garamond"/>
                <w:b/>
                <w:sz w:val="22"/>
                <w:szCs w:val="22"/>
              </w:rPr>
            </w:pPr>
            <w:r w:rsidRPr="00A5626D">
              <w:rPr>
                <w:rFonts w:ascii="Garamond" w:hAnsi="Garamond" w:cstheme="minorHAnsi"/>
                <w:sz w:val="22"/>
                <w:szCs w:val="22"/>
              </w:rPr>
              <w:t>Потомком элемента &lt;</w:t>
            </w:r>
            <w:r w:rsidRPr="00A5626D">
              <w:rPr>
                <w:rFonts w:ascii="Garamond" w:hAnsi="Garamond" w:cstheme="minorHAnsi"/>
                <w:sz w:val="22"/>
                <w:szCs w:val="22"/>
                <w:lang w:val="en-US"/>
              </w:rPr>
              <w:t>psi</w:t>
            </w:r>
            <w:r w:rsidRPr="00A5626D">
              <w:rPr>
                <w:rFonts w:ascii="Garamond" w:hAnsi="Garamond" w:cstheme="minorHAnsi"/>
                <w:sz w:val="22"/>
                <w:szCs w:val="22"/>
              </w:rPr>
              <w:t xml:space="preserve">&gt; является &lt;comment&gt;, который содержит общий комментарий к ПСИ. Элемент &lt;comment&gt; является необязательным для ГТП генерации </w:t>
            </w:r>
            <w:r w:rsidRPr="00A5626D">
              <w:rPr>
                <w:rFonts w:ascii="Garamond" w:hAnsi="Garamond" w:cstheme="minorHAnsi"/>
                <w:sz w:val="22"/>
                <w:szCs w:val="22"/>
                <w:highlight w:val="yellow"/>
              </w:rPr>
              <w:t>/ ОР</w:t>
            </w:r>
            <w:r w:rsidRPr="00A5626D">
              <w:rPr>
                <w:rFonts w:ascii="Garamond" w:hAnsi="Garamond" w:cstheme="minorHAnsi"/>
                <w:sz w:val="22"/>
                <w:szCs w:val="22"/>
              </w:rPr>
              <w:t xml:space="preserve"> и обязательным для сечения КУ / экспорта-импорта / сечения между ценовой и неценовой зонами. Потомком элемента </w:t>
            </w:r>
            <w:r w:rsidRPr="00A5626D">
              <w:rPr>
                <w:rFonts w:ascii="Garamond" w:hAnsi="Garamond" w:cstheme="minorHAnsi"/>
                <w:sz w:val="22"/>
                <w:szCs w:val="22"/>
              </w:rPr>
              <w:lastRenderedPageBreak/>
              <w:t>&lt;comment&gt; является элемент формата: &lt;![CDATA[…]]&gt;. Текстовое поле, длина не более 2000 символов.</w:t>
            </w:r>
          </w:p>
        </w:tc>
      </w:tr>
      <w:tr w:rsidR="00295C6D" w:rsidRPr="00A5626D" w14:paraId="3E2CC8D8" w14:textId="77777777" w:rsidTr="00647FA0">
        <w:tc>
          <w:tcPr>
            <w:tcW w:w="1060" w:type="dxa"/>
            <w:vAlign w:val="center"/>
          </w:tcPr>
          <w:p w14:paraId="0081AE49" w14:textId="0C75CD5F" w:rsidR="00295C6D" w:rsidRPr="00A5626D" w:rsidRDefault="00295C6D" w:rsidP="00E31AE6">
            <w:pPr>
              <w:widowControl w:val="0"/>
              <w:tabs>
                <w:tab w:val="left" w:pos="1134"/>
                <w:tab w:val="left" w:pos="7938"/>
              </w:tabs>
              <w:spacing w:line="22" w:lineRule="atLeast"/>
              <w:jc w:val="both"/>
              <w:rPr>
                <w:rFonts w:ascii="Garamond" w:hAnsi="Garamond"/>
                <w:b/>
                <w:sz w:val="22"/>
                <w:szCs w:val="22"/>
                <w:lang w:eastAsia="en-US"/>
              </w:rPr>
            </w:pPr>
            <w:r w:rsidRPr="00A5626D">
              <w:rPr>
                <w:rFonts w:ascii="Garamond" w:hAnsi="Garamond"/>
                <w:b/>
                <w:sz w:val="22"/>
                <w:szCs w:val="22"/>
                <w:lang w:eastAsia="en-US"/>
              </w:rPr>
              <w:lastRenderedPageBreak/>
              <w:t>Приложение 5, п.</w:t>
            </w:r>
            <w:r w:rsidR="00647FA0" w:rsidRPr="00A5626D">
              <w:rPr>
                <w:rFonts w:ascii="Garamond" w:hAnsi="Garamond"/>
                <w:b/>
                <w:sz w:val="22"/>
                <w:szCs w:val="22"/>
                <w:lang w:eastAsia="en-US"/>
              </w:rPr>
              <w:t> </w:t>
            </w:r>
            <w:r w:rsidRPr="00A5626D">
              <w:rPr>
                <w:rFonts w:ascii="Garamond" w:hAnsi="Garamond"/>
                <w:b/>
                <w:sz w:val="22"/>
                <w:szCs w:val="22"/>
                <w:lang w:eastAsia="en-US"/>
              </w:rPr>
              <w:t>4.2.1.1.5</w:t>
            </w:r>
            <w:r w:rsidR="009B5F03" w:rsidRPr="00A5626D">
              <w:rPr>
                <w:rFonts w:ascii="Garamond" w:hAnsi="Garamond" w:cstheme="minorHAnsi"/>
                <w:b/>
                <w:sz w:val="22"/>
                <w:szCs w:val="22"/>
              </w:rPr>
              <w:t xml:space="preserve"> </w:t>
            </w:r>
            <w:r w:rsidRPr="00A5626D">
              <w:rPr>
                <w:rFonts w:ascii="Garamond" w:hAnsi="Garamond" w:cstheme="minorHAnsi"/>
                <w:b/>
                <w:sz w:val="22"/>
                <w:szCs w:val="22"/>
              </w:rPr>
              <w:t xml:space="preserve"> </w:t>
            </w:r>
          </w:p>
        </w:tc>
        <w:tc>
          <w:tcPr>
            <w:tcW w:w="6662" w:type="dxa"/>
          </w:tcPr>
          <w:p w14:paraId="0A07C40B" w14:textId="77777777" w:rsidR="00295C6D" w:rsidRPr="00A5626D" w:rsidRDefault="00295C6D" w:rsidP="00E31AE6">
            <w:pPr>
              <w:tabs>
                <w:tab w:val="left" w:pos="1134"/>
                <w:tab w:val="left" w:pos="7938"/>
              </w:tabs>
              <w:spacing w:before="120" w:after="120"/>
              <w:ind w:firstLine="567"/>
              <w:jc w:val="both"/>
              <w:rPr>
                <w:rFonts w:ascii="Garamond" w:hAnsi="Garamond" w:cstheme="minorHAnsi"/>
                <w:b/>
                <w:sz w:val="22"/>
                <w:szCs w:val="22"/>
              </w:rPr>
            </w:pPr>
            <w:r w:rsidRPr="00A5626D">
              <w:rPr>
                <w:rFonts w:ascii="Garamond" w:hAnsi="Garamond" w:cstheme="minorHAnsi"/>
                <w:sz w:val="22"/>
                <w:szCs w:val="22"/>
              </w:rPr>
              <w:t>&lt;</w:t>
            </w:r>
            <w:r w:rsidRPr="00A5626D">
              <w:rPr>
                <w:rFonts w:ascii="Garamond" w:hAnsi="Garamond" w:cstheme="minorHAnsi"/>
                <w:sz w:val="22"/>
                <w:szCs w:val="22"/>
                <w:lang w:val="en-US"/>
              </w:rPr>
              <w:t>reference</w:t>
            </w:r>
            <w:r w:rsidRPr="00A5626D">
              <w:rPr>
                <w:rFonts w:ascii="Garamond" w:hAnsi="Garamond" w:cstheme="minorHAnsi"/>
                <w:sz w:val="22"/>
                <w:szCs w:val="22"/>
              </w:rPr>
              <w:t>-</w:t>
            </w:r>
            <w:r w:rsidRPr="00A5626D">
              <w:rPr>
                <w:rFonts w:ascii="Garamond" w:hAnsi="Garamond" w:cstheme="minorHAnsi"/>
                <w:sz w:val="22"/>
                <w:szCs w:val="22"/>
                <w:lang w:val="en-US"/>
              </w:rPr>
              <w:t>values</w:t>
            </w:r>
            <w:r w:rsidRPr="00A5626D">
              <w:rPr>
                <w:rFonts w:ascii="Garamond" w:hAnsi="Garamond" w:cstheme="minorHAnsi"/>
                <w:sz w:val="22"/>
                <w:szCs w:val="22"/>
              </w:rPr>
              <w:t>&gt;</w:t>
            </w:r>
          </w:p>
          <w:p w14:paraId="66F8A333" w14:textId="77777777" w:rsidR="00295C6D" w:rsidRPr="00A5626D" w:rsidRDefault="00295C6D" w:rsidP="00E31AE6">
            <w:pPr>
              <w:pStyle w:val="af"/>
              <w:tabs>
                <w:tab w:val="left" w:pos="1134"/>
                <w:tab w:val="left" w:pos="7938"/>
              </w:tabs>
              <w:ind w:firstLine="567"/>
              <w:jc w:val="both"/>
              <w:rPr>
                <w:rFonts w:ascii="Garamond" w:hAnsi="Garamond" w:cstheme="minorHAnsi"/>
                <w:sz w:val="22"/>
                <w:szCs w:val="22"/>
              </w:rPr>
            </w:pPr>
            <w:r w:rsidRPr="00A5626D">
              <w:rPr>
                <w:rFonts w:ascii="Garamond" w:hAnsi="Garamond" w:cstheme="minorHAnsi"/>
                <w:sz w:val="22"/>
                <w:szCs w:val="22"/>
              </w:rPr>
              <w:t xml:space="preserve">В элементе </w:t>
            </w:r>
            <w:r w:rsidRPr="00A5626D">
              <w:rPr>
                <w:rFonts w:ascii="Garamond" w:hAnsi="Garamond" w:cstheme="minorHAnsi"/>
                <w:b/>
                <w:sz w:val="22"/>
                <w:szCs w:val="22"/>
              </w:rPr>
              <w:t>&lt;</w:t>
            </w:r>
            <w:r w:rsidRPr="00A5626D">
              <w:rPr>
                <w:rFonts w:ascii="Garamond" w:hAnsi="Garamond" w:cstheme="minorHAnsi"/>
                <w:b/>
                <w:sz w:val="22"/>
                <w:szCs w:val="22"/>
                <w:lang w:val="en-US"/>
              </w:rPr>
              <w:t>reference</w:t>
            </w:r>
            <w:r w:rsidRPr="00A5626D">
              <w:rPr>
                <w:rFonts w:ascii="Garamond" w:hAnsi="Garamond" w:cstheme="minorHAnsi"/>
                <w:b/>
                <w:sz w:val="22"/>
                <w:szCs w:val="22"/>
              </w:rPr>
              <w:t>-</w:t>
            </w:r>
            <w:r w:rsidRPr="00A5626D">
              <w:rPr>
                <w:rFonts w:ascii="Garamond" w:hAnsi="Garamond" w:cstheme="minorHAnsi"/>
                <w:b/>
                <w:sz w:val="22"/>
                <w:szCs w:val="22"/>
                <w:lang w:val="en-US"/>
              </w:rPr>
              <w:t>values</w:t>
            </w:r>
            <w:r w:rsidRPr="00A5626D">
              <w:rPr>
                <w:rFonts w:ascii="Garamond" w:hAnsi="Garamond" w:cstheme="minorHAnsi"/>
                <w:sz w:val="22"/>
                <w:szCs w:val="22"/>
              </w:rPr>
              <w:t>&gt; передаются контрольные значения, состояние объектов измерения и результаты расчетов за три часа двух календарных дней:</w:t>
            </w:r>
          </w:p>
          <w:p w14:paraId="6B99D2A0" w14:textId="77777777" w:rsidR="00295C6D" w:rsidRPr="00A5626D" w:rsidRDefault="00295C6D" w:rsidP="00295C6D">
            <w:pPr>
              <w:pStyle w:val="ac"/>
              <w:numPr>
                <w:ilvl w:val="0"/>
                <w:numId w:val="274"/>
              </w:numPr>
              <w:tabs>
                <w:tab w:val="left" w:pos="1134"/>
                <w:tab w:val="left" w:pos="7938"/>
              </w:tabs>
              <w:spacing w:before="120" w:line="259" w:lineRule="auto"/>
              <w:ind w:left="0" w:firstLine="567"/>
              <w:contextualSpacing/>
              <w:jc w:val="both"/>
              <w:rPr>
                <w:rFonts w:ascii="Garamond" w:hAnsi="Garamond" w:cstheme="minorHAnsi"/>
                <w:sz w:val="22"/>
                <w:szCs w:val="22"/>
              </w:rPr>
            </w:pPr>
            <w:r w:rsidRPr="00A5626D">
              <w:rPr>
                <w:rFonts w:ascii="Garamond" w:hAnsi="Garamond" w:cstheme="minorHAnsi"/>
                <w:sz w:val="22"/>
                <w:szCs w:val="22"/>
              </w:rPr>
              <w:t xml:space="preserve"> за первый календарный день:</w:t>
            </w:r>
          </w:p>
          <w:p w14:paraId="07322649" w14:textId="77777777" w:rsidR="00295C6D" w:rsidRPr="00A5626D" w:rsidRDefault="00295C6D" w:rsidP="00295C6D">
            <w:pPr>
              <w:pStyle w:val="ac"/>
              <w:numPr>
                <w:ilvl w:val="1"/>
                <w:numId w:val="274"/>
              </w:numPr>
              <w:tabs>
                <w:tab w:val="left" w:pos="1134"/>
                <w:tab w:val="left" w:pos="7938"/>
              </w:tabs>
              <w:spacing w:line="259" w:lineRule="auto"/>
              <w:ind w:left="0" w:firstLine="567"/>
              <w:contextualSpacing/>
              <w:jc w:val="both"/>
              <w:rPr>
                <w:rFonts w:ascii="Garamond" w:hAnsi="Garamond" w:cstheme="minorHAnsi"/>
                <w:sz w:val="22"/>
                <w:szCs w:val="22"/>
              </w:rPr>
            </w:pPr>
            <w:r w:rsidRPr="00A5626D">
              <w:rPr>
                <w:rFonts w:ascii="Garamond" w:hAnsi="Garamond" w:cstheme="minorHAnsi"/>
                <w:sz w:val="22"/>
                <w:szCs w:val="22"/>
              </w:rPr>
              <w:t>час 1,</w:t>
            </w:r>
          </w:p>
          <w:p w14:paraId="29F37033" w14:textId="77777777" w:rsidR="00295C6D" w:rsidRPr="00A5626D" w:rsidRDefault="00295C6D" w:rsidP="00295C6D">
            <w:pPr>
              <w:pStyle w:val="ac"/>
              <w:numPr>
                <w:ilvl w:val="1"/>
                <w:numId w:val="274"/>
              </w:numPr>
              <w:tabs>
                <w:tab w:val="left" w:pos="1134"/>
                <w:tab w:val="left" w:pos="7938"/>
              </w:tabs>
              <w:spacing w:line="259" w:lineRule="auto"/>
              <w:ind w:left="0" w:firstLine="567"/>
              <w:contextualSpacing/>
              <w:jc w:val="both"/>
              <w:rPr>
                <w:rFonts w:ascii="Garamond" w:hAnsi="Garamond" w:cstheme="minorHAnsi"/>
                <w:sz w:val="22"/>
                <w:szCs w:val="22"/>
              </w:rPr>
            </w:pPr>
            <w:r w:rsidRPr="00A5626D">
              <w:rPr>
                <w:rFonts w:ascii="Garamond" w:hAnsi="Garamond" w:cstheme="minorHAnsi"/>
                <w:sz w:val="22"/>
                <w:szCs w:val="22"/>
              </w:rPr>
              <w:t xml:space="preserve">час </w:t>
            </w:r>
            <w:r w:rsidRPr="00A5626D">
              <w:rPr>
                <w:rFonts w:ascii="Garamond" w:hAnsi="Garamond" w:cstheme="minorHAnsi"/>
                <w:sz w:val="22"/>
                <w:szCs w:val="22"/>
                <w:lang w:val="en-US"/>
              </w:rPr>
              <w:t>2</w:t>
            </w:r>
            <w:r w:rsidRPr="00A5626D">
              <w:rPr>
                <w:rFonts w:ascii="Garamond" w:hAnsi="Garamond" w:cstheme="minorHAnsi"/>
                <w:sz w:val="22"/>
                <w:szCs w:val="22"/>
              </w:rPr>
              <w:t xml:space="preserve">, </w:t>
            </w:r>
          </w:p>
          <w:p w14:paraId="7B241869" w14:textId="77777777" w:rsidR="00295C6D" w:rsidRPr="00A5626D" w:rsidRDefault="00295C6D" w:rsidP="00295C6D">
            <w:pPr>
              <w:pStyle w:val="ac"/>
              <w:numPr>
                <w:ilvl w:val="1"/>
                <w:numId w:val="274"/>
              </w:numPr>
              <w:tabs>
                <w:tab w:val="left" w:pos="1134"/>
                <w:tab w:val="left" w:pos="7938"/>
              </w:tabs>
              <w:spacing w:line="259" w:lineRule="auto"/>
              <w:ind w:left="0" w:firstLine="567"/>
              <w:contextualSpacing/>
              <w:jc w:val="both"/>
              <w:rPr>
                <w:rFonts w:ascii="Garamond" w:hAnsi="Garamond" w:cstheme="minorHAnsi"/>
                <w:sz w:val="22"/>
                <w:szCs w:val="22"/>
              </w:rPr>
            </w:pPr>
            <w:r w:rsidRPr="00A5626D">
              <w:rPr>
                <w:rFonts w:ascii="Garamond" w:hAnsi="Garamond" w:cstheme="minorHAnsi"/>
                <w:sz w:val="22"/>
                <w:szCs w:val="22"/>
              </w:rPr>
              <w:t>час 3;</w:t>
            </w:r>
          </w:p>
          <w:p w14:paraId="32C963B7" w14:textId="77777777" w:rsidR="00295C6D" w:rsidRPr="00A5626D" w:rsidRDefault="00295C6D" w:rsidP="00295C6D">
            <w:pPr>
              <w:pStyle w:val="ac"/>
              <w:numPr>
                <w:ilvl w:val="0"/>
                <w:numId w:val="274"/>
              </w:numPr>
              <w:tabs>
                <w:tab w:val="left" w:pos="1134"/>
                <w:tab w:val="left" w:pos="7938"/>
              </w:tabs>
              <w:spacing w:line="259" w:lineRule="auto"/>
              <w:ind w:left="0" w:firstLine="567"/>
              <w:contextualSpacing/>
              <w:jc w:val="both"/>
              <w:rPr>
                <w:rFonts w:ascii="Garamond" w:hAnsi="Garamond" w:cstheme="minorHAnsi"/>
                <w:sz w:val="22"/>
                <w:szCs w:val="22"/>
              </w:rPr>
            </w:pPr>
            <w:r w:rsidRPr="00A5626D">
              <w:rPr>
                <w:rFonts w:ascii="Garamond" w:hAnsi="Garamond" w:cstheme="minorHAnsi"/>
                <w:sz w:val="22"/>
                <w:szCs w:val="22"/>
              </w:rPr>
              <w:t>за второй календарный день:</w:t>
            </w:r>
          </w:p>
          <w:p w14:paraId="730328C9" w14:textId="77777777" w:rsidR="00295C6D" w:rsidRPr="00A5626D" w:rsidRDefault="00295C6D" w:rsidP="00295C6D">
            <w:pPr>
              <w:pStyle w:val="ac"/>
              <w:numPr>
                <w:ilvl w:val="1"/>
                <w:numId w:val="274"/>
              </w:numPr>
              <w:tabs>
                <w:tab w:val="left" w:pos="1134"/>
                <w:tab w:val="left" w:pos="7938"/>
              </w:tabs>
              <w:spacing w:line="259" w:lineRule="auto"/>
              <w:ind w:left="0" w:firstLine="567"/>
              <w:contextualSpacing/>
              <w:jc w:val="both"/>
              <w:rPr>
                <w:rFonts w:ascii="Garamond" w:hAnsi="Garamond" w:cstheme="minorHAnsi"/>
                <w:sz w:val="22"/>
                <w:szCs w:val="22"/>
              </w:rPr>
            </w:pPr>
            <w:r w:rsidRPr="00A5626D">
              <w:rPr>
                <w:rFonts w:ascii="Garamond" w:hAnsi="Garamond" w:cstheme="minorHAnsi"/>
                <w:sz w:val="22"/>
                <w:szCs w:val="22"/>
              </w:rPr>
              <w:t>час 1,</w:t>
            </w:r>
          </w:p>
          <w:p w14:paraId="5B40A7E5" w14:textId="77777777" w:rsidR="00295C6D" w:rsidRPr="00A5626D" w:rsidRDefault="00295C6D" w:rsidP="00295C6D">
            <w:pPr>
              <w:pStyle w:val="ac"/>
              <w:numPr>
                <w:ilvl w:val="1"/>
                <w:numId w:val="274"/>
              </w:numPr>
              <w:tabs>
                <w:tab w:val="left" w:pos="1134"/>
                <w:tab w:val="left" w:pos="7938"/>
              </w:tabs>
              <w:spacing w:line="259" w:lineRule="auto"/>
              <w:ind w:left="0" w:firstLine="567"/>
              <w:contextualSpacing/>
              <w:jc w:val="both"/>
              <w:rPr>
                <w:rFonts w:ascii="Garamond" w:hAnsi="Garamond" w:cstheme="minorHAnsi"/>
                <w:sz w:val="22"/>
                <w:szCs w:val="22"/>
              </w:rPr>
            </w:pPr>
            <w:r w:rsidRPr="00A5626D">
              <w:rPr>
                <w:rFonts w:ascii="Garamond" w:hAnsi="Garamond" w:cstheme="minorHAnsi"/>
                <w:sz w:val="22"/>
                <w:szCs w:val="22"/>
              </w:rPr>
              <w:t xml:space="preserve">час </w:t>
            </w:r>
            <w:r w:rsidRPr="00A5626D">
              <w:rPr>
                <w:rFonts w:ascii="Garamond" w:hAnsi="Garamond" w:cstheme="minorHAnsi"/>
                <w:sz w:val="22"/>
                <w:szCs w:val="22"/>
                <w:lang w:val="en-US"/>
              </w:rPr>
              <w:t>2</w:t>
            </w:r>
            <w:r w:rsidRPr="00A5626D">
              <w:rPr>
                <w:rFonts w:ascii="Garamond" w:hAnsi="Garamond" w:cstheme="minorHAnsi"/>
                <w:sz w:val="22"/>
                <w:szCs w:val="22"/>
              </w:rPr>
              <w:t xml:space="preserve">, </w:t>
            </w:r>
          </w:p>
          <w:p w14:paraId="5A75E637" w14:textId="77777777" w:rsidR="00295C6D" w:rsidRPr="00A5626D" w:rsidRDefault="00295C6D" w:rsidP="00295C6D">
            <w:pPr>
              <w:pStyle w:val="ac"/>
              <w:numPr>
                <w:ilvl w:val="1"/>
                <w:numId w:val="274"/>
              </w:numPr>
              <w:tabs>
                <w:tab w:val="left" w:pos="1134"/>
                <w:tab w:val="left" w:pos="7938"/>
              </w:tabs>
              <w:spacing w:line="259" w:lineRule="auto"/>
              <w:ind w:left="0" w:firstLine="567"/>
              <w:contextualSpacing/>
              <w:jc w:val="both"/>
              <w:rPr>
                <w:rFonts w:ascii="Garamond" w:hAnsi="Garamond" w:cstheme="minorHAnsi"/>
                <w:sz w:val="22"/>
                <w:szCs w:val="22"/>
              </w:rPr>
            </w:pPr>
            <w:r w:rsidRPr="00A5626D">
              <w:rPr>
                <w:rFonts w:ascii="Garamond" w:hAnsi="Garamond" w:cstheme="minorHAnsi"/>
                <w:sz w:val="22"/>
                <w:szCs w:val="22"/>
              </w:rPr>
              <w:t>час 3.</w:t>
            </w:r>
          </w:p>
          <w:p w14:paraId="780DA6A4" w14:textId="77777777" w:rsidR="00295C6D" w:rsidRPr="00A5626D" w:rsidRDefault="00295C6D" w:rsidP="00E31AE6">
            <w:pPr>
              <w:tabs>
                <w:tab w:val="left" w:pos="1134"/>
                <w:tab w:val="left" w:pos="7938"/>
              </w:tabs>
              <w:spacing w:before="120" w:after="120"/>
              <w:ind w:firstLine="567"/>
              <w:rPr>
                <w:rFonts w:ascii="Garamond" w:hAnsi="Garamond" w:cstheme="minorHAnsi"/>
                <w:sz w:val="22"/>
                <w:szCs w:val="22"/>
              </w:rPr>
            </w:pPr>
            <w:r w:rsidRPr="00A5626D">
              <w:rPr>
                <w:rFonts w:ascii="Garamond" w:hAnsi="Garamond" w:cstheme="minorHAnsi"/>
                <w:bCs/>
                <w:sz w:val="22"/>
                <w:szCs w:val="22"/>
              </w:rPr>
              <w:t>Обязательный элемент</w:t>
            </w:r>
            <w:r w:rsidRPr="00A5626D">
              <w:rPr>
                <w:rFonts w:ascii="Garamond" w:hAnsi="Garamond" w:cstheme="minorHAnsi"/>
                <w:sz w:val="22"/>
                <w:szCs w:val="22"/>
              </w:rPr>
              <w:t xml:space="preserve">. Допускается наличие только одного </w:t>
            </w:r>
            <w:r w:rsidRPr="00A5626D">
              <w:rPr>
                <w:rFonts w:ascii="Garamond" w:hAnsi="Garamond" w:cstheme="minorHAnsi"/>
                <w:bCs/>
                <w:sz w:val="22"/>
                <w:szCs w:val="22"/>
              </w:rPr>
              <w:t>элемента</w:t>
            </w:r>
            <w:r w:rsidRPr="00A5626D">
              <w:rPr>
                <w:rFonts w:ascii="Garamond" w:hAnsi="Garamond" w:cstheme="minorHAnsi"/>
                <w:sz w:val="22"/>
                <w:szCs w:val="22"/>
              </w:rPr>
              <w:t>.</w:t>
            </w:r>
          </w:p>
          <w:p w14:paraId="3AAC55A1" w14:textId="6D1D2A11" w:rsidR="00295C6D" w:rsidRPr="0001419A" w:rsidRDefault="00295C6D" w:rsidP="0001419A">
            <w:pPr>
              <w:pStyle w:val="2"/>
              <w:numPr>
                <w:ilvl w:val="0"/>
                <w:numId w:val="0"/>
              </w:numPr>
              <w:tabs>
                <w:tab w:val="left" w:pos="1134"/>
                <w:tab w:val="left" w:pos="7938"/>
              </w:tabs>
              <w:suppressAutoHyphens w:val="0"/>
              <w:spacing w:line="22" w:lineRule="atLeast"/>
              <w:ind w:firstLine="629"/>
              <w:jc w:val="both"/>
              <w:rPr>
                <w:rFonts w:ascii="Garamond" w:hAnsi="Garamond" w:cstheme="minorHAnsi"/>
              </w:rPr>
            </w:pPr>
            <w:r w:rsidRPr="00A5626D">
              <w:rPr>
                <w:rFonts w:ascii="Garamond" w:hAnsi="Garamond" w:cstheme="minorHAnsi"/>
                <w:b w:val="0"/>
              </w:rPr>
              <w:t xml:space="preserve">Дочерними элементами являются: </w:t>
            </w:r>
            <w:r w:rsidRPr="00A5626D">
              <w:rPr>
                <w:rFonts w:ascii="Garamond" w:hAnsi="Garamond" w:cstheme="minorHAnsi"/>
              </w:rPr>
              <w:t>&lt;</w:t>
            </w:r>
            <w:r w:rsidRPr="00A5626D">
              <w:rPr>
                <w:rFonts w:ascii="Garamond" w:hAnsi="Garamond" w:cstheme="minorHAnsi"/>
                <w:lang w:val="en-US"/>
              </w:rPr>
              <w:t>reference</w:t>
            </w:r>
            <w:r w:rsidRPr="00A5626D">
              <w:rPr>
                <w:rFonts w:ascii="Garamond" w:hAnsi="Garamond" w:cstheme="minorHAnsi"/>
              </w:rPr>
              <w:t>-</w:t>
            </w:r>
            <w:r w:rsidRPr="00A5626D">
              <w:rPr>
                <w:rFonts w:ascii="Garamond" w:hAnsi="Garamond" w:cstheme="minorHAnsi"/>
                <w:lang w:val="en-US"/>
              </w:rPr>
              <w:t>day</w:t>
            </w:r>
            <w:r w:rsidR="0001419A">
              <w:rPr>
                <w:rFonts w:ascii="Garamond" w:hAnsi="Garamond" w:cstheme="minorHAnsi"/>
              </w:rPr>
              <w:t>&gt;.</w:t>
            </w:r>
          </w:p>
        </w:tc>
        <w:tc>
          <w:tcPr>
            <w:tcW w:w="7088" w:type="dxa"/>
          </w:tcPr>
          <w:p w14:paraId="005DDACF" w14:textId="77777777" w:rsidR="00295C6D" w:rsidRPr="00A5626D" w:rsidRDefault="00295C6D" w:rsidP="00E31AE6">
            <w:pPr>
              <w:tabs>
                <w:tab w:val="left" w:pos="1134"/>
                <w:tab w:val="left" w:pos="7938"/>
              </w:tabs>
              <w:spacing w:before="120" w:after="120"/>
              <w:ind w:firstLine="567"/>
              <w:jc w:val="both"/>
              <w:rPr>
                <w:rFonts w:ascii="Garamond" w:hAnsi="Garamond" w:cstheme="minorHAnsi"/>
                <w:b/>
                <w:sz w:val="22"/>
                <w:szCs w:val="22"/>
              </w:rPr>
            </w:pPr>
            <w:r w:rsidRPr="00A5626D">
              <w:rPr>
                <w:rFonts w:ascii="Garamond" w:hAnsi="Garamond" w:cstheme="minorHAnsi"/>
                <w:sz w:val="22"/>
                <w:szCs w:val="22"/>
              </w:rPr>
              <w:t>&lt;</w:t>
            </w:r>
            <w:r w:rsidRPr="00A5626D">
              <w:rPr>
                <w:rFonts w:ascii="Garamond" w:hAnsi="Garamond" w:cstheme="minorHAnsi"/>
                <w:sz w:val="22"/>
                <w:szCs w:val="22"/>
                <w:lang w:val="en-US"/>
              </w:rPr>
              <w:t>reference</w:t>
            </w:r>
            <w:r w:rsidRPr="00A5626D">
              <w:rPr>
                <w:rFonts w:ascii="Garamond" w:hAnsi="Garamond" w:cstheme="minorHAnsi"/>
                <w:sz w:val="22"/>
                <w:szCs w:val="22"/>
              </w:rPr>
              <w:t>-</w:t>
            </w:r>
            <w:r w:rsidRPr="00A5626D">
              <w:rPr>
                <w:rFonts w:ascii="Garamond" w:hAnsi="Garamond" w:cstheme="minorHAnsi"/>
                <w:sz w:val="22"/>
                <w:szCs w:val="22"/>
                <w:lang w:val="en-US"/>
              </w:rPr>
              <w:t>values</w:t>
            </w:r>
            <w:r w:rsidRPr="00A5626D">
              <w:rPr>
                <w:rFonts w:ascii="Garamond" w:hAnsi="Garamond" w:cstheme="minorHAnsi"/>
                <w:sz w:val="22"/>
                <w:szCs w:val="22"/>
              </w:rPr>
              <w:t>&gt;</w:t>
            </w:r>
          </w:p>
          <w:p w14:paraId="2B9FD818" w14:textId="77777777" w:rsidR="00295C6D" w:rsidRPr="00A5626D" w:rsidRDefault="00295C6D" w:rsidP="00E31AE6">
            <w:pPr>
              <w:pStyle w:val="af"/>
              <w:tabs>
                <w:tab w:val="left" w:pos="1134"/>
                <w:tab w:val="left" w:pos="7938"/>
              </w:tabs>
              <w:ind w:firstLine="567"/>
              <w:jc w:val="both"/>
              <w:rPr>
                <w:rFonts w:ascii="Garamond" w:hAnsi="Garamond" w:cstheme="minorHAnsi"/>
                <w:sz w:val="22"/>
                <w:szCs w:val="22"/>
              </w:rPr>
            </w:pPr>
            <w:r w:rsidRPr="00A5626D">
              <w:rPr>
                <w:rFonts w:ascii="Garamond" w:hAnsi="Garamond" w:cstheme="minorHAnsi"/>
                <w:sz w:val="22"/>
                <w:szCs w:val="22"/>
              </w:rPr>
              <w:t xml:space="preserve">В элементе </w:t>
            </w:r>
            <w:r w:rsidRPr="00A5626D">
              <w:rPr>
                <w:rFonts w:ascii="Garamond" w:hAnsi="Garamond" w:cstheme="minorHAnsi"/>
                <w:b/>
                <w:sz w:val="22"/>
                <w:szCs w:val="22"/>
              </w:rPr>
              <w:t>&lt;</w:t>
            </w:r>
            <w:r w:rsidRPr="00A5626D">
              <w:rPr>
                <w:rFonts w:ascii="Garamond" w:hAnsi="Garamond" w:cstheme="minorHAnsi"/>
                <w:b/>
                <w:sz w:val="22"/>
                <w:szCs w:val="22"/>
                <w:lang w:val="en-US"/>
              </w:rPr>
              <w:t>reference</w:t>
            </w:r>
            <w:r w:rsidRPr="00A5626D">
              <w:rPr>
                <w:rFonts w:ascii="Garamond" w:hAnsi="Garamond" w:cstheme="minorHAnsi"/>
                <w:b/>
                <w:sz w:val="22"/>
                <w:szCs w:val="22"/>
              </w:rPr>
              <w:t>-</w:t>
            </w:r>
            <w:r w:rsidRPr="00A5626D">
              <w:rPr>
                <w:rFonts w:ascii="Garamond" w:hAnsi="Garamond" w:cstheme="minorHAnsi"/>
                <w:b/>
                <w:sz w:val="22"/>
                <w:szCs w:val="22"/>
                <w:lang w:val="en-US"/>
              </w:rPr>
              <w:t>values</w:t>
            </w:r>
            <w:r w:rsidRPr="00A5626D">
              <w:rPr>
                <w:rFonts w:ascii="Garamond" w:hAnsi="Garamond" w:cstheme="minorHAnsi"/>
                <w:sz w:val="22"/>
                <w:szCs w:val="22"/>
              </w:rPr>
              <w:t>&gt; передаются контрольные значения, состояние объектов измерения и результаты расчетов за три часа двух календарных дней:</w:t>
            </w:r>
          </w:p>
          <w:p w14:paraId="2E31E098" w14:textId="77777777" w:rsidR="00295C6D" w:rsidRPr="00A5626D" w:rsidRDefault="00295C6D" w:rsidP="00295C6D">
            <w:pPr>
              <w:pStyle w:val="ac"/>
              <w:numPr>
                <w:ilvl w:val="0"/>
                <w:numId w:val="274"/>
              </w:numPr>
              <w:tabs>
                <w:tab w:val="left" w:pos="1134"/>
                <w:tab w:val="left" w:pos="7938"/>
              </w:tabs>
              <w:spacing w:before="120" w:line="259" w:lineRule="auto"/>
              <w:ind w:left="0" w:firstLine="567"/>
              <w:contextualSpacing/>
              <w:jc w:val="both"/>
              <w:rPr>
                <w:rFonts w:ascii="Garamond" w:hAnsi="Garamond" w:cstheme="minorHAnsi"/>
                <w:sz w:val="22"/>
                <w:szCs w:val="22"/>
              </w:rPr>
            </w:pPr>
            <w:r w:rsidRPr="00A5626D">
              <w:rPr>
                <w:rFonts w:ascii="Garamond" w:hAnsi="Garamond" w:cstheme="minorHAnsi"/>
                <w:sz w:val="22"/>
                <w:szCs w:val="22"/>
              </w:rPr>
              <w:t xml:space="preserve"> за первый календарный день:</w:t>
            </w:r>
          </w:p>
          <w:p w14:paraId="4A820135" w14:textId="77777777" w:rsidR="00295C6D" w:rsidRPr="00A5626D" w:rsidRDefault="00295C6D" w:rsidP="00295C6D">
            <w:pPr>
              <w:pStyle w:val="ac"/>
              <w:numPr>
                <w:ilvl w:val="1"/>
                <w:numId w:val="274"/>
              </w:numPr>
              <w:tabs>
                <w:tab w:val="left" w:pos="1134"/>
                <w:tab w:val="left" w:pos="7938"/>
              </w:tabs>
              <w:spacing w:line="259" w:lineRule="auto"/>
              <w:ind w:left="0" w:firstLine="567"/>
              <w:contextualSpacing/>
              <w:jc w:val="both"/>
              <w:rPr>
                <w:rFonts w:ascii="Garamond" w:hAnsi="Garamond" w:cstheme="minorHAnsi"/>
                <w:sz w:val="22"/>
                <w:szCs w:val="22"/>
              </w:rPr>
            </w:pPr>
            <w:r w:rsidRPr="00A5626D">
              <w:rPr>
                <w:rFonts w:ascii="Garamond" w:hAnsi="Garamond" w:cstheme="minorHAnsi"/>
                <w:sz w:val="22"/>
                <w:szCs w:val="22"/>
              </w:rPr>
              <w:t>час 1,</w:t>
            </w:r>
          </w:p>
          <w:p w14:paraId="78752DDC" w14:textId="77777777" w:rsidR="00295C6D" w:rsidRPr="00A5626D" w:rsidRDefault="00295C6D" w:rsidP="00295C6D">
            <w:pPr>
              <w:pStyle w:val="ac"/>
              <w:numPr>
                <w:ilvl w:val="1"/>
                <w:numId w:val="274"/>
              </w:numPr>
              <w:tabs>
                <w:tab w:val="left" w:pos="1134"/>
                <w:tab w:val="left" w:pos="7938"/>
              </w:tabs>
              <w:spacing w:line="259" w:lineRule="auto"/>
              <w:ind w:left="0" w:firstLine="567"/>
              <w:contextualSpacing/>
              <w:jc w:val="both"/>
              <w:rPr>
                <w:rFonts w:ascii="Garamond" w:hAnsi="Garamond" w:cstheme="minorHAnsi"/>
                <w:sz w:val="22"/>
                <w:szCs w:val="22"/>
              </w:rPr>
            </w:pPr>
            <w:r w:rsidRPr="00A5626D">
              <w:rPr>
                <w:rFonts w:ascii="Garamond" w:hAnsi="Garamond" w:cstheme="minorHAnsi"/>
                <w:sz w:val="22"/>
                <w:szCs w:val="22"/>
              </w:rPr>
              <w:t xml:space="preserve">час </w:t>
            </w:r>
            <w:r w:rsidRPr="00A5626D">
              <w:rPr>
                <w:rFonts w:ascii="Garamond" w:hAnsi="Garamond" w:cstheme="minorHAnsi"/>
                <w:sz w:val="22"/>
                <w:szCs w:val="22"/>
                <w:lang w:val="en-US"/>
              </w:rPr>
              <w:t>2</w:t>
            </w:r>
            <w:r w:rsidRPr="00A5626D">
              <w:rPr>
                <w:rFonts w:ascii="Garamond" w:hAnsi="Garamond" w:cstheme="minorHAnsi"/>
                <w:sz w:val="22"/>
                <w:szCs w:val="22"/>
              </w:rPr>
              <w:t xml:space="preserve">, </w:t>
            </w:r>
          </w:p>
          <w:p w14:paraId="426D486F" w14:textId="77777777" w:rsidR="00295C6D" w:rsidRPr="00A5626D" w:rsidRDefault="00295C6D" w:rsidP="00295C6D">
            <w:pPr>
              <w:pStyle w:val="ac"/>
              <w:numPr>
                <w:ilvl w:val="1"/>
                <w:numId w:val="274"/>
              </w:numPr>
              <w:tabs>
                <w:tab w:val="left" w:pos="1134"/>
                <w:tab w:val="left" w:pos="7938"/>
              </w:tabs>
              <w:spacing w:line="259" w:lineRule="auto"/>
              <w:ind w:left="0" w:firstLine="567"/>
              <w:contextualSpacing/>
              <w:jc w:val="both"/>
              <w:rPr>
                <w:rFonts w:ascii="Garamond" w:hAnsi="Garamond" w:cstheme="minorHAnsi"/>
                <w:sz w:val="22"/>
                <w:szCs w:val="22"/>
              </w:rPr>
            </w:pPr>
            <w:r w:rsidRPr="00A5626D">
              <w:rPr>
                <w:rFonts w:ascii="Garamond" w:hAnsi="Garamond" w:cstheme="minorHAnsi"/>
                <w:sz w:val="22"/>
                <w:szCs w:val="22"/>
              </w:rPr>
              <w:t>час 3;</w:t>
            </w:r>
          </w:p>
          <w:p w14:paraId="7580995F" w14:textId="77777777" w:rsidR="00295C6D" w:rsidRPr="00A5626D" w:rsidRDefault="00295C6D" w:rsidP="00295C6D">
            <w:pPr>
              <w:pStyle w:val="ac"/>
              <w:numPr>
                <w:ilvl w:val="0"/>
                <w:numId w:val="274"/>
              </w:numPr>
              <w:tabs>
                <w:tab w:val="left" w:pos="1134"/>
                <w:tab w:val="left" w:pos="7938"/>
              </w:tabs>
              <w:spacing w:line="259" w:lineRule="auto"/>
              <w:ind w:left="0" w:firstLine="567"/>
              <w:contextualSpacing/>
              <w:jc w:val="both"/>
              <w:rPr>
                <w:rFonts w:ascii="Garamond" w:hAnsi="Garamond" w:cstheme="minorHAnsi"/>
                <w:sz w:val="22"/>
                <w:szCs w:val="22"/>
              </w:rPr>
            </w:pPr>
            <w:r w:rsidRPr="00A5626D">
              <w:rPr>
                <w:rFonts w:ascii="Garamond" w:hAnsi="Garamond" w:cstheme="minorHAnsi"/>
                <w:sz w:val="22"/>
                <w:szCs w:val="22"/>
              </w:rPr>
              <w:t>за второй календарный день:</w:t>
            </w:r>
          </w:p>
          <w:p w14:paraId="6188C38D" w14:textId="77777777" w:rsidR="00295C6D" w:rsidRPr="00A5626D" w:rsidRDefault="00295C6D" w:rsidP="00295C6D">
            <w:pPr>
              <w:pStyle w:val="ac"/>
              <w:numPr>
                <w:ilvl w:val="1"/>
                <w:numId w:val="274"/>
              </w:numPr>
              <w:tabs>
                <w:tab w:val="left" w:pos="1134"/>
                <w:tab w:val="left" w:pos="7938"/>
              </w:tabs>
              <w:spacing w:line="259" w:lineRule="auto"/>
              <w:ind w:left="0" w:firstLine="567"/>
              <w:contextualSpacing/>
              <w:jc w:val="both"/>
              <w:rPr>
                <w:rFonts w:ascii="Garamond" w:hAnsi="Garamond" w:cstheme="minorHAnsi"/>
                <w:sz w:val="22"/>
                <w:szCs w:val="22"/>
              </w:rPr>
            </w:pPr>
            <w:r w:rsidRPr="00A5626D">
              <w:rPr>
                <w:rFonts w:ascii="Garamond" w:hAnsi="Garamond" w:cstheme="minorHAnsi"/>
                <w:sz w:val="22"/>
                <w:szCs w:val="22"/>
              </w:rPr>
              <w:t>час 1,</w:t>
            </w:r>
          </w:p>
          <w:p w14:paraId="56C2E3BE" w14:textId="77777777" w:rsidR="00295C6D" w:rsidRPr="00A5626D" w:rsidRDefault="00295C6D" w:rsidP="00295C6D">
            <w:pPr>
              <w:pStyle w:val="ac"/>
              <w:numPr>
                <w:ilvl w:val="1"/>
                <w:numId w:val="274"/>
              </w:numPr>
              <w:tabs>
                <w:tab w:val="left" w:pos="1134"/>
                <w:tab w:val="left" w:pos="7938"/>
              </w:tabs>
              <w:spacing w:line="259" w:lineRule="auto"/>
              <w:ind w:left="0" w:firstLine="567"/>
              <w:contextualSpacing/>
              <w:jc w:val="both"/>
              <w:rPr>
                <w:rFonts w:ascii="Garamond" w:hAnsi="Garamond" w:cstheme="minorHAnsi"/>
                <w:sz w:val="22"/>
                <w:szCs w:val="22"/>
              </w:rPr>
            </w:pPr>
            <w:r w:rsidRPr="00A5626D">
              <w:rPr>
                <w:rFonts w:ascii="Garamond" w:hAnsi="Garamond" w:cstheme="minorHAnsi"/>
                <w:sz w:val="22"/>
                <w:szCs w:val="22"/>
              </w:rPr>
              <w:t xml:space="preserve">час </w:t>
            </w:r>
            <w:r w:rsidRPr="00A5626D">
              <w:rPr>
                <w:rFonts w:ascii="Garamond" w:hAnsi="Garamond" w:cstheme="minorHAnsi"/>
                <w:sz w:val="22"/>
                <w:szCs w:val="22"/>
                <w:lang w:val="en-US"/>
              </w:rPr>
              <w:t>2</w:t>
            </w:r>
            <w:r w:rsidRPr="00A5626D">
              <w:rPr>
                <w:rFonts w:ascii="Garamond" w:hAnsi="Garamond" w:cstheme="minorHAnsi"/>
                <w:sz w:val="22"/>
                <w:szCs w:val="22"/>
              </w:rPr>
              <w:t xml:space="preserve">, </w:t>
            </w:r>
          </w:p>
          <w:p w14:paraId="0DA7E2F8" w14:textId="77777777" w:rsidR="00295C6D" w:rsidRPr="00A5626D" w:rsidRDefault="00295C6D" w:rsidP="00295C6D">
            <w:pPr>
              <w:pStyle w:val="ac"/>
              <w:numPr>
                <w:ilvl w:val="1"/>
                <w:numId w:val="274"/>
              </w:numPr>
              <w:tabs>
                <w:tab w:val="left" w:pos="1134"/>
                <w:tab w:val="left" w:pos="7938"/>
              </w:tabs>
              <w:spacing w:line="259" w:lineRule="auto"/>
              <w:ind w:left="0" w:firstLine="567"/>
              <w:contextualSpacing/>
              <w:jc w:val="both"/>
              <w:rPr>
                <w:rFonts w:ascii="Garamond" w:hAnsi="Garamond" w:cstheme="minorHAnsi"/>
                <w:sz w:val="22"/>
                <w:szCs w:val="22"/>
              </w:rPr>
            </w:pPr>
            <w:r w:rsidRPr="00A5626D">
              <w:rPr>
                <w:rFonts w:ascii="Garamond" w:hAnsi="Garamond" w:cstheme="minorHAnsi"/>
                <w:sz w:val="22"/>
                <w:szCs w:val="22"/>
              </w:rPr>
              <w:t>час 3.</w:t>
            </w:r>
          </w:p>
          <w:p w14:paraId="7CBAE9A1" w14:textId="77777777" w:rsidR="00295C6D" w:rsidRPr="00A5626D" w:rsidRDefault="00295C6D" w:rsidP="00E31AE6">
            <w:pPr>
              <w:tabs>
                <w:tab w:val="left" w:pos="1134"/>
                <w:tab w:val="left" w:pos="7938"/>
              </w:tabs>
              <w:spacing w:before="120" w:after="120"/>
              <w:ind w:firstLine="567"/>
              <w:jc w:val="both"/>
              <w:rPr>
                <w:rFonts w:ascii="Garamond" w:hAnsi="Garamond" w:cstheme="minorHAnsi"/>
                <w:bCs/>
                <w:sz w:val="22"/>
                <w:szCs w:val="22"/>
              </w:rPr>
            </w:pPr>
            <w:r w:rsidRPr="00A5626D">
              <w:rPr>
                <w:rFonts w:ascii="Garamond" w:hAnsi="Garamond" w:cstheme="minorHAnsi"/>
                <w:bCs/>
                <w:sz w:val="22"/>
                <w:szCs w:val="22"/>
              </w:rPr>
              <w:t xml:space="preserve">Обязательный элемент </w:t>
            </w:r>
            <w:r w:rsidRPr="00A5626D">
              <w:rPr>
                <w:rFonts w:ascii="Garamond" w:hAnsi="Garamond" w:cstheme="minorHAnsi"/>
                <w:bCs/>
                <w:sz w:val="22"/>
                <w:szCs w:val="22"/>
                <w:highlight w:val="yellow"/>
              </w:rPr>
              <w:t>для ГТП генерации и сечений КУ. Не заполняется для ОР.</w:t>
            </w:r>
            <w:r w:rsidRPr="00A5626D">
              <w:rPr>
                <w:rFonts w:ascii="Garamond" w:hAnsi="Garamond" w:cstheme="minorHAnsi"/>
                <w:bCs/>
                <w:sz w:val="22"/>
                <w:szCs w:val="22"/>
              </w:rPr>
              <w:t xml:space="preserve"> Допускается наличие только одного элемента.</w:t>
            </w:r>
          </w:p>
          <w:p w14:paraId="29A1C5C4" w14:textId="77777777" w:rsidR="00295C6D" w:rsidRPr="00A5626D" w:rsidRDefault="00295C6D" w:rsidP="00E31AE6">
            <w:pPr>
              <w:pStyle w:val="2"/>
              <w:numPr>
                <w:ilvl w:val="0"/>
                <w:numId w:val="0"/>
              </w:numPr>
              <w:tabs>
                <w:tab w:val="left" w:pos="1134"/>
                <w:tab w:val="left" w:pos="7938"/>
              </w:tabs>
              <w:suppressAutoHyphens w:val="0"/>
              <w:spacing w:line="22" w:lineRule="atLeast"/>
              <w:ind w:firstLine="629"/>
              <w:jc w:val="both"/>
              <w:rPr>
                <w:rFonts w:ascii="Garamond" w:hAnsi="Garamond" w:cstheme="minorHAnsi"/>
                <w:b w:val="0"/>
              </w:rPr>
            </w:pPr>
            <w:r w:rsidRPr="00A5626D">
              <w:rPr>
                <w:rFonts w:ascii="Garamond" w:hAnsi="Garamond" w:cstheme="minorHAnsi"/>
                <w:b w:val="0"/>
              </w:rPr>
              <w:t xml:space="preserve">Дочерними элементами являются: </w:t>
            </w:r>
            <w:r w:rsidRPr="00A5626D">
              <w:rPr>
                <w:rFonts w:ascii="Garamond" w:hAnsi="Garamond" w:cstheme="minorHAnsi"/>
              </w:rPr>
              <w:t>&lt;</w:t>
            </w:r>
            <w:r w:rsidRPr="00A5626D">
              <w:rPr>
                <w:rFonts w:ascii="Garamond" w:hAnsi="Garamond" w:cstheme="minorHAnsi"/>
                <w:lang w:val="en-US"/>
              </w:rPr>
              <w:t>reference</w:t>
            </w:r>
            <w:r w:rsidRPr="00A5626D">
              <w:rPr>
                <w:rFonts w:ascii="Garamond" w:hAnsi="Garamond" w:cstheme="minorHAnsi"/>
              </w:rPr>
              <w:t>-</w:t>
            </w:r>
            <w:r w:rsidRPr="00A5626D">
              <w:rPr>
                <w:rFonts w:ascii="Garamond" w:hAnsi="Garamond" w:cstheme="minorHAnsi"/>
                <w:lang w:val="en-US"/>
              </w:rPr>
              <w:t>day</w:t>
            </w:r>
            <w:r w:rsidRPr="00A5626D">
              <w:rPr>
                <w:rFonts w:ascii="Garamond" w:hAnsi="Garamond" w:cstheme="minorHAnsi"/>
              </w:rPr>
              <w:t>&gt;.</w:t>
            </w:r>
          </w:p>
        </w:tc>
      </w:tr>
      <w:tr w:rsidR="00295C6D" w:rsidRPr="00A5626D" w14:paraId="500B9EC5" w14:textId="77777777" w:rsidTr="00647FA0">
        <w:tc>
          <w:tcPr>
            <w:tcW w:w="1060" w:type="dxa"/>
            <w:vAlign w:val="center"/>
          </w:tcPr>
          <w:p w14:paraId="5721DBBC" w14:textId="1878164D" w:rsidR="00295C6D" w:rsidRPr="00A5626D" w:rsidRDefault="00295C6D" w:rsidP="00E31AE6">
            <w:pPr>
              <w:widowControl w:val="0"/>
              <w:tabs>
                <w:tab w:val="left" w:pos="1134"/>
                <w:tab w:val="left" w:pos="7938"/>
              </w:tabs>
              <w:spacing w:line="22" w:lineRule="atLeast"/>
              <w:jc w:val="both"/>
              <w:rPr>
                <w:rFonts w:ascii="Garamond" w:hAnsi="Garamond"/>
                <w:b/>
                <w:sz w:val="22"/>
                <w:szCs w:val="22"/>
                <w:lang w:eastAsia="en-US"/>
              </w:rPr>
            </w:pPr>
            <w:r w:rsidRPr="00A5626D">
              <w:rPr>
                <w:rFonts w:ascii="Garamond" w:hAnsi="Garamond"/>
                <w:b/>
                <w:sz w:val="22"/>
                <w:szCs w:val="22"/>
                <w:lang w:eastAsia="en-US"/>
              </w:rPr>
              <w:t>Приложение 5</w:t>
            </w:r>
            <w:r w:rsidR="00C6418D">
              <w:rPr>
                <w:rFonts w:ascii="Garamond" w:hAnsi="Garamond"/>
                <w:b/>
                <w:sz w:val="22"/>
                <w:szCs w:val="22"/>
                <w:lang w:eastAsia="en-US"/>
              </w:rPr>
              <w:t>,</w:t>
            </w:r>
            <w:r w:rsidRPr="00A5626D">
              <w:rPr>
                <w:rFonts w:ascii="Garamond" w:hAnsi="Garamond"/>
                <w:b/>
                <w:sz w:val="22"/>
                <w:szCs w:val="22"/>
                <w:lang w:eastAsia="en-US"/>
              </w:rPr>
              <w:t xml:space="preserve"> Структура документа 60000</w:t>
            </w:r>
          </w:p>
          <w:p w14:paraId="48F7B042" w14:textId="77777777" w:rsidR="00295C6D" w:rsidRPr="00A5626D" w:rsidRDefault="00295C6D" w:rsidP="00E31AE6">
            <w:pPr>
              <w:widowControl w:val="0"/>
              <w:tabs>
                <w:tab w:val="left" w:pos="1134"/>
                <w:tab w:val="left" w:pos="7938"/>
              </w:tabs>
              <w:spacing w:line="22" w:lineRule="atLeast"/>
              <w:jc w:val="both"/>
              <w:rPr>
                <w:rFonts w:ascii="Garamond" w:hAnsi="Garamond"/>
                <w:b/>
                <w:sz w:val="22"/>
                <w:szCs w:val="22"/>
                <w:lang w:eastAsia="en-US"/>
              </w:rPr>
            </w:pPr>
          </w:p>
        </w:tc>
        <w:tc>
          <w:tcPr>
            <w:tcW w:w="6662" w:type="dxa"/>
          </w:tcPr>
          <w:p w14:paraId="6131C292" w14:textId="77777777" w:rsidR="00295C6D" w:rsidRPr="00A5626D" w:rsidRDefault="00295C6D" w:rsidP="00E31AE6">
            <w:pPr>
              <w:tabs>
                <w:tab w:val="left" w:pos="1134"/>
                <w:tab w:val="left" w:pos="7938"/>
              </w:tabs>
              <w:jc w:val="both"/>
              <w:rPr>
                <w:rFonts w:ascii="Garamond" w:hAnsi="Garamond"/>
                <w:b/>
                <w:sz w:val="22"/>
                <w:szCs w:val="22"/>
                <w:lang w:val="en-US" w:eastAsia="en-US"/>
              </w:rPr>
            </w:pPr>
            <w:r w:rsidRPr="00A5626D">
              <w:rPr>
                <w:rFonts w:ascii="Garamond" w:hAnsi="Garamond"/>
                <w:b/>
                <w:sz w:val="22"/>
                <w:szCs w:val="22"/>
                <w:lang w:eastAsia="en-US"/>
              </w:rPr>
              <w:t>Структура</w:t>
            </w:r>
            <w:r w:rsidRPr="00A5626D">
              <w:rPr>
                <w:rFonts w:ascii="Garamond" w:hAnsi="Garamond"/>
                <w:b/>
                <w:sz w:val="22"/>
                <w:szCs w:val="22"/>
                <w:lang w:val="en-US" w:eastAsia="en-US"/>
              </w:rPr>
              <w:t xml:space="preserve"> </w:t>
            </w:r>
            <w:r w:rsidRPr="00A5626D">
              <w:rPr>
                <w:rFonts w:ascii="Garamond" w:hAnsi="Garamond"/>
                <w:b/>
                <w:sz w:val="22"/>
                <w:szCs w:val="22"/>
                <w:lang w:eastAsia="en-US"/>
              </w:rPr>
              <w:t>документа</w:t>
            </w:r>
            <w:r w:rsidRPr="00A5626D">
              <w:rPr>
                <w:rFonts w:ascii="Garamond" w:hAnsi="Garamond"/>
                <w:b/>
                <w:sz w:val="22"/>
                <w:szCs w:val="22"/>
                <w:lang w:val="en-US" w:eastAsia="en-US"/>
              </w:rPr>
              <w:t xml:space="preserve"> 60000</w:t>
            </w:r>
          </w:p>
          <w:p w14:paraId="4D0238C6" w14:textId="77777777" w:rsidR="00295C6D" w:rsidRPr="00A5626D" w:rsidRDefault="00295C6D" w:rsidP="00E31AE6">
            <w:pPr>
              <w:tabs>
                <w:tab w:val="left" w:pos="1134"/>
                <w:tab w:val="left" w:pos="7938"/>
              </w:tabs>
              <w:jc w:val="both"/>
              <w:rPr>
                <w:rFonts w:ascii="Garamond" w:eastAsia="Calibri" w:hAnsi="Garamond" w:cstheme="minorHAnsi"/>
                <w:sz w:val="22"/>
                <w:szCs w:val="22"/>
                <w:lang w:val="en-US"/>
              </w:rPr>
            </w:pPr>
          </w:p>
          <w:p w14:paraId="6948E6AF" w14:textId="77777777" w:rsidR="00295C6D" w:rsidRPr="00A5626D" w:rsidRDefault="00295C6D" w:rsidP="00E31AE6">
            <w:pPr>
              <w:tabs>
                <w:tab w:val="left" w:pos="1134"/>
                <w:tab w:val="left" w:pos="7938"/>
              </w:tabs>
              <w:ind w:firstLine="346"/>
              <w:jc w:val="both"/>
              <w:rPr>
                <w:rFonts w:ascii="Garamond" w:eastAsia="Calibri" w:hAnsi="Garamond" w:cstheme="minorHAnsi"/>
                <w:sz w:val="22"/>
                <w:szCs w:val="22"/>
                <w:lang w:val="en-US"/>
              </w:rPr>
            </w:pPr>
            <w:r w:rsidRPr="00A5626D">
              <w:rPr>
                <w:rFonts w:ascii="Garamond" w:eastAsia="Calibri" w:hAnsi="Garamond" w:cstheme="minorHAnsi"/>
                <w:sz w:val="22"/>
                <w:szCs w:val="22"/>
                <w:lang w:val="en-US"/>
              </w:rPr>
              <w:t>&lt;?xml version="1.0" encoding="Windows-1251" standalone="yes"?&gt;</w:t>
            </w:r>
          </w:p>
          <w:p w14:paraId="2CC6B0DA" w14:textId="77777777" w:rsidR="00295C6D" w:rsidRPr="00A5626D" w:rsidRDefault="00295C6D" w:rsidP="00E31AE6">
            <w:pPr>
              <w:tabs>
                <w:tab w:val="left" w:pos="1134"/>
                <w:tab w:val="left" w:pos="7938"/>
              </w:tabs>
              <w:ind w:firstLine="346"/>
              <w:jc w:val="both"/>
              <w:rPr>
                <w:rFonts w:ascii="Garamond" w:eastAsia="Calibri" w:hAnsi="Garamond" w:cstheme="minorHAnsi"/>
                <w:sz w:val="22"/>
                <w:szCs w:val="22"/>
                <w:lang w:val="en-US"/>
              </w:rPr>
            </w:pPr>
            <w:r w:rsidRPr="00A5626D">
              <w:rPr>
                <w:rFonts w:ascii="Garamond" w:eastAsia="Calibri" w:hAnsi="Garamond" w:cstheme="minorHAnsi"/>
                <w:sz w:val="22"/>
                <w:szCs w:val="22"/>
                <w:lang w:val="en-US"/>
              </w:rPr>
              <w:t>&lt;message</w:t>
            </w:r>
          </w:p>
          <w:p w14:paraId="5D7B5689" w14:textId="77777777" w:rsidR="00295C6D" w:rsidRPr="00A5626D" w:rsidRDefault="00295C6D" w:rsidP="00E31AE6">
            <w:pPr>
              <w:tabs>
                <w:tab w:val="left" w:pos="1134"/>
                <w:tab w:val="left" w:pos="7938"/>
              </w:tabs>
              <w:ind w:firstLine="346"/>
              <w:jc w:val="both"/>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class="5x"</w:t>
            </w:r>
          </w:p>
          <w:p w14:paraId="5FB3C093" w14:textId="77777777" w:rsidR="00295C6D" w:rsidRPr="00A5626D" w:rsidRDefault="00295C6D" w:rsidP="00E31AE6">
            <w:pPr>
              <w:tabs>
                <w:tab w:val="left" w:pos="1134"/>
                <w:tab w:val="left" w:pos="7938"/>
              </w:tabs>
              <w:ind w:firstLine="346"/>
              <w:jc w:val="both"/>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version="5x"</w:t>
            </w:r>
          </w:p>
          <w:p w14:paraId="0DEFBC72" w14:textId="77777777" w:rsidR="00295C6D" w:rsidRPr="00A5626D" w:rsidRDefault="00295C6D" w:rsidP="00E31AE6">
            <w:pPr>
              <w:tabs>
                <w:tab w:val="left" w:pos="1134"/>
                <w:tab w:val="left" w:pos="7938"/>
              </w:tabs>
              <w:ind w:firstLine="346"/>
              <w:jc w:val="both"/>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generationtime="YYYYMMDDhhmmssGMT+N"</w:t>
            </w:r>
          </w:p>
          <w:p w14:paraId="411D0A40" w14:textId="77777777" w:rsidR="00295C6D" w:rsidRPr="00A5626D" w:rsidRDefault="00295C6D" w:rsidP="00E31AE6">
            <w:pPr>
              <w:tabs>
                <w:tab w:val="left" w:pos="1134"/>
                <w:tab w:val="left" w:pos="7938"/>
              </w:tabs>
              <w:ind w:firstLine="346"/>
              <w:jc w:val="both"/>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checksum="64x"&gt;</w:t>
            </w:r>
          </w:p>
          <w:p w14:paraId="121F12DE" w14:textId="77777777" w:rsidR="00295C6D" w:rsidRPr="00A5626D" w:rsidRDefault="00295C6D" w:rsidP="00E31AE6">
            <w:pPr>
              <w:tabs>
                <w:tab w:val="left" w:pos="1134"/>
                <w:tab w:val="left" w:pos="7938"/>
              </w:tabs>
              <w:ind w:firstLine="346"/>
              <w:jc w:val="both"/>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&lt;body</w:t>
            </w:r>
            <w:r w:rsidRPr="00A5626D">
              <w:rPr>
                <w:rFonts w:ascii="Garamond" w:hAnsi="Garamond" w:cstheme="minorHAnsi"/>
                <w:sz w:val="22"/>
                <w:szCs w:val="22"/>
                <w:lang w:val="en-US"/>
              </w:rPr>
              <w:t xml:space="preserve"> p-</w:t>
            </w:r>
            <w:r w:rsidRPr="00A5626D">
              <w:rPr>
                <w:rFonts w:ascii="Garamond" w:eastAsia="Calibri" w:hAnsi="Garamond" w:cstheme="minorHAnsi"/>
                <w:sz w:val="22"/>
                <w:szCs w:val="22"/>
                <w:lang w:val="en-US"/>
              </w:rPr>
              <w:t>version="50x"&gt;</w:t>
            </w:r>
          </w:p>
          <w:p w14:paraId="4D238B6A" w14:textId="77777777" w:rsidR="00295C6D" w:rsidRPr="00A5626D" w:rsidRDefault="00295C6D" w:rsidP="00E31AE6">
            <w:pPr>
              <w:tabs>
                <w:tab w:val="left" w:pos="1134"/>
                <w:tab w:val="left" w:pos="7938"/>
              </w:tabs>
              <w:ind w:firstLine="346"/>
              <w:jc w:val="both"/>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&lt;dictionaries&gt;</w:t>
            </w:r>
          </w:p>
          <w:p w14:paraId="67A84742" w14:textId="77777777" w:rsidR="00295C6D" w:rsidRPr="00A5626D" w:rsidRDefault="00295C6D" w:rsidP="00E31AE6">
            <w:pPr>
              <w:tabs>
                <w:tab w:val="left" w:pos="1134"/>
                <w:tab w:val="left" w:pos="7938"/>
              </w:tabs>
              <w:ind w:firstLine="346"/>
              <w:jc w:val="both"/>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&lt;organizations&gt;</w:t>
            </w:r>
          </w:p>
          <w:p w14:paraId="3DC2A271" w14:textId="77777777" w:rsidR="00295C6D" w:rsidRPr="00A5626D" w:rsidRDefault="00295C6D" w:rsidP="00E31AE6">
            <w:pPr>
              <w:tabs>
                <w:tab w:val="left" w:pos="1134"/>
                <w:tab w:val="left" w:pos="7938"/>
              </w:tabs>
              <w:ind w:firstLine="346"/>
              <w:jc w:val="both"/>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&lt;organization </w:t>
            </w:r>
          </w:p>
          <w:p w14:paraId="6EDE9F5E" w14:textId="77777777" w:rsidR="00295C6D" w:rsidRPr="00A5626D" w:rsidRDefault="00295C6D" w:rsidP="00E31AE6">
            <w:pPr>
              <w:tabs>
                <w:tab w:val="left" w:pos="1134"/>
                <w:tab w:val="left" w:pos="7938"/>
              </w:tabs>
              <w:ind w:firstLine="346"/>
              <w:jc w:val="both"/>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id-org="1n"</w:t>
            </w:r>
          </w:p>
          <w:p w14:paraId="6D94BC93" w14:textId="77777777" w:rsidR="00295C6D" w:rsidRPr="00A5626D" w:rsidRDefault="00295C6D" w:rsidP="00E31AE6">
            <w:pPr>
              <w:tabs>
                <w:tab w:val="left" w:pos="1134"/>
                <w:tab w:val="left" w:pos="7938"/>
              </w:tabs>
              <w:ind w:firstLine="346"/>
              <w:jc w:val="both"/>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trader-code="8x"</w:t>
            </w:r>
          </w:p>
          <w:p w14:paraId="7E13551A" w14:textId="77777777" w:rsidR="00295C6D" w:rsidRPr="00A5626D" w:rsidRDefault="00295C6D" w:rsidP="00E31AE6">
            <w:pPr>
              <w:tabs>
                <w:tab w:val="left" w:pos="1134"/>
                <w:tab w:val="left" w:pos="7938"/>
              </w:tabs>
              <w:ind w:firstLine="346"/>
              <w:jc w:val="both"/>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name="250x"</w:t>
            </w:r>
          </w:p>
          <w:p w14:paraId="46B4B078" w14:textId="77777777" w:rsidR="00295C6D" w:rsidRPr="00A5626D" w:rsidRDefault="00295C6D" w:rsidP="00E31AE6">
            <w:pPr>
              <w:tabs>
                <w:tab w:val="left" w:pos="1134"/>
                <w:tab w:val="left" w:pos="7938"/>
              </w:tabs>
              <w:ind w:firstLine="346"/>
              <w:jc w:val="both"/>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phone="250x"</w:t>
            </w:r>
          </w:p>
          <w:p w14:paraId="1CE2C656" w14:textId="77777777" w:rsidR="00295C6D" w:rsidRPr="00A5626D" w:rsidRDefault="00295C6D" w:rsidP="00E31AE6">
            <w:pPr>
              <w:tabs>
                <w:tab w:val="left" w:pos="1134"/>
                <w:tab w:val="left" w:pos="7938"/>
              </w:tabs>
              <w:ind w:firstLine="346"/>
              <w:jc w:val="both"/>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fax="250x"</w:t>
            </w:r>
          </w:p>
          <w:p w14:paraId="42DF8372" w14:textId="77777777" w:rsidR="00295C6D" w:rsidRPr="00A5626D" w:rsidRDefault="00295C6D" w:rsidP="00E31AE6">
            <w:pPr>
              <w:tabs>
                <w:tab w:val="left" w:pos="1134"/>
                <w:tab w:val="left" w:pos="7938"/>
              </w:tabs>
              <w:ind w:firstLine="346"/>
              <w:jc w:val="both"/>
              <w:rPr>
                <w:rFonts w:ascii="Garamond" w:eastAsia="Calibri" w:hAnsi="Garamond" w:cstheme="minorHAnsi"/>
                <w:sz w:val="22"/>
                <w:szCs w:val="22"/>
                <w:lang w:val="en-US"/>
              </w:rPr>
            </w:pPr>
            <w:r w:rsidRPr="00A5626D">
              <w:rPr>
                <w:rFonts w:ascii="Garamond" w:eastAsia="Calibri" w:hAnsi="Garamond" w:cstheme="minorHAnsi"/>
                <w:sz w:val="22"/>
                <w:szCs w:val="22"/>
                <w:lang w:val="en-US"/>
              </w:rPr>
              <w:lastRenderedPageBreak/>
              <w:t xml:space="preserve">                e-mail="250x"</w:t>
            </w:r>
          </w:p>
          <w:p w14:paraId="13C27AB8" w14:textId="77777777" w:rsidR="00295C6D" w:rsidRPr="00A5626D" w:rsidRDefault="00295C6D" w:rsidP="00E31AE6">
            <w:pPr>
              <w:tabs>
                <w:tab w:val="left" w:pos="1134"/>
                <w:tab w:val="left" w:pos="7938"/>
              </w:tabs>
              <w:ind w:firstLine="346"/>
              <w:jc w:val="both"/>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u-address="250x"</w:t>
            </w:r>
          </w:p>
          <w:p w14:paraId="26EA9134" w14:textId="77777777" w:rsidR="00295C6D" w:rsidRPr="00A5626D" w:rsidRDefault="00295C6D" w:rsidP="00E31AE6">
            <w:pPr>
              <w:tabs>
                <w:tab w:val="left" w:pos="1134"/>
                <w:tab w:val="left" w:pos="7938"/>
              </w:tabs>
              <w:ind w:firstLine="346"/>
              <w:jc w:val="both"/>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p-address="250x"</w:t>
            </w:r>
          </w:p>
          <w:p w14:paraId="0FD13FC0" w14:textId="77777777" w:rsidR="00295C6D" w:rsidRPr="00A5626D" w:rsidRDefault="00295C6D" w:rsidP="00E31AE6">
            <w:pPr>
              <w:tabs>
                <w:tab w:val="left" w:pos="1134"/>
                <w:tab w:val="left" w:pos="7938"/>
              </w:tabs>
              <w:ind w:firstLine="346"/>
              <w:jc w:val="both"/>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contact-info="500x"&gt;</w:t>
            </w:r>
          </w:p>
          <w:p w14:paraId="698763A4" w14:textId="77777777" w:rsidR="00295C6D" w:rsidRPr="00A5626D" w:rsidRDefault="00295C6D" w:rsidP="00E31AE6">
            <w:pPr>
              <w:tabs>
                <w:tab w:val="left" w:pos="1134"/>
                <w:tab w:val="left" w:pos="7938"/>
              </w:tabs>
              <w:ind w:firstLine="346"/>
              <w:jc w:val="both"/>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&lt;/organizations&gt;</w:t>
            </w:r>
          </w:p>
          <w:p w14:paraId="0A0681F1" w14:textId="77777777" w:rsidR="00295C6D" w:rsidRPr="00A5626D" w:rsidRDefault="00295C6D" w:rsidP="00E31AE6">
            <w:pPr>
              <w:tabs>
                <w:tab w:val="left" w:pos="1134"/>
                <w:tab w:val="left" w:pos="7938"/>
              </w:tabs>
              <w:ind w:firstLine="346"/>
              <w:jc w:val="both"/>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&lt;gtps&gt;</w:t>
            </w:r>
          </w:p>
          <w:p w14:paraId="36B3BB97" w14:textId="77777777" w:rsidR="00295C6D" w:rsidRPr="00A5626D" w:rsidRDefault="00295C6D" w:rsidP="00E31AE6">
            <w:pPr>
              <w:tabs>
                <w:tab w:val="left" w:pos="1134"/>
                <w:tab w:val="left" w:pos="7938"/>
              </w:tabs>
              <w:ind w:firstLine="346"/>
              <w:jc w:val="both"/>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&lt;gtpp</w:t>
            </w:r>
          </w:p>
          <w:p w14:paraId="28305CCF" w14:textId="77777777" w:rsidR="00295C6D" w:rsidRPr="00A5626D" w:rsidRDefault="00295C6D" w:rsidP="00E31AE6">
            <w:pPr>
              <w:tabs>
                <w:tab w:val="left" w:pos="1134"/>
                <w:tab w:val="left" w:pos="7938"/>
              </w:tabs>
              <w:ind w:firstLine="346"/>
              <w:jc w:val="both"/>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id-gtp="1n"</w:t>
            </w:r>
          </w:p>
          <w:p w14:paraId="62653994" w14:textId="77777777" w:rsidR="00295C6D" w:rsidRPr="00A5626D" w:rsidRDefault="00295C6D" w:rsidP="00E31AE6">
            <w:pPr>
              <w:tabs>
                <w:tab w:val="left" w:pos="1134"/>
                <w:tab w:val="left" w:pos="7938"/>
              </w:tabs>
              <w:ind w:firstLine="346"/>
              <w:jc w:val="both"/>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id-org="1n"</w:t>
            </w:r>
          </w:p>
          <w:p w14:paraId="605ECE70" w14:textId="77777777" w:rsidR="00295C6D" w:rsidRPr="00A5626D" w:rsidRDefault="00295C6D" w:rsidP="00E31AE6">
            <w:pPr>
              <w:tabs>
                <w:tab w:val="left" w:pos="1134"/>
                <w:tab w:val="left" w:pos="7938"/>
              </w:tabs>
              <w:ind w:firstLine="346"/>
              <w:jc w:val="both"/>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gtp-code="8x"</w:t>
            </w:r>
          </w:p>
          <w:p w14:paraId="30227934" w14:textId="77777777" w:rsidR="00295C6D" w:rsidRPr="00A5626D" w:rsidRDefault="00295C6D" w:rsidP="00E31AE6">
            <w:pPr>
              <w:tabs>
                <w:tab w:val="left" w:pos="1134"/>
                <w:tab w:val="left" w:pos="7938"/>
              </w:tabs>
              <w:ind w:firstLine="346"/>
              <w:jc w:val="both"/>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gtp-name="250x"&gt;</w:t>
            </w:r>
          </w:p>
          <w:p w14:paraId="3590838D" w14:textId="77777777" w:rsidR="00295C6D" w:rsidRPr="00A5626D" w:rsidRDefault="00295C6D" w:rsidP="00E31AE6">
            <w:pPr>
              <w:tabs>
                <w:tab w:val="left" w:pos="1134"/>
                <w:tab w:val="left" w:pos="7938"/>
              </w:tabs>
              <w:ind w:firstLine="346"/>
              <w:jc w:val="both"/>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&lt;gtpg</w:t>
            </w:r>
          </w:p>
          <w:p w14:paraId="041392E4" w14:textId="77777777" w:rsidR="00295C6D" w:rsidRPr="00A5626D" w:rsidRDefault="00295C6D" w:rsidP="00E31AE6">
            <w:pPr>
              <w:tabs>
                <w:tab w:val="left" w:pos="1134"/>
                <w:tab w:val="left" w:pos="7938"/>
              </w:tabs>
              <w:ind w:firstLine="346"/>
              <w:jc w:val="both"/>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id-gtp="1n"</w:t>
            </w:r>
          </w:p>
          <w:p w14:paraId="7DF6E00F" w14:textId="77777777" w:rsidR="00295C6D" w:rsidRPr="00A5626D" w:rsidRDefault="00295C6D" w:rsidP="00E31AE6">
            <w:pPr>
              <w:tabs>
                <w:tab w:val="left" w:pos="1134"/>
                <w:tab w:val="left" w:pos="7938"/>
              </w:tabs>
              <w:ind w:firstLine="346"/>
              <w:jc w:val="both"/>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gtp-code="8x"</w:t>
            </w:r>
          </w:p>
          <w:p w14:paraId="02FE983D" w14:textId="77777777" w:rsidR="00295C6D" w:rsidRPr="00A5626D" w:rsidRDefault="00295C6D" w:rsidP="00E31AE6">
            <w:pPr>
              <w:tabs>
                <w:tab w:val="left" w:pos="1134"/>
                <w:tab w:val="left" w:pos="7938"/>
              </w:tabs>
              <w:ind w:firstLine="346"/>
              <w:jc w:val="both"/>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gtp-name="250x"/&gt;</w:t>
            </w:r>
          </w:p>
          <w:p w14:paraId="7C230824" w14:textId="77777777" w:rsidR="00295C6D" w:rsidRPr="00A5626D" w:rsidRDefault="00295C6D" w:rsidP="00E31AE6">
            <w:pPr>
              <w:tabs>
                <w:tab w:val="left" w:pos="1134"/>
                <w:tab w:val="left" w:pos="7938"/>
              </w:tabs>
              <w:ind w:firstLine="346"/>
              <w:jc w:val="both"/>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&lt;/gtpp&gt;</w:t>
            </w:r>
          </w:p>
          <w:p w14:paraId="66FC3ED2" w14:textId="77777777" w:rsidR="00295C6D" w:rsidRPr="00A5626D" w:rsidRDefault="00295C6D" w:rsidP="00E31AE6">
            <w:pPr>
              <w:tabs>
                <w:tab w:val="left" w:pos="1134"/>
                <w:tab w:val="left" w:pos="7938"/>
              </w:tabs>
              <w:ind w:firstLine="464"/>
              <w:jc w:val="both"/>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&lt;/gtps&gt;</w:t>
            </w:r>
          </w:p>
          <w:p w14:paraId="7602E4DD" w14:textId="77777777" w:rsidR="00295C6D" w:rsidRPr="00A5626D" w:rsidRDefault="00295C6D" w:rsidP="00E31AE6">
            <w:pPr>
              <w:tabs>
                <w:tab w:val="left" w:pos="1134"/>
                <w:tab w:val="left" w:pos="7938"/>
              </w:tabs>
              <w:ind w:firstLine="346"/>
              <w:jc w:val="both"/>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&lt;power-object-owners&gt;</w:t>
            </w:r>
          </w:p>
          <w:p w14:paraId="6812E5AC" w14:textId="77777777" w:rsidR="00295C6D" w:rsidRPr="00A5626D" w:rsidRDefault="00295C6D" w:rsidP="00E31AE6">
            <w:pPr>
              <w:tabs>
                <w:tab w:val="left" w:pos="1134"/>
                <w:tab w:val="left" w:pos="7938"/>
              </w:tabs>
              <w:ind w:firstLine="346"/>
              <w:jc w:val="both"/>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&lt;power-object-owner</w:t>
            </w:r>
          </w:p>
          <w:p w14:paraId="3801ED33" w14:textId="77777777" w:rsidR="00295C6D" w:rsidRPr="00A5626D" w:rsidRDefault="00295C6D" w:rsidP="00E31AE6">
            <w:pPr>
              <w:tabs>
                <w:tab w:val="left" w:pos="1134"/>
                <w:tab w:val="left" w:pos="7938"/>
              </w:tabs>
              <w:ind w:firstLine="346"/>
              <w:jc w:val="both"/>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name="250x"</w:t>
            </w:r>
          </w:p>
          <w:p w14:paraId="3CF57EB7" w14:textId="77777777" w:rsidR="00295C6D" w:rsidRPr="00A5626D" w:rsidRDefault="00295C6D" w:rsidP="00E31AE6">
            <w:pPr>
              <w:tabs>
                <w:tab w:val="left" w:pos="1134"/>
                <w:tab w:val="left" w:pos="7938"/>
              </w:tabs>
              <w:ind w:firstLine="346"/>
              <w:jc w:val="both"/>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inn="10n"</w:t>
            </w:r>
          </w:p>
          <w:p w14:paraId="310B0D5F" w14:textId="77777777" w:rsidR="00295C6D" w:rsidRPr="00A5626D" w:rsidRDefault="00295C6D" w:rsidP="00E31AE6">
            <w:pPr>
              <w:tabs>
                <w:tab w:val="left" w:pos="1134"/>
                <w:tab w:val="left" w:pos="7938"/>
              </w:tabs>
              <w:ind w:firstLine="346"/>
              <w:jc w:val="both"/>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id-power-object-owner="4n"/&gt;</w:t>
            </w:r>
          </w:p>
          <w:p w14:paraId="100CB5A7" w14:textId="77777777" w:rsidR="00295C6D" w:rsidRPr="00A5626D" w:rsidRDefault="00295C6D" w:rsidP="00E31AE6">
            <w:pPr>
              <w:tabs>
                <w:tab w:val="left" w:pos="1134"/>
                <w:tab w:val="left" w:pos="7938"/>
              </w:tabs>
              <w:ind w:firstLine="346"/>
              <w:jc w:val="both"/>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&lt;/power-object-owners&gt;</w:t>
            </w:r>
          </w:p>
          <w:p w14:paraId="52A18DBA" w14:textId="77777777" w:rsidR="00295C6D" w:rsidRPr="00A5626D" w:rsidRDefault="00295C6D" w:rsidP="00E31AE6">
            <w:pPr>
              <w:tabs>
                <w:tab w:val="left" w:pos="1134"/>
                <w:tab w:val="left" w:pos="7938"/>
              </w:tabs>
              <w:ind w:firstLine="346"/>
              <w:jc w:val="both"/>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&lt;aiises&gt;</w:t>
            </w:r>
          </w:p>
          <w:p w14:paraId="1AC6EC0B" w14:textId="77777777" w:rsidR="00295C6D" w:rsidRPr="00A5626D" w:rsidRDefault="00295C6D" w:rsidP="00E31AE6">
            <w:pPr>
              <w:tabs>
                <w:tab w:val="left" w:pos="1134"/>
                <w:tab w:val="left" w:pos="7938"/>
              </w:tabs>
              <w:ind w:firstLine="346"/>
              <w:jc w:val="both"/>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&lt;aiis</w:t>
            </w:r>
          </w:p>
          <w:p w14:paraId="5C5A22CF" w14:textId="77777777" w:rsidR="00295C6D" w:rsidRPr="00A5626D" w:rsidRDefault="00295C6D" w:rsidP="00E31AE6">
            <w:pPr>
              <w:tabs>
                <w:tab w:val="left" w:pos="1134"/>
                <w:tab w:val="left" w:pos="7938"/>
              </w:tabs>
              <w:ind w:firstLine="346"/>
              <w:jc w:val="both"/>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id-aiis="1n"</w:t>
            </w:r>
          </w:p>
          <w:p w14:paraId="08F63D9D" w14:textId="77777777" w:rsidR="00295C6D" w:rsidRPr="00A5626D" w:rsidRDefault="00295C6D" w:rsidP="00E31AE6">
            <w:pPr>
              <w:tabs>
                <w:tab w:val="left" w:pos="1134"/>
                <w:tab w:val="left" w:pos="7938"/>
              </w:tabs>
              <w:ind w:firstLine="346"/>
              <w:jc w:val="both"/>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id-gtp="1n"</w:t>
            </w:r>
          </w:p>
          <w:p w14:paraId="69A65E6A" w14:textId="77777777" w:rsidR="00295C6D" w:rsidRPr="00A5626D" w:rsidRDefault="00295C6D" w:rsidP="00E31AE6">
            <w:pPr>
              <w:tabs>
                <w:tab w:val="left" w:pos="1134"/>
                <w:tab w:val="left" w:pos="7938"/>
              </w:tabs>
              <w:ind w:firstLine="346"/>
              <w:jc w:val="both"/>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time-zone="1/3"</w:t>
            </w:r>
          </w:p>
          <w:p w14:paraId="2E80F30F" w14:textId="77777777" w:rsidR="00295C6D" w:rsidRPr="00A5626D" w:rsidRDefault="00295C6D" w:rsidP="00E31AE6">
            <w:pPr>
              <w:tabs>
                <w:tab w:val="left" w:pos="1134"/>
                <w:tab w:val="left" w:pos="7938"/>
              </w:tabs>
              <w:ind w:firstLine="346"/>
              <w:jc w:val="both"/>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ats-code="10n"/&gt;</w:t>
            </w:r>
          </w:p>
          <w:p w14:paraId="23F9452B" w14:textId="77777777" w:rsidR="00295C6D" w:rsidRPr="00A5626D" w:rsidRDefault="00295C6D" w:rsidP="00E31AE6">
            <w:pPr>
              <w:tabs>
                <w:tab w:val="left" w:pos="1134"/>
                <w:tab w:val="left" w:pos="7938"/>
              </w:tabs>
              <w:ind w:firstLine="346"/>
              <w:jc w:val="both"/>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&lt;/aiises&gt;</w:t>
            </w:r>
          </w:p>
          <w:p w14:paraId="2CDF375F" w14:textId="77777777" w:rsidR="00295C6D" w:rsidRPr="00A5626D" w:rsidRDefault="00295C6D" w:rsidP="00E31AE6">
            <w:pPr>
              <w:tabs>
                <w:tab w:val="left" w:pos="1134"/>
                <w:tab w:val="left" w:pos="7938"/>
              </w:tabs>
              <w:ind w:firstLine="346"/>
              <w:jc w:val="both"/>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&lt;power-objects</w:t>
            </w:r>
          </w:p>
          <w:p w14:paraId="0A5C0C8F" w14:textId="77777777" w:rsidR="00295C6D" w:rsidRPr="00A5626D" w:rsidRDefault="00295C6D" w:rsidP="00E31AE6">
            <w:pPr>
              <w:tabs>
                <w:tab w:val="left" w:pos="1134"/>
                <w:tab w:val="left" w:pos="7938"/>
              </w:tabs>
              <w:ind w:firstLine="346"/>
              <w:jc w:val="both"/>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base-file-name ="250x"</w:t>
            </w:r>
          </w:p>
          <w:p w14:paraId="085A83A6" w14:textId="77777777" w:rsidR="00295C6D" w:rsidRPr="00A5626D" w:rsidRDefault="00295C6D" w:rsidP="00E31AE6">
            <w:pPr>
              <w:tabs>
                <w:tab w:val="left" w:pos="1134"/>
                <w:tab w:val="left" w:pos="7938"/>
              </w:tabs>
              <w:ind w:firstLine="346"/>
              <w:jc w:val="both"/>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base-file-hash="64n"&gt;</w:t>
            </w:r>
          </w:p>
          <w:p w14:paraId="1379258A" w14:textId="77777777" w:rsidR="00295C6D" w:rsidRPr="00A5626D" w:rsidRDefault="00295C6D" w:rsidP="00E31AE6">
            <w:pPr>
              <w:tabs>
                <w:tab w:val="left" w:pos="1134"/>
                <w:tab w:val="left" w:pos="7938"/>
              </w:tabs>
              <w:ind w:firstLine="346"/>
              <w:jc w:val="both"/>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&lt;power-object</w:t>
            </w:r>
          </w:p>
          <w:p w14:paraId="29A1D562" w14:textId="77777777" w:rsidR="00295C6D" w:rsidRPr="00A5626D" w:rsidRDefault="00295C6D" w:rsidP="00E31AE6">
            <w:pPr>
              <w:tabs>
                <w:tab w:val="left" w:pos="1134"/>
                <w:tab w:val="left" w:pos="7938"/>
              </w:tabs>
              <w:ind w:firstLine="346"/>
              <w:jc w:val="both"/>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id-power-object="4n"</w:t>
            </w:r>
          </w:p>
          <w:p w14:paraId="4083D78F" w14:textId="77777777" w:rsidR="00295C6D" w:rsidRPr="00A5626D" w:rsidRDefault="00295C6D" w:rsidP="00E31AE6">
            <w:pPr>
              <w:tabs>
                <w:tab w:val="left" w:pos="1134"/>
                <w:tab w:val="left" w:pos="7938"/>
              </w:tabs>
              <w:ind w:firstLine="346"/>
              <w:jc w:val="both"/>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guid="36x"</w:t>
            </w:r>
          </w:p>
          <w:p w14:paraId="1CF16351" w14:textId="77777777" w:rsidR="00295C6D" w:rsidRPr="00A5626D" w:rsidRDefault="00295C6D" w:rsidP="00E31AE6">
            <w:pPr>
              <w:tabs>
                <w:tab w:val="left" w:pos="1134"/>
                <w:tab w:val="left" w:pos="7938"/>
              </w:tabs>
              <w:ind w:firstLine="346"/>
              <w:jc w:val="both"/>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ats-code="9n"</w:t>
            </w:r>
          </w:p>
          <w:p w14:paraId="737BD026" w14:textId="77777777" w:rsidR="00295C6D" w:rsidRPr="00A5626D" w:rsidRDefault="00295C6D" w:rsidP="00E31AE6">
            <w:pPr>
              <w:tabs>
                <w:tab w:val="left" w:pos="1134"/>
                <w:tab w:val="left" w:pos="7938"/>
              </w:tabs>
              <w:ind w:firstLine="346"/>
              <w:jc w:val="both"/>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name="512x"</w:t>
            </w:r>
          </w:p>
          <w:p w14:paraId="6FED24B5" w14:textId="77777777" w:rsidR="00295C6D" w:rsidRPr="00A5626D" w:rsidRDefault="00295C6D" w:rsidP="00E31AE6">
            <w:pPr>
              <w:tabs>
                <w:tab w:val="left" w:pos="1134"/>
                <w:tab w:val="left" w:pos="7938"/>
              </w:tabs>
              <w:ind w:firstLine="346"/>
              <w:jc w:val="both"/>
              <w:rPr>
                <w:rFonts w:ascii="Garamond" w:eastAsia="Calibri" w:hAnsi="Garamond" w:cstheme="minorHAnsi"/>
                <w:sz w:val="22"/>
                <w:szCs w:val="22"/>
                <w:lang w:val="en-US"/>
              </w:rPr>
            </w:pPr>
            <w:r w:rsidRPr="00A5626D">
              <w:rPr>
                <w:rFonts w:ascii="Garamond" w:eastAsia="Calibri" w:hAnsi="Garamond" w:cstheme="minorHAnsi"/>
                <w:sz w:val="22"/>
                <w:szCs w:val="22"/>
                <w:lang w:val="en-US"/>
              </w:rPr>
              <w:lastRenderedPageBreak/>
              <w:t xml:space="preserve">                    type="1/2/3/4/5/6"</w:t>
            </w:r>
          </w:p>
          <w:p w14:paraId="77A62AF6" w14:textId="77777777" w:rsidR="00295C6D" w:rsidRPr="00A5626D" w:rsidRDefault="00295C6D" w:rsidP="00E31AE6">
            <w:pPr>
              <w:tabs>
                <w:tab w:val="left" w:pos="1134"/>
                <w:tab w:val="left" w:pos="7938"/>
              </w:tabs>
              <w:ind w:firstLine="346"/>
              <w:jc w:val="both"/>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w:t>
            </w:r>
            <w:r w:rsidRPr="00A5626D">
              <w:rPr>
                <w:rFonts w:ascii="Garamond" w:hAnsi="Garamond" w:cstheme="minorHAnsi"/>
                <w:sz w:val="22"/>
                <w:szCs w:val="22"/>
                <w:lang w:val="en-US"/>
              </w:rPr>
              <w:t>is-power-center</w:t>
            </w:r>
            <w:r w:rsidRPr="00A5626D">
              <w:rPr>
                <w:rFonts w:ascii="Garamond" w:eastAsia="Calibri" w:hAnsi="Garamond" w:cstheme="minorHAnsi"/>
                <w:sz w:val="22"/>
                <w:szCs w:val="22"/>
                <w:lang w:val="en-US"/>
              </w:rPr>
              <w:t>="true/false"&gt;</w:t>
            </w:r>
          </w:p>
          <w:p w14:paraId="3CCB1F45" w14:textId="77777777" w:rsidR="00295C6D" w:rsidRPr="00A5626D" w:rsidRDefault="00295C6D" w:rsidP="00E31AE6">
            <w:pPr>
              <w:tabs>
                <w:tab w:val="left" w:pos="1134"/>
                <w:tab w:val="left" w:pos="7938"/>
              </w:tabs>
              <w:ind w:firstLine="346"/>
              <w:jc w:val="both"/>
              <w:rPr>
                <w:rFonts w:ascii="Garamond" w:hAnsi="Garamond" w:cstheme="minorHAnsi"/>
                <w:sz w:val="22"/>
                <w:szCs w:val="22"/>
                <w:lang w:val="en-US"/>
              </w:rPr>
            </w:pPr>
            <w:r w:rsidRPr="00A5626D">
              <w:rPr>
                <w:rFonts w:ascii="Garamond" w:hAnsi="Garamond" w:cstheme="minorHAnsi"/>
                <w:sz w:val="22"/>
                <w:szCs w:val="22"/>
                <w:lang w:val="en-US"/>
              </w:rPr>
              <w:t xml:space="preserve">        &lt;voltage-levels&gt;</w:t>
            </w:r>
          </w:p>
          <w:p w14:paraId="577B764D" w14:textId="77777777" w:rsidR="00295C6D" w:rsidRPr="00A5626D" w:rsidRDefault="00295C6D" w:rsidP="00E31AE6">
            <w:pPr>
              <w:tabs>
                <w:tab w:val="left" w:pos="1134"/>
                <w:tab w:val="left" w:pos="7938"/>
              </w:tabs>
              <w:ind w:firstLine="346"/>
              <w:jc w:val="both"/>
              <w:rPr>
                <w:rFonts w:ascii="Garamond" w:hAnsi="Garamond" w:cstheme="minorHAnsi"/>
                <w:sz w:val="22"/>
                <w:szCs w:val="22"/>
                <w:lang w:val="en-US"/>
              </w:rPr>
            </w:pPr>
            <w:r w:rsidRPr="00A5626D">
              <w:rPr>
                <w:rFonts w:ascii="Garamond" w:hAnsi="Garamond" w:cstheme="minorHAnsi"/>
                <w:sz w:val="22"/>
                <w:szCs w:val="22"/>
                <w:lang w:val="en-US"/>
              </w:rPr>
              <w:t>&lt;voltage-level voltage</w:t>
            </w:r>
            <w:r w:rsidRPr="00A5626D">
              <w:rPr>
                <w:rFonts w:ascii="Garamond" w:eastAsia="Calibri" w:hAnsi="Garamond" w:cstheme="minorHAnsi"/>
                <w:sz w:val="22"/>
                <w:szCs w:val="22"/>
                <w:lang w:val="en-US"/>
              </w:rPr>
              <w:t>="10n"/&gt;</w:t>
            </w:r>
          </w:p>
          <w:p w14:paraId="367658D1" w14:textId="77777777" w:rsidR="00295C6D" w:rsidRPr="00A5626D" w:rsidRDefault="00295C6D" w:rsidP="00E31AE6">
            <w:pPr>
              <w:tabs>
                <w:tab w:val="left" w:pos="1134"/>
                <w:tab w:val="left" w:pos="7938"/>
              </w:tabs>
              <w:ind w:firstLine="346"/>
              <w:jc w:val="both"/>
              <w:rPr>
                <w:rFonts w:ascii="Garamond" w:hAnsi="Garamond" w:cstheme="minorHAnsi"/>
                <w:sz w:val="22"/>
                <w:szCs w:val="22"/>
                <w:lang w:val="en-US"/>
              </w:rPr>
            </w:pPr>
            <w:r w:rsidRPr="00A5626D">
              <w:rPr>
                <w:rFonts w:ascii="Garamond" w:hAnsi="Garamond" w:cstheme="minorHAnsi"/>
                <w:sz w:val="22"/>
                <w:szCs w:val="22"/>
                <w:lang w:val="en-US"/>
              </w:rPr>
              <w:t xml:space="preserve">        &lt;/voltage-levels&gt;</w:t>
            </w:r>
          </w:p>
          <w:p w14:paraId="753A1287" w14:textId="77777777" w:rsidR="00295C6D" w:rsidRPr="00A5626D" w:rsidRDefault="00295C6D" w:rsidP="00E31AE6">
            <w:pPr>
              <w:tabs>
                <w:tab w:val="left" w:pos="1134"/>
                <w:tab w:val="left" w:pos="7938"/>
              </w:tabs>
              <w:ind w:firstLine="346"/>
              <w:jc w:val="both"/>
              <w:rPr>
                <w:rFonts w:ascii="Garamond" w:eastAsia="Calibri" w:hAnsi="Garamond" w:cstheme="minorHAnsi"/>
                <w:sz w:val="22"/>
                <w:szCs w:val="22"/>
                <w:lang w:val="en-US"/>
              </w:rPr>
            </w:pPr>
            <w:r w:rsidRPr="00A5626D">
              <w:rPr>
                <w:rFonts w:ascii="Garamond" w:hAnsi="Garamond" w:cstheme="minorHAnsi"/>
                <w:sz w:val="22"/>
                <w:szCs w:val="22"/>
                <w:lang w:val="en-US"/>
              </w:rPr>
              <w:t xml:space="preserve">  </w:t>
            </w:r>
            <w:r w:rsidRPr="00A5626D">
              <w:rPr>
                <w:rFonts w:ascii="Garamond" w:hAnsi="Garamond" w:cstheme="minorHAnsi"/>
                <w:sz w:val="22"/>
                <w:szCs w:val="22"/>
                <w:lang w:val="en-US"/>
              </w:rPr>
              <w:tab/>
              <w:t xml:space="preserve">  &lt;/power-object&gt;</w:t>
            </w:r>
          </w:p>
          <w:p w14:paraId="4FE5C59F" w14:textId="77777777" w:rsidR="00295C6D" w:rsidRPr="00A5626D" w:rsidRDefault="00295C6D" w:rsidP="00E31AE6">
            <w:pPr>
              <w:tabs>
                <w:tab w:val="left" w:pos="1134"/>
                <w:tab w:val="left" w:pos="7938"/>
              </w:tabs>
              <w:ind w:firstLine="346"/>
              <w:jc w:val="both"/>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&lt;/power-objects&gt;</w:t>
            </w:r>
          </w:p>
          <w:p w14:paraId="3CDB32EA" w14:textId="77777777" w:rsidR="00295C6D" w:rsidRPr="00A5626D" w:rsidRDefault="00295C6D" w:rsidP="00E31AE6">
            <w:pPr>
              <w:tabs>
                <w:tab w:val="left" w:pos="1134"/>
                <w:tab w:val="left" w:pos="7938"/>
              </w:tabs>
              <w:ind w:firstLine="346"/>
              <w:jc w:val="both"/>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&lt;delivery-points&gt;</w:t>
            </w:r>
          </w:p>
          <w:p w14:paraId="403CFFCB" w14:textId="77777777" w:rsidR="00295C6D" w:rsidRPr="00A5626D" w:rsidRDefault="00295C6D" w:rsidP="00E31AE6">
            <w:pPr>
              <w:tabs>
                <w:tab w:val="left" w:pos="1134"/>
                <w:tab w:val="left" w:pos="7938"/>
              </w:tabs>
              <w:ind w:firstLine="346"/>
              <w:jc w:val="both"/>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&lt;delivery-point </w:t>
            </w:r>
          </w:p>
          <w:p w14:paraId="7F2DDED7" w14:textId="77777777" w:rsidR="00295C6D" w:rsidRPr="00A5626D" w:rsidRDefault="00295C6D" w:rsidP="00E31AE6">
            <w:pPr>
              <w:tabs>
                <w:tab w:val="left" w:pos="1134"/>
                <w:tab w:val="left" w:pos="7938"/>
              </w:tabs>
              <w:ind w:firstLine="346"/>
              <w:jc w:val="both"/>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id-delivery-point="4n"</w:t>
            </w:r>
          </w:p>
          <w:p w14:paraId="1DCAE4FB" w14:textId="77777777" w:rsidR="00295C6D" w:rsidRPr="00A5626D" w:rsidRDefault="00295C6D" w:rsidP="00E31AE6">
            <w:pPr>
              <w:tabs>
                <w:tab w:val="left" w:pos="1134"/>
                <w:tab w:val="left" w:pos="7938"/>
              </w:tabs>
              <w:ind w:firstLine="346"/>
              <w:jc w:val="both"/>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guid="36x"</w:t>
            </w:r>
          </w:p>
          <w:p w14:paraId="0BBF22DD" w14:textId="77777777" w:rsidR="00295C6D" w:rsidRPr="00A5626D" w:rsidRDefault="00295C6D" w:rsidP="00E31AE6">
            <w:pPr>
              <w:tabs>
                <w:tab w:val="left" w:pos="1134"/>
                <w:tab w:val="left" w:pos="7938"/>
              </w:tabs>
              <w:ind w:firstLine="346"/>
              <w:jc w:val="both"/>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is-group-delivery-point=" true/false"</w:t>
            </w:r>
          </w:p>
          <w:p w14:paraId="3EA93C2C" w14:textId="77777777" w:rsidR="00295C6D" w:rsidRPr="00A5626D" w:rsidRDefault="00295C6D" w:rsidP="00E31AE6">
            <w:pPr>
              <w:tabs>
                <w:tab w:val="left" w:pos="1134"/>
                <w:tab w:val="left" w:pos="7938"/>
              </w:tabs>
              <w:ind w:firstLine="346"/>
              <w:jc w:val="both"/>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is-for-coding=" true/false"</w:t>
            </w:r>
          </w:p>
          <w:p w14:paraId="7D762D30" w14:textId="77777777" w:rsidR="00295C6D" w:rsidRPr="00A5626D" w:rsidRDefault="00295C6D" w:rsidP="00E31AE6">
            <w:pPr>
              <w:tabs>
                <w:tab w:val="left" w:pos="1134"/>
                <w:tab w:val="left" w:pos="7938"/>
              </w:tabs>
              <w:ind w:firstLine="346"/>
              <w:jc w:val="both"/>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ats-code="15n"</w:t>
            </w:r>
          </w:p>
          <w:p w14:paraId="39B07609" w14:textId="77777777" w:rsidR="00295C6D" w:rsidRPr="00A5626D" w:rsidRDefault="00295C6D" w:rsidP="00E31AE6">
            <w:pPr>
              <w:tabs>
                <w:tab w:val="left" w:pos="1134"/>
                <w:tab w:val="left" w:pos="7938"/>
              </w:tabs>
              <w:ind w:firstLine="346"/>
              <w:jc w:val="both"/>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composite-name="512x"</w:t>
            </w:r>
          </w:p>
          <w:p w14:paraId="41AD0AD1" w14:textId="77777777" w:rsidR="00295C6D" w:rsidRPr="00A5626D" w:rsidRDefault="00295C6D" w:rsidP="00E31AE6">
            <w:pPr>
              <w:tabs>
                <w:tab w:val="left" w:pos="1134"/>
                <w:tab w:val="left" w:pos="7938"/>
              </w:tabs>
              <w:ind w:firstLine="346"/>
              <w:jc w:val="both"/>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id-power-object="4n"</w:t>
            </w:r>
          </w:p>
          <w:p w14:paraId="2684BBB5" w14:textId="77777777" w:rsidR="00295C6D" w:rsidRPr="00A5626D" w:rsidRDefault="00295C6D" w:rsidP="00E31AE6">
            <w:pPr>
              <w:tabs>
                <w:tab w:val="left" w:pos="1134"/>
                <w:tab w:val="left" w:pos="7938"/>
              </w:tabs>
              <w:ind w:firstLine="346"/>
              <w:jc w:val="both"/>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method="250x"</w:t>
            </w:r>
          </w:p>
          <w:p w14:paraId="4D21E90B" w14:textId="77777777" w:rsidR="00295C6D" w:rsidRPr="00A5626D" w:rsidRDefault="00295C6D" w:rsidP="00E31AE6">
            <w:pPr>
              <w:tabs>
                <w:tab w:val="left" w:pos="1134"/>
                <w:tab w:val="left" w:pos="7938"/>
              </w:tabs>
              <w:ind w:firstLine="346"/>
              <w:jc w:val="both"/>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schemanum="10x"</w:t>
            </w:r>
          </w:p>
          <w:p w14:paraId="28F6201E" w14:textId="77777777" w:rsidR="00295C6D" w:rsidRPr="00A5626D" w:rsidRDefault="00295C6D" w:rsidP="00E31AE6">
            <w:pPr>
              <w:tabs>
                <w:tab w:val="left" w:pos="1134"/>
                <w:tab w:val="left" w:pos="7938"/>
              </w:tabs>
              <w:ind w:firstLine="346"/>
              <w:jc w:val="both"/>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power="10n"</w:t>
            </w:r>
          </w:p>
          <w:p w14:paraId="053ADF91" w14:textId="77777777" w:rsidR="00295C6D" w:rsidRPr="00A5626D" w:rsidRDefault="00295C6D" w:rsidP="00E31AE6">
            <w:pPr>
              <w:tabs>
                <w:tab w:val="left" w:pos="1134"/>
                <w:tab w:val="left" w:pos="7938"/>
              </w:tabs>
              <w:ind w:firstLine="346"/>
              <w:jc w:val="both"/>
              <w:rPr>
                <w:rFonts w:ascii="Garamond" w:hAnsi="Garamond" w:cstheme="minorHAnsi"/>
                <w:sz w:val="22"/>
                <w:szCs w:val="22"/>
                <w:lang w:val="en-US"/>
              </w:rPr>
            </w:pPr>
            <w:r w:rsidRPr="00A5626D">
              <w:rPr>
                <w:rFonts w:ascii="Garamond" w:eastAsia="Calibri" w:hAnsi="Garamond" w:cstheme="minorHAnsi"/>
                <w:sz w:val="22"/>
                <w:szCs w:val="22"/>
                <w:lang w:val="en-US"/>
              </w:rPr>
              <w:t xml:space="preserve">                    point-voltage="10n"&gt;</w:t>
            </w:r>
          </w:p>
          <w:p w14:paraId="3E9F67C9" w14:textId="77777777" w:rsidR="00295C6D" w:rsidRPr="00A5626D" w:rsidRDefault="00295C6D" w:rsidP="00E31AE6">
            <w:pPr>
              <w:tabs>
                <w:tab w:val="left" w:pos="1134"/>
                <w:tab w:val="left" w:pos="7938"/>
              </w:tabs>
              <w:ind w:firstLine="346"/>
              <w:jc w:val="both"/>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&lt;name </w:t>
            </w:r>
          </w:p>
          <w:p w14:paraId="045D6702" w14:textId="77777777" w:rsidR="00295C6D" w:rsidRPr="00A5626D" w:rsidRDefault="00295C6D" w:rsidP="00E31AE6">
            <w:pPr>
              <w:tabs>
                <w:tab w:val="left" w:pos="1134"/>
                <w:tab w:val="left" w:pos="7938"/>
              </w:tabs>
              <w:ind w:firstLine="346"/>
              <w:jc w:val="both"/>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power-object-name="250x"</w:t>
            </w:r>
          </w:p>
          <w:p w14:paraId="0E457B2A" w14:textId="77777777" w:rsidR="00295C6D" w:rsidRPr="00A5626D" w:rsidRDefault="00295C6D" w:rsidP="00E31AE6">
            <w:pPr>
              <w:tabs>
                <w:tab w:val="left" w:pos="1134"/>
                <w:tab w:val="left" w:pos="7938"/>
              </w:tabs>
              <w:ind w:firstLine="346"/>
              <w:jc w:val="both"/>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connection-name="250x"</w:t>
            </w:r>
          </w:p>
          <w:p w14:paraId="1A92C005" w14:textId="77777777" w:rsidR="00295C6D" w:rsidRPr="00A5626D" w:rsidRDefault="00295C6D" w:rsidP="00E31AE6">
            <w:pPr>
              <w:tabs>
                <w:tab w:val="left" w:pos="1134"/>
                <w:tab w:val="left" w:pos="7938"/>
              </w:tabs>
              <w:ind w:firstLine="346"/>
              <w:jc w:val="both"/>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location-description="250x"/&gt;</w:t>
            </w:r>
          </w:p>
          <w:p w14:paraId="0ADD376B" w14:textId="77777777" w:rsidR="00295C6D" w:rsidRPr="00A5626D" w:rsidRDefault="00295C6D" w:rsidP="00E31AE6">
            <w:pPr>
              <w:tabs>
                <w:tab w:val="left" w:pos="1134"/>
                <w:tab w:val="left" w:pos="7938"/>
              </w:tabs>
              <w:ind w:firstLine="346"/>
              <w:jc w:val="both"/>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&lt;comment&gt;</w:t>
            </w:r>
          </w:p>
          <w:p w14:paraId="63A3AECE" w14:textId="77777777" w:rsidR="00295C6D" w:rsidRPr="00A5626D" w:rsidRDefault="00295C6D" w:rsidP="00E31AE6">
            <w:pPr>
              <w:tabs>
                <w:tab w:val="left" w:pos="1134"/>
                <w:tab w:val="left" w:pos="7938"/>
              </w:tabs>
              <w:ind w:firstLine="346"/>
              <w:jc w:val="both"/>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&lt;![CDATA[…]]&gt;</w:t>
            </w:r>
          </w:p>
          <w:p w14:paraId="1975F1C0" w14:textId="77777777" w:rsidR="00295C6D" w:rsidRPr="00A5626D" w:rsidRDefault="00295C6D" w:rsidP="00E31AE6">
            <w:pPr>
              <w:tabs>
                <w:tab w:val="left" w:pos="1134"/>
                <w:tab w:val="left" w:pos="7938"/>
              </w:tabs>
              <w:ind w:firstLine="346"/>
              <w:jc w:val="both"/>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&lt;/comment&gt;</w:t>
            </w:r>
          </w:p>
          <w:p w14:paraId="5CC80F37" w14:textId="77777777" w:rsidR="00295C6D" w:rsidRPr="00A5626D" w:rsidRDefault="00295C6D" w:rsidP="00E31AE6">
            <w:pPr>
              <w:tabs>
                <w:tab w:val="left" w:pos="1134"/>
                <w:tab w:val="left" w:pos="7938"/>
              </w:tabs>
              <w:ind w:firstLine="346"/>
              <w:jc w:val="both"/>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&lt;/delivery-point&gt;</w:t>
            </w:r>
          </w:p>
          <w:p w14:paraId="01FCA13A" w14:textId="77777777" w:rsidR="00295C6D" w:rsidRPr="00A5626D" w:rsidRDefault="00295C6D" w:rsidP="00E31AE6">
            <w:pPr>
              <w:tabs>
                <w:tab w:val="left" w:pos="1134"/>
                <w:tab w:val="left" w:pos="7938"/>
              </w:tabs>
              <w:ind w:firstLine="346"/>
              <w:jc w:val="both"/>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&lt;/delivery-points&gt;</w:t>
            </w:r>
          </w:p>
          <w:p w14:paraId="53C1E54B" w14:textId="77777777" w:rsidR="00295C6D" w:rsidRPr="00A5626D" w:rsidRDefault="00295C6D" w:rsidP="00E31AE6">
            <w:pPr>
              <w:tabs>
                <w:tab w:val="left" w:pos="1134"/>
                <w:tab w:val="left" w:pos="7938"/>
              </w:tabs>
              <w:ind w:firstLine="346"/>
              <w:jc w:val="both"/>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&lt;measuring-device-modifications </w:t>
            </w:r>
          </w:p>
          <w:p w14:paraId="50864311" w14:textId="77777777" w:rsidR="00295C6D" w:rsidRPr="00A5626D" w:rsidRDefault="00295C6D" w:rsidP="00E31AE6">
            <w:pPr>
              <w:tabs>
                <w:tab w:val="left" w:pos="1134"/>
                <w:tab w:val="left" w:pos="7938"/>
              </w:tabs>
              <w:ind w:firstLine="346"/>
              <w:jc w:val="both"/>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base-file-name="250x"</w:t>
            </w:r>
          </w:p>
          <w:p w14:paraId="49C7C555" w14:textId="77777777" w:rsidR="00295C6D" w:rsidRPr="00A5626D" w:rsidRDefault="00295C6D" w:rsidP="00E31AE6">
            <w:pPr>
              <w:tabs>
                <w:tab w:val="left" w:pos="1134"/>
                <w:tab w:val="left" w:pos="7938"/>
              </w:tabs>
              <w:ind w:firstLine="346"/>
              <w:jc w:val="both"/>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base-file-hash="64n"&gt;</w:t>
            </w:r>
          </w:p>
          <w:p w14:paraId="0FEA25C6" w14:textId="77777777" w:rsidR="00295C6D" w:rsidRPr="00A5626D" w:rsidRDefault="00295C6D" w:rsidP="00E31AE6">
            <w:pPr>
              <w:tabs>
                <w:tab w:val="left" w:pos="1134"/>
                <w:tab w:val="left" w:pos="7938"/>
              </w:tabs>
              <w:ind w:firstLine="346"/>
              <w:jc w:val="both"/>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&lt;measuring-device-modification</w:t>
            </w:r>
          </w:p>
          <w:p w14:paraId="24B7D2E1" w14:textId="77777777" w:rsidR="00295C6D" w:rsidRPr="00A5626D" w:rsidRDefault="00295C6D" w:rsidP="00E31AE6">
            <w:pPr>
              <w:tabs>
                <w:tab w:val="left" w:pos="1134"/>
                <w:tab w:val="left" w:pos="7938"/>
              </w:tabs>
              <w:ind w:firstLine="346"/>
              <w:jc w:val="both"/>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id-device-modification="4n"</w:t>
            </w:r>
          </w:p>
          <w:p w14:paraId="3B21D330" w14:textId="77777777" w:rsidR="00295C6D" w:rsidRPr="00A5626D" w:rsidRDefault="00295C6D" w:rsidP="00E31AE6">
            <w:pPr>
              <w:tabs>
                <w:tab w:val="left" w:pos="1134"/>
                <w:tab w:val="left" w:pos="7938"/>
              </w:tabs>
              <w:ind w:firstLine="346"/>
              <w:jc w:val="both"/>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ats-code="32x"</w:t>
            </w:r>
          </w:p>
          <w:p w14:paraId="1BAF9CED" w14:textId="77777777" w:rsidR="00295C6D" w:rsidRPr="00A5626D" w:rsidRDefault="00295C6D" w:rsidP="00E31AE6">
            <w:pPr>
              <w:tabs>
                <w:tab w:val="left" w:pos="1134"/>
                <w:tab w:val="left" w:pos="7938"/>
              </w:tabs>
              <w:ind w:firstLine="346"/>
              <w:jc w:val="both"/>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device-modification-name="80x"/&gt; </w:t>
            </w:r>
          </w:p>
          <w:p w14:paraId="3B23E453" w14:textId="77777777" w:rsidR="00295C6D" w:rsidRPr="00A5626D" w:rsidRDefault="00295C6D" w:rsidP="00E31AE6">
            <w:pPr>
              <w:tabs>
                <w:tab w:val="left" w:pos="1134"/>
                <w:tab w:val="left" w:pos="7938"/>
              </w:tabs>
              <w:ind w:firstLine="346"/>
              <w:jc w:val="both"/>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&lt;/measuring-device-modifications&gt;</w:t>
            </w:r>
          </w:p>
          <w:p w14:paraId="6AFB0EC7" w14:textId="77777777" w:rsidR="00295C6D" w:rsidRPr="00A5626D" w:rsidRDefault="00295C6D" w:rsidP="00E31AE6">
            <w:pPr>
              <w:tabs>
                <w:tab w:val="left" w:pos="1134"/>
                <w:tab w:val="left" w:pos="7938"/>
              </w:tabs>
              <w:ind w:firstLine="346"/>
              <w:jc w:val="both"/>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&lt;measuring-points&gt;</w:t>
            </w:r>
          </w:p>
          <w:p w14:paraId="3C72E533" w14:textId="77777777" w:rsidR="00295C6D" w:rsidRPr="00A5626D" w:rsidRDefault="00295C6D" w:rsidP="00E31AE6">
            <w:pPr>
              <w:tabs>
                <w:tab w:val="left" w:pos="1134"/>
                <w:tab w:val="left" w:pos="7938"/>
              </w:tabs>
              <w:ind w:firstLine="346"/>
              <w:jc w:val="both"/>
              <w:rPr>
                <w:rFonts w:ascii="Garamond" w:eastAsia="Calibri" w:hAnsi="Garamond" w:cstheme="minorHAnsi"/>
                <w:sz w:val="22"/>
                <w:szCs w:val="22"/>
                <w:lang w:val="en-US"/>
              </w:rPr>
            </w:pPr>
            <w:r w:rsidRPr="00A5626D">
              <w:rPr>
                <w:rFonts w:ascii="Garamond" w:eastAsia="Calibri" w:hAnsi="Garamond" w:cstheme="minorHAnsi"/>
                <w:sz w:val="22"/>
                <w:szCs w:val="22"/>
                <w:lang w:val="en-US"/>
              </w:rPr>
              <w:lastRenderedPageBreak/>
              <w:t xml:space="preserve">                &lt;measuring-point</w:t>
            </w:r>
          </w:p>
          <w:p w14:paraId="1ECFA794" w14:textId="77777777" w:rsidR="00295C6D" w:rsidRPr="00A5626D" w:rsidRDefault="00295C6D" w:rsidP="00E31AE6">
            <w:pPr>
              <w:tabs>
                <w:tab w:val="left" w:pos="1134"/>
                <w:tab w:val="left" w:pos="7938"/>
              </w:tabs>
              <w:ind w:firstLine="346"/>
              <w:jc w:val="both"/>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id-measuring-point="4n" </w:t>
            </w:r>
          </w:p>
          <w:p w14:paraId="1F5C8846" w14:textId="77777777" w:rsidR="00295C6D" w:rsidRPr="00A5626D" w:rsidRDefault="00295C6D" w:rsidP="00E31AE6">
            <w:pPr>
              <w:tabs>
                <w:tab w:val="left" w:pos="1134"/>
                <w:tab w:val="left" w:pos="7938"/>
              </w:tabs>
              <w:ind w:firstLine="346"/>
              <w:jc w:val="both"/>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guid="36x"</w:t>
            </w:r>
          </w:p>
          <w:p w14:paraId="3BE49F0D" w14:textId="77777777" w:rsidR="00295C6D" w:rsidRPr="00A5626D" w:rsidRDefault="00295C6D" w:rsidP="00E31AE6">
            <w:pPr>
              <w:tabs>
                <w:tab w:val="left" w:pos="1134"/>
                <w:tab w:val="left" w:pos="7938"/>
              </w:tabs>
              <w:ind w:firstLine="346"/>
              <w:jc w:val="both"/>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schemanum="10x" </w:t>
            </w:r>
          </w:p>
          <w:p w14:paraId="4CB68359" w14:textId="77777777" w:rsidR="00295C6D" w:rsidRPr="00A5626D" w:rsidRDefault="00295C6D" w:rsidP="00E31AE6">
            <w:pPr>
              <w:tabs>
                <w:tab w:val="left" w:pos="1134"/>
                <w:tab w:val="left" w:pos="7938"/>
              </w:tabs>
              <w:ind w:firstLine="346"/>
              <w:jc w:val="both"/>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ats-code="15n"</w:t>
            </w:r>
          </w:p>
          <w:p w14:paraId="10D9CE11" w14:textId="77777777" w:rsidR="00295C6D" w:rsidRPr="00A5626D" w:rsidRDefault="00295C6D" w:rsidP="00E31AE6">
            <w:pPr>
              <w:tabs>
                <w:tab w:val="left" w:pos="1134"/>
                <w:tab w:val="left" w:pos="7938"/>
              </w:tabs>
              <w:ind w:firstLine="346"/>
              <w:jc w:val="both"/>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id-power-object="4n"</w:t>
            </w:r>
          </w:p>
          <w:p w14:paraId="0EC328C3" w14:textId="77777777" w:rsidR="00295C6D" w:rsidRPr="00A5626D" w:rsidRDefault="00295C6D" w:rsidP="00E31AE6">
            <w:pPr>
              <w:tabs>
                <w:tab w:val="left" w:pos="1134"/>
                <w:tab w:val="left" w:pos="7938"/>
              </w:tabs>
              <w:ind w:firstLine="346"/>
              <w:jc w:val="both"/>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id-gtp="1n"  </w:t>
            </w:r>
          </w:p>
          <w:p w14:paraId="6FFF785C" w14:textId="77777777" w:rsidR="00295C6D" w:rsidRPr="00A5626D" w:rsidRDefault="00295C6D" w:rsidP="00E31AE6">
            <w:pPr>
              <w:tabs>
                <w:tab w:val="left" w:pos="1134"/>
                <w:tab w:val="left" w:pos="7938"/>
              </w:tabs>
              <w:ind w:firstLine="346"/>
              <w:jc w:val="both"/>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measuring-point-type="general/ov/so"</w:t>
            </w:r>
          </w:p>
          <w:p w14:paraId="36B9521D" w14:textId="77777777" w:rsidR="00295C6D" w:rsidRPr="00A5626D" w:rsidRDefault="00295C6D" w:rsidP="00E31AE6">
            <w:pPr>
              <w:tabs>
                <w:tab w:val="left" w:pos="1134"/>
                <w:tab w:val="left" w:pos="7938"/>
              </w:tabs>
              <w:ind w:firstLine="346"/>
              <w:jc w:val="both"/>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point-voltage="10n"</w:t>
            </w:r>
          </w:p>
          <w:p w14:paraId="7E900390" w14:textId="77777777" w:rsidR="00295C6D" w:rsidRPr="00A5626D" w:rsidRDefault="00295C6D" w:rsidP="00E31AE6">
            <w:pPr>
              <w:tabs>
                <w:tab w:val="left" w:pos="1134"/>
                <w:tab w:val="left" w:pos="7938"/>
              </w:tabs>
              <w:ind w:firstLine="346"/>
              <w:jc w:val="both"/>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&lt;name </w:t>
            </w:r>
          </w:p>
          <w:p w14:paraId="75E5B421" w14:textId="77777777" w:rsidR="00295C6D" w:rsidRPr="00A5626D" w:rsidRDefault="00295C6D" w:rsidP="00E31AE6">
            <w:pPr>
              <w:tabs>
                <w:tab w:val="left" w:pos="1134"/>
                <w:tab w:val="left" w:pos="7938"/>
              </w:tabs>
              <w:ind w:firstLine="346"/>
              <w:jc w:val="both"/>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power-object-name="250x"</w:t>
            </w:r>
          </w:p>
          <w:p w14:paraId="083C49E8" w14:textId="77777777" w:rsidR="00295C6D" w:rsidRPr="00A5626D" w:rsidRDefault="00295C6D" w:rsidP="00E31AE6">
            <w:pPr>
              <w:tabs>
                <w:tab w:val="left" w:pos="1134"/>
                <w:tab w:val="left" w:pos="7938"/>
              </w:tabs>
              <w:ind w:firstLine="346"/>
              <w:jc w:val="both"/>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connection-name="250x"</w:t>
            </w:r>
          </w:p>
          <w:p w14:paraId="0BEBFCC3" w14:textId="77777777" w:rsidR="00295C6D" w:rsidRPr="00A5626D" w:rsidRDefault="00295C6D" w:rsidP="00E31AE6">
            <w:pPr>
              <w:tabs>
                <w:tab w:val="left" w:pos="1134"/>
                <w:tab w:val="left" w:pos="7938"/>
              </w:tabs>
              <w:ind w:firstLine="346"/>
              <w:jc w:val="both"/>
              <w:rPr>
                <w:rFonts w:ascii="Garamond" w:hAnsi="Garamond" w:cstheme="minorHAnsi"/>
                <w:sz w:val="22"/>
                <w:szCs w:val="22"/>
                <w:lang w:val="en-US"/>
              </w:rPr>
            </w:pPr>
            <w:r w:rsidRPr="00A5626D">
              <w:rPr>
                <w:rFonts w:ascii="Garamond" w:eastAsia="Calibri" w:hAnsi="Garamond" w:cstheme="minorHAnsi"/>
                <w:sz w:val="22"/>
                <w:szCs w:val="22"/>
                <w:lang w:val="en-US"/>
              </w:rPr>
              <w:t xml:space="preserve">                        location-description="250x"/&gt;</w:t>
            </w:r>
          </w:p>
          <w:p w14:paraId="774C7025" w14:textId="77777777" w:rsidR="00295C6D" w:rsidRPr="00A5626D" w:rsidRDefault="00295C6D" w:rsidP="00E31AE6">
            <w:pPr>
              <w:tabs>
                <w:tab w:val="left" w:pos="1134"/>
                <w:tab w:val="left" w:pos="7938"/>
              </w:tabs>
              <w:ind w:firstLine="346"/>
              <w:jc w:val="both"/>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&lt;comment&gt;</w:t>
            </w:r>
          </w:p>
          <w:p w14:paraId="4A773B32" w14:textId="77777777" w:rsidR="00295C6D" w:rsidRPr="00A5626D" w:rsidRDefault="00295C6D" w:rsidP="00E31AE6">
            <w:pPr>
              <w:tabs>
                <w:tab w:val="left" w:pos="1134"/>
                <w:tab w:val="left" w:pos="7938"/>
              </w:tabs>
              <w:ind w:firstLine="346"/>
              <w:jc w:val="both"/>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&lt;![CDATA[…]]&gt;</w:t>
            </w:r>
          </w:p>
          <w:p w14:paraId="5B26BB76" w14:textId="77777777" w:rsidR="00295C6D" w:rsidRPr="00A5626D" w:rsidRDefault="00295C6D" w:rsidP="00E31AE6">
            <w:pPr>
              <w:tabs>
                <w:tab w:val="left" w:pos="1134"/>
                <w:tab w:val="left" w:pos="7938"/>
              </w:tabs>
              <w:ind w:firstLine="346"/>
              <w:jc w:val="both"/>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&lt;/comment&gt;</w:t>
            </w:r>
          </w:p>
          <w:p w14:paraId="77F296F3" w14:textId="77777777" w:rsidR="00295C6D" w:rsidRPr="00A5626D" w:rsidRDefault="00295C6D" w:rsidP="00E31AE6">
            <w:pPr>
              <w:tabs>
                <w:tab w:val="left" w:pos="1134"/>
                <w:tab w:val="left" w:pos="7938"/>
              </w:tabs>
              <w:ind w:firstLine="346"/>
              <w:jc w:val="both"/>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&lt;measuring-device</w:t>
            </w:r>
          </w:p>
          <w:p w14:paraId="3095D680" w14:textId="77777777" w:rsidR="00295C6D" w:rsidRPr="00A5626D" w:rsidRDefault="00295C6D" w:rsidP="00E31AE6">
            <w:pPr>
              <w:tabs>
                <w:tab w:val="left" w:pos="1134"/>
                <w:tab w:val="left" w:pos="7938"/>
              </w:tabs>
              <w:ind w:firstLine="346"/>
              <w:jc w:val="both"/>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guid="36x"</w:t>
            </w:r>
          </w:p>
          <w:p w14:paraId="7F52A777" w14:textId="77777777" w:rsidR="00295C6D" w:rsidRPr="00A5626D" w:rsidRDefault="00295C6D" w:rsidP="00E31AE6">
            <w:pPr>
              <w:tabs>
                <w:tab w:val="left" w:pos="1134"/>
                <w:tab w:val="left" w:pos="7938"/>
              </w:tabs>
              <w:ind w:firstLine="346"/>
              <w:jc w:val="both"/>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id-measuring-device="4n"</w:t>
            </w:r>
          </w:p>
          <w:p w14:paraId="20EF7E90" w14:textId="77777777" w:rsidR="00295C6D" w:rsidRPr="00A5626D" w:rsidRDefault="00295C6D" w:rsidP="00E31AE6">
            <w:pPr>
              <w:tabs>
                <w:tab w:val="left" w:pos="1134"/>
                <w:tab w:val="left" w:pos="7938"/>
              </w:tabs>
              <w:ind w:firstLine="346"/>
              <w:jc w:val="both"/>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is-for-coding="true/false"</w:t>
            </w:r>
          </w:p>
          <w:p w14:paraId="1ED71762" w14:textId="77777777" w:rsidR="00295C6D" w:rsidRPr="00A5626D" w:rsidRDefault="00295C6D" w:rsidP="00E31AE6">
            <w:pPr>
              <w:tabs>
                <w:tab w:val="left" w:pos="1134"/>
                <w:tab w:val="left" w:pos="7938"/>
              </w:tabs>
              <w:ind w:firstLine="346"/>
              <w:jc w:val="both"/>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precision-class-active="4x"</w:t>
            </w:r>
          </w:p>
          <w:p w14:paraId="3CA8BF80" w14:textId="77777777" w:rsidR="00295C6D" w:rsidRPr="00A5626D" w:rsidRDefault="00295C6D" w:rsidP="00E31AE6">
            <w:pPr>
              <w:tabs>
                <w:tab w:val="left" w:pos="1134"/>
                <w:tab w:val="left" w:pos="7938"/>
              </w:tabs>
              <w:ind w:firstLine="346"/>
              <w:jc w:val="both"/>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precision-class-reactive="4x"</w:t>
            </w:r>
          </w:p>
          <w:p w14:paraId="30C7747B" w14:textId="77777777" w:rsidR="00295C6D" w:rsidRPr="00A5626D" w:rsidRDefault="00295C6D" w:rsidP="00E31AE6">
            <w:pPr>
              <w:tabs>
                <w:tab w:val="left" w:pos="1134"/>
                <w:tab w:val="left" w:pos="7938"/>
              </w:tabs>
              <w:ind w:firstLine="346"/>
              <w:jc w:val="both"/>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id-device-modification="4n"</w:t>
            </w:r>
          </w:p>
          <w:p w14:paraId="6ECC6A7F" w14:textId="77777777" w:rsidR="00295C6D" w:rsidRPr="00A5626D" w:rsidRDefault="00295C6D" w:rsidP="00E31AE6">
            <w:pPr>
              <w:tabs>
                <w:tab w:val="left" w:pos="1134"/>
                <w:tab w:val="left" w:pos="7938"/>
              </w:tabs>
              <w:ind w:firstLine="346"/>
              <w:jc w:val="both"/>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so-device-modification-name="80x"</w:t>
            </w:r>
          </w:p>
          <w:p w14:paraId="331E85D8" w14:textId="77777777" w:rsidR="00295C6D" w:rsidRPr="00A5626D" w:rsidRDefault="00295C6D" w:rsidP="00E31AE6">
            <w:pPr>
              <w:tabs>
                <w:tab w:val="left" w:pos="1134"/>
                <w:tab w:val="left" w:pos="7938"/>
              </w:tabs>
              <w:ind w:firstLine="346"/>
              <w:jc w:val="both"/>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ats-code="2n"</w:t>
            </w:r>
          </w:p>
          <w:p w14:paraId="3501851D" w14:textId="77777777" w:rsidR="00295C6D" w:rsidRPr="00A5626D" w:rsidRDefault="00295C6D" w:rsidP="00E31AE6">
            <w:pPr>
              <w:tabs>
                <w:tab w:val="left" w:pos="1134"/>
                <w:tab w:val="left" w:pos="7938"/>
              </w:tabs>
              <w:ind w:firstLine="346"/>
              <w:jc w:val="both"/>
              <w:rPr>
                <w:rFonts w:ascii="Garamond" w:eastAsia="Calibri" w:hAnsi="Garamond" w:cstheme="minorHAnsi"/>
                <w:sz w:val="22"/>
                <w:szCs w:val="22"/>
                <w:lang w:val="en-US"/>
              </w:rPr>
            </w:pPr>
            <w:r w:rsidRPr="00A5626D">
              <w:rPr>
                <w:rFonts w:ascii="Garamond" w:hAnsi="Garamond" w:cstheme="minorHAnsi"/>
                <w:sz w:val="22"/>
                <w:szCs w:val="22"/>
                <w:lang w:val="en-US"/>
              </w:rPr>
              <w:tab/>
              <w:t xml:space="preserve">           </w:t>
            </w:r>
            <w:r w:rsidRPr="00A5626D">
              <w:rPr>
                <w:rFonts w:ascii="Garamond" w:eastAsia="Calibri" w:hAnsi="Garamond" w:cstheme="minorHAnsi"/>
                <w:sz w:val="22"/>
                <w:szCs w:val="22"/>
                <w:lang w:val="en-US"/>
              </w:rPr>
              <w:t>serial-number="250n"&gt;</w:t>
            </w:r>
          </w:p>
          <w:p w14:paraId="165C749E" w14:textId="77777777" w:rsidR="00295C6D" w:rsidRPr="00A5626D" w:rsidRDefault="00295C6D" w:rsidP="00E31AE6">
            <w:pPr>
              <w:tabs>
                <w:tab w:val="left" w:pos="1134"/>
                <w:tab w:val="left" w:pos="7938"/>
              </w:tabs>
              <w:ind w:firstLine="346"/>
              <w:jc w:val="both"/>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&lt;measuring-channel </w:t>
            </w:r>
          </w:p>
          <w:p w14:paraId="73F28505" w14:textId="77777777" w:rsidR="00295C6D" w:rsidRPr="00A5626D" w:rsidRDefault="00295C6D" w:rsidP="00E31AE6">
            <w:pPr>
              <w:tabs>
                <w:tab w:val="left" w:pos="1134"/>
                <w:tab w:val="left" w:pos="7938"/>
              </w:tabs>
              <w:ind w:firstLine="346"/>
              <w:jc w:val="both"/>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id-measuring-channel="4n"</w:t>
            </w:r>
          </w:p>
          <w:p w14:paraId="39E616CA" w14:textId="77777777" w:rsidR="00295C6D" w:rsidRPr="00A5626D" w:rsidRDefault="00295C6D" w:rsidP="00E31AE6">
            <w:pPr>
              <w:tabs>
                <w:tab w:val="left" w:pos="1134"/>
                <w:tab w:val="left" w:pos="7938"/>
              </w:tabs>
              <w:ind w:firstLine="346"/>
              <w:jc w:val="both"/>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type="1/2/3/4"</w:t>
            </w:r>
          </w:p>
          <w:p w14:paraId="4B051488" w14:textId="77777777" w:rsidR="00295C6D" w:rsidRPr="00A5626D" w:rsidRDefault="00295C6D" w:rsidP="00E31AE6">
            <w:pPr>
              <w:tabs>
                <w:tab w:val="left" w:pos="1134"/>
                <w:tab w:val="left" w:pos="7938"/>
              </w:tabs>
              <w:ind w:firstLine="346"/>
              <w:jc w:val="both"/>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ats-code="2n"/&gt;</w:t>
            </w:r>
          </w:p>
          <w:p w14:paraId="1CF17462" w14:textId="77777777" w:rsidR="00295C6D" w:rsidRPr="00A5626D" w:rsidRDefault="00295C6D" w:rsidP="00E31AE6">
            <w:pPr>
              <w:tabs>
                <w:tab w:val="left" w:pos="1134"/>
                <w:tab w:val="left" w:pos="7938"/>
              </w:tabs>
              <w:ind w:firstLine="346"/>
              <w:jc w:val="both"/>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&lt;/measuring-device&gt;</w:t>
            </w:r>
          </w:p>
          <w:p w14:paraId="760A984F" w14:textId="77777777" w:rsidR="00295C6D" w:rsidRPr="00A5626D" w:rsidRDefault="00295C6D" w:rsidP="00E31AE6">
            <w:pPr>
              <w:tabs>
                <w:tab w:val="left" w:pos="1134"/>
                <w:tab w:val="left" w:pos="7938"/>
              </w:tabs>
              <w:ind w:firstLine="346"/>
              <w:jc w:val="both"/>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&lt;/measuring-point&gt;</w:t>
            </w:r>
          </w:p>
          <w:p w14:paraId="0F81FE32" w14:textId="77777777" w:rsidR="00295C6D" w:rsidRPr="00A5626D" w:rsidRDefault="00295C6D" w:rsidP="00E31AE6">
            <w:pPr>
              <w:tabs>
                <w:tab w:val="left" w:pos="1134"/>
                <w:tab w:val="left" w:pos="7938"/>
              </w:tabs>
              <w:ind w:firstLine="346"/>
              <w:jc w:val="both"/>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&lt;/measuring-points&gt;</w:t>
            </w:r>
          </w:p>
          <w:p w14:paraId="0901826F" w14:textId="77777777" w:rsidR="00295C6D" w:rsidRPr="00A5626D" w:rsidRDefault="00295C6D" w:rsidP="00E31AE6">
            <w:pPr>
              <w:tabs>
                <w:tab w:val="left" w:pos="1134"/>
                <w:tab w:val="left" w:pos="7938"/>
              </w:tabs>
              <w:ind w:firstLine="346"/>
              <w:jc w:val="both"/>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&lt;measuring-objects&gt;</w:t>
            </w:r>
          </w:p>
          <w:p w14:paraId="19F58DA1" w14:textId="77777777" w:rsidR="00295C6D" w:rsidRPr="00A5626D" w:rsidRDefault="00295C6D" w:rsidP="00E31AE6">
            <w:pPr>
              <w:tabs>
                <w:tab w:val="left" w:pos="1134"/>
                <w:tab w:val="left" w:pos="7938"/>
              </w:tabs>
              <w:ind w:firstLine="346"/>
              <w:jc w:val="both"/>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&lt;measuring-object</w:t>
            </w:r>
          </w:p>
          <w:p w14:paraId="7C4720E4" w14:textId="77777777" w:rsidR="00295C6D" w:rsidRPr="00A5626D" w:rsidRDefault="00295C6D" w:rsidP="00E31AE6">
            <w:pPr>
              <w:tabs>
                <w:tab w:val="left" w:pos="1134"/>
                <w:tab w:val="left" w:pos="7938"/>
              </w:tabs>
              <w:ind w:firstLine="346"/>
              <w:jc w:val="both"/>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id-measuring-object="4n" </w:t>
            </w:r>
          </w:p>
          <w:p w14:paraId="4FC5CF00" w14:textId="77777777" w:rsidR="00295C6D" w:rsidRPr="00A5626D" w:rsidRDefault="00295C6D" w:rsidP="00E31AE6">
            <w:pPr>
              <w:tabs>
                <w:tab w:val="left" w:pos="1134"/>
                <w:tab w:val="left" w:pos="7938"/>
              </w:tabs>
              <w:ind w:firstLine="346"/>
              <w:jc w:val="both"/>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guid="36x"</w:t>
            </w:r>
          </w:p>
          <w:p w14:paraId="72A31CB9" w14:textId="77777777" w:rsidR="00295C6D" w:rsidRPr="00A5626D" w:rsidRDefault="00295C6D" w:rsidP="00E31AE6">
            <w:pPr>
              <w:tabs>
                <w:tab w:val="left" w:pos="1134"/>
                <w:tab w:val="left" w:pos="7938"/>
              </w:tabs>
              <w:ind w:firstLine="346"/>
              <w:jc w:val="both"/>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ats-code="15n"</w:t>
            </w:r>
          </w:p>
          <w:p w14:paraId="7691CA5B" w14:textId="77777777" w:rsidR="00295C6D" w:rsidRPr="00A5626D" w:rsidRDefault="00295C6D" w:rsidP="00E31AE6">
            <w:pPr>
              <w:tabs>
                <w:tab w:val="left" w:pos="1134"/>
                <w:tab w:val="left" w:pos="7938"/>
              </w:tabs>
              <w:ind w:firstLine="346"/>
              <w:jc w:val="both"/>
              <w:rPr>
                <w:rFonts w:ascii="Garamond" w:eastAsia="Calibri" w:hAnsi="Garamond" w:cstheme="minorHAnsi"/>
                <w:sz w:val="22"/>
                <w:szCs w:val="22"/>
                <w:lang w:val="en-US"/>
              </w:rPr>
            </w:pPr>
            <w:r w:rsidRPr="00A5626D">
              <w:rPr>
                <w:rFonts w:ascii="Garamond" w:eastAsia="Calibri" w:hAnsi="Garamond" w:cstheme="minorHAnsi"/>
                <w:sz w:val="22"/>
                <w:szCs w:val="22"/>
                <w:lang w:val="en-US"/>
              </w:rPr>
              <w:lastRenderedPageBreak/>
              <w:t xml:space="preserve">                    measuring-object-type="1"</w:t>
            </w:r>
          </w:p>
          <w:p w14:paraId="520D0DA7" w14:textId="77777777" w:rsidR="00295C6D" w:rsidRPr="00A5626D" w:rsidRDefault="00295C6D" w:rsidP="00E31AE6">
            <w:pPr>
              <w:tabs>
                <w:tab w:val="left" w:pos="1134"/>
                <w:tab w:val="left" w:pos="7938"/>
              </w:tabs>
              <w:ind w:firstLine="346"/>
              <w:jc w:val="both"/>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name="250x"/&gt;</w:t>
            </w:r>
          </w:p>
          <w:p w14:paraId="59D19E9A" w14:textId="77777777" w:rsidR="00295C6D" w:rsidRPr="00A5626D" w:rsidRDefault="00295C6D" w:rsidP="00E31AE6">
            <w:pPr>
              <w:tabs>
                <w:tab w:val="left" w:pos="1134"/>
                <w:tab w:val="left" w:pos="7938"/>
              </w:tabs>
              <w:ind w:firstLine="346"/>
              <w:jc w:val="both"/>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&lt;/measuring-objects&gt;</w:t>
            </w:r>
          </w:p>
          <w:p w14:paraId="59BE591A" w14:textId="77777777" w:rsidR="00295C6D" w:rsidRPr="00A5626D" w:rsidRDefault="00295C6D" w:rsidP="00E31AE6">
            <w:pPr>
              <w:tabs>
                <w:tab w:val="left" w:pos="1134"/>
                <w:tab w:val="left" w:pos="7938"/>
              </w:tabs>
              <w:ind w:firstLine="346"/>
              <w:jc w:val="both"/>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&lt;/dictionaries&gt;</w:t>
            </w:r>
          </w:p>
          <w:p w14:paraId="766D2E82" w14:textId="77777777" w:rsidR="00295C6D" w:rsidRPr="00A5626D" w:rsidRDefault="00295C6D" w:rsidP="00E31AE6">
            <w:pPr>
              <w:tabs>
                <w:tab w:val="left" w:pos="1134"/>
                <w:tab w:val="left" w:pos="7938"/>
              </w:tabs>
              <w:ind w:firstLine="346"/>
              <w:jc w:val="both"/>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&lt;links&gt;</w:t>
            </w:r>
          </w:p>
          <w:p w14:paraId="559E18ED" w14:textId="77777777" w:rsidR="00295C6D" w:rsidRPr="00A5626D" w:rsidRDefault="00295C6D" w:rsidP="00E31AE6">
            <w:pPr>
              <w:tabs>
                <w:tab w:val="left" w:pos="1134"/>
                <w:tab w:val="left" w:pos="7938"/>
              </w:tabs>
              <w:ind w:firstLine="346"/>
              <w:jc w:val="both"/>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&lt;ov-measuring-point-links&gt;</w:t>
            </w:r>
          </w:p>
          <w:p w14:paraId="2D2F24EC" w14:textId="77777777" w:rsidR="00295C6D" w:rsidRPr="00A5626D" w:rsidRDefault="00295C6D" w:rsidP="00E31AE6">
            <w:pPr>
              <w:tabs>
                <w:tab w:val="left" w:pos="1134"/>
                <w:tab w:val="left" w:pos="7938"/>
              </w:tabs>
              <w:ind w:firstLine="346"/>
              <w:jc w:val="both"/>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&lt;ov-measuring-point-link</w:t>
            </w:r>
          </w:p>
          <w:p w14:paraId="04A85000" w14:textId="77777777" w:rsidR="00295C6D" w:rsidRPr="00A5626D" w:rsidRDefault="00295C6D" w:rsidP="00E31AE6">
            <w:pPr>
              <w:tabs>
                <w:tab w:val="left" w:pos="1134"/>
                <w:tab w:val="left" w:pos="7938"/>
              </w:tabs>
              <w:ind w:firstLine="346"/>
              <w:jc w:val="both"/>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w:t>
            </w:r>
            <w:r w:rsidRPr="00A5626D">
              <w:rPr>
                <w:rFonts w:ascii="Garamond" w:eastAsia="Calibri" w:hAnsi="Garamond" w:cstheme="minorHAnsi"/>
                <w:sz w:val="22"/>
                <w:szCs w:val="22"/>
                <w:lang w:val="en-US"/>
              </w:rPr>
              <w:tab/>
              <w:t>id-ov-measuring-point="4n"</w:t>
            </w:r>
          </w:p>
          <w:p w14:paraId="4811B072" w14:textId="77777777" w:rsidR="00295C6D" w:rsidRPr="00A5626D" w:rsidRDefault="00295C6D" w:rsidP="00E31AE6">
            <w:pPr>
              <w:tabs>
                <w:tab w:val="left" w:pos="1134"/>
                <w:tab w:val="left" w:pos="7938"/>
              </w:tabs>
              <w:ind w:firstLine="346"/>
              <w:jc w:val="both"/>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w:t>
            </w:r>
            <w:r w:rsidRPr="00A5626D">
              <w:rPr>
                <w:rFonts w:ascii="Garamond" w:eastAsia="Calibri" w:hAnsi="Garamond" w:cstheme="minorHAnsi"/>
                <w:sz w:val="22"/>
                <w:szCs w:val="22"/>
                <w:lang w:val="en-US"/>
              </w:rPr>
              <w:tab/>
              <w:t>id-serviced-measuring-point="4n"/&gt;</w:t>
            </w:r>
          </w:p>
          <w:p w14:paraId="69AAD1D7" w14:textId="77777777" w:rsidR="00295C6D" w:rsidRPr="00A5626D" w:rsidRDefault="00295C6D" w:rsidP="00E31AE6">
            <w:pPr>
              <w:tabs>
                <w:tab w:val="left" w:pos="1134"/>
                <w:tab w:val="left" w:pos="7938"/>
              </w:tabs>
              <w:ind w:firstLine="346"/>
              <w:jc w:val="both"/>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&lt;/ov-measuring-point-links&gt;</w:t>
            </w:r>
          </w:p>
          <w:p w14:paraId="5941096F" w14:textId="77777777" w:rsidR="00295C6D" w:rsidRPr="00A5626D" w:rsidRDefault="00295C6D" w:rsidP="00E31AE6">
            <w:pPr>
              <w:tabs>
                <w:tab w:val="left" w:pos="1134"/>
                <w:tab w:val="left" w:pos="7938"/>
              </w:tabs>
              <w:ind w:firstLine="346"/>
              <w:jc w:val="both"/>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&lt;group-delivery-point-composition&gt;</w:t>
            </w:r>
          </w:p>
          <w:p w14:paraId="2F13C97B" w14:textId="77777777" w:rsidR="00295C6D" w:rsidRPr="00A5626D" w:rsidRDefault="00295C6D" w:rsidP="00E31AE6">
            <w:pPr>
              <w:tabs>
                <w:tab w:val="left" w:pos="1134"/>
                <w:tab w:val="left" w:pos="7938"/>
              </w:tabs>
              <w:ind w:firstLine="346"/>
              <w:jc w:val="both"/>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&lt;group-delivery-point</w:t>
            </w:r>
          </w:p>
          <w:p w14:paraId="25254B94" w14:textId="77777777" w:rsidR="00295C6D" w:rsidRPr="00A5626D" w:rsidRDefault="00295C6D" w:rsidP="00E31AE6">
            <w:pPr>
              <w:tabs>
                <w:tab w:val="left" w:pos="1134"/>
                <w:tab w:val="left" w:pos="7938"/>
              </w:tabs>
              <w:ind w:firstLine="346"/>
              <w:jc w:val="both"/>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id-group-delivery-point="4n"</w:t>
            </w:r>
          </w:p>
          <w:p w14:paraId="22D122B7" w14:textId="77777777" w:rsidR="00295C6D" w:rsidRPr="00A5626D" w:rsidRDefault="00295C6D" w:rsidP="00E31AE6">
            <w:pPr>
              <w:tabs>
                <w:tab w:val="left" w:pos="1134"/>
                <w:tab w:val="left" w:pos="7938"/>
              </w:tabs>
              <w:ind w:firstLine="346"/>
              <w:jc w:val="both"/>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id-simple-delivery-point="4n"/&gt;</w:t>
            </w:r>
          </w:p>
          <w:p w14:paraId="4C2D97ED" w14:textId="77777777" w:rsidR="00295C6D" w:rsidRPr="00A5626D" w:rsidRDefault="00295C6D" w:rsidP="00E31AE6">
            <w:pPr>
              <w:tabs>
                <w:tab w:val="left" w:pos="1134"/>
                <w:tab w:val="left" w:pos="7938"/>
              </w:tabs>
              <w:ind w:firstLine="346"/>
              <w:jc w:val="both"/>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&lt;/group-delivery-point-composition&gt;</w:t>
            </w:r>
          </w:p>
          <w:p w14:paraId="0C2A49F3" w14:textId="77777777" w:rsidR="00295C6D" w:rsidRPr="00A5626D" w:rsidRDefault="00295C6D" w:rsidP="00E31AE6">
            <w:pPr>
              <w:tabs>
                <w:tab w:val="left" w:pos="1134"/>
                <w:tab w:val="left" w:pos="7938"/>
              </w:tabs>
              <w:ind w:firstLine="346"/>
              <w:jc w:val="both"/>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&lt;aiis-small-measuring-devices&gt;</w:t>
            </w:r>
          </w:p>
          <w:p w14:paraId="4D63A380" w14:textId="77777777" w:rsidR="00295C6D" w:rsidRPr="00A5626D" w:rsidRDefault="00295C6D" w:rsidP="00E31AE6">
            <w:pPr>
              <w:tabs>
                <w:tab w:val="left" w:pos="1134"/>
                <w:tab w:val="left" w:pos="7938"/>
              </w:tabs>
              <w:ind w:firstLine="346"/>
              <w:jc w:val="both"/>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&lt;aiis-small-measuring-device </w:t>
            </w:r>
          </w:p>
          <w:p w14:paraId="0284567F" w14:textId="77777777" w:rsidR="00295C6D" w:rsidRPr="00A5626D" w:rsidRDefault="00295C6D" w:rsidP="00E31AE6">
            <w:pPr>
              <w:tabs>
                <w:tab w:val="left" w:pos="1134"/>
                <w:tab w:val="left" w:pos="7938"/>
              </w:tabs>
              <w:ind w:firstLine="346"/>
              <w:jc w:val="both"/>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id-aiis="1n"</w:t>
            </w:r>
          </w:p>
          <w:p w14:paraId="29F6F651" w14:textId="77777777" w:rsidR="00295C6D" w:rsidRPr="00A5626D" w:rsidRDefault="00295C6D" w:rsidP="00E31AE6">
            <w:pPr>
              <w:tabs>
                <w:tab w:val="left" w:pos="1134"/>
                <w:tab w:val="left" w:pos="7938"/>
              </w:tabs>
              <w:ind w:firstLine="346"/>
              <w:jc w:val="both"/>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id-measuring-device="4n"/&gt;</w:t>
            </w:r>
          </w:p>
          <w:p w14:paraId="02545367" w14:textId="77777777" w:rsidR="00295C6D" w:rsidRPr="00A5626D" w:rsidRDefault="00295C6D" w:rsidP="00E31AE6">
            <w:pPr>
              <w:tabs>
                <w:tab w:val="left" w:pos="1134"/>
                <w:tab w:val="left" w:pos="7938"/>
              </w:tabs>
              <w:ind w:firstLine="346"/>
              <w:jc w:val="both"/>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&lt;/aiis-small-measuring-devices&gt;</w:t>
            </w:r>
          </w:p>
          <w:p w14:paraId="781055F4" w14:textId="77777777" w:rsidR="00295C6D" w:rsidRPr="00A5626D" w:rsidRDefault="00295C6D" w:rsidP="00E31AE6">
            <w:pPr>
              <w:tabs>
                <w:tab w:val="left" w:pos="1134"/>
                <w:tab w:val="left" w:pos="7938"/>
              </w:tabs>
              <w:ind w:firstLine="346"/>
              <w:jc w:val="both"/>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&lt;power-center-power-object-links&gt;</w:t>
            </w:r>
          </w:p>
          <w:p w14:paraId="25BE730C" w14:textId="77777777" w:rsidR="00295C6D" w:rsidRPr="00A5626D" w:rsidRDefault="00295C6D" w:rsidP="00E31AE6">
            <w:pPr>
              <w:tabs>
                <w:tab w:val="left" w:pos="1134"/>
                <w:tab w:val="left" w:pos="7938"/>
              </w:tabs>
              <w:ind w:firstLine="346"/>
              <w:jc w:val="both"/>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&lt;power-center-power-object-link</w:t>
            </w:r>
          </w:p>
          <w:p w14:paraId="16505214" w14:textId="77777777" w:rsidR="00295C6D" w:rsidRPr="00A5626D" w:rsidRDefault="00295C6D" w:rsidP="00E31AE6">
            <w:pPr>
              <w:tabs>
                <w:tab w:val="left" w:pos="1134"/>
                <w:tab w:val="left" w:pos="7938"/>
              </w:tabs>
              <w:ind w:firstLine="346"/>
              <w:jc w:val="both"/>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id-power-center="4n" </w:t>
            </w:r>
          </w:p>
          <w:p w14:paraId="22697E04" w14:textId="77777777" w:rsidR="00295C6D" w:rsidRPr="00A5626D" w:rsidRDefault="00295C6D" w:rsidP="00E31AE6">
            <w:pPr>
              <w:tabs>
                <w:tab w:val="left" w:pos="1134"/>
                <w:tab w:val="left" w:pos="7938"/>
              </w:tabs>
              <w:ind w:firstLine="346"/>
              <w:jc w:val="both"/>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id-power-object="4n"/&gt;</w:t>
            </w:r>
          </w:p>
          <w:p w14:paraId="4414347F" w14:textId="77777777" w:rsidR="00295C6D" w:rsidRPr="00A5626D" w:rsidRDefault="00295C6D" w:rsidP="00E31AE6">
            <w:pPr>
              <w:tabs>
                <w:tab w:val="left" w:pos="1134"/>
                <w:tab w:val="left" w:pos="7938"/>
              </w:tabs>
              <w:ind w:firstLine="346"/>
              <w:jc w:val="both"/>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&lt;/power-center-power-object-links&gt;</w:t>
            </w:r>
          </w:p>
          <w:p w14:paraId="562ECC32" w14:textId="77777777" w:rsidR="00295C6D" w:rsidRPr="00A5626D" w:rsidRDefault="00295C6D" w:rsidP="00E31AE6">
            <w:pPr>
              <w:tabs>
                <w:tab w:val="left" w:pos="1134"/>
                <w:tab w:val="left" w:pos="7938"/>
              </w:tabs>
              <w:ind w:firstLine="346"/>
              <w:jc w:val="both"/>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&lt;power-object-owner-gtp-links&gt;</w:t>
            </w:r>
          </w:p>
          <w:p w14:paraId="5C5C6EC2" w14:textId="77777777" w:rsidR="00295C6D" w:rsidRPr="00A5626D" w:rsidRDefault="00295C6D" w:rsidP="00E31AE6">
            <w:pPr>
              <w:tabs>
                <w:tab w:val="left" w:pos="1134"/>
                <w:tab w:val="left" w:pos="7938"/>
              </w:tabs>
              <w:ind w:firstLine="346"/>
              <w:jc w:val="both"/>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&lt;power-object-owner-gtp-link</w:t>
            </w:r>
          </w:p>
          <w:p w14:paraId="6111E516" w14:textId="77777777" w:rsidR="00295C6D" w:rsidRPr="00A5626D" w:rsidRDefault="00295C6D" w:rsidP="00E31AE6">
            <w:pPr>
              <w:tabs>
                <w:tab w:val="left" w:pos="1134"/>
                <w:tab w:val="left" w:pos="7938"/>
              </w:tabs>
              <w:ind w:firstLine="346"/>
              <w:jc w:val="both"/>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id-power-object-owner="4n" </w:t>
            </w:r>
          </w:p>
          <w:p w14:paraId="068E6A51" w14:textId="77777777" w:rsidR="00295C6D" w:rsidRPr="00A5626D" w:rsidRDefault="00295C6D" w:rsidP="00E31AE6">
            <w:pPr>
              <w:tabs>
                <w:tab w:val="left" w:pos="1134"/>
                <w:tab w:val="left" w:pos="7938"/>
              </w:tabs>
              <w:ind w:firstLine="346"/>
              <w:jc w:val="both"/>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id-gtp="4n"/&gt;</w:t>
            </w:r>
          </w:p>
          <w:p w14:paraId="2091596E" w14:textId="77777777" w:rsidR="00295C6D" w:rsidRPr="00A5626D" w:rsidRDefault="00295C6D" w:rsidP="00E31AE6">
            <w:pPr>
              <w:tabs>
                <w:tab w:val="left" w:pos="1134"/>
                <w:tab w:val="left" w:pos="7938"/>
              </w:tabs>
              <w:ind w:firstLine="346"/>
              <w:jc w:val="both"/>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&lt;/power-object-owner-gtp-links&gt;       </w:t>
            </w:r>
          </w:p>
          <w:p w14:paraId="032086B0" w14:textId="77777777" w:rsidR="00295C6D" w:rsidRPr="00A5626D" w:rsidRDefault="00295C6D" w:rsidP="00E31AE6">
            <w:pPr>
              <w:tabs>
                <w:tab w:val="left" w:pos="1134"/>
                <w:tab w:val="left" w:pos="7938"/>
              </w:tabs>
              <w:ind w:firstLine="346"/>
              <w:jc w:val="both"/>
              <w:rPr>
                <w:rFonts w:ascii="Garamond" w:eastAsia="Calibri" w:hAnsi="Garamond" w:cstheme="minorHAnsi"/>
                <w:sz w:val="22"/>
                <w:szCs w:val="22"/>
                <w:lang w:val="en-US"/>
              </w:rPr>
            </w:pPr>
            <w:r w:rsidRPr="00A5626D">
              <w:rPr>
                <w:rFonts w:ascii="Garamond" w:eastAsia="Calibri" w:hAnsi="Garamond" w:cstheme="minorHAnsi"/>
                <w:sz w:val="22"/>
                <w:szCs w:val="22"/>
                <w:lang w:val="en-US"/>
              </w:rPr>
              <w:t>&lt;/links&gt;</w:t>
            </w:r>
          </w:p>
          <w:p w14:paraId="11DBCA7C" w14:textId="77777777" w:rsidR="00295C6D" w:rsidRPr="00A5626D" w:rsidRDefault="00295C6D" w:rsidP="00E31AE6">
            <w:pPr>
              <w:tabs>
                <w:tab w:val="left" w:pos="1134"/>
                <w:tab w:val="left" w:pos="7938"/>
              </w:tabs>
              <w:ind w:firstLine="346"/>
              <w:jc w:val="both"/>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&lt;algorithm&gt;</w:t>
            </w:r>
          </w:p>
          <w:p w14:paraId="37F3A189" w14:textId="77777777" w:rsidR="00295C6D" w:rsidRPr="00A5626D" w:rsidRDefault="00295C6D" w:rsidP="00E31AE6">
            <w:pPr>
              <w:tabs>
                <w:tab w:val="left" w:pos="1134"/>
                <w:tab w:val="left" w:pos="7938"/>
              </w:tabs>
              <w:ind w:firstLine="346"/>
              <w:jc w:val="both"/>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&lt;aup-delivery-points&gt;</w:t>
            </w:r>
          </w:p>
          <w:p w14:paraId="1888CEE0" w14:textId="77777777" w:rsidR="00295C6D" w:rsidRPr="00A5626D" w:rsidRDefault="00295C6D" w:rsidP="00E31AE6">
            <w:pPr>
              <w:tabs>
                <w:tab w:val="left" w:pos="1134"/>
                <w:tab w:val="left" w:pos="7938"/>
              </w:tabs>
              <w:ind w:firstLine="346"/>
              <w:jc w:val="both"/>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&lt;aup-delivery-point </w:t>
            </w:r>
          </w:p>
          <w:p w14:paraId="53753380" w14:textId="77777777" w:rsidR="00295C6D" w:rsidRPr="00A5626D" w:rsidRDefault="00295C6D" w:rsidP="00E31AE6">
            <w:pPr>
              <w:tabs>
                <w:tab w:val="left" w:pos="1134"/>
                <w:tab w:val="left" w:pos="7938"/>
              </w:tabs>
              <w:ind w:firstLine="346"/>
              <w:jc w:val="both"/>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id-delivery-point="4n" </w:t>
            </w:r>
          </w:p>
          <w:p w14:paraId="5245A451" w14:textId="77777777" w:rsidR="00295C6D" w:rsidRPr="00A5626D" w:rsidRDefault="00295C6D" w:rsidP="00E31AE6">
            <w:pPr>
              <w:tabs>
                <w:tab w:val="left" w:pos="1134"/>
                <w:tab w:val="left" w:pos="7938"/>
              </w:tabs>
              <w:ind w:firstLine="346"/>
              <w:jc w:val="both"/>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id-org="1n" </w:t>
            </w:r>
          </w:p>
          <w:p w14:paraId="54BDAA11" w14:textId="77777777" w:rsidR="00295C6D" w:rsidRPr="00A5626D" w:rsidRDefault="00295C6D" w:rsidP="00E31AE6">
            <w:pPr>
              <w:tabs>
                <w:tab w:val="left" w:pos="1134"/>
                <w:tab w:val="left" w:pos="7938"/>
              </w:tabs>
              <w:ind w:firstLine="346"/>
              <w:jc w:val="both"/>
              <w:rPr>
                <w:rFonts w:ascii="Garamond" w:eastAsia="Calibri" w:hAnsi="Garamond" w:cstheme="minorHAnsi"/>
                <w:sz w:val="22"/>
                <w:szCs w:val="22"/>
                <w:lang w:val="en-US"/>
              </w:rPr>
            </w:pPr>
            <w:r w:rsidRPr="00A5626D">
              <w:rPr>
                <w:rFonts w:ascii="Garamond" w:eastAsia="Calibri" w:hAnsi="Garamond" w:cstheme="minorHAnsi"/>
                <w:sz w:val="22"/>
                <w:szCs w:val="22"/>
                <w:lang w:val="en-US"/>
              </w:rPr>
              <w:lastRenderedPageBreak/>
              <w:t xml:space="preserve">                id-aiis="1n"&gt;</w:t>
            </w:r>
          </w:p>
          <w:p w14:paraId="0B322492" w14:textId="77777777" w:rsidR="00295C6D" w:rsidRPr="00A5626D" w:rsidRDefault="00295C6D" w:rsidP="00E31AE6">
            <w:pPr>
              <w:tabs>
                <w:tab w:val="left" w:pos="1134"/>
                <w:tab w:val="left" w:pos="7938"/>
              </w:tabs>
              <w:ind w:firstLine="346"/>
              <w:jc w:val="both"/>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&lt;send&gt;</w:t>
            </w:r>
          </w:p>
          <w:p w14:paraId="1DB1B914" w14:textId="77777777" w:rsidR="00295C6D" w:rsidRPr="00A5626D" w:rsidRDefault="00295C6D" w:rsidP="00E31AE6">
            <w:pPr>
              <w:tabs>
                <w:tab w:val="left" w:pos="1134"/>
                <w:tab w:val="left" w:pos="7938"/>
              </w:tabs>
              <w:ind w:firstLine="346"/>
              <w:jc w:val="both"/>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w:t>
            </w:r>
            <w:r w:rsidRPr="00A5626D">
              <w:rPr>
                <w:rFonts w:ascii="Garamond" w:hAnsi="Garamond" w:cstheme="minorHAnsi"/>
                <w:sz w:val="22"/>
                <w:szCs w:val="22"/>
                <w:lang w:val="en-US"/>
              </w:rPr>
              <w:tab/>
              <w:t xml:space="preserve">  </w:t>
            </w:r>
            <w:r w:rsidRPr="00A5626D">
              <w:rPr>
                <w:rFonts w:ascii="Garamond" w:eastAsia="Calibri" w:hAnsi="Garamond" w:cstheme="minorHAnsi"/>
                <w:sz w:val="22"/>
                <w:szCs w:val="22"/>
                <w:lang w:val="en-US"/>
              </w:rPr>
              <w:t>&lt;comment&gt;</w:t>
            </w:r>
          </w:p>
          <w:p w14:paraId="4615E50B" w14:textId="77777777" w:rsidR="00295C6D" w:rsidRPr="00A5626D" w:rsidRDefault="00295C6D" w:rsidP="00E31AE6">
            <w:pPr>
              <w:tabs>
                <w:tab w:val="left" w:pos="1134"/>
                <w:tab w:val="left" w:pos="7938"/>
              </w:tabs>
              <w:ind w:firstLine="346"/>
              <w:jc w:val="both"/>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&lt;![CDATA[…]]&gt;</w:t>
            </w:r>
          </w:p>
          <w:p w14:paraId="5100BA5A" w14:textId="77777777" w:rsidR="00295C6D" w:rsidRPr="00A5626D" w:rsidRDefault="00295C6D" w:rsidP="00E31AE6">
            <w:pPr>
              <w:tabs>
                <w:tab w:val="left" w:pos="1134"/>
                <w:tab w:val="left" w:pos="7938"/>
              </w:tabs>
              <w:ind w:firstLine="346"/>
              <w:jc w:val="both"/>
              <w:rPr>
                <w:rFonts w:ascii="Garamond" w:hAnsi="Garamond" w:cstheme="minorHAnsi"/>
                <w:sz w:val="22"/>
                <w:szCs w:val="22"/>
                <w:lang w:val="en-US"/>
              </w:rPr>
            </w:pPr>
            <w:r w:rsidRPr="00A5626D">
              <w:rPr>
                <w:rFonts w:ascii="Garamond" w:eastAsia="Calibri" w:hAnsi="Garamond" w:cstheme="minorHAnsi"/>
                <w:sz w:val="22"/>
                <w:szCs w:val="22"/>
                <w:lang w:val="en-US"/>
              </w:rPr>
              <w:t xml:space="preserve">                            &lt;/comment&gt;</w:t>
            </w:r>
          </w:p>
          <w:p w14:paraId="23F9E2FE" w14:textId="77777777" w:rsidR="00295C6D" w:rsidRPr="00A5626D" w:rsidRDefault="00295C6D" w:rsidP="00E31AE6">
            <w:pPr>
              <w:tabs>
                <w:tab w:val="left" w:pos="1134"/>
                <w:tab w:val="left" w:pos="7938"/>
              </w:tabs>
              <w:ind w:firstLine="346"/>
              <w:jc w:val="both"/>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&lt;calcsum </w:t>
            </w:r>
          </w:p>
          <w:p w14:paraId="4485EB03" w14:textId="77777777" w:rsidR="00295C6D" w:rsidRPr="00A5626D" w:rsidRDefault="00295C6D" w:rsidP="00E31AE6">
            <w:pPr>
              <w:tabs>
                <w:tab w:val="left" w:pos="1134"/>
                <w:tab w:val="left" w:pos="7938"/>
              </w:tabs>
              <w:ind w:firstLine="346"/>
              <w:jc w:val="both"/>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losses-coefficient="2n"&gt;</w:t>
            </w:r>
          </w:p>
          <w:p w14:paraId="6095A988" w14:textId="77777777" w:rsidR="00295C6D" w:rsidRPr="00A5626D" w:rsidRDefault="00295C6D" w:rsidP="00E31AE6">
            <w:pPr>
              <w:tabs>
                <w:tab w:val="left" w:pos="1134"/>
                <w:tab w:val="left" w:pos="7938"/>
              </w:tabs>
              <w:ind w:firstLine="346"/>
              <w:jc w:val="both"/>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&lt;measuring-channel </w:t>
            </w:r>
          </w:p>
          <w:p w14:paraId="68959F45" w14:textId="77777777" w:rsidR="00295C6D" w:rsidRPr="00A5626D" w:rsidRDefault="00295C6D" w:rsidP="00E31AE6">
            <w:pPr>
              <w:tabs>
                <w:tab w:val="left" w:pos="1134"/>
                <w:tab w:val="left" w:pos="7938"/>
              </w:tabs>
              <w:ind w:firstLine="346"/>
              <w:jc w:val="both"/>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coefficient="32n" </w:t>
            </w:r>
          </w:p>
          <w:p w14:paraId="4F0C043D" w14:textId="77777777" w:rsidR="00295C6D" w:rsidRPr="00A5626D" w:rsidRDefault="00295C6D" w:rsidP="00E31AE6">
            <w:pPr>
              <w:tabs>
                <w:tab w:val="left" w:pos="1134"/>
                <w:tab w:val="left" w:pos="7938"/>
              </w:tabs>
              <w:ind w:firstLine="346"/>
              <w:jc w:val="both"/>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id-measuring-channel="4n"/&gt;</w:t>
            </w:r>
          </w:p>
          <w:p w14:paraId="1B0B80C3" w14:textId="77777777" w:rsidR="00295C6D" w:rsidRPr="00A5626D" w:rsidRDefault="00295C6D" w:rsidP="00E31AE6">
            <w:pPr>
              <w:tabs>
                <w:tab w:val="left" w:pos="1134"/>
                <w:tab w:val="left" w:pos="7938"/>
              </w:tabs>
              <w:ind w:firstLine="346"/>
              <w:jc w:val="both"/>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&lt;/calcsum&gt;</w:t>
            </w:r>
          </w:p>
          <w:p w14:paraId="23578232" w14:textId="77777777" w:rsidR="00295C6D" w:rsidRPr="00A5626D" w:rsidRDefault="00295C6D" w:rsidP="00E31AE6">
            <w:pPr>
              <w:tabs>
                <w:tab w:val="left" w:pos="1134"/>
                <w:tab w:val="left" w:pos="7938"/>
              </w:tabs>
              <w:ind w:firstLine="346"/>
              <w:jc w:val="both"/>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&lt;calcformula</w:t>
            </w:r>
          </w:p>
          <w:p w14:paraId="6F2A8B55" w14:textId="77777777" w:rsidR="00295C6D" w:rsidRPr="00A5626D" w:rsidRDefault="00295C6D" w:rsidP="00E31AE6">
            <w:pPr>
              <w:tabs>
                <w:tab w:val="left" w:pos="1134"/>
                <w:tab w:val="left" w:pos="7938"/>
              </w:tabs>
              <w:ind w:firstLine="346"/>
              <w:jc w:val="both"/>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name="50x"&gt;</w:t>
            </w:r>
          </w:p>
          <w:p w14:paraId="4E302D8B" w14:textId="77777777" w:rsidR="00295C6D" w:rsidRPr="00A5626D" w:rsidRDefault="00295C6D" w:rsidP="00E31AE6">
            <w:pPr>
              <w:tabs>
                <w:tab w:val="left" w:pos="1134"/>
                <w:tab w:val="left" w:pos="7938"/>
              </w:tabs>
              <w:ind w:firstLine="346"/>
              <w:jc w:val="both"/>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&lt;param</w:t>
            </w:r>
          </w:p>
          <w:p w14:paraId="29501C77" w14:textId="77777777" w:rsidR="00295C6D" w:rsidRPr="00A5626D" w:rsidRDefault="00295C6D" w:rsidP="00E31AE6">
            <w:pPr>
              <w:tabs>
                <w:tab w:val="left" w:pos="1134"/>
                <w:tab w:val="left" w:pos="7938"/>
              </w:tabs>
              <w:ind w:firstLine="346"/>
              <w:jc w:val="both"/>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name="50x"</w:t>
            </w:r>
          </w:p>
          <w:p w14:paraId="0160DB73" w14:textId="77777777" w:rsidR="00295C6D" w:rsidRPr="00A5626D" w:rsidRDefault="00295C6D" w:rsidP="00E31AE6">
            <w:pPr>
              <w:tabs>
                <w:tab w:val="left" w:pos="1134"/>
                <w:tab w:val="left" w:pos="7938"/>
              </w:tabs>
              <w:ind w:firstLine="346"/>
              <w:jc w:val="both"/>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type="CONST/SUM/FORMULA/MOBJECT"&gt;</w:t>
            </w:r>
          </w:p>
          <w:p w14:paraId="7BCF7290" w14:textId="77777777" w:rsidR="00295C6D" w:rsidRPr="00A5626D" w:rsidRDefault="00295C6D" w:rsidP="00E31AE6">
            <w:pPr>
              <w:tabs>
                <w:tab w:val="left" w:pos="1134"/>
                <w:tab w:val="left" w:pos="7938"/>
              </w:tabs>
              <w:ind w:firstLine="346"/>
              <w:jc w:val="both"/>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&lt;measuring-object</w:t>
            </w:r>
          </w:p>
          <w:p w14:paraId="606AE976" w14:textId="77777777" w:rsidR="00295C6D" w:rsidRPr="00A5626D" w:rsidRDefault="00295C6D" w:rsidP="00E31AE6">
            <w:pPr>
              <w:tabs>
                <w:tab w:val="left" w:pos="1134"/>
                <w:tab w:val="left" w:pos="7938"/>
              </w:tabs>
              <w:ind w:firstLine="346"/>
              <w:jc w:val="both"/>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id-measuring-object="4n"/&gt;</w:t>
            </w:r>
          </w:p>
          <w:p w14:paraId="008B2F82" w14:textId="77777777" w:rsidR="00295C6D" w:rsidRPr="00A5626D" w:rsidRDefault="00295C6D" w:rsidP="00E31AE6">
            <w:pPr>
              <w:tabs>
                <w:tab w:val="left" w:pos="1134"/>
                <w:tab w:val="left" w:pos="7938"/>
              </w:tabs>
              <w:ind w:firstLine="346"/>
              <w:jc w:val="both"/>
              <w:rPr>
                <w:rFonts w:ascii="Garamond" w:eastAsia="Calibri" w:hAnsi="Garamond" w:cstheme="minorHAnsi"/>
                <w:sz w:val="22"/>
                <w:szCs w:val="22"/>
              </w:rPr>
            </w:pPr>
            <w:r w:rsidRPr="00A5626D">
              <w:rPr>
                <w:rFonts w:ascii="Garamond" w:eastAsia="Calibri" w:hAnsi="Garamond" w:cstheme="minorHAnsi"/>
                <w:sz w:val="22"/>
                <w:szCs w:val="22"/>
                <w:lang w:val="en-US"/>
              </w:rPr>
              <w:t xml:space="preserve">                                </w:t>
            </w:r>
            <w:r w:rsidRPr="00A5626D">
              <w:rPr>
                <w:rFonts w:ascii="Garamond" w:eastAsia="Calibri" w:hAnsi="Garamond" w:cstheme="minorHAnsi"/>
                <w:sz w:val="22"/>
                <w:szCs w:val="22"/>
              </w:rPr>
              <w:t>&lt;</w:t>
            </w:r>
            <w:r w:rsidRPr="00A5626D">
              <w:rPr>
                <w:rFonts w:ascii="Garamond" w:eastAsia="Calibri" w:hAnsi="Garamond" w:cstheme="minorHAnsi"/>
                <w:sz w:val="22"/>
                <w:szCs w:val="22"/>
                <w:lang w:val="en-US"/>
              </w:rPr>
              <w:t>calcformula</w:t>
            </w:r>
            <w:r w:rsidRPr="00A5626D">
              <w:rPr>
                <w:rFonts w:ascii="Garamond" w:eastAsia="Calibri" w:hAnsi="Garamond" w:cstheme="minorHAnsi"/>
                <w:sz w:val="22"/>
                <w:szCs w:val="22"/>
              </w:rPr>
              <w:t>&gt;</w:t>
            </w:r>
          </w:p>
          <w:p w14:paraId="76AA4752" w14:textId="77777777" w:rsidR="00295C6D" w:rsidRPr="00A5626D" w:rsidRDefault="00295C6D" w:rsidP="00E31AE6">
            <w:pPr>
              <w:tabs>
                <w:tab w:val="left" w:pos="1134"/>
                <w:tab w:val="left" w:pos="7938"/>
              </w:tabs>
              <w:ind w:firstLine="346"/>
              <w:jc w:val="both"/>
              <w:rPr>
                <w:rFonts w:ascii="Garamond" w:eastAsia="Calibri" w:hAnsi="Garamond" w:cstheme="minorHAnsi"/>
                <w:sz w:val="22"/>
                <w:szCs w:val="22"/>
              </w:rPr>
            </w:pPr>
            <w:r w:rsidRPr="00A5626D">
              <w:rPr>
                <w:rFonts w:ascii="Garamond" w:eastAsia="Calibri" w:hAnsi="Garamond" w:cstheme="minorHAnsi"/>
                <w:sz w:val="22"/>
                <w:szCs w:val="22"/>
              </w:rPr>
              <w:t xml:space="preserve">                                … &lt;!--здесь и далее многоточие означает, что элемент </w:t>
            </w:r>
            <w:r w:rsidRPr="00A5626D">
              <w:rPr>
                <w:rFonts w:ascii="Garamond" w:eastAsia="Calibri" w:hAnsi="Garamond" w:cstheme="minorHAnsi"/>
                <w:sz w:val="22"/>
                <w:szCs w:val="22"/>
                <w:lang w:val="en-US"/>
              </w:rPr>
              <w:t>calcformula</w:t>
            </w:r>
            <w:r w:rsidRPr="00A5626D">
              <w:rPr>
                <w:rFonts w:ascii="Garamond" w:eastAsia="Calibri" w:hAnsi="Garamond" w:cstheme="minorHAnsi"/>
                <w:sz w:val="22"/>
                <w:szCs w:val="22"/>
              </w:rPr>
              <w:t xml:space="preserve"> описывается многократно и рекуррентно с тем же набором атрибутов и дочерних элементов до конца формулы расчета потерь --&gt;</w:t>
            </w:r>
          </w:p>
          <w:p w14:paraId="7D7EFE5C" w14:textId="77777777" w:rsidR="00295C6D" w:rsidRPr="00A5626D" w:rsidRDefault="00295C6D" w:rsidP="00E31AE6">
            <w:pPr>
              <w:tabs>
                <w:tab w:val="left" w:pos="1134"/>
                <w:tab w:val="left" w:pos="7938"/>
              </w:tabs>
              <w:ind w:firstLine="346"/>
              <w:jc w:val="both"/>
              <w:rPr>
                <w:rFonts w:ascii="Garamond" w:eastAsia="Calibri" w:hAnsi="Garamond" w:cstheme="minorHAnsi"/>
                <w:sz w:val="22"/>
                <w:szCs w:val="22"/>
              </w:rPr>
            </w:pPr>
            <w:r w:rsidRPr="00A5626D">
              <w:rPr>
                <w:rFonts w:ascii="Garamond" w:eastAsia="Calibri" w:hAnsi="Garamond" w:cstheme="minorHAnsi"/>
                <w:sz w:val="22"/>
                <w:szCs w:val="22"/>
              </w:rPr>
              <w:t xml:space="preserve">                                &lt;/</w:t>
            </w:r>
            <w:r w:rsidRPr="00A5626D">
              <w:rPr>
                <w:rFonts w:ascii="Garamond" w:eastAsia="Calibri" w:hAnsi="Garamond" w:cstheme="minorHAnsi"/>
                <w:sz w:val="22"/>
                <w:szCs w:val="22"/>
                <w:lang w:val="en-US"/>
              </w:rPr>
              <w:t>calcformula</w:t>
            </w:r>
            <w:r w:rsidRPr="00A5626D">
              <w:rPr>
                <w:rFonts w:ascii="Garamond" w:eastAsia="Calibri" w:hAnsi="Garamond" w:cstheme="minorHAnsi"/>
                <w:sz w:val="22"/>
                <w:szCs w:val="22"/>
              </w:rPr>
              <w:t>&gt;</w:t>
            </w:r>
          </w:p>
          <w:p w14:paraId="0BF1189E" w14:textId="77777777" w:rsidR="00295C6D" w:rsidRPr="00A5626D" w:rsidRDefault="00295C6D" w:rsidP="00E31AE6">
            <w:pPr>
              <w:tabs>
                <w:tab w:val="left" w:pos="1134"/>
                <w:tab w:val="left" w:pos="7938"/>
              </w:tabs>
              <w:ind w:firstLine="346"/>
              <w:jc w:val="both"/>
              <w:rPr>
                <w:rFonts w:ascii="Garamond" w:eastAsia="Calibri" w:hAnsi="Garamond" w:cstheme="minorHAnsi"/>
                <w:sz w:val="22"/>
                <w:szCs w:val="22"/>
              </w:rPr>
            </w:pPr>
            <w:r w:rsidRPr="00A5626D">
              <w:rPr>
                <w:rFonts w:ascii="Garamond" w:eastAsia="Calibri" w:hAnsi="Garamond" w:cstheme="minorHAnsi"/>
                <w:sz w:val="22"/>
                <w:szCs w:val="22"/>
              </w:rPr>
              <w:t xml:space="preserve">                                &lt;</w:t>
            </w:r>
            <w:r w:rsidRPr="00A5626D">
              <w:rPr>
                <w:rFonts w:ascii="Garamond" w:eastAsia="Calibri" w:hAnsi="Garamond" w:cstheme="minorHAnsi"/>
                <w:sz w:val="22"/>
                <w:szCs w:val="22"/>
                <w:lang w:val="en-US"/>
              </w:rPr>
              <w:t>calcsum</w:t>
            </w:r>
            <w:r w:rsidRPr="00A5626D">
              <w:rPr>
                <w:rFonts w:ascii="Garamond" w:eastAsia="Calibri" w:hAnsi="Garamond" w:cstheme="minorHAnsi"/>
                <w:sz w:val="22"/>
                <w:szCs w:val="22"/>
              </w:rPr>
              <w:t>&gt;</w:t>
            </w:r>
          </w:p>
          <w:p w14:paraId="3B4A2F5A" w14:textId="77777777" w:rsidR="00295C6D" w:rsidRPr="00A5626D" w:rsidRDefault="00295C6D" w:rsidP="00E31AE6">
            <w:pPr>
              <w:tabs>
                <w:tab w:val="left" w:pos="1134"/>
                <w:tab w:val="left" w:pos="7938"/>
              </w:tabs>
              <w:ind w:firstLine="346"/>
              <w:jc w:val="both"/>
              <w:rPr>
                <w:rFonts w:ascii="Garamond" w:eastAsia="Calibri" w:hAnsi="Garamond" w:cstheme="minorHAnsi"/>
                <w:sz w:val="22"/>
                <w:szCs w:val="22"/>
              </w:rPr>
            </w:pPr>
            <w:r w:rsidRPr="00A5626D">
              <w:rPr>
                <w:rFonts w:ascii="Garamond" w:eastAsia="Calibri" w:hAnsi="Garamond" w:cstheme="minorHAnsi"/>
                <w:sz w:val="22"/>
                <w:szCs w:val="22"/>
              </w:rPr>
              <w:t xml:space="preserve">                                … &lt;!--здесь и далее многоточие означает, что элемент </w:t>
            </w:r>
            <w:r w:rsidRPr="00A5626D">
              <w:rPr>
                <w:rFonts w:ascii="Garamond" w:eastAsia="Calibri" w:hAnsi="Garamond" w:cstheme="minorHAnsi"/>
                <w:sz w:val="22"/>
                <w:szCs w:val="22"/>
                <w:lang w:val="en-US"/>
              </w:rPr>
              <w:t>calcsum</w:t>
            </w:r>
            <w:r w:rsidRPr="00A5626D">
              <w:rPr>
                <w:rFonts w:ascii="Garamond" w:eastAsia="Calibri" w:hAnsi="Garamond" w:cstheme="minorHAnsi"/>
                <w:sz w:val="22"/>
                <w:szCs w:val="22"/>
              </w:rPr>
              <w:t xml:space="preserve"> описывается многократно и рекуррентно с тем же набором атрибутов и дочерних элементов до конца формулы расчета потерь --&gt;</w:t>
            </w:r>
          </w:p>
          <w:p w14:paraId="28077440" w14:textId="77777777" w:rsidR="00295C6D" w:rsidRPr="00A5626D" w:rsidRDefault="00295C6D" w:rsidP="00E31AE6">
            <w:pPr>
              <w:tabs>
                <w:tab w:val="left" w:pos="1134"/>
                <w:tab w:val="left" w:pos="7938"/>
              </w:tabs>
              <w:ind w:firstLine="346"/>
              <w:jc w:val="both"/>
              <w:rPr>
                <w:rFonts w:ascii="Garamond" w:eastAsia="Calibri" w:hAnsi="Garamond" w:cstheme="minorHAnsi"/>
                <w:sz w:val="22"/>
                <w:szCs w:val="22"/>
                <w:lang w:val="en-US"/>
              </w:rPr>
            </w:pPr>
            <w:r w:rsidRPr="00A5626D">
              <w:rPr>
                <w:rFonts w:ascii="Garamond" w:eastAsia="Calibri" w:hAnsi="Garamond" w:cstheme="minorHAnsi"/>
                <w:sz w:val="22"/>
                <w:szCs w:val="22"/>
              </w:rPr>
              <w:t xml:space="preserve">                                </w:t>
            </w:r>
            <w:r w:rsidRPr="00A5626D">
              <w:rPr>
                <w:rFonts w:ascii="Garamond" w:eastAsia="Calibri" w:hAnsi="Garamond" w:cstheme="minorHAnsi"/>
                <w:sz w:val="22"/>
                <w:szCs w:val="22"/>
                <w:lang w:val="en-US"/>
              </w:rPr>
              <w:t>&lt;/calcsum&gt;</w:t>
            </w:r>
          </w:p>
          <w:p w14:paraId="41038BF3" w14:textId="77777777" w:rsidR="00295C6D" w:rsidRPr="00A5626D" w:rsidRDefault="00295C6D" w:rsidP="00E31AE6">
            <w:pPr>
              <w:tabs>
                <w:tab w:val="left" w:pos="1134"/>
                <w:tab w:val="left" w:pos="7938"/>
              </w:tabs>
              <w:ind w:firstLine="346"/>
              <w:jc w:val="both"/>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&lt;constvalue&gt;</w:t>
            </w:r>
          </w:p>
          <w:p w14:paraId="401CB4CE" w14:textId="77777777" w:rsidR="00295C6D" w:rsidRPr="00A5626D" w:rsidRDefault="00295C6D" w:rsidP="00E31AE6">
            <w:pPr>
              <w:tabs>
                <w:tab w:val="left" w:pos="1134"/>
                <w:tab w:val="left" w:pos="7938"/>
              </w:tabs>
              <w:ind w:firstLine="346"/>
              <w:jc w:val="both"/>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"32n"</w:t>
            </w:r>
          </w:p>
          <w:p w14:paraId="28512046" w14:textId="77777777" w:rsidR="00295C6D" w:rsidRPr="00A5626D" w:rsidRDefault="00295C6D" w:rsidP="00E31AE6">
            <w:pPr>
              <w:tabs>
                <w:tab w:val="left" w:pos="1134"/>
                <w:tab w:val="left" w:pos="7938"/>
              </w:tabs>
              <w:ind w:firstLine="346"/>
              <w:jc w:val="both"/>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&lt;/constvalue&gt;</w:t>
            </w:r>
          </w:p>
          <w:p w14:paraId="4B4FE450" w14:textId="77777777" w:rsidR="00295C6D" w:rsidRPr="00A5626D" w:rsidRDefault="00295C6D" w:rsidP="00E31AE6">
            <w:pPr>
              <w:tabs>
                <w:tab w:val="left" w:pos="1134"/>
                <w:tab w:val="left" w:pos="7938"/>
              </w:tabs>
              <w:ind w:firstLine="346"/>
              <w:jc w:val="both"/>
              <w:rPr>
                <w:rFonts w:ascii="Garamond" w:hAnsi="Garamond" w:cstheme="minorHAnsi"/>
                <w:sz w:val="22"/>
                <w:szCs w:val="22"/>
                <w:lang w:val="en-US"/>
              </w:rPr>
            </w:pPr>
            <w:r w:rsidRPr="00A5626D">
              <w:rPr>
                <w:rFonts w:ascii="Garamond" w:eastAsia="Calibri" w:hAnsi="Garamond" w:cstheme="minorHAnsi"/>
                <w:sz w:val="22"/>
                <w:szCs w:val="22"/>
                <w:lang w:val="en-US"/>
              </w:rPr>
              <w:t xml:space="preserve">                            &lt;/param&gt;</w:t>
            </w:r>
          </w:p>
          <w:p w14:paraId="52F6A475" w14:textId="77777777" w:rsidR="00295C6D" w:rsidRPr="00A5626D" w:rsidRDefault="00295C6D" w:rsidP="00E31AE6">
            <w:pPr>
              <w:tabs>
                <w:tab w:val="left" w:pos="1134"/>
                <w:tab w:val="left" w:pos="7938"/>
              </w:tabs>
              <w:ind w:firstLine="346"/>
              <w:jc w:val="both"/>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&lt;/calcformula&gt;</w:t>
            </w:r>
          </w:p>
          <w:p w14:paraId="5B0FFCB6" w14:textId="77777777" w:rsidR="00295C6D" w:rsidRPr="00A5626D" w:rsidRDefault="00295C6D" w:rsidP="00E31AE6">
            <w:pPr>
              <w:tabs>
                <w:tab w:val="left" w:pos="1134"/>
                <w:tab w:val="left" w:pos="7938"/>
              </w:tabs>
              <w:ind w:firstLine="346"/>
              <w:jc w:val="both"/>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&lt;/send&gt;</w:t>
            </w:r>
          </w:p>
          <w:p w14:paraId="0F5EB4A7" w14:textId="77777777" w:rsidR="00295C6D" w:rsidRPr="00A5626D" w:rsidRDefault="00295C6D" w:rsidP="00E31AE6">
            <w:pPr>
              <w:tabs>
                <w:tab w:val="left" w:pos="1134"/>
                <w:tab w:val="left" w:pos="7938"/>
              </w:tabs>
              <w:ind w:firstLine="346"/>
              <w:jc w:val="both"/>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&lt;receive&gt;</w:t>
            </w:r>
          </w:p>
          <w:p w14:paraId="3F4518AD" w14:textId="77777777" w:rsidR="00295C6D" w:rsidRPr="00A5626D" w:rsidRDefault="00295C6D" w:rsidP="00E31AE6">
            <w:pPr>
              <w:tabs>
                <w:tab w:val="left" w:pos="1134"/>
                <w:tab w:val="left" w:pos="7938"/>
              </w:tabs>
              <w:ind w:firstLine="346"/>
              <w:jc w:val="both"/>
              <w:rPr>
                <w:rFonts w:ascii="Garamond" w:eastAsia="Calibri" w:hAnsi="Garamond" w:cstheme="minorHAnsi"/>
                <w:sz w:val="22"/>
                <w:szCs w:val="22"/>
                <w:lang w:val="en-US"/>
              </w:rPr>
            </w:pPr>
            <w:r w:rsidRPr="00A5626D">
              <w:rPr>
                <w:rFonts w:ascii="Garamond" w:eastAsia="Calibri" w:hAnsi="Garamond" w:cstheme="minorHAnsi"/>
                <w:sz w:val="22"/>
                <w:szCs w:val="22"/>
                <w:lang w:val="en-US"/>
              </w:rPr>
              <w:lastRenderedPageBreak/>
              <w:t xml:space="preserve">                        &lt;comment&gt;</w:t>
            </w:r>
          </w:p>
          <w:p w14:paraId="58D06C8E" w14:textId="77777777" w:rsidR="00295C6D" w:rsidRPr="00A5626D" w:rsidRDefault="00295C6D" w:rsidP="00E31AE6">
            <w:pPr>
              <w:tabs>
                <w:tab w:val="left" w:pos="1134"/>
                <w:tab w:val="left" w:pos="7938"/>
              </w:tabs>
              <w:ind w:firstLine="346"/>
              <w:jc w:val="both"/>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&lt;![CDATA[…]]&gt;</w:t>
            </w:r>
          </w:p>
          <w:p w14:paraId="4EE156E8" w14:textId="77777777" w:rsidR="00295C6D" w:rsidRPr="00A5626D" w:rsidRDefault="00295C6D" w:rsidP="00E31AE6">
            <w:pPr>
              <w:tabs>
                <w:tab w:val="left" w:pos="1134"/>
                <w:tab w:val="left" w:pos="7938"/>
              </w:tabs>
              <w:ind w:firstLine="346"/>
              <w:jc w:val="both"/>
              <w:rPr>
                <w:rFonts w:ascii="Garamond" w:hAnsi="Garamond" w:cstheme="minorHAnsi"/>
                <w:sz w:val="22"/>
                <w:szCs w:val="22"/>
                <w:lang w:val="en-US"/>
              </w:rPr>
            </w:pPr>
            <w:r w:rsidRPr="00A5626D">
              <w:rPr>
                <w:rFonts w:ascii="Garamond" w:eastAsia="Calibri" w:hAnsi="Garamond" w:cstheme="minorHAnsi"/>
                <w:sz w:val="22"/>
                <w:szCs w:val="22"/>
                <w:lang w:val="en-US"/>
              </w:rPr>
              <w:t xml:space="preserve">                        &lt;/comment&gt;</w:t>
            </w:r>
          </w:p>
          <w:p w14:paraId="35CFDB86" w14:textId="77777777" w:rsidR="00295C6D" w:rsidRPr="00A5626D" w:rsidRDefault="00295C6D" w:rsidP="00E31AE6">
            <w:pPr>
              <w:tabs>
                <w:tab w:val="left" w:pos="1134"/>
                <w:tab w:val="left" w:pos="7938"/>
              </w:tabs>
              <w:ind w:firstLine="346"/>
              <w:jc w:val="both"/>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&lt;calcsum </w:t>
            </w:r>
          </w:p>
          <w:p w14:paraId="022563F9" w14:textId="77777777" w:rsidR="00295C6D" w:rsidRPr="00A5626D" w:rsidRDefault="00295C6D" w:rsidP="00E31AE6">
            <w:pPr>
              <w:tabs>
                <w:tab w:val="left" w:pos="1134"/>
                <w:tab w:val="left" w:pos="7938"/>
              </w:tabs>
              <w:ind w:firstLine="346"/>
              <w:jc w:val="both"/>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losses-coefficient="2n"&gt;</w:t>
            </w:r>
          </w:p>
          <w:p w14:paraId="6F78F516" w14:textId="77777777" w:rsidR="00295C6D" w:rsidRPr="00A5626D" w:rsidRDefault="00295C6D" w:rsidP="00E31AE6">
            <w:pPr>
              <w:tabs>
                <w:tab w:val="left" w:pos="1134"/>
                <w:tab w:val="left" w:pos="7938"/>
              </w:tabs>
              <w:ind w:firstLine="346"/>
              <w:jc w:val="both"/>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&lt;measuring-channel </w:t>
            </w:r>
          </w:p>
          <w:p w14:paraId="0E5F3E97" w14:textId="77777777" w:rsidR="00295C6D" w:rsidRPr="00A5626D" w:rsidRDefault="00295C6D" w:rsidP="00E31AE6">
            <w:pPr>
              <w:tabs>
                <w:tab w:val="left" w:pos="1134"/>
                <w:tab w:val="left" w:pos="7938"/>
              </w:tabs>
              <w:ind w:firstLine="346"/>
              <w:jc w:val="both"/>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coefficient="100n" </w:t>
            </w:r>
          </w:p>
          <w:p w14:paraId="76F0D921" w14:textId="77777777" w:rsidR="00295C6D" w:rsidRPr="00A5626D" w:rsidRDefault="00295C6D" w:rsidP="00E31AE6">
            <w:pPr>
              <w:tabs>
                <w:tab w:val="left" w:pos="1134"/>
                <w:tab w:val="left" w:pos="7938"/>
              </w:tabs>
              <w:ind w:firstLine="346"/>
              <w:jc w:val="both"/>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id-measuring-channel="4n"/&gt;</w:t>
            </w:r>
          </w:p>
          <w:p w14:paraId="10C6C2A0" w14:textId="77777777" w:rsidR="00295C6D" w:rsidRPr="00A5626D" w:rsidRDefault="00295C6D" w:rsidP="00E31AE6">
            <w:pPr>
              <w:tabs>
                <w:tab w:val="left" w:pos="1134"/>
                <w:tab w:val="left" w:pos="7938"/>
              </w:tabs>
              <w:ind w:firstLine="346"/>
              <w:jc w:val="both"/>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&lt;/calcsum&gt;</w:t>
            </w:r>
          </w:p>
          <w:p w14:paraId="34251C83" w14:textId="77777777" w:rsidR="00295C6D" w:rsidRPr="00A5626D" w:rsidRDefault="00295C6D" w:rsidP="00E31AE6">
            <w:pPr>
              <w:tabs>
                <w:tab w:val="left" w:pos="1134"/>
                <w:tab w:val="left" w:pos="7938"/>
              </w:tabs>
              <w:ind w:firstLine="346"/>
              <w:jc w:val="both"/>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&lt;calcformula</w:t>
            </w:r>
          </w:p>
          <w:p w14:paraId="0EC3A3C3" w14:textId="77777777" w:rsidR="00295C6D" w:rsidRPr="00A5626D" w:rsidRDefault="00295C6D" w:rsidP="00E31AE6">
            <w:pPr>
              <w:tabs>
                <w:tab w:val="left" w:pos="1134"/>
                <w:tab w:val="left" w:pos="7938"/>
              </w:tabs>
              <w:ind w:firstLine="346"/>
              <w:jc w:val="both"/>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name="50x"&gt;</w:t>
            </w:r>
          </w:p>
          <w:p w14:paraId="026E1EF9" w14:textId="77777777" w:rsidR="00295C6D" w:rsidRPr="00A5626D" w:rsidRDefault="00295C6D" w:rsidP="00E31AE6">
            <w:pPr>
              <w:tabs>
                <w:tab w:val="left" w:pos="1134"/>
                <w:tab w:val="left" w:pos="7938"/>
              </w:tabs>
              <w:ind w:firstLine="346"/>
              <w:jc w:val="both"/>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&lt;param</w:t>
            </w:r>
          </w:p>
          <w:p w14:paraId="55A6F399" w14:textId="77777777" w:rsidR="00295C6D" w:rsidRPr="00A5626D" w:rsidRDefault="00295C6D" w:rsidP="00E31AE6">
            <w:pPr>
              <w:tabs>
                <w:tab w:val="left" w:pos="1134"/>
                <w:tab w:val="left" w:pos="7938"/>
              </w:tabs>
              <w:ind w:firstLine="346"/>
              <w:jc w:val="both"/>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name="50x"</w:t>
            </w:r>
          </w:p>
          <w:p w14:paraId="00DC16D2" w14:textId="77777777" w:rsidR="00295C6D" w:rsidRPr="00A5626D" w:rsidRDefault="00295C6D" w:rsidP="00E31AE6">
            <w:pPr>
              <w:tabs>
                <w:tab w:val="left" w:pos="1134"/>
                <w:tab w:val="left" w:pos="7938"/>
              </w:tabs>
              <w:ind w:firstLine="346"/>
              <w:jc w:val="both"/>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type="CONST/SUM/FORMULA/MOBJECT"&gt;</w:t>
            </w:r>
          </w:p>
          <w:p w14:paraId="16641F6D" w14:textId="77777777" w:rsidR="00295C6D" w:rsidRPr="00A5626D" w:rsidRDefault="00295C6D" w:rsidP="00E31AE6">
            <w:pPr>
              <w:tabs>
                <w:tab w:val="left" w:pos="1134"/>
                <w:tab w:val="left" w:pos="7938"/>
              </w:tabs>
              <w:ind w:firstLine="346"/>
              <w:jc w:val="both"/>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&lt;measuring-object</w:t>
            </w:r>
          </w:p>
          <w:p w14:paraId="1A1667BA" w14:textId="77777777" w:rsidR="00295C6D" w:rsidRPr="00A5626D" w:rsidRDefault="00295C6D" w:rsidP="00E31AE6">
            <w:pPr>
              <w:tabs>
                <w:tab w:val="left" w:pos="1134"/>
                <w:tab w:val="left" w:pos="7938"/>
              </w:tabs>
              <w:ind w:firstLine="346"/>
              <w:jc w:val="both"/>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id-measuring-object="4n"/&gt;</w:t>
            </w:r>
          </w:p>
          <w:p w14:paraId="6896025A" w14:textId="77777777" w:rsidR="00295C6D" w:rsidRPr="00A5626D" w:rsidRDefault="00295C6D" w:rsidP="00E31AE6">
            <w:pPr>
              <w:tabs>
                <w:tab w:val="left" w:pos="1134"/>
                <w:tab w:val="left" w:pos="7938"/>
              </w:tabs>
              <w:ind w:firstLine="346"/>
              <w:jc w:val="both"/>
              <w:rPr>
                <w:rFonts w:ascii="Garamond" w:eastAsia="Calibri" w:hAnsi="Garamond" w:cstheme="minorHAnsi"/>
                <w:sz w:val="22"/>
                <w:szCs w:val="22"/>
                <w:lang w:val="es-ES"/>
              </w:rPr>
            </w:pPr>
            <w:r w:rsidRPr="00A5626D">
              <w:rPr>
                <w:rFonts w:ascii="Garamond" w:eastAsia="Calibri" w:hAnsi="Garamond" w:cstheme="minorHAnsi"/>
                <w:sz w:val="22"/>
                <w:szCs w:val="22"/>
                <w:lang w:val="en-US"/>
              </w:rPr>
              <w:t xml:space="preserve">                                </w:t>
            </w:r>
            <w:r w:rsidRPr="00A5626D">
              <w:rPr>
                <w:rFonts w:ascii="Garamond" w:eastAsia="Calibri" w:hAnsi="Garamond" w:cstheme="minorHAnsi"/>
                <w:sz w:val="22"/>
                <w:szCs w:val="22"/>
                <w:lang w:val="es-ES"/>
              </w:rPr>
              <w:t>&lt;calcformula&gt;</w:t>
            </w:r>
          </w:p>
          <w:p w14:paraId="5DE52C98" w14:textId="77777777" w:rsidR="00295C6D" w:rsidRPr="00A5626D" w:rsidRDefault="00295C6D" w:rsidP="00E31AE6">
            <w:pPr>
              <w:tabs>
                <w:tab w:val="left" w:pos="1134"/>
                <w:tab w:val="left" w:pos="7938"/>
              </w:tabs>
              <w:ind w:firstLine="346"/>
              <w:jc w:val="both"/>
              <w:rPr>
                <w:rFonts w:ascii="Garamond" w:eastAsia="Calibri" w:hAnsi="Garamond" w:cstheme="minorHAnsi"/>
                <w:sz w:val="22"/>
                <w:szCs w:val="22"/>
                <w:lang w:val="es-ES"/>
              </w:rPr>
            </w:pPr>
            <w:r w:rsidRPr="00A5626D">
              <w:rPr>
                <w:rFonts w:ascii="Garamond" w:eastAsia="Calibri" w:hAnsi="Garamond" w:cstheme="minorHAnsi"/>
                <w:sz w:val="22"/>
                <w:szCs w:val="22"/>
                <w:lang w:val="es-ES"/>
              </w:rPr>
              <w:t xml:space="preserve">                                …</w:t>
            </w:r>
          </w:p>
          <w:p w14:paraId="3BECA8F9" w14:textId="77777777" w:rsidR="00295C6D" w:rsidRPr="00A5626D" w:rsidRDefault="00295C6D" w:rsidP="00E31AE6">
            <w:pPr>
              <w:tabs>
                <w:tab w:val="left" w:pos="1134"/>
                <w:tab w:val="left" w:pos="7938"/>
              </w:tabs>
              <w:ind w:firstLine="346"/>
              <w:jc w:val="both"/>
              <w:rPr>
                <w:rFonts w:ascii="Garamond" w:eastAsia="Calibri" w:hAnsi="Garamond" w:cstheme="minorHAnsi"/>
                <w:sz w:val="22"/>
                <w:szCs w:val="22"/>
                <w:lang w:val="es-ES"/>
              </w:rPr>
            </w:pPr>
            <w:r w:rsidRPr="00A5626D">
              <w:rPr>
                <w:rFonts w:ascii="Garamond" w:eastAsia="Calibri" w:hAnsi="Garamond" w:cstheme="minorHAnsi"/>
                <w:sz w:val="22"/>
                <w:szCs w:val="22"/>
                <w:lang w:val="es-ES"/>
              </w:rPr>
              <w:t xml:space="preserve">                                &lt;/calcformula&gt;</w:t>
            </w:r>
          </w:p>
          <w:p w14:paraId="011B2590" w14:textId="77777777" w:rsidR="00295C6D" w:rsidRPr="00A5626D" w:rsidRDefault="00295C6D" w:rsidP="00E31AE6">
            <w:pPr>
              <w:tabs>
                <w:tab w:val="left" w:pos="1134"/>
                <w:tab w:val="left" w:pos="7938"/>
              </w:tabs>
              <w:ind w:firstLine="346"/>
              <w:jc w:val="both"/>
              <w:rPr>
                <w:rFonts w:ascii="Garamond" w:eastAsia="Calibri" w:hAnsi="Garamond" w:cstheme="minorHAnsi"/>
                <w:sz w:val="22"/>
                <w:szCs w:val="22"/>
                <w:lang w:val="es-ES"/>
              </w:rPr>
            </w:pPr>
            <w:r w:rsidRPr="00A5626D">
              <w:rPr>
                <w:rFonts w:ascii="Garamond" w:eastAsia="Calibri" w:hAnsi="Garamond" w:cstheme="minorHAnsi"/>
                <w:sz w:val="22"/>
                <w:szCs w:val="22"/>
                <w:lang w:val="es-ES"/>
              </w:rPr>
              <w:t xml:space="preserve">                                &lt;calcsum&gt;</w:t>
            </w:r>
          </w:p>
          <w:p w14:paraId="097CB545" w14:textId="77777777" w:rsidR="00295C6D" w:rsidRPr="00A5626D" w:rsidRDefault="00295C6D" w:rsidP="00E31AE6">
            <w:pPr>
              <w:tabs>
                <w:tab w:val="left" w:pos="1134"/>
                <w:tab w:val="left" w:pos="7938"/>
              </w:tabs>
              <w:ind w:firstLine="346"/>
              <w:jc w:val="both"/>
              <w:rPr>
                <w:rFonts w:ascii="Garamond" w:eastAsia="Calibri" w:hAnsi="Garamond" w:cstheme="minorHAnsi"/>
                <w:sz w:val="22"/>
                <w:szCs w:val="22"/>
                <w:lang w:val="es-ES"/>
              </w:rPr>
            </w:pPr>
            <w:r w:rsidRPr="00A5626D">
              <w:rPr>
                <w:rFonts w:ascii="Garamond" w:eastAsia="Calibri" w:hAnsi="Garamond" w:cstheme="minorHAnsi"/>
                <w:sz w:val="22"/>
                <w:szCs w:val="22"/>
                <w:lang w:val="es-ES"/>
              </w:rPr>
              <w:t xml:space="preserve">                                …</w:t>
            </w:r>
          </w:p>
          <w:p w14:paraId="1042D523" w14:textId="77777777" w:rsidR="00295C6D" w:rsidRPr="00A5626D" w:rsidRDefault="00295C6D" w:rsidP="00E31AE6">
            <w:pPr>
              <w:tabs>
                <w:tab w:val="left" w:pos="1134"/>
                <w:tab w:val="left" w:pos="7938"/>
              </w:tabs>
              <w:ind w:firstLine="346"/>
              <w:jc w:val="both"/>
              <w:rPr>
                <w:rFonts w:ascii="Garamond" w:eastAsia="Calibri" w:hAnsi="Garamond" w:cstheme="minorHAnsi"/>
                <w:sz w:val="22"/>
                <w:szCs w:val="22"/>
                <w:lang w:val="es-ES"/>
              </w:rPr>
            </w:pPr>
            <w:r w:rsidRPr="00A5626D">
              <w:rPr>
                <w:rFonts w:ascii="Garamond" w:eastAsia="Calibri" w:hAnsi="Garamond" w:cstheme="minorHAnsi"/>
                <w:sz w:val="22"/>
                <w:szCs w:val="22"/>
                <w:lang w:val="es-ES"/>
              </w:rPr>
              <w:t xml:space="preserve">                                &lt;/calcsum&gt;</w:t>
            </w:r>
          </w:p>
          <w:p w14:paraId="6EF7601D" w14:textId="77777777" w:rsidR="00295C6D" w:rsidRPr="00A5626D" w:rsidRDefault="00295C6D" w:rsidP="00E31AE6">
            <w:pPr>
              <w:tabs>
                <w:tab w:val="left" w:pos="1134"/>
                <w:tab w:val="left" w:pos="7938"/>
              </w:tabs>
              <w:ind w:firstLine="346"/>
              <w:jc w:val="both"/>
              <w:rPr>
                <w:rFonts w:ascii="Garamond" w:eastAsia="Calibri" w:hAnsi="Garamond" w:cstheme="minorHAnsi"/>
                <w:sz w:val="22"/>
                <w:szCs w:val="22"/>
                <w:lang w:val="es-ES"/>
              </w:rPr>
            </w:pPr>
            <w:r w:rsidRPr="00A5626D">
              <w:rPr>
                <w:rFonts w:ascii="Garamond" w:eastAsia="Calibri" w:hAnsi="Garamond" w:cstheme="minorHAnsi"/>
                <w:sz w:val="22"/>
                <w:szCs w:val="22"/>
                <w:lang w:val="es-ES"/>
              </w:rPr>
              <w:t xml:space="preserve">                                &lt;constvalue&gt; </w:t>
            </w:r>
          </w:p>
          <w:p w14:paraId="232F2A2A" w14:textId="77777777" w:rsidR="00295C6D" w:rsidRPr="00A5626D" w:rsidRDefault="00295C6D" w:rsidP="00E31AE6">
            <w:pPr>
              <w:tabs>
                <w:tab w:val="left" w:pos="1134"/>
                <w:tab w:val="left" w:pos="7938"/>
              </w:tabs>
              <w:ind w:firstLine="346"/>
              <w:jc w:val="both"/>
              <w:rPr>
                <w:rFonts w:ascii="Garamond" w:eastAsia="Calibri" w:hAnsi="Garamond" w:cstheme="minorHAnsi"/>
                <w:sz w:val="22"/>
                <w:szCs w:val="22"/>
                <w:lang w:val="en-US"/>
              </w:rPr>
            </w:pPr>
            <w:r w:rsidRPr="00A5626D">
              <w:rPr>
                <w:rFonts w:ascii="Garamond" w:eastAsia="Calibri" w:hAnsi="Garamond" w:cstheme="minorHAnsi"/>
                <w:sz w:val="22"/>
                <w:szCs w:val="22"/>
                <w:lang w:val="es-ES"/>
              </w:rPr>
              <w:t xml:space="preserve">                                </w:t>
            </w:r>
            <w:r w:rsidRPr="00A5626D">
              <w:rPr>
                <w:rFonts w:ascii="Garamond" w:eastAsia="Calibri" w:hAnsi="Garamond" w:cstheme="minorHAnsi"/>
                <w:sz w:val="22"/>
                <w:szCs w:val="22"/>
                <w:lang w:val="en-US"/>
              </w:rPr>
              <w:t>"32n"</w:t>
            </w:r>
          </w:p>
          <w:p w14:paraId="63716599" w14:textId="77777777" w:rsidR="00295C6D" w:rsidRPr="00A5626D" w:rsidRDefault="00295C6D" w:rsidP="00E31AE6">
            <w:pPr>
              <w:tabs>
                <w:tab w:val="left" w:pos="1134"/>
                <w:tab w:val="left" w:pos="7938"/>
              </w:tabs>
              <w:ind w:firstLine="346"/>
              <w:jc w:val="both"/>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&lt;/constvalue&gt;</w:t>
            </w:r>
          </w:p>
          <w:p w14:paraId="10537E58" w14:textId="77777777" w:rsidR="00295C6D" w:rsidRPr="00A5626D" w:rsidRDefault="00295C6D" w:rsidP="00E31AE6">
            <w:pPr>
              <w:tabs>
                <w:tab w:val="left" w:pos="1134"/>
                <w:tab w:val="left" w:pos="7938"/>
              </w:tabs>
              <w:ind w:firstLine="346"/>
              <w:jc w:val="both"/>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&lt;/param&gt;</w:t>
            </w:r>
          </w:p>
          <w:p w14:paraId="6E22AEB0" w14:textId="77777777" w:rsidR="00295C6D" w:rsidRPr="00A5626D" w:rsidRDefault="00295C6D" w:rsidP="00E31AE6">
            <w:pPr>
              <w:tabs>
                <w:tab w:val="left" w:pos="1134"/>
                <w:tab w:val="left" w:pos="7938"/>
              </w:tabs>
              <w:ind w:firstLine="346"/>
              <w:jc w:val="both"/>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&lt;/calcformula&gt;</w:t>
            </w:r>
          </w:p>
          <w:p w14:paraId="43948308" w14:textId="77777777" w:rsidR="00295C6D" w:rsidRPr="00A5626D" w:rsidRDefault="00295C6D" w:rsidP="00E31AE6">
            <w:pPr>
              <w:tabs>
                <w:tab w:val="left" w:pos="1134"/>
                <w:tab w:val="left" w:pos="7938"/>
              </w:tabs>
              <w:ind w:firstLine="346"/>
              <w:jc w:val="both"/>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&lt;/receive&gt;</w:t>
            </w:r>
          </w:p>
          <w:p w14:paraId="3373B5BB" w14:textId="77777777" w:rsidR="00295C6D" w:rsidRPr="00A5626D" w:rsidRDefault="00295C6D" w:rsidP="00E31AE6">
            <w:pPr>
              <w:tabs>
                <w:tab w:val="left" w:pos="1134"/>
                <w:tab w:val="left" w:pos="7938"/>
              </w:tabs>
              <w:ind w:firstLine="346"/>
              <w:jc w:val="both"/>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&lt;send-losses&gt;</w:t>
            </w:r>
          </w:p>
          <w:p w14:paraId="790F8904" w14:textId="77777777" w:rsidR="00295C6D" w:rsidRPr="00A5626D" w:rsidRDefault="00295C6D" w:rsidP="00E31AE6">
            <w:pPr>
              <w:tabs>
                <w:tab w:val="left" w:pos="1134"/>
                <w:tab w:val="left" w:pos="7938"/>
              </w:tabs>
              <w:ind w:firstLine="346"/>
              <w:jc w:val="both"/>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time-ratio="30/60"</w:t>
            </w:r>
          </w:p>
          <w:p w14:paraId="64086699" w14:textId="77777777" w:rsidR="00295C6D" w:rsidRPr="00A5626D" w:rsidRDefault="00295C6D" w:rsidP="00E31AE6">
            <w:pPr>
              <w:tabs>
                <w:tab w:val="left" w:pos="1134"/>
                <w:tab w:val="left" w:pos="7938"/>
              </w:tabs>
              <w:ind w:firstLine="346"/>
              <w:jc w:val="both"/>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w:t>
            </w:r>
            <w:r w:rsidRPr="00A5626D">
              <w:rPr>
                <w:rFonts w:ascii="Garamond" w:hAnsi="Garamond" w:cstheme="minorHAnsi"/>
                <w:sz w:val="22"/>
                <w:szCs w:val="22"/>
                <w:lang w:val="en-US"/>
              </w:rPr>
              <w:tab/>
            </w:r>
            <w:r w:rsidRPr="00A5626D">
              <w:rPr>
                <w:rFonts w:ascii="Garamond" w:eastAsia="Calibri" w:hAnsi="Garamond" w:cstheme="minorHAnsi"/>
                <w:sz w:val="22"/>
                <w:szCs w:val="22"/>
                <w:lang w:val="en-US"/>
              </w:rPr>
              <w:t>&lt;comment&gt;</w:t>
            </w:r>
          </w:p>
          <w:p w14:paraId="3154D712" w14:textId="77777777" w:rsidR="00295C6D" w:rsidRPr="00A5626D" w:rsidRDefault="00295C6D" w:rsidP="00E31AE6">
            <w:pPr>
              <w:tabs>
                <w:tab w:val="left" w:pos="1134"/>
                <w:tab w:val="left" w:pos="7938"/>
              </w:tabs>
              <w:ind w:firstLine="346"/>
              <w:jc w:val="both"/>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&lt;![CDATA[…]]&gt;</w:t>
            </w:r>
          </w:p>
          <w:p w14:paraId="1ECB9F10" w14:textId="77777777" w:rsidR="00295C6D" w:rsidRPr="00A5626D" w:rsidRDefault="00295C6D" w:rsidP="00E31AE6">
            <w:pPr>
              <w:tabs>
                <w:tab w:val="left" w:pos="1134"/>
                <w:tab w:val="left" w:pos="7938"/>
              </w:tabs>
              <w:ind w:firstLine="346"/>
              <w:jc w:val="both"/>
              <w:rPr>
                <w:rFonts w:ascii="Garamond" w:hAnsi="Garamond" w:cstheme="minorHAnsi"/>
                <w:sz w:val="22"/>
                <w:szCs w:val="22"/>
                <w:lang w:val="en-US"/>
              </w:rPr>
            </w:pPr>
            <w:r w:rsidRPr="00A5626D">
              <w:rPr>
                <w:rFonts w:ascii="Garamond" w:eastAsia="Calibri" w:hAnsi="Garamond" w:cstheme="minorHAnsi"/>
                <w:sz w:val="22"/>
                <w:szCs w:val="22"/>
                <w:lang w:val="en-US"/>
              </w:rPr>
              <w:t xml:space="preserve">                         &lt;/comment&gt;</w:t>
            </w:r>
          </w:p>
          <w:p w14:paraId="04A1F445" w14:textId="77777777" w:rsidR="00295C6D" w:rsidRPr="00A5626D" w:rsidRDefault="00295C6D" w:rsidP="00E31AE6">
            <w:pPr>
              <w:tabs>
                <w:tab w:val="left" w:pos="1134"/>
                <w:tab w:val="left" w:pos="7938"/>
              </w:tabs>
              <w:ind w:firstLine="346"/>
              <w:jc w:val="both"/>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&lt;calcformula</w:t>
            </w:r>
          </w:p>
          <w:p w14:paraId="5424AB2B" w14:textId="77777777" w:rsidR="00295C6D" w:rsidRPr="00A5626D" w:rsidRDefault="00295C6D" w:rsidP="00E31AE6">
            <w:pPr>
              <w:tabs>
                <w:tab w:val="left" w:pos="1134"/>
                <w:tab w:val="left" w:pos="7938"/>
              </w:tabs>
              <w:ind w:firstLine="346"/>
              <w:jc w:val="both"/>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name="50x"&gt;</w:t>
            </w:r>
          </w:p>
          <w:p w14:paraId="1DC781FD" w14:textId="77777777" w:rsidR="00295C6D" w:rsidRPr="00A5626D" w:rsidRDefault="00295C6D" w:rsidP="00E31AE6">
            <w:pPr>
              <w:tabs>
                <w:tab w:val="left" w:pos="1134"/>
                <w:tab w:val="left" w:pos="7938"/>
              </w:tabs>
              <w:ind w:firstLine="346"/>
              <w:jc w:val="both"/>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&lt;param</w:t>
            </w:r>
          </w:p>
          <w:p w14:paraId="09D299EF" w14:textId="77777777" w:rsidR="00295C6D" w:rsidRPr="00A5626D" w:rsidRDefault="00295C6D" w:rsidP="00E31AE6">
            <w:pPr>
              <w:tabs>
                <w:tab w:val="left" w:pos="1134"/>
                <w:tab w:val="left" w:pos="7938"/>
              </w:tabs>
              <w:ind w:firstLine="346"/>
              <w:jc w:val="both"/>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name="50x"</w:t>
            </w:r>
          </w:p>
          <w:p w14:paraId="6F682330" w14:textId="77777777" w:rsidR="00295C6D" w:rsidRPr="00A5626D" w:rsidRDefault="00295C6D" w:rsidP="00E31AE6">
            <w:pPr>
              <w:tabs>
                <w:tab w:val="left" w:pos="1134"/>
                <w:tab w:val="left" w:pos="7938"/>
              </w:tabs>
              <w:ind w:firstLine="346"/>
              <w:jc w:val="both"/>
              <w:rPr>
                <w:rFonts w:ascii="Garamond" w:eastAsia="Calibri" w:hAnsi="Garamond" w:cstheme="minorHAnsi"/>
                <w:sz w:val="22"/>
                <w:szCs w:val="22"/>
                <w:lang w:val="en-US"/>
              </w:rPr>
            </w:pPr>
            <w:r w:rsidRPr="00A5626D">
              <w:rPr>
                <w:rFonts w:ascii="Garamond" w:eastAsia="Calibri" w:hAnsi="Garamond" w:cstheme="minorHAnsi"/>
                <w:sz w:val="22"/>
                <w:szCs w:val="22"/>
                <w:lang w:val="en-US"/>
              </w:rPr>
              <w:lastRenderedPageBreak/>
              <w:t xml:space="preserve">                            type="CONST/SUM/FORMULA/MOBJECT"&gt;</w:t>
            </w:r>
          </w:p>
          <w:p w14:paraId="091ADF94" w14:textId="77777777" w:rsidR="00295C6D" w:rsidRPr="00A5626D" w:rsidRDefault="00295C6D" w:rsidP="00E31AE6">
            <w:pPr>
              <w:tabs>
                <w:tab w:val="left" w:pos="1134"/>
                <w:tab w:val="left" w:pos="7938"/>
              </w:tabs>
              <w:ind w:firstLine="346"/>
              <w:jc w:val="both"/>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&lt;measuring-object</w:t>
            </w:r>
          </w:p>
          <w:p w14:paraId="66FFDD0C" w14:textId="77777777" w:rsidR="00295C6D" w:rsidRPr="00A5626D" w:rsidRDefault="00295C6D" w:rsidP="00E31AE6">
            <w:pPr>
              <w:tabs>
                <w:tab w:val="left" w:pos="1134"/>
                <w:tab w:val="left" w:pos="7938"/>
              </w:tabs>
              <w:ind w:firstLine="346"/>
              <w:jc w:val="both"/>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id-measuring-object="4n"/&gt;</w:t>
            </w:r>
          </w:p>
          <w:p w14:paraId="00CFFC9D" w14:textId="77777777" w:rsidR="00295C6D" w:rsidRPr="00A5626D" w:rsidRDefault="00295C6D" w:rsidP="00E31AE6">
            <w:pPr>
              <w:tabs>
                <w:tab w:val="left" w:pos="1134"/>
                <w:tab w:val="left" w:pos="7938"/>
              </w:tabs>
              <w:ind w:firstLine="346"/>
              <w:jc w:val="both"/>
              <w:rPr>
                <w:rFonts w:ascii="Garamond" w:eastAsia="Calibri" w:hAnsi="Garamond" w:cstheme="minorHAnsi"/>
                <w:sz w:val="22"/>
                <w:szCs w:val="22"/>
                <w:lang w:val="es-ES"/>
              </w:rPr>
            </w:pPr>
            <w:r w:rsidRPr="00A5626D">
              <w:rPr>
                <w:rFonts w:ascii="Garamond" w:eastAsia="Calibri" w:hAnsi="Garamond" w:cstheme="minorHAnsi"/>
                <w:sz w:val="22"/>
                <w:szCs w:val="22"/>
                <w:lang w:val="en-US"/>
              </w:rPr>
              <w:t xml:space="preserve">                                </w:t>
            </w:r>
            <w:r w:rsidRPr="00A5626D">
              <w:rPr>
                <w:rFonts w:ascii="Garamond" w:eastAsia="Calibri" w:hAnsi="Garamond" w:cstheme="minorHAnsi"/>
                <w:sz w:val="22"/>
                <w:szCs w:val="22"/>
                <w:lang w:val="es-ES"/>
              </w:rPr>
              <w:t>&lt;calcformula&gt;</w:t>
            </w:r>
          </w:p>
          <w:p w14:paraId="461AD20D" w14:textId="77777777" w:rsidR="00295C6D" w:rsidRPr="00A5626D" w:rsidRDefault="00295C6D" w:rsidP="00E31AE6">
            <w:pPr>
              <w:tabs>
                <w:tab w:val="left" w:pos="1134"/>
                <w:tab w:val="left" w:pos="7938"/>
              </w:tabs>
              <w:ind w:firstLine="346"/>
              <w:jc w:val="both"/>
              <w:rPr>
                <w:rFonts w:ascii="Garamond" w:eastAsia="Calibri" w:hAnsi="Garamond" w:cstheme="minorHAnsi"/>
                <w:sz w:val="22"/>
                <w:szCs w:val="22"/>
                <w:lang w:val="es-ES"/>
              </w:rPr>
            </w:pPr>
            <w:r w:rsidRPr="00A5626D">
              <w:rPr>
                <w:rFonts w:ascii="Garamond" w:eastAsia="Calibri" w:hAnsi="Garamond" w:cstheme="minorHAnsi"/>
                <w:sz w:val="22"/>
                <w:szCs w:val="22"/>
                <w:lang w:val="es-ES"/>
              </w:rPr>
              <w:t xml:space="preserve">                                …</w:t>
            </w:r>
          </w:p>
          <w:p w14:paraId="0DF90D5A" w14:textId="77777777" w:rsidR="00295C6D" w:rsidRPr="00A5626D" w:rsidRDefault="00295C6D" w:rsidP="00E31AE6">
            <w:pPr>
              <w:tabs>
                <w:tab w:val="left" w:pos="1134"/>
                <w:tab w:val="left" w:pos="7938"/>
              </w:tabs>
              <w:ind w:firstLine="346"/>
              <w:jc w:val="both"/>
              <w:rPr>
                <w:rFonts w:ascii="Garamond" w:eastAsia="Calibri" w:hAnsi="Garamond" w:cstheme="minorHAnsi"/>
                <w:sz w:val="22"/>
                <w:szCs w:val="22"/>
                <w:lang w:val="es-ES"/>
              </w:rPr>
            </w:pPr>
            <w:r w:rsidRPr="00A5626D">
              <w:rPr>
                <w:rFonts w:ascii="Garamond" w:eastAsia="Calibri" w:hAnsi="Garamond" w:cstheme="minorHAnsi"/>
                <w:sz w:val="22"/>
                <w:szCs w:val="22"/>
                <w:lang w:val="es-ES"/>
              </w:rPr>
              <w:t xml:space="preserve">                                &lt;/calcformula&gt;</w:t>
            </w:r>
          </w:p>
          <w:p w14:paraId="2681DF5B" w14:textId="77777777" w:rsidR="00295C6D" w:rsidRPr="00A5626D" w:rsidRDefault="00295C6D" w:rsidP="00E31AE6">
            <w:pPr>
              <w:tabs>
                <w:tab w:val="left" w:pos="1134"/>
                <w:tab w:val="left" w:pos="7938"/>
              </w:tabs>
              <w:ind w:firstLine="346"/>
              <w:jc w:val="both"/>
              <w:rPr>
                <w:rFonts w:ascii="Garamond" w:eastAsia="Calibri" w:hAnsi="Garamond" w:cstheme="minorHAnsi"/>
                <w:sz w:val="22"/>
                <w:szCs w:val="22"/>
                <w:lang w:val="es-ES"/>
              </w:rPr>
            </w:pPr>
            <w:r w:rsidRPr="00A5626D">
              <w:rPr>
                <w:rFonts w:ascii="Garamond" w:eastAsia="Calibri" w:hAnsi="Garamond" w:cstheme="minorHAnsi"/>
                <w:sz w:val="22"/>
                <w:szCs w:val="22"/>
                <w:lang w:val="es-ES"/>
              </w:rPr>
              <w:t xml:space="preserve">                                &lt;calcsum&gt;</w:t>
            </w:r>
          </w:p>
          <w:p w14:paraId="5F627F99" w14:textId="77777777" w:rsidR="00295C6D" w:rsidRPr="00A5626D" w:rsidRDefault="00295C6D" w:rsidP="00E31AE6">
            <w:pPr>
              <w:tabs>
                <w:tab w:val="left" w:pos="1134"/>
                <w:tab w:val="left" w:pos="7938"/>
              </w:tabs>
              <w:ind w:firstLine="346"/>
              <w:jc w:val="both"/>
              <w:rPr>
                <w:rFonts w:ascii="Garamond" w:eastAsia="Calibri" w:hAnsi="Garamond" w:cstheme="minorHAnsi"/>
                <w:sz w:val="22"/>
                <w:szCs w:val="22"/>
                <w:lang w:val="es-ES"/>
              </w:rPr>
            </w:pPr>
            <w:r w:rsidRPr="00A5626D">
              <w:rPr>
                <w:rFonts w:ascii="Garamond" w:eastAsia="Calibri" w:hAnsi="Garamond" w:cstheme="minorHAnsi"/>
                <w:sz w:val="22"/>
                <w:szCs w:val="22"/>
                <w:lang w:val="es-ES"/>
              </w:rPr>
              <w:t xml:space="preserve">                                …</w:t>
            </w:r>
          </w:p>
          <w:p w14:paraId="60C5ECBE" w14:textId="77777777" w:rsidR="00295C6D" w:rsidRPr="00A5626D" w:rsidRDefault="00295C6D" w:rsidP="00E31AE6">
            <w:pPr>
              <w:tabs>
                <w:tab w:val="left" w:pos="1134"/>
                <w:tab w:val="left" w:pos="7938"/>
              </w:tabs>
              <w:ind w:firstLine="346"/>
              <w:jc w:val="both"/>
              <w:rPr>
                <w:rFonts w:ascii="Garamond" w:eastAsia="Calibri" w:hAnsi="Garamond" w:cstheme="minorHAnsi"/>
                <w:sz w:val="22"/>
                <w:szCs w:val="22"/>
                <w:lang w:val="es-ES"/>
              </w:rPr>
            </w:pPr>
            <w:r w:rsidRPr="00A5626D">
              <w:rPr>
                <w:rFonts w:ascii="Garamond" w:eastAsia="Calibri" w:hAnsi="Garamond" w:cstheme="minorHAnsi"/>
                <w:sz w:val="22"/>
                <w:szCs w:val="22"/>
                <w:lang w:val="es-ES"/>
              </w:rPr>
              <w:t xml:space="preserve">                                &lt;/calcsum&gt;</w:t>
            </w:r>
          </w:p>
          <w:p w14:paraId="24181EE6" w14:textId="77777777" w:rsidR="00295C6D" w:rsidRPr="00A5626D" w:rsidRDefault="00295C6D" w:rsidP="00E31AE6">
            <w:pPr>
              <w:tabs>
                <w:tab w:val="left" w:pos="1134"/>
                <w:tab w:val="left" w:pos="7938"/>
              </w:tabs>
              <w:ind w:firstLine="346"/>
              <w:jc w:val="both"/>
              <w:rPr>
                <w:rFonts w:ascii="Garamond" w:eastAsia="Calibri" w:hAnsi="Garamond" w:cstheme="minorHAnsi"/>
                <w:sz w:val="22"/>
                <w:szCs w:val="22"/>
                <w:lang w:val="es-ES"/>
              </w:rPr>
            </w:pPr>
            <w:r w:rsidRPr="00A5626D">
              <w:rPr>
                <w:rFonts w:ascii="Garamond" w:eastAsia="Calibri" w:hAnsi="Garamond" w:cstheme="minorHAnsi"/>
                <w:sz w:val="22"/>
                <w:szCs w:val="22"/>
                <w:lang w:val="es-ES"/>
              </w:rPr>
              <w:t xml:space="preserve">                                &lt;constvalue&gt;</w:t>
            </w:r>
          </w:p>
          <w:p w14:paraId="4C662A48" w14:textId="77777777" w:rsidR="00295C6D" w:rsidRPr="00A5626D" w:rsidRDefault="00295C6D" w:rsidP="00E31AE6">
            <w:pPr>
              <w:tabs>
                <w:tab w:val="left" w:pos="1134"/>
                <w:tab w:val="left" w:pos="7938"/>
              </w:tabs>
              <w:ind w:firstLine="346"/>
              <w:jc w:val="both"/>
              <w:rPr>
                <w:rFonts w:ascii="Garamond" w:eastAsia="Calibri" w:hAnsi="Garamond" w:cstheme="minorHAnsi"/>
                <w:sz w:val="22"/>
                <w:szCs w:val="22"/>
                <w:lang w:val="en-US"/>
              </w:rPr>
            </w:pPr>
            <w:r w:rsidRPr="00A5626D">
              <w:rPr>
                <w:rFonts w:ascii="Garamond" w:eastAsia="Calibri" w:hAnsi="Garamond" w:cstheme="minorHAnsi"/>
                <w:sz w:val="22"/>
                <w:szCs w:val="22"/>
                <w:lang w:val="es-ES"/>
              </w:rPr>
              <w:t xml:space="preserve">                                </w:t>
            </w:r>
            <w:r w:rsidRPr="00A5626D">
              <w:rPr>
                <w:rFonts w:ascii="Garamond" w:eastAsia="Calibri" w:hAnsi="Garamond" w:cstheme="minorHAnsi"/>
                <w:sz w:val="22"/>
                <w:szCs w:val="22"/>
                <w:lang w:val="en-US"/>
              </w:rPr>
              <w:t>"32n"</w:t>
            </w:r>
          </w:p>
          <w:p w14:paraId="0670E600" w14:textId="77777777" w:rsidR="00295C6D" w:rsidRPr="00A5626D" w:rsidRDefault="00295C6D" w:rsidP="00E31AE6">
            <w:pPr>
              <w:tabs>
                <w:tab w:val="left" w:pos="1134"/>
                <w:tab w:val="left" w:pos="7938"/>
              </w:tabs>
              <w:ind w:firstLine="346"/>
              <w:jc w:val="both"/>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&lt;/constvalue&gt;</w:t>
            </w:r>
          </w:p>
          <w:p w14:paraId="3434394F" w14:textId="77777777" w:rsidR="00295C6D" w:rsidRPr="00A5626D" w:rsidRDefault="00295C6D" w:rsidP="00E31AE6">
            <w:pPr>
              <w:tabs>
                <w:tab w:val="left" w:pos="1134"/>
                <w:tab w:val="left" w:pos="7938"/>
              </w:tabs>
              <w:ind w:firstLine="346"/>
              <w:jc w:val="both"/>
              <w:rPr>
                <w:rFonts w:ascii="Garamond" w:hAnsi="Garamond" w:cstheme="minorHAnsi"/>
                <w:sz w:val="22"/>
                <w:szCs w:val="22"/>
                <w:lang w:val="en-US"/>
              </w:rPr>
            </w:pPr>
            <w:r w:rsidRPr="00A5626D">
              <w:rPr>
                <w:rFonts w:ascii="Garamond" w:eastAsia="Calibri" w:hAnsi="Garamond" w:cstheme="minorHAnsi"/>
                <w:sz w:val="22"/>
                <w:szCs w:val="22"/>
                <w:lang w:val="en-US"/>
              </w:rPr>
              <w:t xml:space="preserve">                            &lt;/param&gt;</w:t>
            </w:r>
          </w:p>
          <w:p w14:paraId="52876516" w14:textId="77777777" w:rsidR="00295C6D" w:rsidRPr="00A5626D" w:rsidRDefault="00295C6D" w:rsidP="00E31AE6">
            <w:pPr>
              <w:tabs>
                <w:tab w:val="left" w:pos="1134"/>
                <w:tab w:val="left" w:pos="7938"/>
              </w:tabs>
              <w:ind w:firstLine="346"/>
              <w:jc w:val="both"/>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&lt;/calcformula&gt;</w:t>
            </w:r>
          </w:p>
          <w:p w14:paraId="2F3DF195" w14:textId="77777777" w:rsidR="00295C6D" w:rsidRPr="00A5626D" w:rsidRDefault="00295C6D" w:rsidP="00E31AE6">
            <w:pPr>
              <w:tabs>
                <w:tab w:val="left" w:pos="1134"/>
                <w:tab w:val="left" w:pos="7938"/>
              </w:tabs>
              <w:ind w:firstLine="346"/>
              <w:jc w:val="both"/>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&lt;/send-losses&gt;</w:t>
            </w:r>
          </w:p>
          <w:p w14:paraId="7669ACE1" w14:textId="77777777" w:rsidR="00295C6D" w:rsidRPr="00A5626D" w:rsidRDefault="00295C6D" w:rsidP="00E31AE6">
            <w:pPr>
              <w:tabs>
                <w:tab w:val="left" w:pos="1134"/>
                <w:tab w:val="left" w:pos="7938"/>
              </w:tabs>
              <w:ind w:firstLine="346"/>
              <w:jc w:val="both"/>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&lt;receive-losses&gt;</w:t>
            </w:r>
          </w:p>
          <w:p w14:paraId="4F1A2614" w14:textId="77777777" w:rsidR="00295C6D" w:rsidRPr="00A5626D" w:rsidRDefault="00295C6D" w:rsidP="00E31AE6">
            <w:pPr>
              <w:tabs>
                <w:tab w:val="left" w:pos="1134"/>
                <w:tab w:val="left" w:pos="7938"/>
              </w:tabs>
              <w:ind w:firstLine="346"/>
              <w:jc w:val="both"/>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&lt;comment&gt;</w:t>
            </w:r>
          </w:p>
          <w:p w14:paraId="3933AE4C" w14:textId="77777777" w:rsidR="00295C6D" w:rsidRPr="00A5626D" w:rsidRDefault="00295C6D" w:rsidP="00E31AE6">
            <w:pPr>
              <w:tabs>
                <w:tab w:val="left" w:pos="1134"/>
                <w:tab w:val="left" w:pos="7938"/>
              </w:tabs>
              <w:ind w:firstLine="346"/>
              <w:jc w:val="both"/>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&lt;![CDATA[…]]&gt;</w:t>
            </w:r>
          </w:p>
          <w:p w14:paraId="0EB27C12" w14:textId="77777777" w:rsidR="00295C6D" w:rsidRPr="00A5626D" w:rsidRDefault="00295C6D" w:rsidP="00E31AE6">
            <w:pPr>
              <w:tabs>
                <w:tab w:val="left" w:pos="1134"/>
                <w:tab w:val="left" w:pos="7938"/>
              </w:tabs>
              <w:ind w:firstLine="346"/>
              <w:jc w:val="both"/>
              <w:rPr>
                <w:rFonts w:ascii="Garamond" w:hAnsi="Garamond" w:cstheme="minorHAnsi"/>
                <w:sz w:val="22"/>
                <w:szCs w:val="22"/>
                <w:lang w:val="en-US"/>
              </w:rPr>
            </w:pPr>
            <w:r w:rsidRPr="00A5626D">
              <w:rPr>
                <w:rFonts w:ascii="Garamond" w:eastAsia="Calibri" w:hAnsi="Garamond" w:cstheme="minorHAnsi"/>
                <w:sz w:val="22"/>
                <w:szCs w:val="22"/>
                <w:lang w:val="en-US"/>
              </w:rPr>
              <w:t xml:space="preserve">                        &lt;/comment&gt;</w:t>
            </w:r>
          </w:p>
          <w:p w14:paraId="704E6593" w14:textId="77777777" w:rsidR="00295C6D" w:rsidRPr="00A5626D" w:rsidRDefault="00295C6D" w:rsidP="00E31AE6">
            <w:pPr>
              <w:tabs>
                <w:tab w:val="left" w:pos="1134"/>
                <w:tab w:val="left" w:pos="7938"/>
              </w:tabs>
              <w:ind w:firstLine="346"/>
              <w:jc w:val="both"/>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&lt;calcformula</w:t>
            </w:r>
          </w:p>
          <w:p w14:paraId="0A9BAA99" w14:textId="77777777" w:rsidR="00295C6D" w:rsidRPr="00A5626D" w:rsidRDefault="00295C6D" w:rsidP="00E31AE6">
            <w:pPr>
              <w:tabs>
                <w:tab w:val="left" w:pos="1134"/>
                <w:tab w:val="left" w:pos="7938"/>
              </w:tabs>
              <w:ind w:firstLine="346"/>
              <w:jc w:val="both"/>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name="50x"&gt;</w:t>
            </w:r>
          </w:p>
          <w:p w14:paraId="10EC5C2B" w14:textId="77777777" w:rsidR="00295C6D" w:rsidRPr="00A5626D" w:rsidRDefault="00295C6D" w:rsidP="00E31AE6">
            <w:pPr>
              <w:tabs>
                <w:tab w:val="left" w:pos="1134"/>
                <w:tab w:val="left" w:pos="7938"/>
              </w:tabs>
              <w:ind w:firstLine="346"/>
              <w:jc w:val="both"/>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&lt;param</w:t>
            </w:r>
          </w:p>
          <w:p w14:paraId="56989405" w14:textId="77777777" w:rsidR="00295C6D" w:rsidRPr="00A5626D" w:rsidRDefault="00295C6D" w:rsidP="00E31AE6">
            <w:pPr>
              <w:tabs>
                <w:tab w:val="left" w:pos="1134"/>
                <w:tab w:val="left" w:pos="7938"/>
              </w:tabs>
              <w:ind w:firstLine="346"/>
              <w:jc w:val="both"/>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name="50x"</w:t>
            </w:r>
          </w:p>
          <w:p w14:paraId="367358B6" w14:textId="77777777" w:rsidR="00295C6D" w:rsidRPr="00A5626D" w:rsidRDefault="00295C6D" w:rsidP="00E31AE6">
            <w:pPr>
              <w:tabs>
                <w:tab w:val="left" w:pos="1134"/>
                <w:tab w:val="left" w:pos="7938"/>
              </w:tabs>
              <w:ind w:firstLine="346"/>
              <w:jc w:val="both"/>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type="10x"&gt;</w:t>
            </w:r>
          </w:p>
          <w:p w14:paraId="021F103E" w14:textId="77777777" w:rsidR="00295C6D" w:rsidRPr="00A5626D" w:rsidRDefault="00295C6D" w:rsidP="00E31AE6">
            <w:pPr>
              <w:tabs>
                <w:tab w:val="left" w:pos="1134"/>
                <w:tab w:val="left" w:pos="7938"/>
              </w:tabs>
              <w:ind w:firstLine="346"/>
              <w:jc w:val="both"/>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&lt;measuring-object</w:t>
            </w:r>
          </w:p>
          <w:p w14:paraId="7CBED0FE" w14:textId="77777777" w:rsidR="00295C6D" w:rsidRPr="00A5626D" w:rsidRDefault="00295C6D" w:rsidP="00E31AE6">
            <w:pPr>
              <w:tabs>
                <w:tab w:val="left" w:pos="1134"/>
                <w:tab w:val="left" w:pos="7938"/>
              </w:tabs>
              <w:ind w:firstLine="346"/>
              <w:jc w:val="both"/>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id-measuring-object="4n"/&gt;</w:t>
            </w:r>
          </w:p>
          <w:p w14:paraId="3F64A280" w14:textId="77777777" w:rsidR="00295C6D" w:rsidRPr="00A5626D" w:rsidRDefault="00295C6D" w:rsidP="00E31AE6">
            <w:pPr>
              <w:tabs>
                <w:tab w:val="left" w:pos="1134"/>
                <w:tab w:val="left" w:pos="7938"/>
              </w:tabs>
              <w:ind w:firstLine="346"/>
              <w:jc w:val="both"/>
              <w:rPr>
                <w:rFonts w:ascii="Garamond" w:eastAsia="Calibri" w:hAnsi="Garamond" w:cstheme="minorHAnsi"/>
                <w:sz w:val="22"/>
                <w:szCs w:val="22"/>
                <w:lang w:val="es-ES"/>
              </w:rPr>
            </w:pPr>
            <w:r w:rsidRPr="00A5626D">
              <w:rPr>
                <w:rFonts w:ascii="Garamond" w:eastAsia="Calibri" w:hAnsi="Garamond" w:cstheme="minorHAnsi"/>
                <w:sz w:val="22"/>
                <w:szCs w:val="22"/>
                <w:lang w:val="en-US"/>
              </w:rPr>
              <w:t xml:space="preserve">                                </w:t>
            </w:r>
            <w:r w:rsidRPr="00A5626D">
              <w:rPr>
                <w:rFonts w:ascii="Garamond" w:eastAsia="Calibri" w:hAnsi="Garamond" w:cstheme="minorHAnsi"/>
                <w:sz w:val="22"/>
                <w:szCs w:val="22"/>
                <w:lang w:val="es-ES"/>
              </w:rPr>
              <w:t>&lt;calcformula&gt;</w:t>
            </w:r>
          </w:p>
          <w:p w14:paraId="12BAED95" w14:textId="77777777" w:rsidR="00295C6D" w:rsidRPr="00A5626D" w:rsidRDefault="00295C6D" w:rsidP="00E31AE6">
            <w:pPr>
              <w:tabs>
                <w:tab w:val="left" w:pos="1134"/>
                <w:tab w:val="left" w:pos="7938"/>
              </w:tabs>
              <w:ind w:firstLine="346"/>
              <w:jc w:val="both"/>
              <w:rPr>
                <w:rFonts w:ascii="Garamond" w:eastAsia="Calibri" w:hAnsi="Garamond" w:cstheme="minorHAnsi"/>
                <w:sz w:val="22"/>
                <w:szCs w:val="22"/>
                <w:lang w:val="es-ES"/>
              </w:rPr>
            </w:pPr>
            <w:r w:rsidRPr="00A5626D">
              <w:rPr>
                <w:rFonts w:ascii="Garamond" w:eastAsia="Calibri" w:hAnsi="Garamond" w:cstheme="minorHAnsi"/>
                <w:sz w:val="22"/>
                <w:szCs w:val="22"/>
                <w:lang w:val="es-ES"/>
              </w:rPr>
              <w:t xml:space="preserve">                                …</w:t>
            </w:r>
          </w:p>
          <w:p w14:paraId="283921E1" w14:textId="77777777" w:rsidR="00295C6D" w:rsidRPr="00A5626D" w:rsidRDefault="00295C6D" w:rsidP="00E31AE6">
            <w:pPr>
              <w:tabs>
                <w:tab w:val="left" w:pos="1134"/>
                <w:tab w:val="left" w:pos="7938"/>
              </w:tabs>
              <w:ind w:firstLine="346"/>
              <w:jc w:val="both"/>
              <w:rPr>
                <w:rFonts w:ascii="Garamond" w:eastAsia="Calibri" w:hAnsi="Garamond" w:cstheme="minorHAnsi"/>
                <w:sz w:val="22"/>
                <w:szCs w:val="22"/>
                <w:lang w:val="es-ES"/>
              </w:rPr>
            </w:pPr>
            <w:r w:rsidRPr="00A5626D">
              <w:rPr>
                <w:rFonts w:ascii="Garamond" w:eastAsia="Calibri" w:hAnsi="Garamond" w:cstheme="minorHAnsi"/>
                <w:sz w:val="22"/>
                <w:szCs w:val="22"/>
                <w:lang w:val="es-ES"/>
              </w:rPr>
              <w:t xml:space="preserve">                                &lt;/calcformula&gt;</w:t>
            </w:r>
          </w:p>
          <w:p w14:paraId="32D589C8" w14:textId="77777777" w:rsidR="00295C6D" w:rsidRPr="00A5626D" w:rsidRDefault="00295C6D" w:rsidP="00E31AE6">
            <w:pPr>
              <w:tabs>
                <w:tab w:val="left" w:pos="1134"/>
                <w:tab w:val="left" w:pos="7938"/>
              </w:tabs>
              <w:ind w:firstLine="346"/>
              <w:jc w:val="both"/>
              <w:rPr>
                <w:rFonts w:ascii="Garamond" w:eastAsia="Calibri" w:hAnsi="Garamond" w:cstheme="minorHAnsi"/>
                <w:sz w:val="22"/>
                <w:szCs w:val="22"/>
                <w:lang w:val="es-ES"/>
              </w:rPr>
            </w:pPr>
            <w:r w:rsidRPr="00A5626D">
              <w:rPr>
                <w:rFonts w:ascii="Garamond" w:eastAsia="Calibri" w:hAnsi="Garamond" w:cstheme="minorHAnsi"/>
                <w:sz w:val="22"/>
                <w:szCs w:val="22"/>
                <w:lang w:val="es-ES"/>
              </w:rPr>
              <w:t xml:space="preserve">                                &lt;calcsum&gt;</w:t>
            </w:r>
          </w:p>
          <w:p w14:paraId="45139DB7" w14:textId="77777777" w:rsidR="00295C6D" w:rsidRPr="00A5626D" w:rsidRDefault="00295C6D" w:rsidP="00E31AE6">
            <w:pPr>
              <w:tabs>
                <w:tab w:val="left" w:pos="1134"/>
                <w:tab w:val="left" w:pos="7938"/>
              </w:tabs>
              <w:ind w:firstLine="346"/>
              <w:jc w:val="both"/>
              <w:rPr>
                <w:rFonts w:ascii="Garamond" w:eastAsia="Calibri" w:hAnsi="Garamond" w:cstheme="minorHAnsi"/>
                <w:sz w:val="22"/>
                <w:szCs w:val="22"/>
                <w:lang w:val="es-ES"/>
              </w:rPr>
            </w:pPr>
            <w:r w:rsidRPr="00A5626D">
              <w:rPr>
                <w:rFonts w:ascii="Garamond" w:eastAsia="Calibri" w:hAnsi="Garamond" w:cstheme="minorHAnsi"/>
                <w:sz w:val="22"/>
                <w:szCs w:val="22"/>
                <w:lang w:val="es-ES"/>
              </w:rPr>
              <w:t xml:space="preserve">                                …</w:t>
            </w:r>
          </w:p>
          <w:p w14:paraId="1C964A14" w14:textId="77777777" w:rsidR="00295C6D" w:rsidRPr="00A5626D" w:rsidRDefault="00295C6D" w:rsidP="00E31AE6">
            <w:pPr>
              <w:tabs>
                <w:tab w:val="left" w:pos="1134"/>
                <w:tab w:val="left" w:pos="7938"/>
              </w:tabs>
              <w:ind w:firstLine="346"/>
              <w:jc w:val="both"/>
              <w:rPr>
                <w:rFonts w:ascii="Garamond" w:eastAsia="Calibri" w:hAnsi="Garamond" w:cstheme="minorHAnsi"/>
                <w:sz w:val="22"/>
                <w:szCs w:val="22"/>
                <w:lang w:val="es-ES"/>
              </w:rPr>
            </w:pPr>
            <w:r w:rsidRPr="00A5626D">
              <w:rPr>
                <w:rFonts w:ascii="Garamond" w:eastAsia="Calibri" w:hAnsi="Garamond" w:cstheme="minorHAnsi"/>
                <w:sz w:val="22"/>
                <w:szCs w:val="22"/>
                <w:lang w:val="es-ES"/>
              </w:rPr>
              <w:t xml:space="preserve">                                &lt;/calcsum&gt;</w:t>
            </w:r>
          </w:p>
          <w:p w14:paraId="4CA49783" w14:textId="77777777" w:rsidR="00295C6D" w:rsidRPr="00A5626D" w:rsidRDefault="00295C6D" w:rsidP="00E31AE6">
            <w:pPr>
              <w:tabs>
                <w:tab w:val="left" w:pos="1134"/>
                <w:tab w:val="left" w:pos="7938"/>
              </w:tabs>
              <w:ind w:firstLine="346"/>
              <w:jc w:val="both"/>
              <w:rPr>
                <w:rFonts w:ascii="Garamond" w:eastAsia="Calibri" w:hAnsi="Garamond" w:cstheme="minorHAnsi"/>
                <w:sz w:val="22"/>
                <w:szCs w:val="22"/>
                <w:lang w:val="es-ES"/>
              </w:rPr>
            </w:pPr>
            <w:r w:rsidRPr="00A5626D">
              <w:rPr>
                <w:rFonts w:ascii="Garamond" w:eastAsia="Calibri" w:hAnsi="Garamond" w:cstheme="minorHAnsi"/>
                <w:sz w:val="22"/>
                <w:szCs w:val="22"/>
                <w:lang w:val="es-ES"/>
              </w:rPr>
              <w:t xml:space="preserve">                                &lt;constvalue&gt;</w:t>
            </w:r>
          </w:p>
          <w:p w14:paraId="615569E9" w14:textId="77777777" w:rsidR="00295C6D" w:rsidRPr="00A5626D" w:rsidRDefault="00295C6D" w:rsidP="00E31AE6">
            <w:pPr>
              <w:tabs>
                <w:tab w:val="left" w:pos="1134"/>
                <w:tab w:val="left" w:pos="7938"/>
              </w:tabs>
              <w:ind w:firstLine="346"/>
              <w:jc w:val="both"/>
              <w:rPr>
                <w:rFonts w:ascii="Garamond" w:eastAsia="Calibri" w:hAnsi="Garamond" w:cstheme="minorHAnsi"/>
                <w:sz w:val="22"/>
                <w:szCs w:val="22"/>
                <w:lang w:val="en-US"/>
              </w:rPr>
            </w:pPr>
            <w:r w:rsidRPr="00A5626D">
              <w:rPr>
                <w:rFonts w:ascii="Garamond" w:eastAsia="Calibri" w:hAnsi="Garamond" w:cstheme="minorHAnsi"/>
                <w:sz w:val="22"/>
                <w:szCs w:val="22"/>
                <w:lang w:val="es-ES"/>
              </w:rPr>
              <w:t xml:space="preserve">                                </w:t>
            </w:r>
            <w:r w:rsidRPr="00A5626D">
              <w:rPr>
                <w:rFonts w:ascii="Garamond" w:eastAsia="Calibri" w:hAnsi="Garamond" w:cstheme="minorHAnsi"/>
                <w:sz w:val="22"/>
                <w:szCs w:val="22"/>
                <w:lang w:val="en-US"/>
              </w:rPr>
              <w:t>"32n"</w:t>
            </w:r>
          </w:p>
          <w:p w14:paraId="24CCEA03" w14:textId="77777777" w:rsidR="00295C6D" w:rsidRPr="00A5626D" w:rsidRDefault="00295C6D" w:rsidP="00E31AE6">
            <w:pPr>
              <w:tabs>
                <w:tab w:val="left" w:pos="1134"/>
                <w:tab w:val="left" w:pos="7938"/>
              </w:tabs>
              <w:ind w:firstLine="346"/>
              <w:jc w:val="both"/>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&lt;/constvalue&gt;</w:t>
            </w:r>
          </w:p>
          <w:p w14:paraId="643A2AD0" w14:textId="77777777" w:rsidR="00295C6D" w:rsidRPr="00A5626D" w:rsidRDefault="00295C6D" w:rsidP="00E31AE6">
            <w:pPr>
              <w:tabs>
                <w:tab w:val="left" w:pos="1134"/>
                <w:tab w:val="left" w:pos="7938"/>
              </w:tabs>
              <w:ind w:firstLine="346"/>
              <w:jc w:val="both"/>
              <w:rPr>
                <w:rFonts w:ascii="Garamond" w:hAnsi="Garamond" w:cstheme="minorHAnsi"/>
                <w:sz w:val="22"/>
                <w:szCs w:val="22"/>
                <w:lang w:val="en-US"/>
              </w:rPr>
            </w:pPr>
            <w:r w:rsidRPr="00A5626D">
              <w:rPr>
                <w:rFonts w:ascii="Garamond" w:eastAsia="Calibri" w:hAnsi="Garamond" w:cstheme="minorHAnsi"/>
                <w:sz w:val="22"/>
                <w:szCs w:val="22"/>
                <w:lang w:val="en-US"/>
              </w:rPr>
              <w:t xml:space="preserve">                            &lt;/param&gt;</w:t>
            </w:r>
          </w:p>
          <w:p w14:paraId="26895078" w14:textId="77777777" w:rsidR="00295C6D" w:rsidRPr="00A5626D" w:rsidRDefault="00295C6D" w:rsidP="00E31AE6">
            <w:pPr>
              <w:tabs>
                <w:tab w:val="left" w:pos="1134"/>
                <w:tab w:val="left" w:pos="7938"/>
              </w:tabs>
              <w:ind w:firstLine="346"/>
              <w:jc w:val="both"/>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&lt;/calcformula&gt;</w:t>
            </w:r>
          </w:p>
          <w:p w14:paraId="7CE0DC70" w14:textId="77777777" w:rsidR="00295C6D" w:rsidRPr="00A5626D" w:rsidRDefault="00295C6D" w:rsidP="00E31AE6">
            <w:pPr>
              <w:tabs>
                <w:tab w:val="left" w:pos="1134"/>
                <w:tab w:val="left" w:pos="7938"/>
              </w:tabs>
              <w:ind w:firstLine="346"/>
              <w:jc w:val="both"/>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&lt;/receive-losses&gt;</w:t>
            </w:r>
          </w:p>
          <w:p w14:paraId="5975B484" w14:textId="77777777" w:rsidR="00295C6D" w:rsidRPr="00A5626D" w:rsidRDefault="00295C6D" w:rsidP="00E31AE6">
            <w:pPr>
              <w:tabs>
                <w:tab w:val="left" w:pos="1134"/>
                <w:tab w:val="left" w:pos="7938"/>
              </w:tabs>
              <w:ind w:firstLine="346"/>
              <w:jc w:val="both"/>
              <w:rPr>
                <w:rFonts w:ascii="Garamond" w:eastAsia="Calibri" w:hAnsi="Garamond" w:cstheme="minorHAnsi"/>
                <w:sz w:val="22"/>
                <w:szCs w:val="22"/>
                <w:lang w:val="en-US"/>
              </w:rPr>
            </w:pPr>
            <w:r w:rsidRPr="00A5626D">
              <w:rPr>
                <w:rFonts w:ascii="Garamond" w:eastAsia="Calibri" w:hAnsi="Garamond" w:cstheme="minorHAnsi"/>
                <w:sz w:val="22"/>
                <w:szCs w:val="22"/>
                <w:lang w:val="en-US"/>
              </w:rPr>
              <w:lastRenderedPageBreak/>
              <w:t xml:space="preserve">                &lt;/aup-delivery-point&gt;</w:t>
            </w:r>
          </w:p>
          <w:p w14:paraId="139B014D" w14:textId="77777777" w:rsidR="00295C6D" w:rsidRPr="00A5626D" w:rsidRDefault="00295C6D" w:rsidP="00E31AE6">
            <w:pPr>
              <w:tabs>
                <w:tab w:val="left" w:pos="1134"/>
                <w:tab w:val="left" w:pos="7938"/>
              </w:tabs>
              <w:ind w:firstLine="346"/>
              <w:jc w:val="both"/>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&lt;/aup-delivery-points&gt;</w:t>
            </w:r>
          </w:p>
          <w:p w14:paraId="3C8D962E" w14:textId="77777777" w:rsidR="00295C6D" w:rsidRPr="00A5626D" w:rsidRDefault="00295C6D" w:rsidP="00E31AE6">
            <w:pPr>
              <w:tabs>
                <w:tab w:val="left" w:pos="1134"/>
                <w:tab w:val="left" w:pos="7938"/>
              </w:tabs>
              <w:ind w:firstLine="346"/>
              <w:jc w:val="both"/>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&lt;peretok</w:t>
            </w:r>
          </w:p>
          <w:p w14:paraId="1EC726D3" w14:textId="77777777" w:rsidR="00295C6D" w:rsidRPr="00A5626D" w:rsidRDefault="00295C6D" w:rsidP="00E31AE6">
            <w:pPr>
              <w:tabs>
                <w:tab w:val="left" w:pos="1134"/>
                <w:tab w:val="left" w:pos="7938"/>
              </w:tabs>
              <w:ind w:firstLine="346"/>
              <w:jc w:val="both"/>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id-gtp-from="1n"</w:t>
            </w:r>
          </w:p>
          <w:p w14:paraId="59292466" w14:textId="77777777" w:rsidR="00295C6D" w:rsidRPr="00A5626D" w:rsidRDefault="00295C6D" w:rsidP="00E31AE6">
            <w:pPr>
              <w:tabs>
                <w:tab w:val="left" w:pos="1134"/>
                <w:tab w:val="left" w:pos="7938"/>
              </w:tabs>
              <w:ind w:firstLine="346"/>
              <w:jc w:val="both"/>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id-gtp-to="1n"</w:t>
            </w:r>
          </w:p>
          <w:p w14:paraId="1A663C4B" w14:textId="77777777" w:rsidR="00295C6D" w:rsidRPr="00A5626D" w:rsidRDefault="00295C6D" w:rsidP="00E31AE6">
            <w:pPr>
              <w:tabs>
                <w:tab w:val="left" w:pos="1134"/>
                <w:tab w:val="left" w:pos="7938"/>
              </w:tabs>
              <w:ind w:firstLine="346"/>
              <w:jc w:val="both"/>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section-type="1n"&gt;</w:t>
            </w:r>
          </w:p>
          <w:p w14:paraId="5F23B78D" w14:textId="77777777" w:rsidR="00295C6D" w:rsidRPr="00A5626D" w:rsidRDefault="00295C6D" w:rsidP="00E31AE6">
            <w:pPr>
              <w:tabs>
                <w:tab w:val="left" w:pos="1134"/>
                <w:tab w:val="left" w:pos="7938"/>
              </w:tabs>
              <w:ind w:firstLine="346"/>
              <w:jc w:val="both"/>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&lt;calcformula-or-rr  </w:t>
            </w:r>
          </w:p>
          <w:p w14:paraId="78457FCD" w14:textId="77777777" w:rsidR="00295C6D" w:rsidRPr="00A5626D" w:rsidRDefault="00295C6D" w:rsidP="00E31AE6">
            <w:pPr>
              <w:tabs>
                <w:tab w:val="left" w:pos="1134"/>
                <w:tab w:val="left" w:pos="7938"/>
              </w:tabs>
              <w:ind w:firstLine="346"/>
              <w:jc w:val="both"/>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name="250x"&gt;</w:t>
            </w:r>
          </w:p>
          <w:p w14:paraId="1D44C4AD" w14:textId="77777777" w:rsidR="00295C6D" w:rsidRPr="00A5626D" w:rsidRDefault="00295C6D" w:rsidP="00E31AE6">
            <w:pPr>
              <w:tabs>
                <w:tab w:val="left" w:pos="1134"/>
                <w:tab w:val="left" w:pos="7938"/>
              </w:tabs>
              <w:ind w:firstLine="346"/>
              <w:jc w:val="both"/>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&lt;or</w:t>
            </w:r>
          </w:p>
          <w:p w14:paraId="7239D538" w14:textId="77777777" w:rsidR="00295C6D" w:rsidRPr="00A5626D" w:rsidRDefault="00295C6D" w:rsidP="00E31AE6">
            <w:pPr>
              <w:tabs>
                <w:tab w:val="left" w:pos="1134"/>
                <w:tab w:val="left" w:pos="7938"/>
              </w:tabs>
              <w:ind w:firstLine="346"/>
              <w:jc w:val="both"/>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id-delivery-point="4n" </w:t>
            </w:r>
          </w:p>
          <w:p w14:paraId="2FB5C446" w14:textId="77777777" w:rsidR="00295C6D" w:rsidRPr="00A5626D" w:rsidRDefault="00295C6D" w:rsidP="00E31AE6">
            <w:pPr>
              <w:tabs>
                <w:tab w:val="left" w:pos="1134"/>
                <w:tab w:val="left" w:pos="7938"/>
              </w:tabs>
              <w:ind w:firstLine="346"/>
              <w:jc w:val="both"/>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send-receive="send/receive" </w:t>
            </w:r>
          </w:p>
          <w:p w14:paraId="6B377FE1" w14:textId="77777777" w:rsidR="00295C6D" w:rsidRPr="00A5626D" w:rsidRDefault="00295C6D" w:rsidP="00E31AE6">
            <w:pPr>
              <w:tabs>
                <w:tab w:val="left" w:pos="1134"/>
                <w:tab w:val="left" w:pos="7938"/>
              </w:tabs>
              <w:ind w:firstLine="346"/>
              <w:jc w:val="both"/>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id-aiis="1n" </w:t>
            </w:r>
          </w:p>
          <w:p w14:paraId="4B31BB65" w14:textId="77777777" w:rsidR="00295C6D" w:rsidRPr="00A5626D" w:rsidRDefault="00295C6D" w:rsidP="00E31AE6">
            <w:pPr>
              <w:tabs>
                <w:tab w:val="left" w:pos="1134"/>
                <w:tab w:val="left" w:pos="7938"/>
              </w:tabs>
              <w:ind w:firstLine="346"/>
              <w:jc w:val="both"/>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id-org="1n" </w:t>
            </w:r>
          </w:p>
          <w:p w14:paraId="4DEEF7D1" w14:textId="77777777" w:rsidR="00295C6D" w:rsidRPr="00A5626D" w:rsidRDefault="00295C6D" w:rsidP="00E31AE6">
            <w:pPr>
              <w:tabs>
                <w:tab w:val="left" w:pos="1134"/>
                <w:tab w:val="left" w:pos="7938"/>
              </w:tabs>
              <w:ind w:firstLine="346"/>
              <w:jc w:val="both"/>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coefficient="2n"/&gt;</w:t>
            </w:r>
          </w:p>
          <w:p w14:paraId="63A5FCDE" w14:textId="77777777" w:rsidR="00295C6D" w:rsidRPr="00A5626D" w:rsidRDefault="00295C6D" w:rsidP="00E31AE6">
            <w:pPr>
              <w:tabs>
                <w:tab w:val="left" w:pos="1134"/>
                <w:tab w:val="left" w:pos="7938"/>
              </w:tabs>
              <w:ind w:firstLine="346"/>
              <w:jc w:val="both"/>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&lt;rr</w:t>
            </w:r>
          </w:p>
          <w:p w14:paraId="71E2B8B9" w14:textId="77777777" w:rsidR="00295C6D" w:rsidRPr="00A5626D" w:rsidRDefault="00295C6D" w:rsidP="00E31AE6">
            <w:pPr>
              <w:tabs>
                <w:tab w:val="left" w:pos="1134"/>
                <w:tab w:val="left" w:pos="7938"/>
              </w:tabs>
              <w:ind w:firstLine="346"/>
              <w:jc w:val="both"/>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id-delivery-point="4n" </w:t>
            </w:r>
          </w:p>
          <w:p w14:paraId="21D57683" w14:textId="77777777" w:rsidR="00295C6D" w:rsidRPr="00A5626D" w:rsidRDefault="00295C6D" w:rsidP="00E31AE6">
            <w:pPr>
              <w:tabs>
                <w:tab w:val="left" w:pos="1134"/>
                <w:tab w:val="left" w:pos="7938"/>
              </w:tabs>
              <w:ind w:firstLine="346"/>
              <w:jc w:val="both"/>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send-receive="send/receive" </w:t>
            </w:r>
          </w:p>
          <w:p w14:paraId="1530493F" w14:textId="77777777" w:rsidR="00295C6D" w:rsidRPr="00A5626D" w:rsidRDefault="00295C6D" w:rsidP="00E31AE6">
            <w:pPr>
              <w:tabs>
                <w:tab w:val="left" w:pos="1134"/>
                <w:tab w:val="left" w:pos="7938"/>
              </w:tabs>
              <w:ind w:firstLine="346"/>
              <w:jc w:val="both"/>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id-aiis="1n" </w:t>
            </w:r>
          </w:p>
          <w:p w14:paraId="7876BE90" w14:textId="77777777" w:rsidR="00295C6D" w:rsidRPr="00A5626D" w:rsidRDefault="00295C6D" w:rsidP="00E31AE6">
            <w:pPr>
              <w:tabs>
                <w:tab w:val="left" w:pos="1134"/>
                <w:tab w:val="left" w:pos="7938"/>
              </w:tabs>
              <w:ind w:firstLine="346"/>
              <w:jc w:val="both"/>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id-org="1n" </w:t>
            </w:r>
          </w:p>
          <w:p w14:paraId="7E79A1DB" w14:textId="77777777" w:rsidR="00295C6D" w:rsidRPr="00A5626D" w:rsidRDefault="00295C6D" w:rsidP="00E31AE6">
            <w:pPr>
              <w:tabs>
                <w:tab w:val="left" w:pos="1134"/>
                <w:tab w:val="left" w:pos="7938"/>
              </w:tabs>
              <w:ind w:firstLine="346"/>
              <w:jc w:val="both"/>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coefficient="2n"/&gt;</w:t>
            </w:r>
          </w:p>
          <w:p w14:paraId="1B433F07" w14:textId="77777777" w:rsidR="00295C6D" w:rsidRPr="00A5626D" w:rsidRDefault="00295C6D" w:rsidP="00E31AE6">
            <w:pPr>
              <w:tabs>
                <w:tab w:val="left" w:pos="1134"/>
                <w:tab w:val="left" w:pos="7938"/>
              </w:tabs>
              <w:ind w:firstLine="346"/>
              <w:jc w:val="both"/>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&lt;/calcformula-or-rr&gt;</w:t>
            </w:r>
          </w:p>
          <w:p w14:paraId="7DD5BBBE" w14:textId="77777777" w:rsidR="00295C6D" w:rsidRPr="00A5626D" w:rsidRDefault="00295C6D" w:rsidP="00E31AE6">
            <w:pPr>
              <w:tabs>
                <w:tab w:val="left" w:pos="1134"/>
                <w:tab w:val="left" w:pos="7938"/>
              </w:tabs>
              <w:ind w:firstLine="346"/>
              <w:jc w:val="both"/>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&lt;/peretok&gt;</w:t>
            </w:r>
          </w:p>
          <w:p w14:paraId="0B905DD0" w14:textId="77777777" w:rsidR="00295C6D" w:rsidRPr="00A5626D" w:rsidRDefault="00295C6D" w:rsidP="00E31AE6">
            <w:pPr>
              <w:tabs>
                <w:tab w:val="left" w:pos="1134"/>
                <w:tab w:val="left" w:pos="7938"/>
              </w:tabs>
              <w:ind w:firstLine="346"/>
              <w:jc w:val="both"/>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&lt;generation</w:t>
            </w:r>
          </w:p>
          <w:p w14:paraId="3C6BBCB8" w14:textId="77777777" w:rsidR="00295C6D" w:rsidRPr="00A5626D" w:rsidRDefault="00295C6D" w:rsidP="00E31AE6">
            <w:pPr>
              <w:tabs>
                <w:tab w:val="left" w:pos="1134"/>
                <w:tab w:val="left" w:pos="7938"/>
              </w:tabs>
              <w:ind w:firstLine="346"/>
              <w:jc w:val="both"/>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id-gtp="1n"&gt;</w:t>
            </w:r>
          </w:p>
          <w:p w14:paraId="0C33B59D" w14:textId="77777777" w:rsidR="00295C6D" w:rsidRPr="00A5626D" w:rsidRDefault="00295C6D" w:rsidP="00E31AE6">
            <w:pPr>
              <w:tabs>
                <w:tab w:val="left" w:pos="1134"/>
                <w:tab w:val="left" w:pos="7938"/>
              </w:tabs>
              <w:ind w:firstLine="346"/>
              <w:jc w:val="both"/>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&lt;calcformula-or-rr  </w:t>
            </w:r>
          </w:p>
          <w:p w14:paraId="36CB088D" w14:textId="77777777" w:rsidR="00295C6D" w:rsidRPr="00A5626D" w:rsidRDefault="00295C6D" w:rsidP="00E31AE6">
            <w:pPr>
              <w:tabs>
                <w:tab w:val="left" w:pos="1134"/>
                <w:tab w:val="left" w:pos="7938"/>
              </w:tabs>
              <w:ind w:firstLine="346"/>
              <w:jc w:val="both"/>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name="250x"&gt;</w:t>
            </w:r>
          </w:p>
          <w:p w14:paraId="2613CBC3" w14:textId="77777777" w:rsidR="00295C6D" w:rsidRPr="00A5626D" w:rsidRDefault="00295C6D" w:rsidP="00E31AE6">
            <w:pPr>
              <w:tabs>
                <w:tab w:val="left" w:pos="1134"/>
                <w:tab w:val="left" w:pos="7938"/>
              </w:tabs>
              <w:ind w:firstLine="346"/>
              <w:jc w:val="both"/>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&lt;or</w:t>
            </w:r>
          </w:p>
          <w:p w14:paraId="607CB6B4" w14:textId="77777777" w:rsidR="00295C6D" w:rsidRPr="00A5626D" w:rsidRDefault="00295C6D" w:rsidP="00E31AE6">
            <w:pPr>
              <w:tabs>
                <w:tab w:val="left" w:pos="1134"/>
                <w:tab w:val="left" w:pos="7938"/>
              </w:tabs>
              <w:ind w:firstLine="346"/>
              <w:jc w:val="both"/>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id-delivery-point="4n" </w:t>
            </w:r>
          </w:p>
          <w:p w14:paraId="2B7A0071" w14:textId="77777777" w:rsidR="00295C6D" w:rsidRPr="00A5626D" w:rsidRDefault="00295C6D" w:rsidP="00E31AE6">
            <w:pPr>
              <w:tabs>
                <w:tab w:val="left" w:pos="1134"/>
                <w:tab w:val="left" w:pos="7938"/>
              </w:tabs>
              <w:ind w:firstLine="346"/>
              <w:jc w:val="both"/>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send-receive="send/receive" </w:t>
            </w:r>
          </w:p>
          <w:p w14:paraId="026FBBDB" w14:textId="77777777" w:rsidR="00295C6D" w:rsidRPr="00A5626D" w:rsidRDefault="00295C6D" w:rsidP="00E31AE6">
            <w:pPr>
              <w:tabs>
                <w:tab w:val="left" w:pos="1134"/>
                <w:tab w:val="left" w:pos="7938"/>
              </w:tabs>
              <w:ind w:firstLine="346"/>
              <w:jc w:val="both"/>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id-aiis="1n" </w:t>
            </w:r>
          </w:p>
          <w:p w14:paraId="13867B01" w14:textId="77777777" w:rsidR="00295C6D" w:rsidRPr="00A5626D" w:rsidRDefault="00295C6D" w:rsidP="00E31AE6">
            <w:pPr>
              <w:tabs>
                <w:tab w:val="left" w:pos="1134"/>
                <w:tab w:val="left" w:pos="7938"/>
              </w:tabs>
              <w:ind w:firstLine="346"/>
              <w:jc w:val="both"/>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id-org="1n" </w:t>
            </w:r>
          </w:p>
          <w:p w14:paraId="2929A2EB" w14:textId="77777777" w:rsidR="00295C6D" w:rsidRPr="00A5626D" w:rsidRDefault="00295C6D" w:rsidP="00E31AE6">
            <w:pPr>
              <w:tabs>
                <w:tab w:val="left" w:pos="1134"/>
                <w:tab w:val="left" w:pos="7938"/>
              </w:tabs>
              <w:ind w:firstLine="346"/>
              <w:jc w:val="both"/>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coefficient="2n"/&gt;</w:t>
            </w:r>
          </w:p>
          <w:p w14:paraId="3D5BDBC6" w14:textId="77777777" w:rsidR="00295C6D" w:rsidRPr="00A5626D" w:rsidRDefault="00295C6D" w:rsidP="00E31AE6">
            <w:pPr>
              <w:tabs>
                <w:tab w:val="left" w:pos="1134"/>
                <w:tab w:val="left" w:pos="7938"/>
              </w:tabs>
              <w:ind w:firstLine="346"/>
              <w:jc w:val="both"/>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&lt;rr</w:t>
            </w:r>
          </w:p>
          <w:p w14:paraId="080B22EF" w14:textId="77777777" w:rsidR="00295C6D" w:rsidRPr="00A5626D" w:rsidRDefault="00295C6D" w:rsidP="00E31AE6">
            <w:pPr>
              <w:tabs>
                <w:tab w:val="left" w:pos="1134"/>
                <w:tab w:val="left" w:pos="7938"/>
              </w:tabs>
              <w:ind w:firstLine="346"/>
              <w:jc w:val="both"/>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id-delivery-point="4n" </w:t>
            </w:r>
          </w:p>
          <w:p w14:paraId="2E47E2CC" w14:textId="77777777" w:rsidR="00295C6D" w:rsidRPr="00A5626D" w:rsidRDefault="00295C6D" w:rsidP="00E31AE6">
            <w:pPr>
              <w:tabs>
                <w:tab w:val="left" w:pos="1134"/>
                <w:tab w:val="left" w:pos="7938"/>
              </w:tabs>
              <w:ind w:firstLine="346"/>
              <w:jc w:val="both"/>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send-receive="send/receive" </w:t>
            </w:r>
          </w:p>
          <w:p w14:paraId="16D479E3" w14:textId="77777777" w:rsidR="00295C6D" w:rsidRPr="00A5626D" w:rsidRDefault="00295C6D" w:rsidP="00E31AE6">
            <w:pPr>
              <w:tabs>
                <w:tab w:val="left" w:pos="1134"/>
                <w:tab w:val="left" w:pos="7938"/>
              </w:tabs>
              <w:ind w:firstLine="346"/>
              <w:jc w:val="both"/>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id-aiis="1n" </w:t>
            </w:r>
          </w:p>
          <w:p w14:paraId="7054C1C5" w14:textId="77777777" w:rsidR="00295C6D" w:rsidRPr="00A5626D" w:rsidRDefault="00295C6D" w:rsidP="00E31AE6">
            <w:pPr>
              <w:tabs>
                <w:tab w:val="left" w:pos="1134"/>
                <w:tab w:val="left" w:pos="7938"/>
              </w:tabs>
              <w:ind w:firstLine="346"/>
              <w:jc w:val="both"/>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id-org="1n" </w:t>
            </w:r>
          </w:p>
          <w:p w14:paraId="7E9A8744" w14:textId="77777777" w:rsidR="00295C6D" w:rsidRPr="00A5626D" w:rsidRDefault="00295C6D" w:rsidP="00E31AE6">
            <w:pPr>
              <w:tabs>
                <w:tab w:val="left" w:pos="1134"/>
                <w:tab w:val="left" w:pos="7938"/>
              </w:tabs>
              <w:ind w:firstLine="346"/>
              <w:jc w:val="both"/>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coefficient="2n"/&gt;</w:t>
            </w:r>
          </w:p>
          <w:p w14:paraId="094440B4" w14:textId="77777777" w:rsidR="00295C6D" w:rsidRPr="00A5626D" w:rsidRDefault="00295C6D" w:rsidP="00E31AE6">
            <w:pPr>
              <w:tabs>
                <w:tab w:val="left" w:pos="1134"/>
                <w:tab w:val="left" w:pos="7938"/>
              </w:tabs>
              <w:ind w:firstLine="346"/>
              <w:jc w:val="both"/>
              <w:rPr>
                <w:rFonts w:ascii="Garamond" w:hAnsi="Garamond" w:cstheme="minorHAnsi"/>
                <w:sz w:val="22"/>
                <w:szCs w:val="22"/>
                <w:lang w:val="en-US"/>
              </w:rPr>
            </w:pPr>
            <w:r w:rsidRPr="00A5626D">
              <w:rPr>
                <w:rFonts w:ascii="Garamond" w:eastAsia="Calibri" w:hAnsi="Garamond" w:cstheme="minorHAnsi"/>
                <w:sz w:val="22"/>
                <w:szCs w:val="22"/>
                <w:lang w:val="en-US"/>
              </w:rPr>
              <w:lastRenderedPageBreak/>
              <w:t xml:space="preserve">                &lt;/calcformula-or-rr&gt;</w:t>
            </w:r>
          </w:p>
          <w:p w14:paraId="1A72FCC1" w14:textId="77777777" w:rsidR="00295C6D" w:rsidRPr="00A5626D" w:rsidRDefault="00295C6D" w:rsidP="00E31AE6">
            <w:pPr>
              <w:tabs>
                <w:tab w:val="left" w:pos="1134"/>
                <w:tab w:val="left" w:pos="7938"/>
              </w:tabs>
              <w:ind w:firstLine="346"/>
              <w:jc w:val="both"/>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&lt;/generation&gt;</w:t>
            </w:r>
          </w:p>
          <w:p w14:paraId="485736E7" w14:textId="77777777" w:rsidR="00295C6D" w:rsidRPr="00A5626D" w:rsidRDefault="00295C6D" w:rsidP="00E31AE6">
            <w:pPr>
              <w:tabs>
                <w:tab w:val="left" w:pos="1134"/>
                <w:tab w:val="left" w:pos="7938"/>
              </w:tabs>
              <w:ind w:firstLine="346"/>
              <w:jc w:val="both"/>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&lt;/algorithm&gt;</w:t>
            </w:r>
          </w:p>
          <w:p w14:paraId="54E21E00" w14:textId="77777777" w:rsidR="00295C6D" w:rsidRPr="00A5626D" w:rsidRDefault="00295C6D" w:rsidP="00E31AE6">
            <w:pPr>
              <w:tabs>
                <w:tab w:val="left" w:pos="1134"/>
                <w:tab w:val="left" w:pos="7938"/>
              </w:tabs>
              <w:ind w:firstLine="346"/>
              <w:jc w:val="both"/>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&lt;psi </w:t>
            </w:r>
          </w:p>
          <w:p w14:paraId="01A5B6ED" w14:textId="77777777" w:rsidR="00295C6D" w:rsidRPr="00A5626D" w:rsidRDefault="00295C6D" w:rsidP="00E31AE6">
            <w:pPr>
              <w:tabs>
                <w:tab w:val="left" w:pos="1134"/>
                <w:tab w:val="left" w:pos="7938"/>
              </w:tabs>
              <w:ind w:firstLine="346"/>
              <w:jc w:val="both"/>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calc-side="1/2/3"&gt;</w:t>
            </w:r>
          </w:p>
          <w:p w14:paraId="4D675C2B" w14:textId="77777777" w:rsidR="00295C6D" w:rsidRPr="00A5626D" w:rsidRDefault="00295C6D" w:rsidP="00E31AE6">
            <w:pPr>
              <w:tabs>
                <w:tab w:val="left" w:pos="1134"/>
                <w:tab w:val="left" w:pos="7938"/>
              </w:tabs>
              <w:ind w:firstLine="346"/>
              <w:jc w:val="both"/>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&lt;delivery-point-measuring-device-link</w:t>
            </w:r>
          </w:p>
          <w:p w14:paraId="1147AEB3" w14:textId="77777777" w:rsidR="00295C6D" w:rsidRPr="00A5626D" w:rsidRDefault="00295C6D" w:rsidP="00E31AE6">
            <w:pPr>
              <w:tabs>
                <w:tab w:val="left" w:pos="1134"/>
                <w:tab w:val="left" w:pos="7938"/>
              </w:tabs>
              <w:ind w:firstLine="346"/>
              <w:jc w:val="both"/>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id-delivery-point="4n" </w:t>
            </w:r>
          </w:p>
          <w:p w14:paraId="0605B623" w14:textId="77777777" w:rsidR="00295C6D" w:rsidRPr="00A5626D" w:rsidRDefault="00295C6D" w:rsidP="00E31AE6">
            <w:pPr>
              <w:tabs>
                <w:tab w:val="left" w:pos="1134"/>
                <w:tab w:val="left" w:pos="7938"/>
              </w:tabs>
              <w:ind w:firstLine="346"/>
              <w:jc w:val="both"/>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id-measuring-device="4n" </w:t>
            </w:r>
          </w:p>
          <w:p w14:paraId="24291D88" w14:textId="77777777" w:rsidR="00295C6D" w:rsidRPr="00A5626D" w:rsidRDefault="00295C6D" w:rsidP="00E31AE6">
            <w:pPr>
              <w:tabs>
                <w:tab w:val="left" w:pos="1134"/>
                <w:tab w:val="left" w:pos="7938"/>
              </w:tabs>
              <w:ind w:firstLine="346"/>
              <w:jc w:val="both"/>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direction=" send/receive/send-receive"</w:t>
            </w:r>
          </w:p>
          <w:p w14:paraId="585EA274" w14:textId="77777777" w:rsidR="00295C6D" w:rsidRPr="00A5626D" w:rsidRDefault="00295C6D" w:rsidP="00E31AE6">
            <w:pPr>
              <w:tabs>
                <w:tab w:val="left" w:pos="1134"/>
                <w:tab w:val="left" w:pos="7938"/>
              </w:tabs>
              <w:ind w:firstLine="346"/>
              <w:jc w:val="both"/>
              <w:rPr>
                <w:rFonts w:ascii="Garamond" w:hAnsi="Garamond" w:cstheme="minorHAnsi"/>
                <w:sz w:val="22"/>
                <w:szCs w:val="22"/>
                <w:lang w:val="en-US"/>
              </w:rPr>
            </w:pPr>
            <w:r w:rsidRPr="00A5626D">
              <w:rPr>
                <w:rFonts w:ascii="Garamond" w:hAnsi="Garamond" w:cstheme="minorHAnsi"/>
                <w:sz w:val="22"/>
                <w:szCs w:val="22"/>
                <w:lang w:val="en-US"/>
              </w:rPr>
              <w:tab/>
              <w:t xml:space="preserve">    is-inverse-connection=</w:t>
            </w:r>
            <w:r w:rsidRPr="00A5626D">
              <w:rPr>
                <w:rFonts w:ascii="Garamond" w:eastAsia="Calibri" w:hAnsi="Garamond" w:cstheme="minorHAnsi"/>
                <w:sz w:val="22"/>
                <w:szCs w:val="22"/>
                <w:lang w:val="en-US"/>
              </w:rPr>
              <w:t>"true/false"</w:t>
            </w:r>
          </w:p>
          <w:p w14:paraId="418B10E2" w14:textId="77777777" w:rsidR="00295C6D" w:rsidRPr="00A5626D" w:rsidRDefault="00295C6D" w:rsidP="00E31AE6">
            <w:pPr>
              <w:tabs>
                <w:tab w:val="left" w:pos="1134"/>
                <w:tab w:val="left" w:pos="7938"/>
              </w:tabs>
              <w:ind w:firstLine="346"/>
              <w:jc w:val="both"/>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oip-rip-so="oip/rip/so"&gt;</w:t>
            </w:r>
          </w:p>
          <w:p w14:paraId="0F1398A7" w14:textId="77777777" w:rsidR="00295C6D" w:rsidRPr="00A5626D" w:rsidRDefault="00295C6D" w:rsidP="00E31AE6">
            <w:pPr>
              <w:tabs>
                <w:tab w:val="left" w:pos="1134"/>
                <w:tab w:val="left" w:pos="7938"/>
              </w:tabs>
              <w:ind w:firstLine="346"/>
              <w:jc w:val="both"/>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&lt;comment&gt;</w:t>
            </w:r>
          </w:p>
          <w:p w14:paraId="7DD3FD61" w14:textId="77777777" w:rsidR="00295C6D" w:rsidRPr="00A5626D" w:rsidRDefault="00295C6D" w:rsidP="00E31AE6">
            <w:pPr>
              <w:tabs>
                <w:tab w:val="left" w:pos="1134"/>
                <w:tab w:val="left" w:pos="7938"/>
              </w:tabs>
              <w:ind w:firstLine="346"/>
              <w:jc w:val="both"/>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&lt;![CDATA[…]]&gt;</w:t>
            </w:r>
          </w:p>
          <w:p w14:paraId="48AC73B7" w14:textId="77777777" w:rsidR="00295C6D" w:rsidRPr="00A5626D" w:rsidRDefault="00295C6D" w:rsidP="00E31AE6">
            <w:pPr>
              <w:tabs>
                <w:tab w:val="left" w:pos="1134"/>
                <w:tab w:val="left" w:pos="7938"/>
              </w:tabs>
              <w:ind w:firstLine="346"/>
              <w:jc w:val="both"/>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&lt;/comment&gt;</w:t>
            </w:r>
          </w:p>
          <w:p w14:paraId="1AE00887" w14:textId="77777777" w:rsidR="00295C6D" w:rsidRPr="00A5626D" w:rsidRDefault="00295C6D" w:rsidP="00E31AE6">
            <w:pPr>
              <w:tabs>
                <w:tab w:val="left" w:pos="1134"/>
                <w:tab w:val="left" w:pos="7938"/>
              </w:tabs>
              <w:ind w:left="567" w:firstLine="346"/>
              <w:jc w:val="both"/>
              <w:rPr>
                <w:rFonts w:ascii="Garamond" w:eastAsia="Calibri" w:hAnsi="Garamond" w:cstheme="minorHAnsi"/>
                <w:sz w:val="22"/>
                <w:szCs w:val="22"/>
                <w:lang w:val="en-US"/>
              </w:rPr>
            </w:pPr>
            <w:r w:rsidRPr="00A5626D">
              <w:rPr>
                <w:rFonts w:ascii="Garamond" w:eastAsia="Calibri" w:hAnsi="Garamond" w:cstheme="minorHAnsi"/>
                <w:sz w:val="22"/>
                <w:szCs w:val="22"/>
                <w:lang w:val="en-US"/>
              </w:rPr>
              <w:t>&lt;so-comment&gt;</w:t>
            </w:r>
          </w:p>
          <w:p w14:paraId="1FB3DCBD" w14:textId="77777777" w:rsidR="00295C6D" w:rsidRPr="00A5626D" w:rsidRDefault="00295C6D" w:rsidP="00E31AE6">
            <w:pPr>
              <w:tabs>
                <w:tab w:val="left" w:pos="1134"/>
                <w:tab w:val="left" w:pos="7938"/>
              </w:tabs>
              <w:ind w:firstLine="346"/>
              <w:jc w:val="both"/>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&lt;![CDATA[…]]&gt;</w:t>
            </w:r>
          </w:p>
          <w:p w14:paraId="52281341" w14:textId="77777777" w:rsidR="00295C6D" w:rsidRPr="00A5626D" w:rsidRDefault="00295C6D" w:rsidP="00E31AE6">
            <w:pPr>
              <w:tabs>
                <w:tab w:val="left" w:pos="1134"/>
                <w:tab w:val="left" w:pos="7938"/>
              </w:tabs>
              <w:ind w:firstLine="346"/>
              <w:jc w:val="both"/>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&lt;/so-comment&gt;</w:t>
            </w:r>
          </w:p>
          <w:p w14:paraId="66778139" w14:textId="77777777" w:rsidR="00295C6D" w:rsidRPr="00A5626D" w:rsidRDefault="00295C6D" w:rsidP="00E31AE6">
            <w:pPr>
              <w:tabs>
                <w:tab w:val="left" w:pos="1134"/>
                <w:tab w:val="left" w:pos="7938"/>
              </w:tabs>
              <w:ind w:firstLine="346"/>
              <w:jc w:val="both"/>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&lt;/psi&gt;</w:t>
            </w:r>
          </w:p>
          <w:p w14:paraId="11A55508" w14:textId="77777777" w:rsidR="00295C6D" w:rsidRPr="00A5626D" w:rsidRDefault="00295C6D" w:rsidP="00E31AE6">
            <w:pPr>
              <w:tabs>
                <w:tab w:val="left" w:pos="1134"/>
                <w:tab w:val="left" w:pos="7938"/>
              </w:tabs>
              <w:jc w:val="both"/>
              <w:rPr>
                <w:rFonts w:ascii="Garamond" w:hAnsi="Garamond"/>
                <w:sz w:val="22"/>
                <w:szCs w:val="22"/>
                <w:lang w:val="en-US"/>
              </w:rPr>
            </w:pPr>
            <w:r w:rsidRPr="00A5626D">
              <w:rPr>
                <w:rFonts w:ascii="Garamond" w:hAnsi="Garamond"/>
                <w:sz w:val="22"/>
                <w:szCs w:val="22"/>
                <w:lang w:val="en-US"/>
              </w:rPr>
              <w:t>…</w:t>
            </w:r>
            <w:r w:rsidRPr="00A5626D" w:rsidDel="00B42E4D">
              <w:rPr>
                <w:rFonts w:ascii="Garamond" w:eastAsia="Calibri" w:hAnsi="Garamond" w:cstheme="minorHAnsi"/>
                <w:sz w:val="22"/>
                <w:szCs w:val="22"/>
                <w:lang w:val="en-US"/>
              </w:rPr>
              <w:t xml:space="preserve"> </w:t>
            </w:r>
          </w:p>
        </w:tc>
        <w:tc>
          <w:tcPr>
            <w:tcW w:w="7088" w:type="dxa"/>
          </w:tcPr>
          <w:p w14:paraId="0EBBC7E9" w14:textId="77777777" w:rsidR="00295C6D" w:rsidRPr="00A5626D" w:rsidRDefault="00295C6D" w:rsidP="00E31AE6">
            <w:pPr>
              <w:tabs>
                <w:tab w:val="left" w:pos="1134"/>
                <w:tab w:val="left" w:pos="7938"/>
              </w:tabs>
              <w:jc w:val="both"/>
              <w:rPr>
                <w:rFonts w:ascii="Garamond" w:hAnsi="Garamond"/>
                <w:b/>
                <w:sz w:val="22"/>
                <w:szCs w:val="22"/>
                <w:lang w:val="en-US" w:eastAsia="en-US"/>
              </w:rPr>
            </w:pPr>
            <w:r w:rsidRPr="00A5626D">
              <w:rPr>
                <w:rFonts w:ascii="Garamond" w:hAnsi="Garamond"/>
                <w:b/>
                <w:sz w:val="22"/>
                <w:szCs w:val="22"/>
                <w:lang w:eastAsia="en-US"/>
              </w:rPr>
              <w:lastRenderedPageBreak/>
              <w:t>Структура</w:t>
            </w:r>
            <w:r w:rsidRPr="00A5626D">
              <w:rPr>
                <w:rFonts w:ascii="Garamond" w:hAnsi="Garamond"/>
                <w:b/>
                <w:sz w:val="22"/>
                <w:szCs w:val="22"/>
                <w:lang w:val="en-US" w:eastAsia="en-US"/>
              </w:rPr>
              <w:t xml:space="preserve"> </w:t>
            </w:r>
            <w:r w:rsidRPr="00A5626D">
              <w:rPr>
                <w:rFonts w:ascii="Garamond" w:hAnsi="Garamond"/>
                <w:b/>
                <w:sz w:val="22"/>
                <w:szCs w:val="22"/>
                <w:lang w:eastAsia="en-US"/>
              </w:rPr>
              <w:t>документа</w:t>
            </w:r>
            <w:r w:rsidRPr="00A5626D">
              <w:rPr>
                <w:rFonts w:ascii="Garamond" w:hAnsi="Garamond"/>
                <w:b/>
                <w:sz w:val="22"/>
                <w:szCs w:val="22"/>
                <w:lang w:val="en-US" w:eastAsia="en-US"/>
              </w:rPr>
              <w:t xml:space="preserve"> 60000</w:t>
            </w:r>
          </w:p>
          <w:p w14:paraId="54F0EB5E" w14:textId="77777777" w:rsidR="00295C6D" w:rsidRPr="00A5626D" w:rsidRDefault="00295C6D" w:rsidP="00E31AE6">
            <w:pPr>
              <w:tabs>
                <w:tab w:val="left" w:pos="1134"/>
                <w:tab w:val="left" w:pos="7938"/>
              </w:tabs>
              <w:jc w:val="both"/>
              <w:rPr>
                <w:rFonts w:ascii="Garamond" w:hAnsi="Garamond"/>
                <w:sz w:val="22"/>
                <w:szCs w:val="22"/>
                <w:lang w:val="en-US"/>
              </w:rPr>
            </w:pPr>
          </w:p>
          <w:p w14:paraId="3982580E" w14:textId="77777777" w:rsidR="00295C6D" w:rsidRPr="00A5626D" w:rsidRDefault="00295C6D" w:rsidP="00E31AE6">
            <w:pPr>
              <w:tabs>
                <w:tab w:val="left" w:pos="1134"/>
                <w:tab w:val="left" w:pos="7938"/>
              </w:tabs>
              <w:ind w:firstLine="346"/>
              <w:jc w:val="both"/>
              <w:rPr>
                <w:rFonts w:ascii="Garamond" w:eastAsia="Calibri" w:hAnsi="Garamond" w:cstheme="minorHAnsi"/>
                <w:sz w:val="22"/>
                <w:szCs w:val="22"/>
                <w:lang w:val="en-US"/>
              </w:rPr>
            </w:pPr>
            <w:r w:rsidRPr="00A5626D">
              <w:rPr>
                <w:rFonts w:ascii="Garamond" w:eastAsia="Calibri" w:hAnsi="Garamond" w:cstheme="minorHAnsi"/>
                <w:sz w:val="22"/>
                <w:szCs w:val="22"/>
                <w:lang w:val="en-US"/>
              </w:rPr>
              <w:t>&lt;?xml version="1.0" encoding="Windows-1251" standalone="yes"?&gt;</w:t>
            </w:r>
          </w:p>
          <w:p w14:paraId="5878E1EF" w14:textId="77777777" w:rsidR="00295C6D" w:rsidRPr="00A5626D" w:rsidRDefault="00295C6D" w:rsidP="00E31AE6">
            <w:pPr>
              <w:tabs>
                <w:tab w:val="left" w:pos="1134"/>
                <w:tab w:val="left" w:pos="7938"/>
              </w:tabs>
              <w:ind w:firstLine="346"/>
              <w:jc w:val="both"/>
              <w:rPr>
                <w:rFonts w:ascii="Garamond" w:eastAsia="Calibri" w:hAnsi="Garamond" w:cstheme="minorHAnsi"/>
                <w:sz w:val="22"/>
                <w:szCs w:val="22"/>
                <w:lang w:val="en-US"/>
              </w:rPr>
            </w:pPr>
            <w:r w:rsidRPr="00A5626D">
              <w:rPr>
                <w:rFonts w:ascii="Garamond" w:eastAsia="Calibri" w:hAnsi="Garamond" w:cstheme="minorHAnsi"/>
                <w:sz w:val="22"/>
                <w:szCs w:val="22"/>
                <w:lang w:val="en-US"/>
              </w:rPr>
              <w:t>&lt;message</w:t>
            </w:r>
          </w:p>
          <w:p w14:paraId="3080674A" w14:textId="77777777" w:rsidR="00295C6D" w:rsidRPr="00A5626D" w:rsidRDefault="00295C6D" w:rsidP="00E31AE6">
            <w:pPr>
              <w:tabs>
                <w:tab w:val="left" w:pos="1134"/>
                <w:tab w:val="left" w:pos="7938"/>
              </w:tabs>
              <w:ind w:firstLine="346"/>
              <w:jc w:val="both"/>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class="5x"</w:t>
            </w:r>
          </w:p>
          <w:p w14:paraId="49075713" w14:textId="77777777" w:rsidR="00295C6D" w:rsidRPr="00A5626D" w:rsidRDefault="00295C6D" w:rsidP="00E31AE6">
            <w:pPr>
              <w:tabs>
                <w:tab w:val="left" w:pos="1134"/>
                <w:tab w:val="left" w:pos="7938"/>
              </w:tabs>
              <w:ind w:firstLine="346"/>
              <w:jc w:val="both"/>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version="5x"</w:t>
            </w:r>
          </w:p>
          <w:p w14:paraId="39A461E6" w14:textId="77777777" w:rsidR="00295C6D" w:rsidRPr="00A5626D" w:rsidRDefault="00295C6D" w:rsidP="00E31AE6">
            <w:pPr>
              <w:tabs>
                <w:tab w:val="left" w:pos="1134"/>
                <w:tab w:val="left" w:pos="7938"/>
              </w:tabs>
              <w:ind w:firstLine="346"/>
              <w:jc w:val="both"/>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generationtime="YYYYMMDDhhmmssGMT+N"</w:t>
            </w:r>
          </w:p>
          <w:p w14:paraId="724C80E7" w14:textId="77777777" w:rsidR="00295C6D" w:rsidRPr="00A5626D" w:rsidRDefault="00295C6D" w:rsidP="00E31AE6">
            <w:pPr>
              <w:tabs>
                <w:tab w:val="left" w:pos="1134"/>
                <w:tab w:val="left" w:pos="7938"/>
              </w:tabs>
              <w:ind w:firstLine="346"/>
              <w:jc w:val="both"/>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checksum="64x"&gt;</w:t>
            </w:r>
          </w:p>
          <w:p w14:paraId="7BFA21A3" w14:textId="77777777" w:rsidR="00295C6D" w:rsidRPr="00A5626D" w:rsidRDefault="00295C6D" w:rsidP="00E31AE6">
            <w:pPr>
              <w:tabs>
                <w:tab w:val="left" w:pos="1134"/>
                <w:tab w:val="left" w:pos="7938"/>
              </w:tabs>
              <w:ind w:firstLine="346"/>
              <w:jc w:val="both"/>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&lt;body</w:t>
            </w:r>
            <w:r w:rsidRPr="00A5626D">
              <w:rPr>
                <w:rFonts w:ascii="Garamond" w:hAnsi="Garamond" w:cstheme="minorHAnsi"/>
                <w:sz w:val="22"/>
                <w:szCs w:val="22"/>
                <w:lang w:val="en-US"/>
              </w:rPr>
              <w:t xml:space="preserve"> p-</w:t>
            </w:r>
            <w:r w:rsidRPr="00A5626D">
              <w:rPr>
                <w:rFonts w:ascii="Garamond" w:eastAsia="Calibri" w:hAnsi="Garamond" w:cstheme="minorHAnsi"/>
                <w:sz w:val="22"/>
                <w:szCs w:val="22"/>
                <w:lang w:val="en-US"/>
              </w:rPr>
              <w:t>version="50x"&gt;</w:t>
            </w:r>
          </w:p>
          <w:p w14:paraId="45E97701" w14:textId="77777777" w:rsidR="00295C6D" w:rsidRPr="00A5626D" w:rsidRDefault="00295C6D" w:rsidP="00E31AE6">
            <w:pPr>
              <w:tabs>
                <w:tab w:val="left" w:pos="1134"/>
                <w:tab w:val="left" w:pos="7938"/>
              </w:tabs>
              <w:ind w:firstLine="346"/>
              <w:jc w:val="both"/>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&lt;dictionaries&gt;</w:t>
            </w:r>
          </w:p>
          <w:p w14:paraId="288746E5" w14:textId="77777777" w:rsidR="00295C6D" w:rsidRPr="00A5626D" w:rsidRDefault="00295C6D" w:rsidP="00E31AE6">
            <w:pPr>
              <w:tabs>
                <w:tab w:val="left" w:pos="1134"/>
                <w:tab w:val="left" w:pos="7938"/>
              </w:tabs>
              <w:ind w:firstLine="346"/>
              <w:jc w:val="both"/>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&lt;organizations&gt;</w:t>
            </w:r>
          </w:p>
          <w:p w14:paraId="68B77763" w14:textId="77777777" w:rsidR="00295C6D" w:rsidRPr="00A5626D" w:rsidRDefault="00295C6D" w:rsidP="00E31AE6">
            <w:pPr>
              <w:tabs>
                <w:tab w:val="left" w:pos="1134"/>
                <w:tab w:val="left" w:pos="7938"/>
              </w:tabs>
              <w:ind w:firstLine="346"/>
              <w:jc w:val="both"/>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&lt;organization </w:t>
            </w:r>
          </w:p>
          <w:p w14:paraId="616BF3A5" w14:textId="77777777" w:rsidR="00295C6D" w:rsidRPr="00A5626D" w:rsidRDefault="00295C6D" w:rsidP="00E31AE6">
            <w:pPr>
              <w:tabs>
                <w:tab w:val="left" w:pos="1134"/>
                <w:tab w:val="left" w:pos="7938"/>
              </w:tabs>
              <w:ind w:firstLine="346"/>
              <w:jc w:val="both"/>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id-org="1n"</w:t>
            </w:r>
          </w:p>
          <w:p w14:paraId="056EE340" w14:textId="77777777" w:rsidR="00295C6D" w:rsidRPr="00A5626D" w:rsidRDefault="00295C6D" w:rsidP="00E31AE6">
            <w:pPr>
              <w:tabs>
                <w:tab w:val="left" w:pos="1134"/>
                <w:tab w:val="left" w:pos="7938"/>
              </w:tabs>
              <w:ind w:firstLine="346"/>
              <w:jc w:val="both"/>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trader-code="8x"</w:t>
            </w:r>
          </w:p>
          <w:p w14:paraId="0A10CDB8" w14:textId="77777777" w:rsidR="00295C6D" w:rsidRPr="00A5626D" w:rsidRDefault="00295C6D" w:rsidP="00E31AE6">
            <w:pPr>
              <w:tabs>
                <w:tab w:val="left" w:pos="1134"/>
                <w:tab w:val="left" w:pos="7938"/>
              </w:tabs>
              <w:ind w:firstLine="346"/>
              <w:jc w:val="both"/>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name="250x"</w:t>
            </w:r>
          </w:p>
          <w:p w14:paraId="41B0B98D" w14:textId="77777777" w:rsidR="00295C6D" w:rsidRPr="00A5626D" w:rsidRDefault="00295C6D" w:rsidP="00E31AE6">
            <w:pPr>
              <w:tabs>
                <w:tab w:val="left" w:pos="1134"/>
                <w:tab w:val="left" w:pos="7938"/>
              </w:tabs>
              <w:ind w:firstLine="346"/>
              <w:jc w:val="both"/>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phone="250x"</w:t>
            </w:r>
          </w:p>
          <w:p w14:paraId="33CB286C" w14:textId="77777777" w:rsidR="00295C6D" w:rsidRPr="00A5626D" w:rsidRDefault="00295C6D" w:rsidP="00E31AE6">
            <w:pPr>
              <w:tabs>
                <w:tab w:val="left" w:pos="1134"/>
                <w:tab w:val="left" w:pos="7938"/>
              </w:tabs>
              <w:ind w:firstLine="346"/>
              <w:jc w:val="both"/>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fax="250x"</w:t>
            </w:r>
          </w:p>
          <w:p w14:paraId="13DA74AE" w14:textId="77777777" w:rsidR="00295C6D" w:rsidRPr="00A5626D" w:rsidRDefault="00295C6D" w:rsidP="00E31AE6">
            <w:pPr>
              <w:tabs>
                <w:tab w:val="left" w:pos="1134"/>
                <w:tab w:val="left" w:pos="7938"/>
              </w:tabs>
              <w:ind w:firstLine="346"/>
              <w:jc w:val="both"/>
              <w:rPr>
                <w:rFonts w:ascii="Garamond" w:eastAsia="Calibri" w:hAnsi="Garamond" w:cstheme="minorHAnsi"/>
                <w:sz w:val="22"/>
                <w:szCs w:val="22"/>
                <w:lang w:val="en-US"/>
              </w:rPr>
            </w:pPr>
            <w:r w:rsidRPr="00A5626D">
              <w:rPr>
                <w:rFonts w:ascii="Garamond" w:eastAsia="Calibri" w:hAnsi="Garamond" w:cstheme="minorHAnsi"/>
                <w:sz w:val="22"/>
                <w:szCs w:val="22"/>
                <w:lang w:val="en-US"/>
              </w:rPr>
              <w:lastRenderedPageBreak/>
              <w:t xml:space="preserve">                e-mail="250x"</w:t>
            </w:r>
          </w:p>
          <w:p w14:paraId="3EBAE897" w14:textId="77777777" w:rsidR="00295C6D" w:rsidRPr="00A5626D" w:rsidRDefault="00295C6D" w:rsidP="00E31AE6">
            <w:pPr>
              <w:tabs>
                <w:tab w:val="left" w:pos="1134"/>
                <w:tab w:val="left" w:pos="7938"/>
              </w:tabs>
              <w:ind w:firstLine="346"/>
              <w:jc w:val="both"/>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u-address="250x"</w:t>
            </w:r>
          </w:p>
          <w:p w14:paraId="2379B73C" w14:textId="77777777" w:rsidR="00295C6D" w:rsidRPr="00A5626D" w:rsidRDefault="00295C6D" w:rsidP="00E31AE6">
            <w:pPr>
              <w:tabs>
                <w:tab w:val="left" w:pos="1134"/>
                <w:tab w:val="left" w:pos="7938"/>
              </w:tabs>
              <w:ind w:firstLine="346"/>
              <w:jc w:val="both"/>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p-address="250x"</w:t>
            </w:r>
          </w:p>
          <w:p w14:paraId="0F772C20" w14:textId="77777777" w:rsidR="00295C6D" w:rsidRPr="00A5626D" w:rsidRDefault="00295C6D" w:rsidP="00E31AE6">
            <w:pPr>
              <w:tabs>
                <w:tab w:val="left" w:pos="1134"/>
                <w:tab w:val="left" w:pos="7938"/>
              </w:tabs>
              <w:ind w:firstLine="346"/>
              <w:jc w:val="both"/>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contact-info="500x"&gt;</w:t>
            </w:r>
          </w:p>
          <w:p w14:paraId="69E48B5C" w14:textId="77777777" w:rsidR="00295C6D" w:rsidRPr="00A5626D" w:rsidRDefault="00295C6D" w:rsidP="00E31AE6">
            <w:pPr>
              <w:tabs>
                <w:tab w:val="left" w:pos="1134"/>
                <w:tab w:val="left" w:pos="7938"/>
              </w:tabs>
              <w:ind w:firstLine="346"/>
              <w:jc w:val="both"/>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&lt;/organizations&gt;</w:t>
            </w:r>
          </w:p>
          <w:p w14:paraId="7FC32A0D" w14:textId="77777777" w:rsidR="00295C6D" w:rsidRPr="00A5626D" w:rsidRDefault="00295C6D" w:rsidP="00E31AE6">
            <w:pPr>
              <w:tabs>
                <w:tab w:val="left" w:pos="1134"/>
                <w:tab w:val="left" w:pos="7938"/>
              </w:tabs>
              <w:ind w:firstLine="346"/>
              <w:jc w:val="both"/>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&lt;gtps&gt;</w:t>
            </w:r>
          </w:p>
          <w:p w14:paraId="7D31288F" w14:textId="77777777" w:rsidR="00295C6D" w:rsidRPr="00A5626D" w:rsidRDefault="00295C6D" w:rsidP="00E31AE6">
            <w:pPr>
              <w:tabs>
                <w:tab w:val="left" w:pos="1134"/>
                <w:tab w:val="left" w:pos="7938"/>
              </w:tabs>
              <w:ind w:firstLine="346"/>
              <w:jc w:val="both"/>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&lt;gtpp</w:t>
            </w:r>
          </w:p>
          <w:p w14:paraId="61EDEF42" w14:textId="77777777" w:rsidR="00295C6D" w:rsidRPr="00A5626D" w:rsidRDefault="00295C6D" w:rsidP="00E31AE6">
            <w:pPr>
              <w:tabs>
                <w:tab w:val="left" w:pos="1134"/>
                <w:tab w:val="left" w:pos="7938"/>
              </w:tabs>
              <w:ind w:firstLine="346"/>
              <w:jc w:val="both"/>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id-gtp="1n"</w:t>
            </w:r>
          </w:p>
          <w:p w14:paraId="000093D1" w14:textId="77777777" w:rsidR="00295C6D" w:rsidRPr="00A5626D" w:rsidRDefault="00295C6D" w:rsidP="00E31AE6">
            <w:pPr>
              <w:tabs>
                <w:tab w:val="left" w:pos="1134"/>
                <w:tab w:val="left" w:pos="7938"/>
              </w:tabs>
              <w:ind w:firstLine="346"/>
              <w:jc w:val="both"/>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id-org="1n"</w:t>
            </w:r>
          </w:p>
          <w:p w14:paraId="31336E6D" w14:textId="77777777" w:rsidR="00295C6D" w:rsidRPr="00A5626D" w:rsidRDefault="00295C6D" w:rsidP="00E31AE6">
            <w:pPr>
              <w:tabs>
                <w:tab w:val="left" w:pos="1134"/>
                <w:tab w:val="left" w:pos="7938"/>
              </w:tabs>
              <w:ind w:firstLine="346"/>
              <w:jc w:val="both"/>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gtp-code="8x"</w:t>
            </w:r>
          </w:p>
          <w:p w14:paraId="1D20199A" w14:textId="77777777" w:rsidR="00295C6D" w:rsidRPr="00A5626D" w:rsidRDefault="00295C6D" w:rsidP="00E31AE6">
            <w:pPr>
              <w:tabs>
                <w:tab w:val="left" w:pos="1134"/>
                <w:tab w:val="left" w:pos="7938"/>
              </w:tabs>
              <w:ind w:firstLine="346"/>
              <w:jc w:val="both"/>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gtp-name="250x"&gt;</w:t>
            </w:r>
          </w:p>
          <w:p w14:paraId="7382ED94" w14:textId="77777777" w:rsidR="00295C6D" w:rsidRPr="00A5626D" w:rsidRDefault="00295C6D" w:rsidP="00E31AE6">
            <w:pPr>
              <w:tabs>
                <w:tab w:val="left" w:pos="1134"/>
                <w:tab w:val="left" w:pos="7938"/>
              </w:tabs>
              <w:ind w:firstLine="346"/>
              <w:jc w:val="both"/>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&lt;gtpg</w:t>
            </w:r>
          </w:p>
          <w:p w14:paraId="00E12F4B" w14:textId="77777777" w:rsidR="00295C6D" w:rsidRPr="00A5626D" w:rsidRDefault="00295C6D" w:rsidP="00E31AE6">
            <w:pPr>
              <w:tabs>
                <w:tab w:val="left" w:pos="1134"/>
                <w:tab w:val="left" w:pos="7938"/>
              </w:tabs>
              <w:ind w:firstLine="346"/>
              <w:jc w:val="both"/>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id-gtp="1n"</w:t>
            </w:r>
          </w:p>
          <w:p w14:paraId="59E012B5" w14:textId="77777777" w:rsidR="00295C6D" w:rsidRPr="00A5626D" w:rsidRDefault="00295C6D" w:rsidP="00E31AE6">
            <w:pPr>
              <w:tabs>
                <w:tab w:val="left" w:pos="1134"/>
                <w:tab w:val="left" w:pos="7938"/>
              </w:tabs>
              <w:ind w:firstLine="346"/>
              <w:jc w:val="both"/>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gtp-code="8x"</w:t>
            </w:r>
          </w:p>
          <w:p w14:paraId="043A8805" w14:textId="77777777" w:rsidR="00295C6D" w:rsidRPr="00A5626D" w:rsidRDefault="00295C6D" w:rsidP="00E31AE6">
            <w:pPr>
              <w:tabs>
                <w:tab w:val="left" w:pos="1134"/>
                <w:tab w:val="left" w:pos="7938"/>
              </w:tabs>
              <w:ind w:firstLine="346"/>
              <w:jc w:val="both"/>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gtp-name="250x"/&gt;</w:t>
            </w:r>
          </w:p>
          <w:p w14:paraId="5480D3B9" w14:textId="77777777" w:rsidR="00295C6D" w:rsidRPr="00A5626D" w:rsidRDefault="00295C6D" w:rsidP="00E31AE6">
            <w:pPr>
              <w:tabs>
                <w:tab w:val="left" w:pos="1134"/>
                <w:tab w:val="left" w:pos="7938"/>
              </w:tabs>
              <w:ind w:firstLine="346"/>
              <w:jc w:val="both"/>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&lt;/gtpp&gt;</w:t>
            </w:r>
          </w:p>
          <w:p w14:paraId="6D474AFA" w14:textId="77777777" w:rsidR="00295C6D" w:rsidRPr="00A5626D" w:rsidRDefault="00295C6D" w:rsidP="00E31AE6">
            <w:pPr>
              <w:tabs>
                <w:tab w:val="left" w:pos="1134"/>
                <w:tab w:val="left" w:pos="7938"/>
              </w:tabs>
              <w:ind w:firstLine="1315"/>
              <w:jc w:val="both"/>
              <w:rPr>
                <w:rFonts w:ascii="Garamond" w:eastAsia="Calibri" w:hAnsi="Garamond" w:cstheme="minorHAnsi"/>
                <w:sz w:val="22"/>
                <w:szCs w:val="22"/>
                <w:highlight w:val="yellow"/>
                <w:lang w:val="en-US"/>
              </w:rPr>
            </w:pPr>
            <w:r w:rsidRPr="00A5626D">
              <w:rPr>
                <w:rFonts w:ascii="Garamond" w:eastAsia="Calibri" w:hAnsi="Garamond" w:cstheme="minorHAnsi"/>
                <w:sz w:val="22"/>
                <w:szCs w:val="22"/>
                <w:highlight w:val="yellow"/>
                <w:lang w:val="en-US"/>
              </w:rPr>
              <w:t>&lt;gtp-regulation-object</w:t>
            </w:r>
          </w:p>
          <w:p w14:paraId="631452CD" w14:textId="77777777" w:rsidR="00295C6D" w:rsidRPr="00A5626D" w:rsidRDefault="00295C6D" w:rsidP="00E31AE6">
            <w:pPr>
              <w:tabs>
                <w:tab w:val="left" w:pos="1134"/>
                <w:tab w:val="left" w:pos="7938"/>
              </w:tabs>
              <w:ind w:firstLine="1315"/>
              <w:jc w:val="both"/>
              <w:rPr>
                <w:rFonts w:ascii="Garamond" w:eastAsia="Calibri" w:hAnsi="Garamond" w:cstheme="minorHAnsi"/>
                <w:sz w:val="22"/>
                <w:szCs w:val="22"/>
                <w:highlight w:val="yellow"/>
                <w:lang w:val="en-US"/>
              </w:rPr>
            </w:pPr>
            <w:r w:rsidRPr="00A5626D">
              <w:rPr>
                <w:rFonts w:ascii="Garamond" w:eastAsia="Calibri" w:hAnsi="Garamond" w:cstheme="minorHAnsi"/>
                <w:sz w:val="22"/>
                <w:szCs w:val="22"/>
                <w:highlight w:val="yellow"/>
                <w:lang w:val="en-US"/>
              </w:rPr>
              <w:t>id-org ="1n"</w:t>
            </w:r>
          </w:p>
          <w:p w14:paraId="1DB97797" w14:textId="77777777" w:rsidR="00295C6D" w:rsidRPr="00A5626D" w:rsidRDefault="00295C6D" w:rsidP="00E31AE6">
            <w:pPr>
              <w:tabs>
                <w:tab w:val="left" w:pos="1134"/>
                <w:tab w:val="left" w:pos="7938"/>
              </w:tabs>
              <w:ind w:firstLine="1315"/>
              <w:jc w:val="both"/>
              <w:rPr>
                <w:rFonts w:ascii="Garamond" w:eastAsia="Calibri" w:hAnsi="Garamond" w:cstheme="minorHAnsi"/>
                <w:sz w:val="22"/>
                <w:szCs w:val="22"/>
                <w:highlight w:val="yellow"/>
                <w:lang w:val="en-US"/>
              </w:rPr>
            </w:pPr>
            <w:r w:rsidRPr="00A5626D">
              <w:rPr>
                <w:rFonts w:ascii="Garamond" w:eastAsia="Calibri" w:hAnsi="Garamond" w:cstheme="minorHAnsi"/>
                <w:sz w:val="22"/>
                <w:szCs w:val="22"/>
                <w:highlight w:val="yellow"/>
                <w:lang w:val="en-US"/>
              </w:rPr>
              <w:t>id-gtp="1n"</w:t>
            </w:r>
          </w:p>
          <w:p w14:paraId="6F2D8BA8" w14:textId="77777777" w:rsidR="00295C6D" w:rsidRPr="00A5626D" w:rsidRDefault="00295C6D" w:rsidP="00E31AE6">
            <w:pPr>
              <w:tabs>
                <w:tab w:val="left" w:pos="1134"/>
                <w:tab w:val="left" w:pos="7938"/>
              </w:tabs>
              <w:ind w:firstLine="1315"/>
              <w:jc w:val="both"/>
              <w:rPr>
                <w:rFonts w:ascii="Garamond" w:eastAsia="Calibri" w:hAnsi="Garamond" w:cstheme="minorHAnsi"/>
                <w:sz w:val="22"/>
                <w:szCs w:val="22"/>
                <w:highlight w:val="yellow"/>
                <w:lang w:val="en-US"/>
              </w:rPr>
            </w:pPr>
            <w:r w:rsidRPr="00A5626D">
              <w:rPr>
                <w:rFonts w:ascii="Garamond" w:eastAsia="Calibri" w:hAnsi="Garamond" w:cstheme="minorHAnsi"/>
                <w:sz w:val="22"/>
                <w:szCs w:val="22"/>
                <w:highlight w:val="yellow"/>
                <w:lang w:val="en-US"/>
              </w:rPr>
              <w:t>gtp-code="8x"</w:t>
            </w:r>
          </w:p>
          <w:p w14:paraId="4153A7E3" w14:textId="77777777" w:rsidR="00295C6D" w:rsidRPr="00A5626D" w:rsidRDefault="00295C6D" w:rsidP="00E31AE6">
            <w:pPr>
              <w:tabs>
                <w:tab w:val="left" w:pos="1134"/>
                <w:tab w:val="left" w:pos="7938"/>
              </w:tabs>
              <w:ind w:firstLine="1315"/>
              <w:jc w:val="both"/>
              <w:rPr>
                <w:rFonts w:ascii="Garamond" w:eastAsia="Calibri" w:hAnsi="Garamond" w:cstheme="minorHAnsi"/>
                <w:sz w:val="22"/>
                <w:szCs w:val="22"/>
                <w:highlight w:val="yellow"/>
                <w:lang w:val="en-US"/>
              </w:rPr>
            </w:pPr>
            <w:r w:rsidRPr="00A5626D">
              <w:rPr>
                <w:rFonts w:ascii="Garamond" w:eastAsia="Calibri" w:hAnsi="Garamond" w:cstheme="minorHAnsi"/>
                <w:sz w:val="22"/>
                <w:szCs w:val="22"/>
                <w:highlight w:val="yellow"/>
                <w:lang w:val="en-US"/>
              </w:rPr>
              <w:t>gtp-name="250x"</w:t>
            </w:r>
          </w:p>
          <w:p w14:paraId="415C930B" w14:textId="77777777" w:rsidR="00295C6D" w:rsidRPr="00A5626D" w:rsidRDefault="00295C6D" w:rsidP="00E31AE6">
            <w:pPr>
              <w:tabs>
                <w:tab w:val="left" w:pos="1134"/>
                <w:tab w:val="left" w:pos="7938"/>
              </w:tabs>
              <w:ind w:firstLine="1315"/>
              <w:jc w:val="both"/>
              <w:rPr>
                <w:rFonts w:ascii="Garamond" w:eastAsia="Calibri" w:hAnsi="Garamond" w:cstheme="minorHAnsi"/>
                <w:sz w:val="22"/>
                <w:szCs w:val="22"/>
                <w:lang w:val="en-US"/>
              </w:rPr>
            </w:pPr>
            <w:r w:rsidRPr="00A5626D">
              <w:rPr>
                <w:rFonts w:ascii="Garamond" w:eastAsia="Calibri" w:hAnsi="Garamond" w:cstheme="minorHAnsi"/>
                <w:sz w:val="22"/>
                <w:szCs w:val="22"/>
                <w:highlight w:val="yellow"/>
                <w:lang w:val="en-US"/>
              </w:rPr>
              <w:t>gtp-owner-trader-code="8x"/&gt;</w:t>
            </w:r>
            <w:r w:rsidRPr="00A5626D">
              <w:rPr>
                <w:rFonts w:ascii="Garamond" w:eastAsia="Calibri" w:hAnsi="Garamond" w:cstheme="minorHAnsi"/>
                <w:sz w:val="22"/>
                <w:szCs w:val="22"/>
                <w:lang w:val="en-US"/>
              </w:rPr>
              <w:t xml:space="preserve">                   </w:t>
            </w:r>
          </w:p>
          <w:p w14:paraId="1781F633" w14:textId="77777777" w:rsidR="00295C6D" w:rsidRPr="00A5626D" w:rsidRDefault="00295C6D" w:rsidP="00E31AE6">
            <w:pPr>
              <w:tabs>
                <w:tab w:val="left" w:pos="1134"/>
                <w:tab w:val="left" w:pos="7938"/>
              </w:tabs>
              <w:ind w:firstLine="435"/>
              <w:jc w:val="both"/>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&lt;/gtps&gt;</w:t>
            </w:r>
          </w:p>
          <w:p w14:paraId="6FCEB6E6" w14:textId="77777777" w:rsidR="00295C6D" w:rsidRPr="00A5626D" w:rsidRDefault="00295C6D" w:rsidP="00E31AE6">
            <w:pPr>
              <w:tabs>
                <w:tab w:val="left" w:pos="1134"/>
                <w:tab w:val="left" w:pos="7938"/>
              </w:tabs>
              <w:ind w:firstLine="346"/>
              <w:jc w:val="both"/>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&lt;power-object-owners&gt;</w:t>
            </w:r>
          </w:p>
          <w:p w14:paraId="684B947B" w14:textId="77777777" w:rsidR="00295C6D" w:rsidRPr="00A5626D" w:rsidRDefault="00295C6D" w:rsidP="00E31AE6">
            <w:pPr>
              <w:tabs>
                <w:tab w:val="left" w:pos="1134"/>
                <w:tab w:val="left" w:pos="7938"/>
              </w:tabs>
              <w:ind w:firstLine="346"/>
              <w:jc w:val="both"/>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&lt;power-object-owner</w:t>
            </w:r>
          </w:p>
          <w:p w14:paraId="368C277F" w14:textId="77777777" w:rsidR="00295C6D" w:rsidRPr="00A5626D" w:rsidRDefault="00295C6D" w:rsidP="00E31AE6">
            <w:pPr>
              <w:tabs>
                <w:tab w:val="left" w:pos="1134"/>
                <w:tab w:val="left" w:pos="7938"/>
              </w:tabs>
              <w:ind w:firstLine="346"/>
              <w:jc w:val="both"/>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name="250x"</w:t>
            </w:r>
          </w:p>
          <w:p w14:paraId="39D413CB" w14:textId="77777777" w:rsidR="00295C6D" w:rsidRPr="00A5626D" w:rsidRDefault="00295C6D" w:rsidP="00E31AE6">
            <w:pPr>
              <w:tabs>
                <w:tab w:val="left" w:pos="1134"/>
                <w:tab w:val="left" w:pos="7938"/>
              </w:tabs>
              <w:ind w:firstLine="346"/>
              <w:jc w:val="both"/>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inn="10n"</w:t>
            </w:r>
          </w:p>
          <w:p w14:paraId="180838BA" w14:textId="77777777" w:rsidR="00295C6D" w:rsidRPr="00A5626D" w:rsidRDefault="00295C6D" w:rsidP="00E31AE6">
            <w:pPr>
              <w:tabs>
                <w:tab w:val="left" w:pos="1134"/>
                <w:tab w:val="left" w:pos="7938"/>
              </w:tabs>
              <w:ind w:firstLine="346"/>
              <w:jc w:val="both"/>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id-power-object-owner="4n"/&gt;</w:t>
            </w:r>
          </w:p>
          <w:p w14:paraId="0E74F337" w14:textId="77777777" w:rsidR="00295C6D" w:rsidRPr="00A5626D" w:rsidRDefault="00295C6D" w:rsidP="00E31AE6">
            <w:pPr>
              <w:tabs>
                <w:tab w:val="left" w:pos="1134"/>
                <w:tab w:val="left" w:pos="7938"/>
              </w:tabs>
              <w:ind w:firstLine="346"/>
              <w:jc w:val="both"/>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&lt;/power-object-owners&gt;</w:t>
            </w:r>
          </w:p>
          <w:p w14:paraId="37A34EEF" w14:textId="77777777" w:rsidR="00295C6D" w:rsidRPr="00A5626D" w:rsidRDefault="00295C6D" w:rsidP="00E31AE6">
            <w:pPr>
              <w:tabs>
                <w:tab w:val="left" w:pos="1134"/>
                <w:tab w:val="left" w:pos="7938"/>
              </w:tabs>
              <w:ind w:firstLine="346"/>
              <w:jc w:val="both"/>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&lt;aiises&gt;</w:t>
            </w:r>
          </w:p>
          <w:p w14:paraId="0F180B62" w14:textId="77777777" w:rsidR="00295C6D" w:rsidRPr="00A5626D" w:rsidRDefault="00295C6D" w:rsidP="00E31AE6">
            <w:pPr>
              <w:tabs>
                <w:tab w:val="left" w:pos="1134"/>
                <w:tab w:val="left" w:pos="7938"/>
              </w:tabs>
              <w:ind w:firstLine="346"/>
              <w:jc w:val="both"/>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&lt;aiis</w:t>
            </w:r>
          </w:p>
          <w:p w14:paraId="287958F0" w14:textId="77777777" w:rsidR="00295C6D" w:rsidRPr="00A5626D" w:rsidRDefault="00295C6D" w:rsidP="00E31AE6">
            <w:pPr>
              <w:tabs>
                <w:tab w:val="left" w:pos="1134"/>
                <w:tab w:val="left" w:pos="7938"/>
              </w:tabs>
              <w:ind w:firstLine="346"/>
              <w:jc w:val="both"/>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id-aiis="1n"</w:t>
            </w:r>
          </w:p>
          <w:p w14:paraId="5255BAB7" w14:textId="77777777" w:rsidR="00295C6D" w:rsidRPr="00A5626D" w:rsidRDefault="00295C6D" w:rsidP="00E31AE6">
            <w:pPr>
              <w:tabs>
                <w:tab w:val="left" w:pos="1134"/>
                <w:tab w:val="left" w:pos="7938"/>
              </w:tabs>
              <w:ind w:firstLine="346"/>
              <w:jc w:val="both"/>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id-gtp="1n"</w:t>
            </w:r>
          </w:p>
          <w:p w14:paraId="3DE8DBEB" w14:textId="77777777" w:rsidR="00295C6D" w:rsidRPr="00A5626D" w:rsidRDefault="00295C6D" w:rsidP="00E31AE6">
            <w:pPr>
              <w:tabs>
                <w:tab w:val="left" w:pos="1134"/>
                <w:tab w:val="left" w:pos="7938"/>
              </w:tabs>
              <w:ind w:firstLine="346"/>
              <w:jc w:val="both"/>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time-zone="1/3"</w:t>
            </w:r>
          </w:p>
          <w:p w14:paraId="29498D41" w14:textId="77777777" w:rsidR="00295C6D" w:rsidRPr="00A5626D" w:rsidRDefault="00295C6D" w:rsidP="00E31AE6">
            <w:pPr>
              <w:tabs>
                <w:tab w:val="left" w:pos="1134"/>
                <w:tab w:val="left" w:pos="7938"/>
              </w:tabs>
              <w:ind w:firstLine="346"/>
              <w:jc w:val="both"/>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ats-code="10n"/&gt;</w:t>
            </w:r>
          </w:p>
          <w:p w14:paraId="05BCCA03" w14:textId="77777777" w:rsidR="00295C6D" w:rsidRPr="00A5626D" w:rsidRDefault="00295C6D" w:rsidP="00E31AE6">
            <w:pPr>
              <w:tabs>
                <w:tab w:val="left" w:pos="1134"/>
                <w:tab w:val="left" w:pos="7938"/>
              </w:tabs>
              <w:ind w:firstLine="346"/>
              <w:jc w:val="both"/>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&lt;/aiises&gt;</w:t>
            </w:r>
          </w:p>
          <w:p w14:paraId="369E8EEF" w14:textId="77777777" w:rsidR="00295C6D" w:rsidRPr="00A5626D" w:rsidRDefault="00295C6D" w:rsidP="00E31AE6">
            <w:pPr>
              <w:tabs>
                <w:tab w:val="left" w:pos="1134"/>
                <w:tab w:val="left" w:pos="7938"/>
              </w:tabs>
              <w:ind w:firstLine="346"/>
              <w:jc w:val="both"/>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&lt;power-objects</w:t>
            </w:r>
          </w:p>
          <w:p w14:paraId="7BDE495A" w14:textId="77777777" w:rsidR="00295C6D" w:rsidRPr="00A5626D" w:rsidRDefault="00295C6D" w:rsidP="00E31AE6">
            <w:pPr>
              <w:tabs>
                <w:tab w:val="left" w:pos="1134"/>
                <w:tab w:val="left" w:pos="7938"/>
              </w:tabs>
              <w:ind w:firstLine="346"/>
              <w:jc w:val="both"/>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base-file-name ="250x"</w:t>
            </w:r>
          </w:p>
          <w:p w14:paraId="19B0FC6E" w14:textId="77777777" w:rsidR="00295C6D" w:rsidRPr="00A5626D" w:rsidRDefault="00295C6D" w:rsidP="00E31AE6">
            <w:pPr>
              <w:tabs>
                <w:tab w:val="left" w:pos="1134"/>
                <w:tab w:val="left" w:pos="7938"/>
              </w:tabs>
              <w:ind w:firstLine="346"/>
              <w:jc w:val="both"/>
              <w:rPr>
                <w:rFonts w:ascii="Garamond" w:eastAsia="Calibri" w:hAnsi="Garamond" w:cstheme="minorHAnsi"/>
                <w:sz w:val="22"/>
                <w:szCs w:val="22"/>
                <w:lang w:val="en-US"/>
              </w:rPr>
            </w:pPr>
            <w:r w:rsidRPr="00A5626D">
              <w:rPr>
                <w:rFonts w:ascii="Garamond" w:eastAsia="Calibri" w:hAnsi="Garamond" w:cstheme="minorHAnsi"/>
                <w:sz w:val="22"/>
                <w:szCs w:val="22"/>
                <w:lang w:val="en-US"/>
              </w:rPr>
              <w:lastRenderedPageBreak/>
              <w:t xml:space="preserve">              base-file-hash="64n"&gt;</w:t>
            </w:r>
          </w:p>
          <w:p w14:paraId="35D0CFD1" w14:textId="77777777" w:rsidR="00295C6D" w:rsidRPr="00A5626D" w:rsidRDefault="00295C6D" w:rsidP="00E31AE6">
            <w:pPr>
              <w:tabs>
                <w:tab w:val="left" w:pos="1134"/>
                <w:tab w:val="left" w:pos="7938"/>
              </w:tabs>
              <w:ind w:firstLine="346"/>
              <w:jc w:val="both"/>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&lt;power-object</w:t>
            </w:r>
          </w:p>
          <w:p w14:paraId="26C1662F" w14:textId="77777777" w:rsidR="00295C6D" w:rsidRPr="00A5626D" w:rsidRDefault="00295C6D" w:rsidP="00E31AE6">
            <w:pPr>
              <w:tabs>
                <w:tab w:val="left" w:pos="1134"/>
                <w:tab w:val="left" w:pos="7938"/>
              </w:tabs>
              <w:ind w:firstLine="346"/>
              <w:jc w:val="both"/>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id-power-object="4n"</w:t>
            </w:r>
          </w:p>
          <w:p w14:paraId="6479EA12" w14:textId="77777777" w:rsidR="00295C6D" w:rsidRPr="00A5626D" w:rsidRDefault="00295C6D" w:rsidP="00E31AE6">
            <w:pPr>
              <w:tabs>
                <w:tab w:val="left" w:pos="1134"/>
                <w:tab w:val="left" w:pos="7938"/>
              </w:tabs>
              <w:ind w:firstLine="346"/>
              <w:jc w:val="both"/>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guid="36x"</w:t>
            </w:r>
          </w:p>
          <w:p w14:paraId="34159BF1" w14:textId="77777777" w:rsidR="00295C6D" w:rsidRPr="00A5626D" w:rsidRDefault="00295C6D" w:rsidP="00E31AE6">
            <w:pPr>
              <w:tabs>
                <w:tab w:val="left" w:pos="1134"/>
                <w:tab w:val="left" w:pos="7938"/>
              </w:tabs>
              <w:ind w:firstLine="346"/>
              <w:jc w:val="both"/>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ats-code="9n"</w:t>
            </w:r>
          </w:p>
          <w:p w14:paraId="3C0C3981" w14:textId="77777777" w:rsidR="00295C6D" w:rsidRPr="00A5626D" w:rsidRDefault="00295C6D" w:rsidP="00E31AE6">
            <w:pPr>
              <w:tabs>
                <w:tab w:val="left" w:pos="1134"/>
                <w:tab w:val="left" w:pos="7938"/>
              </w:tabs>
              <w:ind w:firstLine="346"/>
              <w:jc w:val="both"/>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name="512x"</w:t>
            </w:r>
          </w:p>
          <w:p w14:paraId="3C06D23F" w14:textId="77777777" w:rsidR="00295C6D" w:rsidRPr="00A5626D" w:rsidRDefault="00295C6D" w:rsidP="00E31AE6">
            <w:pPr>
              <w:tabs>
                <w:tab w:val="left" w:pos="1134"/>
                <w:tab w:val="left" w:pos="7938"/>
              </w:tabs>
              <w:ind w:firstLine="346"/>
              <w:jc w:val="both"/>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type="1/2/3/4/5/6"</w:t>
            </w:r>
          </w:p>
          <w:p w14:paraId="6CBC8031" w14:textId="77777777" w:rsidR="00295C6D" w:rsidRPr="00A5626D" w:rsidRDefault="00295C6D" w:rsidP="00E31AE6">
            <w:pPr>
              <w:tabs>
                <w:tab w:val="left" w:pos="1134"/>
                <w:tab w:val="left" w:pos="7938"/>
              </w:tabs>
              <w:ind w:firstLine="346"/>
              <w:jc w:val="both"/>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w:t>
            </w:r>
            <w:r w:rsidRPr="00A5626D">
              <w:rPr>
                <w:rFonts w:ascii="Garamond" w:hAnsi="Garamond" w:cstheme="minorHAnsi"/>
                <w:sz w:val="22"/>
                <w:szCs w:val="22"/>
                <w:lang w:val="en-US"/>
              </w:rPr>
              <w:t>is-power-center</w:t>
            </w:r>
            <w:r w:rsidRPr="00A5626D">
              <w:rPr>
                <w:rFonts w:ascii="Garamond" w:eastAsia="Calibri" w:hAnsi="Garamond" w:cstheme="minorHAnsi"/>
                <w:sz w:val="22"/>
                <w:szCs w:val="22"/>
                <w:lang w:val="en-US"/>
              </w:rPr>
              <w:t>="true/false"&gt;</w:t>
            </w:r>
          </w:p>
          <w:p w14:paraId="168ED8AE" w14:textId="77777777" w:rsidR="00295C6D" w:rsidRPr="00A5626D" w:rsidRDefault="00295C6D" w:rsidP="00E31AE6">
            <w:pPr>
              <w:tabs>
                <w:tab w:val="left" w:pos="1134"/>
                <w:tab w:val="left" w:pos="7938"/>
              </w:tabs>
              <w:ind w:firstLine="346"/>
              <w:jc w:val="both"/>
              <w:rPr>
                <w:rFonts w:ascii="Garamond" w:hAnsi="Garamond" w:cstheme="minorHAnsi"/>
                <w:sz w:val="22"/>
                <w:szCs w:val="22"/>
                <w:lang w:val="en-US"/>
              </w:rPr>
            </w:pPr>
            <w:r w:rsidRPr="00A5626D">
              <w:rPr>
                <w:rFonts w:ascii="Garamond" w:hAnsi="Garamond" w:cstheme="minorHAnsi"/>
                <w:sz w:val="22"/>
                <w:szCs w:val="22"/>
                <w:lang w:val="en-US"/>
              </w:rPr>
              <w:t xml:space="preserve">        &lt;voltage-levels&gt;</w:t>
            </w:r>
          </w:p>
          <w:p w14:paraId="011B4EE0" w14:textId="77777777" w:rsidR="00295C6D" w:rsidRPr="00A5626D" w:rsidRDefault="00295C6D" w:rsidP="00E31AE6">
            <w:pPr>
              <w:tabs>
                <w:tab w:val="left" w:pos="1134"/>
                <w:tab w:val="left" w:pos="7938"/>
              </w:tabs>
              <w:ind w:firstLine="346"/>
              <w:jc w:val="both"/>
              <w:rPr>
                <w:rFonts w:ascii="Garamond" w:hAnsi="Garamond" w:cstheme="minorHAnsi"/>
                <w:sz w:val="22"/>
                <w:szCs w:val="22"/>
                <w:lang w:val="en-US"/>
              </w:rPr>
            </w:pPr>
            <w:r w:rsidRPr="00A5626D">
              <w:rPr>
                <w:rFonts w:ascii="Garamond" w:hAnsi="Garamond" w:cstheme="minorHAnsi"/>
                <w:sz w:val="22"/>
                <w:szCs w:val="22"/>
                <w:lang w:val="en-US"/>
              </w:rPr>
              <w:t>&lt;voltage-level voltage</w:t>
            </w:r>
            <w:r w:rsidRPr="00A5626D">
              <w:rPr>
                <w:rFonts w:ascii="Garamond" w:eastAsia="Calibri" w:hAnsi="Garamond" w:cstheme="minorHAnsi"/>
                <w:sz w:val="22"/>
                <w:szCs w:val="22"/>
                <w:lang w:val="en-US"/>
              </w:rPr>
              <w:t>="10n"/&gt;</w:t>
            </w:r>
          </w:p>
          <w:p w14:paraId="0FAD9BAE" w14:textId="77777777" w:rsidR="00295C6D" w:rsidRPr="00A5626D" w:rsidRDefault="00295C6D" w:rsidP="00E31AE6">
            <w:pPr>
              <w:tabs>
                <w:tab w:val="left" w:pos="1134"/>
                <w:tab w:val="left" w:pos="7938"/>
              </w:tabs>
              <w:ind w:firstLine="346"/>
              <w:jc w:val="both"/>
              <w:rPr>
                <w:rFonts w:ascii="Garamond" w:hAnsi="Garamond" w:cstheme="minorHAnsi"/>
                <w:sz w:val="22"/>
                <w:szCs w:val="22"/>
                <w:lang w:val="en-US"/>
              </w:rPr>
            </w:pPr>
            <w:r w:rsidRPr="00A5626D">
              <w:rPr>
                <w:rFonts w:ascii="Garamond" w:hAnsi="Garamond" w:cstheme="minorHAnsi"/>
                <w:sz w:val="22"/>
                <w:szCs w:val="22"/>
                <w:lang w:val="en-US"/>
              </w:rPr>
              <w:t xml:space="preserve">        &lt;/voltage-levels&gt;</w:t>
            </w:r>
          </w:p>
          <w:p w14:paraId="123A0D73" w14:textId="77777777" w:rsidR="00295C6D" w:rsidRPr="00A5626D" w:rsidRDefault="00295C6D" w:rsidP="00E31AE6">
            <w:pPr>
              <w:tabs>
                <w:tab w:val="left" w:pos="1134"/>
                <w:tab w:val="left" w:pos="7938"/>
              </w:tabs>
              <w:ind w:firstLine="346"/>
              <w:jc w:val="both"/>
              <w:rPr>
                <w:rFonts w:ascii="Garamond" w:eastAsia="Calibri" w:hAnsi="Garamond" w:cstheme="minorHAnsi"/>
                <w:sz w:val="22"/>
                <w:szCs w:val="22"/>
                <w:lang w:val="en-US"/>
              </w:rPr>
            </w:pPr>
            <w:r w:rsidRPr="00A5626D">
              <w:rPr>
                <w:rFonts w:ascii="Garamond" w:hAnsi="Garamond" w:cstheme="minorHAnsi"/>
                <w:sz w:val="22"/>
                <w:szCs w:val="22"/>
                <w:lang w:val="en-US"/>
              </w:rPr>
              <w:t xml:space="preserve">  </w:t>
            </w:r>
            <w:r w:rsidRPr="00A5626D">
              <w:rPr>
                <w:rFonts w:ascii="Garamond" w:hAnsi="Garamond" w:cstheme="minorHAnsi"/>
                <w:sz w:val="22"/>
                <w:szCs w:val="22"/>
                <w:lang w:val="en-US"/>
              </w:rPr>
              <w:tab/>
              <w:t xml:space="preserve">  &lt;/power-object&gt;</w:t>
            </w:r>
          </w:p>
          <w:p w14:paraId="5822AC56" w14:textId="77777777" w:rsidR="00295C6D" w:rsidRPr="00A5626D" w:rsidRDefault="00295C6D" w:rsidP="00E31AE6">
            <w:pPr>
              <w:tabs>
                <w:tab w:val="left" w:pos="1134"/>
                <w:tab w:val="left" w:pos="7938"/>
              </w:tabs>
              <w:ind w:firstLine="346"/>
              <w:jc w:val="both"/>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&lt;/power-objects&gt;</w:t>
            </w:r>
          </w:p>
          <w:p w14:paraId="453A403D" w14:textId="77777777" w:rsidR="00295C6D" w:rsidRPr="00A5626D" w:rsidRDefault="00295C6D" w:rsidP="00E31AE6">
            <w:pPr>
              <w:tabs>
                <w:tab w:val="left" w:pos="1134"/>
                <w:tab w:val="left" w:pos="7938"/>
              </w:tabs>
              <w:ind w:firstLine="346"/>
              <w:jc w:val="both"/>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&lt;delivery-points&gt;</w:t>
            </w:r>
          </w:p>
          <w:p w14:paraId="66BF2FFC" w14:textId="77777777" w:rsidR="00295C6D" w:rsidRPr="00A5626D" w:rsidRDefault="00295C6D" w:rsidP="00E31AE6">
            <w:pPr>
              <w:tabs>
                <w:tab w:val="left" w:pos="1134"/>
                <w:tab w:val="left" w:pos="7938"/>
              </w:tabs>
              <w:ind w:firstLine="346"/>
              <w:jc w:val="both"/>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&lt;delivery-point </w:t>
            </w:r>
          </w:p>
          <w:p w14:paraId="4FA0CFDB" w14:textId="77777777" w:rsidR="00295C6D" w:rsidRPr="00A5626D" w:rsidRDefault="00295C6D" w:rsidP="00E31AE6">
            <w:pPr>
              <w:tabs>
                <w:tab w:val="left" w:pos="1134"/>
                <w:tab w:val="left" w:pos="7938"/>
              </w:tabs>
              <w:ind w:firstLine="346"/>
              <w:jc w:val="both"/>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id-delivery-point="4n"</w:t>
            </w:r>
          </w:p>
          <w:p w14:paraId="6752E151" w14:textId="77777777" w:rsidR="00295C6D" w:rsidRPr="00A5626D" w:rsidRDefault="00295C6D" w:rsidP="00E31AE6">
            <w:pPr>
              <w:tabs>
                <w:tab w:val="left" w:pos="1134"/>
                <w:tab w:val="left" w:pos="7938"/>
              </w:tabs>
              <w:ind w:firstLine="346"/>
              <w:jc w:val="both"/>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guid="36x"</w:t>
            </w:r>
          </w:p>
          <w:p w14:paraId="719ADBAE" w14:textId="77777777" w:rsidR="00295C6D" w:rsidRPr="00A5626D" w:rsidRDefault="00295C6D" w:rsidP="00E31AE6">
            <w:pPr>
              <w:tabs>
                <w:tab w:val="left" w:pos="1134"/>
                <w:tab w:val="left" w:pos="7938"/>
              </w:tabs>
              <w:ind w:firstLine="346"/>
              <w:jc w:val="both"/>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is-group-delivery-point=" true/false"</w:t>
            </w:r>
          </w:p>
          <w:p w14:paraId="5CEA9AB2" w14:textId="77777777" w:rsidR="00295C6D" w:rsidRPr="00A5626D" w:rsidRDefault="00295C6D" w:rsidP="00E31AE6">
            <w:pPr>
              <w:tabs>
                <w:tab w:val="left" w:pos="1134"/>
                <w:tab w:val="left" w:pos="7938"/>
              </w:tabs>
              <w:ind w:firstLine="346"/>
              <w:jc w:val="both"/>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is-for-coding=" true/false"</w:t>
            </w:r>
          </w:p>
          <w:p w14:paraId="2F3D7B80" w14:textId="77777777" w:rsidR="00295C6D" w:rsidRPr="00A5626D" w:rsidRDefault="00295C6D" w:rsidP="00E31AE6">
            <w:pPr>
              <w:tabs>
                <w:tab w:val="left" w:pos="1134"/>
                <w:tab w:val="left" w:pos="7938"/>
              </w:tabs>
              <w:ind w:firstLine="346"/>
              <w:jc w:val="both"/>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ats-code="15n"</w:t>
            </w:r>
          </w:p>
          <w:p w14:paraId="64B7B95C" w14:textId="77777777" w:rsidR="00295C6D" w:rsidRPr="00A5626D" w:rsidRDefault="00295C6D" w:rsidP="00E31AE6">
            <w:pPr>
              <w:tabs>
                <w:tab w:val="left" w:pos="1134"/>
                <w:tab w:val="left" w:pos="7938"/>
              </w:tabs>
              <w:ind w:firstLine="346"/>
              <w:jc w:val="both"/>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composite-name="512x"</w:t>
            </w:r>
          </w:p>
          <w:p w14:paraId="774EF2C8" w14:textId="77777777" w:rsidR="00295C6D" w:rsidRPr="00A5626D" w:rsidRDefault="00295C6D" w:rsidP="00E31AE6">
            <w:pPr>
              <w:tabs>
                <w:tab w:val="left" w:pos="1134"/>
                <w:tab w:val="left" w:pos="7938"/>
              </w:tabs>
              <w:ind w:firstLine="346"/>
              <w:jc w:val="both"/>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id-power-object="4n"</w:t>
            </w:r>
          </w:p>
          <w:p w14:paraId="2AC4E63B" w14:textId="77777777" w:rsidR="00295C6D" w:rsidRPr="00A5626D" w:rsidRDefault="00295C6D" w:rsidP="00E31AE6">
            <w:pPr>
              <w:tabs>
                <w:tab w:val="left" w:pos="1134"/>
                <w:tab w:val="left" w:pos="7938"/>
              </w:tabs>
              <w:ind w:firstLine="346"/>
              <w:jc w:val="both"/>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method="250x"</w:t>
            </w:r>
          </w:p>
          <w:p w14:paraId="5EC13DC6" w14:textId="77777777" w:rsidR="00295C6D" w:rsidRPr="00A5626D" w:rsidRDefault="00295C6D" w:rsidP="00E31AE6">
            <w:pPr>
              <w:tabs>
                <w:tab w:val="left" w:pos="1134"/>
                <w:tab w:val="left" w:pos="7938"/>
              </w:tabs>
              <w:ind w:firstLine="346"/>
              <w:jc w:val="both"/>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schemanum="10x"</w:t>
            </w:r>
          </w:p>
          <w:p w14:paraId="366BB4B0" w14:textId="77777777" w:rsidR="00295C6D" w:rsidRPr="00A5626D" w:rsidRDefault="00295C6D" w:rsidP="00E31AE6">
            <w:pPr>
              <w:tabs>
                <w:tab w:val="left" w:pos="1134"/>
                <w:tab w:val="left" w:pos="7938"/>
              </w:tabs>
              <w:ind w:firstLine="346"/>
              <w:jc w:val="both"/>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power="10n"</w:t>
            </w:r>
          </w:p>
          <w:p w14:paraId="5CFFA305" w14:textId="77777777" w:rsidR="00295C6D" w:rsidRPr="00A5626D" w:rsidRDefault="00295C6D" w:rsidP="00E31AE6">
            <w:pPr>
              <w:tabs>
                <w:tab w:val="left" w:pos="1134"/>
                <w:tab w:val="left" w:pos="7938"/>
              </w:tabs>
              <w:ind w:firstLine="346"/>
              <w:jc w:val="both"/>
              <w:rPr>
                <w:rFonts w:ascii="Garamond" w:hAnsi="Garamond" w:cstheme="minorHAnsi"/>
                <w:sz w:val="22"/>
                <w:szCs w:val="22"/>
                <w:lang w:val="en-US"/>
              </w:rPr>
            </w:pPr>
            <w:r w:rsidRPr="00A5626D">
              <w:rPr>
                <w:rFonts w:ascii="Garamond" w:eastAsia="Calibri" w:hAnsi="Garamond" w:cstheme="minorHAnsi"/>
                <w:sz w:val="22"/>
                <w:szCs w:val="22"/>
                <w:lang w:val="en-US"/>
              </w:rPr>
              <w:t xml:space="preserve">                    point-voltage="10n"&gt;</w:t>
            </w:r>
          </w:p>
          <w:p w14:paraId="561DE3E9" w14:textId="77777777" w:rsidR="00295C6D" w:rsidRPr="00A5626D" w:rsidRDefault="00295C6D" w:rsidP="00E31AE6">
            <w:pPr>
              <w:tabs>
                <w:tab w:val="left" w:pos="1134"/>
                <w:tab w:val="left" w:pos="7938"/>
              </w:tabs>
              <w:ind w:firstLine="346"/>
              <w:jc w:val="both"/>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&lt;name </w:t>
            </w:r>
          </w:p>
          <w:p w14:paraId="53BD4D77" w14:textId="77777777" w:rsidR="00295C6D" w:rsidRPr="00A5626D" w:rsidRDefault="00295C6D" w:rsidP="00E31AE6">
            <w:pPr>
              <w:tabs>
                <w:tab w:val="left" w:pos="1134"/>
                <w:tab w:val="left" w:pos="7938"/>
              </w:tabs>
              <w:ind w:firstLine="346"/>
              <w:jc w:val="both"/>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power-object-name="250x"</w:t>
            </w:r>
          </w:p>
          <w:p w14:paraId="2051B6AF" w14:textId="77777777" w:rsidR="00295C6D" w:rsidRPr="00A5626D" w:rsidRDefault="00295C6D" w:rsidP="00E31AE6">
            <w:pPr>
              <w:tabs>
                <w:tab w:val="left" w:pos="1134"/>
                <w:tab w:val="left" w:pos="7938"/>
              </w:tabs>
              <w:ind w:firstLine="346"/>
              <w:jc w:val="both"/>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connection-name="250x"</w:t>
            </w:r>
          </w:p>
          <w:p w14:paraId="79DA12FD" w14:textId="77777777" w:rsidR="00295C6D" w:rsidRPr="00A5626D" w:rsidRDefault="00295C6D" w:rsidP="00E31AE6">
            <w:pPr>
              <w:tabs>
                <w:tab w:val="left" w:pos="1134"/>
                <w:tab w:val="left" w:pos="7938"/>
              </w:tabs>
              <w:ind w:firstLine="346"/>
              <w:jc w:val="both"/>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location-description="250x"/&gt;</w:t>
            </w:r>
          </w:p>
          <w:p w14:paraId="3E1775B0" w14:textId="77777777" w:rsidR="00295C6D" w:rsidRPr="00A5626D" w:rsidRDefault="00295C6D" w:rsidP="00E31AE6">
            <w:pPr>
              <w:tabs>
                <w:tab w:val="left" w:pos="1134"/>
                <w:tab w:val="left" w:pos="7938"/>
              </w:tabs>
              <w:ind w:firstLine="346"/>
              <w:jc w:val="both"/>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&lt;comment&gt;</w:t>
            </w:r>
          </w:p>
          <w:p w14:paraId="250AAB7E" w14:textId="77777777" w:rsidR="00295C6D" w:rsidRPr="00A5626D" w:rsidRDefault="00295C6D" w:rsidP="00E31AE6">
            <w:pPr>
              <w:tabs>
                <w:tab w:val="left" w:pos="1134"/>
                <w:tab w:val="left" w:pos="7938"/>
              </w:tabs>
              <w:ind w:firstLine="346"/>
              <w:jc w:val="both"/>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&lt;![CDATA[…]]&gt;</w:t>
            </w:r>
          </w:p>
          <w:p w14:paraId="2561D059" w14:textId="77777777" w:rsidR="00295C6D" w:rsidRPr="00A5626D" w:rsidRDefault="00295C6D" w:rsidP="00E31AE6">
            <w:pPr>
              <w:tabs>
                <w:tab w:val="left" w:pos="1134"/>
                <w:tab w:val="left" w:pos="7938"/>
              </w:tabs>
              <w:ind w:firstLine="346"/>
              <w:jc w:val="both"/>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&lt;/comment&gt;</w:t>
            </w:r>
          </w:p>
          <w:p w14:paraId="3482BC6D" w14:textId="77777777" w:rsidR="00295C6D" w:rsidRPr="00A5626D" w:rsidRDefault="00295C6D" w:rsidP="00E31AE6">
            <w:pPr>
              <w:tabs>
                <w:tab w:val="left" w:pos="1134"/>
                <w:tab w:val="left" w:pos="7938"/>
              </w:tabs>
              <w:ind w:firstLine="346"/>
              <w:jc w:val="both"/>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&lt;/delivery-point&gt;</w:t>
            </w:r>
          </w:p>
          <w:p w14:paraId="16837020" w14:textId="77777777" w:rsidR="00295C6D" w:rsidRPr="00A5626D" w:rsidRDefault="00295C6D" w:rsidP="00E31AE6">
            <w:pPr>
              <w:tabs>
                <w:tab w:val="left" w:pos="1134"/>
                <w:tab w:val="left" w:pos="7938"/>
              </w:tabs>
              <w:ind w:firstLine="346"/>
              <w:jc w:val="both"/>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&lt;/delivery-points&gt;</w:t>
            </w:r>
          </w:p>
          <w:p w14:paraId="4B713CE3" w14:textId="77777777" w:rsidR="00295C6D" w:rsidRPr="00A5626D" w:rsidRDefault="00295C6D" w:rsidP="00E31AE6">
            <w:pPr>
              <w:tabs>
                <w:tab w:val="left" w:pos="1134"/>
                <w:tab w:val="left" w:pos="7938"/>
              </w:tabs>
              <w:ind w:firstLine="346"/>
              <w:jc w:val="both"/>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&lt;measuring-device-modifications </w:t>
            </w:r>
          </w:p>
          <w:p w14:paraId="5239B252" w14:textId="77777777" w:rsidR="00295C6D" w:rsidRPr="00A5626D" w:rsidRDefault="00295C6D" w:rsidP="00E31AE6">
            <w:pPr>
              <w:tabs>
                <w:tab w:val="left" w:pos="1134"/>
                <w:tab w:val="left" w:pos="7938"/>
              </w:tabs>
              <w:ind w:firstLine="346"/>
              <w:jc w:val="both"/>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base-file-name="250x"</w:t>
            </w:r>
          </w:p>
          <w:p w14:paraId="0A7AD62C" w14:textId="77777777" w:rsidR="00295C6D" w:rsidRPr="00A5626D" w:rsidRDefault="00295C6D" w:rsidP="00E31AE6">
            <w:pPr>
              <w:tabs>
                <w:tab w:val="left" w:pos="1134"/>
                <w:tab w:val="left" w:pos="7938"/>
              </w:tabs>
              <w:ind w:firstLine="346"/>
              <w:jc w:val="both"/>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base-file-hash="64n"&gt;</w:t>
            </w:r>
          </w:p>
          <w:p w14:paraId="25771C6B" w14:textId="77777777" w:rsidR="00295C6D" w:rsidRPr="00A5626D" w:rsidRDefault="00295C6D" w:rsidP="00E31AE6">
            <w:pPr>
              <w:tabs>
                <w:tab w:val="left" w:pos="1134"/>
                <w:tab w:val="left" w:pos="7938"/>
              </w:tabs>
              <w:ind w:firstLine="346"/>
              <w:jc w:val="both"/>
              <w:rPr>
                <w:rFonts w:ascii="Garamond" w:eastAsia="Calibri" w:hAnsi="Garamond" w:cstheme="minorHAnsi"/>
                <w:sz w:val="22"/>
                <w:szCs w:val="22"/>
                <w:lang w:val="en-US"/>
              </w:rPr>
            </w:pPr>
            <w:r w:rsidRPr="00A5626D">
              <w:rPr>
                <w:rFonts w:ascii="Garamond" w:eastAsia="Calibri" w:hAnsi="Garamond" w:cstheme="minorHAnsi"/>
                <w:sz w:val="22"/>
                <w:szCs w:val="22"/>
                <w:lang w:val="en-US"/>
              </w:rPr>
              <w:lastRenderedPageBreak/>
              <w:t xml:space="preserve">                &lt;measuring-device-modification</w:t>
            </w:r>
          </w:p>
          <w:p w14:paraId="658A04D1" w14:textId="77777777" w:rsidR="00295C6D" w:rsidRPr="00A5626D" w:rsidRDefault="00295C6D" w:rsidP="00E31AE6">
            <w:pPr>
              <w:tabs>
                <w:tab w:val="left" w:pos="1134"/>
                <w:tab w:val="left" w:pos="7938"/>
              </w:tabs>
              <w:ind w:firstLine="346"/>
              <w:jc w:val="both"/>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id-device-modification="4n"</w:t>
            </w:r>
          </w:p>
          <w:p w14:paraId="7AE7BEDB" w14:textId="77777777" w:rsidR="00295C6D" w:rsidRPr="00A5626D" w:rsidRDefault="00295C6D" w:rsidP="00E31AE6">
            <w:pPr>
              <w:tabs>
                <w:tab w:val="left" w:pos="1134"/>
                <w:tab w:val="left" w:pos="7938"/>
              </w:tabs>
              <w:ind w:firstLine="346"/>
              <w:jc w:val="both"/>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ats-code="32x"</w:t>
            </w:r>
          </w:p>
          <w:p w14:paraId="2791DE35" w14:textId="77777777" w:rsidR="00295C6D" w:rsidRPr="00A5626D" w:rsidRDefault="00295C6D" w:rsidP="00E31AE6">
            <w:pPr>
              <w:tabs>
                <w:tab w:val="left" w:pos="1134"/>
                <w:tab w:val="left" w:pos="7938"/>
              </w:tabs>
              <w:ind w:firstLine="346"/>
              <w:jc w:val="both"/>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device-modification-name="80x"/&gt; </w:t>
            </w:r>
          </w:p>
          <w:p w14:paraId="22065A77" w14:textId="77777777" w:rsidR="00295C6D" w:rsidRPr="00A5626D" w:rsidRDefault="00295C6D" w:rsidP="00E31AE6">
            <w:pPr>
              <w:tabs>
                <w:tab w:val="left" w:pos="1134"/>
                <w:tab w:val="left" w:pos="7938"/>
              </w:tabs>
              <w:ind w:firstLine="346"/>
              <w:jc w:val="both"/>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&lt;/measuring-device-modifications&gt;</w:t>
            </w:r>
          </w:p>
          <w:p w14:paraId="68C95E72" w14:textId="77777777" w:rsidR="00295C6D" w:rsidRPr="00A5626D" w:rsidRDefault="00295C6D" w:rsidP="00E31AE6">
            <w:pPr>
              <w:tabs>
                <w:tab w:val="left" w:pos="1134"/>
                <w:tab w:val="left" w:pos="7938"/>
              </w:tabs>
              <w:ind w:firstLine="346"/>
              <w:jc w:val="both"/>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&lt;measuring-points&gt;</w:t>
            </w:r>
          </w:p>
          <w:p w14:paraId="103925BE" w14:textId="77777777" w:rsidR="00295C6D" w:rsidRPr="00A5626D" w:rsidRDefault="00295C6D" w:rsidP="00E31AE6">
            <w:pPr>
              <w:tabs>
                <w:tab w:val="left" w:pos="1134"/>
                <w:tab w:val="left" w:pos="7938"/>
              </w:tabs>
              <w:ind w:firstLine="346"/>
              <w:jc w:val="both"/>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&lt;measuring-point</w:t>
            </w:r>
          </w:p>
          <w:p w14:paraId="7B6993D5" w14:textId="77777777" w:rsidR="00295C6D" w:rsidRPr="00A5626D" w:rsidRDefault="00295C6D" w:rsidP="00E31AE6">
            <w:pPr>
              <w:tabs>
                <w:tab w:val="left" w:pos="1134"/>
                <w:tab w:val="left" w:pos="7938"/>
              </w:tabs>
              <w:ind w:firstLine="346"/>
              <w:jc w:val="both"/>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id-measuring-point="4n" </w:t>
            </w:r>
          </w:p>
          <w:p w14:paraId="1C5939DB" w14:textId="77777777" w:rsidR="00295C6D" w:rsidRPr="00A5626D" w:rsidRDefault="00295C6D" w:rsidP="00E31AE6">
            <w:pPr>
              <w:tabs>
                <w:tab w:val="left" w:pos="1134"/>
                <w:tab w:val="left" w:pos="7938"/>
              </w:tabs>
              <w:ind w:firstLine="346"/>
              <w:jc w:val="both"/>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guid="36x"</w:t>
            </w:r>
          </w:p>
          <w:p w14:paraId="260D5A8E" w14:textId="77777777" w:rsidR="00295C6D" w:rsidRPr="00A5626D" w:rsidRDefault="00295C6D" w:rsidP="00E31AE6">
            <w:pPr>
              <w:tabs>
                <w:tab w:val="left" w:pos="1134"/>
                <w:tab w:val="left" w:pos="7938"/>
              </w:tabs>
              <w:ind w:firstLine="346"/>
              <w:jc w:val="both"/>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schemanum="10x" </w:t>
            </w:r>
          </w:p>
          <w:p w14:paraId="6957C4D0" w14:textId="77777777" w:rsidR="00295C6D" w:rsidRPr="00A5626D" w:rsidRDefault="00295C6D" w:rsidP="00E31AE6">
            <w:pPr>
              <w:tabs>
                <w:tab w:val="left" w:pos="1134"/>
                <w:tab w:val="left" w:pos="7938"/>
              </w:tabs>
              <w:ind w:firstLine="346"/>
              <w:jc w:val="both"/>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ats-code="15n"</w:t>
            </w:r>
          </w:p>
          <w:p w14:paraId="6726477C" w14:textId="77777777" w:rsidR="00295C6D" w:rsidRPr="00A5626D" w:rsidRDefault="00295C6D" w:rsidP="00E31AE6">
            <w:pPr>
              <w:tabs>
                <w:tab w:val="left" w:pos="1134"/>
                <w:tab w:val="left" w:pos="7938"/>
              </w:tabs>
              <w:ind w:firstLine="346"/>
              <w:jc w:val="both"/>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id-power-object="4n"</w:t>
            </w:r>
          </w:p>
          <w:p w14:paraId="42915DC7" w14:textId="77777777" w:rsidR="00295C6D" w:rsidRPr="00A5626D" w:rsidRDefault="00295C6D" w:rsidP="00E31AE6">
            <w:pPr>
              <w:tabs>
                <w:tab w:val="left" w:pos="1134"/>
                <w:tab w:val="left" w:pos="7938"/>
              </w:tabs>
              <w:ind w:firstLine="346"/>
              <w:jc w:val="both"/>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id-gtp="1n"  </w:t>
            </w:r>
          </w:p>
          <w:p w14:paraId="5DC76D30" w14:textId="77777777" w:rsidR="00295C6D" w:rsidRPr="00A5626D" w:rsidRDefault="00295C6D" w:rsidP="00E31AE6">
            <w:pPr>
              <w:tabs>
                <w:tab w:val="left" w:pos="1134"/>
                <w:tab w:val="left" w:pos="7938"/>
              </w:tabs>
              <w:ind w:firstLine="346"/>
              <w:jc w:val="both"/>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measuring-point-type="general/ov/so"</w:t>
            </w:r>
          </w:p>
          <w:p w14:paraId="46B4B8BB" w14:textId="77777777" w:rsidR="00295C6D" w:rsidRPr="00A5626D" w:rsidRDefault="00295C6D" w:rsidP="00E31AE6">
            <w:pPr>
              <w:tabs>
                <w:tab w:val="left" w:pos="1134"/>
                <w:tab w:val="left" w:pos="7938"/>
              </w:tabs>
              <w:ind w:firstLine="346"/>
              <w:jc w:val="both"/>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point-voltage="10n"</w:t>
            </w:r>
          </w:p>
          <w:p w14:paraId="1E1FC629" w14:textId="77777777" w:rsidR="00295C6D" w:rsidRPr="00A5626D" w:rsidRDefault="00295C6D" w:rsidP="00E31AE6">
            <w:pPr>
              <w:tabs>
                <w:tab w:val="left" w:pos="1134"/>
                <w:tab w:val="left" w:pos="7938"/>
              </w:tabs>
              <w:ind w:firstLine="346"/>
              <w:jc w:val="both"/>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&lt;name </w:t>
            </w:r>
          </w:p>
          <w:p w14:paraId="4401DFC5" w14:textId="77777777" w:rsidR="00295C6D" w:rsidRPr="00A5626D" w:rsidRDefault="00295C6D" w:rsidP="00E31AE6">
            <w:pPr>
              <w:tabs>
                <w:tab w:val="left" w:pos="1134"/>
                <w:tab w:val="left" w:pos="7938"/>
              </w:tabs>
              <w:ind w:firstLine="346"/>
              <w:jc w:val="both"/>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power-object-name="250x"</w:t>
            </w:r>
          </w:p>
          <w:p w14:paraId="16F27058" w14:textId="77777777" w:rsidR="00295C6D" w:rsidRPr="00A5626D" w:rsidRDefault="00295C6D" w:rsidP="00E31AE6">
            <w:pPr>
              <w:tabs>
                <w:tab w:val="left" w:pos="1134"/>
                <w:tab w:val="left" w:pos="7938"/>
              </w:tabs>
              <w:ind w:firstLine="346"/>
              <w:jc w:val="both"/>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connection-name="250x"</w:t>
            </w:r>
          </w:p>
          <w:p w14:paraId="6DCCA965" w14:textId="77777777" w:rsidR="00295C6D" w:rsidRPr="00A5626D" w:rsidRDefault="00295C6D" w:rsidP="00E31AE6">
            <w:pPr>
              <w:tabs>
                <w:tab w:val="left" w:pos="1134"/>
                <w:tab w:val="left" w:pos="7938"/>
              </w:tabs>
              <w:ind w:firstLine="346"/>
              <w:jc w:val="both"/>
              <w:rPr>
                <w:rFonts w:ascii="Garamond" w:hAnsi="Garamond" w:cstheme="minorHAnsi"/>
                <w:sz w:val="22"/>
                <w:szCs w:val="22"/>
                <w:lang w:val="en-US"/>
              </w:rPr>
            </w:pPr>
            <w:r w:rsidRPr="00A5626D">
              <w:rPr>
                <w:rFonts w:ascii="Garamond" w:eastAsia="Calibri" w:hAnsi="Garamond" w:cstheme="minorHAnsi"/>
                <w:sz w:val="22"/>
                <w:szCs w:val="22"/>
                <w:lang w:val="en-US"/>
              </w:rPr>
              <w:t xml:space="preserve">                        location-description="250x"/&gt;</w:t>
            </w:r>
          </w:p>
          <w:p w14:paraId="5F8B8831" w14:textId="77777777" w:rsidR="00295C6D" w:rsidRPr="00A5626D" w:rsidRDefault="00295C6D" w:rsidP="00E31AE6">
            <w:pPr>
              <w:tabs>
                <w:tab w:val="left" w:pos="1134"/>
                <w:tab w:val="left" w:pos="7938"/>
              </w:tabs>
              <w:ind w:firstLine="346"/>
              <w:jc w:val="both"/>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&lt;comment&gt;</w:t>
            </w:r>
          </w:p>
          <w:p w14:paraId="06F4AD6D" w14:textId="77777777" w:rsidR="00295C6D" w:rsidRPr="00A5626D" w:rsidRDefault="00295C6D" w:rsidP="00E31AE6">
            <w:pPr>
              <w:tabs>
                <w:tab w:val="left" w:pos="1134"/>
                <w:tab w:val="left" w:pos="7938"/>
              </w:tabs>
              <w:ind w:firstLine="346"/>
              <w:jc w:val="both"/>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&lt;![CDATA[…]]&gt;</w:t>
            </w:r>
          </w:p>
          <w:p w14:paraId="73ADD81B" w14:textId="77777777" w:rsidR="00295C6D" w:rsidRPr="00A5626D" w:rsidRDefault="00295C6D" w:rsidP="00E31AE6">
            <w:pPr>
              <w:tabs>
                <w:tab w:val="left" w:pos="1134"/>
                <w:tab w:val="left" w:pos="7938"/>
              </w:tabs>
              <w:ind w:firstLine="346"/>
              <w:jc w:val="both"/>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&lt;/comment&gt;</w:t>
            </w:r>
          </w:p>
          <w:p w14:paraId="6F4875C6" w14:textId="77777777" w:rsidR="00295C6D" w:rsidRPr="00A5626D" w:rsidRDefault="00295C6D" w:rsidP="00E31AE6">
            <w:pPr>
              <w:tabs>
                <w:tab w:val="left" w:pos="1134"/>
                <w:tab w:val="left" w:pos="7938"/>
              </w:tabs>
              <w:ind w:firstLine="346"/>
              <w:jc w:val="both"/>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&lt;measuring-device</w:t>
            </w:r>
          </w:p>
          <w:p w14:paraId="49DB1169" w14:textId="77777777" w:rsidR="00295C6D" w:rsidRPr="00A5626D" w:rsidRDefault="00295C6D" w:rsidP="00E31AE6">
            <w:pPr>
              <w:tabs>
                <w:tab w:val="left" w:pos="1134"/>
                <w:tab w:val="left" w:pos="7938"/>
              </w:tabs>
              <w:ind w:firstLine="346"/>
              <w:jc w:val="both"/>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guid="36x"</w:t>
            </w:r>
          </w:p>
          <w:p w14:paraId="7437B2F2" w14:textId="77777777" w:rsidR="00295C6D" w:rsidRPr="00A5626D" w:rsidRDefault="00295C6D" w:rsidP="00E31AE6">
            <w:pPr>
              <w:tabs>
                <w:tab w:val="left" w:pos="1134"/>
                <w:tab w:val="left" w:pos="7938"/>
              </w:tabs>
              <w:ind w:firstLine="346"/>
              <w:jc w:val="both"/>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id-measuring-device="4n"</w:t>
            </w:r>
          </w:p>
          <w:p w14:paraId="17D8EAE6" w14:textId="77777777" w:rsidR="00295C6D" w:rsidRPr="00A5626D" w:rsidRDefault="00295C6D" w:rsidP="00E31AE6">
            <w:pPr>
              <w:tabs>
                <w:tab w:val="left" w:pos="1134"/>
                <w:tab w:val="left" w:pos="7938"/>
              </w:tabs>
              <w:ind w:firstLine="346"/>
              <w:jc w:val="both"/>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is-for-coding="true/false"</w:t>
            </w:r>
          </w:p>
          <w:p w14:paraId="77B82C21" w14:textId="77777777" w:rsidR="00295C6D" w:rsidRPr="00A5626D" w:rsidRDefault="00295C6D" w:rsidP="00E31AE6">
            <w:pPr>
              <w:tabs>
                <w:tab w:val="left" w:pos="1134"/>
                <w:tab w:val="left" w:pos="7938"/>
              </w:tabs>
              <w:ind w:firstLine="346"/>
              <w:jc w:val="both"/>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precision-class-active="4x"</w:t>
            </w:r>
          </w:p>
          <w:p w14:paraId="6F81DF21" w14:textId="77777777" w:rsidR="00295C6D" w:rsidRPr="00A5626D" w:rsidRDefault="00295C6D" w:rsidP="00E31AE6">
            <w:pPr>
              <w:tabs>
                <w:tab w:val="left" w:pos="1134"/>
                <w:tab w:val="left" w:pos="7938"/>
              </w:tabs>
              <w:ind w:firstLine="346"/>
              <w:jc w:val="both"/>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precision-class-reactive="4x"</w:t>
            </w:r>
          </w:p>
          <w:p w14:paraId="6459D99D" w14:textId="77777777" w:rsidR="00295C6D" w:rsidRPr="00A5626D" w:rsidRDefault="00295C6D" w:rsidP="00E31AE6">
            <w:pPr>
              <w:tabs>
                <w:tab w:val="left" w:pos="1134"/>
                <w:tab w:val="left" w:pos="7938"/>
              </w:tabs>
              <w:ind w:firstLine="346"/>
              <w:jc w:val="both"/>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id-device-modification="4n"</w:t>
            </w:r>
          </w:p>
          <w:p w14:paraId="65FE5A23" w14:textId="77777777" w:rsidR="00295C6D" w:rsidRPr="00A5626D" w:rsidRDefault="00295C6D" w:rsidP="00E31AE6">
            <w:pPr>
              <w:tabs>
                <w:tab w:val="left" w:pos="1134"/>
                <w:tab w:val="left" w:pos="7938"/>
              </w:tabs>
              <w:ind w:firstLine="346"/>
              <w:jc w:val="both"/>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so-device-modification-name="80x"</w:t>
            </w:r>
          </w:p>
          <w:p w14:paraId="69D4E573" w14:textId="77777777" w:rsidR="00295C6D" w:rsidRPr="00A5626D" w:rsidRDefault="00295C6D" w:rsidP="00E31AE6">
            <w:pPr>
              <w:tabs>
                <w:tab w:val="left" w:pos="1134"/>
                <w:tab w:val="left" w:pos="7938"/>
              </w:tabs>
              <w:ind w:firstLine="346"/>
              <w:jc w:val="both"/>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ats-code="2n"</w:t>
            </w:r>
          </w:p>
          <w:p w14:paraId="27736CD5" w14:textId="77777777" w:rsidR="00295C6D" w:rsidRPr="00A5626D" w:rsidRDefault="00295C6D" w:rsidP="00E31AE6">
            <w:pPr>
              <w:tabs>
                <w:tab w:val="left" w:pos="1134"/>
                <w:tab w:val="left" w:pos="7938"/>
              </w:tabs>
              <w:ind w:firstLine="1427"/>
              <w:jc w:val="both"/>
              <w:rPr>
                <w:rFonts w:ascii="Garamond" w:eastAsia="Calibri" w:hAnsi="Garamond" w:cstheme="minorHAnsi"/>
                <w:sz w:val="22"/>
                <w:szCs w:val="22"/>
                <w:highlight w:val="yellow"/>
                <w:lang w:val="en-US"/>
              </w:rPr>
            </w:pPr>
            <w:r w:rsidRPr="00A5626D">
              <w:rPr>
                <w:rFonts w:ascii="Garamond" w:eastAsia="Calibri" w:hAnsi="Garamond" w:cstheme="minorHAnsi"/>
                <w:sz w:val="22"/>
                <w:szCs w:val="22"/>
                <w:highlight w:val="yellow"/>
                <w:lang w:val="en-US"/>
              </w:rPr>
              <w:t>certificate-number= “30n”</w:t>
            </w:r>
          </w:p>
          <w:p w14:paraId="1222EB1E" w14:textId="77777777" w:rsidR="00295C6D" w:rsidRPr="00A5626D" w:rsidRDefault="00295C6D" w:rsidP="00E31AE6">
            <w:pPr>
              <w:tabs>
                <w:tab w:val="left" w:pos="1134"/>
                <w:tab w:val="left" w:pos="7938"/>
              </w:tabs>
              <w:ind w:firstLine="1427"/>
              <w:jc w:val="both"/>
              <w:rPr>
                <w:rFonts w:ascii="Garamond" w:eastAsia="Calibri" w:hAnsi="Garamond" w:cstheme="minorHAnsi"/>
                <w:sz w:val="22"/>
                <w:szCs w:val="22"/>
                <w:lang w:val="en-US"/>
              </w:rPr>
            </w:pPr>
            <w:r w:rsidRPr="00A5626D">
              <w:rPr>
                <w:rFonts w:ascii="Garamond" w:eastAsia="Calibri" w:hAnsi="Garamond" w:cstheme="minorHAnsi"/>
                <w:sz w:val="22"/>
                <w:szCs w:val="22"/>
                <w:highlight w:val="yellow"/>
                <w:lang w:val="en-US"/>
              </w:rPr>
              <w:t>certificate-expiration-date="YYYYMMDD”</w:t>
            </w:r>
          </w:p>
          <w:p w14:paraId="60A2992A" w14:textId="77777777" w:rsidR="00295C6D" w:rsidRPr="00A5626D" w:rsidRDefault="00295C6D" w:rsidP="00E31AE6">
            <w:pPr>
              <w:tabs>
                <w:tab w:val="left" w:pos="1134"/>
                <w:tab w:val="left" w:pos="7938"/>
              </w:tabs>
              <w:ind w:firstLine="346"/>
              <w:jc w:val="both"/>
              <w:rPr>
                <w:rFonts w:ascii="Garamond" w:eastAsia="Calibri" w:hAnsi="Garamond" w:cstheme="minorHAnsi"/>
                <w:sz w:val="22"/>
                <w:szCs w:val="22"/>
                <w:lang w:val="en-US"/>
              </w:rPr>
            </w:pPr>
            <w:r w:rsidRPr="00A5626D">
              <w:rPr>
                <w:rFonts w:ascii="Garamond" w:hAnsi="Garamond" w:cstheme="minorHAnsi"/>
                <w:sz w:val="22"/>
                <w:szCs w:val="22"/>
                <w:lang w:val="en-US"/>
              </w:rPr>
              <w:tab/>
              <w:t xml:space="preserve">           </w:t>
            </w:r>
            <w:r w:rsidRPr="00A5626D">
              <w:rPr>
                <w:rFonts w:ascii="Garamond" w:eastAsia="Calibri" w:hAnsi="Garamond" w:cstheme="minorHAnsi"/>
                <w:sz w:val="22"/>
                <w:szCs w:val="22"/>
                <w:lang w:val="en-US"/>
              </w:rPr>
              <w:t>serial-number="250n"&gt;</w:t>
            </w:r>
          </w:p>
          <w:p w14:paraId="58DAD419" w14:textId="77777777" w:rsidR="00295C6D" w:rsidRPr="00A5626D" w:rsidRDefault="00295C6D" w:rsidP="00E31AE6">
            <w:pPr>
              <w:tabs>
                <w:tab w:val="left" w:pos="1134"/>
                <w:tab w:val="left" w:pos="7938"/>
              </w:tabs>
              <w:ind w:firstLine="346"/>
              <w:jc w:val="both"/>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&lt;measuring-channel </w:t>
            </w:r>
          </w:p>
          <w:p w14:paraId="5E0795E0" w14:textId="77777777" w:rsidR="00295C6D" w:rsidRPr="00A5626D" w:rsidRDefault="00295C6D" w:rsidP="00E31AE6">
            <w:pPr>
              <w:tabs>
                <w:tab w:val="left" w:pos="1134"/>
                <w:tab w:val="left" w:pos="7938"/>
              </w:tabs>
              <w:ind w:firstLine="346"/>
              <w:jc w:val="both"/>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id-measuring-channel="4n"</w:t>
            </w:r>
          </w:p>
          <w:p w14:paraId="640DA790" w14:textId="77777777" w:rsidR="00295C6D" w:rsidRPr="00A5626D" w:rsidRDefault="00295C6D" w:rsidP="00E31AE6">
            <w:pPr>
              <w:tabs>
                <w:tab w:val="left" w:pos="1134"/>
                <w:tab w:val="left" w:pos="7938"/>
              </w:tabs>
              <w:ind w:firstLine="346"/>
              <w:jc w:val="both"/>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type="1/2/3/4"</w:t>
            </w:r>
          </w:p>
          <w:p w14:paraId="7AE21C72" w14:textId="77777777" w:rsidR="00295C6D" w:rsidRPr="00A5626D" w:rsidRDefault="00295C6D" w:rsidP="00E31AE6">
            <w:pPr>
              <w:tabs>
                <w:tab w:val="left" w:pos="1134"/>
                <w:tab w:val="left" w:pos="7938"/>
              </w:tabs>
              <w:ind w:firstLine="346"/>
              <w:jc w:val="both"/>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ats-code="2n"/&gt;</w:t>
            </w:r>
          </w:p>
          <w:p w14:paraId="4F6A3926" w14:textId="77777777" w:rsidR="00295C6D" w:rsidRPr="00A5626D" w:rsidRDefault="00295C6D" w:rsidP="00E31AE6">
            <w:pPr>
              <w:tabs>
                <w:tab w:val="left" w:pos="1134"/>
                <w:tab w:val="left" w:pos="7938"/>
              </w:tabs>
              <w:ind w:firstLine="346"/>
              <w:jc w:val="both"/>
              <w:rPr>
                <w:rFonts w:ascii="Garamond" w:eastAsia="Calibri" w:hAnsi="Garamond" w:cstheme="minorHAnsi"/>
                <w:sz w:val="22"/>
                <w:szCs w:val="22"/>
                <w:lang w:val="en-US"/>
              </w:rPr>
            </w:pPr>
            <w:r w:rsidRPr="00A5626D">
              <w:rPr>
                <w:rFonts w:ascii="Garamond" w:eastAsia="Calibri" w:hAnsi="Garamond" w:cstheme="minorHAnsi"/>
                <w:sz w:val="22"/>
                <w:szCs w:val="22"/>
                <w:lang w:val="en-US"/>
              </w:rPr>
              <w:lastRenderedPageBreak/>
              <w:t xml:space="preserve">                    &lt;/measuring-device&gt;</w:t>
            </w:r>
          </w:p>
          <w:p w14:paraId="391F4AD6" w14:textId="77777777" w:rsidR="00295C6D" w:rsidRPr="00A5626D" w:rsidRDefault="00295C6D" w:rsidP="00E31AE6">
            <w:pPr>
              <w:tabs>
                <w:tab w:val="left" w:pos="1134"/>
                <w:tab w:val="left" w:pos="7938"/>
              </w:tabs>
              <w:ind w:firstLine="346"/>
              <w:jc w:val="both"/>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&lt;/measuring-point&gt;</w:t>
            </w:r>
          </w:p>
          <w:p w14:paraId="0086BA07" w14:textId="77777777" w:rsidR="00295C6D" w:rsidRPr="00A5626D" w:rsidRDefault="00295C6D" w:rsidP="00E31AE6">
            <w:pPr>
              <w:tabs>
                <w:tab w:val="left" w:pos="1134"/>
                <w:tab w:val="left" w:pos="7938"/>
              </w:tabs>
              <w:ind w:firstLine="346"/>
              <w:jc w:val="both"/>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&lt;/measuring-points&gt;</w:t>
            </w:r>
          </w:p>
          <w:p w14:paraId="4B9B608E" w14:textId="77777777" w:rsidR="00295C6D" w:rsidRPr="00A5626D" w:rsidRDefault="00295C6D" w:rsidP="00E31AE6">
            <w:pPr>
              <w:tabs>
                <w:tab w:val="left" w:pos="1134"/>
                <w:tab w:val="left" w:pos="7938"/>
              </w:tabs>
              <w:ind w:firstLine="346"/>
              <w:jc w:val="both"/>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&lt;measuring-objects&gt;</w:t>
            </w:r>
          </w:p>
          <w:p w14:paraId="22D40267" w14:textId="77777777" w:rsidR="00295C6D" w:rsidRPr="00A5626D" w:rsidRDefault="00295C6D" w:rsidP="00E31AE6">
            <w:pPr>
              <w:tabs>
                <w:tab w:val="left" w:pos="1134"/>
                <w:tab w:val="left" w:pos="7938"/>
              </w:tabs>
              <w:ind w:firstLine="346"/>
              <w:jc w:val="both"/>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&lt;measuring-object</w:t>
            </w:r>
          </w:p>
          <w:p w14:paraId="3A6CEE0E" w14:textId="77777777" w:rsidR="00295C6D" w:rsidRPr="00A5626D" w:rsidRDefault="00295C6D" w:rsidP="00E31AE6">
            <w:pPr>
              <w:tabs>
                <w:tab w:val="left" w:pos="1134"/>
                <w:tab w:val="left" w:pos="7938"/>
              </w:tabs>
              <w:ind w:firstLine="346"/>
              <w:jc w:val="both"/>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id-measuring-object="4n" </w:t>
            </w:r>
          </w:p>
          <w:p w14:paraId="7FF5513E" w14:textId="77777777" w:rsidR="00295C6D" w:rsidRPr="00A5626D" w:rsidRDefault="00295C6D" w:rsidP="00E31AE6">
            <w:pPr>
              <w:tabs>
                <w:tab w:val="left" w:pos="1134"/>
                <w:tab w:val="left" w:pos="7938"/>
              </w:tabs>
              <w:ind w:firstLine="346"/>
              <w:jc w:val="both"/>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guid="36x"</w:t>
            </w:r>
          </w:p>
          <w:p w14:paraId="013AC6A4" w14:textId="77777777" w:rsidR="00295C6D" w:rsidRPr="00A5626D" w:rsidRDefault="00295C6D" w:rsidP="00E31AE6">
            <w:pPr>
              <w:tabs>
                <w:tab w:val="left" w:pos="1134"/>
                <w:tab w:val="left" w:pos="7938"/>
              </w:tabs>
              <w:ind w:firstLine="346"/>
              <w:jc w:val="both"/>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ats-code="15n"</w:t>
            </w:r>
          </w:p>
          <w:p w14:paraId="46E332A8" w14:textId="77777777" w:rsidR="00295C6D" w:rsidRPr="00A5626D" w:rsidRDefault="00295C6D" w:rsidP="00E31AE6">
            <w:pPr>
              <w:tabs>
                <w:tab w:val="left" w:pos="1134"/>
                <w:tab w:val="left" w:pos="7938"/>
              </w:tabs>
              <w:ind w:firstLine="346"/>
              <w:jc w:val="both"/>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measuring-object-type="1"</w:t>
            </w:r>
          </w:p>
          <w:p w14:paraId="151B2FE6" w14:textId="77777777" w:rsidR="00295C6D" w:rsidRPr="00A5626D" w:rsidRDefault="00295C6D" w:rsidP="00E31AE6">
            <w:pPr>
              <w:tabs>
                <w:tab w:val="left" w:pos="1134"/>
                <w:tab w:val="left" w:pos="7938"/>
              </w:tabs>
              <w:ind w:firstLine="346"/>
              <w:jc w:val="both"/>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name="250x"/&gt;</w:t>
            </w:r>
          </w:p>
          <w:p w14:paraId="4F0959D4" w14:textId="77777777" w:rsidR="00295C6D" w:rsidRPr="00A5626D" w:rsidRDefault="00295C6D" w:rsidP="00E31AE6">
            <w:pPr>
              <w:tabs>
                <w:tab w:val="left" w:pos="1134"/>
                <w:tab w:val="left" w:pos="7938"/>
              </w:tabs>
              <w:ind w:firstLine="346"/>
              <w:jc w:val="both"/>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&lt;/measuring-objects&gt;</w:t>
            </w:r>
          </w:p>
          <w:p w14:paraId="34C7FA99" w14:textId="77777777" w:rsidR="00295C6D" w:rsidRPr="00A5626D" w:rsidRDefault="00295C6D" w:rsidP="00E31AE6">
            <w:pPr>
              <w:tabs>
                <w:tab w:val="left" w:pos="1134"/>
                <w:tab w:val="left" w:pos="7938"/>
              </w:tabs>
              <w:ind w:firstLine="346"/>
              <w:jc w:val="both"/>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&lt;/dictionaries&gt;</w:t>
            </w:r>
          </w:p>
          <w:p w14:paraId="76E59E97" w14:textId="77777777" w:rsidR="00295C6D" w:rsidRPr="00A5626D" w:rsidRDefault="00295C6D" w:rsidP="00E31AE6">
            <w:pPr>
              <w:tabs>
                <w:tab w:val="left" w:pos="1134"/>
                <w:tab w:val="left" w:pos="7938"/>
              </w:tabs>
              <w:ind w:firstLine="346"/>
              <w:jc w:val="both"/>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&lt;links&gt;</w:t>
            </w:r>
          </w:p>
          <w:p w14:paraId="6201ECFB" w14:textId="77777777" w:rsidR="00295C6D" w:rsidRPr="00A5626D" w:rsidRDefault="00295C6D" w:rsidP="00E31AE6">
            <w:pPr>
              <w:tabs>
                <w:tab w:val="left" w:pos="1134"/>
                <w:tab w:val="left" w:pos="7938"/>
              </w:tabs>
              <w:ind w:firstLine="346"/>
              <w:jc w:val="both"/>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&lt;ov-measuring-point-links&gt;</w:t>
            </w:r>
          </w:p>
          <w:p w14:paraId="7EED4933" w14:textId="77777777" w:rsidR="00295C6D" w:rsidRPr="00A5626D" w:rsidRDefault="00295C6D" w:rsidP="00E31AE6">
            <w:pPr>
              <w:tabs>
                <w:tab w:val="left" w:pos="1134"/>
                <w:tab w:val="left" w:pos="7938"/>
              </w:tabs>
              <w:ind w:firstLine="346"/>
              <w:jc w:val="both"/>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&lt;ov-measuring-point-link</w:t>
            </w:r>
          </w:p>
          <w:p w14:paraId="701E1892" w14:textId="77777777" w:rsidR="00295C6D" w:rsidRPr="00A5626D" w:rsidRDefault="00295C6D" w:rsidP="00E31AE6">
            <w:pPr>
              <w:tabs>
                <w:tab w:val="left" w:pos="1134"/>
                <w:tab w:val="left" w:pos="7938"/>
              </w:tabs>
              <w:ind w:firstLine="346"/>
              <w:jc w:val="both"/>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w:t>
            </w:r>
            <w:r w:rsidRPr="00A5626D">
              <w:rPr>
                <w:rFonts w:ascii="Garamond" w:eastAsia="Calibri" w:hAnsi="Garamond" w:cstheme="minorHAnsi"/>
                <w:sz w:val="22"/>
                <w:szCs w:val="22"/>
                <w:lang w:val="en-US"/>
              </w:rPr>
              <w:tab/>
              <w:t>id-ov-measuring-point="4n"</w:t>
            </w:r>
          </w:p>
          <w:p w14:paraId="4DA17A5F" w14:textId="77777777" w:rsidR="00295C6D" w:rsidRPr="00A5626D" w:rsidRDefault="00295C6D" w:rsidP="00E31AE6">
            <w:pPr>
              <w:tabs>
                <w:tab w:val="left" w:pos="1134"/>
                <w:tab w:val="left" w:pos="7938"/>
              </w:tabs>
              <w:ind w:firstLine="346"/>
              <w:jc w:val="both"/>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w:t>
            </w:r>
            <w:r w:rsidRPr="00A5626D">
              <w:rPr>
                <w:rFonts w:ascii="Garamond" w:eastAsia="Calibri" w:hAnsi="Garamond" w:cstheme="minorHAnsi"/>
                <w:sz w:val="22"/>
                <w:szCs w:val="22"/>
                <w:lang w:val="en-US"/>
              </w:rPr>
              <w:tab/>
              <w:t>id-serviced-measuring-point="4n"/&gt;</w:t>
            </w:r>
          </w:p>
          <w:p w14:paraId="46E0668D" w14:textId="77777777" w:rsidR="00295C6D" w:rsidRPr="00A5626D" w:rsidRDefault="00295C6D" w:rsidP="00E31AE6">
            <w:pPr>
              <w:tabs>
                <w:tab w:val="left" w:pos="1134"/>
                <w:tab w:val="left" w:pos="7938"/>
              </w:tabs>
              <w:ind w:firstLine="346"/>
              <w:jc w:val="both"/>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&lt;/ov-measuring-point-links&gt;</w:t>
            </w:r>
          </w:p>
          <w:p w14:paraId="29CB1979" w14:textId="77777777" w:rsidR="00295C6D" w:rsidRPr="00A5626D" w:rsidRDefault="00295C6D" w:rsidP="00E31AE6">
            <w:pPr>
              <w:tabs>
                <w:tab w:val="left" w:pos="1134"/>
                <w:tab w:val="left" w:pos="7938"/>
              </w:tabs>
              <w:ind w:firstLine="346"/>
              <w:jc w:val="both"/>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&lt;group-delivery-point-composition&gt;</w:t>
            </w:r>
          </w:p>
          <w:p w14:paraId="6F9D0029" w14:textId="77777777" w:rsidR="00295C6D" w:rsidRPr="00A5626D" w:rsidRDefault="00295C6D" w:rsidP="00E31AE6">
            <w:pPr>
              <w:tabs>
                <w:tab w:val="left" w:pos="1134"/>
                <w:tab w:val="left" w:pos="7938"/>
              </w:tabs>
              <w:ind w:firstLine="346"/>
              <w:jc w:val="both"/>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&lt;group-delivery-point</w:t>
            </w:r>
          </w:p>
          <w:p w14:paraId="751C107D" w14:textId="77777777" w:rsidR="00295C6D" w:rsidRPr="00A5626D" w:rsidRDefault="00295C6D" w:rsidP="00E31AE6">
            <w:pPr>
              <w:tabs>
                <w:tab w:val="left" w:pos="1134"/>
                <w:tab w:val="left" w:pos="7938"/>
              </w:tabs>
              <w:ind w:firstLine="346"/>
              <w:jc w:val="both"/>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id-group-delivery-point="4n"</w:t>
            </w:r>
          </w:p>
          <w:p w14:paraId="50B18551" w14:textId="77777777" w:rsidR="00295C6D" w:rsidRPr="00A5626D" w:rsidRDefault="00295C6D" w:rsidP="00E31AE6">
            <w:pPr>
              <w:tabs>
                <w:tab w:val="left" w:pos="1134"/>
                <w:tab w:val="left" w:pos="7938"/>
              </w:tabs>
              <w:ind w:firstLine="346"/>
              <w:jc w:val="both"/>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id-simple-delivery-point="4n"/&gt;</w:t>
            </w:r>
          </w:p>
          <w:p w14:paraId="455462A5" w14:textId="77777777" w:rsidR="00295C6D" w:rsidRPr="00A5626D" w:rsidRDefault="00295C6D" w:rsidP="00E31AE6">
            <w:pPr>
              <w:tabs>
                <w:tab w:val="left" w:pos="1134"/>
                <w:tab w:val="left" w:pos="7938"/>
              </w:tabs>
              <w:ind w:firstLine="346"/>
              <w:jc w:val="both"/>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&lt;/group-delivery-point-composition&gt;</w:t>
            </w:r>
          </w:p>
          <w:p w14:paraId="51593533" w14:textId="77777777" w:rsidR="00295C6D" w:rsidRPr="00A5626D" w:rsidRDefault="00295C6D" w:rsidP="00E31AE6">
            <w:pPr>
              <w:tabs>
                <w:tab w:val="left" w:pos="1134"/>
                <w:tab w:val="left" w:pos="7938"/>
              </w:tabs>
              <w:ind w:firstLine="346"/>
              <w:jc w:val="both"/>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&lt;aiis-small-measuring-devices&gt;</w:t>
            </w:r>
          </w:p>
          <w:p w14:paraId="665AB686" w14:textId="77777777" w:rsidR="00295C6D" w:rsidRPr="00A5626D" w:rsidRDefault="00295C6D" w:rsidP="00E31AE6">
            <w:pPr>
              <w:tabs>
                <w:tab w:val="left" w:pos="1134"/>
                <w:tab w:val="left" w:pos="7938"/>
              </w:tabs>
              <w:ind w:firstLine="346"/>
              <w:jc w:val="both"/>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&lt;aiis-small-measuring-device </w:t>
            </w:r>
          </w:p>
          <w:p w14:paraId="41191A15" w14:textId="77777777" w:rsidR="00295C6D" w:rsidRPr="00A5626D" w:rsidRDefault="00295C6D" w:rsidP="00E31AE6">
            <w:pPr>
              <w:tabs>
                <w:tab w:val="left" w:pos="1134"/>
                <w:tab w:val="left" w:pos="7938"/>
              </w:tabs>
              <w:ind w:firstLine="346"/>
              <w:jc w:val="both"/>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id-aiis="1n"</w:t>
            </w:r>
          </w:p>
          <w:p w14:paraId="7B0A6494" w14:textId="77777777" w:rsidR="00295C6D" w:rsidRPr="00A5626D" w:rsidRDefault="00295C6D" w:rsidP="00E31AE6">
            <w:pPr>
              <w:tabs>
                <w:tab w:val="left" w:pos="1134"/>
                <w:tab w:val="left" w:pos="7938"/>
              </w:tabs>
              <w:ind w:firstLine="346"/>
              <w:jc w:val="both"/>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id-measuring-device="4n"/&gt;</w:t>
            </w:r>
          </w:p>
          <w:p w14:paraId="58C17082" w14:textId="77777777" w:rsidR="00295C6D" w:rsidRPr="00A5626D" w:rsidRDefault="00295C6D" w:rsidP="00E31AE6">
            <w:pPr>
              <w:tabs>
                <w:tab w:val="left" w:pos="1134"/>
                <w:tab w:val="left" w:pos="7938"/>
              </w:tabs>
              <w:ind w:firstLine="346"/>
              <w:jc w:val="both"/>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&lt;/aiis-small-measuring-devices&gt;</w:t>
            </w:r>
          </w:p>
          <w:p w14:paraId="1006170D" w14:textId="77777777" w:rsidR="00295C6D" w:rsidRPr="00A5626D" w:rsidRDefault="00295C6D" w:rsidP="00E31AE6">
            <w:pPr>
              <w:tabs>
                <w:tab w:val="left" w:pos="1134"/>
                <w:tab w:val="left" w:pos="7938"/>
              </w:tabs>
              <w:ind w:firstLine="346"/>
              <w:jc w:val="both"/>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&lt;power-center-power-object-links&gt;</w:t>
            </w:r>
          </w:p>
          <w:p w14:paraId="54AF0FCF" w14:textId="77777777" w:rsidR="00295C6D" w:rsidRPr="00A5626D" w:rsidRDefault="00295C6D" w:rsidP="00E31AE6">
            <w:pPr>
              <w:tabs>
                <w:tab w:val="left" w:pos="1134"/>
                <w:tab w:val="left" w:pos="7938"/>
              </w:tabs>
              <w:ind w:firstLine="346"/>
              <w:jc w:val="both"/>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&lt;power-center-power-object-link</w:t>
            </w:r>
          </w:p>
          <w:p w14:paraId="5AFE59FB" w14:textId="77777777" w:rsidR="00295C6D" w:rsidRPr="00A5626D" w:rsidRDefault="00295C6D" w:rsidP="00E31AE6">
            <w:pPr>
              <w:tabs>
                <w:tab w:val="left" w:pos="1134"/>
                <w:tab w:val="left" w:pos="7938"/>
              </w:tabs>
              <w:ind w:firstLine="346"/>
              <w:jc w:val="both"/>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id-power-center="4n" </w:t>
            </w:r>
          </w:p>
          <w:p w14:paraId="6ACECD98" w14:textId="77777777" w:rsidR="00295C6D" w:rsidRPr="00A5626D" w:rsidRDefault="00295C6D" w:rsidP="00E31AE6">
            <w:pPr>
              <w:tabs>
                <w:tab w:val="left" w:pos="1134"/>
                <w:tab w:val="left" w:pos="7938"/>
              </w:tabs>
              <w:ind w:firstLine="346"/>
              <w:jc w:val="both"/>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id-power-object="4n"/&gt;</w:t>
            </w:r>
          </w:p>
          <w:p w14:paraId="1AB23123" w14:textId="77777777" w:rsidR="00295C6D" w:rsidRPr="00A5626D" w:rsidRDefault="00295C6D" w:rsidP="00E31AE6">
            <w:pPr>
              <w:tabs>
                <w:tab w:val="left" w:pos="1134"/>
                <w:tab w:val="left" w:pos="7938"/>
              </w:tabs>
              <w:ind w:firstLine="346"/>
              <w:jc w:val="both"/>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&lt;/power-center-power-object-links&gt;</w:t>
            </w:r>
          </w:p>
          <w:p w14:paraId="4113DB5D" w14:textId="77777777" w:rsidR="00295C6D" w:rsidRPr="00A5626D" w:rsidRDefault="00295C6D" w:rsidP="00E31AE6">
            <w:pPr>
              <w:tabs>
                <w:tab w:val="left" w:pos="1134"/>
                <w:tab w:val="left" w:pos="7938"/>
              </w:tabs>
              <w:ind w:firstLine="346"/>
              <w:jc w:val="both"/>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&lt;power-object-owner-gtp-links&gt;</w:t>
            </w:r>
          </w:p>
          <w:p w14:paraId="31D35BD9" w14:textId="77777777" w:rsidR="00295C6D" w:rsidRPr="00A5626D" w:rsidRDefault="00295C6D" w:rsidP="00E31AE6">
            <w:pPr>
              <w:tabs>
                <w:tab w:val="left" w:pos="1134"/>
                <w:tab w:val="left" w:pos="7938"/>
              </w:tabs>
              <w:ind w:firstLine="346"/>
              <w:jc w:val="both"/>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&lt;power-object-owner-gtp-link</w:t>
            </w:r>
          </w:p>
          <w:p w14:paraId="14775E3D" w14:textId="77777777" w:rsidR="00295C6D" w:rsidRPr="00A5626D" w:rsidRDefault="00295C6D" w:rsidP="00E31AE6">
            <w:pPr>
              <w:tabs>
                <w:tab w:val="left" w:pos="1134"/>
                <w:tab w:val="left" w:pos="7938"/>
              </w:tabs>
              <w:ind w:firstLine="346"/>
              <w:jc w:val="both"/>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id-power-object-owner="4n" </w:t>
            </w:r>
          </w:p>
          <w:p w14:paraId="42670BCC" w14:textId="77777777" w:rsidR="00295C6D" w:rsidRPr="00A5626D" w:rsidRDefault="00295C6D" w:rsidP="00E31AE6">
            <w:pPr>
              <w:tabs>
                <w:tab w:val="left" w:pos="1134"/>
                <w:tab w:val="left" w:pos="7938"/>
              </w:tabs>
              <w:ind w:firstLine="346"/>
              <w:jc w:val="both"/>
              <w:rPr>
                <w:rFonts w:ascii="Garamond" w:eastAsia="Calibri" w:hAnsi="Garamond" w:cstheme="minorHAnsi"/>
                <w:sz w:val="22"/>
                <w:szCs w:val="22"/>
                <w:lang w:val="en-US"/>
              </w:rPr>
            </w:pPr>
            <w:r w:rsidRPr="00A5626D">
              <w:rPr>
                <w:rFonts w:ascii="Garamond" w:eastAsia="Calibri" w:hAnsi="Garamond" w:cstheme="minorHAnsi"/>
                <w:sz w:val="22"/>
                <w:szCs w:val="22"/>
                <w:lang w:val="en-US"/>
              </w:rPr>
              <w:lastRenderedPageBreak/>
              <w:t xml:space="preserve">                    id-gtp="4n"/&gt;</w:t>
            </w:r>
          </w:p>
          <w:p w14:paraId="063C6F73" w14:textId="77777777" w:rsidR="00295C6D" w:rsidRPr="00A5626D" w:rsidRDefault="00295C6D" w:rsidP="00E31AE6">
            <w:pPr>
              <w:tabs>
                <w:tab w:val="left" w:pos="1134"/>
                <w:tab w:val="left" w:pos="7938"/>
              </w:tabs>
              <w:ind w:firstLine="346"/>
              <w:jc w:val="both"/>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&lt;/power-object-owner-gtp-links&gt;       </w:t>
            </w:r>
          </w:p>
          <w:p w14:paraId="578C3630" w14:textId="77777777" w:rsidR="00295C6D" w:rsidRPr="00A5626D" w:rsidRDefault="00295C6D" w:rsidP="00E31AE6">
            <w:pPr>
              <w:tabs>
                <w:tab w:val="left" w:pos="1134"/>
                <w:tab w:val="left" w:pos="7938"/>
              </w:tabs>
              <w:ind w:firstLine="346"/>
              <w:jc w:val="both"/>
              <w:rPr>
                <w:rFonts w:ascii="Garamond" w:eastAsia="Calibri" w:hAnsi="Garamond" w:cstheme="minorHAnsi"/>
                <w:sz w:val="22"/>
                <w:szCs w:val="22"/>
                <w:lang w:val="en-US"/>
              </w:rPr>
            </w:pPr>
            <w:r w:rsidRPr="00A5626D">
              <w:rPr>
                <w:rFonts w:ascii="Garamond" w:eastAsia="Calibri" w:hAnsi="Garamond" w:cstheme="minorHAnsi"/>
                <w:sz w:val="22"/>
                <w:szCs w:val="22"/>
                <w:lang w:val="en-US"/>
              </w:rPr>
              <w:t>&lt;/links&gt;</w:t>
            </w:r>
          </w:p>
          <w:p w14:paraId="3907BE1B" w14:textId="77777777" w:rsidR="00295C6D" w:rsidRPr="00A5626D" w:rsidRDefault="00295C6D" w:rsidP="00E31AE6">
            <w:pPr>
              <w:tabs>
                <w:tab w:val="left" w:pos="1134"/>
                <w:tab w:val="left" w:pos="7938"/>
              </w:tabs>
              <w:ind w:firstLine="346"/>
              <w:jc w:val="both"/>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&lt;algorithm&gt;</w:t>
            </w:r>
          </w:p>
          <w:p w14:paraId="7914F682" w14:textId="77777777" w:rsidR="00295C6D" w:rsidRPr="00A5626D" w:rsidRDefault="00295C6D" w:rsidP="00E31AE6">
            <w:pPr>
              <w:tabs>
                <w:tab w:val="left" w:pos="1134"/>
                <w:tab w:val="left" w:pos="7938"/>
              </w:tabs>
              <w:ind w:firstLine="346"/>
              <w:jc w:val="both"/>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&lt;aup-delivery-points&gt;</w:t>
            </w:r>
          </w:p>
          <w:p w14:paraId="3441DE3A" w14:textId="77777777" w:rsidR="00295C6D" w:rsidRPr="00A5626D" w:rsidRDefault="00295C6D" w:rsidP="00E31AE6">
            <w:pPr>
              <w:tabs>
                <w:tab w:val="left" w:pos="1134"/>
                <w:tab w:val="left" w:pos="7938"/>
              </w:tabs>
              <w:ind w:firstLine="346"/>
              <w:jc w:val="both"/>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&lt;aup-delivery-point </w:t>
            </w:r>
          </w:p>
          <w:p w14:paraId="5DF71A6E" w14:textId="77777777" w:rsidR="00295C6D" w:rsidRPr="00A5626D" w:rsidRDefault="00295C6D" w:rsidP="00E31AE6">
            <w:pPr>
              <w:tabs>
                <w:tab w:val="left" w:pos="1134"/>
                <w:tab w:val="left" w:pos="7938"/>
              </w:tabs>
              <w:ind w:firstLine="346"/>
              <w:jc w:val="both"/>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id-delivery-point="4n" </w:t>
            </w:r>
          </w:p>
          <w:p w14:paraId="6BBDD31D" w14:textId="77777777" w:rsidR="00295C6D" w:rsidRPr="00A5626D" w:rsidRDefault="00295C6D" w:rsidP="00E31AE6">
            <w:pPr>
              <w:tabs>
                <w:tab w:val="left" w:pos="1134"/>
                <w:tab w:val="left" w:pos="7938"/>
              </w:tabs>
              <w:ind w:firstLine="346"/>
              <w:jc w:val="both"/>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id-org="1n" </w:t>
            </w:r>
          </w:p>
          <w:p w14:paraId="6C58E19D" w14:textId="77777777" w:rsidR="00295C6D" w:rsidRPr="00A5626D" w:rsidRDefault="00295C6D" w:rsidP="00E31AE6">
            <w:pPr>
              <w:tabs>
                <w:tab w:val="left" w:pos="1134"/>
                <w:tab w:val="left" w:pos="7938"/>
              </w:tabs>
              <w:ind w:firstLine="346"/>
              <w:jc w:val="both"/>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id-aiis="1n"&gt;</w:t>
            </w:r>
          </w:p>
          <w:p w14:paraId="28D43B66" w14:textId="77777777" w:rsidR="00295C6D" w:rsidRPr="00A5626D" w:rsidRDefault="00295C6D" w:rsidP="00E31AE6">
            <w:pPr>
              <w:tabs>
                <w:tab w:val="left" w:pos="1134"/>
                <w:tab w:val="left" w:pos="7938"/>
              </w:tabs>
              <w:ind w:firstLine="346"/>
              <w:jc w:val="both"/>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&lt;send&gt;</w:t>
            </w:r>
          </w:p>
          <w:p w14:paraId="70F7792A" w14:textId="77777777" w:rsidR="00295C6D" w:rsidRPr="00A5626D" w:rsidRDefault="00295C6D" w:rsidP="00E31AE6">
            <w:pPr>
              <w:tabs>
                <w:tab w:val="left" w:pos="1134"/>
                <w:tab w:val="left" w:pos="7938"/>
              </w:tabs>
              <w:ind w:firstLine="346"/>
              <w:jc w:val="both"/>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w:t>
            </w:r>
            <w:r w:rsidRPr="00A5626D">
              <w:rPr>
                <w:rFonts w:ascii="Garamond" w:hAnsi="Garamond" w:cstheme="minorHAnsi"/>
                <w:sz w:val="22"/>
                <w:szCs w:val="22"/>
                <w:lang w:val="en-US"/>
              </w:rPr>
              <w:tab/>
              <w:t xml:space="preserve">  </w:t>
            </w:r>
            <w:r w:rsidRPr="00A5626D">
              <w:rPr>
                <w:rFonts w:ascii="Garamond" w:eastAsia="Calibri" w:hAnsi="Garamond" w:cstheme="minorHAnsi"/>
                <w:sz w:val="22"/>
                <w:szCs w:val="22"/>
                <w:lang w:val="en-US"/>
              </w:rPr>
              <w:t>&lt;comment&gt;</w:t>
            </w:r>
          </w:p>
          <w:p w14:paraId="60F03A8A" w14:textId="77777777" w:rsidR="00295C6D" w:rsidRPr="00A5626D" w:rsidRDefault="00295C6D" w:rsidP="00E31AE6">
            <w:pPr>
              <w:tabs>
                <w:tab w:val="left" w:pos="1134"/>
                <w:tab w:val="left" w:pos="7938"/>
              </w:tabs>
              <w:ind w:firstLine="346"/>
              <w:jc w:val="both"/>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&lt;![CDATA[…]]&gt;</w:t>
            </w:r>
          </w:p>
          <w:p w14:paraId="7B02AAC1" w14:textId="77777777" w:rsidR="00295C6D" w:rsidRPr="00A5626D" w:rsidRDefault="00295C6D" w:rsidP="00E31AE6">
            <w:pPr>
              <w:tabs>
                <w:tab w:val="left" w:pos="1134"/>
                <w:tab w:val="left" w:pos="7938"/>
              </w:tabs>
              <w:ind w:firstLine="346"/>
              <w:jc w:val="both"/>
              <w:rPr>
                <w:rFonts w:ascii="Garamond" w:hAnsi="Garamond" w:cstheme="minorHAnsi"/>
                <w:sz w:val="22"/>
                <w:szCs w:val="22"/>
                <w:lang w:val="en-US"/>
              </w:rPr>
            </w:pPr>
            <w:r w:rsidRPr="00A5626D">
              <w:rPr>
                <w:rFonts w:ascii="Garamond" w:eastAsia="Calibri" w:hAnsi="Garamond" w:cstheme="minorHAnsi"/>
                <w:sz w:val="22"/>
                <w:szCs w:val="22"/>
                <w:lang w:val="en-US"/>
              </w:rPr>
              <w:t xml:space="preserve">                            &lt;/comment&gt;</w:t>
            </w:r>
          </w:p>
          <w:p w14:paraId="305D9A29" w14:textId="77777777" w:rsidR="00295C6D" w:rsidRPr="00A5626D" w:rsidRDefault="00295C6D" w:rsidP="00E31AE6">
            <w:pPr>
              <w:tabs>
                <w:tab w:val="left" w:pos="1134"/>
                <w:tab w:val="left" w:pos="7938"/>
              </w:tabs>
              <w:ind w:firstLine="346"/>
              <w:jc w:val="both"/>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&lt;calcsum </w:t>
            </w:r>
          </w:p>
          <w:p w14:paraId="11EFEE0A" w14:textId="77777777" w:rsidR="00295C6D" w:rsidRPr="00A5626D" w:rsidRDefault="00295C6D" w:rsidP="00E31AE6">
            <w:pPr>
              <w:tabs>
                <w:tab w:val="left" w:pos="1134"/>
                <w:tab w:val="left" w:pos="7938"/>
              </w:tabs>
              <w:ind w:firstLine="346"/>
              <w:jc w:val="both"/>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losses-coefficient="2n"&gt;</w:t>
            </w:r>
          </w:p>
          <w:p w14:paraId="3C8BB2A0" w14:textId="77777777" w:rsidR="00295C6D" w:rsidRPr="00A5626D" w:rsidRDefault="00295C6D" w:rsidP="00E31AE6">
            <w:pPr>
              <w:tabs>
                <w:tab w:val="left" w:pos="1134"/>
                <w:tab w:val="left" w:pos="7938"/>
              </w:tabs>
              <w:ind w:firstLine="346"/>
              <w:jc w:val="both"/>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&lt;measuring-channel </w:t>
            </w:r>
          </w:p>
          <w:p w14:paraId="5650786B" w14:textId="77777777" w:rsidR="00295C6D" w:rsidRPr="00A5626D" w:rsidRDefault="00295C6D" w:rsidP="00E31AE6">
            <w:pPr>
              <w:tabs>
                <w:tab w:val="left" w:pos="1134"/>
                <w:tab w:val="left" w:pos="7938"/>
              </w:tabs>
              <w:ind w:firstLine="346"/>
              <w:jc w:val="both"/>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coefficient="32n" </w:t>
            </w:r>
          </w:p>
          <w:p w14:paraId="682887F8" w14:textId="77777777" w:rsidR="00295C6D" w:rsidRPr="00A5626D" w:rsidRDefault="00295C6D" w:rsidP="00E31AE6">
            <w:pPr>
              <w:tabs>
                <w:tab w:val="left" w:pos="1134"/>
                <w:tab w:val="left" w:pos="7938"/>
              </w:tabs>
              <w:ind w:firstLine="346"/>
              <w:jc w:val="both"/>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id-measuring-channel="4n"/&gt;</w:t>
            </w:r>
          </w:p>
          <w:p w14:paraId="75F532E5" w14:textId="77777777" w:rsidR="00295C6D" w:rsidRPr="00A5626D" w:rsidRDefault="00295C6D" w:rsidP="00E31AE6">
            <w:pPr>
              <w:tabs>
                <w:tab w:val="left" w:pos="1134"/>
                <w:tab w:val="left" w:pos="7938"/>
              </w:tabs>
              <w:ind w:firstLine="346"/>
              <w:jc w:val="both"/>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&lt;/calcsum&gt;</w:t>
            </w:r>
          </w:p>
          <w:p w14:paraId="5AAE7A6B" w14:textId="77777777" w:rsidR="00295C6D" w:rsidRPr="00A5626D" w:rsidRDefault="00295C6D" w:rsidP="00E31AE6">
            <w:pPr>
              <w:tabs>
                <w:tab w:val="left" w:pos="1134"/>
                <w:tab w:val="left" w:pos="7938"/>
              </w:tabs>
              <w:ind w:firstLine="346"/>
              <w:jc w:val="both"/>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&lt;calcformula</w:t>
            </w:r>
          </w:p>
          <w:p w14:paraId="729B4531" w14:textId="77777777" w:rsidR="00295C6D" w:rsidRPr="00A5626D" w:rsidRDefault="00295C6D" w:rsidP="00E31AE6">
            <w:pPr>
              <w:tabs>
                <w:tab w:val="left" w:pos="1134"/>
                <w:tab w:val="left" w:pos="7938"/>
              </w:tabs>
              <w:ind w:firstLine="346"/>
              <w:jc w:val="both"/>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name="50x"&gt;</w:t>
            </w:r>
          </w:p>
          <w:p w14:paraId="49BA5F56" w14:textId="77777777" w:rsidR="00295C6D" w:rsidRPr="00A5626D" w:rsidRDefault="00295C6D" w:rsidP="00E31AE6">
            <w:pPr>
              <w:tabs>
                <w:tab w:val="left" w:pos="1134"/>
                <w:tab w:val="left" w:pos="7938"/>
              </w:tabs>
              <w:ind w:firstLine="346"/>
              <w:jc w:val="both"/>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&lt;param</w:t>
            </w:r>
          </w:p>
          <w:p w14:paraId="0DE84DDF" w14:textId="77777777" w:rsidR="00295C6D" w:rsidRPr="00A5626D" w:rsidRDefault="00295C6D" w:rsidP="00E31AE6">
            <w:pPr>
              <w:tabs>
                <w:tab w:val="left" w:pos="1134"/>
                <w:tab w:val="left" w:pos="7938"/>
              </w:tabs>
              <w:ind w:firstLine="346"/>
              <w:jc w:val="both"/>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name="50x"</w:t>
            </w:r>
          </w:p>
          <w:p w14:paraId="24001F82" w14:textId="77777777" w:rsidR="00295C6D" w:rsidRPr="00A5626D" w:rsidRDefault="00295C6D" w:rsidP="00E31AE6">
            <w:pPr>
              <w:tabs>
                <w:tab w:val="left" w:pos="1134"/>
                <w:tab w:val="left" w:pos="7938"/>
              </w:tabs>
              <w:ind w:firstLine="346"/>
              <w:jc w:val="both"/>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type="CONST/SUM/FORMULA/MOBJECT"&gt;</w:t>
            </w:r>
          </w:p>
          <w:p w14:paraId="33C57A3F" w14:textId="77777777" w:rsidR="00295C6D" w:rsidRPr="00A5626D" w:rsidRDefault="00295C6D" w:rsidP="00E31AE6">
            <w:pPr>
              <w:tabs>
                <w:tab w:val="left" w:pos="1134"/>
                <w:tab w:val="left" w:pos="7938"/>
              </w:tabs>
              <w:ind w:firstLine="346"/>
              <w:jc w:val="both"/>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&lt;measuring-object</w:t>
            </w:r>
          </w:p>
          <w:p w14:paraId="39EF8952" w14:textId="77777777" w:rsidR="00295C6D" w:rsidRPr="00A5626D" w:rsidRDefault="00295C6D" w:rsidP="00E31AE6">
            <w:pPr>
              <w:tabs>
                <w:tab w:val="left" w:pos="1134"/>
                <w:tab w:val="left" w:pos="7938"/>
              </w:tabs>
              <w:ind w:firstLine="346"/>
              <w:jc w:val="both"/>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id-measuring-object="4n"/&gt;</w:t>
            </w:r>
          </w:p>
          <w:p w14:paraId="3573DEBD" w14:textId="77777777" w:rsidR="00295C6D" w:rsidRPr="00A5626D" w:rsidRDefault="00295C6D" w:rsidP="00E31AE6">
            <w:pPr>
              <w:tabs>
                <w:tab w:val="left" w:pos="1134"/>
                <w:tab w:val="left" w:pos="7938"/>
              </w:tabs>
              <w:ind w:firstLine="346"/>
              <w:jc w:val="both"/>
              <w:rPr>
                <w:rFonts w:ascii="Garamond" w:eastAsia="Calibri" w:hAnsi="Garamond" w:cstheme="minorHAnsi"/>
                <w:sz w:val="22"/>
                <w:szCs w:val="22"/>
              </w:rPr>
            </w:pPr>
            <w:r w:rsidRPr="00A5626D">
              <w:rPr>
                <w:rFonts w:ascii="Garamond" w:eastAsia="Calibri" w:hAnsi="Garamond" w:cstheme="minorHAnsi"/>
                <w:sz w:val="22"/>
                <w:szCs w:val="22"/>
                <w:lang w:val="en-US"/>
              </w:rPr>
              <w:t xml:space="preserve">                                </w:t>
            </w:r>
            <w:r w:rsidRPr="00A5626D">
              <w:rPr>
                <w:rFonts w:ascii="Garamond" w:eastAsia="Calibri" w:hAnsi="Garamond" w:cstheme="minorHAnsi"/>
                <w:sz w:val="22"/>
                <w:szCs w:val="22"/>
              </w:rPr>
              <w:t>&lt;</w:t>
            </w:r>
            <w:r w:rsidRPr="00A5626D">
              <w:rPr>
                <w:rFonts w:ascii="Garamond" w:eastAsia="Calibri" w:hAnsi="Garamond" w:cstheme="minorHAnsi"/>
                <w:sz w:val="22"/>
                <w:szCs w:val="22"/>
                <w:lang w:val="en-US"/>
              </w:rPr>
              <w:t>calcformula</w:t>
            </w:r>
            <w:r w:rsidRPr="00A5626D">
              <w:rPr>
                <w:rFonts w:ascii="Garamond" w:eastAsia="Calibri" w:hAnsi="Garamond" w:cstheme="minorHAnsi"/>
                <w:sz w:val="22"/>
                <w:szCs w:val="22"/>
              </w:rPr>
              <w:t>&gt;</w:t>
            </w:r>
          </w:p>
          <w:p w14:paraId="3934CB3B" w14:textId="77777777" w:rsidR="00295C6D" w:rsidRPr="00A5626D" w:rsidRDefault="00295C6D" w:rsidP="00E31AE6">
            <w:pPr>
              <w:tabs>
                <w:tab w:val="left" w:pos="1134"/>
                <w:tab w:val="left" w:pos="7938"/>
              </w:tabs>
              <w:ind w:firstLine="346"/>
              <w:jc w:val="both"/>
              <w:rPr>
                <w:rFonts w:ascii="Garamond" w:eastAsia="Calibri" w:hAnsi="Garamond" w:cstheme="minorHAnsi"/>
                <w:sz w:val="22"/>
                <w:szCs w:val="22"/>
              </w:rPr>
            </w:pPr>
            <w:r w:rsidRPr="00A5626D">
              <w:rPr>
                <w:rFonts w:ascii="Garamond" w:eastAsia="Calibri" w:hAnsi="Garamond" w:cstheme="minorHAnsi"/>
                <w:sz w:val="22"/>
                <w:szCs w:val="22"/>
              </w:rPr>
              <w:t xml:space="preserve">                                … &lt;!--здесь и далее многоточие означает, что элемент </w:t>
            </w:r>
            <w:r w:rsidRPr="00A5626D">
              <w:rPr>
                <w:rFonts w:ascii="Garamond" w:eastAsia="Calibri" w:hAnsi="Garamond" w:cstheme="minorHAnsi"/>
                <w:sz w:val="22"/>
                <w:szCs w:val="22"/>
                <w:lang w:val="en-US"/>
              </w:rPr>
              <w:t>calcformula</w:t>
            </w:r>
            <w:r w:rsidRPr="00A5626D">
              <w:rPr>
                <w:rFonts w:ascii="Garamond" w:eastAsia="Calibri" w:hAnsi="Garamond" w:cstheme="minorHAnsi"/>
                <w:sz w:val="22"/>
                <w:szCs w:val="22"/>
              </w:rPr>
              <w:t xml:space="preserve"> описывается многократно и рекуррентно с тем же набором атрибутов и дочерних элементов до конца формулы расчета потерь --&gt;</w:t>
            </w:r>
          </w:p>
          <w:p w14:paraId="396576B8" w14:textId="77777777" w:rsidR="00295C6D" w:rsidRPr="00A5626D" w:rsidRDefault="00295C6D" w:rsidP="00E31AE6">
            <w:pPr>
              <w:tabs>
                <w:tab w:val="left" w:pos="1134"/>
                <w:tab w:val="left" w:pos="7938"/>
              </w:tabs>
              <w:ind w:firstLine="346"/>
              <w:jc w:val="both"/>
              <w:rPr>
                <w:rFonts w:ascii="Garamond" w:eastAsia="Calibri" w:hAnsi="Garamond" w:cstheme="minorHAnsi"/>
                <w:sz w:val="22"/>
                <w:szCs w:val="22"/>
              </w:rPr>
            </w:pPr>
            <w:r w:rsidRPr="00A5626D">
              <w:rPr>
                <w:rFonts w:ascii="Garamond" w:eastAsia="Calibri" w:hAnsi="Garamond" w:cstheme="minorHAnsi"/>
                <w:sz w:val="22"/>
                <w:szCs w:val="22"/>
              </w:rPr>
              <w:t xml:space="preserve">                                &lt;/</w:t>
            </w:r>
            <w:r w:rsidRPr="00A5626D">
              <w:rPr>
                <w:rFonts w:ascii="Garamond" w:eastAsia="Calibri" w:hAnsi="Garamond" w:cstheme="minorHAnsi"/>
                <w:sz w:val="22"/>
                <w:szCs w:val="22"/>
                <w:lang w:val="en-US"/>
              </w:rPr>
              <w:t>calcformula</w:t>
            </w:r>
            <w:r w:rsidRPr="00A5626D">
              <w:rPr>
                <w:rFonts w:ascii="Garamond" w:eastAsia="Calibri" w:hAnsi="Garamond" w:cstheme="minorHAnsi"/>
                <w:sz w:val="22"/>
                <w:szCs w:val="22"/>
              </w:rPr>
              <w:t>&gt;</w:t>
            </w:r>
          </w:p>
          <w:p w14:paraId="048833FC" w14:textId="77777777" w:rsidR="00295C6D" w:rsidRPr="00A5626D" w:rsidRDefault="00295C6D" w:rsidP="00E31AE6">
            <w:pPr>
              <w:tabs>
                <w:tab w:val="left" w:pos="1134"/>
                <w:tab w:val="left" w:pos="7938"/>
              </w:tabs>
              <w:ind w:firstLine="346"/>
              <w:jc w:val="both"/>
              <w:rPr>
                <w:rFonts w:ascii="Garamond" w:eastAsia="Calibri" w:hAnsi="Garamond" w:cstheme="minorHAnsi"/>
                <w:sz w:val="22"/>
                <w:szCs w:val="22"/>
              </w:rPr>
            </w:pPr>
            <w:r w:rsidRPr="00A5626D">
              <w:rPr>
                <w:rFonts w:ascii="Garamond" w:eastAsia="Calibri" w:hAnsi="Garamond" w:cstheme="minorHAnsi"/>
                <w:sz w:val="22"/>
                <w:szCs w:val="22"/>
              </w:rPr>
              <w:t xml:space="preserve">                                &lt;</w:t>
            </w:r>
            <w:r w:rsidRPr="00A5626D">
              <w:rPr>
                <w:rFonts w:ascii="Garamond" w:eastAsia="Calibri" w:hAnsi="Garamond" w:cstheme="minorHAnsi"/>
                <w:sz w:val="22"/>
                <w:szCs w:val="22"/>
                <w:lang w:val="en-US"/>
              </w:rPr>
              <w:t>calcsum</w:t>
            </w:r>
            <w:r w:rsidRPr="00A5626D">
              <w:rPr>
                <w:rFonts w:ascii="Garamond" w:eastAsia="Calibri" w:hAnsi="Garamond" w:cstheme="minorHAnsi"/>
                <w:sz w:val="22"/>
                <w:szCs w:val="22"/>
              </w:rPr>
              <w:t>&gt;</w:t>
            </w:r>
          </w:p>
          <w:p w14:paraId="783EF46E" w14:textId="77777777" w:rsidR="00295C6D" w:rsidRPr="00A5626D" w:rsidRDefault="00295C6D" w:rsidP="00E31AE6">
            <w:pPr>
              <w:tabs>
                <w:tab w:val="left" w:pos="1134"/>
                <w:tab w:val="left" w:pos="7938"/>
              </w:tabs>
              <w:ind w:firstLine="346"/>
              <w:jc w:val="both"/>
              <w:rPr>
                <w:rFonts w:ascii="Garamond" w:eastAsia="Calibri" w:hAnsi="Garamond" w:cstheme="minorHAnsi"/>
                <w:sz w:val="22"/>
                <w:szCs w:val="22"/>
              </w:rPr>
            </w:pPr>
            <w:r w:rsidRPr="00A5626D">
              <w:rPr>
                <w:rFonts w:ascii="Garamond" w:eastAsia="Calibri" w:hAnsi="Garamond" w:cstheme="minorHAnsi"/>
                <w:sz w:val="22"/>
                <w:szCs w:val="22"/>
              </w:rPr>
              <w:t xml:space="preserve">                                … &lt;!--здесь и далее многоточие означает, что элемент </w:t>
            </w:r>
            <w:r w:rsidRPr="00A5626D">
              <w:rPr>
                <w:rFonts w:ascii="Garamond" w:eastAsia="Calibri" w:hAnsi="Garamond" w:cstheme="minorHAnsi"/>
                <w:sz w:val="22"/>
                <w:szCs w:val="22"/>
                <w:lang w:val="en-US"/>
              </w:rPr>
              <w:t>calcsum</w:t>
            </w:r>
            <w:r w:rsidRPr="00A5626D">
              <w:rPr>
                <w:rFonts w:ascii="Garamond" w:eastAsia="Calibri" w:hAnsi="Garamond" w:cstheme="minorHAnsi"/>
                <w:sz w:val="22"/>
                <w:szCs w:val="22"/>
              </w:rPr>
              <w:t xml:space="preserve"> описывается многократно и рекуррентно с тем же набором атрибутов и дочерних элементов до конца формулы расчета потерь --&gt;</w:t>
            </w:r>
          </w:p>
          <w:p w14:paraId="22340E68" w14:textId="77777777" w:rsidR="00295C6D" w:rsidRPr="00A5626D" w:rsidRDefault="00295C6D" w:rsidP="00E31AE6">
            <w:pPr>
              <w:tabs>
                <w:tab w:val="left" w:pos="1134"/>
                <w:tab w:val="left" w:pos="7938"/>
              </w:tabs>
              <w:ind w:firstLine="346"/>
              <w:jc w:val="both"/>
              <w:rPr>
                <w:rFonts w:ascii="Garamond" w:eastAsia="Calibri" w:hAnsi="Garamond" w:cstheme="minorHAnsi"/>
                <w:sz w:val="22"/>
                <w:szCs w:val="22"/>
                <w:lang w:val="en-US"/>
              </w:rPr>
            </w:pPr>
            <w:r w:rsidRPr="00A5626D">
              <w:rPr>
                <w:rFonts w:ascii="Garamond" w:eastAsia="Calibri" w:hAnsi="Garamond" w:cstheme="minorHAnsi"/>
                <w:sz w:val="22"/>
                <w:szCs w:val="22"/>
              </w:rPr>
              <w:t xml:space="preserve">                                </w:t>
            </w:r>
            <w:r w:rsidRPr="00A5626D">
              <w:rPr>
                <w:rFonts w:ascii="Garamond" w:eastAsia="Calibri" w:hAnsi="Garamond" w:cstheme="minorHAnsi"/>
                <w:sz w:val="22"/>
                <w:szCs w:val="22"/>
                <w:lang w:val="en-US"/>
              </w:rPr>
              <w:t>&lt;/calcsum&gt;</w:t>
            </w:r>
          </w:p>
          <w:p w14:paraId="42197BBB" w14:textId="77777777" w:rsidR="00295C6D" w:rsidRPr="00A5626D" w:rsidRDefault="00295C6D" w:rsidP="00E31AE6">
            <w:pPr>
              <w:tabs>
                <w:tab w:val="left" w:pos="1134"/>
                <w:tab w:val="left" w:pos="7938"/>
              </w:tabs>
              <w:ind w:firstLine="346"/>
              <w:jc w:val="both"/>
              <w:rPr>
                <w:rFonts w:ascii="Garamond" w:eastAsia="Calibri" w:hAnsi="Garamond" w:cstheme="minorHAnsi"/>
                <w:sz w:val="22"/>
                <w:szCs w:val="22"/>
                <w:lang w:val="en-US"/>
              </w:rPr>
            </w:pPr>
            <w:r w:rsidRPr="00A5626D">
              <w:rPr>
                <w:rFonts w:ascii="Garamond" w:eastAsia="Calibri" w:hAnsi="Garamond" w:cstheme="minorHAnsi"/>
                <w:sz w:val="22"/>
                <w:szCs w:val="22"/>
                <w:lang w:val="en-US"/>
              </w:rPr>
              <w:lastRenderedPageBreak/>
              <w:t xml:space="preserve">                                &lt;constvalue&gt;</w:t>
            </w:r>
          </w:p>
          <w:p w14:paraId="66AC8781" w14:textId="77777777" w:rsidR="00295C6D" w:rsidRPr="00A5626D" w:rsidRDefault="00295C6D" w:rsidP="00E31AE6">
            <w:pPr>
              <w:tabs>
                <w:tab w:val="left" w:pos="1134"/>
                <w:tab w:val="left" w:pos="7938"/>
              </w:tabs>
              <w:ind w:firstLine="346"/>
              <w:jc w:val="both"/>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"32n"</w:t>
            </w:r>
          </w:p>
          <w:p w14:paraId="03D74026" w14:textId="77777777" w:rsidR="00295C6D" w:rsidRPr="00A5626D" w:rsidRDefault="00295C6D" w:rsidP="00E31AE6">
            <w:pPr>
              <w:tabs>
                <w:tab w:val="left" w:pos="1134"/>
                <w:tab w:val="left" w:pos="7938"/>
              </w:tabs>
              <w:ind w:firstLine="346"/>
              <w:jc w:val="both"/>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&lt;/constvalue&gt;</w:t>
            </w:r>
          </w:p>
          <w:p w14:paraId="73C4B4F0" w14:textId="77777777" w:rsidR="00295C6D" w:rsidRPr="00A5626D" w:rsidRDefault="00295C6D" w:rsidP="00E31AE6">
            <w:pPr>
              <w:tabs>
                <w:tab w:val="left" w:pos="1134"/>
                <w:tab w:val="left" w:pos="7938"/>
              </w:tabs>
              <w:ind w:firstLine="346"/>
              <w:jc w:val="both"/>
              <w:rPr>
                <w:rFonts w:ascii="Garamond" w:hAnsi="Garamond" w:cstheme="minorHAnsi"/>
                <w:sz w:val="22"/>
                <w:szCs w:val="22"/>
                <w:lang w:val="en-US"/>
              </w:rPr>
            </w:pPr>
            <w:r w:rsidRPr="00A5626D">
              <w:rPr>
                <w:rFonts w:ascii="Garamond" w:eastAsia="Calibri" w:hAnsi="Garamond" w:cstheme="minorHAnsi"/>
                <w:sz w:val="22"/>
                <w:szCs w:val="22"/>
                <w:lang w:val="en-US"/>
              </w:rPr>
              <w:t xml:space="preserve">                            &lt;/param&gt;</w:t>
            </w:r>
          </w:p>
          <w:p w14:paraId="5C5E51CC" w14:textId="77777777" w:rsidR="00295C6D" w:rsidRPr="00A5626D" w:rsidRDefault="00295C6D" w:rsidP="00E31AE6">
            <w:pPr>
              <w:tabs>
                <w:tab w:val="left" w:pos="1134"/>
                <w:tab w:val="left" w:pos="7938"/>
              </w:tabs>
              <w:ind w:firstLine="346"/>
              <w:jc w:val="both"/>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&lt;/calcformula&gt;</w:t>
            </w:r>
          </w:p>
          <w:p w14:paraId="2974EDA1" w14:textId="77777777" w:rsidR="00295C6D" w:rsidRPr="00A5626D" w:rsidRDefault="00295C6D" w:rsidP="00E31AE6">
            <w:pPr>
              <w:tabs>
                <w:tab w:val="left" w:pos="1134"/>
                <w:tab w:val="left" w:pos="7938"/>
              </w:tabs>
              <w:ind w:firstLine="346"/>
              <w:jc w:val="both"/>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&lt;/send&gt;</w:t>
            </w:r>
          </w:p>
          <w:p w14:paraId="05CD1042" w14:textId="77777777" w:rsidR="00295C6D" w:rsidRPr="00A5626D" w:rsidRDefault="00295C6D" w:rsidP="00E31AE6">
            <w:pPr>
              <w:tabs>
                <w:tab w:val="left" w:pos="1134"/>
                <w:tab w:val="left" w:pos="7938"/>
              </w:tabs>
              <w:ind w:firstLine="346"/>
              <w:jc w:val="both"/>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&lt;receive&gt;</w:t>
            </w:r>
          </w:p>
          <w:p w14:paraId="26F5747E" w14:textId="77777777" w:rsidR="00295C6D" w:rsidRPr="00A5626D" w:rsidRDefault="00295C6D" w:rsidP="00E31AE6">
            <w:pPr>
              <w:tabs>
                <w:tab w:val="left" w:pos="1134"/>
                <w:tab w:val="left" w:pos="7938"/>
              </w:tabs>
              <w:ind w:firstLine="346"/>
              <w:jc w:val="both"/>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&lt;comment&gt;</w:t>
            </w:r>
          </w:p>
          <w:p w14:paraId="3182C850" w14:textId="77777777" w:rsidR="00295C6D" w:rsidRPr="00A5626D" w:rsidRDefault="00295C6D" w:rsidP="00E31AE6">
            <w:pPr>
              <w:tabs>
                <w:tab w:val="left" w:pos="1134"/>
                <w:tab w:val="left" w:pos="7938"/>
              </w:tabs>
              <w:ind w:firstLine="346"/>
              <w:jc w:val="both"/>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&lt;![CDATA[…]]&gt;</w:t>
            </w:r>
          </w:p>
          <w:p w14:paraId="014B63EE" w14:textId="77777777" w:rsidR="00295C6D" w:rsidRPr="00A5626D" w:rsidRDefault="00295C6D" w:rsidP="00E31AE6">
            <w:pPr>
              <w:tabs>
                <w:tab w:val="left" w:pos="1134"/>
                <w:tab w:val="left" w:pos="7938"/>
              </w:tabs>
              <w:ind w:firstLine="346"/>
              <w:jc w:val="both"/>
              <w:rPr>
                <w:rFonts w:ascii="Garamond" w:hAnsi="Garamond" w:cstheme="minorHAnsi"/>
                <w:sz w:val="22"/>
                <w:szCs w:val="22"/>
                <w:lang w:val="en-US"/>
              </w:rPr>
            </w:pPr>
            <w:r w:rsidRPr="00A5626D">
              <w:rPr>
                <w:rFonts w:ascii="Garamond" w:eastAsia="Calibri" w:hAnsi="Garamond" w:cstheme="minorHAnsi"/>
                <w:sz w:val="22"/>
                <w:szCs w:val="22"/>
                <w:lang w:val="en-US"/>
              </w:rPr>
              <w:t xml:space="preserve">                        &lt;/comment&gt;</w:t>
            </w:r>
          </w:p>
          <w:p w14:paraId="44456426" w14:textId="77777777" w:rsidR="00295C6D" w:rsidRPr="00A5626D" w:rsidRDefault="00295C6D" w:rsidP="00E31AE6">
            <w:pPr>
              <w:tabs>
                <w:tab w:val="left" w:pos="1134"/>
                <w:tab w:val="left" w:pos="7938"/>
              </w:tabs>
              <w:ind w:firstLine="346"/>
              <w:jc w:val="both"/>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&lt;calcsum </w:t>
            </w:r>
          </w:p>
          <w:p w14:paraId="351FD29C" w14:textId="77777777" w:rsidR="00295C6D" w:rsidRPr="00A5626D" w:rsidRDefault="00295C6D" w:rsidP="00E31AE6">
            <w:pPr>
              <w:tabs>
                <w:tab w:val="left" w:pos="1134"/>
                <w:tab w:val="left" w:pos="7938"/>
              </w:tabs>
              <w:ind w:firstLine="346"/>
              <w:jc w:val="both"/>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losses-coefficient="2n"&gt;</w:t>
            </w:r>
          </w:p>
          <w:p w14:paraId="20DF7095" w14:textId="77777777" w:rsidR="00295C6D" w:rsidRPr="00A5626D" w:rsidRDefault="00295C6D" w:rsidP="00E31AE6">
            <w:pPr>
              <w:tabs>
                <w:tab w:val="left" w:pos="1134"/>
                <w:tab w:val="left" w:pos="7938"/>
              </w:tabs>
              <w:ind w:firstLine="346"/>
              <w:jc w:val="both"/>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&lt;measuring-channel </w:t>
            </w:r>
          </w:p>
          <w:p w14:paraId="36EEC9AA" w14:textId="77777777" w:rsidR="00295C6D" w:rsidRPr="00A5626D" w:rsidRDefault="00295C6D" w:rsidP="00E31AE6">
            <w:pPr>
              <w:tabs>
                <w:tab w:val="left" w:pos="1134"/>
                <w:tab w:val="left" w:pos="7938"/>
              </w:tabs>
              <w:ind w:firstLine="346"/>
              <w:jc w:val="both"/>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coefficient="100n" </w:t>
            </w:r>
          </w:p>
          <w:p w14:paraId="01BB47D1" w14:textId="77777777" w:rsidR="00295C6D" w:rsidRPr="00A5626D" w:rsidRDefault="00295C6D" w:rsidP="00E31AE6">
            <w:pPr>
              <w:tabs>
                <w:tab w:val="left" w:pos="1134"/>
                <w:tab w:val="left" w:pos="7938"/>
              </w:tabs>
              <w:ind w:firstLine="346"/>
              <w:jc w:val="both"/>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id-measuring-channel="4n"/&gt;</w:t>
            </w:r>
          </w:p>
          <w:p w14:paraId="08BED43A" w14:textId="77777777" w:rsidR="00295C6D" w:rsidRPr="00A5626D" w:rsidRDefault="00295C6D" w:rsidP="00E31AE6">
            <w:pPr>
              <w:tabs>
                <w:tab w:val="left" w:pos="1134"/>
                <w:tab w:val="left" w:pos="7938"/>
              </w:tabs>
              <w:ind w:firstLine="346"/>
              <w:jc w:val="both"/>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&lt;/calcsum&gt;</w:t>
            </w:r>
          </w:p>
          <w:p w14:paraId="1BE06A80" w14:textId="77777777" w:rsidR="00295C6D" w:rsidRPr="00A5626D" w:rsidRDefault="00295C6D" w:rsidP="00E31AE6">
            <w:pPr>
              <w:tabs>
                <w:tab w:val="left" w:pos="1134"/>
                <w:tab w:val="left" w:pos="7938"/>
              </w:tabs>
              <w:ind w:firstLine="346"/>
              <w:jc w:val="both"/>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&lt;calcformula</w:t>
            </w:r>
          </w:p>
          <w:p w14:paraId="0B62682A" w14:textId="77777777" w:rsidR="00295C6D" w:rsidRPr="00A5626D" w:rsidRDefault="00295C6D" w:rsidP="00E31AE6">
            <w:pPr>
              <w:tabs>
                <w:tab w:val="left" w:pos="1134"/>
                <w:tab w:val="left" w:pos="7938"/>
              </w:tabs>
              <w:ind w:firstLine="346"/>
              <w:jc w:val="both"/>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name="50x"&gt;</w:t>
            </w:r>
          </w:p>
          <w:p w14:paraId="5942DC46" w14:textId="77777777" w:rsidR="00295C6D" w:rsidRPr="00A5626D" w:rsidRDefault="00295C6D" w:rsidP="00E31AE6">
            <w:pPr>
              <w:tabs>
                <w:tab w:val="left" w:pos="1134"/>
                <w:tab w:val="left" w:pos="7938"/>
              </w:tabs>
              <w:ind w:firstLine="346"/>
              <w:jc w:val="both"/>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&lt;param</w:t>
            </w:r>
          </w:p>
          <w:p w14:paraId="750956C9" w14:textId="77777777" w:rsidR="00295C6D" w:rsidRPr="00A5626D" w:rsidRDefault="00295C6D" w:rsidP="00E31AE6">
            <w:pPr>
              <w:tabs>
                <w:tab w:val="left" w:pos="1134"/>
                <w:tab w:val="left" w:pos="7938"/>
              </w:tabs>
              <w:ind w:firstLine="346"/>
              <w:jc w:val="both"/>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name="50x"</w:t>
            </w:r>
          </w:p>
          <w:p w14:paraId="02534E04" w14:textId="77777777" w:rsidR="00295C6D" w:rsidRPr="00A5626D" w:rsidRDefault="00295C6D" w:rsidP="00E31AE6">
            <w:pPr>
              <w:tabs>
                <w:tab w:val="left" w:pos="1134"/>
                <w:tab w:val="left" w:pos="7938"/>
              </w:tabs>
              <w:ind w:firstLine="346"/>
              <w:jc w:val="both"/>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type="CONST/SUM/FORMULA/MOBJECT"&gt;</w:t>
            </w:r>
          </w:p>
          <w:p w14:paraId="50E49FA2" w14:textId="77777777" w:rsidR="00295C6D" w:rsidRPr="00A5626D" w:rsidRDefault="00295C6D" w:rsidP="00E31AE6">
            <w:pPr>
              <w:tabs>
                <w:tab w:val="left" w:pos="1134"/>
                <w:tab w:val="left" w:pos="7938"/>
              </w:tabs>
              <w:ind w:firstLine="346"/>
              <w:jc w:val="both"/>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&lt;measuring-object</w:t>
            </w:r>
          </w:p>
          <w:p w14:paraId="6DCCDBD3" w14:textId="77777777" w:rsidR="00295C6D" w:rsidRPr="00A5626D" w:rsidRDefault="00295C6D" w:rsidP="00E31AE6">
            <w:pPr>
              <w:tabs>
                <w:tab w:val="left" w:pos="1134"/>
                <w:tab w:val="left" w:pos="7938"/>
              </w:tabs>
              <w:ind w:firstLine="346"/>
              <w:jc w:val="both"/>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id-measuring-object="4n"/&gt;</w:t>
            </w:r>
          </w:p>
          <w:p w14:paraId="671A138E" w14:textId="77777777" w:rsidR="00295C6D" w:rsidRPr="00A5626D" w:rsidRDefault="00295C6D" w:rsidP="00E31AE6">
            <w:pPr>
              <w:tabs>
                <w:tab w:val="left" w:pos="1134"/>
                <w:tab w:val="left" w:pos="7938"/>
              </w:tabs>
              <w:ind w:firstLine="346"/>
              <w:jc w:val="both"/>
              <w:rPr>
                <w:rFonts w:ascii="Garamond" w:eastAsia="Calibri" w:hAnsi="Garamond" w:cstheme="minorHAnsi"/>
                <w:sz w:val="22"/>
                <w:szCs w:val="22"/>
                <w:lang w:val="es-ES"/>
              </w:rPr>
            </w:pPr>
            <w:r w:rsidRPr="00A5626D">
              <w:rPr>
                <w:rFonts w:ascii="Garamond" w:eastAsia="Calibri" w:hAnsi="Garamond" w:cstheme="minorHAnsi"/>
                <w:sz w:val="22"/>
                <w:szCs w:val="22"/>
                <w:lang w:val="en-US"/>
              </w:rPr>
              <w:t xml:space="preserve">                                </w:t>
            </w:r>
            <w:r w:rsidRPr="00A5626D">
              <w:rPr>
                <w:rFonts w:ascii="Garamond" w:eastAsia="Calibri" w:hAnsi="Garamond" w:cstheme="minorHAnsi"/>
                <w:sz w:val="22"/>
                <w:szCs w:val="22"/>
                <w:lang w:val="es-ES"/>
              </w:rPr>
              <w:t>&lt;calcformula&gt;</w:t>
            </w:r>
          </w:p>
          <w:p w14:paraId="6E6D099F" w14:textId="77777777" w:rsidR="00295C6D" w:rsidRPr="00A5626D" w:rsidRDefault="00295C6D" w:rsidP="00E31AE6">
            <w:pPr>
              <w:tabs>
                <w:tab w:val="left" w:pos="1134"/>
                <w:tab w:val="left" w:pos="7938"/>
              </w:tabs>
              <w:ind w:firstLine="346"/>
              <w:jc w:val="both"/>
              <w:rPr>
                <w:rFonts w:ascii="Garamond" w:eastAsia="Calibri" w:hAnsi="Garamond" w:cstheme="minorHAnsi"/>
                <w:sz w:val="22"/>
                <w:szCs w:val="22"/>
                <w:lang w:val="es-ES"/>
              </w:rPr>
            </w:pPr>
            <w:r w:rsidRPr="00A5626D">
              <w:rPr>
                <w:rFonts w:ascii="Garamond" w:eastAsia="Calibri" w:hAnsi="Garamond" w:cstheme="minorHAnsi"/>
                <w:sz w:val="22"/>
                <w:szCs w:val="22"/>
                <w:lang w:val="es-ES"/>
              </w:rPr>
              <w:t xml:space="preserve">                                …</w:t>
            </w:r>
          </w:p>
          <w:p w14:paraId="68170D33" w14:textId="77777777" w:rsidR="00295C6D" w:rsidRPr="00A5626D" w:rsidRDefault="00295C6D" w:rsidP="00E31AE6">
            <w:pPr>
              <w:tabs>
                <w:tab w:val="left" w:pos="1134"/>
                <w:tab w:val="left" w:pos="7938"/>
              </w:tabs>
              <w:ind w:firstLine="346"/>
              <w:jc w:val="both"/>
              <w:rPr>
                <w:rFonts w:ascii="Garamond" w:eastAsia="Calibri" w:hAnsi="Garamond" w:cstheme="minorHAnsi"/>
                <w:sz w:val="22"/>
                <w:szCs w:val="22"/>
                <w:lang w:val="es-ES"/>
              </w:rPr>
            </w:pPr>
            <w:r w:rsidRPr="00A5626D">
              <w:rPr>
                <w:rFonts w:ascii="Garamond" w:eastAsia="Calibri" w:hAnsi="Garamond" w:cstheme="minorHAnsi"/>
                <w:sz w:val="22"/>
                <w:szCs w:val="22"/>
                <w:lang w:val="es-ES"/>
              </w:rPr>
              <w:t xml:space="preserve">                                &lt;/calcformula&gt;</w:t>
            </w:r>
          </w:p>
          <w:p w14:paraId="576241DB" w14:textId="77777777" w:rsidR="00295C6D" w:rsidRPr="00A5626D" w:rsidRDefault="00295C6D" w:rsidP="00E31AE6">
            <w:pPr>
              <w:tabs>
                <w:tab w:val="left" w:pos="1134"/>
                <w:tab w:val="left" w:pos="7938"/>
              </w:tabs>
              <w:ind w:firstLine="346"/>
              <w:jc w:val="both"/>
              <w:rPr>
                <w:rFonts w:ascii="Garamond" w:eastAsia="Calibri" w:hAnsi="Garamond" w:cstheme="minorHAnsi"/>
                <w:sz w:val="22"/>
                <w:szCs w:val="22"/>
                <w:lang w:val="es-ES"/>
              </w:rPr>
            </w:pPr>
            <w:r w:rsidRPr="00A5626D">
              <w:rPr>
                <w:rFonts w:ascii="Garamond" w:eastAsia="Calibri" w:hAnsi="Garamond" w:cstheme="minorHAnsi"/>
                <w:sz w:val="22"/>
                <w:szCs w:val="22"/>
                <w:lang w:val="es-ES"/>
              </w:rPr>
              <w:t xml:space="preserve">                                &lt;calcsum&gt;</w:t>
            </w:r>
          </w:p>
          <w:p w14:paraId="6F8550B6" w14:textId="77777777" w:rsidR="00295C6D" w:rsidRPr="00A5626D" w:rsidRDefault="00295C6D" w:rsidP="00E31AE6">
            <w:pPr>
              <w:tabs>
                <w:tab w:val="left" w:pos="1134"/>
                <w:tab w:val="left" w:pos="7938"/>
              </w:tabs>
              <w:ind w:firstLine="346"/>
              <w:jc w:val="both"/>
              <w:rPr>
                <w:rFonts w:ascii="Garamond" w:eastAsia="Calibri" w:hAnsi="Garamond" w:cstheme="minorHAnsi"/>
                <w:sz w:val="22"/>
                <w:szCs w:val="22"/>
                <w:lang w:val="es-ES"/>
              </w:rPr>
            </w:pPr>
            <w:r w:rsidRPr="00A5626D">
              <w:rPr>
                <w:rFonts w:ascii="Garamond" w:eastAsia="Calibri" w:hAnsi="Garamond" w:cstheme="minorHAnsi"/>
                <w:sz w:val="22"/>
                <w:szCs w:val="22"/>
                <w:lang w:val="es-ES"/>
              </w:rPr>
              <w:t xml:space="preserve">                                …</w:t>
            </w:r>
          </w:p>
          <w:p w14:paraId="6876545F" w14:textId="77777777" w:rsidR="00295C6D" w:rsidRPr="00A5626D" w:rsidRDefault="00295C6D" w:rsidP="00E31AE6">
            <w:pPr>
              <w:tabs>
                <w:tab w:val="left" w:pos="1134"/>
                <w:tab w:val="left" w:pos="7938"/>
              </w:tabs>
              <w:ind w:firstLine="346"/>
              <w:jc w:val="both"/>
              <w:rPr>
                <w:rFonts w:ascii="Garamond" w:eastAsia="Calibri" w:hAnsi="Garamond" w:cstheme="minorHAnsi"/>
                <w:sz w:val="22"/>
                <w:szCs w:val="22"/>
                <w:lang w:val="es-ES"/>
              </w:rPr>
            </w:pPr>
            <w:r w:rsidRPr="00A5626D">
              <w:rPr>
                <w:rFonts w:ascii="Garamond" w:eastAsia="Calibri" w:hAnsi="Garamond" w:cstheme="minorHAnsi"/>
                <w:sz w:val="22"/>
                <w:szCs w:val="22"/>
                <w:lang w:val="es-ES"/>
              </w:rPr>
              <w:t xml:space="preserve">                                &lt;/calcsum&gt;</w:t>
            </w:r>
          </w:p>
          <w:p w14:paraId="1E8F9CE7" w14:textId="77777777" w:rsidR="00295C6D" w:rsidRPr="00A5626D" w:rsidRDefault="00295C6D" w:rsidP="00E31AE6">
            <w:pPr>
              <w:tabs>
                <w:tab w:val="left" w:pos="1134"/>
                <w:tab w:val="left" w:pos="7938"/>
              </w:tabs>
              <w:ind w:firstLine="346"/>
              <w:jc w:val="both"/>
              <w:rPr>
                <w:rFonts w:ascii="Garamond" w:eastAsia="Calibri" w:hAnsi="Garamond" w:cstheme="minorHAnsi"/>
                <w:sz w:val="22"/>
                <w:szCs w:val="22"/>
                <w:lang w:val="es-ES"/>
              </w:rPr>
            </w:pPr>
            <w:r w:rsidRPr="00A5626D">
              <w:rPr>
                <w:rFonts w:ascii="Garamond" w:eastAsia="Calibri" w:hAnsi="Garamond" w:cstheme="minorHAnsi"/>
                <w:sz w:val="22"/>
                <w:szCs w:val="22"/>
                <w:lang w:val="es-ES"/>
              </w:rPr>
              <w:t xml:space="preserve">                                &lt;constvalue&gt; </w:t>
            </w:r>
          </w:p>
          <w:p w14:paraId="0682FBF9" w14:textId="77777777" w:rsidR="00295C6D" w:rsidRPr="00A5626D" w:rsidRDefault="00295C6D" w:rsidP="00E31AE6">
            <w:pPr>
              <w:tabs>
                <w:tab w:val="left" w:pos="1134"/>
                <w:tab w:val="left" w:pos="7938"/>
              </w:tabs>
              <w:ind w:firstLine="346"/>
              <w:jc w:val="both"/>
              <w:rPr>
                <w:rFonts w:ascii="Garamond" w:eastAsia="Calibri" w:hAnsi="Garamond" w:cstheme="minorHAnsi"/>
                <w:sz w:val="22"/>
                <w:szCs w:val="22"/>
                <w:lang w:val="en-US"/>
              </w:rPr>
            </w:pPr>
            <w:r w:rsidRPr="00A5626D">
              <w:rPr>
                <w:rFonts w:ascii="Garamond" w:eastAsia="Calibri" w:hAnsi="Garamond" w:cstheme="minorHAnsi"/>
                <w:sz w:val="22"/>
                <w:szCs w:val="22"/>
                <w:lang w:val="es-ES"/>
              </w:rPr>
              <w:t xml:space="preserve">                                </w:t>
            </w:r>
            <w:r w:rsidRPr="00A5626D">
              <w:rPr>
                <w:rFonts w:ascii="Garamond" w:eastAsia="Calibri" w:hAnsi="Garamond" w:cstheme="minorHAnsi"/>
                <w:sz w:val="22"/>
                <w:szCs w:val="22"/>
                <w:lang w:val="en-US"/>
              </w:rPr>
              <w:t>"32n"</w:t>
            </w:r>
          </w:p>
          <w:p w14:paraId="6A093FD1" w14:textId="77777777" w:rsidR="00295C6D" w:rsidRPr="00A5626D" w:rsidRDefault="00295C6D" w:rsidP="00E31AE6">
            <w:pPr>
              <w:tabs>
                <w:tab w:val="left" w:pos="1134"/>
                <w:tab w:val="left" w:pos="7938"/>
              </w:tabs>
              <w:ind w:firstLine="346"/>
              <w:jc w:val="both"/>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&lt;/constvalue&gt;</w:t>
            </w:r>
          </w:p>
          <w:p w14:paraId="7FE23640" w14:textId="77777777" w:rsidR="00295C6D" w:rsidRPr="00A5626D" w:rsidRDefault="00295C6D" w:rsidP="00E31AE6">
            <w:pPr>
              <w:tabs>
                <w:tab w:val="left" w:pos="1134"/>
                <w:tab w:val="left" w:pos="7938"/>
              </w:tabs>
              <w:ind w:firstLine="346"/>
              <w:jc w:val="both"/>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&lt;/param&gt;</w:t>
            </w:r>
          </w:p>
          <w:p w14:paraId="244822B9" w14:textId="77777777" w:rsidR="00295C6D" w:rsidRPr="00A5626D" w:rsidRDefault="00295C6D" w:rsidP="00E31AE6">
            <w:pPr>
              <w:tabs>
                <w:tab w:val="left" w:pos="1134"/>
                <w:tab w:val="left" w:pos="7938"/>
              </w:tabs>
              <w:ind w:firstLine="346"/>
              <w:jc w:val="both"/>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&lt;/calcformula&gt;</w:t>
            </w:r>
          </w:p>
          <w:p w14:paraId="7E68D537" w14:textId="77777777" w:rsidR="00295C6D" w:rsidRPr="00A5626D" w:rsidRDefault="00295C6D" w:rsidP="00E31AE6">
            <w:pPr>
              <w:tabs>
                <w:tab w:val="left" w:pos="1134"/>
                <w:tab w:val="left" w:pos="7938"/>
              </w:tabs>
              <w:ind w:firstLine="346"/>
              <w:jc w:val="both"/>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&lt;/receive&gt;</w:t>
            </w:r>
          </w:p>
          <w:p w14:paraId="16C8A029" w14:textId="77777777" w:rsidR="00295C6D" w:rsidRPr="00A5626D" w:rsidRDefault="00295C6D" w:rsidP="00E31AE6">
            <w:pPr>
              <w:tabs>
                <w:tab w:val="left" w:pos="1134"/>
                <w:tab w:val="left" w:pos="7938"/>
              </w:tabs>
              <w:ind w:firstLine="346"/>
              <w:jc w:val="both"/>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&lt;send-losses&gt;</w:t>
            </w:r>
          </w:p>
          <w:p w14:paraId="29B4FE11" w14:textId="77777777" w:rsidR="00295C6D" w:rsidRPr="00A5626D" w:rsidRDefault="00295C6D" w:rsidP="00E31AE6">
            <w:pPr>
              <w:tabs>
                <w:tab w:val="left" w:pos="1134"/>
                <w:tab w:val="left" w:pos="7938"/>
              </w:tabs>
              <w:ind w:firstLine="346"/>
              <w:jc w:val="both"/>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time-ratio="30/60"</w:t>
            </w:r>
          </w:p>
          <w:p w14:paraId="1F839C5B" w14:textId="77777777" w:rsidR="00295C6D" w:rsidRPr="00A5626D" w:rsidRDefault="00295C6D" w:rsidP="00E31AE6">
            <w:pPr>
              <w:tabs>
                <w:tab w:val="left" w:pos="1134"/>
                <w:tab w:val="left" w:pos="7938"/>
              </w:tabs>
              <w:ind w:firstLine="346"/>
              <w:jc w:val="both"/>
              <w:rPr>
                <w:rFonts w:ascii="Garamond" w:eastAsia="Calibri" w:hAnsi="Garamond" w:cstheme="minorHAnsi"/>
                <w:sz w:val="22"/>
                <w:szCs w:val="22"/>
                <w:lang w:val="en-US"/>
              </w:rPr>
            </w:pPr>
            <w:r w:rsidRPr="00A5626D">
              <w:rPr>
                <w:rFonts w:ascii="Garamond" w:eastAsia="Calibri" w:hAnsi="Garamond" w:cstheme="minorHAnsi"/>
                <w:sz w:val="22"/>
                <w:szCs w:val="22"/>
                <w:lang w:val="en-US"/>
              </w:rPr>
              <w:lastRenderedPageBreak/>
              <w:t xml:space="preserve">                        </w:t>
            </w:r>
            <w:r w:rsidRPr="00A5626D">
              <w:rPr>
                <w:rFonts w:ascii="Garamond" w:hAnsi="Garamond" w:cstheme="minorHAnsi"/>
                <w:sz w:val="22"/>
                <w:szCs w:val="22"/>
                <w:lang w:val="en-US"/>
              </w:rPr>
              <w:tab/>
            </w:r>
            <w:r w:rsidRPr="00A5626D">
              <w:rPr>
                <w:rFonts w:ascii="Garamond" w:eastAsia="Calibri" w:hAnsi="Garamond" w:cstheme="minorHAnsi"/>
                <w:sz w:val="22"/>
                <w:szCs w:val="22"/>
                <w:lang w:val="en-US"/>
              </w:rPr>
              <w:t>&lt;comment&gt;</w:t>
            </w:r>
          </w:p>
          <w:p w14:paraId="17122228" w14:textId="77777777" w:rsidR="00295C6D" w:rsidRPr="00A5626D" w:rsidRDefault="00295C6D" w:rsidP="00E31AE6">
            <w:pPr>
              <w:tabs>
                <w:tab w:val="left" w:pos="1134"/>
                <w:tab w:val="left" w:pos="7938"/>
              </w:tabs>
              <w:ind w:firstLine="346"/>
              <w:jc w:val="both"/>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&lt;![CDATA[…]]&gt;</w:t>
            </w:r>
          </w:p>
          <w:p w14:paraId="2DB51CDE" w14:textId="77777777" w:rsidR="00295C6D" w:rsidRPr="00A5626D" w:rsidRDefault="00295C6D" w:rsidP="00E31AE6">
            <w:pPr>
              <w:tabs>
                <w:tab w:val="left" w:pos="1134"/>
                <w:tab w:val="left" w:pos="7938"/>
              </w:tabs>
              <w:ind w:firstLine="346"/>
              <w:jc w:val="both"/>
              <w:rPr>
                <w:rFonts w:ascii="Garamond" w:hAnsi="Garamond" w:cstheme="minorHAnsi"/>
                <w:sz w:val="22"/>
                <w:szCs w:val="22"/>
                <w:lang w:val="en-US"/>
              </w:rPr>
            </w:pPr>
            <w:r w:rsidRPr="00A5626D">
              <w:rPr>
                <w:rFonts w:ascii="Garamond" w:eastAsia="Calibri" w:hAnsi="Garamond" w:cstheme="minorHAnsi"/>
                <w:sz w:val="22"/>
                <w:szCs w:val="22"/>
                <w:lang w:val="en-US"/>
              </w:rPr>
              <w:t xml:space="preserve">                         &lt;/comment&gt;</w:t>
            </w:r>
          </w:p>
          <w:p w14:paraId="18213D4E" w14:textId="77777777" w:rsidR="00295C6D" w:rsidRPr="00A5626D" w:rsidRDefault="00295C6D" w:rsidP="00E31AE6">
            <w:pPr>
              <w:tabs>
                <w:tab w:val="left" w:pos="1134"/>
                <w:tab w:val="left" w:pos="7938"/>
              </w:tabs>
              <w:ind w:firstLine="346"/>
              <w:jc w:val="both"/>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&lt;calcformula</w:t>
            </w:r>
          </w:p>
          <w:p w14:paraId="4E3985D8" w14:textId="77777777" w:rsidR="00295C6D" w:rsidRPr="00A5626D" w:rsidRDefault="00295C6D" w:rsidP="00E31AE6">
            <w:pPr>
              <w:tabs>
                <w:tab w:val="left" w:pos="1134"/>
                <w:tab w:val="left" w:pos="7938"/>
              </w:tabs>
              <w:ind w:firstLine="346"/>
              <w:jc w:val="both"/>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name="50x"&gt;</w:t>
            </w:r>
          </w:p>
          <w:p w14:paraId="0FD08544" w14:textId="77777777" w:rsidR="00295C6D" w:rsidRPr="00A5626D" w:rsidRDefault="00295C6D" w:rsidP="00E31AE6">
            <w:pPr>
              <w:tabs>
                <w:tab w:val="left" w:pos="1134"/>
                <w:tab w:val="left" w:pos="7938"/>
              </w:tabs>
              <w:ind w:firstLine="346"/>
              <w:jc w:val="both"/>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&lt;param</w:t>
            </w:r>
          </w:p>
          <w:p w14:paraId="4D95345B" w14:textId="77777777" w:rsidR="00295C6D" w:rsidRPr="00A5626D" w:rsidRDefault="00295C6D" w:rsidP="00E31AE6">
            <w:pPr>
              <w:tabs>
                <w:tab w:val="left" w:pos="1134"/>
                <w:tab w:val="left" w:pos="7938"/>
              </w:tabs>
              <w:ind w:firstLine="346"/>
              <w:jc w:val="both"/>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name="50x"</w:t>
            </w:r>
          </w:p>
          <w:p w14:paraId="700658CE" w14:textId="77777777" w:rsidR="00295C6D" w:rsidRPr="00A5626D" w:rsidRDefault="00295C6D" w:rsidP="00E31AE6">
            <w:pPr>
              <w:tabs>
                <w:tab w:val="left" w:pos="1134"/>
                <w:tab w:val="left" w:pos="7938"/>
              </w:tabs>
              <w:ind w:firstLine="346"/>
              <w:jc w:val="both"/>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type="CONST/SUM/FORMULA/MOBJECT"&gt;</w:t>
            </w:r>
          </w:p>
          <w:p w14:paraId="3E89B732" w14:textId="77777777" w:rsidR="00295C6D" w:rsidRPr="00A5626D" w:rsidRDefault="00295C6D" w:rsidP="00E31AE6">
            <w:pPr>
              <w:tabs>
                <w:tab w:val="left" w:pos="1134"/>
                <w:tab w:val="left" w:pos="7938"/>
              </w:tabs>
              <w:ind w:firstLine="346"/>
              <w:jc w:val="both"/>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&lt;measuring-object</w:t>
            </w:r>
          </w:p>
          <w:p w14:paraId="4445C36B" w14:textId="77777777" w:rsidR="00295C6D" w:rsidRPr="00A5626D" w:rsidRDefault="00295C6D" w:rsidP="00E31AE6">
            <w:pPr>
              <w:tabs>
                <w:tab w:val="left" w:pos="1134"/>
                <w:tab w:val="left" w:pos="7938"/>
              </w:tabs>
              <w:ind w:firstLine="346"/>
              <w:jc w:val="both"/>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id-measuring-object="4n"/&gt;</w:t>
            </w:r>
          </w:p>
          <w:p w14:paraId="4366B9EF" w14:textId="77777777" w:rsidR="00295C6D" w:rsidRPr="00A5626D" w:rsidRDefault="00295C6D" w:rsidP="00E31AE6">
            <w:pPr>
              <w:tabs>
                <w:tab w:val="left" w:pos="1134"/>
                <w:tab w:val="left" w:pos="7938"/>
              </w:tabs>
              <w:ind w:firstLine="346"/>
              <w:jc w:val="both"/>
              <w:rPr>
                <w:rFonts w:ascii="Garamond" w:eastAsia="Calibri" w:hAnsi="Garamond" w:cstheme="minorHAnsi"/>
                <w:sz w:val="22"/>
                <w:szCs w:val="22"/>
                <w:lang w:val="es-ES"/>
              </w:rPr>
            </w:pPr>
            <w:r w:rsidRPr="00A5626D">
              <w:rPr>
                <w:rFonts w:ascii="Garamond" w:eastAsia="Calibri" w:hAnsi="Garamond" w:cstheme="minorHAnsi"/>
                <w:sz w:val="22"/>
                <w:szCs w:val="22"/>
                <w:lang w:val="en-US"/>
              </w:rPr>
              <w:t xml:space="preserve">                                </w:t>
            </w:r>
            <w:r w:rsidRPr="00A5626D">
              <w:rPr>
                <w:rFonts w:ascii="Garamond" w:eastAsia="Calibri" w:hAnsi="Garamond" w:cstheme="minorHAnsi"/>
                <w:sz w:val="22"/>
                <w:szCs w:val="22"/>
                <w:lang w:val="es-ES"/>
              </w:rPr>
              <w:t>&lt;calcformula&gt;</w:t>
            </w:r>
          </w:p>
          <w:p w14:paraId="56F7EC66" w14:textId="77777777" w:rsidR="00295C6D" w:rsidRPr="00A5626D" w:rsidRDefault="00295C6D" w:rsidP="00E31AE6">
            <w:pPr>
              <w:tabs>
                <w:tab w:val="left" w:pos="1134"/>
                <w:tab w:val="left" w:pos="7938"/>
              </w:tabs>
              <w:ind w:firstLine="346"/>
              <w:jc w:val="both"/>
              <w:rPr>
                <w:rFonts w:ascii="Garamond" w:eastAsia="Calibri" w:hAnsi="Garamond" w:cstheme="minorHAnsi"/>
                <w:sz w:val="22"/>
                <w:szCs w:val="22"/>
                <w:lang w:val="es-ES"/>
              </w:rPr>
            </w:pPr>
            <w:r w:rsidRPr="00A5626D">
              <w:rPr>
                <w:rFonts w:ascii="Garamond" w:eastAsia="Calibri" w:hAnsi="Garamond" w:cstheme="minorHAnsi"/>
                <w:sz w:val="22"/>
                <w:szCs w:val="22"/>
                <w:lang w:val="es-ES"/>
              </w:rPr>
              <w:t xml:space="preserve">                                …</w:t>
            </w:r>
          </w:p>
          <w:p w14:paraId="0034F873" w14:textId="77777777" w:rsidR="00295C6D" w:rsidRPr="00A5626D" w:rsidRDefault="00295C6D" w:rsidP="00E31AE6">
            <w:pPr>
              <w:tabs>
                <w:tab w:val="left" w:pos="1134"/>
                <w:tab w:val="left" w:pos="7938"/>
              </w:tabs>
              <w:ind w:firstLine="346"/>
              <w:jc w:val="both"/>
              <w:rPr>
                <w:rFonts w:ascii="Garamond" w:eastAsia="Calibri" w:hAnsi="Garamond" w:cstheme="minorHAnsi"/>
                <w:sz w:val="22"/>
                <w:szCs w:val="22"/>
                <w:lang w:val="es-ES"/>
              </w:rPr>
            </w:pPr>
            <w:r w:rsidRPr="00A5626D">
              <w:rPr>
                <w:rFonts w:ascii="Garamond" w:eastAsia="Calibri" w:hAnsi="Garamond" w:cstheme="minorHAnsi"/>
                <w:sz w:val="22"/>
                <w:szCs w:val="22"/>
                <w:lang w:val="es-ES"/>
              </w:rPr>
              <w:t xml:space="preserve">                                &lt;/calcformula&gt;</w:t>
            </w:r>
          </w:p>
          <w:p w14:paraId="0B2BFCC4" w14:textId="77777777" w:rsidR="00295C6D" w:rsidRPr="00A5626D" w:rsidRDefault="00295C6D" w:rsidP="00E31AE6">
            <w:pPr>
              <w:tabs>
                <w:tab w:val="left" w:pos="1134"/>
                <w:tab w:val="left" w:pos="7938"/>
              </w:tabs>
              <w:ind w:firstLine="346"/>
              <w:jc w:val="both"/>
              <w:rPr>
                <w:rFonts w:ascii="Garamond" w:eastAsia="Calibri" w:hAnsi="Garamond" w:cstheme="minorHAnsi"/>
                <w:sz w:val="22"/>
                <w:szCs w:val="22"/>
                <w:lang w:val="es-ES"/>
              </w:rPr>
            </w:pPr>
            <w:r w:rsidRPr="00A5626D">
              <w:rPr>
                <w:rFonts w:ascii="Garamond" w:eastAsia="Calibri" w:hAnsi="Garamond" w:cstheme="minorHAnsi"/>
                <w:sz w:val="22"/>
                <w:szCs w:val="22"/>
                <w:lang w:val="es-ES"/>
              </w:rPr>
              <w:t xml:space="preserve">                                &lt;calcsum&gt;</w:t>
            </w:r>
          </w:p>
          <w:p w14:paraId="318CAC65" w14:textId="77777777" w:rsidR="00295C6D" w:rsidRPr="00A5626D" w:rsidRDefault="00295C6D" w:rsidP="00E31AE6">
            <w:pPr>
              <w:tabs>
                <w:tab w:val="left" w:pos="1134"/>
                <w:tab w:val="left" w:pos="7938"/>
              </w:tabs>
              <w:ind w:firstLine="346"/>
              <w:jc w:val="both"/>
              <w:rPr>
                <w:rFonts w:ascii="Garamond" w:eastAsia="Calibri" w:hAnsi="Garamond" w:cstheme="minorHAnsi"/>
                <w:sz w:val="22"/>
                <w:szCs w:val="22"/>
                <w:lang w:val="es-ES"/>
              </w:rPr>
            </w:pPr>
            <w:r w:rsidRPr="00A5626D">
              <w:rPr>
                <w:rFonts w:ascii="Garamond" w:eastAsia="Calibri" w:hAnsi="Garamond" w:cstheme="minorHAnsi"/>
                <w:sz w:val="22"/>
                <w:szCs w:val="22"/>
                <w:lang w:val="es-ES"/>
              </w:rPr>
              <w:t xml:space="preserve">                                …</w:t>
            </w:r>
          </w:p>
          <w:p w14:paraId="7CBE6197" w14:textId="77777777" w:rsidR="00295C6D" w:rsidRPr="00A5626D" w:rsidRDefault="00295C6D" w:rsidP="00E31AE6">
            <w:pPr>
              <w:tabs>
                <w:tab w:val="left" w:pos="1134"/>
                <w:tab w:val="left" w:pos="7938"/>
              </w:tabs>
              <w:ind w:firstLine="346"/>
              <w:jc w:val="both"/>
              <w:rPr>
                <w:rFonts w:ascii="Garamond" w:eastAsia="Calibri" w:hAnsi="Garamond" w:cstheme="minorHAnsi"/>
                <w:sz w:val="22"/>
                <w:szCs w:val="22"/>
                <w:lang w:val="es-ES"/>
              </w:rPr>
            </w:pPr>
            <w:r w:rsidRPr="00A5626D">
              <w:rPr>
                <w:rFonts w:ascii="Garamond" w:eastAsia="Calibri" w:hAnsi="Garamond" w:cstheme="minorHAnsi"/>
                <w:sz w:val="22"/>
                <w:szCs w:val="22"/>
                <w:lang w:val="es-ES"/>
              </w:rPr>
              <w:t xml:space="preserve">                                &lt;/calcsum&gt;</w:t>
            </w:r>
          </w:p>
          <w:p w14:paraId="2EB2D6AE" w14:textId="77777777" w:rsidR="00295C6D" w:rsidRPr="00A5626D" w:rsidRDefault="00295C6D" w:rsidP="00E31AE6">
            <w:pPr>
              <w:tabs>
                <w:tab w:val="left" w:pos="1134"/>
                <w:tab w:val="left" w:pos="7938"/>
              </w:tabs>
              <w:ind w:firstLine="346"/>
              <w:jc w:val="both"/>
              <w:rPr>
                <w:rFonts w:ascii="Garamond" w:eastAsia="Calibri" w:hAnsi="Garamond" w:cstheme="minorHAnsi"/>
                <w:sz w:val="22"/>
                <w:szCs w:val="22"/>
                <w:lang w:val="es-ES"/>
              </w:rPr>
            </w:pPr>
            <w:r w:rsidRPr="00A5626D">
              <w:rPr>
                <w:rFonts w:ascii="Garamond" w:eastAsia="Calibri" w:hAnsi="Garamond" w:cstheme="minorHAnsi"/>
                <w:sz w:val="22"/>
                <w:szCs w:val="22"/>
                <w:lang w:val="es-ES"/>
              </w:rPr>
              <w:t xml:space="preserve">                                &lt;constvalue&gt;</w:t>
            </w:r>
          </w:p>
          <w:p w14:paraId="1DE293F9" w14:textId="77777777" w:rsidR="00295C6D" w:rsidRPr="00A5626D" w:rsidRDefault="00295C6D" w:rsidP="00E31AE6">
            <w:pPr>
              <w:tabs>
                <w:tab w:val="left" w:pos="1134"/>
                <w:tab w:val="left" w:pos="7938"/>
              </w:tabs>
              <w:ind w:firstLine="346"/>
              <w:jc w:val="both"/>
              <w:rPr>
                <w:rFonts w:ascii="Garamond" w:eastAsia="Calibri" w:hAnsi="Garamond" w:cstheme="minorHAnsi"/>
                <w:sz w:val="22"/>
                <w:szCs w:val="22"/>
                <w:lang w:val="en-US"/>
              </w:rPr>
            </w:pPr>
            <w:r w:rsidRPr="00A5626D">
              <w:rPr>
                <w:rFonts w:ascii="Garamond" w:eastAsia="Calibri" w:hAnsi="Garamond" w:cstheme="minorHAnsi"/>
                <w:sz w:val="22"/>
                <w:szCs w:val="22"/>
                <w:lang w:val="es-ES"/>
              </w:rPr>
              <w:t xml:space="preserve">                                </w:t>
            </w:r>
            <w:r w:rsidRPr="00A5626D">
              <w:rPr>
                <w:rFonts w:ascii="Garamond" w:eastAsia="Calibri" w:hAnsi="Garamond" w:cstheme="minorHAnsi"/>
                <w:sz w:val="22"/>
                <w:szCs w:val="22"/>
                <w:lang w:val="en-US"/>
              </w:rPr>
              <w:t>"32n"</w:t>
            </w:r>
          </w:p>
          <w:p w14:paraId="18538B3B" w14:textId="77777777" w:rsidR="00295C6D" w:rsidRPr="00A5626D" w:rsidRDefault="00295C6D" w:rsidP="00E31AE6">
            <w:pPr>
              <w:tabs>
                <w:tab w:val="left" w:pos="1134"/>
                <w:tab w:val="left" w:pos="7938"/>
              </w:tabs>
              <w:ind w:firstLine="346"/>
              <w:jc w:val="both"/>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&lt;/constvalue&gt;</w:t>
            </w:r>
          </w:p>
          <w:p w14:paraId="58110CC1" w14:textId="77777777" w:rsidR="00295C6D" w:rsidRPr="00A5626D" w:rsidRDefault="00295C6D" w:rsidP="00E31AE6">
            <w:pPr>
              <w:tabs>
                <w:tab w:val="left" w:pos="1134"/>
                <w:tab w:val="left" w:pos="7938"/>
              </w:tabs>
              <w:ind w:firstLine="346"/>
              <w:jc w:val="both"/>
              <w:rPr>
                <w:rFonts w:ascii="Garamond" w:hAnsi="Garamond" w:cstheme="minorHAnsi"/>
                <w:sz w:val="22"/>
                <w:szCs w:val="22"/>
                <w:lang w:val="en-US"/>
              </w:rPr>
            </w:pPr>
            <w:r w:rsidRPr="00A5626D">
              <w:rPr>
                <w:rFonts w:ascii="Garamond" w:eastAsia="Calibri" w:hAnsi="Garamond" w:cstheme="minorHAnsi"/>
                <w:sz w:val="22"/>
                <w:szCs w:val="22"/>
                <w:lang w:val="en-US"/>
              </w:rPr>
              <w:t xml:space="preserve">                            &lt;/param&gt;</w:t>
            </w:r>
          </w:p>
          <w:p w14:paraId="21233C67" w14:textId="77777777" w:rsidR="00295C6D" w:rsidRPr="00A5626D" w:rsidRDefault="00295C6D" w:rsidP="00E31AE6">
            <w:pPr>
              <w:tabs>
                <w:tab w:val="left" w:pos="1134"/>
                <w:tab w:val="left" w:pos="7938"/>
              </w:tabs>
              <w:ind w:firstLine="346"/>
              <w:jc w:val="both"/>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&lt;/calcformula&gt;</w:t>
            </w:r>
          </w:p>
          <w:p w14:paraId="5FD111A9" w14:textId="77777777" w:rsidR="00295C6D" w:rsidRPr="00A5626D" w:rsidRDefault="00295C6D" w:rsidP="00E31AE6">
            <w:pPr>
              <w:tabs>
                <w:tab w:val="left" w:pos="1134"/>
                <w:tab w:val="left" w:pos="7938"/>
              </w:tabs>
              <w:ind w:firstLine="346"/>
              <w:jc w:val="both"/>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&lt;/send-losses&gt;</w:t>
            </w:r>
          </w:p>
          <w:p w14:paraId="729F5CDA" w14:textId="77777777" w:rsidR="00295C6D" w:rsidRPr="00A5626D" w:rsidRDefault="00295C6D" w:rsidP="00E31AE6">
            <w:pPr>
              <w:tabs>
                <w:tab w:val="left" w:pos="1134"/>
                <w:tab w:val="left" w:pos="7938"/>
              </w:tabs>
              <w:ind w:firstLine="346"/>
              <w:jc w:val="both"/>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&lt;receive-losses&gt;</w:t>
            </w:r>
          </w:p>
          <w:p w14:paraId="66BA1CF1" w14:textId="77777777" w:rsidR="00295C6D" w:rsidRPr="00A5626D" w:rsidRDefault="00295C6D" w:rsidP="00E31AE6">
            <w:pPr>
              <w:tabs>
                <w:tab w:val="left" w:pos="1134"/>
                <w:tab w:val="left" w:pos="7938"/>
              </w:tabs>
              <w:ind w:firstLine="346"/>
              <w:jc w:val="both"/>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&lt;comment&gt;</w:t>
            </w:r>
          </w:p>
          <w:p w14:paraId="0CF52C3C" w14:textId="77777777" w:rsidR="00295C6D" w:rsidRPr="00A5626D" w:rsidRDefault="00295C6D" w:rsidP="00E31AE6">
            <w:pPr>
              <w:tabs>
                <w:tab w:val="left" w:pos="1134"/>
                <w:tab w:val="left" w:pos="7938"/>
              </w:tabs>
              <w:ind w:firstLine="346"/>
              <w:jc w:val="both"/>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&lt;![CDATA[…]]&gt;</w:t>
            </w:r>
          </w:p>
          <w:p w14:paraId="34AEB5BE" w14:textId="77777777" w:rsidR="00295C6D" w:rsidRPr="00A5626D" w:rsidRDefault="00295C6D" w:rsidP="00E31AE6">
            <w:pPr>
              <w:tabs>
                <w:tab w:val="left" w:pos="1134"/>
                <w:tab w:val="left" w:pos="7938"/>
              </w:tabs>
              <w:ind w:firstLine="346"/>
              <w:jc w:val="both"/>
              <w:rPr>
                <w:rFonts w:ascii="Garamond" w:hAnsi="Garamond" w:cstheme="minorHAnsi"/>
                <w:sz w:val="22"/>
                <w:szCs w:val="22"/>
                <w:lang w:val="en-US"/>
              </w:rPr>
            </w:pPr>
            <w:r w:rsidRPr="00A5626D">
              <w:rPr>
                <w:rFonts w:ascii="Garamond" w:eastAsia="Calibri" w:hAnsi="Garamond" w:cstheme="minorHAnsi"/>
                <w:sz w:val="22"/>
                <w:szCs w:val="22"/>
                <w:lang w:val="en-US"/>
              </w:rPr>
              <w:t xml:space="preserve">                        &lt;/comment&gt;</w:t>
            </w:r>
          </w:p>
          <w:p w14:paraId="2D7EF97D" w14:textId="77777777" w:rsidR="00295C6D" w:rsidRPr="00A5626D" w:rsidRDefault="00295C6D" w:rsidP="00E31AE6">
            <w:pPr>
              <w:tabs>
                <w:tab w:val="left" w:pos="1134"/>
                <w:tab w:val="left" w:pos="7938"/>
              </w:tabs>
              <w:ind w:firstLine="346"/>
              <w:jc w:val="both"/>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&lt;calcformula</w:t>
            </w:r>
          </w:p>
          <w:p w14:paraId="7B36047A" w14:textId="77777777" w:rsidR="00295C6D" w:rsidRPr="00A5626D" w:rsidRDefault="00295C6D" w:rsidP="00E31AE6">
            <w:pPr>
              <w:tabs>
                <w:tab w:val="left" w:pos="1134"/>
                <w:tab w:val="left" w:pos="7938"/>
              </w:tabs>
              <w:ind w:firstLine="346"/>
              <w:jc w:val="both"/>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name="50x"&gt;</w:t>
            </w:r>
          </w:p>
          <w:p w14:paraId="6256B4E1" w14:textId="77777777" w:rsidR="00295C6D" w:rsidRPr="00A5626D" w:rsidRDefault="00295C6D" w:rsidP="00E31AE6">
            <w:pPr>
              <w:tabs>
                <w:tab w:val="left" w:pos="1134"/>
                <w:tab w:val="left" w:pos="7938"/>
              </w:tabs>
              <w:ind w:firstLine="346"/>
              <w:jc w:val="both"/>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&lt;param</w:t>
            </w:r>
          </w:p>
          <w:p w14:paraId="3365FF9E" w14:textId="77777777" w:rsidR="00295C6D" w:rsidRPr="00A5626D" w:rsidRDefault="00295C6D" w:rsidP="00E31AE6">
            <w:pPr>
              <w:tabs>
                <w:tab w:val="left" w:pos="1134"/>
                <w:tab w:val="left" w:pos="7938"/>
              </w:tabs>
              <w:ind w:firstLine="346"/>
              <w:jc w:val="both"/>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name="50x"</w:t>
            </w:r>
          </w:p>
          <w:p w14:paraId="6B0C2F1B" w14:textId="77777777" w:rsidR="00295C6D" w:rsidRPr="00A5626D" w:rsidRDefault="00295C6D" w:rsidP="00E31AE6">
            <w:pPr>
              <w:tabs>
                <w:tab w:val="left" w:pos="1134"/>
                <w:tab w:val="left" w:pos="7938"/>
              </w:tabs>
              <w:ind w:firstLine="346"/>
              <w:jc w:val="both"/>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type="10x"&gt;</w:t>
            </w:r>
          </w:p>
          <w:p w14:paraId="4D780F6D" w14:textId="77777777" w:rsidR="00295C6D" w:rsidRPr="00A5626D" w:rsidRDefault="00295C6D" w:rsidP="00E31AE6">
            <w:pPr>
              <w:tabs>
                <w:tab w:val="left" w:pos="1134"/>
                <w:tab w:val="left" w:pos="7938"/>
              </w:tabs>
              <w:ind w:firstLine="346"/>
              <w:jc w:val="both"/>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&lt;measuring-object</w:t>
            </w:r>
          </w:p>
          <w:p w14:paraId="11F4A2BD" w14:textId="77777777" w:rsidR="00295C6D" w:rsidRPr="00A5626D" w:rsidRDefault="00295C6D" w:rsidP="00E31AE6">
            <w:pPr>
              <w:tabs>
                <w:tab w:val="left" w:pos="1134"/>
                <w:tab w:val="left" w:pos="7938"/>
              </w:tabs>
              <w:ind w:firstLine="346"/>
              <w:jc w:val="both"/>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id-measuring-object="4n"/&gt;</w:t>
            </w:r>
          </w:p>
          <w:p w14:paraId="7113F3D7" w14:textId="77777777" w:rsidR="00295C6D" w:rsidRPr="00A5626D" w:rsidRDefault="00295C6D" w:rsidP="00E31AE6">
            <w:pPr>
              <w:tabs>
                <w:tab w:val="left" w:pos="1134"/>
                <w:tab w:val="left" w:pos="7938"/>
              </w:tabs>
              <w:ind w:firstLine="346"/>
              <w:jc w:val="both"/>
              <w:rPr>
                <w:rFonts w:ascii="Garamond" w:eastAsia="Calibri" w:hAnsi="Garamond" w:cstheme="minorHAnsi"/>
                <w:sz w:val="22"/>
                <w:szCs w:val="22"/>
                <w:lang w:val="es-ES"/>
              </w:rPr>
            </w:pPr>
            <w:r w:rsidRPr="00A5626D">
              <w:rPr>
                <w:rFonts w:ascii="Garamond" w:eastAsia="Calibri" w:hAnsi="Garamond" w:cstheme="minorHAnsi"/>
                <w:sz w:val="22"/>
                <w:szCs w:val="22"/>
                <w:lang w:val="en-US"/>
              </w:rPr>
              <w:t xml:space="preserve">                                </w:t>
            </w:r>
            <w:r w:rsidRPr="00A5626D">
              <w:rPr>
                <w:rFonts w:ascii="Garamond" w:eastAsia="Calibri" w:hAnsi="Garamond" w:cstheme="minorHAnsi"/>
                <w:sz w:val="22"/>
                <w:szCs w:val="22"/>
                <w:lang w:val="es-ES"/>
              </w:rPr>
              <w:t>&lt;calcformula&gt;</w:t>
            </w:r>
          </w:p>
          <w:p w14:paraId="257E6E60" w14:textId="77777777" w:rsidR="00295C6D" w:rsidRPr="00A5626D" w:rsidRDefault="00295C6D" w:rsidP="00E31AE6">
            <w:pPr>
              <w:tabs>
                <w:tab w:val="left" w:pos="1134"/>
                <w:tab w:val="left" w:pos="7938"/>
              </w:tabs>
              <w:ind w:firstLine="346"/>
              <w:jc w:val="both"/>
              <w:rPr>
                <w:rFonts w:ascii="Garamond" w:eastAsia="Calibri" w:hAnsi="Garamond" w:cstheme="minorHAnsi"/>
                <w:sz w:val="22"/>
                <w:szCs w:val="22"/>
                <w:lang w:val="es-ES"/>
              </w:rPr>
            </w:pPr>
            <w:r w:rsidRPr="00A5626D">
              <w:rPr>
                <w:rFonts w:ascii="Garamond" w:eastAsia="Calibri" w:hAnsi="Garamond" w:cstheme="minorHAnsi"/>
                <w:sz w:val="22"/>
                <w:szCs w:val="22"/>
                <w:lang w:val="es-ES"/>
              </w:rPr>
              <w:t xml:space="preserve">                                …</w:t>
            </w:r>
          </w:p>
          <w:p w14:paraId="7E5D28AC" w14:textId="77777777" w:rsidR="00295C6D" w:rsidRPr="00A5626D" w:rsidRDefault="00295C6D" w:rsidP="00E31AE6">
            <w:pPr>
              <w:tabs>
                <w:tab w:val="left" w:pos="1134"/>
                <w:tab w:val="left" w:pos="7938"/>
              </w:tabs>
              <w:ind w:firstLine="346"/>
              <w:jc w:val="both"/>
              <w:rPr>
                <w:rFonts w:ascii="Garamond" w:eastAsia="Calibri" w:hAnsi="Garamond" w:cstheme="minorHAnsi"/>
                <w:sz w:val="22"/>
                <w:szCs w:val="22"/>
                <w:lang w:val="es-ES"/>
              </w:rPr>
            </w:pPr>
            <w:r w:rsidRPr="00A5626D">
              <w:rPr>
                <w:rFonts w:ascii="Garamond" w:eastAsia="Calibri" w:hAnsi="Garamond" w:cstheme="minorHAnsi"/>
                <w:sz w:val="22"/>
                <w:szCs w:val="22"/>
                <w:lang w:val="es-ES"/>
              </w:rPr>
              <w:t xml:space="preserve">                                &lt;/calcformula&gt;</w:t>
            </w:r>
          </w:p>
          <w:p w14:paraId="56EE397B" w14:textId="77777777" w:rsidR="00295C6D" w:rsidRPr="00A5626D" w:rsidRDefault="00295C6D" w:rsidP="00E31AE6">
            <w:pPr>
              <w:tabs>
                <w:tab w:val="left" w:pos="1134"/>
                <w:tab w:val="left" w:pos="7938"/>
              </w:tabs>
              <w:ind w:firstLine="346"/>
              <w:jc w:val="both"/>
              <w:rPr>
                <w:rFonts w:ascii="Garamond" w:eastAsia="Calibri" w:hAnsi="Garamond" w:cstheme="minorHAnsi"/>
                <w:sz w:val="22"/>
                <w:szCs w:val="22"/>
                <w:lang w:val="es-ES"/>
              </w:rPr>
            </w:pPr>
            <w:r w:rsidRPr="00A5626D">
              <w:rPr>
                <w:rFonts w:ascii="Garamond" w:eastAsia="Calibri" w:hAnsi="Garamond" w:cstheme="minorHAnsi"/>
                <w:sz w:val="22"/>
                <w:szCs w:val="22"/>
                <w:lang w:val="es-ES"/>
              </w:rPr>
              <w:t xml:space="preserve">                                &lt;calcsum&gt;</w:t>
            </w:r>
          </w:p>
          <w:p w14:paraId="0C200C36" w14:textId="77777777" w:rsidR="00295C6D" w:rsidRPr="00A5626D" w:rsidRDefault="00295C6D" w:rsidP="00E31AE6">
            <w:pPr>
              <w:tabs>
                <w:tab w:val="left" w:pos="1134"/>
                <w:tab w:val="left" w:pos="7938"/>
              </w:tabs>
              <w:ind w:firstLine="346"/>
              <w:jc w:val="both"/>
              <w:rPr>
                <w:rFonts w:ascii="Garamond" w:eastAsia="Calibri" w:hAnsi="Garamond" w:cstheme="minorHAnsi"/>
                <w:sz w:val="22"/>
                <w:szCs w:val="22"/>
                <w:lang w:val="es-ES"/>
              </w:rPr>
            </w:pPr>
            <w:r w:rsidRPr="00A5626D">
              <w:rPr>
                <w:rFonts w:ascii="Garamond" w:eastAsia="Calibri" w:hAnsi="Garamond" w:cstheme="minorHAnsi"/>
                <w:sz w:val="22"/>
                <w:szCs w:val="22"/>
                <w:lang w:val="es-ES"/>
              </w:rPr>
              <w:lastRenderedPageBreak/>
              <w:t xml:space="preserve">                                …</w:t>
            </w:r>
          </w:p>
          <w:p w14:paraId="44813601" w14:textId="77777777" w:rsidR="00295C6D" w:rsidRPr="00A5626D" w:rsidRDefault="00295C6D" w:rsidP="00E31AE6">
            <w:pPr>
              <w:tabs>
                <w:tab w:val="left" w:pos="1134"/>
                <w:tab w:val="left" w:pos="7938"/>
              </w:tabs>
              <w:ind w:firstLine="346"/>
              <w:jc w:val="both"/>
              <w:rPr>
                <w:rFonts w:ascii="Garamond" w:eastAsia="Calibri" w:hAnsi="Garamond" w:cstheme="minorHAnsi"/>
                <w:sz w:val="22"/>
                <w:szCs w:val="22"/>
                <w:lang w:val="es-ES"/>
              </w:rPr>
            </w:pPr>
            <w:r w:rsidRPr="00A5626D">
              <w:rPr>
                <w:rFonts w:ascii="Garamond" w:eastAsia="Calibri" w:hAnsi="Garamond" w:cstheme="minorHAnsi"/>
                <w:sz w:val="22"/>
                <w:szCs w:val="22"/>
                <w:lang w:val="es-ES"/>
              </w:rPr>
              <w:t xml:space="preserve">                                &lt;/calcsum&gt;</w:t>
            </w:r>
          </w:p>
          <w:p w14:paraId="2C019BA8" w14:textId="77777777" w:rsidR="00295C6D" w:rsidRPr="00A5626D" w:rsidRDefault="00295C6D" w:rsidP="00E31AE6">
            <w:pPr>
              <w:tabs>
                <w:tab w:val="left" w:pos="1134"/>
                <w:tab w:val="left" w:pos="7938"/>
              </w:tabs>
              <w:ind w:firstLine="346"/>
              <w:jc w:val="both"/>
              <w:rPr>
                <w:rFonts w:ascii="Garamond" w:eastAsia="Calibri" w:hAnsi="Garamond" w:cstheme="minorHAnsi"/>
                <w:sz w:val="22"/>
                <w:szCs w:val="22"/>
                <w:lang w:val="es-ES"/>
              </w:rPr>
            </w:pPr>
            <w:r w:rsidRPr="00A5626D">
              <w:rPr>
                <w:rFonts w:ascii="Garamond" w:eastAsia="Calibri" w:hAnsi="Garamond" w:cstheme="minorHAnsi"/>
                <w:sz w:val="22"/>
                <w:szCs w:val="22"/>
                <w:lang w:val="es-ES"/>
              </w:rPr>
              <w:t xml:space="preserve">                                &lt;constvalue&gt;</w:t>
            </w:r>
          </w:p>
          <w:p w14:paraId="54BD46F5" w14:textId="77777777" w:rsidR="00295C6D" w:rsidRPr="00A5626D" w:rsidRDefault="00295C6D" w:rsidP="00E31AE6">
            <w:pPr>
              <w:tabs>
                <w:tab w:val="left" w:pos="1134"/>
                <w:tab w:val="left" w:pos="7938"/>
              </w:tabs>
              <w:ind w:firstLine="346"/>
              <w:jc w:val="both"/>
              <w:rPr>
                <w:rFonts w:ascii="Garamond" w:eastAsia="Calibri" w:hAnsi="Garamond" w:cstheme="minorHAnsi"/>
                <w:sz w:val="22"/>
                <w:szCs w:val="22"/>
                <w:lang w:val="en-US"/>
              </w:rPr>
            </w:pPr>
            <w:r w:rsidRPr="00A5626D">
              <w:rPr>
                <w:rFonts w:ascii="Garamond" w:eastAsia="Calibri" w:hAnsi="Garamond" w:cstheme="minorHAnsi"/>
                <w:sz w:val="22"/>
                <w:szCs w:val="22"/>
                <w:lang w:val="es-ES"/>
              </w:rPr>
              <w:t xml:space="preserve">                                </w:t>
            </w:r>
            <w:r w:rsidRPr="00A5626D">
              <w:rPr>
                <w:rFonts w:ascii="Garamond" w:eastAsia="Calibri" w:hAnsi="Garamond" w:cstheme="minorHAnsi"/>
                <w:sz w:val="22"/>
                <w:szCs w:val="22"/>
                <w:lang w:val="en-US"/>
              </w:rPr>
              <w:t>"32n"</w:t>
            </w:r>
          </w:p>
          <w:p w14:paraId="7C58176B" w14:textId="77777777" w:rsidR="00295C6D" w:rsidRPr="00A5626D" w:rsidRDefault="00295C6D" w:rsidP="00E31AE6">
            <w:pPr>
              <w:tabs>
                <w:tab w:val="left" w:pos="1134"/>
                <w:tab w:val="left" w:pos="7938"/>
              </w:tabs>
              <w:ind w:firstLine="346"/>
              <w:jc w:val="both"/>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&lt;/constvalue&gt;</w:t>
            </w:r>
          </w:p>
          <w:p w14:paraId="5A874BB8" w14:textId="77777777" w:rsidR="00295C6D" w:rsidRPr="00A5626D" w:rsidRDefault="00295C6D" w:rsidP="00E31AE6">
            <w:pPr>
              <w:tabs>
                <w:tab w:val="left" w:pos="1134"/>
                <w:tab w:val="left" w:pos="7938"/>
              </w:tabs>
              <w:ind w:firstLine="346"/>
              <w:jc w:val="both"/>
              <w:rPr>
                <w:rFonts w:ascii="Garamond" w:hAnsi="Garamond" w:cstheme="minorHAnsi"/>
                <w:sz w:val="22"/>
                <w:szCs w:val="22"/>
                <w:lang w:val="en-US"/>
              </w:rPr>
            </w:pPr>
            <w:r w:rsidRPr="00A5626D">
              <w:rPr>
                <w:rFonts w:ascii="Garamond" w:eastAsia="Calibri" w:hAnsi="Garamond" w:cstheme="minorHAnsi"/>
                <w:sz w:val="22"/>
                <w:szCs w:val="22"/>
                <w:lang w:val="en-US"/>
              </w:rPr>
              <w:t xml:space="preserve">                            &lt;/param&gt;</w:t>
            </w:r>
          </w:p>
          <w:p w14:paraId="1370C8C2" w14:textId="77777777" w:rsidR="00295C6D" w:rsidRPr="00A5626D" w:rsidRDefault="00295C6D" w:rsidP="00E31AE6">
            <w:pPr>
              <w:tabs>
                <w:tab w:val="left" w:pos="1134"/>
                <w:tab w:val="left" w:pos="7938"/>
              </w:tabs>
              <w:ind w:firstLine="346"/>
              <w:jc w:val="both"/>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&lt;/calcformula&gt;</w:t>
            </w:r>
          </w:p>
          <w:p w14:paraId="68D27811" w14:textId="77777777" w:rsidR="00295C6D" w:rsidRPr="00A5626D" w:rsidRDefault="00295C6D" w:rsidP="00E31AE6">
            <w:pPr>
              <w:tabs>
                <w:tab w:val="left" w:pos="1134"/>
                <w:tab w:val="left" w:pos="7938"/>
              </w:tabs>
              <w:ind w:firstLine="346"/>
              <w:jc w:val="both"/>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&lt;/receive-losses&gt;</w:t>
            </w:r>
          </w:p>
          <w:p w14:paraId="6D5509DA" w14:textId="77777777" w:rsidR="00295C6D" w:rsidRPr="00A5626D" w:rsidRDefault="00295C6D" w:rsidP="00E31AE6">
            <w:pPr>
              <w:tabs>
                <w:tab w:val="left" w:pos="1134"/>
                <w:tab w:val="left" w:pos="7938"/>
              </w:tabs>
              <w:ind w:firstLine="346"/>
              <w:jc w:val="both"/>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&lt;/aup-delivery-point&gt;</w:t>
            </w:r>
          </w:p>
          <w:p w14:paraId="7267DCB0" w14:textId="77777777" w:rsidR="00295C6D" w:rsidRPr="00A5626D" w:rsidRDefault="00295C6D" w:rsidP="00E31AE6">
            <w:pPr>
              <w:tabs>
                <w:tab w:val="left" w:pos="1134"/>
                <w:tab w:val="left" w:pos="7938"/>
              </w:tabs>
              <w:ind w:firstLine="346"/>
              <w:jc w:val="both"/>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&lt;/aup-delivery-points&gt;</w:t>
            </w:r>
          </w:p>
          <w:p w14:paraId="158A4CBE" w14:textId="77777777" w:rsidR="00295C6D" w:rsidRPr="00A5626D" w:rsidRDefault="00295C6D" w:rsidP="00E31AE6">
            <w:pPr>
              <w:tabs>
                <w:tab w:val="left" w:pos="1134"/>
                <w:tab w:val="left" w:pos="7938"/>
              </w:tabs>
              <w:ind w:firstLine="346"/>
              <w:jc w:val="both"/>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&lt;peretok</w:t>
            </w:r>
          </w:p>
          <w:p w14:paraId="75AED1CA" w14:textId="77777777" w:rsidR="00295C6D" w:rsidRPr="00A5626D" w:rsidRDefault="00295C6D" w:rsidP="00E31AE6">
            <w:pPr>
              <w:tabs>
                <w:tab w:val="left" w:pos="1134"/>
                <w:tab w:val="left" w:pos="7938"/>
              </w:tabs>
              <w:ind w:firstLine="346"/>
              <w:jc w:val="both"/>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id-gtp-from="1n"</w:t>
            </w:r>
          </w:p>
          <w:p w14:paraId="4EB31823" w14:textId="77777777" w:rsidR="00295C6D" w:rsidRPr="00A5626D" w:rsidRDefault="00295C6D" w:rsidP="00E31AE6">
            <w:pPr>
              <w:tabs>
                <w:tab w:val="left" w:pos="1134"/>
                <w:tab w:val="left" w:pos="7938"/>
              </w:tabs>
              <w:ind w:firstLine="346"/>
              <w:jc w:val="both"/>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id-gtp-to="1n"</w:t>
            </w:r>
          </w:p>
          <w:p w14:paraId="47B1C3F7" w14:textId="77777777" w:rsidR="00295C6D" w:rsidRPr="00A5626D" w:rsidRDefault="00295C6D" w:rsidP="00E31AE6">
            <w:pPr>
              <w:tabs>
                <w:tab w:val="left" w:pos="1134"/>
                <w:tab w:val="left" w:pos="7938"/>
              </w:tabs>
              <w:ind w:firstLine="346"/>
              <w:jc w:val="both"/>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section-type="1n"&gt;</w:t>
            </w:r>
          </w:p>
          <w:p w14:paraId="09B7BEFD" w14:textId="77777777" w:rsidR="00295C6D" w:rsidRPr="00A5626D" w:rsidRDefault="00295C6D" w:rsidP="00E31AE6">
            <w:pPr>
              <w:tabs>
                <w:tab w:val="left" w:pos="1134"/>
                <w:tab w:val="left" w:pos="7938"/>
              </w:tabs>
              <w:ind w:firstLine="346"/>
              <w:jc w:val="both"/>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&lt;calcformula-or-rr  </w:t>
            </w:r>
          </w:p>
          <w:p w14:paraId="6926A4BB" w14:textId="77777777" w:rsidR="00295C6D" w:rsidRPr="00A5626D" w:rsidRDefault="00295C6D" w:rsidP="00E31AE6">
            <w:pPr>
              <w:tabs>
                <w:tab w:val="left" w:pos="1134"/>
                <w:tab w:val="left" w:pos="7938"/>
              </w:tabs>
              <w:ind w:firstLine="346"/>
              <w:jc w:val="both"/>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name="250x"&gt;</w:t>
            </w:r>
          </w:p>
          <w:p w14:paraId="0A8A9C50" w14:textId="77777777" w:rsidR="00295C6D" w:rsidRPr="00A5626D" w:rsidRDefault="00295C6D" w:rsidP="00E31AE6">
            <w:pPr>
              <w:tabs>
                <w:tab w:val="left" w:pos="1134"/>
                <w:tab w:val="left" w:pos="7938"/>
              </w:tabs>
              <w:ind w:firstLine="346"/>
              <w:jc w:val="both"/>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&lt;or</w:t>
            </w:r>
          </w:p>
          <w:p w14:paraId="029B5EA4" w14:textId="77777777" w:rsidR="00295C6D" w:rsidRPr="00A5626D" w:rsidRDefault="00295C6D" w:rsidP="00E31AE6">
            <w:pPr>
              <w:tabs>
                <w:tab w:val="left" w:pos="1134"/>
                <w:tab w:val="left" w:pos="7938"/>
              </w:tabs>
              <w:ind w:firstLine="346"/>
              <w:jc w:val="both"/>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id-delivery-point="4n" </w:t>
            </w:r>
          </w:p>
          <w:p w14:paraId="1D8A6830" w14:textId="77777777" w:rsidR="00295C6D" w:rsidRPr="00A5626D" w:rsidRDefault="00295C6D" w:rsidP="00E31AE6">
            <w:pPr>
              <w:tabs>
                <w:tab w:val="left" w:pos="1134"/>
                <w:tab w:val="left" w:pos="7938"/>
              </w:tabs>
              <w:ind w:firstLine="346"/>
              <w:jc w:val="both"/>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send-receive="send/receive" </w:t>
            </w:r>
          </w:p>
          <w:p w14:paraId="61CBAC2A" w14:textId="77777777" w:rsidR="00295C6D" w:rsidRPr="00A5626D" w:rsidRDefault="00295C6D" w:rsidP="00E31AE6">
            <w:pPr>
              <w:tabs>
                <w:tab w:val="left" w:pos="1134"/>
                <w:tab w:val="left" w:pos="7938"/>
              </w:tabs>
              <w:ind w:firstLine="346"/>
              <w:jc w:val="both"/>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id-aiis="1n" </w:t>
            </w:r>
          </w:p>
          <w:p w14:paraId="5D98B6F9" w14:textId="77777777" w:rsidR="00295C6D" w:rsidRPr="00A5626D" w:rsidRDefault="00295C6D" w:rsidP="00E31AE6">
            <w:pPr>
              <w:tabs>
                <w:tab w:val="left" w:pos="1134"/>
                <w:tab w:val="left" w:pos="7938"/>
              </w:tabs>
              <w:ind w:firstLine="346"/>
              <w:jc w:val="both"/>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id-org="1n" </w:t>
            </w:r>
          </w:p>
          <w:p w14:paraId="46B067FE" w14:textId="77777777" w:rsidR="00295C6D" w:rsidRPr="00A5626D" w:rsidRDefault="00295C6D" w:rsidP="00E31AE6">
            <w:pPr>
              <w:tabs>
                <w:tab w:val="left" w:pos="1134"/>
                <w:tab w:val="left" w:pos="7938"/>
              </w:tabs>
              <w:ind w:firstLine="346"/>
              <w:jc w:val="both"/>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coefficient="2n"/&gt;</w:t>
            </w:r>
          </w:p>
          <w:p w14:paraId="78924693" w14:textId="77777777" w:rsidR="00295C6D" w:rsidRPr="00A5626D" w:rsidRDefault="00295C6D" w:rsidP="00E31AE6">
            <w:pPr>
              <w:tabs>
                <w:tab w:val="left" w:pos="1134"/>
                <w:tab w:val="left" w:pos="7938"/>
              </w:tabs>
              <w:ind w:firstLine="346"/>
              <w:jc w:val="both"/>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&lt;rr</w:t>
            </w:r>
          </w:p>
          <w:p w14:paraId="1EAA644C" w14:textId="77777777" w:rsidR="00295C6D" w:rsidRPr="00A5626D" w:rsidRDefault="00295C6D" w:rsidP="00E31AE6">
            <w:pPr>
              <w:tabs>
                <w:tab w:val="left" w:pos="1134"/>
                <w:tab w:val="left" w:pos="7938"/>
              </w:tabs>
              <w:ind w:firstLine="346"/>
              <w:jc w:val="both"/>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id-delivery-point="4n" </w:t>
            </w:r>
          </w:p>
          <w:p w14:paraId="09D68ADC" w14:textId="77777777" w:rsidR="00295C6D" w:rsidRPr="00A5626D" w:rsidRDefault="00295C6D" w:rsidP="00E31AE6">
            <w:pPr>
              <w:tabs>
                <w:tab w:val="left" w:pos="1134"/>
                <w:tab w:val="left" w:pos="7938"/>
              </w:tabs>
              <w:ind w:firstLine="346"/>
              <w:jc w:val="both"/>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send-receive="send/receive" </w:t>
            </w:r>
          </w:p>
          <w:p w14:paraId="0699C5D5" w14:textId="77777777" w:rsidR="00295C6D" w:rsidRPr="00A5626D" w:rsidRDefault="00295C6D" w:rsidP="00E31AE6">
            <w:pPr>
              <w:tabs>
                <w:tab w:val="left" w:pos="1134"/>
                <w:tab w:val="left" w:pos="7938"/>
              </w:tabs>
              <w:ind w:firstLine="346"/>
              <w:jc w:val="both"/>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id-aiis="1n" </w:t>
            </w:r>
          </w:p>
          <w:p w14:paraId="544740CA" w14:textId="77777777" w:rsidR="00295C6D" w:rsidRPr="00A5626D" w:rsidRDefault="00295C6D" w:rsidP="00E31AE6">
            <w:pPr>
              <w:tabs>
                <w:tab w:val="left" w:pos="1134"/>
                <w:tab w:val="left" w:pos="7938"/>
              </w:tabs>
              <w:ind w:firstLine="346"/>
              <w:jc w:val="both"/>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id-org="1n" </w:t>
            </w:r>
          </w:p>
          <w:p w14:paraId="4C8D5901" w14:textId="77777777" w:rsidR="00295C6D" w:rsidRPr="00A5626D" w:rsidRDefault="00295C6D" w:rsidP="00E31AE6">
            <w:pPr>
              <w:tabs>
                <w:tab w:val="left" w:pos="1134"/>
                <w:tab w:val="left" w:pos="7938"/>
              </w:tabs>
              <w:ind w:firstLine="346"/>
              <w:jc w:val="both"/>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coefficient="2n"/&gt;</w:t>
            </w:r>
          </w:p>
          <w:p w14:paraId="659C4A1C" w14:textId="77777777" w:rsidR="00295C6D" w:rsidRPr="00A5626D" w:rsidRDefault="00295C6D" w:rsidP="00E31AE6">
            <w:pPr>
              <w:tabs>
                <w:tab w:val="left" w:pos="1134"/>
                <w:tab w:val="left" w:pos="7938"/>
              </w:tabs>
              <w:ind w:firstLine="346"/>
              <w:jc w:val="both"/>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&lt;/calcformula-or-rr&gt;</w:t>
            </w:r>
          </w:p>
          <w:p w14:paraId="37D410B4" w14:textId="77777777" w:rsidR="00295C6D" w:rsidRPr="00A5626D" w:rsidRDefault="00295C6D" w:rsidP="00E31AE6">
            <w:pPr>
              <w:tabs>
                <w:tab w:val="left" w:pos="1134"/>
                <w:tab w:val="left" w:pos="7938"/>
              </w:tabs>
              <w:ind w:firstLine="346"/>
              <w:jc w:val="both"/>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&lt;/peretok&gt;</w:t>
            </w:r>
          </w:p>
          <w:p w14:paraId="5D919EE2" w14:textId="77777777" w:rsidR="00295C6D" w:rsidRPr="00A5626D" w:rsidRDefault="00295C6D" w:rsidP="00E31AE6">
            <w:pPr>
              <w:tabs>
                <w:tab w:val="left" w:pos="1134"/>
                <w:tab w:val="left" w:pos="7938"/>
              </w:tabs>
              <w:ind w:firstLine="346"/>
              <w:jc w:val="both"/>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&lt;generation</w:t>
            </w:r>
          </w:p>
          <w:p w14:paraId="3689279B" w14:textId="77777777" w:rsidR="00295C6D" w:rsidRPr="00A5626D" w:rsidRDefault="00295C6D" w:rsidP="00E31AE6">
            <w:pPr>
              <w:tabs>
                <w:tab w:val="left" w:pos="1134"/>
                <w:tab w:val="left" w:pos="7938"/>
              </w:tabs>
              <w:ind w:firstLine="346"/>
              <w:jc w:val="both"/>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id-gtp="1n"&gt;</w:t>
            </w:r>
          </w:p>
          <w:p w14:paraId="46C1478A" w14:textId="77777777" w:rsidR="00295C6D" w:rsidRPr="00A5626D" w:rsidRDefault="00295C6D" w:rsidP="00E31AE6">
            <w:pPr>
              <w:tabs>
                <w:tab w:val="left" w:pos="1134"/>
                <w:tab w:val="left" w:pos="7938"/>
              </w:tabs>
              <w:ind w:firstLine="346"/>
              <w:jc w:val="both"/>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&lt;calcformula-or-rr  </w:t>
            </w:r>
          </w:p>
          <w:p w14:paraId="7FE257FD" w14:textId="77777777" w:rsidR="00295C6D" w:rsidRPr="00A5626D" w:rsidRDefault="00295C6D" w:rsidP="00E31AE6">
            <w:pPr>
              <w:tabs>
                <w:tab w:val="left" w:pos="1134"/>
                <w:tab w:val="left" w:pos="7938"/>
              </w:tabs>
              <w:ind w:firstLine="346"/>
              <w:jc w:val="both"/>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name="250x"&gt;</w:t>
            </w:r>
          </w:p>
          <w:p w14:paraId="29568377" w14:textId="77777777" w:rsidR="00295C6D" w:rsidRPr="00A5626D" w:rsidRDefault="00295C6D" w:rsidP="00E31AE6">
            <w:pPr>
              <w:tabs>
                <w:tab w:val="left" w:pos="1134"/>
                <w:tab w:val="left" w:pos="7938"/>
              </w:tabs>
              <w:ind w:firstLine="346"/>
              <w:jc w:val="both"/>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&lt;or</w:t>
            </w:r>
          </w:p>
          <w:p w14:paraId="76FE3E20" w14:textId="77777777" w:rsidR="00295C6D" w:rsidRPr="00A5626D" w:rsidRDefault="00295C6D" w:rsidP="00E31AE6">
            <w:pPr>
              <w:tabs>
                <w:tab w:val="left" w:pos="1134"/>
                <w:tab w:val="left" w:pos="7938"/>
              </w:tabs>
              <w:ind w:firstLine="346"/>
              <w:jc w:val="both"/>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id-delivery-point="4n" </w:t>
            </w:r>
          </w:p>
          <w:p w14:paraId="12A23FEC" w14:textId="77777777" w:rsidR="00295C6D" w:rsidRPr="00A5626D" w:rsidRDefault="00295C6D" w:rsidP="00E31AE6">
            <w:pPr>
              <w:tabs>
                <w:tab w:val="left" w:pos="1134"/>
                <w:tab w:val="left" w:pos="7938"/>
              </w:tabs>
              <w:ind w:firstLine="346"/>
              <w:jc w:val="both"/>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send-receive="send/receive" </w:t>
            </w:r>
          </w:p>
          <w:p w14:paraId="757B0298" w14:textId="77777777" w:rsidR="00295C6D" w:rsidRPr="00A5626D" w:rsidRDefault="00295C6D" w:rsidP="00E31AE6">
            <w:pPr>
              <w:tabs>
                <w:tab w:val="left" w:pos="1134"/>
                <w:tab w:val="left" w:pos="7938"/>
              </w:tabs>
              <w:ind w:firstLine="346"/>
              <w:jc w:val="both"/>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id-aiis="1n" </w:t>
            </w:r>
          </w:p>
          <w:p w14:paraId="0B1F7476" w14:textId="77777777" w:rsidR="00295C6D" w:rsidRPr="00A5626D" w:rsidRDefault="00295C6D" w:rsidP="00E31AE6">
            <w:pPr>
              <w:tabs>
                <w:tab w:val="left" w:pos="1134"/>
                <w:tab w:val="left" w:pos="7938"/>
              </w:tabs>
              <w:ind w:firstLine="346"/>
              <w:jc w:val="both"/>
              <w:rPr>
                <w:rFonts w:ascii="Garamond" w:eastAsia="Calibri" w:hAnsi="Garamond" w:cstheme="minorHAnsi"/>
                <w:sz w:val="22"/>
                <w:szCs w:val="22"/>
                <w:lang w:val="en-US"/>
              </w:rPr>
            </w:pPr>
            <w:r w:rsidRPr="00A5626D">
              <w:rPr>
                <w:rFonts w:ascii="Garamond" w:eastAsia="Calibri" w:hAnsi="Garamond" w:cstheme="minorHAnsi"/>
                <w:sz w:val="22"/>
                <w:szCs w:val="22"/>
                <w:lang w:val="en-US"/>
              </w:rPr>
              <w:lastRenderedPageBreak/>
              <w:t xml:space="preserve">                        id-org="1n" </w:t>
            </w:r>
          </w:p>
          <w:p w14:paraId="50C3946E" w14:textId="77777777" w:rsidR="00295C6D" w:rsidRPr="00A5626D" w:rsidRDefault="00295C6D" w:rsidP="00E31AE6">
            <w:pPr>
              <w:tabs>
                <w:tab w:val="left" w:pos="1134"/>
                <w:tab w:val="left" w:pos="7938"/>
              </w:tabs>
              <w:ind w:firstLine="346"/>
              <w:jc w:val="both"/>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coefficient="2n"/&gt;</w:t>
            </w:r>
          </w:p>
          <w:p w14:paraId="7A221753" w14:textId="77777777" w:rsidR="00295C6D" w:rsidRPr="00A5626D" w:rsidRDefault="00295C6D" w:rsidP="00E31AE6">
            <w:pPr>
              <w:tabs>
                <w:tab w:val="left" w:pos="1134"/>
                <w:tab w:val="left" w:pos="7938"/>
              </w:tabs>
              <w:ind w:firstLine="346"/>
              <w:jc w:val="both"/>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&lt;rr</w:t>
            </w:r>
          </w:p>
          <w:p w14:paraId="08E5C36A" w14:textId="77777777" w:rsidR="00295C6D" w:rsidRPr="00A5626D" w:rsidRDefault="00295C6D" w:rsidP="00E31AE6">
            <w:pPr>
              <w:tabs>
                <w:tab w:val="left" w:pos="1134"/>
                <w:tab w:val="left" w:pos="7938"/>
              </w:tabs>
              <w:ind w:firstLine="346"/>
              <w:jc w:val="both"/>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id-delivery-point="4n" </w:t>
            </w:r>
          </w:p>
          <w:p w14:paraId="71868183" w14:textId="77777777" w:rsidR="00295C6D" w:rsidRPr="00A5626D" w:rsidRDefault="00295C6D" w:rsidP="00E31AE6">
            <w:pPr>
              <w:tabs>
                <w:tab w:val="left" w:pos="1134"/>
                <w:tab w:val="left" w:pos="7938"/>
              </w:tabs>
              <w:ind w:firstLine="346"/>
              <w:jc w:val="both"/>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send-receive="send/receive" </w:t>
            </w:r>
          </w:p>
          <w:p w14:paraId="50236DC8" w14:textId="77777777" w:rsidR="00295C6D" w:rsidRPr="00A5626D" w:rsidRDefault="00295C6D" w:rsidP="00E31AE6">
            <w:pPr>
              <w:tabs>
                <w:tab w:val="left" w:pos="1134"/>
                <w:tab w:val="left" w:pos="7938"/>
              </w:tabs>
              <w:ind w:firstLine="346"/>
              <w:jc w:val="both"/>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id-aiis="1n" </w:t>
            </w:r>
          </w:p>
          <w:p w14:paraId="7A3780C6" w14:textId="77777777" w:rsidR="00295C6D" w:rsidRPr="00A5626D" w:rsidRDefault="00295C6D" w:rsidP="00E31AE6">
            <w:pPr>
              <w:tabs>
                <w:tab w:val="left" w:pos="1134"/>
                <w:tab w:val="left" w:pos="7938"/>
              </w:tabs>
              <w:ind w:firstLine="346"/>
              <w:jc w:val="both"/>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id-org="1n" </w:t>
            </w:r>
          </w:p>
          <w:p w14:paraId="3E541415" w14:textId="77777777" w:rsidR="00295C6D" w:rsidRPr="00A5626D" w:rsidRDefault="00295C6D" w:rsidP="00E31AE6">
            <w:pPr>
              <w:tabs>
                <w:tab w:val="left" w:pos="1134"/>
                <w:tab w:val="left" w:pos="7938"/>
              </w:tabs>
              <w:ind w:firstLine="346"/>
              <w:jc w:val="both"/>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coefficient="2n"/&gt;</w:t>
            </w:r>
          </w:p>
          <w:p w14:paraId="3A932FB0" w14:textId="77777777" w:rsidR="00295C6D" w:rsidRPr="00A5626D" w:rsidRDefault="00295C6D" w:rsidP="00E31AE6">
            <w:pPr>
              <w:tabs>
                <w:tab w:val="left" w:pos="1134"/>
                <w:tab w:val="left" w:pos="7938"/>
              </w:tabs>
              <w:ind w:firstLine="346"/>
              <w:jc w:val="both"/>
              <w:rPr>
                <w:rFonts w:ascii="Garamond" w:hAnsi="Garamond" w:cstheme="minorHAnsi"/>
                <w:sz w:val="22"/>
                <w:szCs w:val="22"/>
                <w:lang w:val="en-US"/>
              </w:rPr>
            </w:pPr>
            <w:r w:rsidRPr="00A5626D">
              <w:rPr>
                <w:rFonts w:ascii="Garamond" w:eastAsia="Calibri" w:hAnsi="Garamond" w:cstheme="minorHAnsi"/>
                <w:sz w:val="22"/>
                <w:szCs w:val="22"/>
                <w:lang w:val="en-US"/>
              </w:rPr>
              <w:t xml:space="preserve">                &lt;/calcformula-or-rr&gt;</w:t>
            </w:r>
          </w:p>
          <w:p w14:paraId="3B994669" w14:textId="77777777" w:rsidR="00295C6D" w:rsidRPr="00A5626D" w:rsidRDefault="00295C6D" w:rsidP="00E31AE6">
            <w:pPr>
              <w:tabs>
                <w:tab w:val="left" w:pos="1134"/>
                <w:tab w:val="left" w:pos="7938"/>
              </w:tabs>
              <w:ind w:firstLine="346"/>
              <w:jc w:val="both"/>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&lt;/generation&gt;</w:t>
            </w:r>
          </w:p>
          <w:p w14:paraId="022EEAF6" w14:textId="77777777" w:rsidR="00295C6D" w:rsidRPr="00A5626D" w:rsidRDefault="00295C6D" w:rsidP="00E31AE6">
            <w:pPr>
              <w:tabs>
                <w:tab w:val="left" w:pos="1134"/>
                <w:tab w:val="left" w:pos="7938"/>
              </w:tabs>
              <w:ind w:firstLine="1002"/>
              <w:jc w:val="both"/>
              <w:rPr>
                <w:rFonts w:ascii="Garamond" w:eastAsia="Calibri" w:hAnsi="Garamond" w:cstheme="minorHAnsi"/>
                <w:sz w:val="22"/>
                <w:szCs w:val="22"/>
                <w:lang w:val="en-US"/>
              </w:rPr>
            </w:pPr>
            <w:r w:rsidRPr="00A5626D">
              <w:rPr>
                <w:rFonts w:ascii="Garamond" w:eastAsia="Calibri" w:hAnsi="Garamond" w:cstheme="minorHAnsi"/>
                <w:sz w:val="22"/>
                <w:szCs w:val="22"/>
                <w:highlight w:val="yellow"/>
                <w:lang w:val="en-US"/>
              </w:rPr>
              <w:t>&lt;regulation-object</w:t>
            </w:r>
          </w:p>
          <w:p w14:paraId="5CF8976A" w14:textId="77777777" w:rsidR="00295C6D" w:rsidRPr="00A5626D" w:rsidRDefault="00295C6D" w:rsidP="00E31AE6">
            <w:pPr>
              <w:tabs>
                <w:tab w:val="left" w:pos="1134"/>
                <w:tab w:val="left" w:pos="7938"/>
              </w:tabs>
              <w:ind w:firstLine="1002"/>
              <w:jc w:val="both"/>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w:t>
            </w:r>
            <w:r w:rsidRPr="00A5626D">
              <w:rPr>
                <w:rFonts w:ascii="Garamond" w:eastAsia="Calibri" w:hAnsi="Garamond" w:cstheme="minorHAnsi"/>
                <w:sz w:val="22"/>
                <w:szCs w:val="22"/>
                <w:highlight w:val="yellow"/>
                <w:lang w:val="en-US"/>
              </w:rPr>
              <w:t>id-gtp="1n"&gt;</w:t>
            </w:r>
          </w:p>
          <w:p w14:paraId="47D59241" w14:textId="77777777" w:rsidR="00295C6D" w:rsidRPr="00A5626D" w:rsidRDefault="00295C6D" w:rsidP="00E31AE6">
            <w:pPr>
              <w:tabs>
                <w:tab w:val="left" w:pos="1134"/>
                <w:tab w:val="left" w:pos="7938"/>
              </w:tabs>
              <w:ind w:firstLine="1002"/>
              <w:jc w:val="both"/>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w:t>
            </w:r>
            <w:r w:rsidRPr="00A5626D">
              <w:rPr>
                <w:rFonts w:ascii="Garamond" w:eastAsia="Calibri" w:hAnsi="Garamond" w:cstheme="minorHAnsi"/>
                <w:sz w:val="22"/>
                <w:szCs w:val="22"/>
                <w:highlight w:val="yellow"/>
                <w:lang w:val="en-US"/>
              </w:rPr>
              <w:t>&lt;calcformula-or-rr</w:t>
            </w:r>
            <w:r w:rsidRPr="00A5626D">
              <w:rPr>
                <w:rFonts w:ascii="Garamond" w:eastAsia="Calibri" w:hAnsi="Garamond" w:cstheme="minorHAnsi"/>
                <w:sz w:val="22"/>
                <w:szCs w:val="22"/>
                <w:lang w:val="en-US"/>
              </w:rPr>
              <w:t xml:space="preserve">  </w:t>
            </w:r>
          </w:p>
          <w:p w14:paraId="6758A2CD" w14:textId="77777777" w:rsidR="00295C6D" w:rsidRPr="00A5626D" w:rsidRDefault="00295C6D" w:rsidP="00E31AE6">
            <w:pPr>
              <w:tabs>
                <w:tab w:val="left" w:pos="1134"/>
                <w:tab w:val="left" w:pos="7938"/>
              </w:tabs>
              <w:ind w:firstLine="1002"/>
              <w:jc w:val="both"/>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w:t>
            </w:r>
            <w:r w:rsidRPr="00A5626D">
              <w:rPr>
                <w:rFonts w:ascii="Garamond" w:eastAsia="Calibri" w:hAnsi="Garamond" w:cstheme="minorHAnsi"/>
                <w:sz w:val="22"/>
                <w:szCs w:val="22"/>
                <w:highlight w:val="yellow"/>
                <w:lang w:val="en-US"/>
              </w:rPr>
              <w:t>name="250x"&gt;</w:t>
            </w:r>
          </w:p>
          <w:p w14:paraId="4E6A6E7C" w14:textId="77777777" w:rsidR="00295C6D" w:rsidRPr="00A5626D" w:rsidRDefault="00295C6D" w:rsidP="00E31AE6">
            <w:pPr>
              <w:tabs>
                <w:tab w:val="left" w:pos="1134"/>
                <w:tab w:val="left" w:pos="7938"/>
              </w:tabs>
              <w:ind w:firstLine="1002"/>
              <w:jc w:val="both"/>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w:t>
            </w:r>
            <w:r w:rsidRPr="00A5626D">
              <w:rPr>
                <w:rFonts w:ascii="Garamond" w:eastAsia="Calibri" w:hAnsi="Garamond" w:cstheme="minorHAnsi"/>
                <w:sz w:val="22"/>
                <w:szCs w:val="22"/>
                <w:highlight w:val="yellow"/>
                <w:lang w:val="en-US"/>
              </w:rPr>
              <w:t>&lt;or</w:t>
            </w:r>
          </w:p>
          <w:p w14:paraId="641D66FB" w14:textId="77777777" w:rsidR="00295C6D" w:rsidRPr="00A5626D" w:rsidRDefault="00295C6D" w:rsidP="00E31AE6">
            <w:pPr>
              <w:tabs>
                <w:tab w:val="left" w:pos="1134"/>
                <w:tab w:val="left" w:pos="7938"/>
              </w:tabs>
              <w:ind w:firstLine="1002"/>
              <w:jc w:val="both"/>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w:t>
            </w:r>
            <w:r w:rsidRPr="00A5626D">
              <w:rPr>
                <w:rFonts w:ascii="Garamond" w:eastAsia="Calibri" w:hAnsi="Garamond" w:cstheme="minorHAnsi"/>
                <w:sz w:val="22"/>
                <w:szCs w:val="22"/>
                <w:highlight w:val="yellow"/>
                <w:lang w:val="en-US"/>
              </w:rPr>
              <w:t>id-delivery-point="4n"</w:t>
            </w:r>
            <w:r w:rsidRPr="00A5626D">
              <w:rPr>
                <w:rFonts w:ascii="Garamond" w:eastAsia="Calibri" w:hAnsi="Garamond" w:cstheme="minorHAnsi"/>
                <w:sz w:val="22"/>
                <w:szCs w:val="22"/>
                <w:lang w:val="en-US"/>
              </w:rPr>
              <w:t xml:space="preserve"> </w:t>
            </w:r>
          </w:p>
          <w:p w14:paraId="5704A684" w14:textId="77777777" w:rsidR="00295C6D" w:rsidRPr="00A5626D" w:rsidRDefault="00295C6D" w:rsidP="00E31AE6">
            <w:pPr>
              <w:tabs>
                <w:tab w:val="left" w:pos="1134"/>
                <w:tab w:val="left" w:pos="7938"/>
              </w:tabs>
              <w:ind w:firstLine="1002"/>
              <w:jc w:val="both"/>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w:t>
            </w:r>
            <w:r w:rsidRPr="00A5626D">
              <w:rPr>
                <w:rFonts w:ascii="Garamond" w:eastAsia="Calibri" w:hAnsi="Garamond" w:cstheme="minorHAnsi"/>
                <w:sz w:val="22"/>
                <w:szCs w:val="22"/>
                <w:highlight w:val="yellow"/>
                <w:lang w:val="en-US"/>
              </w:rPr>
              <w:t>send-receive="send/receive"</w:t>
            </w:r>
            <w:r w:rsidRPr="00A5626D">
              <w:rPr>
                <w:rFonts w:ascii="Garamond" w:eastAsia="Calibri" w:hAnsi="Garamond" w:cstheme="minorHAnsi"/>
                <w:sz w:val="22"/>
                <w:szCs w:val="22"/>
                <w:lang w:val="en-US"/>
              </w:rPr>
              <w:t xml:space="preserve"> </w:t>
            </w:r>
          </w:p>
          <w:p w14:paraId="6874EF0A" w14:textId="77777777" w:rsidR="00295C6D" w:rsidRPr="00A5626D" w:rsidRDefault="00295C6D" w:rsidP="00E31AE6">
            <w:pPr>
              <w:tabs>
                <w:tab w:val="left" w:pos="1134"/>
                <w:tab w:val="left" w:pos="7938"/>
              </w:tabs>
              <w:ind w:firstLine="1002"/>
              <w:jc w:val="both"/>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w:t>
            </w:r>
            <w:r w:rsidRPr="00A5626D">
              <w:rPr>
                <w:rFonts w:ascii="Garamond" w:eastAsia="Calibri" w:hAnsi="Garamond" w:cstheme="minorHAnsi"/>
                <w:sz w:val="22"/>
                <w:szCs w:val="22"/>
                <w:highlight w:val="yellow"/>
                <w:lang w:val="en-US"/>
              </w:rPr>
              <w:t>id-aiis="1n"</w:t>
            </w:r>
            <w:r w:rsidRPr="00A5626D">
              <w:rPr>
                <w:rFonts w:ascii="Garamond" w:eastAsia="Calibri" w:hAnsi="Garamond" w:cstheme="minorHAnsi"/>
                <w:sz w:val="22"/>
                <w:szCs w:val="22"/>
                <w:lang w:val="en-US"/>
              </w:rPr>
              <w:t xml:space="preserve"> </w:t>
            </w:r>
          </w:p>
          <w:p w14:paraId="690351B6" w14:textId="77777777" w:rsidR="00295C6D" w:rsidRPr="00A5626D" w:rsidRDefault="00295C6D" w:rsidP="00E31AE6">
            <w:pPr>
              <w:tabs>
                <w:tab w:val="left" w:pos="1134"/>
                <w:tab w:val="left" w:pos="7938"/>
              </w:tabs>
              <w:ind w:firstLine="1002"/>
              <w:jc w:val="both"/>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w:t>
            </w:r>
            <w:r w:rsidRPr="00A5626D">
              <w:rPr>
                <w:rFonts w:ascii="Garamond" w:eastAsia="Calibri" w:hAnsi="Garamond" w:cstheme="minorHAnsi"/>
                <w:sz w:val="22"/>
                <w:szCs w:val="22"/>
                <w:highlight w:val="yellow"/>
                <w:lang w:val="en-US"/>
              </w:rPr>
              <w:t>id-org="1n"</w:t>
            </w:r>
            <w:r w:rsidRPr="00A5626D">
              <w:rPr>
                <w:rFonts w:ascii="Garamond" w:eastAsia="Calibri" w:hAnsi="Garamond" w:cstheme="minorHAnsi"/>
                <w:sz w:val="22"/>
                <w:szCs w:val="22"/>
                <w:lang w:val="en-US"/>
              </w:rPr>
              <w:t xml:space="preserve"> </w:t>
            </w:r>
          </w:p>
          <w:p w14:paraId="3F628F5B" w14:textId="77777777" w:rsidR="00295C6D" w:rsidRPr="00A5626D" w:rsidRDefault="00295C6D" w:rsidP="00E31AE6">
            <w:pPr>
              <w:tabs>
                <w:tab w:val="left" w:pos="1134"/>
                <w:tab w:val="left" w:pos="7938"/>
              </w:tabs>
              <w:ind w:firstLine="1002"/>
              <w:jc w:val="both"/>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w:t>
            </w:r>
            <w:r w:rsidRPr="00A5626D">
              <w:rPr>
                <w:rFonts w:ascii="Garamond" w:eastAsia="Calibri" w:hAnsi="Garamond" w:cstheme="minorHAnsi"/>
                <w:sz w:val="22"/>
                <w:szCs w:val="22"/>
                <w:highlight w:val="yellow"/>
                <w:lang w:val="en-US"/>
              </w:rPr>
              <w:t>coefficient="2n"/&gt;</w:t>
            </w:r>
          </w:p>
          <w:p w14:paraId="4322608A" w14:textId="77777777" w:rsidR="00295C6D" w:rsidRPr="00A5626D" w:rsidRDefault="00295C6D" w:rsidP="00E31AE6">
            <w:pPr>
              <w:tabs>
                <w:tab w:val="left" w:pos="1134"/>
                <w:tab w:val="left" w:pos="7938"/>
              </w:tabs>
              <w:ind w:firstLine="1002"/>
              <w:jc w:val="both"/>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w:t>
            </w:r>
            <w:r w:rsidRPr="00A5626D">
              <w:rPr>
                <w:rFonts w:ascii="Garamond" w:eastAsia="Calibri" w:hAnsi="Garamond" w:cstheme="minorHAnsi"/>
                <w:sz w:val="22"/>
                <w:szCs w:val="22"/>
                <w:highlight w:val="yellow"/>
                <w:lang w:val="en-US"/>
              </w:rPr>
              <w:t>&lt;/calcformula-or-rr&gt;</w:t>
            </w:r>
          </w:p>
          <w:p w14:paraId="18DE56BE" w14:textId="77777777" w:rsidR="00295C6D" w:rsidRPr="00A5626D" w:rsidRDefault="00295C6D" w:rsidP="00E31AE6">
            <w:pPr>
              <w:tabs>
                <w:tab w:val="left" w:pos="1134"/>
                <w:tab w:val="left" w:pos="7938"/>
              </w:tabs>
              <w:ind w:firstLine="1002"/>
              <w:jc w:val="both"/>
              <w:rPr>
                <w:rFonts w:ascii="Garamond" w:eastAsia="Calibri" w:hAnsi="Garamond" w:cstheme="minorHAnsi"/>
                <w:sz w:val="22"/>
                <w:szCs w:val="22"/>
                <w:lang w:val="en-US"/>
              </w:rPr>
            </w:pPr>
            <w:r w:rsidRPr="00A5626D">
              <w:rPr>
                <w:rFonts w:ascii="Garamond" w:eastAsia="Calibri" w:hAnsi="Garamond" w:cstheme="minorHAnsi"/>
                <w:sz w:val="22"/>
                <w:szCs w:val="22"/>
                <w:highlight w:val="yellow"/>
                <w:lang w:val="en-US"/>
              </w:rPr>
              <w:t>&lt;/regulation-object&gt;</w:t>
            </w:r>
          </w:p>
          <w:p w14:paraId="24B26AE0" w14:textId="77777777" w:rsidR="00295C6D" w:rsidRPr="00A5626D" w:rsidRDefault="00295C6D" w:rsidP="00E31AE6">
            <w:pPr>
              <w:tabs>
                <w:tab w:val="left" w:pos="1134"/>
                <w:tab w:val="left" w:pos="7938"/>
              </w:tabs>
              <w:ind w:firstLine="346"/>
              <w:jc w:val="both"/>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&lt;/algorithm&gt;</w:t>
            </w:r>
          </w:p>
          <w:p w14:paraId="6BBAE186" w14:textId="77777777" w:rsidR="00295C6D" w:rsidRPr="00A5626D" w:rsidRDefault="00295C6D" w:rsidP="00E31AE6">
            <w:pPr>
              <w:tabs>
                <w:tab w:val="left" w:pos="1134"/>
                <w:tab w:val="left" w:pos="7938"/>
              </w:tabs>
              <w:ind w:firstLine="346"/>
              <w:jc w:val="both"/>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&lt;psi </w:t>
            </w:r>
          </w:p>
          <w:p w14:paraId="7B6ABCD3" w14:textId="77777777" w:rsidR="00295C6D" w:rsidRPr="00A5626D" w:rsidRDefault="00295C6D" w:rsidP="00E31AE6">
            <w:pPr>
              <w:tabs>
                <w:tab w:val="left" w:pos="1134"/>
                <w:tab w:val="left" w:pos="7938"/>
              </w:tabs>
              <w:ind w:firstLine="346"/>
              <w:jc w:val="both"/>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calc-side="1/2/3"&gt;</w:t>
            </w:r>
          </w:p>
          <w:p w14:paraId="48DAE143" w14:textId="77777777" w:rsidR="00295C6D" w:rsidRPr="00A5626D" w:rsidRDefault="00295C6D" w:rsidP="00E31AE6">
            <w:pPr>
              <w:tabs>
                <w:tab w:val="left" w:pos="1134"/>
                <w:tab w:val="left" w:pos="7938"/>
              </w:tabs>
              <w:ind w:firstLine="346"/>
              <w:jc w:val="both"/>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&lt;delivery-point-measuring-device-link</w:t>
            </w:r>
          </w:p>
          <w:p w14:paraId="1000B5DD" w14:textId="77777777" w:rsidR="00295C6D" w:rsidRPr="00A5626D" w:rsidRDefault="00295C6D" w:rsidP="00E31AE6">
            <w:pPr>
              <w:tabs>
                <w:tab w:val="left" w:pos="1134"/>
                <w:tab w:val="left" w:pos="7938"/>
              </w:tabs>
              <w:ind w:firstLine="346"/>
              <w:jc w:val="both"/>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id-delivery-point="4n" </w:t>
            </w:r>
          </w:p>
          <w:p w14:paraId="064D8FB1" w14:textId="77777777" w:rsidR="00295C6D" w:rsidRPr="00A5626D" w:rsidRDefault="00295C6D" w:rsidP="00E31AE6">
            <w:pPr>
              <w:tabs>
                <w:tab w:val="left" w:pos="1134"/>
                <w:tab w:val="left" w:pos="7938"/>
              </w:tabs>
              <w:ind w:firstLine="346"/>
              <w:jc w:val="both"/>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id-measuring-device="4n" </w:t>
            </w:r>
          </w:p>
          <w:p w14:paraId="688E39D0" w14:textId="77777777" w:rsidR="00295C6D" w:rsidRPr="00A5626D" w:rsidRDefault="00295C6D" w:rsidP="00E31AE6">
            <w:pPr>
              <w:tabs>
                <w:tab w:val="left" w:pos="1134"/>
                <w:tab w:val="left" w:pos="7938"/>
              </w:tabs>
              <w:ind w:firstLine="346"/>
              <w:jc w:val="both"/>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direction=" send/receive/send-receive"</w:t>
            </w:r>
          </w:p>
          <w:p w14:paraId="334CC977" w14:textId="77777777" w:rsidR="00295C6D" w:rsidRPr="00A5626D" w:rsidRDefault="00295C6D" w:rsidP="00E31AE6">
            <w:pPr>
              <w:tabs>
                <w:tab w:val="left" w:pos="1134"/>
                <w:tab w:val="left" w:pos="7938"/>
              </w:tabs>
              <w:ind w:firstLine="346"/>
              <w:jc w:val="both"/>
              <w:rPr>
                <w:rFonts w:ascii="Garamond" w:hAnsi="Garamond" w:cstheme="minorHAnsi"/>
                <w:sz w:val="22"/>
                <w:szCs w:val="22"/>
                <w:lang w:val="en-US"/>
              </w:rPr>
            </w:pPr>
            <w:r w:rsidRPr="00A5626D">
              <w:rPr>
                <w:rFonts w:ascii="Garamond" w:hAnsi="Garamond" w:cstheme="minorHAnsi"/>
                <w:sz w:val="22"/>
                <w:szCs w:val="22"/>
                <w:lang w:val="en-US"/>
              </w:rPr>
              <w:tab/>
              <w:t xml:space="preserve">    is-inverse-connection=</w:t>
            </w:r>
            <w:r w:rsidRPr="00A5626D">
              <w:rPr>
                <w:rFonts w:ascii="Garamond" w:eastAsia="Calibri" w:hAnsi="Garamond" w:cstheme="minorHAnsi"/>
                <w:sz w:val="22"/>
                <w:szCs w:val="22"/>
                <w:lang w:val="en-US"/>
              </w:rPr>
              <w:t>"true/false"</w:t>
            </w:r>
          </w:p>
          <w:p w14:paraId="23D99919" w14:textId="77777777" w:rsidR="00295C6D" w:rsidRPr="00A5626D" w:rsidRDefault="00295C6D" w:rsidP="00E31AE6">
            <w:pPr>
              <w:tabs>
                <w:tab w:val="left" w:pos="1134"/>
                <w:tab w:val="left" w:pos="7938"/>
              </w:tabs>
              <w:ind w:firstLine="346"/>
              <w:jc w:val="both"/>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oip-rip-so="oip/rip/so"&gt;</w:t>
            </w:r>
          </w:p>
          <w:p w14:paraId="6DD316C4" w14:textId="77777777" w:rsidR="00295C6D" w:rsidRPr="00A5626D" w:rsidRDefault="00295C6D" w:rsidP="00E31AE6">
            <w:pPr>
              <w:tabs>
                <w:tab w:val="left" w:pos="1134"/>
                <w:tab w:val="left" w:pos="7938"/>
              </w:tabs>
              <w:ind w:firstLine="346"/>
              <w:jc w:val="both"/>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&lt;comment&gt;</w:t>
            </w:r>
          </w:p>
          <w:p w14:paraId="561D505E" w14:textId="77777777" w:rsidR="00295C6D" w:rsidRPr="00A5626D" w:rsidRDefault="00295C6D" w:rsidP="00E31AE6">
            <w:pPr>
              <w:tabs>
                <w:tab w:val="left" w:pos="1134"/>
                <w:tab w:val="left" w:pos="7938"/>
              </w:tabs>
              <w:ind w:firstLine="346"/>
              <w:jc w:val="both"/>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&lt;![CDATA[…]]&gt;</w:t>
            </w:r>
          </w:p>
          <w:p w14:paraId="3DA10708" w14:textId="77777777" w:rsidR="00295C6D" w:rsidRPr="00A5626D" w:rsidRDefault="00295C6D" w:rsidP="00E31AE6">
            <w:pPr>
              <w:tabs>
                <w:tab w:val="left" w:pos="1134"/>
                <w:tab w:val="left" w:pos="7938"/>
              </w:tabs>
              <w:ind w:firstLine="346"/>
              <w:jc w:val="both"/>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&lt;/comment&gt;</w:t>
            </w:r>
          </w:p>
          <w:p w14:paraId="6597926C" w14:textId="77777777" w:rsidR="00295C6D" w:rsidRPr="00A5626D" w:rsidRDefault="00295C6D" w:rsidP="00E31AE6">
            <w:pPr>
              <w:tabs>
                <w:tab w:val="left" w:pos="1134"/>
                <w:tab w:val="left" w:pos="7938"/>
              </w:tabs>
              <w:ind w:left="567" w:firstLine="346"/>
              <w:jc w:val="both"/>
              <w:rPr>
                <w:rFonts w:ascii="Garamond" w:eastAsia="Calibri" w:hAnsi="Garamond" w:cstheme="minorHAnsi"/>
                <w:sz w:val="22"/>
                <w:szCs w:val="22"/>
                <w:lang w:val="en-US"/>
              </w:rPr>
            </w:pPr>
            <w:r w:rsidRPr="00A5626D">
              <w:rPr>
                <w:rFonts w:ascii="Garamond" w:eastAsia="Calibri" w:hAnsi="Garamond" w:cstheme="minorHAnsi"/>
                <w:sz w:val="22"/>
                <w:szCs w:val="22"/>
                <w:lang w:val="en-US"/>
              </w:rPr>
              <w:t>&lt;so-comment&gt;</w:t>
            </w:r>
          </w:p>
          <w:p w14:paraId="02D9353F" w14:textId="77777777" w:rsidR="00295C6D" w:rsidRPr="00A5626D" w:rsidRDefault="00295C6D" w:rsidP="00E31AE6">
            <w:pPr>
              <w:tabs>
                <w:tab w:val="left" w:pos="1134"/>
                <w:tab w:val="left" w:pos="7938"/>
              </w:tabs>
              <w:ind w:firstLine="346"/>
              <w:jc w:val="both"/>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&lt;![CDATA[…]]&gt;</w:t>
            </w:r>
          </w:p>
          <w:p w14:paraId="61DC569A" w14:textId="77777777" w:rsidR="00295C6D" w:rsidRPr="00A5626D" w:rsidRDefault="00295C6D" w:rsidP="00E31AE6">
            <w:pPr>
              <w:tabs>
                <w:tab w:val="left" w:pos="1134"/>
                <w:tab w:val="left" w:pos="7938"/>
              </w:tabs>
              <w:ind w:firstLine="346"/>
              <w:jc w:val="both"/>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&lt;/so-comment&gt;</w:t>
            </w:r>
          </w:p>
          <w:p w14:paraId="5CF32BEF" w14:textId="77777777" w:rsidR="00295C6D" w:rsidRPr="00A5626D" w:rsidRDefault="00295C6D" w:rsidP="00E31AE6">
            <w:pPr>
              <w:tabs>
                <w:tab w:val="left" w:pos="1134"/>
                <w:tab w:val="left" w:pos="7938"/>
              </w:tabs>
              <w:ind w:firstLine="346"/>
              <w:jc w:val="both"/>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&lt;/psi&gt;</w:t>
            </w:r>
          </w:p>
          <w:p w14:paraId="77E9666F" w14:textId="77777777" w:rsidR="00295C6D" w:rsidRPr="00A5626D" w:rsidRDefault="00295C6D" w:rsidP="00E31AE6">
            <w:pPr>
              <w:pStyle w:val="2"/>
              <w:numPr>
                <w:ilvl w:val="0"/>
                <w:numId w:val="0"/>
              </w:numPr>
              <w:tabs>
                <w:tab w:val="left" w:pos="1134"/>
                <w:tab w:val="left" w:pos="7938"/>
              </w:tabs>
              <w:suppressAutoHyphens w:val="0"/>
              <w:spacing w:line="22" w:lineRule="atLeast"/>
              <w:jc w:val="both"/>
              <w:rPr>
                <w:rFonts w:ascii="Garamond" w:hAnsi="Garamond" w:cstheme="minorHAnsi"/>
                <w:b w:val="0"/>
              </w:rPr>
            </w:pPr>
            <w:r w:rsidRPr="00A5626D">
              <w:rPr>
                <w:rFonts w:ascii="Garamond" w:hAnsi="Garamond"/>
                <w:lang w:val="en-US"/>
              </w:rPr>
              <w:lastRenderedPageBreak/>
              <w:t>…</w:t>
            </w:r>
            <w:r w:rsidRPr="00A5626D" w:rsidDel="00B42E4D">
              <w:rPr>
                <w:rFonts w:ascii="Garamond" w:eastAsia="Calibri" w:hAnsi="Garamond" w:cstheme="minorHAnsi"/>
                <w:lang w:val="en-US"/>
              </w:rPr>
              <w:t xml:space="preserve"> </w:t>
            </w:r>
          </w:p>
        </w:tc>
      </w:tr>
      <w:tr w:rsidR="00295C6D" w:rsidRPr="00A5626D" w14:paraId="26DD3779" w14:textId="77777777" w:rsidTr="00647FA0">
        <w:tc>
          <w:tcPr>
            <w:tcW w:w="1060" w:type="dxa"/>
            <w:vAlign w:val="center"/>
          </w:tcPr>
          <w:p w14:paraId="68D6BB83" w14:textId="228B96A0" w:rsidR="00295C6D" w:rsidRPr="00A5626D" w:rsidRDefault="00295C6D" w:rsidP="00E31AE6">
            <w:pPr>
              <w:widowControl w:val="0"/>
              <w:tabs>
                <w:tab w:val="left" w:pos="1134"/>
                <w:tab w:val="left" w:pos="7938"/>
              </w:tabs>
              <w:spacing w:line="22" w:lineRule="atLeast"/>
              <w:jc w:val="both"/>
              <w:rPr>
                <w:rFonts w:ascii="Garamond" w:hAnsi="Garamond"/>
                <w:b/>
                <w:sz w:val="22"/>
                <w:szCs w:val="22"/>
                <w:lang w:eastAsia="en-US"/>
              </w:rPr>
            </w:pPr>
            <w:r w:rsidRPr="00A5626D">
              <w:rPr>
                <w:rFonts w:ascii="Garamond" w:hAnsi="Garamond"/>
                <w:b/>
                <w:sz w:val="22"/>
                <w:szCs w:val="22"/>
                <w:lang w:eastAsia="en-US"/>
              </w:rPr>
              <w:lastRenderedPageBreak/>
              <w:t>Приложение 5, п.</w:t>
            </w:r>
            <w:r w:rsidR="00647FA0" w:rsidRPr="00A5626D">
              <w:rPr>
                <w:rFonts w:ascii="Garamond" w:hAnsi="Garamond"/>
                <w:b/>
                <w:sz w:val="22"/>
                <w:szCs w:val="22"/>
                <w:lang w:eastAsia="en-US"/>
              </w:rPr>
              <w:t> </w:t>
            </w:r>
            <w:r w:rsidRPr="00A5626D">
              <w:rPr>
                <w:rFonts w:ascii="Garamond" w:hAnsi="Garamond"/>
                <w:b/>
                <w:sz w:val="22"/>
                <w:szCs w:val="22"/>
                <w:lang w:eastAsia="en-US"/>
              </w:rPr>
              <w:t xml:space="preserve">4.3  </w:t>
            </w:r>
          </w:p>
        </w:tc>
        <w:tc>
          <w:tcPr>
            <w:tcW w:w="6662" w:type="dxa"/>
          </w:tcPr>
          <w:p w14:paraId="10E48987" w14:textId="77777777" w:rsidR="00295C6D" w:rsidRPr="00A5626D" w:rsidRDefault="00295C6D" w:rsidP="00E31AE6">
            <w:pPr>
              <w:tabs>
                <w:tab w:val="left" w:pos="1134"/>
                <w:tab w:val="left" w:pos="7938"/>
              </w:tabs>
              <w:spacing w:before="120" w:after="120"/>
              <w:ind w:left="39" w:firstLine="425"/>
              <w:jc w:val="both"/>
              <w:rPr>
                <w:rFonts w:ascii="Garamond" w:hAnsi="Garamond" w:cstheme="minorHAnsi"/>
                <w:sz w:val="22"/>
                <w:szCs w:val="22"/>
              </w:rPr>
            </w:pPr>
            <w:r w:rsidRPr="00A5626D">
              <w:rPr>
                <w:rFonts w:ascii="Garamond" w:hAnsi="Garamond"/>
                <w:b/>
                <w:sz w:val="22"/>
                <w:szCs w:val="22"/>
                <w:lang w:eastAsia="en-US"/>
              </w:rPr>
              <w:t>Описание макета 60002</w:t>
            </w:r>
          </w:p>
          <w:p w14:paraId="2A7CB9F7" w14:textId="77777777" w:rsidR="00295C6D" w:rsidRPr="00A5626D" w:rsidRDefault="00295C6D" w:rsidP="00E31AE6">
            <w:pPr>
              <w:tabs>
                <w:tab w:val="left" w:pos="1134"/>
                <w:tab w:val="left" w:pos="7938"/>
              </w:tabs>
              <w:spacing w:before="120" w:after="120"/>
              <w:ind w:left="39" w:firstLine="425"/>
              <w:jc w:val="both"/>
              <w:rPr>
                <w:rFonts w:ascii="Garamond" w:hAnsi="Garamond" w:cstheme="minorHAnsi"/>
                <w:sz w:val="22"/>
                <w:szCs w:val="22"/>
                <w:lang w:bidi="en-US"/>
              </w:rPr>
            </w:pPr>
            <w:r w:rsidRPr="00A5626D">
              <w:rPr>
                <w:rFonts w:ascii="Garamond" w:hAnsi="Garamond" w:cstheme="minorHAnsi"/>
                <w:sz w:val="22"/>
                <w:szCs w:val="22"/>
              </w:rPr>
              <w:t xml:space="preserve">Формат документа используется для направления участнику приложения к ПСИ с учетом результатов кодирования. Формируется КО на основании полученного ПСИ в формате 60000 и заполняется с учетом требований настоящего приложения и требований </w:t>
            </w:r>
            <w:r w:rsidRPr="00A5626D">
              <w:rPr>
                <w:rFonts w:ascii="Garamond" w:hAnsi="Garamond" w:cstheme="minorHAnsi"/>
                <w:i/>
                <w:sz w:val="22"/>
                <w:szCs w:val="22"/>
              </w:rPr>
              <w:t>Положения о порядке получения статуса субъекта оптового рынка и ведения реестра субъектов оптового рынка</w:t>
            </w:r>
            <w:r w:rsidRPr="00A5626D">
              <w:rPr>
                <w:rFonts w:ascii="Garamond" w:hAnsi="Garamond" w:cstheme="minorHAnsi"/>
                <w:sz w:val="22"/>
                <w:szCs w:val="22"/>
              </w:rPr>
              <w:t xml:space="preserve"> (Приложение № 1.1 к </w:t>
            </w:r>
            <w:r w:rsidRPr="00A5626D">
              <w:rPr>
                <w:rFonts w:ascii="Garamond" w:hAnsi="Garamond" w:cstheme="minorHAnsi"/>
                <w:i/>
                <w:sz w:val="22"/>
                <w:szCs w:val="22"/>
              </w:rPr>
              <w:t>Договору о присоединении к торговой системе оптового рынка</w:t>
            </w:r>
            <w:r w:rsidRPr="00A5626D">
              <w:rPr>
                <w:rFonts w:ascii="Garamond" w:hAnsi="Garamond" w:cstheme="minorHAnsi"/>
                <w:sz w:val="22"/>
                <w:szCs w:val="22"/>
              </w:rPr>
              <w:t>).</w:t>
            </w:r>
          </w:p>
          <w:p w14:paraId="0DF6FBDF" w14:textId="77777777" w:rsidR="00295C6D" w:rsidRPr="00A5626D" w:rsidRDefault="00295C6D" w:rsidP="00E31AE6">
            <w:pPr>
              <w:tabs>
                <w:tab w:val="left" w:pos="1134"/>
                <w:tab w:val="left" w:pos="7938"/>
              </w:tabs>
              <w:spacing w:before="120" w:after="120"/>
              <w:ind w:left="39" w:firstLine="425"/>
              <w:jc w:val="both"/>
              <w:rPr>
                <w:rFonts w:ascii="Garamond" w:hAnsi="Garamond" w:cstheme="minorHAnsi"/>
                <w:sz w:val="22"/>
                <w:szCs w:val="22"/>
                <w:lang w:bidi="en-US"/>
              </w:rPr>
            </w:pPr>
            <w:r w:rsidRPr="00A5626D">
              <w:rPr>
                <w:rFonts w:ascii="Garamond" w:hAnsi="Garamond" w:cstheme="minorHAnsi"/>
                <w:sz w:val="22"/>
                <w:szCs w:val="22"/>
                <w:lang w:bidi="en-US"/>
              </w:rPr>
              <w:t>При передаче электронного документа используется расширяемый язык разметки (</w:t>
            </w:r>
            <w:r w:rsidRPr="00A5626D">
              <w:rPr>
                <w:rFonts w:ascii="Garamond" w:hAnsi="Garamond" w:cstheme="minorHAnsi"/>
                <w:sz w:val="22"/>
                <w:szCs w:val="22"/>
                <w:lang w:val="en-US" w:bidi="en-US"/>
              </w:rPr>
              <w:t>XML</w:t>
            </w:r>
            <w:r w:rsidRPr="00A5626D">
              <w:rPr>
                <w:rFonts w:ascii="Garamond" w:hAnsi="Garamond" w:cstheme="minorHAnsi"/>
                <w:sz w:val="22"/>
                <w:szCs w:val="22"/>
                <w:lang w:bidi="en-US"/>
              </w:rPr>
              <w:t xml:space="preserve">) в соответствии со спецификацией </w:t>
            </w:r>
            <w:r w:rsidRPr="00A5626D">
              <w:rPr>
                <w:rFonts w:ascii="Garamond" w:hAnsi="Garamond" w:cstheme="minorHAnsi"/>
                <w:sz w:val="22"/>
                <w:szCs w:val="22"/>
                <w:lang w:val="en-US" w:bidi="en-US"/>
              </w:rPr>
              <w:t>Extensible</w:t>
            </w:r>
            <w:r w:rsidRPr="00A5626D">
              <w:rPr>
                <w:rFonts w:ascii="Garamond" w:hAnsi="Garamond" w:cstheme="minorHAnsi"/>
                <w:sz w:val="22"/>
                <w:szCs w:val="22"/>
                <w:lang w:bidi="en-US"/>
              </w:rPr>
              <w:t xml:space="preserve"> </w:t>
            </w:r>
            <w:r w:rsidRPr="00A5626D">
              <w:rPr>
                <w:rFonts w:ascii="Garamond" w:hAnsi="Garamond" w:cstheme="minorHAnsi"/>
                <w:sz w:val="22"/>
                <w:szCs w:val="22"/>
                <w:lang w:val="en-US" w:bidi="en-US"/>
              </w:rPr>
              <w:t>Markup</w:t>
            </w:r>
            <w:r w:rsidRPr="00A5626D">
              <w:rPr>
                <w:rFonts w:ascii="Garamond" w:hAnsi="Garamond" w:cstheme="minorHAnsi"/>
                <w:sz w:val="22"/>
                <w:szCs w:val="22"/>
                <w:lang w:bidi="en-US"/>
              </w:rPr>
              <w:t xml:space="preserve"> </w:t>
            </w:r>
            <w:r w:rsidRPr="00A5626D">
              <w:rPr>
                <w:rFonts w:ascii="Garamond" w:hAnsi="Garamond" w:cstheme="minorHAnsi"/>
                <w:sz w:val="22"/>
                <w:szCs w:val="22"/>
                <w:lang w:val="en-US" w:bidi="en-US"/>
              </w:rPr>
              <w:t>Language</w:t>
            </w:r>
            <w:r w:rsidRPr="00A5626D">
              <w:rPr>
                <w:rFonts w:ascii="Garamond" w:hAnsi="Garamond" w:cstheme="minorHAnsi"/>
                <w:sz w:val="22"/>
                <w:szCs w:val="22"/>
                <w:lang w:bidi="en-US"/>
              </w:rPr>
              <w:t xml:space="preserve"> (</w:t>
            </w:r>
            <w:r w:rsidRPr="00A5626D">
              <w:rPr>
                <w:rFonts w:ascii="Garamond" w:hAnsi="Garamond" w:cstheme="minorHAnsi"/>
                <w:sz w:val="22"/>
                <w:szCs w:val="22"/>
                <w:lang w:val="en-US" w:bidi="en-US"/>
              </w:rPr>
              <w:t>XML</w:t>
            </w:r>
            <w:r w:rsidRPr="00A5626D">
              <w:rPr>
                <w:rFonts w:ascii="Garamond" w:hAnsi="Garamond" w:cstheme="minorHAnsi"/>
                <w:sz w:val="22"/>
                <w:szCs w:val="22"/>
                <w:lang w:bidi="en-US"/>
              </w:rPr>
              <w:t>) 1.0.</w:t>
            </w:r>
          </w:p>
          <w:p w14:paraId="572943E5" w14:textId="77777777" w:rsidR="00295C6D" w:rsidRPr="00A5626D" w:rsidRDefault="00295C6D" w:rsidP="00E31AE6">
            <w:pPr>
              <w:tabs>
                <w:tab w:val="left" w:pos="1134"/>
                <w:tab w:val="left" w:pos="7938"/>
              </w:tabs>
              <w:spacing w:before="120" w:after="120"/>
              <w:ind w:left="39" w:firstLine="425"/>
              <w:jc w:val="both"/>
              <w:rPr>
                <w:rFonts w:ascii="Garamond" w:hAnsi="Garamond" w:cstheme="minorHAnsi"/>
                <w:sz w:val="22"/>
                <w:szCs w:val="22"/>
                <w:lang w:bidi="en-US"/>
              </w:rPr>
            </w:pPr>
            <w:r w:rsidRPr="00A5626D">
              <w:rPr>
                <w:rFonts w:ascii="Garamond" w:hAnsi="Garamond" w:cstheme="minorHAnsi"/>
                <w:sz w:val="22"/>
                <w:szCs w:val="22"/>
                <w:lang w:bidi="en-US"/>
              </w:rPr>
              <w:t xml:space="preserve">При декларации кодировки, являющейся частью декларации </w:t>
            </w:r>
            <w:r w:rsidRPr="00A5626D">
              <w:rPr>
                <w:rFonts w:ascii="Garamond" w:hAnsi="Garamond" w:cstheme="minorHAnsi"/>
                <w:sz w:val="22"/>
                <w:szCs w:val="22"/>
                <w:lang w:val="en-US" w:bidi="en-US"/>
              </w:rPr>
              <w:t>XML</w:t>
            </w:r>
            <w:r w:rsidRPr="00A5626D">
              <w:rPr>
                <w:rFonts w:ascii="Garamond" w:hAnsi="Garamond" w:cstheme="minorHAnsi"/>
                <w:sz w:val="22"/>
                <w:szCs w:val="22"/>
                <w:lang w:bidi="en-US"/>
              </w:rPr>
              <w:t xml:space="preserve">, используются названия и псевдонимы русскоязычных наборов символов, зарегистрированных в </w:t>
            </w:r>
            <w:r w:rsidRPr="00A5626D">
              <w:rPr>
                <w:rFonts w:ascii="Garamond" w:hAnsi="Garamond" w:cstheme="minorHAnsi"/>
                <w:sz w:val="22"/>
                <w:szCs w:val="22"/>
                <w:lang w:val="en-US" w:bidi="en-US"/>
              </w:rPr>
              <w:t>Internet</w:t>
            </w:r>
            <w:r w:rsidRPr="00A5626D">
              <w:rPr>
                <w:rFonts w:ascii="Garamond" w:hAnsi="Garamond" w:cstheme="minorHAnsi"/>
                <w:sz w:val="22"/>
                <w:szCs w:val="22"/>
                <w:lang w:bidi="en-US"/>
              </w:rPr>
              <w:t xml:space="preserve"> </w:t>
            </w:r>
            <w:r w:rsidRPr="00A5626D">
              <w:rPr>
                <w:rFonts w:ascii="Garamond" w:hAnsi="Garamond" w:cstheme="minorHAnsi"/>
                <w:sz w:val="22"/>
                <w:szCs w:val="22"/>
                <w:lang w:val="en-US" w:bidi="en-US"/>
              </w:rPr>
              <w:t>Assigned</w:t>
            </w:r>
            <w:r w:rsidRPr="00A5626D">
              <w:rPr>
                <w:rFonts w:ascii="Garamond" w:hAnsi="Garamond" w:cstheme="minorHAnsi"/>
                <w:sz w:val="22"/>
                <w:szCs w:val="22"/>
                <w:lang w:bidi="en-US"/>
              </w:rPr>
              <w:t xml:space="preserve"> </w:t>
            </w:r>
            <w:r w:rsidRPr="00A5626D">
              <w:rPr>
                <w:rFonts w:ascii="Garamond" w:hAnsi="Garamond" w:cstheme="minorHAnsi"/>
                <w:sz w:val="22"/>
                <w:szCs w:val="22"/>
                <w:lang w:val="en-US" w:bidi="en-US"/>
              </w:rPr>
              <w:t>Numbers</w:t>
            </w:r>
            <w:r w:rsidRPr="00A5626D">
              <w:rPr>
                <w:rFonts w:ascii="Garamond" w:hAnsi="Garamond" w:cstheme="minorHAnsi"/>
                <w:sz w:val="22"/>
                <w:szCs w:val="22"/>
                <w:lang w:bidi="en-US"/>
              </w:rPr>
              <w:t xml:space="preserve"> </w:t>
            </w:r>
            <w:r w:rsidRPr="00A5626D">
              <w:rPr>
                <w:rFonts w:ascii="Garamond" w:hAnsi="Garamond" w:cstheme="minorHAnsi"/>
                <w:sz w:val="22"/>
                <w:szCs w:val="22"/>
                <w:lang w:val="en-US" w:bidi="en-US"/>
              </w:rPr>
              <w:t>Authority</w:t>
            </w:r>
            <w:r w:rsidRPr="00A5626D">
              <w:rPr>
                <w:rFonts w:ascii="Garamond" w:hAnsi="Garamond" w:cstheme="minorHAnsi"/>
                <w:sz w:val="22"/>
                <w:szCs w:val="22"/>
                <w:lang w:bidi="en-US"/>
              </w:rPr>
              <w:t>. Для данного электронного документа может быть использована кодировка “</w:t>
            </w:r>
            <w:r w:rsidRPr="00A5626D">
              <w:rPr>
                <w:rFonts w:ascii="Garamond" w:hAnsi="Garamond" w:cstheme="minorHAnsi"/>
                <w:sz w:val="22"/>
                <w:szCs w:val="22"/>
                <w:lang w:val="en-US" w:bidi="en-US"/>
              </w:rPr>
              <w:t>windows</w:t>
            </w:r>
            <w:r w:rsidRPr="00A5626D">
              <w:rPr>
                <w:rFonts w:ascii="Garamond" w:hAnsi="Garamond" w:cstheme="minorHAnsi"/>
                <w:sz w:val="22"/>
                <w:szCs w:val="22"/>
                <w:lang w:bidi="en-US"/>
              </w:rPr>
              <w:t>-1251” или “utf-8”.</w:t>
            </w:r>
          </w:p>
          <w:p w14:paraId="651E96A2" w14:textId="77777777" w:rsidR="00295C6D" w:rsidRPr="00A5626D" w:rsidRDefault="00295C6D" w:rsidP="00E31AE6">
            <w:pPr>
              <w:tabs>
                <w:tab w:val="left" w:pos="1134"/>
                <w:tab w:val="left" w:pos="7938"/>
              </w:tabs>
              <w:spacing w:before="120" w:after="120"/>
              <w:ind w:left="39" w:firstLine="425"/>
              <w:jc w:val="both"/>
              <w:rPr>
                <w:rFonts w:ascii="Garamond" w:hAnsi="Garamond" w:cstheme="minorHAnsi"/>
                <w:sz w:val="22"/>
                <w:szCs w:val="22"/>
                <w:lang w:bidi="en-US"/>
              </w:rPr>
            </w:pPr>
            <w:r w:rsidRPr="00A5626D">
              <w:rPr>
                <w:rFonts w:ascii="Garamond" w:hAnsi="Garamond" w:cstheme="minorHAnsi"/>
                <w:sz w:val="22"/>
                <w:szCs w:val="22"/>
                <w:lang w:bidi="en-US"/>
              </w:rPr>
              <w:t>Атрибуты, которые согласно настоящему документу являются необязательными, могут отсутствовать либо быть незаполненными.</w:t>
            </w:r>
          </w:p>
          <w:p w14:paraId="6185BB03" w14:textId="77777777" w:rsidR="00295C6D" w:rsidRPr="00A5626D" w:rsidRDefault="00295C6D" w:rsidP="00E31AE6">
            <w:pPr>
              <w:tabs>
                <w:tab w:val="left" w:pos="1134"/>
                <w:tab w:val="left" w:pos="7938"/>
              </w:tabs>
              <w:spacing w:before="120" w:after="120"/>
              <w:ind w:left="39" w:firstLine="425"/>
              <w:jc w:val="both"/>
              <w:rPr>
                <w:rFonts w:ascii="Garamond" w:hAnsi="Garamond" w:cstheme="minorHAnsi"/>
                <w:sz w:val="22"/>
                <w:szCs w:val="22"/>
                <w:lang w:bidi="en-US"/>
              </w:rPr>
            </w:pPr>
            <w:r w:rsidRPr="00A5626D">
              <w:rPr>
                <w:rFonts w:ascii="Garamond" w:hAnsi="Garamond" w:cstheme="minorHAnsi"/>
                <w:sz w:val="22"/>
                <w:szCs w:val="22"/>
                <w:lang w:bidi="en-US"/>
              </w:rPr>
              <w:t>Имя файла, содержащего электронный документ, должно составляться в формате</w:t>
            </w:r>
          </w:p>
          <w:p w14:paraId="62644D16" w14:textId="77777777" w:rsidR="00295C6D" w:rsidRPr="00A5626D" w:rsidRDefault="00295C6D" w:rsidP="00E31AE6">
            <w:pPr>
              <w:tabs>
                <w:tab w:val="left" w:pos="1134"/>
                <w:tab w:val="left" w:pos="7938"/>
              </w:tabs>
              <w:spacing w:before="120" w:after="120"/>
              <w:ind w:left="39" w:firstLine="425"/>
              <w:jc w:val="both"/>
              <w:rPr>
                <w:rFonts w:ascii="Garamond" w:hAnsi="Garamond" w:cstheme="minorHAnsi"/>
                <w:sz w:val="22"/>
                <w:szCs w:val="22"/>
                <w:lang w:bidi="en-US"/>
              </w:rPr>
            </w:pPr>
            <w:r w:rsidRPr="00A5626D">
              <w:rPr>
                <w:rFonts w:ascii="Garamond" w:hAnsi="Garamond" w:cstheme="minorHAnsi"/>
                <w:sz w:val="22"/>
                <w:szCs w:val="22"/>
                <w:lang w:bidi="en-US"/>
              </w:rPr>
              <w:t>«&lt;тип документа&gt;_&lt;ИНН&gt;_&lt;дата&gt;_&lt;код ГТП или сечения&gt;», где:</w:t>
            </w:r>
          </w:p>
          <w:p w14:paraId="3CEE2D85" w14:textId="77777777" w:rsidR="00295C6D" w:rsidRPr="00A5626D" w:rsidRDefault="00295C6D" w:rsidP="00295C6D">
            <w:pPr>
              <w:widowControl w:val="0"/>
              <w:numPr>
                <w:ilvl w:val="0"/>
                <w:numId w:val="240"/>
              </w:numPr>
              <w:tabs>
                <w:tab w:val="left" w:pos="1134"/>
                <w:tab w:val="left" w:pos="7938"/>
              </w:tabs>
              <w:suppressAutoHyphens w:val="0"/>
              <w:autoSpaceDE w:val="0"/>
              <w:autoSpaceDN w:val="0"/>
              <w:adjustRightInd w:val="0"/>
              <w:spacing w:before="60" w:after="60"/>
              <w:ind w:left="39" w:firstLine="425"/>
              <w:jc w:val="both"/>
              <w:rPr>
                <w:rFonts w:ascii="Garamond" w:eastAsia="MS Mincho" w:hAnsi="Garamond" w:cstheme="minorHAnsi"/>
                <w:sz w:val="22"/>
                <w:szCs w:val="22"/>
                <w:lang w:bidi="en-US"/>
              </w:rPr>
            </w:pPr>
            <w:r w:rsidRPr="00A5626D">
              <w:rPr>
                <w:rFonts w:ascii="Garamond" w:eastAsia="MS Mincho" w:hAnsi="Garamond" w:cstheme="minorHAnsi"/>
                <w:sz w:val="22"/>
                <w:szCs w:val="22"/>
                <w:lang w:bidi="en-US"/>
              </w:rPr>
              <w:t>тип документа – номер, присвоенный КО данному типу документа (60002);</w:t>
            </w:r>
          </w:p>
          <w:p w14:paraId="185509B5" w14:textId="77777777" w:rsidR="00295C6D" w:rsidRPr="00A5626D" w:rsidRDefault="00295C6D" w:rsidP="00295C6D">
            <w:pPr>
              <w:widowControl w:val="0"/>
              <w:numPr>
                <w:ilvl w:val="0"/>
                <w:numId w:val="240"/>
              </w:numPr>
              <w:tabs>
                <w:tab w:val="left" w:pos="1134"/>
                <w:tab w:val="left" w:pos="7938"/>
              </w:tabs>
              <w:suppressAutoHyphens w:val="0"/>
              <w:autoSpaceDE w:val="0"/>
              <w:autoSpaceDN w:val="0"/>
              <w:adjustRightInd w:val="0"/>
              <w:spacing w:before="60" w:after="60"/>
              <w:ind w:left="39" w:firstLine="425"/>
              <w:jc w:val="both"/>
              <w:rPr>
                <w:rFonts w:ascii="Garamond" w:eastAsia="MS Mincho" w:hAnsi="Garamond" w:cstheme="minorHAnsi"/>
                <w:sz w:val="22"/>
                <w:szCs w:val="22"/>
                <w:lang w:bidi="en-US"/>
              </w:rPr>
            </w:pPr>
            <w:r w:rsidRPr="00A5626D">
              <w:rPr>
                <w:rFonts w:ascii="Garamond" w:eastAsia="MS Mincho" w:hAnsi="Garamond" w:cstheme="minorHAnsi"/>
                <w:sz w:val="22"/>
                <w:szCs w:val="22"/>
                <w:lang w:bidi="en-US"/>
              </w:rPr>
              <w:t>ИНН – ИНН организации, предоставляющей информацию, длина ИНН – 10 символов;</w:t>
            </w:r>
          </w:p>
          <w:p w14:paraId="116215AF" w14:textId="77777777" w:rsidR="00295C6D" w:rsidRPr="00A5626D" w:rsidRDefault="00295C6D" w:rsidP="00295C6D">
            <w:pPr>
              <w:widowControl w:val="0"/>
              <w:numPr>
                <w:ilvl w:val="0"/>
                <w:numId w:val="240"/>
              </w:numPr>
              <w:tabs>
                <w:tab w:val="left" w:pos="1134"/>
                <w:tab w:val="left" w:pos="7938"/>
              </w:tabs>
              <w:suppressAutoHyphens w:val="0"/>
              <w:autoSpaceDE w:val="0"/>
              <w:autoSpaceDN w:val="0"/>
              <w:adjustRightInd w:val="0"/>
              <w:spacing w:before="60" w:after="60"/>
              <w:ind w:left="39" w:firstLine="425"/>
              <w:jc w:val="both"/>
              <w:rPr>
                <w:rFonts w:ascii="Garamond" w:eastAsia="MS Mincho" w:hAnsi="Garamond" w:cstheme="minorHAnsi"/>
                <w:sz w:val="22"/>
                <w:szCs w:val="22"/>
                <w:lang w:bidi="en-US"/>
              </w:rPr>
            </w:pPr>
            <w:r w:rsidRPr="00A5626D">
              <w:rPr>
                <w:rFonts w:ascii="Garamond" w:eastAsia="MS Mincho" w:hAnsi="Garamond" w:cstheme="minorHAnsi"/>
                <w:sz w:val="22"/>
                <w:szCs w:val="22"/>
                <w:lang w:bidi="en-US"/>
              </w:rPr>
              <w:t>дата – момент времени, в который был сформирован макет, в формате «ГГГГММДДччммсс», где ГГГГ – год, ММ – порядковый номер месяца, ДД – день, чч – час, мм – минуты, сс – секунды. Длина поля &lt;дата&gt; – 14 знаков. Указывается по московскому времени;</w:t>
            </w:r>
          </w:p>
          <w:p w14:paraId="7AE6A580" w14:textId="77777777" w:rsidR="00295C6D" w:rsidRPr="00A5626D" w:rsidRDefault="00295C6D" w:rsidP="00295C6D">
            <w:pPr>
              <w:widowControl w:val="0"/>
              <w:numPr>
                <w:ilvl w:val="0"/>
                <w:numId w:val="240"/>
              </w:numPr>
              <w:tabs>
                <w:tab w:val="left" w:pos="1134"/>
                <w:tab w:val="left" w:pos="7938"/>
              </w:tabs>
              <w:suppressAutoHyphens w:val="0"/>
              <w:autoSpaceDE w:val="0"/>
              <w:autoSpaceDN w:val="0"/>
              <w:adjustRightInd w:val="0"/>
              <w:spacing w:before="60" w:after="60"/>
              <w:ind w:left="39" w:firstLine="425"/>
              <w:jc w:val="both"/>
              <w:rPr>
                <w:rFonts w:ascii="Garamond" w:eastAsia="MS Mincho" w:hAnsi="Garamond" w:cstheme="minorHAnsi"/>
                <w:sz w:val="22"/>
                <w:szCs w:val="22"/>
                <w:lang w:bidi="en-US"/>
              </w:rPr>
            </w:pPr>
            <w:r w:rsidRPr="00A5626D">
              <w:rPr>
                <w:rFonts w:ascii="Garamond" w:hAnsi="Garamond" w:cstheme="minorHAnsi"/>
                <w:sz w:val="22"/>
                <w:szCs w:val="22"/>
                <w:lang w:bidi="en-US"/>
              </w:rPr>
              <w:t>код ГТП или сечения</w:t>
            </w:r>
            <w:r w:rsidRPr="00A5626D">
              <w:rPr>
                <w:rFonts w:ascii="Garamond" w:eastAsia="MS Mincho" w:hAnsi="Garamond" w:cstheme="minorHAnsi"/>
                <w:sz w:val="22"/>
                <w:szCs w:val="22"/>
                <w:lang w:bidi="en-US"/>
              </w:rPr>
              <w:t xml:space="preserve"> – указывается либо код ГТП </w:t>
            </w:r>
            <w:r w:rsidRPr="00A5626D">
              <w:rPr>
                <w:rFonts w:ascii="Garamond" w:eastAsia="MS Mincho" w:hAnsi="Garamond" w:cstheme="minorHAnsi"/>
                <w:sz w:val="22"/>
                <w:szCs w:val="22"/>
                <w:lang w:bidi="en-US"/>
              </w:rPr>
              <w:lastRenderedPageBreak/>
              <w:t xml:space="preserve">генерации в формате </w:t>
            </w:r>
            <w:r w:rsidRPr="00A5626D">
              <w:rPr>
                <w:rFonts w:ascii="Garamond" w:eastAsia="MS Mincho" w:hAnsi="Garamond" w:cstheme="minorHAnsi"/>
                <w:sz w:val="22"/>
                <w:szCs w:val="22"/>
                <w:lang w:val="en-US" w:bidi="en-US"/>
              </w:rPr>
              <w:t>GXXXXXXX</w:t>
            </w:r>
            <w:r w:rsidRPr="00A5626D">
              <w:rPr>
                <w:rFonts w:ascii="Garamond" w:eastAsia="MS Mincho" w:hAnsi="Garamond" w:cstheme="minorHAnsi"/>
                <w:sz w:val="22"/>
                <w:szCs w:val="22"/>
                <w:lang w:bidi="en-US"/>
              </w:rPr>
              <w:t xml:space="preserve">, либо код сечения КУ в формате </w:t>
            </w:r>
            <w:r w:rsidRPr="00A5626D">
              <w:rPr>
                <w:rFonts w:ascii="Garamond" w:eastAsia="MS Mincho" w:hAnsi="Garamond" w:cstheme="minorHAnsi"/>
                <w:sz w:val="22"/>
                <w:szCs w:val="22"/>
                <w:lang w:val="en-US" w:bidi="en-US"/>
              </w:rPr>
              <w:t>XXXXXXXX</w:t>
            </w:r>
            <w:r w:rsidRPr="00A5626D">
              <w:rPr>
                <w:rFonts w:ascii="Garamond" w:eastAsia="MS Mincho" w:hAnsi="Garamond" w:cstheme="minorHAnsi"/>
                <w:sz w:val="22"/>
                <w:szCs w:val="22"/>
                <w:lang w:bidi="en-US"/>
              </w:rPr>
              <w:t>_</w:t>
            </w:r>
            <w:r w:rsidRPr="00A5626D">
              <w:rPr>
                <w:rFonts w:ascii="Garamond" w:eastAsia="MS Mincho" w:hAnsi="Garamond" w:cstheme="minorHAnsi"/>
                <w:sz w:val="22"/>
                <w:szCs w:val="22"/>
                <w:lang w:val="en-US" w:bidi="en-US"/>
              </w:rPr>
              <w:t>YYYYYYYY</w:t>
            </w:r>
            <w:r w:rsidRPr="00A5626D">
              <w:rPr>
                <w:rFonts w:ascii="Garamond" w:eastAsia="MS Mincho" w:hAnsi="Garamond" w:cstheme="minorHAnsi"/>
                <w:sz w:val="22"/>
                <w:szCs w:val="22"/>
                <w:lang w:bidi="en-US"/>
              </w:rPr>
              <w:t>, состоящий из кодов ГТП потребления/сечения смежных субъектов оптового рынка, разделенных знаком «_». При этом код ГТП потребления / код ГТП генерации состоит из 8 (восьми) символов, включающих строчные или прописные буквы латинского алфавита и (или) цифры.</w:t>
            </w:r>
          </w:p>
        </w:tc>
        <w:tc>
          <w:tcPr>
            <w:tcW w:w="7088" w:type="dxa"/>
          </w:tcPr>
          <w:p w14:paraId="7D6811E9" w14:textId="77777777" w:rsidR="00295C6D" w:rsidRPr="00A5626D" w:rsidRDefault="00295C6D" w:rsidP="00E31AE6">
            <w:pPr>
              <w:tabs>
                <w:tab w:val="left" w:pos="1134"/>
                <w:tab w:val="left" w:pos="7938"/>
              </w:tabs>
              <w:spacing w:before="120" w:after="120"/>
              <w:ind w:left="39" w:firstLine="425"/>
              <w:jc w:val="both"/>
              <w:rPr>
                <w:rFonts w:ascii="Garamond" w:hAnsi="Garamond" w:cstheme="minorHAnsi"/>
                <w:sz w:val="22"/>
                <w:szCs w:val="22"/>
              </w:rPr>
            </w:pPr>
            <w:r w:rsidRPr="00A5626D">
              <w:rPr>
                <w:rFonts w:ascii="Garamond" w:hAnsi="Garamond"/>
                <w:b/>
                <w:sz w:val="22"/>
                <w:szCs w:val="22"/>
                <w:lang w:eastAsia="en-US"/>
              </w:rPr>
              <w:lastRenderedPageBreak/>
              <w:t>Описание макета 60002</w:t>
            </w:r>
          </w:p>
          <w:p w14:paraId="1C8425F0" w14:textId="77777777" w:rsidR="00295C6D" w:rsidRPr="00A5626D" w:rsidRDefault="00295C6D" w:rsidP="00E31AE6">
            <w:pPr>
              <w:tabs>
                <w:tab w:val="left" w:pos="1134"/>
                <w:tab w:val="left" w:pos="7938"/>
              </w:tabs>
              <w:spacing w:before="120" w:after="120"/>
              <w:ind w:left="39" w:firstLine="425"/>
              <w:jc w:val="both"/>
              <w:rPr>
                <w:rFonts w:ascii="Garamond" w:hAnsi="Garamond" w:cstheme="minorHAnsi"/>
                <w:sz w:val="22"/>
                <w:szCs w:val="22"/>
                <w:lang w:bidi="en-US"/>
              </w:rPr>
            </w:pPr>
            <w:r w:rsidRPr="00A5626D">
              <w:rPr>
                <w:rFonts w:ascii="Garamond" w:hAnsi="Garamond" w:cstheme="minorHAnsi"/>
                <w:sz w:val="22"/>
                <w:szCs w:val="22"/>
              </w:rPr>
              <w:t xml:space="preserve">Формат документа используется для направления участнику приложения к ПСИ с учетом результатов кодирования. Формируется КО на основании полученного ПСИ в формате 60000 и заполняется с учетом требований настоящего приложения и требований </w:t>
            </w:r>
            <w:r w:rsidRPr="00A5626D">
              <w:rPr>
                <w:rFonts w:ascii="Garamond" w:hAnsi="Garamond" w:cstheme="minorHAnsi"/>
                <w:i/>
                <w:sz w:val="22"/>
                <w:szCs w:val="22"/>
              </w:rPr>
              <w:t>Положения о порядке получения статуса субъекта оптового рынка и ведения реестра субъектов оптового рынка</w:t>
            </w:r>
            <w:r w:rsidRPr="00A5626D">
              <w:rPr>
                <w:rFonts w:ascii="Garamond" w:hAnsi="Garamond" w:cstheme="minorHAnsi"/>
                <w:sz w:val="22"/>
                <w:szCs w:val="22"/>
              </w:rPr>
              <w:t xml:space="preserve"> (Приложение № 1.1 к </w:t>
            </w:r>
            <w:r w:rsidRPr="00A5626D">
              <w:rPr>
                <w:rFonts w:ascii="Garamond" w:hAnsi="Garamond" w:cstheme="minorHAnsi"/>
                <w:i/>
                <w:sz w:val="22"/>
                <w:szCs w:val="22"/>
              </w:rPr>
              <w:t>Договору о присоединении к торговой системе оптового рынка</w:t>
            </w:r>
            <w:r w:rsidRPr="00A5626D">
              <w:rPr>
                <w:rFonts w:ascii="Garamond" w:hAnsi="Garamond" w:cstheme="minorHAnsi"/>
                <w:sz w:val="22"/>
                <w:szCs w:val="22"/>
              </w:rPr>
              <w:t>).</w:t>
            </w:r>
          </w:p>
          <w:p w14:paraId="14B01945" w14:textId="77777777" w:rsidR="00295C6D" w:rsidRPr="00A5626D" w:rsidRDefault="00295C6D" w:rsidP="00E31AE6">
            <w:pPr>
              <w:tabs>
                <w:tab w:val="left" w:pos="1134"/>
                <w:tab w:val="left" w:pos="7938"/>
              </w:tabs>
              <w:spacing w:before="120" w:after="120"/>
              <w:ind w:left="39" w:firstLine="425"/>
              <w:jc w:val="both"/>
              <w:rPr>
                <w:rFonts w:ascii="Garamond" w:hAnsi="Garamond" w:cstheme="minorHAnsi"/>
                <w:sz w:val="22"/>
                <w:szCs w:val="22"/>
                <w:lang w:bidi="en-US"/>
              </w:rPr>
            </w:pPr>
            <w:r w:rsidRPr="00A5626D">
              <w:rPr>
                <w:rFonts w:ascii="Garamond" w:hAnsi="Garamond" w:cstheme="minorHAnsi"/>
                <w:sz w:val="22"/>
                <w:szCs w:val="22"/>
                <w:lang w:bidi="en-US"/>
              </w:rPr>
              <w:t>При передаче электронного документа используется расширяемый язык разметки (</w:t>
            </w:r>
            <w:r w:rsidRPr="00A5626D">
              <w:rPr>
                <w:rFonts w:ascii="Garamond" w:hAnsi="Garamond" w:cstheme="minorHAnsi"/>
                <w:sz w:val="22"/>
                <w:szCs w:val="22"/>
                <w:lang w:val="en-US" w:bidi="en-US"/>
              </w:rPr>
              <w:t>XML</w:t>
            </w:r>
            <w:r w:rsidRPr="00A5626D">
              <w:rPr>
                <w:rFonts w:ascii="Garamond" w:hAnsi="Garamond" w:cstheme="minorHAnsi"/>
                <w:sz w:val="22"/>
                <w:szCs w:val="22"/>
                <w:lang w:bidi="en-US"/>
              </w:rPr>
              <w:t xml:space="preserve">) в соответствии со спецификацией </w:t>
            </w:r>
            <w:r w:rsidRPr="00A5626D">
              <w:rPr>
                <w:rFonts w:ascii="Garamond" w:hAnsi="Garamond" w:cstheme="minorHAnsi"/>
                <w:sz w:val="22"/>
                <w:szCs w:val="22"/>
                <w:lang w:val="en-US" w:bidi="en-US"/>
              </w:rPr>
              <w:t>Extensible</w:t>
            </w:r>
            <w:r w:rsidRPr="00A5626D">
              <w:rPr>
                <w:rFonts w:ascii="Garamond" w:hAnsi="Garamond" w:cstheme="minorHAnsi"/>
                <w:sz w:val="22"/>
                <w:szCs w:val="22"/>
                <w:lang w:bidi="en-US"/>
              </w:rPr>
              <w:t xml:space="preserve"> </w:t>
            </w:r>
            <w:r w:rsidRPr="00A5626D">
              <w:rPr>
                <w:rFonts w:ascii="Garamond" w:hAnsi="Garamond" w:cstheme="minorHAnsi"/>
                <w:sz w:val="22"/>
                <w:szCs w:val="22"/>
                <w:lang w:val="en-US" w:bidi="en-US"/>
              </w:rPr>
              <w:t>Markup</w:t>
            </w:r>
            <w:r w:rsidRPr="00A5626D">
              <w:rPr>
                <w:rFonts w:ascii="Garamond" w:hAnsi="Garamond" w:cstheme="minorHAnsi"/>
                <w:sz w:val="22"/>
                <w:szCs w:val="22"/>
                <w:lang w:bidi="en-US"/>
              </w:rPr>
              <w:t xml:space="preserve"> </w:t>
            </w:r>
            <w:r w:rsidRPr="00A5626D">
              <w:rPr>
                <w:rFonts w:ascii="Garamond" w:hAnsi="Garamond" w:cstheme="minorHAnsi"/>
                <w:sz w:val="22"/>
                <w:szCs w:val="22"/>
                <w:lang w:val="en-US" w:bidi="en-US"/>
              </w:rPr>
              <w:t>Language</w:t>
            </w:r>
            <w:r w:rsidRPr="00A5626D">
              <w:rPr>
                <w:rFonts w:ascii="Garamond" w:hAnsi="Garamond" w:cstheme="minorHAnsi"/>
                <w:sz w:val="22"/>
                <w:szCs w:val="22"/>
                <w:lang w:bidi="en-US"/>
              </w:rPr>
              <w:t xml:space="preserve"> (</w:t>
            </w:r>
            <w:r w:rsidRPr="00A5626D">
              <w:rPr>
                <w:rFonts w:ascii="Garamond" w:hAnsi="Garamond" w:cstheme="minorHAnsi"/>
                <w:sz w:val="22"/>
                <w:szCs w:val="22"/>
                <w:lang w:val="en-US" w:bidi="en-US"/>
              </w:rPr>
              <w:t>XML</w:t>
            </w:r>
            <w:r w:rsidRPr="00A5626D">
              <w:rPr>
                <w:rFonts w:ascii="Garamond" w:hAnsi="Garamond" w:cstheme="minorHAnsi"/>
                <w:sz w:val="22"/>
                <w:szCs w:val="22"/>
                <w:lang w:bidi="en-US"/>
              </w:rPr>
              <w:t>) 1.0.</w:t>
            </w:r>
          </w:p>
          <w:p w14:paraId="42C61E91" w14:textId="77777777" w:rsidR="00295C6D" w:rsidRPr="00A5626D" w:rsidRDefault="00295C6D" w:rsidP="00E31AE6">
            <w:pPr>
              <w:tabs>
                <w:tab w:val="left" w:pos="1134"/>
                <w:tab w:val="left" w:pos="7938"/>
              </w:tabs>
              <w:spacing w:before="120" w:after="120"/>
              <w:ind w:left="39" w:firstLine="425"/>
              <w:jc w:val="both"/>
              <w:rPr>
                <w:rFonts w:ascii="Garamond" w:hAnsi="Garamond" w:cstheme="minorHAnsi"/>
                <w:sz w:val="22"/>
                <w:szCs w:val="22"/>
                <w:lang w:bidi="en-US"/>
              </w:rPr>
            </w:pPr>
            <w:r w:rsidRPr="00A5626D">
              <w:rPr>
                <w:rFonts w:ascii="Garamond" w:hAnsi="Garamond" w:cstheme="minorHAnsi"/>
                <w:sz w:val="22"/>
                <w:szCs w:val="22"/>
                <w:lang w:bidi="en-US"/>
              </w:rPr>
              <w:t xml:space="preserve">При декларации кодировки, являющейся частью декларации </w:t>
            </w:r>
            <w:r w:rsidRPr="00A5626D">
              <w:rPr>
                <w:rFonts w:ascii="Garamond" w:hAnsi="Garamond" w:cstheme="minorHAnsi"/>
                <w:sz w:val="22"/>
                <w:szCs w:val="22"/>
                <w:lang w:val="en-US" w:bidi="en-US"/>
              </w:rPr>
              <w:t>XML</w:t>
            </w:r>
            <w:r w:rsidRPr="00A5626D">
              <w:rPr>
                <w:rFonts w:ascii="Garamond" w:hAnsi="Garamond" w:cstheme="minorHAnsi"/>
                <w:sz w:val="22"/>
                <w:szCs w:val="22"/>
                <w:lang w:bidi="en-US"/>
              </w:rPr>
              <w:t xml:space="preserve">, используются названия и псевдонимы русскоязычных наборов символов, зарегистрированных в </w:t>
            </w:r>
            <w:r w:rsidRPr="00A5626D">
              <w:rPr>
                <w:rFonts w:ascii="Garamond" w:hAnsi="Garamond" w:cstheme="minorHAnsi"/>
                <w:sz w:val="22"/>
                <w:szCs w:val="22"/>
                <w:lang w:val="en-US" w:bidi="en-US"/>
              </w:rPr>
              <w:t>Internet</w:t>
            </w:r>
            <w:r w:rsidRPr="00A5626D">
              <w:rPr>
                <w:rFonts w:ascii="Garamond" w:hAnsi="Garamond" w:cstheme="minorHAnsi"/>
                <w:sz w:val="22"/>
                <w:szCs w:val="22"/>
                <w:lang w:bidi="en-US"/>
              </w:rPr>
              <w:t xml:space="preserve"> </w:t>
            </w:r>
            <w:r w:rsidRPr="00A5626D">
              <w:rPr>
                <w:rFonts w:ascii="Garamond" w:hAnsi="Garamond" w:cstheme="minorHAnsi"/>
                <w:sz w:val="22"/>
                <w:szCs w:val="22"/>
                <w:lang w:val="en-US" w:bidi="en-US"/>
              </w:rPr>
              <w:t>Assigned</w:t>
            </w:r>
            <w:r w:rsidRPr="00A5626D">
              <w:rPr>
                <w:rFonts w:ascii="Garamond" w:hAnsi="Garamond" w:cstheme="minorHAnsi"/>
                <w:sz w:val="22"/>
                <w:szCs w:val="22"/>
                <w:lang w:bidi="en-US"/>
              </w:rPr>
              <w:t xml:space="preserve"> </w:t>
            </w:r>
            <w:r w:rsidRPr="00A5626D">
              <w:rPr>
                <w:rFonts w:ascii="Garamond" w:hAnsi="Garamond" w:cstheme="minorHAnsi"/>
                <w:sz w:val="22"/>
                <w:szCs w:val="22"/>
                <w:lang w:val="en-US" w:bidi="en-US"/>
              </w:rPr>
              <w:t>Numbers</w:t>
            </w:r>
            <w:r w:rsidRPr="00A5626D">
              <w:rPr>
                <w:rFonts w:ascii="Garamond" w:hAnsi="Garamond" w:cstheme="minorHAnsi"/>
                <w:sz w:val="22"/>
                <w:szCs w:val="22"/>
                <w:lang w:bidi="en-US"/>
              </w:rPr>
              <w:t xml:space="preserve"> </w:t>
            </w:r>
            <w:r w:rsidRPr="00A5626D">
              <w:rPr>
                <w:rFonts w:ascii="Garamond" w:hAnsi="Garamond" w:cstheme="minorHAnsi"/>
                <w:sz w:val="22"/>
                <w:szCs w:val="22"/>
                <w:lang w:val="en-US" w:bidi="en-US"/>
              </w:rPr>
              <w:t>Authority</w:t>
            </w:r>
            <w:r w:rsidRPr="00A5626D">
              <w:rPr>
                <w:rFonts w:ascii="Garamond" w:hAnsi="Garamond" w:cstheme="minorHAnsi"/>
                <w:sz w:val="22"/>
                <w:szCs w:val="22"/>
                <w:lang w:bidi="en-US"/>
              </w:rPr>
              <w:t>. Для данного электронного документа может быть использована кодировка “</w:t>
            </w:r>
            <w:r w:rsidRPr="00A5626D">
              <w:rPr>
                <w:rFonts w:ascii="Garamond" w:hAnsi="Garamond" w:cstheme="minorHAnsi"/>
                <w:sz w:val="22"/>
                <w:szCs w:val="22"/>
                <w:lang w:val="en-US" w:bidi="en-US"/>
              </w:rPr>
              <w:t>windows</w:t>
            </w:r>
            <w:r w:rsidRPr="00A5626D">
              <w:rPr>
                <w:rFonts w:ascii="Garamond" w:hAnsi="Garamond" w:cstheme="minorHAnsi"/>
                <w:sz w:val="22"/>
                <w:szCs w:val="22"/>
                <w:lang w:bidi="en-US"/>
              </w:rPr>
              <w:t>-1251” или “utf-8”.</w:t>
            </w:r>
          </w:p>
          <w:p w14:paraId="458F8AD9" w14:textId="77777777" w:rsidR="00295C6D" w:rsidRPr="00A5626D" w:rsidRDefault="00295C6D" w:rsidP="00E31AE6">
            <w:pPr>
              <w:tabs>
                <w:tab w:val="left" w:pos="1134"/>
                <w:tab w:val="left" w:pos="7938"/>
              </w:tabs>
              <w:spacing w:before="120" w:after="120"/>
              <w:ind w:left="39" w:firstLine="425"/>
              <w:jc w:val="both"/>
              <w:rPr>
                <w:rFonts w:ascii="Garamond" w:hAnsi="Garamond" w:cstheme="minorHAnsi"/>
                <w:sz w:val="22"/>
                <w:szCs w:val="22"/>
                <w:lang w:bidi="en-US"/>
              </w:rPr>
            </w:pPr>
            <w:r w:rsidRPr="00A5626D">
              <w:rPr>
                <w:rFonts w:ascii="Garamond" w:hAnsi="Garamond" w:cstheme="minorHAnsi"/>
                <w:sz w:val="22"/>
                <w:szCs w:val="22"/>
                <w:lang w:bidi="en-US"/>
              </w:rPr>
              <w:t>Атрибуты, которые согласно настоящему документу являются необязательными, могут отсутствовать либо быть незаполненными.</w:t>
            </w:r>
          </w:p>
          <w:p w14:paraId="2ECE8F6F" w14:textId="77777777" w:rsidR="00295C6D" w:rsidRPr="00A5626D" w:rsidRDefault="00295C6D" w:rsidP="00E31AE6">
            <w:pPr>
              <w:tabs>
                <w:tab w:val="left" w:pos="1134"/>
                <w:tab w:val="left" w:pos="7938"/>
              </w:tabs>
              <w:spacing w:before="120" w:after="120"/>
              <w:ind w:left="39" w:firstLine="425"/>
              <w:jc w:val="both"/>
              <w:rPr>
                <w:rFonts w:ascii="Garamond" w:hAnsi="Garamond" w:cstheme="minorHAnsi"/>
                <w:sz w:val="22"/>
                <w:szCs w:val="22"/>
                <w:lang w:bidi="en-US"/>
              </w:rPr>
            </w:pPr>
            <w:r w:rsidRPr="00A5626D">
              <w:rPr>
                <w:rFonts w:ascii="Garamond" w:hAnsi="Garamond" w:cstheme="minorHAnsi"/>
                <w:sz w:val="22"/>
                <w:szCs w:val="22"/>
                <w:lang w:bidi="en-US"/>
              </w:rPr>
              <w:t>Имя файла, содержащего электронный документ, должно составляться в формате</w:t>
            </w:r>
          </w:p>
          <w:p w14:paraId="45615EAE" w14:textId="2107E42D" w:rsidR="00295C6D" w:rsidRPr="00A5626D" w:rsidRDefault="00295C6D" w:rsidP="00E31AE6">
            <w:pPr>
              <w:tabs>
                <w:tab w:val="left" w:pos="1134"/>
                <w:tab w:val="left" w:pos="7938"/>
              </w:tabs>
              <w:spacing w:before="120" w:after="120"/>
              <w:ind w:left="39" w:firstLine="425"/>
              <w:jc w:val="both"/>
              <w:rPr>
                <w:rFonts w:ascii="Garamond" w:hAnsi="Garamond" w:cstheme="minorHAnsi"/>
                <w:sz w:val="22"/>
                <w:szCs w:val="22"/>
                <w:lang w:bidi="en-US"/>
              </w:rPr>
            </w:pPr>
            <w:r w:rsidRPr="00A5626D">
              <w:rPr>
                <w:rFonts w:ascii="Garamond" w:hAnsi="Garamond" w:cstheme="minorHAnsi"/>
                <w:sz w:val="22"/>
                <w:szCs w:val="22"/>
                <w:lang w:bidi="en-US"/>
              </w:rPr>
              <w:t>«&lt;тип документа&gt;_&lt;ИНН&gt;_&lt;дата&gt;_&lt;код ГТП</w:t>
            </w:r>
            <w:r w:rsidR="00C6418D" w:rsidRPr="00C6418D">
              <w:rPr>
                <w:rFonts w:ascii="Garamond" w:hAnsi="Garamond" w:cstheme="minorHAnsi"/>
                <w:sz w:val="22"/>
                <w:szCs w:val="22"/>
                <w:highlight w:val="yellow"/>
                <w:lang w:bidi="en-US"/>
              </w:rPr>
              <w:t>,</w:t>
            </w:r>
            <w:r w:rsidRPr="00A5626D">
              <w:rPr>
                <w:rFonts w:ascii="Garamond" w:hAnsi="Garamond" w:cstheme="minorHAnsi"/>
                <w:sz w:val="22"/>
                <w:szCs w:val="22"/>
                <w:lang w:bidi="en-US"/>
              </w:rPr>
              <w:t xml:space="preserve"> или сечения </w:t>
            </w:r>
            <w:r w:rsidRPr="00A5626D">
              <w:rPr>
                <w:rFonts w:ascii="Garamond" w:hAnsi="Garamond" w:cstheme="minorHAnsi"/>
                <w:sz w:val="22"/>
                <w:szCs w:val="22"/>
                <w:highlight w:val="yellow"/>
                <w:lang w:bidi="en-US"/>
              </w:rPr>
              <w:t>КУ</w:t>
            </w:r>
            <w:r w:rsidR="00C6418D">
              <w:rPr>
                <w:rFonts w:ascii="Garamond" w:hAnsi="Garamond" w:cstheme="minorHAnsi"/>
                <w:sz w:val="22"/>
                <w:szCs w:val="22"/>
                <w:highlight w:val="yellow"/>
                <w:lang w:bidi="en-US"/>
              </w:rPr>
              <w:t>,</w:t>
            </w:r>
            <w:r w:rsidRPr="00A5626D">
              <w:rPr>
                <w:rFonts w:ascii="Garamond" w:hAnsi="Garamond" w:cstheme="minorHAnsi"/>
                <w:sz w:val="22"/>
                <w:szCs w:val="22"/>
                <w:highlight w:val="yellow"/>
                <w:lang w:bidi="en-US"/>
              </w:rPr>
              <w:t xml:space="preserve"> или ОР</w:t>
            </w:r>
            <w:r w:rsidRPr="00A5626D">
              <w:rPr>
                <w:rFonts w:ascii="Garamond" w:hAnsi="Garamond" w:cstheme="minorHAnsi"/>
                <w:sz w:val="22"/>
                <w:szCs w:val="22"/>
                <w:lang w:bidi="en-US"/>
              </w:rPr>
              <w:t>&gt;», где:</w:t>
            </w:r>
          </w:p>
          <w:p w14:paraId="437A0C62" w14:textId="77777777" w:rsidR="00295C6D" w:rsidRPr="00A5626D" w:rsidRDefault="00295C6D" w:rsidP="00295C6D">
            <w:pPr>
              <w:widowControl w:val="0"/>
              <w:numPr>
                <w:ilvl w:val="0"/>
                <w:numId w:val="240"/>
              </w:numPr>
              <w:tabs>
                <w:tab w:val="left" w:pos="1134"/>
                <w:tab w:val="left" w:pos="7938"/>
              </w:tabs>
              <w:suppressAutoHyphens w:val="0"/>
              <w:autoSpaceDE w:val="0"/>
              <w:autoSpaceDN w:val="0"/>
              <w:adjustRightInd w:val="0"/>
              <w:spacing w:before="60" w:after="60"/>
              <w:ind w:left="39" w:firstLine="425"/>
              <w:jc w:val="both"/>
              <w:rPr>
                <w:rFonts w:ascii="Garamond" w:eastAsia="MS Mincho" w:hAnsi="Garamond" w:cstheme="minorHAnsi"/>
                <w:sz w:val="22"/>
                <w:szCs w:val="22"/>
                <w:lang w:bidi="en-US"/>
              </w:rPr>
            </w:pPr>
            <w:r w:rsidRPr="00A5626D">
              <w:rPr>
                <w:rFonts w:ascii="Garamond" w:eastAsia="MS Mincho" w:hAnsi="Garamond" w:cstheme="minorHAnsi"/>
                <w:sz w:val="22"/>
                <w:szCs w:val="22"/>
                <w:lang w:bidi="en-US"/>
              </w:rPr>
              <w:t>тип документа – номер, присвоенный КО данному типу документа (60002);</w:t>
            </w:r>
          </w:p>
          <w:p w14:paraId="3C39D6E8" w14:textId="77777777" w:rsidR="00295C6D" w:rsidRPr="00A5626D" w:rsidRDefault="00295C6D" w:rsidP="00295C6D">
            <w:pPr>
              <w:widowControl w:val="0"/>
              <w:numPr>
                <w:ilvl w:val="0"/>
                <w:numId w:val="240"/>
              </w:numPr>
              <w:tabs>
                <w:tab w:val="left" w:pos="1134"/>
                <w:tab w:val="left" w:pos="7938"/>
              </w:tabs>
              <w:suppressAutoHyphens w:val="0"/>
              <w:autoSpaceDE w:val="0"/>
              <w:autoSpaceDN w:val="0"/>
              <w:adjustRightInd w:val="0"/>
              <w:spacing w:before="60" w:after="60"/>
              <w:ind w:left="39" w:firstLine="425"/>
              <w:jc w:val="both"/>
              <w:rPr>
                <w:rFonts w:ascii="Garamond" w:eastAsia="MS Mincho" w:hAnsi="Garamond" w:cstheme="minorHAnsi"/>
                <w:sz w:val="22"/>
                <w:szCs w:val="22"/>
                <w:lang w:bidi="en-US"/>
              </w:rPr>
            </w:pPr>
            <w:r w:rsidRPr="00A5626D">
              <w:rPr>
                <w:rFonts w:ascii="Garamond" w:eastAsia="MS Mincho" w:hAnsi="Garamond" w:cstheme="minorHAnsi"/>
                <w:sz w:val="22"/>
                <w:szCs w:val="22"/>
                <w:lang w:bidi="en-US"/>
              </w:rPr>
              <w:t>ИНН – ИНН организации, предоставляющей информацию, длина ИНН – 10 символов;</w:t>
            </w:r>
          </w:p>
          <w:p w14:paraId="11F64AD1" w14:textId="77777777" w:rsidR="00295C6D" w:rsidRPr="00A5626D" w:rsidRDefault="00295C6D" w:rsidP="00295C6D">
            <w:pPr>
              <w:widowControl w:val="0"/>
              <w:numPr>
                <w:ilvl w:val="0"/>
                <w:numId w:val="240"/>
              </w:numPr>
              <w:tabs>
                <w:tab w:val="left" w:pos="1134"/>
                <w:tab w:val="left" w:pos="7938"/>
              </w:tabs>
              <w:suppressAutoHyphens w:val="0"/>
              <w:autoSpaceDE w:val="0"/>
              <w:autoSpaceDN w:val="0"/>
              <w:adjustRightInd w:val="0"/>
              <w:spacing w:before="60" w:after="60"/>
              <w:ind w:left="39" w:firstLine="425"/>
              <w:jc w:val="both"/>
              <w:rPr>
                <w:rFonts w:ascii="Garamond" w:eastAsia="MS Mincho" w:hAnsi="Garamond" w:cstheme="minorHAnsi"/>
                <w:sz w:val="22"/>
                <w:szCs w:val="22"/>
                <w:lang w:bidi="en-US"/>
              </w:rPr>
            </w:pPr>
            <w:r w:rsidRPr="00A5626D">
              <w:rPr>
                <w:rFonts w:ascii="Garamond" w:eastAsia="MS Mincho" w:hAnsi="Garamond" w:cstheme="minorHAnsi"/>
                <w:sz w:val="22"/>
                <w:szCs w:val="22"/>
                <w:lang w:bidi="en-US"/>
              </w:rPr>
              <w:t>дата – момент времени, в который был сформирован макет, в формате «ГГГГММДДччммсс», где ГГГГ – год, ММ – порядковый номер месяца, ДД – день, чч – час, мм – минуты, сс – секунды. Длина поля &lt;дата&gt; – 14 знаков. Указывается по московскому времени;</w:t>
            </w:r>
          </w:p>
          <w:p w14:paraId="30A0E0CF" w14:textId="5B3ED14B" w:rsidR="00295C6D" w:rsidRPr="00A5626D" w:rsidRDefault="00295C6D" w:rsidP="00295C6D">
            <w:pPr>
              <w:widowControl w:val="0"/>
              <w:numPr>
                <w:ilvl w:val="0"/>
                <w:numId w:val="240"/>
              </w:numPr>
              <w:tabs>
                <w:tab w:val="left" w:pos="1134"/>
                <w:tab w:val="left" w:pos="7938"/>
              </w:tabs>
              <w:suppressAutoHyphens w:val="0"/>
              <w:autoSpaceDE w:val="0"/>
              <w:autoSpaceDN w:val="0"/>
              <w:adjustRightInd w:val="0"/>
              <w:spacing w:before="60" w:after="60"/>
              <w:ind w:left="39" w:firstLine="425"/>
              <w:jc w:val="both"/>
              <w:rPr>
                <w:rFonts w:ascii="Garamond" w:eastAsia="MS Mincho" w:hAnsi="Garamond" w:cstheme="minorHAnsi"/>
                <w:sz w:val="22"/>
                <w:szCs w:val="22"/>
                <w:lang w:bidi="en-US"/>
              </w:rPr>
            </w:pPr>
            <w:r w:rsidRPr="00A5626D">
              <w:rPr>
                <w:rFonts w:ascii="Garamond" w:hAnsi="Garamond" w:cstheme="minorHAnsi"/>
                <w:sz w:val="22"/>
                <w:szCs w:val="22"/>
                <w:lang w:bidi="en-US"/>
              </w:rPr>
              <w:t>код ГТП</w:t>
            </w:r>
            <w:r w:rsidR="00C6418D" w:rsidRPr="00C6418D">
              <w:rPr>
                <w:rFonts w:ascii="Garamond" w:hAnsi="Garamond" w:cstheme="minorHAnsi"/>
                <w:sz w:val="22"/>
                <w:szCs w:val="22"/>
                <w:highlight w:val="yellow"/>
                <w:lang w:bidi="en-US"/>
              </w:rPr>
              <w:t>,</w:t>
            </w:r>
            <w:r w:rsidRPr="00A5626D">
              <w:rPr>
                <w:rFonts w:ascii="Garamond" w:hAnsi="Garamond" w:cstheme="minorHAnsi"/>
                <w:sz w:val="22"/>
                <w:szCs w:val="22"/>
                <w:lang w:bidi="en-US"/>
              </w:rPr>
              <w:t xml:space="preserve"> или сечения </w:t>
            </w:r>
            <w:r w:rsidRPr="00A5626D">
              <w:rPr>
                <w:rFonts w:ascii="Garamond" w:hAnsi="Garamond" w:cstheme="minorHAnsi"/>
                <w:sz w:val="22"/>
                <w:szCs w:val="22"/>
                <w:highlight w:val="yellow"/>
                <w:lang w:bidi="en-US"/>
              </w:rPr>
              <w:t>КУ</w:t>
            </w:r>
            <w:r w:rsidR="00C6418D">
              <w:rPr>
                <w:rFonts w:ascii="Garamond" w:hAnsi="Garamond" w:cstheme="minorHAnsi"/>
                <w:sz w:val="22"/>
                <w:szCs w:val="22"/>
                <w:highlight w:val="yellow"/>
                <w:lang w:bidi="en-US"/>
              </w:rPr>
              <w:t>,</w:t>
            </w:r>
            <w:r w:rsidRPr="00A5626D">
              <w:rPr>
                <w:rFonts w:ascii="Garamond" w:hAnsi="Garamond" w:cstheme="minorHAnsi"/>
                <w:sz w:val="22"/>
                <w:szCs w:val="22"/>
                <w:highlight w:val="yellow"/>
                <w:lang w:bidi="en-US"/>
              </w:rPr>
              <w:t xml:space="preserve"> или ОР</w:t>
            </w:r>
            <w:r w:rsidRPr="00A5626D">
              <w:rPr>
                <w:rFonts w:ascii="Garamond" w:eastAsia="MS Mincho" w:hAnsi="Garamond" w:cstheme="minorHAnsi"/>
                <w:sz w:val="22"/>
                <w:szCs w:val="22"/>
                <w:lang w:bidi="en-US"/>
              </w:rPr>
              <w:t xml:space="preserve"> – указывается либо код ГТП генерации в формате </w:t>
            </w:r>
            <w:r w:rsidRPr="00A5626D">
              <w:rPr>
                <w:rFonts w:ascii="Garamond" w:eastAsia="MS Mincho" w:hAnsi="Garamond" w:cstheme="minorHAnsi"/>
                <w:sz w:val="22"/>
                <w:szCs w:val="22"/>
                <w:lang w:val="en-US" w:bidi="en-US"/>
              </w:rPr>
              <w:t>GXXXXXXX</w:t>
            </w:r>
            <w:r w:rsidRPr="00A5626D">
              <w:rPr>
                <w:rFonts w:ascii="Garamond" w:eastAsia="MS Mincho" w:hAnsi="Garamond" w:cstheme="minorHAnsi"/>
                <w:sz w:val="22"/>
                <w:szCs w:val="22"/>
                <w:lang w:bidi="en-US"/>
              </w:rPr>
              <w:t xml:space="preserve">, либо код сечения КУ в формате </w:t>
            </w:r>
            <w:r w:rsidRPr="00A5626D">
              <w:rPr>
                <w:rFonts w:ascii="Garamond" w:eastAsia="MS Mincho" w:hAnsi="Garamond" w:cstheme="minorHAnsi"/>
                <w:sz w:val="22"/>
                <w:szCs w:val="22"/>
                <w:lang w:val="en-US" w:bidi="en-US"/>
              </w:rPr>
              <w:lastRenderedPageBreak/>
              <w:t>XXXXXXXX</w:t>
            </w:r>
            <w:r w:rsidRPr="00A5626D">
              <w:rPr>
                <w:rFonts w:ascii="Garamond" w:eastAsia="MS Mincho" w:hAnsi="Garamond" w:cstheme="minorHAnsi"/>
                <w:sz w:val="22"/>
                <w:szCs w:val="22"/>
                <w:lang w:bidi="en-US"/>
              </w:rPr>
              <w:t>_</w:t>
            </w:r>
            <w:r w:rsidRPr="00A5626D">
              <w:rPr>
                <w:rFonts w:ascii="Garamond" w:eastAsia="MS Mincho" w:hAnsi="Garamond" w:cstheme="minorHAnsi"/>
                <w:sz w:val="22"/>
                <w:szCs w:val="22"/>
                <w:lang w:val="en-US" w:bidi="en-US"/>
              </w:rPr>
              <w:t>YYYYYYYY</w:t>
            </w:r>
            <w:r w:rsidRPr="00A5626D">
              <w:rPr>
                <w:rFonts w:ascii="Garamond" w:eastAsia="MS Mincho" w:hAnsi="Garamond" w:cstheme="minorHAnsi"/>
                <w:sz w:val="22"/>
                <w:szCs w:val="22"/>
                <w:lang w:bidi="en-US"/>
              </w:rPr>
              <w:t>, состоящий из кодов ГТП потребления/сечения смежных субъектов оптового рынка, разделенных знаком «_»</w:t>
            </w:r>
            <w:r w:rsidRPr="00A5626D">
              <w:rPr>
                <w:rFonts w:ascii="Garamond" w:eastAsia="MS Mincho" w:hAnsi="Garamond" w:cstheme="minorHAnsi"/>
                <w:sz w:val="22"/>
                <w:szCs w:val="22"/>
                <w:highlight w:val="yellow"/>
                <w:lang w:bidi="en-US"/>
              </w:rPr>
              <w:t>, либо код ОР в формате ORXXXXXX</w:t>
            </w:r>
            <w:r w:rsidRPr="00A5626D">
              <w:rPr>
                <w:rFonts w:ascii="Garamond" w:eastAsia="MS Mincho" w:hAnsi="Garamond" w:cstheme="minorHAnsi"/>
                <w:sz w:val="22"/>
                <w:szCs w:val="22"/>
                <w:lang w:bidi="en-US"/>
              </w:rPr>
              <w:t xml:space="preserve">. При этом код ГТП потребления / код ГТП генерации </w:t>
            </w:r>
            <w:r w:rsidRPr="00A5626D">
              <w:rPr>
                <w:rFonts w:ascii="Garamond" w:eastAsia="MS Mincho" w:hAnsi="Garamond" w:cstheme="minorHAnsi"/>
                <w:sz w:val="22"/>
                <w:szCs w:val="22"/>
                <w:highlight w:val="yellow"/>
                <w:lang w:bidi="en-US"/>
              </w:rPr>
              <w:t>/ код ОР</w:t>
            </w:r>
            <w:r w:rsidRPr="00A5626D">
              <w:rPr>
                <w:rFonts w:ascii="Garamond" w:eastAsia="MS Mincho" w:hAnsi="Garamond" w:cstheme="minorHAnsi"/>
                <w:sz w:val="22"/>
                <w:szCs w:val="22"/>
                <w:lang w:bidi="en-US"/>
              </w:rPr>
              <w:t xml:space="preserve"> состоит из 8 (восьми) символов, включающих строчные или прописные буквы латинского алфавита и (или) цифры.</w:t>
            </w:r>
          </w:p>
        </w:tc>
      </w:tr>
      <w:tr w:rsidR="00295C6D" w:rsidRPr="00A5626D" w14:paraId="6CE68651" w14:textId="77777777" w:rsidTr="00647FA0">
        <w:tc>
          <w:tcPr>
            <w:tcW w:w="1060" w:type="dxa"/>
            <w:vAlign w:val="center"/>
          </w:tcPr>
          <w:p w14:paraId="0FA5E15F" w14:textId="0170A859" w:rsidR="00295C6D" w:rsidRPr="00A5626D" w:rsidRDefault="00295C6D" w:rsidP="00E31AE6">
            <w:pPr>
              <w:widowControl w:val="0"/>
              <w:tabs>
                <w:tab w:val="left" w:pos="1134"/>
                <w:tab w:val="left" w:pos="7938"/>
              </w:tabs>
              <w:spacing w:line="22" w:lineRule="atLeast"/>
              <w:jc w:val="both"/>
              <w:rPr>
                <w:rFonts w:ascii="Garamond" w:hAnsi="Garamond"/>
                <w:b/>
                <w:sz w:val="22"/>
                <w:szCs w:val="22"/>
                <w:lang w:eastAsia="en-US"/>
              </w:rPr>
            </w:pPr>
            <w:r w:rsidRPr="00A5626D">
              <w:rPr>
                <w:rFonts w:ascii="Garamond" w:hAnsi="Garamond"/>
                <w:b/>
                <w:sz w:val="22"/>
                <w:szCs w:val="22"/>
                <w:lang w:eastAsia="en-US"/>
              </w:rPr>
              <w:lastRenderedPageBreak/>
              <w:t>Приложение 5, п.</w:t>
            </w:r>
            <w:r w:rsidR="00647FA0" w:rsidRPr="00A5626D">
              <w:rPr>
                <w:rFonts w:ascii="Garamond" w:hAnsi="Garamond"/>
                <w:b/>
                <w:sz w:val="22"/>
                <w:szCs w:val="22"/>
                <w:lang w:eastAsia="en-US"/>
              </w:rPr>
              <w:t> </w:t>
            </w:r>
            <w:r w:rsidRPr="00A5626D">
              <w:rPr>
                <w:rFonts w:ascii="Garamond" w:hAnsi="Garamond"/>
                <w:b/>
                <w:sz w:val="22"/>
                <w:szCs w:val="22"/>
                <w:lang w:eastAsia="en-US"/>
              </w:rPr>
              <w:t>4.4.1.2.1</w:t>
            </w:r>
          </w:p>
        </w:tc>
        <w:tc>
          <w:tcPr>
            <w:tcW w:w="6662" w:type="dxa"/>
          </w:tcPr>
          <w:p w14:paraId="69C3A6C4" w14:textId="77777777" w:rsidR="00295C6D" w:rsidRPr="00A5626D" w:rsidRDefault="00295C6D" w:rsidP="00E31AE6">
            <w:pPr>
              <w:pStyle w:val="2"/>
              <w:numPr>
                <w:ilvl w:val="0"/>
                <w:numId w:val="0"/>
              </w:numPr>
              <w:tabs>
                <w:tab w:val="left" w:pos="1134"/>
                <w:tab w:val="left" w:pos="7938"/>
              </w:tabs>
              <w:suppressAutoHyphens w:val="0"/>
              <w:spacing w:line="22" w:lineRule="atLeast"/>
              <w:ind w:firstLine="629"/>
              <w:jc w:val="both"/>
              <w:rPr>
                <w:rFonts w:ascii="Garamond" w:hAnsi="Garamond" w:cstheme="minorHAnsi"/>
              </w:rPr>
            </w:pPr>
            <w:r w:rsidRPr="00A5626D">
              <w:rPr>
                <w:rFonts w:ascii="Garamond" w:hAnsi="Garamond" w:cstheme="minorHAnsi"/>
              </w:rPr>
              <w:t>&lt;dictionaries&gt;</w:t>
            </w:r>
          </w:p>
          <w:p w14:paraId="11E1A252" w14:textId="77777777" w:rsidR="00295C6D" w:rsidRPr="00A5626D" w:rsidRDefault="00295C6D" w:rsidP="00E31AE6">
            <w:pPr>
              <w:tabs>
                <w:tab w:val="left" w:pos="1134"/>
                <w:tab w:val="left" w:pos="7938"/>
              </w:tabs>
              <w:spacing w:before="120" w:after="120"/>
              <w:ind w:left="66" w:firstLine="540"/>
              <w:jc w:val="both"/>
              <w:rPr>
                <w:rFonts w:ascii="Garamond" w:hAnsi="Garamond" w:cstheme="minorHAnsi"/>
                <w:sz w:val="22"/>
                <w:szCs w:val="22"/>
              </w:rPr>
            </w:pPr>
            <w:r w:rsidRPr="00A5626D">
              <w:rPr>
                <w:rFonts w:ascii="Garamond" w:hAnsi="Garamond" w:cstheme="minorHAnsi"/>
                <w:sz w:val="22"/>
                <w:szCs w:val="22"/>
              </w:rPr>
              <w:t>В элементе &lt;</w:t>
            </w:r>
            <w:r w:rsidRPr="00A5626D">
              <w:rPr>
                <w:rFonts w:ascii="Garamond" w:hAnsi="Garamond" w:cstheme="minorHAnsi"/>
                <w:b/>
                <w:sz w:val="22"/>
                <w:szCs w:val="22"/>
                <w:lang w:val="en-US"/>
              </w:rPr>
              <w:t>dictionaries</w:t>
            </w:r>
            <w:r w:rsidRPr="00A5626D">
              <w:rPr>
                <w:rFonts w:ascii="Garamond" w:hAnsi="Garamond" w:cstheme="minorHAnsi"/>
                <w:sz w:val="22"/>
                <w:szCs w:val="22"/>
              </w:rPr>
              <w:t>&gt; описывается справочная информация. Содержит набор словарей (справочников) с информацией об организациях, подписавших документ, собственниках оборудования, энергообъектах, модификациях измерительных приборов, точках поставки, точках измерени</w:t>
            </w:r>
            <w:r w:rsidRPr="00A5626D">
              <w:rPr>
                <w:rFonts w:ascii="Garamond" w:hAnsi="Garamond" w:cstheme="minorHAnsi"/>
                <w:sz w:val="22"/>
                <w:szCs w:val="22"/>
                <w:highlight w:val="yellow"/>
              </w:rPr>
              <w:t>я</w:t>
            </w:r>
            <w:r w:rsidRPr="00A5626D">
              <w:rPr>
                <w:rFonts w:ascii="Garamond" w:hAnsi="Garamond" w:cstheme="minorHAnsi"/>
                <w:sz w:val="22"/>
                <w:szCs w:val="22"/>
              </w:rPr>
              <w:t xml:space="preserve">, измерительных приборах, измерительных каналах и объектах измерения.  </w:t>
            </w:r>
          </w:p>
          <w:p w14:paraId="181CD399" w14:textId="77777777" w:rsidR="00295C6D" w:rsidRPr="00A5626D" w:rsidRDefault="00295C6D" w:rsidP="00E31AE6">
            <w:pPr>
              <w:tabs>
                <w:tab w:val="left" w:pos="1134"/>
                <w:tab w:val="left" w:pos="7938"/>
              </w:tabs>
              <w:spacing w:before="120" w:after="120"/>
              <w:ind w:left="66" w:firstLine="540"/>
              <w:jc w:val="both"/>
              <w:rPr>
                <w:rFonts w:ascii="Garamond" w:hAnsi="Garamond" w:cstheme="minorHAnsi"/>
                <w:sz w:val="22"/>
                <w:szCs w:val="22"/>
              </w:rPr>
            </w:pPr>
            <w:r w:rsidRPr="00A5626D">
              <w:rPr>
                <w:rFonts w:ascii="Garamond" w:hAnsi="Garamond" w:cstheme="minorHAnsi"/>
                <w:bCs/>
                <w:sz w:val="22"/>
                <w:szCs w:val="22"/>
              </w:rPr>
              <w:t>Обязательный элемент</w:t>
            </w:r>
            <w:r w:rsidRPr="00A5626D">
              <w:rPr>
                <w:rFonts w:ascii="Garamond" w:hAnsi="Garamond" w:cstheme="minorHAnsi"/>
                <w:sz w:val="22"/>
                <w:szCs w:val="22"/>
              </w:rPr>
              <w:t>. Допускается наличие только одного элемента.</w:t>
            </w:r>
          </w:p>
          <w:p w14:paraId="24EE43B7" w14:textId="77777777" w:rsidR="00295C6D" w:rsidRPr="00A5626D" w:rsidRDefault="00295C6D" w:rsidP="00E31AE6">
            <w:pPr>
              <w:tabs>
                <w:tab w:val="left" w:pos="1134"/>
                <w:tab w:val="left" w:pos="7938"/>
              </w:tabs>
              <w:spacing w:before="120" w:after="120"/>
              <w:ind w:left="66" w:firstLine="540"/>
              <w:jc w:val="both"/>
              <w:rPr>
                <w:rFonts w:ascii="Garamond" w:hAnsi="Garamond" w:cstheme="minorHAnsi"/>
                <w:b/>
                <w:sz w:val="22"/>
                <w:szCs w:val="22"/>
                <w:lang w:val="en-US"/>
              </w:rPr>
            </w:pPr>
            <w:r w:rsidRPr="00A5626D">
              <w:rPr>
                <w:rFonts w:ascii="Garamond" w:hAnsi="Garamond" w:cstheme="minorHAnsi"/>
                <w:sz w:val="22"/>
                <w:szCs w:val="22"/>
              </w:rPr>
              <w:t>Дочерними</w:t>
            </w:r>
            <w:r w:rsidRPr="00A5626D">
              <w:rPr>
                <w:rFonts w:ascii="Garamond" w:hAnsi="Garamond" w:cstheme="minorHAnsi"/>
                <w:sz w:val="22"/>
                <w:szCs w:val="22"/>
                <w:lang w:val="en-US"/>
              </w:rPr>
              <w:t xml:space="preserve"> </w:t>
            </w:r>
            <w:r w:rsidRPr="00A5626D">
              <w:rPr>
                <w:rFonts w:ascii="Garamond" w:hAnsi="Garamond" w:cstheme="minorHAnsi"/>
                <w:sz w:val="22"/>
                <w:szCs w:val="22"/>
              </w:rPr>
              <w:t>элементами</w:t>
            </w:r>
            <w:r w:rsidRPr="00A5626D">
              <w:rPr>
                <w:rFonts w:ascii="Garamond" w:hAnsi="Garamond" w:cstheme="minorHAnsi"/>
                <w:sz w:val="22"/>
                <w:szCs w:val="22"/>
                <w:lang w:val="en-US"/>
              </w:rPr>
              <w:t xml:space="preserve"> </w:t>
            </w:r>
            <w:r w:rsidRPr="00A5626D">
              <w:rPr>
                <w:rFonts w:ascii="Garamond" w:hAnsi="Garamond" w:cstheme="minorHAnsi"/>
                <w:sz w:val="22"/>
                <w:szCs w:val="22"/>
              </w:rPr>
              <w:t>являются</w:t>
            </w:r>
            <w:r w:rsidRPr="00A5626D">
              <w:rPr>
                <w:rFonts w:ascii="Garamond" w:hAnsi="Garamond" w:cstheme="minorHAnsi"/>
                <w:sz w:val="22"/>
                <w:szCs w:val="22"/>
                <w:lang w:val="en-US"/>
              </w:rPr>
              <w:t xml:space="preserve">: </w:t>
            </w:r>
            <w:r w:rsidRPr="00A5626D">
              <w:rPr>
                <w:rFonts w:ascii="Garamond" w:hAnsi="Garamond" w:cstheme="minorHAnsi"/>
                <w:b/>
                <w:sz w:val="22"/>
                <w:szCs w:val="22"/>
                <w:lang w:val="en-US"/>
              </w:rPr>
              <w:t>&lt;organizations&gt;, &lt;gtps&gt;, &lt;power-object-owners&gt;, &lt;aiises&gt;, &lt;power-objects&gt;, &lt;delivery-points&gt;, &lt;measuring-device-modifications&gt;, &lt;measuring-points&gt;, &lt;measuring-objects&gt;.</w:t>
            </w:r>
          </w:p>
        </w:tc>
        <w:tc>
          <w:tcPr>
            <w:tcW w:w="7088" w:type="dxa"/>
          </w:tcPr>
          <w:p w14:paraId="63A8809F" w14:textId="77777777" w:rsidR="00295C6D" w:rsidRPr="00A5626D" w:rsidRDefault="00295C6D" w:rsidP="00E31AE6">
            <w:pPr>
              <w:pStyle w:val="2"/>
              <w:numPr>
                <w:ilvl w:val="0"/>
                <w:numId w:val="0"/>
              </w:numPr>
              <w:tabs>
                <w:tab w:val="left" w:pos="1134"/>
                <w:tab w:val="left" w:pos="7938"/>
              </w:tabs>
              <w:suppressAutoHyphens w:val="0"/>
              <w:spacing w:line="22" w:lineRule="atLeast"/>
              <w:ind w:firstLine="629"/>
              <w:jc w:val="both"/>
              <w:rPr>
                <w:rFonts w:ascii="Garamond" w:hAnsi="Garamond" w:cstheme="minorHAnsi"/>
              </w:rPr>
            </w:pPr>
            <w:r w:rsidRPr="00A5626D">
              <w:rPr>
                <w:rFonts w:ascii="Garamond" w:hAnsi="Garamond" w:cstheme="minorHAnsi"/>
              </w:rPr>
              <w:t>&lt;dictionaries&gt;</w:t>
            </w:r>
          </w:p>
          <w:p w14:paraId="525B35FE" w14:textId="6A87F597" w:rsidR="00295C6D" w:rsidRPr="00A5626D" w:rsidRDefault="00295C6D" w:rsidP="00E31AE6">
            <w:pPr>
              <w:tabs>
                <w:tab w:val="left" w:pos="1134"/>
                <w:tab w:val="left" w:pos="7938"/>
              </w:tabs>
              <w:spacing w:before="120" w:after="120"/>
              <w:ind w:left="66" w:firstLine="540"/>
              <w:jc w:val="both"/>
              <w:rPr>
                <w:rFonts w:ascii="Garamond" w:hAnsi="Garamond" w:cstheme="minorHAnsi"/>
                <w:sz w:val="22"/>
                <w:szCs w:val="22"/>
              </w:rPr>
            </w:pPr>
            <w:r w:rsidRPr="00A5626D">
              <w:rPr>
                <w:rFonts w:ascii="Garamond" w:hAnsi="Garamond" w:cstheme="minorHAnsi"/>
                <w:sz w:val="22"/>
                <w:szCs w:val="22"/>
              </w:rPr>
              <w:t>В элементе &lt;</w:t>
            </w:r>
            <w:r w:rsidRPr="00A5626D">
              <w:rPr>
                <w:rFonts w:ascii="Garamond" w:hAnsi="Garamond" w:cstheme="minorHAnsi"/>
                <w:b/>
                <w:sz w:val="22"/>
                <w:szCs w:val="22"/>
                <w:lang w:val="en-US"/>
              </w:rPr>
              <w:t>dictionaries</w:t>
            </w:r>
            <w:r w:rsidRPr="00A5626D">
              <w:rPr>
                <w:rFonts w:ascii="Garamond" w:hAnsi="Garamond" w:cstheme="minorHAnsi"/>
                <w:sz w:val="22"/>
                <w:szCs w:val="22"/>
              </w:rPr>
              <w:t xml:space="preserve">&gt; описывается справочная информация. Содержит набор словарей (справочников) с информацией об организациях, подписавших документ, собственниках оборудования, энергообъектах, модификациях измерительных приборов, точках поставки, </w:t>
            </w:r>
            <w:r w:rsidRPr="00A5626D">
              <w:rPr>
                <w:rFonts w:ascii="Garamond" w:hAnsi="Garamond" w:cstheme="minorHAnsi"/>
                <w:sz w:val="22"/>
                <w:szCs w:val="22"/>
                <w:highlight w:val="yellow"/>
              </w:rPr>
              <w:t>точках присоединения,</w:t>
            </w:r>
            <w:r w:rsidRPr="00A5626D">
              <w:rPr>
                <w:rFonts w:ascii="Garamond" w:hAnsi="Garamond" w:cstheme="minorHAnsi"/>
                <w:sz w:val="22"/>
                <w:szCs w:val="22"/>
              </w:rPr>
              <w:t xml:space="preserve"> точках измерени</w:t>
            </w:r>
            <w:r w:rsidRPr="00A5626D">
              <w:rPr>
                <w:rFonts w:ascii="Garamond" w:hAnsi="Garamond" w:cstheme="minorHAnsi"/>
                <w:sz w:val="22"/>
                <w:szCs w:val="22"/>
                <w:highlight w:val="yellow"/>
              </w:rPr>
              <w:t>й</w:t>
            </w:r>
            <w:r w:rsidRPr="00A5626D">
              <w:rPr>
                <w:rFonts w:ascii="Garamond" w:hAnsi="Garamond" w:cstheme="minorHAnsi"/>
                <w:sz w:val="22"/>
                <w:szCs w:val="22"/>
              </w:rPr>
              <w:t>, измерительных приборах, измерительных каналах и объектах измерения.</w:t>
            </w:r>
            <w:r w:rsidR="009B5F03" w:rsidRPr="00A5626D">
              <w:rPr>
                <w:rFonts w:ascii="Garamond" w:hAnsi="Garamond" w:cstheme="minorHAnsi"/>
                <w:sz w:val="22"/>
                <w:szCs w:val="22"/>
              </w:rPr>
              <w:t xml:space="preserve"> </w:t>
            </w:r>
          </w:p>
          <w:p w14:paraId="10333023" w14:textId="77777777" w:rsidR="00295C6D" w:rsidRPr="00A5626D" w:rsidRDefault="00295C6D" w:rsidP="00E31AE6">
            <w:pPr>
              <w:tabs>
                <w:tab w:val="left" w:pos="1134"/>
                <w:tab w:val="left" w:pos="7938"/>
              </w:tabs>
              <w:spacing w:before="120" w:after="120"/>
              <w:ind w:left="66" w:firstLine="540"/>
              <w:jc w:val="both"/>
              <w:rPr>
                <w:rFonts w:ascii="Garamond" w:hAnsi="Garamond" w:cstheme="minorHAnsi"/>
                <w:sz w:val="22"/>
                <w:szCs w:val="22"/>
              </w:rPr>
            </w:pPr>
            <w:r w:rsidRPr="00A5626D">
              <w:rPr>
                <w:rFonts w:ascii="Garamond" w:hAnsi="Garamond" w:cstheme="minorHAnsi"/>
                <w:bCs/>
                <w:sz w:val="22"/>
                <w:szCs w:val="22"/>
              </w:rPr>
              <w:t>Обязательный элемент</w:t>
            </w:r>
            <w:r w:rsidRPr="00A5626D">
              <w:rPr>
                <w:rFonts w:ascii="Garamond" w:hAnsi="Garamond" w:cstheme="minorHAnsi"/>
                <w:sz w:val="22"/>
                <w:szCs w:val="22"/>
              </w:rPr>
              <w:t>. Допускается наличие только одного элемента.</w:t>
            </w:r>
          </w:p>
          <w:p w14:paraId="16CA608C" w14:textId="77777777" w:rsidR="00295C6D" w:rsidRPr="00A5626D" w:rsidRDefault="00295C6D" w:rsidP="00E31AE6">
            <w:pPr>
              <w:pStyle w:val="2"/>
              <w:numPr>
                <w:ilvl w:val="0"/>
                <w:numId w:val="0"/>
              </w:numPr>
              <w:tabs>
                <w:tab w:val="left" w:pos="1134"/>
                <w:tab w:val="left" w:pos="7938"/>
              </w:tabs>
              <w:suppressAutoHyphens w:val="0"/>
              <w:spacing w:line="22" w:lineRule="atLeast"/>
              <w:ind w:firstLine="629"/>
              <w:jc w:val="both"/>
              <w:rPr>
                <w:rFonts w:ascii="Garamond" w:hAnsi="Garamond" w:cstheme="minorHAnsi"/>
                <w:b w:val="0"/>
                <w:lang w:val="en-US"/>
              </w:rPr>
            </w:pPr>
            <w:r w:rsidRPr="00A5626D">
              <w:rPr>
                <w:rFonts w:ascii="Garamond" w:hAnsi="Garamond" w:cstheme="minorHAnsi"/>
                <w:b w:val="0"/>
              </w:rPr>
              <w:t>Дочерними</w:t>
            </w:r>
            <w:r w:rsidRPr="00A5626D">
              <w:rPr>
                <w:rFonts w:ascii="Garamond" w:hAnsi="Garamond" w:cstheme="minorHAnsi"/>
                <w:b w:val="0"/>
                <w:lang w:val="en-US"/>
              </w:rPr>
              <w:t xml:space="preserve"> </w:t>
            </w:r>
            <w:r w:rsidRPr="00A5626D">
              <w:rPr>
                <w:rFonts w:ascii="Garamond" w:hAnsi="Garamond" w:cstheme="minorHAnsi"/>
                <w:b w:val="0"/>
              </w:rPr>
              <w:t>элементами</w:t>
            </w:r>
            <w:r w:rsidRPr="00A5626D">
              <w:rPr>
                <w:rFonts w:ascii="Garamond" w:hAnsi="Garamond" w:cstheme="minorHAnsi"/>
                <w:b w:val="0"/>
                <w:lang w:val="en-US"/>
              </w:rPr>
              <w:t xml:space="preserve"> </w:t>
            </w:r>
            <w:r w:rsidRPr="00A5626D">
              <w:rPr>
                <w:rFonts w:ascii="Garamond" w:hAnsi="Garamond" w:cstheme="minorHAnsi"/>
                <w:b w:val="0"/>
              </w:rPr>
              <w:t>являются</w:t>
            </w:r>
            <w:r w:rsidRPr="00A5626D">
              <w:rPr>
                <w:rFonts w:ascii="Garamond" w:hAnsi="Garamond" w:cstheme="minorHAnsi"/>
                <w:b w:val="0"/>
                <w:lang w:val="en-US"/>
              </w:rPr>
              <w:t>:</w:t>
            </w:r>
            <w:r w:rsidRPr="00A5626D">
              <w:rPr>
                <w:rFonts w:ascii="Garamond" w:hAnsi="Garamond" w:cstheme="minorHAnsi"/>
                <w:lang w:val="en-US"/>
              </w:rPr>
              <w:t xml:space="preserve"> &lt;organizations&gt;, &lt;gtps&gt;, &lt;power-object-owners&gt;, &lt;aiises&gt;, &lt;power-objects&gt;, &lt;delivery-points&gt;, &lt;measuring-device-modifications&gt;, &lt;measuring-points&gt;, &lt;measuring-objects&gt;.</w:t>
            </w:r>
          </w:p>
        </w:tc>
      </w:tr>
      <w:tr w:rsidR="00295C6D" w:rsidRPr="00A5626D" w14:paraId="13460041" w14:textId="77777777" w:rsidTr="00647FA0">
        <w:tc>
          <w:tcPr>
            <w:tcW w:w="1060" w:type="dxa"/>
            <w:vAlign w:val="center"/>
          </w:tcPr>
          <w:p w14:paraId="62BBB8C0" w14:textId="5344CD41" w:rsidR="00295C6D" w:rsidRPr="00A5626D" w:rsidRDefault="00295C6D" w:rsidP="00E31AE6">
            <w:pPr>
              <w:widowControl w:val="0"/>
              <w:tabs>
                <w:tab w:val="left" w:pos="1134"/>
                <w:tab w:val="left" w:pos="7938"/>
              </w:tabs>
              <w:spacing w:line="22" w:lineRule="atLeast"/>
              <w:jc w:val="both"/>
              <w:rPr>
                <w:rFonts w:ascii="Garamond" w:hAnsi="Garamond"/>
                <w:b/>
                <w:sz w:val="22"/>
                <w:szCs w:val="22"/>
                <w:lang w:val="en-US" w:eastAsia="en-US"/>
              </w:rPr>
            </w:pPr>
            <w:r w:rsidRPr="00A5626D">
              <w:rPr>
                <w:rFonts w:ascii="Garamond" w:hAnsi="Garamond"/>
                <w:b/>
                <w:sz w:val="22"/>
                <w:szCs w:val="22"/>
                <w:lang w:eastAsia="en-US"/>
              </w:rPr>
              <w:t>Приложение 5, п.</w:t>
            </w:r>
            <w:r w:rsidR="00647FA0" w:rsidRPr="00A5626D">
              <w:rPr>
                <w:rFonts w:ascii="Garamond" w:hAnsi="Garamond"/>
                <w:b/>
                <w:sz w:val="22"/>
                <w:szCs w:val="22"/>
                <w:lang w:eastAsia="en-US"/>
              </w:rPr>
              <w:t> </w:t>
            </w:r>
            <w:r w:rsidRPr="00A5626D">
              <w:rPr>
                <w:rFonts w:ascii="Garamond" w:hAnsi="Garamond"/>
                <w:b/>
                <w:sz w:val="22"/>
                <w:szCs w:val="22"/>
                <w:lang w:eastAsia="en-US"/>
              </w:rPr>
              <w:t>4.4.1.2.1.1.2</w:t>
            </w:r>
            <w:r w:rsidR="009B5F03" w:rsidRPr="00A5626D">
              <w:rPr>
                <w:rFonts w:ascii="Garamond" w:hAnsi="Garamond" w:cstheme="minorHAnsi"/>
                <w:b/>
                <w:sz w:val="22"/>
                <w:szCs w:val="22"/>
              </w:rPr>
              <w:t xml:space="preserve"> </w:t>
            </w:r>
            <w:r w:rsidRPr="00A5626D">
              <w:rPr>
                <w:rFonts w:ascii="Garamond" w:hAnsi="Garamond" w:cstheme="minorHAnsi"/>
                <w:b/>
                <w:sz w:val="22"/>
                <w:szCs w:val="22"/>
              </w:rPr>
              <w:t xml:space="preserve"> </w:t>
            </w:r>
          </w:p>
        </w:tc>
        <w:tc>
          <w:tcPr>
            <w:tcW w:w="6662" w:type="dxa"/>
          </w:tcPr>
          <w:p w14:paraId="56AB8A2C" w14:textId="77777777" w:rsidR="00295C6D" w:rsidRPr="00A5626D" w:rsidRDefault="00295C6D" w:rsidP="00E31AE6">
            <w:pPr>
              <w:widowControl w:val="0"/>
              <w:tabs>
                <w:tab w:val="left" w:pos="1134"/>
                <w:tab w:val="left" w:pos="7938"/>
              </w:tabs>
              <w:autoSpaceDE w:val="0"/>
              <w:autoSpaceDN w:val="0"/>
              <w:adjustRightInd w:val="0"/>
              <w:spacing w:before="60" w:after="60" w:line="276" w:lineRule="auto"/>
              <w:ind w:firstLine="567"/>
              <w:jc w:val="both"/>
              <w:rPr>
                <w:rFonts w:ascii="Garamond" w:hAnsi="Garamond" w:cstheme="minorHAnsi"/>
                <w:sz w:val="22"/>
                <w:szCs w:val="22"/>
              </w:rPr>
            </w:pPr>
            <w:r w:rsidRPr="00A5626D">
              <w:rPr>
                <w:rFonts w:ascii="Garamond" w:hAnsi="Garamond" w:cstheme="minorHAnsi"/>
                <w:sz w:val="22"/>
                <w:szCs w:val="22"/>
              </w:rPr>
              <w:t>&lt;</w:t>
            </w:r>
            <w:r w:rsidRPr="00A5626D">
              <w:rPr>
                <w:rFonts w:ascii="Garamond" w:hAnsi="Garamond" w:cstheme="minorHAnsi"/>
                <w:i/>
                <w:sz w:val="22"/>
                <w:szCs w:val="22"/>
                <w:lang w:val="en-US"/>
              </w:rPr>
              <w:t>gtps</w:t>
            </w:r>
            <w:r w:rsidRPr="00A5626D">
              <w:rPr>
                <w:rFonts w:ascii="Garamond" w:hAnsi="Garamond" w:cstheme="minorHAnsi"/>
                <w:sz w:val="22"/>
                <w:szCs w:val="22"/>
              </w:rPr>
              <w:t>&gt;</w:t>
            </w:r>
          </w:p>
          <w:p w14:paraId="0DE08D75" w14:textId="77777777" w:rsidR="00295C6D" w:rsidRPr="00A5626D" w:rsidRDefault="00295C6D" w:rsidP="00E31AE6">
            <w:pPr>
              <w:widowControl w:val="0"/>
              <w:tabs>
                <w:tab w:val="left" w:pos="1134"/>
                <w:tab w:val="left" w:pos="7938"/>
              </w:tabs>
              <w:autoSpaceDE w:val="0"/>
              <w:autoSpaceDN w:val="0"/>
              <w:adjustRightInd w:val="0"/>
              <w:spacing w:before="60" w:after="60" w:line="276" w:lineRule="auto"/>
              <w:ind w:firstLine="567"/>
              <w:jc w:val="both"/>
              <w:rPr>
                <w:rFonts w:ascii="Garamond" w:hAnsi="Garamond" w:cstheme="minorHAnsi"/>
                <w:sz w:val="22"/>
                <w:szCs w:val="22"/>
              </w:rPr>
            </w:pPr>
            <w:r w:rsidRPr="00A5626D">
              <w:rPr>
                <w:rFonts w:ascii="Garamond" w:hAnsi="Garamond" w:cstheme="minorHAnsi"/>
                <w:sz w:val="22"/>
                <w:szCs w:val="22"/>
              </w:rPr>
              <w:t>Элемент &lt;</w:t>
            </w:r>
            <w:r w:rsidRPr="00A5626D">
              <w:rPr>
                <w:rFonts w:ascii="Garamond" w:hAnsi="Garamond" w:cstheme="minorHAnsi"/>
                <w:b/>
                <w:sz w:val="22"/>
                <w:szCs w:val="22"/>
                <w:lang w:val="en-US"/>
              </w:rPr>
              <w:t>gtps</w:t>
            </w:r>
            <w:r w:rsidRPr="00A5626D">
              <w:rPr>
                <w:rFonts w:ascii="Garamond" w:hAnsi="Garamond" w:cstheme="minorHAnsi"/>
                <w:sz w:val="22"/>
                <w:szCs w:val="22"/>
              </w:rPr>
              <w:t>&gt; содержит информацию по ГТП.</w:t>
            </w:r>
          </w:p>
          <w:p w14:paraId="7A9F8250" w14:textId="77777777" w:rsidR="00295C6D" w:rsidRPr="00A5626D" w:rsidRDefault="00295C6D" w:rsidP="00E31AE6">
            <w:pPr>
              <w:widowControl w:val="0"/>
              <w:tabs>
                <w:tab w:val="left" w:pos="1134"/>
                <w:tab w:val="left" w:pos="7938"/>
              </w:tabs>
              <w:autoSpaceDE w:val="0"/>
              <w:autoSpaceDN w:val="0"/>
              <w:adjustRightInd w:val="0"/>
              <w:spacing w:before="60" w:after="60" w:line="276" w:lineRule="auto"/>
              <w:ind w:firstLine="567"/>
              <w:jc w:val="both"/>
              <w:rPr>
                <w:rFonts w:ascii="Garamond" w:hAnsi="Garamond" w:cstheme="minorHAnsi"/>
                <w:sz w:val="22"/>
                <w:szCs w:val="22"/>
              </w:rPr>
            </w:pPr>
            <w:r w:rsidRPr="00A5626D">
              <w:rPr>
                <w:rFonts w:ascii="Garamond" w:hAnsi="Garamond" w:cstheme="minorHAnsi"/>
                <w:bCs/>
                <w:sz w:val="22"/>
                <w:szCs w:val="22"/>
              </w:rPr>
              <w:t>Обязательный элемент</w:t>
            </w:r>
            <w:r w:rsidRPr="00A5626D">
              <w:rPr>
                <w:rFonts w:ascii="Garamond" w:hAnsi="Garamond" w:cstheme="minorHAnsi"/>
                <w:sz w:val="22"/>
                <w:szCs w:val="22"/>
              </w:rPr>
              <w:t>. Допускается наличие только одного элемента.</w:t>
            </w:r>
          </w:p>
          <w:p w14:paraId="54573BD6" w14:textId="77777777" w:rsidR="00295C6D" w:rsidRPr="00A5626D" w:rsidRDefault="00295C6D" w:rsidP="00E31AE6">
            <w:pPr>
              <w:pStyle w:val="2"/>
              <w:numPr>
                <w:ilvl w:val="0"/>
                <w:numId w:val="0"/>
              </w:numPr>
              <w:tabs>
                <w:tab w:val="left" w:pos="1134"/>
                <w:tab w:val="left" w:pos="7938"/>
              </w:tabs>
              <w:suppressAutoHyphens w:val="0"/>
              <w:spacing w:line="22" w:lineRule="atLeast"/>
              <w:ind w:firstLine="629"/>
              <w:jc w:val="both"/>
              <w:rPr>
                <w:rFonts w:ascii="Garamond" w:hAnsi="Garamond" w:cstheme="minorHAnsi"/>
                <w:b w:val="0"/>
                <w:lang w:val="en-US"/>
              </w:rPr>
            </w:pPr>
            <w:r w:rsidRPr="00A5626D">
              <w:rPr>
                <w:rFonts w:ascii="Garamond" w:hAnsi="Garamond" w:cstheme="minorHAnsi"/>
              </w:rPr>
              <w:t>Дочерними элементами являются: &lt;</w:t>
            </w:r>
            <w:r w:rsidRPr="00A5626D">
              <w:rPr>
                <w:rFonts w:ascii="Garamond" w:hAnsi="Garamond" w:cstheme="minorHAnsi"/>
                <w:b w:val="0"/>
                <w:lang w:val="en-US"/>
              </w:rPr>
              <w:t>gtpp</w:t>
            </w:r>
            <w:r w:rsidRPr="00A5626D">
              <w:rPr>
                <w:rFonts w:ascii="Garamond" w:hAnsi="Garamond" w:cstheme="minorHAnsi"/>
                <w:b w:val="0"/>
              </w:rPr>
              <w:t>&gt;.</w:t>
            </w:r>
          </w:p>
        </w:tc>
        <w:tc>
          <w:tcPr>
            <w:tcW w:w="7088" w:type="dxa"/>
          </w:tcPr>
          <w:p w14:paraId="319F557D" w14:textId="77777777" w:rsidR="00295C6D" w:rsidRPr="00A5626D" w:rsidRDefault="00295C6D" w:rsidP="00E31AE6">
            <w:pPr>
              <w:widowControl w:val="0"/>
              <w:tabs>
                <w:tab w:val="left" w:pos="1134"/>
                <w:tab w:val="left" w:pos="7938"/>
              </w:tabs>
              <w:autoSpaceDE w:val="0"/>
              <w:autoSpaceDN w:val="0"/>
              <w:adjustRightInd w:val="0"/>
              <w:spacing w:before="60" w:after="60" w:line="276" w:lineRule="auto"/>
              <w:ind w:firstLine="567"/>
              <w:jc w:val="both"/>
              <w:rPr>
                <w:rFonts w:ascii="Garamond" w:hAnsi="Garamond" w:cstheme="minorHAnsi"/>
                <w:sz w:val="22"/>
                <w:szCs w:val="22"/>
              </w:rPr>
            </w:pPr>
            <w:r w:rsidRPr="00A5626D">
              <w:rPr>
                <w:rFonts w:ascii="Garamond" w:hAnsi="Garamond" w:cstheme="minorHAnsi"/>
                <w:sz w:val="22"/>
                <w:szCs w:val="22"/>
              </w:rPr>
              <w:t>&lt;</w:t>
            </w:r>
            <w:r w:rsidRPr="00A5626D">
              <w:rPr>
                <w:rFonts w:ascii="Garamond" w:hAnsi="Garamond" w:cstheme="minorHAnsi"/>
                <w:i/>
                <w:sz w:val="22"/>
                <w:szCs w:val="22"/>
                <w:lang w:val="en-US"/>
              </w:rPr>
              <w:t>gtps</w:t>
            </w:r>
            <w:r w:rsidRPr="00A5626D">
              <w:rPr>
                <w:rFonts w:ascii="Garamond" w:hAnsi="Garamond" w:cstheme="minorHAnsi"/>
                <w:sz w:val="22"/>
                <w:szCs w:val="22"/>
              </w:rPr>
              <w:t>&gt;</w:t>
            </w:r>
          </w:p>
          <w:p w14:paraId="489F6098" w14:textId="77777777" w:rsidR="00295C6D" w:rsidRPr="00A5626D" w:rsidRDefault="00295C6D" w:rsidP="00E31AE6">
            <w:pPr>
              <w:widowControl w:val="0"/>
              <w:tabs>
                <w:tab w:val="left" w:pos="1134"/>
                <w:tab w:val="left" w:pos="7938"/>
              </w:tabs>
              <w:autoSpaceDE w:val="0"/>
              <w:autoSpaceDN w:val="0"/>
              <w:adjustRightInd w:val="0"/>
              <w:spacing w:before="60" w:after="60" w:line="276" w:lineRule="auto"/>
              <w:ind w:firstLine="567"/>
              <w:jc w:val="both"/>
              <w:rPr>
                <w:rFonts w:ascii="Garamond" w:hAnsi="Garamond" w:cstheme="minorHAnsi"/>
                <w:sz w:val="22"/>
                <w:szCs w:val="22"/>
              </w:rPr>
            </w:pPr>
            <w:r w:rsidRPr="00A5626D">
              <w:rPr>
                <w:rFonts w:ascii="Garamond" w:hAnsi="Garamond" w:cstheme="minorHAnsi"/>
                <w:sz w:val="22"/>
                <w:szCs w:val="22"/>
              </w:rPr>
              <w:t>Элемент &lt;</w:t>
            </w:r>
            <w:r w:rsidRPr="00A5626D">
              <w:rPr>
                <w:rFonts w:ascii="Garamond" w:hAnsi="Garamond" w:cstheme="minorHAnsi"/>
                <w:b/>
                <w:sz w:val="22"/>
                <w:szCs w:val="22"/>
                <w:lang w:val="en-US"/>
              </w:rPr>
              <w:t>gtps</w:t>
            </w:r>
            <w:r w:rsidRPr="00A5626D">
              <w:rPr>
                <w:rFonts w:ascii="Garamond" w:hAnsi="Garamond" w:cstheme="minorHAnsi"/>
                <w:sz w:val="22"/>
                <w:szCs w:val="22"/>
              </w:rPr>
              <w:t xml:space="preserve">&gt; содержит информацию по ГТП </w:t>
            </w:r>
            <w:r w:rsidRPr="00A5626D">
              <w:rPr>
                <w:rFonts w:ascii="Garamond" w:hAnsi="Garamond" w:cstheme="minorHAnsi"/>
                <w:sz w:val="22"/>
                <w:szCs w:val="22"/>
                <w:highlight w:val="yellow"/>
              </w:rPr>
              <w:t>/ ОР</w:t>
            </w:r>
            <w:r w:rsidRPr="00A5626D">
              <w:rPr>
                <w:rFonts w:ascii="Garamond" w:hAnsi="Garamond" w:cstheme="minorHAnsi"/>
                <w:sz w:val="22"/>
                <w:szCs w:val="22"/>
              </w:rPr>
              <w:t>.</w:t>
            </w:r>
          </w:p>
          <w:p w14:paraId="25498C4D" w14:textId="77777777" w:rsidR="00295C6D" w:rsidRPr="00A5626D" w:rsidRDefault="00295C6D" w:rsidP="00E31AE6">
            <w:pPr>
              <w:widowControl w:val="0"/>
              <w:tabs>
                <w:tab w:val="left" w:pos="1134"/>
                <w:tab w:val="left" w:pos="7938"/>
              </w:tabs>
              <w:autoSpaceDE w:val="0"/>
              <w:autoSpaceDN w:val="0"/>
              <w:adjustRightInd w:val="0"/>
              <w:spacing w:before="60" w:after="60" w:line="276" w:lineRule="auto"/>
              <w:ind w:firstLine="567"/>
              <w:jc w:val="both"/>
              <w:rPr>
                <w:rFonts w:ascii="Garamond" w:hAnsi="Garamond" w:cstheme="minorHAnsi"/>
                <w:sz w:val="22"/>
                <w:szCs w:val="22"/>
              </w:rPr>
            </w:pPr>
            <w:r w:rsidRPr="00A5626D">
              <w:rPr>
                <w:rFonts w:ascii="Garamond" w:hAnsi="Garamond" w:cstheme="minorHAnsi"/>
                <w:bCs/>
                <w:sz w:val="22"/>
                <w:szCs w:val="22"/>
              </w:rPr>
              <w:t>Обязательный элемент</w:t>
            </w:r>
            <w:r w:rsidRPr="00A5626D">
              <w:rPr>
                <w:rFonts w:ascii="Garamond" w:hAnsi="Garamond" w:cstheme="minorHAnsi"/>
                <w:sz w:val="22"/>
                <w:szCs w:val="22"/>
              </w:rPr>
              <w:t>. Допускается наличие только одного элемента.</w:t>
            </w:r>
          </w:p>
          <w:p w14:paraId="11981ABA" w14:textId="77777777" w:rsidR="00295C6D" w:rsidRPr="00A5626D" w:rsidRDefault="00295C6D" w:rsidP="00E31AE6">
            <w:pPr>
              <w:pStyle w:val="2"/>
              <w:numPr>
                <w:ilvl w:val="0"/>
                <w:numId w:val="0"/>
              </w:numPr>
              <w:tabs>
                <w:tab w:val="left" w:pos="1134"/>
                <w:tab w:val="left" w:pos="7938"/>
              </w:tabs>
              <w:suppressAutoHyphens w:val="0"/>
              <w:spacing w:line="22" w:lineRule="atLeast"/>
              <w:ind w:firstLine="629"/>
              <w:jc w:val="both"/>
              <w:rPr>
                <w:rFonts w:ascii="Garamond" w:hAnsi="Garamond" w:cstheme="minorHAnsi"/>
                <w:b w:val="0"/>
              </w:rPr>
            </w:pPr>
            <w:r w:rsidRPr="00A5626D">
              <w:rPr>
                <w:rFonts w:ascii="Garamond" w:hAnsi="Garamond" w:cstheme="minorHAnsi"/>
                <w:b w:val="0"/>
              </w:rPr>
              <w:t>Дочерними элементами являются:</w:t>
            </w:r>
            <w:r w:rsidRPr="00A5626D">
              <w:rPr>
                <w:rFonts w:ascii="Garamond" w:hAnsi="Garamond" w:cstheme="minorHAnsi"/>
              </w:rPr>
              <w:t xml:space="preserve"> &lt;gtpp&gt;</w:t>
            </w:r>
            <w:r w:rsidRPr="00C6418D">
              <w:rPr>
                <w:rFonts w:ascii="Garamond" w:hAnsi="Garamond" w:cstheme="minorHAnsi"/>
                <w:highlight w:val="yellow"/>
              </w:rPr>
              <w:t>, &lt;</w:t>
            </w:r>
            <w:r w:rsidRPr="00A5626D">
              <w:rPr>
                <w:rFonts w:ascii="Garamond" w:hAnsi="Garamond" w:cstheme="minorHAnsi"/>
                <w:highlight w:val="yellow"/>
              </w:rPr>
              <w:t>gtp-regulation-object&gt;.</w:t>
            </w:r>
          </w:p>
        </w:tc>
      </w:tr>
      <w:tr w:rsidR="00295C6D" w:rsidRPr="00A5626D" w14:paraId="176EE04D" w14:textId="77777777" w:rsidTr="00647FA0">
        <w:tc>
          <w:tcPr>
            <w:tcW w:w="1060" w:type="dxa"/>
            <w:vAlign w:val="center"/>
          </w:tcPr>
          <w:p w14:paraId="7F84774E" w14:textId="41D81692" w:rsidR="00295C6D" w:rsidRPr="00A5626D" w:rsidRDefault="00295C6D" w:rsidP="00E31AE6">
            <w:pPr>
              <w:widowControl w:val="0"/>
              <w:tabs>
                <w:tab w:val="left" w:pos="1134"/>
                <w:tab w:val="left" w:pos="7938"/>
              </w:tabs>
              <w:spacing w:line="22" w:lineRule="atLeast"/>
              <w:jc w:val="both"/>
              <w:rPr>
                <w:rFonts w:ascii="Garamond" w:hAnsi="Garamond"/>
                <w:b/>
                <w:sz w:val="22"/>
                <w:szCs w:val="22"/>
                <w:lang w:eastAsia="en-US"/>
              </w:rPr>
            </w:pPr>
            <w:r w:rsidRPr="00A5626D">
              <w:rPr>
                <w:rFonts w:ascii="Garamond" w:hAnsi="Garamond"/>
                <w:b/>
                <w:sz w:val="22"/>
                <w:szCs w:val="22"/>
                <w:lang w:eastAsia="en-US"/>
              </w:rPr>
              <w:t>Приложение 5, п.</w:t>
            </w:r>
            <w:r w:rsidR="00647FA0" w:rsidRPr="00A5626D">
              <w:rPr>
                <w:rFonts w:ascii="Garamond" w:hAnsi="Garamond"/>
                <w:b/>
                <w:sz w:val="22"/>
                <w:szCs w:val="22"/>
                <w:lang w:eastAsia="en-US"/>
              </w:rPr>
              <w:t> </w:t>
            </w:r>
            <w:r w:rsidRPr="00A5626D">
              <w:rPr>
                <w:rFonts w:ascii="Garamond" w:hAnsi="Garamond"/>
                <w:b/>
                <w:sz w:val="22"/>
                <w:szCs w:val="22"/>
                <w:lang w:eastAsia="en-US"/>
              </w:rPr>
              <w:t>4.4.1.2.1.2.2</w:t>
            </w:r>
            <w:r w:rsidR="009B5F03" w:rsidRPr="00A5626D">
              <w:rPr>
                <w:rFonts w:ascii="Garamond" w:hAnsi="Garamond" w:cstheme="minorHAnsi"/>
                <w:b/>
                <w:sz w:val="22"/>
                <w:szCs w:val="22"/>
              </w:rPr>
              <w:t xml:space="preserve">    </w:t>
            </w:r>
            <w:r w:rsidRPr="00A5626D">
              <w:rPr>
                <w:rFonts w:ascii="Garamond" w:hAnsi="Garamond" w:cstheme="minorHAnsi"/>
                <w:b/>
                <w:sz w:val="22"/>
                <w:szCs w:val="22"/>
              </w:rPr>
              <w:t xml:space="preserve"> </w:t>
            </w:r>
          </w:p>
        </w:tc>
        <w:tc>
          <w:tcPr>
            <w:tcW w:w="6662" w:type="dxa"/>
          </w:tcPr>
          <w:p w14:paraId="71E0F2E0" w14:textId="77777777" w:rsidR="00C6418D" w:rsidRDefault="00C6418D" w:rsidP="00C6418D">
            <w:pPr>
              <w:widowControl w:val="0"/>
              <w:tabs>
                <w:tab w:val="left" w:pos="1134"/>
                <w:tab w:val="left" w:pos="7938"/>
              </w:tabs>
              <w:autoSpaceDE w:val="0"/>
              <w:autoSpaceDN w:val="0"/>
              <w:adjustRightInd w:val="0"/>
              <w:spacing w:before="60" w:after="60" w:line="276" w:lineRule="auto"/>
              <w:jc w:val="both"/>
              <w:rPr>
                <w:rFonts w:ascii="Garamond" w:hAnsi="Garamond"/>
                <w:sz w:val="22"/>
                <w:szCs w:val="22"/>
              </w:rPr>
            </w:pPr>
          </w:p>
          <w:p w14:paraId="17E1E64C" w14:textId="411F893E" w:rsidR="00295C6D" w:rsidRPr="00C6418D" w:rsidRDefault="00295C6D" w:rsidP="00C6418D">
            <w:pPr>
              <w:widowControl w:val="0"/>
              <w:tabs>
                <w:tab w:val="left" w:pos="1134"/>
                <w:tab w:val="left" w:pos="7938"/>
              </w:tabs>
              <w:autoSpaceDE w:val="0"/>
              <w:autoSpaceDN w:val="0"/>
              <w:adjustRightInd w:val="0"/>
              <w:spacing w:before="60" w:after="60" w:line="276" w:lineRule="auto"/>
              <w:jc w:val="both"/>
              <w:rPr>
                <w:rFonts w:ascii="Garamond" w:hAnsi="Garamond"/>
                <w:b/>
                <w:sz w:val="22"/>
                <w:szCs w:val="22"/>
                <w:highlight w:val="yellow"/>
              </w:rPr>
            </w:pPr>
            <w:r w:rsidRPr="00A5626D">
              <w:rPr>
                <w:rFonts w:ascii="Garamond" w:hAnsi="Garamond"/>
                <w:sz w:val="22"/>
                <w:szCs w:val="22"/>
              </w:rPr>
              <w:t xml:space="preserve"> </w:t>
            </w:r>
            <w:r w:rsidR="00C6418D" w:rsidRPr="00C6418D">
              <w:rPr>
                <w:rFonts w:ascii="Garamond" w:hAnsi="Garamond"/>
                <w:b/>
                <w:sz w:val="22"/>
                <w:szCs w:val="22"/>
              </w:rPr>
              <w:t>Добавить пункт</w:t>
            </w:r>
          </w:p>
        </w:tc>
        <w:tc>
          <w:tcPr>
            <w:tcW w:w="7088" w:type="dxa"/>
          </w:tcPr>
          <w:p w14:paraId="504CA7EF" w14:textId="77777777" w:rsidR="00295C6D" w:rsidRPr="00A5626D" w:rsidRDefault="00295C6D" w:rsidP="00E31AE6">
            <w:pPr>
              <w:pStyle w:val="5"/>
              <w:numPr>
                <w:ilvl w:val="4"/>
                <w:numId w:val="0"/>
              </w:numPr>
              <w:tabs>
                <w:tab w:val="left" w:pos="1134"/>
                <w:tab w:val="left" w:pos="7938"/>
              </w:tabs>
              <w:suppressAutoHyphens w:val="0"/>
              <w:spacing w:line="259" w:lineRule="auto"/>
              <w:ind w:left="1008" w:hanging="431"/>
              <w:rPr>
                <w:rFonts w:ascii="Garamond" w:hAnsi="Garamond"/>
                <w:color w:val="auto"/>
                <w:sz w:val="22"/>
                <w:szCs w:val="22"/>
              </w:rPr>
            </w:pPr>
            <w:r w:rsidRPr="00A5626D">
              <w:rPr>
                <w:rFonts w:ascii="Garamond" w:hAnsi="Garamond"/>
                <w:color w:val="auto"/>
                <w:sz w:val="22"/>
                <w:szCs w:val="22"/>
                <w:highlight w:val="yellow"/>
              </w:rPr>
              <w:t>&lt;gtp-regulation-object&gt;</w:t>
            </w:r>
          </w:p>
          <w:p w14:paraId="27D349C0" w14:textId="77777777" w:rsidR="00295C6D" w:rsidRPr="00A5626D" w:rsidRDefault="00295C6D" w:rsidP="00E31AE6">
            <w:pPr>
              <w:widowControl w:val="0"/>
              <w:tabs>
                <w:tab w:val="left" w:pos="1134"/>
                <w:tab w:val="left" w:pos="7938"/>
              </w:tabs>
              <w:autoSpaceDE w:val="0"/>
              <w:autoSpaceDN w:val="0"/>
              <w:adjustRightInd w:val="0"/>
              <w:spacing w:beforeLines="40" w:before="96" w:afterLines="40" w:after="96"/>
              <w:ind w:firstLine="577"/>
              <w:jc w:val="both"/>
              <w:rPr>
                <w:rFonts w:ascii="Garamond" w:hAnsi="Garamond"/>
                <w:sz w:val="22"/>
                <w:szCs w:val="22"/>
                <w:highlight w:val="yellow"/>
              </w:rPr>
            </w:pPr>
            <w:r w:rsidRPr="00A5626D">
              <w:rPr>
                <w:rFonts w:ascii="Garamond" w:hAnsi="Garamond"/>
                <w:sz w:val="22"/>
                <w:szCs w:val="22"/>
                <w:highlight w:val="yellow"/>
              </w:rPr>
              <w:t>Элемент &lt;</w:t>
            </w:r>
            <w:r w:rsidRPr="00A5626D">
              <w:rPr>
                <w:rFonts w:ascii="Garamond" w:hAnsi="Garamond"/>
                <w:sz w:val="22"/>
                <w:szCs w:val="22"/>
                <w:highlight w:val="yellow"/>
                <w:lang w:val="en-US"/>
              </w:rPr>
              <w:t>gtp</w:t>
            </w:r>
            <w:r w:rsidRPr="00A5626D">
              <w:rPr>
                <w:rFonts w:ascii="Garamond" w:hAnsi="Garamond"/>
                <w:sz w:val="22"/>
                <w:szCs w:val="22"/>
                <w:highlight w:val="yellow"/>
              </w:rPr>
              <w:t>-</w:t>
            </w:r>
            <w:r w:rsidRPr="00A5626D">
              <w:rPr>
                <w:rFonts w:ascii="Garamond" w:hAnsi="Garamond"/>
                <w:sz w:val="22"/>
                <w:szCs w:val="22"/>
                <w:highlight w:val="yellow"/>
                <w:lang w:val="en-US"/>
              </w:rPr>
              <w:t>r</w:t>
            </w:r>
            <w:r w:rsidRPr="00A5626D">
              <w:rPr>
                <w:rFonts w:ascii="Garamond" w:hAnsi="Garamond"/>
                <w:sz w:val="22"/>
                <w:szCs w:val="22"/>
                <w:highlight w:val="yellow"/>
              </w:rPr>
              <w:t>egulation-object&gt; cодержит информацию об объекте регулирования агрегатора. Элемент передается только в макетах 60000 по объектам регулирования.</w:t>
            </w:r>
          </w:p>
          <w:p w14:paraId="6FC120FD" w14:textId="77777777" w:rsidR="00295C6D" w:rsidRPr="00A5626D" w:rsidRDefault="00295C6D" w:rsidP="00E31AE6">
            <w:pPr>
              <w:widowControl w:val="0"/>
              <w:tabs>
                <w:tab w:val="left" w:pos="1134"/>
                <w:tab w:val="left" w:pos="7938"/>
              </w:tabs>
              <w:autoSpaceDE w:val="0"/>
              <w:autoSpaceDN w:val="0"/>
              <w:adjustRightInd w:val="0"/>
              <w:spacing w:beforeLines="40" w:before="96" w:afterLines="40" w:after="96"/>
              <w:ind w:firstLine="577"/>
              <w:jc w:val="both"/>
              <w:rPr>
                <w:rFonts w:ascii="Garamond" w:hAnsi="Garamond"/>
                <w:sz w:val="22"/>
                <w:szCs w:val="22"/>
                <w:highlight w:val="yellow"/>
              </w:rPr>
            </w:pPr>
            <w:r w:rsidRPr="00A5626D">
              <w:rPr>
                <w:rFonts w:ascii="Garamond" w:hAnsi="Garamond"/>
                <w:sz w:val="22"/>
                <w:szCs w:val="22"/>
                <w:highlight w:val="yellow"/>
              </w:rPr>
              <w:t>Необязательный элемент при наличии элемента &lt;gtpp&gt; или &lt;gtpg&gt;, обязательный при их отсутствии. Допускается наличие только одного элемента.</w:t>
            </w:r>
          </w:p>
          <w:p w14:paraId="5F1B8CBC" w14:textId="77777777" w:rsidR="00295C6D" w:rsidRPr="00A5626D" w:rsidRDefault="00295C6D" w:rsidP="00E31AE6">
            <w:pPr>
              <w:tabs>
                <w:tab w:val="left" w:pos="1134"/>
                <w:tab w:val="left" w:pos="7938"/>
              </w:tabs>
              <w:spacing w:beforeLines="40" w:before="96" w:afterLines="40" w:after="96"/>
              <w:ind w:firstLine="577"/>
              <w:jc w:val="both"/>
              <w:rPr>
                <w:rFonts w:ascii="Garamond" w:hAnsi="Garamond" w:cstheme="minorHAnsi"/>
                <w:sz w:val="22"/>
                <w:szCs w:val="22"/>
                <w:highlight w:val="yellow"/>
              </w:rPr>
            </w:pPr>
            <w:r w:rsidRPr="00A5626D">
              <w:rPr>
                <w:rFonts w:ascii="Garamond" w:hAnsi="Garamond"/>
                <w:sz w:val="22"/>
                <w:szCs w:val="22"/>
                <w:highlight w:val="yellow"/>
              </w:rPr>
              <w:t>Атрибутами элемента &lt;</w:t>
            </w:r>
            <w:r w:rsidRPr="00A5626D">
              <w:rPr>
                <w:rFonts w:ascii="Garamond" w:hAnsi="Garamond"/>
                <w:sz w:val="22"/>
                <w:szCs w:val="22"/>
                <w:highlight w:val="yellow"/>
                <w:lang w:val="en-US"/>
              </w:rPr>
              <w:t>gtp</w:t>
            </w:r>
            <w:r w:rsidRPr="00A5626D">
              <w:rPr>
                <w:rFonts w:ascii="Garamond" w:hAnsi="Garamond"/>
                <w:sz w:val="22"/>
                <w:szCs w:val="22"/>
                <w:highlight w:val="yellow"/>
              </w:rPr>
              <w:t>-regulation-object&gt; являются:</w:t>
            </w:r>
          </w:p>
          <w:p w14:paraId="3EF2E7D5" w14:textId="77777777" w:rsidR="00295C6D" w:rsidRPr="00A5626D" w:rsidRDefault="00295C6D" w:rsidP="00295C6D">
            <w:pPr>
              <w:pStyle w:val="ac"/>
              <w:widowControl w:val="0"/>
              <w:numPr>
                <w:ilvl w:val="0"/>
                <w:numId w:val="270"/>
              </w:numPr>
              <w:tabs>
                <w:tab w:val="left" w:pos="1134"/>
                <w:tab w:val="left" w:pos="7938"/>
              </w:tabs>
              <w:autoSpaceDE w:val="0"/>
              <w:autoSpaceDN w:val="0"/>
              <w:adjustRightInd w:val="0"/>
              <w:spacing w:before="60" w:after="60" w:line="276" w:lineRule="auto"/>
              <w:ind w:left="10" w:firstLine="567"/>
              <w:contextualSpacing/>
              <w:jc w:val="both"/>
              <w:rPr>
                <w:rFonts w:ascii="Garamond" w:hAnsi="Garamond"/>
                <w:sz w:val="22"/>
                <w:szCs w:val="22"/>
                <w:highlight w:val="yellow"/>
              </w:rPr>
            </w:pPr>
            <w:r w:rsidRPr="00A5626D">
              <w:rPr>
                <w:rFonts w:ascii="Garamond" w:hAnsi="Garamond"/>
                <w:sz w:val="22"/>
                <w:szCs w:val="22"/>
                <w:highlight w:val="yellow"/>
              </w:rPr>
              <w:lastRenderedPageBreak/>
              <w:t>id-gtp – внутренний идентификатор ОР в макете 60000 для агрегаторов. Число из одного знака. Является обязательным атрибутом;</w:t>
            </w:r>
          </w:p>
          <w:p w14:paraId="07B4A090" w14:textId="77777777" w:rsidR="00295C6D" w:rsidRPr="00A5626D" w:rsidRDefault="00295C6D" w:rsidP="00295C6D">
            <w:pPr>
              <w:pStyle w:val="ac"/>
              <w:widowControl w:val="0"/>
              <w:numPr>
                <w:ilvl w:val="0"/>
                <w:numId w:val="270"/>
              </w:numPr>
              <w:tabs>
                <w:tab w:val="left" w:pos="1134"/>
                <w:tab w:val="left" w:pos="7938"/>
              </w:tabs>
              <w:autoSpaceDE w:val="0"/>
              <w:autoSpaceDN w:val="0"/>
              <w:adjustRightInd w:val="0"/>
              <w:spacing w:before="60" w:after="60" w:line="276" w:lineRule="auto"/>
              <w:ind w:left="10" w:firstLine="567"/>
              <w:contextualSpacing/>
              <w:jc w:val="both"/>
              <w:rPr>
                <w:rFonts w:ascii="Garamond" w:hAnsi="Garamond"/>
                <w:sz w:val="22"/>
                <w:szCs w:val="22"/>
                <w:highlight w:val="yellow"/>
              </w:rPr>
            </w:pPr>
            <w:r w:rsidRPr="00A5626D">
              <w:rPr>
                <w:rFonts w:ascii="Garamond" w:hAnsi="Garamond"/>
                <w:sz w:val="22"/>
                <w:szCs w:val="22"/>
                <w:highlight w:val="yellow"/>
                <w:lang w:val="en-US"/>
              </w:rPr>
              <w:t>gtp</w:t>
            </w:r>
            <w:r w:rsidRPr="00A5626D">
              <w:rPr>
                <w:rFonts w:ascii="Garamond" w:hAnsi="Garamond"/>
                <w:sz w:val="22"/>
                <w:szCs w:val="22"/>
                <w:highlight w:val="yellow"/>
              </w:rPr>
              <w:t>-code – код ОР, присвоенный КО. Текст ровно из 8 символов. Является обязательным атрибутом;</w:t>
            </w:r>
          </w:p>
          <w:p w14:paraId="3780610C" w14:textId="77777777" w:rsidR="00295C6D" w:rsidRPr="00A5626D" w:rsidRDefault="00295C6D" w:rsidP="00295C6D">
            <w:pPr>
              <w:pStyle w:val="ac"/>
              <w:widowControl w:val="0"/>
              <w:numPr>
                <w:ilvl w:val="0"/>
                <w:numId w:val="270"/>
              </w:numPr>
              <w:tabs>
                <w:tab w:val="left" w:pos="1134"/>
                <w:tab w:val="left" w:pos="7938"/>
              </w:tabs>
              <w:autoSpaceDE w:val="0"/>
              <w:autoSpaceDN w:val="0"/>
              <w:adjustRightInd w:val="0"/>
              <w:spacing w:before="60" w:after="60" w:line="276" w:lineRule="auto"/>
              <w:ind w:left="10" w:firstLine="567"/>
              <w:contextualSpacing/>
              <w:jc w:val="both"/>
              <w:rPr>
                <w:rFonts w:ascii="Garamond" w:hAnsi="Garamond"/>
                <w:sz w:val="22"/>
                <w:szCs w:val="22"/>
                <w:highlight w:val="yellow"/>
              </w:rPr>
            </w:pPr>
            <w:r w:rsidRPr="00A5626D">
              <w:rPr>
                <w:rFonts w:ascii="Garamond" w:hAnsi="Garamond"/>
                <w:sz w:val="22"/>
                <w:szCs w:val="22"/>
                <w:highlight w:val="yellow"/>
                <w:lang w:val="en-US"/>
              </w:rPr>
              <w:t>gtp</w:t>
            </w:r>
            <w:r w:rsidRPr="00A5626D">
              <w:rPr>
                <w:rFonts w:ascii="Garamond" w:hAnsi="Garamond"/>
                <w:sz w:val="22"/>
                <w:szCs w:val="22"/>
                <w:highlight w:val="yellow"/>
              </w:rPr>
              <w:t>-</w:t>
            </w:r>
            <w:r w:rsidRPr="00A5626D">
              <w:rPr>
                <w:rFonts w:ascii="Garamond" w:hAnsi="Garamond"/>
                <w:sz w:val="22"/>
                <w:szCs w:val="22"/>
                <w:highlight w:val="yellow"/>
                <w:lang w:val="en-US"/>
              </w:rPr>
              <w:t>name</w:t>
            </w:r>
            <w:r w:rsidRPr="00A5626D">
              <w:rPr>
                <w:rFonts w:ascii="Garamond" w:hAnsi="Garamond"/>
                <w:sz w:val="22"/>
                <w:szCs w:val="22"/>
                <w:highlight w:val="yellow"/>
              </w:rPr>
              <w:t xml:space="preserve"> – наименование ОР. Текст до 250 символов. Является обязательным атрибутом;</w:t>
            </w:r>
          </w:p>
          <w:p w14:paraId="5317CDB1" w14:textId="77777777" w:rsidR="00295C6D" w:rsidRPr="00A5626D" w:rsidRDefault="00295C6D" w:rsidP="00295C6D">
            <w:pPr>
              <w:pStyle w:val="ac"/>
              <w:widowControl w:val="0"/>
              <w:numPr>
                <w:ilvl w:val="0"/>
                <w:numId w:val="270"/>
              </w:numPr>
              <w:tabs>
                <w:tab w:val="left" w:pos="1134"/>
                <w:tab w:val="left" w:pos="7938"/>
              </w:tabs>
              <w:autoSpaceDE w:val="0"/>
              <w:autoSpaceDN w:val="0"/>
              <w:adjustRightInd w:val="0"/>
              <w:spacing w:before="60" w:after="60" w:line="276" w:lineRule="auto"/>
              <w:ind w:left="10" w:firstLine="567"/>
              <w:contextualSpacing/>
              <w:jc w:val="both"/>
              <w:rPr>
                <w:rFonts w:ascii="Garamond" w:hAnsi="Garamond"/>
                <w:sz w:val="22"/>
                <w:szCs w:val="22"/>
                <w:highlight w:val="yellow"/>
              </w:rPr>
            </w:pPr>
            <w:r w:rsidRPr="00A5626D">
              <w:rPr>
                <w:rFonts w:ascii="Garamond" w:hAnsi="Garamond"/>
                <w:sz w:val="22"/>
                <w:szCs w:val="22"/>
                <w:highlight w:val="yellow"/>
              </w:rPr>
              <w:t>id-org – ссылка на внутренний идентификатор организации, формирующей ОР. Число из одного символа. Является обязательным атрибутом</w:t>
            </w:r>
            <w:r w:rsidRPr="00A5626D">
              <w:rPr>
                <w:rFonts w:ascii="Garamond" w:hAnsi="Garamond"/>
                <w:sz w:val="22"/>
                <w:szCs w:val="22"/>
                <w:highlight w:val="yellow"/>
                <w:lang w:val="en-US"/>
              </w:rPr>
              <w:t>;</w:t>
            </w:r>
          </w:p>
          <w:p w14:paraId="533AF251" w14:textId="3F67E4B5" w:rsidR="00295C6D" w:rsidRPr="00A5626D" w:rsidRDefault="00295C6D" w:rsidP="00295C6D">
            <w:pPr>
              <w:pStyle w:val="ac"/>
              <w:widowControl w:val="0"/>
              <w:numPr>
                <w:ilvl w:val="0"/>
                <w:numId w:val="270"/>
              </w:numPr>
              <w:tabs>
                <w:tab w:val="left" w:pos="1134"/>
                <w:tab w:val="left" w:pos="7938"/>
              </w:tabs>
              <w:autoSpaceDE w:val="0"/>
              <w:autoSpaceDN w:val="0"/>
              <w:adjustRightInd w:val="0"/>
              <w:spacing w:before="60" w:after="60" w:line="276" w:lineRule="auto"/>
              <w:ind w:left="10" w:firstLine="567"/>
              <w:contextualSpacing/>
              <w:jc w:val="both"/>
              <w:rPr>
                <w:rFonts w:ascii="Garamond" w:hAnsi="Garamond"/>
                <w:sz w:val="22"/>
                <w:szCs w:val="22"/>
                <w:highlight w:val="yellow"/>
              </w:rPr>
            </w:pPr>
            <w:r w:rsidRPr="00A5626D">
              <w:rPr>
                <w:rFonts w:ascii="Garamond" w:hAnsi="Garamond"/>
                <w:sz w:val="22"/>
                <w:szCs w:val="22"/>
                <w:highlight w:val="yellow"/>
              </w:rPr>
              <w:t>gtp-owner-trader-code</w:t>
            </w:r>
            <w:r w:rsidR="009B5F03" w:rsidRPr="00A5626D">
              <w:rPr>
                <w:rFonts w:ascii="Garamond" w:hAnsi="Garamond"/>
                <w:sz w:val="22"/>
                <w:szCs w:val="22"/>
                <w:highlight w:val="yellow"/>
              </w:rPr>
              <w:t xml:space="preserve"> – </w:t>
            </w:r>
            <w:r w:rsidRPr="00A5626D">
              <w:rPr>
                <w:rFonts w:ascii="Garamond" w:hAnsi="Garamond"/>
                <w:sz w:val="22"/>
                <w:szCs w:val="22"/>
                <w:highlight w:val="yellow"/>
              </w:rPr>
              <w:t>торговый код организации – владельца ГТП. Длина поля – ровно 8 символов, состоит из латинских букв и цифр. Является обязательным атрибутом, если макет 60000 передан по объекту регулирования.</w:t>
            </w:r>
          </w:p>
        </w:tc>
      </w:tr>
      <w:tr w:rsidR="00295C6D" w:rsidRPr="00A5626D" w14:paraId="68731C4F" w14:textId="77777777" w:rsidTr="00647FA0">
        <w:tc>
          <w:tcPr>
            <w:tcW w:w="1060" w:type="dxa"/>
            <w:vAlign w:val="center"/>
          </w:tcPr>
          <w:p w14:paraId="139F9968" w14:textId="64259BEC" w:rsidR="00295C6D" w:rsidRPr="00A5626D" w:rsidRDefault="00295C6D" w:rsidP="00E31AE6">
            <w:pPr>
              <w:widowControl w:val="0"/>
              <w:tabs>
                <w:tab w:val="left" w:pos="1134"/>
                <w:tab w:val="left" w:pos="7938"/>
              </w:tabs>
              <w:spacing w:line="22" w:lineRule="atLeast"/>
              <w:jc w:val="both"/>
              <w:rPr>
                <w:rFonts w:ascii="Garamond" w:hAnsi="Garamond"/>
                <w:b/>
                <w:sz w:val="22"/>
                <w:szCs w:val="22"/>
                <w:lang w:eastAsia="en-US"/>
              </w:rPr>
            </w:pPr>
            <w:r w:rsidRPr="00A5626D">
              <w:rPr>
                <w:rFonts w:ascii="Garamond" w:hAnsi="Garamond"/>
                <w:b/>
                <w:sz w:val="22"/>
                <w:szCs w:val="22"/>
                <w:lang w:eastAsia="en-US"/>
              </w:rPr>
              <w:lastRenderedPageBreak/>
              <w:t>Приложение 5, п.</w:t>
            </w:r>
            <w:r w:rsidR="00647FA0" w:rsidRPr="00A5626D">
              <w:rPr>
                <w:rFonts w:ascii="Garamond" w:hAnsi="Garamond"/>
                <w:b/>
                <w:sz w:val="22"/>
                <w:szCs w:val="22"/>
                <w:lang w:eastAsia="en-US"/>
              </w:rPr>
              <w:t> </w:t>
            </w:r>
            <w:r w:rsidRPr="00A5626D">
              <w:rPr>
                <w:rFonts w:ascii="Garamond" w:hAnsi="Garamond"/>
                <w:b/>
                <w:sz w:val="22"/>
                <w:szCs w:val="22"/>
                <w:lang w:eastAsia="en-US"/>
              </w:rPr>
              <w:t>4.4.1.2.1.4</w:t>
            </w:r>
          </w:p>
        </w:tc>
        <w:tc>
          <w:tcPr>
            <w:tcW w:w="6662" w:type="dxa"/>
          </w:tcPr>
          <w:p w14:paraId="6CCCDD6E" w14:textId="77777777" w:rsidR="00295C6D" w:rsidRPr="00A5626D" w:rsidRDefault="00295C6D" w:rsidP="00E31AE6">
            <w:pPr>
              <w:tabs>
                <w:tab w:val="left" w:pos="1134"/>
                <w:tab w:val="left" w:pos="7938"/>
              </w:tabs>
              <w:spacing w:before="120" w:after="120"/>
              <w:ind w:firstLine="456"/>
              <w:jc w:val="both"/>
              <w:rPr>
                <w:rFonts w:ascii="Garamond" w:hAnsi="Garamond" w:cstheme="minorHAnsi"/>
                <w:sz w:val="22"/>
                <w:szCs w:val="22"/>
              </w:rPr>
            </w:pPr>
            <w:r w:rsidRPr="00A5626D">
              <w:rPr>
                <w:rFonts w:ascii="Garamond" w:hAnsi="Garamond" w:cstheme="minorHAnsi"/>
                <w:sz w:val="22"/>
                <w:szCs w:val="22"/>
              </w:rPr>
              <w:t>&lt;</w:t>
            </w:r>
            <w:r w:rsidRPr="00A5626D">
              <w:rPr>
                <w:rFonts w:ascii="Garamond" w:hAnsi="Garamond" w:cstheme="minorHAnsi"/>
                <w:bCs/>
                <w:i/>
                <w:iCs/>
                <w:sz w:val="22"/>
                <w:szCs w:val="22"/>
                <w:lang w:val="en-US"/>
              </w:rPr>
              <w:t>aiises</w:t>
            </w:r>
            <w:r w:rsidRPr="00A5626D">
              <w:rPr>
                <w:rFonts w:ascii="Garamond" w:hAnsi="Garamond" w:cstheme="minorHAnsi"/>
                <w:sz w:val="22"/>
                <w:szCs w:val="22"/>
              </w:rPr>
              <w:t>&gt;</w:t>
            </w:r>
          </w:p>
          <w:p w14:paraId="0A57BD13" w14:textId="77777777" w:rsidR="00295C6D" w:rsidRPr="00A5626D" w:rsidRDefault="00295C6D" w:rsidP="00E31AE6">
            <w:pPr>
              <w:tabs>
                <w:tab w:val="left" w:pos="1134"/>
                <w:tab w:val="left" w:pos="7938"/>
              </w:tabs>
              <w:spacing w:before="120" w:after="120"/>
              <w:ind w:firstLine="456"/>
              <w:jc w:val="both"/>
              <w:rPr>
                <w:rFonts w:ascii="Garamond" w:hAnsi="Garamond" w:cstheme="minorHAnsi"/>
                <w:sz w:val="22"/>
                <w:szCs w:val="22"/>
              </w:rPr>
            </w:pPr>
            <w:r w:rsidRPr="00A5626D">
              <w:rPr>
                <w:rFonts w:ascii="Garamond" w:hAnsi="Garamond" w:cstheme="minorHAnsi"/>
                <w:sz w:val="22"/>
                <w:szCs w:val="22"/>
              </w:rPr>
              <w:t xml:space="preserve">Элемент </w:t>
            </w:r>
            <w:r w:rsidRPr="00A5626D">
              <w:rPr>
                <w:rFonts w:ascii="Garamond" w:eastAsia="Calibri" w:hAnsi="Garamond" w:cstheme="minorHAnsi"/>
                <w:sz w:val="22"/>
                <w:szCs w:val="22"/>
              </w:rPr>
              <w:t>&lt;</w:t>
            </w:r>
            <w:r w:rsidRPr="00A5626D">
              <w:rPr>
                <w:rFonts w:ascii="Garamond" w:eastAsia="Calibri" w:hAnsi="Garamond" w:cstheme="minorHAnsi"/>
                <w:b/>
                <w:sz w:val="22"/>
                <w:szCs w:val="22"/>
                <w:lang w:val="en-US"/>
              </w:rPr>
              <w:t>aiises</w:t>
            </w:r>
            <w:r w:rsidRPr="00A5626D">
              <w:rPr>
                <w:rFonts w:ascii="Garamond" w:eastAsia="Calibri" w:hAnsi="Garamond" w:cstheme="minorHAnsi"/>
                <w:sz w:val="22"/>
                <w:szCs w:val="22"/>
              </w:rPr>
              <w:t xml:space="preserve">&gt; </w:t>
            </w:r>
            <w:r w:rsidRPr="00A5626D">
              <w:rPr>
                <w:rFonts w:ascii="Garamond" w:hAnsi="Garamond" w:cstheme="minorHAnsi"/>
                <w:sz w:val="22"/>
                <w:szCs w:val="22"/>
              </w:rPr>
              <w:t>содержит список АИИС, с которых осуществляется передача результатов измерений.</w:t>
            </w:r>
          </w:p>
          <w:p w14:paraId="62FD3BF8" w14:textId="77777777" w:rsidR="00295C6D" w:rsidRPr="00A5626D" w:rsidRDefault="00295C6D" w:rsidP="00E31AE6">
            <w:pPr>
              <w:widowControl w:val="0"/>
              <w:tabs>
                <w:tab w:val="left" w:pos="1134"/>
                <w:tab w:val="left" w:pos="7938"/>
              </w:tabs>
              <w:autoSpaceDE w:val="0"/>
              <w:autoSpaceDN w:val="0"/>
              <w:adjustRightInd w:val="0"/>
              <w:spacing w:before="60" w:after="60" w:line="276" w:lineRule="auto"/>
              <w:jc w:val="both"/>
              <w:rPr>
                <w:rFonts w:ascii="Garamond" w:hAnsi="Garamond" w:cstheme="minorHAnsi"/>
                <w:sz w:val="22"/>
                <w:szCs w:val="22"/>
              </w:rPr>
            </w:pPr>
            <w:r w:rsidRPr="00A5626D">
              <w:rPr>
                <w:rFonts w:ascii="Garamond" w:hAnsi="Garamond" w:cstheme="minorHAnsi"/>
                <w:bCs/>
                <w:sz w:val="22"/>
                <w:szCs w:val="22"/>
              </w:rPr>
              <w:t>Обязательный элемент</w:t>
            </w:r>
            <w:r w:rsidRPr="00A5626D">
              <w:rPr>
                <w:rFonts w:ascii="Garamond" w:hAnsi="Garamond" w:cstheme="minorHAnsi"/>
                <w:sz w:val="22"/>
                <w:szCs w:val="22"/>
              </w:rPr>
              <w:t>. Допускается наличие только одного элемента.</w:t>
            </w:r>
          </w:p>
          <w:p w14:paraId="27F29088" w14:textId="77777777" w:rsidR="00295C6D" w:rsidRPr="00A5626D" w:rsidRDefault="00295C6D" w:rsidP="00E31AE6">
            <w:pPr>
              <w:tabs>
                <w:tab w:val="left" w:pos="1134"/>
                <w:tab w:val="left" w:pos="7938"/>
              </w:tabs>
              <w:spacing w:before="120" w:after="120"/>
              <w:jc w:val="both"/>
              <w:rPr>
                <w:rFonts w:ascii="Garamond" w:hAnsi="Garamond" w:cstheme="minorHAnsi"/>
                <w:b/>
                <w:sz w:val="22"/>
                <w:szCs w:val="22"/>
              </w:rPr>
            </w:pPr>
            <w:r w:rsidRPr="00A5626D">
              <w:rPr>
                <w:rFonts w:ascii="Garamond" w:hAnsi="Garamond" w:cstheme="minorHAnsi"/>
                <w:sz w:val="22"/>
                <w:szCs w:val="22"/>
              </w:rPr>
              <w:t>Дочерними элементами являются</w:t>
            </w:r>
            <w:r w:rsidRPr="00A5626D">
              <w:rPr>
                <w:rFonts w:ascii="Garamond" w:eastAsia="Calibri" w:hAnsi="Garamond" w:cstheme="minorHAnsi"/>
                <w:sz w:val="22"/>
                <w:szCs w:val="22"/>
              </w:rPr>
              <w:t xml:space="preserve"> &lt;</w:t>
            </w:r>
            <w:r w:rsidRPr="00A5626D">
              <w:rPr>
                <w:rFonts w:ascii="Garamond" w:eastAsia="Calibri" w:hAnsi="Garamond" w:cstheme="minorHAnsi"/>
                <w:b/>
                <w:sz w:val="22"/>
                <w:szCs w:val="22"/>
                <w:lang w:val="en-US"/>
              </w:rPr>
              <w:t>aiis</w:t>
            </w:r>
            <w:r w:rsidRPr="00A5626D">
              <w:rPr>
                <w:rFonts w:ascii="Garamond" w:eastAsia="Calibri" w:hAnsi="Garamond" w:cstheme="minorHAnsi"/>
                <w:sz w:val="22"/>
                <w:szCs w:val="22"/>
              </w:rPr>
              <w:t>&gt;.</w:t>
            </w:r>
          </w:p>
        </w:tc>
        <w:tc>
          <w:tcPr>
            <w:tcW w:w="7088" w:type="dxa"/>
          </w:tcPr>
          <w:p w14:paraId="1F9F796A" w14:textId="77777777" w:rsidR="00295C6D" w:rsidRPr="00A5626D" w:rsidRDefault="00295C6D" w:rsidP="00E31AE6">
            <w:pPr>
              <w:tabs>
                <w:tab w:val="left" w:pos="1134"/>
                <w:tab w:val="left" w:pos="7938"/>
              </w:tabs>
              <w:spacing w:before="120" w:after="120"/>
              <w:ind w:firstLine="456"/>
              <w:jc w:val="both"/>
              <w:rPr>
                <w:rFonts w:ascii="Garamond" w:hAnsi="Garamond" w:cstheme="minorHAnsi"/>
                <w:sz w:val="22"/>
                <w:szCs w:val="22"/>
              </w:rPr>
            </w:pPr>
            <w:r w:rsidRPr="00A5626D">
              <w:rPr>
                <w:rFonts w:ascii="Garamond" w:hAnsi="Garamond" w:cstheme="minorHAnsi"/>
                <w:sz w:val="22"/>
                <w:szCs w:val="22"/>
              </w:rPr>
              <w:t>&lt;</w:t>
            </w:r>
            <w:r w:rsidRPr="00A5626D">
              <w:rPr>
                <w:rFonts w:ascii="Garamond" w:hAnsi="Garamond" w:cstheme="minorHAnsi"/>
                <w:bCs/>
                <w:i/>
                <w:iCs/>
                <w:sz w:val="22"/>
                <w:szCs w:val="22"/>
                <w:lang w:val="en-US"/>
              </w:rPr>
              <w:t>aiises</w:t>
            </w:r>
            <w:r w:rsidRPr="00A5626D">
              <w:rPr>
                <w:rFonts w:ascii="Garamond" w:hAnsi="Garamond" w:cstheme="minorHAnsi"/>
                <w:sz w:val="22"/>
                <w:szCs w:val="22"/>
              </w:rPr>
              <w:t>&gt;</w:t>
            </w:r>
          </w:p>
          <w:p w14:paraId="4401A057" w14:textId="12C9A3A1" w:rsidR="00295C6D" w:rsidRPr="00A5626D" w:rsidRDefault="00295C6D" w:rsidP="00E31AE6">
            <w:pPr>
              <w:tabs>
                <w:tab w:val="left" w:pos="1134"/>
                <w:tab w:val="left" w:pos="7938"/>
              </w:tabs>
              <w:spacing w:before="120" w:after="120"/>
              <w:ind w:firstLine="456"/>
              <w:jc w:val="both"/>
              <w:rPr>
                <w:rFonts w:ascii="Garamond" w:hAnsi="Garamond" w:cstheme="minorHAnsi"/>
                <w:sz w:val="22"/>
                <w:szCs w:val="22"/>
              </w:rPr>
            </w:pPr>
            <w:r w:rsidRPr="00A5626D">
              <w:rPr>
                <w:rFonts w:ascii="Garamond" w:hAnsi="Garamond" w:cstheme="minorHAnsi"/>
                <w:sz w:val="22"/>
                <w:szCs w:val="22"/>
              </w:rPr>
              <w:t xml:space="preserve">Элемент </w:t>
            </w:r>
            <w:r w:rsidRPr="00A5626D">
              <w:rPr>
                <w:rFonts w:ascii="Garamond" w:eastAsia="Calibri" w:hAnsi="Garamond" w:cstheme="minorHAnsi"/>
                <w:sz w:val="22"/>
                <w:szCs w:val="22"/>
              </w:rPr>
              <w:t>&lt;</w:t>
            </w:r>
            <w:r w:rsidRPr="00A5626D">
              <w:rPr>
                <w:rFonts w:ascii="Garamond" w:eastAsia="Calibri" w:hAnsi="Garamond" w:cstheme="minorHAnsi"/>
                <w:b/>
                <w:sz w:val="22"/>
                <w:szCs w:val="22"/>
                <w:lang w:val="en-US"/>
              </w:rPr>
              <w:t>aiises</w:t>
            </w:r>
            <w:r w:rsidRPr="00A5626D">
              <w:rPr>
                <w:rFonts w:ascii="Garamond" w:eastAsia="Calibri" w:hAnsi="Garamond" w:cstheme="minorHAnsi"/>
                <w:sz w:val="22"/>
                <w:szCs w:val="22"/>
              </w:rPr>
              <w:t xml:space="preserve">&gt; </w:t>
            </w:r>
            <w:r w:rsidRPr="00A5626D">
              <w:rPr>
                <w:rFonts w:ascii="Garamond" w:hAnsi="Garamond" w:cstheme="minorHAnsi"/>
                <w:sz w:val="22"/>
                <w:szCs w:val="22"/>
              </w:rPr>
              <w:t xml:space="preserve">содержит список АИИС </w:t>
            </w:r>
            <w:r w:rsidRPr="00A5626D">
              <w:rPr>
                <w:rFonts w:ascii="Garamond" w:hAnsi="Garamond" w:cstheme="minorHAnsi"/>
                <w:sz w:val="22"/>
                <w:szCs w:val="22"/>
                <w:highlight w:val="yellow"/>
              </w:rPr>
              <w:t xml:space="preserve">/ </w:t>
            </w:r>
            <w:r w:rsidR="00C6418D">
              <w:rPr>
                <w:rFonts w:ascii="Garamond" w:hAnsi="Garamond" w:cstheme="minorHAnsi"/>
                <w:sz w:val="22"/>
                <w:szCs w:val="22"/>
                <w:highlight w:val="yellow"/>
              </w:rPr>
              <w:t>с</w:t>
            </w:r>
            <w:r w:rsidRPr="00A5626D">
              <w:rPr>
                <w:rFonts w:ascii="Garamond" w:hAnsi="Garamond" w:cstheme="minorHAnsi"/>
                <w:sz w:val="22"/>
                <w:szCs w:val="22"/>
                <w:highlight w:val="yellow"/>
              </w:rPr>
              <w:t>писок ОР</w:t>
            </w:r>
            <w:r w:rsidRPr="00A5626D">
              <w:rPr>
                <w:rFonts w:ascii="Garamond" w:hAnsi="Garamond" w:cstheme="minorHAnsi"/>
                <w:sz w:val="22"/>
                <w:szCs w:val="22"/>
              </w:rPr>
              <w:t>, с которых осуществляется передача результатов измерений.</w:t>
            </w:r>
          </w:p>
          <w:p w14:paraId="0D70F25D" w14:textId="77777777" w:rsidR="00295C6D" w:rsidRPr="00A5626D" w:rsidRDefault="00295C6D" w:rsidP="00E31AE6">
            <w:pPr>
              <w:widowControl w:val="0"/>
              <w:tabs>
                <w:tab w:val="left" w:pos="1134"/>
                <w:tab w:val="left" w:pos="7938"/>
              </w:tabs>
              <w:autoSpaceDE w:val="0"/>
              <w:autoSpaceDN w:val="0"/>
              <w:adjustRightInd w:val="0"/>
              <w:spacing w:before="60" w:after="60" w:line="276" w:lineRule="auto"/>
              <w:jc w:val="both"/>
              <w:rPr>
                <w:rFonts w:ascii="Garamond" w:hAnsi="Garamond" w:cstheme="minorHAnsi"/>
                <w:sz w:val="22"/>
                <w:szCs w:val="22"/>
              </w:rPr>
            </w:pPr>
            <w:r w:rsidRPr="00A5626D">
              <w:rPr>
                <w:rFonts w:ascii="Garamond" w:hAnsi="Garamond" w:cstheme="minorHAnsi"/>
                <w:bCs/>
                <w:sz w:val="22"/>
                <w:szCs w:val="22"/>
              </w:rPr>
              <w:t>Обязательный элемент</w:t>
            </w:r>
            <w:r w:rsidRPr="00A5626D">
              <w:rPr>
                <w:rFonts w:ascii="Garamond" w:hAnsi="Garamond" w:cstheme="minorHAnsi"/>
                <w:sz w:val="22"/>
                <w:szCs w:val="22"/>
              </w:rPr>
              <w:t>. Допускается наличие только одного элемента.</w:t>
            </w:r>
          </w:p>
          <w:p w14:paraId="410E9B93" w14:textId="77777777" w:rsidR="00295C6D" w:rsidRPr="00A5626D" w:rsidRDefault="00295C6D" w:rsidP="00E31AE6">
            <w:pPr>
              <w:pStyle w:val="2"/>
              <w:numPr>
                <w:ilvl w:val="0"/>
                <w:numId w:val="0"/>
              </w:numPr>
              <w:tabs>
                <w:tab w:val="left" w:pos="1134"/>
                <w:tab w:val="left" w:pos="7938"/>
              </w:tabs>
              <w:suppressAutoHyphens w:val="0"/>
              <w:spacing w:line="22" w:lineRule="atLeast"/>
              <w:ind w:firstLine="629"/>
              <w:jc w:val="both"/>
              <w:rPr>
                <w:rFonts w:ascii="Garamond" w:hAnsi="Garamond" w:cstheme="minorHAnsi"/>
                <w:b w:val="0"/>
              </w:rPr>
            </w:pPr>
            <w:r w:rsidRPr="00A5626D">
              <w:rPr>
                <w:rFonts w:ascii="Garamond" w:hAnsi="Garamond" w:cstheme="minorHAnsi"/>
                <w:b w:val="0"/>
              </w:rPr>
              <w:t>Дочерними элементами являются</w:t>
            </w:r>
            <w:r w:rsidRPr="00A5626D">
              <w:rPr>
                <w:rFonts w:ascii="Garamond" w:eastAsia="Calibri" w:hAnsi="Garamond" w:cstheme="minorHAnsi"/>
              </w:rPr>
              <w:t xml:space="preserve"> &lt;</w:t>
            </w:r>
            <w:r w:rsidRPr="00A5626D">
              <w:rPr>
                <w:rFonts w:ascii="Garamond" w:eastAsia="Calibri" w:hAnsi="Garamond" w:cstheme="minorHAnsi"/>
                <w:lang w:val="en-US"/>
              </w:rPr>
              <w:t>aiis</w:t>
            </w:r>
            <w:r w:rsidRPr="00A5626D">
              <w:rPr>
                <w:rFonts w:ascii="Garamond" w:eastAsia="Calibri" w:hAnsi="Garamond" w:cstheme="minorHAnsi"/>
              </w:rPr>
              <w:t>&gt;.</w:t>
            </w:r>
          </w:p>
        </w:tc>
      </w:tr>
      <w:tr w:rsidR="00295C6D" w:rsidRPr="00A5626D" w14:paraId="031C253A" w14:textId="77777777" w:rsidTr="00647FA0">
        <w:tc>
          <w:tcPr>
            <w:tcW w:w="1060" w:type="dxa"/>
            <w:vAlign w:val="center"/>
          </w:tcPr>
          <w:p w14:paraId="2311EE99" w14:textId="2DA94711" w:rsidR="00295C6D" w:rsidRPr="00A5626D" w:rsidRDefault="00295C6D" w:rsidP="00E31AE6">
            <w:pPr>
              <w:widowControl w:val="0"/>
              <w:tabs>
                <w:tab w:val="left" w:pos="1134"/>
                <w:tab w:val="left" w:pos="7938"/>
              </w:tabs>
              <w:spacing w:line="22" w:lineRule="atLeast"/>
              <w:jc w:val="both"/>
              <w:rPr>
                <w:rFonts w:ascii="Garamond" w:hAnsi="Garamond"/>
                <w:b/>
                <w:sz w:val="22"/>
                <w:szCs w:val="22"/>
                <w:lang w:eastAsia="en-US"/>
              </w:rPr>
            </w:pPr>
            <w:r w:rsidRPr="00A5626D">
              <w:rPr>
                <w:rFonts w:ascii="Garamond" w:hAnsi="Garamond"/>
                <w:b/>
                <w:sz w:val="22"/>
                <w:szCs w:val="22"/>
                <w:lang w:eastAsia="en-US"/>
              </w:rPr>
              <w:t>Приложение 5, п.</w:t>
            </w:r>
            <w:r w:rsidR="00647FA0" w:rsidRPr="00A5626D">
              <w:rPr>
                <w:rFonts w:ascii="Garamond" w:hAnsi="Garamond"/>
                <w:b/>
                <w:sz w:val="22"/>
                <w:szCs w:val="22"/>
                <w:lang w:eastAsia="en-US"/>
              </w:rPr>
              <w:t> </w:t>
            </w:r>
            <w:r w:rsidRPr="00A5626D">
              <w:rPr>
                <w:rFonts w:ascii="Garamond" w:hAnsi="Garamond"/>
                <w:b/>
                <w:sz w:val="22"/>
                <w:szCs w:val="22"/>
                <w:lang w:eastAsia="en-US"/>
              </w:rPr>
              <w:t>4.4.1.2.1.4.1</w:t>
            </w:r>
            <w:r w:rsidR="009B5F03" w:rsidRPr="00A5626D">
              <w:rPr>
                <w:rFonts w:ascii="Garamond" w:hAnsi="Garamond" w:cstheme="minorHAnsi"/>
                <w:b/>
                <w:sz w:val="22"/>
                <w:szCs w:val="22"/>
              </w:rPr>
              <w:t xml:space="preserve"> </w:t>
            </w:r>
          </w:p>
        </w:tc>
        <w:tc>
          <w:tcPr>
            <w:tcW w:w="6662" w:type="dxa"/>
          </w:tcPr>
          <w:p w14:paraId="01FB2CA4" w14:textId="77777777" w:rsidR="00295C6D" w:rsidRPr="00A5626D" w:rsidRDefault="00295C6D" w:rsidP="00E31AE6">
            <w:pPr>
              <w:tabs>
                <w:tab w:val="left" w:pos="1134"/>
                <w:tab w:val="left" w:pos="7938"/>
              </w:tabs>
              <w:spacing w:before="120" w:after="120"/>
              <w:ind w:firstLine="456"/>
              <w:jc w:val="both"/>
              <w:rPr>
                <w:rFonts w:ascii="Garamond" w:hAnsi="Garamond" w:cstheme="minorHAnsi"/>
                <w:sz w:val="22"/>
                <w:szCs w:val="22"/>
              </w:rPr>
            </w:pPr>
            <w:r w:rsidRPr="00A5626D">
              <w:rPr>
                <w:rFonts w:ascii="Garamond" w:hAnsi="Garamond" w:cstheme="minorHAnsi"/>
                <w:sz w:val="22"/>
                <w:szCs w:val="22"/>
              </w:rPr>
              <w:t>&lt;</w:t>
            </w:r>
            <w:r w:rsidRPr="00A5626D">
              <w:rPr>
                <w:rFonts w:ascii="Garamond" w:hAnsi="Garamond" w:cstheme="minorHAnsi"/>
                <w:bCs/>
                <w:i/>
                <w:iCs/>
                <w:sz w:val="22"/>
                <w:szCs w:val="22"/>
                <w:lang w:val="en-US"/>
              </w:rPr>
              <w:t>aiis</w:t>
            </w:r>
            <w:r w:rsidRPr="00A5626D">
              <w:rPr>
                <w:rFonts w:ascii="Garamond" w:hAnsi="Garamond" w:cstheme="minorHAnsi"/>
                <w:sz w:val="22"/>
                <w:szCs w:val="22"/>
              </w:rPr>
              <w:t>&gt;</w:t>
            </w:r>
          </w:p>
          <w:p w14:paraId="1BEC46E1" w14:textId="77777777" w:rsidR="00295C6D" w:rsidRPr="00A5626D" w:rsidRDefault="00295C6D" w:rsidP="00E31AE6">
            <w:pPr>
              <w:tabs>
                <w:tab w:val="left" w:pos="1134"/>
                <w:tab w:val="left" w:pos="7938"/>
              </w:tabs>
              <w:spacing w:before="120" w:after="120"/>
              <w:ind w:firstLine="456"/>
              <w:jc w:val="both"/>
              <w:rPr>
                <w:rFonts w:ascii="Garamond" w:eastAsia="Calibri" w:hAnsi="Garamond" w:cstheme="minorHAnsi"/>
                <w:sz w:val="22"/>
                <w:szCs w:val="22"/>
              </w:rPr>
            </w:pPr>
            <w:r w:rsidRPr="00A5626D">
              <w:rPr>
                <w:rFonts w:ascii="Garamond" w:eastAsia="Calibri" w:hAnsi="Garamond" w:cstheme="minorHAnsi"/>
                <w:sz w:val="22"/>
                <w:szCs w:val="22"/>
              </w:rPr>
              <w:t>Элемент &lt;</w:t>
            </w:r>
            <w:r w:rsidRPr="00A5626D">
              <w:rPr>
                <w:rFonts w:ascii="Garamond" w:eastAsia="Calibri" w:hAnsi="Garamond" w:cstheme="minorHAnsi"/>
                <w:b/>
                <w:sz w:val="22"/>
                <w:szCs w:val="22"/>
                <w:lang w:val="en-US"/>
              </w:rPr>
              <w:t>aiis</w:t>
            </w:r>
            <w:r w:rsidRPr="00A5626D">
              <w:rPr>
                <w:rFonts w:ascii="Garamond" w:eastAsia="Calibri" w:hAnsi="Garamond" w:cstheme="minorHAnsi"/>
                <w:sz w:val="22"/>
                <w:szCs w:val="22"/>
              </w:rPr>
              <w:t>&gt; содержит информацию об АИИС.</w:t>
            </w:r>
          </w:p>
          <w:p w14:paraId="5267DB2A" w14:textId="77777777" w:rsidR="00295C6D" w:rsidRPr="00A5626D" w:rsidRDefault="00295C6D" w:rsidP="00E31AE6">
            <w:pPr>
              <w:widowControl w:val="0"/>
              <w:tabs>
                <w:tab w:val="left" w:pos="1134"/>
                <w:tab w:val="left" w:pos="7938"/>
              </w:tabs>
              <w:autoSpaceDE w:val="0"/>
              <w:autoSpaceDN w:val="0"/>
              <w:adjustRightInd w:val="0"/>
              <w:spacing w:before="60" w:after="60" w:line="276" w:lineRule="auto"/>
              <w:ind w:firstLine="456"/>
              <w:jc w:val="both"/>
              <w:rPr>
                <w:rFonts w:ascii="Garamond" w:hAnsi="Garamond" w:cstheme="minorHAnsi"/>
                <w:sz w:val="22"/>
                <w:szCs w:val="22"/>
              </w:rPr>
            </w:pPr>
            <w:r w:rsidRPr="00A5626D">
              <w:rPr>
                <w:rFonts w:ascii="Garamond" w:hAnsi="Garamond" w:cstheme="minorHAnsi"/>
                <w:bCs/>
                <w:sz w:val="22"/>
                <w:szCs w:val="22"/>
              </w:rPr>
              <w:t>Обязательный элемент</w:t>
            </w:r>
            <w:r w:rsidRPr="00A5626D">
              <w:rPr>
                <w:rFonts w:ascii="Garamond" w:hAnsi="Garamond" w:cstheme="minorHAnsi"/>
                <w:sz w:val="22"/>
                <w:szCs w:val="22"/>
              </w:rPr>
              <w:t>. Допускается наличие не более одного элемента для каждой ГТП.</w:t>
            </w:r>
          </w:p>
          <w:p w14:paraId="754FB84A" w14:textId="77777777" w:rsidR="00295C6D" w:rsidRPr="00A5626D" w:rsidRDefault="00295C6D" w:rsidP="00E31AE6">
            <w:pPr>
              <w:tabs>
                <w:tab w:val="left" w:pos="1134"/>
                <w:tab w:val="left" w:pos="7938"/>
              </w:tabs>
              <w:spacing w:before="120" w:after="120"/>
              <w:ind w:firstLine="456"/>
              <w:jc w:val="both"/>
              <w:rPr>
                <w:rFonts w:ascii="Garamond" w:eastAsia="Calibri" w:hAnsi="Garamond" w:cstheme="minorHAnsi"/>
                <w:sz w:val="22"/>
                <w:szCs w:val="22"/>
              </w:rPr>
            </w:pPr>
            <w:r w:rsidRPr="00A5626D">
              <w:rPr>
                <w:rFonts w:ascii="Garamond" w:hAnsi="Garamond" w:cstheme="minorHAnsi"/>
                <w:sz w:val="22"/>
                <w:szCs w:val="22"/>
              </w:rPr>
              <w:t>Атрибутами элемента &lt;</w:t>
            </w:r>
            <w:r w:rsidRPr="00A5626D">
              <w:rPr>
                <w:rFonts w:ascii="Garamond" w:hAnsi="Garamond" w:cstheme="minorHAnsi"/>
                <w:b/>
                <w:sz w:val="22"/>
                <w:szCs w:val="22"/>
                <w:lang w:val="en-US"/>
              </w:rPr>
              <w:t>aiis</w:t>
            </w:r>
            <w:r w:rsidRPr="00A5626D">
              <w:rPr>
                <w:rFonts w:ascii="Garamond" w:hAnsi="Garamond" w:cstheme="minorHAnsi"/>
                <w:sz w:val="22"/>
                <w:szCs w:val="22"/>
              </w:rPr>
              <w:t>&gt; являются</w:t>
            </w:r>
            <w:r w:rsidRPr="00A5626D">
              <w:rPr>
                <w:rFonts w:ascii="Garamond" w:eastAsia="Calibri" w:hAnsi="Garamond" w:cstheme="minorHAnsi"/>
                <w:sz w:val="22"/>
                <w:szCs w:val="22"/>
              </w:rPr>
              <w:t>:</w:t>
            </w:r>
          </w:p>
          <w:p w14:paraId="0E5DED84" w14:textId="77777777" w:rsidR="00295C6D" w:rsidRPr="00A5626D" w:rsidRDefault="00295C6D" w:rsidP="00295C6D">
            <w:pPr>
              <w:numPr>
                <w:ilvl w:val="0"/>
                <w:numId w:val="272"/>
              </w:numPr>
              <w:tabs>
                <w:tab w:val="left" w:pos="1134"/>
                <w:tab w:val="left" w:pos="7938"/>
              </w:tabs>
              <w:suppressAutoHyphens w:val="0"/>
              <w:spacing w:before="120" w:after="120" w:line="259" w:lineRule="auto"/>
              <w:ind w:left="0" w:firstLine="456"/>
              <w:contextualSpacing/>
              <w:jc w:val="both"/>
              <w:rPr>
                <w:rFonts w:ascii="Garamond" w:hAnsi="Garamond" w:cstheme="minorHAnsi"/>
                <w:sz w:val="22"/>
                <w:szCs w:val="22"/>
              </w:rPr>
            </w:pPr>
            <w:r w:rsidRPr="00A5626D">
              <w:rPr>
                <w:rFonts w:ascii="Garamond" w:hAnsi="Garamond" w:cstheme="minorHAnsi"/>
                <w:sz w:val="22"/>
                <w:szCs w:val="22"/>
              </w:rPr>
              <w:t>id-aiis – внутренний идентификатор АИИС. Число из одного знака. Является обязательным атрибутом;</w:t>
            </w:r>
          </w:p>
          <w:p w14:paraId="446D9388" w14:textId="77777777" w:rsidR="00295C6D" w:rsidRPr="00A5626D" w:rsidRDefault="00295C6D" w:rsidP="00295C6D">
            <w:pPr>
              <w:numPr>
                <w:ilvl w:val="0"/>
                <w:numId w:val="272"/>
              </w:numPr>
              <w:tabs>
                <w:tab w:val="left" w:pos="1134"/>
                <w:tab w:val="left" w:pos="7938"/>
              </w:tabs>
              <w:suppressAutoHyphens w:val="0"/>
              <w:spacing w:before="120" w:after="120" w:line="259" w:lineRule="auto"/>
              <w:ind w:left="0" w:firstLine="456"/>
              <w:contextualSpacing/>
              <w:jc w:val="both"/>
              <w:rPr>
                <w:rFonts w:ascii="Garamond" w:hAnsi="Garamond" w:cstheme="minorHAnsi"/>
                <w:sz w:val="22"/>
                <w:szCs w:val="22"/>
              </w:rPr>
            </w:pPr>
            <w:r w:rsidRPr="00A5626D">
              <w:rPr>
                <w:rFonts w:ascii="Garamond" w:hAnsi="Garamond" w:cstheme="minorHAnsi"/>
                <w:sz w:val="22"/>
                <w:szCs w:val="22"/>
              </w:rPr>
              <w:t>id-gtp – ссылка на внутренний идентификатор ГТП, к которой относится данная АИИС. Число, состоящее из одного знака. Является обязательным атрибутом;</w:t>
            </w:r>
          </w:p>
          <w:p w14:paraId="3AC1932F" w14:textId="77777777" w:rsidR="00295C6D" w:rsidRPr="00A5626D" w:rsidRDefault="00295C6D" w:rsidP="00295C6D">
            <w:pPr>
              <w:numPr>
                <w:ilvl w:val="0"/>
                <w:numId w:val="272"/>
              </w:numPr>
              <w:tabs>
                <w:tab w:val="left" w:pos="1134"/>
                <w:tab w:val="left" w:pos="7938"/>
              </w:tabs>
              <w:suppressAutoHyphens w:val="0"/>
              <w:spacing w:before="120" w:after="120" w:line="259" w:lineRule="auto"/>
              <w:ind w:left="0" w:firstLine="456"/>
              <w:contextualSpacing/>
              <w:jc w:val="both"/>
              <w:rPr>
                <w:rFonts w:ascii="Garamond" w:hAnsi="Garamond" w:cstheme="minorHAnsi"/>
                <w:sz w:val="22"/>
                <w:szCs w:val="22"/>
              </w:rPr>
            </w:pPr>
            <w:r w:rsidRPr="00A5626D">
              <w:rPr>
                <w:rFonts w:ascii="Garamond" w:hAnsi="Garamond" w:cstheme="minorHAnsi"/>
                <w:sz w:val="22"/>
                <w:szCs w:val="22"/>
                <w:lang w:val="en-US"/>
              </w:rPr>
              <w:t>name</w:t>
            </w:r>
            <w:r w:rsidRPr="00A5626D">
              <w:rPr>
                <w:rFonts w:ascii="Garamond" w:hAnsi="Garamond" w:cstheme="minorHAnsi"/>
                <w:sz w:val="22"/>
                <w:szCs w:val="22"/>
              </w:rPr>
              <w:t xml:space="preserve"> – наименование АИИС, присвоенное КО. Текстовое поле длиной 512 символов. Является обязательным атрибутом;</w:t>
            </w:r>
          </w:p>
          <w:p w14:paraId="2F38568E" w14:textId="77777777" w:rsidR="00295C6D" w:rsidRPr="00A5626D" w:rsidRDefault="00295C6D" w:rsidP="00295C6D">
            <w:pPr>
              <w:numPr>
                <w:ilvl w:val="0"/>
                <w:numId w:val="272"/>
              </w:numPr>
              <w:tabs>
                <w:tab w:val="left" w:pos="1134"/>
                <w:tab w:val="left" w:pos="7938"/>
              </w:tabs>
              <w:suppressAutoHyphens w:val="0"/>
              <w:spacing w:before="120" w:after="120" w:line="259" w:lineRule="auto"/>
              <w:ind w:left="0" w:firstLine="456"/>
              <w:contextualSpacing/>
              <w:jc w:val="both"/>
              <w:rPr>
                <w:rFonts w:ascii="Garamond" w:hAnsi="Garamond" w:cstheme="minorHAnsi"/>
                <w:sz w:val="22"/>
                <w:szCs w:val="22"/>
              </w:rPr>
            </w:pPr>
            <w:r w:rsidRPr="00A5626D">
              <w:rPr>
                <w:rFonts w:ascii="Garamond" w:hAnsi="Garamond" w:cstheme="minorHAnsi"/>
                <w:sz w:val="22"/>
                <w:szCs w:val="22"/>
                <w:lang w:val="en-US"/>
              </w:rPr>
              <w:lastRenderedPageBreak/>
              <w:t>ats</w:t>
            </w:r>
            <w:r w:rsidRPr="00A5626D">
              <w:rPr>
                <w:rFonts w:ascii="Garamond" w:hAnsi="Garamond" w:cstheme="minorHAnsi"/>
                <w:sz w:val="22"/>
                <w:szCs w:val="22"/>
              </w:rPr>
              <w:t>-</w:t>
            </w:r>
            <w:r w:rsidRPr="00A5626D">
              <w:rPr>
                <w:rFonts w:ascii="Garamond" w:hAnsi="Garamond" w:cstheme="minorHAnsi"/>
                <w:sz w:val="22"/>
                <w:szCs w:val="22"/>
                <w:lang w:val="en-US"/>
              </w:rPr>
              <w:t>code</w:t>
            </w:r>
            <w:r w:rsidRPr="00A5626D">
              <w:rPr>
                <w:rFonts w:ascii="Garamond" w:hAnsi="Garamond" w:cstheme="minorHAnsi"/>
                <w:sz w:val="22"/>
                <w:szCs w:val="22"/>
              </w:rPr>
              <w:t xml:space="preserve"> – код АИИС, присвоенный КО. Число из 10 символов. Является обязательным атрибутом.</w:t>
            </w:r>
          </w:p>
          <w:p w14:paraId="1F5D4F51" w14:textId="77777777" w:rsidR="00295C6D" w:rsidRPr="00A5626D" w:rsidRDefault="00295C6D" w:rsidP="00E31AE6">
            <w:pPr>
              <w:tabs>
                <w:tab w:val="left" w:pos="1134"/>
                <w:tab w:val="left" w:pos="7938"/>
              </w:tabs>
              <w:spacing w:before="120" w:after="120"/>
              <w:ind w:firstLine="456"/>
              <w:contextualSpacing/>
              <w:jc w:val="both"/>
              <w:rPr>
                <w:rFonts w:ascii="Garamond" w:hAnsi="Garamond" w:cstheme="minorHAnsi"/>
                <w:sz w:val="22"/>
                <w:szCs w:val="22"/>
              </w:rPr>
            </w:pPr>
            <w:r w:rsidRPr="00A5626D">
              <w:rPr>
                <w:rFonts w:ascii="Garamond" w:hAnsi="Garamond" w:cstheme="minorHAnsi"/>
                <w:sz w:val="22"/>
                <w:szCs w:val="22"/>
              </w:rPr>
              <w:t>Дочерними элементами является &lt;</w:t>
            </w:r>
            <w:r w:rsidRPr="00A5626D">
              <w:rPr>
                <w:rFonts w:ascii="Garamond" w:hAnsi="Garamond" w:cstheme="minorHAnsi"/>
                <w:b/>
                <w:sz w:val="22"/>
                <w:szCs w:val="22"/>
                <w:lang w:val="en-US"/>
              </w:rPr>
              <w:t>area</w:t>
            </w:r>
            <w:r w:rsidRPr="00A5626D">
              <w:rPr>
                <w:rFonts w:ascii="Garamond" w:hAnsi="Garamond" w:cstheme="minorHAnsi"/>
                <w:sz w:val="22"/>
                <w:szCs w:val="22"/>
              </w:rPr>
              <w:t>&gt;.</w:t>
            </w:r>
          </w:p>
        </w:tc>
        <w:tc>
          <w:tcPr>
            <w:tcW w:w="7088" w:type="dxa"/>
          </w:tcPr>
          <w:p w14:paraId="59B8A613" w14:textId="77777777" w:rsidR="00295C6D" w:rsidRPr="00A5626D" w:rsidRDefault="00295C6D" w:rsidP="00E31AE6">
            <w:pPr>
              <w:tabs>
                <w:tab w:val="left" w:pos="1134"/>
                <w:tab w:val="left" w:pos="7938"/>
              </w:tabs>
              <w:spacing w:before="120" w:after="120"/>
              <w:ind w:firstLine="456"/>
              <w:jc w:val="both"/>
              <w:rPr>
                <w:rFonts w:ascii="Garamond" w:hAnsi="Garamond" w:cstheme="minorHAnsi"/>
                <w:sz w:val="22"/>
                <w:szCs w:val="22"/>
              </w:rPr>
            </w:pPr>
            <w:r w:rsidRPr="00A5626D">
              <w:rPr>
                <w:rFonts w:ascii="Garamond" w:hAnsi="Garamond" w:cstheme="minorHAnsi"/>
                <w:sz w:val="22"/>
                <w:szCs w:val="22"/>
              </w:rPr>
              <w:lastRenderedPageBreak/>
              <w:t>&lt;</w:t>
            </w:r>
            <w:r w:rsidRPr="00A5626D">
              <w:rPr>
                <w:rFonts w:ascii="Garamond" w:hAnsi="Garamond" w:cstheme="minorHAnsi"/>
                <w:bCs/>
                <w:i/>
                <w:iCs/>
                <w:sz w:val="22"/>
                <w:szCs w:val="22"/>
                <w:lang w:val="en-US"/>
              </w:rPr>
              <w:t>aiis</w:t>
            </w:r>
            <w:r w:rsidRPr="00A5626D">
              <w:rPr>
                <w:rFonts w:ascii="Garamond" w:hAnsi="Garamond" w:cstheme="minorHAnsi"/>
                <w:sz w:val="22"/>
                <w:szCs w:val="22"/>
              </w:rPr>
              <w:t>&gt;</w:t>
            </w:r>
          </w:p>
          <w:p w14:paraId="1BC803F7" w14:textId="4C640903" w:rsidR="00295C6D" w:rsidRPr="00A5626D" w:rsidRDefault="00295C6D" w:rsidP="00E31AE6">
            <w:pPr>
              <w:tabs>
                <w:tab w:val="left" w:pos="1134"/>
                <w:tab w:val="left" w:pos="7938"/>
              </w:tabs>
              <w:spacing w:before="120" w:after="120"/>
              <w:ind w:firstLine="456"/>
              <w:jc w:val="both"/>
              <w:rPr>
                <w:rFonts w:ascii="Garamond" w:eastAsia="Calibri" w:hAnsi="Garamond" w:cstheme="minorHAnsi"/>
                <w:sz w:val="22"/>
                <w:szCs w:val="22"/>
              </w:rPr>
            </w:pPr>
            <w:r w:rsidRPr="00A5626D">
              <w:rPr>
                <w:rFonts w:ascii="Garamond" w:eastAsia="Calibri" w:hAnsi="Garamond" w:cstheme="minorHAnsi"/>
                <w:sz w:val="22"/>
                <w:szCs w:val="22"/>
              </w:rPr>
              <w:t>Элемент &lt;</w:t>
            </w:r>
            <w:r w:rsidRPr="00A5626D">
              <w:rPr>
                <w:rFonts w:ascii="Garamond" w:eastAsia="Calibri" w:hAnsi="Garamond" w:cstheme="minorHAnsi"/>
                <w:b/>
                <w:sz w:val="22"/>
                <w:szCs w:val="22"/>
                <w:lang w:val="en-US"/>
              </w:rPr>
              <w:t>aiis</w:t>
            </w:r>
            <w:r w:rsidRPr="00A5626D">
              <w:rPr>
                <w:rFonts w:ascii="Garamond" w:eastAsia="Calibri" w:hAnsi="Garamond" w:cstheme="minorHAnsi"/>
                <w:sz w:val="22"/>
                <w:szCs w:val="22"/>
              </w:rPr>
              <w:t xml:space="preserve">&gt; содержит информацию об АИИС </w:t>
            </w:r>
            <w:r w:rsidRPr="00A5626D">
              <w:rPr>
                <w:rFonts w:ascii="Garamond" w:eastAsia="Calibri" w:hAnsi="Garamond" w:cstheme="minorHAnsi"/>
                <w:sz w:val="22"/>
                <w:szCs w:val="22"/>
                <w:highlight w:val="yellow"/>
              </w:rPr>
              <w:t xml:space="preserve">/ </w:t>
            </w:r>
            <w:r w:rsidR="00C6418D">
              <w:rPr>
                <w:rFonts w:ascii="Garamond" w:eastAsia="Calibri" w:hAnsi="Garamond" w:cstheme="minorHAnsi"/>
                <w:sz w:val="22"/>
                <w:szCs w:val="22"/>
                <w:highlight w:val="yellow"/>
              </w:rPr>
              <w:t>с</w:t>
            </w:r>
            <w:r w:rsidRPr="00A5626D">
              <w:rPr>
                <w:rFonts w:ascii="Garamond" w:eastAsia="Calibri" w:hAnsi="Garamond" w:cstheme="minorHAnsi"/>
                <w:sz w:val="22"/>
                <w:szCs w:val="22"/>
                <w:highlight w:val="yellow"/>
              </w:rPr>
              <w:t>писке ОР</w:t>
            </w:r>
            <w:r w:rsidRPr="00A5626D">
              <w:rPr>
                <w:rFonts w:ascii="Garamond" w:eastAsia="Calibri" w:hAnsi="Garamond" w:cstheme="minorHAnsi"/>
                <w:sz w:val="22"/>
                <w:szCs w:val="22"/>
              </w:rPr>
              <w:t>.</w:t>
            </w:r>
          </w:p>
          <w:p w14:paraId="634CE522" w14:textId="77777777" w:rsidR="00295C6D" w:rsidRPr="00A5626D" w:rsidRDefault="00295C6D" w:rsidP="00E31AE6">
            <w:pPr>
              <w:widowControl w:val="0"/>
              <w:tabs>
                <w:tab w:val="left" w:pos="1134"/>
                <w:tab w:val="left" w:pos="7938"/>
              </w:tabs>
              <w:autoSpaceDE w:val="0"/>
              <w:autoSpaceDN w:val="0"/>
              <w:adjustRightInd w:val="0"/>
              <w:spacing w:before="60" w:after="60" w:line="276" w:lineRule="auto"/>
              <w:ind w:firstLine="456"/>
              <w:jc w:val="both"/>
              <w:rPr>
                <w:rFonts w:ascii="Garamond" w:hAnsi="Garamond" w:cstheme="minorHAnsi"/>
                <w:sz w:val="22"/>
                <w:szCs w:val="22"/>
              </w:rPr>
            </w:pPr>
            <w:r w:rsidRPr="00A5626D">
              <w:rPr>
                <w:rFonts w:ascii="Garamond" w:hAnsi="Garamond" w:cstheme="minorHAnsi"/>
                <w:bCs/>
                <w:sz w:val="22"/>
                <w:szCs w:val="22"/>
              </w:rPr>
              <w:t>Обязательный элемент</w:t>
            </w:r>
            <w:r w:rsidRPr="00A5626D">
              <w:rPr>
                <w:rFonts w:ascii="Garamond" w:hAnsi="Garamond" w:cstheme="minorHAnsi"/>
                <w:sz w:val="22"/>
                <w:szCs w:val="22"/>
              </w:rPr>
              <w:t xml:space="preserve">. Допускается наличие не более одного элемента для каждой ГТП </w:t>
            </w:r>
            <w:r w:rsidRPr="00A5626D">
              <w:rPr>
                <w:rFonts w:ascii="Garamond" w:hAnsi="Garamond" w:cstheme="minorHAnsi"/>
                <w:sz w:val="22"/>
                <w:szCs w:val="22"/>
                <w:highlight w:val="yellow"/>
              </w:rPr>
              <w:t>/ ОР</w:t>
            </w:r>
            <w:r w:rsidRPr="00A5626D">
              <w:rPr>
                <w:rFonts w:ascii="Garamond" w:hAnsi="Garamond" w:cstheme="minorHAnsi"/>
                <w:sz w:val="22"/>
                <w:szCs w:val="22"/>
              </w:rPr>
              <w:t>.</w:t>
            </w:r>
          </w:p>
          <w:p w14:paraId="17FF315B" w14:textId="77777777" w:rsidR="00295C6D" w:rsidRPr="00A5626D" w:rsidRDefault="00295C6D" w:rsidP="00E31AE6">
            <w:pPr>
              <w:tabs>
                <w:tab w:val="left" w:pos="1134"/>
                <w:tab w:val="left" w:pos="7938"/>
              </w:tabs>
              <w:spacing w:before="120" w:after="120"/>
              <w:ind w:firstLine="456"/>
              <w:jc w:val="both"/>
              <w:rPr>
                <w:rFonts w:ascii="Garamond" w:eastAsia="Calibri" w:hAnsi="Garamond" w:cstheme="minorHAnsi"/>
                <w:sz w:val="22"/>
                <w:szCs w:val="22"/>
              </w:rPr>
            </w:pPr>
            <w:r w:rsidRPr="00A5626D">
              <w:rPr>
                <w:rFonts w:ascii="Garamond" w:hAnsi="Garamond" w:cstheme="minorHAnsi"/>
                <w:sz w:val="22"/>
                <w:szCs w:val="22"/>
              </w:rPr>
              <w:t>Атрибутами элемента &lt;</w:t>
            </w:r>
            <w:r w:rsidRPr="00A5626D">
              <w:rPr>
                <w:rFonts w:ascii="Garamond" w:hAnsi="Garamond" w:cstheme="minorHAnsi"/>
                <w:b/>
                <w:sz w:val="22"/>
                <w:szCs w:val="22"/>
                <w:lang w:val="en-US"/>
              </w:rPr>
              <w:t>aiis</w:t>
            </w:r>
            <w:r w:rsidRPr="00A5626D">
              <w:rPr>
                <w:rFonts w:ascii="Garamond" w:hAnsi="Garamond" w:cstheme="minorHAnsi"/>
                <w:sz w:val="22"/>
                <w:szCs w:val="22"/>
              </w:rPr>
              <w:t>&gt; являются</w:t>
            </w:r>
            <w:r w:rsidRPr="00A5626D">
              <w:rPr>
                <w:rFonts w:ascii="Garamond" w:eastAsia="Calibri" w:hAnsi="Garamond" w:cstheme="minorHAnsi"/>
                <w:sz w:val="22"/>
                <w:szCs w:val="22"/>
              </w:rPr>
              <w:t>:</w:t>
            </w:r>
          </w:p>
          <w:p w14:paraId="34152808" w14:textId="7EED7E98" w:rsidR="00295C6D" w:rsidRPr="00A5626D" w:rsidRDefault="00295C6D" w:rsidP="00295C6D">
            <w:pPr>
              <w:numPr>
                <w:ilvl w:val="0"/>
                <w:numId w:val="272"/>
              </w:numPr>
              <w:tabs>
                <w:tab w:val="left" w:pos="1134"/>
                <w:tab w:val="left" w:pos="7938"/>
              </w:tabs>
              <w:suppressAutoHyphens w:val="0"/>
              <w:spacing w:before="120" w:after="120" w:line="259" w:lineRule="auto"/>
              <w:ind w:left="0" w:firstLine="456"/>
              <w:contextualSpacing/>
              <w:jc w:val="both"/>
              <w:rPr>
                <w:rFonts w:ascii="Garamond" w:hAnsi="Garamond" w:cstheme="minorHAnsi"/>
                <w:sz w:val="22"/>
                <w:szCs w:val="22"/>
              </w:rPr>
            </w:pPr>
            <w:r w:rsidRPr="00A5626D">
              <w:rPr>
                <w:rFonts w:ascii="Garamond" w:hAnsi="Garamond" w:cstheme="minorHAnsi"/>
                <w:sz w:val="22"/>
                <w:szCs w:val="22"/>
              </w:rPr>
              <w:t xml:space="preserve">id-aiis – внутренний идентификатор АИИС </w:t>
            </w:r>
            <w:r w:rsidRPr="00A5626D">
              <w:rPr>
                <w:rFonts w:ascii="Garamond" w:hAnsi="Garamond" w:cstheme="minorHAnsi"/>
                <w:sz w:val="22"/>
                <w:szCs w:val="22"/>
                <w:highlight w:val="yellow"/>
              </w:rPr>
              <w:t xml:space="preserve">/ </w:t>
            </w:r>
            <w:r w:rsidR="00C6418D">
              <w:rPr>
                <w:rFonts w:ascii="Garamond" w:hAnsi="Garamond" w:cstheme="minorHAnsi"/>
                <w:sz w:val="22"/>
                <w:szCs w:val="22"/>
                <w:highlight w:val="yellow"/>
              </w:rPr>
              <w:t>с</w:t>
            </w:r>
            <w:r w:rsidRPr="00A5626D">
              <w:rPr>
                <w:rFonts w:ascii="Garamond" w:hAnsi="Garamond" w:cstheme="minorHAnsi"/>
                <w:sz w:val="22"/>
                <w:szCs w:val="22"/>
                <w:highlight w:val="yellow"/>
              </w:rPr>
              <w:t>писка ОР</w:t>
            </w:r>
            <w:r w:rsidRPr="00A5626D">
              <w:rPr>
                <w:rFonts w:ascii="Garamond" w:hAnsi="Garamond" w:cstheme="minorHAnsi"/>
                <w:sz w:val="22"/>
                <w:szCs w:val="22"/>
              </w:rPr>
              <w:t>. Число из одного знака. Является обязательным атрибутом;</w:t>
            </w:r>
          </w:p>
          <w:p w14:paraId="2AAD88AF" w14:textId="52CB33E9" w:rsidR="00295C6D" w:rsidRPr="00A5626D" w:rsidRDefault="00295C6D" w:rsidP="00295C6D">
            <w:pPr>
              <w:numPr>
                <w:ilvl w:val="0"/>
                <w:numId w:val="272"/>
              </w:numPr>
              <w:tabs>
                <w:tab w:val="left" w:pos="1134"/>
                <w:tab w:val="left" w:pos="7938"/>
              </w:tabs>
              <w:suppressAutoHyphens w:val="0"/>
              <w:spacing w:before="120" w:after="120" w:line="259" w:lineRule="auto"/>
              <w:ind w:left="0" w:firstLine="456"/>
              <w:contextualSpacing/>
              <w:jc w:val="both"/>
              <w:rPr>
                <w:rFonts w:ascii="Garamond" w:hAnsi="Garamond" w:cstheme="minorHAnsi"/>
                <w:sz w:val="22"/>
                <w:szCs w:val="22"/>
              </w:rPr>
            </w:pPr>
            <w:r w:rsidRPr="00A5626D">
              <w:rPr>
                <w:rFonts w:ascii="Garamond" w:hAnsi="Garamond" w:cstheme="minorHAnsi"/>
                <w:sz w:val="22"/>
                <w:szCs w:val="22"/>
              </w:rPr>
              <w:t xml:space="preserve">id-gtp – ссылка на внутренний идентификатор ГТП </w:t>
            </w:r>
            <w:r w:rsidRPr="00A5626D">
              <w:rPr>
                <w:rFonts w:ascii="Garamond" w:hAnsi="Garamond" w:cstheme="minorHAnsi"/>
                <w:sz w:val="22"/>
                <w:szCs w:val="22"/>
                <w:highlight w:val="yellow"/>
              </w:rPr>
              <w:t>/ ОР</w:t>
            </w:r>
            <w:r w:rsidRPr="00A5626D">
              <w:rPr>
                <w:rFonts w:ascii="Garamond" w:hAnsi="Garamond" w:cstheme="minorHAnsi"/>
                <w:sz w:val="22"/>
                <w:szCs w:val="22"/>
              </w:rPr>
              <w:t xml:space="preserve">, к которой относится данная АИИС </w:t>
            </w:r>
            <w:r w:rsidRPr="00A5626D">
              <w:rPr>
                <w:rFonts w:ascii="Garamond" w:hAnsi="Garamond" w:cstheme="minorHAnsi"/>
                <w:sz w:val="22"/>
                <w:szCs w:val="22"/>
                <w:highlight w:val="yellow"/>
              </w:rPr>
              <w:t xml:space="preserve">/ </w:t>
            </w:r>
            <w:r w:rsidR="00C6418D">
              <w:rPr>
                <w:rFonts w:ascii="Garamond" w:hAnsi="Garamond" w:cstheme="minorHAnsi"/>
                <w:sz w:val="22"/>
                <w:szCs w:val="22"/>
                <w:highlight w:val="yellow"/>
              </w:rPr>
              <w:t>с</w:t>
            </w:r>
            <w:r w:rsidRPr="00A5626D">
              <w:rPr>
                <w:rFonts w:ascii="Garamond" w:hAnsi="Garamond" w:cstheme="minorHAnsi"/>
                <w:sz w:val="22"/>
                <w:szCs w:val="22"/>
                <w:highlight w:val="yellow"/>
              </w:rPr>
              <w:t>писок ОР</w:t>
            </w:r>
            <w:r w:rsidRPr="00A5626D">
              <w:rPr>
                <w:rFonts w:ascii="Garamond" w:hAnsi="Garamond" w:cstheme="minorHAnsi"/>
                <w:sz w:val="22"/>
                <w:szCs w:val="22"/>
              </w:rPr>
              <w:t>. Число, состоящее из одного знака. Является обязательным атрибутом;</w:t>
            </w:r>
          </w:p>
          <w:p w14:paraId="5E6169E1" w14:textId="771A3F75" w:rsidR="00295C6D" w:rsidRPr="00A5626D" w:rsidRDefault="00295C6D" w:rsidP="00295C6D">
            <w:pPr>
              <w:numPr>
                <w:ilvl w:val="0"/>
                <w:numId w:val="272"/>
              </w:numPr>
              <w:tabs>
                <w:tab w:val="left" w:pos="1134"/>
                <w:tab w:val="left" w:pos="7938"/>
              </w:tabs>
              <w:suppressAutoHyphens w:val="0"/>
              <w:spacing w:before="120" w:after="120" w:line="259" w:lineRule="auto"/>
              <w:ind w:left="0" w:firstLine="456"/>
              <w:contextualSpacing/>
              <w:jc w:val="both"/>
              <w:rPr>
                <w:rFonts w:ascii="Garamond" w:hAnsi="Garamond" w:cstheme="minorHAnsi"/>
                <w:sz w:val="22"/>
                <w:szCs w:val="22"/>
              </w:rPr>
            </w:pPr>
            <w:r w:rsidRPr="00A5626D">
              <w:rPr>
                <w:rFonts w:ascii="Garamond" w:hAnsi="Garamond" w:cstheme="minorHAnsi"/>
                <w:sz w:val="22"/>
                <w:szCs w:val="22"/>
                <w:lang w:val="en-US"/>
              </w:rPr>
              <w:t>name</w:t>
            </w:r>
            <w:r w:rsidRPr="00A5626D">
              <w:rPr>
                <w:rFonts w:ascii="Garamond" w:hAnsi="Garamond" w:cstheme="minorHAnsi"/>
                <w:sz w:val="22"/>
                <w:szCs w:val="22"/>
              </w:rPr>
              <w:t xml:space="preserve"> – наименование АИИС </w:t>
            </w:r>
            <w:r w:rsidRPr="00A5626D">
              <w:rPr>
                <w:rFonts w:ascii="Garamond" w:hAnsi="Garamond" w:cstheme="minorHAnsi"/>
                <w:sz w:val="22"/>
                <w:szCs w:val="22"/>
                <w:highlight w:val="yellow"/>
              </w:rPr>
              <w:t xml:space="preserve">/ </w:t>
            </w:r>
            <w:r w:rsidR="00C6418D">
              <w:rPr>
                <w:rFonts w:ascii="Garamond" w:hAnsi="Garamond" w:cstheme="minorHAnsi"/>
                <w:sz w:val="22"/>
                <w:szCs w:val="22"/>
                <w:highlight w:val="yellow"/>
              </w:rPr>
              <w:t>с</w:t>
            </w:r>
            <w:r w:rsidRPr="00A5626D">
              <w:rPr>
                <w:rFonts w:ascii="Garamond" w:hAnsi="Garamond" w:cstheme="minorHAnsi"/>
                <w:sz w:val="22"/>
                <w:szCs w:val="22"/>
                <w:highlight w:val="yellow"/>
              </w:rPr>
              <w:t>писка ОР</w:t>
            </w:r>
            <w:r w:rsidRPr="00A5626D">
              <w:rPr>
                <w:rFonts w:ascii="Garamond" w:hAnsi="Garamond" w:cstheme="minorHAnsi"/>
                <w:sz w:val="22"/>
                <w:szCs w:val="22"/>
              </w:rPr>
              <w:t>, присвоенное КО. Текстовое поле длиной 512 символов. Является обязательным атрибутом;</w:t>
            </w:r>
          </w:p>
          <w:p w14:paraId="5A27C171" w14:textId="2DE9344A" w:rsidR="00295C6D" w:rsidRPr="00A5626D" w:rsidRDefault="00295C6D" w:rsidP="00295C6D">
            <w:pPr>
              <w:numPr>
                <w:ilvl w:val="0"/>
                <w:numId w:val="272"/>
              </w:numPr>
              <w:tabs>
                <w:tab w:val="left" w:pos="1134"/>
                <w:tab w:val="left" w:pos="7938"/>
              </w:tabs>
              <w:suppressAutoHyphens w:val="0"/>
              <w:spacing w:before="120" w:after="120" w:line="259" w:lineRule="auto"/>
              <w:ind w:left="0" w:firstLine="456"/>
              <w:contextualSpacing/>
              <w:jc w:val="both"/>
              <w:rPr>
                <w:rFonts w:ascii="Garamond" w:hAnsi="Garamond" w:cstheme="minorHAnsi"/>
                <w:sz w:val="22"/>
                <w:szCs w:val="22"/>
              </w:rPr>
            </w:pPr>
            <w:r w:rsidRPr="00A5626D">
              <w:rPr>
                <w:rFonts w:ascii="Garamond" w:hAnsi="Garamond" w:cstheme="minorHAnsi"/>
                <w:sz w:val="22"/>
                <w:szCs w:val="22"/>
                <w:lang w:val="en-US"/>
              </w:rPr>
              <w:lastRenderedPageBreak/>
              <w:t>ats</w:t>
            </w:r>
            <w:r w:rsidRPr="00A5626D">
              <w:rPr>
                <w:rFonts w:ascii="Garamond" w:hAnsi="Garamond" w:cstheme="minorHAnsi"/>
                <w:sz w:val="22"/>
                <w:szCs w:val="22"/>
              </w:rPr>
              <w:t>-</w:t>
            </w:r>
            <w:r w:rsidRPr="00A5626D">
              <w:rPr>
                <w:rFonts w:ascii="Garamond" w:hAnsi="Garamond" w:cstheme="minorHAnsi"/>
                <w:sz w:val="22"/>
                <w:szCs w:val="22"/>
                <w:lang w:val="en-US"/>
              </w:rPr>
              <w:t>code</w:t>
            </w:r>
            <w:r w:rsidRPr="00A5626D">
              <w:rPr>
                <w:rFonts w:ascii="Garamond" w:hAnsi="Garamond" w:cstheme="minorHAnsi"/>
                <w:sz w:val="22"/>
                <w:szCs w:val="22"/>
              </w:rPr>
              <w:t xml:space="preserve"> – код АИИС </w:t>
            </w:r>
            <w:r w:rsidRPr="00A5626D">
              <w:rPr>
                <w:rFonts w:ascii="Garamond" w:hAnsi="Garamond" w:cstheme="minorHAnsi"/>
                <w:sz w:val="22"/>
                <w:szCs w:val="22"/>
                <w:highlight w:val="yellow"/>
              </w:rPr>
              <w:t xml:space="preserve">/ </w:t>
            </w:r>
            <w:r w:rsidR="00C6418D">
              <w:rPr>
                <w:rFonts w:ascii="Garamond" w:hAnsi="Garamond" w:cstheme="minorHAnsi"/>
                <w:sz w:val="22"/>
                <w:szCs w:val="22"/>
                <w:highlight w:val="yellow"/>
              </w:rPr>
              <w:t>с</w:t>
            </w:r>
            <w:r w:rsidRPr="00A5626D">
              <w:rPr>
                <w:rFonts w:ascii="Garamond" w:hAnsi="Garamond" w:cstheme="minorHAnsi"/>
                <w:sz w:val="22"/>
                <w:szCs w:val="22"/>
                <w:highlight w:val="yellow"/>
              </w:rPr>
              <w:t>писка ОР</w:t>
            </w:r>
            <w:r w:rsidRPr="00A5626D">
              <w:rPr>
                <w:rFonts w:ascii="Garamond" w:hAnsi="Garamond" w:cstheme="minorHAnsi"/>
                <w:sz w:val="22"/>
                <w:szCs w:val="22"/>
              </w:rPr>
              <w:t>, присвоенный КО. Число из 10 символов. Является обязательным атрибутом.</w:t>
            </w:r>
          </w:p>
          <w:p w14:paraId="4234EAAF" w14:textId="77777777" w:rsidR="00295C6D" w:rsidRPr="00A5626D" w:rsidRDefault="00295C6D" w:rsidP="00E31AE6">
            <w:pPr>
              <w:pStyle w:val="2"/>
              <w:numPr>
                <w:ilvl w:val="0"/>
                <w:numId w:val="0"/>
              </w:numPr>
              <w:tabs>
                <w:tab w:val="left" w:pos="1134"/>
                <w:tab w:val="left" w:pos="7938"/>
              </w:tabs>
              <w:suppressAutoHyphens w:val="0"/>
              <w:spacing w:line="22" w:lineRule="atLeast"/>
              <w:ind w:firstLine="629"/>
              <w:jc w:val="both"/>
              <w:rPr>
                <w:rFonts w:ascii="Garamond" w:hAnsi="Garamond" w:cstheme="minorHAnsi"/>
                <w:b w:val="0"/>
              </w:rPr>
            </w:pPr>
            <w:r w:rsidRPr="00A5626D">
              <w:rPr>
                <w:rFonts w:ascii="Garamond" w:hAnsi="Garamond" w:cstheme="minorHAnsi"/>
                <w:b w:val="0"/>
              </w:rPr>
              <w:t>Дочерними элементами является</w:t>
            </w:r>
            <w:r w:rsidRPr="00A5626D">
              <w:rPr>
                <w:rFonts w:ascii="Garamond" w:hAnsi="Garamond" w:cstheme="minorHAnsi"/>
              </w:rPr>
              <w:t xml:space="preserve"> &lt;</w:t>
            </w:r>
            <w:r w:rsidRPr="00A5626D">
              <w:rPr>
                <w:rFonts w:ascii="Garamond" w:hAnsi="Garamond" w:cstheme="minorHAnsi"/>
                <w:lang w:val="en-US"/>
              </w:rPr>
              <w:t>area</w:t>
            </w:r>
            <w:r w:rsidRPr="00A5626D">
              <w:rPr>
                <w:rFonts w:ascii="Garamond" w:hAnsi="Garamond" w:cstheme="minorHAnsi"/>
              </w:rPr>
              <w:t>&gt;.</w:t>
            </w:r>
          </w:p>
        </w:tc>
      </w:tr>
      <w:tr w:rsidR="00295C6D" w:rsidRPr="00A5626D" w14:paraId="1ACE2C39" w14:textId="77777777" w:rsidTr="00647FA0">
        <w:tc>
          <w:tcPr>
            <w:tcW w:w="1060" w:type="dxa"/>
            <w:vAlign w:val="center"/>
          </w:tcPr>
          <w:p w14:paraId="69CCD9E4" w14:textId="1649E2A9" w:rsidR="00295C6D" w:rsidRPr="00A5626D" w:rsidRDefault="00295C6D" w:rsidP="00E31AE6">
            <w:pPr>
              <w:widowControl w:val="0"/>
              <w:tabs>
                <w:tab w:val="left" w:pos="1134"/>
                <w:tab w:val="left" w:pos="7938"/>
              </w:tabs>
              <w:spacing w:line="22" w:lineRule="atLeast"/>
              <w:jc w:val="both"/>
              <w:rPr>
                <w:rFonts w:ascii="Garamond" w:hAnsi="Garamond"/>
                <w:b/>
                <w:sz w:val="22"/>
                <w:szCs w:val="22"/>
                <w:lang w:eastAsia="en-US"/>
              </w:rPr>
            </w:pPr>
            <w:r w:rsidRPr="00A5626D">
              <w:rPr>
                <w:rFonts w:ascii="Garamond" w:hAnsi="Garamond"/>
                <w:b/>
                <w:sz w:val="22"/>
                <w:szCs w:val="22"/>
                <w:lang w:eastAsia="en-US"/>
              </w:rPr>
              <w:lastRenderedPageBreak/>
              <w:t>Приложение 5, п.</w:t>
            </w:r>
            <w:r w:rsidR="00647FA0" w:rsidRPr="00A5626D">
              <w:rPr>
                <w:rFonts w:ascii="Garamond" w:hAnsi="Garamond"/>
                <w:b/>
                <w:sz w:val="22"/>
                <w:szCs w:val="22"/>
                <w:lang w:eastAsia="en-US"/>
              </w:rPr>
              <w:t> </w:t>
            </w:r>
            <w:r w:rsidRPr="00A5626D">
              <w:rPr>
                <w:rFonts w:ascii="Garamond" w:hAnsi="Garamond"/>
                <w:b/>
                <w:sz w:val="22"/>
                <w:szCs w:val="22"/>
                <w:lang w:eastAsia="en-US"/>
              </w:rPr>
              <w:t>4.4.1.2.1.4.1.1</w:t>
            </w:r>
          </w:p>
        </w:tc>
        <w:tc>
          <w:tcPr>
            <w:tcW w:w="6662" w:type="dxa"/>
          </w:tcPr>
          <w:p w14:paraId="72CFE608" w14:textId="77777777" w:rsidR="00295C6D" w:rsidRPr="00A5626D" w:rsidRDefault="00295C6D" w:rsidP="00E31AE6">
            <w:pPr>
              <w:tabs>
                <w:tab w:val="left" w:pos="1134"/>
                <w:tab w:val="left" w:pos="7938"/>
              </w:tabs>
              <w:spacing w:before="120" w:after="120"/>
              <w:ind w:firstLine="456"/>
              <w:jc w:val="both"/>
              <w:rPr>
                <w:rFonts w:ascii="Garamond" w:hAnsi="Garamond" w:cstheme="minorHAnsi"/>
                <w:sz w:val="22"/>
                <w:szCs w:val="22"/>
              </w:rPr>
            </w:pPr>
            <w:r w:rsidRPr="00A5626D">
              <w:rPr>
                <w:rFonts w:ascii="Garamond" w:hAnsi="Garamond" w:cstheme="minorHAnsi"/>
                <w:sz w:val="22"/>
                <w:szCs w:val="22"/>
              </w:rPr>
              <w:t>&lt;</w:t>
            </w:r>
            <w:r w:rsidRPr="00A5626D">
              <w:rPr>
                <w:rFonts w:ascii="Garamond" w:hAnsi="Garamond" w:cstheme="minorHAnsi"/>
                <w:bCs/>
                <w:sz w:val="22"/>
                <w:szCs w:val="22"/>
                <w:lang w:val="en-US"/>
              </w:rPr>
              <w:t>area</w:t>
            </w:r>
            <w:r w:rsidRPr="00A5626D">
              <w:rPr>
                <w:rFonts w:ascii="Garamond" w:hAnsi="Garamond" w:cstheme="minorHAnsi"/>
                <w:sz w:val="22"/>
                <w:szCs w:val="22"/>
              </w:rPr>
              <w:t>&gt;</w:t>
            </w:r>
          </w:p>
          <w:p w14:paraId="2CB8A875" w14:textId="77777777" w:rsidR="00295C6D" w:rsidRPr="00A5626D" w:rsidRDefault="00295C6D" w:rsidP="00E31AE6">
            <w:pPr>
              <w:tabs>
                <w:tab w:val="left" w:pos="1134"/>
                <w:tab w:val="left" w:pos="7938"/>
              </w:tabs>
              <w:spacing w:before="120" w:after="120"/>
              <w:ind w:firstLine="456"/>
              <w:jc w:val="both"/>
              <w:rPr>
                <w:rFonts w:ascii="Garamond" w:eastAsia="Calibri" w:hAnsi="Garamond" w:cstheme="minorHAnsi"/>
                <w:sz w:val="22"/>
                <w:szCs w:val="22"/>
              </w:rPr>
            </w:pPr>
            <w:r w:rsidRPr="00A5626D">
              <w:rPr>
                <w:rFonts w:ascii="Garamond" w:eastAsia="Calibri" w:hAnsi="Garamond" w:cstheme="minorHAnsi"/>
                <w:sz w:val="22"/>
                <w:szCs w:val="22"/>
              </w:rPr>
              <w:t>Элемент &lt;</w:t>
            </w:r>
            <w:r w:rsidRPr="00A5626D">
              <w:rPr>
                <w:rFonts w:ascii="Garamond" w:eastAsia="Calibri" w:hAnsi="Garamond" w:cstheme="minorHAnsi"/>
                <w:b/>
                <w:sz w:val="22"/>
                <w:szCs w:val="22"/>
                <w:lang w:val="en-US"/>
              </w:rPr>
              <w:t>area</w:t>
            </w:r>
            <w:r w:rsidRPr="00A5626D">
              <w:rPr>
                <w:rFonts w:ascii="Garamond" w:eastAsia="Calibri" w:hAnsi="Garamond" w:cstheme="minorHAnsi"/>
                <w:sz w:val="22"/>
                <w:szCs w:val="22"/>
              </w:rPr>
              <w:t>&gt; содержит информацию о группах поставки информации.</w:t>
            </w:r>
          </w:p>
          <w:p w14:paraId="43236B8B" w14:textId="77777777" w:rsidR="00295C6D" w:rsidRPr="00A5626D" w:rsidRDefault="00295C6D" w:rsidP="00E31AE6">
            <w:pPr>
              <w:widowControl w:val="0"/>
              <w:tabs>
                <w:tab w:val="left" w:pos="1134"/>
                <w:tab w:val="left" w:pos="7938"/>
              </w:tabs>
              <w:autoSpaceDE w:val="0"/>
              <w:autoSpaceDN w:val="0"/>
              <w:adjustRightInd w:val="0"/>
              <w:spacing w:before="60" w:after="60" w:line="276" w:lineRule="auto"/>
              <w:ind w:firstLine="456"/>
              <w:jc w:val="both"/>
              <w:rPr>
                <w:rFonts w:ascii="Garamond" w:hAnsi="Garamond" w:cstheme="minorHAnsi"/>
                <w:sz w:val="22"/>
                <w:szCs w:val="22"/>
              </w:rPr>
            </w:pPr>
            <w:r w:rsidRPr="00A5626D">
              <w:rPr>
                <w:rFonts w:ascii="Garamond" w:hAnsi="Garamond" w:cstheme="minorHAnsi"/>
                <w:bCs/>
                <w:sz w:val="22"/>
                <w:szCs w:val="22"/>
              </w:rPr>
              <w:t>Обязательный элемент</w:t>
            </w:r>
            <w:r w:rsidRPr="00A5626D">
              <w:rPr>
                <w:rFonts w:ascii="Garamond" w:hAnsi="Garamond" w:cstheme="minorHAnsi"/>
                <w:sz w:val="22"/>
                <w:szCs w:val="22"/>
              </w:rPr>
              <w:t>. Допускается наличие не более двух элементов для каждой АИИС.</w:t>
            </w:r>
          </w:p>
          <w:p w14:paraId="40E18192" w14:textId="77777777" w:rsidR="00295C6D" w:rsidRPr="00A5626D" w:rsidRDefault="00295C6D" w:rsidP="00E31AE6">
            <w:pPr>
              <w:tabs>
                <w:tab w:val="left" w:pos="1134"/>
                <w:tab w:val="left" w:pos="7938"/>
              </w:tabs>
              <w:spacing w:before="120" w:after="120"/>
              <w:ind w:firstLine="456"/>
              <w:jc w:val="both"/>
              <w:rPr>
                <w:rFonts w:ascii="Garamond" w:eastAsia="Calibri" w:hAnsi="Garamond" w:cstheme="minorHAnsi"/>
                <w:sz w:val="22"/>
                <w:szCs w:val="22"/>
              </w:rPr>
            </w:pPr>
            <w:r w:rsidRPr="00A5626D">
              <w:rPr>
                <w:rFonts w:ascii="Garamond" w:hAnsi="Garamond" w:cstheme="minorHAnsi"/>
                <w:sz w:val="22"/>
                <w:szCs w:val="22"/>
              </w:rPr>
              <w:t>Атрибутами элемента &lt;</w:t>
            </w:r>
            <w:r w:rsidRPr="00A5626D">
              <w:rPr>
                <w:rFonts w:ascii="Garamond" w:hAnsi="Garamond" w:cstheme="minorHAnsi"/>
                <w:b/>
                <w:sz w:val="22"/>
                <w:szCs w:val="22"/>
                <w:lang w:val="en-US"/>
              </w:rPr>
              <w:t>area</w:t>
            </w:r>
            <w:r w:rsidRPr="00A5626D">
              <w:rPr>
                <w:rFonts w:ascii="Garamond" w:hAnsi="Garamond" w:cstheme="minorHAnsi"/>
                <w:sz w:val="22"/>
                <w:szCs w:val="22"/>
              </w:rPr>
              <w:t>&gt; являются</w:t>
            </w:r>
            <w:r w:rsidRPr="00A5626D">
              <w:rPr>
                <w:rFonts w:ascii="Garamond" w:eastAsia="Calibri" w:hAnsi="Garamond" w:cstheme="minorHAnsi"/>
                <w:sz w:val="22"/>
                <w:szCs w:val="22"/>
              </w:rPr>
              <w:t>:</w:t>
            </w:r>
          </w:p>
          <w:p w14:paraId="2634A238" w14:textId="77777777" w:rsidR="00295C6D" w:rsidRPr="00A5626D" w:rsidRDefault="00295C6D" w:rsidP="00295C6D">
            <w:pPr>
              <w:numPr>
                <w:ilvl w:val="0"/>
                <w:numId w:val="272"/>
              </w:numPr>
              <w:tabs>
                <w:tab w:val="left" w:pos="1134"/>
                <w:tab w:val="left" w:pos="7938"/>
              </w:tabs>
              <w:suppressAutoHyphens w:val="0"/>
              <w:spacing w:before="120" w:after="120" w:line="259" w:lineRule="auto"/>
              <w:ind w:left="0" w:firstLine="456"/>
              <w:contextualSpacing/>
              <w:jc w:val="both"/>
              <w:rPr>
                <w:rFonts w:ascii="Garamond" w:hAnsi="Garamond" w:cstheme="minorHAnsi"/>
                <w:sz w:val="22"/>
                <w:szCs w:val="22"/>
              </w:rPr>
            </w:pPr>
            <w:r w:rsidRPr="00A5626D">
              <w:rPr>
                <w:rFonts w:ascii="Garamond" w:hAnsi="Garamond" w:cstheme="minorHAnsi"/>
                <w:sz w:val="22"/>
                <w:szCs w:val="22"/>
                <w:lang w:val="en-US"/>
              </w:rPr>
              <w:t>ats</w:t>
            </w:r>
            <w:r w:rsidRPr="00A5626D">
              <w:rPr>
                <w:rFonts w:ascii="Garamond" w:hAnsi="Garamond" w:cstheme="minorHAnsi"/>
                <w:sz w:val="22"/>
                <w:szCs w:val="22"/>
              </w:rPr>
              <w:t>-</w:t>
            </w:r>
            <w:r w:rsidRPr="00A5626D">
              <w:rPr>
                <w:rFonts w:ascii="Garamond" w:hAnsi="Garamond" w:cstheme="minorHAnsi"/>
                <w:sz w:val="22"/>
                <w:szCs w:val="22"/>
                <w:lang w:val="en-US"/>
              </w:rPr>
              <w:t>code</w:t>
            </w:r>
            <w:r w:rsidRPr="00A5626D">
              <w:rPr>
                <w:rFonts w:ascii="Garamond" w:hAnsi="Garamond" w:cstheme="minorHAnsi"/>
                <w:sz w:val="22"/>
                <w:szCs w:val="22"/>
              </w:rPr>
              <w:t xml:space="preserve"> – код группы поставки информации, присвоенный КО. Число из 10 символов. Обязательный атрибут;</w:t>
            </w:r>
          </w:p>
          <w:p w14:paraId="4C401290" w14:textId="77777777" w:rsidR="00295C6D" w:rsidRPr="00A5626D" w:rsidRDefault="00295C6D" w:rsidP="00295C6D">
            <w:pPr>
              <w:numPr>
                <w:ilvl w:val="0"/>
                <w:numId w:val="272"/>
              </w:numPr>
              <w:tabs>
                <w:tab w:val="left" w:pos="1134"/>
                <w:tab w:val="left" w:pos="7938"/>
              </w:tabs>
              <w:suppressAutoHyphens w:val="0"/>
              <w:spacing w:before="120" w:after="120" w:line="259" w:lineRule="auto"/>
              <w:ind w:left="0" w:firstLine="456"/>
              <w:contextualSpacing/>
              <w:jc w:val="both"/>
              <w:rPr>
                <w:rFonts w:ascii="Garamond" w:hAnsi="Garamond" w:cstheme="minorHAnsi"/>
                <w:sz w:val="22"/>
                <w:szCs w:val="22"/>
              </w:rPr>
            </w:pPr>
            <w:r w:rsidRPr="00A5626D">
              <w:rPr>
                <w:rFonts w:ascii="Garamond" w:hAnsi="Garamond" w:cstheme="minorHAnsi"/>
                <w:sz w:val="22"/>
                <w:szCs w:val="22"/>
                <w:lang w:val="en-US"/>
              </w:rPr>
              <w:t>name</w:t>
            </w:r>
            <w:r w:rsidRPr="00A5626D">
              <w:rPr>
                <w:rFonts w:ascii="Garamond" w:hAnsi="Garamond" w:cstheme="minorHAnsi"/>
                <w:sz w:val="22"/>
                <w:szCs w:val="22"/>
              </w:rPr>
              <w:t xml:space="preserve"> – содержит название группы поставки информации. Длина названия до 250 символов. Является обязательным атрибутом;</w:t>
            </w:r>
          </w:p>
          <w:p w14:paraId="5114FE72" w14:textId="77777777" w:rsidR="00295C6D" w:rsidRPr="00A5626D" w:rsidRDefault="00295C6D" w:rsidP="00295C6D">
            <w:pPr>
              <w:numPr>
                <w:ilvl w:val="0"/>
                <w:numId w:val="272"/>
              </w:numPr>
              <w:tabs>
                <w:tab w:val="left" w:pos="1134"/>
                <w:tab w:val="left" w:pos="7938"/>
              </w:tabs>
              <w:suppressAutoHyphens w:val="0"/>
              <w:spacing w:before="120" w:after="120" w:line="259" w:lineRule="auto"/>
              <w:ind w:left="0" w:firstLine="456"/>
              <w:contextualSpacing/>
              <w:jc w:val="both"/>
              <w:rPr>
                <w:rFonts w:ascii="Garamond" w:hAnsi="Garamond" w:cstheme="minorHAnsi"/>
                <w:sz w:val="22"/>
                <w:szCs w:val="22"/>
              </w:rPr>
            </w:pPr>
            <w:r w:rsidRPr="00A5626D">
              <w:rPr>
                <w:rFonts w:ascii="Garamond" w:hAnsi="Garamond" w:cstheme="minorHAnsi"/>
                <w:sz w:val="22"/>
                <w:szCs w:val="22"/>
                <w:lang w:val="en-US"/>
              </w:rPr>
              <w:t>group</w:t>
            </w:r>
            <w:r w:rsidRPr="00A5626D">
              <w:rPr>
                <w:rFonts w:ascii="Garamond" w:hAnsi="Garamond" w:cstheme="minorHAnsi"/>
                <w:sz w:val="22"/>
                <w:szCs w:val="22"/>
              </w:rPr>
              <w:t>-</w:t>
            </w:r>
            <w:r w:rsidRPr="00A5626D">
              <w:rPr>
                <w:rFonts w:ascii="Garamond" w:hAnsi="Garamond" w:cstheme="minorHAnsi"/>
                <w:sz w:val="22"/>
                <w:szCs w:val="22"/>
                <w:lang w:val="en-US"/>
              </w:rPr>
              <w:t>type</w:t>
            </w:r>
            <w:r w:rsidRPr="00A5626D">
              <w:rPr>
                <w:rFonts w:ascii="Garamond" w:hAnsi="Garamond" w:cstheme="minorHAnsi"/>
                <w:sz w:val="22"/>
                <w:szCs w:val="22"/>
              </w:rPr>
              <w:t xml:space="preserve"> – атрибут является обязательным элементом и содержит: 1 – если группа относится к основной, 2 – если относится к группе малых присоединений;</w:t>
            </w:r>
          </w:p>
          <w:p w14:paraId="2D7236FA" w14:textId="77777777" w:rsidR="00295C6D" w:rsidRPr="00A5626D" w:rsidRDefault="00295C6D" w:rsidP="00295C6D">
            <w:pPr>
              <w:numPr>
                <w:ilvl w:val="0"/>
                <w:numId w:val="272"/>
              </w:numPr>
              <w:tabs>
                <w:tab w:val="left" w:pos="1134"/>
                <w:tab w:val="left" w:pos="7938"/>
              </w:tabs>
              <w:suppressAutoHyphens w:val="0"/>
              <w:spacing w:before="120" w:after="120" w:line="259" w:lineRule="auto"/>
              <w:ind w:left="0" w:firstLine="456"/>
              <w:contextualSpacing/>
              <w:jc w:val="both"/>
              <w:rPr>
                <w:rFonts w:ascii="Garamond" w:hAnsi="Garamond" w:cstheme="minorHAnsi"/>
                <w:sz w:val="22"/>
                <w:szCs w:val="22"/>
              </w:rPr>
            </w:pPr>
            <w:r w:rsidRPr="00A5626D">
              <w:rPr>
                <w:rFonts w:ascii="Garamond" w:hAnsi="Garamond" w:cstheme="minorHAnsi"/>
                <w:sz w:val="22"/>
                <w:szCs w:val="22"/>
                <w:lang w:val="en-US"/>
              </w:rPr>
              <w:t>time</w:t>
            </w:r>
            <w:r w:rsidRPr="00A5626D">
              <w:rPr>
                <w:rFonts w:ascii="Garamond" w:hAnsi="Garamond" w:cstheme="minorHAnsi"/>
                <w:sz w:val="22"/>
                <w:szCs w:val="22"/>
              </w:rPr>
              <w:t>-</w:t>
            </w:r>
            <w:r w:rsidRPr="00A5626D">
              <w:rPr>
                <w:rFonts w:ascii="Garamond" w:hAnsi="Garamond" w:cstheme="minorHAnsi"/>
                <w:sz w:val="22"/>
                <w:szCs w:val="22"/>
                <w:lang w:val="en-US"/>
              </w:rPr>
              <w:t>zone</w:t>
            </w:r>
            <w:r w:rsidRPr="00A5626D">
              <w:rPr>
                <w:rFonts w:ascii="Garamond" w:eastAsia="Calibri" w:hAnsi="Garamond" w:cstheme="minorHAnsi"/>
                <w:sz w:val="22"/>
                <w:szCs w:val="22"/>
              </w:rPr>
              <w:t xml:space="preserve"> </w:t>
            </w:r>
            <w:r w:rsidRPr="00A5626D">
              <w:rPr>
                <w:rFonts w:ascii="Garamond" w:hAnsi="Garamond" w:cstheme="minorHAnsi"/>
                <w:sz w:val="22"/>
                <w:szCs w:val="22"/>
              </w:rPr>
              <w:t>–</w:t>
            </w:r>
            <w:r w:rsidRPr="00A5626D">
              <w:rPr>
                <w:rFonts w:ascii="Garamond" w:eastAsia="Calibri" w:hAnsi="Garamond" w:cstheme="minorHAnsi"/>
                <w:sz w:val="22"/>
                <w:szCs w:val="22"/>
              </w:rPr>
              <w:t xml:space="preserve"> </w:t>
            </w:r>
            <w:r w:rsidRPr="00A5626D">
              <w:rPr>
                <w:rFonts w:ascii="Garamond" w:hAnsi="Garamond" w:cstheme="minorHAnsi"/>
                <w:sz w:val="22"/>
                <w:szCs w:val="22"/>
              </w:rPr>
              <w:t xml:space="preserve">атрибут, указывающий на временной пояс, по которому организация присылает данные КУ в рамках данного сечения или ГТП генерации. Принимает значения «1» – ценовые и неценовые зоны, кроме второй неценовой зоны, или «3» – вторая неценовая зона. Является обязательным атрибутом. </w:t>
            </w:r>
            <w:r w:rsidRPr="00A5626D">
              <w:rPr>
                <w:rFonts w:ascii="Garamond" w:eastAsia="Calibri" w:hAnsi="Garamond" w:cstheme="minorHAnsi"/>
                <w:bCs/>
                <w:sz w:val="22"/>
                <w:szCs w:val="22"/>
              </w:rPr>
              <w:t xml:space="preserve">Если в макете присутствуют два элемента &lt;aiis&gt;, то значения атрибутов time-zone этих элементов должны совпадать и соответствовать используемому для данного сечения </w:t>
            </w:r>
            <w:r w:rsidRPr="00A5626D">
              <w:rPr>
                <w:rFonts w:ascii="Garamond" w:eastAsia="Calibri" w:hAnsi="Garamond" w:cstheme="minorHAnsi"/>
                <w:bCs/>
                <w:sz w:val="22"/>
                <w:szCs w:val="22"/>
                <w:highlight w:val="yellow"/>
              </w:rPr>
              <w:t>коммерческого учета</w:t>
            </w:r>
            <w:r w:rsidRPr="00A5626D">
              <w:rPr>
                <w:rFonts w:ascii="Garamond" w:eastAsia="Calibri" w:hAnsi="Garamond" w:cstheme="minorHAnsi"/>
                <w:bCs/>
                <w:sz w:val="22"/>
                <w:szCs w:val="22"/>
              </w:rPr>
              <w:t xml:space="preserve"> или ГТП генерации учетно-расчетному времени, указанному в п. </w:t>
            </w:r>
            <w:r w:rsidRPr="00A5626D">
              <w:rPr>
                <w:rFonts w:ascii="Garamond" w:eastAsia="Calibri" w:hAnsi="Garamond" w:cstheme="minorHAnsi"/>
                <w:bCs/>
                <w:sz w:val="22"/>
                <w:szCs w:val="22"/>
                <w:highlight w:val="yellow"/>
              </w:rPr>
              <w:t>7.8</w:t>
            </w:r>
            <w:r w:rsidRPr="00A5626D">
              <w:rPr>
                <w:rFonts w:ascii="Garamond" w:eastAsia="Calibri" w:hAnsi="Garamond" w:cstheme="minorHAnsi"/>
                <w:bCs/>
                <w:sz w:val="22"/>
                <w:szCs w:val="22"/>
              </w:rPr>
              <w:t xml:space="preserve"> настоящего Регламента</w:t>
            </w:r>
            <w:r w:rsidRPr="00A5626D">
              <w:rPr>
                <w:rFonts w:ascii="Garamond" w:hAnsi="Garamond" w:cstheme="minorHAnsi"/>
                <w:sz w:val="22"/>
                <w:szCs w:val="22"/>
              </w:rPr>
              <w:t xml:space="preserve">. </w:t>
            </w:r>
            <w:r w:rsidRPr="00A5626D">
              <w:rPr>
                <w:rFonts w:ascii="Garamond" w:eastAsia="Calibri" w:hAnsi="Garamond" w:cstheme="minorHAnsi"/>
                <w:bCs/>
                <w:sz w:val="22"/>
                <w:szCs w:val="22"/>
              </w:rPr>
              <w:t xml:space="preserve">В отношении ранее принятых КО макетов, в которых по состоянию на 01.05.2021 заполнены атрибуты </w:t>
            </w:r>
            <w:r w:rsidRPr="00A5626D">
              <w:rPr>
                <w:rFonts w:ascii="Garamond" w:eastAsia="Calibri" w:hAnsi="Garamond" w:cstheme="minorHAnsi"/>
                <w:bCs/>
                <w:sz w:val="22"/>
                <w:szCs w:val="22"/>
                <w:lang w:val="en-US"/>
              </w:rPr>
              <w:t>time</w:t>
            </w:r>
            <w:r w:rsidRPr="00A5626D">
              <w:rPr>
                <w:rFonts w:ascii="Garamond" w:eastAsia="Calibri" w:hAnsi="Garamond" w:cstheme="minorHAnsi"/>
                <w:bCs/>
                <w:sz w:val="22"/>
                <w:szCs w:val="22"/>
              </w:rPr>
              <w:t>-</w:t>
            </w:r>
            <w:r w:rsidRPr="00A5626D">
              <w:rPr>
                <w:rFonts w:ascii="Garamond" w:eastAsia="Calibri" w:hAnsi="Garamond" w:cstheme="minorHAnsi"/>
                <w:bCs/>
                <w:sz w:val="22"/>
                <w:szCs w:val="22"/>
                <w:lang w:val="en-US"/>
              </w:rPr>
              <w:t>zone</w:t>
            </w:r>
            <w:r w:rsidRPr="00A5626D">
              <w:rPr>
                <w:rFonts w:ascii="Garamond" w:eastAsia="Calibri" w:hAnsi="Garamond" w:cstheme="minorHAnsi"/>
                <w:bCs/>
                <w:sz w:val="22"/>
                <w:szCs w:val="22"/>
              </w:rPr>
              <w:t xml:space="preserve"> с разными значениями, вышеуказанный атрибут приводится КО к единому значению. В отношении ранее принятых КО макетов, в которых по состоянию на 01.03.2023 выбранный в соответствии с атрибутом </w:t>
            </w:r>
            <w:r w:rsidRPr="00A5626D">
              <w:rPr>
                <w:rFonts w:ascii="Garamond" w:eastAsia="Calibri" w:hAnsi="Garamond" w:cstheme="minorHAnsi"/>
                <w:bCs/>
                <w:sz w:val="22"/>
                <w:szCs w:val="22"/>
                <w:lang w:val="en-US"/>
              </w:rPr>
              <w:t>time</w:t>
            </w:r>
            <w:r w:rsidRPr="00A5626D">
              <w:rPr>
                <w:rFonts w:ascii="Garamond" w:eastAsia="Calibri" w:hAnsi="Garamond" w:cstheme="minorHAnsi"/>
                <w:bCs/>
                <w:sz w:val="22"/>
                <w:szCs w:val="22"/>
              </w:rPr>
              <w:t>-</w:t>
            </w:r>
            <w:r w:rsidRPr="00A5626D">
              <w:rPr>
                <w:rFonts w:ascii="Garamond" w:eastAsia="Calibri" w:hAnsi="Garamond" w:cstheme="minorHAnsi"/>
                <w:bCs/>
                <w:sz w:val="22"/>
                <w:szCs w:val="22"/>
                <w:lang w:val="en-US"/>
              </w:rPr>
              <w:t>zone</w:t>
            </w:r>
            <w:r w:rsidRPr="00A5626D">
              <w:rPr>
                <w:rFonts w:ascii="Garamond" w:eastAsia="Calibri" w:hAnsi="Garamond" w:cstheme="minorHAnsi"/>
                <w:bCs/>
                <w:sz w:val="22"/>
                <w:szCs w:val="22"/>
              </w:rPr>
              <w:t xml:space="preserve"> временной пояс не соответствует временному поясу, указанному в п. </w:t>
            </w:r>
            <w:r w:rsidRPr="00A5626D">
              <w:rPr>
                <w:rFonts w:ascii="Garamond" w:eastAsia="Calibri" w:hAnsi="Garamond" w:cstheme="minorHAnsi"/>
                <w:bCs/>
                <w:sz w:val="22"/>
                <w:szCs w:val="22"/>
                <w:highlight w:val="yellow"/>
              </w:rPr>
              <w:t>7.8</w:t>
            </w:r>
            <w:r w:rsidRPr="00A5626D">
              <w:rPr>
                <w:rFonts w:ascii="Garamond" w:eastAsia="Calibri" w:hAnsi="Garamond" w:cstheme="minorHAnsi"/>
                <w:bCs/>
                <w:sz w:val="22"/>
                <w:szCs w:val="22"/>
              </w:rPr>
              <w:t xml:space="preserve"> настоящего Регламента, КО приводит данный атрибут в соответствие требованиям вышеуказанного пункта настоящего Регламента.</w:t>
            </w:r>
          </w:p>
        </w:tc>
        <w:tc>
          <w:tcPr>
            <w:tcW w:w="7088" w:type="dxa"/>
          </w:tcPr>
          <w:p w14:paraId="11B3ED50" w14:textId="77777777" w:rsidR="00295C6D" w:rsidRPr="00A5626D" w:rsidRDefault="00295C6D" w:rsidP="00E31AE6">
            <w:pPr>
              <w:tabs>
                <w:tab w:val="left" w:pos="1134"/>
                <w:tab w:val="left" w:pos="7938"/>
              </w:tabs>
              <w:spacing w:before="120" w:after="120"/>
              <w:ind w:firstLine="456"/>
              <w:jc w:val="both"/>
              <w:rPr>
                <w:rFonts w:ascii="Garamond" w:hAnsi="Garamond" w:cstheme="minorHAnsi"/>
                <w:sz w:val="22"/>
                <w:szCs w:val="22"/>
              </w:rPr>
            </w:pPr>
            <w:r w:rsidRPr="00A5626D">
              <w:rPr>
                <w:rFonts w:ascii="Garamond" w:hAnsi="Garamond" w:cstheme="minorHAnsi"/>
                <w:sz w:val="22"/>
                <w:szCs w:val="22"/>
              </w:rPr>
              <w:t>&lt;</w:t>
            </w:r>
            <w:r w:rsidRPr="00A5626D">
              <w:rPr>
                <w:rFonts w:ascii="Garamond" w:hAnsi="Garamond" w:cstheme="minorHAnsi"/>
                <w:bCs/>
                <w:sz w:val="22"/>
                <w:szCs w:val="22"/>
                <w:lang w:val="en-US"/>
              </w:rPr>
              <w:t>area</w:t>
            </w:r>
            <w:r w:rsidRPr="00A5626D">
              <w:rPr>
                <w:rFonts w:ascii="Garamond" w:hAnsi="Garamond" w:cstheme="minorHAnsi"/>
                <w:sz w:val="22"/>
                <w:szCs w:val="22"/>
              </w:rPr>
              <w:t>&gt;</w:t>
            </w:r>
          </w:p>
          <w:p w14:paraId="3EA3DD65" w14:textId="77777777" w:rsidR="00295C6D" w:rsidRPr="00A5626D" w:rsidRDefault="00295C6D" w:rsidP="00E31AE6">
            <w:pPr>
              <w:tabs>
                <w:tab w:val="left" w:pos="1134"/>
                <w:tab w:val="left" w:pos="7938"/>
              </w:tabs>
              <w:spacing w:before="120" w:after="120"/>
              <w:ind w:firstLine="456"/>
              <w:jc w:val="both"/>
              <w:rPr>
                <w:rFonts w:ascii="Garamond" w:eastAsia="Calibri" w:hAnsi="Garamond" w:cstheme="minorHAnsi"/>
                <w:sz w:val="22"/>
                <w:szCs w:val="22"/>
              </w:rPr>
            </w:pPr>
            <w:r w:rsidRPr="00A5626D">
              <w:rPr>
                <w:rFonts w:ascii="Garamond" w:eastAsia="Calibri" w:hAnsi="Garamond" w:cstheme="minorHAnsi"/>
                <w:sz w:val="22"/>
                <w:szCs w:val="22"/>
              </w:rPr>
              <w:t>Элемент &lt;</w:t>
            </w:r>
            <w:r w:rsidRPr="00A5626D">
              <w:rPr>
                <w:rFonts w:ascii="Garamond" w:eastAsia="Calibri" w:hAnsi="Garamond" w:cstheme="minorHAnsi"/>
                <w:b/>
                <w:sz w:val="22"/>
                <w:szCs w:val="22"/>
                <w:lang w:val="en-US"/>
              </w:rPr>
              <w:t>area</w:t>
            </w:r>
            <w:r w:rsidRPr="00A5626D">
              <w:rPr>
                <w:rFonts w:ascii="Garamond" w:eastAsia="Calibri" w:hAnsi="Garamond" w:cstheme="minorHAnsi"/>
                <w:sz w:val="22"/>
                <w:szCs w:val="22"/>
              </w:rPr>
              <w:t>&gt; содержит информацию о группах поставки информации.</w:t>
            </w:r>
          </w:p>
          <w:p w14:paraId="2F714289" w14:textId="59853DF5" w:rsidR="00295C6D" w:rsidRPr="00A5626D" w:rsidRDefault="00295C6D" w:rsidP="00E31AE6">
            <w:pPr>
              <w:widowControl w:val="0"/>
              <w:tabs>
                <w:tab w:val="left" w:pos="1134"/>
                <w:tab w:val="left" w:pos="7938"/>
              </w:tabs>
              <w:autoSpaceDE w:val="0"/>
              <w:autoSpaceDN w:val="0"/>
              <w:adjustRightInd w:val="0"/>
              <w:spacing w:before="60" w:after="60" w:line="276" w:lineRule="auto"/>
              <w:ind w:firstLine="456"/>
              <w:jc w:val="both"/>
              <w:rPr>
                <w:rFonts w:ascii="Garamond" w:hAnsi="Garamond" w:cstheme="minorHAnsi"/>
                <w:sz w:val="22"/>
                <w:szCs w:val="22"/>
              </w:rPr>
            </w:pPr>
            <w:r w:rsidRPr="00A5626D">
              <w:rPr>
                <w:rFonts w:ascii="Garamond" w:hAnsi="Garamond" w:cstheme="minorHAnsi"/>
                <w:bCs/>
                <w:sz w:val="22"/>
                <w:szCs w:val="22"/>
              </w:rPr>
              <w:t>Обязательный элемент</w:t>
            </w:r>
            <w:r w:rsidRPr="00A5626D">
              <w:rPr>
                <w:rFonts w:ascii="Garamond" w:hAnsi="Garamond" w:cstheme="minorHAnsi"/>
                <w:sz w:val="22"/>
                <w:szCs w:val="22"/>
              </w:rPr>
              <w:t xml:space="preserve">. Допускается наличие не более двух элементов для каждой АИИС </w:t>
            </w:r>
            <w:r w:rsidRPr="00A5626D">
              <w:rPr>
                <w:rFonts w:ascii="Garamond" w:hAnsi="Garamond" w:cstheme="minorHAnsi"/>
                <w:sz w:val="22"/>
                <w:szCs w:val="22"/>
                <w:highlight w:val="yellow"/>
              </w:rPr>
              <w:t xml:space="preserve">/ </w:t>
            </w:r>
            <w:r w:rsidR="00C6418D">
              <w:rPr>
                <w:rFonts w:ascii="Garamond" w:hAnsi="Garamond" w:cstheme="minorHAnsi"/>
                <w:sz w:val="22"/>
                <w:szCs w:val="22"/>
                <w:highlight w:val="yellow"/>
              </w:rPr>
              <w:t>с</w:t>
            </w:r>
            <w:r w:rsidRPr="00A5626D">
              <w:rPr>
                <w:rFonts w:ascii="Garamond" w:hAnsi="Garamond" w:cstheme="minorHAnsi"/>
                <w:sz w:val="22"/>
                <w:szCs w:val="22"/>
                <w:highlight w:val="yellow"/>
              </w:rPr>
              <w:t>писка ОР</w:t>
            </w:r>
            <w:r w:rsidRPr="00A5626D">
              <w:rPr>
                <w:rFonts w:ascii="Garamond" w:hAnsi="Garamond" w:cstheme="minorHAnsi"/>
                <w:sz w:val="22"/>
                <w:szCs w:val="22"/>
              </w:rPr>
              <w:t>.</w:t>
            </w:r>
          </w:p>
          <w:p w14:paraId="27124941" w14:textId="77777777" w:rsidR="00295C6D" w:rsidRPr="00A5626D" w:rsidRDefault="00295C6D" w:rsidP="00E31AE6">
            <w:pPr>
              <w:tabs>
                <w:tab w:val="left" w:pos="1134"/>
                <w:tab w:val="left" w:pos="7938"/>
              </w:tabs>
              <w:spacing w:before="120" w:after="120"/>
              <w:ind w:firstLine="456"/>
              <w:jc w:val="both"/>
              <w:rPr>
                <w:rFonts w:ascii="Garamond" w:eastAsia="Calibri" w:hAnsi="Garamond" w:cstheme="minorHAnsi"/>
                <w:sz w:val="22"/>
                <w:szCs w:val="22"/>
              </w:rPr>
            </w:pPr>
            <w:r w:rsidRPr="00A5626D">
              <w:rPr>
                <w:rFonts w:ascii="Garamond" w:hAnsi="Garamond" w:cstheme="minorHAnsi"/>
                <w:sz w:val="22"/>
                <w:szCs w:val="22"/>
              </w:rPr>
              <w:t>Атрибутами элемента &lt;</w:t>
            </w:r>
            <w:r w:rsidRPr="00A5626D">
              <w:rPr>
                <w:rFonts w:ascii="Garamond" w:hAnsi="Garamond" w:cstheme="minorHAnsi"/>
                <w:b/>
                <w:sz w:val="22"/>
                <w:szCs w:val="22"/>
                <w:lang w:val="en-US"/>
              </w:rPr>
              <w:t>area</w:t>
            </w:r>
            <w:r w:rsidRPr="00A5626D">
              <w:rPr>
                <w:rFonts w:ascii="Garamond" w:hAnsi="Garamond" w:cstheme="minorHAnsi"/>
                <w:sz w:val="22"/>
                <w:szCs w:val="22"/>
              </w:rPr>
              <w:t>&gt; являются</w:t>
            </w:r>
            <w:r w:rsidRPr="00A5626D">
              <w:rPr>
                <w:rFonts w:ascii="Garamond" w:eastAsia="Calibri" w:hAnsi="Garamond" w:cstheme="minorHAnsi"/>
                <w:sz w:val="22"/>
                <w:szCs w:val="22"/>
              </w:rPr>
              <w:t>:</w:t>
            </w:r>
          </w:p>
          <w:p w14:paraId="03910108" w14:textId="77777777" w:rsidR="00295C6D" w:rsidRPr="00A5626D" w:rsidRDefault="00295C6D" w:rsidP="00295C6D">
            <w:pPr>
              <w:numPr>
                <w:ilvl w:val="0"/>
                <w:numId w:val="272"/>
              </w:numPr>
              <w:tabs>
                <w:tab w:val="left" w:pos="1134"/>
                <w:tab w:val="left" w:pos="7938"/>
              </w:tabs>
              <w:suppressAutoHyphens w:val="0"/>
              <w:spacing w:before="120" w:after="120" w:line="259" w:lineRule="auto"/>
              <w:ind w:left="0" w:firstLine="456"/>
              <w:contextualSpacing/>
              <w:jc w:val="both"/>
              <w:rPr>
                <w:rFonts w:ascii="Garamond" w:hAnsi="Garamond" w:cstheme="minorHAnsi"/>
                <w:sz w:val="22"/>
                <w:szCs w:val="22"/>
              </w:rPr>
            </w:pPr>
            <w:r w:rsidRPr="00A5626D">
              <w:rPr>
                <w:rFonts w:ascii="Garamond" w:hAnsi="Garamond" w:cstheme="minorHAnsi"/>
                <w:sz w:val="22"/>
                <w:szCs w:val="22"/>
                <w:lang w:val="en-US"/>
              </w:rPr>
              <w:t>ats</w:t>
            </w:r>
            <w:r w:rsidRPr="00A5626D">
              <w:rPr>
                <w:rFonts w:ascii="Garamond" w:hAnsi="Garamond" w:cstheme="minorHAnsi"/>
                <w:sz w:val="22"/>
                <w:szCs w:val="22"/>
              </w:rPr>
              <w:t>-</w:t>
            </w:r>
            <w:r w:rsidRPr="00A5626D">
              <w:rPr>
                <w:rFonts w:ascii="Garamond" w:hAnsi="Garamond" w:cstheme="minorHAnsi"/>
                <w:sz w:val="22"/>
                <w:szCs w:val="22"/>
                <w:lang w:val="en-US"/>
              </w:rPr>
              <w:t>code</w:t>
            </w:r>
            <w:r w:rsidRPr="00A5626D">
              <w:rPr>
                <w:rFonts w:ascii="Garamond" w:hAnsi="Garamond" w:cstheme="minorHAnsi"/>
                <w:sz w:val="22"/>
                <w:szCs w:val="22"/>
              </w:rPr>
              <w:t xml:space="preserve"> – код группы поставки информации, присвоенный КО. Число из 10 символов. Обязательный атрибут;</w:t>
            </w:r>
          </w:p>
          <w:p w14:paraId="6CE14F25" w14:textId="77777777" w:rsidR="00295C6D" w:rsidRPr="00A5626D" w:rsidRDefault="00295C6D" w:rsidP="00295C6D">
            <w:pPr>
              <w:numPr>
                <w:ilvl w:val="0"/>
                <w:numId w:val="272"/>
              </w:numPr>
              <w:tabs>
                <w:tab w:val="left" w:pos="1134"/>
                <w:tab w:val="left" w:pos="7938"/>
              </w:tabs>
              <w:suppressAutoHyphens w:val="0"/>
              <w:spacing w:before="120" w:after="120" w:line="259" w:lineRule="auto"/>
              <w:ind w:left="0" w:firstLine="456"/>
              <w:contextualSpacing/>
              <w:jc w:val="both"/>
              <w:rPr>
                <w:rFonts w:ascii="Garamond" w:hAnsi="Garamond" w:cstheme="minorHAnsi"/>
                <w:sz w:val="22"/>
                <w:szCs w:val="22"/>
              </w:rPr>
            </w:pPr>
            <w:r w:rsidRPr="00A5626D">
              <w:rPr>
                <w:rFonts w:ascii="Garamond" w:hAnsi="Garamond" w:cstheme="minorHAnsi"/>
                <w:sz w:val="22"/>
                <w:szCs w:val="22"/>
                <w:lang w:val="en-US"/>
              </w:rPr>
              <w:t>name</w:t>
            </w:r>
            <w:r w:rsidRPr="00A5626D">
              <w:rPr>
                <w:rFonts w:ascii="Garamond" w:hAnsi="Garamond" w:cstheme="minorHAnsi"/>
                <w:sz w:val="22"/>
                <w:szCs w:val="22"/>
              </w:rPr>
              <w:t xml:space="preserve"> – содержит название группы поставки информации. Длина названия до 250 символов. Является обязательным атрибутом;</w:t>
            </w:r>
          </w:p>
          <w:p w14:paraId="1AA623F9" w14:textId="77777777" w:rsidR="00295C6D" w:rsidRPr="00A5626D" w:rsidRDefault="00295C6D" w:rsidP="00295C6D">
            <w:pPr>
              <w:numPr>
                <w:ilvl w:val="0"/>
                <w:numId w:val="272"/>
              </w:numPr>
              <w:tabs>
                <w:tab w:val="left" w:pos="1134"/>
                <w:tab w:val="left" w:pos="7938"/>
              </w:tabs>
              <w:suppressAutoHyphens w:val="0"/>
              <w:spacing w:before="120" w:after="120" w:line="259" w:lineRule="auto"/>
              <w:ind w:left="0" w:firstLine="456"/>
              <w:contextualSpacing/>
              <w:jc w:val="both"/>
              <w:rPr>
                <w:rFonts w:ascii="Garamond" w:hAnsi="Garamond" w:cstheme="minorHAnsi"/>
                <w:sz w:val="22"/>
                <w:szCs w:val="22"/>
              </w:rPr>
            </w:pPr>
            <w:r w:rsidRPr="00A5626D">
              <w:rPr>
                <w:rFonts w:ascii="Garamond" w:hAnsi="Garamond" w:cstheme="minorHAnsi"/>
                <w:sz w:val="22"/>
                <w:szCs w:val="22"/>
                <w:lang w:val="en-US"/>
              </w:rPr>
              <w:t>group</w:t>
            </w:r>
            <w:r w:rsidRPr="00A5626D">
              <w:rPr>
                <w:rFonts w:ascii="Garamond" w:hAnsi="Garamond" w:cstheme="minorHAnsi"/>
                <w:sz w:val="22"/>
                <w:szCs w:val="22"/>
              </w:rPr>
              <w:t>-</w:t>
            </w:r>
            <w:r w:rsidRPr="00A5626D">
              <w:rPr>
                <w:rFonts w:ascii="Garamond" w:hAnsi="Garamond" w:cstheme="minorHAnsi"/>
                <w:sz w:val="22"/>
                <w:szCs w:val="22"/>
                <w:lang w:val="en-US"/>
              </w:rPr>
              <w:t>type</w:t>
            </w:r>
            <w:r w:rsidRPr="00A5626D">
              <w:rPr>
                <w:rFonts w:ascii="Garamond" w:hAnsi="Garamond" w:cstheme="minorHAnsi"/>
                <w:sz w:val="22"/>
                <w:szCs w:val="22"/>
              </w:rPr>
              <w:t xml:space="preserve"> – атрибут является обязательным элементом и содержит: 1 – если группа относится к основной </w:t>
            </w:r>
            <w:r w:rsidRPr="00A5626D">
              <w:rPr>
                <w:rFonts w:ascii="Garamond" w:hAnsi="Garamond" w:cstheme="minorHAnsi"/>
                <w:sz w:val="22"/>
                <w:szCs w:val="22"/>
                <w:highlight w:val="yellow"/>
              </w:rPr>
              <w:t>или является группой для ОР</w:t>
            </w:r>
            <w:r w:rsidRPr="00A5626D">
              <w:rPr>
                <w:rFonts w:ascii="Garamond" w:hAnsi="Garamond" w:cstheme="minorHAnsi"/>
                <w:sz w:val="22"/>
                <w:szCs w:val="22"/>
              </w:rPr>
              <w:t>, 2 – если относится к группе малых присоединений;</w:t>
            </w:r>
          </w:p>
          <w:p w14:paraId="72BEBFBA" w14:textId="4FE5A792" w:rsidR="00295C6D" w:rsidRPr="00A5626D" w:rsidRDefault="00295C6D" w:rsidP="00295C6D">
            <w:pPr>
              <w:numPr>
                <w:ilvl w:val="0"/>
                <w:numId w:val="272"/>
              </w:numPr>
              <w:tabs>
                <w:tab w:val="left" w:pos="1134"/>
                <w:tab w:val="left" w:pos="7938"/>
              </w:tabs>
              <w:suppressAutoHyphens w:val="0"/>
              <w:spacing w:before="120" w:after="120" w:line="259" w:lineRule="auto"/>
              <w:ind w:left="0" w:firstLine="456"/>
              <w:contextualSpacing/>
              <w:jc w:val="both"/>
              <w:rPr>
                <w:rFonts w:ascii="Garamond" w:hAnsi="Garamond" w:cstheme="minorHAnsi"/>
                <w:sz w:val="22"/>
                <w:szCs w:val="22"/>
              </w:rPr>
            </w:pPr>
            <w:r w:rsidRPr="00A5626D">
              <w:rPr>
                <w:rFonts w:ascii="Garamond" w:hAnsi="Garamond" w:cstheme="minorHAnsi"/>
                <w:sz w:val="22"/>
                <w:szCs w:val="22"/>
                <w:lang w:val="en-US"/>
              </w:rPr>
              <w:t>time</w:t>
            </w:r>
            <w:r w:rsidRPr="00A5626D">
              <w:rPr>
                <w:rFonts w:ascii="Garamond" w:hAnsi="Garamond" w:cstheme="minorHAnsi"/>
                <w:sz w:val="22"/>
                <w:szCs w:val="22"/>
              </w:rPr>
              <w:t>-</w:t>
            </w:r>
            <w:r w:rsidRPr="00A5626D">
              <w:rPr>
                <w:rFonts w:ascii="Garamond" w:hAnsi="Garamond" w:cstheme="minorHAnsi"/>
                <w:sz w:val="22"/>
                <w:szCs w:val="22"/>
                <w:lang w:val="en-US"/>
              </w:rPr>
              <w:t>zone</w:t>
            </w:r>
            <w:r w:rsidRPr="00A5626D">
              <w:rPr>
                <w:rFonts w:ascii="Garamond" w:eastAsia="Calibri" w:hAnsi="Garamond" w:cstheme="minorHAnsi"/>
                <w:sz w:val="22"/>
                <w:szCs w:val="22"/>
              </w:rPr>
              <w:t xml:space="preserve"> </w:t>
            </w:r>
            <w:r w:rsidRPr="00A5626D">
              <w:rPr>
                <w:rFonts w:ascii="Garamond" w:hAnsi="Garamond" w:cstheme="minorHAnsi"/>
                <w:sz w:val="22"/>
                <w:szCs w:val="22"/>
              </w:rPr>
              <w:t>–</w:t>
            </w:r>
            <w:r w:rsidRPr="00A5626D">
              <w:rPr>
                <w:rFonts w:ascii="Garamond" w:eastAsia="Calibri" w:hAnsi="Garamond" w:cstheme="minorHAnsi"/>
                <w:sz w:val="22"/>
                <w:szCs w:val="22"/>
              </w:rPr>
              <w:t xml:space="preserve"> </w:t>
            </w:r>
            <w:r w:rsidRPr="00A5626D">
              <w:rPr>
                <w:rFonts w:ascii="Garamond" w:hAnsi="Garamond" w:cstheme="minorHAnsi"/>
                <w:sz w:val="22"/>
                <w:szCs w:val="22"/>
              </w:rPr>
              <w:t xml:space="preserve">атрибут, указывающий на временной пояс, по которому организация присылает данные КУ в рамках данного сечения </w:t>
            </w:r>
            <w:r w:rsidRPr="00A5626D">
              <w:rPr>
                <w:rFonts w:ascii="Garamond" w:hAnsi="Garamond" w:cstheme="minorHAnsi"/>
                <w:sz w:val="22"/>
                <w:szCs w:val="22"/>
                <w:highlight w:val="yellow"/>
              </w:rPr>
              <w:t>КУ</w:t>
            </w:r>
            <w:r w:rsidR="00C6418D">
              <w:rPr>
                <w:rFonts w:ascii="Garamond" w:hAnsi="Garamond" w:cstheme="minorHAnsi"/>
                <w:sz w:val="22"/>
                <w:szCs w:val="22"/>
              </w:rPr>
              <w:t>,</w:t>
            </w:r>
            <w:r w:rsidRPr="00A5626D">
              <w:rPr>
                <w:rFonts w:ascii="Garamond" w:hAnsi="Garamond" w:cstheme="minorHAnsi"/>
                <w:sz w:val="22"/>
                <w:szCs w:val="22"/>
              </w:rPr>
              <w:t xml:space="preserve"> или ГТП генерации</w:t>
            </w:r>
            <w:r w:rsidR="00C6418D" w:rsidRPr="00C6418D">
              <w:rPr>
                <w:rFonts w:ascii="Garamond" w:hAnsi="Garamond" w:cstheme="minorHAnsi"/>
                <w:sz w:val="22"/>
                <w:szCs w:val="22"/>
                <w:highlight w:val="yellow"/>
              </w:rPr>
              <w:t>,</w:t>
            </w:r>
            <w:r w:rsidRPr="00C6418D">
              <w:rPr>
                <w:rFonts w:ascii="Garamond" w:hAnsi="Garamond" w:cstheme="minorHAnsi"/>
                <w:sz w:val="22"/>
                <w:szCs w:val="22"/>
                <w:highlight w:val="yellow"/>
              </w:rPr>
              <w:t xml:space="preserve"> и</w:t>
            </w:r>
            <w:r w:rsidRPr="00A5626D">
              <w:rPr>
                <w:rFonts w:ascii="Garamond" w:hAnsi="Garamond" w:cstheme="minorHAnsi"/>
                <w:sz w:val="22"/>
                <w:szCs w:val="22"/>
                <w:highlight w:val="yellow"/>
              </w:rPr>
              <w:t>ли ОР</w:t>
            </w:r>
            <w:r w:rsidRPr="00A5626D">
              <w:rPr>
                <w:rFonts w:ascii="Garamond" w:hAnsi="Garamond" w:cstheme="minorHAnsi"/>
                <w:sz w:val="22"/>
                <w:szCs w:val="22"/>
              </w:rPr>
              <w:t xml:space="preserve">. Принимает значения «1» – ценовые и неценовые зоны, кроме второй неценовой зоны, или «3» – вторая неценовая зона. </w:t>
            </w:r>
            <w:r w:rsidRPr="00A5626D">
              <w:rPr>
                <w:rFonts w:ascii="Garamond" w:hAnsi="Garamond" w:cstheme="minorHAnsi"/>
                <w:sz w:val="22"/>
                <w:szCs w:val="22"/>
                <w:highlight w:val="yellow"/>
              </w:rPr>
              <w:t>Для ОР принимает значение «1».</w:t>
            </w:r>
            <w:r w:rsidRPr="00A5626D">
              <w:rPr>
                <w:rFonts w:ascii="Garamond" w:hAnsi="Garamond" w:cstheme="minorHAnsi"/>
                <w:sz w:val="22"/>
                <w:szCs w:val="22"/>
              </w:rPr>
              <w:t xml:space="preserve"> Является обязательным атрибутом. </w:t>
            </w:r>
            <w:r w:rsidRPr="00A5626D">
              <w:rPr>
                <w:rFonts w:ascii="Garamond" w:eastAsia="Calibri" w:hAnsi="Garamond" w:cstheme="minorHAnsi"/>
                <w:bCs/>
                <w:sz w:val="22"/>
                <w:szCs w:val="22"/>
              </w:rPr>
              <w:t xml:space="preserve">Если в макете присутствуют два элемента &lt;aiis&gt;, то значения атрибутов time-zone этих элементов должны совпадать и соответствовать используемому для данного сечения </w:t>
            </w:r>
            <w:r w:rsidRPr="00A5626D">
              <w:rPr>
                <w:rFonts w:ascii="Garamond" w:eastAsia="Calibri" w:hAnsi="Garamond" w:cstheme="minorHAnsi"/>
                <w:bCs/>
                <w:sz w:val="22"/>
                <w:szCs w:val="22"/>
                <w:highlight w:val="yellow"/>
              </w:rPr>
              <w:t>КУ</w:t>
            </w:r>
            <w:r w:rsidRPr="00A5626D">
              <w:rPr>
                <w:rFonts w:ascii="Garamond" w:eastAsia="Calibri" w:hAnsi="Garamond" w:cstheme="minorHAnsi"/>
                <w:bCs/>
                <w:sz w:val="22"/>
                <w:szCs w:val="22"/>
              </w:rPr>
              <w:t xml:space="preserve"> или ГТП генерации учетно-расчетному времени, указанному в п. </w:t>
            </w:r>
            <w:r w:rsidRPr="00A5626D">
              <w:rPr>
                <w:rFonts w:ascii="Garamond" w:eastAsia="Calibri" w:hAnsi="Garamond" w:cstheme="minorHAnsi"/>
                <w:bCs/>
                <w:sz w:val="22"/>
                <w:szCs w:val="22"/>
                <w:highlight w:val="yellow"/>
              </w:rPr>
              <w:t>7.9</w:t>
            </w:r>
            <w:r w:rsidRPr="00A5626D">
              <w:rPr>
                <w:rFonts w:ascii="Garamond" w:eastAsia="Calibri" w:hAnsi="Garamond" w:cstheme="minorHAnsi"/>
                <w:bCs/>
                <w:sz w:val="22"/>
                <w:szCs w:val="22"/>
              </w:rPr>
              <w:t xml:space="preserve"> настоящего Регламента</w:t>
            </w:r>
            <w:r w:rsidRPr="00A5626D">
              <w:rPr>
                <w:rFonts w:ascii="Garamond" w:hAnsi="Garamond" w:cstheme="minorHAnsi"/>
                <w:sz w:val="22"/>
                <w:szCs w:val="22"/>
              </w:rPr>
              <w:t xml:space="preserve">. </w:t>
            </w:r>
            <w:r w:rsidRPr="00A5626D">
              <w:rPr>
                <w:rFonts w:ascii="Garamond" w:eastAsia="Calibri" w:hAnsi="Garamond" w:cstheme="minorHAnsi"/>
                <w:bCs/>
                <w:sz w:val="22"/>
                <w:szCs w:val="22"/>
              </w:rPr>
              <w:t xml:space="preserve">В отношении ранее принятых КО макетов, в которых по состоянию на 01.05.2021 заполнены атрибуты </w:t>
            </w:r>
            <w:r w:rsidRPr="00A5626D">
              <w:rPr>
                <w:rFonts w:ascii="Garamond" w:eastAsia="Calibri" w:hAnsi="Garamond" w:cstheme="minorHAnsi"/>
                <w:bCs/>
                <w:sz w:val="22"/>
                <w:szCs w:val="22"/>
                <w:lang w:val="en-US"/>
              </w:rPr>
              <w:t>time</w:t>
            </w:r>
            <w:r w:rsidRPr="00A5626D">
              <w:rPr>
                <w:rFonts w:ascii="Garamond" w:eastAsia="Calibri" w:hAnsi="Garamond" w:cstheme="minorHAnsi"/>
                <w:bCs/>
                <w:sz w:val="22"/>
                <w:szCs w:val="22"/>
              </w:rPr>
              <w:t>-</w:t>
            </w:r>
            <w:r w:rsidRPr="00A5626D">
              <w:rPr>
                <w:rFonts w:ascii="Garamond" w:eastAsia="Calibri" w:hAnsi="Garamond" w:cstheme="minorHAnsi"/>
                <w:bCs/>
                <w:sz w:val="22"/>
                <w:szCs w:val="22"/>
                <w:lang w:val="en-US"/>
              </w:rPr>
              <w:t>zone</w:t>
            </w:r>
            <w:r w:rsidRPr="00A5626D">
              <w:rPr>
                <w:rFonts w:ascii="Garamond" w:eastAsia="Calibri" w:hAnsi="Garamond" w:cstheme="minorHAnsi"/>
                <w:bCs/>
                <w:sz w:val="22"/>
                <w:szCs w:val="22"/>
              </w:rPr>
              <w:t xml:space="preserve"> с разными значениями, вышеуказанный атрибут приводится КО к единому значению. В отношении ранее принятых КО макетов, в которых по состоянию на 01.03.2023 выбранный в соответствии с атрибутом </w:t>
            </w:r>
            <w:r w:rsidRPr="00A5626D">
              <w:rPr>
                <w:rFonts w:ascii="Garamond" w:eastAsia="Calibri" w:hAnsi="Garamond" w:cstheme="minorHAnsi"/>
                <w:bCs/>
                <w:sz w:val="22"/>
                <w:szCs w:val="22"/>
                <w:lang w:val="en-US"/>
              </w:rPr>
              <w:t>time</w:t>
            </w:r>
            <w:r w:rsidRPr="00A5626D">
              <w:rPr>
                <w:rFonts w:ascii="Garamond" w:eastAsia="Calibri" w:hAnsi="Garamond" w:cstheme="minorHAnsi"/>
                <w:bCs/>
                <w:sz w:val="22"/>
                <w:szCs w:val="22"/>
              </w:rPr>
              <w:t>-</w:t>
            </w:r>
            <w:r w:rsidRPr="00A5626D">
              <w:rPr>
                <w:rFonts w:ascii="Garamond" w:eastAsia="Calibri" w:hAnsi="Garamond" w:cstheme="minorHAnsi"/>
                <w:bCs/>
                <w:sz w:val="22"/>
                <w:szCs w:val="22"/>
                <w:lang w:val="en-US"/>
              </w:rPr>
              <w:t>zone</w:t>
            </w:r>
            <w:r w:rsidRPr="00A5626D">
              <w:rPr>
                <w:rFonts w:ascii="Garamond" w:eastAsia="Calibri" w:hAnsi="Garamond" w:cstheme="minorHAnsi"/>
                <w:bCs/>
                <w:sz w:val="22"/>
                <w:szCs w:val="22"/>
              </w:rPr>
              <w:t xml:space="preserve"> временной пояс не соответствует временному поясу, указанному в п. </w:t>
            </w:r>
            <w:r w:rsidRPr="00A5626D">
              <w:rPr>
                <w:rFonts w:ascii="Garamond" w:eastAsia="Calibri" w:hAnsi="Garamond" w:cstheme="minorHAnsi"/>
                <w:bCs/>
                <w:sz w:val="22"/>
                <w:szCs w:val="22"/>
                <w:highlight w:val="yellow"/>
              </w:rPr>
              <w:t>7.9</w:t>
            </w:r>
            <w:r w:rsidRPr="00A5626D">
              <w:rPr>
                <w:rFonts w:ascii="Garamond" w:eastAsia="Calibri" w:hAnsi="Garamond" w:cstheme="minorHAnsi"/>
                <w:bCs/>
                <w:sz w:val="22"/>
                <w:szCs w:val="22"/>
              </w:rPr>
              <w:t xml:space="preserve"> настоящего Регламента, КО приводит данный атрибут в соответствие требованиям вышеуказанного пункта настоящего Регламента.</w:t>
            </w:r>
          </w:p>
        </w:tc>
      </w:tr>
      <w:tr w:rsidR="00295C6D" w:rsidRPr="00A5626D" w14:paraId="1AA5EC00" w14:textId="77777777" w:rsidTr="00647FA0">
        <w:tc>
          <w:tcPr>
            <w:tcW w:w="1060" w:type="dxa"/>
            <w:vAlign w:val="center"/>
          </w:tcPr>
          <w:p w14:paraId="72833EAD" w14:textId="4C59710E" w:rsidR="00295C6D" w:rsidRPr="00A5626D" w:rsidRDefault="00295C6D" w:rsidP="00E31AE6">
            <w:pPr>
              <w:widowControl w:val="0"/>
              <w:tabs>
                <w:tab w:val="left" w:pos="1134"/>
                <w:tab w:val="left" w:pos="7938"/>
              </w:tabs>
              <w:spacing w:line="22" w:lineRule="atLeast"/>
              <w:jc w:val="both"/>
              <w:rPr>
                <w:rFonts w:ascii="Garamond" w:hAnsi="Garamond"/>
                <w:b/>
                <w:sz w:val="22"/>
                <w:szCs w:val="22"/>
                <w:lang w:eastAsia="en-US"/>
              </w:rPr>
            </w:pPr>
            <w:r w:rsidRPr="00A5626D">
              <w:rPr>
                <w:rFonts w:ascii="Garamond" w:hAnsi="Garamond"/>
                <w:b/>
                <w:sz w:val="22"/>
                <w:szCs w:val="22"/>
                <w:lang w:eastAsia="en-US"/>
              </w:rPr>
              <w:lastRenderedPageBreak/>
              <w:t>Приложение 5, п.</w:t>
            </w:r>
            <w:r w:rsidR="00647FA0" w:rsidRPr="00A5626D">
              <w:rPr>
                <w:rFonts w:ascii="Garamond" w:hAnsi="Garamond"/>
                <w:b/>
                <w:sz w:val="22"/>
                <w:szCs w:val="22"/>
                <w:lang w:eastAsia="en-US"/>
              </w:rPr>
              <w:t> </w:t>
            </w:r>
            <w:r w:rsidRPr="00A5626D">
              <w:rPr>
                <w:rFonts w:ascii="Garamond" w:hAnsi="Garamond"/>
                <w:b/>
                <w:sz w:val="22"/>
                <w:szCs w:val="22"/>
                <w:lang w:eastAsia="en-US"/>
              </w:rPr>
              <w:t>4.4.1.2.1.5</w:t>
            </w:r>
          </w:p>
        </w:tc>
        <w:tc>
          <w:tcPr>
            <w:tcW w:w="6662" w:type="dxa"/>
          </w:tcPr>
          <w:p w14:paraId="300866FD" w14:textId="77777777" w:rsidR="00295C6D" w:rsidRPr="00A5626D" w:rsidRDefault="00295C6D" w:rsidP="00E31AE6">
            <w:pPr>
              <w:tabs>
                <w:tab w:val="left" w:pos="1134"/>
                <w:tab w:val="left" w:pos="7938"/>
              </w:tabs>
              <w:spacing w:before="120" w:after="120"/>
              <w:ind w:firstLine="456"/>
              <w:jc w:val="both"/>
              <w:rPr>
                <w:rFonts w:ascii="Garamond" w:hAnsi="Garamond" w:cstheme="minorHAnsi"/>
                <w:sz w:val="22"/>
                <w:szCs w:val="22"/>
              </w:rPr>
            </w:pPr>
            <w:r w:rsidRPr="00A5626D">
              <w:rPr>
                <w:rFonts w:ascii="Garamond" w:hAnsi="Garamond" w:cstheme="minorHAnsi"/>
                <w:sz w:val="22"/>
                <w:szCs w:val="22"/>
              </w:rPr>
              <w:t>&lt;</w:t>
            </w:r>
            <w:r w:rsidRPr="00A5626D">
              <w:rPr>
                <w:rFonts w:ascii="Garamond" w:hAnsi="Garamond" w:cstheme="minorHAnsi"/>
                <w:i/>
                <w:iCs/>
                <w:sz w:val="22"/>
                <w:szCs w:val="22"/>
              </w:rPr>
              <w:t>power</w:t>
            </w:r>
            <w:r w:rsidRPr="00A5626D">
              <w:rPr>
                <w:rFonts w:ascii="Garamond" w:hAnsi="Garamond" w:cstheme="minorHAnsi"/>
                <w:i/>
                <w:sz w:val="22"/>
                <w:szCs w:val="22"/>
              </w:rPr>
              <w:t>-</w:t>
            </w:r>
            <w:r w:rsidRPr="00A5626D">
              <w:rPr>
                <w:rFonts w:ascii="Garamond" w:hAnsi="Garamond" w:cstheme="minorHAnsi"/>
                <w:i/>
                <w:sz w:val="22"/>
                <w:szCs w:val="22"/>
                <w:lang w:val="en-US"/>
              </w:rPr>
              <w:t>objects</w:t>
            </w:r>
            <w:r w:rsidRPr="00A5626D">
              <w:rPr>
                <w:rFonts w:ascii="Garamond" w:hAnsi="Garamond" w:cstheme="minorHAnsi"/>
                <w:sz w:val="22"/>
                <w:szCs w:val="22"/>
              </w:rPr>
              <w:t>&gt;</w:t>
            </w:r>
          </w:p>
          <w:p w14:paraId="4D63C05E" w14:textId="77777777" w:rsidR="00295C6D" w:rsidRPr="00A5626D" w:rsidRDefault="00295C6D" w:rsidP="00E31AE6">
            <w:pPr>
              <w:tabs>
                <w:tab w:val="left" w:pos="1134"/>
                <w:tab w:val="left" w:pos="7938"/>
              </w:tabs>
              <w:spacing w:before="120" w:after="120"/>
              <w:ind w:firstLine="456"/>
              <w:jc w:val="both"/>
              <w:rPr>
                <w:rFonts w:ascii="Garamond" w:hAnsi="Garamond" w:cstheme="minorHAnsi"/>
                <w:sz w:val="22"/>
                <w:szCs w:val="22"/>
              </w:rPr>
            </w:pPr>
            <w:r w:rsidRPr="00A5626D">
              <w:rPr>
                <w:rFonts w:ascii="Garamond" w:hAnsi="Garamond" w:cstheme="minorHAnsi"/>
                <w:sz w:val="22"/>
                <w:szCs w:val="22"/>
              </w:rPr>
              <w:t xml:space="preserve">Элемент </w:t>
            </w:r>
            <w:r w:rsidRPr="00A5626D">
              <w:rPr>
                <w:rFonts w:ascii="Garamond" w:eastAsia="Calibri" w:hAnsi="Garamond" w:cstheme="minorHAnsi"/>
                <w:sz w:val="22"/>
                <w:szCs w:val="22"/>
              </w:rPr>
              <w:t>&lt;</w:t>
            </w:r>
            <w:r w:rsidRPr="00A5626D">
              <w:rPr>
                <w:rFonts w:ascii="Garamond" w:eastAsia="Calibri" w:hAnsi="Garamond" w:cstheme="minorHAnsi"/>
                <w:b/>
                <w:sz w:val="22"/>
                <w:szCs w:val="22"/>
                <w:lang w:val="en-US"/>
              </w:rPr>
              <w:t>power</w:t>
            </w:r>
            <w:r w:rsidRPr="00A5626D">
              <w:rPr>
                <w:rFonts w:ascii="Garamond" w:eastAsia="Calibri" w:hAnsi="Garamond" w:cstheme="minorHAnsi"/>
                <w:b/>
                <w:sz w:val="22"/>
                <w:szCs w:val="22"/>
              </w:rPr>
              <w:t>-</w:t>
            </w:r>
            <w:r w:rsidRPr="00A5626D">
              <w:rPr>
                <w:rFonts w:ascii="Garamond" w:eastAsia="Calibri" w:hAnsi="Garamond" w:cstheme="minorHAnsi"/>
                <w:b/>
                <w:sz w:val="22"/>
                <w:szCs w:val="22"/>
                <w:lang w:val="en-US"/>
              </w:rPr>
              <w:t>objects</w:t>
            </w:r>
            <w:r w:rsidRPr="00A5626D">
              <w:rPr>
                <w:rFonts w:ascii="Garamond" w:eastAsia="Calibri" w:hAnsi="Garamond" w:cstheme="minorHAnsi"/>
                <w:sz w:val="22"/>
                <w:szCs w:val="22"/>
              </w:rPr>
              <w:t xml:space="preserve">&gt; </w:t>
            </w:r>
            <w:r w:rsidRPr="00A5626D">
              <w:rPr>
                <w:rFonts w:ascii="Garamond" w:hAnsi="Garamond" w:cstheme="minorHAnsi"/>
                <w:sz w:val="22"/>
                <w:szCs w:val="22"/>
              </w:rPr>
              <w:t>содержит список энергообъектов, на которых расположены точки поставки и точки измерени</w:t>
            </w:r>
            <w:r w:rsidRPr="00A5626D">
              <w:rPr>
                <w:rFonts w:ascii="Garamond" w:hAnsi="Garamond" w:cstheme="minorHAnsi"/>
                <w:sz w:val="22"/>
                <w:szCs w:val="22"/>
                <w:highlight w:val="yellow"/>
              </w:rPr>
              <w:t>я</w:t>
            </w:r>
            <w:r w:rsidRPr="00A5626D">
              <w:rPr>
                <w:rFonts w:ascii="Garamond" w:hAnsi="Garamond" w:cstheme="minorHAnsi"/>
                <w:sz w:val="22"/>
                <w:szCs w:val="22"/>
              </w:rPr>
              <w:t>, заявленные в ГТП генерации / сечении.</w:t>
            </w:r>
          </w:p>
          <w:p w14:paraId="06D7A26E" w14:textId="77777777" w:rsidR="00295C6D" w:rsidRPr="00A5626D" w:rsidRDefault="00295C6D" w:rsidP="00E31AE6">
            <w:pPr>
              <w:widowControl w:val="0"/>
              <w:tabs>
                <w:tab w:val="left" w:pos="1134"/>
                <w:tab w:val="left" w:pos="7938"/>
              </w:tabs>
              <w:autoSpaceDE w:val="0"/>
              <w:autoSpaceDN w:val="0"/>
              <w:adjustRightInd w:val="0"/>
              <w:spacing w:before="60" w:after="60" w:line="276" w:lineRule="auto"/>
              <w:ind w:firstLine="456"/>
              <w:jc w:val="both"/>
              <w:rPr>
                <w:rFonts w:ascii="Garamond" w:hAnsi="Garamond" w:cstheme="minorHAnsi"/>
                <w:sz w:val="22"/>
                <w:szCs w:val="22"/>
              </w:rPr>
            </w:pPr>
            <w:r w:rsidRPr="00A5626D">
              <w:rPr>
                <w:rFonts w:ascii="Garamond" w:hAnsi="Garamond" w:cstheme="minorHAnsi"/>
                <w:bCs/>
                <w:sz w:val="22"/>
                <w:szCs w:val="22"/>
              </w:rPr>
              <w:t>Обязательный элемент</w:t>
            </w:r>
            <w:r w:rsidRPr="00A5626D">
              <w:rPr>
                <w:rFonts w:ascii="Garamond" w:hAnsi="Garamond" w:cstheme="minorHAnsi"/>
                <w:sz w:val="22"/>
                <w:szCs w:val="22"/>
              </w:rPr>
              <w:t>. Допускается наличие только одного элемента.</w:t>
            </w:r>
          </w:p>
          <w:p w14:paraId="197F05FE" w14:textId="77777777" w:rsidR="00295C6D" w:rsidRPr="00A5626D" w:rsidRDefault="00295C6D" w:rsidP="00E31AE6">
            <w:pPr>
              <w:tabs>
                <w:tab w:val="left" w:pos="1134"/>
                <w:tab w:val="left" w:pos="7938"/>
              </w:tabs>
              <w:spacing w:before="120" w:after="120"/>
              <w:ind w:firstLine="456"/>
              <w:jc w:val="both"/>
              <w:rPr>
                <w:rFonts w:ascii="Garamond" w:eastAsia="Calibri" w:hAnsi="Garamond" w:cstheme="minorHAnsi"/>
                <w:sz w:val="22"/>
                <w:szCs w:val="22"/>
              </w:rPr>
            </w:pPr>
            <w:r w:rsidRPr="00A5626D">
              <w:rPr>
                <w:rFonts w:ascii="Garamond" w:hAnsi="Garamond" w:cstheme="minorHAnsi"/>
                <w:sz w:val="22"/>
                <w:szCs w:val="22"/>
              </w:rPr>
              <w:t>Дочерними элементами являются</w:t>
            </w:r>
            <w:r w:rsidRPr="00A5626D">
              <w:rPr>
                <w:rFonts w:ascii="Garamond" w:eastAsia="Calibri" w:hAnsi="Garamond" w:cstheme="minorHAnsi"/>
                <w:sz w:val="22"/>
                <w:szCs w:val="22"/>
              </w:rPr>
              <w:t xml:space="preserve"> &lt;</w:t>
            </w:r>
            <w:r w:rsidRPr="00A5626D">
              <w:rPr>
                <w:rFonts w:ascii="Garamond" w:eastAsia="Calibri" w:hAnsi="Garamond" w:cstheme="minorHAnsi"/>
                <w:b/>
                <w:sz w:val="22"/>
                <w:szCs w:val="22"/>
                <w:lang w:val="en-US"/>
              </w:rPr>
              <w:t>power</w:t>
            </w:r>
            <w:r w:rsidRPr="00A5626D">
              <w:rPr>
                <w:rFonts w:ascii="Garamond" w:eastAsia="Calibri" w:hAnsi="Garamond" w:cstheme="minorHAnsi"/>
                <w:b/>
                <w:sz w:val="22"/>
                <w:szCs w:val="22"/>
              </w:rPr>
              <w:t>-</w:t>
            </w:r>
            <w:r w:rsidRPr="00A5626D">
              <w:rPr>
                <w:rFonts w:ascii="Garamond" w:eastAsia="Calibri" w:hAnsi="Garamond" w:cstheme="minorHAnsi"/>
                <w:b/>
                <w:sz w:val="22"/>
                <w:szCs w:val="22"/>
                <w:lang w:val="en-US"/>
              </w:rPr>
              <w:t>object</w:t>
            </w:r>
            <w:r w:rsidRPr="00A5626D">
              <w:rPr>
                <w:rFonts w:ascii="Garamond" w:eastAsia="Calibri" w:hAnsi="Garamond" w:cstheme="minorHAnsi"/>
                <w:sz w:val="22"/>
                <w:szCs w:val="22"/>
              </w:rPr>
              <w:t>&gt;.</w:t>
            </w:r>
          </w:p>
        </w:tc>
        <w:tc>
          <w:tcPr>
            <w:tcW w:w="7088" w:type="dxa"/>
          </w:tcPr>
          <w:p w14:paraId="3915A54F" w14:textId="77777777" w:rsidR="00295C6D" w:rsidRPr="00A5626D" w:rsidRDefault="00295C6D" w:rsidP="00E31AE6">
            <w:pPr>
              <w:tabs>
                <w:tab w:val="left" w:pos="1134"/>
                <w:tab w:val="left" w:pos="7938"/>
              </w:tabs>
              <w:spacing w:before="120" w:after="120"/>
              <w:ind w:firstLine="456"/>
              <w:jc w:val="both"/>
              <w:rPr>
                <w:rFonts w:ascii="Garamond" w:hAnsi="Garamond" w:cstheme="minorHAnsi"/>
                <w:sz w:val="22"/>
                <w:szCs w:val="22"/>
              </w:rPr>
            </w:pPr>
            <w:r w:rsidRPr="00A5626D">
              <w:rPr>
                <w:rFonts w:ascii="Garamond" w:hAnsi="Garamond" w:cstheme="minorHAnsi"/>
                <w:sz w:val="22"/>
                <w:szCs w:val="22"/>
              </w:rPr>
              <w:t>&lt;</w:t>
            </w:r>
            <w:r w:rsidRPr="00A5626D">
              <w:rPr>
                <w:rFonts w:ascii="Garamond" w:hAnsi="Garamond" w:cstheme="minorHAnsi"/>
                <w:i/>
                <w:iCs/>
                <w:sz w:val="22"/>
                <w:szCs w:val="22"/>
              </w:rPr>
              <w:t>power</w:t>
            </w:r>
            <w:r w:rsidRPr="00A5626D">
              <w:rPr>
                <w:rFonts w:ascii="Garamond" w:hAnsi="Garamond" w:cstheme="minorHAnsi"/>
                <w:i/>
                <w:sz w:val="22"/>
                <w:szCs w:val="22"/>
              </w:rPr>
              <w:t>-</w:t>
            </w:r>
            <w:r w:rsidRPr="00A5626D">
              <w:rPr>
                <w:rFonts w:ascii="Garamond" w:hAnsi="Garamond" w:cstheme="minorHAnsi"/>
                <w:i/>
                <w:sz w:val="22"/>
                <w:szCs w:val="22"/>
                <w:lang w:val="en-US"/>
              </w:rPr>
              <w:t>objects</w:t>
            </w:r>
            <w:r w:rsidRPr="00A5626D">
              <w:rPr>
                <w:rFonts w:ascii="Garamond" w:hAnsi="Garamond" w:cstheme="minorHAnsi"/>
                <w:sz w:val="22"/>
                <w:szCs w:val="22"/>
              </w:rPr>
              <w:t>&gt;</w:t>
            </w:r>
          </w:p>
          <w:p w14:paraId="0E739ED8" w14:textId="77777777" w:rsidR="00295C6D" w:rsidRPr="00A5626D" w:rsidRDefault="00295C6D" w:rsidP="00E31AE6">
            <w:pPr>
              <w:tabs>
                <w:tab w:val="left" w:pos="1134"/>
                <w:tab w:val="left" w:pos="7938"/>
              </w:tabs>
              <w:spacing w:before="120" w:after="120"/>
              <w:ind w:firstLine="456"/>
              <w:jc w:val="both"/>
              <w:rPr>
                <w:rFonts w:ascii="Garamond" w:hAnsi="Garamond" w:cstheme="minorHAnsi"/>
                <w:sz w:val="22"/>
                <w:szCs w:val="22"/>
              </w:rPr>
            </w:pPr>
            <w:r w:rsidRPr="00A5626D">
              <w:rPr>
                <w:rFonts w:ascii="Garamond" w:hAnsi="Garamond" w:cstheme="minorHAnsi"/>
                <w:sz w:val="22"/>
                <w:szCs w:val="22"/>
              </w:rPr>
              <w:t xml:space="preserve">Элемент </w:t>
            </w:r>
            <w:r w:rsidRPr="00A5626D">
              <w:rPr>
                <w:rFonts w:ascii="Garamond" w:eastAsia="Calibri" w:hAnsi="Garamond" w:cstheme="minorHAnsi"/>
                <w:sz w:val="22"/>
                <w:szCs w:val="22"/>
              </w:rPr>
              <w:t>&lt;</w:t>
            </w:r>
            <w:r w:rsidRPr="00A5626D">
              <w:rPr>
                <w:rFonts w:ascii="Garamond" w:eastAsia="Calibri" w:hAnsi="Garamond" w:cstheme="minorHAnsi"/>
                <w:b/>
                <w:sz w:val="22"/>
                <w:szCs w:val="22"/>
                <w:lang w:val="en-US"/>
              </w:rPr>
              <w:t>power</w:t>
            </w:r>
            <w:r w:rsidRPr="00A5626D">
              <w:rPr>
                <w:rFonts w:ascii="Garamond" w:eastAsia="Calibri" w:hAnsi="Garamond" w:cstheme="minorHAnsi"/>
                <w:b/>
                <w:sz w:val="22"/>
                <w:szCs w:val="22"/>
              </w:rPr>
              <w:t>-</w:t>
            </w:r>
            <w:r w:rsidRPr="00A5626D">
              <w:rPr>
                <w:rFonts w:ascii="Garamond" w:eastAsia="Calibri" w:hAnsi="Garamond" w:cstheme="minorHAnsi"/>
                <w:b/>
                <w:sz w:val="22"/>
                <w:szCs w:val="22"/>
                <w:lang w:val="en-US"/>
              </w:rPr>
              <w:t>objects</w:t>
            </w:r>
            <w:r w:rsidRPr="00A5626D">
              <w:rPr>
                <w:rFonts w:ascii="Garamond" w:eastAsia="Calibri" w:hAnsi="Garamond" w:cstheme="minorHAnsi"/>
                <w:sz w:val="22"/>
                <w:szCs w:val="22"/>
              </w:rPr>
              <w:t xml:space="preserve">&gt; </w:t>
            </w:r>
            <w:r w:rsidRPr="00A5626D">
              <w:rPr>
                <w:rFonts w:ascii="Garamond" w:hAnsi="Garamond" w:cstheme="minorHAnsi"/>
                <w:sz w:val="22"/>
                <w:szCs w:val="22"/>
              </w:rPr>
              <w:t xml:space="preserve">содержит список энергообъектов, на которых расположены точки поставки </w:t>
            </w:r>
            <w:r w:rsidRPr="00A5626D">
              <w:rPr>
                <w:rFonts w:ascii="Garamond" w:hAnsi="Garamond" w:cstheme="minorHAnsi"/>
                <w:sz w:val="22"/>
                <w:szCs w:val="22"/>
                <w:highlight w:val="yellow"/>
              </w:rPr>
              <w:t>(точки присоединения)</w:t>
            </w:r>
            <w:r w:rsidRPr="00A5626D">
              <w:rPr>
                <w:rFonts w:ascii="Garamond" w:hAnsi="Garamond" w:cstheme="minorHAnsi"/>
                <w:sz w:val="22"/>
                <w:szCs w:val="22"/>
              </w:rPr>
              <w:t xml:space="preserve"> и точки измерени</w:t>
            </w:r>
            <w:r w:rsidRPr="00A5626D">
              <w:rPr>
                <w:rFonts w:ascii="Garamond" w:hAnsi="Garamond" w:cstheme="minorHAnsi"/>
                <w:sz w:val="22"/>
                <w:szCs w:val="22"/>
                <w:highlight w:val="yellow"/>
              </w:rPr>
              <w:t>й</w:t>
            </w:r>
            <w:r w:rsidRPr="00A5626D">
              <w:rPr>
                <w:rFonts w:ascii="Garamond" w:hAnsi="Garamond" w:cstheme="minorHAnsi"/>
                <w:sz w:val="22"/>
                <w:szCs w:val="22"/>
              </w:rPr>
              <w:t xml:space="preserve">, заявленные в ГТП генерации / сечении </w:t>
            </w:r>
            <w:r w:rsidRPr="00A5626D">
              <w:rPr>
                <w:rFonts w:ascii="Garamond" w:hAnsi="Garamond" w:cstheme="minorHAnsi"/>
                <w:sz w:val="22"/>
                <w:szCs w:val="22"/>
                <w:highlight w:val="yellow"/>
              </w:rPr>
              <w:t>КУ / ОР</w:t>
            </w:r>
            <w:r w:rsidRPr="00A5626D">
              <w:rPr>
                <w:rFonts w:ascii="Garamond" w:hAnsi="Garamond" w:cstheme="minorHAnsi"/>
                <w:sz w:val="22"/>
                <w:szCs w:val="22"/>
              </w:rPr>
              <w:t>.</w:t>
            </w:r>
          </w:p>
          <w:p w14:paraId="04A18177" w14:textId="77777777" w:rsidR="00295C6D" w:rsidRPr="00A5626D" w:rsidRDefault="00295C6D" w:rsidP="00E31AE6">
            <w:pPr>
              <w:widowControl w:val="0"/>
              <w:tabs>
                <w:tab w:val="left" w:pos="1134"/>
                <w:tab w:val="left" w:pos="7938"/>
              </w:tabs>
              <w:autoSpaceDE w:val="0"/>
              <w:autoSpaceDN w:val="0"/>
              <w:adjustRightInd w:val="0"/>
              <w:spacing w:before="60" w:after="60" w:line="276" w:lineRule="auto"/>
              <w:ind w:firstLine="456"/>
              <w:jc w:val="both"/>
              <w:rPr>
                <w:rFonts w:ascii="Garamond" w:hAnsi="Garamond" w:cstheme="minorHAnsi"/>
                <w:sz w:val="22"/>
                <w:szCs w:val="22"/>
              </w:rPr>
            </w:pPr>
            <w:r w:rsidRPr="00A5626D">
              <w:rPr>
                <w:rFonts w:ascii="Garamond" w:hAnsi="Garamond" w:cstheme="minorHAnsi"/>
                <w:bCs/>
                <w:sz w:val="22"/>
                <w:szCs w:val="22"/>
              </w:rPr>
              <w:t>Обязательный элемент</w:t>
            </w:r>
            <w:r w:rsidRPr="00A5626D">
              <w:rPr>
                <w:rFonts w:ascii="Garamond" w:hAnsi="Garamond" w:cstheme="minorHAnsi"/>
                <w:sz w:val="22"/>
                <w:szCs w:val="22"/>
              </w:rPr>
              <w:t>. Допускается наличие только одного элемента.</w:t>
            </w:r>
          </w:p>
          <w:p w14:paraId="42F06029" w14:textId="77777777" w:rsidR="00295C6D" w:rsidRPr="00A5626D" w:rsidRDefault="00295C6D" w:rsidP="00E31AE6">
            <w:pPr>
              <w:tabs>
                <w:tab w:val="left" w:pos="1134"/>
                <w:tab w:val="left" w:pos="7938"/>
              </w:tabs>
              <w:spacing w:before="120" w:after="120"/>
              <w:ind w:firstLine="456"/>
              <w:jc w:val="both"/>
              <w:rPr>
                <w:rFonts w:ascii="Garamond" w:hAnsi="Garamond" w:cstheme="minorHAnsi"/>
                <w:sz w:val="22"/>
                <w:szCs w:val="22"/>
              </w:rPr>
            </w:pPr>
            <w:r w:rsidRPr="00A5626D">
              <w:rPr>
                <w:rFonts w:ascii="Garamond" w:hAnsi="Garamond" w:cstheme="minorHAnsi"/>
                <w:sz w:val="22"/>
                <w:szCs w:val="22"/>
              </w:rPr>
              <w:t>Дочерними элементами являются</w:t>
            </w:r>
            <w:r w:rsidRPr="00A5626D">
              <w:rPr>
                <w:rFonts w:ascii="Garamond" w:eastAsia="Calibri" w:hAnsi="Garamond" w:cstheme="minorHAnsi"/>
                <w:sz w:val="22"/>
                <w:szCs w:val="22"/>
              </w:rPr>
              <w:t xml:space="preserve"> &lt;</w:t>
            </w:r>
            <w:r w:rsidRPr="00A5626D">
              <w:rPr>
                <w:rFonts w:ascii="Garamond" w:eastAsia="Calibri" w:hAnsi="Garamond" w:cstheme="minorHAnsi"/>
                <w:b/>
                <w:sz w:val="22"/>
                <w:szCs w:val="22"/>
                <w:lang w:val="en-US"/>
              </w:rPr>
              <w:t>power</w:t>
            </w:r>
            <w:r w:rsidRPr="00A5626D">
              <w:rPr>
                <w:rFonts w:ascii="Garamond" w:eastAsia="Calibri" w:hAnsi="Garamond" w:cstheme="minorHAnsi"/>
                <w:b/>
                <w:sz w:val="22"/>
                <w:szCs w:val="22"/>
              </w:rPr>
              <w:t>-</w:t>
            </w:r>
            <w:r w:rsidRPr="00A5626D">
              <w:rPr>
                <w:rFonts w:ascii="Garamond" w:eastAsia="Calibri" w:hAnsi="Garamond" w:cstheme="minorHAnsi"/>
                <w:b/>
                <w:sz w:val="22"/>
                <w:szCs w:val="22"/>
                <w:lang w:val="en-US"/>
              </w:rPr>
              <w:t>object</w:t>
            </w:r>
            <w:r w:rsidRPr="00A5626D">
              <w:rPr>
                <w:rFonts w:ascii="Garamond" w:eastAsia="Calibri" w:hAnsi="Garamond" w:cstheme="minorHAnsi"/>
                <w:sz w:val="22"/>
                <w:szCs w:val="22"/>
              </w:rPr>
              <w:t>&gt;.</w:t>
            </w:r>
          </w:p>
        </w:tc>
      </w:tr>
      <w:tr w:rsidR="00295C6D" w:rsidRPr="00A5626D" w14:paraId="7B38A408" w14:textId="77777777" w:rsidTr="00647FA0">
        <w:tc>
          <w:tcPr>
            <w:tcW w:w="1060" w:type="dxa"/>
            <w:vAlign w:val="center"/>
          </w:tcPr>
          <w:p w14:paraId="6A5B6D13" w14:textId="427EEF5B" w:rsidR="00295C6D" w:rsidRPr="00A5626D" w:rsidRDefault="00295C6D" w:rsidP="00E31AE6">
            <w:pPr>
              <w:widowControl w:val="0"/>
              <w:tabs>
                <w:tab w:val="left" w:pos="1134"/>
                <w:tab w:val="left" w:pos="7938"/>
              </w:tabs>
              <w:spacing w:line="22" w:lineRule="atLeast"/>
              <w:jc w:val="both"/>
              <w:rPr>
                <w:rFonts w:ascii="Garamond" w:hAnsi="Garamond"/>
                <w:b/>
                <w:sz w:val="22"/>
                <w:szCs w:val="22"/>
                <w:lang w:eastAsia="en-US"/>
              </w:rPr>
            </w:pPr>
            <w:r w:rsidRPr="00A5626D">
              <w:rPr>
                <w:rFonts w:ascii="Garamond" w:hAnsi="Garamond"/>
                <w:b/>
                <w:sz w:val="22"/>
                <w:szCs w:val="22"/>
                <w:lang w:eastAsia="en-US"/>
              </w:rPr>
              <w:t>Приложение 5, п.</w:t>
            </w:r>
            <w:r w:rsidR="00647FA0" w:rsidRPr="00A5626D">
              <w:rPr>
                <w:rFonts w:ascii="Garamond" w:hAnsi="Garamond"/>
                <w:b/>
                <w:sz w:val="22"/>
                <w:szCs w:val="22"/>
                <w:lang w:eastAsia="en-US"/>
              </w:rPr>
              <w:t> </w:t>
            </w:r>
            <w:r w:rsidRPr="00A5626D">
              <w:rPr>
                <w:rFonts w:ascii="Garamond" w:hAnsi="Garamond"/>
                <w:b/>
                <w:sz w:val="22"/>
                <w:szCs w:val="22"/>
                <w:lang w:eastAsia="en-US"/>
              </w:rPr>
              <w:t>4.4.1.2.1.6.</w:t>
            </w:r>
          </w:p>
        </w:tc>
        <w:tc>
          <w:tcPr>
            <w:tcW w:w="6662" w:type="dxa"/>
          </w:tcPr>
          <w:p w14:paraId="50747121" w14:textId="77777777" w:rsidR="00295C6D" w:rsidRPr="00A5626D" w:rsidRDefault="00295C6D" w:rsidP="00E31AE6">
            <w:pPr>
              <w:tabs>
                <w:tab w:val="left" w:pos="1134"/>
                <w:tab w:val="left" w:pos="7938"/>
              </w:tabs>
              <w:spacing w:before="120" w:after="120"/>
              <w:ind w:firstLine="456"/>
              <w:jc w:val="both"/>
              <w:rPr>
                <w:rFonts w:ascii="Garamond" w:hAnsi="Garamond" w:cstheme="minorHAnsi"/>
                <w:sz w:val="22"/>
                <w:szCs w:val="22"/>
              </w:rPr>
            </w:pPr>
            <w:r w:rsidRPr="00A5626D">
              <w:rPr>
                <w:rFonts w:ascii="Garamond" w:hAnsi="Garamond" w:cstheme="minorHAnsi"/>
                <w:sz w:val="22"/>
                <w:szCs w:val="22"/>
              </w:rPr>
              <w:t>&lt;</w:t>
            </w:r>
            <w:r w:rsidRPr="00A5626D">
              <w:rPr>
                <w:rFonts w:ascii="Garamond" w:hAnsi="Garamond" w:cstheme="minorHAnsi"/>
                <w:i/>
                <w:sz w:val="22"/>
                <w:szCs w:val="22"/>
                <w:lang w:val="en-US"/>
              </w:rPr>
              <w:t>delivery</w:t>
            </w:r>
            <w:r w:rsidRPr="00A5626D">
              <w:rPr>
                <w:rFonts w:ascii="Garamond" w:hAnsi="Garamond" w:cstheme="minorHAnsi"/>
                <w:i/>
                <w:sz w:val="22"/>
                <w:szCs w:val="22"/>
              </w:rPr>
              <w:t>-</w:t>
            </w:r>
            <w:r w:rsidRPr="00A5626D">
              <w:rPr>
                <w:rFonts w:ascii="Garamond" w:hAnsi="Garamond" w:cstheme="minorHAnsi"/>
                <w:i/>
                <w:sz w:val="22"/>
                <w:szCs w:val="22"/>
                <w:lang w:val="en-US"/>
              </w:rPr>
              <w:t>points</w:t>
            </w:r>
            <w:r w:rsidRPr="00A5626D">
              <w:rPr>
                <w:rFonts w:ascii="Garamond" w:hAnsi="Garamond" w:cstheme="minorHAnsi"/>
                <w:sz w:val="22"/>
                <w:szCs w:val="22"/>
              </w:rPr>
              <w:t>&gt;</w:t>
            </w:r>
          </w:p>
          <w:p w14:paraId="1E24E92A" w14:textId="77777777" w:rsidR="00295C6D" w:rsidRPr="00A5626D" w:rsidRDefault="00295C6D" w:rsidP="00E31AE6">
            <w:pPr>
              <w:tabs>
                <w:tab w:val="left" w:pos="1134"/>
                <w:tab w:val="left" w:pos="7938"/>
              </w:tabs>
              <w:spacing w:before="120" w:after="120"/>
              <w:ind w:firstLine="456"/>
              <w:jc w:val="both"/>
              <w:rPr>
                <w:rFonts w:ascii="Garamond" w:hAnsi="Garamond" w:cstheme="minorHAnsi"/>
                <w:sz w:val="22"/>
                <w:szCs w:val="22"/>
              </w:rPr>
            </w:pPr>
            <w:r w:rsidRPr="00A5626D">
              <w:rPr>
                <w:rFonts w:ascii="Garamond" w:hAnsi="Garamond" w:cstheme="minorHAnsi"/>
                <w:sz w:val="22"/>
                <w:szCs w:val="22"/>
              </w:rPr>
              <w:t>Элемент &lt;</w:t>
            </w:r>
            <w:r w:rsidRPr="00A5626D">
              <w:rPr>
                <w:rFonts w:ascii="Garamond" w:hAnsi="Garamond" w:cstheme="minorHAnsi"/>
                <w:b/>
                <w:sz w:val="22"/>
                <w:szCs w:val="22"/>
                <w:lang w:val="en-US"/>
              </w:rPr>
              <w:t>delivery</w:t>
            </w:r>
            <w:r w:rsidRPr="00A5626D">
              <w:rPr>
                <w:rFonts w:ascii="Garamond" w:hAnsi="Garamond" w:cstheme="minorHAnsi"/>
                <w:b/>
                <w:sz w:val="22"/>
                <w:szCs w:val="22"/>
              </w:rPr>
              <w:t>-</w:t>
            </w:r>
            <w:r w:rsidRPr="00A5626D">
              <w:rPr>
                <w:rFonts w:ascii="Garamond" w:hAnsi="Garamond" w:cstheme="minorHAnsi"/>
                <w:b/>
                <w:sz w:val="22"/>
                <w:szCs w:val="22"/>
                <w:lang w:val="en-US"/>
              </w:rPr>
              <w:t>points</w:t>
            </w:r>
            <w:r w:rsidRPr="00A5626D">
              <w:rPr>
                <w:rFonts w:ascii="Garamond" w:hAnsi="Garamond" w:cstheme="minorHAnsi"/>
                <w:sz w:val="22"/>
                <w:szCs w:val="22"/>
              </w:rPr>
              <w:t xml:space="preserve">&gt; </w:t>
            </w:r>
            <w:r w:rsidRPr="00A5626D">
              <w:rPr>
                <w:rFonts w:ascii="Garamond" w:hAnsi="Garamond" w:cstheme="minorHAnsi"/>
                <w:sz w:val="22"/>
                <w:szCs w:val="22"/>
                <w:lang w:val="en-US"/>
              </w:rPr>
              <w:t>c</w:t>
            </w:r>
            <w:r w:rsidRPr="00A5626D">
              <w:rPr>
                <w:rFonts w:ascii="Garamond" w:hAnsi="Garamond" w:cstheme="minorHAnsi"/>
                <w:sz w:val="22"/>
                <w:szCs w:val="22"/>
              </w:rPr>
              <w:t>одержит справочник заявленных в сечении / ГТП генерации точек поставки.</w:t>
            </w:r>
          </w:p>
          <w:p w14:paraId="0911B280" w14:textId="77777777" w:rsidR="00295C6D" w:rsidRPr="00A5626D" w:rsidRDefault="00295C6D" w:rsidP="00E31AE6">
            <w:pPr>
              <w:widowControl w:val="0"/>
              <w:tabs>
                <w:tab w:val="left" w:pos="1134"/>
                <w:tab w:val="left" w:pos="7938"/>
              </w:tabs>
              <w:autoSpaceDE w:val="0"/>
              <w:autoSpaceDN w:val="0"/>
              <w:adjustRightInd w:val="0"/>
              <w:spacing w:before="60" w:after="60" w:line="276" w:lineRule="auto"/>
              <w:ind w:firstLine="456"/>
              <w:jc w:val="both"/>
              <w:rPr>
                <w:rFonts w:ascii="Garamond" w:hAnsi="Garamond" w:cstheme="minorHAnsi"/>
                <w:sz w:val="22"/>
                <w:szCs w:val="22"/>
              </w:rPr>
            </w:pPr>
            <w:r w:rsidRPr="00A5626D">
              <w:rPr>
                <w:rFonts w:ascii="Garamond" w:hAnsi="Garamond" w:cstheme="minorHAnsi"/>
                <w:bCs/>
                <w:sz w:val="22"/>
                <w:szCs w:val="22"/>
              </w:rPr>
              <w:t>Обязательный элемент</w:t>
            </w:r>
            <w:r w:rsidRPr="00A5626D">
              <w:rPr>
                <w:rFonts w:ascii="Garamond" w:hAnsi="Garamond" w:cstheme="minorHAnsi"/>
                <w:sz w:val="22"/>
                <w:szCs w:val="22"/>
              </w:rPr>
              <w:t>. Допускается наличие только одного элемента.</w:t>
            </w:r>
          </w:p>
          <w:p w14:paraId="06F97B7F" w14:textId="77777777" w:rsidR="00295C6D" w:rsidRPr="00A5626D" w:rsidRDefault="00295C6D" w:rsidP="00E31AE6">
            <w:pPr>
              <w:tabs>
                <w:tab w:val="left" w:pos="1134"/>
                <w:tab w:val="left" w:pos="7938"/>
              </w:tabs>
              <w:spacing w:before="120" w:after="120"/>
              <w:ind w:firstLine="456"/>
              <w:jc w:val="both"/>
              <w:rPr>
                <w:rFonts w:ascii="Garamond" w:hAnsi="Garamond" w:cstheme="minorHAnsi"/>
                <w:b/>
                <w:sz w:val="22"/>
                <w:szCs w:val="22"/>
              </w:rPr>
            </w:pPr>
            <w:r w:rsidRPr="00A5626D">
              <w:rPr>
                <w:rFonts w:ascii="Garamond" w:hAnsi="Garamond" w:cstheme="minorHAnsi"/>
                <w:sz w:val="22"/>
                <w:szCs w:val="22"/>
              </w:rPr>
              <w:t xml:space="preserve">Дочерними элементами являются </w:t>
            </w:r>
            <w:r w:rsidRPr="00A5626D">
              <w:rPr>
                <w:rFonts w:ascii="Garamond" w:hAnsi="Garamond" w:cstheme="minorHAnsi"/>
                <w:b/>
                <w:sz w:val="22"/>
                <w:szCs w:val="22"/>
              </w:rPr>
              <w:t>&lt;</w:t>
            </w:r>
            <w:r w:rsidRPr="00A5626D">
              <w:rPr>
                <w:rFonts w:ascii="Garamond" w:eastAsia="Calibri" w:hAnsi="Garamond" w:cstheme="minorHAnsi"/>
                <w:b/>
                <w:sz w:val="22"/>
                <w:szCs w:val="22"/>
                <w:lang w:val="en-US"/>
              </w:rPr>
              <w:t>delivery</w:t>
            </w:r>
            <w:r w:rsidRPr="00A5626D">
              <w:rPr>
                <w:rFonts w:ascii="Garamond" w:eastAsia="Calibri" w:hAnsi="Garamond" w:cstheme="minorHAnsi"/>
                <w:b/>
                <w:sz w:val="22"/>
                <w:szCs w:val="22"/>
              </w:rPr>
              <w:t>-</w:t>
            </w:r>
            <w:r w:rsidRPr="00A5626D">
              <w:rPr>
                <w:rFonts w:ascii="Garamond" w:eastAsia="Calibri" w:hAnsi="Garamond" w:cstheme="minorHAnsi"/>
                <w:b/>
                <w:sz w:val="22"/>
                <w:szCs w:val="22"/>
                <w:lang w:val="en-US"/>
              </w:rPr>
              <w:t>point</w:t>
            </w:r>
            <w:r w:rsidRPr="00A5626D">
              <w:rPr>
                <w:rFonts w:ascii="Garamond" w:eastAsia="Calibri" w:hAnsi="Garamond" w:cstheme="minorHAnsi"/>
                <w:b/>
                <w:sz w:val="22"/>
                <w:szCs w:val="22"/>
              </w:rPr>
              <w:t>&gt;.</w:t>
            </w:r>
          </w:p>
        </w:tc>
        <w:tc>
          <w:tcPr>
            <w:tcW w:w="7088" w:type="dxa"/>
          </w:tcPr>
          <w:p w14:paraId="2C0363F2" w14:textId="77777777" w:rsidR="00295C6D" w:rsidRPr="00A5626D" w:rsidRDefault="00295C6D" w:rsidP="00E31AE6">
            <w:pPr>
              <w:tabs>
                <w:tab w:val="left" w:pos="1134"/>
                <w:tab w:val="left" w:pos="7938"/>
              </w:tabs>
              <w:spacing w:before="120" w:after="120"/>
              <w:ind w:firstLine="456"/>
              <w:jc w:val="both"/>
              <w:rPr>
                <w:rFonts w:ascii="Garamond" w:hAnsi="Garamond" w:cstheme="minorHAnsi"/>
                <w:sz w:val="22"/>
                <w:szCs w:val="22"/>
              </w:rPr>
            </w:pPr>
            <w:r w:rsidRPr="00A5626D">
              <w:rPr>
                <w:rFonts w:ascii="Garamond" w:hAnsi="Garamond" w:cstheme="minorHAnsi"/>
                <w:sz w:val="22"/>
                <w:szCs w:val="22"/>
              </w:rPr>
              <w:t>&lt;</w:t>
            </w:r>
            <w:r w:rsidRPr="00A5626D">
              <w:rPr>
                <w:rFonts w:ascii="Garamond" w:hAnsi="Garamond" w:cstheme="minorHAnsi"/>
                <w:i/>
                <w:sz w:val="22"/>
                <w:szCs w:val="22"/>
                <w:lang w:val="en-US"/>
              </w:rPr>
              <w:t>delivery</w:t>
            </w:r>
            <w:r w:rsidRPr="00A5626D">
              <w:rPr>
                <w:rFonts w:ascii="Garamond" w:hAnsi="Garamond" w:cstheme="minorHAnsi"/>
                <w:i/>
                <w:sz w:val="22"/>
                <w:szCs w:val="22"/>
              </w:rPr>
              <w:t>-</w:t>
            </w:r>
            <w:r w:rsidRPr="00A5626D">
              <w:rPr>
                <w:rFonts w:ascii="Garamond" w:hAnsi="Garamond" w:cstheme="minorHAnsi"/>
                <w:i/>
                <w:sz w:val="22"/>
                <w:szCs w:val="22"/>
                <w:lang w:val="en-US"/>
              </w:rPr>
              <w:t>points</w:t>
            </w:r>
            <w:r w:rsidRPr="00A5626D">
              <w:rPr>
                <w:rFonts w:ascii="Garamond" w:hAnsi="Garamond" w:cstheme="minorHAnsi"/>
                <w:sz w:val="22"/>
                <w:szCs w:val="22"/>
              </w:rPr>
              <w:t>&gt;</w:t>
            </w:r>
          </w:p>
          <w:p w14:paraId="191E0638" w14:textId="77777777" w:rsidR="00295C6D" w:rsidRPr="00A5626D" w:rsidRDefault="00295C6D" w:rsidP="00E31AE6">
            <w:pPr>
              <w:tabs>
                <w:tab w:val="left" w:pos="1134"/>
                <w:tab w:val="left" w:pos="7938"/>
              </w:tabs>
              <w:spacing w:before="120" w:after="120"/>
              <w:ind w:firstLine="456"/>
              <w:jc w:val="both"/>
              <w:rPr>
                <w:rFonts w:ascii="Garamond" w:hAnsi="Garamond" w:cstheme="minorHAnsi"/>
                <w:sz w:val="22"/>
                <w:szCs w:val="22"/>
              </w:rPr>
            </w:pPr>
            <w:r w:rsidRPr="00A5626D">
              <w:rPr>
                <w:rFonts w:ascii="Garamond" w:hAnsi="Garamond" w:cstheme="minorHAnsi"/>
                <w:sz w:val="22"/>
                <w:szCs w:val="22"/>
              </w:rPr>
              <w:t>Элемент &lt;</w:t>
            </w:r>
            <w:r w:rsidRPr="00A5626D">
              <w:rPr>
                <w:rFonts w:ascii="Garamond" w:hAnsi="Garamond" w:cstheme="minorHAnsi"/>
                <w:b/>
                <w:sz w:val="22"/>
                <w:szCs w:val="22"/>
                <w:lang w:val="en-US"/>
              </w:rPr>
              <w:t>delivery</w:t>
            </w:r>
            <w:r w:rsidRPr="00A5626D">
              <w:rPr>
                <w:rFonts w:ascii="Garamond" w:hAnsi="Garamond" w:cstheme="minorHAnsi"/>
                <w:b/>
                <w:sz w:val="22"/>
                <w:szCs w:val="22"/>
              </w:rPr>
              <w:t>-</w:t>
            </w:r>
            <w:r w:rsidRPr="00A5626D">
              <w:rPr>
                <w:rFonts w:ascii="Garamond" w:hAnsi="Garamond" w:cstheme="minorHAnsi"/>
                <w:b/>
                <w:sz w:val="22"/>
                <w:szCs w:val="22"/>
                <w:lang w:val="en-US"/>
              </w:rPr>
              <w:t>points</w:t>
            </w:r>
            <w:r w:rsidRPr="00A5626D">
              <w:rPr>
                <w:rFonts w:ascii="Garamond" w:hAnsi="Garamond" w:cstheme="minorHAnsi"/>
                <w:sz w:val="22"/>
                <w:szCs w:val="22"/>
              </w:rPr>
              <w:t xml:space="preserve">&gt; </w:t>
            </w:r>
            <w:r w:rsidRPr="00A5626D">
              <w:rPr>
                <w:rFonts w:ascii="Garamond" w:hAnsi="Garamond" w:cstheme="minorHAnsi"/>
                <w:sz w:val="22"/>
                <w:szCs w:val="22"/>
                <w:lang w:val="en-US"/>
              </w:rPr>
              <w:t>c</w:t>
            </w:r>
            <w:r w:rsidRPr="00A5626D">
              <w:rPr>
                <w:rFonts w:ascii="Garamond" w:hAnsi="Garamond" w:cstheme="minorHAnsi"/>
                <w:sz w:val="22"/>
                <w:szCs w:val="22"/>
              </w:rPr>
              <w:t xml:space="preserve">одержит справочник заявленных в сечении </w:t>
            </w:r>
            <w:r w:rsidRPr="00A5626D">
              <w:rPr>
                <w:rFonts w:ascii="Garamond" w:hAnsi="Garamond" w:cstheme="minorHAnsi"/>
                <w:sz w:val="22"/>
                <w:szCs w:val="22"/>
                <w:highlight w:val="yellow"/>
              </w:rPr>
              <w:t>КУ</w:t>
            </w:r>
            <w:r w:rsidRPr="00A5626D">
              <w:rPr>
                <w:rFonts w:ascii="Garamond" w:hAnsi="Garamond" w:cstheme="minorHAnsi"/>
                <w:sz w:val="22"/>
                <w:szCs w:val="22"/>
              </w:rPr>
              <w:t xml:space="preserve"> / ГТП генерации </w:t>
            </w:r>
            <w:r w:rsidRPr="00A5626D">
              <w:rPr>
                <w:rFonts w:ascii="Garamond" w:hAnsi="Garamond" w:cstheme="minorHAnsi"/>
                <w:sz w:val="22"/>
                <w:szCs w:val="22"/>
                <w:highlight w:val="yellow"/>
              </w:rPr>
              <w:t>/ ОР</w:t>
            </w:r>
            <w:r w:rsidRPr="00A5626D">
              <w:rPr>
                <w:rFonts w:ascii="Garamond" w:hAnsi="Garamond" w:cstheme="minorHAnsi"/>
                <w:sz w:val="22"/>
                <w:szCs w:val="22"/>
              </w:rPr>
              <w:t xml:space="preserve"> точек поставки </w:t>
            </w:r>
            <w:r w:rsidRPr="00A5626D">
              <w:rPr>
                <w:rFonts w:ascii="Garamond" w:hAnsi="Garamond" w:cstheme="minorHAnsi"/>
                <w:sz w:val="22"/>
                <w:szCs w:val="22"/>
                <w:highlight w:val="yellow"/>
              </w:rPr>
              <w:t>(точек присоединения)</w:t>
            </w:r>
            <w:r w:rsidRPr="00A5626D">
              <w:rPr>
                <w:rFonts w:ascii="Garamond" w:hAnsi="Garamond" w:cstheme="minorHAnsi"/>
                <w:sz w:val="22"/>
                <w:szCs w:val="22"/>
              </w:rPr>
              <w:t>.</w:t>
            </w:r>
          </w:p>
          <w:p w14:paraId="2FE15AE0" w14:textId="77777777" w:rsidR="00295C6D" w:rsidRPr="00A5626D" w:rsidRDefault="00295C6D" w:rsidP="00E31AE6">
            <w:pPr>
              <w:widowControl w:val="0"/>
              <w:tabs>
                <w:tab w:val="left" w:pos="1134"/>
                <w:tab w:val="left" w:pos="7938"/>
              </w:tabs>
              <w:autoSpaceDE w:val="0"/>
              <w:autoSpaceDN w:val="0"/>
              <w:adjustRightInd w:val="0"/>
              <w:spacing w:before="60" w:after="60" w:line="276" w:lineRule="auto"/>
              <w:ind w:firstLine="456"/>
              <w:jc w:val="both"/>
              <w:rPr>
                <w:rFonts w:ascii="Garamond" w:hAnsi="Garamond" w:cstheme="minorHAnsi"/>
                <w:sz w:val="22"/>
                <w:szCs w:val="22"/>
              </w:rPr>
            </w:pPr>
            <w:r w:rsidRPr="00A5626D">
              <w:rPr>
                <w:rFonts w:ascii="Garamond" w:hAnsi="Garamond" w:cstheme="minorHAnsi"/>
                <w:bCs/>
                <w:sz w:val="22"/>
                <w:szCs w:val="22"/>
              </w:rPr>
              <w:t>Обязательный элемент</w:t>
            </w:r>
            <w:r w:rsidRPr="00A5626D">
              <w:rPr>
                <w:rFonts w:ascii="Garamond" w:hAnsi="Garamond" w:cstheme="minorHAnsi"/>
                <w:sz w:val="22"/>
                <w:szCs w:val="22"/>
              </w:rPr>
              <w:t>. Допускается наличие только одного элемента.</w:t>
            </w:r>
          </w:p>
          <w:p w14:paraId="7368169E" w14:textId="77777777" w:rsidR="00295C6D" w:rsidRPr="00A5626D" w:rsidRDefault="00295C6D" w:rsidP="00E31AE6">
            <w:pPr>
              <w:tabs>
                <w:tab w:val="left" w:pos="1134"/>
                <w:tab w:val="left" w:pos="7938"/>
              </w:tabs>
              <w:spacing w:before="120" w:after="120"/>
              <w:ind w:firstLine="456"/>
              <w:jc w:val="both"/>
              <w:rPr>
                <w:rFonts w:ascii="Garamond" w:hAnsi="Garamond" w:cstheme="minorHAnsi"/>
                <w:sz w:val="22"/>
                <w:szCs w:val="22"/>
              </w:rPr>
            </w:pPr>
            <w:r w:rsidRPr="00A5626D">
              <w:rPr>
                <w:rFonts w:ascii="Garamond" w:hAnsi="Garamond" w:cstheme="minorHAnsi"/>
                <w:sz w:val="22"/>
                <w:szCs w:val="22"/>
              </w:rPr>
              <w:t xml:space="preserve">Дочерними элементами являются </w:t>
            </w:r>
            <w:r w:rsidRPr="00A5626D">
              <w:rPr>
                <w:rFonts w:ascii="Garamond" w:hAnsi="Garamond" w:cstheme="minorHAnsi"/>
                <w:b/>
                <w:sz w:val="22"/>
                <w:szCs w:val="22"/>
              </w:rPr>
              <w:t>&lt;</w:t>
            </w:r>
            <w:r w:rsidRPr="00A5626D">
              <w:rPr>
                <w:rFonts w:ascii="Garamond" w:eastAsia="Calibri" w:hAnsi="Garamond" w:cstheme="minorHAnsi"/>
                <w:b/>
                <w:sz w:val="22"/>
                <w:szCs w:val="22"/>
                <w:lang w:val="en-US"/>
              </w:rPr>
              <w:t>delivery</w:t>
            </w:r>
            <w:r w:rsidRPr="00A5626D">
              <w:rPr>
                <w:rFonts w:ascii="Garamond" w:eastAsia="Calibri" w:hAnsi="Garamond" w:cstheme="minorHAnsi"/>
                <w:b/>
                <w:sz w:val="22"/>
                <w:szCs w:val="22"/>
              </w:rPr>
              <w:t>-</w:t>
            </w:r>
            <w:r w:rsidRPr="00A5626D">
              <w:rPr>
                <w:rFonts w:ascii="Garamond" w:eastAsia="Calibri" w:hAnsi="Garamond" w:cstheme="minorHAnsi"/>
                <w:b/>
                <w:sz w:val="22"/>
                <w:szCs w:val="22"/>
                <w:lang w:val="en-US"/>
              </w:rPr>
              <w:t>point</w:t>
            </w:r>
            <w:r w:rsidRPr="00A5626D">
              <w:rPr>
                <w:rFonts w:ascii="Garamond" w:eastAsia="Calibri" w:hAnsi="Garamond" w:cstheme="minorHAnsi"/>
                <w:b/>
                <w:sz w:val="22"/>
                <w:szCs w:val="22"/>
              </w:rPr>
              <w:t>&gt;.</w:t>
            </w:r>
          </w:p>
        </w:tc>
      </w:tr>
      <w:tr w:rsidR="00295C6D" w:rsidRPr="00A5626D" w14:paraId="1778DCFB" w14:textId="77777777" w:rsidTr="00647FA0">
        <w:tc>
          <w:tcPr>
            <w:tcW w:w="1060" w:type="dxa"/>
            <w:vAlign w:val="center"/>
          </w:tcPr>
          <w:p w14:paraId="46F9B1D4" w14:textId="4FA7217B" w:rsidR="00295C6D" w:rsidRPr="00A5626D" w:rsidRDefault="00295C6D" w:rsidP="00E31AE6">
            <w:pPr>
              <w:widowControl w:val="0"/>
              <w:tabs>
                <w:tab w:val="left" w:pos="1134"/>
                <w:tab w:val="left" w:pos="7938"/>
              </w:tabs>
              <w:spacing w:line="22" w:lineRule="atLeast"/>
              <w:jc w:val="both"/>
              <w:rPr>
                <w:rFonts w:ascii="Garamond" w:hAnsi="Garamond"/>
                <w:b/>
                <w:sz w:val="22"/>
                <w:szCs w:val="22"/>
                <w:lang w:eastAsia="en-US"/>
              </w:rPr>
            </w:pPr>
            <w:r w:rsidRPr="00A5626D">
              <w:rPr>
                <w:rFonts w:ascii="Garamond" w:hAnsi="Garamond"/>
                <w:b/>
                <w:sz w:val="22"/>
                <w:szCs w:val="22"/>
                <w:lang w:eastAsia="en-US"/>
              </w:rPr>
              <w:t>Приложение 5, п.</w:t>
            </w:r>
            <w:r w:rsidR="00647FA0" w:rsidRPr="00A5626D">
              <w:rPr>
                <w:rFonts w:ascii="Garamond" w:hAnsi="Garamond"/>
                <w:b/>
                <w:sz w:val="22"/>
                <w:szCs w:val="22"/>
                <w:lang w:eastAsia="en-US"/>
              </w:rPr>
              <w:t> </w:t>
            </w:r>
            <w:r w:rsidRPr="00A5626D">
              <w:rPr>
                <w:rFonts w:ascii="Garamond" w:hAnsi="Garamond"/>
                <w:b/>
                <w:sz w:val="22"/>
                <w:szCs w:val="22"/>
                <w:lang w:eastAsia="en-US"/>
              </w:rPr>
              <w:t>4.4.1.2.1.6.1</w:t>
            </w:r>
          </w:p>
        </w:tc>
        <w:tc>
          <w:tcPr>
            <w:tcW w:w="6662" w:type="dxa"/>
          </w:tcPr>
          <w:p w14:paraId="7427F3A5" w14:textId="77777777" w:rsidR="00295C6D" w:rsidRPr="00A5626D" w:rsidRDefault="00295C6D" w:rsidP="00E31AE6">
            <w:pPr>
              <w:tabs>
                <w:tab w:val="left" w:pos="1134"/>
                <w:tab w:val="left" w:pos="7938"/>
              </w:tabs>
              <w:spacing w:before="120" w:after="120"/>
              <w:ind w:firstLine="456"/>
              <w:jc w:val="both"/>
              <w:rPr>
                <w:rFonts w:ascii="Garamond" w:hAnsi="Garamond" w:cstheme="minorHAnsi"/>
                <w:sz w:val="22"/>
                <w:szCs w:val="22"/>
              </w:rPr>
            </w:pPr>
            <w:r w:rsidRPr="00A5626D">
              <w:rPr>
                <w:rFonts w:ascii="Garamond" w:hAnsi="Garamond" w:cstheme="minorHAnsi"/>
                <w:sz w:val="22"/>
                <w:szCs w:val="22"/>
              </w:rPr>
              <w:t>&lt;delivery-</w:t>
            </w:r>
            <w:r w:rsidRPr="00A5626D">
              <w:rPr>
                <w:rFonts w:ascii="Garamond" w:hAnsi="Garamond" w:cstheme="minorHAnsi"/>
                <w:sz w:val="22"/>
                <w:szCs w:val="22"/>
                <w:lang w:val="en-US"/>
              </w:rPr>
              <w:t>point</w:t>
            </w:r>
            <w:r w:rsidRPr="00A5626D">
              <w:rPr>
                <w:rFonts w:ascii="Garamond" w:hAnsi="Garamond" w:cstheme="minorHAnsi"/>
                <w:sz w:val="22"/>
                <w:szCs w:val="22"/>
              </w:rPr>
              <w:t>&gt;</w:t>
            </w:r>
          </w:p>
          <w:p w14:paraId="3BBAF4C8" w14:textId="77777777" w:rsidR="00295C6D" w:rsidRPr="00A5626D" w:rsidRDefault="00295C6D" w:rsidP="00E31AE6">
            <w:pPr>
              <w:tabs>
                <w:tab w:val="left" w:pos="1134"/>
                <w:tab w:val="left" w:pos="7938"/>
              </w:tabs>
              <w:spacing w:before="120" w:after="120"/>
              <w:ind w:firstLine="456"/>
              <w:jc w:val="both"/>
              <w:rPr>
                <w:rFonts w:ascii="Garamond" w:hAnsi="Garamond" w:cstheme="minorHAnsi"/>
                <w:sz w:val="22"/>
                <w:szCs w:val="22"/>
              </w:rPr>
            </w:pPr>
            <w:r w:rsidRPr="00A5626D">
              <w:rPr>
                <w:rFonts w:ascii="Garamond" w:hAnsi="Garamond" w:cstheme="minorHAnsi"/>
                <w:sz w:val="22"/>
                <w:szCs w:val="22"/>
              </w:rPr>
              <w:t>Элемент &lt;</w:t>
            </w:r>
            <w:r w:rsidRPr="00A5626D">
              <w:rPr>
                <w:rFonts w:ascii="Garamond" w:eastAsia="Calibri" w:hAnsi="Garamond" w:cstheme="minorHAnsi"/>
                <w:b/>
                <w:sz w:val="22"/>
                <w:szCs w:val="22"/>
                <w:lang w:val="en-US"/>
              </w:rPr>
              <w:t>delivery</w:t>
            </w:r>
            <w:r w:rsidRPr="00A5626D">
              <w:rPr>
                <w:rFonts w:ascii="Garamond" w:eastAsia="Calibri" w:hAnsi="Garamond" w:cstheme="minorHAnsi"/>
                <w:b/>
                <w:sz w:val="22"/>
                <w:szCs w:val="22"/>
              </w:rPr>
              <w:t>-</w:t>
            </w:r>
            <w:r w:rsidRPr="00A5626D">
              <w:rPr>
                <w:rFonts w:ascii="Garamond" w:eastAsia="Calibri" w:hAnsi="Garamond" w:cstheme="minorHAnsi"/>
                <w:b/>
                <w:sz w:val="22"/>
                <w:szCs w:val="22"/>
                <w:lang w:val="en-US"/>
              </w:rPr>
              <w:t>point</w:t>
            </w:r>
            <w:r w:rsidRPr="00A5626D">
              <w:rPr>
                <w:rFonts w:ascii="Garamond" w:hAnsi="Garamond" w:cstheme="minorHAnsi"/>
                <w:sz w:val="22"/>
                <w:szCs w:val="22"/>
              </w:rPr>
              <w:t xml:space="preserve">&gt; </w:t>
            </w:r>
            <w:r w:rsidRPr="00A5626D">
              <w:rPr>
                <w:rFonts w:ascii="Garamond" w:hAnsi="Garamond" w:cstheme="minorHAnsi"/>
                <w:sz w:val="22"/>
                <w:szCs w:val="22"/>
                <w:lang w:val="en-US"/>
              </w:rPr>
              <w:t>c</w:t>
            </w:r>
            <w:r w:rsidRPr="00A5626D">
              <w:rPr>
                <w:rFonts w:ascii="Garamond" w:hAnsi="Garamond" w:cstheme="minorHAnsi"/>
                <w:sz w:val="22"/>
                <w:szCs w:val="22"/>
              </w:rPr>
              <w:t>одержит информацию по точке поставки.</w:t>
            </w:r>
          </w:p>
          <w:p w14:paraId="0E4D6F9B" w14:textId="77777777" w:rsidR="00295C6D" w:rsidRPr="00A5626D" w:rsidRDefault="00295C6D" w:rsidP="00E31AE6">
            <w:pPr>
              <w:widowControl w:val="0"/>
              <w:tabs>
                <w:tab w:val="left" w:pos="1134"/>
                <w:tab w:val="left" w:pos="7938"/>
              </w:tabs>
              <w:autoSpaceDE w:val="0"/>
              <w:autoSpaceDN w:val="0"/>
              <w:adjustRightInd w:val="0"/>
              <w:spacing w:before="60" w:after="60" w:line="276" w:lineRule="auto"/>
              <w:ind w:firstLine="456"/>
              <w:jc w:val="both"/>
              <w:rPr>
                <w:rFonts w:ascii="Garamond" w:hAnsi="Garamond" w:cstheme="minorHAnsi"/>
                <w:sz w:val="22"/>
                <w:szCs w:val="22"/>
              </w:rPr>
            </w:pPr>
            <w:r w:rsidRPr="00A5626D">
              <w:rPr>
                <w:rFonts w:ascii="Garamond" w:hAnsi="Garamond" w:cstheme="minorHAnsi"/>
                <w:bCs/>
                <w:sz w:val="22"/>
                <w:szCs w:val="22"/>
              </w:rPr>
              <w:t>Обязательный элемент</w:t>
            </w:r>
            <w:r w:rsidRPr="00A5626D">
              <w:rPr>
                <w:rFonts w:ascii="Garamond" w:hAnsi="Garamond" w:cstheme="minorHAnsi"/>
                <w:sz w:val="22"/>
                <w:szCs w:val="22"/>
              </w:rPr>
              <w:t>. Количество элементов &lt;</w:t>
            </w:r>
            <w:r w:rsidRPr="00A5626D">
              <w:rPr>
                <w:rFonts w:ascii="Garamond" w:eastAsia="Calibri" w:hAnsi="Garamond" w:cstheme="minorHAnsi"/>
                <w:b/>
                <w:sz w:val="22"/>
                <w:szCs w:val="22"/>
                <w:lang w:val="en-US"/>
              </w:rPr>
              <w:t>delivery</w:t>
            </w:r>
            <w:r w:rsidRPr="00A5626D">
              <w:rPr>
                <w:rFonts w:ascii="Garamond" w:eastAsia="Calibri" w:hAnsi="Garamond" w:cstheme="minorHAnsi"/>
                <w:b/>
                <w:sz w:val="22"/>
                <w:szCs w:val="22"/>
              </w:rPr>
              <w:t>-</w:t>
            </w:r>
            <w:r w:rsidRPr="00A5626D">
              <w:rPr>
                <w:rFonts w:ascii="Garamond" w:eastAsia="Calibri" w:hAnsi="Garamond" w:cstheme="minorHAnsi"/>
                <w:b/>
                <w:sz w:val="22"/>
                <w:szCs w:val="22"/>
                <w:lang w:val="en-US"/>
              </w:rPr>
              <w:t>point</w:t>
            </w:r>
            <w:r w:rsidRPr="00A5626D">
              <w:rPr>
                <w:rFonts w:ascii="Garamond" w:hAnsi="Garamond" w:cstheme="minorHAnsi"/>
                <w:sz w:val="22"/>
                <w:szCs w:val="22"/>
              </w:rPr>
              <w:t>&gt; должно соответствовать суммарному количеству точек поставки и</w:t>
            </w:r>
            <w:r w:rsidRPr="00A5626D">
              <w:rPr>
                <w:rFonts w:ascii="Garamond" w:hAnsi="Garamond" w:cstheme="minorHAnsi"/>
                <w:bCs/>
                <w:sz w:val="22"/>
                <w:szCs w:val="22"/>
              </w:rPr>
              <w:t xml:space="preserve"> групповых точек</w:t>
            </w:r>
            <w:r w:rsidRPr="00A5626D">
              <w:rPr>
                <w:rFonts w:ascii="Garamond" w:hAnsi="Garamond" w:cstheme="minorHAnsi"/>
                <w:sz w:val="22"/>
                <w:szCs w:val="22"/>
              </w:rPr>
              <w:t xml:space="preserve"> поставки</w:t>
            </w:r>
            <w:r w:rsidRPr="00A5626D">
              <w:rPr>
                <w:rFonts w:ascii="Garamond" w:hAnsi="Garamond" w:cstheme="minorHAnsi"/>
                <w:bCs/>
                <w:sz w:val="22"/>
                <w:szCs w:val="22"/>
              </w:rPr>
              <w:t>, представленных в сечении или ГТП генерации</w:t>
            </w:r>
            <w:r w:rsidRPr="00A5626D">
              <w:rPr>
                <w:rFonts w:ascii="Garamond" w:hAnsi="Garamond" w:cstheme="minorHAnsi"/>
                <w:sz w:val="22"/>
                <w:szCs w:val="22"/>
              </w:rPr>
              <w:t>.</w:t>
            </w:r>
          </w:p>
          <w:p w14:paraId="4BBF43B5" w14:textId="77777777" w:rsidR="00295C6D" w:rsidRPr="00A5626D" w:rsidRDefault="00295C6D" w:rsidP="00E31AE6">
            <w:pPr>
              <w:tabs>
                <w:tab w:val="left" w:pos="1134"/>
                <w:tab w:val="left" w:pos="7938"/>
              </w:tabs>
              <w:spacing w:before="120" w:after="120"/>
              <w:ind w:firstLine="456"/>
              <w:jc w:val="both"/>
              <w:rPr>
                <w:rFonts w:ascii="Garamond" w:hAnsi="Garamond" w:cstheme="minorHAnsi"/>
                <w:sz w:val="22"/>
                <w:szCs w:val="22"/>
              </w:rPr>
            </w:pPr>
            <w:r w:rsidRPr="00A5626D">
              <w:rPr>
                <w:rFonts w:ascii="Garamond" w:hAnsi="Garamond" w:cstheme="minorHAnsi"/>
                <w:sz w:val="22"/>
                <w:szCs w:val="22"/>
              </w:rPr>
              <w:t>Атрибутами элемента &lt;</w:t>
            </w:r>
            <w:r w:rsidRPr="00A5626D">
              <w:rPr>
                <w:rFonts w:ascii="Garamond" w:eastAsia="Calibri" w:hAnsi="Garamond" w:cstheme="minorHAnsi"/>
                <w:b/>
                <w:sz w:val="22"/>
                <w:szCs w:val="22"/>
                <w:lang w:val="en-US"/>
              </w:rPr>
              <w:t>delivery</w:t>
            </w:r>
            <w:r w:rsidRPr="00A5626D">
              <w:rPr>
                <w:rFonts w:ascii="Garamond" w:eastAsia="Calibri" w:hAnsi="Garamond" w:cstheme="minorHAnsi"/>
                <w:b/>
                <w:sz w:val="22"/>
                <w:szCs w:val="22"/>
              </w:rPr>
              <w:t>-</w:t>
            </w:r>
            <w:r w:rsidRPr="00A5626D">
              <w:rPr>
                <w:rFonts w:ascii="Garamond" w:eastAsia="Calibri" w:hAnsi="Garamond" w:cstheme="minorHAnsi"/>
                <w:b/>
                <w:sz w:val="22"/>
                <w:szCs w:val="22"/>
                <w:lang w:val="en-US"/>
              </w:rPr>
              <w:t>point</w:t>
            </w:r>
            <w:r w:rsidRPr="00A5626D">
              <w:rPr>
                <w:rFonts w:ascii="Garamond" w:hAnsi="Garamond" w:cstheme="minorHAnsi"/>
                <w:sz w:val="22"/>
                <w:szCs w:val="22"/>
              </w:rPr>
              <w:t>&gt; являются:</w:t>
            </w:r>
          </w:p>
          <w:p w14:paraId="03954BA7" w14:textId="77777777" w:rsidR="00295C6D" w:rsidRPr="00A5626D" w:rsidRDefault="00295C6D" w:rsidP="00295C6D">
            <w:pPr>
              <w:widowControl w:val="0"/>
              <w:numPr>
                <w:ilvl w:val="0"/>
                <w:numId w:val="240"/>
              </w:numPr>
              <w:tabs>
                <w:tab w:val="left" w:pos="1134"/>
                <w:tab w:val="left" w:pos="7938"/>
              </w:tabs>
              <w:suppressAutoHyphens w:val="0"/>
              <w:autoSpaceDE w:val="0"/>
              <w:autoSpaceDN w:val="0"/>
              <w:adjustRightInd w:val="0"/>
              <w:spacing w:before="60" w:after="60"/>
              <w:ind w:left="0" w:firstLine="456"/>
              <w:jc w:val="both"/>
              <w:rPr>
                <w:rFonts w:ascii="Garamond" w:hAnsi="Garamond" w:cstheme="minorHAnsi"/>
                <w:sz w:val="22"/>
                <w:szCs w:val="22"/>
              </w:rPr>
            </w:pPr>
            <w:r w:rsidRPr="00A5626D">
              <w:rPr>
                <w:rFonts w:ascii="Garamond" w:hAnsi="Garamond" w:cstheme="minorHAnsi"/>
                <w:sz w:val="22"/>
                <w:szCs w:val="22"/>
                <w:lang w:val="en-US"/>
              </w:rPr>
              <w:t>id</w:t>
            </w:r>
            <w:r w:rsidRPr="00A5626D">
              <w:rPr>
                <w:rFonts w:ascii="Garamond" w:hAnsi="Garamond" w:cstheme="minorHAnsi"/>
                <w:sz w:val="22"/>
                <w:szCs w:val="22"/>
              </w:rPr>
              <w:t>-</w:t>
            </w:r>
            <w:r w:rsidRPr="00A5626D">
              <w:rPr>
                <w:rFonts w:ascii="Garamond" w:hAnsi="Garamond" w:cstheme="minorHAnsi"/>
                <w:sz w:val="22"/>
                <w:szCs w:val="22"/>
                <w:lang w:val="en-US"/>
              </w:rPr>
              <w:t>delivery</w:t>
            </w:r>
            <w:r w:rsidRPr="00A5626D">
              <w:rPr>
                <w:rFonts w:ascii="Garamond" w:hAnsi="Garamond" w:cstheme="minorHAnsi"/>
                <w:sz w:val="22"/>
                <w:szCs w:val="22"/>
              </w:rPr>
              <w:t>-</w:t>
            </w:r>
            <w:r w:rsidRPr="00A5626D">
              <w:rPr>
                <w:rFonts w:ascii="Garamond" w:hAnsi="Garamond" w:cstheme="minorHAnsi"/>
                <w:sz w:val="22"/>
                <w:szCs w:val="22"/>
                <w:lang w:val="en-US"/>
              </w:rPr>
              <w:t>point</w:t>
            </w:r>
            <w:r w:rsidRPr="00A5626D">
              <w:rPr>
                <w:rFonts w:ascii="Garamond" w:hAnsi="Garamond" w:cstheme="minorHAnsi"/>
                <w:sz w:val="22"/>
                <w:szCs w:val="22"/>
              </w:rPr>
              <w:t xml:space="preserve"> – внутренний идентификатор точки поставки. Число до 4 знаков (1, 01, 001 и 0001 считаются одинаковыми идентификаторами). Является обязательным атрибутом;</w:t>
            </w:r>
          </w:p>
          <w:p w14:paraId="1183F16E" w14:textId="77777777" w:rsidR="00295C6D" w:rsidRPr="00A5626D" w:rsidRDefault="00295C6D" w:rsidP="00295C6D">
            <w:pPr>
              <w:widowControl w:val="0"/>
              <w:numPr>
                <w:ilvl w:val="0"/>
                <w:numId w:val="240"/>
              </w:numPr>
              <w:tabs>
                <w:tab w:val="left" w:pos="1134"/>
                <w:tab w:val="left" w:pos="7938"/>
              </w:tabs>
              <w:suppressAutoHyphens w:val="0"/>
              <w:autoSpaceDE w:val="0"/>
              <w:autoSpaceDN w:val="0"/>
              <w:adjustRightInd w:val="0"/>
              <w:spacing w:before="60" w:after="60"/>
              <w:ind w:left="0" w:firstLine="456"/>
              <w:jc w:val="both"/>
              <w:rPr>
                <w:rFonts w:ascii="Garamond" w:eastAsia="MS Mincho" w:hAnsi="Garamond" w:cstheme="minorHAnsi"/>
                <w:sz w:val="22"/>
                <w:szCs w:val="22"/>
              </w:rPr>
            </w:pPr>
            <w:r w:rsidRPr="00A5626D">
              <w:rPr>
                <w:rFonts w:ascii="Garamond" w:hAnsi="Garamond" w:cstheme="minorHAnsi"/>
                <w:sz w:val="22"/>
                <w:szCs w:val="22"/>
                <w:lang w:val="en-US"/>
              </w:rPr>
              <w:t>guid</w:t>
            </w:r>
            <w:r w:rsidRPr="00A5626D">
              <w:rPr>
                <w:rFonts w:ascii="Garamond" w:hAnsi="Garamond" w:cstheme="minorHAnsi"/>
                <w:sz w:val="22"/>
                <w:szCs w:val="22"/>
              </w:rPr>
              <w:t xml:space="preserve"> –</w:t>
            </w:r>
            <w:r w:rsidRPr="00A5626D">
              <w:rPr>
                <w:rFonts w:ascii="Garamond" w:eastAsia="MS Mincho" w:hAnsi="Garamond" w:cstheme="minorHAnsi"/>
                <w:sz w:val="22"/>
                <w:szCs w:val="22"/>
              </w:rPr>
              <w:t xml:space="preserve"> уникальный идентификатор ТП, присваиваемый системой, сформировавшей макет 60000. Текстовое поле с 36 символами. </w:t>
            </w:r>
            <w:r w:rsidRPr="00A5626D">
              <w:rPr>
                <w:rFonts w:ascii="Garamond" w:hAnsi="Garamond" w:cstheme="minorHAnsi"/>
                <w:sz w:val="22"/>
                <w:szCs w:val="22"/>
              </w:rPr>
              <w:t>Является обязательным атрибутом;</w:t>
            </w:r>
          </w:p>
          <w:p w14:paraId="0DD1BF70" w14:textId="77777777" w:rsidR="00295C6D" w:rsidRPr="00A5626D" w:rsidRDefault="00295C6D" w:rsidP="00295C6D">
            <w:pPr>
              <w:widowControl w:val="0"/>
              <w:numPr>
                <w:ilvl w:val="0"/>
                <w:numId w:val="240"/>
              </w:numPr>
              <w:tabs>
                <w:tab w:val="left" w:pos="1134"/>
                <w:tab w:val="left" w:pos="7938"/>
              </w:tabs>
              <w:suppressAutoHyphens w:val="0"/>
              <w:autoSpaceDE w:val="0"/>
              <w:autoSpaceDN w:val="0"/>
              <w:adjustRightInd w:val="0"/>
              <w:spacing w:before="60" w:after="60"/>
              <w:ind w:left="0" w:firstLine="456"/>
              <w:jc w:val="both"/>
              <w:rPr>
                <w:rFonts w:ascii="Garamond" w:hAnsi="Garamond" w:cstheme="minorHAnsi"/>
                <w:sz w:val="22"/>
                <w:szCs w:val="22"/>
              </w:rPr>
            </w:pPr>
            <w:r w:rsidRPr="00A5626D">
              <w:rPr>
                <w:rFonts w:ascii="Garamond" w:hAnsi="Garamond" w:cstheme="minorHAnsi"/>
                <w:sz w:val="22"/>
                <w:szCs w:val="22"/>
                <w:lang w:val="en-US"/>
              </w:rPr>
              <w:t>is</w:t>
            </w:r>
            <w:r w:rsidRPr="00A5626D">
              <w:rPr>
                <w:rFonts w:ascii="Garamond" w:hAnsi="Garamond" w:cstheme="minorHAnsi"/>
                <w:sz w:val="22"/>
                <w:szCs w:val="22"/>
              </w:rPr>
              <w:t>-</w:t>
            </w:r>
            <w:r w:rsidRPr="00A5626D">
              <w:rPr>
                <w:rFonts w:ascii="Garamond" w:hAnsi="Garamond" w:cstheme="minorHAnsi"/>
                <w:sz w:val="22"/>
                <w:szCs w:val="22"/>
                <w:lang w:val="en-US"/>
              </w:rPr>
              <w:t>group</w:t>
            </w:r>
            <w:r w:rsidRPr="00A5626D">
              <w:rPr>
                <w:rFonts w:ascii="Garamond" w:hAnsi="Garamond" w:cstheme="minorHAnsi"/>
                <w:sz w:val="22"/>
                <w:szCs w:val="22"/>
              </w:rPr>
              <w:t>-</w:t>
            </w:r>
            <w:r w:rsidRPr="00A5626D">
              <w:rPr>
                <w:rFonts w:ascii="Garamond" w:hAnsi="Garamond" w:cstheme="minorHAnsi"/>
                <w:sz w:val="22"/>
                <w:szCs w:val="22"/>
                <w:lang w:val="en-US"/>
              </w:rPr>
              <w:t>delivery</w:t>
            </w:r>
            <w:r w:rsidRPr="00A5626D">
              <w:rPr>
                <w:rFonts w:ascii="Garamond" w:hAnsi="Garamond" w:cstheme="minorHAnsi"/>
                <w:sz w:val="22"/>
                <w:szCs w:val="22"/>
              </w:rPr>
              <w:t>-</w:t>
            </w:r>
            <w:r w:rsidRPr="00A5626D">
              <w:rPr>
                <w:rFonts w:ascii="Garamond" w:hAnsi="Garamond" w:cstheme="minorHAnsi"/>
                <w:sz w:val="22"/>
                <w:szCs w:val="22"/>
                <w:lang w:val="en-US"/>
              </w:rPr>
              <w:t>point</w:t>
            </w:r>
            <w:r w:rsidRPr="00A5626D">
              <w:rPr>
                <w:rFonts w:ascii="Garamond" w:hAnsi="Garamond" w:cstheme="minorHAnsi"/>
                <w:sz w:val="22"/>
                <w:szCs w:val="22"/>
              </w:rPr>
              <w:t xml:space="preserve"> – признак того, что ТП является групповой. Может принимать значения: true, если точка групповая, </w:t>
            </w:r>
            <w:r w:rsidRPr="00A5626D">
              <w:rPr>
                <w:rFonts w:ascii="Garamond" w:hAnsi="Garamond" w:cstheme="minorHAnsi"/>
                <w:sz w:val="22"/>
                <w:szCs w:val="22"/>
              </w:rPr>
              <w:lastRenderedPageBreak/>
              <w:t>false, если точка негрупповая. Является обязательным атрибутом.</w:t>
            </w:r>
          </w:p>
          <w:p w14:paraId="42A9E130" w14:textId="77777777" w:rsidR="00295C6D" w:rsidRPr="00A5626D" w:rsidRDefault="00295C6D" w:rsidP="00E31AE6">
            <w:pPr>
              <w:widowControl w:val="0"/>
              <w:tabs>
                <w:tab w:val="left" w:pos="1134"/>
                <w:tab w:val="left" w:pos="7938"/>
              </w:tabs>
              <w:autoSpaceDE w:val="0"/>
              <w:autoSpaceDN w:val="0"/>
              <w:adjustRightInd w:val="0"/>
              <w:spacing w:before="60" w:after="60"/>
              <w:ind w:firstLine="456"/>
              <w:jc w:val="both"/>
              <w:rPr>
                <w:rFonts w:ascii="Garamond" w:hAnsi="Garamond" w:cstheme="minorHAnsi"/>
                <w:sz w:val="22"/>
                <w:szCs w:val="22"/>
              </w:rPr>
            </w:pPr>
            <w:r w:rsidRPr="00A5626D">
              <w:rPr>
                <w:rFonts w:ascii="Garamond" w:hAnsi="Garamond" w:cstheme="minorHAnsi"/>
                <w:sz w:val="22"/>
                <w:szCs w:val="22"/>
              </w:rPr>
              <w:t xml:space="preserve">Если признак равен </w:t>
            </w:r>
            <w:r w:rsidRPr="00A5626D">
              <w:rPr>
                <w:rFonts w:ascii="Garamond" w:hAnsi="Garamond" w:cstheme="minorHAnsi"/>
                <w:sz w:val="22"/>
                <w:szCs w:val="22"/>
                <w:lang w:val="en-US"/>
              </w:rPr>
              <w:t>true</w:t>
            </w:r>
            <w:r w:rsidRPr="00A5626D">
              <w:rPr>
                <w:rFonts w:ascii="Garamond" w:hAnsi="Garamond" w:cstheme="minorHAnsi"/>
                <w:sz w:val="22"/>
                <w:szCs w:val="22"/>
              </w:rPr>
              <w:t xml:space="preserve">, то атрибуты </w:t>
            </w:r>
            <w:r w:rsidRPr="00A5626D">
              <w:rPr>
                <w:rFonts w:ascii="Garamond" w:hAnsi="Garamond" w:cstheme="minorHAnsi"/>
                <w:sz w:val="22"/>
                <w:szCs w:val="22"/>
                <w:lang w:val="en-US"/>
              </w:rPr>
              <w:t>id</w:t>
            </w:r>
            <w:r w:rsidRPr="00A5626D">
              <w:rPr>
                <w:rFonts w:ascii="Garamond" w:hAnsi="Garamond" w:cstheme="minorHAnsi"/>
                <w:sz w:val="22"/>
                <w:szCs w:val="22"/>
              </w:rPr>
              <w:t>-</w:t>
            </w:r>
            <w:r w:rsidRPr="00A5626D">
              <w:rPr>
                <w:rFonts w:ascii="Garamond" w:hAnsi="Garamond" w:cstheme="minorHAnsi"/>
                <w:sz w:val="22"/>
                <w:szCs w:val="22"/>
                <w:lang w:val="en-US"/>
              </w:rPr>
              <w:t>power</w:t>
            </w:r>
            <w:r w:rsidRPr="00A5626D">
              <w:rPr>
                <w:rFonts w:ascii="Garamond" w:hAnsi="Garamond" w:cstheme="minorHAnsi"/>
                <w:sz w:val="22"/>
                <w:szCs w:val="22"/>
              </w:rPr>
              <w:t>-</w:t>
            </w:r>
            <w:r w:rsidRPr="00A5626D">
              <w:rPr>
                <w:rFonts w:ascii="Garamond" w:hAnsi="Garamond" w:cstheme="minorHAnsi"/>
                <w:sz w:val="22"/>
                <w:szCs w:val="22"/>
                <w:lang w:val="en-US"/>
              </w:rPr>
              <w:t>object</w:t>
            </w:r>
            <w:r w:rsidRPr="00A5626D">
              <w:rPr>
                <w:rFonts w:ascii="Garamond" w:hAnsi="Garamond" w:cstheme="minorHAnsi"/>
                <w:sz w:val="22"/>
                <w:szCs w:val="22"/>
              </w:rPr>
              <w:t xml:space="preserve">, </w:t>
            </w:r>
            <w:r w:rsidRPr="00A5626D">
              <w:rPr>
                <w:rFonts w:ascii="Garamond" w:hAnsi="Garamond" w:cstheme="minorHAnsi"/>
                <w:sz w:val="22"/>
                <w:szCs w:val="22"/>
                <w:lang w:val="en-US"/>
              </w:rPr>
              <w:t>method</w:t>
            </w:r>
            <w:r w:rsidRPr="00A5626D">
              <w:rPr>
                <w:rFonts w:ascii="Garamond" w:hAnsi="Garamond" w:cstheme="minorHAnsi"/>
                <w:sz w:val="22"/>
                <w:szCs w:val="22"/>
              </w:rPr>
              <w:t xml:space="preserve">, </w:t>
            </w:r>
            <w:r w:rsidRPr="00A5626D">
              <w:rPr>
                <w:rFonts w:ascii="Garamond" w:hAnsi="Garamond" w:cstheme="minorHAnsi"/>
                <w:sz w:val="22"/>
                <w:szCs w:val="22"/>
                <w:lang w:val="en-US"/>
              </w:rPr>
              <w:t>schemanum</w:t>
            </w:r>
            <w:r w:rsidRPr="00A5626D">
              <w:rPr>
                <w:rFonts w:ascii="Garamond" w:hAnsi="Garamond" w:cstheme="minorHAnsi"/>
                <w:sz w:val="22"/>
                <w:szCs w:val="22"/>
              </w:rPr>
              <w:t xml:space="preserve">, </w:t>
            </w:r>
            <w:r w:rsidRPr="00A5626D">
              <w:rPr>
                <w:rFonts w:ascii="Garamond" w:hAnsi="Garamond" w:cstheme="minorHAnsi"/>
                <w:sz w:val="22"/>
                <w:szCs w:val="22"/>
                <w:lang w:val="en-US"/>
              </w:rPr>
              <w:t>power</w:t>
            </w:r>
            <w:r w:rsidRPr="00A5626D">
              <w:rPr>
                <w:rFonts w:ascii="Garamond" w:hAnsi="Garamond" w:cstheme="minorHAnsi"/>
                <w:sz w:val="22"/>
                <w:szCs w:val="22"/>
              </w:rPr>
              <w:t xml:space="preserve">, point-voltage не обязательны к заполнению, а элемент </w:t>
            </w:r>
            <w:r w:rsidRPr="00A5626D">
              <w:rPr>
                <w:rFonts w:ascii="Garamond" w:eastAsia="Calibri" w:hAnsi="Garamond" w:cstheme="minorHAnsi"/>
                <w:sz w:val="22"/>
                <w:szCs w:val="22"/>
              </w:rPr>
              <w:t>&lt;</w:t>
            </w:r>
            <w:r w:rsidRPr="00A5626D">
              <w:rPr>
                <w:rFonts w:ascii="Garamond" w:eastAsia="Calibri" w:hAnsi="Garamond" w:cstheme="minorHAnsi"/>
                <w:b/>
                <w:sz w:val="22"/>
                <w:szCs w:val="22"/>
                <w:lang w:val="en-US"/>
              </w:rPr>
              <w:t>group</w:t>
            </w:r>
            <w:r w:rsidRPr="00A5626D">
              <w:rPr>
                <w:rFonts w:ascii="Garamond" w:eastAsia="Calibri" w:hAnsi="Garamond" w:cstheme="minorHAnsi"/>
                <w:b/>
                <w:sz w:val="22"/>
                <w:szCs w:val="22"/>
              </w:rPr>
              <w:t>-</w:t>
            </w:r>
            <w:r w:rsidRPr="00A5626D">
              <w:rPr>
                <w:rFonts w:ascii="Garamond" w:eastAsia="Calibri" w:hAnsi="Garamond" w:cstheme="minorHAnsi"/>
                <w:b/>
                <w:sz w:val="22"/>
                <w:szCs w:val="22"/>
                <w:lang w:val="en-US"/>
              </w:rPr>
              <w:t>delivery</w:t>
            </w:r>
            <w:r w:rsidRPr="00A5626D">
              <w:rPr>
                <w:rFonts w:ascii="Garamond" w:eastAsia="Calibri" w:hAnsi="Garamond" w:cstheme="minorHAnsi"/>
                <w:b/>
                <w:sz w:val="22"/>
                <w:szCs w:val="22"/>
              </w:rPr>
              <w:t>-</w:t>
            </w:r>
            <w:r w:rsidRPr="00A5626D">
              <w:rPr>
                <w:rFonts w:ascii="Garamond" w:eastAsia="Calibri" w:hAnsi="Garamond" w:cstheme="minorHAnsi"/>
                <w:b/>
                <w:sz w:val="22"/>
                <w:szCs w:val="22"/>
                <w:lang w:val="en-US"/>
              </w:rPr>
              <w:t>point</w:t>
            </w:r>
            <w:r w:rsidRPr="00A5626D">
              <w:rPr>
                <w:rFonts w:ascii="Garamond" w:eastAsia="Calibri" w:hAnsi="Garamond" w:cstheme="minorHAnsi"/>
                <w:b/>
                <w:sz w:val="22"/>
                <w:szCs w:val="22"/>
              </w:rPr>
              <w:t>-</w:t>
            </w:r>
            <w:r w:rsidRPr="00A5626D">
              <w:rPr>
                <w:rFonts w:ascii="Garamond" w:eastAsia="Calibri" w:hAnsi="Garamond" w:cstheme="minorHAnsi"/>
                <w:b/>
                <w:sz w:val="22"/>
                <w:szCs w:val="22"/>
                <w:lang w:val="en-US"/>
              </w:rPr>
              <w:t>composition</w:t>
            </w:r>
            <w:r w:rsidRPr="00A5626D">
              <w:rPr>
                <w:rFonts w:ascii="Garamond" w:eastAsia="Calibri" w:hAnsi="Garamond" w:cstheme="minorHAnsi"/>
                <w:sz w:val="22"/>
                <w:szCs w:val="22"/>
              </w:rPr>
              <w:t>&gt;</w:t>
            </w:r>
            <w:r w:rsidRPr="00A5626D">
              <w:rPr>
                <w:rFonts w:ascii="Garamond" w:hAnsi="Garamond" w:cstheme="minorHAnsi"/>
                <w:sz w:val="22"/>
                <w:szCs w:val="22"/>
              </w:rPr>
              <w:t xml:space="preserve"> в элементе &lt;</w:t>
            </w:r>
            <w:r w:rsidRPr="00A5626D">
              <w:rPr>
                <w:rFonts w:ascii="Garamond" w:hAnsi="Garamond" w:cstheme="minorHAnsi"/>
                <w:b/>
                <w:sz w:val="22"/>
                <w:szCs w:val="22"/>
                <w:lang w:val="en-US"/>
              </w:rPr>
              <w:t>links</w:t>
            </w:r>
            <w:r w:rsidRPr="00A5626D">
              <w:rPr>
                <w:rFonts w:ascii="Garamond" w:hAnsi="Garamond" w:cstheme="minorHAnsi"/>
                <w:sz w:val="22"/>
                <w:szCs w:val="22"/>
              </w:rPr>
              <w:t>&gt; обязателен к заполнению;</w:t>
            </w:r>
          </w:p>
          <w:p w14:paraId="0A30BC71" w14:textId="77777777" w:rsidR="00295C6D" w:rsidRPr="00A5626D" w:rsidRDefault="00295C6D" w:rsidP="00295C6D">
            <w:pPr>
              <w:widowControl w:val="0"/>
              <w:numPr>
                <w:ilvl w:val="0"/>
                <w:numId w:val="240"/>
              </w:numPr>
              <w:tabs>
                <w:tab w:val="left" w:pos="1134"/>
                <w:tab w:val="left" w:pos="7938"/>
              </w:tabs>
              <w:suppressAutoHyphens w:val="0"/>
              <w:autoSpaceDE w:val="0"/>
              <w:autoSpaceDN w:val="0"/>
              <w:adjustRightInd w:val="0"/>
              <w:spacing w:before="60" w:after="60"/>
              <w:ind w:left="0" w:firstLine="456"/>
              <w:jc w:val="both"/>
              <w:rPr>
                <w:rFonts w:ascii="Garamond" w:hAnsi="Garamond" w:cstheme="minorHAnsi"/>
                <w:sz w:val="22"/>
                <w:szCs w:val="22"/>
              </w:rPr>
            </w:pPr>
            <w:r w:rsidRPr="00A5626D">
              <w:rPr>
                <w:rFonts w:ascii="Garamond" w:hAnsi="Garamond" w:cstheme="minorHAnsi"/>
                <w:sz w:val="22"/>
                <w:szCs w:val="22"/>
                <w:lang w:val="en-US"/>
              </w:rPr>
              <w:t>is</w:t>
            </w:r>
            <w:r w:rsidRPr="00A5626D">
              <w:rPr>
                <w:rFonts w:ascii="Garamond" w:hAnsi="Garamond" w:cstheme="minorHAnsi"/>
                <w:sz w:val="22"/>
                <w:szCs w:val="22"/>
              </w:rPr>
              <w:t>-</w:t>
            </w:r>
            <w:r w:rsidRPr="00A5626D">
              <w:rPr>
                <w:rFonts w:ascii="Garamond" w:hAnsi="Garamond" w:cstheme="minorHAnsi"/>
                <w:sz w:val="22"/>
                <w:szCs w:val="22"/>
                <w:lang w:val="en-US"/>
              </w:rPr>
              <w:t>for</w:t>
            </w:r>
            <w:r w:rsidRPr="00A5626D">
              <w:rPr>
                <w:rFonts w:ascii="Garamond" w:hAnsi="Garamond" w:cstheme="minorHAnsi"/>
                <w:sz w:val="22"/>
                <w:szCs w:val="22"/>
              </w:rPr>
              <w:t>-</w:t>
            </w:r>
            <w:r w:rsidRPr="00A5626D">
              <w:rPr>
                <w:rFonts w:ascii="Garamond" w:hAnsi="Garamond" w:cstheme="minorHAnsi"/>
                <w:sz w:val="22"/>
                <w:szCs w:val="22"/>
                <w:lang w:val="en-US"/>
              </w:rPr>
              <w:t>coding</w:t>
            </w:r>
            <w:r w:rsidRPr="00A5626D">
              <w:rPr>
                <w:rFonts w:ascii="Garamond" w:hAnsi="Garamond" w:cstheme="minorHAnsi"/>
                <w:sz w:val="22"/>
                <w:szCs w:val="22"/>
                <w:lang w:bidi="en-US"/>
              </w:rPr>
              <w:t xml:space="preserve"> – признак, </w:t>
            </w:r>
            <w:r w:rsidRPr="00A5626D">
              <w:rPr>
                <w:rFonts w:ascii="Garamond" w:hAnsi="Garamond" w:cstheme="minorHAnsi"/>
                <w:sz w:val="22"/>
                <w:szCs w:val="22"/>
              </w:rPr>
              <w:t xml:space="preserve">определяющий необходимость кодирования данной ТП. Может принимать значения: </w:t>
            </w:r>
            <w:r w:rsidRPr="00A5626D">
              <w:rPr>
                <w:rFonts w:ascii="Garamond" w:hAnsi="Garamond" w:cstheme="minorHAnsi"/>
                <w:sz w:val="22"/>
                <w:szCs w:val="22"/>
                <w:lang w:val="en-US"/>
              </w:rPr>
              <w:t>true</w:t>
            </w:r>
            <w:r w:rsidRPr="00A5626D">
              <w:rPr>
                <w:rFonts w:ascii="Garamond" w:hAnsi="Garamond" w:cstheme="minorHAnsi"/>
                <w:sz w:val="22"/>
                <w:szCs w:val="22"/>
              </w:rPr>
              <w:t xml:space="preserve">, если данную ТП необходимо кодировать, </w:t>
            </w:r>
            <w:r w:rsidRPr="00A5626D">
              <w:rPr>
                <w:rFonts w:ascii="Garamond" w:hAnsi="Garamond" w:cstheme="minorHAnsi"/>
                <w:sz w:val="22"/>
                <w:szCs w:val="22"/>
                <w:lang w:val="en-US"/>
              </w:rPr>
              <w:t>false</w:t>
            </w:r>
            <w:r w:rsidRPr="00A5626D">
              <w:rPr>
                <w:rFonts w:ascii="Garamond" w:hAnsi="Garamond" w:cstheme="minorHAnsi"/>
                <w:sz w:val="22"/>
                <w:szCs w:val="22"/>
              </w:rPr>
              <w:t>, если данная ТП не предназначена для кодирования. Является обязательным атрибутом;</w:t>
            </w:r>
          </w:p>
          <w:p w14:paraId="0AB9F1E7" w14:textId="77777777" w:rsidR="00295C6D" w:rsidRPr="00A5626D" w:rsidRDefault="00295C6D" w:rsidP="00295C6D">
            <w:pPr>
              <w:widowControl w:val="0"/>
              <w:numPr>
                <w:ilvl w:val="0"/>
                <w:numId w:val="240"/>
              </w:numPr>
              <w:tabs>
                <w:tab w:val="left" w:pos="1134"/>
                <w:tab w:val="left" w:pos="7938"/>
              </w:tabs>
              <w:suppressAutoHyphens w:val="0"/>
              <w:autoSpaceDE w:val="0"/>
              <w:autoSpaceDN w:val="0"/>
              <w:adjustRightInd w:val="0"/>
              <w:spacing w:before="60" w:after="60"/>
              <w:ind w:left="0" w:firstLine="456"/>
              <w:jc w:val="both"/>
              <w:rPr>
                <w:rFonts w:ascii="Garamond" w:hAnsi="Garamond" w:cstheme="minorHAnsi"/>
                <w:sz w:val="22"/>
                <w:szCs w:val="22"/>
              </w:rPr>
            </w:pPr>
            <w:r w:rsidRPr="00A5626D">
              <w:rPr>
                <w:rFonts w:ascii="Garamond" w:hAnsi="Garamond" w:cstheme="minorHAnsi"/>
                <w:sz w:val="22"/>
                <w:szCs w:val="22"/>
              </w:rPr>
              <w:t>ats-code – уникальный код, присвоенный КО точке поставки. Число из 15 знаков. Является обязательным атрибутом для точек, предназначенных для кодирования;</w:t>
            </w:r>
          </w:p>
          <w:p w14:paraId="1A81DCE6" w14:textId="77777777" w:rsidR="00295C6D" w:rsidRPr="00A5626D" w:rsidRDefault="00295C6D" w:rsidP="00295C6D">
            <w:pPr>
              <w:widowControl w:val="0"/>
              <w:numPr>
                <w:ilvl w:val="0"/>
                <w:numId w:val="240"/>
              </w:numPr>
              <w:tabs>
                <w:tab w:val="left" w:pos="1134"/>
                <w:tab w:val="left" w:pos="7938"/>
              </w:tabs>
              <w:suppressAutoHyphens w:val="0"/>
              <w:autoSpaceDE w:val="0"/>
              <w:autoSpaceDN w:val="0"/>
              <w:adjustRightInd w:val="0"/>
              <w:spacing w:before="60" w:after="60"/>
              <w:ind w:left="0" w:firstLine="456"/>
              <w:jc w:val="both"/>
              <w:rPr>
                <w:rFonts w:ascii="Garamond" w:hAnsi="Garamond" w:cstheme="minorHAnsi"/>
                <w:sz w:val="22"/>
                <w:szCs w:val="22"/>
              </w:rPr>
            </w:pPr>
            <w:r w:rsidRPr="00A5626D">
              <w:rPr>
                <w:rFonts w:ascii="Garamond" w:hAnsi="Garamond" w:cstheme="minorHAnsi"/>
                <w:sz w:val="22"/>
                <w:szCs w:val="22"/>
                <w:lang w:val="en-US"/>
              </w:rPr>
              <w:t>composite</w:t>
            </w:r>
            <w:r w:rsidRPr="00A5626D">
              <w:rPr>
                <w:rFonts w:ascii="Garamond" w:hAnsi="Garamond" w:cstheme="minorHAnsi"/>
                <w:sz w:val="22"/>
                <w:szCs w:val="22"/>
              </w:rPr>
              <w:t>-</w:t>
            </w:r>
            <w:r w:rsidRPr="00A5626D">
              <w:rPr>
                <w:rFonts w:ascii="Garamond" w:hAnsi="Garamond" w:cstheme="minorHAnsi"/>
                <w:sz w:val="22"/>
                <w:szCs w:val="22"/>
                <w:lang w:val="en-US"/>
              </w:rPr>
              <w:t>name</w:t>
            </w:r>
            <w:r w:rsidRPr="00A5626D">
              <w:rPr>
                <w:rFonts w:ascii="Garamond" w:hAnsi="Garamond" w:cstheme="minorHAnsi"/>
                <w:sz w:val="22"/>
                <w:szCs w:val="22"/>
              </w:rPr>
              <w:t xml:space="preserve"> – составное наименование точки. Текстовое поле не более 512 символов. Является обязательным атрибутом для групповой точки, для остальных точек не заполняется; </w:t>
            </w:r>
          </w:p>
          <w:p w14:paraId="03041CF4" w14:textId="77777777" w:rsidR="00295C6D" w:rsidRPr="00A5626D" w:rsidRDefault="00295C6D" w:rsidP="00295C6D">
            <w:pPr>
              <w:widowControl w:val="0"/>
              <w:numPr>
                <w:ilvl w:val="0"/>
                <w:numId w:val="240"/>
              </w:numPr>
              <w:tabs>
                <w:tab w:val="left" w:pos="1134"/>
                <w:tab w:val="left" w:pos="7938"/>
              </w:tabs>
              <w:suppressAutoHyphens w:val="0"/>
              <w:autoSpaceDE w:val="0"/>
              <w:autoSpaceDN w:val="0"/>
              <w:adjustRightInd w:val="0"/>
              <w:spacing w:before="60" w:after="60"/>
              <w:ind w:left="0" w:firstLine="456"/>
              <w:jc w:val="both"/>
              <w:rPr>
                <w:rFonts w:ascii="Garamond" w:hAnsi="Garamond" w:cstheme="minorHAnsi"/>
                <w:sz w:val="22"/>
                <w:szCs w:val="22"/>
              </w:rPr>
            </w:pPr>
            <w:r w:rsidRPr="00A5626D">
              <w:rPr>
                <w:rFonts w:ascii="Garamond" w:hAnsi="Garamond" w:cstheme="minorHAnsi"/>
                <w:sz w:val="22"/>
                <w:szCs w:val="22"/>
                <w:lang w:val="en-US"/>
              </w:rPr>
              <w:t>id</w:t>
            </w:r>
            <w:r w:rsidRPr="00A5626D">
              <w:rPr>
                <w:rFonts w:ascii="Garamond" w:hAnsi="Garamond" w:cstheme="minorHAnsi"/>
                <w:sz w:val="22"/>
                <w:szCs w:val="22"/>
              </w:rPr>
              <w:t>-</w:t>
            </w:r>
            <w:r w:rsidRPr="00A5626D">
              <w:rPr>
                <w:rFonts w:ascii="Garamond" w:hAnsi="Garamond" w:cstheme="minorHAnsi"/>
                <w:sz w:val="22"/>
                <w:szCs w:val="22"/>
                <w:lang w:val="en-US"/>
              </w:rPr>
              <w:t>power</w:t>
            </w:r>
            <w:r w:rsidRPr="00A5626D">
              <w:rPr>
                <w:rFonts w:ascii="Garamond" w:hAnsi="Garamond" w:cstheme="minorHAnsi"/>
                <w:sz w:val="22"/>
                <w:szCs w:val="22"/>
              </w:rPr>
              <w:t>-</w:t>
            </w:r>
            <w:r w:rsidRPr="00A5626D">
              <w:rPr>
                <w:rFonts w:ascii="Garamond" w:hAnsi="Garamond" w:cstheme="minorHAnsi"/>
                <w:sz w:val="22"/>
                <w:szCs w:val="22"/>
                <w:lang w:val="en-US"/>
              </w:rPr>
              <w:t>object</w:t>
            </w:r>
            <w:r w:rsidRPr="00A5626D">
              <w:rPr>
                <w:rFonts w:ascii="Garamond" w:hAnsi="Garamond" w:cstheme="minorHAnsi"/>
                <w:sz w:val="22"/>
                <w:szCs w:val="22"/>
              </w:rPr>
              <w:t xml:space="preserve"> – ссылка на энергообъект, на котором расположена точка поставки. Принимает значение из справочника энергообъектов (элемент &lt;</w:t>
            </w:r>
            <w:r w:rsidRPr="00A5626D">
              <w:rPr>
                <w:rFonts w:ascii="Garamond" w:hAnsi="Garamond" w:cstheme="minorHAnsi"/>
                <w:b/>
                <w:sz w:val="22"/>
                <w:szCs w:val="22"/>
                <w:lang w:val="en-US"/>
              </w:rPr>
              <w:t>power</w:t>
            </w:r>
            <w:r w:rsidRPr="00A5626D">
              <w:rPr>
                <w:rFonts w:ascii="Garamond" w:hAnsi="Garamond" w:cstheme="minorHAnsi"/>
                <w:b/>
                <w:sz w:val="22"/>
                <w:szCs w:val="22"/>
              </w:rPr>
              <w:t>-</w:t>
            </w:r>
            <w:r w:rsidRPr="00A5626D">
              <w:rPr>
                <w:rFonts w:ascii="Garamond" w:hAnsi="Garamond" w:cstheme="minorHAnsi"/>
                <w:b/>
                <w:sz w:val="22"/>
                <w:szCs w:val="22"/>
                <w:lang w:val="en-US"/>
              </w:rPr>
              <w:t>objects</w:t>
            </w:r>
            <w:r w:rsidRPr="00A5626D">
              <w:rPr>
                <w:rFonts w:ascii="Garamond" w:hAnsi="Garamond" w:cstheme="minorHAnsi"/>
                <w:sz w:val="22"/>
                <w:szCs w:val="22"/>
              </w:rPr>
              <w:t>&gt;). Является обязательным атрибутом для всех ТП, кроме групповых, для групповых точек не заполняется;</w:t>
            </w:r>
          </w:p>
          <w:p w14:paraId="4FD7755C" w14:textId="77777777" w:rsidR="00295C6D" w:rsidRPr="00A5626D" w:rsidRDefault="00295C6D" w:rsidP="00295C6D">
            <w:pPr>
              <w:widowControl w:val="0"/>
              <w:numPr>
                <w:ilvl w:val="0"/>
                <w:numId w:val="240"/>
              </w:numPr>
              <w:tabs>
                <w:tab w:val="left" w:pos="1134"/>
                <w:tab w:val="left" w:pos="7938"/>
              </w:tabs>
              <w:suppressAutoHyphens w:val="0"/>
              <w:autoSpaceDE w:val="0"/>
              <w:autoSpaceDN w:val="0"/>
              <w:adjustRightInd w:val="0"/>
              <w:spacing w:before="60" w:after="60"/>
              <w:ind w:left="0" w:firstLine="456"/>
              <w:jc w:val="both"/>
              <w:rPr>
                <w:rFonts w:ascii="Garamond" w:hAnsi="Garamond" w:cstheme="minorHAnsi"/>
                <w:sz w:val="22"/>
                <w:szCs w:val="22"/>
              </w:rPr>
            </w:pPr>
            <w:r w:rsidRPr="00A5626D">
              <w:rPr>
                <w:rFonts w:ascii="Garamond" w:hAnsi="Garamond" w:cstheme="minorHAnsi"/>
                <w:sz w:val="22"/>
                <w:szCs w:val="22"/>
              </w:rPr>
              <w:t>method – алгоритм приведения показаний незакодированных РИП к значению количества электроэнергии в точке поставки. Недопустимо заполнять поле информацией, которая присутствует в части Алгоритма в разделе &lt;</w:t>
            </w:r>
            <w:r w:rsidRPr="00A5626D">
              <w:rPr>
                <w:rFonts w:ascii="Garamond" w:hAnsi="Garamond" w:cstheme="minorHAnsi"/>
                <w:b/>
                <w:sz w:val="22"/>
                <w:szCs w:val="22"/>
              </w:rPr>
              <w:t>aup-delivery-points</w:t>
            </w:r>
            <w:r w:rsidRPr="00A5626D">
              <w:rPr>
                <w:rFonts w:ascii="Garamond" w:hAnsi="Garamond" w:cstheme="minorHAnsi"/>
                <w:sz w:val="22"/>
                <w:szCs w:val="22"/>
              </w:rPr>
              <w:t>&gt;. Текстовое поле длиной не более 250 символов. Обязательный атрибут для ТП, которые имеют незакодированные РИП. Не должен заполняться для всех остальных ТП;</w:t>
            </w:r>
          </w:p>
          <w:p w14:paraId="17BE3786" w14:textId="77777777" w:rsidR="00295C6D" w:rsidRPr="00A5626D" w:rsidRDefault="00295C6D" w:rsidP="00295C6D">
            <w:pPr>
              <w:widowControl w:val="0"/>
              <w:numPr>
                <w:ilvl w:val="0"/>
                <w:numId w:val="240"/>
              </w:numPr>
              <w:tabs>
                <w:tab w:val="left" w:pos="1134"/>
                <w:tab w:val="left" w:pos="7938"/>
              </w:tabs>
              <w:suppressAutoHyphens w:val="0"/>
              <w:autoSpaceDE w:val="0"/>
              <w:autoSpaceDN w:val="0"/>
              <w:adjustRightInd w:val="0"/>
              <w:spacing w:before="60" w:after="60"/>
              <w:ind w:left="0" w:firstLine="456"/>
              <w:jc w:val="both"/>
              <w:rPr>
                <w:rFonts w:ascii="Garamond" w:hAnsi="Garamond" w:cstheme="minorHAnsi"/>
                <w:sz w:val="22"/>
                <w:szCs w:val="22"/>
              </w:rPr>
            </w:pPr>
            <w:r w:rsidRPr="00A5626D">
              <w:rPr>
                <w:rFonts w:ascii="Garamond" w:hAnsi="Garamond" w:cstheme="minorHAnsi"/>
                <w:sz w:val="22"/>
                <w:szCs w:val="22"/>
              </w:rPr>
              <w:t>schemanum – номер точки поставки в соответствии с однолинейной схемой. Текстовое поле не более 10 символов. Обязателен к заполнению для всех ТП, кроме групповых;</w:t>
            </w:r>
          </w:p>
          <w:p w14:paraId="7764C5C6" w14:textId="77777777" w:rsidR="00295C6D" w:rsidRPr="00A5626D" w:rsidRDefault="00295C6D" w:rsidP="00295C6D">
            <w:pPr>
              <w:widowControl w:val="0"/>
              <w:numPr>
                <w:ilvl w:val="0"/>
                <w:numId w:val="240"/>
              </w:numPr>
              <w:tabs>
                <w:tab w:val="left" w:pos="1134"/>
                <w:tab w:val="left" w:pos="7938"/>
              </w:tabs>
              <w:suppressAutoHyphens w:val="0"/>
              <w:autoSpaceDE w:val="0"/>
              <w:autoSpaceDN w:val="0"/>
              <w:adjustRightInd w:val="0"/>
              <w:spacing w:before="60" w:after="60"/>
              <w:ind w:left="0" w:firstLine="456"/>
              <w:jc w:val="both"/>
              <w:rPr>
                <w:rFonts w:ascii="Garamond" w:hAnsi="Garamond" w:cstheme="minorHAnsi"/>
                <w:sz w:val="22"/>
                <w:szCs w:val="22"/>
              </w:rPr>
            </w:pPr>
            <w:r w:rsidRPr="00A5626D">
              <w:rPr>
                <w:rFonts w:ascii="Garamond" w:hAnsi="Garamond" w:cstheme="minorHAnsi"/>
                <w:sz w:val="22"/>
                <w:szCs w:val="22"/>
              </w:rPr>
              <w:t>power – значение присоединенной мощности «малой» точки поставки в В·А. Заполняется числовым значением. Не заполняется для групповых точек. Обязательный атрибут, если данная ТП или групповая ТП, в которую входит данная точка, относится к «малому» присоединению, т. е. связана хотя бы с одной ТИ, не включенной в АИИС;</w:t>
            </w:r>
          </w:p>
          <w:p w14:paraId="700442AD" w14:textId="77777777" w:rsidR="00295C6D" w:rsidRPr="00A5626D" w:rsidRDefault="00295C6D" w:rsidP="00295C6D">
            <w:pPr>
              <w:widowControl w:val="0"/>
              <w:numPr>
                <w:ilvl w:val="0"/>
                <w:numId w:val="240"/>
              </w:numPr>
              <w:tabs>
                <w:tab w:val="left" w:pos="1134"/>
                <w:tab w:val="left" w:pos="7938"/>
              </w:tabs>
              <w:suppressAutoHyphens w:val="0"/>
              <w:autoSpaceDE w:val="0"/>
              <w:autoSpaceDN w:val="0"/>
              <w:adjustRightInd w:val="0"/>
              <w:spacing w:before="60" w:after="60"/>
              <w:ind w:left="0" w:firstLine="456"/>
              <w:jc w:val="both"/>
              <w:rPr>
                <w:rFonts w:ascii="Garamond" w:hAnsi="Garamond" w:cstheme="minorHAnsi"/>
                <w:sz w:val="22"/>
                <w:szCs w:val="22"/>
              </w:rPr>
            </w:pPr>
            <w:r w:rsidRPr="00A5626D">
              <w:rPr>
                <w:rFonts w:ascii="Garamond" w:hAnsi="Garamond" w:cstheme="minorHAnsi"/>
                <w:sz w:val="22"/>
                <w:szCs w:val="22"/>
              </w:rPr>
              <w:lastRenderedPageBreak/>
              <w:t>point-voltage – уровень напряжения точки, размерность: В (вольт). Число не более 10 символов, значение «0» недопустимо. Является обязательным атрибутом, если точка является не групповой, для групповой не заполняется.</w:t>
            </w:r>
          </w:p>
          <w:p w14:paraId="6E7EC987" w14:textId="77777777" w:rsidR="00295C6D" w:rsidRPr="00A5626D" w:rsidRDefault="00295C6D" w:rsidP="00E31AE6">
            <w:pPr>
              <w:widowControl w:val="0"/>
              <w:tabs>
                <w:tab w:val="left" w:pos="1134"/>
                <w:tab w:val="left" w:pos="7938"/>
              </w:tabs>
              <w:autoSpaceDE w:val="0"/>
              <w:autoSpaceDN w:val="0"/>
              <w:adjustRightInd w:val="0"/>
              <w:spacing w:before="60" w:after="60"/>
              <w:ind w:firstLine="456"/>
              <w:jc w:val="both"/>
              <w:rPr>
                <w:rFonts w:ascii="Garamond" w:hAnsi="Garamond" w:cstheme="minorHAnsi"/>
                <w:sz w:val="22"/>
                <w:szCs w:val="22"/>
              </w:rPr>
            </w:pPr>
            <w:r w:rsidRPr="00A5626D">
              <w:rPr>
                <w:rFonts w:ascii="Garamond" w:hAnsi="Garamond" w:cstheme="minorHAnsi"/>
                <w:sz w:val="22"/>
                <w:szCs w:val="22"/>
              </w:rPr>
              <w:t xml:space="preserve">Дочерними элементами являются: </w:t>
            </w:r>
            <w:r w:rsidRPr="00A5626D">
              <w:rPr>
                <w:rFonts w:ascii="Garamond" w:hAnsi="Garamond" w:cstheme="minorHAnsi"/>
                <w:b/>
                <w:sz w:val="22"/>
                <w:szCs w:val="22"/>
              </w:rPr>
              <w:t>&lt;</w:t>
            </w:r>
            <w:r w:rsidRPr="00A5626D">
              <w:rPr>
                <w:rFonts w:ascii="Garamond" w:hAnsi="Garamond" w:cstheme="minorHAnsi"/>
                <w:b/>
                <w:sz w:val="22"/>
                <w:szCs w:val="22"/>
                <w:lang w:val="en-US"/>
              </w:rPr>
              <w:t>name</w:t>
            </w:r>
            <w:r w:rsidRPr="00A5626D">
              <w:rPr>
                <w:rFonts w:ascii="Garamond" w:hAnsi="Garamond" w:cstheme="minorHAnsi"/>
                <w:b/>
                <w:sz w:val="22"/>
                <w:szCs w:val="22"/>
              </w:rPr>
              <w:t>&gt;, &lt;</w:t>
            </w:r>
            <w:r w:rsidRPr="00A5626D">
              <w:rPr>
                <w:rFonts w:ascii="Garamond" w:hAnsi="Garamond" w:cstheme="minorHAnsi"/>
                <w:b/>
                <w:sz w:val="22"/>
                <w:szCs w:val="22"/>
                <w:lang w:val="en-US"/>
              </w:rPr>
              <w:t>comment</w:t>
            </w:r>
            <w:r w:rsidRPr="00A5626D">
              <w:rPr>
                <w:rFonts w:ascii="Garamond" w:hAnsi="Garamond" w:cstheme="minorHAnsi"/>
                <w:b/>
                <w:sz w:val="22"/>
                <w:szCs w:val="22"/>
              </w:rPr>
              <w:t>&gt;.</w:t>
            </w:r>
          </w:p>
        </w:tc>
        <w:tc>
          <w:tcPr>
            <w:tcW w:w="7088" w:type="dxa"/>
          </w:tcPr>
          <w:p w14:paraId="1106226D" w14:textId="77777777" w:rsidR="00295C6D" w:rsidRPr="00A5626D" w:rsidRDefault="00295C6D" w:rsidP="00E31AE6">
            <w:pPr>
              <w:tabs>
                <w:tab w:val="left" w:pos="1134"/>
                <w:tab w:val="left" w:pos="7938"/>
              </w:tabs>
              <w:spacing w:before="120" w:after="120"/>
              <w:ind w:firstLine="456"/>
              <w:jc w:val="both"/>
              <w:rPr>
                <w:rFonts w:ascii="Garamond" w:hAnsi="Garamond" w:cstheme="minorHAnsi"/>
                <w:sz w:val="22"/>
                <w:szCs w:val="22"/>
              </w:rPr>
            </w:pPr>
            <w:r w:rsidRPr="00A5626D">
              <w:rPr>
                <w:rFonts w:ascii="Garamond" w:hAnsi="Garamond" w:cstheme="minorHAnsi"/>
                <w:sz w:val="22"/>
                <w:szCs w:val="22"/>
              </w:rPr>
              <w:lastRenderedPageBreak/>
              <w:t>&lt;delivery-</w:t>
            </w:r>
            <w:r w:rsidRPr="00A5626D">
              <w:rPr>
                <w:rFonts w:ascii="Garamond" w:hAnsi="Garamond" w:cstheme="minorHAnsi"/>
                <w:sz w:val="22"/>
                <w:szCs w:val="22"/>
                <w:lang w:val="en-US"/>
              </w:rPr>
              <w:t>point</w:t>
            </w:r>
            <w:r w:rsidRPr="00A5626D">
              <w:rPr>
                <w:rFonts w:ascii="Garamond" w:hAnsi="Garamond" w:cstheme="minorHAnsi"/>
                <w:sz w:val="22"/>
                <w:szCs w:val="22"/>
              </w:rPr>
              <w:t>&gt;</w:t>
            </w:r>
          </w:p>
          <w:p w14:paraId="3363761B" w14:textId="77777777" w:rsidR="00295C6D" w:rsidRPr="00A5626D" w:rsidRDefault="00295C6D" w:rsidP="00E31AE6">
            <w:pPr>
              <w:tabs>
                <w:tab w:val="left" w:pos="1134"/>
                <w:tab w:val="left" w:pos="7938"/>
              </w:tabs>
              <w:spacing w:before="120" w:after="120"/>
              <w:ind w:firstLine="456"/>
              <w:jc w:val="both"/>
              <w:rPr>
                <w:rFonts w:ascii="Garamond" w:hAnsi="Garamond" w:cstheme="minorHAnsi"/>
                <w:sz w:val="22"/>
                <w:szCs w:val="22"/>
              </w:rPr>
            </w:pPr>
            <w:r w:rsidRPr="00A5626D">
              <w:rPr>
                <w:rFonts w:ascii="Garamond" w:hAnsi="Garamond" w:cstheme="minorHAnsi"/>
                <w:sz w:val="22"/>
                <w:szCs w:val="22"/>
              </w:rPr>
              <w:t>Элемент &lt;</w:t>
            </w:r>
            <w:r w:rsidRPr="00A5626D">
              <w:rPr>
                <w:rFonts w:ascii="Garamond" w:eastAsia="Calibri" w:hAnsi="Garamond" w:cstheme="minorHAnsi"/>
                <w:b/>
                <w:sz w:val="22"/>
                <w:szCs w:val="22"/>
                <w:lang w:val="en-US"/>
              </w:rPr>
              <w:t>delivery</w:t>
            </w:r>
            <w:r w:rsidRPr="00A5626D">
              <w:rPr>
                <w:rFonts w:ascii="Garamond" w:eastAsia="Calibri" w:hAnsi="Garamond" w:cstheme="minorHAnsi"/>
                <w:b/>
                <w:sz w:val="22"/>
                <w:szCs w:val="22"/>
              </w:rPr>
              <w:t>-</w:t>
            </w:r>
            <w:r w:rsidRPr="00A5626D">
              <w:rPr>
                <w:rFonts w:ascii="Garamond" w:eastAsia="Calibri" w:hAnsi="Garamond" w:cstheme="minorHAnsi"/>
                <w:b/>
                <w:sz w:val="22"/>
                <w:szCs w:val="22"/>
                <w:lang w:val="en-US"/>
              </w:rPr>
              <w:t>point</w:t>
            </w:r>
            <w:r w:rsidRPr="00A5626D">
              <w:rPr>
                <w:rFonts w:ascii="Garamond" w:hAnsi="Garamond" w:cstheme="minorHAnsi"/>
                <w:sz w:val="22"/>
                <w:szCs w:val="22"/>
              </w:rPr>
              <w:t xml:space="preserve">&gt; </w:t>
            </w:r>
            <w:r w:rsidRPr="00A5626D">
              <w:rPr>
                <w:rFonts w:ascii="Garamond" w:hAnsi="Garamond" w:cstheme="minorHAnsi"/>
                <w:sz w:val="22"/>
                <w:szCs w:val="22"/>
                <w:lang w:val="en-US"/>
              </w:rPr>
              <w:t>c</w:t>
            </w:r>
            <w:r w:rsidRPr="00A5626D">
              <w:rPr>
                <w:rFonts w:ascii="Garamond" w:hAnsi="Garamond" w:cstheme="minorHAnsi"/>
                <w:sz w:val="22"/>
                <w:szCs w:val="22"/>
              </w:rPr>
              <w:t xml:space="preserve">одержит информацию по точке поставки </w:t>
            </w:r>
            <w:r w:rsidRPr="00A5626D">
              <w:rPr>
                <w:rFonts w:ascii="Garamond" w:hAnsi="Garamond" w:cstheme="minorHAnsi"/>
                <w:sz w:val="22"/>
                <w:szCs w:val="22"/>
                <w:highlight w:val="yellow"/>
              </w:rPr>
              <w:t>(точке присоединения).</w:t>
            </w:r>
          </w:p>
          <w:p w14:paraId="09B6C0BB" w14:textId="6F0148B6" w:rsidR="00295C6D" w:rsidRPr="00A5626D" w:rsidRDefault="00295C6D" w:rsidP="00E31AE6">
            <w:pPr>
              <w:widowControl w:val="0"/>
              <w:tabs>
                <w:tab w:val="left" w:pos="1134"/>
                <w:tab w:val="left" w:pos="7938"/>
              </w:tabs>
              <w:autoSpaceDE w:val="0"/>
              <w:autoSpaceDN w:val="0"/>
              <w:adjustRightInd w:val="0"/>
              <w:spacing w:before="60" w:after="60" w:line="276" w:lineRule="auto"/>
              <w:ind w:firstLine="456"/>
              <w:jc w:val="both"/>
              <w:rPr>
                <w:rFonts w:ascii="Garamond" w:hAnsi="Garamond" w:cstheme="minorHAnsi"/>
                <w:sz w:val="22"/>
                <w:szCs w:val="22"/>
              </w:rPr>
            </w:pPr>
            <w:r w:rsidRPr="00A5626D">
              <w:rPr>
                <w:rFonts w:ascii="Garamond" w:hAnsi="Garamond" w:cstheme="minorHAnsi"/>
                <w:bCs/>
                <w:sz w:val="22"/>
                <w:szCs w:val="22"/>
              </w:rPr>
              <w:t>Обязательный элемент</w:t>
            </w:r>
            <w:r w:rsidRPr="00A5626D">
              <w:rPr>
                <w:rFonts w:ascii="Garamond" w:hAnsi="Garamond" w:cstheme="minorHAnsi"/>
                <w:sz w:val="22"/>
                <w:szCs w:val="22"/>
              </w:rPr>
              <w:t>. Количество элементов &lt;</w:t>
            </w:r>
            <w:r w:rsidRPr="00A5626D">
              <w:rPr>
                <w:rFonts w:ascii="Garamond" w:eastAsia="Calibri" w:hAnsi="Garamond" w:cstheme="minorHAnsi"/>
                <w:b/>
                <w:sz w:val="22"/>
                <w:szCs w:val="22"/>
                <w:lang w:val="en-US"/>
              </w:rPr>
              <w:t>delivery</w:t>
            </w:r>
            <w:r w:rsidRPr="00A5626D">
              <w:rPr>
                <w:rFonts w:ascii="Garamond" w:eastAsia="Calibri" w:hAnsi="Garamond" w:cstheme="minorHAnsi"/>
                <w:b/>
                <w:sz w:val="22"/>
                <w:szCs w:val="22"/>
              </w:rPr>
              <w:t>-</w:t>
            </w:r>
            <w:r w:rsidRPr="00A5626D">
              <w:rPr>
                <w:rFonts w:ascii="Garamond" w:eastAsia="Calibri" w:hAnsi="Garamond" w:cstheme="minorHAnsi"/>
                <w:b/>
                <w:sz w:val="22"/>
                <w:szCs w:val="22"/>
                <w:lang w:val="en-US"/>
              </w:rPr>
              <w:t>point</w:t>
            </w:r>
            <w:r w:rsidRPr="00A5626D">
              <w:rPr>
                <w:rFonts w:ascii="Garamond" w:hAnsi="Garamond" w:cstheme="minorHAnsi"/>
                <w:sz w:val="22"/>
                <w:szCs w:val="22"/>
              </w:rPr>
              <w:t xml:space="preserve">&gt; должно соответствовать суммарному количеству точек поставки </w:t>
            </w:r>
            <w:r w:rsidRPr="00A5626D">
              <w:rPr>
                <w:rFonts w:ascii="Garamond" w:hAnsi="Garamond" w:cstheme="minorHAnsi"/>
                <w:sz w:val="22"/>
                <w:szCs w:val="22"/>
                <w:highlight w:val="yellow"/>
              </w:rPr>
              <w:t>(точек присоединения)</w:t>
            </w:r>
            <w:r w:rsidRPr="00A5626D">
              <w:rPr>
                <w:rFonts w:ascii="Garamond" w:hAnsi="Garamond" w:cstheme="minorHAnsi"/>
                <w:sz w:val="22"/>
                <w:szCs w:val="22"/>
              </w:rPr>
              <w:t xml:space="preserve"> и</w:t>
            </w:r>
            <w:r w:rsidRPr="00A5626D">
              <w:rPr>
                <w:rFonts w:ascii="Garamond" w:hAnsi="Garamond" w:cstheme="minorHAnsi"/>
                <w:bCs/>
                <w:sz w:val="22"/>
                <w:szCs w:val="22"/>
              </w:rPr>
              <w:t xml:space="preserve"> групповых точек</w:t>
            </w:r>
            <w:r w:rsidRPr="00A5626D">
              <w:rPr>
                <w:rFonts w:ascii="Garamond" w:hAnsi="Garamond" w:cstheme="minorHAnsi"/>
                <w:sz w:val="22"/>
                <w:szCs w:val="22"/>
              </w:rPr>
              <w:t xml:space="preserve"> поставки </w:t>
            </w:r>
            <w:r w:rsidRPr="00A5626D">
              <w:rPr>
                <w:rFonts w:ascii="Garamond" w:hAnsi="Garamond" w:cstheme="minorHAnsi"/>
                <w:sz w:val="22"/>
                <w:szCs w:val="22"/>
                <w:highlight w:val="yellow"/>
              </w:rPr>
              <w:t>(групповых точек присоединения)</w:t>
            </w:r>
            <w:r w:rsidRPr="00A5626D">
              <w:rPr>
                <w:rFonts w:ascii="Garamond" w:hAnsi="Garamond" w:cstheme="minorHAnsi"/>
                <w:bCs/>
                <w:sz w:val="22"/>
                <w:szCs w:val="22"/>
              </w:rPr>
              <w:t xml:space="preserve">, представленных в сечении </w:t>
            </w:r>
            <w:r w:rsidRPr="00A5626D">
              <w:rPr>
                <w:rFonts w:ascii="Garamond" w:hAnsi="Garamond" w:cstheme="minorHAnsi"/>
                <w:bCs/>
                <w:sz w:val="22"/>
                <w:szCs w:val="22"/>
                <w:highlight w:val="yellow"/>
              </w:rPr>
              <w:t>КУ</w:t>
            </w:r>
            <w:r w:rsidR="00C6418D" w:rsidRPr="00C6418D">
              <w:rPr>
                <w:rFonts w:ascii="Garamond" w:hAnsi="Garamond" w:cstheme="minorHAnsi"/>
                <w:bCs/>
                <w:sz w:val="22"/>
                <w:szCs w:val="22"/>
                <w:highlight w:val="yellow"/>
              </w:rPr>
              <w:t>,</w:t>
            </w:r>
            <w:r w:rsidRPr="00A5626D">
              <w:rPr>
                <w:rFonts w:ascii="Garamond" w:hAnsi="Garamond" w:cstheme="minorHAnsi"/>
                <w:bCs/>
                <w:sz w:val="22"/>
                <w:szCs w:val="22"/>
              </w:rPr>
              <w:t xml:space="preserve"> или ГТП генерации</w:t>
            </w:r>
            <w:r w:rsidR="00C6418D" w:rsidRPr="00C6418D">
              <w:rPr>
                <w:rFonts w:ascii="Garamond" w:hAnsi="Garamond" w:cstheme="minorHAnsi"/>
                <w:bCs/>
                <w:sz w:val="22"/>
                <w:szCs w:val="22"/>
                <w:highlight w:val="yellow"/>
              </w:rPr>
              <w:t>,</w:t>
            </w:r>
            <w:r w:rsidRPr="00C6418D">
              <w:rPr>
                <w:rFonts w:ascii="Garamond" w:hAnsi="Garamond" w:cstheme="minorHAnsi"/>
                <w:bCs/>
                <w:sz w:val="22"/>
                <w:szCs w:val="22"/>
                <w:highlight w:val="yellow"/>
              </w:rPr>
              <w:t xml:space="preserve"> и</w:t>
            </w:r>
            <w:r w:rsidRPr="00A5626D">
              <w:rPr>
                <w:rFonts w:ascii="Garamond" w:hAnsi="Garamond" w:cstheme="minorHAnsi"/>
                <w:bCs/>
                <w:sz w:val="22"/>
                <w:szCs w:val="22"/>
                <w:highlight w:val="yellow"/>
              </w:rPr>
              <w:t>ли ОР</w:t>
            </w:r>
            <w:r w:rsidRPr="00A5626D">
              <w:rPr>
                <w:rFonts w:ascii="Garamond" w:hAnsi="Garamond" w:cstheme="minorHAnsi"/>
                <w:sz w:val="22"/>
                <w:szCs w:val="22"/>
              </w:rPr>
              <w:t>.</w:t>
            </w:r>
          </w:p>
          <w:p w14:paraId="430C6E05" w14:textId="77777777" w:rsidR="00295C6D" w:rsidRPr="00A5626D" w:rsidRDefault="00295C6D" w:rsidP="00E31AE6">
            <w:pPr>
              <w:tabs>
                <w:tab w:val="left" w:pos="1134"/>
                <w:tab w:val="left" w:pos="7938"/>
              </w:tabs>
              <w:spacing w:before="120" w:after="120"/>
              <w:ind w:firstLine="456"/>
              <w:jc w:val="both"/>
              <w:rPr>
                <w:rFonts w:ascii="Garamond" w:hAnsi="Garamond" w:cstheme="minorHAnsi"/>
                <w:sz w:val="22"/>
                <w:szCs w:val="22"/>
              </w:rPr>
            </w:pPr>
            <w:r w:rsidRPr="00A5626D">
              <w:rPr>
                <w:rFonts w:ascii="Garamond" w:hAnsi="Garamond" w:cstheme="minorHAnsi"/>
                <w:sz w:val="22"/>
                <w:szCs w:val="22"/>
              </w:rPr>
              <w:t>Атрибутами элемента &lt;</w:t>
            </w:r>
            <w:r w:rsidRPr="00A5626D">
              <w:rPr>
                <w:rFonts w:ascii="Garamond" w:eastAsia="Calibri" w:hAnsi="Garamond" w:cstheme="minorHAnsi"/>
                <w:b/>
                <w:sz w:val="22"/>
                <w:szCs w:val="22"/>
                <w:lang w:val="en-US"/>
              </w:rPr>
              <w:t>delivery</w:t>
            </w:r>
            <w:r w:rsidRPr="00A5626D">
              <w:rPr>
                <w:rFonts w:ascii="Garamond" w:eastAsia="Calibri" w:hAnsi="Garamond" w:cstheme="minorHAnsi"/>
                <w:b/>
                <w:sz w:val="22"/>
                <w:szCs w:val="22"/>
              </w:rPr>
              <w:t>-</w:t>
            </w:r>
            <w:r w:rsidRPr="00A5626D">
              <w:rPr>
                <w:rFonts w:ascii="Garamond" w:eastAsia="Calibri" w:hAnsi="Garamond" w:cstheme="minorHAnsi"/>
                <w:b/>
                <w:sz w:val="22"/>
                <w:szCs w:val="22"/>
                <w:lang w:val="en-US"/>
              </w:rPr>
              <w:t>point</w:t>
            </w:r>
            <w:r w:rsidRPr="00A5626D">
              <w:rPr>
                <w:rFonts w:ascii="Garamond" w:hAnsi="Garamond" w:cstheme="minorHAnsi"/>
                <w:sz w:val="22"/>
                <w:szCs w:val="22"/>
              </w:rPr>
              <w:t>&gt; являются:</w:t>
            </w:r>
          </w:p>
          <w:p w14:paraId="4EE59679" w14:textId="77777777" w:rsidR="00295C6D" w:rsidRPr="00A5626D" w:rsidRDefault="00295C6D" w:rsidP="00295C6D">
            <w:pPr>
              <w:widowControl w:val="0"/>
              <w:numPr>
                <w:ilvl w:val="0"/>
                <w:numId w:val="240"/>
              </w:numPr>
              <w:tabs>
                <w:tab w:val="left" w:pos="1134"/>
                <w:tab w:val="left" w:pos="7938"/>
              </w:tabs>
              <w:suppressAutoHyphens w:val="0"/>
              <w:autoSpaceDE w:val="0"/>
              <w:autoSpaceDN w:val="0"/>
              <w:adjustRightInd w:val="0"/>
              <w:spacing w:before="60" w:after="60"/>
              <w:ind w:left="0" w:firstLine="456"/>
              <w:jc w:val="both"/>
              <w:rPr>
                <w:rFonts w:ascii="Garamond" w:hAnsi="Garamond" w:cstheme="minorHAnsi"/>
                <w:sz w:val="22"/>
                <w:szCs w:val="22"/>
              </w:rPr>
            </w:pPr>
            <w:r w:rsidRPr="00A5626D">
              <w:rPr>
                <w:rFonts w:ascii="Garamond" w:hAnsi="Garamond" w:cstheme="minorHAnsi"/>
                <w:sz w:val="22"/>
                <w:szCs w:val="22"/>
                <w:lang w:val="en-US"/>
              </w:rPr>
              <w:t>id</w:t>
            </w:r>
            <w:r w:rsidRPr="00A5626D">
              <w:rPr>
                <w:rFonts w:ascii="Garamond" w:hAnsi="Garamond" w:cstheme="minorHAnsi"/>
                <w:sz w:val="22"/>
                <w:szCs w:val="22"/>
              </w:rPr>
              <w:t>-</w:t>
            </w:r>
            <w:r w:rsidRPr="00A5626D">
              <w:rPr>
                <w:rFonts w:ascii="Garamond" w:hAnsi="Garamond" w:cstheme="minorHAnsi"/>
                <w:sz w:val="22"/>
                <w:szCs w:val="22"/>
                <w:lang w:val="en-US"/>
              </w:rPr>
              <w:t>delivery</w:t>
            </w:r>
            <w:r w:rsidRPr="00A5626D">
              <w:rPr>
                <w:rFonts w:ascii="Garamond" w:hAnsi="Garamond" w:cstheme="minorHAnsi"/>
                <w:sz w:val="22"/>
                <w:szCs w:val="22"/>
              </w:rPr>
              <w:t>-</w:t>
            </w:r>
            <w:r w:rsidRPr="00A5626D">
              <w:rPr>
                <w:rFonts w:ascii="Garamond" w:hAnsi="Garamond" w:cstheme="minorHAnsi"/>
                <w:sz w:val="22"/>
                <w:szCs w:val="22"/>
                <w:lang w:val="en-US"/>
              </w:rPr>
              <w:t>point</w:t>
            </w:r>
            <w:r w:rsidRPr="00A5626D">
              <w:rPr>
                <w:rFonts w:ascii="Garamond" w:hAnsi="Garamond" w:cstheme="minorHAnsi"/>
                <w:sz w:val="22"/>
                <w:szCs w:val="22"/>
              </w:rPr>
              <w:t xml:space="preserve"> – внутренний идентификатор точки поставки </w:t>
            </w:r>
            <w:r w:rsidRPr="00A5626D">
              <w:rPr>
                <w:rFonts w:ascii="Garamond" w:hAnsi="Garamond" w:cstheme="minorHAnsi"/>
                <w:sz w:val="22"/>
                <w:szCs w:val="22"/>
                <w:highlight w:val="yellow"/>
              </w:rPr>
              <w:t>(точки присоединения)</w:t>
            </w:r>
            <w:r w:rsidRPr="00A5626D">
              <w:rPr>
                <w:rFonts w:ascii="Garamond" w:hAnsi="Garamond" w:cstheme="minorHAnsi"/>
                <w:sz w:val="22"/>
                <w:szCs w:val="22"/>
              </w:rPr>
              <w:t>. Число до 4 знаков (1, 01, 001 и 0001 считаются одинаковыми идентификаторами). Является обязательным атрибутом;</w:t>
            </w:r>
          </w:p>
          <w:p w14:paraId="58CA85EF" w14:textId="77777777" w:rsidR="00295C6D" w:rsidRPr="00A5626D" w:rsidRDefault="00295C6D" w:rsidP="00295C6D">
            <w:pPr>
              <w:widowControl w:val="0"/>
              <w:numPr>
                <w:ilvl w:val="0"/>
                <w:numId w:val="240"/>
              </w:numPr>
              <w:tabs>
                <w:tab w:val="left" w:pos="1134"/>
                <w:tab w:val="left" w:pos="7938"/>
              </w:tabs>
              <w:suppressAutoHyphens w:val="0"/>
              <w:autoSpaceDE w:val="0"/>
              <w:autoSpaceDN w:val="0"/>
              <w:adjustRightInd w:val="0"/>
              <w:spacing w:before="60" w:after="60"/>
              <w:ind w:left="0" w:firstLine="456"/>
              <w:jc w:val="both"/>
              <w:rPr>
                <w:rFonts w:ascii="Garamond" w:eastAsia="MS Mincho" w:hAnsi="Garamond" w:cstheme="minorHAnsi"/>
                <w:sz w:val="22"/>
                <w:szCs w:val="22"/>
              </w:rPr>
            </w:pPr>
            <w:r w:rsidRPr="00A5626D">
              <w:rPr>
                <w:rFonts w:ascii="Garamond" w:hAnsi="Garamond" w:cstheme="minorHAnsi"/>
                <w:sz w:val="22"/>
                <w:szCs w:val="22"/>
                <w:lang w:val="en-US"/>
              </w:rPr>
              <w:t>guid</w:t>
            </w:r>
            <w:r w:rsidRPr="00A5626D">
              <w:rPr>
                <w:rFonts w:ascii="Garamond" w:hAnsi="Garamond" w:cstheme="minorHAnsi"/>
                <w:sz w:val="22"/>
                <w:szCs w:val="22"/>
              </w:rPr>
              <w:t xml:space="preserve"> –</w:t>
            </w:r>
            <w:r w:rsidRPr="00A5626D">
              <w:rPr>
                <w:rFonts w:ascii="Garamond" w:eastAsia="MS Mincho" w:hAnsi="Garamond" w:cstheme="minorHAnsi"/>
                <w:sz w:val="22"/>
                <w:szCs w:val="22"/>
              </w:rPr>
              <w:t xml:space="preserve"> уникальный идентификатор ТП, присваиваемый системой, сформировавшей макет 60000. Текстовое поле с 36 символами. </w:t>
            </w:r>
            <w:r w:rsidRPr="00A5626D">
              <w:rPr>
                <w:rFonts w:ascii="Garamond" w:hAnsi="Garamond" w:cstheme="minorHAnsi"/>
                <w:sz w:val="22"/>
                <w:szCs w:val="22"/>
              </w:rPr>
              <w:t>Является обязательным атрибутом;</w:t>
            </w:r>
          </w:p>
          <w:p w14:paraId="6C8103D4" w14:textId="77777777" w:rsidR="00295C6D" w:rsidRPr="00A5626D" w:rsidRDefault="00295C6D" w:rsidP="00295C6D">
            <w:pPr>
              <w:widowControl w:val="0"/>
              <w:numPr>
                <w:ilvl w:val="0"/>
                <w:numId w:val="240"/>
              </w:numPr>
              <w:tabs>
                <w:tab w:val="left" w:pos="1134"/>
                <w:tab w:val="left" w:pos="7938"/>
              </w:tabs>
              <w:suppressAutoHyphens w:val="0"/>
              <w:autoSpaceDE w:val="0"/>
              <w:autoSpaceDN w:val="0"/>
              <w:adjustRightInd w:val="0"/>
              <w:spacing w:before="60" w:after="60"/>
              <w:ind w:left="0" w:firstLine="456"/>
              <w:jc w:val="both"/>
              <w:rPr>
                <w:rFonts w:ascii="Garamond" w:hAnsi="Garamond" w:cstheme="minorHAnsi"/>
                <w:sz w:val="22"/>
                <w:szCs w:val="22"/>
              </w:rPr>
            </w:pPr>
            <w:r w:rsidRPr="00A5626D">
              <w:rPr>
                <w:rFonts w:ascii="Garamond" w:hAnsi="Garamond" w:cstheme="minorHAnsi"/>
                <w:sz w:val="22"/>
                <w:szCs w:val="22"/>
                <w:lang w:val="en-US"/>
              </w:rPr>
              <w:t>is</w:t>
            </w:r>
            <w:r w:rsidRPr="00A5626D">
              <w:rPr>
                <w:rFonts w:ascii="Garamond" w:hAnsi="Garamond" w:cstheme="minorHAnsi"/>
                <w:sz w:val="22"/>
                <w:szCs w:val="22"/>
              </w:rPr>
              <w:t>-</w:t>
            </w:r>
            <w:r w:rsidRPr="00A5626D">
              <w:rPr>
                <w:rFonts w:ascii="Garamond" w:hAnsi="Garamond" w:cstheme="minorHAnsi"/>
                <w:sz w:val="22"/>
                <w:szCs w:val="22"/>
                <w:lang w:val="en-US"/>
              </w:rPr>
              <w:t>group</w:t>
            </w:r>
            <w:r w:rsidRPr="00A5626D">
              <w:rPr>
                <w:rFonts w:ascii="Garamond" w:hAnsi="Garamond" w:cstheme="minorHAnsi"/>
                <w:sz w:val="22"/>
                <w:szCs w:val="22"/>
              </w:rPr>
              <w:t>-</w:t>
            </w:r>
            <w:r w:rsidRPr="00A5626D">
              <w:rPr>
                <w:rFonts w:ascii="Garamond" w:hAnsi="Garamond" w:cstheme="minorHAnsi"/>
                <w:sz w:val="22"/>
                <w:szCs w:val="22"/>
                <w:lang w:val="en-US"/>
              </w:rPr>
              <w:t>delivery</w:t>
            </w:r>
            <w:r w:rsidRPr="00A5626D">
              <w:rPr>
                <w:rFonts w:ascii="Garamond" w:hAnsi="Garamond" w:cstheme="minorHAnsi"/>
                <w:sz w:val="22"/>
                <w:szCs w:val="22"/>
              </w:rPr>
              <w:t>-</w:t>
            </w:r>
            <w:r w:rsidRPr="00A5626D">
              <w:rPr>
                <w:rFonts w:ascii="Garamond" w:hAnsi="Garamond" w:cstheme="minorHAnsi"/>
                <w:sz w:val="22"/>
                <w:szCs w:val="22"/>
                <w:lang w:val="en-US"/>
              </w:rPr>
              <w:t>point</w:t>
            </w:r>
            <w:r w:rsidRPr="00A5626D">
              <w:rPr>
                <w:rFonts w:ascii="Garamond" w:hAnsi="Garamond" w:cstheme="minorHAnsi"/>
                <w:sz w:val="22"/>
                <w:szCs w:val="22"/>
              </w:rPr>
              <w:t xml:space="preserve"> – признак того, что ТП является </w:t>
            </w:r>
            <w:r w:rsidRPr="00A5626D">
              <w:rPr>
                <w:rFonts w:ascii="Garamond" w:hAnsi="Garamond" w:cstheme="minorHAnsi"/>
                <w:sz w:val="22"/>
                <w:szCs w:val="22"/>
              </w:rPr>
              <w:lastRenderedPageBreak/>
              <w:t>групповой. Может принимать значения: true, если точка групповая, false, если точка негрупповая. Является обязательным атрибутом.</w:t>
            </w:r>
          </w:p>
          <w:p w14:paraId="2C7CCC56" w14:textId="77777777" w:rsidR="00295C6D" w:rsidRPr="00A5626D" w:rsidRDefault="00295C6D" w:rsidP="00E31AE6">
            <w:pPr>
              <w:widowControl w:val="0"/>
              <w:tabs>
                <w:tab w:val="left" w:pos="1134"/>
                <w:tab w:val="left" w:pos="7938"/>
              </w:tabs>
              <w:autoSpaceDE w:val="0"/>
              <w:autoSpaceDN w:val="0"/>
              <w:adjustRightInd w:val="0"/>
              <w:spacing w:before="60" w:after="60"/>
              <w:ind w:firstLine="456"/>
              <w:jc w:val="both"/>
              <w:rPr>
                <w:rFonts w:ascii="Garamond" w:hAnsi="Garamond" w:cstheme="minorHAnsi"/>
                <w:sz w:val="22"/>
                <w:szCs w:val="22"/>
              </w:rPr>
            </w:pPr>
            <w:r w:rsidRPr="00A5626D">
              <w:rPr>
                <w:rFonts w:ascii="Garamond" w:hAnsi="Garamond" w:cstheme="minorHAnsi"/>
                <w:sz w:val="22"/>
                <w:szCs w:val="22"/>
              </w:rPr>
              <w:t xml:space="preserve">Если признак равен </w:t>
            </w:r>
            <w:r w:rsidRPr="00A5626D">
              <w:rPr>
                <w:rFonts w:ascii="Garamond" w:hAnsi="Garamond" w:cstheme="minorHAnsi"/>
                <w:sz w:val="22"/>
                <w:szCs w:val="22"/>
                <w:lang w:val="en-US"/>
              </w:rPr>
              <w:t>true</w:t>
            </w:r>
            <w:r w:rsidRPr="00A5626D">
              <w:rPr>
                <w:rFonts w:ascii="Garamond" w:hAnsi="Garamond" w:cstheme="minorHAnsi"/>
                <w:sz w:val="22"/>
                <w:szCs w:val="22"/>
              </w:rPr>
              <w:t xml:space="preserve">, то атрибуты </w:t>
            </w:r>
            <w:r w:rsidRPr="00A5626D">
              <w:rPr>
                <w:rFonts w:ascii="Garamond" w:hAnsi="Garamond" w:cstheme="minorHAnsi"/>
                <w:sz w:val="22"/>
                <w:szCs w:val="22"/>
                <w:lang w:val="en-US"/>
              </w:rPr>
              <w:t>id</w:t>
            </w:r>
            <w:r w:rsidRPr="00A5626D">
              <w:rPr>
                <w:rFonts w:ascii="Garamond" w:hAnsi="Garamond" w:cstheme="minorHAnsi"/>
                <w:sz w:val="22"/>
                <w:szCs w:val="22"/>
              </w:rPr>
              <w:t>-</w:t>
            </w:r>
            <w:r w:rsidRPr="00A5626D">
              <w:rPr>
                <w:rFonts w:ascii="Garamond" w:hAnsi="Garamond" w:cstheme="minorHAnsi"/>
                <w:sz w:val="22"/>
                <w:szCs w:val="22"/>
                <w:lang w:val="en-US"/>
              </w:rPr>
              <w:t>power</w:t>
            </w:r>
            <w:r w:rsidRPr="00A5626D">
              <w:rPr>
                <w:rFonts w:ascii="Garamond" w:hAnsi="Garamond" w:cstheme="minorHAnsi"/>
                <w:sz w:val="22"/>
                <w:szCs w:val="22"/>
              </w:rPr>
              <w:t>-</w:t>
            </w:r>
            <w:r w:rsidRPr="00A5626D">
              <w:rPr>
                <w:rFonts w:ascii="Garamond" w:hAnsi="Garamond" w:cstheme="minorHAnsi"/>
                <w:sz w:val="22"/>
                <w:szCs w:val="22"/>
                <w:lang w:val="en-US"/>
              </w:rPr>
              <w:t>object</w:t>
            </w:r>
            <w:r w:rsidRPr="00A5626D">
              <w:rPr>
                <w:rFonts w:ascii="Garamond" w:hAnsi="Garamond" w:cstheme="minorHAnsi"/>
                <w:sz w:val="22"/>
                <w:szCs w:val="22"/>
              </w:rPr>
              <w:t xml:space="preserve">, </w:t>
            </w:r>
            <w:r w:rsidRPr="00A5626D">
              <w:rPr>
                <w:rFonts w:ascii="Garamond" w:hAnsi="Garamond" w:cstheme="minorHAnsi"/>
                <w:sz w:val="22"/>
                <w:szCs w:val="22"/>
                <w:lang w:val="en-US"/>
              </w:rPr>
              <w:t>method</w:t>
            </w:r>
            <w:r w:rsidRPr="00A5626D">
              <w:rPr>
                <w:rFonts w:ascii="Garamond" w:hAnsi="Garamond" w:cstheme="minorHAnsi"/>
                <w:sz w:val="22"/>
                <w:szCs w:val="22"/>
              </w:rPr>
              <w:t xml:space="preserve">, </w:t>
            </w:r>
            <w:r w:rsidRPr="00A5626D">
              <w:rPr>
                <w:rFonts w:ascii="Garamond" w:hAnsi="Garamond" w:cstheme="minorHAnsi"/>
                <w:sz w:val="22"/>
                <w:szCs w:val="22"/>
                <w:lang w:val="en-US"/>
              </w:rPr>
              <w:t>schemanum</w:t>
            </w:r>
            <w:r w:rsidRPr="00A5626D">
              <w:rPr>
                <w:rFonts w:ascii="Garamond" w:hAnsi="Garamond" w:cstheme="minorHAnsi"/>
                <w:sz w:val="22"/>
                <w:szCs w:val="22"/>
              </w:rPr>
              <w:t xml:space="preserve">, </w:t>
            </w:r>
            <w:r w:rsidRPr="00A5626D">
              <w:rPr>
                <w:rFonts w:ascii="Garamond" w:hAnsi="Garamond" w:cstheme="minorHAnsi"/>
                <w:sz w:val="22"/>
                <w:szCs w:val="22"/>
                <w:lang w:val="en-US"/>
              </w:rPr>
              <w:t>power</w:t>
            </w:r>
            <w:r w:rsidRPr="00A5626D">
              <w:rPr>
                <w:rFonts w:ascii="Garamond" w:hAnsi="Garamond" w:cstheme="minorHAnsi"/>
                <w:sz w:val="22"/>
                <w:szCs w:val="22"/>
              </w:rPr>
              <w:t xml:space="preserve">, point-voltage не обязательны к заполнению, а элемент </w:t>
            </w:r>
            <w:r w:rsidRPr="00A5626D">
              <w:rPr>
                <w:rFonts w:ascii="Garamond" w:eastAsia="Calibri" w:hAnsi="Garamond" w:cstheme="minorHAnsi"/>
                <w:sz w:val="22"/>
                <w:szCs w:val="22"/>
              </w:rPr>
              <w:t>&lt;</w:t>
            </w:r>
            <w:r w:rsidRPr="00A5626D">
              <w:rPr>
                <w:rFonts w:ascii="Garamond" w:eastAsia="Calibri" w:hAnsi="Garamond" w:cstheme="minorHAnsi"/>
                <w:b/>
                <w:sz w:val="22"/>
                <w:szCs w:val="22"/>
                <w:lang w:val="en-US"/>
              </w:rPr>
              <w:t>group</w:t>
            </w:r>
            <w:r w:rsidRPr="00A5626D">
              <w:rPr>
                <w:rFonts w:ascii="Garamond" w:eastAsia="Calibri" w:hAnsi="Garamond" w:cstheme="minorHAnsi"/>
                <w:b/>
                <w:sz w:val="22"/>
                <w:szCs w:val="22"/>
              </w:rPr>
              <w:t>-</w:t>
            </w:r>
            <w:r w:rsidRPr="00A5626D">
              <w:rPr>
                <w:rFonts w:ascii="Garamond" w:eastAsia="Calibri" w:hAnsi="Garamond" w:cstheme="minorHAnsi"/>
                <w:b/>
                <w:sz w:val="22"/>
                <w:szCs w:val="22"/>
                <w:lang w:val="en-US"/>
              </w:rPr>
              <w:t>delivery</w:t>
            </w:r>
            <w:r w:rsidRPr="00A5626D">
              <w:rPr>
                <w:rFonts w:ascii="Garamond" w:eastAsia="Calibri" w:hAnsi="Garamond" w:cstheme="minorHAnsi"/>
                <w:b/>
                <w:sz w:val="22"/>
                <w:szCs w:val="22"/>
              </w:rPr>
              <w:t>-</w:t>
            </w:r>
            <w:r w:rsidRPr="00A5626D">
              <w:rPr>
                <w:rFonts w:ascii="Garamond" w:eastAsia="Calibri" w:hAnsi="Garamond" w:cstheme="minorHAnsi"/>
                <w:b/>
                <w:sz w:val="22"/>
                <w:szCs w:val="22"/>
                <w:lang w:val="en-US"/>
              </w:rPr>
              <w:t>point</w:t>
            </w:r>
            <w:r w:rsidRPr="00A5626D">
              <w:rPr>
                <w:rFonts w:ascii="Garamond" w:eastAsia="Calibri" w:hAnsi="Garamond" w:cstheme="minorHAnsi"/>
                <w:b/>
                <w:sz w:val="22"/>
                <w:szCs w:val="22"/>
              </w:rPr>
              <w:t>-</w:t>
            </w:r>
            <w:r w:rsidRPr="00A5626D">
              <w:rPr>
                <w:rFonts w:ascii="Garamond" w:eastAsia="Calibri" w:hAnsi="Garamond" w:cstheme="minorHAnsi"/>
                <w:b/>
                <w:sz w:val="22"/>
                <w:szCs w:val="22"/>
                <w:lang w:val="en-US"/>
              </w:rPr>
              <w:t>composition</w:t>
            </w:r>
            <w:r w:rsidRPr="00A5626D">
              <w:rPr>
                <w:rFonts w:ascii="Garamond" w:eastAsia="Calibri" w:hAnsi="Garamond" w:cstheme="minorHAnsi"/>
                <w:sz w:val="22"/>
                <w:szCs w:val="22"/>
              </w:rPr>
              <w:t>&gt;</w:t>
            </w:r>
            <w:r w:rsidRPr="00A5626D">
              <w:rPr>
                <w:rFonts w:ascii="Garamond" w:hAnsi="Garamond" w:cstheme="minorHAnsi"/>
                <w:sz w:val="22"/>
                <w:szCs w:val="22"/>
              </w:rPr>
              <w:t xml:space="preserve"> в элементе &lt;</w:t>
            </w:r>
            <w:r w:rsidRPr="00A5626D">
              <w:rPr>
                <w:rFonts w:ascii="Garamond" w:hAnsi="Garamond" w:cstheme="minorHAnsi"/>
                <w:b/>
                <w:sz w:val="22"/>
                <w:szCs w:val="22"/>
                <w:lang w:val="en-US"/>
              </w:rPr>
              <w:t>links</w:t>
            </w:r>
            <w:r w:rsidRPr="00A5626D">
              <w:rPr>
                <w:rFonts w:ascii="Garamond" w:hAnsi="Garamond" w:cstheme="minorHAnsi"/>
                <w:sz w:val="22"/>
                <w:szCs w:val="22"/>
              </w:rPr>
              <w:t>&gt; обязателен к заполнению;</w:t>
            </w:r>
          </w:p>
          <w:p w14:paraId="4AB7BD82" w14:textId="77777777" w:rsidR="00295C6D" w:rsidRPr="00A5626D" w:rsidRDefault="00295C6D" w:rsidP="00295C6D">
            <w:pPr>
              <w:widowControl w:val="0"/>
              <w:numPr>
                <w:ilvl w:val="0"/>
                <w:numId w:val="240"/>
              </w:numPr>
              <w:tabs>
                <w:tab w:val="left" w:pos="1134"/>
                <w:tab w:val="left" w:pos="7938"/>
              </w:tabs>
              <w:suppressAutoHyphens w:val="0"/>
              <w:autoSpaceDE w:val="0"/>
              <w:autoSpaceDN w:val="0"/>
              <w:adjustRightInd w:val="0"/>
              <w:spacing w:before="60" w:after="60"/>
              <w:ind w:left="0" w:firstLine="456"/>
              <w:jc w:val="both"/>
              <w:rPr>
                <w:rFonts w:ascii="Garamond" w:hAnsi="Garamond" w:cstheme="minorHAnsi"/>
                <w:sz w:val="22"/>
                <w:szCs w:val="22"/>
              </w:rPr>
            </w:pPr>
            <w:r w:rsidRPr="00A5626D">
              <w:rPr>
                <w:rFonts w:ascii="Garamond" w:hAnsi="Garamond" w:cstheme="minorHAnsi"/>
                <w:sz w:val="22"/>
                <w:szCs w:val="22"/>
                <w:lang w:val="en-US"/>
              </w:rPr>
              <w:t>is</w:t>
            </w:r>
            <w:r w:rsidRPr="00A5626D">
              <w:rPr>
                <w:rFonts w:ascii="Garamond" w:hAnsi="Garamond" w:cstheme="minorHAnsi"/>
                <w:sz w:val="22"/>
                <w:szCs w:val="22"/>
              </w:rPr>
              <w:t>-</w:t>
            </w:r>
            <w:r w:rsidRPr="00A5626D">
              <w:rPr>
                <w:rFonts w:ascii="Garamond" w:hAnsi="Garamond" w:cstheme="minorHAnsi"/>
                <w:sz w:val="22"/>
                <w:szCs w:val="22"/>
                <w:lang w:val="en-US"/>
              </w:rPr>
              <w:t>for</w:t>
            </w:r>
            <w:r w:rsidRPr="00A5626D">
              <w:rPr>
                <w:rFonts w:ascii="Garamond" w:hAnsi="Garamond" w:cstheme="minorHAnsi"/>
                <w:sz w:val="22"/>
                <w:szCs w:val="22"/>
              </w:rPr>
              <w:t>-</w:t>
            </w:r>
            <w:r w:rsidRPr="00A5626D">
              <w:rPr>
                <w:rFonts w:ascii="Garamond" w:hAnsi="Garamond" w:cstheme="minorHAnsi"/>
                <w:sz w:val="22"/>
                <w:szCs w:val="22"/>
                <w:lang w:val="en-US"/>
              </w:rPr>
              <w:t>coding</w:t>
            </w:r>
            <w:r w:rsidRPr="00A5626D">
              <w:rPr>
                <w:rFonts w:ascii="Garamond" w:hAnsi="Garamond" w:cstheme="minorHAnsi"/>
                <w:sz w:val="22"/>
                <w:szCs w:val="22"/>
                <w:lang w:bidi="en-US"/>
              </w:rPr>
              <w:t xml:space="preserve"> – признак, </w:t>
            </w:r>
            <w:r w:rsidRPr="00A5626D">
              <w:rPr>
                <w:rFonts w:ascii="Garamond" w:hAnsi="Garamond" w:cstheme="minorHAnsi"/>
                <w:sz w:val="22"/>
                <w:szCs w:val="22"/>
              </w:rPr>
              <w:t xml:space="preserve">определяющий необходимость кодирования данной ТП. Может принимать значения: </w:t>
            </w:r>
            <w:r w:rsidRPr="00A5626D">
              <w:rPr>
                <w:rFonts w:ascii="Garamond" w:hAnsi="Garamond" w:cstheme="minorHAnsi"/>
                <w:sz w:val="22"/>
                <w:szCs w:val="22"/>
                <w:lang w:val="en-US"/>
              </w:rPr>
              <w:t>true</w:t>
            </w:r>
            <w:r w:rsidRPr="00A5626D">
              <w:rPr>
                <w:rFonts w:ascii="Garamond" w:hAnsi="Garamond" w:cstheme="minorHAnsi"/>
                <w:sz w:val="22"/>
                <w:szCs w:val="22"/>
              </w:rPr>
              <w:t xml:space="preserve">, если данную ТП необходимо кодировать, </w:t>
            </w:r>
            <w:r w:rsidRPr="00A5626D">
              <w:rPr>
                <w:rFonts w:ascii="Garamond" w:hAnsi="Garamond" w:cstheme="minorHAnsi"/>
                <w:sz w:val="22"/>
                <w:szCs w:val="22"/>
                <w:lang w:val="en-US"/>
              </w:rPr>
              <w:t>false</w:t>
            </w:r>
            <w:r w:rsidRPr="00A5626D">
              <w:rPr>
                <w:rFonts w:ascii="Garamond" w:hAnsi="Garamond" w:cstheme="minorHAnsi"/>
                <w:sz w:val="22"/>
                <w:szCs w:val="22"/>
              </w:rPr>
              <w:t>, если данная ТП не предназначена для кодирования. Является обязательным атрибутом;</w:t>
            </w:r>
          </w:p>
          <w:p w14:paraId="05EDFBE6" w14:textId="77777777" w:rsidR="00295C6D" w:rsidRPr="00A5626D" w:rsidRDefault="00295C6D" w:rsidP="00295C6D">
            <w:pPr>
              <w:widowControl w:val="0"/>
              <w:numPr>
                <w:ilvl w:val="0"/>
                <w:numId w:val="240"/>
              </w:numPr>
              <w:tabs>
                <w:tab w:val="left" w:pos="1134"/>
                <w:tab w:val="left" w:pos="7938"/>
              </w:tabs>
              <w:suppressAutoHyphens w:val="0"/>
              <w:autoSpaceDE w:val="0"/>
              <w:autoSpaceDN w:val="0"/>
              <w:adjustRightInd w:val="0"/>
              <w:spacing w:before="60" w:after="60"/>
              <w:ind w:left="0" w:firstLine="456"/>
              <w:jc w:val="both"/>
              <w:rPr>
                <w:rFonts w:ascii="Garamond" w:hAnsi="Garamond" w:cstheme="minorHAnsi"/>
                <w:sz w:val="22"/>
                <w:szCs w:val="22"/>
              </w:rPr>
            </w:pPr>
            <w:r w:rsidRPr="00A5626D">
              <w:rPr>
                <w:rFonts w:ascii="Garamond" w:hAnsi="Garamond" w:cstheme="minorHAnsi"/>
                <w:sz w:val="22"/>
                <w:szCs w:val="22"/>
              </w:rPr>
              <w:t xml:space="preserve">ats-code – уникальный код, присвоенный КО точке поставки </w:t>
            </w:r>
            <w:r w:rsidRPr="00A5626D">
              <w:rPr>
                <w:rFonts w:ascii="Garamond" w:hAnsi="Garamond" w:cstheme="minorHAnsi"/>
                <w:sz w:val="22"/>
                <w:szCs w:val="22"/>
                <w:highlight w:val="yellow"/>
              </w:rPr>
              <w:t>(точке присоединения)</w:t>
            </w:r>
            <w:r w:rsidRPr="00A5626D">
              <w:rPr>
                <w:rFonts w:ascii="Garamond" w:hAnsi="Garamond" w:cstheme="minorHAnsi"/>
                <w:sz w:val="22"/>
                <w:szCs w:val="22"/>
              </w:rPr>
              <w:t>. Число из 15 знаков. Является обязательным атрибутом для точек, предназначенных для кодирования;</w:t>
            </w:r>
          </w:p>
          <w:p w14:paraId="15E5479A" w14:textId="77777777" w:rsidR="00295C6D" w:rsidRPr="00A5626D" w:rsidRDefault="00295C6D" w:rsidP="00295C6D">
            <w:pPr>
              <w:widowControl w:val="0"/>
              <w:numPr>
                <w:ilvl w:val="0"/>
                <w:numId w:val="240"/>
              </w:numPr>
              <w:tabs>
                <w:tab w:val="left" w:pos="1134"/>
                <w:tab w:val="left" w:pos="7938"/>
              </w:tabs>
              <w:suppressAutoHyphens w:val="0"/>
              <w:autoSpaceDE w:val="0"/>
              <w:autoSpaceDN w:val="0"/>
              <w:adjustRightInd w:val="0"/>
              <w:spacing w:before="60" w:after="60"/>
              <w:ind w:left="0" w:firstLine="456"/>
              <w:jc w:val="both"/>
              <w:rPr>
                <w:rFonts w:ascii="Garamond" w:hAnsi="Garamond" w:cstheme="minorHAnsi"/>
                <w:sz w:val="22"/>
                <w:szCs w:val="22"/>
              </w:rPr>
            </w:pPr>
            <w:r w:rsidRPr="00A5626D">
              <w:rPr>
                <w:rFonts w:ascii="Garamond" w:hAnsi="Garamond" w:cstheme="minorHAnsi"/>
                <w:sz w:val="22"/>
                <w:szCs w:val="22"/>
                <w:lang w:val="en-US"/>
              </w:rPr>
              <w:t>composite</w:t>
            </w:r>
            <w:r w:rsidRPr="00A5626D">
              <w:rPr>
                <w:rFonts w:ascii="Garamond" w:hAnsi="Garamond" w:cstheme="minorHAnsi"/>
                <w:sz w:val="22"/>
                <w:szCs w:val="22"/>
              </w:rPr>
              <w:t>-</w:t>
            </w:r>
            <w:r w:rsidRPr="00A5626D">
              <w:rPr>
                <w:rFonts w:ascii="Garamond" w:hAnsi="Garamond" w:cstheme="minorHAnsi"/>
                <w:sz w:val="22"/>
                <w:szCs w:val="22"/>
                <w:lang w:val="en-US"/>
              </w:rPr>
              <w:t>name</w:t>
            </w:r>
            <w:r w:rsidRPr="00A5626D">
              <w:rPr>
                <w:rFonts w:ascii="Garamond" w:hAnsi="Garamond" w:cstheme="minorHAnsi"/>
                <w:sz w:val="22"/>
                <w:szCs w:val="22"/>
              </w:rPr>
              <w:t xml:space="preserve"> – составное наименование точки. Текстовое поле не более 512 символов. Является обязательным атрибутом для групповой точки, для остальных точек не заполняется; </w:t>
            </w:r>
          </w:p>
          <w:p w14:paraId="17F89665" w14:textId="77777777" w:rsidR="00295C6D" w:rsidRPr="00A5626D" w:rsidRDefault="00295C6D" w:rsidP="00295C6D">
            <w:pPr>
              <w:widowControl w:val="0"/>
              <w:numPr>
                <w:ilvl w:val="0"/>
                <w:numId w:val="240"/>
              </w:numPr>
              <w:tabs>
                <w:tab w:val="left" w:pos="1134"/>
                <w:tab w:val="left" w:pos="7938"/>
              </w:tabs>
              <w:suppressAutoHyphens w:val="0"/>
              <w:autoSpaceDE w:val="0"/>
              <w:autoSpaceDN w:val="0"/>
              <w:adjustRightInd w:val="0"/>
              <w:spacing w:before="60" w:after="60"/>
              <w:ind w:left="0" w:firstLine="456"/>
              <w:jc w:val="both"/>
              <w:rPr>
                <w:rFonts w:ascii="Garamond" w:hAnsi="Garamond" w:cstheme="minorHAnsi"/>
                <w:sz w:val="22"/>
                <w:szCs w:val="22"/>
              </w:rPr>
            </w:pPr>
            <w:r w:rsidRPr="00A5626D">
              <w:rPr>
                <w:rFonts w:ascii="Garamond" w:hAnsi="Garamond" w:cstheme="minorHAnsi"/>
                <w:sz w:val="22"/>
                <w:szCs w:val="22"/>
                <w:lang w:val="en-US"/>
              </w:rPr>
              <w:t>id</w:t>
            </w:r>
            <w:r w:rsidRPr="00A5626D">
              <w:rPr>
                <w:rFonts w:ascii="Garamond" w:hAnsi="Garamond" w:cstheme="minorHAnsi"/>
                <w:sz w:val="22"/>
                <w:szCs w:val="22"/>
              </w:rPr>
              <w:t>-</w:t>
            </w:r>
            <w:r w:rsidRPr="00A5626D">
              <w:rPr>
                <w:rFonts w:ascii="Garamond" w:hAnsi="Garamond" w:cstheme="minorHAnsi"/>
                <w:sz w:val="22"/>
                <w:szCs w:val="22"/>
                <w:lang w:val="en-US"/>
              </w:rPr>
              <w:t>power</w:t>
            </w:r>
            <w:r w:rsidRPr="00A5626D">
              <w:rPr>
                <w:rFonts w:ascii="Garamond" w:hAnsi="Garamond" w:cstheme="minorHAnsi"/>
                <w:sz w:val="22"/>
                <w:szCs w:val="22"/>
              </w:rPr>
              <w:t>-</w:t>
            </w:r>
            <w:r w:rsidRPr="00A5626D">
              <w:rPr>
                <w:rFonts w:ascii="Garamond" w:hAnsi="Garamond" w:cstheme="minorHAnsi"/>
                <w:sz w:val="22"/>
                <w:szCs w:val="22"/>
                <w:lang w:val="en-US"/>
              </w:rPr>
              <w:t>object</w:t>
            </w:r>
            <w:r w:rsidRPr="00A5626D">
              <w:rPr>
                <w:rFonts w:ascii="Garamond" w:hAnsi="Garamond" w:cstheme="minorHAnsi"/>
                <w:sz w:val="22"/>
                <w:szCs w:val="22"/>
              </w:rPr>
              <w:t xml:space="preserve"> – ссылка на энергообъект, на котором расположена точка поставки </w:t>
            </w:r>
            <w:r w:rsidRPr="00A5626D">
              <w:rPr>
                <w:rFonts w:ascii="Garamond" w:hAnsi="Garamond" w:cstheme="minorHAnsi"/>
                <w:sz w:val="22"/>
                <w:szCs w:val="22"/>
                <w:highlight w:val="yellow"/>
              </w:rPr>
              <w:t>(точка присоединения)</w:t>
            </w:r>
            <w:r w:rsidRPr="00A5626D">
              <w:rPr>
                <w:rFonts w:ascii="Garamond" w:hAnsi="Garamond" w:cstheme="minorHAnsi"/>
                <w:sz w:val="22"/>
                <w:szCs w:val="22"/>
              </w:rPr>
              <w:t>. Принимает значение из справочника энергообъектов (элемент &lt;</w:t>
            </w:r>
            <w:r w:rsidRPr="00A5626D">
              <w:rPr>
                <w:rFonts w:ascii="Garamond" w:hAnsi="Garamond" w:cstheme="minorHAnsi"/>
                <w:b/>
                <w:sz w:val="22"/>
                <w:szCs w:val="22"/>
                <w:lang w:val="en-US"/>
              </w:rPr>
              <w:t>power</w:t>
            </w:r>
            <w:r w:rsidRPr="00A5626D">
              <w:rPr>
                <w:rFonts w:ascii="Garamond" w:hAnsi="Garamond" w:cstheme="minorHAnsi"/>
                <w:b/>
                <w:sz w:val="22"/>
                <w:szCs w:val="22"/>
              </w:rPr>
              <w:t>-</w:t>
            </w:r>
            <w:r w:rsidRPr="00A5626D">
              <w:rPr>
                <w:rFonts w:ascii="Garamond" w:hAnsi="Garamond" w:cstheme="minorHAnsi"/>
                <w:b/>
                <w:sz w:val="22"/>
                <w:szCs w:val="22"/>
                <w:lang w:val="en-US"/>
              </w:rPr>
              <w:t>objects</w:t>
            </w:r>
            <w:r w:rsidRPr="00A5626D">
              <w:rPr>
                <w:rFonts w:ascii="Garamond" w:hAnsi="Garamond" w:cstheme="minorHAnsi"/>
                <w:sz w:val="22"/>
                <w:szCs w:val="22"/>
              </w:rPr>
              <w:t>&gt;). Является обязательным атрибутом для всех ТП, кроме групповых, для групповых точек не заполняется;</w:t>
            </w:r>
          </w:p>
          <w:p w14:paraId="36AE640E" w14:textId="77777777" w:rsidR="00295C6D" w:rsidRPr="00A5626D" w:rsidRDefault="00295C6D" w:rsidP="00295C6D">
            <w:pPr>
              <w:widowControl w:val="0"/>
              <w:numPr>
                <w:ilvl w:val="0"/>
                <w:numId w:val="240"/>
              </w:numPr>
              <w:tabs>
                <w:tab w:val="left" w:pos="1134"/>
                <w:tab w:val="left" w:pos="7938"/>
              </w:tabs>
              <w:suppressAutoHyphens w:val="0"/>
              <w:autoSpaceDE w:val="0"/>
              <w:autoSpaceDN w:val="0"/>
              <w:adjustRightInd w:val="0"/>
              <w:spacing w:before="60" w:after="60"/>
              <w:ind w:left="0" w:firstLine="456"/>
              <w:jc w:val="both"/>
              <w:rPr>
                <w:rFonts w:ascii="Garamond" w:hAnsi="Garamond" w:cstheme="minorHAnsi"/>
                <w:sz w:val="22"/>
                <w:szCs w:val="22"/>
              </w:rPr>
            </w:pPr>
            <w:r w:rsidRPr="00A5626D">
              <w:rPr>
                <w:rFonts w:ascii="Garamond" w:hAnsi="Garamond" w:cstheme="minorHAnsi"/>
                <w:sz w:val="22"/>
                <w:szCs w:val="22"/>
              </w:rPr>
              <w:t>method – алгоритм приведения показаний незакодированных РИП к значению количества электроэнергии в точке поставки. Недопустимо заполнять поле информацией, которая присутствует в части Алгоритма в разделе &lt;</w:t>
            </w:r>
            <w:r w:rsidRPr="00A5626D">
              <w:rPr>
                <w:rFonts w:ascii="Garamond" w:hAnsi="Garamond" w:cstheme="minorHAnsi"/>
                <w:b/>
                <w:sz w:val="22"/>
                <w:szCs w:val="22"/>
              </w:rPr>
              <w:t>aup-delivery-points</w:t>
            </w:r>
            <w:r w:rsidRPr="00A5626D">
              <w:rPr>
                <w:rFonts w:ascii="Garamond" w:hAnsi="Garamond" w:cstheme="minorHAnsi"/>
                <w:sz w:val="22"/>
                <w:szCs w:val="22"/>
              </w:rPr>
              <w:t>&gt;. Текстовое поле длиной не более 250 символов. Обязательный атрибут для ТП, которые имеют незакодированные РИП. Не должен заполняться для всех остальных ТП;</w:t>
            </w:r>
          </w:p>
          <w:p w14:paraId="5B412BE0" w14:textId="77777777" w:rsidR="00295C6D" w:rsidRPr="00A5626D" w:rsidRDefault="00295C6D" w:rsidP="00295C6D">
            <w:pPr>
              <w:widowControl w:val="0"/>
              <w:numPr>
                <w:ilvl w:val="0"/>
                <w:numId w:val="240"/>
              </w:numPr>
              <w:tabs>
                <w:tab w:val="left" w:pos="1134"/>
                <w:tab w:val="left" w:pos="7938"/>
              </w:tabs>
              <w:suppressAutoHyphens w:val="0"/>
              <w:autoSpaceDE w:val="0"/>
              <w:autoSpaceDN w:val="0"/>
              <w:adjustRightInd w:val="0"/>
              <w:spacing w:before="60" w:after="60"/>
              <w:ind w:left="0" w:firstLine="456"/>
              <w:jc w:val="both"/>
              <w:rPr>
                <w:rFonts w:ascii="Garamond" w:hAnsi="Garamond" w:cstheme="minorHAnsi"/>
                <w:sz w:val="22"/>
                <w:szCs w:val="22"/>
              </w:rPr>
            </w:pPr>
            <w:r w:rsidRPr="00A5626D">
              <w:rPr>
                <w:rFonts w:ascii="Garamond" w:hAnsi="Garamond" w:cstheme="minorHAnsi"/>
                <w:sz w:val="22"/>
                <w:szCs w:val="22"/>
              </w:rPr>
              <w:t xml:space="preserve">schemanum – номер точки поставки </w:t>
            </w:r>
            <w:r w:rsidRPr="00A5626D">
              <w:rPr>
                <w:rFonts w:ascii="Garamond" w:hAnsi="Garamond" w:cstheme="minorHAnsi"/>
                <w:sz w:val="22"/>
                <w:szCs w:val="22"/>
                <w:highlight w:val="yellow"/>
              </w:rPr>
              <w:t>(точки присоединения)</w:t>
            </w:r>
            <w:r w:rsidRPr="00A5626D">
              <w:rPr>
                <w:rFonts w:ascii="Garamond" w:hAnsi="Garamond" w:cstheme="minorHAnsi"/>
                <w:sz w:val="22"/>
                <w:szCs w:val="22"/>
              </w:rPr>
              <w:t xml:space="preserve"> в соответствии с однолинейной схемой. Текстовое поле не более 10 символов. Обязателен к заполнению для всех ТП, кроме групповых;</w:t>
            </w:r>
          </w:p>
          <w:p w14:paraId="6E3D1274" w14:textId="77777777" w:rsidR="00295C6D" w:rsidRPr="00A5626D" w:rsidRDefault="00295C6D" w:rsidP="00295C6D">
            <w:pPr>
              <w:widowControl w:val="0"/>
              <w:numPr>
                <w:ilvl w:val="0"/>
                <w:numId w:val="240"/>
              </w:numPr>
              <w:tabs>
                <w:tab w:val="left" w:pos="1134"/>
                <w:tab w:val="left" w:pos="7938"/>
              </w:tabs>
              <w:suppressAutoHyphens w:val="0"/>
              <w:autoSpaceDE w:val="0"/>
              <w:autoSpaceDN w:val="0"/>
              <w:adjustRightInd w:val="0"/>
              <w:spacing w:before="60" w:after="60"/>
              <w:ind w:left="0" w:firstLine="456"/>
              <w:jc w:val="both"/>
              <w:rPr>
                <w:rFonts w:ascii="Garamond" w:hAnsi="Garamond" w:cstheme="minorHAnsi"/>
                <w:sz w:val="22"/>
                <w:szCs w:val="22"/>
              </w:rPr>
            </w:pPr>
            <w:r w:rsidRPr="00A5626D">
              <w:rPr>
                <w:rFonts w:ascii="Garamond" w:hAnsi="Garamond" w:cstheme="minorHAnsi"/>
                <w:sz w:val="22"/>
                <w:szCs w:val="22"/>
              </w:rPr>
              <w:t>power – значение присоединенной мощности «малой» точки поставки в В·А. Заполняется числовым значением. Не заполняется для групповых точек. Обязательный атрибут, если данная ТП или групповая ТП, в которую входит данная точка, относится к «малому» присоединению, т. е. связана хотя бы с одной ТИ, не включенной в АИИС;</w:t>
            </w:r>
          </w:p>
          <w:p w14:paraId="37F9E36D" w14:textId="77777777" w:rsidR="00295C6D" w:rsidRPr="00A5626D" w:rsidRDefault="00295C6D" w:rsidP="00295C6D">
            <w:pPr>
              <w:widowControl w:val="0"/>
              <w:numPr>
                <w:ilvl w:val="0"/>
                <w:numId w:val="240"/>
              </w:numPr>
              <w:tabs>
                <w:tab w:val="left" w:pos="1134"/>
                <w:tab w:val="left" w:pos="7938"/>
              </w:tabs>
              <w:suppressAutoHyphens w:val="0"/>
              <w:autoSpaceDE w:val="0"/>
              <w:autoSpaceDN w:val="0"/>
              <w:adjustRightInd w:val="0"/>
              <w:spacing w:before="60" w:after="60"/>
              <w:ind w:left="0" w:firstLine="456"/>
              <w:jc w:val="both"/>
              <w:rPr>
                <w:rFonts w:ascii="Garamond" w:hAnsi="Garamond" w:cstheme="minorHAnsi"/>
                <w:sz w:val="22"/>
                <w:szCs w:val="22"/>
              </w:rPr>
            </w:pPr>
            <w:r w:rsidRPr="00A5626D">
              <w:rPr>
                <w:rFonts w:ascii="Garamond" w:hAnsi="Garamond" w:cstheme="minorHAnsi"/>
                <w:sz w:val="22"/>
                <w:szCs w:val="22"/>
              </w:rPr>
              <w:t xml:space="preserve">point-voltage – уровень напряжения точки, размерность: В </w:t>
            </w:r>
            <w:r w:rsidRPr="00A5626D">
              <w:rPr>
                <w:rFonts w:ascii="Garamond" w:hAnsi="Garamond" w:cstheme="minorHAnsi"/>
                <w:sz w:val="22"/>
                <w:szCs w:val="22"/>
              </w:rPr>
              <w:lastRenderedPageBreak/>
              <w:t>(вольт). Число не более 10 символов, значение «0» недопустимо. Является обязательным атрибутом, если точка является не групповой, для групповой не заполняется.</w:t>
            </w:r>
          </w:p>
          <w:p w14:paraId="0896AD09" w14:textId="77777777" w:rsidR="00295C6D" w:rsidRPr="00A5626D" w:rsidRDefault="00295C6D" w:rsidP="00E31AE6">
            <w:pPr>
              <w:tabs>
                <w:tab w:val="left" w:pos="1134"/>
                <w:tab w:val="left" w:pos="7938"/>
              </w:tabs>
              <w:spacing w:before="120" w:after="120"/>
              <w:ind w:firstLine="456"/>
              <w:jc w:val="both"/>
              <w:rPr>
                <w:rFonts w:ascii="Garamond" w:hAnsi="Garamond" w:cstheme="minorHAnsi"/>
                <w:sz w:val="22"/>
                <w:szCs w:val="22"/>
              </w:rPr>
            </w:pPr>
            <w:r w:rsidRPr="00A5626D">
              <w:rPr>
                <w:rFonts w:ascii="Garamond" w:hAnsi="Garamond" w:cstheme="minorHAnsi"/>
                <w:sz w:val="22"/>
                <w:szCs w:val="22"/>
              </w:rPr>
              <w:t xml:space="preserve">Дочерними элементами являются: </w:t>
            </w:r>
            <w:r w:rsidRPr="00A5626D">
              <w:rPr>
                <w:rFonts w:ascii="Garamond" w:hAnsi="Garamond" w:cstheme="minorHAnsi"/>
                <w:b/>
                <w:sz w:val="22"/>
                <w:szCs w:val="22"/>
              </w:rPr>
              <w:t>&lt;</w:t>
            </w:r>
            <w:r w:rsidRPr="00A5626D">
              <w:rPr>
                <w:rFonts w:ascii="Garamond" w:hAnsi="Garamond" w:cstheme="minorHAnsi"/>
                <w:b/>
                <w:sz w:val="22"/>
                <w:szCs w:val="22"/>
                <w:lang w:val="en-US"/>
              </w:rPr>
              <w:t>name</w:t>
            </w:r>
            <w:r w:rsidRPr="00A5626D">
              <w:rPr>
                <w:rFonts w:ascii="Garamond" w:hAnsi="Garamond" w:cstheme="minorHAnsi"/>
                <w:b/>
                <w:sz w:val="22"/>
                <w:szCs w:val="22"/>
              </w:rPr>
              <w:t>&gt;, &lt;</w:t>
            </w:r>
            <w:r w:rsidRPr="00A5626D">
              <w:rPr>
                <w:rFonts w:ascii="Garamond" w:hAnsi="Garamond" w:cstheme="minorHAnsi"/>
                <w:b/>
                <w:sz w:val="22"/>
                <w:szCs w:val="22"/>
                <w:lang w:val="en-US"/>
              </w:rPr>
              <w:t>comment</w:t>
            </w:r>
            <w:r w:rsidRPr="00A5626D">
              <w:rPr>
                <w:rFonts w:ascii="Garamond" w:hAnsi="Garamond" w:cstheme="minorHAnsi"/>
                <w:b/>
                <w:sz w:val="22"/>
                <w:szCs w:val="22"/>
              </w:rPr>
              <w:t>&gt;.</w:t>
            </w:r>
          </w:p>
        </w:tc>
      </w:tr>
      <w:tr w:rsidR="00295C6D" w:rsidRPr="00A5626D" w14:paraId="48F7B95A" w14:textId="77777777" w:rsidTr="00647FA0">
        <w:tc>
          <w:tcPr>
            <w:tcW w:w="1060" w:type="dxa"/>
            <w:vAlign w:val="center"/>
          </w:tcPr>
          <w:p w14:paraId="12C25131" w14:textId="4B195E62" w:rsidR="00295C6D" w:rsidRPr="00A5626D" w:rsidRDefault="00295C6D" w:rsidP="00E31AE6">
            <w:pPr>
              <w:widowControl w:val="0"/>
              <w:tabs>
                <w:tab w:val="left" w:pos="1134"/>
                <w:tab w:val="left" w:pos="7938"/>
              </w:tabs>
              <w:spacing w:line="22" w:lineRule="atLeast"/>
              <w:jc w:val="both"/>
              <w:rPr>
                <w:rFonts w:ascii="Garamond" w:hAnsi="Garamond"/>
                <w:b/>
                <w:sz w:val="22"/>
                <w:szCs w:val="22"/>
                <w:lang w:eastAsia="en-US"/>
              </w:rPr>
            </w:pPr>
            <w:r w:rsidRPr="00A5626D">
              <w:rPr>
                <w:rFonts w:ascii="Garamond" w:hAnsi="Garamond"/>
                <w:b/>
                <w:sz w:val="22"/>
                <w:szCs w:val="22"/>
                <w:lang w:eastAsia="en-US"/>
              </w:rPr>
              <w:lastRenderedPageBreak/>
              <w:t>Приложение 5, п.</w:t>
            </w:r>
            <w:r w:rsidR="00647FA0" w:rsidRPr="00A5626D">
              <w:rPr>
                <w:rFonts w:ascii="Garamond" w:hAnsi="Garamond"/>
                <w:b/>
                <w:sz w:val="22"/>
                <w:szCs w:val="22"/>
                <w:lang w:eastAsia="en-US"/>
              </w:rPr>
              <w:t> </w:t>
            </w:r>
            <w:r w:rsidRPr="00A5626D">
              <w:rPr>
                <w:rFonts w:ascii="Garamond" w:hAnsi="Garamond"/>
                <w:b/>
                <w:sz w:val="22"/>
                <w:szCs w:val="22"/>
                <w:lang w:eastAsia="en-US"/>
              </w:rPr>
              <w:t>4.4.1.2.1.6.1.1</w:t>
            </w:r>
          </w:p>
        </w:tc>
        <w:tc>
          <w:tcPr>
            <w:tcW w:w="6662" w:type="dxa"/>
          </w:tcPr>
          <w:p w14:paraId="43B18DA2" w14:textId="77777777" w:rsidR="00295C6D" w:rsidRPr="00A5626D" w:rsidRDefault="00295C6D" w:rsidP="00E31AE6">
            <w:pPr>
              <w:tabs>
                <w:tab w:val="left" w:pos="1134"/>
                <w:tab w:val="left" w:pos="7938"/>
              </w:tabs>
              <w:spacing w:before="120" w:after="120"/>
              <w:ind w:firstLine="456"/>
              <w:jc w:val="both"/>
              <w:rPr>
                <w:rFonts w:ascii="Garamond" w:hAnsi="Garamond" w:cstheme="minorHAnsi"/>
                <w:sz w:val="22"/>
                <w:szCs w:val="22"/>
              </w:rPr>
            </w:pPr>
            <w:r w:rsidRPr="00A5626D">
              <w:rPr>
                <w:rFonts w:ascii="Garamond" w:hAnsi="Garamond" w:cstheme="minorHAnsi"/>
                <w:sz w:val="22"/>
                <w:szCs w:val="22"/>
              </w:rPr>
              <w:t>&lt;name&gt;</w:t>
            </w:r>
          </w:p>
          <w:p w14:paraId="0D93489C" w14:textId="77777777" w:rsidR="00295C6D" w:rsidRPr="00A5626D" w:rsidRDefault="00295C6D" w:rsidP="00E31AE6">
            <w:pPr>
              <w:tabs>
                <w:tab w:val="left" w:pos="1134"/>
                <w:tab w:val="left" w:pos="7938"/>
              </w:tabs>
              <w:spacing w:before="120" w:after="120"/>
              <w:ind w:firstLine="456"/>
              <w:jc w:val="both"/>
              <w:rPr>
                <w:rFonts w:ascii="Garamond" w:hAnsi="Garamond" w:cstheme="minorHAnsi"/>
                <w:sz w:val="22"/>
                <w:szCs w:val="22"/>
              </w:rPr>
            </w:pPr>
            <w:r w:rsidRPr="00A5626D">
              <w:rPr>
                <w:rFonts w:ascii="Garamond" w:hAnsi="Garamond" w:cstheme="minorHAnsi"/>
                <w:sz w:val="22"/>
                <w:szCs w:val="22"/>
              </w:rPr>
              <w:t>Элемент &lt;</w:t>
            </w:r>
            <w:r w:rsidRPr="00A5626D">
              <w:rPr>
                <w:rFonts w:ascii="Garamond" w:eastAsia="Calibri" w:hAnsi="Garamond" w:cstheme="minorHAnsi"/>
                <w:b/>
                <w:sz w:val="22"/>
                <w:szCs w:val="22"/>
                <w:lang w:val="en-US"/>
              </w:rPr>
              <w:t>name</w:t>
            </w:r>
            <w:r w:rsidRPr="00A5626D">
              <w:rPr>
                <w:rFonts w:ascii="Garamond" w:hAnsi="Garamond" w:cstheme="minorHAnsi"/>
                <w:sz w:val="22"/>
                <w:szCs w:val="22"/>
              </w:rPr>
              <w:t xml:space="preserve">&gt; </w:t>
            </w:r>
            <w:r w:rsidRPr="00A5626D">
              <w:rPr>
                <w:rFonts w:ascii="Garamond" w:hAnsi="Garamond" w:cstheme="minorHAnsi"/>
                <w:sz w:val="22"/>
                <w:szCs w:val="22"/>
                <w:lang w:val="en-US"/>
              </w:rPr>
              <w:t>c</w:t>
            </w:r>
            <w:r w:rsidRPr="00A5626D">
              <w:rPr>
                <w:rFonts w:ascii="Garamond" w:hAnsi="Garamond" w:cstheme="minorHAnsi"/>
                <w:sz w:val="22"/>
                <w:szCs w:val="22"/>
              </w:rPr>
              <w:t>одержит атрибуты, на основании которых формируется наименование точки поставки.</w:t>
            </w:r>
          </w:p>
          <w:p w14:paraId="66554A75" w14:textId="77777777" w:rsidR="00295C6D" w:rsidRPr="00A5626D" w:rsidRDefault="00295C6D" w:rsidP="00E31AE6">
            <w:pPr>
              <w:widowControl w:val="0"/>
              <w:tabs>
                <w:tab w:val="left" w:pos="1134"/>
                <w:tab w:val="left" w:pos="7938"/>
              </w:tabs>
              <w:autoSpaceDE w:val="0"/>
              <w:autoSpaceDN w:val="0"/>
              <w:adjustRightInd w:val="0"/>
              <w:spacing w:before="60" w:after="60" w:line="276" w:lineRule="auto"/>
              <w:ind w:firstLine="456"/>
              <w:jc w:val="both"/>
              <w:rPr>
                <w:rFonts w:ascii="Garamond" w:hAnsi="Garamond" w:cstheme="minorHAnsi"/>
                <w:sz w:val="22"/>
                <w:szCs w:val="22"/>
              </w:rPr>
            </w:pPr>
            <w:r w:rsidRPr="00A5626D">
              <w:rPr>
                <w:rFonts w:ascii="Garamond" w:hAnsi="Garamond" w:cstheme="minorHAnsi"/>
                <w:bCs/>
                <w:sz w:val="22"/>
                <w:szCs w:val="22"/>
              </w:rPr>
              <w:t>Обязательный элемент для не групповой точки, для групповой точки должен отсутствовать</w:t>
            </w:r>
            <w:r w:rsidRPr="00A5626D">
              <w:rPr>
                <w:rFonts w:ascii="Garamond" w:hAnsi="Garamond" w:cstheme="minorHAnsi"/>
                <w:sz w:val="22"/>
                <w:szCs w:val="22"/>
              </w:rPr>
              <w:t>. Допускается наличие только одного элемента для каждой точки поставки.</w:t>
            </w:r>
          </w:p>
          <w:p w14:paraId="711656C6" w14:textId="77777777" w:rsidR="00295C6D" w:rsidRPr="00A5626D" w:rsidRDefault="00295C6D" w:rsidP="00E31AE6">
            <w:pPr>
              <w:tabs>
                <w:tab w:val="left" w:pos="1134"/>
                <w:tab w:val="left" w:pos="7938"/>
              </w:tabs>
              <w:spacing w:before="120" w:after="120"/>
              <w:ind w:firstLine="456"/>
              <w:jc w:val="both"/>
              <w:rPr>
                <w:rFonts w:ascii="Garamond" w:hAnsi="Garamond" w:cstheme="minorHAnsi"/>
                <w:sz w:val="22"/>
                <w:szCs w:val="22"/>
              </w:rPr>
            </w:pPr>
            <w:r w:rsidRPr="00A5626D">
              <w:rPr>
                <w:rFonts w:ascii="Garamond" w:hAnsi="Garamond" w:cstheme="minorHAnsi"/>
                <w:sz w:val="22"/>
                <w:szCs w:val="22"/>
              </w:rPr>
              <w:t>Атрибутами элемента &lt;</w:t>
            </w:r>
            <w:r w:rsidRPr="00A5626D">
              <w:rPr>
                <w:rFonts w:ascii="Garamond" w:eastAsia="Calibri" w:hAnsi="Garamond" w:cstheme="minorHAnsi"/>
                <w:b/>
                <w:sz w:val="22"/>
                <w:szCs w:val="22"/>
                <w:lang w:val="en-US"/>
              </w:rPr>
              <w:t>name</w:t>
            </w:r>
            <w:r w:rsidRPr="00A5626D">
              <w:rPr>
                <w:rFonts w:ascii="Garamond" w:hAnsi="Garamond" w:cstheme="minorHAnsi"/>
                <w:sz w:val="22"/>
                <w:szCs w:val="22"/>
              </w:rPr>
              <w:t>&gt; являются:</w:t>
            </w:r>
          </w:p>
          <w:p w14:paraId="010BD5D5" w14:textId="77777777" w:rsidR="00295C6D" w:rsidRPr="00A5626D" w:rsidRDefault="00295C6D" w:rsidP="00295C6D">
            <w:pPr>
              <w:widowControl w:val="0"/>
              <w:numPr>
                <w:ilvl w:val="0"/>
                <w:numId w:val="240"/>
              </w:numPr>
              <w:tabs>
                <w:tab w:val="left" w:pos="1134"/>
                <w:tab w:val="left" w:pos="7938"/>
              </w:tabs>
              <w:suppressAutoHyphens w:val="0"/>
              <w:autoSpaceDE w:val="0"/>
              <w:autoSpaceDN w:val="0"/>
              <w:adjustRightInd w:val="0"/>
              <w:spacing w:after="240"/>
              <w:ind w:left="0" w:firstLine="456"/>
              <w:jc w:val="both"/>
              <w:rPr>
                <w:rFonts w:ascii="Garamond" w:hAnsi="Garamond" w:cstheme="minorHAnsi"/>
                <w:sz w:val="22"/>
                <w:szCs w:val="22"/>
              </w:rPr>
            </w:pPr>
            <w:r w:rsidRPr="00A5626D">
              <w:rPr>
                <w:rFonts w:ascii="Garamond" w:hAnsi="Garamond" w:cstheme="minorHAnsi"/>
                <w:sz w:val="22"/>
                <w:szCs w:val="22"/>
                <w:lang w:val="en-US"/>
              </w:rPr>
              <w:t>power</w:t>
            </w:r>
            <w:r w:rsidRPr="00A5626D">
              <w:rPr>
                <w:rFonts w:ascii="Garamond" w:hAnsi="Garamond" w:cstheme="minorHAnsi"/>
                <w:sz w:val="22"/>
                <w:szCs w:val="22"/>
              </w:rPr>
              <w:t>-</w:t>
            </w:r>
            <w:r w:rsidRPr="00A5626D">
              <w:rPr>
                <w:rFonts w:ascii="Garamond" w:hAnsi="Garamond" w:cstheme="minorHAnsi"/>
                <w:sz w:val="22"/>
                <w:szCs w:val="22"/>
                <w:lang w:val="en-US"/>
              </w:rPr>
              <w:t>object</w:t>
            </w:r>
            <w:r w:rsidRPr="00A5626D">
              <w:rPr>
                <w:rFonts w:ascii="Garamond" w:hAnsi="Garamond" w:cstheme="minorHAnsi"/>
                <w:sz w:val="22"/>
                <w:szCs w:val="22"/>
              </w:rPr>
              <w:t>-</w:t>
            </w:r>
            <w:r w:rsidRPr="00A5626D">
              <w:rPr>
                <w:rFonts w:ascii="Garamond" w:hAnsi="Garamond" w:cstheme="minorHAnsi"/>
                <w:sz w:val="22"/>
                <w:szCs w:val="22"/>
                <w:lang w:val="en-US"/>
              </w:rPr>
              <w:t>name</w:t>
            </w:r>
            <w:r w:rsidRPr="00A5626D">
              <w:rPr>
                <w:rFonts w:ascii="Garamond" w:hAnsi="Garamond" w:cstheme="minorHAnsi"/>
                <w:sz w:val="22"/>
                <w:szCs w:val="22"/>
              </w:rPr>
              <w:t xml:space="preserve"> – наименование энергообъекта, на котором располагается точка поставки. Наименование энергообъекта указывается на основании раздела 4 «Правила присвоения наименований точкам поставки» приложения 5 к </w:t>
            </w:r>
            <w:r w:rsidRPr="00A5626D">
              <w:rPr>
                <w:rFonts w:ascii="Garamond" w:hAnsi="Garamond" w:cstheme="minorHAnsi"/>
                <w:i/>
                <w:sz w:val="22"/>
                <w:szCs w:val="22"/>
              </w:rPr>
              <w:t>Положению о порядке получения статуса субъекта оптового рынка и ведения реестра субъектов оптового рынка</w:t>
            </w:r>
            <w:r w:rsidRPr="00A5626D">
              <w:rPr>
                <w:rFonts w:ascii="Garamond" w:hAnsi="Garamond" w:cstheme="minorHAnsi"/>
                <w:sz w:val="22"/>
                <w:szCs w:val="22"/>
              </w:rPr>
              <w:t xml:space="preserve"> </w:t>
            </w:r>
            <w:r w:rsidRPr="00A5626D">
              <w:rPr>
                <w:rFonts w:ascii="Garamond" w:eastAsia="Batang" w:hAnsi="Garamond" w:cstheme="minorHAnsi"/>
                <w:sz w:val="22"/>
                <w:szCs w:val="22"/>
                <w:lang w:eastAsia="ko-KR"/>
              </w:rPr>
              <w:t xml:space="preserve">(Приложение № 1.1 к </w:t>
            </w:r>
            <w:r w:rsidRPr="00A5626D">
              <w:rPr>
                <w:rFonts w:ascii="Garamond" w:eastAsia="Batang" w:hAnsi="Garamond" w:cstheme="minorHAnsi"/>
                <w:i/>
                <w:sz w:val="22"/>
                <w:szCs w:val="22"/>
                <w:lang w:eastAsia="ko-KR"/>
              </w:rPr>
              <w:t>Договору о присоединении к торговой системе оптового рынка</w:t>
            </w:r>
            <w:r w:rsidRPr="00A5626D">
              <w:rPr>
                <w:rFonts w:ascii="Garamond" w:eastAsia="Batang" w:hAnsi="Garamond" w:cstheme="minorHAnsi"/>
                <w:sz w:val="22"/>
                <w:szCs w:val="22"/>
                <w:lang w:eastAsia="ko-KR"/>
              </w:rPr>
              <w:t>)</w:t>
            </w:r>
            <w:r w:rsidRPr="00A5626D">
              <w:rPr>
                <w:rFonts w:ascii="Garamond" w:hAnsi="Garamond" w:cstheme="minorHAnsi"/>
                <w:sz w:val="22"/>
                <w:szCs w:val="22"/>
              </w:rPr>
              <w:t xml:space="preserve"> в соответствии с типом энергообъекта (оборудования), </w:t>
            </w:r>
            <w:r w:rsidRPr="00A5626D">
              <w:rPr>
                <w:rFonts w:ascii="Garamond" w:hAnsi="Garamond" w:cstheme="minorHAnsi"/>
                <w:sz w:val="22"/>
                <w:szCs w:val="22"/>
                <w:highlight w:val="yellow"/>
              </w:rPr>
              <w:t>на котором расположена точка поставки</w:t>
            </w:r>
            <w:r w:rsidRPr="00A5626D">
              <w:rPr>
                <w:rFonts w:ascii="Garamond" w:hAnsi="Garamond" w:cstheme="minorHAnsi"/>
                <w:sz w:val="22"/>
                <w:szCs w:val="22"/>
              </w:rPr>
              <w:t>. Текстовое поле не более 250 символов. Является обязательным атрибутом;</w:t>
            </w:r>
          </w:p>
          <w:p w14:paraId="3E16EF12" w14:textId="77777777" w:rsidR="00295C6D" w:rsidRPr="00A5626D" w:rsidRDefault="00295C6D" w:rsidP="00295C6D">
            <w:pPr>
              <w:widowControl w:val="0"/>
              <w:numPr>
                <w:ilvl w:val="0"/>
                <w:numId w:val="240"/>
              </w:numPr>
              <w:tabs>
                <w:tab w:val="left" w:pos="1134"/>
                <w:tab w:val="left" w:pos="7938"/>
              </w:tabs>
              <w:suppressAutoHyphens w:val="0"/>
              <w:autoSpaceDE w:val="0"/>
              <w:autoSpaceDN w:val="0"/>
              <w:adjustRightInd w:val="0"/>
              <w:ind w:left="0" w:firstLine="456"/>
              <w:jc w:val="both"/>
              <w:rPr>
                <w:rFonts w:ascii="Garamond" w:hAnsi="Garamond" w:cstheme="minorHAnsi"/>
                <w:sz w:val="22"/>
                <w:szCs w:val="22"/>
              </w:rPr>
            </w:pPr>
            <w:r w:rsidRPr="00A5626D">
              <w:rPr>
                <w:rFonts w:ascii="Garamond" w:hAnsi="Garamond" w:cstheme="minorHAnsi"/>
                <w:sz w:val="22"/>
                <w:szCs w:val="22"/>
              </w:rPr>
              <w:t xml:space="preserve">location-description – описание месторасположения точки поставки на однолинейной схеме. Описание месторасположения указывается на основании раздела 4 «Правила присвоения наименований точкам поставки» приложения 5 к </w:t>
            </w:r>
            <w:r w:rsidRPr="00A5626D">
              <w:rPr>
                <w:rFonts w:ascii="Garamond" w:hAnsi="Garamond" w:cstheme="minorHAnsi"/>
                <w:i/>
                <w:sz w:val="22"/>
                <w:szCs w:val="22"/>
              </w:rPr>
              <w:t>Положению о порядке получения статуса субъекта оптового рынка и ведения реестра субъектов оптового рынка</w:t>
            </w:r>
            <w:r w:rsidRPr="00A5626D">
              <w:rPr>
                <w:rFonts w:ascii="Garamond" w:hAnsi="Garamond" w:cstheme="minorHAnsi"/>
                <w:sz w:val="22"/>
                <w:szCs w:val="22"/>
              </w:rPr>
              <w:t xml:space="preserve"> </w:t>
            </w:r>
            <w:r w:rsidRPr="00A5626D">
              <w:rPr>
                <w:rFonts w:ascii="Garamond" w:eastAsia="Batang" w:hAnsi="Garamond" w:cstheme="minorHAnsi"/>
                <w:sz w:val="22"/>
                <w:szCs w:val="22"/>
                <w:lang w:eastAsia="ko-KR"/>
              </w:rPr>
              <w:t xml:space="preserve">(Приложение № 1.1 к </w:t>
            </w:r>
            <w:r w:rsidRPr="00A5626D">
              <w:rPr>
                <w:rFonts w:ascii="Garamond" w:eastAsia="Batang" w:hAnsi="Garamond" w:cstheme="minorHAnsi"/>
                <w:i/>
                <w:sz w:val="22"/>
                <w:szCs w:val="22"/>
                <w:lang w:eastAsia="ko-KR"/>
              </w:rPr>
              <w:t>Договору о присоединении к торговой системе оптового рынка</w:t>
            </w:r>
            <w:r w:rsidRPr="00A5626D">
              <w:rPr>
                <w:rFonts w:ascii="Garamond" w:eastAsia="Batang" w:hAnsi="Garamond" w:cstheme="minorHAnsi"/>
                <w:sz w:val="22"/>
                <w:szCs w:val="22"/>
                <w:lang w:eastAsia="ko-KR"/>
              </w:rPr>
              <w:t xml:space="preserve">) </w:t>
            </w:r>
            <w:r w:rsidRPr="00A5626D">
              <w:rPr>
                <w:rFonts w:ascii="Garamond" w:hAnsi="Garamond" w:cstheme="minorHAnsi"/>
                <w:sz w:val="22"/>
                <w:szCs w:val="22"/>
              </w:rPr>
              <w:t>в соответствии с типом энергообъекта (оборудования), на котором расположена точка поставки. Текстовое поле не более 250 символов. Является обязательным атрибутом, если не заполнен атрибут &lt;connection-name&gt;</w:t>
            </w:r>
            <w:r w:rsidRPr="00C6418D">
              <w:rPr>
                <w:rFonts w:ascii="Garamond" w:hAnsi="Garamond" w:cstheme="minorHAnsi"/>
                <w:sz w:val="22"/>
                <w:szCs w:val="22"/>
                <w:highlight w:val="yellow"/>
              </w:rPr>
              <w:t>.</w:t>
            </w:r>
          </w:p>
          <w:p w14:paraId="10DE6334" w14:textId="77777777" w:rsidR="00295C6D" w:rsidRPr="00A5626D" w:rsidRDefault="00295C6D" w:rsidP="00295C6D">
            <w:pPr>
              <w:widowControl w:val="0"/>
              <w:numPr>
                <w:ilvl w:val="0"/>
                <w:numId w:val="240"/>
              </w:numPr>
              <w:tabs>
                <w:tab w:val="left" w:pos="1134"/>
                <w:tab w:val="left" w:pos="7938"/>
              </w:tabs>
              <w:suppressAutoHyphens w:val="0"/>
              <w:autoSpaceDE w:val="0"/>
              <w:autoSpaceDN w:val="0"/>
              <w:adjustRightInd w:val="0"/>
              <w:ind w:left="0" w:firstLine="456"/>
              <w:jc w:val="both"/>
              <w:rPr>
                <w:rFonts w:ascii="Garamond" w:hAnsi="Garamond" w:cstheme="minorHAnsi"/>
                <w:sz w:val="22"/>
                <w:szCs w:val="22"/>
              </w:rPr>
            </w:pPr>
            <w:r w:rsidRPr="00A5626D">
              <w:rPr>
                <w:rFonts w:ascii="Garamond" w:hAnsi="Garamond" w:cstheme="minorHAnsi"/>
                <w:sz w:val="22"/>
                <w:szCs w:val="22"/>
              </w:rPr>
              <w:t xml:space="preserve">connection-name – наименование присоединения для точки поставки. Наименование присоединения указывается на основании раздела 4 «Правила присвоения наименований точкам </w:t>
            </w:r>
            <w:r w:rsidRPr="00A5626D">
              <w:rPr>
                <w:rFonts w:ascii="Garamond" w:hAnsi="Garamond" w:cstheme="minorHAnsi"/>
                <w:sz w:val="22"/>
                <w:szCs w:val="22"/>
              </w:rPr>
              <w:lastRenderedPageBreak/>
              <w:t xml:space="preserve">поставки» приложения 5 к </w:t>
            </w:r>
            <w:r w:rsidRPr="00A5626D">
              <w:rPr>
                <w:rFonts w:ascii="Garamond" w:hAnsi="Garamond" w:cstheme="minorHAnsi"/>
                <w:i/>
                <w:sz w:val="22"/>
                <w:szCs w:val="22"/>
              </w:rPr>
              <w:t>Положению о порядке получения статуса субъекта оптового рынка и ведения реестра субъектов оптового рынка</w:t>
            </w:r>
            <w:r w:rsidRPr="00A5626D">
              <w:rPr>
                <w:rFonts w:ascii="Garamond" w:hAnsi="Garamond" w:cstheme="minorHAnsi"/>
                <w:sz w:val="22"/>
                <w:szCs w:val="22"/>
              </w:rPr>
              <w:t xml:space="preserve"> </w:t>
            </w:r>
            <w:r w:rsidRPr="00A5626D">
              <w:rPr>
                <w:rFonts w:ascii="Garamond" w:eastAsia="Batang" w:hAnsi="Garamond" w:cstheme="minorHAnsi"/>
                <w:sz w:val="22"/>
                <w:szCs w:val="22"/>
                <w:lang w:eastAsia="ko-KR"/>
              </w:rPr>
              <w:t xml:space="preserve">(Приложение № 1.1 к </w:t>
            </w:r>
            <w:r w:rsidRPr="00A5626D">
              <w:rPr>
                <w:rFonts w:ascii="Garamond" w:eastAsia="Batang" w:hAnsi="Garamond" w:cstheme="minorHAnsi"/>
                <w:i/>
                <w:sz w:val="22"/>
                <w:szCs w:val="22"/>
                <w:lang w:eastAsia="ko-KR"/>
              </w:rPr>
              <w:t>Договору о присоединении к торговой системе оптового рынка</w:t>
            </w:r>
            <w:r w:rsidRPr="00A5626D">
              <w:rPr>
                <w:rFonts w:ascii="Garamond" w:eastAsia="Batang" w:hAnsi="Garamond" w:cstheme="minorHAnsi"/>
                <w:sz w:val="22"/>
                <w:szCs w:val="22"/>
                <w:lang w:eastAsia="ko-KR"/>
              </w:rPr>
              <w:t xml:space="preserve">) </w:t>
            </w:r>
            <w:r w:rsidRPr="00A5626D">
              <w:rPr>
                <w:rFonts w:ascii="Garamond" w:hAnsi="Garamond" w:cstheme="minorHAnsi"/>
                <w:sz w:val="22"/>
                <w:szCs w:val="22"/>
              </w:rPr>
              <w:t xml:space="preserve">в соответствии с типом энергообъекта (оборудования), на котором расположена точка поставки. Текстовое поле не более 250 символов. Является обязательным атрибутом для точки поставки, расположенной на электростанции, подстанции, станционной подстанции и потребляющем оборудовании. Является обязательным, если не заполнен атрибут &lt;location-description&gt;. </w:t>
            </w:r>
          </w:p>
        </w:tc>
        <w:tc>
          <w:tcPr>
            <w:tcW w:w="7088" w:type="dxa"/>
          </w:tcPr>
          <w:p w14:paraId="3E9082C7" w14:textId="77777777" w:rsidR="00295C6D" w:rsidRPr="00A5626D" w:rsidRDefault="00295C6D" w:rsidP="00E31AE6">
            <w:pPr>
              <w:tabs>
                <w:tab w:val="left" w:pos="1134"/>
                <w:tab w:val="left" w:pos="7938"/>
              </w:tabs>
              <w:spacing w:before="120" w:after="120"/>
              <w:ind w:firstLine="456"/>
              <w:jc w:val="both"/>
              <w:rPr>
                <w:rFonts w:ascii="Garamond" w:hAnsi="Garamond" w:cstheme="minorHAnsi"/>
                <w:sz w:val="22"/>
                <w:szCs w:val="22"/>
              </w:rPr>
            </w:pPr>
            <w:r w:rsidRPr="00A5626D">
              <w:rPr>
                <w:rFonts w:ascii="Garamond" w:hAnsi="Garamond" w:cstheme="minorHAnsi"/>
                <w:sz w:val="22"/>
                <w:szCs w:val="22"/>
              </w:rPr>
              <w:lastRenderedPageBreak/>
              <w:t>&lt;name&gt;</w:t>
            </w:r>
          </w:p>
          <w:p w14:paraId="48F5F1AC" w14:textId="77777777" w:rsidR="00295C6D" w:rsidRPr="00A5626D" w:rsidRDefault="00295C6D" w:rsidP="00E31AE6">
            <w:pPr>
              <w:tabs>
                <w:tab w:val="left" w:pos="1134"/>
                <w:tab w:val="left" w:pos="7938"/>
              </w:tabs>
              <w:spacing w:before="120" w:after="120"/>
              <w:ind w:firstLine="456"/>
              <w:jc w:val="both"/>
              <w:rPr>
                <w:rFonts w:ascii="Garamond" w:hAnsi="Garamond" w:cstheme="minorHAnsi"/>
                <w:sz w:val="22"/>
                <w:szCs w:val="22"/>
              </w:rPr>
            </w:pPr>
            <w:r w:rsidRPr="00A5626D">
              <w:rPr>
                <w:rFonts w:ascii="Garamond" w:hAnsi="Garamond" w:cstheme="minorHAnsi"/>
                <w:sz w:val="22"/>
                <w:szCs w:val="22"/>
              </w:rPr>
              <w:t>Элемент &lt;</w:t>
            </w:r>
            <w:r w:rsidRPr="00A5626D">
              <w:rPr>
                <w:rFonts w:ascii="Garamond" w:eastAsia="Calibri" w:hAnsi="Garamond" w:cstheme="minorHAnsi"/>
                <w:b/>
                <w:sz w:val="22"/>
                <w:szCs w:val="22"/>
                <w:lang w:val="en-US"/>
              </w:rPr>
              <w:t>name</w:t>
            </w:r>
            <w:r w:rsidRPr="00A5626D">
              <w:rPr>
                <w:rFonts w:ascii="Garamond" w:hAnsi="Garamond" w:cstheme="minorHAnsi"/>
                <w:sz w:val="22"/>
                <w:szCs w:val="22"/>
              </w:rPr>
              <w:t xml:space="preserve">&gt; </w:t>
            </w:r>
            <w:r w:rsidRPr="00A5626D">
              <w:rPr>
                <w:rFonts w:ascii="Garamond" w:hAnsi="Garamond" w:cstheme="minorHAnsi"/>
                <w:sz w:val="22"/>
                <w:szCs w:val="22"/>
                <w:lang w:val="en-US"/>
              </w:rPr>
              <w:t>c</w:t>
            </w:r>
            <w:r w:rsidRPr="00A5626D">
              <w:rPr>
                <w:rFonts w:ascii="Garamond" w:hAnsi="Garamond" w:cstheme="minorHAnsi"/>
                <w:sz w:val="22"/>
                <w:szCs w:val="22"/>
              </w:rPr>
              <w:t xml:space="preserve">одержит атрибуты, на основании которых формируется наименование точки поставки </w:t>
            </w:r>
            <w:r w:rsidRPr="00A5626D">
              <w:rPr>
                <w:rFonts w:ascii="Garamond" w:hAnsi="Garamond" w:cstheme="minorHAnsi"/>
                <w:sz w:val="22"/>
                <w:szCs w:val="22"/>
                <w:highlight w:val="yellow"/>
              </w:rPr>
              <w:t>(точки присоединения)</w:t>
            </w:r>
            <w:r w:rsidRPr="00A5626D">
              <w:rPr>
                <w:rFonts w:ascii="Garamond" w:hAnsi="Garamond" w:cstheme="minorHAnsi"/>
                <w:sz w:val="22"/>
                <w:szCs w:val="22"/>
              </w:rPr>
              <w:t>.</w:t>
            </w:r>
          </w:p>
          <w:p w14:paraId="1E45241C" w14:textId="77777777" w:rsidR="00295C6D" w:rsidRPr="00A5626D" w:rsidRDefault="00295C6D" w:rsidP="00E31AE6">
            <w:pPr>
              <w:widowControl w:val="0"/>
              <w:tabs>
                <w:tab w:val="left" w:pos="1134"/>
                <w:tab w:val="left" w:pos="7938"/>
              </w:tabs>
              <w:autoSpaceDE w:val="0"/>
              <w:autoSpaceDN w:val="0"/>
              <w:adjustRightInd w:val="0"/>
              <w:spacing w:before="60" w:after="60" w:line="276" w:lineRule="auto"/>
              <w:ind w:firstLine="456"/>
              <w:jc w:val="both"/>
              <w:rPr>
                <w:rFonts w:ascii="Garamond" w:hAnsi="Garamond" w:cstheme="minorHAnsi"/>
                <w:sz w:val="22"/>
                <w:szCs w:val="22"/>
              </w:rPr>
            </w:pPr>
            <w:r w:rsidRPr="00A5626D">
              <w:rPr>
                <w:rFonts w:ascii="Garamond" w:hAnsi="Garamond" w:cstheme="minorHAnsi"/>
                <w:bCs/>
                <w:sz w:val="22"/>
                <w:szCs w:val="22"/>
              </w:rPr>
              <w:t>Обязательный элемент для не групповой точки, для групповой точки должен отсутствовать</w:t>
            </w:r>
            <w:r w:rsidRPr="00A5626D">
              <w:rPr>
                <w:rFonts w:ascii="Garamond" w:hAnsi="Garamond" w:cstheme="minorHAnsi"/>
                <w:sz w:val="22"/>
                <w:szCs w:val="22"/>
              </w:rPr>
              <w:t xml:space="preserve">. Допускается наличие только одного элемента для каждой точки поставки </w:t>
            </w:r>
            <w:r w:rsidRPr="00A5626D">
              <w:rPr>
                <w:rFonts w:ascii="Garamond" w:hAnsi="Garamond" w:cstheme="minorHAnsi"/>
                <w:sz w:val="22"/>
                <w:szCs w:val="22"/>
                <w:highlight w:val="yellow"/>
              </w:rPr>
              <w:t>(точки присоединения)</w:t>
            </w:r>
            <w:r w:rsidRPr="00A5626D">
              <w:rPr>
                <w:rFonts w:ascii="Garamond" w:hAnsi="Garamond" w:cstheme="minorHAnsi"/>
                <w:sz w:val="22"/>
                <w:szCs w:val="22"/>
              </w:rPr>
              <w:t>.</w:t>
            </w:r>
          </w:p>
          <w:p w14:paraId="5D870ABB" w14:textId="77777777" w:rsidR="00295C6D" w:rsidRPr="00A5626D" w:rsidRDefault="00295C6D" w:rsidP="00E31AE6">
            <w:pPr>
              <w:tabs>
                <w:tab w:val="left" w:pos="1134"/>
                <w:tab w:val="left" w:pos="7938"/>
              </w:tabs>
              <w:spacing w:before="120" w:after="120"/>
              <w:ind w:firstLine="456"/>
              <w:jc w:val="both"/>
              <w:rPr>
                <w:rFonts w:ascii="Garamond" w:hAnsi="Garamond" w:cstheme="minorHAnsi"/>
                <w:sz w:val="22"/>
                <w:szCs w:val="22"/>
              </w:rPr>
            </w:pPr>
            <w:r w:rsidRPr="00A5626D">
              <w:rPr>
                <w:rFonts w:ascii="Garamond" w:hAnsi="Garamond" w:cstheme="minorHAnsi"/>
                <w:sz w:val="22"/>
                <w:szCs w:val="22"/>
              </w:rPr>
              <w:t>Атрибутами элемента &lt;</w:t>
            </w:r>
            <w:r w:rsidRPr="00A5626D">
              <w:rPr>
                <w:rFonts w:ascii="Garamond" w:eastAsia="Calibri" w:hAnsi="Garamond" w:cstheme="minorHAnsi"/>
                <w:b/>
                <w:sz w:val="22"/>
                <w:szCs w:val="22"/>
                <w:lang w:val="en-US"/>
              </w:rPr>
              <w:t>name</w:t>
            </w:r>
            <w:r w:rsidRPr="00A5626D">
              <w:rPr>
                <w:rFonts w:ascii="Garamond" w:hAnsi="Garamond" w:cstheme="minorHAnsi"/>
                <w:sz w:val="22"/>
                <w:szCs w:val="22"/>
              </w:rPr>
              <w:t>&gt; являются:</w:t>
            </w:r>
          </w:p>
          <w:p w14:paraId="20B3897E" w14:textId="1C971EB7" w:rsidR="00295C6D" w:rsidRPr="00A5626D" w:rsidRDefault="00295C6D" w:rsidP="00295C6D">
            <w:pPr>
              <w:widowControl w:val="0"/>
              <w:numPr>
                <w:ilvl w:val="0"/>
                <w:numId w:val="240"/>
              </w:numPr>
              <w:tabs>
                <w:tab w:val="left" w:pos="1134"/>
                <w:tab w:val="left" w:pos="7938"/>
              </w:tabs>
              <w:suppressAutoHyphens w:val="0"/>
              <w:autoSpaceDE w:val="0"/>
              <w:autoSpaceDN w:val="0"/>
              <w:adjustRightInd w:val="0"/>
              <w:spacing w:after="240"/>
              <w:ind w:left="0" w:firstLine="456"/>
              <w:jc w:val="both"/>
              <w:rPr>
                <w:rFonts w:ascii="Garamond" w:hAnsi="Garamond" w:cstheme="minorHAnsi"/>
                <w:sz w:val="22"/>
                <w:szCs w:val="22"/>
              </w:rPr>
            </w:pPr>
            <w:r w:rsidRPr="00A5626D">
              <w:rPr>
                <w:rFonts w:ascii="Garamond" w:hAnsi="Garamond" w:cstheme="minorHAnsi"/>
                <w:sz w:val="22"/>
                <w:szCs w:val="22"/>
                <w:lang w:val="en-US"/>
              </w:rPr>
              <w:t>power</w:t>
            </w:r>
            <w:r w:rsidRPr="00A5626D">
              <w:rPr>
                <w:rFonts w:ascii="Garamond" w:hAnsi="Garamond" w:cstheme="minorHAnsi"/>
                <w:sz w:val="22"/>
                <w:szCs w:val="22"/>
              </w:rPr>
              <w:t>-</w:t>
            </w:r>
            <w:r w:rsidRPr="00A5626D">
              <w:rPr>
                <w:rFonts w:ascii="Garamond" w:hAnsi="Garamond" w:cstheme="minorHAnsi"/>
                <w:sz w:val="22"/>
                <w:szCs w:val="22"/>
                <w:lang w:val="en-US"/>
              </w:rPr>
              <w:t>object</w:t>
            </w:r>
            <w:r w:rsidRPr="00A5626D">
              <w:rPr>
                <w:rFonts w:ascii="Garamond" w:hAnsi="Garamond" w:cstheme="minorHAnsi"/>
                <w:sz w:val="22"/>
                <w:szCs w:val="22"/>
              </w:rPr>
              <w:t>-</w:t>
            </w:r>
            <w:r w:rsidRPr="00A5626D">
              <w:rPr>
                <w:rFonts w:ascii="Garamond" w:hAnsi="Garamond" w:cstheme="minorHAnsi"/>
                <w:sz w:val="22"/>
                <w:szCs w:val="22"/>
                <w:lang w:val="en-US"/>
              </w:rPr>
              <w:t>name</w:t>
            </w:r>
            <w:r w:rsidRPr="00A5626D">
              <w:rPr>
                <w:rFonts w:ascii="Garamond" w:hAnsi="Garamond" w:cstheme="minorHAnsi"/>
                <w:sz w:val="22"/>
                <w:szCs w:val="22"/>
              </w:rPr>
              <w:t xml:space="preserve"> – наименование энергообъекта, на котором располагается точка поставки </w:t>
            </w:r>
            <w:r w:rsidRPr="00A5626D">
              <w:rPr>
                <w:rFonts w:ascii="Garamond" w:hAnsi="Garamond" w:cstheme="minorHAnsi"/>
                <w:sz w:val="22"/>
                <w:szCs w:val="22"/>
                <w:highlight w:val="yellow"/>
              </w:rPr>
              <w:t>(точка присоединения)</w:t>
            </w:r>
            <w:r w:rsidRPr="00A5626D">
              <w:rPr>
                <w:rFonts w:ascii="Garamond" w:hAnsi="Garamond" w:cstheme="minorHAnsi"/>
                <w:sz w:val="22"/>
                <w:szCs w:val="22"/>
              </w:rPr>
              <w:t xml:space="preserve">. Наименование энергообъекта, </w:t>
            </w:r>
            <w:r w:rsidRPr="00A5626D">
              <w:rPr>
                <w:rFonts w:ascii="Garamond" w:hAnsi="Garamond" w:cstheme="minorHAnsi"/>
                <w:sz w:val="22"/>
                <w:szCs w:val="22"/>
                <w:highlight w:val="yellow"/>
              </w:rPr>
              <w:t>на котором расположена точка поставки,</w:t>
            </w:r>
            <w:r w:rsidRPr="00A5626D">
              <w:rPr>
                <w:rFonts w:ascii="Garamond" w:hAnsi="Garamond" w:cstheme="minorHAnsi"/>
                <w:sz w:val="22"/>
                <w:szCs w:val="22"/>
              </w:rPr>
              <w:t xml:space="preserve"> указывается на основании раздела 4 «Правила присвоения наименований точкам поставки» приложения 5 к </w:t>
            </w:r>
            <w:r w:rsidRPr="00A5626D">
              <w:rPr>
                <w:rFonts w:ascii="Garamond" w:hAnsi="Garamond" w:cstheme="minorHAnsi"/>
                <w:i/>
                <w:sz w:val="22"/>
                <w:szCs w:val="22"/>
              </w:rPr>
              <w:t>Положению о порядке получения статуса субъекта оптового рынка и ведения реестра субъектов оптового рынка</w:t>
            </w:r>
            <w:r w:rsidRPr="00A5626D">
              <w:rPr>
                <w:rFonts w:ascii="Garamond" w:hAnsi="Garamond" w:cstheme="minorHAnsi"/>
                <w:sz w:val="22"/>
                <w:szCs w:val="22"/>
              </w:rPr>
              <w:t xml:space="preserve"> </w:t>
            </w:r>
            <w:r w:rsidRPr="00A5626D">
              <w:rPr>
                <w:rFonts w:ascii="Garamond" w:eastAsia="Batang" w:hAnsi="Garamond" w:cstheme="minorHAnsi"/>
                <w:sz w:val="22"/>
                <w:szCs w:val="22"/>
                <w:lang w:eastAsia="ko-KR"/>
              </w:rPr>
              <w:t xml:space="preserve">(Приложение № 1.1 к </w:t>
            </w:r>
            <w:r w:rsidRPr="00A5626D">
              <w:rPr>
                <w:rFonts w:ascii="Garamond" w:eastAsia="Batang" w:hAnsi="Garamond" w:cstheme="minorHAnsi"/>
                <w:i/>
                <w:sz w:val="22"/>
                <w:szCs w:val="22"/>
                <w:lang w:eastAsia="ko-KR"/>
              </w:rPr>
              <w:t>Договору о присоединении к торговой системе оптового рынка</w:t>
            </w:r>
            <w:r w:rsidRPr="00A5626D">
              <w:rPr>
                <w:rFonts w:ascii="Garamond" w:eastAsia="Batang" w:hAnsi="Garamond" w:cstheme="minorHAnsi"/>
                <w:sz w:val="22"/>
                <w:szCs w:val="22"/>
                <w:lang w:eastAsia="ko-KR"/>
              </w:rPr>
              <w:t>)</w:t>
            </w:r>
            <w:r w:rsidRPr="00A5626D">
              <w:rPr>
                <w:rFonts w:ascii="Garamond" w:hAnsi="Garamond" w:cstheme="minorHAnsi"/>
                <w:sz w:val="22"/>
                <w:szCs w:val="22"/>
              </w:rPr>
              <w:t xml:space="preserve"> в соответствии с типом энергообъекта (оборудования). </w:t>
            </w:r>
            <w:r w:rsidRPr="00A5626D">
              <w:rPr>
                <w:rFonts w:ascii="Garamond" w:hAnsi="Garamond" w:cstheme="minorHAnsi"/>
                <w:sz w:val="22"/>
                <w:szCs w:val="22"/>
                <w:highlight w:val="yellow"/>
              </w:rPr>
              <w:t>Наименование энергообъекта, на котором расположена точка присоединения,</w:t>
            </w:r>
            <w:r w:rsidR="009B5F03" w:rsidRPr="00A5626D">
              <w:rPr>
                <w:rFonts w:ascii="Garamond" w:hAnsi="Garamond" w:cstheme="minorHAnsi"/>
                <w:sz w:val="22"/>
                <w:szCs w:val="22"/>
                <w:highlight w:val="yellow"/>
              </w:rPr>
              <w:t xml:space="preserve"> </w:t>
            </w:r>
            <w:r w:rsidRPr="00A5626D">
              <w:rPr>
                <w:rFonts w:ascii="Garamond" w:hAnsi="Garamond" w:cstheme="minorHAnsi"/>
                <w:sz w:val="22"/>
                <w:szCs w:val="22"/>
                <w:highlight w:val="yellow"/>
              </w:rPr>
              <w:t xml:space="preserve">указывается на основании раздела 2 «Правила присвоения наименований точкам присоединения» приложения 11 к </w:t>
            </w:r>
            <w:r w:rsidRPr="00A5626D">
              <w:rPr>
                <w:rFonts w:ascii="Garamond" w:hAnsi="Garamond" w:cstheme="minorHAnsi"/>
                <w:i/>
                <w:sz w:val="22"/>
                <w:szCs w:val="22"/>
                <w:highlight w:val="yellow"/>
              </w:rPr>
              <w:t>Положению о порядке получения статуса субъекта оптового рынка и ведения реестра субъектов оптового рынка</w:t>
            </w:r>
            <w:r w:rsidRPr="00A5626D">
              <w:rPr>
                <w:rFonts w:ascii="Garamond" w:hAnsi="Garamond" w:cstheme="minorHAnsi"/>
                <w:sz w:val="22"/>
                <w:szCs w:val="22"/>
                <w:highlight w:val="yellow"/>
              </w:rPr>
              <w:t xml:space="preserve"> </w:t>
            </w:r>
            <w:r w:rsidRPr="00A5626D">
              <w:rPr>
                <w:rFonts w:ascii="Garamond" w:eastAsia="Batang" w:hAnsi="Garamond" w:cstheme="minorHAnsi"/>
                <w:sz w:val="22"/>
                <w:szCs w:val="22"/>
                <w:highlight w:val="yellow"/>
                <w:lang w:eastAsia="ko-KR"/>
              </w:rPr>
              <w:t xml:space="preserve">(Приложение № 1.1 к </w:t>
            </w:r>
            <w:r w:rsidRPr="00A5626D">
              <w:rPr>
                <w:rFonts w:ascii="Garamond" w:eastAsia="Batang" w:hAnsi="Garamond" w:cstheme="minorHAnsi"/>
                <w:i/>
                <w:sz w:val="22"/>
                <w:szCs w:val="22"/>
                <w:highlight w:val="yellow"/>
                <w:lang w:eastAsia="ko-KR"/>
              </w:rPr>
              <w:t>Договору о присоединении к торговой системе оптового рынка</w:t>
            </w:r>
            <w:r w:rsidRPr="00A5626D">
              <w:rPr>
                <w:rFonts w:ascii="Garamond" w:eastAsia="Batang" w:hAnsi="Garamond" w:cstheme="minorHAnsi"/>
                <w:sz w:val="22"/>
                <w:szCs w:val="22"/>
                <w:highlight w:val="yellow"/>
                <w:lang w:eastAsia="ko-KR"/>
              </w:rPr>
              <w:t>)</w:t>
            </w:r>
            <w:r w:rsidRPr="00A5626D">
              <w:rPr>
                <w:rFonts w:ascii="Garamond" w:hAnsi="Garamond" w:cstheme="minorHAnsi"/>
                <w:sz w:val="22"/>
                <w:szCs w:val="22"/>
                <w:highlight w:val="yellow"/>
              </w:rPr>
              <w:t xml:space="preserve"> в соответствии с типом энергообъекта (оборудования).</w:t>
            </w:r>
            <w:r w:rsidR="009B5F03" w:rsidRPr="00A5626D">
              <w:rPr>
                <w:rFonts w:ascii="Garamond" w:hAnsi="Garamond" w:cstheme="minorHAnsi"/>
                <w:sz w:val="22"/>
                <w:szCs w:val="22"/>
              </w:rPr>
              <w:t xml:space="preserve"> </w:t>
            </w:r>
            <w:r w:rsidRPr="00A5626D">
              <w:rPr>
                <w:rFonts w:ascii="Garamond" w:hAnsi="Garamond" w:cstheme="minorHAnsi"/>
                <w:sz w:val="22"/>
                <w:szCs w:val="22"/>
              </w:rPr>
              <w:t>Текстовое поле не более 250 символов. Является обязательным атрибутом;</w:t>
            </w:r>
          </w:p>
          <w:p w14:paraId="22AE6D48" w14:textId="7FF56EEA" w:rsidR="00295C6D" w:rsidRPr="00A5626D" w:rsidRDefault="00295C6D" w:rsidP="00295C6D">
            <w:pPr>
              <w:widowControl w:val="0"/>
              <w:numPr>
                <w:ilvl w:val="0"/>
                <w:numId w:val="240"/>
              </w:numPr>
              <w:tabs>
                <w:tab w:val="left" w:pos="1134"/>
                <w:tab w:val="left" w:pos="7938"/>
              </w:tabs>
              <w:suppressAutoHyphens w:val="0"/>
              <w:autoSpaceDE w:val="0"/>
              <w:autoSpaceDN w:val="0"/>
              <w:adjustRightInd w:val="0"/>
              <w:ind w:left="0" w:firstLine="456"/>
              <w:jc w:val="both"/>
              <w:rPr>
                <w:rFonts w:ascii="Garamond" w:hAnsi="Garamond" w:cstheme="minorHAnsi"/>
                <w:sz w:val="22"/>
                <w:szCs w:val="22"/>
              </w:rPr>
            </w:pPr>
            <w:r w:rsidRPr="00A5626D">
              <w:rPr>
                <w:rFonts w:ascii="Garamond" w:hAnsi="Garamond" w:cstheme="minorHAnsi"/>
                <w:sz w:val="22"/>
                <w:szCs w:val="22"/>
              </w:rPr>
              <w:t xml:space="preserve">location-description – описание месторасположения точки поставки </w:t>
            </w:r>
            <w:r w:rsidRPr="00A5626D">
              <w:rPr>
                <w:rFonts w:ascii="Garamond" w:hAnsi="Garamond" w:cstheme="minorHAnsi"/>
                <w:sz w:val="22"/>
                <w:szCs w:val="22"/>
                <w:highlight w:val="yellow"/>
              </w:rPr>
              <w:t>(точки присоединения)</w:t>
            </w:r>
            <w:r w:rsidRPr="00A5626D">
              <w:rPr>
                <w:rFonts w:ascii="Garamond" w:hAnsi="Garamond" w:cstheme="minorHAnsi"/>
                <w:sz w:val="22"/>
                <w:szCs w:val="22"/>
              </w:rPr>
              <w:t xml:space="preserve"> на однолинейной схеме. Описание месторасположения </w:t>
            </w:r>
            <w:r w:rsidRPr="00A5626D">
              <w:rPr>
                <w:rFonts w:ascii="Garamond" w:hAnsi="Garamond" w:cstheme="minorHAnsi"/>
                <w:sz w:val="22"/>
                <w:szCs w:val="22"/>
                <w:highlight w:val="yellow"/>
              </w:rPr>
              <w:t>точки поставки</w:t>
            </w:r>
            <w:r w:rsidRPr="00A5626D">
              <w:rPr>
                <w:rFonts w:ascii="Garamond" w:hAnsi="Garamond" w:cstheme="minorHAnsi"/>
                <w:sz w:val="22"/>
                <w:szCs w:val="22"/>
              </w:rPr>
              <w:t xml:space="preserve"> указывается на основании раздела 4 «Правила присвоения наименований точкам поставки» приложения 5 к </w:t>
            </w:r>
            <w:r w:rsidRPr="00A5626D">
              <w:rPr>
                <w:rFonts w:ascii="Garamond" w:hAnsi="Garamond" w:cstheme="minorHAnsi"/>
                <w:i/>
                <w:sz w:val="22"/>
                <w:szCs w:val="22"/>
              </w:rPr>
              <w:t>Положению о порядке получения статуса субъекта оптового рынка и ведения реестра субъектов оптового рынка</w:t>
            </w:r>
            <w:r w:rsidRPr="00A5626D">
              <w:rPr>
                <w:rFonts w:ascii="Garamond" w:hAnsi="Garamond" w:cstheme="minorHAnsi"/>
                <w:sz w:val="22"/>
                <w:szCs w:val="22"/>
              </w:rPr>
              <w:t xml:space="preserve"> </w:t>
            </w:r>
            <w:r w:rsidRPr="00A5626D">
              <w:rPr>
                <w:rFonts w:ascii="Garamond" w:eastAsia="Batang" w:hAnsi="Garamond" w:cstheme="minorHAnsi"/>
                <w:sz w:val="22"/>
                <w:szCs w:val="22"/>
                <w:lang w:eastAsia="ko-KR"/>
              </w:rPr>
              <w:t xml:space="preserve">(Приложение № 1.1 к </w:t>
            </w:r>
            <w:r w:rsidRPr="00A5626D">
              <w:rPr>
                <w:rFonts w:ascii="Garamond" w:eastAsia="Batang" w:hAnsi="Garamond" w:cstheme="minorHAnsi"/>
                <w:i/>
                <w:sz w:val="22"/>
                <w:szCs w:val="22"/>
                <w:lang w:eastAsia="ko-KR"/>
              </w:rPr>
              <w:t>Договору о присоединении к торговой системе оптового рынка</w:t>
            </w:r>
            <w:r w:rsidRPr="00A5626D">
              <w:rPr>
                <w:rFonts w:ascii="Garamond" w:eastAsia="Batang" w:hAnsi="Garamond" w:cstheme="minorHAnsi"/>
                <w:sz w:val="22"/>
                <w:szCs w:val="22"/>
                <w:lang w:eastAsia="ko-KR"/>
              </w:rPr>
              <w:t xml:space="preserve">) </w:t>
            </w:r>
            <w:r w:rsidRPr="00A5626D">
              <w:rPr>
                <w:rFonts w:ascii="Garamond" w:hAnsi="Garamond" w:cstheme="minorHAnsi"/>
                <w:sz w:val="22"/>
                <w:szCs w:val="22"/>
              </w:rPr>
              <w:t xml:space="preserve">в соответствии с типом энергообъекта </w:t>
            </w:r>
            <w:r w:rsidRPr="00A5626D">
              <w:rPr>
                <w:rFonts w:ascii="Garamond" w:hAnsi="Garamond" w:cstheme="minorHAnsi"/>
                <w:sz w:val="22"/>
                <w:szCs w:val="22"/>
              </w:rPr>
              <w:lastRenderedPageBreak/>
              <w:t xml:space="preserve">(оборудования), на котором расположена точка поставки. </w:t>
            </w:r>
            <w:r w:rsidRPr="00A5626D">
              <w:rPr>
                <w:rFonts w:ascii="Garamond" w:hAnsi="Garamond" w:cstheme="minorHAnsi"/>
                <w:sz w:val="22"/>
                <w:szCs w:val="22"/>
                <w:highlight w:val="yellow"/>
              </w:rPr>
              <w:t>Описание месторасположения точки присоединения</w:t>
            </w:r>
            <w:r w:rsidR="009B5F03" w:rsidRPr="00A5626D">
              <w:rPr>
                <w:rFonts w:ascii="Garamond" w:hAnsi="Garamond" w:cstheme="minorHAnsi"/>
                <w:sz w:val="22"/>
                <w:szCs w:val="22"/>
                <w:highlight w:val="yellow"/>
              </w:rPr>
              <w:t xml:space="preserve"> </w:t>
            </w:r>
            <w:r w:rsidRPr="00A5626D">
              <w:rPr>
                <w:rFonts w:ascii="Garamond" w:hAnsi="Garamond" w:cstheme="minorHAnsi"/>
                <w:sz w:val="22"/>
                <w:szCs w:val="22"/>
                <w:highlight w:val="yellow"/>
              </w:rPr>
              <w:t xml:space="preserve">указывается на основании раздела 2 «Правила присвоения наименований точкам присоединения» приложения 11 к </w:t>
            </w:r>
            <w:r w:rsidRPr="00A5626D">
              <w:rPr>
                <w:rFonts w:ascii="Garamond" w:hAnsi="Garamond" w:cstheme="minorHAnsi"/>
                <w:i/>
                <w:sz w:val="22"/>
                <w:szCs w:val="22"/>
                <w:highlight w:val="yellow"/>
              </w:rPr>
              <w:t>Положению о порядке получения статуса субъекта оптового рынка и ведения реестра субъектов оптового рынка</w:t>
            </w:r>
            <w:r w:rsidRPr="00A5626D">
              <w:rPr>
                <w:rFonts w:ascii="Garamond" w:hAnsi="Garamond" w:cstheme="minorHAnsi"/>
                <w:sz w:val="22"/>
                <w:szCs w:val="22"/>
                <w:highlight w:val="yellow"/>
              </w:rPr>
              <w:t xml:space="preserve"> </w:t>
            </w:r>
            <w:r w:rsidRPr="00A5626D">
              <w:rPr>
                <w:rFonts w:ascii="Garamond" w:eastAsia="Batang" w:hAnsi="Garamond" w:cstheme="minorHAnsi"/>
                <w:sz w:val="22"/>
                <w:szCs w:val="22"/>
                <w:highlight w:val="yellow"/>
                <w:lang w:eastAsia="ko-KR"/>
              </w:rPr>
              <w:t xml:space="preserve">(Приложение № 1.1 к </w:t>
            </w:r>
            <w:r w:rsidRPr="00A5626D">
              <w:rPr>
                <w:rFonts w:ascii="Garamond" w:eastAsia="Batang" w:hAnsi="Garamond" w:cstheme="minorHAnsi"/>
                <w:i/>
                <w:sz w:val="22"/>
                <w:szCs w:val="22"/>
                <w:highlight w:val="yellow"/>
                <w:lang w:eastAsia="ko-KR"/>
              </w:rPr>
              <w:t>Договору о присоединении к торговой системе оптового рынка</w:t>
            </w:r>
            <w:r w:rsidRPr="00A5626D">
              <w:rPr>
                <w:rFonts w:ascii="Garamond" w:eastAsia="Batang" w:hAnsi="Garamond" w:cstheme="minorHAnsi"/>
                <w:sz w:val="22"/>
                <w:szCs w:val="22"/>
                <w:highlight w:val="yellow"/>
                <w:lang w:eastAsia="ko-KR"/>
              </w:rPr>
              <w:t>)</w:t>
            </w:r>
            <w:r w:rsidRPr="00A5626D">
              <w:rPr>
                <w:rFonts w:ascii="Garamond" w:hAnsi="Garamond" w:cstheme="minorHAnsi"/>
                <w:sz w:val="22"/>
                <w:szCs w:val="22"/>
                <w:highlight w:val="yellow"/>
              </w:rPr>
              <w:t xml:space="preserve"> в соответствии с типом энергообъекта (оборудования).</w:t>
            </w:r>
            <w:r w:rsidRPr="00A5626D">
              <w:rPr>
                <w:rFonts w:ascii="Garamond" w:hAnsi="Garamond" w:cstheme="minorHAnsi"/>
                <w:sz w:val="22"/>
                <w:szCs w:val="22"/>
              </w:rPr>
              <w:t xml:space="preserve"> Текстовое поле не более 250 символов. Является обязательным атрибутом, если не заполнен атрибут &lt;connection-name&gt;</w:t>
            </w:r>
            <w:r w:rsidR="00C6418D" w:rsidRPr="00C6418D">
              <w:rPr>
                <w:rFonts w:ascii="Garamond" w:hAnsi="Garamond" w:cstheme="minorHAnsi"/>
                <w:sz w:val="22"/>
                <w:szCs w:val="22"/>
                <w:highlight w:val="yellow"/>
              </w:rPr>
              <w:t>;</w:t>
            </w:r>
          </w:p>
          <w:p w14:paraId="18A33A13" w14:textId="1BB4E361" w:rsidR="00295C6D" w:rsidRPr="00A5626D" w:rsidRDefault="00C6418D" w:rsidP="00E31AE6">
            <w:pPr>
              <w:tabs>
                <w:tab w:val="left" w:pos="1134"/>
                <w:tab w:val="left" w:pos="7938"/>
              </w:tabs>
              <w:spacing w:before="120" w:after="120"/>
              <w:ind w:firstLine="456"/>
              <w:jc w:val="both"/>
              <w:rPr>
                <w:rFonts w:ascii="Garamond" w:hAnsi="Garamond" w:cstheme="minorHAnsi"/>
                <w:sz w:val="22"/>
                <w:szCs w:val="22"/>
              </w:rPr>
            </w:pPr>
            <w:r>
              <w:rPr>
                <w:rFonts w:ascii="Garamond" w:hAnsi="Garamond" w:cstheme="minorHAnsi"/>
                <w:sz w:val="22"/>
                <w:szCs w:val="22"/>
              </w:rPr>
              <w:t xml:space="preserve">– </w:t>
            </w:r>
            <w:r w:rsidR="00295C6D" w:rsidRPr="00A5626D">
              <w:rPr>
                <w:rFonts w:ascii="Garamond" w:hAnsi="Garamond" w:cstheme="minorHAnsi"/>
                <w:sz w:val="22"/>
                <w:szCs w:val="22"/>
              </w:rPr>
              <w:t xml:space="preserve">connection-name – наименование присоединения для точки поставки </w:t>
            </w:r>
            <w:r w:rsidR="00295C6D" w:rsidRPr="00A5626D">
              <w:rPr>
                <w:rFonts w:ascii="Garamond" w:hAnsi="Garamond" w:cstheme="minorHAnsi"/>
                <w:sz w:val="22"/>
                <w:szCs w:val="22"/>
                <w:highlight w:val="yellow"/>
              </w:rPr>
              <w:t>(точки присоединения)</w:t>
            </w:r>
            <w:r w:rsidR="00295C6D" w:rsidRPr="00A5626D">
              <w:rPr>
                <w:rFonts w:ascii="Garamond" w:hAnsi="Garamond" w:cstheme="minorHAnsi"/>
                <w:sz w:val="22"/>
                <w:szCs w:val="22"/>
              </w:rPr>
              <w:t xml:space="preserve">. Наименование присоединения </w:t>
            </w:r>
            <w:r w:rsidR="00295C6D" w:rsidRPr="00C6418D">
              <w:rPr>
                <w:rFonts w:ascii="Garamond" w:hAnsi="Garamond" w:cstheme="minorHAnsi"/>
                <w:sz w:val="22"/>
                <w:szCs w:val="22"/>
                <w:highlight w:val="yellow"/>
              </w:rPr>
              <w:t>для то</w:t>
            </w:r>
            <w:r w:rsidR="00295C6D" w:rsidRPr="00A5626D">
              <w:rPr>
                <w:rFonts w:ascii="Garamond" w:hAnsi="Garamond" w:cstheme="minorHAnsi"/>
                <w:sz w:val="22"/>
                <w:szCs w:val="22"/>
                <w:highlight w:val="yellow"/>
              </w:rPr>
              <w:t>чки поставки</w:t>
            </w:r>
            <w:r w:rsidR="00295C6D" w:rsidRPr="00A5626D">
              <w:rPr>
                <w:rFonts w:ascii="Garamond" w:hAnsi="Garamond" w:cstheme="minorHAnsi"/>
                <w:sz w:val="22"/>
                <w:szCs w:val="22"/>
              </w:rPr>
              <w:t xml:space="preserve"> указывается на основании раздела 4 «Правила присвоения наименований точкам поставки» приложения 5 к </w:t>
            </w:r>
            <w:r w:rsidR="00295C6D" w:rsidRPr="00A5626D">
              <w:rPr>
                <w:rFonts w:ascii="Garamond" w:hAnsi="Garamond" w:cstheme="minorHAnsi"/>
                <w:i/>
                <w:sz w:val="22"/>
                <w:szCs w:val="22"/>
              </w:rPr>
              <w:t>Положению о порядке получения статуса субъекта оптового рынка и ведения реестра субъектов оптового рынка</w:t>
            </w:r>
            <w:r w:rsidR="00295C6D" w:rsidRPr="00A5626D">
              <w:rPr>
                <w:rFonts w:ascii="Garamond" w:hAnsi="Garamond" w:cstheme="minorHAnsi"/>
                <w:sz w:val="22"/>
                <w:szCs w:val="22"/>
              </w:rPr>
              <w:t xml:space="preserve"> </w:t>
            </w:r>
            <w:r w:rsidR="00295C6D" w:rsidRPr="00A5626D">
              <w:rPr>
                <w:rFonts w:ascii="Garamond" w:eastAsia="Batang" w:hAnsi="Garamond" w:cstheme="minorHAnsi"/>
                <w:sz w:val="22"/>
                <w:szCs w:val="22"/>
                <w:lang w:eastAsia="ko-KR"/>
              </w:rPr>
              <w:t xml:space="preserve">(Приложение № 1.1 к </w:t>
            </w:r>
            <w:r w:rsidR="00295C6D" w:rsidRPr="00A5626D">
              <w:rPr>
                <w:rFonts w:ascii="Garamond" w:eastAsia="Batang" w:hAnsi="Garamond" w:cstheme="minorHAnsi"/>
                <w:i/>
                <w:sz w:val="22"/>
                <w:szCs w:val="22"/>
                <w:lang w:eastAsia="ko-KR"/>
              </w:rPr>
              <w:t>Договору о присоединении к торговой системе оптового рынка</w:t>
            </w:r>
            <w:r w:rsidR="00295C6D" w:rsidRPr="00A5626D">
              <w:rPr>
                <w:rFonts w:ascii="Garamond" w:eastAsia="Batang" w:hAnsi="Garamond" w:cstheme="minorHAnsi"/>
                <w:sz w:val="22"/>
                <w:szCs w:val="22"/>
                <w:lang w:eastAsia="ko-KR"/>
              </w:rPr>
              <w:t xml:space="preserve">) </w:t>
            </w:r>
            <w:r w:rsidR="00295C6D" w:rsidRPr="00A5626D">
              <w:rPr>
                <w:rFonts w:ascii="Garamond" w:hAnsi="Garamond" w:cstheme="minorHAnsi"/>
                <w:sz w:val="22"/>
                <w:szCs w:val="22"/>
              </w:rPr>
              <w:t xml:space="preserve">в соответствии с типом энергообъекта (оборудования), на котором расположена точка поставки. </w:t>
            </w:r>
            <w:r w:rsidR="00295C6D" w:rsidRPr="00A5626D">
              <w:rPr>
                <w:rFonts w:ascii="Garamond" w:hAnsi="Garamond" w:cstheme="minorHAnsi"/>
                <w:sz w:val="22"/>
                <w:szCs w:val="22"/>
                <w:highlight w:val="yellow"/>
              </w:rPr>
              <w:t xml:space="preserve">Наименование присоединения для точки присоединения указывается на основании раздела 2 «Правила присвоения наименований точкам присоединения» приложения 11 к </w:t>
            </w:r>
            <w:r w:rsidR="00295C6D" w:rsidRPr="00A5626D">
              <w:rPr>
                <w:rFonts w:ascii="Garamond" w:hAnsi="Garamond" w:cstheme="minorHAnsi"/>
                <w:i/>
                <w:sz w:val="22"/>
                <w:szCs w:val="22"/>
                <w:highlight w:val="yellow"/>
              </w:rPr>
              <w:t>Положению о порядке получения статуса субъекта оптового рынка и ведения реестра субъектов оптового рынка</w:t>
            </w:r>
            <w:r w:rsidR="00295C6D" w:rsidRPr="00A5626D">
              <w:rPr>
                <w:rFonts w:ascii="Garamond" w:hAnsi="Garamond" w:cstheme="minorHAnsi"/>
                <w:sz w:val="22"/>
                <w:szCs w:val="22"/>
                <w:highlight w:val="yellow"/>
              </w:rPr>
              <w:t xml:space="preserve"> </w:t>
            </w:r>
            <w:r w:rsidR="00295C6D" w:rsidRPr="00A5626D">
              <w:rPr>
                <w:rFonts w:ascii="Garamond" w:eastAsia="Batang" w:hAnsi="Garamond" w:cstheme="minorHAnsi"/>
                <w:sz w:val="22"/>
                <w:szCs w:val="22"/>
                <w:highlight w:val="yellow"/>
                <w:lang w:eastAsia="ko-KR"/>
              </w:rPr>
              <w:t xml:space="preserve">(Приложение № 1.1 к </w:t>
            </w:r>
            <w:r w:rsidR="00295C6D" w:rsidRPr="00A5626D">
              <w:rPr>
                <w:rFonts w:ascii="Garamond" w:eastAsia="Batang" w:hAnsi="Garamond" w:cstheme="minorHAnsi"/>
                <w:i/>
                <w:sz w:val="22"/>
                <w:szCs w:val="22"/>
                <w:highlight w:val="yellow"/>
                <w:lang w:eastAsia="ko-KR"/>
              </w:rPr>
              <w:t>Договору о присоединении к торговой системе оптового рынка</w:t>
            </w:r>
            <w:r w:rsidR="00295C6D" w:rsidRPr="00A5626D">
              <w:rPr>
                <w:rFonts w:ascii="Garamond" w:eastAsia="Batang" w:hAnsi="Garamond" w:cstheme="minorHAnsi"/>
                <w:sz w:val="22"/>
                <w:szCs w:val="22"/>
                <w:highlight w:val="yellow"/>
                <w:lang w:eastAsia="ko-KR"/>
              </w:rPr>
              <w:t>)</w:t>
            </w:r>
            <w:r w:rsidR="00295C6D" w:rsidRPr="00A5626D">
              <w:rPr>
                <w:rFonts w:ascii="Garamond" w:hAnsi="Garamond" w:cstheme="minorHAnsi"/>
                <w:sz w:val="22"/>
                <w:szCs w:val="22"/>
                <w:highlight w:val="yellow"/>
              </w:rPr>
              <w:t xml:space="preserve"> в соответствии с типом энергообъекта (оборудования).</w:t>
            </w:r>
            <w:r w:rsidR="00295C6D" w:rsidRPr="00A5626D">
              <w:rPr>
                <w:rFonts w:ascii="Garamond" w:hAnsi="Garamond" w:cstheme="minorHAnsi"/>
                <w:sz w:val="22"/>
                <w:szCs w:val="22"/>
              </w:rPr>
              <w:t xml:space="preserve"> Текстовое поле не более 250 символов. Является обязательным атрибутом для точки поставки </w:t>
            </w:r>
            <w:r w:rsidR="00295C6D" w:rsidRPr="00A5626D">
              <w:rPr>
                <w:rFonts w:ascii="Garamond" w:hAnsi="Garamond" w:cstheme="minorHAnsi"/>
                <w:sz w:val="22"/>
                <w:szCs w:val="22"/>
                <w:highlight w:val="yellow"/>
              </w:rPr>
              <w:t>(точки присоединения)</w:t>
            </w:r>
            <w:r w:rsidR="00295C6D" w:rsidRPr="00A5626D">
              <w:rPr>
                <w:rFonts w:ascii="Garamond" w:hAnsi="Garamond" w:cstheme="minorHAnsi"/>
                <w:sz w:val="22"/>
                <w:szCs w:val="22"/>
              </w:rPr>
              <w:t xml:space="preserve">, расположенной на электростанции, подстанции, станционной подстанции и потребляющем оборудовании. Является обязательным, если не заполнен атрибут &lt;location-description&gt;. </w:t>
            </w:r>
          </w:p>
        </w:tc>
      </w:tr>
      <w:tr w:rsidR="00295C6D" w:rsidRPr="00A5626D" w14:paraId="540FAED9" w14:textId="77777777" w:rsidTr="00647FA0">
        <w:tc>
          <w:tcPr>
            <w:tcW w:w="1060" w:type="dxa"/>
            <w:vAlign w:val="center"/>
          </w:tcPr>
          <w:p w14:paraId="628E925A" w14:textId="364D6A07" w:rsidR="00295C6D" w:rsidRPr="00A5626D" w:rsidRDefault="00295C6D" w:rsidP="00E31AE6">
            <w:pPr>
              <w:widowControl w:val="0"/>
              <w:tabs>
                <w:tab w:val="left" w:pos="1134"/>
                <w:tab w:val="left" w:pos="7938"/>
              </w:tabs>
              <w:spacing w:line="22" w:lineRule="atLeast"/>
              <w:jc w:val="both"/>
              <w:rPr>
                <w:rFonts w:ascii="Garamond" w:hAnsi="Garamond"/>
                <w:b/>
                <w:sz w:val="22"/>
                <w:szCs w:val="22"/>
                <w:lang w:eastAsia="en-US"/>
              </w:rPr>
            </w:pPr>
            <w:r w:rsidRPr="00A5626D">
              <w:rPr>
                <w:rFonts w:ascii="Garamond" w:hAnsi="Garamond"/>
                <w:b/>
                <w:sz w:val="22"/>
                <w:szCs w:val="22"/>
                <w:lang w:eastAsia="en-US"/>
              </w:rPr>
              <w:lastRenderedPageBreak/>
              <w:t>Приложение 5, п.</w:t>
            </w:r>
            <w:r w:rsidR="00647FA0" w:rsidRPr="00A5626D">
              <w:rPr>
                <w:rFonts w:ascii="Garamond" w:hAnsi="Garamond"/>
                <w:b/>
                <w:sz w:val="22"/>
                <w:szCs w:val="22"/>
                <w:lang w:eastAsia="en-US"/>
              </w:rPr>
              <w:t> </w:t>
            </w:r>
            <w:r w:rsidRPr="00A5626D">
              <w:rPr>
                <w:rFonts w:ascii="Garamond" w:hAnsi="Garamond"/>
                <w:b/>
                <w:sz w:val="22"/>
                <w:szCs w:val="22"/>
                <w:lang w:eastAsia="en-US"/>
              </w:rPr>
              <w:t>4.4.1.2.1.8</w:t>
            </w:r>
          </w:p>
        </w:tc>
        <w:tc>
          <w:tcPr>
            <w:tcW w:w="6662" w:type="dxa"/>
          </w:tcPr>
          <w:p w14:paraId="12916CAD" w14:textId="77777777" w:rsidR="00295C6D" w:rsidRPr="00A5626D" w:rsidRDefault="00295C6D" w:rsidP="00E31AE6">
            <w:pPr>
              <w:tabs>
                <w:tab w:val="left" w:pos="1134"/>
                <w:tab w:val="left" w:pos="7938"/>
              </w:tabs>
              <w:spacing w:before="120" w:after="120"/>
              <w:ind w:firstLine="456"/>
              <w:jc w:val="both"/>
              <w:rPr>
                <w:rFonts w:ascii="Garamond" w:hAnsi="Garamond" w:cstheme="minorHAnsi"/>
                <w:sz w:val="22"/>
                <w:szCs w:val="22"/>
              </w:rPr>
            </w:pPr>
            <w:r w:rsidRPr="00A5626D">
              <w:rPr>
                <w:rFonts w:ascii="Garamond" w:hAnsi="Garamond" w:cstheme="minorHAnsi"/>
                <w:sz w:val="22"/>
                <w:szCs w:val="22"/>
              </w:rPr>
              <w:t>&lt;</w:t>
            </w:r>
            <w:r w:rsidRPr="00A5626D">
              <w:rPr>
                <w:rFonts w:ascii="Garamond" w:hAnsi="Garamond" w:cstheme="minorHAnsi"/>
                <w:i/>
                <w:iCs/>
                <w:sz w:val="22"/>
                <w:szCs w:val="22"/>
                <w:lang w:val="en-US"/>
              </w:rPr>
              <w:t>measuring</w:t>
            </w:r>
            <w:r w:rsidRPr="00A5626D">
              <w:rPr>
                <w:rFonts w:ascii="Garamond" w:hAnsi="Garamond" w:cstheme="minorHAnsi"/>
                <w:i/>
                <w:iCs/>
                <w:sz w:val="22"/>
                <w:szCs w:val="22"/>
              </w:rPr>
              <w:t>-</w:t>
            </w:r>
            <w:r w:rsidRPr="00A5626D">
              <w:rPr>
                <w:rFonts w:ascii="Garamond" w:hAnsi="Garamond" w:cstheme="minorHAnsi"/>
                <w:i/>
                <w:iCs/>
                <w:sz w:val="22"/>
                <w:szCs w:val="22"/>
                <w:lang w:val="en-US"/>
              </w:rPr>
              <w:t>points</w:t>
            </w:r>
            <w:r w:rsidRPr="00A5626D">
              <w:rPr>
                <w:rFonts w:ascii="Garamond" w:hAnsi="Garamond" w:cstheme="minorHAnsi"/>
                <w:sz w:val="22"/>
                <w:szCs w:val="22"/>
              </w:rPr>
              <w:t>&gt;</w:t>
            </w:r>
          </w:p>
          <w:p w14:paraId="7002E47D" w14:textId="77777777" w:rsidR="00295C6D" w:rsidRPr="00A5626D" w:rsidRDefault="00295C6D" w:rsidP="00E31AE6">
            <w:pPr>
              <w:widowControl w:val="0"/>
              <w:tabs>
                <w:tab w:val="left" w:pos="1134"/>
                <w:tab w:val="left" w:pos="7938"/>
              </w:tabs>
              <w:autoSpaceDE w:val="0"/>
              <w:autoSpaceDN w:val="0"/>
              <w:adjustRightInd w:val="0"/>
              <w:spacing w:before="60" w:after="60"/>
              <w:ind w:firstLine="456"/>
              <w:jc w:val="both"/>
              <w:rPr>
                <w:rFonts w:ascii="Garamond" w:hAnsi="Garamond" w:cstheme="minorHAnsi"/>
                <w:sz w:val="22"/>
                <w:szCs w:val="22"/>
              </w:rPr>
            </w:pPr>
            <w:r w:rsidRPr="00A5626D">
              <w:rPr>
                <w:rFonts w:ascii="Garamond" w:hAnsi="Garamond" w:cstheme="minorHAnsi"/>
                <w:sz w:val="22"/>
                <w:szCs w:val="22"/>
              </w:rPr>
              <w:t xml:space="preserve">Элемент </w:t>
            </w:r>
            <w:r w:rsidRPr="00A5626D">
              <w:rPr>
                <w:rFonts w:ascii="Garamond" w:hAnsi="Garamond" w:cstheme="minorHAnsi"/>
                <w:b/>
                <w:sz w:val="22"/>
                <w:szCs w:val="22"/>
              </w:rPr>
              <w:t>&lt;</w:t>
            </w:r>
            <w:r w:rsidRPr="00A5626D">
              <w:rPr>
                <w:rFonts w:ascii="Garamond" w:hAnsi="Garamond" w:cstheme="minorHAnsi"/>
                <w:b/>
                <w:sz w:val="22"/>
                <w:szCs w:val="22"/>
                <w:lang w:val="en-US"/>
              </w:rPr>
              <w:t>measuring</w:t>
            </w:r>
            <w:r w:rsidRPr="00A5626D">
              <w:rPr>
                <w:rFonts w:ascii="Garamond" w:hAnsi="Garamond" w:cstheme="minorHAnsi"/>
                <w:b/>
                <w:sz w:val="22"/>
                <w:szCs w:val="22"/>
              </w:rPr>
              <w:t>-</w:t>
            </w:r>
            <w:r w:rsidRPr="00A5626D">
              <w:rPr>
                <w:rFonts w:ascii="Garamond" w:hAnsi="Garamond" w:cstheme="minorHAnsi"/>
                <w:b/>
                <w:sz w:val="22"/>
                <w:szCs w:val="22"/>
                <w:lang w:val="en-US"/>
              </w:rPr>
              <w:t>points</w:t>
            </w:r>
            <w:r w:rsidRPr="00A5626D">
              <w:rPr>
                <w:rFonts w:ascii="Garamond" w:hAnsi="Garamond" w:cstheme="minorHAnsi"/>
                <w:b/>
                <w:sz w:val="22"/>
                <w:szCs w:val="22"/>
              </w:rPr>
              <w:t>&gt;</w:t>
            </w:r>
            <w:r w:rsidRPr="00A5626D">
              <w:rPr>
                <w:rFonts w:ascii="Garamond" w:hAnsi="Garamond" w:cstheme="minorHAnsi"/>
                <w:sz w:val="22"/>
                <w:szCs w:val="22"/>
              </w:rPr>
              <w:t xml:space="preserve"> содержит справочник точек измерени</w:t>
            </w:r>
            <w:r w:rsidRPr="00A5626D">
              <w:rPr>
                <w:rFonts w:ascii="Garamond" w:hAnsi="Garamond" w:cstheme="minorHAnsi"/>
                <w:sz w:val="22"/>
                <w:szCs w:val="22"/>
                <w:highlight w:val="yellow"/>
              </w:rPr>
              <w:t>я</w:t>
            </w:r>
            <w:r w:rsidRPr="00A5626D">
              <w:rPr>
                <w:rFonts w:ascii="Garamond" w:hAnsi="Garamond" w:cstheme="minorHAnsi"/>
                <w:sz w:val="22"/>
                <w:szCs w:val="22"/>
              </w:rPr>
              <w:t xml:space="preserve">. </w:t>
            </w:r>
          </w:p>
          <w:p w14:paraId="3A047FBA" w14:textId="77777777" w:rsidR="00295C6D" w:rsidRPr="00A5626D" w:rsidRDefault="00295C6D" w:rsidP="00E31AE6">
            <w:pPr>
              <w:tabs>
                <w:tab w:val="left" w:pos="1134"/>
                <w:tab w:val="left" w:pos="7938"/>
              </w:tabs>
              <w:spacing w:before="120" w:after="120"/>
              <w:ind w:firstLine="456"/>
              <w:jc w:val="both"/>
              <w:rPr>
                <w:rFonts w:ascii="Garamond" w:hAnsi="Garamond" w:cstheme="minorHAnsi"/>
                <w:sz w:val="22"/>
                <w:szCs w:val="22"/>
              </w:rPr>
            </w:pPr>
            <w:r w:rsidRPr="00A5626D">
              <w:rPr>
                <w:rFonts w:ascii="Garamond" w:hAnsi="Garamond" w:cstheme="minorHAnsi"/>
                <w:sz w:val="22"/>
                <w:szCs w:val="22"/>
              </w:rPr>
              <w:t>Потомками элемента &lt;</w:t>
            </w:r>
            <w:r w:rsidRPr="00A5626D">
              <w:rPr>
                <w:rFonts w:ascii="Garamond" w:hAnsi="Garamond" w:cstheme="minorHAnsi"/>
                <w:b/>
                <w:sz w:val="22"/>
                <w:szCs w:val="22"/>
                <w:lang w:val="en-US"/>
              </w:rPr>
              <w:t>measuring</w:t>
            </w:r>
            <w:r w:rsidRPr="00A5626D">
              <w:rPr>
                <w:rFonts w:ascii="Garamond" w:hAnsi="Garamond" w:cstheme="minorHAnsi"/>
                <w:b/>
                <w:sz w:val="22"/>
                <w:szCs w:val="22"/>
              </w:rPr>
              <w:t>-</w:t>
            </w:r>
            <w:r w:rsidRPr="00A5626D">
              <w:rPr>
                <w:rFonts w:ascii="Garamond" w:hAnsi="Garamond" w:cstheme="minorHAnsi"/>
                <w:b/>
                <w:sz w:val="22"/>
                <w:szCs w:val="22"/>
                <w:lang w:val="en-US"/>
              </w:rPr>
              <w:t>points</w:t>
            </w:r>
            <w:r w:rsidRPr="00A5626D">
              <w:rPr>
                <w:rFonts w:ascii="Garamond" w:hAnsi="Garamond" w:cstheme="minorHAnsi"/>
                <w:sz w:val="22"/>
                <w:szCs w:val="22"/>
              </w:rPr>
              <w:t>&gt; являются элементы &lt;</w:t>
            </w:r>
            <w:r w:rsidRPr="00A5626D">
              <w:rPr>
                <w:rFonts w:ascii="Garamond" w:eastAsia="Calibri" w:hAnsi="Garamond" w:cstheme="minorHAnsi"/>
                <w:b/>
                <w:sz w:val="22"/>
                <w:szCs w:val="22"/>
                <w:lang w:val="en-US"/>
              </w:rPr>
              <w:t>measuring</w:t>
            </w:r>
            <w:r w:rsidRPr="00A5626D">
              <w:rPr>
                <w:rFonts w:ascii="Garamond" w:eastAsia="Calibri" w:hAnsi="Garamond" w:cstheme="minorHAnsi"/>
                <w:b/>
                <w:sz w:val="22"/>
                <w:szCs w:val="22"/>
              </w:rPr>
              <w:t>-</w:t>
            </w:r>
            <w:r w:rsidRPr="00A5626D">
              <w:rPr>
                <w:rFonts w:ascii="Garamond" w:eastAsia="Calibri" w:hAnsi="Garamond" w:cstheme="minorHAnsi"/>
                <w:b/>
                <w:sz w:val="22"/>
                <w:szCs w:val="22"/>
                <w:lang w:val="en-US"/>
              </w:rPr>
              <w:t>point</w:t>
            </w:r>
            <w:r w:rsidRPr="00A5626D">
              <w:rPr>
                <w:rFonts w:ascii="Garamond" w:hAnsi="Garamond" w:cstheme="minorHAnsi"/>
                <w:sz w:val="22"/>
                <w:szCs w:val="22"/>
              </w:rPr>
              <w:t>&gt;. Количество элементов &lt;</w:t>
            </w:r>
            <w:r w:rsidRPr="00A5626D">
              <w:rPr>
                <w:rFonts w:ascii="Garamond" w:eastAsia="Calibri" w:hAnsi="Garamond" w:cstheme="minorHAnsi"/>
                <w:b/>
                <w:sz w:val="22"/>
                <w:szCs w:val="22"/>
                <w:lang w:val="en-US"/>
              </w:rPr>
              <w:t>measuring</w:t>
            </w:r>
            <w:r w:rsidRPr="00A5626D">
              <w:rPr>
                <w:rFonts w:ascii="Garamond" w:eastAsia="Calibri" w:hAnsi="Garamond" w:cstheme="minorHAnsi"/>
                <w:b/>
                <w:sz w:val="22"/>
                <w:szCs w:val="22"/>
              </w:rPr>
              <w:t>-</w:t>
            </w:r>
            <w:r w:rsidRPr="00A5626D">
              <w:rPr>
                <w:rFonts w:ascii="Garamond" w:eastAsia="Calibri" w:hAnsi="Garamond" w:cstheme="minorHAnsi"/>
                <w:b/>
                <w:sz w:val="22"/>
                <w:szCs w:val="22"/>
                <w:lang w:val="en-US"/>
              </w:rPr>
              <w:t>point</w:t>
            </w:r>
            <w:r w:rsidRPr="00A5626D">
              <w:rPr>
                <w:rFonts w:ascii="Garamond" w:hAnsi="Garamond" w:cstheme="minorHAnsi"/>
                <w:sz w:val="22"/>
                <w:szCs w:val="22"/>
              </w:rPr>
              <w:t>&gt; соответствует количеству точек измерени</w:t>
            </w:r>
            <w:r w:rsidRPr="00A5626D">
              <w:rPr>
                <w:rFonts w:ascii="Garamond" w:hAnsi="Garamond" w:cstheme="minorHAnsi"/>
                <w:sz w:val="22"/>
                <w:szCs w:val="22"/>
                <w:highlight w:val="yellow"/>
              </w:rPr>
              <w:t>я</w:t>
            </w:r>
            <w:r w:rsidRPr="00A5626D">
              <w:rPr>
                <w:rFonts w:ascii="Garamond" w:hAnsi="Garamond" w:cstheme="minorHAnsi"/>
                <w:bCs/>
                <w:sz w:val="22"/>
                <w:szCs w:val="22"/>
              </w:rPr>
              <w:t>, включая ТИ ОВ/ПГ, и параметров СО, представленных в сечении или ГТП генерации</w:t>
            </w:r>
            <w:r w:rsidRPr="00A5626D">
              <w:rPr>
                <w:rFonts w:ascii="Garamond" w:hAnsi="Garamond" w:cstheme="minorHAnsi"/>
                <w:sz w:val="22"/>
                <w:szCs w:val="22"/>
              </w:rPr>
              <w:t>.</w:t>
            </w:r>
          </w:p>
        </w:tc>
        <w:tc>
          <w:tcPr>
            <w:tcW w:w="7088" w:type="dxa"/>
          </w:tcPr>
          <w:p w14:paraId="59A4E733" w14:textId="77777777" w:rsidR="00295C6D" w:rsidRPr="00A5626D" w:rsidRDefault="00295C6D" w:rsidP="00E31AE6">
            <w:pPr>
              <w:tabs>
                <w:tab w:val="left" w:pos="1134"/>
                <w:tab w:val="left" w:pos="7938"/>
              </w:tabs>
              <w:spacing w:before="120" w:after="120"/>
              <w:ind w:firstLine="456"/>
              <w:jc w:val="both"/>
              <w:rPr>
                <w:rFonts w:ascii="Garamond" w:hAnsi="Garamond" w:cstheme="minorHAnsi"/>
                <w:sz w:val="22"/>
                <w:szCs w:val="22"/>
              </w:rPr>
            </w:pPr>
            <w:r w:rsidRPr="00A5626D">
              <w:rPr>
                <w:rFonts w:ascii="Garamond" w:hAnsi="Garamond" w:cstheme="minorHAnsi"/>
                <w:sz w:val="22"/>
                <w:szCs w:val="22"/>
              </w:rPr>
              <w:t>&lt;</w:t>
            </w:r>
            <w:r w:rsidRPr="00A5626D">
              <w:rPr>
                <w:rFonts w:ascii="Garamond" w:hAnsi="Garamond" w:cstheme="minorHAnsi"/>
                <w:i/>
                <w:iCs/>
                <w:sz w:val="22"/>
                <w:szCs w:val="22"/>
                <w:lang w:val="en-US"/>
              </w:rPr>
              <w:t>measuring</w:t>
            </w:r>
            <w:r w:rsidRPr="00A5626D">
              <w:rPr>
                <w:rFonts w:ascii="Garamond" w:hAnsi="Garamond" w:cstheme="minorHAnsi"/>
                <w:i/>
                <w:iCs/>
                <w:sz w:val="22"/>
                <w:szCs w:val="22"/>
              </w:rPr>
              <w:t>-</w:t>
            </w:r>
            <w:r w:rsidRPr="00A5626D">
              <w:rPr>
                <w:rFonts w:ascii="Garamond" w:hAnsi="Garamond" w:cstheme="minorHAnsi"/>
                <w:i/>
                <w:iCs/>
                <w:sz w:val="22"/>
                <w:szCs w:val="22"/>
                <w:lang w:val="en-US"/>
              </w:rPr>
              <w:t>points</w:t>
            </w:r>
            <w:r w:rsidRPr="00A5626D">
              <w:rPr>
                <w:rFonts w:ascii="Garamond" w:hAnsi="Garamond" w:cstheme="minorHAnsi"/>
                <w:sz w:val="22"/>
                <w:szCs w:val="22"/>
              </w:rPr>
              <w:t>&gt;</w:t>
            </w:r>
          </w:p>
          <w:p w14:paraId="26466732" w14:textId="77777777" w:rsidR="00295C6D" w:rsidRPr="00A5626D" w:rsidRDefault="00295C6D" w:rsidP="00E31AE6">
            <w:pPr>
              <w:widowControl w:val="0"/>
              <w:tabs>
                <w:tab w:val="left" w:pos="1134"/>
                <w:tab w:val="left" w:pos="7938"/>
              </w:tabs>
              <w:autoSpaceDE w:val="0"/>
              <w:autoSpaceDN w:val="0"/>
              <w:adjustRightInd w:val="0"/>
              <w:spacing w:before="60" w:after="60"/>
              <w:ind w:firstLine="456"/>
              <w:jc w:val="both"/>
              <w:rPr>
                <w:rFonts w:ascii="Garamond" w:hAnsi="Garamond" w:cstheme="minorHAnsi"/>
                <w:sz w:val="22"/>
                <w:szCs w:val="22"/>
              </w:rPr>
            </w:pPr>
            <w:r w:rsidRPr="00A5626D">
              <w:rPr>
                <w:rFonts w:ascii="Garamond" w:hAnsi="Garamond" w:cstheme="minorHAnsi"/>
                <w:sz w:val="22"/>
                <w:szCs w:val="22"/>
              </w:rPr>
              <w:t xml:space="preserve">Элемент </w:t>
            </w:r>
            <w:r w:rsidRPr="00A5626D">
              <w:rPr>
                <w:rFonts w:ascii="Garamond" w:hAnsi="Garamond" w:cstheme="minorHAnsi"/>
                <w:b/>
                <w:sz w:val="22"/>
                <w:szCs w:val="22"/>
              </w:rPr>
              <w:t>&lt;</w:t>
            </w:r>
            <w:r w:rsidRPr="00A5626D">
              <w:rPr>
                <w:rFonts w:ascii="Garamond" w:hAnsi="Garamond" w:cstheme="minorHAnsi"/>
                <w:b/>
                <w:sz w:val="22"/>
                <w:szCs w:val="22"/>
                <w:lang w:val="en-US"/>
              </w:rPr>
              <w:t>measuring</w:t>
            </w:r>
            <w:r w:rsidRPr="00A5626D">
              <w:rPr>
                <w:rFonts w:ascii="Garamond" w:hAnsi="Garamond" w:cstheme="minorHAnsi"/>
                <w:b/>
                <w:sz w:val="22"/>
                <w:szCs w:val="22"/>
              </w:rPr>
              <w:t>-</w:t>
            </w:r>
            <w:r w:rsidRPr="00A5626D">
              <w:rPr>
                <w:rFonts w:ascii="Garamond" w:hAnsi="Garamond" w:cstheme="minorHAnsi"/>
                <w:b/>
                <w:sz w:val="22"/>
                <w:szCs w:val="22"/>
                <w:lang w:val="en-US"/>
              </w:rPr>
              <w:t>points</w:t>
            </w:r>
            <w:r w:rsidRPr="00A5626D">
              <w:rPr>
                <w:rFonts w:ascii="Garamond" w:hAnsi="Garamond" w:cstheme="minorHAnsi"/>
                <w:b/>
                <w:sz w:val="22"/>
                <w:szCs w:val="22"/>
              </w:rPr>
              <w:t>&gt;</w:t>
            </w:r>
            <w:r w:rsidRPr="00A5626D">
              <w:rPr>
                <w:rFonts w:ascii="Garamond" w:hAnsi="Garamond" w:cstheme="minorHAnsi"/>
                <w:sz w:val="22"/>
                <w:szCs w:val="22"/>
              </w:rPr>
              <w:t xml:space="preserve"> содержит справочник точек измерени</w:t>
            </w:r>
            <w:r w:rsidRPr="00A5626D">
              <w:rPr>
                <w:rFonts w:ascii="Garamond" w:hAnsi="Garamond" w:cstheme="minorHAnsi"/>
                <w:sz w:val="22"/>
                <w:szCs w:val="22"/>
                <w:highlight w:val="yellow"/>
              </w:rPr>
              <w:t>й</w:t>
            </w:r>
            <w:r w:rsidRPr="00A5626D">
              <w:rPr>
                <w:rFonts w:ascii="Garamond" w:hAnsi="Garamond" w:cstheme="minorHAnsi"/>
                <w:sz w:val="22"/>
                <w:szCs w:val="22"/>
              </w:rPr>
              <w:t xml:space="preserve">. </w:t>
            </w:r>
          </w:p>
          <w:p w14:paraId="75F1B091" w14:textId="7AFFEF25" w:rsidR="00295C6D" w:rsidRPr="00A5626D" w:rsidRDefault="00295C6D" w:rsidP="00E31AE6">
            <w:pPr>
              <w:tabs>
                <w:tab w:val="left" w:pos="1134"/>
                <w:tab w:val="left" w:pos="7938"/>
              </w:tabs>
              <w:spacing w:before="120" w:after="120"/>
              <w:ind w:firstLine="456"/>
              <w:jc w:val="both"/>
              <w:rPr>
                <w:rFonts w:ascii="Garamond" w:hAnsi="Garamond" w:cstheme="minorHAnsi"/>
                <w:sz w:val="22"/>
                <w:szCs w:val="22"/>
              </w:rPr>
            </w:pPr>
            <w:r w:rsidRPr="00A5626D">
              <w:rPr>
                <w:rFonts w:ascii="Garamond" w:hAnsi="Garamond" w:cstheme="minorHAnsi"/>
                <w:sz w:val="22"/>
                <w:szCs w:val="22"/>
              </w:rPr>
              <w:t>Потомками элемента &lt;</w:t>
            </w:r>
            <w:r w:rsidRPr="00A5626D">
              <w:rPr>
                <w:rFonts w:ascii="Garamond" w:hAnsi="Garamond" w:cstheme="minorHAnsi"/>
                <w:b/>
                <w:sz w:val="22"/>
                <w:szCs w:val="22"/>
                <w:lang w:val="en-US"/>
              </w:rPr>
              <w:t>measuring</w:t>
            </w:r>
            <w:r w:rsidRPr="00A5626D">
              <w:rPr>
                <w:rFonts w:ascii="Garamond" w:hAnsi="Garamond" w:cstheme="minorHAnsi"/>
                <w:b/>
                <w:sz w:val="22"/>
                <w:szCs w:val="22"/>
              </w:rPr>
              <w:t>-</w:t>
            </w:r>
            <w:r w:rsidRPr="00A5626D">
              <w:rPr>
                <w:rFonts w:ascii="Garamond" w:hAnsi="Garamond" w:cstheme="minorHAnsi"/>
                <w:b/>
                <w:sz w:val="22"/>
                <w:szCs w:val="22"/>
                <w:lang w:val="en-US"/>
              </w:rPr>
              <w:t>points</w:t>
            </w:r>
            <w:r w:rsidRPr="00A5626D">
              <w:rPr>
                <w:rFonts w:ascii="Garamond" w:hAnsi="Garamond" w:cstheme="minorHAnsi"/>
                <w:sz w:val="22"/>
                <w:szCs w:val="22"/>
              </w:rPr>
              <w:t>&gt; являются элементы &lt;</w:t>
            </w:r>
            <w:r w:rsidRPr="00A5626D">
              <w:rPr>
                <w:rFonts w:ascii="Garamond" w:eastAsia="Calibri" w:hAnsi="Garamond" w:cstheme="minorHAnsi"/>
                <w:b/>
                <w:sz w:val="22"/>
                <w:szCs w:val="22"/>
                <w:lang w:val="en-US"/>
              </w:rPr>
              <w:t>measuring</w:t>
            </w:r>
            <w:r w:rsidRPr="00A5626D">
              <w:rPr>
                <w:rFonts w:ascii="Garamond" w:eastAsia="Calibri" w:hAnsi="Garamond" w:cstheme="minorHAnsi"/>
                <w:b/>
                <w:sz w:val="22"/>
                <w:szCs w:val="22"/>
              </w:rPr>
              <w:t>-</w:t>
            </w:r>
            <w:r w:rsidRPr="00A5626D">
              <w:rPr>
                <w:rFonts w:ascii="Garamond" w:eastAsia="Calibri" w:hAnsi="Garamond" w:cstheme="minorHAnsi"/>
                <w:b/>
                <w:sz w:val="22"/>
                <w:szCs w:val="22"/>
                <w:lang w:val="en-US"/>
              </w:rPr>
              <w:t>point</w:t>
            </w:r>
            <w:r w:rsidRPr="00A5626D">
              <w:rPr>
                <w:rFonts w:ascii="Garamond" w:hAnsi="Garamond" w:cstheme="minorHAnsi"/>
                <w:sz w:val="22"/>
                <w:szCs w:val="22"/>
              </w:rPr>
              <w:t>&gt;. Количество элементов &lt;</w:t>
            </w:r>
            <w:r w:rsidRPr="00A5626D">
              <w:rPr>
                <w:rFonts w:ascii="Garamond" w:eastAsia="Calibri" w:hAnsi="Garamond" w:cstheme="minorHAnsi"/>
                <w:b/>
                <w:sz w:val="22"/>
                <w:szCs w:val="22"/>
                <w:lang w:val="en-US"/>
              </w:rPr>
              <w:t>measuring</w:t>
            </w:r>
            <w:r w:rsidRPr="00A5626D">
              <w:rPr>
                <w:rFonts w:ascii="Garamond" w:eastAsia="Calibri" w:hAnsi="Garamond" w:cstheme="minorHAnsi"/>
                <w:b/>
                <w:sz w:val="22"/>
                <w:szCs w:val="22"/>
              </w:rPr>
              <w:t>-</w:t>
            </w:r>
            <w:r w:rsidRPr="00A5626D">
              <w:rPr>
                <w:rFonts w:ascii="Garamond" w:eastAsia="Calibri" w:hAnsi="Garamond" w:cstheme="minorHAnsi"/>
                <w:b/>
                <w:sz w:val="22"/>
                <w:szCs w:val="22"/>
                <w:lang w:val="en-US"/>
              </w:rPr>
              <w:t>point</w:t>
            </w:r>
            <w:r w:rsidRPr="00A5626D">
              <w:rPr>
                <w:rFonts w:ascii="Garamond" w:hAnsi="Garamond" w:cstheme="minorHAnsi"/>
                <w:sz w:val="22"/>
                <w:szCs w:val="22"/>
              </w:rPr>
              <w:t>&gt; соответствует количеству точек измерени</w:t>
            </w:r>
            <w:r w:rsidRPr="00A5626D">
              <w:rPr>
                <w:rFonts w:ascii="Garamond" w:hAnsi="Garamond" w:cstheme="minorHAnsi"/>
                <w:sz w:val="22"/>
                <w:szCs w:val="22"/>
                <w:highlight w:val="yellow"/>
              </w:rPr>
              <w:t>й</w:t>
            </w:r>
            <w:r w:rsidRPr="00A5626D">
              <w:rPr>
                <w:rFonts w:ascii="Garamond" w:hAnsi="Garamond" w:cstheme="minorHAnsi"/>
                <w:bCs/>
                <w:sz w:val="22"/>
                <w:szCs w:val="22"/>
              </w:rPr>
              <w:t xml:space="preserve">, включая ТИ ОВ/ПГ, и параметров СО, представленных в сечении </w:t>
            </w:r>
            <w:r w:rsidRPr="00A5626D">
              <w:rPr>
                <w:rFonts w:ascii="Garamond" w:hAnsi="Garamond" w:cstheme="minorHAnsi"/>
                <w:bCs/>
                <w:sz w:val="22"/>
                <w:szCs w:val="22"/>
                <w:highlight w:val="yellow"/>
              </w:rPr>
              <w:t>КУ</w:t>
            </w:r>
            <w:r w:rsidR="00C6418D" w:rsidRPr="00C6418D">
              <w:rPr>
                <w:rFonts w:ascii="Garamond" w:hAnsi="Garamond" w:cstheme="minorHAnsi"/>
                <w:bCs/>
                <w:sz w:val="22"/>
                <w:szCs w:val="22"/>
                <w:highlight w:val="yellow"/>
              </w:rPr>
              <w:t>,</w:t>
            </w:r>
            <w:r w:rsidRPr="00A5626D">
              <w:rPr>
                <w:rFonts w:ascii="Garamond" w:hAnsi="Garamond" w:cstheme="minorHAnsi"/>
                <w:bCs/>
                <w:sz w:val="22"/>
                <w:szCs w:val="22"/>
              </w:rPr>
              <w:t xml:space="preserve"> или ГТП генерации</w:t>
            </w:r>
            <w:r w:rsidR="00C6418D" w:rsidRPr="00C6418D">
              <w:rPr>
                <w:rFonts w:ascii="Garamond" w:hAnsi="Garamond" w:cstheme="minorHAnsi"/>
                <w:bCs/>
                <w:sz w:val="22"/>
                <w:szCs w:val="22"/>
                <w:highlight w:val="yellow"/>
              </w:rPr>
              <w:t>,</w:t>
            </w:r>
            <w:r w:rsidRPr="00C6418D">
              <w:rPr>
                <w:rFonts w:ascii="Garamond" w:hAnsi="Garamond" w:cstheme="minorHAnsi"/>
                <w:bCs/>
                <w:sz w:val="22"/>
                <w:szCs w:val="22"/>
                <w:highlight w:val="yellow"/>
              </w:rPr>
              <w:t xml:space="preserve"> и</w:t>
            </w:r>
            <w:r w:rsidRPr="00A5626D">
              <w:rPr>
                <w:rFonts w:ascii="Garamond" w:hAnsi="Garamond" w:cstheme="minorHAnsi"/>
                <w:bCs/>
                <w:sz w:val="22"/>
                <w:szCs w:val="22"/>
                <w:highlight w:val="yellow"/>
              </w:rPr>
              <w:t>ли ОР</w:t>
            </w:r>
            <w:r w:rsidRPr="00A5626D">
              <w:rPr>
                <w:rFonts w:ascii="Garamond" w:hAnsi="Garamond" w:cstheme="minorHAnsi"/>
                <w:sz w:val="22"/>
                <w:szCs w:val="22"/>
              </w:rPr>
              <w:t>.</w:t>
            </w:r>
          </w:p>
        </w:tc>
      </w:tr>
      <w:tr w:rsidR="00295C6D" w:rsidRPr="00A5626D" w14:paraId="70E6DDBB" w14:textId="77777777" w:rsidTr="00647FA0">
        <w:tc>
          <w:tcPr>
            <w:tcW w:w="1060" w:type="dxa"/>
            <w:vAlign w:val="center"/>
          </w:tcPr>
          <w:p w14:paraId="78B3A48D" w14:textId="32E268F1" w:rsidR="00295C6D" w:rsidRPr="00A5626D" w:rsidRDefault="00295C6D" w:rsidP="00E31AE6">
            <w:pPr>
              <w:widowControl w:val="0"/>
              <w:tabs>
                <w:tab w:val="left" w:pos="1134"/>
                <w:tab w:val="left" w:pos="7938"/>
              </w:tabs>
              <w:spacing w:line="22" w:lineRule="atLeast"/>
              <w:jc w:val="both"/>
              <w:rPr>
                <w:rFonts w:ascii="Garamond" w:hAnsi="Garamond"/>
                <w:b/>
                <w:sz w:val="22"/>
                <w:szCs w:val="22"/>
                <w:lang w:eastAsia="en-US"/>
              </w:rPr>
            </w:pPr>
            <w:r w:rsidRPr="00A5626D">
              <w:rPr>
                <w:rFonts w:ascii="Garamond" w:hAnsi="Garamond"/>
                <w:b/>
                <w:sz w:val="22"/>
                <w:szCs w:val="22"/>
                <w:lang w:eastAsia="en-US"/>
              </w:rPr>
              <w:t xml:space="preserve">Приложение 5, </w:t>
            </w:r>
            <w:r w:rsidRPr="00A5626D">
              <w:rPr>
                <w:rFonts w:ascii="Garamond" w:hAnsi="Garamond"/>
                <w:b/>
                <w:sz w:val="22"/>
                <w:szCs w:val="22"/>
                <w:lang w:eastAsia="en-US"/>
              </w:rPr>
              <w:lastRenderedPageBreak/>
              <w:t>п.</w:t>
            </w:r>
            <w:r w:rsidR="00647FA0" w:rsidRPr="00A5626D">
              <w:rPr>
                <w:rFonts w:ascii="Garamond" w:hAnsi="Garamond"/>
                <w:b/>
                <w:sz w:val="22"/>
                <w:szCs w:val="22"/>
                <w:lang w:eastAsia="en-US"/>
              </w:rPr>
              <w:t> </w:t>
            </w:r>
            <w:r w:rsidRPr="00A5626D">
              <w:rPr>
                <w:rFonts w:ascii="Garamond" w:hAnsi="Garamond"/>
                <w:b/>
                <w:sz w:val="22"/>
                <w:szCs w:val="22"/>
                <w:lang w:eastAsia="en-US"/>
              </w:rPr>
              <w:t>4.4.1.2.1.8.1</w:t>
            </w:r>
            <w:r w:rsidR="009B5F03" w:rsidRPr="00A5626D">
              <w:rPr>
                <w:rFonts w:ascii="Garamond" w:hAnsi="Garamond" w:cstheme="minorHAnsi"/>
                <w:b/>
                <w:sz w:val="22"/>
                <w:szCs w:val="22"/>
              </w:rPr>
              <w:t xml:space="preserve"> </w:t>
            </w:r>
          </w:p>
        </w:tc>
        <w:tc>
          <w:tcPr>
            <w:tcW w:w="6662" w:type="dxa"/>
          </w:tcPr>
          <w:p w14:paraId="1EBCC0BE" w14:textId="77777777" w:rsidR="00295C6D" w:rsidRPr="00A5626D" w:rsidRDefault="00295C6D" w:rsidP="00E31AE6">
            <w:pPr>
              <w:tabs>
                <w:tab w:val="left" w:pos="1134"/>
                <w:tab w:val="left" w:pos="7938"/>
              </w:tabs>
              <w:spacing w:before="120" w:after="120"/>
              <w:ind w:firstLine="456"/>
              <w:jc w:val="both"/>
              <w:rPr>
                <w:rFonts w:ascii="Garamond" w:hAnsi="Garamond" w:cstheme="minorHAnsi"/>
                <w:sz w:val="22"/>
                <w:szCs w:val="22"/>
              </w:rPr>
            </w:pPr>
            <w:r w:rsidRPr="00A5626D">
              <w:rPr>
                <w:rFonts w:ascii="Garamond" w:hAnsi="Garamond" w:cstheme="minorHAnsi"/>
                <w:sz w:val="22"/>
                <w:szCs w:val="22"/>
              </w:rPr>
              <w:lastRenderedPageBreak/>
              <w:t>&lt;</w:t>
            </w:r>
            <w:r w:rsidRPr="00A5626D">
              <w:rPr>
                <w:rFonts w:ascii="Garamond" w:hAnsi="Garamond" w:cstheme="minorHAnsi"/>
                <w:sz w:val="22"/>
                <w:szCs w:val="22"/>
                <w:lang w:val="en-US"/>
              </w:rPr>
              <w:t>measuring</w:t>
            </w:r>
            <w:r w:rsidRPr="00A5626D">
              <w:rPr>
                <w:rFonts w:ascii="Garamond" w:hAnsi="Garamond" w:cstheme="minorHAnsi"/>
                <w:sz w:val="22"/>
                <w:szCs w:val="22"/>
              </w:rPr>
              <w:t>-</w:t>
            </w:r>
            <w:r w:rsidRPr="00A5626D">
              <w:rPr>
                <w:rFonts w:ascii="Garamond" w:hAnsi="Garamond" w:cstheme="minorHAnsi"/>
                <w:sz w:val="22"/>
                <w:szCs w:val="22"/>
                <w:lang w:val="en-US"/>
              </w:rPr>
              <w:t>point</w:t>
            </w:r>
            <w:r w:rsidRPr="00A5626D">
              <w:rPr>
                <w:rFonts w:ascii="Garamond" w:hAnsi="Garamond" w:cstheme="minorHAnsi"/>
                <w:sz w:val="22"/>
                <w:szCs w:val="22"/>
              </w:rPr>
              <w:t>&gt;</w:t>
            </w:r>
          </w:p>
          <w:p w14:paraId="4A3AF4E4" w14:textId="77777777" w:rsidR="00295C6D" w:rsidRPr="00A5626D" w:rsidRDefault="00295C6D" w:rsidP="00E31AE6">
            <w:pPr>
              <w:tabs>
                <w:tab w:val="left" w:pos="1134"/>
                <w:tab w:val="left" w:pos="7938"/>
              </w:tabs>
              <w:spacing w:before="120" w:after="120"/>
              <w:ind w:firstLine="456"/>
              <w:jc w:val="both"/>
              <w:rPr>
                <w:rFonts w:ascii="Garamond" w:hAnsi="Garamond" w:cstheme="minorHAnsi"/>
                <w:sz w:val="22"/>
                <w:szCs w:val="22"/>
              </w:rPr>
            </w:pPr>
            <w:r w:rsidRPr="00A5626D">
              <w:rPr>
                <w:rFonts w:ascii="Garamond" w:hAnsi="Garamond" w:cstheme="minorHAnsi"/>
                <w:sz w:val="22"/>
                <w:szCs w:val="22"/>
              </w:rPr>
              <w:lastRenderedPageBreak/>
              <w:t>Элемент &lt;</w:t>
            </w:r>
            <w:r w:rsidRPr="00A5626D">
              <w:rPr>
                <w:rFonts w:ascii="Garamond" w:eastAsia="Calibri" w:hAnsi="Garamond" w:cstheme="minorHAnsi"/>
                <w:b/>
                <w:sz w:val="22"/>
                <w:szCs w:val="22"/>
                <w:lang w:val="en-US"/>
              </w:rPr>
              <w:t>measuring</w:t>
            </w:r>
            <w:r w:rsidRPr="00A5626D">
              <w:rPr>
                <w:rFonts w:ascii="Garamond" w:eastAsia="Calibri" w:hAnsi="Garamond" w:cstheme="minorHAnsi"/>
                <w:b/>
                <w:sz w:val="22"/>
                <w:szCs w:val="22"/>
              </w:rPr>
              <w:t>-</w:t>
            </w:r>
            <w:r w:rsidRPr="00A5626D">
              <w:rPr>
                <w:rFonts w:ascii="Garamond" w:eastAsia="Calibri" w:hAnsi="Garamond" w:cstheme="minorHAnsi"/>
                <w:b/>
                <w:sz w:val="22"/>
                <w:szCs w:val="22"/>
                <w:lang w:val="en-US"/>
              </w:rPr>
              <w:t>point</w:t>
            </w:r>
            <w:r w:rsidRPr="00A5626D">
              <w:rPr>
                <w:rFonts w:ascii="Garamond" w:hAnsi="Garamond" w:cstheme="minorHAnsi"/>
                <w:sz w:val="22"/>
                <w:szCs w:val="22"/>
              </w:rPr>
              <w:t>&gt; содержит информацию о точке измерени</w:t>
            </w:r>
            <w:r w:rsidRPr="00A5626D">
              <w:rPr>
                <w:rFonts w:ascii="Garamond" w:hAnsi="Garamond" w:cstheme="minorHAnsi"/>
                <w:sz w:val="22"/>
                <w:szCs w:val="22"/>
                <w:highlight w:val="yellow"/>
              </w:rPr>
              <w:t>я</w:t>
            </w:r>
            <w:r w:rsidRPr="00A5626D">
              <w:rPr>
                <w:rFonts w:ascii="Garamond" w:hAnsi="Garamond" w:cstheme="minorHAnsi"/>
                <w:sz w:val="22"/>
                <w:szCs w:val="22"/>
              </w:rPr>
              <w:t>.</w:t>
            </w:r>
          </w:p>
          <w:p w14:paraId="52D1ADB0" w14:textId="77777777" w:rsidR="00295C6D" w:rsidRPr="00A5626D" w:rsidRDefault="00295C6D" w:rsidP="00E31AE6">
            <w:pPr>
              <w:tabs>
                <w:tab w:val="left" w:pos="1134"/>
                <w:tab w:val="left" w:pos="7938"/>
              </w:tabs>
              <w:spacing w:before="120" w:after="120"/>
              <w:ind w:firstLine="456"/>
              <w:jc w:val="both"/>
              <w:rPr>
                <w:rFonts w:ascii="Garamond" w:hAnsi="Garamond" w:cstheme="minorHAnsi"/>
                <w:sz w:val="22"/>
                <w:szCs w:val="22"/>
              </w:rPr>
            </w:pPr>
            <w:r w:rsidRPr="00A5626D">
              <w:rPr>
                <w:rFonts w:ascii="Garamond" w:hAnsi="Garamond" w:cstheme="minorHAnsi"/>
                <w:sz w:val="22"/>
                <w:szCs w:val="22"/>
              </w:rPr>
              <w:t>Атрибутами элемента &lt;</w:t>
            </w:r>
            <w:r w:rsidRPr="00A5626D">
              <w:rPr>
                <w:rFonts w:ascii="Garamond" w:eastAsia="Calibri" w:hAnsi="Garamond" w:cstheme="minorHAnsi"/>
                <w:b/>
                <w:sz w:val="22"/>
                <w:szCs w:val="22"/>
                <w:lang w:val="en-US"/>
              </w:rPr>
              <w:t>measuring</w:t>
            </w:r>
            <w:r w:rsidRPr="00A5626D">
              <w:rPr>
                <w:rFonts w:ascii="Garamond" w:eastAsia="Calibri" w:hAnsi="Garamond" w:cstheme="minorHAnsi"/>
                <w:b/>
                <w:sz w:val="22"/>
                <w:szCs w:val="22"/>
              </w:rPr>
              <w:t>-</w:t>
            </w:r>
            <w:r w:rsidRPr="00A5626D">
              <w:rPr>
                <w:rFonts w:ascii="Garamond" w:eastAsia="Calibri" w:hAnsi="Garamond" w:cstheme="minorHAnsi"/>
                <w:b/>
                <w:sz w:val="22"/>
                <w:szCs w:val="22"/>
                <w:lang w:val="en-US"/>
              </w:rPr>
              <w:t>point</w:t>
            </w:r>
            <w:r w:rsidRPr="00A5626D">
              <w:rPr>
                <w:rFonts w:ascii="Garamond" w:hAnsi="Garamond" w:cstheme="minorHAnsi"/>
                <w:sz w:val="22"/>
                <w:szCs w:val="22"/>
              </w:rPr>
              <w:t>&gt; являются:</w:t>
            </w:r>
          </w:p>
          <w:p w14:paraId="51011121" w14:textId="77777777" w:rsidR="00295C6D" w:rsidRPr="00A5626D" w:rsidRDefault="00295C6D" w:rsidP="00295C6D">
            <w:pPr>
              <w:widowControl w:val="0"/>
              <w:numPr>
                <w:ilvl w:val="0"/>
                <w:numId w:val="240"/>
              </w:numPr>
              <w:tabs>
                <w:tab w:val="left" w:pos="1134"/>
                <w:tab w:val="left" w:pos="7938"/>
              </w:tabs>
              <w:suppressAutoHyphens w:val="0"/>
              <w:autoSpaceDE w:val="0"/>
              <w:autoSpaceDN w:val="0"/>
              <w:adjustRightInd w:val="0"/>
              <w:spacing w:before="60" w:after="60"/>
              <w:ind w:left="0" w:firstLine="456"/>
              <w:jc w:val="both"/>
              <w:rPr>
                <w:rFonts w:ascii="Garamond" w:hAnsi="Garamond" w:cstheme="minorHAnsi"/>
                <w:sz w:val="22"/>
                <w:szCs w:val="22"/>
              </w:rPr>
            </w:pPr>
            <w:r w:rsidRPr="00A5626D">
              <w:rPr>
                <w:rFonts w:ascii="Garamond" w:hAnsi="Garamond" w:cstheme="minorHAnsi"/>
                <w:sz w:val="22"/>
                <w:szCs w:val="22"/>
                <w:lang w:val="en-US"/>
              </w:rPr>
              <w:t xml:space="preserve">measuring-point-type – </w:t>
            </w:r>
            <w:r w:rsidRPr="00A5626D">
              <w:rPr>
                <w:rFonts w:ascii="Garamond" w:hAnsi="Garamond" w:cstheme="minorHAnsi"/>
                <w:sz w:val="22"/>
                <w:szCs w:val="22"/>
              </w:rPr>
              <w:t>тип</w:t>
            </w:r>
            <w:r w:rsidRPr="00A5626D">
              <w:rPr>
                <w:rFonts w:ascii="Garamond" w:hAnsi="Garamond" w:cstheme="minorHAnsi"/>
                <w:sz w:val="22"/>
                <w:szCs w:val="22"/>
                <w:lang w:val="en-US"/>
              </w:rPr>
              <w:t xml:space="preserve"> </w:t>
            </w:r>
            <w:r w:rsidRPr="00A5626D">
              <w:rPr>
                <w:rFonts w:ascii="Garamond" w:hAnsi="Garamond" w:cstheme="minorHAnsi"/>
                <w:sz w:val="22"/>
                <w:szCs w:val="22"/>
              </w:rPr>
              <w:t>ТИ</w:t>
            </w:r>
            <w:r w:rsidRPr="00A5626D">
              <w:rPr>
                <w:rFonts w:ascii="Garamond" w:hAnsi="Garamond" w:cstheme="minorHAnsi"/>
                <w:sz w:val="22"/>
                <w:szCs w:val="22"/>
                <w:lang w:val="en-US"/>
              </w:rPr>
              <w:t xml:space="preserve">. </w:t>
            </w:r>
            <w:r w:rsidRPr="00A5626D">
              <w:rPr>
                <w:rFonts w:ascii="Garamond" w:hAnsi="Garamond" w:cstheme="minorHAnsi"/>
                <w:sz w:val="22"/>
                <w:szCs w:val="22"/>
              </w:rPr>
              <w:t>Для обычных точек измерени</w:t>
            </w:r>
            <w:r w:rsidRPr="00A5626D">
              <w:rPr>
                <w:rFonts w:ascii="Garamond" w:hAnsi="Garamond" w:cstheme="minorHAnsi"/>
                <w:sz w:val="22"/>
                <w:szCs w:val="22"/>
                <w:highlight w:val="yellow"/>
              </w:rPr>
              <w:t>я</w:t>
            </w:r>
            <w:r w:rsidRPr="00A5626D">
              <w:rPr>
                <w:rFonts w:ascii="Garamond" w:hAnsi="Garamond" w:cstheme="minorHAnsi"/>
                <w:sz w:val="22"/>
                <w:szCs w:val="22"/>
              </w:rPr>
              <w:t xml:space="preserve"> он принимает значение general, для параметров СО – so, для обходных выключателей и точек плавки гололеда – ov. Обязателен к заполнению для всех ТИ;</w:t>
            </w:r>
          </w:p>
          <w:p w14:paraId="30FAF0D0" w14:textId="77777777" w:rsidR="00295C6D" w:rsidRPr="00A5626D" w:rsidRDefault="00295C6D" w:rsidP="00295C6D">
            <w:pPr>
              <w:widowControl w:val="0"/>
              <w:numPr>
                <w:ilvl w:val="0"/>
                <w:numId w:val="240"/>
              </w:numPr>
              <w:tabs>
                <w:tab w:val="left" w:pos="1134"/>
                <w:tab w:val="left" w:pos="7938"/>
              </w:tabs>
              <w:suppressAutoHyphens w:val="0"/>
              <w:autoSpaceDE w:val="0"/>
              <w:autoSpaceDN w:val="0"/>
              <w:adjustRightInd w:val="0"/>
              <w:spacing w:before="60" w:after="60"/>
              <w:ind w:left="0" w:firstLine="456"/>
              <w:jc w:val="both"/>
              <w:rPr>
                <w:rFonts w:ascii="Garamond" w:hAnsi="Garamond" w:cstheme="minorHAnsi"/>
                <w:sz w:val="22"/>
                <w:szCs w:val="22"/>
              </w:rPr>
            </w:pPr>
            <w:r w:rsidRPr="00A5626D">
              <w:rPr>
                <w:rFonts w:ascii="Garamond" w:hAnsi="Garamond" w:cstheme="minorHAnsi"/>
                <w:sz w:val="22"/>
                <w:szCs w:val="22"/>
              </w:rPr>
              <w:t>schemanum – номер ТИ на однолинейной схеме. Атрибут обязателен к заполнению для обычных точек измерени</w:t>
            </w:r>
            <w:r w:rsidRPr="00A5626D">
              <w:rPr>
                <w:rFonts w:ascii="Garamond" w:hAnsi="Garamond" w:cstheme="minorHAnsi"/>
                <w:sz w:val="22"/>
                <w:szCs w:val="22"/>
                <w:highlight w:val="yellow"/>
              </w:rPr>
              <w:t>я</w:t>
            </w:r>
            <w:r w:rsidRPr="00A5626D">
              <w:rPr>
                <w:rFonts w:ascii="Garamond" w:hAnsi="Garamond" w:cstheme="minorHAnsi"/>
                <w:sz w:val="22"/>
                <w:szCs w:val="22"/>
              </w:rPr>
              <w:t>, обходных выключателей и ТИ плавки гололеда. Является текстовым полем длиной не более 10 знаков;</w:t>
            </w:r>
          </w:p>
          <w:p w14:paraId="25F51C87" w14:textId="77777777" w:rsidR="00295C6D" w:rsidRPr="00A5626D" w:rsidRDefault="00295C6D" w:rsidP="00295C6D">
            <w:pPr>
              <w:widowControl w:val="0"/>
              <w:numPr>
                <w:ilvl w:val="0"/>
                <w:numId w:val="240"/>
              </w:numPr>
              <w:tabs>
                <w:tab w:val="left" w:pos="1134"/>
                <w:tab w:val="left" w:pos="7938"/>
              </w:tabs>
              <w:suppressAutoHyphens w:val="0"/>
              <w:autoSpaceDE w:val="0"/>
              <w:autoSpaceDN w:val="0"/>
              <w:adjustRightInd w:val="0"/>
              <w:spacing w:before="60" w:after="60"/>
              <w:ind w:left="0" w:firstLine="456"/>
              <w:jc w:val="both"/>
              <w:rPr>
                <w:rFonts w:ascii="Garamond" w:hAnsi="Garamond" w:cstheme="minorHAnsi"/>
                <w:sz w:val="22"/>
                <w:szCs w:val="22"/>
              </w:rPr>
            </w:pPr>
            <w:r w:rsidRPr="00A5626D">
              <w:rPr>
                <w:rFonts w:ascii="Garamond" w:hAnsi="Garamond" w:cstheme="minorHAnsi"/>
                <w:sz w:val="22"/>
                <w:szCs w:val="22"/>
              </w:rPr>
              <w:t>ats-code – уникальный код, присвоенный КО точке измерени</w:t>
            </w:r>
            <w:r w:rsidRPr="00A5626D">
              <w:rPr>
                <w:rFonts w:ascii="Garamond" w:hAnsi="Garamond" w:cstheme="minorHAnsi"/>
                <w:sz w:val="22"/>
                <w:szCs w:val="22"/>
                <w:highlight w:val="yellow"/>
              </w:rPr>
              <w:t>я</w:t>
            </w:r>
            <w:r w:rsidRPr="00A5626D">
              <w:rPr>
                <w:rFonts w:ascii="Garamond" w:hAnsi="Garamond" w:cstheme="minorHAnsi"/>
                <w:sz w:val="22"/>
                <w:szCs w:val="22"/>
              </w:rPr>
              <w:t xml:space="preserve">. Является необязательным атрибутом и </w:t>
            </w:r>
            <w:r w:rsidRPr="00A5626D">
              <w:rPr>
                <w:rFonts w:ascii="Garamond" w:hAnsi="Garamond" w:cstheme="minorHAnsi"/>
                <w:bCs/>
                <w:sz w:val="22"/>
                <w:szCs w:val="22"/>
              </w:rPr>
              <w:t>состоит</w:t>
            </w:r>
            <w:r w:rsidRPr="00A5626D">
              <w:rPr>
                <w:rFonts w:ascii="Garamond" w:hAnsi="Garamond" w:cstheme="minorHAnsi"/>
                <w:sz w:val="22"/>
                <w:szCs w:val="22"/>
              </w:rPr>
              <w:t xml:space="preserve"> из 15 знаков. Заполняется для всех закодированных КО точек измерени</w:t>
            </w:r>
            <w:r w:rsidRPr="00A5626D">
              <w:rPr>
                <w:rFonts w:ascii="Garamond" w:hAnsi="Garamond" w:cstheme="minorHAnsi"/>
                <w:sz w:val="22"/>
                <w:szCs w:val="22"/>
                <w:highlight w:val="yellow"/>
              </w:rPr>
              <w:t>я</w:t>
            </w:r>
            <w:r w:rsidRPr="00A5626D">
              <w:rPr>
                <w:rFonts w:ascii="Garamond" w:hAnsi="Garamond" w:cstheme="minorHAnsi"/>
                <w:sz w:val="22"/>
                <w:szCs w:val="22"/>
              </w:rPr>
              <w:t>;</w:t>
            </w:r>
          </w:p>
          <w:p w14:paraId="47542D07" w14:textId="77777777" w:rsidR="00295C6D" w:rsidRPr="00A5626D" w:rsidRDefault="00295C6D" w:rsidP="00295C6D">
            <w:pPr>
              <w:widowControl w:val="0"/>
              <w:numPr>
                <w:ilvl w:val="0"/>
                <w:numId w:val="240"/>
              </w:numPr>
              <w:tabs>
                <w:tab w:val="left" w:pos="1134"/>
                <w:tab w:val="left" w:pos="7938"/>
              </w:tabs>
              <w:suppressAutoHyphens w:val="0"/>
              <w:autoSpaceDE w:val="0"/>
              <w:autoSpaceDN w:val="0"/>
              <w:adjustRightInd w:val="0"/>
              <w:spacing w:before="60" w:after="60"/>
              <w:ind w:left="0" w:firstLine="456"/>
              <w:jc w:val="both"/>
              <w:rPr>
                <w:rFonts w:ascii="Garamond" w:eastAsia="MS Mincho" w:hAnsi="Garamond" w:cstheme="minorHAnsi"/>
                <w:sz w:val="22"/>
                <w:szCs w:val="22"/>
              </w:rPr>
            </w:pPr>
            <w:r w:rsidRPr="00A5626D">
              <w:rPr>
                <w:rFonts w:ascii="Garamond" w:hAnsi="Garamond" w:cstheme="minorHAnsi"/>
                <w:sz w:val="22"/>
                <w:szCs w:val="22"/>
                <w:lang w:val="en-US"/>
              </w:rPr>
              <w:t>guid</w:t>
            </w:r>
            <w:r w:rsidRPr="00A5626D">
              <w:rPr>
                <w:rFonts w:ascii="Garamond" w:hAnsi="Garamond" w:cstheme="minorHAnsi"/>
                <w:sz w:val="22"/>
                <w:szCs w:val="22"/>
              </w:rPr>
              <w:t xml:space="preserve"> –</w:t>
            </w:r>
            <w:r w:rsidRPr="00A5626D">
              <w:rPr>
                <w:rFonts w:ascii="Garamond" w:eastAsia="MS Mincho" w:hAnsi="Garamond" w:cstheme="minorHAnsi"/>
                <w:sz w:val="22"/>
                <w:szCs w:val="22"/>
              </w:rPr>
              <w:t xml:space="preserve"> уникальный идентификатор ТИ, присваиваемый системой, формирующей файл. Является текстовым полем с 36 символами, обязательный атрибут;</w:t>
            </w:r>
          </w:p>
          <w:p w14:paraId="0350320C" w14:textId="77777777" w:rsidR="00295C6D" w:rsidRPr="00A5626D" w:rsidRDefault="00295C6D" w:rsidP="00295C6D">
            <w:pPr>
              <w:widowControl w:val="0"/>
              <w:numPr>
                <w:ilvl w:val="0"/>
                <w:numId w:val="240"/>
              </w:numPr>
              <w:tabs>
                <w:tab w:val="left" w:pos="1134"/>
                <w:tab w:val="left" w:pos="7938"/>
              </w:tabs>
              <w:suppressAutoHyphens w:val="0"/>
              <w:autoSpaceDE w:val="0"/>
              <w:autoSpaceDN w:val="0"/>
              <w:adjustRightInd w:val="0"/>
              <w:spacing w:before="60" w:after="60"/>
              <w:ind w:left="0" w:firstLine="456"/>
              <w:jc w:val="both"/>
              <w:rPr>
                <w:rFonts w:ascii="Garamond" w:eastAsia="MS Mincho" w:hAnsi="Garamond" w:cstheme="minorHAnsi"/>
                <w:sz w:val="22"/>
                <w:szCs w:val="22"/>
              </w:rPr>
            </w:pPr>
            <w:r w:rsidRPr="00A5626D">
              <w:rPr>
                <w:rFonts w:ascii="Garamond" w:hAnsi="Garamond" w:cstheme="minorHAnsi"/>
                <w:sz w:val="22"/>
                <w:szCs w:val="22"/>
                <w:lang w:val="en-US"/>
              </w:rPr>
              <w:t>id</w:t>
            </w:r>
            <w:r w:rsidRPr="00A5626D">
              <w:rPr>
                <w:rFonts w:ascii="Garamond" w:hAnsi="Garamond" w:cstheme="minorHAnsi"/>
                <w:sz w:val="22"/>
                <w:szCs w:val="22"/>
              </w:rPr>
              <w:t>-</w:t>
            </w:r>
            <w:r w:rsidRPr="00A5626D">
              <w:rPr>
                <w:rFonts w:ascii="Garamond" w:hAnsi="Garamond" w:cstheme="minorHAnsi"/>
                <w:sz w:val="22"/>
                <w:szCs w:val="22"/>
                <w:lang w:val="en-US"/>
              </w:rPr>
              <w:t>gtp</w:t>
            </w:r>
            <w:r w:rsidRPr="00A5626D">
              <w:rPr>
                <w:rFonts w:ascii="Garamond" w:eastAsia="MS Mincho" w:hAnsi="Garamond" w:cstheme="minorHAnsi"/>
                <w:sz w:val="22"/>
                <w:szCs w:val="22"/>
              </w:rPr>
              <w:t xml:space="preserve"> – атрибут, указывающий на расположение точки измерени</w:t>
            </w:r>
            <w:r w:rsidRPr="00A5626D">
              <w:rPr>
                <w:rFonts w:ascii="Garamond" w:eastAsia="MS Mincho" w:hAnsi="Garamond" w:cstheme="minorHAnsi"/>
                <w:sz w:val="22"/>
                <w:szCs w:val="22"/>
                <w:highlight w:val="yellow"/>
              </w:rPr>
              <w:t>я</w:t>
            </w:r>
            <w:r w:rsidRPr="00A5626D">
              <w:rPr>
                <w:rFonts w:ascii="Garamond" w:eastAsia="MS Mincho" w:hAnsi="Garamond" w:cstheme="minorHAnsi"/>
                <w:sz w:val="22"/>
                <w:szCs w:val="22"/>
              </w:rPr>
              <w:t xml:space="preserve"> относительно границы балансовой принадлежности. Ссылка на идентификатор ГТП из справочника ГТП потребления. Обязательный атрибут;</w:t>
            </w:r>
          </w:p>
          <w:p w14:paraId="369CBB4B" w14:textId="77777777" w:rsidR="00295C6D" w:rsidRPr="00A5626D" w:rsidRDefault="00295C6D" w:rsidP="00295C6D">
            <w:pPr>
              <w:numPr>
                <w:ilvl w:val="0"/>
                <w:numId w:val="240"/>
              </w:numPr>
              <w:tabs>
                <w:tab w:val="left" w:pos="1134"/>
                <w:tab w:val="left" w:pos="7938"/>
              </w:tabs>
              <w:suppressAutoHyphens w:val="0"/>
              <w:spacing w:after="160" w:line="259" w:lineRule="auto"/>
              <w:ind w:left="0" w:firstLine="456"/>
              <w:contextualSpacing/>
              <w:jc w:val="both"/>
              <w:rPr>
                <w:rFonts w:ascii="Garamond" w:hAnsi="Garamond" w:cstheme="minorHAnsi"/>
                <w:sz w:val="22"/>
                <w:szCs w:val="22"/>
              </w:rPr>
            </w:pPr>
            <w:r w:rsidRPr="00A5626D">
              <w:rPr>
                <w:rFonts w:ascii="Garamond" w:hAnsi="Garamond" w:cstheme="minorHAnsi"/>
                <w:sz w:val="22"/>
                <w:szCs w:val="22"/>
              </w:rPr>
              <w:t>id-measuring-point – внутренний идентификатор точки измерени</w:t>
            </w:r>
            <w:r w:rsidRPr="00A5626D">
              <w:rPr>
                <w:rFonts w:ascii="Garamond" w:hAnsi="Garamond" w:cstheme="minorHAnsi"/>
                <w:sz w:val="22"/>
                <w:szCs w:val="22"/>
                <w:highlight w:val="yellow"/>
              </w:rPr>
              <w:t>я</w:t>
            </w:r>
            <w:r w:rsidRPr="00A5626D">
              <w:rPr>
                <w:rFonts w:ascii="Garamond" w:hAnsi="Garamond" w:cstheme="minorHAnsi"/>
                <w:sz w:val="22"/>
                <w:szCs w:val="22"/>
              </w:rPr>
              <w:t>, используемый в элементах макета в качестве ссылок. Число до 4 знаков (1, 01, 001 и 0001 считаются одинаковыми идентификаторами). Является обязательным атрибутом;</w:t>
            </w:r>
          </w:p>
          <w:p w14:paraId="35CA0A49" w14:textId="77777777" w:rsidR="00295C6D" w:rsidRPr="00A5626D" w:rsidRDefault="00295C6D" w:rsidP="00295C6D">
            <w:pPr>
              <w:widowControl w:val="0"/>
              <w:numPr>
                <w:ilvl w:val="0"/>
                <w:numId w:val="240"/>
              </w:numPr>
              <w:tabs>
                <w:tab w:val="left" w:pos="1134"/>
                <w:tab w:val="left" w:pos="7938"/>
              </w:tabs>
              <w:suppressAutoHyphens w:val="0"/>
              <w:autoSpaceDE w:val="0"/>
              <w:autoSpaceDN w:val="0"/>
              <w:adjustRightInd w:val="0"/>
              <w:spacing w:before="60" w:after="60"/>
              <w:ind w:left="0" w:firstLine="456"/>
              <w:jc w:val="both"/>
              <w:rPr>
                <w:rFonts w:ascii="Garamond" w:hAnsi="Garamond" w:cstheme="minorHAnsi"/>
                <w:sz w:val="22"/>
                <w:szCs w:val="22"/>
              </w:rPr>
            </w:pPr>
            <w:r w:rsidRPr="00A5626D">
              <w:rPr>
                <w:rFonts w:ascii="Garamond" w:hAnsi="Garamond" w:cstheme="minorHAnsi"/>
                <w:sz w:val="22"/>
                <w:szCs w:val="22"/>
                <w:lang w:val="en-US"/>
              </w:rPr>
              <w:t>id</w:t>
            </w:r>
            <w:r w:rsidRPr="00A5626D">
              <w:rPr>
                <w:rFonts w:ascii="Garamond" w:hAnsi="Garamond" w:cstheme="minorHAnsi"/>
                <w:sz w:val="22"/>
                <w:szCs w:val="22"/>
              </w:rPr>
              <w:t>-</w:t>
            </w:r>
            <w:r w:rsidRPr="00A5626D">
              <w:rPr>
                <w:rFonts w:ascii="Garamond" w:hAnsi="Garamond" w:cstheme="minorHAnsi"/>
                <w:sz w:val="22"/>
                <w:szCs w:val="22"/>
                <w:lang w:val="en-US"/>
              </w:rPr>
              <w:t>power</w:t>
            </w:r>
            <w:r w:rsidRPr="00A5626D">
              <w:rPr>
                <w:rFonts w:ascii="Garamond" w:hAnsi="Garamond" w:cstheme="minorHAnsi"/>
                <w:sz w:val="22"/>
                <w:szCs w:val="22"/>
              </w:rPr>
              <w:t>-</w:t>
            </w:r>
            <w:r w:rsidRPr="00A5626D">
              <w:rPr>
                <w:rFonts w:ascii="Garamond" w:hAnsi="Garamond" w:cstheme="minorHAnsi"/>
                <w:sz w:val="22"/>
                <w:szCs w:val="22"/>
                <w:lang w:val="en-US"/>
              </w:rPr>
              <w:t>object</w:t>
            </w:r>
            <w:r w:rsidRPr="00A5626D">
              <w:rPr>
                <w:rFonts w:ascii="Garamond" w:hAnsi="Garamond" w:cstheme="minorHAnsi"/>
                <w:sz w:val="22"/>
                <w:szCs w:val="22"/>
              </w:rPr>
              <w:t xml:space="preserve"> – ссылка на энергообъект, на котором расположена точка измерени</w:t>
            </w:r>
            <w:r w:rsidRPr="00A5626D">
              <w:rPr>
                <w:rFonts w:ascii="Garamond" w:hAnsi="Garamond" w:cstheme="minorHAnsi"/>
                <w:sz w:val="22"/>
                <w:szCs w:val="22"/>
                <w:highlight w:val="yellow"/>
              </w:rPr>
              <w:t>я</w:t>
            </w:r>
            <w:r w:rsidRPr="00A5626D">
              <w:rPr>
                <w:rFonts w:ascii="Garamond" w:hAnsi="Garamond" w:cstheme="minorHAnsi"/>
                <w:sz w:val="22"/>
                <w:szCs w:val="22"/>
              </w:rPr>
              <w:t>. Принимает значение из справочника энергообъектов (элемент &lt;</w:t>
            </w:r>
            <w:r w:rsidRPr="00A5626D">
              <w:rPr>
                <w:rFonts w:ascii="Garamond" w:hAnsi="Garamond" w:cstheme="minorHAnsi"/>
                <w:b/>
                <w:sz w:val="22"/>
                <w:szCs w:val="22"/>
                <w:lang w:val="en-US"/>
              </w:rPr>
              <w:t>power</w:t>
            </w:r>
            <w:r w:rsidRPr="00A5626D">
              <w:rPr>
                <w:rFonts w:ascii="Garamond" w:hAnsi="Garamond" w:cstheme="minorHAnsi"/>
                <w:b/>
                <w:sz w:val="22"/>
                <w:szCs w:val="22"/>
              </w:rPr>
              <w:t>-</w:t>
            </w:r>
            <w:r w:rsidRPr="00A5626D">
              <w:rPr>
                <w:rFonts w:ascii="Garamond" w:hAnsi="Garamond" w:cstheme="minorHAnsi"/>
                <w:b/>
                <w:sz w:val="22"/>
                <w:szCs w:val="22"/>
                <w:lang w:val="en-US"/>
              </w:rPr>
              <w:t>objects</w:t>
            </w:r>
            <w:r w:rsidRPr="00A5626D">
              <w:rPr>
                <w:rFonts w:ascii="Garamond" w:hAnsi="Garamond" w:cstheme="minorHAnsi"/>
                <w:sz w:val="22"/>
                <w:szCs w:val="22"/>
              </w:rPr>
              <w:t>&gt;). Является обязательным атрибутом для всех ТИ, за исключением параметров СО. Для параметров СО не заполняется;</w:t>
            </w:r>
          </w:p>
          <w:p w14:paraId="22F95B6D" w14:textId="77777777" w:rsidR="00295C6D" w:rsidRPr="00A5626D" w:rsidRDefault="00295C6D" w:rsidP="00295C6D">
            <w:pPr>
              <w:widowControl w:val="0"/>
              <w:numPr>
                <w:ilvl w:val="0"/>
                <w:numId w:val="240"/>
              </w:numPr>
              <w:tabs>
                <w:tab w:val="left" w:pos="1134"/>
                <w:tab w:val="left" w:pos="7938"/>
              </w:tabs>
              <w:suppressAutoHyphens w:val="0"/>
              <w:autoSpaceDE w:val="0"/>
              <w:autoSpaceDN w:val="0"/>
              <w:adjustRightInd w:val="0"/>
              <w:spacing w:before="60" w:after="60"/>
              <w:ind w:left="0" w:firstLine="456"/>
              <w:jc w:val="both"/>
              <w:rPr>
                <w:rFonts w:ascii="Garamond" w:hAnsi="Garamond" w:cstheme="minorHAnsi"/>
                <w:sz w:val="22"/>
                <w:szCs w:val="22"/>
              </w:rPr>
            </w:pPr>
            <w:r w:rsidRPr="00A5626D">
              <w:rPr>
                <w:rFonts w:ascii="Garamond" w:hAnsi="Garamond" w:cstheme="minorHAnsi"/>
                <w:sz w:val="22"/>
                <w:szCs w:val="22"/>
              </w:rPr>
              <w:t>point-voltage – уровень напряжения точки, размерность: В (вольт). Число не более 10 символов, значение «0» недопустимо. Является обязательным атрибутом для всех точек измерений, за исключением параметров СО. Для параметров СО не заполняется.</w:t>
            </w:r>
          </w:p>
          <w:p w14:paraId="53353452" w14:textId="77777777" w:rsidR="00295C6D" w:rsidRPr="00A5626D" w:rsidRDefault="00295C6D" w:rsidP="00E31AE6">
            <w:pPr>
              <w:widowControl w:val="0"/>
              <w:tabs>
                <w:tab w:val="left" w:pos="1134"/>
                <w:tab w:val="left" w:pos="7938"/>
              </w:tabs>
              <w:autoSpaceDE w:val="0"/>
              <w:autoSpaceDN w:val="0"/>
              <w:adjustRightInd w:val="0"/>
              <w:spacing w:before="120" w:after="120"/>
              <w:ind w:firstLine="456"/>
              <w:jc w:val="both"/>
              <w:rPr>
                <w:rFonts w:ascii="Garamond" w:hAnsi="Garamond" w:cstheme="minorHAnsi"/>
                <w:b/>
                <w:sz w:val="22"/>
                <w:szCs w:val="22"/>
                <w:lang w:val="en-US"/>
              </w:rPr>
            </w:pPr>
            <w:r w:rsidRPr="00A5626D">
              <w:rPr>
                <w:rFonts w:ascii="Garamond" w:hAnsi="Garamond" w:cstheme="minorHAnsi"/>
                <w:sz w:val="22"/>
                <w:szCs w:val="22"/>
              </w:rPr>
              <w:t>Дочерними</w:t>
            </w:r>
            <w:r w:rsidRPr="00A5626D">
              <w:rPr>
                <w:rFonts w:ascii="Garamond" w:hAnsi="Garamond" w:cstheme="minorHAnsi"/>
                <w:sz w:val="22"/>
                <w:szCs w:val="22"/>
                <w:lang w:val="en-US"/>
              </w:rPr>
              <w:t xml:space="preserve"> </w:t>
            </w:r>
            <w:r w:rsidRPr="00A5626D">
              <w:rPr>
                <w:rFonts w:ascii="Garamond" w:hAnsi="Garamond" w:cstheme="minorHAnsi"/>
                <w:sz w:val="22"/>
                <w:szCs w:val="22"/>
              </w:rPr>
              <w:t>элементами</w:t>
            </w:r>
            <w:r w:rsidRPr="00A5626D">
              <w:rPr>
                <w:rFonts w:ascii="Garamond" w:hAnsi="Garamond" w:cstheme="minorHAnsi"/>
                <w:sz w:val="22"/>
                <w:szCs w:val="22"/>
                <w:lang w:val="en-US"/>
              </w:rPr>
              <w:t xml:space="preserve"> </w:t>
            </w:r>
            <w:r w:rsidRPr="00A5626D">
              <w:rPr>
                <w:rFonts w:ascii="Garamond" w:hAnsi="Garamond" w:cstheme="minorHAnsi"/>
                <w:sz w:val="22"/>
                <w:szCs w:val="22"/>
              </w:rPr>
              <w:t>являются</w:t>
            </w:r>
            <w:r w:rsidRPr="00A5626D">
              <w:rPr>
                <w:rFonts w:ascii="Garamond" w:hAnsi="Garamond" w:cstheme="minorHAnsi"/>
                <w:sz w:val="22"/>
                <w:szCs w:val="22"/>
                <w:lang w:val="en-US"/>
              </w:rPr>
              <w:t xml:space="preserve">: </w:t>
            </w:r>
            <w:r w:rsidRPr="00A5626D">
              <w:rPr>
                <w:rFonts w:ascii="Garamond" w:hAnsi="Garamond" w:cstheme="minorHAnsi"/>
                <w:b/>
                <w:sz w:val="22"/>
                <w:szCs w:val="22"/>
                <w:lang w:val="en-US"/>
              </w:rPr>
              <w:t xml:space="preserve">&lt;name&gt;, &lt;comment&gt;, </w:t>
            </w:r>
            <w:r w:rsidRPr="00A5626D">
              <w:rPr>
                <w:rFonts w:ascii="Garamond" w:hAnsi="Garamond" w:cstheme="minorHAnsi"/>
                <w:b/>
                <w:sz w:val="22"/>
                <w:szCs w:val="22"/>
                <w:lang w:val="en-US"/>
              </w:rPr>
              <w:lastRenderedPageBreak/>
              <w:t>&lt;</w:t>
            </w:r>
            <w:r w:rsidRPr="00A5626D">
              <w:rPr>
                <w:rFonts w:ascii="Garamond" w:eastAsia="Calibri" w:hAnsi="Garamond" w:cstheme="minorHAnsi"/>
                <w:b/>
                <w:sz w:val="22"/>
                <w:szCs w:val="22"/>
                <w:lang w:val="en-US"/>
              </w:rPr>
              <w:t>measuring-device&gt;.</w:t>
            </w:r>
          </w:p>
        </w:tc>
        <w:tc>
          <w:tcPr>
            <w:tcW w:w="7088" w:type="dxa"/>
          </w:tcPr>
          <w:p w14:paraId="3B2511D2" w14:textId="77777777" w:rsidR="00295C6D" w:rsidRPr="00A5626D" w:rsidRDefault="00295C6D" w:rsidP="00E31AE6">
            <w:pPr>
              <w:tabs>
                <w:tab w:val="left" w:pos="1134"/>
                <w:tab w:val="left" w:pos="7938"/>
              </w:tabs>
              <w:spacing w:before="120" w:after="120"/>
              <w:ind w:firstLine="456"/>
              <w:jc w:val="both"/>
              <w:rPr>
                <w:rFonts w:ascii="Garamond" w:hAnsi="Garamond" w:cstheme="minorHAnsi"/>
                <w:sz w:val="22"/>
                <w:szCs w:val="22"/>
              </w:rPr>
            </w:pPr>
            <w:r w:rsidRPr="00A5626D">
              <w:rPr>
                <w:rFonts w:ascii="Garamond" w:hAnsi="Garamond" w:cstheme="minorHAnsi"/>
                <w:sz w:val="22"/>
                <w:szCs w:val="22"/>
              </w:rPr>
              <w:lastRenderedPageBreak/>
              <w:t>&lt;</w:t>
            </w:r>
            <w:r w:rsidRPr="00A5626D">
              <w:rPr>
                <w:rFonts w:ascii="Garamond" w:hAnsi="Garamond" w:cstheme="minorHAnsi"/>
                <w:sz w:val="22"/>
                <w:szCs w:val="22"/>
                <w:lang w:val="en-US"/>
              </w:rPr>
              <w:t>measuring</w:t>
            </w:r>
            <w:r w:rsidRPr="00A5626D">
              <w:rPr>
                <w:rFonts w:ascii="Garamond" w:hAnsi="Garamond" w:cstheme="minorHAnsi"/>
                <w:sz w:val="22"/>
                <w:szCs w:val="22"/>
              </w:rPr>
              <w:t>-</w:t>
            </w:r>
            <w:r w:rsidRPr="00A5626D">
              <w:rPr>
                <w:rFonts w:ascii="Garamond" w:hAnsi="Garamond" w:cstheme="minorHAnsi"/>
                <w:sz w:val="22"/>
                <w:szCs w:val="22"/>
                <w:lang w:val="en-US"/>
              </w:rPr>
              <w:t>point</w:t>
            </w:r>
            <w:r w:rsidRPr="00A5626D">
              <w:rPr>
                <w:rFonts w:ascii="Garamond" w:hAnsi="Garamond" w:cstheme="minorHAnsi"/>
                <w:sz w:val="22"/>
                <w:szCs w:val="22"/>
              </w:rPr>
              <w:t>&gt;</w:t>
            </w:r>
          </w:p>
          <w:p w14:paraId="18296B93" w14:textId="77777777" w:rsidR="00295C6D" w:rsidRPr="00A5626D" w:rsidRDefault="00295C6D" w:rsidP="00E31AE6">
            <w:pPr>
              <w:tabs>
                <w:tab w:val="left" w:pos="1134"/>
                <w:tab w:val="left" w:pos="7938"/>
              </w:tabs>
              <w:spacing w:before="120" w:after="120"/>
              <w:ind w:firstLine="456"/>
              <w:jc w:val="both"/>
              <w:rPr>
                <w:rFonts w:ascii="Garamond" w:hAnsi="Garamond" w:cstheme="minorHAnsi"/>
                <w:sz w:val="22"/>
                <w:szCs w:val="22"/>
              </w:rPr>
            </w:pPr>
            <w:r w:rsidRPr="00A5626D">
              <w:rPr>
                <w:rFonts w:ascii="Garamond" w:hAnsi="Garamond" w:cstheme="minorHAnsi"/>
                <w:sz w:val="22"/>
                <w:szCs w:val="22"/>
              </w:rPr>
              <w:lastRenderedPageBreak/>
              <w:t>Элемент &lt;</w:t>
            </w:r>
            <w:r w:rsidRPr="00A5626D">
              <w:rPr>
                <w:rFonts w:ascii="Garamond" w:eastAsia="Calibri" w:hAnsi="Garamond" w:cstheme="minorHAnsi"/>
                <w:b/>
                <w:sz w:val="22"/>
                <w:szCs w:val="22"/>
                <w:lang w:val="en-US"/>
              </w:rPr>
              <w:t>measuring</w:t>
            </w:r>
            <w:r w:rsidRPr="00A5626D">
              <w:rPr>
                <w:rFonts w:ascii="Garamond" w:eastAsia="Calibri" w:hAnsi="Garamond" w:cstheme="minorHAnsi"/>
                <w:b/>
                <w:sz w:val="22"/>
                <w:szCs w:val="22"/>
              </w:rPr>
              <w:t>-</w:t>
            </w:r>
            <w:r w:rsidRPr="00A5626D">
              <w:rPr>
                <w:rFonts w:ascii="Garamond" w:eastAsia="Calibri" w:hAnsi="Garamond" w:cstheme="minorHAnsi"/>
                <w:b/>
                <w:sz w:val="22"/>
                <w:szCs w:val="22"/>
                <w:lang w:val="en-US"/>
              </w:rPr>
              <w:t>point</w:t>
            </w:r>
            <w:r w:rsidRPr="00A5626D">
              <w:rPr>
                <w:rFonts w:ascii="Garamond" w:hAnsi="Garamond" w:cstheme="minorHAnsi"/>
                <w:sz w:val="22"/>
                <w:szCs w:val="22"/>
              </w:rPr>
              <w:t>&gt; содержит информацию о точке измерени</w:t>
            </w:r>
            <w:r w:rsidRPr="00A5626D">
              <w:rPr>
                <w:rFonts w:ascii="Garamond" w:hAnsi="Garamond" w:cstheme="minorHAnsi"/>
                <w:sz w:val="22"/>
                <w:szCs w:val="22"/>
                <w:highlight w:val="yellow"/>
              </w:rPr>
              <w:t>й</w:t>
            </w:r>
            <w:r w:rsidRPr="00A5626D">
              <w:rPr>
                <w:rFonts w:ascii="Garamond" w:hAnsi="Garamond" w:cstheme="minorHAnsi"/>
                <w:sz w:val="22"/>
                <w:szCs w:val="22"/>
              </w:rPr>
              <w:t>.</w:t>
            </w:r>
          </w:p>
          <w:p w14:paraId="0810A86B" w14:textId="77777777" w:rsidR="00295C6D" w:rsidRPr="00A5626D" w:rsidRDefault="00295C6D" w:rsidP="00E31AE6">
            <w:pPr>
              <w:tabs>
                <w:tab w:val="left" w:pos="1134"/>
                <w:tab w:val="left" w:pos="7938"/>
              </w:tabs>
              <w:spacing w:before="120" w:after="120"/>
              <w:ind w:firstLine="456"/>
              <w:jc w:val="both"/>
              <w:rPr>
                <w:rFonts w:ascii="Garamond" w:hAnsi="Garamond" w:cstheme="minorHAnsi"/>
                <w:sz w:val="22"/>
                <w:szCs w:val="22"/>
              </w:rPr>
            </w:pPr>
            <w:r w:rsidRPr="00A5626D">
              <w:rPr>
                <w:rFonts w:ascii="Garamond" w:hAnsi="Garamond" w:cstheme="minorHAnsi"/>
                <w:sz w:val="22"/>
                <w:szCs w:val="22"/>
              </w:rPr>
              <w:t>Атрибутами элемента &lt;</w:t>
            </w:r>
            <w:r w:rsidRPr="00A5626D">
              <w:rPr>
                <w:rFonts w:ascii="Garamond" w:eastAsia="Calibri" w:hAnsi="Garamond" w:cstheme="minorHAnsi"/>
                <w:b/>
                <w:sz w:val="22"/>
                <w:szCs w:val="22"/>
                <w:lang w:val="en-US"/>
              </w:rPr>
              <w:t>measuring</w:t>
            </w:r>
            <w:r w:rsidRPr="00A5626D">
              <w:rPr>
                <w:rFonts w:ascii="Garamond" w:eastAsia="Calibri" w:hAnsi="Garamond" w:cstheme="minorHAnsi"/>
                <w:b/>
                <w:sz w:val="22"/>
                <w:szCs w:val="22"/>
              </w:rPr>
              <w:t>-</w:t>
            </w:r>
            <w:r w:rsidRPr="00A5626D">
              <w:rPr>
                <w:rFonts w:ascii="Garamond" w:eastAsia="Calibri" w:hAnsi="Garamond" w:cstheme="minorHAnsi"/>
                <w:b/>
                <w:sz w:val="22"/>
                <w:szCs w:val="22"/>
                <w:lang w:val="en-US"/>
              </w:rPr>
              <w:t>point</w:t>
            </w:r>
            <w:r w:rsidRPr="00A5626D">
              <w:rPr>
                <w:rFonts w:ascii="Garamond" w:hAnsi="Garamond" w:cstheme="minorHAnsi"/>
                <w:sz w:val="22"/>
                <w:szCs w:val="22"/>
              </w:rPr>
              <w:t>&gt; являются:</w:t>
            </w:r>
          </w:p>
          <w:p w14:paraId="0219C553" w14:textId="77777777" w:rsidR="00295C6D" w:rsidRPr="00A5626D" w:rsidRDefault="00295C6D" w:rsidP="00295C6D">
            <w:pPr>
              <w:widowControl w:val="0"/>
              <w:numPr>
                <w:ilvl w:val="0"/>
                <w:numId w:val="240"/>
              </w:numPr>
              <w:tabs>
                <w:tab w:val="left" w:pos="1134"/>
                <w:tab w:val="left" w:pos="7938"/>
              </w:tabs>
              <w:suppressAutoHyphens w:val="0"/>
              <w:autoSpaceDE w:val="0"/>
              <w:autoSpaceDN w:val="0"/>
              <w:adjustRightInd w:val="0"/>
              <w:spacing w:before="60" w:after="60"/>
              <w:ind w:left="0" w:firstLine="456"/>
              <w:jc w:val="both"/>
              <w:rPr>
                <w:rFonts w:ascii="Garamond" w:hAnsi="Garamond" w:cstheme="minorHAnsi"/>
                <w:sz w:val="22"/>
                <w:szCs w:val="22"/>
              </w:rPr>
            </w:pPr>
            <w:r w:rsidRPr="00A5626D">
              <w:rPr>
                <w:rFonts w:ascii="Garamond" w:hAnsi="Garamond" w:cstheme="minorHAnsi"/>
                <w:sz w:val="22"/>
                <w:szCs w:val="22"/>
                <w:lang w:val="en-US"/>
              </w:rPr>
              <w:t xml:space="preserve">measuring-point-type – </w:t>
            </w:r>
            <w:r w:rsidRPr="00A5626D">
              <w:rPr>
                <w:rFonts w:ascii="Garamond" w:hAnsi="Garamond" w:cstheme="minorHAnsi"/>
                <w:sz w:val="22"/>
                <w:szCs w:val="22"/>
              </w:rPr>
              <w:t>тип</w:t>
            </w:r>
            <w:r w:rsidRPr="00A5626D">
              <w:rPr>
                <w:rFonts w:ascii="Garamond" w:hAnsi="Garamond" w:cstheme="minorHAnsi"/>
                <w:sz w:val="22"/>
                <w:szCs w:val="22"/>
                <w:lang w:val="en-US"/>
              </w:rPr>
              <w:t xml:space="preserve"> </w:t>
            </w:r>
            <w:r w:rsidRPr="00A5626D">
              <w:rPr>
                <w:rFonts w:ascii="Garamond" w:hAnsi="Garamond" w:cstheme="minorHAnsi"/>
                <w:sz w:val="22"/>
                <w:szCs w:val="22"/>
              </w:rPr>
              <w:t>ТИ</w:t>
            </w:r>
            <w:r w:rsidRPr="00A5626D">
              <w:rPr>
                <w:rFonts w:ascii="Garamond" w:hAnsi="Garamond" w:cstheme="minorHAnsi"/>
                <w:sz w:val="22"/>
                <w:szCs w:val="22"/>
                <w:lang w:val="en-US"/>
              </w:rPr>
              <w:t xml:space="preserve">. </w:t>
            </w:r>
            <w:r w:rsidRPr="00A5626D">
              <w:rPr>
                <w:rFonts w:ascii="Garamond" w:hAnsi="Garamond" w:cstheme="minorHAnsi"/>
                <w:sz w:val="22"/>
                <w:szCs w:val="22"/>
              </w:rPr>
              <w:t>Для обычных точек измерени</w:t>
            </w:r>
            <w:r w:rsidRPr="00A5626D">
              <w:rPr>
                <w:rFonts w:ascii="Garamond" w:hAnsi="Garamond" w:cstheme="minorHAnsi"/>
                <w:sz w:val="22"/>
                <w:szCs w:val="22"/>
                <w:highlight w:val="yellow"/>
              </w:rPr>
              <w:t>й</w:t>
            </w:r>
            <w:r w:rsidRPr="00A5626D">
              <w:rPr>
                <w:rFonts w:ascii="Garamond" w:hAnsi="Garamond" w:cstheme="minorHAnsi"/>
                <w:sz w:val="22"/>
                <w:szCs w:val="22"/>
              </w:rPr>
              <w:t xml:space="preserve"> он принимает значение general, для параметров СО – so, для обходных выключателей и точек плавки гололеда – ov. Обязателен к заполнению для всех ТИ;</w:t>
            </w:r>
          </w:p>
          <w:p w14:paraId="31B3BA53" w14:textId="77777777" w:rsidR="00295C6D" w:rsidRPr="00A5626D" w:rsidRDefault="00295C6D" w:rsidP="00295C6D">
            <w:pPr>
              <w:widowControl w:val="0"/>
              <w:numPr>
                <w:ilvl w:val="0"/>
                <w:numId w:val="240"/>
              </w:numPr>
              <w:tabs>
                <w:tab w:val="left" w:pos="1134"/>
                <w:tab w:val="left" w:pos="7938"/>
              </w:tabs>
              <w:suppressAutoHyphens w:val="0"/>
              <w:autoSpaceDE w:val="0"/>
              <w:autoSpaceDN w:val="0"/>
              <w:adjustRightInd w:val="0"/>
              <w:spacing w:before="60" w:after="60"/>
              <w:ind w:left="0" w:firstLine="456"/>
              <w:jc w:val="both"/>
              <w:rPr>
                <w:rFonts w:ascii="Garamond" w:hAnsi="Garamond" w:cstheme="minorHAnsi"/>
                <w:sz w:val="22"/>
                <w:szCs w:val="22"/>
              </w:rPr>
            </w:pPr>
            <w:r w:rsidRPr="00A5626D">
              <w:rPr>
                <w:rFonts w:ascii="Garamond" w:hAnsi="Garamond" w:cstheme="minorHAnsi"/>
                <w:sz w:val="22"/>
                <w:szCs w:val="22"/>
              </w:rPr>
              <w:t>schemanum – номер ТИ на однолинейной схеме. Атрибут обязателен к заполнению для обычных точек измерени</w:t>
            </w:r>
            <w:r w:rsidRPr="00A5626D">
              <w:rPr>
                <w:rFonts w:ascii="Garamond" w:hAnsi="Garamond" w:cstheme="minorHAnsi"/>
                <w:sz w:val="22"/>
                <w:szCs w:val="22"/>
                <w:highlight w:val="yellow"/>
              </w:rPr>
              <w:t>й</w:t>
            </w:r>
            <w:r w:rsidRPr="00A5626D">
              <w:rPr>
                <w:rFonts w:ascii="Garamond" w:hAnsi="Garamond" w:cstheme="minorHAnsi"/>
                <w:sz w:val="22"/>
                <w:szCs w:val="22"/>
              </w:rPr>
              <w:t>, обходных выключателей и ТИ плавки гололеда. Является текстовым полем длиной не более 10 знаков;</w:t>
            </w:r>
          </w:p>
          <w:p w14:paraId="56FFCC55" w14:textId="77777777" w:rsidR="00295C6D" w:rsidRPr="00A5626D" w:rsidRDefault="00295C6D" w:rsidP="00295C6D">
            <w:pPr>
              <w:widowControl w:val="0"/>
              <w:numPr>
                <w:ilvl w:val="0"/>
                <w:numId w:val="240"/>
              </w:numPr>
              <w:tabs>
                <w:tab w:val="left" w:pos="1134"/>
                <w:tab w:val="left" w:pos="7938"/>
              </w:tabs>
              <w:suppressAutoHyphens w:val="0"/>
              <w:autoSpaceDE w:val="0"/>
              <w:autoSpaceDN w:val="0"/>
              <w:adjustRightInd w:val="0"/>
              <w:spacing w:before="60" w:after="60"/>
              <w:ind w:left="0" w:firstLine="456"/>
              <w:jc w:val="both"/>
              <w:rPr>
                <w:rFonts w:ascii="Garamond" w:hAnsi="Garamond" w:cstheme="minorHAnsi"/>
                <w:sz w:val="22"/>
                <w:szCs w:val="22"/>
              </w:rPr>
            </w:pPr>
            <w:r w:rsidRPr="00A5626D">
              <w:rPr>
                <w:rFonts w:ascii="Garamond" w:hAnsi="Garamond" w:cstheme="minorHAnsi"/>
                <w:sz w:val="22"/>
                <w:szCs w:val="22"/>
              </w:rPr>
              <w:t>ats-code – уникальный код, присвоенный КО точке измерени</w:t>
            </w:r>
            <w:r w:rsidRPr="00A5626D">
              <w:rPr>
                <w:rFonts w:ascii="Garamond" w:hAnsi="Garamond" w:cstheme="minorHAnsi"/>
                <w:sz w:val="22"/>
                <w:szCs w:val="22"/>
                <w:highlight w:val="yellow"/>
              </w:rPr>
              <w:t>й</w:t>
            </w:r>
            <w:r w:rsidRPr="00A5626D">
              <w:rPr>
                <w:rFonts w:ascii="Garamond" w:hAnsi="Garamond" w:cstheme="minorHAnsi"/>
                <w:sz w:val="22"/>
                <w:szCs w:val="22"/>
              </w:rPr>
              <w:t xml:space="preserve">. Является необязательным атрибутом и </w:t>
            </w:r>
            <w:r w:rsidRPr="00A5626D">
              <w:rPr>
                <w:rFonts w:ascii="Garamond" w:hAnsi="Garamond" w:cstheme="minorHAnsi"/>
                <w:bCs/>
                <w:sz w:val="22"/>
                <w:szCs w:val="22"/>
              </w:rPr>
              <w:t>состоит</w:t>
            </w:r>
            <w:r w:rsidRPr="00A5626D">
              <w:rPr>
                <w:rFonts w:ascii="Garamond" w:hAnsi="Garamond" w:cstheme="minorHAnsi"/>
                <w:sz w:val="22"/>
                <w:szCs w:val="22"/>
              </w:rPr>
              <w:t xml:space="preserve"> из 15 знаков. Заполняется для всех закодированных КО точек измерени</w:t>
            </w:r>
            <w:r w:rsidRPr="00A5626D">
              <w:rPr>
                <w:rFonts w:ascii="Garamond" w:hAnsi="Garamond" w:cstheme="minorHAnsi"/>
                <w:sz w:val="22"/>
                <w:szCs w:val="22"/>
                <w:highlight w:val="yellow"/>
              </w:rPr>
              <w:t>й</w:t>
            </w:r>
            <w:r w:rsidRPr="00A5626D">
              <w:rPr>
                <w:rFonts w:ascii="Garamond" w:hAnsi="Garamond" w:cstheme="minorHAnsi"/>
                <w:sz w:val="22"/>
                <w:szCs w:val="22"/>
              </w:rPr>
              <w:t>;</w:t>
            </w:r>
          </w:p>
          <w:p w14:paraId="2E4EC2FB" w14:textId="77777777" w:rsidR="00295C6D" w:rsidRPr="00A5626D" w:rsidRDefault="00295C6D" w:rsidP="00295C6D">
            <w:pPr>
              <w:widowControl w:val="0"/>
              <w:numPr>
                <w:ilvl w:val="0"/>
                <w:numId w:val="240"/>
              </w:numPr>
              <w:tabs>
                <w:tab w:val="left" w:pos="1134"/>
                <w:tab w:val="left" w:pos="7938"/>
              </w:tabs>
              <w:suppressAutoHyphens w:val="0"/>
              <w:autoSpaceDE w:val="0"/>
              <w:autoSpaceDN w:val="0"/>
              <w:adjustRightInd w:val="0"/>
              <w:spacing w:before="60" w:after="60"/>
              <w:ind w:left="0" w:firstLine="456"/>
              <w:jc w:val="both"/>
              <w:rPr>
                <w:rFonts w:ascii="Garamond" w:eastAsia="MS Mincho" w:hAnsi="Garamond" w:cstheme="minorHAnsi"/>
                <w:sz w:val="22"/>
                <w:szCs w:val="22"/>
              </w:rPr>
            </w:pPr>
            <w:r w:rsidRPr="00A5626D">
              <w:rPr>
                <w:rFonts w:ascii="Garamond" w:hAnsi="Garamond" w:cstheme="minorHAnsi"/>
                <w:sz w:val="22"/>
                <w:szCs w:val="22"/>
                <w:lang w:val="en-US"/>
              </w:rPr>
              <w:t>guid</w:t>
            </w:r>
            <w:r w:rsidRPr="00A5626D">
              <w:rPr>
                <w:rFonts w:ascii="Garamond" w:hAnsi="Garamond" w:cstheme="minorHAnsi"/>
                <w:sz w:val="22"/>
                <w:szCs w:val="22"/>
              </w:rPr>
              <w:t xml:space="preserve"> –</w:t>
            </w:r>
            <w:r w:rsidRPr="00A5626D">
              <w:rPr>
                <w:rFonts w:ascii="Garamond" w:eastAsia="MS Mincho" w:hAnsi="Garamond" w:cstheme="minorHAnsi"/>
                <w:sz w:val="22"/>
                <w:szCs w:val="22"/>
              </w:rPr>
              <w:t xml:space="preserve"> уникальный идентификатор ТИ, присваиваемый системой, формирующей файл. Является текстовым полем с 36 символами, обязательный атрибут;</w:t>
            </w:r>
          </w:p>
          <w:p w14:paraId="1E9AD274" w14:textId="77777777" w:rsidR="00295C6D" w:rsidRPr="00A5626D" w:rsidRDefault="00295C6D" w:rsidP="00295C6D">
            <w:pPr>
              <w:widowControl w:val="0"/>
              <w:numPr>
                <w:ilvl w:val="0"/>
                <w:numId w:val="240"/>
              </w:numPr>
              <w:tabs>
                <w:tab w:val="left" w:pos="1134"/>
                <w:tab w:val="left" w:pos="7938"/>
              </w:tabs>
              <w:suppressAutoHyphens w:val="0"/>
              <w:autoSpaceDE w:val="0"/>
              <w:autoSpaceDN w:val="0"/>
              <w:adjustRightInd w:val="0"/>
              <w:spacing w:before="60" w:after="60"/>
              <w:ind w:left="0" w:firstLine="456"/>
              <w:jc w:val="both"/>
              <w:rPr>
                <w:rFonts w:ascii="Garamond" w:eastAsia="MS Mincho" w:hAnsi="Garamond" w:cstheme="minorHAnsi"/>
                <w:sz w:val="22"/>
                <w:szCs w:val="22"/>
              </w:rPr>
            </w:pPr>
            <w:r w:rsidRPr="00A5626D">
              <w:rPr>
                <w:rFonts w:ascii="Garamond" w:hAnsi="Garamond" w:cstheme="minorHAnsi"/>
                <w:sz w:val="22"/>
                <w:szCs w:val="22"/>
                <w:lang w:val="en-US"/>
              </w:rPr>
              <w:t>id</w:t>
            </w:r>
            <w:r w:rsidRPr="00A5626D">
              <w:rPr>
                <w:rFonts w:ascii="Garamond" w:hAnsi="Garamond" w:cstheme="minorHAnsi"/>
                <w:sz w:val="22"/>
                <w:szCs w:val="22"/>
              </w:rPr>
              <w:t>-</w:t>
            </w:r>
            <w:r w:rsidRPr="00A5626D">
              <w:rPr>
                <w:rFonts w:ascii="Garamond" w:hAnsi="Garamond" w:cstheme="minorHAnsi"/>
                <w:sz w:val="22"/>
                <w:szCs w:val="22"/>
                <w:lang w:val="en-US"/>
              </w:rPr>
              <w:t>gtp</w:t>
            </w:r>
            <w:r w:rsidRPr="00A5626D">
              <w:rPr>
                <w:rFonts w:ascii="Garamond" w:eastAsia="MS Mincho" w:hAnsi="Garamond" w:cstheme="minorHAnsi"/>
                <w:sz w:val="22"/>
                <w:szCs w:val="22"/>
              </w:rPr>
              <w:t xml:space="preserve"> – атрибут, указывающий на расположение точки измерени</w:t>
            </w:r>
            <w:r w:rsidRPr="00A5626D">
              <w:rPr>
                <w:rFonts w:ascii="Garamond" w:eastAsia="MS Mincho" w:hAnsi="Garamond" w:cstheme="minorHAnsi"/>
                <w:sz w:val="22"/>
                <w:szCs w:val="22"/>
                <w:highlight w:val="yellow"/>
              </w:rPr>
              <w:t>й</w:t>
            </w:r>
            <w:r w:rsidRPr="00A5626D">
              <w:rPr>
                <w:rFonts w:ascii="Garamond" w:eastAsia="MS Mincho" w:hAnsi="Garamond" w:cstheme="minorHAnsi"/>
                <w:sz w:val="22"/>
                <w:szCs w:val="22"/>
              </w:rPr>
              <w:t xml:space="preserve"> относительно границы балансовой принадлежности. Ссылка на идентификатор ГТП </w:t>
            </w:r>
            <w:r w:rsidRPr="00A5626D">
              <w:rPr>
                <w:rFonts w:ascii="Garamond" w:eastAsia="MS Mincho" w:hAnsi="Garamond" w:cstheme="minorHAnsi"/>
                <w:sz w:val="22"/>
                <w:szCs w:val="22"/>
                <w:highlight w:val="yellow"/>
              </w:rPr>
              <w:t>/ ОР</w:t>
            </w:r>
            <w:r w:rsidRPr="00A5626D">
              <w:rPr>
                <w:rFonts w:ascii="Garamond" w:eastAsia="MS Mincho" w:hAnsi="Garamond" w:cstheme="minorHAnsi"/>
                <w:sz w:val="22"/>
                <w:szCs w:val="22"/>
              </w:rPr>
              <w:t xml:space="preserve"> из справочника ГТП </w:t>
            </w:r>
            <w:r w:rsidRPr="00A5626D">
              <w:rPr>
                <w:rFonts w:ascii="Garamond" w:eastAsia="MS Mincho" w:hAnsi="Garamond" w:cstheme="minorHAnsi"/>
                <w:sz w:val="22"/>
                <w:szCs w:val="22"/>
                <w:highlight w:val="yellow"/>
              </w:rPr>
              <w:t>/ ОР</w:t>
            </w:r>
            <w:r w:rsidRPr="00A5626D">
              <w:rPr>
                <w:rFonts w:ascii="Garamond" w:eastAsia="MS Mincho" w:hAnsi="Garamond" w:cstheme="minorHAnsi"/>
                <w:sz w:val="22"/>
                <w:szCs w:val="22"/>
              </w:rPr>
              <w:t xml:space="preserve"> потребления. Обязательный атрибут;</w:t>
            </w:r>
          </w:p>
          <w:p w14:paraId="3488799E" w14:textId="77777777" w:rsidR="00295C6D" w:rsidRPr="00A5626D" w:rsidRDefault="00295C6D" w:rsidP="00295C6D">
            <w:pPr>
              <w:numPr>
                <w:ilvl w:val="0"/>
                <w:numId w:val="240"/>
              </w:numPr>
              <w:tabs>
                <w:tab w:val="left" w:pos="1134"/>
                <w:tab w:val="left" w:pos="7938"/>
              </w:tabs>
              <w:suppressAutoHyphens w:val="0"/>
              <w:spacing w:after="160" w:line="259" w:lineRule="auto"/>
              <w:ind w:left="0" w:firstLine="456"/>
              <w:contextualSpacing/>
              <w:jc w:val="both"/>
              <w:rPr>
                <w:rFonts w:ascii="Garamond" w:hAnsi="Garamond" w:cstheme="minorHAnsi"/>
                <w:sz w:val="22"/>
                <w:szCs w:val="22"/>
              </w:rPr>
            </w:pPr>
            <w:r w:rsidRPr="00A5626D">
              <w:rPr>
                <w:rFonts w:ascii="Garamond" w:hAnsi="Garamond" w:cstheme="minorHAnsi"/>
                <w:sz w:val="22"/>
                <w:szCs w:val="22"/>
              </w:rPr>
              <w:t>id-measuring-point – внутренний идентификатор точки измерени</w:t>
            </w:r>
            <w:r w:rsidRPr="00A5626D">
              <w:rPr>
                <w:rFonts w:ascii="Garamond" w:hAnsi="Garamond" w:cstheme="minorHAnsi"/>
                <w:sz w:val="22"/>
                <w:szCs w:val="22"/>
                <w:highlight w:val="yellow"/>
              </w:rPr>
              <w:t>й</w:t>
            </w:r>
            <w:r w:rsidRPr="00A5626D">
              <w:rPr>
                <w:rFonts w:ascii="Garamond" w:hAnsi="Garamond" w:cstheme="minorHAnsi"/>
                <w:sz w:val="22"/>
                <w:szCs w:val="22"/>
              </w:rPr>
              <w:t>, используемый в элементах макета в качестве ссылок. Число до 4 знаков (1, 01, 001 и 0001 считаются одинаковыми идентификаторами). Является обязательным атрибутом;</w:t>
            </w:r>
          </w:p>
          <w:p w14:paraId="72AE7531" w14:textId="77777777" w:rsidR="00295C6D" w:rsidRPr="00A5626D" w:rsidRDefault="00295C6D" w:rsidP="00295C6D">
            <w:pPr>
              <w:widowControl w:val="0"/>
              <w:numPr>
                <w:ilvl w:val="0"/>
                <w:numId w:val="240"/>
              </w:numPr>
              <w:tabs>
                <w:tab w:val="left" w:pos="1134"/>
                <w:tab w:val="left" w:pos="7938"/>
              </w:tabs>
              <w:suppressAutoHyphens w:val="0"/>
              <w:autoSpaceDE w:val="0"/>
              <w:autoSpaceDN w:val="0"/>
              <w:adjustRightInd w:val="0"/>
              <w:spacing w:before="60" w:after="60"/>
              <w:ind w:left="0" w:firstLine="456"/>
              <w:jc w:val="both"/>
              <w:rPr>
                <w:rFonts w:ascii="Garamond" w:hAnsi="Garamond" w:cstheme="minorHAnsi"/>
                <w:sz w:val="22"/>
                <w:szCs w:val="22"/>
              </w:rPr>
            </w:pPr>
            <w:r w:rsidRPr="00A5626D">
              <w:rPr>
                <w:rFonts w:ascii="Garamond" w:hAnsi="Garamond" w:cstheme="minorHAnsi"/>
                <w:sz w:val="22"/>
                <w:szCs w:val="22"/>
                <w:lang w:val="en-US"/>
              </w:rPr>
              <w:t>id</w:t>
            </w:r>
            <w:r w:rsidRPr="00A5626D">
              <w:rPr>
                <w:rFonts w:ascii="Garamond" w:hAnsi="Garamond" w:cstheme="minorHAnsi"/>
                <w:sz w:val="22"/>
                <w:szCs w:val="22"/>
              </w:rPr>
              <w:t>-</w:t>
            </w:r>
            <w:r w:rsidRPr="00A5626D">
              <w:rPr>
                <w:rFonts w:ascii="Garamond" w:hAnsi="Garamond" w:cstheme="minorHAnsi"/>
                <w:sz w:val="22"/>
                <w:szCs w:val="22"/>
                <w:lang w:val="en-US"/>
              </w:rPr>
              <w:t>power</w:t>
            </w:r>
            <w:r w:rsidRPr="00A5626D">
              <w:rPr>
                <w:rFonts w:ascii="Garamond" w:hAnsi="Garamond" w:cstheme="minorHAnsi"/>
                <w:sz w:val="22"/>
                <w:szCs w:val="22"/>
              </w:rPr>
              <w:t>-</w:t>
            </w:r>
            <w:r w:rsidRPr="00A5626D">
              <w:rPr>
                <w:rFonts w:ascii="Garamond" w:hAnsi="Garamond" w:cstheme="minorHAnsi"/>
                <w:sz w:val="22"/>
                <w:szCs w:val="22"/>
                <w:lang w:val="en-US"/>
              </w:rPr>
              <w:t>object</w:t>
            </w:r>
            <w:r w:rsidRPr="00A5626D">
              <w:rPr>
                <w:rFonts w:ascii="Garamond" w:hAnsi="Garamond" w:cstheme="minorHAnsi"/>
                <w:sz w:val="22"/>
                <w:szCs w:val="22"/>
              </w:rPr>
              <w:t xml:space="preserve"> – ссылка на энергообъект, на котором расположена точка измерени</w:t>
            </w:r>
            <w:r w:rsidRPr="00A5626D">
              <w:rPr>
                <w:rFonts w:ascii="Garamond" w:hAnsi="Garamond" w:cstheme="minorHAnsi"/>
                <w:sz w:val="22"/>
                <w:szCs w:val="22"/>
                <w:highlight w:val="yellow"/>
              </w:rPr>
              <w:t>й</w:t>
            </w:r>
            <w:r w:rsidRPr="00A5626D">
              <w:rPr>
                <w:rFonts w:ascii="Garamond" w:hAnsi="Garamond" w:cstheme="minorHAnsi"/>
                <w:sz w:val="22"/>
                <w:szCs w:val="22"/>
              </w:rPr>
              <w:t>. Принимает значение из справочника энергообъектов (элемент &lt;</w:t>
            </w:r>
            <w:r w:rsidRPr="00A5626D">
              <w:rPr>
                <w:rFonts w:ascii="Garamond" w:hAnsi="Garamond" w:cstheme="minorHAnsi"/>
                <w:b/>
                <w:sz w:val="22"/>
                <w:szCs w:val="22"/>
                <w:lang w:val="en-US"/>
              </w:rPr>
              <w:t>power</w:t>
            </w:r>
            <w:r w:rsidRPr="00A5626D">
              <w:rPr>
                <w:rFonts w:ascii="Garamond" w:hAnsi="Garamond" w:cstheme="minorHAnsi"/>
                <w:b/>
                <w:sz w:val="22"/>
                <w:szCs w:val="22"/>
              </w:rPr>
              <w:t>-</w:t>
            </w:r>
            <w:r w:rsidRPr="00A5626D">
              <w:rPr>
                <w:rFonts w:ascii="Garamond" w:hAnsi="Garamond" w:cstheme="minorHAnsi"/>
                <w:b/>
                <w:sz w:val="22"/>
                <w:szCs w:val="22"/>
                <w:lang w:val="en-US"/>
              </w:rPr>
              <w:t>objects</w:t>
            </w:r>
            <w:r w:rsidRPr="00A5626D">
              <w:rPr>
                <w:rFonts w:ascii="Garamond" w:hAnsi="Garamond" w:cstheme="minorHAnsi"/>
                <w:sz w:val="22"/>
                <w:szCs w:val="22"/>
              </w:rPr>
              <w:t>&gt;). Является обязательным атрибутом для всех ТИ, за исключением параметров СО. Для параметров СО не заполняется;</w:t>
            </w:r>
          </w:p>
          <w:p w14:paraId="29D2CDFE" w14:textId="77777777" w:rsidR="00295C6D" w:rsidRPr="00A5626D" w:rsidRDefault="00295C6D" w:rsidP="00295C6D">
            <w:pPr>
              <w:widowControl w:val="0"/>
              <w:numPr>
                <w:ilvl w:val="0"/>
                <w:numId w:val="240"/>
              </w:numPr>
              <w:tabs>
                <w:tab w:val="left" w:pos="1134"/>
                <w:tab w:val="left" w:pos="7938"/>
              </w:tabs>
              <w:suppressAutoHyphens w:val="0"/>
              <w:autoSpaceDE w:val="0"/>
              <w:autoSpaceDN w:val="0"/>
              <w:adjustRightInd w:val="0"/>
              <w:spacing w:before="60" w:after="60"/>
              <w:ind w:left="0" w:firstLine="456"/>
              <w:jc w:val="both"/>
              <w:rPr>
                <w:rFonts w:ascii="Garamond" w:hAnsi="Garamond" w:cstheme="minorHAnsi"/>
                <w:sz w:val="22"/>
                <w:szCs w:val="22"/>
              </w:rPr>
            </w:pPr>
            <w:r w:rsidRPr="00A5626D">
              <w:rPr>
                <w:rFonts w:ascii="Garamond" w:hAnsi="Garamond" w:cstheme="minorHAnsi"/>
                <w:sz w:val="22"/>
                <w:szCs w:val="22"/>
              </w:rPr>
              <w:t>point-voltage – уровень напряжения точки, размерность: В (вольт). Число не более 10 символов, значение «0» недопустимо. Является обязательным атрибутом для всех точек измерений, за исключением параметров СО. Для параметров СО не заполняется.</w:t>
            </w:r>
          </w:p>
          <w:p w14:paraId="1735400D" w14:textId="77777777" w:rsidR="00295C6D" w:rsidRPr="00A5626D" w:rsidRDefault="00295C6D" w:rsidP="00E31AE6">
            <w:pPr>
              <w:tabs>
                <w:tab w:val="left" w:pos="1134"/>
                <w:tab w:val="left" w:pos="7938"/>
              </w:tabs>
              <w:spacing w:before="120" w:after="120"/>
              <w:ind w:firstLine="456"/>
              <w:jc w:val="both"/>
              <w:rPr>
                <w:rFonts w:ascii="Garamond" w:hAnsi="Garamond" w:cstheme="minorHAnsi"/>
                <w:sz w:val="22"/>
                <w:szCs w:val="22"/>
                <w:lang w:val="en-US"/>
              </w:rPr>
            </w:pPr>
            <w:r w:rsidRPr="00A5626D">
              <w:rPr>
                <w:rFonts w:ascii="Garamond" w:hAnsi="Garamond" w:cstheme="minorHAnsi"/>
                <w:sz w:val="22"/>
                <w:szCs w:val="22"/>
              </w:rPr>
              <w:lastRenderedPageBreak/>
              <w:t>Дочерними</w:t>
            </w:r>
            <w:r w:rsidRPr="00A5626D">
              <w:rPr>
                <w:rFonts w:ascii="Garamond" w:hAnsi="Garamond" w:cstheme="minorHAnsi"/>
                <w:sz w:val="22"/>
                <w:szCs w:val="22"/>
                <w:lang w:val="en-US"/>
              </w:rPr>
              <w:t xml:space="preserve"> </w:t>
            </w:r>
            <w:r w:rsidRPr="00A5626D">
              <w:rPr>
                <w:rFonts w:ascii="Garamond" w:hAnsi="Garamond" w:cstheme="minorHAnsi"/>
                <w:sz w:val="22"/>
                <w:szCs w:val="22"/>
              </w:rPr>
              <w:t>элементами</w:t>
            </w:r>
            <w:r w:rsidRPr="00A5626D">
              <w:rPr>
                <w:rFonts w:ascii="Garamond" w:hAnsi="Garamond" w:cstheme="minorHAnsi"/>
                <w:sz w:val="22"/>
                <w:szCs w:val="22"/>
                <w:lang w:val="en-US"/>
              </w:rPr>
              <w:t xml:space="preserve"> </w:t>
            </w:r>
            <w:r w:rsidRPr="00A5626D">
              <w:rPr>
                <w:rFonts w:ascii="Garamond" w:hAnsi="Garamond" w:cstheme="minorHAnsi"/>
                <w:sz w:val="22"/>
                <w:szCs w:val="22"/>
              </w:rPr>
              <w:t>являются</w:t>
            </w:r>
            <w:r w:rsidRPr="00A5626D">
              <w:rPr>
                <w:rFonts w:ascii="Garamond" w:hAnsi="Garamond" w:cstheme="minorHAnsi"/>
                <w:sz w:val="22"/>
                <w:szCs w:val="22"/>
                <w:lang w:val="en-US"/>
              </w:rPr>
              <w:t xml:space="preserve">: </w:t>
            </w:r>
            <w:r w:rsidRPr="00A5626D">
              <w:rPr>
                <w:rFonts w:ascii="Garamond" w:hAnsi="Garamond" w:cstheme="minorHAnsi"/>
                <w:b/>
                <w:sz w:val="22"/>
                <w:szCs w:val="22"/>
                <w:lang w:val="en-US"/>
              </w:rPr>
              <w:t>&lt;name&gt;, &lt;comment&gt;, &lt;</w:t>
            </w:r>
            <w:r w:rsidRPr="00A5626D">
              <w:rPr>
                <w:rFonts w:ascii="Garamond" w:eastAsia="Calibri" w:hAnsi="Garamond" w:cstheme="minorHAnsi"/>
                <w:b/>
                <w:sz w:val="22"/>
                <w:szCs w:val="22"/>
                <w:lang w:val="en-US"/>
              </w:rPr>
              <w:t>measuring-device&gt;.</w:t>
            </w:r>
          </w:p>
        </w:tc>
      </w:tr>
      <w:tr w:rsidR="00295C6D" w:rsidRPr="00A5626D" w14:paraId="17254981" w14:textId="77777777" w:rsidTr="00647FA0">
        <w:tc>
          <w:tcPr>
            <w:tcW w:w="1060" w:type="dxa"/>
            <w:vAlign w:val="center"/>
          </w:tcPr>
          <w:p w14:paraId="63D532D0" w14:textId="2251820D" w:rsidR="00295C6D" w:rsidRPr="00A5626D" w:rsidRDefault="00295C6D" w:rsidP="00E31AE6">
            <w:pPr>
              <w:widowControl w:val="0"/>
              <w:tabs>
                <w:tab w:val="left" w:pos="1134"/>
                <w:tab w:val="left" w:pos="7938"/>
              </w:tabs>
              <w:spacing w:line="22" w:lineRule="atLeast"/>
              <w:jc w:val="both"/>
              <w:rPr>
                <w:rFonts w:ascii="Garamond" w:hAnsi="Garamond"/>
                <w:b/>
                <w:sz w:val="22"/>
                <w:szCs w:val="22"/>
                <w:lang w:val="en-US" w:eastAsia="en-US"/>
              </w:rPr>
            </w:pPr>
            <w:r w:rsidRPr="00A5626D">
              <w:rPr>
                <w:rFonts w:ascii="Garamond" w:hAnsi="Garamond"/>
                <w:b/>
                <w:sz w:val="22"/>
                <w:szCs w:val="22"/>
                <w:lang w:eastAsia="en-US"/>
              </w:rPr>
              <w:lastRenderedPageBreak/>
              <w:t>Приложение 5, п.</w:t>
            </w:r>
            <w:r w:rsidR="00647FA0" w:rsidRPr="00A5626D">
              <w:rPr>
                <w:rFonts w:ascii="Garamond" w:hAnsi="Garamond"/>
                <w:b/>
                <w:sz w:val="22"/>
                <w:szCs w:val="22"/>
                <w:lang w:eastAsia="en-US"/>
              </w:rPr>
              <w:t> </w:t>
            </w:r>
            <w:r w:rsidRPr="00A5626D">
              <w:rPr>
                <w:rFonts w:ascii="Garamond" w:hAnsi="Garamond"/>
                <w:b/>
                <w:sz w:val="22"/>
                <w:szCs w:val="22"/>
                <w:lang w:eastAsia="en-US"/>
              </w:rPr>
              <w:t>4.4.1.2.1.8.1.3</w:t>
            </w:r>
            <w:r w:rsidR="009B5F03" w:rsidRPr="00A5626D">
              <w:rPr>
                <w:rFonts w:ascii="Garamond" w:hAnsi="Garamond" w:cstheme="minorHAnsi"/>
                <w:b/>
                <w:sz w:val="22"/>
                <w:szCs w:val="22"/>
              </w:rPr>
              <w:t xml:space="preserve"> </w:t>
            </w:r>
          </w:p>
        </w:tc>
        <w:tc>
          <w:tcPr>
            <w:tcW w:w="6662" w:type="dxa"/>
          </w:tcPr>
          <w:p w14:paraId="050B345A" w14:textId="77777777" w:rsidR="00295C6D" w:rsidRPr="00A5626D" w:rsidRDefault="00295C6D" w:rsidP="00E31AE6">
            <w:pPr>
              <w:tabs>
                <w:tab w:val="left" w:pos="1134"/>
                <w:tab w:val="left" w:pos="7938"/>
              </w:tabs>
              <w:spacing w:before="120" w:after="120"/>
              <w:ind w:firstLine="456"/>
              <w:jc w:val="both"/>
              <w:rPr>
                <w:rFonts w:ascii="Garamond" w:hAnsi="Garamond" w:cstheme="minorHAnsi"/>
                <w:sz w:val="22"/>
                <w:szCs w:val="22"/>
              </w:rPr>
            </w:pPr>
            <w:r w:rsidRPr="00A5626D">
              <w:rPr>
                <w:rFonts w:ascii="Garamond" w:hAnsi="Garamond" w:cstheme="minorHAnsi"/>
                <w:sz w:val="22"/>
                <w:szCs w:val="22"/>
              </w:rPr>
              <w:t>&lt;measuring-</w:t>
            </w:r>
            <w:r w:rsidRPr="00A5626D">
              <w:rPr>
                <w:rFonts w:ascii="Garamond" w:hAnsi="Garamond" w:cstheme="minorHAnsi"/>
                <w:sz w:val="22"/>
                <w:szCs w:val="22"/>
                <w:lang w:val="en-US"/>
              </w:rPr>
              <w:t>device</w:t>
            </w:r>
            <w:r w:rsidRPr="00A5626D">
              <w:rPr>
                <w:rFonts w:ascii="Garamond" w:hAnsi="Garamond" w:cstheme="minorHAnsi"/>
                <w:sz w:val="22"/>
                <w:szCs w:val="22"/>
              </w:rPr>
              <w:t>&gt;</w:t>
            </w:r>
          </w:p>
          <w:p w14:paraId="19E40B8F" w14:textId="77777777" w:rsidR="00295C6D" w:rsidRPr="00A5626D" w:rsidRDefault="00295C6D" w:rsidP="00E31AE6">
            <w:pPr>
              <w:tabs>
                <w:tab w:val="left" w:pos="1134"/>
                <w:tab w:val="left" w:pos="7938"/>
              </w:tabs>
              <w:spacing w:before="120" w:after="120"/>
              <w:ind w:firstLine="456"/>
              <w:jc w:val="both"/>
              <w:rPr>
                <w:rFonts w:ascii="Garamond" w:hAnsi="Garamond" w:cstheme="minorHAnsi"/>
                <w:sz w:val="22"/>
                <w:szCs w:val="22"/>
              </w:rPr>
            </w:pPr>
            <w:r w:rsidRPr="00A5626D">
              <w:rPr>
                <w:rFonts w:ascii="Garamond" w:hAnsi="Garamond" w:cstheme="minorHAnsi"/>
                <w:sz w:val="22"/>
                <w:szCs w:val="22"/>
              </w:rPr>
              <w:t>Элемент &lt;</w:t>
            </w:r>
            <w:r w:rsidRPr="00A5626D">
              <w:rPr>
                <w:rFonts w:ascii="Garamond" w:eastAsia="Calibri" w:hAnsi="Garamond" w:cstheme="minorHAnsi"/>
                <w:b/>
                <w:sz w:val="22"/>
                <w:szCs w:val="22"/>
                <w:lang w:val="en-US"/>
              </w:rPr>
              <w:t>measuring</w:t>
            </w:r>
            <w:r w:rsidRPr="00A5626D">
              <w:rPr>
                <w:rFonts w:ascii="Garamond" w:eastAsia="Calibri" w:hAnsi="Garamond" w:cstheme="minorHAnsi"/>
                <w:b/>
                <w:sz w:val="22"/>
                <w:szCs w:val="22"/>
              </w:rPr>
              <w:t>-</w:t>
            </w:r>
            <w:r w:rsidRPr="00A5626D">
              <w:rPr>
                <w:rFonts w:ascii="Garamond" w:eastAsia="Calibri" w:hAnsi="Garamond" w:cstheme="minorHAnsi"/>
                <w:b/>
                <w:sz w:val="22"/>
                <w:szCs w:val="22"/>
                <w:lang w:val="en-US"/>
              </w:rPr>
              <w:t>device</w:t>
            </w:r>
            <w:r w:rsidRPr="00A5626D">
              <w:rPr>
                <w:rFonts w:ascii="Garamond" w:hAnsi="Garamond" w:cstheme="minorHAnsi"/>
                <w:sz w:val="22"/>
                <w:szCs w:val="22"/>
              </w:rPr>
              <w:t xml:space="preserve">&gt; </w:t>
            </w:r>
            <w:r w:rsidRPr="00A5626D">
              <w:rPr>
                <w:rFonts w:ascii="Garamond" w:hAnsi="Garamond" w:cstheme="minorHAnsi"/>
                <w:sz w:val="22"/>
                <w:szCs w:val="22"/>
                <w:lang w:val="en-US"/>
              </w:rPr>
              <w:t>c</w:t>
            </w:r>
            <w:r w:rsidRPr="00A5626D">
              <w:rPr>
                <w:rFonts w:ascii="Garamond" w:hAnsi="Garamond" w:cstheme="minorHAnsi"/>
                <w:bCs/>
                <w:sz w:val="22"/>
                <w:szCs w:val="22"/>
              </w:rPr>
              <w:t>одержит</w:t>
            </w:r>
            <w:r w:rsidRPr="00A5626D">
              <w:rPr>
                <w:rFonts w:ascii="Garamond" w:hAnsi="Garamond" w:cstheme="minorHAnsi"/>
                <w:sz w:val="22"/>
                <w:szCs w:val="22"/>
              </w:rPr>
              <w:t xml:space="preserve"> справочник измерительных приборов. </w:t>
            </w:r>
          </w:p>
          <w:p w14:paraId="5C9C1C87" w14:textId="77777777" w:rsidR="00295C6D" w:rsidRPr="00A5626D" w:rsidRDefault="00295C6D" w:rsidP="00E31AE6">
            <w:pPr>
              <w:tabs>
                <w:tab w:val="left" w:pos="1134"/>
                <w:tab w:val="left" w:pos="7938"/>
              </w:tabs>
              <w:spacing w:before="120" w:after="120"/>
              <w:ind w:firstLine="456"/>
              <w:jc w:val="both"/>
              <w:rPr>
                <w:rFonts w:ascii="Garamond" w:hAnsi="Garamond" w:cstheme="minorHAnsi"/>
                <w:sz w:val="22"/>
                <w:szCs w:val="22"/>
              </w:rPr>
            </w:pPr>
            <w:r w:rsidRPr="00A5626D">
              <w:rPr>
                <w:rFonts w:ascii="Garamond" w:hAnsi="Garamond" w:cstheme="minorHAnsi"/>
                <w:sz w:val="22"/>
                <w:szCs w:val="22"/>
              </w:rPr>
              <w:t>Атрибутами элемента &lt;</w:t>
            </w:r>
            <w:r w:rsidRPr="00A5626D">
              <w:rPr>
                <w:rFonts w:ascii="Garamond" w:eastAsia="Calibri" w:hAnsi="Garamond" w:cstheme="minorHAnsi"/>
                <w:b/>
                <w:sz w:val="22"/>
                <w:szCs w:val="22"/>
                <w:lang w:val="en-US"/>
              </w:rPr>
              <w:t>measuring</w:t>
            </w:r>
            <w:r w:rsidRPr="00A5626D">
              <w:rPr>
                <w:rFonts w:ascii="Garamond" w:eastAsia="Calibri" w:hAnsi="Garamond" w:cstheme="minorHAnsi"/>
                <w:b/>
                <w:sz w:val="22"/>
                <w:szCs w:val="22"/>
              </w:rPr>
              <w:t>-</w:t>
            </w:r>
            <w:r w:rsidRPr="00A5626D">
              <w:rPr>
                <w:rFonts w:ascii="Garamond" w:eastAsia="Calibri" w:hAnsi="Garamond" w:cstheme="minorHAnsi"/>
                <w:b/>
                <w:sz w:val="22"/>
                <w:szCs w:val="22"/>
                <w:lang w:val="en-US"/>
              </w:rPr>
              <w:t>device</w:t>
            </w:r>
            <w:r w:rsidRPr="00A5626D">
              <w:rPr>
                <w:rFonts w:ascii="Garamond" w:hAnsi="Garamond" w:cstheme="minorHAnsi"/>
                <w:sz w:val="22"/>
                <w:szCs w:val="22"/>
              </w:rPr>
              <w:t>&gt; являются:</w:t>
            </w:r>
          </w:p>
          <w:p w14:paraId="6BFF4DFE" w14:textId="77777777" w:rsidR="00295C6D" w:rsidRPr="00A5626D" w:rsidRDefault="00295C6D" w:rsidP="00295C6D">
            <w:pPr>
              <w:widowControl w:val="0"/>
              <w:numPr>
                <w:ilvl w:val="0"/>
                <w:numId w:val="240"/>
              </w:numPr>
              <w:tabs>
                <w:tab w:val="left" w:pos="1134"/>
                <w:tab w:val="left" w:pos="7938"/>
              </w:tabs>
              <w:suppressAutoHyphens w:val="0"/>
              <w:autoSpaceDE w:val="0"/>
              <w:autoSpaceDN w:val="0"/>
              <w:adjustRightInd w:val="0"/>
              <w:spacing w:before="60" w:after="60"/>
              <w:ind w:left="0" w:firstLine="456"/>
              <w:jc w:val="both"/>
              <w:rPr>
                <w:rFonts w:ascii="Garamond" w:hAnsi="Garamond" w:cstheme="minorHAnsi"/>
                <w:sz w:val="22"/>
                <w:szCs w:val="22"/>
              </w:rPr>
            </w:pPr>
            <w:r w:rsidRPr="00A5626D">
              <w:rPr>
                <w:rFonts w:ascii="Garamond" w:hAnsi="Garamond" w:cstheme="minorHAnsi"/>
                <w:sz w:val="22"/>
                <w:szCs w:val="22"/>
                <w:lang w:val="en-US"/>
              </w:rPr>
              <w:t>guid</w:t>
            </w:r>
            <w:r w:rsidRPr="00A5626D">
              <w:rPr>
                <w:rFonts w:ascii="Garamond" w:hAnsi="Garamond" w:cstheme="minorHAnsi"/>
                <w:sz w:val="22"/>
                <w:szCs w:val="22"/>
              </w:rPr>
              <w:t xml:space="preserve"> –</w:t>
            </w:r>
            <w:r w:rsidRPr="00A5626D">
              <w:rPr>
                <w:rFonts w:ascii="Garamond" w:eastAsia="MS Mincho" w:hAnsi="Garamond" w:cstheme="minorHAnsi"/>
                <w:sz w:val="22"/>
                <w:szCs w:val="22"/>
              </w:rPr>
              <w:t xml:space="preserve"> уникальный идентификатор </w:t>
            </w:r>
            <w:r w:rsidRPr="00A5626D">
              <w:rPr>
                <w:rFonts w:ascii="Garamond" w:eastAsia="MS Mincho" w:hAnsi="Garamond" w:cstheme="minorHAnsi"/>
                <w:sz w:val="22"/>
                <w:szCs w:val="22"/>
                <w:highlight w:val="yellow"/>
              </w:rPr>
              <w:t>ИП</w:t>
            </w:r>
            <w:r w:rsidRPr="00A5626D">
              <w:rPr>
                <w:rFonts w:ascii="Garamond" w:eastAsia="MS Mincho" w:hAnsi="Garamond" w:cstheme="minorHAnsi"/>
                <w:sz w:val="22"/>
                <w:szCs w:val="22"/>
              </w:rPr>
              <w:t>, присваиваемый системой, формирующей файл. Является текстовым полем с 36 символами, обязательный атрибут;</w:t>
            </w:r>
          </w:p>
          <w:p w14:paraId="3C5FF924" w14:textId="77777777" w:rsidR="00295C6D" w:rsidRPr="00A5626D" w:rsidRDefault="00295C6D" w:rsidP="00295C6D">
            <w:pPr>
              <w:widowControl w:val="0"/>
              <w:numPr>
                <w:ilvl w:val="0"/>
                <w:numId w:val="240"/>
              </w:numPr>
              <w:tabs>
                <w:tab w:val="left" w:pos="1134"/>
                <w:tab w:val="left" w:pos="7938"/>
              </w:tabs>
              <w:suppressAutoHyphens w:val="0"/>
              <w:autoSpaceDE w:val="0"/>
              <w:autoSpaceDN w:val="0"/>
              <w:adjustRightInd w:val="0"/>
              <w:spacing w:before="60" w:after="60"/>
              <w:ind w:left="0" w:firstLine="456"/>
              <w:jc w:val="both"/>
              <w:rPr>
                <w:rFonts w:ascii="Garamond" w:hAnsi="Garamond" w:cstheme="minorHAnsi"/>
                <w:sz w:val="22"/>
                <w:szCs w:val="22"/>
              </w:rPr>
            </w:pPr>
            <w:r w:rsidRPr="00A5626D">
              <w:rPr>
                <w:rFonts w:ascii="Garamond" w:hAnsi="Garamond" w:cstheme="minorHAnsi"/>
                <w:sz w:val="22"/>
                <w:szCs w:val="22"/>
                <w:lang w:val="en-US"/>
              </w:rPr>
              <w:t>id</w:t>
            </w:r>
            <w:r w:rsidRPr="00A5626D">
              <w:rPr>
                <w:rFonts w:ascii="Garamond" w:hAnsi="Garamond" w:cstheme="minorHAnsi"/>
                <w:sz w:val="22"/>
                <w:szCs w:val="22"/>
              </w:rPr>
              <w:t>-</w:t>
            </w:r>
            <w:r w:rsidRPr="00A5626D">
              <w:rPr>
                <w:rFonts w:ascii="Garamond" w:hAnsi="Garamond" w:cstheme="minorHAnsi"/>
                <w:sz w:val="22"/>
                <w:szCs w:val="22"/>
                <w:lang w:val="en-US"/>
              </w:rPr>
              <w:t>device</w:t>
            </w:r>
            <w:r w:rsidRPr="00A5626D">
              <w:rPr>
                <w:rFonts w:ascii="Garamond" w:hAnsi="Garamond" w:cstheme="minorHAnsi"/>
                <w:sz w:val="22"/>
                <w:szCs w:val="22"/>
              </w:rPr>
              <w:t>-</w:t>
            </w:r>
            <w:r w:rsidRPr="00A5626D">
              <w:rPr>
                <w:rFonts w:ascii="Garamond" w:hAnsi="Garamond" w:cstheme="minorHAnsi"/>
                <w:sz w:val="22"/>
                <w:szCs w:val="22"/>
                <w:lang w:val="en-US"/>
              </w:rPr>
              <w:t>modification</w:t>
            </w:r>
            <w:r w:rsidRPr="00A5626D">
              <w:rPr>
                <w:rFonts w:ascii="Garamond" w:hAnsi="Garamond" w:cstheme="minorHAnsi"/>
                <w:sz w:val="22"/>
                <w:szCs w:val="22"/>
              </w:rPr>
              <w:t xml:space="preserve"> – идентификатор модификации ПУ из справочника типов и модификаций ПУ. Обязательный к заполнению атрибут для всех измерительных приборов, кроме измерительных приборов источников измерения СО</w:t>
            </w:r>
            <w:r w:rsidRPr="00A5626D" w:rsidDel="00B446E0">
              <w:rPr>
                <w:rFonts w:ascii="Garamond" w:hAnsi="Garamond" w:cstheme="minorHAnsi"/>
                <w:sz w:val="22"/>
                <w:szCs w:val="22"/>
              </w:rPr>
              <w:t xml:space="preserve"> </w:t>
            </w:r>
            <w:r w:rsidRPr="00A5626D">
              <w:rPr>
                <w:rFonts w:ascii="Garamond" w:hAnsi="Garamond" w:cstheme="minorHAnsi"/>
                <w:sz w:val="22"/>
                <w:szCs w:val="22"/>
              </w:rPr>
              <w:t>(</w:t>
            </w:r>
            <w:r w:rsidRPr="00A5626D">
              <w:rPr>
                <w:rFonts w:ascii="Garamond" w:hAnsi="Garamond" w:cstheme="minorHAnsi"/>
                <w:sz w:val="22"/>
                <w:szCs w:val="22"/>
                <w:lang w:val="en-US"/>
              </w:rPr>
              <w:t>type</w:t>
            </w:r>
            <w:r w:rsidRPr="00A5626D">
              <w:rPr>
                <w:rFonts w:ascii="Garamond" w:hAnsi="Garamond" w:cstheme="minorHAnsi"/>
                <w:sz w:val="22"/>
                <w:szCs w:val="22"/>
              </w:rPr>
              <w:t>=«</w:t>
            </w:r>
            <w:r w:rsidRPr="00A5626D">
              <w:rPr>
                <w:rFonts w:ascii="Garamond" w:hAnsi="Garamond" w:cstheme="minorHAnsi"/>
                <w:sz w:val="22"/>
                <w:szCs w:val="22"/>
                <w:lang w:val="en-US"/>
              </w:rPr>
              <w:t>so</w:t>
            </w:r>
            <w:r w:rsidRPr="00A5626D">
              <w:rPr>
                <w:rFonts w:ascii="Garamond" w:hAnsi="Garamond" w:cstheme="minorHAnsi"/>
                <w:sz w:val="22"/>
                <w:szCs w:val="22"/>
              </w:rPr>
              <w:t>»). Цифровое поле длиной не более 4 символов;</w:t>
            </w:r>
          </w:p>
          <w:p w14:paraId="48E5BB43" w14:textId="77777777" w:rsidR="00295C6D" w:rsidRPr="00A5626D" w:rsidRDefault="00295C6D" w:rsidP="00295C6D">
            <w:pPr>
              <w:widowControl w:val="0"/>
              <w:numPr>
                <w:ilvl w:val="0"/>
                <w:numId w:val="240"/>
              </w:numPr>
              <w:tabs>
                <w:tab w:val="left" w:pos="1134"/>
                <w:tab w:val="left" w:pos="7938"/>
              </w:tabs>
              <w:suppressAutoHyphens w:val="0"/>
              <w:autoSpaceDE w:val="0"/>
              <w:autoSpaceDN w:val="0"/>
              <w:adjustRightInd w:val="0"/>
              <w:spacing w:before="60" w:after="60"/>
              <w:ind w:left="0" w:firstLine="456"/>
              <w:jc w:val="both"/>
              <w:rPr>
                <w:rFonts w:ascii="Garamond" w:hAnsi="Garamond" w:cstheme="minorHAnsi"/>
                <w:sz w:val="22"/>
                <w:szCs w:val="22"/>
              </w:rPr>
            </w:pPr>
            <w:r w:rsidRPr="00A5626D">
              <w:rPr>
                <w:rFonts w:ascii="Garamond" w:hAnsi="Garamond" w:cstheme="minorHAnsi"/>
                <w:sz w:val="22"/>
                <w:szCs w:val="22"/>
                <w:lang w:val="en-US"/>
              </w:rPr>
              <w:t>so</w:t>
            </w:r>
            <w:r w:rsidRPr="00A5626D">
              <w:rPr>
                <w:rFonts w:ascii="Garamond" w:hAnsi="Garamond" w:cstheme="minorHAnsi"/>
                <w:sz w:val="22"/>
                <w:szCs w:val="22"/>
              </w:rPr>
              <w:t>-</w:t>
            </w:r>
            <w:r w:rsidRPr="00A5626D">
              <w:rPr>
                <w:rFonts w:ascii="Garamond" w:hAnsi="Garamond" w:cstheme="minorHAnsi"/>
                <w:sz w:val="22"/>
                <w:szCs w:val="22"/>
                <w:lang w:val="en-US"/>
              </w:rPr>
              <w:t>device</w:t>
            </w:r>
            <w:r w:rsidRPr="00A5626D">
              <w:rPr>
                <w:rFonts w:ascii="Garamond" w:hAnsi="Garamond" w:cstheme="minorHAnsi"/>
                <w:sz w:val="22"/>
                <w:szCs w:val="22"/>
              </w:rPr>
              <w:t>-</w:t>
            </w:r>
            <w:r w:rsidRPr="00A5626D">
              <w:rPr>
                <w:rFonts w:ascii="Garamond" w:hAnsi="Garamond" w:cstheme="minorHAnsi"/>
                <w:sz w:val="22"/>
                <w:szCs w:val="22"/>
                <w:lang w:val="en-US"/>
              </w:rPr>
              <w:t>modification</w:t>
            </w:r>
            <w:r w:rsidRPr="00A5626D">
              <w:rPr>
                <w:rFonts w:ascii="Garamond" w:hAnsi="Garamond" w:cstheme="minorHAnsi"/>
                <w:sz w:val="22"/>
                <w:szCs w:val="22"/>
              </w:rPr>
              <w:t>-</w:t>
            </w:r>
            <w:r w:rsidRPr="00A5626D">
              <w:rPr>
                <w:rFonts w:ascii="Garamond" w:hAnsi="Garamond" w:cstheme="minorHAnsi"/>
                <w:sz w:val="22"/>
                <w:szCs w:val="22"/>
                <w:lang w:val="en-US"/>
              </w:rPr>
              <w:t>name</w:t>
            </w:r>
            <w:r w:rsidRPr="00A5626D">
              <w:rPr>
                <w:rFonts w:ascii="Garamond" w:hAnsi="Garamond" w:cstheme="minorHAnsi"/>
                <w:sz w:val="22"/>
                <w:szCs w:val="22"/>
              </w:rPr>
              <w:t xml:space="preserve"> – наименование параметра телеизмерения активной мощности по ЕГО (их совокупности) или по линиям электропередач (их совокупности), информация об использовании псевдоизмерений</w:t>
            </w:r>
            <w:r w:rsidRPr="00A5626D">
              <w:rPr>
                <w:rFonts w:ascii="Garamond" w:hAnsi="Garamond" w:cstheme="minorHAnsi"/>
                <w:iCs/>
                <w:sz w:val="22"/>
                <w:szCs w:val="22"/>
              </w:rPr>
              <w:t xml:space="preserve">. Текстовое поле длиной не более 80 символов. Является обязательным, </w:t>
            </w:r>
            <w:r w:rsidRPr="00A5626D">
              <w:rPr>
                <w:rFonts w:ascii="Garamond" w:hAnsi="Garamond" w:cstheme="minorHAnsi"/>
                <w:sz w:val="22"/>
                <w:szCs w:val="22"/>
              </w:rPr>
              <w:t>когда атрибут measuring-point-type = «so»;</w:t>
            </w:r>
          </w:p>
          <w:p w14:paraId="304DC35F" w14:textId="77777777" w:rsidR="00295C6D" w:rsidRPr="00A5626D" w:rsidRDefault="00295C6D" w:rsidP="00295C6D">
            <w:pPr>
              <w:widowControl w:val="0"/>
              <w:numPr>
                <w:ilvl w:val="0"/>
                <w:numId w:val="240"/>
              </w:numPr>
              <w:tabs>
                <w:tab w:val="left" w:pos="1134"/>
                <w:tab w:val="left" w:pos="7938"/>
              </w:tabs>
              <w:suppressAutoHyphens w:val="0"/>
              <w:autoSpaceDE w:val="0"/>
              <w:autoSpaceDN w:val="0"/>
              <w:adjustRightInd w:val="0"/>
              <w:spacing w:before="60" w:after="60"/>
              <w:ind w:left="0" w:firstLine="456"/>
              <w:jc w:val="both"/>
              <w:rPr>
                <w:rFonts w:ascii="Garamond" w:hAnsi="Garamond" w:cstheme="minorHAnsi"/>
                <w:sz w:val="22"/>
                <w:szCs w:val="22"/>
              </w:rPr>
            </w:pPr>
            <w:r w:rsidRPr="00A5626D">
              <w:rPr>
                <w:rFonts w:ascii="Garamond" w:hAnsi="Garamond" w:cstheme="minorHAnsi"/>
                <w:sz w:val="22"/>
                <w:szCs w:val="22"/>
                <w:lang w:val="en-US"/>
              </w:rPr>
              <w:t>is</w:t>
            </w:r>
            <w:r w:rsidRPr="00A5626D">
              <w:rPr>
                <w:rFonts w:ascii="Garamond" w:hAnsi="Garamond" w:cstheme="minorHAnsi"/>
                <w:sz w:val="22"/>
                <w:szCs w:val="22"/>
              </w:rPr>
              <w:t>-</w:t>
            </w:r>
            <w:r w:rsidRPr="00A5626D">
              <w:rPr>
                <w:rFonts w:ascii="Garamond" w:hAnsi="Garamond" w:cstheme="minorHAnsi"/>
                <w:sz w:val="22"/>
                <w:szCs w:val="22"/>
                <w:lang w:val="en-US"/>
              </w:rPr>
              <w:t>for</w:t>
            </w:r>
            <w:r w:rsidRPr="00A5626D">
              <w:rPr>
                <w:rFonts w:ascii="Garamond" w:hAnsi="Garamond" w:cstheme="minorHAnsi"/>
                <w:sz w:val="22"/>
                <w:szCs w:val="22"/>
              </w:rPr>
              <w:t>-</w:t>
            </w:r>
            <w:r w:rsidRPr="00A5626D">
              <w:rPr>
                <w:rFonts w:ascii="Garamond" w:hAnsi="Garamond" w:cstheme="minorHAnsi"/>
                <w:sz w:val="22"/>
                <w:szCs w:val="22"/>
                <w:lang w:val="en-US"/>
              </w:rPr>
              <w:t>coding</w:t>
            </w:r>
            <w:r w:rsidRPr="00A5626D">
              <w:rPr>
                <w:rFonts w:ascii="Garamond" w:hAnsi="Garamond" w:cstheme="minorHAnsi"/>
                <w:sz w:val="22"/>
                <w:szCs w:val="22"/>
              </w:rPr>
              <w:t xml:space="preserve"> – признак, определяющий необходимость кодирования данного </w:t>
            </w:r>
            <w:r w:rsidRPr="00A5626D">
              <w:rPr>
                <w:rFonts w:ascii="Garamond" w:hAnsi="Garamond" w:cstheme="minorHAnsi"/>
                <w:sz w:val="22"/>
                <w:szCs w:val="22"/>
                <w:highlight w:val="yellow"/>
              </w:rPr>
              <w:t>ИП</w:t>
            </w:r>
            <w:r w:rsidRPr="00A5626D">
              <w:rPr>
                <w:rFonts w:ascii="Garamond" w:hAnsi="Garamond" w:cstheme="minorHAnsi"/>
                <w:sz w:val="22"/>
                <w:szCs w:val="22"/>
              </w:rPr>
              <w:t>. Обязательный к заполнению атрибут для всех измерительных приборов. Принимает значение «</w:t>
            </w:r>
            <w:r w:rsidRPr="00A5626D">
              <w:rPr>
                <w:rFonts w:ascii="Garamond" w:hAnsi="Garamond" w:cstheme="minorHAnsi"/>
                <w:sz w:val="22"/>
                <w:szCs w:val="22"/>
                <w:lang w:val="en-US"/>
              </w:rPr>
              <w:t>true</w:t>
            </w:r>
            <w:r w:rsidRPr="00A5626D">
              <w:rPr>
                <w:rFonts w:ascii="Garamond" w:hAnsi="Garamond" w:cstheme="minorHAnsi"/>
                <w:sz w:val="22"/>
                <w:szCs w:val="22"/>
              </w:rPr>
              <w:t>», если данный ПУ необходимо кодировать, «</w:t>
            </w:r>
            <w:r w:rsidRPr="00A5626D">
              <w:rPr>
                <w:rFonts w:ascii="Garamond" w:hAnsi="Garamond" w:cstheme="minorHAnsi"/>
                <w:sz w:val="22"/>
                <w:szCs w:val="22"/>
                <w:lang w:val="en-US"/>
              </w:rPr>
              <w:t>false</w:t>
            </w:r>
            <w:r w:rsidRPr="00A5626D">
              <w:rPr>
                <w:rFonts w:ascii="Garamond" w:hAnsi="Garamond" w:cstheme="minorHAnsi"/>
                <w:sz w:val="22"/>
                <w:szCs w:val="22"/>
              </w:rPr>
              <w:t xml:space="preserve">», если данный ПУ не предназначен для кодирования. Для параметров СО с </w:t>
            </w:r>
            <w:r w:rsidRPr="00A5626D">
              <w:rPr>
                <w:rFonts w:ascii="Garamond" w:hAnsi="Garamond" w:cstheme="minorHAnsi"/>
                <w:sz w:val="22"/>
                <w:szCs w:val="22"/>
                <w:lang w:val="en-US"/>
              </w:rPr>
              <w:t>type</w:t>
            </w:r>
            <w:r w:rsidRPr="00A5626D">
              <w:rPr>
                <w:rFonts w:ascii="Garamond" w:hAnsi="Garamond" w:cstheme="minorHAnsi"/>
                <w:sz w:val="22"/>
                <w:szCs w:val="22"/>
              </w:rPr>
              <w:t>=«</w:t>
            </w:r>
            <w:r w:rsidRPr="00A5626D">
              <w:rPr>
                <w:rFonts w:ascii="Garamond" w:hAnsi="Garamond" w:cstheme="minorHAnsi"/>
                <w:sz w:val="22"/>
                <w:szCs w:val="22"/>
                <w:lang w:val="en-US"/>
              </w:rPr>
              <w:t>so</w:t>
            </w:r>
            <w:r w:rsidRPr="00A5626D">
              <w:rPr>
                <w:rFonts w:ascii="Garamond" w:hAnsi="Garamond" w:cstheme="minorHAnsi"/>
                <w:sz w:val="22"/>
                <w:szCs w:val="22"/>
              </w:rPr>
              <w:t>» значение должно быть «</w:t>
            </w:r>
            <w:r w:rsidRPr="00A5626D">
              <w:rPr>
                <w:rFonts w:ascii="Garamond" w:hAnsi="Garamond" w:cstheme="minorHAnsi"/>
                <w:sz w:val="22"/>
                <w:szCs w:val="22"/>
                <w:lang w:val="en-US"/>
              </w:rPr>
              <w:t>false</w:t>
            </w:r>
            <w:r w:rsidRPr="00A5626D">
              <w:rPr>
                <w:rFonts w:ascii="Garamond" w:hAnsi="Garamond" w:cstheme="minorHAnsi"/>
                <w:sz w:val="22"/>
                <w:szCs w:val="22"/>
              </w:rPr>
              <w:t>»;</w:t>
            </w:r>
          </w:p>
          <w:p w14:paraId="324CD8AC" w14:textId="77777777" w:rsidR="00295C6D" w:rsidRPr="00A5626D" w:rsidRDefault="00295C6D" w:rsidP="00295C6D">
            <w:pPr>
              <w:widowControl w:val="0"/>
              <w:numPr>
                <w:ilvl w:val="0"/>
                <w:numId w:val="240"/>
              </w:numPr>
              <w:tabs>
                <w:tab w:val="left" w:pos="1134"/>
                <w:tab w:val="left" w:pos="7938"/>
              </w:tabs>
              <w:suppressAutoHyphens w:val="0"/>
              <w:autoSpaceDE w:val="0"/>
              <w:autoSpaceDN w:val="0"/>
              <w:adjustRightInd w:val="0"/>
              <w:spacing w:before="60" w:after="60"/>
              <w:ind w:left="0" w:firstLine="456"/>
              <w:jc w:val="both"/>
              <w:rPr>
                <w:rFonts w:ascii="Garamond" w:hAnsi="Garamond" w:cstheme="minorHAnsi"/>
                <w:sz w:val="22"/>
                <w:szCs w:val="22"/>
              </w:rPr>
            </w:pPr>
            <w:r w:rsidRPr="00A5626D">
              <w:rPr>
                <w:rFonts w:ascii="Garamond" w:hAnsi="Garamond" w:cstheme="minorHAnsi"/>
                <w:sz w:val="22"/>
                <w:szCs w:val="22"/>
                <w:lang w:val="en-US"/>
              </w:rPr>
              <w:t>precision</w:t>
            </w:r>
            <w:r w:rsidRPr="00A5626D">
              <w:rPr>
                <w:rFonts w:ascii="Garamond" w:hAnsi="Garamond" w:cstheme="minorHAnsi"/>
                <w:sz w:val="22"/>
                <w:szCs w:val="22"/>
              </w:rPr>
              <w:t>-</w:t>
            </w:r>
            <w:r w:rsidRPr="00A5626D">
              <w:rPr>
                <w:rFonts w:ascii="Garamond" w:hAnsi="Garamond" w:cstheme="minorHAnsi"/>
                <w:sz w:val="22"/>
                <w:szCs w:val="22"/>
                <w:lang w:val="en-US"/>
              </w:rPr>
              <w:t>class</w:t>
            </w:r>
            <w:r w:rsidRPr="00A5626D">
              <w:rPr>
                <w:rFonts w:ascii="Garamond" w:hAnsi="Garamond" w:cstheme="minorHAnsi"/>
                <w:sz w:val="22"/>
                <w:szCs w:val="22"/>
              </w:rPr>
              <w:t>-</w:t>
            </w:r>
            <w:r w:rsidRPr="00A5626D">
              <w:rPr>
                <w:rFonts w:ascii="Garamond" w:hAnsi="Garamond" w:cstheme="minorHAnsi"/>
                <w:sz w:val="22"/>
                <w:szCs w:val="22"/>
                <w:lang w:val="en-US"/>
              </w:rPr>
              <w:t>active</w:t>
            </w:r>
            <w:r w:rsidRPr="00A5626D">
              <w:rPr>
                <w:rFonts w:ascii="Garamond" w:hAnsi="Garamond" w:cstheme="minorHAnsi"/>
                <w:sz w:val="22"/>
                <w:szCs w:val="22"/>
              </w:rPr>
              <w:t xml:space="preserve"> – класс точности ПУ по активной энергии. Принимает значения из числа допустимых классов точности для данной модификации, указанных в справочнике типов и модификаций ПУ. В качестве десятичного разделителя должна быть использована точка. Обязательный атрибут для ПУ, обеспечивающих возможность измерения активной энергии</w:t>
            </w:r>
            <w:r w:rsidRPr="00A5626D">
              <w:rPr>
                <w:rFonts w:ascii="Garamond" w:eastAsia="Calibri" w:hAnsi="Garamond" w:cstheme="minorHAnsi"/>
                <w:bCs/>
                <w:sz w:val="22"/>
                <w:szCs w:val="22"/>
              </w:rPr>
              <w:t>. Указывается справочно</w:t>
            </w:r>
            <w:r w:rsidRPr="00A5626D">
              <w:rPr>
                <w:rFonts w:ascii="Garamond" w:hAnsi="Garamond" w:cstheme="minorHAnsi"/>
                <w:sz w:val="22"/>
                <w:szCs w:val="22"/>
              </w:rPr>
              <w:t>;</w:t>
            </w:r>
          </w:p>
          <w:p w14:paraId="49210B10" w14:textId="77777777" w:rsidR="00295C6D" w:rsidRPr="00A5626D" w:rsidRDefault="00295C6D" w:rsidP="00295C6D">
            <w:pPr>
              <w:widowControl w:val="0"/>
              <w:numPr>
                <w:ilvl w:val="0"/>
                <w:numId w:val="240"/>
              </w:numPr>
              <w:tabs>
                <w:tab w:val="left" w:pos="1134"/>
                <w:tab w:val="left" w:pos="7938"/>
              </w:tabs>
              <w:suppressAutoHyphens w:val="0"/>
              <w:autoSpaceDE w:val="0"/>
              <w:autoSpaceDN w:val="0"/>
              <w:adjustRightInd w:val="0"/>
              <w:spacing w:before="60" w:after="60"/>
              <w:ind w:left="0" w:firstLine="456"/>
              <w:jc w:val="both"/>
              <w:rPr>
                <w:rFonts w:ascii="Garamond" w:hAnsi="Garamond" w:cstheme="minorHAnsi"/>
                <w:sz w:val="22"/>
                <w:szCs w:val="22"/>
              </w:rPr>
            </w:pPr>
            <w:r w:rsidRPr="00A5626D">
              <w:rPr>
                <w:rFonts w:ascii="Garamond" w:hAnsi="Garamond" w:cstheme="minorHAnsi"/>
                <w:sz w:val="22"/>
                <w:szCs w:val="22"/>
                <w:lang w:val="en-US"/>
              </w:rPr>
              <w:t>precision</w:t>
            </w:r>
            <w:r w:rsidRPr="00A5626D">
              <w:rPr>
                <w:rFonts w:ascii="Garamond" w:hAnsi="Garamond" w:cstheme="minorHAnsi"/>
                <w:sz w:val="22"/>
                <w:szCs w:val="22"/>
              </w:rPr>
              <w:t>-</w:t>
            </w:r>
            <w:r w:rsidRPr="00A5626D">
              <w:rPr>
                <w:rFonts w:ascii="Garamond" w:hAnsi="Garamond" w:cstheme="minorHAnsi"/>
                <w:sz w:val="22"/>
                <w:szCs w:val="22"/>
                <w:lang w:val="en-US"/>
              </w:rPr>
              <w:t>class</w:t>
            </w:r>
            <w:r w:rsidRPr="00A5626D">
              <w:rPr>
                <w:rFonts w:ascii="Garamond" w:hAnsi="Garamond" w:cstheme="minorHAnsi"/>
                <w:sz w:val="22"/>
                <w:szCs w:val="22"/>
              </w:rPr>
              <w:t>-</w:t>
            </w:r>
            <w:r w:rsidRPr="00A5626D">
              <w:rPr>
                <w:rFonts w:ascii="Garamond" w:hAnsi="Garamond" w:cstheme="minorHAnsi"/>
                <w:sz w:val="22"/>
                <w:szCs w:val="22"/>
                <w:lang w:val="en-US"/>
              </w:rPr>
              <w:t>reactive</w:t>
            </w:r>
            <w:r w:rsidRPr="00A5626D">
              <w:rPr>
                <w:rFonts w:ascii="Garamond" w:hAnsi="Garamond" w:cstheme="minorHAnsi"/>
                <w:sz w:val="22"/>
                <w:szCs w:val="22"/>
              </w:rPr>
              <w:t xml:space="preserve"> – класс точности ПУ по реактивной энергии. Принимает значения из числа допустимых классов точности </w:t>
            </w:r>
            <w:r w:rsidRPr="00A5626D">
              <w:rPr>
                <w:rFonts w:ascii="Garamond" w:hAnsi="Garamond" w:cstheme="minorHAnsi"/>
                <w:sz w:val="22"/>
                <w:szCs w:val="22"/>
              </w:rPr>
              <w:lastRenderedPageBreak/>
              <w:t>для данной модификации, указанных в справочнике типов и модификаций ПУ. В качестве десятичного разделителя должна быть использована точка. Обязательный атрибут для ПУ, обеспечивающих возможность измерения реактивной энергии</w:t>
            </w:r>
            <w:r w:rsidRPr="00A5626D">
              <w:rPr>
                <w:rFonts w:ascii="Garamond" w:eastAsia="Calibri" w:hAnsi="Garamond" w:cstheme="minorHAnsi"/>
                <w:bCs/>
                <w:sz w:val="22"/>
                <w:szCs w:val="22"/>
              </w:rPr>
              <w:t>. Указывается справочно</w:t>
            </w:r>
            <w:r w:rsidRPr="00A5626D">
              <w:rPr>
                <w:rFonts w:ascii="Garamond" w:hAnsi="Garamond" w:cstheme="minorHAnsi"/>
                <w:sz w:val="22"/>
                <w:szCs w:val="22"/>
              </w:rPr>
              <w:t>;</w:t>
            </w:r>
          </w:p>
          <w:p w14:paraId="13B230B8" w14:textId="77777777" w:rsidR="00295C6D" w:rsidRPr="00A5626D" w:rsidRDefault="00295C6D" w:rsidP="00295C6D">
            <w:pPr>
              <w:widowControl w:val="0"/>
              <w:numPr>
                <w:ilvl w:val="0"/>
                <w:numId w:val="240"/>
              </w:numPr>
              <w:tabs>
                <w:tab w:val="left" w:pos="1134"/>
                <w:tab w:val="left" w:pos="7938"/>
              </w:tabs>
              <w:suppressAutoHyphens w:val="0"/>
              <w:autoSpaceDE w:val="0"/>
              <w:autoSpaceDN w:val="0"/>
              <w:adjustRightInd w:val="0"/>
              <w:spacing w:before="60" w:after="60"/>
              <w:ind w:left="0" w:firstLine="456"/>
              <w:jc w:val="both"/>
              <w:rPr>
                <w:rFonts w:ascii="Garamond" w:hAnsi="Garamond" w:cstheme="minorHAnsi"/>
                <w:sz w:val="22"/>
                <w:szCs w:val="22"/>
              </w:rPr>
            </w:pPr>
            <w:r w:rsidRPr="00A5626D">
              <w:rPr>
                <w:rFonts w:ascii="Garamond" w:hAnsi="Garamond" w:cstheme="minorHAnsi"/>
                <w:sz w:val="22"/>
                <w:szCs w:val="22"/>
                <w:lang w:val="en-US"/>
              </w:rPr>
              <w:t>ats</w:t>
            </w:r>
            <w:r w:rsidRPr="00A5626D">
              <w:rPr>
                <w:rFonts w:ascii="Garamond" w:hAnsi="Garamond" w:cstheme="minorHAnsi"/>
                <w:sz w:val="22"/>
                <w:szCs w:val="22"/>
              </w:rPr>
              <w:t>-</w:t>
            </w:r>
            <w:r w:rsidRPr="00A5626D">
              <w:rPr>
                <w:rFonts w:ascii="Garamond" w:hAnsi="Garamond" w:cstheme="minorHAnsi"/>
                <w:sz w:val="22"/>
                <w:szCs w:val="22"/>
                <w:lang w:val="en-US"/>
              </w:rPr>
              <w:t>code</w:t>
            </w:r>
            <w:r w:rsidRPr="00A5626D">
              <w:rPr>
                <w:rFonts w:ascii="Garamond" w:hAnsi="Garamond" w:cstheme="minorHAnsi"/>
                <w:sz w:val="22"/>
                <w:szCs w:val="22"/>
              </w:rPr>
              <w:t xml:space="preserve"> – уникальный код, присвоенный КО прибору учета. Необязательный атрибут. Является числом из двух символов;</w:t>
            </w:r>
          </w:p>
          <w:p w14:paraId="3603B665" w14:textId="77777777" w:rsidR="00295C6D" w:rsidRPr="00A5626D" w:rsidRDefault="00295C6D" w:rsidP="00295C6D">
            <w:pPr>
              <w:widowControl w:val="0"/>
              <w:numPr>
                <w:ilvl w:val="0"/>
                <w:numId w:val="240"/>
              </w:numPr>
              <w:tabs>
                <w:tab w:val="left" w:pos="1134"/>
                <w:tab w:val="left" w:pos="7938"/>
              </w:tabs>
              <w:suppressAutoHyphens w:val="0"/>
              <w:autoSpaceDE w:val="0"/>
              <w:autoSpaceDN w:val="0"/>
              <w:adjustRightInd w:val="0"/>
              <w:spacing w:before="60" w:after="60"/>
              <w:ind w:left="0" w:firstLine="456"/>
              <w:jc w:val="both"/>
              <w:rPr>
                <w:rFonts w:ascii="Garamond" w:hAnsi="Garamond" w:cstheme="minorHAnsi"/>
                <w:sz w:val="22"/>
                <w:szCs w:val="22"/>
              </w:rPr>
            </w:pPr>
            <w:r w:rsidRPr="00A5626D">
              <w:rPr>
                <w:rFonts w:ascii="Garamond" w:hAnsi="Garamond" w:cstheme="minorHAnsi"/>
                <w:sz w:val="22"/>
                <w:szCs w:val="22"/>
                <w:lang w:val="en-US"/>
              </w:rPr>
              <w:t>id</w:t>
            </w:r>
            <w:r w:rsidRPr="00A5626D">
              <w:rPr>
                <w:rFonts w:ascii="Garamond" w:hAnsi="Garamond" w:cstheme="minorHAnsi"/>
                <w:sz w:val="22"/>
                <w:szCs w:val="22"/>
              </w:rPr>
              <w:t>-</w:t>
            </w:r>
            <w:r w:rsidRPr="00A5626D">
              <w:rPr>
                <w:rFonts w:ascii="Garamond" w:hAnsi="Garamond" w:cstheme="minorHAnsi"/>
                <w:sz w:val="22"/>
                <w:szCs w:val="22"/>
                <w:lang w:val="en-US"/>
              </w:rPr>
              <w:t>measuring</w:t>
            </w:r>
            <w:r w:rsidRPr="00A5626D">
              <w:rPr>
                <w:rFonts w:ascii="Garamond" w:hAnsi="Garamond" w:cstheme="minorHAnsi"/>
                <w:sz w:val="22"/>
                <w:szCs w:val="22"/>
              </w:rPr>
              <w:t>-</w:t>
            </w:r>
            <w:r w:rsidRPr="00A5626D">
              <w:rPr>
                <w:rFonts w:ascii="Garamond" w:hAnsi="Garamond" w:cstheme="minorHAnsi"/>
                <w:sz w:val="22"/>
                <w:szCs w:val="22"/>
                <w:lang w:val="en-US"/>
              </w:rPr>
              <w:t>device</w:t>
            </w:r>
            <w:r w:rsidRPr="00A5626D">
              <w:rPr>
                <w:rFonts w:ascii="Garamond" w:hAnsi="Garamond" w:cstheme="minorHAnsi"/>
                <w:sz w:val="22"/>
                <w:szCs w:val="22"/>
              </w:rPr>
              <w:t xml:space="preserve"> – внутренний идентификатор прибора учета, используемый в элементах макета в качестве ссылок. Число до 4 знаков (1, 01, 001 и 0001 считаются одинаковыми идентификаторами). Является обязательным атрибутом; </w:t>
            </w:r>
          </w:p>
          <w:p w14:paraId="47791955" w14:textId="77777777" w:rsidR="00295C6D" w:rsidRPr="00A5626D" w:rsidRDefault="00295C6D" w:rsidP="00295C6D">
            <w:pPr>
              <w:widowControl w:val="0"/>
              <w:numPr>
                <w:ilvl w:val="0"/>
                <w:numId w:val="240"/>
              </w:numPr>
              <w:tabs>
                <w:tab w:val="left" w:pos="1134"/>
                <w:tab w:val="left" w:pos="7938"/>
              </w:tabs>
              <w:suppressAutoHyphens w:val="0"/>
              <w:autoSpaceDE w:val="0"/>
              <w:autoSpaceDN w:val="0"/>
              <w:adjustRightInd w:val="0"/>
              <w:spacing w:before="60" w:after="60"/>
              <w:ind w:left="0" w:firstLine="456"/>
              <w:jc w:val="both"/>
              <w:rPr>
                <w:rFonts w:ascii="Garamond" w:hAnsi="Garamond" w:cstheme="minorHAnsi"/>
                <w:sz w:val="22"/>
                <w:szCs w:val="22"/>
              </w:rPr>
            </w:pPr>
            <w:r w:rsidRPr="00A5626D">
              <w:rPr>
                <w:rFonts w:ascii="Garamond" w:hAnsi="Garamond" w:cstheme="minorHAnsi"/>
                <w:sz w:val="22"/>
                <w:szCs w:val="22"/>
                <w:lang w:val="en-US"/>
              </w:rPr>
              <w:t>serial</w:t>
            </w:r>
            <w:r w:rsidRPr="00A5626D">
              <w:rPr>
                <w:rFonts w:ascii="Garamond" w:hAnsi="Garamond" w:cstheme="minorHAnsi"/>
                <w:sz w:val="22"/>
                <w:szCs w:val="22"/>
              </w:rPr>
              <w:t>-number – серийный (заводской) номер прибора учета. Необязательный атрибут. В рамках одного сечения / ГТП генерации не допускается использование одинаковых серийных номеров для однотипных приборов учета. Является числом максимум из 250 символов.</w:t>
            </w:r>
          </w:p>
          <w:p w14:paraId="0BCDA727" w14:textId="77777777" w:rsidR="00295C6D" w:rsidRPr="00A5626D" w:rsidRDefault="00295C6D" w:rsidP="00E31AE6">
            <w:pPr>
              <w:tabs>
                <w:tab w:val="left" w:pos="1134"/>
                <w:tab w:val="left" w:pos="7938"/>
              </w:tabs>
              <w:spacing w:before="120" w:after="120"/>
              <w:ind w:firstLine="456"/>
              <w:jc w:val="both"/>
              <w:rPr>
                <w:rFonts w:ascii="Garamond" w:hAnsi="Garamond" w:cstheme="minorHAnsi"/>
                <w:b/>
                <w:sz w:val="22"/>
                <w:szCs w:val="22"/>
              </w:rPr>
            </w:pPr>
            <w:r w:rsidRPr="00A5626D">
              <w:rPr>
                <w:rFonts w:ascii="Garamond" w:hAnsi="Garamond" w:cstheme="minorHAnsi"/>
                <w:sz w:val="22"/>
                <w:szCs w:val="22"/>
              </w:rPr>
              <w:t xml:space="preserve">Дочерними элементами являются </w:t>
            </w:r>
            <w:r w:rsidRPr="00A5626D">
              <w:rPr>
                <w:rFonts w:ascii="Garamond" w:hAnsi="Garamond" w:cstheme="minorHAnsi"/>
                <w:b/>
                <w:sz w:val="22"/>
                <w:szCs w:val="22"/>
              </w:rPr>
              <w:t>&lt;</w:t>
            </w:r>
            <w:r w:rsidRPr="00A5626D">
              <w:rPr>
                <w:rFonts w:ascii="Garamond" w:eastAsia="Calibri" w:hAnsi="Garamond" w:cstheme="minorHAnsi"/>
                <w:b/>
                <w:sz w:val="22"/>
                <w:szCs w:val="22"/>
                <w:lang w:val="en-US"/>
              </w:rPr>
              <w:t>measuring</w:t>
            </w:r>
            <w:r w:rsidRPr="00A5626D">
              <w:rPr>
                <w:rFonts w:ascii="Garamond" w:eastAsia="Calibri" w:hAnsi="Garamond" w:cstheme="minorHAnsi"/>
                <w:b/>
                <w:sz w:val="22"/>
                <w:szCs w:val="22"/>
              </w:rPr>
              <w:t>-</w:t>
            </w:r>
            <w:r w:rsidRPr="00A5626D">
              <w:rPr>
                <w:rFonts w:ascii="Garamond" w:eastAsia="Calibri" w:hAnsi="Garamond" w:cstheme="minorHAnsi"/>
                <w:b/>
                <w:sz w:val="22"/>
                <w:szCs w:val="22"/>
                <w:lang w:val="en-US"/>
              </w:rPr>
              <w:t>channel</w:t>
            </w:r>
            <w:r w:rsidRPr="00A5626D">
              <w:rPr>
                <w:rFonts w:ascii="Garamond" w:eastAsia="Calibri" w:hAnsi="Garamond" w:cstheme="minorHAnsi"/>
                <w:b/>
                <w:sz w:val="22"/>
                <w:szCs w:val="22"/>
              </w:rPr>
              <w:t>&gt;.</w:t>
            </w:r>
          </w:p>
        </w:tc>
        <w:tc>
          <w:tcPr>
            <w:tcW w:w="7088" w:type="dxa"/>
          </w:tcPr>
          <w:p w14:paraId="6B922B67" w14:textId="77777777" w:rsidR="00295C6D" w:rsidRPr="00A5626D" w:rsidRDefault="00295C6D" w:rsidP="00E31AE6">
            <w:pPr>
              <w:tabs>
                <w:tab w:val="left" w:pos="1134"/>
                <w:tab w:val="left" w:pos="7938"/>
              </w:tabs>
              <w:spacing w:before="120" w:after="120"/>
              <w:ind w:firstLine="456"/>
              <w:jc w:val="both"/>
              <w:rPr>
                <w:rFonts w:ascii="Garamond" w:hAnsi="Garamond" w:cstheme="minorHAnsi"/>
                <w:sz w:val="22"/>
                <w:szCs w:val="22"/>
              </w:rPr>
            </w:pPr>
            <w:r w:rsidRPr="00A5626D">
              <w:rPr>
                <w:rFonts w:ascii="Garamond" w:hAnsi="Garamond" w:cstheme="minorHAnsi"/>
                <w:sz w:val="22"/>
                <w:szCs w:val="22"/>
              </w:rPr>
              <w:lastRenderedPageBreak/>
              <w:t>&lt;measuring-</w:t>
            </w:r>
            <w:r w:rsidRPr="00A5626D">
              <w:rPr>
                <w:rFonts w:ascii="Garamond" w:hAnsi="Garamond" w:cstheme="minorHAnsi"/>
                <w:sz w:val="22"/>
                <w:szCs w:val="22"/>
                <w:lang w:val="en-US"/>
              </w:rPr>
              <w:t>device</w:t>
            </w:r>
            <w:r w:rsidRPr="00A5626D">
              <w:rPr>
                <w:rFonts w:ascii="Garamond" w:hAnsi="Garamond" w:cstheme="minorHAnsi"/>
                <w:sz w:val="22"/>
                <w:szCs w:val="22"/>
              </w:rPr>
              <w:t>&gt;</w:t>
            </w:r>
          </w:p>
          <w:p w14:paraId="6197FD03" w14:textId="77777777" w:rsidR="00295C6D" w:rsidRPr="00A5626D" w:rsidRDefault="00295C6D" w:rsidP="00E31AE6">
            <w:pPr>
              <w:tabs>
                <w:tab w:val="left" w:pos="1134"/>
                <w:tab w:val="left" w:pos="7938"/>
              </w:tabs>
              <w:spacing w:before="120" w:after="120"/>
              <w:ind w:firstLine="456"/>
              <w:jc w:val="both"/>
              <w:rPr>
                <w:rFonts w:ascii="Garamond" w:hAnsi="Garamond" w:cstheme="minorHAnsi"/>
                <w:sz w:val="22"/>
                <w:szCs w:val="22"/>
              </w:rPr>
            </w:pPr>
            <w:r w:rsidRPr="00A5626D">
              <w:rPr>
                <w:rFonts w:ascii="Garamond" w:hAnsi="Garamond" w:cstheme="minorHAnsi"/>
                <w:sz w:val="22"/>
                <w:szCs w:val="22"/>
              </w:rPr>
              <w:t>Элемент &lt;</w:t>
            </w:r>
            <w:r w:rsidRPr="00A5626D">
              <w:rPr>
                <w:rFonts w:ascii="Garamond" w:eastAsia="Calibri" w:hAnsi="Garamond" w:cstheme="minorHAnsi"/>
                <w:b/>
                <w:sz w:val="22"/>
                <w:szCs w:val="22"/>
                <w:lang w:val="en-US"/>
              </w:rPr>
              <w:t>measuring</w:t>
            </w:r>
            <w:r w:rsidRPr="00A5626D">
              <w:rPr>
                <w:rFonts w:ascii="Garamond" w:eastAsia="Calibri" w:hAnsi="Garamond" w:cstheme="minorHAnsi"/>
                <w:b/>
                <w:sz w:val="22"/>
                <w:szCs w:val="22"/>
              </w:rPr>
              <w:t>-</w:t>
            </w:r>
            <w:r w:rsidRPr="00A5626D">
              <w:rPr>
                <w:rFonts w:ascii="Garamond" w:eastAsia="Calibri" w:hAnsi="Garamond" w:cstheme="minorHAnsi"/>
                <w:b/>
                <w:sz w:val="22"/>
                <w:szCs w:val="22"/>
                <w:lang w:val="en-US"/>
              </w:rPr>
              <w:t>device</w:t>
            </w:r>
            <w:r w:rsidRPr="00A5626D">
              <w:rPr>
                <w:rFonts w:ascii="Garamond" w:hAnsi="Garamond" w:cstheme="minorHAnsi"/>
                <w:sz w:val="22"/>
                <w:szCs w:val="22"/>
              </w:rPr>
              <w:t xml:space="preserve">&gt; </w:t>
            </w:r>
            <w:r w:rsidRPr="00A5626D">
              <w:rPr>
                <w:rFonts w:ascii="Garamond" w:hAnsi="Garamond" w:cstheme="minorHAnsi"/>
                <w:sz w:val="22"/>
                <w:szCs w:val="22"/>
                <w:lang w:val="en-US"/>
              </w:rPr>
              <w:t>c</w:t>
            </w:r>
            <w:r w:rsidRPr="00A5626D">
              <w:rPr>
                <w:rFonts w:ascii="Garamond" w:hAnsi="Garamond" w:cstheme="minorHAnsi"/>
                <w:bCs/>
                <w:sz w:val="22"/>
                <w:szCs w:val="22"/>
              </w:rPr>
              <w:t>одержит</w:t>
            </w:r>
            <w:r w:rsidRPr="00A5626D">
              <w:rPr>
                <w:rFonts w:ascii="Garamond" w:hAnsi="Garamond" w:cstheme="minorHAnsi"/>
                <w:sz w:val="22"/>
                <w:szCs w:val="22"/>
              </w:rPr>
              <w:t xml:space="preserve"> справочник измерительных приборов. </w:t>
            </w:r>
          </w:p>
          <w:p w14:paraId="1ED239D4" w14:textId="77777777" w:rsidR="00295C6D" w:rsidRPr="00A5626D" w:rsidRDefault="00295C6D" w:rsidP="00E31AE6">
            <w:pPr>
              <w:tabs>
                <w:tab w:val="left" w:pos="1134"/>
                <w:tab w:val="left" w:pos="7938"/>
              </w:tabs>
              <w:spacing w:before="120" w:after="120"/>
              <w:ind w:firstLine="456"/>
              <w:jc w:val="both"/>
              <w:rPr>
                <w:rFonts w:ascii="Garamond" w:hAnsi="Garamond" w:cstheme="minorHAnsi"/>
                <w:sz w:val="22"/>
                <w:szCs w:val="22"/>
              </w:rPr>
            </w:pPr>
            <w:r w:rsidRPr="00A5626D">
              <w:rPr>
                <w:rFonts w:ascii="Garamond" w:hAnsi="Garamond" w:cstheme="minorHAnsi"/>
                <w:sz w:val="22"/>
                <w:szCs w:val="22"/>
              </w:rPr>
              <w:t>Атрибутами элемента &lt;</w:t>
            </w:r>
            <w:r w:rsidRPr="00A5626D">
              <w:rPr>
                <w:rFonts w:ascii="Garamond" w:eastAsia="Calibri" w:hAnsi="Garamond" w:cstheme="minorHAnsi"/>
                <w:b/>
                <w:sz w:val="22"/>
                <w:szCs w:val="22"/>
                <w:lang w:val="en-US"/>
              </w:rPr>
              <w:t>measuring</w:t>
            </w:r>
            <w:r w:rsidRPr="00A5626D">
              <w:rPr>
                <w:rFonts w:ascii="Garamond" w:eastAsia="Calibri" w:hAnsi="Garamond" w:cstheme="minorHAnsi"/>
                <w:b/>
                <w:sz w:val="22"/>
                <w:szCs w:val="22"/>
              </w:rPr>
              <w:t>-</w:t>
            </w:r>
            <w:r w:rsidRPr="00A5626D">
              <w:rPr>
                <w:rFonts w:ascii="Garamond" w:eastAsia="Calibri" w:hAnsi="Garamond" w:cstheme="minorHAnsi"/>
                <w:b/>
                <w:sz w:val="22"/>
                <w:szCs w:val="22"/>
                <w:lang w:val="en-US"/>
              </w:rPr>
              <w:t>device</w:t>
            </w:r>
            <w:r w:rsidRPr="00A5626D">
              <w:rPr>
                <w:rFonts w:ascii="Garamond" w:hAnsi="Garamond" w:cstheme="minorHAnsi"/>
                <w:sz w:val="22"/>
                <w:szCs w:val="22"/>
              </w:rPr>
              <w:t>&gt; являются:</w:t>
            </w:r>
          </w:p>
          <w:p w14:paraId="02013669" w14:textId="77777777" w:rsidR="00295C6D" w:rsidRPr="00A5626D" w:rsidRDefault="00295C6D" w:rsidP="00295C6D">
            <w:pPr>
              <w:widowControl w:val="0"/>
              <w:numPr>
                <w:ilvl w:val="0"/>
                <w:numId w:val="240"/>
              </w:numPr>
              <w:tabs>
                <w:tab w:val="left" w:pos="1134"/>
                <w:tab w:val="left" w:pos="7938"/>
              </w:tabs>
              <w:suppressAutoHyphens w:val="0"/>
              <w:autoSpaceDE w:val="0"/>
              <w:autoSpaceDN w:val="0"/>
              <w:adjustRightInd w:val="0"/>
              <w:spacing w:before="60" w:after="60"/>
              <w:ind w:left="0" w:firstLine="456"/>
              <w:jc w:val="both"/>
              <w:rPr>
                <w:rFonts w:ascii="Garamond" w:hAnsi="Garamond" w:cstheme="minorHAnsi"/>
                <w:sz w:val="22"/>
                <w:szCs w:val="22"/>
              </w:rPr>
            </w:pPr>
            <w:r w:rsidRPr="00A5626D">
              <w:rPr>
                <w:rFonts w:ascii="Garamond" w:hAnsi="Garamond" w:cstheme="minorHAnsi"/>
                <w:sz w:val="22"/>
                <w:szCs w:val="22"/>
                <w:lang w:val="en-US"/>
              </w:rPr>
              <w:t>guid</w:t>
            </w:r>
            <w:r w:rsidRPr="00A5626D">
              <w:rPr>
                <w:rFonts w:ascii="Garamond" w:hAnsi="Garamond" w:cstheme="minorHAnsi"/>
                <w:sz w:val="22"/>
                <w:szCs w:val="22"/>
              </w:rPr>
              <w:t xml:space="preserve"> –</w:t>
            </w:r>
            <w:r w:rsidRPr="00A5626D">
              <w:rPr>
                <w:rFonts w:ascii="Garamond" w:eastAsia="MS Mincho" w:hAnsi="Garamond" w:cstheme="minorHAnsi"/>
                <w:sz w:val="22"/>
                <w:szCs w:val="22"/>
              </w:rPr>
              <w:t xml:space="preserve"> уникальный идентификатор </w:t>
            </w:r>
            <w:r w:rsidRPr="00A5626D">
              <w:rPr>
                <w:rFonts w:ascii="Garamond" w:eastAsia="MS Mincho" w:hAnsi="Garamond" w:cstheme="minorHAnsi"/>
                <w:sz w:val="22"/>
                <w:szCs w:val="22"/>
                <w:highlight w:val="yellow"/>
              </w:rPr>
              <w:t>ПУ</w:t>
            </w:r>
            <w:r w:rsidRPr="00A5626D">
              <w:rPr>
                <w:rFonts w:ascii="Garamond" w:eastAsia="MS Mincho" w:hAnsi="Garamond" w:cstheme="minorHAnsi"/>
                <w:sz w:val="22"/>
                <w:szCs w:val="22"/>
              </w:rPr>
              <w:t>, присваиваемый системой, формирующей файл. Является текстовым полем с 36 символами, обязательный атрибут;</w:t>
            </w:r>
          </w:p>
          <w:p w14:paraId="03911D0F" w14:textId="77777777" w:rsidR="00295C6D" w:rsidRPr="00A5626D" w:rsidRDefault="00295C6D" w:rsidP="00295C6D">
            <w:pPr>
              <w:widowControl w:val="0"/>
              <w:numPr>
                <w:ilvl w:val="0"/>
                <w:numId w:val="240"/>
              </w:numPr>
              <w:tabs>
                <w:tab w:val="left" w:pos="1134"/>
                <w:tab w:val="left" w:pos="7938"/>
              </w:tabs>
              <w:suppressAutoHyphens w:val="0"/>
              <w:autoSpaceDE w:val="0"/>
              <w:autoSpaceDN w:val="0"/>
              <w:adjustRightInd w:val="0"/>
              <w:spacing w:before="60" w:after="60"/>
              <w:ind w:left="0" w:firstLine="456"/>
              <w:jc w:val="both"/>
              <w:rPr>
                <w:rFonts w:ascii="Garamond" w:hAnsi="Garamond" w:cstheme="minorHAnsi"/>
                <w:sz w:val="22"/>
                <w:szCs w:val="22"/>
              </w:rPr>
            </w:pPr>
            <w:r w:rsidRPr="00A5626D">
              <w:rPr>
                <w:rFonts w:ascii="Garamond" w:hAnsi="Garamond" w:cstheme="minorHAnsi"/>
                <w:sz w:val="22"/>
                <w:szCs w:val="22"/>
                <w:lang w:val="en-US"/>
              </w:rPr>
              <w:t>id</w:t>
            </w:r>
            <w:r w:rsidRPr="00A5626D">
              <w:rPr>
                <w:rFonts w:ascii="Garamond" w:hAnsi="Garamond" w:cstheme="minorHAnsi"/>
                <w:sz w:val="22"/>
                <w:szCs w:val="22"/>
              </w:rPr>
              <w:t>-</w:t>
            </w:r>
            <w:r w:rsidRPr="00A5626D">
              <w:rPr>
                <w:rFonts w:ascii="Garamond" w:hAnsi="Garamond" w:cstheme="minorHAnsi"/>
                <w:sz w:val="22"/>
                <w:szCs w:val="22"/>
                <w:lang w:val="en-US"/>
              </w:rPr>
              <w:t>device</w:t>
            </w:r>
            <w:r w:rsidRPr="00A5626D">
              <w:rPr>
                <w:rFonts w:ascii="Garamond" w:hAnsi="Garamond" w:cstheme="minorHAnsi"/>
                <w:sz w:val="22"/>
                <w:szCs w:val="22"/>
              </w:rPr>
              <w:t>-</w:t>
            </w:r>
            <w:r w:rsidRPr="00A5626D">
              <w:rPr>
                <w:rFonts w:ascii="Garamond" w:hAnsi="Garamond" w:cstheme="minorHAnsi"/>
                <w:sz w:val="22"/>
                <w:szCs w:val="22"/>
                <w:lang w:val="en-US"/>
              </w:rPr>
              <w:t>modification</w:t>
            </w:r>
            <w:r w:rsidRPr="00A5626D">
              <w:rPr>
                <w:rFonts w:ascii="Garamond" w:hAnsi="Garamond" w:cstheme="minorHAnsi"/>
                <w:sz w:val="22"/>
                <w:szCs w:val="22"/>
              </w:rPr>
              <w:t xml:space="preserve"> – идентификатор модификации ПУ из справочника типов и модификаций ПУ. Обязательный к заполнению атрибут для всех измерительных приборов, кроме измерительных приборов источников измерения СО</w:t>
            </w:r>
            <w:r w:rsidRPr="00A5626D" w:rsidDel="00B446E0">
              <w:rPr>
                <w:rFonts w:ascii="Garamond" w:hAnsi="Garamond" w:cstheme="minorHAnsi"/>
                <w:sz w:val="22"/>
                <w:szCs w:val="22"/>
              </w:rPr>
              <w:t xml:space="preserve"> </w:t>
            </w:r>
            <w:r w:rsidRPr="00A5626D">
              <w:rPr>
                <w:rFonts w:ascii="Garamond" w:hAnsi="Garamond" w:cstheme="minorHAnsi"/>
                <w:sz w:val="22"/>
                <w:szCs w:val="22"/>
              </w:rPr>
              <w:t>(</w:t>
            </w:r>
            <w:r w:rsidRPr="00A5626D">
              <w:rPr>
                <w:rFonts w:ascii="Garamond" w:hAnsi="Garamond" w:cstheme="minorHAnsi"/>
                <w:sz w:val="22"/>
                <w:szCs w:val="22"/>
                <w:lang w:val="en-US"/>
              </w:rPr>
              <w:t>type</w:t>
            </w:r>
            <w:r w:rsidRPr="00A5626D">
              <w:rPr>
                <w:rFonts w:ascii="Garamond" w:hAnsi="Garamond" w:cstheme="minorHAnsi"/>
                <w:sz w:val="22"/>
                <w:szCs w:val="22"/>
              </w:rPr>
              <w:t>=«</w:t>
            </w:r>
            <w:r w:rsidRPr="00A5626D">
              <w:rPr>
                <w:rFonts w:ascii="Garamond" w:hAnsi="Garamond" w:cstheme="minorHAnsi"/>
                <w:sz w:val="22"/>
                <w:szCs w:val="22"/>
                <w:lang w:val="en-US"/>
              </w:rPr>
              <w:t>so</w:t>
            </w:r>
            <w:r w:rsidRPr="00A5626D">
              <w:rPr>
                <w:rFonts w:ascii="Garamond" w:hAnsi="Garamond" w:cstheme="minorHAnsi"/>
                <w:sz w:val="22"/>
                <w:szCs w:val="22"/>
              </w:rPr>
              <w:t>»). Цифровое поле длиной не более 4 символов;</w:t>
            </w:r>
          </w:p>
          <w:p w14:paraId="711483CB" w14:textId="77777777" w:rsidR="00295C6D" w:rsidRPr="00A5626D" w:rsidRDefault="00295C6D" w:rsidP="00295C6D">
            <w:pPr>
              <w:widowControl w:val="0"/>
              <w:numPr>
                <w:ilvl w:val="0"/>
                <w:numId w:val="240"/>
              </w:numPr>
              <w:tabs>
                <w:tab w:val="left" w:pos="1134"/>
                <w:tab w:val="left" w:pos="7938"/>
              </w:tabs>
              <w:suppressAutoHyphens w:val="0"/>
              <w:autoSpaceDE w:val="0"/>
              <w:autoSpaceDN w:val="0"/>
              <w:adjustRightInd w:val="0"/>
              <w:spacing w:before="60" w:after="60"/>
              <w:ind w:left="0" w:firstLine="456"/>
              <w:jc w:val="both"/>
              <w:rPr>
                <w:rFonts w:ascii="Garamond" w:hAnsi="Garamond" w:cstheme="minorHAnsi"/>
                <w:sz w:val="22"/>
                <w:szCs w:val="22"/>
              </w:rPr>
            </w:pPr>
            <w:r w:rsidRPr="00A5626D">
              <w:rPr>
                <w:rFonts w:ascii="Garamond" w:hAnsi="Garamond" w:cstheme="minorHAnsi"/>
                <w:sz w:val="22"/>
                <w:szCs w:val="22"/>
                <w:lang w:val="en-US"/>
              </w:rPr>
              <w:t>so</w:t>
            </w:r>
            <w:r w:rsidRPr="00A5626D">
              <w:rPr>
                <w:rFonts w:ascii="Garamond" w:hAnsi="Garamond" w:cstheme="minorHAnsi"/>
                <w:sz w:val="22"/>
                <w:szCs w:val="22"/>
              </w:rPr>
              <w:t>-</w:t>
            </w:r>
            <w:r w:rsidRPr="00A5626D">
              <w:rPr>
                <w:rFonts w:ascii="Garamond" w:hAnsi="Garamond" w:cstheme="minorHAnsi"/>
                <w:sz w:val="22"/>
                <w:szCs w:val="22"/>
                <w:lang w:val="en-US"/>
              </w:rPr>
              <w:t>device</w:t>
            </w:r>
            <w:r w:rsidRPr="00A5626D">
              <w:rPr>
                <w:rFonts w:ascii="Garamond" w:hAnsi="Garamond" w:cstheme="minorHAnsi"/>
                <w:sz w:val="22"/>
                <w:szCs w:val="22"/>
              </w:rPr>
              <w:t>-</w:t>
            </w:r>
            <w:r w:rsidRPr="00A5626D">
              <w:rPr>
                <w:rFonts w:ascii="Garamond" w:hAnsi="Garamond" w:cstheme="minorHAnsi"/>
                <w:sz w:val="22"/>
                <w:szCs w:val="22"/>
                <w:lang w:val="en-US"/>
              </w:rPr>
              <w:t>modification</w:t>
            </w:r>
            <w:r w:rsidRPr="00A5626D">
              <w:rPr>
                <w:rFonts w:ascii="Garamond" w:hAnsi="Garamond" w:cstheme="minorHAnsi"/>
                <w:sz w:val="22"/>
                <w:szCs w:val="22"/>
              </w:rPr>
              <w:t>-</w:t>
            </w:r>
            <w:r w:rsidRPr="00A5626D">
              <w:rPr>
                <w:rFonts w:ascii="Garamond" w:hAnsi="Garamond" w:cstheme="minorHAnsi"/>
                <w:sz w:val="22"/>
                <w:szCs w:val="22"/>
                <w:lang w:val="en-US"/>
              </w:rPr>
              <w:t>name</w:t>
            </w:r>
            <w:r w:rsidRPr="00A5626D">
              <w:rPr>
                <w:rFonts w:ascii="Garamond" w:hAnsi="Garamond" w:cstheme="minorHAnsi"/>
                <w:sz w:val="22"/>
                <w:szCs w:val="22"/>
              </w:rPr>
              <w:t xml:space="preserve"> – наименование параметра телеизмерения активной мощности по ЕГО (их совокупности) или по линиям электропередач (их совокупности), информация об использовании псевдоизмерений</w:t>
            </w:r>
            <w:r w:rsidRPr="00A5626D">
              <w:rPr>
                <w:rFonts w:ascii="Garamond" w:hAnsi="Garamond" w:cstheme="minorHAnsi"/>
                <w:iCs/>
                <w:sz w:val="22"/>
                <w:szCs w:val="22"/>
              </w:rPr>
              <w:t xml:space="preserve">. Текстовое поле длиной не более 80 символов. Является обязательным, </w:t>
            </w:r>
            <w:r w:rsidRPr="00A5626D">
              <w:rPr>
                <w:rFonts w:ascii="Garamond" w:hAnsi="Garamond" w:cstheme="minorHAnsi"/>
                <w:sz w:val="22"/>
                <w:szCs w:val="22"/>
              </w:rPr>
              <w:t>когда атрибут measuring-point-type = «so»;</w:t>
            </w:r>
          </w:p>
          <w:p w14:paraId="3B10EE2F" w14:textId="77777777" w:rsidR="00295C6D" w:rsidRPr="00A5626D" w:rsidRDefault="00295C6D" w:rsidP="00295C6D">
            <w:pPr>
              <w:widowControl w:val="0"/>
              <w:numPr>
                <w:ilvl w:val="0"/>
                <w:numId w:val="240"/>
              </w:numPr>
              <w:tabs>
                <w:tab w:val="left" w:pos="1134"/>
                <w:tab w:val="left" w:pos="7938"/>
              </w:tabs>
              <w:suppressAutoHyphens w:val="0"/>
              <w:autoSpaceDE w:val="0"/>
              <w:autoSpaceDN w:val="0"/>
              <w:adjustRightInd w:val="0"/>
              <w:spacing w:before="60" w:after="60"/>
              <w:ind w:left="0" w:firstLine="456"/>
              <w:jc w:val="both"/>
              <w:rPr>
                <w:rFonts w:ascii="Garamond" w:hAnsi="Garamond" w:cstheme="minorHAnsi"/>
                <w:sz w:val="22"/>
                <w:szCs w:val="22"/>
              </w:rPr>
            </w:pPr>
            <w:r w:rsidRPr="00A5626D">
              <w:rPr>
                <w:rFonts w:ascii="Garamond" w:hAnsi="Garamond" w:cstheme="minorHAnsi"/>
                <w:sz w:val="22"/>
                <w:szCs w:val="22"/>
                <w:lang w:val="en-US"/>
              </w:rPr>
              <w:t>is</w:t>
            </w:r>
            <w:r w:rsidRPr="00A5626D">
              <w:rPr>
                <w:rFonts w:ascii="Garamond" w:hAnsi="Garamond" w:cstheme="minorHAnsi"/>
                <w:sz w:val="22"/>
                <w:szCs w:val="22"/>
              </w:rPr>
              <w:t>-</w:t>
            </w:r>
            <w:r w:rsidRPr="00A5626D">
              <w:rPr>
                <w:rFonts w:ascii="Garamond" w:hAnsi="Garamond" w:cstheme="minorHAnsi"/>
                <w:sz w:val="22"/>
                <w:szCs w:val="22"/>
                <w:lang w:val="en-US"/>
              </w:rPr>
              <w:t>for</w:t>
            </w:r>
            <w:r w:rsidRPr="00A5626D">
              <w:rPr>
                <w:rFonts w:ascii="Garamond" w:hAnsi="Garamond" w:cstheme="minorHAnsi"/>
                <w:sz w:val="22"/>
                <w:szCs w:val="22"/>
              </w:rPr>
              <w:t>-</w:t>
            </w:r>
            <w:r w:rsidRPr="00A5626D">
              <w:rPr>
                <w:rFonts w:ascii="Garamond" w:hAnsi="Garamond" w:cstheme="minorHAnsi"/>
                <w:sz w:val="22"/>
                <w:szCs w:val="22"/>
                <w:lang w:val="en-US"/>
              </w:rPr>
              <w:t>coding</w:t>
            </w:r>
            <w:r w:rsidRPr="00A5626D">
              <w:rPr>
                <w:rFonts w:ascii="Garamond" w:hAnsi="Garamond" w:cstheme="minorHAnsi"/>
                <w:sz w:val="22"/>
                <w:szCs w:val="22"/>
              </w:rPr>
              <w:t xml:space="preserve"> – признак, определяющий необходимость кодирования данного </w:t>
            </w:r>
            <w:r w:rsidRPr="00A5626D">
              <w:rPr>
                <w:rFonts w:ascii="Garamond" w:hAnsi="Garamond" w:cstheme="minorHAnsi"/>
                <w:sz w:val="22"/>
                <w:szCs w:val="22"/>
                <w:highlight w:val="yellow"/>
              </w:rPr>
              <w:t>ПУ</w:t>
            </w:r>
            <w:r w:rsidRPr="00A5626D">
              <w:rPr>
                <w:rFonts w:ascii="Garamond" w:hAnsi="Garamond" w:cstheme="minorHAnsi"/>
                <w:sz w:val="22"/>
                <w:szCs w:val="22"/>
              </w:rPr>
              <w:t>. Обязательный к заполнению атрибут для всех измерительных приборов. Принимает значение «</w:t>
            </w:r>
            <w:r w:rsidRPr="00A5626D">
              <w:rPr>
                <w:rFonts w:ascii="Garamond" w:hAnsi="Garamond" w:cstheme="minorHAnsi"/>
                <w:sz w:val="22"/>
                <w:szCs w:val="22"/>
                <w:lang w:val="en-US"/>
              </w:rPr>
              <w:t>true</w:t>
            </w:r>
            <w:r w:rsidRPr="00A5626D">
              <w:rPr>
                <w:rFonts w:ascii="Garamond" w:hAnsi="Garamond" w:cstheme="minorHAnsi"/>
                <w:sz w:val="22"/>
                <w:szCs w:val="22"/>
              </w:rPr>
              <w:t>», если данный ПУ необходимо кодировать, «</w:t>
            </w:r>
            <w:r w:rsidRPr="00A5626D">
              <w:rPr>
                <w:rFonts w:ascii="Garamond" w:hAnsi="Garamond" w:cstheme="minorHAnsi"/>
                <w:sz w:val="22"/>
                <w:szCs w:val="22"/>
                <w:lang w:val="en-US"/>
              </w:rPr>
              <w:t>false</w:t>
            </w:r>
            <w:r w:rsidRPr="00A5626D">
              <w:rPr>
                <w:rFonts w:ascii="Garamond" w:hAnsi="Garamond" w:cstheme="minorHAnsi"/>
                <w:sz w:val="22"/>
                <w:szCs w:val="22"/>
              </w:rPr>
              <w:t xml:space="preserve">», если данный ПУ не предназначен для кодирования. Для параметров СО с </w:t>
            </w:r>
            <w:r w:rsidRPr="00A5626D">
              <w:rPr>
                <w:rFonts w:ascii="Garamond" w:hAnsi="Garamond" w:cstheme="minorHAnsi"/>
                <w:sz w:val="22"/>
                <w:szCs w:val="22"/>
                <w:lang w:val="en-US"/>
              </w:rPr>
              <w:t>type</w:t>
            </w:r>
            <w:r w:rsidRPr="00A5626D">
              <w:rPr>
                <w:rFonts w:ascii="Garamond" w:hAnsi="Garamond" w:cstheme="minorHAnsi"/>
                <w:sz w:val="22"/>
                <w:szCs w:val="22"/>
              </w:rPr>
              <w:t>=«</w:t>
            </w:r>
            <w:r w:rsidRPr="00A5626D">
              <w:rPr>
                <w:rFonts w:ascii="Garamond" w:hAnsi="Garamond" w:cstheme="minorHAnsi"/>
                <w:sz w:val="22"/>
                <w:szCs w:val="22"/>
                <w:lang w:val="en-US"/>
              </w:rPr>
              <w:t>so</w:t>
            </w:r>
            <w:r w:rsidRPr="00A5626D">
              <w:rPr>
                <w:rFonts w:ascii="Garamond" w:hAnsi="Garamond" w:cstheme="minorHAnsi"/>
                <w:sz w:val="22"/>
                <w:szCs w:val="22"/>
              </w:rPr>
              <w:t>» значение должно быть «</w:t>
            </w:r>
            <w:r w:rsidRPr="00A5626D">
              <w:rPr>
                <w:rFonts w:ascii="Garamond" w:hAnsi="Garamond" w:cstheme="minorHAnsi"/>
                <w:sz w:val="22"/>
                <w:szCs w:val="22"/>
                <w:lang w:val="en-US"/>
              </w:rPr>
              <w:t>false</w:t>
            </w:r>
            <w:r w:rsidRPr="00A5626D">
              <w:rPr>
                <w:rFonts w:ascii="Garamond" w:hAnsi="Garamond" w:cstheme="minorHAnsi"/>
                <w:sz w:val="22"/>
                <w:szCs w:val="22"/>
              </w:rPr>
              <w:t>»;</w:t>
            </w:r>
          </w:p>
          <w:p w14:paraId="138E5DEA" w14:textId="77777777" w:rsidR="00295C6D" w:rsidRPr="00A5626D" w:rsidRDefault="00295C6D" w:rsidP="00295C6D">
            <w:pPr>
              <w:widowControl w:val="0"/>
              <w:numPr>
                <w:ilvl w:val="0"/>
                <w:numId w:val="240"/>
              </w:numPr>
              <w:tabs>
                <w:tab w:val="left" w:pos="1134"/>
                <w:tab w:val="left" w:pos="7938"/>
              </w:tabs>
              <w:suppressAutoHyphens w:val="0"/>
              <w:autoSpaceDE w:val="0"/>
              <w:autoSpaceDN w:val="0"/>
              <w:adjustRightInd w:val="0"/>
              <w:spacing w:before="60" w:after="60"/>
              <w:ind w:left="0" w:firstLine="456"/>
              <w:jc w:val="both"/>
              <w:rPr>
                <w:rFonts w:ascii="Garamond" w:hAnsi="Garamond" w:cstheme="minorHAnsi"/>
                <w:sz w:val="22"/>
                <w:szCs w:val="22"/>
              </w:rPr>
            </w:pPr>
            <w:r w:rsidRPr="00A5626D">
              <w:rPr>
                <w:rFonts w:ascii="Garamond" w:hAnsi="Garamond" w:cstheme="minorHAnsi"/>
                <w:sz w:val="22"/>
                <w:szCs w:val="22"/>
                <w:lang w:val="en-US"/>
              </w:rPr>
              <w:t>precision</w:t>
            </w:r>
            <w:r w:rsidRPr="00A5626D">
              <w:rPr>
                <w:rFonts w:ascii="Garamond" w:hAnsi="Garamond" w:cstheme="minorHAnsi"/>
                <w:sz w:val="22"/>
                <w:szCs w:val="22"/>
              </w:rPr>
              <w:t>-</w:t>
            </w:r>
            <w:r w:rsidRPr="00A5626D">
              <w:rPr>
                <w:rFonts w:ascii="Garamond" w:hAnsi="Garamond" w:cstheme="minorHAnsi"/>
                <w:sz w:val="22"/>
                <w:szCs w:val="22"/>
                <w:lang w:val="en-US"/>
              </w:rPr>
              <w:t>class</w:t>
            </w:r>
            <w:r w:rsidRPr="00A5626D">
              <w:rPr>
                <w:rFonts w:ascii="Garamond" w:hAnsi="Garamond" w:cstheme="minorHAnsi"/>
                <w:sz w:val="22"/>
                <w:szCs w:val="22"/>
              </w:rPr>
              <w:t>-</w:t>
            </w:r>
            <w:r w:rsidRPr="00A5626D">
              <w:rPr>
                <w:rFonts w:ascii="Garamond" w:hAnsi="Garamond" w:cstheme="minorHAnsi"/>
                <w:sz w:val="22"/>
                <w:szCs w:val="22"/>
                <w:lang w:val="en-US"/>
              </w:rPr>
              <w:t>active</w:t>
            </w:r>
            <w:r w:rsidRPr="00A5626D">
              <w:rPr>
                <w:rFonts w:ascii="Garamond" w:hAnsi="Garamond" w:cstheme="minorHAnsi"/>
                <w:sz w:val="22"/>
                <w:szCs w:val="22"/>
              </w:rPr>
              <w:t xml:space="preserve"> – класс точности ПУ по активной энергии. Принимает значения из числа допустимых классов точности для данной модификации, указанных в справочнике типов и модификаций ПУ. В качестве десятичного разделителя должна быть использована точка. Обязательный атрибут для ПУ, обеспечивающих возможность измерения активной энергии</w:t>
            </w:r>
            <w:r w:rsidRPr="00A5626D">
              <w:rPr>
                <w:rFonts w:ascii="Garamond" w:eastAsia="Calibri" w:hAnsi="Garamond" w:cstheme="minorHAnsi"/>
                <w:bCs/>
                <w:sz w:val="22"/>
                <w:szCs w:val="22"/>
              </w:rPr>
              <w:t>. Указывается справочно</w:t>
            </w:r>
            <w:r w:rsidRPr="00A5626D">
              <w:rPr>
                <w:rFonts w:ascii="Garamond" w:hAnsi="Garamond" w:cstheme="minorHAnsi"/>
                <w:sz w:val="22"/>
                <w:szCs w:val="22"/>
              </w:rPr>
              <w:t>;</w:t>
            </w:r>
          </w:p>
          <w:p w14:paraId="57B58F81" w14:textId="77777777" w:rsidR="00295C6D" w:rsidRPr="00A5626D" w:rsidRDefault="00295C6D" w:rsidP="00295C6D">
            <w:pPr>
              <w:widowControl w:val="0"/>
              <w:numPr>
                <w:ilvl w:val="0"/>
                <w:numId w:val="240"/>
              </w:numPr>
              <w:tabs>
                <w:tab w:val="left" w:pos="1134"/>
                <w:tab w:val="left" w:pos="7938"/>
              </w:tabs>
              <w:suppressAutoHyphens w:val="0"/>
              <w:autoSpaceDE w:val="0"/>
              <w:autoSpaceDN w:val="0"/>
              <w:adjustRightInd w:val="0"/>
              <w:spacing w:before="60" w:after="60"/>
              <w:ind w:left="0" w:firstLine="456"/>
              <w:jc w:val="both"/>
              <w:rPr>
                <w:rFonts w:ascii="Garamond" w:hAnsi="Garamond" w:cstheme="minorHAnsi"/>
                <w:sz w:val="22"/>
                <w:szCs w:val="22"/>
              </w:rPr>
            </w:pPr>
            <w:r w:rsidRPr="00A5626D">
              <w:rPr>
                <w:rFonts w:ascii="Garamond" w:hAnsi="Garamond" w:cstheme="minorHAnsi"/>
                <w:sz w:val="22"/>
                <w:szCs w:val="22"/>
                <w:lang w:val="en-US"/>
              </w:rPr>
              <w:t>precision</w:t>
            </w:r>
            <w:r w:rsidRPr="00A5626D">
              <w:rPr>
                <w:rFonts w:ascii="Garamond" w:hAnsi="Garamond" w:cstheme="minorHAnsi"/>
                <w:sz w:val="22"/>
                <w:szCs w:val="22"/>
              </w:rPr>
              <w:t>-</w:t>
            </w:r>
            <w:r w:rsidRPr="00A5626D">
              <w:rPr>
                <w:rFonts w:ascii="Garamond" w:hAnsi="Garamond" w:cstheme="minorHAnsi"/>
                <w:sz w:val="22"/>
                <w:szCs w:val="22"/>
                <w:lang w:val="en-US"/>
              </w:rPr>
              <w:t>class</w:t>
            </w:r>
            <w:r w:rsidRPr="00A5626D">
              <w:rPr>
                <w:rFonts w:ascii="Garamond" w:hAnsi="Garamond" w:cstheme="minorHAnsi"/>
                <w:sz w:val="22"/>
                <w:szCs w:val="22"/>
              </w:rPr>
              <w:t>-</w:t>
            </w:r>
            <w:r w:rsidRPr="00A5626D">
              <w:rPr>
                <w:rFonts w:ascii="Garamond" w:hAnsi="Garamond" w:cstheme="minorHAnsi"/>
                <w:sz w:val="22"/>
                <w:szCs w:val="22"/>
                <w:lang w:val="en-US"/>
              </w:rPr>
              <w:t>reactive</w:t>
            </w:r>
            <w:r w:rsidRPr="00A5626D">
              <w:rPr>
                <w:rFonts w:ascii="Garamond" w:hAnsi="Garamond" w:cstheme="minorHAnsi"/>
                <w:sz w:val="22"/>
                <w:szCs w:val="22"/>
              </w:rPr>
              <w:t xml:space="preserve"> – класс точности ПУ по реактивной энергии. Принимает значения из числа допустимых классов точности для данной модификации, указанных в справочнике типов и модификаций ПУ. В качестве десятичного разделителя должна быть использована точка. </w:t>
            </w:r>
            <w:r w:rsidRPr="00A5626D">
              <w:rPr>
                <w:rFonts w:ascii="Garamond" w:hAnsi="Garamond" w:cstheme="minorHAnsi"/>
                <w:sz w:val="22"/>
                <w:szCs w:val="22"/>
              </w:rPr>
              <w:lastRenderedPageBreak/>
              <w:t>Обязательный атрибут для ПУ, обеспечивающих возможность измерения реактивной энергии</w:t>
            </w:r>
            <w:r w:rsidRPr="00A5626D">
              <w:rPr>
                <w:rFonts w:ascii="Garamond" w:eastAsia="Calibri" w:hAnsi="Garamond" w:cstheme="minorHAnsi"/>
                <w:bCs/>
                <w:sz w:val="22"/>
                <w:szCs w:val="22"/>
              </w:rPr>
              <w:t>. Указывается справочно</w:t>
            </w:r>
            <w:r w:rsidRPr="00A5626D">
              <w:rPr>
                <w:rFonts w:ascii="Garamond" w:hAnsi="Garamond" w:cstheme="minorHAnsi"/>
                <w:sz w:val="22"/>
                <w:szCs w:val="22"/>
              </w:rPr>
              <w:t>;</w:t>
            </w:r>
          </w:p>
          <w:p w14:paraId="6B4F3C39" w14:textId="77777777" w:rsidR="00295C6D" w:rsidRPr="00A5626D" w:rsidRDefault="00295C6D" w:rsidP="00295C6D">
            <w:pPr>
              <w:widowControl w:val="0"/>
              <w:numPr>
                <w:ilvl w:val="0"/>
                <w:numId w:val="240"/>
              </w:numPr>
              <w:tabs>
                <w:tab w:val="left" w:pos="1134"/>
                <w:tab w:val="left" w:pos="7938"/>
              </w:tabs>
              <w:suppressAutoHyphens w:val="0"/>
              <w:autoSpaceDE w:val="0"/>
              <w:autoSpaceDN w:val="0"/>
              <w:adjustRightInd w:val="0"/>
              <w:spacing w:before="60" w:after="60"/>
              <w:ind w:left="0" w:firstLine="456"/>
              <w:jc w:val="both"/>
              <w:rPr>
                <w:rFonts w:ascii="Garamond" w:hAnsi="Garamond" w:cstheme="minorHAnsi"/>
                <w:sz w:val="22"/>
                <w:szCs w:val="22"/>
              </w:rPr>
            </w:pPr>
            <w:r w:rsidRPr="00A5626D">
              <w:rPr>
                <w:rFonts w:ascii="Garamond" w:hAnsi="Garamond" w:cstheme="minorHAnsi"/>
                <w:sz w:val="22"/>
                <w:szCs w:val="22"/>
                <w:lang w:val="en-US"/>
              </w:rPr>
              <w:t>ats</w:t>
            </w:r>
            <w:r w:rsidRPr="00A5626D">
              <w:rPr>
                <w:rFonts w:ascii="Garamond" w:hAnsi="Garamond" w:cstheme="minorHAnsi"/>
                <w:sz w:val="22"/>
                <w:szCs w:val="22"/>
              </w:rPr>
              <w:t>-</w:t>
            </w:r>
            <w:r w:rsidRPr="00A5626D">
              <w:rPr>
                <w:rFonts w:ascii="Garamond" w:hAnsi="Garamond" w:cstheme="minorHAnsi"/>
                <w:sz w:val="22"/>
                <w:szCs w:val="22"/>
                <w:lang w:val="en-US"/>
              </w:rPr>
              <w:t>code</w:t>
            </w:r>
            <w:r w:rsidRPr="00A5626D">
              <w:rPr>
                <w:rFonts w:ascii="Garamond" w:hAnsi="Garamond" w:cstheme="minorHAnsi"/>
                <w:sz w:val="22"/>
                <w:szCs w:val="22"/>
              </w:rPr>
              <w:t xml:space="preserve"> – уникальный код, присвоенный КО прибору учета. Необязательный атрибут. Является числом из двух символов;</w:t>
            </w:r>
          </w:p>
          <w:p w14:paraId="59C65A48" w14:textId="77777777" w:rsidR="00295C6D" w:rsidRPr="00A5626D" w:rsidRDefault="00295C6D" w:rsidP="00295C6D">
            <w:pPr>
              <w:widowControl w:val="0"/>
              <w:numPr>
                <w:ilvl w:val="0"/>
                <w:numId w:val="240"/>
              </w:numPr>
              <w:tabs>
                <w:tab w:val="left" w:pos="1134"/>
                <w:tab w:val="left" w:pos="7938"/>
              </w:tabs>
              <w:suppressAutoHyphens w:val="0"/>
              <w:autoSpaceDE w:val="0"/>
              <w:autoSpaceDN w:val="0"/>
              <w:adjustRightInd w:val="0"/>
              <w:spacing w:before="60" w:after="60"/>
              <w:ind w:left="0" w:firstLine="456"/>
              <w:jc w:val="both"/>
              <w:rPr>
                <w:rFonts w:ascii="Garamond" w:hAnsi="Garamond" w:cstheme="minorHAnsi"/>
                <w:sz w:val="22"/>
                <w:szCs w:val="22"/>
              </w:rPr>
            </w:pPr>
            <w:r w:rsidRPr="00A5626D">
              <w:rPr>
                <w:rFonts w:ascii="Garamond" w:hAnsi="Garamond" w:cstheme="minorHAnsi"/>
                <w:sz w:val="22"/>
                <w:szCs w:val="22"/>
                <w:lang w:val="en-US"/>
              </w:rPr>
              <w:t>id</w:t>
            </w:r>
            <w:r w:rsidRPr="00A5626D">
              <w:rPr>
                <w:rFonts w:ascii="Garamond" w:hAnsi="Garamond" w:cstheme="minorHAnsi"/>
                <w:sz w:val="22"/>
                <w:szCs w:val="22"/>
              </w:rPr>
              <w:t>-</w:t>
            </w:r>
            <w:r w:rsidRPr="00A5626D">
              <w:rPr>
                <w:rFonts w:ascii="Garamond" w:hAnsi="Garamond" w:cstheme="minorHAnsi"/>
                <w:sz w:val="22"/>
                <w:szCs w:val="22"/>
                <w:lang w:val="en-US"/>
              </w:rPr>
              <w:t>measuring</w:t>
            </w:r>
            <w:r w:rsidRPr="00A5626D">
              <w:rPr>
                <w:rFonts w:ascii="Garamond" w:hAnsi="Garamond" w:cstheme="minorHAnsi"/>
                <w:sz w:val="22"/>
                <w:szCs w:val="22"/>
              </w:rPr>
              <w:t>-</w:t>
            </w:r>
            <w:r w:rsidRPr="00A5626D">
              <w:rPr>
                <w:rFonts w:ascii="Garamond" w:hAnsi="Garamond" w:cstheme="minorHAnsi"/>
                <w:sz w:val="22"/>
                <w:szCs w:val="22"/>
                <w:lang w:val="en-US"/>
              </w:rPr>
              <w:t>device</w:t>
            </w:r>
            <w:r w:rsidRPr="00A5626D">
              <w:rPr>
                <w:rFonts w:ascii="Garamond" w:hAnsi="Garamond" w:cstheme="minorHAnsi"/>
                <w:sz w:val="22"/>
                <w:szCs w:val="22"/>
              </w:rPr>
              <w:t xml:space="preserve"> – внутренний идентификатор прибора учета, используемый в элементах макета в качестве ссылок. Число до 4 знаков (1, 01, 001 и 0001 считаются одинаковыми идентификаторами). Является обязательным атрибутом; </w:t>
            </w:r>
          </w:p>
          <w:p w14:paraId="29825480" w14:textId="1538330A" w:rsidR="00295C6D" w:rsidRPr="00A5626D" w:rsidRDefault="00295C6D" w:rsidP="00295C6D">
            <w:pPr>
              <w:widowControl w:val="0"/>
              <w:numPr>
                <w:ilvl w:val="0"/>
                <w:numId w:val="240"/>
              </w:numPr>
              <w:tabs>
                <w:tab w:val="left" w:pos="1134"/>
                <w:tab w:val="left" w:pos="7938"/>
              </w:tabs>
              <w:suppressAutoHyphens w:val="0"/>
              <w:autoSpaceDE w:val="0"/>
              <w:autoSpaceDN w:val="0"/>
              <w:adjustRightInd w:val="0"/>
              <w:spacing w:after="60"/>
              <w:ind w:left="0" w:firstLine="456"/>
              <w:jc w:val="both"/>
              <w:rPr>
                <w:rFonts w:ascii="Garamond" w:hAnsi="Garamond" w:cs="Times New Roman"/>
                <w:sz w:val="22"/>
                <w:szCs w:val="22"/>
                <w:highlight w:val="yellow"/>
              </w:rPr>
            </w:pPr>
            <w:r w:rsidRPr="00A5626D">
              <w:rPr>
                <w:rFonts w:ascii="Garamond" w:hAnsi="Garamond" w:cs="Times New Roman"/>
                <w:sz w:val="22"/>
                <w:szCs w:val="22"/>
                <w:highlight w:val="yellow"/>
                <w:lang w:val="en-US"/>
              </w:rPr>
              <w:t>certificate</w:t>
            </w:r>
            <w:r w:rsidRPr="00A5626D">
              <w:rPr>
                <w:rFonts w:ascii="Garamond" w:hAnsi="Garamond" w:cs="Times New Roman"/>
                <w:sz w:val="22"/>
                <w:szCs w:val="22"/>
                <w:highlight w:val="yellow"/>
              </w:rPr>
              <w:t>-</w:t>
            </w:r>
            <w:r w:rsidRPr="00A5626D">
              <w:rPr>
                <w:rFonts w:ascii="Garamond" w:hAnsi="Garamond" w:cs="Times New Roman"/>
                <w:sz w:val="22"/>
                <w:szCs w:val="22"/>
                <w:highlight w:val="yellow"/>
                <w:lang w:val="en-US"/>
              </w:rPr>
              <w:t>number</w:t>
            </w:r>
            <w:r w:rsidRPr="00A5626D">
              <w:rPr>
                <w:rFonts w:ascii="Garamond" w:hAnsi="Garamond" w:cs="Times New Roman"/>
                <w:sz w:val="22"/>
                <w:szCs w:val="22"/>
                <w:highlight w:val="yellow"/>
              </w:rPr>
              <w:t xml:space="preserve"> – номер свидетельства о поверке прибора учета. </w:t>
            </w:r>
            <w:r w:rsidR="002E762B" w:rsidRPr="00A5626D">
              <w:rPr>
                <w:rFonts w:ascii="Garamond" w:hAnsi="Garamond" w:cstheme="minorHAnsi"/>
                <w:sz w:val="22"/>
                <w:szCs w:val="22"/>
                <w:highlight w:val="yellow"/>
              </w:rPr>
              <w:t>Номер свидетельства о поверке прибора учета необходимо указывать в соответствии со сведениями, размещенными в Федеральном информационном фонде по обеспечению единства измерений, при условии, что поверка прибора учета выполнена начиная с 24.09.2020. В случае выполнения первичной поверки прибора учета до 24.09.2020 и при отсутствии сведений о результатах поверки, включенных в Федеральный информационный фонд по обеспечению единства измерений, необходимо указать «Паспорт».</w:t>
            </w:r>
            <w:r w:rsidRPr="00A5626D">
              <w:rPr>
                <w:rFonts w:ascii="Garamond" w:hAnsi="Garamond" w:cstheme="minorHAnsi"/>
                <w:sz w:val="22"/>
                <w:szCs w:val="22"/>
                <w:highlight w:val="yellow"/>
              </w:rPr>
              <w:t xml:space="preserve"> </w:t>
            </w:r>
            <w:r w:rsidRPr="00A5626D">
              <w:rPr>
                <w:rFonts w:ascii="Garamond" w:hAnsi="Garamond" w:cs="Times New Roman"/>
                <w:sz w:val="22"/>
                <w:szCs w:val="22"/>
                <w:highlight w:val="yellow"/>
              </w:rPr>
              <w:t>Обязательный атрибут для всех приборов учета. Текстовое поле до 30 символов. Допускаетс</w:t>
            </w:r>
            <w:r w:rsidR="00C6418D">
              <w:rPr>
                <w:rFonts w:ascii="Garamond" w:hAnsi="Garamond" w:cs="Times New Roman"/>
                <w:sz w:val="22"/>
                <w:szCs w:val="22"/>
                <w:highlight w:val="yellow"/>
              </w:rPr>
              <w:t>я ввод символов -/.</w:t>
            </w:r>
            <w:r w:rsidRPr="00A5626D">
              <w:rPr>
                <w:rFonts w:ascii="Garamond" w:hAnsi="Garamond" w:cs="Times New Roman"/>
                <w:sz w:val="22"/>
                <w:szCs w:val="22"/>
                <w:highlight w:val="yellow"/>
              </w:rPr>
              <w:t xml:space="preserve"> </w:t>
            </w:r>
            <w:r w:rsidRPr="00A5626D">
              <w:rPr>
                <w:rFonts w:ascii="Garamond" w:eastAsiaTheme="minorEastAsia" w:hAnsi="Garamond" w:cs="Times New Roman"/>
                <w:sz w:val="22"/>
                <w:szCs w:val="22"/>
                <w:highlight w:val="yellow"/>
              </w:rPr>
              <w:t>Заполняется только для ОР</w:t>
            </w:r>
            <w:r w:rsidRPr="00A5626D">
              <w:rPr>
                <w:rFonts w:ascii="Garamond" w:hAnsi="Garamond" w:cs="Times New Roman"/>
                <w:sz w:val="22"/>
                <w:szCs w:val="22"/>
                <w:highlight w:val="yellow"/>
              </w:rPr>
              <w:t>;</w:t>
            </w:r>
          </w:p>
          <w:p w14:paraId="07F06BE6" w14:textId="32A5BBDC" w:rsidR="00295C6D" w:rsidRPr="00A5626D" w:rsidRDefault="00295C6D" w:rsidP="00295C6D">
            <w:pPr>
              <w:widowControl w:val="0"/>
              <w:numPr>
                <w:ilvl w:val="0"/>
                <w:numId w:val="240"/>
              </w:numPr>
              <w:tabs>
                <w:tab w:val="left" w:pos="1134"/>
                <w:tab w:val="left" w:pos="7938"/>
              </w:tabs>
              <w:suppressAutoHyphens w:val="0"/>
              <w:autoSpaceDE w:val="0"/>
              <w:autoSpaceDN w:val="0"/>
              <w:adjustRightInd w:val="0"/>
              <w:spacing w:before="60" w:after="60"/>
              <w:ind w:left="0" w:firstLine="456"/>
              <w:jc w:val="both"/>
              <w:rPr>
                <w:rFonts w:ascii="Garamond" w:eastAsiaTheme="minorEastAsia" w:hAnsi="Garamond" w:cs="Times New Roman"/>
                <w:sz w:val="22"/>
                <w:szCs w:val="22"/>
              </w:rPr>
            </w:pPr>
            <w:r w:rsidRPr="00A5626D">
              <w:rPr>
                <w:rFonts w:ascii="Garamond" w:hAnsi="Garamond" w:cs="Times New Roman"/>
                <w:sz w:val="22"/>
                <w:szCs w:val="22"/>
                <w:highlight w:val="yellow"/>
                <w:lang w:val="en-US"/>
              </w:rPr>
              <w:t>certificate</w:t>
            </w:r>
            <w:r w:rsidRPr="00A5626D">
              <w:rPr>
                <w:rFonts w:ascii="Garamond" w:hAnsi="Garamond" w:cs="Times New Roman"/>
                <w:sz w:val="22"/>
                <w:szCs w:val="22"/>
                <w:highlight w:val="yellow"/>
              </w:rPr>
              <w:t>-</w:t>
            </w:r>
            <w:r w:rsidRPr="00A5626D">
              <w:rPr>
                <w:rFonts w:ascii="Garamond" w:hAnsi="Garamond" w:cs="Times New Roman"/>
                <w:sz w:val="22"/>
                <w:szCs w:val="22"/>
                <w:highlight w:val="yellow"/>
                <w:lang w:val="en-US"/>
              </w:rPr>
              <w:t>expiration</w:t>
            </w:r>
            <w:r w:rsidRPr="00A5626D">
              <w:rPr>
                <w:rFonts w:ascii="Garamond" w:hAnsi="Garamond" w:cs="Times New Roman"/>
                <w:sz w:val="22"/>
                <w:szCs w:val="22"/>
                <w:highlight w:val="yellow"/>
              </w:rPr>
              <w:t>-</w:t>
            </w:r>
            <w:r w:rsidRPr="00A5626D">
              <w:rPr>
                <w:rFonts w:ascii="Garamond" w:hAnsi="Garamond" w:cs="Times New Roman"/>
                <w:sz w:val="22"/>
                <w:szCs w:val="22"/>
                <w:highlight w:val="yellow"/>
                <w:lang w:val="en-US"/>
              </w:rPr>
              <w:t>date</w:t>
            </w:r>
            <w:r w:rsidRPr="00A5626D">
              <w:rPr>
                <w:rFonts w:ascii="Garamond" w:hAnsi="Garamond" w:cs="Times New Roman"/>
                <w:sz w:val="22"/>
                <w:szCs w:val="22"/>
                <w:highlight w:val="yellow"/>
              </w:rPr>
              <w:t xml:space="preserve"> – срок действия свидетельства о поверке прибора учета. Дата в формате «</w:t>
            </w:r>
            <w:r w:rsidR="00FE2ABB">
              <w:rPr>
                <w:rFonts w:ascii="Garamond" w:hAnsi="Garamond" w:cs="Times New Roman"/>
                <w:sz w:val="22"/>
                <w:szCs w:val="22"/>
                <w:highlight w:val="yellow"/>
              </w:rPr>
              <w:t>ГГГГММДД</w:t>
            </w:r>
            <w:bookmarkStart w:id="138" w:name="_GoBack"/>
            <w:bookmarkEnd w:id="138"/>
            <w:r w:rsidRPr="00A5626D">
              <w:rPr>
                <w:rFonts w:ascii="Garamond" w:hAnsi="Garamond" w:cs="Times New Roman"/>
                <w:sz w:val="22"/>
                <w:szCs w:val="22"/>
                <w:highlight w:val="yellow"/>
              </w:rPr>
              <w:t xml:space="preserve">». Является обязательным атрибутом. Не допускается указывать дату меньше текущей даты. </w:t>
            </w:r>
            <w:r w:rsidRPr="00A5626D">
              <w:rPr>
                <w:rFonts w:ascii="Garamond" w:eastAsiaTheme="minorEastAsia" w:hAnsi="Garamond" w:cs="Times New Roman"/>
                <w:sz w:val="22"/>
                <w:szCs w:val="22"/>
                <w:highlight w:val="yellow"/>
              </w:rPr>
              <w:t>Заполняется только для ОР</w:t>
            </w:r>
            <w:r w:rsidRPr="00A5626D">
              <w:rPr>
                <w:rFonts w:ascii="Garamond" w:eastAsiaTheme="minorEastAsia" w:hAnsi="Garamond" w:cs="Times New Roman"/>
                <w:sz w:val="22"/>
                <w:szCs w:val="22"/>
              </w:rPr>
              <w:t>;</w:t>
            </w:r>
          </w:p>
          <w:p w14:paraId="2D680F47" w14:textId="6F9DB0E4" w:rsidR="00295C6D" w:rsidRPr="00A5626D" w:rsidRDefault="00295C6D" w:rsidP="00295C6D">
            <w:pPr>
              <w:widowControl w:val="0"/>
              <w:numPr>
                <w:ilvl w:val="0"/>
                <w:numId w:val="240"/>
              </w:numPr>
              <w:tabs>
                <w:tab w:val="left" w:pos="1134"/>
                <w:tab w:val="left" w:pos="7938"/>
              </w:tabs>
              <w:suppressAutoHyphens w:val="0"/>
              <w:autoSpaceDE w:val="0"/>
              <w:autoSpaceDN w:val="0"/>
              <w:adjustRightInd w:val="0"/>
              <w:spacing w:before="60" w:after="60"/>
              <w:ind w:left="0" w:firstLine="456"/>
              <w:jc w:val="both"/>
              <w:rPr>
                <w:rFonts w:ascii="Garamond" w:hAnsi="Garamond" w:cstheme="minorHAnsi"/>
                <w:sz w:val="22"/>
                <w:szCs w:val="22"/>
              </w:rPr>
            </w:pPr>
            <w:r w:rsidRPr="00A5626D">
              <w:rPr>
                <w:rFonts w:ascii="Garamond" w:hAnsi="Garamond" w:cstheme="minorHAnsi"/>
                <w:sz w:val="22"/>
                <w:szCs w:val="22"/>
                <w:lang w:val="en-US"/>
              </w:rPr>
              <w:t>serial</w:t>
            </w:r>
            <w:r w:rsidRPr="00A5626D">
              <w:rPr>
                <w:rFonts w:ascii="Garamond" w:hAnsi="Garamond" w:cstheme="minorHAnsi"/>
                <w:sz w:val="22"/>
                <w:szCs w:val="22"/>
              </w:rPr>
              <w:t xml:space="preserve">-number – серийный (заводской) номер прибора учета. </w:t>
            </w:r>
            <w:r w:rsidRPr="00A5626D">
              <w:rPr>
                <w:rFonts w:ascii="Garamond" w:hAnsi="Garamond" w:cs="Times New Roman"/>
                <w:sz w:val="22"/>
                <w:szCs w:val="22"/>
                <w:highlight w:val="yellow"/>
              </w:rPr>
              <w:t xml:space="preserve">Является обязательным атрибутом для всех приборов учета, переданных в </w:t>
            </w:r>
            <w:r w:rsidR="00E6095F">
              <w:rPr>
                <w:rFonts w:ascii="Garamond" w:hAnsi="Garamond" w:cs="Times New Roman"/>
                <w:sz w:val="22"/>
                <w:szCs w:val="22"/>
                <w:highlight w:val="yellow"/>
              </w:rPr>
              <w:t xml:space="preserve">макете </w:t>
            </w:r>
            <w:r w:rsidRPr="00A5626D">
              <w:rPr>
                <w:rFonts w:ascii="Garamond" w:hAnsi="Garamond" w:cs="Times New Roman"/>
                <w:sz w:val="22"/>
                <w:szCs w:val="22"/>
                <w:highlight w:val="yellow"/>
              </w:rPr>
              <w:t>60000 по ОР.</w:t>
            </w:r>
            <w:r w:rsidR="009B5F03" w:rsidRPr="00A5626D">
              <w:rPr>
                <w:rFonts w:ascii="Garamond" w:hAnsi="Garamond" w:cs="Times New Roman"/>
                <w:sz w:val="22"/>
                <w:szCs w:val="22"/>
                <w:highlight w:val="yellow"/>
              </w:rPr>
              <w:t xml:space="preserve"> </w:t>
            </w:r>
            <w:r w:rsidRPr="00A5626D">
              <w:rPr>
                <w:rFonts w:ascii="Garamond" w:hAnsi="Garamond" w:cstheme="minorHAnsi"/>
                <w:sz w:val="22"/>
                <w:szCs w:val="22"/>
              </w:rPr>
              <w:t xml:space="preserve">Необязательный атрибут </w:t>
            </w:r>
            <w:r w:rsidRPr="00A5626D">
              <w:rPr>
                <w:rFonts w:ascii="Garamond" w:hAnsi="Garamond" w:cs="Times New Roman"/>
                <w:sz w:val="22"/>
                <w:szCs w:val="22"/>
                <w:highlight w:val="yellow"/>
              </w:rPr>
              <w:t xml:space="preserve">в </w:t>
            </w:r>
            <w:r w:rsidR="00E6095F">
              <w:rPr>
                <w:rFonts w:ascii="Garamond" w:hAnsi="Garamond" w:cs="Times New Roman"/>
                <w:sz w:val="22"/>
                <w:szCs w:val="22"/>
                <w:highlight w:val="yellow"/>
              </w:rPr>
              <w:t xml:space="preserve">макете </w:t>
            </w:r>
            <w:r w:rsidRPr="00A5626D">
              <w:rPr>
                <w:rFonts w:ascii="Garamond" w:hAnsi="Garamond" w:cs="Times New Roman"/>
                <w:sz w:val="22"/>
                <w:szCs w:val="22"/>
                <w:highlight w:val="yellow"/>
              </w:rPr>
              <w:t>60000 по ГТП генерации / сечениям КУ.</w:t>
            </w:r>
            <w:r w:rsidRPr="00A5626D">
              <w:rPr>
                <w:rFonts w:ascii="Garamond" w:hAnsi="Garamond" w:cstheme="minorHAnsi"/>
                <w:sz w:val="22"/>
                <w:szCs w:val="22"/>
              </w:rPr>
              <w:t xml:space="preserve"> В рамках одного сечения </w:t>
            </w:r>
            <w:r w:rsidRPr="00A5626D">
              <w:rPr>
                <w:rFonts w:ascii="Garamond" w:hAnsi="Garamond" w:cstheme="minorHAnsi"/>
                <w:sz w:val="22"/>
                <w:szCs w:val="22"/>
                <w:highlight w:val="yellow"/>
              </w:rPr>
              <w:t>КУ</w:t>
            </w:r>
            <w:r w:rsidRPr="00A5626D">
              <w:rPr>
                <w:rFonts w:ascii="Garamond" w:hAnsi="Garamond" w:cstheme="minorHAnsi"/>
                <w:sz w:val="22"/>
                <w:szCs w:val="22"/>
              </w:rPr>
              <w:t xml:space="preserve"> / ГТП генерации не допускается использование одинаковых серийных номеров для однотипных приборов учета. Является числом максимум из 250 символов.</w:t>
            </w:r>
          </w:p>
          <w:p w14:paraId="0C1EDD87" w14:textId="77777777" w:rsidR="00295C6D" w:rsidRPr="00A5626D" w:rsidRDefault="00295C6D" w:rsidP="00E31AE6">
            <w:pPr>
              <w:tabs>
                <w:tab w:val="left" w:pos="1134"/>
                <w:tab w:val="left" w:pos="7938"/>
              </w:tabs>
              <w:spacing w:before="120" w:after="120"/>
              <w:ind w:firstLine="456"/>
              <w:jc w:val="both"/>
              <w:rPr>
                <w:rFonts w:ascii="Garamond" w:hAnsi="Garamond" w:cstheme="minorHAnsi"/>
                <w:sz w:val="22"/>
                <w:szCs w:val="22"/>
              </w:rPr>
            </w:pPr>
            <w:r w:rsidRPr="00A5626D">
              <w:rPr>
                <w:rFonts w:ascii="Garamond" w:hAnsi="Garamond" w:cstheme="minorHAnsi"/>
                <w:sz w:val="22"/>
                <w:szCs w:val="22"/>
              </w:rPr>
              <w:t xml:space="preserve">Дочерними элементами являются </w:t>
            </w:r>
            <w:r w:rsidRPr="00A5626D">
              <w:rPr>
                <w:rFonts w:ascii="Garamond" w:hAnsi="Garamond" w:cstheme="minorHAnsi"/>
                <w:b/>
                <w:sz w:val="22"/>
                <w:szCs w:val="22"/>
              </w:rPr>
              <w:t>&lt;</w:t>
            </w:r>
            <w:r w:rsidRPr="00A5626D">
              <w:rPr>
                <w:rFonts w:ascii="Garamond" w:eastAsia="Calibri" w:hAnsi="Garamond" w:cstheme="minorHAnsi"/>
                <w:b/>
                <w:sz w:val="22"/>
                <w:szCs w:val="22"/>
                <w:lang w:val="en-US"/>
              </w:rPr>
              <w:t>measuring</w:t>
            </w:r>
            <w:r w:rsidRPr="00A5626D">
              <w:rPr>
                <w:rFonts w:ascii="Garamond" w:eastAsia="Calibri" w:hAnsi="Garamond" w:cstheme="minorHAnsi"/>
                <w:b/>
                <w:sz w:val="22"/>
                <w:szCs w:val="22"/>
              </w:rPr>
              <w:t>-</w:t>
            </w:r>
            <w:r w:rsidRPr="00A5626D">
              <w:rPr>
                <w:rFonts w:ascii="Garamond" w:eastAsia="Calibri" w:hAnsi="Garamond" w:cstheme="minorHAnsi"/>
                <w:b/>
                <w:sz w:val="22"/>
                <w:szCs w:val="22"/>
                <w:lang w:val="en-US"/>
              </w:rPr>
              <w:t>channel</w:t>
            </w:r>
            <w:r w:rsidRPr="00A5626D">
              <w:rPr>
                <w:rFonts w:ascii="Garamond" w:eastAsia="Calibri" w:hAnsi="Garamond" w:cstheme="minorHAnsi"/>
                <w:b/>
                <w:sz w:val="22"/>
                <w:szCs w:val="22"/>
              </w:rPr>
              <w:t>&gt;.</w:t>
            </w:r>
          </w:p>
        </w:tc>
      </w:tr>
      <w:tr w:rsidR="00295C6D" w:rsidRPr="00A5626D" w14:paraId="25EBB237" w14:textId="77777777" w:rsidTr="00647FA0">
        <w:tc>
          <w:tcPr>
            <w:tcW w:w="1060" w:type="dxa"/>
            <w:vAlign w:val="center"/>
          </w:tcPr>
          <w:p w14:paraId="0C819BF4" w14:textId="7EED6D2F" w:rsidR="00295C6D" w:rsidRPr="00A5626D" w:rsidRDefault="00295C6D" w:rsidP="00E31AE6">
            <w:pPr>
              <w:widowControl w:val="0"/>
              <w:tabs>
                <w:tab w:val="left" w:pos="1134"/>
                <w:tab w:val="left" w:pos="7938"/>
              </w:tabs>
              <w:spacing w:line="22" w:lineRule="atLeast"/>
              <w:jc w:val="both"/>
              <w:rPr>
                <w:rFonts w:ascii="Garamond" w:hAnsi="Garamond"/>
                <w:b/>
                <w:sz w:val="22"/>
                <w:szCs w:val="22"/>
                <w:lang w:eastAsia="en-US"/>
              </w:rPr>
            </w:pPr>
            <w:r w:rsidRPr="00A5626D">
              <w:rPr>
                <w:rFonts w:ascii="Garamond" w:hAnsi="Garamond"/>
                <w:b/>
                <w:sz w:val="22"/>
                <w:szCs w:val="22"/>
                <w:lang w:eastAsia="en-US"/>
              </w:rPr>
              <w:lastRenderedPageBreak/>
              <w:t>Приложение 5, п.</w:t>
            </w:r>
            <w:r w:rsidR="00647FA0" w:rsidRPr="00A5626D">
              <w:rPr>
                <w:rFonts w:ascii="Garamond" w:hAnsi="Garamond"/>
                <w:b/>
                <w:sz w:val="22"/>
                <w:szCs w:val="22"/>
                <w:lang w:eastAsia="en-US"/>
              </w:rPr>
              <w:t> </w:t>
            </w:r>
            <w:r w:rsidRPr="00A5626D">
              <w:rPr>
                <w:rFonts w:ascii="Garamond" w:hAnsi="Garamond"/>
                <w:b/>
                <w:sz w:val="22"/>
                <w:szCs w:val="22"/>
                <w:lang w:eastAsia="en-US"/>
              </w:rPr>
              <w:t>4.4.1.2.2.2</w:t>
            </w:r>
          </w:p>
        </w:tc>
        <w:tc>
          <w:tcPr>
            <w:tcW w:w="6662" w:type="dxa"/>
          </w:tcPr>
          <w:p w14:paraId="63489B0F" w14:textId="77777777" w:rsidR="00295C6D" w:rsidRPr="00A5626D" w:rsidRDefault="00295C6D" w:rsidP="00E31AE6">
            <w:pPr>
              <w:tabs>
                <w:tab w:val="left" w:pos="1134"/>
                <w:tab w:val="left" w:pos="7938"/>
              </w:tabs>
              <w:spacing w:before="120" w:after="120"/>
              <w:ind w:firstLine="456"/>
              <w:jc w:val="both"/>
              <w:rPr>
                <w:rFonts w:ascii="Garamond" w:hAnsi="Garamond" w:cstheme="minorHAnsi"/>
                <w:sz w:val="22"/>
                <w:szCs w:val="22"/>
                <w:lang w:val="en-US"/>
              </w:rPr>
            </w:pPr>
            <w:r w:rsidRPr="00A5626D">
              <w:rPr>
                <w:rFonts w:ascii="Garamond" w:hAnsi="Garamond" w:cstheme="minorHAnsi"/>
                <w:sz w:val="22"/>
                <w:szCs w:val="22"/>
                <w:lang w:val="en-US"/>
              </w:rPr>
              <w:t>&lt;</w:t>
            </w:r>
            <w:r w:rsidRPr="00A5626D">
              <w:rPr>
                <w:rFonts w:ascii="Garamond" w:hAnsi="Garamond" w:cstheme="minorHAnsi"/>
                <w:i/>
                <w:sz w:val="22"/>
                <w:szCs w:val="22"/>
                <w:lang w:val="en-US"/>
              </w:rPr>
              <w:t>group-delivery-point-composition</w:t>
            </w:r>
            <w:r w:rsidRPr="00A5626D">
              <w:rPr>
                <w:rFonts w:ascii="Garamond" w:hAnsi="Garamond" w:cstheme="minorHAnsi"/>
                <w:sz w:val="22"/>
                <w:szCs w:val="22"/>
                <w:lang w:val="en-US"/>
              </w:rPr>
              <w:t>&gt;</w:t>
            </w:r>
          </w:p>
          <w:p w14:paraId="737169DC" w14:textId="77777777" w:rsidR="00295C6D" w:rsidRPr="00A5626D" w:rsidRDefault="00295C6D" w:rsidP="00E31AE6">
            <w:pPr>
              <w:tabs>
                <w:tab w:val="left" w:pos="1134"/>
                <w:tab w:val="left" w:pos="7938"/>
              </w:tabs>
              <w:spacing w:before="120" w:after="120"/>
              <w:ind w:firstLine="456"/>
              <w:jc w:val="both"/>
              <w:rPr>
                <w:rFonts w:ascii="Garamond" w:eastAsia="Calibri" w:hAnsi="Garamond" w:cstheme="minorHAnsi"/>
                <w:sz w:val="22"/>
                <w:szCs w:val="22"/>
                <w:lang w:val="en-US"/>
              </w:rPr>
            </w:pPr>
            <w:r w:rsidRPr="00A5626D">
              <w:rPr>
                <w:rFonts w:ascii="Garamond" w:eastAsia="Calibri" w:hAnsi="Garamond" w:cstheme="minorHAnsi"/>
                <w:sz w:val="22"/>
                <w:szCs w:val="22"/>
              </w:rPr>
              <w:t>Элемент</w:t>
            </w:r>
            <w:r w:rsidRPr="00A5626D">
              <w:rPr>
                <w:rFonts w:ascii="Garamond" w:eastAsia="Calibri" w:hAnsi="Garamond" w:cstheme="minorHAnsi"/>
                <w:sz w:val="22"/>
                <w:szCs w:val="22"/>
                <w:lang w:val="en-US"/>
              </w:rPr>
              <w:t xml:space="preserve"> &lt;</w:t>
            </w:r>
            <w:r w:rsidRPr="00A5626D">
              <w:rPr>
                <w:rFonts w:ascii="Garamond" w:eastAsia="Calibri" w:hAnsi="Garamond" w:cstheme="minorHAnsi"/>
                <w:b/>
                <w:sz w:val="22"/>
                <w:szCs w:val="22"/>
                <w:lang w:val="en-US"/>
              </w:rPr>
              <w:t>group-delivery-point-composition</w:t>
            </w:r>
            <w:r w:rsidRPr="00A5626D">
              <w:rPr>
                <w:rFonts w:ascii="Garamond" w:eastAsia="Calibri" w:hAnsi="Garamond" w:cstheme="minorHAnsi"/>
                <w:sz w:val="22"/>
                <w:szCs w:val="22"/>
                <w:lang w:val="en-US"/>
              </w:rPr>
              <w:t xml:space="preserve">&gt; </w:t>
            </w:r>
            <w:r w:rsidRPr="00A5626D">
              <w:rPr>
                <w:rFonts w:ascii="Garamond" w:eastAsia="Calibri" w:hAnsi="Garamond" w:cstheme="minorHAnsi"/>
                <w:sz w:val="22"/>
                <w:szCs w:val="22"/>
              </w:rPr>
              <w:t>описывает</w:t>
            </w:r>
            <w:r w:rsidRPr="00A5626D">
              <w:rPr>
                <w:rFonts w:ascii="Garamond" w:eastAsia="Calibri" w:hAnsi="Garamond" w:cstheme="minorHAnsi"/>
                <w:sz w:val="22"/>
                <w:szCs w:val="22"/>
                <w:lang w:val="en-US"/>
              </w:rPr>
              <w:t xml:space="preserve"> </w:t>
            </w:r>
            <w:r w:rsidRPr="00A5626D">
              <w:rPr>
                <w:rFonts w:ascii="Garamond" w:eastAsia="Calibri" w:hAnsi="Garamond" w:cstheme="minorHAnsi"/>
                <w:sz w:val="22"/>
                <w:szCs w:val="22"/>
              </w:rPr>
              <w:t>связи</w:t>
            </w:r>
            <w:r w:rsidRPr="00A5626D">
              <w:rPr>
                <w:rFonts w:ascii="Garamond" w:eastAsia="Calibri" w:hAnsi="Garamond" w:cstheme="minorHAnsi"/>
                <w:sz w:val="22"/>
                <w:szCs w:val="22"/>
                <w:lang w:val="en-US"/>
              </w:rPr>
              <w:t xml:space="preserve"> </w:t>
            </w:r>
            <w:r w:rsidRPr="00A5626D">
              <w:rPr>
                <w:rFonts w:ascii="Garamond" w:eastAsia="Calibri" w:hAnsi="Garamond" w:cstheme="minorHAnsi"/>
                <w:sz w:val="22"/>
                <w:szCs w:val="22"/>
              </w:rPr>
              <w:t>внутри</w:t>
            </w:r>
            <w:r w:rsidRPr="00A5626D">
              <w:rPr>
                <w:rFonts w:ascii="Garamond" w:eastAsia="Calibri" w:hAnsi="Garamond" w:cstheme="minorHAnsi"/>
                <w:sz w:val="22"/>
                <w:szCs w:val="22"/>
                <w:lang w:val="en-US"/>
              </w:rPr>
              <w:t xml:space="preserve"> </w:t>
            </w:r>
            <w:r w:rsidRPr="00A5626D">
              <w:rPr>
                <w:rFonts w:ascii="Garamond" w:eastAsia="Calibri" w:hAnsi="Garamond" w:cstheme="minorHAnsi"/>
                <w:sz w:val="22"/>
                <w:szCs w:val="22"/>
              </w:rPr>
              <w:t>групповых</w:t>
            </w:r>
            <w:r w:rsidRPr="00A5626D">
              <w:rPr>
                <w:rFonts w:ascii="Garamond" w:eastAsia="Calibri" w:hAnsi="Garamond" w:cstheme="minorHAnsi"/>
                <w:sz w:val="22"/>
                <w:szCs w:val="22"/>
                <w:lang w:val="en-US"/>
              </w:rPr>
              <w:t xml:space="preserve"> </w:t>
            </w:r>
            <w:r w:rsidRPr="00A5626D">
              <w:rPr>
                <w:rFonts w:ascii="Garamond" w:eastAsia="Calibri" w:hAnsi="Garamond" w:cstheme="minorHAnsi"/>
                <w:sz w:val="22"/>
                <w:szCs w:val="22"/>
              </w:rPr>
              <w:t>точек</w:t>
            </w:r>
            <w:r w:rsidRPr="00A5626D">
              <w:rPr>
                <w:rFonts w:ascii="Garamond" w:eastAsia="Calibri" w:hAnsi="Garamond" w:cstheme="minorHAnsi"/>
                <w:sz w:val="22"/>
                <w:szCs w:val="22"/>
                <w:lang w:val="en-US"/>
              </w:rPr>
              <w:t xml:space="preserve"> </w:t>
            </w:r>
            <w:r w:rsidRPr="00A5626D">
              <w:rPr>
                <w:rFonts w:ascii="Garamond" w:eastAsia="Calibri" w:hAnsi="Garamond" w:cstheme="minorHAnsi"/>
                <w:sz w:val="22"/>
                <w:szCs w:val="22"/>
              </w:rPr>
              <w:t>поставки</w:t>
            </w:r>
            <w:r w:rsidRPr="00A5626D">
              <w:rPr>
                <w:rFonts w:ascii="Garamond" w:eastAsia="Calibri" w:hAnsi="Garamond" w:cstheme="minorHAnsi"/>
                <w:sz w:val="22"/>
                <w:szCs w:val="22"/>
                <w:lang w:val="en-US"/>
              </w:rPr>
              <w:t>.</w:t>
            </w:r>
          </w:p>
          <w:p w14:paraId="60F70DD6" w14:textId="77777777" w:rsidR="00295C6D" w:rsidRPr="00A5626D" w:rsidRDefault="00295C6D" w:rsidP="00E31AE6">
            <w:pPr>
              <w:tabs>
                <w:tab w:val="left" w:pos="1134"/>
                <w:tab w:val="left" w:pos="7938"/>
              </w:tabs>
              <w:spacing w:before="120" w:after="120"/>
              <w:ind w:firstLine="456"/>
              <w:jc w:val="both"/>
              <w:rPr>
                <w:rFonts w:ascii="Garamond" w:eastAsia="Calibri" w:hAnsi="Garamond" w:cstheme="minorHAnsi"/>
                <w:sz w:val="22"/>
                <w:szCs w:val="22"/>
                <w:lang w:val="en-US"/>
              </w:rPr>
            </w:pPr>
            <w:r w:rsidRPr="00A5626D">
              <w:rPr>
                <w:rFonts w:ascii="Garamond" w:eastAsia="Calibri" w:hAnsi="Garamond" w:cstheme="minorHAnsi"/>
                <w:sz w:val="22"/>
                <w:szCs w:val="22"/>
              </w:rPr>
              <w:lastRenderedPageBreak/>
              <w:t>Потомком</w:t>
            </w:r>
            <w:r w:rsidRPr="00A5626D">
              <w:rPr>
                <w:rFonts w:ascii="Garamond" w:eastAsia="Calibri" w:hAnsi="Garamond" w:cstheme="minorHAnsi"/>
                <w:sz w:val="22"/>
                <w:szCs w:val="22"/>
                <w:lang w:val="en-US"/>
              </w:rPr>
              <w:t xml:space="preserve"> </w:t>
            </w:r>
            <w:r w:rsidRPr="00A5626D">
              <w:rPr>
                <w:rFonts w:ascii="Garamond" w:eastAsia="Calibri" w:hAnsi="Garamond" w:cstheme="minorHAnsi"/>
                <w:sz w:val="22"/>
                <w:szCs w:val="22"/>
              </w:rPr>
              <w:t>элемента</w:t>
            </w:r>
            <w:r w:rsidRPr="00A5626D">
              <w:rPr>
                <w:rFonts w:ascii="Garamond" w:eastAsia="Calibri" w:hAnsi="Garamond" w:cstheme="minorHAnsi"/>
                <w:sz w:val="22"/>
                <w:szCs w:val="22"/>
                <w:lang w:val="en-US"/>
              </w:rPr>
              <w:t xml:space="preserve"> &lt;</w:t>
            </w:r>
            <w:r w:rsidRPr="00A5626D">
              <w:rPr>
                <w:rFonts w:ascii="Garamond" w:eastAsia="Calibri" w:hAnsi="Garamond" w:cstheme="minorHAnsi"/>
                <w:b/>
                <w:sz w:val="22"/>
                <w:szCs w:val="22"/>
                <w:lang w:val="en-US"/>
              </w:rPr>
              <w:t>group-delivery-point-composition</w:t>
            </w:r>
            <w:r w:rsidRPr="00A5626D">
              <w:rPr>
                <w:rFonts w:ascii="Garamond" w:eastAsia="Calibri" w:hAnsi="Garamond" w:cstheme="minorHAnsi"/>
                <w:sz w:val="22"/>
                <w:szCs w:val="22"/>
                <w:lang w:val="en-US"/>
              </w:rPr>
              <w:t xml:space="preserve">&gt; </w:t>
            </w:r>
            <w:r w:rsidRPr="00A5626D">
              <w:rPr>
                <w:rFonts w:ascii="Garamond" w:eastAsia="Calibri" w:hAnsi="Garamond" w:cstheme="minorHAnsi"/>
                <w:sz w:val="22"/>
                <w:szCs w:val="22"/>
              </w:rPr>
              <w:t>является</w:t>
            </w:r>
            <w:r w:rsidRPr="00A5626D">
              <w:rPr>
                <w:rFonts w:ascii="Garamond" w:eastAsia="Calibri" w:hAnsi="Garamond" w:cstheme="minorHAnsi"/>
                <w:sz w:val="22"/>
                <w:szCs w:val="22"/>
                <w:lang w:val="en-US"/>
              </w:rPr>
              <w:t xml:space="preserve"> </w:t>
            </w:r>
            <w:r w:rsidRPr="00A5626D">
              <w:rPr>
                <w:rFonts w:ascii="Garamond" w:eastAsia="Calibri" w:hAnsi="Garamond" w:cstheme="minorHAnsi"/>
                <w:sz w:val="22"/>
                <w:szCs w:val="22"/>
              </w:rPr>
              <w:t>элемент</w:t>
            </w:r>
            <w:r w:rsidRPr="00A5626D">
              <w:rPr>
                <w:rFonts w:ascii="Garamond" w:eastAsia="Calibri" w:hAnsi="Garamond" w:cstheme="minorHAnsi"/>
                <w:sz w:val="22"/>
                <w:szCs w:val="22"/>
                <w:lang w:val="en-US"/>
              </w:rPr>
              <w:t xml:space="preserve"> &lt;</w:t>
            </w:r>
            <w:r w:rsidRPr="00A5626D">
              <w:rPr>
                <w:rFonts w:ascii="Garamond" w:eastAsia="Calibri" w:hAnsi="Garamond" w:cstheme="minorHAnsi"/>
                <w:b/>
                <w:sz w:val="22"/>
                <w:szCs w:val="22"/>
                <w:lang w:val="en-US"/>
              </w:rPr>
              <w:t>group-delivery-point</w:t>
            </w:r>
            <w:r w:rsidRPr="00A5626D">
              <w:rPr>
                <w:rFonts w:ascii="Garamond" w:eastAsia="Calibri" w:hAnsi="Garamond" w:cstheme="minorHAnsi"/>
                <w:sz w:val="22"/>
                <w:szCs w:val="22"/>
                <w:lang w:val="en-US"/>
              </w:rPr>
              <w:t>&gt;.</w:t>
            </w:r>
          </w:p>
        </w:tc>
        <w:tc>
          <w:tcPr>
            <w:tcW w:w="7088" w:type="dxa"/>
          </w:tcPr>
          <w:p w14:paraId="00DAC0C2" w14:textId="77777777" w:rsidR="00295C6D" w:rsidRPr="00A5626D" w:rsidRDefault="00295C6D" w:rsidP="00E31AE6">
            <w:pPr>
              <w:tabs>
                <w:tab w:val="left" w:pos="1134"/>
                <w:tab w:val="left" w:pos="7938"/>
              </w:tabs>
              <w:spacing w:before="120" w:after="120"/>
              <w:ind w:firstLine="456"/>
              <w:jc w:val="both"/>
              <w:rPr>
                <w:rFonts w:ascii="Garamond" w:hAnsi="Garamond" w:cstheme="minorHAnsi"/>
                <w:sz w:val="22"/>
                <w:szCs w:val="22"/>
                <w:lang w:val="en-US"/>
              </w:rPr>
            </w:pPr>
            <w:r w:rsidRPr="00A5626D">
              <w:rPr>
                <w:rFonts w:ascii="Garamond" w:hAnsi="Garamond" w:cstheme="minorHAnsi"/>
                <w:sz w:val="22"/>
                <w:szCs w:val="22"/>
                <w:lang w:val="en-US"/>
              </w:rPr>
              <w:lastRenderedPageBreak/>
              <w:t>&lt;</w:t>
            </w:r>
            <w:r w:rsidRPr="00A5626D">
              <w:rPr>
                <w:rFonts w:ascii="Garamond" w:hAnsi="Garamond" w:cstheme="minorHAnsi"/>
                <w:i/>
                <w:sz w:val="22"/>
                <w:szCs w:val="22"/>
                <w:lang w:val="en-US"/>
              </w:rPr>
              <w:t>group-delivery-point-composition</w:t>
            </w:r>
            <w:r w:rsidRPr="00A5626D">
              <w:rPr>
                <w:rFonts w:ascii="Garamond" w:hAnsi="Garamond" w:cstheme="minorHAnsi"/>
                <w:sz w:val="22"/>
                <w:szCs w:val="22"/>
                <w:lang w:val="en-US"/>
              </w:rPr>
              <w:t>&gt;</w:t>
            </w:r>
          </w:p>
          <w:p w14:paraId="6321892C" w14:textId="77777777" w:rsidR="00295C6D" w:rsidRPr="00A5626D" w:rsidRDefault="00295C6D" w:rsidP="00E31AE6">
            <w:pPr>
              <w:tabs>
                <w:tab w:val="left" w:pos="1134"/>
                <w:tab w:val="left" w:pos="7938"/>
              </w:tabs>
              <w:spacing w:before="120" w:after="120"/>
              <w:ind w:firstLine="456"/>
              <w:jc w:val="both"/>
              <w:rPr>
                <w:rFonts w:ascii="Garamond" w:eastAsia="Calibri" w:hAnsi="Garamond" w:cstheme="minorHAnsi"/>
                <w:sz w:val="22"/>
                <w:szCs w:val="22"/>
                <w:lang w:val="en-US"/>
              </w:rPr>
            </w:pPr>
            <w:r w:rsidRPr="00A5626D">
              <w:rPr>
                <w:rFonts w:ascii="Garamond" w:eastAsia="Calibri" w:hAnsi="Garamond" w:cstheme="minorHAnsi"/>
                <w:sz w:val="22"/>
                <w:szCs w:val="22"/>
              </w:rPr>
              <w:t>Элемент</w:t>
            </w:r>
            <w:r w:rsidRPr="00A5626D">
              <w:rPr>
                <w:rFonts w:ascii="Garamond" w:eastAsia="Calibri" w:hAnsi="Garamond" w:cstheme="minorHAnsi"/>
                <w:sz w:val="22"/>
                <w:szCs w:val="22"/>
                <w:lang w:val="en-US"/>
              </w:rPr>
              <w:t xml:space="preserve"> &lt;</w:t>
            </w:r>
            <w:r w:rsidRPr="00A5626D">
              <w:rPr>
                <w:rFonts w:ascii="Garamond" w:eastAsia="Calibri" w:hAnsi="Garamond" w:cstheme="minorHAnsi"/>
                <w:b/>
                <w:sz w:val="22"/>
                <w:szCs w:val="22"/>
                <w:lang w:val="en-US"/>
              </w:rPr>
              <w:t>group-delivery-point-composition</w:t>
            </w:r>
            <w:r w:rsidRPr="00A5626D">
              <w:rPr>
                <w:rFonts w:ascii="Garamond" w:eastAsia="Calibri" w:hAnsi="Garamond" w:cstheme="minorHAnsi"/>
                <w:sz w:val="22"/>
                <w:szCs w:val="22"/>
                <w:lang w:val="en-US"/>
              </w:rPr>
              <w:t xml:space="preserve">&gt; </w:t>
            </w:r>
            <w:r w:rsidRPr="00A5626D">
              <w:rPr>
                <w:rFonts w:ascii="Garamond" w:eastAsia="Calibri" w:hAnsi="Garamond" w:cstheme="minorHAnsi"/>
                <w:sz w:val="22"/>
                <w:szCs w:val="22"/>
              </w:rPr>
              <w:t>описывает</w:t>
            </w:r>
            <w:r w:rsidRPr="00A5626D">
              <w:rPr>
                <w:rFonts w:ascii="Garamond" w:eastAsia="Calibri" w:hAnsi="Garamond" w:cstheme="minorHAnsi"/>
                <w:sz w:val="22"/>
                <w:szCs w:val="22"/>
                <w:lang w:val="en-US"/>
              </w:rPr>
              <w:t xml:space="preserve"> </w:t>
            </w:r>
            <w:r w:rsidRPr="00A5626D">
              <w:rPr>
                <w:rFonts w:ascii="Garamond" w:eastAsia="Calibri" w:hAnsi="Garamond" w:cstheme="minorHAnsi"/>
                <w:sz w:val="22"/>
                <w:szCs w:val="22"/>
              </w:rPr>
              <w:t>связи</w:t>
            </w:r>
            <w:r w:rsidRPr="00A5626D">
              <w:rPr>
                <w:rFonts w:ascii="Garamond" w:eastAsia="Calibri" w:hAnsi="Garamond" w:cstheme="minorHAnsi"/>
                <w:sz w:val="22"/>
                <w:szCs w:val="22"/>
                <w:lang w:val="en-US"/>
              </w:rPr>
              <w:t xml:space="preserve"> </w:t>
            </w:r>
            <w:r w:rsidRPr="00A5626D">
              <w:rPr>
                <w:rFonts w:ascii="Garamond" w:eastAsia="Calibri" w:hAnsi="Garamond" w:cstheme="minorHAnsi"/>
                <w:sz w:val="22"/>
                <w:szCs w:val="22"/>
              </w:rPr>
              <w:t>внутри</w:t>
            </w:r>
            <w:r w:rsidRPr="00A5626D">
              <w:rPr>
                <w:rFonts w:ascii="Garamond" w:eastAsia="Calibri" w:hAnsi="Garamond" w:cstheme="minorHAnsi"/>
                <w:sz w:val="22"/>
                <w:szCs w:val="22"/>
                <w:lang w:val="en-US"/>
              </w:rPr>
              <w:t xml:space="preserve"> </w:t>
            </w:r>
            <w:r w:rsidRPr="00A5626D">
              <w:rPr>
                <w:rFonts w:ascii="Garamond" w:eastAsia="Calibri" w:hAnsi="Garamond" w:cstheme="minorHAnsi"/>
                <w:sz w:val="22"/>
                <w:szCs w:val="22"/>
              </w:rPr>
              <w:t>групповых</w:t>
            </w:r>
            <w:r w:rsidRPr="00A5626D">
              <w:rPr>
                <w:rFonts w:ascii="Garamond" w:eastAsia="Calibri" w:hAnsi="Garamond" w:cstheme="minorHAnsi"/>
                <w:sz w:val="22"/>
                <w:szCs w:val="22"/>
                <w:lang w:val="en-US"/>
              </w:rPr>
              <w:t xml:space="preserve"> </w:t>
            </w:r>
            <w:r w:rsidRPr="00A5626D">
              <w:rPr>
                <w:rFonts w:ascii="Garamond" w:eastAsia="Calibri" w:hAnsi="Garamond" w:cstheme="minorHAnsi"/>
                <w:sz w:val="22"/>
                <w:szCs w:val="22"/>
              </w:rPr>
              <w:t>точек</w:t>
            </w:r>
            <w:r w:rsidRPr="00A5626D">
              <w:rPr>
                <w:rFonts w:ascii="Garamond" w:eastAsia="Calibri" w:hAnsi="Garamond" w:cstheme="minorHAnsi"/>
                <w:sz w:val="22"/>
                <w:szCs w:val="22"/>
                <w:lang w:val="en-US"/>
              </w:rPr>
              <w:t xml:space="preserve"> </w:t>
            </w:r>
            <w:r w:rsidRPr="00A5626D">
              <w:rPr>
                <w:rFonts w:ascii="Garamond" w:eastAsia="Calibri" w:hAnsi="Garamond" w:cstheme="minorHAnsi"/>
                <w:sz w:val="22"/>
                <w:szCs w:val="22"/>
              </w:rPr>
              <w:t>поставки</w:t>
            </w:r>
            <w:r w:rsidRPr="00A5626D">
              <w:rPr>
                <w:rFonts w:ascii="Garamond" w:eastAsia="Calibri" w:hAnsi="Garamond" w:cstheme="minorHAnsi"/>
                <w:sz w:val="22"/>
                <w:szCs w:val="22"/>
                <w:lang w:val="en-US"/>
              </w:rPr>
              <w:t xml:space="preserve"> </w:t>
            </w:r>
            <w:r w:rsidRPr="00A5626D">
              <w:rPr>
                <w:rFonts w:ascii="Garamond" w:eastAsia="Calibri" w:hAnsi="Garamond" w:cstheme="minorHAnsi"/>
                <w:sz w:val="22"/>
                <w:szCs w:val="22"/>
                <w:highlight w:val="yellow"/>
                <w:lang w:val="en-US"/>
              </w:rPr>
              <w:t>(</w:t>
            </w:r>
            <w:r w:rsidRPr="00A5626D">
              <w:rPr>
                <w:rFonts w:ascii="Garamond" w:eastAsia="Calibri" w:hAnsi="Garamond" w:cstheme="minorHAnsi"/>
                <w:sz w:val="22"/>
                <w:szCs w:val="22"/>
                <w:highlight w:val="yellow"/>
              </w:rPr>
              <w:t>групповых</w:t>
            </w:r>
            <w:r w:rsidRPr="00A5626D">
              <w:rPr>
                <w:rFonts w:ascii="Garamond" w:eastAsia="Calibri" w:hAnsi="Garamond" w:cstheme="minorHAnsi"/>
                <w:sz w:val="22"/>
                <w:szCs w:val="22"/>
                <w:highlight w:val="yellow"/>
                <w:lang w:val="en-US"/>
              </w:rPr>
              <w:t xml:space="preserve"> </w:t>
            </w:r>
            <w:r w:rsidRPr="00A5626D">
              <w:rPr>
                <w:rFonts w:ascii="Garamond" w:eastAsia="Calibri" w:hAnsi="Garamond" w:cstheme="minorHAnsi"/>
                <w:sz w:val="22"/>
                <w:szCs w:val="22"/>
                <w:highlight w:val="yellow"/>
              </w:rPr>
              <w:t>точек</w:t>
            </w:r>
            <w:r w:rsidRPr="00A5626D">
              <w:rPr>
                <w:rFonts w:ascii="Garamond" w:eastAsia="Calibri" w:hAnsi="Garamond" w:cstheme="minorHAnsi"/>
                <w:sz w:val="22"/>
                <w:szCs w:val="22"/>
                <w:highlight w:val="yellow"/>
                <w:lang w:val="en-US"/>
              </w:rPr>
              <w:t xml:space="preserve"> </w:t>
            </w:r>
            <w:r w:rsidRPr="00A5626D">
              <w:rPr>
                <w:rFonts w:ascii="Garamond" w:eastAsia="Calibri" w:hAnsi="Garamond" w:cstheme="minorHAnsi"/>
                <w:sz w:val="22"/>
                <w:szCs w:val="22"/>
                <w:highlight w:val="yellow"/>
              </w:rPr>
              <w:t>присоединения</w:t>
            </w:r>
            <w:r w:rsidRPr="00A5626D">
              <w:rPr>
                <w:rFonts w:ascii="Garamond" w:eastAsia="Calibri" w:hAnsi="Garamond" w:cstheme="minorHAnsi"/>
                <w:sz w:val="22"/>
                <w:szCs w:val="22"/>
                <w:highlight w:val="yellow"/>
                <w:lang w:val="en-US"/>
              </w:rPr>
              <w:t>).</w:t>
            </w:r>
          </w:p>
          <w:p w14:paraId="18984DC1" w14:textId="77777777" w:rsidR="00295C6D" w:rsidRPr="00A5626D" w:rsidRDefault="00295C6D" w:rsidP="00E31AE6">
            <w:pPr>
              <w:tabs>
                <w:tab w:val="left" w:pos="1134"/>
                <w:tab w:val="left" w:pos="7938"/>
              </w:tabs>
              <w:spacing w:before="120" w:after="120"/>
              <w:ind w:firstLine="456"/>
              <w:jc w:val="both"/>
              <w:rPr>
                <w:rFonts w:ascii="Garamond" w:hAnsi="Garamond" w:cstheme="minorHAnsi"/>
                <w:sz w:val="22"/>
                <w:szCs w:val="22"/>
                <w:lang w:val="en-US"/>
              </w:rPr>
            </w:pPr>
            <w:r w:rsidRPr="00A5626D">
              <w:rPr>
                <w:rFonts w:ascii="Garamond" w:eastAsia="Calibri" w:hAnsi="Garamond" w:cstheme="minorHAnsi"/>
                <w:sz w:val="22"/>
                <w:szCs w:val="22"/>
              </w:rPr>
              <w:lastRenderedPageBreak/>
              <w:t>Потомком</w:t>
            </w:r>
            <w:r w:rsidRPr="00A5626D">
              <w:rPr>
                <w:rFonts w:ascii="Garamond" w:eastAsia="Calibri" w:hAnsi="Garamond" w:cstheme="minorHAnsi"/>
                <w:sz w:val="22"/>
                <w:szCs w:val="22"/>
                <w:lang w:val="en-US"/>
              </w:rPr>
              <w:t xml:space="preserve"> </w:t>
            </w:r>
            <w:r w:rsidRPr="00A5626D">
              <w:rPr>
                <w:rFonts w:ascii="Garamond" w:eastAsia="Calibri" w:hAnsi="Garamond" w:cstheme="minorHAnsi"/>
                <w:sz w:val="22"/>
                <w:szCs w:val="22"/>
              </w:rPr>
              <w:t>элемента</w:t>
            </w:r>
            <w:r w:rsidRPr="00A5626D">
              <w:rPr>
                <w:rFonts w:ascii="Garamond" w:eastAsia="Calibri" w:hAnsi="Garamond" w:cstheme="minorHAnsi"/>
                <w:sz w:val="22"/>
                <w:szCs w:val="22"/>
                <w:lang w:val="en-US"/>
              </w:rPr>
              <w:t xml:space="preserve"> &lt;</w:t>
            </w:r>
            <w:r w:rsidRPr="00A5626D">
              <w:rPr>
                <w:rFonts w:ascii="Garamond" w:eastAsia="Calibri" w:hAnsi="Garamond" w:cstheme="minorHAnsi"/>
                <w:b/>
                <w:sz w:val="22"/>
                <w:szCs w:val="22"/>
                <w:lang w:val="en-US"/>
              </w:rPr>
              <w:t>group-delivery-point-composition</w:t>
            </w:r>
            <w:r w:rsidRPr="00A5626D">
              <w:rPr>
                <w:rFonts w:ascii="Garamond" w:eastAsia="Calibri" w:hAnsi="Garamond" w:cstheme="minorHAnsi"/>
                <w:sz w:val="22"/>
                <w:szCs w:val="22"/>
                <w:lang w:val="en-US"/>
              </w:rPr>
              <w:t xml:space="preserve">&gt; </w:t>
            </w:r>
            <w:r w:rsidRPr="00A5626D">
              <w:rPr>
                <w:rFonts w:ascii="Garamond" w:eastAsia="Calibri" w:hAnsi="Garamond" w:cstheme="minorHAnsi"/>
                <w:sz w:val="22"/>
                <w:szCs w:val="22"/>
              </w:rPr>
              <w:t>является</w:t>
            </w:r>
            <w:r w:rsidRPr="00A5626D">
              <w:rPr>
                <w:rFonts w:ascii="Garamond" w:eastAsia="Calibri" w:hAnsi="Garamond" w:cstheme="minorHAnsi"/>
                <w:sz w:val="22"/>
                <w:szCs w:val="22"/>
                <w:lang w:val="en-US"/>
              </w:rPr>
              <w:t xml:space="preserve"> </w:t>
            </w:r>
            <w:r w:rsidRPr="00A5626D">
              <w:rPr>
                <w:rFonts w:ascii="Garamond" w:eastAsia="Calibri" w:hAnsi="Garamond" w:cstheme="minorHAnsi"/>
                <w:sz w:val="22"/>
                <w:szCs w:val="22"/>
              </w:rPr>
              <w:t>элемент</w:t>
            </w:r>
            <w:r w:rsidRPr="00A5626D">
              <w:rPr>
                <w:rFonts w:ascii="Garamond" w:eastAsia="Calibri" w:hAnsi="Garamond" w:cstheme="minorHAnsi"/>
                <w:sz w:val="22"/>
                <w:szCs w:val="22"/>
                <w:lang w:val="en-US"/>
              </w:rPr>
              <w:t xml:space="preserve"> &lt;</w:t>
            </w:r>
            <w:r w:rsidRPr="00A5626D">
              <w:rPr>
                <w:rFonts w:ascii="Garamond" w:eastAsia="Calibri" w:hAnsi="Garamond" w:cstheme="minorHAnsi"/>
                <w:b/>
                <w:sz w:val="22"/>
                <w:szCs w:val="22"/>
                <w:lang w:val="en-US"/>
              </w:rPr>
              <w:t>group-delivery-point</w:t>
            </w:r>
            <w:r w:rsidRPr="00A5626D">
              <w:rPr>
                <w:rFonts w:ascii="Garamond" w:eastAsia="Calibri" w:hAnsi="Garamond" w:cstheme="minorHAnsi"/>
                <w:sz w:val="22"/>
                <w:szCs w:val="22"/>
                <w:lang w:val="en-US"/>
              </w:rPr>
              <w:t>&gt;.</w:t>
            </w:r>
          </w:p>
        </w:tc>
      </w:tr>
      <w:tr w:rsidR="00295C6D" w:rsidRPr="00A5626D" w14:paraId="755FFDD0" w14:textId="77777777" w:rsidTr="00647FA0">
        <w:tc>
          <w:tcPr>
            <w:tcW w:w="1060" w:type="dxa"/>
            <w:vAlign w:val="center"/>
          </w:tcPr>
          <w:p w14:paraId="5E20BE4C" w14:textId="658448CA" w:rsidR="00295C6D" w:rsidRPr="00A5626D" w:rsidRDefault="00295C6D" w:rsidP="00E31AE6">
            <w:pPr>
              <w:widowControl w:val="0"/>
              <w:tabs>
                <w:tab w:val="left" w:pos="1134"/>
                <w:tab w:val="left" w:pos="7938"/>
              </w:tabs>
              <w:spacing w:line="22" w:lineRule="atLeast"/>
              <w:jc w:val="both"/>
              <w:rPr>
                <w:rFonts w:ascii="Garamond" w:hAnsi="Garamond"/>
                <w:b/>
                <w:sz w:val="22"/>
                <w:szCs w:val="22"/>
                <w:lang w:val="en-US" w:eastAsia="en-US"/>
              </w:rPr>
            </w:pPr>
            <w:r w:rsidRPr="00A5626D">
              <w:rPr>
                <w:rFonts w:ascii="Garamond" w:hAnsi="Garamond"/>
                <w:b/>
                <w:sz w:val="22"/>
                <w:szCs w:val="22"/>
                <w:lang w:eastAsia="en-US"/>
              </w:rPr>
              <w:lastRenderedPageBreak/>
              <w:t>Приложение 5, п.</w:t>
            </w:r>
            <w:r w:rsidR="00647FA0" w:rsidRPr="00A5626D">
              <w:rPr>
                <w:rFonts w:ascii="Garamond" w:hAnsi="Garamond"/>
                <w:b/>
                <w:sz w:val="22"/>
                <w:szCs w:val="22"/>
                <w:lang w:eastAsia="en-US"/>
              </w:rPr>
              <w:t> </w:t>
            </w:r>
            <w:r w:rsidRPr="00A5626D">
              <w:rPr>
                <w:rFonts w:ascii="Garamond" w:hAnsi="Garamond"/>
                <w:b/>
                <w:sz w:val="22"/>
                <w:szCs w:val="22"/>
                <w:lang w:eastAsia="en-US"/>
              </w:rPr>
              <w:t>4.4.1.2.2.2.1</w:t>
            </w:r>
          </w:p>
        </w:tc>
        <w:tc>
          <w:tcPr>
            <w:tcW w:w="6662" w:type="dxa"/>
          </w:tcPr>
          <w:p w14:paraId="29314D0A" w14:textId="77777777" w:rsidR="00295C6D" w:rsidRPr="00A5626D" w:rsidRDefault="00295C6D" w:rsidP="00E31AE6">
            <w:pPr>
              <w:tabs>
                <w:tab w:val="left" w:pos="1134"/>
                <w:tab w:val="left" w:pos="7938"/>
              </w:tabs>
              <w:spacing w:before="120" w:after="120"/>
              <w:ind w:firstLine="456"/>
              <w:jc w:val="both"/>
              <w:rPr>
                <w:rFonts w:ascii="Garamond" w:eastAsia="Calibri" w:hAnsi="Garamond" w:cstheme="minorHAnsi"/>
                <w:sz w:val="22"/>
                <w:szCs w:val="22"/>
                <w:lang w:val="en-US"/>
              </w:rPr>
            </w:pPr>
            <w:r w:rsidRPr="00A5626D">
              <w:rPr>
                <w:rFonts w:ascii="Garamond" w:eastAsia="Calibri" w:hAnsi="Garamond" w:cstheme="minorHAnsi"/>
                <w:sz w:val="22"/>
                <w:szCs w:val="22"/>
                <w:lang w:val="en-US"/>
              </w:rPr>
              <w:t>&lt;group-delivery-point&gt;</w:t>
            </w:r>
          </w:p>
          <w:p w14:paraId="636553E5" w14:textId="77777777" w:rsidR="00295C6D" w:rsidRPr="00A5626D" w:rsidRDefault="00295C6D" w:rsidP="00E31AE6">
            <w:pPr>
              <w:tabs>
                <w:tab w:val="left" w:pos="1134"/>
                <w:tab w:val="left" w:pos="7938"/>
              </w:tabs>
              <w:spacing w:before="120" w:after="120"/>
              <w:ind w:firstLine="456"/>
              <w:jc w:val="both"/>
              <w:rPr>
                <w:rFonts w:ascii="Garamond" w:eastAsia="Calibri" w:hAnsi="Garamond" w:cstheme="minorHAnsi"/>
                <w:sz w:val="22"/>
                <w:szCs w:val="22"/>
                <w:lang w:val="en-US"/>
              </w:rPr>
            </w:pPr>
            <w:r w:rsidRPr="00A5626D">
              <w:rPr>
                <w:rFonts w:ascii="Garamond" w:eastAsia="Calibri" w:hAnsi="Garamond" w:cstheme="minorHAnsi"/>
                <w:sz w:val="22"/>
                <w:szCs w:val="22"/>
              </w:rPr>
              <w:t>Элемент</w:t>
            </w:r>
            <w:r w:rsidRPr="00A5626D">
              <w:rPr>
                <w:rFonts w:ascii="Garamond" w:eastAsia="Calibri" w:hAnsi="Garamond" w:cstheme="minorHAnsi"/>
                <w:sz w:val="22"/>
                <w:szCs w:val="22"/>
                <w:lang w:val="en-US"/>
              </w:rPr>
              <w:t xml:space="preserve"> &lt;</w:t>
            </w:r>
            <w:r w:rsidRPr="00A5626D">
              <w:rPr>
                <w:rFonts w:ascii="Garamond" w:eastAsia="Calibri" w:hAnsi="Garamond" w:cstheme="minorHAnsi"/>
                <w:b/>
                <w:sz w:val="22"/>
                <w:szCs w:val="22"/>
                <w:lang w:val="en-US"/>
              </w:rPr>
              <w:t>group-delivery-point</w:t>
            </w:r>
            <w:r w:rsidRPr="00A5626D">
              <w:rPr>
                <w:rFonts w:ascii="Garamond" w:eastAsia="Calibri" w:hAnsi="Garamond" w:cstheme="minorHAnsi"/>
                <w:sz w:val="22"/>
                <w:szCs w:val="22"/>
                <w:lang w:val="en-US"/>
              </w:rPr>
              <w:t xml:space="preserve">&gt; </w:t>
            </w:r>
            <w:r w:rsidRPr="00A5626D">
              <w:rPr>
                <w:rFonts w:ascii="Garamond" w:eastAsia="Calibri" w:hAnsi="Garamond" w:cstheme="minorHAnsi"/>
                <w:sz w:val="22"/>
                <w:szCs w:val="22"/>
              </w:rPr>
              <w:t>содержит</w:t>
            </w:r>
            <w:r w:rsidRPr="00A5626D">
              <w:rPr>
                <w:rFonts w:ascii="Garamond" w:eastAsia="Calibri" w:hAnsi="Garamond" w:cstheme="minorHAnsi"/>
                <w:sz w:val="22"/>
                <w:szCs w:val="22"/>
                <w:lang w:val="en-US"/>
              </w:rPr>
              <w:t xml:space="preserve"> </w:t>
            </w:r>
            <w:r w:rsidRPr="00A5626D">
              <w:rPr>
                <w:rFonts w:ascii="Garamond" w:eastAsia="Calibri" w:hAnsi="Garamond" w:cstheme="minorHAnsi"/>
                <w:sz w:val="22"/>
                <w:szCs w:val="22"/>
              </w:rPr>
              <w:t>атрибут</w:t>
            </w:r>
            <w:r w:rsidRPr="00A5626D">
              <w:rPr>
                <w:rFonts w:ascii="Garamond" w:eastAsia="Calibri" w:hAnsi="Garamond" w:cstheme="minorHAnsi"/>
                <w:sz w:val="22"/>
                <w:szCs w:val="22"/>
                <w:lang w:val="en-US"/>
              </w:rPr>
              <w:t>:</w:t>
            </w:r>
          </w:p>
          <w:p w14:paraId="41505B2C" w14:textId="77777777" w:rsidR="00295C6D" w:rsidRPr="00A5626D" w:rsidRDefault="00295C6D" w:rsidP="00295C6D">
            <w:pPr>
              <w:numPr>
                <w:ilvl w:val="0"/>
                <w:numId w:val="242"/>
              </w:numPr>
              <w:tabs>
                <w:tab w:val="left" w:pos="1134"/>
                <w:tab w:val="left" w:pos="7938"/>
              </w:tabs>
              <w:suppressAutoHyphens w:val="0"/>
              <w:spacing w:before="120" w:after="120" w:line="259" w:lineRule="auto"/>
              <w:ind w:left="0" w:firstLine="456"/>
              <w:contextualSpacing/>
              <w:jc w:val="both"/>
              <w:rPr>
                <w:rFonts w:ascii="Garamond" w:eastAsia="Calibri" w:hAnsi="Garamond" w:cstheme="minorHAnsi"/>
                <w:sz w:val="22"/>
                <w:szCs w:val="22"/>
              </w:rPr>
            </w:pPr>
            <w:r w:rsidRPr="00A5626D">
              <w:rPr>
                <w:rFonts w:ascii="Garamond" w:hAnsi="Garamond" w:cstheme="minorHAnsi"/>
                <w:sz w:val="22"/>
                <w:szCs w:val="22"/>
                <w:lang w:val="en-US"/>
              </w:rPr>
              <w:t>id</w:t>
            </w:r>
            <w:r w:rsidRPr="00A5626D">
              <w:rPr>
                <w:rFonts w:ascii="Garamond" w:hAnsi="Garamond" w:cstheme="minorHAnsi"/>
                <w:sz w:val="22"/>
                <w:szCs w:val="22"/>
              </w:rPr>
              <w:t>-</w:t>
            </w:r>
            <w:r w:rsidRPr="00A5626D">
              <w:rPr>
                <w:rFonts w:ascii="Garamond" w:hAnsi="Garamond" w:cstheme="minorHAnsi"/>
                <w:sz w:val="22"/>
                <w:szCs w:val="22"/>
                <w:lang w:val="en-US"/>
              </w:rPr>
              <w:t>group</w:t>
            </w:r>
            <w:r w:rsidRPr="00A5626D">
              <w:rPr>
                <w:rFonts w:ascii="Garamond" w:hAnsi="Garamond" w:cstheme="minorHAnsi"/>
                <w:sz w:val="22"/>
                <w:szCs w:val="22"/>
              </w:rPr>
              <w:t>-</w:t>
            </w:r>
            <w:r w:rsidRPr="00A5626D">
              <w:rPr>
                <w:rFonts w:ascii="Garamond" w:hAnsi="Garamond" w:cstheme="minorHAnsi"/>
                <w:sz w:val="22"/>
                <w:szCs w:val="22"/>
                <w:lang w:val="en-US"/>
              </w:rPr>
              <w:t>delivery</w:t>
            </w:r>
            <w:r w:rsidRPr="00A5626D">
              <w:rPr>
                <w:rFonts w:ascii="Garamond" w:hAnsi="Garamond" w:cstheme="minorHAnsi"/>
                <w:sz w:val="22"/>
                <w:szCs w:val="22"/>
              </w:rPr>
              <w:t>-</w:t>
            </w:r>
            <w:r w:rsidRPr="00A5626D">
              <w:rPr>
                <w:rFonts w:ascii="Garamond" w:hAnsi="Garamond" w:cstheme="minorHAnsi"/>
                <w:sz w:val="22"/>
                <w:szCs w:val="22"/>
                <w:lang w:val="en-US"/>
              </w:rPr>
              <w:t>point</w:t>
            </w:r>
            <w:r w:rsidRPr="00A5626D">
              <w:rPr>
                <w:rFonts w:ascii="Garamond" w:eastAsia="Calibri" w:hAnsi="Garamond" w:cstheme="minorHAnsi"/>
                <w:sz w:val="22"/>
                <w:szCs w:val="22"/>
              </w:rPr>
              <w:t xml:space="preserve"> – ссылк</w:t>
            </w:r>
            <w:r w:rsidRPr="00A5626D">
              <w:rPr>
                <w:rFonts w:ascii="Garamond" w:hAnsi="Garamond" w:cstheme="minorHAnsi"/>
                <w:sz w:val="22"/>
                <w:szCs w:val="22"/>
              </w:rPr>
              <w:t>а</w:t>
            </w:r>
            <w:r w:rsidRPr="00A5626D">
              <w:rPr>
                <w:rFonts w:ascii="Garamond" w:eastAsia="Calibri" w:hAnsi="Garamond" w:cstheme="minorHAnsi"/>
                <w:sz w:val="22"/>
                <w:szCs w:val="22"/>
              </w:rPr>
              <w:t xml:space="preserve"> на групповую точку поставки;</w:t>
            </w:r>
          </w:p>
          <w:p w14:paraId="42C67ECD" w14:textId="77777777" w:rsidR="00295C6D" w:rsidRPr="00A5626D" w:rsidRDefault="00295C6D" w:rsidP="00295C6D">
            <w:pPr>
              <w:numPr>
                <w:ilvl w:val="0"/>
                <w:numId w:val="242"/>
              </w:numPr>
              <w:tabs>
                <w:tab w:val="left" w:pos="1134"/>
                <w:tab w:val="left" w:pos="7938"/>
              </w:tabs>
              <w:suppressAutoHyphens w:val="0"/>
              <w:spacing w:before="120" w:after="120" w:line="259" w:lineRule="auto"/>
              <w:ind w:left="0" w:firstLine="456"/>
              <w:contextualSpacing/>
              <w:jc w:val="both"/>
              <w:rPr>
                <w:rFonts w:ascii="Garamond" w:eastAsia="Calibri" w:hAnsi="Garamond" w:cstheme="minorHAnsi"/>
                <w:sz w:val="22"/>
                <w:szCs w:val="22"/>
              </w:rPr>
            </w:pPr>
            <w:r w:rsidRPr="00A5626D">
              <w:rPr>
                <w:rFonts w:ascii="Garamond" w:hAnsi="Garamond" w:cstheme="minorHAnsi"/>
                <w:sz w:val="22"/>
                <w:szCs w:val="22"/>
                <w:lang w:val="en-US"/>
              </w:rPr>
              <w:t>id</w:t>
            </w:r>
            <w:r w:rsidRPr="00A5626D">
              <w:rPr>
                <w:rFonts w:ascii="Garamond" w:hAnsi="Garamond" w:cstheme="minorHAnsi"/>
                <w:sz w:val="22"/>
                <w:szCs w:val="22"/>
              </w:rPr>
              <w:t>-</w:t>
            </w:r>
            <w:r w:rsidRPr="00A5626D">
              <w:rPr>
                <w:rFonts w:ascii="Garamond" w:hAnsi="Garamond" w:cstheme="minorHAnsi"/>
                <w:sz w:val="22"/>
                <w:szCs w:val="22"/>
                <w:lang w:val="en-US"/>
              </w:rPr>
              <w:t>simple</w:t>
            </w:r>
            <w:r w:rsidRPr="00A5626D">
              <w:rPr>
                <w:rFonts w:ascii="Garamond" w:hAnsi="Garamond" w:cstheme="minorHAnsi"/>
                <w:sz w:val="22"/>
                <w:szCs w:val="22"/>
              </w:rPr>
              <w:t>-</w:t>
            </w:r>
            <w:r w:rsidRPr="00A5626D">
              <w:rPr>
                <w:rFonts w:ascii="Garamond" w:hAnsi="Garamond" w:cstheme="minorHAnsi"/>
                <w:sz w:val="22"/>
                <w:szCs w:val="22"/>
                <w:lang w:val="en-US"/>
              </w:rPr>
              <w:t>delivery</w:t>
            </w:r>
            <w:r w:rsidRPr="00A5626D">
              <w:rPr>
                <w:rFonts w:ascii="Garamond" w:hAnsi="Garamond" w:cstheme="minorHAnsi"/>
                <w:sz w:val="22"/>
                <w:szCs w:val="22"/>
              </w:rPr>
              <w:t>-</w:t>
            </w:r>
            <w:r w:rsidRPr="00A5626D">
              <w:rPr>
                <w:rFonts w:ascii="Garamond" w:hAnsi="Garamond" w:cstheme="minorHAnsi"/>
                <w:sz w:val="22"/>
                <w:szCs w:val="22"/>
                <w:lang w:val="en-US"/>
              </w:rPr>
              <w:t>point</w:t>
            </w:r>
            <w:r w:rsidRPr="00A5626D">
              <w:rPr>
                <w:rFonts w:ascii="Garamond" w:hAnsi="Garamond" w:cstheme="minorHAnsi"/>
                <w:sz w:val="22"/>
                <w:szCs w:val="22"/>
              </w:rPr>
              <w:t xml:space="preserve"> – </w:t>
            </w:r>
            <w:r w:rsidRPr="00A5626D">
              <w:rPr>
                <w:rFonts w:ascii="Garamond" w:eastAsia="Calibri" w:hAnsi="Garamond" w:cstheme="minorHAnsi"/>
                <w:sz w:val="22"/>
                <w:szCs w:val="22"/>
              </w:rPr>
              <w:t>ссылка на связанную точку поставки.</w:t>
            </w:r>
          </w:p>
        </w:tc>
        <w:tc>
          <w:tcPr>
            <w:tcW w:w="7088" w:type="dxa"/>
          </w:tcPr>
          <w:p w14:paraId="53FB53D1" w14:textId="77777777" w:rsidR="00295C6D" w:rsidRPr="00A5626D" w:rsidRDefault="00295C6D" w:rsidP="00E31AE6">
            <w:pPr>
              <w:tabs>
                <w:tab w:val="left" w:pos="1134"/>
                <w:tab w:val="left" w:pos="7938"/>
              </w:tabs>
              <w:spacing w:before="120" w:after="120"/>
              <w:ind w:firstLine="424"/>
              <w:jc w:val="both"/>
              <w:rPr>
                <w:rFonts w:ascii="Garamond" w:eastAsia="Calibri" w:hAnsi="Garamond" w:cstheme="minorHAnsi"/>
                <w:sz w:val="22"/>
                <w:szCs w:val="22"/>
                <w:lang w:val="en-US"/>
              </w:rPr>
            </w:pPr>
            <w:r w:rsidRPr="00A5626D">
              <w:rPr>
                <w:rFonts w:ascii="Garamond" w:eastAsia="Calibri" w:hAnsi="Garamond" w:cstheme="minorHAnsi"/>
                <w:sz w:val="22"/>
                <w:szCs w:val="22"/>
                <w:lang w:val="en-US"/>
              </w:rPr>
              <w:t>&lt;group-delivery-point&gt;</w:t>
            </w:r>
          </w:p>
          <w:p w14:paraId="6BCB4E7E" w14:textId="77777777" w:rsidR="00295C6D" w:rsidRPr="00A5626D" w:rsidRDefault="00295C6D" w:rsidP="00E31AE6">
            <w:pPr>
              <w:tabs>
                <w:tab w:val="left" w:pos="1134"/>
                <w:tab w:val="left" w:pos="7938"/>
              </w:tabs>
              <w:spacing w:before="120" w:after="120"/>
              <w:ind w:firstLine="424"/>
              <w:jc w:val="both"/>
              <w:rPr>
                <w:rFonts w:ascii="Garamond" w:eastAsia="Calibri" w:hAnsi="Garamond" w:cstheme="minorHAnsi"/>
                <w:sz w:val="22"/>
                <w:szCs w:val="22"/>
                <w:lang w:val="en-US"/>
              </w:rPr>
            </w:pPr>
            <w:r w:rsidRPr="00A5626D">
              <w:rPr>
                <w:rFonts w:ascii="Garamond" w:eastAsia="Calibri" w:hAnsi="Garamond" w:cstheme="minorHAnsi"/>
                <w:sz w:val="22"/>
                <w:szCs w:val="22"/>
              </w:rPr>
              <w:t>Элемент</w:t>
            </w:r>
            <w:r w:rsidRPr="00A5626D">
              <w:rPr>
                <w:rFonts w:ascii="Garamond" w:eastAsia="Calibri" w:hAnsi="Garamond" w:cstheme="minorHAnsi"/>
                <w:sz w:val="22"/>
                <w:szCs w:val="22"/>
                <w:lang w:val="en-US"/>
              </w:rPr>
              <w:t xml:space="preserve"> &lt;</w:t>
            </w:r>
            <w:r w:rsidRPr="00A5626D">
              <w:rPr>
                <w:rFonts w:ascii="Garamond" w:eastAsia="Calibri" w:hAnsi="Garamond" w:cstheme="minorHAnsi"/>
                <w:b/>
                <w:sz w:val="22"/>
                <w:szCs w:val="22"/>
                <w:lang w:val="en-US"/>
              </w:rPr>
              <w:t>group-delivery-point</w:t>
            </w:r>
            <w:r w:rsidRPr="00A5626D">
              <w:rPr>
                <w:rFonts w:ascii="Garamond" w:eastAsia="Calibri" w:hAnsi="Garamond" w:cstheme="minorHAnsi"/>
                <w:sz w:val="22"/>
                <w:szCs w:val="22"/>
                <w:lang w:val="en-US"/>
              </w:rPr>
              <w:t xml:space="preserve">&gt; </w:t>
            </w:r>
            <w:r w:rsidRPr="00A5626D">
              <w:rPr>
                <w:rFonts w:ascii="Garamond" w:eastAsia="Calibri" w:hAnsi="Garamond" w:cstheme="minorHAnsi"/>
                <w:sz w:val="22"/>
                <w:szCs w:val="22"/>
              </w:rPr>
              <w:t>содержит</w:t>
            </w:r>
            <w:r w:rsidRPr="00A5626D">
              <w:rPr>
                <w:rFonts w:ascii="Garamond" w:eastAsia="Calibri" w:hAnsi="Garamond" w:cstheme="minorHAnsi"/>
                <w:sz w:val="22"/>
                <w:szCs w:val="22"/>
                <w:lang w:val="en-US"/>
              </w:rPr>
              <w:t xml:space="preserve"> </w:t>
            </w:r>
            <w:r w:rsidRPr="00A5626D">
              <w:rPr>
                <w:rFonts w:ascii="Garamond" w:eastAsia="Calibri" w:hAnsi="Garamond" w:cstheme="minorHAnsi"/>
                <w:sz w:val="22"/>
                <w:szCs w:val="22"/>
              </w:rPr>
              <w:t>атрибут</w:t>
            </w:r>
            <w:r w:rsidRPr="00A5626D">
              <w:rPr>
                <w:rFonts w:ascii="Garamond" w:eastAsia="Calibri" w:hAnsi="Garamond" w:cstheme="minorHAnsi"/>
                <w:sz w:val="22"/>
                <w:szCs w:val="22"/>
                <w:lang w:val="en-US"/>
              </w:rPr>
              <w:t>:</w:t>
            </w:r>
          </w:p>
          <w:p w14:paraId="718F223E" w14:textId="77777777" w:rsidR="00295C6D" w:rsidRPr="00A5626D" w:rsidRDefault="00295C6D" w:rsidP="00295C6D">
            <w:pPr>
              <w:numPr>
                <w:ilvl w:val="0"/>
                <w:numId w:val="242"/>
              </w:numPr>
              <w:tabs>
                <w:tab w:val="left" w:pos="1134"/>
                <w:tab w:val="left" w:pos="7938"/>
              </w:tabs>
              <w:suppressAutoHyphens w:val="0"/>
              <w:spacing w:before="120" w:after="120" w:line="259" w:lineRule="auto"/>
              <w:ind w:left="0" w:firstLine="424"/>
              <w:contextualSpacing/>
              <w:jc w:val="both"/>
              <w:rPr>
                <w:rFonts w:ascii="Garamond" w:eastAsia="Calibri" w:hAnsi="Garamond" w:cstheme="minorHAnsi"/>
                <w:sz w:val="22"/>
                <w:szCs w:val="22"/>
              </w:rPr>
            </w:pPr>
            <w:r w:rsidRPr="00A5626D">
              <w:rPr>
                <w:rFonts w:ascii="Garamond" w:hAnsi="Garamond" w:cstheme="minorHAnsi"/>
                <w:sz w:val="22"/>
                <w:szCs w:val="22"/>
                <w:lang w:val="en-US"/>
              </w:rPr>
              <w:t>id</w:t>
            </w:r>
            <w:r w:rsidRPr="00A5626D">
              <w:rPr>
                <w:rFonts w:ascii="Garamond" w:hAnsi="Garamond" w:cstheme="minorHAnsi"/>
                <w:sz w:val="22"/>
                <w:szCs w:val="22"/>
              </w:rPr>
              <w:t>-</w:t>
            </w:r>
            <w:r w:rsidRPr="00A5626D">
              <w:rPr>
                <w:rFonts w:ascii="Garamond" w:hAnsi="Garamond" w:cstheme="minorHAnsi"/>
                <w:sz w:val="22"/>
                <w:szCs w:val="22"/>
                <w:lang w:val="en-US"/>
              </w:rPr>
              <w:t>group</w:t>
            </w:r>
            <w:r w:rsidRPr="00A5626D">
              <w:rPr>
                <w:rFonts w:ascii="Garamond" w:hAnsi="Garamond" w:cstheme="minorHAnsi"/>
                <w:sz w:val="22"/>
                <w:szCs w:val="22"/>
              </w:rPr>
              <w:t>-</w:t>
            </w:r>
            <w:r w:rsidRPr="00A5626D">
              <w:rPr>
                <w:rFonts w:ascii="Garamond" w:hAnsi="Garamond" w:cstheme="minorHAnsi"/>
                <w:sz w:val="22"/>
                <w:szCs w:val="22"/>
                <w:lang w:val="en-US"/>
              </w:rPr>
              <w:t>delivery</w:t>
            </w:r>
            <w:r w:rsidRPr="00A5626D">
              <w:rPr>
                <w:rFonts w:ascii="Garamond" w:hAnsi="Garamond" w:cstheme="minorHAnsi"/>
                <w:sz w:val="22"/>
                <w:szCs w:val="22"/>
              </w:rPr>
              <w:t>-</w:t>
            </w:r>
            <w:r w:rsidRPr="00A5626D">
              <w:rPr>
                <w:rFonts w:ascii="Garamond" w:hAnsi="Garamond" w:cstheme="minorHAnsi"/>
                <w:sz w:val="22"/>
                <w:szCs w:val="22"/>
                <w:lang w:val="en-US"/>
              </w:rPr>
              <w:t>point</w:t>
            </w:r>
            <w:r w:rsidRPr="00A5626D">
              <w:rPr>
                <w:rFonts w:ascii="Garamond" w:eastAsia="Calibri" w:hAnsi="Garamond" w:cstheme="minorHAnsi"/>
                <w:sz w:val="22"/>
                <w:szCs w:val="22"/>
              </w:rPr>
              <w:t xml:space="preserve"> – ссылк</w:t>
            </w:r>
            <w:r w:rsidRPr="00A5626D">
              <w:rPr>
                <w:rFonts w:ascii="Garamond" w:hAnsi="Garamond" w:cstheme="minorHAnsi"/>
                <w:sz w:val="22"/>
                <w:szCs w:val="22"/>
              </w:rPr>
              <w:t>а</w:t>
            </w:r>
            <w:r w:rsidRPr="00A5626D">
              <w:rPr>
                <w:rFonts w:ascii="Garamond" w:eastAsia="Calibri" w:hAnsi="Garamond" w:cstheme="minorHAnsi"/>
                <w:sz w:val="22"/>
                <w:szCs w:val="22"/>
              </w:rPr>
              <w:t xml:space="preserve"> на групповую точку поставки </w:t>
            </w:r>
            <w:r w:rsidRPr="00A5626D">
              <w:rPr>
                <w:rFonts w:ascii="Garamond" w:eastAsia="Calibri" w:hAnsi="Garamond" w:cstheme="minorHAnsi"/>
                <w:sz w:val="22"/>
                <w:szCs w:val="22"/>
                <w:highlight w:val="yellow"/>
              </w:rPr>
              <w:t>(групповую точку присоединения)</w:t>
            </w:r>
            <w:r w:rsidRPr="00A5626D">
              <w:rPr>
                <w:rFonts w:ascii="Garamond" w:eastAsia="Calibri" w:hAnsi="Garamond" w:cstheme="minorHAnsi"/>
                <w:sz w:val="22"/>
                <w:szCs w:val="22"/>
              </w:rPr>
              <w:t>;</w:t>
            </w:r>
          </w:p>
          <w:p w14:paraId="1B21A913" w14:textId="77777777" w:rsidR="00295C6D" w:rsidRPr="00A5626D" w:rsidRDefault="00295C6D" w:rsidP="00295C6D">
            <w:pPr>
              <w:numPr>
                <w:ilvl w:val="0"/>
                <w:numId w:val="242"/>
              </w:numPr>
              <w:tabs>
                <w:tab w:val="left" w:pos="1134"/>
                <w:tab w:val="left" w:pos="7938"/>
              </w:tabs>
              <w:suppressAutoHyphens w:val="0"/>
              <w:spacing w:before="120" w:after="120" w:line="259" w:lineRule="auto"/>
              <w:ind w:left="0" w:firstLine="424"/>
              <w:contextualSpacing/>
              <w:jc w:val="both"/>
              <w:rPr>
                <w:rFonts w:ascii="Garamond" w:hAnsi="Garamond" w:cstheme="minorHAnsi"/>
                <w:sz w:val="22"/>
                <w:szCs w:val="22"/>
              </w:rPr>
            </w:pPr>
            <w:r w:rsidRPr="00A5626D">
              <w:rPr>
                <w:rFonts w:ascii="Garamond" w:hAnsi="Garamond" w:cstheme="minorHAnsi"/>
                <w:sz w:val="22"/>
                <w:szCs w:val="22"/>
                <w:lang w:val="en-US"/>
              </w:rPr>
              <w:t>id</w:t>
            </w:r>
            <w:r w:rsidRPr="00A5626D">
              <w:rPr>
                <w:rFonts w:ascii="Garamond" w:hAnsi="Garamond" w:cstheme="minorHAnsi"/>
                <w:sz w:val="22"/>
                <w:szCs w:val="22"/>
              </w:rPr>
              <w:t>-</w:t>
            </w:r>
            <w:r w:rsidRPr="00A5626D">
              <w:rPr>
                <w:rFonts w:ascii="Garamond" w:hAnsi="Garamond" w:cstheme="minorHAnsi"/>
                <w:sz w:val="22"/>
                <w:szCs w:val="22"/>
                <w:lang w:val="en-US"/>
              </w:rPr>
              <w:t>simple</w:t>
            </w:r>
            <w:r w:rsidRPr="00A5626D">
              <w:rPr>
                <w:rFonts w:ascii="Garamond" w:hAnsi="Garamond" w:cstheme="minorHAnsi"/>
                <w:sz w:val="22"/>
                <w:szCs w:val="22"/>
              </w:rPr>
              <w:t>-</w:t>
            </w:r>
            <w:r w:rsidRPr="00A5626D">
              <w:rPr>
                <w:rFonts w:ascii="Garamond" w:hAnsi="Garamond" w:cstheme="minorHAnsi"/>
                <w:sz w:val="22"/>
                <w:szCs w:val="22"/>
                <w:lang w:val="en-US"/>
              </w:rPr>
              <w:t>delivery</w:t>
            </w:r>
            <w:r w:rsidRPr="00A5626D">
              <w:rPr>
                <w:rFonts w:ascii="Garamond" w:hAnsi="Garamond" w:cstheme="minorHAnsi"/>
                <w:sz w:val="22"/>
                <w:szCs w:val="22"/>
              </w:rPr>
              <w:t>-</w:t>
            </w:r>
            <w:r w:rsidRPr="00A5626D">
              <w:rPr>
                <w:rFonts w:ascii="Garamond" w:hAnsi="Garamond" w:cstheme="minorHAnsi"/>
                <w:sz w:val="22"/>
                <w:szCs w:val="22"/>
                <w:lang w:val="en-US"/>
              </w:rPr>
              <w:t>point</w:t>
            </w:r>
            <w:r w:rsidRPr="00A5626D">
              <w:rPr>
                <w:rFonts w:ascii="Garamond" w:hAnsi="Garamond" w:cstheme="minorHAnsi"/>
                <w:sz w:val="22"/>
                <w:szCs w:val="22"/>
              </w:rPr>
              <w:t xml:space="preserve"> – </w:t>
            </w:r>
            <w:r w:rsidRPr="00A5626D">
              <w:rPr>
                <w:rFonts w:ascii="Garamond" w:eastAsia="Calibri" w:hAnsi="Garamond" w:cstheme="minorHAnsi"/>
                <w:sz w:val="22"/>
                <w:szCs w:val="22"/>
              </w:rPr>
              <w:t xml:space="preserve">ссылка на связанную точку поставки </w:t>
            </w:r>
            <w:r w:rsidRPr="00A5626D">
              <w:rPr>
                <w:rFonts w:ascii="Garamond" w:eastAsia="Calibri" w:hAnsi="Garamond" w:cstheme="minorHAnsi"/>
                <w:sz w:val="22"/>
                <w:szCs w:val="22"/>
                <w:highlight w:val="yellow"/>
              </w:rPr>
              <w:t>(точку присоединения)</w:t>
            </w:r>
            <w:r w:rsidRPr="00A5626D">
              <w:rPr>
                <w:rFonts w:ascii="Garamond" w:eastAsia="Calibri" w:hAnsi="Garamond" w:cstheme="minorHAnsi"/>
                <w:sz w:val="22"/>
                <w:szCs w:val="22"/>
              </w:rPr>
              <w:t>.</w:t>
            </w:r>
          </w:p>
        </w:tc>
      </w:tr>
      <w:tr w:rsidR="00295C6D" w:rsidRPr="00A5626D" w14:paraId="7167AFC6" w14:textId="77777777" w:rsidTr="00647FA0">
        <w:tc>
          <w:tcPr>
            <w:tcW w:w="1060" w:type="dxa"/>
            <w:vAlign w:val="center"/>
          </w:tcPr>
          <w:p w14:paraId="7E991270" w14:textId="24D35B3E" w:rsidR="00295C6D" w:rsidRPr="00A5626D" w:rsidRDefault="00295C6D" w:rsidP="00E31AE6">
            <w:pPr>
              <w:widowControl w:val="0"/>
              <w:tabs>
                <w:tab w:val="left" w:pos="1134"/>
                <w:tab w:val="left" w:pos="7938"/>
              </w:tabs>
              <w:spacing w:line="22" w:lineRule="atLeast"/>
              <w:jc w:val="both"/>
              <w:rPr>
                <w:rFonts w:ascii="Garamond" w:hAnsi="Garamond"/>
                <w:b/>
                <w:sz w:val="22"/>
                <w:szCs w:val="22"/>
                <w:lang w:eastAsia="en-US"/>
              </w:rPr>
            </w:pPr>
            <w:r w:rsidRPr="00A5626D">
              <w:rPr>
                <w:rFonts w:ascii="Garamond" w:hAnsi="Garamond"/>
                <w:b/>
                <w:sz w:val="22"/>
                <w:szCs w:val="22"/>
                <w:lang w:eastAsia="en-US"/>
              </w:rPr>
              <w:t>Приложение 5, п.</w:t>
            </w:r>
            <w:r w:rsidR="00647FA0" w:rsidRPr="00A5626D">
              <w:rPr>
                <w:rFonts w:ascii="Garamond" w:hAnsi="Garamond"/>
                <w:b/>
                <w:sz w:val="22"/>
                <w:szCs w:val="22"/>
                <w:lang w:eastAsia="en-US"/>
              </w:rPr>
              <w:t> </w:t>
            </w:r>
            <w:r w:rsidRPr="00A5626D">
              <w:rPr>
                <w:rFonts w:ascii="Garamond" w:hAnsi="Garamond"/>
                <w:b/>
                <w:sz w:val="22"/>
                <w:szCs w:val="22"/>
                <w:lang w:eastAsia="en-US"/>
              </w:rPr>
              <w:t>4.4.1.2.2.3</w:t>
            </w:r>
          </w:p>
        </w:tc>
        <w:tc>
          <w:tcPr>
            <w:tcW w:w="6662" w:type="dxa"/>
          </w:tcPr>
          <w:p w14:paraId="516558E2" w14:textId="77777777" w:rsidR="00295C6D" w:rsidRPr="00A5626D" w:rsidRDefault="00295C6D" w:rsidP="00E31AE6">
            <w:pPr>
              <w:tabs>
                <w:tab w:val="left" w:pos="1134"/>
                <w:tab w:val="left" w:pos="7938"/>
              </w:tabs>
              <w:spacing w:before="120" w:after="120"/>
              <w:ind w:firstLine="456"/>
              <w:jc w:val="both"/>
              <w:rPr>
                <w:rFonts w:ascii="Garamond" w:hAnsi="Garamond" w:cstheme="minorHAnsi"/>
                <w:sz w:val="22"/>
                <w:szCs w:val="22"/>
              </w:rPr>
            </w:pPr>
            <w:r w:rsidRPr="00A5626D">
              <w:rPr>
                <w:rFonts w:ascii="Garamond" w:hAnsi="Garamond" w:cstheme="minorHAnsi"/>
                <w:sz w:val="22"/>
                <w:szCs w:val="22"/>
              </w:rPr>
              <w:t>&lt;</w:t>
            </w:r>
            <w:r w:rsidRPr="00A5626D">
              <w:rPr>
                <w:rFonts w:ascii="Garamond" w:hAnsi="Garamond" w:cstheme="minorHAnsi"/>
                <w:i/>
                <w:sz w:val="22"/>
                <w:szCs w:val="22"/>
                <w:lang w:val="en-US"/>
              </w:rPr>
              <w:t>aiis</w:t>
            </w:r>
            <w:r w:rsidRPr="00A5626D">
              <w:rPr>
                <w:rFonts w:ascii="Garamond" w:hAnsi="Garamond" w:cstheme="minorHAnsi"/>
                <w:i/>
                <w:sz w:val="22"/>
                <w:szCs w:val="22"/>
              </w:rPr>
              <w:t>-</w:t>
            </w:r>
            <w:r w:rsidRPr="00A5626D">
              <w:rPr>
                <w:rFonts w:ascii="Garamond" w:hAnsi="Garamond" w:cstheme="minorHAnsi"/>
                <w:i/>
                <w:sz w:val="22"/>
                <w:szCs w:val="22"/>
                <w:lang w:val="en-US"/>
              </w:rPr>
              <w:t>small</w:t>
            </w:r>
            <w:r w:rsidRPr="00A5626D">
              <w:rPr>
                <w:rFonts w:ascii="Garamond" w:hAnsi="Garamond" w:cstheme="minorHAnsi"/>
                <w:i/>
                <w:sz w:val="22"/>
                <w:szCs w:val="22"/>
              </w:rPr>
              <w:t>-</w:t>
            </w:r>
            <w:r w:rsidRPr="00A5626D">
              <w:rPr>
                <w:rFonts w:ascii="Garamond" w:hAnsi="Garamond" w:cstheme="minorHAnsi"/>
                <w:i/>
                <w:sz w:val="22"/>
                <w:szCs w:val="22"/>
                <w:lang w:val="en-US"/>
              </w:rPr>
              <w:t>measuring</w:t>
            </w:r>
            <w:r w:rsidRPr="00A5626D">
              <w:rPr>
                <w:rFonts w:ascii="Garamond" w:hAnsi="Garamond" w:cstheme="minorHAnsi"/>
                <w:i/>
                <w:sz w:val="22"/>
                <w:szCs w:val="22"/>
              </w:rPr>
              <w:t>-</w:t>
            </w:r>
            <w:r w:rsidRPr="00A5626D">
              <w:rPr>
                <w:rFonts w:ascii="Garamond" w:hAnsi="Garamond" w:cstheme="minorHAnsi"/>
                <w:i/>
                <w:sz w:val="22"/>
                <w:szCs w:val="22"/>
                <w:lang w:val="en-US"/>
              </w:rPr>
              <w:t>devices</w:t>
            </w:r>
            <w:r w:rsidRPr="00A5626D">
              <w:rPr>
                <w:rFonts w:ascii="Garamond" w:hAnsi="Garamond" w:cstheme="minorHAnsi"/>
                <w:sz w:val="22"/>
                <w:szCs w:val="22"/>
              </w:rPr>
              <w:t>&gt;</w:t>
            </w:r>
          </w:p>
          <w:p w14:paraId="380FBC3B" w14:textId="77777777" w:rsidR="00295C6D" w:rsidRPr="00A5626D" w:rsidRDefault="00295C6D" w:rsidP="00E31AE6">
            <w:pPr>
              <w:tabs>
                <w:tab w:val="left" w:pos="1134"/>
                <w:tab w:val="left" w:pos="7938"/>
              </w:tabs>
              <w:spacing w:before="120" w:after="120"/>
              <w:ind w:firstLine="456"/>
              <w:jc w:val="both"/>
              <w:rPr>
                <w:rFonts w:ascii="Garamond" w:eastAsia="Calibri" w:hAnsi="Garamond" w:cstheme="minorHAnsi"/>
                <w:sz w:val="22"/>
                <w:szCs w:val="22"/>
              </w:rPr>
            </w:pPr>
            <w:r w:rsidRPr="00A5626D">
              <w:rPr>
                <w:rFonts w:ascii="Garamond" w:hAnsi="Garamond" w:cstheme="minorHAnsi"/>
                <w:sz w:val="22"/>
                <w:szCs w:val="22"/>
              </w:rPr>
              <w:t>Элемент &lt;</w:t>
            </w:r>
            <w:r w:rsidRPr="00A5626D">
              <w:rPr>
                <w:rFonts w:ascii="Garamond" w:eastAsia="Calibri" w:hAnsi="Garamond" w:cstheme="minorHAnsi"/>
                <w:b/>
                <w:sz w:val="22"/>
                <w:szCs w:val="22"/>
                <w:lang w:val="en-US"/>
              </w:rPr>
              <w:t>aiis</w:t>
            </w:r>
            <w:r w:rsidRPr="00A5626D">
              <w:rPr>
                <w:rFonts w:ascii="Garamond" w:eastAsia="Calibri" w:hAnsi="Garamond" w:cstheme="minorHAnsi"/>
                <w:b/>
                <w:sz w:val="22"/>
                <w:szCs w:val="22"/>
              </w:rPr>
              <w:t>-</w:t>
            </w:r>
            <w:r w:rsidRPr="00A5626D">
              <w:rPr>
                <w:rFonts w:ascii="Garamond" w:eastAsia="Calibri" w:hAnsi="Garamond" w:cstheme="minorHAnsi"/>
                <w:b/>
                <w:sz w:val="22"/>
                <w:szCs w:val="22"/>
                <w:lang w:val="en-US"/>
              </w:rPr>
              <w:t>small</w:t>
            </w:r>
            <w:r w:rsidRPr="00A5626D">
              <w:rPr>
                <w:rFonts w:ascii="Garamond" w:eastAsia="Calibri" w:hAnsi="Garamond" w:cstheme="minorHAnsi"/>
                <w:b/>
                <w:sz w:val="22"/>
                <w:szCs w:val="22"/>
              </w:rPr>
              <w:t>-</w:t>
            </w:r>
            <w:r w:rsidRPr="00A5626D">
              <w:rPr>
                <w:rFonts w:ascii="Garamond" w:eastAsia="Calibri" w:hAnsi="Garamond" w:cstheme="minorHAnsi"/>
                <w:b/>
                <w:sz w:val="22"/>
                <w:szCs w:val="22"/>
                <w:lang w:val="en-US"/>
              </w:rPr>
              <w:t>measuring</w:t>
            </w:r>
            <w:r w:rsidRPr="00A5626D">
              <w:rPr>
                <w:rFonts w:ascii="Garamond" w:eastAsia="Calibri" w:hAnsi="Garamond" w:cstheme="minorHAnsi"/>
                <w:b/>
                <w:sz w:val="22"/>
                <w:szCs w:val="22"/>
              </w:rPr>
              <w:t>-</w:t>
            </w:r>
            <w:r w:rsidRPr="00A5626D">
              <w:rPr>
                <w:rFonts w:ascii="Garamond" w:eastAsia="Calibri" w:hAnsi="Garamond" w:cstheme="minorHAnsi"/>
                <w:b/>
                <w:sz w:val="22"/>
                <w:szCs w:val="22"/>
                <w:lang w:val="en-US"/>
              </w:rPr>
              <w:t>devices</w:t>
            </w:r>
            <w:r w:rsidRPr="00A5626D">
              <w:rPr>
                <w:rFonts w:ascii="Garamond" w:eastAsia="Calibri" w:hAnsi="Garamond" w:cstheme="minorHAnsi"/>
                <w:sz w:val="22"/>
                <w:szCs w:val="22"/>
              </w:rPr>
              <w:t xml:space="preserve">&gt; содержит информацию о включении ПУ в группы «малых». Не допустимо заполнение для </w:t>
            </w:r>
            <w:r w:rsidRPr="00A5626D">
              <w:rPr>
                <w:rFonts w:ascii="Garamond" w:eastAsia="Calibri" w:hAnsi="Garamond" w:cstheme="minorHAnsi"/>
                <w:sz w:val="22"/>
                <w:szCs w:val="22"/>
                <w:highlight w:val="yellow"/>
              </w:rPr>
              <w:t>ГТПГ</w:t>
            </w:r>
            <w:r w:rsidRPr="00A5626D">
              <w:rPr>
                <w:rFonts w:ascii="Garamond" w:eastAsia="Calibri" w:hAnsi="Garamond" w:cstheme="minorHAnsi"/>
                <w:sz w:val="22"/>
                <w:szCs w:val="22"/>
              </w:rPr>
              <w:t>.</w:t>
            </w:r>
          </w:p>
          <w:p w14:paraId="4EB4ED03" w14:textId="77777777" w:rsidR="00295C6D" w:rsidRPr="00A5626D" w:rsidRDefault="00295C6D" w:rsidP="00E31AE6">
            <w:pPr>
              <w:tabs>
                <w:tab w:val="left" w:pos="1134"/>
                <w:tab w:val="left" w:pos="7938"/>
              </w:tabs>
              <w:spacing w:before="120" w:after="120"/>
              <w:ind w:firstLine="456"/>
              <w:jc w:val="both"/>
              <w:rPr>
                <w:rFonts w:ascii="Garamond" w:eastAsia="Calibri" w:hAnsi="Garamond" w:cstheme="minorHAnsi"/>
                <w:sz w:val="22"/>
                <w:szCs w:val="22"/>
              </w:rPr>
            </w:pPr>
            <w:r w:rsidRPr="00A5626D">
              <w:rPr>
                <w:rFonts w:ascii="Garamond" w:eastAsia="Calibri" w:hAnsi="Garamond" w:cstheme="minorHAnsi"/>
                <w:sz w:val="22"/>
                <w:szCs w:val="22"/>
              </w:rPr>
              <w:t>Содержит дочерние элементы &lt;</w:t>
            </w:r>
            <w:r w:rsidRPr="00A5626D">
              <w:rPr>
                <w:rFonts w:ascii="Garamond" w:eastAsia="Calibri" w:hAnsi="Garamond" w:cstheme="minorHAnsi"/>
                <w:b/>
                <w:sz w:val="22"/>
                <w:szCs w:val="22"/>
                <w:lang w:val="en-US"/>
              </w:rPr>
              <w:t>aiis</w:t>
            </w:r>
            <w:r w:rsidRPr="00A5626D">
              <w:rPr>
                <w:rFonts w:ascii="Garamond" w:eastAsia="Calibri" w:hAnsi="Garamond" w:cstheme="minorHAnsi"/>
                <w:b/>
                <w:sz w:val="22"/>
                <w:szCs w:val="22"/>
              </w:rPr>
              <w:t>-</w:t>
            </w:r>
            <w:r w:rsidRPr="00A5626D">
              <w:rPr>
                <w:rFonts w:ascii="Garamond" w:eastAsia="Calibri" w:hAnsi="Garamond" w:cstheme="minorHAnsi"/>
                <w:b/>
                <w:sz w:val="22"/>
                <w:szCs w:val="22"/>
                <w:lang w:val="en-US"/>
              </w:rPr>
              <w:t>small</w:t>
            </w:r>
            <w:r w:rsidRPr="00A5626D">
              <w:rPr>
                <w:rFonts w:ascii="Garamond" w:eastAsia="Calibri" w:hAnsi="Garamond" w:cstheme="minorHAnsi"/>
                <w:b/>
                <w:sz w:val="22"/>
                <w:szCs w:val="22"/>
              </w:rPr>
              <w:t>-</w:t>
            </w:r>
            <w:r w:rsidRPr="00A5626D">
              <w:rPr>
                <w:rFonts w:ascii="Garamond" w:eastAsia="Calibri" w:hAnsi="Garamond" w:cstheme="minorHAnsi"/>
                <w:b/>
                <w:sz w:val="22"/>
                <w:szCs w:val="22"/>
                <w:lang w:val="en-US"/>
              </w:rPr>
              <w:t>measuring</w:t>
            </w:r>
            <w:r w:rsidRPr="00A5626D">
              <w:rPr>
                <w:rFonts w:ascii="Garamond" w:eastAsia="Calibri" w:hAnsi="Garamond" w:cstheme="minorHAnsi"/>
                <w:b/>
                <w:sz w:val="22"/>
                <w:szCs w:val="22"/>
              </w:rPr>
              <w:t>-</w:t>
            </w:r>
            <w:r w:rsidRPr="00A5626D">
              <w:rPr>
                <w:rFonts w:ascii="Garamond" w:eastAsia="Calibri" w:hAnsi="Garamond" w:cstheme="minorHAnsi"/>
                <w:b/>
                <w:sz w:val="22"/>
                <w:szCs w:val="22"/>
                <w:lang w:val="en-US"/>
              </w:rPr>
              <w:t>device</w:t>
            </w:r>
            <w:r w:rsidRPr="00A5626D">
              <w:rPr>
                <w:rFonts w:ascii="Garamond" w:eastAsia="Calibri" w:hAnsi="Garamond" w:cstheme="minorHAnsi"/>
                <w:sz w:val="22"/>
                <w:szCs w:val="22"/>
              </w:rPr>
              <w:t>&gt;.</w:t>
            </w:r>
          </w:p>
        </w:tc>
        <w:tc>
          <w:tcPr>
            <w:tcW w:w="7088" w:type="dxa"/>
          </w:tcPr>
          <w:p w14:paraId="0DF5742B" w14:textId="77777777" w:rsidR="00295C6D" w:rsidRPr="00A5626D" w:rsidRDefault="00295C6D" w:rsidP="00E31AE6">
            <w:pPr>
              <w:tabs>
                <w:tab w:val="left" w:pos="1134"/>
                <w:tab w:val="left" w:pos="7938"/>
              </w:tabs>
              <w:spacing w:before="120" w:after="120"/>
              <w:ind w:firstLine="456"/>
              <w:jc w:val="both"/>
              <w:rPr>
                <w:rFonts w:ascii="Garamond" w:hAnsi="Garamond" w:cstheme="minorHAnsi"/>
                <w:sz w:val="22"/>
                <w:szCs w:val="22"/>
              </w:rPr>
            </w:pPr>
            <w:r w:rsidRPr="00A5626D">
              <w:rPr>
                <w:rFonts w:ascii="Garamond" w:hAnsi="Garamond" w:cstheme="minorHAnsi"/>
                <w:sz w:val="22"/>
                <w:szCs w:val="22"/>
              </w:rPr>
              <w:t>&lt;</w:t>
            </w:r>
            <w:r w:rsidRPr="00A5626D">
              <w:rPr>
                <w:rFonts w:ascii="Garamond" w:hAnsi="Garamond" w:cstheme="minorHAnsi"/>
                <w:i/>
                <w:sz w:val="22"/>
                <w:szCs w:val="22"/>
                <w:lang w:val="en-US"/>
              </w:rPr>
              <w:t>aiis</w:t>
            </w:r>
            <w:r w:rsidRPr="00A5626D">
              <w:rPr>
                <w:rFonts w:ascii="Garamond" w:hAnsi="Garamond" w:cstheme="minorHAnsi"/>
                <w:i/>
                <w:sz w:val="22"/>
                <w:szCs w:val="22"/>
              </w:rPr>
              <w:t>-</w:t>
            </w:r>
            <w:r w:rsidRPr="00A5626D">
              <w:rPr>
                <w:rFonts w:ascii="Garamond" w:hAnsi="Garamond" w:cstheme="minorHAnsi"/>
                <w:i/>
                <w:sz w:val="22"/>
                <w:szCs w:val="22"/>
                <w:lang w:val="en-US"/>
              </w:rPr>
              <w:t>small</w:t>
            </w:r>
            <w:r w:rsidRPr="00A5626D">
              <w:rPr>
                <w:rFonts w:ascii="Garamond" w:hAnsi="Garamond" w:cstheme="minorHAnsi"/>
                <w:i/>
                <w:sz w:val="22"/>
                <w:szCs w:val="22"/>
              </w:rPr>
              <w:t>-</w:t>
            </w:r>
            <w:r w:rsidRPr="00A5626D">
              <w:rPr>
                <w:rFonts w:ascii="Garamond" w:hAnsi="Garamond" w:cstheme="minorHAnsi"/>
                <w:i/>
                <w:sz w:val="22"/>
                <w:szCs w:val="22"/>
                <w:lang w:val="en-US"/>
              </w:rPr>
              <w:t>measuring</w:t>
            </w:r>
            <w:r w:rsidRPr="00A5626D">
              <w:rPr>
                <w:rFonts w:ascii="Garamond" w:hAnsi="Garamond" w:cstheme="minorHAnsi"/>
                <w:i/>
                <w:sz w:val="22"/>
                <w:szCs w:val="22"/>
              </w:rPr>
              <w:t>-</w:t>
            </w:r>
            <w:r w:rsidRPr="00A5626D">
              <w:rPr>
                <w:rFonts w:ascii="Garamond" w:hAnsi="Garamond" w:cstheme="minorHAnsi"/>
                <w:i/>
                <w:sz w:val="22"/>
                <w:szCs w:val="22"/>
                <w:lang w:val="en-US"/>
              </w:rPr>
              <w:t>devices</w:t>
            </w:r>
            <w:r w:rsidRPr="00A5626D">
              <w:rPr>
                <w:rFonts w:ascii="Garamond" w:hAnsi="Garamond" w:cstheme="minorHAnsi"/>
                <w:sz w:val="22"/>
                <w:szCs w:val="22"/>
              </w:rPr>
              <w:t>&gt;</w:t>
            </w:r>
          </w:p>
          <w:p w14:paraId="1C765490" w14:textId="77777777" w:rsidR="00295C6D" w:rsidRPr="00A5626D" w:rsidRDefault="00295C6D" w:rsidP="00E31AE6">
            <w:pPr>
              <w:tabs>
                <w:tab w:val="left" w:pos="1134"/>
                <w:tab w:val="left" w:pos="7938"/>
              </w:tabs>
              <w:spacing w:before="120" w:after="120"/>
              <w:ind w:firstLine="456"/>
              <w:jc w:val="both"/>
              <w:rPr>
                <w:rFonts w:ascii="Garamond" w:eastAsia="Calibri" w:hAnsi="Garamond" w:cstheme="minorHAnsi"/>
                <w:sz w:val="22"/>
                <w:szCs w:val="22"/>
              </w:rPr>
            </w:pPr>
            <w:r w:rsidRPr="00A5626D">
              <w:rPr>
                <w:rFonts w:ascii="Garamond" w:hAnsi="Garamond" w:cstheme="minorHAnsi"/>
                <w:sz w:val="22"/>
                <w:szCs w:val="22"/>
              </w:rPr>
              <w:t>Элемент &lt;</w:t>
            </w:r>
            <w:r w:rsidRPr="00A5626D">
              <w:rPr>
                <w:rFonts w:ascii="Garamond" w:eastAsia="Calibri" w:hAnsi="Garamond" w:cstheme="minorHAnsi"/>
                <w:b/>
                <w:sz w:val="22"/>
                <w:szCs w:val="22"/>
                <w:lang w:val="en-US"/>
              </w:rPr>
              <w:t>aiis</w:t>
            </w:r>
            <w:r w:rsidRPr="00A5626D">
              <w:rPr>
                <w:rFonts w:ascii="Garamond" w:eastAsia="Calibri" w:hAnsi="Garamond" w:cstheme="minorHAnsi"/>
                <w:b/>
                <w:sz w:val="22"/>
                <w:szCs w:val="22"/>
              </w:rPr>
              <w:t>-</w:t>
            </w:r>
            <w:r w:rsidRPr="00A5626D">
              <w:rPr>
                <w:rFonts w:ascii="Garamond" w:eastAsia="Calibri" w:hAnsi="Garamond" w:cstheme="minorHAnsi"/>
                <w:b/>
                <w:sz w:val="22"/>
                <w:szCs w:val="22"/>
                <w:lang w:val="en-US"/>
              </w:rPr>
              <w:t>small</w:t>
            </w:r>
            <w:r w:rsidRPr="00A5626D">
              <w:rPr>
                <w:rFonts w:ascii="Garamond" w:eastAsia="Calibri" w:hAnsi="Garamond" w:cstheme="minorHAnsi"/>
                <w:b/>
                <w:sz w:val="22"/>
                <w:szCs w:val="22"/>
              </w:rPr>
              <w:t>-</w:t>
            </w:r>
            <w:r w:rsidRPr="00A5626D">
              <w:rPr>
                <w:rFonts w:ascii="Garamond" w:eastAsia="Calibri" w:hAnsi="Garamond" w:cstheme="minorHAnsi"/>
                <w:b/>
                <w:sz w:val="22"/>
                <w:szCs w:val="22"/>
                <w:lang w:val="en-US"/>
              </w:rPr>
              <w:t>measuring</w:t>
            </w:r>
            <w:r w:rsidRPr="00A5626D">
              <w:rPr>
                <w:rFonts w:ascii="Garamond" w:eastAsia="Calibri" w:hAnsi="Garamond" w:cstheme="minorHAnsi"/>
                <w:b/>
                <w:sz w:val="22"/>
                <w:szCs w:val="22"/>
              </w:rPr>
              <w:t>-</w:t>
            </w:r>
            <w:r w:rsidRPr="00A5626D">
              <w:rPr>
                <w:rFonts w:ascii="Garamond" w:eastAsia="Calibri" w:hAnsi="Garamond" w:cstheme="minorHAnsi"/>
                <w:b/>
                <w:sz w:val="22"/>
                <w:szCs w:val="22"/>
                <w:lang w:val="en-US"/>
              </w:rPr>
              <w:t>devices</w:t>
            </w:r>
            <w:r w:rsidRPr="00A5626D">
              <w:rPr>
                <w:rFonts w:ascii="Garamond" w:eastAsia="Calibri" w:hAnsi="Garamond" w:cstheme="minorHAnsi"/>
                <w:sz w:val="22"/>
                <w:szCs w:val="22"/>
              </w:rPr>
              <w:t xml:space="preserve">&gt; содержит информацию о включении ПУ в группы «малых». Не допустимо заполнение для </w:t>
            </w:r>
            <w:r w:rsidRPr="00A5626D">
              <w:rPr>
                <w:rFonts w:ascii="Garamond" w:eastAsia="Calibri" w:hAnsi="Garamond" w:cstheme="minorHAnsi"/>
                <w:sz w:val="22"/>
                <w:szCs w:val="22"/>
                <w:highlight w:val="yellow"/>
              </w:rPr>
              <w:t>ГТП генерации и ОР</w:t>
            </w:r>
            <w:r w:rsidRPr="00A5626D">
              <w:rPr>
                <w:rFonts w:ascii="Garamond" w:eastAsia="Calibri" w:hAnsi="Garamond" w:cstheme="minorHAnsi"/>
                <w:sz w:val="22"/>
                <w:szCs w:val="22"/>
              </w:rPr>
              <w:t>.</w:t>
            </w:r>
          </w:p>
          <w:p w14:paraId="0296E1F9" w14:textId="77777777" w:rsidR="00295C6D" w:rsidRPr="00A5626D" w:rsidRDefault="00295C6D" w:rsidP="00E31AE6">
            <w:pPr>
              <w:tabs>
                <w:tab w:val="left" w:pos="1134"/>
                <w:tab w:val="left" w:pos="7938"/>
              </w:tabs>
              <w:spacing w:before="120" w:after="120"/>
              <w:ind w:firstLine="456"/>
              <w:jc w:val="both"/>
              <w:rPr>
                <w:rFonts w:ascii="Garamond" w:hAnsi="Garamond" w:cstheme="minorHAnsi"/>
                <w:sz w:val="22"/>
                <w:szCs w:val="22"/>
              </w:rPr>
            </w:pPr>
            <w:r w:rsidRPr="00A5626D">
              <w:rPr>
                <w:rFonts w:ascii="Garamond" w:eastAsia="Calibri" w:hAnsi="Garamond" w:cstheme="minorHAnsi"/>
                <w:sz w:val="22"/>
                <w:szCs w:val="22"/>
              </w:rPr>
              <w:t>Содержит дочерние элементы &lt;</w:t>
            </w:r>
            <w:r w:rsidRPr="00A5626D">
              <w:rPr>
                <w:rFonts w:ascii="Garamond" w:eastAsia="Calibri" w:hAnsi="Garamond" w:cstheme="minorHAnsi"/>
                <w:b/>
                <w:sz w:val="22"/>
                <w:szCs w:val="22"/>
                <w:lang w:val="en-US"/>
              </w:rPr>
              <w:t>aiis</w:t>
            </w:r>
            <w:r w:rsidRPr="00A5626D">
              <w:rPr>
                <w:rFonts w:ascii="Garamond" w:eastAsia="Calibri" w:hAnsi="Garamond" w:cstheme="minorHAnsi"/>
                <w:b/>
                <w:sz w:val="22"/>
                <w:szCs w:val="22"/>
              </w:rPr>
              <w:t>-</w:t>
            </w:r>
            <w:r w:rsidRPr="00A5626D">
              <w:rPr>
                <w:rFonts w:ascii="Garamond" w:eastAsia="Calibri" w:hAnsi="Garamond" w:cstheme="minorHAnsi"/>
                <w:b/>
                <w:sz w:val="22"/>
                <w:szCs w:val="22"/>
                <w:lang w:val="en-US"/>
              </w:rPr>
              <w:t>small</w:t>
            </w:r>
            <w:r w:rsidRPr="00A5626D">
              <w:rPr>
                <w:rFonts w:ascii="Garamond" w:eastAsia="Calibri" w:hAnsi="Garamond" w:cstheme="minorHAnsi"/>
                <w:b/>
                <w:sz w:val="22"/>
                <w:szCs w:val="22"/>
              </w:rPr>
              <w:t>-</w:t>
            </w:r>
            <w:r w:rsidRPr="00A5626D">
              <w:rPr>
                <w:rFonts w:ascii="Garamond" w:eastAsia="Calibri" w:hAnsi="Garamond" w:cstheme="minorHAnsi"/>
                <w:b/>
                <w:sz w:val="22"/>
                <w:szCs w:val="22"/>
                <w:lang w:val="en-US"/>
              </w:rPr>
              <w:t>measuring</w:t>
            </w:r>
            <w:r w:rsidRPr="00A5626D">
              <w:rPr>
                <w:rFonts w:ascii="Garamond" w:eastAsia="Calibri" w:hAnsi="Garamond" w:cstheme="minorHAnsi"/>
                <w:b/>
                <w:sz w:val="22"/>
                <w:szCs w:val="22"/>
              </w:rPr>
              <w:t>-</w:t>
            </w:r>
            <w:r w:rsidRPr="00A5626D">
              <w:rPr>
                <w:rFonts w:ascii="Garamond" w:eastAsia="Calibri" w:hAnsi="Garamond" w:cstheme="minorHAnsi"/>
                <w:b/>
                <w:sz w:val="22"/>
                <w:szCs w:val="22"/>
                <w:lang w:val="en-US"/>
              </w:rPr>
              <w:t>device</w:t>
            </w:r>
            <w:r w:rsidRPr="00A5626D">
              <w:rPr>
                <w:rFonts w:ascii="Garamond" w:eastAsia="Calibri" w:hAnsi="Garamond" w:cstheme="minorHAnsi"/>
                <w:sz w:val="22"/>
                <w:szCs w:val="22"/>
              </w:rPr>
              <w:t>&gt;.</w:t>
            </w:r>
          </w:p>
        </w:tc>
      </w:tr>
      <w:tr w:rsidR="00295C6D" w:rsidRPr="00A5626D" w14:paraId="2B365130" w14:textId="77777777" w:rsidTr="00647FA0">
        <w:tc>
          <w:tcPr>
            <w:tcW w:w="1060" w:type="dxa"/>
            <w:vAlign w:val="center"/>
          </w:tcPr>
          <w:p w14:paraId="31CF201D" w14:textId="537BCB64" w:rsidR="00295C6D" w:rsidRPr="00A5626D" w:rsidRDefault="00295C6D" w:rsidP="00E31AE6">
            <w:pPr>
              <w:widowControl w:val="0"/>
              <w:tabs>
                <w:tab w:val="left" w:pos="1134"/>
                <w:tab w:val="left" w:pos="7938"/>
              </w:tabs>
              <w:spacing w:line="22" w:lineRule="atLeast"/>
              <w:jc w:val="both"/>
              <w:rPr>
                <w:rFonts w:ascii="Garamond" w:hAnsi="Garamond"/>
                <w:b/>
                <w:sz w:val="22"/>
                <w:szCs w:val="22"/>
                <w:lang w:eastAsia="en-US"/>
              </w:rPr>
            </w:pPr>
            <w:r w:rsidRPr="00A5626D">
              <w:rPr>
                <w:rFonts w:ascii="Garamond" w:hAnsi="Garamond"/>
                <w:b/>
                <w:sz w:val="22"/>
                <w:szCs w:val="22"/>
                <w:lang w:eastAsia="en-US"/>
              </w:rPr>
              <w:t>Приложение 5, п.</w:t>
            </w:r>
            <w:r w:rsidR="00647FA0" w:rsidRPr="00A5626D">
              <w:rPr>
                <w:rFonts w:ascii="Garamond" w:hAnsi="Garamond"/>
                <w:b/>
                <w:sz w:val="22"/>
                <w:szCs w:val="22"/>
                <w:lang w:eastAsia="en-US"/>
              </w:rPr>
              <w:t> </w:t>
            </w:r>
            <w:r w:rsidRPr="00A5626D">
              <w:rPr>
                <w:rFonts w:ascii="Garamond" w:hAnsi="Garamond"/>
                <w:b/>
                <w:sz w:val="22"/>
                <w:szCs w:val="22"/>
                <w:lang w:eastAsia="en-US"/>
              </w:rPr>
              <w:t>4.4.1.2.2.4</w:t>
            </w:r>
          </w:p>
        </w:tc>
        <w:tc>
          <w:tcPr>
            <w:tcW w:w="6662" w:type="dxa"/>
          </w:tcPr>
          <w:p w14:paraId="720FD991" w14:textId="77777777" w:rsidR="00295C6D" w:rsidRPr="00A5626D" w:rsidRDefault="00295C6D" w:rsidP="00E31AE6">
            <w:pPr>
              <w:tabs>
                <w:tab w:val="left" w:pos="1134"/>
                <w:tab w:val="left" w:pos="7938"/>
              </w:tabs>
              <w:spacing w:before="120" w:after="120"/>
              <w:ind w:firstLine="456"/>
              <w:jc w:val="both"/>
              <w:rPr>
                <w:rFonts w:ascii="Garamond" w:hAnsi="Garamond" w:cstheme="minorHAnsi"/>
                <w:sz w:val="22"/>
                <w:szCs w:val="22"/>
                <w:lang w:val="en-US"/>
              </w:rPr>
            </w:pPr>
            <w:r w:rsidRPr="00A5626D">
              <w:rPr>
                <w:rFonts w:ascii="Garamond" w:hAnsi="Garamond" w:cstheme="minorHAnsi"/>
                <w:sz w:val="22"/>
                <w:szCs w:val="22"/>
                <w:lang w:val="en-US"/>
              </w:rPr>
              <w:t>&lt;</w:t>
            </w:r>
            <w:r w:rsidRPr="00A5626D">
              <w:rPr>
                <w:rFonts w:ascii="Garamond" w:eastAsia="Calibri" w:hAnsi="Garamond" w:cstheme="minorHAnsi"/>
                <w:i/>
                <w:iCs/>
                <w:sz w:val="22"/>
                <w:szCs w:val="22"/>
                <w:lang w:val="en-US"/>
              </w:rPr>
              <w:t>power</w:t>
            </w:r>
            <w:r w:rsidRPr="00A5626D">
              <w:rPr>
                <w:rFonts w:ascii="Garamond" w:hAnsi="Garamond" w:cstheme="minorHAnsi"/>
                <w:i/>
                <w:iCs/>
                <w:sz w:val="22"/>
                <w:szCs w:val="22"/>
                <w:lang w:val="en-US"/>
              </w:rPr>
              <w:t>-center-power-object-links</w:t>
            </w:r>
            <w:r w:rsidRPr="00A5626D">
              <w:rPr>
                <w:rFonts w:ascii="Garamond" w:hAnsi="Garamond" w:cstheme="minorHAnsi"/>
                <w:sz w:val="22"/>
                <w:szCs w:val="22"/>
                <w:lang w:val="en-US"/>
              </w:rPr>
              <w:t>&gt;</w:t>
            </w:r>
          </w:p>
          <w:p w14:paraId="651A7221" w14:textId="77777777" w:rsidR="00295C6D" w:rsidRPr="00A5626D" w:rsidRDefault="00295C6D" w:rsidP="00E31AE6">
            <w:pPr>
              <w:tabs>
                <w:tab w:val="left" w:pos="1134"/>
                <w:tab w:val="left" w:pos="7938"/>
              </w:tabs>
              <w:spacing w:before="120" w:after="120"/>
              <w:ind w:firstLine="456"/>
              <w:jc w:val="both"/>
              <w:rPr>
                <w:rFonts w:ascii="Garamond" w:eastAsia="Calibri" w:hAnsi="Garamond" w:cstheme="minorHAnsi"/>
                <w:sz w:val="22"/>
                <w:szCs w:val="22"/>
              </w:rPr>
            </w:pPr>
            <w:r w:rsidRPr="00A5626D">
              <w:rPr>
                <w:rFonts w:ascii="Garamond" w:hAnsi="Garamond" w:cstheme="minorHAnsi"/>
                <w:sz w:val="22"/>
                <w:szCs w:val="22"/>
              </w:rPr>
              <w:t>Элемент &lt;</w:t>
            </w:r>
            <w:r w:rsidRPr="00A5626D">
              <w:rPr>
                <w:rFonts w:ascii="Garamond" w:eastAsia="Calibri" w:hAnsi="Garamond" w:cstheme="minorHAnsi"/>
                <w:b/>
                <w:sz w:val="22"/>
                <w:szCs w:val="22"/>
                <w:lang w:val="en-US"/>
              </w:rPr>
              <w:t>power</w:t>
            </w:r>
            <w:r w:rsidRPr="00A5626D">
              <w:rPr>
                <w:rFonts w:ascii="Garamond" w:eastAsia="Calibri" w:hAnsi="Garamond" w:cstheme="minorHAnsi"/>
                <w:b/>
                <w:sz w:val="22"/>
                <w:szCs w:val="22"/>
              </w:rPr>
              <w:t>-</w:t>
            </w:r>
            <w:r w:rsidRPr="00A5626D">
              <w:rPr>
                <w:rFonts w:ascii="Garamond" w:eastAsia="Calibri" w:hAnsi="Garamond" w:cstheme="minorHAnsi"/>
                <w:b/>
                <w:sz w:val="22"/>
                <w:szCs w:val="22"/>
                <w:lang w:val="en-US"/>
              </w:rPr>
              <w:t>center</w:t>
            </w:r>
            <w:r w:rsidRPr="00A5626D">
              <w:rPr>
                <w:rFonts w:ascii="Garamond" w:eastAsia="Calibri" w:hAnsi="Garamond" w:cstheme="minorHAnsi"/>
                <w:b/>
                <w:sz w:val="22"/>
                <w:szCs w:val="22"/>
              </w:rPr>
              <w:t>-</w:t>
            </w:r>
            <w:r w:rsidRPr="00A5626D">
              <w:rPr>
                <w:rFonts w:ascii="Garamond" w:eastAsia="Calibri" w:hAnsi="Garamond" w:cstheme="minorHAnsi"/>
                <w:b/>
                <w:sz w:val="22"/>
                <w:szCs w:val="22"/>
                <w:lang w:val="en-US"/>
              </w:rPr>
              <w:t>power</w:t>
            </w:r>
            <w:r w:rsidRPr="00A5626D">
              <w:rPr>
                <w:rFonts w:ascii="Garamond" w:eastAsia="Calibri" w:hAnsi="Garamond" w:cstheme="minorHAnsi"/>
                <w:b/>
                <w:sz w:val="22"/>
                <w:szCs w:val="22"/>
              </w:rPr>
              <w:t>-</w:t>
            </w:r>
            <w:r w:rsidRPr="00A5626D">
              <w:rPr>
                <w:rFonts w:ascii="Garamond" w:eastAsia="Calibri" w:hAnsi="Garamond" w:cstheme="minorHAnsi"/>
                <w:b/>
                <w:sz w:val="22"/>
                <w:szCs w:val="22"/>
                <w:lang w:val="en-US"/>
              </w:rPr>
              <w:t>object</w:t>
            </w:r>
            <w:r w:rsidRPr="00A5626D">
              <w:rPr>
                <w:rFonts w:ascii="Garamond" w:eastAsia="Calibri" w:hAnsi="Garamond" w:cstheme="minorHAnsi"/>
                <w:b/>
                <w:sz w:val="22"/>
                <w:szCs w:val="22"/>
              </w:rPr>
              <w:t>-</w:t>
            </w:r>
            <w:r w:rsidRPr="00A5626D">
              <w:rPr>
                <w:rFonts w:ascii="Garamond" w:eastAsia="Calibri" w:hAnsi="Garamond" w:cstheme="minorHAnsi"/>
                <w:b/>
                <w:sz w:val="22"/>
                <w:szCs w:val="22"/>
                <w:lang w:val="en-US"/>
              </w:rPr>
              <w:t>links</w:t>
            </w:r>
            <w:r w:rsidRPr="00A5626D">
              <w:rPr>
                <w:rFonts w:ascii="Garamond" w:eastAsia="Calibri" w:hAnsi="Garamond" w:cstheme="minorHAnsi"/>
                <w:sz w:val="22"/>
                <w:szCs w:val="22"/>
              </w:rPr>
              <w:t>&gt; содержит информацию о связях энергообъектов с центрами питания.</w:t>
            </w:r>
          </w:p>
          <w:p w14:paraId="42994FE7" w14:textId="77777777" w:rsidR="00295C6D" w:rsidRPr="00A5626D" w:rsidRDefault="00295C6D" w:rsidP="00E31AE6">
            <w:pPr>
              <w:tabs>
                <w:tab w:val="left" w:pos="1134"/>
                <w:tab w:val="left" w:pos="7938"/>
              </w:tabs>
              <w:spacing w:before="120" w:after="120"/>
              <w:ind w:firstLine="456"/>
              <w:jc w:val="both"/>
              <w:rPr>
                <w:rFonts w:ascii="Garamond" w:eastAsia="Calibri" w:hAnsi="Garamond" w:cstheme="minorHAnsi"/>
                <w:sz w:val="22"/>
                <w:szCs w:val="22"/>
                <w:lang w:val="en-US"/>
              </w:rPr>
            </w:pPr>
            <w:r w:rsidRPr="00A5626D">
              <w:rPr>
                <w:rFonts w:ascii="Garamond" w:hAnsi="Garamond" w:cstheme="minorHAnsi"/>
                <w:sz w:val="22"/>
                <w:szCs w:val="22"/>
              </w:rPr>
              <w:t>Дочерними</w:t>
            </w:r>
            <w:r w:rsidRPr="00A5626D">
              <w:rPr>
                <w:rFonts w:ascii="Garamond" w:hAnsi="Garamond" w:cstheme="minorHAnsi"/>
                <w:sz w:val="22"/>
                <w:szCs w:val="22"/>
                <w:lang w:val="en-US"/>
              </w:rPr>
              <w:t xml:space="preserve"> </w:t>
            </w:r>
            <w:r w:rsidRPr="00A5626D">
              <w:rPr>
                <w:rFonts w:ascii="Garamond" w:hAnsi="Garamond" w:cstheme="minorHAnsi"/>
                <w:sz w:val="22"/>
                <w:szCs w:val="22"/>
              </w:rPr>
              <w:t>элементами</w:t>
            </w:r>
            <w:r w:rsidRPr="00A5626D">
              <w:rPr>
                <w:rFonts w:ascii="Garamond" w:hAnsi="Garamond" w:cstheme="minorHAnsi"/>
                <w:sz w:val="22"/>
                <w:szCs w:val="22"/>
                <w:lang w:val="en-US"/>
              </w:rPr>
              <w:t xml:space="preserve"> </w:t>
            </w:r>
            <w:r w:rsidRPr="00A5626D">
              <w:rPr>
                <w:rFonts w:ascii="Garamond" w:hAnsi="Garamond" w:cstheme="minorHAnsi"/>
                <w:sz w:val="22"/>
                <w:szCs w:val="22"/>
              </w:rPr>
              <w:t>являются</w:t>
            </w:r>
            <w:r w:rsidRPr="00A5626D">
              <w:rPr>
                <w:rFonts w:ascii="Garamond" w:hAnsi="Garamond" w:cstheme="minorHAnsi"/>
                <w:sz w:val="22"/>
                <w:szCs w:val="22"/>
                <w:lang w:val="en-US"/>
              </w:rPr>
              <w:t xml:space="preserve"> </w:t>
            </w:r>
            <w:r w:rsidRPr="00A5626D">
              <w:rPr>
                <w:rFonts w:ascii="Garamond" w:eastAsia="Calibri" w:hAnsi="Garamond" w:cstheme="minorHAnsi"/>
                <w:sz w:val="22"/>
                <w:szCs w:val="22"/>
                <w:lang w:val="en-US"/>
              </w:rPr>
              <w:t>&lt;</w:t>
            </w:r>
            <w:r w:rsidRPr="00A5626D">
              <w:rPr>
                <w:rFonts w:ascii="Garamond" w:eastAsia="Calibri" w:hAnsi="Garamond" w:cstheme="minorHAnsi"/>
                <w:b/>
                <w:sz w:val="22"/>
                <w:szCs w:val="22"/>
                <w:lang w:val="en-US"/>
              </w:rPr>
              <w:t>power-center-power-object-link</w:t>
            </w:r>
            <w:r w:rsidRPr="00A5626D">
              <w:rPr>
                <w:rFonts w:ascii="Garamond" w:eastAsia="Calibri" w:hAnsi="Garamond" w:cstheme="minorHAnsi"/>
                <w:sz w:val="22"/>
                <w:szCs w:val="22"/>
                <w:lang w:val="en-US"/>
              </w:rPr>
              <w:t>&gt;.</w:t>
            </w:r>
          </w:p>
        </w:tc>
        <w:tc>
          <w:tcPr>
            <w:tcW w:w="7088" w:type="dxa"/>
          </w:tcPr>
          <w:p w14:paraId="0E9B2AAF" w14:textId="77777777" w:rsidR="00295C6D" w:rsidRPr="00A5626D" w:rsidRDefault="00295C6D" w:rsidP="00E31AE6">
            <w:pPr>
              <w:tabs>
                <w:tab w:val="left" w:pos="1134"/>
                <w:tab w:val="left" w:pos="7938"/>
              </w:tabs>
              <w:spacing w:before="120" w:after="120"/>
              <w:ind w:firstLine="456"/>
              <w:jc w:val="both"/>
              <w:rPr>
                <w:rFonts w:ascii="Garamond" w:hAnsi="Garamond" w:cstheme="minorHAnsi"/>
                <w:sz w:val="22"/>
                <w:szCs w:val="22"/>
                <w:lang w:val="en-US"/>
              </w:rPr>
            </w:pPr>
            <w:r w:rsidRPr="00A5626D">
              <w:rPr>
                <w:rFonts w:ascii="Garamond" w:hAnsi="Garamond" w:cstheme="minorHAnsi"/>
                <w:sz w:val="22"/>
                <w:szCs w:val="22"/>
                <w:lang w:val="en-US"/>
              </w:rPr>
              <w:t>&lt;</w:t>
            </w:r>
            <w:r w:rsidRPr="00A5626D">
              <w:rPr>
                <w:rFonts w:ascii="Garamond" w:eastAsia="Calibri" w:hAnsi="Garamond" w:cstheme="minorHAnsi"/>
                <w:i/>
                <w:iCs/>
                <w:sz w:val="22"/>
                <w:szCs w:val="22"/>
                <w:lang w:val="en-US"/>
              </w:rPr>
              <w:t>power</w:t>
            </w:r>
            <w:r w:rsidRPr="00A5626D">
              <w:rPr>
                <w:rFonts w:ascii="Garamond" w:hAnsi="Garamond" w:cstheme="minorHAnsi"/>
                <w:i/>
                <w:iCs/>
                <w:sz w:val="22"/>
                <w:szCs w:val="22"/>
                <w:lang w:val="en-US"/>
              </w:rPr>
              <w:t>-center-power-object-links</w:t>
            </w:r>
            <w:r w:rsidRPr="00A5626D">
              <w:rPr>
                <w:rFonts w:ascii="Garamond" w:hAnsi="Garamond" w:cstheme="minorHAnsi"/>
                <w:sz w:val="22"/>
                <w:szCs w:val="22"/>
                <w:lang w:val="en-US"/>
              </w:rPr>
              <w:t>&gt;</w:t>
            </w:r>
          </w:p>
          <w:p w14:paraId="71C14646" w14:textId="77777777" w:rsidR="00295C6D" w:rsidRPr="00A5626D" w:rsidRDefault="00295C6D" w:rsidP="00E31AE6">
            <w:pPr>
              <w:tabs>
                <w:tab w:val="left" w:pos="1134"/>
                <w:tab w:val="left" w:pos="7938"/>
              </w:tabs>
              <w:spacing w:before="120" w:after="120"/>
              <w:ind w:firstLine="456"/>
              <w:jc w:val="both"/>
              <w:rPr>
                <w:rFonts w:ascii="Garamond" w:eastAsia="Calibri" w:hAnsi="Garamond" w:cstheme="minorHAnsi"/>
                <w:sz w:val="22"/>
                <w:szCs w:val="22"/>
              </w:rPr>
            </w:pPr>
            <w:r w:rsidRPr="00A5626D">
              <w:rPr>
                <w:rFonts w:ascii="Garamond" w:hAnsi="Garamond" w:cstheme="minorHAnsi"/>
                <w:sz w:val="22"/>
                <w:szCs w:val="22"/>
              </w:rPr>
              <w:t>Элемент &lt;</w:t>
            </w:r>
            <w:r w:rsidRPr="00A5626D">
              <w:rPr>
                <w:rFonts w:ascii="Garamond" w:eastAsia="Calibri" w:hAnsi="Garamond" w:cstheme="minorHAnsi"/>
                <w:b/>
                <w:sz w:val="22"/>
                <w:szCs w:val="22"/>
                <w:lang w:val="en-US"/>
              </w:rPr>
              <w:t>power</w:t>
            </w:r>
            <w:r w:rsidRPr="00A5626D">
              <w:rPr>
                <w:rFonts w:ascii="Garamond" w:eastAsia="Calibri" w:hAnsi="Garamond" w:cstheme="minorHAnsi"/>
                <w:b/>
                <w:sz w:val="22"/>
                <w:szCs w:val="22"/>
              </w:rPr>
              <w:t>-</w:t>
            </w:r>
            <w:r w:rsidRPr="00A5626D">
              <w:rPr>
                <w:rFonts w:ascii="Garamond" w:eastAsia="Calibri" w:hAnsi="Garamond" w:cstheme="minorHAnsi"/>
                <w:b/>
                <w:sz w:val="22"/>
                <w:szCs w:val="22"/>
                <w:lang w:val="en-US"/>
              </w:rPr>
              <w:t>center</w:t>
            </w:r>
            <w:r w:rsidRPr="00A5626D">
              <w:rPr>
                <w:rFonts w:ascii="Garamond" w:eastAsia="Calibri" w:hAnsi="Garamond" w:cstheme="minorHAnsi"/>
                <w:b/>
                <w:sz w:val="22"/>
                <w:szCs w:val="22"/>
              </w:rPr>
              <w:t>-</w:t>
            </w:r>
            <w:r w:rsidRPr="00A5626D">
              <w:rPr>
                <w:rFonts w:ascii="Garamond" w:eastAsia="Calibri" w:hAnsi="Garamond" w:cstheme="minorHAnsi"/>
                <w:b/>
                <w:sz w:val="22"/>
                <w:szCs w:val="22"/>
                <w:lang w:val="en-US"/>
              </w:rPr>
              <w:t>power</w:t>
            </w:r>
            <w:r w:rsidRPr="00A5626D">
              <w:rPr>
                <w:rFonts w:ascii="Garamond" w:eastAsia="Calibri" w:hAnsi="Garamond" w:cstheme="minorHAnsi"/>
                <w:b/>
                <w:sz w:val="22"/>
                <w:szCs w:val="22"/>
              </w:rPr>
              <w:t>-</w:t>
            </w:r>
            <w:r w:rsidRPr="00A5626D">
              <w:rPr>
                <w:rFonts w:ascii="Garamond" w:eastAsia="Calibri" w:hAnsi="Garamond" w:cstheme="minorHAnsi"/>
                <w:b/>
                <w:sz w:val="22"/>
                <w:szCs w:val="22"/>
                <w:lang w:val="en-US"/>
              </w:rPr>
              <w:t>object</w:t>
            </w:r>
            <w:r w:rsidRPr="00A5626D">
              <w:rPr>
                <w:rFonts w:ascii="Garamond" w:eastAsia="Calibri" w:hAnsi="Garamond" w:cstheme="minorHAnsi"/>
                <w:b/>
                <w:sz w:val="22"/>
                <w:szCs w:val="22"/>
              </w:rPr>
              <w:t>-</w:t>
            </w:r>
            <w:r w:rsidRPr="00A5626D">
              <w:rPr>
                <w:rFonts w:ascii="Garamond" w:eastAsia="Calibri" w:hAnsi="Garamond" w:cstheme="minorHAnsi"/>
                <w:b/>
                <w:sz w:val="22"/>
                <w:szCs w:val="22"/>
                <w:lang w:val="en-US"/>
              </w:rPr>
              <w:t>links</w:t>
            </w:r>
            <w:r w:rsidRPr="00A5626D">
              <w:rPr>
                <w:rFonts w:ascii="Garamond" w:eastAsia="Calibri" w:hAnsi="Garamond" w:cstheme="minorHAnsi"/>
                <w:sz w:val="22"/>
                <w:szCs w:val="22"/>
              </w:rPr>
              <w:t xml:space="preserve">&gt; содержит </w:t>
            </w:r>
            <w:r w:rsidRPr="00A5626D">
              <w:rPr>
                <w:rFonts w:ascii="Garamond" w:hAnsi="Garamond" w:cstheme="minorHAnsi"/>
                <w:sz w:val="22"/>
                <w:szCs w:val="22"/>
              </w:rPr>
              <w:t xml:space="preserve">информацию о связях энергообъектов с центрами питания. </w:t>
            </w:r>
            <w:r w:rsidRPr="00A5626D">
              <w:rPr>
                <w:rFonts w:ascii="Garamond" w:hAnsi="Garamond" w:cstheme="minorHAnsi"/>
                <w:sz w:val="22"/>
                <w:szCs w:val="22"/>
                <w:highlight w:val="yellow"/>
              </w:rPr>
              <w:t>Недопустимо заполнение для ОР.</w:t>
            </w:r>
          </w:p>
          <w:p w14:paraId="1EB1EF4E" w14:textId="77777777" w:rsidR="00295C6D" w:rsidRPr="00A5626D" w:rsidRDefault="00295C6D" w:rsidP="00E31AE6">
            <w:pPr>
              <w:tabs>
                <w:tab w:val="left" w:pos="1134"/>
                <w:tab w:val="left" w:pos="7938"/>
              </w:tabs>
              <w:spacing w:before="120" w:after="120"/>
              <w:ind w:firstLine="456"/>
              <w:jc w:val="both"/>
              <w:rPr>
                <w:rFonts w:ascii="Garamond" w:hAnsi="Garamond" w:cstheme="minorHAnsi"/>
                <w:sz w:val="22"/>
                <w:szCs w:val="22"/>
              </w:rPr>
            </w:pPr>
            <w:r w:rsidRPr="00A5626D">
              <w:rPr>
                <w:rFonts w:ascii="Garamond" w:hAnsi="Garamond" w:cstheme="minorHAnsi"/>
                <w:sz w:val="22"/>
                <w:szCs w:val="22"/>
              </w:rPr>
              <w:t xml:space="preserve">Дочерними элементами являются </w:t>
            </w:r>
            <w:r w:rsidRPr="00A5626D">
              <w:rPr>
                <w:rFonts w:ascii="Garamond" w:eastAsia="Calibri" w:hAnsi="Garamond" w:cstheme="minorHAnsi"/>
                <w:sz w:val="22"/>
                <w:szCs w:val="22"/>
              </w:rPr>
              <w:t>&lt;</w:t>
            </w:r>
            <w:r w:rsidRPr="00A5626D">
              <w:rPr>
                <w:rFonts w:ascii="Garamond" w:eastAsia="Calibri" w:hAnsi="Garamond" w:cstheme="minorHAnsi"/>
                <w:b/>
                <w:sz w:val="22"/>
                <w:szCs w:val="22"/>
                <w:lang w:val="en-US"/>
              </w:rPr>
              <w:t>power</w:t>
            </w:r>
            <w:r w:rsidRPr="00A5626D">
              <w:rPr>
                <w:rFonts w:ascii="Garamond" w:eastAsia="Calibri" w:hAnsi="Garamond" w:cstheme="minorHAnsi"/>
                <w:b/>
                <w:sz w:val="22"/>
                <w:szCs w:val="22"/>
              </w:rPr>
              <w:t>-</w:t>
            </w:r>
            <w:r w:rsidRPr="00A5626D">
              <w:rPr>
                <w:rFonts w:ascii="Garamond" w:eastAsia="Calibri" w:hAnsi="Garamond" w:cstheme="minorHAnsi"/>
                <w:b/>
                <w:sz w:val="22"/>
                <w:szCs w:val="22"/>
                <w:lang w:val="en-US"/>
              </w:rPr>
              <w:t>center</w:t>
            </w:r>
            <w:r w:rsidRPr="00A5626D">
              <w:rPr>
                <w:rFonts w:ascii="Garamond" w:eastAsia="Calibri" w:hAnsi="Garamond" w:cstheme="minorHAnsi"/>
                <w:b/>
                <w:sz w:val="22"/>
                <w:szCs w:val="22"/>
              </w:rPr>
              <w:t>-</w:t>
            </w:r>
            <w:r w:rsidRPr="00A5626D">
              <w:rPr>
                <w:rFonts w:ascii="Garamond" w:eastAsia="Calibri" w:hAnsi="Garamond" w:cstheme="minorHAnsi"/>
                <w:b/>
                <w:sz w:val="22"/>
                <w:szCs w:val="22"/>
                <w:lang w:val="en-US"/>
              </w:rPr>
              <w:t>power</w:t>
            </w:r>
            <w:r w:rsidRPr="00A5626D">
              <w:rPr>
                <w:rFonts w:ascii="Garamond" w:eastAsia="Calibri" w:hAnsi="Garamond" w:cstheme="minorHAnsi"/>
                <w:b/>
                <w:sz w:val="22"/>
                <w:szCs w:val="22"/>
              </w:rPr>
              <w:t>-</w:t>
            </w:r>
            <w:r w:rsidRPr="00A5626D">
              <w:rPr>
                <w:rFonts w:ascii="Garamond" w:eastAsia="Calibri" w:hAnsi="Garamond" w:cstheme="minorHAnsi"/>
                <w:b/>
                <w:sz w:val="22"/>
                <w:szCs w:val="22"/>
                <w:lang w:val="en-US"/>
              </w:rPr>
              <w:t>object</w:t>
            </w:r>
            <w:r w:rsidRPr="00A5626D">
              <w:rPr>
                <w:rFonts w:ascii="Garamond" w:eastAsia="Calibri" w:hAnsi="Garamond" w:cstheme="minorHAnsi"/>
                <w:b/>
                <w:sz w:val="22"/>
                <w:szCs w:val="22"/>
              </w:rPr>
              <w:t>-</w:t>
            </w:r>
            <w:r w:rsidRPr="00A5626D">
              <w:rPr>
                <w:rFonts w:ascii="Garamond" w:eastAsia="Calibri" w:hAnsi="Garamond" w:cstheme="minorHAnsi"/>
                <w:b/>
                <w:sz w:val="22"/>
                <w:szCs w:val="22"/>
                <w:lang w:val="en-US"/>
              </w:rPr>
              <w:t>link</w:t>
            </w:r>
            <w:r w:rsidRPr="00A5626D">
              <w:rPr>
                <w:rFonts w:ascii="Garamond" w:eastAsia="Calibri" w:hAnsi="Garamond" w:cstheme="minorHAnsi"/>
                <w:sz w:val="22"/>
                <w:szCs w:val="22"/>
              </w:rPr>
              <w:t>&gt;.</w:t>
            </w:r>
          </w:p>
        </w:tc>
      </w:tr>
      <w:tr w:rsidR="00295C6D" w:rsidRPr="00A5626D" w14:paraId="1ABB0647" w14:textId="77777777" w:rsidTr="00647FA0">
        <w:tc>
          <w:tcPr>
            <w:tcW w:w="1060" w:type="dxa"/>
            <w:vAlign w:val="center"/>
          </w:tcPr>
          <w:p w14:paraId="5DD56DB6" w14:textId="02592BA0" w:rsidR="00295C6D" w:rsidRPr="00A5626D" w:rsidRDefault="00295C6D" w:rsidP="00E31AE6">
            <w:pPr>
              <w:widowControl w:val="0"/>
              <w:tabs>
                <w:tab w:val="left" w:pos="1134"/>
                <w:tab w:val="left" w:pos="7938"/>
              </w:tabs>
              <w:spacing w:line="22" w:lineRule="atLeast"/>
              <w:jc w:val="both"/>
              <w:rPr>
                <w:rFonts w:ascii="Garamond" w:hAnsi="Garamond"/>
                <w:b/>
                <w:sz w:val="22"/>
                <w:szCs w:val="22"/>
                <w:lang w:val="en-US" w:eastAsia="en-US"/>
              </w:rPr>
            </w:pPr>
            <w:r w:rsidRPr="00A5626D">
              <w:rPr>
                <w:rFonts w:ascii="Garamond" w:hAnsi="Garamond"/>
                <w:b/>
                <w:sz w:val="22"/>
                <w:szCs w:val="22"/>
                <w:lang w:eastAsia="en-US"/>
              </w:rPr>
              <w:t>Приложение 5, п.</w:t>
            </w:r>
            <w:r w:rsidR="00647FA0" w:rsidRPr="00A5626D">
              <w:rPr>
                <w:rFonts w:ascii="Garamond" w:hAnsi="Garamond"/>
                <w:b/>
                <w:sz w:val="22"/>
                <w:szCs w:val="22"/>
                <w:lang w:eastAsia="en-US"/>
              </w:rPr>
              <w:t> </w:t>
            </w:r>
            <w:r w:rsidRPr="00A5626D">
              <w:rPr>
                <w:rFonts w:ascii="Garamond" w:hAnsi="Garamond"/>
                <w:b/>
                <w:sz w:val="22"/>
                <w:szCs w:val="22"/>
                <w:lang w:eastAsia="en-US"/>
              </w:rPr>
              <w:t>4.4.1.2.2.5</w:t>
            </w:r>
            <w:r w:rsidR="009B5F03" w:rsidRPr="00A5626D">
              <w:rPr>
                <w:rFonts w:ascii="Garamond" w:hAnsi="Garamond" w:cstheme="minorHAnsi"/>
                <w:b/>
                <w:sz w:val="22"/>
                <w:szCs w:val="22"/>
                <w:lang w:val="en-US"/>
              </w:rPr>
              <w:t xml:space="preserve"> </w:t>
            </w:r>
          </w:p>
        </w:tc>
        <w:tc>
          <w:tcPr>
            <w:tcW w:w="6662" w:type="dxa"/>
          </w:tcPr>
          <w:p w14:paraId="5FDEBFB3" w14:textId="77777777" w:rsidR="00295C6D" w:rsidRPr="00A5626D" w:rsidRDefault="00295C6D" w:rsidP="00E31AE6">
            <w:pPr>
              <w:tabs>
                <w:tab w:val="left" w:pos="1134"/>
                <w:tab w:val="left" w:pos="7938"/>
              </w:tabs>
              <w:spacing w:before="120" w:after="120"/>
              <w:ind w:firstLine="456"/>
              <w:jc w:val="both"/>
              <w:rPr>
                <w:rFonts w:ascii="Garamond" w:hAnsi="Garamond" w:cstheme="minorHAnsi"/>
                <w:sz w:val="22"/>
                <w:szCs w:val="22"/>
                <w:lang w:val="en-US"/>
              </w:rPr>
            </w:pPr>
            <w:r w:rsidRPr="00A5626D">
              <w:rPr>
                <w:rFonts w:ascii="Garamond" w:hAnsi="Garamond" w:cstheme="minorHAnsi"/>
                <w:sz w:val="22"/>
                <w:szCs w:val="22"/>
                <w:lang w:val="en-US"/>
              </w:rPr>
              <w:t>&lt;</w:t>
            </w:r>
            <w:r w:rsidRPr="00A5626D">
              <w:rPr>
                <w:rFonts w:ascii="Garamond" w:hAnsi="Garamond" w:cstheme="minorHAnsi"/>
                <w:i/>
                <w:iCs/>
                <w:sz w:val="22"/>
                <w:szCs w:val="22"/>
                <w:lang w:val="en-US"/>
              </w:rPr>
              <w:t>power</w:t>
            </w:r>
            <w:r w:rsidRPr="00A5626D">
              <w:rPr>
                <w:rFonts w:ascii="Garamond" w:hAnsi="Garamond" w:cstheme="minorHAnsi"/>
                <w:i/>
                <w:sz w:val="22"/>
                <w:szCs w:val="22"/>
                <w:lang w:val="en-US"/>
              </w:rPr>
              <w:t>-object-owner-gtp-links</w:t>
            </w:r>
            <w:r w:rsidRPr="00A5626D">
              <w:rPr>
                <w:rFonts w:ascii="Garamond" w:hAnsi="Garamond" w:cstheme="minorHAnsi"/>
                <w:sz w:val="22"/>
                <w:szCs w:val="22"/>
                <w:lang w:val="en-US"/>
              </w:rPr>
              <w:t>&gt;</w:t>
            </w:r>
          </w:p>
          <w:p w14:paraId="7F6D1508" w14:textId="77777777" w:rsidR="00295C6D" w:rsidRPr="00A5626D" w:rsidRDefault="00295C6D" w:rsidP="00E31AE6">
            <w:pPr>
              <w:tabs>
                <w:tab w:val="left" w:pos="1134"/>
                <w:tab w:val="left" w:pos="7938"/>
              </w:tabs>
              <w:spacing w:before="120" w:after="120"/>
              <w:ind w:firstLine="456"/>
              <w:jc w:val="both"/>
              <w:rPr>
                <w:rFonts w:ascii="Garamond" w:eastAsia="Calibri" w:hAnsi="Garamond" w:cstheme="minorHAnsi"/>
                <w:sz w:val="22"/>
                <w:szCs w:val="22"/>
              </w:rPr>
            </w:pPr>
            <w:r w:rsidRPr="00A5626D">
              <w:rPr>
                <w:rFonts w:ascii="Garamond" w:hAnsi="Garamond" w:cstheme="minorHAnsi"/>
                <w:sz w:val="22"/>
                <w:szCs w:val="22"/>
              </w:rPr>
              <w:t>Элемент &lt;</w:t>
            </w:r>
            <w:r w:rsidRPr="00A5626D">
              <w:rPr>
                <w:rFonts w:ascii="Garamond" w:eastAsia="Calibri" w:hAnsi="Garamond" w:cstheme="minorHAnsi"/>
                <w:b/>
                <w:sz w:val="22"/>
                <w:szCs w:val="22"/>
                <w:lang w:val="en-US"/>
              </w:rPr>
              <w:t>power</w:t>
            </w:r>
            <w:r w:rsidRPr="00A5626D">
              <w:rPr>
                <w:rFonts w:ascii="Garamond" w:eastAsia="Calibri" w:hAnsi="Garamond" w:cstheme="minorHAnsi"/>
                <w:b/>
                <w:sz w:val="22"/>
                <w:szCs w:val="22"/>
              </w:rPr>
              <w:t>-</w:t>
            </w:r>
            <w:r w:rsidRPr="00A5626D">
              <w:rPr>
                <w:rFonts w:ascii="Garamond" w:eastAsia="Calibri" w:hAnsi="Garamond" w:cstheme="minorHAnsi"/>
                <w:b/>
                <w:sz w:val="22"/>
                <w:szCs w:val="22"/>
                <w:lang w:val="en-US"/>
              </w:rPr>
              <w:t>object</w:t>
            </w:r>
            <w:r w:rsidRPr="00A5626D">
              <w:rPr>
                <w:rFonts w:ascii="Garamond" w:eastAsia="Calibri" w:hAnsi="Garamond" w:cstheme="minorHAnsi"/>
                <w:b/>
                <w:sz w:val="22"/>
                <w:szCs w:val="22"/>
              </w:rPr>
              <w:t>-</w:t>
            </w:r>
            <w:r w:rsidRPr="00A5626D">
              <w:rPr>
                <w:rFonts w:ascii="Garamond" w:eastAsia="Calibri" w:hAnsi="Garamond" w:cstheme="minorHAnsi"/>
                <w:b/>
                <w:sz w:val="22"/>
                <w:szCs w:val="22"/>
                <w:lang w:val="en-US"/>
              </w:rPr>
              <w:t>owner</w:t>
            </w:r>
            <w:r w:rsidRPr="00A5626D">
              <w:rPr>
                <w:rFonts w:ascii="Garamond" w:eastAsia="Calibri" w:hAnsi="Garamond" w:cstheme="minorHAnsi"/>
                <w:b/>
                <w:sz w:val="22"/>
                <w:szCs w:val="22"/>
              </w:rPr>
              <w:t>-</w:t>
            </w:r>
            <w:r w:rsidRPr="00A5626D">
              <w:rPr>
                <w:rFonts w:ascii="Garamond" w:eastAsia="Calibri" w:hAnsi="Garamond" w:cstheme="minorHAnsi"/>
                <w:b/>
                <w:sz w:val="22"/>
                <w:szCs w:val="22"/>
                <w:lang w:val="en-US"/>
              </w:rPr>
              <w:t>gtp</w:t>
            </w:r>
            <w:r w:rsidRPr="00A5626D">
              <w:rPr>
                <w:rFonts w:ascii="Garamond" w:eastAsia="Calibri" w:hAnsi="Garamond" w:cstheme="minorHAnsi"/>
                <w:b/>
                <w:sz w:val="22"/>
                <w:szCs w:val="22"/>
              </w:rPr>
              <w:t>-</w:t>
            </w:r>
            <w:r w:rsidRPr="00A5626D">
              <w:rPr>
                <w:rFonts w:ascii="Garamond" w:eastAsia="Calibri" w:hAnsi="Garamond" w:cstheme="minorHAnsi"/>
                <w:b/>
                <w:sz w:val="22"/>
                <w:szCs w:val="22"/>
                <w:lang w:val="en-US"/>
              </w:rPr>
              <w:t>links</w:t>
            </w:r>
            <w:r w:rsidRPr="00A5626D">
              <w:rPr>
                <w:rFonts w:ascii="Garamond" w:eastAsia="Calibri" w:hAnsi="Garamond" w:cstheme="minorHAnsi"/>
                <w:sz w:val="22"/>
                <w:szCs w:val="22"/>
              </w:rPr>
              <w:t xml:space="preserve">&gt; содержит информацию о связях </w:t>
            </w:r>
            <w:r w:rsidRPr="00A5626D">
              <w:rPr>
                <w:rFonts w:ascii="Garamond" w:hAnsi="Garamond" w:cstheme="minorHAnsi"/>
                <w:sz w:val="22"/>
                <w:szCs w:val="22"/>
              </w:rPr>
              <w:t>организации, обладающей правом собственности на энергообъект, и ГТП, на стороне которой расположены энергообъекты</w:t>
            </w:r>
            <w:r w:rsidRPr="00A5626D">
              <w:rPr>
                <w:rFonts w:ascii="Garamond" w:eastAsia="Calibri" w:hAnsi="Garamond" w:cstheme="minorHAnsi"/>
                <w:sz w:val="22"/>
                <w:szCs w:val="22"/>
              </w:rPr>
              <w:t>.</w:t>
            </w:r>
          </w:p>
          <w:p w14:paraId="16CCE066" w14:textId="77777777" w:rsidR="00295C6D" w:rsidRPr="00A5626D" w:rsidRDefault="00295C6D" w:rsidP="00E31AE6">
            <w:pPr>
              <w:tabs>
                <w:tab w:val="left" w:pos="1134"/>
                <w:tab w:val="left" w:pos="7938"/>
              </w:tabs>
              <w:spacing w:before="120" w:after="120"/>
              <w:ind w:firstLine="456"/>
              <w:jc w:val="both"/>
              <w:rPr>
                <w:rFonts w:ascii="Garamond" w:eastAsia="Calibri" w:hAnsi="Garamond" w:cstheme="minorHAnsi"/>
                <w:sz w:val="22"/>
                <w:szCs w:val="22"/>
              </w:rPr>
            </w:pPr>
            <w:r w:rsidRPr="00A5626D">
              <w:rPr>
                <w:rFonts w:ascii="Garamond" w:hAnsi="Garamond" w:cstheme="minorHAnsi"/>
                <w:sz w:val="22"/>
                <w:szCs w:val="22"/>
              </w:rPr>
              <w:t xml:space="preserve">Дочерними элементами являются </w:t>
            </w:r>
            <w:r w:rsidRPr="00A5626D">
              <w:rPr>
                <w:rFonts w:ascii="Garamond" w:eastAsia="Calibri" w:hAnsi="Garamond" w:cstheme="minorHAnsi"/>
                <w:sz w:val="22"/>
                <w:szCs w:val="22"/>
              </w:rPr>
              <w:t>&lt;</w:t>
            </w:r>
            <w:r w:rsidRPr="00A5626D">
              <w:rPr>
                <w:rFonts w:ascii="Garamond" w:eastAsia="Calibri" w:hAnsi="Garamond" w:cstheme="minorHAnsi"/>
                <w:b/>
                <w:sz w:val="22"/>
                <w:szCs w:val="22"/>
                <w:lang w:val="en-US"/>
              </w:rPr>
              <w:t>power</w:t>
            </w:r>
            <w:r w:rsidRPr="00A5626D">
              <w:rPr>
                <w:rFonts w:ascii="Garamond" w:eastAsia="Calibri" w:hAnsi="Garamond" w:cstheme="minorHAnsi"/>
                <w:b/>
                <w:sz w:val="22"/>
                <w:szCs w:val="22"/>
              </w:rPr>
              <w:t>-</w:t>
            </w:r>
            <w:r w:rsidRPr="00A5626D">
              <w:rPr>
                <w:rFonts w:ascii="Garamond" w:eastAsia="Calibri" w:hAnsi="Garamond" w:cstheme="minorHAnsi"/>
                <w:b/>
                <w:sz w:val="22"/>
                <w:szCs w:val="22"/>
                <w:lang w:val="en-US"/>
              </w:rPr>
              <w:t>object</w:t>
            </w:r>
            <w:r w:rsidRPr="00A5626D">
              <w:rPr>
                <w:rFonts w:ascii="Garamond" w:eastAsia="Calibri" w:hAnsi="Garamond" w:cstheme="minorHAnsi"/>
                <w:b/>
                <w:sz w:val="22"/>
                <w:szCs w:val="22"/>
              </w:rPr>
              <w:t>-</w:t>
            </w:r>
            <w:r w:rsidRPr="00A5626D">
              <w:rPr>
                <w:rFonts w:ascii="Garamond" w:eastAsia="Calibri" w:hAnsi="Garamond" w:cstheme="minorHAnsi"/>
                <w:b/>
                <w:sz w:val="22"/>
                <w:szCs w:val="22"/>
                <w:lang w:val="en-US"/>
              </w:rPr>
              <w:t>owner</w:t>
            </w:r>
            <w:r w:rsidRPr="00A5626D">
              <w:rPr>
                <w:rFonts w:ascii="Garamond" w:eastAsia="Calibri" w:hAnsi="Garamond" w:cstheme="minorHAnsi"/>
                <w:b/>
                <w:sz w:val="22"/>
                <w:szCs w:val="22"/>
              </w:rPr>
              <w:t>-</w:t>
            </w:r>
            <w:r w:rsidRPr="00A5626D">
              <w:rPr>
                <w:rFonts w:ascii="Garamond" w:eastAsia="Calibri" w:hAnsi="Garamond" w:cstheme="minorHAnsi"/>
                <w:b/>
                <w:sz w:val="22"/>
                <w:szCs w:val="22"/>
                <w:lang w:val="en-US"/>
              </w:rPr>
              <w:t>gtp</w:t>
            </w:r>
            <w:r w:rsidRPr="00A5626D">
              <w:rPr>
                <w:rFonts w:ascii="Garamond" w:eastAsia="Calibri" w:hAnsi="Garamond" w:cstheme="minorHAnsi"/>
                <w:b/>
                <w:sz w:val="22"/>
                <w:szCs w:val="22"/>
              </w:rPr>
              <w:t>-</w:t>
            </w:r>
            <w:r w:rsidRPr="00A5626D">
              <w:rPr>
                <w:rFonts w:ascii="Garamond" w:eastAsia="Calibri" w:hAnsi="Garamond" w:cstheme="minorHAnsi"/>
                <w:b/>
                <w:sz w:val="22"/>
                <w:szCs w:val="22"/>
                <w:lang w:val="en-US"/>
              </w:rPr>
              <w:t>link</w:t>
            </w:r>
            <w:r w:rsidRPr="00A5626D">
              <w:rPr>
                <w:rFonts w:ascii="Garamond" w:eastAsia="Calibri" w:hAnsi="Garamond" w:cstheme="minorHAnsi"/>
                <w:sz w:val="22"/>
                <w:szCs w:val="22"/>
              </w:rPr>
              <w:t>&gt;.</w:t>
            </w:r>
          </w:p>
        </w:tc>
        <w:tc>
          <w:tcPr>
            <w:tcW w:w="7088" w:type="dxa"/>
          </w:tcPr>
          <w:p w14:paraId="4CC972B5" w14:textId="77777777" w:rsidR="00295C6D" w:rsidRPr="00A5626D" w:rsidRDefault="00295C6D" w:rsidP="00E31AE6">
            <w:pPr>
              <w:tabs>
                <w:tab w:val="left" w:pos="1134"/>
                <w:tab w:val="left" w:pos="7938"/>
              </w:tabs>
              <w:spacing w:before="120" w:after="120"/>
              <w:ind w:firstLine="456"/>
              <w:jc w:val="both"/>
              <w:rPr>
                <w:rFonts w:ascii="Garamond" w:hAnsi="Garamond" w:cstheme="minorHAnsi"/>
                <w:sz w:val="22"/>
                <w:szCs w:val="22"/>
                <w:lang w:val="en-US"/>
              </w:rPr>
            </w:pPr>
            <w:r w:rsidRPr="00A5626D">
              <w:rPr>
                <w:rFonts w:ascii="Garamond" w:hAnsi="Garamond" w:cstheme="minorHAnsi"/>
                <w:sz w:val="22"/>
                <w:szCs w:val="22"/>
                <w:lang w:val="en-US"/>
              </w:rPr>
              <w:t>&lt;</w:t>
            </w:r>
            <w:r w:rsidRPr="00A5626D">
              <w:rPr>
                <w:rFonts w:ascii="Garamond" w:hAnsi="Garamond" w:cstheme="minorHAnsi"/>
                <w:i/>
                <w:iCs/>
                <w:sz w:val="22"/>
                <w:szCs w:val="22"/>
                <w:lang w:val="en-US"/>
              </w:rPr>
              <w:t>power</w:t>
            </w:r>
            <w:r w:rsidRPr="00A5626D">
              <w:rPr>
                <w:rFonts w:ascii="Garamond" w:hAnsi="Garamond" w:cstheme="minorHAnsi"/>
                <w:i/>
                <w:sz w:val="22"/>
                <w:szCs w:val="22"/>
                <w:lang w:val="en-US"/>
              </w:rPr>
              <w:t>-object-owner-gtp-links</w:t>
            </w:r>
            <w:r w:rsidRPr="00A5626D">
              <w:rPr>
                <w:rFonts w:ascii="Garamond" w:hAnsi="Garamond" w:cstheme="minorHAnsi"/>
                <w:sz w:val="22"/>
                <w:szCs w:val="22"/>
                <w:lang w:val="en-US"/>
              </w:rPr>
              <w:t>&gt;</w:t>
            </w:r>
          </w:p>
          <w:p w14:paraId="674278CC" w14:textId="77777777" w:rsidR="00295C6D" w:rsidRPr="00A5626D" w:rsidRDefault="00295C6D" w:rsidP="00E31AE6">
            <w:pPr>
              <w:tabs>
                <w:tab w:val="left" w:pos="1134"/>
                <w:tab w:val="left" w:pos="7938"/>
              </w:tabs>
              <w:spacing w:before="120" w:after="120"/>
              <w:ind w:firstLine="456"/>
              <w:jc w:val="both"/>
              <w:rPr>
                <w:rFonts w:ascii="Garamond" w:eastAsia="Calibri" w:hAnsi="Garamond" w:cstheme="minorHAnsi"/>
                <w:sz w:val="22"/>
                <w:szCs w:val="22"/>
              </w:rPr>
            </w:pPr>
            <w:r w:rsidRPr="00A5626D">
              <w:rPr>
                <w:rFonts w:ascii="Garamond" w:hAnsi="Garamond" w:cstheme="minorHAnsi"/>
                <w:sz w:val="22"/>
                <w:szCs w:val="22"/>
              </w:rPr>
              <w:t>Элемент &lt;</w:t>
            </w:r>
            <w:r w:rsidRPr="00A5626D">
              <w:rPr>
                <w:rFonts w:ascii="Garamond" w:eastAsia="Calibri" w:hAnsi="Garamond" w:cstheme="minorHAnsi"/>
                <w:b/>
                <w:sz w:val="22"/>
                <w:szCs w:val="22"/>
                <w:lang w:val="en-US"/>
              </w:rPr>
              <w:t>power</w:t>
            </w:r>
            <w:r w:rsidRPr="00A5626D">
              <w:rPr>
                <w:rFonts w:ascii="Garamond" w:eastAsia="Calibri" w:hAnsi="Garamond" w:cstheme="minorHAnsi"/>
                <w:b/>
                <w:sz w:val="22"/>
                <w:szCs w:val="22"/>
              </w:rPr>
              <w:t>-</w:t>
            </w:r>
            <w:r w:rsidRPr="00A5626D">
              <w:rPr>
                <w:rFonts w:ascii="Garamond" w:eastAsia="Calibri" w:hAnsi="Garamond" w:cstheme="minorHAnsi"/>
                <w:b/>
                <w:sz w:val="22"/>
                <w:szCs w:val="22"/>
                <w:lang w:val="en-US"/>
              </w:rPr>
              <w:t>object</w:t>
            </w:r>
            <w:r w:rsidRPr="00A5626D">
              <w:rPr>
                <w:rFonts w:ascii="Garamond" w:eastAsia="Calibri" w:hAnsi="Garamond" w:cstheme="minorHAnsi"/>
                <w:b/>
                <w:sz w:val="22"/>
                <w:szCs w:val="22"/>
              </w:rPr>
              <w:t>-</w:t>
            </w:r>
            <w:r w:rsidRPr="00A5626D">
              <w:rPr>
                <w:rFonts w:ascii="Garamond" w:eastAsia="Calibri" w:hAnsi="Garamond" w:cstheme="minorHAnsi"/>
                <w:b/>
                <w:sz w:val="22"/>
                <w:szCs w:val="22"/>
                <w:lang w:val="en-US"/>
              </w:rPr>
              <w:t>owner</w:t>
            </w:r>
            <w:r w:rsidRPr="00A5626D">
              <w:rPr>
                <w:rFonts w:ascii="Garamond" w:eastAsia="Calibri" w:hAnsi="Garamond" w:cstheme="minorHAnsi"/>
                <w:b/>
                <w:sz w:val="22"/>
                <w:szCs w:val="22"/>
              </w:rPr>
              <w:t>-</w:t>
            </w:r>
            <w:r w:rsidRPr="00A5626D">
              <w:rPr>
                <w:rFonts w:ascii="Garamond" w:eastAsia="Calibri" w:hAnsi="Garamond" w:cstheme="minorHAnsi"/>
                <w:b/>
                <w:sz w:val="22"/>
                <w:szCs w:val="22"/>
                <w:lang w:val="en-US"/>
              </w:rPr>
              <w:t>gtp</w:t>
            </w:r>
            <w:r w:rsidRPr="00A5626D">
              <w:rPr>
                <w:rFonts w:ascii="Garamond" w:eastAsia="Calibri" w:hAnsi="Garamond" w:cstheme="minorHAnsi"/>
                <w:b/>
                <w:sz w:val="22"/>
                <w:szCs w:val="22"/>
              </w:rPr>
              <w:t>-</w:t>
            </w:r>
            <w:r w:rsidRPr="00A5626D">
              <w:rPr>
                <w:rFonts w:ascii="Garamond" w:eastAsia="Calibri" w:hAnsi="Garamond" w:cstheme="minorHAnsi"/>
                <w:b/>
                <w:sz w:val="22"/>
                <w:szCs w:val="22"/>
                <w:lang w:val="en-US"/>
              </w:rPr>
              <w:t>links</w:t>
            </w:r>
            <w:r w:rsidRPr="00A5626D">
              <w:rPr>
                <w:rFonts w:ascii="Garamond" w:eastAsia="Calibri" w:hAnsi="Garamond" w:cstheme="minorHAnsi"/>
                <w:sz w:val="22"/>
                <w:szCs w:val="22"/>
              </w:rPr>
              <w:t xml:space="preserve">&gt; содержит информацию о связях </w:t>
            </w:r>
            <w:r w:rsidRPr="00A5626D">
              <w:rPr>
                <w:rFonts w:ascii="Garamond" w:hAnsi="Garamond" w:cstheme="minorHAnsi"/>
                <w:sz w:val="22"/>
                <w:szCs w:val="22"/>
              </w:rPr>
              <w:t>организации, обладающей правом собственности на энергообъект, и ГТП, на стороне которой расположены энергообъекты</w:t>
            </w:r>
            <w:r w:rsidRPr="00A5626D">
              <w:rPr>
                <w:rFonts w:ascii="Garamond" w:eastAsia="Calibri" w:hAnsi="Garamond" w:cstheme="minorHAnsi"/>
                <w:sz w:val="22"/>
                <w:szCs w:val="22"/>
              </w:rPr>
              <w:t xml:space="preserve">. </w:t>
            </w:r>
            <w:r w:rsidRPr="00A5626D">
              <w:rPr>
                <w:rFonts w:ascii="Garamond" w:hAnsi="Garamond" w:cstheme="minorHAnsi"/>
                <w:sz w:val="22"/>
                <w:szCs w:val="22"/>
                <w:highlight w:val="yellow"/>
              </w:rPr>
              <w:t>Недопустимо заполнение для ОР.</w:t>
            </w:r>
          </w:p>
          <w:p w14:paraId="7C210B4A" w14:textId="77777777" w:rsidR="00295C6D" w:rsidRPr="00A5626D" w:rsidRDefault="00295C6D" w:rsidP="00E31AE6">
            <w:pPr>
              <w:tabs>
                <w:tab w:val="left" w:pos="1134"/>
                <w:tab w:val="left" w:pos="7938"/>
              </w:tabs>
              <w:spacing w:before="120" w:after="120"/>
              <w:ind w:firstLine="456"/>
              <w:jc w:val="both"/>
              <w:rPr>
                <w:rFonts w:ascii="Garamond" w:hAnsi="Garamond" w:cstheme="minorHAnsi"/>
                <w:sz w:val="22"/>
                <w:szCs w:val="22"/>
              </w:rPr>
            </w:pPr>
            <w:r w:rsidRPr="00A5626D">
              <w:rPr>
                <w:rFonts w:ascii="Garamond" w:hAnsi="Garamond" w:cstheme="minorHAnsi"/>
                <w:sz w:val="22"/>
                <w:szCs w:val="22"/>
              </w:rPr>
              <w:t xml:space="preserve">Дочерними элементами являются </w:t>
            </w:r>
            <w:r w:rsidRPr="00A5626D">
              <w:rPr>
                <w:rFonts w:ascii="Garamond" w:eastAsia="Calibri" w:hAnsi="Garamond" w:cstheme="minorHAnsi"/>
                <w:sz w:val="22"/>
                <w:szCs w:val="22"/>
              </w:rPr>
              <w:t>&lt;</w:t>
            </w:r>
            <w:r w:rsidRPr="00A5626D">
              <w:rPr>
                <w:rFonts w:ascii="Garamond" w:eastAsia="Calibri" w:hAnsi="Garamond" w:cstheme="minorHAnsi"/>
                <w:b/>
                <w:sz w:val="22"/>
                <w:szCs w:val="22"/>
                <w:lang w:val="en-US"/>
              </w:rPr>
              <w:t>power</w:t>
            </w:r>
            <w:r w:rsidRPr="00A5626D">
              <w:rPr>
                <w:rFonts w:ascii="Garamond" w:eastAsia="Calibri" w:hAnsi="Garamond" w:cstheme="minorHAnsi"/>
                <w:b/>
                <w:sz w:val="22"/>
                <w:szCs w:val="22"/>
              </w:rPr>
              <w:t>-</w:t>
            </w:r>
            <w:r w:rsidRPr="00A5626D">
              <w:rPr>
                <w:rFonts w:ascii="Garamond" w:eastAsia="Calibri" w:hAnsi="Garamond" w:cstheme="minorHAnsi"/>
                <w:b/>
                <w:sz w:val="22"/>
                <w:szCs w:val="22"/>
                <w:lang w:val="en-US"/>
              </w:rPr>
              <w:t>object</w:t>
            </w:r>
            <w:r w:rsidRPr="00A5626D">
              <w:rPr>
                <w:rFonts w:ascii="Garamond" w:eastAsia="Calibri" w:hAnsi="Garamond" w:cstheme="minorHAnsi"/>
                <w:b/>
                <w:sz w:val="22"/>
                <w:szCs w:val="22"/>
              </w:rPr>
              <w:t>-</w:t>
            </w:r>
            <w:r w:rsidRPr="00A5626D">
              <w:rPr>
                <w:rFonts w:ascii="Garamond" w:eastAsia="Calibri" w:hAnsi="Garamond" w:cstheme="minorHAnsi"/>
                <w:b/>
                <w:sz w:val="22"/>
                <w:szCs w:val="22"/>
                <w:lang w:val="en-US"/>
              </w:rPr>
              <w:t>owner</w:t>
            </w:r>
            <w:r w:rsidRPr="00A5626D">
              <w:rPr>
                <w:rFonts w:ascii="Garamond" w:eastAsia="Calibri" w:hAnsi="Garamond" w:cstheme="minorHAnsi"/>
                <w:b/>
                <w:sz w:val="22"/>
                <w:szCs w:val="22"/>
              </w:rPr>
              <w:t>-</w:t>
            </w:r>
            <w:r w:rsidRPr="00A5626D">
              <w:rPr>
                <w:rFonts w:ascii="Garamond" w:eastAsia="Calibri" w:hAnsi="Garamond" w:cstheme="minorHAnsi"/>
                <w:b/>
                <w:sz w:val="22"/>
                <w:szCs w:val="22"/>
                <w:lang w:val="en-US"/>
              </w:rPr>
              <w:t>gtp</w:t>
            </w:r>
            <w:r w:rsidRPr="00A5626D">
              <w:rPr>
                <w:rFonts w:ascii="Garamond" w:eastAsia="Calibri" w:hAnsi="Garamond" w:cstheme="minorHAnsi"/>
                <w:b/>
                <w:sz w:val="22"/>
                <w:szCs w:val="22"/>
              </w:rPr>
              <w:t>-</w:t>
            </w:r>
            <w:r w:rsidRPr="00A5626D">
              <w:rPr>
                <w:rFonts w:ascii="Garamond" w:eastAsia="Calibri" w:hAnsi="Garamond" w:cstheme="minorHAnsi"/>
                <w:b/>
                <w:sz w:val="22"/>
                <w:szCs w:val="22"/>
                <w:lang w:val="en-US"/>
              </w:rPr>
              <w:t>link</w:t>
            </w:r>
            <w:r w:rsidRPr="00A5626D">
              <w:rPr>
                <w:rFonts w:ascii="Garamond" w:eastAsia="Calibri" w:hAnsi="Garamond" w:cstheme="minorHAnsi"/>
                <w:sz w:val="22"/>
                <w:szCs w:val="22"/>
              </w:rPr>
              <w:t>&gt;.</w:t>
            </w:r>
          </w:p>
        </w:tc>
      </w:tr>
      <w:tr w:rsidR="00295C6D" w:rsidRPr="00A5626D" w14:paraId="6F7AAFA9" w14:textId="77777777" w:rsidTr="00647FA0">
        <w:tc>
          <w:tcPr>
            <w:tcW w:w="1060" w:type="dxa"/>
            <w:vAlign w:val="center"/>
          </w:tcPr>
          <w:p w14:paraId="13EC96F4" w14:textId="61F95B57" w:rsidR="00295C6D" w:rsidRPr="00A5626D" w:rsidRDefault="00295C6D" w:rsidP="00E31AE6">
            <w:pPr>
              <w:widowControl w:val="0"/>
              <w:tabs>
                <w:tab w:val="left" w:pos="1134"/>
                <w:tab w:val="left" w:pos="7938"/>
              </w:tabs>
              <w:spacing w:line="22" w:lineRule="atLeast"/>
              <w:jc w:val="both"/>
              <w:rPr>
                <w:rFonts w:ascii="Garamond" w:hAnsi="Garamond"/>
                <w:b/>
                <w:sz w:val="22"/>
                <w:szCs w:val="22"/>
                <w:lang w:eastAsia="en-US"/>
              </w:rPr>
            </w:pPr>
            <w:r w:rsidRPr="00A5626D">
              <w:rPr>
                <w:rFonts w:ascii="Garamond" w:hAnsi="Garamond"/>
                <w:b/>
                <w:sz w:val="22"/>
                <w:szCs w:val="22"/>
                <w:lang w:eastAsia="en-US"/>
              </w:rPr>
              <w:t>Приложение 5, п.</w:t>
            </w:r>
            <w:r w:rsidR="00647FA0" w:rsidRPr="00A5626D">
              <w:rPr>
                <w:rFonts w:ascii="Garamond" w:hAnsi="Garamond"/>
                <w:b/>
                <w:sz w:val="22"/>
                <w:szCs w:val="22"/>
                <w:lang w:eastAsia="en-US"/>
              </w:rPr>
              <w:t> </w:t>
            </w:r>
            <w:r w:rsidRPr="00A5626D">
              <w:rPr>
                <w:rFonts w:ascii="Garamond" w:hAnsi="Garamond"/>
                <w:b/>
                <w:sz w:val="22"/>
                <w:szCs w:val="22"/>
                <w:lang w:eastAsia="en-US"/>
              </w:rPr>
              <w:t>4.4.1.2.2.5.1</w:t>
            </w:r>
          </w:p>
        </w:tc>
        <w:tc>
          <w:tcPr>
            <w:tcW w:w="6662" w:type="dxa"/>
          </w:tcPr>
          <w:p w14:paraId="7667DB37" w14:textId="77777777" w:rsidR="00295C6D" w:rsidRPr="00A5626D" w:rsidRDefault="00295C6D" w:rsidP="00E31AE6">
            <w:pPr>
              <w:tabs>
                <w:tab w:val="left" w:pos="1134"/>
                <w:tab w:val="left" w:pos="7938"/>
              </w:tabs>
              <w:spacing w:before="120" w:after="120"/>
              <w:ind w:firstLine="456"/>
              <w:jc w:val="both"/>
              <w:rPr>
                <w:rFonts w:ascii="Garamond" w:eastAsia="Calibri" w:hAnsi="Garamond" w:cstheme="minorHAnsi"/>
                <w:sz w:val="22"/>
                <w:szCs w:val="22"/>
                <w:lang w:val="en-US"/>
              </w:rPr>
            </w:pPr>
            <w:r w:rsidRPr="00A5626D">
              <w:rPr>
                <w:rFonts w:ascii="Garamond" w:eastAsia="Calibri" w:hAnsi="Garamond" w:cstheme="minorHAnsi"/>
                <w:sz w:val="22"/>
                <w:szCs w:val="22"/>
                <w:lang w:val="en-US"/>
              </w:rPr>
              <w:t>&lt;</w:t>
            </w:r>
            <w:r w:rsidRPr="00A5626D">
              <w:rPr>
                <w:rFonts w:ascii="Garamond" w:hAnsi="Garamond" w:cstheme="minorHAnsi"/>
                <w:sz w:val="22"/>
                <w:szCs w:val="22"/>
                <w:lang w:val="en-US"/>
              </w:rPr>
              <w:t>power</w:t>
            </w:r>
            <w:r w:rsidRPr="00A5626D">
              <w:rPr>
                <w:rFonts w:ascii="Garamond" w:eastAsia="Calibri" w:hAnsi="Garamond" w:cstheme="minorHAnsi"/>
                <w:sz w:val="22"/>
                <w:szCs w:val="22"/>
                <w:lang w:val="en-US"/>
              </w:rPr>
              <w:t>-object-owner-gtp-link&gt;</w:t>
            </w:r>
          </w:p>
          <w:p w14:paraId="0951BF40" w14:textId="77777777" w:rsidR="00295C6D" w:rsidRPr="00A5626D" w:rsidRDefault="00295C6D" w:rsidP="00E31AE6">
            <w:pPr>
              <w:tabs>
                <w:tab w:val="left" w:pos="1134"/>
                <w:tab w:val="left" w:pos="7938"/>
              </w:tabs>
              <w:spacing w:before="120" w:after="120"/>
              <w:ind w:firstLine="456"/>
              <w:jc w:val="both"/>
              <w:rPr>
                <w:rFonts w:ascii="Garamond" w:eastAsia="Calibri" w:hAnsi="Garamond" w:cstheme="minorHAnsi"/>
                <w:sz w:val="22"/>
                <w:szCs w:val="22"/>
                <w:lang w:val="en-US"/>
              </w:rPr>
            </w:pPr>
            <w:r w:rsidRPr="00A5626D">
              <w:rPr>
                <w:rFonts w:ascii="Garamond" w:eastAsia="Calibri" w:hAnsi="Garamond" w:cstheme="minorHAnsi"/>
                <w:sz w:val="22"/>
                <w:szCs w:val="22"/>
              </w:rPr>
              <w:t>Элемент</w:t>
            </w:r>
            <w:r w:rsidRPr="00A5626D">
              <w:rPr>
                <w:rFonts w:ascii="Garamond" w:eastAsia="Calibri" w:hAnsi="Garamond" w:cstheme="minorHAnsi"/>
                <w:sz w:val="22"/>
                <w:szCs w:val="22"/>
                <w:lang w:val="en-US"/>
              </w:rPr>
              <w:t xml:space="preserve"> </w:t>
            </w:r>
            <w:r w:rsidRPr="00A5626D">
              <w:rPr>
                <w:rFonts w:ascii="Garamond" w:eastAsia="Calibri" w:hAnsi="Garamond" w:cstheme="minorHAnsi"/>
                <w:sz w:val="22"/>
                <w:szCs w:val="22"/>
                <w:highlight w:val="yellow"/>
                <w:lang w:val="en-US"/>
              </w:rPr>
              <w:t>&lt;</w:t>
            </w:r>
            <w:r w:rsidRPr="00A5626D">
              <w:rPr>
                <w:rFonts w:ascii="Garamond" w:eastAsia="Calibri" w:hAnsi="Garamond" w:cstheme="minorHAnsi"/>
                <w:b/>
                <w:sz w:val="22"/>
                <w:szCs w:val="22"/>
                <w:highlight w:val="yellow"/>
                <w:lang w:val="en-US"/>
              </w:rPr>
              <w:t>power-center-power-object-link</w:t>
            </w:r>
            <w:r w:rsidRPr="00A5626D">
              <w:rPr>
                <w:rFonts w:ascii="Garamond" w:eastAsia="Calibri" w:hAnsi="Garamond" w:cstheme="minorHAnsi"/>
                <w:sz w:val="22"/>
                <w:szCs w:val="22"/>
                <w:highlight w:val="yellow"/>
                <w:lang w:val="en-US"/>
              </w:rPr>
              <w:t>&gt;</w:t>
            </w:r>
            <w:r w:rsidRPr="00A5626D">
              <w:rPr>
                <w:rFonts w:ascii="Garamond" w:eastAsia="Calibri" w:hAnsi="Garamond" w:cstheme="minorHAnsi"/>
                <w:sz w:val="22"/>
                <w:szCs w:val="22"/>
                <w:lang w:val="en-US"/>
              </w:rPr>
              <w:t xml:space="preserve"> </w:t>
            </w:r>
            <w:r w:rsidRPr="00A5626D">
              <w:rPr>
                <w:rFonts w:ascii="Garamond" w:eastAsia="Calibri" w:hAnsi="Garamond" w:cstheme="minorHAnsi"/>
                <w:sz w:val="22"/>
                <w:szCs w:val="22"/>
              </w:rPr>
              <w:t>содержит</w:t>
            </w:r>
            <w:r w:rsidRPr="00A5626D">
              <w:rPr>
                <w:rFonts w:ascii="Garamond" w:eastAsia="Calibri" w:hAnsi="Garamond" w:cstheme="minorHAnsi"/>
                <w:sz w:val="22"/>
                <w:szCs w:val="22"/>
                <w:lang w:val="en-US"/>
              </w:rPr>
              <w:t xml:space="preserve"> </w:t>
            </w:r>
            <w:r w:rsidRPr="00A5626D">
              <w:rPr>
                <w:rFonts w:ascii="Garamond" w:eastAsia="Calibri" w:hAnsi="Garamond" w:cstheme="minorHAnsi"/>
                <w:sz w:val="22"/>
                <w:szCs w:val="22"/>
              </w:rPr>
              <w:t>следующие</w:t>
            </w:r>
            <w:r w:rsidRPr="00A5626D">
              <w:rPr>
                <w:rFonts w:ascii="Garamond" w:eastAsia="Calibri" w:hAnsi="Garamond" w:cstheme="minorHAnsi"/>
                <w:sz w:val="22"/>
                <w:szCs w:val="22"/>
                <w:lang w:val="en-US"/>
              </w:rPr>
              <w:t xml:space="preserve"> </w:t>
            </w:r>
            <w:r w:rsidRPr="00A5626D">
              <w:rPr>
                <w:rFonts w:ascii="Garamond" w:eastAsia="Calibri" w:hAnsi="Garamond" w:cstheme="minorHAnsi"/>
                <w:sz w:val="22"/>
                <w:szCs w:val="22"/>
              </w:rPr>
              <w:t>атрибуты</w:t>
            </w:r>
            <w:r w:rsidRPr="00A5626D">
              <w:rPr>
                <w:rFonts w:ascii="Garamond" w:eastAsia="Calibri" w:hAnsi="Garamond" w:cstheme="minorHAnsi"/>
                <w:sz w:val="22"/>
                <w:szCs w:val="22"/>
                <w:lang w:val="en-US"/>
              </w:rPr>
              <w:t>:</w:t>
            </w:r>
          </w:p>
          <w:p w14:paraId="2022ADE1" w14:textId="77777777" w:rsidR="00295C6D" w:rsidRPr="00A5626D" w:rsidRDefault="00295C6D" w:rsidP="00295C6D">
            <w:pPr>
              <w:numPr>
                <w:ilvl w:val="0"/>
                <w:numId w:val="275"/>
              </w:numPr>
              <w:tabs>
                <w:tab w:val="left" w:pos="1134"/>
                <w:tab w:val="left" w:pos="7938"/>
              </w:tabs>
              <w:suppressAutoHyphens w:val="0"/>
              <w:spacing w:before="120" w:after="120" w:line="259" w:lineRule="auto"/>
              <w:ind w:left="0" w:firstLine="456"/>
              <w:contextualSpacing/>
              <w:jc w:val="both"/>
              <w:rPr>
                <w:rFonts w:ascii="Garamond" w:hAnsi="Garamond" w:cstheme="minorHAnsi"/>
                <w:sz w:val="22"/>
                <w:szCs w:val="22"/>
              </w:rPr>
            </w:pPr>
            <w:r w:rsidRPr="00A5626D">
              <w:rPr>
                <w:rFonts w:ascii="Garamond" w:hAnsi="Garamond" w:cstheme="minorHAnsi"/>
                <w:sz w:val="22"/>
                <w:szCs w:val="22"/>
              </w:rPr>
              <w:lastRenderedPageBreak/>
              <w:t>id-power-</w:t>
            </w:r>
            <w:r w:rsidRPr="00A5626D">
              <w:rPr>
                <w:rFonts w:ascii="Garamond" w:hAnsi="Garamond" w:cstheme="minorHAnsi"/>
                <w:sz w:val="22"/>
                <w:szCs w:val="22"/>
                <w:lang w:val="en-US"/>
              </w:rPr>
              <w:t>object</w:t>
            </w:r>
            <w:r w:rsidRPr="00A5626D">
              <w:rPr>
                <w:rFonts w:ascii="Garamond" w:hAnsi="Garamond" w:cstheme="minorHAnsi"/>
                <w:sz w:val="22"/>
                <w:szCs w:val="22"/>
              </w:rPr>
              <w:t>-</w:t>
            </w:r>
            <w:r w:rsidRPr="00A5626D">
              <w:rPr>
                <w:rFonts w:ascii="Garamond" w:hAnsi="Garamond" w:cstheme="minorHAnsi"/>
                <w:sz w:val="22"/>
                <w:szCs w:val="22"/>
                <w:lang w:val="en-US"/>
              </w:rPr>
              <w:t>owner</w:t>
            </w:r>
            <w:r w:rsidRPr="00A5626D">
              <w:rPr>
                <w:rFonts w:ascii="Garamond" w:hAnsi="Garamond" w:cstheme="minorHAnsi"/>
                <w:sz w:val="22"/>
                <w:szCs w:val="22"/>
              </w:rPr>
              <w:t xml:space="preserve"> – внутренний идентификатор организации, обладающей правом собственности на энергообъект. Число до 4 знаков (1, 01, 001 и 0001 считаются одинаковыми идентификаторами). Является обязательным атрибутом;</w:t>
            </w:r>
          </w:p>
          <w:p w14:paraId="6D7549FB" w14:textId="77777777" w:rsidR="00295C6D" w:rsidRPr="00A5626D" w:rsidRDefault="00295C6D" w:rsidP="00295C6D">
            <w:pPr>
              <w:numPr>
                <w:ilvl w:val="0"/>
                <w:numId w:val="275"/>
              </w:numPr>
              <w:tabs>
                <w:tab w:val="left" w:pos="1134"/>
                <w:tab w:val="left" w:pos="7938"/>
              </w:tabs>
              <w:suppressAutoHyphens w:val="0"/>
              <w:spacing w:before="120" w:after="120" w:line="259" w:lineRule="auto"/>
              <w:ind w:left="0" w:firstLine="456"/>
              <w:contextualSpacing/>
              <w:jc w:val="both"/>
              <w:rPr>
                <w:rFonts w:ascii="Garamond" w:hAnsi="Garamond" w:cstheme="minorHAnsi"/>
                <w:sz w:val="22"/>
                <w:szCs w:val="22"/>
                <w:lang w:val="en-US"/>
              </w:rPr>
            </w:pPr>
            <w:r w:rsidRPr="00A5626D">
              <w:rPr>
                <w:rFonts w:ascii="Garamond" w:hAnsi="Garamond" w:cstheme="minorHAnsi"/>
                <w:sz w:val="22"/>
                <w:szCs w:val="22"/>
              </w:rPr>
              <w:t>id-</w:t>
            </w:r>
            <w:r w:rsidRPr="00A5626D">
              <w:rPr>
                <w:rFonts w:ascii="Garamond" w:hAnsi="Garamond" w:cstheme="minorHAnsi"/>
                <w:sz w:val="22"/>
                <w:szCs w:val="22"/>
                <w:lang w:val="en-US"/>
              </w:rPr>
              <w:t>gtpp</w:t>
            </w:r>
            <w:r w:rsidRPr="00A5626D">
              <w:rPr>
                <w:rFonts w:ascii="Garamond" w:hAnsi="Garamond" w:cstheme="minorHAnsi"/>
                <w:sz w:val="22"/>
                <w:szCs w:val="22"/>
              </w:rPr>
              <w:t xml:space="preserve"> – внутренний идентификатор ГТП потребления. Число до 4 знаков (1, 01, 001 и 0001 считаются одинаковыми идентификаторами). Является обязательным атрибутом.</w:t>
            </w:r>
          </w:p>
        </w:tc>
        <w:tc>
          <w:tcPr>
            <w:tcW w:w="7088" w:type="dxa"/>
          </w:tcPr>
          <w:p w14:paraId="47A419B2" w14:textId="77777777" w:rsidR="00295C6D" w:rsidRPr="00A5626D" w:rsidRDefault="00295C6D" w:rsidP="00E31AE6">
            <w:pPr>
              <w:tabs>
                <w:tab w:val="left" w:pos="1134"/>
                <w:tab w:val="left" w:pos="7938"/>
              </w:tabs>
              <w:spacing w:before="120" w:after="120"/>
              <w:ind w:firstLine="456"/>
              <w:jc w:val="both"/>
              <w:rPr>
                <w:rFonts w:ascii="Garamond" w:eastAsia="Calibri" w:hAnsi="Garamond" w:cstheme="minorHAnsi"/>
                <w:sz w:val="22"/>
                <w:szCs w:val="22"/>
                <w:lang w:val="en-US"/>
              </w:rPr>
            </w:pPr>
            <w:r w:rsidRPr="00A5626D">
              <w:rPr>
                <w:rFonts w:ascii="Garamond" w:eastAsia="Calibri" w:hAnsi="Garamond" w:cstheme="minorHAnsi"/>
                <w:sz w:val="22"/>
                <w:szCs w:val="22"/>
                <w:lang w:val="en-US"/>
              </w:rPr>
              <w:lastRenderedPageBreak/>
              <w:t>&lt;</w:t>
            </w:r>
            <w:r w:rsidRPr="00A5626D">
              <w:rPr>
                <w:rFonts w:ascii="Garamond" w:hAnsi="Garamond" w:cstheme="minorHAnsi"/>
                <w:sz w:val="22"/>
                <w:szCs w:val="22"/>
                <w:lang w:val="en-US"/>
              </w:rPr>
              <w:t>power</w:t>
            </w:r>
            <w:r w:rsidRPr="00A5626D">
              <w:rPr>
                <w:rFonts w:ascii="Garamond" w:eastAsia="Calibri" w:hAnsi="Garamond" w:cstheme="minorHAnsi"/>
                <w:sz w:val="22"/>
                <w:szCs w:val="22"/>
                <w:lang w:val="en-US"/>
              </w:rPr>
              <w:t>-object-owner-gtp-link&gt;</w:t>
            </w:r>
          </w:p>
          <w:p w14:paraId="7D7A90B6" w14:textId="77777777" w:rsidR="00295C6D" w:rsidRPr="00A5626D" w:rsidRDefault="00295C6D" w:rsidP="00E31AE6">
            <w:pPr>
              <w:tabs>
                <w:tab w:val="left" w:pos="1134"/>
                <w:tab w:val="left" w:pos="7938"/>
              </w:tabs>
              <w:spacing w:before="120" w:after="120"/>
              <w:ind w:firstLine="456"/>
              <w:jc w:val="both"/>
              <w:rPr>
                <w:rFonts w:ascii="Garamond" w:eastAsia="Calibri" w:hAnsi="Garamond" w:cstheme="minorHAnsi"/>
                <w:sz w:val="22"/>
                <w:szCs w:val="22"/>
                <w:lang w:val="en-US"/>
              </w:rPr>
            </w:pPr>
            <w:r w:rsidRPr="00A5626D">
              <w:rPr>
                <w:rFonts w:ascii="Garamond" w:eastAsia="Calibri" w:hAnsi="Garamond" w:cstheme="minorHAnsi"/>
                <w:sz w:val="22"/>
                <w:szCs w:val="22"/>
              </w:rPr>
              <w:t>Элемент</w:t>
            </w:r>
            <w:r w:rsidRPr="00A5626D">
              <w:rPr>
                <w:rFonts w:ascii="Garamond" w:eastAsia="Calibri" w:hAnsi="Garamond" w:cstheme="minorHAnsi"/>
                <w:sz w:val="22"/>
                <w:szCs w:val="22"/>
                <w:lang w:val="en-US"/>
              </w:rPr>
              <w:t xml:space="preserve"> </w:t>
            </w:r>
            <w:r w:rsidRPr="00A5626D">
              <w:rPr>
                <w:rFonts w:ascii="Garamond" w:eastAsia="Calibri" w:hAnsi="Garamond" w:cstheme="minorHAnsi"/>
                <w:b/>
                <w:sz w:val="22"/>
                <w:szCs w:val="22"/>
                <w:highlight w:val="yellow"/>
                <w:lang w:val="en-US"/>
              </w:rPr>
              <w:t>&lt;</w:t>
            </w:r>
            <w:r w:rsidRPr="00A5626D">
              <w:rPr>
                <w:rFonts w:ascii="Garamond" w:hAnsi="Garamond" w:cstheme="minorHAnsi"/>
                <w:b/>
                <w:sz w:val="22"/>
                <w:szCs w:val="22"/>
                <w:highlight w:val="yellow"/>
                <w:lang w:val="en-US"/>
              </w:rPr>
              <w:t>power</w:t>
            </w:r>
            <w:r w:rsidRPr="00A5626D">
              <w:rPr>
                <w:rFonts w:ascii="Garamond" w:eastAsia="Calibri" w:hAnsi="Garamond" w:cstheme="minorHAnsi"/>
                <w:b/>
                <w:sz w:val="22"/>
                <w:szCs w:val="22"/>
                <w:highlight w:val="yellow"/>
                <w:lang w:val="en-US"/>
              </w:rPr>
              <w:t>-object-owner-gtp-link&gt;</w:t>
            </w:r>
            <w:r w:rsidRPr="00A5626D">
              <w:rPr>
                <w:rFonts w:ascii="Garamond" w:eastAsia="Calibri" w:hAnsi="Garamond" w:cstheme="minorHAnsi"/>
                <w:sz w:val="22"/>
                <w:szCs w:val="22"/>
                <w:lang w:val="en-US"/>
              </w:rPr>
              <w:t xml:space="preserve"> </w:t>
            </w:r>
            <w:r w:rsidRPr="00A5626D">
              <w:rPr>
                <w:rFonts w:ascii="Garamond" w:eastAsia="Calibri" w:hAnsi="Garamond" w:cstheme="minorHAnsi"/>
                <w:sz w:val="22"/>
                <w:szCs w:val="22"/>
              </w:rPr>
              <w:t>содержит</w:t>
            </w:r>
            <w:r w:rsidRPr="00A5626D">
              <w:rPr>
                <w:rFonts w:ascii="Garamond" w:eastAsia="Calibri" w:hAnsi="Garamond" w:cstheme="minorHAnsi"/>
                <w:sz w:val="22"/>
                <w:szCs w:val="22"/>
                <w:lang w:val="en-US"/>
              </w:rPr>
              <w:t xml:space="preserve"> </w:t>
            </w:r>
            <w:r w:rsidRPr="00A5626D">
              <w:rPr>
                <w:rFonts w:ascii="Garamond" w:eastAsia="Calibri" w:hAnsi="Garamond" w:cstheme="minorHAnsi"/>
                <w:sz w:val="22"/>
                <w:szCs w:val="22"/>
              </w:rPr>
              <w:t>следующие</w:t>
            </w:r>
            <w:r w:rsidRPr="00A5626D">
              <w:rPr>
                <w:rFonts w:ascii="Garamond" w:eastAsia="Calibri" w:hAnsi="Garamond" w:cstheme="minorHAnsi"/>
                <w:sz w:val="22"/>
                <w:szCs w:val="22"/>
                <w:lang w:val="en-US"/>
              </w:rPr>
              <w:t xml:space="preserve"> </w:t>
            </w:r>
            <w:r w:rsidRPr="00A5626D">
              <w:rPr>
                <w:rFonts w:ascii="Garamond" w:eastAsia="Calibri" w:hAnsi="Garamond" w:cstheme="minorHAnsi"/>
                <w:sz w:val="22"/>
                <w:szCs w:val="22"/>
              </w:rPr>
              <w:t>атрибуты</w:t>
            </w:r>
            <w:r w:rsidRPr="00A5626D">
              <w:rPr>
                <w:rFonts w:ascii="Garamond" w:eastAsia="Calibri" w:hAnsi="Garamond" w:cstheme="minorHAnsi"/>
                <w:sz w:val="22"/>
                <w:szCs w:val="22"/>
                <w:lang w:val="en-US"/>
              </w:rPr>
              <w:t>:</w:t>
            </w:r>
          </w:p>
          <w:p w14:paraId="620E8828" w14:textId="77777777" w:rsidR="00295C6D" w:rsidRPr="00A5626D" w:rsidRDefault="00295C6D" w:rsidP="00295C6D">
            <w:pPr>
              <w:numPr>
                <w:ilvl w:val="0"/>
                <w:numId w:val="275"/>
              </w:numPr>
              <w:tabs>
                <w:tab w:val="left" w:pos="1134"/>
                <w:tab w:val="left" w:pos="7938"/>
              </w:tabs>
              <w:suppressAutoHyphens w:val="0"/>
              <w:spacing w:before="120" w:after="120" w:line="259" w:lineRule="auto"/>
              <w:ind w:left="0" w:firstLine="456"/>
              <w:contextualSpacing/>
              <w:jc w:val="both"/>
              <w:rPr>
                <w:rFonts w:ascii="Garamond" w:hAnsi="Garamond" w:cstheme="minorHAnsi"/>
                <w:sz w:val="22"/>
                <w:szCs w:val="22"/>
              </w:rPr>
            </w:pPr>
            <w:r w:rsidRPr="00A5626D">
              <w:rPr>
                <w:rFonts w:ascii="Garamond" w:hAnsi="Garamond" w:cstheme="minorHAnsi"/>
                <w:sz w:val="22"/>
                <w:szCs w:val="22"/>
              </w:rPr>
              <w:lastRenderedPageBreak/>
              <w:t>id-power-</w:t>
            </w:r>
            <w:r w:rsidRPr="00A5626D">
              <w:rPr>
                <w:rFonts w:ascii="Garamond" w:hAnsi="Garamond" w:cstheme="minorHAnsi"/>
                <w:sz w:val="22"/>
                <w:szCs w:val="22"/>
                <w:lang w:val="en-US"/>
              </w:rPr>
              <w:t>object</w:t>
            </w:r>
            <w:r w:rsidRPr="00A5626D">
              <w:rPr>
                <w:rFonts w:ascii="Garamond" w:hAnsi="Garamond" w:cstheme="minorHAnsi"/>
                <w:sz w:val="22"/>
                <w:szCs w:val="22"/>
              </w:rPr>
              <w:t>-</w:t>
            </w:r>
            <w:r w:rsidRPr="00A5626D">
              <w:rPr>
                <w:rFonts w:ascii="Garamond" w:hAnsi="Garamond" w:cstheme="minorHAnsi"/>
                <w:sz w:val="22"/>
                <w:szCs w:val="22"/>
                <w:lang w:val="en-US"/>
              </w:rPr>
              <w:t>owner</w:t>
            </w:r>
            <w:r w:rsidRPr="00A5626D">
              <w:rPr>
                <w:rFonts w:ascii="Garamond" w:hAnsi="Garamond" w:cstheme="minorHAnsi"/>
                <w:sz w:val="22"/>
                <w:szCs w:val="22"/>
              </w:rPr>
              <w:t xml:space="preserve"> – внутренний идентификатор организации, обладающей правом собственности на энергообъект. Число до 4 знаков (1, 01, 001 и 0001 считаются одинаковыми идентификаторами). Является обязательным атрибутом;</w:t>
            </w:r>
          </w:p>
          <w:p w14:paraId="628A520D" w14:textId="77777777" w:rsidR="00295C6D" w:rsidRPr="00A5626D" w:rsidRDefault="00295C6D" w:rsidP="00295C6D">
            <w:pPr>
              <w:numPr>
                <w:ilvl w:val="0"/>
                <w:numId w:val="275"/>
              </w:numPr>
              <w:tabs>
                <w:tab w:val="left" w:pos="1134"/>
                <w:tab w:val="left" w:pos="7938"/>
              </w:tabs>
              <w:suppressAutoHyphens w:val="0"/>
              <w:spacing w:before="120" w:after="120" w:line="259" w:lineRule="auto"/>
              <w:ind w:left="0" w:firstLine="456"/>
              <w:contextualSpacing/>
              <w:jc w:val="both"/>
              <w:rPr>
                <w:rFonts w:ascii="Garamond" w:hAnsi="Garamond" w:cstheme="minorHAnsi"/>
                <w:sz w:val="22"/>
                <w:szCs w:val="22"/>
              </w:rPr>
            </w:pPr>
            <w:r w:rsidRPr="00A5626D">
              <w:rPr>
                <w:rFonts w:ascii="Garamond" w:hAnsi="Garamond" w:cstheme="minorHAnsi"/>
                <w:sz w:val="22"/>
                <w:szCs w:val="22"/>
              </w:rPr>
              <w:t>id-</w:t>
            </w:r>
            <w:r w:rsidRPr="00A5626D">
              <w:rPr>
                <w:rFonts w:ascii="Garamond" w:hAnsi="Garamond" w:cstheme="minorHAnsi"/>
                <w:sz w:val="22"/>
                <w:szCs w:val="22"/>
                <w:lang w:val="en-US"/>
              </w:rPr>
              <w:t>gtpp</w:t>
            </w:r>
            <w:r w:rsidRPr="00A5626D">
              <w:rPr>
                <w:rFonts w:ascii="Garamond" w:hAnsi="Garamond" w:cstheme="minorHAnsi"/>
                <w:sz w:val="22"/>
                <w:szCs w:val="22"/>
              </w:rPr>
              <w:t xml:space="preserve"> – внутренний идентификатор ГТП потребления. Число до 4 знаков (1, 01, 001 и 0001 считаются одинаковыми идентификаторами). Является обязательным атрибутом.</w:t>
            </w:r>
          </w:p>
        </w:tc>
      </w:tr>
      <w:tr w:rsidR="00295C6D" w:rsidRPr="00A5626D" w14:paraId="754A5DA8" w14:textId="77777777" w:rsidTr="00647FA0">
        <w:tc>
          <w:tcPr>
            <w:tcW w:w="1060" w:type="dxa"/>
            <w:vAlign w:val="center"/>
          </w:tcPr>
          <w:p w14:paraId="50B1D8A9" w14:textId="4BC43819" w:rsidR="00295C6D" w:rsidRPr="00A5626D" w:rsidRDefault="00295C6D" w:rsidP="00E31AE6">
            <w:pPr>
              <w:widowControl w:val="0"/>
              <w:tabs>
                <w:tab w:val="left" w:pos="1134"/>
                <w:tab w:val="left" w:pos="7938"/>
              </w:tabs>
              <w:spacing w:line="22" w:lineRule="atLeast"/>
              <w:jc w:val="both"/>
              <w:rPr>
                <w:rFonts w:ascii="Garamond" w:hAnsi="Garamond"/>
                <w:b/>
                <w:sz w:val="22"/>
                <w:szCs w:val="22"/>
                <w:lang w:eastAsia="en-US"/>
              </w:rPr>
            </w:pPr>
            <w:r w:rsidRPr="00A5626D">
              <w:rPr>
                <w:rFonts w:ascii="Garamond" w:hAnsi="Garamond"/>
                <w:b/>
                <w:sz w:val="22"/>
                <w:szCs w:val="22"/>
                <w:lang w:eastAsia="en-US"/>
              </w:rPr>
              <w:lastRenderedPageBreak/>
              <w:t>Приложение 5, п.</w:t>
            </w:r>
            <w:r w:rsidR="00647FA0" w:rsidRPr="00A5626D">
              <w:rPr>
                <w:rFonts w:ascii="Garamond" w:hAnsi="Garamond"/>
                <w:b/>
                <w:sz w:val="22"/>
                <w:szCs w:val="22"/>
                <w:lang w:eastAsia="en-US"/>
              </w:rPr>
              <w:t> </w:t>
            </w:r>
            <w:r w:rsidRPr="00A5626D">
              <w:rPr>
                <w:rFonts w:ascii="Garamond" w:hAnsi="Garamond"/>
                <w:b/>
                <w:sz w:val="22"/>
                <w:szCs w:val="22"/>
                <w:lang w:eastAsia="en-US"/>
              </w:rPr>
              <w:t>4.4.1.2.3</w:t>
            </w:r>
            <w:r w:rsidR="009B5F03" w:rsidRPr="00A5626D">
              <w:rPr>
                <w:rFonts w:ascii="Garamond" w:hAnsi="Garamond" w:cstheme="minorHAnsi"/>
                <w:b/>
                <w:bCs/>
                <w:sz w:val="22"/>
                <w:szCs w:val="22"/>
              </w:rPr>
              <w:t xml:space="preserve"> </w:t>
            </w:r>
          </w:p>
        </w:tc>
        <w:tc>
          <w:tcPr>
            <w:tcW w:w="6662" w:type="dxa"/>
          </w:tcPr>
          <w:p w14:paraId="51D1A562" w14:textId="77777777" w:rsidR="00295C6D" w:rsidRPr="00A5626D" w:rsidRDefault="00295C6D" w:rsidP="00E31AE6">
            <w:pPr>
              <w:tabs>
                <w:tab w:val="left" w:pos="1134"/>
                <w:tab w:val="left" w:pos="7938"/>
              </w:tabs>
              <w:spacing w:before="120" w:after="120"/>
              <w:ind w:firstLine="456"/>
              <w:jc w:val="both"/>
              <w:rPr>
                <w:rFonts w:ascii="Garamond" w:hAnsi="Garamond" w:cstheme="minorHAnsi"/>
                <w:b/>
                <w:bCs/>
                <w:sz w:val="22"/>
                <w:szCs w:val="22"/>
              </w:rPr>
            </w:pPr>
            <w:r w:rsidRPr="00A5626D">
              <w:rPr>
                <w:rFonts w:ascii="Garamond" w:hAnsi="Garamond" w:cstheme="minorHAnsi"/>
                <w:b/>
                <w:bCs/>
                <w:sz w:val="22"/>
                <w:szCs w:val="22"/>
              </w:rPr>
              <w:t>&lt;</w:t>
            </w:r>
            <w:r w:rsidRPr="00A5626D">
              <w:rPr>
                <w:rFonts w:ascii="Garamond" w:hAnsi="Garamond" w:cstheme="minorHAnsi"/>
                <w:b/>
                <w:bCs/>
                <w:sz w:val="22"/>
                <w:szCs w:val="22"/>
                <w:lang w:val="en-US"/>
              </w:rPr>
              <w:t>algorithm</w:t>
            </w:r>
            <w:r w:rsidRPr="00A5626D">
              <w:rPr>
                <w:rFonts w:ascii="Garamond" w:hAnsi="Garamond" w:cstheme="minorHAnsi"/>
                <w:b/>
                <w:bCs/>
                <w:sz w:val="22"/>
                <w:szCs w:val="22"/>
              </w:rPr>
              <w:t>&gt;</w:t>
            </w:r>
          </w:p>
          <w:p w14:paraId="72C28035" w14:textId="19BEFD90" w:rsidR="00295C6D" w:rsidRPr="00A5626D" w:rsidRDefault="00295C6D" w:rsidP="00E31AE6">
            <w:pPr>
              <w:tabs>
                <w:tab w:val="left" w:pos="1134"/>
                <w:tab w:val="left" w:pos="7938"/>
              </w:tabs>
              <w:spacing w:before="120" w:after="120"/>
              <w:ind w:firstLine="456"/>
              <w:jc w:val="both"/>
              <w:rPr>
                <w:rFonts w:ascii="Garamond" w:eastAsia="Calibri" w:hAnsi="Garamond" w:cstheme="minorHAnsi"/>
                <w:sz w:val="22"/>
                <w:szCs w:val="22"/>
              </w:rPr>
            </w:pPr>
            <w:r w:rsidRPr="00A5626D">
              <w:rPr>
                <w:rFonts w:ascii="Garamond" w:hAnsi="Garamond" w:cstheme="minorHAnsi"/>
                <w:sz w:val="22"/>
                <w:szCs w:val="22"/>
              </w:rPr>
              <w:t xml:space="preserve">Элемент </w:t>
            </w:r>
            <w:r w:rsidRPr="00A5626D">
              <w:rPr>
                <w:rFonts w:ascii="Garamond" w:eastAsia="Calibri" w:hAnsi="Garamond" w:cstheme="minorHAnsi"/>
                <w:sz w:val="22"/>
                <w:szCs w:val="22"/>
              </w:rPr>
              <w:t>&lt;</w:t>
            </w:r>
            <w:r w:rsidRPr="00A5626D">
              <w:rPr>
                <w:rFonts w:ascii="Garamond" w:eastAsia="Calibri" w:hAnsi="Garamond" w:cstheme="minorHAnsi"/>
                <w:b/>
                <w:sz w:val="22"/>
                <w:szCs w:val="22"/>
                <w:lang w:val="en-US"/>
              </w:rPr>
              <w:t>algorithm</w:t>
            </w:r>
            <w:r w:rsidRPr="00A5626D">
              <w:rPr>
                <w:rFonts w:ascii="Garamond" w:eastAsia="Calibri" w:hAnsi="Garamond" w:cstheme="minorHAnsi"/>
                <w:sz w:val="22"/>
                <w:szCs w:val="22"/>
              </w:rPr>
              <w:t>&gt; содержит в себе алгоритм расчета количества электроэнергии в точках поставки, а также алгоритм расчета учетного показателя для сечений или ГТП генерации.</w:t>
            </w:r>
            <w:r w:rsidR="009B5F03" w:rsidRPr="00A5626D">
              <w:rPr>
                <w:rFonts w:ascii="Garamond" w:eastAsia="Calibri" w:hAnsi="Garamond" w:cstheme="minorHAnsi"/>
                <w:sz w:val="22"/>
                <w:szCs w:val="22"/>
              </w:rPr>
              <w:t xml:space="preserve"> </w:t>
            </w:r>
          </w:p>
          <w:p w14:paraId="2ABD68C4" w14:textId="77777777" w:rsidR="00295C6D" w:rsidRPr="00A5626D" w:rsidRDefault="00295C6D" w:rsidP="00E31AE6">
            <w:pPr>
              <w:tabs>
                <w:tab w:val="left" w:pos="1134"/>
                <w:tab w:val="left" w:pos="7938"/>
              </w:tabs>
              <w:spacing w:before="120" w:after="120"/>
              <w:ind w:firstLine="456"/>
              <w:jc w:val="both"/>
              <w:rPr>
                <w:rFonts w:ascii="Garamond" w:hAnsi="Garamond" w:cstheme="minorHAnsi"/>
                <w:sz w:val="22"/>
                <w:szCs w:val="22"/>
              </w:rPr>
            </w:pPr>
            <w:r w:rsidRPr="00A5626D">
              <w:rPr>
                <w:rFonts w:ascii="Garamond" w:hAnsi="Garamond" w:cstheme="minorHAnsi"/>
                <w:bCs/>
                <w:sz w:val="22"/>
                <w:szCs w:val="22"/>
              </w:rPr>
              <w:t>Обязательный элемент</w:t>
            </w:r>
            <w:r w:rsidRPr="00A5626D">
              <w:rPr>
                <w:rFonts w:ascii="Garamond" w:hAnsi="Garamond" w:cstheme="minorHAnsi"/>
                <w:sz w:val="22"/>
                <w:szCs w:val="22"/>
              </w:rPr>
              <w:t>. Допускается наличие только одного элемента.</w:t>
            </w:r>
          </w:p>
          <w:p w14:paraId="3F68F641" w14:textId="77777777" w:rsidR="00295C6D" w:rsidRPr="00A5626D" w:rsidRDefault="00295C6D" w:rsidP="00E31AE6">
            <w:pPr>
              <w:tabs>
                <w:tab w:val="left" w:pos="1134"/>
                <w:tab w:val="left" w:pos="7938"/>
              </w:tabs>
              <w:spacing w:line="276" w:lineRule="auto"/>
              <w:ind w:firstLine="456"/>
              <w:jc w:val="both"/>
              <w:rPr>
                <w:rFonts w:ascii="Garamond" w:eastAsia="Calibri" w:hAnsi="Garamond" w:cstheme="minorHAnsi"/>
                <w:sz w:val="22"/>
                <w:szCs w:val="22"/>
                <w:lang w:val="en-US"/>
              </w:rPr>
            </w:pPr>
            <w:r w:rsidRPr="00A5626D">
              <w:rPr>
                <w:rFonts w:ascii="Garamond" w:eastAsia="Calibri" w:hAnsi="Garamond" w:cstheme="minorHAnsi"/>
                <w:sz w:val="22"/>
                <w:szCs w:val="22"/>
              </w:rPr>
              <w:t>Дочерними</w:t>
            </w:r>
            <w:r w:rsidRPr="00A5626D">
              <w:rPr>
                <w:rFonts w:ascii="Garamond" w:eastAsia="Calibri" w:hAnsi="Garamond" w:cstheme="minorHAnsi"/>
                <w:sz w:val="22"/>
                <w:szCs w:val="22"/>
                <w:lang w:val="en-US"/>
              </w:rPr>
              <w:t xml:space="preserve"> </w:t>
            </w:r>
            <w:r w:rsidRPr="00A5626D">
              <w:rPr>
                <w:rFonts w:ascii="Garamond" w:eastAsia="Calibri" w:hAnsi="Garamond" w:cstheme="minorHAnsi"/>
                <w:sz w:val="22"/>
                <w:szCs w:val="22"/>
              </w:rPr>
              <w:t>элементами</w:t>
            </w:r>
            <w:r w:rsidRPr="00A5626D">
              <w:rPr>
                <w:rFonts w:ascii="Garamond" w:eastAsia="Calibri" w:hAnsi="Garamond" w:cstheme="minorHAnsi"/>
                <w:sz w:val="22"/>
                <w:szCs w:val="22"/>
                <w:lang w:val="en-US"/>
              </w:rPr>
              <w:t xml:space="preserve"> </w:t>
            </w:r>
            <w:r w:rsidRPr="00A5626D">
              <w:rPr>
                <w:rFonts w:ascii="Garamond" w:eastAsia="Calibri" w:hAnsi="Garamond" w:cstheme="minorHAnsi"/>
                <w:sz w:val="22"/>
                <w:szCs w:val="22"/>
              </w:rPr>
              <w:t>являются</w:t>
            </w:r>
            <w:r w:rsidRPr="00A5626D">
              <w:rPr>
                <w:rFonts w:ascii="Garamond" w:eastAsia="Calibri" w:hAnsi="Garamond" w:cstheme="minorHAnsi"/>
                <w:sz w:val="22"/>
                <w:szCs w:val="22"/>
                <w:lang w:val="en-US"/>
              </w:rPr>
              <w:t>: &lt;</w:t>
            </w:r>
            <w:r w:rsidRPr="00A5626D">
              <w:rPr>
                <w:rFonts w:ascii="Garamond" w:eastAsia="Calibri" w:hAnsi="Garamond" w:cstheme="minorHAnsi"/>
                <w:b/>
                <w:sz w:val="22"/>
                <w:szCs w:val="22"/>
                <w:lang w:val="en-US"/>
              </w:rPr>
              <w:t>aup-delivery-points</w:t>
            </w:r>
            <w:r w:rsidRPr="00A5626D">
              <w:rPr>
                <w:rFonts w:ascii="Garamond" w:eastAsia="Calibri" w:hAnsi="Garamond" w:cstheme="minorHAnsi"/>
                <w:sz w:val="22"/>
                <w:szCs w:val="22"/>
                <w:lang w:val="en-US"/>
              </w:rPr>
              <w:t>&gt;, &lt;</w:t>
            </w:r>
            <w:r w:rsidRPr="00A5626D">
              <w:rPr>
                <w:rFonts w:ascii="Garamond" w:eastAsia="Calibri" w:hAnsi="Garamond" w:cstheme="minorHAnsi"/>
                <w:b/>
                <w:sz w:val="22"/>
                <w:szCs w:val="22"/>
                <w:lang w:val="en-US"/>
              </w:rPr>
              <w:t>peretok</w:t>
            </w:r>
            <w:r w:rsidRPr="00A5626D">
              <w:rPr>
                <w:rFonts w:ascii="Garamond" w:eastAsia="Calibri" w:hAnsi="Garamond" w:cstheme="minorHAnsi"/>
                <w:sz w:val="22"/>
                <w:szCs w:val="22"/>
                <w:lang w:val="en-US"/>
              </w:rPr>
              <w:t>&gt;, &lt;</w:t>
            </w:r>
            <w:r w:rsidRPr="00A5626D">
              <w:rPr>
                <w:rFonts w:ascii="Garamond" w:eastAsia="Calibri" w:hAnsi="Garamond" w:cstheme="minorHAnsi"/>
                <w:b/>
                <w:sz w:val="22"/>
                <w:szCs w:val="22"/>
                <w:lang w:val="en-US"/>
              </w:rPr>
              <w:t>generation</w:t>
            </w:r>
            <w:r w:rsidRPr="00A5626D">
              <w:rPr>
                <w:rFonts w:ascii="Garamond" w:eastAsia="Calibri" w:hAnsi="Garamond" w:cstheme="minorHAnsi"/>
                <w:sz w:val="22"/>
                <w:szCs w:val="22"/>
                <w:lang w:val="en-US"/>
              </w:rPr>
              <w:t>&gt;.</w:t>
            </w:r>
          </w:p>
        </w:tc>
        <w:tc>
          <w:tcPr>
            <w:tcW w:w="7088" w:type="dxa"/>
          </w:tcPr>
          <w:p w14:paraId="38BBE74B" w14:textId="77777777" w:rsidR="00295C6D" w:rsidRPr="00A5626D" w:rsidRDefault="00295C6D" w:rsidP="00E31AE6">
            <w:pPr>
              <w:tabs>
                <w:tab w:val="left" w:pos="1134"/>
                <w:tab w:val="left" w:pos="7938"/>
              </w:tabs>
              <w:spacing w:before="120" w:after="120"/>
              <w:ind w:firstLine="456"/>
              <w:jc w:val="both"/>
              <w:rPr>
                <w:rFonts w:ascii="Garamond" w:hAnsi="Garamond" w:cstheme="minorHAnsi"/>
                <w:b/>
                <w:bCs/>
                <w:sz w:val="22"/>
                <w:szCs w:val="22"/>
              </w:rPr>
            </w:pPr>
            <w:r w:rsidRPr="00A5626D">
              <w:rPr>
                <w:rFonts w:ascii="Garamond" w:hAnsi="Garamond" w:cstheme="minorHAnsi"/>
                <w:b/>
                <w:bCs/>
                <w:sz w:val="22"/>
                <w:szCs w:val="22"/>
              </w:rPr>
              <w:t>&lt;</w:t>
            </w:r>
            <w:r w:rsidRPr="00A5626D">
              <w:rPr>
                <w:rFonts w:ascii="Garamond" w:hAnsi="Garamond" w:cstheme="minorHAnsi"/>
                <w:b/>
                <w:bCs/>
                <w:sz w:val="22"/>
                <w:szCs w:val="22"/>
                <w:lang w:val="en-US"/>
              </w:rPr>
              <w:t>algorithm</w:t>
            </w:r>
            <w:r w:rsidRPr="00A5626D">
              <w:rPr>
                <w:rFonts w:ascii="Garamond" w:hAnsi="Garamond" w:cstheme="minorHAnsi"/>
                <w:b/>
                <w:bCs/>
                <w:sz w:val="22"/>
                <w:szCs w:val="22"/>
              </w:rPr>
              <w:t>&gt;</w:t>
            </w:r>
          </w:p>
          <w:p w14:paraId="1BA4ED42" w14:textId="01F880CB" w:rsidR="00295C6D" w:rsidRPr="00A5626D" w:rsidRDefault="00295C6D" w:rsidP="00E31AE6">
            <w:pPr>
              <w:tabs>
                <w:tab w:val="left" w:pos="1134"/>
                <w:tab w:val="left" w:pos="7938"/>
              </w:tabs>
              <w:spacing w:before="120" w:after="120"/>
              <w:ind w:firstLine="456"/>
              <w:jc w:val="both"/>
              <w:rPr>
                <w:rFonts w:ascii="Garamond" w:eastAsia="Calibri" w:hAnsi="Garamond" w:cstheme="minorHAnsi"/>
                <w:sz w:val="22"/>
                <w:szCs w:val="22"/>
              </w:rPr>
            </w:pPr>
            <w:r w:rsidRPr="00A5626D">
              <w:rPr>
                <w:rFonts w:ascii="Garamond" w:hAnsi="Garamond" w:cstheme="minorHAnsi"/>
                <w:sz w:val="22"/>
                <w:szCs w:val="22"/>
              </w:rPr>
              <w:t xml:space="preserve">Элемент </w:t>
            </w:r>
            <w:r w:rsidRPr="00A5626D">
              <w:rPr>
                <w:rFonts w:ascii="Garamond" w:eastAsia="Calibri" w:hAnsi="Garamond" w:cstheme="minorHAnsi"/>
                <w:sz w:val="22"/>
                <w:szCs w:val="22"/>
              </w:rPr>
              <w:t>&lt;</w:t>
            </w:r>
            <w:r w:rsidRPr="00A5626D">
              <w:rPr>
                <w:rFonts w:ascii="Garamond" w:eastAsia="Calibri" w:hAnsi="Garamond" w:cstheme="minorHAnsi"/>
                <w:b/>
                <w:sz w:val="22"/>
                <w:szCs w:val="22"/>
                <w:lang w:val="en-US"/>
              </w:rPr>
              <w:t>algorithm</w:t>
            </w:r>
            <w:r w:rsidRPr="00A5626D">
              <w:rPr>
                <w:rFonts w:ascii="Garamond" w:eastAsia="Calibri" w:hAnsi="Garamond" w:cstheme="minorHAnsi"/>
                <w:sz w:val="22"/>
                <w:szCs w:val="22"/>
              </w:rPr>
              <w:t xml:space="preserve">&gt; содержит в себе алгоритм расчета количества электроэнергии в точках поставки </w:t>
            </w:r>
            <w:r w:rsidRPr="00A5626D">
              <w:rPr>
                <w:rFonts w:ascii="Garamond" w:eastAsia="Calibri" w:hAnsi="Garamond" w:cstheme="minorHAnsi"/>
                <w:sz w:val="22"/>
                <w:szCs w:val="22"/>
                <w:highlight w:val="yellow"/>
              </w:rPr>
              <w:t>(точках присоединения)</w:t>
            </w:r>
            <w:r w:rsidRPr="00A5626D">
              <w:rPr>
                <w:rFonts w:ascii="Garamond" w:eastAsia="Calibri" w:hAnsi="Garamond" w:cstheme="minorHAnsi"/>
                <w:sz w:val="22"/>
                <w:szCs w:val="22"/>
              </w:rPr>
              <w:t xml:space="preserve">, а также алгоритм расчета учетного показателя для сечений </w:t>
            </w:r>
            <w:r w:rsidRPr="00A5626D">
              <w:rPr>
                <w:rFonts w:ascii="Garamond" w:eastAsia="Calibri" w:hAnsi="Garamond" w:cstheme="minorHAnsi"/>
                <w:sz w:val="22"/>
                <w:szCs w:val="22"/>
                <w:highlight w:val="yellow"/>
              </w:rPr>
              <w:t>КУ</w:t>
            </w:r>
            <w:r w:rsidRPr="00A5626D">
              <w:rPr>
                <w:rFonts w:ascii="Garamond" w:eastAsia="Calibri" w:hAnsi="Garamond" w:cstheme="minorHAnsi"/>
                <w:sz w:val="22"/>
                <w:szCs w:val="22"/>
              </w:rPr>
              <w:t xml:space="preserve"> или ГТП генерации </w:t>
            </w:r>
            <w:r w:rsidRPr="00A5626D">
              <w:rPr>
                <w:rFonts w:ascii="Garamond" w:eastAsia="Calibri" w:hAnsi="Garamond" w:cstheme="minorHAnsi"/>
                <w:sz w:val="22"/>
                <w:szCs w:val="22"/>
                <w:highlight w:val="yellow"/>
              </w:rPr>
              <w:t>или ОР</w:t>
            </w:r>
            <w:r w:rsidRPr="00A5626D">
              <w:rPr>
                <w:rFonts w:ascii="Garamond" w:eastAsia="Calibri" w:hAnsi="Garamond" w:cstheme="minorHAnsi"/>
                <w:sz w:val="22"/>
                <w:szCs w:val="22"/>
              </w:rPr>
              <w:t>.</w:t>
            </w:r>
            <w:r w:rsidR="009B5F03" w:rsidRPr="00A5626D">
              <w:rPr>
                <w:rFonts w:ascii="Garamond" w:eastAsia="Calibri" w:hAnsi="Garamond" w:cstheme="minorHAnsi"/>
                <w:sz w:val="22"/>
                <w:szCs w:val="22"/>
              </w:rPr>
              <w:t xml:space="preserve"> </w:t>
            </w:r>
          </w:p>
          <w:p w14:paraId="212EBB9E" w14:textId="77777777" w:rsidR="00295C6D" w:rsidRPr="00A5626D" w:rsidRDefault="00295C6D" w:rsidP="00E31AE6">
            <w:pPr>
              <w:tabs>
                <w:tab w:val="left" w:pos="1134"/>
                <w:tab w:val="left" w:pos="7938"/>
              </w:tabs>
              <w:spacing w:before="120" w:after="120"/>
              <w:ind w:firstLine="456"/>
              <w:jc w:val="both"/>
              <w:rPr>
                <w:rFonts w:ascii="Garamond" w:hAnsi="Garamond" w:cstheme="minorHAnsi"/>
                <w:sz w:val="22"/>
                <w:szCs w:val="22"/>
              </w:rPr>
            </w:pPr>
            <w:r w:rsidRPr="00A5626D">
              <w:rPr>
                <w:rFonts w:ascii="Garamond" w:hAnsi="Garamond" w:cstheme="minorHAnsi"/>
                <w:bCs/>
                <w:sz w:val="22"/>
                <w:szCs w:val="22"/>
              </w:rPr>
              <w:t>Обязательный элемент</w:t>
            </w:r>
            <w:r w:rsidRPr="00A5626D">
              <w:rPr>
                <w:rFonts w:ascii="Garamond" w:hAnsi="Garamond" w:cstheme="minorHAnsi"/>
                <w:sz w:val="22"/>
                <w:szCs w:val="22"/>
              </w:rPr>
              <w:t>. Допускается наличие только одного элемента.</w:t>
            </w:r>
          </w:p>
          <w:p w14:paraId="18E0708C" w14:textId="77777777" w:rsidR="00295C6D" w:rsidRPr="00A5626D" w:rsidRDefault="00295C6D" w:rsidP="00E31AE6">
            <w:pPr>
              <w:tabs>
                <w:tab w:val="left" w:pos="1134"/>
                <w:tab w:val="left" w:pos="7938"/>
              </w:tabs>
              <w:spacing w:before="120" w:after="120"/>
              <w:ind w:firstLine="456"/>
              <w:jc w:val="both"/>
              <w:rPr>
                <w:rFonts w:ascii="Garamond" w:hAnsi="Garamond" w:cstheme="minorHAnsi"/>
                <w:sz w:val="22"/>
                <w:szCs w:val="22"/>
                <w:lang w:val="en-US"/>
              </w:rPr>
            </w:pPr>
            <w:r w:rsidRPr="00A5626D">
              <w:rPr>
                <w:rFonts w:ascii="Garamond" w:eastAsia="Calibri" w:hAnsi="Garamond" w:cstheme="minorHAnsi"/>
                <w:sz w:val="22"/>
                <w:szCs w:val="22"/>
              </w:rPr>
              <w:t>Дочерними</w:t>
            </w:r>
            <w:r w:rsidRPr="00A5626D">
              <w:rPr>
                <w:rFonts w:ascii="Garamond" w:eastAsia="Calibri" w:hAnsi="Garamond" w:cstheme="minorHAnsi"/>
                <w:sz w:val="22"/>
                <w:szCs w:val="22"/>
                <w:lang w:val="en-US"/>
              </w:rPr>
              <w:t xml:space="preserve"> </w:t>
            </w:r>
            <w:r w:rsidRPr="00A5626D">
              <w:rPr>
                <w:rFonts w:ascii="Garamond" w:eastAsia="Calibri" w:hAnsi="Garamond" w:cstheme="minorHAnsi"/>
                <w:sz w:val="22"/>
                <w:szCs w:val="22"/>
              </w:rPr>
              <w:t>элементами</w:t>
            </w:r>
            <w:r w:rsidRPr="00A5626D">
              <w:rPr>
                <w:rFonts w:ascii="Garamond" w:eastAsia="Calibri" w:hAnsi="Garamond" w:cstheme="minorHAnsi"/>
                <w:sz w:val="22"/>
                <w:szCs w:val="22"/>
                <w:lang w:val="en-US"/>
              </w:rPr>
              <w:t xml:space="preserve"> </w:t>
            </w:r>
            <w:r w:rsidRPr="00A5626D">
              <w:rPr>
                <w:rFonts w:ascii="Garamond" w:eastAsia="Calibri" w:hAnsi="Garamond" w:cstheme="minorHAnsi"/>
                <w:sz w:val="22"/>
                <w:szCs w:val="22"/>
              </w:rPr>
              <w:t>являются</w:t>
            </w:r>
            <w:r w:rsidRPr="00A5626D">
              <w:rPr>
                <w:rFonts w:ascii="Garamond" w:eastAsia="Calibri" w:hAnsi="Garamond" w:cstheme="minorHAnsi"/>
                <w:sz w:val="22"/>
                <w:szCs w:val="22"/>
                <w:lang w:val="en-US"/>
              </w:rPr>
              <w:t>: &lt;</w:t>
            </w:r>
            <w:r w:rsidRPr="00A5626D">
              <w:rPr>
                <w:rFonts w:ascii="Garamond" w:eastAsia="Calibri" w:hAnsi="Garamond" w:cstheme="minorHAnsi"/>
                <w:b/>
                <w:sz w:val="22"/>
                <w:szCs w:val="22"/>
                <w:lang w:val="en-US"/>
              </w:rPr>
              <w:t>aup-delivery-points</w:t>
            </w:r>
            <w:r w:rsidRPr="00A5626D">
              <w:rPr>
                <w:rFonts w:ascii="Garamond" w:eastAsia="Calibri" w:hAnsi="Garamond" w:cstheme="minorHAnsi"/>
                <w:sz w:val="22"/>
                <w:szCs w:val="22"/>
                <w:lang w:val="en-US"/>
              </w:rPr>
              <w:t>&gt;, &lt;</w:t>
            </w:r>
            <w:r w:rsidRPr="00A5626D">
              <w:rPr>
                <w:rFonts w:ascii="Garamond" w:eastAsia="Calibri" w:hAnsi="Garamond" w:cstheme="minorHAnsi"/>
                <w:b/>
                <w:sz w:val="22"/>
                <w:szCs w:val="22"/>
                <w:lang w:val="en-US"/>
              </w:rPr>
              <w:t>peretok</w:t>
            </w:r>
            <w:r w:rsidRPr="00A5626D">
              <w:rPr>
                <w:rFonts w:ascii="Garamond" w:eastAsia="Calibri" w:hAnsi="Garamond" w:cstheme="minorHAnsi"/>
                <w:sz w:val="22"/>
                <w:szCs w:val="22"/>
                <w:lang w:val="en-US"/>
              </w:rPr>
              <w:t>&gt;, &lt;</w:t>
            </w:r>
            <w:r w:rsidRPr="00A5626D">
              <w:rPr>
                <w:rFonts w:ascii="Garamond" w:eastAsia="Calibri" w:hAnsi="Garamond" w:cstheme="minorHAnsi"/>
                <w:b/>
                <w:sz w:val="22"/>
                <w:szCs w:val="22"/>
                <w:lang w:val="en-US"/>
              </w:rPr>
              <w:t xml:space="preserve">generation&gt;, </w:t>
            </w:r>
            <w:r w:rsidRPr="00A5626D">
              <w:rPr>
                <w:rFonts w:ascii="Garamond" w:eastAsia="Calibri" w:hAnsi="Garamond" w:cs="Times New Roman"/>
                <w:b/>
                <w:sz w:val="22"/>
                <w:szCs w:val="22"/>
                <w:highlight w:val="yellow"/>
                <w:lang w:val="en-US"/>
              </w:rPr>
              <w:t>&lt;regulation-object&gt;</w:t>
            </w:r>
            <w:r w:rsidRPr="00A5626D">
              <w:rPr>
                <w:rFonts w:ascii="Garamond" w:eastAsia="Calibri" w:hAnsi="Garamond" w:cstheme="minorHAnsi"/>
                <w:b/>
                <w:sz w:val="22"/>
                <w:szCs w:val="22"/>
                <w:lang w:val="en-US"/>
              </w:rPr>
              <w:t>.</w:t>
            </w:r>
          </w:p>
        </w:tc>
      </w:tr>
      <w:tr w:rsidR="00295C6D" w:rsidRPr="00A5626D" w14:paraId="479ACA0F" w14:textId="77777777" w:rsidTr="00647FA0">
        <w:tc>
          <w:tcPr>
            <w:tcW w:w="1060" w:type="dxa"/>
            <w:vAlign w:val="center"/>
          </w:tcPr>
          <w:p w14:paraId="40F7FC14" w14:textId="7D051F30" w:rsidR="00295C6D" w:rsidRPr="00A5626D" w:rsidRDefault="00295C6D" w:rsidP="00E31AE6">
            <w:pPr>
              <w:widowControl w:val="0"/>
              <w:tabs>
                <w:tab w:val="left" w:pos="1134"/>
                <w:tab w:val="left" w:pos="7938"/>
              </w:tabs>
              <w:spacing w:line="22" w:lineRule="atLeast"/>
              <w:jc w:val="both"/>
              <w:rPr>
                <w:rFonts w:ascii="Garamond" w:hAnsi="Garamond"/>
                <w:b/>
                <w:sz w:val="22"/>
                <w:szCs w:val="22"/>
                <w:lang w:val="en-US" w:eastAsia="en-US"/>
              </w:rPr>
            </w:pPr>
            <w:r w:rsidRPr="00A5626D">
              <w:rPr>
                <w:rFonts w:ascii="Garamond" w:hAnsi="Garamond"/>
                <w:b/>
                <w:sz w:val="22"/>
                <w:szCs w:val="22"/>
                <w:lang w:eastAsia="en-US"/>
              </w:rPr>
              <w:t>Приложение 5, п.</w:t>
            </w:r>
            <w:r w:rsidR="00647FA0" w:rsidRPr="00A5626D">
              <w:rPr>
                <w:rFonts w:ascii="Garamond" w:hAnsi="Garamond"/>
                <w:b/>
                <w:sz w:val="22"/>
                <w:szCs w:val="22"/>
                <w:lang w:eastAsia="en-US"/>
              </w:rPr>
              <w:t> </w:t>
            </w:r>
            <w:r w:rsidRPr="00A5626D">
              <w:rPr>
                <w:rFonts w:ascii="Garamond" w:hAnsi="Garamond"/>
                <w:b/>
                <w:sz w:val="22"/>
                <w:szCs w:val="22"/>
                <w:lang w:eastAsia="en-US"/>
              </w:rPr>
              <w:t>4.4.1.2.3.1</w:t>
            </w:r>
          </w:p>
        </w:tc>
        <w:tc>
          <w:tcPr>
            <w:tcW w:w="6662" w:type="dxa"/>
          </w:tcPr>
          <w:p w14:paraId="048E6376" w14:textId="77777777" w:rsidR="00295C6D" w:rsidRPr="00A5626D" w:rsidRDefault="00295C6D" w:rsidP="00E31AE6">
            <w:pPr>
              <w:tabs>
                <w:tab w:val="left" w:pos="1134"/>
                <w:tab w:val="left" w:pos="7938"/>
              </w:tabs>
              <w:spacing w:before="120" w:after="120"/>
              <w:ind w:firstLine="456"/>
              <w:jc w:val="both"/>
              <w:rPr>
                <w:rFonts w:ascii="Garamond" w:eastAsia="Calibri" w:hAnsi="Garamond" w:cstheme="minorHAnsi"/>
                <w:sz w:val="22"/>
                <w:szCs w:val="22"/>
              </w:rPr>
            </w:pPr>
            <w:r w:rsidRPr="00A5626D">
              <w:rPr>
                <w:rFonts w:ascii="Garamond" w:hAnsi="Garamond" w:cstheme="minorHAnsi"/>
                <w:sz w:val="22"/>
                <w:szCs w:val="22"/>
              </w:rPr>
              <w:t>&lt;</w:t>
            </w:r>
            <w:r w:rsidRPr="00A5626D">
              <w:rPr>
                <w:rFonts w:ascii="Garamond" w:hAnsi="Garamond" w:cstheme="minorHAnsi"/>
                <w:i/>
                <w:sz w:val="22"/>
                <w:szCs w:val="22"/>
              </w:rPr>
              <w:t>aup-delivery-points</w:t>
            </w:r>
            <w:r w:rsidRPr="00A5626D">
              <w:rPr>
                <w:rFonts w:ascii="Garamond" w:hAnsi="Garamond" w:cstheme="minorHAnsi"/>
                <w:sz w:val="22"/>
                <w:szCs w:val="22"/>
              </w:rPr>
              <w:t>&gt;</w:t>
            </w:r>
          </w:p>
          <w:p w14:paraId="658A5153" w14:textId="77777777" w:rsidR="00295C6D" w:rsidRPr="00A5626D" w:rsidRDefault="00295C6D" w:rsidP="00E31AE6">
            <w:pPr>
              <w:tabs>
                <w:tab w:val="left" w:pos="1134"/>
                <w:tab w:val="left" w:pos="7938"/>
              </w:tabs>
              <w:spacing w:before="120" w:after="120"/>
              <w:ind w:firstLine="456"/>
              <w:jc w:val="both"/>
              <w:rPr>
                <w:rFonts w:ascii="Garamond" w:hAnsi="Garamond" w:cstheme="minorHAnsi"/>
                <w:sz w:val="22"/>
                <w:szCs w:val="22"/>
              </w:rPr>
            </w:pPr>
            <w:r w:rsidRPr="00A5626D">
              <w:rPr>
                <w:rFonts w:ascii="Garamond" w:hAnsi="Garamond" w:cstheme="minorHAnsi"/>
                <w:sz w:val="22"/>
                <w:szCs w:val="22"/>
              </w:rPr>
              <w:t>Элемент &lt;</w:t>
            </w:r>
            <w:r w:rsidRPr="00A5626D">
              <w:rPr>
                <w:rFonts w:ascii="Garamond" w:hAnsi="Garamond" w:cstheme="minorHAnsi"/>
                <w:b/>
                <w:sz w:val="22"/>
                <w:szCs w:val="22"/>
              </w:rPr>
              <w:t>aup-delivery-points</w:t>
            </w:r>
            <w:r w:rsidRPr="00A5626D">
              <w:rPr>
                <w:rFonts w:ascii="Garamond" w:hAnsi="Garamond" w:cstheme="minorHAnsi"/>
                <w:sz w:val="22"/>
                <w:szCs w:val="22"/>
              </w:rPr>
              <w:t xml:space="preserve">&gt; описывает алгоритм расчета величины электроэнергии в точках поставки. </w:t>
            </w:r>
          </w:p>
          <w:p w14:paraId="065EC47B" w14:textId="77777777" w:rsidR="00295C6D" w:rsidRPr="00A5626D" w:rsidRDefault="00295C6D" w:rsidP="00E31AE6">
            <w:pPr>
              <w:tabs>
                <w:tab w:val="left" w:pos="1134"/>
                <w:tab w:val="left" w:pos="7938"/>
              </w:tabs>
              <w:spacing w:before="120" w:after="120"/>
              <w:ind w:firstLine="456"/>
              <w:jc w:val="both"/>
              <w:rPr>
                <w:rFonts w:ascii="Garamond" w:hAnsi="Garamond" w:cstheme="minorHAnsi"/>
                <w:bCs/>
                <w:sz w:val="22"/>
                <w:szCs w:val="22"/>
              </w:rPr>
            </w:pPr>
            <w:r w:rsidRPr="00A5626D">
              <w:rPr>
                <w:rFonts w:ascii="Garamond" w:hAnsi="Garamond" w:cstheme="minorHAnsi"/>
                <w:sz w:val="22"/>
                <w:szCs w:val="22"/>
              </w:rPr>
              <w:t>В макете должен быть один элемент &lt;</w:t>
            </w:r>
            <w:r w:rsidRPr="00A5626D">
              <w:rPr>
                <w:rFonts w:ascii="Garamond" w:hAnsi="Garamond" w:cstheme="minorHAnsi"/>
                <w:b/>
                <w:sz w:val="22"/>
                <w:szCs w:val="22"/>
              </w:rPr>
              <w:t>aup-delivery-points</w:t>
            </w:r>
            <w:r w:rsidRPr="00A5626D">
              <w:rPr>
                <w:rFonts w:ascii="Garamond" w:hAnsi="Garamond" w:cstheme="minorHAnsi"/>
                <w:sz w:val="22"/>
                <w:szCs w:val="22"/>
              </w:rPr>
              <w:t>&gt;.</w:t>
            </w:r>
          </w:p>
          <w:p w14:paraId="7CA468AA" w14:textId="77777777" w:rsidR="00295C6D" w:rsidRPr="00A5626D" w:rsidRDefault="00295C6D" w:rsidP="00E31AE6">
            <w:pPr>
              <w:tabs>
                <w:tab w:val="left" w:pos="1134"/>
                <w:tab w:val="left" w:pos="7938"/>
              </w:tabs>
              <w:spacing w:before="120" w:after="120"/>
              <w:ind w:firstLine="456"/>
              <w:jc w:val="both"/>
              <w:rPr>
                <w:rFonts w:ascii="Garamond" w:hAnsi="Garamond" w:cstheme="minorHAnsi"/>
                <w:sz w:val="22"/>
                <w:szCs w:val="22"/>
              </w:rPr>
            </w:pPr>
            <w:r w:rsidRPr="00A5626D">
              <w:rPr>
                <w:rFonts w:ascii="Garamond" w:hAnsi="Garamond" w:cstheme="minorHAnsi"/>
                <w:sz w:val="22"/>
                <w:szCs w:val="22"/>
              </w:rPr>
              <w:t>Потомками элемента &lt;</w:t>
            </w:r>
            <w:r w:rsidRPr="00A5626D">
              <w:rPr>
                <w:rFonts w:ascii="Garamond" w:hAnsi="Garamond" w:cstheme="minorHAnsi"/>
                <w:b/>
                <w:sz w:val="22"/>
                <w:szCs w:val="22"/>
              </w:rPr>
              <w:t>aup-delivery-points</w:t>
            </w:r>
            <w:r w:rsidRPr="00A5626D">
              <w:rPr>
                <w:rFonts w:ascii="Garamond" w:hAnsi="Garamond" w:cstheme="minorHAnsi"/>
                <w:sz w:val="22"/>
                <w:szCs w:val="22"/>
              </w:rPr>
              <w:t>&gt; являются элементы &lt;</w:t>
            </w:r>
            <w:r w:rsidRPr="00A5626D">
              <w:rPr>
                <w:rFonts w:ascii="Garamond" w:hAnsi="Garamond" w:cstheme="minorHAnsi"/>
                <w:b/>
                <w:sz w:val="22"/>
                <w:szCs w:val="22"/>
              </w:rPr>
              <w:t>aup-delivery-point</w:t>
            </w:r>
            <w:r w:rsidRPr="00A5626D">
              <w:rPr>
                <w:rFonts w:ascii="Garamond" w:hAnsi="Garamond" w:cstheme="minorHAnsi"/>
                <w:sz w:val="22"/>
                <w:szCs w:val="22"/>
              </w:rPr>
              <w:t>&gt;, число которых соответствует числу точек поставки.</w:t>
            </w:r>
          </w:p>
        </w:tc>
        <w:tc>
          <w:tcPr>
            <w:tcW w:w="7088" w:type="dxa"/>
          </w:tcPr>
          <w:p w14:paraId="4A50349F" w14:textId="77777777" w:rsidR="00295C6D" w:rsidRPr="00A5626D" w:rsidRDefault="00295C6D" w:rsidP="00E31AE6">
            <w:pPr>
              <w:tabs>
                <w:tab w:val="left" w:pos="1134"/>
                <w:tab w:val="left" w:pos="7938"/>
              </w:tabs>
              <w:spacing w:before="120" w:after="120"/>
              <w:ind w:firstLine="456"/>
              <w:jc w:val="both"/>
              <w:rPr>
                <w:rFonts w:ascii="Garamond" w:eastAsia="Calibri" w:hAnsi="Garamond" w:cstheme="minorHAnsi"/>
                <w:sz w:val="22"/>
                <w:szCs w:val="22"/>
              </w:rPr>
            </w:pPr>
            <w:r w:rsidRPr="00A5626D">
              <w:rPr>
                <w:rFonts w:ascii="Garamond" w:hAnsi="Garamond" w:cstheme="minorHAnsi"/>
                <w:sz w:val="22"/>
                <w:szCs w:val="22"/>
              </w:rPr>
              <w:t>&lt;</w:t>
            </w:r>
            <w:r w:rsidRPr="00A5626D">
              <w:rPr>
                <w:rFonts w:ascii="Garamond" w:hAnsi="Garamond" w:cstheme="minorHAnsi"/>
                <w:i/>
                <w:sz w:val="22"/>
                <w:szCs w:val="22"/>
              </w:rPr>
              <w:t>aup-delivery-points</w:t>
            </w:r>
            <w:r w:rsidRPr="00A5626D">
              <w:rPr>
                <w:rFonts w:ascii="Garamond" w:hAnsi="Garamond" w:cstheme="minorHAnsi"/>
                <w:sz w:val="22"/>
                <w:szCs w:val="22"/>
              </w:rPr>
              <w:t>&gt;</w:t>
            </w:r>
          </w:p>
          <w:p w14:paraId="01FFA323" w14:textId="77777777" w:rsidR="00295C6D" w:rsidRPr="00A5626D" w:rsidRDefault="00295C6D" w:rsidP="00E31AE6">
            <w:pPr>
              <w:tabs>
                <w:tab w:val="left" w:pos="1134"/>
                <w:tab w:val="left" w:pos="7938"/>
              </w:tabs>
              <w:spacing w:before="120" w:after="120"/>
              <w:ind w:firstLine="456"/>
              <w:jc w:val="both"/>
              <w:rPr>
                <w:rFonts w:ascii="Garamond" w:hAnsi="Garamond" w:cstheme="minorHAnsi"/>
                <w:sz w:val="22"/>
                <w:szCs w:val="22"/>
              </w:rPr>
            </w:pPr>
            <w:r w:rsidRPr="00A5626D">
              <w:rPr>
                <w:rFonts w:ascii="Garamond" w:hAnsi="Garamond" w:cstheme="minorHAnsi"/>
                <w:sz w:val="22"/>
                <w:szCs w:val="22"/>
              </w:rPr>
              <w:t>Элемент &lt;</w:t>
            </w:r>
            <w:r w:rsidRPr="00A5626D">
              <w:rPr>
                <w:rFonts w:ascii="Garamond" w:hAnsi="Garamond" w:cstheme="minorHAnsi"/>
                <w:b/>
                <w:sz w:val="22"/>
                <w:szCs w:val="22"/>
              </w:rPr>
              <w:t>aup-delivery-points</w:t>
            </w:r>
            <w:r w:rsidRPr="00A5626D">
              <w:rPr>
                <w:rFonts w:ascii="Garamond" w:hAnsi="Garamond" w:cstheme="minorHAnsi"/>
                <w:sz w:val="22"/>
                <w:szCs w:val="22"/>
              </w:rPr>
              <w:t xml:space="preserve">&gt; описывает алгоритм расчета величины электроэнергии в точках поставки </w:t>
            </w:r>
            <w:r w:rsidRPr="00A5626D">
              <w:rPr>
                <w:rFonts w:ascii="Garamond" w:hAnsi="Garamond" w:cstheme="minorHAnsi"/>
                <w:sz w:val="22"/>
                <w:szCs w:val="22"/>
                <w:highlight w:val="yellow"/>
              </w:rPr>
              <w:t>(точках присоединения)</w:t>
            </w:r>
            <w:r w:rsidRPr="00A5626D">
              <w:rPr>
                <w:rFonts w:ascii="Garamond" w:hAnsi="Garamond" w:cstheme="minorHAnsi"/>
                <w:sz w:val="22"/>
                <w:szCs w:val="22"/>
              </w:rPr>
              <w:t xml:space="preserve">. </w:t>
            </w:r>
          </w:p>
          <w:p w14:paraId="4722345B" w14:textId="77777777" w:rsidR="00295C6D" w:rsidRPr="00A5626D" w:rsidRDefault="00295C6D" w:rsidP="00E31AE6">
            <w:pPr>
              <w:tabs>
                <w:tab w:val="left" w:pos="1134"/>
                <w:tab w:val="left" w:pos="7938"/>
              </w:tabs>
              <w:spacing w:before="120" w:after="120"/>
              <w:ind w:firstLine="456"/>
              <w:jc w:val="both"/>
              <w:rPr>
                <w:rFonts w:ascii="Garamond" w:hAnsi="Garamond" w:cstheme="minorHAnsi"/>
                <w:bCs/>
                <w:sz w:val="22"/>
                <w:szCs w:val="22"/>
              </w:rPr>
            </w:pPr>
            <w:r w:rsidRPr="00A5626D">
              <w:rPr>
                <w:rFonts w:ascii="Garamond" w:hAnsi="Garamond" w:cstheme="minorHAnsi"/>
                <w:sz w:val="22"/>
                <w:szCs w:val="22"/>
              </w:rPr>
              <w:t>В макете должен быть один элемент &lt;</w:t>
            </w:r>
            <w:r w:rsidRPr="00A5626D">
              <w:rPr>
                <w:rFonts w:ascii="Garamond" w:hAnsi="Garamond" w:cstheme="minorHAnsi"/>
                <w:b/>
                <w:sz w:val="22"/>
                <w:szCs w:val="22"/>
              </w:rPr>
              <w:t>aup-delivery-points</w:t>
            </w:r>
            <w:r w:rsidRPr="00A5626D">
              <w:rPr>
                <w:rFonts w:ascii="Garamond" w:hAnsi="Garamond" w:cstheme="minorHAnsi"/>
                <w:sz w:val="22"/>
                <w:szCs w:val="22"/>
              </w:rPr>
              <w:t>&gt;.</w:t>
            </w:r>
          </w:p>
          <w:p w14:paraId="063F5B36" w14:textId="77777777" w:rsidR="00295C6D" w:rsidRPr="00A5626D" w:rsidRDefault="00295C6D" w:rsidP="00E31AE6">
            <w:pPr>
              <w:tabs>
                <w:tab w:val="left" w:pos="1134"/>
                <w:tab w:val="left" w:pos="7938"/>
              </w:tabs>
              <w:spacing w:before="120" w:after="120"/>
              <w:ind w:firstLine="456"/>
              <w:jc w:val="both"/>
              <w:rPr>
                <w:rFonts w:ascii="Garamond" w:hAnsi="Garamond" w:cstheme="minorHAnsi"/>
                <w:sz w:val="22"/>
                <w:szCs w:val="22"/>
              </w:rPr>
            </w:pPr>
            <w:r w:rsidRPr="00A5626D">
              <w:rPr>
                <w:rFonts w:ascii="Garamond" w:hAnsi="Garamond" w:cstheme="minorHAnsi"/>
                <w:sz w:val="22"/>
                <w:szCs w:val="22"/>
              </w:rPr>
              <w:t>Потомками элемента &lt;</w:t>
            </w:r>
            <w:r w:rsidRPr="00A5626D">
              <w:rPr>
                <w:rFonts w:ascii="Garamond" w:hAnsi="Garamond" w:cstheme="minorHAnsi"/>
                <w:b/>
                <w:sz w:val="22"/>
                <w:szCs w:val="22"/>
              </w:rPr>
              <w:t>aup-delivery-points</w:t>
            </w:r>
            <w:r w:rsidRPr="00A5626D">
              <w:rPr>
                <w:rFonts w:ascii="Garamond" w:hAnsi="Garamond" w:cstheme="minorHAnsi"/>
                <w:sz w:val="22"/>
                <w:szCs w:val="22"/>
              </w:rPr>
              <w:t>&gt; являются элементы &lt;</w:t>
            </w:r>
            <w:r w:rsidRPr="00A5626D">
              <w:rPr>
                <w:rFonts w:ascii="Garamond" w:hAnsi="Garamond" w:cstheme="minorHAnsi"/>
                <w:b/>
                <w:sz w:val="22"/>
                <w:szCs w:val="22"/>
              </w:rPr>
              <w:t>aup-delivery-point</w:t>
            </w:r>
            <w:r w:rsidRPr="00A5626D">
              <w:rPr>
                <w:rFonts w:ascii="Garamond" w:hAnsi="Garamond" w:cstheme="minorHAnsi"/>
                <w:sz w:val="22"/>
                <w:szCs w:val="22"/>
              </w:rPr>
              <w:t xml:space="preserve">&gt;, число которых соответствует числу точек поставки </w:t>
            </w:r>
            <w:r w:rsidRPr="00A5626D">
              <w:rPr>
                <w:rFonts w:ascii="Garamond" w:hAnsi="Garamond" w:cstheme="minorHAnsi"/>
                <w:sz w:val="22"/>
                <w:szCs w:val="22"/>
                <w:highlight w:val="yellow"/>
              </w:rPr>
              <w:t>(точек присоединения)</w:t>
            </w:r>
            <w:r w:rsidRPr="00A5626D">
              <w:rPr>
                <w:rFonts w:ascii="Garamond" w:hAnsi="Garamond" w:cstheme="minorHAnsi"/>
                <w:sz w:val="22"/>
                <w:szCs w:val="22"/>
              </w:rPr>
              <w:t>.</w:t>
            </w:r>
          </w:p>
        </w:tc>
      </w:tr>
      <w:tr w:rsidR="00295C6D" w:rsidRPr="00A5626D" w14:paraId="71C9F84A" w14:textId="77777777" w:rsidTr="00647FA0">
        <w:tc>
          <w:tcPr>
            <w:tcW w:w="1060" w:type="dxa"/>
            <w:vAlign w:val="center"/>
          </w:tcPr>
          <w:p w14:paraId="18467812" w14:textId="2DD75762" w:rsidR="00295C6D" w:rsidRPr="00A5626D" w:rsidRDefault="00295C6D" w:rsidP="00E31AE6">
            <w:pPr>
              <w:widowControl w:val="0"/>
              <w:tabs>
                <w:tab w:val="left" w:pos="1134"/>
                <w:tab w:val="left" w:pos="7938"/>
              </w:tabs>
              <w:spacing w:line="22" w:lineRule="atLeast"/>
              <w:jc w:val="both"/>
              <w:rPr>
                <w:rFonts w:ascii="Garamond" w:hAnsi="Garamond"/>
                <w:b/>
                <w:sz w:val="22"/>
                <w:szCs w:val="22"/>
                <w:lang w:eastAsia="en-US"/>
              </w:rPr>
            </w:pPr>
            <w:r w:rsidRPr="00A5626D">
              <w:rPr>
                <w:rFonts w:ascii="Garamond" w:hAnsi="Garamond"/>
                <w:b/>
                <w:sz w:val="22"/>
                <w:szCs w:val="22"/>
                <w:lang w:eastAsia="en-US"/>
              </w:rPr>
              <w:t>Приложение 5, п.</w:t>
            </w:r>
            <w:r w:rsidR="00647FA0" w:rsidRPr="00A5626D">
              <w:rPr>
                <w:rFonts w:ascii="Garamond" w:hAnsi="Garamond"/>
                <w:b/>
                <w:sz w:val="22"/>
                <w:szCs w:val="22"/>
                <w:lang w:eastAsia="en-US"/>
              </w:rPr>
              <w:t> </w:t>
            </w:r>
            <w:r w:rsidRPr="00A5626D">
              <w:rPr>
                <w:rFonts w:ascii="Garamond" w:hAnsi="Garamond"/>
                <w:b/>
                <w:sz w:val="22"/>
                <w:szCs w:val="22"/>
                <w:lang w:eastAsia="en-US"/>
              </w:rPr>
              <w:t>4.4.1.2.3.1.1</w:t>
            </w:r>
          </w:p>
        </w:tc>
        <w:tc>
          <w:tcPr>
            <w:tcW w:w="6662" w:type="dxa"/>
          </w:tcPr>
          <w:p w14:paraId="6278FD1D" w14:textId="77777777" w:rsidR="00295C6D" w:rsidRPr="00A5626D" w:rsidRDefault="00295C6D" w:rsidP="00E31AE6">
            <w:pPr>
              <w:tabs>
                <w:tab w:val="left" w:pos="1134"/>
                <w:tab w:val="left" w:pos="7938"/>
              </w:tabs>
              <w:spacing w:before="120" w:after="120"/>
              <w:ind w:firstLine="456"/>
              <w:jc w:val="both"/>
              <w:rPr>
                <w:rFonts w:ascii="Garamond" w:eastAsia="Calibri" w:hAnsi="Garamond" w:cstheme="minorHAnsi"/>
                <w:sz w:val="22"/>
                <w:szCs w:val="22"/>
              </w:rPr>
            </w:pPr>
            <w:r w:rsidRPr="00A5626D">
              <w:rPr>
                <w:rFonts w:ascii="Garamond" w:hAnsi="Garamond" w:cstheme="minorHAnsi"/>
                <w:sz w:val="22"/>
                <w:szCs w:val="22"/>
              </w:rPr>
              <w:t>&lt;</w:t>
            </w:r>
            <w:r w:rsidRPr="00A5626D">
              <w:rPr>
                <w:rFonts w:ascii="Garamond" w:hAnsi="Garamond" w:cstheme="minorHAnsi"/>
                <w:sz w:val="22"/>
                <w:szCs w:val="22"/>
                <w:lang w:val="en-US"/>
              </w:rPr>
              <w:t>aup</w:t>
            </w:r>
            <w:r w:rsidRPr="00A5626D">
              <w:rPr>
                <w:rFonts w:ascii="Garamond" w:hAnsi="Garamond" w:cstheme="minorHAnsi"/>
                <w:sz w:val="22"/>
                <w:szCs w:val="22"/>
              </w:rPr>
              <w:t>-delivery-point&gt;</w:t>
            </w:r>
          </w:p>
          <w:p w14:paraId="569332AD" w14:textId="77777777" w:rsidR="00295C6D" w:rsidRPr="00A5626D" w:rsidRDefault="00295C6D" w:rsidP="00E31AE6">
            <w:pPr>
              <w:tabs>
                <w:tab w:val="left" w:pos="1134"/>
                <w:tab w:val="left" w:pos="7938"/>
              </w:tabs>
              <w:spacing w:before="120" w:after="120"/>
              <w:ind w:firstLine="456"/>
              <w:jc w:val="both"/>
              <w:rPr>
                <w:rFonts w:ascii="Garamond" w:hAnsi="Garamond" w:cstheme="minorHAnsi"/>
                <w:bCs/>
                <w:sz w:val="22"/>
                <w:szCs w:val="22"/>
              </w:rPr>
            </w:pPr>
            <w:r w:rsidRPr="00A5626D">
              <w:rPr>
                <w:rFonts w:ascii="Garamond" w:hAnsi="Garamond" w:cstheme="minorHAnsi"/>
                <w:sz w:val="22"/>
                <w:szCs w:val="22"/>
              </w:rPr>
              <w:t>В макете должен быть хотя бы один элемент &lt;</w:t>
            </w:r>
            <w:r w:rsidRPr="00A5626D">
              <w:rPr>
                <w:rFonts w:ascii="Garamond" w:hAnsi="Garamond" w:cstheme="minorHAnsi"/>
                <w:b/>
                <w:sz w:val="22"/>
                <w:szCs w:val="22"/>
              </w:rPr>
              <w:t>aup-delivery-point</w:t>
            </w:r>
            <w:r w:rsidRPr="00A5626D">
              <w:rPr>
                <w:rFonts w:ascii="Garamond" w:hAnsi="Garamond" w:cstheme="minorHAnsi"/>
                <w:sz w:val="22"/>
                <w:szCs w:val="22"/>
              </w:rPr>
              <w:t>&gt;.</w:t>
            </w:r>
          </w:p>
          <w:p w14:paraId="680BFB53" w14:textId="77777777" w:rsidR="00295C6D" w:rsidRPr="00A5626D" w:rsidRDefault="00295C6D" w:rsidP="00E31AE6">
            <w:pPr>
              <w:tabs>
                <w:tab w:val="left" w:pos="1134"/>
                <w:tab w:val="left" w:pos="7938"/>
              </w:tabs>
              <w:spacing w:before="120" w:after="120"/>
              <w:ind w:firstLine="456"/>
              <w:jc w:val="both"/>
              <w:rPr>
                <w:rFonts w:ascii="Garamond" w:hAnsi="Garamond" w:cstheme="minorHAnsi"/>
                <w:sz w:val="22"/>
                <w:szCs w:val="22"/>
              </w:rPr>
            </w:pPr>
            <w:r w:rsidRPr="00A5626D">
              <w:rPr>
                <w:rFonts w:ascii="Garamond" w:hAnsi="Garamond" w:cstheme="minorHAnsi"/>
                <w:sz w:val="22"/>
                <w:szCs w:val="22"/>
              </w:rPr>
              <w:t>Атрибутами элемента &lt;</w:t>
            </w:r>
            <w:r w:rsidRPr="00A5626D">
              <w:rPr>
                <w:rFonts w:ascii="Garamond" w:hAnsi="Garamond" w:cstheme="minorHAnsi"/>
                <w:b/>
                <w:sz w:val="22"/>
                <w:szCs w:val="22"/>
              </w:rPr>
              <w:t>aup-delivery-point</w:t>
            </w:r>
            <w:r w:rsidRPr="00A5626D">
              <w:rPr>
                <w:rFonts w:ascii="Garamond" w:hAnsi="Garamond" w:cstheme="minorHAnsi"/>
                <w:sz w:val="22"/>
                <w:szCs w:val="22"/>
              </w:rPr>
              <w:t>&gt; являются:</w:t>
            </w:r>
          </w:p>
          <w:p w14:paraId="2EB58F3F" w14:textId="77777777" w:rsidR="00295C6D" w:rsidRPr="00A5626D" w:rsidRDefault="00295C6D" w:rsidP="00295C6D">
            <w:pPr>
              <w:widowControl w:val="0"/>
              <w:numPr>
                <w:ilvl w:val="0"/>
                <w:numId w:val="240"/>
              </w:numPr>
              <w:tabs>
                <w:tab w:val="left" w:pos="1134"/>
                <w:tab w:val="left" w:pos="7938"/>
              </w:tabs>
              <w:suppressAutoHyphens w:val="0"/>
              <w:autoSpaceDE w:val="0"/>
              <w:autoSpaceDN w:val="0"/>
              <w:adjustRightInd w:val="0"/>
              <w:spacing w:before="60" w:after="60"/>
              <w:ind w:left="0" w:firstLine="456"/>
              <w:jc w:val="both"/>
              <w:rPr>
                <w:rFonts w:ascii="Garamond" w:hAnsi="Garamond" w:cstheme="minorHAnsi"/>
                <w:sz w:val="22"/>
                <w:szCs w:val="22"/>
              </w:rPr>
            </w:pPr>
            <w:r w:rsidRPr="00A5626D">
              <w:rPr>
                <w:rFonts w:ascii="Garamond" w:hAnsi="Garamond" w:cstheme="minorHAnsi"/>
                <w:sz w:val="22"/>
                <w:szCs w:val="22"/>
                <w:lang w:val="en-US"/>
              </w:rPr>
              <w:t>id</w:t>
            </w:r>
            <w:r w:rsidRPr="00A5626D">
              <w:rPr>
                <w:rFonts w:ascii="Garamond" w:hAnsi="Garamond" w:cstheme="minorHAnsi"/>
                <w:sz w:val="22"/>
                <w:szCs w:val="22"/>
              </w:rPr>
              <w:t>-</w:t>
            </w:r>
            <w:r w:rsidRPr="00A5626D">
              <w:rPr>
                <w:rFonts w:ascii="Garamond" w:hAnsi="Garamond" w:cstheme="minorHAnsi"/>
                <w:sz w:val="22"/>
                <w:szCs w:val="22"/>
                <w:lang w:val="en-US"/>
              </w:rPr>
              <w:t>org</w:t>
            </w:r>
            <w:r w:rsidRPr="00A5626D">
              <w:rPr>
                <w:rFonts w:ascii="Garamond" w:hAnsi="Garamond" w:cstheme="minorHAnsi"/>
                <w:sz w:val="22"/>
                <w:szCs w:val="22"/>
              </w:rPr>
              <w:t xml:space="preserve"> – ссылка на поставщика информации. Является обязательным атрибутом, число из одного знака;</w:t>
            </w:r>
          </w:p>
          <w:p w14:paraId="0645338A" w14:textId="77777777" w:rsidR="00295C6D" w:rsidRPr="00A5626D" w:rsidRDefault="00295C6D" w:rsidP="00295C6D">
            <w:pPr>
              <w:widowControl w:val="0"/>
              <w:numPr>
                <w:ilvl w:val="0"/>
                <w:numId w:val="240"/>
              </w:numPr>
              <w:tabs>
                <w:tab w:val="left" w:pos="1134"/>
                <w:tab w:val="left" w:pos="7938"/>
              </w:tabs>
              <w:suppressAutoHyphens w:val="0"/>
              <w:autoSpaceDE w:val="0"/>
              <w:autoSpaceDN w:val="0"/>
              <w:adjustRightInd w:val="0"/>
              <w:spacing w:before="60" w:after="60"/>
              <w:ind w:left="0" w:firstLine="456"/>
              <w:jc w:val="both"/>
              <w:rPr>
                <w:rFonts w:ascii="Garamond" w:hAnsi="Garamond" w:cstheme="minorHAnsi"/>
                <w:sz w:val="22"/>
                <w:szCs w:val="22"/>
              </w:rPr>
            </w:pPr>
            <w:r w:rsidRPr="00A5626D">
              <w:rPr>
                <w:rFonts w:ascii="Garamond" w:hAnsi="Garamond" w:cstheme="minorHAnsi"/>
                <w:sz w:val="22"/>
                <w:szCs w:val="22"/>
              </w:rPr>
              <w:t xml:space="preserve">id-delivery-point – внутренний идентификатор точки поставки, совпадает с соответствующим атрибутом </w:t>
            </w:r>
            <w:r w:rsidRPr="00A5626D">
              <w:rPr>
                <w:rFonts w:ascii="Garamond" w:hAnsi="Garamond" w:cstheme="minorHAnsi"/>
                <w:b/>
                <w:sz w:val="22"/>
                <w:szCs w:val="22"/>
              </w:rPr>
              <w:t>&lt;</w:t>
            </w:r>
            <w:r w:rsidRPr="00A5626D">
              <w:rPr>
                <w:rFonts w:ascii="Garamond" w:hAnsi="Garamond" w:cstheme="minorHAnsi"/>
                <w:b/>
                <w:sz w:val="22"/>
                <w:szCs w:val="22"/>
                <w:lang w:val="en-US"/>
              </w:rPr>
              <w:t>delivery</w:t>
            </w:r>
            <w:r w:rsidRPr="00A5626D">
              <w:rPr>
                <w:rFonts w:ascii="Garamond" w:hAnsi="Garamond" w:cstheme="minorHAnsi"/>
                <w:b/>
                <w:sz w:val="22"/>
                <w:szCs w:val="22"/>
              </w:rPr>
              <w:t>-p</w:t>
            </w:r>
            <w:r w:rsidRPr="00A5626D">
              <w:rPr>
                <w:rFonts w:ascii="Garamond" w:hAnsi="Garamond" w:cstheme="minorHAnsi"/>
                <w:b/>
                <w:sz w:val="22"/>
                <w:szCs w:val="22"/>
                <w:lang w:val="en-US"/>
              </w:rPr>
              <w:t>oints</w:t>
            </w:r>
            <w:r w:rsidRPr="00A5626D">
              <w:rPr>
                <w:rFonts w:ascii="Garamond" w:hAnsi="Garamond" w:cstheme="minorHAnsi"/>
                <w:b/>
                <w:sz w:val="22"/>
                <w:szCs w:val="22"/>
              </w:rPr>
              <w:t>&gt;</w:t>
            </w:r>
            <w:r w:rsidRPr="00A5626D">
              <w:rPr>
                <w:rFonts w:ascii="Garamond" w:hAnsi="Garamond" w:cstheme="minorHAnsi"/>
                <w:sz w:val="22"/>
                <w:szCs w:val="22"/>
              </w:rPr>
              <w:t xml:space="preserve">. </w:t>
            </w:r>
            <w:r w:rsidRPr="00A5626D">
              <w:rPr>
                <w:rFonts w:ascii="Garamond" w:hAnsi="Garamond" w:cstheme="minorHAnsi"/>
                <w:sz w:val="22"/>
                <w:szCs w:val="22"/>
              </w:rPr>
              <w:lastRenderedPageBreak/>
              <w:t>Число до 4 знаков (1, 01, 001 и 0001 считаются одинаковыми идентификаторами). Является обязательным атрибутом;</w:t>
            </w:r>
          </w:p>
          <w:p w14:paraId="27D6EBD5" w14:textId="77777777" w:rsidR="00295C6D" w:rsidRPr="00A5626D" w:rsidRDefault="00295C6D" w:rsidP="00295C6D">
            <w:pPr>
              <w:widowControl w:val="0"/>
              <w:numPr>
                <w:ilvl w:val="0"/>
                <w:numId w:val="240"/>
              </w:numPr>
              <w:tabs>
                <w:tab w:val="left" w:pos="1134"/>
                <w:tab w:val="left" w:pos="7938"/>
              </w:tabs>
              <w:suppressAutoHyphens w:val="0"/>
              <w:autoSpaceDE w:val="0"/>
              <w:autoSpaceDN w:val="0"/>
              <w:adjustRightInd w:val="0"/>
              <w:spacing w:before="60" w:after="60"/>
              <w:ind w:left="0" w:firstLine="456"/>
              <w:jc w:val="both"/>
              <w:rPr>
                <w:rFonts w:ascii="Garamond" w:hAnsi="Garamond" w:cstheme="minorHAnsi"/>
                <w:sz w:val="22"/>
                <w:szCs w:val="22"/>
              </w:rPr>
            </w:pPr>
            <w:r w:rsidRPr="00A5626D">
              <w:rPr>
                <w:rFonts w:ascii="Garamond" w:hAnsi="Garamond" w:cstheme="minorHAnsi"/>
                <w:sz w:val="22"/>
                <w:szCs w:val="22"/>
              </w:rPr>
              <w:t>id-aiis</w:t>
            </w:r>
            <w:r w:rsidRPr="00A5626D">
              <w:rPr>
                <w:rFonts w:ascii="Garamond" w:eastAsia="Calibri" w:hAnsi="Garamond" w:cstheme="minorHAnsi"/>
                <w:sz w:val="22"/>
                <w:szCs w:val="22"/>
              </w:rPr>
              <w:t xml:space="preserve"> – ссылка на идентификатор АИИС для данной конфигурации точки поставки.</w:t>
            </w:r>
          </w:p>
          <w:p w14:paraId="7B2214C8" w14:textId="77777777" w:rsidR="00295C6D" w:rsidRPr="00A5626D" w:rsidRDefault="00295C6D" w:rsidP="00E31AE6">
            <w:pPr>
              <w:tabs>
                <w:tab w:val="left" w:pos="1134"/>
                <w:tab w:val="left" w:pos="7938"/>
              </w:tabs>
              <w:spacing w:before="120" w:after="120"/>
              <w:ind w:firstLine="456"/>
              <w:jc w:val="both"/>
              <w:rPr>
                <w:rFonts w:ascii="Garamond" w:hAnsi="Garamond" w:cstheme="minorHAnsi"/>
                <w:bCs/>
                <w:sz w:val="22"/>
                <w:szCs w:val="22"/>
              </w:rPr>
            </w:pPr>
            <w:r w:rsidRPr="00A5626D">
              <w:rPr>
                <w:rFonts w:ascii="Garamond" w:eastAsia="Calibri" w:hAnsi="Garamond" w:cstheme="minorHAnsi"/>
                <w:sz w:val="22"/>
                <w:szCs w:val="22"/>
              </w:rPr>
              <w:t>Дочерними</w:t>
            </w:r>
            <w:r w:rsidRPr="00A5626D">
              <w:rPr>
                <w:rFonts w:ascii="Garamond" w:eastAsia="Calibri" w:hAnsi="Garamond" w:cstheme="minorHAnsi"/>
                <w:sz w:val="22"/>
                <w:szCs w:val="22"/>
                <w:lang w:val="en-US"/>
              </w:rPr>
              <w:t xml:space="preserve"> </w:t>
            </w:r>
            <w:r w:rsidRPr="00A5626D">
              <w:rPr>
                <w:rFonts w:ascii="Garamond" w:eastAsia="Calibri" w:hAnsi="Garamond" w:cstheme="minorHAnsi"/>
                <w:sz w:val="22"/>
                <w:szCs w:val="22"/>
              </w:rPr>
              <w:t>элементами</w:t>
            </w:r>
            <w:r w:rsidRPr="00A5626D">
              <w:rPr>
                <w:rFonts w:ascii="Garamond" w:eastAsia="Calibri" w:hAnsi="Garamond" w:cstheme="minorHAnsi"/>
                <w:sz w:val="22"/>
                <w:szCs w:val="22"/>
                <w:lang w:val="en-US"/>
              </w:rPr>
              <w:t xml:space="preserve"> </w:t>
            </w:r>
            <w:r w:rsidRPr="00A5626D">
              <w:rPr>
                <w:rFonts w:ascii="Garamond" w:eastAsia="Calibri" w:hAnsi="Garamond" w:cstheme="minorHAnsi"/>
                <w:sz w:val="22"/>
                <w:szCs w:val="22"/>
              </w:rPr>
              <w:t>являются</w:t>
            </w:r>
            <w:r w:rsidRPr="00A5626D">
              <w:rPr>
                <w:rFonts w:ascii="Garamond" w:eastAsia="Calibri" w:hAnsi="Garamond" w:cstheme="minorHAnsi"/>
                <w:sz w:val="22"/>
                <w:szCs w:val="22"/>
                <w:lang w:val="en-US"/>
              </w:rPr>
              <w:t xml:space="preserve">: </w:t>
            </w:r>
            <w:r w:rsidRPr="00A5626D">
              <w:rPr>
                <w:rFonts w:ascii="Garamond" w:hAnsi="Garamond" w:cstheme="minorHAnsi"/>
                <w:b/>
                <w:sz w:val="22"/>
                <w:szCs w:val="22"/>
                <w:lang w:val="en-US"/>
              </w:rPr>
              <w:t>&lt;send&gt;</w:t>
            </w:r>
            <w:r w:rsidRPr="00A5626D">
              <w:rPr>
                <w:rFonts w:ascii="Garamond" w:hAnsi="Garamond" w:cstheme="minorHAnsi"/>
                <w:sz w:val="22"/>
                <w:szCs w:val="22"/>
                <w:lang w:val="en-US"/>
              </w:rPr>
              <w:t xml:space="preserve">, </w:t>
            </w:r>
            <w:r w:rsidRPr="00A5626D">
              <w:rPr>
                <w:rFonts w:ascii="Garamond" w:hAnsi="Garamond" w:cstheme="minorHAnsi"/>
                <w:b/>
                <w:sz w:val="22"/>
                <w:szCs w:val="22"/>
                <w:lang w:val="en-US"/>
              </w:rPr>
              <w:t>&lt;send-losses&gt;</w:t>
            </w:r>
            <w:r w:rsidRPr="00A5626D">
              <w:rPr>
                <w:rFonts w:ascii="Garamond" w:hAnsi="Garamond" w:cstheme="minorHAnsi"/>
                <w:sz w:val="22"/>
                <w:szCs w:val="22"/>
                <w:lang w:val="en-US"/>
              </w:rPr>
              <w:t xml:space="preserve">, </w:t>
            </w:r>
            <w:r w:rsidRPr="00A5626D">
              <w:rPr>
                <w:rFonts w:ascii="Garamond" w:hAnsi="Garamond" w:cstheme="minorHAnsi"/>
                <w:b/>
                <w:sz w:val="22"/>
                <w:szCs w:val="22"/>
                <w:lang w:val="en-US"/>
              </w:rPr>
              <w:t>&lt;receive&gt;</w:t>
            </w:r>
            <w:r w:rsidRPr="00A5626D">
              <w:rPr>
                <w:rFonts w:ascii="Garamond" w:hAnsi="Garamond" w:cstheme="minorHAnsi"/>
                <w:sz w:val="22"/>
                <w:szCs w:val="22"/>
                <w:lang w:val="en-US"/>
              </w:rPr>
              <w:t xml:space="preserve">, </w:t>
            </w:r>
            <w:r w:rsidRPr="00A5626D">
              <w:rPr>
                <w:rFonts w:ascii="Garamond" w:hAnsi="Garamond" w:cstheme="minorHAnsi"/>
                <w:b/>
                <w:sz w:val="22"/>
                <w:szCs w:val="22"/>
                <w:lang w:val="en-US"/>
              </w:rPr>
              <w:t>&lt;receive-losses&gt;</w:t>
            </w:r>
            <w:r w:rsidRPr="00A5626D">
              <w:rPr>
                <w:rFonts w:ascii="Garamond" w:hAnsi="Garamond" w:cstheme="minorHAnsi"/>
                <w:sz w:val="22"/>
                <w:szCs w:val="22"/>
                <w:lang w:val="en-US"/>
              </w:rPr>
              <w:t xml:space="preserve">. </w:t>
            </w:r>
            <w:r w:rsidRPr="00A5626D">
              <w:rPr>
                <w:rFonts w:ascii="Garamond" w:hAnsi="Garamond" w:cstheme="minorHAnsi"/>
                <w:sz w:val="22"/>
                <w:szCs w:val="22"/>
              </w:rPr>
              <w:t>В макете должен присутствовать хотя бы один элемент &lt;</w:t>
            </w:r>
            <w:r w:rsidRPr="00A5626D">
              <w:rPr>
                <w:rFonts w:ascii="Garamond" w:hAnsi="Garamond" w:cstheme="minorHAnsi"/>
                <w:b/>
                <w:sz w:val="22"/>
                <w:szCs w:val="22"/>
              </w:rPr>
              <w:t>send</w:t>
            </w:r>
            <w:r w:rsidRPr="00A5626D">
              <w:rPr>
                <w:rFonts w:ascii="Garamond" w:hAnsi="Garamond" w:cstheme="minorHAnsi"/>
                <w:sz w:val="22"/>
                <w:szCs w:val="22"/>
              </w:rPr>
              <w:t>&gt; или &lt;</w:t>
            </w:r>
            <w:r w:rsidRPr="00A5626D">
              <w:rPr>
                <w:rFonts w:ascii="Garamond" w:hAnsi="Garamond" w:cstheme="minorHAnsi"/>
                <w:b/>
                <w:sz w:val="22"/>
                <w:szCs w:val="22"/>
              </w:rPr>
              <w:t>receive</w:t>
            </w:r>
            <w:r w:rsidRPr="00A5626D">
              <w:rPr>
                <w:rFonts w:ascii="Garamond" w:hAnsi="Garamond" w:cstheme="minorHAnsi"/>
                <w:sz w:val="22"/>
                <w:szCs w:val="22"/>
              </w:rPr>
              <w:t xml:space="preserve">&gt;. Элементы </w:t>
            </w:r>
            <w:r w:rsidRPr="00A5626D">
              <w:rPr>
                <w:rFonts w:ascii="Garamond" w:hAnsi="Garamond" w:cstheme="minorHAnsi"/>
                <w:b/>
                <w:sz w:val="22"/>
                <w:szCs w:val="22"/>
              </w:rPr>
              <w:t>&lt;send-losses&gt;</w:t>
            </w:r>
            <w:r w:rsidRPr="00A5626D">
              <w:rPr>
                <w:rFonts w:ascii="Garamond" w:hAnsi="Garamond" w:cstheme="minorHAnsi"/>
                <w:sz w:val="22"/>
                <w:szCs w:val="22"/>
              </w:rPr>
              <w:t xml:space="preserve">, </w:t>
            </w:r>
            <w:r w:rsidRPr="00A5626D">
              <w:rPr>
                <w:rFonts w:ascii="Garamond" w:hAnsi="Garamond" w:cstheme="minorHAnsi"/>
                <w:b/>
                <w:sz w:val="22"/>
                <w:szCs w:val="22"/>
              </w:rPr>
              <w:t>&lt;receive-losses&gt;</w:t>
            </w:r>
            <w:r w:rsidRPr="00A5626D">
              <w:rPr>
                <w:rFonts w:ascii="Garamond" w:hAnsi="Garamond" w:cstheme="minorHAnsi"/>
                <w:sz w:val="22"/>
                <w:szCs w:val="22"/>
              </w:rPr>
              <w:t xml:space="preserve"> обязательны только в случае, если необходимо учитывать потери </w:t>
            </w:r>
            <w:r w:rsidRPr="00A5626D">
              <w:rPr>
                <w:rFonts w:ascii="Garamond" w:hAnsi="Garamond" w:cstheme="minorHAnsi"/>
                <w:bCs/>
                <w:sz w:val="22"/>
                <w:szCs w:val="22"/>
              </w:rPr>
              <w:t>электроэнергии</w:t>
            </w:r>
            <w:r w:rsidRPr="00A5626D">
              <w:rPr>
                <w:rFonts w:ascii="Garamond" w:hAnsi="Garamond" w:cstheme="minorHAnsi"/>
                <w:sz w:val="22"/>
                <w:szCs w:val="22"/>
              </w:rPr>
              <w:t xml:space="preserve"> при приведении результатов измерений</w:t>
            </w:r>
            <w:r w:rsidRPr="00A5626D">
              <w:rPr>
                <w:rFonts w:ascii="Garamond" w:hAnsi="Garamond" w:cstheme="minorHAnsi"/>
                <w:bCs/>
                <w:sz w:val="22"/>
                <w:szCs w:val="22"/>
              </w:rPr>
              <w:t xml:space="preserve"> </w:t>
            </w:r>
            <w:r w:rsidRPr="00A5626D">
              <w:rPr>
                <w:rFonts w:ascii="Garamond" w:hAnsi="Garamond" w:cstheme="minorHAnsi"/>
                <w:sz w:val="22"/>
                <w:szCs w:val="22"/>
              </w:rPr>
              <w:t>ТИ к значению электроэнергии в ТП.</w:t>
            </w:r>
          </w:p>
        </w:tc>
        <w:tc>
          <w:tcPr>
            <w:tcW w:w="7088" w:type="dxa"/>
          </w:tcPr>
          <w:p w14:paraId="658424A8" w14:textId="77777777" w:rsidR="00295C6D" w:rsidRPr="00A5626D" w:rsidRDefault="00295C6D" w:rsidP="00E31AE6">
            <w:pPr>
              <w:tabs>
                <w:tab w:val="left" w:pos="1134"/>
                <w:tab w:val="left" w:pos="7938"/>
              </w:tabs>
              <w:spacing w:before="120" w:after="120"/>
              <w:ind w:firstLine="456"/>
              <w:jc w:val="both"/>
              <w:rPr>
                <w:rFonts w:ascii="Garamond" w:eastAsia="Calibri" w:hAnsi="Garamond" w:cstheme="minorHAnsi"/>
                <w:sz w:val="22"/>
                <w:szCs w:val="22"/>
              </w:rPr>
            </w:pPr>
            <w:r w:rsidRPr="00A5626D">
              <w:rPr>
                <w:rFonts w:ascii="Garamond" w:hAnsi="Garamond" w:cstheme="minorHAnsi"/>
                <w:sz w:val="22"/>
                <w:szCs w:val="22"/>
              </w:rPr>
              <w:lastRenderedPageBreak/>
              <w:t>&lt;</w:t>
            </w:r>
            <w:r w:rsidRPr="00A5626D">
              <w:rPr>
                <w:rFonts w:ascii="Garamond" w:hAnsi="Garamond" w:cstheme="minorHAnsi"/>
                <w:sz w:val="22"/>
                <w:szCs w:val="22"/>
                <w:lang w:val="en-US"/>
              </w:rPr>
              <w:t>aup</w:t>
            </w:r>
            <w:r w:rsidRPr="00A5626D">
              <w:rPr>
                <w:rFonts w:ascii="Garamond" w:hAnsi="Garamond" w:cstheme="minorHAnsi"/>
                <w:sz w:val="22"/>
                <w:szCs w:val="22"/>
              </w:rPr>
              <w:t>-delivery-point&gt;</w:t>
            </w:r>
          </w:p>
          <w:p w14:paraId="197F1F5E" w14:textId="77777777" w:rsidR="00295C6D" w:rsidRPr="00A5626D" w:rsidRDefault="00295C6D" w:rsidP="00E31AE6">
            <w:pPr>
              <w:tabs>
                <w:tab w:val="left" w:pos="1134"/>
                <w:tab w:val="left" w:pos="7938"/>
              </w:tabs>
              <w:spacing w:before="120" w:after="120"/>
              <w:ind w:firstLine="456"/>
              <w:jc w:val="both"/>
              <w:rPr>
                <w:rFonts w:ascii="Garamond" w:hAnsi="Garamond" w:cstheme="minorHAnsi"/>
                <w:bCs/>
                <w:sz w:val="22"/>
                <w:szCs w:val="22"/>
              </w:rPr>
            </w:pPr>
            <w:r w:rsidRPr="00A5626D">
              <w:rPr>
                <w:rFonts w:ascii="Garamond" w:hAnsi="Garamond" w:cstheme="minorHAnsi"/>
                <w:sz w:val="22"/>
                <w:szCs w:val="22"/>
              </w:rPr>
              <w:t>В макете должен быть хотя бы один элемент &lt;</w:t>
            </w:r>
            <w:r w:rsidRPr="00A5626D">
              <w:rPr>
                <w:rFonts w:ascii="Garamond" w:hAnsi="Garamond" w:cstheme="minorHAnsi"/>
                <w:b/>
                <w:sz w:val="22"/>
                <w:szCs w:val="22"/>
              </w:rPr>
              <w:t>aup-delivery-point</w:t>
            </w:r>
            <w:r w:rsidRPr="00A5626D">
              <w:rPr>
                <w:rFonts w:ascii="Garamond" w:hAnsi="Garamond" w:cstheme="minorHAnsi"/>
                <w:sz w:val="22"/>
                <w:szCs w:val="22"/>
              </w:rPr>
              <w:t>&gt;.</w:t>
            </w:r>
          </w:p>
          <w:p w14:paraId="3CE326ED" w14:textId="77777777" w:rsidR="00295C6D" w:rsidRPr="00A5626D" w:rsidRDefault="00295C6D" w:rsidP="00E31AE6">
            <w:pPr>
              <w:tabs>
                <w:tab w:val="left" w:pos="1134"/>
                <w:tab w:val="left" w:pos="7938"/>
              </w:tabs>
              <w:spacing w:before="120" w:after="120"/>
              <w:ind w:firstLine="456"/>
              <w:jc w:val="both"/>
              <w:rPr>
                <w:rFonts w:ascii="Garamond" w:hAnsi="Garamond" w:cstheme="minorHAnsi"/>
                <w:sz w:val="22"/>
                <w:szCs w:val="22"/>
              </w:rPr>
            </w:pPr>
            <w:r w:rsidRPr="00A5626D">
              <w:rPr>
                <w:rFonts w:ascii="Garamond" w:hAnsi="Garamond" w:cstheme="minorHAnsi"/>
                <w:sz w:val="22"/>
                <w:szCs w:val="22"/>
              </w:rPr>
              <w:t>Атрибутами элемента &lt;</w:t>
            </w:r>
            <w:r w:rsidRPr="00A5626D">
              <w:rPr>
                <w:rFonts w:ascii="Garamond" w:hAnsi="Garamond" w:cstheme="minorHAnsi"/>
                <w:b/>
                <w:sz w:val="22"/>
                <w:szCs w:val="22"/>
              </w:rPr>
              <w:t>aup-delivery-point</w:t>
            </w:r>
            <w:r w:rsidRPr="00A5626D">
              <w:rPr>
                <w:rFonts w:ascii="Garamond" w:hAnsi="Garamond" w:cstheme="minorHAnsi"/>
                <w:sz w:val="22"/>
                <w:szCs w:val="22"/>
              </w:rPr>
              <w:t>&gt; являются:</w:t>
            </w:r>
          </w:p>
          <w:p w14:paraId="71591A67" w14:textId="77777777" w:rsidR="00295C6D" w:rsidRPr="00A5626D" w:rsidRDefault="00295C6D" w:rsidP="00295C6D">
            <w:pPr>
              <w:widowControl w:val="0"/>
              <w:numPr>
                <w:ilvl w:val="0"/>
                <w:numId w:val="240"/>
              </w:numPr>
              <w:tabs>
                <w:tab w:val="left" w:pos="1134"/>
                <w:tab w:val="left" w:pos="7938"/>
              </w:tabs>
              <w:suppressAutoHyphens w:val="0"/>
              <w:autoSpaceDE w:val="0"/>
              <w:autoSpaceDN w:val="0"/>
              <w:adjustRightInd w:val="0"/>
              <w:spacing w:before="60" w:after="60"/>
              <w:ind w:left="0" w:firstLine="456"/>
              <w:jc w:val="both"/>
              <w:rPr>
                <w:rFonts w:ascii="Garamond" w:hAnsi="Garamond" w:cstheme="minorHAnsi"/>
                <w:sz w:val="22"/>
                <w:szCs w:val="22"/>
              </w:rPr>
            </w:pPr>
            <w:r w:rsidRPr="00A5626D">
              <w:rPr>
                <w:rFonts w:ascii="Garamond" w:hAnsi="Garamond" w:cstheme="minorHAnsi"/>
                <w:sz w:val="22"/>
                <w:szCs w:val="22"/>
                <w:lang w:val="en-US"/>
              </w:rPr>
              <w:t>id</w:t>
            </w:r>
            <w:r w:rsidRPr="00A5626D">
              <w:rPr>
                <w:rFonts w:ascii="Garamond" w:hAnsi="Garamond" w:cstheme="minorHAnsi"/>
                <w:sz w:val="22"/>
                <w:szCs w:val="22"/>
              </w:rPr>
              <w:t>-</w:t>
            </w:r>
            <w:r w:rsidRPr="00A5626D">
              <w:rPr>
                <w:rFonts w:ascii="Garamond" w:hAnsi="Garamond" w:cstheme="minorHAnsi"/>
                <w:sz w:val="22"/>
                <w:szCs w:val="22"/>
                <w:lang w:val="en-US"/>
              </w:rPr>
              <w:t>org</w:t>
            </w:r>
            <w:r w:rsidRPr="00A5626D">
              <w:rPr>
                <w:rFonts w:ascii="Garamond" w:hAnsi="Garamond" w:cstheme="minorHAnsi"/>
                <w:sz w:val="22"/>
                <w:szCs w:val="22"/>
              </w:rPr>
              <w:t xml:space="preserve"> – ссылка на поставщика информации. Является обязательным атрибутом, число из одного знака;</w:t>
            </w:r>
          </w:p>
          <w:p w14:paraId="0256C620" w14:textId="77777777" w:rsidR="00295C6D" w:rsidRPr="00A5626D" w:rsidRDefault="00295C6D" w:rsidP="00295C6D">
            <w:pPr>
              <w:widowControl w:val="0"/>
              <w:numPr>
                <w:ilvl w:val="0"/>
                <w:numId w:val="240"/>
              </w:numPr>
              <w:tabs>
                <w:tab w:val="left" w:pos="1134"/>
                <w:tab w:val="left" w:pos="7938"/>
              </w:tabs>
              <w:suppressAutoHyphens w:val="0"/>
              <w:autoSpaceDE w:val="0"/>
              <w:autoSpaceDN w:val="0"/>
              <w:adjustRightInd w:val="0"/>
              <w:spacing w:before="60" w:after="60"/>
              <w:ind w:left="0" w:firstLine="456"/>
              <w:jc w:val="both"/>
              <w:rPr>
                <w:rFonts w:ascii="Garamond" w:hAnsi="Garamond" w:cstheme="minorHAnsi"/>
                <w:sz w:val="22"/>
                <w:szCs w:val="22"/>
              </w:rPr>
            </w:pPr>
            <w:r w:rsidRPr="00A5626D">
              <w:rPr>
                <w:rFonts w:ascii="Garamond" w:hAnsi="Garamond" w:cstheme="minorHAnsi"/>
                <w:sz w:val="22"/>
                <w:szCs w:val="22"/>
              </w:rPr>
              <w:t xml:space="preserve">id-delivery-point – внутренний идентификатор точки поставки </w:t>
            </w:r>
            <w:r w:rsidRPr="00A5626D">
              <w:rPr>
                <w:rFonts w:ascii="Garamond" w:hAnsi="Garamond" w:cstheme="minorHAnsi"/>
                <w:sz w:val="22"/>
                <w:szCs w:val="22"/>
                <w:highlight w:val="yellow"/>
              </w:rPr>
              <w:t>(точки присоединения)</w:t>
            </w:r>
            <w:r w:rsidRPr="00A5626D">
              <w:rPr>
                <w:rFonts w:ascii="Garamond" w:hAnsi="Garamond" w:cstheme="minorHAnsi"/>
                <w:sz w:val="22"/>
                <w:szCs w:val="22"/>
              </w:rPr>
              <w:t xml:space="preserve">, совпадает с соответствующим атрибутом </w:t>
            </w:r>
            <w:r w:rsidRPr="00A5626D">
              <w:rPr>
                <w:rFonts w:ascii="Garamond" w:hAnsi="Garamond" w:cstheme="minorHAnsi"/>
                <w:b/>
                <w:sz w:val="22"/>
                <w:szCs w:val="22"/>
              </w:rPr>
              <w:t>&lt;</w:t>
            </w:r>
            <w:r w:rsidRPr="00A5626D">
              <w:rPr>
                <w:rFonts w:ascii="Garamond" w:hAnsi="Garamond" w:cstheme="minorHAnsi"/>
                <w:b/>
                <w:sz w:val="22"/>
                <w:szCs w:val="22"/>
                <w:lang w:val="en-US"/>
              </w:rPr>
              <w:t>delivery</w:t>
            </w:r>
            <w:r w:rsidRPr="00A5626D">
              <w:rPr>
                <w:rFonts w:ascii="Garamond" w:hAnsi="Garamond" w:cstheme="minorHAnsi"/>
                <w:b/>
                <w:sz w:val="22"/>
                <w:szCs w:val="22"/>
              </w:rPr>
              <w:t>-p</w:t>
            </w:r>
            <w:r w:rsidRPr="00A5626D">
              <w:rPr>
                <w:rFonts w:ascii="Garamond" w:hAnsi="Garamond" w:cstheme="minorHAnsi"/>
                <w:b/>
                <w:sz w:val="22"/>
                <w:szCs w:val="22"/>
                <w:lang w:val="en-US"/>
              </w:rPr>
              <w:t>oints</w:t>
            </w:r>
            <w:r w:rsidRPr="00A5626D">
              <w:rPr>
                <w:rFonts w:ascii="Garamond" w:hAnsi="Garamond" w:cstheme="minorHAnsi"/>
                <w:b/>
                <w:sz w:val="22"/>
                <w:szCs w:val="22"/>
              </w:rPr>
              <w:t>&gt;</w:t>
            </w:r>
            <w:r w:rsidRPr="00A5626D">
              <w:rPr>
                <w:rFonts w:ascii="Garamond" w:hAnsi="Garamond" w:cstheme="minorHAnsi"/>
                <w:sz w:val="22"/>
                <w:szCs w:val="22"/>
              </w:rPr>
              <w:t xml:space="preserve">. Число до 4 знаков (1, 01, 001 и 0001 считаются </w:t>
            </w:r>
            <w:r w:rsidRPr="00A5626D">
              <w:rPr>
                <w:rFonts w:ascii="Garamond" w:hAnsi="Garamond" w:cstheme="minorHAnsi"/>
                <w:sz w:val="22"/>
                <w:szCs w:val="22"/>
              </w:rPr>
              <w:lastRenderedPageBreak/>
              <w:t>одинаковыми идентификаторами). Является обязательным атрибутом;</w:t>
            </w:r>
          </w:p>
          <w:p w14:paraId="55FB71E5" w14:textId="62BD4EC1" w:rsidR="00295C6D" w:rsidRPr="00A5626D" w:rsidRDefault="00295C6D" w:rsidP="00295C6D">
            <w:pPr>
              <w:widowControl w:val="0"/>
              <w:numPr>
                <w:ilvl w:val="0"/>
                <w:numId w:val="240"/>
              </w:numPr>
              <w:tabs>
                <w:tab w:val="left" w:pos="1134"/>
                <w:tab w:val="left" w:pos="7938"/>
              </w:tabs>
              <w:suppressAutoHyphens w:val="0"/>
              <w:autoSpaceDE w:val="0"/>
              <w:autoSpaceDN w:val="0"/>
              <w:adjustRightInd w:val="0"/>
              <w:spacing w:before="60" w:after="60"/>
              <w:ind w:left="0" w:firstLine="456"/>
              <w:jc w:val="both"/>
              <w:rPr>
                <w:rFonts w:ascii="Garamond" w:hAnsi="Garamond" w:cstheme="minorHAnsi"/>
                <w:sz w:val="22"/>
                <w:szCs w:val="22"/>
              </w:rPr>
            </w:pPr>
            <w:r w:rsidRPr="00A5626D">
              <w:rPr>
                <w:rFonts w:ascii="Garamond" w:hAnsi="Garamond" w:cstheme="minorHAnsi"/>
                <w:sz w:val="22"/>
                <w:szCs w:val="22"/>
              </w:rPr>
              <w:t>id-aiis</w:t>
            </w:r>
            <w:r w:rsidRPr="00A5626D">
              <w:rPr>
                <w:rFonts w:ascii="Garamond" w:eastAsia="Calibri" w:hAnsi="Garamond" w:cstheme="minorHAnsi"/>
                <w:sz w:val="22"/>
                <w:szCs w:val="22"/>
              </w:rPr>
              <w:t xml:space="preserve"> – ссылка на идентификатор АИИС </w:t>
            </w:r>
            <w:r w:rsidRPr="00A5626D">
              <w:rPr>
                <w:rFonts w:ascii="Garamond" w:eastAsia="Calibri" w:hAnsi="Garamond" w:cstheme="minorHAnsi"/>
                <w:sz w:val="22"/>
                <w:szCs w:val="22"/>
                <w:highlight w:val="yellow"/>
              </w:rPr>
              <w:t xml:space="preserve">/ </w:t>
            </w:r>
            <w:r w:rsidR="00794ED1">
              <w:rPr>
                <w:rFonts w:ascii="Garamond" w:eastAsia="Calibri" w:hAnsi="Garamond" w:cstheme="minorHAnsi"/>
                <w:sz w:val="22"/>
                <w:szCs w:val="22"/>
                <w:highlight w:val="yellow"/>
              </w:rPr>
              <w:t>с</w:t>
            </w:r>
            <w:r w:rsidRPr="00A5626D">
              <w:rPr>
                <w:rFonts w:ascii="Garamond" w:eastAsia="Calibri" w:hAnsi="Garamond" w:cstheme="minorHAnsi"/>
                <w:sz w:val="22"/>
                <w:szCs w:val="22"/>
                <w:highlight w:val="yellow"/>
              </w:rPr>
              <w:t>писок ОР</w:t>
            </w:r>
            <w:r w:rsidRPr="00A5626D">
              <w:rPr>
                <w:rFonts w:ascii="Garamond" w:eastAsia="Calibri" w:hAnsi="Garamond" w:cstheme="minorHAnsi"/>
                <w:sz w:val="22"/>
                <w:szCs w:val="22"/>
              </w:rPr>
              <w:t xml:space="preserve"> для данной конфигурации точки поставки </w:t>
            </w:r>
            <w:r w:rsidRPr="00A5626D">
              <w:rPr>
                <w:rFonts w:ascii="Garamond" w:eastAsia="Calibri" w:hAnsi="Garamond" w:cstheme="minorHAnsi"/>
                <w:sz w:val="22"/>
                <w:szCs w:val="22"/>
                <w:highlight w:val="yellow"/>
              </w:rPr>
              <w:t>(точки присоединения)</w:t>
            </w:r>
            <w:r w:rsidRPr="00A5626D">
              <w:rPr>
                <w:rFonts w:ascii="Garamond" w:eastAsia="Calibri" w:hAnsi="Garamond" w:cstheme="minorHAnsi"/>
                <w:sz w:val="22"/>
                <w:szCs w:val="22"/>
              </w:rPr>
              <w:t>.</w:t>
            </w:r>
          </w:p>
          <w:p w14:paraId="2A4D47D8" w14:textId="77777777" w:rsidR="00295C6D" w:rsidRPr="00A5626D" w:rsidRDefault="00295C6D" w:rsidP="00E31AE6">
            <w:pPr>
              <w:tabs>
                <w:tab w:val="left" w:pos="1134"/>
                <w:tab w:val="left" w:pos="7938"/>
              </w:tabs>
              <w:spacing w:before="120" w:after="120"/>
              <w:ind w:firstLine="456"/>
              <w:jc w:val="both"/>
              <w:rPr>
                <w:rFonts w:ascii="Garamond" w:hAnsi="Garamond" w:cstheme="minorHAnsi"/>
                <w:sz w:val="22"/>
                <w:szCs w:val="22"/>
              </w:rPr>
            </w:pPr>
            <w:r w:rsidRPr="00A5626D">
              <w:rPr>
                <w:rFonts w:ascii="Garamond" w:eastAsia="Calibri" w:hAnsi="Garamond" w:cstheme="minorHAnsi"/>
                <w:sz w:val="22"/>
                <w:szCs w:val="22"/>
              </w:rPr>
              <w:t>Дочерними</w:t>
            </w:r>
            <w:r w:rsidRPr="00A5626D">
              <w:rPr>
                <w:rFonts w:ascii="Garamond" w:eastAsia="Calibri" w:hAnsi="Garamond" w:cstheme="minorHAnsi"/>
                <w:sz w:val="22"/>
                <w:szCs w:val="22"/>
                <w:lang w:val="en-US"/>
              </w:rPr>
              <w:t xml:space="preserve"> </w:t>
            </w:r>
            <w:r w:rsidRPr="00A5626D">
              <w:rPr>
                <w:rFonts w:ascii="Garamond" w:eastAsia="Calibri" w:hAnsi="Garamond" w:cstheme="minorHAnsi"/>
                <w:sz w:val="22"/>
                <w:szCs w:val="22"/>
              </w:rPr>
              <w:t>элементами</w:t>
            </w:r>
            <w:r w:rsidRPr="00A5626D">
              <w:rPr>
                <w:rFonts w:ascii="Garamond" w:eastAsia="Calibri" w:hAnsi="Garamond" w:cstheme="minorHAnsi"/>
                <w:sz w:val="22"/>
                <w:szCs w:val="22"/>
                <w:lang w:val="en-US"/>
              </w:rPr>
              <w:t xml:space="preserve"> </w:t>
            </w:r>
            <w:r w:rsidRPr="00A5626D">
              <w:rPr>
                <w:rFonts w:ascii="Garamond" w:eastAsia="Calibri" w:hAnsi="Garamond" w:cstheme="minorHAnsi"/>
                <w:sz w:val="22"/>
                <w:szCs w:val="22"/>
              </w:rPr>
              <w:t>являются</w:t>
            </w:r>
            <w:r w:rsidRPr="00A5626D">
              <w:rPr>
                <w:rFonts w:ascii="Garamond" w:eastAsia="Calibri" w:hAnsi="Garamond" w:cstheme="minorHAnsi"/>
                <w:sz w:val="22"/>
                <w:szCs w:val="22"/>
                <w:lang w:val="en-US"/>
              </w:rPr>
              <w:t xml:space="preserve">: </w:t>
            </w:r>
            <w:r w:rsidRPr="00A5626D">
              <w:rPr>
                <w:rFonts w:ascii="Garamond" w:hAnsi="Garamond" w:cstheme="minorHAnsi"/>
                <w:b/>
                <w:sz w:val="22"/>
                <w:szCs w:val="22"/>
                <w:lang w:val="en-US"/>
              </w:rPr>
              <w:t>&lt;send&gt;</w:t>
            </w:r>
            <w:r w:rsidRPr="00A5626D">
              <w:rPr>
                <w:rFonts w:ascii="Garamond" w:hAnsi="Garamond" w:cstheme="minorHAnsi"/>
                <w:sz w:val="22"/>
                <w:szCs w:val="22"/>
                <w:lang w:val="en-US"/>
              </w:rPr>
              <w:t xml:space="preserve">, </w:t>
            </w:r>
            <w:r w:rsidRPr="00A5626D">
              <w:rPr>
                <w:rFonts w:ascii="Garamond" w:hAnsi="Garamond" w:cstheme="minorHAnsi"/>
                <w:b/>
                <w:sz w:val="22"/>
                <w:szCs w:val="22"/>
                <w:lang w:val="en-US"/>
              </w:rPr>
              <w:t>&lt;send-losses&gt;</w:t>
            </w:r>
            <w:r w:rsidRPr="00A5626D">
              <w:rPr>
                <w:rFonts w:ascii="Garamond" w:hAnsi="Garamond" w:cstheme="minorHAnsi"/>
                <w:sz w:val="22"/>
                <w:szCs w:val="22"/>
                <w:lang w:val="en-US"/>
              </w:rPr>
              <w:t xml:space="preserve">, </w:t>
            </w:r>
            <w:r w:rsidRPr="00A5626D">
              <w:rPr>
                <w:rFonts w:ascii="Garamond" w:hAnsi="Garamond" w:cstheme="minorHAnsi"/>
                <w:b/>
                <w:sz w:val="22"/>
                <w:szCs w:val="22"/>
                <w:lang w:val="en-US"/>
              </w:rPr>
              <w:t>&lt;receive&gt;</w:t>
            </w:r>
            <w:r w:rsidRPr="00A5626D">
              <w:rPr>
                <w:rFonts w:ascii="Garamond" w:hAnsi="Garamond" w:cstheme="minorHAnsi"/>
                <w:sz w:val="22"/>
                <w:szCs w:val="22"/>
                <w:lang w:val="en-US"/>
              </w:rPr>
              <w:t xml:space="preserve">, </w:t>
            </w:r>
            <w:r w:rsidRPr="00A5626D">
              <w:rPr>
                <w:rFonts w:ascii="Garamond" w:hAnsi="Garamond" w:cstheme="minorHAnsi"/>
                <w:b/>
                <w:sz w:val="22"/>
                <w:szCs w:val="22"/>
                <w:lang w:val="en-US"/>
              </w:rPr>
              <w:t>&lt;receive-losses&gt;</w:t>
            </w:r>
            <w:r w:rsidRPr="00A5626D">
              <w:rPr>
                <w:rFonts w:ascii="Garamond" w:hAnsi="Garamond" w:cstheme="minorHAnsi"/>
                <w:sz w:val="22"/>
                <w:szCs w:val="22"/>
                <w:lang w:val="en-US"/>
              </w:rPr>
              <w:t xml:space="preserve">. </w:t>
            </w:r>
            <w:r w:rsidRPr="00A5626D">
              <w:rPr>
                <w:rFonts w:ascii="Garamond" w:hAnsi="Garamond" w:cstheme="minorHAnsi"/>
                <w:sz w:val="22"/>
                <w:szCs w:val="22"/>
              </w:rPr>
              <w:t>В макете должен присутствовать хотя бы один элемент &lt;</w:t>
            </w:r>
            <w:r w:rsidRPr="00A5626D">
              <w:rPr>
                <w:rFonts w:ascii="Garamond" w:hAnsi="Garamond" w:cstheme="minorHAnsi"/>
                <w:b/>
                <w:sz w:val="22"/>
                <w:szCs w:val="22"/>
              </w:rPr>
              <w:t>send</w:t>
            </w:r>
            <w:r w:rsidRPr="00A5626D">
              <w:rPr>
                <w:rFonts w:ascii="Garamond" w:hAnsi="Garamond" w:cstheme="minorHAnsi"/>
                <w:sz w:val="22"/>
                <w:szCs w:val="22"/>
              </w:rPr>
              <w:t>&gt; или &lt;</w:t>
            </w:r>
            <w:r w:rsidRPr="00A5626D">
              <w:rPr>
                <w:rFonts w:ascii="Garamond" w:hAnsi="Garamond" w:cstheme="minorHAnsi"/>
                <w:b/>
                <w:sz w:val="22"/>
                <w:szCs w:val="22"/>
              </w:rPr>
              <w:t>receive</w:t>
            </w:r>
            <w:r w:rsidRPr="00A5626D">
              <w:rPr>
                <w:rFonts w:ascii="Garamond" w:hAnsi="Garamond" w:cstheme="minorHAnsi"/>
                <w:sz w:val="22"/>
                <w:szCs w:val="22"/>
              </w:rPr>
              <w:t xml:space="preserve">&gt;. Элементы </w:t>
            </w:r>
            <w:r w:rsidRPr="00A5626D">
              <w:rPr>
                <w:rFonts w:ascii="Garamond" w:hAnsi="Garamond" w:cstheme="minorHAnsi"/>
                <w:b/>
                <w:sz w:val="22"/>
                <w:szCs w:val="22"/>
              </w:rPr>
              <w:t>&lt;send-losses&gt;</w:t>
            </w:r>
            <w:r w:rsidRPr="00A5626D">
              <w:rPr>
                <w:rFonts w:ascii="Garamond" w:hAnsi="Garamond" w:cstheme="minorHAnsi"/>
                <w:sz w:val="22"/>
                <w:szCs w:val="22"/>
              </w:rPr>
              <w:t xml:space="preserve">, </w:t>
            </w:r>
            <w:r w:rsidRPr="00A5626D">
              <w:rPr>
                <w:rFonts w:ascii="Garamond" w:hAnsi="Garamond" w:cstheme="minorHAnsi"/>
                <w:b/>
                <w:sz w:val="22"/>
                <w:szCs w:val="22"/>
              </w:rPr>
              <w:t>&lt;receive-losses&gt;</w:t>
            </w:r>
            <w:r w:rsidRPr="00A5626D">
              <w:rPr>
                <w:rFonts w:ascii="Garamond" w:hAnsi="Garamond" w:cstheme="minorHAnsi"/>
                <w:sz w:val="22"/>
                <w:szCs w:val="22"/>
              </w:rPr>
              <w:t xml:space="preserve"> обязательны только в случае, если необходимо учитывать потери </w:t>
            </w:r>
            <w:r w:rsidRPr="00A5626D">
              <w:rPr>
                <w:rFonts w:ascii="Garamond" w:hAnsi="Garamond" w:cstheme="minorHAnsi"/>
                <w:bCs/>
                <w:sz w:val="22"/>
                <w:szCs w:val="22"/>
              </w:rPr>
              <w:t>электроэнергии</w:t>
            </w:r>
            <w:r w:rsidRPr="00A5626D">
              <w:rPr>
                <w:rFonts w:ascii="Garamond" w:hAnsi="Garamond" w:cstheme="minorHAnsi"/>
                <w:sz w:val="22"/>
                <w:szCs w:val="22"/>
              </w:rPr>
              <w:t xml:space="preserve"> при приведении результатов измерений</w:t>
            </w:r>
            <w:r w:rsidRPr="00A5626D">
              <w:rPr>
                <w:rFonts w:ascii="Garamond" w:hAnsi="Garamond" w:cstheme="minorHAnsi"/>
                <w:bCs/>
                <w:sz w:val="22"/>
                <w:szCs w:val="22"/>
              </w:rPr>
              <w:t xml:space="preserve"> </w:t>
            </w:r>
            <w:r w:rsidRPr="00A5626D">
              <w:rPr>
                <w:rFonts w:ascii="Garamond" w:hAnsi="Garamond" w:cstheme="minorHAnsi"/>
                <w:sz w:val="22"/>
                <w:szCs w:val="22"/>
              </w:rPr>
              <w:t>ТИ к значению электроэнергии в ТП.</w:t>
            </w:r>
          </w:p>
        </w:tc>
      </w:tr>
      <w:tr w:rsidR="00295C6D" w:rsidRPr="00A5626D" w14:paraId="3C130D15" w14:textId="77777777" w:rsidTr="00647FA0">
        <w:tc>
          <w:tcPr>
            <w:tcW w:w="1060" w:type="dxa"/>
            <w:vAlign w:val="center"/>
          </w:tcPr>
          <w:p w14:paraId="6C473261" w14:textId="5B49E66C" w:rsidR="00295C6D" w:rsidRPr="00A5626D" w:rsidRDefault="00295C6D" w:rsidP="00E31AE6">
            <w:pPr>
              <w:widowControl w:val="0"/>
              <w:tabs>
                <w:tab w:val="left" w:pos="1134"/>
                <w:tab w:val="left" w:pos="7938"/>
              </w:tabs>
              <w:spacing w:line="22" w:lineRule="atLeast"/>
              <w:jc w:val="both"/>
              <w:rPr>
                <w:rFonts w:ascii="Garamond" w:hAnsi="Garamond"/>
                <w:b/>
                <w:sz w:val="22"/>
                <w:szCs w:val="22"/>
                <w:lang w:eastAsia="en-US"/>
              </w:rPr>
            </w:pPr>
            <w:r w:rsidRPr="00A5626D">
              <w:rPr>
                <w:rFonts w:ascii="Garamond" w:hAnsi="Garamond"/>
                <w:b/>
                <w:sz w:val="22"/>
                <w:szCs w:val="22"/>
                <w:lang w:eastAsia="en-US"/>
              </w:rPr>
              <w:lastRenderedPageBreak/>
              <w:t>Приложение 5, п.</w:t>
            </w:r>
            <w:r w:rsidR="00647FA0" w:rsidRPr="00A5626D">
              <w:rPr>
                <w:rFonts w:ascii="Garamond" w:hAnsi="Garamond"/>
                <w:b/>
                <w:sz w:val="22"/>
                <w:szCs w:val="22"/>
                <w:lang w:eastAsia="en-US"/>
              </w:rPr>
              <w:t> </w:t>
            </w:r>
            <w:r w:rsidRPr="00A5626D">
              <w:rPr>
                <w:rFonts w:ascii="Garamond" w:hAnsi="Garamond"/>
                <w:b/>
                <w:sz w:val="22"/>
                <w:szCs w:val="22"/>
                <w:lang w:eastAsia="en-US"/>
              </w:rPr>
              <w:t>4.4.1.2.3.2.1.1</w:t>
            </w:r>
            <w:r w:rsidR="009B5F03" w:rsidRPr="00A5626D">
              <w:rPr>
                <w:rFonts w:ascii="Garamond" w:hAnsi="Garamond"/>
                <w:b/>
                <w:sz w:val="22"/>
                <w:szCs w:val="22"/>
              </w:rPr>
              <w:t xml:space="preserve"> </w:t>
            </w:r>
          </w:p>
        </w:tc>
        <w:tc>
          <w:tcPr>
            <w:tcW w:w="6662" w:type="dxa"/>
          </w:tcPr>
          <w:p w14:paraId="0264AB0D" w14:textId="77777777" w:rsidR="00295C6D" w:rsidRPr="00A5626D" w:rsidRDefault="00295C6D" w:rsidP="00E31AE6">
            <w:pPr>
              <w:tabs>
                <w:tab w:val="left" w:pos="1134"/>
                <w:tab w:val="left" w:pos="7938"/>
              </w:tabs>
              <w:ind w:firstLine="456"/>
              <w:rPr>
                <w:rFonts w:ascii="Garamond" w:hAnsi="Garamond" w:cstheme="minorHAnsi"/>
                <w:sz w:val="22"/>
                <w:szCs w:val="22"/>
              </w:rPr>
            </w:pPr>
            <w:r w:rsidRPr="00A5626D">
              <w:rPr>
                <w:rFonts w:ascii="Garamond" w:hAnsi="Garamond" w:cstheme="minorHAnsi"/>
                <w:sz w:val="22"/>
                <w:szCs w:val="22"/>
              </w:rPr>
              <w:t>&lt;</w:t>
            </w:r>
            <w:r w:rsidRPr="00A5626D">
              <w:rPr>
                <w:rFonts w:ascii="Garamond" w:hAnsi="Garamond" w:cstheme="minorHAnsi"/>
                <w:b/>
                <w:sz w:val="22"/>
                <w:szCs w:val="22"/>
              </w:rPr>
              <w:t>or</w:t>
            </w:r>
            <w:r w:rsidRPr="00A5626D">
              <w:rPr>
                <w:rFonts w:ascii="Garamond" w:hAnsi="Garamond" w:cstheme="minorHAnsi"/>
                <w:sz w:val="22"/>
                <w:szCs w:val="22"/>
              </w:rPr>
              <w:t>&gt;</w:t>
            </w:r>
          </w:p>
          <w:p w14:paraId="6B02D648" w14:textId="77777777" w:rsidR="00295C6D" w:rsidRPr="00A5626D" w:rsidRDefault="00295C6D" w:rsidP="00E31AE6">
            <w:pPr>
              <w:tabs>
                <w:tab w:val="left" w:pos="1134"/>
                <w:tab w:val="left" w:pos="7938"/>
              </w:tabs>
              <w:spacing w:before="120" w:after="120"/>
              <w:ind w:firstLine="456"/>
              <w:jc w:val="both"/>
              <w:rPr>
                <w:rFonts w:ascii="Garamond" w:hAnsi="Garamond" w:cstheme="minorHAnsi"/>
                <w:sz w:val="22"/>
                <w:szCs w:val="22"/>
              </w:rPr>
            </w:pPr>
            <w:r w:rsidRPr="00A5626D">
              <w:rPr>
                <w:rFonts w:ascii="Garamond" w:hAnsi="Garamond" w:cstheme="minorHAnsi"/>
                <w:sz w:val="22"/>
                <w:szCs w:val="22"/>
              </w:rPr>
              <w:t>Атрибуты элемента &lt;</w:t>
            </w:r>
            <w:r w:rsidRPr="00A5626D">
              <w:rPr>
                <w:rFonts w:ascii="Garamond" w:hAnsi="Garamond" w:cstheme="minorHAnsi"/>
                <w:b/>
                <w:sz w:val="22"/>
                <w:szCs w:val="22"/>
              </w:rPr>
              <w:t>or</w:t>
            </w:r>
            <w:r w:rsidRPr="00A5626D">
              <w:rPr>
                <w:rFonts w:ascii="Garamond" w:hAnsi="Garamond" w:cstheme="minorHAnsi"/>
                <w:sz w:val="22"/>
                <w:szCs w:val="22"/>
              </w:rPr>
              <w:t>&gt; не должны вступать в противоречие с атрибутами и потомками соответствующих элементов &lt;</w:t>
            </w:r>
            <w:r w:rsidRPr="00A5626D">
              <w:rPr>
                <w:rFonts w:ascii="Garamond" w:hAnsi="Garamond" w:cstheme="minorHAnsi"/>
                <w:b/>
                <w:sz w:val="22"/>
                <w:szCs w:val="22"/>
              </w:rPr>
              <w:t>aup-delivery-point</w:t>
            </w:r>
            <w:r w:rsidRPr="00A5626D">
              <w:rPr>
                <w:rFonts w:ascii="Garamond" w:hAnsi="Garamond" w:cstheme="minorHAnsi"/>
                <w:sz w:val="22"/>
                <w:szCs w:val="22"/>
              </w:rPr>
              <w:t xml:space="preserve">&gt;. </w:t>
            </w:r>
          </w:p>
          <w:p w14:paraId="66E369B7" w14:textId="77777777" w:rsidR="00295C6D" w:rsidRPr="00A5626D" w:rsidRDefault="00295C6D" w:rsidP="00E31AE6">
            <w:pPr>
              <w:tabs>
                <w:tab w:val="left" w:pos="1134"/>
                <w:tab w:val="left" w:pos="7938"/>
              </w:tabs>
              <w:spacing w:before="120" w:after="120"/>
              <w:ind w:firstLine="456"/>
              <w:jc w:val="both"/>
              <w:rPr>
                <w:rFonts w:ascii="Garamond" w:hAnsi="Garamond" w:cstheme="minorHAnsi"/>
                <w:sz w:val="22"/>
                <w:szCs w:val="22"/>
              </w:rPr>
            </w:pPr>
            <w:r w:rsidRPr="00A5626D">
              <w:rPr>
                <w:rFonts w:ascii="Garamond" w:hAnsi="Garamond" w:cstheme="minorHAnsi"/>
                <w:sz w:val="22"/>
                <w:szCs w:val="22"/>
              </w:rPr>
              <w:t>Атрибутами элемента &lt;</w:t>
            </w:r>
            <w:r w:rsidRPr="00A5626D">
              <w:rPr>
                <w:rFonts w:ascii="Garamond" w:hAnsi="Garamond" w:cstheme="minorHAnsi"/>
                <w:b/>
                <w:sz w:val="22"/>
                <w:szCs w:val="22"/>
              </w:rPr>
              <w:t>or</w:t>
            </w:r>
            <w:r w:rsidRPr="00A5626D">
              <w:rPr>
                <w:rFonts w:ascii="Garamond" w:hAnsi="Garamond" w:cstheme="minorHAnsi"/>
                <w:sz w:val="22"/>
                <w:szCs w:val="22"/>
              </w:rPr>
              <w:t>&gt; являются:</w:t>
            </w:r>
          </w:p>
          <w:p w14:paraId="3D5B6F11" w14:textId="77777777" w:rsidR="00295C6D" w:rsidRPr="00A5626D" w:rsidRDefault="00295C6D" w:rsidP="00295C6D">
            <w:pPr>
              <w:widowControl w:val="0"/>
              <w:numPr>
                <w:ilvl w:val="0"/>
                <w:numId w:val="240"/>
              </w:numPr>
              <w:tabs>
                <w:tab w:val="left" w:pos="1134"/>
                <w:tab w:val="left" w:pos="7938"/>
              </w:tabs>
              <w:suppressAutoHyphens w:val="0"/>
              <w:autoSpaceDE w:val="0"/>
              <w:autoSpaceDN w:val="0"/>
              <w:adjustRightInd w:val="0"/>
              <w:spacing w:before="60" w:after="60"/>
              <w:ind w:left="0" w:firstLine="456"/>
              <w:jc w:val="both"/>
              <w:rPr>
                <w:rFonts w:ascii="Garamond" w:hAnsi="Garamond" w:cstheme="minorHAnsi"/>
                <w:sz w:val="22"/>
                <w:szCs w:val="22"/>
              </w:rPr>
            </w:pPr>
            <w:r w:rsidRPr="00A5626D">
              <w:rPr>
                <w:rFonts w:ascii="Garamond" w:hAnsi="Garamond" w:cstheme="minorHAnsi"/>
                <w:sz w:val="22"/>
                <w:szCs w:val="22"/>
              </w:rPr>
              <w:t>coefficient – коэффициент, определяющий знак, с которым входит в расчет величина по направлению «приема»/«отдачи» для стороны заявителя. Обязательный атрибут, число длиной до 32 знаков;</w:t>
            </w:r>
          </w:p>
          <w:p w14:paraId="77C0B3FE" w14:textId="77777777" w:rsidR="00295C6D" w:rsidRPr="00A5626D" w:rsidRDefault="00295C6D" w:rsidP="00295C6D">
            <w:pPr>
              <w:widowControl w:val="0"/>
              <w:numPr>
                <w:ilvl w:val="0"/>
                <w:numId w:val="240"/>
              </w:numPr>
              <w:tabs>
                <w:tab w:val="left" w:pos="1134"/>
                <w:tab w:val="left" w:pos="7938"/>
              </w:tabs>
              <w:suppressAutoHyphens w:val="0"/>
              <w:autoSpaceDE w:val="0"/>
              <w:autoSpaceDN w:val="0"/>
              <w:adjustRightInd w:val="0"/>
              <w:spacing w:before="60" w:after="60"/>
              <w:ind w:left="0" w:firstLine="456"/>
              <w:jc w:val="both"/>
              <w:rPr>
                <w:rFonts w:ascii="Garamond" w:hAnsi="Garamond" w:cstheme="minorHAnsi"/>
                <w:sz w:val="22"/>
                <w:szCs w:val="22"/>
              </w:rPr>
            </w:pPr>
            <w:r w:rsidRPr="00A5626D">
              <w:rPr>
                <w:rFonts w:ascii="Garamond" w:hAnsi="Garamond" w:cstheme="minorHAnsi"/>
                <w:sz w:val="22"/>
                <w:szCs w:val="22"/>
                <w:lang w:val="en-US"/>
              </w:rPr>
              <w:t>id</w:t>
            </w:r>
            <w:r w:rsidRPr="00A5626D">
              <w:rPr>
                <w:rFonts w:ascii="Garamond" w:hAnsi="Garamond" w:cstheme="minorHAnsi"/>
                <w:sz w:val="22"/>
                <w:szCs w:val="22"/>
              </w:rPr>
              <w:t>-</w:t>
            </w:r>
            <w:r w:rsidRPr="00A5626D">
              <w:rPr>
                <w:rFonts w:ascii="Garamond" w:hAnsi="Garamond" w:cstheme="minorHAnsi"/>
                <w:sz w:val="22"/>
                <w:szCs w:val="22"/>
                <w:lang w:val="en-US"/>
              </w:rPr>
              <w:t>org</w:t>
            </w:r>
            <w:r w:rsidRPr="00A5626D">
              <w:rPr>
                <w:rFonts w:ascii="Garamond" w:hAnsi="Garamond" w:cstheme="minorHAnsi"/>
                <w:sz w:val="22"/>
                <w:szCs w:val="22"/>
              </w:rPr>
              <w:t xml:space="preserve"> – ссылка на поставщика информации. Является числом из одного знака, обязательный атрибут;</w:t>
            </w:r>
          </w:p>
          <w:p w14:paraId="36C608CA" w14:textId="77777777" w:rsidR="00295C6D" w:rsidRPr="00A5626D" w:rsidRDefault="00295C6D" w:rsidP="00295C6D">
            <w:pPr>
              <w:widowControl w:val="0"/>
              <w:numPr>
                <w:ilvl w:val="0"/>
                <w:numId w:val="240"/>
              </w:numPr>
              <w:tabs>
                <w:tab w:val="left" w:pos="1134"/>
                <w:tab w:val="left" w:pos="7938"/>
              </w:tabs>
              <w:suppressAutoHyphens w:val="0"/>
              <w:autoSpaceDE w:val="0"/>
              <w:autoSpaceDN w:val="0"/>
              <w:adjustRightInd w:val="0"/>
              <w:spacing w:before="60" w:after="60"/>
              <w:ind w:left="0" w:firstLine="456"/>
              <w:jc w:val="both"/>
              <w:rPr>
                <w:rFonts w:ascii="Garamond" w:hAnsi="Garamond" w:cstheme="minorHAnsi"/>
                <w:sz w:val="22"/>
                <w:szCs w:val="22"/>
              </w:rPr>
            </w:pPr>
            <w:r w:rsidRPr="00A5626D">
              <w:rPr>
                <w:rFonts w:ascii="Garamond" w:hAnsi="Garamond" w:cstheme="minorHAnsi"/>
                <w:sz w:val="22"/>
                <w:szCs w:val="22"/>
                <w:lang w:val="en-US"/>
              </w:rPr>
              <w:t>id</w:t>
            </w:r>
            <w:r w:rsidRPr="00A5626D">
              <w:rPr>
                <w:rFonts w:ascii="Garamond" w:hAnsi="Garamond" w:cstheme="minorHAnsi"/>
                <w:sz w:val="22"/>
                <w:szCs w:val="22"/>
              </w:rPr>
              <w:t>-</w:t>
            </w:r>
            <w:r w:rsidRPr="00A5626D">
              <w:rPr>
                <w:rFonts w:ascii="Garamond" w:hAnsi="Garamond" w:cstheme="minorHAnsi"/>
                <w:sz w:val="22"/>
                <w:szCs w:val="22"/>
                <w:lang w:val="en-US"/>
              </w:rPr>
              <w:t>aiis</w:t>
            </w:r>
            <w:r w:rsidRPr="00A5626D">
              <w:rPr>
                <w:rFonts w:ascii="Garamond" w:hAnsi="Garamond" w:cstheme="minorHAnsi"/>
                <w:sz w:val="22"/>
                <w:szCs w:val="22"/>
              </w:rPr>
              <w:t xml:space="preserve"> – идентификатор АИИС. Обязательный атрибут, состоит из одного знака;</w:t>
            </w:r>
          </w:p>
          <w:p w14:paraId="664C0E6A" w14:textId="77777777" w:rsidR="00295C6D" w:rsidRPr="00A5626D" w:rsidRDefault="00295C6D" w:rsidP="00295C6D">
            <w:pPr>
              <w:widowControl w:val="0"/>
              <w:numPr>
                <w:ilvl w:val="0"/>
                <w:numId w:val="240"/>
              </w:numPr>
              <w:tabs>
                <w:tab w:val="left" w:pos="1134"/>
                <w:tab w:val="left" w:pos="7938"/>
              </w:tabs>
              <w:suppressAutoHyphens w:val="0"/>
              <w:autoSpaceDE w:val="0"/>
              <w:autoSpaceDN w:val="0"/>
              <w:adjustRightInd w:val="0"/>
              <w:spacing w:before="60" w:after="60"/>
              <w:ind w:left="0" w:firstLine="456"/>
              <w:jc w:val="both"/>
              <w:rPr>
                <w:rFonts w:ascii="Garamond" w:hAnsi="Garamond" w:cstheme="minorHAnsi"/>
                <w:sz w:val="22"/>
                <w:szCs w:val="22"/>
              </w:rPr>
            </w:pPr>
            <w:r w:rsidRPr="00A5626D">
              <w:rPr>
                <w:rFonts w:ascii="Garamond" w:hAnsi="Garamond" w:cstheme="minorHAnsi"/>
                <w:sz w:val="22"/>
                <w:szCs w:val="22"/>
              </w:rPr>
              <w:t>send-receive – направление перетока. Может принимать только значения «send» или «receive». Обязательный атрибут;</w:t>
            </w:r>
          </w:p>
          <w:p w14:paraId="0ED1DAF8" w14:textId="77777777" w:rsidR="00295C6D" w:rsidRPr="00A5626D" w:rsidRDefault="00295C6D" w:rsidP="00295C6D">
            <w:pPr>
              <w:widowControl w:val="0"/>
              <w:numPr>
                <w:ilvl w:val="0"/>
                <w:numId w:val="240"/>
              </w:numPr>
              <w:tabs>
                <w:tab w:val="left" w:pos="1134"/>
                <w:tab w:val="left" w:pos="7938"/>
              </w:tabs>
              <w:suppressAutoHyphens w:val="0"/>
              <w:autoSpaceDE w:val="0"/>
              <w:autoSpaceDN w:val="0"/>
              <w:adjustRightInd w:val="0"/>
              <w:spacing w:before="60" w:after="60"/>
              <w:ind w:left="0" w:firstLine="456"/>
              <w:jc w:val="both"/>
              <w:rPr>
                <w:rFonts w:ascii="Garamond" w:hAnsi="Garamond" w:cstheme="minorHAnsi"/>
                <w:sz w:val="22"/>
                <w:szCs w:val="22"/>
              </w:rPr>
            </w:pPr>
            <w:r w:rsidRPr="00A5626D">
              <w:rPr>
                <w:rFonts w:ascii="Garamond" w:hAnsi="Garamond" w:cstheme="minorHAnsi"/>
                <w:sz w:val="22"/>
                <w:szCs w:val="22"/>
              </w:rPr>
              <w:t>id-delivery-point – идентификатор точки поставки в соответствии с элементом &lt;</w:t>
            </w:r>
            <w:r w:rsidRPr="00A5626D">
              <w:rPr>
                <w:rFonts w:ascii="Garamond" w:hAnsi="Garamond" w:cstheme="minorHAnsi"/>
                <w:b/>
                <w:sz w:val="22"/>
                <w:szCs w:val="22"/>
                <w:lang w:val="en-US"/>
              </w:rPr>
              <w:t>delivery</w:t>
            </w:r>
            <w:r w:rsidRPr="00A5626D">
              <w:rPr>
                <w:rFonts w:ascii="Garamond" w:hAnsi="Garamond" w:cstheme="minorHAnsi"/>
                <w:b/>
                <w:sz w:val="22"/>
                <w:szCs w:val="22"/>
              </w:rPr>
              <w:t>-</w:t>
            </w:r>
            <w:r w:rsidRPr="00A5626D">
              <w:rPr>
                <w:rFonts w:ascii="Garamond" w:hAnsi="Garamond" w:cstheme="minorHAnsi"/>
                <w:b/>
                <w:sz w:val="22"/>
                <w:szCs w:val="22"/>
                <w:lang w:val="en-US"/>
              </w:rPr>
              <w:t>point</w:t>
            </w:r>
            <w:r w:rsidRPr="00A5626D">
              <w:rPr>
                <w:rFonts w:ascii="Garamond" w:hAnsi="Garamond" w:cstheme="minorHAnsi"/>
                <w:sz w:val="22"/>
                <w:szCs w:val="22"/>
              </w:rPr>
              <w:t>&gt;. Является обязательным атрибутом. Принимает значения из справочника точек поставки (элемент &lt;</w:t>
            </w:r>
            <w:r w:rsidRPr="00A5626D">
              <w:rPr>
                <w:rFonts w:ascii="Garamond" w:hAnsi="Garamond" w:cstheme="minorHAnsi"/>
                <w:b/>
                <w:sz w:val="22"/>
                <w:szCs w:val="22"/>
                <w:lang w:val="en-US"/>
              </w:rPr>
              <w:t>delivery</w:t>
            </w:r>
            <w:r w:rsidRPr="00A5626D">
              <w:rPr>
                <w:rFonts w:ascii="Garamond" w:hAnsi="Garamond" w:cstheme="minorHAnsi"/>
                <w:b/>
                <w:sz w:val="22"/>
                <w:szCs w:val="22"/>
              </w:rPr>
              <w:t>-</w:t>
            </w:r>
            <w:r w:rsidRPr="00A5626D">
              <w:rPr>
                <w:rFonts w:ascii="Garamond" w:hAnsi="Garamond" w:cstheme="minorHAnsi"/>
                <w:b/>
                <w:sz w:val="22"/>
                <w:szCs w:val="22"/>
                <w:lang w:val="en-US"/>
              </w:rPr>
              <w:t>points</w:t>
            </w:r>
            <w:r w:rsidRPr="00A5626D">
              <w:rPr>
                <w:rFonts w:ascii="Garamond" w:hAnsi="Garamond" w:cstheme="minorHAnsi"/>
                <w:sz w:val="22"/>
                <w:szCs w:val="22"/>
              </w:rPr>
              <w:t>&gt;).</w:t>
            </w:r>
          </w:p>
        </w:tc>
        <w:tc>
          <w:tcPr>
            <w:tcW w:w="7088" w:type="dxa"/>
          </w:tcPr>
          <w:p w14:paraId="23CA0322" w14:textId="77777777" w:rsidR="00295C6D" w:rsidRPr="00A5626D" w:rsidRDefault="00295C6D" w:rsidP="00E31AE6">
            <w:pPr>
              <w:tabs>
                <w:tab w:val="left" w:pos="1134"/>
                <w:tab w:val="left" w:pos="7938"/>
              </w:tabs>
              <w:ind w:firstLine="456"/>
              <w:rPr>
                <w:rFonts w:ascii="Garamond" w:hAnsi="Garamond" w:cstheme="minorHAnsi"/>
                <w:sz w:val="22"/>
                <w:szCs w:val="22"/>
              </w:rPr>
            </w:pPr>
            <w:r w:rsidRPr="00A5626D">
              <w:rPr>
                <w:rFonts w:ascii="Garamond" w:hAnsi="Garamond" w:cstheme="minorHAnsi"/>
                <w:sz w:val="22"/>
                <w:szCs w:val="22"/>
              </w:rPr>
              <w:t>&lt;</w:t>
            </w:r>
            <w:r w:rsidRPr="00A5626D">
              <w:rPr>
                <w:rFonts w:ascii="Garamond" w:hAnsi="Garamond" w:cstheme="minorHAnsi"/>
                <w:b/>
                <w:sz w:val="22"/>
                <w:szCs w:val="22"/>
              </w:rPr>
              <w:t>or</w:t>
            </w:r>
            <w:r w:rsidRPr="00A5626D">
              <w:rPr>
                <w:rFonts w:ascii="Garamond" w:hAnsi="Garamond" w:cstheme="minorHAnsi"/>
                <w:sz w:val="22"/>
                <w:szCs w:val="22"/>
              </w:rPr>
              <w:t>&gt;</w:t>
            </w:r>
          </w:p>
          <w:p w14:paraId="17E6FB2F" w14:textId="77777777" w:rsidR="00295C6D" w:rsidRPr="00A5626D" w:rsidRDefault="00295C6D" w:rsidP="00E31AE6">
            <w:pPr>
              <w:tabs>
                <w:tab w:val="left" w:pos="1134"/>
                <w:tab w:val="left" w:pos="7938"/>
              </w:tabs>
              <w:spacing w:before="120" w:after="120"/>
              <w:ind w:firstLine="456"/>
              <w:jc w:val="both"/>
              <w:rPr>
                <w:rFonts w:ascii="Garamond" w:hAnsi="Garamond" w:cstheme="minorHAnsi"/>
                <w:sz w:val="22"/>
                <w:szCs w:val="22"/>
              </w:rPr>
            </w:pPr>
            <w:r w:rsidRPr="00A5626D">
              <w:rPr>
                <w:rFonts w:ascii="Garamond" w:hAnsi="Garamond" w:cstheme="minorHAnsi"/>
                <w:sz w:val="22"/>
                <w:szCs w:val="22"/>
              </w:rPr>
              <w:t>Атрибуты элемента &lt;</w:t>
            </w:r>
            <w:r w:rsidRPr="00A5626D">
              <w:rPr>
                <w:rFonts w:ascii="Garamond" w:hAnsi="Garamond" w:cstheme="minorHAnsi"/>
                <w:b/>
                <w:sz w:val="22"/>
                <w:szCs w:val="22"/>
              </w:rPr>
              <w:t>or</w:t>
            </w:r>
            <w:r w:rsidRPr="00A5626D">
              <w:rPr>
                <w:rFonts w:ascii="Garamond" w:hAnsi="Garamond" w:cstheme="minorHAnsi"/>
                <w:sz w:val="22"/>
                <w:szCs w:val="22"/>
              </w:rPr>
              <w:t>&gt; не должны вступать в противоречие с атрибутами и потомками соответствующих элементов &lt;</w:t>
            </w:r>
            <w:r w:rsidRPr="00A5626D">
              <w:rPr>
                <w:rFonts w:ascii="Garamond" w:hAnsi="Garamond" w:cstheme="minorHAnsi"/>
                <w:b/>
                <w:sz w:val="22"/>
                <w:szCs w:val="22"/>
              </w:rPr>
              <w:t>aup-delivery-point</w:t>
            </w:r>
            <w:r w:rsidRPr="00A5626D">
              <w:rPr>
                <w:rFonts w:ascii="Garamond" w:hAnsi="Garamond" w:cstheme="minorHAnsi"/>
                <w:sz w:val="22"/>
                <w:szCs w:val="22"/>
              </w:rPr>
              <w:t xml:space="preserve">&gt;. </w:t>
            </w:r>
          </w:p>
          <w:p w14:paraId="133EE6A9" w14:textId="77777777" w:rsidR="00295C6D" w:rsidRPr="00A5626D" w:rsidRDefault="00295C6D" w:rsidP="00E31AE6">
            <w:pPr>
              <w:tabs>
                <w:tab w:val="left" w:pos="1134"/>
                <w:tab w:val="left" w:pos="7938"/>
              </w:tabs>
              <w:spacing w:before="120" w:after="120"/>
              <w:ind w:firstLine="456"/>
              <w:jc w:val="both"/>
              <w:rPr>
                <w:rFonts w:ascii="Garamond" w:hAnsi="Garamond" w:cstheme="minorHAnsi"/>
                <w:sz w:val="22"/>
                <w:szCs w:val="22"/>
              </w:rPr>
            </w:pPr>
            <w:r w:rsidRPr="00A5626D">
              <w:rPr>
                <w:rFonts w:ascii="Garamond" w:hAnsi="Garamond" w:cstheme="minorHAnsi"/>
                <w:sz w:val="22"/>
                <w:szCs w:val="22"/>
              </w:rPr>
              <w:t>Атрибутами элемента &lt;</w:t>
            </w:r>
            <w:r w:rsidRPr="00A5626D">
              <w:rPr>
                <w:rFonts w:ascii="Garamond" w:hAnsi="Garamond" w:cstheme="minorHAnsi"/>
                <w:b/>
                <w:sz w:val="22"/>
                <w:szCs w:val="22"/>
              </w:rPr>
              <w:t>or</w:t>
            </w:r>
            <w:r w:rsidRPr="00A5626D">
              <w:rPr>
                <w:rFonts w:ascii="Garamond" w:hAnsi="Garamond" w:cstheme="minorHAnsi"/>
                <w:sz w:val="22"/>
                <w:szCs w:val="22"/>
              </w:rPr>
              <w:t>&gt; являются:</w:t>
            </w:r>
          </w:p>
          <w:p w14:paraId="6F2397CA" w14:textId="77777777" w:rsidR="00295C6D" w:rsidRPr="00A5626D" w:rsidRDefault="00295C6D" w:rsidP="00295C6D">
            <w:pPr>
              <w:widowControl w:val="0"/>
              <w:numPr>
                <w:ilvl w:val="0"/>
                <w:numId w:val="240"/>
              </w:numPr>
              <w:tabs>
                <w:tab w:val="left" w:pos="1134"/>
                <w:tab w:val="left" w:pos="7938"/>
              </w:tabs>
              <w:suppressAutoHyphens w:val="0"/>
              <w:autoSpaceDE w:val="0"/>
              <w:autoSpaceDN w:val="0"/>
              <w:adjustRightInd w:val="0"/>
              <w:spacing w:before="60" w:after="60"/>
              <w:ind w:left="0" w:firstLine="456"/>
              <w:jc w:val="both"/>
              <w:rPr>
                <w:rFonts w:ascii="Garamond" w:hAnsi="Garamond" w:cstheme="minorHAnsi"/>
                <w:sz w:val="22"/>
                <w:szCs w:val="22"/>
              </w:rPr>
            </w:pPr>
            <w:r w:rsidRPr="00A5626D">
              <w:rPr>
                <w:rFonts w:ascii="Garamond" w:hAnsi="Garamond" w:cstheme="minorHAnsi"/>
                <w:sz w:val="22"/>
                <w:szCs w:val="22"/>
              </w:rPr>
              <w:t>coefficient – коэффициент, определяющий знак, с которым входит в расчет величина по направлению «приема»/«отдачи» для стороны заявителя. Обязательный атрибут, число длиной до 32 знаков;</w:t>
            </w:r>
          </w:p>
          <w:p w14:paraId="43831BA4" w14:textId="77777777" w:rsidR="00295C6D" w:rsidRPr="00A5626D" w:rsidRDefault="00295C6D" w:rsidP="00295C6D">
            <w:pPr>
              <w:widowControl w:val="0"/>
              <w:numPr>
                <w:ilvl w:val="0"/>
                <w:numId w:val="240"/>
              </w:numPr>
              <w:tabs>
                <w:tab w:val="left" w:pos="1134"/>
                <w:tab w:val="left" w:pos="7938"/>
              </w:tabs>
              <w:suppressAutoHyphens w:val="0"/>
              <w:autoSpaceDE w:val="0"/>
              <w:autoSpaceDN w:val="0"/>
              <w:adjustRightInd w:val="0"/>
              <w:spacing w:before="60" w:after="60"/>
              <w:ind w:left="0" w:firstLine="456"/>
              <w:jc w:val="both"/>
              <w:rPr>
                <w:rFonts w:ascii="Garamond" w:hAnsi="Garamond" w:cstheme="minorHAnsi"/>
                <w:sz w:val="22"/>
                <w:szCs w:val="22"/>
              </w:rPr>
            </w:pPr>
            <w:r w:rsidRPr="00A5626D">
              <w:rPr>
                <w:rFonts w:ascii="Garamond" w:hAnsi="Garamond" w:cstheme="minorHAnsi"/>
                <w:sz w:val="22"/>
                <w:szCs w:val="22"/>
                <w:lang w:val="en-US"/>
              </w:rPr>
              <w:t>id</w:t>
            </w:r>
            <w:r w:rsidRPr="00A5626D">
              <w:rPr>
                <w:rFonts w:ascii="Garamond" w:hAnsi="Garamond" w:cstheme="minorHAnsi"/>
                <w:sz w:val="22"/>
                <w:szCs w:val="22"/>
              </w:rPr>
              <w:t>-</w:t>
            </w:r>
            <w:r w:rsidRPr="00A5626D">
              <w:rPr>
                <w:rFonts w:ascii="Garamond" w:hAnsi="Garamond" w:cstheme="minorHAnsi"/>
                <w:sz w:val="22"/>
                <w:szCs w:val="22"/>
                <w:lang w:val="en-US"/>
              </w:rPr>
              <w:t>org</w:t>
            </w:r>
            <w:r w:rsidRPr="00A5626D">
              <w:rPr>
                <w:rFonts w:ascii="Garamond" w:hAnsi="Garamond" w:cstheme="minorHAnsi"/>
                <w:sz w:val="22"/>
                <w:szCs w:val="22"/>
              </w:rPr>
              <w:t xml:space="preserve"> – ссылка на поставщика информации. Является числом из одного знака, обязательный атрибут;</w:t>
            </w:r>
          </w:p>
          <w:p w14:paraId="17C834C7" w14:textId="769EE6CE" w:rsidR="00295C6D" w:rsidRPr="00A5626D" w:rsidRDefault="00295C6D" w:rsidP="00295C6D">
            <w:pPr>
              <w:widowControl w:val="0"/>
              <w:numPr>
                <w:ilvl w:val="0"/>
                <w:numId w:val="240"/>
              </w:numPr>
              <w:tabs>
                <w:tab w:val="left" w:pos="1134"/>
                <w:tab w:val="left" w:pos="7938"/>
              </w:tabs>
              <w:suppressAutoHyphens w:val="0"/>
              <w:autoSpaceDE w:val="0"/>
              <w:autoSpaceDN w:val="0"/>
              <w:adjustRightInd w:val="0"/>
              <w:spacing w:before="60" w:after="60"/>
              <w:ind w:left="0" w:firstLine="456"/>
              <w:jc w:val="both"/>
              <w:rPr>
                <w:rFonts w:ascii="Garamond" w:hAnsi="Garamond" w:cstheme="minorHAnsi"/>
                <w:sz w:val="22"/>
                <w:szCs w:val="22"/>
              </w:rPr>
            </w:pPr>
            <w:r w:rsidRPr="00A5626D">
              <w:rPr>
                <w:rFonts w:ascii="Garamond" w:hAnsi="Garamond" w:cstheme="minorHAnsi"/>
                <w:sz w:val="22"/>
                <w:szCs w:val="22"/>
                <w:lang w:val="en-US"/>
              </w:rPr>
              <w:t>id</w:t>
            </w:r>
            <w:r w:rsidRPr="00A5626D">
              <w:rPr>
                <w:rFonts w:ascii="Garamond" w:hAnsi="Garamond" w:cstheme="minorHAnsi"/>
                <w:sz w:val="22"/>
                <w:szCs w:val="22"/>
              </w:rPr>
              <w:t>-</w:t>
            </w:r>
            <w:r w:rsidRPr="00A5626D">
              <w:rPr>
                <w:rFonts w:ascii="Garamond" w:hAnsi="Garamond" w:cstheme="minorHAnsi"/>
                <w:sz w:val="22"/>
                <w:szCs w:val="22"/>
                <w:lang w:val="en-US"/>
              </w:rPr>
              <w:t>aiis</w:t>
            </w:r>
            <w:r w:rsidRPr="00A5626D">
              <w:rPr>
                <w:rFonts w:ascii="Garamond" w:hAnsi="Garamond" w:cstheme="minorHAnsi"/>
                <w:sz w:val="22"/>
                <w:szCs w:val="22"/>
              </w:rPr>
              <w:t xml:space="preserve"> – идентификатор АИИС </w:t>
            </w:r>
            <w:r w:rsidRPr="00A5626D">
              <w:rPr>
                <w:rFonts w:ascii="Garamond" w:hAnsi="Garamond" w:cstheme="minorHAnsi"/>
                <w:sz w:val="22"/>
                <w:szCs w:val="22"/>
                <w:highlight w:val="yellow"/>
              </w:rPr>
              <w:t xml:space="preserve">/ </w:t>
            </w:r>
            <w:r w:rsidR="00794ED1">
              <w:rPr>
                <w:rFonts w:ascii="Garamond" w:hAnsi="Garamond" w:cstheme="minorHAnsi"/>
                <w:sz w:val="22"/>
                <w:szCs w:val="22"/>
                <w:highlight w:val="yellow"/>
              </w:rPr>
              <w:t>с</w:t>
            </w:r>
            <w:r w:rsidRPr="00A5626D">
              <w:rPr>
                <w:rFonts w:ascii="Garamond" w:hAnsi="Garamond" w:cstheme="minorHAnsi"/>
                <w:sz w:val="22"/>
                <w:szCs w:val="22"/>
                <w:highlight w:val="yellow"/>
              </w:rPr>
              <w:t>писка ОР</w:t>
            </w:r>
            <w:r w:rsidRPr="00A5626D">
              <w:rPr>
                <w:rFonts w:ascii="Garamond" w:hAnsi="Garamond" w:cstheme="minorHAnsi"/>
                <w:sz w:val="22"/>
                <w:szCs w:val="22"/>
              </w:rPr>
              <w:t>. Обязательный атрибут, состоит из одного знака;</w:t>
            </w:r>
          </w:p>
          <w:p w14:paraId="769D73BB" w14:textId="77777777" w:rsidR="00295C6D" w:rsidRPr="00A5626D" w:rsidRDefault="00295C6D" w:rsidP="00295C6D">
            <w:pPr>
              <w:widowControl w:val="0"/>
              <w:numPr>
                <w:ilvl w:val="0"/>
                <w:numId w:val="240"/>
              </w:numPr>
              <w:tabs>
                <w:tab w:val="left" w:pos="1134"/>
                <w:tab w:val="left" w:pos="7938"/>
              </w:tabs>
              <w:suppressAutoHyphens w:val="0"/>
              <w:autoSpaceDE w:val="0"/>
              <w:autoSpaceDN w:val="0"/>
              <w:adjustRightInd w:val="0"/>
              <w:spacing w:before="60" w:after="60"/>
              <w:ind w:left="0" w:firstLine="456"/>
              <w:jc w:val="both"/>
              <w:rPr>
                <w:rFonts w:ascii="Garamond" w:hAnsi="Garamond" w:cstheme="minorHAnsi"/>
                <w:sz w:val="22"/>
                <w:szCs w:val="22"/>
              </w:rPr>
            </w:pPr>
            <w:r w:rsidRPr="00A5626D">
              <w:rPr>
                <w:rFonts w:ascii="Garamond" w:hAnsi="Garamond" w:cstheme="minorHAnsi"/>
                <w:sz w:val="22"/>
                <w:szCs w:val="22"/>
              </w:rPr>
              <w:t>send-receive – направление перетока. Может принимать только значения «send» или «receive». Обязательный атрибут;</w:t>
            </w:r>
          </w:p>
          <w:p w14:paraId="116DCB0B" w14:textId="77777777" w:rsidR="00295C6D" w:rsidRPr="00A5626D" w:rsidRDefault="00295C6D" w:rsidP="00295C6D">
            <w:pPr>
              <w:widowControl w:val="0"/>
              <w:numPr>
                <w:ilvl w:val="0"/>
                <w:numId w:val="240"/>
              </w:numPr>
              <w:tabs>
                <w:tab w:val="left" w:pos="1134"/>
                <w:tab w:val="left" w:pos="7938"/>
              </w:tabs>
              <w:suppressAutoHyphens w:val="0"/>
              <w:autoSpaceDE w:val="0"/>
              <w:autoSpaceDN w:val="0"/>
              <w:adjustRightInd w:val="0"/>
              <w:spacing w:before="60" w:after="60"/>
              <w:ind w:left="0" w:firstLine="456"/>
              <w:jc w:val="both"/>
              <w:rPr>
                <w:rFonts w:ascii="Garamond" w:hAnsi="Garamond" w:cstheme="minorHAnsi"/>
                <w:sz w:val="22"/>
                <w:szCs w:val="22"/>
              </w:rPr>
            </w:pPr>
            <w:r w:rsidRPr="00A5626D">
              <w:rPr>
                <w:rFonts w:ascii="Garamond" w:hAnsi="Garamond" w:cstheme="minorHAnsi"/>
                <w:sz w:val="22"/>
                <w:szCs w:val="22"/>
              </w:rPr>
              <w:t xml:space="preserve">id-delivery-point – идентификатор точки поставки </w:t>
            </w:r>
            <w:r w:rsidRPr="00A5626D">
              <w:rPr>
                <w:rFonts w:ascii="Garamond" w:hAnsi="Garamond" w:cstheme="minorHAnsi"/>
                <w:sz w:val="22"/>
                <w:szCs w:val="22"/>
                <w:highlight w:val="yellow"/>
              </w:rPr>
              <w:t>(точки присоединения)</w:t>
            </w:r>
            <w:r w:rsidRPr="00A5626D">
              <w:rPr>
                <w:rFonts w:ascii="Garamond" w:hAnsi="Garamond" w:cstheme="minorHAnsi"/>
                <w:sz w:val="22"/>
                <w:szCs w:val="22"/>
              </w:rPr>
              <w:t xml:space="preserve"> в соответствии с элементом &lt;</w:t>
            </w:r>
            <w:r w:rsidRPr="00A5626D">
              <w:rPr>
                <w:rFonts w:ascii="Garamond" w:hAnsi="Garamond" w:cstheme="minorHAnsi"/>
                <w:b/>
                <w:sz w:val="22"/>
                <w:szCs w:val="22"/>
                <w:lang w:val="en-US"/>
              </w:rPr>
              <w:t>delivery</w:t>
            </w:r>
            <w:r w:rsidRPr="00A5626D">
              <w:rPr>
                <w:rFonts w:ascii="Garamond" w:hAnsi="Garamond" w:cstheme="minorHAnsi"/>
                <w:b/>
                <w:sz w:val="22"/>
                <w:szCs w:val="22"/>
              </w:rPr>
              <w:t>-</w:t>
            </w:r>
            <w:r w:rsidRPr="00A5626D">
              <w:rPr>
                <w:rFonts w:ascii="Garamond" w:hAnsi="Garamond" w:cstheme="minorHAnsi"/>
                <w:b/>
                <w:sz w:val="22"/>
                <w:szCs w:val="22"/>
                <w:lang w:val="en-US"/>
              </w:rPr>
              <w:t>point</w:t>
            </w:r>
            <w:r w:rsidRPr="00A5626D">
              <w:rPr>
                <w:rFonts w:ascii="Garamond" w:hAnsi="Garamond" w:cstheme="minorHAnsi"/>
                <w:sz w:val="22"/>
                <w:szCs w:val="22"/>
              </w:rPr>
              <w:t xml:space="preserve">&gt;. Является обязательным атрибутом. Принимает значения из справочника точек поставки </w:t>
            </w:r>
            <w:r w:rsidRPr="00A5626D">
              <w:rPr>
                <w:rFonts w:ascii="Garamond" w:hAnsi="Garamond" w:cstheme="minorHAnsi"/>
                <w:sz w:val="22"/>
                <w:szCs w:val="22"/>
                <w:highlight w:val="yellow"/>
              </w:rPr>
              <w:t>(точек присоединения)</w:t>
            </w:r>
            <w:r w:rsidRPr="00A5626D">
              <w:rPr>
                <w:rFonts w:ascii="Garamond" w:hAnsi="Garamond" w:cstheme="minorHAnsi"/>
                <w:sz w:val="22"/>
                <w:szCs w:val="22"/>
              </w:rPr>
              <w:t xml:space="preserve"> (элемент &lt;</w:t>
            </w:r>
            <w:r w:rsidRPr="00A5626D">
              <w:rPr>
                <w:rFonts w:ascii="Garamond" w:hAnsi="Garamond" w:cstheme="minorHAnsi"/>
                <w:b/>
                <w:sz w:val="22"/>
                <w:szCs w:val="22"/>
                <w:lang w:val="en-US"/>
              </w:rPr>
              <w:t>delivery</w:t>
            </w:r>
            <w:r w:rsidRPr="00A5626D">
              <w:rPr>
                <w:rFonts w:ascii="Garamond" w:hAnsi="Garamond" w:cstheme="minorHAnsi"/>
                <w:b/>
                <w:sz w:val="22"/>
                <w:szCs w:val="22"/>
              </w:rPr>
              <w:t>-</w:t>
            </w:r>
            <w:r w:rsidRPr="00A5626D">
              <w:rPr>
                <w:rFonts w:ascii="Garamond" w:hAnsi="Garamond" w:cstheme="minorHAnsi"/>
                <w:b/>
                <w:sz w:val="22"/>
                <w:szCs w:val="22"/>
                <w:lang w:val="en-US"/>
              </w:rPr>
              <w:t>points</w:t>
            </w:r>
            <w:r w:rsidRPr="00A5626D">
              <w:rPr>
                <w:rFonts w:ascii="Garamond" w:hAnsi="Garamond" w:cstheme="minorHAnsi"/>
                <w:sz w:val="22"/>
                <w:szCs w:val="22"/>
              </w:rPr>
              <w:t>&gt;).</w:t>
            </w:r>
          </w:p>
        </w:tc>
      </w:tr>
      <w:tr w:rsidR="00295C6D" w:rsidRPr="00A5626D" w14:paraId="1C1DA496" w14:textId="77777777" w:rsidTr="00647FA0">
        <w:tc>
          <w:tcPr>
            <w:tcW w:w="1060" w:type="dxa"/>
            <w:vAlign w:val="center"/>
          </w:tcPr>
          <w:p w14:paraId="41E9BF49" w14:textId="17BCD40A" w:rsidR="00295C6D" w:rsidRPr="00A5626D" w:rsidRDefault="00295C6D" w:rsidP="00E31AE6">
            <w:pPr>
              <w:widowControl w:val="0"/>
              <w:tabs>
                <w:tab w:val="left" w:pos="1134"/>
                <w:tab w:val="left" w:pos="7938"/>
              </w:tabs>
              <w:spacing w:line="22" w:lineRule="atLeast"/>
              <w:jc w:val="both"/>
              <w:rPr>
                <w:rFonts w:ascii="Garamond" w:hAnsi="Garamond"/>
                <w:b/>
                <w:sz w:val="22"/>
                <w:szCs w:val="22"/>
                <w:lang w:eastAsia="en-US"/>
              </w:rPr>
            </w:pPr>
            <w:r w:rsidRPr="00A5626D">
              <w:rPr>
                <w:rFonts w:ascii="Garamond" w:hAnsi="Garamond"/>
                <w:b/>
                <w:sz w:val="22"/>
                <w:szCs w:val="22"/>
                <w:lang w:eastAsia="en-US"/>
              </w:rPr>
              <w:t>Приложение 5, п.</w:t>
            </w:r>
            <w:r w:rsidR="00647FA0" w:rsidRPr="00A5626D">
              <w:rPr>
                <w:rFonts w:ascii="Garamond" w:hAnsi="Garamond"/>
                <w:b/>
                <w:sz w:val="22"/>
                <w:szCs w:val="22"/>
                <w:lang w:eastAsia="en-US"/>
              </w:rPr>
              <w:t> </w:t>
            </w:r>
            <w:r w:rsidRPr="00A5626D">
              <w:rPr>
                <w:rFonts w:ascii="Garamond" w:hAnsi="Garamond"/>
                <w:b/>
                <w:sz w:val="22"/>
                <w:szCs w:val="22"/>
                <w:lang w:eastAsia="en-US"/>
              </w:rPr>
              <w:t>4.4.1.2.3.4</w:t>
            </w:r>
          </w:p>
        </w:tc>
        <w:tc>
          <w:tcPr>
            <w:tcW w:w="6662" w:type="dxa"/>
          </w:tcPr>
          <w:p w14:paraId="3F5C397F" w14:textId="77777777" w:rsidR="00295C6D" w:rsidRPr="00A5626D" w:rsidRDefault="00295C6D" w:rsidP="00E31AE6">
            <w:pPr>
              <w:tabs>
                <w:tab w:val="left" w:pos="1134"/>
                <w:tab w:val="left" w:pos="7938"/>
              </w:tabs>
              <w:spacing w:before="120" w:after="120"/>
              <w:ind w:firstLine="456"/>
              <w:jc w:val="both"/>
              <w:rPr>
                <w:rFonts w:ascii="Garamond" w:hAnsi="Garamond" w:cstheme="minorHAnsi"/>
                <w:sz w:val="22"/>
                <w:szCs w:val="22"/>
              </w:rPr>
            </w:pPr>
            <w:r w:rsidRPr="00A5626D">
              <w:rPr>
                <w:rFonts w:ascii="Garamond" w:hAnsi="Garamond" w:cstheme="minorHAnsi"/>
                <w:sz w:val="22"/>
                <w:szCs w:val="22"/>
              </w:rPr>
              <w:t>Отсутствует</w:t>
            </w:r>
          </w:p>
        </w:tc>
        <w:tc>
          <w:tcPr>
            <w:tcW w:w="7088" w:type="dxa"/>
          </w:tcPr>
          <w:p w14:paraId="50169F24" w14:textId="77777777" w:rsidR="00295C6D" w:rsidRPr="00A5626D" w:rsidRDefault="00295C6D" w:rsidP="00E31AE6">
            <w:pPr>
              <w:pStyle w:val="40"/>
              <w:keepLines/>
              <w:numPr>
                <w:ilvl w:val="0"/>
                <w:numId w:val="0"/>
              </w:numPr>
              <w:tabs>
                <w:tab w:val="left" w:pos="1134"/>
                <w:tab w:val="left" w:pos="7938"/>
              </w:tabs>
              <w:suppressAutoHyphens w:val="0"/>
              <w:spacing w:before="40" w:line="259" w:lineRule="auto"/>
              <w:ind w:firstLine="424"/>
              <w:jc w:val="left"/>
              <w:rPr>
                <w:rFonts w:ascii="Garamond" w:hAnsi="Garamond"/>
                <w:sz w:val="22"/>
                <w:szCs w:val="22"/>
                <w:highlight w:val="yellow"/>
              </w:rPr>
            </w:pPr>
            <w:r w:rsidRPr="00A5626D">
              <w:rPr>
                <w:rFonts w:ascii="Garamond" w:hAnsi="Garamond"/>
                <w:sz w:val="22"/>
                <w:szCs w:val="22"/>
                <w:highlight w:val="yellow"/>
              </w:rPr>
              <w:t>&lt;</w:t>
            </w:r>
            <w:r w:rsidRPr="00A5626D">
              <w:rPr>
                <w:rFonts w:ascii="Garamond" w:hAnsi="Garamond"/>
                <w:sz w:val="22"/>
                <w:szCs w:val="22"/>
                <w:highlight w:val="yellow"/>
                <w:lang w:val="en-US"/>
              </w:rPr>
              <w:t>regulation</w:t>
            </w:r>
            <w:r w:rsidRPr="00A5626D">
              <w:rPr>
                <w:rFonts w:ascii="Garamond" w:hAnsi="Garamond"/>
                <w:sz w:val="22"/>
                <w:szCs w:val="22"/>
                <w:highlight w:val="yellow"/>
              </w:rPr>
              <w:t>-</w:t>
            </w:r>
            <w:r w:rsidRPr="00A5626D">
              <w:rPr>
                <w:rFonts w:ascii="Garamond" w:hAnsi="Garamond"/>
                <w:sz w:val="22"/>
                <w:szCs w:val="22"/>
                <w:highlight w:val="yellow"/>
                <w:lang w:val="en-US"/>
              </w:rPr>
              <w:t>object</w:t>
            </w:r>
            <w:r w:rsidRPr="00A5626D">
              <w:rPr>
                <w:rFonts w:ascii="Garamond" w:hAnsi="Garamond"/>
                <w:sz w:val="22"/>
                <w:szCs w:val="22"/>
                <w:highlight w:val="yellow"/>
              </w:rPr>
              <w:t>&gt;</w:t>
            </w:r>
          </w:p>
          <w:p w14:paraId="0EE41866" w14:textId="77777777" w:rsidR="00295C6D" w:rsidRPr="00A5626D" w:rsidRDefault="00295C6D" w:rsidP="00E31AE6">
            <w:pPr>
              <w:tabs>
                <w:tab w:val="left" w:pos="1134"/>
                <w:tab w:val="left" w:pos="7938"/>
              </w:tabs>
              <w:spacing w:before="120" w:after="120"/>
              <w:ind w:firstLine="424"/>
              <w:jc w:val="both"/>
              <w:rPr>
                <w:rFonts w:ascii="Garamond" w:hAnsi="Garamond" w:cs="Times New Roman"/>
                <w:bCs/>
                <w:sz w:val="22"/>
                <w:szCs w:val="22"/>
                <w:highlight w:val="yellow"/>
              </w:rPr>
            </w:pPr>
            <w:r w:rsidRPr="00A5626D">
              <w:rPr>
                <w:rFonts w:ascii="Garamond" w:hAnsi="Garamond" w:cs="Times New Roman"/>
                <w:sz w:val="22"/>
                <w:szCs w:val="22"/>
                <w:highlight w:val="yellow"/>
              </w:rPr>
              <w:t xml:space="preserve">Элемент </w:t>
            </w:r>
            <w:r w:rsidRPr="00A5626D">
              <w:rPr>
                <w:rFonts w:ascii="Garamond" w:eastAsia="Calibri" w:hAnsi="Garamond" w:cs="Times New Roman"/>
                <w:b/>
                <w:sz w:val="22"/>
                <w:szCs w:val="22"/>
                <w:highlight w:val="yellow"/>
              </w:rPr>
              <w:t>&lt;</w:t>
            </w:r>
            <w:r w:rsidRPr="00A5626D">
              <w:rPr>
                <w:rFonts w:ascii="Garamond" w:eastAsia="Calibri" w:hAnsi="Garamond" w:cs="Times New Roman"/>
                <w:b/>
                <w:sz w:val="22"/>
                <w:szCs w:val="22"/>
                <w:highlight w:val="yellow"/>
                <w:lang w:val="en-US"/>
              </w:rPr>
              <w:t>regulation</w:t>
            </w:r>
            <w:r w:rsidRPr="00A5626D">
              <w:rPr>
                <w:rFonts w:ascii="Garamond" w:eastAsia="Calibri" w:hAnsi="Garamond" w:cs="Times New Roman"/>
                <w:b/>
                <w:sz w:val="22"/>
                <w:szCs w:val="22"/>
                <w:highlight w:val="yellow"/>
              </w:rPr>
              <w:t>-</w:t>
            </w:r>
            <w:r w:rsidRPr="00A5626D">
              <w:rPr>
                <w:rFonts w:ascii="Garamond" w:eastAsia="Calibri" w:hAnsi="Garamond" w:cs="Times New Roman"/>
                <w:b/>
                <w:sz w:val="22"/>
                <w:szCs w:val="22"/>
                <w:highlight w:val="yellow"/>
                <w:lang w:val="en-US"/>
              </w:rPr>
              <w:t>object</w:t>
            </w:r>
            <w:r w:rsidRPr="00A5626D">
              <w:rPr>
                <w:rFonts w:ascii="Garamond" w:eastAsia="Calibri" w:hAnsi="Garamond" w:cs="Times New Roman"/>
                <w:b/>
                <w:sz w:val="22"/>
                <w:szCs w:val="22"/>
                <w:highlight w:val="yellow"/>
              </w:rPr>
              <w:t>&gt;</w:t>
            </w:r>
            <w:r w:rsidRPr="00A5626D">
              <w:rPr>
                <w:rFonts w:ascii="Garamond" w:hAnsi="Garamond" w:cs="Times New Roman"/>
                <w:sz w:val="22"/>
                <w:szCs w:val="22"/>
                <w:highlight w:val="yellow"/>
              </w:rPr>
              <w:t xml:space="preserve"> является потомком корневого элемента &lt;</w:t>
            </w:r>
            <w:r w:rsidRPr="00A5626D">
              <w:rPr>
                <w:rFonts w:ascii="Garamond" w:hAnsi="Garamond" w:cs="Times New Roman"/>
                <w:b/>
                <w:sz w:val="22"/>
                <w:szCs w:val="22"/>
                <w:highlight w:val="yellow"/>
                <w:lang w:val="en-US"/>
              </w:rPr>
              <w:t>algorithm</w:t>
            </w:r>
            <w:r w:rsidRPr="00A5626D">
              <w:rPr>
                <w:rFonts w:ascii="Garamond" w:hAnsi="Garamond" w:cs="Times New Roman"/>
                <w:sz w:val="22"/>
                <w:szCs w:val="22"/>
                <w:highlight w:val="yellow"/>
              </w:rPr>
              <w:t>&gt;.</w:t>
            </w:r>
          </w:p>
          <w:p w14:paraId="5F88BF3E" w14:textId="77777777" w:rsidR="00295C6D" w:rsidRPr="00A5626D" w:rsidRDefault="00295C6D" w:rsidP="00E31AE6">
            <w:pPr>
              <w:tabs>
                <w:tab w:val="left" w:pos="1134"/>
                <w:tab w:val="left" w:pos="7938"/>
              </w:tabs>
              <w:spacing w:before="120" w:after="120"/>
              <w:ind w:firstLine="424"/>
              <w:jc w:val="both"/>
              <w:rPr>
                <w:rFonts w:ascii="Garamond" w:hAnsi="Garamond" w:cstheme="minorHAnsi"/>
                <w:sz w:val="22"/>
                <w:szCs w:val="22"/>
              </w:rPr>
            </w:pPr>
            <w:r w:rsidRPr="00A5626D">
              <w:rPr>
                <w:rFonts w:ascii="Garamond" w:hAnsi="Garamond"/>
                <w:sz w:val="22"/>
                <w:szCs w:val="22"/>
                <w:highlight w:val="yellow"/>
              </w:rPr>
              <w:lastRenderedPageBreak/>
              <w:t xml:space="preserve">Элемент </w:t>
            </w:r>
            <w:r w:rsidRPr="00A5626D">
              <w:rPr>
                <w:rFonts w:ascii="Garamond" w:eastAsia="Calibri" w:hAnsi="Garamond" w:cs="Times New Roman"/>
                <w:b/>
                <w:sz w:val="22"/>
                <w:szCs w:val="22"/>
                <w:highlight w:val="yellow"/>
              </w:rPr>
              <w:t>&lt;</w:t>
            </w:r>
            <w:r w:rsidRPr="00A5626D">
              <w:rPr>
                <w:rFonts w:ascii="Garamond" w:eastAsia="Calibri" w:hAnsi="Garamond" w:cs="Times New Roman"/>
                <w:b/>
                <w:sz w:val="22"/>
                <w:szCs w:val="22"/>
                <w:highlight w:val="yellow"/>
                <w:lang w:val="en-US"/>
              </w:rPr>
              <w:t>regulation</w:t>
            </w:r>
            <w:r w:rsidRPr="00A5626D">
              <w:rPr>
                <w:rFonts w:ascii="Garamond" w:eastAsia="Calibri" w:hAnsi="Garamond" w:cs="Times New Roman"/>
                <w:b/>
                <w:sz w:val="22"/>
                <w:szCs w:val="22"/>
                <w:highlight w:val="yellow"/>
              </w:rPr>
              <w:t>-</w:t>
            </w:r>
            <w:r w:rsidRPr="00A5626D">
              <w:rPr>
                <w:rFonts w:ascii="Garamond" w:eastAsia="Calibri" w:hAnsi="Garamond" w:cs="Times New Roman"/>
                <w:b/>
                <w:sz w:val="22"/>
                <w:szCs w:val="22"/>
                <w:highlight w:val="yellow"/>
                <w:lang w:val="en-US"/>
              </w:rPr>
              <w:t>object</w:t>
            </w:r>
            <w:r w:rsidRPr="00A5626D">
              <w:rPr>
                <w:rFonts w:ascii="Garamond" w:eastAsia="Calibri" w:hAnsi="Garamond" w:cs="Times New Roman"/>
                <w:b/>
                <w:sz w:val="22"/>
                <w:szCs w:val="22"/>
                <w:highlight w:val="yellow"/>
              </w:rPr>
              <w:t>&gt;</w:t>
            </w:r>
            <w:r w:rsidRPr="00A5626D">
              <w:rPr>
                <w:rFonts w:ascii="Garamond" w:hAnsi="Garamond"/>
                <w:sz w:val="22"/>
                <w:szCs w:val="22"/>
                <w:highlight w:val="yellow"/>
              </w:rPr>
              <w:t xml:space="preserve"> содержит информацию об ОР, в отношении которого необходимо произвести кодирование. Атрибуты и потомки элемента </w:t>
            </w:r>
            <w:r w:rsidRPr="00A5626D">
              <w:rPr>
                <w:rFonts w:ascii="Garamond" w:eastAsia="Calibri" w:hAnsi="Garamond" w:cs="Times New Roman"/>
                <w:b/>
                <w:sz w:val="22"/>
                <w:szCs w:val="22"/>
                <w:highlight w:val="yellow"/>
              </w:rPr>
              <w:t>&lt;</w:t>
            </w:r>
            <w:r w:rsidRPr="00A5626D">
              <w:rPr>
                <w:rFonts w:ascii="Garamond" w:eastAsia="Calibri" w:hAnsi="Garamond" w:cs="Times New Roman"/>
                <w:b/>
                <w:sz w:val="22"/>
                <w:szCs w:val="22"/>
                <w:highlight w:val="yellow"/>
                <w:lang w:val="en-US"/>
              </w:rPr>
              <w:t>regulation</w:t>
            </w:r>
            <w:r w:rsidRPr="00A5626D">
              <w:rPr>
                <w:rFonts w:ascii="Garamond" w:eastAsia="Calibri" w:hAnsi="Garamond" w:cs="Times New Roman"/>
                <w:b/>
                <w:sz w:val="22"/>
                <w:szCs w:val="22"/>
                <w:highlight w:val="yellow"/>
              </w:rPr>
              <w:t>-</w:t>
            </w:r>
            <w:r w:rsidRPr="00A5626D">
              <w:rPr>
                <w:rFonts w:ascii="Garamond" w:eastAsia="Calibri" w:hAnsi="Garamond" w:cs="Times New Roman"/>
                <w:b/>
                <w:sz w:val="22"/>
                <w:szCs w:val="22"/>
                <w:highlight w:val="yellow"/>
                <w:lang w:val="en-US"/>
              </w:rPr>
              <w:t>object</w:t>
            </w:r>
            <w:r w:rsidRPr="00A5626D">
              <w:rPr>
                <w:rFonts w:ascii="Garamond" w:eastAsia="Calibri" w:hAnsi="Garamond" w:cs="Times New Roman"/>
                <w:b/>
                <w:sz w:val="22"/>
                <w:szCs w:val="22"/>
                <w:highlight w:val="yellow"/>
              </w:rPr>
              <w:t>&gt;</w:t>
            </w:r>
            <w:r w:rsidRPr="00A5626D">
              <w:rPr>
                <w:rFonts w:ascii="Garamond" w:eastAsia="Calibri" w:hAnsi="Garamond" w:cs="Times New Roman"/>
                <w:sz w:val="22"/>
                <w:szCs w:val="22"/>
                <w:highlight w:val="yellow"/>
              </w:rPr>
              <w:t xml:space="preserve"> полностью аналогичны элементу </w:t>
            </w:r>
            <w:r w:rsidRPr="00A5626D">
              <w:rPr>
                <w:rFonts w:ascii="Garamond" w:eastAsia="Calibri" w:hAnsi="Garamond" w:cs="Times New Roman"/>
                <w:b/>
                <w:sz w:val="22"/>
                <w:szCs w:val="22"/>
                <w:highlight w:val="yellow"/>
              </w:rPr>
              <w:t>&lt;</w:t>
            </w:r>
            <w:r w:rsidRPr="00A5626D">
              <w:rPr>
                <w:rFonts w:ascii="Garamond" w:eastAsia="Calibri" w:hAnsi="Garamond" w:cs="Times New Roman"/>
                <w:b/>
                <w:sz w:val="22"/>
                <w:szCs w:val="22"/>
                <w:highlight w:val="yellow"/>
                <w:lang w:val="en-US"/>
              </w:rPr>
              <w:t>generation</w:t>
            </w:r>
            <w:r w:rsidRPr="00A5626D">
              <w:rPr>
                <w:rFonts w:ascii="Garamond" w:eastAsia="Calibri" w:hAnsi="Garamond" w:cs="Times New Roman"/>
                <w:b/>
                <w:sz w:val="22"/>
                <w:szCs w:val="22"/>
                <w:highlight w:val="yellow"/>
              </w:rPr>
              <w:t>&gt;</w:t>
            </w:r>
            <w:r w:rsidRPr="00A5626D">
              <w:rPr>
                <w:rFonts w:ascii="Garamond" w:eastAsia="Calibri" w:hAnsi="Garamond" w:cs="Times New Roman"/>
                <w:sz w:val="22"/>
                <w:szCs w:val="22"/>
                <w:highlight w:val="yellow"/>
              </w:rPr>
              <w:t>.</w:t>
            </w:r>
          </w:p>
        </w:tc>
      </w:tr>
      <w:tr w:rsidR="00295C6D" w:rsidRPr="00A5626D" w14:paraId="36E7A7D7" w14:textId="77777777" w:rsidTr="00647FA0">
        <w:tc>
          <w:tcPr>
            <w:tcW w:w="1060" w:type="dxa"/>
            <w:vAlign w:val="center"/>
          </w:tcPr>
          <w:p w14:paraId="383FDA05" w14:textId="57784472" w:rsidR="00295C6D" w:rsidRPr="00A5626D" w:rsidRDefault="00295C6D" w:rsidP="00E31AE6">
            <w:pPr>
              <w:widowControl w:val="0"/>
              <w:tabs>
                <w:tab w:val="left" w:pos="1134"/>
                <w:tab w:val="left" w:pos="7938"/>
              </w:tabs>
              <w:spacing w:line="22" w:lineRule="atLeast"/>
              <w:jc w:val="both"/>
              <w:rPr>
                <w:rFonts w:ascii="Garamond" w:hAnsi="Garamond"/>
                <w:b/>
                <w:sz w:val="22"/>
                <w:szCs w:val="22"/>
                <w:lang w:eastAsia="en-US"/>
              </w:rPr>
            </w:pPr>
            <w:r w:rsidRPr="00A5626D">
              <w:rPr>
                <w:rFonts w:ascii="Garamond" w:hAnsi="Garamond"/>
                <w:b/>
                <w:sz w:val="22"/>
                <w:szCs w:val="22"/>
                <w:lang w:eastAsia="en-US"/>
              </w:rPr>
              <w:lastRenderedPageBreak/>
              <w:t>Приложение 5, п.</w:t>
            </w:r>
            <w:r w:rsidR="00647FA0" w:rsidRPr="00A5626D">
              <w:rPr>
                <w:rFonts w:ascii="Garamond" w:hAnsi="Garamond"/>
                <w:b/>
                <w:sz w:val="22"/>
                <w:szCs w:val="22"/>
                <w:lang w:eastAsia="en-US"/>
              </w:rPr>
              <w:t> </w:t>
            </w:r>
            <w:r w:rsidRPr="00A5626D">
              <w:rPr>
                <w:rFonts w:ascii="Garamond" w:hAnsi="Garamond"/>
                <w:b/>
                <w:sz w:val="22"/>
                <w:szCs w:val="22"/>
                <w:lang w:eastAsia="en-US"/>
              </w:rPr>
              <w:t>4.4.1.2.4</w:t>
            </w:r>
            <w:r w:rsidR="009B5F03" w:rsidRPr="00A5626D">
              <w:rPr>
                <w:rFonts w:ascii="Garamond" w:hAnsi="Garamond"/>
                <w:b/>
                <w:bCs/>
                <w:sz w:val="22"/>
                <w:szCs w:val="22"/>
              </w:rPr>
              <w:t xml:space="preserve"> </w:t>
            </w:r>
          </w:p>
        </w:tc>
        <w:tc>
          <w:tcPr>
            <w:tcW w:w="6662" w:type="dxa"/>
          </w:tcPr>
          <w:p w14:paraId="049BCF42" w14:textId="77777777" w:rsidR="00295C6D" w:rsidRPr="00A5626D" w:rsidRDefault="00295C6D" w:rsidP="00E31AE6">
            <w:pPr>
              <w:tabs>
                <w:tab w:val="left" w:pos="1134"/>
                <w:tab w:val="left" w:pos="7938"/>
              </w:tabs>
              <w:ind w:firstLine="456"/>
              <w:rPr>
                <w:rFonts w:ascii="Garamond" w:hAnsi="Garamond" w:cstheme="minorHAnsi"/>
                <w:b/>
                <w:bCs/>
                <w:sz w:val="22"/>
                <w:szCs w:val="22"/>
              </w:rPr>
            </w:pPr>
            <w:r w:rsidRPr="00A5626D">
              <w:rPr>
                <w:rFonts w:ascii="Garamond" w:hAnsi="Garamond" w:cstheme="minorHAnsi"/>
                <w:b/>
                <w:bCs/>
                <w:sz w:val="22"/>
                <w:szCs w:val="22"/>
              </w:rPr>
              <w:t>&lt;psi&gt;</w:t>
            </w:r>
          </w:p>
          <w:p w14:paraId="686AB77E" w14:textId="77777777" w:rsidR="00295C6D" w:rsidRPr="00A5626D" w:rsidRDefault="00295C6D" w:rsidP="00E31AE6">
            <w:pPr>
              <w:tabs>
                <w:tab w:val="left" w:pos="1134"/>
                <w:tab w:val="left" w:pos="7938"/>
              </w:tabs>
              <w:spacing w:before="120" w:after="120"/>
              <w:ind w:firstLine="456"/>
              <w:jc w:val="both"/>
              <w:rPr>
                <w:rFonts w:ascii="Garamond" w:hAnsi="Garamond" w:cstheme="minorHAnsi"/>
                <w:sz w:val="22"/>
                <w:szCs w:val="22"/>
              </w:rPr>
            </w:pPr>
            <w:r w:rsidRPr="00A5626D">
              <w:rPr>
                <w:rFonts w:ascii="Garamond" w:hAnsi="Garamond" w:cstheme="minorHAnsi"/>
                <w:sz w:val="22"/>
                <w:szCs w:val="22"/>
              </w:rPr>
              <w:t>Элемент &lt;</w:t>
            </w:r>
            <w:r w:rsidRPr="00A5626D">
              <w:rPr>
                <w:rFonts w:ascii="Garamond" w:hAnsi="Garamond" w:cstheme="minorHAnsi"/>
                <w:b/>
                <w:sz w:val="22"/>
                <w:szCs w:val="22"/>
              </w:rPr>
              <w:t>psi</w:t>
            </w:r>
            <w:r w:rsidRPr="00A5626D">
              <w:rPr>
                <w:rFonts w:ascii="Garamond" w:hAnsi="Garamond" w:cstheme="minorHAnsi"/>
                <w:sz w:val="22"/>
                <w:szCs w:val="22"/>
              </w:rPr>
              <w:t>&gt; является потомком корневого элемента &lt;</w:t>
            </w:r>
            <w:r w:rsidRPr="00A5626D">
              <w:rPr>
                <w:rFonts w:ascii="Garamond" w:hAnsi="Garamond" w:cstheme="minorHAnsi"/>
                <w:b/>
                <w:sz w:val="22"/>
                <w:szCs w:val="22"/>
                <w:lang w:val="en-US"/>
              </w:rPr>
              <w:t>body</w:t>
            </w:r>
            <w:r w:rsidRPr="00A5626D">
              <w:rPr>
                <w:rFonts w:ascii="Garamond" w:hAnsi="Garamond" w:cstheme="minorHAnsi"/>
                <w:sz w:val="22"/>
                <w:szCs w:val="22"/>
              </w:rPr>
              <w:t>&gt;. Является обязательным элементом.</w:t>
            </w:r>
            <w:r w:rsidRPr="00A5626D">
              <w:rPr>
                <w:rFonts w:ascii="Garamond" w:hAnsi="Garamond" w:cstheme="minorHAnsi"/>
                <w:bCs/>
                <w:sz w:val="22"/>
                <w:szCs w:val="22"/>
              </w:rPr>
              <w:t xml:space="preserve"> В документе должен быть только один элемент &lt;</w:t>
            </w:r>
            <w:r w:rsidRPr="00A5626D">
              <w:rPr>
                <w:rFonts w:ascii="Garamond" w:hAnsi="Garamond" w:cstheme="minorHAnsi"/>
                <w:b/>
                <w:bCs/>
                <w:sz w:val="22"/>
                <w:szCs w:val="22"/>
              </w:rPr>
              <w:t>psi</w:t>
            </w:r>
            <w:r w:rsidRPr="00A5626D">
              <w:rPr>
                <w:rFonts w:ascii="Garamond" w:hAnsi="Garamond" w:cstheme="minorHAnsi"/>
                <w:bCs/>
                <w:sz w:val="22"/>
                <w:szCs w:val="22"/>
              </w:rPr>
              <w:t>&gt;.</w:t>
            </w:r>
          </w:p>
          <w:p w14:paraId="610E5688" w14:textId="77777777" w:rsidR="00295C6D" w:rsidRPr="00A5626D" w:rsidRDefault="00295C6D" w:rsidP="00E31AE6">
            <w:pPr>
              <w:tabs>
                <w:tab w:val="left" w:pos="1134"/>
                <w:tab w:val="left" w:pos="7938"/>
              </w:tabs>
              <w:spacing w:before="120" w:after="120"/>
              <w:ind w:firstLine="456"/>
              <w:jc w:val="both"/>
              <w:rPr>
                <w:rFonts w:ascii="Garamond" w:hAnsi="Garamond" w:cstheme="minorHAnsi"/>
                <w:sz w:val="22"/>
                <w:szCs w:val="22"/>
              </w:rPr>
            </w:pPr>
            <w:r w:rsidRPr="00A5626D">
              <w:rPr>
                <w:rFonts w:ascii="Garamond" w:hAnsi="Garamond" w:cstheme="minorHAnsi"/>
                <w:sz w:val="22"/>
                <w:szCs w:val="22"/>
              </w:rPr>
              <w:t xml:space="preserve">Описывает </w:t>
            </w:r>
            <w:r w:rsidRPr="00A5626D">
              <w:rPr>
                <w:rFonts w:ascii="Garamond" w:hAnsi="Garamond" w:cstheme="minorHAnsi"/>
                <w:bCs/>
                <w:sz w:val="22"/>
                <w:szCs w:val="22"/>
              </w:rPr>
              <w:t>связи</w:t>
            </w:r>
            <w:r w:rsidRPr="00A5626D">
              <w:rPr>
                <w:rFonts w:ascii="Garamond" w:hAnsi="Garamond" w:cstheme="minorHAnsi"/>
                <w:sz w:val="22"/>
                <w:szCs w:val="22"/>
              </w:rPr>
              <w:t xml:space="preserve"> ТИ </w:t>
            </w:r>
            <w:r w:rsidRPr="00A5626D">
              <w:rPr>
                <w:rFonts w:ascii="Garamond" w:hAnsi="Garamond" w:cstheme="minorHAnsi"/>
                <w:bCs/>
                <w:sz w:val="22"/>
                <w:szCs w:val="22"/>
              </w:rPr>
              <w:t>и ТП в части ПСИ, а также отнесение ТИ к типам</w:t>
            </w:r>
            <w:r w:rsidRPr="00A5626D">
              <w:rPr>
                <w:rFonts w:ascii="Garamond" w:hAnsi="Garamond" w:cstheme="minorHAnsi"/>
                <w:sz w:val="22"/>
                <w:szCs w:val="22"/>
              </w:rPr>
              <w:t xml:space="preserve"> ОИП </w:t>
            </w:r>
            <w:r w:rsidRPr="00A5626D">
              <w:rPr>
                <w:rFonts w:ascii="Garamond" w:hAnsi="Garamond" w:cstheme="minorHAnsi"/>
                <w:bCs/>
                <w:sz w:val="22"/>
                <w:szCs w:val="22"/>
              </w:rPr>
              <w:t>/</w:t>
            </w:r>
            <w:r w:rsidRPr="00A5626D">
              <w:rPr>
                <w:rFonts w:ascii="Garamond" w:hAnsi="Garamond" w:cstheme="minorHAnsi"/>
                <w:sz w:val="22"/>
                <w:szCs w:val="22"/>
              </w:rPr>
              <w:t xml:space="preserve"> РИП. Содержит атрибут:</w:t>
            </w:r>
          </w:p>
          <w:p w14:paraId="7E1A7F9C" w14:textId="77777777" w:rsidR="00295C6D" w:rsidRPr="00A5626D" w:rsidRDefault="00295C6D" w:rsidP="00295C6D">
            <w:pPr>
              <w:widowControl w:val="0"/>
              <w:numPr>
                <w:ilvl w:val="0"/>
                <w:numId w:val="240"/>
              </w:numPr>
              <w:tabs>
                <w:tab w:val="left" w:pos="1134"/>
                <w:tab w:val="left" w:pos="7938"/>
              </w:tabs>
              <w:suppressAutoHyphens w:val="0"/>
              <w:autoSpaceDE w:val="0"/>
              <w:autoSpaceDN w:val="0"/>
              <w:adjustRightInd w:val="0"/>
              <w:spacing w:before="60" w:after="60"/>
              <w:ind w:left="0" w:firstLine="456"/>
              <w:jc w:val="both"/>
              <w:rPr>
                <w:rFonts w:ascii="Garamond" w:hAnsi="Garamond" w:cstheme="minorHAnsi"/>
                <w:sz w:val="22"/>
                <w:szCs w:val="22"/>
              </w:rPr>
            </w:pPr>
            <w:r w:rsidRPr="00A5626D">
              <w:rPr>
                <w:rFonts w:ascii="Garamond" w:hAnsi="Garamond" w:cstheme="minorHAnsi"/>
                <w:sz w:val="22"/>
                <w:szCs w:val="22"/>
              </w:rPr>
              <w:t xml:space="preserve">calc-side – атрибут, указывающий на стороны, вычисляющие величину электроэнергии в ТП и предоставляющие отчетность по данному сечению. Может принимать значения «1», если это только сторона заявителя, «2» – только сторона смежного субъекта, «3» – обе стороны. </w:t>
            </w:r>
          </w:p>
          <w:p w14:paraId="599E8C91" w14:textId="77777777" w:rsidR="00295C6D" w:rsidRPr="00A5626D" w:rsidRDefault="00295C6D" w:rsidP="00E31AE6">
            <w:pPr>
              <w:tabs>
                <w:tab w:val="left" w:pos="1134"/>
                <w:tab w:val="left" w:pos="7938"/>
              </w:tabs>
              <w:spacing w:before="120" w:after="120"/>
              <w:ind w:firstLine="456"/>
              <w:jc w:val="both"/>
              <w:rPr>
                <w:rFonts w:ascii="Garamond" w:hAnsi="Garamond" w:cstheme="minorHAnsi"/>
                <w:sz w:val="22"/>
                <w:szCs w:val="22"/>
                <w:lang w:val="en-US"/>
              </w:rPr>
            </w:pPr>
            <w:r w:rsidRPr="00A5626D">
              <w:rPr>
                <w:rFonts w:ascii="Garamond" w:hAnsi="Garamond" w:cstheme="minorHAnsi"/>
                <w:sz w:val="22"/>
                <w:szCs w:val="22"/>
              </w:rPr>
              <w:t>Потомками</w:t>
            </w:r>
            <w:r w:rsidRPr="00A5626D">
              <w:rPr>
                <w:rFonts w:ascii="Garamond" w:hAnsi="Garamond" w:cstheme="minorHAnsi"/>
                <w:sz w:val="22"/>
                <w:szCs w:val="22"/>
                <w:lang w:val="en-US"/>
              </w:rPr>
              <w:t xml:space="preserve"> </w:t>
            </w:r>
            <w:r w:rsidRPr="00A5626D">
              <w:rPr>
                <w:rFonts w:ascii="Garamond" w:hAnsi="Garamond" w:cstheme="minorHAnsi"/>
                <w:sz w:val="22"/>
                <w:szCs w:val="22"/>
              </w:rPr>
              <w:t>элемента</w:t>
            </w:r>
            <w:r w:rsidRPr="00A5626D">
              <w:rPr>
                <w:rFonts w:ascii="Garamond" w:hAnsi="Garamond" w:cstheme="minorHAnsi"/>
                <w:sz w:val="22"/>
                <w:szCs w:val="22"/>
                <w:lang w:val="en-US"/>
              </w:rPr>
              <w:t xml:space="preserve"> &lt;</w:t>
            </w:r>
            <w:r w:rsidRPr="00A5626D">
              <w:rPr>
                <w:rFonts w:ascii="Garamond" w:hAnsi="Garamond" w:cstheme="minorHAnsi"/>
                <w:b/>
                <w:sz w:val="22"/>
                <w:szCs w:val="22"/>
                <w:lang w:val="en-US"/>
              </w:rPr>
              <w:t>psi</w:t>
            </w:r>
            <w:r w:rsidRPr="00A5626D">
              <w:rPr>
                <w:rFonts w:ascii="Garamond" w:hAnsi="Garamond" w:cstheme="minorHAnsi"/>
                <w:sz w:val="22"/>
                <w:szCs w:val="22"/>
                <w:lang w:val="en-US"/>
              </w:rPr>
              <w:t>&gt; являются элементы: &lt;</w:t>
            </w:r>
            <w:r w:rsidRPr="00A5626D">
              <w:rPr>
                <w:rFonts w:ascii="Garamond" w:hAnsi="Garamond" w:cstheme="minorHAnsi"/>
                <w:b/>
                <w:sz w:val="22"/>
                <w:szCs w:val="22"/>
                <w:lang w:val="en-US"/>
              </w:rPr>
              <w:t>delivery-point-measuring-device-link</w:t>
            </w:r>
            <w:r w:rsidRPr="00A5626D">
              <w:rPr>
                <w:rFonts w:ascii="Garamond" w:hAnsi="Garamond" w:cstheme="minorHAnsi"/>
                <w:sz w:val="22"/>
                <w:szCs w:val="22"/>
                <w:lang w:val="en-US"/>
              </w:rPr>
              <w:t>&gt;, &lt;</w:t>
            </w:r>
            <w:r w:rsidRPr="00A5626D">
              <w:rPr>
                <w:rFonts w:ascii="Garamond" w:hAnsi="Garamond" w:cstheme="minorHAnsi"/>
                <w:b/>
                <w:sz w:val="22"/>
                <w:szCs w:val="22"/>
                <w:lang w:val="en-US"/>
              </w:rPr>
              <w:t>comment</w:t>
            </w:r>
            <w:r w:rsidRPr="00A5626D">
              <w:rPr>
                <w:rFonts w:ascii="Garamond" w:hAnsi="Garamond" w:cstheme="minorHAnsi"/>
                <w:sz w:val="22"/>
                <w:szCs w:val="22"/>
                <w:lang w:val="en-US"/>
              </w:rPr>
              <w:t xml:space="preserve">&gt; </w:t>
            </w:r>
            <w:r w:rsidRPr="00A5626D">
              <w:rPr>
                <w:rFonts w:ascii="Garamond" w:hAnsi="Garamond" w:cstheme="minorHAnsi"/>
                <w:sz w:val="22"/>
                <w:szCs w:val="22"/>
              </w:rPr>
              <w:t>и</w:t>
            </w:r>
            <w:r w:rsidRPr="00A5626D">
              <w:rPr>
                <w:rFonts w:ascii="Garamond" w:hAnsi="Garamond" w:cstheme="minorHAnsi"/>
                <w:sz w:val="22"/>
                <w:szCs w:val="22"/>
                <w:lang w:val="en-US"/>
              </w:rPr>
              <w:t xml:space="preserve"> &lt;</w:t>
            </w:r>
            <w:r w:rsidRPr="00A5626D">
              <w:rPr>
                <w:rFonts w:ascii="Garamond" w:hAnsi="Garamond" w:cstheme="minorHAnsi"/>
                <w:b/>
                <w:sz w:val="22"/>
                <w:szCs w:val="22"/>
                <w:lang w:val="en-US"/>
              </w:rPr>
              <w:t>so-comment</w:t>
            </w:r>
            <w:r w:rsidRPr="00A5626D">
              <w:rPr>
                <w:rFonts w:ascii="Garamond" w:hAnsi="Garamond" w:cstheme="minorHAnsi"/>
                <w:sz w:val="22"/>
                <w:szCs w:val="22"/>
                <w:lang w:val="en-US"/>
              </w:rPr>
              <w:t>&gt;.</w:t>
            </w:r>
          </w:p>
        </w:tc>
        <w:tc>
          <w:tcPr>
            <w:tcW w:w="7088" w:type="dxa"/>
          </w:tcPr>
          <w:p w14:paraId="32836B1F" w14:textId="77777777" w:rsidR="00295C6D" w:rsidRPr="00A5626D" w:rsidRDefault="00295C6D" w:rsidP="00E31AE6">
            <w:pPr>
              <w:tabs>
                <w:tab w:val="left" w:pos="1134"/>
                <w:tab w:val="left" w:pos="7938"/>
              </w:tabs>
              <w:ind w:firstLine="456"/>
              <w:rPr>
                <w:rFonts w:ascii="Garamond" w:hAnsi="Garamond" w:cstheme="minorHAnsi"/>
                <w:b/>
                <w:bCs/>
                <w:sz w:val="22"/>
                <w:szCs w:val="22"/>
              </w:rPr>
            </w:pPr>
            <w:r w:rsidRPr="00A5626D">
              <w:rPr>
                <w:rFonts w:ascii="Garamond" w:hAnsi="Garamond" w:cstheme="minorHAnsi"/>
                <w:b/>
                <w:bCs/>
                <w:sz w:val="22"/>
                <w:szCs w:val="22"/>
              </w:rPr>
              <w:t>&lt;psi&gt;</w:t>
            </w:r>
          </w:p>
          <w:p w14:paraId="76B152EF" w14:textId="77777777" w:rsidR="00295C6D" w:rsidRPr="00A5626D" w:rsidRDefault="00295C6D" w:rsidP="00E31AE6">
            <w:pPr>
              <w:tabs>
                <w:tab w:val="left" w:pos="1134"/>
                <w:tab w:val="left" w:pos="7938"/>
              </w:tabs>
              <w:spacing w:before="120" w:after="120"/>
              <w:ind w:firstLine="456"/>
              <w:jc w:val="both"/>
              <w:rPr>
                <w:rFonts w:ascii="Garamond" w:hAnsi="Garamond" w:cstheme="minorHAnsi"/>
                <w:sz w:val="22"/>
                <w:szCs w:val="22"/>
              </w:rPr>
            </w:pPr>
            <w:r w:rsidRPr="00A5626D">
              <w:rPr>
                <w:rFonts w:ascii="Garamond" w:hAnsi="Garamond" w:cstheme="minorHAnsi"/>
                <w:sz w:val="22"/>
                <w:szCs w:val="22"/>
              </w:rPr>
              <w:t>Элемент &lt;</w:t>
            </w:r>
            <w:r w:rsidRPr="00A5626D">
              <w:rPr>
                <w:rFonts w:ascii="Garamond" w:hAnsi="Garamond" w:cstheme="minorHAnsi"/>
                <w:b/>
                <w:sz w:val="22"/>
                <w:szCs w:val="22"/>
              </w:rPr>
              <w:t>psi</w:t>
            </w:r>
            <w:r w:rsidRPr="00A5626D">
              <w:rPr>
                <w:rFonts w:ascii="Garamond" w:hAnsi="Garamond" w:cstheme="minorHAnsi"/>
                <w:sz w:val="22"/>
                <w:szCs w:val="22"/>
              </w:rPr>
              <w:t>&gt; является потомком корневого элемента &lt;</w:t>
            </w:r>
            <w:r w:rsidRPr="00A5626D">
              <w:rPr>
                <w:rFonts w:ascii="Garamond" w:hAnsi="Garamond" w:cstheme="minorHAnsi"/>
                <w:b/>
                <w:sz w:val="22"/>
                <w:szCs w:val="22"/>
                <w:lang w:val="en-US"/>
              </w:rPr>
              <w:t>body</w:t>
            </w:r>
            <w:r w:rsidRPr="00A5626D">
              <w:rPr>
                <w:rFonts w:ascii="Garamond" w:hAnsi="Garamond" w:cstheme="minorHAnsi"/>
                <w:sz w:val="22"/>
                <w:szCs w:val="22"/>
              </w:rPr>
              <w:t>&gt;. Является обязательным элементом.</w:t>
            </w:r>
            <w:r w:rsidRPr="00A5626D">
              <w:rPr>
                <w:rFonts w:ascii="Garamond" w:hAnsi="Garamond" w:cstheme="minorHAnsi"/>
                <w:bCs/>
                <w:sz w:val="22"/>
                <w:szCs w:val="22"/>
              </w:rPr>
              <w:t xml:space="preserve"> В документе должен быть только один элемент &lt;</w:t>
            </w:r>
            <w:r w:rsidRPr="00A5626D">
              <w:rPr>
                <w:rFonts w:ascii="Garamond" w:hAnsi="Garamond" w:cstheme="minorHAnsi"/>
                <w:b/>
                <w:bCs/>
                <w:sz w:val="22"/>
                <w:szCs w:val="22"/>
              </w:rPr>
              <w:t>psi</w:t>
            </w:r>
            <w:r w:rsidRPr="00A5626D">
              <w:rPr>
                <w:rFonts w:ascii="Garamond" w:hAnsi="Garamond" w:cstheme="minorHAnsi"/>
                <w:bCs/>
                <w:sz w:val="22"/>
                <w:szCs w:val="22"/>
              </w:rPr>
              <w:t>&gt;.</w:t>
            </w:r>
          </w:p>
          <w:p w14:paraId="0BC79064" w14:textId="77777777" w:rsidR="00295C6D" w:rsidRPr="00A5626D" w:rsidRDefault="00295C6D" w:rsidP="00E31AE6">
            <w:pPr>
              <w:tabs>
                <w:tab w:val="left" w:pos="1134"/>
                <w:tab w:val="left" w:pos="7938"/>
              </w:tabs>
              <w:spacing w:before="120" w:after="120"/>
              <w:ind w:firstLine="456"/>
              <w:jc w:val="both"/>
              <w:rPr>
                <w:rFonts w:ascii="Garamond" w:hAnsi="Garamond" w:cstheme="minorHAnsi"/>
                <w:sz w:val="22"/>
                <w:szCs w:val="22"/>
              </w:rPr>
            </w:pPr>
            <w:r w:rsidRPr="00A5626D">
              <w:rPr>
                <w:rFonts w:ascii="Garamond" w:hAnsi="Garamond" w:cstheme="minorHAnsi"/>
                <w:sz w:val="22"/>
                <w:szCs w:val="22"/>
              </w:rPr>
              <w:t xml:space="preserve">Описывает </w:t>
            </w:r>
            <w:r w:rsidRPr="00A5626D">
              <w:rPr>
                <w:rFonts w:ascii="Garamond" w:hAnsi="Garamond" w:cstheme="minorHAnsi"/>
                <w:bCs/>
                <w:sz w:val="22"/>
                <w:szCs w:val="22"/>
              </w:rPr>
              <w:t>связи</w:t>
            </w:r>
            <w:r w:rsidRPr="00A5626D">
              <w:rPr>
                <w:rFonts w:ascii="Garamond" w:hAnsi="Garamond" w:cstheme="minorHAnsi"/>
                <w:sz w:val="22"/>
                <w:szCs w:val="22"/>
              </w:rPr>
              <w:t xml:space="preserve"> ТИ </w:t>
            </w:r>
            <w:r w:rsidRPr="00A5626D">
              <w:rPr>
                <w:rFonts w:ascii="Garamond" w:hAnsi="Garamond" w:cstheme="minorHAnsi"/>
                <w:bCs/>
                <w:sz w:val="22"/>
                <w:szCs w:val="22"/>
              </w:rPr>
              <w:t>и ТП в части ПСИ, а также отнесение ТИ к типам</w:t>
            </w:r>
            <w:r w:rsidRPr="00A5626D">
              <w:rPr>
                <w:rFonts w:ascii="Garamond" w:hAnsi="Garamond" w:cstheme="minorHAnsi"/>
                <w:sz w:val="22"/>
                <w:szCs w:val="22"/>
              </w:rPr>
              <w:t xml:space="preserve"> ОИП </w:t>
            </w:r>
            <w:r w:rsidRPr="00A5626D">
              <w:rPr>
                <w:rFonts w:ascii="Garamond" w:hAnsi="Garamond" w:cstheme="minorHAnsi"/>
                <w:bCs/>
                <w:sz w:val="22"/>
                <w:szCs w:val="22"/>
              </w:rPr>
              <w:t>/</w:t>
            </w:r>
            <w:r w:rsidRPr="00A5626D">
              <w:rPr>
                <w:rFonts w:ascii="Garamond" w:hAnsi="Garamond" w:cstheme="minorHAnsi"/>
                <w:sz w:val="22"/>
                <w:szCs w:val="22"/>
              </w:rPr>
              <w:t xml:space="preserve"> РИП. Содержит атрибут:</w:t>
            </w:r>
          </w:p>
          <w:p w14:paraId="01FAFFA8" w14:textId="3B14E1E2" w:rsidR="00295C6D" w:rsidRPr="00A5626D" w:rsidRDefault="009B5F03" w:rsidP="00E31AE6">
            <w:pPr>
              <w:tabs>
                <w:tab w:val="left" w:pos="1134"/>
                <w:tab w:val="left" w:pos="7938"/>
              </w:tabs>
              <w:spacing w:before="120" w:after="120"/>
              <w:ind w:firstLine="456"/>
              <w:jc w:val="both"/>
              <w:rPr>
                <w:rFonts w:ascii="Garamond" w:hAnsi="Garamond" w:cstheme="minorHAnsi"/>
                <w:sz w:val="22"/>
                <w:szCs w:val="22"/>
              </w:rPr>
            </w:pPr>
            <w:r w:rsidRPr="00A5626D">
              <w:rPr>
                <w:rFonts w:ascii="Garamond" w:hAnsi="Garamond" w:cstheme="minorHAnsi"/>
                <w:sz w:val="22"/>
                <w:szCs w:val="22"/>
              </w:rPr>
              <w:t xml:space="preserve">– </w:t>
            </w:r>
            <w:r w:rsidR="00295C6D" w:rsidRPr="00A5626D">
              <w:rPr>
                <w:rFonts w:ascii="Garamond" w:hAnsi="Garamond" w:cstheme="minorHAnsi"/>
                <w:sz w:val="22"/>
                <w:szCs w:val="22"/>
              </w:rPr>
              <w:t xml:space="preserve">calc-side – атрибут, указывающий на стороны, вычисляющие величину электроэнергии в ТП и предоставляющие отчетность по данному сечению </w:t>
            </w:r>
            <w:r w:rsidR="00295C6D" w:rsidRPr="00A5626D">
              <w:rPr>
                <w:rFonts w:ascii="Garamond" w:hAnsi="Garamond" w:cstheme="minorHAnsi"/>
                <w:sz w:val="22"/>
                <w:szCs w:val="22"/>
                <w:highlight w:val="yellow"/>
              </w:rPr>
              <w:t>КУ</w:t>
            </w:r>
            <w:r w:rsidR="00295C6D" w:rsidRPr="00A5626D">
              <w:rPr>
                <w:rFonts w:ascii="Garamond" w:hAnsi="Garamond" w:cstheme="minorHAnsi"/>
                <w:sz w:val="22"/>
                <w:szCs w:val="22"/>
              </w:rPr>
              <w:t xml:space="preserve">. Может принимать значения «1», если это только сторона заявителя, «2» – только сторона смежного субъекта, «3» – обе стороны. </w:t>
            </w:r>
            <w:r w:rsidR="00295C6D" w:rsidRPr="00A5626D">
              <w:rPr>
                <w:rFonts w:ascii="Garamond" w:hAnsi="Garamond" w:cstheme="minorHAnsi"/>
                <w:sz w:val="22"/>
                <w:szCs w:val="22"/>
                <w:highlight w:val="yellow"/>
              </w:rPr>
              <w:t>Для ОР принимает значение «1».</w:t>
            </w:r>
          </w:p>
          <w:p w14:paraId="152E93C5" w14:textId="77777777" w:rsidR="00295C6D" w:rsidRPr="00A5626D" w:rsidRDefault="00295C6D" w:rsidP="00E31AE6">
            <w:pPr>
              <w:tabs>
                <w:tab w:val="left" w:pos="1134"/>
                <w:tab w:val="left" w:pos="7938"/>
              </w:tabs>
              <w:spacing w:before="120" w:after="120"/>
              <w:ind w:firstLine="456"/>
              <w:jc w:val="both"/>
              <w:rPr>
                <w:rFonts w:ascii="Garamond" w:hAnsi="Garamond" w:cstheme="minorHAnsi"/>
                <w:sz w:val="22"/>
                <w:szCs w:val="22"/>
              </w:rPr>
            </w:pPr>
            <w:r w:rsidRPr="00A5626D">
              <w:rPr>
                <w:rFonts w:ascii="Garamond" w:hAnsi="Garamond" w:cstheme="minorHAnsi"/>
                <w:sz w:val="22"/>
                <w:szCs w:val="22"/>
              </w:rPr>
              <w:t>Потомками элемента &lt;</w:t>
            </w:r>
            <w:r w:rsidRPr="00A5626D">
              <w:rPr>
                <w:rFonts w:ascii="Garamond" w:hAnsi="Garamond" w:cstheme="minorHAnsi"/>
                <w:b/>
                <w:sz w:val="22"/>
                <w:szCs w:val="22"/>
                <w:lang w:val="en-US"/>
              </w:rPr>
              <w:t>psi</w:t>
            </w:r>
            <w:r w:rsidRPr="00A5626D">
              <w:rPr>
                <w:rFonts w:ascii="Garamond" w:hAnsi="Garamond" w:cstheme="minorHAnsi"/>
                <w:sz w:val="22"/>
                <w:szCs w:val="22"/>
              </w:rPr>
              <w:t>&gt; являются элементы: &lt;</w:t>
            </w:r>
            <w:r w:rsidRPr="00A5626D">
              <w:rPr>
                <w:rFonts w:ascii="Garamond" w:hAnsi="Garamond" w:cstheme="minorHAnsi"/>
                <w:b/>
                <w:sz w:val="22"/>
                <w:szCs w:val="22"/>
                <w:lang w:val="en-US"/>
              </w:rPr>
              <w:t>delivery</w:t>
            </w:r>
            <w:r w:rsidRPr="00A5626D">
              <w:rPr>
                <w:rFonts w:ascii="Garamond" w:hAnsi="Garamond" w:cstheme="minorHAnsi"/>
                <w:b/>
                <w:sz w:val="22"/>
                <w:szCs w:val="22"/>
              </w:rPr>
              <w:t>-</w:t>
            </w:r>
            <w:r w:rsidRPr="00A5626D">
              <w:rPr>
                <w:rFonts w:ascii="Garamond" w:hAnsi="Garamond" w:cstheme="minorHAnsi"/>
                <w:b/>
                <w:sz w:val="22"/>
                <w:szCs w:val="22"/>
                <w:lang w:val="en-US"/>
              </w:rPr>
              <w:t>point</w:t>
            </w:r>
            <w:r w:rsidRPr="00A5626D">
              <w:rPr>
                <w:rFonts w:ascii="Garamond" w:hAnsi="Garamond" w:cstheme="minorHAnsi"/>
                <w:b/>
                <w:sz w:val="22"/>
                <w:szCs w:val="22"/>
              </w:rPr>
              <w:t>-</w:t>
            </w:r>
            <w:r w:rsidRPr="00A5626D">
              <w:rPr>
                <w:rFonts w:ascii="Garamond" w:hAnsi="Garamond" w:cstheme="minorHAnsi"/>
                <w:b/>
                <w:sz w:val="22"/>
                <w:szCs w:val="22"/>
                <w:lang w:val="en-US"/>
              </w:rPr>
              <w:t>measuring</w:t>
            </w:r>
            <w:r w:rsidRPr="00A5626D">
              <w:rPr>
                <w:rFonts w:ascii="Garamond" w:hAnsi="Garamond" w:cstheme="minorHAnsi"/>
                <w:b/>
                <w:sz w:val="22"/>
                <w:szCs w:val="22"/>
              </w:rPr>
              <w:t>-</w:t>
            </w:r>
            <w:r w:rsidRPr="00A5626D">
              <w:rPr>
                <w:rFonts w:ascii="Garamond" w:hAnsi="Garamond" w:cstheme="minorHAnsi"/>
                <w:b/>
                <w:sz w:val="22"/>
                <w:szCs w:val="22"/>
                <w:lang w:val="en-US"/>
              </w:rPr>
              <w:t>device</w:t>
            </w:r>
            <w:r w:rsidRPr="00A5626D">
              <w:rPr>
                <w:rFonts w:ascii="Garamond" w:hAnsi="Garamond" w:cstheme="minorHAnsi"/>
                <w:b/>
                <w:sz w:val="22"/>
                <w:szCs w:val="22"/>
              </w:rPr>
              <w:t>-</w:t>
            </w:r>
            <w:r w:rsidRPr="00A5626D">
              <w:rPr>
                <w:rFonts w:ascii="Garamond" w:hAnsi="Garamond" w:cstheme="minorHAnsi"/>
                <w:b/>
                <w:sz w:val="22"/>
                <w:szCs w:val="22"/>
                <w:lang w:val="en-US"/>
              </w:rPr>
              <w:t>link</w:t>
            </w:r>
            <w:r w:rsidRPr="00A5626D">
              <w:rPr>
                <w:rFonts w:ascii="Garamond" w:hAnsi="Garamond" w:cstheme="minorHAnsi"/>
                <w:sz w:val="22"/>
                <w:szCs w:val="22"/>
              </w:rPr>
              <w:t>&gt;, &lt;</w:t>
            </w:r>
            <w:r w:rsidRPr="00A5626D">
              <w:rPr>
                <w:rFonts w:ascii="Garamond" w:hAnsi="Garamond" w:cstheme="minorHAnsi"/>
                <w:b/>
                <w:sz w:val="22"/>
                <w:szCs w:val="22"/>
                <w:lang w:val="en-US"/>
              </w:rPr>
              <w:t>comment</w:t>
            </w:r>
            <w:r w:rsidRPr="00A5626D">
              <w:rPr>
                <w:rFonts w:ascii="Garamond" w:hAnsi="Garamond" w:cstheme="minorHAnsi"/>
                <w:sz w:val="22"/>
                <w:szCs w:val="22"/>
              </w:rPr>
              <w:t>&gt; и &lt;</w:t>
            </w:r>
            <w:r w:rsidRPr="00A5626D">
              <w:rPr>
                <w:rFonts w:ascii="Garamond" w:hAnsi="Garamond" w:cstheme="minorHAnsi"/>
                <w:b/>
                <w:sz w:val="22"/>
                <w:szCs w:val="22"/>
                <w:lang w:val="en-US"/>
              </w:rPr>
              <w:t>so</w:t>
            </w:r>
            <w:r w:rsidRPr="00A5626D">
              <w:rPr>
                <w:rFonts w:ascii="Garamond" w:hAnsi="Garamond" w:cstheme="minorHAnsi"/>
                <w:b/>
                <w:sz w:val="22"/>
                <w:szCs w:val="22"/>
              </w:rPr>
              <w:t>-</w:t>
            </w:r>
            <w:r w:rsidRPr="00A5626D">
              <w:rPr>
                <w:rFonts w:ascii="Garamond" w:hAnsi="Garamond" w:cstheme="minorHAnsi"/>
                <w:b/>
                <w:sz w:val="22"/>
                <w:szCs w:val="22"/>
                <w:lang w:val="en-US"/>
              </w:rPr>
              <w:t>comment</w:t>
            </w:r>
            <w:r w:rsidRPr="00A5626D">
              <w:rPr>
                <w:rFonts w:ascii="Garamond" w:hAnsi="Garamond" w:cstheme="minorHAnsi"/>
                <w:sz w:val="22"/>
                <w:szCs w:val="22"/>
              </w:rPr>
              <w:t>&gt;.</w:t>
            </w:r>
          </w:p>
        </w:tc>
      </w:tr>
      <w:tr w:rsidR="00295C6D" w:rsidRPr="00A5626D" w14:paraId="66608E10" w14:textId="77777777" w:rsidTr="00647FA0">
        <w:tc>
          <w:tcPr>
            <w:tcW w:w="1060" w:type="dxa"/>
            <w:vAlign w:val="center"/>
          </w:tcPr>
          <w:p w14:paraId="701EA138" w14:textId="41A1277A" w:rsidR="00295C6D" w:rsidRPr="00A5626D" w:rsidRDefault="00295C6D" w:rsidP="00E31AE6">
            <w:pPr>
              <w:widowControl w:val="0"/>
              <w:tabs>
                <w:tab w:val="left" w:pos="1134"/>
                <w:tab w:val="left" w:pos="7938"/>
              </w:tabs>
              <w:spacing w:line="22" w:lineRule="atLeast"/>
              <w:jc w:val="both"/>
              <w:rPr>
                <w:rFonts w:ascii="Garamond" w:hAnsi="Garamond"/>
                <w:b/>
                <w:sz w:val="22"/>
                <w:szCs w:val="22"/>
                <w:lang w:val="en-US" w:eastAsia="en-US"/>
              </w:rPr>
            </w:pPr>
            <w:r w:rsidRPr="00A5626D">
              <w:rPr>
                <w:rFonts w:ascii="Garamond" w:hAnsi="Garamond"/>
                <w:b/>
                <w:sz w:val="22"/>
                <w:szCs w:val="22"/>
                <w:lang w:eastAsia="en-US"/>
              </w:rPr>
              <w:t>Приложение 5, п.</w:t>
            </w:r>
            <w:r w:rsidR="00647FA0" w:rsidRPr="00A5626D">
              <w:rPr>
                <w:rFonts w:ascii="Garamond" w:hAnsi="Garamond"/>
                <w:b/>
                <w:sz w:val="22"/>
                <w:szCs w:val="22"/>
                <w:lang w:eastAsia="en-US"/>
              </w:rPr>
              <w:t> </w:t>
            </w:r>
            <w:r w:rsidRPr="00A5626D">
              <w:rPr>
                <w:rFonts w:ascii="Garamond" w:hAnsi="Garamond"/>
                <w:b/>
                <w:sz w:val="22"/>
                <w:szCs w:val="22"/>
                <w:lang w:eastAsia="en-US"/>
              </w:rPr>
              <w:t>4.4.1.2.4.1</w:t>
            </w:r>
            <w:r w:rsidR="009B5F03" w:rsidRPr="00A5626D">
              <w:rPr>
                <w:rFonts w:ascii="Garamond" w:hAnsi="Garamond"/>
                <w:b/>
                <w:sz w:val="22"/>
                <w:szCs w:val="22"/>
                <w:lang w:val="en-US"/>
              </w:rPr>
              <w:t xml:space="preserve"> </w:t>
            </w:r>
          </w:p>
        </w:tc>
        <w:tc>
          <w:tcPr>
            <w:tcW w:w="6662" w:type="dxa"/>
          </w:tcPr>
          <w:p w14:paraId="621BD16F" w14:textId="77777777" w:rsidR="00295C6D" w:rsidRPr="00A5626D" w:rsidRDefault="00295C6D" w:rsidP="00E31AE6">
            <w:pPr>
              <w:tabs>
                <w:tab w:val="left" w:pos="1134"/>
                <w:tab w:val="left" w:pos="7938"/>
              </w:tabs>
              <w:ind w:firstLine="456"/>
              <w:rPr>
                <w:rFonts w:ascii="Garamond" w:hAnsi="Garamond"/>
                <w:sz w:val="22"/>
                <w:szCs w:val="22"/>
                <w:lang w:val="en-US"/>
              </w:rPr>
            </w:pPr>
            <w:r w:rsidRPr="00A5626D">
              <w:rPr>
                <w:rFonts w:ascii="Garamond" w:hAnsi="Garamond"/>
                <w:sz w:val="22"/>
                <w:szCs w:val="22"/>
                <w:lang w:val="en-US"/>
              </w:rPr>
              <w:t>&lt;delivery-point-measuring-device-link&gt;</w:t>
            </w:r>
          </w:p>
          <w:p w14:paraId="603E8556" w14:textId="77777777" w:rsidR="00295C6D" w:rsidRPr="00A5626D" w:rsidRDefault="00295C6D" w:rsidP="00E31AE6">
            <w:pPr>
              <w:tabs>
                <w:tab w:val="left" w:pos="1134"/>
                <w:tab w:val="left" w:pos="7938"/>
              </w:tabs>
              <w:spacing w:before="120" w:after="120"/>
              <w:ind w:firstLine="456"/>
              <w:jc w:val="both"/>
              <w:rPr>
                <w:rFonts w:ascii="Garamond" w:hAnsi="Garamond" w:cstheme="minorHAnsi"/>
                <w:sz w:val="22"/>
                <w:szCs w:val="22"/>
              </w:rPr>
            </w:pPr>
            <w:r w:rsidRPr="00A5626D">
              <w:rPr>
                <w:rFonts w:ascii="Garamond" w:hAnsi="Garamond" w:cstheme="minorHAnsi"/>
                <w:sz w:val="22"/>
                <w:szCs w:val="22"/>
              </w:rPr>
              <w:t>Элемент &lt;</w:t>
            </w:r>
            <w:r w:rsidRPr="00A5626D">
              <w:rPr>
                <w:rFonts w:ascii="Garamond" w:hAnsi="Garamond" w:cstheme="minorHAnsi"/>
                <w:b/>
                <w:sz w:val="22"/>
                <w:szCs w:val="22"/>
                <w:lang w:val="en-US"/>
              </w:rPr>
              <w:t>delivery</w:t>
            </w:r>
            <w:r w:rsidRPr="00A5626D">
              <w:rPr>
                <w:rFonts w:ascii="Garamond" w:hAnsi="Garamond" w:cstheme="minorHAnsi"/>
                <w:b/>
                <w:sz w:val="22"/>
                <w:szCs w:val="22"/>
              </w:rPr>
              <w:t>-</w:t>
            </w:r>
            <w:r w:rsidRPr="00A5626D">
              <w:rPr>
                <w:rFonts w:ascii="Garamond" w:hAnsi="Garamond" w:cstheme="minorHAnsi"/>
                <w:b/>
                <w:sz w:val="22"/>
                <w:szCs w:val="22"/>
                <w:lang w:val="en-US"/>
              </w:rPr>
              <w:t>point</w:t>
            </w:r>
            <w:r w:rsidRPr="00A5626D">
              <w:rPr>
                <w:rFonts w:ascii="Garamond" w:hAnsi="Garamond" w:cstheme="minorHAnsi"/>
                <w:b/>
                <w:sz w:val="22"/>
                <w:szCs w:val="22"/>
              </w:rPr>
              <w:t>-</w:t>
            </w:r>
            <w:r w:rsidRPr="00A5626D">
              <w:rPr>
                <w:rFonts w:ascii="Garamond" w:hAnsi="Garamond" w:cstheme="minorHAnsi"/>
                <w:b/>
                <w:sz w:val="22"/>
                <w:szCs w:val="22"/>
                <w:lang w:val="en-US"/>
              </w:rPr>
              <w:t>measuring</w:t>
            </w:r>
            <w:r w:rsidRPr="00A5626D">
              <w:rPr>
                <w:rFonts w:ascii="Garamond" w:hAnsi="Garamond" w:cstheme="minorHAnsi"/>
                <w:b/>
                <w:sz w:val="22"/>
                <w:szCs w:val="22"/>
              </w:rPr>
              <w:t>-</w:t>
            </w:r>
            <w:r w:rsidRPr="00A5626D">
              <w:rPr>
                <w:rFonts w:ascii="Garamond" w:hAnsi="Garamond" w:cstheme="minorHAnsi"/>
                <w:b/>
                <w:sz w:val="22"/>
                <w:szCs w:val="22"/>
                <w:lang w:val="en-US"/>
              </w:rPr>
              <w:t>device</w:t>
            </w:r>
            <w:r w:rsidRPr="00A5626D">
              <w:rPr>
                <w:rFonts w:ascii="Garamond" w:hAnsi="Garamond" w:cstheme="minorHAnsi"/>
                <w:b/>
                <w:sz w:val="22"/>
                <w:szCs w:val="22"/>
              </w:rPr>
              <w:t>-</w:t>
            </w:r>
            <w:r w:rsidRPr="00A5626D">
              <w:rPr>
                <w:rFonts w:ascii="Garamond" w:hAnsi="Garamond" w:cstheme="minorHAnsi"/>
                <w:b/>
                <w:sz w:val="22"/>
                <w:szCs w:val="22"/>
                <w:lang w:val="en-US"/>
              </w:rPr>
              <w:t>link</w:t>
            </w:r>
            <w:r w:rsidRPr="00A5626D">
              <w:rPr>
                <w:rFonts w:ascii="Garamond" w:hAnsi="Garamond" w:cstheme="minorHAnsi"/>
                <w:sz w:val="22"/>
                <w:szCs w:val="22"/>
              </w:rPr>
              <w:t>&gt; содержит информацию о связи точек поставки и измерительных приборов в ПСИ.</w:t>
            </w:r>
          </w:p>
          <w:p w14:paraId="598E114D" w14:textId="77777777" w:rsidR="00295C6D" w:rsidRPr="00A5626D" w:rsidRDefault="00295C6D" w:rsidP="00E31AE6">
            <w:pPr>
              <w:tabs>
                <w:tab w:val="left" w:pos="1134"/>
                <w:tab w:val="left" w:pos="7938"/>
              </w:tabs>
              <w:spacing w:before="120" w:after="120"/>
              <w:ind w:firstLine="456"/>
              <w:jc w:val="both"/>
              <w:rPr>
                <w:rFonts w:ascii="Garamond" w:hAnsi="Garamond" w:cstheme="minorHAnsi"/>
                <w:sz w:val="22"/>
                <w:szCs w:val="22"/>
              </w:rPr>
            </w:pPr>
            <w:r w:rsidRPr="00A5626D">
              <w:rPr>
                <w:rFonts w:ascii="Garamond" w:hAnsi="Garamond" w:cstheme="minorHAnsi"/>
                <w:sz w:val="22"/>
                <w:szCs w:val="22"/>
              </w:rPr>
              <w:t>Обязательным атрибутом элемента являются:</w:t>
            </w:r>
          </w:p>
          <w:p w14:paraId="3A3AA7BE" w14:textId="77777777" w:rsidR="00295C6D" w:rsidRPr="00A5626D" w:rsidRDefault="00295C6D" w:rsidP="00295C6D">
            <w:pPr>
              <w:widowControl w:val="0"/>
              <w:numPr>
                <w:ilvl w:val="0"/>
                <w:numId w:val="273"/>
              </w:numPr>
              <w:tabs>
                <w:tab w:val="left" w:pos="1134"/>
                <w:tab w:val="left" w:pos="7938"/>
              </w:tabs>
              <w:suppressAutoHyphens w:val="0"/>
              <w:autoSpaceDE w:val="0"/>
              <w:autoSpaceDN w:val="0"/>
              <w:adjustRightInd w:val="0"/>
              <w:spacing w:before="60" w:after="60"/>
              <w:ind w:left="0" w:firstLine="456"/>
              <w:contextualSpacing/>
              <w:jc w:val="both"/>
              <w:rPr>
                <w:rFonts w:ascii="Garamond" w:hAnsi="Garamond" w:cstheme="minorHAnsi"/>
                <w:sz w:val="22"/>
                <w:szCs w:val="22"/>
              </w:rPr>
            </w:pPr>
            <w:r w:rsidRPr="00A5626D">
              <w:rPr>
                <w:rFonts w:ascii="Garamond" w:hAnsi="Garamond" w:cstheme="minorHAnsi"/>
                <w:sz w:val="22"/>
                <w:szCs w:val="22"/>
              </w:rPr>
              <w:t>id-delivery-point – ссылка на внутренний идентификатор точки поставки;</w:t>
            </w:r>
          </w:p>
          <w:p w14:paraId="7741E5A8" w14:textId="77777777" w:rsidR="00295C6D" w:rsidRPr="00A5626D" w:rsidRDefault="00295C6D" w:rsidP="00295C6D">
            <w:pPr>
              <w:widowControl w:val="0"/>
              <w:numPr>
                <w:ilvl w:val="0"/>
                <w:numId w:val="273"/>
              </w:numPr>
              <w:tabs>
                <w:tab w:val="left" w:pos="1134"/>
                <w:tab w:val="left" w:pos="7938"/>
              </w:tabs>
              <w:suppressAutoHyphens w:val="0"/>
              <w:autoSpaceDE w:val="0"/>
              <w:autoSpaceDN w:val="0"/>
              <w:adjustRightInd w:val="0"/>
              <w:spacing w:before="60" w:after="60"/>
              <w:ind w:left="0" w:firstLine="456"/>
              <w:contextualSpacing/>
              <w:jc w:val="both"/>
              <w:rPr>
                <w:rFonts w:ascii="Garamond" w:hAnsi="Garamond" w:cstheme="minorHAnsi"/>
                <w:sz w:val="22"/>
                <w:szCs w:val="22"/>
              </w:rPr>
            </w:pPr>
            <w:r w:rsidRPr="00A5626D">
              <w:rPr>
                <w:rFonts w:ascii="Garamond" w:hAnsi="Garamond" w:cstheme="minorHAnsi"/>
                <w:sz w:val="22"/>
                <w:szCs w:val="22"/>
              </w:rPr>
              <w:t>id-measuring-device – ссылка на измерительный прибор, описанный в секции словарей;</w:t>
            </w:r>
          </w:p>
          <w:p w14:paraId="361462BB" w14:textId="60004881" w:rsidR="00295C6D" w:rsidRPr="00A5626D" w:rsidRDefault="00295C6D" w:rsidP="00295C6D">
            <w:pPr>
              <w:widowControl w:val="0"/>
              <w:numPr>
                <w:ilvl w:val="0"/>
                <w:numId w:val="273"/>
              </w:numPr>
              <w:tabs>
                <w:tab w:val="left" w:pos="1134"/>
                <w:tab w:val="left" w:pos="7938"/>
              </w:tabs>
              <w:suppressAutoHyphens w:val="0"/>
              <w:autoSpaceDE w:val="0"/>
              <w:autoSpaceDN w:val="0"/>
              <w:adjustRightInd w:val="0"/>
              <w:spacing w:before="60" w:after="60"/>
              <w:ind w:left="0" w:firstLine="456"/>
              <w:contextualSpacing/>
              <w:jc w:val="both"/>
              <w:rPr>
                <w:rFonts w:ascii="Garamond" w:hAnsi="Garamond" w:cstheme="minorHAnsi"/>
                <w:sz w:val="22"/>
                <w:szCs w:val="22"/>
              </w:rPr>
            </w:pPr>
            <w:r w:rsidRPr="00A5626D">
              <w:rPr>
                <w:rFonts w:ascii="Garamond" w:hAnsi="Garamond" w:cstheme="minorHAnsi"/>
                <w:sz w:val="22"/>
                <w:szCs w:val="22"/>
              </w:rPr>
              <w:t>direction – информация о направлении перетока. Атрибут обязателен к заполнению для всех ТИ, кроме параметров СО. Атрибут принимает значения «send» для отдачи, «receive» – при</w:t>
            </w:r>
            <w:r w:rsidR="00BC4FC4" w:rsidRPr="00A5626D">
              <w:rPr>
                <w:rFonts w:ascii="Garamond" w:hAnsi="Garamond" w:cstheme="minorHAnsi"/>
                <w:sz w:val="22"/>
                <w:szCs w:val="22"/>
              </w:rPr>
              <w:t>е</w:t>
            </w:r>
            <w:r w:rsidRPr="00A5626D">
              <w:rPr>
                <w:rFonts w:ascii="Garamond" w:hAnsi="Garamond" w:cstheme="minorHAnsi"/>
                <w:sz w:val="22"/>
                <w:szCs w:val="22"/>
              </w:rPr>
              <w:t>ма, «send-receive» – при</w:t>
            </w:r>
            <w:r w:rsidR="00BC4FC4" w:rsidRPr="00A5626D">
              <w:rPr>
                <w:rFonts w:ascii="Garamond" w:hAnsi="Garamond" w:cstheme="minorHAnsi"/>
                <w:sz w:val="22"/>
                <w:szCs w:val="22"/>
              </w:rPr>
              <w:t>е</w:t>
            </w:r>
            <w:r w:rsidRPr="00A5626D">
              <w:rPr>
                <w:rFonts w:ascii="Garamond" w:hAnsi="Garamond" w:cstheme="minorHAnsi"/>
                <w:sz w:val="22"/>
                <w:szCs w:val="22"/>
              </w:rPr>
              <w:t>ма/отдачи;</w:t>
            </w:r>
          </w:p>
          <w:p w14:paraId="471C6DC9" w14:textId="77777777" w:rsidR="00295C6D" w:rsidRPr="00A5626D" w:rsidRDefault="00295C6D" w:rsidP="00295C6D">
            <w:pPr>
              <w:widowControl w:val="0"/>
              <w:numPr>
                <w:ilvl w:val="0"/>
                <w:numId w:val="273"/>
              </w:numPr>
              <w:tabs>
                <w:tab w:val="left" w:pos="1134"/>
                <w:tab w:val="left" w:pos="7938"/>
              </w:tabs>
              <w:suppressAutoHyphens w:val="0"/>
              <w:autoSpaceDE w:val="0"/>
              <w:autoSpaceDN w:val="0"/>
              <w:adjustRightInd w:val="0"/>
              <w:ind w:left="0" w:firstLine="456"/>
              <w:jc w:val="both"/>
              <w:rPr>
                <w:rFonts w:ascii="Garamond" w:hAnsi="Garamond" w:cstheme="minorHAnsi"/>
                <w:sz w:val="22"/>
                <w:szCs w:val="22"/>
              </w:rPr>
            </w:pPr>
            <w:r w:rsidRPr="00A5626D">
              <w:rPr>
                <w:rFonts w:ascii="Garamond" w:hAnsi="Garamond" w:cstheme="minorHAnsi"/>
                <w:sz w:val="22"/>
                <w:szCs w:val="22"/>
                <w:lang w:val="en-US"/>
              </w:rPr>
              <w:t>is</w:t>
            </w:r>
            <w:r w:rsidRPr="00A5626D">
              <w:rPr>
                <w:rFonts w:ascii="Garamond" w:hAnsi="Garamond" w:cstheme="minorHAnsi"/>
                <w:sz w:val="22"/>
                <w:szCs w:val="22"/>
              </w:rPr>
              <w:t>-</w:t>
            </w:r>
            <w:r w:rsidRPr="00A5626D">
              <w:rPr>
                <w:rFonts w:ascii="Garamond" w:hAnsi="Garamond" w:cstheme="minorHAnsi"/>
                <w:sz w:val="22"/>
                <w:szCs w:val="22"/>
                <w:lang w:val="en-US"/>
              </w:rPr>
              <w:t>inverse</w:t>
            </w:r>
            <w:r w:rsidRPr="00A5626D">
              <w:rPr>
                <w:rFonts w:ascii="Garamond" w:hAnsi="Garamond" w:cstheme="minorHAnsi"/>
                <w:sz w:val="22"/>
                <w:szCs w:val="22"/>
              </w:rPr>
              <w:t>-</w:t>
            </w:r>
            <w:r w:rsidRPr="00A5626D">
              <w:rPr>
                <w:rFonts w:ascii="Garamond" w:hAnsi="Garamond" w:cstheme="minorHAnsi"/>
                <w:sz w:val="22"/>
                <w:szCs w:val="22"/>
                <w:lang w:val="en-US"/>
              </w:rPr>
              <w:t>connection</w:t>
            </w:r>
            <w:r w:rsidRPr="00A5626D">
              <w:rPr>
                <w:rFonts w:ascii="Garamond" w:hAnsi="Garamond" w:cstheme="minorHAnsi"/>
                <w:sz w:val="22"/>
                <w:szCs w:val="22"/>
              </w:rPr>
              <w:t xml:space="preserve"> – признак, определяющий подключение, при котором направление измеряемой электрической энергии, фиксируемое ПУ (прием, отдача) не соответствует направлению перетока через границу балансовой принадлежности </w:t>
            </w:r>
            <w:r w:rsidRPr="00A5626D">
              <w:rPr>
                <w:rFonts w:ascii="Garamond" w:hAnsi="Garamond" w:cstheme="minorHAnsi"/>
                <w:sz w:val="22"/>
                <w:szCs w:val="22"/>
              </w:rPr>
              <w:lastRenderedPageBreak/>
              <w:t>(точку поставки) относительно субъекта, на стороне которого расположен прибор учета (далее – инверсное подключение). Обязательный к заполнению атрибут только для измерительных приборов с атрибутом «</w:t>
            </w:r>
            <w:r w:rsidRPr="00A5626D">
              <w:rPr>
                <w:rFonts w:ascii="Garamond" w:hAnsi="Garamond" w:cstheme="minorHAnsi"/>
                <w:sz w:val="22"/>
                <w:szCs w:val="22"/>
                <w:lang w:val="en-US"/>
              </w:rPr>
              <w:t>is</w:t>
            </w:r>
            <w:r w:rsidRPr="00A5626D">
              <w:rPr>
                <w:rFonts w:ascii="Garamond" w:hAnsi="Garamond" w:cstheme="minorHAnsi"/>
                <w:sz w:val="22"/>
                <w:szCs w:val="22"/>
              </w:rPr>
              <w:t>-</w:t>
            </w:r>
            <w:r w:rsidRPr="00A5626D">
              <w:rPr>
                <w:rFonts w:ascii="Garamond" w:hAnsi="Garamond" w:cstheme="minorHAnsi"/>
                <w:sz w:val="22"/>
                <w:szCs w:val="22"/>
                <w:lang w:val="en-US"/>
              </w:rPr>
              <w:t>for</w:t>
            </w:r>
            <w:r w:rsidRPr="00A5626D">
              <w:rPr>
                <w:rFonts w:ascii="Garamond" w:hAnsi="Garamond" w:cstheme="minorHAnsi"/>
                <w:sz w:val="22"/>
                <w:szCs w:val="22"/>
              </w:rPr>
              <w:t>-</w:t>
            </w:r>
            <w:r w:rsidRPr="00A5626D">
              <w:rPr>
                <w:rFonts w:ascii="Garamond" w:hAnsi="Garamond" w:cstheme="minorHAnsi"/>
                <w:sz w:val="22"/>
                <w:szCs w:val="22"/>
                <w:lang w:val="en-US"/>
              </w:rPr>
              <w:t>coding</w:t>
            </w:r>
            <w:r w:rsidRPr="00A5626D">
              <w:rPr>
                <w:rFonts w:ascii="Garamond" w:hAnsi="Garamond" w:cstheme="minorHAnsi"/>
                <w:sz w:val="22"/>
                <w:szCs w:val="22"/>
              </w:rPr>
              <w:t>=</w:t>
            </w:r>
            <w:r w:rsidRPr="00A5626D">
              <w:rPr>
                <w:rFonts w:ascii="Garamond" w:hAnsi="Garamond" w:cstheme="minorHAnsi"/>
                <w:sz w:val="22"/>
                <w:szCs w:val="22"/>
                <w:lang w:val="en-US"/>
              </w:rPr>
              <w:t>true</w:t>
            </w:r>
            <w:r w:rsidRPr="00A5626D">
              <w:rPr>
                <w:rFonts w:ascii="Garamond" w:hAnsi="Garamond" w:cstheme="minorHAnsi"/>
                <w:sz w:val="22"/>
                <w:szCs w:val="22"/>
              </w:rPr>
              <w:t>», относящихся к точкам измерени</w:t>
            </w:r>
            <w:r w:rsidRPr="00A5626D">
              <w:rPr>
                <w:rFonts w:ascii="Garamond" w:hAnsi="Garamond" w:cstheme="minorHAnsi"/>
                <w:sz w:val="22"/>
                <w:szCs w:val="22"/>
                <w:highlight w:val="yellow"/>
              </w:rPr>
              <w:t>я</w:t>
            </w:r>
            <w:r w:rsidRPr="00A5626D">
              <w:rPr>
                <w:rFonts w:ascii="Garamond" w:hAnsi="Garamond" w:cstheme="minorHAnsi"/>
                <w:sz w:val="22"/>
                <w:szCs w:val="22"/>
              </w:rPr>
              <w:t xml:space="preserve"> с атрибутом «</w:t>
            </w:r>
            <w:r w:rsidRPr="00A5626D">
              <w:rPr>
                <w:rFonts w:ascii="Garamond" w:hAnsi="Garamond" w:cstheme="minorHAnsi"/>
                <w:sz w:val="22"/>
                <w:szCs w:val="22"/>
                <w:lang w:val="en-US"/>
              </w:rPr>
              <w:t>type</w:t>
            </w:r>
            <w:r w:rsidRPr="00A5626D">
              <w:rPr>
                <w:rFonts w:ascii="Garamond" w:hAnsi="Garamond" w:cstheme="minorHAnsi"/>
                <w:sz w:val="22"/>
                <w:szCs w:val="22"/>
              </w:rPr>
              <w:t>=</w:t>
            </w:r>
            <w:r w:rsidRPr="00A5626D">
              <w:rPr>
                <w:rFonts w:ascii="Garamond" w:hAnsi="Garamond" w:cstheme="minorHAnsi"/>
                <w:sz w:val="22"/>
                <w:szCs w:val="22"/>
                <w:lang w:val="en-US"/>
              </w:rPr>
              <w:t>general</w:t>
            </w:r>
            <w:r w:rsidRPr="00A5626D">
              <w:rPr>
                <w:rFonts w:ascii="Garamond" w:hAnsi="Garamond" w:cstheme="minorHAnsi"/>
                <w:sz w:val="22"/>
                <w:szCs w:val="22"/>
              </w:rPr>
              <w:t>». Принимает значение «</w:t>
            </w:r>
            <w:r w:rsidRPr="00A5626D">
              <w:rPr>
                <w:rFonts w:ascii="Garamond" w:hAnsi="Garamond" w:cstheme="minorHAnsi"/>
                <w:sz w:val="22"/>
                <w:szCs w:val="22"/>
                <w:lang w:val="en-US"/>
              </w:rPr>
              <w:t>true</w:t>
            </w:r>
            <w:r w:rsidRPr="00A5626D">
              <w:rPr>
                <w:rFonts w:ascii="Garamond" w:hAnsi="Garamond" w:cstheme="minorHAnsi"/>
                <w:sz w:val="22"/>
                <w:szCs w:val="22"/>
              </w:rPr>
              <w:t>», если для ПУ указано инверсное подключение, «</w:t>
            </w:r>
            <w:r w:rsidRPr="00A5626D">
              <w:rPr>
                <w:rFonts w:ascii="Garamond" w:hAnsi="Garamond" w:cstheme="minorHAnsi"/>
                <w:sz w:val="22"/>
                <w:szCs w:val="22"/>
                <w:lang w:val="en-US"/>
              </w:rPr>
              <w:t>false</w:t>
            </w:r>
            <w:r w:rsidRPr="00A5626D">
              <w:rPr>
                <w:rFonts w:ascii="Garamond" w:hAnsi="Garamond" w:cstheme="minorHAnsi"/>
                <w:sz w:val="22"/>
                <w:szCs w:val="22"/>
              </w:rPr>
              <w:t>», если инверсное подключение не указано;</w:t>
            </w:r>
          </w:p>
          <w:p w14:paraId="28AC874C" w14:textId="77777777" w:rsidR="00295C6D" w:rsidRPr="00A5626D" w:rsidRDefault="00295C6D" w:rsidP="00295C6D">
            <w:pPr>
              <w:widowControl w:val="0"/>
              <w:numPr>
                <w:ilvl w:val="0"/>
                <w:numId w:val="273"/>
              </w:numPr>
              <w:tabs>
                <w:tab w:val="left" w:pos="1134"/>
                <w:tab w:val="left" w:pos="7938"/>
              </w:tabs>
              <w:suppressAutoHyphens w:val="0"/>
              <w:autoSpaceDE w:val="0"/>
              <w:autoSpaceDN w:val="0"/>
              <w:adjustRightInd w:val="0"/>
              <w:spacing w:before="60"/>
              <w:ind w:left="0" w:firstLine="456"/>
              <w:contextualSpacing/>
              <w:jc w:val="both"/>
              <w:rPr>
                <w:rFonts w:ascii="Garamond" w:hAnsi="Garamond" w:cstheme="minorHAnsi"/>
                <w:sz w:val="22"/>
                <w:szCs w:val="22"/>
              </w:rPr>
            </w:pPr>
            <w:r w:rsidRPr="00A5626D">
              <w:rPr>
                <w:rFonts w:ascii="Garamond" w:hAnsi="Garamond" w:cstheme="minorHAnsi"/>
                <w:sz w:val="22"/>
                <w:szCs w:val="22"/>
                <w:lang w:val="en-US"/>
              </w:rPr>
              <w:t>oip</w:t>
            </w:r>
            <w:r w:rsidRPr="00A5626D">
              <w:rPr>
                <w:rFonts w:ascii="Garamond" w:hAnsi="Garamond" w:cstheme="minorHAnsi"/>
                <w:sz w:val="22"/>
                <w:szCs w:val="22"/>
              </w:rPr>
              <w:t>-</w:t>
            </w:r>
            <w:r w:rsidRPr="00A5626D">
              <w:rPr>
                <w:rFonts w:ascii="Garamond" w:hAnsi="Garamond" w:cstheme="minorHAnsi"/>
                <w:sz w:val="22"/>
                <w:szCs w:val="22"/>
                <w:lang w:val="en-US"/>
              </w:rPr>
              <w:t>rip</w:t>
            </w:r>
            <w:r w:rsidRPr="00A5626D">
              <w:rPr>
                <w:rFonts w:ascii="Garamond" w:hAnsi="Garamond" w:cstheme="minorHAnsi"/>
                <w:sz w:val="22"/>
                <w:szCs w:val="22"/>
              </w:rPr>
              <w:t>-</w:t>
            </w:r>
            <w:r w:rsidRPr="00A5626D">
              <w:rPr>
                <w:rFonts w:ascii="Garamond" w:hAnsi="Garamond" w:cstheme="minorHAnsi"/>
                <w:sz w:val="22"/>
                <w:szCs w:val="22"/>
                <w:lang w:val="en-US"/>
              </w:rPr>
              <w:t>so</w:t>
            </w:r>
            <w:r w:rsidRPr="00A5626D">
              <w:rPr>
                <w:rFonts w:ascii="Garamond" w:hAnsi="Garamond" w:cstheme="minorHAnsi"/>
                <w:sz w:val="22"/>
                <w:szCs w:val="22"/>
              </w:rPr>
              <w:t xml:space="preserve"> – информация о том, является ли данный прибор основным, резервным или является параметром СО. Атрибут принимает значения «</w:t>
            </w:r>
            <w:r w:rsidRPr="00A5626D">
              <w:rPr>
                <w:rFonts w:ascii="Garamond" w:hAnsi="Garamond" w:cstheme="minorHAnsi"/>
                <w:sz w:val="22"/>
                <w:szCs w:val="22"/>
                <w:lang w:val="en-US"/>
              </w:rPr>
              <w:t>oip</w:t>
            </w:r>
            <w:r w:rsidRPr="00A5626D">
              <w:rPr>
                <w:rFonts w:ascii="Garamond" w:hAnsi="Garamond" w:cstheme="minorHAnsi"/>
                <w:sz w:val="22"/>
                <w:szCs w:val="22"/>
              </w:rPr>
              <w:t>» – основной измерительный прибор (ОИП), «r</w:t>
            </w:r>
            <w:r w:rsidRPr="00A5626D">
              <w:rPr>
                <w:rFonts w:ascii="Garamond" w:hAnsi="Garamond" w:cstheme="minorHAnsi"/>
                <w:sz w:val="22"/>
                <w:szCs w:val="22"/>
                <w:lang w:val="en-US"/>
              </w:rPr>
              <w:t>ip</w:t>
            </w:r>
            <w:r w:rsidRPr="00A5626D">
              <w:rPr>
                <w:rFonts w:ascii="Garamond" w:hAnsi="Garamond" w:cstheme="minorHAnsi"/>
                <w:sz w:val="22"/>
                <w:szCs w:val="22"/>
              </w:rPr>
              <w:t>» – резервный измерительный прибор (РИП), «</w:t>
            </w:r>
            <w:r w:rsidRPr="00A5626D">
              <w:rPr>
                <w:rFonts w:ascii="Garamond" w:hAnsi="Garamond" w:cstheme="minorHAnsi"/>
                <w:sz w:val="22"/>
                <w:szCs w:val="22"/>
                <w:lang w:val="en-US"/>
              </w:rPr>
              <w:t>so</w:t>
            </w:r>
            <w:r w:rsidRPr="00A5626D">
              <w:rPr>
                <w:rFonts w:ascii="Garamond" w:hAnsi="Garamond" w:cstheme="minorHAnsi"/>
                <w:sz w:val="22"/>
                <w:szCs w:val="22"/>
              </w:rPr>
              <w:t>» – параметр СО, относящийся к данной ТП.</w:t>
            </w:r>
          </w:p>
        </w:tc>
        <w:tc>
          <w:tcPr>
            <w:tcW w:w="7088" w:type="dxa"/>
          </w:tcPr>
          <w:p w14:paraId="7DCF28D3" w14:textId="77777777" w:rsidR="00295C6D" w:rsidRPr="00A5626D" w:rsidRDefault="00295C6D" w:rsidP="00E31AE6">
            <w:pPr>
              <w:tabs>
                <w:tab w:val="left" w:pos="1134"/>
                <w:tab w:val="left" w:pos="7938"/>
              </w:tabs>
              <w:ind w:firstLine="456"/>
              <w:rPr>
                <w:rFonts w:ascii="Garamond" w:hAnsi="Garamond"/>
                <w:sz w:val="22"/>
                <w:szCs w:val="22"/>
                <w:lang w:val="en-US"/>
              </w:rPr>
            </w:pPr>
            <w:r w:rsidRPr="00A5626D">
              <w:rPr>
                <w:rFonts w:ascii="Garamond" w:hAnsi="Garamond"/>
                <w:sz w:val="22"/>
                <w:szCs w:val="22"/>
                <w:lang w:val="en-US"/>
              </w:rPr>
              <w:lastRenderedPageBreak/>
              <w:t>&lt;delivery-point-measuring-device-link&gt;</w:t>
            </w:r>
          </w:p>
          <w:p w14:paraId="0F5E2C07" w14:textId="77777777" w:rsidR="00295C6D" w:rsidRPr="00A5626D" w:rsidRDefault="00295C6D" w:rsidP="00E31AE6">
            <w:pPr>
              <w:tabs>
                <w:tab w:val="left" w:pos="1134"/>
                <w:tab w:val="left" w:pos="7938"/>
              </w:tabs>
              <w:spacing w:before="120" w:after="120"/>
              <w:ind w:firstLine="456"/>
              <w:jc w:val="both"/>
              <w:rPr>
                <w:rFonts w:ascii="Garamond" w:hAnsi="Garamond" w:cstheme="minorHAnsi"/>
                <w:sz w:val="22"/>
                <w:szCs w:val="22"/>
              </w:rPr>
            </w:pPr>
            <w:r w:rsidRPr="00A5626D">
              <w:rPr>
                <w:rFonts w:ascii="Garamond" w:hAnsi="Garamond" w:cstheme="minorHAnsi"/>
                <w:sz w:val="22"/>
                <w:szCs w:val="22"/>
              </w:rPr>
              <w:t>Элемент &lt;</w:t>
            </w:r>
            <w:r w:rsidRPr="00A5626D">
              <w:rPr>
                <w:rFonts w:ascii="Garamond" w:hAnsi="Garamond" w:cstheme="minorHAnsi"/>
                <w:b/>
                <w:sz w:val="22"/>
                <w:szCs w:val="22"/>
                <w:lang w:val="en-US"/>
              </w:rPr>
              <w:t>delivery</w:t>
            </w:r>
            <w:r w:rsidRPr="00A5626D">
              <w:rPr>
                <w:rFonts w:ascii="Garamond" w:hAnsi="Garamond" w:cstheme="minorHAnsi"/>
                <w:b/>
                <w:sz w:val="22"/>
                <w:szCs w:val="22"/>
              </w:rPr>
              <w:t>-</w:t>
            </w:r>
            <w:r w:rsidRPr="00A5626D">
              <w:rPr>
                <w:rFonts w:ascii="Garamond" w:hAnsi="Garamond" w:cstheme="minorHAnsi"/>
                <w:b/>
                <w:sz w:val="22"/>
                <w:szCs w:val="22"/>
                <w:lang w:val="en-US"/>
              </w:rPr>
              <w:t>point</w:t>
            </w:r>
            <w:r w:rsidRPr="00A5626D">
              <w:rPr>
                <w:rFonts w:ascii="Garamond" w:hAnsi="Garamond" w:cstheme="minorHAnsi"/>
                <w:b/>
                <w:sz w:val="22"/>
                <w:szCs w:val="22"/>
              </w:rPr>
              <w:t>-</w:t>
            </w:r>
            <w:r w:rsidRPr="00A5626D">
              <w:rPr>
                <w:rFonts w:ascii="Garamond" w:hAnsi="Garamond" w:cstheme="minorHAnsi"/>
                <w:b/>
                <w:sz w:val="22"/>
                <w:szCs w:val="22"/>
                <w:lang w:val="en-US"/>
              </w:rPr>
              <w:t>measuring</w:t>
            </w:r>
            <w:r w:rsidRPr="00A5626D">
              <w:rPr>
                <w:rFonts w:ascii="Garamond" w:hAnsi="Garamond" w:cstheme="minorHAnsi"/>
                <w:b/>
                <w:sz w:val="22"/>
                <w:szCs w:val="22"/>
              </w:rPr>
              <w:t>-</w:t>
            </w:r>
            <w:r w:rsidRPr="00A5626D">
              <w:rPr>
                <w:rFonts w:ascii="Garamond" w:hAnsi="Garamond" w:cstheme="minorHAnsi"/>
                <w:b/>
                <w:sz w:val="22"/>
                <w:szCs w:val="22"/>
                <w:lang w:val="en-US"/>
              </w:rPr>
              <w:t>device</w:t>
            </w:r>
            <w:r w:rsidRPr="00A5626D">
              <w:rPr>
                <w:rFonts w:ascii="Garamond" w:hAnsi="Garamond" w:cstheme="minorHAnsi"/>
                <w:b/>
                <w:sz w:val="22"/>
                <w:szCs w:val="22"/>
              </w:rPr>
              <w:t>-</w:t>
            </w:r>
            <w:r w:rsidRPr="00A5626D">
              <w:rPr>
                <w:rFonts w:ascii="Garamond" w:hAnsi="Garamond" w:cstheme="minorHAnsi"/>
                <w:b/>
                <w:sz w:val="22"/>
                <w:szCs w:val="22"/>
                <w:lang w:val="en-US"/>
              </w:rPr>
              <w:t>link</w:t>
            </w:r>
            <w:r w:rsidRPr="00A5626D">
              <w:rPr>
                <w:rFonts w:ascii="Garamond" w:hAnsi="Garamond" w:cstheme="minorHAnsi"/>
                <w:sz w:val="22"/>
                <w:szCs w:val="22"/>
              </w:rPr>
              <w:t xml:space="preserve">&gt; содержит информацию о связи точек поставки </w:t>
            </w:r>
            <w:r w:rsidRPr="00A5626D">
              <w:rPr>
                <w:rFonts w:ascii="Garamond" w:hAnsi="Garamond" w:cstheme="minorHAnsi"/>
                <w:sz w:val="22"/>
                <w:szCs w:val="22"/>
                <w:highlight w:val="yellow"/>
              </w:rPr>
              <w:t>(точек присоединения)</w:t>
            </w:r>
            <w:r w:rsidRPr="00A5626D">
              <w:rPr>
                <w:rFonts w:ascii="Garamond" w:hAnsi="Garamond" w:cstheme="minorHAnsi"/>
                <w:sz w:val="22"/>
                <w:szCs w:val="22"/>
              </w:rPr>
              <w:t xml:space="preserve"> и измерительных приборов в ПСИ.</w:t>
            </w:r>
          </w:p>
          <w:p w14:paraId="2ACBC84F" w14:textId="77777777" w:rsidR="00295C6D" w:rsidRPr="00A5626D" w:rsidRDefault="00295C6D" w:rsidP="00E31AE6">
            <w:pPr>
              <w:tabs>
                <w:tab w:val="left" w:pos="1134"/>
                <w:tab w:val="left" w:pos="7938"/>
              </w:tabs>
              <w:spacing w:before="120" w:after="120"/>
              <w:ind w:firstLine="456"/>
              <w:jc w:val="both"/>
              <w:rPr>
                <w:rFonts w:ascii="Garamond" w:hAnsi="Garamond" w:cstheme="minorHAnsi"/>
                <w:sz w:val="22"/>
                <w:szCs w:val="22"/>
              </w:rPr>
            </w:pPr>
            <w:r w:rsidRPr="00A5626D">
              <w:rPr>
                <w:rFonts w:ascii="Garamond" w:hAnsi="Garamond" w:cstheme="minorHAnsi"/>
                <w:sz w:val="22"/>
                <w:szCs w:val="22"/>
              </w:rPr>
              <w:t>Обязательным атрибутом элемента являются:</w:t>
            </w:r>
          </w:p>
          <w:p w14:paraId="66D04847" w14:textId="77777777" w:rsidR="00295C6D" w:rsidRPr="00A5626D" w:rsidRDefault="00295C6D" w:rsidP="00295C6D">
            <w:pPr>
              <w:widowControl w:val="0"/>
              <w:numPr>
                <w:ilvl w:val="0"/>
                <w:numId w:val="273"/>
              </w:numPr>
              <w:tabs>
                <w:tab w:val="left" w:pos="1134"/>
                <w:tab w:val="left" w:pos="7938"/>
              </w:tabs>
              <w:suppressAutoHyphens w:val="0"/>
              <w:autoSpaceDE w:val="0"/>
              <w:autoSpaceDN w:val="0"/>
              <w:adjustRightInd w:val="0"/>
              <w:spacing w:before="60" w:after="60"/>
              <w:ind w:left="0" w:firstLine="456"/>
              <w:contextualSpacing/>
              <w:jc w:val="both"/>
              <w:rPr>
                <w:rFonts w:ascii="Garamond" w:hAnsi="Garamond" w:cstheme="minorHAnsi"/>
                <w:sz w:val="22"/>
                <w:szCs w:val="22"/>
              </w:rPr>
            </w:pPr>
            <w:r w:rsidRPr="00A5626D">
              <w:rPr>
                <w:rFonts w:ascii="Garamond" w:hAnsi="Garamond" w:cstheme="minorHAnsi"/>
                <w:sz w:val="22"/>
                <w:szCs w:val="22"/>
              </w:rPr>
              <w:t xml:space="preserve">id-delivery-point – ссылка на внутренний идентификатор точки поставки </w:t>
            </w:r>
            <w:r w:rsidRPr="00A5626D">
              <w:rPr>
                <w:rFonts w:ascii="Garamond" w:hAnsi="Garamond" w:cstheme="minorHAnsi"/>
                <w:sz w:val="22"/>
                <w:szCs w:val="22"/>
                <w:highlight w:val="yellow"/>
              </w:rPr>
              <w:t>(точки присоединения)</w:t>
            </w:r>
            <w:r w:rsidRPr="00A5626D">
              <w:rPr>
                <w:rFonts w:ascii="Garamond" w:hAnsi="Garamond" w:cstheme="minorHAnsi"/>
                <w:sz w:val="22"/>
                <w:szCs w:val="22"/>
              </w:rPr>
              <w:t>;</w:t>
            </w:r>
          </w:p>
          <w:p w14:paraId="5F71B3DE" w14:textId="77777777" w:rsidR="00295C6D" w:rsidRPr="00A5626D" w:rsidRDefault="00295C6D" w:rsidP="00295C6D">
            <w:pPr>
              <w:widowControl w:val="0"/>
              <w:numPr>
                <w:ilvl w:val="0"/>
                <w:numId w:val="273"/>
              </w:numPr>
              <w:tabs>
                <w:tab w:val="left" w:pos="1134"/>
                <w:tab w:val="left" w:pos="7938"/>
              </w:tabs>
              <w:suppressAutoHyphens w:val="0"/>
              <w:autoSpaceDE w:val="0"/>
              <w:autoSpaceDN w:val="0"/>
              <w:adjustRightInd w:val="0"/>
              <w:spacing w:before="60" w:after="60"/>
              <w:ind w:left="0" w:firstLine="456"/>
              <w:contextualSpacing/>
              <w:jc w:val="both"/>
              <w:rPr>
                <w:rFonts w:ascii="Garamond" w:hAnsi="Garamond" w:cstheme="minorHAnsi"/>
                <w:sz w:val="22"/>
                <w:szCs w:val="22"/>
              </w:rPr>
            </w:pPr>
            <w:r w:rsidRPr="00A5626D">
              <w:rPr>
                <w:rFonts w:ascii="Garamond" w:hAnsi="Garamond" w:cstheme="minorHAnsi"/>
                <w:sz w:val="22"/>
                <w:szCs w:val="22"/>
              </w:rPr>
              <w:t>id-measuring-device – ссылка на измерительный прибор, описанный в секции словарей;</w:t>
            </w:r>
          </w:p>
          <w:p w14:paraId="280E30F4" w14:textId="5D62593C" w:rsidR="00295C6D" w:rsidRPr="00A5626D" w:rsidRDefault="00295C6D" w:rsidP="00295C6D">
            <w:pPr>
              <w:widowControl w:val="0"/>
              <w:numPr>
                <w:ilvl w:val="0"/>
                <w:numId w:val="273"/>
              </w:numPr>
              <w:tabs>
                <w:tab w:val="left" w:pos="1134"/>
                <w:tab w:val="left" w:pos="7938"/>
              </w:tabs>
              <w:suppressAutoHyphens w:val="0"/>
              <w:autoSpaceDE w:val="0"/>
              <w:autoSpaceDN w:val="0"/>
              <w:adjustRightInd w:val="0"/>
              <w:spacing w:before="60" w:after="60"/>
              <w:ind w:left="0" w:firstLine="456"/>
              <w:contextualSpacing/>
              <w:jc w:val="both"/>
              <w:rPr>
                <w:rFonts w:ascii="Garamond" w:hAnsi="Garamond" w:cstheme="minorHAnsi"/>
                <w:sz w:val="22"/>
                <w:szCs w:val="22"/>
              </w:rPr>
            </w:pPr>
            <w:r w:rsidRPr="00A5626D">
              <w:rPr>
                <w:rFonts w:ascii="Garamond" w:hAnsi="Garamond" w:cstheme="minorHAnsi"/>
                <w:sz w:val="22"/>
                <w:szCs w:val="22"/>
              </w:rPr>
              <w:t>direction – информация о направлении перетока. Атрибут обязателен к заполнению для всех ТИ, кроме параметров СО</w:t>
            </w:r>
            <w:r w:rsidRPr="00794ED1">
              <w:rPr>
                <w:rFonts w:ascii="Garamond" w:hAnsi="Garamond" w:cstheme="minorHAnsi"/>
                <w:sz w:val="22"/>
                <w:szCs w:val="22"/>
                <w:highlight w:val="yellow"/>
              </w:rPr>
              <w:t>, п</w:t>
            </w:r>
            <w:r w:rsidRPr="00A5626D">
              <w:rPr>
                <w:rFonts w:ascii="Garamond" w:hAnsi="Garamond" w:cstheme="minorHAnsi"/>
                <w:sz w:val="22"/>
                <w:szCs w:val="22"/>
                <w:highlight w:val="yellow"/>
              </w:rPr>
              <w:t>ереданных по ГТП генерации</w:t>
            </w:r>
            <w:r w:rsidR="00794ED1">
              <w:rPr>
                <w:rFonts w:ascii="Garamond" w:hAnsi="Garamond" w:cstheme="minorHAnsi"/>
                <w:sz w:val="22"/>
                <w:szCs w:val="22"/>
                <w:highlight w:val="yellow"/>
              </w:rPr>
              <w:t xml:space="preserve"> </w:t>
            </w:r>
            <w:r w:rsidRPr="00A5626D">
              <w:rPr>
                <w:rFonts w:ascii="Garamond" w:hAnsi="Garamond" w:cstheme="minorHAnsi"/>
                <w:sz w:val="22"/>
                <w:szCs w:val="22"/>
                <w:highlight w:val="yellow"/>
              </w:rPr>
              <w:t>/</w:t>
            </w:r>
            <w:r w:rsidR="00794ED1">
              <w:rPr>
                <w:rFonts w:ascii="Garamond" w:hAnsi="Garamond" w:cstheme="minorHAnsi"/>
                <w:sz w:val="22"/>
                <w:szCs w:val="22"/>
                <w:highlight w:val="yellow"/>
              </w:rPr>
              <w:t xml:space="preserve"> </w:t>
            </w:r>
            <w:r w:rsidRPr="00A5626D">
              <w:rPr>
                <w:rFonts w:ascii="Garamond" w:hAnsi="Garamond" w:cstheme="minorHAnsi"/>
                <w:sz w:val="22"/>
                <w:szCs w:val="22"/>
                <w:highlight w:val="yellow"/>
              </w:rPr>
              <w:t>сечению КУ. Для ТИ по ОР атрибут не заполняется.</w:t>
            </w:r>
            <w:r w:rsidRPr="00A5626D">
              <w:rPr>
                <w:rFonts w:ascii="Garamond" w:hAnsi="Garamond" w:cstheme="minorHAnsi"/>
                <w:sz w:val="22"/>
                <w:szCs w:val="22"/>
              </w:rPr>
              <w:t xml:space="preserve"> Атрибут принимает значения «send» для отдачи, «receive» – при</w:t>
            </w:r>
            <w:r w:rsidR="00BC4FC4" w:rsidRPr="00A5626D">
              <w:rPr>
                <w:rFonts w:ascii="Garamond" w:hAnsi="Garamond" w:cstheme="minorHAnsi"/>
                <w:sz w:val="22"/>
                <w:szCs w:val="22"/>
              </w:rPr>
              <w:t>е</w:t>
            </w:r>
            <w:r w:rsidRPr="00A5626D">
              <w:rPr>
                <w:rFonts w:ascii="Garamond" w:hAnsi="Garamond" w:cstheme="minorHAnsi"/>
                <w:sz w:val="22"/>
                <w:szCs w:val="22"/>
              </w:rPr>
              <w:t>ма, «send-receive» – при</w:t>
            </w:r>
            <w:r w:rsidR="00BC4FC4" w:rsidRPr="00A5626D">
              <w:rPr>
                <w:rFonts w:ascii="Garamond" w:hAnsi="Garamond" w:cstheme="minorHAnsi"/>
                <w:sz w:val="22"/>
                <w:szCs w:val="22"/>
              </w:rPr>
              <w:t>е</w:t>
            </w:r>
            <w:r w:rsidRPr="00A5626D">
              <w:rPr>
                <w:rFonts w:ascii="Garamond" w:hAnsi="Garamond" w:cstheme="minorHAnsi"/>
                <w:sz w:val="22"/>
                <w:szCs w:val="22"/>
              </w:rPr>
              <w:t>ма/отдачи;</w:t>
            </w:r>
          </w:p>
          <w:p w14:paraId="4378CA4C" w14:textId="57689B6C" w:rsidR="00295C6D" w:rsidRPr="00A5626D" w:rsidRDefault="00295C6D" w:rsidP="00295C6D">
            <w:pPr>
              <w:widowControl w:val="0"/>
              <w:numPr>
                <w:ilvl w:val="0"/>
                <w:numId w:val="273"/>
              </w:numPr>
              <w:tabs>
                <w:tab w:val="left" w:pos="1134"/>
                <w:tab w:val="left" w:pos="7938"/>
              </w:tabs>
              <w:suppressAutoHyphens w:val="0"/>
              <w:autoSpaceDE w:val="0"/>
              <w:autoSpaceDN w:val="0"/>
              <w:adjustRightInd w:val="0"/>
              <w:ind w:left="0" w:firstLine="456"/>
              <w:jc w:val="both"/>
              <w:rPr>
                <w:rFonts w:ascii="Garamond" w:hAnsi="Garamond" w:cstheme="minorHAnsi"/>
                <w:sz w:val="22"/>
                <w:szCs w:val="22"/>
              </w:rPr>
            </w:pPr>
            <w:r w:rsidRPr="00A5626D">
              <w:rPr>
                <w:rFonts w:ascii="Garamond" w:hAnsi="Garamond" w:cstheme="minorHAnsi"/>
                <w:sz w:val="22"/>
                <w:szCs w:val="22"/>
                <w:lang w:val="en-US"/>
              </w:rPr>
              <w:t>is</w:t>
            </w:r>
            <w:r w:rsidRPr="00A5626D">
              <w:rPr>
                <w:rFonts w:ascii="Garamond" w:hAnsi="Garamond" w:cstheme="minorHAnsi"/>
                <w:sz w:val="22"/>
                <w:szCs w:val="22"/>
              </w:rPr>
              <w:t>-</w:t>
            </w:r>
            <w:r w:rsidRPr="00A5626D">
              <w:rPr>
                <w:rFonts w:ascii="Garamond" w:hAnsi="Garamond" w:cstheme="minorHAnsi"/>
                <w:sz w:val="22"/>
                <w:szCs w:val="22"/>
                <w:lang w:val="en-US"/>
              </w:rPr>
              <w:t>inverse</w:t>
            </w:r>
            <w:r w:rsidRPr="00A5626D">
              <w:rPr>
                <w:rFonts w:ascii="Garamond" w:hAnsi="Garamond" w:cstheme="minorHAnsi"/>
                <w:sz w:val="22"/>
                <w:szCs w:val="22"/>
              </w:rPr>
              <w:t>-</w:t>
            </w:r>
            <w:r w:rsidRPr="00A5626D">
              <w:rPr>
                <w:rFonts w:ascii="Garamond" w:hAnsi="Garamond" w:cstheme="minorHAnsi"/>
                <w:sz w:val="22"/>
                <w:szCs w:val="22"/>
                <w:lang w:val="en-US"/>
              </w:rPr>
              <w:t>connection</w:t>
            </w:r>
            <w:r w:rsidRPr="00A5626D">
              <w:rPr>
                <w:rFonts w:ascii="Garamond" w:hAnsi="Garamond" w:cstheme="minorHAnsi"/>
                <w:sz w:val="22"/>
                <w:szCs w:val="22"/>
              </w:rPr>
              <w:t xml:space="preserve"> – признак, определяющий подключение, при котором направление измеряемой электрической энергии, фиксируемое ПУ (прием, отдача) не соответствует направлению перетока </w:t>
            </w:r>
            <w:r w:rsidRPr="00A5626D">
              <w:rPr>
                <w:rFonts w:ascii="Garamond" w:hAnsi="Garamond" w:cstheme="minorHAnsi"/>
                <w:sz w:val="22"/>
                <w:szCs w:val="22"/>
              </w:rPr>
              <w:lastRenderedPageBreak/>
              <w:t>через границу балансовой принадлежности (точку поставки) относительно субъекта, на стороне которого расположен прибор учета (далее – инверсное подключение). Обязательный к заполнению атрибут только для измерительных приборов с атрибутом «</w:t>
            </w:r>
            <w:r w:rsidRPr="00A5626D">
              <w:rPr>
                <w:rFonts w:ascii="Garamond" w:hAnsi="Garamond" w:cstheme="minorHAnsi"/>
                <w:sz w:val="22"/>
                <w:szCs w:val="22"/>
                <w:lang w:val="en-US"/>
              </w:rPr>
              <w:t>is</w:t>
            </w:r>
            <w:r w:rsidRPr="00A5626D">
              <w:rPr>
                <w:rFonts w:ascii="Garamond" w:hAnsi="Garamond" w:cstheme="minorHAnsi"/>
                <w:sz w:val="22"/>
                <w:szCs w:val="22"/>
              </w:rPr>
              <w:t>-</w:t>
            </w:r>
            <w:r w:rsidRPr="00A5626D">
              <w:rPr>
                <w:rFonts w:ascii="Garamond" w:hAnsi="Garamond" w:cstheme="minorHAnsi"/>
                <w:sz w:val="22"/>
                <w:szCs w:val="22"/>
                <w:lang w:val="en-US"/>
              </w:rPr>
              <w:t>for</w:t>
            </w:r>
            <w:r w:rsidRPr="00A5626D">
              <w:rPr>
                <w:rFonts w:ascii="Garamond" w:hAnsi="Garamond" w:cstheme="minorHAnsi"/>
                <w:sz w:val="22"/>
                <w:szCs w:val="22"/>
              </w:rPr>
              <w:t>-</w:t>
            </w:r>
            <w:r w:rsidRPr="00A5626D">
              <w:rPr>
                <w:rFonts w:ascii="Garamond" w:hAnsi="Garamond" w:cstheme="minorHAnsi"/>
                <w:sz w:val="22"/>
                <w:szCs w:val="22"/>
                <w:lang w:val="en-US"/>
              </w:rPr>
              <w:t>coding</w:t>
            </w:r>
            <w:r w:rsidRPr="00A5626D">
              <w:rPr>
                <w:rFonts w:ascii="Garamond" w:hAnsi="Garamond" w:cstheme="minorHAnsi"/>
                <w:sz w:val="22"/>
                <w:szCs w:val="22"/>
              </w:rPr>
              <w:t>=</w:t>
            </w:r>
            <w:r w:rsidRPr="00A5626D">
              <w:rPr>
                <w:rFonts w:ascii="Garamond" w:hAnsi="Garamond" w:cstheme="minorHAnsi"/>
                <w:sz w:val="22"/>
                <w:szCs w:val="22"/>
                <w:lang w:val="en-US"/>
              </w:rPr>
              <w:t>true</w:t>
            </w:r>
            <w:r w:rsidRPr="00A5626D">
              <w:rPr>
                <w:rFonts w:ascii="Garamond" w:hAnsi="Garamond" w:cstheme="minorHAnsi"/>
                <w:sz w:val="22"/>
                <w:szCs w:val="22"/>
              </w:rPr>
              <w:t>», относящихся к точкам измерени</w:t>
            </w:r>
            <w:r w:rsidRPr="00A5626D">
              <w:rPr>
                <w:rFonts w:ascii="Garamond" w:hAnsi="Garamond" w:cstheme="minorHAnsi"/>
                <w:sz w:val="22"/>
                <w:szCs w:val="22"/>
                <w:highlight w:val="yellow"/>
              </w:rPr>
              <w:t>й</w:t>
            </w:r>
            <w:r w:rsidRPr="00A5626D">
              <w:rPr>
                <w:rFonts w:ascii="Garamond" w:hAnsi="Garamond" w:cstheme="minorHAnsi"/>
                <w:sz w:val="22"/>
                <w:szCs w:val="22"/>
              </w:rPr>
              <w:t xml:space="preserve"> с атрибутом «</w:t>
            </w:r>
            <w:r w:rsidRPr="00A5626D">
              <w:rPr>
                <w:rFonts w:ascii="Garamond" w:hAnsi="Garamond" w:cstheme="minorHAnsi"/>
                <w:sz w:val="22"/>
                <w:szCs w:val="22"/>
                <w:lang w:val="en-US"/>
              </w:rPr>
              <w:t>type</w:t>
            </w:r>
            <w:r w:rsidRPr="00A5626D">
              <w:rPr>
                <w:rFonts w:ascii="Garamond" w:hAnsi="Garamond" w:cstheme="minorHAnsi"/>
                <w:sz w:val="22"/>
                <w:szCs w:val="22"/>
              </w:rPr>
              <w:t>=</w:t>
            </w:r>
            <w:r w:rsidRPr="00A5626D">
              <w:rPr>
                <w:rFonts w:ascii="Garamond" w:hAnsi="Garamond" w:cstheme="minorHAnsi"/>
                <w:sz w:val="22"/>
                <w:szCs w:val="22"/>
                <w:lang w:val="en-US"/>
              </w:rPr>
              <w:t>general</w:t>
            </w:r>
            <w:r w:rsidRPr="00A5626D">
              <w:rPr>
                <w:rFonts w:ascii="Garamond" w:hAnsi="Garamond" w:cstheme="minorHAnsi"/>
                <w:sz w:val="22"/>
                <w:szCs w:val="22"/>
              </w:rPr>
              <w:t>». Принимает значение «</w:t>
            </w:r>
            <w:r w:rsidRPr="00A5626D">
              <w:rPr>
                <w:rFonts w:ascii="Garamond" w:hAnsi="Garamond" w:cstheme="minorHAnsi"/>
                <w:sz w:val="22"/>
                <w:szCs w:val="22"/>
                <w:lang w:val="en-US"/>
              </w:rPr>
              <w:t>true</w:t>
            </w:r>
            <w:r w:rsidRPr="00A5626D">
              <w:rPr>
                <w:rFonts w:ascii="Garamond" w:hAnsi="Garamond" w:cstheme="minorHAnsi"/>
                <w:sz w:val="22"/>
                <w:szCs w:val="22"/>
              </w:rPr>
              <w:t>», если для ПУ указано инверсное подключение, «</w:t>
            </w:r>
            <w:r w:rsidRPr="00A5626D">
              <w:rPr>
                <w:rFonts w:ascii="Garamond" w:hAnsi="Garamond" w:cstheme="minorHAnsi"/>
                <w:sz w:val="22"/>
                <w:szCs w:val="22"/>
                <w:lang w:val="en-US"/>
              </w:rPr>
              <w:t>false</w:t>
            </w:r>
            <w:r w:rsidRPr="00A5626D">
              <w:rPr>
                <w:rFonts w:ascii="Garamond" w:hAnsi="Garamond" w:cstheme="minorHAnsi"/>
                <w:sz w:val="22"/>
                <w:szCs w:val="22"/>
              </w:rPr>
              <w:t>», если инверсное подключение не указано.</w:t>
            </w:r>
            <w:r w:rsidR="009B5F03" w:rsidRPr="00A5626D">
              <w:rPr>
                <w:rFonts w:ascii="Garamond" w:hAnsi="Garamond" w:cstheme="minorHAnsi"/>
                <w:sz w:val="22"/>
                <w:szCs w:val="22"/>
              </w:rPr>
              <w:t xml:space="preserve"> </w:t>
            </w:r>
            <w:r w:rsidRPr="00A5626D">
              <w:rPr>
                <w:rFonts w:ascii="Garamond" w:hAnsi="Garamond"/>
                <w:sz w:val="22"/>
                <w:szCs w:val="22"/>
                <w:highlight w:val="yellow"/>
              </w:rPr>
              <w:t>Для ТИ ОР не заполняется</w:t>
            </w:r>
            <w:r w:rsidRPr="00A5626D">
              <w:rPr>
                <w:rFonts w:ascii="Garamond" w:hAnsi="Garamond" w:cstheme="minorHAnsi"/>
                <w:sz w:val="22"/>
                <w:szCs w:val="22"/>
              </w:rPr>
              <w:t>;</w:t>
            </w:r>
          </w:p>
          <w:p w14:paraId="0BF58E4B" w14:textId="77777777" w:rsidR="00295C6D" w:rsidRPr="00A5626D" w:rsidRDefault="00295C6D" w:rsidP="00295C6D">
            <w:pPr>
              <w:widowControl w:val="0"/>
              <w:numPr>
                <w:ilvl w:val="0"/>
                <w:numId w:val="273"/>
              </w:numPr>
              <w:tabs>
                <w:tab w:val="left" w:pos="1134"/>
                <w:tab w:val="left" w:pos="7938"/>
              </w:tabs>
              <w:suppressAutoHyphens w:val="0"/>
              <w:autoSpaceDE w:val="0"/>
              <w:autoSpaceDN w:val="0"/>
              <w:adjustRightInd w:val="0"/>
              <w:ind w:left="0" w:firstLine="456"/>
              <w:jc w:val="both"/>
              <w:rPr>
                <w:rFonts w:ascii="Garamond" w:hAnsi="Garamond" w:cstheme="minorHAnsi"/>
                <w:sz w:val="22"/>
                <w:szCs w:val="22"/>
              </w:rPr>
            </w:pPr>
            <w:r w:rsidRPr="00A5626D">
              <w:rPr>
                <w:rFonts w:ascii="Garamond" w:hAnsi="Garamond" w:cstheme="minorHAnsi"/>
                <w:sz w:val="22"/>
                <w:szCs w:val="22"/>
                <w:lang w:val="en-US"/>
              </w:rPr>
              <w:t>oip</w:t>
            </w:r>
            <w:r w:rsidRPr="00A5626D">
              <w:rPr>
                <w:rFonts w:ascii="Garamond" w:hAnsi="Garamond" w:cstheme="minorHAnsi"/>
                <w:sz w:val="22"/>
                <w:szCs w:val="22"/>
              </w:rPr>
              <w:t>-</w:t>
            </w:r>
            <w:r w:rsidRPr="00A5626D">
              <w:rPr>
                <w:rFonts w:ascii="Garamond" w:hAnsi="Garamond" w:cstheme="minorHAnsi"/>
                <w:sz w:val="22"/>
                <w:szCs w:val="22"/>
                <w:lang w:val="en-US"/>
              </w:rPr>
              <w:t>rip</w:t>
            </w:r>
            <w:r w:rsidRPr="00A5626D">
              <w:rPr>
                <w:rFonts w:ascii="Garamond" w:hAnsi="Garamond" w:cstheme="minorHAnsi"/>
                <w:sz w:val="22"/>
                <w:szCs w:val="22"/>
              </w:rPr>
              <w:t>-</w:t>
            </w:r>
            <w:r w:rsidRPr="00A5626D">
              <w:rPr>
                <w:rFonts w:ascii="Garamond" w:hAnsi="Garamond" w:cstheme="minorHAnsi"/>
                <w:sz w:val="22"/>
                <w:szCs w:val="22"/>
                <w:lang w:val="en-US"/>
              </w:rPr>
              <w:t>so</w:t>
            </w:r>
            <w:r w:rsidRPr="00A5626D">
              <w:rPr>
                <w:rFonts w:ascii="Garamond" w:hAnsi="Garamond" w:cstheme="minorHAnsi"/>
                <w:sz w:val="22"/>
                <w:szCs w:val="22"/>
              </w:rPr>
              <w:t xml:space="preserve"> – информация о том, является ли данный прибор основным, резервным или является параметром СО. Атрибут принимает значения «</w:t>
            </w:r>
            <w:r w:rsidRPr="00A5626D">
              <w:rPr>
                <w:rFonts w:ascii="Garamond" w:hAnsi="Garamond" w:cstheme="minorHAnsi"/>
                <w:sz w:val="22"/>
                <w:szCs w:val="22"/>
                <w:lang w:val="en-US"/>
              </w:rPr>
              <w:t>oip</w:t>
            </w:r>
            <w:r w:rsidRPr="00A5626D">
              <w:rPr>
                <w:rFonts w:ascii="Garamond" w:hAnsi="Garamond" w:cstheme="minorHAnsi"/>
                <w:sz w:val="22"/>
                <w:szCs w:val="22"/>
              </w:rPr>
              <w:t>» – основной измерительный прибор (ОИП), «r</w:t>
            </w:r>
            <w:r w:rsidRPr="00A5626D">
              <w:rPr>
                <w:rFonts w:ascii="Garamond" w:hAnsi="Garamond" w:cstheme="minorHAnsi"/>
                <w:sz w:val="22"/>
                <w:szCs w:val="22"/>
                <w:lang w:val="en-US"/>
              </w:rPr>
              <w:t>ip</w:t>
            </w:r>
            <w:r w:rsidRPr="00A5626D">
              <w:rPr>
                <w:rFonts w:ascii="Garamond" w:hAnsi="Garamond" w:cstheme="minorHAnsi"/>
                <w:sz w:val="22"/>
                <w:szCs w:val="22"/>
              </w:rPr>
              <w:t>» – резервный измерительный прибор (РИП), «</w:t>
            </w:r>
            <w:r w:rsidRPr="00A5626D">
              <w:rPr>
                <w:rFonts w:ascii="Garamond" w:hAnsi="Garamond" w:cstheme="minorHAnsi"/>
                <w:sz w:val="22"/>
                <w:szCs w:val="22"/>
                <w:lang w:val="en-US"/>
              </w:rPr>
              <w:t>so</w:t>
            </w:r>
            <w:r w:rsidRPr="00A5626D">
              <w:rPr>
                <w:rFonts w:ascii="Garamond" w:hAnsi="Garamond" w:cstheme="minorHAnsi"/>
                <w:sz w:val="22"/>
                <w:szCs w:val="22"/>
              </w:rPr>
              <w:t>» – параметр СО, относящийся к данной ТП.</w:t>
            </w:r>
          </w:p>
        </w:tc>
      </w:tr>
      <w:tr w:rsidR="00295C6D" w:rsidRPr="00A5626D" w14:paraId="20C50F73" w14:textId="77777777" w:rsidTr="00647FA0">
        <w:tc>
          <w:tcPr>
            <w:tcW w:w="1060" w:type="dxa"/>
            <w:vAlign w:val="center"/>
          </w:tcPr>
          <w:p w14:paraId="2136EC35" w14:textId="63F6BE0C" w:rsidR="00295C6D" w:rsidRPr="00A5626D" w:rsidRDefault="00295C6D" w:rsidP="00E31AE6">
            <w:pPr>
              <w:widowControl w:val="0"/>
              <w:tabs>
                <w:tab w:val="left" w:pos="1134"/>
                <w:tab w:val="left" w:pos="7938"/>
              </w:tabs>
              <w:spacing w:line="22" w:lineRule="atLeast"/>
              <w:jc w:val="both"/>
              <w:rPr>
                <w:rFonts w:ascii="Garamond" w:hAnsi="Garamond"/>
                <w:b/>
                <w:sz w:val="22"/>
                <w:szCs w:val="22"/>
                <w:lang w:eastAsia="en-US"/>
              </w:rPr>
            </w:pPr>
            <w:r w:rsidRPr="00A5626D">
              <w:rPr>
                <w:rFonts w:ascii="Garamond" w:hAnsi="Garamond"/>
                <w:b/>
                <w:sz w:val="22"/>
                <w:szCs w:val="22"/>
                <w:lang w:eastAsia="en-US"/>
              </w:rPr>
              <w:lastRenderedPageBreak/>
              <w:t>Приложение 5, п.</w:t>
            </w:r>
            <w:r w:rsidR="00647FA0" w:rsidRPr="00A5626D">
              <w:rPr>
                <w:rFonts w:ascii="Garamond" w:hAnsi="Garamond"/>
                <w:b/>
                <w:sz w:val="22"/>
                <w:szCs w:val="22"/>
                <w:lang w:eastAsia="en-US"/>
              </w:rPr>
              <w:t> </w:t>
            </w:r>
            <w:r w:rsidRPr="00A5626D">
              <w:rPr>
                <w:rFonts w:ascii="Garamond" w:hAnsi="Garamond"/>
                <w:b/>
                <w:sz w:val="22"/>
                <w:szCs w:val="22"/>
                <w:lang w:eastAsia="en-US"/>
              </w:rPr>
              <w:t>4.4.1.2.4.2</w:t>
            </w:r>
            <w:r w:rsidR="009B5F03" w:rsidRPr="00A5626D">
              <w:rPr>
                <w:rFonts w:ascii="Garamond" w:hAnsi="Garamond"/>
                <w:b/>
                <w:sz w:val="22"/>
                <w:szCs w:val="22"/>
              </w:rPr>
              <w:t xml:space="preserve"> </w:t>
            </w:r>
          </w:p>
        </w:tc>
        <w:tc>
          <w:tcPr>
            <w:tcW w:w="6662" w:type="dxa"/>
          </w:tcPr>
          <w:p w14:paraId="53107269" w14:textId="77777777" w:rsidR="00295C6D" w:rsidRPr="00A5626D" w:rsidRDefault="00295C6D" w:rsidP="00E31AE6">
            <w:pPr>
              <w:tabs>
                <w:tab w:val="left" w:pos="1134"/>
                <w:tab w:val="left" w:pos="7938"/>
              </w:tabs>
              <w:ind w:firstLine="456"/>
              <w:rPr>
                <w:rFonts w:ascii="Garamond" w:hAnsi="Garamond" w:cstheme="minorHAnsi"/>
                <w:sz w:val="22"/>
                <w:szCs w:val="22"/>
              </w:rPr>
            </w:pPr>
            <w:r w:rsidRPr="00A5626D">
              <w:rPr>
                <w:rFonts w:ascii="Garamond" w:hAnsi="Garamond" w:cstheme="minorHAnsi"/>
                <w:sz w:val="22"/>
                <w:szCs w:val="22"/>
              </w:rPr>
              <w:t>&lt;</w:t>
            </w:r>
            <w:r w:rsidRPr="00A5626D">
              <w:rPr>
                <w:rFonts w:ascii="Garamond" w:hAnsi="Garamond" w:cstheme="minorHAnsi"/>
                <w:i/>
                <w:sz w:val="22"/>
                <w:szCs w:val="22"/>
                <w:lang w:val="en-US"/>
              </w:rPr>
              <w:t>comment</w:t>
            </w:r>
            <w:r w:rsidRPr="00A5626D">
              <w:rPr>
                <w:rFonts w:ascii="Garamond" w:hAnsi="Garamond" w:cstheme="minorHAnsi"/>
                <w:sz w:val="22"/>
                <w:szCs w:val="22"/>
              </w:rPr>
              <w:t>&gt;</w:t>
            </w:r>
          </w:p>
          <w:p w14:paraId="39021916" w14:textId="77777777" w:rsidR="00295C6D" w:rsidRPr="00A5626D" w:rsidRDefault="00295C6D" w:rsidP="00E31AE6">
            <w:pPr>
              <w:tabs>
                <w:tab w:val="left" w:pos="1134"/>
                <w:tab w:val="left" w:pos="7938"/>
              </w:tabs>
              <w:spacing w:before="120" w:after="120"/>
              <w:ind w:firstLine="456"/>
              <w:jc w:val="both"/>
              <w:rPr>
                <w:rFonts w:ascii="Garamond" w:hAnsi="Garamond" w:cstheme="minorHAnsi"/>
                <w:sz w:val="22"/>
                <w:szCs w:val="22"/>
              </w:rPr>
            </w:pPr>
            <w:r w:rsidRPr="00A5626D">
              <w:rPr>
                <w:rFonts w:ascii="Garamond" w:hAnsi="Garamond" w:cstheme="minorHAnsi"/>
                <w:sz w:val="22"/>
                <w:szCs w:val="22"/>
              </w:rPr>
              <w:t>Потомком элемента &lt;</w:t>
            </w:r>
            <w:r w:rsidRPr="00A5626D">
              <w:rPr>
                <w:rFonts w:ascii="Garamond" w:hAnsi="Garamond" w:cstheme="minorHAnsi"/>
                <w:b/>
                <w:sz w:val="22"/>
                <w:szCs w:val="22"/>
                <w:lang w:val="en-US"/>
              </w:rPr>
              <w:t>psi</w:t>
            </w:r>
            <w:r w:rsidRPr="00A5626D">
              <w:rPr>
                <w:rFonts w:ascii="Garamond" w:hAnsi="Garamond" w:cstheme="minorHAnsi"/>
                <w:sz w:val="22"/>
                <w:szCs w:val="22"/>
              </w:rPr>
              <w:t>&gt; является &lt;</w:t>
            </w:r>
            <w:r w:rsidRPr="00A5626D">
              <w:rPr>
                <w:rFonts w:ascii="Garamond" w:hAnsi="Garamond" w:cstheme="minorHAnsi"/>
                <w:b/>
                <w:sz w:val="22"/>
                <w:szCs w:val="22"/>
              </w:rPr>
              <w:t>comment</w:t>
            </w:r>
            <w:r w:rsidRPr="00A5626D">
              <w:rPr>
                <w:rFonts w:ascii="Garamond" w:hAnsi="Garamond" w:cstheme="minorHAnsi"/>
                <w:sz w:val="22"/>
                <w:szCs w:val="22"/>
              </w:rPr>
              <w:t>&gt;, который содержит общий комментарий к ПСИ. Элемент &lt;</w:t>
            </w:r>
            <w:r w:rsidRPr="00A5626D">
              <w:rPr>
                <w:rFonts w:ascii="Garamond" w:hAnsi="Garamond" w:cstheme="minorHAnsi"/>
                <w:b/>
                <w:sz w:val="22"/>
                <w:szCs w:val="22"/>
              </w:rPr>
              <w:t>comment</w:t>
            </w:r>
            <w:r w:rsidRPr="00A5626D">
              <w:rPr>
                <w:rFonts w:ascii="Garamond" w:hAnsi="Garamond" w:cstheme="minorHAnsi"/>
                <w:sz w:val="22"/>
                <w:szCs w:val="22"/>
              </w:rPr>
              <w:t>&gt; является необязательным для ГТП генерации и обязательным для сечения КУ / внутреннего сечения / сечения экспорта-импорта / сечения между ценовой и неценовой зонами. Потомком элемента &lt;</w:t>
            </w:r>
            <w:r w:rsidRPr="00A5626D">
              <w:rPr>
                <w:rFonts w:ascii="Garamond" w:hAnsi="Garamond" w:cstheme="minorHAnsi"/>
                <w:b/>
                <w:sz w:val="22"/>
                <w:szCs w:val="22"/>
              </w:rPr>
              <w:t>comment</w:t>
            </w:r>
            <w:r w:rsidRPr="00A5626D">
              <w:rPr>
                <w:rFonts w:ascii="Garamond" w:hAnsi="Garamond" w:cstheme="minorHAnsi"/>
                <w:sz w:val="22"/>
                <w:szCs w:val="22"/>
              </w:rPr>
              <w:t>&gt; является элемент формата &lt;![CDATA[…]]&gt;. Текстовое поле, длина не более 2000 символов.</w:t>
            </w:r>
          </w:p>
        </w:tc>
        <w:tc>
          <w:tcPr>
            <w:tcW w:w="7088" w:type="dxa"/>
          </w:tcPr>
          <w:p w14:paraId="20892CE6" w14:textId="77777777" w:rsidR="00295C6D" w:rsidRPr="00A5626D" w:rsidRDefault="00295C6D" w:rsidP="00E31AE6">
            <w:pPr>
              <w:tabs>
                <w:tab w:val="left" w:pos="1134"/>
                <w:tab w:val="left" w:pos="7938"/>
              </w:tabs>
              <w:ind w:firstLine="456"/>
              <w:rPr>
                <w:rFonts w:ascii="Garamond" w:hAnsi="Garamond" w:cstheme="minorHAnsi"/>
                <w:sz w:val="22"/>
                <w:szCs w:val="22"/>
              </w:rPr>
            </w:pPr>
            <w:r w:rsidRPr="00A5626D">
              <w:rPr>
                <w:rFonts w:ascii="Garamond" w:hAnsi="Garamond" w:cstheme="minorHAnsi"/>
                <w:sz w:val="22"/>
                <w:szCs w:val="22"/>
              </w:rPr>
              <w:t>&lt;</w:t>
            </w:r>
            <w:r w:rsidRPr="00A5626D">
              <w:rPr>
                <w:rFonts w:ascii="Garamond" w:hAnsi="Garamond" w:cstheme="minorHAnsi"/>
                <w:i/>
                <w:sz w:val="22"/>
                <w:szCs w:val="22"/>
                <w:lang w:val="en-US"/>
              </w:rPr>
              <w:t>comment</w:t>
            </w:r>
            <w:r w:rsidRPr="00A5626D">
              <w:rPr>
                <w:rFonts w:ascii="Garamond" w:hAnsi="Garamond" w:cstheme="minorHAnsi"/>
                <w:sz w:val="22"/>
                <w:szCs w:val="22"/>
              </w:rPr>
              <w:t>&gt;</w:t>
            </w:r>
          </w:p>
          <w:p w14:paraId="498C271B" w14:textId="77777777" w:rsidR="00295C6D" w:rsidRPr="00A5626D" w:rsidRDefault="00295C6D" w:rsidP="00E31AE6">
            <w:pPr>
              <w:tabs>
                <w:tab w:val="left" w:pos="1134"/>
                <w:tab w:val="left" w:pos="7938"/>
              </w:tabs>
              <w:spacing w:before="120" w:after="120"/>
              <w:ind w:firstLine="456"/>
              <w:jc w:val="both"/>
              <w:rPr>
                <w:rFonts w:ascii="Garamond" w:hAnsi="Garamond" w:cstheme="minorHAnsi"/>
                <w:sz w:val="22"/>
                <w:szCs w:val="22"/>
              </w:rPr>
            </w:pPr>
            <w:r w:rsidRPr="00A5626D">
              <w:rPr>
                <w:rFonts w:ascii="Garamond" w:hAnsi="Garamond" w:cstheme="minorHAnsi"/>
                <w:sz w:val="22"/>
                <w:szCs w:val="22"/>
              </w:rPr>
              <w:t>Потомком элемента &lt;</w:t>
            </w:r>
            <w:r w:rsidRPr="00A5626D">
              <w:rPr>
                <w:rFonts w:ascii="Garamond" w:hAnsi="Garamond" w:cstheme="minorHAnsi"/>
                <w:b/>
                <w:sz w:val="22"/>
                <w:szCs w:val="22"/>
                <w:lang w:val="en-US"/>
              </w:rPr>
              <w:t>psi</w:t>
            </w:r>
            <w:r w:rsidRPr="00A5626D">
              <w:rPr>
                <w:rFonts w:ascii="Garamond" w:hAnsi="Garamond" w:cstheme="minorHAnsi"/>
                <w:sz w:val="22"/>
                <w:szCs w:val="22"/>
              </w:rPr>
              <w:t>&gt; является &lt;</w:t>
            </w:r>
            <w:r w:rsidRPr="00A5626D">
              <w:rPr>
                <w:rFonts w:ascii="Garamond" w:hAnsi="Garamond" w:cstheme="minorHAnsi"/>
                <w:b/>
                <w:sz w:val="22"/>
                <w:szCs w:val="22"/>
              </w:rPr>
              <w:t>comment</w:t>
            </w:r>
            <w:r w:rsidRPr="00A5626D">
              <w:rPr>
                <w:rFonts w:ascii="Garamond" w:hAnsi="Garamond" w:cstheme="minorHAnsi"/>
                <w:sz w:val="22"/>
                <w:szCs w:val="22"/>
              </w:rPr>
              <w:t>&gt;, который содержит общий комментарий к ПСИ. Элемент &lt;</w:t>
            </w:r>
            <w:r w:rsidRPr="00A5626D">
              <w:rPr>
                <w:rFonts w:ascii="Garamond" w:hAnsi="Garamond" w:cstheme="minorHAnsi"/>
                <w:b/>
                <w:sz w:val="22"/>
                <w:szCs w:val="22"/>
              </w:rPr>
              <w:t>comment</w:t>
            </w:r>
            <w:r w:rsidRPr="00A5626D">
              <w:rPr>
                <w:rFonts w:ascii="Garamond" w:hAnsi="Garamond" w:cstheme="minorHAnsi"/>
                <w:sz w:val="22"/>
                <w:szCs w:val="22"/>
              </w:rPr>
              <w:t xml:space="preserve">&gt; является необязательным для ГТП генерации </w:t>
            </w:r>
            <w:r w:rsidRPr="00A5626D">
              <w:rPr>
                <w:rFonts w:ascii="Garamond" w:hAnsi="Garamond" w:cstheme="minorHAnsi"/>
                <w:sz w:val="22"/>
                <w:szCs w:val="22"/>
                <w:highlight w:val="yellow"/>
              </w:rPr>
              <w:t>/ ОР</w:t>
            </w:r>
            <w:r w:rsidRPr="00A5626D">
              <w:rPr>
                <w:rFonts w:ascii="Garamond" w:hAnsi="Garamond" w:cstheme="minorHAnsi"/>
                <w:sz w:val="22"/>
                <w:szCs w:val="22"/>
              </w:rPr>
              <w:t xml:space="preserve"> и обязательным для сечения КУ / внутреннего сечения / сечения экспорта-импорта / сечения между ценовой и неценовой зонами. Потомком элемента &lt;</w:t>
            </w:r>
            <w:r w:rsidRPr="00A5626D">
              <w:rPr>
                <w:rFonts w:ascii="Garamond" w:hAnsi="Garamond" w:cstheme="minorHAnsi"/>
                <w:b/>
                <w:sz w:val="22"/>
                <w:szCs w:val="22"/>
              </w:rPr>
              <w:t>comment</w:t>
            </w:r>
            <w:r w:rsidRPr="00A5626D">
              <w:rPr>
                <w:rFonts w:ascii="Garamond" w:hAnsi="Garamond" w:cstheme="minorHAnsi"/>
                <w:sz w:val="22"/>
                <w:szCs w:val="22"/>
              </w:rPr>
              <w:t>&gt; является элемент формата &lt;![CDATA[…]]&gt;. Текстовое поле, длина не более 2000 символов.</w:t>
            </w:r>
          </w:p>
        </w:tc>
      </w:tr>
      <w:tr w:rsidR="00295C6D" w:rsidRPr="00A5626D" w14:paraId="4C3B9DDB" w14:textId="77777777" w:rsidTr="00647FA0">
        <w:tc>
          <w:tcPr>
            <w:tcW w:w="1060" w:type="dxa"/>
            <w:vAlign w:val="center"/>
          </w:tcPr>
          <w:p w14:paraId="42EE840C" w14:textId="67679432" w:rsidR="00295C6D" w:rsidRPr="00A5626D" w:rsidRDefault="00295C6D" w:rsidP="00E31AE6">
            <w:pPr>
              <w:widowControl w:val="0"/>
              <w:tabs>
                <w:tab w:val="left" w:pos="1134"/>
                <w:tab w:val="left" w:pos="7938"/>
              </w:tabs>
              <w:spacing w:line="22" w:lineRule="atLeast"/>
              <w:jc w:val="both"/>
              <w:rPr>
                <w:rFonts w:ascii="Garamond" w:hAnsi="Garamond"/>
                <w:b/>
                <w:sz w:val="22"/>
                <w:szCs w:val="22"/>
                <w:lang w:eastAsia="en-US"/>
              </w:rPr>
            </w:pPr>
            <w:r w:rsidRPr="00A5626D">
              <w:rPr>
                <w:rFonts w:ascii="Garamond" w:hAnsi="Garamond"/>
                <w:b/>
                <w:sz w:val="22"/>
                <w:szCs w:val="22"/>
                <w:lang w:eastAsia="en-US"/>
              </w:rPr>
              <w:t>Приложение 5, п.</w:t>
            </w:r>
            <w:r w:rsidR="00647FA0" w:rsidRPr="00A5626D">
              <w:rPr>
                <w:rFonts w:ascii="Garamond" w:hAnsi="Garamond"/>
                <w:b/>
                <w:sz w:val="22"/>
                <w:szCs w:val="22"/>
                <w:lang w:eastAsia="en-US"/>
              </w:rPr>
              <w:t> </w:t>
            </w:r>
            <w:r w:rsidRPr="00A5626D">
              <w:rPr>
                <w:rFonts w:ascii="Garamond" w:hAnsi="Garamond"/>
                <w:b/>
                <w:sz w:val="22"/>
                <w:szCs w:val="22"/>
                <w:lang w:eastAsia="en-US"/>
              </w:rPr>
              <w:t>4.4.1.2.5</w:t>
            </w:r>
          </w:p>
        </w:tc>
        <w:tc>
          <w:tcPr>
            <w:tcW w:w="6662" w:type="dxa"/>
          </w:tcPr>
          <w:p w14:paraId="534C8EF5" w14:textId="77777777" w:rsidR="00295C6D" w:rsidRPr="00A5626D" w:rsidRDefault="00295C6D" w:rsidP="00E31AE6">
            <w:pPr>
              <w:tabs>
                <w:tab w:val="left" w:pos="1134"/>
                <w:tab w:val="left" w:pos="7938"/>
              </w:tabs>
              <w:ind w:firstLine="456"/>
              <w:rPr>
                <w:rFonts w:ascii="Garamond" w:hAnsi="Garamond"/>
                <w:b/>
                <w:bCs/>
                <w:sz w:val="22"/>
                <w:szCs w:val="22"/>
              </w:rPr>
            </w:pPr>
            <w:r w:rsidRPr="00A5626D">
              <w:rPr>
                <w:rFonts w:ascii="Garamond" w:hAnsi="Garamond"/>
                <w:b/>
                <w:bCs/>
                <w:sz w:val="22"/>
                <w:szCs w:val="22"/>
              </w:rPr>
              <w:t>&lt;</w:t>
            </w:r>
            <w:r w:rsidRPr="00A5626D">
              <w:rPr>
                <w:rFonts w:ascii="Garamond" w:hAnsi="Garamond"/>
                <w:b/>
                <w:bCs/>
                <w:sz w:val="22"/>
                <w:szCs w:val="22"/>
                <w:lang w:val="en-US"/>
              </w:rPr>
              <w:t>reference</w:t>
            </w:r>
            <w:r w:rsidRPr="00A5626D">
              <w:rPr>
                <w:rFonts w:ascii="Garamond" w:hAnsi="Garamond"/>
                <w:b/>
                <w:bCs/>
                <w:sz w:val="22"/>
                <w:szCs w:val="22"/>
              </w:rPr>
              <w:t>-</w:t>
            </w:r>
            <w:r w:rsidRPr="00A5626D">
              <w:rPr>
                <w:rFonts w:ascii="Garamond" w:hAnsi="Garamond"/>
                <w:b/>
                <w:bCs/>
                <w:sz w:val="22"/>
                <w:szCs w:val="22"/>
                <w:lang w:val="en-US"/>
              </w:rPr>
              <w:t>values</w:t>
            </w:r>
            <w:r w:rsidRPr="00A5626D">
              <w:rPr>
                <w:rFonts w:ascii="Garamond" w:hAnsi="Garamond"/>
                <w:b/>
                <w:bCs/>
                <w:sz w:val="22"/>
                <w:szCs w:val="22"/>
              </w:rPr>
              <w:t>&gt;</w:t>
            </w:r>
          </w:p>
          <w:p w14:paraId="3B153B99" w14:textId="77777777" w:rsidR="00295C6D" w:rsidRPr="00A5626D" w:rsidRDefault="00295C6D" w:rsidP="00E31AE6">
            <w:pPr>
              <w:pStyle w:val="af"/>
              <w:tabs>
                <w:tab w:val="left" w:pos="1134"/>
                <w:tab w:val="left" w:pos="7938"/>
              </w:tabs>
              <w:ind w:firstLine="456"/>
              <w:jc w:val="both"/>
              <w:rPr>
                <w:rFonts w:ascii="Garamond" w:hAnsi="Garamond" w:cstheme="minorHAnsi"/>
                <w:sz w:val="22"/>
                <w:szCs w:val="22"/>
              </w:rPr>
            </w:pPr>
            <w:r w:rsidRPr="00A5626D">
              <w:rPr>
                <w:rFonts w:ascii="Garamond" w:hAnsi="Garamond" w:cstheme="minorHAnsi"/>
                <w:sz w:val="22"/>
                <w:szCs w:val="22"/>
              </w:rPr>
              <w:t>В элементе &lt;</w:t>
            </w:r>
            <w:r w:rsidRPr="00A5626D">
              <w:rPr>
                <w:rFonts w:ascii="Garamond" w:hAnsi="Garamond" w:cstheme="minorHAnsi"/>
                <w:b/>
                <w:sz w:val="22"/>
                <w:szCs w:val="22"/>
                <w:lang w:val="en-US"/>
              </w:rPr>
              <w:t>reference</w:t>
            </w:r>
            <w:r w:rsidRPr="00A5626D">
              <w:rPr>
                <w:rFonts w:ascii="Garamond" w:hAnsi="Garamond" w:cstheme="minorHAnsi"/>
                <w:b/>
                <w:sz w:val="22"/>
                <w:szCs w:val="22"/>
              </w:rPr>
              <w:t>-</w:t>
            </w:r>
            <w:r w:rsidRPr="00A5626D">
              <w:rPr>
                <w:rFonts w:ascii="Garamond" w:hAnsi="Garamond" w:cstheme="minorHAnsi"/>
                <w:b/>
                <w:sz w:val="22"/>
                <w:szCs w:val="22"/>
                <w:lang w:val="en-US"/>
              </w:rPr>
              <w:t>values</w:t>
            </w:r>
            <w:r w:rsidRPr="00A5626D">
              <w:rPr>
                <w:rFonts w:ascii="Garamond" w:hAnsi="Garamond" w:cstheme="minorHAnsi"/>
                <w:sz w:val="22"/>
                <w:szCs w:val="22"/>
              </w:rPr>
              <w:t xml:space="preserve">&gt; передаются результаты измерений, состояние объектов измерения и результаты расчетов за три часа двух календарных дней: </w:t>
            </w:r>
          </w:p>
          <w:p w14:paraId="389C3A51" w14:textId="77777777" w:rsidR="00295C6D" w:rsidRPr="00A5626D" w:rsidRDefault="00295C6D" w:rsidP="00295C6D">
            <w:pPr>
              <w:pStyle w:val="ac"/>
              <w:numPr>
                <w:ilvl w:val="0"/>
                <w:numId w:val="274"/>
              </w:numPr>
              <w:tabs>
                <w:tab w:val="left" w:pos="1134"/>
                <w:tab w:val="left" w:pos="7938"/>
              </w:tabs>
              <w:spacing w:before="120" w:line="259" w:lineRule="auto"/>
              <w:ind w:left="0" w:firstLine="456"/>
              <w:contextualSpacing/>
              <w:jc w:val="both"/>
              <w:rPr>
                <w:rFonts w:ascii="Garamond" w:hAnsi="Garamond" w:cstheme="minorHAnsi"/>
                <w:sz w:val="22"/>
                <w:szCs w:val="22"/>
              </w:rPr>
            </w:pPr>
            <w:r w:rsidRPr="00A5626D">
              <w:rPr>
                <w:rFonts w:ascii="Garamond" w:hAnsi="Garamond" w:cstheme="minorHAnsi"/>
                <w:sz w:val="22"/>
                <w:szCs w:val="22"/>
              </w:rPr>
              <w:t>за первый календарный день:</w:t>
            </w:r>
          </w:p>
          <w:p w14:paraId="5C76182E" w14:textId="77777777" w:rsidR="00295C6D" w:rsidRPr="00A5626D" w:rsidRDefault="00295C6D" w:rsidP="00295C6D">
            <w:pPr>
              <w:pStyle w:val="ac"/>
              <w:numPr>
                <w:ilvl w:val="1"/>
                <w:numId w:val="274"/>
              </w:numPr>
              <w:tabs>
                <w:tab w:val="left" w:pos="1134"/>
                <w:tab w:val="left" w:pos="7938"/>
              </w:tabs>
              <w:spacing w:line="259" w:lineRule="auto"/>
              <w:ind w:left="0" w:firstLine="456"/>
              <w:contextualSpacing/>
              <w:jc w:val="both"/>
              <w:rPr>
                <w:rFonts w:ascii="Garamond" w:hAnsi="Garamond" w:cstheme="minorHAnsi"/>
                <w:sz w:val="22"/>
                <w:szCs w:val="22"/>
              </w:rPr>
            </w:pPr>
            <w:r w:rsidRPr="00A5626D">
              <w:rPr>
                <w:rFonts w:ascii="Garamond" w:hAnsi="Garamond" w:cstheme="minorHAnsi"/>
                <w:sz w:val="22"/>
                <w:szCs w:val="22"/>
              </w:rPr>
              <w:t>час 1,</w:t>
            </w:r>
          </w:p>
          <w:p w14:paraId="398A85FC" w14:textId="77777777" w:rsidR="00295C6D" w:rsidRPr="00A5626D" w:rsidRDefault="00295C6D" w:rsidP="00295C6D">
            <w:pPr>
              <w:pStyle w:val="ac"/>
              <w:numPr>
                <w:ilvl w:val="1"/>
                <w:numId w:val="274"/>
              </w:numPr>
              <w:tabs>
                <w:tab w:val="left" w:pos="1134"/>
                <w:tab w:val="left" w:pos="7938"/>
              </w:tabs>
              <w:spacing w:line="259" w:lineRule="auto"/>
              <w:ind w:left="0" w:firstLine="456"/>
              <w:contextualSpacing/>
              <w:jc w:val="both"/>
              <w:rPr>
                <w:rFonts w:ascii="Garamond" w:hAnsi="Garamond" w:cstheme="minorHAnsi"/>
                <w:sz w:val="22"/>
                <w:szCs w:val="22"/>
              </w:rPr>
            </w:pPr>
            <w:r w:rsidRPr="00A5626D">
              <w:rPr>
                <w:rFonts w:ascii="Garamond" w:hAnsi="Garamond" w:cstheme="minorHAnsi"/>
                <w:sz w:val="22"/>
                <w:szCs w:val="22"/>
              </w:rPr>
              <w:t xml:space="preserve">час 2, </w:t>
            </w:r>
          </w:p>
          <w:p w14:paraId="1242F642" w14:textId="77777777" w:rsidR="00295C6D" w:rsidRPr="00A5626D" w:rsidRDefault="00295C6D" w:rsidP="00295C6D">
            <w:pPr>
              <w:pStyle w:val="ac"/>
              <w:numPr>
                <w:ilvl w:val="1"/>
                <w:numId w:val="274"/>
              </w:numPr>
              <w:tabs>
                <w:tab w:val="left" w:pos="1134"/>
                <w:tab w:val="left" w:pos="7938"/>
              </w:tabs>
              <w:spacing w:line="259" w:lineRule="auto"/>
              <w:ind w:left="0" w:firstLine="456"/>
              <w:contextualSpacing/>
              <w:jc w:val="both"/>
              <w:rPr>
                <w:rFonts w:ascii="Garamond" w:hAnsi="Garamond" w:cstheme="minorHAnsi"/>
                <w:sz w:val="22"/>
                <w:szCs w:val="22"/>
              </w:rPr>
            </w:pPr>
            <w:r w:rsidRPr="00A5626D">
              <w:rPr>
                <w:rFonts w:ascii="Garamond" w:hAnsi="Garamond" w:cstheme="minorHAnsi"/>
                <w:sz w:val="22"/>
                <w:szCs w:val="22"/>
              </w:rPr>
              <w:t>час 3;</w:t>
            </w:r>
          </w:p>
          <w:p w14:paraId="2DEDF00F" w14:textId="77777777" w:rsidR="00295C6D" w:rsidRPr="00A5626D" w:rsidRDefault="00295C6D" w:rsidP="00295C6D">
            <w:pPr>
              <w:pStyle w:val="ac"/>
              <w:numPr>
                <w:ilvl w:val="0"/>
                <w:numId w:val="274"/>
              </w:numPr>
              <w:tabs>
                <w:tab w:val="left" w:pos="1134"/>
                <w:tab w:val="left" w:pos="7938"/>
              </w:tabs>
              <w:spacing w:before="120" w:line="259" w:lineRule="auto"/>
              <w:ind w:left="0" w:firstLine="456"/>
              <w:contextualSpacing/>
              <w:jc w:val="both"/>
              <w:rPr>
                <w:rFonts w:ascii="Garamond" w:hAnsi="Garamond" w:cstheme="minorHAnsi"/>
                <w:sz w:val="22"/>
                <w:szCs w:val="22"/>
              </w:rPr>
            </w:pPr>
            <w:r w:rsidRPr="00A5626D">
              <w:rPr>
                <w:rFonts w:ascii="Garamond" w:hAnsi="Garamond" w:cstheme="minorHAnsi"/>
                <w:sz w:val="22"/>
                <w:szCs w:val="22"/>
              </w:rPr>
              <w:t>за второй календарный день:</w:t>
            </w:r>
          </w:p>
          <w:p w14:paraId="1C1F3E20" w14:textId="77777777" w:rsidR="00295C6D" w:rsidRPr="00A5626D" w:rsidRDefault="00295C6D" w:rsidP="00295C6D">
            <w:pPr>
              <w:pStyle w:val="ac"/>
              <w:numPr>
                <w:ilvl w:val="1"/>
                <w:numId w:val="274"/>
              </w:numPr>
              <w:tabs>
                <w:tab w:val="left" w:pos="1134"/>
                <w:tab w:val="left" w:pos="7938"/>
              </w:tabs>
              <w:spacing w:line="259" w:lineRule="auto"/>
              <w:ind w:left="0" w:firstLine="456"/>
              <w:contextualSpacing/>
              <w:jc w:val="both"/>
              <w:rPr>
                <w:rFonts w:ascii="Garamond" w:hAnsi="Garamond" w:cstheme="minorHAnsi"/>
                <w:sz w:val="22"/>
                <w:szCs w:val="22"/>
              </w:rPr>
            </w:pPr>
            <w:r w:rsidRPr="00A5626D">
              <w:rPr>
                <w:rFonts w:ascii="Garamond" w:hAnsi="Garamond" w:cstheme="minorHAnsi"/>
                <w:sz w:val="22"/>
                <w:szCs w:val="22"/>
              </w:rPr>
              <w:t>час 1,</w:t>
            </w:r>
          </w:p>
          <w:p w14:paraId="759F20D2" w14:textId="77777777" w:rsidR="00295C6D" w:rsidRPr="00A5626D" w:rsidRDefault="00295C6D" w:rsidP="00295C6D">
            <w:pPr>
              <w:pStyle w:val="ac"/>
              <w:numPr>
                <w:ilvl w:val="1"/>
                <w:numId w:val="274"/>
              </w:numPr>
              <w:tabs>
                <w:tab w:val="left" w:pos="1134"/>
                <w:tab w:val="left" w:pos="7938"/>
              </w:tabs>
              <w:spacing w:line="259" w:lineRule="auto"/>
              <w:ind w:left="0" w:firstLine="456"/>
              <w:contextualSpacing/>
              <w:jc w:val="both"/>
              <w:rPr>
                <w:rFonts w:ascii="Garamond" w:hAnsi="Garamond" w:cstheme="minorHAnsi"/>
                <w:sz w:val="22"/>
                <w:szCs w:val="22"/>
              </w:rPr>
            </w:pPr>
            <w:r w:rsidRPr="00A5626D">
              <w:rPr>
                <w:rFonts w:ascii="Garamond" w:hAnsi="Garamond" w:cstheme="minorHAnsi"/>
                <w:sz w:val="22"/>
                <w:szCs w:val="22"/>
              </w:rPr>
              <w:t xml:space="preserve">час 2, </w:t>
            </w:r>
          </w:p>
          <w:p w14:paraId="74BB1844" w14:textId="77777777" w:rsidR="00295C6D" w:rsidRPr="00A5626D" w:rsidRDefault="00295C6D" w:rsidP="00295C6D">
            <w:pPr>
              <w:pStyle w:val="ac"/>
              <w:numPr>
                <w:ilvl w:val="1"/>
                <w:numId w:val="274"/>
              </w:numPr>
              <w:tabs>
                <w:tab w:val="left" w:pos="1134"/>
                <w:tab w:val="left" w:pos="7938"/>
              </w:tabs>
              <w:spacing w:line="259" w:lineRule="auto"/>
              <w:ind w:left="0" w:firstLine="456"/>
              <w:contextualSpacing/>
              <w:jc w:val="both"/>
              <w:rPr>
                <w:rFonts w:ascii="Garamond" w:hAnsi="Garamond" w:cstheme="minorHAnsi"/>
                <w:sz w:val="22"/>
                <w:szCs w:val="22"/>
              </w:rPr>
            </w:pPr>
            <w:r w:rsidRPr="00A5626D">
              <w:rPr>
                <w:rFonts w:ascii="Garamond" w:hAnsi="Garamond" w:cstheme="minorHAnsi"/>
                <w:sz w:val="22"/>
                <w:szCs w:val="22"/>
              </w:rPr>
              <w:t>час 3.</w:t>
            </w:r>
          </w:p>
          <w:p w14:paraId="489ECBD5" w14:textId="77777777" w:rsidR="00295C6D" w:rsidRPr="00A5626D" w:rsidRDefault="00295C6D" w:rsidP="00E31AE6">
            <w:pPr>
              <w:pStyle w:val="af"/>
              <w:tabs>
                <w:tab w:val="left" w:pos="1134"/>
                <w:tab w:val="left" w:pos="7938"/>
              </w:tabs>
              <w:spacing w:before="120" w:after="120"/>
              <w:ind w:firstLine="456"/>
              <w:jc w:val="both"/>
              <w:rPr>
                <w:rFonts w:ascii="Garamond" w:hAnsi="Garamond" w:cstheme="minorHAnsi"/>
                <w:sz w:val="22"/>
                <w:szCs w:val="22"/>
              </w:rPr>
            </w:pPr>
            <w:r w:rsidRPr="00A5626D">
              <w:rPr>
                <w:rFonts w:ascii="Garamond" w:hAnsi="Garamond" w:cstheme="minorHAnsi"/>
                <w:bCs/>
                <w:sz w:val="22"/>
                <w:szCs w:val="22"/>
              </w:rPr>
              <w:t>Обязательный элемент</w:t>
            </w:r>
            <w:r w:rsidRPr="00A5626D">
              <w:rPr>
                <w:rFonts w:ascii="Garamond" w:hAnsi="Garamond" w:cstheme="minorHAnsi"/>
                <w:sz w:val="22"/>
                <w:szCs w:val="22"/>
              </w:rPr>
              <w:t>. Допускается наличие только одного элемента.</w:t>
            </w:r>
          </w:p>
          <w:p w14:paraId="0EFE9036" w14:textId="77777777" w:rsidR="00295C6D" w:rsidRPr="00A5626D" w:rsidRDefault="00295C6D" w:rsidP="00E31AE6">
            <w:pPr>
              <w:tabs>
                <w:tab w:val="left" w:pos="1134"/>
                <w:tab w:val="left" w:pos="7938"/>
              </w:tabs>
              <w:spacing w:before="120" w:after="120"/>
              <w:ind w:firstLine="456"/>
              <w:jc w:val="both"/>
              <w:rPr>
                <w:rFonts w:ascii="Garamond" w:hAnsi="Garamond" w:cstheme="minorHAnsi"/>
                <w:b/>
                <w:sz w:val="22"/>
                <w:szCs w:val="22"/>
              </w:rPr>
            </w:pPr>
            <w:r w:rsidRPr="00A5626D">
              <w:rPr>
                <w:rFonts w:ascii="Garamond" w:hAnsi="Garamond" w:cstheme="minorHAnsi"/>
                <w:sz w:val="22"/>
                <w:szCs w:val="22"/>
              </w:rPr>
              <w:lastRenderedPageBreak/>
              <w:t xml:space="preserve">Дочерними элементами являются </w:t>
            </w:r>
            <w:r w:rsidRPr="00A5626D">
              <w:rPr>
                <w:rFonts w:ascii="Garamond" w:hAnsi="Garamond" w:cstheme="minorHAnsi"/>
                <w:b/>
                <w:sz w:val="22"/>
                <w:szCs w:val="22"/>
              </w:rPr>
              <w:t>&lt;</w:t>
            </w:r>
            <w:r w:rsidRPr="00A5626D">
              <w:rPr>
                <w:rFonts w:ascii="Garamond" w:hAnsi="Garamond" w:cstheme="minorHAnsi"/>
                <w:b/>
                <w:sz w:val="22"/>
                <w:szCs w:val="22"/>
                <w:lang w:val="en-US"/>
              </w:rPr>
              <w:t>reference</w:t>
            </w:r>
            <w:r w:rsidRPr="00A5626D">
              <w:rPr>
                <w:rFonts w:ascii="Garamond" w:hAnsi="Garamond" w:cstheme="minorHAnsi"/>
                <w:b/>
                <w:sz w:val="22"/>
                <w:szCs w:val="22"/>
              </w:rPr>
              <w:t>-</w:t>
            </w:r>
            <w:r w:rsidRPr="00A5626D">
              <w:rPr>
                <w:rFonts w:ascii="Garamond" w:hAnsi="Garamond" w:cstheme="minorHAnsi"/>
                <w:b/>
                <w:sz w:val="22"/>
                <w:szCs w:val="22"/>
                <w:lang w:val="en-US"/>
              </w:rPr>
              <w:t>day</w:t>
            </w:r>
            <w:r w:rsidRPr="00A5626D">
              <w:rPr>
                <w:rFonts w:ascii="Garamond" w:hAnsi="Garamond" w:cstheme="minorHAnsi"/>
                <w:b/>
                <w:sz w:val="22"/>
                <w:szCs w:val="22"/>
              </w:rPr>
              <w:t>&gt;.</w:t>
            </w:r>
          </w:p>
        </w:tc>
        <w:tc>
          <w:tcPr>
            <w:tcW w:w="7088" w:type="dxa"/>
          </w:tcPr>
          <w:p w14:paraId="56EF1553" w14:textId="77777777" w:rsidR="00295C6D" w:rsidRPr="00A5626D" w:rsidRDefault="00295C6D" w:rsidP="00E31AE6">
            <w:pPr>
              <w:tabs>
                <w:tab w:val="left" w:pos="1134"/>
                <w:tab w:val="left" w:pos="7938"/>
              </w:tabs>
              <w:ind w:firstLine="456"/>
              <w:rPr>
                <w:rFonts w:ascii="Garamond" w:hAnsi="Garamond"/>
                <w:b/>
                <w:bCs/>
                <w:sz w:val="22"/>
                <w:szCs w:val="22"/>
              </w:rPr>
            </w:pPr>
            <w:r w:rsidRPr="00A5626D">
              <w:rPr>
                <w:rFonts w:ascii="Garamond" w:hAnsi="Garamond"/>
                <w:b/>
                <w:bCs/>
                <w:sz w:val="22"/>
                <w:szCs w:val="22"/>
              </w:rPr>
              <w:lastRenderedPageBreak/>
              <w:t>&lt;</w:t>
            </w:r>
            <w:r w:rsidRPr="00A5626D">
              <w:rPr>
                <w:rFonts w:ascii="Garamond" w:hAnsi="Garamond"/>
                <w:b/>
                <w:bCs/>
                <w:sz w:val="22"/>
                <w:szCs w:val="22"/>
                <w:lang w:val="en-US"/>
              </w:rPr>
              <w:t>reference</w:t>
            </w:r>
            <w:r w:rsidRPr="00A5626D">
              <w:rPr>
                <w:rFonts w:ascii="Garamond" w:hAnsi="Garamond"/>
                <w:b/>
                <w:bCs/>
                <w:sz w:val="22"/>
                <w:szCs w:val="22"/>
              </w:rPr>
              <w:t>-</w:t>
            </w:r>
            <w:r w:rsidRPr="00A5626D">
              <w:rPr>
                <w:rFonts w:ascii="Garamond" w:hAnsi="Garamond"/>
                <w:b/>
                <w:bCs/>
                <w:sz w:val="22"/>
                <w:szCs w:val="22"/>
                <w:lang w:val="en-US"/>
              </w:rPr>
              <w:t>values</w:t>
            </w:r>
            <w:r w:rsidRPr="00A5626D">
              <w:rPr>
                <w:rFonts w:ascii="Garamond" w:hAnsi="Garamond"/>
                <w:b/>
                <w:bCs/>
                <w:sz w:val="22"/>
                <w:szCs w:val="22"/>
              </w:rPr>
              <w:t>&gt;</w:t>
            </w:r>
          </w:p>
          <w:p w14:paraId="2D11E35A" w14:textId="77777777" w:rsidR="00295C6D" w:rsidRPr="00A5626D" w:rsidRDefault="00295C6D" w:rsidP="00E31AE6">
            <w:pPr>
              <w:pStyle w:val="af"/>
              <w:tabs>
                <w:tab w:val="left" w:pos="1134"/>
                <w:tab w:val="left" w:pos="7938"/>
              </w:tabs>
              <w:ind w:firstLine="456"/>
              <w:jc w:val="both"/>
              <w:rPr>
                <w:rFonts w:ascii="Garamond" w:hAnsi="Garamond" w:cstheme="minorHAnsi"/>
                <w:sz w:val="22"/>
                <w:szCs w:val="22"/>
              </w:rPr>
            </w:pPr>
            <w:r w:rsidRPr="00A5626D">
              <w:rPr>
                <w:rFonts w:ascii="Garamond" w:hAnsi="Garamond" w:cstheme="minorHAnsi"/>
                <w:sz w:val="22"/>
                <w:szCs w:val="22"/>
              </w:rPr>
              <w:t>В элементе &lt;</w:t>
            </w:r>
            <w:r w:rsidRPr="00A5626D">
              <w:rPr>
                <w:rFonts w:ascii="Garamond" w:hAnsi="Garamond" w:cstheme="minorHAnsi"/>
                <w:b/>
                <w:sz w:val="22"/>
                <w:szCs w:val="22"/>
                <w:lang w:val="en-US"/>
              </w:rPr>
              <w:t>reference</w:t>
            </w:r>
            <w:r w:rsidRPr="00A5626D">
              <w:rPr>
                <w:rFonts w:ascii="Garamond" w:hAnsi="Garamond" w:cstheme="minorHAnsi"/>
                <w:b/>
                <w:sz w:val="22"/>
                <w:szCs w:val="22"/>
              </w:rPr>
              <w:t>-</w:t>
            </w:r>
            <w:r w:rsidRPr="00A5626D">
              <w:rPr>
                <w:rFonts w:ascii="Garamond" w:hAnsi="Garamond" w:cstheme="minorHAnsi"/>
                <w:b/>
                <w:sz w:val="22"/>
                <w:szCs w:val="22"/>
                <w:lang w:val="en-US"/>
              </w:rPr>
              <w:t>values</w:t>
            </w:r>
            <w:r w:rsidRPr="00A5626D">
              <w:rPr>
                <w:rFonts w:ascii="Garamond" w:hAnsi="Garamond" w:cstheme="minorHAnsi"/>
                <w:sz w:val="22"/>
                <w:szCs w:val="22"/>
              </w:rPr>
              <w:t xml:space="preserve">&gt; передаются результаты измерений, состояние объектов измерения и результаты расчетов за три часа двух календарных дней: </w:t>
            </w:r>
          </w:p>
          <w:p w14:paraId="224BB123" w14:textId="77777777" w:rsidR="00295C6D" w:rsidRPr="00A5626D" w:rsidRDefault="00295C6D" w:rsidP="00295C6D">
            <w:pPr>
              <w:pStyle w:val="ac"/>
              <w:numPr>
                <w:ilvl w:val="0"/>
                <w:numId w:val="274"/>
              </w:numPr>
              <w:tabs>
                <w:tab w:val="left" w:pos="1134"/>
                <w:tab w:val="left" w:pos="7938"/>
              </w:tabs>
              <w:spacing w:before="120" w:line="259" w:lineRule="auto"/>
              <w:ind w:left="0" w:firstLine="456"/>
              <w:contextualSpacing/>
              <w:jc w:val="both"/>
              <w:rPr>
                <w:rFonts w:ascii="Garamond" w:hAnsi="Garamond" w:cstheme="minorHAnsi"/>
                <w:sz w:val="22"/>
                <w:szCs w:val="22"/>
              </w:rPr>
            </w:pPr>
            <w:r w:rsidRPr="00A5626D">
              <w:rPr>
                <w:rFonts w:ascii="Garamond" w:hAnsi="Garamond" w:cstheme="minorHAnsi"/>
                <w:sz w:val="22"/>
                <w:szCs w:val="22"/>
              </w:rPr>
              <w:t>за первый календарный день:</w:t>
            </w:r>
          </w:p>
          <w:p w14:paraId="4CD76375" w14:textId="77777777" w:rsidR="00295C6D" w:rsidRPr="00A5626D" w:rsidRDefault="00295C6D" w:rsidP="00295C6D">
            <w:pPr>
              <w:pStyle w:val="ac"/>
              <w:numPr>
                <w:ilvl w:val="1"/>
                <w:numId w:val="274"/>
              </w:numPr>
              <w:tabs>
                <w:tab w:val="left" w:pos="1134"/>
                <w:tab w:val="left" w:pos="7938"/>
              </w:tabs>
              <w:spacing w:line="259" w:lineRule="auto"/>
              <w:ind w:left="0" w:firstLine="456"/>
              <w:contextualSpacing/>
              <w:jc w:val="both"/>
              <w:rPr>
                <w:rFonts w:ascii="Garamond" w:hAnsi="Garamond" w:cstheme="minorHAnsi"/>
                <w:sz w:val="22"/>
                <w:szCs w:val="22"/>
              </w:rPr>
            </w:pPr>
            <w:r w:rsidRPr="00A5626D">
              <w:rPr>
                <w:rFonts w:ascii="Garamond" w:hAnsi="Garamond" w:cstheme="minorHAnsi"/>
                <w:sz w:val="22"/>
                <w:szCs w:val="22"/>
              </w:rPr>
              <w:t>час 1,</w:t>
            </w:r>
          </w:p>
          <w:p w14:paraId="7E0F4DE0" w14:textId="77777777" w:rsidR="00295C6D" w:rsidRPr="00A5626D" w:rsidRDefault="00295C6D" w:rsidP="00295C6D">
            <w:pPr>
              <w:pStyle w:val="ac"/>
              <w:numPr>
                <w:ilvl w:val="1"/>
                <w:numId w:val="274"/>
              </w:numPr>
              <w:tabs>
                <w:tab w:val="left" w:pos="1134"/>
                <w:tab w:val="left" w:pos="7938"/>
              </w:tabs>
              <w:spacing w:line="259" w:lineRule="auto"/>
              <w:ind w:left="0" w:firstLine="456"/>
              <w:contextualSpacing/>
              <w:jc w:val="both"/>
              <w:rPr>
                <w:rFonts w:ascii="Garamond" w:hAnsi="Garamond" w:cstheme="minorHAnsi"/>
                <w:sz w:val="22"/>
                <w:szCs w:val="22"/>
              </w:rPr>
            </w:pPr>
            <w:r w:rsidRPr="00A5626D">
              <w:rPr>
                <w:rFonts w:ascii="Garamond" w:hAnsi="Garamond" w:cstheme="minorHAnsi"/>
                <w:sz w:val="22"/>
                <w:szCs w:val="22"/>
              </w:rPr>
              <w:t xml:space="preserve">час 2, </w:t>
            </w:r>
          </w:p>
          <w:p w14:paraId="2C2B8A6E" w14:textId="77777777" w:rsidR="00295C6D" w:rsidRPr="00A5626D" w:rsidRDefault="00295C6D" w:rsidP="00295C6D">
            <w:pPr>
              <w:pStyle w:val="ac"/>
              <w:numPr>
                <w:ilvl w:val="1"/>
                <w:numId w:val="274"/>
              </w:numPr>
              <w:tabs>
                <w:tab w:val="left" w:pos="1134"/>
                <w:tab w:val="left" w:pos="7938"/>
              </w:tabs>
              <w:spacing w:line="259" w:lineRule="auto"/>
              <w:ind w:left="0" w:firstLine="456"/>
              <w:contextualSpacing/>
              <w:jc w:val="both"/>
              <w:rPr>
                <w:rFonts w:ascii="Garamond" w:hAnsi="Garamond" w:cstheme="minorHAnsi"/>
                <w:sz w:val="22"/>
                <w:szCs w:val="22"/>
              </w:rPr>
            </w:pPr>
            <w:r w:rsidRPr="00A5626D">
              <w:rPr>
                <w:rFonts w:ascii="Garamond" w:hAnsi="Garamond" w:cstheme="minorHAnsi"/>
                <w:sz w:val="22"/>
                <w:szCs w:val="22"/>
              </w:rPr>
              <w:t>час 3;</w:t>
            </w:r>
          </w:p>
          <w:p w14:paraId="1D6A61C6" w14:textId="77777777" w:rsidR="00295C6D" w:rsidRPr="00A5626D" w:rsidRDefault="00295C6D" w:rsidP="00295C6D">
            <w:pPr>
              <w:pStyle w:val="ac"/>
              <w:numPr>
                <w:ilvl w:val="0"/>
                <w:numId w:val="274"/>
              </w:numPr>
              <w:tabs>
                <w:tab w:val="left" w:pos="1134"/>
                <w:tab w:val="left" w:pos="7938"/>
              </w:tabs>
              <w:spacing w:before="120" w:line="259" w:lineRule="auto"/>
              <w:ind w:left="0" w:firstLine="456"/>
              <w:contextualSpacing/>
              <w:jc w:val="both"/>
              <w:rPr>
                <w:rFonts w:ascii="Garamond" w:hAnsi="Garamond" w:cstheme="minorHAnsi"/>
                <w:sz w:val="22"/>
                <w:szCs w:val="22"/>
              </w:rPr>
            </w:pPr>
            <w:r w:rsidRPr="00A5626D">
              <w:rPr>
                <w:rFonts w:ascii="Garamond" w:hAnsi="Garamond" w:cstheme="minorHAnsi"/>
                <w:sz w:val="22"/>
                <w:szCs w:val="22"/>
              </w:rPr>
              <w:t>за второй календарный день:</w:t>
            </w:r>
          </w:p>
          <w:p w14:paraId="1535AB2B" w14:textId="77777777" w:rsidR="00295C6D" w:rsidRPr="00A5626D" w:rsidRDefault="00295C6D" w:rsidP="00295C6D">
            <w:pPr>
              <w:pStyle w:val="ac"/>
              <w:numPr>
                <w:ilvl w:val="1"/>
                <w:numId w:val="274"/>
              </w:numPr>
              <w:tabs>
                <w:tab w:val="left" w:pos="1134"/>
                <w:tab w:val="left" w:pos="7938"/>
              </w:tabs>
              <w:spacing w:line="259" w:lineRule="auto"/>
              <w:ind w:left="0" w:firstLine="456"/>
              <w:contextualSpacing/>
              <w:jc w:val="both"/>
              <w:rPr>
                <w:rFonts w:ascii="Garamond" w:hAnsi="Garamond" w:cstheme="minorHAnsi"/>
                <w:sz w:val="22"/>
                <w:szCs w:val="22"/>
              </w:rPr>
            </w:pPr>
            <w:r w:rsidRPr="00A5626D">
              <w:rPr>
                <w:rFonts w:ascii="Garamond" w:hAnsi="Garamond" w:cstheme="minorHAnsi"/>
                <w:sz w:val="22"/>
                <w:szCs w:val="22"/>
              </w:rPr>
              <w:t>час 1,</w:t>
            </w:r>
          </w:p>
          <w:p w14:paraId="46F459FA" w14:textId="77777777" w:rsidR="00295C6D" w:rsidRPr="00A5626D" w:rsidRDefault="00295C6D" w:rsidP="00295C6D">
            <w:pPr>
              <w:pStyle w:val="ac"/>
              <w:numPr>
                <w:ilvl w:val="1"/>
                <w:numId w:val="274"/>
              </w:numPr>
              <w:tabs>
                <w:tab w:val="left" w:pos="1134"/>
                <w:tab w:val="left" w:pos="7938"/>
              </w:tabs>
              <w:spacing w:line="259" w:lineRule="auto"/>
              <w:ind w:left="0" w:firstLine="456"/>
              <w:contextualSpacing/>
              <w:jc w:val="both"/>
              <w:rPr>
                <w:rFonts w:ascii="Garamond" w:hAnsi="Garamond" w:cstheme="minorHAnsi"/>
                <w:sz w:val="22"/>
                <w:szCs w:val="22"/>
              </w:rPr>
            </w:pPr>
            <w:r w:rsidRPr="00A5626D">
              <w:rPr>
                <w:rFonts w:ascii="Garamond" w:hAnsi="Garamond" w:cstheme="minorHAnsi"/>
                <w:sz w:val="22"/>
                <w:szCs w:val="22"/>
              </w:rPr>
              <w:t xml:space="preserve">час 2, </w:t>
            </w:r>
          </w:p>
          <w:p w14:paraId="272C9EFE" w14:textId="77777777" w:rsidR="00295C6D" w:rsidRPr="00A5626D" w:rsidRDefault="00295C6D" w:rsidP="00295C6D">
            <w:pPr>
              <w:pStyle w:val="ac"/>
              <w:numPr>
                <w:ilvl w:val="1"/>
                <w:numId w:val="274"/>
              </w:numPr>
              <w:tabs>
                <w:tab w:val="left" w:pos="1134"/>
                <w:tab w:val="left" w:pos="7938"/>
              </w:tabs>
              <w:spacing w:line="259" w:lineRule="auto"/>
              <w:ind w:left="0" w:firstLine="456"/>
              <w:contextualSpacing/>
              <w:jc w:val="both"/>
              <w:rPr>
                <w:rFonts w:ascii="Garamond" w:hAnsi="Garamond" w:cstheme="minorHAnsi"/>
                <w:sz w:val="22"/>
                <w:szCs w:val="22"/>
              </w:rPr>
            </w:pPr>
            <w:r w:rsidRPr="00A5626D">
              <w:rPr>
                <w:rFonts w:ascii="Garamond" w:hAnsi="Garamond" w:cstheme="minorHAnsi"/>
                <w:sz w:val="22"/>
                <w:szCs w:val="22"/>
              </w:rPr>
              <w:t>час 3.</w:t>
            </w:r>
          </w:p>
          <w:p w14:paraId="75DC4193" w14:textId="77777777" w:rsidR="00295C6D" w:rsidRPr="00A5626D" w:rsidRDefault="00295C6D" w:rsidP="00E31AE6">
            <w:pPr>
              <w:pStyle w:val="af"/>
              <w:tabs>
                <w:tab w:val="left" w:pos="1134"/>
                <w:tab w:val="left" w:pos="7938"/>
              </w:tabs>
              <w:spacing w:before="120" w:after="120"/>
              <w:ind w:firstLine="456"/>
              <w:jc w:val="both"/>
              <w:rPr>
                <w:rFonts w:ascii="Garamond" w:hAnsi="Garamond" w:cstheme="minorHAnsi"/>
                <w:sz w:val="22"/>
                <w:szCs w:val="22"/>
              </w:rPr>
            </w:pPr>
            <w:r w:rsidRPr="00A5626D">
              <w:rPr>
                <w:rFonts w:ascii="Garamond" w:hAnsi="Garamond" w:cstheme="minorHAnsi"/>
                <w:bCs/>
                <w:sz w:val="22"/>
                <w:szCs w:val="22"/>
              </w:rPr>
              <w:t xml:space="preserve">Обязательный элемент </w:t>
            </w:r>
            <w:r w:rsidRPr="00A5626D">
              <w:rPr>
                <w:rFonts w:ascii="Garamond" w:hAnsi="Garamond" w:cstheme="minorHAnsi"/>
                <w:bCs/>
                <w:sz w:val="22"/>
                <w:szCs w:val="22"/>
                <w:highlight w:val="yellow"/>
              </w:rPr>
              <w:t>для ГТП генерации и сечений КУ. Не заполняется для ОР.</w:t>
            </w:r>
            <w:r w:rsidRPr="00A5626D">
              <w:rPr>
                <w:rFonts w:ascii="Garamond" w:hAnsi="Garamond" w:cstheme="minorHAnsi"/>
                <w:bCs/>
                <w:sz w:val="22"/>
                <w:szCs w:val="22"/>
              </w:rPr>
              <w:t xml:space="preserve"> Допускается наличие только одного</w:t>
            </w:r>
            <w:r w:rsidRPr="00A5626D">
              <w:rPr>
                <w:rFonts w:ascii="Garamond" w:hAnsi="Garamond" w:cstheme="minorHAnsi"/>
                <w:sz w:val="22"/>
                <w:szCs w:val="22"/>
              </w:rPr>
              <w:t xml:space="preserve"> элемента.</w:t>
            </w:r>
          </w:p>
          <w:p w14:paraId="1DCC934C" w14:textId="77777777" w:rsidR="00295C6D" w:rsidRPr="00A5626D" w:rsidRDefault="00295C6D" w:rsidP="00E31AE6">
            <w:pPr>
              <w:tabs>
                <w:tab w:val="left" w:pos="1134"/>
                <w:tab w:val="left" w:pos="7938"/>
              </w:tabs>
              <w:ind w:firstLine="456"/>
              <w:rPr>
                <w:rFonts w:ascii="Garamond" w:hAnsi="Garamond" w:cstheme="minorHAnsi"/>
                <w:sz w:val="22"/>
                <w:szCs w:val="22"/>
              </w:rPr>
            </w:pPr>
            <w:r w:rsidRPr="00A5626D">
              <w:rPr>
                <w:rFonts w:ascii="Garamond" w:hAnsi="Garamond" w:cstheme="minorHAnsi"/>
                <w:sz w:val="22"/>
                <w:szCs w:val="22"/>
              </w:rPr>
              <w:t xml:space="preserve">Дочерними элементами являются </w:t>
            </w:r>
            <w:r w:rsidRPr="00A5626D">
              <w:rPr>
                <w:rFonts w:ascii="Garamond" w:hAnsi="Garamond" w:cstheme="minorHAnsi"/>
                <w:b/>
                <w:sz w:val="22"/>
                <w:szCs w:val="22"/>
              </w:rPr>
              <w:t>&lt;</w:t>
            </w:r>
            <w:r w:rsidRPr="00A5626D">
              <w:rPr>
                <w:rFonts w:ascii="Garamond" w:hAnsi="Garamond" w:cstheme="minorHAnsi"/>
                <w:b/>
                <w:sz w:val="22"/>
                <w:szCs w:val="22"/>
                <w:lang w:val="en-US"/>
              </w:rPr>
              <w:t>reference</w:t>
            </w:r>
            <w:r w:rsidRPr="00A5626D">
              <w:rPr>
                <w:rFonts w:ascii="Garamond" w:hAnsi="Garamond" w:cstheme="minorHAnsi"/>
                <w:b/>
                <w:sz w:val="22"/>
                <w:szCs w:val="22"/>
              </w:rPr>
              <w:t>-</w:t>
            </w:r>
            <w:r w:rsidRPr="00A5626D">
              <w:rPr>
                <w:rFonts w:ascii="Garamond" w:hAnsi="Garamond" w:cstheme="minorHAnsi"/>
                <w:b/>
                <w:sz w:val="22"/>
                <w:szCs w:val="22"/>
                <w:lang w:val="en-US"/>
              </w:rPr>
              <w:t>day</w:t>
            </w:r>
            <w:r w:rsidRPr="00A5626D">
              <w:rPr>
                <w:rFonts w:ascii="Garamond" w:hAnsi="Garamond" w:cstheme="minorHAnsi"/>
                <w:b/>
                <w:sz w:val="22"/>
                <w:szCs w:val="22"/>
              </w:rPr>
              <w:t>&gt;.</w:t>
            </w:r>
          </w:p>
        </w:tc>
      </w:tr>
      <w:tr w:rsidR="00295C6D" w:rsidRPr="00A5626D" w14:paraId="6A469322" w14:textId="77777777" w:rsidTr="00647FA0">
        <w:tc>
          <w:tcPr>
            <w:tcW w:w="1060" w:type="dxa"/>
            <w:vAlign w:val="center"/>
          </w:tcPr>
          <w:p w14:paraId="2623ACD5" w14:textId="77777777" w:rsidR="00295C6D" w:rsidRPr="00A5626D" w:rsidRDefault="00295C6D" w:rsidP="00E31AE6">
            <w:pPr>
              <w:numPr>
                <w:ilvl w:val="1"/>
                <w:numId w:val="0"/>
              </w:numPr>
              <w:tabs>
                <w:tab w:val="left" w:pos="1134"/>
                <w:tab w:val="left" w:pos="7938"/>
              </w:tabs>
              <w:rPr>
                <w:rFonts w:ascii="Garamond" w:hAnsi="Garamond"/>
                <w:b/>
                <w:sz w:val="22"/>
                <w:szCs w:val="22"/>
                <w:lang w:eastAsia="en-US"/>
              </w:rPr>
            </w:pPr>
            <w:r w:rsidRPr="00A5626D">
              <w:rPr>
                <w:rFonts w:ascii="Garamond" w:hAnsi="Garamond"/>
                <w:b/>
                <w:sz w:val="22"/>
                <w:szCs w:val="22"/>
                <w:lang w:eastAsia="en-US"/>
              </w:rPr>
              <w:t>Приложение 5, Структура документа 60002</w:t>
            </w:r>
          </w:p>
          <w:p w14:paraId="41AA2BCA" w14:textId="77777777" w:rsidR="00295C6D" w:rsidRPr="00A5626D" w:rsidRDefault="00295C6D" w:rsidP="00E31AE6">
            <w:pPr>
              <w:widowControl w:val="0"/>
              <w:tabs>
                <w:tab w:val="left" w:pos="1134"/>
                <w:tab w:val="left" w:pos="7938"/>
              </w:tabs>
              <w:spacing w:line="22" w:lineRule="atLeast"/>
              <w:jc w:val="both"/>
              <w:rPr>
                <w:rFonts w:ascii="Garamond" w:hAnsi="Garamond"/>
                <w:b/>
                <w:sz w:val="22"/>
                <w:szCs w:val="22"/>
                <w:lang w:eastAsia="en-US"/>
              </w:rPr>
            </w:pPr>
          </w:p>
        </w:tc>
        <w:tc>
          <w:tcPr>
            <w:tcW w:w="6662" w:type="dxa"/>
          </w:tcPr>
          <w:p w14:paraId="385EB801" w14:textId="77777777" w:rsidR="00295C6D" w:rsidRPr="00A5626D" w:rsidRDefault="00295C6D" w:rsidP="00E31AE6">
            <w:pPr>
              <w:numPr>
                <w:ilvl w:val="1"/>
                <w:numId w:val="0"/>
              </w:numPr>
              <w:tabs>
                <w:tab w:val="left" w:pos="1134"/>
                <w:tab w:val="left" w:pos="7938"/>
              </w:tabs>
              <w:rPr>
                <w:rFonts w:ascii="Garamond" w:hAnsi="Garamond" w:cstheme="minorHAnsi"/>
                <w:b/>
                <w:iCs/>
                <w:spacing w:val="15"/>
                <w:sz w:val="22"/>
                <w:szCs w:val="22"/>
                <w:lang w:val="en-US"/>
              </w:rPr>
            </w:pPr>
            <w:r w:rsidRPr="00A5626D">
              <w:rPr>
                <w:rFonts w:ascii="Garamond" w:hAnsi="Garamond" w:cstheme="minorHAnsi"/>
                <w:b/>
                <w:iCs/>
                <w:spacing w:val="15"/>
                <w:sz w:val="22"/>
                <w:szCs w:val="22"/>
              </w:rPr>
              <w:t>Структура</w:t>
            </w:r>
            <w:r w:rsidRPr="00A5626D">
              <w:rPr>
                <w:rFonts w:ascii="Garamond" w:hAnsi="Garamond" w:cstheme="minorHAnsi"/>
                <w:b/>
                <w:iCs/>
                <w:spacing w:val="15"/>
                <w:sz w:val="22"/>
                <w:szCs w:val="22"/>
                <w:lang w:val="en-US"/>
              </w:rPr>
              <w:t xml:space="preserve"> </w:t>
            </w:r>
            <w:r w:rsidRPr="00A5626D">
              <w:rPr>
                <w:rFonts w:ascii="Garamond" w:hAnsi="Garamond" w:cstheme="minorHAnsi"/>
                <w:b/>
                <w:iCs/>
                <w:spacing w:val="15"/>
                <w:sz w:val="22"/>
                <w:szCs w:val="22"/>
              </w:rPr>
              <w:t>документа</w:t>
            </w:r>
            <w:r w:rsidRPr="00A5626D">
              <w:rPr>
                <w:rFonts w:ascii="Garamond" w:hAnsi="Garamond" w:cstheme="minorHAnsi"/>
                <w:b/>
                <w:iCs/>
                <w:spacing w:val="15"/>
                <w:sz w:val="22"/>
                <w:szCs w:val="22"/>
                <w:lang w:val="en-US"/>
              </w:rPr>
              <w:t xml:space="preserve"> 60002</w:t>
            </w:r>
          </w:p>
          <w:p w14:paraId="24C5CD1D" w14:textId="77777777" w:rsidR="00295C6D" w:rsidRPr="00A5626D" w:rsidRDefault="00295C6D" w:rsidP="00E31AE6">
            <w:pPr>
              <w:numPr>
                <w:ilvl w:val="1"/>
                <w:numId w:val="0"/>
              </w:numPr>
              <w:tabs>
                <w:tab w:val="left" w:pos="1134"/>
                <w:tab w:val="left" w:pos="7938"/>
              </w:tabs>
              <w:rPr>
                <w:rFonts w:ascii="Garamond" w:hAnsi="Garamond" w:cstheme="minorHAnsi"/>
                <w:b/>
                <w:iCs/>
                <w:spacing w:val="15"/>
                <w:sz w:val="22"/>
                <w:szCs w:val="22"/>
                <w:lang w:val="en-US"/>
              </w:rPr>
            </w:pPr>
          </w:p>
          <w:p w14:paraId="535AA7B4" w14:textId="77777777" w:rsidR="00295C6D" w:rsidRPr="00A5626D" w:rsidRDefault="00295C6D" w:rsidP="00E31AE6">
            <w:pPr>
              <w:numPr>
                <w:ilvl w:val="1"/>
                <w:numId w:val="0"/>
              </w:numPr>
              <w:tabs>
                <w:tab w:val="left" w:pos="1134"/>
                <w:tab w:val="left" w:pos="7938"/>
              </w:tabs>
              <w:rPr>
                <w:rFonts w:ascii="Garamond" w:eastAsia="Calibri" w:hAnsi="Garamond" w:cstheme="minorHAnsi"/>
                <w:sz w:val="22"/>
                <w:szCs w:val="22"/>
                <w:lang w:val="en-US"/>
              </w:rPr>
            </w:pPr>
            <w:r w:rsidRPr="00A5626D">
              <w:rPr>
                <w:rFonts w:ascii="Garamond" w:eastAsia="Calibri" w:hAnsi="Garamond" w:cstheme="minorHAnsi"/>
                <w:sz w:val="22"/>
                <w:szCs w:val="22"/>
                <w:lang w:val="en-US"/>
              </w:rPr>
              <w:t>&lt;?xml version="1.0" encoding="Windows-1251" standalone="yes"?&gt;</w:t>
            </w:r>
          </w:p>
          <w:p w14:paraId="57E079E2" w14:textId="77777777" w:rsidR="00295C6D" w:rsidRPr="00A5626D" w:rsidRDefault="00295C6D" w:rsidP="00E31AE6">
            <w:pPr>
              <w:numPr>
                <w:ilvl w:val="1"/>
                <w:numId w:val="0"/>
              </w:numPr>
              <w:tabs>
                <w:tab w:val="left" w:pos="1134"/>
                <w:tab w:val="left" w:pos="7938"/>
              </w:tabs>
              <w:rPr>
                <w:rFonts w:ascii="Garamond" w:eastAsia="Calibri" w:hAnsi="Garamond" w:cstheme="minorHAnsi"/>
                <w:sz w:val="22"/>
                <w:szCs w:val="22"/>
                <w:lang w:val="en-US"/>
              </w:rPr>
            </w:pPr>
            <w:r w:rsidRPr="00A5626D">
              <w:rPr>
                <w:rFonts w:ascii="Garamond" w:eastAsia="Calibri" w:hAnsi="Garamond" w:cstheme="minorHAnsi"/>
                <w:sz w:val="22"/>
                <w:szCs w:val="22"/>
                <w:lang w:val="en-US"/>
              </w:rPr>
              <w:t>&lt;message</w:t>
            </w:r>
          </w:p>
          <w:p w14:paraId="59B0B69B" w14:textId="77777777" w:rsidR="00295C6D" w:rsidRPr="00A5626D" w:rsidRDefault="00295C6D" w:rsidP="00E31AE6">
            <w:pPr>
              <w:numPr>
                <w:ilvl w:val="1"/>
                <w:numId w:val="0"/>
              </w:numPr>
              <w:tabs>
                <w:tab w:val="left" w:pos="1134"/>
                <w:tab w:val="left" w:pos="7938"/>
              </w:tabs>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class="5x"</w:t>
            </w:r>
          </w:p>
          <w:p w14:paraId="6B5A3A8A" w14:textId="77777777" w:rsidR="00295C6D" w:rsidRPr="00A5626D" w:rsidRDefault="00295C6D" w:rsidP="00E31AE6">
            <w:pPr>
              <w:numPr>
                <w:ilvl w:val="1"/>
                <w:numId w:val="0"/>
              </w:numPr>
              <w:tabs>
                <w:tab w:val="left" w:pos="1134"/>
                <w:tab w:val="left" w:pos="7938"/>
              </w:tabs>
              <w:rPr>
                <w:rFonts w:ascii="Garamond" w:hAnsi="Garamond" w:cstheme="minorHAnsi"/>
                <w:sz w:val="22"/>
                <w:szCs w:val="22"/>
                <w:lang w:val="en-US"/>
              </w:rPr>
            </w:pPr>
            <w:r w:rsidRPr="00A5626D">
              <w:rPr>
                <w:rFonts w:ascii="Garamond" w:eastAsia="Calibri" w:hAnsi="Garamond" w:cstheme="minorHAnsi"/>
                <w:sz w:val="22"/>
                <w:szCs w:val="22"/>
                <w:lang w:val="en-US"/>
              </w:rPr>
              <w:t xml:space="preserve">    version="5x"</w:t>
            </w:r>
          </w:p>
          <w:p w14:paraId="7F849EFD" w14:textId="77777777" w:rsidR="00295C6D" w:rsidRPr="00A5626D" w:rsidRDefault="00295C6D" w:rsidP="00E31AE6">
            <w:pPr>
              <w:numPr>
                <w:ilvl w:val="1"/>
                <w:numId w:val="0"/>
              </w:numPr>
              <w:tabs>
                <w:tab w:val="left" w:pos="1134"/>
                <w:tab w:val="left" w:pos="7938"/>
              </w:tabs>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generationtime="YYYYMMDDhhmmssGMT+N"&gt;</w:t>
            </w:r>
          </w:p>
          <w:p w14:paraId="1DD44E9E" w14:textId="77777777" w:rsidR="00295C6D" w:rsidRPr="00A5626D" w:rsidRDefault="00295C6D" w:rsidP="00E31AE6">
            <w:pPr>
              <w:numPr>
                <w:ilvl w:val="1"/>
                <w:numId w:val="0"/>
              </w:numPr>
              <w:tabs>
                <w:tab w:val="left" w:pos="1134"/>
                <w:tab w:val="left" w:pos="7938"/>
              </w:tabs>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&lt;reply-to-file id-in-iasuku="15n" name="50x"&gt;</w:t>
            </w:r>
          </w:p>
          <w:p w14:paraId="74D8BCDE" w14:textId="77777777" w:rsidR="00295C6D" w:rsidRPr="00A5626D" w:rsidRDefault="00295C6D" w:rsidP="00E31AE6">
            <w:pPr>
              <w:numPr>
                <w:ilvl w:val="1"/>
                <w:numId w:val="0"/>
              </w:numPr>
              <w:tabs>
                <w:tab w:val="left" w:pos="1134"/>
                <w:tab w:val="left" w:pos="7938"/>
              </w:tabs>
              <w:rPr>
                <w:rFonts w:ascii="Garamond" w:eastAsia="Calibri" w:hAnsi="Garamond" w:cstheme="minorHAnsi"/>
                <w:sz w:val="22"/>
                <w:szCs w:val="22"/>
                <w:lang w:val="en-US"/>
              </w:rPr>
            </w:pPr>
            <w:r w:rsidRPr="00A5626D">
              <w:rPr>
                <w:rFonts w:ascii="Garamond" w:eastAsia="Calibri" w:hAnsi="Garamond" w:cstheme="minorHAnsi"/>
                <w:sz w:val="22"/>
                <w:szCs w:val="22"/>
                <w:lang w:val="en-US"/>
              </w:rPr>
              <w:tab/>
              <w:t>&lt;signatures&gt;</w:t>
            </w:r>
          </w:p>
          <w:p w14:paraId="39D276B4" w14:textId="77777777" w:rsidR="00295C6D" w:rsidRPr="00A5626D" w:rsidRDefault="00295C6D" w:rsidP="00E31AE6">
            <w:pPr>
              <w:numPr>
                <w:ilvl w:val="1"/>
                <w:numId w:val="0"/>
              </w:numPr>
              <w:tabs>
                <w:tab w:val="left" w:pos="1134"/>
                <w:tab w:val="left" w:pos="7938"/>
              </w:tabs>
              <w:rPr>
                <w:rFonts w:ascii="Garamond" w:eastAsia="Calibri" w:hAnsi="Garamond" w:cstheme="minorHAnsi"/>
                <w:sz w:val="22"/>
                <w:szCs w:val="22"/>
                <w:lang w:val="en-US"/>
              </w:rPr>
            </w:pPr>
            <w:r w:rsidRPr="00A5626D">
              <w:rPr>
                <w:rFonts w:ascii="Garamond" w:eastAsia="Calibri" w:hAnsi="Garamond" w:cstheme="minorHAnsi"/>
                <w:sz w:val="22"/>
                <w:szCs w:val="22"/>
                <w:lang w:val="en-US"/>
              </w:rPr>
              <w:tab/>
            </w:r>
            <w:r w:rsidRPr="00A5626D">
              <w:rPr>
                <w:rFonts w:ascii="Garamond" w:eastAsia="Calibri" w:hAnsi="Garamond" w:cstheme="minorHAnsi"/>
                <w:sz w:val="22"/>
                <w:szCs w:val="22"/>
                <w:lang w:val="en-US"/>
              </w:rPr>
              <w:tab/>
              <w:t>&lt;signature trader-code="8x" e-mail="256x" signer-name="512x" signing-time="</w:t>
            </w:r>
            <w:r w:rsidRPr="00A5626D">
              <w:rPr>
                <w:rFonts w:ascii="Garamond" w:hAnsi="Garamond" w:cstheme="minorHAnsi"/>
                <w:sz w:val="22"/>
                <w:szCs w:val="22"/>
                <w:lang w:val="en-US"/>
              </w:rPr>
              <w:t>YYYYMMDDhhmmss</w:t>
            </w:r>
            <w:r w:rsidRPr="00A5626D">
              <w:rPr>
                <w:rFonts w:ascii="Garamond" w:eastAsia="Calibri" w:hAnsi="Garamond" w:cstheme="minorHAnsi"/>
                <w:sz w:val="22"/>
                <w:szCs w:val="22"/>
                <w:lang w:val="en-US"/>
              </w:rPr>
              <w:t>" certificate-serial-number="50n"/&gt;</w:t>
            </w:r>
          </w:p>
          <w:p w14:paraId="5A209A27" w14:textId="77777777" w:rsidR="00295C6D" w:rsidRPr="00A5626D" w:rsidRDefault="00295C6D" w:rsidP="00E31AE6">
            <w:pPr>
              <w:numPr>
                <w:ilvl w:val="1"/>
                <w:numId w:val="0"/>
              </w:numPr>
              <w:tabs>
                <w:tab w:val="left" w:pos="1134"/>
                <w:tab w:val="left" w:pos="7938"/>
              </w:tabs>
              <w:rPr>
                <w:rFonts w:ascii="Garamond" w:eastAsia="Calibri" w:hAnsi="Garamond" w:cstheme="minorHAnsi"/>
                <w:sz w:val="22"/>
                <w:szCs w:val="22"/>
                <w:lang w:val="en-US"/>
              </w:rPr>
            </w:pPr>
            <w:r w:rsidRPr="00A5626D">
              <w:rPr>
                <w:rFonts w:ascii="Garamond" w:eastAsia="Calibri" w:hAnsi="Garamond" w:cstheme="minorHAnsi"/>
                <w:sz w:val="22"/>
                <w:szCs w:val="22"/>
                <w:lang w:val="en-US"/>
              </w:rPr>
              <w:tab/>
              <w:t>&lt;/signatures&gt;</w:t>
            </w:r>
          </w:p>
          <w:p w14:paraId="2FC69DF0" w14:textId="77777777" w:rsidR="00295C6D" w:rsidRPr="00A5626D" w:rsidRDefault="00295C6D" w:rsidP="00E31AE6">
            <w:pPr>
              <w:numPr>
                <w:ilvl w:val="1"/>
                <w:numId w:val="0"/>
              </w:numPr>
              <w:tabs>
                <w:tab w:val="left" w:pos="1134"/>
                <w:tab w:val="left" w:pos="7938"/>
              </w:tabs>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&lt;/reply-to-file&gt;</w:t>
            </w:r>
          </w:p>
          <w:p w14:paraId="71A5DCDF" w14:textId="77777777" w:rsidR="00295C6D" w:rsidRPr="00A5626D" w:rsidRDefault="00295C6D" w:rsidP="00E31AE6">
            <w:pPr>
              <w:numPr>
                <w:ilvl w:val="1"/>
                <w:numId w:val="0"/>
              </w:numPr>
              <w:tabs>
                <w:tab w:val="left" w:pos="1134"/>
                <w:tab w:val="left" w:pos="7938"/>
              </w:tabs>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&lt;body&gt;</w:t>
            </w:r>
          </w:p>
          <w:p w14:paraId="03174B4E" w14:textId="77777777" w:rsidR="00295C6D" w:rsidRPr="00A5626D" w:rsidRDefault="00295C6D" w:rsidP="00E31AE6">
            <w:pPr>
              <w:numPr>
                <w:ilvl w:val="1"/>
                <w:numId w:val="0"/>
              </w:numPr>
              <w:tabs>
                <w:tab w:val="left" w:pos="1134"/>
                <w:tab w:val="left" w:pos="7938"/>
              </w:tabs>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&lt;dictionaries&gt;</w:t>
            </w:r>
          </w:p>
          <w:p w14:paraId="2FB09F37" w14:textId="77777777" w:rsidR="00295C6D" w:rsidRPr="00A5626D" w:rsidRDefault="00295C6D" w:rsidP="00E31AE6">
            <w:pPr>
              <w:numPr>
                <w:ilvl w:val="1"/>
                <w:numId w:val="0"/>
              </w:numPr>
              <w:tabs>
                <w:tab w:val="left" w:pos="1134"/>
                <w:tab w:val="left" w:pos="7938"/>
              </w:tabs>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&lt;organizations&gt;</w:t>
            </w:r>
          </w:p>
          <w:p w14:paraId="25D8DD72" w14:textId="77777777" w:rsidR="00295C6D" w:rsidRPr="00A5626D" w:rsidRDefault="00295C6D" w:rsidP="00E31AE6">
            <w:pPr>
              <w:numPr>
                <w:ilvl w:val="1"/>
                <w:numId w:val="0"/>
              </w:numPr>
              <w:tabs>
                <w:tab w:val="left" w:pos="1134"/>
                <w:tab w:val="left" w:pos="7938"/>
              </w:tabs>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&lt;organization </w:t>
            </w:r>
          </w:p>
          <w:p w14:paraId="0BB42E71" w14:textId="77777777" w:rsidR="00295C6D" w:rsidRPr="00A5626D" w:rsidRDefault="00295C6D" w:rsidP="00E31AE6">
            <w:pPr>
              <w:numPr>
                <w:ilvl w:val="1"/>
                <w:numId w:val="0"/>
              </w:numPr>
              <w:tabs>
                <w:tab w:val="left" w:pos="1134"/>
                <w:tab w:val="left" w:pos="7938"/>
              </w:tabs>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id-org="1n"</w:t>
            </w:r>
          </w:p>
          <w:p w14:paraId="1A66583B" w14:textId="77777777" w:rsidR="00295C6D" w:rsidRPr="00A5626D" w:rsidRDefault="00295C6D" w:rsidP="00E31AE6">
            <w:pPr>
              <w:numPr>
                <w:ilvl w:val="1"/>
                <w:numId w:val="0"/>
              </w:numPr>
              <w:tabs>
                <w:tab w:val="left" w:pos="1134"/>
                <w:tab w:val="left" w:pos="7938"/>
              </w:tabs>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trader-code="8x"</w:t>
            </w:r>
          </w:p>
          <w:p w14:paraId="6353853B" w14:textId="77777777" w:rsidR="00295C6D" w:rsidRPr="00A5626D" w:rsidRDefault="00295C6D" w:rsidP="00E31AE6">
            <w:pPr>
              <w:numPr>
                <w:ilvl w:val="1"/>
                <w:numId w:val="0"/>
              </w:numPr>
              <w:tabs>
                <w:tab w:val="left" w:pos="1134"/>
                <w:tab w:val="left" w:pos="7938"/>
              </w:tabs>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name="250x"</w:t>
            </w:r>
          </w:p>
          <w:p w14:paraId="162B124F" w14:textId="77777777" w:rsidR="00295C6D" w:rsidRPr="00A5626D" w:rsidRDefault="00295C6D" w:rsidP="00E31AE6">
            <w:pPr>
              <w:numPr>
                <w:ilvl w:val="1"/>
                <w:numId w:val="0"/>
              </w:numPr>
              <w:tabs>
                <w:tab w:val="left" w:pos="1134"/>
                <w:tab w:val="left" w:pos="7938"/>
              </w:tabs>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phone="250x"</w:t>
            </w:r>
          </w:p>
          <w:p w14:paraId="0D6A2D6E" w14:textId="77777777" w:rsidR="00295C6D" w:rsidRPr="00A5626D" w:rsidRDefault="00295C6D" w:rsidP="00E31AE6">
            <w:pPr>
              <w:numPr>
                <w:ilvl w:val="1"/>
                <w:numId w:val="0"/>
              </w:numPr>
              <w:tabs>
                <w:tab w:val="left" w:pos="1134"/>
                <w:tab w:val="left" w:pos="7938"/>
              </w:tabs>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fax="250x"</w:t>
            </w:r>
          </w:p>
          <w:p w14:paraId="3D5D8870" w14:textId="77777777" w:rsidR="00295C6D" w:rsidRPr="00A5626D" w:rsidRDefault="00295C6D" w:rsidP="00E31AE6">
            <w:pPr>
              <w:numPr>
                <w:ilvl w:val="1"/>
                <w:numId w:val="0"/>
              </w:numPr>
              <w:tabs>
                <w:tab w:val="left" w:pos="1134"/>
                <w:tab w:val="left" w:pos="7938"/>
              </w:tabs>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e-mail="250x"</w:t>
            </w:r>
          </w:p>
          <w:p w14:paraId="4848025C" w14:textId="77777777" w:rsidR="00295C6D" w:rsidRPr="00A5626D" w:rsidRDefault="00295C6D" w:rsidP="00E31AE6">
            <w:pPr>
              <w:numPr>
                <w:ilvl w:val="1"/>
                <w:numId w:val="0"/>
              </w:numPr>
              <w:tabs>
                <w:tab w:val="left" w:pos="1134"/>
                <w:tab w:val="left" w:pos="7938"/>
              </w:tabs>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u-address="250x"</w:t>
            </w:r>
          </w:p>
          <w:p w14:paraId="0D8F5CD1" w14:textId="77777777" w:rsidR="00295C6D" w:rsidRPr="00A5626D" w:rsidRDefault="00295C6D" w:rsidP="00E31AE6">
            <w:pPr>
              <w:numPr>
                <w:ilvl w:val="1"/>
                <w:numId w:val="0"/>
              </w:numPr>
              <w:tabs>
                <w:tab w:val="left" w:pos="1134"/>
                <w:tab w:val="left" w:pos="7938"/>
              </w:tabs>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p-address="250x"</w:t>
            </w:r>
          </w:p>
          <w:p w14:paraId="4FE865C9" w14:textId="77777777" w:rsidR="00295C6D" w:rsidRPr="00A5626D" w:rsidRDefault="00295C6D" w:rsidP="00E31AE6">
            <w:pPr>
              <w:numPr>
                <w:ilvl w:val="1"/>
                <w:numId w:val="0"/>
              </w:numPr>
              <w:tabs>
                <w:tab w:val="left" w:pos="1134"/>
                <w:tab w:val="left" w:pos="7938"/>
              </w:tabs>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contact-info="500x"&gt;</w:t>
            </w:r>
          </w:p>
          <w:p w14:paraId="2195C223" w14:textId="77777777" w:rsidR="00295C6D" w:rsidRPr="00A5626D" w:rsidRDefault="00295C6D" w:rsidP="00E31AE6">
            <w:pPr>
              <w:numPr>
                <w:ilvl w:val="1"/>
                <w:numId w:val="0"/>
              </w:numPr>
              <w:tabs>
                <w:tab w:val="left" w:pos="1134"/>
                <w:tab w:val="left" w:pos="7938"/>
              </w:tabs>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&lt;/organizations&gt;</w:t>
            </w:r>
          </w:p>
          <w:p w14:paraId="094584B2" w14:textId="77777777" w:rsidR="00295C6D" w:rsidRPr="00A5626D" w:rsidRDefault="00295C6D" w:rsidP="00E31AE6">
            <w:pPr>
              <w:numPr>
                <w:ilvl w:val="1"/>
                <w:numId w:val="0"/>
              </w:numPr>
              <w:tabs>
                <w:tab w:val="left" w:pos="1134"/>
                <w:tab w:val="left" w:pos="7938"/>
              </w:tabs>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&lt;gtps&gt;</w:t>
            </w:r>
          </w:p>
          <w:p w14:paraId="4B005B2F" w14:textId="77777777" w:rsidR="00295C6D" w:rsidRPr="00A5626D" w:rsidRDefault="00295C6D" w:rsidP="00E31AE6">
            <w:pPr>
              <w:numPr>
                <w:ilvl w:val="1"/>
                <w:numId w:val="0"/>
              </w:numPr>
              <w:tabs>
                <w:tab w:val="left" w:pos="1134"/>
                <w:tab w:val="left" w:pos="7938"/>
              </w:tabs>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&lt;gtpp</w:t>
            </w:r>
          </w:p>
          <w:p w14:paraId="67B6EE97" w14:textId="77777777" w:rsidR="00295C6D" w:rsidRPr="00A5626D" w:rsidRDefault="00295C6D" w:rsidP="00E31AE6">
            <w:pPr>
              <w:numPr>
                <w:ilvl w:val="1"/>
                <w:numId w:val="0"/>
              </w:numPr>
              <w:tabs>
                <w:tab w:val="left" w:pos="1134"/>
                <w:tab w:val="left" w:pos="7938"/>
              </w:tabs>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id-gtp="1n"</w:t>
            </w:r>
          </w:p>
          <w:p w14:paraId="6FEC12DC" w14:textId="77777777" w:rsidR="00295C6D" w:rsidRPr="00A5626D" w:rsidRDefault="00295C6D" w:rsidP="00E31AE6">
            <w:pPr>
              <w:numPr>
                <w:ilvl w:val="1"/>
                <w:numId w:val="0"/>
              </w:numPr>
              <w:tabs>
                <w:tab w:val="left" w:pos="1134"/>
                <w:tab w:val="left" w:pos="7938"/>
              </w:tabs>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id-org="1n"</w:t>
            </w:r>
          </w:p>
          <w:p w14:paraId="4E9C735D" w14:textId="77777777" w:rsidR="00295C6D" w:rsidRPr="00A5626D" w:rsidRDefault="00295C6D" w:rsidP="00E31AE6">
            <w:pPr>
              <w:numPr>
                <w:ilvl w:val="1"/>
                <w:numId w:val="0"/>
              </w:numPr>
              <w:tabs>
                <w:tab w:val="left" w:pos="1134"/>
                <w:tab w:val="left" w:pos="7938"/>
              </w:tabs>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gtp-code="8x"</w:t>
            </w:r>
          </w:p>
          <w:p w14:paraId="630290EC" w14:textId="77777777" w:rsidR="00295C6D" w:rsidRPr="00A5626D" w:rsidRDefault="00295C6D" w:rsidP="00E31AE6">
            <w:pPr>
              <w:numPr>
                <w:ilvl w:val="1"/>
                <w:numId w:val="0"/>
              </w:numPr>
              <w:tabs>
                <w:tab w:val="left" w:pos="1134"/>
                <w:tab w:val="left" w:pos="7938"/>
              </w:tabs>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gtp-name="250x"&gt;</w:t>
            </w:r>
          </w:p>
          <w:p w14:paraId="747E9B47" w14:textId="77777777" w:rsidR="00295C6D" w:rsidRPr="00A5626D" w:rsidRDefault="00295C6D" w:rsidP="00E31AE6">
            <w:pPr>
              <w:numPr>
                <w:ilvl w:val="1"/>
                <w:numId w:val="0"/>
              </w:numPr>
              <w:tabs>
                <w:tab w:val="left" w:pos="1134"/>
                <w:tab w:val="left" w:pos="7938"/>
              </w:tabs>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&lt;gtpg</w:t>
            </w:r>
          </w:p>
          <w:p w14:paraId="3817E210" w14:textId="77777777" w:rsidR="00295C6D" w:rsidRPr="00A5626D" w:rsidRDefault="00295C6D" w:rsidP="00E31AE6">
            <w:pPr>
              <w:numPr>
                <w:ilvl w:val="1"/>
                <w:numId w:val="0"/>
              </w:numPr>
              <w:tabs>
                <w:tab w:val="left" w:pos="1134"/>
                <w:tab w:val="left" w:pos="7938"/>
              </w:tabs>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id-gtp="1n"</w:t>
            </w:r>
          </w:p>
          <w:p w14:paraId="07484F9D" w14:textId="77777777" w:rsidR="00295C6D" w:rsidRPr="00A5626D" w:rsidRDefault="00295C6D" w:rsidP="00E31AE6">
            <w:pPr>
              <w:numPr>
                <w:ilvl w:val="1"/>
                <w:numId w:val="0"/>
              </w:numPr>
              <w:tabs>
                <w:tab w:val="left" w:pos="1134"/>
                <w:tab w:val="left" w:pos="7938"/>
              </w:tabs>
              <w:rPr>
                <w:rFonts w:ascii="Garamond" w:eastAsia="Calibri" w:hAnsi="Garamond" w:cstheme="minorHAnsi"/>
                <w:sz w:val="22"/>
                <w:szCs w:val="22"/>
                <w:lang w:val="en-US"/>
              </w:rPr>
            </w:pPr>
            <w:r w:rsidRPr="00A5626D">
              <w:rPr>
                <w:rFonts w:ascii="Garamond" w:eastAsia="Calibri" w:hAnsi="Garamond" w:cstheme="minorHAnsi"/>
                <w:sz w:val="22"/>
                <w:szCs w:val="22"/>
                <w:lang w:val="en-US"/>
              </w:rPr>
              <w:lastRenderedPageBreak/>
              <w:t xml:space="preserve">                         gtp-code="8x"</w:t>
            </w:r>
          </w:p>
          <w:p w14:paraId="7C22FEAB" w14:textId="77777777" w:rsidR="00295C6D" w:rsidRPr="00A5626D" w:rsidRDefault="00295C6D" w:rsidP="00E31AE6">
            <w:pPr>
              <w:numPr>
                <w:ilvl w:val="1"/>
                <w:numId w:val="0"/>
              </w:numPr>
              <w:tabs>
                <w:tab w:val="left" w:pos="1134"/>
                <w:tab w:val="left" w:pos="7938"/>
              </w:tabs>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gtp-name="250x"/&gt;</w:t>
            </w:r>
          </w:p>
          <w:p w14:paraId="6590CEA5" w14:textId="77777777" w:rsidR="00295C6D" w:rsidRPr="00A5626D" w:rsidRDefault="00295C6D" w:rsidP="00E31AE6">
            <w:pPr>
              <w:numPr>
                <w:ilvl w:val="1"/>
                <w:numId w:val="0"/>
              </w:numPr>
              <w:tabs>
                <w:tab w:val="left" w:pos="1134"/>
                <w:tab w:val="left" w:pos="7938"/>
              </w:tabs>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&lt;/gtpp&gt;</w:t>
            </w:r>
          </w:p>
          <w:p w14:paraId="7F5478C3" w14:textId="77777777" w:rsidR="00295C6D" w:rsidRPr="00A5626D" w:rsidRDefault="00295C6D" w:rsidP="00E31AE6">
            <w:pPr>
              <w:numPr>
                <w:ilvl w:val="1"/>
                <w:numId w:val="0"/>
              </w:numPr>
              <w:tabs>
                <w:tab w:val="left" w:pos="1134"/>
                <w:tab w:val="left" w:pos="7938"/>
              </w:tabs>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&lt;/gtps&gt;</w:t>
            </w:r>
          </w:p>
          <w:p w14:paraId="66A9D576" w14:textId="77777777" w:rsidR="00295C6D" w:rsidRPr="00A5626D" w:rsidRDefault="00295C6D" w:rsidP="00E31AE6">
            <w:pPr>
              <w:numPr>
                <w:ilvl w:val="1"/>
                <w:numId w:val="0"/>
              </w:numPr>
              <w:tabs>
                <w:tab w:val="left" w:pos="1134"/>
                <w:tab w:val="left" w:pos="7938"/>
              </w:tabs>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&lt;power-object-owners&gt;</w:t>
            </w:r>
          </w:p>
          <w:p w14:paraId="1C6EFD31" w14:textId="77777777" w:rsidR="00295C6D" w:rsidRPr="00A5626D" w:rsidRDefault="00295C6D" w:rsidP="00E31AE6">
            <w:pPr>
              <w:numPr>
                <w:ilvl w:val="1"/>
                <w:numId w:val="0"/>
              </w:numPr>
              <w:tabs>
                <w:tab w:val="left" w:pos="1134"/>
                <w:tab w:val="left" w:pos="7938"/>
              </w:tabs>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&lt;power-object-owner</w:t>
            </w:r>
          </w:p>
          <w:p w14:paraId="68F3F4CD" w14:textId="77777777" w:rsidR="00295C6D" w:rsidRPr="00A5626D" w:rsidRDefault="00295C6D" w:rsidP="00E31AE6">
            <w:pPr>
              <w:numPr>
                <w:ilvl w:val="1"/>
                <w:numId w:val="0"/>
              </w:numPr>
              <w:tabs>
                <w:tab w:val="left" w:pos="1134"/>
                <w:tab w:val="left" w:pos="7938"/>
              </w:tabs>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name="250x"</w:t>
            </w:r>
          </w:p>
          <w:p w14:paraId="7203388F" w14:textId="77777777" w:rsidR="00295C6D" w:rsidRPr="00A5626D" w:rsidRDefault="00295C6D" w:rsidP="00E31AE6">
            <w:pPr>
              <w:numPr>
                <w:ilvl w:val="1"/>
                <w:numId w:val="0"/>
              </w:numPr>
              <w:tabs>
                <w:tab w:val="left" w:pos="1134"/>
                <w:tab w:val="left" w:pos="7938"/>
              </w:tabs>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inn="10n"</w:t>
            </w:r>
          </w:p>
          <w:p w14:paraId="009DA8DC" w14:textId="77777777" w:rsidR="00295C6D" w:rsidRPr="00A5626D" w:rsidRDefault="00295C6D" w:rsidP="00E31AE6">
            <w:pPr>
              <w:numPr>
                <w:ilvl w:val="1"/>
                <w:numId w:val="0"/>
              </w:numPr>
              <w:tabs>
                <w:tab w:val="left" w:pos="1134"/>
                <w:tab w:val="left" w:pos="7938"/>
              </w:tabs>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id-power-object-owner="4n"/&gt;</w:t>
            </w:r>
          </w:p>
          <w:p w14:paraId="3B63AA68" w14:textId="77777777" w:rsidR="00295C6D" w:rsidRPr="00A5626D" w:rsidRDefault="00295C6D" w:rsidP="00E31AE6">
            <w:pPr>
              <w:numPr>
                <w:ilvl w:val="1"/>
                <w:numId w:val="0"/>
              </w:numPr>
              <w:tabs>
                <w:tab w:val="left" w:pos="1134"/>
                <w:tab w:val="left" w:pos="7938"/>
              </w:tabs>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&lt;/power-object-owners&gt;</w:t>
            </w:r>
          </w:p>
          <w:p w14:paraId="798D313E" w14:textId="77777777" w:rsidR="00295C6D" w:rsidRPr="00A5626D" w:rsidRDefault="00295C6D" w:rsidP="00E31AE6">
            <w:pPr>
              <w:numPr>
                <w:ilvl w:val="1"/>
                <w:numId w:val="0"/>
              </w:numPr>
              <w:tabs>
                <w:tab w:val="left" w:pos="1134"/>
                <w:tab w:val="left" w:pos="7938"/>
              </w:tabs>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&lt;aiises&gt;</w:t>
            </w:r>
          </w:p>
          <w:p w14:paraId="38A71E8C" w14:textId="77777777" w:rsidR="00295C6D" w:rsidRPr="00A5626D" w:rsidRDefault="00295C6D" w:rsidP="00E31AE6">
            <w:pPr>
              <w:numPr>
                <w:ilvl w:val="1"/>
                <w:numId w:val="0"/>
              </w:numPr>
              <w:tabs>
                <w:tab w:val="left" w:pos="1134"/>
                <w:tab w:val="left" w:pos="7938"/>
              </w:tabs>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&lt;aiis</w:t>
            </w:r>
          </w:p>
          <w:p w14:paraId="7E4BA09F" w14:textId="77777777" w:rsidR="00295C6D" w:rsidRPr="00A5626D" w:rsidRDefault="00295C6D" w:rsidP="00E31AE6">
            <w:pPr>
              <w:numPr>
                <w:ilvl w:val="1"/>
                <w:numId w:val="0"/>
              </w:numPr>
              <w:tabs>
                <w:tab w:val="left" w:pos="1134"/>
                <w:tab w:val="left" w:pos="7938"/>
              </w:tabs>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id-aiis="1n"</w:t>
            </w:r>
          </w:p>
          <w:p w14:paraId="365DE3B5" w14:textId="77777777" w:rsidR="00295C6D" w:rsidRPr="00A5626D" w:rsidRDefault="00295C6D" w:rsidP="00E31AE6">
            <w:pPr>
              <w:numPr>
                <w:ilvl w:val="1"/>
                <w:numId w:val="0"/>
              </w:numPr>
              <w:tabs>
                <w:tab w:val="left" w:pos="1134"/>
                <w:tab w:val="left" w:pos="7938"/>
              </w:tabs>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id-gtp="1n"</w:t>
            </w:r>
          </w:p>
          <w:p w14:paraId="4AF5589E" w14:textId="77777777" w:rsidR="00295C6D" w:rsidRPr="00A5626D" w:rsidRDefault="00295C6D" w:rsidP="00E31AE6">
            <w:pPr>
              <w:numPr>
                <w:ilvl w:val="1"/>
                <w:numId w:val="0"/>
              </w:numPr>
              <w:tabs>
                <w:tab w:val="left" w:pos="1134"/>
                <w:tab w:val="left" w:pos="7938"/>
              </w:tabs>
              <w:ind w:left="426"/>
              <w:rPr>
                <w:rFonts w:ascii="Garamond" w:eastAsia="Calibri" w:hAnsi="Garamond" w:cstheme="minorHAnsi"/>
                <w:sz w:val="22"/>
                <w:szCs w:val="22"/>
                <w:lang w:val="en-US"/>
              </w:rPr>
            </w:pPr>
            <w:r w:rsidRPr="00A5626D">
              <w:rPr>
                <w:rFonts w:ascii="Garamond" w:eastAsia="Calibri" w:hAnsi="Garamond" w:cstheme="minorHAnsi"/>
                <w:sz w:val="22"/>
                <w:szCs w:val="22"/>
                <w:lang w:val="en-US"/>
              </w:rPr>
              <w:tab/>
              <w:t xml:space="preserve">    name="512x"</w:t>
            </w:r>
          </w:p>
          <w:p w14:paraId="41557246" w14:textId="77777777" w:rsidR="00295C6D" w:rsidRPr="00A5626D" w:rsidRDefault="00295C6D" w:rsidP="00E31AE6">
            <w:pPr>
              <w:numPr>
                <w:ilvl w:val="1"/>
                <w:numId w:val="0"/>
              </w:numPr>
              <w:tabs>
                <w:tab w:val="left" w:pos="1134"/>
                <w:tab w:val="left" w:pos="7938"/>
              </w:tabs>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ats-code="10n"/&gt;</w:t>
            </w:r>
          </w:p>
          <w:p w14:paraId="060DCF36" w14:textId="77777777" w:rsidR="00295C6D" w:rsidRPr="00A5626D" w:rsidRDefault="00295C6D" w:rsidP="00E31AE6">
            <w:pPr>
              <w:numPr>
                <w:ilvl w:val="1"/>
                <w:numId w:val="0"/>
              </w:numPr>
              <w:tabs>
                <w:tab w:val="left" w:pos="1134"/>
                <w:tab w:val="left" w:pos="7938"/>
              </w:tabs>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&lt;area</w:t>
            </w:r>
          </w:p>
          <w:p w14:paraId="5AD2EDAF" w14:textId="77777777" w:rsidR="00295C6D" w:rsidRPr="00A5626D" w:rsidRDefault="00295C6D" w:rsidP="00E31AE6">
            <w:pPr>
              <w:numPr>
                <w:ilvl w:val="1"/>
                <w:numId w:val="0"/>
              </w:numPr>
              <w:tabs>
                <w:tab w:val="left" w:pos="1134"/>
                <w:tab w:val="left" w:pos="7938"/>
              </w:tabs>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ats-code="10n"</w:t>
            </w:r>
          </w:p>
          <w:p w14:paraId="68F52CB6" w14:textId="77777777" w:rsidR="00295C6D" w:rsidRPr="00A5626D" w:rsidRDefault="00295C6D" w:rsidP="00E31AE6">
            <w:pPr>
              <w:numPr>
                <w:ilvl w:val="1"/>
                <w:numId w:val="0"/>
              </w:numPr>
              <w:tabs>
                <w:tab w:val="left" w:pos="1134"/>
                <w:tab w:val="left" w:pos="7938"/>
              </w:tabs>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group-type="1/2"</w:t>
            </w:r>
          </w:p>
          <w:p w14:paraId="20C12FAA" w14:textId="77777777" w:rsidR="00295C6D" w:rsidRPr="00A5626D" w:rsidRDefault="00295C6D" w:rsidP="00E31AE6">
            <w:pPr>
              <w:numPr>
                <w:ilvl w:val="1"/>
                <w:numId w:val="0"/>
              </w:numPr>
              <w:tabs>
                <w:tab w:val="left" w:pos="1134"/>
                <w:tab w:val="left" w:pos="7938"/>
              </w:tabs>
              <w:rPr>
                <w:rFonts w:ascii="Garamond" w:eastAsia="Calibri" w:hAnsi="Garamond" w:cstheme="minorHAnsi"/>
                <w:sz w:val="22"/>
                <w:szCs w:val="22"/>
                <w:lang w:val="en-US"/>
              </w:rPr>
            </w:pPr>
            <w:r w:rsidRPr="00A5626D">
              <w:rPr>
                <w:rFonts w:ascii="Garamond" w:eastAsia="Calibri" w:hAnsi="Garamond" w:cstheme="minorHAnsi"/>
                <w:sz w:val="22"/>
                <w:szCs w:val="22"/>
                <w:lang w:val="en-US"/>
              </w:rPr>
              <w:tab/>
              <w:t xml:space="preserve">         time-zone="1/3"</w:t>
            </w:r>
          </w:p>
          <w:p w14:paraId="2E4E55AA" w14:textId="77777777" w:rsidR="00295C6D" w:rsidRPr="00A5626D" w:rsidRDefault="00295C6D" w:rsidP="00E31AE6">
            <w:pPr>
              <w:numPr>
                <w:ilvl w:val="1"/>
                <w:numId w:val="0"/>
              </w:numPr>
              <w:tabs>
                <w:tab w:val="left" w:pos="1134"/>
                <w:tab w:val="left" w:pos="7938"/>
              </w:tabs>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name="512x"/&gt;</w:t>
            </w:r>
          </w:p>
          <w:p w14:paraId="0E392A7C" w14:textId="77777777" w:rsidR="00295C6D" w:rsidRPr="00A5626D" w:rsidRDefault="00295C6D" w:rsidP="00E31AE6">
            <w:pPr>
              <w:numPr>
                <w:ilvl w:val="1"/>
                <w:numId w:val="0"/>
              </w:numPr>
              <w:tabs>
                <w:tab w:val="left" w:pos="1134"/>
                <w:tab w:val="left" w:pos="7938"/>
              </w:tabs>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&lt;/aiis&gt;</w:t>
            </w:r>
          </w:p>
          <w:p w14:paraId="421F94B7" w14:textId="77777777" w:rsidR="00295C6D" w:rsidRPr="00A5626D" w:rsidRDefault="00295C6D" w:rsidP="00E31AE6">
            <w:pPr>
              <w:numPr>
                <w:ilvl w:val="1"/>
                <w:numId w:val="0"/>
              </w:numPr>
              <w:tabs>
                <w:tab w:val="left" w:pos="1134"/>
                <w:tab w:val="left" w:pos="7938"/>
              </w:tabs>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&lt;/aiises&gt;</w:t>
            </w:r>
          </w:p>
          <w:p w14:paraId="5098F6C3" w14:textId="77777777" w:rsidR="00295C6D" w:rsidRPr="00A5626D" w:rsidRDefault="00295C6D" w:rsidP="00E31AE6">
            <w:pPr>
              <w:numPr>
                <w:ilvl w:val="1"/>
                <w:numId w:val="0"/>
              </w:numPr>
              <w:tabs>
                <w:tab w:val="left" w:pos="1134"/>
                <w:tab w:val="left" w:pos="7938"/>
              </w:tabs>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&lt;power-objects&gt;</w:t>
            </w:r>
          </w:p>
          <w:p w14:paraId="173F7F38" w14:textId="77777777" w:rsidR="00295C6D" w:rsidRPr="00A5626D" w:rsidRDefault="00295C6D" w:rsidP="00E31AE6">
            <w:pPr>
              <w:numPr>
                <w:ilvl w:val="1"/>
                <w:numId w:val="0"/>
              </w:numPr>
              <w:tabs>
                <w:tab w:val="left" w:pos="1134"/>
                <w:tab w:val="left" w:pos="7938"/>
              </w:tabs>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&lt;power-object</w:t>
            </w:r>
          </w:p>
          <w:p w14:paraId="7A003BCA" w14:textId="77777777" w:rsidR="00295C6D" w:rsidRPr="00A5626D" w:rsidRDefault="00295C6D" w:rsidP="00E31AE6">
            <w:pPr>
              <w:numPr>
                <w:ilvl w:val="1"/>
                <w:numId w:val="0"/>
              </w:numPr>
              <w:tabs>
                <w:tab w:val="left" w:pos="1134"/>
                <w:tab w:val="left" w:pos="7938"/>
              </w:tabs>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id-power-object="4n"</w:t>
            </w:r>
          </w:p>
          <w:p w14:paraId="7602BA47" w14:textId="77777777" w:rsidR="00295C6D" w:rsidRPr="00A5626D" w:rsidRDefault="00295C6D" w:rsidP="00E31AE6">
            <w:pPr>
              <w:numPr>
                <w:ilvl w:val="1"/>
                <w:numId w:val="0"/>
              </w:numPr>
              <w:tabs>
                <w:tab w:val="left" w:pos="1134"/>
                <w:tab w:val="left" w:pos="7938"/>
              </w:tabs>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guid="36x"</w:t>
            </w:r>
          </w:p>
          <w:p w14:paraId="61B12669" w14:textId="77777777" w:rsidR="00295C6D" w:rsidRPr="00A5626D" w:rsidRDefault="00295C6D" w:rsidP="00E31AE6">
            <w:pPr>
              <w:numPr>
                <w:ilvl w:val="1"/>
                <w:numId w:val="0"/>
              </w:numPr>
              <w:tabs>
                <w:tab w:val="left" w:pos="1134"/>
                <w:tab w:val="left" w:pos="7938"/>
              </w:tabs>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ats-code="9n"</w:t>
            </w:r>
          </w:p>
          <w:p w14:paraId="641B6448" w14:textId="77777777" w:rsidR="00295C6D" w:rsidRPr="00A5626D" w:rsidRDefault="00295C6D" w:rsidP="00E31AE6">
            <w:pPr>
              <w:numPr>
                <w:ilvl w:val="1"/>
                <w:numId w:val="0"/>
              </w:numPr>
              <w:tabs>
                <w:tab w:val="left" w:pos="1134"/>
                <w:tab w:val="left" w:pos="7938"/>
              </w:tabs>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name="512x"</w:t>
            </w:r>
          </w:p>
          <w:p w14:paraId="09E30BB4" w14:textId="77777777" w:rsidR="00295C6D" w:rsidRPr="00A5626D" w:rsidRDefault="00295C6D" w:rsidP="00E31AE6">
            <w:pPr>
              <w:numPr>
                <w:ilvl w:val="1"/>
                <w:numId w:val="0"/>
              </w:numPr>
              <w:tabs>
                <w:tab w:val="left" w:pos="1134"/>
                <w:tab w:val="left" w:pos="7938"/>
              </w:tabs>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type="1/2/3/4/5/6"</w:t>
            </w:r>
          </w:p>
          <w:p w14:paraId="6644C14B" w14:textId="77777777" w:rsidR="00295C6D" w:rsidRPr="00A5626D" w:rsidRDefault="00295C6D" w:rsidP="00E31AE6">
            <w:pPr>
              <w:numPr>
                <w:ilvl w:val="1"/>
                <w:numId w:val="0"/>
              </w:numPr>
              <w:tabs>
                <w:tab w:val="left" w:pos="1134"/>
                <w:tab w:val="left" w:pos="7938"/>
              </w:tabs>
              <w:spacing w:line="259" w:lineRule="auto"/>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is-power-center="true/false"&gt;</w:t>
            </w:r>
          </w:p>
          <w:p w14:paraId="76B85054" w14:textId="77777777" w:rsidR="00295C6D" w:rsidRPr="00A5626D" w:rsidRDefault="00295C6D" w:rsidP="00E31AE6">
            <w:pPr>
              <w:numPr>
                <w:ilvl w:val="1"/>
                <w:numId w:val="0"/>
              </w:numPr>
              <w:tabs>
                <w:tab w:val="left" w:pos="1134"/>
                <w:tab w:val="left" w:pos="7938"/>
              </w:tabs>
              <w:spacing w:line="259" w:lineRule="auto"/>
              <w:ind w:firstLine="708"/>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w:t>
            </w:r>
            <w:r w:rsidRPr="00A5626D">
              <w:rPr>
                <w:rFonts w:ascii="Garamond" w:hAnsi="Garamond" w:cstheme="minorHAnsi"/>
                <w:sz w:val="22"/>
                <w:szCs w:val="22"/>
                <w:lang w:val="en-US"/>
              </w:rPr>
              <w:t>&lt;voltage-levels&gt;</w:t>
            </w:r>
          </w:p>
          <w:p w14:paraId="17EEB0E9" w14:textId="77777777" w:rsidR="00295C6D" w:rsidRPr="00A5626D" w:rsidRDefault="00295C6D" w:rsidP="00E31AE6">
            <w:pPr>
              <w:tabs>
                <w:tab w:val="left" w:pos="1134"/>
                <w:tab w:val="left" w:pos="7938"/>
              </w:tabs>
              <w:ind w:left="708" w:firstLine="708"/>
              <w:rPr>
                <w:rFonts w:ascii="Garamond" w:eastAsia="Calibri" w:hAnsi="Garamond" w:cstheme="minorHAnsi"/>
                <w:sz w:val="22"/>
                <w:szCs w:val="22"/>
                <w:lang w:val="en-US"/>
              </w:rPr>
            </w:pPr>
            <w:r w:rsidRPr="00A5626D">
              <w:rPr>
                <w:rFonts w:ascii="Garamond" w:hAnsi="Garamond" w:cstheme="minorHAnsi"/>
                <w:sz w:val="22"/>
                <w:szCs w:val="22"/>
                <w:lang w:val="en-US"/>
              </w:rPr>
              <w:t>&lt;voltage-level voltage</w:t>
            </w:r>
            <w:r w:rsidRPr="00A5626D">
              <w:rPr>
                <w:rFonts w:ascii="Garamond" w:eastAsia="Calibri" w:hAnsi="Garamond" w:cstheme="minorHAnsi"/>
                <w:sz w:val="22"/>
                <w:szCs w:val="22"/>
                <w:lang w:val="en-US"/>
              </w:rPr>
              <w:t>="10n"/&gt;</w:t>
            </w:r>
          </w:p>
          <w:p w14:paraId="3B05A101" w14:textId="77777777" w:rsidR="00295C6D" w:rsidRPr="00A5626D" w:rsidRDefault="00295C6D" w:rsidP="00E31AE6">
            <w:pPr>
              <w:tabs>
                <w:tab w:val="left" w:pos="1134"/>
                <w:tab w:val="left" w:pos="7938"/>
              </w:tabs>
              <w:ind w:firstLine="708"/>
              <w:rPr>
                <w:rFonts w:ascii="Garamond" w:hAnsi="Garamond" w:cstheme="minorHAnsi"/>
                <w:sz w:val="22"/>
                <w:szCs w:val="22"/>
                <w:lang w:val="en-US"/>
              </w:rPr>
            </w:pPr>
            <w:r w:rsidRPr="00A5626D">
              <w:rPr>
                <w:rFonts w:ascii="Garamond" w:hAnsi="Garamond" w:cstheme="minorHAnsi"/>
                <w:sz w:val="22"/>
                <w:szCs w:val="22"/>
                <w:lang w:val="en-US"/>
              </w:rPr>
              <w:t xml:space="preserve">         &lt;/voltage-levels&gt;</w:t>
            </w:r>
          </w:p>
          <w:p w14:paraId="61FE6C57" w14:textId="77777777" w:rsidR="00295C6D" w:rsidRPr="00A5626D" w:rsidRDefault="00295C6D" w:rsidP="00E31AE6">
            <w:pPr>
              <w:tabs>
                <w:tab w:val="left" w:pos="1134"/>
                <w:tab w:val="left" w:pos="7938"/>
              </w:tabs>
              <w:ind w:firstLine="708"/>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&lt;/power-object&gt;</w:t>
            </w:r>
          </w:p>
          <w:p w14:paraId="788F42A8" w14:textId="77777777" w:rsidR="00295C6D" w:rsidRPr="00A5626D" w:rsidRDefault="00295C6D" w:rsidP="00E31AE6">
            <w:pPr>
              <w:numPr>
                <w:ilvl w:val="1"/>
                <w:numId w:val="0"/>
              </w:numPr>
              <w:tabs>
                <w:tab w:val="left" w:pos="1134"/>
                <w:tab w:val="left" w:pos="7938"/>
              </w:tabs>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&lt;/power-objects&gt;</w:t>
            </w:r>
          </w:p>
          <w:p w14:paraId="2AFD2D4E" w14:textId="77777777" w:rsidR="00295C6D" w:rsidRPr="00A5626D" w:rsidRDefault="00295C6D" w:rsidP="00E31AE6">
            <w:pPr>
              <w:numPr>
                <w:ilvl w:val="1"/>
                <w:numId w:val="0"/>
              </w:numPr>
              <w:tabs>
                <w:tab w:val="left" w:pos="1134"/>
                <w:tab w:val="left" w:pos="7938"/>
              </w:tabs>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&lt;delivery-points&gt;</w:t>
            </w:r>
          </w:p>
          <w:p w14:paraId="4DBFCFFE" w14:textId="77777777" w:rsidR="00295C6D" w:rsidRPr="00A5626D" w:rsidRDefault="00295C6D" w:rsidP="00E31AE6">
            <w:pPr>
              <w:numPr>
                <w:ilvl w:val="1"/>
                <w:numId w:val="0"/>
              </w:numPr>
              <w:tabs>
                <w:tab w:val="left" w:pos="1134"/>
                <w:tab w:val="left" w:pos="7938"/>
              </w:tabs>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&lt;delivery-point </w:t>
            </w:r>
          </w:p>
          <w:p w14:paraId="529B2820" w14:textId="77777777" w:rsidR="00295C6D" w:rsidRPr="00A5626D" w:rsidRDefault="00295C6D" w:rsidP="00E31AE6">
            <w:pPr>
              <w:numPr>
                <w:ilvl w:val="1"/>
                <w:numId w:val="0"/>
              </w:numPr>
              <w:tabs>
                <w:tab w:val="left" w:pos="1134"/>
                <w:tab w:val="left" w:pos="7938"/>
              </w:tabs>
              <w:rPr>
                <w:rFonts w:ascii="Garamond" w:eastAsia="Calibri" w:hAnsi="Garamond" w:cstheme="minorHAnsi"/>
                <w:sz w:val="22"/>
                <w:szCs w:val="22"/>
                <w:lang w:val="en-US"/>
              </w:rPr>
            </w:pPr>
            <w:r w:rsidRPr="00A5626D">
              <w:rPr>
                <w:rFonts w:ascii="Garamond" w:eastAsia="Calibri" w:hAnsi="Garamond" w:cstheme="minorHAnsi"/>
                <w:sz w:val="22"/>
                <w:szCs w:val="22"/>
                <w:lang w:val="en-US"/>
              </w:rPr>
              <w:lastRenderedPageBreak/>
              <w:t xml:space="preserve">                    id-delivery-point="4n"</w:t>
            </w:r>
          </w:p>
          <w:p w14:paraId="255F4033" w14:textId="77777777" w:rsidR="00295C6D" w:rsidRPr="00A5626D" w:rsidRDefault="00295C6D" w:rsidP="00E31AE6">
            <w:pPr>
              <w:numPr>
                <w:ilvl w:val="1"/>
                <w:numId w:val="0"/>
              </w:numPr>
              <w:tabs>
                <w:tab w:val="left" w:pos="1134"/>
                <w:tab w:val="left" w:pos="7938"/>
              </w:tabs>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guid="36x"</w:t>
            </w:r>
          </w:p>
          <w:p w14:paraId="522E9F92" w14:textId="77777777" w:rsidR="00295C6D" w:rsidRPr="00A5626D" w:rsidRDefault="00295C6D" w:rsidP="00E31AE6">
            <w:pPr>
              <w:numPr>
                <w:ilvl w:val="1"/>
                <w:numId w:val="0"/>
              </w:numPr>
              <w:tabs>
                <w:tab w:val="left" w:pos="1134"/>
                <w:tab w:val="left" w:pos="7938"/>
              </w:tabs>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is-group-delivery-point=" true/false"</w:t>
            </w:r>
          </w:p>
          <w:p w14:paraId="61AC82F9" w14:textId="77777777" w:rsidR="00295C6D" w:rsidRPr="00A5626D" w:rsidRDefault="00295C6D" w:rsidP="00E31AE6">
            <w:pPr>
              <w:numPr>
                <w:ilvl w:val="1"/>
                <w:numId w:val="0"/>
              </w:numPr>
              <w:tabs>
                <w:tab w:val="left" w:pos="1134"/>
                <w:tab w:val="left" w:pos="7938"/>
              </w:tabs>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is-for-coding=" true/false"</w:t>
            </w:r>
          </w:p>
          <w:p w14:paraId="3229699E" w14:textId="77777777" w:rsidR="00295C6D" w:rsidRPr="00A5626D" w:rsidRDefault="00295C6D" w:rsidP="00E31AE6">
            <w:pPr>
              <w:numPr>
                <w:ilvl w:val="1"/>
                <w:numId w:val="0"/>
              </w:numPr>
              <w:tabs>
                <w:tab w:val="left" w:pos="1134"/>
                <w:tab w:val="left" w:pos="7938"/>
              </w:tabs>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ats-code="15n"</w:t>
            </w:r>
          </w:p>
          <w:p w14:paraId="79C5A019" w14:textId="77777777" w:rsidR="00295C6D" w:rsidRPr="00A5626D" w:rsidRDefault="00295C6D" w:rsidP="00E31AE6">
            <w:pPr>
              <w:numPr>
                <w:ilvl w:val="1"/>
                <w:numId w:val="0"/>
              </w:numPr>
              <w:tabs>
                <w:tab w:val="left" w:pos="1134"/>
                <w:tab w:val="left" w:pos="7938"/>
              </w:tabs>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composite-name="512x"</w:t>
            </w:r>
          </w:p>
          <w:p w14:paraId="2D9BC6C9" w14:textId="77777777" w:rsidR="00295C6D" w:rsidRPr="00A5626D" w:rsidRDefault="00295C6D" w:rsidP="00E31AE6">
            <w:pPr>
              <w:numPr>
                <w:ilvl w:val="1"/>
                <w:numId w:val="0"/>
              </w:numPr>
              <w:tabs>
                <w:tab w:val="left" w:pos="1134"/>
                <w:tab w:val="left" w:pos="7938"/>
              </w:tabs>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id-power-object="4n"</w:t>
            </w:r>
          </w:p>
          <w:p w14:paraId="4C25CF7B" w14:textId="77777777" w:rsidR="00295C6D" w:rsidRPr="00A5626D" w:rsidRDefault="00295C6D" w:rsidP="00E31AE6">
            <w:pPr>
              <w:numPr>
                <w:ilvl w:val="1"/>
                <w:numId w:val="0"/>
              </w:numPr>
              <w:tabs>
                <w:tab w:val="left" w:pos="1134"/>
                <w:tab w:val="left" w:pos="7938"/>
              </w:tabs>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method="250x"</w:t>
            </w:r>
          </w:p>
          <w:p w14:paraId="61957FF1" w14:textId="77777777" w:rsidR="00295C6D" w:rsidRPr="00A5626D" w:rsidRDefault="00295C6D" w:rsidP="00E31AE6">
            <w:pPr>
              <w:numPr>
                <w:ilvl w:val="1"/>
                <w:numId w:val="0"/>
              </w:numPr>
              <w:tabs>
                <w:tab w:val="left" w:pos="1134"/>
                <w:tab w:val="left" w:pos="7938"/>
              </w:tabs>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schemanum="10x"</w:t>
            </w:r>
          </w:p>
          <w:p w14:paraId="3F5A2DB9" w14:textId="77777777" w:rsidR="00295C6D" w:rsidRPr="00A5626D" w:rsidRDefault="00295C6D" w:rsidP="00E31AE6">
            <w:pPr>
              <w:numPr>
                <w:ilvl w:val="1"/>
                <w:numId w:val="0"/>
              </w:numPr>
              <w:tabs>
                <w:tab w:val="left" w:pos="1134"/>
                <w:tab w:val="left" w:pos="7938"/>
              </w:tabs>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power="10n"</w:t>
            </w:r>
          </w:p>
          <w:p w14:paraId="0198DEA3" w14:textId="77777777" w:rsidR="00295C6D" w:rsidRPr="00A5626D" w:rsidRDefault="00295C6D" w:rsidP="00E31AE6">
            <w:pPr>
              <w:tabs>
                <w:tab w:val="left" w:pos="1134"/>
                <w:tab w:val="left" w:pos="7938"/>
              </w:tabs>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point-voltage="10n"&gt;</w:t>
            </w:r>
          </w:p>
          <w:p w14:paraId="60A1D12E" w14:textId="77777777" w:rsidR="00295C6D" w:rsidRPr="00A5626D" w:rsidRDefault="00295C6D" w:rsidP="00E31AE6">
            <w:pPr>
              <w:numPr>
                <w:ilvl w:val="1"/>
                <w:numId w:val="0"/>
              </w:numPr>
              <w:tabs>
                <w:tab w:val="left" w:pos="1134"/>
                <w:tab w:val="left" w:pos="7938"/>
              </w:tabs>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&lt;name </w:t>
            </w:r>
          </w:p>
          <w:p w14:paraId="3AE2B3DE" w14:textId="77777777" w:rsidR="00295C6D" w:rsidRPr="00A5626D" w:rsidRDefault="00295C6D" w:rsidP="00E31AE6">
            <w:pPr>
              <w:numPr>
                <w:ilvl w:val="1"/>
                <w:numId w:val="0"/>
              </w:numPr>
              <w:tabs>
                <w:tab w:val="left" w:pos="1134"/>
                <w:tab w:val="left" w:pos="7938"/>
              </w:tabs>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power-object-name="250x"</w:t>
            </w:r>
          </w:p>
          <w:p w14:paraId="261B2F01" w14:textId="77777777" w:rsidR="00295C6D" w:rsidRPr="00A5626D" w:rsidRDefault="00295C6D" w:rsidP="00E31AE6">
            <w:pPr>
              <w:numPr>
                <w:ilvl w:val="1"/>
                <w:numId w:val="0"/>
              </w:numPr>
              <w:tabs>
                <w:tab w:val="left" w:pos="1134"/>
                <w:tab w:val="left" w:pos="7938"/>
              </w:tabs>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connection-name="250x"</w:t>
            </w:r>
          </w:p>
          <w:p w14:paraId="7BE70DA7" w14:textId="77777777" w:rsidR="00295C6D" w:rsidRPr="00A5626D" w:rsidRDefault="00295C6D" w:rsidP="00E31AE6">
            <w:pPr>
              <w:numPr>
                <w:ilvl w:val="1"/>
                <w:numId w:val="0"/>
              </w:numPr>
              <w:tabs>
                <w:tab w:val="left" w:pos="1134"/>
                <w:tab w:val="left" w:pos="7938"/>
              </w:tabs>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location-description="250x"/&gt;</w:t>
            </w:r>
          </w:p>
          <w:p w14:paraId="6A03CD21" w14:textId="77777777" w:rsidR="00295C6D" w:rsidRPr="00A5626D" w:rsidRDefault="00295C6D" w:rsidP="00E31AE6">
            <w:pPr>
              <w:numPr>
                <w:ilvl w:val="1"/>
                <w:numId w:val="0"/>
              </w:numPr>
              <w:tabs>
                <w:tab w:val="left" w:pos="1134"/>
                <w:tab w:val="left" w:pos="7938"/>
              </w:tabs>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&lt;comment&gt;</w:t>
            </w:r>
          </w:p>
          <w:p w14:paraId="2EE168CB" w14:textId="77777777" w:rsidR="00295C6D" w:rsidRPr="00A5626D" w:rsidRDefault="00295C6D" w:rsidP="00E31AE6">
            <w:pPr>
              <w:numPr>
                <w:ilvl w:val="1"/>
                <w:numId w:val="0"/>
              </w:numPr>
              <w:tabs>
                <w:tab w:val="left" w:pos="1134"/>
                <w:tab w:val="left" w:pos="7938"/>
              </w:tabs>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&lt;![CDATA[…]]&gt;</w:t>
            </w:r>
          </w:p>
          <w:p w14:paraId="187E0C9D" w14:textId="77777777" w:rsidR="00295C6D" w:rsidRPr="00A5626D" w:rsidRDefault="00295C6D" w:rsidP="00E31AE6">
            <w:pPr>
              <w:numPr>
                <w:ilvl w:val="1"/>
                <w:numId w:val="0"/>
              </w:numPr>
              <w:tabs>
                <w:tab w:val="left" w:pos="1134"/>
                <w:tab w:val="left" w:pos="7938"/>
              </w:tabs>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&lt;/comment&gt;</w:t>
            </w:r>
          </w:p>
          <w:p w14:paraId="36B6A6D9" w14:textId="77777777" w:rsidR="00295C6D" w:rsidRPr="00A5626D" w:rsidRDefault="00295C6D" w:rsidP="00E31AE6">
            <w:pPr>
              <w:numPr>
                <w:ilvl w:val="1"/>
                <w:numId w:val="0"/>
              </w:numPr>
              <w:tabs>
                <w:tab w:val="left" w:pos="1134"/>
                <w:tab w:val="left" w:pos="7938"/>
              </w:tabs>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&lt;/delivery-point&gt;</w:t>
            </w:r>
          </w:p>
          <w:p w14:paraId="182B9512" w14:textId="77777777" w:rsidR="00295C6D" w:rsidRPr="00A5626D" w:rsidRDefault="00295C6D" w:rsidP="00E31AE6">
            <w:pPr>
              <w:numPr>
                <w:ilvl w:val="1"/>
                <w:numId w:val="0"/>
              </w:numPr>
              <w:tabs>
                <w:tab w:val="left" w:pos="1134"/>
                <w:tab w:val="left" w:pos="7938"/>
              </w:tabs>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&lt;/delivery-points&gt;</w:t>
            </w:r>
          </w:p>
          <w:p w14:paraId="5B029CE4" w14:textId="77777777" w:rsidR="00295C6D" w:rsidRPr="00A5626D" w:rsidRDefault="00295C6D" w:rsidP="00E31AE6">
            <w:pPr>
              <w:numPr>
                <w:ilvl w:val="1"/>
                <w:numId w:val="0"/>
              </w:numPr>
              <w:tabs>
                <w:tab w:val="left" w:pos="1134"/>
                <w:tab w:val="left" w:pos="7938"/>
              </w:tabs>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&lt;measuring-device-modifications&gt;</w:t>
            </w:r>
          </w:p>
          <w:p w14:paraId="0E49D05D" w14:textId="77777777" w:rsidR="00295C6D" w:rsidRPr="00A5626D" w:rsidRDefault="00295C6D" w:rsidP="00E31AE6">
            <w:pPr>
              <w:numPr>
                <w:ilvl w:val="1"/>
                <w:numId w:val="0"/>
              </w:numPr>
              <w:tabs>
                <w:tab w:val="left" w:pos="1134"/>
                <w:tab w:val="left" w:pos="7938"/>
              </w:tabs>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&lt;measuring-device-modification</w:t>
            </w:r>
          </w:p>
          <w:p w14:paraId="40CB4B17" w14:textId="77777777" w:rsidR="00295C6D" w:rsidRPr="00A5626D" w:rsidRDefault="00295C6D" w:rsidP="00E31AE6">
            <w:pPr>
              <w:numPr>
                <w:ilvl w:val="1"/>
                <w:numId w:val="0"/>
              </w:numPr>
              <w:tabs>
                <w:tab w:val="left" w:pos="1134"/>
                <w:tab w:val="left" w:pos="7938"/>
              </w:tabs>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id-device-modification="4n"</w:t>
            </w:r>
          </w:p>
          <w:p w14:paraId="520C79E3" w14:textId="77777777" w:rsidR="00295C6D" w:rsidRPr="00A5626D" w:rsidRDefault="00295C6D" w:rsidP="00E31AE6">
            <w:pPr>
              <w:numPr>
                <w:ilvl w:val="1"/>
                <w:numId w:val="0"/>
              </w:numPr>
              <w:tabs>
                <w:tab w:val="left" w:pos="1134"/>
                <w:tab w:val="left" w:pos="7938"/>
              </w:tabs>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ats-code="32x"</w:t>
            </w:r>
          </w:p>
          <w:p w14:paraId="43ACCCB6" w14:textId="77777777" w:rsidR="00295C6D" w:rsidRPr="00A5626D" w:rsidRDefault="00295C6D" w:rsidP="00E31AE6">
            <w:pPr>
              <w:numPr>
                <w:ilvl w:val="1"/>
                <w:numId w:val="0"/>
              </w:numPr>
              <w:tabs>
                <w:tab w:val="left" w:pos="1134"/>
                <w:tab w:val="left" w:pos="7938"/>
              </w:tabs>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device-modification-name="80x"/&gt; </w:t>
            </w:r>
          </w:p>
          <w:p w14:paraId="57363463" w14:textId="77777777" w:rsidR="00295C6D" w:rsidRPr="00A5626D" w:rsidRDefault="00295C6D" w:rsidP="00E31AE6">
            <w:pPr>
              <w:numPr>
                <w:ilvl w:val="1"/>
                <w:numId w:val="0"/>
              </w:numPr>
              <w:tabs>
                <w:tab w:val="left" w:pos="1134"/>
                <w:tab w:val="left" w:pos="7938"/>
              </w:tabs>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&lt;/measuring-device-modifications&gt;</w:t>
            </w:r>
          </w:p>
          <w:p w14:paraId="5584A4BD" w14:textId="77777777" w:rsidR="00295C6D" w:rsidRPr="00A5626D" w:rsidRDefault="00295C6D" w:rsidP="00E31AE6">
            <w:pPr>
              <w:numPr>
                <w:ilvl w:val="1"/>
                <w:numId w:val="0"/>
              </w:numPr>
              <w:tabs>
                <w:tab w:val="left" w:pos="1134"/>
                <w:tab w:val="left" w:pos="7938"/>
              </w:tabs>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&lt;measuring-points&gt;</w:t>
            </w:r>
          </w:p>
          <w:p w14:paraId="5CB0BA47" w14:textId="77777777" w:rsidR="00295C6D" w:rsidRPr="00A5626D" w:rsidRDefault="00295C6D" w:rsidP="00E31AE6">
            <w:pPr>
              <w:numPr>
                <w:ilvl w:val="1"/>
                <w:numId w:val="0"/>
              </w:numPr>
              <w:tabs>
                <w:tab w:val="left" w:pos="1134"/>
                <w:tab w:val="left" w:pos="7938"/>
              </w:tabs>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&lt;measuring-point</w:t>
            </w:r>
          </w:p>
          <w:p w14:paraId="02E72AE9" w14:textId="77777777" w:rsidR="00295C6D" w:rsidRPr="00A5626D" w:rsidRDefault="00295C6D" w:rsidP="00E31AE6">
            <w:pPr>
              <w:numPr>
                <w:ilvl w:val="1"/>
                <w:numId w:val="0"/>
              </w:numPr>
              <w:tabs>
                <w:tab w:val="left" w:pos="1134"/>
                <w:tab w:val="left" w:pos="7938"/>
              </w:tabs>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id-measuring-point="4n" </w:t>
            </w:r>
          </w:p>
          <w:p w14:paraId="7965DC72" w14:textId="77777777" w:rsidR="00295C6D" w:rsidRPr="00A5626D" w:rsidRDefault="00295C6D" w:rsidP="00E31AE6">
            <w:pPr>
              <w:numPr>
                <w:ilvl w:val="1"/>
                <w:numId w:val="0"/>
              </w:numPr>
              <w:tabs>
                <w:tab w:val="left" w:pos="1134"/>
                <w:tab w:val="left" w:pos="7938"/>
              </w:tabs>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guid="36x"</w:t>
            </w:r>
          </w:p>
          <w:p w14:paraId="53C6FD46" w14:textId="77777777" w:rsidR="00295C6D" w:rsidRPr="00A5626D" w:rsidRDefault="00295C6D" w:rsidP="00E31AE6">
            <w:pPr>
              <w:numPr>
                <w:ilvl w:val="1"/>
                <w:numId w:val="0"/>
              </w:numPr>
              <w:tabs>
                <w:tab w:val="left" w:pos="1134"/>
                <w:tab w:val="left" w:pos="7938"/>
              </w:tabs>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schemanum="10x" </w:t>
            </w:r>
          </w:p>
          <w:p w14:paraId="13EF3A94" w14:textId="77777777" w:rsidR="00295C6D" w:rsidRPr="00A5626D" w:rsidRDefault="00295C6D" w:rsidP="00E31AE6">
            <w:pPr>
              <w:numPr>
                <w:ilvl w:val="1"/>
                <w:numId w:val="0"/>
              </w:numPr>
              <w:tabs>
                <w:tab w:val="left" w:pos="1134"/>
                <w:tab w:val="left" w:pos="7938"/>
              </w:tabs>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ats-code="15n"</w:t>
            </w:r>
          </w:p>
          <w:p w14:paraId="5BA6F291" w14:textId="77777777" w:rsidR="00295C6D" w:rsidRPr="00A5626D" w:rsidRDefault="00295C6D" w:rsidP="00E31AE6">
            <w:pPr>
              <w:numPr>
                <w:ilvl w:val="1"/>
                <w:numId w:val="0"/>
              </w:numPr>
              <w:tabs>
                <w:tab w:val="left" w:pos="1134"/>
                <w:tab w:val="left" w:pos="7938"/>
              </w:tabs>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id-power-object="4n"</w:t>
            </w:r>
          </w:p>
          <w:p w14:paraId="2EB4845C" w14:textId="77777777" w:rsidR="00295C6D" w:rsidRPr="00A5626D" w:rsidRDefault="00295C6D" w:rsidP="00E31AE6">
            <w:pPr>
              <w:numPr>
                <w:ilvl w:val="1"/>
                <w:numId w:val="0"/>
              </w:numPr>
              <w:tabs>
                <w:tab w:val="left" w:pos="1134"/>
                <w:tab w:val="left" w:pos="7938"/>
              </w:tabs>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id-gtp="1n"  </w:t>
            </w:r>
          </w:p>
          <w:p w14:paraId="5E469589" w14:textId="77777777" w:rsidR="00295C6D" w:rsidRPr="00A5626D" w:rsidRDefault="00295C6D" w:rsidP="00E31AE6">
            <w:pPr>
              <w:numPr>
                <w:ilvl w:val="1"/>
                <w:numId w:val="0"/>
              </w:numPr>
              <w:tabs>
                <w:tab w:val="left" w:pos="1134"/>
                <w:tab w:val="left" w:pos="7938"/>
              </w:tabs>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measuring-point-type="general/ov/so"</w:t>
            </w:r>
          </w:p>
          <w:p w14:paraId="54E399FC" w14:textId="77777777" w:rsidR="00295C6D" w:rsidRPr="00A5626D" w:rsidRDefault="00295C6D" w:rsidP="00E31AE6">
            <w:pPr>
              <w:numPr>
                <w:ilvl w:val="1"/>
                <w:numId w:val="0"/>
              </w:numPr>
              <w:tabs>
                <w:tab w:val="left" w:pos="1134"/>
                <w:tab w:val="left" w:pos="7938"/>
              </w:tabs>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point-voltage="10n"</w:t>
            </w:r>
          </w:p>
          <w:p w14:paraId="3A9743FF" w14:textId="77777777" w:rsidR="00295C6D" w:rsidRPr="00A5626D" w:rsidRDefault="00295C6D" w:rsidP="00E31AE6">
            <w:pPr>
              <w:numPr>
                <w:ilvl w:val="1"/>
                <w:numId w:val="0"/>
              </w:numPr>
              <w:tabs>
                <w:tab w:val="left" w:pos="1134"/>
                <w:tab w:val="left" w:pos="7938"/>
              </w:tabs>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&lt;name </w:t>
            </w:r>
          </w:p>
          <w:p w14:paraId="5818533E" w14:textId="77777777" w:rsidR="00295C6D" w:rsidRPr="00A5626D" w:rsidRDefault="00295C6D" w:rsidP="00E31AE6">
            <w:pPr>
              <w:numPr>
                <w:ilvl w:val="1"/>
                <w:numId w:val="0"/>
              </w:numPr>
              <w:tabs>
                <w:tab w:val="left" w:pos="1134"/>
                <w:tab w:val="left" w:pos="7938"/>
              </w:tabs>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power-object-name="250x"</w:t>
            </w:r>
          </w:p>
          <w:p w14:paraId="383E67E9" w14:textId="77777777" w:rsidR="00295C6D" w:rsidRPr="00A5626D" w:rsidRDefault="00295C6D" w:rsidP="00E31AE6">
            <w:pPr>
              <w:numPr>
                <w:ilvl w:val="1"/>
                <w:numId w:val="0"/>
              </w:numPr>
              <w:tabs>
                <w:tab w:val="left" w:pos="1134"/>
                <w:tab w:val="left" w:pos="7938"/>
              </w:tabs>
              <w:rPr>
                <w:rFonts w:ascii="Garamond" w:eastAsia="Calibri" w:hAnsi="Garamond" w:cstheme="minorHAnsi"/>
                <w:sz w:val="22"/>
                <w:szCs w:val="22"/>
                <w:lang w:val="en-US"/>
              </w:rPr>
            </w:pPr>
            <w:r w:rsidRPr="00A5626D">
              <w:rPr>
                <w:rFonts w:ascii="Garamond" w:eastAsia="Calibri" w:hAnsi="Garamond" w:cstheme="minorHAnsi"/>
                <w:sz w:val="22"/>
                <w:szCs w:val="22"/>
                <w:lang w:val="en-US"/>
              </w:rPr>
              <w:lastRenderedPageBreak/>
              <w:t xml:space="preserve">                        connection-name="250x"</w:t>
            </w:r>
          </w:p>
          <w:p w14:paraId="4D252F2F" w14:textId="77777777" w:rsidR="00295C6D" w:rsidRPr="00A5626D" w:rsidRDefault="00295C6D" w:rsidP="00E31AE6">
            <w:pPr>
              <w:tabs>
                <w:tab w:val="left" w:pos="1134"/>
                <w:tab w:val="left" w:pos="7938"/>
              </w:tabs>
              <w:rPr>
                <w:rFonts w:ascii="Garamond" w:hAnsi="Garamond" w:cstheme="minorHAnsi"/>
                <w:sz w:val="22"/>
                <w:szCs w:val="22"/>
                <w:lang w:val="en-US"/>
              </w:rPr>
            </w:pPr>
            <w:r w:rsidRPr="00A5626D">
              <w:rPr>
                <w:rFonts w:ascii="Garamond" w:eastAsia="Calibri" w:hAnsi="Garamond" w:cstheme="minorHAnsi"/>
                <w:sz w:val="22"/>
                <w:szCs w:val="22"/>
                <w:lang w:val="en-US"/>
              </w:rPr>
              <w:t xml:space="preserve">                       location-description="250x"/&gt;</w:t>
            </w:r>
          </w:p>
          <w:p w14:paraId="268FFA3D" w14:textId="77777777" w:rsidR="00295C6D" w:rsidRPr="00A5626D" w:rsidRDefault="00295C6D" w:rsidP="00E31AE6">
            <w:pPr>
              <w:numPr>
                <w:ilvl w:val="1"/>
                <w:numId w:val="0"/>
              </w:numPr>
              <w:tabs>
                <w:tab w:val="left" w:pos="1134"/>
                <w:tab w:val="left" w:pos="7938"/>
              </w:tabs>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&lt;comment&gt;</w:t>
            </w:r>
          </w:p>
          <w:p w14:paraId="7C7FB9AB" w14:textId="77777777" w:rsidR="00295C6D" w:rsidRPr="00A5626D" w:rsidRDefault="00295C6D" w:rsidP="00E31AE6">
            <w:pPr>
              <w:numPr>
                <w:ilvl w:val="1"/>
                <w:numId w:val="0"/>
              </w:numPr>
              <w:tabs>
                <w:tab w:val="left" w:pos="1134"/>
                <w:tab w:val="left" w:pos="7938"/>
              </w:tabs>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&lt;![CDATA[…]]&gt;</w:t>
            </w:r>
          </w:p>
          <w:p w14:paraId="4B02C836" w14:textId="77777777" w:rsidR="00295C6D" w:rsidRPr="00A5626D" w:rsidRDefault="00295C6D" w:rsidP="00E31AE6">
            <w:pPr>
              <w:numPr>
                <w:ilvl w:val="1"/>
                <w:numId w:val="0"/>
              </w:numPr>
              <w:tabs>
                <w:tab w:val="left" w:pos="1134"/>
                <w:tab w:val="left" w:pos="7938"/>
              </w:tabs>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&lt;/comment&gt;</w:t>
            </w:r>
          </w:p>
          <w:p w14:paraId="44C79975" w14:textId="77777777" w:rsidR="00295C6D" w:rsidRPr="00A5626D" w:rsidRDefault="00295C6D" w:rsidP="00E31AE6">
            <w:pPr>
              <w:numPr>
                <w:ilvl w:val="1"/>
                <w:numId w:val="0"/>
              </w:numPr>
              <w:tabs>
                <w:tab w:val="left" w:pos="1134"/>
                <w:tab w:val="left" w:pos="7938"/>
              </w:tabs>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&lt;measuring-device</w:t>
            </w:r>
          </w:p>
          <w:p w14:paraId="3856EF2D" w14:textId="77777777" w:rsidR="00295C6D" w:rsidRPr="00A5626D" w:rsidRDefault="00295C6D" w:rsidP="00E31AE6">
            <w:pPr>
              <w:numPr>
                <w:ilvl w:val="1"/>
                <w:numId w:val="0"/>
              </w:numPr>
              <w:tabs>
                <w:tab w:val="left" w:pos="1134"/>
                <w:tab w:val="left" w:pos="7938"/>
              </w:tabs>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guid="36x"</w:t>
            </w:r>
          </w:p>
          <w:p w14:paraId="7A226ABC" w14:textId="77777777" w:rsidR="00295C6D" w:rsidRPr="00A5626D" w:rsidRDefault="00295C6D" w:rsidP="00E31AE6">
            <w:pPr>
              <w:numPr>
                <w:ilvl w:val="1"/>
                <w:numId w:val="0"/>
              </w:numPr>
              <w:tabs>
                <w:tab w:val="left" w:pos="1134"/>
                <w:tab w:val="left" w:pos="7938"/>
              </w:tabs>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id-measuring-device="4n"</w:t>
            </w:r>
          </w:p>
          <w:p w14:paraId="1565A2E3" w14:textId="77777777" w:rsidR="00295C6D" w:rsidRPr="00A5626D" w:rsidRDefault="00295C6D" w:rsidP="00E31AE6">
            <w:pPr>
              <w:numPr>
                <w:ilvl w:val="1"/>
                <w:numId w:val="0"/>
              </w:numPr>
              <w:tabs>
                <w:tab w:val="left" w:pos="1134"/>
                <w:tab w:val="left" w:pos="7938"/>
              </w:tabs>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is-for-coding="true/false"</w:t>
            </w:r>
          </w:p>
          <w:p w14:paraId="7726AA37" w14:textId="77777777" w:rsidR="00295C6D" w:rsidRPr="00A5626D" w:rsidRDefault="00295C6D" w:rsidP="00E31AE6">
            <w:pPr>
              <w:numPr>
                <w:ilvl w:val="1"/>
                <w:numId w:val="0"/>
              </w:numPr>
              <w:tabs>
                <w:tab w:val="left" w:pos="1134"/>
                <w:tab w:val="left" w:pos="7938"/>
              </w:tabs>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id-device-modification="4n"</w:t>
            </w:r>
          </w:p>
          <w:p w14:paraId="215CF253" w14:textId="77777777" w:rsidR="00295C6D" w:rsidRPr="00A5626D" w:rsidRDefault="00295C6D" w:rsidP="00E31AE6">
            <w:pPr>
              <w:numPr>
                <w:ilvl w:val="1"/>
                <w:numId w:val="0"/>
              </w:numPr>
              <w:tabs>
                <w:tab w:val="left" w:pos="1134"/>
                <w:tab w:val="left" w:pos="7938"/>
              </w:tabs>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precision-class-active="4x"</w:t>
            </w:r>
          </w:p>
          <w:p w14:paraId="05C914D3" w14:textId="77777777" w:rsidR="00295C6D" w:rsidRPr="00A5626D" w:rsidRDefault="00295C6D" w:rsidP="00E31AE6">
            <w:pPr>
              <w:numPr>
                <w:ilvl w:val="1"/>
                <w:numId w:val="0"/>
              </w:numPr>
              <w:tabs>
                <w:tab w:val="left" w:pos="1134"/>
                <w:tab w:val="left" w:pos="7938"/>
              </w:tabs>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precision-class-reactive="4x"</w:t>
            </w:r>
          </w:p>
          <w:p w14:paraId="0E309EC0" w14:textId="77777777" w:rsidR="00295C6D" w:rsidRPr="00A5626D" w:rsidRDefault="00295C6D" w:rsidP="00E31AE6">
            <w:pPr>
              <w:numPr>
                <w:ilvl w:val="1"/>
                <w:numId w:val="0"/>
              </w:numPr>
              <w:tabs>
                <w:tab w:val="left" w:pos="1134"/>
                <w:tab w:val="left" w:pos="7938"/>
              </w:tabs>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so-device-modification-name="80x"</w:t>
            </w:r>
          </w:p>
          <w:p w14:paraId="7A46D2C9" w14:textId="77777777" w:rsidR="00295C6D" w:rsidRPr="00A5626D" w:rsidRDefault="00295C6D" w:rsidP="00E31AE6">
            <w:pPr>
              <w:numPr>
                <w:ilvl w:val="1"/>
                <w:numId w:val="0"/>
              </w:numPr>
              <w:tabs>
                <w:tab w:val="left" w:pos="1134"/>
                <w:tab w:val="left" w:pos="7938"/>
              </w:tabs>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ats-code="2n"</w:t>
            </w:r>
          </w:p>
          <w:p w14:paraId="0A115B37" w14:textId="77777777" w:rsidR="00295C6D" w:rsidRPr="00A5626D" w:rsidRDefault="00295C6D" w:rsidP="00E31AE6">
            <w:pPr>
              <w:numPr>
                <w:ilvl w:val="1"/>
                <w:numId w:val="0"/>
              </w:numPr>
              <w:tabs>
                <w:tab w:val="left" w:pos="1134"/>
                <w:tab w:val="left" w:pos="7938"/>
              </w:tabs>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serial-number="250n"&gt;</w:t>
            </w:r>
          </w:p>
          <w:p w14:paraId="56E4F990" w14:textId="77777777" w:rsidR="00295C6D" w:rsidRPr="00A5626D" w:rsidRDefault="00295C6D" w:rsidP="00E31AE6">
            <w:pPr>
              <w:numPr>
                <w:ilvl w:val="1"/>
                <w:numId w:val="0"/>
              </w:numPr>
              <w:tabs>
                <w:tab w:val="left" w:pos="1134"/>
                <w:tab w:val="left" w:pos="7938"/>
              </w:tabs>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&lt;measuring-channel </w:t>
            </w:r>
          </w:p>
          <w:p w14:paraId="2946E613" w14:textId="77777777" w:rsidR="00295C6D" w:rsidRPr="00A5626D" w:rsidRDefault="00295C6D" w:rsidP="00E31AE6">
            <w:pPr>
              <w:numPr>
                <w:ilvl w:val="1"/>
                <w:numId w:val="0"/>
              </w:numPr>
              <w:tabs>
                <w:tab w:val="left" w:pos="1134"/>
                <w:tab w:val="left" w:pos="7938"/>
              </w:tabs>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id-measuring-channel="4n"</w:t>
            </w:r>
          </w:p>
          <w:p w14:paraId="1FF53BCC" w14:textId="77777777" w:rsidR="00295C6D" w:rsidRPr="00A5626D" w:rsidRDefault="00295C6D" w:rsidP="00E31AE6">
            <w:pPr>
              <w:numPr>
                <w:ilvl w:val="1"/>
                <w:numId w:val="0"/>
              </w:numPr>
              <w:tabs>
                <w:tab w:val="left" w:pos="1134"/>
                <w:tab w:val="left" w:pos="7938"/>
              </w:tabs>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ats-code="2n"/&gt;</w:t>
            </w:r>
          </w:p>
          <w:p w14:paraId="1E03D33C" w14:textId="77777777" w:rsidR="00295C6D" w:rsidRPr="00A5626D" w:rsidRDefault="00295C6D" w:rsidP="00E31AE6">
            <w:pPr>
              <w:numPr>
                <w:ilvl w:val="1"/>
                <w:numId w:val="0"/>
              </w:numPr>
              <w:tabs>
                <w:tab w:val="left" w:pos="1134"/>
                <w:tab w:val="left" w:pos="7938"/>
              </w:tabs>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&lt;/measuring-device&gt;</w:t>
            </w:r>
          </w:p>
          <w:p w14:paraId="13CB5B46" w14:textId="77777777" w:rsidR="00295C6D" w:rsidRPr="00A5626D" w:rsidRDefault="00295C6D" w:rsidP="00E31AE6">
            <w:pPr>
              <w:numPr>
                <w:ilvl w:val="1"/>
                <w:numId w:val="0"/>
              </w:numPr>
              <w:tabs>
                <w:tab w:val="left" w:pos="1134"/>
                <w:tab w:val="left" w:pos="7938"/>
              </w:tabs>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&lt;/measuring-point&gt;</w:t>
            </w:r>
          </w:p>
          <w:p w14:paraId="7B7941ED" w14:textId="77777777" w:rsidR="00295C6D" w:rsidRPr="00A5626D" w:rsidRDefault="00295C6D" w:rsidP="00E31AE6">
            <w:pPr>
              <w:numPr>
                <w:ilvl w:val="1"/>
                <w:numId w:val="0"/>
              </w:numPr>
              <w:tabs>
                <w:tab w:val="left" w:pos="1134"/>
                <w:tab w:val="left" w:pos="7938"/>
              </w:tabs>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&lt;/measuring-points&gt;</w:t>
            </w:r>
          </w:p>
          <w:p w14:paraId="75E31575" w14:textId="77777777" w:rsidR="00295C6D" w:rsidRPr="00A5626D" w:rsidRDefault="00295C6D" w:rsidP="00E31AE6">
            <w:pPr>
              <w:numPr>
                <w:ilvl w:val="1"/>
                <w:numId w:val="0"/>
              </w:numPr>
              <w:tabs>
                <w:tab w:val="left" w:pos="1134"/>
                <w:tab w:val="left" w:pos="7938"/>
              </w:tabs>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&lt;measuring-objects&gt;</w:t>
            </w:r>
          </w:p>
          <w:p w14:paraId="23BB2D28" w14:textId="77777777" w:rsidR="00295C6D" w:rsidRPr="00A5626D" w:rsidRDefault="00295C6D" w:rsidP="00E31AE6">
            <w:pPr>
              <w:numPr>
                <w:ilvl w:val="1"/>
                <w:numId w:val="0"/>
              </w:numPr>
              <w:tabs>
                <w:tab w:val="left" w:pos="1134"/>
                <w:tab w:val="left" w:pos="7938"/>
              </w:tabs>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&lt;measuring-object</w:t>
            </w:r>
          </w:p>
          <w:p w14:paraId="5EC0108D" w14:textId="77777777" w:rsidR="00295C6D" w:rsidRPr="00A5626D" w:rsidRDefault="00295C6D" w:rsidP="00E31AE6">
            <w:pPr>
              <w:numPr>
                <w:ilvl w:val="1"/>
                <w:numId w:val="0"/>
              </w:numPr>
              <w:tabs>
                <w:tab w:val="left" w:pos="1134"/>
                <w:tab w:val="left" w:pos="7938"/>
              </w:tabs>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id-measuring-object="4n" </w:t>
            </w:r>
          </w:p>
          <w:p w14:paraId="0947D3D5" w14:textId="77777777" w:rsidR="00295C6D" w:rsidRPr="00A5626D" w:rsidRDefault="00295C6D" w:rsidP="00E31AE6">
            <w:pPr>
              <w:numPr>
                <w:ilvl w:val="1"/>
                <w:numId w:val="0"/>
              </w:numPr>
              <w:tabs>
                <w:tab w:val="left" w:pos="1134"/>
                <w:tab w:val="left" w:pos="7938"/>
              </w:tabs>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guid="36x"</w:t>
            </w:r>
          </w:p>
          <w:p w14:paraId="2396475B" w14:textId="77777777" w:rsidR="00295C6D" w:rsidRPr="00A5626D" w:rsidRDefault="00295C6D" w:rsidP="00E31AE6">
            <w:pPr>
              <w:numPr>
                <w:ilvl w:val="1"/>
                <w:numId w:val="0"/>
              </w:numPr>
              <w:tabs>
                <w:tab w:val="left" w:pos="1134"/>
                <w:tab w:val="left" w:pos="7938"/>
              </w:tabs>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ats-code="15n"</w:t>
            </w:r>
          </w:p>
          <w:p w14:paraId="573C31A5" w14:textId="77777777" w:rsidR="00295C6D" w:rsidRPr="00A5626D" w:rsidRDefault="00295C6D" w:rsidP="00E31AE6">
            <w:pPr>
              <w:numPr>
                <w:ilvl w:val="1"/>
                <w:numId w:val="0"/>
              </w:numPr>
              <w:tabs>
                <w:tab w:val="left" w:pos="1134"/>
                <w:tab w:val="left" w:pos="7938"/>
              </w:tabs>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measuring-object-type="1"</w:t>
            </w:r>
          </w:p>
          <w:p w14:paraId="3B495AA3" w14:textId="77777777" w:rsidR="00295C6D" w:rsidRPr="00A5626D" w:rsidRDefault="00295C6D" w:rsidP="00E31AE6">
            <w:pPr>
              <w:numPr>
                <w:ilvl w:val="1"/>
                <w:numId w:val="0"/>
              </w:numPr>
              <w:tabs>
                <w:tab w:val="left" w:pos="1134"/>
                <w:tab w:val="left" w:pos="7938"/>
              </w:tabs>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name="250x"/&gt;</w:t>
            </w:r>
          </w:p>
          <w:p w14:paraId="0826F4F0" w14:textId="77777777" w:rsidR="00295C6D" w:rsidRPr="00A5626D" w:rsidRDefault="00295C6D" w:rsidP="00E31AE6">
            <w:pPr>
              <w:numPr>
                <w:ilvl w:val="1"/>
                <w:numId w:val="0"/>
              </w:numPr>
              <w:tabs>
                <w:tab w:val="left" w:pos="1134"/>
                <w:tab w:val="left" w:pos="7938"/>
              </w:tabs>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&lt;/measuring-objects&gt;</w:t>
            </w:r>
          </w:p>
          <w:p w14:paraId="598F46DF" w14:textId="77777777" w:rsidR="00295C6D" w:rsidRPr="00A5626D" w:rsidRDefault="00295C6D" w:rsidP="00E31AE6">
            <w:pPr>
              <w:numPr>
                <w:ilvl w:val="1"/>
                <w:numId w:val="0"/>
              </w:numPr>
              <w:tabs>
                <w:tab w:val="left" w:pos="1134"/>
                <w:tab w:val="left" w:pos="7938"/>
              </w:tabs>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&lt;/dictionaries&gt;</w:t>
            </w:r>
          </w:p>
          <w:p w14:paraId="689EAEE1" w14:textId="77777777" w:rsidR="00295C6D" w:rsidRPr="00A5626D" w:rsidRDefault="00295C6D" w:rsidP="00E31AE6">
            <w:pPr>
              <w:numPr>
                <w:ilvl w:val="1"/>
                <w:numId w:val="0"/>
              </w:numPr>
              <w:tabs>
                <w:tab w:val="left" w:pos="1134"/>
                <w:tab w:val="left" w:pos="7938"/>
              </w:tabs>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&lt;links&gt;</w:t>
            </w:r>
          </w:p>
          <w:p w14:paraId="2AA7CDB9" w14:textId="77777777" w:rsidR="00295C6D" w:rsidRPr="00A5626D" w:rsidRDefault="00295C6D" w:rsidP="00E31AE6">
            <w:pPr>
              <w:numPr>
                <w:ilvl w:val="1"/>
                <w:numId w:val="0"/>
              </w:numPr>
              <w:tabs>
                <w:tab w:val="left" w:pos="1134"/>
                <w:tab w:val="left" w:pos="7938"/>
              </w:tabs>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&lt;ov-measuring-point-links&gt;</w:t>
            </w:r>
          </w:p>
          <w:p w14:paraId="028BFFD6" w14:textId="77777777" w:rsidR="00295C6D" w:rsidRPr="00A5626D" w:rsidRDefault="00295C6D" w:rsidP="00E31AE6">
            <w:pPr>
              <w:numPr>
                <w:ilvl w:val="1"/>
                <w:numId w:val="0"/>
              </w:numPr>
              <w:tabs>
                <w:tab w:val="left" w:pos="1134"/>
                <w:tab w:val="left" w:pos="7938"/>
              </w:tabs>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&lt;ov-measuring-point-link</w:t>
            </w:r>
          </w:p>
          <w:p w14:paraId="4FE26F1C" w14:textId="77777777" w:rsidR="00295C6D" w:rsidRPr="00A5626D" w:rsidRDefault="00295C6D" w:rsidP="00E31AE6">
            <w:pPr>
              <w:numPr>
                <w:ilvl w:val="1"/>
                <w:numId w:val="0"/>
              </w:numPr>
              <w:tabs>
                <w:tab w:val="left" w:pos="1134"/>
                <w:tab w:val="left" w:pos="7938"/>
              </w:tabs>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w:t>
            </w:r>
            <w:r w:rsidRPr="00A5626D">
              <w:rPr>
                <w:rFonts w:ascii="Garamond" w:eastAsia="Calibri" w:hAnsi="Garamond" w:cstheme="minorHAnsi"/>
                <w:sz w:val="22"/>
                <w:szCs w:val="22"/>
                <w:lang w:val="en-US"/>
              </w:rPr>
              <w:tab/>
              <w:t>id-ov-measuring-point="4n"</w:t>
            </w:r>
          </w:p>
          <w:p w14:paraId="3CCD721F" w14:textId="77777777" w:rsidR="00295C6D" w:rsidRPr="00A5626D" w:rsidRDefault="00295C6D" w:rsidP="00E31AE6">
            <w:pPr>
              <w:numPr>
                <w:ilvl w:val="1"/>
                <w:numId w:val="0"/>
              </w:numPr>
              <w:tabs>
                <w:tab w:val="left" w:pos="1134"/>
                <w:tab w:val="left" w:pos="7938"/>
              </w:tabs>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w:t>
            </w:r>
            <w:r w:rsidRPr="00A5626D">
              <w:rPr>
                <w:rFonts w:ascii="Garamond" w:eastAsia="Calibri" w:hAnsi="Garamond" w:cstheme="minorHAnsi"/>
                <w:sz w:val="22"/>
                <w:szCs w:val="22"/>
                <w:lang w:val="en-US"/>
              </w:rPr>
              <w:tab/>
              <w:t>id-serviced-measuring-point="4n"/&gt;</w:t>
            </w:r>
          </w:p>
          <w:p w14:paraId="309FDDCA" w14:textId="77777777" w:rsidR="00295C6D" w:rsidRPr="00A5626D" w:rsidRDefault="00295C6D" w:rsidP="00E31AE6">
            <w:pPr>
              <w:numPr>
                <w:ilvl w:val="1"/>
                <w:numId w:val="0"/>
              </w:numPr>
              <w:tabs>
                <w:tab w:val="left" w:pos="1134"/>
                <w:tab w:val="left" w:pos="7938"/>
              </w:tabs>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&lt;/ov-measuring-point-links&gt;</w:t>
            </w:r>
          </w:p>
          <w:p w14:paraId="000C4FA6" w14:textId="77777777" w:rsidR="00295C6D" w:rsidRPr="00A5626D" w:rsidRDefault="00295C6D" w:rsidP="00E31AE6">
            <w:pPr>
              <w:numPr>
                <w:ilvl w:val="1"/>
                <w:numId w:val="0"/>
              </w:numPr>
              <w:tabs>
                <w:tab w:val="left" w:pos="1134"/>
                <w:tab w:val="left" w:pos="7938"/>
              </w:tabs>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&lt;group-delivery-point-composition&gt;</w:t>
            </w:r>
          </w:p>
          <w:p w14:paraId="73584ECC" w14:textId="77777777" w:rsidR="00295C6D" w:rsidRPr="00A5626D" w:rsidRDefault="00295C6D" w:rsidP="00E31AE6">
            <w:pPr>
              <w:numPr>
                <w:ilvl w:val="1"/>
                <w:numId w:val="0"/>
              </w:numPr>
              <w:tabs>
                <w:tab w:val="left" w:pos="1134"/>
                <w:tab w:val="left" w:pos="7938"/>
              </w:tabs>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&lt;group-delivery-point</w:t>
            </w:r>
          </w:p>
          <w:p w14:paraId="1DD3CA7E" w14:textId="77777777" w:rsidR="00295C6D" w:rsidRPr="00A5626D" w:rsidRDefault="00295C6D" w:rsidP="00E31AE6">
            <w:pPr>
              <w:numPr>
                <w:ilvl w:val="1"/>
                <w:numId w:val="0"/>
              </w:numPr>
              <w:tabs>
                <w:tab w:val="left" w:pos="1134"/>
                <w:tab w:val="left" w:pos="7938"/>
              </w:tabs>
              <w:rPr>
                <w:rFonts w:ascii="Garamond" w:eastAsia="Calibri" w:hAnsi="Garamond" w:cstheme="minorHAnsi"/>
                <w:sz w:val="22"/>
                <w:szCs w:val="22"/>
                <w:lang w:val="en-US"/>
              </w:rPr>
            </w:pPr>
            <w:r w:rsidRPr="00A5626D">
              <w:rPr>
                <w:rFonts w:ascii="Garamond" w:eastAsia="Calibri" w:hAnsi="Garamond" w:cstheme="minorHAnsi"/>
                <w:sz w:val="22"/>
                <w:szCs w:val="22"/>
                <w:lang w:val="en-US"/>
              </w:rPr>
              <w:lastRenderedPageBreak/>
              <w:t xml:space="preserve">                    id-group-delivery-point="4n"</w:t>
            </w:r>
          </w:p>
          <w:p w14:paraId="610C17EB" w14:textId="77777777" w:rsidR="00295C6D" w:rsidRPr="00A5626D" w:rsidRDefault="00295C6D" w:rsidP="00E31AE6">
            <w:pPr>
              <w:numPr>
                <w:ilvl w:val="1"/>
                <w:numId w:val="0"/>
              </w:numPr>
              <w:tabs>
                <w:tab w:val="left" w:pos="1134"/>
                <w:tab w:val="left" w:pos="7938"/>
              </w:tabs>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id-simple-delivery-point="4n"/&gt;</w:t>
            </w:r>
          </w:p>
          <w:p w14:paraId="27FE6B8A" w14:textId="77777777" w:rsidR="00295C6D" w:rsidRPr="00A5626D" w:rsidRDefault="00295C6D" w:rsidP="00E31AE6">
            <w:pPr>
              <w:numPr>
                <w:ilvl w:val="1"/>
                <w:numId w:val="0"/>
              </w:numPr>
              <w:tabs>
                <w:tab w:val="left" w:pos="1134"/>
                <w:tab w:val="left" w:pos="7938"/>
              </w:tabs>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&lt;/group-delivery-point-composition&gt;</w:t>
            </w:r>
          </w:p>
          <w:p w14:paraId="66704673" w14:textId="77777777" w:rsidR="00295C6D" w:rsidRPr="00A5626D" w:rsidRDefault="00295C6D" w:rsidP="00E31AE6">
            <w:pPr>
              <w:numPr>
                <w:ilvl w:val="1"/>
                <w:numId w:val="0"/>
              </w:numPr>
              <w:tabs>
                <w:tab w:val="left" w:pos="1134"/>
                <w:tab w:val="left" w:pos="7938"/>
              </w:tabs>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&lt;aiis-small-measuring-devices&gt;</w:t>
            </w:r>
          </w:p>
          <w:p w14:paraId="7C4BA841" w14:textId="77777777" w:rsidR="00295C6D" w:rsidRPr="00A5626D" w:rsidRDefault="00295C6D" w:rsidP="00E31AE6">
            <w:pPr>
              <w:numPr>
                <w:ilvl w:val="1"/>
                <w:numId w:val="0"/>
              </w:numPr>
              <w:tabs>
                <w:tab w:val="left" w:pos="1134"/>
                <w:tab w:val="left" w:pos="7938"/>
              </w:tabs>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&lt;aiis-small-measuring-device </w:t>
            </w:r>
          </w:p>
          <w:p w14:paraId="7D82B6D4" w14:textId="77777777" w:rsidR="00295C6D" w:rsidRPr="00A5626D" w:rsidRDefault="00295C6D" w:rsidP="00E31AE6">
            <w:pPr>
              <w:numPr>
                <w:ilvl w:val="1"/>
                <w:numId w:val="0"/>
              </w:numPr>
              <w:tabs>
                <w:tab w:val="left" w:pos="1134"/>
                <w:tab w:val="left" w:pos="7938"/>
              </w:tabs>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id-aiis="1n"</w:t>
            </w:r>
          </w:p>
          <w:p w14:paraId="1AACCE8A" w14:textId="77777777" w:rsidR="00295C6D" w:rsidRPr="00A5626D" w:rsidRDefault="00295C6D" w:rsidP="00E31AE6">
            <w:pPr>
              <w:numPr>
                <w:ilvl w:val="1"/>
                <w:numId w:val="0"/>
              </w:numPr>
              <w:tabs>
                <w:tab w:val="left" w:pos="1134"/>
                <w:tab w:val="left" w:pos="7938"/>
              </w:tabs>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id-measuring-device="4n"/&gt;</w:t>
            </w:r>
          </w:p>
          <w:p w14:paraId="727C50C8" w14:textId="77777777" w:rsidR="00295C6D" w:rsidRPr="00A5626D" w:rsidRDefault="00295C6D" w:rsidP="00E31AE6">
            <w:pPr>
              <w:numPr>
                <w:ilvl w:val="1"/>
                <w:numId w:val="0"/>
              </w:numPr>
              <w:tabs>
                <w:tab w:val="left" w:pos="1134"/>
                <w:tab w:val="left" w:pos="7938"/>
              </w:tabs>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&lt;/aiis-small-measuring-devices&gt;</w:t>
            </w:r>
          </w:p>
          <w:p w14:paraId="263401E4" w14:textId="77777777" w:rsidR="00295C6D" w:rsidRPr="00A5626D" w:rsidRDefault="00295C6D" w:rsidP="00E31AE6">
            <w:pPr>
              <w:numPr>
                <w:ilvl w:val="1"/>
                <w:numId w:val="0"/>
              </w:numPr>
              <w:tabs>
                <w:tab w:val="left" w:pos="1134"/>
                <w:tab w:val="left" w:pos="7938"/>
              </w:tabs>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&lt;power-center-power-object-links&gt;</w:t>
            </w:r>
          </w:p>
          <w:p w14:paraId="34395DC6" w14:textId="77777777" w:rsidR="00295C6D" w:rsidRPr="00A5626D" w:rsidRDefault="00295C6D" w:rsidP="00E31AE6">
            <w:pPr>
              <w:numPr>
                <w:ilvl w:val="1"/>
                <w:numId w:val="0"/>
              </w:numPr>
              <w:tabs>
                <w:tab w:val="left" w:pos="1134"/>
                <w:tab w:val="left" w:pos="7938"/>
              </w:tabs>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&lt;power-center-power-object-link</w:t>
            </w:r>
          </w:p>
          <w:p w14:paraId="17CF3585" w14:textId="77777777" w:rsidR="00295C6D" w:rsidRPr="00A5626D" w:rsidRDefault="00295C6D" w:rsidP="00E31AE6">
            <w:pPr>
              <w:numPr>
                <w:ilvl w:val="1"/>
                <w:numId w:val="0"/>
              </w:numPr>
              <w:tabs>
                <w:tab w:val="left" w:pos="1134"/>
                <w:tab w:val="left" w:pos="7938"/>
              </w:tabs>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id-power-center="4n" </w:t>
            </w:r>
          </w:p>
          <w:p w14:paraId="0344F8D3" w14:textId="77777777" w:rsidR="00295C6D" w:rsidRPr="00A5626D" w:rsidRDefault="00295C6D" w:rsidP="00E31AE6">
            <w:pPr>
              <w:numPr>
                <w:ilvl w:val="1"/>
                <w:numId w:val="0"/>
              </w:numPr>
              <w:tabs>
                <w:tab w:val="left" w:pos="1134"/>
                <w:tab w:val="left" w:pos="7938"/>
              </w:tabs>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id-power-object="4n"/&gt;</w:t>
            </w:r>
          </w:p>
          <w:p w14:paraId="080A7166" w14:textId="77777777" w:rsidR="00295C6D" w:rsidRPr="00A5626D" w:rsidRDefault="00295C6D" w:rsidP="00E31AE6">
            <w:pPr>
              <w:numPr>
                <w:ilvl w:val="1"/>
                <w:numId w:val="0"/>
              </w:numPr>
              <w:tabs>
                <w:tab w:val="left" w:pos="1134"/>
                <w:tab w:val="left" w:pos="7938"/>
              </w:tabs>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&lt;/power-center-power-object-links&gt;            </w:t>
            </w:r>
          </w:p>
          <w:p w14:paraId="13AD191F" w14:textId="77777777" w:rsidR="00295C6D" w:rsidRPr="00A5626D" w:rsidRDefault="00295C6D" w:rsidP="00E31AE6">
            <w:pPr>
              <w:numPr>
                <w:ilvl w:val="1"/>
                <w:numId w:val="0"/>
              </w:numPr>
              <w:tabs>
                <w:tab w:val="left" w:pos="1134"/>
                <w:tab w:val="left" w:pos="7938"/>
              </w:tabs>
              <w:ind w:firstLine="708"/>
              <w:rPr>
                <w:rFonts w:ascii="Garamond" w:eastAsia="Calibri" w:hAnsi="Garamond" w:cstheme="minorHAnsi"/>
                <w:sz w:val="22"/>
                <w:szCs w:val="22"/>
                <w:lang w:val="en-US"/>
              </w:rPr>
            </w:pPr>
            <w:r w:rsidRPr="00A5626D">
              <w:rPr>
                <w:rFonts w:ascii="Garamond" w:eastAsia="Calibri" w:hAnsi="Garamond" w:cstheme="minorHAnsi"/>
                <w:sz w:val="22"/>
                <w:szCs w:val="22"/>
                <w:lang w:val="en-US"/>
              </w:rPr>
              <w:t>&lt;power-object-owner-gtp-links&gt;</w:t>
            </w:r>
          </w:p>
          <w:p w14:paraId="72A9742B" w14:textId="77777777" w:rsidR="00295C6D" w:rsidRPr="00A5626D" w:rsidRDefault="00295C6D" w:rsidP="00E31AE6">
            <w:pPr>
              <w:numPr>
                <w:ilvl w:val="1"/>
                <w:numId w:val="0"/>
              </w:numPr>
              <w:tabs>
                <w:tab w:val="left" w:pos="1134"/>
                <w:tab w:val="left" w:pos="7938"/>
              </w:tabs>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&lt;power-object-owner-gtp-link</w:t>
            </w:r>
          </w:p>
          <w:p w14:paraId="69DA963C" w14:textId="77777777" w:rsidR="00295C6D" w:rsidRPr="00A5626D" w:rsidRDefault="00295C6D" w:rsidP="00E31AE6">
            <w:pPr>
              <w:numPr>
                <w:ilvl w:val="1"/>
                <w:numId w:val="0"/>
              </w:numPr>
              <w:tabs>
                <w:tab w:val="left" w:pos="1134"/>
                <w:tab w:val="left" w:pos="7938"/>
              </w:tabs>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id-power-object-owner="4n" </w:t>
            </w:r>
          </w:p>
          <w:p w14:paraId="01C260BB" w14:textId="77777777" w:rsidR="00295C6D" w:rsidRPr="00A5626D" w:rsidRDefault="00295C6D" w:rsidP="00E31AE6">
            <w:pPr>
              <w:numPr>
                <w:ilvl w:val="1"/>
                <w:numId w:val="0"/>
              </w:numPr>
              <w:tabs>
                <w:tab w:val="left" w:pos="1134"/>
                <w:tab w:val="left" w:pos="7938"/>
              </w:tabs>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id-gtp="4n"/&gt;</w:t>
            </w:r>
          </w:p>
          <w:p w14:paraId="19058CC0" w14:textId="77777777" w:rsidR="00295C6D" w:rsidRPr="00A5626D" w:rsidRDefault="00295C6D" w:rsidP="00E31AE6">
            <w:pPr>
              <w:numPr>
                <w:ilvl w:val="1"/>
                <w:numId w:val="0"/>
              </w:numPr>
              <w:tabs>
                <w:tab w:val="left" w:pos="1134"/>
                <w:tab w:val="left" w:pos="7938"/>
              </w:tabs>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&lt;/power-object-owner-gtp-links&gt;</w:t>
            </w:r>
          </w:p>
          <w:p w14:paraId="04F558AE" w14:textId="77777777" w:rsidR="00295C6D" w:rsidRPr="00A5626D" w:rsidRDefault="00295C6D" w:rsidP="00E31AE6">
            <w:pPr>
              <w:numPr>
                <w:ilvl w:val="1"/>
                <w:numId w:val="0"/>
              </w:numPr>
              <w:tabs>
                <w:tab w:val="left" w:pos="1134"/>
                <w:tab w:val="left" w:pos="7938"/>
              </w:tabs>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&lt;/links&gt;</w:t>
            </w:r>
          </w:p>
          <w:p w14:paraId="5357B4CC" w14:textId="77777777" w:rsidR="00295C6D" w:rsidRPr="00A5626D" w:rsidRDefault="00295C6D" w:rsidP="00E31AE6">
            <w:pPr>
              <w:numPr>
                <w:ilvl w:val="1"/>
                <w:numId w:val="0"/>
              </w:numPr>
              <w:tabs>
                <w:tab w:val="left" w:pos="1134"/>
                <w:tab w:val="left" w:pos="7938"/>
              </w:tabs>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&lt;algorithm&gt;</w:t>
            </w:r>
          </w:p>
          <w:p w14:paraId="66BFC8AE" w14:textId="77777777" w:rsidR="00295C6D" w:rsidRPr="00A5626D" w:rsidRDefault="00295C6D" w:rsidP="00E31AE6">
            <w:pPr>
              <w:numPr>
                <w:ilvl w:val="1"/>
                <w:numId w:val="0"/>
              </w:numPr>
              <w:tabs>
                <w:tab w:val="left" w:pos="1134"/>
                <w:tab w:val="left" w:pos="7938"/>
              </w:tabs>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&lt;aup-delivery-points&gt;</w:t>
            </w:r>
          </w:p>
          <w:p w14:paraId="66829B7E" w14:textId="77777777" w:rsidR="00295C6D" w:rsidRPr="00A5626D" w:rsidRDefault="00295C6D" w:rsidP="00E31AE6">
            <w:pPr>
              <w:numPr>
                <w:ilvl w:val="1"/>
                <w:numId w:val="0"/>
              </w:numPr>
              <w:tabs>
                <w:tab w:val="left" w:pos="1134"/>
                <w:tab w:val="left" w:pos="7938"/>
              </w:tabs>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&lt;aup-delivery-point </w:t>
            </w:r>
          </w:p>
          <w:p w14:paraId="3B941A46" w14:textId="77777777" w:rsidR="00295C6D" w:rsidRPr="00A5626D" w:rsidRDefault="00295C6D" w:rsidP="00E31AE6">
            <w:pPr>
              <w:numPr>
                <w:ilvl w:val="1"/>
                <w:numId w:val="0"/>
              </w:numPr>
              <w:tabs>
                <w:tab w:val="left" w:pos="1134"/>
                <w:tab w:val="left" w:pos="7938"/>
              </w:tabs>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id-delivery-point="4n" </w:t>
            </w:r>
          </w:p>
          <w:p w14:paraId="3BC0BFAE" w14:textId="77777777" w:rsidR="00295C6D" w:rsidRPr="00A5626D" w:rsidRDefault="00295C6D" w:rsidP="00E31AE6">
            <w:pPr>
              <w:numPr>
                <w:ilvl w:val="1"/>
                <w:numId w:val="0"/>
              </w:numPr>
              <w:tabs>
                <w:tab w:val="left" w:pos="1134"/>
                <w:tab w:val="left" w:pos="7938"/>
              </w:tabs>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id-org="1n" </w:t>
            </w:r>
          </w:p>
          <w:p w14:paraId="6C863E4A" w14:textId="77777777" w:rsidR="00295C6D" w:rsidRPr="00A5626D" w:rsidRDefault="00295C6D" w:rsidP="00E31AE6">
            <w:pPr>
              <w:numPr>
                <w:ilvl w:val="1"/>
                <w:numId w:val="0"/>
              </w:numPr>
              <w:tabs>
                <w:tab w:val="left" w:pos="1134"/>
                <w:tab w:val="left" w:pos="7938"/>
              </w:tabs>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id-aiis="1n"&gt;</w:t>
            </w:r>
          </w:p>
          <w:p w14:paraId="7510930B" w14:textId="77777777" w:rsidR="00295C6D" w:rsidRPr="00A5626D" w:rsidRDefault="00295C6D" w:rsidP="00E31AE6">
            <w:pPr>
              <w:numPr>
                <w:ilvl w:val="1"/>
                <w:numId w:val="0"/>
              </w:numPr>
              <w:tabs>
                <w:tab w:val="left" w:pos="1134"/>
                <w:tab w:val="left" w:pos="7938"/>
              </w:tabs>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&lt;send&gt;</w:t>
            </w:r>
          </w:p>
          <w:p w14:paraId="17E5F812" w14:textId="77777777" w:rsidR="00295C6D" w:rsidRPr="00A5626D" w:rsidRDefault="00295C6D" w:rsidP="00E31AE6">
            <w:pPr>
              <w:pStyle w:val="aff4"/>
              <w:tabs>
                <w:tab w:val="left" w:pos="1134"/>
                <w:tab w:val="left" w:pos="7938"/>
              </w:tabs>
              <w:rPr>
                <w:rFonts w:eastAsia="Calibri" w:cstheme="minorHAnsi"/>
                <w:sz w:val="22"/>
                <w:szCs w:val="22"/>
                <w:lang w:val="en-US"/>
              </w:rPr>
            </w:pPr>
            <w:r w:rsidRPr="00A5626D">
              <w:rPr>
                <w:rFonts w:cstheme="minorHAnsi"/>
                <w:sz w:val="22"/>
                <w:szCs w:val="22"/>
                <w:lang w:val="en-US"/>
              </w:rPr>
              <w:t xml:space="preserve"> </w:t>
            </w:r>
            <w:r w:rsidRPr="00A5626D">
              <w:rPr>
                <w:rFonts w:cstheme="minorHAnsi"/>
                <w:sz w:val="22"/>
                <w:szCs w:val="22"/>
                <w:lang w:val="en-US"/>
              </w:rPr>
              <w:tab/>
            </w:r>
            <w:r w:rsidRPr="00A5626D">
              <w:rPr>
                <w:rFonts w:cstheme="minorHAnsi"/>
                <w:sz w:val="22"/>
                <w:szCs w:val="22"/>
                <w:lang w:val="en-US"/>
              </w:rPr>
              <w:tab/>
              <w:t xml:space="preserve"> </w:t>
            </w:r>
            <w:r w:rsidRPr="00A5626D">
              <w:rPr>
                <w:rFonts w:eastAsia="Calibri" w:cstheme="minorHAnsi"/>
                <w:sz w:val="22"/>
                <w:szCs w:val="22"/>
                <w:lang w:val="en-US"/>
              </w:rPr>
              <w:t>&lt;comment&gt;</w:t>
            </w:r>
          </w:p>
          <w:p w14:paraId="6C6A93BE" w14:textId="77777777" w:rsidR="00295C6D" w:rsidRPr="00A5626D" w:rsidRDefault="00295C6D" w:rsidP="00E31AE6">
            <w:pPr>
              <w:pStyle w:val="aff4"/>
              <w:tabs>
                <w:tab w:val="left" w:pos="1134"/>
                <w:tab w:val="left" w:pos="7938"/>
              </w:tabs>
              <w:ind w:firstLine="284"/>
              <w:rPr>
                <w:rFonts w:eastAsia="Calibri" w:cstheme="minorHAnsi"/>
                <w:sz w:val="22"/>
                <w:szCs w:val="22"/>
                <w:lang w:val="en-US"/>
              </w:rPr>
            </w:pPr>
            <w:r w:rsidRPr="00A5626D">
              <w:rPr>
                <w:rFonts w:eastAsia="Calibri" w:cstheme="minorHAnsi"/>
                <w:sz w:val="22"/>
                <w:szCs w:val="22"/>
                <w:lang w:val="en-US"/>
              </w:rPr>
              <w:t xml:space="preserve">                            &lt;![CDATA[…]]&gt;</w:t>
            </w:r>
          </w:p>
          <w:p w14:paraId="4FB2CB9F" w14:textId="77777777" w:rsidR="00295C6D" w:rsidRPr="00A5626D" w:rsidRDefault="00295C6D" w:rsidP="00E31AE6">
            <w:pPr>
              <w:numPr>
                <w:ilvl w:val="1"/>
                <w:numId w:val="0"/>
              </w:numPr>
              <w:tabs>
                <w:tab w:val="left" w:pos="1134"/>
                <w:tab w:val="left" w:pos="7938"/>
              </w:tabs>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&lt;/comment&gt;</w:t>
            </w:r>
          </w:p>
          <w:p w14:paraId="193A664F" w14:textId="77777777" w:rsidR="00295C6D" w:rsidRPr="00A5626D" w:rsidRDefault="00295C6D" w:rsidP="00E31AE6">
            <w:pPr>
              <w:numPr>
                <w:ilvl w:val="1"/>
                <w:numId w:val="0"/>
              </w:numPr>
              <w:tabs>
                <w:tab w:val="left" w:pos="1134"/>
                <w:tab w:val="left" w:pos="7938"/>
              </w:tabs>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&lt;calcsum </w:t>
            </w:r>
          </w:p>
          <w:p w14:paraId="7073AC7A" w14:textId="77777777" w:rsidR="00295C6D" w:rsidRPr="00A5626D" w:rsidRDefault="00295C6D" w:rsidP="00E31AE6">
            <w:pPr>
              <w:numPr>
                <w:ilvl w:val="1"/>
                <w:numId w:val="0"/>
              </w:numPr>
              <w:tabs>
                <w:tab w:val="left" w:pos="1134"/>
                <w:tab w:val="left" w:pos="7938"/>
              </w:tabs>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losses-coefficient="2n"&gt;</w:t>
            </w:r>
          </w:p>
          <w:p w14:paraId="20ACC4F9" w14:textId="77777777" w:rsidR="00295C6D" w:rsidRPr="00A5626D" w:rsidRDefault="00295C6D" w:rsidP="00E31AE6">
            <w:pPr>
              <w:numPr>
                <w:ilvl w:val="1"/>
                <w:numId w:val="0"/>
              </w:numPr>
              <w:tabs>
                <w:tab w:val="left" w:pos="1134"/>
                <w:tab w:val="left" w:pos="7938"/>
              </w:tabs>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&lt;measuring-channel </w:t>
            </w:r>
          </w:p>
          <w:p w14:paraId="1F0D59A7" w14:textId="77777777" w:rsidR="00295C6D" w:rsidRPr="00A5626D" w:rsidRDefault="00295C6D" w:rsidP="00E31AE6">
            <w:pPr>
              <w:numPr>
                <w:ilvl w:val="1"/>
                <w:numId w:val="0"/>
              </w:numPr>
              <w:tabs>
                <w:tab w:val="left" w:pos="1134"/>
                <w:tab w:val="left" w:pos="7938"/>
              </w:tabs>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coefficient="32n" </w:t>
            </w:r>
          </w:p>
          <w:p w14:paraId="5E35234C" w14:textId="77777777" w:rsidR="00295C6D" w:rsidRPr="00A5626D" w:rsidRDefault="00295C6D" w:rsidP="00E31AE6">
            <w:pPr>
              <w:numPr>
                <w:ilvl w:val="1"/>
                <w:numId w:val="0"/>
              </w:numPr>
              <w:tabs>
                <w:tab w:val="left" w:pos="1134"/>
                <w:tab w:val="left" w:pos="7938"/>
              </w:tabs>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id-measuring-channel="4n"/&gt;</w:t>
            </w:r>
          </w:p>
          <w:p w14:paraId="37980D53" w14:textId="77777777" w:rsidR="00295C6D" w:rsidRPr="00A5626D" w:rsidRDefault="00295C6D" w:rsidP="00E31AE6">
            <w:pPr>
              <w:numPr>
                <w:ilvl w:val="1"/>
                <w:numId w:val="0"/>
              </w:numPr>
              <w:tabs>
                <w:tab w:val="left" w:pos="1134"/>
                <w:tab w:val="left" w:pos="7938"/>
              </w:tabs>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&lt;/calcsum&gt;</w:t>
            </w:r>
          </w:p>
          <w:p w14:paraId="5F440683" w14:textId="77777777" w:rsidR="00295C6D" w:rsidRPr="00A5626D" w:rsidRDefault="00295C6D" w:rsidP="00E31AE6">
            <w:pPr>
              <w:numPr>
                <w:ilvl w:val="1"/>
                <w:numId w:val="0"/>
              </w:numPr>
              <w:tabs>
                <w:tab w:val="left" w:pos="1134"/>
                <w:tab w:val="left" w:pos="7938"/>
              </w:tabs>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&lt;calcformula</w:t>
            </w:r>
          </w:p>
          <w:p w14:paraId="4FBAB5DE" w14:textId="77777777" w:rsidR="00295C6D" w:rsidRPr="00A5626D" w:rsidRDefault="00295C6D" w:rsidP="00E31AE6">
            <w:pPr>
              <w:numPr>
                <w:ilvl w:val="1"/>
                <w:numId w:val="0"/>
              </w:numPr>
              <w:tabs>
                <w:tab w:val="left" w:pos="1134"/>
                <w:tab w:val="left" w:pos="7938"/>
              </w:tabs>
              <w:rPr>
                <w:rFonts w:ascii="Garamond" w:eastAsia="Calibri" w:hAnsi="Garamond" w:cstheme="minorHAnsi"/>
                <w:sz w:val="22"/>
                <w:szCs w:val="22"/>
                <w:lang w:val="en-US"/>
              </w:rPr>
            </w:pPr>
            <w:r w:rsidRPr="00A5626D">
              <w:rPr>
                <w:rFonts w:ascii="Garamond" w:eastAsia="Calibri" w:hAnsi="Garamond" w:cstheme="minorHAnsi"/>
                <w:sz w:val="22"/>
                <w:szCs w:val="22"/>
                <w:lang w:val="en-US"/>
              </w:rPr>
              <w:lastRenderedPageBreak/>
              <w:t xml:space="preserve">                        name="50x"&gt;</w:t>
            </w:r>
          </w:p>
          <w:p w14:paraId="48DFDD2A" w14:textId="77777777" w:rsidR="00295C6D" w:rsidRPr="00A5626D" w:rsidRDefault="00295C6D" w:rsidP="00E31AE6">
            <w:pPr>
              <w:numPr>
                <w:ilvl w:val="1"/>
                <w:numId w:val="0"/>
              </w:numPr>
              <w:tabs>
                <w:tab w:val="left" w:pos="1134"/>
                <w:tab w:val="left" w:pos="7938"/>
              </w:tabs>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&lt;param</w:t>
            </w:r>
          </w:p>
          <w:p w14:paraId="4F347417" w14:textId="77777777" w:rsidR="00295C6D" w:rsidRPr="00A5626D" w:rsidRDefault="00295C6D" w:rsidP="00E31AE6">
            <w:pPr>
              <w:numPr>
                <w:ilvl w:val="1"/>
                <w:numId w:val="0"/>
              </w:numPr>
              <w:tabs>
                <w:tab w:val="left" w:pos="1134"/>
                <w:tab w:val="left" w:pos="7938"/>
              </w:tabs>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name="50x"</w:t>
            </w:r>
          </w:p>
          <w:p w14:paraId="2A567C69" w14:textId="77777777" w:rsidR="00295C6D" w:rsidRPr="00A5626D" w:rsidRDefault="00295C6D" w:rsidP="00E31AE6">
            <w:pPr>
              <w:numPr>
                <w:ilvl w:val="1"/>
                <w:numId w:val="0"/>
              </w:numPr>
              <w:tabs>
                <w:tab w:val="left" w:pos="1134"/>
                <w:tab w:val="left" w:pos="7938"/>
              </w:tabs>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type="</w:t>
            </w:r>
            <w:r w:rsidRPr="00A5626D">
              <w:rPr>
                <w:rFonts w:ascii="Garamond" w:hAnsi="Garamond" w:cstheme="minorHAnsi"/>
                <w:sz w:val="22"/>
                <w:szCs w:val="22"/>
                <w:lang w:val="en-US"/>
              </w:rPr>
              <w:t xml:space="preserve"> </w:t>
            </w:r>
            <w:r w:rsidRPr="00A5626D">
              <w:rPr>
                <w:rFonts w:ascii="Garamond" w:eastAsia="Calibri" w:hAnsi="Garamond" w:cstheme="minorHAnsi"/>
                <w:sz w:val="22"/>
                <w:szCs w:val="22"/>
                <w:lang w:val="en-US"/>
              </w:rPr>
              <w:t>CONST/SUM/FORMULA/MOBJECT</w:t>
            </w:r>
            <w:r w:rsidRPr="00A5626D" w:rsidDel="00366694">
              <w:rPr>
                <w:rFonts w:ascii="Garamond" w:eastAsia="Calibri" w:hAnsi="Garamond" w:cstheme="minorHAnsi"/>
                <w:sz w:val="22"/>
                <w:szCs w:val="22"/>
                <w:lang w:val="en-US"/>
              </w:rPr>
              <w:t xml:space="preserve"> </w:t>
            </w:r>
            <w:r w:rsidRPr="00A5626D">
              <w:rPr>
                <w:rFonts w:ascii="Garamond" w:eastAsia="Calibri" w:hAnsi="Garamond" w:cstheme="minorHAnsi"/>
                <w:sz w:val="22"/>
                <w:szCs w:val="22"/>
                <w:lang w:val="en-US"/>
              </w:rPr>
              <w:t>"&gt;</w:t>
            </w:r>
          </w:p>
          <w:p w14:paraId="52EF8AC1" w14:textId="77777777" w:rsidR="00295C6D" w:rsidRPr="00A5626D" w:rsidRDefault="00295C6D" w:rsidP="00E31AE6">
            <w:pPr>
              <w:numPr>
                <w:ilvl w:val="1"/>
                <w:numId w:val="0"/>
              </w:numPr>
              <w:tabs>
                <w:tab w:val="left" w:pos="1134"/>
                <w:tab w:val="left" w:pos="7938"/>
              </w:tabs>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&lt;measuring-object</w:t>
            </w:r>
          </w:p>
          <w:p w14:paraId="4AAAFA4F" w14:textId="77777777" w:rsidR="00295C6D" w:rsidRPr="00A5626D" w:rsidRDefault="00295C6D" w:rsidP="00E31AE6">
            <w:pPr>
              <w:numPr>
                <w:ilvl w:val="1"/>
                <w:numId w:val="0"/>
              </w:numPr>
              <w:tabs>
                <w:tab w:val="left" w:pos="1134"/>
                <w:tab w:val="left" w:pos="7938"/>
              </w:tabs>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id-measuring-object="4n"/&gt;</w:t>
            </w:r>
          </w:p>
          <w:p w14:paraId="1C518DA1" w14:textId="77777777" w:rsidR="00295C6D" w:rsidRPr="00A5626D" w:rsidRDefault="00295C6D" w:rsidP="00E31AE6">
            <w:pPr>
              <w:numPr>
                <w:ilvl w:val="1"/>
                <w:numId w:val="0"/>
              </w:numPr>
              <w:tabs>
                <w:tab w:val="left" w:pos="1134"/>
                <w:tab w:val="left" w:pos="7938"/>
              </w:tabs>
              <w:rPr>
                <w:rFonts w:ascii="Garamond" w:eastAsia="Calibri" w:hAnsi="Garamond" w:cstheme="minorHAnsi"/>
                <w:sz w:val="22"/>
                <w:szCs w:val="22"/>
              </w:rPr>
            </w:pPr>
            <w:r w:rsidRPr="00A5626D">
              <w:rPr>
                <w:rFonts w:ascii="Garamond" w:eastAsia="Calibri" w:hAnsi="Garamond" w:cstheme="minorHAnsi"/>
                <w:sz w:val="22"/>
                <w:szCs w:val="22"/>
                <w:lang w:val="en-US"/>
              </w:rPr>
              <w:t xml:space="preserve">                                </w:t>
            </w:r>
            <w:r w:rsidRPr="00A5626D">
              <w:rPr>
                <w:rFonts w:ascii="Garamond" w:eastAsia="Calibri" w:hAnsi="Garamond" w:cstheme="minorHAnsi"/>
                <w:sz w:val="22"/>
                <w:szCs w:val="22"/>
              </w:rPr>
              <w:t>&lt;</w:t>
            </w:r>
            <w:r w:rsidRPr="00A5626D">
              <w:rPr>
                <w:rFonts w:ascii="Garamond" w:eastAsia="Calibri" w:hAnsi="Garamond" w:cstheme="minorHAnsi"/>
                <w:sz w:val="22"/>
                <w:szCs w:val="22"/>
                <w:lang w:val="en-US"/>
              </w:rPr>
              <w:t>calcformula</w:t>
            </w:r>
            <w:r w:rsidRPr="00A5626D">
              <w:rPr>
                <w:rFonts w:ascii="Garamond" w:eastAsia="Calibri" w:hAnsi="Garamond" w:cstheme="minorHAnsi"/>
                <w:sz w:val="22"/>
                <w:szCs w:val="22"/>
              </w:rPr>
              <w:t>&gt;</w:t>
            </w:r>
          </w:p>
          <w:p w14:paraId="7FB326A9" w14:textId="77777777" w:rsidR="00295C6D" w:rsidRPr="00A5626D" w:rsidRDefault="00295C6D" w:rsidP="00E31AE6">
            <w:pPr>
              <w:numPr>
                <w:ilvl w:val="1"/>
                <w:numId w:val="0"/>
              </w:numPr>
              <w:tabs>
                <w:tab w:val="left" w:pos="1134"/>
                <w:tab w:val="left" w:pos="7938"/>
              </w:tabs>
              <w:rPr>
                <w:rFonts w:ascii="Garamond" w:eastAsia="Calibri" w:hAnsi="Garamond" w:cstheme="minorHAnsi"/>
                <w:sz w:val="22"/>
                <w:szCs w:val="22"/>
              </w:rPr>
            </w:pPr>
            <w:r w:rsidRPr="00A5626D">
              <w:rPr>
                <w:rFonts w:ascii="Garamond" w:eastAsia="Calibri" w:hAnsi="Garamond" w:cstheme="minorHAnsi"/>
                <w:sz w:val="22"/>
                <w:szCs w:val="22"/>
              </w:rPr>
              <w:t xml:space="preserve">                                … &lt;!--здесь и далее многоточие означает, что элемент </w:t>
            </w:r>
            <w:r w:rsidRPr="00A5626D">
              <w:rPr>
                <w:rFonts w:ascii="Garamond" w:eastAsia="Calibri" w:hAnsi="Garamond" w:cstheme="minorHAnsi"/>
                <w:sz w:val="22"/>
                <w:szCs w:val="22"/>
                <w:lang w:val="en-US"/>
              </w:rPr>
              <w:t>calcformula</w:t>
            </w:r>
            <w:r w:rsidRPr="00A5626D">
              <w:rPr>
                <w:rFonts w:ascii="Garamond" w:eastAsia="Calibri" w:hAnsi="Garamond" w:cstheme="minorHAnsi"/>
                <w:sz w:val="22"/>
                <w:szCs w:val="22"/>
              </w:rPr>
              <w:t xml:space="preserve"> описывается многократно и рекуррентно с тем же набором атрибутов и дочерних элементов до конца формулы расчета потерь --&gt;</w:t>
            </w:r>
          </w:p>
          <w:p w14:paraId="16DF250C" w14:textId="77777777" w:rsidR="00295C6D" w:rsidRPr="00A5626D" w:rsidRDefault="00295C6D" w:rsidP="00E31AE6">
            <w:pPr>
              <w:numPr>
                <w:ilvl w:val="1"/>
                <w:numId w:val="0"/>
              </w:numPr>
              <w:tabs>
                <w:tab w:val="left" w:pos="1134"/>
                <w:tab w:val="left" w:pos="7938"/>
              </w:tabs>
              <w:rPr>
                <w:rFonts w:ascii="Garamond" w:eastAsia="Calibri" w:hAnsi="Garamond" w:cstheme="minorHAnsi"/>
                <w:sz w:val="22"/>
                <w:szCs w:val="22"/>
              </w:rPr>
            </w:pPr>
            <w:r w:rsidRPr="00A5626D">
              <w:rPr>
                <w:rFonts w:ascii="Garamond" w:eastAsia="Calibri" w:hAnsi="Garamond" w:cstheme="minorHAnsi"/>
                <w:sz w:val="22"/>
                <w:szCs w:val="22"/>
              </w:rPr>
              <w:t xml:space="preserve">                                &lt;/</w:t>
            </w:r>
            <w:r w:rsidRPr="00A5626D">
              <w:rPr>
                <w:rFonts w:ascii="Garamond" w:eastAsia="Calibri" w:hAnsi="Garamond" w:cstheme="minorHAnsi"/>
                <w:sz w:val="22"/>
                <w:szCs w:val="22"/>
                <w:lang w:val="en-US"/>
              </w:rPr>
              <w:t>calcformula</w:t>
            </w:r>
            <w:r w:rsidRPr="00A5626D">
              <w:rPr>
                <w:rFonts w:ascii="Garamond" w:eastAsia="Calibri" w:hAnsi="Garamond" w:cstheme="minorHAnsi"/>
                <w:sz w:val="22"/>
                <w:szCs w:val="22"/>
              </w:rPr>
              <w:t>&gt;</w:t>
            </w:r>
          </w:p>
          <w:p w14:paraId="099CF662" w14:textId="77777777" w:rsidR="00295C6D" w:rsidRPr="00A5626D" w:rsidRDefault="00295C6D" w:rsidP="00E31AE6">
            <w:pPr>
              <w:numPr>
                <w:ilvl w:val="1"/>
                <w:numId w:val="0"/>
              </w:numPr>
              <w:tabs>
                <w:tab w:val="left" w:pos="1134"/>
                <w:tab w:val="left" w:pos="7938"/>
              </w:tabs>
              <w:rPr>
                <w:rFonts w:ascii="Garamond" w:eastAsia="Calibri" w:hAnsi="Garamond" w:cstheme="minorHAnsi"/>
                <w:sz w:val="22"/>
                <w:szCs w:val="22"/>
              </w:rPr>
            </w:pPr>
            <w:r w:rsidRPr="00A5626D">
              <w:rPr>
                <w:rFonts w:ascii="Garamond" w:eastAsia="Calibri" w:hAnsi="Garamond" w:cstheme="minorHAnsi"/>
                <w:sz w:val="22"/>
                <w:szCs w:val="22"/>
              </w:rPr>
              <w:t xml:space="preserve">                                &lt;</w:t>
            </w:r>
            <w:r w:rsidRPr="00A5626D">
              <w:rPr>
                <w:rFonts w:ascii="Garamond" w:eastAsia="Calibri" w:hAnsi="Garamond" w:cstheme="minorHAnsi"/>
                <w:sz w:val="22"/>
                <w:szCs w:val="22"/>
                <w:lang w:val="en-US"/>
              </w:rPr>
              <w:t>calcsum</w:t>
            </w:r>
            <w:r w:rsidRPr="00A5626D">
              <w:rPr>
                <w:rFonts w:ascii="Garamond" w:eastAsia="Calibri" w:hAnsi="Garamond" w:cstheme="minorHAnsi"/>
                <w:sz w:val="22"/>
                <w:szCs w:val="22"/>
              </w:rPr>
              <w:t>&gt;</w:t>
            </w:r>
          </w:p>
          <w:p w14:paraId="65A4C9D8" w14:textId="77777777" w:rsidR="00295C6D" w:rsidRPr="00A5626D" w:rsidRDefault="00295C6D" w:rsidP="00E31AE6">
            <w:pPr>
              <w:numPr>
                <w:ilvl w:val="1"/>
                <w:numId w:val="0"/>
              </w:numPr>
              <w:tabs>
                <w:tab w:val="left" w:pos="1134"/>
                <w:tab w:val="left" w:pos="7938"/>
              </w:tabs>
              <w:rPr>
                <w:rFonts w:ascii="Garamond" w:eastAsia="Calibri" w:hAnsi="Garamond" w:cstheme="minorHAnsi"/>
                <w:sz w:val="22"/>
                <w:szCs w:val="22"/>
              </w:rPr>
            </w:pPr>
            <w:r w:rsidRPr="00A5626D">
              <w:rPr>
                <w:rFonts w:ascii="Garamond" w:eastAsia="Calibri" w:hAnsi="Garamond" w:cstheme="minorHAnsi"/>
                <w:sz w:val="22"/>
                <w:szCs w:val="22"/>
              </w:rPr>
              <w:t xml:space="preserve">                                … &lt;!--здесь и далее многоточие означает, что элемент </w:t>
            </w:r>
            <w:r w:rsidRPr="00A5626D">
              <w:rPr>
                <w:rFonts w:ascii="Garamond" w:eastAsia="Calibri" w:hAnsi="Garamond" w:cstheme="minorHAnsi"/>
                <w:sz w:val="22"/>
                <w:szCs w:val="22"/>
                <w:lang w:val="en-US"/>
              </w:rPr>
              <w:t>calcsum</w:t>
            </w:r>
            <w:r w:rsidRPr="00A5626D">
              <w:rPr>
                <w:rFonts w:ascii="Garamond" w:eastAsia="Calibri" w:hAnsi="Garamond" w:cstheme="minorHAnsi"/>
                <w:sz w:val="22"/>
                <w:szCs w:val="22"/>
              </w:rPr>
              <w:t xml:space="preserve"> описывается многократно и рекуррентно с тем же набором атрибутов и дочерних элементов до конца формулы расчета потерь --&gt;</w:t>
            </w:r>
          </w:p>
          <w:p w14:paraId="7DE03ECE" w14:textId="77777777" w:rsidR="00295C6D" w:rsidRPr="00A5626D" w:rsidRDefault="00295C6D" w:rsidP="00E31AE6">
            <w:pPr>
              <w:numPr>
                <w:ilvl w:val="1"/>
                <w:numId w:val="0"/>
              </w:numPr>
              <w:tabs>
                <w:tab w:val="left" w:pos="1134"/>
                <w:tab w:val="left" w:pos="7938"/>
              </w:tabs>
              <w:rPr>
                <w:rFonts w:ascii="Garamond" w:eastAsia="Calibri" w:hAnsi="Garamond" w:cstheme="minorHAnsi"/>
                <w:sz w:val="22"/>
                <w:szCs w:val="22"/>
                <w:lang w:val="en-US"/>
              </w:rPr>
            </w:pPr>
            <w:r w:rsidRPr="00A5626D">
              <w:rPr>
                <w:rFonts w:ascii="Garamond" w:eastAsia="Calibri" w:hAnsi="Garamond" w:cstheme="minorHAnsi"/>
                <w:sz w:val="22"/>
                <w:szCs w:val="22"/>
              </w:rPr>
              <w:t xml:space="preserve">                                </w:t>
            </w:r>
            <w:r w:rsidRPr="00A5626D">
              <w:rPr>
                <w:rFonts w:ascii="Garamond" w:eastAsia="Calibri" w:hAnsi="Garamond" w:cstheme="minorHAnsi"/>
                <w:sz w:val="22"/>
                <w:szCs w:val="22"/>
                <w:lang w:val="en-US"/>
              </w:rPr>
              <w:t>&lt;/calcsum&gt;</w:t>
            </w:r>
          </w:p>
          <w:p w14:paraId="1ED64EC9" w14:textId="77777777" w:rsidR="00295C6D" w:rsidRPr="00A5626D" w:rsidRDefault="00295C6D" w:rsidP="00E31AE6">
            <w:pPr>
              <w:numPr>
                <w:ilvl w:val="1"/>
                <w:numId w:val="0"/>
              </w:numPr>
              <w:tabs>
                <w:tab w:val="left" w:pos="1134"/>
                <w:tab w:val="left" w:pos="7938"/>
              </w:tabs>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&lt;constvalue&gt;</w:t>
            </w:r>
          </w:p>
          <w:p w14:paraId="1E9948DE" w14:textId="77777777" w:rsidR="00295C6D" w:rsidRPr="00A5626D" w:rsidRDefault="00295C6D" w:rsidP="00E31AE6">
            <w:pPr>
              <w:numPr>
                <w:ilvl w:val="1"/>
                <w:numId w:val="0"/>
              </w:numPr>
              <w:tabs>
                <w:tab w:val="left" w:pos="1134"/>
                <w:tab w:val="left" w:pos="7938"/>
              </w:tabs>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"32n"</w:t>
            </w:r>
          </w:p>
          <w:p w14:paraId="798D29F0" w14:textId="77777777" w:rsidR="00295C6D" w:rsidRPr="00A5626D" w:rsidRDefault="00295C6D" w:rsidP="00E31AE6">
            <w:pPr>
              <w:numPr>
                <w:ilvl w:val="1"/>
                <w:numId w:val="0"/>
              </w:numPr>
              <w:tabs>
                <w:tab w:val="left" w:pos="1134"/>
                <w:tab w:val="left" w:pos="7938"/>
              </w:tabs>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&lt;/constvalue&gt;</w:t>
            </w:r>
          </w:p>
          <w:p w14:paraId="378ECC5B" w14:textId="77777777" w:rsidR="00295C6D" w:rsidRPr="00A5626D" w:rsidRDefault="00295C6D" w:rsidP="00E31AE6">
            <w:pPr>
              <w:numPr>
                <w:ilvl w:val="1"/>
                <w:numId w:val="0"/>
              </w:numPr>
              <w:tabs>
                <w:tab w:val="left" w:pos="1134"/>
                <w:tab w:val="left" w:pos="7938"/>
              </w:tabs>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&lt;/param&gt;</w:t>
            </w:r>
          </w:p>
          <w:p w14:paraId="7C4295BF" w14:textId="77777777" w:rsidR="00295C6D" w:rsidRPr="00A5626D" w:rsidRDefault="00295C6D" w:rsidP="00E31AE6">
            <w:pPr>
              <w:numPr>
                <w:ilvl w:val="1"/>
                <w:numId w:val="0"/>
              </w:numPr>
              <w:tabs>
                <w:tab w:val="left" w:pos="1134"/>
                <w:tab w:val="left" w:pos="7938"/>
              </w:tabs>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&lt;/calcformula&gt;</w:t>
            </w:r>
          </w:p>
          <w:p w14:paraId="2177C6A9" w14:textId="77777777" w:rsidR="00295C6D" w:rsidRPr="00A5626D" w:rsidRDefault="00295C6D" w:rsidP="00E31AE6">
            <w:pPr>
              <w:numPr>
                <w:ilvl w:val="1"/>
                <w:numId w:val="0"/>
              </w:numPr>
              <w:tabs>
                <w:tab w:val="left" w:pos="1134"/>
                <w:tab w:val="left" w:pos="7938"/>
              </w:tabs>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&lt;/send&gt;</w:t>
            </w:r>
          </w:p>
          <w:p w14:paraId="0B0D080E" w14:textId="77777777" w:rsidR="00295C6D" w:rsidRPr="00A5626D" w:rsidRDefault="00295C6D" w:rsidP="00E31AE6">
            <w:pPr>
              <w:numPr>
                <w:ilvl w:val="1"/>
                <w:numId w:val="0"/>
              </w:numPr>
              <w:tabs>
                <w:tab w:val="left" w:pos="1134"/>
                <w:tab w:val="left" w:pos="7938"/>
              </w:tabs>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&lt;receive&gt;</w:t>
            </w:r>
          </w:p>
          <w:p w14:paraId="0DFABF94" w14:textId="77777777" w:rsidR="00295C6D" w:rsidRPr="00A5626D" w:rsidRDefault="00295C6D" w:rsidP="00E31AE6">
            <w:pPr>
              <w:numPr>
                <w:ilvl w:val="1"/>
                <w:numId w:val="0"/>
              </w:numPr>
              <w:tabs>
                <w:tab w:val="left" w:pos="1134"/>
                <w:tab w:val="left" w:pos="7938"/>
              </w:tabs>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&lt;comment&gt;</w:t>
            </w:r>
          </w:p>
          <w:p w14:paraId="679456F9" w14:textId="77777777" w:rsidR="00295C6D" w:rsidRPr="00A5626D" w:rsidRDefault="00295C6D" w:rsidP="00E31AE6">
            <w:pPr>
              <w:numPr>
                <w:ilvl w:val="1"/>
                <w:numId w:val="0"/>
              </w:numPr>
              <w:tabs>
                <w:tab w:val="left" w:pos="1134"/>
                <w:tab w:val="left" w:pos="7938"/>
              </w:tabs>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&lt;![CDATA[…]]&gt;</w:t>
            </w:r>
          </w:p>
          <w:p w14:paraId="40D96FDD" w14:textId="77777777" w:rsidR="00295C6D" w:rsidRPr="00A5626D" w:rsidRDefault="00295C6D" w:rsidP="00E31AE6">
            <w:pPr>
              <w:numPr>
                <w:ilvl w:val="1"/>
                <w:numId w:val="0"/>
              </w:numPr>
              <w:tabs>
                <w:tab w:val="left" w:pos="1134"/>
                <w:tab w:val="left" w:pos="7938"/>
              </w:tabs>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&lt;/comment&gt;</w:t>
            </w:r>
          </w:p>
          <w:p w14:paraId="70A55037" w14:textId="77777777" w:rsidR="00295C6D" w:rsidRPr="00A5626D" w:rsidRDefault="00295C6D" w:rsidP="00E31AE6">
            <w:pPr>
              <w:numPr>
                <w:ilvl w:val="1"/>
                <w:numId w:val="0"/>
              </w:numPr>
              <w:tabs>
                <w:tab w:val="left" w:pos="1134"/>
                <w:tab w:val="left" w:pos="7938"/>
              </w:tabs>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&lt;calcsum </w:t>
            </w:r>
          </w:p>
          <w:p w14:paraId="11035382" w14:textId="77777777" w:rsidR="00295C6D" w:rsidRPr="00A5626D" w:rsidRDefault="00295C6D" w:rsidP="00E31AE6">
            <w:pPr>
              <w:numPr>
                <w:ilvl w:val="1"/>
                <w:numId w:val="0"/>
              </w:numPr>
              <w:tabs>
                <w:tab w:val="left" w:pos="1134"/>
                <w:tab w:val="left" w:pos="7938"/>
              </w:tabs>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losses-coefficient="2n"&gt;</w:t>
            </w:r>
          </w:p>
          <w:p w14:paraId="47A749B7" w14:textId="77777777" w:rsidR="00295C6D" w:rsidRPr="00A5626D" w:rsidRDefault="00295C6D" w:rsidP="00E31AE6">
            <w:pPr>
              <w:numPr>
                <w:ilvl w:val="1"/>
                <w:numId w:val="0"/>
              </w:numPr>
              <w:tabs>
                <w:tab w:val="left" w:pos="1134"/>
                <w:tab w:val="left" w:pos="7938"/>
              </w:tabs>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&lt;measuring-channel </w:t>
            </w:r>
          </w:p>
          <w:p w14:paraId="77C3C0C0" w14:textId="77777777" w:rsidR="00295C6D" w:rsidRPr="00A5626D" w:rsidRDefault="00295C6D" w:rsidP="00E31AE6">
            <w:pPr>
              <w:numPr>
                <w:ilvl w:val="1"/>
                <w:numId w:val="0"/>
              </w:numPr>
              <w:tabs>
                <w:tab w:val="left" w:pos="1134"/>
                <w:tab w:val="left" w:pos="7938"/>
              </w:tabs>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coefficient="100n" </w:t>
            </w:r>
          </w:p>
          <w:p w14:paraId="2BC68CB3" w14:textId="77777777" w:rsidR="00295C6D" w:rsidRPr="00A5626D" w:rsidRDefault="00295C6D" w:rsidP="00E31AE6">
            <w:pPr>
              <w:numPr>
                <w:ilvl w:val="1"/>
                <w:numId w:val="0"/>
              </w:numPr>
              <w:tabs>
                <w:tab w:val="left" w:pos="1134"/>
                <w:tab w:val="left" w:pos="7938"/>
              </w:tabs>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id-measuring-channel="4n"/&gt;</w:t>
            </w:r>
          </w:p>
          <w:p w14:paraId="7B1067BF" w14:textId="77777777" w:rsidR="00295C6D" w:rsidRPr="00A5626D" w:rsidRDefault="00295C6D" w:rsidP="00E31AE6">
            <w:pPr>
              <w:numPr>
                <w:ilvl w:val="1"/>
                <w:numId w:val="0"/>
              </w:numPr>
              <w:tabs>
                <w:tab w:val="left" w:pos="1134"/>
                <w:tab w:val="left" w:pos="7938"/>
              </w:tabs>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&lt;/calcsum&gt;</w:t>
            </w:r>
          </w:p>
          <w:p w14:paraId="3F68F77C" w14:textId="77777777" w:rsidR="00295C6D" w:rsidRPr="00A5626D" w:rsidRDefault="00295C6D" w:rsidP="00E31AE6">
            <w:pPr>
              <w:numPr>
                <w:ilvl w:val="1"/>
                <w:numId w:val="0"/>
              </w:numPr>
              <w:tabs>
                <w:tab w:val="left" w:pos="1134"/>
                <w:tab w:val="left" w:pos="7938"/>
              </w:tabs>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&lt;calcformula</w:t>
            </w:r>
          </w:p>
          <w:p w14:paraId="38EB1582" w14:textId="77777777" w:rsidR="00295C6D" w:rsidRPr="00A5626D" w:rsidRDefault="00295C6D" w:rsidP="00E31AE6">
            <w:pPr>
              <w:numPr>
                <w:ilvl w:val="1"/>
                <w:numId w:val="0"/>
              </w:numPr>
              <w:tabs>
                <w:tab w:val="left" w:pos="1134"/>
                <w:tab w:val="left" w:pos="7938"/>
              </w:tabs>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name="50x"&gt;</w:t>
            </w:r>
          </w:p>
          <w:p w14:paraId="2DA4DE51" w14:textId="77777777" w:rsidR="00295C6D" w:rsidRPr="00A5626D" w:rsidRDefault="00295C6D" w:rsidP="00E31AE6">
            <w:pPr>
              <w:numPr>
                <w:ilvl w:val="1"/>
                <w:numId w:val="0"/>
              </w:numPr>
              <w:tabs>
                <w:tab w:val="left" w:pos="1134"/>
                <w:tab w:val="left" w:pos="7938"/>
              </w:tabs>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&lt;param</w:t>
            </w:r>
          </w:p>
          <w:p w14:paraId="28F184D8" w14:textId="77777777" w:rsidR="00295C6D" w:rsidRPr="00A5626D" w:rsidRDefault="00295C6D" w:rsidP="00E31AE6">
            <w:pPr>
              <w:numPr>
                <w:ilvl w:val="1"/>
                <w:numId w:val="0"/>
              </w:numPr>
              <w:tabs>
                <w:tab w:val="left" w:pos="1134"/>
                <w:tab w:val="left" w:pos="7938"/>
              </w:tabs>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name="50x"</w:t>
            </w:r>
          </w:p>
          <w:p w14:paraId="54822DE1" w14:textId="77777777" w:rsidR="00295C6D" w:rsidRPr="00A5626D" w:rsidRDefault="00295C6D" w:rsidP="00E31AE6">
            <w:pPr>
              <w:numPr>
                <w:ilvl w:val="1"/>
                <w:numId w:val="0"/>
              </w:numPr>
              <w:tabs>
                <w:tab w:val="left" w:pos="1134"/>
                <w:tab w:val="left" w:pos="7938"/>
              </w:tabs>
              <w:rPr>
                <w:rFonts w:ascii="Garamond" w:eastAsia="Calibri" w:hAnsi="Garamond" w:cstheme="minorHAnsi"/>
                <w:sz w:val="22"/>
                <w:szCs w:val="22"/>
                <w:lang w:val="en-US"/>
              </w:rPr>
            </w:pPr>
            <w:r w:rsidRPr="00A5626D">
              <w:rPr>
                <w:rFonts w:ascii="Garamond" w:eastAsia="Calibri" w:hAnsi="Garamond" w:cstheme="minorHAnsi"/>
                <w:sz w:val="22"/>
                <w:szCs w:val="22"/>
                <w:lang w:val="en-US"/>
              </w:rPr>
              <w:lastRenderedPageBreak/>
              <w:t xml:space="preserve">                            type="</w:t>
            </w:r>
            <w:r w:rsidRPr="00A5626D">
              <w:rPr>
                <w:rFonts w:ascii="Garamond" w:hAnsi="Garamond" w:cstheme="minorHAnsi"/>
                <w:sz w:val="22"/>
                <w:szCs w:val="22"/>
                <w:lang w:val="en-US"/>
              </w:rPr>
              <w:t xml:space="preserve"> </w:t>
            </w:r>
            <w:r w:rsidRPr="00A5626D">
              <w:rPr>
                <w:rFonts w:ascii="Garamond" w:eastAsia="Calibri" w:hAnsi="Garamond" w:cstheme="minorHAnsi"/>
                <w:sz w:val="22"/>
                <w:szCs w:val="22"/>
                <w:lang w:val="en-US"/>
              </w:rPr>
              <w:t>CONST/SUM/FORMULA/MOBJECT</w:t>
            </w:r>
            <w:r w:rsidRPr="00A5626D" w:rsidDel="00EC6F3B">
              <w:rPr>
                <w:rFonts w:ascii="Garamond" w:eastAsia="Calibri" w:hAnsi="Garamond" w:cstheme="minorHAnsi"/>
                <w:sz w:val="22"/>
                <w:szCs w:val="22"/>
                <w:lang w:val="en-US"/>
              </w:rPr>
              <w:t xml:space="preserve"> </w:t>
            </w:r>
            <w:r w:rsidRPr="00A5626D">
              <w:rPr>
                <w:rFonts w:ascii="Garamond" w:eastAsia="Calibri" w:hAnsi="Garamond" w:cstheme="minorHAnsi"/>
                <w:sz w:val="22"/>
                <w:szCs w:val="22"/>
                <w:lang w:val="en-US"/>
              </w:rPr>
              <w:t>"&gt;</w:t>
            </w:r>
          </w:p>
          <w:p w14:paraId="212701A8" w14:textId="77777777" w:rsidR="00295C6D" w:rsidRPr="00A5626D" w:rsidRDefault="00295C6D" w:rsidP="00E31AE6">
            <w:pPr>
              <w:numPr>
                <w:ilvl w:val="1"/>
                <w:numId w:val="0"/>
              </w:numPr>
              <w:tabs>
                <w:tab w:val="left" w:pos="1134"/>
                <w:tab w:val="left" w:pos="7938"/>
              </w:tabs>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&lt;measuring-object</w:t>
            </w:r>
          </w:p>
          <w:p w14:paraId="7077599A" w14:textId="77777777" w:rsidR="00295C6D" w:rsidRPr="00A5626D" w:rsidRDefault="00295C6D" w:rsidP="00E31AE6">
            <w:pPr>
              <w:numPr>
                <w:ilvl w:val="1"/>
                <w:numId w:val="0"/>
              </w:numPr>
              <w:tabs>
                <w:tab w:val="left" w:pos="1134"/>
                <w:tab w:val="left" w:pos="7938"/>
              </w:tabs>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id-measuring-object="4n"/&gt;</w:t>
            </w:r>
          </w:p>
          <w:p w14:paraId="2DB56567" w14:textId="77777777" w:rsidR="00295C6D" w:rsidRPr="00A5626D" w:rsidRDefault="00295C6D" w:rsidP="00E31AE6">
            <w:pPr>
              <w:numPr>
                <w:ilvl w:val="1"/>
                <w:numId w:val="0"/>
              </w:numPr>
              <w:tabs>
                <w:tab w:val="left" w:pos="1134"/>
                <w:tab w:val="left" w:pos="7938"/>
              </w:tabs>
              <w:rPr>
                <w:rFonts w:ascii="Garamond" w:eastAsia="Calibri" w:hAnsi="Garamond" w:cstheme="minorHAnsi"/>
                <w:sz w:val="22"/>
                <w:szCs w:val="22"/>
                <w:lang w:val="es-ES"/>
              </w:rPr>
            </w:pPr>
            <w:r w:rsidRPr="00A5626D">
              <w:rPr>
                <w:rFonts w:ascii="Garamond" w:eastAsia="Calibri" w:hAnsi="Garamond" w:cstheme="minorHAnsi"/>
                <w:sz w:val="22"/>
                <w:szCs w:val="22"/>
                <w:lang w:val="en-US"/>
              </w:rPr>
              <w:t xml:space="preserve">                                </w:t>
            </w:r>
            <w:r w:rsidRPr="00A5626D">
              <w:rPr>
                <w:rFonts w:ascii="Garamond" w:eastAsia="Calibri" w:hAnsi="Garamond" w:cstheme="minorHAnsi"/>
                <w:sz w:val="22"/>
                <w:szCs w:val="22"/>
                <w:lang w:val="es-ES"/>
              </w:rPr>
              <w:t>&lt;calcformula&gt;</w:t>
            </w:r>
          </w:p>
          <w:p w14:paraId="22FFEF05" w14:textId="77777777" w:rsidR="00295C6D" w:rsidRPr="00A5626D" w:rsidRDefault="00295C6D" w:rsidP="00E31AE6">
            <w:pPr>
              <w:numPr>
                <w:ilvl w:val="1"/>
                <w:numId w:val="0"/>
              </w:numPr>
              <w:tabs>
                <w:tab w:val="left" w:pos="1134"/>
                <w:tab w:val="left" w:pos="7938"/>
              </w:tabs>
              <w:rPr>
                <w:rFonts w:ascii="Garamond" w:eastAsia="Calibri" w:hAnsi="Garamond" w:cstheme="minorHAnsi"/>
                <w:sz w:val="22"/>
                <w:szCs w:val="22"/>
                <w:lang w:val="es-ES"/>
              </w:rPr>
            </w:pPr>
            <w:r w:rsidRPr="00A5626D">
              <w:rPr>
                <w:rFonts w:ascii="Garamond" w:eastAsia="Calibri" w:hAnsi="Garamond" w:cstheme="minorHAnsi"/>
                <w:sz w:val="22"/>
                <w:szCs w:val="22"/>
                <w:lang w:val="es-ES"/>
              </w:rPr>
              <w:t xml:space="preserve">                                …</w:t>
            </w:r>
          </w:p>
          <w:p w14:paraId="4F815B0C" w14:textId="77777777" w:rsidR="00295C6D" w:rsidRPr="00A5626D" w:rsidRDefault="00295C6D" w:rsidP="00E31AE6">
            <w:pPr>
              <w:numPr>
                <w:ilvl w:val="1"/>
                <w:numId w:val="0"/>
              </w:numPr>
              <w:tabs>
                <w:tab w:val="left" w:pos="1134"/>
                <w:tab w:val="left" w:pos="7938"/>
              </w:tabs>
              <w:rPr>
                <w:rFonts w:ascii="Garamond" w:eastAsia="Calibri" w:hAnsi="Garamond" w:cstheme="minorHAnsi"/>
                <w:sz w:val="22"/>
                <w:szCs w:val="22"/>
                <w:lang w:val="es-ES"/>
              </w:rPr>
            </w:pPr>
            <w:r w:rsidRPr="00A5626D">
              <w:rPr>
                <w:rFonts w:ascii="Garamond" w:eastAsia="Calibri" w:hAnsi="Garamond" w:cstheme="minorHAnsi"/>
                <w:sz w:val="22"/>
                <w:szCs w:val="22"/>
                <w:lang w:val="es-ES"/>
              </w:rPr>
              <w:t xml:space="preserve">                                &lt;/calcformula&gt;</w:t>
            </w:r>
          </w:p>
          <w:p w14:paraId="308EB919" w14:textId="77777777" w:rsidR="00295C6D" w:rsidRPr="00A5626D" w:rsidRDefault="00295C6D" w:rsidP="00E31AE6">
            <w:pPr>
              <w:numPr>
                <w:ilvl w:val="1"/>
                <w:numId w:val="0"/>
              </w:numPr>
              <w:tabs>
                <w:tab w:val="left" w:pos="1134"/>
                <w:tab w:val="left" w:pos="7938"/>
              </w:tabs>
              <w:rPr>
                <w:rFonts w:ascii="Garamond" w:eastAsia="Calibri" w:hAnsi="Garamond" w:cstheme="minorHAnsi"/>
                <w:sz w:val="22"/>
                <w:szCs w:val="22"/>
                <w:lang w:val="es-ES"/>
              </w:rPr>
            </w:pPr>
            <w:r w:rsidRPr="00A5626D">
              <w:rPr>
                <w:rFonts w:ascii="Garamond" w:eastAsia="Calibri" w:hAnsi="Garamond" w:cstheme="minorHAnsi"/>
                <w:sz w:val="22"/>
                <w:szCs w:val="22"/>
                <w:lang w:val="es-ES"/>
              </w:rPr>
              <w:t xml:space="preserve">                                &lt;calcsum&gt;</w:t>
            </w:r>
          </w:p>
          <w:p w14:paraId="6E5FB079" w14:textId="77777777" w:rsidR="00295C6D" w:rsidRPr="00A5626D" w:rsidRDefault="00295C6D" w:rsidP="00E31AE6">
            <w:pPr>
              <w:numPr>
                <w:ilvl w:val="1"/>
                <w:numId w:val="0"/>
              </w:numPr>
              <w:tabs>
                <w:tab w:val="left" w:pos="1134"/>
                <w:tab w:val="left" w:pos="7938"/>
              </w:tabs>
              <w:rPr>
                <w:rFonts w:ascii="Garamond" w:eastAsia="Calibri" w:hAnsi="Garamond" w:cstheme="minorHAnsi"/>
                <w:sz w:val="22"/>
                <w:szCs w:val="22"/>
                <w:lang w:val="es-ES"/>
              </w:rPr>
            </w:pPr>
            <w:r w:rsidRPr="00A5626D">
              <w:rPr>
                <w:rFonts w:ascii="Garamond" w:eastAsia="Calibri" w:hAnsi="Garamond" w:cstheme="minorHAnsi"/>
                <w:sz w:val="22"/>
                <w:szCs w:val="22"/>
                <w:lang w:val="es-ES"/>
              </w:rPr>
              <w:t xml:space="preserve">                                …</w:t>
            </w:r>
          </w:p>
          <w:p w14:paraId="6801FB3B" w14:textId="77777777" w:rsidR="00295C6D" w:rsidRPr="00A5626D" w:rsidRDefault="00295C6D" w:rsidP="00E31AE6">
            <w:pPr>
              <w:numPr>
                <w:ilvl w:val="1"/>
                <w:numId w:val="0"/>
              </w:numPr>
              <w:tabs>
                <w:tab w:val="left" w:pos="1134"/>
                <w:tab w:val="left" w:pos="7938"/>
              </w:tabs>
              <w:rPr>
                <w:rFonts w:ascii="Garamond" w:eastAsia="Calibri" w:hAnsi="Garamond" w:cstheme="minorHAnsi"/>
                <w:sz w:val="22"/>
                <w:szCs w:val="22"/>
                <w:lang w:val="es-ES"/>
              </w:rPr>
            </w:pPr>
            <w:r w:rsidRPr="00A5626D">
              <w:rPr>
                <w:rFonts w:ascii="Garamond" w:eastAsia="Calibri" w:hAnsi="Garamond" w:cstheme="minorHAnsi"/>
                <w:sz w:val="22"/>
                <w:szCs w:val="22"/>
                <w:lang w:val="es-ES"/>
              </w:rPr>
              <w:t xml:space="preserve">                                &lt;/calcsum&gt;</w:t>
            </w:r>
          </w:p>
          <w:p w14:paraId="2F0FE837" w14:textId="77777777" w:rsidR="00295C6D" w:rsidRPr="00A5626D" w:rsidRDefault="00295C6D" w:rsidP="00E31AE6">
            <w:pPr>
              <w:numPr>
                <w:ilvl w:val="1"/>
                <w:numId w:val="0"/>
              </w:numPr>
              <w:tabs>
                <w:tab w:val="left" w:pos="1134"/>
                <w:tab w:val="left" w:pos="7938"/>
              </w:tabs>
              <w:rPr>
                <w:rFonts w:ascii="Garamond" w:eastAsia="Calibri" w:hAnsi="Garamond" w:cstheme="minorHAnsi"/>
                <w:sz w:val="22"/>
                <w:szCs w:val="22"/>
                <w:lang w:val="es-ES"/>
              </w:rPr>
            </w:pPr>
            <w:r w:rsidRPr="00A5626D">
              <w:rPr>
                <w:rFonts w:ascii="Garamond" w:eastAsia="Calibri" w:hAnsi="Garamond" w:cstheme="minorHAnsi"/>
                <w:sz w:val="22"/>
                <w:szCs w:val="22"/>
                <w:lang w:val="es-ES"/>
              </w:rPr>
              <w:t xml:space="preserve">                                &lt;constvalue&gt; </w:t>
            </w:r>
          </w:p>
          <w:p w14:paraId="104C6165" w14:textId="77777777" w:rsidR="00295C6D" w:rsidRPr="00A5626D" w:rsidRDefault="00295C6D" w:rsidP="00E31AE6">
            <w:pPr>
              <w:numPr>
                <w:ilvl w:val="1"/>
                <w:numId w:val="0"/>
              </w:numPr>
              <w:tabs>
                <w:tab w:val="left" w:pos="1134"/>
                <w:tab w:val="left" w:pos="7938"/>
              </w:tabs>
              <w:rPr>
                <w:rFonts w:ascii="Garamond" w:eastAsia="Calibri" w:hAnsi="Garamond" w:cstheme="minorHAnsi"/>
                <w:sz w:val="22"/>
                <w:szCs w:val="22"/>
                <w:lang w:val="en-US"/>
              </w:rPr>
            </w:pPr>
            <w:r w:rsidRPr="00A5626D">
              <w:rPr>
                <w:rFonts w:ascii="Garamond" w:eastAsia="Calibri" w:hAnsi="Garamond" w:cstheme="minorHAnsi"/>
                <w:sz w:val="22"/>
                <w:szCs w:val="22"/>
                <w:lang w:val="es-ES"/>
              </w:rPr>
              <w:t xml:space="preserve">                               </w:t>
            </w:r>
            <w:r w:rsidRPr="00A5626D">
              <w:rPr>
                <w:rFonts w:ascii="Garamond" w:eastAsia="Calibri" w:hAnsi="Garamond" w:cstheme="minorHAnsi"/>
                <w:sz w:val="22"/>
                <w:szCs w:val="22"/>
                <w:lang w:val="en-US"/>
              </w:rPr>
              <w:t>"32n"</w:t>
            </w:r>
          </w:p>
          <w:p w14:paraId="5D412A3E" w14:textId="77777777" w:rsidR="00295C6D" w:rsidRPr="00A5626D" w:rsidRDefault="00295C6D" w:rsidP="00E31AE6">
            <w:pPr>
              <w:numPr>
                <w:ilvl w:val="1"/>
                <w:numId w:val="0"/>
              </w:numPr>
              <w:tabs>
                <w:tab w:val="left" w:pos="1134"/>
                <w:tab w:val="left" w:pos="7938"/>
              </w:tabs>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&lt;/constvalue&gt;</w:t>
            </w:r>
          </w:p>
          <w:p w14:paraId="27FE8276" w14:textId="77777777" w:rsidR="00295C6D" w:rsidRPr="00A5626D" w:rsidRDefault="00295C6D" w:rsidP="00E31AE6">
            <w:pPr>
              <w:numPr>
                <w:ilvl w:val="1"/>
                <w:numId w:val="0"/>
              </w:numPr>
              <w:tabs>
                <w:tab w:val="left" w:pos="1134"/>
                <w:tab w:val="left" w:pos="7938"/>
              </w:tabs>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&lt;/param&gt;</w:t>
            </w:r>
          </w:p>
          <w:p w14:paraId="69DFBEF5" w14:textId="77777777" w:rsidR="00295C6D" w:rsidRPr="00A5626D" w:rsidRDefault="00295C6D" w:rsidP="00E31AE6">
            <w:pPr>
              <w:numPr>
                <w:ilvl w:val="1"/>
                <w:numId w:val="0"/>
              </w:numPr>
              <w:tabs>
                <w:tab w:val="left" w:pos="1134"/>
                <w:tab w:val="left" w:pos="7938"/>
              </w:tabs>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&lt;/calcformula&gt;</w:t>
            </w:r>
          </w:p>
          <w:p w14:paraId="47ADB1E4" w14:textId="77777777" w:rsidR="00295C6D" w:rsidRPr="00A5626D" w:rsidRDefault="00295C6D" w:rsidP="00E31AE6">
            <w:pPr>
              <w:numPr>
                <w:ilvl w:val="1"/>
                <w:numId w:val="0"/>
              </w:numPr>
              <w:tabs>
                <w:tab w:val="left" w:pos="1134"/>
                <w:tab w:val="left" w:pos="7938"/>
              </w:tabs>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&lt;/receive&gt;</w:t>
            </w:r>
          </w:p>
          <w:p w14:paraId="6D8E5F74" w14:textId="77777777" w:rsidR="00295C6D" w:rsidRPr="00A5626D" w:rsidRDefault="00295C6D" w:rsidP="00E31AE6">
            <w:pPr>
              <w:numPr>
                <w:ilvl w:val="1"/>
                <w:numId w:val="0"/>
              </w:numPr>
              <w:tabs>
                <w:tab w:val="left" w:pos="1134"/>
                <w:tab w:val="left" w:pos="7938"/>
              </w:tabs>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&lt;send-losses&gt;</w:t>
            </w:r>
          </w:p>
          <w:p w14:paraId="09F0C700" w14:textId="77777777" w:rsidR="00295C6D" w:rsidRPr="00A5626D" w:rsidRDefault="00295C6D" w:rsidP="00E31AE6">
            <w:pPr>
              <w:numPr>
                <w:ilvl w:val="1"/>
                <w:numId w:val="0"/>
              </w:numPr>
              <w:tabs>
                <w:tab w:val="left" w:pos="1134"/>
                <w:tab w:val="left" w:pos="7938"/>
              </w:tabs>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time-ratio="30/60"</w:t>
            </w:r>
          </w:p>
          <w:p w14:paraId="750F072A" w14:textId="77777777" w:rsidR="00295C6D" w:rsidRPr="00A5626D" w:rsidRDefault="00295C6D" w:rsidP="00E31AE6">
            <w:pPr>
              <w:numPr>
                <w:ilvl w:val="1"/>
                <w:numId w:val="0"/>
              </w:numPr>
              <w:tabs>
                <w:tab w:val="left" w:pos="1134"/>
                <w:tab w:val="left" w:pos="7938"/>
              </w:tabs>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&lt;comment&gt;</w:t>
            </w:r>
          </w:p>
          <w:p w14:paraId="5C92D0FD" w14:textId="77777777" w:rsidR="00295C6D" w:rsidRPr="00A5626D" w:rsidRDefault="00295C6D" w:rsidP="00E31AE6">
            <w:pPr>
              <w:numPr>
                <w:ilvl w:val="1"/>
                <w:numId w:val="0"/>
              </w:numPr>
              <w:tabs>
                <w:tab w:val="left" w:pos="1134"/>
                <w:tab w:val="left" w:pos="7938"/>
              </w:tabs>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&lt;![CDATA[…]]&gt;</w:t>
            </w:r>
          </w:p>
          <w:p w14:paraId="07686822" w14:textId="77777777" w:rsidR="00295C6D" w:rsidRPr="00A5626D" w:rsidRDefault="00295C6D" w:rsidP="00E31AE6">
            <w:pPr>
              <w:numPr>
                <w:ilvl w:val="1"/>
                <w:numId w:val="0"/>
              </w:numPr>
              <w:tabs>
                <w:tab w:val="left" w:pos="1134"/>
                <w:tab w:val="left" w:pos="7938"/>
              </w:tabs>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&lt;/comment&gt;</w:t>
            </w:r>
          </w:p>
          <w:p w14:paraId="4B6F9B3F" w14:textId="77777777" w:rsidR="00295C6D" w:rsidRPr="00A5626D" w:rsidRDefault="00295C6D" w:rsidP="00E31AE6">
            <w:pPr>
              <w:numPr>
                <w:ilvl w:val="1"/>
                <w:numId w:val="0"/>
              </w:numPr>
              <w:tabs>
                <w:tab w:val="left" w:pos="1134"/>
                <w:tab w:val="left" w:pos="7938"/>
              </w:tabs>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&lt;calcformula</w:t>
            </w:r>
          </w:p>
          <w:p w14:paraId="13A390E3" w14:textId="77777777" w:rsidR="00295C6D" w:rsidRPr="00A5626D" w:rsidRDefault="00295C6D" w:rsidP="00E31AE6">
            <w:pPr>
              <w:numPr>
                <w:ilvl w:val="1"/>
                <w:numId w:val="0"/>
              </w:numPr>
              <w:tabs>
                <w:tab w:val="left" w:pos="1134"/>
                <w:tab w:val="left" w:pos="7938"/>
              </w:tabs>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name="50x"&gt;</w:t>
            </w:r>
          </w:p>
          <w:p w14:paraId="04FA1582" w14:textId="77777777" w:rsidR="00295C6D" w:rsidRPr="00A5626D" w:rsidRDefault="00295C6D" w:rsidP="00E31AE6">
            <w:pPr>
              <w:numPr>
                <w:ilvl w:val="1"/>
                <w:numId w:val="0"/>
              </w:numPr>
              <w:tabs>
                <w:tab w:val="left" w:pos="1134"/>
                <w:tab w:val="left" w:pos="7938"/>
              </w:tabs>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&lt;param</w:t>
            </w:r>
          </w:p>
          <w:p w14:paraId="0917C2D1" w14:textId="77777777" w:rsidR="00295C6D" w:rsidRPr="00A5626D" w:rsidRDefault="00295C6D" w:rsidP="00E31AE6">
            <w:pPr>
              <w:numPr>
                <w:ilvl w:val="1"/>
                <w:numId w:val="0"/>
              </w:numPr>
              <w:tabs>
                <w:tab w:val="left" w:pos="1134"/>
                <w:tab w:val="left" w:pos="7938"/>
              </w:tabs>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name="50x"</w:t>
            </w:r>
          </w:p>
          <w:p w14:paraId="6F99944E" w14:textId="77777777" w:rsidR="00295C6D" w:rsidRPr="00A5626D" w:rsidRDefault="00295C6D" w:rsidP="00E31AE6">
            <w:pPr>
              <w:numPr>
                <w:ilvl w:val="1"/>
                <w:numId w:val="0"/>
              </w:numPr>
              <w:tabs>
                <w:tab w:val="left" w:pos="1134"/>
                <w:tab w:val="left" w:pos="7938"/>
              </w:tabs>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type="</w:t>
            </w:r>
            <w:r w:rsidRPr="00A5626D">
              <w:rPr>
                <w:rFonts w:ascii="Garamond" w:hAnsi="Garamond" w:cstheme="minorHAnsi"/>
                <w:sz w:val="22"/>
                <w:szCs w:val="22"/>
                <w:lang w:val="en-US"/>
              </w:rPr>
              <w:t xml:space="preserve"> </w:t>
            </w:r>
            <w:r w:rsidRPr="00A5626D">
              <w:rPr>
                <w:rFonts w:ascii="Garamond" w:eastAsia="Calibri" w:hAnsi="Garamond" w:cstheme="minorHAnsi"/>
                <w:sz w:val="22"/>
                <w:szCs w:val="22"/>
                <w:lang w:val="en-US"/>
              </w:rPr>
              <w:t>CONST/SUM/FORMULA/MOBJECT</w:t>
            </w:r>
            <w:r w:rsidRPr="00A5626D" w:rsidDel="00403BE4">
              <w:rPr>
                <w:rFonts w:ascii="Garamond" w:eastAsia="Calibri" w:hAnsi="Garamond" w:cstheme="minorHAnsi"/>
                <w:sz w:val="22"/>
                <w:szCs w:val="22"/>
                <w:lang w:val="en-US"/>
              </w:rPr>
              <w:t xml:space="preserve"> </w:t>
            </w:r>
            <w:r w:rsidRPr="00A5626D">
              <w:rPr>
                <w:rFonts w:ascii="Garamond" w:eastAsia="Calibri" w:hAnsi="Garamond" w:cstheme="minorHAnsi"/>
                <w:sz w:val="22"/>
                <w:szCs w:val="22"/>
                <w:lang w:val="en-US"/>
              </w:rPr>
              <w:t>"&gt;</w:t>
            </w:r>
          </w:p>
          <w:p w14:paraId="71DB6001" w14:textId="77777777" w:rsidR="00295C6D" w:rsidRPr="00A5626D" w:rsidRDefault="00295C6D" w:rsidP="00E31AE6">
            <w:pPr>
              <w:numPr>
                <w:ilvl w:val="1"/>
                <w:numId w:val="0"/>
              </w:numPr>
              <w:tabs>
                <w:tab w:val="left" w:pos="1134"/>
                <w:tab w:val="left" w:pos="7938"/>
              </w:tabs>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&lt;measuring-object</w:t>
            </w:r>
          </w:p>
          <w:p w14:paraId="07FF0752" w14:textId="77777777" w:rsidR="00295C6D" w:rsidRPr="00A5626D" w:rsidRDefault="00295C6D" w:rsidP="00E31AE6">
            <w:pPr>
              <w:numPr>
                <w:ilvl w:val="1"/>
                <w:numId w:val="0"/>
              </w:numPr>
              <w:tabs>
                <w:tab w:val="left" w:pos="1134"/>
                <w:tab w:val="left" w:pos="7938"/>
              </w:tabs>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id-measuring-object="4n"/&gt;</w:t>
            </w:r>
          </w:p>
          <w:p w14:paraId="5DC87921" w14:textId="77777777" w:rsidR="00295C6D" w:rsidRPr="00A5626D" w:rsidRDefault="00295C6D" w:rsidP="00E31AE6">
            <w:pPr>
              <w:numPr>
                <w:ilvl w:val="1"/>
                <w:numId w:val="0"/>
              </w:numPr>
              <w:tabs>
                <w:tab w:val="left" w:pos="1134"/>
                <w:tab w:val="left" w:pos="7938"/>
              </w:tabs>
              <w:rPr>
                <w:rFonts w:ascii="Garamond" w:eastAsia="Calibri" w:hAnsi="Garamond" w:cstheme="minorHAnsi"/>
                <w:sz w:val="22"/>
                <w:szCs w:val="22"/>
                <w:lang w:val="es-ES"/>
              </w:rPr>
            </w:pPr>
            <w:r w:rsidRPr="00A5626D">
              <w:rPr>
                <w:rFonts w:ascii="Garamond" w:eastAsia="Calibri" w:hAnsi="Garamond" w:cstheme="minorHAnsi"/>
                <w:sz w:val="22"/>
                <w:szCs w:val="22"/>
                <w:lang w:val="en-US"/>
              </w:rPr>
              <w:t xml:space="preserve">                                </w:t>
            </w:r>
            <w:r w:rsidRPr="00A5626D">
              <w:rPr>
                <w:rFonts w:ascii="Garamond" w:eastAsia="Calibri" w:hAnsi="Garamond" w:cstheme="minorHAnsi"/>
                <w:sz w:val="22"/>
                <w:szCs w:val="22"/>
                <w:lang w:val="es-ES"/>
              </w:rPr>
              <w:t>&lt;calcformula&gt;</w:t>
            </w:r>
          </w:p>
          <w:p w14:paraId="6EDBC47F" w14:textId="77777777" w:rsidR="00295C6D" w:rsidRPr="00A5626D" w:rsidRDefault="00295C6D" w:rsidP="00E31AE6">
            <w:pPr>
              <w:numPr>
                <w:ilvl w:val="1"/>
                <w:numId w:val="0"/>
              </w:numPr>
              <w:tabs>
                <w:tab w:val="left" w:pos="1134"/>
                <w:tab w:val="left" w:pos="7938"/>
              </w:tabs>
              <w:rPr>
                <w:rFonts w:ascii="Garamond" w:eastAsia="Calibri" w:hAnsi="Garamond" w:cstheme="minorHAnsi"/>
                <w:sz w:val="22"/>
                <w:szCs w:val="22"/>
                <w:lang w:val="es-ES"/>
              </w:rPr>
            </w:pPr>
            <w:r w:rsidRPr="00A5626D">
              <w:rPr>
                <w:rFonts w:ascii="Garamond" w:eastAsia="Calibri" w:hAnsi="Garamond" w:cstheme="minorHAnsi"/>
                <w:sz w:val="22"/>
                <w:szCs w:val="22"/>
                <w:lang w:val="es-ES"/>
              </w:rPr>
              <w:t xml:space="preserve">                                …</w:t>
            </w:r>
          </w:p>
          <w:p w14:paraId="000E305B" w14:textId="77777777" w:rsidR="00295C6D" w:rsidRPr="00A5626D" w:rsidRDefault="00295C6D" w:rsidP="00E31AE6">
            <w:pPr>
              <w:numPr>
                <w:ilvl w:val="1"/>
                <w:numId w:val="0"/>
              </w:numPr>
              <w:tabs>
                <w:tab w:val="left" w:pos="1134"/>
                <w:tab w:val="left" w:pos="7938"/>
              </w:tabs>
              <w:rPr>
                <w:rFonts w:ascii="Garamond" w:eastAsia="Calibri" w:hAnsi="Garamond" w:cstheme="minorHAnsi"/>
                <w:sz w:val="22"/>
                <w:szCs w:val="22"/>
                <w:lang w:val="es-ES"/>
              </w:rPr>
            </w:pPr>
            <w:r w:rsidRPr="00A5626D">
              <w:rPr>
                <w:rFonts w:ascii="Garamond" w:eastAsia="Calibri" w:hAnsi="Garamond" w:cstheme="minorHAnsi"/>
                <w:sz w:val="22"/>
                <w:szCs w:val="22"/>
                <w:lang w:val="es-ES"/>
              </w:rPr>
              <w:t xml:space="preserve">                                &lt;/calcformula&gt;</w:t>
            </w:r>
          </w:p>
          <w:p w14:paraId="3B61BC0C" w14:textId="77777777" w:rsidR="00295C6D" w:rsidRPr="00A5626D" w:rsidRDefault="00295C6D" w:rsidP="00E31AE6">
            <w:pPr>
              <w:numPr>
                <w:ilvl w:val="1"/>
                <w:numId w:val="0"/>
              </w:numPr>
              <w:tabs>
                <w:tab w:val="left" w:pos="1134"/>
                <w:tab w:val="left" w:pos="7938"/>
              </w:tabs>
              <w:rPr>
                <w:rFonts w:ascii="Garamond" w:eastAsia="Calibri" w:hAnsi="Garamond" w:cstheme="minorHAnsi"/>
                <w:sz w:val="22"/>
                <w:szCs w:val="22"/>
                <w:lang w:val="es-ES"/>
              </w:rPr>
            </w:pPr>
            <w:r w:rsidRPr="00A5626D">
              <w:rPr>
                <w:rFonts w:ascii="Garamond" w:eastAsia="Calibri" w:hAnsi="Garamond" w:cstheme="minorHAnsi"/>
                <w:sz w:val="22"/>
                <w:szCs w:val="22"/>
                <w:lang w:val="es-ES"/>
              </w:rPr>
              <w:t xml:space="preserve">                                &lt;calcsum&gt;</w:t>
            </w:r>
          </w:p>
          <w:p w14:paraId="2F77D98D" w14:textId="77777777" w:rsidR="00295C6D" w:rsidRPr="00A5626D" w:rsidRDefault="00295C6D" w:rsidP="00E31AE6">
            <w:pPr>
              <w:numPr>
                <w:ilvl w:val="1"/>
                <w:numId w:val="0"/>
              </w:numPr>
              <w:tabs>
                <w:tab w:val="left" w:pos="1134"/>
                <w:tab w:val="left" w:pos="7938"/>
              </w:tabs>
              <w:rPr>
                <w:rFonts w:ascii="Garamond" w:eastAsia="Calibri" w:hAnsi="Garamond" w:cstheme="minorHAnsi"/>
                <w:sz w:val="22"/>
                <w:szCs w:val="22"/>
                <w:lang w:val="es-ES"/>
              </w:rPr>
            </w:pPr>
            <w:r w:rsidRPr="00A5626D">
              <w:rPr>
                <w:rFonts w:ascii="Garamond" w:eastAsia="Calibri" w:hAnsi="Garamond" w:cstheme="minorHAnsi"/>
                <w:sz w:val="22"/>
                <w:szCs w:val="22"/>
                <w:lang w:val="es-ES"/>
              </w:rPr>
              <w:t xml:space="preserve">                                …</w:t>
            </w:r>
          </w:p>
          <w:p w14:paraId="23E1B863" w14:textId="77777777" w:rsidR="00295C6D" w:rsidRPr="00A5626D" w:rsidRDefault="00295C6D" w:rsidP="00E31AE6">
            <w:pPr>
              <w:numPr>
                <w:ilvl w:val="1"/>
                <w:numId w:val="0"/>
              </w:numPr>
              <w:tabs>
                <w:tab w:val="left" w:pos="1134"/>
                <w:tab w:val="left" w:pos="7938"/>
              </w:tabs>
              <w:rPr>
                <w:rFonts w:ascii="Garamond" w:eastAsia="Calibri" w:hAnsi="Garamond" w:cstheme="minorHAnsi"/>
                <w:sz w:val="22"/>
                <w:szCs w:val="22"/>
                <w:lang w:val="es-ES"/>
              </w:rPr>
            </w:pPr>
            <w:r w:rsidRPr="00A5626D">
              <w:rPr>
                <w:rFonts w:ascii="Garamond" w:eastAsia="Calibri" w:hAnsi="Garamond" w:cstheme="minorHAnsi"/>
                <w:sz w:val="22"/>
                <w:szCs w:val="22"/>
                <w:lang w:val="es-ES"/>
              </w:rPr>
              <w:t xml:space="preserve">                                &lt;/calcsum&gt;</w:t>
            </w:r>
          </w:p>
          <w:p w14:paraId="256B705A" w14:textId="77777777" w:rsidR="00295C6D" w:rsidRPr="00A5626D" w:rsidRDefault="00295C6D" w:rsidP="00E31AE6">
            <w:pPr>
              <w:numPr>
                <w:ilvl w:val="1"/>
                <w:numId w:val="0"/>
              </w:numPr>
              <w:tabs>
                <w:tab w:val="left" w:pos="1134"/>
                <w:tab w:val="left" w:pos="7938"/>
              </w:tabs>
              <w:rPr>
                <w:rFonts w:ascii="Garamond" w:eastAsia="Calibri" w:hAnsi="Garamond" w:cstheme="minorHAnsi"/>
                <w:sz w:val="22"/>
                <w:szCs w:val="22"/>
                <w:lang w:val="es-ES"/>
              </w:rPr>
            </w:pPr>
            <w:r w:rsidRPr="00A5626D">
              <w:rPr>
                <w:rFonts w:ascii="Garamond" w:eastAsia="Calibri" w:hAnsi="Garamond" w:cstheme="minorHAnsi"/>
                <w:sz w:val="22"/>
                <w:szCs w:val="22"/>
                <w:lang w:val="es-ES"/>
              </w:rPr>
              <w:t xml:space="preserve">                                &lt;constvalue&gt;</w:t>
            </w:r>
          </w:p>
          <w:p w14:paraId="25C203FD" w14:textId="77777777" w:rsidR="00295C6D" w:rsidRPr="00A5626D" w:rsidRDefault="00295C6D" w:rsidP="00E31AE6">
            <w:pPr>
              <w:numPr>
                <w:ilvl w:val="1"/>
                <w:numId w:val="0"/>
              </w:numPr>
              <w:tabs>
                <w:tab w:val="left" w:pos="1134"/>
                <w:tab w:val="left" w:pos="7938"/>
              </w:tabs>
              <w:rPr>
                <w:rFonts w:ascii="Garamond" w:eastAsia="Calibri" w:hAnsi="Garamond" w:cstheme="minorHAnsi"/>
                <w:sz w:val="22"/>
                <w:szCs w:val="22"/>
                <w:lang w:val="en-US"/>
              </w:rPr>
            </w:pPr>
            <w:r w:rsidRPr="00A5626D">
              <w:rPr>
                <w:rFonts w:ascii="Garamond" w:eastAsia="Calibri" w:hAnsi="Garamond" w:cstheme="minorHAnsi"/>
                <w:sz w:val="22"/>
                <w:szCs w:val="22"/>
                <w:lang w:val="es-ES"/>
              </w:rPr>
              <w:t xml:space="preserve">                                </w:t>
            </w:r>
            <w:r w:rsidRPr="00A5626D">
              <w:rPr>
                <w:rFonts w:ascii="Garamond" w:eastAsia="Calibri" w:hAnsi="Garamond" w:cstheme="minorHAnsi"/>
                <w:sz w:val="22"/>
                <w:szCs w:val="22"/>
                <w:lang w:val="en-US"/>
              </w:rPr>
              <w:t>"32n"</w:t>
            </w:r>
          </w:p>
          <w:p w14:paraId="1F1FCBD7" w14:textId="77777777" w:rsidR="00295C6D" w:rsidRPr="00A5626D" w:rsidRDefault="00295C6D" w:rsidP="00E31AE6">
            <w:pPr>
              <w:numPr>
                <w:ilvl w:val="1"/>
                <w:numId w:val="0"/>
              </w:numPr>
              <w:tabs>
                <w:tab w:val="left" w:pos="1134"/>
                <w:tab w:val="left" w:pos="7938"/>
              </w:tabs>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&lt;/constvalue&gt;</w:t>
            </w:r>
          </w:p>
          <w:p w14:paraId="21DBC329" w14:textId="77777777" w:rsidR="00295C6D" w:rsidRPr="00A5626D" w:rsidRDefault="00295C6D" w:rsidP="00E31AE6">
            <w:pPr>
              <w:numPr>
                <w:ilvl w:val="1"/>
                <w:numId w:val="0"/>
              </w:numPr>
              <w:tabs>
                <w:tab w:val="left" w:pos="1134"/>
                <w:tab w:val="left" w:pos="7938"/>
              </w:tabs>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&lt;/param&gt;</w:t>
            </w:r>
          </w:p>
          <w:p w14:paraId="06DABD63" w14:textId="77777777" w:rsidR="00295C6D" w:rsidRPr="00A5626D" w:rsidRDefault="00295C6D" w:rsidP="00E31AE6">
            <w:pPr>
              <w:numPr>
                <w:ilvl w:val="1"/>
                <w:numId w:val="0"/>
              </w:numPr>
              <w:tabs>
                <w:tab w:val="left" w:pos="1134"/>
                <w:tab w:val="left" w:pos="7938"/>
              </w:tabs>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&lt;/calcformula&gt;</w:t>
            </w:r>
          </w:p>
          <w:p w14:paraId="10A02901" w14:textId="77777777" w:rsidR="00295C6D" w:rsidRPr="00A5626D" w:rsidRDefault="00295C6D" w:rsidP="00E31AE6">
            <w:pPr>
              <w:numPr>
                <w:ilvl w:val="1"/>
                <w:numId w:val="0"/>
              </w:numPr>
              <w:tabs>
                <w:tab w:val="left" w:pos="1134"/>
                <w:tab w:val="left" w:pos="7938"/>
              </w:tabs>
              <w:rPr>
                <w:rFonts w:ascii="Garamond" w:eastAsia="Calibri" w:hAnsi="Garamond" w:cstheme="minorHAnsi"/>
                <w:sz w:val="22"/>
                <w:szCs w:val="22"/>
                <w:lang w:val="en-US"/>
              </w:rPr>
            </w:pPr>
            <w:r w:rsidRPr="00A5626D">
              <w:rPr>
                <w:rFonts w:ascii="Garamond" w:eastAsia="Calibri" w:hAnsi="Garamond" w:cstheme="minorHAnsi"/>
                <w:sz w:val="22"/>
                <w:szCs w:val="22"/>
                <w:lang w:val="en-US"/>
              </w:rPr>
              <w:lastRenderedPageBreak/>
              <w:t xml:space="preserve">                    &lt;/send-losses&gt;</w:t>
            </w:r>
          </w:p>
          <w:p w14:paraId="6B51BB04" w14:textId="77777777" w:rsidR="00295C6D" w:rsidRPr="00A5626D" w:rsidRDefault="00295C6D" w:rsidP="00E31AE6">
            <w:pPr>
              <w:numPr>
                <w:ilvl w:val="1"/>
                <w:numId w:val="0"/>
              </w:numPr>
              <w:tabs>
                <w:tab w:val="left" w:pos="1134"/>
                <w:tab w:val="left" w:pos="7938"/>
              </w:tabs>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&lt;receive-losses&gt;</w:t>
            </w:r>
          </w:p>
          <w:p w14:paraId="39807660" w14:textId="77777777" w:rsidR="00295C6D" w:rsidRPr="00A5626D" w:rsidRDefault="00295C6D" w:rsidP="00E31AE6">
            <w:pPr>
              <w:numPr>
                <w:ilvl w:val="1"/>
                <w:numId w:val="0"/>
              </w:numPr>
              <w:tabs>
                <w:tab w:val="left" w:pos="1134"/>
                <w:tab w:val="left" w:pos="7938"/>
              </w:tabs>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&lt;comment&gt;</w:t>
            </w:r>
          </w:p>
          <w:p w14:paraId="104A0656" w14:textId="77777777" w:rsidR="00295C6D" w:rsidRPr="00A5626D" w:rsidRDefault="00295C6D" w:rsidP="00E31AE6">
            <w:pPr>
              <w:numPr>
                <w:ilvl w:val="1"/>
                <w:numId w:val="0"/>
              </w:numPr>
              <w:tabs>
                <w:tab w:val="left" w:pos="1134"/>
                <w:tab w:val="left" w:pos="7938"/>
              </w:tabs>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&lt;![CDATA[…]]&gt;</w:t>
            </w:r>
          </w:p>
          <w:p w14:paraId="02E1D355" w14:textId="77777777" w:rsidR="00295C6D" w:rsidRPr="00A5626D" w:rsidRDefault="00295C6D" w:rsidP="00E31AE6">
            <w:pPr>
              <w:numPr>
                <w:ilvl w:val="1"/>
                <w:numId w:val="0"/>
              </w:numPr>
              <w:tabs>
                <w:tab w:val="left" w:pos="1134"/>
                <w:tab w:val="left" w:pos="7938"/>
              </w:tabs>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&lt;/comment&gt;</w:t>
            </w:r>
          </w:p>
          <w:p w14:paraId="2C751F4C" w14:textId="77777777" w:rsidR="00295C6D" w:rsidRPr="00A5626D" w:rsidRDefault="00295C6D" w:rsidP="00E31AE6">
            <w:pPr>
              <w:numPr>
                <w:ilvl w:val="1"/>
                <w:numId w:val="0"/>
              </w:numPr>
              <w:tabs>
                <w:tab w:val="left" w:pos="1134"/>
                <w:tab w:val="left" w:pos="7938"/>
              </w:tabs>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&lt;calcformula</w:t>
            </w:r>
          </w:p>
          <w:p w14:paraId="243E8207" w14:textId="77777777" w:rsidR="00295C6D" w:rsidRPr="00A5626D" w:rsidRDefault="00295C6D" w:rsidP="00E31AE6">
            <w:pPr>
              <w:numPr>
                <w:ilvl w:val="1"/>
                <w:numId w:val="0"/>
              </w:numPr>
              <w:tabs>
                <w:tab w:val="left" w:pos="1134"/>
                <w:tab w:val="left" w:pos="7938"/>
              </w:tabs>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name="50x"&gt;</w:t>
            </w:r>
          </w:p>
          <w:p w14:paraId="0D0F01BD" w14:textId="77777777" w:rsidR="00295C6D" w:rsidRPr="00A5626D" w:rsidRDefault="00295C6D" w:rsidP="00E31AE6">
            <w:pPr>
              <w:numPr>
                <w:ilvl w:val="1"/>
                <w:numId w:val="0"/>
              </w:numPr>
              <w:tabs>
                <w:tab w:val="left" w:pos="1134"/>
                <w:tab w:val="left" w:pos="7938"/>
              </w:tabs>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&lt;param</w:t>
            </w:r>
          </w:p>
          <w:p w14:paraId="13C2762C" w14:textId="77777777" w:rsidR="00295C6D" w:rsidRPr="00A5626D" w:rsidRDefault="00295C6D" w:rsidP="00E31AE6">
            <w:pPr>
              <w:numPr>
                <w:ilvl w:val="1"/>
                <w:numId w:val="0"/>
              </w:numPr>
              <w:tabs>
                <w:tab w:val="left" w:pos="1134"/>
                <w:tab w:val="left" w:pos="7938"/>
              </w:tabs>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name="50x"</w:t>
            </w:r>
          </w:p>
          <w:p w14:paraId="263C268A" w14:textId="77777777" w:rsidR="00295C6D" w:rsidRPr="00A5626D" w:rsidRDefault="00295C6D" w:rsidP="00E31AE6">
            <w:pPr>
              <w:numPr>
                <w:ilvl w:val="1"/>
                <w:numId w:val="0"/>
              </w:numPr>
              <w:tabs>
                <w:tab w:val="left" w:pos="1134"/>
                <w:tab w:val="left" w:pos="7938"/>
              </w:tabs>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type="10x"&gt;</w:t>
            </w:r>
          </w:p>
          <w:p w14:paraId="6C9F4A95" w14:textId="77777777" w:rsidR="00295C6D" w:rsidRPr="00A5626D" w:rsidRDefault="00295C6D" w:rsidP="00E31AE6">
            <w:pPr>
              <w:numPr>
                <w:ilvl w:val="1"/>
                <w:numId w:val="0"/>
              </w:numPr>
              <w:tabs>
                <w:tab w:val="left" w:pos="1134"/>
                <w:tab w:val="left" w:pos="7938"/>
              </w:tabs>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&lt;measuring-object</w:t>
            </w:r>
          </w:p>
          <w:p w14:paraId="35FD16CA" w14:textId="77777777" w:rsidR="00295C6D" w:rsidRPr="00A5626D" w:rsidRDefault="00295C6D" w:rsidP="00E31AE6">
            <w:pPr>
              <w:numPr>
                <w:ilvl w:val="1"/>
                <w:numId w:val="0"/>
              </w:numPr>
              <w:tabs>
                <w:tab w:val="left" w:pos="1134"/>
                <w:tab w:val="left" w:pos="7938"/>
              </w:tabs>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id-measuring-object="4n"/&gt;</w:t>
            </w:r>
          </w:p>
          <w:p w14:paraId="49600326" w14:textId="77777777" w:rsidR="00295C6D" w:rsidRPr="00A5626D" w:rsidRDefault="00295C6D" w:rsidP="00E31AE6">
            <w:pPr>
              <w:numPr>
                <w:ilvl w:val="1"/>
                <w:numId w:val="0"/>
              </w:numPr>
              <w:tabs>
                <w:tab w:val="left" w:pos="1134"/>
                <w:tab w:val="left" w:pos="7938"/>
              </w:tabs>
              <w:rPr>
                <w:rFonts w:ascii="Garamond" w:eastAsia="Calibri" w:hAnsi="Garamond" w:cstheme="minorHAnsi"/>
                <w:sz w:val="22"/>
                <w:szCs w:val="22"/>
                <w:lang w:val="es-ES"/>
              </w:rPr>
            </w:pPr>
            <w:r w:rsidRPr="00A5626D">
              <w:rPr>
                <w:rFonts w:ascii="Garamond" w:eastAsia="Calibri" w:hAnsi="Garamond" w:cstheme="minorHAnsi"/>
                <w:sz w:val="22"/>
                <w:szCs w:val="22"/>
                <w:lang w:val="en-US"/>
              </w:rPr>
              <w:t xml:space="preserve">                                </w:t>
            </w:r>
            <w:r w:rsidRPr="00A5626D">
              <w:rPr>
                <w:rFonts w:ascii="Garamond" w:eastAsia="Calibri" w:hAnsi="Garamond" w:cstheme="minorHAnsi"/>
                <w:sz w:val="22"/>
                <w:szCs w:val="22"/>
                <w:lang w:val="es-ES"/>
              </w:rPr>
              <w:t>&lt;calcformula&gt;</w:t>
            </w:r>
          </w:p>
          <w:p w14:paraId="03659263" w14:textId="77777777" w:rsidR="00295C6D" w:rsidRPr="00A5626D" w:rsidRDefault="00295C6D" w:rsidP="00E31AE6">
            <w:pPr>
              <w:numPr>
                <w:ilvl w:val="1"/>
                <w:numId w:val="0"/>
              </w:numPr>
              <w:tabs>
                <w:tab w:val="left" w:pos="1134"/>
                <w:tab w:val="left" w:pos="7938"/>
              </w:tabs>
              <w:rPr>
                <w:rFonts w:ascii="Garamond" w:eastAsia="Calibri" w:hAnsi="Garamond" w:cstheme="minorHAnsi"/>
                <w:sz w:val="22"/>
                <w:szCs w:val="22"/>
                <w:lang w:val="es-ES"/>
              </w:rPr>
            </w:pPr>
            <w:r w:rsidRPr="00A5626D">
              <w:rPr>
                <w:rFonts w:ascii="Garamond" w:eastAsia="Calibri" w:hAnsi="Garamond" w:cstheme="minorHAnsi"/>
                <w:sz w:val="22"/>
                <w:szCs w:val="22"/>
                <w:lang w:val="es-ES"/>
              </w:rPr>
              <w:t xml:space="preserve">                                …</w:t>
            </w:r>
          </w:p>
          <w:p w14:paraId="6AADA1AD" w14:textId="77777777" w:rsidR="00295C6D" w:rsidRPr="00A5626D" w:rsidRDefault="00295C6D" w:rsidP="00E31AE6">
            <w:pPr>
              <w:numPr>
                <w:ilvl w:val="1"/>
                <w:numId w:val="0"/>
              </w:numPr>
              <w:tabs>
                <w:tab w:val="left" w:pos="1134"/>
                <w:tab w:val="left" w:pos="7938"/>
              </w:tabs>
              <w:rPr>
                <w:rFonts w:ascii="Garamond" w:eastAsia="Calibri" w:hAnsi="Garamond" w:cstheme="minorHAnsi"/>
                <w:sz w:val="22"/>
                <w:szCs w:val="22"/>
                <w:lang w:val="es-ES"/>
              </w:rPr>
            </w:pPr>
            <w:r w:rsidRPr="00A5626D">
              <w:rPr>
                <w:rFonts w:ascii="Garamond" w:eastAsia="Calibri" w:hAnsi="Garamond" w:cstheme="minorHAnsi"/>
                <w:sz w:val="22"/>
                <w:szCs w:val="22"/>
                <w:lang w:val="es-ES"/>
              </w:rPr>
              <w:t xml:space="preserve">                                &lt;/calcformula&gt;</w:t>
            </w:r>
          </w:p>
          <w:p w14:paraId="22204F27" w14:textId="77777777" w:rsidR="00295C6D" w:rsidRPr="00A5626D" w:rsidRDefault="00295C6D" w:rsidP="00E31AE6">
            <w:pPr>
              <w:numPr>
                <w:ilvl w:val="1"/>
                <w:numId w:val="0"/>
              </w:numPr>
              <w:tabs>
                <w:tab w:val="left" w:pos="1134"/>
                <w:tab w:val="left" w:pos="7938"/>
              </w:tabs>
              <w:rPr>
                <w:rFonts w:ascii="Garamond" w:eastAsia="Calibri" w:hAnsi="Garamond" w:cstheme="minorHAnsi"/>
                <w:sz w:val="22"/>
                <w:szCs w:val="22"/>
                <w:lang w:val="es-ES"/>
              </w:rPr>
            </w:pPr>
            <w:r w:rsidRPr="00A5626D">
              <w:rPr>
                <w:rFonts w:ascii="Garamond" w:eastAsia="Calibri" w:hAnsi="Garamond" w:cstheme="minorHAnsi"/>
                <w:sz w:val="22"/>
                <w:szCs w:val="22"/>
                <w:lang w:val="es-ES"/>
              </w:rPr>
              <w:t xml:space="preserve">                                &lt;calcsum&gt;</w:t>
            </w:r>
          </w:p>
          <w:p w14:paraId="4C8954D2" w14:textId="77777777" w:rsidR="00295C6D" w:rsidRPr="00A5626D" w:rsidRDefault="00295C6D" w:rsidP="00E31AE6">
            <w:pPr>
              <w:numPr>
                <w:ilvl w:val="1"/>
                <w:numId w:val="0"/>
              </w:numPr>
              <w:tabs>
                <w:tab w:val="left" w:pos="1134"/>
                <w:tab w:val="left" w:pos="7938"/>
              </w:tabs>
              <w:rPr>
                <w:rFonts w:ascii="Garamond" w:eastAsia="Calibri" w:hAnsi="Garamond" w:cstheme="minorHAnsi"/>
                <w:sz w:val="22"/>
                <w:szCs w:val="22"/>
                <w:lang w:val="es-ES"/>
              </w:rPr>
            </w:pPr>
            <w:r w:rsidRPr="00A5626D">
              <w:rPr>
                <w:rFonts w:ascii="Garamond" w:eastAsia="Calibri" w:hAnsi="Garamond" w:cstheme="minorHAnsi"/>
                <w:sz w:val="22"/>
                <w:szCs w:val="22"/>
                <w:lang w:val="es-ES"/>
              </w:rPr>
              <w:t xml:space="preserve">                                …</w:t>
            </w:r>
          </w:p>
          <w:p w14:paraId="4B87EB55" w14:textId="77777777" w:rsidR="00295C6D" w:rsidRPr="00A5626D" w:rsidRDefault="00295C6D" w:rsidP="00E31AE6">
            <w:pPr>
              <w:numPr>
                <w:ilvl w:val="1"/>
                <w:numId w:val="0"/>
              </w:numPr>
              <w:tabs>
                <w:tab w:val="left" w:pos="1134"/>
                <w:tab w:val="left" w:pos="7938"/>
              </w:tabs>
              <w:rPr>
                <w:rFonts w:ascii="Garamond" w:eastAsia="Calibri" w:hAnsi="Garamond" w:cstheme="minorHAnsi"/>
                <w:sz w:val="22"/>
                <w:szCs w:val="22"/>
                <w:lang w:val="es-ES"/>
              </w:rPr>
            </w:pPr>
            <w:r w:rsidRPr="00A5626D">
              <w:rPr>
                <w:rFonts w:ascii="Garamond" w:eastAsia="Calibri" w:hAnsi="Garamond" w:cstheme="minorHAnsi"/>
                <w:sz w:val="22"/>
                <w:szCs w:val="22"/>
                <w:lang w:val="es-ES"/>
              </w:rPr>
              <w:t xml:space="preserve">                                &lt;/calcsum&gt;</w:t>
            </w:r>
          </w:p>
          <w:p w14:paraId="385BFD10" w14:textId="77777777" w:rsidR="00295C6D" w:rsidRPr="00A5626D" w:rsidRDefault="00295C6D" w:rsidP="00E31AE6">
            <w:pPr>
              <w:numPr>
                <w:ilvl w:val="1"/>
                <w:numId w:val="0"/>
              </w:numPr>
              <w:tabs>
                <w:tab w:val="left" w:pos="1134"/>
                <w:tab w:val="left" w:pos="7938"/>
              </w:tabs>
              <w:rPr>
                <w:rFonts w:ascii="Garamond" w:eastAsia="Calibri" w:hAnsi="Garamond" w:cstheme="minorHAnsi"/>
                <w:sz w:val="22"/>
                <w:szCs w:val="22"/>
                <w:lang w:val="es-ES"/>
              </w:rPr>
            </w:pPr>
            <w:r w:rsidRPr="00A5626D">
              <w:rPr>
                <w:rFonts w:ascii="Garamond" w:eastAsia="Calibri" w:hAnsi="Garamond" w:cstheme="minorHAnsi"/>
                <w:sz w:val="22"/>
                <w:szCs w:val="22"/>
                <w:lang w:val="es-ES"/>
              </w:rPr>
              <w:t xml:space="preserve">                                &lt;constvalue&gt;</w:t>
            </w:r>
          </w:p>
          <w:p w14:paraId="3C0818D8" w14:textId="77777777" w:rsidR="00295C6D" w:rsidRPr="00A5626D" w:rsidRDefault="00295C6D" w:rsidP="00E31AE6">
            <w:pPr>
              <w:numPr>
                <w:ilvl w:val="1"/>
                <w:numId w:val="0"/>
              </w:numPr>
              <w:tabs>
                <w:tab w:val="left" w:pos="1134"/>
                <w:tab w:val="left" w:pos="7938"/>
              </w:tabs>
              <w:rPr>
                <w:rFonts w:ascii="Garamond" w:eastAsia="Calibri" w:hAnsi="Garamond" w:cstheme="minorHAnsi"/>
                <w:sz w:val="22"/>
                <w:szCs w:val="22"/>
                <w:lang w:val="en-US"/>
              </w:rPr>
            </w:pPr>
            <w:r w:rsidRPr="00A5626D">
              <w:rPr>
                <w:rFonts w:ascii="Garamond" w:eastAsia="Calibri" w:hAnsi="Garamond" w:cstheme="minorHAnsi"/>
                <w:sz w:val="22"/>
                <w:szCs w:val="22"/>
                <w:lang w:val="es-ES"/>
              </w:rPr>
              <w:t xml:space="preserve">                                </w:t>
            </w:r>
            <w:r w:rsidRPr="00A5626D">
              <w:rPr>
                <w:rFonts w:ascii="Garamond" w:eastAsia="Calibri" w:hAnsi="Garamond" w:cstheme="minorHAnsi"/>
                <w:sz w:val="22"/>
                <w:szCs w:val="22"/>
                <w:lang w:val="en-US"/>
              </w:rPr>
              <w:t>"32n"</w:t>
            </w:r>
          </w:p>
          <w:p w14:paraId="1DADDBA1" w14:textId="77777777" w:rsidR="00295C6D" w:rsidRPr="00A5626D" w:rsidRDefault="00295C6D" w:rsidP="00E31AE6">
            <w:pPr>
              <w:numPr>
                <w:ilvl w:val="1"/>
                <w:numId w:val="0"/>
              </w:numPr>
              <w:tabs>
                <w:tab w:val="left" w:pos="1134"/>
                <w:tab w:val="left" w:pos="7938"/>
              </w:tabs>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&lt;/constvalue&gt;</w:t>
            </w:r>
          </w:p>
          <w:p w14:paraId="31CF7C11" w14:textId="77777777" w:rsidR="00295C6D" w:rsidRPr="00A5626D" w:rsidRDefault="00295C6D" w:rsidP="00E31AE6">
            <w:pPr>
              <w:numPr>
                <w:ilvl w:val="1"/>
                <w:numId w:val="0"/>
              </w:numPr>
              <w:tabs>
                <w:tab w:val="left" w:pos="1134"/>
                <w:tab w:val="left" w:pos="7938"/>
              </w:tabs>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&lt;/param&gt;</w:t>
            </w:r>
          </w:p>
          <w:p w14:paraId="7FD76413" w14:textId="77777777" w:rsidR="00295C6D" w:rsidRPr="00A5626D" w:rsidRDefault="00295C6D" w:rsidP="00E31AE6">
            <w:pPr>
              <w:numPr>
                <w:ilvl w:val="1"/>
                <w:numId w:val="0"/>
              </w:numPr>
              <w:tabs>
                <w:tab w:val="left" w:pos="1134"/>
                <w:tab w:val="left" w:pos="7938"/>
              </w:tabs>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&lt;/calcformula&gt;</w:t>
            </w:r>
          </w:p>
          <w:p w14:paraId="05272D2F" w14:textId="77777777" w:rsidR="00295C6D" w:rsidRPr="00A5626D" w:rsidRDefault="00295C6D" w:rsidP="00E31AE6">
            <w:pPr>
              <w:numPr>
                <w:ilvl w:val="1"/>
                <w:numId w:val="0"/>
              </w:numPr>
              <w:tabs>
                <w:tab w:val="left" w:pos="1134"/>
                <w:tab w:val="left" w:pos="7938"/>
              </w:tabs>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&lt;/receive-losses&gt;</w:t>
            </w:r>
          </w:p>
          <w:p w14:paraId="4AFD165A" w14:textId="77777777" w:rsidR="00295C6D" w:rsidRPr="00A5626D" w:rsidRDefault="00295C6D" w:rsidP="00E31AE6">
            <w:pPr>
              <w:numPr>
                <w:ilvl w:val="1"/>
                <w:numId w:val="0"/>
              </w:numPr>
              <w:tabs>
                <w:tab w:val="left" w:pos="1134"/>
                <w:tab w:val="left" w:pos="7938"/>
              </w:tabs>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&lt;/aup-delivery-point&gt;</w:t>
            </w:r>
          </w:p>
          <w:p w14:paraId="6A4F4FF6" w14:textId="77777777" w:rsidR="00295C6D" w:rsidRPr="00A5626D" w:rsidRDefault="00295C6D" w:rsidP="00E31AE6">
            <w:pPr>
              <w:numPr>
                <w:ilvl w:val="1"/>
                <w:numId w:val="0"/>
              </w:numPr>
              <w:tabs>
                <w:tab w:val="left" w:pos="1134"/>
                <w:tab w:val="left" w:pos="7938"/>
              </w:tabs>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&lt;/aup-delivery-points&gt;</w:t>
            </w:r>
          </w:p>
          <w:p w14:paraId="7FBB8554" w14:textId="77777777" w:rsidR="00295C6D" w:rsidRPr="00A5626D" w:rsidRDefault="00295C6D" w:rsidP="00E31AE6">
            <w:pPr>
              <w:numPr>
                <w:ilvl w:val="1"/>
                <w:numId w:val="0"/>
              </w:numPr>
              <w:tabs>
                <w:tab w:val="left" w:pos="1134"/>
                <w:tab w:val="left" w:pos="7938"/>
              </w:tabs>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&lt;peretok</w:t>
            </w:r>
          </w:p>
          <w:p w14:paraId="57F6D61C" w14:textId="77777777" w:rsidR="00295C6D" w:rsidRPr="00A5626D" w:rsidRDefault="00295C6D" w:rsidP="00E31AE6">
            <w:pPr>
              <w:numPr>
                <w:ilvl w:val="1"/>
                <w:numId w:val="0"/>
              </w:numPr>
              <w:tabs>
                <w:tab w:val="left" w:pos="1134"/>
                <w:tab w:val="left" w:pos="7938"/>
              </w:tabs>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id-gtp-from="1n"</w:t>
            </w:r>
          </w:p>
          <w:p w14:paraId="3380CDE9" w14:textId="77777777" w:rsidR="00295C6D" w:rsidRPr="00A5626D" w:rsidRDefault="00295C6D" w:rsidP="00E31AE6">
            <w:pPr>
              <w:numPr>
                <w:ilvl w:val="1"/>
                <w:numId w:val="0"/>
              </w:numPr>
              <w:tabs>
                <w:tab w:val="left" w:pos="1134"/>
                <w:tab w:val="left" w:pos="7938"/>
              </w:tabs>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id-gtp-to="1n"</w:t>
            </w:r>
          </w:p>
          <w:p w14:paraId="6F682009" w14:textId="77777777" w:rsidR="00295C6D" w:rsidRPr="00A5626D" w:rsidRDefault="00295C6D" w:rsidP="00E31AE6">
            <w:pPr>
              <w:numPr>
                <w:ilvl w:val="1"/>
                <w:numId w:val="0"/>
              </w:numPr>
              <w:tabs>
                <w:tab w:val="left" w:pos="1134"/>
                <w:tab w:val="left" w:pos="7938"/>
              </w:tabs>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section-type="1n"&gt;</w:t>
            </w:r>
          </w:p>
          <w:p w14:paraId="08A1E28C" w14:textId="77777777" w:rsidR="00295C6D" w:rsidRPr="00A5626D" w:rsidRDefault="00295C6D" w:rsidP="00E31AE6">
            <w:pPr>
              <w:numPr>
                <w:ilvl w:val="1"/>
                <w:numId w:val="0"/>
              </w:numPr>
              <w:tabs>
                <w:tab w:val="left" w:pos="1134"/>
                <w:tab w:val="left" w:pos="7938"/>
              </w:tabs>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&lt;calcformula-or-rr  </w:t>
            </w:r>
          </w:p>
          <w:p w14:paraId="457CD047" w14:textId="77777777" w:rsidR="00295C6D" w:rsidRPr="00A5626D" w:rsidRDefault="00295C6D" w:rsidP="00E31AE6">
            <w:pPr>
              <w:numPr>
                <w:ilvl w:val="1"/>
                <w:numId w:val="0"/>
              </w:numPr>
              <w:tabs>
                <w:tab w:val="left" w:pos="1134"/>
                <w:tab w:val="left" w:pos="7938"/>
              </w:tabs>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name="250x"&gt;</w:t>
            </w:r>
          </w:p>
          <w:p w14:paraId="604F0F34" w14:textId="77777777" w:rsidR="00295C6D" w:rsidRPr="00A5626D" w:rsidRDefault="00295C6D" w:rsidP="00E31AE6">
            <w:pPr>
              <w:numPr>
                <w:ilvl w:val="1"/>
                <w:numId w:val="0"/>
              </w:numPr>
              <w:tabs>
                <w:tab w:val="left" w:pos="1134"/>
                <w:tab w:val="left" w:pos="7938"/>
              </w:tabs>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&lt;or</w:t>
            </w:r>
          </w:p>
          <w:p w14:paraId="54072ECF" w14:textId="77777777" w:rsidR="00295C6D" w:rsidRPr="00A5626D" w:rsidRDefault="00295C6D" w:rsidP="00E31AE6">
            <w:pPr>
              <w:numPr>
                <w:ilvl w:val="1"/>
                <w:numId w:val="0"/>
              </w:numPr>
              <w:tabs>
                <w:tab w:val="left" w:pos="1134"/>
                <w:tab w:val="left" w:pos="7938"/>
              </w:tabs>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id-delivery-point="4n" </w:t>
            </w:r>
          </w:p>
          <w:p w14:paraId="329B8AC6" w14:textId="77777777" w:rsidR="00295C6D" w:rsidRPr="00A5626D" w:rsidRDefault="00295C6D" w:rsidP="00E31AE6">
            <w:pPr>
              <w:numPr>
                <w:ilvl w:val="1"/>
                <w:numId w:val="0"/>
              </w:numPr>
              <w:tabs>
                <w:tab w:val="left" w:pos="1134"/>
                <w:tab w:val="left" w:pos="7938"/>
              </w:tabs>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send-receive="send/receive" </w:t>
            </w:r>
          </w:p>
          <w:p w14:paraId="1427A406" w14:textId="77777777" w:rsidR="00295C6D" w:rsidRPr="00A5626D" w:rsidRDefault="00295C6D" w:rsidP="00E31AE6">
            <w:pPr>
              <w:numPr>
                <w:ilvl w:val="1"/>
                <w:numId w:val="0"/>
              </w:numPr>
              <w:tabs>
                <w:tab w:val="left" w:pos="1134"/>
                <w:tab w:val="left" w:pos="7938"/>
              </w:tabs>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id-aiis="1n" </w:t>
            </w:r>
          </w:p>
          <w:p w14:paraId="4FCC48B4" w14:textId="77777777" w:rsidR="00295C6D" w:rsidRPr="00A5626D" w:rsidRDefault="00295C6D" w:rsidP="00E31AE6">
            <w:pPr>
              <w:numPr>
                <w:ilvl w:val="1"/>
                <w:numId w:val="0"/>
              </w:numPr>
              <w:tabs>
                <w:tab w:val="left" w:pos="1134"/>
                <w:tab w:val="left" w:pos="7938"/>
              </w:tabs>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id-org="1n" </w:t>
            </w:r>
          </w:p>
          <w:p w14:paraId="6B0E0904" w14:textId="77777777" w:rsidR="00295C6D" w:rsidRPr="00A5626D" w:rsidRDefault="00295C6D" w:rsidP="00E31AE6">
            <w:pPr>
              <w:numPr>
                <w:ilvl w:val="1"/>
                <w:numId w:val="0"/>
              </w:numPr>
              <w:tabs>
                <w:tab w:val="left" w:pos="1134"/>
                <w:tab w:val="left" w:pos="7938"/>
              </w:tabs>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coefficient="2n"/&gt;</w:t>
            </w:r>
          </w:p>
          <w:p w14:paraId="147CC050" w14:textId="77777777" w:rsidR="00295C6D" w:rsidRPr="00A5626D" w:rsidRDefault="00295C6D" w:rsidP="00E31AE6">
            <w:pPr>
              <w:numPr>
                <w:ilvl w:val="1"/>
                <w:numId w:val="0"/>
              </w:numPr>
              <w:tabs>
                <w:tab w:val="left" w:pos="1134"/>
                <w:tab w:val="left" w:pos="7938"/>
              </w:tabs>
              <w:rPr>
                <w:rFonts w:ascii="Garamond" w:eastAsia="Calibri" w:hAnsi="Garamond" w:cstheme="minorHAnsi"/>
                <w:sz w:val="22"/>
                <w:szCs w:val="22"/>
                <w:lang w:val="en-US"/>
              </w:rPr>
            </w:pPr>
            <w:r w:rsidRPr="00A5626D">
              <w:rPr>
                <w:rFonts w:ascii="Garamond" w:eastAsia="Calibri" w:hAnsi="Garamond" w:cstheme="minorHAnsi"/>
                <w:sz w:val="22"/>
                <w:szCs w:val="22"/>
                <w:lang w:val="en-US"/>
              </w:rPr>
              <w:lastRenderedPageBreak/>
              <w:t xml:space="preserve">                    &lt;rr</w:t>
            </w:r>
          </w:p>
          <w:p w14:paraId="10EA793C" w14:textId="77777777" w:rsidR="00295C6D" w:rsidRPr="00A5626D" w:rsidRDefault="00295C6D" w:rsidP="00E31AE6">
            <w:pPr>
              <w:numPr>
                <w:ilvl w:val="1"/>
                <w:numId w:val="0"/>
              </w:numPr>
              <w:tabs>
                <w:tab w:val="left" w:pos="1134"/>
                <w:tab w:val="left" w:pos="7938"/>
              </w:tabs>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id-delivery-point="4n" </w:t>
            </w:r>
          </w:p>
          <w:p w14:paraId="0E39A0CE" w14:textId="77777777" w:rsidR="00295C6D" w:rsidRPr="00A5626D" w:rsidRDefault="00295C6D" w:rsidP="00E31AE6">
            <w:pPr>
              <w:numPr>
                <w:ilvl w:val="1"/>
                <w:numId w:val="0"/>
              </w:numPr>
              <w:tabs>
                <w:tab w:val="left" w:pos="1134"/>
                <w:tab w:val="left" w:pos="7938"/>
              </w:tabs>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send-receive="send/receive" </w:t>
            </w:r>
          </w:p>
          <w:p w14:paraId="53DAC68B" w14:textId="77777777" w:rsidR="00295C6D" w:rsidRPr="00A5626D" w:rsidRDefault="00295C6D" w:rsidP="00E31AE6">
            <w:pPr>
              <w:numPr>
                <w:ilvl w:val="1"/>
                <w:numId w:val="0"/>
              </w:numPr>
              <w:tabs>
                <w:tab w:val="left" w:pos="1134"/>
                <w:tab w:val="left" w:pos="7938"/>
              </w:tabs>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id-aiis="1n" </w:t>
            </w:r>
          </w:p>
          <w:p w14:paraId="0AFF95D2" w14:textId="77777777" w:rsidR="00295C6D" w:rsidRPr="00A5626D" w:rsidRDefault="00295C6D" w:rsidP="00E31AE6">
            <w:pPr>
              <w:numPr>
                <w:ilvl w:val="1"/>
                <w:numId w:val="0"/>
              </w:numPr>
              <w:tabs>
                <w:tab w:val="left" w:pos="1134"/>
                <w:tab w:val="left" w:pos="7938"/>
              </w:tabs>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id-org="1n" </w:t>
            </w:r>
          </w:p>
          <w:p w14:paraId="0A234C2B" w14:textId="77777777" w:rsidR="00295C6D" w:rsidRPr="00A5626D" w:rsidRDefault="00295C6D" w:rsidP="00E31AE6">
            <w:pPr>
              <w:numPr>
                <w:ilvl w:val="1"/>
                <w:numId w:val="0"/>
              </w:numPr>
              <w:tabs>
                <w:tab w:val="left" w:pos="1134"/>
                <w:tab w:val="left" w:pos="7938"/>
              </w:tabs>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coefficient="2n"/&gt;</w:t>
            </w:r>
          </w:p>
          <w:p w14:paraId="072DCDEA" w14:textId="77777777" w:rsidR="00295C6D" w:rsidRPr="00A5626D" w:rsidRDefault="00295C6D" w:rsidP="00E31AE6">
            <w:pPr>
              <w:numPr>
                <w:ilvl w:val="1"/>
                <w:numId w:val="0"/>
              </w:numPr>
              <w:tabs>
                <w:tab w:val="left" w:pos="1134"/>
                <w:tab w:val="left" w:pos="7938"/>
              </w:tabs>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&lt;/calcformula-or-rr&gt;</w:t>
            </w:r>
          </w:p>
          <w:p w14:paraId="034137A5" w14:textId="77777777" w:rsidR="00295C6D" w:rsidRPr="00A5626D" w:rsidRDefault="00295C6D" w:rsidP="00E31AE6">
            <w:pPr>
              <w:numPr>
                <w:ilvl w:val="1"/>
                <w:numId w:val="0"/>
              </w:numPr>
              <w:tabs>
                <w:tab w:val="left" w:pos="1134"/>
                <w:tab w:val="left" w:pos="7938"/>
              </w:tabs>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&lt;/peretok&gt;</w:t>
            </w:r>
          </w:p>
          <w:p w14:paraId="780059CE" w14:textId="77777777" w:rsidR="00295C6D" w:rsidRPr="00A5626D" w:rsidRDefault="00295C6D" w:rsidP="00E31AE6">
            <w:pPr>
              <w:numPr>
                <w:ilvl w:val="1"/>
                <w:numId w:val="0"/>
              </w:numPr>
              <w:tabs>
                <w:tab w:val="left" w:pos="1134"/>
                <w:tab w:val="left" w:pos="7938"/>
              </w:tabs>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&lt;generation</w:t>
            </w:r>
          </w:p>
          <w:p w14:paraId="40821BC4" w14:textId="77777777" w:rsidR="00295C6D" w:rsidRPr="00A5626D" w:rsidRDefault="00295C6D" w:rsidP="00E31AE6">
            <w:pPr>
              <w:numPr>
                <w:ilvl w:val="1"/>
                <w:numId w:val="0"/>
              </w:numPr>
              <w:tabs>
                <w:tab w:val="left" w:pos="1134"/>
                <w:tab w:val="left" w:pos="7938"/>
              </w:tabs>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id-gtp="1n"&gt;</w:t>
            </w:r>
          </w:p>
          <w:p w14:paraId="5A6FF635" w14:textId="77777777" w:rsidR="00295C6D" w:rsidRPr="00A5626D" w:rsidRDefault="00295C6D" w:rsidP="00E31AE6">
            <w:pPr>
              <w:numPr>
                <w:ilvl w:val="1"/>
                <w:numId w:val="0"/>
              </w:numPr>
              <w:tabs>
                <w:tab w:val="left" w:pos="1134"/>
                <w:tab w:val="left" w:pos="7938"/>
              </w:tabs>
              <w:ind w:firstLine="708"/>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&lt;calcformula-or-rr  </w:t>
            </w:r>
          </w:p>
          <w:p w14:paraId="14453E73" w14:textId="77777777" w:rsidR="00295C6D" w:rsidRPr="00A5626D" w:rsidRDefault="00295C6D" w:rsidP="00E31AE6">
            <w:pPr>
              <w:numPr>
                <w:ilvl w:val="1"/>
                <w:numId w:val="0"/>
              </w:numPr>
              <w:tabs>
                <w:tab w:val="left" w:pos="1134"/>
                <w:tab w:val="left" w:pos="7938"/>
              </w:tabs>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name="250x"&gt;</w:t>
            </w:r>
          </w:p>
          <w:p w14:paraId="3F798A88" w14:textId="77777777" w:rsidR="00295C6D" w:rsidRPr="00A5626D" w:rsidRDefault="00295C6D" w:rsidP="00E31AE6">
            <w:pPr>
              <w:numPr>
                <w:ilvl w:val="1"/>
                <w:numId w:val="0"/>
              </w:numPr>
              <w:tabs>
                <w:tab w:val="left" w:pos="1134"/>
                <w:tab w:val="left" w:pos="7938"/>
              </w:tabs>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&lt;or</w:t>
            </w:r>
          </w:p>
          <w:p w14:paraId="34C46B8F" w14:textId="77777777" w:rsidR="00295C6D" w:rsidRPr="00A5626D" w:rsidRDefault="00295C6D" w:rsidP="00E31AE6">
            <w:pPr>
              <w:numPr>
                <w:ilvl w:val="1"/>
                <w:numId w:val="0"/>
              </w:numPr>
              <w:tabs>
                <w:tab w:val="left" w:pos="1134"/>
                <w:tab w:val="left" w:pos="7938"/>
              </w:tabs>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id-delivery-point="4n" </w:t>
            </w:r>
          </w:p>
          <w:p w14:paraId="6E5F12DB" w14:textId="77777777" w:rsidR="00295C6D" w:rsidRPr="00A5626D" w:rsidRDefault="00295C6D" w:rsidP="00E31AE6">
            <w:pPr>
              <w:numPr>
                <w:ilvl w:val="1"/>
                <w:numId w:val="0"/>
              </w:numPr>
              <w:tabs>
                <w:tab w:val="left" w:pos="1134"/>
                <w:tab w:val="left" w:pos="7938"/>
              </w:tabs>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send-receive="send/receive" </w:t>
            </w:r>
          </w:p>
          <w:p w14:paraId="50634774" w14:textId="77777777" w:rsidR="00295C6D" w:rsidRPr="00A5626D" w:rsidRDefault="00295C6D" w:rsidP="00E31AE6">
            <w:pPr>
              <w:numPr>
                <w:ilvl w:val="1"/>
                <w:numId w:val="0"/>
              </w:numPr>
              <w:tabs>
                <w:tab w:val="left" w:pos="1134"/>
                <w:tab w:val="left" w:pos="7938"/>
              </w:tabs>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id-aiis="1n" </w:t>
            </w:r>
          </w:p>
          <w:p w14:paraId="0BB91C90" w14:textId="77777777" w:rsidR="00295C6D" w:rsidRPr="00A5626D" w:rsidRDefault="00295C6D" w:rsidP="00E31AE6">
            <w:pPr>
              <w:numPr>
                <w:ilvl w:val="1"/>
                <w:numId w:val="0"/>
              </w:numPr>
              <w:tabs>
                <w:tab w:val="left" w:pos="1134"/>
                <w:tab w:val="left" w:pos="7938"/>
              </w:tabs>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id-org="1n" </w:t>
            </w:r>
          </w:p>
          <w:p w14:paraId="5789779C" w14:textId="77777777" w:rsidR="00295C6D" w:rsidRPr="00A5626D" w:rsidRDefault="00295C6D" w:rsidP="00E31AE6">
            <w:pPr>
              <w:numPr>
                <w:ilvl w:val="1"/>
                <w:numId w:val="0"/>
              </w:numPr>
              <w:tabs>
                <w:tab w:val="left" w:pos="1134"/>
                <w:tab w:val="left" w:pos="7938"/>
              </w:tabs>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coefficient="2n"/&gt;</w:t>
            </w:r>
          </w:p>
          <w:p w14:paraId="4FBE7775" w14:textId="77777777" w:rsidR="00295C6D" w:rsidRPr="00A5626D" w:rsidRDefault="00295C6D" w:rsidP="00E31AE6">
            <w:pPr>
              <w:numPr>
                <w:ilvl w:val="1"/>
                <w:numId w:val="0"/>
              </w:numPr>
              <w:tabs>
                <w:tab w:val="left" w:pos="1134"/>
                <w:tab w:val="left" w:pos="7938"/>
              </w:tabs>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&lt;rr</w:t>
            </w:r>
          </w:p>
          <w:p w14:paraId="58F9B0E6" w14:textId="77777777" w:rsidR="00295C6D" w:rsidRPr="00A5626D" w:rsidRDefault="00295C6D" w:rsidP="00E31AE6">
            <w:pPr>
              <w:numPr>
                <w:ilvl w:val="1"/>
                <w:numId w:val="0"/>
              </w:numPr>
              <w:tabs>
                <w:tab w:val="left" w:pos="1134"/>
                <w:tab w:val="left" w:pos="7938"/>
              </w:tabs>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id-delivery-point="4n" </w:t>
            </w:r>
          </w:p>
          <w:p w14:paraId="7E0448E2" w14:textId="77777777" w:rsidR="00295C6D" w:rsidRPr="00A5626D" w:rsidRDefault="00295C6D" w:rsidP="00E31AE6">
            <w:pPr>
              <w:numPr>
                <w:ilvl w:val="1"/>
                <w:numId w:val="0"/>
              </w:numPr>
              <w:tabs>
                <w:tab w:val="left" w:pos="1134"/>
                <w:tab w:val="left" w:pos="7938"/>
              </w:tabs>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send-receive="send/receive" </w:t>
            </w:r>
          </w:p>
          <w:p w14:paraId="056D046F" w14:textId="77777777" w:rsidR="00295C6D" w:rsidRPr="00A5626D" w:rsidRDefault="00295C6D" w:rsidP="00E31AE6">
            <w:pPr>
              <w:numPr>
                <w:ilvl w:val="1"/>
                <w:numId w:val="0"/>
              </w:numPr>
              <w:tabs>
                <w:tab w:val="left" w:pos="1134"/>
                <w:tab w:val="left" w:pos="7938"/>
              </w:tabs>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id-aiis="1n" </w:t>
            </w:r>
          </w:p>
          <w:p w14:paraId="424FD364" w14:textId="77777777" w:rsidR="00295C6D" w:rsidRPr="00A5626D" w:rsidRDefault="00295C6D" w:rsidP="00E31AE6">
            <w:pPr>
              <w:numPr>
                <w:ilvl w:val="1"/>
                <w:numId w:val="0"/>
              </w:numPr>
              <w:tabs>
                <w:tab w:val="left" w:pos="1134"/>
                <w:tab w:val="left" w:pos="7938"/>
              </w:tabs>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id-org="1n" </w:t>
            </w:r>
          </w:p>
          <w:p w14:paraId="0B6D7E98" w14:textId="77777777" w:rsidR="00295C6D" w:rsidRPr="00A5626D" w:rsidRDefault="00295C6D" w:rsidP="00E31AE6">
            <w:pPr>
              <w:numPr>
                <w:ilvl w:val="1"/>
                <w:numId w:val="0"/>
              </w:numPr>
              <w:tabs>
                <w:tab w:val="left" w:pos="1134"/>
                <w:tab w:val="left" w:pos="7938"/>
              </w:tabs>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coefficient="2n"/&gt;</w:t>
            </w:r>
          </w:p>
          <w:p w14:paraId="029E49D7" w14:textId="77777777" w:rsidR="00295C6D" w:rsidRPr="00A5626D" w:rsidRDefault="00295C6D" w:rsidP="00E31AE6">
            <w:pPr>
              <w:numPr>
                <w:ilvl w:val="1"/>
                <w:numId w:val="0"/>
              </w:numPr>
              <w:tabs>
                <w:tab w:val="left" w:pos="1134"/>
                <w:tab w:val="left" w:pos="7938"/>
              </w:tabs>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&lt;/calcformula-or-rr&gt;</w:t>
            </w:r>
          </w:p>
          <w:p w14:paraId="0D836E90" w14:textId="77777777" w:rsidR="00295C6D" w:rsidRPr="00A5626D" w:rsidRDefault="00295C6D" w:rsidP="00E31AE6">
            <w:pPr>
              <w:numPr>
                <w:ilvl w:val="1"/>
                <w:numId w:val="0"/>
              </w:numPr>
              <w:tabs>
                <w:tab w:val="left" w:pos="1134"/>
                <w:tab w:val="left" w:pos="7938"/>
              </w:tabs>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&lt;/generation&gt;</w:t>
            </w:r>
          </w:p>
          <w:p w14:paraId="0635394C" w14:textId="77777777" w:rsidR="00295C6D" w:rsidRPr="00A5626D" w:rsidRDefault="00295C6D" w:rsidP="00E31AE6">
            <w:pPr>
              <w:numPr>
                <w:ilvl w:val="1"/>
                <w:numId w:val="0"/>
              </w:numPr>
              <w:tabs>
                <w:tab w:val="left" w:pos="1134"/>
                <w:tab w:val="left" w:pos="7938"/>
              </w:tabs>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&lt;/algorithm&gt;</w:t>
            </w:r>
          </w:p>
          <w:p w14:paraId="42E3DED1" w14:textId="77777777" w:rsidR="00295C6D" w:rsidRPr="00A5626D" w:rsidRDefault="00295C6D" w:rsidP="00E31AE6">
            <w:pPr>
              <w:numPr>
                <w:ilvl w:val="1"/>
                <w:numId w:val="0"/>
              </w:numPr>
              <w:tabs>
                <w:tab w:val="left" w:pos="1134"/>
                <w:tab w:val="left" w:pos="7938"/>
              </w:tabs>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&lt;psi </w:t>
            </w:r>
          </w:p>
          <w:p w14:paraId="3AE7D955" w14:textId="77777777" w:rsidR="00295C6D" w:rsidRPr="00A5626D" w:rsidRDefault="00295C6D" w:rsidP="00E31AE6">
            <w:pPr>
              <w:numPr>
                <w:ilvl w:val="1"/>
                <w:numId w:val="0"/>
              </w:numPr>
              <w:tabs>
                <w:tab w:val="left" w:pos="1134"/>
                <w:tab w:val="left" w:pos="7938"/>
              </w:tabs>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calc-side="1/2/3"&gt;</w:t>
            </w:r>
          </w:p>
          <w:p w14:paraId="6B8970D0" w14:textId="77777777" w:rsidR="00295C6D" w:rsidRPr="00A5626D" w:rsidRDefault="00295C6D" w:rsidP="00E31AE6">
            <w:pPr>
              <w:numPr>
                <w:ilvl w:val="1"/>
                <w:numId w:val="0"/>
              </w:numPr>
              <w:tabs>
                <w:tab w:val="left" w:pos="1134"/>
                <w:tab w:val="left" w:pos="7938"/>
              </w:tabs>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&lt;delivery-point-measuring-device-link</w:t>
            </w:r>
          </w:p>
          <w:p w14:paraId="12B9BAB9" w14:textId="77777777" w:rsidR="00295C6D" w:rsidRPr="00A5626D" w:rsidRDefault="00295C6D" w:rsidP="00E31AE6">
            <w:pPr>
              <w:numPr>
                <w:ilvl w:val="1"/>
                <w:numId w:val="0"/>
              </w:numPr>
              <w:tabs>
                <w:tab w:val="left" w:pos="1134"/>
                <w:tab w:val="left" w:pos="7938"/>
              </w:tabs>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id-delivery-point="4n" </w:t>
            </w:r>
          </w:p>
          <w:p w14:paraId="7A3D190E" w14:textId="77777777" w:rsidR="00295C6D" w:rsidRPr="00A5626D" w:rsidRDefault="00295C6D" w:rsidP="00E31AE6">
            <w:pPr>
              <w:numPr>
                <w:ilvl w:val="1"/>
                <w:numId w:val="0"/>
              </w:numPr>
              <w:tabs>
                <w:tab w:val="left" w:pos="1134"/>
                <w:tab w:val="left" w:pos="7938"/>
              </w:tabs>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id-measuring-device="4n" </w:t>
            </w:r>
          </w:p>
          <w:p w14:paraId="14F723BA" w14:textId="77777777" w:rsidR="00295C6D" w:rsidRPr="00A5626D" w:rsidRDefault="00295C6D" w:rsidP="00E31AE6">
            <w:pPr>
              <w:numPr>
                <w:ilvl w:val="1"/>
                <w:numId w:val="0"/>
              </w:numPr>
              <w:tabs>
                <w:tab w:val="left" w:pos="1134"/>
                <w:tab w:val="left" w:pos="7938"/>
              </w:tabs>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direction=" send/receive/send-receive"</w:t>
            </w:r>
          </w:p>
          <w:p w14:paraId="682250F0" w14:textId="77777777" w:rsidR="00295C6D" w:rsidRPr="00A5626D" w:rsidRDefault="00295C6D" w:rsidP="00E31AE6">
            <w:pPr>
              <w:numPr>
                <w:ilvl w:val="1"/>
                <w:numId w:val="0"/>
              </w:numPr>
              <w:tabs>
                <w:tab w:val="left" w:pos="1134"/>
                <w:tab w:val="left" w:pos="7938"/>
              </w:tabs>
              <w:rPr>
                <w:rFonts w:ascii="Garamond" w:eastAsia="Calibri" w:hAnsi="Garamond" w:cstheme="minorHAnsi"/>
                <w:sz w:val="22"/>
                <w:szCs w:val="22"/>
                <w:lang w:val="en-US"/>
              </w:rPr>
            </w:pPr>
            <w:r w:rsidRPr="00A5626D">
              <w:rPr>
                <w:rFonts w:ascii="Garamond" w:eastAsia="Calibri" w:hAnsi="Garamond" w:cstheme="minorHAnsi"/>
                <w:sz w:val="22"/>
                <w:szCs w:val="22"/>
                <w:lang w:val="en-US"/>
              </w:rPr>
              <w:tab/>
              <w:t xml:space="preserve">    </w:t>
            </w:r>
            <w:r w:rsidRPr="00A5626D">
              <w:rPr>
                <w:rFonts w:ascii="Garamond" w:hAnsi="Garamond" w:cstheme="minorHAnsi"/>
                <w:sz w:val="22"/>
                <w:szCs w:val="22"/>
                <w:lang w:val="en-US"/>
              </w:rPr>
              <w:t>is-inverse-connection=</w:t>
            </w:r>
            <w:r w:rsidRPr="00A5626D">
              <w:rPr>
                <w:rFonts w:ascii="Garamond" w:eastAsia="Calibri" w:hAnsi="Garamond" w:cstheme="minorHAnsi"/>
                <w:sz w:val="22"/>
                <w:szCs w:val="22"/>
                <w:lang w:val="en-US"/>
              </w:rPr>
              <w:t>"true/false"</w:t>
            </w:r>
          </w:p>
          <w:p w14:paraId="0787F423" w14:textId="77777777" w:rsidR="00295C6D" w:rsidRPr="00A5626D" w:rsidRDefault="00295C6D" w:rsidP="00E31AE6">
            <w:pPr>
              <w:numPr>
                <w:ilvl w:val="1"/>
                <w:numId w:val="0"/>
              </w:numPr>
              <w:tabs>
                <w:tab w:val="left" w:pos="1134"/>
                <w:tab w:val="left" w:pos="7938"/>
              </w:tabs>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oip-rip-so="oip/rip/so"&gt;</w:t>
            </w:r>
          </w:p>
          <w:p w14:paraId="05AD9A3E" w14:textId="77777777" w:rsidR="00295C6D" w:rsidRPr="00A5626D" w:rsidRDefault="00295C6D" w:rsidP="00E31AE6">
            <w:pPr>
              <w:numPr>
                <w:ilvl w:val="1"/>
                <w:numId w:val="0"/>
              </w:numPr>
              <w:tabs>
                <w:tab w:val="left" w:pos="1134"/>
                <w:tab w:val="left" w:pos="7938"/>
              </w:tabs>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&lt;comment&gt;</w:t>
            </w:r>
          </w:p>
          <w:p w14:paraId="7002E07D" w14:textId="77777777" w:rsidR="00295C6D" w:rsidRPr="00A5626D" w:rsidRDefault="00295C6D" w:rsidP="00E31AE6">
            <w:pPr>
              <w:numPr>
                <w:ilvl w:val="1"/>
                <w:numId w:val="0"/>
              </w:numPr>
              <w:tabs>
                <w:tab w:val="left" w:pos="1134"/>
                <w:tab w:val="left" w:pos="7938"/>
              </w:tabs>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&lt;![CDATA[…]]&gt;</w:t>
            </w:r>
          </w:p>
          <w:p w14:paraId="396AFC71" w14:textId="77777777" w:rsidR="00295C6D" w:rsidRPr="00A5626D" w:rsidRDefault="00295C6D" w:rsidP="00E31AE6">
            <w:pPr>
              <w:numPr>
                <w:ilvl w:val="1"/>
                <w:numId w:val="0"/>
              </w:numPr>
              <w:tabs>
                <w:tab w:val="left" w:pos="1134"/>
                <w:tab w:val="left" w:pos="7938"/>
              </w:tabs>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&lt;/comment&gt;</w:t>
            </w:r>
          </w:p>
          <w:p w14:paraId="58635D95" w14:textId="77777777" w:rsidR="00295C6D" w:rsidRPr="00A5626D" w:rsidRDefault="00295C6D" w:rsidP="00E31AE6">
            <w:pPr>
              <w:numPr>
                <w:ilvl w:val="1"/>
                <w:numId w:val="0"/>
              </w:numPr>
              <w:tabs>
                <w:tab w:val="left" w:pos="1134"/>
                <w:tab w:val="left" w:pos="7938"/>
              </w:tabs>
              <w:ind w:left="709"/>
              <w:rPr>
                <w:rFonts w:ascii="Garamond" w:eastAsia="Calibri" w:hAnsi="Garamond" w:cstheme="minorHAnsi"/>
                <w:sz w:val="22"/>
                <w:szCs w:val="22"/>
                <w:lang w:val="en-US"/>
              </w:rPr>
            </w:pPr>
            <w:r w:rsidRPr="00A5626D">
              <w:rPr>
                <w:rFonts w:ascii="Garamond" w:eastAsia="Calibri" w:hAnsi="Garamond" w:cstheme="minorHAnsi"/>
                <w:sz w:val="22"/>
                <w:szCs w:val="22"/>
                <w:lang w:val="en-US"/>
              </w:rPr>
              <w:lastRenderedPageBreak/>
              <w:t>&lt;so-comment&gt;</w:t>
            </w:r>
          </w:p>
          <w:p w14:paraId="7709F17F" w14:textId="77777777" w:rsidR="00295C6D" w:rsidRPr="00A5626D" w:rsidRDefault="00295C6D" w:rsidP="00E31AE6">
            <w:pPr>
              <w:numPr>
                <w:ilvl w:val="1"/>
                <w:numId w:val="0"/>
              </w:numPr>
              <w:tabs>
                <w:tab w:val="left" w:pos="1134"/>
                <w:tab w:val="left" w:pos="7938"/>
              </w:tabs>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&lt;![CDATA[…]]&gt;</w:t>
            </w:r>
          </w:p>
          <w:p w14:paraId="53828335" w14:textId="77777777" w:rsidR="00295C6D" w:rsidRPr="00A5626D" w:rsidRDefault="00295C6D" w:rsidP="00E31AE6">
            <w:pPr>
              <w:numPr>
                <w:ilvl w:val="1"/>
                <w:numId w:val="0"/>
              </w:numPr>
              <w:tabs>
                <w:tab w:val="left" w:pos="1134"/>
                <w:tab w:val="left" w:pos="7938"/>
              </w:tabs>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&lt;/so-comment&gt;</w:t>
            </w:r>
          </w:p>
          <w:p w14:paraId="50F05BA6" w14:textId="77777777" w:rsidR="00295C6D" w:rsidRPr="00A5626D" w:rsidRDefault="00295C6D" w:rsidP="00E31AE6">
            <w:pPr>
              <w:numPr>
                <w:ilvl w:val="1"/>
                <w:numId w:val="0"/>
              </w:numPr>
              <w:tabs>
                <w:tab w:val="left" w:pos="1134"/>
                <w:tab w:val="left" w:pos="7938"/>
              </w:tabs>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&lt;/psi&gt;</w:t>
            </w:r>
          </w:p>
          <w:p w14:paraId="2FF8CF84" w14:textId="77777777" w:rsidR="00295C6D" w:rsidRPr="00A5626D" w:rsidRDefault="00295C6D" w:rsidP="00E31AE6">
            <w:pPr>
              <w:numPr>
                <w:ilvl w:val="1"/>
                <w:numId w:val="0"/>
              </w:numPr>
              <w:tabs>
                <w:tab w:val="left" w:pos="1134"/>
                <w:tab w:val="left" w:pos="7938"/>
              </w:tabs>
              <w:rPr>
                <w:rFonts w:ascii="Garamond" w:hAnsi="Garamond" w:cstheme="minorHAnsi"/>
                <w:sz w:val="22"/>
                <w:szCs w:val="22"/>
              </w:rPr>
            </w:pPr>
            <w:r w:rsidRPr="00A5626D">
              <w:rPr>
                <w:rFonts w:ascii="Garamond" w:eastAsia="Calibri" w:hAnsi="Garamond" w:cstheme="minorHAnsi"/>
                <w:sz w:val="22"/>
                <w:szCs w:val="22"/>
                <w:lang w:val="en-US"/>
              </w:rPr>
              <w:t>…</w:t>
            </w:r>
          </w:p>
        </w:tc>
        <w:tc>
          <w:tcPr>
            <w:tcW w:w="7088" w:type="dxa"/>
          </w:tcPr>
          <w:p w14:paraId="773DB71E" w14:textId="77777777" w:rsidR="00295C6D" w:rsidRPr="00A5626D" w:rsidRDefault="00295C6D" w:rsidP="00E31AE6">
            <w:pPr>
              <w:numPr>
                <w:ilvl w:val="1"/>
                <w:numId w:val="0"/>
              </w:numPr>
              <w:tabs>
                <w:tab w:val="left" w:pos="1134"/>
                <w:tab w:val="left" w:pos="7938"/>
              </w:tabs>
              <w:rPr>
                <w:rFonts w:ascii="Garamond" w:hAnsi="Garamond" w:cstheme="minorHAnsi"/>
                <w:b/>
                <w:iCs/>
                <w:spacing w:val="15"/>
                <w:sz w:val="22"/>
                <w:szCs w:val="22"/>
                <w:lang w:val="en-US"/>
              </w:rPr>
            </w:pPr>
            <w:r w:rsidRPr="00A5626D">
              <w:rPr>
                <w:rFonts w:ascii="Garamond" w:hAnsi="Garamond" w:cstheme="minorHAnsi"/>
                <w:b/>
                <w:iCs/>
                <w:spacing w:val="15"/>
                <w:sz w:val="22"/>
                <w:szCs w:val="22"/>
              </w:rPr>
              <w:lastRenderedPageBreak/>
              <w:t>Структура</w:t>
            </w:r>
            <w:r w:rsidRPr="00A5626D">
              <w:rPr>
                <w:rFonts w:ascii="Garamond" w:hAnsi="Garamond" w:cstheme="minorHAnsi"/>
                <w:b/>
                <w:iCs/>
                <w:spacing w:val="15"/>
                <w:sz w:val="22"/>
                <w:szCs w:val="22"/>
                <w:lang w:val="en-US"/>
              </w:rPr>
              <w:t xml:space="preserve"> </w:t>
            </w:r>
            <w:r w:rsidRPr="00A5626D">
              <w:rPr>
                <w:rFonts w:ascii="Garamond" w:hAnsi="Garamond" w:cstheme="minorHAnsi"/>
                <w:b/>
                <w:iCs/>
                <w:spacing w:val="15"/>
                <w:sz w:val="22"/>
                <w:szCs w:val="22"/>
              </w:rPr>
              <w:t>документа</w:t>
            </w:r>
            <w:r w:rsidRPr="00A5626D">
              <w:rPr>
                <w:rFonts w:ascii="Garamond" w:hAnsi="Garamond" w:cstheme="minorHAnsi"/>
                <w:b/>
                <w:iCs/>
                <w:spacing w:val="15"/>
                <w:sz w:val="22"/>
                <w:szCs w:val="22"/>
                <w:lang w:val="en-US"/>
              </w:rPr>
              <w:t xml:space="preserve"> 60002</w:t>
            </w:r>
          </w:p>
          <w:p w14:paraId="15A6F4A2" w14:textId="77777777" w:rsidR="00295C6D" w:rsidRPr="00A5626D" w:rsidRDefault="00295C6D" w:rsidP="00E31AE6">
            <w:pPr>
              <w:numPr>
                <w:ilvl w:val="1"/>
                <w:numId w:val="0"/>
              </w:numPr>
              <w:tabs>
                <w:tab w:val="left" w:pos="1134"/>
                <w:tab w:val="left" w:pos="7938"/>
              </w:tabs>
              <w:rPr>
                <w:rFonts w:ascii="Garamond" w:hAnsi="Garamond" w:cstheme="minorHAnsi"/>
                <w:b/>
                <w:iCs/>
                <w:spacing w:val="15"/>
                <w:sz w:val="22"/>
                <w:szCs w:val="22"/>
                <w:lang w:val="en-US"/>
              </w:rPr>
            </w:pPr>
          </w:p>
          <w:p w14:paraId="4103B2B5" w14:textId="77777777" w:rsidR="00295C6D" w:rsidRPr="00A5626D" w:rsidRDefault="00295C6D" w:rsidP="00E31AE6">
            <w:pPr>
              <w:numPr>
                <w:ilvl w:val="1"/>
                <w:numId w:val="0"/>
              </w:numPr>
              <w:tabs>
                <w:tab w:val="left" w:pos="1134"/>
                <w:tab w:val="left" w:pos="7938"/>
              </w:tabs>
              <w:rPr>
                <w:rFonts w:ascii="Garamond" w:eastAsia="Calibri" w:hAnsi="Garamond" w:cstheme="minorHAnsi"/>
                <w:sz w:val="22"/>
                <w:szCs w:val="22"/>
                <w:lang w:val="en-US"/>
              </w:rPr>
            </w:pPr>
            <w:r w:rsidRPr="00A5626D">
              <w:rPr>
                <w:rFonts w:ascii="Garamond" w:eastAsia="Calibri" w:hAnsi="Garamond" w:cstheme="minorHAnsi"/>
                <w:sz w:val="22"/>
                <w:szCs w:val="22"/>
                <w:lang w:val="en-US"/>
              </w:rPr>
              <w:t>&lt;?xml version="1.0" encoding="Windows-1251" standalone="yes"?&gt;</w:t>
            </w:r>
          </w:p>
          <w:p w14:paraId="45EBAB03" w14:textId="77777777" w:rsidR="00295C6D" w:rsidRPr="00A5626D" w:rsidRDefault="00295C6D" w:rsidP="00E31AE6">
            <w:pPr>
              <w:numPr>
                <w:ilvl w:val="1"/>
                <w:numId w:val="0"/>
              </w:numPr>
              <w:tabs>
                <w:tab w:val="left" w:pos="1134"/>
                <w:tab w:val="left" w:pos="7938"/>
              </w:tabs>
              <w:rPr>
                <w:rFonts w:ascii="Garamond" w:eastAsia="Calibri" w:hAnsi="Garamond" w:cstheme="minorHAnsi"/>
                <w:sz w:val="22"/>
                <w:szCs w:val="22"/>
                <w:lang w:val="en-US"/>
              </w:rPr>
            </w:pPr>
            <w:r w:rsidRPr="00A5626D">
              <w:rPr>
                <w:rFonts w:ascii="Garamond" w:eastAsia="Calibri" w:hAnsi="Garamond" w:cstheme="minorHAnsi"/>
                <w:sz w:val="22"/>
                <w:szCs w:val="22"/>
                <w:lang w:val="en-US"/>
              </w:rPr>
              <w:t>&lt;message</w:t>
            </w:r>
          </w:p>
          <w:p w14:paraId="7D0C6315" w14:textId="77777777" w:rsidR="00295C6D" w:rsidRPr="00A5626D" w:rsidRDefault="00295C6D" w:rsidP="00E31AE6">
            <w:pPr>
              <w:numPr>
                <w:ilvl w:val="1"/>
                <w:numId w:val="0"/>
              </w:numPr>
              <w:tabs>
                <w:tab w:val="left" w:pos="1134"/>
                <w:tab w:val="left" w:pos="7938"/>
              </w:tabs>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class="5x"</w:t>
            </w:r>
          </w:p>
          <w:p w14:paraId="5F422A64" w14:textId="77777777" w:rsidR="00295C6D" w:rsidRPr="00A5626D" w:rsidRDefault="00295C6D" w:rsidP="00E31AE6">
            <w:pPr>
              <w:numPr>
                <w:ilvl w:val="1"/>
                <w:numId w:val="0"/>
              </w:numPr>
              <w:tabs>
                <w:tab w:val="left" w:pos="1134"/>
                <w:tab w:val="left" w:pos="7938"/>
              </w:tabs>
              <w:rPr>
                <w:rFonts w:ascii="Garamond" w:hAnsi="Garamond" w:cstheme="minorHAnsi"/>
                <w:sz w:val="22"/>
                <w:szCs w:val="22"/>
                <w:lang w:val="en-US"/>
              </w:rPr>
            </w:pPr>
            <w:r w:rsidRPr="00A5626D">
              <w:rPr>
                <w:rFonts w:ascii="Garamond" w:eastAsia="Calibri" w:hAnsi="Garamond" w:cstheme="minorHAnsi"/>
                <w:sz w:val="22"/>
                <w:szCs w:val="22"/>
                <w:lang w:val="en-US"/>
              </w:rPr>
              <w:t xml:space="preserve">    version="5x"</w:t>
            </w:r>
          </w:p>
          <w:p w14:paraId="086131A5" w14:textId="77777777" w:rsidR="00295C6D" w:rsidRPr="00A5626D" w:rsidRDefault="00295C6D" w:rsidP="00E31AE6">
            <w:pPr>
              <w:numPr>
                <w:ilvl w:val="1"/>
                <w:numId w:val="0"/>
              </w:numPr>
              <w:tabs>
                <w:tab w:val="left" w:pos="1134"/>
                <w:tab w:val="left" w:pos="7938"/>
              </w:tabs>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generationtime="YYYYMMDDhhmmssGMT+N"&gt;</w:t>
            </w:r>
          </w:p>
          <w:p w14:paraId="13BA4F53" w14:textId="77777777" w:rsidR="00295C6D" w:rsidRPr="00A5626D" w:rsidRDefault="00295C6D" w:rsidP="00E31AE6">
            <w:pPr>
              <w:numPr>
                <w:ilvl w:val="1"/>
                <w:numId w:val="0"/>
              </w:numPr>
              <w:tabs>
                <w:tab w:val="left" w:pos="1134"/>
                <w:tab w:val="left" w:pos="7938"/>
              </w:tabs>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&lt;reply-to-file id-in-iasuku="15n" name="50x"&gt;</w:t>
            </w:r>
          </w:p>
          <w:p w14:paraId="6D81E875" w14:textId="77777777" w:rsidR="00295C6D" w:rsidRPr="00A5626D" w:rsidRDefault="00295C6D" w:rsidP="00E31AE6">
            <w:pPr>
              <w:numPr>
                <w:ilvl w:val="1"/>
                <w:numId w:val="0"/>
              </w:numPr>
              <w:tabs>
                <w:tab w:val="left" w:pos="1134"/>
                <w:tab w:val="left" w:pos="7938"/>
              </w:tabs>
              <w:rPr>
                <w:rFonts w:ascii="Garamond" w:eastAsia="Calibri" w:hAnsi="Garamond" w:cstheme="minorHAnsi"/>
                <w:sz w:val="22"/>
                <w:szCs w:val="22"/>
                <w:lang w:val="en-US"/>
              </w:rPr>
            </w:pPr>
            <w:r w:rsidRPr="00A5626D">
              <w:rPr>
                <w:rFonts w:ascii="Garamond" w:eastAsia="Calibri" w:hAnsi="Garamond" w:cstheme="minorHAnsi"/>
                <w:sz w:val="22"/>
                <w:szCs w:val="22"/>
                <w:lang w:val="en-US"/>
              </w:rPr>
              <w:tab/>
              <w:t>&lt;signatures&gt;</w:t>
            </w:r>
          </w:p>
          <w:p w14:paraId="2BBFD162" w14:textId="77777777" w:rsidR="00295C6D" w:rsidRPr="00A5626D" w:rsidRDefault="00295C6D" w:rsidP="00E31AE6">
            <w:pPr>
              <w:numPr>
                <w:ilvl w:val="1"/>
                <w:numId w:val="0"/>
              </w:numPr>
              <w:tabs>
                <w:tab w:val="left" w:pos="1134"/>
                <w:tab w:val="left" w:pos="7938"/>
              </w:tabs>
              <w:rPr>
                <w:rFonts w:ascii="Garamond" w:eastAsia="Calibri" w:hAnsi="Garamond" w:cstheme="minorHAnsi"/>
                <w:sz w:val="22"/>
                <w:szCs w:val="22"/>
                <w:lang w:val="en-US"/>
              </w:rPr>
            </w:pPr>
            <w:r w:rsidRPr="00A5626D">
              <w:rPr>
                <w:rFonts w:ascii="Garamond" w:eastAsia="Calibri" w:hAnsi="Garamond" w:cstheme="minorHAnsi"/>
                <w:sz w:val="22"/>
                <w:szCs w:val="22"/>
                <w:lang w:val="en-US"/>
              </w:rPr>
              <w:tab/>
            </w:r>
            <w:r w:rsidRPr="00A5626D">
              <w:rPr>
                <w:rFonts w:ascii="Garamond" w:eastAsia="Calibri" w:hAnsi="Garamond" w:cstheme="minorHAnsi"/>
                <w:sz w:val="22"/>
                <w:szCs w:val="22"/>
                <w:lang w:val="en-US"/>
              </w:rPr>
              <w:tab/>
              <w:t>&lt;signature trader-code="8x" e-mail="256x" signer-name="512x" signing-time="</w:t>
            </w:r>
            <w:r w:rsidRPr="00A5626D">
              <w:rPr>
                <w:rFonts w:ascii="Garamond" w:hAnsi="Garamond" w:cstheme="minorHAnsi"/>
                <w:sz w:val="22"/>
                <w:szCs w:val="22"/>
                <w:lang w:val="en-US"/>
              </w:rPr>
              <w:t>YYYYMMDDhhmmss</w:t>
            </w:r>
            <w:r w:rsidRPr="00A5626D">
              <w:rPr>
                <w:rFonts w:ascii="Garamond" w:eastAsia="Calibri" w:hAnsi="Garamond" w:cstheme="minorHAnsi"/>
                <w:sz w:val="22"/>
                <w:szCs w:val="22"/>
                <w:lang w:val="en-US"/>
              </w:rPr>
              <w:t>" certificate-serial-number="50n"/&gt;</w:t>
            </w:r>
          </w:p>
          <w:p w14:paraId="78D06042" w14:textId="77777777" w:rsidR="00295C6D" w:rsidRPr="00A5626D" w:rsidRDefault="00295C6D" w:rsidP="00E31AE6">
            <w:pPr>
              <w:numPr>
                <w:ilvl w:val="1"/>
                <w:numId w:val="0"/>
              </w:numPr>
              <w:tabs>
                <w:tab w:val="left" w:pos="1134"/>
                <w:tab w:val="left" w:pos="7938"/>
              </w:tabs>
              <w:rPr>
                <w:rFonts w:ascii="Garamond" w:eastAsia="Calibri" w:hAnsi="Garamond" w:cstheme="minorHAnsi"/>
                <w:sz w:val="22"/>
                <w:szCs w:val="22"/>
                <w:lang w:val="en-US"/>
              </w:rPr>
            </w:pPr>
            <w:r w:rsidRPr="00A5626D">
              <w:rPr>
                <w:rFonts w:ascii="Garamond" w:eastAsia="Calibri" w:hAnsi="Garamond" w:cstheme="minorHAnsi"/>
                <w:sz w:val="22"/>
                <w:szCs w:val="22"/>
                <w:lang w:val="en-US"/>
              </w:rPr>
              <w:tab/>
              <w:t>&lt;/signatures&gt;</w:t>
            </w:r>
          </w:p>
          <w:p w14:paraId="6D09C500" w14:textId="77777777" w:rsidR="00295C6D" w:rsidRPr="00A5626D" w:rsidRDefault="00295C6D" w:rsidP="00E31AE6">
            <w:pPr>
              <w:numPr>
                <w:ilvl w:val="1"/>
                <w:numId w:val="0"/>
              </w:numPr>
              <w:tabs>
                <w:tab w:val="left" w:pos="1134"/>
                <w:tab w:val="left" w:pos="7938"/>
              </w:tabs>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&lt;/reply-to-file&gt;</w:t>
            </w:r>
          </w:p>
          <w:p w14:paraId="2AD7891D" w14:textId="77777777" w:rsidR="00295C6D" w:rsidRPr="00A5626D" w:rsidRDefault="00295C6D" w:rsidP="00E31AE6">
            <w:pPr>
              <w:numPr>
                <w:ilvl w:val="1"/>
                <w:numId w:val="0"/>
              </w:numPr>
              <w:tabs>
                <w:tab w:val="left" w:pos="1134"/>
                <w:tab w:val="left" w:pos="7938"/>
              </w:tabs>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&lt;body&gt;</w:t>
            </w:r>
          </w:p>
          <w:p w14:paraId="29B3D79B" w14:textId="77777777" w:rsidR="00295C6D" w:rsidRPr="00A5626D" w:rsidRDefault="00295C6D" w:rsidP="00E31AE6">
            <w:pPr>
              <w:numPr>
                <w:ilvl w:val="1"/>
                <w:numId w:val="0"/>
              </w:numPr>
              <w:tabs>
                <w:tab w:val="left" w:pos="1134"/>
                <w:tab w:val="left" w:pos="7938"/>
              </w:tabs>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&lt;dictionaries&gt;</w:t>
            </w:r>
          </w:p>
          <w:p w14:paraId="73632661" w14:textId="77777777" w:rsidR="00295C6D" w:rsidRPr="00A5626D" w:rsidRDefault="00295C6D" w:rsidP="00E31AE6">
            <w:pPr>
              <w:numPr>
                <w:ilvl w:val="1"/>
                <w:numId w:val="0"/>
              </w:numPr>
              <w:tabs>
                <w:tab w:val="left" w:pos="1134"/>
                <w:tab w:val="left" w:pos="7938"/>
              </w:tabs>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&lt;organizations&gt;</w:t>
            </w:r>
          </w:p>
          <w:p w14:paraId="3DC4459C" w14:textId="77777777" w:rsidR="00295C6D" w:rsidRPr="00A5626D" w:rsidRDefault="00295C6D" w:rsidP="00E31AE6">
            <w:pPr>
              <w:numPr>
                <w:ilvl w:val="1"/>
                <w:numId w:val="0"/>
              </w:numPr>
              <w:tabs>
                <w:tab w:val="left" w:pos="1134"/>
                <w:tab w:val="left" w:pos="7938"/>
              </w:tabs>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&lt;organization </w:t>
            </w:r>
          </w:p>
          <w:p w14:paraId="2DAF3A94" w14:textId="77777777" w:rsidR="00295C6D" w:rsidRPr="00A5626D" w:rsidRDefault="00295C6D" w:rsidP="00E31AE6">
            <w:pPr>
              <w:numPr>
                <w:ilvl w:val="1"/>
                <w:numId w:val="0"/>
              </w:numPr>
              <w:tabs>
                <w:tab w:val="left" w:pos="1134"/>
                <w:tab w:val="left" w:pos="7938"/>
              </w:tabs>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id-org="1n"</w:t>
            </w:r>
          </w:p>
          <w:p w14:paraId="36670F7E" w14:textId="77777777" w:rsidR="00295C6D" w:rsidRPr="00A5626D" w:rsidRDefault="00295C6D" w:rsidP="00E31AE6">
            <w:pPr>
              <w:numPr>
                <w:ilvl w:val="1"/>
                <w:numId w:val="0"/>
              </w:numPr>
              <w:tabs>
                <w:tab w:val="left" w:pos="1134"/>
                <w:tab w:val="left" w:pos="7938"/>
              </w:tabs>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trader-code="8x"</w:t>
            </w:r>
          </w:p>
          <w:p w14:paraId="2ACA1271" w14:textId="77777777" w:rsidR="00295C6D" w:rsidRPr="00A5626D" w:rsidRDefault="00295C6D" w:rsidP="00E31AE6">
            <w:pPr>
              <w:numPr>
                <w:ilvl w:val="1"/>
                <w:numId w:val="0"/>
              </w:numPr>
              <w:tabs>
                <w:tab w:val="left" w:pos="1134"/>
                <w:tab w:val="left" w:pos="7938"/>
              </w:tabs>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name="250x"</w:t>
            </w:r>
          </w:p>
          <w:p w14:paraId="25323F56" w14:textId="77777777" w:rsidR="00295C6D" w:rsidRPr="00A5626D" w:rsidRDefault="00295C6D" w:rsidP="00E31AE6">
            <w:pPr>
              <w:numPr>
                <w:ilvl w:val="1"/>
                <w:numId w:val="0"/>
              </w:numPr>
              <w:tabs>
                <w:tab w:val="left" w:pos="1134"/>
                <w:tab w:val="left" w:pos="7938"/>
              </w:tabs>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phone="250x"</w:t>
            </w:r>
          </w:p>
          <w:p w14:paraId="13B48842" w14:textId="77777777" w:rsidR="00295C6D" w:rsidRPr="00A5626D" w:rsidRDefault="00295C6D" w:rsidP="00E31AE6">
            <w:pPr>
              <w:numPr>
                <w:ilvl w:val="1"/>
                <w:numId w:val="0"/>
              </w:numPr>
              <w:tabs>
                <w:tab w:val="left" w:pos="1134"/>
                <w:tab w:val="left" w:pos="7938"/>
              </w:tabs>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fax="250x"</w:t>
            </w:r>
          </w:p>
          <w:p w14:paraId="0FDC006E" w14:textId="77777777" w:rsidR="00295C6D" w:rsidRPr="00A5626D" w:rsidRDefault="00295C6D" w:rsidP="00E31AE6">
            <w:pPr>
              <w:numPr>
                <w:ilvl w:val="1"/>
                <w:numId w:val="0"/>
              </w:numPr>
              <w:tabs>
                <w:tab w:val="left" w:pos="1134"/>
                <w:tab w:val="left" w:pos="7938"/>
              </w:tabs>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e-mail="250x"</w:t>
            </w:r>
          </w:p>
          <w:p w14:paraId="06093523" w14:textId="77777777" w:rsidR="00295C6D" w:rsidRPr="00A5626D" w:rsidRDefault="00295C6D" w:rsidP="00E31AE6">
            <w:pPr>
              <w:numPr>
                <w:ilvl w:val="1"/>
                <w:numId w:val="0"/>
              </w:numPr>
              <w:tabs>
                <w:tab w:val="left" w:pos="1134"/>
                <w:tab w:val="left" w:pos="7938"/>
              </w:tabs>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u-address="250x"</w:t>
            </w:r>
          </w:p>
          <w:p w14:paraId="2A482388" w14:textId="77777777" w:rsidR="00295C6D" w:rsidRPr="00A5626D" w:rsidRDefault="00295C6D" w:rsidP="00E31AE6">
            <w:pPr>
              <w:numPr>
                <w:ilvl w:val="1"/>
                <w:numId w:val="0"/>
              </w:numPr>
              <w:tabs>
                <w:tab w:val="left" w:pos="1134"/>
                <w:tab w:val="left" w:pos="7938"/>
              </w:tabs>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p-address="250x"</w:t>
            </w:r>
          </w:p>
          <w:p w14:paraId="2C87EB81" w14:textId="77777777" w:rsidR="00295C6D" w:rsidRPr="00A5626D" w:rsidRDefault="00295C6D" w:rsidP="00E31AE6">
            <w:pPr>
              <w:numPr>
                <w:ilvl w:val="1"/>
                <w:numId w:val="0"/>
              </w:numPr>
              <w:tabs>
                <w:tab w:val="left" w:pos="1134"/>
                <w:tab w:val="left" w:pos="7938"/>
              </w:tabs>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contact-info="500x"&gt;</w:t>
            </w:r>
          </w:p>
          <w:p w14:paraId="75627832" w14:textId="77777777" w:rsidR="00295C6D" w:rsidRPr="00A5626D" w:rsidRDefault="00295C6D" w:rsidP="00E31AE6">
            <w:pPr>
              <w:numPr>
                <w:ilvl w:val="1"/>
                <w:numId w:val="0"/>
              </w:numPr>
              <w:tabs>
                <w:tab w:val="left" w:pos="1134"/>
                <w:tab w:val="left" w:pos="7938"/>
              </w:tabs>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&lt;/organizations&gt;</w:t>
            </w:r>
          </w:p>
          <w:p w14:paraId="5DAA092D" w14:textId="77777777" w:rsidR="00295C6D" w:rsidRPr="00A5626D" w:rsidRDefault="00295C6D" w:rsidP="00E31AE6">
            <w:pPr>
              <w:numPr>
                <w:ilvl w:val="1"/>
                <w:numId w:val="0"/>
              </w:numPr>
              <w:tabs>
                <w:tab w:val="left" w:pos="1134"/>
                <w:tab w:val="left" w:pos="7938"/>
              </w:tabs>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&lt;gtps&gt;</w:t>
            </w:r>
          </w:p>
          <w:p w14:paraId="5F2EFCA8" w14:textId="77777777" w:rsidR="00295C6D" w:rsidRPr="00A5626D" w:rsidRDefault="00295C6D" w:rsidP="00E31AE6">
            <w:pPr>
              <w:numPr>
                <w:ilvl w:val="1"/>
                <w:numId w:val="0"/>
              </w:numPr>
              <w:tabs>
                <w:tab w:val="left" w:pos="1134"/>
                <w:tab w:val="left" w:pos="7938"/>
              </w:tabs>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&lt;gtpp</w:t>
            </w:r>
          </w:p>
          <w:p w14:paraId="289F95CB" w14:textId="77777777" w:rsidR="00295C6D" w:rsidRPr="00A5626D" w:rsidRDefault="00295C6D" w:rsidP="00E31AE6">
            <w:pPr>
              <w:numPr>
                <w:ilvl w:val="1"/>
                <w:numId w:val="0"/>
              </w:numPr>
              <w:tabs>
                <w:tab w:val="left" w:pos="1134"/>
                <w:tab w:val="left" w:pos="7938"/>
              </w:tabs>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id-gtp="1n"</w:t>
            </w:r>
          </w:p>
          <w:p w14:paraId="0D4261A5" w14:textId="77777777" w:rsidR="00295C6D" w:rsidRPr="00A5626D" w:rsidRDefault="00295C6D" w:rsidP="00E31AE6">
            <w:pPr>
              <w:numPr>
                <w:ilvl w:val="1"/>
                <w:numId w:val="0"/>
              </w:numPr>
              <w:tabs>
                <w:tab w:val="left" w:pos="1134"/>
                <w:tab w:val="left" w:pos="7938"/>
              </w:tabs>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id-org="1n"</w:t>
            </w:r>
          </w:p>
          <w:p w14:paraId="46A8A2B3" w14:textId="77777777" w:rsidR="00295C6D" w:rsidRPr="00A5626D" w:rsidRDefault="00295C6D" w:rsidP="00E31AE6">
            <w:pPr>
              <w:numPr>
                <w:ilvl w:val="1"/>
                <w:numId w:val="0"/>
              </w:numPr>
              <w:tabs>
                <w:tab w:val="left" w:pos="1134"/>
                <w:tab w:val="left" w:pos="7938"/>
              </w:tabs>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gtp-code="8x"</w:t>
            </w:r>
          </w:p>
          <w:p w14:paraId="4E7689DD" w14:textId="77777777" w:rsidR="00295C6D" w:rsidRPr="00A5626D" w:rsidRDefault="00295C6D" w:rsidP="00E31AE6">
            <w:pPr>
              <w:numPr>
                <w:ilvl w:val="1"/>
                <w:numId w:val="0"/>
              </w:numPr>
              <w:tabs>
                <w:tab w:val="left" w:pos="1134"/>
                <w:tab w:val="left" w:pos="7938"/>
              </w:tabs>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gtp-name="250x"&gt;</w:t>
            </w:r>
          </w:p>
          <w:p w14:paraId="3493BF26" w14:textId="77777777" w:rsidR="00295C6D" w:rsidRPr="00A5626D" w:rsidRDefault="00295C6D" w:rsidP="00E31AE6">
            <w:pPr>
              <w:numPr>
                <w:ilvl w:val="1"/>
                <w:numId w:val="0"/>
              </w:numPr>
              <w:tabs>
                <w:tab w:val="left" w:pos="1134"/>
                <w:tab w:val="left" w:pos="7938"/>
              </w:tabs>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&lt;gtpg</w:t>
            </w:r>
          </w:p>
          <w:p w14:paraId="2318E2CF" w14:textId="77777777" w:rsidR="00295C6D" w:rsidRPr="00A5626D" w:rsidRDefault="00295C6D" w:rsidP="00E31AE6">
            <w:pPr>
              <w:numPr>
                <w:ilvl w:val="1"/>
                <w:numId w:val="0"/>
              </w:numPr>
              <w:tabs>
                <w:tab w:val="left" w:pos="1134"/>
                <w:tab w:val="left" w:pos="7938"/>
              </w:tabs>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id-gtp="1n"</w:t>
            </w:r>
          </w:p>
          <w:p w14:paraId="0CC1D60D" w14:textId="77777777" w:rsidR="00295C6D" w:rsidRPr="00A5626D" w:rsidRDefault="00295C6D" w:rsidP="00E31AE6">
            <w:pPr>
              <w:numPr>
                <w:ilvl w:val="1"/>
                <w:numId w:val="0"/>
              </w:numPr>
              <w:tabs>
                <w:tab w:val="left" w:pos="1134"/>
                <w:tab w:val="left" w:pos="7938"/>
              </w:tabs>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gtp-code="8x"</w:t>
            </w:r>
          </w:p>
          <w:p w14:paraId="033D62B4" w14:textId="77777777" w:rsidR="00295C6D" w:rsidRPr="00A5626D" w:rsidRDefault="00295C6D" w:rsidP="00E31AE6">
            <w:pPr>
              <w:numPr>
                <w:ilvl w:val="1"/>
                <w:numId w:val="0"/>
              </w:numPr>
              <w:tabs>
                <w:tab w:val="left" w:pos="1134"/>
                <w:tab w:val="left" w:pos="7938"/>
              </w:tabs>
              <w:rPr>
                <w:rFonts w:ascii="Garamond" w:eastAsia="Calibri" w:hAnsi="Garamond" w:cstheme="minorHAnsi"/>
                <w:sz w:val="22"/>
                <w:szCs w:val="22"/>
                <w:lang w:val="en-US"/>
              </w:rPr>
            </w:pPr>
            <w:r w:rsidRPr="00A5626D">
              <w:rPr>
                <w:rFonts w:ascii="Garamond" w:eastAsia="Calibri" w:hAnsi="Garamond" w:cstheme="minorHAnsi"/>
                <w:sz w:val="22"/>
                <w:szCs w:val="22"/>
                <w:lang w:val="en-US"/>
              </w:rPr>
              <w:lastRenderedPageBreak/>
              <w:t xml:space="preserve">                         gtp-name="250x"/&gt;</w:t>
            </w:r>
          </w:p>
          <w:p w14:paraId="65004CC9" w14:textId="77777777" w:rsidR="00295C6D" w:rsidRPr="00A5626D" w:rsidRDefault="00295C6D" w:rsidP="00E31AE6">
            <w:pPr>
              <w:numPr>
                <w:ilvl w:val="1"/>
                <w:numId w:val="0"/>
              </w:numPr>
              <w:tabs>
                <w:tab w:val="left" w:pos="1134"/>
                <w:tab w:val="left" w:pos="7938"/>
              </w:tabs>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&lt;/gtpp&gt;</w:t>
            </w:r>
          </w:p>
          <w:p w14:paraId="578E9A1B" w14:textId="77777777" w:rsidR="00295C6D" w:rsidRPr="00A5626D" w:rsidRDefault="00295C6D" w:rsidP="00E31AE6">
            <w:pPr>
              <w:numPr>
                <w:ilvl w:val="1"/>
                <w:numId w:val="0"/>
              </w:numPr>
              <w:tabs>
                <w:tab w:val="left" w:pos="1134"/>
                <w:tab w:val="left" w:pos="7938"/>
              </w:tabs>
              <w:ind w:firstLine="740"/>
              <w:rPr>
                <w:rFonts w:ascii="Garamond" w:eastAsia="Calibri" w:hAnsi="Garamond" w:cstheme="minorHAnsi"/>
                <w:sz w:val="22"/>
                <w:szCs w:val="22"/>
                <w:highlight w:val="yellow"/>
                <w:lang w:val="en-US"/>
              </w:rPr>
            </w:pPr>
            <w:r w:rsidRPr="00A5626D">
              <w:rPr>
                <w:rFonts w:ascii="Garamond" w:eastAsia="Calibri" w:hAnsi="Garamond" w:cstheme="minorHAnsi"/>
                <w:sz w:val="22"/>
                <w:szCs w:val="22"/>
                <w:highlight w:val="yellow"/>
                <w:lang w:val="en-US"/>
              </w:rPr>
              <w:t>&lt;gtp-regulation-object</w:t>
            </w:r>
          </w:p>
          <w:p w14:paraId="14BADB8C" w14:textId="77777777" w:rsidR="00295C6D" w:rsidRPr="00A5626D" w:rsidRDefault="00295C6D" w:rsidP="00E31AE6">
            <w:pPr>
              <w:numPr>
                <w:ilvl w:val="1"/>
                <w:numId w:val="0"/>
              </w:numPr>
              <w:tabs>
                <w:tab w:val="left" w:pos="1134"/>
                <w:tab w:val="left" w:pos="7938"/>
              </w:tabs>
              <w:ind w:firstLine="740"/>
              <w:rPr>
                <w:rFonts w:ascii="Garamond" w:eastAsia="Calibri" w:hAnsi="Garamond" w:cstheme="minorHAnsi"/>
                <w:sz w:val="22"/>
                <w:szCs w:val="22"/>
                <w:highlight w:val="yellow"/>
                <w:lang w:val="en-US"/>
              </w:rPr>
            </w:pPr>
            <w:r w:rsidRPr="00A5626D">
              <w:rPr>
                <w:rFonts w:ascii="Garamond" w:eastAsia="Calibri" w:hAnsi="Garamond" w:cstheme="minorHAnsi"/>
                <w:sz w:val="22"/>
                <w:szCs w:val="22"/>
                <w:highlight w:val="yellow"/>
                <w:lang w:val="en-US"/>
              </w:rPr>
              <w:t>id-org ="1n"</w:t>
            </w:r>
          </w:p>
          <w:p w14:paraId="5F854640" w14:textId="77777777" w:rsidR="00295C6D" w:rsidRPr="00A5626D" w:rsidRDefault="00295C6D" w:rsidP="00E31AE6">
            <w:pPr>
              <w:numPr>
                <w:ilvl w:val="1"/>
                <w:numId w:val="0"/>
              </w:numPr>
              <w:tabs>
                <w:tab w:val="left" w:pos="1134"/>
                <w:tab w:val="left" w:pos="7938"/>
              </w:tabs>
              <w:ind w:firstLine="740"/>
              <w:rPr>
                <w:rFonts w:ascii="Garamond" w:eastAsia="Calibri" w:hAnsi="Garamond" w:cstheme="minorHAnsi"/>
                <w:sz w:val="22"/>
                <w:szCs w:val="22"/>
                <w:highlight w:val="yellow"/>
                <w:lang w:val="en-US"/>
              </w:rPr>
            </w:pPr>
            <w:r w:rsidRPr="00A5626D">
              <w:rPr>
                <w:rFonts w:ascii="Garamond" w:eastAsia="Calibri" w:hAnsi="Garamond" w:cstheme="minorHAnsi"/>
                <w:sz w:val="22"/>
                <w:szCs w:val="22"/>
                <w:highlight w:val="yellow"/>
                <w:lang w:val="en-US"/>
              </w:rPr>
              <w:t>id-gtp="1n"</w:t>
            </w:r>
          </w:p>
          <w:p w14:paraId="16E4EE87" w14:textId="77777777" w:rsidR="00295C6D" w:rsidRPr="00A5626D" w:rsidRDefault="00295C6D" w:rsidP="00E31AE6">
            <w:pPr>
              <w:numPr>
                <w:ilvl w:val="1"/>
                <w:numId w:val="0"/>
              </w:numPr>
              <w:tabs>
                <w:tab w:val="left" w:pos="1134"/>
                <w:tab w:val="left" w:pos="7938"/>
              </w:tabs>
              <w:ind w:firstLine="740"/>
              <w:rPr>
                <w:rFonts w:ascii="Garamond" w:eastAsia="Calibri" w:hAnsi="Garamond" w:cstheme="minorHAnsi"/>
                <w:sz w:val="22"/>
                <w:szCs w:val="22"/>
                <w:highlight w:val="yellow"/>
                <w:lang w:val="en-US"/>
              </w:rPr>
            </w:pPr>
            <w:r w:rsidRPr="00A5626D">
              <w:rPr>
                <w:rFonts w:ascii="Garamond" w:eastAsia="Calibri" w:hAnsi="Garamond" w:cstheme="minorHAnsi"/>
                <w:sz w:val="22"/>
                <w:szCs w:val="22"/>
                <w:highlight w:val="yellow"/>
                <w:lang w:val="en-US"/>
              </w:rPr>
              <w:t>gtp-code="8x"</w:t>
            </w:r>
          </w:p>
          <w:p w14:paraId="679F6C62" w14:textId="77777777" w:rsidR="00295C6D" w:rsidRPr="00A5626D" w:rsidRDefault="00295C6D" w:rsidP="00E31AE6">
            <w:pPr>
              <w:numPr>
                <w:ilvl w:val="1"/>
                <w:numId w:val="0"/>
              </w:numPr>
              <w:tabs>
                <w:tab w:val="left" w:pos="1134"/>
                <w:tab w:val="left" w:pos="7938"/>
              </w:tabs>
              <w:ind w:firstLine="740"/>
              <w:rPr>
                <w:rFonts w:ascii="Garamond" w:eastAsia="Calibri" w:hAnsi="Garamond" w:cstheme="minorHAnsi"/>
                <w:sz w:val="22"/>
                <w:szCs w:val="22"/>
                <w:highlight w:val="yellow"/>
                <w:lang w:val="en-US"/>
              </w:rPr>
            </w:pPr>
            <w:r w:rsidRPr="00A5626D">
              <w:rPr>
                <w:rFonts w:ascii="Garamond" w:eastAsia="Calibri" w:hAnsi="Garamond" w:cstheme="minorHAnsi"/>
                <w:sz w:val="22"/>
                <w:szCs w:val="22"/>
                <w:highlight w:val="yellow"/>
                <w:lang w:val="en-US"/>
              </w:rPr>
              <w:t>gtp-name="250x"</w:t>
            </w:r>
          </w:p>
          <w:p w14:paraId="6A0DE668" w14:textId="77777777" w:rsidR="00295C6D" w:rsidRPr="00A5626D" w:rsidRDefault="00295C6D" w:rsidP="00E31AE6">
            <w:pPr>
              <w:numPr>
                <w:ilvl w:val="1"/>
                <w:numId w:val="0"/>
              </w:numPr>
              <w:tabs>
                <w:tab w:val="left" w:pos="1134"/>
                <w:tab w:val="left" w:pos="7938"/>
              </w:tabs>
              <w:ind w:firstLine="740"/>
              <w:rPr>
                <w:rFonts w:ascii="Garamond" w:eastAsia="Calibri" w:hAnsi="Garamond" w:cstheme="minorHAnsi"/>
                <w:sz w:val="22"/>
                <w:szCs w:val="22"/>
                <w:lang w:val="en-US"/>
              </w:rPr>
            </w:pPr>
            <w:r w:rsidRPr="00A5626D">
              <w:rPr>
                <w:rFonts w:ascii="Garamond" w:eastAsia="Calibri" w:hAnsi="Garamond" w:cstheme="minorHAnsi"/>
                <w:sz w:val="22"/>
                <w:szCs w:val="22"/>
                <w:highlight w:val="yellow"/>
                <w:lang w:val="en-US"/>
              </w:rPr>
              <w:t>gtp-owner-trader-code="8x"/&gt;</w:t>
            </w:r>
          </w:p>
          <w:p w14:paraId="324D18D2" w14:textId="77777777" w:rsidR="00295C6D" w:rsidRPr="00A5626D" w:rsidRDefault="00295C6D" w:rsidP="00E31AE6">
            <w:pPr>
              <w:numPr>
                <w:ilvl w:val="1"/>
                <w:numId w:val="0"/>
              </w:numPr>
              <w:tabs>
                <w:tab w:val="left" w:pos="1134"/>
                <w:tab w:val="left" w:pos="7938"/>
              </w:tabs>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&lt;/gtps&gt;</w:t>
            </w:r>
          </w:p>
          <w:p w14:paraId="52BDFF7D" w14:textId="77777777" w:rsidR="00295C6D" w:rsidRPr="00A5626D" w:rsidRDefault="00295C6D" w:rsidP="00E31AE6">
            <w:pPr>
              <w:numPr>
                <w:ilvl w:val="1"/>
                <w:numId w:val="0"/>
              </w:numPr>
              <w:tabs>
                <w:tab w:val="left" w:pos="1134"/>
                <w:tab w:val="left" w:pos="7938"/>
              </w:tabs>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&lt;power-object-owners&gt;</w:t>
            </w:r>
          </w:p>
          <w:p w14:paraId="5DFF3806" w14:textId="77777777" w:rsidR="00295C6D" w:rsidRPr="00A5626D" w:rsidRDefault="00295C6D" w:rsidP="00E31AE6">
            <w:pPr>
              <w:numPr>
                <w:ilvl w:val="1"/>
                <w:numId w:val="0"/>
              </w:numPr>
              <w:tabs>
                <w:tab w:val="left" w:pos="1134"/>
                <w:tab w:val="left" w:pos="7938"/>
              </w:tabs>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&lt;power-object-owner</w:t>
            </w:r>
          </w:p>
          <w:p w14:paraId="23152150" w14:textId="77777777" w:rsidR="00295C6D" w:rsidRPr="00A5626D" w:rsidRDefault="00295C6D" w:rsidP="00E31AE6">
            <w:pPr>
              <w:numPr>
                <w:ilvl w:val="1"/>
                <w:numId w:val="0"/>
              </w:numPr>
              <w:tabs>
                <w:tab w:val="left" w:pos="1134"/>
                <w:tab w:val="left" w:pos="7938"/>
              </w:tabs>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name="250x"</w:t>
            </w:r>
          </w:p>
          <w:p w14:paraId="7CABB973" w14:textId="77777777" w:rsidR="00295C6D" w:rsidRPr="00A5626D" w:rsidRDefault="00295C6D" w:rsidP="00E31AE6">
            <w:pPr>
              <w:numPr>
                <w:ilvl w:val="1"/>
                <w:numId w:val="0"/>
              </w:numPr>
              <w:tabs>
                <w:tab w:val="left" w:pos="1134"/>
                <w:tab w:val="left" w:pos="7938"/>
              </w:tabs>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inn="10n"</w:t>
            </w:r>
          </w:p>
          <w:p w14:paraId="62F6643D" w14:textId="77777777" w:rsidR="00295C6D" w:rsidRPr="00A5626D" w:rsidRDefault="00295C6D" w:rsidP="00E31AE6">
            <w:pPr>
              <w:numPr>
                <w:ilvl w:val="1"/>
                <w:numId w:val="0"/>
              </w:numPr>
              <w:tabs>
                <w:tab w:val="left" w:pos="1134"/>
                <w:tab w:val="left" w:pos="7938"/>
              </w:tabs>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id-power-object-owner="4n"/&gt;</w:t>
            </w:r>
          </w:p>
          <w:p w14:paraId="217074EB" w14:textId="77777777" w:rsidR="00295C6D" w:rsidRPr="00A5626D" w:rsidRDefault="00295C6D" w:rsidP="00E31AE6">
            <w:pPr>
              <w:numPr>
                <w:ilvl w:val="1"/>
                <w:numId w:val="0"/>
              </w:numPr>
              <w:tabs>
                <w:tab w:val="left" w:pos="1134"/>
                <w:tab w:val="left" w:pos="7938"/>
              </w:tabs>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&lt;/power-object-owners&gt;</w:t>
            </w:r>
          </w:p>
          <w:p w14:paraId="72421F67" w14:textId="77777777" w:rsidR="00295C6D" w:rsidRPr="00A5626D" w:rsidRDefault="00295C6D" w:rsidP="00E31AE6">
            <w:pPr>
              <w:numPr>
                <w:ilvl w:val="1"/>
                <w:numId w:val="0"/>
              </w:numPr>
              <w:tabs>
                <w:tab w:val="left" w:pos="1134"/>
                <w:tab w:val="left" w:pos="7938"/>
              </w:tabs>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&lt;aiises&gt;</w:t>
            </w:r>
          </w:p>
          <w:p w14:paraId="6DBBAFEC" w14:textId="77777777" w:rsidR="00295C6D" w:rsidRPr="00A5626D" w:rsidRDefault="00295C6D" w:rsidP="00E31AE6">
            <w:pPr>
              <w:numPr>
                <w:ilvl w:val="1"/>
                <w:numId w:val="0"/>
              </w:numPr>
              <w:tabs>
                <w:tab w:val="left" w:pos="1134"/>
                <w:tab w:val="left" w:pos="7938"/>
              </w:tabs>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&lt;aiis</w:t>
            </w:r>
          </w:p>
          <w:p w14:paraId="5458D42A" w14:textId="77777777" w:rsidR="00295C6D" w:rsidRPr="00A5626D" w:rsidRDefault="00295C6D" w:rsidP="00E31AE6">
            <w:pPr>
              <w:numPr>
                <w:ilvl w:val="1"/>
                <w:numId w:val="0"/>
              </w:numPr>
              <w:tabs>
                <w:tab w:val="left" w:pos="1134"/>
                <w:tab w:val="left" w:pos="7938"/>
              </w:tabs>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id-aiis="1n"</w:t>
            </w:r>
          </w:p>
          <w:p w14:paraId="6ED02A98" w14:textId="77777777" w:rsidR="00295C6D" w:rsidRPr="00A5626D" w:rsidRDefault="00295C6D" w:rsidP="00E31AE6">
            <w:pPr>
              <w:numPr>
                <w:ilvl w:val="1"/>
                <w:numId w:val="0"/>
              </w:numPr>
              <w:tabs>
                <w:tab w:val="left" w:pos="1134"/>
                <w:tab w:val="left" w:pos="7938"/>
              </w:tabs>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id-gtp="1n"</w:t>
            </w:r>
          </w:p>
          <w:p w14:paraId="42FEF32B" w14:textId="77777777" w:rsidR="00295C6D" w:rsidRPr="00A5626D" w:rsidRDefault="00295C6D" w:rsidP="00E31AE6">
            <w:pPr>
              <w:numPr>
                <w:ilvl w:val="1"/>
                <w:numId w:val="0"/>
              </w:numPr>
              <w:tabs>
                <w:tab w:val="left" w:pos="1134"/>
                <w:tab w:val="left" w:pos="7938"/>
              </w:tabs>
              <w:ind w:left="426"/>
              <w:rPr>
                <w:rFonts w:ascii="Garamond" w:eastAsia="Calibri" w:hAnsi="Garamond" w:cstheme="minorHAnsi"/>
                <w:sz w:val="22"/>
                <w:szCs w:val="22"/>
                <w:lang w:val="en-US"/>
              </w:rPr>
            </w:pPr>
            <w:r w:rsidRPr="00A5626D">
              <w:rPr>
                <w:rFonts w:ascii="Garamond" w:eastAsia="Calibri" w:hAnsi="Garamond" w:cstheme="minorHAnsi"/>
                <w:sz w:val="22"/>
                <w:szCs w:val="22"/>
                <w:lang w:val="en-US"/>
              </w:rPr>
              <w:tab/>
              <w:t xml:space="preserve">    name="512x"</w:t>
            </w:r>
          </w:p>
          <w:p w14:paraId="49C38C77" w14:textId="77777777" w:rsidR="00295C6D" w:rsidRPr="00A5626D" w:rsidRDefault="00295C6D" w:rsidP="00E31AE6">
            <w:pPr>
              <w:numPr>
                <w:ilvl w:val="1"/>
                <w:numId w:val="0"/>
              </w:numPr>
              <w:tabs>
                <w:tab w:val="left" w:pos="1134"/>
                <w:tab w:val="left" w:pos="7938"/>
              </w:tabs>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ats-code="10n"/&gt;</w:t>
            </w:r>
          </w:p>
          <w:p w14:paraId="6DF094E2" w14:textId="77777777" w:rsidR="00295C6D" w:rsidRPr="00A5626D" w:rsidRDefault="00295C6D" w:rsidP="00E31AE6">
            <w:pPr>
              <w:numPr>
                <w:ilvl w:val="1"/>
                <w:numId w:val="0"/>
              </w:numPr>
              <w:tabs>
                <w:tab w:val="left" w:pos="1134"/>
                <w:tab w:val="left" w:pos="7938"/>
              </w:tabs>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&lt;area</w:t>
            </w:r>
          </w:p>
          <w:p w14:paraId="418C9245" w14:textId="77777777" w:rsidR="00295C6D" w:rsidRPr="00A5626D" w:rsidRDefault="00295C6D" w:rsidP="00E31AE6">
            <w:pPr>
              <w:numPr>
                <w:ilvl w:val="1"/>
                <w:numId w:val="0"/>
              </w:numPr>
              <w:tabs>
                <w:tab w:val="left" w:pos="1134"/>
                <w:tab w:val="left" w:pos="7938"/>
              </w:tabs>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ats-code="10n"</w:t>
            </w:r>
          </w:p>
          <w:p w14:paraId="48D437C2" w14:textId="77777777" w:rsidR="00295C6D" w:rsidRPr="00A5626D" w:rsidRDefault="00295C6D" w:rsidP="00E31AE6">
            <w:pPr>
              <w:numPr>
                <w:ilvl w:val="1"/>
                <w:numId w:val="0"/>
              </w:numPr>
              <w:tabs>
                <w:tab w:val="left" w:pos="1134"/>
                <w:tab w:val="left" w:pos="7938"/>
              </w:tabs>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group-type="1/2"</w:t>
            </w:r>
          </w:p>
          <w:p w14:paraId="106BED63" w14:textId="77777777" w:rsidR="00295C6D" w:rsidRPr="00A5626D" w:rsidRDefault="00295C6D" w:rsidP="00E31AE6">
            <w:pPr>
              <w:numPr>
                <w:ilvl w:val="1"/>
                <w:numId w:val="0"/>
              </w:numPr>
              <w:tabs>
                <w:tab w:val="left" w:pos="1134"/>
                <w:tab w:val="left" w:pos="7938"/>
              </w:tabs>
              <w:rPr>
                <w:rFonts w:ascii="Garamond" w:eastAsia="Calibri" w:hAnsi="Garamond" w:cstheme="minorHAnsi"/>
                <w:sz w:val="22"/>
                <w:szCs w:val="22"/>
                <w:lang w:val="en-US"/>
              </w:rPr>
            </w:pPr>
            <w:r w:rsidRPr="00A5626D">
              <w:rPr>
                <w:rFonts w:ascii="Garamond" w:eastAsia="Calibri" w:hAnsi="Garamond" w:cstheme="minorHAnsi"/>
                <w:sz w:val="22"/>
                <w:szCs w:val="22"/>
                <w:lang w:val="en-US"/>
              </w:rPr>
              <w:tab/>
              <w:t xml:space="preserve">         time-zone="1/3"</w:t>
            </w:r>
          </w:p>
          <w:p w14:paraId="177EB5A0" w14:textId="77777777" w:rsidR="00295C6D" w:rsidRPr="00A5626D" w:rsidRDefault="00295C6D" w:rsidP="00E31AE6">
            <w:pPr>
              <w:numPr>
                <w:ilvl w:val="1"/>
                <w:numId w:val="0"/>
              </w:numPr>
              <w:tabs>
                <w:tab w:val="left" w:pos="1134"/>
                <w:tab w:val="left" w:pos="7938"/>
              </w:tabs>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name="512x"/&gt;</w:t>
            </w:r>
          </w:p>
          <w:p w14:paraId="730A799D" w14:textId="77777777" w:rsidR="00295C6D" w:rsidRPr="00A5626D" w:rsidRDefault="00295C6D" w:rsidP="00E31AE6">
            <w:pPr>
              <w:numPr>
                <w:ilvl w:val="1"/>
                <w:numId w:val="0"/>
              </w:numPr>
              <w:tabs>
                <w:tab w:val="left" w:pos="1134"/>
                <w:tab w:val="left" w:pos="7938"/>
              </w:tabs>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&lt;/aiis&gt;</w:t>
            </w:r>
          </w:p>
          <w:p w14:paraId="73E8689A" w14:textId="77777777" w:rsidR="00295C6D" w:rsidRPr="00A5626D" w:rsidRDefault="00295C6D" w:rsidP="00E31AE6">
            <w:pPr>
              <w:numPr>
                <w:ilvl w:val="1"/>
                <w:numId w:val="0"/>
              </w:numPr>
              <w:tabs>
                <w:tab w:val="left" w:pos="1134"/>
                <w:tab w:val="left" w:pos="7938"/>
              </w:tabs>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&lt;/aiises&gt;</w:t>
            </w:r>
          </w:p>
          <w:p w14:paraId="3601E3CB" w14:textId="77777777" w:rsidR="00295C6D" w:rsidRPr="00A5626D" w:rsidRDefault="00295C6D" w:rsidP="00E31AE6">
            <w:pPr>
              <w:numPr>
                <w:ilvl w:val="1"/>
                <w:numId w:val="0"/>
              </w:numPr>
              <w:tabs>
                <w:tab w:val="left" w:pos="1134"/>
                <w:tab w:val="left" w:pos="7938"/>
              </w:tabs>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&lt;power-objects&gt;</w:t>
            </w:r>
          </w:p>
          <w:p w14:paraId="018CA25D" w14:textId="77777777" w:rsidR="00295C6D" w:rsidRPr="00A5626D" w:rsidRDefault="00295C6D" w:rsidP="00E31AE6">
            <w:pPr>
              <w:numPr>
                <w:ilvl w:val="1"/>
                <w:numId w:val="0"/>
              </w:numPr>
              <w:tabs>
                <w:tab w:val="left" w:pos="1134"/>
                <w:tab w:val="left" w:pos="7938"/>
              </w:tabs>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&lt;power-object</w:t>
            </w:r>
          </w:p>
          <w:p w14:paraId="0B3D856E" w14:textId="77777777" w:rsidR="00295C6D" w:rsidRPr="00A5626D" w:rsidRDefault="00295C6D" w:rsidP="00E31AE6">
            <w:pPr>
              <w:numPr>
                <w:ilvl w:val="1"/>
                <w:numId w:val="0"/>
              </w:numPr>
              <w:tabs>
                <w:tab w:val="left" w:pos="1134"/>
                <w:tab w:val="left" w:pos="7938"/>
              </w:tabs>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id-power-object="4n"</w:t>
            </w:r>
          </w:p>
          <w:p w14:paraId="523496EA" w14:textId="77777777" w:rsidR="00295C6D" w:rsidRPr="00A5626D" w:rsidRDefault="00295C6D" w:rsidP="00E31AE6">
            <w:pPr>
              <w:numPr>
                <w:ilvl w:val="1"/>
                <w:numId w:val="0"/>
              </w:numPr>
              <w:tabs>
                <w:tab w:val="left" w:pos="1134"/>
                <w:tab w:val="left" w:pos="7938"/>
              </w:tabs>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guid="36x"</w:t>
            </w:r>
          </w:p>
          <w:p w14:paraId="468E7F10" w14:textId="77777777" w:rsidR="00295C6D" w:rsidRPr="00A5626D" w:rsidRDefault="00295C6D" w:rsidP="00E31AE6">
            <w:pPr>
              <w:numPr>
                <w:ilvl w:val="1"/>
                <w:numId w:val="0"/>
              </w:numPr>
              <w:tabs>
                <w:tab w:val="left" w:pos="1134"/>
                <w:tab w:val="left" w:pos="7938"/>
              </w:tabs>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ats-code="9n"</w:t>
            </w:r>
          </w:p>
          <w:p w14:paraId="63AD681F" w14:textId="77777777" w:rsidR="00295C6D" w:rsidRPr="00A5626D" w:rsidRDefault="00295C6D" w:rsidP="00E31AE6">
            <w:pPr>
              <w:numPr>
                <w:ilvl w:val="1"/>
                <w:numId w:val="0"/>
              </w:numPr>
              <w:tabs>
                <w:tab w:val="left" w:pos="1134"/>
                <w:tab w:val="left" w:pos="7938"/>
              </w:tabs>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name="512x"</w:t>
            </w:r>
          </w:p>
          <w:p w14:paraId="0E8048E7" w14:textId="77777777" w:rsidR="00295C6D" w:rsidRPr="00A5626D" w:rsidRDefault="00295C6D" w:rsidP="00E31AE6">
            <w:pPr>
              <w:numPr>
                <w:ilvl w:val="1"/>
                <w:numId w:val="0"/>
              </w:numPr>
              <w:tabs>
                <w:tab w:val="left" w:pos="1134"/>
                <w:tab w:val="left" w:pos="7938"/>
              </w:tabs>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type="1/2/3/4/5/6"</w:t>
            </w:r>
          </w:p>
          <w:p w14:paraId="6A797F03" w14:textId="77777777" w:rsidR="00295C6D" w:rsidRPr="00A5626D" w:rsidRDefault="00295C6D" w:rsidP="00E31AE6">
            <w:pPr>
              <w:numPr>
                <w:ilvl w:val="1"/>
                <w:numId w:val="0"/>
              </w:numPr>
              <w:tabs>
                <w:tab w:val="left" w:pos="1134"/>
                <w:tab w:val="left" w:pos="7938"/>
              </w:tabs>
              <w:spacing w:line="259" w:lineRule="auto"/>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is-power-center="true/false"&gt;</w:t>
            </w:r>
          </w:p>
          <w:p w14:paraId="520A7FAA" w14:textId="77777777" w:rsidR="00295C6D" w:rsidRPr="00A5626D" w:rsidRDefault="00295C6D" w:rsidP="00E31AE6">
            <w:pPr>
              <w:numPr>
                <w:ilvl w:val="1"/>
                <w:numId w:val="0"/>
              </w:numPr>
              <w:tabs>
                <w:tab w:val="left" w:pos="1134"/>
                <w:tab w:val="left" w:pos="7938"/>
              </w:tabs>
              <w:spacing w:line="259" w:lineRule="auto"/>
              <w:ind w:firstLine="708"/>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w:t>
            </w:r>
            <w:r w:rsidRPr="00A5626D">
              <w:rPr>
                <w:rFonts w:ascii="Garamond" w:hAnsi="Garamond" w:cstheme="minorHAnsi"/>
                <w:sz w:val="22"/>
                <w:szCs w:val="22"/>
                <w:lang w:val="en-US"/>
              </w:rPr>
              <w:t>&lt;voltage-levels&gt;</w:t>
            </w:r>
          </w:p>
          <w:p w14:paraId="77D073F9" w14:textId="77777777" w:rsidR="00295C6D" w:rsidRPr="00A5626D" w:rsidRDefault="00295C6D" w:rsidP="00E31AE6">
            <w:pPr>
              <w:tabs>
                <w:tab w:val="left" w:pos="1134"/>
                <w:tab w:val="left" w:pos="7938"/>
              </w:tabs>
              <w:ind w:left="708" w:firstLine="708"/>
              <w:rPr>
                <w:rFonts w:ascii="Garamond" w:eastAsia="Calibri" w:hAnsi="Garamond" w:cstheme="minorHAnsi"/>
                <w:sz w:val="22"/>
                <w:szCs w:val="22"/>
                <w:lang w:val="en-US"/>
              </w:rPr>
            </w:pPr>
            <w:r w:rsidRPr="00A5626D">
              <w:rPr>
                <w:rFonts w:ascii="Garamond" w:hAnsi="Garamond" w:cstheme="minorHAnsi"/>
                <w:sz w:val="22"/>
                <w:szCs w:val="22"/>
                <w:lang w:val="en-US"/>
              </w:rPr>
              <w:t>&lt;voltage-level voltage</w:t>
            </w:r>
            <w:r w:rsidRPr="00A5626D">
              <w:rPr>
                <w:rFonts w:ascii="Garamond" w:eastAsia="Calibri" w:hAnsi="Garamond" w:cstheme="minorHAnsi"/>
                <w:sz w:val="22"/>
                <w:szCs w:val="22"/>
                <w:lang w:val="en-US"/>
              </w:rPr>
              <w:t>="10n"/&gt;</w:t>
            </w:r>
          </w:p>
          <w:p w14:paraId="12FE01C9" w14:textId="77777777" w:rsidR="00295C6D" w:rsidRPr="00A5626D" w:rsidRDefault="00295C6D" w:rsidP="00E31AE6">
            <w:pPr>
              <w:tabs>
                <w:tab w:val="left" w:pos="1134"/>
                <w:tab w:val="left" w:pos="7938"/>
              </w:tabs>
              <w:ind w:firstLine="708"/>
              <w:rPr>
                <w:rFonts w:ascii="Garamond" w:hAnsi="Garamond" w:cstheme="minorHAnsi"/>
                <w:sz w:val="22"/>
                <w:szCs w:val="22"/>
                <w:lang w:val="en-US"/>
              </w:rPr>
            </w:pPr>
            <w:r w:rsidRPr="00A5626D">
              <w:rPr>
                <w:rFonts w:ascii="Garamond" w:hAnsi="Garamond" w:cstheme="minorHAnsi"/>
                <w:sz w:val="22"/>
                <w:szCs w:val="22"/>
                <w:lang w:val="en-US"/>
              </w:rPr>
              <w:lastRenderedPageBreak/>
              <w:t xml:space="preserve">         &lt;/voltage-levels&gt;</w:t>
            </w:r>
          </w:p>
          <w:p w14:paraId="359725E8" w14:textId="77777777" w:rsidR="00295C6D" w:rsidRPr="00A5626D" w:rsidRDefault="00295C6D" w:rsidP="00E31AE6">
            <w:pPr>
              <w:tabs>
                <w:tab w:val="left" w:pos="1134"/>
                <w:tab w:val="left" w:pos="7938"/>
              </w:tabs>
              <w:ind w:firstLine="708"/>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&lt;/power-object&gt;</w:t>
            </w:r>
          </w:p>
          <w:p w14:paraId="0295FD5E" w14:textId="77777777" w:rsidR="00295C6D" w:rsidRPr="00A5626D" w:rsidRDefault="00295C6D" w:rsidP="00E31AE6">
            <w:pPr>
              <w:numPr>
                <w:ilvl w:val="1"/>
                <w:numId w:val="0"/>
              </w:numPr>
              <w:tabs>
                <w:tab w:val="left" w:pos="1134"/>
                <w:tab w:val="left" w:pos="7938"/>
              </w:tabs>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&lt;/power-objects&gt;</w:t>
            </w:r>
          </w:p>
          <w:p w14:paraId="4F25A895" w14:textId="77777777" w:rsidR="00295C6D" w:rsidRPr="00A5626D" w:rsidRDefault="00295C6D" w:rsidP="00E31AE6">
            <w:pPr>
              <w:numPr>
                <w:ilvl w:val="1"/>
                <w:numId w:val="0"/>
              </w:numPr>
              <w:tabs>
                <w:tab w:val="left" w:pos="1134"/>
                <w:tab w:val="left" w:pos="7938"/>
              </w:tabs>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&lt;delivery-points&gt;</w:t>
            </w:r>
          </w:p>
          <w:p w14:paraId="72C14720" w14:textId="77777777" w:rsidR="00295C6D" w:rsidRPr="00A5626D" w:rsidRDefault="00295C6D" w:rsidP="00E31AE6">
            <w:pPr>
              <w:numPr>
                <w:ilvl w:val="1"/>
                <w:numId w:val="0"/>
              </w:numPr>
              <w:tabs>
                <w:tab w:val="left" w:pos="1134"/>
                <w:tab w:val="left" w:pos="7938"/>
              </w:tabs>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&lt;delivery-point </w:t>
            </w:r>
          </w:p>
          <w:p w14:paraId="7BD29626" w14:textId="77777777" w:rsidR="00295C6D" w:rsidRPr="00A5626D" w:rsidRDefault="00295C6D" w:rsidP="00E31AE6">
            <w:pPr>
              <w:numPr>
                <w:ilvl w:val="1"/>
                <w:numId w:val="0"/>
              </w:numPr>
              <w:tabs>
                <w:tab w:val="left" w:pos="1134"/>
                <w:tab w:val="left" w:pos="7938"/>
              </w:tabs>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id-delivery-point="4n"</w:t>
            </w:r>
          </w:p>
          <w:p w14:paraId="58D73600" w14:textId="77777777" w:rsidR="00295C6D" w:rsidRPr="00A5626D" w:rsidRDefault="00295C6D" w:rsidP="00E31AE6">
            <w:pPr>
              <w:numPr>
                <w:ilvl w:val="1"/>
                <w:numId w:val="0"/>
              </w:numPr>
              <w:tabs>
                <w:tab w:val="left" w:pos="1134"/>
                <w:tab w:val="left" w:pos="7938"/>
              </w:tabs>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guid="36x"</w:t>
            </w:r>
          </w:p>
          <w:p w14:paraId="533F8420" w14:textId="77777777" w:rsidR="00295C6D" w:rsidRPr="00A5626D" w:rsidRDefault="00295C6D" w:rsidP="00E31AE6">
            <w:pPr>
              <w:numPr>
                <w:ilvl w:val="1"/>
                <w:numId w:val="0"/>
              </w:numPr>
              <w:tabs>
                <w:tab w:val="left" w:pos="1134"/>
                <w:tab w:val="left" w:pos="7938"/>
              </w:tabs>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is-group-delivery-point=" true/false"</w:t>
            </w:r>
          </w:p>
          <w:p w14:paraId="46BCAF91" w14:textId="77777777" w:rsidR="00295C6D" w:rsidRPr="00A5626D" w:rsidRDefault="00295C6D" w:rsidP="00E31AE6">
            <w:pPr>
              <w:numPr>
                <w:ilvl w:val="1"/>
                <w:numId w:val="0"/>
              </w:numPr>
              <w:tabs>
                <w:tab w:val="left" w:pos="1134"/>
                <w:tab w:val="left" w:pos="7938"/>
              </w:tabs>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is-for-coding=" true/false"</w:t>
            </w:r>
          </w:p>
          <w:p w14:paraId="4FA835C0" w14:textId="77777777" w:rsidR="00295C6D" w:rsidRPr="00A5626D" w:rsidRDefault="00295C6D" w:rsidP="00E31AE6">
            <w:pPr>
              <w:numPr>
                <w:ilvl w:val="1"/>
                <w:numId w:val="0"/>
              </w:numPr>
              <w:tabs>
                <w:tab w:val="left" w:pos="1134"/>
                <w:tab w:val="left" w:pos="7938"/>
              </w:tabs>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ats-code="15n"</w:t>
            </w:r>
          </w:p>
          <w:p w14:paraId="0322EC0F" w14:textId="77777777" w:rsidR="00295C6D" w:rsidRPr="00A5626D" w:rsidRDefault="00295C6D" w:rsidP="00E31AE6">
            <w:pPr>
              <w:numPr>
                <w:ilvl w:val="1"/>
                <w:numId w:val="0"/>
              </w:numPr>
              <w:tabs>
                <w:tab w:val="left" w:pos="1134"/>
                <w:tab w:val="left" w:pos="7938"/>
              </w:tabs>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composite-name="512x"</w:t>
            </w:r>
          </w:p>
          <w:p w14:paraId="6DC69EBD" w14:textId="77777777" w:rsidR="00295C6D" w:rsidRPr="00A5626D" w:rsidRDefault="00295C6D" w:rsidP="00E31AE6">
            <w:pPr>
              <w:numPr>
                <w:ilvl w:val="1"/>
                <w:numId w:val="0"/>
              </w:numPr>
              <w:tabs>
                <w:tab w:val="left" w:pos="1134"/>
                <w:tab w:val="left" w:pos="7938"/>
              </w:tabs>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id-power-object="4n"</w:t>
            </w:r>
          </w:p>
          <w:p w14:paraId="77C4A7B4" w14:textId="77777777" w:rsidR="00295C6D" w:rsidRPr="00A5626D" w:rsidRDefault="00295C6D" w:rsidP="00E31AE6">
            <w:pPr>
              <w:numPr>
                <w:ilvl w:val="1"/>
                <w:numId w:val="0"/>
              </w:numPr>
              <w:tabs>
                <w:tab w:val="left" w:pos="1134"/>
                <w:tab w:val="left" w:pos="7938"/>
              </w:tabs>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method="250x"</w:t>
            </w:r>
          </w:p>
          <w:p w14:paraId="4E629CA6" w14:textId="77777777" w:rsidR="00295C6D" w:rsidRPr="00A5626D" w:rsidRDefault="00295C6D" w:rsidP="00E31AE6">
            <w:pPr>
              <w:numPr>
                <w:ilvl w:val="1"/>
                <w:numId w:val="0"/>
              </w:numPr>
              <w:tabs>
                <w:tab w:val="left" w:pos="1134"/>
                <w:tab w:val="left" w:pos="7938"/>
              </w:tabs>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schemanum="10x"</w:t>
            </w:r>
          </w:p>
          <w:p w14:paraId="38207AAD" w14:textId="77777777" w:rsidR="00295C6D" w:rsidRPr="00A5626D" w:rsidRDefault="00295C6D" w:rsidP="00E31AE6">
            <w:pPr>
              <w:numPr>
                <w:ilvl w:val="1"/>
                <w:numId w:val="0"/>
              </w:numPr>
              <w:tabs>
                <w:tab w:val="left" w:pos="1134"/>
                <w:tab w:val="left" w:pos="7938"/>
              </w:tabs>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power="10n"</w:t>
            </w:r>
          </w:p>
          <w:p w14:paraId="510F07AD" w14:textId="77777777" w:rsidR="00295C6D" w:rsidRPr="00A5626D" w:rsidRDefault="00295C6D" w:rsidP="00E31AE6">
            <w:pPr>
              <w:tabs>
                <w:tab w:val="left" w:pos="1134"/>
                <w:tab w:val="left" w:pos="7938"/>
              </w:tabs>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point-voltage="10n"&gt;</w:t>
            </w:r>
          </w:p>
          <w:p w14:paraId="48A666F7" w14:textId="77777777" w:rsidR="00295C6D" w:rsidRPr="00A5626D" w:rsidRDefault="00295C6D" w:rsidP="00E31AE6">
            <w:pPr>
              <w:numPr>
                <w:ilvl w:val="1"/>
                <w:numId w:val="0"/>
              </w:numPr>
              <w:tabs>
                <w:tab w:val="left" w:pos="1134"/>
                <w:tab w:val="left" w:pos="7938"/>
              </w:tabs>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&lt;name </w:t>
            </w:r>
          </w:p>
          <w:p w14:paraId="32C8F9E2" w14:textId="77777777" w:rsidR="00295C6D" w:rsidRPr="00A5626D" w:rsidRDefault="00295C6D" w:rsidP="00E31AE6">
            <w:pPr>
              <w:numPr>
                <w:ilvl w:val="1"/>
                <w:numId w:val="0"/>
              </w:numPr>
              <w:tabs>
                <w:tab w:val="left" w:pos="1134"/>
                <w:tab w:val="left" w:pos="7938"/>
              </w:tabs>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power-object-name="250x"</w:t>
            </w:r>
          </w:p>
          <w:p w14:paraId="63271902" w14:textId="77777777" w:rsidR="00295C6D" w:rsidRPr="00A5626D" w:rsidRDefault="00295C6D" w:rsidP="00E31AE6">
            <w:pPr>
              <w:numPr>
                <w:ilvl w:val="1"/>
                <w:numId w:val="0"/>
              </w:numPr>
              <w:tabs>
                <w:tab w:val="left" w:pos="1134"/>
                <w:tab w:val="left" w:pos="7938"/>
              </w:tabs>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connection-name="250x"</w:t>
            </w:r>
          </w:p>
          <w:p w14:paraId="6DF74D9F" w14:textId="77777777" w:rsidR="00295C6D" w:rsidRPr="00A5626D" w:rsidRDefault="00295C6D" w:rsidP="00E31AE6">
            <w:pPr>
              <w:numPr>
                <w:ilvl w:val="1"/>
                <w:numId w:val="0"/>
              </w:numPr>
              <w:tabs>
                <w:tab w:val="left" w:pos="1134"/>
                <w:tab w:val="left" w:pos="7938"/>
              </w:tabs>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location-description="250x"/&gt;</w:t>
            </w:r>
          </w:p>
          <w:p w14:paraId="4369BC2E" w14:textId="77777777" w:rsidR="00295C6D" w:rsidRPr="00A5626D" w:rsidRDefault="00295C6D" w:rsidP="00E31AE6">
            <w:pPr>
              <w:numPr>
                <w:ilvl w:val="1"/>
                <w:numId w:val="0"/>
              </w:numPr>
              <w:tabs>
                <w:tab w:val="left" w:pos="1134"/>
                <w:tab w:val="left" w:pos="7938"/>
              </w:tabs>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&lt;comment&gt;</w:t>
            </w:r>
          </w:p>
          <w:p w14:paraId="4A650E72" w14:textId="77777777" w:rsidR="00295C6D" w:rsidRPr="00A5626D" w:rsidRDefault="00295C6D" w:rsidP="00E31AE6">
            <w:pPr>
              <w:numPr>
                <w:ilvl w:val="1"/>
                <w:numId w:val="0"/>
              </w:numPr>
              <w:tabs>
                <w:tab w:val="left" w:pos="1134"/>
                <w:tab w:val="left" w:pos="7938"/>
              </w:tabs>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&lt;![CDATA[…]]&gt;</w:t>
            </w:r>
          </w:p>
          <w:p w14:paraId="21E80E2C" w14:textId="77777777" w:rsidR="00295C6D" w:rsidRPr="00A5626D" w:rsidRDefault="00295C6D" w:rsidP="00E31AE6">
            <w:pPr>
              <w:numPr>
                <w:ilvl w:val="1"/>
                <w:numId w:val="0"/>
              </w:numPr>
              <w:tabs>
                <w:tab w:val="left" w:pos="1134"/>
                <w:tab w:val="left" w:pos="7938"/>
              </w:tabs>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&lt;/comment&gt;</w:t>
            </w:r>
          </w:p>
          <w:p w14:paraId="5E7470E5" w14:textId="77777777" w:rsidR="00295C6D" w:rsidRPr="00A5626D" w:rsidRDefault="00295C6D" w:rsidP="00E31AE6">
            <w:pPr>
              <w:numPr>
                <w:ilvl w:val="1"/>
                <w:numId w:val="0"/>
              </w:numPr>
              <w:tabs>
                <w:tab w:val="left" w:pos="1134"/>
                <w:tab w:val="left" w:pos="7938"/>
              </w:tabs>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&lt;/delivery-point&gt;</w:t>
            </w:r>
          </w:p>
          <w:p w14:paraId="341BE2E6" w14:textId="77777777" w:rsidR="00295C6D" w:rsidRPr="00A5626D" w:rsidRDefault="00295C6D" w:rsidP="00E31AE6">
            <w:pPr>
              <w:numPr>
                <w:ilvl w:val="1"/>
                <w:numId w:val="0"/>
              </w:numPr>
              <w:tabs>
                <w:tab w:val="left" w:pos="1134"/>
                <w:tab w:val="left" w:pos="7938"/>
              </w:tabs>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&lt;/delivery-points&gt;</w:t>
            </w:r>
          </w:p>
          <w:p w14:paraId="2CDC6600" w14:textId="77777777" w:rsidR="00295C6D" w:rsidRPr="00A5626D" w:rsidRDefault="00295C6D" w:rsidP="00E31AE6">
            <w:pPr>
              <w:numPr>
                <w:ilvl w:val="1"/>
                <w:numId w:val="0"/>
              </w:numPr>
              <w:tabs>
                <w:tab w:val="left" w:pos="1134"/>
                <w:tab w:val="left" w:pos="7938"/>
              </w:tabs>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&lt;measuring-device-modifications&gt;</w:t>
            </w:r>
          </w:p>
          <w:p w14:paraId="1E41DCAD" w14:textId="77777777" w:rsidR="00295C6D" w:rsidRPr="00A5626D" w:rsidRDefault="00295C6D" w:rsidP="00E31AE6">
            <w:pPr>
              <w:numPr>
                <w:ilvl w:val="1"/>
                <w:numId w:val="0"/>
              </w:numPr>
              <w:tabs>
                <w:tab w:val="left" w:pos="1134"/>
                <w:tab w:val="left" w:pos="7938"/>
              </w:tabs>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&lt;measuring-device-modification</w:t>
            </w:r>
          </w:p>
          <w:p w14:paraId="5FBBA80C" w14:textId="77777777" w:rsidR="00295C6D" w:rsidRPr="00A5626D" w:rsidRDefault="00295C6D" w:rsidP="00E31AE6">
            <w:pPr>
              <w:numPr>
                <w:ilvl w:val="1"/>
                <w:numId w:val="0"/>
              </w:numPr>
              <w:tabs>
                <w:tab w:val="left" w:pos="1134"/>
                <w:tab w:val="left" w:pos="7938"/>
              </w:tabs>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id-device-modification="4n"</w:t>
            </w:r>
          </w:p>
          <w:p w14:paraId="3D2AADF9" w14:textId="77777777" w:rsidR="00295C6D" w:rsidRPr="00A5626D" w:rsidRDefault="00295C6D" w:rsidP="00E31AE6">
            <w:pPr>
              <w:numPr>
                <w:ilvl w:val="1"/>
                <w:numId w:val="0"/>
              </w:numPr>
              <w:tabs>
                <w:tab w:val="left" w:pos="1134"/>
                <w:tab w:val="left" w:pos="7938"/>
              </w:tabs>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ats-code="32x"</w:t>
            </w:r>
          </w:p>
          <w:p w14:paraId="29610C97" w14:textId="77777777" w:rsidR="00295C6D" w:rsidRPr="00A5626D" w:rsidRDefault="00295C6D" w:rsidP="00E31AE6">
            <w:pPr>
              <w:numPr>
                <w:ilvl w:val="1"/>
                <w:numId w:val="0"/>
              </w:numPr>
              <w:tabs>
                <w:tab w:val="left" w:pos="1134"/>
                <w:tab w:val="left" w:pos="7938"/>
              </w:tabs>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device-modification-name="80x"/&gt; </w:t>
            </w:r>
          </w:p>
          <w:p w14:paraId="0B2CBC40" w14:textId="77777777" w:rsidR="00295C6D" w:rsidRPr="00A5626D" w:rsidRDefault="00295C6D" w:rsidP="00E31AE6">
            <w:pPr>
              <w:numPr>
                <w:ilvl w:val="1"/>
                <w:numId w:val="0"/>
              </w:numPr>
              <w:tabs>
                <w:tab w:val="left" w:pos="1134"/>
                <w:tab w:val="left" w:pos="7938"/>
              </w:tabs>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&lt;/measuring-device-modifications&gt;</w:t>
            </w:r>
          </w:p>
          <w:p w14:paraId="4E3E89FD" w14:textId="77777777" w:rsidR="00295C6D" w:rsidRPr="00A5626D" w:rsidRDefault="00295C6D" w:rsidP="00E31AE6">
            <w:pPr>
              <w:numPr>
                <w:ilvl w:val="1"/>
                <w:numId w:val="0"/>
              </w:numPr>
              <w:tabs>
                <w:tab w:val="left" w:pos="1134"/>
                <w:tab w:val="left" w:pos="7938"/>
              </w:tabs>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&lt;measuring-points&gt;</w:t>
            </w:r>
          </w:p>
          <w:p w14:paraId="5040853A" w14:textId="77777777" w:rsidR="00295C6D" w:rsidRPr="00A5626D" w:rsidRDefault="00295C6D" w:rsidP="00E31AE6">
            <w:pPr>
              <w:numPr>
                <w:ilvl w:val="1"/>
                <w:numId w:val="0"/>
              </w:numPr>
              <w:tabs>
                <w:tab w:val="left" w:pos="1134"/>
                <w:tab w:val="left" w:pos="7938"/>
              </w:tabs>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&lt;measuring-point</w:t>
            </w:r>
          </w:p>
          <w:p w14:paraId="5643E580" w14:textId="77777777" w:rsidR="00295C6D" w:rsidRPr="00A5626D" w:rsidRDefault="00295C6D" w:rsidP="00E31AE6">
            <w:pPr>
              <w:numPr>
                <w:ilvl w:val="1"/>
                <w:numId w:val="0"/>
              </w:numPr>
              <w:tabs>
                <w:tab w:val="left" w:pos="1134"/>
                <w:tab w:val="left" w:pos="7938"/>
              </w:tabs>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id-measuring-point="4n" </w:t>
            </w:r>
          </w:p>
          <w:p w14:paraId="05C83AC4" w14:textId="77777777" w:rsidR="00295C6D" w:rsidRPr="00A5626D" w:rsidRDefault="00295C6D" w:rsidP="00E31AE6">
            <w:pPr>
              <w:numPr>
                <w:ilvl w:val="1"/>
                <w:numId w:val="0"/>
              </w:numPr>
              <w:tabs>
                <w:tab w:val="left" w:pos="1134"/>
                <w:tab w:val="left" w:pos="7938"/>
              </w:tabs>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guid="36x"</w:t>
            </w:r>
          </w:p>
          <w:p w14:paraId="6D832DD1" w14:textId="77777777" w:rsidR="00295C6D" w:rsidRPr="00A5626D" w:rsidRDefault="00295C6D" w:rsidP="00E31AE6">
            <w:pPr>
              <w:numPr>
                <w:ilvl w:val="1"/>
                <w:numId w:val="0"/>
              </w:numPr>
              <w:tabs>
                <w:tab w:val="left" w:pos="1134"/>
                <w:tab w:val="left" w:pos="7938"/>
              </w:tabs>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schemanum="10x" </w:t>
            </w:r>
          </w:p>
          <w:p w14:paraId="5C81A91B" w14:textId="77777777" w:rsidR="00295C6D" w:rsidRPr="00A5626D" w:rsidRDefault="00295C6D" w:rsidP="00E31AE6">
            <w:pPr>
              <w:numPr>
                <w:ilvl w:val="1"/>
                <w:numId w:val="0"/>
              </w:numPr>
              <w:tabs>
                <w:tab w:val="left" w:pos="1134"/>
                <w:tab w:val="left" w:pos="7938"/>
              </w:tabs>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ats-code="15n"</w:t>
            </w:r>
          </w:p>
          <w:p w14:paraId="75414626" w14:textId="77777777" w:rsidR="00295C6D" w:rsidRPr="00A5626D" w:rsidRDefault="00295C6D" w:rsidP="00E31AE6">
            <w:pPr>
              <w:numPr>
                <w:ilvl w:val="1"/>
                <w:numId w:val="0"/>
              </w:numPr>
              <w:tabs>
                <w:tab w:val="left" w:pos="1134"/>
                <w:tab w:val="left" w:pos="7938"/>
              </w:tabs>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id-power-object="4n"</w:t>
            </w:r>
          </w:p>
          <w:p w14:paraId="642D1BBC" w14:textId="77777777" w:rsidR="00295C6D" w:rsidRPr="00A5626D" w:rsidRDefault="00295C6D" w:rsidP="00E31AE6">
            <w:pPr>
              <w:numPr>
                <w:ilvl w:val="1"/>
                <w:numId w:val="0"/>
              </w:numPr>
              <w:tabs>
                <w:tab w:val="left" w:pos="1134"/>
                <w:tab w:val="left" w:pos="7938"/>
              </w:tabs>
              <w:rPr>
                <w:rFonts w:ascii="Garamond" w:eastAsia="Calibri" w:hAnsi="Garamond" w:cstheme="minorHAnsi"/>
                <w:sz w:val="22"/>
                <w:szCs w:val="22"/>
                <w:lang w:val="en-US"/>
              </w:rPr>
            </w:pPr>
            <w:r w:rsidRPr="00A5626D">
              <w:rPr>
                <w:rFonts w:ascii="Garamond" w:eastAsia="Calibri" w:hAnsi="Garamond" w:cstheme="minorHAnsi"/>
                <w:sz w:val="22"/>
                <w:szCs w:val="22"/>
                <w:lang w:val="en-US"/>
              </w:rPr>
              <w:lastRenderedPageBreak/>
              <w:t xml:space="preserve">                    id-gtp="1n"  </w:t>
            </w:r>
          </w:p>
          <w:p w14:paraId="318DE5EC" w14:textId="77777777" w:rsidR="00295C6D" w:rsidRPr="00A5626D" w:rsidRDefault="00295C6D" w:rsidP="00E31AE6">
            <w:pPr>
              <w:numPr>
                <w:ilvl w:val="1"/>
                <w:numId w:val="0"/>
              </w:numPr>
              <w:tabs>
                <w:tab w:val="left" w:pos="1134"/>
                <w:tab w:val="left" w:pos="7938"/>
              </w:tabs>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measuring-point-type="general/ov/so"</w:t>
            </w:r>
          </w:p>
          <w:p w14:paraId="2BBA546B" w14:textId="77777777" w:rsidR="00295C6D" w:rsidRPr="00A5626D" w:rsidRDefault="00295C6D" w:rsidP="00E31AE6">
            <w:pPr>
              <w:numPr>
                <w:ilvl w:val="1"/>
                <w:numId w:val="0"/>
              </w:numPr>
              <w:tabs>
                <w:tab w:val="left" w:pos="1134"/>
                <w:tab w:val="left" w:pos="7938"/>
              </w:tabs>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point-voltage="10n"</w:t>
            </w:r>
          </w:p>
          <w:p w14:paraId="264563DD" w14:textId="77777777" w:rsidR="00295C6D" w:rsidRPr="00A5626D" w:rsidRDefault="00295C6D" w:rsidP="00E31AE6">
            <w:pPr>
              <w:numPr>
                <w:ilvl w:val="1"/>
                <w:numId w:val="0"/>
              </w:numPr>
              <w:tabs>
                <w:tab w:val="left" w:pos="1134"/>
                <w:tab w:val="left" w:pos="7938"/>
              </w:tabs>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&lt;name </w:t>
            </w:r>
          </w:p>
          <w:p w14:paraId="4F14EAB4" w14:textId="77777777" w:rsidR="00295C6D" w:rsidRPr="00A5626D" w:rsidRDefault="00295C6D" w:rsidP="00E31AE6">
            <w:pPr>
              <w:numPr>
                <w:ilvl w:val="1"/>
                <w:numId w:val="0"/>
              </w:numPr>
              <w:tabs>
                <w:tab w:val="left" w:pos="1134"/>
                <w:tab w:val="left" w:pos="7938"/>
              </w:tabs>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power-object-name="250x"</w:t>
            </w:r>
          </w:p>
          <w:p w14:paraId="707CD7ED" w14:textId="77777777" w:rsidR="00295C6D" w:rsidRPr="00A5626D" w:rsidRDefault="00295C6D" w:rsidP="00E31AE6">
            <w:pPr>
              <w:numPr>
                <w:ilvl w:val="1"/>
                <w:numId w:val="0"/>
              </w:numPr>
              <w:tabs>
                <w:tab w:val="left" w:pos="1134"/>
                <w:tab w:val="left" w:pos="7938"/>
              </w:tabs>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connection-name="250x"</w:t>
            </w:r>
          </w:p>
          <w:p w14:paraId="00748574" w14:textId="77777777" w:rsidR="00295C6D" w:rsidRPr="00A5626D" w:rsidRDefault="00295C6D" w:rsidP="00E31AE6">
            <w:pPr>
              <w:tabs>
                <w:tab w:val="left" w:pos="1134"/>
                <w:tab w:val="left" w:pos="7938"/>
              </w:tabs>
              <w:rPr>
                <w:rFonts w:ascii="Garamond" w:hAnsi="Garamond" w:cstheme="minorHAnsi"/>
                <w:sz w:val="22"/>
                <w:szCs w:val="22"/>
                <w:lang w:val="en-US"/>
              </w:rPr>
            </w:pPr>
            <w:r w:rsidRPr="00A5626D">
              <w:rPr>
                <w:rFonts w:ascii="Garamond" w:eastAsia="Calibri" w:hAnsi="Garamond" w:cstheme="minorHAnsi"/>
                <w:sz w:val="22"/>
                <w:szCs w:val="22"/>
                <w:lang w:val="en-US"/>
              </w:rPr>
              <w:t xml:space="preserve">                       location-description="250x"/&gt;</w:t>
            </w:r>
          </w:p>
          <w:p w14:paraId="11306B6A" w14:textId="77777777" w:rsidR="00295C6D" w:rsidRPr="00A5626D" w:rsidRDefault="00295C6D" w:rsidP="00E31AE6">
            <w:pPr>
              <w:numPr>
                <w:ilvl w:val="1"/>
                <w:numId w:val="0"/>
              </w:numPr>
              <w:tabs>
                <w:tab w:val="left" w:pos="1134"/>
                <w:tab w:val="left" w:pos="7938"/>
              </w:tabs>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&lt;comment&gt;</w:t>
            </w:r>
          </w:p>
          <w:p w14:paraId="099584CC" w14:textId="77777777" w:rsidR="00295C6D" w:rsidRPr="00A5626D" w:rsidRDefault="00295C6D" w:rsidP="00E31AE6">
            <w:pPr>
              <w:numPr>
                <w:ilvl w:val="1"/>
                <w:numId w:val="0"/>
              </w:numPr>
              <w:tabs>
                <w:tab w:val="left" w:pos="1134"/>
                <w:tab w:val="left" w:pos="7938"/>
              </w:tabs>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&lt;![CDATA[…]]&gt;</w:t>
            </w:r>
          </w:p>
          <w:p w14:paraId="4814496F" w14:textId="77777777" w:rsidR="00295C6D" w:rsidRPr="00A5626D" w:rsidRDefault="00295C6D" w:rsidP="00E31AE6">
            <w:pPr>
              <w:numPr>
                <w:ilvl w:val="1"/>
                <w:numId w:val="0"/>
              </w:numPr>
              <w:tabs>
                <w:tab w:val="left" w:pos="1134"/>
                <w:tab w:val="left" w:pos="7938"/>
              </w:tabs>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&lt;/comment&gt;</w:t>
            </w:r>
          </w:p>
          <w:p w14:paraId="4D51F5D0" w14:textId="77777777" w:rsidR="00295C6D" w:rsidRPr="00A5626D" w:rsidRDefault="00295C6D" w:rsidP="00E31AE6">
            <w:pPr>
              <w:numPr>
                <w:ilvl w:val="1"/>
                <w:numId w:val="0"/>
              </w:numPr>
              <w:tabs>
                <w:tab w:val="left" w:pos="1134"/>
                <w:tab w:val="left" w:pos="7938"/>
              </w:tabs>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&lt;measuring-device</w:t>
            </w:r>
          </w:p>
          <w:p w14:paraId="5C4FFD7C" w14:textId="77777777" w:rsidR="00295C6D" w:rsidRPr="00A5626D" w:rsidRDefault="00295C6D" w:rsidP="00E31AE6">
            <w:pPr>
              <w:numPr>
                <w:ilvl w:val="1"/>
                <w:numId w:val="0"/>
              </w:numPr>
              <w:tabs>
                <w:tab w:val="left" w:pos="1134"/>
                <w:tab w:val="left" w:pos="7938"/>
              </w:tabs>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guid="36x"</w:t>
            </w:r>
          </w:p>
          <w:p w14:paraId="03BC5E7C" w14:textId="77777777" w:rsidR="00295C6D" w:rsidRPr="00A5626D" w:rsidRDefault="00295C6D" w:rsidP="00E31AE6">
            <w:pPr>
              <w:numPr>
                <w:ilvl w:val="1"/>
                <w:numId w:val="0"/>
              </w:numPr>
              <w:tabs>
                <w:tab w:val="left" w:pos="1134"/>
                <w:tab w:val="left" w:pos="7938"/>
              </w:tabs>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id-measuring-device="4n"</w:t>
            </w:r>
          </w:p>
          <w:p w14:paraId="6C8165C1" w14:textId="77777777" w:rsidR="00295C6D" w:rsidRPr="00A5626D" w:rsidRDefault="00295C6D" w:rsidP="00E31AE6">
            <w:pPr>
              <w:numPr>
                <w:ilvl w:val="1"/>
                <w:numId w:val="0"/>
              </w:numPr>
              <w:tabs>
                <w:tab w:val="left" w:pos="1134"/>
                <w:tab w:val="left" w:pos="7938"/>
              </w:tabs>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is-for-coding="true/false"</w:t>
            </w:r>
          </w:p>
          <w:p w14:paraId="3B298B7C" w14:textId="77777777" w:rsidR="00295C6D" w:rsidRPr="00A5626D" w:rsidRDefault="00295C6D" w:rsidP="00E31AE6">
            <w:pPr>
              <w:numPr>
                <w:ilvl w:val="1"/>
                <w:numId w:val="0"/>
              </w:numPr>
              <w:tabs>
                <w:tab w:val="left" w:pos="1134"/>
                <w:tab w:val="left" w:pos="7938"/>
              </w:tabs>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id-device-modification="4n"</w:t>
            </w:r>
          </w:p>
          <w:p w14:paraId="43D8DCF4" w14:textId="77777777" w:rsidR="00295C6D" w:rsidRPr="00A5626D" w:rsidRDefault="00295C6D" w:rsidP="00E31AE6">
            <w:pPr>
              <w:numPr>
                <w:ilvl w:val="1"/>
                <w:numId w:val="0"/>
              </w:numPr>
              <w:tabs>
                <w:tab w:val="left" w:pos="1134"/>
                <w:tab w:val="left" w:pos="7938"/>
              </w:tabs>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precision-class-active="4x"</w:t>
            </w:r>
          </w:p>
          <w:p w14:paraId="71A14C5D" w14:textId="77777777" w:rsidR="00295C6D" w:rsidRPr="00A5626D" w:rsidRDefault="00295C6D" w:rsidP="00E31AE6">
            <w:pPr>
              <w:numPr>
                <w:ilvl w:val="1"/>
                <w:numId w:val="0"/>
              </w:numPr>
              <w:tabs>
                <w:tab w:val="left" w:pos="1134"/>
                <w:tab w:val="left" w:pos="7938"/>
              </w:tabs>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precision-class-reactive="4x"</w:t>
            </w:r>
          </w:p>
          <w:p w14:paraId="53FB6FD0" w14:textId="77777777" w:rsidR="00295C6D" w:rsidRPr="00A5626D" w:rsidRDefault="00295C6D" w:rsidP="00E31AE6">
            <w:pPr>
              <w:numPr>
                <w:ilvl w:val="1"/>
                <w:numId w:val="0"/>
              </w:numPr>
              <w:tabs>
                <w:tab w:val="left" w:pos="1134"/>
                <w:tab w:val="left" w:pos="7938"/>
              </w:tabs>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so-device-modification-name="80x"</w:t>
            </w:r>
          </w:p>
          <w:p w14:paraId="6FFD6B48" w14:textId="77777777" w:rsidR="00295C6D" w:rsidRPr="00A5626D" w:rsidRDefault="00295C6D" w:rsidP="00E31AE6">
            <w:pPr>
              <w:numPr>
                <w:ilvl w:val="1"/>
                <w:numId w:val="0"/>
              </w:numPr>
              <w:tabs>
                <w:tab w:val="left" w:pos="1134"/>
                <w:tab w:val="left" w:pos="7938"/>
              </w:tabs>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ats-code="2n"</w:t>
            </w:r>
          </w:p>
          <w:p w14:paraId="6809987F" w14:textId="77777777" w:rsidR="00295C6D" w:rsidRPr="00A5626D" w:rsidRDefault="00295C6D" w:rsidP="00E31AE6">
            <w:pPr>
              <w:numPr>
                <w:ilvl w:val="1"/>
                <w:numId w:val="0"/>
              </w:numPr>
              <w:tabs>
                <w:tab w:val="left" w:pos="1134"/>
                <w:tab w:val="left" w:pos="7938"/>
              </w:tabs>
              <w:ind w:firstLine="1448"/>
              <w:rPr>
                <w:rFonts w:ascii="Garamond" w:eastAsia="Calibri" w:hAnsi="Garamond" w:cstheme="minorHAnsi"/>
                <w:sz w:val="22"/>
                <w:szCs w:val="22"/>
                <w:highlight w:val="yellow"/>
                <w:lang w:val="en-US"/>
              </w:rPr>
            </w:pPr>
            <w:r w:rsidRPr="00A5626D">
              <w:rPr>
                <w:rFonts w:ascii="Garamond" w:eastAsia="Calibri" w:hAnsi="Garamond" w:cstheme="minorHAnsi"/>
                <w:sz w:val="22"/>
                <w:szCs w:val="22"/>
                <w:highlight w:val="yellow"/>
                <w:lang w:val="en-US"/>
              </w:rPr>
              <w:t>certificate-number= “30n”</w:t>
            </w:r>
          </w:p>
          <w:p w14:paraId="532C3D57" w14:textId="77777777" w:rsidR="00295C6D" w:rsidRPr="00A5626D" w:rsidRDefault="00295C6D" w:rsidP="00E31AE6">
            <w:pPr>
              <w:numPr>
                <w:ilvl w:val="1"/>
                <w:numId w:val="0"/>
              </w:numPr>
              <w:tabs>
                <w:tab w:val="left" w:pos="1134"/>
                <w:tab w:val="left" w:pos="7938"/>
              </w:tabs>
              <w:ind w:firstLine="1448"/>
              <w:rPr>
                <w:rFonts w:ascii="Garamond" w:eastAsia="Calibri" w:hAnsi="Garamond" w:cstheme="minorHAnsi"/>
                <w:sz w:val="22"/>
                <w:szCs w:val="22"/>
                <w:lang w:val="en-US"/>
              </w:rPr>
            </w:pPr>
            <w:r w:rsidRPr="00A5626D">
              <w:rPr>
                <w:rFonts w:ascii="Garamond" w:eastAsia="Calibri" w:hAnsi="Garamond" w:cstheme="minorHAnsi"/>
                <w:sz w:val="22"/>
                <w:szCs w:val="22"/>
                <w:highlight w:val="yellow"/>
                <w:lang w:val="en-US"/>
              </w:rPr>
              <w:t>certificate-expiration-date="YYYYMMDD”</w:t>
            </w:r>
          </w:p>
          <w:p w14:paraId="633A2073" w14:textId="77777777" w:rsidR="00295C6D" w:rsidRPr="00A5626D" w:rsidRDefault="00295C6D" w:rsidP="00E31AE6">
            <w:pPr>
              <w:numPr>
                <w:ilvl w:val="1"/>
                <w:numId w:val="0"/>
              </w:numPr>
              <w:tabs>
                <w:tab w:val="left" w:pos="1134"/>
                <w:tab w:val="left" w:pos="7938"/>
              </w:tabs>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serial-number="250n"&gt;</w:t>
            </w:r>
          </w:p>
          <w:p w14:paraId="47FBC08E" w14:textId="77777777" w:rsidR="00295C6D" w:rsidRPr="00A5626D" w:rsidRDefault="00295C6D" w:rsidP="00E31AE6">
            <w:pPr>
              <w:numPr>
                <w:ilvl w:val="1"/>
                <w:numId w:val="0"/>
              </w:numPr>
              <w:tabs>
                <w:tab w:val="left" w:pos="1134"/>
                <w:tab w:val="left" w:pos="7938"/>
              </w:tabs>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&lt;measuring-channel </w:t>
            </w:r>
          </w:p>
          <w:p w14:paraId="2016ED31" w14:textId="77777777" w:rsidR="00295C6D" w:rsidRPr="00A5626D" w:rsidRDefault="00295C6D" w:rsidP="00E31AE6">
            <w:pPr>
              <w:numPr>
                <w:ilvl w:val="1"/>
                <w:numId w:val="0"/>
              </w:numPr>
              <w:tabs>
                <w:tab w:val="left" w:pos="1134"/>
                <w:tab w:val="left" w:pos="7938"/>
              </w:tabs>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id-measuring-channel="4n"</w:t>
            </w:r>
          </w:p>
          <w:p w14:paraId="2A962FF8" w14:textId="77777777" w:rsidR="00295C6D" w:rsidRPr="00A5626D" w:rsidRDefault="00295C6D" w:rsidP="00E31AE6">
            <w:pPr>
              <w:numPr>
                <w:ilvl w:val="1"/>
                <w:numId w:val="0"/>
              </w:numPr>
              <w:tabs>
                <w:tab w:val="left" w:pos="1134"/>
                <w:tab w:val="left" w:pos="7938"/>
              </w:tabs>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ats-code="2n"/&gt;</w:t>
            </w:r>
          </w:p>
          <w:p w14:paraId="5EBAF54A" w14:textId="77777777" w:rsidR="00295C6D" w:rsidRPr="00A5626D" w:rsidRDefault="00295C6D" w:rsidP="00E31AE6">
            <w:pPr>
              <w:numPr>
                <w:ilvl w:val="1"/>
                <w:numId w:val="0"/>
              </w:numPr>
              <w:tabs>
                <w:tab w:val="left" w:pos="1134"/>
                <w:tab w:val="left" w:pos="7938"/>
              </w:tabs>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&lt;/measuring-device&gt;</w:t>
            </w:r>
          </w:p>
          <w:p w14:paraId="4560FA90" w14:textId="77777777" w:rsidR="00295C6D" w:rsidRPr="00A5626D" w:rsidRDefault="00295C6D" w:rsidP="00E31AE6">
            <w:pPr>
              <w:numPr>
                <w:ilvl w:val="1"/>
                <w:numId w:val="0"/>
              </w:numPr>
              <w:tabs>
                <w:tab w:val="left" w:pos="1134"/>
                <w:tab w:val="left" w:pos="7938"/>
              </w:tabs>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&lt;/measuring-point&gt;</w:t>
            </w:r>
          </w:p>
          <w:p w14:paraId="3479489F" w14:textId="77777777" w:rsidR="00295C6D" w:rsidRPr="00A5626D" w:rsidRDefault="00295C6D" w:rsidP="00E31AE6">
            <w:pPr>
              <w:numPr>
                <w:ilvl w:val="1"/>
                <w:numId w:val="0"/>
              </w:numPr>
              <w:tabs>
                <w:tab w:val="left" w:pos="1134"/>
                <w:tab w:val="left" w:pos="7938"/>
              </w:tabs>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&lt;/measuring-points&gt;</w:t>
            </w:r>
          </w:p>
          <w:p w14:paraId="2BE3BB3A" w14:textId="77777777" w:rsidR="00295C6D" w:rsidRPr="00A5626D" w:rsidRDefault="00295C6D" w:rsidP="00E31AE6">
            <w:pPr>
              <w:numPr>
                <w:ilvl w:val="1"/>
                <w:numId w:val="0"/>
              </w:numPr>
              <w:tabs>
                <w:tab w:val="left" w:pos="1134"/>
                <w:tab w:val="left" w:pos="7938"/>
              </w:tabs>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&lt;measuring-objects&gt;</w:t>
            </w:r>
          </w:p>
          <w:p w14:paraId="5A927423" w14:textId="77777777" w:rsidR="00295C6D" w:rsidRPr="00A5626D" w:rsidRDefault="00295C6D" w:rsidP="00E31AE6">
            <w:pPr>
              <w:numPr>
                <w:ilvl w:val="1"/>
                <w:numId w:val="0"/>
              </w:numPr>
              <w:tabs>
                <w:tab w:val="left" w:pos="1134"/>
                <w:tab w:val="left" w:pos="7938"/>
              </w:tabs>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&lt;measuring-object</w:t>
            </w:r>
          </w:p>
          <w:p w14:paraId="3F7E5B46" w14:textId="77777777" w:rsidR="00295C6D" w:rsidRPr="00A5626D" w:rsidRDefault="00295C6D" w:rsidP="00E31AE6">
            <w:pPr>
              <w:numPr>
                <w:ilvl w:val="1"/>
                <w:numId w:val="0"/>
              </w:numPr>
              <w:tabs>
                <w:tab w:val="left" w:pos="1134"/>
                <w:tab w:val="left" w:pos="7938"/>
              </w:tabs>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id-measuring-object="4n" </w:t>
            </w:r>
          </w:p>
          <w:p w14:paraId="6D80703B" w14:textId="77777777" w:rsidR="00295C6D" w:rsidRPr="00A5626D" w:rsidRDefault="00295C6D" w:rsidP="00E31AE6">
            <w:pPr>
              <w:numPr>
                <w:ilvl w:val="1"/>
                <w:numId w:val="0"/>
              </w:numPr>
              <w:tabs>
                <w:tab w:val="left" w:pos="1134"/>
                <w:tab w:val="left" w:pos="7938"/>
              </w:tabs>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guid="36x"</w:t>
            </w:r>
          </w:p>
          <w:p w14:paraId="735E8589" w14:textId="77777777" w:rsidR="00295C6D" w:rsidRPr="00A5626D" w:rsidRDefault="00295C6D" w:rsidP="00E31AE6">
            <w:pPr>
              <w:numPr>
                <w:ilvl w:val="1"/>
                <w:numId w:val="0"/>
              </w:numPr>
              <w:tabs>
                <w:tab w:val="left" w:pos="1134"/>
                <w:tab w:val="left" w:pos="7938"/>
              </w:tabs>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ats-code="15n"</w:t>
            </w:r>
          </w:p>
          <w:p w14:paraId="0C35CD96" w14:textId="77777777" w:rsidR="00295C6D" w:rsidRPr="00A5626D" w:rsidRDefault="00295C6D" w:rsidP="00E31AE6">
            <w:pPr>
              <w:numPr>
                <w:ilvl w:val="1"/>
                <w:numId w:val="0"/>
              </w:numPr>
              <w:tabs>
                <w:tab w:val="left" w:pos="1134"/>
                <w:tab w:val="left" w:pos="7938"/>
              </w:tabs>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measuring-object-type="1"</w:t>
            </w:r>
          </w:p>
          <w:p w14:paraId="071CADDD" w14:textId="77777777" w:rsidR="00295C6D" w:rsidRPr="00A5626D" w:rsidRDefault="00295C6D" w:rsidP="00E31AE6">
            <w:pPr>
              <w:numPr>
                <w:ilvl w:val="1"/>
                <w:numId w:val="0"/>
              </w:numPr>
              <w:tabs>
                <w:tab w:val="left" w:pos="1134"/>
                <w:tab w:val="left" w:pos="7938"/>
              </w:tabs>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name="250x"/&gt;</w:t>
            </w:r>
          </w:p>
          <w:p w14:paraId="7246BDDD" w14:textId="77777777" w:rsidR="00295C6D" w:rsidRPr="00A5626D" w:rsidRDefault="00295C6D" w:rsidP="00E31AE6">
            <w:pPr>
              <w:numPr>
                <w:ilvl w:val="1"/>
                <w:numId w:val="0"/>
              </w:numPr>
              <w:tabs>
                <w:tab w:val="left" w:pos="1134"/>
                <w:tab w:val="left" w:pos="7938"/>
              </w:tabs>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&lt;/measuring-objects&gt;</w:t>
            </w:r>
          </w:p>
          <w:p w14:paraId="1EEECB89" w14:textId="77777777" w:rsidR="00295C6D" w:rsidRPr="00A5626D" w:rsidRDefault="00295C6D" w:rsidP="00E31AE6">
            <w:pPr>
              <w:numPr>
                <w:ilvl w:val="1"/>
                <w:numId w:val="0"/>
              </w:numPr>
              <w:tabs>
                <w:tab w:val="left" w:pos="1134"/>
                <w:tab w:val="left" w:pos="7938"/>
              </w:tabs>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&lt;/dictionaries&gt;</w:t>
            </w:r>
          </w:p>
          <w:p w14:paraId="4A03112C" w14:textId="77777777" w:rsidR="00295C6D" w:rsidRPr="00A5626D" w:rsidRDefault="00295C6D" w:rsidP="00E31AE6">
            <w:pPr>
              <w:numPr>
                <w:ilvl w:val="1"/>
                <w:numId w:val="0"/>
              </w:numPr>
              <w:tabs>
                <w:tab w:val="left" w:pos="1134"/>
                <w:tab w:val="left" w:pos="7938"/>
              </w:tabs>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&lt;links&gt;</w:t>
            </w:r>
          </w:p>
          <w:p w14:paraId="72B6ACFB" w14:textId="77777777" w:rsidR="00295C6D" w:rsidRPr="00A5626D" w:rsidRDefault="00295C6D" w:rsidP="00E31AE6">
            <w:pPr>
              <w:numPr>
                <w:ilvl w:val="1"/>
                <w:numId w:val="0"/>
              </w:numPr>
              <w:tabs>
                <w:tab w:val="left" w:pos="1134"/>
                <w:tab w:val="left" w:pos="7938"/>
              </w:tabs>
              <w:rPr>
                <w:rFonts w:ascii="Garamond" w:eastAsia="Calibri" w:hAnsi="Garamond" w:cstheme="minorHAnsi"/>
                <w:sz w:val="22"/>
                <w:szCs w:val="22"/>
                <w:lang w:val="en-US"/>
              </w:rPr>
            </w:pPr>
            <w:r w:rsidRPr="00A5626D">
              <w:rPr>
                <w:rFonts w:ascii="Garamond" w:eastAsia="Calibri" w:hAnsi="Garamond" w:cstheme="minorHAnsi"/>
                <w:sz w:val="22"/>
                <w:szCs w:val="22"/>
                <w:lang w:val="en-US"/>
              </w:rPr>
              <w:lastRenderedPageBreak/>
              <w:t xml:space="preserve">            &lt;ov-measuring-point-links&gt;</w:t>
            </w:r>
          </w:p>
          <w:p w14:paraId="65171DE1" w14:textId="77777777" w:rsidR="00295C6D" w:rsidRPr="00A5626D" w:rsidRDefault="00295C6D" w:rsidP="00E31AE6">
            <w:pPr>
              <w:numPr>
                <w:ilvl w:val="1"/>
                <w:numId w:val="0"/>
              </w:numPr>
              <w:tabs>
                <w:tab w:val="left" w:pos="1134"/>
                <w:tab w:val="left" w:pos="7938"/>
              </w:tabs>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&lt;ov-measuring-point-link</w:t>
            </w:r>
          </w:p>
          <w:p w14:paraId="42E234F4" w14:textId="77777777" w:rsidR="00295C6D" w:rsidRPr="00A5626D" w:rsidRDefault="00295C6D" w:rsidP="00E31AE6">
            <w:pPr>
              <w:numPr>
                <w:ilvl w:val="1"/>
                <w:numId w:val="0"/>
              </w:numPr>
              <w:tabs>
                <w:tab w:val="left" w:pos="1134"/>
                <w:tab w:val="left" w:pos="7938"/>
              </w:tabs>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w:t>
            </w:r>
            <w:r w:rsidRPr="00A5626D">
              <w:rPr>
                <w:rFonts w:ascii="Garamond" w:eastAsia="Calibri" w:hAnsi="Garamond" w:cstheme="minorHAnsi"/>
                <w:sz w:val="22"/>
                <w:szCs w:val="22"/>
                <w:lang w:val="en-US"/>
              </w:rPr>
              <w:tab/>
              <w:t>id-ov-measuring-point="4n"</w:t>
            </w:r>
          </w:p>
          <w:p w14:paraId="7B1643E9" w14:textId="77777777" w:rsidR="00295C6D" w:rsidRPr="00A5626D" w:rsidRDefault="00295C6D" w:rsidP="00E31AE6">
            <w:pPr>
              <w:numPr>
                <w:ilvl w:val="1"/>
                <w:numId w:val="0"/>
              </w:numPr>
              <w:tabs>
                <w:tab w:val="left" w:pos="1134"/>
                <w:tab w:val="left" w:pos="7938"/>
              </w:tabs>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w:t>
            </w:r>
            <w:r w:rsidRPr="00A5626D">
              <w:rPr>
                <w:rFonts w:ascii="Garamond" w:eastAsia="Calibri" w:hAnsi="Garamond" w:cstheme="minorHAnsi"/>
                <w:sz w:val="22"/>
                <w:szCs w:val="22"/>
                <w:lang w:val="en-US"/>
              </w:rPr>
              <w:tab/>
              <w:t>id-serviced-measuring-point="4n"/&gt;</w:t>
            </w:r>
          </w:p>
          <w:p w14:paraId="20384898" w14:textId="77777777" w:rsidR="00295C6D" w:rsidRPr="00A5626D" w:rsidRDefault="00295C6D" w:rsidP="00E31AE6">
            <w:pPr>
              <w:numPr>
                <w:ilvl w:val="1"/>
                <w:numId w:val="0"/>
              </w:numPr>
              <w:tabs>
                <w:tab w:val="left" w:pos="1134"/>
                <w:tab w:val="left" w:pos="7938"/>
              </w:tabs>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&lt;/ov-measuring-point-links&gt;</w:t>
            </w:r>
          </w:p>
          <w:p w14:paraId="2A45A7F1" w14:textId="77777777" w:rsidR="00295C6D" w:rsidRPr="00A5626D" w:rsidRDefault="00295C6D" w:rsidP="00E31AE6">
            <w:pPr>
              <w:numPr>
                <w:ilvl w:val="1"/>
                <w:numId w:val="0"/>
              </w:numPr>
              <w:tabs>
                <w:tab w:val="left" w:pos="1134"/>
                <w:tab w:val="left" w:pos="7938"/>
              </w:tabs>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&lt;group-delivery-point-composition&gt;</w:t>
            </w:r>
          </w:p>
          <w:p w14:paraId="4D488F48" w14:textId="77777777" w:rsidR="00295C6D" w:rsidRPr="00A5626D" w:rsidRDefault="00295C6D" w:rsidP="00E31AE6">
            <w:pPr>
              <w:numPr>
                <w:ilvl w:val="1"/>
                <w:numId w:val="0"/>
              </w:numPr>
              <w:tabs>
                <w:tab w:val="left" w:pos="1134"/>
                <w:tab w:val="left" w:pos="7938"/>
              </w:tabs>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&lt;group-delivery-point</w:t>
            </w:r>
          </w:p>
          <w:p w14:paraId="73ADA8FA" w14:textId="77777777" w:rsidR="00295C6D" w:rsidRPr="00A5626D" w:rsidRDefault="00295C6D" w:rsidP="00E31AE6">
            <w:pPr>
              <w:numPr>
                <w:ilvl w:val="1"/>
                <w:numId w:val="0"/>
              </w:numPr>
              <w:tabs>
                <w:tab w:val="left" w:pos="1134"/>
                <w:tab w:val="left" w:pos="7938"/>
              </w:tabs>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id-group-delivery-point="4n"</w:t>
            </w:r>
          </w:p>
          <w:p w14:paraId="68386745" w14:textId="77777777" w:rsidR="00295C6D" w:rsidRPr="00A5626D" w:rsidRDefault="00295C6D" w:rsidP="00E31AE6">
            <w:pPr>
              <w:numPr>
                <w:ilvl w:val="1"/>
                <w:numId w:val="0"/>
              </w:numPr>
              <w:tabs>
                <w:tab w:val="left" w:pos="1134"/>
                <w:tab w:val="left" w:pos="7938"/>
              </w:tabs>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id-simple-delivery-point="4n"/&gt;</w:t>
            </w:r>
          </w:p>
          <w:p w14:paraId="56DEA3FF" w14:textId="77777777" w:rsidR="00295C6D" w:rsidRPr="00A5626D" w:rsidRDefault="00295C6D" w:rsidP="00E31AE6">
            <w:pPr>
              <w:numPr>
                <w:ilvl w:val="1"/>
                <w:numId w:val="0"/>
              </w:numPr>
              <w:tabs>
                <w:tab w:val="left" w:pos="1134"/>
                <w:tab w:val="left" w:pos="7938"/>
              </w:tabs>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&lt;/group-delivery-point-composition&gt;</w:t>
            </w:r>
          </w:p>
          <w:p w14:paraId="364656FD" w14:textId="77777777" w:rsidR="00295C6D" w:rsidRPr="00A5626D" w:rsidRDefault="00295C6D" w:rsidP="00E31AE6">
            <w:pPr>
              <w:numPr>
                <w:ilvl w:val="1"/>
                <w:numId w:val="0"/>
              </w:numPr>
              <w:tabs>
                <w:tab w:val="left" w:pos="1134"/>
                <w:tab w:val="left" w:pos="7938"/>
              </w:tabs>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&lt;aiis-small-measuring-devices&gt;</w:t>
            </w:r>
          </w:p>
          <w:p w14:paraId="4383EA39" w14:textId="77777777" w:rsidR="00295C6D" w:rsidRPr="00A5626D" w:rsidRDefault="00295C6D" w:rsidP="00E31AE6">
            <w:pPr>
              <w:numPr>
                <w:ilvl w:val="1"/>
                <w:numId w:val="0"/>
              </w:numPr>
              <w:tabs>
                <w:tab w:val="left" w:pos="1134"/>
                <w:tab w:val="left" w:pos="7938"/>
              </w:tabs>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&lt;aiis-small-measuring-device </w:t>
            </w:r>
          </w:p>
          <w:p w14:paraId="36BD5D08" w14:textId="77777777" w:rsidR="00295C6D" w:rsidRPr="00A5626D" w:rsidRDefault="00295C6D" w:rsidP="00E31AE6">
            <w:pPr>
              <w:numPr>
                <w:ilvl w:val="1"/>
                <w:numId w:val="0"/>
              </w:numPr>
              <w:tabs>
                <w:tab w:val="left" w:pos="1134"/>
                <w:tab w:val="left" w:pos="7938"/>
              </w:tabs>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id-aiis="1n"</w:t>
            </w:r>
          </w:p>
          <w:p w14:paraId="19A6CAF5" w14:textId="77777777" w:rsidR="00295C6D" w:rsidRPr="00A5626D" w:rsidRDefault="00295C6D" w:rsidP="00E31AE6">
            <w:pPr>
              <w:numPr>
                <w:ilvl w:val="1"/>
                <w:numId w:val="0"/>
              </w:numPr>
              <w:tabs>
                <w:tab w:val="left" w:pos="1134"/>
                <w:tab w:val="left" w:pos="7938"/>
              </w:tabs>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id-measuring-device="4n"/&gt;</w:t>
            </w:r>
          </w:p>
          <w:p w14:paraId="2EC4E4AF" w14:textId="77777777" w:rsidR="00295C6D" w:rsidRPr="00A5626D" w:rsidRDefault="00295C6D" w:rsidP="00E31AE6">
            <w:pPr>
              <w:numPr>
                <w:ilvl w:val="1"/>
                <w:numId w:val="0"/>
              </w:numPr>
              <w:tabs>
                <w:tab w:val="left" w:pos="1134"/>
                <w:tab w:val="left" w:pos="7938"/>
              </w:tabs>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&lt;/aiis-small-measuring-devices&gt;</w:t>
            </w:r>
          </w:p>
          <w:p w14:paraId="5285D295" w14:textId="77777777" w:rsidR="00295C6D" w:rsidRPr="00A5626D" w:rsidRDefault="00295C6D" w:rsidP="00E31AE6">
            <w:pPr>
              <w:numPr>
                <w:ilvl w:val="1"/>
                <w:numId w:val="0"/>
              </w:numPr>
              <w:tabs>
                <w:tab w:val="left" w:pos="1134"/>
                <w:tab w:val="left" w:pos="7938"/>
              </w:tabs>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&lt;power-center-power-object-links&gt;</w:t>
            </w:r>
          </w:p>
          <w:p w14:paraId="72EC8321" w14:textId="77777777" w:rsidR="00295C6D" w:rsidRPr="00A5626D" w:rsidRDefault="00295C6D" w:rsidP="00E31AE6">
            <w:pPr>
              <w:numPr>
                <w:ilvl w:val="1"/>
                <w:numId w:val="0"/>
              </w:numPr>
              <w:tabs>
                <w:tab w:val="left" w:pos="1134"/>
                <w:tab w:val="left" w:pos="7938"/>
              </w:tabs>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&lt;power-center-power-object-link</w:t>
            </w:r>
          </w:p>
          <w:p w14:paraId="766F837E" w14:textId="77777777" w:rsidR="00295C6D" w:rsidRPr="00A5626D" w:rsidRDefault="00295C6D" w:rsidP="00E31AE6">
            <w:pPr>
              <w:numPr>
                <w:ilvl w:val="1"/>
                <w:numId w:val="0"/>
              </w:numPr>
              <w:tabs>
                <w:tab w:val="left" w:pos="1134"/>
                <w:tab w:val="left" w:pos="7938"/>
              </w:tabs>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id-power-center="4n" </w:t>
            </w:r>
          </w:p>
          <w:p w14:paraId="2F147861" w14:textId="77777777" w:rsidR="00295C6D" w:rsidRPr="00A5626D" w:rsidRDefault="00295C6D" w:rsidP="00E31AE6">
            <w:pPr>
              <w:numPr>
                <w:ilvl w:val="1"/>
                <w:numId w:val="0"/>
              </w:numPr>
              <w:tabs>
                <w:tab w:val="left" w:pos="1134"/>
                <w:tab w:val="left" w:pos="7938"/>
              </w:tabs>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id-power-object="4n"/&gt;</w:t>
            </w:r>
          </w:p>
          <w:p w14:paraId="3F5AE19A" w14:textId="77777777" w:rsidR="00295C6D" w:rsidRPr="00A5626D" w:rsidRDefault="00295C6D" w:rsidP="00E31AE6">
            <w:pPr>
              <w:numPr>
                <w:ilvl w:val="1"/>
                <w:numId w:val="0"/>
              </w:numPr>
              <w:tabs>
                <w:tab w:val="left" w:pos="1134"/>
                <w:tab w:val="left" w:pos="7938"/>
              </w:tabs>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&lt;/power-center-power-object-links&gt;            </w:t>
            </w:r>
          </w:p>
          <w:p w14:paraId="1C8DABE9" w14:textId="77777777" w:rsidR="00295C6D" w:rsidRPr="00A5626D" w:rsidRDefault="00295C6D" w:rsidP="00E31AE6">
            <w:pPr>
              <w:numPr>
                <w:ilvl w:val="1"/>
                <w:numId w:val="0"/>
              </w:numPr>
              <w:tabs>
                <w:tab w:val="left" w:pos="1134"/>
                <w:tab w:val="left" w:pos="7938"/>
              </w:tabs>
              <w:ind w:firstLine="708"/>
              <w:rPr>
                <w:rFonts w:ascii="Garamond" w:eastAsia="Calibri" w:hAnsi="Garamond" w:cstheme="minorHAnsi"/>
                <w:sz w:val="22"/>
                <w:szCs w:val="22"/>
                <w:lang w:val="en-US"/>
              </w:rPr>
            </w:pPr>
            <w:r w:rsidRPr="00A5626D">
              <w:rPr>
                <w:rFonts w:ascii="Garamond" w:eastAsia="Calibri" w:hAnsi="Garamond" w:cstheme="minorHAnsi"/>
                <w:sz w:val="22"/>
                <w:szCs w:val="22"/>
                <w:lang w:val="en-US"/>
              </w:rPr>
              <w:t>&lt;power-object-owner-gtp-links&gt;</w:t>
            </w:r>
          </w:p>
          <w:p w14:paraId="0208D0C1" w14:textId="77777777" w:rsidR="00295C6D" w:rsidRPr="00A5626D" w:rsidRDefault="00295C6D" w:rsidP="00E31AE6">
            <w:pPr>
              <w:numPr>
                <w:ilvl w:val="1"/>
                <w:numId w:val="0"/>
              </w:numPr>
              <w:tabs>
                <w:tab w:val="left" w:pos="1134"/>
                <w:tab w:val="left" w:pos="7938"/>
              </w:tabs>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&lt;power-object-owner-gtp-link</w:t>
            </w:r>
          </w:p>
          <w:p w14:paraId="273D3E0D" w14:textId="77777777" w:rsidR="00295C6D" w:rsidRPr="00A5626D" w:rsidRDefault="00295C6D" w:rsidP="00E31AE6">
            <w:pPr>
              <w:numPr>
                <w:ilvl w:val="1"/>
                <w:numId w:val="0"/>
              </w:numPr>
              <w:tabs>
                <w:tab w:val="left" w:pos="1134"/>
                <w:tab w:val="left" w:pos="7938"/>
              </w:tabs>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id-power-object-owner="4n" </w:t>
            </w:r>
          </w:p>
          <w:p w14:paraId="73824C91" w14:textId="77777777" w:rsidR="00295C6D" w:rsidRPr="00A5626D" w:rsidRDefault="00295C6D" w:rsidP="00E31AE6">
            <w:pPr>
              <w:numPr>
                <w:ilvl w:val="1"/>
                <w:numId w:val="0"/>
              </w:numPr>
              <w:tabs>
                <w:tab w:val="left" w:pos="1134"/>
                <w:tab w:val="left" w:pos="7938"/>
              </w:tabs>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id-gtp="4n"/&gt;</w:t>
            </w:r>
          </w:p>
          <w:p w14:paraId="68C05155" w14:textId="77777777" w:rsidR="00295C6D" w:rsidRPr="00A5626D" w:rsidRDefault="00295C6D" w:rsidP="00E31AE6">
            <w:pPr>
              <w:numPr>
                <w:ilvl w:val="1"/>
                <w:numId w:val="0"/>
              </w:numPr>
              <w:tabs>
                <w:tab w:val="left" w:pos="1134"/>
                <w:tab w:val="left" w:pos="7938"/>
              </w:tabs>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&lt;/power-object-owner-gtp-links&gt;</w:t>
            </w:r>
          </w:p>
          <w:p w14:paraId="34FD110E" w14:textId="77777777" w:rsidR="00295C6D" w:rsidRPr="00A5626D" w:rsidRDefault="00295C6D" w:rsidP="00E31AE6">
            <w:pPr>
              <w:numPr>
                <w:ilvl w:val="1"/>
                <w:numId w:val="0"/>
              </w:numPr>
              <w:tabs>
                <w:tab w:val="left" w:pos="1134"/>
                <w:tab w:val="left" w:pos="7938"/>
              </w:tabs>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&lt;/links&gt;</w:t>
            </w:r>
          </w:p>
          <w:p w14:paraId="6B84247E" w14:textId="77777777" w:rsidR="00295C6D" w:rsidRPr="00A5626D" w:rsidRDefault="00295C6D" w:rsidP="00E31AE6">
            <w:pPr>
              <w:numPr>
                <w:ilvl w:val="1"/>
                <w:numId w:val="0"/>
              </w:numPr>
              <w:tabs>
                <w:tab w:val="left" w:pos="1134"/>
                <w:tab w:val="left" w:pos="7938"/>
              </w:tabs>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&lt;algorithm&gt;</w:t>
            </w:r>
          </w:p>
          <w:p w14:paraId="4778F0E1" w14:textId="77777777" w:rsidR="00295C6D" w:rsidRPr="00A5626D" w:rsidRDefault="00295C6D" w:rsidP="00E31AE6">
            <w:pPr>
              <w:numPr>
                <w:ilvl w:val="1"/>
                <w:numId w:val="0"/>
              </w:numPr>
              <w:tabs>
                <w:tab w:val="left" w:pos="1134"/>
                <w:tab w:val="left" w:pos="7938"/>
              </w:tabs>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&lt;aup-delivery-points&gt;</w:t>
            </w:r>
          </w:p>
          <w:p w14:paraId="05BDD25D" w14:textId="77777777" w:rsidR="00295C6D" w:rsidRPr="00A5626D" w:rsidRDefault="00295C6D" w:rsidP="00E31AE6">
            <w:pPr>
              <w:numPr>
                <w:ilvl w:val="1"/>
                <w:numId w:val="0"/>
              </w:numPr>
              <w:tabs>
                <w:tab w:val="left" w:pos="1134"/>
                <w:tab w:val="left" w:pos="7938"/>
              </w:tabs>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&lt;aup-delivery-point </w:t>
            </w:r>
          </w:p>
          <w:p w14:paraId="5E3BFF78" w14:textId="77777777" w:rsidR="00295C6D" w:rsidRPr="00A5626D" w:rsidRDefault="00295C6D" w:rsidP="00E31AE6">
            <w:pPr>
              <w:numPr>
                <w:ilvl w:val="1"/>
                <w:numId w:val="0"/>
              </w:numPr>
              <w:tabs>
                <w:tab w:val="left" w:pos="1134"/>
                <w:tab w:val="left" w:pos="7938"/>
              </w:tabs>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id-delivery-point="4n" </w:t>
            </w:r>
          </w:p>
          <w:p w14:paraId="3EC47596" w14:textId="77777777" w:rsidR="00295C6D" w:rsidRPr="00A5626D" w:rsidRDefault="00295C6D" w:rsidP="00E31AE6">
            <w:pPr>
              <w:numPr>
                <w:ilvl w:val="1"/>
                <w:numId w:val="0"/>
              </w:numPr>
              <w:tabs>
                <w:tab w:val="left" w:pos="1134"/>
                <w:tab w:val="left" w:pos="7938"/>
              </w:tabs>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id-org="1n" </w:t>
            </w:r>
          </w:p>
          <w:p w14:paraId="11DFD0EA" w14:textId="77777777" w:rsidR="00295C6D" w:rsidRPr="00A5626D" w:rsidRDefault="00295C6D" w:rsidP="00E31AE6">
            <w:pPr>
              <w:numPr>
                <w:ilvl w:val="1"/>
                <w:numId w:val="0"/>
              </w:numPr>
              <w:tabs>
                <w:tab w:val="left" w:pos="1134"/>
                <w:tab w:val="left" w:pos="7938"/>
              </w:tabs>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id-aiis="1n"&gt;</w:t>
            </w:r>
          </w:p>
          <w:p w14:paraId="525E572E" w14:textId="77777777" w:rsidR="00295C6D" w:rsidRPr="00A5626D" w:rsidRDefault="00295C6D" w:rsidP="00E31AE6">
            <w:pPr>
              <w:numPr>
                <w:ilvl w:val="1"/>
                <w:numId w:val="0"/>
              </w:numPr>
              <w:tabs>
                <w:tab w:val="left" w:pos="1134"/>
                <w:tab w:val="left" w:pos="7938"/>
              </w:tabs>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&lt;send&gt;</w:t>
            </w:r>
          </w:p>
          <w:p w14:paraId="08436611" w14:textId="77777777" w:rsidR="00295C6D" w:rsidRPr="00A5626D" w:rsidRDefault="00295C6D" w:rsidP="00E31AE6">
            <w:pPr>
              <w:pStyle w:val="aff4"/>
              <w:tabs>
                <w:tab w:val="left" w:pos="1134"/>
                <w:tab w:val="left" w:pos="7938"/>
              </w:tabs>
              <w:rPr>
                <w:rFonts w:eastAsia="Calibri" w:cstheme="minorHAnsi"/>
                <w:sz w:val="22"/>
                <w:szCs w:val="22"/>
                <w:lang w:val="en-US"/>
              </w:rPr>
            </w:pPr>
            <w:r w:rsidRPr="00A5626D">
              <w:rPr>
                <w:rFonts w:cstheme="minorHAnsi"/>
                <w:sz w:val="22"/>
                <w:szCs w:val="22"/>
                <w:lang w:val="en-US"/>
              </w:rPr>
              <w:t xml:space="preserve"> </w:t>
            </w:r>
            <w:r w:rsidRPr="00A5626D">
              <w:rPr>
                <w:rFonts w:cstheme="minorHAnsi"/>
                <w:sz w:val="22"/>
                <w:szCs w:val="22"/>
                <w:lang w:val="en-US"/>
              </w:rPr>
              <w:tab/>
            </w:r>
            <w:r w:rsidRPr="00A5626D">
              <w:rPr>
                <w:rFonts w:cstheme="minorHAnsi"/>
                <w:sz w:val="22"/>
                <w:szCs w:val="22"/>
                <w:lang w:val="en-US"/>
              </w:rPr>
              <w:tab/>
              <w:t xml:space="preserve"> </w:t>
            </w:r>
            <w:r w:rsidRPr="00A5626D">
              <w:rPr>
                <w:rFonts w:eastAsia="Calibri" w:cstheme="minorHAnsi"/>
                <w:sz w:val="22"/>
                <w:szCs w:val="22"/>
                <w:lang w:val="en-US"/>
              </w:rPr>
              <w:t>&lt;comment&gt;</w:t>
            </w:r>
          </w:p>
          <w:p w14:paraId="1CAF524D" w14:textId="77777777" w:rsidR="00295C6D" w:rsidRPr="00A5626D" w:rsidRDefault="00295C6D" w:rsidP="00E31AE6">
            <w:pPr>
              <w:pStyle w:val="aff4"/>
              <w:tabs>
                <w:tab w:val="left" w:pos="1134"/>
                <w:tab w:val="left" w:pos="7938"/>
              </w:tabs>
              <w:ind w:firstLine="284"/>
              <w:rPr>
                <w:rFonts w:eastAsia="Calibri" w:cstheme="minorHAnsi"/>
                <w:sz w:val="22"/>
                <w:szCs w:val="22"/>
                <w:lang w:val="en-US"/>
              </w:rPr>
            </w:pPr>
            <w:r w:rsidRPr="00A5626D">
              <w:rPr>
                <w:rFonts w:eastAsia="Calibri" w:cstheme="minorHAnsi"/>
                <w:sz w:val="22"/>
                <w:szCs w:val="22"/>
                <w:lang w:val="en-US"/>
              </w:rPr>
              <w:t xml:space="preserve">                            &lt;![CDATA[…]]&gt;</w:t>
            </w:r>
          </w:p>
          <w:p w14:paraId="0CF50953" w14:textId="77777777" w:rsidR="00295C6D" w:rsidRPr="00A5626D" w:rsidRDefault="00295C6D" w:rsidP="00E31AE6">
            <w:pPr>
              <w:numPr>
                <w:ilvl w:val="1"/>
                <w:numId w:val="0"/>
              </w:numPr>
              <w:tabs>
                <w:tab w:val="left" w:pos="1134"/>
                <w:tab w:val="left" w:pos="7938"/>
              </w:tabs>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&lt;/comment&gt;</w:t>
            </w:r>
          </w:p>
          <w:p w14:paraId="2F737538" w14:textId="77777777" w:rsidR="00295C6D" w:rsidRPr="00A5626D" w:rsidRDefault="00295C6D" w:rsidP="00E31AE6">
            <w:pPr>
              <w:numPr>
                <w:ilvl w:val="1"/>
                <w:numId w:val="0"/>
              </w:numPr>
              <w:tabs>
                <w:tab w:val="left" w:pos="1134"/>
                <w:tab w:val="left" w:pos="7938"/>
              </w:tabs>
              <w:rPr>
                <w:rFonts w:ascii="Garamond" w:eastAsia="Calibri" w:hAnsi="Garamond" w:cstheme="minorHAnsi"/>
                <w:sz w:val="22"/>
                <w:szCs w:val="22"/>
                <w:lang w:val="en-US"/>
              </w:rPr>
            </w:pPr>
            <w:r w:rsidRPr="00A5626D">
              <w:rPr>
                <w:rFonts w:ascii="Garamond" w:eastAsia="Calibri" w:hAnsi="Garamond" w:cstheme="minorHAnsi"/>
                <w:sz w:val="22"/>
                <w:szCs w:val="22"/>
                <w:lang w:val="en-US"/>
              </w:rPr>
              <w:lastRenderedPageBreak/>
              <w:t xml:space="preserve">                        &lt;calcsum </w:t>
            </w:r>
          </w:p>
          <w:p w14:paraId="7B64A46E" w14:textId="77777777" w:rsidR="00295C6D" w:rsidRPr="00A5626D" w:rsidRDefault="00295C6D" w:rsidP="00E31AE6">
            <w:pPr>
              <w:numPr>
                <w:ilvl w:val="1"/>
                <w:numId w:val="0"/>
              </w:numPr>
              <w:tabs>
                <w:tab w:val="left" w:pos="1134"/>
                <w:tab w:val="left" w:pos="7938"/>
              </w:tabs>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losses-coefficient="2n"&gt;</w:t>
            </w:r>
          </w:p>
          <w:p w14:paraId="5F050DEA" w14:textId="77777777" w:rsidR="00295C6D" w:rsidRPr="00A5626D" w:rsidRDefault="00295C6D" w:rsidP="00E31AE6">
            <w:pPr>
              <w:numPr>
                <w:ilvl w:val="1"/>
                <w:numId w:val="0"/>
              </w:numPr>
              <w:tabs>
                <w:tab w:val="left" w:pos="1134"/>
                <w:tab w:val="left" w:pos="7938"/>
              </w:tabs>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&lt;measuring-channel </w:t>
            </w:r>
          </w:p>
          <w:p w14:paraId="5FF3B0E2" w14:textId="77777777" w:rsidR="00295C6D" w:rsidRPr="00A5626D" w:rsidRDefault="00295C6D" w:rsidP="00E31AE6">
            <w:pPr>
              <w:numPr>
                <w:ilvl w:val="1"/>
                <w:numId w:val="0"/>
              </w:numPr>
              <w:tabs>
                <w:tab w:val="left" w:pos="1134"/>
                <w:tab w:val="left" w:pos="7938"/>
              </w:tabs>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coefficient="32n" </w:t>
            </w:r>
          </w:p>
          <w:p w14:paraId="22D5B701" w14:textId="77777777" w:rsidR="00295C6D" w:rsidRPr="00A5626D" w:rsidRDefault="00295C6D" w:rsidP="00E31AE6">
            <w:pPr>
              <w:numPr>
                <w:ilvl w:val="1"/>
                <w:numId w:val="0"/>
              </w:numPr>
              <w:tabs>
                <w:tab w:val="left" w:pos="1134"/>
                <w:tab w:val="left" w:pos="7938"/>
              </w:tabs>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id-measuring-channel="4n"/&gt;</w:t>
            </w:r>
          </w:p>
          <w:p w14:paraId="7BDA603A" w14:textId="77777777" w:rsidR="00295C6D" w:rsidRPr="00A5626D" w:rsidRDefault="00295C6D" w:rsidP="00E31AE6">
            <w:pPr>
              <w:numPr>
                <w:ilvl w:val="1"/>
                <w:numId w:val="0"/>
              </w:numPr>
              <w:tabs>
                <w:tab w:val="left" w:pos="1134"/>
                <w:tab w:val="left" w:pos="7938"/>
              </w:tabs>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&lt;/calcsum&gt;</w:t>
            </w:r>
          </w:p>
          <w:p w14:paraId="03AA7A20" w14:textId="77777777" w:rsidR="00295C6D" w:rsidRPr="00A5626D" w:rsidRDefault="00295C6D" w:rsidP="00E31AE6">
            <w:pPr>
              <w:numPr>
                <w:ilvl w:val="1"/>
                <w:numId w:val="0"/>
              </w:numPr>
              <w:tabs>
                <w:tab w:val="left" w:pos="1134"/>
                <w:tab w:val="left" w:pos="7938"/>
              </w:tabs>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&lt;calcformula</w:t>
            </w:r>
          </w:p>
          <w:p w14:paraId="3E1BC437" w14:textId="77777777" w:rsidR="00295C6D" w:rsidRPr="00A5626D" w:rsidRDefault="00295C6D" w:rsidP="00E31AE6">
            <w:pPr>
              <w:numPr>
                <w:ilvl w:val="1"/>
                <w:numId w:val="0"/>
              </w:numPr>
              <w:tabs>
                <w:tab w:val="left" w:pos="1134"/>
                <w:tab w:val="left" w:pos="7938"/>
              </w:tabs>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name="50x"&gt;</w:t>
            </w:r>
          </w:p>
          <w:p w14:paraId="4A433A5C" w14:textId="77777777" w:rsidR="00295C6D" w:rsidRPr="00A5626D" w:rsidRDefault="00295C6D" w:rsidP="00E31AE6">
            <w:pPr>
              <w:numPr>
                <w:ilvl w:val="1"/>
                <w:numId w:val="0"/>
              </w:numPr>
              <w:tabs>
                <w:tab w:val="left" w:pos="1134"/>
                <w:tab w:val="left" w:pos="7938"/>
              </w:tabs>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&lt;param</w:t>
            </w:r>
          </w:p>
          <w:p w14:paraId="1022C719" w14:textId="77777777" w:rsidR="00295C6D" w:rsidRPr="00A5626D" w:rsidRDefault="00295C6D" w:rsidP="00E31AE6">
            <w:pPr>
              <w:numPr>
                <w:ilvl w:val="1"/>
                <w:numId w:val="0"/>
              </w:numPr>
              <w:tabs>
                <w:tab w:val="left" w:pos="1134"/>
                <w:tab w:val="left" w:pos="7938"/>
              </w:tabs>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name="50x"</w:t>
            </w:r>
          </w:p>
          <w:p w14:paraId="213CBE3C" w14:textId="77777777" w:rsidR="00295C6D" w:rsidRPr="00A5626D" w:rsidRDefault="00295C6D" w:rsidP="00E31AE6">
            <w:pPr>
              <w:numPr>
                <w:ilvl w:val="1"/>
                <w:numId w:val="0"/>
              </w:numPr>
              <w:tabs>
                <w:tab w:val="left" w:pos="1134"/>
                <w:tab w:val="left" w:pos="7938"/>
              </w:tabs>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type="</w:t>
            </w:r>
            <w:r w:rsidRPr="00A5626D">
              <w:rPr>
                <w:rFonts w:ascii="Garamond" w:hAnsi="Garamond" w:cstheme="minorHAnsi"/>
                <w:sz w:val="22"/>
                <w:szCs w:val="22"/>
                <w:lang w:val="en-US"/>
              </w:rPr>
              <w:t xml:space="preserve"> </w:t>
            </w:r>
            <w:r w:rsidRPr="00A5626D">
              <w:rPr>
                <w:rFonts w:ascii="Garamond" w:eastAsia="Calibri" w:hAnsi="Garamond" w:cstheme="minorHAnsi"/>
                <w:sz w:val="22"/>
                <w:szCs w:val="22"/>
                <w:lang w:val="en-US"/>
              </w:rPr>
              <w:t>CONST/SUM/FORMULA/MOBJECT</w:t>
            </w:r>
            <w:r w:rsidRPr="00A5626D" w:rsidDel="00366694">
              <w:rPr>
                <w:rFonts w:ascii="Garamond" w:eastAsia="Calibri" w:hAnsi="Garamond" w:cstheme="minorHAnsi"/>
                <w:sz w:val="22"/>
                <w:szCs w:val="22"/>
                <w:lang w:val="en-US"/>
              </w:rPr>
              <w:t xml:space="preserve"> </w:t>
            </w:r>
            <w:r w:rsidRPr="00A5626D">
              <w:rPr>
                <w:rFonts w:ascii="Garamond" w:eastAsia="Calibri" w:hAnsi="Garamond" w:cstheme="minorHAnsi"/>
                <w:sz w:val="22"/>
                <w:szCs w:val="22"/>
                <w:lang w:val="en-US"/>
              </w:rPr>
              <w:t>"&gt;</w:t>
            </w:r>
          </w:p>
          <w:p w14:paraId="325AC775" w14:textId="77777777" w:rsidR="00295C6D" w:rsidRPr="00A5626D" w:rsidRDefault="00295C6D" w:rsidP="00E31AE6">
            <w:pPr>
              <w:numPr>
                <w:ilvl w:val="1"/>
                <w:numId w:val="0"/>
              </w:numPr>
              <w:tabs>
                <w:tab w:val="left" w:pos="1134"/>
                <w:tab w:val="left" w:pos="7938"/>
              </w:tabs>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&lt;measuring-object</w:t>
            </w:r>
          </w:p>
          <w:p w14:paraId="5FA2AE2A" w14:textId="77777777" w:rsidR="00295C6D" w:rsidRPr="00A5626D" w:rsidRDefault="00295C6D" w:rsidP="00E31AE6">
            <w:pPr>
              <w:numPr>
                <w:ilvl w:val="1"/>
                <w:numId w:val="0"/>
              </w:numPr>
              <w:tabs>
                <w:tab w:val="left" w:pos="1134"/>
                <w:tab w:val="left" w:pos="7938"/>
              </w:tabs>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id-measuring-object="4n"/&gt;</w:t>
            </w:r>
          </w:p>
          <w:p w14:paraId="7F007937" w14:textId="77777777" w:rsidR="00295C6D" w:rsidRPr="00A5626D" w:rsidRDefault="00295C6D" w:rsidP="00E31AE6">
            <w:pPr>
              <w:numPr>
                <w:ilvl w:val="1"/>
                <w:numId w:val="0"/>
              </w:numPr>
              <w:tabs>
                <w:tab w:val="left" w:pos="1134"/>
                <w:tab w:val="left" w:pos="7938"/>
              </w:tabs>
              <w:rPr>
                <w:rFonts w:ascii="Garamond" w:eastAsia="Calibri" w:hAnsi="Garamond" w:cstheme="minorHAnsi"/>
                <w:sz w:val="22"/>
                <w:szCs w:val="22"/>
              </w:rPr>
            </w:pPr>
            <w:r w:rsidRPr="00A5626D">
              <w:rPr>
                <w:rFonts w:ascii="Garamond" w:eastAsia="Calibri" w:hAnsi="Garamond" w:cstheme="minorHAnsi"/>
                <w:sz w:val="22"/>
                <w:szCs w:val="22"/>
                <w:lang w:val="en-US"/>
              </w:rPr>
              <w:t xml:space="preserve">                                </w:t>
            </w:r>
            <w:r w:rsidRPr="00A5626D">
              <w:rPr>
                <w:rFonts w:ascii="Garamond" w:eastAsia="Calibri" w:hAnsi="Garamond" w:cstheme="minorHAnsi"/>
                <w:sz w:val="22"/>
                <w:szCs w:val="22"/>
              </w:rPr>
              <w:t>&lt;</w:t>
            </w:r>
            <w:r w:rsidRPr="00A5626D">
              <w:rPr>
                <w:rFonts w:ascii="Garamond" w:eastAsia="Calibri" w:hAnsi="Garamond" w:cstheme="minorHAnsi"/>
                <w:sz w:val="22"/>
                <w:szCs w:val="22"/>
                <w:lang w:val="en-US"/>
              </w:rPr>
              <w:t>calcformula</w:t>
            </w:r>
            <w:r w:rsidRPr="00A5626D">
              <w:rPr>
                <w:rFonts w:ascii="Garamond" w:eastAsia="Calibri" w:hAnsi="Garamond" w:cstheme="minorHAnsi"/>
                <w:sz w:val="22"/>
                <w:szCs w:val="22"/>
              </w:rPr>
              <w:t>&gt;</w:t>
            </w:r>
          </w:p>
          <w:p w14:paraId="50372BC4" w14:textId="77777777" w:rsidR="00295C6D" w:rsidRPr="00A5626D" w:rsidRDefault="00295C6D" w:rsidP="00E31AE6">
            <w:pPr>
              <w:numPr>
                <w:ilvl w:val="1"/>
                <w:numId w:val="0"/>
              </w:numPr>
              <w:tabs>
                <w:tab w:val="left" w:pos="1134"/>
                <w:tab w:val="left" w:pos="7938"/>
              </w:tabs>
              <w:rPr>
                <w:rFonts w:ascii="Garamond" w:eastAsia="Calibri" w:hAnsi="Garamond" w:cstheme="minorHAnsi"/>
                <w:sz w:val="22"/>
                <w:szCs w:val="22"/>
              </w:rPr>
            </w:pPr>
            <w:r w:rsidRPr="00A5626D">
              <w:rPr>
                <w:rFonts w:ascii="Garamond" w:eastAsia="Calibri" w:hAnsi="Garamond" w:cstheme="minorHAnsi"/>
                <w:sz w:val="22"/>
                <w:szCs w:val="22"/>
              </w:rPr>
              <w:t xml:space="preserve">                                … &lt;!--здесь и далее многоточие означает, что элемент </w:t>
            </w:r>
            <w:r w:rsidRPr="00A5626D">
              <w:rPr>
                <w:rFonts w:ascii="Garamond" w:eastAsia="Calibri" w:hAnsi="Garamond" w:cstheme="minorHAnsi"/>
                <w:sz w:val="22"/>
                <w:szCs w:val="22"/>
                <w:lang w:val="en-US"/>
              </w:rPr>
              <w:t>calcformula</w:t>
            </w:r>
            <w:r w:rsidRPr="00A5626D">
              <w:rPr>
                <w:rFonts w:ascii="Garamond" w:eastAsia="Calibri" w:hAnsi="Garamond" w:cstheme="minorHAnsi"/>
                <w:sz w:val="22"/>
                <w:szCs w:val="22"/>
              </w:rPr>
              <w:t xml:space="preserve"> описывается многократно и рекуррентно с тем же набором атрибутов и дочерних элементов до конца формулы расчета потерь --&gt;</w:t>
            </w:r>
          </w:p>
          <w:p w14:paraId="6F96D08C" w14:textId="77777777" w:rsidR="00295C6D" w:rsidRPr="00A5626D" w:rsidRDefault="00295C6D" w:rsidP="00E31AE6">
            <w:pPr>
              <w:numPr>
                <w:ilvl w:val="1"/>
                <w:numId w:val="0"/>
              </w:numPr>
              <w:tabs>
                <w:tab w:val="left" w:pos="1134"/>
                <w:tab w:val="left" w:pos="7938"/>
              </w:tabs>
              <w:rPr>
                <w:rFonts w:ascii="Garamond" w:eastAsia="Calibri" w:hAnsi="Garamond" w:cstheme="minorHAnsi"/>
                <w:sz w:val="22"/>
                <w:szCs w:val="22"/>
              </w:rPr>
            </w:pPr>
            <w:r w:rsidRPr="00A5626D">
              <w:rPr>
                <w:rFonts w:ascii="Garamond" w:eastAsia="Calibri" w:hAnsi="Garamond" w:cstheme="minorHAnsi"/>
                <w:sz w:val="22"/>
                <w:szCs w:val="22"/>
              </w:rPr>
              <w:t xml:space="preserve">                                &lt;/</w:t>
            </w:r>
            <w:r w:rsidRPr="00A5626D">
              <w:rPr>
                <w:rFonts w:ascii="Garamond" w:eastAsia="Calibri" w:hAnsi="Garamond" w:cstheme="minorHAnsi"/>
                <w:sz w:val="22"/>
                <w:szCs w:val="22"/>
                <w:lang w:val="en-US"/>
              </w:rPr>
              <w:t>calcformula</w:t>
            </w:r>
            <w:r w:rsidRPr="00A5626D">
              <w:rPr>
                <w:rFonts w:ascii="Garamond" w:eastAsia="Calibri" w:hAnsi="Garamond" w:cstheme="minorHAnsi"/>
                <w:sz w:val="22"/>
                <w:szCs w:val="22"/>
              </w:rPr>
              <w:t>&gt;</w:t>
            </w:r>
          </w:p>
          <w:p w14:paraId="07CB7C9B" w14:textId="77777777" w:rsidR="00295C6D" w:rsidRPr="00A5626D" w:rsidRDefault="00295C6D" w:rsidP="00E31AE6">
            <w:pPr>
              <w:numPr>
                <w:ilvl w:val="1"/>
                <w:numId w:val="0"/>
              </w:numPr>
              <w:tabs>
                <w:tab w:val="left" w:pos="1134"/>
                <w:tab w:val="left" w:pos="7938"/>
              </w:tabs>
              <w:rPr>
                <w:rFonts w:ascii="Garamond" w:eastAsia="Calibri" w:hAnsi="Garamond" w:cstheme="minorHAnsi"/>
                <w:sz w:val="22"/>
                <w:szCs w:val="22"/>
              </w:rPr>
            </w:pPr>
            <w:r w:rsidRPr="00A5626D">
              <w:rPr>
                <w:rFonts w:ascii="Garamond" w:eastAsia="Calibri" w:hAnsi="Garamond" w:cstheme="minorHAnsi"/>
                <w:sz w:val="22"/>
                <w:szCs w:val="22"/>
              </w:rPr>
              <w:t xml:space="preserve">                                &lt;</w:t>
            </w:r>
            <w:r w:rsidRPr="00A5626D">
              <w:rPr>
                <w:rFonts w:ascii="Garamond" w:eastAsia="Calibri" w:hAnsi="Garamond" w:cstheme="minorHAnsi"/>
                <w:sz w:val="22"/>
                <w:szCs w:val="22"/>
                <w:lang w:val="en-US"/>
              </w:rPr>
              <w:t>calcsum</w:t>
            </w:r>
            <w:r w:rsidRPr="00A5626D">
              <w:rPr>
                <w:rFonts w:ascii="Garamond" w:eastAsia="Calibri" w:hAnsi="Garamond" w:cstheme="minorHAnsi"/>
                <w:sz w:val="22"/>
                <w:szCs w:val="22"/>
              </w:rPr>
              <w:t>&gt;</w:t>
            </w:r>
          </w:p>
          <w:p w14:paraId="2477EF99" w14:textId="77777777" w:rsidR="00295C6D" w:rsidRPr="00A5626D" w:rsidRDefault="00295C6D" w:rsidP="00E31AE6">
            <w:pPr>
              <w:numPr>
                <w:ilvl w:val="1"/>
                <w:numId w:val="0"/>
              </w:numPr>
              <w:tabs>
                <w:tab w:val="left" w:pos="1134"/>
                <w:tab w:val="left" w:pos="7938"/>
              </w:tabs>
              <w:rPr>
                <w:rFonts w:ascii="Garamond" w:eastAsia="Calibri" w:hAnsi="Garamond" w:cstheme="minorHAnsi"/>
                <w:sz w:val="22"/>
                <w:szCs w:val="22"/>
              </w:rPr>
            </w:pPr>
            <w:r w:rsidRPr="00A5626D">
              <w:rPr>
                <w:rFonts w:ascii="Garamond" w:eastAsia="Calibri" w:hAnsi="Garamond" w:cstheme="minorHAnsi"/>
                <w:sz w:val="22"/>
                <w:szCs w:val="22"/>
              </w:rPr>
              <w:t xml:space="preserve">                                … &lt;!--здесь и далее многоточие означает, что элемент </w:t>
            </w:r>
            <w:r w:rsidRPr="00A5626D">
              <w:rPr>
                <w:rFonts w:ascii="Garamond" w:eastAsia="Calibri" w:hAnsi="Garamond" w:cstheme="minorHAnsi"/>
                <w:sz w:val="22"/>
                <w:szCs w:val="22"/>
                <w:lang w:val="en-US"/>
              </w:rPr>
              <w:t>calcsum</w:t>
            </w:r>
            <w:r w:rsidRPr="00A5626D">
              <w:rPr>
                <w:rFonts w:ascii="Garamond" w:eastAsia="Calibri" w:hAnsi="Garamond" w:cstheme="minorHAnsi"/>
                <w:sz w:val="22"/>
                <w:szCs w:val="22"/>
              </w:rPr>
              <w:t xml:space="preserve"> описывается многократно и рекуррентно с тем же набором атрибутов и дочерних элементов до конца формулы расчета потерь --&gt;</w:t>
            </w:r>
          </w:p>
          <w:p w14:paraId="282F7748" w14:textId="77777777" w:rsidR="00295C6D" w:rsidRPr="00A5626D" w:rsidRDefault="00295C6D" w:rsidP="00E31AE6">
            <w:pPr>
              <w:numPr>
                <w:ilvl w:val="1"/>
                <w:numId w:val="0"/>
              </w:numPr>
              <w:tabs>
                <w:tab w:val="left" w:pos="1134"/>
                <w:tab w:val="left" w:pos="7938"/>
              </w:tabs>
              <w:rPr>
                <w:rFonts w:ascii="Garamond" w:eastAsia="Calibri" w:hAnsi="Garamond" w:cstheme="minorHAnsi"/>
                <w:sz w:val="22"/>
                <w:szCs w:val="22"/>
                <w:lang w:val="en-US"/>
              </w:rPr>
            </w:pPr>
            <w:r w:rsidRPr="00A5626D">
              <w:rPr>
                <w:rFonts w:ascii="Garamond" w:eastAsia="Calibri" w:hAnsi="Garamond" w:cstheme="minorHAnsi"/>
                <w:sz w:val="22"/>
                <w:szCs w:val="22"/>
              </w:rPr>
              <w:t xml:space="preserve">                                </w:t>
            </w:r>
            <w:r w:rsidRPr="00A5626D">
              <w:rPr>
                <w:rFonts w:ascii="Garamond" w:eastAsia="Calibri" w:hAnsi="Garamond" w:cstheme="minorHAnsi"/>
                <w:sz w:val="22"/>
                <w:szCs w:val="22"/>
                <w:lang w:val="en-US"/>
              </w:rPr>
              <w:t>&lt;/calcsum&gt;</w:t>
            </w:r>
          </w:p>
          <w:p w14:paraId="3FFFCF8F" w14:textId="77777777" w:rsidR="00295C6D" w:rsidRPr="00A5626D" w:rsidRDefault="00295C6D" w:rsidP="00E31AE6">
            <w:pPr>
              <w:numPr>
                <w:ilvl w:val="1"/>
                <w:numId w:val="0"/>
              </w:numPr>
              <w:tabs>
                <w:tab w:val="left" w:pos="1134"/>
                <w:tab w:val="left" w:pos="7938"/>
              </w:tabs>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&lt;constvalue&gt;</w:t>
            </w:r>
          </w:p>
          <w:p w14:paraId="53CA88F3" w14:textId="77777777" w:rsidR="00295C6D" w:rsidRPr="00A5626D" w:rsidRDefault="00295C6D" w:rsidP="00E31AE6">
            <w:pPr>
              <w:numPr>
                <w:ilvl w:val="1"/>
                <w:numId w:val="0"/>
              </w:numPr>
              <w:tabs>
                <w:tab w:val="left" w:pos="1134"/>
                <w:tab w:val="left" w:pos="7938"/>
              </w:tabs>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"32n"</w:t>
            </w:r>
          </w:p>
          <w:p w14:paraId="1BF4B09D" w14:textId="77777777" w:rsidR="00295C6D" w:rsidRPr="00A5626D" w:rsidRDefault="00295C6D" w:rsidP="00E31AE6">
            <w:pPr>
              <w:numPr>
                <w:ilvl w:val="1"/>
                <w:numId w:val="0"/>
              </w:numPr>
              <w:tabs>
                <w:tab w:val="left" w:pos="1134"/>
                <w:tab w:val="left" w:pos="7938"/>
              </w:tabs>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&lt;/constvalue&gt;</w:t>
            </w:r>
          </w:p>
          <w:p w14:paraId="152844D0" w14:textId="77777777" w:rsidR="00295C6D" w:rsidRPr="00A5626D" w:rsidRDefault="00295C6D" w:rsidP="00E31AE6">
            <w:pPr>
              <w:numPr>
                <w:ilvl w:val="1"/>
                <w:numId w:val="0"/>
              </w:numPr>
              <w:tabs>
                <w:tab w:val="left" w:pos="1134"/>
                <w:tab w:val="left" w:pos="7938"/>
              </w:tabs>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&lt;/param&gt;</w:t>
            </w:r>
          </w:p>
          <w:p w14:paraId="44E4A7DE" w14:textId="77777777" w:rsidR="00295C6D" w:rsidRPr="00A5626D" w:rsidRDefault="00295C6D" w:rsidP="00E31AE6">
            <w:pPr>
              <w:numPr>
                <w:ilvl w:val="1"/>
                <w:numId w:val="0"/>
              </w:numPr>
              <w:tabs>
                <w:tab w:val="left" w:pos="1134"/>
                <w:tab w:val="left" w:pos="7938"/>
              </w:tabs>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&lt;/calcformula&gt;</w:t>
            </w:r>
          </w:p>
          <w:p w14:paraId="1308D45B" w14:textId="77777777" w:rsidR="00295C6D" w:rsidRPr="00A5626D" w:rsidRDefault="00295C6D" w:rsidP="00E31AE6">
            <w:pPr>
              <w:numPr>
                <w:ilvl w:val="1"/>
                <w:numId w:val="0"/>
              </w:numPr>
              <w:tabs>
                <w:tab w:val="left" w:pos="1134"/>
                <w:tab w:val="left" w:pos="7938"/>
              </w:tabs>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&lt;/send&gt;</w:t>
            </w:r>
          </w:p>
          <w:p w14:paraId="54C75F54" w14:textId="77777777" w:rsidR="00295C6D" w:rsidRPr="00A5626D" w:rsidRDefault="00295C6D" w:rsidP="00E31AE6">
            <w:pPr>
              <w:numPr>
                <w:ilvl w:val="1"/>
                <w:numId w:val="0"/>
              </w:numPr>
              <w:tabs>
                <w:tab w:val="left" w:pos="1134"/>
                <w:tab w:val="left" w:pos="7938"/>
              </w:tabs>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&lt;receive&gt;</w:t>
            </w:r>
          </w:p>
          <w:p w14:paraId="7FA10329" w14:textId="77777777" w:rsidR="00295C6D" w:rsidRPr="00A5626D" w:rsidRDefault="00295C6D" w:rsidP="00E31AE6">
            <w:pPr>
              <w:numPr>
                <w:ilvl w:val="1"/>
                <w:numId w:val="0"/>
              </w:numPr>
              <w:tabs>
                <w:tab w:val="left" w:pos="1134"/>
                <w:tab w:val="left" w:pos="7938"/>
              </w:tabs>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&lt;comment&gt;</w:t>
            </w:r>
          </w:p>
          <w:p w14:paraId="5F034071" w14:textId="77777777" w:rsidR="00295C6D" w:rsidRPr="00A5626D" w:rsidRDefault="00295C6D" w:rsidP="00E31AE6">
            <w:pPr>
              <w:numPr>
                <w:ilvl w:val="1"/>
                <w:numId w:val="0"/>
              </w:numPr>
              <w:tabs>
                <w:tab w:val="left" w:pos="1134"/>
                <w:tab w:val="left" w:pos="7938"/>
              </w:tabs>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&lt;![CDATA[…]]&gt;</w:t>
            </w:r>
          </w:p>
          <w:p w14:paraId="1ACC1555" w14:textId="77777777" w:rsidR="00295C6D" w:rsidRPr="00A5626D" w:rsidRDefault="00295C6D" w:rsidP="00E31AE6">
            <w:pPr>
              <w:numPr>
                <w:ilvl w:val="1"/>
                <w:numId w:val="0"/>
              </w:numPr>
              <w:tabs>
                <w:tab w:val="left" w:pos="1134"/>
                <w:tab w:val="left" w:pos="7938"/>
              </w:tabs>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&lt;/comment&gt;</w:t>
            </w:r>
          </w:p>
          <w:p w14:paraId="225B0F09" w14:textId="77777777" w:rsidR="00295C6D" w:rsidRPr="00A5626D" w:rsidRDefault="00295C6D" w:rsidP="00E31AE6">
            <w:pPr>
              <w:numPr>
                <w:ilvl w:val="1"/>
                <w:numId w:val="0"/>
              </w:numPr>
              <w:tabs>
                <w:tab w:val="left" w:pos="1134"/>
                <w:tab w:val="left" w:pos="7938"/>
              </w:tabs>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&lt;calcsum </w:t>
            </w:r>
          </w:p>
          <w:p w14:paraId="1A5C85BE" w14:textId="77777777" w:rsidR="00295C6D" w:rsidRPr="00A5626D" w:rsidRDefault="00295C6D" w:rsidP="00E31AE6">
            <w:pPr>
              <w:numPr>
                <w:ilvl w:val="1"/>
                <w:numId w:val="0"/>
              </w:numPr>
              <w:tabs>
                <w:tab w:val="left" w:pos="1134"/>
                <w:tab w:val="left" w:pos="7938"/>
              </w:tabs>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losses-coefficient="2n"&gt;</w:t>
            </w:r>
          </w:p>
          <w:p w14:paraId="6A8389B6" w14:textId="77777777" w:rsidR="00295C6D" w:rsidRPr="00A5626D" w:rsidRDefault="00295C6D" w:rsidP="00E31AE6">
            <w:pPr>
              <w:numPr>
                <w:ilvl w:val="1"/>
                <w:numId w:val="0"/>
              </w:numPr>
              <w:tabs>
                <w:tab w:val="left" w:pos="1134"/>
                <w:tab w:val="left" w:pos="7938"/>
              </w:tabs>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&lt;measuring-channel </w:t>
            </w:r>
          </w:p>
          <w:p w14:paraId="5346F417" w14:textId="77777777" w:rsidR="00295C6D" w:rsidRPr="00A5626D" w:rsidRDefault="00295C6D" w:rsidP="00E31AE6">
            <w:pPr>
              <w:numPr>
                <w:ilvl w:val="1"/>
                <w:numId w:val="0"/>
              </w:numPr>
              <w:tabs>
                <w:tab w:val="left" w:pos="1134"/>
                <w:tab w:val="left" w:pos="7938"/>
              </w:tabs>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coefficient="100n" </w:t>
            </w:r>
          </w:p>
          <w:p w14:paraId="640F028D" w14:textId="77777777" w:rsidR="00295C6D" w:rsidRPr="00A5626D" w:rsidRDefault="00295C6D" w:rsidP="00E31AE6">
            <w:pPr>
              <w:numPr>
                <w:ilvl w:val="1"/>
                <w:numId w:val="0"/>
              </w:numPr>
              <w:tabs>
                <w:tab w:val="left" w:pos="1134"/>
                <w:tab w:val="left" w:pos="7938"/>
              </w:tabs>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id-measuring-channel="4n"/&gt;</w:t>
            </w:r>
          </w:p>
          <w:p w14:paraId="2EE1C027" w14:textId="77777777" w:rsidR="00295C6D" w:rsidRPr="00A5626D" w:rsidRDefault="00295C6D" w:rsidP="00E31AE6">
            <w:pPr>
              <w:numPr>
                <w:ilvl w:val="1"/>
                <w:numId w:val="0"/>
              </w:numPr>
              <w:tabs>
                <w:tab w:val="left" w:pos="1134"/>
                <w:tab w:val="left" w:pos="7938"/>
              </w:tabs>
              <w:rPr>
                <w:rFonts w:ascii="Garamond" w:eastAsia="Calibri" w:hAnsi="Garamond" w:cstheme="minorHAnsi"/>
                <w:sz w:val="22"/>
                <w:szCs w:val="22"/>
                <w:lang w:val="en-US"/>
              </w:rPr>
            </w:pPr>
            <w:r w:rsidRPr="00A5626D">
              <w:rPr>
                <w:rFonts w:ascii="Garamond" w:eastAsia="Calibri" w:hAnsi="Garamond" w:cstheme="minorHAnsi"/>
                <w:sz w:val="22"/>
                <w:szCs w:val="22"/>
                <w:lang w:val="en-US"/>
              </w:rPr>
              <w:lastRenderedPageBreak/>
              <w:t xml:space="preserve">                        &lt;/calcsum&gt;</w:t>
            </w:r>
          </w:p>
          <w:p w14:paraId="25956559" w14:textId="77777777" w:rsidR="00295C6D" w:rsidRPr="00A5626D" w:rsidRDefault="00295C6D" w:rsidP="00E31AE6">
            <w:pPr>
              <w:numPr>
                <w:ilvl w:val="1"/>
                <w:numId w:val="0"/>
              </w:numPr>
              <w:tabs>
                <w:tab w:val="left" w:pos="1134"/>
                <w:tab w:val="left" w:pos="7938"/>
              </w:tabs>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&lt;calcformula</w:t>
            </w:r>
          </w:p>
          <w:p w14:paraId="6F5DBE40" w14:textId="77777777" w:rsidR="00295C6D" w:rsidRPr="00A5626D" w:rsidRDefault="00295C6D" w:rsidP="00E31AE6">
            <w:pPr>
              <w:numPr>
                <w:ilvl w:val="1"/>
                <w:numId w:val="0"/>
              </w:numPr>
              <w:tabs>
                <w:tab w:val="left" w:pos="1134"/>
                <w:tab w:val="left" w:pos="7938"/>
              </w:tabs>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name="50x"&gt;</w:t>
            </w:r>
          </w:p>
          <w:p w14:paraId="7A58A2EB" w14:textId="77777777" w:rsidR="00295C6D" w:rsidRPr="00A5626D" w:rsidRDefault="00295C6D" w:rsidP="00E31AE6">
            <w:pPr>
              <w:numPr>
                <w:ilvl w:val="1"/>
                <w:numId w:val="0"/>
              </w:numPr>
              <w:tabs>
                <w:tab w:val="left" w:pos="1134"/>
                <w:tab w:val="left" w:pos="7938"/>
              </w:tabs>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&lt;param</w:t>
            </w:r>
          </w:p>
          <w:p w14:paraId="356F135F" w14:textId="77777777" w:rsidR="00295C6D" w:rsidRPr="00A5626D" w:rsidRDefault="00295C6D" w:rsidP="00E31AE6">
            <w:pPr>
              <w:numPr>
                <w:ilvl w:val="1"/>
                <w:numId w:val="0"/>
              </w:numPr>
              <w:tabs>
                <w:tab w:val="left" w:pos="1134"/>
                <w:tab w:val="left" w:pos="7938"/>
              </w:tabs>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name="50x"</w:t>
            </w:r>
          </w:p>
          <w:p w14:paraId="0147030D" w14:textId="77777777" w:rsidR="00295C6D" w:rsidRPr="00A5626D" w:rsidRDefault="00295C6D" w:rsidP="00E31AE6">
            <w:pPr>
              <w:numPr>
                <w:ilvl w:val="1"/>
                <w:numId w:val="0"/>
              </w:numPr>
              <w:tabs>
                <w:tab w:val="left" w:pos="1134"/>
                <w:tab w:val="left" w:pos="7938"/>
              </w:tabs>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type="</w:t>
            </w:r>
            <w:r w:rsidRPr="00A5626D">
              <w:rPr>
                <w:rFonts w:ascii="Garamond" w:hAnsi="Garamond" w:cstheme="minorHAnsi"/>
                <w:sz w:val="22"/>
                <w:szCs w:val="22"/>
                <w:lang w:val="en-US"/>
              </w:rPr>
              <w:t xml:space="preserve"> </w:t>
            </w:r>
            <w:r w:rsidRPr="00A5626D">
              <w:rPr>
                <w:rFonts w:ascii="Garamond" w:eastAsia="Calibri" w:hAnsi="Garamond" w:cstheme="minorHAnsi"/>
                <w:sz w:val="22"/>
                <w:szCs w:val="22"/>
                <w:lang w:val="en-US"/>
              </w:rPr>
              <w:t>CONST/SUM/FORMULA/MOBJECT</w:t>
            </w:r>
            <w:r w:rsidRPr="00A5626D" w:rsidDel="00EC6F3B">
              <w:rPr>
                <w:rFonts w:ascii="Garamond" w:eastAsia="Calibri" w:hAnsi="Garamond" w:cstheme="minorHAnsi"/>
                <w:sz w:val="22"/>
                <w:szCs w:val="22"/>
                <w:lang w:val="en-US"/>
              </w:rPr>
              <w:t xml:space="preserve"> </w:t>
            </w:r>
            <w:r w:rsidRPr="00A5626D">
              <w:rPr>
                <w:rFonts w:ascii="Garamond" w:eastAsia="Calibri" w:hAnsi="Garamond" w:cstheme="minorHAnsi"/>
                <w:sz w:val="22"/>
                <w:szCs w:val="22"/>
                <w:lang w:val="en-US"/>
              </w:rPr>
              <w:t>"&gt;</w:t>
            </w:r>
          </w:p>
          <w:p w14:paraId="1C4CAD8A" w14:textId="77777777" w:rsidR="00295C6D" w:rsidRPr="00A5626D" w:rsidRDefault="00295C6D" w:rsidP="00E31AE6">
            <w:pPr>
              <w:numPr>
                <w:ilvl w:val="1"/>
                <w:numId w:val="0"/>
              </w:numPr>
              <w:tabs>
                <w:tab w:val="left" w:pos="1134"/>
                <w:tab w:val="left" w:pos="7938"/>
              </w:tabs>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&lt;measuring-object</w:t>
            </w:r>
          </w:p>
          <w:p w14:paraId="44AA5A3B" w14:textId="77777777" w:rsidR="00295C6D" w:rsidRPr="00A5626D" w:rsidRDefault="00295C6D" w:rsidP="00E31AE6">
            <w:pPr>
              <w:numPr>
                <w:ilvl w:val="1"/>
                <w:numId w:val="0"/>
              </w:numPr>
              <w:tabs>
                <w:tab w:val="left" w:pos="1134"/>
                <w:tab w:val="left" w:pos="7938"/>
              </w:tabs>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id-measuring-object="4n"/&gt;</w:t>
            </w:r>
          </w:p>
          <w:p w14:paraId="56545945" w14:textId="77777777" w:rsidR="00295C6D" w:rsidRPr="00A5626D" w:rsidRDefault="00295C6D" w:rsidP="00E31AE6">
            <w:pPr>
              <w:numPr>
                <w:ilvl w:val="1"/>
                <w:numId w:val="0"/>
              </w:numPr>
              <w:tabs>
                <w:tab w:val="left" w:pos="1134"/>
                <w:tab w:val="left" w:pos="7938"/>
              </w:tabs>
              <w:rPr>
                <w:rFonts w:ascii="Garamond" w:eastAsia="Calibri" w:hAnsi="Garamond" w:cstheme="minorHAnsi"/>
                <w:sz w:val="22"/>
                <w:szCs w:val="22"/>
                <w:lang w:val="es-ES"/>
              </w:rPr>
            </w:pPr>
            <w:r w:rsidRPr="00A5626D">
              <w:rPr>
                <w:rFonts w:ascii="Garamond" w:eastAsia="Calibri" w:hAnsi="Garamond" w:cstheme="minorHAnsi"/>
                <w:sz w:val="22"/>
                <w:szCs w:val="22"/>
                <w:lang w:val="en-US"/>
              </w:rPr>
              <w:t xml:space="preserve">                                </w:t>
            </w:r>
            <w:r w:rsidRPr="00A5626D">
              <w:rPr>
                <w:rFonts w:ascii="Garamond" w:eastAsia="Calibri" w:hAnsi="Garamond" w:cstheme="minorHAnsi"/>
                <w:sz w:val="22"/>
                <w:szCs w:val="22"/>
                <w:lang w:val="es-ES"/>
              </w:rPr>
              <w:t>&lt;calcformula&gt;</w:t>
            </w:r>
          </w:p>
          <w:p w14:paraId="7CF18753" w14:textId="77777777" w:rsidR="00295C6D" w:rsidRPr="00A5626D" w:rsidRDefault="00295C6D" w:rsidP="00E31AE6">
            <w:pPr>
              <w:numPr>
                <w:ilvl w:val="1"/>
                <w:numId w:val="0"/>
              </w:numPr>
              <w:tabs>
                <w:tab w:val="left" w:pos="1134"/>
                <w:tab w:val="left" w:pos="7938"/>
              </w:tabs>
              <w:rPr>
                <w:rFonts w:ascii="Garamond" w:eastAsia="Calibri" w:hAnsi="Garamond" w:cstheme="minorHAnsi"/>
                <w:sz w:val="22"/>
                <w:szCs w:val="22"/>
                <w:lang w:val="es-ES"/>
              </w:rPr>
            </w:pPr>
            <w:r w:rsidRPr="00A5626D">
              <w:rPr>
                <w:rFonts w:ascii="Garamond" w:eastAsia="Calibri" w:hAnsi="Garamond" w:cstheme="minorHAnsi"/>
                <w:sz w:val="22"/>
                <w:szCs w:val="22"/>
                <w:lang w:val="es-ES"/>
              </w:rPr>
              <w:t xml:space="preserve">                                …</w:t>
            </w:r>
          </w:p>
          <w:p w14:paraId="58E1847F" w14:textId="77777777" w:rsidR="00295C6D" w:rsidRPr="00A5626D" w:rsidRDefault="00295C6D" w:rsidP="00E31AE6">
            <w:pPr>
              <w:numPr>
                <w:ilvl w:val="1"/>
                <w:numId w:val="0"/>
              </w:numPr>
              <w:tabs>
                <w:tab w:val="left" w:pos="1134"/>
                <w:tab w:val="left" w:pos="7938"/>
              </w:tabs>
              <w:rPr>
                <w:rFonts w:ascii="Garamond" w:eastAsia="Calibri" w:hAnsi="Garamond" w:cstheme="minorHAnsi"/>
                <w:sz w:val="22"/>
                <w:szCs w:val="22"/>
                <w:lang w:val="es-ES"/>
              </w:rPr>
            </w:pPr>
            <w:r w:rsidRPr="00A5626D">
              <w:rPr>
                <w:rFonts w:ascii="Garamond" w:eastAsia="Calibri" w:hAnsi="Garamond" w:cstheme="minorHAnsi"/>
                <w:sz w:val="22"/>
                <w:szCs w:val="22"/>
                <w:lang w:val="es-ES"/>
              </w:rPr>
              <w:t xml:space="preserve">                                &lt;/calcformula&gt;</w:t>
            </w:r>
          </w:p>
          <w:p w14:paraId="5EA4D407" w14:textId="77777777" w:rsidR="00295C6D" w:rsidRPr="00A5626D" w:rsidRDefault="00295C6D" w:rsidP="00E31AE6">
            <w:pPr>
              <w:numPr>
                <w:ilvl w:val="1"/>
                <w:numId w:val="0"/>
              </w:numPr>
              <w:tabs>
                <w:tab w:val="left" w:pos="1134"/>
                <w:tab w:val="left" w:pos="7938"/>
              </w:tabs>
              <w:rPr>
                <w:rFonts w:ascii="Garamond" w:eastAsia="Calibri" w:hAnsi="Garamond" w:cstheme="minorHAnsi"/>
                <w:sz w:val="22"/>
                <w:szCs w:val="22"/>
                <w:lang w:val="es-ES"/>
              </w:rPr>
            </w:pPr>
            <w:r w:rsidRPr="00A5626D">
              <w:rPr>
                <w:rFonts w:ascii="Garamond" w:eastAsia="Calibri" w:hAnsi="Garamond" w:cstheme="minorHAnsi"/>
                <w:sz w:val="22"/>
                <w:szCs w:val="22"/>
                <w:lang w:val="es-ES"/>
              </w:rPr>
              <w:t xml:space="preserve">                                &lt;calcsum&gt;</w:t>
            </w:r>
          </w:p>
          <w:p w14:paraId="7466ECDA" w14:textId="77777777" w:rsidR="00295C6D" w:rsidRPr="00A5626D" w:rsidRDefault="00295C6D" w:rsidP="00E31AE6">
            <w:pPr>
              <w:numPr>
                <w:ilvl w:val="1"/>
                <w:numId w:val="0"/>
              </w:numPr>
              <w:tabs>
                <w:tab w:val="left" w:pos="1134"/>
                <w:tab w:val="left" w:pos="7938"/>
              </w:tabs>
              <w:rPr>
                <w:rFonts w:ascii="Garamond" w:eastAsia="Calibri" w:hAnsi="Garamond" w:cstheme="minorHAnsi"/>
                <w:sz w:val="22"/>
                <w:szCs w:val="22"/>
                <w:lang w:val="es-ES"/>
              </w:rPr>
            </w:pPr>
            <w:r w:rsidRPr="00A5626D">
              <w:rPr>
                <w:rFonts w:ascii="Garamond" w:eastAsia="Calibri" w:hAnsi="Garamond" w:cstheme="minorHAnsi"/>
                <w:sz w:val="22"/>
                <w:szCs w:val="22"/>
                <w:lang w:val="es-ES"/>
              </w:rPr>
              <w:t xml:space="preserve">                                …</w:t>
            </w:r>
          </w:p>
          <w:p w14:paraId="2B995F02" w14:textId="77777777" w:rsidR="00295C6D" w:rsidRPr="00A5626D" w:rsidRDefault="00295C6D" w:rsidP="00E31AE6">
            <w:pPr>
              <w:numPr>
                <w:ilvl w:val="1"/>
                <w:numId w:val="0"/>
              </w:numPr>
              <w:tabs>
                <w:tab w:val="left" w:pos="1134"/>
                <w:tab w:val="left" w:pos="7938"/>
              </w:tabs>
              <w:rPr>
                <w:rFonts w:ascii="Garamond" w:eastAsia="Calibri" w:hAnsi="Garamond" w:cstheme="minorHAnsi"/>
                <w:sz w:val="22"/>
                <w:szCs w:val="22"/>
                <w:lang w:val="es-ES"/>
              </w:rPr>
            </w:pPr>
            <w:r w:rsidRPr="00A5626D">
              <w:rPr>
                <w:rFonts w:ascii="Garamond" w:eastAsia="Calibri" w:hAnsi="Garamond" w:cstheme="minorHAnsi"/>
                <w:sz w:val="22"/>
                <w:szCs w:val="22"/>
                <w:lang w:val="es-ES"/>
              </w:rPr>
              <w:t xml:space="preserve">                                &lt;/calcsum&gt;</w:t>
            </w:r>
          </w:p>
          <w:p w14:paraId="35DE9449" w14:textId="77777777" w:rsidR="00295C6D" w:rsidRPr="00A5626D" w:rsidRDefault="00295C6D" w:rsidP="00E31AE6">
            <w:pPr>
              <w:numPr>
                <w:ilvl w:val="1"/>
                <w:numId w:val="0"/>
              </w:numPr>
              <w:tabs>
                <w:tab w:val="left" w:pos="1134"/>
                <w:tab w:val="left" w:pos="7938"/>
              </w:tabs>
              <w:rPr>
                <w:rFonts w:ascii="Garamond" w:eastAsia="Calibri" w:hAnsi="Garamond" w:cstheme="minorHAnsi"/>
                <w:sz w:val="22"/>
                <w:szCs w:val="22"/>
                <w:lang w:val="es-ES"/>
              </w:rPr>
            </w:pPr>
            <w:r w:rsidRPr="00A5626D">
              <w:rPr>
                <w:rFonts w:ascii="Garamond" w:eastAsia="Calibri" w:hAnsi="Garamond" w:cstheme="minorHAnsi"/>
                <w:sz w:val="22"/>
                <w:szCs w:val="22"/>
                <w:lang w:val="es-ES"/>
              </w:rPr>
              <w:t xml:space="preserve">                                &lt;constvalue&gt; </w:t>
            </w:r>
          </w:p>
          <w:p w14:paraId="36EB9614" w14:textId="77777777" w:rsidR="00295C6D" w:rsidRPr="00A5626D" w:rsidRDefault="00295C6D" w:rsidP="00E31AE6">
            <w:pPr>
              <w:numPr>
                <w:ilvl w:val="1"/>
                <w:numId w:val="0"/>
              </w:numPr>
              <w:tabs>
                <w:tab w:val="left" w:pos="1134"/>
                <w:tab w:val="left" w:pos="7938"/>
              </w:tabs>
              <w:rPr>
                <w:rFonts w:ascii="Garamond" w:eastAsia="Calibri" w:hAnsi="Garamond" w:cstheme="minorHAnsi"/>
                <w:sz w:val="22"/>
                <w:szCs w:val="22"/>
                <w:lang w:val="en-US"/>
              </w:rPr>
            </w:pPr>
            <w:r w:rsidRPr="00A5626D">
              <w:rPr>
                <w:rFonts w:ascii="Garamond" w:eastAsia="Calibri" w:hAnsi="Garamond" w:cstheme="minorHAnsi"/>
                <w:sz w:val="22"/>
                <w:szCs w:val="22"/>
                <w:lang w:val="es-ES"/>
              </w:rPr>
              <w:t xml:space="preserve">                               </w:t>
            </w:r>
            <w:r w:rsidRPr="00A5626D">
              <w:rPr>
                <w:rFonts w:ascii="Garamond" w:eastAsia="Calibri" w:hAnsi="Garamond" w:cstheme="minorHAnsi"/>
                <w:sz w:val="22"/>
                <w:szCs w:val="22"/>
                <w:lang w:val="en-US"/>
              </w:rPr>
              <w:t>"32n"</w:t>
            </w:r>
          </w:p>
          <w:p w14:paraId="06E943C7" w14:textId="77777777" w:rsidR="00295C6D" w:rsidRPr="00A5626D" w:rsidRDefault="00295C6D" w:rsidP="00E31AE6">
            <w:pPr>
              <w:numPr>
                <w:ilvl w:val="1"/>
                <w:numId w:val="0"/>
              </w:numPr>
              <w:tabs>
                <w:tab w:val="left" w:pos="1134"/>
                <w:tab w:val="left" w:pos="7938"/>
              </w:tabs>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&lt;/constvalue&gt;</w:t>
            </w:r>
          </w:p>
          <w:p w14:paraId="3DD9D9D9" w14:textId="77777777" w:rsidR="00295C6D" w:rsidRPr="00A5626D" w:rsidRDefault="00295C6D" w:rsidP="00E31AE6">
            <w:pPr>
              <w:numPr>
                <w:ilvl w:val="1"/>
                <w:numId w:val="0"/>
              </w:numPr>
              <w:tabs>
                <w:tab w:val="left" w:pos="1134"/>
                <w:tab w:val="left" w:pos="7938"/>
              </w:tabs>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&lt;/param&gt;</w:t>
            </w:r>
          </w:p>
          <w:p w14:paraId="69872848" w14:textId="77777777" w:rsidR="00295C6D" w:rsidRPr="00A5626D" w:rsidRDefault="00295C6D" w:rsidP="00E31AE6">
            <w:pPr>
              <w:numPr>
                <w:ilvl w:val="1"/>
                <w:numId w:val="0"/>
              </w:numPr>
              <w:tabs>
                <w:tab w:val="left" w:pos="1134"/>
                <w:tab w:val="left" w:pos="7938"/>
              </w:tabs>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&lt;/calcformula&gt;</w:t>
            </w:r>
          </w:p>
          <w:p w14:paraId="012132D1" w14:textId="77777777" w:rsidR="00295C6D" w:rsidRPr="00A5626D" w:rsidRDefault="00295C6D" w:rsidP="00E31AE6">
            <w:pPr>
              <w:numPr>
                <w:ilvl w:val="1"/>
                <w:numId w:val="0"/>
              </w:numPr>
              <w:tabs>
                <w:tab w:val="left" w:pos="1134"/>
                <w:tab w:val="left" w:pos="7938"/>
              </w:tabs>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&lt;/receive&gt;</w:t>
            </w:r>
          </w:p>
          <w:p w14:paraId="71A73B8A" w14:textId="77777777" w:rsidR="00295C6D" w:rsidRPr="00A5626D" w:rsidRDefault="00295C6D" w:rsidP="00E31AE6">
            <w:pPr>
              <w:numPr>
                <w:ilvl w:val="1"/>
                <w:numId w:val="0"/>
              </w:numPr>
              <w:tabs>
                <w:tab w:val="left" w:pos="1134"/>
                <w:tab w:val="left" w:pos="7938"/>
              </w:tabs>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&lt;send-losses&gt;</w:t>
            </w:r>
          </w:p>
          <w:p w14:paraId="37A3FF24" w14:textId="77777777" w:rsidR="00295C6D" w:rsidRPr="00A5626D" w:rsidRDefault="00295C6D" w:rsidP="00E31AE6">
            <w:pPr>
              <w:numPr>
                <w:ilvl w:val="1"/>
                <w:numId w:val="0"/>
              </w:numPr>
              <w:tabs>
                <w:tab w:val="left" w:pos="1134"/>
                <w:tab w:val="left" w:pos="7938"/>
              </w:tabs>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time-ratio="30/60"</w:t>
            </w:r>
          </w:p>
          <w:p w14:paraId="297FDD93" w14:textId="77777777" w:rsidR="00295C6D" w:rsidRPr="00A5626D" w:rsidRDefault="00295C6D" w:rsidP="00E31AE6">
            <w:pPr>
              <w:numPr>
                <w:ilvl w:val="1"/>
                <w:numId w:val="0"/>
              </w:numPr>
              <w:tabs>
                <w:tab w:val="left" w:pos="1134"/>
                <w:tab w:val="left" w:pos="7938"/>
              </w:tabs>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&lt;comment&gt;</w:t>
            </w:r>
          </w:p>
          <w:p w14:paraId="29640D8C" w14:textId="77777777" w:rsidR="00295C6D" w:rsidRPr="00A5626D" w:rsidRDefault="00295C6D" w:rsidP="00E31AE6">
            <w:pPr>
              <w:numPr>
                <w:ilvl w:val="1"/>
                <w:numId w:val="0"/>
              </w:numPr>
              <w:tabs>
                <w:tab w:val="left" w:pos="1134"/>
                <w:tab w:val="left" w:pos="7938"/>
              </w:tabs>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&lt;![CDATA[…]]&gt;</w:t>
            </w:r>
          </w:p>
          <w:p w14:paraId="7E686FB9" w14:textId="77777777" w:rsidR="00295C6D" w:rsidRPr="00A5626D" w:rsidRDefault="00295C6D" w:rsidP="00E31AE6">
            <w:pPr>
              <w:numPr>
                <w:ilvl w:val="1"/>
                <w:numId w:val="0"/>
              </w:numPr>
              <w:tabs>
                <w:tab w:val="left" w:pos="1134"/>
                <w:tab w:val="left" w:pos="7938"/>
              </w:tabs>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&lt;/comment&gt;</w:t>
            </w:r>
          </w:p>
          <w:p w14:paraId="0793116F" w14:textId="77777777" w:rsidR="00295C6D" w:rsidRPr="00A5626D" w:rsidRDefault="00295C6D" w:rsidP="00E31AE6">
            <w:pPr>
              <w:numPr>
                <w:ilvl w:val="1"/>
                <w:numId w:val="0"/>
              </w:numPr>
              <w:tabs>
                <w:tab w:val="left" w:pos="1134"/>
                <w:tab w:val="left" w:pos="7938"/>
              </w:tabs>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&lt;calcformula</w:t>
            </w:r>
          </w:p>
          <w:p w14:paraId="3010814D" w14:textId="77777777" w:rsidR="00295C6D" w:rsidRPr="00A5626D" w:rsidRDefault="00295C6D" w:rsidP="00E31AE6">
            <w:pPr>
              <w:numPr>
                <w:ilvl w:val="1"/>
                <w:numId w:val="0"/>
              </w:numPr>
              <w:tabs>
                <w:tab w:val="left" w:pos="1134"/>
                <w:tab w:val="left" w:pos="7938"/>
              </w:tabs>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name="50x"&gt;</w:t>
            </w:r>
          </w:p>
          <w:p w14:paraId="043D46BC" w14:textId="77777777" w:rsidR="00295C6D" w:rsidRPr="00A5626D" w:rsidRDefault="00295C6D" w:rsidP="00E31AE6">
            <w:pPr>
              <w:numPr>
                <w:ilvl w:val="1"/>
                <w:numId w:val="0"/>
              </w:numPr>
              <w:tabs>
                <w:tab w:val="left" w:pos="1134"/>
                <w:tab w:val="left" w:pos="7938"/>
              </w:tabs>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&lt;param</w:t>
            </w:r>
          </w:p>
          <w:p w14:paraId="3DCF5305" w14:textId="77777777" w:rsidR="00295C6D" w:rsidRPr="00A5626D" w:rsidRDefault="00295C6D" w:rsidP="00E31AE6">
            <w:pPr>
              <w:numPr>
                <w:ilvl w:val="1"/>
                <w:numId w:val="0"/>
              </w:numPr>
              <w:tabs>
                <w:tab w:val="left" w:pos="1134"/>
                <w:tab w:val="left" w:pos="7938"/>
              </w:tabs>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name="50x"</w:t>
            </w:r>
          </w:p>
          <w:p w14:paraId="55B0AD8C" w14:textId="77777777" w:rsidR="00295C6D" w:rsidRPr="00A5626D" w:rsidRDefault="00295C6D" w:rsidP="00E31AE6">
            <w:pPr>
              <w:numPr>
                <w:ilvl w:val="1"/>
                <w:numId w:val="0"/>
              </w:numPr>
              <w:tabs>
                <w:tab w:val="left" w:pos="1134"/>
                <w:tab w:val="left" w:pos="7938"/>
              </w:tabs>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type="</w:t>
            </w:r>
            <w:r w:rsidRPr="00A5626D">
              <w:rPr>
                <w:rFonts w:ascii="Garamond" w:hAnsi="Garamond" w:cstheme="minorHAnsi"/>
                <w:sz w:val="22"/>
                <w:szCs w:val="22"/>
                <w:lang w:val="en-US"/>
              </w:rPr>
              <w:t xml:space="preserve"> </w:t>
            </w:r>
            <w:r w:rsidRPr="00A5626D">
              <w:rPr>
                <w:rFonts w:ascii="Garamond" w:eastAsia="Calibri" w:hAnsi="Garamond" w:cstheme="minorHAnsi"/>
                <w:sz w:val="22"/>
                <w:szCs w:val="22"/>
                <w:lang w:val="en-US"/>
              </w:rPr>
              <w:t>CONST/SUM/FORMULA/MOBJECT</w:t>
            </w:r>
            <w:r w:rsidRPr="00A5626D" w:rsidDel="00403BE4">
              <w:rPr>
                <w:rFonts w:ascii="Garamond" w:eastAsia="Calibri" w:hAnsi="Garamond" w:cstheme="minorHAnsi"/>
                <w:sz w:val="22"/>
                <w:szCs w:val="22"/>
                <w:lang w:val="en-US"/>
              </w:rPr>
              <w:t xml:space="preserve"> </w:t>
            </w:r>
            <w:r w:rsidRPr="00A5626D">
              <w:rPr>
                <w:rFonts w:ascii="Garamond" w:eastAsia="Calibri" w:hAnsi="Garamond" w:cstheme="minorHAnsi"/>
                <w:sz w:val="22"/>
                <w:szCs w:val="22"/>
                <w:lang w:val="en-US"/>
              </w:rPr>
              <w:t>"&gt;</w:t>
            </w:r>
          </w:p>
          <w:p w14:paraId="75FEBFAE" w14:textId="77777777" w:rsidR="00295C6D" w:rsidRPr="00A5626D" w:rsidRDefault="00295C6D" w:rsidP="00E31AE6">
            <w:pPr>
              <w:numPr>
                <w:ilvl w:val="1"/>
                <w:numId w:val="0"/>
              </w:numPr>
              <w:tabs>
                <w:tab w:val="left" w:pos="1134"/>
                <w:tab w:val="left" w:pos="7938"/>
              </w:tabs>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&lt;measuring-object</w:t>
            </w:r>
          </w:p>
          <w:p w14:paraId="490C5EA9" w14:textId="77777777" w:rsidR="00295C6D" w:rsidRPr="00A5626D" w:rsidRDefault="00295C6D" w:rsidP="00E31AE6">
            <w:pPr>
              <w:numPr>
                <w:ilvl w:val="1"/>
                <w:numId w:val="0"/>
              </w:numPr>
              <w:tabs>
                <w:tab w:val="left" w:pos="1134"/>
                <w:tab w:val="left" w:pos="7938"/>
              </w:tabs>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id-measuring-object="4n"/&gt;</w:t>
            </w:r>
          </w:p>
          <w:p w14:paraId="7A985B53" w14:textId="77777777" w:rsidR="00295C6D" w:rsidRPr="00A5626D" w:rsidRDefault="00295C6D" w:rsidP="00E31AE6">
            <w:pPr>
              <w:numPr>
                <w:ilvl w:val="1"/>
                <w:numId w:val="0"/>
              </w:numPr>
              <w:tabs>
                <w:tab w:val="left" w:pos="1134"/>
                <w:tab w:val="left" w:pos="7938"/>
              </w:tabs>
              <w:rPr>
                <w:rFonts w:ascii="Garamond" w:eastAsia="Calibri" w:hAnsi="Garamond" w:cstheme="minorHAnsi"/>
                <w:sz w:val="22"/>
                <w:szCs w:val="22"/>
                <w:lang w:val="es-ES"/>
              </w:rPr>
            </w:pPr>
            <w:r w:rsidRPr="00A5626D">
              <w:rPr>
                <w:rFonts w:ascii="Garamond" w:eastAsia="Calibri" w:hAnsi="Garamond" w:cstheme="minorHAnsi"/>
                <w:sz w:val="22"/>
                <w:szCs w:val="22"/>
                <w:lang w:val="en-US"/>
              </w:rPr>
              <w:t xml:space="preserve">                                </w:t>
            </w:r>
            <w:r w:rsidRPr="00A5626D">
              <w:rPr>
                <w:rFonts w:ascii="Garamond" w:eastAsia="Calibri" w:hAnsi="Garamond" w:cstheme="minorHAnsi"/>
                <w:sz w:val="22"/>
                <w:szCs w:val="22"/>
                <w:lang w:val="es-ES"/>
              </w:rPr>
              <w:t>&lt;calcformula&gt;</w:t>
            </w:r>
          </w:p>
          <w:p w14:paraId="41F46880" w14:textId="77777777" w:rsidR="00295C6D" w:rsidRPr="00A5626D" w:rsidRDefault="00295C6D" w:rsidP="00E31AE6">
            <w:pPr>
              <w:numPr>
                <w:ilvl w:val="1"/>
                <w:numId w:val="0"/>
              </w:numPr>
              <w:tabs>
                <w:tab w:val="left" w:pos="1134"/>
                <w:tab w:val="left" w:pos="7938"/>
              </w:tabs>
              <w:rPr>
                <w:rFonts w:ascii="Garamond" w:eastAsia="Calibri" w:hAnsi="Garamond" w:cstheme="minorHAnsi"/>
                <w:sz w:val="22"/>
                <w:szCs w:val="22"/>
                <w:lang w:val="es-ES"/>
              </w:rPr>
            </w:pPr>
            <w:r w:rsidRPr="00A5626D">
              <w:rPr>
                <w:rFonts w:ascii="Garamond" w:eastAsia="Calibri" w:hAnsi="Garamond" w:cstheme="minorHAnsi"/>
                <w:sz w:val="22"/>
                <w:szCs w:val="22"/>
                <w:lang w:val="es-ES"/>
              </w:rPr>
              <w:t xml:space="preserve">                                …</w:t>
            </w:r>
          </w:p>
          <w:p w14:paraId="5859DF53" w14:textId="77777777" w:rsidR="00295C6D" w:rsidRPr="00A5626D" w:rsidRDefault="00295C6D" w:rsidP="00E31AE6">
            <w:pPr>
              <w:numPr>
                <w:ilvl w:val="1"/>
                <w:numId w:val="0"/>
              </w:numPr>
              <w:tabs>
                <w:tab w:val="left" w:pos="1134"/>
                <w:tab w:val="left" w:pos="7938"/>
              </w:tabs>
              <w:rPr>
                <w:rFonts w:ascii="Garamond" w:eastAsia="Calibri" w:hAnsi="Garamond" w:cstheme="minorHAnsi"/>
                <w:sz w:val="22"/>
                <w:szCs w:val="22"/>
                <w:lang w:val="es-ES"/>
              </w:rPr>
            </w:pPr>
            <w:r w:rsidRPr="00A5626D">
              <w:rPr>
                <w:rFonts w:ascii="Garamond" w:eastAsia="Calibri" w:hAnsi="Garamond" w:cstheme="minorHAnsi"/>
                <w:sz w:val="22"/>
                <w:szCs w:val="22"/>
                <w:lang w:val="es-ES"/>
              </w:rPr>
              <w:t xml:space="preserve">                                &lt;/calcformula&gt;</w:t>
            </w:r>
          </w:p>
          <w:p w14:paraId="0AD9516A" w14:textId="77777777" w:rsidR="00295C6D" w:rsidRPr="00A5626D" w:rsidRDefault="00295C6D" w:rsidP="00E31AE6">
            <w:pPr>
              <w:numPr>
                <w:ilvl w:val="1"/>
                <w:numId w:val="0"/>
              </w:numPr>
              <w:tabs>
                <w:tab w:val="left" w:pos="1134"/>
                <w:tab w:val="left" w:pos="7938"/>
              </w:tabs>
              <w:rPr>
                <w:rFonts w:ascii="Garamond" w:eastAsia="Calibri" w:hAnsi="Garamond" w:cstheme="minorHAnsi"/>
                <w:sz w:val="22"/>
                <w:szCs w:val="22"/>
                <w:lang w:val="es-ES"/>
              </w:rPr>
            </w:pPr>
            <w:r w:rsidRPr="00A5626D">
              <w:rPr>
                <w:rFonts w:ascii="Garamond" w:eastAsia="Calibri" w:hAnsi="Garamond" w:cstheme="minorHAnsi"/>
                <w:sz w:val="22"/>
                <w:szCs w:val="22"/>
                <w:lang w:val="es-ES"/>
              </w:rPr>
              <w:t xml:space="preserve">                                &lt;calcsum&gt;</w:t>
            </w:r>
          </w:p>
          <w:p w14:paraId="4E151651" w14:textId="77777777" w:rsidR="00295C6D" w:rsidRPr="00A5626D" w:rsidRDefault="00295C6D" w:rsidP="00E31AE6">
            <w:pPr>
              <w:numPr>
                <w:ilvl w:val="1"/>
                <w:numId w:val="0"/>
              </w:numPr>
              <w:tabs>
                <w:tab w:val="left" w:pos="1134"/>
                <w:tab w:val="left" w:pos="7938"/>
              </w:tabs>
              <w:rPr>
                <w:rFonts w:ascii="Garamond" w:eastAsia="Calibri" w:hAnsi="Garamond" w:cstheme="minorHAnsi"/>
                <w:sz w:val="22"/>
                <w:szCs w:val="22"/>
                <w:lang w:val="es-ES"/>
              </w:rPr>
            </w:pPr>
            <w:r w:rsidRPr="00A5626D">
              <w:rPr>
                <w:rFonts w:ascii="Garamond" w:eastAsia="Calibri" w:hAnsi="Garamond" w:cstheme="minorHAnsi"/>
                <w:sz w:val="22"/>
                <w:szCs w:val="22"/>
                <w:lang w:val="es-ES"/>
              </w:rPr>
              <w:t xml:space="preserve">                                …</w:t>
            </w:r>
          </w:p>
          <w:p w14:paraId="1A05EDDB" w14:textId="77777777" w:rsidR="00295C6D" w:rsidRPr="00A5626D" w:rsidRDefault="00295C6D" w:rsidP="00E31AE6">
            <w:pPr>
              <w:numPr>
                <w:ilvl w:val="1"/>
                <w:numId w:val="0"/>
              </w:numPr>
              <w:tabs>
                <w:tab w:val="left" w:pos="1134"/>
                <w:tab w:val="left" w:pos="7938"/>
              </w:tabs>
              <w:rPr>
                <w:rFonts w:ascii="Garamond" w:eastAsia="Calibri" w:hAnsi="Garamond" w:cstheme="minorHAnsi"/>
                <w:sz w:val="22"/>
                <w:szCs w:val="22"/>
                <w:lang w:val="es-ES"/>
              </w:rPr>
            </w:pPr>
            <w:r w:rsidRPr="00A5626D">
              <w:rPr>
                <w:rFonts w:ascii="Garamond" w:eastAsia="Calibri" w:hAnsi="Garamond" w:cstheme="minorHAnsi"/>
                <w:sz w:val="22"/>
                <w:szCs w:val="22"/>
                <w:lang w:val="es-ES"/>
              </w:rPr>
              <w:t xml:space="preserve">                                &lt;/calcsum&gt;</w:t>
            </w:r>
          </w:p>
          <w:p w14:paraId="7082A886" w14:textId="77777777" w:rsidR="00295C6D" w:rsidRPr="00A5626D" w:rsidRDefault="00295C6D" w:rsidP="00E31AE6">
            <w:pPr>
              <w:numPr>
                <w:ilvl w:val="1"/>
                <w:numId w:val="0"/>
              </w:numPr>
              <w:tabs>
                <w:tab w:val="left" w:pos="1134"/>
                <w:tab w:val="left" w:pos="7938"/>
              </w:tabs>
              <w:rPr>
                <w:rFonts w:ascii="Garamond" w:eastAsia="Calibri" w:hAnsi="Garamond" w:cstheme="minorHAnsi"/>
                <w:sz w:val="22"/>
                <w:szCs w:val="22"/>
                <w:lang w:val="es-ES"/>
              </w:rPr>
            </w:pPr>
            <w:r w:rsidRPr="00A5626D">
              <w:rPr>
                <w:rFonts w:ascii="Garamond" w:eastAsia="Calibri" w:hAnsi="Garamond" w:cstheme="minorHAnsi"/>
                <w:sz w:val="22"/>
                <w:szCs w:val="22"/>
                <w:lang w:val="es-ES"/>
              </w:rPr>
              <w:lastRenderedPageBreak/>
              <w:t xml:space="preserve">                                &lt;constvalue&gt;</w:t>
            </w:r>
          </w:p>
          <w:p w14:paraId="5F87FED6" w14:textId="77777777" w:rsidR="00295C6D" w:rsidRPr="00A5626D" w:rsidRDefault="00295C6D" w:rsidP="00E31AE6">
            <w:pPr>
              <w:numPr>
                <w:ilvl w:val="1"/>
                <w:numId w:val="0"/>
              </w:numPr>
              <w:tabs>
                <w:tab w:val="left" w:pos="1134"/>
                <w:tab w:val="left" w:pos="7938"/>
              </w:tabs>
              <w:rPr>
                <w:rFonts w:ascii="Garamond" w:eastAsia="Calibri" w:hAnsi="Garamond" w:cstheme="minorHAnsi"/>
                <w:sz w:val="22"/>
                <w:szCs w:val="22"/>
                <w:lang w:val="en-US"/>
              </w:rPr>
            </w:pPr>
            <w:r w:rsidRPr="00A5626D">
              <w:rPr>
                <w:rFonts w:ascii="Garamond" w:eastAsia="Calibri" w:hAnsi="Garamond" w:cstheme="minorHAnsi"/>
                <w:sz w:val="22"/>
                <w:szCs w:val="22"/>
                <w:lang w:val="es-ES"/>
              </w:rPr>
              <w:t xml:space="preserve">                                </w:t>
            </w:r>
            <w:r w:rsidRPr="00A5626D">
              <w:rPr>
                <w:rFonts w:ascii="Garamond" w:eastAsia="Calibri" w:hAnsi="Garamond" w:cstheme="minorHAnsi"/>
                <w:sz w:val="22"/>
                <w:szCs w:val="22"/>
                <w:lang w:val="en-US"/>
              </w:rPr>
              <w:t>"32n"</w:t>
            </w:r>
          </w:p>
          <w:p w14:paraId="7F482FC8" w14:textId="77777777" w:rsidR="00295C6D" w:rsidRPr="00A5626D" w:rsidRDefault="00295C6D" w:rsidP="00E31AE6">
            <w:pPr>
              <w:numPr>
                <w:ilvl w:val="1"/>
                <w:numId w:val="0"/>
              </w:numPr>
              <w:tabs>
                <w:tab w:val="left" w:pos="1134"/>
                <w:tab w:val="left" w:pos="7938"/>
              </w:tabs>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&lt;/constvalue&gt;</w:t>
            </w:r>
          </w:p>
          <w:p w14:paraId="0F5DF5E8" w14:textId="77777777" w:rsidR="00295C6D" w:rsidRPr="00A5626D" w:rsidRDefault="00295C6D" w:rsidP="00E31AE6">
            <w:pPr>
              <w:numPr>
                <w:ilvl w:val="1"/>
                <w:numId w:val="0"/>
              </w:numPr>
              <w:tabs>
                <w:tab w:val="left" w:pos="1134"/>
                <w:tab w:val="left" w:pos="7938"/>
              </w:tabs>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&lt;/param&gt;</w:t>
            </w:r>
          </w:p>
          <w:p w14:paraId="22AF8EA3" w14:textId="77777777" w:rsidR="00295C6D" w:rsidRPr="00A5626D" w:rsidRDefault="00295C6D" w:rsidP="00E31AE6">
            <w:pPr>
              <w:numPr>
                <w:ilvl w:val="1"/>
                <w:numId w:val="0"/>
              </w:numPr>
              <w:tabs>
                <w:tab w:val="left" w:pos="1134"/>
                <w:tab w:val="left" w:pos="7938"/>
              </w:tabs>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&lt;/calcformula&gt;</w:t>
            </w:r>
          </w:p>
          <w:p w14:paraId="43FFD663" w14:textId="77777777" w:rsidR="00295C6D" w:rsidRPr="00A5626D" w:rsidRDefault="00295C6D" w:rsidP="00E31AE6">
            <w:pPr>
              <w:numPr>
                <w:ilvl w:val="1"/>
                <w:numId w:val="0"/>
              </w:numPr>
              <w:tabs>
                <w:tab w:val="left" w:pos="1134"/>
                <w:tab w:val="left" w:pos="7938"/>
              </w:tabs>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&lt;/send-losses&gt;</w:t>
            </w:r>
          </w:p>
          <w:p w14:paraId="48D05F44" w14:textId="77777777" w:rsidR="00295C6D" w:rsidRPr="00A5626D" w:rsidRDefault="00295C6D" w:rsidP="00E31AE6">
            <w:pPr>
              <w:numPr>
                <w:ilvl w:val="1"/>
                <w:numId w:val="0"/>
              </w:numPr>
              <w:tabs>
                <w:tab w:val="left" w:pos="1134"/>
                <w:tab w:val="left" w:pos="7938"/>
              </w:tabs>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&lt;receive-losses&gt;</w:t>
            </w:r>
          </w:p>
          <w:p w14:paraId="7CE3A298" w14:textId="77777777" w:rsidR="00295C6D" w:rsidRPr="00A5626D" w:rsidRDefault="00295C6D" w:rsidP="00E31AE6">
            <w:pPr>
              <w:numPr>
                <w:ilvl w:val="1"/>
                <w:numId w:val="0"/>
              </w:numPr>
              <w:tabs>
                <w:tab w:val="left" w:pos="1134"/>
                <w:tab w:val="left" w:pos="7938"/>
              </w:tabs>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&lt;comment&gt;</w:t>
            </w:r>
          </w:p>
          <w:p w14:paraId="43E19AD4" w14:textId="77777777" w:rsidR="00295C6D" w:rsidRPr="00A5626D" w:rsidRDefault="00295C6D" w:rsidP="00E31AE6">
            <w:pPr>
              <w:numPr>
                <w:ilvl w:val="1"/>
                <w:numId w:val="0"/>
              </w:numPr>
              <w:tabs>
                <w:tab w:val="left" w:pos="1134"/>
                <w:tab w:val="left" w:pos="7938"/>
              </w:tabs>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&lt;![CDATA[…]]&gt;</w:t>
            </w:r>
          </w:p>
          <w:p w14:paraId="40FD895D" w14:textId="77777777" w:rsidR="00295C6D" w:rsidRPr="00A5626D" w:rsidRDefault="00295C6D" w:rsidP="00E31AE6">
            <w:pPr>
              <w:numPr>
                <w:ilvl w:val="1"/>
                <w:numId w:val="0"/>
              </w:numPr>
              <w:tabs>
                <w:tab w:val="left" w:pos="1134"/>
                <w:tab w:val="left" w:pos="7938"/>
              </w:tabs>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&lt;/comment&gt;</w:t>
            </w:r>
          </w:p>
          <w:p w14:paraId="598B8029" w14:textId="77777777" w:rsidR="00295C6D" w:rsidRPr="00A5626D" w:rsidRDefault="00295C6D" w:rsidP="00E31AE6">
            <w:pPr>
              <w:numPr>
                <w:ilvl w:val="1"/>
                <w:numId w:val="0"/>
              </w:numPr>
              <w:tabs>
                <w:tab w:val="left" w:pos="1134"/>
                <w:tab w:val="left" w:pos="7938"/>
              </w:tabs>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&lt;calcformula</w:t>
            </w:r>
          </w:p>
          <w:p w14:paraId="57C09AC1" w14:textId="77777777" w:rsidR="00295C6D" w:rsidRPr="00A5626D" w:rsidRDefault="00295C6D" w:rsidP="00E31AE6">
            <w:pPr>
              <w:numPr>
                <w:ilvl w:val="1"/>
                <w:numId w:val="0"/>
              </w:numPr>
              <w:tabs>
                <w:tab w:val="left" w:pos="1134"/>
                <w:tab w:val="left" w:pos="7938"/>
              </w:tabs>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name="50x"&gt;</w:t>
            </w:r>
          </w:p>
          <w:p w14:paraId="12FDD39B" w14:textId="77777777" w:rsidR="00295C6D" w:rsidRPr="00A5626D" w:rsidRDefault="00295C6D" w:rsidP="00E31AE6">
            <w:pPr>
              <w:numPr>
                <w:ilvl w:val="1"/>
                <w:numId w:val="0"/>
              </w:numPr>
              <w:tabs>
                <w:tab w:val="left" w:pos="1134"/>
                <w:tab w:val="left" w:pos="7938"/>
              </w:tabs>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&lt;param</w:t>
            </w:r>
          </w:p>
          <w:p w14:paraId="2EAB8D98" w14:textId="77777777" w:rsidR="00295C6D" w:rsidRPr="00A5626D" w:rsidRDefault="00295C6D" w:rsidP="00E31AE6">
            <w:pPr>
              <w:numPr>
                <w:ilvl w:val="1"/>
                <w:numId w:val="0"/>
              </w:numPr>
              <w:tabs>
                <w:tab w:val="left" w:pos="1134"/>
                <w:tab w:val="left" w:pos="7938"/>
              </w:tabs>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name="50x"</w:t>
            </w:r>
          </w:p>
          <w:p w14:paraId="0663C11C" w14:textId="77777777" w:rsidR="00295C6D" w:rsidRPr="00A5626D" w:rsidRDefault="00295C6D" w:rsidP="00E31AE6">
            <w:pPr>
              <w:numPr>
                <w:ilvl w:val="1"/>
                <w:numId w:val="0"/>
              </w:numPr>
              <w:tabs>
                <w:tab w:val="left" w:pos="1134"/>
                <w:tab w:val="left" w:pos="7938"/>
              </w:tabs>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type="10x"&gt;</w:t>
            </w:r>
          </w:p>
          <w:p w14:paraId="3BF40E30" w14:textId="77777777" w:rsidR="00295C6D" w:rsidRPr="00A5626D" w:rsidRDefault="00295C6D" w:rsidP="00E31AE6">
            <w:pPr>
              <w:numPr>
                <w:ilvl w:val="1"/>
                <w:numId w:val="0"/>
              </w:numPr>
              <w:tabs>
                <w:tab w:val="left" w:pos="1134"/>
                <w:tab w:val="left" w:pos="7938"/>
              </w:tabs>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&lt;measuring-object</w:t>
            </w:r>
          </w:p>
          <w:p w14:paraId="1CD11810" w14:textId="77777777" w:rsidR="00295C6D" w:rsidRPr="00A5626D" w:rsidRDefault="00295C6D" w:rsidP="00E31AE6">
            <w:pPr>
              <w:numPr>
                <w:ilvl w:val="1"/>
                <w:numId w:val="0"/>
              </w:numPr>
              <w:tabs>
                <w:tab w:val="left" w:pos="1134"/>
                <w:tab w:val="left" w:pos="7938"/>
              </w:tabs>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id-measuring-object="4n"/&gt;</w:t>
            </w:r>
          </w:p>
          <w:p w14:paraId="1C94E260" w14:textId="77777777" w:rsidR="00295C6D" w:rsidRPr="00A5626D" w:rsidRDefault="00295C6D" w:rsidP="00E31AE6">
            <w:pPr>
              <w:numPr>
                <w:ilvl w:val="1"/>
                <w:numId w:val="0"/>
              </w:numPr>
              <w:tabs>
                <w:tab w:val="left" w:pos="1134"/>
                <w:tab w:val="left" w:pos="7938"/>
              </w:tabs>
              <w:rPr>
                <w:rFonts w:ascii="Garamond" w:eastAsia="Calibri" w:hAnsi="Garamond" w:cstheme="minorHAnsi"/>
                <w:sz w:val="22"/>
                <w:szCs w:val="22"/>
                <w:lang w:val="es-ES"/>
              </w:rPr>
            </w:pPr>
            <w:r w:rsidRPr="00A5626D">
              <w:rPr>
                <w:rFonts w:ascii="Garamond" w:eastAsia="Calibri" w:hAnsi="Garamond" w:cstheme="minorHAnsi"/>
                <w:sz w:val="22"/>
                <w:szCs w:val="22"/>
                <w:lang w:val="en-US"/>
              </w:rPr>
              <w:t xml:space="preserve">                                </w:t>
            </w:r>
            <w:r w:rsidRPr="00A5626D">
              <w:rPr>
                <w:rFonts w:ascii="Garamond" w:eastAsia="Calibri" w:hAnsi="Garamond" w:cstheme="minorHAnsi"/>
                <w:sz w:val="22"/>
                <w:szCs w:val="22"/>
                <w:lang w:val="es-ES"/>
              </w:rPr>
              <w:t>&lt;calcformula&gt;</w:t>
            </w:r>
          </w:p>
          <w:p w14:paraId="16BD3812" w14:textId="77777777" w:rsidR="00295C6D" w:rsidRPr="00A5626D" w:rsidRDefault="00295C6D" w:rsidP="00E31AE6">
            <w:pPr>
              <w:numPr>
                <w:ilvl w:val="1"/>
                <w:numId w:val="0"/>
              </w:numPr>
              <w:tabs>
                <w:tab w:val="left" w:pos="1134"/>
                <w:tab w:val="left" w:pos="7938"/>
              </w:tabs>
              <w:rPr>
                <w:rFonts w:ascii="Garamond" w:eastAsia="Calibri" w:hAnsi="Garamond" w:cstheme="minorHAnsi"/>
                <w:sz w:val="22"/>
                <w:szCs w:val="22"/>
                <w:lang w:val="es-ES"/>
              </w:rPr>
            </w:pPr>
            <w:r w:rsidRPr="00A5626D">
              <w:rPr>
                <w:rFonts w:ascii="Garamond" w:eastAsia="Calibri" w:hAnsi="Garamond" w:cstheme="minorHAnsi"/>
                <w:sz w:val="22"/>
                <w:szCs w:val="22"/>
                <w:lang w:val="es-ES"/>
              </w:rPr>
              <w:t xml:space="preserve">                                …</w:t>
            </w:r>
          </w:p>
          <w:p w14:paraId="741CD10B" w14:textId="77777777" w:rsidR="00295C6D" w:rsidRPr="00A5626D" w:rsidRDefault="00295C6D" w:rsidP="00E31AE6">
            <w:pPr>
              <w:numPr>
                <w:ilvl w:val="1"/>
                <w:numId w:val="0"/>
              </w:numPr>
              <w:tabs>
                <w:tab w:val="left" w:pos="1134"/>
                <w:tab w:val="left" w:pos="7938"/>
              </w:tabs>
              <w:rPr>
                <w:rFonts w:ascii="Garamond" w:eastAsia="Calibri" w:hAnsi="Garamond" w:cstheme="minorHAnsi"/>
                <w:sz w:val="22"/>
                <w:szCs w:val="22"/>
                <w:lang w:val="es-ES"/>
              </w:rPr>
            </w:pPr>
            <w:r w:rsidRPr="00A5626D">
              <w:rPr>
                <w:rFonts w:ascii="Garamond" w:eastAsia="Calibri" w:hAnsi="Garamond" w:cstheme="minorHAnsi"/>
                <w:sz w:val="22"/>
                <w:szCs w:val="22"/>
                <w:lang w:val="es-ES"/>
              </w:rPr>
              <w:t xml:space="preserve">                                &lt;/calcformula&gt;</w:t>
            </w:r>
          </w:p>
          <w:p w14:paraId="108C9048" w14:textId="77777777" w:rsidR="00295C6D" w:rsidRPr="00A5626D" w:rsidRDefault="00295C6D" w:rsidP="00E31AE6">
            <w:pPr>
              <w:numPr>
                <w:ilvl w:val="1"/>
                <w:numId w:val="0"/>
              </w:numPr>
              <w:tabs>
                <w:tab w:val="left" w:pos="1134"/>
                <w:tab w:val="left" w:pos="7938"/>
              </w:tabs>
              <w:rPr>
                <w:rFonts w:ascii="Garamond" w:eastAsia="Calibri" w:hAnsi="Garamond" w:cstheme="minorHAnsi"/>
                <w:sz w:val="22"/>
                <w:szCs w:val="22"/>
                <w:lang w:val="es-ES"/>
              </w:rPr>
            </w:pPr>
            <w:r w:rsidRPr="00A5626D">
              <w:rPr>
                <w:rFonts w:ascii="Garamond" w:eastAsia="Calibri" w:hAnsi="Garamond" w:cstheme="minorHAnsi"/>
                <w:sz w:val="22"/>
                <w:szCs w:val="22"/>
                <w:lang w:val="es-ES"/>
              </w:rPr>
              <w:t xml:space="preserve">                                &lt;calcsum&gt;</w:t>
            </w:r>
          </w:p>
          <w:p w14:paraId="7B87C23D" w14:textId="77777777" w:rsidR="00295C6D" w:rsidRPr="00A5626D" w:rsidRDefault="00295C6D" w:rsidP="00E31AE6">
            <w:pPr>
              <w:numPr>
                <w:ilvl w:val="1"/>
                <w:numId w:val="0"/>
              </w:numPr>
              <w:tabs>
                <w:tab w:val="left" w:pos="1134"/>
                <w:tab w:val="left" w:pos="7938"/>
              </w:tabs>
              <w:rPr>
                <w:rFonts w:ascii="Garamond" w:eastAsia="Calibri" w:hAnsi="Garamond" w:cstheme="minorHAnsi"/>
                <w:sz w:val="22"/>
                <w:szCs w:val="22"/>
                <w:lang w:val="es-ES"/>
              </w:rPr>
            </w:pPr>
            <w:r w:rsidRPr="00A5626D">
              <w:rPr>
                <w:rFonts w:ascii="Garamond" w:eastAsia="Calibri" w:hAnsi="Garamond" w:cstheme="minorHAnsi"/>
                <w:sz w:val="22"/>
                <w:szCs w:val="22"/>
                <w:lang w:val="es-ES"/>
              </w:rPr>
              <w:t xml:space="preserve">                                …</w:t>
            </w:r>
          </w:p>
          <w:p w14:paraId="2233A52F" w14:textId="77777777" w:rsidR="00295C6D" w:rsidRPr="00A5626D" w:rsidRDefault="00295C6D" w:rsidP="00E31AE6">
            <w:pPr>
              <w:numPr>
                <w:ilvl w:val="1"/>
                <w:numId w:val="0"/>
              </w:numPr>
              <w:tabs>
                <w:tab w:val="left" w:pos="1134"/>
                <w:tab w:val="left" w:pos="7938"/>
              </w:tabs>
              <w:rPr>
                <w:rFonts w:ascii="Garamond" w:eastAsia="Calibri" w:hAnsi="Garamond" w:cstheme="minorHAnsi"/>
                <w:sz w:val="22"/>
                <w:szCs w:val="22"/>
                <w:lang w:val="es-ES"/>
              </w:rPr>
            </w:pPr>
            <w:r w:rsidRPr="00A5626D">
              <w:rPr>
                <w:rFonts w:ascii="Garamond" w:eastAsia="Calibri" w:hAnsi="Garamond" w:cstheme="minorHAnsi"/>
                <w:sz w:val="22"/>
                <w:szCs w:val="22"/>
                <w:lang w:val="es-ES"/>
              </w:rPr>
              <w:t xml:space="preserve">                                &lt;/calcsum&gt;</w:t>
            </w:r>
          </w:p>
          <w:p w14:paraId="3254BBD7" w14:textId="77777777" w:rsidR="00295C6D" w:rsidRPr="00A5626D" w:rsidRDefault="00295C6D" w:rsidP="00E31AE6">
            <w:pPr>
              <w:numPr>
                <w:ilvl w:val="1"/>
                <w:numId w:val="0"/>
              </w:numPr>
              <w:tabs>
                <w:tab w:val="left" w:pos="1134"/>
                <w:tab w:val="left" w:pos="7938"/>
              </w:tabs>
              <w:rPr>
                <w:rFonts w:ascii="Garamond" w:eastAsia="Calibri" w:hAnsi="Garamond" w:cstheme="minorHAnsi"/>
                <w:sz w:val="22"/>
                <w:szCs w:val="22"/>
                <w:lang w:val="es-ES"/>
              </w:rPr>
            </w:pPr>
            <w:r w:rsidRPr="00A5626D">
              <w:rPr>
                <w:rFonts w:ascii="Garamond" w:eastAsia="Calibri" w:hAnsi="Garamond" w:cstheme="minorHAnsi"/>
                <w:sz w:val="22"/>
                <w:szCs w:val="22"/>
                <w:lang w:val="es-ES"/>
              </w:rPr>
              <w:t xml:space="preserve">                                &lt;constvalue&gt;</w:t>
            </w:r>
          </w:p>
          <w:p w14:paraId="77B6F0AF" w14:textId="77777777" w:rsidR="00295C6D" w:rsidRPr="00A5626D" w:rsidRDefault="00295C6D" w:rsidP="00E31AE6">
            <w:pPr>
              <w:numPr>
                <w:ilvl w:val="1"/>
                <w:numId w:val="0"/>
              </w:numPr>
              <w:tabs>
                <w:tab w:val="left" w:pos="1134"/>
                <w:tab w:val="left" w:pos="7938"/>
              </w:tabs>
              <w:rPr>
                <w:rFonts w:ascii="Garamond" w:eastAsia="Calibri" w:hAnsi="Garamond" w:cstheme="minorHAnsi"/>
                <w:sz w:val="22"/>
                <w:szCs w:val="22"/>
                <w:lang w:val="en-US"/>
              </w:rPr>
            </w:pPr>
            <w:r w:rsidRPr="00A5626D">
              <w:rPr>
                <w:rFonts w:ascii="Garamond" w:eastAsia="Calibri" w:hAnsi="Garamond" w:cstheme="minorHAnsi"/>
                <w:sz w:val="22"/>
                <w:szCs w:val="22"/>
                <w:lang w:val="es-ES"/>
              </w:rPr>
              <w:t xml:space="preserve">                                </w:t>
            </w:r>
            <w:r w:rsidRPr="00A5626D">
              <w:rPr>
                <w:rFonts w:ascii="Garamond" w:eastAsia="Calibri" w:hAnsi="Garamond" w:cstheme="minorHAnsi"/>
                <w:sz w:val="22"/>
                <w:szCs w:val="22"/>
                <w:lang w:val="en-US"/>
              </w:rPr>
              <w:t>"32n"</w:t>
            </w:r>
          </w:p>
          <w:p w14:paraId="403C51A6" w14:textId="77777777" w:rsidR="00295C6D" w:rsidRPr="00A5626D" w:rsidRDefault="00295C6D" w:rsidP="00E31AE6">
            <w:pPr>
              <w:numPr>
                <w:ilvl w:val="1"/>
                <w:numId w:val="0"/>
              </w:numPr>
              <w:tabs>
                <w:tab w:val="left" w:pos="1134"/>
                <w:tab w:val="left" w:pos="7938"/>
              </w:tabs>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&lt;/constvalue&gt;</w:t>
            </w:r>
          </w:p>
          <w:p w14:paraId="651532AE" w14:textId="77777777" w:rsidR="00295C6D" w:rsidRPr="00A5626D" w:rsidRDefault="00295C6D" w:rsidP="00E31AE6">
            <w:pPr>
              <w:numPr>
                <w:ilvl w:val="1"/>
                <w:numId w:val="0"/>
              </w:numPr>
              <w:tabs>
                <w:tab w:val="left" w:pos="1134"/>
                <w:tab w:val="left" w:pos="7938"/>
              </w:tabs>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&lt;/param&gt;</w:t>
            </w:r>
          </w:p>
          <w:p w14:paraId="79463432" w14:textId="77777777" w:rsidR="00295C6D" w:rsidRPr="00A5626D" w:rsidRDefault="00295C6D" w:rsidP="00E31AE6">
            <w:pPr>
              <w:numPr>
                <w:ilvl w:val="1"/>
                <w:numId w:val="0"/>
              </w:numPr>
              <w:tabs>
                <w:tab w:val="left" w:pos="1134"/>
                <w:tab w:val="left" w:pos="7938"/>
              </w:tabs>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&lt;/calcformula&gt;</w:t>
            </w:r>
          </w:p>
          <w:p w14:paraId="154D4D17" w14:textId="77777777" w:rsidR="00295C6D" w:rsidRPr="00A5626D" w:rsidRDefault="00295C6D" w:rsidP="00E31AE6">
            <w:pPr>
              <w:numPr>
                <w:ilvl w:val="1"/>
                <w:numId w:val="0"/>
              </w:numPr>
              <w:tabs>
                <w:tab w:val="left" w:pos="1134"/>
                <w:tab w:val="left" w:pos="7938"/>
              </w:tabs>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&lt;/receive-losses&gt;</w:t>
            </w:r>
          </w:p>
          <w:p w14:paraId="5193269F" w14:textId="77777777" w:rsidR="00295C6D" w:rsidRPr="00A5626D" w:rsidRDefault="00295C6D" w:rsidP="00E31AE6">
            <w:pPr>
              <w:numPr>
                <w:ilvl w:val="1"/>
                <w:numId w:val="0"/>
              </w:numPr>
              <w:tabs>
                <w:tab w:val="left" w:pos="1134"/>
                <w:tab w:val="left" w:pos="7938"/>
              </w:tabs>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&lt;/aup-delivery-point&gt;</w:t>
            </w:r>
          </w:p>
          <w:p w14:paraId="153D959B" w14:textId="77777777" w:rsidR="00295C6D" w:rsidRPr="00A5626D" w:rsidRDefault="00295C6D" w:rsidP="00E31AE6">
            <w:pPr>
              <w:numPr>
                <w:ilvl w:val="1"/>
                <w:numId w:val="0"/>
              </w:numPr>
              <w:tabs>
                <w:tab w:val="left" w:pos="1134"/>
                <w:tab w:val="left" w:pos="7938"/>
              </w:tabs>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&lt;/aup-delivery-points&gt;</w:t>
            </w:r>
          </w:p>
          <w:p w14:paraId="76A107BD" w14:textId="77777777" w:rsidR="00295C6D" w:rsidRPr="00A5626D" w:rsidRDefault="00295C6D" w:rsidP="00E31AE6">
            <w:pPr>
              <w:numPr>
                <w:ilvl w:val="1"/>
                <w:numId w:val="0"/>
              </w:numPr>
              <w:tabs>
                <w:tab w:val="left" w:pos="1134"/>
                <w:tab w:val="left" w:pos="7938"/>
              </w:tabs>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&lt;peretok</w:t>
            </w:r>
          </w:p>
          <w:p w14:paraId="1AB2D2DA" w14:textId="77777777" w:rsidR="00295C6D" w:rsidRPr="00A5626D" w:rsidRDefault="00295C6D" w:rsidP="00E31AE6">
            <w:pPr>
              <w:numPr>
                <w:ilvl w:val="1"/>
                <w:numId w:val="0"/>
              </w:numPr>
              <w:tabs>
                <w:tab w:val="left" w:pos="1134"/>
                <w:tab w:val="left" w:pos="7938"/>
              </w:tabs>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id-gtp-from="1n"</w:t>
            </w:r>
          </w:p>
          <w:p w14:paraId="594FABF7" w14:textId="77777777" w:rsidR="00295C6D" w:rsidRPr="00A5626D" w:rsidRDefault="00295C6D" w:rsidP="00E31AE6">
            <w:pPr>
              <w:numPr>
                <w:ilvl w:val="1"/>
                <w:numId w:val="0"/>
              </w:numPr>
              <w:tabs>
                <w:tab w:val="left" w:pos="1134"/>
                <w:tab w:val="left" w:pos="7938"/>
              </w:tabs>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id-gtp-to="1n"</w:t>
            </w:r>
          </w:p>
          <w:p w14:paraId="60851A77" w14:textId="77777777" w:rsidR="00295C6D" w:rsidRPr="00A5626D" w:rsidRDefault="00295C6D" w:rsidP="00E31AE6">
            <w:pPr>
              <w:numPr>
                <w:ilvl w:val="1"/>
                <w:numId w:val="0"/>
              </w:numPr>
              <w:tabs>
                <w:tab w:val="left" w:pos="1134"/>
                <w:tab w:val="left" w:pos="7938"/>
              </w:tabs>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section-type="1n"&gt;</w:t>
            </w:r>
          </w:p>
          <w:p w14:paraId="6D552B1C" w14:textId="77777777" w:rsidR="00295C6D" w:rsidRPr="00A5626D" w:rsidRDefault="00295C6D" w:rsidP="00E31AE6">
            <w:pPr>
              <w:numPr>
                <w:ilvl w:val="1"/>
                <w:numId w:val="0"/>
              </w:numPr>
              <w:tabs>
                <w:tab w:val="left" w:pos="1134"/>
                <w:tab w:val="left" w:pos="7938"/>
              </w:tabs>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&lt;calcformula-or-rr  </w:t>
            </w:r>
          </w:p>
          <w:p w14:paraId="7763AFE1" w14:textId="77777777" w:rsidR="00295C6D" w:rsidRPr="00A5626D" w:rsidRDefault="00295C6D" w:rsidP="00E31AE6">
            <w:pPr>
              <w:numPr>
                <w:ilvl w:val="1"/>
                <w:numId w:val="0"/>
              </w:numPr>
              <w:tabs>
                <w:tab w:val="left" w:pos="1134"/>
                <w:tab w:val="left" w:pos="7938"/>
              </w:tabs>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name="250x"&gt;</w:t>
            </w:r>
          </w:p>
          <w:p w14:paraId="465F3B5B" w14:textId="77777777" w:rsidR="00295C6D" w:rsidRPr="00A5626D" w:rsidRDefault="00295C6D" w:rsidP="00E31AE6">
            <w:pPr>
              <w:numPr>
                <w:ilvl w:val="1"/>
                <w:numId w:val="0"/>
              </w:numPr>
              <w:tabs>
                <w:tab w:val="left" w:pos="1134"/>
                <w:tab w:val="left" w:pos="7938"/>
              </w:tabs>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&lt;or</w:t>
            </w:r>
          </w:p>
          <w:p w14:paraId="4E74EC32" w14:textId="77777777" w:rsidR="00295C6D" w:rsidRPr="00A5626D" w:rsidRDefault="00295C6D" w:rsidP="00E31AE6">
            <w:pPr>
              <w:numPr>
                <w:ilvl w:val="1"/>
                <w:numId w:val="0"/>
              </w:numPr>
              <w:tabs>
                <w:tab w:val="left" w:pos="1134"/>
                <w:tab w:val="left" w:pos="7938"/>
              </w:tabs>
              <w:rPr>
                <w:rFonts w:ascii="Garamond" w:eastAsia="Calibri" w:hAnsi="Garamond" w:cstheme="minorHAnsi"/>
                <w:sz w:val="22"/>
                <w:szCs w:val="22"/>
                <w:lang w:val="en-US"/>
              </w:rPr>
            </w:pPr>
            <w:r w:rsidRPr="00A5626D">
              <w:rPr>
                <w:rFonts w:ascii="Garamond" w:eastAsia="Calibri" w:hAnsi="Garamond" w:cstheme="minorHAnsi"/>
                <w:sz w:val="22"/>
                <w:szCs w:val="22"/>
                <w:lang w:val="en-US"/>
              </w:rPr>
              <w:lastRenderedPageBreak/>
              <w:t xml:space="preserve">                        id-delivery-point="4n" </w:t>
            </w:r>
          </w:p>
          <w:p w14:paraId="769627B5" w14:textId="77777777" w:rsidR="00295C6D" w:rsidRPr="00A5626D" w:rsidRDefault="00295C6D" w:rsidP="00E31AE6">
            <w:pPr>
              <w:numPr>
                <w:ilvl w:val="1"/>
                <w:numId w:val="0"/>
              </w:numPr>
              <w:tabs>
                <w:tab w:val="left" w:pos="1134"/>
                <w:tab w:val="left" w:pos="7938"/>
              </w:tabs>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send-receive="send/receive" </w:t>
            </w:r>
          </w:p>
          <w:p w14:paraId="797E3A05" w14:textId="77777777" w:rsidR="00295C6D" w:rsidRPr="00A5626D" w:rsidRDefault="00295C6D" w:rsidP="00E31AE6">
            <w:pPr>
              <w:numPr>
                <w:ilvl w:val="1"/>
                <w:numId w:val="0"/>
              </w:numPr>
              <w:tabs>
                <w:tab w:val="left" w:pos="1134"/>
                <w:tab w:val="left" w:pos="7938"/>
              </w:tabs>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id-aiis="1n" </w:t>
            </w:r>
          </w:p>
          <w:p w14:paraId="7A84C7FA" w14:textId="77777777" w:rsidR="00295C6D" w:rsidRPr="00A5626D" w:rsidRDefault="00295C6D" w:rsidP="00E31AE6">
            <w:pPr>
              <w:numPr>
                <w:ilvl w:val="1"/>
                <w:numId w:val="0"/>
              </w:numPr>
              <w:tabs>
                <w:tab w:val="left" w:pos="1134"/>
                <w:tab w:val="left" w:pos="7938"/>
              </w:tabs>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id-org="1n" </w:t>
            </w:r>
          </w:p>
          <w:p w14:paraId="52F8ACE4" w14:textId="77777777" w:rsidR="00295C6D" w:rsidRPr="00A5626D" w:rsidRDefault="00295C6D" w:rsidP="00E31AE6">
            <w:pPr>
              <w:numPr>
                <w:ilvl w:val="1"/>
                <w:numId w:val="0"/>
              </w:numPr>
              <w:tabs>
                <w:tab w:val="left" w:pos="1134"/>
                <w:tab w:val="left" w:pos="7938"/>
              </w:tabs>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coefficient="2n"/&gt;</w:t>
            </w:r>
          </w:p>
          <w:p w14:paraId="290D9666" w14:textId="77777777" w:rsidR="00295C6D" w:rsidRPr="00A5626D" w:rsidRDefault="00295C6D" w:rsidP="00E31AE6">
            <w:pPr>
              <w:numPr>
                <w:ilvl w:val="1"/>
                <w:numId w:val="0"/>
              </w:numPr>
              <w:tabs>
                <w:tab w:val="left" w:pos="1134"/>
                <w:tab w:val="left" w:pos="7938"/>
              </w:tabs>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&lt;rr</w:t>
            </w:r>
          </w:p>
          <w:p w14:paraId="094F8C4B" w14:textId="77777777" w:rsidR="00295C6D" w:rsidRPr="00A5626D" w:rsidRDefault="00295C6D" w:rsidP="00E31AE6">
            <w:pPr>
              <w:numPr>
                <w:ilvl w:val="1"/>
                <w:numId w:val="0"/>
              </w:numPr>
              <w:tabs>
                <w:tab w:val="left" w:pos="1134"/>
                <w:tab w:val="left" w:pos="7938"/>
              </w:tabs>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id-delivery-point="4n" </w:t>
            </w:r>
          </w:p>
          <w:p w14:paraId="4BC5C66D" w14:textId="77777777" w:rsidR="00295C6D" w:rsidRPr="00A5626D" w:rsidRDefault="00295C6D" w:rsidP="00E31AE6">
            <w:pPr>
              <w:numPr>
                <w:ilvl w:val="1"/>
                <w:numId w:val="0"/>
              </w:numPr>
              <w:tabs>
                <w:tab w:val="left" w:pos="1134"/>
                <w:tab w:val="left" w:pos="7938"/>
              </w:tabs>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send-receive="send/receive" </w:t>
            </w:r>
          </w:p>
          <w:p w14:paraId="7D5A31BD" w14:textId="77777777" w:rsidR="00295C6D" w:rsidRPr="00A5626D" w:rsidRDefault="00295C6D" w:rsidP="00E31AE6">
            <w:pPr>
              <w:numPr>
                <w:ilvl w:val="1"/>
                <w:numId w:val="0"/>
              </w:numPr>
              <w:tabs>
                <w:tab w:val="left" w:pos="1134"/>
                <w:tab w:val="left" w:pos="7938"/>
              </w:tabs>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id-aiis="1n" </w:t>
            </w:r>
          </w:p>
          <w:p w14:paraId="08332051" w14:textId="77777777" w:rsidR="00295C6D" w:rsidRPr="00A5626D" w:rsidRDefault="00295C6D" w:rsidP="00E31AE6">
            <w:pPr>
              <w:numPr>
                <w:ilvl w:val="1"/>
                <w:numId w:val="0"/>
              </w:numPr>
              <w:tabs>
                <w:tab w:val="left" w:pos="1134"/>
                <w:tab w:val="left" w:pos="7938"/>
              </w:tabs>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id-org="1n" </w:t>
            </w:r>
          </w:p>
          <w:p w14:paraId="2C6B7242" w14:textId="77777777" w:rsidR="00295C6D" w:rsidRPr="00A5626D" w:rsidRDefault="00295C6D" w:rsidP="00E31AE6">
            <w:pPr>
              <w:numPr>
                <w:ilvl w:val="1"/>
                <w:numId w:val="0"/>
              </w:numPr>
              <w:tabs>
                <w:tab w:val="left" w:pos="1134"/>
                <w:tab w:val="left" w:pos="7938"/>
              </w:tabs>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coefficient="2n"/&gt;</w:t>
            </w:r>
          </w:p>
          <w:p w14:paraId="310B159C" w14:textId="77777777" w:rsidR="00295C6D" w:rsidRPr="00A5626D" w:rsidRDefault="00295C6D" w:rsidP="00E31AE6">
            <w:pPr>
              <w:numPr>
                <w:ilvl w:val="1"/>
                <w:numId w:val="0"/>
              </w:numPr>
              <w:tabs>
                <w:tab w:val="left" w:pos="1134"/>
                <w:tab w:val="left" w:pos="7938"/>
              </w:tabs>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&lt;/calcformula-or-rr&gt;</w:t>
            </w:r>
          </w:p>
          <w:p w14:paraId="1148CE07" w14:textId="77777777" w:rsidR="00295C6D" w:rsidRPr="00A5626D" w:rsidRDefault="00295C6D" w:rsidP="00E31AE6">
            <w:pPr>
              <w:numPr>
                <w:ilvl w:val="1"/>
                <w:numId w:val="0"/>
              </w:numPr>
              <w:tabs>
                <w:tab w:val="left" w:pos="1134"/>
                <w:tab w:val="left" w:pos="7938"/>
              </w:tabs>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&lt;/peretok&gt;</w:t>
            </w:r>
          </w:p>
          <w:p w14:paraId="3114998B" w14:textId="77777777" w:rsidR="00295C6D" w:rsidRPr="00A5626D" w:rsidRDefault="00295C6D" w:rsidP="00E31AE6">
            <w:pPr>
              <w:numPr>
                <w:ilvl w:val="1"/>
                <w:numId w:val="0"/>
              </w:numPr>
              <w:tabs>
                <w:tab w:val="left" w:pos="1134"/>
                <w:tab w:val="left" w:pos="7938"/>
              </w:tabs>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&lt;generation</w:t>
            </w:r>
          </w:p>
          <w:p w14:paraId="7E532968" w14:textId="77777777" w:rsidR="00295C6D" w:rsidRPr="00A5626D" w:rsidRDefault="00295C6D" w:rsidP="00E31AE6">
            <w:pPr>
              <w:numPr>
                <w:ilvl w:val="1"/>
                <w:numId w:val="0"/>
              </w:numPr>
              <w:tabs>
                <w:tab w:val="left" w:pos="1134"/>
                <w:tab w:val="left" w:pos="7938"/>
              </w:tabs>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id-gtp="1n"&gt;</w:t>
            </w:r>
          </w:p>
          <w:p w14:paraId="576878A9" w14:textId="77777777" w:rsidR="00295C6D" w:rsidRPr="00A5626D" w:rsidRDefault="00295C6D" w:rsidP="00E31AE6">
            <w:pPr>
              <w:numPr>
                <w:ilvl w:val="1"/>
                <w:numId w:val="0"/>
              </w:numPr>
              <w:tabs>
                <w:tab w:val="left" w:pos="1134"/>
                <w:tab w:val="left" w:pos="7938"/>
              </w:tabs>
              <w:ind w:firstLine="708"/>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&lt;calcformula-or-rr  </w:t>
            </w:r>
          </w:p>
          <w:p w14:paraId="5DE9CB3A" w14:textId="77777777" w:rsidR="00295C6D" w:rsidRPr="00A5626D" w:rsidRDefault="00295C6D" w:rsidP="00E31AE6">
            <w:pPr>
              <w:numPr>
                <w:ilvl w:val="1"/>
                <w:numId w:val="0"/>
              </w:numPr>
              <w:tabs>
                <w:tab w:val="left" w:pos="1134"/>
                <w:tab w:val="left" w:pos="7938"/>
              </w:tabs>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name="250x"&gt;</w:t>
            </w:r>
          </w:p>
          <w:p w14:paraId="6D26561F" w14:textId="77777777" w:rsidR="00295C6D" w:rsidRPr="00A5626D" w:rsidRDefault="00295C6D" w:rsidP="00E31AE6">
            <w:pPr>
              <w:numPr>
                <w:ilvl w:val="1"/>
                <w:numId w:val="0"/>
              </w:numPr>
              <w:tabs>
                <w:tab w:val="left" w:pos="1134"/>
                <w:tab w:val="left" w:pos="7938"/>
              </w:tabs>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&lt;or</w:t>
            </w:r>
          </w:p>
          <w:p w14:paraId="72C2CC3C" w14:textId="77777777" w:rsidR="00295C6D" w:rsidRPr="00A5626D" w:rsidRDefault="00295C6D" w:rsidP="00E31AE6">
            <w:pPr>
              <w:numPr>
                <w:ilvl w:val="1"/>
                <w:numId w:val="0"/>
              </w:numPr>
              <w:tabs>
                <w:tab w:val="left" w:pos="1134"/>
                <w:tab w:val="left" w:pos="7938"/>
              </w:tabs>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id-delivery-point="4n" </w:t>
            </w:r>
          </w:p>
          <w:p w14:paraId="36220612" w14:textId="77777777" w:rsidR="00295C6D" w:rsidRPr="00A5626D" w:rsidRDefault="00295C6D" w:rsidP="00E31AE6">
            <w:pPr>
              <w:numPr>
                <w:ilvl w:val="1"/>
                <w:numId w:val="0"/>
              </w:numPr>
              <w:tabs>
                <w:tab w:val="left" w:pos="1134"/>
                <w:tab w:val="left" w:pos="7938"/>
              </w:tabs>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send-receive="send/receive" </w:t>
            </w:r>
          </w:p>
          <w:p w14:paraId="524FA626" w14:textId="77777777" w:rsidR="00295C6D" w:rsidRPr="00A5626D" w:rsidRDefault="00295C6D" w:rsidP="00E31AE6">
            <w:pPr>
              <w:numPr>
                <w:ilvl w:val="1"/>
                <w:numId w:val="0"/>
              </w:numPr>
              <w:tabs>
                <w:tab w:val="left" w:pos="1134"/>
                <w:tab w:val="left" w:pos="7938"/>
              </w:tabs>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id-aiis="1n" </w:t>
            </w:r>
          </w:p>
          <w:p w14:paraId="54A5CFD4" w14:textId="77777777" w:rsidR="00295C6D" w:rsidRPr="00A5626D" w:rsidRDefault="00295C6D" w:rsidP="00E31AE6">
            <w:pPr>
              <w:numPr>
                <w:ilvl w:val="1"/>
                <w:numId w:val="0"/>
              </w:numPr>
              <w:tabs>
                <w:tab w:val="left" w:pos="1134"/>
                <w:tab w:val="left" w:pos="7938"/>
              </w:tabs>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id-org="1n" </w:t>
            </w:r>
          </w:p>
          <w:p w14:paraId="7822D18D" w14:textId="77777777" w:rsidR="00295C6D" w:rsidRPr="00A5626D" w:rsidRDefault="00295C6D" w:rsidP="00E31AE6">
            <w:pPr>
              <w:numPr>
                <w:ilvl w:val="1"/>
                <w:numId w:val="0"/>
              </w:numPr>
              <w:tabs>
                <w:tab w:val="left" w:pos="1134"/>
                <w:tab w:val="left" w:pos="7938"/>
              </w:tabs>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coefficient="2n"/&gt;</w:t>
            </w:r>
          </w:p>
          <w:p w14:paraId="6ACE10BF" w14:textId="77777777" w:rsidR="00295C6D" w:rsidRPr="00A5626D" w:rsidRDefault="00295C6D" w:rsidP="00E31AE6">
            <w:pPr>
              <w:numPr>
                <w:ilvl w:val="1"/>
                <w:numId w:val="0"/>
              </w:numPr>
              <w:tabs>
                <w:tab w:val="left" w:pos="1134"/>
                <w:tab w:val="left" w:pos="7938"/>
              </w:tabs>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&lt;rr</w:t>
            </w:r>
          </w:p>
          <w:p w14:paraId="7E655968" w14:textId="77777777" w:rsidR="00295C6D" w:rsidRPr="00A5626D" w:rsidRDefault="00295C6D" w:rsidP="00E31AE6">
            <w:pPr>
              <w:numPr>
                <w:ilvl w:val="1"/>
                <w:numId w:val="0"/>
              </w:numPr>
              <w:tabs>
                <w:tab w:val="left" w:pos="1134"/>
                <w:tab w:val="left" w:pos="7938"/>
              </w:tabs>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id-delivery-point="4n" </w:t>
            </w:r>
          </w:p>
          <w:p w14:paraId="1123EBE3" w14:textId="77777777" w:rsidR="00295C6D" w:rsidRPr="00A5626D" w:rsidRDefault="00295C6D" w:rsidP="00E31AE6">
            <w:pPr>
              <w:numPr>
                <w:ilvl w:val="1"/>
                <w:numId w:val="0"/>
              </w:numPr>
              <w:tabs>
                <w:tab w:val="left" w:pos="1134"/>
                <w:tab w:val="left" w:pos="7938"/>
              </w:tabs>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send-receive="send/receive" </w:t>
            </w:r>
          </w:p>
          <w:p w14:paraId="2A1D15BE" w14:textId="77777777" w:rsidR="00295C6D" w:rsidRPr="00A5626D" w:rsidRDefault="00295C6D" w:rsidP="00E31AE6">
            <w:pPr>
              <w:numPr>
                <w:ilvl w:val="1"/>
                <w:numId w:val="0"/>
              </w:numPr>
              <w:tabs>
                <w:tab w:val="left" w:pos="1134"/>
                <w:tab w:val="left" w:pos="7938"/>
              </w:tabs>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id-aiis="1n" </w:t>
            </w:r>
          </w:p>
          <w:p w14:paraId="38D7EF4B" w14:textId="77777777" w:rsidR="00295C6D" w:rsidRPr="00A5626D" w:rsidRDefault="00295C6D" w:rsidP="00E31AE6">
            <w:pPr>
              <w:numPr>
                <w:ilvl w:val="1"/>
                <w:numId w:val="0"/>
              </w:numPr>
              <w:tabs>
                <w:tab w:val="left" w:pos="1134"/>
                <w:tab w:val="left" w:pos="7938"/>
              </w:tabs>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id-org="1n" </w:t>
            </w:r>
          </w:p>
          <w:p w14:paraId="4F03DED8" w14:textId="77777777" w:rsidR="00295C6D" w:rsidRPr="00A5626D" w:rsidRDefault="00295C6D" w:rsidP="00E31AE6">
            <w:pPr>
              <w:numPr>
                <w:ilvl w:val="1"/>
                <w:numId w:val="0"/>
              </w:numPr>
              <w:tabs>
                <w:tab w:val="left" w:pos="1134"/>
                <w:tab w:val="left" w:pos="7938"/>
              </w:tabs>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coefficient="2n"/&gt;</w:t>
            </w:r>
          </w:p>
          <w:p w14:paraId="6288F310" w14:textId="77777777" w:rsidR="00295C6D" w:rsidRPr="00A5626D" w:rsidRDefault="00295C6D" w:rsidP="00E31AE6">
            <w:pPr>
              <w:numPr>
                <w:ilvl w:val="1"/>
                <w:numId w:val="0"/>
              </w:numPr>
              <w:tabs>
                <w:tab w:val="left" w:pos="1134"/>
                <w:tab w:val="left" w:pos="7938"/>
              </w:tabs>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&lt;/calcformula-or-rr&gt;</w:t>
            </w:r>
          </w:p>
          <w:p w14:paraId="3AE18A8C" w14:textId="77777777" w:rsidR="00295C6D" w:rsidRPr="00A5626D" w:rsidRDefault="00295C6D" w:rsidP="00E31AE6">
            <w:pPr>
              <w:numPr>
                <w:ilvl w:val="1"/>
                <w:numId w:val="0"/>
              </w:numPr>
              <w:tabs>
                <w:tab w:val="left" w:pos="1134"/>
                <w:tab w:val="left" w:pos="7938"/>
              </w:tabs>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&lt;/generation&gt;</w:t>
            </w:r>
          </w:p>
          <w:p w14:paraId="798CFF9D" w14:textId="77777777" w:rsidR="00295C6D" w:rsidRPr="00A5626D" w:rsidRDefault="00295C6D" w:rsidP="00E31AE6">
            <w:pPr>
              <w:numPr>
                <w:ilvl w:val="1"/>
                <w:numId w:val="0"/>
              </w:numPr>
              <w:tabs>
                <w:tab w:val="left" w:pos="1134"/>
                <w:tab w:val="left" w:pos="7938"/>
              </w:tabs>
              <w:ind w:firstLine="740"/>
              <w:rPr>
                <w:rFonts w:ascii="Garamond" w:eastAsia="Calibri" w:hAnsi="Garamond" w:cstheme="minorHAnsi"/>
                <w:sz w:val="22"/>
                <w:szCs w:val="22"/>
                <w:highlight w:val="yellow"/>
                <w:lang w:val="en-US"/>
              </w:rPr>
            </w:pPr>
            <w:r w:rsidRPr="00A5626D">
              <w:rPr>
                <w:rFonts w:ascii="Garamond" w:eastAsia="Calibri" w:hAnsi="Garamond" w:cstheme="minorHAnsi"/>
                <w:sz w:val="22"/>
                <w:szCs w:val="22"/>
                <w:highlight w:val="yellow"/>
                <w:lang w:val="en-US"/>
              </w:rPr>
              <w:t>&lt;regulation-object</w:t>
            </w:r>
          </w:p>
          <w:p w14:paraId="31371350" w14:textId="77777777" w:rsidR="00295C6D" w:rsidRPr="00A5626D" w:rsidRDefault="00295C6D" w:rsidP="00E31AE6">
            <w:pPr>
              <w:numPr>
                <w:ilvl w:val="1"/>
                <w:numId w:val="0"/>
              </w:numPr>
              <w:tabs>
                <w:tab w:val="left" w:pos="1134"/>
                <w:tab w:val="left" w:pos="7938"/>
              </w:tabs>
              <w:ind w:firstLine="740"/>
              <w:rPr>
                <w:rFonts w:ascii="Garamond" w:eastAsia="Calibri" w:hAnsi="Garamond" w:cstheme="minorHAnsi"/>
                <w:sz w:val="22"/>
                <w:szCs w:val="22"/>
                <w:highlight w:val="yellow"/>
                <w:lang w:val="en-US"/>
              </w:rPr>
            </w:pPr>
            <w:r w:rsidRPr="00A5626D">
              <w:rPr>
                <w:rFonts w:ascii="Garamond" w:eastAsia="Calibri" w:hAnsi="Garamond" w:cstheme="minorHAnsi"/>
                <w:sz w:val="22"/>
                <w:szCs w:val="22"/>
                <w:highlight w:val="yellow"/>
                <w:lang w:val="en-US"/>
              </w:rPr>
              <w:t>id-gtp="1n"&gt;</w:t>
            </w:r>
          </w:p>
          <w:p w14:paraId="28EC9F7B" w14:textId="77777777" w:rsidR="00295C6D" w:rsidRPr="00A5626D" w:rsidRDefault="00295C6D" w:rsidP="00E31AE6">
            <w:pPr>
              <w:numPr>
                <w:ilvl w:val="1"/>
                <w:numId w:val="0"/>
              </w:numPr>
              <w:tabs>
                <w:tab w:val="left" w:pos="1134"/>
                <w:tab w:val="left" w:pos="7938"/>
              </w:tabs>
              <w:ind w:firstLine="740"/>
              <w:rPr>
                <w:rFonts w:ascii="Garamond" w:eastAsia="Calibri" w:hAnsi="Garamond" w:cstheme="minorHAnsi"/>
                <w:sz w:val="22"/>
                <w:szCs w:val="22"/>
                <w:highlight w:val="yellow"/>
                <w:lang w:val="en-US"/>
              </w:rPr>
            </w:pPr>
            <w:r w:rsidRPr="00A5626D">
              <w:rPr>
                <w:rFonts w:ascii="Garamond" w:eastAsia="Calibri" w:hAnsi="Garamond" w:cstheme="minorHAnsi"/>
                <w:sz w:val="22"/>
                <w:szCs w:val="22"/>
                <w:highlight w:val="yellow"/>
                <w:lang w:val="en-US"/>
              </w:rPr>
              <w:t xml:space="preserve">&lt;calcformula-or-rr  </w:t>
            </w:r>
          </w:p>
          <w:p w14:paraId="18AF0D19" w14:textId="77777777" w:rsidR="00295C6D" w:rsidRPr="00A5626D" w:rsidRDefault="00295C6D" w:rsidP="00E31AE6">
            <w:pPr>
              <w:numPr>
                <w:ilvl w:val="1"/>
                <w:numId w:val="0"/>
              </w:numPr>
              <w:tabs>
                <w:tab w:val="left" w:pos="1134"/>
                <w:tab w:val="left" w:pos="7938"/>
              </w:tabs>
              <w:ind w:firstLine="740"/>
              <w:rPr>
                <w:rFonts w:ascii="Garamond" w:eastAsia="Calibri" w:hAnsi="Garamond" w:cstheme="minorHAnsi"/>
                <w:sz w:val="22"/>
                <w:szCs w:val="22"/>
                <w:highlight w:val="yellow"/>
                <w:lang w:val="en-US"/>
              </w:rPr>
            </w:pPr>
            <w:r w:rsidRPr="00A5626D">
              <w:rPr>
                <w:rFonts w:ascii="Garamond" w:eastAsia="Calibri" w:hAnsi="Garamond" w:cstheme="minorHAnsi"/>
                <w:sz w:val="22"/>
                <w:szCs w:val="22"/>
                <w:highlight w:val="yellow"/>
                <w:lang w:val="en-US"/>
              </w:rPr>
              <w:t>name="250x"&gt;</w:t>
            </w:r>
          </w:p>
          <w:p w14:paraId="0E9642A4" w14:textId="77777777" w:rsidR="00295C6D" w:rsidRPr="00A5626D" w:rsidRDefault="00295C6D" w:rsidP="00E31AE6">
            <w:pPr>
              <w:numPr>
                <w:ilvl w:val="1"/>
                <w:numId w:val="0"/>
              </w:numPr>
              <w:tabs>
                <w:tab w:val="left" w:pos="1134"/>
                <w:tab w:val="left" w:pos="7938"/>
              </w:tabs>
              <w:ind w:firstLine="740"/>
              <w:rPr>
                <w:rFonts w:ascii="Garamond" w:eastAsia="Calibri" w:hAnsi="Garamond" w:cstheme="minorHAnsi"/>
                <w:sz w:val="22"/>
                <w:szCs w:val="22"/>
                <w:highlight w:val="yellow"/>
                <w:lang w:val="en-US"/>
              </w:rPr>
            </w:pPr>
            <w:r w:rsidRPr="00A5626D">
              <w:rPr>
                <w:rFonts w:ascii="Garamond" w:eastAsia="Calibri" w:hAnsi="Garamond" w:cstheme="minorHAnsi"/>
                <w:sz w:val="22"/>
                <w:szCs w:val="22"/>
                <w:highlight w:val="yellow"/>
                <w:lang w:val="en-US"/>
              </w:rPr>
              <w:t>&lt;or</w:t>
            </w:r>
          </w:p>
          <w:p w14:paraId="358736CA" w14:textId="77777777" w:rsidR="00295C6D" w:rsidRPr="00A5626D" w:rsidRDefault="00295C6D" w:rsidP="00E31AE6">
            <w:pPr>
              <w:numPr>
                <w:ilvl w:val="1"/>
                <w:numId w:val="0"/>
              </w:numPr>
              <w:tabs>
                <w:tab w:val="left" w:pos="1134"/>
                <w:tab w:val="left" w:pos="7938"/>
              </w:tabs>
              <w:ind w:firstLine="740"/>
              <w:rPr>
                <w:rFonts w:ascii="Garamond" w:eastAsia="Calibri" w:hAnsi="Garamond" w:cstheme="minorHAnsi"/>
                <w:sz w:val="22"/>
                <w:szCs w:val="22"/>
                <w:highlight w:val="yellow"/>
                <w:lang w:val="en-US"/>
              </w:rPr>
            </w:pPr>
            <w:r w:rsidRPr="00A5626D">
              <w:rPr>
                <w:rFonts w:ascii="Garamond" w:eastAsia="Calibri" w:hAnsi="Garamond" w:cstheme="minorHAnsi"/>
                <w:sz w:val="22"/>
                <w:szCs w:val="22"/>
                <w:highlight w:val="yellow"/>
                <w:lang w:val="en-US"/>
              </w:rPr>
              <w:t xml:space="preserve">id-delivery-point="4n" </w:t>
            </w:r>
          </w:p>
          <w:p w14:paraId="1F4DB97A" w14:textId="77777777" w:rsidR="00295C6D" w:rsidRPr="00A5626D" w:rsidRDefault="00295C6D" w:rsidP="00E31AE6">
            <w:pPr>
              <w:numPr>
                <w:ilvl w:val="1"/>
                <w:numId w:val="0"/>
              </w:numPr>
              <w:tabs>
                <w:tab w:val="left" w:pos="1134"/>
                <w:tab w:val="left" w:pos="7938"/>
              </w:tabs>
              <w:ind w:firstLine="740"/>
              <w:rPr>
                <w:rFonts w:ascii="Garamond" w:eastAsia="Calibri" w:hAnsi="Garamond" w:cstheme="minorHAnsi"/>
                <w:sz w:val="22"/>
                <w:szCs w:val="22"/>
                <w:highlight w:val="yellow"/>
                <w:lang w:val="en-US"/>
              </w:rPr>
            </w:pPr>
            <w:r w:rsidRPr="00A5626D">
              <w:rPr>
                <w:rFonts w:ascii="Garamond" w:eastAsia="Calibri" w:hAnsi="Garamond" w:cstheme="minorHAnsi"/>
                <w:sz w:val="22"/>
                <w:szCs w:val="22"/>
                <w:highlight w:val="yellow"/>
                <w:lang w:val="en-US"/>
              </w:rPr>
              <w:t xml:space="preserve">send-receive="send/receive" </w:t>
            </w:r>
          </w:p>
          <w:p w14:paraId="03D14BD9" w14:textId="77777777" w:rsidR="00295C6D" w:rsidRPr="00A5626D" w:rsidRDefault="00295C6D" w:rsidP="00E31AE6">
            <w:pPr>
              <w:numPr>
                <w:ilvl w:val="1"/>
                <w:numId w:val="0"/>
              </w:numPr>
              <w:tabs>
                <w:tab w:val="left" w:pos="1134"/>
                <w:tab w:val="left" w:pos="7938"/>
              </w:tabs>
              <w:ind w:firstLine="740"/>
              <w:rPr>
                <w:rFonts w:ascii="Garamond" w:eastAsia="Calibri" w:hAnsi="Garamond" w:cstheme="minorHAnsi"/>
                <w:sz w:val="22"/>
                <w:szCs w:val="22"/>
                <w:highlight w:val="yellow"/>
                <w:lang w:val="en-US"/>
              </w:rPr>
            </w:pPr>
            <w:r w:rsidRPr="00A5626D">
              <w:rPr>
                <w:rFonts w:ascii="Garamond" w:eastAsia="Calibri" w:hAnsi="Garamond" w:cstheme="minorHAnsi"/>
                <w:sz w:val="22"/>
                <w:szCs w:val="22"/>
                <w:highlight w:val="yellow"/>
                <w:lang w:val="en-US"/>
              </w:rPr>
              <w:lastRenderedPageBreak/>
              <w:t xml:space="preserve"> id-aiis="1n" </w:t>
            </w:r>
          </w:p>
          <w:p w14:paraId="0F578519" w14:textId="77777777" w:rsidR="00295C6D" w:rsidRPr="00A5626D" w:rsidRDefault="00295C6D" w:rsidP="00E31AE6">
            <w:pPr>
              <w:numPr>
                <w:ilvl w:val="1"/>
                <w:numId w:val="0"/>
              </w:numPr>
              <w:tabs>
                <w:tab w:val="left" w:pos="1134"/>
                <w:tab w:val="left" w:pos="7938"/>
              </w:tabs>
              <w:ind w:firstLine="740"/>
              <w:rPr>
                <w:rFonts w:ascii="Garamond" w:eastAsia="Calibri" w:hAnsi="Garamond" w:cstheme="minorHAnsi"/>
                <w:sz w:val="22"/>
                <w:szCs w:val="22"/>
                <w:highlight w:val="yellow"/>
                <w:lang w:val="en-US"/>
              </w:rPr>
            </w:pPr>
            <w:r w:rsidRPr="00A5626D">
              <w:rPr>
                <w:rFonts w:ascii="Garamond" w:eastAsia="Calibri" w:hAnsi="Garamond" w:cstheme="minorHAnsi"/>
                <w:sz w:val="22"/>
                <w:szCs w:val="22"/>
                <w:highlight w:val="yellow"/>
                <w:lang w:val="en-US"/>
              </w:rPr>
              <w:t xml:space="preserve">id-org="1n" </w:t>
            </w:r>
          </w:p>
          <w:p w14:paraId="2B99CB94" w14:textId="77777777" w:rsidR="00295C6D" w:rsidRPr="00A5626D" w:rsidRDefault="00295C6D" w:rsidP="00E31AE6">
            <w:pPr>
              <w:numPr>
                <w:ilvl w:val="1"/>
                <w:numId w:val="0"/>
              </w:numPr>
              <w:tabs>
                <w:tab w:val="left" w:pos="1134"/>
                <w:tab w:val="left" w:pos="7938"/>
              </w:tabs>
              <w:ind w:firstLine="740"/>
              <w:rPr>
                <w:rFonts w:ascii="Garamond" w:eastAsia="Calibri" w:hAnsi="Garamond" w:cstheme="minorHAnsi"/>
                <w:sz w:val="22"/>
                <w:szCs w:val="22"/>
                <w:highlight w:val="yellow"/>
                <w:lang w:val="en-US"/>
              </w:rPr>
            </w:pPr>
            <w:r w:rsidRPr="00A5626D">
              <w:rPr>
                <w:rFonts w:ascii="Garamond" w:eastAsia="Calibri" w:hAnsi="Garamond" w:cstheme="minorHAnsi"/>
                <w:sz w:val="22"/>
                <w:szCs w:val="22"/>
                <w:highlight w:val="yellow"/>
                <w:lang w:val="en-US"/>
              </w:rPr>
              <w:t>coefficient="2n"/&gt;</w:t>
            </w:r>
          </w:p>
          <w:p w14:paraId="4623A8C8" w14:textId="77777777" w:rsidR="00295C6D" w:rsidRPr="00A5626D" w:rsidRDefault="00295C6D" w:rsidP="00E31AE6">
            <w:pPr>
              <w:numPr>
                <w:ilvl w:val="1"/>
                <w:numId w:val="0"/>
              </w:numPr>
              <w:tabs>
                <w:tab w:val="left" w:pos="1134"/>
                <w:tab w:val="left" w:pos="7938"/>
              </w:tabs>
              <w:ind w:firstLine="740"/>
              <w:rPr>
                <w:rFonts w:ascii="Garamond" w:eastAsia="Calibri" w:hAnsi="Garamond" w:cstheme="minorHAnsi"/>
                <w:sz w:val="22"/>
                <w:szCs w:val="22"/>
                <w:highlight w:val="yellow"/>
                <w:lang w:val="en-US"/>
              </w:rPr>
            </w:pPr>
            <w:r w:rsidRPr="00A5626D">
              <w:rPr>
                <w:rFonts w:ascii="Garamond" w:eastAsia="Calibri" w:hAnsi="Garamond" w:cstheme="minorHAnsi"/>
                <w:sz w:val="22"/>
                <w:szCs w:val="22"/>
                <w:highlight w:val="yellow"/>
                <w:lang w:val="en-US"/>
              </w:rPr>
              <w:t>&lt;/calcformula-or-rr&gt;</w:t>
            </w:r>
          </w:p>
          <w:p w14:paraId="610EED73" w14:textId="77777777" w:rsidR="00295C6D" w:rsidRPr="00A5626D" w:rsidRDefault="00295C6D" w:rsidP="00E31AE6">
            <w:pPr>
              <w:numPr>
                <w:ilvl w:val="1"/>
                <w:numId w:val="0"/>
              </w:numPr>
              <w:tabs>
                <w:tab w:val="left" w:pos="1134"/>
                <w:tab w:val="left" w:pos="7938"/>
              </w:tabs>
              <w:ind w:firstLine="740"/>
              <w:rPr>
                <w:rFonts w:ascii="Garamond" w:eastAsia="Calibri" w:hAnsi="Garamond" w:cstheme="minorHAnsi"/>
                <w:sz w:val="22"/>
                <w:szCs w:val="22"/>
                <w:lang w:val="en-US"/>
              </w:rPr>
            </w:pPr>
            <w:r w:rsidRPr="00A5626D">
              <w:rPr>
                <w:rFonts w:ascii="Garamond" w:eastAsia="Calibri" w:hAnsi="Garamond" w:cstheme="minorHAnsi"/>
                <w:sz w:val="22"/>
                <w:szCs w:val="22"/>
                <w:highlight w:val="yellow"/>
                <w:lang w:val="en-US"/>
              </w:rPr>
              <w:t>&lt;/regulation-object&gt;</w:t>
            </w:r>
          </w:p>
          <w:p w14:paraId="14B84B18" w14:textId="77777777" w:rsidR="00295C6D" w:rsidRPr="00A5626D" w:rsidRDefault="00295C6D" w:rsidP="00E31AE6">
            <w:pPr>
              <w:numPr>
                <w:ilvl w:val="1"/>
                <w:numId w:val="0"/>
              </w:numPr>
              <w:tabs>
                <w:tab w:val="left" w:pos="1134"/>
                <w:tab w:val="left" w:pos="7938"/>
              </w:tabs>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&lt;/algorithm&gt;</w:t>
            </w:r>
          </w:p>
          <w:p w14:paraId="7D2583EC" w14:textId="77777777" w:rsidR="00295C6D" w:rsidRPr="00A5626D" w:rsidRDefault="00295C6D" w:rsidP="00E31AE6">
            <w:pPr>
              <w:numPr>
                <w:ilvl w:val="1"/>
                <w:numId w:val="0"/>
              </w:numPr>
              <w:tabs>
                <w:tab w:val="left" w:pos="1134"/>
                <w:tab w:val="left" w:pos="7938"/>
              </w:tabs>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&lt;psi </w:t>
            </w:r>
          </w:p>
          <w:p w14:paraId="2342FB62" w14:textId="77777777" w:rsidR="00295C6D" w:rsidRPr="00A5626D" w:rsidRDefault="00295C6D" w:rsidP="00E31AE6">
            <w:pPr>
              <w:numPr>
                <w:ilvl w:val="1"/>
                <w:numId w:val="0"/>
              </w:numPr>
              <w:tabs>
                <w:tab w:val="left" w:pos="1134"/>
                <w:tab w:val="left" w:pos="7938"/>
              </w:tabs>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calc-side="1/2/3"&gt;</w:t>
            </w:r>
          </w:p>
          <w:p w14:paraId="5BB2A1D0" w14:textId="77777777" w:rsidR="00295C6D" w:rsidRPr="00A5626D" w:rsidRDefault="00295C6D" w:rsidP="00E31AE6">
            <w:pPr>
              <w:numPr>
                <w:ilvl w:val="1"/>
                <w:numId w:val="0"/>
              </w:numPr>
              <w:tabs>
                <w:tab w:val="left" w:pos="1134"/>
                <w:tab w:val="left" w:pos="7938"/>
              </w:tabs>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&lt;delivery-point-measuring-device-link</w:t>
            </w:r>
          </w:p>
          <w:p w14:paraId="6EF67FC7" w14:textId="77777777" w:rsidR="00295C6D" w:rsidRPr="00A5626D" w:rsidRDefault="00295C6D" w:rsidP="00E31AE6">
            <w:pPr>
              <w:numPr>
                <w:ilvl w:val="1"/>
                <w:numId w:val="0"/>
              </w:numPr>
              <w:tabs>
                <w:tab w:val="left" w:pos="1134"/>
                <w:tab w:val="left" w:pos="7938"/>
              </w:tabs>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id-delivery-point="4n" </w:t>
            </w:r>
          </w:p>
          <w:p w14:paraId="0190DF9F" w14:textId="77777777" w:rsidR="00295C6D" w:rsidRPr="00A5626D" w:rsidRDefault="00295C6D" w:rsidP="00E31AE6">
            <w:pPr>
              <w:numPr>
                <w:ilvl w:val="1"/>
                <w:numId w:val="0"/>
              </w:numPr>
              <w:tabs>
                <w:tab w:val="left" w:pos="1134"/>
                <w:tab w:val="left" w:pos="7938"/>
              </w:tabs>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id-measuring-device="4n" </w:t>
            </w:r>
          </w:p>
          <w:p w14:paraId="2DDF80A6" w14:textId="77777777" w:rsidR="00295C6D" w:rsidRPr="00A5626D" w:rsidRDefault="00295C6D" w:rsidP="00E31AE6">
            <w:pPr>
              <w:numPr>
                <w:ilvl w:val="1"/>
                <w:numId w:val="0"/>
              </w:numPr>
              <w:tabs>
                <w:tab w:val="left" w:pos="1134"/>
                <w:tab w:val="left" w:pos="7938"/>
              </w:tabs>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direction=" send/receive/send-receive"</w:t>
            </w:r>
          </w:p>
          <w:p w14:paraId="72572862" w14:textId="77777777" w:rsidR="00295C6D" w:rsidRPr="00A5626D" w:rsidRDefault="00295C6D" w:rsidP="00E31AE6">
            <w:pPr>
              <w:numPr>
                <w:ilvl w:val="1"/>
                <w:numId w:val="0"/>
              </w:numPr>
              <w:tabs>
                <w:tab w:val="left" w:pos="1134"/>
                <w:tab w:val="left" w:pos="7938"/>
              </w:tabs>
              <w:rPr>
                <w:rFonts w:ascii="Garamond" w:eastAsia="Calibri" w:hAnsi="Garamond" w:cstheme="minorHAnsi"/>
                <w:sz w:val="22"/>
                <w:szCs w:val="22"/>
                <w:lang w:val="en-US"/>
              </w:rPr>
            </w:pPr>
            <w:r w:rsidRPr="00A5626D">
              <w:rPr>
                <w:rFonts w:ascii="Garamond" w:eastAsia="Calibri" w:hAnsi="Garamond" w:cstheme="minorHAnsi"/>
                <w:sz w:val="22"/>
                <w:szCs w:val="22"/>
                <w:lang w:val="en-US"/>
              </w:rPr>
              <w:tab/>
              <w:t xml:space="preserve">    </w:t>
            </w:r>
            <w:r w:rsidRPr="00A5626D">
              <w:rPr>
                <w:rFonts w:ascii="Garamond" w:hAnsi="Garamond" w:cstheme="minorHAnsi"/>
                <w:sz w:val="22"/>
                <w:szCs w:val="22"/>
                <w:lang w:val="en-US"/>
              </w:rPr>
              <w:t>is-inverse-connection=</w:t>
            </w:r>
            <w:r w:rsidRPr="00A5626D">
              <w:rPr>
                <w:rFonts w:ascii="Garamond" w:eastAsia="Calibri" w:hAnsi="Garamond" w:cstheme="minorHAnsi"/>
                <w:sz w:val="22"/>
                <w:szCs w:val="22"/>
                <w:lang w:val="en-US"/>
              </w:rPr>
              <w:t>"true/false"</w:t>
            </w:r>
          </w:p>
          <w:p w14:paraId="14B53945" w14:textId="77777777" w:rsidR="00295C6D" w:rsidRPr="00A5626D" w:rsidRDefault="00295C6D" w:rsidP="00E31AE6">
            <w:pPr>
              <w:numPr>
                <w:ilvl w:val="1"/>
                <w:numId w:val="0"/>
              </w:numPr>
              <w:tabs>
                <w:tab w:val="left" w:pos="1134"/>
                <w:tab w:val="left" w:pos="7938"/>
              </w:tabs>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oip-rip-so="oip/rip/so"&gt;</w:t>
            </w:r>
          </w:p>
          <w:p w14:paraId="0762B91A" w14:textId="77777777" w:rsidR="00295C6D" w:rsidRPr="00A5626D" w:rsidRDefault="00295C6D" w:rsidP="00E31AE6">
            <w:pPr>
              <w:numPr>
                <w:ilvl w:val="1"/>
                <w:numId w:val="0"/>
              </w:numPr>
              <w:tabs>
                <w:tab w:val="left" w:pos="1134"/>
                <w:tab w:val="left" w:pos="7938"/>
              </w:tabs>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&lt;comment&gt;</w:t>
            </w:r>
          </w:p>
          <w:p w14:paraId="7163D44A" w14:textId="77777777" w:rsidR="00295C6D" w:rsidRPr="00A5626D" w:rsidRDefault="00295C6D" w:rsidP="00E31AE6">
            <w:pPr>
              <w:numPr>
                <w:ilvl w:val="1"/>
                <w:numId w:val="0"/>
              </w:numPr>
              <w:tabs>
                <w:tab w:val="left" w:pos="1134"/>
                <w:tab w:val="left" w:pos="7938"/>
              </w:tabs>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&lt;![CDATA[…]]&gt;</w:t>
            </w:r>
          </w:p>
          <w:p w14:paraId="1DD3FD6A" w14:textId="77777777" w:rsidR="00295C6D" w:rsidRPr="00A5626D" w:rsidRDefault="00295C6D" w:rsidP="00E31AE6">
            <w:pPr>
              <w:numPr>
                <w:ilvl w:val="1"/>
                <w:numId w:val="0"/>
              </w:numPr>
              <w:tabs>
                <w:tab w:val="left" w:pos="1134"/>
                <w:tab w:val="left" w:pos="7938"/>
              </w:tabs>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&lt;/comment&gt;</w:t>
            </w:r>
          </w:p>
          <w:p w14:paraId="68AD9FF3" w14:textId="77777777" w:rsidR="00295C6D" w:rsidRPr="00A5626D" w:rsidRDefault="00295C6D" w:rsidP="00E31AE6">
            <w:pPr>
              <w:numPr>
                <w:ilvl w:val="1"/>
                <w:numId w:val="0"/>
              </w:numPr>
              <w:tabs>
                <w:tab w:val="left" w:pos="1134"/>
                <w:tab w:val="left" w:pos="7938"/>
              </w:tabs>
              <w:ind w:left="709"/>
              <w:rPr>
                <w:rFonts w:ascii="Garamond" w:eastAsia="Calibri" w:hAnsi="Garamond" w:cstheme="minorHAnsi"/>
                <w:sz w:val="22"/>
                <w:szCs w:val="22"/>
                <w:lang w:val="en-US"/>
              </w:rPr>
            </w:pPr>
            <w:r w:rsidRPr="00A5626D">
              <w:rPr>
                <w:rFonts w:ascii="Garamond" w:eastAsia="Calibri" w:hAnsi="Garamond" w:cstheme="minorHAnsi"/>
                <w:sz w:val="22"/>
                <w:szCs w:val="22"/>
                <w:lang w:val="en-US"/>
              </w:rPr>
              <w:t>&lt;so-comment&gt;</w:t>
            </w:r>
          </w:p>
          <w:p w14:paraId="67DE2250" w14:textId="77777777" w:rsidR="00295C6D" w:rsidRPr="00A5626D" w:rsidRDefault="00295C6D" w:rsidP="00E31AE6">
            <w:pPr>
              <w:numPr>
                <w:ilvl w:val="1"/>
                <w:numId w:val="0"/>
              </w:numPr>
              <w:tabs>
                <w:tab w:val="left" w:pos="1134"/>
                <w:tab w:val="left" w:pos="7938"/>
              </w:tabs>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&lt;![CDATA[…]]&gt;</w:t>
            </w:r>
          </w:p>
          <w:p w14:paraId="4FD74CA0" w14:textId="77777777" w:rsidR="00295C6D" w:rsidRPr="00A5626D" w:rsidRDefault="00295C6D" w:rsidP="00E31AE6">
            <w:pPr>
              <w:numPr>
                <w:ilvl w:val="1"/>
                <w:numId w:val="0"/>
              </w:numPr>
              <w:tabs>
                <w:tab w:val="left" w:pos="1134"/>
                <w:tab w:val="left" w:pos="7938"/>
              </w:tabs>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&lt;/so-comment&gt;</w:t>
            </w:r>
          </w:p>
          <w:p w14:paraId="11A36FBE" w14:textId="77777777" w:rsidR="00295C6D" w:rsidRPr="00A5626D" w:rsidRDefault="00295C6D" w:rsidP="00E31AE6">
            <w:pPr>
              <w:numPr>
                <w:ilvl w:val="1"/>
                <w:numId w:val="0"/>
              </w:numPr>
              <w:tabs>
                <w:tab w:val="left" w:pos="1134"/>
                <w:tab w:val="left" w:pos="7938"/>
              </w:tabs>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 &lt;/psi&gt;</w:t>
            </w:r>
          </w:p>
          <w:p w14:paraId="460288CA" w14:textId="77777777" w:rsidR="00295C6D" w:rsidRPr="00A5626D" w:rsidRDefault="00295C6D" w:rsidP="00E31AE6">
            <w:pPr>
              <w:tabs>
                <w:tab w:val="left" w:pos="1134"/>
                <w:tab w:val="left" w:pos="7938"/>
              </w:tabs>
              <w:rPr>
                <w:rFonts w:ascii="Garamond" w:hAnsi="Garamond" w:cstheme="minorHAnsi"/>
                <w:sz w:val="22"/>
                <w:szCs w:val="22"/>
              </w:rPr>
            </w:pPr>
            <w:r w:rsidRPr="00A5626D">
              <w:rPr>
                <w:rFonts w:ascii="Garamond" w:eastAsia="Calibri" w:hAnsi="Garamond" w:cstheme="minorHAnsi"/>
                <w:sz w:val="22"/>
                <w:szCs w:val="22"/>
                <w:lang w:val="en-US"/>
              </w:rPr>
              <w:t>…</w:t>
            </w:r>
          </w:p>
        </w:tc>
      </w:tr>
      <w:tr w:rsidR="00295C6D" w:rsidRPr="00A5626D" w14:paraId="4DD3068E" w14:textId="77777777" w:rsidTr="00647FA0">
        <w:tc>
          <w:tcPr>
            <w:tcW w:w="1060" w:type="dxa"/>
            <w:vAlign w:val="center"/>
          </w:tcPr>
          <w:p w14:paraId="308772D1" w14:textId="06751851" w:rsidR="00295C6D" w:rsidRPr="00A5626D" w:rsidRDefault="00295C6D" w:rsidP="00E31AE6">
            <w:pPr>
              <w:numPr>
                <w:ilvl w:val="1"/>
                <w:numId w:val="0"/>
              </w:numPr>
              <w:tabs>
                <w:tab w:val="left" w:pos="1134"/>
                <w:tab w:val="left" w:pos="7938"/>
              </w:tabs>
              <w:rPr>
                <w:rFonts w:ascii="Garamond" w:hAnsi="Garamond"/>
                <w:b/>
                <w:sz w:val="22"/>
                <w:szCs w:val="22"/>
                <w:lang w:eastAsia="en-US"/>
              </w:rPr>
            </w:pPr>
            <w:r w:rsidRPr="00A5626D">
              <w:rPr>
                <w:rFonts w:ascii="Garamond" w:hAnsi="Garamond"/>
                <w:b/>
                <w:sz w:val="22"/>
                <w:szCs w:val="22"/>
                <w:lang w:eastAsia="en-US"/>
              </w:rPr>
              <w:lastRenderedPageBreak/>
              <w:t>Приложение 5, п.</w:t>
            </w:r>
            <w:r w:rsidR="00647FA0" w:rsidRPr="00A5626D">
              <w:rPr>
                <w:rFonts w:ascii="Garamond" w:hAnsi="Garamond"/>
                <w:b/>
                <w:sz w:val="22"/>
                <w:szCs w:val="22"/>
                <w:lang w:eastAsia="en-US"/>
              </w:rPr>
              <w:t xml:space="preserve"> </w:t>
            </w:r>
            <w:r w:rsidRPr="00A5626D">
              <w:rPr>
                <w:rFonts w:ascii="Garamond" w:hAnsi="Garamond"/>
                <w:b/>
                <w:sz w:val="22"/>
                <w:szCs w:val="22"/>
                <w:lang w:eastAsia="en-US"/>
              </w:rPr>
              <w:t>5</w:t>
            </w:r>
          </w:p>
        </w:tc>
        <w:tc>
          <w:tcPr>
            <w:tcW w:w="6662" w:type="dxa"/>
          </w:tcPr>
          <w:p w14:paraId="574C923E" w14:textId="77777777" w:rsidR="00295C6D" w:rsidRPr="00A5626D" w:rsidRDefault="00295C6D" w:rsidP="00E31AE6">
            <w:pPr>
              <w:spacing w:before="120" w:after="120"/>
              <w:ind w:right="-143"/>
              <w:jc w:val="both"/>
              <w:rPr>
                <w:rFonts w:ascii="Garamond" w:hAnsi="Garamond" w:cstheme="minorHAnsi"/>
                <w:b/>
                <w:sz w:val="22"/>
                <w:szCs w:val="22"/>
              </w:rPr>
            </w:pPr>
            <w:r w:rsidRPr="00A5626D">
              <w:rPr>
                <w:rFonts w:ascii="Garamond" w:eastAsia="Calibri" w:hAnsi="Garamond" w:cstheme="minorHAnsi"/>
                <w:sz w:val="22"/>
                <w:szCs w:val="22"/>
              </w:rPr>
              <w:t>1.3</w:t>
            </w:r>
            <w:r w:rsidRPr="00A5626D">
              <w:rPr>
                <w:rFonts w:ascii="Garamond" w:eastAsia="Calibri" w:hAnsi="Garamond" w:cstheme="minorHAnsi"/>
                <w:sz w:val="22"/>
                <w:szCs w:val="22"/>
              </w:rPr>
              <w:tab/>
            </w:r>
            <w:r w:rsidRPr="00A5626D">
              <w:rPr>
                <w:rFonts w:ascii="Garamond" w:hAnsi="Garamond" w:cstheme="minorHAnsi"/>
                <w:b/>
                <w:sz w:val="22"/>
                <w:szCs w:val="22"/>
              </w:rPr>
              <w:t>&lt;</w:t>
            </w:r>
            <w:r w:rsidRPr="00A5626D">
              <w:rPr>
                <w:rFonts w:ascii="Garamond" w:hAnsi="Garamond" w:cstheme="minorHAnsi"/>
                <w:b/>
                <w:bCs/>
                <w:sz w:val="22"/>
                <w:szCs w:val="22"/>
              </w:rPr>
              <w:t>information</w:t>
            </w:r>
            <w:r w:rsidRPr="00A5626D">
              <w:rPr>
                <w:rFonts w:ascii="Garamond" w:hAnsi="Garamond" w:cstheme="minorHAnsi"/>
                <w:b/>
                <w:sz w:val="22"/>
                <w:szCs w:val="22"/>
              </w:rPr>
              <w:t>-60000&gt;</w:t>
            </w:r>
          </w:p>
          <w:p w14:paraId="2F9337F4" w14:textId="77777777" w:rsidR="00295C6D" w:rsidRPr="00A5626D" w:rsidRDefault="00295C6D" w:rsidP="00E31AE6">
            <w:pPr>
              <w:tabs>
                <w:tab w:val="left" w:pos="567"/>
              </w:tabs>
              <w:spacing w:before="120" w:after="120"/>
              <w:jc w:val="both"/>
              <w:rPr>
                <w:rFonts w:ascii="Garamond" w:eastAsia="Calibri" w:hAnsi="Garamond" w:cstheme="minorHAnsi"/>
                <w:sz w:val="22"/>
                <w:szCs w:val="22"/>
              </w:rPr>
            </w:pPr>
            <w:r w:rsidRPr="00A5626D">
              <w:rPr>
                <w:rFonts w:ascii="Garamond" w:eastAsia="Calibri" w:hAnsi="Garamond" w:cstheme="minorHAnsi"/>
                <w:sz w:val="22"/>
                <w:szCs w:val="22"/>
              </w:rPr>
              <w:t xml:space="preserve">Элемент &lt;information-60000&gt; является обязательным потомком элемента &lt;message&gt;, если filestatus=0. В остальных случаях элемент отсутствует в файле. Cодержит сведения из поступившего формата 60000: наименование и код ГТП генерации </w:t>
            </w:r>
            <w:r w:rsidRPr="00A5626D">
              <w:rPr>
                <w:rFonts w:ascii="Garamond" w:eastAsia="Calibri" w:hAnsi="Garamond" w:cstheme="minorHAnsi"/>
                <w:sz w:val="22"/>
                <w:szCs w:val="22"/>
                <w:highlight w:val="yellow"/>
              </w:rPr>
              <w:t>или</w:t>
            </w:r>
            <w:r w:rsidRPr="00A5626D">
              <w:rPr>
                <w:rFonts w:ascii="Garamond" w:eastAsia="Calibri" w:hAnsi="Garamond" w:cstheme="minorHAnsi"/>
                <w:sz w:val="22"/>
                <w:szCs w:val="22"/>
              </w:rPr>
              <w:t xml:space="preserve"> сечения КУ, количество точек поставки в сечении / ГТПГ, количество точек измерений и приборов учета в алгоритме расчета учетного показателя, переданного в формате 60000.</w:t>
            </w:r>
          </w:p>
          <w:p w14:paraId="3DD666E7" w14:textId="77777777" w:rsidR="00295C6D" w:rsidRPr="00A5626D" w:rsidRDefault="00295C6D" w:rsidP="00E31AE6">
            <w:pPr>
              <w:tabs>
                <w:tab w:val="left" w:pos="567"/>
              </w:tabs>
              <w:spacing w:before="120" w:after="120"/>
              <w:jc w:val="both"/>
              <w:rPr>
                <w:rFonts w:ascii="Garamond" w:eastAsia="Calibri" w:hAnsi="Garamond" w:cstheme="minorHAnsi"/>
                <w:sz w:val="22"/>
                <w:szCs w:val="22"/>
              </w:rPr>
            </w:pPr>
            <w:r w:rsidRPr="00A5626D">
              <w:rPr>
                <w:rFonts w:ascii="Garamond" w:eastAsia="Calibri" w:hAnsi="Garamond" w:cstheme="minorHAnsi"/>
                <w:sz w:val="22"/>
                <w:szCs w:val="22"/>
              </w:rPr>
              <w:t xml:space="preserve">Обязательным атрибутом элемента &lt;information-60000&gt; является delivery-points. </w:t>
            </w:r>
          </w:p>
          <w:p w14:paraId="65368EE5" w14:textId="77777777" w:rsidR="00295C6D" w:rsidRPr="00A5626D" w:rsidRDefault="00295C6D" w:rsidP="00E31AE6">
            <w:pPr>
              <w:tabs>
                <w:tab w:val="left" w:pos="567"/>
              </w:tabs>
              <w:spacing w:before="120" w:after="120"/>
              <w:jc w:val="both"/>
              <w:rPr>
                <w:rFonts w:ascii="Garamond" w:eastAsia="Calibri" w:hAnsi="Garamond" w:cstheme="minorHAnsi"/>
                <w:sz w:val="22"/>
                <w:szCs w:val="22"/>
              </w:rPr>
            </w:pPr>
            <w:r w:rsidRPr="00A5626D">
              <w:rPr>
                <w:rFonts w:ascii="Garamond" w:eastAsia="Calibri" w:hAnsi="Garamond" w:cstheme="minorHAnsi"/>
                <w:sz w:val="22"/>
                <w:szCs w:val="22"/>
              </w:rPr>
              <w:t>– delivery-points содержит количество точек поставки, переданное в макете 60000. Числовое поле длиной не более 5 символов.</w:t>
            </w:r>
          </w:p>
          <w:p w14:paraId="7914E55E" w14:textId="77777777" w:rsidR="00295C6D" w:rsidRPr="00A5626D" w:rsidRDefault="00295C6D" w:rsidP="00E31AE6">
            <w:pPr>
              <w:tabs>
                <w:tab w:val="left" w:pos="567"/>
              </w:tabs>
              <w:spacing w:before="120" w:after="120"/>
              <w:jc w:val="both"/>
              <w:rPr>
                <w:rFonts w:ascii="Garamond" w:eastAsia="Calibri" w:hAnsi="Garamond" w:cstheme="minorHAnsi"/>
                <w:sz w:val="22"/>
                <w:szCs w:val="22"/>
              </w:rPr>
            </w:pPr>
            <w:r w:rsidRPr="00A5626D">
              <w:rPr>
                <w:rFonts w:ascii="Garamond" w:eastAsia="Calibri" w:hAnsi="Garamond" w:cstheme="minorHAnsi"/>
                <w:sz w:val="22"/>
                <w:szCs w:val="22"/>
              </w:rPr>
              <w:t xml:space="preserve">Потомками элемента &lt;information-60000&gt; являются элементы &lt;generation&gt; (обязателен только для ответа на 60000 по ГТП </w:t>
            </w:r>
            <w:r w:rsidRPr="00A5626D">
              <w:rPr>
                <w:rFonts w:ascii="Garamond" w:eastAsia="Calibri" w:hAnsi="Garamond" w:cstheme="minorHAnsi"/>
                <w:sz w:val="22"/>
                <w:szCs w:val="22"/>
              </w:rPr>
              <w:lastRenderedPageBreak/>
              <w:t>генерации), &lt;peretok&gt; (обязателен только для ответа на 60000 по сечению КУ), &lt;gtpp&gt;. Элемент &lt;information-60000&gt; может содержать один или два дочерних элемента &lt;gtpp&gt;. Ответ на 60000 по ГТП генерации содержит один элемент &lt;gtpp&gt;, по сечению КУ – два элемента.</w:t>
            </w:r>
          </w:p>
          <w:p w14:paraId="31B042DB" w14:textId="77777777" w:rsidR="00295C6D" w:rsidRPr="00A5626D" w:rsidRDefault="00295C6D" w:rsidP="00E31AE6">
            <w:pPr>
              <w:numPr>
                <w:ilvl w:val="1"/>
                <w:numId w:val="0"/>
              </w:numPr>
              <w:tabs>
                <w:tab w:val="left" w:pos="1134"/>
                <w:tab w:val="left" w:pos="7938"/>
              </w:tabs>
              <w:rPr>
                <w:rFonts w:ascii="Garamond" w:eastAsia="Calibri" w:hAnsi="Garamond" w:cstheme="minorHAnsi"/>
                <w:b/>
                <w:bCs/>
                <w:sz w:val="22"/>
                <w:szCs w:val="22"/>
              </w:rPr>
            </w:pPr>
          </w:p>
        </w:tc>
        <w:tc>
          <w:tcPr>
            <w:tcW w:w="7088" w:type="dxa"/>
          </w:tcPr>
          <w:p w14:paraId="5201A133" w14:textId="77777777" w:rsidR="00295C6D" w:rsidRPr="00A5626D" w:rsidRDefault="00295C6D" w:rsidP="00E31AE6">
            <w:pPr>
              <w:spacing w:before="120" w:after="120"/>
              <w:ind w:right="-143"/>
              <w:jc w:val="both"/>
              <w:rPr>
                <w:rFonts w:ascii="Garamond" w:hAnsi="Garamond" w:cstheme="minorHAnsi"/>
                <w:b/>
                <w:sz w:val="22"/>
                <w:szCs w:val="22"/>
              </w:rPr>
            </w:pPr>
            <w:r w:rsidRPr="00A5626D">
              <w:rPr>
                <w:rFonts w:ascii="Garamond" w:eastAsia="Calibri" w:hAnsi="Garamond" w:cstheme="minorHAnsi"/>
                <w:sz w:val="22"/>
                <w:szCs w:val="22"/>
              </w:rPr>
              <w:lastRenderedPageBreak/>
              <w:t>1.3</w:t>
            </w:r>
            <w:r w:rsidRPr="00A5626D">
              <w:rPr>
                <w:rFonts w:ascii="Garamond" w:eastAsia="Calibri" w:hAnsi="Garamond" w:cstheme="minorHAnsi"/>
                <w:sz w:val="22"/>
                <w:szCs w:val="22"/>
              </w:rPr>
              <w:tab/>
            </w:r>
            <w:r w:rsidRPr="00A5626D">
              <w:rPr>
                <w:rFonts w:ascii="Garamond" w:hAnsi="Garamond" w:cstheme="minorHAnsi"/>
                <w:b/>
                <w:sz w:val="22"/>
                <w:szCs w:val="22"/>
              </w:rPr>
              <w:t>&lt;</w:t>
            </w:r>
            <w:r w:rsidRPr="00A5626D">
              <w:rPr>
                <w:rFonts w:ascii="Garamond" w:hAnsi="Garamond" w:cstheme="minorHAnsi"/>
                <w:b/>
                <w:bCs/>
                <w:sz w:val="22"/>
                <w:szCs w:val="22"/>
              </w:rPr>
              <w:t>information</w:t>
            </w:r>
            <w:r w:rsidRPr="00A5626D">
              <w:rPr>
                <w:rFonts w:ascii="Garamond" w:hAnsi="Garamond" w:cstheme="minorHAnsi"/>
                <w:b/>
                <w:sz w:val="22"/>
                <w:szCs w:val="22"/>
              </w:rPr>
              <w:t>-60000&gt;</w:t>
            </w:r>
          </w:p>
          <w:p w14:paraId="239212F9" w14:textId="77777777" w:rsidR="00295C6D" w:rsidRPr="00A5626D" w:rsidRDefault="00295C6D" w:rsidP="00E31AE6">
            <w:pPr>
              <w:tabs>
                <w:tab w:val="left" w:pos="567"/>
              </w:tabs>
              <w:spacing w:before="120" w:after="120"/>
              <w:jc w:val="both"/>
              <w:rPr>
                <w:rFonts w:ascii="Garamond" w:eastAsia="Calibri" w:hAnsi="Garamond" w:cstheme="minorHAnsi"/>
                <w:sz w:val="22"/>
                <w:szCs w:val="22"/>
              </w:rPr>
            </w:pPr>
            <w:r w:rsidRPr="00A5626D">
              <w:rPr>
                <w:rFonts w:ascii="Garamond" w:eastAsia="Calibri" w:hAnsi="Garamond" w:cstheme="minorHAnsi"/>
                <w:sz w:val="22"/>
                <w:szCs w:val="22"/>
              </w:rPr>
              <w:t xml:space="preserve">Элемент &lt;information-60000&gt; является обязательным потомком элемента &lt;message&gt;, если filestatus=0. В остальных случаях элемент отсутствует в файле. Cодержит сведения из поступившего формата 60000: наименование и код ГТП генерации, сечения КУ </w:t>
            </w:r>
            <w:r w:rsidRPr="00A5626D">
              <w:rPr>
                <w:rFonts w:ascii="Garamond" w:eastAsia="Calibri" w:hAnsi="Garamond" w:cstheme="minorHAnsi"/>
                <w:sz w:val="22"/>
                <w:szCs w:val="22"/>
                <w:highlight w:val="yellow"/>
              </w:rPr>
              <w:t>или объекта регулирования</w:t>
            </w:r>
            <w:r w:rsidRPr="00A5626D">
              <w:rPr>
                <w:rFonts w:ascii="Garamond" w:eastAsia="Calibri" w:hAnsi="Garamond" w:cstheme="minorHAnsi"/>
                <w:sz w:val="22"/>
                <w:szCs w:val="22"/>
              </w:rPr>
              <w:t xml:space="preserve">, количество точек поставки в сечении </w:t>
            </w:r>
            <w:r w:rsidRPr="00A5626D">
              <w:rPr>
                <w:rFonts w:ascii="Garamond" w:eastAsia="Calibri" w:hAnsi="Garamond" w:cstheme="minorHAnsi"/>
                <w:sz w:val="22"/>
                <w:szCs w:val="22"/>
                <w:highlight w:val="yellow"/>
              </w:rPr>
              <w:t>КУ</w:t>
            </w:r>
            <w:r w:rsidRPr="00A5626D">
              <w:rPr>
                <w:rFonts w:ascii="Garamond" w:eastAsia="Calibri" w:hAnsi="Garamond" w:cstheme="minorHAnsi"/>
                <w:sz w:val="22"/>
                <w:szCs w:val="22"/>
              </w:rPr>
              <w:t>/ ГТПГ</w:t>
            </w:r>
            <w:r w:rsidRPr="00A5626D">
              <w:rPr>
                <w:rFonts w:ascii="Garamond" w:eastAsia="Calibri" w:hAnsi="Garamond" w:cstheme="minorHAnsi"/>
                <w:sz w:val="22"/>
                <w:szCs w:val="22"/>
                <w:highlight w:val="yellow"/>
              </w:rPr>
              <w:t>/ОР</w:t>
            </w:r>
            <w:r w:rsidRPr="00A5626D">
              <w:rPr>
                <w:rFonts w:ascii="Garamond" w:eastAsia="Calibri" w:hAnsi="Garamond" w:cstheme="minorHAnsi"/>
                <w:sz w:val="22"/>
                <w:szCs w:val="22"/>
              </w:rPr>
              <w:t>, количество точек измерений и приборов учета в алгоритме расчета учетного показателя, переданного в формате 60000.</w:t>
            </w:r>
          </w:p>
          <w:p w14:paraId="35EE8E15" w14:textId="77777777" w:rsidR="00295C6D" w:rsidRPr="00A5626D" w:rsidRDefault="00295C6D" w:rsidP="00E31AE6">
            <w:pPr>
              <w:tabs>
                <w:tab w:val="left" w:pos="567"/>
              </w:tabs>
              <w:spacing w:before="120" w:after="120"/>
              <w:jc w:val="both"/>
              <w:rPr>
                <w:rFonts w:ascii="Garamond" w:eastAsia="Calibri" w:hAnsi="Garamond" w:cstheme="minorHAnsi"/>
                <w:sz w:val="22"/>
                <w:szCs w:val="22"/>
              </w:rPr>
            </w:pPr>
            <w:r w:rsidRPr="00A5626D">
              <w:rPr>
                <w:rFonts w:ascii="Garamond" w:eastAsia="Calibri" w:hAnsi="Garamond" w:cstheme="minorHAnsi"/>
                <w:sz w:val="22"/>
                <w:szCs w:val="22"/>
              </w:rPr>
              <w:t xml:space="preserve">Обязательным атрибутом элемента &lt;information-60000&gt; является delivery-points. </w:t>
            </w:r>
          </w:p>
          <w:p w14:paraId="1BCD9B3D" w14:textId="77777777" w:rsidR="00295C6D" w:rsidRPr="00A5626D" w:rsidRDefault="00295C6D" w:rsidP="00E31AE6">
            <w:pPr>
              <w:tabs>
                <w:tab w:val="left" w:pos="567"/>
              </w:tabs>
              <w:spacing w:before="120" w:after="120"/>
              <w:jc w:val="both"/>
              <w:rPr>
                <w:rFonts w:ascii="Garamond" w:eastAsia="Calibri" w:hAnsi="Garamond" w:cstheme="minorHAnsi"/>
                <w:sz w:val="22"/>
                <w:szCs w:val="22"/>
              </w:rPr>
            </w:pPr>
            <w:r w:rsidRPr="00A5626D">
              <w:rPr>
                <w:rFonts w:ascii="Garamond" w:eastAsia="Calibri" w:hAnsi="Garamond" w:cstheme="minorHAnsi"/>
                <w:sz w:val="22"/>
                <w:szCs w:val="22"/>
              </w:rPr>
              <w:t>– delivery-points содержит количество точек поставки, переданное в макете 60000. Числовое поле длиной не более 5 символов.</w:t>
            </w:r>
          </w:p>
          <w:p w14:paraId="39C9444F" w14:textId="77777777" w:rsidR="00295C6D" w:rsidRPr="00A5626D" w:rsidRDefault="00295C6D" w:rsidP="00E31AE6">
            <w:pPr>
              <w:tabs>
                <w:tab w:val="left" w:pos="567"/>
              </w:tabs>
              <w:spacing w:before="120" w:after="120"/>
              <w:jc w:val="both"/>
              <w:rPr>
                <w:rFonts w:ascii="Garamond" w:eastAsia="Calibri" w:hAnsi="Garamond" w:cstheme="minorHAnsi"/>
                <w:sz w:val="22"/>
                <w:szCs w:val="22"/>
              </w:rPr>
            </w:pPr>
            <w:r w:rsidRPr="00A5626D">
              <w:rPr>
                <w:rFonts w:ascii="Garamond" w:eastAsia="Calibri" w:hAnsi="Garamond" w:cstheme="minorHAnsi"/>
                <w:sz w:val="22"/>
                <w:szCs w:val="22"/>
              </w:rPr>
              <w:t xml:space="preserve">Потомками элемента &lt;information-60000&gt; являются элементы &lt;generation&gt; (обязателен только для ответа на 60000 по ГТП генерации), &lt;peretok&gt; </w:t>
            </w:r>
            <w:r w:rsidRPr="00A5626D">
              <w:rPr>
                <w:rFonts w:ascii="Garamond" w:eastAsia="Calibri" w:hAnsi="Garamond" w:cstheme="minorHAnsi"/>
                <w:sz w:val="22"/>
                <w:szCs w:val="22"/>
              </w:rPr>
              <w:lastRenderedPageBreak/>
              <w:t xml:space="preserve">(обязателен только для ответа на 60000 по сечению КУ), &lt;gtpp&gt; </w:t>
            </w:r>
            <w:r w:rsidRPr="00A5626D">
              <w:rPr>
                <w:rFonts w:ascii="Garamond" w:eastAsia="Calibri" w:hAnsi="Garamond" w:cstheme="minorHAnsi"/>
                <w:sz w:val="22"/>
                <w:szCs w:val="22"/>
                <w:highlight w:val="yellow"/>
              </w:rPr>
              <w:t>(обязателен только для ответа на 60000 по ГТП генерации или сечению КУ)</w:t>
            </w:r>
            <w:r w:rsidRPr="00A5626D">
              <w:rPr>
                <w:rFonts w:ascii="Garamond" w:eastAsia="Calibri" w:hAnsi="Garamond" w:cstheme="minorHAnsi"/>
                <w:sz w:val="22"/>
                <w:szCs w:val="22"/>
              </w:rPr>
              <w:t xml:space="preserve">, </w:t>
            </w:r>
            <w:r w:rsidRPr="00A5626D">
              <w:rPr>
                <w:rFonts w:ascii="Garamond" w:hAnsi="Garamond"/>
                <w:sz w:val="22"/>
                <w:szCs w:val="22"/>
                <w:highlight w:val="yellow"/>
                <w:lang w:eastAsia="en-US"/>
              </w:rPr>
              <w:t>&lt;</w:t>
            </w:r>
            <w:r w:rsidRPr="00A5626D">
              <w:rPr>
                <w:rFonts w:ascii="Garamond" w:hAnsi="Garamond"/>
                <w:sz w:val="22"/>
                <w:szCs w:val="22"/>
                <w:highlight w:val="yellow"/>
                <w:lang w:val="en-US" w:eastAsia="en-US"/>
              </w:rPr>
              <w:t>regulation</w:t>
            </w:r>
            <w:r w:rsidRPr="00A5626D">
              <w:rPr>
                <w:rFonts w:ascii="Garamond" w:hAnsi="Garamond"/>
                <w:sz w:val="22"/>
                <w:szCs w:val="22"/>
                <w:highlight w:val="yellow"/>
                <w:lang w:eastAsia="en-US"/>
              </w:rPr>
              <w:t>-</w:t>
            </w:r>
            <w:r w:rsidRPr="00A5626D">
              <w:rPr>
                <w:rFonts w:ascii="Garamond" w:hAnsi="Garamond"/>
                <w:sz w:val="22"/>
                <w:szCs w:val="22"/>
                <w:highlight w:val="yellow"/>
                <w:lang w:val="en-US" w:eastAsia="en-US"/>
              </w:rPr>
              <w:t>object</w:t>
            </w:r>
            <w:r w:rsidRPr="00A5626D">
              <w:rPr>
                <w:rFonts w:ascii="Garamond" w:hAnsi="Garamond"/>
                <w:sz w:val="22"/>
                <w:szCs w:val="22"/>
                <w:highlight w:val="yellow"/>
                <w:lang w:eastAsia="en-US"/>
              </w:rPr>
              <w:t>&gt; (обязателен только для ответа на 60000 по объекту регулирования)</w:t>
            </w:r>
            <w:r w:rsidRPr="00A5626D">
              <w:rPr>
                <w:rFonts w:ascii="Garamond" w:eastAsia="Calibri" w:hAnsi="Garamond" w:cstheme="minorHAnsi"/>
                <w:sz w:val="22"/>
                <w:szCs w:val="22"/>
                <w:highlight w:val="yellow"/>
              </w:rPr>
              <w:t>.</w:t>
            </w:r>
            <w:r w:rsidRPr="00A5626D">
              <w:rPr>
                <w:rFonts w:ascii="Garamond" w:eastAsia="Calibri" w:hAnsi="Garamond" w:cstheme="minorHAnsi"/>
                <w:sz w:val="22"/>
                <w:szCs w:val="22"/>
              </w:rPr>
              <w:t xml:space="preserve"> Элемент &lt;information-60000&gt; может содержать один или два дочерних элемента &lt;gtpp&gt;. Ответ на 60000 по ГТП генерации содержит один элемент &lt;gtpp&gt;, по сечению КУ – два элемента.</w:t>
            </w:r>
          </w:p>
          <w:p w14:paraId="794E59AC" w14:textId="77777777" w:rsidR="00295C6D" w:rsidRPr="00A5626D" w:rsidRDefault="00295C6D" w:rsidP="00E31AE6">
            <w:pPr>
              <w:numPr>
                <w:ilvl w:val="1"/>
                <w:numId w:val="0"/>
              </w:numPr>
              <w:tabs>
                <w:tab w:val="left" w:pos="1134"/>
                <w:tab w:val="left" w:pos="7938"/>
              </w:tabs>
              <w:rPr>
                <w:rFonts w:ascii="Garamond" w:eastAsia="Calibri" w:hAnsi="Garamond" w:cstheme="minorHAnsi"/>
                <w:b/>
                <w:bCs/>
                <w:sz w:val="22"/>
                <w:szCs w:val="22"/>
              </w:rPr>
            </w:pPr>
          </w:p>
        </w:tc>
      </w:tr>
      <w:tr w:rsidR="00295C6D" w:rsidRPr="00A5626D" w14:paraId="7F71B7DD" w14:textId="77777777" w:rsidTr="00647FA0">
        <w:tc>
          <w:tcPr>
            <w:tcW w:w="1060" w:type="dxa"/>
            <w:vAlign w:val="center"/>
          </w:tcPr>
          <w:p w14:paraId="33AF6528" w14:textId="4029D1F9" w:rsidR="00295C6D" w:rsidRPr="00A5626D" w:rsidRDefault="00295C6D" w:rsidP="00E31AE6">
            <w:pPr>
              <w:numPr>
                <w:ilvl w:val="1"/>
                <w:numId w:val="0"/>
              </w:numPr>
              <w:tabs>
                <w:tab w:val="left" w:pos="1134"/>
                <w:tab w:val="left" w:pos="7938"/>
              </w:tabs>
              <w:rPr>
                <w:rFonts w:ascii="Garamond" w:hAnsi="Garamond"/>
                <w:b/>
                <w:sz w:val="22"/>
                <w:szCs w:val="22"/>
                <w:lang w:eastAsia="en-US"/>
              </w:rPr>
            </w:pPr>
            <w:r w:rsidRPr="00A5626D">
              <w:rPr>
                <w:rFonts w:ascii="Garamond" w:hAnsi="Garamond"/>
                <w:b/>
                <w:sz w:val="22"/>
                <w:szCs w:val="22"/>
                <w:lang w:eastAsia="en-US"/>
              </w:rPr>
              <w:lastRenderedPageBreak/>
              <w:t>Приложение 5, п.</w:t>
            </w:r>
            <w:r w:rsidR="00647FA0" w:rsidRPr="00A5626D">
              <w:rPr>
                <w:rFonts w:ascii="Garamond" w:hAnsi="Garamond"/>
                <w:b/>
                <w:sz w:val="22"/>
                <w:szCs w:val="22"/>
                <w:lang w:eastAsia="en-US"/>
              </w:rPr>
              <w:t xml:space="preserve"> </w:t>
            </w:r>
            <w:r w:rsidRPr="00A5626D">
              <w:rPr>
                <w:rFonts w:ascii="Garamond" w:hAnsi="Garamond"/>
                <w:b/>
                <w:sz w:val="22"/>
                <w:szCs w:val="22"/>
                <w:lang w:eastAsia="en-US"/>
              </w:rPr>
              <w:t>5</w:t>
            </w:r>
          </w:p>
        </w:tc>
        <w:tc>
          <w:tcPr>
            <w:tcW w:w="6662" w:type="dxa"/>
          </w:tcPr>
          <w:p w14:paraId="6AC874C3" w14:textId="77777777" w:rsidR="00295C6D" w:rsidRPr="00A5626D" w:rsidRDefault="00295C6D" w:rsidP="00E31AE6">
            <w:pPr>
              <w:numPr>
                <w:ilvl w:val="1"/>
                <w:numId w:val="0"/>
              </w:numPr>
              <w:tabs>
                <w:tab w:val="left" w:pos="1134"/>
                <w:tab w:val="left" w:pos="7938"/>
              </w:tabs>
              <w:rPr>
                <w:rFonts w:ascii="Garamond" w:eastAsia="MS Mincho" w:hAnsi="Garamond"/>
                <w:b/>
                <w:bCs/>
                <w:sz w:val="22"/>
                <w:szCs w:val="22"/>
              </w:rPr>
            </w:pPr>
            <w:r w:rsidRPr="00A5626D">
              <w:rPr>
                <w:rFonts w:ascii="Garamond" w:eastAsia="Calibri" w:hAnsi="Garamond" w:cstheme="minorHAnsi"/>
                <w:b/>
                <w:bCs/>
                <w:sz w:val="22"/>
                <w:szCs w:val="22"/>
              </w:rPr>
              <w:t>Макет</w:t>
            </w:r>
            <w:r w:rsidRPr="00A5626D">
              <w:rPr>
                <w:rFonts w:ascii="Garamond" w:eastAsia="MS Mincho" w:hAnsi="Garamond"/>
                <w:b/>
                <w:bCs/>
                <w:sz w:val="22"/>
                <w:szCs w:val="22"/>
              </w:rPr>
              <w:t xml:space="preserve"> 60001. Ответная квитанция на макет 60000</w:t>
            </w:r>
          </w:p>
          <w:p w14:paraId="273456C0" w14:textId="77777777" w:rsidR="00295C6D" w:rsidRPr="00A5626D" w:rsidRDefault="00295C6D" w:rsidP="00E31AE6">
            <w:pPr>
              <w:numPr>
                <w:ilvl w:val="1"/>
                <w:numId w:val="0"/>
              </w:numPr>
              <w:tabs>
                <w:tab w:val="left" w:pos="1134"/>
                <w:tab w:val="left" w:pos="7938"/>
              </w:tabs>
              <w:rPr>
                <w:rFonts w:ascii="Garamond" w:eastAsia="MS Mincho" w:hAnsi="Garamond"/>
                <w:bCs/>
                <w:sz w:val="22"/>
                <w:szCs w:val="22"/>
              </w:rPr>
            </w:pPr>
            <w:r w:rsidRPr="00A5626D">
              <w:rPr>
                <w:rFonts w:ascii="Garamond" w:eastAsia="MS Mincho" w:hAnsi="Garamond"/>
                <w:bCs/>
                <w:sz w:val="22"/>
                <w:szCs w:val="22"/>
              </w:rPr>
              <w:t>&lt;…&gt;</w:t>
            </w:r>
          </w:p>
          <w:p w14:paraId="1DF0CB9C" w14:textId="267A9263" w:rsidR="00295C6D" w:rsidRPr="00A5626D" w:rsidRDefault="00295C6D" w:rsidP="00E31AE6">
            <w:pPr>
              <w:spacing w:before="120" w:after="120"/>
              <w:ind w:right="-143"/>
              <w:jc w:val="both"/>
              <w:rPr>
                <w:rFonts w:ascii="Garamond" w:eastAsia="MS Mincho" w:hAnsi="Garamond"/>
                <w:b/>
                <w:bCs/>
                <w:sz w:val="22"/>
                <w:szCs w:val="22"/>
              </w:rPr>
            </w:pPr>
            <w:r w:rsidRPr="00A5626D">
              <w:rPr>
                <w:rFonts w:ascii="Garamond" w:eastAsia="MS Mincho" w:hAnsi="Garamond"/>
                <w:b/>
                <w:bCs/>
                <w:sz w:val="22"/>
                <w:szCs w:val="22"/>
              </w:rPr>
              <w:t>Добавить п.</w:t>
            </w:r>
            <w:r w:rsidR="00647FA0" w:rsidRPr="00A5626D">
              <w:rPr>
                <w:rFonts w:ascii="Garamond" w:eastAsia="MS Mincho" w:hAnsi="Garamond"/>
                <w:b/>
                <w:bCs/>
                <w:sz w:val="22"/>
                <w:szCs w:val="22"/>
              </w:rPr>
              <w:t xml:space="preserve"> </w:t>
            </w:r>
            <w:r w:rsidRPr="00A5626D">
              <w:rPr>
                <w:rFonts w:ascii="Garamond" w:eastAsia="MS Mincho" w:hAnsi="Garamond"/>
                <w:b/>
                <w:bCs/>
                <w:sz w:val="22"/>
                <w:szCs w:val="22"/>
              </w:rPr>
              <w:t>1.3.4</w:t>
            </w:r>
          </w:p>
          <w:p w14:paraId="39BFDA91" w14:textId="77777777" w:rsidR="00295C6D" w:rsidRPr="00A5626D" w:rsidRDefault="00295C6D" w:rsidP="00F57690">
            <w:pPr>
              <w:rPr>
                <w:rFonts w:ascii="Garamond" w:eastAsia="Calibri" w:hAnsi="Garamond" w:cstheme="minorHAnsi"/>
                <w:sz w:val="22"/>
                <w:szCs w:val="22"/>
              </w:rPr>
            </w:pPr>
          </w:p>
        </w:tc>
        <w:tc>
          <w:tcPr>
            <w:tcW w:w="7088" w:type="dxa"/>
          </w:tcPr>
          <w:p w14:paraId="1030BDAD" w14:textId="77777777" w:rsidR="00295C6D" w:rsidRPr="00A5626D" w:rsidRDefault="00295C6D" w:rsidP="00E31AE6">
            <w:pPr>
              <w:numPr>
                <w:ilvl w:val="1"/>
                <w:numId w:val="0"/>
              </w:numPr>
              <w:tabs>
                <w:tab w:val="left" w:pos="1134"/>
                <w:tab w:val="left" w:pos="7938"/>
              </w:tabs>
              <w:rPr>
                <w:rFonts w:ascii="Garamond" w:eastAsia="MS Mincho" w:hAnsi="Garamond"/>
                <w:b/>
                <w:bCs/>
                <w:sz w:val="22"/>
                <w:szCs w:val="22"/>
              </w:rPr>
            </w:pPr>
            <w:r w:rsidRPr="00A5626D">
              <w:rPr>
                <w:rFonts w:ascii="Garamond" w:eastAsia="Calibri" w:hAnsi="Garamond" w:cstheme="minorHAnsi"/>
                <w:b/>
                <w:bCs/>
                <w:sz w:val="22"/>
                <w:szCs w:val="22"/>
              </w:rPr>
              <w:t>Макет</w:t>
            </w:r>
            <w:r w:rsidRPr="00A5626D">
              <w:rPr>
                <w:rFonts w:ascii="Garamond" w:eastAsia="MS Mincho" w:hAnsi="Garamond"/>
                <w:b/>
                <w:bCs/>
                <w:sz w:val="22"/>
                <w:szCs w:val="22"/>
              </w:rPr>
              <w:t xml:space="preserve"> 60001. Ответная квитанция на макет 60000</w:t>
            </w:r>
          </w:p>
          <w:p w14:paraId="38E956E3" w14:textId="77777777" w:rsidR="00295C6D" w:rsidRPr="00A5626D" w:rsidRDefault="00295C6D" w:rsidP="00E31AE6">
            <w:pPr>
              <w:numPr>
                <w:ilvl w:val="1"/>
                <w:numId w:val="0"/>
              </w:numPr>
              <w:tabs>
                <w:tab w:val="left" w:pos="1134"/>
                <w:tab w:val="left" w:pos="7938"/>
              </w:tabs>
              <w:rPr>
                <w:rFonts w:ascii="Garamond" w:eastAsia="MS Mincho" w:hAnsi="Garamond"/>
                <w:bCs/>
                <w:sz w:val="22"/>
                <w:szCs w:val="22"/>
              </w:rPr>
            </w:pPr>
            <w:r w:rsidRPr="00A5626D">
              <w:rPr>
                <w:rFonts w:ascii="Garamond" w:eastAsia="MS Mincho" w:hAnsi="Garamond"/>
                <w:bCs/>
                <w:sz w:val="22"/>
                <w:szCs w:val="22"/>
              </w:rPr>
              <w:t>&lt;…&gt;</w:t>
            </w:r>
          </w:p>
          <w:p w14:paraId="6AB70F6A" w14:textId="3A8C330F" w:rsidR="00295C6D" w:rsidRPr="00A5626D" w:rsidRDefault="00295C6D" w:rsidP="00E31AE6">
            <w:pPr>
              <w:numPr>
                <w:ilvl w:val="1"/>
                <w:numId w:val="0"/>
              </w:numPr>
              <w:tabs>
                <w:tab w:val="left" w:pos="1134"/>
                <w:tab w:val="left" w:pos="7938"/>
              </w:tabs>
              <w:rPr>
                <w:rFonts w:ascii="Garamond" w:hAnsi="Garamond"/>
                <w:sz w:val="22"/>
                <w:szCs w:val="22"/>
                <w:lang w:eastAsia="en-US"/>
              </w:rPr>
            </w:pPr>
            <w:r w:rsidRPr="00A5626D">
              <w:rPr>
                <w:rFonts w:ascii="Garamond" w:eastAsia="MS Mincho" w:hAnsi="Garamond"/>
                <w:b/>
                <w:bCs/>
                <w:sz w:val="22"/>
                <w:szCs w:val="22"/>
                <w:highlight w:val="yellow"/>
              </w:rPr>
              <w:t>1.3.4</w:t>
            </w:r>
            <w:r w:rsidR="009B5F03" w:rsidRPr="00A5626D">
              <w:rPr>
                <w:rFonts w:ascii="Garamond" w:eastAsia="MS Mincho" w:hAnsi="Garamond"/>
                <w:b/>
                <w:bCs/>
                <w:sz w:val="22"/>
                <w:szCs w:val="22"/>
              </w:rPr>
              <w:t xml:space="preserve"> </w:t>
            </w:r>
            <w:r w:rsidRPr="00A5626D">
              <w:rPr>
                <w:rFonts w:ascii="Garamond" w:hAnsi="Garamond"/>
                <w:sz w:val="22"/>
                <w:szCs w:val="22"/>
                <w:highlight w:val="yellow"/>
                <w:lang w:eastAsia="en-US"/>
              </w:rPr>
              <w:t>&lt;</w:t>
            </w:r>
            <w:r w:rsidRPr="00A5626D">
              <w:rPr>
                <w:rFonts w:ascii="Garamond" w:hAnsi="Garamond"/>
                <w:sz w:val="22"/>
                <w:szCs w:val="22"/>
                <w:highlight w:val="yellow"/>
                <w:lang w:val="en-US" w:eastAsia="en-US"/>
              </w:rPr>
              <w:t>regulation</w:t>
            </w:r>
            <w:r w:rsidRPr="00A5626D">
              <w:rPr>
                <w:rFonts w:ascii="Garamond" w:hAnsi="Garamond"/>
                <w:sz w:val="22"/>
                <w:szCs w:val="22"/>
                <w:highlight w:val="yellow"/>
                <w:lang w:eastAsia="en-US"/>
              </w:rPr>
              <w:t>-</w:t>
            </w:r>
            <w:r w:rsidRPr="00A5626D">
              <w:rPr>
                <w:rFonts w:ascii="Garamond" w:hAnsi="Garamond"/>
                <w:sz w:val="22"/>
                <w:szCs w:val="22"/>
                <w:highlight w:val="yellow"/>
                <w:lang w:val="en-US" w:eastAsia="en-US"/>
              </w:rPr>
              <w:t>object</w:t>
            </w:r>
            <w:r w:rsidRPr="00A5626D">
              <w:rPr>
                <w:rFonts w:ascii="Garamond" w:hAnsi="Garamond"/>
                <w:sz w:val="22"/>
                <w:szCs w:val="22"/>
                <w:highlight w:val="yellow"/>
                <w:lang w:eastAsia="en-US"/>
              </w:rPr>
              <w:t>&gt;</w:t>
            </w:r>
          </w:p>
          <w:p w14:paraId="0BD74441" w14:textId="721FCE0B" w:rsidR="00295C6D" w:rsidRPr="00A5626D" w:rsidRDefault="00295C6D" w:rsidP="00794ED1">
            <w:pPr>
              <w:spacing w:line="276" w:lineRule="auto"/>
              <w:jc w:val="both"/>
              <w:rPr>
                <w:rFonts w:ascii="Garamond" w:eastAsiaTheme="minorEastAsia" w:hAnsi="Garamond"/>
                <w:sz w:val="22"/>
                <w:szCs w:val="22"/>
                <w:highlight w:val="yellow"/>
                <w:lang w:eastAsia="en-US"/>
              </w:rPr>
            </w:pPr>
            <w:r w:rsidRPr="00A5626D">
              <w:rPr>
                <w:rFonts w:ascii="Garamond" w:eastAsiaTheme="minorEastAsia" w:hAnsi="Garamond"/>
                <w:sz w:val="22"/>
                <w:szCs w:val="22"/>
                <w:highlight w:val="yellow"/>
                <w:lang w:eastAsia="en-US"/>
              </w:rPr>
              <w:t>Элемент &lt;</w:t>
            </w:r>
            <w:r w:rsidRPr="00A5626D">
              <w:rPr>
                <w:rFonts w:ascii="Garamond" w:eastAsiaTheme="minorEastAsia" w:hAnsi="Garamond" w:cs="Times New Roman"/>
                <w:sz w:val="22"/>
                <w:szCs w:val="22"/>
                <w:highlight w:val="yellow"/>
                <w:lang w:eastAsia="en-US"/>
              </w:rPr>
              <w:t>regulation</w:t>
            </w:r>
            <w:r w:rsidRPr="00A5626D">
              <w:rPr>
                <w:rFonts w:ascii="Garamond" w:eastAsiaTheme="minorEastAsia" w:hAnsi="Garamond"/>
                <w:sz w:val="22"/>
                <w:szCs w:val="22"/>
                <w:highlight w:val="yellow"/>
                <w:lang w:eastAsia="en-US"/>
              </w:rPr>
              <w:t>-object&gt; является обязательным потомком элемента &lt;</w:t>
            </w:r>
            <w:r w:rsidRPr="00A5626D">
              <w:rPr>
                <w:rFonts w:ascii="Garamond" w:eastAsiaTheme="minorEastAsia" w:hAnsi="Garamond" w:cs="Times New Roman"/>
                <w:sz w:val="22"/>
                <w:szCs w:val="22"/>
                <w:highlight w:val="yellow"/>
                <w:lang w:eastAsia="en-US"/>
              </w:rPr>
              <w:t>information</w:t>
            </w:r>
            <w:r w:rsidRPr="00A5626D">
              <w:rPr>
                <w:rFonts w:ascii="Garamond" w:eastAsiaTheme="minorEastAsia" w:hAnsi="Garamond"/>
                <w:sz w:val="22"/>
                <w:szCs w:val="22"/>
                <w:highlight w:val="yellow"/>
                <w:lang w:eastAsia="en-US"/>
              </w:rPr>
              <w:t xml:space="preserve">-60000&gt;, если </w:t>
            </w:r>
            <w:r w:rsidRPr="00A5626D">
              <w:rPr>
                <w:rFonts w:ascii="Garamond" w:eastAsiaTheme="minorEastAsia" w:hAnsi="Garamond" w:cs="Times New Roman"/>
                <w:sz w:val="22"/>
                <w:szCs w:val="22"/>
                <w:highlight w:val="yellow"/>
                <w:lang w:eastAsia="en-US"/>
              </w:rPr>
              <w:t>filestatus</w:t>
            </w:r>
            <w:r w:rsidR="00794ED1">
              <w:rPr>
                <w:rFonts w:ascii="Garamond" w:eastAsiaTheme="minorEastAsia" w:hAnsi="Garamond" w:cs="Times New Roman"/>
                <w:sz w:val="22"/>
                <w:szCs w:val="22"/>
                <w:highlight w:val="yellow"/>
                <w:lang w:eastAsia="en-US"/>
              </w:rPr>
              <w:t xml:space="preserve"> </w:t>
            </w:r>
            <w:r w:rsidRPr="00A5626D">
              <w:rPr>
                <w:rFonts w:ascii="Garamond" w:eastAsiaTheme="minorEastAsia" w:hAnsi="Garamond"/>
                <w:sz w:val="22"/>
                <w:szCs w:val="22"/>
                <w:highlight w:val="yellow"/>
                <w:lang w:eastAsia="en-US"/>
              </w:rPr>
              <w:t>=</w:t>
            </w:r>
            <w:r w:rsidR="00794ED1">
              <w:rPr>
                <w:rFonts w:ascii="Garamond" w:eastAsiaTheme="minorEastAsia" w:hAnsi="Garamond"/>
                <w:sz w:val="22"/>
                <w:szCs w:val="22"/>
                <w:highlight w:val="yellow"/>
                <w:lang w:eastAsia="en-US"/>
              </w:rPr>
              <w:t xml:space="preserve"> </w:t>
            </w:r>
            <w:r w:rsidRPr="00A5626D">
              <w:rPr>
                <w:rFonts w:ascii="Garamond" w:eastAsiaTheme="minorEastAsia" w:hAnsi="Garamond"/>
                <w:sz w:val="22"/>
                <w:szCs w:val="22"/>
                <w:highlight w:val="yellow"/>
                <w:lang w:eastAsia="en-US"/>
              </w:rPr>
              <w:t>0 и файл 60000 содержал информацию по ОР и количестве кодируемых точек поставки. В остальных случаях элемент отсутствует в файле.</w:t>
            </w:r>
          </w:p>
          <w:p w14:paraId="5C6236EC" w14:textId="77777777" w:rsidR="00295C6D" w:rsidRPr="00A5626D" w:rsidRDefault="00295C6D" w:rsidP="00794ED1">
            <w:pPr>
              <w:spacing w:line="276" w:lineRule="auto"/>
              <w:rPr>
                <w:rFonts w:ascii="Garamond" w:eastAsiaTheme="minorEastAsia" w:hAnsi="Garamond"/>
                <w:sz w:val="22"/>
                <w:szCs w:val="22"/>
                <w:highlight w:val="yellow"/>
                <w:lang w:eastAsia="en-US"/>
              </w:rPr>
            </w:pPr>
            <w:r w:rsidRPr="00A5626D">
              <w:rPr>
                <w:rFonts w:ascii="Garamond" w:eastAsiaTheme="minorEastAsia" w:hAnsi="Garamond"/>
                <w:sz w:val="22"/>
                <w:szCs w:val="22"/>
                <w:highlight w:val="yellow"/>
                <w:lang w:eastAsia="en-US"/>
              </w:rPr>
              <w:t>Атрибутами элемента &lt;regulation-object&gt; являются:</w:t>
            </w:r>
          </w:p>
          <w:p w14:paraId="3EE1D640" w14:textId="1211820E" w:rsidR="00295C6D" w:rsidRPr="00A5626D" w:rsidRDefault="00295C6D" w:rsidP="00794ED1">
            <w:pPr>
              <w:pStyle w:val="ac"/>
              <w:numPr>
                <w:ilvl w:val="0"/>
                <w:numId w:val="279"/>
              </w:numPr>
              <w:spacing w:line="276" w:lineRule="auto"/>
              <w:ind w:left="644"/>
              <w:contextualSpacing/>
              <w:jc w:val="both"/>
              <w:rPr>
                <w:rFonts w:ascii="Garamond" w:eastAsiaTheme="minorEastAsia" w:hAnsi="Garamond"/>
                <w:sz w:val="22"/>
                <w:szCs w:val="22"/>
                <w:highlight w:val="yellow"/>
                <w:lang w:eastAsia="en-US"/>
              </w:rPr>
            </w:pPr>
            <w:r w:rsidRPr="00A5626D">
              <w:rPr>
                <w:rFonts w:ascii="Garamond" w:eastAsiaTheme="minorEastAsia" w:hAnsi="Garamond"/>
                <w:sz w:val="22"/>
                <w:szCs w:val="22"/>
                <w:highlight w:val="yellow"/>
                <w:lang w:eastAsia="en-US"/>
              </w:rPr>
              <w:t>code</w:t>
            </w:r>
            <w:r w:rsidR="009B5F03" w:rsidRPr="00A5626D">
              <w:rPr>
                <w:rFonts w:ascii="Garamond" w:eastAsiaTheme="minorEastAsia" w:hAnsi="Garamond"/>
                <w:sz w:val="22"/>
                <w:szCs w:val="22"/>
                <w:highlight w:val="yellow"/>
                <w:lang w:eastAsia="en-US"/>
              </w:rPr>
              <w:t xml:space="preserve"> – </w:t>
            </w:r>
            <w:r w:rsidRPr="00A5626D">
              <w:rPr>
                <w:rFonts w:ascii="Garamond" w:eastAsiaTheme="minorEastAsia" w:hAnsi="Garamond"/>
                <w:sz w:val="22"/>
                <w:szCs w:val="22"/>
                <w:highlight w:val="yellow"/>
                <w:lang w:eastAsia="en-US"/>
              </w:rPr>
              <w:t>содержит информацию о коде ОР, указанном в макете 60000. Является обязательным атрибутом. Текстовое поле длиной ровно 8 символов;</w:t>
            </w:r>
          </w:p>
          <w:p w14:paraId="78E518E8" w14:textId="10CCB2CC" w:rsidR="00295C6D" w:rsidRPr="00A5626D" w:rsidRDefault="00295C6D" w:rsidP="00794ED1">
            <w:pPr>
              <w:pStyle w:val="ac"/>
              <w:numPr>
                <w:ilvl w:val="0"/>
                <w:numId w:val="279"/>
              </w:numPr>
              <w:spacing w:line="276" w:lineRule="auto"/>
              <w:ind w:left="644"/>
              <w:contextualSpacing/>
              <w:jc w:val="both"/>
              <w:rPr>
                <w:rFonts w:ascii="Garamond" w:eastAsiaTheme="minorEastAsia" w:hAnsi="Garamond"/>
                <w:sz w:val="22"/>
                <w:szCs w:val="22"/>
                <w:highlight w:val="yellow"/>
                <w:lang w:eastAsia="en-US"/>
              </w:rPr>
            </w:pPr>
            <w:r w:rsidRPr="00A5626D">
              <w:rPr>
                <w:rFonts w:ascii="Garamond" w:eastAsiaTheme="minorEastAsia" w:hAnsi="Garamond"/>
                <w:sz w:val="22"/>
                <w:szCs w:val="22"/>
                <w:highlight w:val="yellow"/>
                <w:lang w:eastAsia="en-US"/>
              </w:rPr>
              <w:t>name</w:t>
            </w:r>
            <w:r w:rsidR="009B5F03" w:rsidRPr="00A5626D">
              <w:rPr>
                <w:rFonts w:ascii="Garamond" w:eastAsiaTheme="minorEastAsia" w:hAnsi="Garamond"/>
                <w:sz w:val="22"/>
                <w:szCs w:val="22"/>
                <w:highlight w:val="yellow"/>
                <w:lang w:eastAsia="en-US"/>
              </w:rPr>
              <w:t xml:space="preserve"> – </w:t>
            </w:r>
            <w:r w:rsidRPr="00A5626D">
              <w:rPr>
                <w:rFonts w:ascii="Garamond" w:eastAsiaTheme="minorEastAsia" w:hAnsi="Garamond"/>
                <w:sz w:val="22"/>
                <w:szCs w:val="22"/>
                <w:highlight w:val="yellow"/>
                <w:lang w:eastAsia="en-US"/>
              </w:rPr>
              <w:t>содержит информацию о наименовании ОР, указанном в макете 60000. Является обязательным атрибутом. Текстовое поле длиной не более 512 символов</w:t>
            </w:r>
            <w:r w:rsidR="00794ED1">
              <w:rPr>
                <w:rFonts w:ascii="Garamond" w:eastAsiaTheme="minorEastAsia" w:hAnsi="Garamond"/>
                <w:sz w:val="22"/>
                <w:szCs w:val="22"/>
                <w:highlight w:val="yellow"/>
                <w:lang w:eastAsia="en-US"/>
              </w:rPr>
              <w:t>;</w:t>
            </w:r>
          </w:p>
          <w:p w14:paraId="07F97D50" w14:textId="33C9F7A4" w:rsidR="00295C6D" w:rsidRPr="00A5626D" w:rsidRDefault="00295C6D" w:rsidP="00794ED1">
            <w:pPr>
              <w:pStyle w:val="ac"/>
              <w:numPr>
                <w:ilvl w:val="0"/>
                <w:numId w:val="279"/>
              </w:numPr>
              <w:spacing w:line="276" w:lineRule="auto"/>
              <w:ind w:left="644"/>
              <w:contextualSpacing/>
              <w:jc w:val="both"/>
              <w:rPr>
                <w:rFonts w:ascii="Garamond" w:eastAsiaTheme="minorEastAsia" w:hAnsi="Garamond"/>
                <w:sz w:val="22"/>
                <w:szCs w:val="22"/>
                <w:highlight w:val="yellow"/>
                <w:lang w:eastAsia="en-US"/>
              </w:rPr>
            </w:pPr>
            <w:r w:rsidRPr="00A5626D">
              <w:rPr>
                <w:rFonts w:ascii="Garamond" w:eastAsiaTheme="minorEastAsia" w:hAnsi="Garamond"/>
                <w:sz w:val="22"/>
                <w:szCs w:val="22"/>
                <w:highlight w:val="yellow"/>
                <w:lang w:eastAsia="en-US"/>
              </w:rPr>
              <w:t>trader-code</w:t>
            </w:r>
            <w:r w:rsidR="009B5F03" w:rsidRPr="00A5626D">
              <w:rPr>
                <w:rFonts w:ascii="Garamond" w:eastAsiaTheme="minorEastAsia" w:hAnsi="Garamond"/>
                <w:sz w:val="22"/>
                <w:szCs w:val="22"/>
                <w:highlight w:val="yellow"/>
                <w:lang w:eastAsia="en-US"/>
              </w:rPr>
              <w:t xml:space="preserve"> – </w:t>
            </w:r>
            <w:r w:rsidRPr="00A5626D">
              <w:rPr>
                <w:rFonts w:ascii="Garamond" w:eastAsiaTheme="minorEastAsia" w:hAnsi="Garamond"/>
                <w:sz w:val="22"/>
                <w:szCs w:val="22"/>
                <w:highlight w:val="yellow"/>
                <w:lang w:eastAsia="en-US"/>
              </w:rPr>
              <w:t>содержит торговый код организации (агрегатора). Текстовое поле длиной ровно 8 символов;</w:t>
            </w:r>
          </w:p>
          <w:p w14:paraId="09491173" w14:textId="75EA99D9" w:rsidR="00295C6D" w:rsidRPr="00A5626D" w:rsidRDefault="00295C6D" w:rsidP="00794ED1">
            <w:pPr>
              <w:pStyle w:val="ac"/>
              <w:numPr>
                <w:ilvl w:val="0"/>
                <w:numId w:val="279"/>
              </w:numPr>
              <w:spacing w:line="276" w:lineRule="auto"/>
              <w:ind w:left="644"/>
              <w:contextualSpacing/>
              <w:jc w:val="both"/>
              <w:rPr>
                <w:rFonts w:ascii="Garamond" w:eastAsiaTheme="minorEastAsia" w:hAnsi="Garamond"/>
                <w:sz w:val="22"/>
                <w:szCs w:val="22"/>
                <w:highlight w:val="yellow"/>
                <w:lang w:eastAsia="en-US"/>
              </w:rPr>
            </w:pPr>
            <w:r w:rsidRPr="00A5626D">
              <w:rPr>
                <w:rFonts w:ascii="Garamond" w:eastAsiaTheme="minorEastAsia" w:hAnsi="Garamond"/>
                <w:sz w:val="22"/>
                <w:szCs w:val="22"/>
                <w:highlight w:val="yellow"/>
                <w:lang w:eastAsia="en-US"/>
              </w:rPr>
              <w:t>gtp-owner-trader-code</w:t>
            </w:r>
            <w:r w:rsidR="009B5F03" w:rsidRPr="00A5626D">
              <w:rPr>
                <w:rFonts w:ascii="Garamond" w:eastAsiaTheme="minorEastAsia" w:hAnsi="Garamond"/>
                <w:sz w:val="22"/>
                <w:szCs w:val="22"/>
                <w:highlight w:val="yellow"/>
                <w:lang w:eastAsia="en-US"/>
              </w:rPr>
              <w:t xml:space="preserve"> – </w:t>
            </w:r>
            <w:r w:rsidRPr="00A5626D">
              <w:rPr>
                <w:rFonts w:ascii="Garamond" w:eastAsiaTheme="minorEastAsia" w:hAnsi="Garamond"/>
                <w:sz w:val="22"/>
                <w:szCs w:val="22"/>
                <w:highlight w:val="yellow"/>
                <w:lang w:eastAsia="en-US"/>
              </w:rPr>
              <w:t>торговый код организации – владельца ГТП. Длина поля – ровно 8 символов, состоит из латинских букв и цифр. Является обязательным атрибутом;</w:t>
            </w:r>
          </w:p>
          <w:p w14:paraId="532F22C5" w14:textId="66FEC536" w:rsidR="00295C6D" w:rsidRPr="00A5626D" w:rsidRDefault="00295C6D" w:rsidP="00794ED1">
            <w:pPr>
              <w:pStyle w:val="ac"/>
              <w:numPr>
                <w:ilvl w:val="0"/>
                <w:numId w:val="279"/>
              </w:numPr>
              <w:spacing w:line="276" w:lineRule="auto"/>
              <w:ind w:left="644"/>
              <w:contextualSpacing/>
              <w:jc w:val="both"/>
              <w:rPr>
                <w:rFonts w:ascii="Garamond" w:eastAsiaTheme="minorEastAsia" w:hAnsi="Garamond"/>
                <w:sz w:val="22"/>
                <w:szCs w:val="22"/>
                <w:highlight w:val="yellow"/>
                <w:lang w:eastAsia="en-US"/>
              </w:rPr>
            </w:pPr>
            <w:r w:rsidRPr="00A5626D">
              <w:rPr>
                <w:rFonts w:ascii="Garamond" w:eastAsiaTheme="minorEastAsia" w:hAnsi="Garamond"/>
                <w:sz w:val="22"/>
                <w:szCs w:val="22"/>
                <w:highlight w:val="yellow"/>
                <w:lang w:eastAsia="en-US"/>
              </w:rPr>
              <w:t>measuring-points-in-</w:t>
            </w:r>
            <w:r w:rsidRPr="00A5626D">
              <w:rPr>
                <w:rFonts w:ascii="Garamond" w:eastAsiaTheme="minorEastAsia" w:hAnsi="Garamond"/>
                <w:sz w:val="22"/>
                <w:szCs w:val="22"/>
                <w:highlight w:val="yellow"/>
                <w:lang w:val="en-US" w:eastAsia="en-US"/>
              </w:rPr>
              <w:t>aiis</w:t>
            </w:r>
            <w:r w:rsidRPr="00A5626D">
              <w:rPr>
                <w:rFonts w:ascii="Garamond" w:eastAsiaTheme="minorEastAsia" w:hAnsi="Garamond"/>
                <w:sz w:val="22"/>
                <w:szCs w:val="22"/>
                <w:highlight w:val="yellow"/>
                <w:lang w:eastAsia="en-US"/>
              </w:rPr>
              <w:t xml:space="preserve"> – содержит информацию о количестве точек измерений, включенных в систему уч</w:t>
            </w:r>
            <w:r w:rsidR="00BC4FC4" w:rsidRPr="00A5626D">
              <w:rPr>
                <w:rFonts w:ascii="Garamond" w:eastAsiaTheme="minorEastAsia" w:hAnsi="Garamond"/>
                <w:sz w:val="22"/>
                <w:szCs w:val="22"/>
                <w:highlight w:val="yellow"/>
                <w:lang w:eastAsia="en-US"/>
              </w:rPr>
              <w:t>е</w:t>
            </w:r>
            <w:r w:rsidRPr="00A5626D">
              <w:rPr>
                <w:rFonts w:ascii="Garamond" w:eastAsiaTheme="minorEastAsia" w:hAnsi="Garamond"/>
                <w:sz w:val="22"/>
                <w:szCs w:val="22"/>
                <w:highlight w:val="yellow"/>
                <w:lang w:eastAsia="en-US"/>
              </w:rPr>
              <w:t>та, переданных в макете 60000. Является обязательным атрибутом. Числовое поле длиной не более 5 символов;</w:t>
            </w:r>
          </w:p>
          <w:p w14:paraId="5255D008" w14:textId="61E813F9" w:rsidR="00295C6D" w:rsidRPr="00A5626D" w:rsidRDefault="00295C6D" w:rsidP="00794ED1">
            <w:pPr>
              <w:pStyle w:val="ac"/>
              <w:numPr>
                <w:ilvl w:val="0"/>
                <w:numId w:val="279"/>
              </w:numPr>
              <w:spacing w:line="276" w:lineRule="auto"/>
              <w:ind w:left="644"/>
              <w:contextualSpacing/>
              <w:jc w:val="both"/>
              <w:rPr>
                <w:rFonts w:ascii="Garamond" w:eastAsiaTheme="minorEastAsia" w:hAnsi="Garamond"/>
                <w:sz w:val="22"/>
                <w:szCs w:val="22"/>
                <w:highlight w:val="yellow"/>
                <w:lang w:eastAsia="en-US"/>
              </w:rPr>
            </w:pPr>
            <w:r w:rsidRPr="00A5626D">
              <w:rPr>
                <w:rFonts w:ascii="Garamond" w:eastAsiaTheme="minorEastAsia" w:hAnsi="Garamond"/>
                <w:sz w:val="22"/>
                <w:szCs w:val="22"/>
                <w:highlight w:val="yellow"/>
                <w:lang w:eastAsia="en-US"/>
              </w:rPr>
              <w:t>measuring-devices-in-</w:t>
            </w:r>
            <w:r w:rsidRPr="00A5626D">
              <w:rPr>
                <w:rFonts w:ascii="Garamond" w:eastAsiaTheme="minorEastAsia" w:hAnsi="Garamond"/>
                <w:sz w:val="22"/>
                <w:szCs w:val="22"/>
                <w:highlight w:val="yellow"/>
                <w:lang w:val="en-US" w:eastAsia="en-US"/>
              </w:rPr>
              <w:t>aiis</w:t>
            </w:r>
            <w:r w:rsidRPr="00A5626D">
              <w:rPr>
                <w:rFonts w:ascii="Garamond" w:eastAsiaTheme="minorEastAsia" w:hAnsi="Garamond"/>
                <w:sz w:val="22"/>
                <w:szCs w:val="22"/>
                <w:highlight w:val="yellow"/>
                <w:lang w:eastAsia="en-US"/>
              </w:rPr>
              <w:t xml:space="preserve"> – содержит информацию о количестве приборов учета, включенных в систему уч</w:t>
            </w:r>
            <w:r w:rsidR="00BC4FC4" w:rsidRPr="00A5626D">
              <w:rPr>
                <w:rFonts w:ascii="Garamond" w:eastAsiaTheme="minorEastAsia" w:hAnsi="Garamond"/>
                <w:sz w:val="22"/>
                <w:szCs w:val="22"/>
                <w:highlight w:val="yellow"/>
                <w:lang w:eastAsia="en-US"/>
              </w:rPr>
              <w:t>е</w:t>
            </w:r>
            <w:r w:rsidRPr="00A5626D">
              <w:rPr>
                <w:rFonts w:ascii="Garamond" w:eastAsiaTheme="minorEastAsia" w:hAnsi="Garamond"/>
                <w:sz w:val="22"/>
                <w:szCs w:val="22"/>
                <w:highlight w:val="yellow"/>
                <w:lang w:eastAsia="en-US"/>
              </w:rPr>
              <w:t>та, переданных в макете 60000. Является обязательным атрибутом. Числовое поле длиной не более 5 символов;</w:t>
            </w:r>
          </w:p>
          <w:p w14:paraId="38ADD283" w14:textId="263B141C" w:rsidR="00295C6D" w:rsidRPr="00794ED1" w:rsidRDefault="00295C6D" w:rsidP="00F57690">
            <w:pPr>
              <w:pStyle w:val="ac"/>
              <w:numPr>
                <w:ilvl w:val="0"/>
                <w:numId w:val="279"/>
              </w:numPr>
              <w:spacing w:line="276" w:lineRule="auto"/>
              <w:ind w:left="644"/>
              <w:contextualSpacing/>
              <w:jc w:val="both"/>
              <w:rPr>
                <w:rFonts w:ascii="Garamond" w:eastAsiaTheme="minorEastAsia" w:hAnsi="Garamond"/>
                <w:sz w:val="22"/>
                <w:szCs w:val="22"/>
                <w:highlight w:val="yellow"/>
                <w:lang w:eastAsia="en-US"/>
              </w:rPr>
            </w:pPr>
            <w:r w:rsidRPr="00A5626D">
              <w:rPr>
                <w:rFonts w:ascii="Garamond" w:eastAsiaTheme="minorEastAsia" w:hAnsi="Garamond"/>
                <w:sz w:val="22"/>
                <w:szCs w:val="22"/>
                <w:highlight w:val="yellow"/>
                <w:lang w:eastAsia="en-US"/>
              </w:rPr>
              <w:lastRenderedPageBreak/>
              <w:t>min-certificate-</w:t>
            </w:r>
            <w:r w:rsidRPr="00A5626D">
              <w:rPr>
                <w:rFonts w:ascii="Garamond" w:eastAsiaTheme="minorEastAsia" w:hAnsi="Garamond"/>
                <w:sz w:val="22"/>
                <w:szCs w:val="22"/>
                <w:highlight w:val="yellow"/>
                <w:lang w:val="en-US" w:eastAsia="en-US"/>
              </w:rPr>
              <w:t>expiration</w:t>
            </w:r>
            <w:r w:rsidRPr="00A5626D">
              <w:rPr>
                <w:rFonts w:ascii="Garamond" w:eastAsiaTheme="minorEastAsia" w:hAnsi="Garamond"/>
                <w:sz w:val="22"/>
                <w:szCs w:val="22"/>
                <w:highlight w:val="yellow"/>
                <w:lang w:eastAsia="en-US"/>
              </w:rPr>
              <w:t>-</w:t>
            </w:r>
            <w:r w:rsidRPr="00A5626D">
              <w:rPr>
                <w:rFonts w:ascii="Garamond" w:eastAsiaTheme="minorEastAsia" w:hAnsi="Garamond"/>
                <w:sz w:val="22"/>
                <w:szCs w:val="22"/>
                <w:highlight w:val="yellow"/>
                <w:lang w:val="en-US" w:eastAsia="en-US"/>
              </w:rPr>
              <w:t>date</w:t>
            </w:r>
            <w:r w:rsidRPr="00A5626D">
              <w:rPr>
                <w:rFonts w:ascii="Garamond" w:eastAsiaTheme="minorEastAsia" w:hAnsi="Garamond"/>
                <w:sz w:val="22"/>
                <w:szCs w:val="22"/>
                <w:highlight w:val="yellow"/>
                <w:lang w:eastAsia="en-US"/>
              </w:rPr>
              <w:t xml:space="preserve"> – минимальный срок действия свидетельства о поверке прибора учета, переданного в 60000. Является обязательным атрибутом. Дата в формате «</w:t>
            </w:r>
            <w:r w:rsidRPr="00A5626D">
              <w:rPr>
                <w:rFonts w:ascii="Garamond" w:eastAsiaTheme="minorEastAsia" w:hAnsi="Garamond"/>
                <w:sz w:val="22"/>
                <w:szCs w:val="22"/>
                <w:highlight w:val="yellow"/>
                <w:lang w:val="en-US" w:eastAsia="en-US"/>
              </w:rPr>
              <w:t>YYYYMMDD</w:t>
            </w:r>
            <w:r w:rsidRPr="00A5626D">
              <w:rPr>
                <w:rFonts w:ascii="Garamond" w:eastAsiaTheme="minorEastAsia" w:hAnsi="Garamond"/>
                <w:sz w:val="22"/>
                <w:szCs w:val="22"/>
                <w:highlight w:val="yellow"/>
                <w:lang w:eastAsia="en-US"/>
              </w:rPr>
              <w:t>».</w:t>
            </w:r>
          </w:p>
        </w:tc>
      </w:tr>
      <w:tr w:rsidR="00295C6D" w:rsidRPr="00A5626D" w14:paraId="18BF9AAF" w14:textId="77777777" w:rsidTr="00647FA0">
        <w:tc>
          <w:tcPr>
            <w:tcW w:w="1060" w:type="dxa"/>
            <w:vAlign w:val="center"/>
          </w:tcPr>
          <w:p w14:paraId="48A7960A" w14:textId="1A59DE77" w:rsidR="00295C6D" w:rsidRPr="00A5626D" w:rsidRDefault="00295C6D" w:rsidP="00E31AE6">
            <w:pPr>
              <w:numPr>
                <w:ilvl w:val="1"/>
                <w:numId w:val="0"/>
              </w:numPr>
              <w:tabs>
                <w:tab w:val="left" w:pos="1134"/>
                <w:tab w:val="left" w:pos="7938"/>
              </w:tabs>
              <w:rPr>
                <w:rFonts w:ascii="Garamond" w:hAnsi="Garamond"/>
                <w:b/>
                <w:sz w:val="22"/>
                <w:szCs w:val="22"/>
                <w:lang w:eastAsia="en-US"/>
              </w:rPr>
            </w:pPr>
            <w:r w:rsidRPr="00A5626D">
              <w:rPr>
                <w:rFonts w:ascii="Garamond" w:hAnsi="Garamond"/>
                <w:b/>
                <w:sz w:val="22"/>
                <w:szCs w:val="22"/>
                <w:lang w:eastAsia="en-US"/>
              </w:rPr>
              <w:lastRenderedPageBreak/>
              <w:t>Приложение 5, п.</w:t>
            </w:r>
            <w:r w:rsidR="00647FA0" w:rsidRPr="00A5626D">
              <w:rPr>
                <w:rFonts w:ascii="Garamond" w:hAnsi="Garamond"/>
                <w:b/>
                <w:sz w:val="22"/>
                <w:szCs w:val="22"/>
                <w:lang w:eastAsia="en-US"/>
              </w:rPr>
              <w:t xml:space="preserve"> </w:t>
            </w:r>
            <w:r w:rsidRPr="00A5626D">
              <w:rPr>
                <w:rFonts w:ascii="Garamond" w:hAnsi="Garamond"/>
                <w:b/>
                <w:sz w:val="22"/>
                <w:szCs w:val="22"/>
                <w:lang w:eastAsia="en-US"/>
              </w:rPr>
              <w:t>5, Структура документа</w:t>
            </w:r>
          </w:p>
        </w:tc>
        <w:tc>
          <w:tcPr>
            <w:tcW w:w="6662" w:type="dxa"/>
          </w:tcPr>
          <w:p w14:paraId="6033E81B" w14:textId="77777777" w:rsidR="00295C6D" w:rsidRPr="00A5626D" w:rsidRDefault="00295C6D" w:rsidP="00E31AE6">
            <w:pPr>
              <w:pStyle w:val="aff4"/>
              <w:rPr>
                <w:rFonts w:cstheme="minorHAnsi"/>
                <w:sz w:val="22"/>
                <w:szCs w:val="22"/>
                <w:lang w:val="en-US"/>
              </w:rPr>
            </w:pPr>
            <w:r w:rsidRPr="00A5626D">
              <w:rPr>
                <w:rFonts w:cstheme="minorHAnsi"/>
                <w:sz w:val="22"/>
                <w:szCs w:val="22"/>
              </w:rPr>
              <w:t>Структура</w:t>
            </w:r>
            <w:r w:rsidRPr="00A5626D">
              <w:rPr>
                <w:rFonts w:cstheme="minorHAnsi"/>
                <w:sz w:val="22"/>
                <w:szCs w:val="22"/>
                <w:lang w:val="en-US"/>
              </w:rPr>
              <w:t xml:space="preserve"> </w:t>
            </w:r>
            <w:r w:rsidRPr="00A5626D">
              <w:rPr>
                <w:rFonts w:cstheme="minorHAnsi"/>
                <w:sz w:val="22"/>
                <w:szCs w:val="22"/>
              </w:rPr>
              <w:t>документа</w:t>
            </w:r>
          </w:p>
          <w:p w14:paraId="425C31EB" w14:textId="77777777" w:rsidR="00295C6D" w:rsidRPr="00A5626D" w:rsidRDefault="00295C6D" w:rsidP="00E31AE6">
            <w:pPr>
              <w:rPr>
                <w:rFonts w:ascii="Garamond" w:hAnsi="Garamond" w:cstheme="minorHAnsi"/>
                <w:sz w:val="22"/>
                <w:szCs w:val="22"/>
                <w:lang w:val="en-US"/>
              </w:rPr>
            </w:pPr>
            <w:r w:rsidRPr="00A5626D">
              <w:rPr>
                <w:rStyle w:val="m1"/>
                <w:rFonts w:ascii="Garamond" w:hAnsi="Garamond" w:cstheme="minorHAnsi"/>
                <w:color w:val="auto"/>
                <w:sz w:val="22"/>
                <w:szCs w:val="22"/>
                <w:lang w:val="en-US"/>
              </w:rPr>
              <w:t>&lt;?</w:t>
            </w:r>
            <w:r w:rsidRPr="00A5626D">
              <w:rPr>
                <w:rStyle w:val="pi1"/>
                <w:rFonts w:ascii="Garamond" w:eastAsia="Calibri" w:hAnsi="Garamond" w:cstheme="minorHAnsi"/>
                <w:color w:val="auto"/>
                <w:sz w:val="22"/>
                <w:szCs w:val="22"/>
                <w:lang w:val="en-US"/>
              </w:rPr>
              <w:t xml:space="preserve">xml version="1.0" encoding="windows-1251" </w:t>
            </w:r>
            <w:r w:rsidRPr="00A5626D">
              <w:rPr>
                <w:rStyle w:val="m1"/>
                <w:rFonts w:ascii="Garamond" w:hAnsi="Garamond" w:cstheme="minorHAnsi"/>
                <w:color w:val="auto"/>
                <w:sz w:val="22"/>
                <w:szCs w:val="22"/>
                <w:lang w:val="en-US"/>
              </w:rPr>
              <w:t>?&gt;</w:t>
            </w:r>
            <w:r w:rsidRPr="00A5626D">
              <w:rPr>
                <w:rFonts w:ascii="Garamond" w:hAnsi="Garamond" w:cstheme="minorHAnsi"/>
                <w:sz w:val="22"/>
                <w:szCs w:val="22"/>
                <w:lang w:val="en-US"/>
              </w:rPr>
              <w:t xml:space="preserve"> </w:t>
            </w:r>
          </w:p>
          <w:p w14:paraId="65F3E39A" w14:textId="77777777" w:rsidR="00295C6D" w:rsidRPr="00A5626D" w:rsidRDefault="00295C6D" w:rsidP="00E31AE6">
            <w:pPr>
              <w:rPr>
                <w:rFonts w:ascii="Garamond" w:hAnsi="Garamond" w:cstheme="minorHAnsi"/>
                <w:sz w:val="22"/>
                <w:szCs w:val="22"/>
                <w:lang w:val="en-US"/>
              </w:rPr>
            </w:pPr>
            <w:r w:rsidRPr="00A5626D">
              <w:rPr>
                <w:rStyle w:val="m1"/>
                <w:rFonts w:ascii="Garamond" w:hAnsi="Garamond" w:cstheme="minorHAnsi"/>
                <w:color w:val="auto"/>
                <w:sz w:val="22"/>
                <w:szCs w:val="22"/>
                <w:lang w:val="en-US"/>
              </w:rPr>
              <w:t>&lt;</w:t>
            </w:r>
            <w:r w:rsidRPr="00A5626D">
              <w:rPr>
                <w:rStyle w:val="t1"/>
                <w:rFonts w:ascii="Garamond" w:hAnsi="Garamond" w:cstheme="minorHAnsi"/>
                <w:color w:val="auto"/>
                <w:sz w:val="22"/>
                <w:szCs w:val="22"/>
                <w:lang w:val="en-US"/>
              </w:rPr>
              <w:t>message class</w:t>
            </w:r>
            <w:r w:rsidRPr="00A5626D">
              <w:rPr>
                <w:rStyle w:val="m1"/>
                <w:rFonts w:ascii="Garamond" w:hAnsi="Garamond" w:cstheme="minorHAnsi"/>
                <w:color w:val="auto"/>
                <w:sz w:val="22"/>
                <w:szCs w:val="22"/>
                <w:lang w:val="en-US"/>
              </w:rPr>
              <w:t>="</w:t>
            </w:r>
            <w:r w:rsidRPr="00A5626D">
              <w:rPr>
                <w:rFonts w:ascii="Garamond" w:hAnsi="Garamond" w:cstheme="minorHAnsi"/>
                <w:bCs/>
                <w:sz w:val="22"/>
                <w:szCs w:val="22"/>
                <w:lang w:val="en-US"/>
              </w:rPr>
              <w:t>60001</w:t>
            </w:r>
            <w:r w:rsidRPr="00A5626D">
              <w:rPr>
                <w:rStyle w:val="m1"/>
                <w:rFonts w:ascii="Garamond" w:hAnsi="Garamond" w:cstheme="minorHAnsi"/>
                <w:color w:val="auto"/>
                <w:sz w:val="22"/>
                <w:szCs w:val="22"/>
                <w:lang w:val="en-US"/>
              </w:rPr>
              <w:t>"</w:t>
            </w:r>
            <w:r w:rsidRPr="00A5626D">
              <w:rPr>
                <w:rStyle w:val="t1"/>
                <w:rFonts w:ascii="Garamond" w:hAnsi="Garamond" w:cstheme="minorHAnsi"/>
                <w:color w:val="auto"/>
                <w:sz w:val="22"/>
                <w:szCs w:val="22"/>
                <w:lang w:val="en-US"/>
              </w:rPr>
              <w:t xml:space="preserve"> version</w:t>
            </w:r>
            <w:r w:rsidRPr="00A5626D">
              <w:rPr>
                <w:rStyle w:val="m1"/>
                <w:rFonts w:ascii="Garamond" w:hAnsi="Garamond" w:cstheme="minorHAnsi"/>
                <w:color w:val="auto"/>
                <w:sz w:val="22"/>
                <w:szCs w:val="22"/>
                <w:lang w:val="en-US"/>
              </w:rPr>
              <w:t>="</w:t>
            </w:r>
            <w:r w:rsidRPr="00A5626D">
              <w:rPr>
                <w:rFonts w:ascii="Garamond" w:eastAsia="Calibri" w:hAnsi="Garamond" w:cstheme="minorHAnsi"/>
                <w:sz w:val="22"/>
                <w:szCs w:val="22"/>
                <w:lang w:val="en-US"/>
              </w:rPr>
              <w:t>3" datetime="YYYYMMDDhhmmss</w:t>
            </w:r>
            <w:r w:rsidRPr="00A5626D">
              <w:rPr>
                <w:rStyle w:val="m1"/>
                <w:rFonts w:ascii="Garamond" w:hAnsi="Garamond" w:cstheme="minorHAnsi"/>
                <w:color w:val="auto"/>
                <w:sz w:val="22"/>
                <w:szCs w:val="22"/>
                <w:lang w:val="en-US"/>
              </w:rPr>
              <w:t>"&gt;</w:t>
            </w:r>
          </w:p>
          <w:p w14:paraId="586F85FA" w14:textId="77777777" w:rsidR="00295C6D" w:rsidRPr="00A5626D" w:rsidRDefault="00295C6D" w:rsidP="00E31AE6">
            <w:pPr>
              <w:rPr>
                <w:rFonts w:ascii="Garamond" w:hAnsi="Garamond" w:cstheme="minorHAnsi"/>
                <w:sz w:val="22"/>
                <w:szCs w:val="22"/>
                <w:lang w:val="en-US"/>
              </w:rPr>
            </w:pPr>
            <w:r w:rsidRPr="00A5626D">
              <w:rPr>
                <w:rStyle w:val="m1"/>
                <w:rFonts w:ascii="Garamond" w:hAnsi="Garamond" w:cstheme="minorHAnsi"/>
                <w:color w:val="auto"/>
                <w:sz w:val="22"/>
                <w:szCs w:val="22"/>
                <w:lang w:val="en-US"/>
              </w:rPr>
              <w:t>&lt;</w:t>
            </w:r>
            <w:r w:rsidRPr="00A5626D">
              <w:rPr>
                <w:rStyle w:val="t1"/>
                <w:rFonts w:ascii="Garamond" w:hAnsi="Garamond" w:cstheme="minorHAnsi"/>
                <w:color w:val="auto"/>
                <w:sz w:val="22"/>
                <w:szCs w:val="22"/>
                <w:lang w:val="en-US"/>
              </w:rPr>
              <w:t>file</w:t>
            </w:r>
            <w:r w:rsidRPr="00A5626D">
              <w:rPr>
                <w:rStyle w:val="m1"/>
                <w:rFonts w:ascii="Garamond" w:hAnsi="Garamond" w:cstheme="minorHAnsi"/>
                <w:color w:val="auto"/>
                <w:sz w:val="22"/>
                <w:szCs w:val="22"/>
                <w:lang w:val="en-US"/>
              </w:rPr>
              <w:t>&gt;</w:t>
            </w:r>
          </w:p>
          <w:p w14:paraId="4973AB66" w14:textId="77777777" w:rsidR="00295C6D" w:rsidRPr="00A5626D" w:rsidRDefault="00295C6D" w:rsidP="00E31AE6">
            <w:pPr>
              <w:ind w:left="284"/>
              <w:rPr>
                <w:rFonts w:ascii="Garamond" w:hAnsi="Garamond" w:cstheme="minorHAnsi"/>
                <w:sz w:val="22"/>
                <w:szCs w:val="22"/>
                <w:lang w:val="en-US"/>
              </w:rPr>
            </w:pPr>
            <w:r w:rsidRPr="00A5626D">
              <w:rPr>
                <w:rStyle w:val="m1"/>
                <w:rFonts w:ascii="Garamond" w:hAnsi="Garamond" w:cstheme="minorHAnsi"/>
                <w:color w:val="auto"/>
                <w:sz w:val="22"/>
                <w:szCs w:val="22"/>
                <w:lang w:val="en-US"/>
              </w:rPr>
              <w:t>&lt;</w:t>
            </w:r>
            <w:r w:rsidRPr="00A5626D">
              <w:rPr>
                <w:rStyle w:val="t1"/>
                <w:rFonts w:ascii="Garamond" w:hAnsi="Garamond" w:cstheme="minorHAnsi"/>
                <w:color w:val="auto"/>
                <w:sz w:val="22"/>
                <w:szCs w:val="22"/>
                <w:lang w:val="en-US"/>
              </w:rPr>
              <w:t>fromaddr</w:t>
            </w:r>
            <w:r w:rsidRPr="00A5626D">
              <w:rPr>
                <w:rStyle w:val="m1"/>
                <w:rFonts w:ascii="Garamond" w:hAnsi="Garamond" w:cstheme="minorHAnsi"/>
                <w:color w:val="auto"/>
                <w:sz w:val="22"/>
                <w:szCs w:val="22"/>
                <w:lang w:val="en-US"/>
              </w:rPr>
              <w:t>&gt;</w:t>
            </w:r>
          </w:p>
          <w:p w14:paraId="75835140" w14:textId="77777777" w:rsidR="00295C6D" w:rsidRPr="00A5626D" w:rsidRDefault="00295C6D" w:rsidP="00E31AE6">
            <w:pPr>
              <w:ind w:left="284"/>
              <w:rPr>
                <w:rFonts w:ascii="Garamond" w:hAnsi="Garamond" w:cstheme="minorHAnsi"/>
                <w:sz w:val="22"/>
                <w:szCs w:val="22"/>
                <w:lang w:val="en-US"/>
              </w:rPr>
            </w:pPr>
            <w:r w:rsidRPr="00A5626D">
              <w:rPr>
                <w:rStyle w:val="m1"/>
                <w:rFonts w:ascii="Garamond" w:hAnsi="Garamond" w:cstheme="minorHAnsi"/>
                <w:color w:val="auto"/>
                <w:sz w:val="22"/>
                <w:szCs w:val="22"/>
                <w:lang w:val="en-US"/>
              </w:rPr>
              <w:t>&lt;![CDATA[</w:t>
            </w:r>
            <w:r w:rsidRPr="00A5626D">
              <w:rPr>
                <w:rFonts w:ascii="Garamond" w:hAnsi="Garamond" w:cstheme="minorHAnsi"/>
                <w:sz w:val="22"/>
                <w:szCs w:val="22"/>
                <w:lang w:val="en-US"/>
              </w:rPr>
              <w:t>50x</w:t>
            </w:r>
            <w:r w:rsidRPr="00A5626D">
              <w:rPr>
                <w:rStyle w:val="m1"/>
                <w:rFonts w:ascii="Garamond" w:hAnsi="Garamond" w:cstheme="minorHAnsi"/>
                <w:color w:val="auto"/>
                <w:sz w:val="22"/>
                <w:szCs w:val="22"/>
                <w:lang w:val="en-US"/>
              </w:rPr>
              <w:t>]]&gt;</w:t>
            </w:r>
            <w:r w:rsidRPr="00A5626D">
              <w:rPr>
                <w:rFonts w:ascii="Garamond" w:hAnsi="Garamond" w:cstheme="minorHAnsi"/>
                <w:sz w:val="22"/>
                <w:szCs w:val="22"/>
                <w:lang w:val="en-US"/>
              </w:rPr>
              <w:t xml:space="preserve"> </w:t>
            </w:r>
          </w:p>
          <w:p w14:paraId="49D1055A" w14:textId="77777777" w:rsidR="00295C6D" w:rsidRPr="00A5626D" w:rsidRDefault="00295C6D" w:rsidP="00E31AE6">
            <w:pPr>
              <w:ind w:left="284"/>
              <w:rPr>
                <w:rFonts w:ascii="Garamond" w:hAnsi="Garamond" w:cstheme="minorHAnsi"/>
                <w:sz w:val="22"/>
                <w:szCs w:val="22"/>
                <w:lang w:val="en-US"/>
              </w:rPr>
            </w:pPr>
            <w:r w:rsidRPr="00A5626D">
              <w:rPr>
                <w:rStyle w:val="m1"/>
                <w:rFonts w:ascii="Garamond" w:hAnsi="Garamond" w:cstheme="minorHAnsi"/>
                <w:color w:val="auto"/>
                <w:sz w:val="22"/>
                <w:szCs w:val="22"/>
                <w:lang w:val="en-US"/>
              </w:rPr>
              <w:t>&lt;/</w:t>
            </w:r>
            <w:r w:rsidRPr="00A5626D">
              <w:rPr>
                <w:rStyle w:val="t1"/>
                <w:rFonts w:ascii="Garamond" w:hAnsi="Garamond" w:cstheme="minorHAnsi"/>
                <w:color w:val="auto"/>
                <w:sz w:val="22"/>
                <w:szCs w:val="22"/>
                <w:lang w:val="en-US"/>
              </w:rPr>
              <w:t>fromaddr</w:t>
            </w:r>
            <w:r w:rsidRPr="00A5626D">
              <w:rPr>
                <w:rStyle w:val="m1"/>
                <w:rFonts w:ascii="Garamond" w:hAnsi="Garamond" w:cstheme="minorHAnsi"/>
                <w:color w:val="auto"/>
                <w:sz w:val="22"/>
                <w:szCs w:val="22"/>
                <w:lang w:val="en-US"/>
              </w:rPr>
              <w:t>&gt;</w:t>
            </w:r>
          </w:p>
          <w:p w14:paraId="72C72655" w14:textId="77777777" w:rsidR="00295C6D" w:rsidRPr="00A5626D" w:rsidRDefault="00295C6D" w:rsidP="00E31AE6">
            <w:pPr>
              <w:ind w:left="284"/>
              <w:rPr>
                <w:rFonts w:ascii="Garamond" w:hAnsi="Garamond" w:cstheme="minorHAnsi"/>
                <w:sz w:val="22"/>
                <w:szCs w:val="22"/>
                <w:lang w:val="en-US"/>
              </w:rPr>
            </w:pPr>
            <w:r w:rsidRPr="00A5626D">
              <w:rPr>
                <w:rStyle w:val="m1"/>
                <w:rFonts w:ascii="Garamond" w:hAnsi="Garamond" w:cstheme="minorHAnsi"/>
                <w:color w:val="auto"/>
                <w:sz w:val="22"/>
                <w:szCs w:val="22"/>
                <w:lang w:val="en-US"/>
              </w:rPr>
              <w:t>&lt;</w:t>
            </w:r>
            <w:r w:rsidRPr="00A5626D">
              <w:rPr>
                <w:rStyle w:val="t1"/>
                <w:rFonts w:ascii="Garamond" w:hAnsi="Garamond" w:cstheme="minorHAnsi"/>
                <w:color w:val="auto"/>
                <w:sz w:val="22"/>
                <w:szCs w:val="22"/>
                <w:lang w:val="en-US"/>
              </w:rPr>
              <w:t>name</w:t>
            </w:r>
            <w:r w:rsidRPr="00A5626D">
              <w:rPr>
                <w:rStyle w:val="m1"/>
                <w:rFonts w:ascii="Garamond" w:hAnsi="Garamond" w:cstheme="minorHAnsi"/>
                <w:color w:val="auto"/>
                <w:sz w:val="22"/>
                <w:szCs w:val="22"/>
                <w:lang w:val="en-US"/>
              </w:rPr>
              <w:t>&gt;</w:t>
            </w:r>
            <w:r w:rsidRPr="00A5626D">
              <w:rPr>
                <w:rFonts w:ascii="Garamond" w:hAnsi="Garamond" w:cstheme="minorHAnsi"/>
                <w:sz w:val="22"/>
                <w:szCs w:val="22"/>
                <w:lang w:val="en-US"/>
              </w:rPr>
              <w:t>250x</w:t>
            </w:r>
            <w:r w:rsidRPr="00A5626D">
              <w:rPr>
                <w:rStyle w:val="m1"/>
                <w:rFonts w:ascii="Garamond" w:hAnsi="Garamond" w:cstheme="minorHAnsi"/>
                <w:color w:val="auto"/>
                <w:sz w:val="22"/>
                <w:szCs w:val="22"/>
                <w:lang w:val="en-US"/>
              </w:rPr>
              <w:t>&lt;/</w:t>
            </w:r>
            <w:r w:rsidRPr="00A5626D">
              <w:rPr>
                <w:rStyle w:val="t1"/>
                <w:rFonts w:ascii="Garamond" w:hAnsi="Garamond" w:cstheme="minorHAnsi"/>
                <w:color w:val="auto"/>
                <w:sz w:val="22"/>
                <w:szCs w:val="22"/>
                <w:lang w:val="en-US"/>
              </w:rPr>
              <w:t>name</w:t>
            </w:r>
            <w:r w:rsidRPr="00A5626D">
              <w:rPr>
                <w:rStyle w:val="m1"/>
                <w:rFonts w:ascii="Garamond" w:hAnsi="Garamond" w:cstheme="minorHAnsi"/>
                <w:color w:val="auto"/>
                <w:sz w:val="22"/>
                <w:szCs w:val="22"/>
                <w:lang w:val="en-US"/>
              </w:rPr>
              <w:t>&gt;</w:t>
            </w:r>
            <w:r w:rsidRPr="00A5626D">
              <w:rPr>
                <w:rFonts w:ascii="Garamond" w:hAnsi="Garamond" w:cstheme="minorHAnsi"/>
                <w:sz w:val="22"/>
                <w:szCs w:val="22"/>
                <w:lang w:val="en-US"/>
              </w:rPr>
              <w:t xml:space="preserve"> </w:t>
            </w:r>
          </w:p>
          <w:p w14:paraId="5D168682" w14:textId="77777777" w:rsidR="00295C6D" w:rsidRPr="00A5626D" w:rsidRDefault="00295C6D" w:rsidP="00E31AE6">
            <w:pPr>
              <w:ind w:left="284"/>
              <w:rPr>
                <w:rFonts w:ascii="Garamond" w:hAnsi="Garamond" w:cstheme="minorHAnsi"/>
                <w:sz w:val="22"/>
                <w:szCs w:val="22"/>
                <w:lang w:val="en-US"/>
              </w:rPr>
            </w:pPr>
            <w:r w:rsidRPr="00A5626D">
              <w:rPr>
                <w:rStyle w:val="m1"/>
                <w:rFonts w:ascii="Garamond" w:hAnsi="Garamond" w:cstheme="minorHAnsi"/>
                <w:color w:val="auto"/>
                <w:sz w:val="22"/>
                <w:szCs w:val="22"/>
                <w:lang w:val="en-US"/>
              </w:rPr>
              <w:t>&lt;</w:t>
            </w:r>
            <w:r w:rsidRPr="00A5626D">
              <w:rPr>
                <w:rStyle w:val="t1"/>
                <w:rFonts w:ascii="Garamond" w:hAnsi="Garamond" w:cstheme="minorHAnsi"/>
                <w:color w:val="auto"/>
                <w:sz w:val="22"/>
                <w:szCs w:val="22"/>
                <w:lang w:val="en-US"/>
              </w:rPr>
              <w:t>sender</w:t>
            </w:r>
            <w:r w:rsidRPr="00A5626D">
              <w:rPr>
                <w:rStyle w:val="m1"/>
                <w:rFonts w:ascii="Garamond" w:hAnsi="Garamond" w:cstheme="minorHAnsi"/>
                <w:color w:val="auto"/>
                <w:sz w:val="22"/>
                <w:szCs w:val="22"/>
                <w:lang w:val="en-US"/>
              </w:rPr>
              <w:t>&gt;</w:t>
            </w:r>
            <w:r w:rsidRPr="00A5626D">
              <w:rPr>
                <w:rStyle w:val="tx1"/>
                <w:rFonts w:ascii="Garamond" w:hAnsi="Garamond" w:cstheme="minorHAnsi"/>
                <w:sz w:val="22"/>
                <w:szCs w:val="22"/>
                <w:lang w:val="en-US"/>
              </w:rPr>
              <w:t>10n</w:t>
            </w:r>
            <w:r w:rsidRPr="00A5626D">
              <w:rPr>
                <w:rStyle w:val="m1"/>
                <w:rFonts w:ascii="Garamond" w:hAnsi="Garamond" w:cstheme="minorHAnsi"/>
                <w:color w:val="auto"/>
                <w:sz w:val="22"/>
                <w:szCs w:val="22"/>
                <w:lang w:val="en-US"/>
              </w:rPr>
              <w:t>&lt;/</w:t>
            </w:r>
            <w:r w:rsidRPr="00A5626D">
              <w:rPr>
                <w:rStyle w:val="t1"/>
                <w:rFonts w:ascii="Garamond" w:hAnsi="Garamond" w:cstheme="minorHAnsi"/>
                <w:color w:val="auto"/>
                <w:sz w:val="22"/>
                <w:szCs w:val="22"/>
                <w:lang w:val="en-US"/>
              </w:rPr>
              <w:t>sender</w:t>
            </w:r>
            <w:r w:rsidRPr="00A5626D">
              <w:rPr>
                <w:rStyle w:val="m1"/>
                <w:rFonts w:ascii="Garamond" w:hAnsi="Garamond" w:cstheme="minorHAnsi"/>
                <w:color w:val="auto"/>
                <w:sz w:val="22"/>
                <w:szCs w:val="22"/>
                <w:lang w:val="en-US"/>
              </w:rPr>
              <w:t>&gt;</w:t>
            </w:r>
            <w:r w:rsidRPr="00A5626D">
              <w:rPr>
                <w:rFonts w:ascii="Garamond" w:hAnsi="Garamond" w:cstheme="minorHAnsi"/>
                <w:sz w:val="22"/>
                <w:szCs w:val="22"/>
                <w:lang w:val="en-US"/>
              </w:rPr>
              <w:t xml:space="preserve"> </w:t>
            </w:r>
          </w:p>
          <w:p w14:paraId="44331E57" w14:textId="77777777" w:rsidR="00295C6D" w:rsidRPr="00A5626D" w:rsidRDefault="00295C6D" w:rsidP="00E31AE6">
            <w:pPr>
              <w:ind w:left="284"/>
              <w:rPr>
                <w:rFonts w:ascii="Garamond" w:hAnsi="Garamond" w:cstheme="minorHAnsi"/>
                <w:sz w:val="22"/>
                <w:szCs w:val="22"/>
                <w:lang w:val="en-US"/>
              </w:rPr>
            </w:pPr>
            <w:r w:rsidRPr="00A5626D">
              <w:rPr>
                <w:rStyle w:val="m1"/>
                <w:rFonts w:ascii="Garamond" w:hAnsi="Garamond" w:cstheme="minorHAnsi"/>
                <w:color w:val="auto"/>
                <w:sz w:val="22"/>
                <w:szCs w:val="22"/>
                <w:lang w:val="en-US"/>
              </w:rPr>
              <w:t>&lt;</w:t>
            </w:r>
            <w:r w:rsidRPr="00A5626D">
              <w:rPr>
                <w:rStyle w:val="t1"/>
                <w:rFonts w:ascii="Garamond" w:hAnsi="Garamond" w:cstheme="minorHAnsi"/>
                <w:color w:val="auto"/>
                <w:sz w:val="22"/>
                <w:szCs w:val="22"/>
                <w:lang w:val="en-US"/>
              </w:rPr>
              <w:t>id</w:t>
            </w:r>
            <w:r w:rsidRPr="00A5626D">
              <w:rPr>
                <w:rStyle w:val="m1"/>
                <w:rFonts w:ascii="Garamond" w:hAnsi="Garamond" w:cstheme="minorHAnsi"/>
                <w:color w:val="auto"/>
                <w:sz w:val="22"/>
                <w:szCs w:val="22"/>
                <w:lang w:val="en-US"/>
              </w:rPr>
              <w:t>&gt;</w:t>
            </w:r>
            <w:r w:rsidRPr="00A5626D">
              <w:rPr>
                <w:rStyle w:val="tx1"/>
                <w:rFonts w:ascii="Garamond" w:hAnsi="Garamond" w:cstheme="minorHAnsi"/>
                <w:sz w:val="22"/>
                <w:szCs w:val="22"/>
                <w:lang w:val="en-US"/>
              </w:rPr>
              <w:t>10n</w:t>
            </w:r>
            <w:r w:rsidRPr="00A5626D">
              <w:rPr>
                <w:rStyle w:val="m1"/>
                <w:rFonts w:ascii="Garamond" w:hAnsi="Garamond" w:cstheme="minorHAnsi"/>
                <w:color w:val="auto"/>
                <w:sz w:val="22"/>
                <w:szCs w:val="22"/>
                <w:lang w:val="en-US"/>
              </w:rPr>
              <w:t>&lt;/</w:t>
            </w:r>
            <w:r w:rsidRPr="00A5626D">
              <w:rPr>
                <w:rStyle w:val="t1"/>
                <w:rFonts w:ascii="Garamond" w:hAnsi="Garamond" w:cstheme="minorHAnsi"/>
                <w:color w:val="auto"/>
                <w:sz w:val="22"/>
                <w:szCs w:val="22"/>
                <w:lang w:val="en-US"/>
              </w:rPr>
              <w:t>id</w:t>
            </w:r>
            <w:r w:rsidRPr="00A5626D">
              <w:rPr>
                <w:rStyle w:val="m1"/>
                <w:rFonts w:ascii="Garamond" w:hAnsi="Garamond" w:cstheme="minorHAnsi"/>
                <w:color w:val="auto"/>
                <w:sz w:val="22"/>
                <w:szCs w:val="22"/>
                <w:lang w:val="en-US"/>
              </w:rPr>
              <w:t>&gt;</w:t>
            </w:r>
            <w:r w:rsidRPr="00A5626D">
              <w:rPr>
                <w:rFonts w:ascii="Garamond" w:hAnsi="Garamond" w:cstheme="minorHAnsi"/>
                <w:sz w:val="22"/>
                <w:szCs w:val="22"/>
                <w:lang w:val="en-US"/>
              </w:rPr>
              <w:t xml:space="preserve"> </w:t>
            </w:r>
          </w:p>
          <w:p w14:paraId="781FC5C5" w14:textId="77777777" w:rsidR="00295C6D" w:rsidRPr="00A5626D" w:rsidRDefault="00295C6D" w:rsidP="00E31AE6">
            <w:pPr>
              <w:ind w:left="284"/>
              <w:rPr>
                <w:rFonts w:ascii="Garamond" w:hAnsi="Garamond" w:cstheme="minorHAnsi"/>
                <w:sz w:val="22"/>
                <w:szCs w:val="22"/>
                <w:lang w:val="en-US"/>
              </w:rPr>
            </w:pPr>
            <w:r w:rsidRPr="00A5626D">
              <w:rPr>
                <w:rStyle w:val="m1"/>
                <w:rFonts w:ascii="Garamond" w:hAnsi="Garamond" w:cstheme="minorHAnsi"/>
                <w:color w:val="auto"/>
                <w:sz w:val="22"/>
                <w:szCs w:val="22"/>
                <w:lang w:val="en-US"/>
              </w:rPr>
              <w:t>&lt;</w:t>
            </w:r>
            <w:r w:rsidRPr="00A5626D">
              <w:rPr>
                <w:rStyle w:val="t1"/>
                <w:rFonts w:ascii="Garamond" w:hAnsi="Garamond" w:cstheme="minorHAnsi"/>
                <w:color w:val="auto"/>
                <w:sz w:val="22"/>
                <w:szCs w:val="22"/>
                <w:lang w:val="en-US"/>
              </w:rPr>
              <w:t>received</w:t>
            </w:r>
            <w:r w:rsidRPr="00A5626D">
              <w:rPr>
                <w:rStyle w:val="m1"/>
                <w:rFonts w:ascii="Garamond" w:hAnsi="Garamond" w:cstheme="minorHAnsi"/>
                <w:color w:val="auto"/>
                <w:sz w:val="22"/>
                <w:szCs w:val="22"/>
                <w:lang w:val="en-US"/>
              </w:rPr>
              <w:t>&gt;</w:t>
            </w:r>
            <w:r w:rsidRPr="00A5626D">
              <w:rPr>
                <w:rStyle w:val="tx1"/>
                <w:rFonts w:ascii="Garamond" w:hAnsi="Garamond" w:cstheme="minorHAnsi"/>
                <w:sz w:val="22"/>
                <w:szCs w:val="22"/>
                <w:lang w:val="en-US"/>
              </w:rPr>
              <w:t>YYYYMMDD</w:t>
            </w:r>
            <w:r w:rsidRPr="00A5626D">
              <w:rPr>
                <w:rFonts w:ascii="Garamond" w:eastAsia="Calibri" w:hAnsi="Garamond" w:cstheme="minorHAnsi"/>
                <w:sz w:val="22"/>
                <w:szCs w:val="22"/>
                <w:lang w:val="en-US"/>
              </w:rPr>
              <w:t>hhmmss</w:t>
            </w:r>
            <w:r w:rsidRPr="00A5626D">
              <w:rPr>
                <w:rStyle w:val="m1"/>
                <w:rFonts w:ascii="Garamond" w:hAnsi="Garamond" w:cstheme="minorHAnsi"/>
                <w:color w:val="auto"/>
                <w:sz w:val="22"/>
                <w:szCs w:val="22"/>
                <w:lang w:val="en-US"/>
              </w:rPr>
              <w:t>&lt;/</w:t>
            </w:r>
            <w:r w:rsidRPr="00A5626D">
              <w:rPr>
                <w:rStyle w:val="t1"/>
                <w:rFonts w:ascii="Garamond" w:hAnsi="Garamond" w:cstheme="minorHAnsi"/>
                <w:color w:val="auto"/>
                <w:sz w:val="22"/>
                <w:szCs w:val="22"/>
                <w:lang w:val="en-US"/>
              </w:rPr>
              <w:t>received</w:t>
            </w:r>
            <w:r w:rsidRPr="00A5626D">
              <w:rPr>
                <w:rStyle w:val="m1"/>
                <w:rFonts w:ascii="Garamond" w:hAnsi="Garamond" w:cstheme="minorHAnsi"/>
                <w:color w:val="auto"/>
                <w:sz w:val="22"/>
                <w:szCs w:val="22"/>
                <w:lang w:val="en-US"/>
              </w:rPr>
              <w:t>&gt;</w:t>
            </w:r>
            <w:r w:rsidRPr="00A5626D">
              <w:rPr>
                <w:rFonts w:ascii="Garamond" w:hAnsi="Garamond" w:cstheme="minorHAnsi"/>
                <w:sz w:val="22"/>
                <w:szCs w:val="22"/>
                <w:lang w:val="en-US"/>
              </w:rPr>
              <w:t xml:space="preserve"> </w:t>
            </w:r>
          </w:p>
          <w:p w14:paraId="75F3126B" w14:textId="77777777" w:rsidR="00295C6D" w:rsidRPr="00A5626D" w:rsidRDefault="00295C6D" w:rsidP="00E31AE6">
            <w:pPr>
              <w:rPr>
                <w:rFonts w:ascii="Garamond" w:hAnsi="Garamond" w:cstheme="minorHAnsi"/>
                <w:sz w:val="22"/>
                <w:szCs w:val="22"/>
                <w:lang w:val="en-US"/>
              </w:rPr>
            </w:pPr>
            <w:r w:rsidRPr="00A5626D">
              <w:rPr>
                <w:rStyle w:val="m1"/>
                <w:rFonts w:ascii="Garamond" w:hAnsi="Garamond" w:cstheme="minorHAnsi"/>
                <w:color w:val="auto"/>
                <w:sz w:val="22"/>
                <w:szCs w:val="22"/>
                <w:lang w:val="en-US"/>
              </w:rPr>
              <w:t>&lt;/</w:t>
            </w:r>
            <w:r w:rsidRPr="00A5626D">
              <w:rPr>
                <w:rStyle w:val="t1"/>
                <w:rFonts w:ascii="Garamond" w:hAnsi="Garamond" w:cstheme="minorHAnsi"/>
                <w:color w:val="auto"/>
                <w:sz w:val="22"/>
                <w:szCs w:val="22"/>
                <w:lang w:val="en-US"/>
              </w:rPr>
              <w:t>file</w:t>
            </w:r>
            <w:r w:rsidRPr="00A5626D">
              <w:rPr>
                <w:rStyle w:val="m1"/>
                <w:rFonts w:ascii="Garamond" w:hAnsi="Garamond" w:cstheme="minorHAnsi"/>
                <w:color w:val="auto"/>
                <w:sz w:val="22"/>
                <w:szCs w:val="22"/>
                <w:lang w:val="en-US"/>
              </w:rPr>
              <w:t>&gt;</w:t>
            </w:r>
          </w:p>
          <w:p w14:paraId="09169CD1" w14:textId="77777777" w:rsidR="00295C6D" w:rsidRPr="00A5626D" w:rsidRDefault="00295C6D" w:rsidP="00E31AE6">
            <w:pPr>
              <w:tabs>
                <w:tab w:val="left" w:pos="567"/>
              </w:tabs>
              <w:rPr>
                <w:rFonts w:ascii="Garamond" w:eastAsia="Calibri" w:hAnsi="Garamond" w:cstheme="minorHAnsi"/>
                <w:sz w:val="22"/>
                <w:szCs w:val="22"/>
                <w:lang w:val="en-US"/>
              </w:rPr>
            </w:pPr>
            <w:r w:rsidRPr="00A5626D">
              <w:rPr>
                <w:rStyle w:val="m1"/>
                <w:rFonts w:ascii="Garamond" w:hAnsi="Garamond" w:cstheme="minorHAnsi"/>
                <w:color w:val="auto"/>
                <w:sz w:val="22"/>
                <w:szCs w:val="22"/>
                <w:lang w:val="en-US"/>
              </w:rPr>
              <w:t>&lt;</w:t>
            </w:r>
            <w:r w:rsidRPr="00A5626D">
              <w:rPr>
                <w:rStyle w:val="t1"/>
                <w:rFonts w:ascii="Garamond" w:hAnsi="Garamond" w:cstheme="minorHAnsi"/>
                <w:color w:val="auto"/>
                <w:sz w:val="22"/>
                <w:szCs w:val="22"/>
                <w:lang w:val="en-US"/>
              </w:rPr>
              <w:t>reply</w:t>
            </w:r>
            <w:r w:rsidRPr="00A5626D">
              <w:rPr>
                <w:rFonts w:ascii="Garamond" w:hAnsi="Garamond" w:cstheme="minorHAnsi"/>
                <w:sz w:val="22"/>
                <w:szCs w:val="22"/>
                <w:lang w:val="en-US"/>
              </w:rPr>
              <w:t xml:space="preserve"> </w:t>
            </w:r>
            <w:r w:rsidRPr="00A5626D">
              <w:rPr>
                <w:rStyle w:val="t1"/>
                <w:rFonts w:ascii="Garamond" w:hAnsi="Garamond" w:cstheme="minorHAnsi"/>
                <w:color w:val="auto"/>
                <w:sz w:val="22"/>
                <w:szCs w:val="22"/>
                <w:lang w:val="en-US"/>
              </w:rPr>
              <w:t>filestatus</w:t>
            </w:r>
            <w:r w:rsidRPr="00A5626D">
              <w:rPr>
                <w:rStyle w:val="m1"/>
                <w:rFonts w:ascii="Garamond" w:hAnsi="Garamond" w:cstheme="minorHAnsi"/>
                <w:color w:val="auto"/>
                <w:sz w:val="22"/>
                <w:szCs w:val="22"/>
                <w:lang w:val="en-US"/>
              </w:rPr>
              <w:t>="</w:t>
            </w:r>
            <w:r w:rsidRPr="00A5626D">
              <w:rPr>
                <w:rFonts w:ascii="Garamond" w:eastAsia="Calibri" w:hAnsi="Garamond" w:cstheme="minorHAnsi"/>
                <w:sz w:val="22"/>
                <w:szCs w:val="22"/>
                <w:lang w:val="en-US"/>
              </w:rPr>
              <w:t xml:space="preserve">3n" desc="50x"&gt; </w:t>
            </w:r>
          </w:p>
          <w:p w14:paraId="438AC0D6" w14:textId="77777777" w:rsidR="00295C6D" w:rsidRPr="00A5626D" w:rsidRDefault="00295C6D" w:rsidP="00E31AE6">
            <w:pPr>
              <w:tabs>
                <w:tab w:val="left" w:pos="567"/>
              </w:tabs>
              <w:ind w:firstLine="318"/>
              <w:rPr>
                <w:rFonts w:ascii="Garamond" w:eastAsia="Calibri" w:hAnsi="Garamond" w:cstheme="minorHAnsi"/>
                <w:sz w:val="22"/>
                <w:szCs w:val="22"/>
                <w:lang w:val="es-ES"/>
              </w:rPr>
            </w:pPr>
            <w:r w:rsidRPr="00A5626D">
              <w:rPr>
                <w:rFonts w:ascii="Garamond" w:eastAsia="Calibri" w:hAnsi="Garamond" w:cstheme="minorHAnsi"/>
                <w:sz w:val="22"/>
                <w:szCs w:val="22"/>
                <w:lang w:val="es-ES"/>
              </w:rPr>
              <w:t>&lt;error&gt;![ CDATA[250x]]&lt;/error&gt;</w:t>
            </w:r>
          </w:p>
          <w:p w14:paraId="3D14B373" w14:textId="77777777" w:rsidR="00295C6D" w:rsidRPr="00A5626D" w:rsidRDefault="00295C6D" w:rsidP="00E31AE6">
            <w:pPr>
              <w:tabs>
                <w:tab w:val="left" w:pos="567"/>
              </w:tabs>
              <w:rPr>
                <w:rFonts w:ascii="Garamond" w:eastAsia="Calibri" w:hAnsi="Garamond" w:cstheme="minorHAnsi"/>
                <w:sz w:val="22"/>
                <w:szCs w:val="22"/>
                <w:lang w:val="es-ES"/>
              </w:rPr>
            </w:pPr>
            <w:r w:rsidRPr="00A5626D">
              <w:rPr>
                <w:rFonts w:ascii="Garamond" w:eastAsia="Calibri" w:hAnsi="Garamond" w:cstheme="minorHAnsi"/>
                <w:sz w:val="22"/>
                <w:szCs w:val="22"/>
                <w:lang w:val="es-ES"/>
              </w:rPr>
              <w:t>&lt;/reply&gt;</w:t>
            </w:r>
          </w:p>
          <w:p w14:paraId="5E351738" w14:textId="77777777" w:rsidR="00295C6D" w:rsidRPr="00A5626D" w:rsidRDefault="00295C6D" w:rsidP="00E31AE6">
            <w:pPr>
              <w:tabs>
                <w:tab w:val="left" w:pos="567"/>
              </w:tabs>
              <w:rPr>
                <w:rFonts w:ascii="Garamond" w:eastAsia="Calibri" w:hAnsi="Garamond" w:cstheme="minorHAnsi"/>
                <w:sz w:val="22"/>
                <w:szCs w:val="22"/>
                <w:lang w:val="en-US"/>
              </w:rPr>
            </w:pPr>
            <w:r w:rsidRPr="00A5626D">
              <w:rPr>
                <w:rFonts w:ascii="Garamond" w:eastAsia="Calibri" w:hAnsi="Garamond" w:cstheme="minorHAnsi"/>
                <w:sz w:val="22"/>
                <w:szCs w:val="22"/>
                <w:lang w:val="en-US"/>
              </w:rPr>
              <w:t>&lt;information-60000 delivery-points="5n"&gt;</w:t>
            </w:r>
          </w:p>
          <w:p w14:paraId="35C8B462" w14:textId="77777777" w:rsidR="00295C6D" w:rsidRPr="00A5626D" w:rsidRDefault="00295C6D" w:rsidP="00E31AE6">
            <w:pPr>
              <w:tabs>
                <w:tab w:val="left" w:pos="567"/>
              </w:tabs>
              <w:ind w:firstLine="318"/>
              <w:rPr>
                <w:rFonts w:ascii="Garamond" w:eastAsia="Calibri" w:hAnsi="Garamond" w:cstheme="minorHAnsi"/>
                <w:sz w:val="22"/>
                <w:szCs w:val="22"/>
                <w:lang w:val="en-US"/>
              </w:rPr>
            </w:pPr>
            <w:r w:rsidRPr="00A5626D">
              <w:rPr>
                <w:rFonts w:ascii="Garamond" w:eastAsia="Calibri" w:hAnsi="Garamond" w:cstheme="minorHAnsi"/>
                <w:sz w:val="22"/>
                <w:szCs w:val="22"/>
                <w:lang w:val="en-US"/>
              </w:rPr>
              <w:t>&lt;generation code="8x" name="512x"/&gt;</w:t>
            </w:r>
          </w:p>
          <w:p w14:paraId="6FBCE2CC" w14:textId="77777777" w:rsidR="00295C6D" w:rsidRPr="00A5626D" w:rsidRDefault="00295C6D" w:rsidP="00E31AE6">
            <w:pPr>
              <w:tabs>
                <w:tab w:val="left" w:pos="567"/>
              </w:tabs>
              <w:rPr>
                <w:rFonts w:ascii="Garamond" w:eastAsia="Calibri" w:hAnsi="Garamond" w:cstheme="minorHAnsi"/>
                <w:sz w:val="22"/>
                <w:szCs w:val="22"/>
                <w:lang w:val="en-US"/>
              </w:rPr>
            </w:pPr>
            <w:r w:rsidRPr="00A5626D">
              <w:rPr>
                <w:rFonts w:ascii="Garamond" w:eastAsia="Calibri" w:hAnsi="Garamond" w:cstheme="minorHAnsi"/>
                <w:sz w:val="22"/>
                <w:szCs w:val="22"/>
                <w:lang w:val="en-US"/>
              </w:rPr>
              <w:t>&lt;peretok code-from="8x" code-to="8x" name="512x"/&gt;</w:t>
            </w:r>
          </w:p>
          <w:p w14:paraId="3C55AC16" w14:textId="77777777" w:rsidR="00295C6D" w:rsidRPr="00A5626D" w:rsidRDefault="00295C6D" w:rsidP="00E31AE6">
            <w:pPr>
              <w:tabs>
                <w:tab w:val="left" w:pos="567"/>
              </w:tabs>
              <w:ind w:firstLine="318"/>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&lt;gtpp code="8x" trader-code="8x" measuring-points-in-aiis="5n" small-measuring-points="5n" measuring-devices-in-aiis="5n" small-measuring-devices="5n" </w:t>
            </w:r>
            <w:r w:rsidRPr="00A5626D">
              <w:rPr>
                <w:rFonts w:ascii="Garamond" w:hAnsi="Garamond"/>
                <w:sz w:val="22"/>
                <w:szCs w:val="22"/>
                <w:lang w:val="en-US"/>
              </w:rPr>
              <w:t>small-delivery-points-all</w:t>
            </w:r>
            <w:r w:rsidRPr="00A5626D">
              <w:rPr>
                <w:rFonts w:ascii="Garamond" w:eastAsia="Calibri" w:hAnsi="Garamond"/>
                <w:sz w:val="22"/>
                <w:szCs w:val="22"/>
                <w:lang w:val="en-US"/>
              </w:rPr>
              <w:t xml:space="preserve">="5n" </w:t>
            </w:r>
            <w:r w:rsidRPr="00A5626D">
              <w:rPr>
                <w:rFonts w:ascii="Garamond" w:hAnsi="Garamond"/>
                <w:sz w:val="22"/>
                <w:szCs w:val="22"/>
                <w:lang w:val="en-US"/>
              </w:rPr>
              <w:t>small-delivery-points-new</w:t>
            </w:r>
            <w:r w:rsidRPr="00A5626D">
              <w:rPr>
                <w:rFonts w:ascii="Garamond" w:eastAsia="Calibri" w:hAnsi="Garamond"/>
                <w:sz w:val="22"/>
                <w:szCs w:val="22"/>
                <w:lang w:val="en-US"/>
              </w:rPr>
              <w:t>="5n"</w:t>
            </w:r>
            <w:r w:rsidRPr="00A5626D">
              <w:rPr>
                <w:rFonts w:ascii="Garamond" w:eastAsia="Calibri" w:hAnsi="Garamond" w:cstheme="minorHAnsi"/>
                <w:sz w:val="22"/>
                <w:szCs w:val="22"/>
                <w:lang w:val="en-US"/>
              </w:rPr>
              <w:t>/&gt;</w:t>
            </w:r>
          </w:p>
          <w:p w14:paraId="3DB7AB1F" w14:textId="77777777" w:rsidR="00295C6D" w:rsidRPr="00A5626D" w:rsidRDefault="00295C6D" w:rsidP="00E31AE6">
            <w:pPr>
              <w:rPr>
                <w:rFonts w:ascii="Garamond" w:hAnsi="Garamond" w:cstheme="minorHAnsi"/>
                <w:sz w:val="22"/>
                <w:szCs w:val="22"/>
              </w:rPr>
            </w:pPr>
            <w:r w:rsidRPr="00A5626D">
              <w:rPr>
                <w:rFonts w:ascii="Garamond" w:eastAsia="Calibri" w:hAnsi="Garamond" w:cstheme="minorHAnsi"/>
                <w:sz w:val="22"/>
                <w:szCs w:val="22"/>
              </w:rPr>
              <w:t>&lt;/information-60000&gt;</w:t>
            </w:r>
          </w:p>
          <w:p w14:paraId="4A2CAA04" w14:textId="77777777" w:rsidR="00295C6D" w:rsidRPr="00A5626D" w:rsidRDefault="00295C6D" w:rsidP="00E31AE6">
            <w:pPr>
              <w:rPr>
                <w:rFonts w:ascii="Garamond" w:hAnsi="Garamond" w:cstheme="minorHAnsi"/>
                <w:sz w:val="22"/>
                <w:szCs w:val="22"/>
              </w:rPr>
            </w:pPr>
            <w:r w:rsidRPr="00A5626D">
              <w:rPr>
                <w:rStyle w:val="m1"/>
                <w:rFonts w:ascii="Garamond" w:hAnsi="Garamond" w:cstheme="minorHAnsi"/>
                <w:color w:val="auto"/>
                <w:sz w:val="22"/>
                <w:szCs w:val="22"/>
              </w:rPr>
              <w:t>&lt;/</w:t>
            </w:r>
            <w:r w:rsidRPr="00A5626D">
              <w:rPr>
                <w:rStyle w:val="t1"/>
                <w:rFonts w:ascii="Garamond" w:hAnsi="Garamond" w:cstheme="minorHAnsi"/>
                <w:color w:val="auto"/>
                <w:sz w:val="22"/>
                <w:szCs w:val="22"/>
                <w:lang w:val="en-US"/>
              </w:rPr>
              <w:t>message</w:t>
            </w:r>
            <w:r w:rsidRPr="00A5626D">
              <w:rPr>
                <w:rStyle w:val="m1"/>
                <w:rFonts w:ascii="Garamond" w:hAnsi="Garamond" w:cstheme="minorHAnsi"/>
                <w:color w:val="auto"/>
                <w:sz w:val="22"/>
                <w:szCs w:val="22"/>
              </w:rPr>
              <w:t>&gt;</w:t>
            </w:r>
          </w:p>
          <w:p w14:paraId="2E83288E" w14:textId="77777777" w:rsidR="00295C6D" w:rsidRPr="00A5626D" w:rsidRDefault="00295C6D" w:rsidP="00E31AE6">
            <w:pPr>
              <w:rPr>
                <w:rFonts w:ascii="Garamond" w:eastAsia="Calibri" w:hAnsi="Garamond" w:cstheme="minorHAnsi"/>
                <w:b/>
                <w:sz w:val="22"/>
                <w:szCs w:val="22"/>
              </w:rPr>
            </w:pPr>
          </w:p>
        </w:tc>
        <w:tc>
          <w:tcPr>
            <w:tcW w:w="7088" w:type="dxa"/>
          </w:tcPr>
          <w:p w14:paraId="78B7A5E6" w14:textId="77777777" w:rsidR="00295C6D" w:rsidRPr="00A5626D" w:rsidRDefault="00295C6D" w:rsidP="00E31AE6">
            <w:pPr>
              <w:pStyle w:val="aff4"/>
              <w:rPr>
                <w:rFonts w:cstheme="minorHAnsi"/>
                <w:sz w:val="22"/>
                <w:szCs w:val="22"/>
                <w:lang w:val="en-US"/>
              </w:rPr>
            </w:pPr>
            <w:r w:rsidRPr="00A5626D">
              <w:rPr>
                <w:rFonts w:cstheme="minorHAnsi"/>
                <w:sz w:val="22"/>
                <w:szCs w:val="22"/>
              </w:rPr>
              <w:t>Структура</w:t>
            </w:r>
            <w:r w:rsidRPr="00A5626D">
              <w:rPr>
                <w:rFonts w:cstheme="minorHAnsi"/>
                <w:sz w:val="22"/>
                <w:szCs w:val="22"/>
                <w:lang w:val="en-US"/>
              </w:rPr>
              <w:t xml:space="preserve"> </w:t>
            </w:r>
            <w:r w:rsidRPr="00A5626D">
              <w:rPr>
                <w:rFonts w:cstheme="minorHAnsi"/>
                <w:sz w:val="22"/>
                <w:szCs w:val="22"/>
              </w:rPr>
              <w:t>документа</w:t>
            </w:r>
          </w:p>
          <w:p w14:paraId="38647259" w14:textId="77777777" w:rsidR="00295C6D" w:rsidRPr="00A5626D" w:rsidRDefault="00295C6D" w:rsidP="00E31AE6">
            <w:pPr>
              <w:rPr>
                <w:rFonts w:ascii="Garamond" w:hAnsi="Garamond" w:cstheme="minorHAnsi"/>
                <w:sz w:val="22"/>
                <w:szCs w:val="22"/>
                <w:lang w:val="en-US"/>
              </w:rPr>
            </w:pPr>
            <w:r w:rsidRPr="00A5626D">
              <w:rPr>
                <w:rStyle w:val="m1"/>
                <w:rFonts w:ascii="Garamond" w:hAnsi="Garamond" w:cstheme="minorHAnsi"/>
                <w:color w:val="auto"/>
                <w:sz w:val="22"/>
                <w:szCs w:val="22"/>
                <w:lang w:val="en-US"/>
              </w:rPr>
              <w:t>&lt;?</w:t>
            </w:r>
            <w:r w:rsidRPr="00A5626D">
              <w:rPr>
                <w:rStyle w:val="pi1"/>
                <w:rFonts w:ascii="Garamond" w:eastAsia="Calibri" w:hAnsi="Garamond" w:cstheme="minorHAnsi"/>
                <w:color w:val="auto"/>
                <w:sz w:val="22"/>
                <w:szCs w:val="22"/>
                <w:lang w:val="en-US"/>
              </w:rPr>
              <w:t xml:space="preserve">xml version="1.0" encoding="windows-1251" </w:t>
            </w:r>
            <w:r w:rsidRPr="00A5626D">
              <w:rPr>
                <w:rStyle w:val="m1"/>
                <w:rFonts w:ascii="Garamond" w:hAnsi="Garamond" w:cstheme="minorHAnsi"/>
                <w:color w:val="auto"/>
                <w:sz w:val="22"/>
                <w:szCs w:val="22"/>
                <w:lang w:val="en-US"/>
              </w:rPr>
              <w:t>?&gt;</w:t>
            </w:r>
            <w:r w:rsidRPr="00A5626D">
              <w:rPr>
                <w:rFonts w:ascii="Garamond" w:hAnsi="Garamond" w:cstheme="minorHAnsi"/>
                <w:sz w:val="22"/>
                <w:szCs w:val="22"/>
                <w:lang w:val="en-US"/>
              </w:rPr>
              <w:t xml:space="preserve"> </w:t>
            </w:r>
          </w:p>
          <w:p w14:paraId="00839BAC" w14:textId="77777777" w:rsidR="00295C6D" w:rsidRPr="00A5626D" w:rsidRDefault="00295C6D" w:rsidP="00E31AE6">
            <w:pPr>
              <w:rPr>
                <w:rFonts w:ascii="Garamond" w:hAnsi="Garamond" w:cstheme="minorHAnsi"/>
                <w:sz w:val="22"/>
                <w:szCs w:val="22"/>
                <w:lang w:val="en-US"/>
              </w:rPr>
            </w:pPr>
            <w:r w:rsidRPr="00A5626D">
              <w:rPr>
                <w:rStyle w:val="m1"/>
                <w:rFonts w:ascii="Garamond" w:hAnsi="Garamond" w:cstheme="minorHAnsi"/>
                <w:color w:val="auto"/>
                <w:sz w:val="22"/>
                <w:szCs w:val="22"/>
                <w:lang w:val="en-US"/>
              </w:rPr>
              <w:t>&lt;</w:t>
            </w:r>
            <w:r w:rsidRPr="00A5626D">
              <w:rPr>
                <w:rStyle w:val="t1"/>
                <w:rFonts w:ascii="Garamond" w:hAnsi="Garamond" w:cstheme="minorHAnsi"/>
                <w:color w:val="auto"/>
                <w:sz w:val="22"/>
                <w:szCs w:val="22"/>
                <w:lang w:val="en-US"/>
              </w:rPr>
              <w:t>message class</w:t>
            </w:r>
            <w:r w:rsidRPr="00A5626D">
              <w:rPr>
                <w:rStyle w:val="m1"/>
                <w:rFonts w:ascii="Garamond" w:hAnsi="Garamond" w:cstheme="minorHAnsi"/>
                <w:color w:val="auto"/>
                <w:sz w:val="22"/>
                <w:szCs w:val="22"/>
                <w:lang w:val="en-US"/>
              </w:rPr>
              <w:t>="</w:t>
            </w:r>
            <w:r w:rsidRPr="00A5626D">
              <w:rPr>
                <w:rFonts w:ascii="Garamond" w:hAnsi="Garamond" w:cstheme="minorHAnsi"/>
                <w:bCs/>
                <w:sz w:val="22"/>
                <w:szCs w:val="22"/>
                <w:lang w:val="en-US"/>
              </w:rPr>
              <w:t>60001</w:t>
            </w:r>
            <w:r w:rsidRPr="00A5626D">
              <w:rPr>
                <w:rStyle w:val="m1"/>
                <w:rFonts w:ascii="Garamond" w:hAnsi="Garamond" w:cstheme="minorHAnsi"/>
                <w:color w:val="auto"/>
                <w:sz w:val="22"/>
                <w:szCs w:val="22"/>
                <w:lang w:val="en-US"/>
              </w:rPr>
              <w:t>"</w:t>
            </w:r>
            <w:r w:rsidRPr="00A5626D">
              <w:rPr>
                <w:rStyle w:val="t1"/>
                <w:rFonts w:ascii="Garamond" w:hAnsi="Garamond" w:cstheme="minorHAnsi"/>
                <w:color w:val="auto"/>
                <w:sz w:val="22"/>
                <w:szCs w:val="22"/>
                <w:lang w:val="en-US"/>
              </w:rPr>
              <w:t xml:space="preserve"> version</w:t>
            </w:r>
            <w:r w:rsidRPr="00A5626D">
              <w:rPr>
                <w:rStyle w:val="m1"/>
                <w:rFonts w:ascii="Garamond" w:hAnsi="Garamond" w:cstheme="minorHAnsi"/>
                <w:color w:val="auto"/>
                <w:sz w:val="22"/>
                <w:szCs w:val="22"/>
                <w:lang w:val="en-US"/>
              </w:rPr>
              <w:t>="</w:t>
            </w:r>
            <w:r w:rsidRPr="00A5626D">
              <w:rPr>
                <w:rFonts w:ascii="Garamond" w:eastAsia="Calibri" w:hAnsi="Garamond" w:cstheme="minorHAnsi"/>
                <w:sz w:val="22"/>
                <w:szCs w:val="22"/>
                <w:lang w:val="en-US"/>
              </w:rPr>
              <w:t>3" datetime="YYYYMMDDhhmmss</w:t>
            </w:r>
            <w:r w:rsidRPr="00A5626D">
              <w:rPr>
                <w:rStyle w:val="m1"/>
                <w:rFonts w:ascii="Garamond" w:hAnsi="Garamond" w:cstheme="minorHAnsi"/>
                <w:color w:val="auto"/>
                <w:sz w:val="22"/>
                <w:szCs w:val="22"/>
                <w:lang w:val="en-US"/>
              </w:rPr>
              <w:t>"&gt;</w:t>
            </w:r>
          </w:p>
          <w:p w14:paraId="53F7D912" w14:textId="77777777" w:rsidR="00295C6D" w:rsidRPr="00A5626D" w:rsidRDefault="00295C6D" w:rsidP="00E31AE6">
            <w:pPr>
              <w:rPr>
                <w:rFonts w:ascii="Garamond" w:hAnsi="Garamond" w:cstheme="minorHAnsi"/>
                <w:sz w:val="22"/>
                <w:szCs w:val="22"/>
                <w:lang w:val="en-US"/>
              </w:rPr>
            </w:pPr>
            <w:r w:rsidRPr="00A5626D">
              <w:rPr>
                <w:rStyle w:val="m1"/>
                <w:rFonts w:ascii="Garamond" w:hAnsi="Garamond" w:cstheme="minorHAnsi"/>
                <w:color w:val="auto"/>
                <w:sz w:val="22"/>
                <w:szCs w:val="22"/>
                <w:lang w:val="en-US"/>
              </w:rPr>
              <w:t>&lt;</w:t>
            </w:r>
            <w:r w:rsidRPr="00A5626D">
              <w:rPr>
                <w:rStyle w:val="t1"/>
                <w:rFonts w:ascii="Garamond" w:hAnsi="Garamond" w:cstheme="minorHAnsi"/>
                <w:color w:val="auto"/>
                <w:sz w:val="22"/>
                <w:szCs w:val="22"/>
                <w:lang w:val="en-US"/>
              </w:rPr>
              <w:t>file</w:t>
            </w:r>
            <w:r w:rsidRPr="00A5626D">
              <w:rPr>
                <w:rStyle w:val="m1"/>
                <w:rFonts w:ascii="Garamond" w:hAnsi="Garamond" w:cstheme="minorHAnsi"/>
                <w:color w:val="auto"/>
                <w:sz w:val="22"/>
                <w:szCs w:val="22"/>
                <w:lang w:val="en-US"/>
              </w:rPr>
              <w:t>&gt;</w:t>
            </w:r>
          </w:p>
          <w:p w14:paraId="664F5B3C" w14:textId="77777777" w:rsidR="00295C6D" w:rsidRPr="00A5626D" w:rsidRDefault="00295C6D" w:rsidP="00E31AE6">
            <w:pPr>
              <w:ind w:left="284"/>
              <w:rPr>
                <w:rFonts w:ascii="Garamond" w:hAnsi="Garamond" w:cstheme="minorHAnsi"/>
                <w:sz w:val="22"/>
                <w:szCs w:val="22"/>
                <w:lang w:val="en-US"/>
              </w:rPr>
            </w:pPr>
            <w:r w:rsidRPr="00A5626D">
              <w:rPr>
                <w:rStyle w:val="m1"/>
                <w:rFonts w:ascii="Garamond" w:hAnsi="Garamond" w:cstheme="minorHAnsi"/>
                <w:color w:val="auto"/>
                <w:sz w:val="22"/>
                <w:szCs w:val="22"/>
                <w:lang w:val="en-US"/>
              </w:rPr>
              <w:t>&lt;</w:t>
            </w:r>
            <w:r w:rsidRPr="00A5626D">
              <w:rPr>
                <w:rStyle w:val="t1"/>
                <w:rFonts w:ascii="Garamond" w:hAnsi="Garamond" w:cstheme="minorHAnsi"/>
                <w:color w:val="auto"/>
                <w:sz w:val="22"/>
                <w:szCs w:val="22"/>
                <w:lang w:val="en-US"/>
              </w:rPr>
              <w:t>fromaddr</w:t>
            </w:r>
            <w:r w:rsidRPr="00A5626D">
              <w:rPr>
                <w:rStyle w:val="m1"/>
                <w:rFonts w:ascii="Garamond" w:hAnsi="Garamond" w:cstheme="minorHAnsi"/>
                <w:color w:val="auto"/>
                <w:sz w:val="22"/>
                <w:szCs w:val="22"/>
                <w:lang w:val="en-US"/>
              </w:rPr>
              <w:t>&gt;</w:t>
            </w:r>
          </w:p>
          <w:p w14:paraId="0D6BEDFB" w14:textId="77777777" w:rsidR="00295C6D" w:rsidRPr="00A5626D" w:rsidRDefault="00295C6D" w:rsidP="00E31AE6">
            <w:pPr>
              <w:ind w:left="284"/>
              <w:rPr>
                <w:rFonts w:ascii="Garamond" w:hAnsi="Garamond" w:cstheme="minorHAnsi"/>
                <w:sz w:val="22"/>
                <w:szCs w:val="22"/>
                <w:lang w:val="en-US"/>
              </w:rPr>
            </w:pPr>
            <w:r w:rsidRPr="00A5626D">
              <w:rPr>
                <w:rStyle w:val="m1"/>
                <w:rFonts w:ascii="Garamond" w:hAnsi="Garamond" w:cstheme="minorHAnsi"/>
                <w:color w:val="auto"/>
                <w:sz w:val="22"/>
                <w:szCs w:val="22"/>
                <w:lang w:val="en-US"/>
              </w:rPr>
              <w:t>&lt;![CDATA[</w:t>
            </w:r>
            <w:r w:rsidRPr="00A5626D">
              <w:rPr>
                <w:rFonts w:ascii="Garamond" w:hAnsi="Garamond" w:cstheme="minorHAnsi"/>
                <w:sz w:val="22"/>
                <w:szCs w:val="22"/>
                <w:lang w:val="en-US"/>
              </w:rPr>
              <w:t>50x</w:t>
            </w:r>
            <w:r w:rsidRPr="00A5626D">
              <w:rPr>
                <w:rStyle w:val="m1"/>
                <w:rFonts w:ascii="Garamond" w:hAnsi="Garamond" w:cstheme="minorHAnsi"/>
                <w:color w:val="auto"/>
                <w:sz w:val="22"/>
                <w:szCs w:val="22"/>
                <w:lang w:val="en-US"/>
              </w:rPr>
              <w:t>]]&gt;</w:t>
            </w:r>
            <w:r w:rsidRPr="00A5626D">
              <w:rPr>
                <w:rFonts w:ascii="Garamond" w:hAnsi="Garamond" w:cstheme="minorHAnsi"/>
                <w:sz w:val="22"/>
                <w:szCs w:val="22"/>
                <w:lang w:val="en-US"/>
              </w:rPr>
              <w:t xml:space="preserve"> </w:t>
            </w:r>
          </w:p>
          <w:p w14:paraId="00958038" w14:textId="77777777" w:rsidR="00295C6D" w:rsidRPr="00A5626D" w:rsidRDefault="00295C6D" w:rsidP="00E31AE6">
            <w:pPr>
              <w:ind w:left="284"/>
              <w:rPr>
                <w:rFonts w:ascii="Garamond" w:hAnsi="Garamond" w:cstheme="minorHAnsi"/>
                <w:sz w:val="22"/>
                <w:szCs w:val="22"/>
                <w:lang w:val="en-US"/>
              </w:rPr>
            </w:pPr>
            <w:r w:rsidRPr="00A5626D">
              <w:rPr>
                <w:rStyle w:val="m1"/>
                <w:rFonts w:ascii="Garamond" w:hAnsi="Garamond" w:cstheme="minorHAnsi"/>
                <w:color w:val="auto"/>
                <w:sz w:val="22"/>
                <w:szCs w:val="22"/>
                <w:lang w:val="en-US"/>
              </w:rPr>
              <w:t>&lt;/</w:t>
            </w:r>
            <w:r w:rsidRPr="00A5626D">
              <w:rPr>
                <w:rStyle w:val="t1"/>
                <w:rFonts w:ascii="Garamond" w:hAnsi="Garamond" w:cstheme="minorHAnsi"/>
                <w:color w:val="auto"/>
                <w:sz w:val="22"/>
                <w:szCs w:val="22"/>
                <w:lang w:val="en-US"/>
              </w:rPr>
              <w:t>fromaddr</w:t>
            </w:r>
            <w:r w:rsidRPr="00A5626D">
              <w:rPr>
                <w:rStyle w:val="m1"/>
                <w:rFonts w:ascii="Garamond" w:hAnsi="Garamond" w:cstheme="minorHAnsi"/>
                <w:color w:val="auto"/>
                <w:sz w:val="22"/>
                <w:szCs w:val="22"/>
                <w:lang w:val="en-US"/>
              </w:rPr>
              <w:t>&gt;</w:t>
            </w:r>
          </w:p>
          <w:p w14:paraId="02648325" w14:textId="77777777" w:rsidR="00295C6D" w:rsidRPr="00A5626D" w:rsidRDefault="00295C6D" w:rsidP="00E31AE6">
            <w:pPr>
              <w:ind w:left="284"/>
              <w:rPr>
                <w:rFonts w:ascii="Garamond" w:hAnsi="Garamond" w:cstheme="minorHAnsi"/>
                <w:sz w:val="22"/>
                <w:szCs w:val="22"/>
                <w:lang w:val="en-US"/>
              </w:rPr>
            </w:pPr>
            <w:r w:rsidRPr="00A5626D">
              <w:rPr>
                <w:rStyle w:val="m1"/>
                <w:rFonts w:ascii="Garamond" w:hAnsi="Garamond" w:cstheme="minorHAnsi"/>
                <w:color w:val="auto"/>
                <w:sz w:val="22"/>
                <w:szCs w:val="22"/>
                <w:lang w:val="en-US"/>
              </w:rPr>
              <w:t>&lt;</w:t>
            </w:r>
            <w:r w:rsidRPr="00A5626D">
              <w:rPr>
                <w:rStyle w:val="t1"/>
                <w:rFonts w:ascii="Garamond" w:hAnsi="Garamond" w:cstheme="minorHAnsi"/>
                <w:color w:val="auto"/>
                <w:sz w:val="22"/>
                <w:szCs w:val="22"/>
                <w:lang w:val="en-US"/>
              </w:rPr>
              <w:t>name</w:t>
            </w:r>
            <w:r w:rsidRPr="00A5626D">
              <w:rPr>
                <w:rStyle w:val="m1"/>
                <w:rFonts w:ascii="Garamond" w:hAnsi="Garamond" w:cstheme="minorHAnsi"/>
                <w:color w:val="auto"/>
                <w:sz w:val="22"/>
                <w:szCs w:val="22"/>
                <w:lang w:val="en-US"/>
              </w:rPr>
              <w:t>&gt;</w:t>
            </w:r>
            <w:r w:rsidRPr="00A5626D">
              <w:rPr>
                <w:rFonts w:ascii="Garamond" w:hAnsi="Garamond" w:cstheme="minorHAnsi"/>
                <w:sz w:val="22"/>
                <w:szCs w:val="22"/>
                <w:lang w:val="en-US"/>
              </w:rPr>
              <w:t>250x</w:t>
            </w:r>
            <w:r w:rsidRPr="00A5626D">
              <w:rPr>
                <w:rStyle w:val="m1"/>
                <w:rFonts w:ascii="Garamond" w:hAnsi="Garamond" w:cstheme="minorHAnsi"/>
                <w:color w:val="auto"/>
                <w:sz w:val="22"/>
                <w:szCs w:val="22"/>
                <w:lang w:val="en-US"/>
              </w:rPr>
              <w:t>&lt;/</w:t>
            </w:r>
            <w:r w:rsidRPr="00A5626D">
              <w:rPr>
                <w:rStyle w:val="t1"/>
                <w:rFonts w:ascii="Garamond" w:hAnsi="Garamond" w:cstheme="minorHAnsi"/>
                <w:color w:val="auto"/>
                <w:sz w:val="22"/>
                <w:szCs w:val="22"/>
                <w:lang w:val="en-US"/>
              </w:rPr>
              <w:t>name</w:t>
            </w:r>
            <w:r w:rsidRPr="00A5626D">
              <w:rPr>
                <w:rStyle w:val="m1"/>
                <w:rFonts w:ascii="Garamond" w:hAnsi="Garamond" w:cstheme="minorHAnsi"/>
                <w:color w:val="auto"/>
                <w:sz w:val="22"/>
                <w:szCs w:val="22"/>
                <w:lang w:val="en-US"/>
              </w:rPr>
              <w:t>&gt;</w:t>
            </w:r>
            <w:r w:rsidRPr="00A5626D">
              <w:rPr>
                <w:rFonts w:ascii="Garamond" w:hAnsi="Garamond" w:cstheme="minorHAnsi"/>
                <w:sz w:val="22"/>
                <w:szCs w:val="22"/>
                <w:lang w:val="en-US"/>
              </w:rPr>
              <w:t xml:space="preserve"> </w:t>
            </w:r>
          </w:p>
          <w:p w14:paraId="6507C8A7" w14:textId="77777777" w:rsidR="00295C6D" w:rsidRPr="00A5626D" w:rsidRDefault="00295C6D" w:rsidP="00E31AE6">
            <w:pPr>
              <w:ind w:left="284"/>
              <w:rPr>
                <w:rFonts w:ascii="Garamond" w:hAnsi="Garamond" w:cstheme="minorHAnsi"/>
                <w:sz w:val="22"/>
                <w:szCs w:val="22"/>
                <w:lang w:val="en-US"/>
              </w:rPr>
            </w:pPr>
            <w:r w:rsidRPr="00A5626D">
              <w:rPr>
                <w:rStyle w:val="m1"/>
                <w:rFonts w:ascii="Garamond" w:hAnsi="Garamond" w:cstheme="minorHAnsi"/>
                <w:color w:val="auto"/>
                <w:sz w:val="22"/>
                <w:szCs w:val="22"/>
                <w:lang w:val="en-US"/>
              </w:rPr>
              <w:t>&lt;</w:t>
            </w:r>
            <w:r w:rsidRPr="00A5626D">
              <w:rPr>
                <w:rStyle w:val="t1"/>
                <w:rFonts w:ascii="Garamond" w:hAnsi="Garamond" w:cstheme="minorHAnsi"/>
                <w:color w:val="auto"/>
                <w:sz w:val="22"/>
                <w:szCs w:val="22"/>
                <w:lang w:val="en-US"/>
              </w:rPr>
              <w:t>sender</w:t>
            </w:r>
            <w:r w:rsidRPr="00A5626D">
              <w:rPr>
                <w:rStyle w:val="m1"/>
                <w:rFonts w:ascii="Garamond" w:hAnsi="Garamond" w:cstheme="minorHAnsi"/>
                <w:color w:val="auto"/>
                <w:sz w:val="22"/>
                <w:szCs w:val="22"/>
                <w:lang w:val="en-US"/>
              </w:rPr>
              <w:t>&gt;</w:t>
            </w:r>
            <w:r w:rsidRPr="00A5626D">
              <w:rPr>
                <w:rStyle w:val="tx1"/>
                <w:rFonts w:ascii="Garamond" w:hAnsi="Garamond" w:cstheme="minorHAnsi"/>
                <w:sz w:val="22"/>
                <w:szCs w:val="22"/>
                <w:lang w:val="en-US"/>
              </w:rPr>
              <w:t>10n</w:t>
            </w:r>
            <w:r w:rsidRPr="00A5626D">
              <w:rPr>
                <w:rStyle w:val="m1"/>
                <w:rFonts w:ascii="Garamond" w:hAnsi="Garamond" w:cstheme="minorHAnsi"/>
                <w:color w:val="auto"/>
                <w:sz w:val="22"/>
                <w:szCs w:val="22"/>
                <w:lang w:val="en-US"/>
              </w:rPr>
              <w:t>&lt;/</w:t>
            </w:r>
            <w:r w:rsidRPr="00A5626D">
              <w:rPr>
                <w:rStyle w:val="t1"/>
                <w:rFonts w:ascii="Garamond" w:hAnsi="Garamond" w:cstheme="minorHAnsi"/>
                <w:color w:val="auto"/>
                <w:sz w:val="22"/>
                <w:szCs w:val="22"/>
                <w:lang w:val="en-US"/>
              </w:rPr>
              <w:t>sender</w:t>
            </w:r>
            <w:r w:rsidRPr="00A5626D">
              <w:rPr>
                <w:rStyle w:val="m1"/>
                <w:rFonts w:ascii="Garamond" w:hAnsi="Garamond" w:cstheme="minorHAnsi"/>
                <w:color w:val="auto"/>
                <w:sz w:val="22"/>
                <w:szCs w:val="22"/>
                <w:lang w:val="en-US"/>
              </w:rPr>
              <w:t>&gt;</w:t>
            </w:r>
            <w:r w:rsidRPr="00A5626D">
              <w:rPr>
                <w:rFonts w:ascii="Garamond" w:hAnsi="Garamond" w:cstheme="minorHAnsi"/>
                <w:sz w:val="22"/>
                <w:szCs w:val="22"/>
                <w:lang w:val="en-US"/>
              </w:rPr>
              <w:t xml:space="preserve"> </w:t>
            </w:r>
          </w:p>
          <w:p w14:paraId="76A9AC6E" w14:textId="77777777" w:rsidR="00295C6D" w:rsidRPr="00A5626D" w:rsidRDefault="00295C6D" w:rsidP="00E31AE6">
            <w:pPr>
              <w:ind w:left="284"/>
              <w:rPr>
                <w:rFonts w:ascii="Garamond" w:hAnsi="Garamond" w:cstheme="minorHAnsi"/>
                <w:sz w:val="22"/>
                <w:szCs w:val="22"/>
                <w:lang w:val="en-US"/>
              </w:rPr>
            </w:pPr>
            <w:r w:rsidRPr="00A5626D">
              <w:rPr>
                <w:rStyle w:val="m1"/>
                <w:rFonts w:ascii="Garamond" w:hAnsi="Garamond" w:cstheme="minorHAnsi"/>
                <w:color w:val="auto"/>
                <w:sz w:val="22"/>
                <w:szCs w:val="22"/>
                <w:lang w:val="en-US"/>
              </w:rPr>
              <w:t>&lt;</w:t>
            </w:r>
            <w:r w:rsidRPr="00A5626D">
              <w:rPr>
                <w:rStyle w:val="t1"/>
                <w:rFonts w:ascii="Garamond" w:hAnsi="Garamond" w:cstheme="minorHAnsi"/>
                <w:color w:val="auto"/>
                <w:sz w:val="22"/>
                <w:szCs w:val="22"/>
                <w:lang w:val="en-US"/>
              </w:rPr>
              <w:t>id</w:t>
            </w:r>
            <w:r w:rsidRPr="00A5626D">
              <w:rPr>
                <w:rStyle w:val="m1"/>
                <w:rFonts w:ascii="Garamond" w:hAnsi="Garamond" w:cstheme="minorHAnsi"/>
                <w:color w:val="auto"/>
                <w:sz w:val="22"/>
                <w:szCs w:val="22"/>
                <w:lang w:val="en-US"/>
              </w:rPr>
              <w:t>&gt;</w:t>
            </w:r>
            <w:r w:rsidRPr="00A5626D">
              <w:rPr>
                <w:rStyle w:val="tx1"/>
                <w:rFonts w:ascii="Garamond" w:hAnsi="Garamond" w:cstheme="minorHAnsi"/>
                <w:sz w:val="22"/>
                <w:szCs w:val="22"/>
                <w:lang w:val="en-US"/>
              </w:rPr>
              <w:t>10n</w:t>
            </w:r>
            <w:r w:rsidRPr="00A5626D">
              <w:rPr>
                <w:rStyle w:val="m1"/>
                <w:rFonts w:ascii="Garamond" w:hAnsi="Garamond" w:cstheme="minorHAnsi"/>
                <w:color w:val="auto"/>
                <w:sz w:val="22"/>
                <w:szCs w:val="22"/>
                <w:lang w:val="en-US"/>
              </w:rPr>
              <w:t>&lt;/</w:t>
            </w:r>
            <w:r w:rsidRPr="00A5626D">
              <w:rPr>
                <w:rStyle w:val="t1"/>
                <w:rFonts w:ascii="Garamond" w:hAnsi="Garamond" w:cstheme="minorHAnsi"/>
                <w:color w:val="auto"/>
                <w:sz w:val="22"/>
                <w:szCs w:val="22"/>
                <w:lang w:val="en-US"/>
              </w:rPr>
              <w:t>id</w:t>
            </w:r>
            <w:r w:rsidRPr="00A5626D">
              <w:rPr>
                <w:rStyle w:val="m1"/>
                <w:rFonts w:ascii="Garamond" w:hAnsi="Garamond" w:cstheme="minorHAnsi"/>
                <w:color w:val="auto"/>
                <w:sz w:val="22"/>
                <w:szCs w:val="22"/>
                <w:lang w:val="en-US"/>
              </w:rPr>
              <w:t>&gt;</w:t>
            </w:r>
            <w:r w:rsidRPr="00A5626D">
              <w:rPr>
                <w:rFonts w:ascii="Garamond" w:hAnsi="Garamond" w:cstheme="minorHAnsi"/>
                <w:sz w:val="22"/>
                <w:szCs w:val="22"/>
                <w:lang w:val="en-US"/>
              </w:rPr>
              <w:t xml:space="preserve"> </w:t>
            </w:r>
          </w:p>
          <w:p w14:paraId="6648EFEB" w14:textId="77777777" w:rsidR="00295C6D" w:rsidRPr="00A5626D" w:rsidRDefault="00295C6D" w:rsidP="00E31AE6">
            <w:pPr>
              <w:ind w:left="284"/>
              <w:rPr>
                <w:rFonts w:ascii="Garamond" w:hAnsi="Garamond" w:cstheme="minorHAnsi"/>
                <w:sz w:val="22"/>
                <w:szCs w:val="22"/>
                <w:lang w:val="en-US"/>
              </w:rPr>
            </w:pPr>
            <w:r w:rsidRPr="00A5626D">
              <w:rPr>
                <w:rStyle w:val="m1"/>
                <w:rFonts w:ascii="Garamond" w:hAnsi="Garamond" w:cstheme="minorHAnsi"/>
                <w:color w:val="auto"/>
                <w:sz w:val="22"/>
                <w:szCs w:val="22"/>
                <w:lang w:val="en-US"/>
              </w:rPr>
              <w:t>&lt;</w:t>
            </w:r>
            <w:r w:rsidRPr="00A5626D">
              <w:rPr>
                <w:rStyle w:val="t1"/>
                <w:rFonts w:ascii="Garamond" w:hAnsi="Garamond" w:cstheme="minorHAnsi"/>
                <w:color w:val="auto"/>
                <w:sz w:val="22"/>
                <w:szCs w:val="22"/>
                <w:lang w:val="en-US"/>
              </w:rPr>
              <w:t>received</w:t>
            </w:r>
            <w:r w:rsidRPr="00A5626D">
              <w:rPr>
                <w:rStyle w:val="m1"/>
                <w:rFonts w:ascii="Garamond" w:hAnsi="Garamond" w:cstheme="minorHAnsi"/>
                <w:color w:val="auto"/>
                <w:sz w:val="22"/>
                <w:szCs w:val="22"/>
                <w:lang w:val="en-US"/>
              </w:rPr>
              <w:t>&gt;</w:t>
            </w:r>
            <w:r w:rsidRPr="00A5626D">
              <w:rPr>
                <w:rStyle w:val="tx1"/>
                <w:rFonts w:ascii="Garamond" w:hAnsi="Garamond" w:cstheme="minorHAnsi"/>
                <w:sz w:val="22"/>
                <w:szCs w:val="22"/>
                <w:lang w:val="en-US"/>
              </w:rPr>
              <w:t>YYYYMMDD</w:t>
            </w:r>
            <w:r w:rsidRPr="00A5626D">
              <w:rPr>
                <w:rFonts w:ascii="Garamond" w:eastAsia="Calibri" w:hAnsi="Garamond" w:cstheme="minorHAnsi"/>
                <w:sz w:val="22"/>
                <w:szCs w:val="22"/>
                <w:lang w:val="en-US"/>
              </w:rPr>
              <w:t>hhmmss</w:t>
            </w:r>
            <w:r w:rsidRPr="00A5626D">
              <w:rPr>
                <w:rStyle w:val="m1"/>
                <w:rFonts w:ascii="Garamond" w:hAnsi="Garamond" w:cstheme="minorHAnsi"/>
                <w:color w:val="auto"/>
                <w:sz w:val="22"/>
                <w:szCs w:val="22"/>
                <w:lang w:val="en-US"/>
              </w:rPr>
              <w:t>&lt;/</w:t>
            </w:r>
            <w:r w:rsidRPr="00A5626D">
              <w:rPr>
                <w:rStyle w:val="t1"/>
                <w:rFonts w:ascii="Garamond" w:hAnsi="Garamond" w:cstheme="minorHAnsi"/>
                <w:color w:val="auto"/>
                <w:sz w:val="22"/>
                <w:szCs w:val="22"/>
                <w:lang w:val="en-US"/>
              </w:rPr>
              <w:t>received</w:t>
            </w:r>
            <w:r w:rsidRPr="00A5626D">
              <w:rPr>
                <w:rStyle w:val="m1"/>
                <w:rFonts w:ascii="Garamond" w:hAnsi="Garamond" w:cstheme="minorHAnsi"/>
                <w:color w:val="auto"/>
                <w:sz w:val="22"/>
                <w:szCs w:val="22"/>
                <w:lang w:val="en-US"/>
              </w:rPr>
              <w:t>&gt;</w:t>
            </w:r>
            <w:r w:rsidRPr="00A5626D">
              <w:rPr>
                <w:rFonts w:ascii="Garamond" w:hAnsi="Garamond" w:cstheme="minorHAnsi"/>
                <w:sz w:val="22"/>
                <w:szCs w:val="22"/>
                <w:lang w:val="en-US"/>
              </w:rPr>
              <w:t xml:space="preserve"> </w:t>
            </w:r>
          </w:p>
          <w:p w14:paraId="1729033C" w14:textId="77777777" w:rsidR="00295C6D" w:rsidRPr="00A5626D" w:rsidRDefault="00295C6D" w:rsidP="00E31AE6">
            <w:pPr>
              <w:rPr>
                <w:rFonts w:ascii="Garamond" w:hAnsi="Garamond" w:cstheme="minorHAnsi"/>
                <w:sz w:val="22"/>
                <w:szCs w:val="22"/>
                <w:lang w:val="en-US"/>
              </w:rPr>
            </w:pPr>
            <w:r w:rsidRPr="00A5626D">
              <w:rPr>
                <w:rStyle w:val="m1"/>
                <w:rFonts w:ascii="Garamond" w:hAnsi="Garamond" w:cstheme="minorHAnsi"/>
                <w:color w:val="auto"/>
                <w:sz w:val="22"/>
                <w:szCs w:val="22"/>
                <w:lang w:val="en-US"/>
              </w:rPr>
              <w:t>&lt;/</w:t>
            </w:r>
            <w:r w:rsidRPr="00A5626D">
              <w:rPr>
                <w:rStyle w:val="t1"/>
                <w:rFonts w:ascii="Garamond" w:hAnsi="Garamond" w:cstheme="minorHAnsi"/>
                <w:color w:val="auto"/>
                <w:sz w:val="22"/>
                <w:szCs w:val="22"/>
                <w:lang w:val="en-US"/>
              </w:rPr>
              <w:t>file</w:t>
            </w:r>
            <w:r w:rsidRPr="00A5626D">
              <w:rPr>
                <w:rStyle w:val="m1"/>
                <w:rFonts w:ascii="Garamond" w:hAnsi="Garamond" w:cstheme="minorHAnsi"/>
                <w:color w:val="auto"/>
                <w:sz w:val="22"/>
                <w:szCs w:val="22"/>
                <w:lang w:val="en-US"/>
              </w:rPr>
              <w:t>&gt;</w:t>
            </w:r>
          </w:p>
          <w:p w14:paraId="1B6DC7C0" w14:textId="77777777" w:rsidR="00295C6D" w:rsidRPr="00A5626D" w:rsidRDefault="00295C6D" w:rsidP="00E31AE6">
            <w:pPr>
              <w:tabs>
                <w:tab w:val="left" w:pos="567"/>
              </w:tabs>
              <w:rPr>
                <w:rFonts w:ascii="Garamond" w:eastAsia="Calibri" w:hAnsi="Garamond" w:cstheme="minorHAnsi"/>
                <w:sz w:val="22"/>
                <w:szCs w:val="22"/>
                <w:lang w:val="en-US"/>
              </w:rPr>
            </w:pPr>
            <w:r w:rsidRPr="00A5626D">
              <w:rPr>
                <w:rStyle w:val="m1"/>
                <w:rFonts w:ascii="Garamond" w:hAnsi="Garamond" w:cstheme="minorHAnsi"/>
                <w:color w:val="auto"/>
                <w:sz w:val="22"/>
                <w:szCs w:val="22"/>
                <w:lang w:val="en-US"/>
              </w:rPr>
              <w:t>&lt;</w:t>
            </w:r>
            <w:r w:rsidRPr="00A5626D">
              <w:rPr>
                <w:rStyle w:val="t1"/>
                <w:rFonts w:ascii="Garamond" w:hAnsi="Garamond" w:cstheme="minorHAnsi"/>
                <w:color w:val="auto"/>
                <w:sz w:val="22"/>
                <w:szCs w:val="22"/>
                <w:lang w:val="en-US"/>
              </w:rPr>
              <w:t>reply</w:t>
            </w:r>
            <w:r w:rsidRPr="00A5626D">
              <w:rPr>
                <w:rFonts w:ascii="Garamond" w:hAnsi="Garamond" w:cstheme="minorHAnsi"/>
                <w:sz w:val="22"/>
                <w:szCs w:val="22"/>
                <w:lang w:val="en-US"/>
              </w:rPr>
              <w:t xml:space="preserve"> </w:t>
            </w:r>
            <w:r w:rsidRPr="00A5626D">
              <w:rPr>
                <w:rStyle w:val="t1"/>
                <w:rFonts w:ascii="Garamond" w:hAnsi="Garamond" w:cstheme="minorHAnsi"/>
                <w:color w:val="auto"/>
                <w:sz w:val="22"/>
                <w:szCs w:val="22"/>
                <w:lang w:val="en-US"/>
              </w:rPr>
              <w:t>filestatus</w:t>
            </w:r>
            <w:r w:rsidRPr="00A5626D">
              <w:rPr>
                <w:rStyle w:val="m1"/>
                <w:rFonts w:ascii="Garamond" w:hAnsi="Garamond" w:cstheme="minorHAnsi"/>
                <w:color w:val="auto"/>
                <w:sz w:val="22"/>
                <w:szCs w:val="22"/>
                <w:lang w:val="en-US"/>
              </w:rPr>
              <w:t>="</w:t>
            </w:r>
            <w:r w:rsidRPr="00A5626D">
              <w:rPr>
                <w:rFonts w:ascii="Garamond" w:eastAsia="Calibri" w:hAnsi="Garamond" w:cstheme="minorHAnsi"/>
                <w:sz w:val="22"/>
                <w:szCs w:val="22"/>
                <w:lang w:val="en-US"/>
              </w:rPr>
              <w:t xml:space="preserve">3n" desc="50x"&gt; </w:t>
            </w:r>
          </w:p>
          <w:p w14:paraId="5D94D801" w14:textId="77777777" w:rsidR="00295C6D" w:rsidRPr="00A5626D" w:rsidRDefault="00295C6D" w:rsidP="00E31AE6">
            <w:pPr>
              <w:tabs>
                <w:tab w:val="left" w:pos="567"/>
              </w:tabs>
              <w:ind w:firstLine="318"/>
              <w:rPr>
                <w:rFonts w:ascii="Garamond" w:eastAsia="Calibri" w:hAnsi="Garamond" w:cstheme="minorHAnsi"/>
                <w:sz w:val="22"/>
                <w:szCs w:val="22"/>
                <w:lang w:val="es-ES"/>
              </w:rPr>
            </w:pPr>
            <w:r w:rsidRPr="00A5626D">
              <w:rPr>
                <w:rFonts w:ascii="Garamond" w:eastAsia="Calibri" w:hAnsi="Garamond" w:cstheme="minorHAnsi"/>
                <w:sz w:val="22"/>
                <w:szCs w:val="22"/>
                <w:lang w:val="es-ES"/>
              </w:rPr>
              <w:t>&lt;error&gt;![ CDATA[250x]]&lt;/error&gt;</w:t>
            </w:r>
          </w:p>
          <w:p w14:paraId="322F949A" w14:textId="77777777" w:rsidR="00295C6D" w:rsidRPr="00A5626D" w:rsidRDefault="00295C6D" w:rsidP="00E31AE6">
            <w:pPr>
              <w:tabs>
                <w:tab w:val="left" w:pos="567"/>
              </w:tabs>
              <w:rPr>
                <w:rFonts w:ascii="Garamond" w:eastAsia="Calibri" w:hAnsi="Garamond" w:cstheme="minorHAnsi"/>
                <w:sz w:val="22"/>
                <w:szCs w:val="22"/>
                <w:lang w:val="es-ES"/>
              </w:rPr>
            </w:pPr>
            <w:r w:rsidRPr="00A5626D">
              <w:rPr>
                <w:rFonts w:ascii="Garamond" w:eastAsia="Calibri" w:hAnsi="Garamond" w:cstheme="minorHAnsi"/>
                <w:sz w:val="22"/>
                <w:szCs w:val="22"/>
                <w:lang w:val="es-ES"/>
              </w:rPr>
              <w:t>&lt;/reply&gt;</w:t>
            </w:r>
          </w:p>
          <w:p w14:paraId="6664A38C" w14:textId="77777777" w:rsidR="00295C6D" w:rsidRPr="00A5626D" w:rsidRDefault="00295C6D" w:rsidP="00E31AE6">
            <w:pPr>
              <w:tabs>
                <w:tab w:val="left" w:pos="567"/>
              </w:tabs>
              <w:rPr>
                <w:rFonts w:ascii="Garamond" w:eastAsia="Calibri" w:hAnsi="Garamond" w:cstheme="minorHAnsi"/>
                <w:sz w:val="22"/>
                <w:szCs w:val="22"/>
                <w:lang w:val="en-US"/>
              </w:rPr>
            </w:pPr>
            <w:r w:rsidRPr="00A5626D">
              <w:rPr>
                <w:rFonts w:ascii="Garamond" w:eastAsia="Calibri" w:hAnsi="Garamond" w:cstheme="minorHAnsi"/>
                <w:sz w:val="22"/>
                <w:szCs w:val="22"/>
                <w:lang w:val="en-US"/>
              </w:rPr>
              <w:t>&lt;information-60000 delivery-points="5n"&gt;</w:t>
            </w:r>
          </w:p>
          <w:p w14:paraId="3DE31644" w14:textId="77777777" w:rsidR="00295C6D" w:rsidRPr="00A5626D" w:rsidRDefault="00295C6D" w:rsidP="00E31AE6">
            <w:pPr>
              <w:tabs>
                <w:tab w:val="left" w:pos="567"/>
              </w:tabs>
              <w:ind w:firstLine="318"/>
              <w:rPr>
                <w:rFonts w:ascii="Garamond" w:eastAsia="Calibri" w:hAnsi="Garamond" w:cstheme="minorHAnsi"/>
                <w:sz w:val="22"/>
                <w:szCs w:val="22"/>
                <w:lang w:val="en-US"/>
              </w:rPr>
            </w:pPr>
            <w:r w:rsidRPr="00A5626D">
              <w:rPr>
                <w:rFonts w:ascii="Garamond" w:eastAsia="Calibri" w:hAnsi="Garamond" w:cstheme="minorHAnsi"/>
                <w:sz w:val="22"/>
                <w:szCs w:val="22"/>
                <w:lang w:val="en-US"/>
              </w:rPr>
              <w:t>&lt;generation code="8x" name="512x"/&gt;</w:t>
            </w:r>
          </w:p>
          <w:p w14:paraId="4BD9F177" w14:textId="25DA8F44" w:rsidR="00295C6D" w:rsidRPr="00A5626D" w:rsidRDefault="00295C6D" w:rsidP="00E31AE6">
            <w:pPr>
              <w:tabs>
                <w:tab w:val="left" w:pos="567"/>
              </w:tabs>
              <w:ind w:firstLine="318"/>
              <w:rPr>
                <w:rFonts w:ascii="Garamond" w:eastAsia="Calibri" w:hAnsi="Garamond" w:cstheme="minorHAnsi"/>
                <w:sz w:val="22"/>
                <w:szCs w:val="22"/>
                <w:lang w:val="en-US"/>
              </w:rPr>
            </w:pPr>
            <w:r w:rsidRPr="00A5626D">
              <w:rPr>
                <w:rStyle w:val="m1"/>
                <w:rFonts w:ascii="Garamond" w:hAnsi="Garamond"/>
                <w:color w:val="auto"/>
                <w:sz w:val="22"/>
                <w:szCs w:val="22"/>
                <w:highlight w:val="yellow"/>
                <w:lang w:val="en-US"/>
              </w:rPr>
              <w:t xml:space="preserve">&lt;regulation-object </w:t>
            </w:r>
            <w:r w:rsidRPr="00A5626D">
              <w:rPr>
                <w:rStyle w:val="t1"/>
                <w:rFonts w:ascii="Garamond" w:hAnsi="Garamond"/>
                <w:color w:val="auto"/>
                <w:sz w:val="22"/>
                <w:szCs w:val="22"/>
                <w:highlight w:val="yellow"/>
                <w:lang w:val="en-US"/>
              </w:rPr>
              <w:t>code</w:t>
            </w:r>
            <w:r w:rsidRPr="00A5626D">
              <w:rPr>
                <w:rStyle w:val="m1"/>
                <w:rFonts w:ascii="Garamond" w:hAnsi="Garamond"/>
                <w:color w:val="auto"/>
                <w:sz w:val="22"/>
                <w:szCs w:val="22"/>
                <w:highlight w:val="yellow"/>
                <w:lang w:val="en-US"/>
              </w:rPr>
              <w:t>="</w:t>
            </w:r>
            <w:r w:rsidRPr="00A5626D">
              <w:rPr>
                <w:rFonts w:ascii="Garamond" w:hAnsi="Garamond"/>
                <w:bCs/>
                <w:sz w:val="22"/>
                <w:szCs w:val="22"/>
                <w:highlight w:val="yellow"/>
                <w:lang w:val="en-US"/>
              </w:rPr>
              <w:t>8x</w:t>
            </w:r>
            <w:r w:rsidRPr="00A5626D">
              <w:rPr>
                <w:rStyle w:val="m1"/>
                <w:rFonts w:ascii="Garamond" w:hAnsi="Garamond"/>
                <w:color w:val="auto"/>
                <w:sz w:val="22"/>
                <w:szCs w:val="22"/>
                <w:highlight w:val="yellow"/>
                <w:lang w:val="en-US"/>
              </w:rPr>
              <w:t xml:space="preserve">" </w:t>
            </w:r>
            <w:r w:rsidRPr="00A5626D">
              <w:rPr>
                <w:rStyle w:val="t1"/>
                <w:rFonts w:ascii="Garamond" w:hAnsi="Garamond"/>
                <w:color w:val="auto"/>
                <w:sz w:val="22"/>
                <w:szCs w:val="22"/>
                <w:highlight w:val="yellow"/>
                <w:lang w:val="en-US"/>
              </w:rPr>
              <w:t>name</w:t>
            </w:r>
            <w:r w:rsidRPr="00A5626D">
              <w:rPr>
                <w:rStyle w:val="m1"/>
                <w:rFonts w:ascii="Garamond" w:hAnsi="Garamond"/>
                <w:color w:val="auto"/>
                <w:sz w:val="22"/>
                <w:szCs w:val="22"/>
                <w:highlight w:val="yellow"/>
                <w:lang w:val="en-US"/>
              </w:rPr>
              <w:t>="</w:t>
            </w:r>
            <w:r w:rsidRPr="00A5626D">
              <w:rPr>
                <w:rFonts w:ascii="Garamond" w:hAnsi="Garamond"/>
                <w:bCs/>
                <w:sz w:val="22"/>
                <w:szCs w:val="22"/>
                <w:highlight w:val="yellow"/>
                <w:lang w:val="en-US"/>
              </w:rPr>
              <w:t>512x</w:t>
            </w:r>
            <w:r w:rsidRPr="00A5626D">
              <w:rPr>
                <w:rStyle w:val="m1"/>
                <w:rFonts w:ascii="Garamond" w:hAnsi="Garamond"/>
                <w:color w:val="auto"/>
                <w:sz w:val="22"/>
                <w:szCs w:val="22"/>
                <w:highlight w:val="yellow"/>
                <w:lang w:val="en-US"/>
              </w:rPr>
              <w:t>" trader-code="</w:t>
            </w:r>
            <w:r w:rsidRPr="00A5626D">
              <w:rPr>
                <w:rFonts w:ascii="Garamond" w:hAnsi="Garamond"/>
                <w:bCs/>
                <w:sz w:val="22"/>
                <w:szCs w:val="22"/>
                <w:highlight w:val="yellow"/>
                <w:lang w:val="en-US"/>
              </w:rPr>
              <w:t>8x</w:t>
            </w:r>
            <w:r w:rsidRPr="00A5626D">
              <w:rPr>
                <w:rStyle w:val="m1"/>
                <w:rFonts w:ascii="Garamond" w:hAnsi="Garamond"/>
                <w:color w:val="auto"/>
                <w:sz w:val="22"/>
                <w:szCs w:val="22"/>
                <w:highlight w:val="yellow"/>
                <w:lang w:val="en-US"/>
              </w:rPr>
              <w:t xml:space="preserve"> " gtp-owner-trader-code="</w:t>
            </w:r>
            <w:r w:rsidRPr="00A5626D">
              <w:rPr>
                <w:rFonts w:ascii="Garamond" w:hAnsi="Garamond"/>
                <w:bCs/>
                <w:sz w:val="22"/>
                <w:szCs w:val="22"/>
                <w:highlight w:val="yellow"/>
                <w:lang w:val="en-US"/>
              </w:rPr>
              <w:t>8x</w:t>
            </w:r>
            <w:r w:rsidRPr="00A5626D">
              <w:rPr>
                <w:rStyle w:val="m1"/>
                <w:rFonts w:ascii="Garamond" w:hAnsi="Garamond"/>
                <w:color w:val="auto"/>
                <w:sz w:val="22"/>
                <w:szCs w:val="22"/>
                <w:highlight w:val="yellow"/>
                <w:lang w:val="en-US"/>
              </w:rPr>
              <w:t>”</w:t>
            </w:r>
            <w:r w:rsidR="009B5F03" w:rsidRPr="00A5626D">
              <w:rPr>
                <w:rStyle w:val="m1"/>
                <w:rFonts w:ascii="Garamond" w:hAnsi="Garamond"/>
                <w:color w:val="auto"/>
                <w:sz w:val="22"/>
                <w:szCs w:val="22"/>
                <w:highlight w:val="yellow"/>
                <w:lang w:val="en-US"/>
              </w:rPr>
              <w:t xml:space="preserve"> </w:t>
            </w:r>
            <w:r w:rsidRPr="00A5626D">
              <w:rPr>
                <w:rStyle w:val="m1"/>
                <w:rFonts w:ascii="Garamond" w:hAnsi="Garamond"/>
                <w:color w:val="auto"/>
                <w:sz w:val="22"/>
                <w:szCs w:val="22"/>
                <w:highlight w:val="yellow"/>
                <w:lang w:val="en-US"/>
              </w:rPr>
              <w:t>measuring-points-in-aiis="5</w:t>
            </w:r>
            <w:r w:rsidRPr="00A5626D">
              <w:rPr>
                <w:rFonts w:ascii="Garamond" w:hAnsi="Garamond"/>
                <w:bCs/>
                <w:sz w:val="22"/>
                <w:szCs w:val="22"/>
                <w:highlight w:val="yellow"/>
                <w:lang w:val="en-US"/>
              </w:rPr>
              <w:t>n</w:t>
            </w:r>
            <w:r w:rsidRPr="00A5626D">
              <w:rPr>
                <w:rStyle w:val="m1"/>
                <w:rFonts w:ascii="Garamond" w:hAnsi="Garamond"/>
                <w:color w:val="auto"/>
                <w:sz w:val="22"/>
                <w:szCs w:val="22"/>
                <w:highlight w:val="yellow"/>
                <w:lang w:val="en-US"/>
              </w:rPr>
              <w:t xml:space="preserve"> " measuring-devices-in-aiis="5</w:t>
            </w:r>
            <w:r w:rsidRPr="00A5626D">
              <w:rPr>
                <w:rFonts w:ascii="Garamond" w:hAnsi="Garamond"/>
                <w:bCs/>
                <w:sz w:val="22"/>
                <w:szCs w:val="22"/>
                <w:highlight w:val="yellow"/>
                <w:lang w:val="en-US"/>
              </w:rPr>
              <w:t>n</w:t>
            </w:r>
            <w:r w:rsidRPr="00A5626D">
              <w:rPr>
                <w:rStyle w:val="m1"/>
                <w:rFonts w:ascii="Garamond" w:hAnsi="Garamond"/>
                <w:color w:val="auto"/>
                <w:sz w:val="22"/>
                <w:szCs w:val="22"/>
                <w:highlight w:val="yellow"/>
                <w:lang w:val="en-US"/>
              </w:rPr>
              <w:t xml:space="preserve"> " </w:t>
            </w:r>
            <w:r w:rsidRPr="00A5626D">
              <w:rPr>
                <w:rFonts w:ascii="Garamond" w:eastAsiaTheme="minorEastAsia" w:hAnsi="Garamond"/>
                <w:sz w:val="22"/>
                <w:szCs w:val="22"/>
                <w:highlight w:val="yellow"/>
                <w:lang w:val="en-US" w:eastAsia="en-US"/>
              </w:rPr>
              <w:t>min-certificate-expiration-date</w:t>
            </w:r>
            <w:r w:rsidRPr="00A5626D">
              <w:rPr>
                <w:rStyle w:val="m1"/>
                <w:rFonts w:ascii="Garamond" w:hAnsi="Garamond"/>
                <w:color w:val="auto"/>
                <w:sz w:val="22"/>
                <w:szCs w:val="22"/>
                <w:highlight w:val="yellow"/>
                <w:lang w:val="en-US"/>
              </w:rPr>
              <w:t>="YYYYMMDD"/&gt;</w:t>
            </w:r>
          </w:p>
          <w:p w14:paraId="03113601" w14:textId="77777777" w:rsidR="00295C6D" w:rsidRPr="00A5626D" w:rsidRDefault="00295C6D" w:rsidP="00E31AE6">
            <w:pPr>
              <w:tabs>
                <w:tab w:val="left" w:pos="567"/>
              </w:tabs>
              <w:rPr>
                <w:rFonts w:ascii="Garamond" w:eastAsia="Calibri" w:hAnsi="Garamond" w:cstheme="minorHAnsi"/>
                <w:sz w:val="22"/>
                <w:szCs w:val="22"/>
                <w:lang w:val="en-US"/>
              </w:rPr>
            </w:pPr>
            <w:r w:rsidRPr="00A5626D">
              <w:rPr>
                <w:rFonts w:ascii="Garamond" w:eastAsia="Calibri" w:hAnsi="Garamond" w:cstheme="minorHAnsi"/>
                <w:sz w:val="22"/>
                <w:szCs w:val="22"/>
                <w:lang w:val="en-US"/>
              </w:rPr>
              <w:t>&lt;peretok code-from="8x" code-to="8x" name="512x"/&gt;</w:t>
            </w:r>
          </w:p>
          <w:p w14:paraId="46517AB0" w14:textId="77777777" w:rsidR="00295C6D" w:rsidRPr="00A5626D" w:rsidRDefault="00295C6D" w:rsidP="00E31AE6">
            <w:pPr>
              <w:tabs>
                <w:tab w:val="left" w:pos="567"/>
              </w:tabs>
              <w:ind w:firstLine="318"/>
              <w:rPr>
                <w:rFonts w:ascii="Garamond" w:eastAsia="Calibri" w:hAnsi="Garamond" w:cstheme="minorHAnsi"/>
                <w:sz w:val="22"/>
                <w:szCs w:val="22"/>
                <w:lang w:val="en-US"/>
              </w:rPr>
            </w:pPr>
            <w:r w:rsidRPr="00A5626D">
              <w:rPr>
                <w:rFonts w:ascii="Garamond" w:eastAsia="Calibri" w:hAnsi="Garamond" w:cstheme="minorHAnsi"/>
                <w:sz w:val="22"/>
                <w:szCs w:val="22"/>
                <w:lang w:val="en-US"/>
              </w:rPr>
              <w:t xml:space="preserve">&lt;gtpp code="8x" trader-code="8x" measuring-points-in-aiis="5n" small-measuring-points="5n" measuring-devices-in-aiis="5n" small-measuring-devices="5n" </w:t>
            </w:r>
            <w:r w:rsidRPr="00A5626D">
              <w:rPr>
                <w:rFonts w:ascii="Garamond" w:hAnsi="Garamond"/>
                <w:sz w:val="22"/>
                <w:szCs w:val="22"/>
                <w:lang w:val="en-US"/>
              </w:rPr>
              <w:t>small-delivery-points-all</w:t>
            </w:r>
            <w:r w:rsidRPr="00A5626D">
              <w:rPr>
                <w:rFonts w:ascii="Garamond" w:eastAsia="Calibri" w:hAnsi="Garamond"/>
                <w:sz w:val="22"/>
                <w:szCs w:val="22"/>
                <w:lang w:val="en-US"/>
              </w:rPr>
              <w:t xml:space="preserve">="5n" </w:t>
            </w:r>
            <w:r w:rsidRPr="00A5626D">
              <w:rPr>
                <w:rFonts w:ascii="Garamond" w:hAnsi="Garamond"/>
                <w:sz w:val="22"/>
                <w:szCs w:val="22"/>
                <w:lang w:val="en-US"/>
              </w:rPr>
              <w:t>small-delivery-points-new</w:t>
            </w:r>
            <w:r w:rsidRPr="00A5626D">
              <w:rPr>
                <w:rFonts w:ascii="Garamond" w:eastAsia="Calibri" w:hAnsi="Garamond"/>
                <w:sz w:val="22"/>
                <w:szCs w:val="22"/>
                <w:lang w:val="en-US"/>
              </w:rPr>
              <w:t>="5n"</w:t>
            </w:r>
            <w:r w:rsidRPr="00A5626D">
              <w:rPr>
                <w:rFonts w:ascii="Garamond" w:eastAsia="Calibri" w:hAnsi="Garamond" w:cstheme="minorHAnsi"/>
                <w:sz w:val="22"/>
                <w:szCs w:val="22"/>
                <w:lang w:val="en-US"/>
              </w:rPr>
              <w:t>/&gt;</w:t>
            </w:r>
          </w:p>
          <w:p w14:paraId="3EDC7FDE" w14:textId="77777777" w:rsidR="00295C6D" w:rsidRPr="00A5626D" w:rsidRDefault="00295C6D" w:rsidP="00E31AE6">
            <w:pPr>
              <w:rPr>
                <w:rFonts w:ascii="Garamond" w:hAnsi="Garamond" w:cstheme="minorHAnsi"/>
                <w:sz w:val="22"/>
                <w:szCs w:val="22"/>
              </w:rPr>
            </w:pPr>
            <w:r w:rsidRPr="00A5626D">
              <w:rPr>
                <w:rFonts w:ascii="Garamond" w:eastAsia="Calibri" w:hAnsi="Garamond" w:cstheme="minorHAnsi"/>
                <w:sz w:val="22"/>
                <w:szCs w:val="22"/>
              </w:rPr>
              <w:t>&lt;/information-60000&gt;</w:t>
            </w:r>
          </w:p>
          <w:p w14:paraId="365FEACD" w14:textId="31D6D871" w:rsidR="00295C6D" w:rsidRPr="00794ED1" w:rsidRDefault="00295C6D" w:rsidP="00E31AE6">
            <w:pPr>
              <w:rPr>
                <w:rFonts w:ascii="Garamond" w:hAnsi="Garamond" w:cstheme="minorHAnsi"/>
                <w:sz w:val="22"/>
                <w:szCs w:val="22"/>
              </w:rPr>
            </w:pPr>
            <w:r w:rsidRPr="00A5626D">
              <w:rPr>
                <w:rStyle w:val="m1"/>
                <w:rFonts w:ascii="Garamond" w:hAnsi="Garamond" w:cstheme="minorHAnsi"/>
                <w:color w:val="auto"/>
                <w:sz w:val="22"/>
                <w:szCs w:val="22"/>
              </w:rPr>
              <w:t>&lt;/</w:t>
            </w:r>
            <w:r w:rsidRPr="00A5626D">
              <w:rPr>
                <w:rStyle w:val="t1"/>
                <w:rFonts w:ascii="Garamond" w:hAnsi="Garamond" w:cstheme="minorHAnsi"/>
                <w:color w:val="auto"/>
                <w:sz w:val="22"/>
                <w:szCs w:val="22"/>
                <w:lang w:val="en-US"/>
              </w:rPr>
              <w:t>message</w:t>
            </w:r>
            <w:r w:rsidRPr="00A5626D">
              <w:rPr>
                <w:rStyle w:val="m1"/>
                <w:rFonts w:ascii="Garamond" w:hAnsi="Garamond" w:cstheme="minorHAnsi"/>
                <w:color w:val="auto"/>
                <w:sz w:val="22"/>
                <w:szCs w:val="22"/>
              </w:rPr>
              <w:t>&gt;</w:t>
            </w:r>
          </w:p>
        </w:tc>
      </w:tr>
      <w:tr w:rsidR="00295C6D" w:rsidRPr="00A5626D" w14:paraId="5F72C044" w14:textId="77777777" w:rsidTr="00647FA0">
        <w:tc>
          <w:tcPr>
            <w:tcW w:w="1060" w:type="dxa"/>
            <w:vAlign w:val="center"/>
          </w:tcPr>
          <w:p w14:paraId="099DE7BF" w14:textId="58C47ADB" w:rsidR="00295C6D" w:rsidRPr="00A5626D" w:rsidRDefault="00295C6D" w:rsidP="00E31AE6">
            <w:pPr>
              <w:numPr>
                <w:ilvl w:val="1"/>
                <w:numId w:val="0"/>
              </w:numPr>
              <w:tabs>
                <w:tab w:val="left" w:pos="1134"/>
                <w:tab w:val="left" w:pos="7938"/>
              </w:tabs>
              <w:rPr>
                <w:rFonts w:ascii="Garamond" w:hAnsi="Garamond"/>
                <w:b/>
                <w:sz w:val="22"/>
                <w:szCs w:val="22"/>
                <w:lang w:eastAsia="en-US"/>
              </w:rPr>
            </w:pPr>
            <w:r w:rsidRPr="00A5626D">
              <w:rPr>
                <w:rFonts w:ascii="Garamond" w:hAnsi="Garamond"/>
                <w:b/>
                <w:sz w:val="22"/>
                <w:szCs w:val="22"/>
                <w:lang w:eastAsia="en-US"/>
              </w:rPr>
              <w:t>Приложение 5, п.</w:t>
            </w:r>
            <w:r w:rsidR="00647FA0" w:rsidRPr="00A5626D">
              <w:rPr>
                <w:rFonts w:ascii="Garamond" w:hAnsi="Garamond"/>
                <w:b/>
                <w:sz w:val="22"/>
                <w:szCs w:val="22"/>
                <w:lang w:eastAsia="en-US"/>
              </w:rPr>
              <w:t xml:space="preserve"> </w:t>
            </w:r>
            <w:r w:rsidRPr="00A5626D">
              <w:rPr>
                <w:rFonts w:ascii="Garamond" w:hAnsi="Garamond"/>
                <w:b/>
                <w:sz w:val="22"/>
                <w:szCs w:val="22"/>
                <w:lang w:eastAsia="en-US"/>
              </w:rPr>
              <w:t>6.2</w:t>
            </w:r>
          </w:p>
        </w:tc>
        <w:tc>
          <w:tcPr>
            <w:tcW w:w="6662" w:type="dxa"/>
          </w:tcPr>
          <w:p w14:paraId="09D03865" w14:textId="77777777" w:rsidR="00295C6D" w:rsidRPr="00A5626D" w:rsidRDefault="00295C6D" w:rsidP="00E31AE6">
            <w:pPr>
              <w:rPr>
                <w:rFonts w:ascii="Garamond" w:eastAsia="Calibri" w:hAnsi="Garamond" w:cstheme="minorHAnsi"/>
                <w:b/>
                <w:sz w:val="22"/>
                <w:szCs w:val="22"/>
                <w:lang w:val="en-US"/>
              </w:rPr>
            </w:pPr>
            <w:r w:rsidRPr="00A5626D">
              <w:rPr>
                <w:rFonts w:ascii="Garamond" w:eastAsia="Calibri" w:hAnsi="Garamond" w:cstheme="minorHAnsi"/>
                <w:b/>
                <w:sz w:val="22"/>
                <w:szCs w:val="22"/>
              </w:rPr>
              <w:t>Макет</w:t>
            </w:r>
            <w:r w:rsidRPr="00A5626D">
              <w:rPr>
                <w:rFonts w:ascii="Garamond" w:eastAsia="Calibri" w:hAnsi="Garamond" w:cstheme="minorHAnsi"/>
                <w:b/>
                <w:sz w:val="22"/>
                <w:szCs w:val="22"/>
                <w:lang w:val="en-US"/>
              </w:rPr>
              <w:t xml:space="preserve"> 60001</w:t>
            </w:r>
          </w:p>
          <w:p w14:paraId="14104267" w14:textId="77777777" w:rsidR="00295C6D" w:rsidRPr="00A5626D" w:rsidRDefault="00295C6D" w:rsidP="00E31AE6">
            <w:pPr>
              <w:rPr>
                <w:rFonts w:ascii="Garamond" w:eastAsia="Calibri" w:hAnsi="Garamond" w:cstheme="minorHAnsi"/>
                <w:b/>
                <w:sz w:val="22"/>
                <w:szCs w:val="22"/>
                <w:lang w:val="en-US"/>
              </w:rPr>
            </w:pPr>
          </w:p>
          <w:p w14:paraId="4ED01660" w14:textId="77777777" w:rsidR="00295C6D" w:rsidRPr="00A5626D" w:rsidRDefault="00295C6D" w:rsidP="00E31AE6">
            <w:pPr>
              <w:rPr>
                <w:rFonts w:ascii="Garamond" w:hAnsi="Garamond" w:cstheme="minorHAnsi"/>
                <w:sz w:val="22"/>
                <w:szCs w:val="22"/>
                <w:lang w:val="en-US"/>
              </w:rPr>
            </w:pPr>
            <w:r w:rsidRPr="00A5626D">
              <w:rPr>
                <w:rFonts w:ascii="Garamond" w:hAnsi="Garamond" w:cstheme="minorHAnsi"/>
                <w:sz w:val="22"/>
                <w:szCs w:val="22"/>
                <w:lang w:val="en-US"/>
              </w:rPr>
              <w:t>&lt;?xml version="1.0" encoding="windows-1251"?&gt;</w:t>
            </w:r>
          </w:p>
          <w:p w14:paraId="1FF73A1E" w14:textId="77777777" w:rsidR="00295C6D" w:rsidRPr="00A5626D" w:rsidRDefault="00295C6D" w:rsidP="00E31AE6">
            <w:pPr>
              <w:rPr>
                <w:rFonts w:ascii="Garamond" w:hAnsi="Garamond" w:cstheme="minorHAnsi"/>
                <w:sz w:val="22"/>
                <w:szCs w:val="22"/>
                <w:lang w:val="en-US"/>
              </w:rPr>
            </w:pPr>
            <w:r w:rsidRPr="00A5626D">
              <w:rPr>
                <w:rFonts w:ascii="Garamond" w:hAnsi="Garamond" w:cstheme="minorHAnsi"/>
                <w:sz w:val="22"/>
                <w:szCs w:val="22"/>
                <w:lang w:val="en-US"/>
              </w:rPr>
              <w:t>&lt;message class="60001" version="3" datetime="20180831105800"&gt;</w:t>
            </w:r>
          </w:p>
          <w:p w14:paraId="6A7D512F" w14:textId="77777777" w:rsidR="00295C6D" w:rsidRPr="00A5626D" w:rsidRDefault="00295C6D" w:rsidP="00E31AE6">
            <w:pPr>
              <w:rPr>
                <w:rFonts w:ascii="Garamond" w:hAnsi="Garamond" w:cstheme="minorHAnsi"/>
                <w:sz w:val="22"/>
                <w:szCs w:val="22"/>
                <w:lang w:val="en-US"/>
              </w:rPr>
            </w:pPr>
            <w:r w:rsidRPr="00A5626D">
              <w:rPr>
                <w:rFonts w:ascii="Garamond" w:hAnsi="Garamond" w:cstheme="minorHAnsi"/>
                <w:sz w:val="22"/>
                <w:szCs w:val="22"/>
                <w:lang w:val="en-US"/>
              </w:rPr>
              <w:t>&lt;file&gt;</w:t>
            </w:r>
          </w:p>
          <w:p w14:paraId="64A0726E" w14:textId="77777777" w:rsidR="00295C6D" w:rsidRPr="00A5626D" w:rsidRDefault="00295C6D" w:rsidP="00E31AE6">
            <w:pPr>
              <w:rPr>
                <w:rFonts w:ascii="Garamond" w:hAnsi="Garamond" w:cstheme="minorHAnsi"/>
                <w:sz w:val="22"/>
                <w:szCs w:val="22"/>
              </w:rPr>
            </w:pPr>
            <w:r w:rsidRPr="00A5626D">
              <w:rPr>
                <w:rFonts w:ascii="Garamond" w:hAnsi="Garamond" w:cstheme="minorHAnsi"/>
                <w:sz w:val="22"/>
                <w:szCs w:val="22"/>
                <w:lang w:val="en-US"/>
              </w:rPr>
              <w:tab/>
            </w:r>
            <w:r w:rsidRPr="00A5626D">
              <w:rPr>
                <w:rFonts w:ascii="Garamond" w:hAnsi="Garamond" w:cstheme="minorHAnsi"/>
                <w:sz w:val="22"/>
                <w:szCs w:val="22"/>
              </w:rPr>
              <w:t>&lt;</w:t>
            </w:r>
            <w:r w:rsidRPr="00A5626D">
              <w:rPr>
                <w:rFonts w:ascii="Garamond" w:hAnsi="Garamond" w:cstheme="minorHAnsi"/>
                <w:sz w:val="22"/>
                <w:szCs w:val="22"/>
                <w:lang w:val="en-US"/>
              </w:rPr>
              <w:t>fromaddr</w:t>
            </w:r>
            <w:r w:rsidRPr="00A5626D">
              <w:rPr>
                <w:rFonts w:ascii="Garamond" w:hAnsi="Garamond" w:cstheme="minorHAnsi"/>
                <w:sz w:val="22"/>
                <w:szCs w:val="22"/>
              </w:rPr>
              <w:t>&gt;&lt;![</w:t>
            </w:r>
            <w:r w:rsidRPr="00A5626D">
              <w:rPr>
                <w:rFonts w:ascii="Garamond" w:hAnsi="Garamond" w:cstheme="minorHAnsi"/>
                <w:sz w:val="22"/>
                <w:szCs w:val="22"/>
                <w:lang w:val="en-US"/>
              </w:rPr>
              <w:t>CDATA</w:t>
            </w:r>
            <w:r w:rsidRPr="00A5626D">
              <w:rPr>
                <w:rFonts w:ascii="Garamond" w:hAnsi="Garamond" w:cstheme="minorHAnsi"/>
                <w:sz w:val="22"/>
                <w:szCs w:val="22"/>
              </w:rPr>
              <w:t>[Почтовый адрес отправителя]]&gt;&lt;/</w:t>
            </w:r>
            <w:r w:rsidRPr="00A5626D">
              <w:rPr>
                <w:rFonts w:ascii="Garamond" w:hAnsi="Garamond" w:cstheme="minorHAnsi"/>
                <w:sz w:val="22"/>
                <w:szCs w:val="22"/>
                <w:lang w:val="en-US"/>
              </w:rPr>
              <w:t>fromaddr</w:t>
            </w:r>
            <w:r w:rsidRPr="00A5626D">
              <w:rPr>
                <w:rFonts w:ascii="Garamond" w:hAnsi="Garamond" w:cstheme="minorHAnsi"/>
                <w:sz w:val="22"/>
                <w:szCs w:val="22"/>
              </w:rPr>
              <w:t>&gt;</w:t>
            </w:r>
          </w:p>
          <w:p w14:paraId="7A52D78D" w14:textId="77777777" w:rsidR="00295C6D" w:rsidRPr="00A5626D" w:rsidRDefault="00295C6D" w:rsidP="00E31AE6">
            <w:pPr>
              <w:rPr>
                <w:rFonts w:ascii="Garamond" w:hAnsi="Garamond" w:cstheme="minorHAnsi"/>
                <w:sz w:val="22"/>
                <w:szCs w:val="22"/>
                <w:lang w:val="en-US"/>
              </w:rPr>
            </w:pPr>
            <w:r w:rsidRPr="00A5626D">
              <w:rPr>
                <w:rFonts w:ascii="Garamond" w:hAnsi="Garamond" w:cstheme="minorHAnsi"/>
                <w:sz w:val="22"/>
                <w:szCs w:val="22"/>
              </w:rPr>
              <w:tab/>
            </w:r>
            <w:r w:rsidRPr="00A5626D">
              <w:rPr>
                <w:rFonts w:ascii="Garamond" w:hAnsi="Garamond" w:cstheme="minorHAnsi"/>
                <w:sz w:val="22"/>
                <w:szCs w:val="22"/>
                <w:lang w:val="en-US"/>
              </w:rPr>
              <w:t>&lt;name&gt;60000_6829010210_20180831095720_p1234561_p1234562.xml&lt;/name&gt;</w:t>
            </w:r>
          </w:p>
          <w:p w14:paraId="57242426" w14:textId="77777777" w:rsidR="00295C6D" w:rsidRPr="00A5626D" w:rsidRDefault="00295C6D" w:rsidP="00E31AE6">
            <w:pPr>
              <w:rPr>
                <w:rFonts w:ascii="Garamond" w:hAnsi="Garamond" w:cstheme="minorHAnsi"/>
                <w:sz w:val="22"/>
                <w:szCs w:val="22"/>
                <w:lang w:val="en-US"/>
              </w:rPr>
            </w:pPr>
            <w:r w:rsidRPr="00A5626D">
              <w:rPr>
                <w:rFonts w:ascii="Garamond" w:hAnsi="Garamond" w:cstheme="minorHAnsi"/>
                <w:sz w:val="22"/>
                <w:szCs w:val="22"/>
                <w:lang w:val="en-US"/>
              </w:rPr>
              <w:lastRenderedPageBreak/>
              <w:tab/>
              <w:t>&lt;sender&gt;1234567890&lt;/sender&gt;</w:t>
            </w:r>
          </w:p>
          <w:p w14:paraId="208B9D40" w14:textId="77777777" w:rsidR="00295C6D" w:rsidRPr="00A5626D" w:rsidRDefault="00295C6D" w:rsidP="00E31AE6">
            <w:pPr>
              <w:rPr>
                <w:rFonts w:ascii="Garamond" w:hAnsi="Garamond" w:cstheme="minorHAnsi"/>
                <w:sz w:val="22"/>
                <w:szCs w:val="22"/>
                <w:lang w:val="en-US"/>
              </w:rPr>
            </w:pPr>
            <w:r w:rsidRPr="00A5626D">
              <w:rPr>
                <w:rFonts w:ascii="Garamond" w:hAnsi="Garamond" w:cstheme="minorHAnsi"/>
                <w:sz w:val="22"/>
                <w:szCs w:val="22"/>
                <w:lang w:val="en-US"/>
              </w:rPr>
              <w:tab/>
              <w:t>&lt;id&gt;16612993&lt;/id&gt;</w:t>
            </w:r>
          </w:p>
          <w:p w14:paraId="271C52C1" w14:textId="77777777" w:rsidR="00295C6D" w:rsidRPr="00A5626D" w:rsidRDefault="00295C6D" w:rsidP="00E31AE6">
            <w:pPr>
              <w:rPr>
                <w:rFonts w:ascii="Garamond" w:hAnsi="Garamond" w:cstheme="minorHAnsi"/>
                <w:sz w:val="22"/>
                <w:szCs w:val="22"/>
                <w:lang w:val="en-US"/>
              </w:rPr>
            </w:pPr>
            <w:r w:rsidRPr="00A5626D">
              <w:rPr>
                <w:rFonts w:ascii="Garamond" w:hAnsi="Garamond" w:cstheme="minorHAnsi"/>
                <w:sz w:val="22"/>
                <w:szCs w:val="22"/>
                <w:lang w:val="en-US"/>
              </w:rPr>
              <w:tab/>
              <w:t>&lt;received&gt;20180831105500&lt;/received&gt;</w:t>
            </w:r>
          </w:p>
          <w:p w14:paraId="049F79ED" w14:textId="77777777" w:rsidR="00295C6D" w:rsidRPr="00A5626D" w:rsidRDefault="00295C6D" w:rsidP="00E31AE6">
            <w:pPr>
              <w:rPr>
                <w:rFonts w:ascii="Garamond" w:hAnsi="Garamond" w:cstheme="minorHAnsi"/>
                <w:sz w:val="22"/>
                <w:szCs w:val="22"/>
                <w:lang w:val="en-US"/>
              </w:rPr>
            </w:pPr>
            <w:r w:rsidRPr="00A5626D">
              <w:rPr>
                <w:rFonts w:ascii="Garamond" w:hAnsi="Garamond" w:cstheme="minorHAnsi"/>
                <w:sz w:val="22"/>
                <w:szCs w:val="22"/>
                <w:lang w:val="en-US"/>
              </w:rPr>
              <w:t>&lt;/file&gt;</w:t>
            </w:r>
          </w:p>
          <w:p w14:paraId="75153B55" w14:textId="77777777" w:rsidR="00295C6D" w:rsidRPr="00A5626D" w:rsidRDefault="00295C6D" w:rsidP="00E31AE6">
            <w:pPr>
              <w:rPr>
                <w:rFonts w:ascii="Garamond" w:hAnsi="Garamond" w:cstheme="minorHAnsi"/>
                <w:sz w:val="22"/>
                <w:szCs w:val="22"/>
                <w:lang w:val="en-US"/>
              </w:rPr>
            </w:pPr>
            <w:r w:rsidRPr="00A5626D">
              <w:rPr>
                <w:rFonts w:ascii="Garamond" w:hAnsi="Garamond" w:cstheme="minorHAnsi"/>
                <w:sz w:val="22"/>
                <w:szCs w:val="22"/>
                <w:lang w:val="en-US"/>
              </w:rPr>
              <w:t>&lt;reply filestatus="0" desc="</w:t>
            </w:r>
            <w:r w:rsidRPr="00A5626D">
              <w:rPr>
                <w:rFonts w:ascii="Garamond" w:hAnsi="Garamond" w:cstheme="minorHAnsi"/>
                <w:sz w:val="22"/>
                <w:szCs w:val="22"/>
              </w:rPr>
              <w:t>Данные</w:t>
            </w:r>
            <w:r w:rsidRPr="00A5626D">
              <w:rPr>
                <w:rFonts w:ascii="Garamond" w:hAnsi="Garamond" w:cstheme="minorHAnsi"/>
                <w:sz w:val="22"/>
                <w:szCs w:val="22"/>
                <w:lang w:val="en-US"/>
              </w:rPr>
              <w:t xml:space="preserve"> </w:t>
            </w:r>
            <w:r w:rsidRPr="00A5626D">
              <w:rPr>
                <w:rFonts w:ascii="Garamond" w:hAnsi="Garamond" w:cstheme="minorHAnsi"/>
                <w:sz w:val="22"/>
                <w:szCs w:val="22"/>
              </w:rPr>
              <w:t>приняты</w:t>
            </w:r>
            <w:r w:rsidRPr="00A5626D">
              <w:rPr>
                <w:rFonts w:ascii="Garamond" w:hAnsi="Garamond" w:cstheme="minorHAnsi"/>
                <w:sz w:val="22"/>
                <w:szCs w:val="22"/>
                <w:lang w:val="en-US"/>
              </w:rPr>
              <w:t>"&gt;</w:t>
            </w:r>
          </w:p>
          <w:p w14:paraId="4A921B99" w14:textId="77777777" w:rsidR="00295C6D" w:rsidRPr="00A5626D" w:rsidRDefault="00295C6D" w:rsidP="00E31AE6">
            <w:pPr>
              <w:rPr>
                <w:rFonts w:ascii="Garamond" w:hAnsi="Garamond" w:cstheme="minorHAnsi"/>
                <w:sz w:val="22"/>
                <w:szCs w:val="22"/>
                <w:lang w:val="en-US"/>
              </w:rPr>
            </w:pPr>
            <w:r w:rsidRPr="00A5626D">
              <w:rPr>
                <w:rFonts w:ascii="Garamond" w:hAnsi="Garamond" w:cstheme="minorHAnsi"/>
                <w:sz w:val="22"/>
                <w:szCs w:val="22"/>
                <w:lang w:val="en-US"/>
              </w:rPr>
              <w:t>&lt;/reply&gt;</w:t>
            </w:r>
          </w:p>
          <w:p w14:paraId="62398FD3" w14:textId="77777777" w:rsidR="00295C6D" w:rsidRPr="00A5626D" w:rsidRDefault="00295C6D" w:rsidP="00E31AE6">
            <w:pPr>
              <w:rPr>
                <w:rFonts w:ascii="Garamond" w:hAnsi="Garamond" w:cstheme="minorHAnsi"/>
                <w:sz w:val="22"/>
                <w:szCs w:val="22"/>
                <w:lang w:val="en-US"/>
              </w:rPr>
            </w:pPr>
            <w:r w:rsidRPr="00A5626D">
              <w:rPr>
                <w:rFonts w:ascii="Garamond" w:hAnsi="Garamond" w:cstheme="minorHAnsi"/>
                <w:sz w:val="22"/>
                <w:szCs w:val="22"/>
                <w:lang w:val="en-US"/>
              </w:rPr>
              <w:t>&lt;information-60000 delivery-points="15"&gt;</w:t>
            </w:r>
          </w:p>
          <w:p w14:paraId="554F8A49" w14:textId="77777777" w:rsidR="00295C6D" w:rsidRPr="00A5626D" w:rsidRDefault="00295C6D" w:rsidP="00E31AE6">
            <w:pPr>
              <w:rPr>
                <w:rFonts w:ascii="Garamond" w:hAnsi="Garamond" w:cstheme="minorHAnsi"/>
                <w:sz w:val="22"/>
                <w:szCs w:val="22"/>
                <w:lang w:val="en-US"/>
              </w:rPr>
            </w:pPr>
            <w:r w:rsidRPr="00A5626D">
              <w:rPr>
                <w:rFonts w:ascii="Garamond" w:hAnsi="Garamond" w:cstheme="minorHAnsi"/>
                <w:sz w:val="22"/>
                <w:szCs w:val="22"/>
                <w:lang w:val="en-US"/>
              </w:rPr>
              <w:tab/>
              <w:t>&lt;peretok code-from="P1234562" code-to="P1234562" name="</w:t>
            </w:r>
            <w:r w:rsidRPr="00A5626D">
              <w:rPr>
                <w:rFonts w:ascii="Garamond" w:hAnsi="Garamond" w:cstheme="minorHAnsi"/>
                <w:sz w:val="22"/>
                <w:szCs w:val="22"/>
              </w:rPr>
              <w:t>Наименование</w:t>
            </w:r>
            <w:r w:rsidRPr="00A5626D">
              <w:rPr>
                <w:rFonts w:ascii="Garamond" w:hAnsi="Garamond" w:cstheme="minorHAnsi"/>
                <w:sz w:val="22"/>
                <w:szCs w:val="22"/>
                <w:lang w:val="en-US"/>
              </w:rPr>
              <w:t xml:space="preserve"> </w:t>
            </w:r>
            <w:r w:rsidRPr="00A5626D">
              <w:rPr>
                <w:rFonts w:ascii="Garamond" w:hAnsi="Garamond" w:cstheme="minorHAnsi"/>
                <w:sz w:val="22"/>
                <w:szCs w:val="22"/>
              </w:rPr>
              <w:t>перетока</w:t>
            </w:r>
            <w:r w:rsidRPr="00A5626D">
              <w:rPr>
                <w:rFonts w:ascii="Garamond" w:hAnsi="Garamond" w:cstheme="minorHAnsi"/>
                <w:sz w:val="22"/>
                <w:szCs w:val="22"/>
                <w:lang w:val="en-US"/>
              </w:rPr>
              <w:t>"/&gt;</w:t>
            </w:r>
          </w:p>
          <w:p w14:paraId="6778FD4A" w14:textId="77777777" w:rsidR="00295C6D" w:rsidRPr="00A5626D" w:rsidRDefault="00295C6D" w:rsidP="00E31AE6">
            <w:pPr>
              <w:rPr>
                <w:rFonts w:ascii="Garamond" w:hAnsi="Garamond" w:cstheme="minorHAnsi"/>
                <w:sz w:val="22"/>
                <w:szCs w:val="22"/>
              </w:rPr>
            </w:pPr>
            <w:r w:rsidRPr="00A5626D">
              <w:rPr>
                <w:rFonts w:ascii="Garamond" w:hAnsi="Garamond" w:cstheme="minorHAnsi"/>
                <w:sz w:val="22"/>
                <w:szCs w:val="22"/>
                <w:lang w:val="en-US"/>
              </w:rPr>
              <w:tab/>
            </w:r>
            <w:r w:rsidRPr="00A5626D">
              <w:rPr>
                <w:rFonts w:ascii="Garamond" w:hAnsi="Garamond" w:cstheme="minorHAnsi"/>
                <w:sz w:val="22"/>
                <w:szCs w:val="22"/>
              </w:rPr>
              <w:t>&lt;generation code="G1234567" name="Наименование генерации"/&gt;</w:t>
            </w:r>
          </w:p>
          <w:p w14:paraId="2799F9DE" w14:textId="77777777" w:rsidR="00295C6D" w:rsidRPr="00A5626D" w:rsidRDefault="00295C6D" w:rsidP="00E31AE6">
            <w:pPr>
              <w:rPr>
                <w:rFonts w:ascii="Garamond" w:hAnsi="Garamond" w:cstheme="minorHAnsi"/>
                <w:sz w:val="22"/>
                <w:szCs w:val="22"/>
                <w:lang w:val="en-US"/>
              </w:rPr>
            </w:pPr>
            <w:r w:rsidRPr="00A5626D">
              <w:rPr>
                <w:rFonts w:ascii="Garamond" w:hAnsi="Garamond" w:cstheme="minorHAnsi"/>
                <w:sz w:val="22"/>
                <w:szCs w:val="22"/>
              </w:rPr>
              <w:tab/>
            </w:r>
            <w:r w:rsidRPr="00A5626D">
              <w:rPr>
                <w:rFonts w:ascii="Garamond" w:hAnsi="Garamond" w:cstheme="minorHAnsi"/>
                <w:sz w:val="22"/>
                <w:szCs w:val="22"/>
                <w:lang w:val="en-US"/>
              </w:rPr>
              <w:t xml:space="preserve">&lt;gtpp code="P1234567" trader-code="TRADERKU" measuring-points-in-aiis="20" small-measuring-points="2" measuring-devices-in-aiis="25" small-measuring-devices="4" </w:t>
            </w:r>
            <w:r w:rsidRPr="00A5626D">
              <w:rPr>
                <w:rFonts w:ascii="Garamond" w:hAnsi="Garamond"/>
                <w:sz w:val="22"/>
                <w:szCs w:val="22"/>
                <w:lang w:val="en-US"/>
              </w:rPr>
              <w:t>small-delivery-points-all</w:t>
            </w:r>
            <w:r w:rsidRPr="00A5626D">
              <w:rPr>
                <w:rFonts w:ascii="Garamond" w:eastAsia="Calibri" w:hAnsi="Garamond"/>
                <w:sz w:val="22"/>
                <w:szCs w:val="22"/>
                <w:lang w:val="en-US"/>
              </w:rPr>
              <w:t xml:space="preserve">="2" </w:t>
            </w:r>
            <w:r w:rsidRPr="00A5626D">
              <w:rPr>
                <w:rFonts w:ascii="Garamond" w:hAnsi="Garamond"/>
                <w:sz w:val="22"/>
                <w:szCs w:val="22"/>
                <w:lang w:val="en-US"/>
              </w:rPr>
              <w:t>small-delivery-points-new</w:t>
            </w:r>
            <w:r w:rsidRPr="00A5626D">
              <w:rPr>
                <w:rFonts w:ascii="Garamond" w:eastAsia="Calibri" w:hAnsi="Garamond"/>
                <w:sz w:val="22"/>
                <w:szCs w:val="22"/>
                <w:lang w:val="en-US"/>
              </w:rPr>
              <w:t>="1"</w:t>
            </w:r>
            <w:r w:rsidRPr="00A5626D">
              <w:rPr>
                <w:rFonts w:ascii="Garamond" w:hAnsi="Garamond" w:cstheme="minorHAnsi"/>
                <w:sz w:val="22"/>
                <w:szCs w:val="22"/>
                <w:lang w:val="en-US"/>
              </w:rPr>
              <w:t>/&gt;</w:t>
            </w:r>
          </w:p>
          <w:p w14:paraId="59138866" w14:textId="77777777" w:rsidR="00295C6D" w:rsidRPr="00A5626D" w:rsidRDefault="00295C6D" w:rsidP="00E31AE6">
            <w:pPr>
              <w:rPr>
                <w:rFonts w:ascii="Garamond" w:hAnsi="Garamond" w:cstheme="minorHAnsi"/>
                <w:sz w:val="22"/>
                <w:szCs w:val="22"/>
                <w:lang w:val="en-US"/>
              </w:rPr>
            </w:pPr>
            <w:r w:rsidRPr="00A5626D">
              <w:rPr>
                <w:rFonts w:ascii="Garamond" w:hAnsi="Garamond" w:cstheme="minorHAnsi"/>
                <w:sz w:val="22"/>
                <w:szCs w:val="22"/>
                <w:lang w:val="en-US"/>
              </w:rPr>
              <w:t>&lt;/information-60000&gt;</w:t>
            </w:r>
          </w:p>
          <w:p w14:paraId="5D648739" w14:textId="77777777" w:rsidR="00295C6D" w:rsidRPr="00A5626D" w:rsidRDefault="00295C6D" w:rsidP="00E31AE6">
            <w:pPr>
              <w:rPr>
                <w:rFonts w:ascii="Garamond" w:hAnsi="Garamond" w:cstheme="minorHAnsi"/>
                <w:sz w:val="22"/>
                <w:szCs w:val="22"/>
                <w:lang w:val="en-US"/>
              </w:rPr>
            </w:pPr>
            <w:r w:rsidRPr="00A5626D">
              <w:rPr>
                <w:rFonts w:ascii="Garamond" w:hAnsi="Garamond" w:cstheme="minorHAnsi"/>
                <w:sz w:val="22"/>
                <w:szCs w:val="22"/>
                <w:lang w:val="en-US"/>
              </w:rPr>
              <w:t>&lt;/message&gt;</w:t>
            </w:r>
          </w:p>
          <w:p w14:paraId="74A46B33" w14:textId="77777777" w:rsidR="00295C6D" w:rsidRPr="00A5626D" w:rsidRDefault="00295C6D" w:rsidP="00E31AE6">
            <w:pPr>
              <w:numPr>
                <w:ilvl w:val="1"/>
                <w:numId w:val="0"/>
              </w:numPr>
              <w:tabs>
                <w:tab w:val="left" w:pos="1134"/>
                <w:tab w:val="left" w:pos="7938"/>
              </w:tabs>
              <w:rPr>
                <w:rFonts w:ascii="Garamond" w:eastAsia="Calibri" w:hAnsi="Garamond" w:cstheme="minorHAnsi"/>
                <w:b/>
                <w:bCs/>
                <w:sz w:val="22"/>
                <w:szCs w:val="22"/>
              </w:rPr>
            </w:pPr>
          </w:p>
        </w:tc>
        <w:tc>
          <w:tcPr>
            <w:tcW w:w="7088" w:type="dxa"/>
          </w:tcPr>
          <w:p w14:paraId="62B16708" w14:textId="77777777" w:rsidR="00295C6D" w:rsidRPr="00A5626D" w:rsidRDefault="00295C6D" w:rsidP="00E31AE6">
            <w:pPr>
              <w:rPr>
                <w:rFonts w:ascii="Garamond" w:eastAsia="Calibri" w:hAnsi="Garamond" w:cstheme="minorHAnsi"/>
                <w:b/>
                <w:sz w:val="22"/>
                <w:szCs w:val="22"/>
                <w:lang w:val="en-US"/>
              </w:rPr>
            </w:pPr>
            <w:r w:rsidRPr="00A5626D">
              <w:rPr>
                <w:rFonts w:ascii="Garamond" w:eastAsia="Calibri" w:hAnsi="Garamond" w:cstheme="minorHAnsi"/>
                <w:b/>
                <w:sz w:val="22"/>
                <w:szCs w:val="22"/>
              </w:rPr>
              <w:lastRenderedPageBreak/>
              <w:t>Макет</w:t>
            </w:r>
            <w:r w:rsidRPr="00A5626D">
              <w:rPr>
                <w:rFonts w:ascii="Garamond" w:eastAsia="Calibri" w:hAnsi="Garamond" w:cstheme="minorHAnsi"/>
                <w:b/>
                <w:sz w:val="22"/>
                <w:szCs w:val="22"/>
                <w:lang w:val="en-US"/>
              </w:rPr>
              <w:t xml:space="preserve"> 60001</w:t>
            </w:r>
          </w:p>
          <w:p w14:paraId="4ACA8023" w14:textId="77777777" w:rsidR="00295C6D" w:rsidRPr="00A5626D" w:rsidRDefault="00295C6D" w:rsidP="00E31AE6">
            <w:pPr>
              <w:rPr>
                <w:rFonts w:ascii="Garamond" w:eastAsia="Calibri" w:hAnsi="Garamond" w:cstheme="minorHAnsi"/>
                <w:b/>
                <w:sz w:val="22"/>
                <w:szCs w:val="22"/>
                <w:lang w:val="en-US"/>
              </w:rPr>
            </w:pPr>
          </w:p>
          <w:p w14:paraId="55A29D93" w14:textId="77777777" w:rsidR="00295C6D" w:rsidRPr="00A5626D" w:rsidRDefault="00295C6D" w:rsidP="00E31AE6">
            <w:pPr>
              <w:rPr>
                <w:rFonts w:ascii="Garamond" w:hAnsi="Garamond" w:cstheme="minorHAnsi"/>
                <w:sz w:val="22"/>
                <w:szCs w:val="22"/>
                <w:lang w:val="en-US"/>
              </w:rPr>
            </w:pPr>
            <w:r w:rsidRPr="00A5626D">
              <w:rPr>
                <w:rFonts w:ascii="Garamond" w:hAnsi="Garamond" w:cstheme="minorHAnsi"/>
                <w:sz w:val="22"/>
                <w:szCs w:val="22"/>
                <w:lang w:val="en-US"/>
              </w:rPr>
              <w:t>&lt;?xml version="1.0" encoding="windows-1251"?&gt;</w:t>
            </w:r>
          </w:p>
          <w:p w14:paraId="5A83E897" w14:textId="77777777" w:rsidR="00295C6D" w:rsidRPr="00A5626D" w:rsidRDefault="00295C6D" w:rsidP="00E31AE6">
            <w:pPr>
              <w:rPr>
                <w:rFonts w:ascii="Garamond" w:hAnsi="Garamond" w:cstheme="minorHAnsi"/>
                <w:sz w:val="22"/>
                <w:szCs w:val="22"/>
                <w:lang w:val="en-US"/>
              </w:rPr>
            </w:pPr>
            <w:r w:rsidRPr="00A5626D">
              <w:rPr>
                <w:rFonts w:ascii="Garamond" w:hAnsi="Garamond" w:cstheme="minorHAnsi"/>
                <w:sz w:val="22"/>
                <w:szCs w:val="22"/>
                <w:lang w:val="en-US"/>
              </w:rPr>
              <w:t>&lt;message class="60001" version="3" datetime="20180831105800"&gt;</w:t>
            </w:r>
          </w:p>
          <w:p w14:paraId="117EE10B" w14:textId="77777777" w:rsidR="00295C6D" w:rsidRPr="00A5626D" w:rsidRDefault="00295C6D" w:rsidP="00E31AE6">
            <w:pPr>
              <w:rPr>
                <w:rFonts w:ascii="Garamond" w:hAnsi="Garamond" w:cstheme="minorHAnsi"/>
                <w:sz w:val="22"/>
                <w:szCs w:val="22"/>
                <w:lang w:val="en-US"/>
              </w:rPr>
            </w:pPr>
            <w:r w:rsidRPr="00A5626D">
              <w:rPr>
                <w:rFonts w:ascii="Garamond" w:hAnsi="Garamond" w:cstheme="minorHAnsi"/>
                <w:sz w:val="22"/>
                <w:szCs w:val="22"/>
                <w:lang w:val="en-US"/>
              </w:rPr>
              <w:t>&lt;file&gt;</w:t>
            </w:r>
          </w:p>
          <w:p w14:paraId="4B8C23F5" w14:textId="77777777" w:rsidR="00295C6D" w:rsidRPr="00A5626D" w:rsidRDefault="00295C6D" w:rsidP="00E31AE6">
            <w:pPr>
              <w:rPr>
                <w:rFonts w:ascii="Garamond" w:hAnsi="Garamond" w:cstheme="minorHAnsi"/>
                <w:sz w:val="22"/>
                <w:szCs w:val="22"/>
              </w:rPr>
            </w:pPr>
            <w:r w:rsidRPr="00A5626D">
              <w:rPr>
                <w:rFonts w:ascii="Garamond" w:hAnsi="Garamond" w:cstheme="minorHAnsi"/>
                <w:sz w:val="22"/>
                <w:szCs w:val="22"/>
                <w:lang w:val="en-US"/>
              </w:rPr>
              <w:tab/>
            </w:r>
            <w:r w:rsidRPr="00A5626D">
              <w:rPr>
                <w:rFonts w:ascii="Garamond" w:hAnsi="Garamond" w:cstheme="minorHAnsi"/>
                <w:sz w:val="22"/>
                <w:szCs w:val="22"/>
              </w:rPr>
              <w:t>&lt;</w:t>
            </w:r>
            <w:r w:rsidRPr="00A5626D">
              <w:rPr>
                <w:rFonts w:ascii="Garamond" w:hAnsi="Garamond" w:cstheme="minorHAnsi"/>
                <w:sz w:val="22"/>
                <w:szCs w:val="22"/>
                <w:lang w:val="en-US"/>
              </w:rPr>
              <w:t>fromaddr</w:t>
            </w:r>
            <w:r w:rsidRPr="00A5626D">
              <w:rPr>
                <w:rFonts w:ascii="Garamond" w:hAnsi="Garamond" w:cstheme="minorHAnsi"/>
                <w:sz w:val="22"/>
                <w:szCs w:val="22"/>
              </w:rPr>
              <w:t>&gt;&lt;![</w:t>
            </w:r>
            <w:r w:rsidRPr="00A5626D">
              <w:rPr>
                <w:rFonts w:ascii="Garamond" w:hAnsi="Garamond" w:cstheme="minorHAnsi"/>
                <w:sz w:val="22"/>
                <w:szCs w:val="22"/>
                <w:lang w:val="en-US"/>
              </w:rPr>
              <w:t>CDATA</w:t>
            </w:r>
            <w:r w:rsidRPr="00A5626D">
              <w:rPr>
                <w:rFonts w:ascii="Garamond" w:hAnsi="Garamond" w:cstheme="minorHAnsi"/>
                <w:sz w:val="22"/>
                <w:szCs w:val="22"/>
              </w:rPr>
              <w:t>[Почтовый адрес отправителя]]&gt;&lt;/</w:t>
            </w:r>
            <w:r w:rsidRPr="00A5626D">
              <w:rPr>
                <w:rFonts w:ascii="Garamond" w:hAnsi="Garamond" w:cstheme="minorHAnsi"/>
                <w:sz w:val="22"/>
                <w:szCs w:val="22"/>
                <w:lang w:val="en-US"/>
              </w:rPr>
              <w:t>fromaddr</w:t>
            </w:r>
            <w:r w:rsidRPr="00A5626D">
              <w:rPr>
                <w:rFonts w:ascii="Garamond" w:hAnsi="Garamond" w:cstheme="minorHAnsi"/>
                <w:sz w:val="22"/>
                <w:szCs w:val="22"/>
              </w:rPr>
              <w:t>&gt;</w:t>
            </w:r>
          </w:p>
          <w:p w14:paraId="5A4C5A59" w14:textId="77777777" w:rsidR="00295C6D" w:rsidRPr="00A5626D" w:rsidRDefault="00295C6D" w:rsidP="00E31AE6">
            <w:pPr>
              <w:rPr>
                <w:rFonts w:ascii="Garamond" w:hAnsi="Garamond" w:cstheme="minorHAnsi"/>
                <w:sz w:val="22"/>
                <w:szCs w:val="22"/>
                <w:lang w:val="en-US"/>
              </w:rPr>
            </w:pPr>
            <w:r w:rsidRPr="00A5626D">
              <w:rPr>
                <w:rFonts w:ascii="Garamond" w:hAnsi="Garamond" w:cstheme="minorHAnsi"/>
                <w:sz w:val="22"/>
                <w:szCs w:val="22"/>
              </w:rPr>
              <w:tab/>
            </w:r>
            <w:r w:rsidRPr="00A5626D">
              <w:rPr>
                <w:rFonts w:ascii="Garamond" w:hAnsi="Garamond" w:cstheme="minorHAnsi"/>
                <w:sz w:val="22"/>
                <w:szCs w:val="22"/>
                <w:lang w:val="en-US"/>
              </w:rPr>
              <w:t>&lt;name&gt;60000_6829010210_20180831095720_p1234561_p1234562.xml&lt;/name&gt;</w:t>
            </w:r>
          </w:p>
          <w:p w14:paraId="3E32FB33" w14:textId="77777777" w:rsidR="00295C6D" w:rsidRPr="00A5626D" w:rsidRDefault="00295C6D" w:rsidP="00E31AE6">
            <w:pPr>
              <w:rPr>
                <w:rFonts w:ascii="Garamond" w:hAnsi="Garamond" w:cstheme="minorHAnsi"/>
                <w:sz w:val="22"/>
                <w:szCs w:val="22"/>
                <w:lang w:val="en-US"/>
              </w:rPr>
            </w:pPr>
            <w:r w:rsidRPr="00A5626D">
              <w:rPr>
                <w:rFonts w:ascii="Garamond" w:hAnsi="Garamond" w:cstheme="minorHAnsi"/>
                <w:sz w:val="22"/>
                <w:szCs w:val="22"/>
                <w:lang w:val="en-US"/>
              </w:rPr>
              <w:tab/>
              <w:t>&lt;sender&gt;1234567890&lt;/sender&gt;</w:t>
            </w:r>
          </w:p>
          <w:p w14:paraId="44DB9876" w14:textId="77777777" w:rsidR="00295C6D" w:rsidRPr="00A5626D" w:rsidRDefault="00295C6D" w:rsidP="00E31AE6">
            <w:pPr>
              <w:rPr>
                <w:rFonts w:ascii="Garamond" w:hAnsi="Garamond" w:cstheme="minorHAnsi"/>
                <w:sz w:val="22"/>
                <w:szCs w:val="22"/>
                <w:lang w:val="en-US"/>
              </w:rPr>
            </w:pPr>
            <w:r w:rsidRPr="00A5626D">
              <w:rPr>
                <w:rFonts w:ascii="Garamond" w:hAnsi="Garamond" w:cstheme="minorHAnsi"/>
                <w:sz w:val="22"/>
                <w:szCs w:val="22"/>
                <w:lang w:val="en-US"/>
              </w:rPr>
              <w:lastRenderedPageBreak/>
              <w:tab/>
              <w:t>&lt;id&gt;16612993&lt;/id&gt;</w:t>
            </w:r>
          </w:p>
          <w:p w14:paraId="3774C4E7" w14:textId="77777777" w:rsidR="00295C6D" w:rsidRPr="00A5626D" w:rsidRDefault="00295C6D" w:rsidP="00E31AE6">
            <w:pPr>
              <w:rPr>
                <w:rFonts w:ascii="Garamond" w:hAnsi="Garamond" w:cstheme="minorHAnsi"/>
                <w:sz w:val="22"/>
                <w:szCs w:val="22"/>
                <w:lang w:val="en-US"/>
              </w:rPr>
            </w:pPr>
            <w:r w:rsidRPr="00A5626D">
              <w:rPr>
                <w:rFonts w:ascii="Garamond" w:hAnsi="Garamond" w:cstheme="minorHAnsi"/>
                <w:sz w:val="22"/>
                <w:szCs w:val="22"/>
                <w:lang w:val="en-US"/>
              </w:rPr>
              <w:tab/>
              <w:t>&lt;received&gt;20180831105500&lt;/received&gt;</w:t>
            </w:r>
          </w:p>
          <w:p w14:paraId="15B2AA30" w14:textId="77777777" w:rsidR="00295C6D" w:rsidRPr="00A5626D" w:rsidRDefault="00295C6D" w:rsidP="00E31AE6">
            <w:pPr>
              <w:rPr>
                <w:rFonts w:ascii="Garamond" w:hAnsi="Garamond" w:cstheme="minorHAnsi"/>
                <w:sz w:val="22"/>
                <w:szCs w:val="22"/>
                <w:lang w:val="en-US"/>
              </w:rPr>
            </w:pPr>
            <w:r w:rsidRPr="00A5626D">
              <w:rPr>
                <w:rFonts w:ascii="Garamond" w:hAnsi="Garamond" w:cstheme="minorHAnsi"/>
                <w:sz w:val="22"/>
                <w:szCs w:val="22"/>
                <w:lang w:val="en-US"/>
              </w:rPr>
              <w:t>&lt;/file&gt;</w:t>
            </w:r>
          </w:p>
          <w:p w14:paraId="0237A5DE" w14:textId="77777777" w:rsidR="00295C6D" w:rsidRPr="00A5626D" w:rsidRDefault="00295C6D" w:rsidP="00E31AE6">
            <w:pPr>
              <w:rPr>
                <w:rFonts w:ascii="Garamond" w:hAnsi="Garamond" w:cstheme="minorHAnsi"/>
                <w:sz w:val="22"/>
                <w:szCs w:val="22"/>
                <w:lang w:val="en-US"/>
              </w:rPr>
            </w:pPr>
            <w:r w:rsidRPr="00A5626D">
              <w:rPr>
                <w:rFonts w:ascii="Garamond" w:hAnsi="Garamond" w:cstheme="minorHAnsi"/>
                <w:sz w:val="22"/>
                <w:szCs w:val="22"/>
                <w:lang w:val="en-US"/>
              </w:rPr>
              <w:t>&lt;reply filestatus="0" desc="</w:t>
            </w:r>
            <w:r w:rsidRPr="00A5626D">
              <w:rPr>
                <w:rFonts w:ascii="Garamond" w:hAnsi="Garamond" w:cstheme="minorHAnsi"/>
                <w:sz w:val="22"/>
                <w:szCs w:val="22"/>
              </w:rPr>
              <w:t>Данные</w:t>
            </w:r>
            <w:r w:rsidRPr="00A5626D">
              <w:rPr>
                <w:rFonts w:ascii="Garamond" w:hAnsi="Garamond" w:cstheme="minorHAnsi"/>
                <w:sz w:val="22"/>
                <w:szCs w:val="22"/>
                <w:lang w:val="en-US"/>
              </w:rPr>
              <w:t xml:space="preserve"> </w:t>
            </w:r>
            <w:r w:rsidRPr="00A5626D">
              <w:rPr>
                <w:rFonts w:ascii="Garamond" w:hAnsi="Garamond" w:cstheme="minorHAnsi"/>
                <w:sz w:val="22"/>
                <w:szCs w:val="22"/>
              </w:rPr>
              <w:t>приняты</w:t>
            </w:r>
            <w:r w:rsidRPr="00A5626D">
              <w:rPr>
                <w:rFonts w:ascii="Garamond" w:hAnsi="Garamond" w:cstheme="minorHAnsi"/>
                <w:sz w:val="22"/>
                <w:szCs w:val="22"/>
                <w:lang w:val="en-US"/>
              </w:rPr>
              <w:t>"&gt;</w:t>
            </w:r>
          </w:p>
          <w:p w14:paraId="2BE2F27E" w14:textId="77777777" w:rsidR="00295C6D" w:rsidRPr="00A5626D" w:rsidRDefault="00295C6D" w:rsidP="00E31AE6">
            <w:pPr>
              <w:rPr>
                <w:rFonts w:ascii="Garamond" w:hAnsi="Garamond" w:cstheme="minorHAnsi"/>
                <w:sz w:val="22"/>
                <w:szCs w:val="22"/>
                <w:lang w:val="en-US"/>
              </w:rPr>
            </w:pPr>
            <w:r w:rsidRPr="00A5626D">
              <w:rPr>
                <w:rFonts w:ascii="Garamond" w:hAnsi="Garamond" w:cstheme="minorHAnsi"/>
                <w:sz w:val="22"/>
                <w:szCs w:val="22"/>
                <w:lang w:val="en-US"/>
              </w:rPr>
              <w:t>&lt;/reply&gt;</w:t>
            </w:r>
          </w:p>
          <w:p w14:paraId="3C7D9222" w14:textId="77777777" w:rsidR="00295C6D" w:rsidRPr="00A5626D" w:rsidRDefault="00295C6D" w:rsidP="00E31AE6">
            <w:pPr>
              <w:rPr>
                <w:rFonts w:ascii="Garamond" w:hAnsi="Garamond" w:cstheme="minorHAnsi"/>
                <w:sz w:val="22"/>
                <w:szCs w:val="22"/>
                <w:lang w:val="en-US"/>
              </w:rPr>
            </w:pPr>
            <w:r w:rsidRPr="00A5626D">
              <w:rPr>
                <w:rFonts w:ascii="Garamond" w:hAnsi="Garamond" w:cstheme="minorHAnsi"/>
                <w:sz w:val="22"/>
                <w:szCs w:val="22"/>
                <w:lang w:val="en-US"/>
              </w:rPr>
              <w:t>&lt;information-60000 delivery-points="15"&gt;</w:t>
            </w:r>
          </w:p>
          <w:p w14:paraId="385C0256" w14:textId="77777777" w:rsidR="00295C6D" w:rsidRPr="00A5626D" w:rsidRDefault="00295C6D" w:rsidP="00E31AE6">
            <w:pPr>
              <w:rPr>
                <w:rFonts w:ascii="Garamond" w:hAnsi="Garamond" w:cstheme="minorHAnsi"/>
                <w:sz w:val="22"/>
                <w:szCs w:val="22"/>
                <w:lang w:val="en-US"/>
              </w:rPr>
            </w:pPr>
            <w:r w:rsidRPr="00A5626D">
              <w:rPr>
                <w:rFonts w:ascii="Garamond" w:hAnsi="Garamond" w:cstheme="minorHAnsi"/>
                <w:sz w:val="22"/>
                <w:szCs w:val="22"/>
                <w:lang w:val="en-US"/>
              </w:rPr>
              <w:tab/>
              <w:t>&lt;peretok code-from="P1234562" code-to="P1234562" name="</w:t>
            </w:r>
            <w:r w:rsidRPr="00A5626D">
              <w:rPr>
                <w:rFonts w:ascii="Garamond" w:hAnsi="Garamond" w:cstheme="minorHAnsi"/>
                <w:sz w:val="22"/>
                <w:szCs w:val="22"/>
              </w:rPr>
              <w:t>Наименование</w:t>
            </w:r>
            <w:r w:rsidRPr="00A5626D">
              <w:rPr>
                <w:rFonts w:ascii="Garamond" w:hAnsi="Garamond" w:cstheme="minorHAnsi"/>
                <w:sz w:val="22"/>
                <w:szCs w:val="22"/>
                <w:lang w:val="en-US"/>
              </w:rPr>
              <w:t xml:space="preserve"> </w:t>
            </w:r>
            <w:r w:rsidRPr="00A5626D">
              <w:rPr>
                <w:rFonts w:ascii="Garamond" w:hAnsi="Garamond" w:cstheme="minorHAnsi"/>
                <w:sz w:val="22"/>
                <w:szCs w:val="22"/>
              </w:rPr>
              <w:t>перетока</w:t>
            </w:r>
            <w:r w:rsidRPr="00A5626D">
              <w:rPr>
                <w:rFonts w:ascii="Garamond" w:hAnsi="Garamond" w:cstheme="minorHAnsi"/>
                <w:sz w:val="22"/>
                <w:szCs w:val="22"/>
                <w:lang w:val="en-US"/>
              </w:rPr>
              <w:t>"/&gt;</w:t>
            </w:r>
          </w:p>
          <w:p w14:paraId="3CD26ADE" w14:textId="77777777" w:rsidR="00295C6D" w:rsidRPr="00A5626D" w:rsidRDefault="00295C6D" w:rsidP="00E31AE6">
            <w:pPr>
              <w:rPr>
                <w:rFonts w:ascii="Garamond" w:hAnsi="Garamond" w:cstheme="minorHAnsi"/>
                <w:sz w:val="22"/>
                <w:szCs w:val="22"/>
              </w:rPr>
            </w:pPr>
            <w:r w:rsidRPr="00A5626D">
              <w:rPr>
                <w:rFonts w:ascii="Garamond" w:hAnsi="Garamond" w:cstheme="minorHAnsi"/>
                <w:sz w:val="22"/>
                <w:szCs w:val="22"/>
                <w:lang w:val="en-US"/>
              </w:rPr>
              <w:tab/>
            </w:r>
            <w:r w:rsidRPr="00A5626D">
              <w:rPr>
                <w:rFonts w:ascii="Garamond" w:hAnsi="Garamond" w:cstheme="minorHAnsi"/>
                <w:sz w:val="22"/>
                <w:szCs w:val="22"/>
              </w:rPr>
              <w:t>&lt;generation code="G1234567" name="Наименование генерации"/&gt;</w:t>
            </w:r>
          </w:p>
          <w:p w14:paraId="6F5AA761" w14:textId="5036FD70" w:rsidR="00295C6D" w:rsidRPr="00A5626D" w:rsidRDefault="00295C6D" w:rsidP="00E31AE6">
            <w:pPr>
              <w:tabs>
                <w:tab w:val="left" w:pos="567"/>
              </w:tabs>
              <w:ind w:firstLine="318"/>
              <w:rPr>
                <w:rFonts w:ascii="Garamond" w:eastAsia="Calibri" w:hAnsi="Garamond" w:cstheme="minorHAnsi"/>
                <w:sz w:val="22"/>
                <w:szCs w:val="22"/>
                <w:lang w:val="en-US"/>
              </w:rPr>
            </w:pPr>
            <w:r w:rsidRPr="00A5626D">
              <w:rPr>
                <w:rStyle w:val="m1"/>
                <w:rFonts w:ascii="Garamond" w:hAnsi="Garamond"/>
                <w:color w:val="auto"/>
                <w:sz w:val="22"/>
                <w:szCs w:val="22"/>
                <w:highlight w:val="yellow"/>
                <w:lang w:val="en-US"/>
              </w:rPr>
              <w:t xml:space="preserve">&lt;regulation-object </w:t>
            </w:r>
            <w:r w:rsidRPr="00A5626D">
              <w:rPr>
                <w:rStyle w:val="t1"/>
                <w:rFonts w:ascii="Garamond" w:hAnsi="Garamond"/>
                <w:color w:val="auto"/>
                <w:sz w:val="22"/>
                <w:szCs w:val="22"/>
                <w:highlight w:val="yellow"/>
                <w:lang w:val="en-US"/>
              </w:rPr>
              <w:t>code</w:t>
            </w:r>
            <w:r w:rsidRPr="00A5626D">
              <w:rPr>
                <w:rStyle w:val="m1"/>
                <w:rFonts w:ascii="Garamond" w:hAnsi="Garamond"/>
                <w:color w:val="auto"/>
                <w:sz w:val="22"/>
                <w:szCs w:val="22"/>
                <w:highlight w:val="yellow"/>
                <w:lang w:val="en-US"/>
              </w:rPr>
              <w:t>="</w:t>
            </w:r>
            <w:r w:rsidRPr="00A5626D">
              <w:rPr>
                <w:rFonts w:ascii="Garamond" w:hAnsi="Garamond"/>
                <w:bCs/>
                <w:sz w:val="22"/>
                <w:szCs w:val="22"/>
                <w:highlight w:val="yellow"/>
                <w:lang w:val="en-US"/>
              </w:rPr>
              <w:t>OR123456</w:t>
            </w:r>
            <w:r w:rsidRPr="00A5626D">
              <w:rPr>
                <w:rStyle w:val="m1"/>
                <w:rFonts w:ascii="Garamond" w:hAnsi="Garamond"/>
                <w:color w:val="auto"/>
                <w:sz w:val="22"/>
                <w:szCs w:val="22"/>
                <w:highlight w:val="yellow"/>
                <w:lang w:val="en-US"/>
              </w:rPr>
              <w:t xml:space="preserve">" </w:t>
            </w:r>
            <w:r w:rsidRPr="00A5626D">
              <w:rPr>
                <w:rStyle w:val="t1"/>
                <w:rFonts w:ascii="Garamond" w:hAnsi="Garamond"/>
                <w:color w:val="auto"/>
                <w:sz w:val="22"/>
                <w:szCs w:val="22"/>
                <w:highlight w:val="yellow"/>
                <w:lang w:val="en-US"/>
              </w:rPr>
              <w:t>name</w:t>
            </w:r>
            <w:r w:rsidRPr="00A5626D">
              <w:rPr>
                <w:rStyle w:val="m1"/>
                <w:rFonts w:ascii="Garamond" w:hAnsi="Garamond"/>
                <w:color w:val="auto"/>
                <w:sz w:val="22"/>
                <w:szCs w:val="22"/>
                <w:highlight w:val="yellow"/>
                <w:lang w:val="en-US"/>
              </w:rPr>
              <w:t>="</w:t>
            </w:r>
            <w:r w:rsidRPr="00A5626D">
              <w:rPr>
                <w:rFonts w:ascii="Garamond" w:hAnsi="Garamond"/>
                <w:bCs/>
                <w:sz w:val="22"/>
                <w:szCs w:val="22"/>
                <w:highlight w:val="yellow"/>
              </w:rPr>
              <w:t>Наименование</w:t>
            </w:r>
            <w:r w:rsidRPr="00A5626D">
              <w:rPr>
                <w:rFonts w:ascii="Garamond" w:hAnsi="Garamond"/>
                <w:bCs/>
                <w:sz w:val="22"/>
                <w:szCs w:val="22"/>
                <w:highlight w:val="yellow"/>
                <w:lang w:val="en-US"/>
              </w:rPr>
              <w:t xml:space="preserve"> </w:t>
            </w:r>
            <w:r w:rsidRPr="00A5626D">
              <w:rPr>
                <w:rFonts w:ascii="Garamond" w:hAnsi="Garamond"/>
                <w:bCs/>
                <w:sz w:val="22"/>
                <w:szCs w:val="22"/>
                <w:highlight w:val="yellow"/>
              </w:rPr>
              <w:t>ОР</w:t>
            </w:r>
            <w:r w:rsidRPr="00A5626D">
              <w:rPr>
                <w:rStyle w:val="m1"/>
                <w:rFonts w:ascii="Garamond" w:hAnsi="Garamond"/>
                <w:color w:val="auto"/>
                <w:sz w:val="22"/>
                <w:szCs w:val="22"/>
                <w:highlight w:val="yellow"/>
                <w:lang w:val="en-US"/>
              </w:rPr>
              <w:t>" trader-code="</w:t>
            </w:r>
            <w:r w:rsidRPr="00A5626D">
              <w:rPr>
                <w:rFonts w:ascii="Garamond" w:hAnsi="Garamond" w:cstheme="minorHAnsi"/>
                <w:sz w:val="22"/>
                <w:szCs w:val="22"/>
                <w:highlight w:val="yellow"/>
                <w:lang w:val="en-US"/>
              </w:rPr>
              <w:t>TRADERKU</w:t>
            </w:r>
            <w:r w:rsidRPr="00A5626D">
              <w:rPr>
                <w:rStyle w:val="m1"/>
                <w:rFonts w:ascii="Garamond" w:hAnsi="Garamond"/>
                <w:color w:val="auto"/>
                <w:sz w:val="22"/>
                <w:szCs w:val="22"/>
                <w:highlight w:val="yellow"/>
                <w:lang w:val="en-US"/>
              </w:rPr>
              <w:t xml:space="preserve"> " gtp-owner-trader-code="GTP</w:t>
            </w:r>
            <w:r w:rsidRPr="00A5626D">
              <w:rPr>
                <w:rFonts w:ascii="Garamond" w:hAnsi="Garamond" w:cstheme="minorHAnsi"/>
                <w:sz w:val="22"/>
                <w:szCs w:val="22"/>
                <w:highlight w:val="yellow"/>
                <w:lang w:val="en-US"/>
              </w:rPr>
              <w:t>OWNER</w:t>
            </w:r>
            <w:r w:rsidRPr="00A5626D">
              <w:rPr>
                <w:rStyle w:val="m1"/>
                <w:rFonts w:ascii="Garamond" w:hAnsi="Garamond"/>
                <w:color w:val="auto"/>
                <w:sz w:val="22"/>
                <w:szCs w:val="22"/>
                <w:highlight w:val="yellow"/>
                <w:lang w:val="en-US"/>
              </w:rPr>
              <w:t>”</w:t>
            </w:r>
            <w:r w:rsidR="009B5F03" w:rsidRPr="00A5626D">
              <w:rPr>
                <w:rStyle w:val="m1"/>
                <w:rFonts w:ascii="Garamond" w:hAnsi="Garamond"/>
                <w:color w:val="auto"/>
                <w:sz w:val="22"/>
                <w:szCs w:val="22"/>
                <w:highlight w:val="yellow"/>
                <w:lang w:val="en-US"/>
              </w:rPr>
              <w:t xml:space="preserve"> </w:t>
            </w:r>
            <w:r w:rsidRPr="00A5626D">
              <w:rPr>
                <w:rStyle w:val="m1"/>
                <w:rFonts w:ascii="Garamond" w:hAnsi="Garamond"/>
                <w:color w:val="auto"/>
                <w:sz w:val="22"/>
                <w:szCs w:val="22"/>
                <w:highlight w:val="yellow"/>
                <w:lang w:val="en-US"/>
              </w:rPr>
              <w:t xml:space="preserve">measuring-points-in-aiis="10 " measuring-devices-in-aiis="12 " </w:t>
            </w:r>
            <w:r w:rsidRPr="00A5626D">
              <w:rPr>
                <w:rFonts w:ascii="Garamond" w:eastAsiaTheme="minorEastAsia" w:hAnsi="Garamond"/>
                <w:sz w:val="22"/>
                <w:szCs w:val="22"/>
                <w:highlight w:val="yellow"/>
                <w:lang w:val="en-US" w:eastAsia="en-US"/>
              </w:rPr>
              <w:t>min-certificate-expiration-date</w:t>
            </w:r>
            <w:r w:rsidRPr="00A5626D">
              <w:rPr>
                <w:rStyle w:val="m1"/>
                <w:rFonts w:ascii="Garamond" w:hAnsi="Garamond"/>
                <w:color w:val="auto"/>
                <w:sz w:val="22"/>
                <w:szCs w:val="22"/>
                <w:highlight w:val="yellow"/>
                <w:lang w:val="en-US"/>
              </w:rPr>
              <w:t>="20260516"/&gt;</w:t>
            </w:r>
          </w:p>
          <w:p w14:paraId="03D42130" w14:textId="77777777" w:rsidR="00295C6D" w:rsidRPr="00A5626D" w:rsidRDefault="00295C6D" w:rsidP="00E31AE6">
            <w:pPr>
              <w:rPr>
                <w:rFonts w:ascii="Garamond" w:hAnsi="Garamond" w:cstheme="minorHAnsi"/>
                <w:sz w:val="22"/>
                <w:szCs w:val="22"/>
                <w:lang w:val="en-US"/>
              </w:rPr>
            </w:pPr>
            <w:r w:rsidRPr="00A5626D">
              <w:rPr>
                <w:rFonts w:ascii="Garamond" w:hAnsi="Garamond" w:cstheme="minorHAnsi"/>
                <w:sz w:val="22"/>
                <w:szCs w:val="22"/>
                <w:lang w:val="en-US"/>
              </w:rPr>
              <w:tab/>
              <w:t xml:space="preserve">&lt;gtpp code="P1234567" trader-code="TRADERKU" measuring-points-in-aiis="20" small-measuring-points="2" measuring-devices-in-aiis="25" small-measuring-devices="4" </w:t>
            </w:r>
            <w:r w:rsidRPr="00A5626D">
              <w:rPr>
                <w:rFonts w:ascii="Garamond" w:hAnsi="Garamond"/>
                <w:sz w:val="22"/>
                <w:szCs w:val="22"/>
                <w:lang w:val="en-US"/>
              </w:rPr>
              <w:t>small-delivery-points-all</w:t>
            </w:r>
            <w:r w:rsidRPr="00A5626D">
              <w:rPr>
                <w:rFonts w:ascii="Garamond" w:eastAsia="Calibri" w:hAnsi="Garamond"/>
                <w:sz w:val="22"/>
                <w:szCs w:val="22"/>
                <w:lang w:val="en-US"/>
              </w:rPr>
              <w:t xml:space="preserve">="2" </w:t>
            </w:r>
            <w:r w:rsidRPr="00A5626D">
              <w:rPr>
                <w:rFonts w:ascii="Garamond" w:hAnsi="Garamond"/>
                <w:sz w:val="22"/>
                <w:szCs w:val="22"/>
                <w:lang w:val="en-US"/>
              </w:rPr>
              <w:t>small-delivery-points-new</w:t>
            </w:r>
            <w:r w:rsidRPr="00A5626D">
              <w:rPr>
                <w:rFonts w:ascii="Garamond" w:eastAsia="Calibri" w:hAnsi="Garamond"/>
                <w:sz w:val="22"/>
                <w:szCs w:val="22"/>
                <w:lang w:val="en-US"/>
              </w:rPr>
              <w:t>="1"</w:t>
            </w:r>
            <w:r w:rsidRPr="00A5626D">
              <w:rPr>
                <w:rFonts w:ascii="Garamond" w:hAnsi="Garamond" w:cstheme="minorHAnsi"/>
                <w:sz w:val="22"/>
                <w:szCs w:val="22"/>
                <w:lang w:val="en-US"/>
              </w:rPr>
              <w:t>/&gt;</w:t>
            </w:r>
          </w:p>
          <w:p w14:paraId="7C09E61B" w14:textId="77777777" w:rsidR="00295C6D" w:rsidRPr="00A5626D" w:rsidRDefault="00295C6D" w:rsidP="00E31AE6">
            <w:pPr>
              <w:rPr>
                <w:rFonts w:ascii="Garamond" w:hAnsi="Garamond" w:cstheme="minorHAnsi"/>
                <w:sz w:val="22"/>
                <w:szCs w:val="22"/>
                <w:lang w:val="en-US"/>
              </w:rPr>
            </w:pPr>
            <w:r w:rsidRPr="00A5626D">
              <w:rPr>
                <w:rFonts w:ascii="Garamond" w:hAnsi="Garamond" w:cstheme="minorHAnsi"/>
                <w:sz w:val="22"/>
                <w:szCs w:val="22"/>
                <w:lang w:val="en-US"/>
              </w:rPr>
              <w:t>&lt;/information-60000&gt;</w:t>
            </w:r>
          </w:p>
          <w:p w14:paraId="445DD9A1" w14:textId="77DC753F" w:rsidR="00295C6D" w:rsidRPr="00794ED1" w:rsidRDefault="00794ED1" w:rsidP="00794ED1">
            <w:pPr>
              <w:rPr>
                <w:rFonts w:ascii="Garamond" w:hAnsi="Garamond" w:cstheme="minorHAnsi"/>
                <w:sz w:val="22"/>
                <w:szCs w:val="22"/>
                <w:lang w:val="en-US"/>
              </w:rPr>
            </w:pPr>
            <w:r>
              <w:rPr>
                <w:rFonts w:ascii="Garamond" w:hAnsi="Garamond" w:cstheme="minorHAnsi"/>
                <w:sz w:val="22"/>
                <w:szCs w:val="22"/>
                <w:lang w:val="en-US"/>
              </w:rPr>
              <w:t>&lt;/message&gt;</w:t>
            </w:r>
          </w:p>
        </w:tc>
      </w:tr>
    </w:tbl>
    <w:p w14:paraId="5046D52E" w14:textId="77777777" w:rsidR="00B04421" w:rsidRDefault="00B04421" w:rsidP="00E31AE6">
      <w:pPr>
        <w:keepNext/>
        <w:tabs>
          <w:tab w:val="left" w:pos="1134"/>
          <w:tab w:val="left" w:pos="7938"/>
        </w:tabs>
        <w:autoSpaceDE w:val="0"/>
        <w:autoSpaceDN w:val="0"/>
        <w:spacing w:line="22" w:lineRule="atLeast"/>
        <w:jc w:val="both"/>
        <w:rPr>
          <w:rFonts w:ascii="Garamond" w:hAnsi="Garamond"/>
          <w:sz w:val="24"/>
          <w:szCs w:val="24"/>
        </w:rPr>
      </w:pPr>
      <w:r>
        <w:rPr>
          <w:rFonts w:ascii="Garamond" w:hAnsi="Garamond"/>
          <w:sz w:val="24"/>
          <w:szCs w:val="24"/>
        </w:rPr>
        <w:lastRenderedPageBreak/>
        <w:br w:type="page"/>
      </w:r>
    </w:p>
    <w:p w14:paraId="486D35CE" w14:textId="77777777" w:rsidR="00295C6D" w:rsidRDefault="00295C6D" w:rsidP="00E31AE6">
      <w:pPr>
        <w:keepNext/>
        <w:tabs>
          <w:tab w:val="left" w:pos="1134"/>
          <w:tab w:val="left" w:pos="7938"/>
        </w:tabs>
        <w:autoSpaceDE w:val="0"/>
        <w:autoSpaceDN w:val="0"/>
        <w:spacing w:line="22" w:lineRule="atLeast"/>
        <w:jc w:val="both"/>
        <w:rPr>
          <w:rFonts w:ascii="Garamond" w:hAnsi="Garamond"/>
          <w:sz w:val="24"/>
          <w:szCs w:val="24"/>
        </w:rPr>
      </w:pPr>
    </w:p>
    <w:p w14:paraId="20B5EF7D" w14:textId="77777777" w:rsidR="00295C6D" w:rsidRDefault="00295C6D" w:rsidP="00E31AE6">
      <w:pPr>
        <w:jc w:val="right"/>
        <w:rPr>
          <w:rFonts w:ascii="Garamond" w:hAnsi="Garamond"/>
          <w:b/>
          <w:sz w:val="24"/>
          <w:szCs w:val="24"/>
          <w:lang w:eastAsia="en-US"/>
        </w:rPr>
      </w:pPr>
      <w:r>
        <w:rPr>
          <w:rFonts w:ascii="Garamond" w:hAnsi="Garamond"/>
          <w:b/>
          <w:sz w:val="24"/>
          <w:szCs w:val="24"/>
          <w:lang w:eastAsia="en-US"/>
        </w:rPr>
        <w:t>Приложение 5</w:t>
      </w:r>
    </w:p>
    <w:p w14:paraId="7EB1451B" w14:textId="77777777" w:rsidR="00295C6D" w:rsidRDefault="00295C6D" w:rsidP="00E31AE6">
      <w:pPr>
        <w:jc w:val="both"/>
        <w:rPr>
          <w:rFonts w:ascii="Garamond" w:hAnsi="Garamond"/>
          <w:b/>
          <w:sz w:val="24"/>
          <w:szCs w:val="24"/>
          <w:lang w:eastAsia="en-US"/>
        </w:rPr>
      </w:pPr>
      <w:r w:rsidRPr="00045037">
        <w:rPr>
          <w:rFonts w:ascii="Garamond" w:hAnsi="Garamond"/>
          <w:b/>
          <w:sz w:val="24"/>
          <w:szCs w:val="24"/>
          <w:lang w:eastAsia="en-US"/>
        </w:rPr>
        <w:t>Табличные формы ПСИ, формируемые на основе xml-макета 60000</w:t>
      </w:r>
    </w:p>
    <w:p w14:paraId="71B50D93" w14:textId="77777777" w:rsidR="00295C6D" w:rsidRDefault="00295C6D" w:rsidP="00E31AE6">
      <w:pPr>
        <w:jc w:val="both"/>
        <w:rPr>
          <w:rFonts w:ascii="Garamond" w:hAnsi="Garamond"/>
          <w:b/>
          <w:sz w:val="24"/>
          <w:szCs w:val="24"/>
          <w:lang w:eastAsia="en-US"/>
        </w:rPr>
      </w:pPr>
    </w:p>
    <w:p w14:paraId="49D6A87A" w14:textId="18EA86CA" w:rsidR="00295C6D" w:rsidRDefault="00647FA0" w:rsidP="00E31AE6">
      <w:pPr>
        <w:jc w:val="both"/>
        <w:rPr>
          <w:rFonts w:ascii="Garamond" w:hAnsi="Garamond"/>
          <w:b/>
          <w:sz w:val="24"/>
          <w:szCs w:val="24"/>
          <w:lang w:eastAsia="en-US"/>
        </w:rPr>
      </w:pPr>
      <w:r>
        <w:rPr>
          <w:rFonts w:ascii="Garamond" w:hAnsi="Garamond"/>
          <w:b/>
          <w:sz w:val="24"/>
          <w:szCs w:val="24"/>
          <w:highlight w:val="yellow"/>
          <w:lang w:eastAsia="en-US"/>
        </w:rPr>
        <w:t>Добавить таблицы 4.1 и 4.2</w:t>
      </w:r>
    </w:p>
    <w:p w14:paraId="4B0A35B3" w14:textId="77777777" w:rsidR="00295C6D" w:rsidRPr="00794ED1" w:rsidRDefault="00295C6D" w:rsidP="00E31AE6">
      <w:pPr>
        <w:pStyle w:val="28"/>
        <w:jc w:val="right"/>
        <w:rPr>
          <w:rFonts w:cstheme="minorHAnsi"/>
          <w:b/>
          <w:szCs w:val="22"/>
          <w:highlight w:val="yellow"/>
        </w:rPr>
      </w:pPr>
      <w:r w:rsidRPr="00794ED1">
        <w:rPr>
          <w:rFonts w:cstheme="minorHAnsi"/>
          <w:b/>
          <w:szCs w:val="22"/>
          <w:highlight w:val="yellow"/>
        </w:rPr>
        <w:t>Таблица 4.1</w:t>
      </w:r>
    </w:p>
    <w:p w14:paraId="61BAE4A6" w14:textId="43D4DF37" w:rsidR="00295C6D" w:rsidRPr="00794ED1" w:rsidRDefault="00295C6D" w:rsidP="00E31AE6">
      <w:pPr>
        <w:spacing w:after="160"/>
        <w:jc w:val="center"/>
        <w:rPr>
          <w:rFonts w:ascii="Garamond" w:hAnsi="Garamond" w:cs="Times New Roman"/>
          <w:b/>
          <w:bCs/>
          <w:sz w:val="22"/>
          <w:szCs w:val="22"/>
          <w:highlight w:val="yellow"/>
        </w:rPr>
      </w:pPr>
      <w:r w:rsidRPr="00794ED1">
        <w:rPr>
          <w:rFonts w:ascii="Garamond" w:hAnsi="Garamond" w:cs="Times New Roman"/>
          <w:b/>
          <w:bCs/>
          <w:sz w:val="22"/>
          <w:szCs w:val="22"/>
          <w:highlight w:val="yellow"/>
        </w:rPr>
        <w:t>Перечень точек измерений и точек присоединения для объекта регулирования</w:t>
      </w:r>
      <w:r w:rsidR="009B5F03" w:rsidRPr="00794ED1">
        <w:rPr>
          <w:rFonts w:ascii="Garamond" w:hAnsi="Garamond" w:cs="Times New Roman"/>
          <w:b/>
          <w:bCs/>
          <w:sz w:val="22"/>
          <w:szCs w:val="22"/>
          <w:highlight w:val="yellow"/>
        </w:rPr>
        <w:t xml:space="preserve"> </w:t>
      </w:r>
      <w:r w:rsidRPr="00794ED1">
        <w:rPr>
          <w:rFonts w:ascii="Garamond" w:hAnsi="Garamond" w:cs="Times New Roman"/>
          <w:b/>
          <w:bCs/>
          <w:sz w:val="22"/>
          <w:szCs w:val="22"/>
          <w:highlight w:val="yellow"/>
        </w:rPr>
        <w:t>«</w:t>
      </w:r>
      <w:r w:rsidR="00C2374B">
        <w:rPr>
          <w:rFonts w:ascii="Garamond" w:hAnsi="Garamond" w:cs="Times New Roman"/>
          <w:b/>
          <w:bCs/>
          <w:sz w:val="22"/>
          <w:szCs w:val="22"/>
          <w:highlight w:val="yellow"/>
        </w:rPr>
        <w:t>н</w:t>
      </w:r>
      <w:r w:rsidRPr="00794ED1">
        <w:rPr>
          <w:rFonts w:ascii="Garamond" w:hAnsi="Garamond" w:cs="Times New Roman"/>
          <w:b/>
          <w:bCs/>
          <w:sz w:val="22"/>
          <w:szCs w:val="22"/>
          <w:highlight w:val="yellow"/>
        </w:rPr>
        <w:t>аименование ОР» (код ОР)</w:t>
      </w:r>
    </w:p>
    <w:p w14:paraId="4EAB84BF" w14:textId="77777777" w:rsidR="00794ED1" w:rsidRPr="00794ED1" w:rsidRDefault="00794ED1" w:rsidP="00E31AE6">
      <w:pPr>
        <w:spacing w:after="160"/>
        <w:jc w:val="center"/>
        <w:rPr>
          <w:rFonts w:ascii="Garamond" w:hAnsi="Garamond" w:cs="Times New Roman"/>
          <w:highlight w:val="yellow"/>
        </w:rPr>
      </w:pPr>
    </w:p>
    <w:tbl>
      <w:tblPr>
        <w:tblW w:w="14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6"/>
        <w:gridCol w:w="1446"/>
        <w:gridCol w:w="3118"/>
        <w:gridCol w:w="1985"/>
        <w:gridCol w:w="3083"/>
        <w:gridCol w:w="1878"/>
        <w:gridCol w:w="1134"/>
        <w:gridCol w:w="1134"/>
      </w:tblGrid>
      <w:tr w:rsidR="00295C6D" w:rsidRPr="00DB0D3F" w14:paraId="19EB1D43" w14:textId="77777777" w:rsidTr="00794ED1">
        <w:trPr>
          <w:trHeight w:val="1656"/>
        </w:trPr>
        <w:tc>
          <w:tcPr>
            <w:tcW w:w="676" w:type="dxa"/>
          </w:tcPr>
          <w:p w14:paraId="59E29F3A" w14:textId="77777777" w:rsidR="00295C6D" w:rsidRPr="00DB0D3F" w:rsidRDefault="00295C6D" w:rsidP="00E31AE6">
            <w:pPr>
              <w:jc w:val="center"/>
              <w:rPr>
                <w:rFonts w:ascii="Garamond" w:hAnsi="Garamond" w:cs="Times New Roman"/>
                <w:sz w:val="22"/>
                <w:szCs w:val="22"/>
                <w:highlight w:val="yellow"/>
              </w:rPr>
            </w:pPr>
            <w:r w:rsidRPr="00DB0D3F">
              <w:rPr>
                <w:rFonts w:ascii="Garamond" w:hAnsi="Garamond" w:cs="Times New Roman"/>
                <w:b/>
                <w:bCs/>
                <w:sz w:val="22"/>
                <w:szCs w:val="22"/>
                <w:highlight w:val="yellow"/>
              </w:rPr>
              <w:t>№ п/п</w:t>
            </w:r>
          </w:p>
        </w:tc>
        <w:tc>
          <w:tcPr>
            <w:tcW w:w="1446" w:type="dxa"/>
          </w:tcPr>
          <w:p w14:paraId="660355A0" w14:textId="77777777" w:rsidR="00295C6D" w:rsidRPr="00DB0D3F" w:rsidRDefault="00295C6D" w:rsidP="00E31AE6">
            <w:pPr>
              <w:jc w:val="center"/>
              <w:rPr>
                <w:rFonts w:ascii="Garamond" w:hAnsi="Garamond" w:cs="Times New Roman"/>
                <w:sz w:val="22"/>
                <w:szCs w:val="22"/>
                <w:highlight w:val="yellow"/>
              </w:rPr>
            </w:pPr>
            <w:r w:rsidRPr="00DB0D3F">
              <w:rPr>
                <w:rFonts w:ascii="Garamond" w:hAnsi="Garamond" w:cs="Times New Roman"/>
                <w:b/>
                <w:bCs/>
                <w:sz w:val="22"/>
                <w:szCs w:val="22"/>
                <w:highlight w:val="yellow"/>
              </w:rPr>
              <w:t>Точка присоединения (наименование точки присоединения, номер точки присоединения)</w:t>
            </w:r>
          </w:p>
        </w:tc>
        <w:tc>
          <w:tcPr>
            <w:tcW w:w="3118" w:type="dxa"/>
          </w:tcPr>
          <w:p w14:paraId="28F8C7FF" w14:textId="700E76AB" w:rsidR="00295C6D" w:rsidRPr="00DB0D3F" w:rsidRDefault="00295C6D" w:rsidP="00E31AE6">
            <w:pPr>
              <w:jc w:val="center"/>
              <w:rPr>
                <w:rFonts w:ascii="Garamond" w:hAnsi="Garamond" w:cs="Times New Roman"/>
                <w:b/>
                <w:bCs/>
                <w:sz w:val="22"/>
                <w:szCs w:val="22"/>
                <w:highlight w:val="yellow"/>
              </w:rPr>
            </w:pPr>
            <w:r w:rsidRPr="00DB0D3F">
              <w:rPr>
                <w:rFonts w:ascii="Garamond" w:hAnsi="Garamond" w:cs="Times New Roman"/>
                <w:b/>
                <w:bCs/>
                <w:sz w:val="22"/>
                <w:szCs w:val="22"/>
                <w:highlight w:val="yellow"/>
              </w:rPr>
              <w:t>Точка измерений</w:t>
            </w:r>
            <w:r w:rsidR="00C2374B" w:rsidRPr="00DB0D3F">
              <w:rPr>
                <w:rFonts w:ascii="Garamond" w:hAnsi="Garamond" w:cs="Times New Roman"/>
                <w:b/>
                <w:bCs/>
                <w:sz w:val="22"/>
                <w:szCs w:val="22"/>
                <w:highlight w:val="yellow"/>
              </w:rPr>
              <w:t>.</w:t>
            </w:r>
          </w:p>
          <w:p w14:paraId="6B1D588D" w14:textId="1BC5D748" w:rsidR="00295C6D" w:rsidRPr="00DB0D3F" w:rsidRDefault="00295C6D" w:rsidP="00E31AE6">
            <w:pPr>
              <w:jc w:val="center"/>
              <w:rPr>
                <w:rFonts w:ascii="Garamond" w:hAnsi="Garamond" w:cs="Times New Roman"/>
                <w:b/>
                <w:bCs/>
                <w:sz w:val="22"/>
                <w:szCs w:val="22"/>
                <w:highlight w:val="yellow"/>
              </w:rPr>
            </w:pPr>
            <w:r w:rsidRPr="00DB0D3F">
              <w:rPr>
                <w:rFonts w:ascii="Garamond" w:hAnsi="Garamond" w:cs="Times New Roman"/>
                <w:b/>
                <w:bCs/>
                <w:sz w:val="22"/>
                <w:szCs w:val="22"/>
                <w:highlight w:val="yellow"/>
              </w:rPr>
              <w:t>Место установки основного измерительного прибора (место подключения ТТ</w:t>
            </w:r>
            <w:r w:rsidR="00794ED1" w:rsidRPr="00DB0D3F">
              <w:rPr>
                <w:rFonts w:ascii="Garamond" w:hAnsi="Garamond" w:cs="Times New Roman"/>
                <w:b/>
                <w:bCs/>
                <w:sz w:val="22"/>
                <w:szCs w:val="22"/>
                <w:highlight w:val="yellow"/>
              </w:rPr>
              <w:t xml:space="preserve"> </w:t>
            </w:r>
            <w:r w:rsidRPr="00DB0D3F">
              <w:rPr>
                <w:rFonts w:ascii="Garamond" w:hAnsi="Garamond" w:cs="Times New Roman"/>
                <w:b/>
                <w:bCs/>
                <w:sz w:val="22"/>
                <w:szCs w:val="22"/>
                <w:highlight w:val="yellow"/>
              </w:rPr>
              <w:t>/</w:t>
            </w:r>
            <w:r w:rsidR="00794ED1" w:rsidRPr="00DB0D3F">
              <w:rPr>
                <w:rFonts w:ascii="Garamond" w:hAnsi="Garamond" w:cs="Times New Roman"/>
                <w:b/>
                <w:bCs/>
                <w:sz w:val="22"/>
                <w:szCs w:val="22"/>
                <w:highlight w:val="yellow"/>
              </w:rPr>
              <w:t xml:space="preserve"> </w:t>
            </w:r>
            <w:r w:rsidRPr="00DB0D3F">
              <w:rPr>
                <w:rFonts w:ascii="Garamond" w:hAnsi="Garamond" w:cs="Times New Roman"/>
                <w:b/>
                <w:bCs/>
                <w:sz w:val="22"/>
                <w:szCs w:val="22"/>
                <w:highlight w:val="yellow"/>
              </w:rPr>
              <w:t>прибора учета)</w:t>
            </w:r>
            <w:r w:rsidR="00C2374B" w:rsidRPr="00DB0D3F">
              <w:rPr>
                <w:rFonts w:ascii="Garamond" w:hAnsi="Garamond" w:cs="Times New Roman"/>
                <w:b/>
                <w:bCs/>
                <w:sz w:val="22"/>
                <w:szCs w:val="22"/>
                <w:highlight w:val="yellow"/>
              </w:rPr>
              <w:t>,</w:t>
            </w:r>
            <w:r w:rsidRPr="00DB0D3F">
              <w:rPr>
                <w:rFonts w:ascii="Garamond" w:hAnsi="Garamond" w:cs="Times New Roman"/>
                <w:b/>
                <w:bCs/>
                <w:sz w:val="22"/>
                <w:szCs w:val="22"/>
                <w:highlight w:val="yellow"/>
              </w:rPr>
              <w:t xml:space="preserve"> тип и модификация прибора учета</w:t>
            </w:r>
            <w:r w:rsidR="00C2374B" w:rsidRPr="00DB0D3F">
              <w:rPr>
                <w:rFonts w:ascii="Garamond" w:hAnsi="Garamond" w:cs="Times New Roman"/>
                <w:b/>
                <w:bCs/>
                <w:sz w:val="22"/>
                <w:szCs w:val="22"/>
                <w:highlight w:val="yellow"/>
              </w:rPr>
              <w:t>,</w:t>
            </w:r>
            <w:r w:rsidRPr="00DB0D3F">
              <w:rPr>
                <w:rFonts w:ascii="Garamond" w:hAnsi="Garamond" w:cs="Times New Roman"/>
                <w:b/>
                <w:bCs/>
                <w:sz w:val="22"/>
                <w:szCs w:val="22"/>
                <w:highlight w:val="yellow"/>
              </w:rPr>
              <w:t xml:space="preserve"> признак включения точки измерений в состав </w:t>
            </w:r>
            <w:r w:rsidR="00794ED1" w:rsidRPr="00DB0D3F">
              <w:rPr>
                <w:rFonts w:ascii="Garamond" w:hAnsi="Garamond" w:cs="Times New Roman"/>
                <w:b/>
                <w:bCs/>
                <w:sz w:val="22"/>
                <w:szCs w:val="22"/>
                <w:highlight w:val="yellow"/>
              </w:rPr>
              <w:t>с</w:t>
            </w:r>
            <w:r w:rsidRPr="00DB0D3F">
              <w:rPr>
                <w:rFonts w:ascii="Garamond" w:hAnsi="Garamond" w:cs="Times New Roman"/>
                <w:b/>
                <w:bCs/>
                <w:sz w:val="22"/>
                <w:szCs w:val="22"/>
                <w:highlight w:val="yellow"/>
              </w:rPr>
              <w:t>истемы учета</w:t>
            </w:r>
            <w:r w:rsidR="00C2374B" w:rsidRPr="00DB0D3F">
              <w:rPr>
                <w:rFonts w:ascii="Garamond" w:hAnsi="Garamond" w:cs="Times New Roman"/>
                <w:b/>
                <w:bCs/>
                <w:sz w:val="22"/>
                <w:szCs w:val="22"/>
                <w:highlight w:val="yellow"/>
              </w:rPr>
              <w:t>,</w:t>
            </w:r>
            <w:r w:rsidRPr="00DB0D3F">
              <w:rPr>
                <w:rFonts w:ascii="Garamond" w:hAnsi="Garamond" w:cs="Times New Roman"/>
                <w:b/>
                <w:bCs/>
                <w:sz w:val="22"/>
                <w:szCs w:val="22"/>
                <w:highlight w:val="yellow"/>
              </w:rPr>
              <w:t xml:space="preserve"> наименование поставщика информации</w:t>
            </w:r>
            <w:r w:rsidR="00C2374B" w:rsidRPr="00DB0D3F">
              <w:rPr>
                <w:rFonts w:ascii="Garamond" w:hAnsi="Garamond" w:cs="Times New Roman"/>
                <w:b/>
                <w:bCs/>
                <w:sz w:val="22"/>
                <w:szCs w:val="22"/>
                <w:highlight w:val="yellow"/>
              </w:rPr>
              <w:t>,</w:t>
            </w:r>
            <w:r w:rsidRPr="00DB0D3F">
              <w:rPr>
                <w:rFonts w:ascii="Garamond" w:hAnsi="Garamond" w:cs="Times New Roman"/>
                <w:b/>
                <w:bCs/>
                <w:sz w:val="22"/>
                <w:szCs w:val="22"/>
                <w:highlight w:val="yellow"/>
              </w:rPr>
              <w:t xml:space="preserve"> </w:t>
            </w:r>
          </w:p>
          <w:p w14:paraId="5FDB0E09" w14:textId="77777777" w:rsidR="00295C6D" w:rsidRPr="00DB0D3F" w:rsidRDefault="00295C6D" w:rsidP="00E31AE6">
            <w:pPr>
              <w:jc w:val="center"/>
              <w:rPr>
                <w:rFonts w:ascii="Garamond" w:hAnsi="Garamond" w:cs="Times New Roman"/>
                <w:b/>
                <w:bCs/>
                <w:sz w:val="22"/>
                <w:szCs w:val="22"/>
                <w:highlight w:val="yellow"/>
              </w:rPr>
            </w:pPr>
            <w:r w:rsidRPr="00DB0D3F">
              <w:rPr>
                <w:rFonts w:ascii="Garamond" w:hAnsi="Garamond" w:cs="Times New Roman"/>
                <w:b/>
                <w:bCs/>
                <w:sz w:val="22"/>
                <w:szCs w:val="22"/>
                <w:highlight w:val="yellow"/>
              </w:rPr>
              <w:t>номер точки измерений</w:t>
            </w:r>
          </w:p>
        </w:tc>
        <w:tc>
          <w:tcPr>
            <w:tcW w:w="1985" w:type="dxa"/>
          </w:tcPr>
          <w:p w14:paraId="71B65000" w14:textId="3D884F94" w:rsidR="00295C6D" w:rsidRPr="00DB0D3F" w:rsidRDefault="00295C6D" w:rsidP="00E31AE6">
            <w:pPr>
              <w:jc w:val="center"/>
              <w:rPr>
                <w:rFonts w:ascii="Garamond" w:hAnsi="Garamond" w:cs="Times New Roman"/>
                <w:b/>
                <w:bCs/>
                <w:sz w:val="22"/>
                <w:szCs w:val="22"/>
                <w:highlight w:val="yellow"/>
              </w:rPr>
            </w:pPr>
            <w:r w:rsidRPr="00DB0D3F">
              <w:rPr>
                <w:rFonts w:ascii="Garamond" w:hAnsi="Garamond" w:cs="Times New Roman"/>
                <w:b/>
                <w:bCs/>
                <w:sz w:val="22"/>
                <w:szCs w:val="22"/>
                <w:highlight w:val="yellow"/>
              </w:rPr>
              <w:t>Заводской номер прибора учета</w:t>
            </w:r>
            <w:r w:rsidR="00C2374B" w:rsidRPr="00DB0D3F">
              <w:rPr>
                <w:rFonts w:ascii="Garamond" w:hAnsi="Garamond" w:cs="Times New Roman"/>
                <w:b/>
                <w:bCs/>
                <w:sz w:val="22"/>
                <w:szCs w:val="22"/>
                <w:highlight w:val="yellow"/>
              </w:rPr>
              <w:t>,</w:t>
            </w:r>
          </w:p>
          <w:p w14:paraId="7A27FCF1" w14:textId="2DA86297" w:rsidR="00295C6D" w:rsidRPr="00DB0D3F" w:rsidRDefault="00295C6D" w:rsidP="00E31AE6">
            <w:pPr>
              <w:jc w:val="center"/>
              <w:rPr>
                <w:rFonts w:ascii="Garamond" w:hAnsi="Garamond" w:cs="Times New Roman"/>
                <w:b/>
                <w:bCs/>
                <w:sz w:val="22"/>
                <w:szCs w:val="22"/>
                <w:highlight w:val="yellow"/>
              </w:rPr>
            </w:pPr>
            <w:r w:rsidRPr="00DB0D3F">
              <w:rPr>
                <w:rFonts w:ascii="Garamond" w:hAnsi="Garamond" w:cs="Times New Roman"/>
                <w:b/>
                <w:bCs/>
                <w:sz w:val="22"/>
                <w:szCs w:val="22"/>
                <w:highlight w:val="yellow"/>
              </w:rPr>
              <w:t>срок действия поверки прибора учета</w:t>
            </w:r>
            <w:r w:rsidR="00C2374B" w:rsidRPr="00DB0D3F">
              <w:rPr>
                <w:rFonts w:ascii="Garamond" w:hAnsi="Garamond" w:cs="Times New Roman"/>
                <w:b/>
                <w:bCs/>
                <w:sz w:val="22"/>
                <w:szCs w:val="22"/>
                <w:highlight w:val="yellow"/>
              </w:rPr>
              <w:t>,</w:t>
            </w:r>
          </w:p>
          <w:p w14:paraId="6B1FADF2" w14:textId="77777777" w:rsidR="00295C6D" w:rsidRPr="00DB0D3F" w:rsidRDefault="00295C6D" w:rsidP="00E31AE6">
            <w:pPr>
              <w:jc w:val="center"/>
              <w:rPr>
                <w:rFonts w:ascii="Garamond" w:hAnsi="Garamond" w:cs="Times New Roman"/>
                <w:b/>
                <w:bCs/>
                <w:sz w:val="22"/>
                <w:szCs w:val="22"/>
                <w:highlight w:val="yellow"/>
              </w:rPr>
            </w:pPr>
            <w:r w:rsidRPr="00DB0D3F">
              <w:rPr>
                <w:rFonts w:ascii="Garamond" w:hAnsi="Garamond" w:cs="Times New Roman"/>
                <w:b/>
                <w:bCs/>
                <w:sz w:val="22"/>
                <w:szCs w:val="22"/>
                <w:highlight w:val="yellow"/>
              </w:rPr>
              <w:t>номер свидетельства о поверке прибора учета</w:t>
            </w:r>
          </w:p>
        </w:tc>
        <w:tc>
          <w:tcPr>
            <w:tcW w:w="3083" w:type="dxa"/>
          </w:tcPr>
          <w:p w14:paraId="39611B9E" w14:textId="5BE442CE" w:rsidR="00295C6D" w:rsidRPr="00DB0D3F" w:rsidRDefault="00295C6D" w:rsidP="00E31AE6">
            <w:pPr>
              <w:jc w:val="center"/>
              <w:rPr>
                <w:rFonts w:ascii="Garamond" w:hAnsi="Garamond" w:cs="Times New Roman"/>
                <w:b/>
                <w:bCs/>
                <w:sz w:val="22"/>
                <w:szCs w:val="22"/>
                <w:highlight w:val="yellow"/>
              </w:rPr>
            </w:pPr>
            <w:r w:rsidRPr="00DB0D3F">
              <w:rPr>
                <w:rFonts w:ascii="Garamond" w:hAnsi="Garamond" w:cs="Times New Roman"/>
                <w:b/>
                <w:bCs/>
                <w:sz w:val="22"/>
                <w:szCs w:val="22"/>
                <w:highlight w:val="yellow"/>
              </w:rPr>
              <w:t>Точка измерений</w:t>
            </w:r>
            <w:r w:rsidR="00C2374B" w:rsidRPr="00DB0D3F">
              <w:rPr>
                <w:rFonts w:ascii="Garamond" w:hAnsi="Garamond" w:cs="Times New Roman"/>
                <w:b/>
                <w:bCs/>
                <w:sz w:val="22"/>
                <w:szCs w:val="22"/>
                <w:highlight w:val="yellow"/>
              </w:rPr>
              <w:t>.</w:t>
            </w:r>
          </w:p>
          <w:p w14:paraId="5D6D5C3B" w14:textId="5E2077FE" w:rsidR="00295C6D" w:rsidRPr="00DB0D3F" w:rsidRDefault="00295C6D" w:rsidP="00E31AE6">
            <w:pPr>
              <w:jc w:val="center"/>
              <w:rPr>
                <w:rFonts w:ascii="Garamond" w:hAnsi="Garamond" w:cs="Times New Roman"/>
                <w:b/>
                <w:bCs/>
                <w:sz w:val="22"/>
                <w:szCs w:val="22"/>
                <w:highlight w:val="yellow"/>
              </w:rPr>
            </w:pPr>
            <w:r w:rsidRPr="00DB0D3F">
              <w:rPr>
                <w:rFonts w:ascii="Garamond" w:hAnsi="Garamond" w:cs="Times New Roman"/>
                <w:b/>
                <w:bCs/>
                <w:sz w:val="22"/>
                <w:szCs w:val="22"/>
                <w:highlight w:val="yellow"/>
              </w:rPr>
              <w:t>Место установки резервного измерительного прибора (место подключения ТТ</w:t>
            </w:r>
            <w:r w:rsidR="00C2374B" w:rsidRPr="00DB0D3F">
              <w:rPr>
                <w:rFonts w:ascii="Garamond" w:hAnsi="Garamond" w:cs="Times New Roman"/>
                <w:b/>
                <w:bCs/>
                <w:sz w:val="22"/>
                <w:szCs w:val="22"/>
                <w:highlight w:val="yellow"/>
              </w:rPr>
              <w:t xml:space="preserve"> </w:t>
            </w:r>
            <w:r w:rsidRPr="00DB0D3F">
              <w:rPr>
                <w:rFonts w:ascii="Garamond" w:hAnsi="Garamond" w:cs="Times New Roman"/>
                <w:b/>
                <w:bCs/>
                <w:sz w:val="22"/>
                <w:szCs w:val="22"/>
                <w:highlight w:val="yellow"/>
              </w:rPr>
              <w:t>/</w:t>
            </w:r>
            <w:r w:rsidR="00C2374B" w:rsidRPr="00DB0D3F">
              <w:rPr>
                <w:rFonts w:ascii="Garamond" w:hAnsi="Garamond" w:cs="Times New Roman"/>
                <w:b/>
                <w:bCs/>
                <w:sz w:val="22"/>
                <w:szCs w:val="22"/>
                <w:highlight w:val="yellow"/>
              </w:rPr>
              <w:t xml:space="preserve"> </w:t>
            </w:r>
            <w:r w:rsidRPr="00DB0D3F">
              <w:rPr>
                <w:rFonts w:ascii="Garamond" w:hAnsi="Garamond" w:cs="Times New Roman"/>
                <w:b/>
                <w:bCs/>
                <w:sz w:val="22"/>
                <w:szCs w:val="22"/>
                <w:highlight w:val="yellow"/>
              </w:rPr>
              <w:t>прибора учета)</w:t>
            </w:r>
            <w:r w:rsidR="00C2374B" w:rsidRPr="00DB0D3F">
              <w:rPr>
                <w:rFonts w:ascii="Garamond" w:hAnsi="Garamond" w:cs="Times New Roman"/>
                <w:b/>
                <w:bCs/>
                <w:sz w:val="22"/>
                <w:szCs w:val="22"/>
                <w:highlight w:val="yellow"/>
              </w:rPr>
              <w:t>,</w:t>
            </w:r>
            <w:r w:rsidRPr="00DB0D3F">
              <w:rPr>
                <w:rFonts w:ascii="Garamond" w:hAnsi="Garamond" w:cs="Times New Roman"/>
                <w:b/>
                <w:bCs/>
                <w:sz w:val="22"/>
                <w:szCs w:val="22"/>
                <w:highlight w:val="yellow"/>
              </w:rPr>
              <w:t xml:space="preserve"> тип и модификация прибора учета</w:t>
            </w:r>
            <w:r w:rsidR="00C2374B" w:rsidRPr="00DB0D3F">
              <w:rPr>
                <w:rFonts w:ascii="Garamond" w:hAnsi="Garamond" w:cs="Times New Roman"/>
                <w:b/>
                <w:bCs/>
                <w:sz w:val="22"/>
                <w:szCs w:val="22"/>
                <w:highlight w:val="yellow"/>
              </w:rPr>
              <w:t>,</w:t>
            </w:r>
            <w:r w:rsidRPr="00DB0D3F">
              <w:rPr>
                <w:rFonts w:ascii="Garamond" w:hAnsi="Garamond" w:cs="Times New Roman"/>
                <w:b/>
                <w:bCs/>
                <w:sz w:val="22"/>
                <w:szCs w:val="22"/>
                <w:highlight w:val="yellow"/>
              </w:rPr>
              <w:t xml:space="preserve"> признак вкл</w:t>
            </w:r>
            <w:r w:rsidR="00C2374B" w:rsidRPr="00DB0D3F">
              <w:rPr>
                <w:rFonts w:ascii="Garamond" w:hAnsi="Garamond" w:cs="Times New Roman"/>
                <w:b/>
                <w:bCs/>
                <w:sz w:val="22"/>
                <w:szCs w:val="22"/>
                <w:highlight w:val="yellow"/>
              </w:rPr>
              <w:t>ючения точки измерений в состав с</w:t>
            </w:r>
            <w:r w:rsidRPr="00DB0D3F">
              <w:rPr>
                <w:rFonts w:ascii="Garamond" w:hAnsi="Garamond" w:cs="Times New Roman"/>
                <w:b/>
                <w:bCs/>
                <w:sz w:val="22"/>
                <w:szCs w:val="22"/>
                <w:highlight w:val="yellow"/>
              </w:rPr>
              <w:t>истемы учета</w:t>
            </w:r>
            <w:r w:rsidR="00C2374B" w:rsidRPr="00DB0D3F">
              <w:rPr>
                <w:rFonts w:ascii="Garamond" w:hAnsi="Garamond" w:cs="Times New Roman"/>
                <w:b/>
                <w:bCs/>
                <w:sz w:val="22"/>
                <w:szCs w:val="22"/>
                <w:highlight w:val="yellow"/>
              </w:rPr>
              <w:t>,</w:t>
            </w:r>
            <w:r w:rsidRPr="00DB0D3F">
              <w:rPr>
                <w:rFonts w:ascii="Garamond" w:hAnsi="Garamond" w:cs="Times New Roman"/>
                <w:b/>
                <w:bCs/>
                <w:sz w:val="22"/>
                <w:szCs w:val="22"/>
                <w:highlight w:val="yellow"/>
              </w:rPr>
              <w:t xml:space="preserve"> наименование поставщика информации</w:t>
            </w:r>
            <w:r w:rsidR="00C2374B" w:rsidRPr="00DB0D3F">
              <w:rPr>
                <w:rFonts w:ascii="Garamond" w:hAnsi="Garamond" w:cs="Times New Roman"/>
                <w:b/>
                <w:bCs/>
                <w:sz w:val="22"/>
                <w:szCs w:val="22"/>
                <w:highlight w:val="yellow"/>
              </w:rPr>
              <w:t>,</w:t>
            </w:r>
            <w:r w:rsidRPr="00DB0D3F">
              <w:rPr>
                <w:rFonts w:ascii="Garamond" w:hAnsi="Garamond" w:cs="Times New Roman"/>
                <w:b/>
                <w:bCs/>
                <w:sz w:val="22"/>
                <w:szCs w:val="22"/>
                <w:highlight w:val="yellow"/>
              </w:rPr>
              <w:t xml:space="preserve"> </w:t>
            </w:r>
          </w:p>
          <w:p w14:paraId="4778297C" w14:textId="77777777" w:rsidR="00295C6D" w:rsidRPr="00DB0D3F" w:rsidRDefault="00295C6D" w:rsidP="00E31AE6">
            <w:pPr>
              <w:jc w:val="center"/>
              <w:rPr>
                <w:rFonts w:ascii="Garamond" w:hAnsi="Garamond" w:cs="Times New Roman"/>
                <w:b/>
                <w:bCs/>
                <w:sz w:val="22"/>
                <w:szCs w:val="22"/>
                <w:highlight w:val="yellow"/>
              </w:rPr>
            </w:pPr>
            <w:r w:rsidRPr="00DB0D3F">
              <w:rPr>
                <w:rFonts w:ascii="Garamond" w:hAnsi="Garamond" w:cs="Times New Roman"/>
                <w:b/>
                <w:bCs/>
                <w:sz w:val="22"/>
                <w:szCs w:val="22"/>
                <w:highlight w:val="yellow"/>
              </w:rPr>
              <w:t>номер точки измерений</w:t>
            </w:r>
          </w:p>
        </w:tc>
        <w:tc>
          <w:tcPr>
            <w:tcW w:w="1878" w:type="dxa"/>
          </w:tcPr>
          <w:p w14:paraId="67DC6305" w14:textId="3334206D" w:rsidR="00295C6D" w:rsidRPr="00DB0D3F" w:rsidRDefault="00295C6D" w:rsidP="00E31AE6">
            <w:pPr>
              <w:jc w:val="center"/>
              <w:rPr>
                <w:rFonts w:ascii="Garamond" w:hAnsi="Garamond" w:cs="Times New Roman"/>
                <w:b/>
                <w:bCs/>
                <w:sz w:val="22"/>
                <w:szCs w:val="22"/>
                <w:highlight w:val="yellow"/>
              </w:rPr>
            </w:pPr>
            <w:r w:rsidRPr="00DB0D3F">
              <w:rPr>
                <w:rFonts w:ascii="Garamond" w:hAnsi="Garamond" w:cs="Times New Roman"/>
                <w:b/>
                <w:bCs/>
                <w:sz w:val="22"/>
                <w:szCs w:val="22"/>
                <w:highlight w:val="yellow"/>
              </w:rPr>
              <w:t>Заводской номер прибора учета</w:t>
            </w:r>
            <w:r w:rsidR="00C2374B" w:rsidRPr="00DB0D3F">
              <w:rPr>
                <w:rFonts w:ascii="Garamond" w:hAnsi="Garamond" w:cs="Times New Roman"/>
                <w:b/>
                <w:bCs/>
                <w:sz w:val="22"/>
                <w:szCs w:val="22"/>
                <w:highlight w:val="yellow"/>
              </w:rPr>
              <w:t>,</w:t>
            </w:r>
          </w:p>
          <w:p w14:paraId="0CCFA304" w14:textId="4FA6C2A7" w:rsidR="00295C6D" w:rsidRPr="00DB0D3F" w:rsidRDefault="00295C6D" w:rsidP="00E31AE6">
            <w:pPr>
              <w:jc w:val="center"/>
              <w:rPr>
                <w:rFonts w:ascii="Garamond" w:hAnsi="Garamond" w:cs="Times New Roman"/>
                <w:b/>
                <w:bCs/>
                <w:sz w:val="22"/>
                <w:szCs w:val="22"/>
                <w:highlight w:val="yellow"/>
              </w:rPr>
            </w:pPr>
            <w:r w:rsidRPr="00DB0D3F">
              <w:rPr>
                <w:rFonts w:ascii="Garamond" w:hAnsi="Garamond" w:cs="Times New Roman"/>
                <w:b/>
                <w:bCs/>
                <w:sz w:val="22"/>
                <w:szCs w:val="22"/>
                <w:highlight w:val="yellow"/>
              </w:rPr>
              <w:t>срок действия поверки прибора учета</w:t>
            </w:r>
            <w:r w:rsidR="00C2374B" w:rsidRPr="00DB0D3F">
              <w:rPr>
                <w:rFonts w:ascii="Garamond" w:hAnsi="Garamond" w:cs="Times New Roman"/>
                <w:b/>
                <w:bCs/>
                <w:sz w:val="22"/>
                <w:szCs w:val="22"/>
                <w:highlight w:val="yellow"/>
              </w:rPr>
              <w:t>,</w:t>
            </w:r>
          </w:p>
          <w:p w14:paraId="14AD8F05" w14:textId="77777777" w:rsidR="00295C6D" w:rsidRPr="00DB0D3F" w:rsidRDefault="00295C6D" w:rsidP="00E31AE6">
            <w:pPr>
              <w:jc w:val="center"/>
              <w:rPr>
                <w:rFonts w:ascii="Garamond" w:hAnsi="Garamond" w:cs="Times New Roman"/>
                <w:b/>
                <w:bCs/>
                <w:sz w:val="22"/>
                <w:szCs w:val="22"/>
                <w:highlight w:val="yellow"/>
              </w:rPr>
            </w:pPr>
            <w:r w:rsidRPr="00DB0D3F">
              <w:rPr>
                <w:rFonts w:ascii="Garamond" w:hAnsi="Garamond" w:cs="Times New Roman"/>
                <w:b/>
                <w:bCs/>
                <w:sz w:val="22"/>
                <w:szCs w:val="22"/>
                <w:highlight w:val="yellow"/>
              </w:rPr>
              <w:t>номер свидетельства о поверке прибора учета</w:t>
            </w:r>
          </w:p>
        </w:tc>
        <w:tc>
          <w:tcPr>
            <w:tcW w:w="1134" w:type="dxa"/>
          </w:tcPr>
          <w:p w14:paraId="61547FFE" w14:textId="77777777" w:rsidR="00295C6D" w:rsidRPr="00DB0D3F" w:rsidRDefault="00295C6D" w:rsidP="00E31AE6">
            <w:pPr>
              <w:jc w:val="center"/>
              <w:rPr>
                <w:rFonts w:ascii="Garamond" w:hAnsi="Garamond" w:cs="Times New Roman"/>
                <w:sz w:val="22"/>
                <w:szCs w:val="22"/>
                <w:highlight w:val="yellow"/>
              </w:rPr>
            </w:pPr>
            <w:r w:rsidRPr="00DB0D3F">
              <w:rPr>
                <w:rFonts w:ascii="Garamond" w:hAnsi="Garamond" w:cs="Times New Roman"/>
                <w:b/>
                <w:bCs/>
                <w:sz w:val="22"/>
                <w:szCs w:val="22"/>
                <w:highlight w:val="yellow"/>
              </w:rPr>
              <w:t>Информация о расчете потерь</w:t>
            </w:r>
          </w:p>
        </w:tc>
        <w:tc>
          <w:tcPr>
            <w:tcW w:w="1134" w:type="dxa"/>
          </w:tcPr>
          <w:p w14:paraId="01BF1090" w14:textId="77777777" w:rsidR="00295C6D" w:rsidRPr="00DB0D3F" w:rsidRDefault="00295C6D" w:rsidP="00E31AE6">
            <w:pPr>
              <w:jc w:val="center"/>
              <w:rPr>
                <w:rFonts w:ascii="Garamond" w:hAnsi="Garamond" w:cs="Times New Roman"/>
                <w:sz w:val="22"/>
                <w:szCs w:val="22"/>
                <w:highlight w:val="yellow"/>
              </w:rPr>
            </w:pPr>
            <w:r w:rsidRPr="00DB0D3F">
              <w:rPr>
                <w:rFonts w:ascii="Garamond" w:hAnsi="Garamond" w:cs="Times New Roman"/>
                <w:b/>
                <w:bCs/>
                <w:sz w:val="22"/>
                <w:szCs w:val="22"/>
                <w:highlight w:val="yellow"/>
              </w:rPr>
              <w:t>Примечания</w:t>
            </w:r>
          </w:p>
        </w:tc>
      </w:tr>
      <w:tr w:rsidR="00295C6D" w:rsidRPr="00DB0D3F" w14:paraId="58522457" w14:textId="77777777" w:rsidTr="00794ED1">
        <w:tc>
          <w:tcPr>
            <w:tcW w:w="676" w:type="dxa"/>
          </w:tcPr>
          <w:p w14:paraId="6BCE489D" w14:textId="77777777" w:rsidR="00295C6D" w:rsidRPr="00DB0D3F" w:rsidRDefault="00295C6D" w:rsidP="00E31AE6">
            <w:pPr>
              <w:jc w:val="center"/>
              <w:rPr>
                <w:rFonts w:ascii="Garamond" w:hAnsi="Garamond" w:cs="Times New Roman"/>
                <w:sz w:val="22"/>
                <w:szCs w:val="22"/>
                <w:highlight w:val="yellow"/>
              </w:rPr>
            </w:pPr>
            <w:r w:rsidRPr="00DB0D3F">
              <w:rPr>
                <w:rFonts w:ascii="Garamond" w:hAnsi="Garamond" w:cs="Times New Roman"/>
                <w:b/>
                <w:bCs/>
                <w:sz w:val="22"/>
                <w:szCs w:val="22"/>
                <w:highlight w:val="yellow"/>
              </w:rPr>
              <w:t>1</w:t>
            </w:r>
          </w:p>
        </w:tc>
        <w:tc>
          <w:tcPr>
            <w:tcW w:w="1446" w:type="dxa"/>
          </w:tcPr>
          <w:p w14:paraId="63C4A57F" w14:textId="77777777" w:rsidR="00295C6D" w:rsidRPr="00DB0D3F" w:rsidRDefault="00295C6D" w:rsidP="00E31AE6">
            <w:pPr>
              <w:jc w:val="center"/>
              <w:rPr>
                <w:rFonts w:ascii="Garamond" w:hAnsi="Garamond" w:cs="Times New Roman"/>
                <w:sz w:val="22"/>
                <w:szCs w:val="22"/>
                <w:highlight w:val="yellow"/>
              </w:rPr>
            </w:pPr>
            <w:r w:rsidRPr="00DB0D3F">
              <w:rPr>
                <w:rFonts w:ascii="Garamond" w:hAnsi="Garamond" w:cs="Times New Roman"/>
                <w:b/>
                <w:bCs/>
                <w:sz w:val="22"/>
                <w:szCs w:val="22"/>
                <w:highlight w:val="yellow"/>
              </w:rPr>
              <w:t>2</w:t>
            </w:r>
          </w:p>
        </w:tc>
        <w:tc>
          <w:tcPr>
            <w:tcW w:w="3118" w:type="dxa"/>
          </w:tcPr>
          <w:p w14:paraId="0A0DD9B9" w14:textId="77777777" w:rsidR="00295C6D" w:rsidRPr="00DB0D3F" w:rsidRDefault="00295C6D" w:rsidP="00E31AE6">
            <w:pPr>
              <w:jc w:val="center"/>
              <w:rPr>
                <w:rFonts w:ascii="Garamond" w:hAnsi="Garamond" w:cs="Times New Roman"/>
                <w:sz w:val="22"/>
                <w:szCs w:val="22"/>
                <w:highlight w:val="yellow"/>
              </w:rPr>
            </w:pPr>
            <w:r w:rsidRPr="00DB0D3F">
              <w:rPr>
                <w:rFonts w:ascii="Garamond" w:hAnsi="Garamond" w:cs="Times New Roman"/>
                <w:b/>
                <w:bCs/>
                <w:sz w:val="22"/>
                <w:szCs w:val="22"/>
                <w:highlight w:val="yellow"/>
              </w:rPr>
              <w:t>3</w:t>
            </w:r>
          </w:p>
        </w:tc>
        <w:tc>
          <w:tcPr>
            <w:tcW w:w="1985" w:type="dxa"/>
          </w:tcPr>
          <w:p w14:paraId="506646DA" w14:textId="77777777" w:rsidR="00295C6D" w:rsidRPr="00DB0D3F" w:rsidRDefault="00295C6D" w:rsidP="00E31AE6">
            <w:pPr>
              <w:jc w:val="center"/>
              <w:rPr>
                <w:rFonts w:ascii="Garamond" w:hAnsi="Garamond" w:cs="Times New Roman"/>
                <w:sz w:val="22"/>
                <w:szCs w:val="22"/>
                <w:highlight w:val="yellow"/>
              </w:rPr>
            </w:pPr>
            <w:r w:rsidRPr="00DB0D3F">
              <w:rPr>
                <w:rFonts w:ascii="Garamond" w:hAnsi="Garamond" w:cs="Times New Roman"/>
                <w:b/>
                <w:bCs/>
                <w:sz w:val="22"/>
                <w:szCs w:val="22"/>
                <w:highlight w:val="yellow"/>
              </w:rPr>
              <w:t>4</w:t>
            </w:r>
          </w:p>
        </w:tc>
        <w:tc>
          <w:tcPr>
            <w:tcW w:w="3083" w:type="dxa"/>
          </w:tcPr>
          <w:p w14:paraId="7EB8FF52" w14:textId="77777777" w:rsidR="00295C6D" w:rsidRPr="00DB0D3F" w:rsidRDefault="00295C6D" w:rsidP="00E31AE6">
            <w:pPr>
              <w:jc w:val="center"/>
              <w:rPr>
                <w:rFonts w:ascii="Garamond" w:hAnsi="Garamond" w:cs="Times New Roman"/>
                <w:b/>
                <w:bCs/>
                <w:sz w:val="22"/>
                <w:szCs w:val="22"/>
                <w:highlight w:val="yellow"/>
              </w:rPr>
            </w:pPr>
            <w:r w:rsidRPr="00DB0D3F">
              <w:rPr>
                <w:rFonts w:ascii="Garamond" w:hAnsi="Garamond" w:cs="Times New Roman"/>
                <w:b/>
                <w:bCs/>
                <w:sz w:val="22"/>
                <w:szCs w:val="22"/>
                <w:highlight w:val="yellow"/>
              </w:rPr>
              <w:t>5</w:t>
            </w:r>
          </w:p>
        </w:tc>
        <w:tc>
          <w:tcPr>
            <w:tcW w:w="1878" w:type="dxa"/>
          </w:tcPr>
          <w:p w14:paraId="1A27DCBC" w14:textId="77777777" w:rsidR="00295C6D" w:rsidRPr="00DB0D3F" w:rsidRDefault="00295C6D" w:rsidP="00E31AE6">
            <w:pPr>
              <w:jc w:val="center"/>
              <w:rPr>
                <w:rFonts w:ascii="Garamond" w:hAnsi="Garamond" w:cs="Times New Roman"/>
                <w:b/>
                <w:bCs/>
                <w:sz w:val="22"/>
                <w:szCs w:val="22"/>
                <w:highlight w:val="yellow"/>
              </w:rPr>
            </w:pPr>
            <w:r w:rsidRPr="00DB0D3F">
              <w:rPr>
                <w:rFonts w:ascii="Garamond" w:hAnsi="Garamond" w:cs="Times New Roman"/>
                <w:b/>
                <w:bCs/>
                <w:sz w:val="22"/>
                <w:szCs w:val="22"/>
                <w:highlight w:val="yellow"/>
              </w:rPr>
              <w:t>6</w:t>
            </w:r>
          </w:p>
        </w:tc>
        <w:tc>
          <w:tcPr>
            <w:tcW w:w="1134" w:type="dxa"/>
          </w:tcPr>
          <w:p w14:paraId="064BDA2A" w14:textId="77777777" w:rsidR="00295C6D" w:rsidRPr="00DB0D3F" w:rsidRDefault="00295C6D" w:rsidP="00E31AE6">
            <w:pPr>
              <w:jc w:val="center"/>
              <w:rPr>
                <w:rFonts w:ascii="Garamond" w:hAnsi="Garamond" w:cs="Times New Roman"/>
                <w:sz w:val="22"/>
                <w:szCs w:val="22"/>
                <w:highlight w:val="yellow"/>
              </w:rPr>
            </w:pPr>
            <w:r w:rsidRPr="00DB0D3F">
              <w:rPr>
                <w:rFonts w:ascii="Garamond" w:hAnsi="Garamond" w:cs="Times New Roman"/>
                <w:b/>
                <w:bCs/>
                <w:sz w:val="22"/>
                <w:szCs w:val="22"/>
                <w:highlight w:val="yellow"/>
              </w:rPr>
              <w:t>7</w:t>
            </w:r>
          </w:p>
        </w:tc>
        <w:tc>
          <w:tcPr>
            <w:tcW w:w="1134" w:type="dxa"/>
          </w:tcPr>
          <w:p w14:paraId="26FD23C6" w14:textId="77777777" w:rsidR="00295C6D" w:rsidRPr="00DB0D3F" w:rsidRDefault="00295C6D" w:rsidP="00E31AE6">
            <w:pPr>
              <w:jc w:val="center"/>
              <w:rPr>
                <w:rFonts w:ascii="Garamond" w:hAnsi="Garamond" w:cs="Times New Roman"/>
                <w:sz w:val="22"/>
                <w:szCs w:val="22"/>
                <w:highlight w:val="yellow"/>
              </w:rPr>
            </w:pPr>
            <w:r w:rsidRPr="00DB0D3F">
              <w:rPr>
                <w:rFonts w:ascii="Garamond" w:hAnsi="Garamond" w:cs="Times New Roman"/>
                <w:b/>
                <w:bCs/>
                <w:sz w:val="22"/>
                <w:szCs w:val="22"/>
                <w:highlight w:val="yellow"/>
              </w:rPr>
              <w:t>8</w:t>
            </w:r>
          </w:p>
        </w:tc>
      </w:tr>
      <w:tr w:rsidR="00295C6D" w:rsidRPr="00DB0D3F" w14:paraId="0C4F4D20" w14:textId="77777777" w:rsidTr="00794ED1">
        <w:tc>
          <w:tcPr>
            <w:tcW w:w="676" w:type="dxa"/>
          </w:tcPr>
          <w:p w14:paraId="62490D66" w14:textId="77777777" w:rsidR="00295C6D" w:rsidRPr="00DB0D3F" w:rsidRDefault="00295C6D" w:rsidP="00E31AE6">
            <w:pPr>
              <w:jc w:val="center"/>
              <w:rPr>
                <w:rFonts w:ascii="Garamond" w:hAnsi="Garamond" w:cs="Times New Roman"/>
                <w:sz w:val="22"/>
                <w:szCs w:val="22"/>
                <w:highlight w:val="yellow"/>
              </w:rPr>
            </w:pPr>
          </w:p>
        </w:tc>
        <w:tc>
          <w:tcPr>
            <w:tcW w:w="1446" w:type="dxa"/>
          </w:tcPr>
          <w:p w14:paraId="2793DC32" w14:textId="77777777" w:rsidR="00295C6D" w:rsidRPr="00DB0D3F" w:rsidRDefault="00295C6D" w:rsidP="00E31AE6">
            <w:pPr>
              <w:jc w:val="center"/>
              <w:rPr>
                <w:rFonts w:ascii="Garamond" w:hAnsi="Garamond" w:cs="Times New Roman"/>
                <w:sz w:val="22"/>
                <w:szCs w:val="22"/>
                <w:highlight w:val="yellow"/>
              </w:rPr>
            </w:pPr>
          </w:p>
        </w:tc>
        <w:tc>
          <w:tcPr>
            <w:tcW w:w="3118" w:type="dxa"/>
          </w:tcPr>
          <w:p w14:paraId="6E733158" w14:textId="77777777" w:rsidR="00295C6D" w:rsidRPr="00DB0D3F" w:rsidRDefault="00295C6D" w:rsidP="00E31AE6">
            <w:pPr>
              <w:rPr>
                <w:rFonts w:ascii="Garamond" w:hAnsi="Garamond" w:cs="Times New Roman"/>
                <w:sz w:val="22"/>
                <w:szCs w:val="22"/>
                <w:highlight w:val="yellow"/>
              </w:rPr>
            </w:pPr>
          </w:p>
        </w:tc>
        <w:tc>
          <w:tcPr>
            <w:tcW w:w="1985" w:type="dxa"/>
          </w:tcPr>
          <w:p w14:paraId="5438EC3D" w14:textId="77777777" w:rsidR="00295C6D" w:rsidRPr="00DB0D3F" w:rsidRDefault="00295C6D" w:rsidP="00E31AE6">
            <w:pPr>
              <w:jc w:val="center"/>
              <w:rPr>
                <w:rFonts w:ascii="Garamond" w:hAnsi="Garamond" w:cs="Times New Roman"/>
                <w:sz w:val="22"/>
                <w:szCs w:val="22"/>
                <w:highlight w:val="yellow"/>
              </w:rPr>
            </w:pPr>
          </w:p>
        </w:tc>
        <w:tc>
          <w:tcPr>
            <w:tcW w:w="3083" w:type="dxa"/>
          </w:tcPr>
          <w:p w14:paraId="26CBAFF6" w14:textId="77777777" w:rsidR="00295C6D" w:rsidRPr="00DB0D3F" w:rsidRDefault="00295C6D" w:rsidP="00E31AE6">
            <w:pPr>
              <w:jc w:val="center"/>
              <w:rPr>
                <w:rFonts w:ascii="Garamond" w:hAnsi="Garamond" w:cs="Times New Roman"/>
                <w:sz w:val="22"/>
                <w:szCs w:val="22"/>
                <w:highlight w:val="yellow"/>
              </w:rPr>
            </w:pPr>
          </w:p>
        </w:tc>
        <w:tc>
          <w:tcPr>
            <w:tcW w:w="1878" w:type="dxa"/>
          </w:tcPr>
          <w:p w14:paraId="6F2A3500" w14:textId="77777777" w:rsidR="00295C6D" w:rsidRPr="00DB0D3F" w:rsidRDefault="00295C6D" w:rsidP="00E31AE6">
            <w:pPr>
              <w:jc w:val="center"/>
              <w:rPr>
                <w:rFonts w:ascii="Garamond" w:hAnsi="Garamond" w:cs="Times New Roman"/>
                <w:sz w:val="22"/>
                <w:szCs w:val="22"/>
                <w:highlight w:val="yellow"/>
              </w:rPr>
            </w:pPr>
          </w:p>
        </w:tc>
        <w:tc>
          <w:tcPr>
            <w:tcW w:w="1134" w:type="dxa"/>
          </w:tcPr>
          <w:p w14:paraId="41402986" w14:textId="77777777" w:rsidR="00295C6D" w:rsidRPr="00DB0D3F" w:rsidRDefault="00295C6D" w:rsidP="00E31AE6">
            <w:pPr>
              <w:jc w:val="center"/>
              <w:rPr>
                <w:rFonts w:ascii="Garamond" w:hAnsi="Garamond" w:cs="Times New Roman"/>
                <w:sz w:val="22"/>
                <w:szCs w:val="22"/>
                <w:highlight w:val="yellow"/>
              </w:rPr>
            </w:pPr>
          </w:p>
        </w:tc>
        <w:tc>
          <w:tcPr>
            <w:tcW w:w="1134" w:type="dxa"/>
          </w:tcPr>
          <w:p w14:paraId="5585E281" w14:textId="77777777" w:rsidR="00295C6D" w:rsidRPr="00DB0D3F" w:rsidRDefault="00295C6D" w:rsidP="00E31AE6">
            <w:pPr>
              <w:rPr>
                <w:rFonts w:ascii="Garamond" w:hAnsi="Garamond" w:cs="Times New Roman"/>
                <w:sz w:val="22"/>
                <w:szCs w:val="22"/>
                <w:highlight w:val="yellow"/>
              </w:rPr>
            </w:pPr>
          </w:p>
        </w:tc>
      </w:tr>
    </w:tbl>
    <w:p w14:paraId="786BBA80" w14:textId="77777777" w:rsidR="00794ED1" w:rsidRDefault="00794ED1" w:rsidP="00E31AE6">
      <w:pPr>
        <w:rPr>
          <w:rFonts w:ascii="Garamond" w:hAnsi="Garamond" w:cs="Times New Roman"/>
          <w:bCs/>
          <w:sz w:val="18"/>
          <w:szCs w:val="18"/>
          <w:highlight w:val="yellow"/>
        </w:rPr>
      </w:pPr>
    </w:p>
    <w:p w14:paraId="594E8B6E" w14:textId="59C868DD" w:rsidR="00295C6D" w:rsidRPr="00DB0D3F" w:rsidRDefault="00295C6D" w:rsidP="00E31AE6">
      <w:pPr>
        <w:rPr>
          <w:rFonts w:ascii="Garamond" w:hAnsi="Garamond" w:cs="Times New Roman"/>
          <w:bCs/>
          <w:highlight w:val="yellow"/>
        </w:rPr>
      </w:pPr>
      <w:r w:rsidRPr="00DB0D3F">
        <w:rPr>
          <w:rFonts w:ascii="Garamond" w:hAnsi="Garamond" w:cs="Times New Roman"/>
          <w:bCs/>
          <w:highlight w:val="yellow"/>
        </w:rPr>
        <w:t>Примечание к ПСИ:</w:t>
      </w:r>
    </w:p>
    <w:p w14:paraId="3547EDC1" w14:textId="77777777" w:rsidR="00295C6D" w:rsidRPr="00DB0D3F" w:rsidRDefault="00295C6D" w:rsidP="00E31AE6">
      <w:pPr>
        <w:rPr>
          <w:rFonts w:ascii="Garamond" w:hAnsi="Garamond" w:cs="Times New Roman"/>
          <w:highlight w:val="yellow"/>
        </w:rPr>
      </w:pPr>
    </w:p>
    <w:p w14:paraId="2378C315" w14:textId="77777777" w:rsidR="00295C6D" w:rsidRPr="00DB0D3F" w:rsidRDefault="00295C6D" w:rsidP="00E31AE6">
      <w:pPr>
        <w:rPr>
          <w:rFonts w:ascii="Garamond" w:hAnsi="Garamond" w:cs="Times New Roman"/>
          <w:highlight w:val="yellow"/>
        </w:rPr>
      </w:pPr>
      <w:r w:rsidRPr="00DB0D3F">
        <w:rPr>
          <w:rFonts w:ascii="Garamond" w:hAnsi="Garamond" w:cs="Times New Roman"/>
          <w:bCs/>
          <w:highlight w:val="yellow"/>
        </w:rPr>
        <w:t>Перечень точек измерений и точек присоединения сформирован на основании данных, переданных в макете 60000</w:t>
      </w:r>
      <w:r w:rsidRPr="00DB0D3F">
        <w:rPr>
          <w:rFonts w:ascii="Garamond" w:hAnsi="Garamond" w:cs="Times New Roman"/>
          <w:highlight w:val="yellow"/>
        </w:rPr>
        <w:t>:</w:t>
      </w:r>
    </w:p>
    <w:p w14:paraId="6AE0B86B" w14:textId="77777777" w:rsidR="00295C6D" w:rsidRPr="00DB0D3F" w:rsidRDefault="00295C6D" w:rsidP="00E31AE6">
      <w:pPr>
        <w:rPr>
          <w:rFonts w:ascii="Garamond" w:hAnsi="Garamond" w:cs="Times New Roman"/>
          <w:highlight w:val="yellow"/>
        </w:rPr>
      </w:pPr>
      <w:r w:rsidRPr="00DB0D3F">
        <w:rPr>
          <w:rFonts w:ascii="Garamond" w:hAnsi="Garamond" w:cs="Times New Roman"/>
          <w:highlight w:val="yellow"/>
        </w:rPr>
        <w:t xml:space="preserve">ID файла: </w:t>
      </w:r>
    </w:p>
    <w:p w14:paraId="4A0FDF20" w14:textId="77777777" w:rsidR="00295C6D" w:rsidRPr="00DB0D3F" w:rsidRDefault="00295C6D" w:rsidP="00E31AE6">
      <w:pPr>
        <w:rPr>
          <w:rFonts w:ascii="Garamond" w:hAnsi="Garamond" w:cs="Times New Roman"/>
          <w:highlight w:val="yellow"/>
        </w:rPr>
      </w:pPr>
      <w:r w:rsidRPr="00DB0D3F">
        <w:rPr>
          <w:rFonts w:ascii="Garamond" w:hAnsi="Garamond" w:cs="Times New Roman"/>
          <w:highlight w:val="yellow"/>
        </w:rPr>
        <w:t xml:space="preserve">Имя файла: </w:t>
      </w:r>
    </w:p>
    <w:p w14:paraId="5DEFAB03" w14:textId="77777777" w:rsidR="00295C6D" w:rsidRPr="00DB0D3F" w:rsidRDefault="00295C6D" w:rsidP="00E31AE6">
      <w:pPr>
        <w:rPr>
          <w:rFonts w:ascii="Garamond" w:hAnsi="Garamond" w:cs="Times New Roman"/>
          <w:highlight w:val="yellow"/>
        </w:rPr>
      </w:pPr>
      <w:r w:rsidRPr="00DB0D3F">
        <w:rPr>
          <w:rFonts w:ascii="Garamond" w:hAnsi="Garamond" w:cs="Times New Roman"/>
          <w:highlight w:val="yellow"/>
        </w:rPr>
        <w:t xml:space="preserve">ЭП 1: </w:t>
      </w:r>
    </w:p>
    <w:p w14:paraId="4E806A81" w14:textId="77777777" w:rsidR="00295C6D" w:rsidRPr="00DB0D3F" w:rsidRDefault="00295C6D" w:rsidP="00E31AE6">
      <w:pPr>
        <w:rPr>
          <w:rFonts w:ascii="Garamond" w:hAnsi="Garamond" w:cs="Times New Roman"/>
          <w:highlight w:val="yellow"/>
        </w:rPr>
      </w:pPr>
      <w:r w:rsidRPr="00DB0D3F">
        <w:rPr>
          <w:rFonts w:ascii="Garamond" w:hAnsi="Garamond" w:cs="Times New Roman"/>
          <w:highlight w:val="yellow"/>
        </w:rPr>
        <w:t xml:space="preserve">ЭП 2: </w:t>
      </w:r>
    </w:p>
    <w:p w14:paraId="2F82BD97" w14:textId="77777777" w:rsidR="00295C6D" w:rsidRPr="00794ED1" w:rsidRDefault="00295C6D" w:rsidP="00E31AE6">
      <w:pPr>
        <w:jc w:val="right"/>
        <w:rPr>
          <w:rFonts w:ascii="Garamond" w:hAnsi="Garamond" w:cs="Times New Roman"/>
          <w:highlight w:val="yellow"/>
        </w:rPr>
      </w:pPr>
      <w:r w:rsidRPr="00794ED1">
        <w:rPr>
          <w:rFonts w:ascii="Garamond" w:hAnsi="Garamond" w:cs="Times New Roman"/>
          <w:highlight w:val="yellow"/>
        </w:rPr>
        <w:br w:type="page"/>
      </w:r>
    </w:p>
    <w:p w14:paraId="45B024D2" w14:textId="77777777" w:rsidR="00295C6D" w:rsidRPr="00794ED1" w:rsidRDefault="00295C6D" w:rsidP="00E31AE6">
      <w:pPr>
        <w:pStyle w:val="28"/>
        <w:jc w:val="right"/>
        <w:rPr>
          <w:rFonts w:cstheme="minorHAnsi"/>
          <w:b/>
          <w:szCs w:val="22"/>
          <w:highlight w:val="yellow"/>
        </w:rPr>
      </w:pPr>
      <w:r w:rsidRPr="00794ED1">
        <w:rPr>
          <w:rFonts w:cstheme="minorHAnsi"/>
          <w:b/>
          <w:szCs w:val="22"/>
          <w:highlight w:val="yellow"/>
        </w:rPr>
        <w:lastRenderedPageBreak/>
        <w:t>Таблица 4.2</w:t>
      </w:r>
    </w:p>
    <w:p w14:paraId="11815366" w14:textId="77777777" w:rsidR="00295C6D" w:rsidRPr="00DB0D3F" w:rsidRDefault="00295C6D" w:rsidP="00E31AE6">
      <w:pPr>
        <w:jc w:val="right"/>
        <w:rPr>
          <w:rFonts w:ascii="Garamond" w:hAnsi="Garamond" w:cs="Times New Roman"/>
          <w:highlight w:val="yellow"/>
        </w:rPr>
      </w:pPr>
      <w:r w:rsidRPr="00DB0D3F">
        <w:rPr>
          <w:rFonts w:ascii="Garamond" w:hAnsi="Garamond" w:cs="Times New Roman"/>
          <w:b/>
          <w:bCs/>
          <w:highlight w:val="yellow"/>
        </w:rPr>
        <w:t>Приложение 2 к Перечню точек измерений и точек присоединения</w:t>
      </w:r>
      <w:r w:rsidRPr="00DB0D3F" w:rsidDel="000859DE">
        <w:rPr>
          <w:rFonts w:ascii="Garamond" w:hAnsi="Garamond" w:cs="Times New Roman"/>
          <w:b/>
          <w:bCs/>
          <w:highlight w:val="yellow"/>
        </w:rPr>
        <w:t xml:space="preserve"> </w:t>
      </w:r>
    </w:p>
    <w:p w14:paraId="296931FE" w14:textId="77777777" w:rsidR="00295C6D" w:rsidRPr="00DB0D3F" w:rsidRDefault="00295C6D" w:rsidP="00E31AE6">
      <w:pPr>
        <w:ind w:left="708"/>
        <w:jc w:val="right"/>
        <w:rPr>
          <w:rFonts w:ascii="Garamond" w:hAnsi="Garamond" w:cstheme="minorHAnsi"/>
          <w:i/>
          <w:noProof/>
          <w:highlight w:val="yellow"/>
        </w:rPr>
      </w:pPr>
      <w:r w:rsidRPr="00DB0D3F">
        <w:rPr>
          <w:rFonts w:ascii="Garamond" w:hAnsi="Garamond" w:cstheme="minorHAnsi"/>
          <w:i/>
          <w:noProof/>
          <w:highlight w:val="yellow"/>
        </w:rPr>
        <w:t>№ версии __________</w:t>
      </w:r>
    </w:p>
    <w:p w14:paraId="43AFB11E" w14:textId="77777777" w:rsidR="00295C6D" w:rsidRPr="00794ED1" w:rsidRDefault="00295C6D" w:rsidP="00E31AE6">
      <w:pPr>
        <w:jc w:val="right"/>
        <w:rPr>
          <w:rFonts w:ascii="Garamond" w:hAnsi="Garamond" w:cs="Times New Roman"/>
          <w:i/>
          <w:iCs/>
          <w:highlight w:val="yellow"/>
        </w:rPr>
      </w:pPr>
      <w:r w:rsidRPr="00794ED1">
        <w:rPr>
          <w:rFonts w:ascii="Garamond" w:hAnsi="Garamond" w:cs="Times New Roman"/>
          <w:i/>
          <w:iCs/>
          <w:highlight w:val="yellow"/>
        </w:rPr>
        <w:t xml:space="preserve"> </w:t>
      </w:r>
    </w:p>
    <w:p w14:paraId="462AAF8E" w14:textId="77777777" w:rsidR="00295C6D" w:rsidRPr="00794ED1" w:rsidRDefault="00295C6D" w:rsidP="00E31AE6">
      <w:pPr>
        <w:jc w:val="right"/>
        <w:rPr>
          <w:rFonts w:ascii="Garamond" w:hAnsi="Garamond" w:cs="Times New Roman"/>
          <w:highlight w:val="yellow"/>
        </w:rPr>
      </w:pPr>
    </w:p>
    <w:p w14:paraId="6E9DA463" w14:textId="77777777" w:rsidR="00295C6D" w:rsidRPr="00DB0D3F" w:rsidRDefault="00295C6D" w:rsidP="00E31AE6">
      <w:pPr>
        <w:spacing w:after="160"/>
        <w:jc w:val="center"/>
        <w:rPr>
          <w:rFonts w:ascii="Garamond" w:hAnsi="Garamond" w:cs="Times New Roman"/>
          <w:sz w:val="22"/>
          <w:szCs w:val="22"/>
          <w:highlight w:val="yellow"/>
        </w:rPr>
      </w:pPr>
      <w:r w:rsidRPr="00DB0D3F">
        <w:rPr>
          <w:rFonts w:ascii="Garamond" w:hAnsi="Garamond" w:cs="Times New Roman"/>
          <w:b/>
          <w:bCs/>
          <w:sz w:val="22"/>
          <w:szCs w:val="22"/>
          <w:highlight w:val="yellow"/>
        </w:rPr>
        <w:t>Алгоритм расчета величины сальдо перетоков электроэнергии для объекта регулирования «Наименование ОР» (код ОР)</w:t>
      </w:r>
    </w:p>
    <w:p w14:paraId="3B54E4E0" w14:textId="77777777" w:rsidR="00DB0D3F" w:rsidRDefault="00DB0D3F" w:rsidP="00E31AE6">
      <w:pPr>
        <w:rPr>
          <w:rFonts w:ascii="Garamond" w:hAnsi="Garamond" w:cs="Times New Roman"/>
          <w:b/>
          <w:bCs/>
          <w:sz w:val="22"/>
          <w:szCs w:val="22"/>
          <w:highlight w:val="yellow"/>
        </w:rPr>
      </w:pPr>
    </w:p>
    <w:p w14:paraId="30B866F2" w14:textId="7AB6367A" w:rsidR="00295C6D" w:rsidRPr="00DB0D3F" w:rsidRDefault="00295C6D" w:rsidP="00E31AE6">
      <w:pPr>
        <w:rPr>
          <w:rFonts w:ascii="Garamond" w:hAnsi="Garamond" w:cs="Times New Roman"/>
          <w:sz w:val="22"/>
          <w:szCs w:val="22"/>
          <w:highlight w:val="yellow"/>
        </w:rPr>
      </w:pPr>
      <w:r w:rsidRPr="00DB0D3F">
        <w:rPr>
          <w:rFonts w:ascii="Garamond" w:hAnsi="Garamond" w:cs="Times New Roman"/>
          <w:b/>
          <w:bCs/>
          <w:sz w:val="22"/>
          <w:szCs w:val="22"/>
          <w:highlight w:val="yellow"/>
        </w:rPr>
        <w:t>Система учета:</w:t>
      </w:r>
      <w:r w:rsidRPr="00DB0D3F">
        <w:rPr>
          <w:rFonts w:ascii="Garamond" w:hAnsi="Garamond" w:cs="Times New Roman"/>
          <w:sz w:val="22"/>
          <w:szCs w:val="22"/>
          <w:highlight w:val="yellow"/>
        </w:rPr>
        <w:t xml:space="preserve"> </w:t>
      </w:r>
    </w:p>
    <w:p w14:paraId="2D522ADB" w14:textId="77777777" w:rsidR="00295C6D" w:rsidRPr="00DB0D3F" w:rsidRDefault="00295C6D" w:rsidP="00E31AE6">
      <w:pPr>
        <w:rPr>
          <w:rFonts w:ascii="Garamond" w:hAnsi="Garamond" w:cs="Times New Roman"/>
          <w:b/>
          <w:bCs/>
          <w:sz w:val="22"/>
          <w:szCs w:val="22"/>
          <w:highlight w:val="yellow"/>
        </w:rPr>
      </w:pPr>
      <w:r w:rsidRPr="00DB0D3F">
        <w:rPr>
          <w:rFonts w:ascii="Garamond" w:hAnsi="Garamond" w:cs="Times New Roman"/>
          <w:b/>
          <w:bCs/>
          <w:sz w:val="22"/>
          <w:szCs w:val="22"/>
          <w:highlight w:val="yellow"/>
        </w:rPr>
        <w:t xml:space="preserve">Группа передачи информации (area): </w:t>
      </w:r>
    </w:p>
    <w:p w14:paraId="4442DE56" w14:textId="77777777" w:rsidR="00295C6D" w:rsidRPr="00DB0D3F" w:rsidRDefault="00295C6D" w:rsidP="00E31AE6">
      <w:pPr>
        <w:rPr>
          <w:rFonts w:ascii="Garamond" w:hAnsi="Garamond" w:cs="Times New Roman"/>
          <w:sz w:val="22"/>
          <w:szCs w:val="22"/>
          <w:highlight w:val="yellow"/>
        </w:rPr>
      </w:pPr>
    </w:p>
    <w:tbl>
      <w:tblPr>
        <w:tblW w:w="153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562"/>
        <w:gridCol w:w="1888"/>
        <w:gridCol w:w="1231"/>
        <w:gridCol w:w="1500"/>
        <w:gridCol w:w="1945"/>
        <w:gridCol w:w="1555"/>
        <w:gridCol w:w="1945"/>
        <w:gridCol w:w="1555"/>
        <w:gridCol w:w="3123"/>
      </w:tblGrid>
      <w:tr w:rsidR="00295C6D" w:rsidRPr="00DB0D3F" w14:paraId="1EB21C3E" w14:textId="77777777" w:rsidTr="00E31AE6">
        <w:trPr>
          <w:jc w:val="center"/>
        </w:trPr>
        <w:tc>
          <w:tcPr>
            <w:tcW w:w="562" w:type="dxa"/>
            <w:shd w:val="clear" w:color="auto" w:fill="FFFFFF"/>
            <w:vAlign w:val="center"/>
          </w:tcPr>
          <w:p w14:paraId="54586DB8" w14:textId="77777777" w:rsidR="00295C6D" w:rsidRPr="00DB0D3F" w:rsidRDefault="00295C6D" w:rsidP="00E31AE6">
            <w:pPr>
              <w:jc w:val="center"/>
              <w:rPr>
                <w:rFonts w:ascii="Garamond" w:hAnsi="Garamond" w:cs="Times New Roman"/>
                <w:sz w:val="22"/>
                <w:szCs w:val="22"/>
                <w:highlight w:val="yellow"/>
              </w:rPr>
            </w:pPr>
            <w:r w:rsidRPr="00DB0D3F">
              <w:rPr>
                <w:rFonts w:ascii="Garamond" w:hAnsi="Garamond" w:cs="Times New Roman"/>
                <w:b/>
                <w:bCs/>
                <w:sz w:val="22"/>
                <w:szCs w:val="22"/>
                <w:highlight w:val="yellow"/>
              </w:rPr>
              <w:t>№ п/п</w:t>
            </w:r>
          </w:p>
        </w:tc>
        <w:tc>
          <w:tcPr>
            <w:tcW w:w="3119" w:type="dxa"/>
            <w:gridSpan w:val="2"/>
            <w:shd w:val="clear" w:color="auto" w:fill="FFFFFF"/>
            <w:vAlign w:val="center"/>
          </w:tcPr>
          <w:p w14:paraId="5F761BEF" w14:textId="77777777" w:rsidR="00295C6D" w:rsidRPr="00DB0D3F" w:rsidRDefault="00295C6D" w:rsidP="00E31AE6">
            <w:pPr>
              <w:jc w:val="center"/>
              <w:rPr>
                <w:rFonts w:ascii="Garamond" w:hAnsi="Garamond" w:cs="Times New Roman"/>
                <w:sz w:val="22"/>
                <w:szCs w:val="22"/>
                <w:highlight w:val="yellow"/>
              </w:rPr>
            </w:pPr>
            <w:r w:rsidRPr="00DB0D3F">
              <w:rPr>
                <w:rFonts w:ascii="Garamond" w:hAnsi="Garamond" w:cs="Times New Roman"/>
                <w:b/>
                <w:bCs/>
                <w:sz w:val="22"/>
                <w:szCs w:val="22"/>
                <w:highlight w:val="yellow"/>
              </w:rPr>
              <w:t>Точка присоединения</w:t>
            </w:r>
          </w:p>
        </w:tc>
        <w:tc>
          <w:tcPr>
            <w:tcW w:w="8500" w:type="dxa"/>
            <w:gridSpan w:val="5"/>
            <w:shd w:val="clear" w:color="auto" w:fill="FFFFFF"/>
            <w:vAlign w:val="center"/>
          </w:tcPr>
          <w:p w14:paraId="511A95D6" w14:textId="2CB77FBD" w:rsidR="00295C6D" w:rsidRPr="00DB0D3F" w:rsidRDefault="00295C6D" w:rsidP="00E31AE6">
            <w:pPr>
              <w:jc w:val="center"/>
              <w:rPr>
                <w:rFonts w:ascii="Garamond" w:hAnsi="Garamond" w:cs="Times New Roman"/>
                <w:sz w:val="22"/>
                <w:szCs w:val="22"/>
                <w:highlight w:val="yellow"/>
              </w:rPr>
            </w:pPr>
            <w:r w:rsidRPr="00DB0D3F">
              <w:rPr>
                <w:rFonts w:ascii="Garamond" w:hAnsi="Garamond" w:cs="Times New Roman"/>
                <w:b/>
                <w:bCs/>
                <w:sz w:val="22"/>
                <w:szCs w:val="22"/>
                <w:highlight w:val="yellow"/>
              </w:rPr>
              <w:t>Точки измерений</w:t>
            </w:r>
            <w:r w:rsidR="00D91742" w:rsidRPr="00DB0D3F">
              <w:rPr>
                <w:rFonts w:ascii="Garamond" w:hAnsi="Garamond" w:cs="Times New Roman"/>
                <w:b/>
                <w:bCs/>
                <w:sz w:val="22"/>
                <w:szCs w:val="22"/>
                <w:highlight w:val="yellow"/>
              </w:rPr>
              <w:t xml:space="preserve"> </w:t>
            </w:r>
            <w:r w:rsidRPr="00DB0D3F">
              <w:rPr>
                <w:rFonts w:ascii="Garamond" w:hAnsi="Garamond" w:cs="Times New Roman"/>
                <w:b/>
                <w:bCs/>
                <w:sz w:val="22"/>
                <w:szCs w:val="22"/>
                <w:highlight w:val="yellow"/>
              </w:rPr>
              <w:t>/</w:t>
            </w:r>
            <w:r w:rsidR="00D91742" w:rsidRPr="00DB0D3F">
              <w:rPr>
                <w:rFonts w:ascii="Garamond" w:hAnsi="Garamond" w:cs="Times New Roman"/>
                <w:b/>
                <w:bCs/>
                <w:sz w:val="22"/>
                <w:szCs w:val="22"/>
                <w:highlight w:val="yellow"/>
              </w:rPr>
              <w:t xml:space="preserve"> </w:t>
            </w:r>
            <w:r w:rsidRPr="00DB0D3F">
              <w:rPr>
                <w:rFonts w:ascii="Garamond" w:hAnsi="Garamond" w:cs="Times New Roman"/>
                <w:b/>
                <w:bCs/>
                <w:sz w:val="22"/>
                <w:szCs w:val="22"/>
                <w:highlight w:val="yellow"/>
              </w:rPr>
              <w:t>измерительные каналы</w:t>
            </w:r>
          </w:p>
        </w:tc>
        <w:tc>
          <w:tcPr>
            <w:tcW w:w="3123" w:type="dxa"/>
            <w:shd w:val="clear" w:color="auto" w:fill="FFFFFF"/>
            <w:vAlign w:val="center"/>
          </w:tcPr>
          <w:p w14:paraId="03F30FCF" w14:textId="77777777" w:rsidR="00295C6D" w:rsidRPr="00DB0D3F" w:rsidRDefault="00295C6D" w:rsidP="00E31AE6">
            <w:pPr>
              <w:jc w:val="center"/>
              <w:rPr>
                <w:rFonts w:ascii="Garamond" w:hAnsi="Garamond" w:cs="Times New Roman"/>
                <w:sz w:val="22"/>
                <w:szCs w:val="22"/>
                <w:highlight w:val="yellow"/>
              </w:rPr>
            </w:pPr>
            <w:r w:rsidRPr="00DB0D3F">
              <w:rPr>
                <w:rFonts w:ascii="Garamond" w:hAnsi="Garamond" w:cs="Times New Roman"/>
                <w:b/>
                <w:bCs/>
                <w:sz w:val="22"/>
                <w:szCs w:val="22"/>
                <w:highlight w:val="yellow"/>
              </w:rPr>
              <w:t>Алгоритм расчета потерь</w:t>
            </w:r>
          </w:p>
        </w:tc>
      </w:tr>
      <w:tr w:rsidR="00295C6D" w:rsidRPr="00DB0D3F" w14:paraId="185929D2" w14:textId="77777777" w:rsidTr="00E31AE6">
        <w:tblPrEx>
          <w:jc w:val="left"/>
          <w:tblCellMar>
            <w:left w:w="108" w:type="dxa"/>
            <w:right w:w="108" w:type="dxa"/>
          </w:tblCellMar>
        </w:tblPrEx>
        <w:tc>
          <w:tcPr>
            <w:tcW w:w="562" w:type="dxa"/>
            <w:vMerge w:val="restart"/>
          </w:tcPr>
          <w:p w14:paraId="31F23829" w14:textId="77777777" w:rsidR="00295C6D" w:rsidRPr="00DB0D3F" w:rsidRDefault="00295C6D" w:rsidP="00E31AE6">
            <w:pPr>
              <w:rPr>
                <w:rFonts w:ascii="Garamond" w:hAnsi="Garamond" w:cs="Times New Roman"/>
                <w:sz w:val="22"/>
                <w:szCs w:val="22"/>
                <w:highlight w:val="yellow"/>
              </w:rPr>
            </w:pPr>
          </w:p>
        </w:tc>
        <w:tc>
          <w:tcPr>
            <w:tcW w:w="1888" w:type="dxa"/>
            <w:vMerge w:val="restart"/>
          </w:tcPr>
          <w:p w14:paraId="34615B3B" w14:textId="77777777" w:rsidR="00295C6D" w:rsidRPr="00DB0D3F" w:rsidRDefault="00295C6D" w:rsidP="00E31AE6">
            <w:pPr>
              <w:jc w:val="center"/>
              <w:rPr>
                <w:rFonts w:ascii="Garamond" w:hAnsi="Garamond" w:cs="Times New Roman"/>
                <w:sz w:val="22"/>
                <w:szCs w:val="22"/>
                <w:highlight w:val="yellow"/>
              </w:rPr>
            </w:pPr>
            <w:r w:rsidRPr="00DB0D3F">
              <w:rPr>
                <w:rFonts w:ascii="Garamond" w:hAnsi="Garamond" w:cs="Times New Roman"/>
                <w:b/>
                <w:bCs/>
                <w:sz w:val="22"/>
                <w:szCs w:val="22"/>
                <w:highlight w:val="yellow"/>
              </w:rPr>
              <w:t>Наименование</w:t>
            </w:r>
          </w:p>
        </w:tc>
        <w:tc>
          <w:tcPr>
            <w:tcW w:w="1231" w:type="dxa"/>
            <w:vMerge w:val="restart"/>
          </w:tcPr>
          <w:p w14:paraId="15F5B436" w14:textId="77777777" w:rsidR="00295C6D" w:rsidRPr="00DB0D3F" w:rsidRDefault="00295C6D" w:rsidP="00E31AE6">
            <w:pPr>
              <w:jc w:val="center"/>
              <w:rPr>
                <w:rFonts w:ascii="Garamond" w:hAnsi="Garamond" w:cs="Times New Roman"/>
                <w:sz w:val="22"/>
                <w:szCs w:val="22"/>
                <w:highlight w:val="yellow"/>
              </w:rPr>
            </w:pPr>
            <w:r w:rsidRPr="00DB0D3F">
              <w:rPr>
                <w:rFonts w:ascii="Garamond" w:hAnsi="Garamond" w:cs="Times New Roman"/>
                <w:b/>
                <w:bCs/>
                <w:sz w:val="22"/>
                <w:szCs w:val="22"/>
                <w:highlight w:val="yellow"/>
              </w:rPr>
              <w:t>Код</w:t>
            </w:r>
          </w:p>
        </w:tc>
        <w:tc>
          <w:tcPr>
            <w:tcW w:w="1500" w:type="dxa"/>
            <w:vMerge w:val="restart"/>
          </w:tcPr>
          <w:p w14:paraId="0E0F43ED" w14:textId="77777777" w:rsidR="00295C6D" w:rsidRPr="00DB0D3F" w:rsidRDefault="00295C6D" w:rsidP="00E31AE6">
            <w:pPr>
              <w:jc w:val="center"/>
              <w:rPr>
                <w:rFonts w:ascii="Garamond" w:hAnsi="Garamond" w:cs="Times New Roman"/>
                <w:sz w:val="22"/>
                <w:szCs w:val="22"/>
                <w:highlight w:val="yellow"/>
              </w:rPr>
            </w:pPr>
            <w:r w:rsidRPr="00DB0D3F">
              <w:rPr>
                <w:rFonts w:ascii="Garamond" w:hAnsi="Garamond" w:cs="Times New Roman"/>
                <w:b/>
                <w:bCs/>
                <w:sz w:val="22"/>
                <w:szCs w:val="22"/>
                <w:highlight w:val="yellow"/>
              </w:rPr>
              <w:t>Точка измерений</w:t>
            </w:r>
          </w:p>
        </w:tc>
        <w:tc>
          <w:tcPr>
            <w:tcW w:w="3500" w:type="dxa"/>
            <w:gridSpan w:val="2"/>
          </w:tcPr>
          <w:p w14:paraId="7AAD996F" w14:textId="77777777" w:rsidR="00295C6D" w:rsidRPr="00DB0D3F" w:rsidRDefault="00295C6D" w:rsidP="00E31AE6">
            <w:pPr>
              <w:jc w:val="center"/>
              <w:rPr>
                <w:rFonts w:ascii="Garamond" w:hAnsi="Garamond" w:cs="Times New Roman"/>
                <w:sz w:val="22"/>
                <w:szCs w:val="22"/>
                <w:highlight w:val="yellow"/>
              </w:rPr>
            </w:pPr>
            <w:r w:rsidRPr="00DB0D3F">
              <w:rPr>
                <w:rFonts w:ascii="Garamond" w:hAnsi="Garamond" w:cs="Times New Roman"/>
                <w:b/>
                <w:bCs/>
                <w:sz w:val="22"/>
                <w:szCs w:val="22"/>
                <w:highlight w:val="yellow"/>
              </w:rPr>
              <w:t>Отдача</w:t>
            </w:r>
          </w:p>
        </w:tc>
        <w:tc>
          <w:tcPr>
            <w:tcW w:w="3500" w:type="dxa"/>
            <w:gridSpan w:val="2"/>
          </w:tcPr>
          <w:p w14:paraId="70E43C52" w14:textId="77777777" w:rsidR="00295C6D" w:rsidRPr="00DB0D3F" w:rsidRDefault="00295C6D" w:rsidP="00E31AE6">
            <w:pPr>
              <w:jc w:val="center"/>
              <w:rPr>
                <w:rFonts w:ascii="Garamond" w:hAnsi="Garamond" w:cs="Times New Roman"/>
                <w:sz w:val="22"/>
                <w:szCs w:val="22"/>
                <w:highlight w:val="yellow"/>
              </w:rPr>
            </w:pPr>
            <w:r w:rsidRPr="00DB0D3F">
              <w:rPr>
                <w:rFonts w:ascii="Garamond" w:hAnsi="Garamond" w:cs="Times New Roman"/>
                <w:b/>
                <w:bCs/>
                <w:sz w:val="22"/>
                <w:szCs w:val="22"/>
                <w:highlight w:val="yellow"/>
              </w:rPr>
              <w:t>Прием</w:t>
            </w:r>
          </w:p>
        </w:tc>
        <w:tc>
          <w:tcPr>
            <w:tcW w:w="3123" w:type="dxa"/>
            <w:vMerge w:val="restart"/>
          </w:tcPr>
          <w:p w14:paraId="7EEAFF82" w14:textId="77777777" w:rsidR="00295C6D" w:rsidRPr="00DB0D3F" w:rsidRDefault="00295C6D" w:rsidP="00E31AE6">
            <w:pPr>
              <w:jc w:val="center"/>
              <w:rPr>
                <w:rFonts w:ascii="Garamond" w:hAnsi="Garamond" w:cs="Times New Roman"/>
                <w:sz w:val="22"/>
                <w:szCs w:val="22"/>
                <w:highlight w:val="yellow"/>
              </w:rPr>
            </w:pPr>
            <w:r w:rsidRPr="00DB0D3F">
              <w:rPr>
                <w:rFonts w:ascii="Garamond" w:hAnsi="Garamond" w:cs="Times New Roman"/>
                <w:b/>
                <w:bCs/>
                <w:sz w:val="22"/>
                <w:szCs w:val="22"/>
                <w:highlight w:val="yellow"/>
              </w:rPr>
              <w:t>Формула</w:t>
            </w:r>
          </w:p>
        </w:tc>
      </w:tr>
      <w:tr w:rsidR="00295C6D" w:rsidRPr="00DB0D3F" w14:paraId="155475C5" w14:textId="77777777" w:rsidTr="00E31AE6">
        <w:tblPrEx>
          <w:jc w:val="left"/>
          <w:tblCellMar>
            <w:left w:w="108" w:type="dxa"/>
            <w:right w:w="108" w:type="dxa"/>
          </w:tblCellMar>
        </w:tblPrEx>
        <w:tc>
          <w:tcPr>
            <w:tcW w:w="562" w:type="dxa"/>
            <w:vMerge/>
          </w:tcPr>
          <w:p w14:paraId="2FA6200D" w14:textId="77777777" w:rsidR="00295C6D" w:rsidRPr="00DB0D3F" w:rsidRDefault="00295C6D" w:rsidP="00E31AE6">
            <w:pPr>
              <w:rPr>
                <w:rFonts w:ascii="Garamond" w:hAnsi="Garamond" w:cs="Times New Roman"/>
                <w:sz w:val="22"/>
                <w:szCs w:val="22"/>
                <w:highlight w:val="yellow"/>
              </w:rPr>
            </w:pPr>
          </w:p>
        </w:tc>
        <w:tc>
          <w:tcPr>
            <w:tcW w:w="1888" w:type="dxa"/>
            <w:vMerge/>
          </w:tcPr>
          <w:p w14:paraId="1328667F" w14:textId="77777777" w:rsidR="00295C6D" w:rsidRPr="00DB0D3F" w:rsidRDefault="00295C6D" w:rsidP="00E31AE6">
            <w:pPr>
              <w:rPr>
                <w:rFonts w:ascii="Garamond" w:hAnsi="Garamond" w:cs="Times New Roman"/>
                <w:sz w:val="22"/>
                <w:szCs w:val="22"/>
                <w:highlight w:val="yellow"/>
              </w:rPr>
            </w:pPr>
          </w:p>
        </w:tc>
        <w:tc>
          <w:tcPr>
            <w:tcW w:w="1231" w:type="dxa"/>
            <w:vMerge/>
          </w:tcPr>
          <w:p w14:paraId="0FF0CC77" w14:textId="77777777" w:rsidR="00295C6D" w:rsidRPr="00DB0D3F" w:rsidRDefault="00295C6D" w:rsidP="00E31AE6">
            <w:pPr>
              <w:rPr>
                <w:rFonts w:ascii="Garamond" w:hAnsi="Garamond" w:cs="Times New Roman"/>
                <w:sz w:val="22"/>
                <w:szCs w:val="22"/>
                <w:highlight w:val="yellow"/>
              </w:rPr>
            </w:pPr>
          </w:p>
        </w:tc>
        <w:tc>
          <w:tcPr>
            <w:tcW w:w="1500" w:type="dxa"/>
            <w:vMerge/>
          </w:tcPr>
          <w:p w14:paraId="23E098CB" w14:textId="77777777" w:rsidR="00295C6D" w:rsidRPr="00DB0D3F" w:rsidRDefault="00295C6D" w:rsidP="00E31AE6">
            <w:pPr>
              <w:rPr>
                <w:rFonts w:ascii="Garamond" w:hAnsi="Garamond" w:cs="Times New Roman"/>
                <w:sz w:val="22"/>
                <w:szCs w:val="22"/>
                <w:highlight w:val="yellow"/>
              </w:rPr>
            </w:pPr>
          </w:p>
        </w:tc>
        <w:tc>
          <w:tcPr>
            <w:tcW w:w="1945" w:type="dxa"/>
          </w:tcPr>
          <w:p w14:paraId="7A5279FC" w14:textId="77777777" w:rsidR="00295C6D" w:rsidRPr="00DB0D3F" w:rsidRDefault="00295C6D" w:rsidP="00E31AE6">
            <w:pPr>
              <w:jc w:val="center"/>
              <w:rPr>
                <w:rFonts w:ascii="Garamond" w:hAnsi="Garamond" w:cs="Times New Roman"/>
                <w:sz w:val="22"/>
                <w:szCs w:val="22"/>
                <w:highlight w:val="yellow"/>
              </w:rPr>
            </w:pPr>
            <w:r w:rsidRPr="00DB0D3F">
              <w:rPr>
                <w:rFonts w:ascii="Garamond" w:hAnsi="Garamond" w:cs="Times New Roman"/>
                <w:b/>
                <w:bCs/>
                <w:sz w:val="22"/>
                <w:szCs w:val="22"/>
                <w:highlight w:val="yellow"/>
              </w:rPr>
              <w:t>Код</w:t>
            </w:r>
          </w:p>
        </w:tc>
        <w:tc>
          <w:tcPr>
            <w:tcW w:w="1555" w:type="dxa"/>
          </w:tcPr>
          <w:p w14:paraId="491EBB5F" w14:textId="77777777" w:rsidR="00295C6D" w:rsidRPr="00DB0D3F" w:rsidRDefault="00295C6D" w:rsidP="00E31AE6">
            <w:pPr>
              <w:jc w:val="center"/>
              <w:rPr>
                <w:rFonts w:ascii="Garamond" w:hAnsi="Garamond" w:cs="Times New Roman"/>
                <w:sz w:val="22"/>
                <w:szCs w:val="22"/>
                <w:highlight w:val="yellow"/>
              </w:rPr>
            </w:pPr>
            <w:r w:rsidRPr="00DB0D3F">
              <w:rPr>
                <w:rFonts w:ascii="Garamond" w:hAnsi="Garamond" w:cs="Times New Roman"/>
                <w:b/>
                <w:bCs/>
                <w:sz w:val="22"/>
                <w:szCs w:val="22"/>
                <w:highlight w:val="yellow"/>
              </w:rPr>
              <w:t>Мнемоника</w:t>
            </w:r>
          </w:p>
        </w:tc>
        <w:tc>
          <w:tcPr>
            <w:tcW w:w="1945" w:type="dxa"/>
          </w:tcPr>
          <w:p w14:paraId="3B070B0C" w14:textId="77777777" w:rsidR="00295C6D" w:rsidRPr="00DB0D3F" w:rsidRDefault="00295C6D" w:rsidP="00E31AE6">
            <w:pPr>
              <w:jc w:val="center"/>
              <w:rPr>
                <w:rFonts w:ascii="Garamond" w:hAnsi="Garamond" w:cs="Times New Roman"/>
                <w:sz w:val="22"/>
                <w:szCs w:val="22"/>
                <w:highlight w:val="yellow"/>
              </w:rPr>
            </w:pPr>
            <w:r w:rsidRPr="00DB0D3F">
              <w:rPr>
                <w:rFonts w:ascii="Garamond" w:hAnsi="Garamond" w:cs="Times New Roman"/>
                <w:b/>
                <w:bCs/>
                <w:sz w:val="22"/>
                <w:szCs w:val="22"/>
                <w:highlight w:val="yellow"/>
              </w:rPr>
              <w:t>Код</w:t>
            </w:r>
          </w:p>
        </w:tc>
        <w:tc>
          <w:tcPr>
            <w:tcW w:w="1555" w:type="dxa"/>
          </w:tcPr>
          <w:p w14:paraId="183F958B" w14:textId="77777777" w:rsidR="00295C6D" w:rsidRPr="00DB0D3F" w:rsidRDefault="00295C6D" w:rsidP="00E31AE6">
            <w:pPr>
              <w:jc w:val="center"/>
              <w:rPr>
                <w:rFonts w:ascii="Garamond" w:hAnsi="Garamond" w:cs="Times New Roman"/>
                <w:sz w:val="22"/>
                <w:szCs w:val="22"/>
                <w:highlight w:val="yellow"/>
              </w:rPr>
            </w:pPr>
            <w:r w:rsidRPr="00DB0D3F">
              <w:rPr>
                <w:rFonts w:ascii="Garamond" w:hAnsi="Garamond" w:cs="Times New Roman"/>
                <w:b/>
                <w:bCs/>
                <w:sz w:val="22"/>
                <w:szCs w:val="22"/>
                <w:highlight w:val="yellow"/>
              </w:rPr>
              <w:t>Мнемоника</w:t>
            </w:r>
          </w:p>
        </w:tc>
        <w:tc>
          <w:tcPr>
            <w:tcW w:w="3123" w:type="dxa"/>
            <w:vMerge/>
          </w:tcPr>
          <w:p w14:paraId="5A58A23A" w14:textId="77777777" w:rsidR="00295C6D" w:rsidRPr="00DB0D3F" w:rsidRDefault="00295C6D" w:rsidP="00E31AE6">
            <w:pPr>
              <w:rPr>
                <w:rFonts w:ascii="Garamond" w:hAnsi="Garamond" w:cs="Times New Roman"/>
                <w:sz w:val="22"/>
                <w:szCs w:val="22"/>
                <w:highlight w:val="yellow"/>
              </w:rPr>
            </w:pPr>
          </w:p>
        </w:tc>
      </w:tr>
      <w:tr w:rsidR="00295C6D" w:rsidRPr="00DB0D3F" w14:paraId="2C1BB431" w14:textId="77777777" w:rsidTr="00E31AE6">
        <w:tblPrEx>
          <w:jc w:val="left"/>
          <w:tblCellMar>
            <w:left w:w="108" w:type="dxa"/>
            <w:right w:w="108" w:type="dxa"/>
          </w:tblCellMar>
        </w:tblPrEx>
        <w:tc>
          <w:tcPr>
            <w:tcW w:w="562" w:type="dxa"/>
          </w:tcPr>
          <w:p w14:paraId="6436D337" w14:textId="77777777" w:rsidR="00295C6D" w:rsidRPr="00DB0D3F" w:rsidRDefault="00295C6D" w:rsidP="00E31AE6">
            <w:pPr>
              <w:jc w:val="center"/>
              <w:rPr>
                <w:rFonts w:ascii="Garamond" w:hAnsi="Garamond" w:cs="Times New Roman"/>
                <w:sz w:val="22"/>
                <w:szCs w:val="22"/>
                <w:highlight w:val="yellow"/>
              </w:rPr>
            </w:pPr>
            <w:r w:rsidRPr="00DB0D3F">
              <w:rPr>
                <w:rFonts w:ascii="Garamond" w:hAnsi="Garamond" w:cs="Times New Roman"/>
                <w:b/>
                <w:bCs/>
                <w:sz w:val="22"/>
                <w:szCs w:val="22"/>
                <w:highlight w:val="yellow"/>
              </w:rPr>
              <w:t>1</w:t>
            </w:r>
          </w:p>
        </w:tc>
        <w:tc>
          <w:tcPr>
            <w:tcW w:w="1888" w:type="dxa"/>
          </w:tcPr>
          <w:p w14:paraId="2651DE37" w14:textId="77777777" w:rsidR="00295C6D" w:rsidRPr="00DB0D3F" w:rsidRDefault="00295C6D" w:rsidP="00E31AE6">
            <w:pPr>
              <w:jc w:val="center"/>
              <w:rPr>
                <w:rFonts w:ascii="Garamond" w:hAnsi="Garamond" w:cs="Times New Roman"/>
                <w:sz w:val="22"/>
                <w:szCs w:val="22"/>
                <w:highlight w:val="yellow"/>
              </w:rPr>
            </w:pPr>
            <w:r w:rsidRPr="00DB0D3F">
              <w:rPr>
                <w:rFonts w:ascii="Garamond" w:hAnsi="Garamond" w:cs="Times New Roman"/>
                <w:b/>
                <w:bCs/>
                <w:sz w:val="22"/>
                <w:szCs w:val="22"/>
                <w:highlight w:val="yellow"/>
              </w:rPr>
              <w:t>2</w:t>
            </w:r>
          </w:p>
        </w:tc>
        <w:tc>
          <w:tcPr>
            <w:tcW w:w="1231" w:type="dxa"/>
          </w:tcPr>
          <w:p w14:paraId="2DC6B9C6" w14:textId="77777777" w:rsidR="00295C6D" w:rsidRPr="00DB0D3F" w:rsidRDefault="00295C6D" w:rsidP="00E31AE6">
            <w:pPr>
              <w:jc w:val="center"/>
              <w:rPr>
                <w:rFonts w:ascii="Garamond" w:hAnsi="Garamond" w:cs="Times New Roman"/>
                <w:sz w:val="22"/>
                <w:szCs w:val="22"/>
                <w:highlight w:val="yellow"/>
              </w:rPr>
            </w:pPr>
            <w:r w:rsidRPr="00DB0D3F">
              <w:rPr>
                <w:rFonts w:ascii="Garamond" w:hAnsi="Garamond" w:cs="Times New Roman"/>
                <w:b/>
                <w:bCs/>
                <w:sz w:val="22"/>
                <w:szCs w:val="22"/>
                <w:highlight w:val="yellow"/>
              </w:rPr>
              <w:t>3</w:t>
            </w:r>
          </w:p>
        </w:tc>
        <w:tc>
          <w:tcPr>
            <w:tcW w:w="1500" w:type="dxa"/>
          </w:tcPr>
          <w:p w14:paraId="3BD1B9F2" w14:textId="77777777" w:rsidR="00295C6D" w:rsidRPr="00DB0D3F" w:rsidRDefault="00295C6D" w:rsidP="00E31AE6">
            <w:pPr>
              <w:jc w:val="center"/>
              <w:rPr>
                <w:rFonts w:ascii="Garamond" w:hAnsi="Garamond" w:cs="Times New Roman"/>
                <w:sz w:val="22"/>
                <w:szCs w:val="22"/>
                <w:highlight w:val="yellow"/>
              </w:rPr>
            </w:pPr>
            <w:r w:rsidRPr="00DB0D3F">
              <w:rPr>
                <w:rFonts w:ascii="Garamond" w:hAnsi="Garamond" w:cs="Times New Roman"/>
                <w:b/>
                <w:bCs/>
                <w:sz w:val="22"/>
                <w:szCs w:val="22"/>
                <w:highlight w:val="yellow"/>
              </w:rPr>
              <w:t>4</w:t>
            </w:r>
          </w:p>
        </w:tc>
        <w:tc>
          <w:tcPr>
            <w:tcW w:w="1945" w:type="dxa"/>
          </w:tcPr>
          <w:p w14:paraId="77D74AA8" w14:textId="77777777" w:rsidR="00295C6D" w:rsidRPr="00DB0D3F" w:rsidRDefault="00295C6D" w:rsidP="00E31AE6">
            <w:pPr>
              <w:jc w:val="center"/>
              <w:rPr>
                <w:rFonts w:ascii="Garamond" w:hAnsi="Garamond" w:cs="Times New Roman"/>
                <w:sz w:val="22"/>
                <w:szCs w:val="22"/>
                <w:highlight w:val="yellow"/>
              </w:rPr>
            </w:pPr>
            <w:r w:rsidRPr="00DB0D3F">
              <w:rPr>
                <w:rFonts w:ascii="Garamond" w:hAnsi="Garamond" w:cs="Times New Roman"/>
                <w:b/>
                <w:bCs/>
                <w:sz w:val="22"/>
                <w:szCs w:val="22"/>
                <w:highlight w:val="yellow"/>
              </w:rPr>
              <w:t>5</w:t>
            </w:r>
          </w:p>
        </w:tc>
        <w:tc>
          <w:tcPr>
            <w:tcW w:w="1555" w:type="dxa"/>
          </w:tcPr>
          <w:p w14:paraId="195815C1" w14:textId="77777777" w:rsidR="00295C6D" w:rsidRPr="00DB0D3F" w:rsidRDefault="00295C6D" w:rsidP="00E31AE6">
            <w:pPr>
              <w:jc w:val="center"/>
              <w:rPr>
                <w:rFonts w:ascii="Garamond" w:hAnsi="Garamond" w:cs="Times New Roman"/>
                <w:sz w:val="22"/>
                <w:szCs w:val="22"/>
                <w:highlight w:val="yellow"/>
              </w:rPr>
            </w:pPr>
            <w:r w:rsidRPr="00DB0D3F">
              <w:rPr>
                <w:rFonts w:ascii="Garamond" w:hAnsi="Garamond" w:cs="Times New Roman"/>
                <w:b/>
                <w:bCs/>
                <w:sz w:val="22"/>
                <w:szCs w:val="22"/>
                <w:highlight w:val="yellow"/>
              </w:rPr>
              <w:t>6</w:t>
            </w:r>
          </w:p>
        </w:tc>
        <w:tc>
          <w:tcPr>
            <w:tcW w:w="1945" w:type="dxa"/>
          </w:tcPr>
          <w:p w14:paraId="6347575E" w14:textId="77777777" w:rsidR="00295C6D" w:rsidRPr="00DB0D3F" w:rsidRDefault="00295C6D" w:rsidP="00E31AE6">
            <w:pPr>
              <w:jc w:val="center"/>
              <w:rPr>
                <w:rFonts w:ascii="Garamond" w:hAnsi="Garamond" w:cs="Times New Roman"/>
                <w:sz w:val="22"/>
                <w:szCs w:val="22"/>
                <w:highlight w:val="yellow"/>
              </w:rPr>
            </w:pPr>
            <w:r w:rsidRPr="00DB0D3F">
              <w:rPr>
                <w:rFonts w:ascii="Garamond" w:hAnsi="Garamond" w:cs="Times New Roman"/>
                <w:b/>
                <w:bCs/>
                <w:sz w:val="22"/>
                <w:szCs w:val="22"/>
                <w:highlight w:val="yellow"/>
              </w:rPr>
              <w:t>7</w:t>
            </w:r>
          </w:p>
        </w:tc>
        <w:tc>
          <w:tcPr>
            <w:tcW w:w="1555" w:type="dxa"/>
          </w:tcPr>
          <w:p w14:paraId="42EF8B36" w14:textId="77777777" w:rsidR="00295C6D" w:rsidRPr="00DB0D3F" w:rsidRDefault="00295C6D" w:rsidP="00E31AE6">
            <w:pPr>
              <w:jc w:val="center"/>
              <w:rPr>
                <w:rFonts w:ascii="Garamond" w:hAnsi="Garamond" w:cs="Times New Roman"/>
                <w:sz w:val="22"/>
                <w:szCs w:val="22"/>
                <w:highlight w:val="yellow"/>
              </w:rPr>
            </w:pPr>
            <w:r w:rsidRPr="00DB0D3F">
              <w:rPr>
                <w:rFonts w:ascii="Garamond" w:hAnsi="Garamond" w:cs="Times New Roman"/>
                <w:b/>
                <w:bCs/>
                <w:sz w:val="22"/>
                <w:szCs w:val="22"/>
                <w:highlight w:val="yellow"/>
              </w:rPr>
              <w:t>8</w:t>
            </w:r>
          </w:p>
        </w:tc>
        <w:tc>
          <w:tcPr>
            <w:tcW w:w="3123" w:type="dxa"/>
          </w:tcPr>
          <w:p w14:paraId="7ABC7D31" w14:textId="77777777" w:rsidR="00295C6D" w:rsidRPr="00DB0D3F" w:rsidRDefault="00295C6D" w:rsidP="00E31AE6">
            <w:pPr>
              <w:jc w:val="center"/>
              <w:rPr>
                <w:rFonts w:ascii="Garamond" w:hAnsi="Garamond" w:cs="Times New Roman"/>
                <w:sz w:val="22"/>
                <w:szCs w:val="22"/>
                <w:highlight w:val="yellow"/>
              </w:rPr>
            </w:pPr>
            <w:r w:rsidRPr="00DB0D3F">
              <w:rPr>
                <w:rFonts w:ascii="Garamond" w:hAnsi="Garamond" w:cs="Times New Roman"/>
                <w:b/>
                <w:bCs/>
                <w:sz w:val="22"/>
                <w:szCs w:val="22"/>
                <w:highlight w:val="yellow"/>
              </w:rPr>
              <w:t>9</w:t>
            </w:r>
          </w:p>
        </w:tc>
      </w:tr>
      <w:tr w:rsidR="00295C6D" w:rsidRPr="00DB0D3F" w14:paraId="6C84F332" w14:textId="77777777" w:rsidTr="00E31AE6">
        <w:tblPrEx>
          <w:jc w:val="left"/>
          <w:tblCellMar>
            <w:left w:w="108" w:type="dxa"/>
            <w:right w:w="108" w:type="dxa"/>
          </w:tblCellMar>
        </w:tblPrEx>
        <w:tc>
          <w:tcPr>
            <w:tcW w:w="562" w:type="dxa"/>
            <w:vMerge w:val="restart"/>
          </w:tcPr>
          <w:p w14:paraId="3DDC8B26" w14:textId="77777777" w:rsidR="00295C6D" w:rsidRPr="00DB0D3F" w:rsidRDefault="00295C6D" w:rsidP="00E31AE6">
            <w:pPr>
              <w:jc w:val="center"/>
              <w:rPr>
                <w:rFonts w:ascii="Garamond" w:hAnsi="Garamond" w:cs="Times New Roman"/>
                <w:sz w:val="22"/>
                <w:szCs w:val="22"/>
                <w:highlight w:val="yellow"/>
              </w:rPr>
            </w:pPr>
            <w:r w:rsidRPr="00DB0D3F">
              <w:rPr>
                <w:rFonts w:ascii="Garamond" w:hAnsi="Garamond" w:cs="Times New Roman"/>
                <w:sz w:val="22"/>
                <w:szCs w:val="22"/>
                <w:highlight w:val="yellow"/>
              </w:rPr>
              <w:t>1</w:t>
            </w:r>
          </w:p>
        </w:tc>
        <w:tc>
          <w:tcPr>
            <w:tcW w:w="1888" w:type="dxa"/>
            <w:vMerge w:val="restart"/>
          </w:tcPr>
          <w:p w14:paraId="50D3185B" w14:textId="77777777" w:rsidR="00295C6D" w:rsidRPr="00DB0D3F" w:rsidRDefault="00295C6D" w:rsidP="00E31AE6">
            <w:pPr>
              <w:jc w:val="center"/>
              <w:rPr>
                <w:rFonts w:ascii="Garamond" w:hAnsi="Garamond" w:cs="Times New Roman"/>
                <w:sz w:val="22"/>
                <w:szCs w:val="22"/>
                <w:highlight w:val="yellow"/>
              </w:rPr>
            </w:pPr>
          </w:p>
        </w:tc>
        <w:tc>
          <w:tcPr>
            <w:tcW w:w="1231" w:type="dxa"/>
            <w:vMerge w:val="restart"/>
          </w:tcPr>
          <w:p w14:paraId="4D5A35F2" w14:textId="77777777" w:rsidR="00295C6D" w:rsidRPr="00DB0D3F" w:rsidRDefault="00295C6D" w:rsidP="00E31AE6">
            <w:pPr>
              <w:jc w:val="center"/>
              <w:rPr>
                <w:rFonts w:ascii="Garamond" w:hAnsi="Garamond" w:cs="Times New Roman"/>
                <w:sz w:val="22"/>
                <w:szCs w:val="22"/>
                <w:highlight w:val="yellow"/>
              </w:rPr>
            </w:pPr>
          </w:p>
        </w:tc>
        <w:tc>
          <w:tcPr>
            <w:tcW w:w="1500" w:type="dxa"/>
          </w:tcPr>
          <w:p w14:paraId="18D46B6B" w14:textId="77777777" w:rsidR="00295C6D" w:rsidRPr="00DB0D3F" w:rsidRDefault="00295C6D" w:rsidP="00E31AE6">
            <w:pPr>
              <w:jc w:val="center"/>
              <w:rPr>
                <w:rFonts w:ascii="Garamond" w:hAnsi="Garamond" w:cs="Times New Roman"/>
                <w:sz w:val="22"/>
                <w:szCs w:val="22"/>
                <w:highlight w:val="yellow"/>
              </w:rPr>
            </w:pPr>
          </w:p>
        </w:tc>
        <w:tc>
          <w:tcPr>
            <w:tcW w:w="1945" w:type="dxa"/>
          </w:tcPr>
          <w:p w14:paraId="2829ADEE" w14:textId="77777777" w:rsidR="00295C6D" w:rsidRPr="00DB0D3F" w:rsidRDefault="00295C6D" w:rsidP="00E31AE6">
            <w:pPr>
              <w:jc w:val="center"/>
              <w:rPr>
                <w:rFonts w:ascii="Garamond" w:hAnsi="Garamond" w:cs="Times New Roman"/>
                <w:sz w:val="22"/>
                <w:szCs w:val="22"/>
                <w:highlight w:val="yellow"/>
              </w:rPr>
            </w:pPr>
          </w:p>
        </w:tc>
        <w:tc>
          <w:tcPr>
            <w:tcW w:w="1555" w:type="dxa"/>
          </w:tcPr>
          <w:p w14:paraId="620256EE" w14:textId="77777777" w:rsidR="00295C6D" w:rsidRPr="00DB0D3F" w:rsidRDefault="00295C6D" w:rsidP="00E31AE6">
            <w:pPr>
              <w:jc w:val="center"/>
              <w:rPr>
                <w:rFonts w:ascii="Garamond" w:hAnsi="Garamond" w:cs="Times New Roman"/>
                <w:sz w:val="22"/>
                <w:szCs w:val="22"/>
                <w:highlight w:val="yellow"/>
              </w:rPr>
            </w:pPr>
          </w:p>
        </w:tc>
        <w:tc>
          <w:tcPr>
            <w:tcW w:w="1945" w:type="dxa"/>
          </w:tcPr>
          <w:p w14:paraId="0ECDCFA4" w14:textId="77777777" w:rsidR="00295C6D" w:rsidRPr="00DB0D3F" w:rsidRDefault="00295C6D" w:rsidP="00E31AE6">
            <w:pPr>
              <w:jc w:val="center"/>
              <w:rPr>
                <w:rFonts w:ascii="Garamond" w:hAnsi="Garamond" w:cs="Times New Roman"/>
                <w:sz w:val="22"/>
                <w:szCs w:val="22"/>
                <w:highlight w:val="yellow"/>
              </w:rPr>
            </w:pPr>
          </w:p>
        </w:tc>
        <w:tc>
          <w:tcPr>
            <w:tcW w:w="1555" w:type="dxa"/>
          </w:tcPr>
          <w:p w14:paraId="08A37EA1" w14:textId="77777777" w:rsidR="00295C6D" w:rsidRPr="00DB0D3F" w:rsidRDefault="00295C6D" w:rsidP="00E31AE6">
            <w:pPr>
              <w:jc w:val="center"/>
              <w:rPr>
                <w:rFonts w:ascii="Garamond" w:hAnsi="Garamond" w:cs="Times New Roman"/>
                <w:sz w:val="22"/>
                <w:szCs w:val="22"/>
                <w:highlight w:val="yellow"/>
              </w:rPr>
            </w:pPr>
          </w:p>
        </w:tc>
        <w:tc>
          <w:tcPr>
            <w:tcW w:w="3123" w:type="dxa"/>
          </w:tcPr>
          <w:p w14:paraId="033D94DF" w14:textId="77777777" w:rsidR="00295C6D" w:rsidRPr="00DB0D3F" w:rsidRDefault="00295C6D" w:rsidP="00E31AE6">
            <w:pPr>
              <w:rPr>
                <w:rFonts w:ascii="Garamond" w:hAnsi="Garamond" w:cs="Times New Roman"/>
                <w:sz w:val="22"/>
                <w:szCs w:val="22"/>
                <w:highlight w:val="yellow"/>
              </w:rPr>
            </w:pPr>
          </w:p>
        </w:tc>
      </w:tr>
      <w:tr w:rsidR="00295C6D" w:rsidRPr="00DB0D3F" w14:paraId="1E43E51E" w14:textId="77777777" w:rsidTr="00E31AE6">
        <w:tblPrEx>
          <w:jc w:val="left"/>
          <w:tblCellMar>
            <w:left w:w="108" w:type="dxa"/>
            <w:right w:w="108" w:type="dxa"/>
          </w:tblCellMar>
        </w:tblPrEx>
        <w:tc>
          <w:tcPr>
            <w:tcW w:w="562" w:type="dxa"/>
            <w:vMerge/>
          </w:tcPr>
          <w:p w14:paraId="4372AA3F" w14:textId="77777777" w:rsidR="00295C6D" w:rsidRPr="00DB0D3F" w:rsidRDefault="00295C6D" w:rsidP="00E31AE6">
            <w:pPr>
              <w:rPr>
                <w:rFonts w:ascii="Garamond" w:hAnsi="Garamond" w:cs="Times New Roman"/>
                <w:sz w:val="22"/>
                <w:szCs w:val="22"/>
                <w:highlight w:val="yellow"/>
              </w:rPr>
            </w:pPr>
          </w:p>
        </w:tc>
        <w:tc>
          <w:tcPr>
            <w:tcW w:w="1888" w:type="dxa"/>
            <w:vMerge/>
          </w:tcPr>
          <w:p w14:paraId="20F9FEA4" w14:textId="77777777" w:rsidR="00295C6D" w:rsidRPr="00DB0D3F" w:rsidRDefault="00295C6D" w:rsidP="00E31AE6">
            <w:pPr>
              <w:rPr>
                <w:rFonts w:ascii="Garamond" w:hAnsi="Garamond" w:cs="Times New Roman"/>
                <w:sz w:val="22"/>
                <w:szCs w:val="22"/>
                <w:highlight w:val="yellow"/>
              </w:rPr>
            </w:pPr>
          </w:p>
        </w:tc>
        <w:tc>
          <w:tcPr>
            <w:tcW w:w="1231" w:type="dxa"/>
            <w:vMerge/>
          </w:tcPr>
          <w:p w14:paraId="31AAA58E" w14:textId="77777777" w:rsidR="00295C6D" w:rsidRPr="00DB0D3F" w:rsidRDefault="00295C6D" w:rsidP="00E31AE6">
            <w:pPr>
              <w:rPr>
                <w:rFonts w:ascii="Garamond" w:hAnsi="Garamond" w:cs="Times New Roman"/>
                <w:sz w:val="22"/>
                <w:szCs w:val="22"/>
                <w:highlight w:val="yellow"/>
              </w:rPr>
            </w:pPr>
          </w:p>
        </w:tc>
        <w:tc>
          <w:tcPr>
            <w:tcW w:w="11623" w:type="dxa"/>
            <w:gridSpan w:val="6"/>
          </w:tcPr>
          <w:p w14:paraId="7A9E1977" w14:textId="77777777" w:rsidR="00295C6D" w:rsidRPr="00DB0D3F" w:rsidRDefault="00295C6D" w:rsidP="00E31AE6">
            <w:pPr>
              <w:jc w:val="center"/>
              <w:rPr>
                <w:rFonts w:ascii="Garamond" w:hAnsi="Garamond" w:cs="Times New Roman"/>
                <w:sz w:val="22"/>
                <w:szCs w:val="22"/>
                <w:highlight w:val="yellow"/>
              </w:rPr>
            </w:pPr>
            <w:r w:rsidRPr="00DB0D3F">
              <w:rPr>
                <w:rFonts w:ascii="Garamond" w:hAnsi="Garamond" w:cs="Times New Roman"/>
                <w:sz w:val="22"/>
                <w:szCs w:val="22"/>
                <w:highlight w:val="yellow"/>
              </w:rPr>
              <w:t>Алгоритм расчета величины электроэнергии в точке присоединения</w:t>
            </w:r>
          </w:p>
        </w:tc>
      </w:tr>
      <w:tr w:rsidR="00295C6D" w:rsidRPr="00DB0D3F" w14:paraId="6BD8D21E" w14:textId="77777777" w:rsidTr="00E31AE6">
        <w:tblPrEx>
          <w:jc w:val="left"/>
          <w:tblCellMar>
            <w:left w:w="108" w:type="dxa"/>
            <w:right w:w="108" w:type="dxa"/>
          </w:tblCellMar>
        </w:tblPrEx>
        <w:tc>
          <w:tcPr>
            <w:tcW w:w="562" w:type="dxa"/>
            <w:vMerge/>
          </w:tcPr>
          <w:p w14:paraId="2DB95F2E" w14:textId="77777777" w:rsidR="00295C6D" w:rsidRPr="00DB0D3F" w:rsidRDefault="00295C6D" w:rsidP="00E31AE6">
            <w:pPr>
              <w:rPr>
                <w:rFonts w:ascii="Garamond" w:hAnsi="Garamond" w:cs="Times New Roman"/>
                <w:sz w:val="22"/>
                <w:szCs w:val="22"/>
                <w:highlight w:val="yellow"/>
              </w:rPr>
            </w:pPr>
          </w:p>
        </w:tc>
        <w:tc>
          <w:tcPr>
            <w:tcW w:w="1888" w:type="dxa"/>
            <w:vMerge/>
          </w:tcPr>
          <w:p w14:paraId="3B8532CA" w14:textId="77777777" w:rsidR="00295C6D" w:rsidRPr="00DB0D3F" w:rsidRDefault="00295C6D" w:rsidP="00E31AE6">
            <w:pPr>
              <w:rPr>
                <w:rFonts w:ascii="Garamond" w:hAnsi="Garamond" w:cs="Times New Roman"/>
                <w:sz w:val="22"/>
                <w:szCs w:val="22"/>
                <w:highlight w:val="yellow"/>
              </w:rPr>
            </w:pPr>
          </w:p>
        </w:tc>
        <w:tc>
          <w:tcPr>
            <w:tcW w:w="1231" w:type="dxa"/>
            <w:vMerge/>
          </w:tcPr>
          <w:p w14:paraId="7FFA495E" w14:textId="77777777" w:rsidR="00295C6D" w:rsidRPr="00DB0D3F" w:rsidRDefault="00295C6D" w:rsidP="00E31AE6">
            <w:pPr>
              <w:rPr>
                <w:rFonts w:ascii="Garamond" w:hAnsi="Garamond" w:cs="Times New Roman"/>
                <w:sz w:val="22"/>
                <w:szCs w:val="22"/>
                <w:highlight w:val="yellow"/>
              </w:rPr>
            </w:pPr>
          </w:p>
        </w:tc>
        <w:tc>
          <w:tcPr>
            <w:tcW w:w="11623" w:type="dxa"/>
            <w:gridSpan w:val="6"/>
          </w:tcPr>
          <w:p w14:paraId="3FDDA11F" w14:textId="77777777" w:rsidR="00295C6D" w:rsidRPr="00DB0D3F" w:rsidRDefault="00295C6D" w:rsidP="00E31AE6">
            <w:pPr>
              <w:spacing w:before="40" w:after="40"/>
              <w:jc w:val="center"/>
              <w:rPr>
                <w:rFonts w:ascii="Garamond" w:hAnsi="Garamond" w:cs="Times New Roman"/>
                <w:sz w:val="22"/>
                <w:szCs w:val="22"/>
                <w:highlight w:val="yellow"/>
              </w:rPr>
            </w:pPr>
            <w:r w:rsidRPr="00DB0D3F">
              <w:rPr>
                <w:rFonts w:ascii="Garamond" w:hAnsi="Garamond" w:cs="Times New Roman"/>
                <w:sz w:val="22"/>
                <w:szCs w:val="22"/>
                <w:highlight w:val="yellow"/>
              </w:rPr>
              <w:t xml:space="preserve">отдача E1 = </w:t>
            </w:r>
          </w:p>
          <w:p w14:paraId="347AF369" w14:textId="77777777" w:rsidR="00295C6D" w:rsidRPr="00DB0D3F" w:rsidRDefault="00295C6D" w:rsidP="00E31AE6">
            <w:pPr>
              <w:spacing w:before="40" w:after="40"/>
              <w:jc w:val="center"/>
              <w:rPr>
                <w:rFonts w:ascii="Garamond" w:hAnsi="Garamond" w:cs="Times New Roman"/>
                <w:sz w:val="22"/>
                <w:szCs w:val="22"/>
                <w:highlight w:val="yellow"/>
              </w:rPr>
            </w:pPr>
            <w:r w:rsidRPr="00DB0D3F">
              <w:rPr>
                <w:rFonts w:ascii="Garamond" w:hAnsi="Garamond" w:cs="Times New Roman"/>
                <w:sz w:val="22"/>
                <w:szCs w:val="22"/>
                <w:highlight w:val="yellow"/>
              </w:rPr>
              <w:t xml:space="preserve">прием E2 = </w:t>
            </w:r>
          </w:p>
        </w:tc>
      </w:tr>
      <w:tr w:rsidR="00295C6D" w:rsidRPr="00DB0D3F" w14:paraId="738BDF10" w14:textId="77777777" w:rsidTr="00E31AE6">
        <w:trPr>
          <w:jc w:val="center"/>
        </w:trPr>
        <w:tc>
          <w:tcPr>
            <w:tcW w:w="562" w:type="dxa"/>
            <w:shd w:val="clear" w:color="auto" w:fill="FFFFFF"/>
            <w:vAlign w:val="center"/>
          </w:tcPr>
          <w:p w14:paraId="7801B3F8" w14:textId="77777777" w:rsidR="00295C6D" w:rsidRPr="00DB0D3F" w:rsidRDefault="00295C6D" w:rsidP="00E31AE6">
            <w:pPr>
              <w:rPr>
                <w:rFonts w:ascii="Garamond" w:hAnsi="Garamond" w:cs="Times New Roman"/>
                <w:sz w:val="22"/>
                <w:szCs w:val="22"/>
                <w:highlight w:val="yellow"/>
              </w:rPr>
            </w:pPr>
          </w:p>
        </w:tc>
        <w:tc>
          <w:tcPr>
            <w:tcW w:w="14742" w:type="dxa"/>
            <w:gridSpan w:val="8"/>
            <w:shd w:val="clear" w:color="auto" w:fill="FFFFFF"/>
            <w:vAlign w:val="center"/>
          </w:tcPr>
          <w:p w14:paraId="746220A9" w14:textId="2E2EC7A0" w:rsidR="00295C6D" w:rsidRPr="00DB0D3F" w:rsidRDefault="00295C6D" w:rsidP="00E31AE6">
            <w:pPr>
              <w:jc w:val="center"/>
              <w:rPr>
                <w:rFonts w:ascii="Garamond" w:hAnsi="Garamond" w:cs="Times New Roman"/>
                <w:sz w:val="22"/>
                <w:szCs w:val="22"/>
                <w:highlight w:val="yellow"/>
              </w:rPr>
            </w:pPr>
            <w:r w:rsidRPr="00DB0D3F">
              <w:rPr>
                <w:rFonts w:ascii="Garamond" w:hAnsi="Garamond" w:cs="Times New Roman"/>
                <w:b/>
                <w:bCs/>
                <w:sz w:val="22"/>
                <w:szCs w:val="22"/>
                <w:highlight w:val="yellow"/>
              </w:rPr>
              <w:t>ОР 1 = прием E2</w:t>
            </w:r>
            <w:r w:rsidR="009B5F03" w:rsidRPr="00DB0D3F">
              <w:rPr>
                <w:rFonts w:ascii="Garamond" w:hAnsi="Garamond" w:cs="Times New Roman"/>
                <w:b/>
                <w:bCs/>
                <w:sz w:val="22"/>
                <w:szCs w:val="22"/>
                <w:highlight w:val="yellow"/>
              </w:rPr>
              <w:t xml:space="preserve"> – </w:t>
            </w:r>
            <w:r w:rsidRPr="00DB0D3F">
              <w:rPr>
                <w:rFonts w:ascii="Garamond" w:hAnsi="Garamond" w:cs="Times New Roman"/>
                <w:b/>
                <w:bCs/>
                <w:sz w:val="22"/>
                <w:szCs w:val="22"/>
                <w:highlight w:val="yellow"/>
              </w:rPr>
              <w:t xml:space="preserve">отдача E1 </w:t>
            </w:r>
          </w:p>
        </w:tc>
      </w:tr>
      <w:tr w:rsidR="00295C6D" w:rsidRPr="00DB0D3F" w14:paraId="165B4EE9" w14:textId="77777777" w:rsidTr="00E31AE6">
        <w:trPr>
          <w:jc w:val="center"/>
        </w:trPr>
        <w:tc>
          <w:tcPr>
            <w:tcW w:w="15304" w:type="dxa"/>
            <w:gridSpan w:val="9"/>
            <w:shd w:val="clear" w:color="auto" w:fill="FFFFFF"/>
            <w:vAlign w:val="center"/>
          </w:tcPr>
          <w:p w14:paraId="57F969C3" w14:textId="77777777" w:rsidR="00295C6D" w:rsidRPr="00DB0D3F" w:rsidRDefault="00295C6D" w:rsidP="00E31AE6">
            <w:pPr>
              <w:jc w:val="center"/>
              <w:rPr>
                <w:rFonts w:ascii="Garamond" w:hAnsi="Garamond" w:cs="Times New Roman"/>
                <w:sz w:val="22"/>
                <w:szCs w:val="22"/>
                <w:highlight w:val="yellow"/>
              </w:rPr>
            </w:pPr>
            <w:r w:rsidRPr="00DB0D3F">
              <w:rPr>
                <w:rFonts w:ascii="Garamond" w:hAnsi="Garamond" w:cs="Times New Roman"/>
                <w:b/>
                <w:bCs/>
                <w:sz w:val="22"/>
                <w:szCs w:val="22"/>
                <w:highlight w:val="yellow"/>
              </w:rPr>
              <w:t xml:space="preserve">Eпу1 = ОР 1 </w:t>
            </w:r>
          </w:p>
        </w:tc>
      </w:tr>
      <w:tr w:rsidR="00295C6D" w:rsidRPr="00DB0D3F" w14:paraId="35A4F499" w14:textId="77777777" w:rsidTr="00E31AE6">
        <w:trPr>
          <w:jc w:val="center"/>
        </w:trPr>
        <w:tc>
          <w:tcPr>
            <w:tcW w:w="15304" w:type="dxa"/>
            <w:gridSpan w:val="9"/>
            <w:shd w:val="clear" w:color="auto" w:fill="FFFFFF"/>
            <w:vAlign w:val="center"/>
          </w:tcPr>
          <w:p w14:paraId="47EEF7CB" w14:textId="77777777" w:rsidR="00295C6D" w:rsidRPr="00DB0D3F" w:rsidRDefault="00295C6D" w:rsidP="00E31AE6">
            <w:pPr>
              <w:jc w:val="center"/>
              <w:rPr>
                <w:rFonts w:ascii="Garamond" w:hAnsi="Garamond" w:cs="Times New Roman"/>
                <w:sz w:val="22"/>
                <w:szCs w:val="22"/>
                <w:highlight w:val="yellow"/>
              </w:rPr>
            </w:pPr>
            <w:r w:rsidRPr="00DB0D3F">
              <w:rPr>
                <w:rFonts w:ascii="Garamond" w:hAnsi="Garamond" w:cs="Times New Roman"/>
                <w:b/>
                <w:bCs/>
                <w:sz w:val="22"/>
                <w:szCs w:val="22"/>
                <w:highlight w:val="yellow"/>
              </w:rPr>
              <w:t>Алгоритм расчета величины электроэнергии по объекту регулирования</w:t>
            </w:r>
          </w:p>
        </w:tc>
      </w:tr>
      <w:tr w:rsidR="00295C6D" w:rsidRPr="00DB0D3F" w14:paraId="37B89224" w14:textId="77777777" w:rsidTr="00E31AE6">
        <w:trPr>
          <w:jc w:val="center"/>
        </w:trPr>
        <w:tc>
          <w:tcPr>
            <w:tcW w:w="15304" w:type="dxa"/>
            <w:gridSpan w:val="9"/>
            <w:shd w:val="clear" w:color="auto" w:fill="FFFFFF"/>
            <w:vAlign w:val="center"/>
          </w:tcPr>
          <w:p w14:paraId="144860DC" w14:textId="77777777" w:rsidR="00295C6D" w:rsidRPr="00DB0D3F" w:rsidRDefault="00295C6D" w:rsidP="00E31AE6">
            <w:pPr>
              <w:jc w:val="center"/>
              <w:rPr>
                <w:rFonts w:ascii="Garamond" w:hAnsi="Garamond" w:cs="Times New Roman"/>
                <w:sz w:val="22"/>
                <w:szCs w:val="22"/>
                <w:highlight w:val="yellow"/>
              </w:rPr>
            </w:pPr>
            <w:r w:rsidRPr="00DB0D3F">
              <w:rPr>
                <w:rFonts w:ascii="Garamond" w:hAnsi="Garamond" w:cs="Times New Roman"/>
                <w:b/>
                <w:bCs/>
                <w:sz w:val="22"/>
                <w:szCs w:val="22"/>
                <w:highlight w:val="yellow"/>
              </w:rPr>
              <w:t>E = Eпу1</w:t>
            </w:r>
          </w:p>
        </w:tc>
      </w:tr>
    </w:tbl>
    <w:p w14:paraId="3ECB4E16" w14:textId="77777777" w:rsidR="00295C6D" w:rsidRPr="00DB0D3F" w:rsidRDefault="00295C6D" w:rsidP="00E31AE6">
      <w:pPr>
        <w:rPr>
          <w:rFonts w:ascii="Garamond" w:hAnsi="Garamond" w:cs="Times New Roman"/>
          <w:sz w:val="22"/>
          <w:szCs w:val="22"/>
          <w:highlight w:val="yellow"/>
        </w:rPr>
      </w:pPr>
    </w:p>
    <w:p w14:paraId="187F881F" w14:textId="627DF77D" w:rsidR="00295C6D" w:rsidRPr="00DB0D3F" w:rsidRDefault="00295C6D" w:rsidP="00E31AE6">
      <w:pPr>
        <w:rPr>
          <w:rFonts w:ascii="Garamond" w:hAnsi="Garamond" w:cs="Times New Roman"/>
          <w:sz w:val="22"/>
          <w:szCs w:val="22"/>
          <w:highlight w:val="yellow"/>
        </w:rPr>
      </w:pPr>
      <w:r w:rsidRPr="00DB0D3F">
        <w:rPr>
          <w:rFonts w:ascii="Garamond" w:hAnsi="Garamond" w:cs="Times New Roman"/>
          <w:sz w:val="22"/>
          <w:szCs w:val="22"/>
          <w:highlight w:val="yellow"/>
        </w:rPr>
        <w:t>Приложение 2. Таблица 1. Формулы расч</w:t>
      </w:r>
      <w:r w:rsidR="00BC4FC4" w:rsidRPr="00DB0D3F">
        <w:rPr>
          <w:rFonts w:ascii="Garamond" w:hAnsi="Garamond" w:cs="Times New Roman"/>
          <w:sz w:val="22"/>
          <w:szCs w:val="22"/>
          <w:highlight w:val="yellow"/>
        </w:rPr>
        <w:t>е</w:t>
      </w:r>
      <w:r w:rsidRPr="00DB0D3F">
        <w:rPr>
          <w:rFonts w:ascii="Garamond" w:hAnsi="Garamond" w:cs="Times New Roman"/>
          <w:sz w:val="22"/>
          <w:szCs w:val="22"/>
          <w:highlight w:val="yellow"/>
        </w:rPr>
        <w:t>та потерь для ТИ, входящих в Алгоритм, и комментарии</w:t>
      </w:r>
    </w:p>
    <w:tbl>
      <w:tblPr>
        <w:tblW w:w="15400"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540"/>
        <w:gridCol w:w="13860"/>
      </w:tblGrid>
      <w:tr w:rsidR="00295C6D" w:rsidRPr="00DB0D3F" w14:paraId="12DB7018" w14:textId="77777777" w:rsidTr="00E31AE6">
        <w:trPr>
          <w:jc w:val="center"/>
        </w:trPr>
        <w:tc>
          <w:tcPr>
            <w:tcW w:w="1540" w:type="dxa"/>
            <w:shd w:val="clear" w:color="auto" w:fill="FFFFFF"/>
            <w:vAlign w:val="center"/>
          </w:tcPr>
          <w:p w14:paraId="6F95D6D7" w14:textId="77777777" w:rsidR="00295C6D" w:rsidRPr="00DB0D3F" w:rsidRDefault="00295C6D" w:rsidP="00E31AE6">
            <w:pPr>
              <w:jc w:val="center"/>
              <w:rPr>
                <w:rFonts w:ascii="Garamond" w:hAnsi="Garamond" w:cs="Times New Roman"/>
                <w:sz w:val="22"/>
                <w:szCs w:val="22"/>
                <w:highlight w:val="yellow"/>
              </w:rPr>
            </w:pPr>
            <w:r w:rsidRPr="00DB0D3F">
              <w:rPr>
                <w:rFonts w:ascii="Garamond" w:hAnsi="Garamond" w:cs="Times New Roman"/>
                <w:b/>
                <w:bCs/>
                <w:sz w:val="22"/>
                <w:szCs w:val="22"/>
                <w:highlight w:val="yellow"/>
              </w:rPr>
              <w:t>№ п/п в Алгоритме</w:t>
            </w:r>
          </w:p>
        </w:tc>
        <w:tc>
          <w:tcPr>
            <w:tcW w:w="13860" w:type="dxa"/>
            <w:shd w:val="clear" w:color="auto" w:fill="FFFFFF"/>
            <w:vAlign w:val="center"/>
          </w:tcPr>
          <w:p w14:paraId="625FDE2E" w14:textId="77777777" w:rsidR="00295C6D" w:rsidRPr="00DB0D3F" w:rsidRDefault="00295C6D" w:rsidP="00E31AE6">
            <w:pPr>
              <w:jc w:val="center"/>
              <w:rPr>
                <w:rFonts w:ascii="Garamond" w:hAnsi="Garamond" w:cs="Times New Roman"/>
                <w:sz w:val="22"/>
                <w:szCs w:val="22"/>
                <w:highlight w:val="yellow"/>
              </w:rPr>
            </w:pPr>
            <w:r w:rsidRPr="00DB0D3F">
              <w:rPr>
                <w:rFonts w:ascii="Garamond" w:hAnsi="Garamond" w:cs="Times New Roman"/>
                <w:b/>
                <w:bCs/>
                <w:sz w:val="22"/>
                <w:szCs w:val="22"/>
                <w:highlight w:val="yellow"/>
              </w:rPr>
              <w:t>Формула</w:t>
            </w:r>
          </w:p>
        </w:tc>
      </w:tr>
      <w:tr w:rsidR="00295C6D" w:rsidRPr="00DB0D3F" w14:paraId="13239995" w14:textId="77777777" w:rsidTr="00E31AE6">
        <w:trPr>
          <w:jc w:val="center"/>
        </w:trPr>
        <w:tc>
          <w:tcPr>
            <w:tcW w:w="1540" w:type="dxa"/>
            <w:shd w:val="clear" w:color="auto" w:fill="FFFFFF"/>
            <w:vAlign w:val="center"/>
          </w:tcPr>
          <w:p w14:paraId="0767F2FB" w14:textId="77777777" w:rsidR="00295C6D" w:rsidRPr="00DB0D3F" w:rsidRDefault="00295C6D" w:rsidP="00E31AE6">
            <w:pPr>
              <w:jc w:val="center"/>
              <w:rPr>
                <w:rFonts w:ascii="Garamond" w:hAnsi="Garamond" w:cs="Times New Roman"/>
                <w:sz w:val="22"/>
                <w:szCs w:val="22"/>
                <w:highlight w:val="yellow"/>
              </w:rPr>
            </w:pPr>
          </w:p>
        </w:tc>
        <w:tc>
          <w:tcPr>
            <w:tcW w:w="13860" w:type="dxa"/>
            <w:shd w:val="clear" w:color="auto" w:fill="FFFFFF"/>
            <w:vAlign w:val="center"/>
          </w:tcPr>
          <w:p w14:paraId="39E14BBE" w14:textId="77777777" w:rsidR="00295C6D" w:rsidRPr="00DB0D3F" w:rsidRDefault="00295C6D" w:rsidP="00E31AE6">
            <w:pPr>
              <w:spacing w:before="40" w:after="40"/>
              <w:jc w:val="center"/>
              <w:rPr>
                <w:rFonts w:ascii="Garamond" w:hAnsi="Garamond" w:cs="Times New Roman"/>
                <w:sz w:val="22"/>
                <w:szCs w:val="22"/>
                <w:highlight w:val="yellow"/>
              </w:rPr>
            </w:pPr>
          </w:p>
        </w:tc>
      </w:tr>
    </w:tbl>
    <w:p w14:paraId="57C7AFA3" w14:textId="77777777" w:rsidR="00295C6D" w:rsidRPr="00DB0D3F" w:rsidRDefault="00295C6D" w:rsidP="00E31AE6">
      <w:pPr>
        <w:jc w:val="right"/>
        <w:rPr>
          <w:rFonts w:ascii="Garamond" w:hAnsi="Garamond" w:cs="Times New Roman"/>
          <w:sz w:val="22"/>
          <w:szCs w:val="22"/>
          <w:highlight w:val="yellow"/>
        </w:rPr>
      </w:pPr>
    </w:p>
    <w:p w14:paraId="22A9D722" w14:textId="77777777" w:rsidR="00295C6D" w:rsidRPr="00DB0D3F" w:rsidRDefault="00295C6D" w:rsidP="00E31AE6">
      <w:pPr>
        <w:rPr>
          <w:rFonts w:ascii="Garamond" w:hAnsi="Garamond" w:cs="Times New Roman"/>
          <w:bCs/>
          <w:sz w:val="22"/>
          <w:szCs w:val="22"/>
          <w:highlight w:val="yellow"/>
        </w:rPr>
      </w:pPr>
      <w:r w:rsidRPr="00DB0D3F">
        <w:rPr>
          <w:rFonts w:ascii="Garamond" w:hAnsi="Garamond" w:cs="Times New Roman"/>
          <w:bCs/>
          <w:sz w:val="22"/>
          <w:szCs w:val="22"/>
          <w:highlight w:val="yellow"/>
        </w:rPr>
        <w:t>Приложение 2. Таблица 2. Список объектов измерений</w:t>
      </w:r>
    </w:p>
    <w:tbl>
      <w:tblPr>
        <w:tblW w:w="1531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2"/>
        <w:gridCol w:w="4394"/>
        <w:gridCol w:w="2977"/>
        <w:gridCol w:w="1558"/>
        <w:gridCol w:w="5559"/>
      </w:tblGrid>
      <w:tr w:rsidR="00295C6D" w:rsidRPr="00DB0D3F" w14:paraId="6CACEA9D" w14:textId="77777777" w:rsidTr="00DB0D3F">
        <w:trPr>
          <w:trHeight w:val="262"/>
        </w:trPr>
        <w:tc>
          <w:tcPr>
            <w:tcW w:w="822" w:type="dxa"/>
            <w:vMerge w:val="restart"/>
          </w:tcPr>
          <w:p w14:paraId="68AF01CD" w14:textId="77777777" w:rsidR="00295C6D" w:rsidRPr="00DB0D3F" w:rsidRDefault="00295C6D" w:rsidP="00E31AE6">
            <w:pPr>
              <w:jc w:val="center"/>
              <w:rPr>
                <w:rFonts w:ascii="Garamond" w:hAnsi="Garamond" w:cs="Times New Roman"/>
                <w:b/>
                <w:sz w:val="22"/>
                <w:szCs w:val="22"/>
                <w:highlight w:val="yellow"/>
              </w:rPr>
            </w:pPr>
            <w:r w:rsidRPr="00DB0D3F">
              <w:rPr>
                <w:rFonts w:ascii="Garamond" w:hAnsi="Garamond" w:cs="Times New Roman"/>
                <w:b/>
                <w:sz w:val="22"/>
                <w:szCs w:val="22"/>
                <w:highlight w:val="yellow"/>
              </w:rPr>
              <w:t>№ п/п</w:t>
            </w:r>
          </w:p>
          <w:p w14:paraId="1CE4F622" w14:textId="77777777" w:rsidR="00295C6D" w:rsidRPr="00DB0D3F" w:rsidRDefault="00295C6D" w:rsidP="00E31AE6">
            <w:pPr>
              <w:jc w:val="center"/>
              <w:rPr>
                <w:rFonts w:ascii="Garamond" w:hAnsi="Garamond" w:cs="Times New Roman"/>
                <w:b/>
                <w:sz w:val="22"/>
                <w:szCs w:val="22"/>
                <w:highlight w:val="yellow"/>
              </w:rPr>
            </w:pPr>
          </w:p>
        </w:tc>
        <w:tc>
          <w:tcPr>
            <w:tcW w:w="8929" w:type="dxa"/>
            <w:gridSpan w:val="3"/>
          </w:tcPr>
          <w:p w14:paraId="16C335F8" w14:textId="2A4E9D80" w:rsidR="00295C6D" w:rsidRPr="00DB0D3F" w:rsidRDefault="00295C6D" w:rsidP="00E31AE6">
            <w:pPr>
              <w:jc w:val="center"/>
              <w:rPr>
                <w:rFonts w:ascii="Garamond" w:hAnsi="Garamond" w:cs="Times New Roman"/>
                <w:b/>
                <w:sz w:val="22"/>
                <w:szCs w:val="22"/>
                <w:highlight w:val="yellow"/>
              </w:rPr>
            </w:pPr>
            <w:r w:rsidRPr="00DB0D3F">
              <w:rPr>
                <w:rFonts w:ascii="Garamond" w:hAnsi="Garamond" w:cs="Times New Roman"/>
                <w:b/>
                <w:sz w:val="22"/>
                <w:szCs w:val="22"/>
                <w:highlight w:val="yellow"/>
              </w:rPr>
              <w:t>Объекты измерений</w:t>
            </w:r>
            <w:r w:rsidR="00C2374B" w:rsidRPr="00DB0D3F">
              <w:rPr>
                <w:rFonts w:ascii="Garamond" w:hAnsi="Garamond" w:cs="Times New Roman"/>
                <w:b/>
                <w:sz w:val="22"/>
                <w:szCs w:val="22"/>
                <w:highlight w:val="yellow"/>
              </w:rPr>
              <w:t xml:space="preserve"> </w:t>
            </w:r>
            <w:r w:rsidRPr="00DB0D3F">
              <w:rPr>
                <w:rFonts w:ascii="Garamond" w:hAnsi="Garamond" w:cs="Times New Roman"/>
                <w:b/>
                <w:sz w:val="22"/>
                <w:szCs w:val="22"/>
                <w:highlight w:val="yellow"/>
              </w:rPr>
              <w:t>/</w:t>
            </w:r>
            <w:r w:rsidR="00C2374B" w:rsidRPr="00DB0D3F">
              <w:rPr>
                <w:rFonts w:ascii="Garamond" w:hAnsi="Garamond" w:cs="Times New Roman"/>
                <w:b/>
                <w:sz w:val="22"/>
                <w:szCs w:val="22"/>
                <w:highlight w:val="yellow"/>
              </w:rPr>
              <w:t xml:space="preserve"> </w:t>
            </w:r>
            <w:r w:rsidRPr="00DB0D3F">
              <w:rPr>
                <w:rFonts w:ascii="Garamond" w:hAnsi="Garamond" w:cs="Times New Roman"/>
                <w:b/>
                <w:sz w:val="22"/>
                <w:szCs w:val="22"/>
                <w:highlight w:val="yellow"/>
              </w:rPr>
              <w:t>коды объектов измерений</w:t>
            </w:r>
          </w:p>
        </w:tc>
        <w:tc>
          <w:tcPr>
            <w:tcW w:w="5559" w:type="dxa"/>
            <w:vMerge w:val="restart"/>
          </w:tcPr>
          <w:p w14:paraId="59FA26BC" w14:textId="0C247B0A" w:rsidR="00295C6D" w:rsidRPr="00DB0D3F" w:rsidRDefault="00295C6D" w:rsidP="00E31AE6">
            <w:pPr>
              <w:jc w:val="center"/>
              <w:rPr>
                <w:rFonts w:ascii="Garamond" w:hAnsi="Garamond" w:cs="Times New Roman"/>
                <w:b/>
                <w:sz w:val="22"/>
                <w:szCs w:val="22"/>
                <w:highlight w:val="yellow"/>
              </w:rPr>
            </w:pPr>
            <w:r w:rsidRPr="00DB0D3F">
              <w:rPr>
                <w:rFonts w:ascii="Garamond" w:hAnsi="Garamond" w:cs="Times New Roman"/>
                <w:b/>
                <w:sz w:val="22"/>
                <w:szCs w:val="22"/>
                <w:highlight w:val="yellow"/>
              </w:rPr>
              <w:t>Точка присоединения, для расчета которой используется объект из</w:t>
            </w:r>
            <w:r w:rsidR="00C2374B" w:rsidRPr="00DB0D3F">
              <w:rPr>
                <w:rFonts w:ascii="Garamond" w:hAnsi="Garamond" w:cs="Times New Roman"/>
                <w:b/>
                <w:sz w:val="22"/>
                <w:szCs w:val="22"/>
                <w:highlight w:val="yellow"/>
              </w:rPr>
              <w:t>мерений (наименование/</w:t>
            </w:r>
            <w:r w:rsidRPr="00DB0D3F">
              <w:rPr>
                <w:rFonts w:ascii="Garamond" w:hAnsi="Garamond" w:cs="Times New Roman"/>
                <w:b/>
                <w:sz w:val="22"/>
                <w:szCs w:val="22"/>
                <w:highlight w:val="yellow"/>
              </w:rPr>
              <w:t>код точки присоединения)</w:t>
            </w:r>
          </w:p>
        </w:tc>
      </w:tr>
      <w:tr w:rsidR="00295C6D" w:rsidRPr="00DB0D3F" w14:paraId="755EE084" w14:textId="77777777" w:rsidTr="00DB0D3F">
        <w:trPr>
          <w:trHeight w:val="535"/>
        </w:trPr>
        <w:tc>
          <w:tcPr>
            <w:tcW w:w="822" w:type="dxa"/>
            <w:vMerge/>
          </w:tcPr>
          <w:p w14:paraId="40B16D97" w14:textId="77777777" w:rsidR="00295C6D" w:rsidRPr="00DB0D3F" w:rsidRDefault="00295C6D" w:rsidP="00E31AE6">
            <w:pPr>
              <w:jc w:val="center"/>
              <w:rPr>
                <w:rFonts w:ascii="Garamond" w:hAnsi="Garamond" w:cs="Times New Roman"/>
                <w:sz w:val="22"/>
                <w:szCs w:val="22"/>
                <w:highlight w:val="yellow"/>
              </w:rPr>
            </w:pPr>
          </w:p>
        </w:tc>
        <w:tc>
          <w:tcPr>
            <w:tcW w:w="4394" w:type="dxa"/>
          </w:tcPr>
          <w:p w14:paraId="71C60AB3" w14:textId="77777777" w:rsidR="00295C6D" w:rsidRPr="00DB0D3F" w:rsidRDefault="00295C6D" w:rsidP="00E31AE6">
            <w:pPr>
              <w:jc w:val="center"/>
              <w:rPr>
                <w:rFonts w:ascii="Garamond" w:hAnsi="Garamond" w:cs="Times New Roman"/>
                <w:b/>
                <w:sz w:val="22"/>
                <w:szCs w:val="22"/>
                <w:highlight w:val="yellow"/>
              </w:rPr>
            </w:pPr>
            <w:r w:rsidRPr="00DB0D3F">
              <w:rPr>
                <w:rFonts w:ascii="Garamond" w:hAnsi="Garamond" w:cs="Times New Roman"/>
                <w:b/>
                <w:sz w:val="22"/>
                <w:szCs w:val="22"/>
                <w:highlight w:val="yellow"/>
              </w:rPr>
              <w:t>Наименование объекта измерений</w:t>
            </w:r>
          </w:p>
        </w:tc>
        <w:tc>
          <w:tcPr>
            <w:tcW w:w="2977" w:type="dxa"/>
          </w:tcPr>
          <w:p w14:paraId="559574DB" w14:textId="77777777" w:rsidR="00295C6D" w:rsidRPr="00DB0D3F" w:rsidRDefault="00295C6D" w:rsidP="00E31AE6">
            <w:pPr>
              <w:jc w:val="center"/>
              <w:rPr>
                <w:rFonts w:ascii="Garamond" w:hAnsi="Garamond" w:cs="Times New Roman"/>
                <w:b/>
                <w:sz w:val="22"/>
                <w:szCs w:val="22"/>
                <w:highlight w:val="yellow"/>
              </w:rPr>
            </w:pPr>
            <w:r w:rsidRPr="00DB0D3F">
              <w:rPr>
                <w:rFonts w:ascii="Garamond" w:hAnsi="Garamond" w:cs="Times New Roman"/>
                <w:b/>
                <w:sz w:val="22"/>
                <w:szCs w:val="22"/>
                <w:highlight w:val="yellow"/>
              </w:rPr>
              <w:t>Код объекта измерений</w:t>
            </w:r>
          </w:p>
        </w:tc>
        <w:tc>
          <w:tcPr>
            <w:tcW w:w="1558" w:type="dxa"/>
          </w:tcPr>
          <w:p w14:paraId="61B0CAE6" w14:textId="77777777" w:rsidR="00295C6D" w:rsidRPr="00DB0D3F" w:rsidRDefault="00295C6D" w:rsidP="00E31AE6">
            <w:pPr>
              <w:ind w:right="-108"/>
              <w:jc w:val="center"/>
              <w:rPr>
                <w:rFonts w:ascii="Garamond" w:hAnsi="Garamond" w:cs="Times New Roman"/>
                <w:b/>
                <w:sz w:val="22"/>
                <w:szCs w:val="22"/>
                <w:highlight w:val="yellow"/>
              </w:rPr>
            </w:pPr>
            <w:r w:rsidRPr="00DB0D3F">
              <w:rPr>
                <w:rFonts w:ascii="Garamond" w:hAnsi="Garamond" w:cs="Times New Roman"/>
                <w:b/>
                <w:sz w:val="22"/>
                <w:szCs w:val="22"/>
                <w:highlight w:val="yellow"/>
              </w:rPr>
              <w:t>Мнемоника</w:t>
            </w:r>
          </w:p>
        </w:tc>
        <w:tc>
          <w:tcPr>
            <w:tcW w:w="5559" w:type="dxa"/>
            <w:vMerge/>
          </w:tcPr>
          <w:p w14:paraId="5664D57C" w14:textId="77777777" w:rsidR="00295C6D" w:rsidRPr="00DB0D3F" w:rsidRDefault="00295C6D" w:rsidP="00E31AE6">
            <w:pPr>
              <w:jc w:val="center"/>
              <w:rPr>
                <w:rFonts w:ascii="Garamond" w:hAnsi="Garamond" w:cs="Times New Roman"/>
                <w:sz w:val="22"/>
                <w:szCs w:val="22"/>
                <w:highlight w:val="yellow"/>
              </w:rPr>
            </w:pPr>
          </w:p>
        </w:tc>
      </w:tr>
      <w:tr w:rsidR="00295C6D" w:rsidRPr="00DB0D3F" w14:paraId="4BEB67B4" w14:textId="77777777" w:rsidTr="00DB0D3F">
        <w:trPr>
          <w:trHeight w:val="372"/>
        </w:trPr>
        <w:tc>
          <w:tcPr>
            <w:tcW w:w="822" w:type="dxa"/>
          </w:tcPr>
          <w:p w14:paraId="53D82C6D" w14:textId="77777777" w:rsidR="00295C6D" w:rsidRPr="00DB0D3F" w:rsidRDefault="00295C6D" w:rsidP="00E31AE6">
            <w:pPr>
              <w:jc w:val="center"/>
              <w:rPr>
                <w:rFonts w:ascii="Garamond" w:hAnsi="Garamond" w:cs="Times New Roman"/>
                <w:sz w:val="22"/>
                <w:szCs w:val="22"/>
                <w:highlight w:val="yellow"/>
              </w:rPr>
            </w:pPr>
            <w:r w:rsidRPr="00DB0D3F">
              <w:rPr>
                <w:rFonts w:ascii="Garamond" w:hAnsi="Garamond" w:cs="Times New Roman"/>
                <w:sz w:val="22"/>
                <w:szCs w:val="22"/>
                <w:highlight w:val="yellow"/>
              </w:rPr>
              <w:t>1</w:t>
            </w:r>
          </w:p>
        </w:tc>
        <w:tc>
          <w:tcPr>
            <w:tcW w:w="4394" w:type="dxa"/>
          </w:tcPr>
          <w:p w14:paraId="272D30D5" w14:textId="77777777" w:rsidR="00295C6D" w:rsidRPr="00DB0D3F" w:rsidRDefault="00295C6D" w:rsidP="00E31AE6">
            <w:pPr>
              <w:ind w:left="-108" w:right="-108"/>
              <w:jc w:val="center"/>
              <w:rPr>
                <w:rFonts w:ascii="Garamond" w:hAnsi="Garamond" w:cs="Times New Roman"/>
                <w:sz w:val="22"/>
                <w:szCs w:val="22"/>
                <w:highlight w:val="yellow"/>
              </w:rPr>
            </w:pPr>
            <w:r w:rsidRPr="00DB0D3F">
              <w:rPr>
                <w:rFonts w:ascii="Garamond" w:hAnsi="Garamond" w:cs="Times New Roman"/>
                <w:sz w:val="22"/>
                <w:szCs w:val="22"/>
                <w:highlight w:val="yellow"/>
              </w:rPr>
              <w:t>2</w:t>
            </w:r>
          </w:p>
        </w:tc>
        <w:tc>
          <w:tcPr>
            <w:tcW w:w="2977" w:type="dxa"/>
          </w:tcPr>
          <w:p w14:paraId="0BB7300D" w14:textId="77777777" w:rsidR="00295C6D" w:rsidRPr="00DB0D3F" w:rsidRDefault="00295C6D" w:rsidP="00E31AE6">
            <w:pPr>
              <w:jc w:val="center"/>
              <w:rPr>
                <w:rFonts w:ascii="Garamond" w:hAnsi="Garamond" w:cs="Times New Roman"/>
                <w:sz w:val="22"/>
                <w:szCs w:val="22"/>
                <w:highlight w:val="yellow"/>
              </w:rPr>
            </w:pPr>
            <w:r w:rsidRPr="00DB0D3F">
              <w:rPr>
                <w:rFonts w:ascii="Garamond" w:hAnsi="Garamond" w:cs="Times New Roman"/>
                <w:sz w:val="22"/>
                <w:szCs w:val="22"/>
                <w:highlight w:val="yellow"/>
              </w:rPr>
              <w:t>3</w:t>
            </w:r>
          </w:p>
        </w:tc>
        <w:tc>
          <w:tcPr>
            <w:tcW w:w="1558" w:type="dxa"/>
          </w:tcPr>
          <w:p w14:paraId="0DBB1FF1" w14:textId="77777777" w:rsidR="00295C6D" w:rsidRPr="00DB0D3F" w:rsidRDefault="00295C6D" w:rsidP="00E31AE6">
            <w:pPr>
              <w:ind w:right="-108"/>
              <w:jc w:val="center"/>
              <w:rPr>
                <w:rFonts w:ascii="Garamond" w:hAnsi="Garamond" w:cs="Times New Roman"/>
                <w:sz w:val="22"/>
                <w:szCs w:val="22"/>
                <w:highlight w:val="yellow"/>
              </w:rPr>
            </w:pPr>
            <w:r w:rsidRPr="00DB0D3F">
              <w:rPr>
                <w:rFonts w:ascii="Garamond" w:hAnsi="Garamond" w:cs="Times New Roman"/>
                <w:sz w:val="22"/>
                <w:szCs w:val="22"/>
                <w:highlight w:val="yellow"/>
              </w:rPr>
              <w:t>4</w:t>
            </w:r>
          </w:p>
        </w:tc>
        <w:tc>
          <w:tcPr>
            <w:tcW w:w="5559" w:type="dxa"/>
          </w:tcPr>
          <w:p w14:paraId="5EC52363" w14:textId="77777777" w:rsidR="00295C6D" w:rsidRPr="00DB0D3F" w:rsidRDefault="00295C6D" w:rsidP="00E31AE6">
            <w:pPr>
              <w:ind w:left="-108"/>
              <w:jc w:val="center"/>
              <w:rPr>
                <w:rFonts w:ascii="Garamond" w:hAnsi="Garamond" w:cs="Times New Roman"/>
                <w:sz w:val="22"/>
                <w:szCs w:val="22"/>
                <w:highlight w:val="yellow"/>
              </w:rPr>
            </w:pPr>
            <w:r w:rsidRPr="00DB0D3F">
              <w:rPr>
                <w:rFonts w:ascii="Garamond" w:hAnsi="Garamond" w:cs="Times New Roman"/>
                <w:sz w:val="22"/>
                <w:szCs w:val="22"/>
                <w:highlight w:val="yellow"/>
              </w:rPr>
              <w:t>5</w:t>
            </w:r>
          </w:p>
        </w:tc>
      </w:tr>
      <w:tr w:rsidR="00295C6D" w:rsidRPr="00DB0D3F" w14:paraId="2F567438" w14:textId="77777777" w:rsidTr="00DB0D3F">
        <w:trPr>
          <w:trHeight w:val="382"/>
        </w:trPr>
        <w:tc>
          <w:tcPr>
            <w:tcW w:w="822" w:type="dxa"/>
          </w:tcPr>
          <w:p w14:paraId="20F63CF5" w14:textId="77777777" w:rsidR="00295C6D" w:rsidRPr="00DB0D3F" w:rsidRDefault="00295C6D" w:rsidP="00E31AE6">
            <w:pPr>
              <w:jc w:val="center"/>
              <w:rPr>
                <w:rFonts w:ascii="Garamond" w:hAnsi="Garamond" w:cs="Times New Roman"/>
                <w:sz w:val="22"/>
                <w:szCs w:val="22"/>
                <w:highlight w:val="yellow"/>
              </w:rPr>
            </w:pPr>
            <w:r w:rsidRPr="00DB0D3F">
              <w:rPr>
                <w:rFonts w:ascii="Garamond" w:hAnsi="Garamond" w:cs="Times New Roman"/>
                <w:sz w:val="22"/>
                <w:szCs w:val="22"/>
                <w:highlight w:val="yellow"/>
              </w:rPr>
              <w:lastRenderedPageBreak/>
              <w:t>1</w:t>
            </w:r>
          </w:p>
        </w:tc>
        <w:tc>
          <w:tcPr>
            <w:tcW w:w="4394" w:type="dxa"/>
          </w:tcPr>
          <w:p w14:paraId="218D514E" w14:textId="77777777" w:rsidR="00295C6D" w:rsidRPr="00DB0D3F" w:rsidRDefault="00295C6D" w:rsidP="00E31AE6">
            <w:pPr>
              <w:ind w:left="-108" w:right="-108"/>
              <w:jc w:val="center"/>
              <w:rPr>
                <w:rFonts w:ascii="Garamond" w:hAnsi="Garamond" w:cs="Times New Roman"/>
                <w:sz w:val="22"/>
                <w:szCs w:val="22"/>
                <w:highlight w:val="yellow"/>
                <w:lang w:val="en-US"/>
              </w:rPr>
            </w:pPr>
          </w:p>
        </w:tc>
        <w:tc>
          <w:tcPr>
            <w:tcW w:w="2977" w:type="dxa"/>
          </w:tcPr>
          <w:p w14:paraId="4574F00F" w14:textId="77777777" w:rsidR="00295C6D" w:rsidRPr="00DB0D3F" w:rsidRDefault="00295C6D" w:rsidP="00E31AE6">
            <w:pPr>
              <w:jc w:val="center"/>
              <w:rPr>
                <w:rFonts w:ascii="Garamond" w:hAnsi="Garamond" w:cs="Times New Roman"/>
                <w:sz w:val="22"/>
                <w:szCs w:val="22"/>
                <w:highlight w:val="yellow"/>
              </w:rPr>
            </w:pPr>
          </w:p>
        </w:tc>
        <w:tc>
          <w:tcPr>
            <w:tcW w:w="1558" w:type="dxa"/>
          </w:tcPr>
          <w:p w14:paraId="322A374E" w14:textId="77777777" w:rsidR="00295C6D" w:rsidRPr="00DB0D3F" w:rsidRDefault="00295C6D" w:rsidP="00E31AE6">
            <w:pPr>
              <w:ind w:right="-108"/>
              <w:jc w:val="center"/>
              <w:rPr>
                <w:rFonts w:ascii="Garamond" w:hAnsi="Garamond" w:cs="Times New Roman"/>
                <w:sz w:val="22"/>
                <w:szCs w:val="22"/>
                <w:highlight w:val="yellow"/>
              </w:rPr>
            </w:pPr>
          </w:p>
        </w:tc>
        <w:tc>
          <w:tcPr>
            <w:tcW w:w="5559" w:type="dxa"/>
          </w:tcPr>
          <w:p w14:paraId="18988C98" w14:textId="77777777" w:rsidR="00295C6D" w:rsidRPr="00DB0D3F" w:rsidRDefault="00295C6D" w:rsidP="00E31AE6">
            <w:pPr>
              <w:ind w:right="-108"/>
              <w:jc w:val="center"/>
              <w:rPr>
                <w:rFonts w:ascii="Garamond" w:hAnsi="Garamond" w:cs="Times New Roman"/>
                <w:sz w:val="22"/>
                <w:szCs w:val="22"/>
                <w:highlight w:val="yellow"/>
              </w:rPr>
            </w:pPr>
          </w:p>
        </w:tc>
      </w:tr>
    </w:tbl>
    <w:p w14:paraId="54FF27FB" w14:textId="77777777" w:rsidR="00C2374B" w:rsidRDefault="00C2374B" w:rsidP="00E31AE6">
      <w:pPr>
        <w:rPr>
          <w:rFonts w:ascii="Garamond" w:hAnsi="Garamond" w:cs="Times New Roman"/>
          <w:bCs/>
          <w:highlight w:val="yellow"/>
        </w:rPr>
      </w:pPr>
    </w:p>
    <w:p w14:paraId="22B54962" w14:textId="28D380C1" w:rsidR="00295C6D" w:rsidRPr="00DB0D3F" w:rsidRDefault="00295C6D" w:rsidP="00E31AE6">
      <w:pPr>
        <w:rPr>
          <w:rFonts w:ascii="Garamond" w:hAnsi="Garamond" w:cs="Times New Roman"/>
          <w:highlight w:val="yellow"/>
        </w:rPr>
      </w:pPr>
      <w:r w:rsidRPr="00DB0D3F">
        <w:rPr>
          <w:rFonts w:ascii="Garamond" w:hAnsi="Garamond" w:cs="Times New Roman"/>
          <w:bCs/>
          <w:highlight w:val="yellow"/>
        </w:rPr>
        <w:t>Перечень точек измерений и точек присоединения сформирован на основании данных, переданных в макете 60000</w:t>
      </w:r>
      <w:r w:rsidRPr="00DB0D3F">
        <w:rPr>
          <w:rFonts w:ascii="Garamond" w:hAnsi="Garamond" w:cs="Times New Roman"/>
          <w:highlight w:val="yellow"/>
        </w:rPr>
        <w:t>:</w:t>
      </w:r>
    </w:p>
    <w:p w14:paraId="1FCD018E" w14:textId="77777777" w:rsidR="00295C6D" w:rsidRPr="00DB0D3F" w:rsidRDefault="00295C6D" w:rsidP="00E31AE6">
      <w:pPr>
        <w:rPr>
          <w:rFonts w:ascii="Garamond" w:hAnsi="Garamond" w:cs="Times New Roman"/>
          <w:highlight w:val="yellow"/>
        </w:rPr>
      </w:pPr>
      <w:r w:rsidRPr="00DB0D3F">
        <w:rPr>
          <w:rFonts w:ascii="Garamond" w:hAnsi="Garamond" w:cs="Times New Roman"/>
          <w:highlight w:val="yellow"/>
        </w:rPr>
        <w:t xml:space="preserve">ID файла: </w:t>
      </w:r>
    </w:p>
    <w:p w14:paraId="16C16CF8" w14:textId="77777777" w:rsidR="00295C6D" w:rsidRPr="00DB0D3F" w:rsidRDefault="00295C6D" w:rsidP="00E31AE6">
      <w:pPr>
        <w:rPr>
          <w:rFonts w:ascii="Garamond" w:hAnsi="Garamond" w:cs="Times New Roman"/>
          <w:highlight w:val="yellow"/>
        </w:rPr>
      </w:pPr>
      <w:r w:rsidRPr="00DB0D3F">
        <w:rPr>
          <w:rFonts w:ascii="Garamond" w:hAnsi="Garamond" w:cs="Times New Roman"/>
          <w:highlight w:val="yellow"/>
        </w:rPr>
        <w:t xml:space="preserve">Имя файла: </w:t>
      </w:r>
    </w:p>
    <w:p w14:paraId="157E2B68" w14:textId="77777777" w:rsidR="00295C6D" w:rsidRPr="00DB0D3F" w:rsidRDefault="00295C6D" w:rsidP="00E31AE6">
      <w:pPr>
        <w:rPr>
          <w:rFonts w:ascii="Garamond" w:hAnsi="Garamond" w:cs="Times New Roman"/>
          <w:highlight w:val="yellow"/>
        </w:rPr>
      </w:pPr>
      <w:r w:rsidRPr="00DB0D3F">
        <w:rPr>
          <w:rFonts w:ascii="Garamond" w:hAnsi="Garamond" w:cs="Times New Roman"/>
          <w:highlight w:val="yellow"/>
        </w:rPr>
        <w:t xml:space="preserve">ЭП 1: </w:t>
      </w:r>
    </w:p>
    <w:p w14:paraId="2453E8EF" w14:textId="77777777" w:rsidR="00295C6D" w:rsidRPr="00DB0D3F" w:rsidRDefault="00295C6D" w:rsidP="00E31AE6">
      <w:pPr>
        <w:rPr>
          <w:rFonts w:ascii="Garamond" w:hAnsi="Garamond" w:cs="Times New Roman"/>
        </w:rPr>
      </w:pPr>
      <w:r w:rsidRPr="00DB0D3F">
        <w:rPr>
          <w:rFonts w:ascii="Garamond" w:hAnsi="Garamond" w:cs="Times New Roman"/>
          <w:highlight w:val="yellow"/>
        </w:rPr>
        <w:t>ЭП 2:</w:t>
      </w:r>
      <w:r w:rsidRPr="00DB0D3F">
        <w:rPr>
          <w:rFonts w:ascii="Garamond" w:hAnsi="Garamond" w:cs="Times New Roman"/>
        </w:rPr>
        <w:t xml:space="preserve"> </w:t>
      </w:r>
    </w:p>
    <w:p w14:paraId="421BDC7C" w14:textId="77777777" w:rsidR="00295C6D" w:rsidRPr="00DB0D3F" w:rsidRDefault="00295C6D" w:rsidP="00E31AE6">
      <w:pPr>
        <w:tabs>
          <w:tab w:val="left" w:pos="1134"/>
          <w:tab w:val="left" w:pos="7938"/>
        </w:tabs>
        <w:spacing w:line="22" w:lineRule="atLeast"/>
        <w:jc w:val="both"/>
        <w:rPr>
          <w:rFonts w:ascii="Garamond" w:hAnsi="Garamond"/>
        </w:rPr>
      </w:pPr>
    </w:p>
    <w:p w14:paraId="02D7ED43" w14:textId="77777777" w:rsidR="00F11A8B" w:rsidRDefault="00F11A8B" w:rsidP="00DF5361">
      <w:pPr>
        <w:keepNext/>
        <w:ind w:left="-142"/>
        <w:jc w:val="right"/>
        <w:rPr>
          <w:rFonts w:ascii="Garamond" w:eastAsia="Times New Roman" w:hAnsi="Garamond" w:cs="Times New Roman"/>
          <w:b/>
          <w:sz w:val="24"/>
          <w:szCs w:val="24"/>
        </w:rPr>
      </w:pPr>
    </w:p>
    <w:sectPr w:rsidR="00F11A8B" w:rsidSect="00647FA0">
      <w:footerReference w:type="even" r:id="rId38"/>
      <w:footerReference w:type="default" r:id="rId39"/>
      <w:pgSz w:w="16838" w:h="11906" w:orient="landscape"/>
      <w:pgMar w:top="1134" w:right="851" w:bottom="1134" w:left="130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8064822" w14:textId="77777777" w:rsidR="008800D7" w:rsidRDefault="008800D7">
      <w:r>
        <w:separator/>
      </w:r>
    </w:p>
  </w:endnote>
  <w:endnote w:type="continuationSeparator" w:id="0">
    <w:p w14:paraId="34C382B8" w14:textId="77777777" w:rsidR="008800D7" w:rsidRDefault="008800D7">
      <w:r>
        <w:continuationSeparator/>
      </w:r>
    </w:p>
  </w:endnote>
  <w:endnote w:type="continuationNotice" w:id="1">
    <w:p w14:paraId="38BB9761" w14:textId="77777777" w:rsidR="008800D7" w:rsidRDefault="008800D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Garamond">
    <w:panose1 w:val="02020404030301010803"/>
    <w:charset w:val="CC"/>
    <w:family w:val="roman"/>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ochin">
    <w:altName w:val="Times New Roman"/>
    <w:charset w:val="00"/>
    <w:family w:val="roman"/>
    <w:pitch w:val="default"/>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w:panose1 w:val="020B05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CC"/>
    <w:family w:val="swiss"/>
    <w:pitch w:val="variable"/>
    <w:sig w:usb0="A00006FF" w:usb1="4000205B" w:usb2="00000010" w:usb3="00000000" w:csb0="0000019F" w:csb1="00000000"/>
  </w:font>
  <w:font w:name="NewsGoth Dm BT">
    <w:altName w:val="Arial"/>
    <w:panose1 w:val="00000000000000000000"/>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ourier">
    <w:panose1 w:val="02070309020205020404"/>
    <w:charset w:val="00"/>
    <w:family w:val="modern"/>
    <w:notTrueType/>
    <w:pitch w:val="fixed"/>
    <w:sig w:usb0="00000003" w:usb1="00000000" w:usb2="00000000" w:usb3="00000000" w:csb0="00000001" w:csb1="00000000"/>
  </w:font>
  <w:font w:name="Times New Roman CYR">
    <w:panose1 w:val="02020603050405020304"/>
    <w:charset w:val="CC"/>
    <w:family w:val="roman"/>
    <w:pitch w:val="variable"/>
    <w:sig w:usb0="E0002EFF" w:usb1="C000785B" w:usb2="00000009" w:usb3="00000000" w:csb0="000001FF" w:csb1="00000000"/>
  </w:font>
  <w:font w:name="NewsGoth BT">
    <w:altName w:val="Arial"/>
    <w:panose1 w:val="00000000000000000000"/>
    <w:charset w:val="00"/>
    <w:family w:val="swiss"/>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0" w:usb1="08070000" w:usb2="00000010" w:usb3="00000000" w:csb0="00020000" w:csb1="00000000"/>
  </w:font>
  <w:font w:name="Arial CYR">
    <w:panose1 w:val="020B0604020202020204"/>
    <w:charset w:val="CC"/>
    <w:family w:val="swiss"/>
    <w:pitch w:val="variable"/>
    <w:sig w:usb0="E0002EFF" w:usb1="C000785B" w:usb2="00000009" w:usb3="00000000" w:csb0="000001FF" w:csb1="00000000"/>
  </w:font>
  <w:font w:name="Courier New CYR">
    <w:panose1 w:val="02070309020205020404"/>
    <w:charset w:val="CC"/>
    <w:family w:val="modern"/>
    <w:pitch w:val="fixed"/>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EF7E5D" w14:textId="77777777" w:rsidR="008800D7" w:rsidRDefault="008800D7" w:rsidP="009B5207">
    <w:pPr>
      <w:pStyle w:val="aa"/>
      <w:framePr w:wrap="around" w:vAnchor="text" w:hAnchor="margin" w:xAlign="right" w:y="1"/>
      <w:rPr>
        <w:rStyle w:val="a5"/>
      </w:rPr>
    </w:pPr>
    <w:r>
      <w:rPr>
        <w:rStyle w:val="a5"/>
      </w:rPr>
      <w:fldChar w:fldCharType="begin"/>
    </w:r>
    <w:r>
      <w:rPr>
        <w:rStyle w:val="a5"/>
      </w:rPr>
      <w:instrText xml:space="preserve">PAGE  </w:instrText>
    </w:r>
    <w:r>
      <w:rPr>
        <w:rStyle w:val="a5"/>
      </w:rPr>
      <w:fldChar w:fldCharType="end"/>
    </w:r>
  </w:p>
  <w:p w14:paraId="38CF6B6F" w14:textId="77777777" w:rsidR="008800D7" w:rsidRDefault="008800D7" w:rsidP="009B5207">
    <w:pPr>
      <w:pStyle w:val="aa"/>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5BBF4F" w14:textId="0F34331F" w:rsidR="008800D7" w:rsidRDefault="008800D7" w:rsidP="009B5207">
    <w:pPr>
      <w:pStyle w:val="aa"/>
      <w:framePr w:wrap="around" w:vAnchor="text" w:hAnchor="margin" w:xAlign="right" w:y="1"/>
      <w:rPr>
        <w:rStyle w:val="a5"/>
      </w:rPr>
    </w:pPr>
    <w:r>
      <w:rPr>
        <w:rStyle w:val="a5"/>
      </w:rPr>
      <w:fldChar w:fldCharType="begin"/>
    </w:r>
    <w:r>
      <w:rPr>
        <w:rStyle w:val="a5"/>
      </w:rPr>
      <w:instrText xml:space="preserve">PAGE  </w:instrText>
    </w:r>
    <w:r>
      <w:rPr>
        <w:rStyle w:val="a5"/>
      </w:rPr>
      <w:fldChar w:fldCharType="separate"/>
    </w:r>
    <w:r w:rsidR="00CC5658">
      <w:rPr>
        <w:rStyle w:val="a5"/>
        <w:noProof/>
      </w:rPr>
      <w:t>8</w:t>
    </w:r>
    <w:r>
      <w:rPr>
        <w:rStyle w:val="a5"/>
      </w:rPr>
      <w:fldChar w:fldCharType="end"/>
    </w:r>
  </w:p>
  <w:p w14:paraId="45C73016" w14:textId="77777777" w:rsidR="008800D7" w:rsidRDefault="008800D7" w:rsidP="009B5207">
    <w:pPr>
      <w:pStyle w:val="aa"/>
      <w:ind w:right="360"/>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63318298"/>
      <w:docPartObj>
        <w:docPartGallery w:val="Page Numbers (Bottom of Page)"/>
        <w:docPartUnique/>
      </w:docPartObj>
    </w:sdtPr>
    <w:sdtContent>
      <w:p w14:paraId="21F02D75" w14:textId="44F3ED43" w:rsidR="008800D7" w:rsidRDefault="008800D7">
        <w:pPr>
          <w:pStyle w:val="aa"/>
          <w:jc w:val="right"/>
        </w:pPr>
        <w:r>
          <w:fldChar w:fldCharType="begin"/>
        </w:r>
        <w:r>
          <w:instrText>PAGE   \* MERGEFORMAT</w:instrText>
        </w:r>
        <w:r>
          <w:fldChar w:fldCharType="separate"/>
        </w:r>
        <w:r w:rsidR="005951D1">
          <w:rPr>
            <w:noProof/>
          </w:rPr>
          <w:t>81</w:t>
        </w:r>
        <w:r>
          <w:fldChar w:fldCharType="end"/>
        </w:r>
      </w:p>
    </w:sdtContent>
  </w:sdt>
  <w:p w14:paraId="160CAEAF" w14:textId="77777777" w:rsidR="008800D7" w:rsidRDefault="008800D7">
    <w:pPr>
      <w:pStyle w:val="aa"/>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937873" w14:textId="77777777" w:rsidR="008800D7" w:rsidRDefault="008800D7" w:rsidP="009B5207">
    <w:pPr>
      <w:pStyle w:val="aa"/>
      <w:framePr w:wrap="around" w:vAnchor="text" w:hAnchor="margin" w:xAlign="right" w:y="1"/>
      <w:rPr>
        <w:rStyle w:val="a5"/>
      </w:rPr>
    </w:pPr>
    <w:r>
      <w:rPr>
        <w:rStyle w:val="a5"/>
      </w:rPr>
      <w:fldChar w:fldCharType="begin"/>
    </w:r>
    <w:r>
      <w:rPr>
        <w:rStyle w:val="a5"/>
      </w:rPr>
      <w:instrText xml:space="preserve">PAGE  </w:instrText>
    </w:r>
    <w:r>
      <w:rPr>
        <w:rStyle w:val="a5"/>
      </w:rPr>
      <w:fldChar w:fldCharType="end"/>
    </w:r>
  </w:p>
  <w:p w14:paraId="55808F1F" w14:textId="77777777" w:rsidR="008800D7" w:rsidRDefault="008800D7" w:rsidP="009B5207">
    <w:pPr>
      <w:pStyle w:val="aa"/>
      <w:ind w:right="360"/>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FA2A6E" w14:textId="24EE3254" w:rsidR="008800D7" w:rsidRDefault="008800D7" w:rsidP="009B5207">
    <w:pPr>
      <w:pStyle w:val="aa"/>
      <w:framePr w:wrap="around" w:vAnchor="text" w:hAnchor="margin" w:xAlign="right" w:y="1"/>
      <w:rPr>
        <w:rStyle w:val="a5"/>
      </w:rPr>
    </w:pPr>
    <w:r>
      <w:rPr>
        <w:rStyle w:val="a5"/>
      </w:rPr>
      <w:fldChar w:fldCharType="begin"/>
    </w:r>
    <w:r>
      <w:rPr>
        <w:rStyle w:val="a5"/>
      </w:rPr>
      <w:instrText xml:space="preserve">PAGE  </w:instrText>
    </w:r>
    <w:r>
      <w:rPr>
        <w:rStyle w:val="a5"/>
      </w:rPr>
      <w:fldChar w:fldCharType="separate"/>
    </w:r>
    <w:r w:rsidR="00FE2ABB">
      <w:rPr>
        <w:rStyle w:val="a5"/>
        <w:noProof/>
      </w:rPr>
      <w:t>273</w:t>
    </w:r>
    <w:r>
      <w:rPr>
        <w:rStyle w:val="a5"/>
      </w:rPr>
      <w:fldChar w:fldCharType="end"/>
    </w:r>
  </w:p>
  <w:p w14:paraId="4C3A8D29" w14:textId="77777777" w:rsidR="008800D7" w:rsidRDefault="008800D7" w:rsidP="009B5207">
    <w:pPr>
      <w:pStyle w:val="aa"/>
      <w:ind w:right="360"/>
    </w:pP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2245CE" w14:textId="77777777" w:rsidR="008800D7" w:rsidRDefault="008800D7" w:rsidP="009B5207">
    <w:pPr>
      <w:pStyle w:val="aa"/>
      <w:framePr w:wrap="around" w:vAnchor="text" w:hAnchor="margin" w:xAlign="right" w:y="1"/>
      <w:rPr>
        <w:rStyle w:val="a5"/>
      </w:rPr>
    </w:pPr>
    <w:r>
      <w:rPr>
        <w:rStyle w:val="a5"/>
      </w:rPr>
      <w:fldChar w:fldCharType="begin"/>
    </w:r>
    <w:r>
      <w:rPr>
        <w:rStyle w:val="a5"/>
      </w:rPr>
      <w:instrText xml:space="preserve">PAGE  </w:instrText>
    </w:r>
    <w:r>
      <w:rPr>
        <w:rStyle w:val="a5"/>
      </w:rPr>
      <w:fldChar w:fldCharType="end"/>
    </w:r>
  </w:p>
  <w:p w14:paraId="6ADCB704" w14:textId="77777777" w:rsidR="008800D7" w:rsidRDefault="008800D7" w:rsidP="009B5207">
    <w:pPr>
      <w:pStyle w:val="aa"/>
      <w:ind w:right="360"/>
    </w:pP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A9A001" w14:textId="1034A3A4" w:rsidR="008800D7" w:rsidRDefault="008800D7" w:rsidP="009B5207">
    <w:pPr>
      <w:pStyle w:val="aa"/>
      <w:framePr w:wrap="around" w:vAnchor="text" w:hAnchor="margin" w:xAlign="right" w:y="1"/>
      <w:rPr>
        <w:rStyle w:val="a5"/>
      </w:rPr>
    </w:pPr>
    <w:r>
      <w:rPr>
        <w:rStyle w:val="a5"/>
      </w:rPr>
      <w:fldChar w:fldCharType="begin"/>
    </w:r>
    <w:r>
      <w:rPr>
        <w:rStyle w:val="a5"/>
      </w:rPr>
      <w:instrText xml:space="preserve">PAGE  </w:instrText>
    </w:r>
    <w:r>
      <w:rPr>
        <w:rStyle w:val="a5"/>
      </w:rPr>
      <w:fldChar w:fldCharType="separate"/>
    </w:r>
    <w:r w:rsidR="00FE2ABB">
      <w:rPr>
        <w:rStyle w:val="a5"/>
        <w:noProof/>
      </w:rPr>
      <w:t>284</w:t>
    </w:r>
    <w:r>
      <w:rPr>
        <w:rStyle w:val="a5"/>
      </w:rPr>
      <w:fldChar w:fldCharType="end"/>
    </w:r>
  </w:p>
  <w:p w14:paraId="0A6C315D" w14:textId="77777777" w:rsidR="008800D7" w:rsidRDefault="008800D7" w:rsidP="009B5207">
    <w:pPr>
      <w:pStyle w:val="aa"/>
      <w:ind w:right="360"/>
    </w:pPr>
  </w:p>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F66D7F" w14:textId="77777777" w:rsidR="008800D7" w:rsidRDefault="008800D7" w:rsidP="009B5207">
    <w:pPr>
      <w:pStyle w:val="aa"/>
      <w:framePr w:wrap="around" w:vAnchor="text" w:hAnchor="margin" w:xAlign="right" w:y="1"/>
      <w:rPr>
        <w:rStyle w:val="a5"/>
      </w:rPr>
    </w:pPr>
    <w:r>
      <w:rPr>
        <w:rStyle w:val="a5"/>
      </w:rPr>
      <w:fldChar w:fldCharType="begin"/>
    </w:r>
    <w:r>
      <w:rPr>
        <w:rStyle w:val="a5"/>
      </w:rPr>
      <w:instrText xml:space="preserve">PAGE  </w:instrText>
    </w:r>
    <w:r>
      <w:rPr>
        <w:rStyle w:val="a5"/>
      </w:rPr>
      <w:fldChar w:fldCharType="end"/>
    </w:r>
  </w:p>
  <w:p w14:paraId="0DD38D09" w14:textId="77777777" w:rsidR="008800D7" w:rsidRDefault="008800D7" w:rsidP="009B5207">
    <w:pPr>
      <w:pStyle w:val="aa"/>
      <w:ind w:right="360"/>
    </w:pPr>
  </w:p>
</w:ftr>
</file>

<file path=word/footer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7A5CD0" w14:textId="21E551CC" w:rsidR="008800D7" w:rsidRDefault="008800D7" w:rsidP="009B5207">
    <w:pPr>
      <w:pStyle w:val="aa"/>
      <w:framePr w:wrap="around" w:vAnchor="text" w:hAnchor="margin" w:xAlign="right" w:y="1"/>
      <w:rPr>
        <w:rStyle w:val="a5"/>
      </w:rPr>
    </w:pPr>
    <w:r>
      <w:rPr>
        <w:rStyle w:val="a5"/>
      </w:rPr>
      <w:fldChar w:fldCharType="begin"/>
    </w:r>
    <w:r>
      <w:rPr>
        <w:rStyle w:val="a5"/>
      </w:rPr>
      <w:instrText xml:space="preserve">PAGE  </w:instrText>
    </w:r>
    <w:r>
      <w:rPr>
        <w:rStyle w:val="a5"/>
      </w:rPr>
      <w:fldChar w:fldCharType="separate"/>
    </w:r>
    <w:r w:rsidR="00FE2ABB">
      <w:rPr>
        <w:rStyle w:val="a5"/>
        <w:noProof/>
      </w:rPr>
      <w:t>422</w:t>
    </w:r>
    <w:r>
      <w:rPr>
        <w:rStyle w:val="a5"/>
      </w:rPr>
      <w:fldChar w:fldCharType="end"/>
    </w:r>
  </w:p>
  <w:p w14:paraId="0247735B" w14:textId="77777777" w:rsidR="008800D7" w:rsidRDefault="008800D7" w:rsidP="009B5207">
    <w:pPr>
      <w:pStyle w:val="a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A11855A" w14:textId="77777777" w:rsidR="008800D7" w:rsidRDefault="008800D7">
      <w:r>
        <w:separator/>
      </w:r>
    </w:p>
  </w:footnote>
  <w:footnote w:type="continuationSeparator" w:id="0">
    <w:p w14:paraId="3D88CE87" w14:textId="77777777" w:rsidR="008800D7" w:rsidRDefault="008800D7">
      <w:r>
        <w:continuationSeparator/>
      </w:r>
    </w:p>
  </w:footnote>
  <w:footnote w:type="continuationNotice" w:id="1">
    <w:p w14:paraId="63C71975" w14:textId="77777777" w:rsidR="008800D7" w:rsidRDefault="008800D7"/>
  </w:footnote>
  <w:footnote w:id="2">
    <w:p w14:paraId="5A0F3D59" w14:textId="77777777" w:rsidR="008800D7" w:rsidRDefault="008800D7" w:rsidP="00F11A8B">
      <w:pPr>
        <w:pStyle w:val="afa"/>
        <w:jc w:val="both"/>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D43EFCE4"/>
    <w:lvl w:ilvl="0">
      <w:start w:val="1"/>
      <w:numFmt w:val="decimal"/>
      <w:pStyle w:val="4"/>
      <w:lvlText w:val="%1."/>
      <w:lvlJc w:val="left"/>
      <w:pPr>
        <w:tabs>
          <w:tab w:val="num" w:pos="643"/>
        </w:tabs>
        <w:ind w:left="643" w:hanging="360"/>
      </w:pPr>
      <w:rPr>
        <w:rFonts w:cs="Times New Roman"/>
      </w:rPr>
    </w:lvl>
  </w:abstractNum>
  <w:abstractNum w:abstractNumId="1" w15:restartNumberingAfterBreak="0">
    <w:nsid w:val="FFFFFFFB"/>
    <w:multiLevelType w:val="multilevel"/>
    <w:tmpl w:val="70B41A00"/>
    <w:lvl w:ilvl="0">
      <w:start w:val="1"/>
      <w:numFmt w:val="none"/>
      <w:suff w:val="nothing"/>
      <w:lvlText w:val=""/>
      <w:lvlJc w:val="left"/>
      <w:rPr>
        <w:rFonts w:cs="Cambria" w:hint="default"/>
      </w:rPr>
    </w:lvl>
    <w:lvl w:ilvl="1">
      <w:start w:val="1"/>
      <w:numFmt w:val="decimal"/>
      <w:pStyle w:val="2"/>
      <w:lvlText w:val="%2."/>
      <w:lvlJc w:val="left"/>
      <w:pPr>
        <w:tabs>
          <w:tab w:val="num" w:pos="0"/>
        </w:tabs>
      </w:pPr>
      <w:rPr>
        <w:rFonts w:cs="Cambria" w:hint="default"/>
      </w:rPr>
    </w:lvl>
    <w:lvl w:ilvl="2">
      <w:start w:val="1"/>
      <w:numFmt w:val="decimal"/>
      <w:pStyle w:val="3"/>
      <w:lvlText w:val="%2.%3"/>
      <w:lvlJc w:val="left"/>
      <w:pPr>
        <w:tabs>
          <w:tab w:val="num" w:pos="0"/>
        </w:tabs>
      </w:pPr>
      <w:rPr>
        <w:rFonts w:cs="Cambria" w:hint="default"/>
        <w:b w:val="0"/>
        <w:i w:val="0"/>
      </w:rPr>
    </w:lvl>
    <w:lvl w:ilvl="3">
      <w:start w:val="1"/>
      <w:numFmt w:val="decimal"/>
      <w:pStyle w:val="40"/>
      <w:lvlText w:val="%2.%3.%4"/>
      <w:lvlJc w:val="left"/>
      <w:pPr>
        <w:tabs>
          <w:tab w:val="num" w:pos="180"/>
        </w:tabs>
        <w:ind w:left="180"/>
      </w:pPr>
      <w:rPr>
        <w:rFonts w:cs="Cambria" w:hint="default"/>
      </w:rPr>
    </w:lvl>
    <w:lvl w:ilvl="4">
      <w:start w:val="1"/>
      <w:numFmt w:val="decimal"/>
      <w:lvlText w:val="%5)"/>
      <w:lvlJc w:val="left"/>
      <w:pPr>
        <w:tabs>
          <w:tab w:val="num" w:pos="0"/>
        </w:tabs>
      </w:pPr>
      <w:rPr>
        <w:rFonts w:cs="Cambria" w:hint="default"/>
      </w:rPr>
    </w:lvl>
    <w:lvl w:ilvl="5">
      <w:start w:val="1"/>
      <w:numFmt w:val="lowerRoman"/>
      <w:pStyle w:val="6"/>
      <w:lvlText w:val="%6)"/>
      <w:lvlJc w:val="left"/>
      <w:pPr>
        <w:tabs>
          <w:tab w:val="num" w:pos="0"/>
        </w:tabs>
      </w:pPr>
      <w:rPr>
        <w:rFonts w:cs="Cambria" w:hint="default"/>
      </w:rPr>
    </w:lvl>
    <w:lvl w:ilvl="6">
      <w:start w:val="1"/>
      <w:numFmt w:val="none"/>
      <w:suff w:val="nothing"/>
      <w:lvlText w:val=""/>
      <w:lvlJc w:val="left"/>
      <w:rPr>
        <w:rFonts w:cs="Cambria" w:hint="default"/>
      </w:rPr>
    </w:lvl>
    <w:lvl w:ilvl="7">
      <w:start w:val="1"/>
      <w:numFmt w:val="none"/>
      <w:suff w:val="nothing"/>
      <w:lvlText w:val=""/>
      <w:lvlJc w:val="left"/>
      <w:rPr>
        <w:rFonts w:cs="Cambria" w:hint="default"/>
      </w:rPr>
    </w:lvl>
    <w:lvl w:ilvl="8">
      <w:start w:val="1"/>
      <w:numFmt w:val="none"/>
      <w:suff w:val="nothing"/>
      <w:lvlText w:val=""/>
      <w:lvlJc w:val="left"/>
      <w:rPr>
        <w:rFonts w:cs="Cambria" w:hint="default"/>
      </w:rPr>
    </w:lvl>
  </w:abstractNum>
  <w:abstractNum w:abstractNumId="2" w15:restartNumberingAfterBreak="0">
    <w:nsid w:val="00000001"/>
    <w:multiLevelType w:val="singleLevel"/>
    <w:tmpl w:val="00000001"/>
    <w:name w:val="WW8Num1"/>
    <w:lvl w:ilvl="0">
      <w:start w:val="1"/>
      <w:numFmt w:val="decimal"/>
      <w:lvlText w:val="%1."/>
      <w:lvlJc w:val="left"/>
      <w:pPr>
        <w:tabs>
          <w:tab w:val="num" w:pos="720"/>
        </w:tabs>
        <w:ind w:left="720" w:hanging="360"/>
      </w:pPr>
      <w:rPr>
        <w:rFonts w:cs="Times New Roman"/>
      </w:rPr>
    </w:lvl>
  </w:abstractNum>
  <w:abstractNum w:abstractNumId="3" w15:restartNumberingAfterBreak="0">
    <w:nsid w:val="00000003"/>
    <w:multiLevelType w:val="multilevel"/>
    <w:tmpl w:val="00000003"/>
    <w:name w:val="WW8Num3"/>
    <w:lvl w:ilvl="0">
      <w:start w:val="1"/>
      <w:numFmt w:val="decimal"/>
      <w:lvlText w:val="%1."/>
      <w:lvlJc w:val="left"/>
      <w:pPr>
        <w:tabs>
          <w:tab w:val="num" w:pos="900"/>
        </w:tabs>
        <w:ind w:left="900" w:hanging="360"/>
      </w:pPr>
      <w:rPr>
        <w:rFonts w:cs="Times New Roman"/>
      </w:rPr>
    </w:lvl>
    <w:lvl w:ilvl="1">
      <w:start w:val="1"/>
      <w:numFmt w:val="decimal"/>
      <w:lvlText w:val="%2)"/>
      <w:lvlJc w:val="left"/>
      <w:pPr>
        <w:tabs>
          <w:tab w:val="num" w:pos="1560"/>
        </w:tabs>
        <w:ind w:left="1560" w:hanging="360"/>
      </w:pPr>
      <w:rPr>
        <w:rFonts w:cs="Times New Roman"/>
      </w:rPr>
    </w:lvl>
    <w:lvl w:ilvl="2">
      <w:start w:val="1"/>
      <w:numFmt w:val="lowerRoman"/>
      <w:lvlText w:val="%3."/>
      <w:lvlJc w:val="right"/>
      <w:pPr>
        <w:tabs>
          <w:tab w:val="num" w:pos="2280"/>
        </w:tabs>
        <w:ind w:left="2280" w:hanging="180"/>
      </w:pPr>
      <w:rPr>
        <w:rFonts w:cs="Times New Roman"/>
      </w:rPr>
    </w:lvl>
    <w:lvl w:ilvl="3">
      <w:start w:val="1"/>
      <w:numFmt w:val="decimal"/>
      <w:lvlText w:val="%4."/>
      <w:lvlJc w:val="left"/>
      <w:pPr>
        <w:tabs>
          <w:tab w:val="num" w:pos="3000"/>
        </w:tabs>
        <w:ind w:left="3000" w:hanging="360"/>
      </w:pPr>
      <w:rPr>
        <w:rFonts w:cs="Times New Roman"/>
      </w:rPr>
    </w:lvl>
    <w:lvl w:ilvl="4">
      <w:start w:val="1"/>
      <w:numFmt w:val="lowerLetter"/>
      <w:lvlText w:val="%5."/>
      <w:lvlJc w:val="left"/>
      <w:pPr>
        <w:tabs>
          <w:tab w:val="num" w:pos="3720"/>
        </w:tabs>
        <w:ind w:left="3720" w:hanging="360"/>
      </w:pPr>
      <w:rPr>
        <w:rFonts w:cs="Times New Roman"/>
      </w:rPr>
    </w:lvl>
    <w:lvl w:ilvl="5">
      <w:start w:val="1"/>
      <w:numFmt w:val="lowerRoman"/>
      <w:lvlText w:val="%6."/>
      <w:lvlJc w:val="right"/>
      <w:pPr>
        <w:tabs>
          <w:tab w:val="num" w:pos="4440"/>
        </w:tabs>
        <w:ind w:left="4440" w:hanging="180"/>
      </w:pPr>
      <w:rPr>
        <w:rFonts w:cs="Times New Roman"/>
      </w:rPr>
    </w:lvl>
    <w:lvl w:ilvl="6">
      <w:start w:val="1"/>
      <w:numFmt w:val="decimal"/>
      <w:lvlText w:val="%7."/>
      <w:lvlJc w:val="left"/>
      <w:pPr>
        <w:tabs>
          <w:tab w:val="num" w:pos="5160"/>
        </w:tabs>
        <w:ind w:left="5160" w:hanging="360"/>
      </w:pPr>
      <w:rPr>
        <w:rFonts w:cs="Times New Roman"/>
      </w:rPr>
    </w:lvl>
    <w:lvl w:ilvl="7">
      <w:start w:val="1"/>
      <w:numFmt w:val="lowerLetter"/>
      <w:lvlText w:val="%8."/>
      <w:lvlJc w:val="left"/>
      <w:pPr>
        <w:tabs>
          <w:tab w:val="num" w:pos="5880"/>
        </w:tabs>
        <w:ind w:left="5880" w:hanging="360"/>
      </w:pPr>
      <w:rPr>
        <w:rFonts w:cs="Times New Roman"/>
      </w:rPr>
    </w:lvl>
    <w:lvl w:ilvl="8">
      <w:start w:val="1"/>
      <w:numFmt w:val="lowerRoman"/>
      <w:lvlText w:val="%9."/>
      <w:lvlJc w:val="right"/>
      <w:pPr>
        <w:tabs>
          <w:tab w:val="num" w:pos="6600"/>
        </w:tabs>
        <w:ind w:left="6600" w:hanging="180"/>
      </w:pPr>
      <w:rPr>
        <w:rFonts w:cs="Times New Roman"/>
      </w:rPr>
    </w:lvl>
  </w:abstractNum>
  <w:abstractNum w:abstractNumId="4" w15:restartNumberingAfterBreak="0">
    <w:nsid w:val="00487738"/>
    <w:multiLevelType w:val="hybridMultilevel"/>
    <w:tmpl w:val="FC9C8222"/>
    <w:lvl w:ilvl="0" w:tplc="0419000F">
      <w:start w:val="1"/>
      <w:numFmt w:val="decimal"/>
      <w:lvlText w:val="%1."/>
      <w:lvlJc w:val="left"/>
      <w:pPr>
        <w:ind w:left="1037" w:hanging="360"/>
      </w:pPr>
    </w:lvl>
    <w:lvl w:ilvl="1" w:tplc="04190019" w:tentative="1">
      <w:start w:val="1"/>
      <w:numFmt w:val="lowerLetter"/>
      <w:lvlText w:val="%2."/>
      <w:lvlJc w:val="left"/>
      <w:pPr>
        <w:ind w:left="1757" w:hanging="360"/>
      </w:pPr>
    </w:lvl>
    <w:lvl w:ilvl="2" w:tplc="0419001B" w:tentative="1">
      <w:start w:val="1"/>
      <w:numFmt w:val="lowerRoman"/>
      <w:lvlText w:val="%3."/>
      <w:lvlJc w:val="right"/>
      <w:pPr>
        <w:ind w:left="2477" w:hanging="180"/>
      </w:pPr>
    </w:lvl>
    <w:lvl w:ilvl="3" w:tplc="0419000F" w:tentative="1">
      <w:start w:val="1"/>
      <w:numFmt w:val="decimal"/>
      <w:lvlText w:val="%4."/>
      <w:lvlJc w:val="left"/>
      <w:pPr>
        <w:ind w:left="3197" w:hanging="360"/>
      </w:pPr>
    </w:lvl>
    <w:lvl w:ilvl="4" w:tplc="04190019" w:tentative="1">
      <w:start w:val="1"/>
      <w:numFmt w:val="lowerLetter"/>
      <w:lvlText w:val="%5."/>
      <w:lvlJc w:val="left"/>
      <w:pPr>
        <w:ind w:left="3917" w:hanging="360"/>
      </w:pPr>
    </w:lvl>
    <w:lvl w:ilvl="5" w:tplc="0419001B" w:tentative="1">
      <w:start w:val="1"/>
      <w:numFmt w:val="lowerRoman"/>
      <w:lvlText w:val="%6."/>
      <w:lvlJc w:val="right"/>
      <w:pPr>
        <w:ind w:left="4637" w:hanging="180"/>
      </w:pPr>
    </w:lvl>
    <w:lvl w:ilvl="6" w:tplc="0419000F" w:tentative="1">
      <w:start w:val="1"/>
      <w:numFmt w:val="decimal"/>
      <w:lvlText w:val="%7."/>
      <w:lvlJc w:val="left"/>
      <w:pPr>
        <w:ind w:left="5357" w:hanging="360"/>
      </w:pPr>
    </w:lvl>
    <w:lvl w:ilvl="7" w:tplc="04190019" w:tentative="1">
      <w:start w:val="1"/>
      <w:numFmt w:val="lowerLetter"/>
      <w:lvlText w:val="%8."/>
      <w:lvlJc w:val="left"/>
      <w:pPr>
        <w:ind w:left="6077" w:hanging="360"/>
      </w:pPr>
    </w:lvl>
    <w:lvl w:ilvl="8" w:tplc="0419001B" w:tentative="1">
      <w:start w:val="1"/>
      <w:numFmt w:val="lowerRoman"/>
      <w:lvlText w:val="%9."/>
      <w:lvlJc w:val="right"/>
      <w:pPr>
        <w:ind w:left="6797" w:hanging="180"/>
      </w:pPr>
    </w:lvl>
  </w:abstractNum>
  <w:abstractNum w:abstractNumId="5" w15:restartNumberingAfterBreak="0">
    <w:nsid w:val="00555C07"/>
    <w:multiLevelType w:val="hybridMultilevel"/>
    <w:tmpl w:val="3CC82BBE"/>
    <w:lvl w:ilvl="0" w:tplc="8E2CD1E4">
      <w:start w:val="1"/>
      <w:numFmt w:val="decimal"/>
      <w:lvlText w:val="%1)"/>
      <w:lvlJc w:val="left"/>
      <w:pPr>
        <w:ind w:left="846" w:hanging="360"/>
      </w:pPr>
      <w:rPr>
        <w:rFonts w:ascii="Garamond" w:hAnsi="Garamond" w:hint="default"/>
      </w:rPr>
    </w:lvl>
    <w:lvl w:ilvl="1" w:tplc="04190019" w:tentative="1">
      <w:start w:val="1"/>
      <w:numFmt w:val="lowerLetter"/>
      <w:lvlText w:val="%2."/>
      <w:lvlJc w:val="left"/>
      <w:pPr>
        <w:ind w:left="1566" w:hanging="360"/>
      </w:pPr>
    </w:lvl>
    <w:lvl w:ilvl="2" w:tplc="0419001B" w:tentative="1">
      <w:start w:val="1"/>
      <w:numFmt w:val="lowerRoman"/>
      <w:lvlText w:val="%3."/>
      <w:lvlJc w:val="right"/>
      <w:pPr>
        <w:ind w:left="2286" w:hanging="180"/>
      </w:pPr>
    </w:lvl>
    <w:lvl w:ilvl="3" w:tplc="0419000F" w:tentative="1">
      <w:start w:val="1"/>
      <w:numFmt w:val="decimal"/>
      <w:lvlText w:val="%4."/>
      <w:lvlJc w:val="left"/>
      <w:pPr>
        <w:ind w:left="3006" w:hanging="360"/>
      </w:pPr>
    </w:lvl>
    <w:lvl w:ilvl="4" w:tplc="04190019" w:tentative="1">
      <w:start w:val="1"/>
      <w:numFmt w:val="lowerLetter"/>
      <w:lvlText w:val="%5."/>
      <w:lvlJc w:val="left"/>
      <w:pPr>
        <w:ind w:left="3726" w:hanging="360"/>
      </w:pPr>
    </w:lvl>
    <w:lvl w:ilvl="5" w:tplc="0419001B" w:tentative="1">
      <w:start w:val="1"/>
      <w:numFmt w:val="lowerRoman"/>
      <w:lvlText w:val="%6."/>
      <w:lvlJc w:val="right"/>
      <w:pPr>
        <w:ind w:left="4446" w:hanging="180"/>
      </w:pPr>
    </w:lvl>
    <w:lvl w:ilvl="6" w:tplc="0419000F" w:tentative="1">
      <w:start w:val="1"/>
      <w:numFmt w:val="decimal"/>
      <w:lvlText w:val="%7."/>
      <w:lvlJc w:val="left"/>
      <w:pPr>
        <w:ind w:left="5166" w:hanging="360"/>
      </w:pPr>
    </w:lvl>
    <w:lvl w:ilvl="7" w:tplc="04190019" w:tentative="1">
      <w:start w:val="1"/>
      <w:numFmt w:val="lowerLetter"/>
      <w:lvlText w:val="%8."/>
      <w:lvlJc w:val="left"/>
      <w:pPr>
        <w:ind w:left="5886" w:hanging="360"/>
      </w:pPr>
    </w:lvl>
    <w:lvl w:ilvl="8" w:tplc="0419001B" w:tentative="1">
      <w:start w:val="1"/>
      <w:numFmt w:val="lowerRoman"/>
      <w:lvlText w:val="%9."/>
      <w:lvlJc w:val="right"/>
      <w:pPr>
        <w:ind w:left="6606" w:hanging="180"/>
      </w:pPr>
    </w:lvl>
  </w:abstractNum>
  <w:abstractNum w:abstractNumId="6" w15:restartNumberingAfterBreak="0">
    <w:nsid w:val="00DB0140"/>
    <w:multiLevelType w:val="multilevel"/>
    <w:tmpl w:val="CDFA8CD6"/>
    <w:lvl w:ilvl="0">
      <w:start w:val="1"/>
      <w:numFmt w:val="decimal"/>
      <w:lvlText w:val="%1."/>
      <w:lvlJc w:val="left"/>
      <w:pPr>
        <w:ind w:left="1080" w:hanging="360"/>
      </w:pPr>
      <w:rPr>
        <w:rFonts w:hint="default"/>
      </w:rPr>
    </w:lvl>
    <w:lvl w:ilvl="1">
      <w:start w:val="1"/>
      <w:numFmt w:val="decimal"/>
      <w:isLgl/>
      <w:lvlText w:val="%1.%2"/>
      <w:lvlJc w:val="left"/>
      <w:pPr>
        <w:ind w:left="1146" w:hanging="360"/>
      </w:pPr>
      <w:rPr>
        <w:rFonts w:hint="default"/>
      </w:rPr>
    </w:lvl>
    <w:lvl w:ilvl="2">
      <w:start w:val="1"/>
      <w:numFmt w:val="decimal"/>
      <w:isLgl/>
      <w:lvlText w:val="%1.%2.%3"/>
      <w:lvlJc w:val="left"/>
      <w:pPr>
        <w:ind w:left="1572" w:hanging="720"/>
      </w:pPr>
      <w:rPr>
        <w:rFonts w:hint="default"/>
      </w:rPr>
    </w:lvl>
    <w:lvl w:ilvl="3">
      <w:start w:val="1"/>
      <w:numFmt w:val="decimal"/>
      <w:isLgl/>
      <w:lvlText w:val="%1.%2.%3.%4"/>
      <w:lvlJc w:val="left"/>
      <w:pPr>
        <w:ind w:left="1638" w:hanging="720"/>
      </w:pPr>
      <w:rPr>
        <w:rFonts w:hint="default"/>
      </w:rPr>
    </w:lvl>
    <w:lvl w:ilvl="4">
      <w:start w:val="1"/>
      <w:numFmt w:val="decimal"/>
      <w:isLgl/>
      <w:lvlText w:val="%1.%2.%3.%4.%5"/>
      <w:lvlJc w:val="left"/>
      <w:pPr>
        <w:ind w:left="2064" w:hanging="1080"/>
      </w:pPr>
      <w:rPr>
        <w:rFonts w:hint="default"/>
      </w:rPr>
    </w:lvl>
    <w:lvl w:ilvl="5">
      <w:start w:val="1"/>
      <w:numFmt w:val="decimal"/>
      <w:isLgl/>
      <w:lvlText w:val="%1.%2.%3.%4.%5.%6"/>
      <w:lvlJc w:val="left"/>
      <w:pPr>
        <w:ind w:left="2130" w:hanging="1080"/>
      </w:pPr>
      <w:rPr>
        <w:rFonts w:hint="default"/>
      </w:rPr>
    </w:lvl>
    <w:lvl w:ilvl="6">
      <w:start w:val="1"/>
      <w:numFmt w:val="decimal"/>
      <w:isLgl/>
      <w:lvlText w:val="%1.%2.%3.%4.%5.%6.%7"/>
      <w:lvlJc w:val="left"/>
      <w:pPr>
        <w:ind w:left="2556" w:hanging="1440"/>
      </w:pPr>
      <w:rPr>
        <w:rFonts w:hint="default"/>
      </w:rPr>
    </w:lvl>
    <w:lvl w:ilvl="7">
      <w:start w:val="1"/>
      <w:numFmt w:val="decimal"/>
      <w:isLgl/>
      <w:lvlText w:val="%1.%2.%3.%4.%5.%6.%7.%8"/>
      <w:lvlJc w:val="left"/>
      <w:pPr>
        <w:ind w:left="2622" w:hanging="1440"/>
      </w:pPr>
      <w:rPr>
        <w:rFonts w:hint="default"/>
      </w:rPr>
    </w:lvl>
    <w:lvl w:ilvl="8">
      <w:start w:val="1"/>
      <w:numFmt w:val="decimal"/>
      <w:isLgl/>
      <w:lvlText w:val="%1.%2.%3.%4.%5.%6.%7.%8.%9"/>
      <w:lvlJc w:val="left"/>
      <w:pPr>
        <w:ind w:left="3048" w:hanging="1800"/>
      </w:pPr>
      <w:rPr>
        <w:rFonts w:hint="default"/>
      </w:rPr>
    </w:lvl>
  </w:abstractNum>
  <w:abstractNum w:abstractNumId="7" w15:restartNumberingAfterBreak="0">
    <w:nsid w:val="00EB7042"/>
    <w:multiLevelType w:val="hybridMultilevel"/>
    <w:tmpl w:val="9DB82F1C"/>
    <w:name w:val="WW8Num622"/>
    <w:lvl w:ilvl="0" w:tplc="345E4FC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Symbol" w:hAnsi="Symbol" w:cs="Symbol" w:hint="default"/>
      </w:rPr>
    </w:lvl>
    <w:lvl w:ilvl="2" w:tplc="04190005" w:tentative="1">
      <w:start w:val="1"/>
      <w:numFmt w:val="bullet"/>
      <w:lvlText w:val=""/>
      <w:lvlJc w:val="left"/>
      <w:pPr>
        <w:ind w:left="2727" w:hanging="360"/>
      </w:pPr>
      <w:rPr>
        <w:rFonts w:ascii="Arial" w:hAnsi="Arial" w:hint="default"/>
      </w:rPr>
    </w:lvl>
    <w:lvl w:ilvl="3" w:tplc="04190001" w:tentative="1">
      <w:start w:val="1"/>
      <w:numFmt w:val="bullet"/>
      <w:lvlText w:val=""/>
      <w:lvlJc w:val="left"/>
      <w:pPr>
        <w:ind w:left="3447" w:hanging="360"/>
      </w:pPr>
      <w:rPr>
        <w:rFonts w:ascii="Cochin" w:hAnsi="Cochin" w:hint="default"/>
      </w:rPr>
    </w:lvl>
    <w:lvl w:ilvl="4" w:tplc="04190003" w:tentative="1">
      <w:start w:val="1"/>
      <w:numFmt w:val="bullet"/>
      <w:lvlText w:val="o"/>
      <w:lvlJc w:val="left"/>
      <w:pPr>
        <w:ind w:left="4167" w:hanging="360"/>
      </w:pPr>
      <w:rPr>
        <w:rFonts w:ascii="Symbol" w:hAnsi="Symbol" w:cs="Symbol" w:hint="default"/>
      </w:rPr>
    </w:lvl>
    <w:lvl w:ilvl="5" w:tplc="04190005" w:tentative="1">
      <w:start w:val="1"/>
      <w:numFmt w:val="bullet"/>
      <w:lvlText w:val=""/>
      <w:lvlJc w:val="left"/>
      <w:pPr>
        <w:ind w:left="4887" w:hanging="360"/>
      </w:pPr>
      <w:rPr>
        <w:rFonts w:ascii="Arial" w:hAnsi="Arial" w:hint="default"/>
      </w:rPr>
    </w:lvl>
    <w:lvl w:ilvl="6" w:tplc="04190001" w:tentative="1">
      <w:start w:val="1"/>
      <w:numFmt w:val="bullet"/>
      <w:lvlText w:val=""/>
      <w:lvlJc w:val="left"/>
      <w:pPr>
        <w:ind w:left="5607" w:hanging="360"/>
      </w:pPr>
      <w:rPr>
        <w:rFonts w:ascii="Cochin" w:hAnsi="Cochin" w:hint="default"/>
      </w:rPr>
    </w:lvl>
    <w:lvl w:ilvl="7" w:tplc="04190003" w:tentative="1">
      <w:start w:val="1"/>
      <w:numFmt w:val="bullet"/>
      <w:lvlText w:val="o"/>
      <w:lvlJc w:val="left"/>
      <w:pPr>
        <w:ind w:left="6327" w:hanging="360"/>
      </w:pPr>
      <w:rPr>
        <w:rFonts w:ascii="Symbol" w:hAnsi="Symbol" w:cs="Symbol" w:hint="default"/>
      </w:rPr>
    </w:lvl>
    <w:lvl w:ilvl="8" w:tplc="04190005" w:tentative="1">
      <w:start w:val="1"/>
      <w:numFmt w:val="bullet"/>
      <w:lvlText w:val=""/>
      <w:lvlJc w:val="left"/>
      <w:pPr>
        <w:ind w:left="7047" w:hanging="360"/>
      </w:pPr>
      <w:rPr>
        <w:rFonts w:ascii="Arial" w:hAnsi="Arial" w:hint="default"/>
      </w:rPr>
    </w:lvl>
  </w:abstractNum>
  <w:abstractNum w:abstractNumId="8" w15:restartNumberingAfterBreak="0">
    <w:nsid w:val="00F67BB3"/>
    <w:multiLevelType w:val="hybridMultilevel"/>
    <w:tmpl w:val="17601EB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02872B1B"/>
    <w:multiLevelType w:val="hybridMultilevel"/>
    <w:tmpl w:val="B75CBB4A"/>
    <w:lvl w:ilvl="0" w:tplc="7C72A708">
      <w:start w:val="1"/>
      <w:numFmt w:val="bullet"/>
      <w:pStyle w:val="ActUses"/>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031F6572"/>
    <w:multiLevelType w:val="multilevel"/>
    <w:tmpl w:val="2182BE60"/>
    <w:styleLink w:val="List77"/>
    <w:lvl w:ilvl="0">
      <w:start w:val="1"/>
      <w:numFmt w:val="decimal"/>
      <w:lvlText w:val="%1)"/>
      <w:lvlJc w:val="left"/>
      <w:pPr>
        <w:tabs>
          <w:tab w:val="num" w:pos="360"/>
        </w:tabs>
        <w:ind w:left="360" w:hanging="360"/>
      </w:pPr>
      <w:rPr>
        <w:rFonts w:ascii="Garamond" w:eastAsia="Garamond" w:hAnsi="Garamond" w:cs="Garamond"/>
        <w:position w:val="0"/>
        <w:sz w:val="22"/>
        <w:szCs w:val="22"/>
        <w:lang w:val="ru-RU"/>
      </w:rPr>
    </w:lvl>
    <w:lvl w:ilvl="1">
      <w:start w:val="1"/>
      <w:numFmt w:val="lowerLetter"/>
      <w:lvlText w:val="%2."/>
      <w:lvlJc w:val="left"/>
      <w:pPr>
        <w:tabs>
          <w:tab w:val="num" w:pos="1410"/>
        </w:tabs>
        <w:ind w:left="1410" w:hanging="330"/>
      </w:pPr>
      <w:rPr>
        <w:rFonts w:ascii="Garamond" w:eastAsia="Garamond" w:hAnsi="Garamond" w:cs="Garamond"/>
        <w:position w:val="0"/>
        <w:sz w:val="22"/>
        <w:szCs w:val="22"/>
        <w:lang w:val="ru-RU"/>
      </w:rPr>
    </w:lvl>
    <w:lvl w:ilvl="2">
      <w:start w:val="1"/>
      <w:numFmt w:val="lowerRoman"/>
      <w:lvlText w:val="%3."/>
      <w:lvlJc w:val="left"/>
      <w:pPr>
        <w:tabs>
          <w:tab w:val="num" w:pos="2135"/>
        </w:tabs>
        <w:ind w:left="2135" w:hanging="271"/>
      </w:pPr>
      <w:rPr>
        <w:rFonts w:ascii="Garamond" w:eastAsia="Garamond" w:hAnsi="Garamond" w:cs="Garamond"/>
        <w:position w:val="0"/>
        <w:sz w:val="22"/>
        <w:szCs w:val="22"/>
        <w:lang w:val="ru-RU"/>
      </w:rPr>
    </w:lvl>
    <w:lvl w:ilvl="3">
      <w:start w:val="1"/>
      <w:numFmt w:val="decimal"/>
      <w:lvlText w:val="%4."/>
      <w:lvlJc w:val="left"/>
      <w:pPr>
        <w:tabs>
          <w:tab w:val="num" w:pos="2850"/>
        </w:tabs>
        <w:ind w:left="2850" w:hanging="330"/>
      </w:pPr>
      <w:rPr>
        <w:rFonts w:ascii="Garamond" w:eastAsia="Garamond" w:hAnsi="Garamond" w:cs="Garamond"/>
        <w:position w:val="0"/>
        <w:sz w:val="22"/>
        <w:szCs w:val="22"/>
        <w:lang w:val="ru-RU"/>
      </w:rPr>
    </w:lvl>
    <w:lvl w:ilvl="4">
      <w:start w:val="1"/>
      <w:numFmt w:val="lowerLetter"/>
      <w:lvlText w:val="%5."/>
      <w:lvlJc w:val="left"/>
      <w:pPr>
        <w:tabs>
          <w:tab w:val="num" w:pos="3570"/>
        </w:tabs>
        <w:ind w:left="3570" w:hanging="330"/>
      </w:pPr>
      <w:rPr>
        <w:rFonts w:ascii="Garamond" w:eastAsia="Garamond" w:hAnsi="Garamond" w:cs="Garamond"/>
        <w:position w:val="0"/>
        <w:sz w:val="22"/>
        <w:szCs w:val="22"/>
        <w:lang w:val="ru-RU"/>
      </w:rPr>
    </w:lvl>
    <w:lvl w:ilvl="5">
      <w:start w:val="1"/>
      <w:numFmt w:val="lowerRoman"/>
      <w:lvlText w:val="%6."/>
      <w:lvlJc w:val="left"/>
      <w:pPr>
        <w:tabs>
          <w:tab w:val="num" w:pos="4295"/>
        </w:tabs>
        <w:ind w:left="4295" w:hanging="271"/>
      </w:pPr>
      <w:rPr>
        <w:rFonts w:ascii="Garamond" w:eastAsia="Garamond" w:hAnsi="Garamond" w:cs="Garamond"/>
        <w:position w:val="0"/>
        <w:sz w:val="22"/>
        <w:szCs w:val="22"/>
        <w:lang w:val="ru-RU"/>
      </w:rPr>
    </w:lvl>
    <w:lvl w:ilvl="6">
      <w:start w:val="1"/>
      <w:numFmt w:val="decimal"/>
      <w:lvlText w:val="%7."/>
      <w:lvlJc w:val="left"/>
      <w:pPr>
        <w:tabs>
          <w:tab w:val="num" w:pos="5010"/>
        </w:tabs>
        <w:ind w:left="5010" w:hanging="330"/>
      </w:pPr>
      <w:rPr>
        <w:rFonts w:ascii="Garamond" w:eastAsia="Garamond" w:hAnsi="Garamond" w:cs="Garamond"/>
        <w:position w:val="0"/>
        <w:sz w:val="22"/>
        <w:szCs w:val="22"/>
        <w:lang w:val="ru-RU"/>
      </w:rPr>
    </w:lvl>
    <w:lvl w:ilvl="7">
      <w:start w:val="1"/>
      <w:numFmt w:val="lowerLetter"/>
      <w:lvlText w:val="%8."/>
      <w:lvlJc w:val="left"/>
      <w:pPr>
        <w:tabs>
          <w:tab w:val="num" w:pos="5730"/>
        </w:tabs>
        <w:ind w:left="5730" w:hanging="330"/>
      </w:pPr>
      <w:rPr>
        <w:rFonts w:ascii="Garamond" w:eastAsia="Garamond" w:hAnsi="Garamond" w:cs="Garamond"/>
        <w:position w:val="0"/>
        <w:sz w:val="22"/>
        <w:szCs w:val="22"/>
        <w:lang w:val="ru-RU"/>
      </w:rPr>
    </w:lvl>
    <w:lvl w:ilvl="8">
      <w:start w:val="1"/>
      <w:numFmt w:val="lowerRoman"/>
      <w:lvlText w:val="%9."/>
      <w:lvlJc w:val="left"/>
      <w:pPr>
        <w:tabs>
          <w:tab w:val="num" w:pos="6455"/>
        </w:tabs>
        <w:ind w:left="6455" w:hanging="271"/>
      </w:pPr>
      <w:rPr>
        <w:rFonts w:ascii="Garamond" w:eastAsia="Garamond" w:hAnsi="Garamond" w:cs="Garamond"/>
        <w:position w:val="0"/>
        <w:sz w:val="22"/>
        <w:szCs w:val="22"/>
        <w:lang w:val="ru-RU"/>
      </w:rPr>
    </w:lvl>
  </w:abstractNum>
  <w:abstractNum w:abstractNumId="11" w15:restartNumberingAfterBreak="0">
    <w:nsid w:val="058E3F4C"/>
    <w:multiLevelType w:val="hybridMultilevel"/>
    <w:tmpl w:val="1E7CCB4E"/>
    <w:lvl w:ilvl="0" w:tplc="C986AC6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05CE5EA7"/>
    <w:multiLevelType w:val="multilevel"/>
    <w:tmpl w:val="F2A068F6"/>
    <w:lvl w:ilvl="0">
      <w:start w:val="1"/>
      <w:numFmt w:val="decimal"/>
      <w:lvlText w:val="%1."/>
      <w:lvlJc w:val="left"/>
      <w:pPr>
        <w:tabs>
          <w:tab w:val="num" w:pos="317"/>
        </w:tabs>
        <w:ind w:left="317" w:hanging="317"/>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1">
      <w:start w:val="1"/>
      <w:numFmt w:val="lowerLetter"/>
      <w:lvlText w:val="%2."/>
      <w:lvlJc w:val="left"/>
      <w:pPr>
        <w:tabs>
          <w:tab w:val="num" w:pos="1380"/>
        </w:tabs>
        <w:ind w:left="1380" w:hanging="300"/>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2">
      <w:start w:val="1"/>
      <w:numFmt w:val="lowerRoman"/>
      <w:lvlText w:val="%3."/>
      <w:lvlJc w:val="left"/>
      <w:pPr>
        <w:tabs>
          <w:tab w:val="num" w:pos="2111"/>
        </w:tabs>
        <w:ind w:left="2111" w:hanging="247"/>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3">
      <w:start w:val="1"/>
      <w:numFmt w:val="decimal"/>
      <w:lvlText w:val="%4."/>
      <w:lvlJc w:val="left"/>
      <w:pPr>
        <w:tabs>
          <w:tab w:val="num" w:pos="2820"/>
        </w:tabs>
        <w:ind w:left="2820" w:hanging="300"/>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4">
      <w:start w:val="1"/>
      <w:numFmt w:val="lowerLetter"/>
      <w:lvlText w:val="%5."/>
      <w:lvlJc w:val="left"/>
      <w:pPr>
        <w:tabs>
          <w:tab w:val="num" w:pos="3540"/>
        </w:tabs>
        <w:ind w:left="3540" w:hanging="300"/>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5">
      <w:start w:val="1"/>
      <w:numFmt w:val="lowerRoman"/>
      <w:lvlText w:val="%6."/>
      <w:lvlJc w:val="left"/>
      <w:pPr>
        <w:tabs>
          <w:tab w:val="num" w:pos="4271"/>
        </w:tabs>
        <w:ind w:left="4271" w:hanging="247"/>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6">
      <w:start w:val="1"/>
      <w:numFmt w:val="decimal"/>
      <w:lvlText w:val="%7."/>
      <w:lvlJc w:val="left"/>
      <w:pPr>
        <w:tabs>
          <w:tab w:val="num" w:pos="4980"/>
        </w:tabs>
        <w:ind w:left="4980" w:hanging="300"/>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7">
      <w:start w:val="1"/>
      <w:numFmt w:val="lowerLetter"/>
      <w:lvlText w:val="%8."/>
      <w:lvlJc w:val="left"/>
      <w:pPr>
        <w:tabs>
          <w:tab w:val="num" w:pos="5700"/>
        </w:tabs>
        <w:ind w:left="5700" w:hanging="300"/>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8">
      <w:start w:val="1"/>
      <w:numFmt w:val="lowerRoman"/>
      <w:lvlText w:val="%9."/>
      <w:lvlJc w:val="left"/>
      <w:pPr>
        <w:tabs>
          <w:tab w:val="num" w:pos="6431"/>
        </w:tabs>
        <w:ind w:left="6431" w:hanging="247"/>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abstractNum>
  <w:abstractNum w:abstractNumId="13" w15:restartNumberingAfterBreak="0">
    <w:nsid w:val="0619231C"/>
    <w:multiLevelType w:val="multilevel"/>
    <w:tmpl w:val="2F763BFA"/>
    <w:styleLink w:val="List18"/>
    <w:lvl w:ilvl="0">
      <w:start w:val="1"/>
      <w:numFmt w:val="decimal"/>
      <w:lvlText w:val="%1."/>
      <w:lvlJc w:val="left"/>
      <w:pPr>
        <w:tabs>
          <w:tab w:val="num" w:pos="317"/>
        </w:tabs>
        <w:ind w:left="317" w:hanging="317"/>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1">
      <w:start w:val="1"/>
      <w:numFmt w:val="lowerLetter"/>
      <w:lvlText w:val="%2."/>
      <w:lvlJc w:val="left"/>
      <w:pPr>
        <w:tabs>
          <w:tab w:val="num" w:pos="1380"/>
        </w:tabs>
        <w:ind w:left="1380" w:hanging="300"/>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2">
      <w:start w:val="1"/>
      <w:numFmt w:val="lowerRoman"/>
      <w:lvlText w:val="%3."/>
      <w:lvlJc w:val="left"/>
      <w:pPr>
        <w:tabs>
          <w:tab w:val="num" w:pos="2111"/>
        </w:tabs>
        <w:ind w:left="2111" w:hanging="247"/>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3">
      <w:start w:val="1"/>
      <w:numFmt w:val="decimal"/>
      <w:lvlText w:val="%4."/>
      <w:lvlJc w:val="left"/>
      <w:pPr>
        <w:tabs>
          <w:tab w:val="num" w:pos="2820"/>
        </w:tabs>
        <w:ind w:left="2820" w:hanging="300"/>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4">
      <w:start w:val="1"/>
      <w:numFmt w:val="lowerLetter"/>
      <w:lvlText w:val="%5."/>
      <w:lvlJc w:val="left"/>
      <w:pPr>
        <w:tabs>
          <w:tab w:val="num" w:pos="3540"/>
        </w:tabs>
        <w:ind w:left="3540" w:hanging="300"/>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5">
      <w:start w:val="1"/>
      <w:numFmt w:val="lowerRoman"/>
      <w:lvlText w:val="%6."/>
      <w:lvlJc w:val="left"/>
      <w:pPr>
        <w:tabs>
          <w:tab w:val="num" w:pos="4271"/>
        </w:tabs>
        <w:ind w:left="4271" w:hanging="247"/>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6">
      <w:start w:val="1"/>
      <w:numFmt w:val="decimal"/>
      <w:lvlText w:val="%7."/>
      <w:lvlJc w:val="left"/>
      <w:pPr>
        <w:tabs>
          <w:tab w:val="num" w:pos="4980"/>
        </w:tabs>
        <w:ind w:left="4980" w:hanging="300"/>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7">
      <w:start w:val="1"/>
      <w:numFmt w:val="lowerLetter"/>
      <w:lvlText w:val="%8."/>
      <w:lvlJc w:val="left"/>
      <w:pPr>
        <w:tabs>
          <w:tab w:val="num" w:pos="5700"/>
        </w:tabs>
        <w:ind w:left="5700" w:hanging="300"/>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8">
      <w:start w:val="1"/>
      <w:numFmt w:val="lowerRoman"/>
      <w:lvlText w:val="%9."/>
      <w:lvlJc w:val="left"/>
      <w:pPr>
        <w:tabs>
          <w:tab w:val="num" w:pos="6431"/>
        </w:tabs>
        <w:ind w:left="6431" w:hanging="247"/>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abstractNum>
  <w:abstractNum w:abstractNumId="14" w15:restartNumberingAfterBreak="0">
    <w:nsid w:val="068A7F8D"/>
    <w:multiLevelType w:val="multilevel"/>
    <w:tmpl w:val="3CE0E51A"/>
    <w:styleLink w:val="List10"/>
    <w:lvl w:ilvl="0">
      <w:start w:val="1"/>
      <w:numFmt w:val="decimal"/>
      <w:lvlText w:val="%1."/>
      <w:lvlJc w:val="left"/>
      <w:pPr>
        <w:tabs>
          <w:tab w:val="num" w:pos="317"/>
        </w:tabs>
        <w:ind w:left="317" w:hanging="317"/>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1">
      <w:start w:val="1"/>
      <w:numFmt w:val="lowerLetter"/>
      <w:lvlText w:val="%2."/>
      <w:lvlJc w:val="left"/>
      <w:pPr>
        <w:tabs>
          <w:tab w:val="num" w:pos="1380"/>
        </w:tabs>
        <w:ind w:left="1380" w:hanging="300"/>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2">
      <w:start w:val="1"/>
      <w:numFmt w:val="lowerRoman"/>
      <w:lvlText w:val="%3."/>
      <w:lvlJc w:val="left"/>
      <w:pPr>
        <w:tabs>
          <w:tab w:val="num" w:pos="2111"/>
        </w:tabs>
        <w:ind w:left="2111" w:hanging="247"/>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3">
      <w:start w:val="1"/>
      <w:numFmt w:val="decimal"/>
      <w:lvlText w:val="%4."/>
      <w:lvlJc w:val="left"/>
      <w:pPr>
        <w:tabs>
          <w:tab w:val="num" w:pos="2820"/>
        </w:tabs>
        <w:ind w:left="2820" w:hanging="300"/>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4">
      <w:start w:val="1"/>
      <w:numFmt w:val="lowerLetter"/>
      <w:lvlText w:val="%5."/>
      <w:lvlJc w:val="left"/>
      <w:pPr>
        <w:tabs>
          <w:tab w:val="num" w:pos="3540"/>
        </w:tabs>
        <w:ind w:left="3540" w:hanging="300"/>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5">
      <w:start w:val="1"/>
      <w:numFmt w:val="lowerRoman"/>
      <w:lvlText w:val="%6."/>
      <w:lvlJc w:val="left"/>
      <w:pPr>
        <w:tabs>
          <w:tab w:val="num" w:pos="4271"/>
        </w:tabs>
        <w:ind w:left="4271" w:hanging="247"/>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6">
      <w:start w:val="1"/>
      <w:numFmt w:val="decimal"/>
      <w:lvlText w:val="%7."/>
      <w:lvlJc w:val="left"/>
      <w:pPr>
        <w:tabs>
          <w:tab w:val="num" w:pos="4980"/>
        </w:tabs>
        <w:ind w:left="4980" w:hanging="300"/>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7">
      <w:start w:val="1"/>
      <w:numFmt w:val="lowerLetter"/>
      <w:lvlText w:val="%8."/>
      <w:lvlJc w:val="left"/>
      <w:pPr>
        <w:tabs>
          <w:tab w:val="num" w:pos="5700"/>
        </w:tabs>
        <w:ind w:left="5700" w:hanging="300"/>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8">
      <w:start w:val="1"/>
      <w:numFmt w:val="lowerRoman"/>
      <w:lvlText w:val="%9."/>
      <w:lvlJc w:val="left"/>
      <w:pPr>
        <w:tabs>
          <w:tab w:val="num" w:pos="6431"/>
        </w:tabs>
        <w:ind w:left="6431" w:hanging="247"/>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abstractNum>
  <w:abstractNum w:abstractNumId="15" w15:restartNumberingAfterBreak="0">
    <w:nsid w:val="06C979BD"/>
    <w:multiLevelType w:val="multilevel"/>
    <w:tmpl w:val="29840460"/>
    <w:lvl w:ilvl="0">
      <w:start w:val="3"/>
      <w:numFmt w:val="decimal"/>
      <w:lvlText w:val="%1."/>
      <w:lvlJc w:val="left"/>
      <w:pPr>
        <w:tabs>
          <w:tab w:val="num" w:pos="510"/>
        </w:tabs>
        <w:ind w:left="510" w:hanging="51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1"/>
      <w:numFmt w:val="bullet"/>
      <w:lvlText w:val="­"/>
      <w:lvlJc w:val="left"/>
      <w:pPr>
        <w:tabs>
          <w:tab w:val="num" w:pos="720"/>
        </w:tabs>
        <w:ind w:left="720" w:hanging="720"/>
      </w:pPr>
      <w:rPr>
        <w:rFonts w:ascii="Courier New" w:hAnsi="Courier New" w:hint="default"/>
        <w:color w:val="auto"/>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6" w15:restartNumberingAfterBreak="0">
    <w:nsid w:val="06F808D7"/>
    <w:multiLevelType w:val="multilevel"/>
    <w:tmpl w:val="A426B7A4"/>
    <w:styleLink w:val="List73"/>
    <w:lvl w:ilvl="0">
      <w:start w:val="1"/>
      <w:numFmt w:val="decimal"/>
      <w:lvlText w:val="%1."/>
      <w:lvlJc w:val="left"/>
      <w:pPr>
        <w:tabs>
          <w:tab w:val="num" w:pos="720"/>
        </w:tabs>
        <w:ind w:left="720" w:hanging="360"/>
      </w:pPr>
      <w:rPr>
        <w:rFonts w:ascii="Garamond" w:eastAsia="Garamond" w:hAnsi="Garamond" w:cs="Garamond"/>
        <w:color w:val="FF0000"/>
        <w:position w:val="0"/>
        <w:sz w:val="20"/>
        <w:szCs w:val="20"/>
        <w:u w:color="FF0000"/>
        <w:lang w:val="ru-RU"/>
      </w:rPr>
    </w:lvl>
    <w:lvl w:ilvl="1">
      <w:start w:val="1"/>
      <w:numFmt w:val="lowerLetter"/>
      <w:lvlText w:val="%2."/>
      <w:lvlJc w:val="left"/>
      <w:pPr>
        <w:tabs>
          <w:tab w:val="num" w:pos="1380"/>
        </w:tabs>
        <w:ind w:left="1380" w:hanging="300"/>
      </w:pPr>
      <w:rPr>
        <w:rFonts w:ascii="Garamond" w:eastAsia="Garamond" w:hAnsi="Garamond" w:cs="Garamond"/>
        <w:color w:val="FF0000"/>
        <w:position w:val="0"/>
        <w:sz w:val="20"/>
        <w:szCs w:val="20"/>
        <w:u w:color="FF0000"/>
        <w:lang w:val="ru-RU"/>
      </w:rPr>
    </w:lvl>
    <w:lvl w:ilvl="2">
      <w:start w:val="1"/>
      <w:numFmt w:val="lowerRoman"/>
      <w:lvlText w:val="%3."/>
      <w:lvlJc w:val="left"/>
      <w:pPr>
        <w:tabs>
          <w:tab w:val="num" w:pos="2111"/>
        </w:tabs>
        <w:ind w:left="2111" w:hanging="247"/>
      </w:pPr>
      <w:rPr>
        <w:rFonts w:ascii="Garamond" w:eastAsia="Garamond" w:hAnsi="Garamond" w:cs="Garamond"/>
        <w:color w:val="FF0000"/>
        <w:position w:val="0"/>
        <w:sz w:val="20"/>
        <w:szCs w:val="20"/>
        <w:u w:color="FF0000"/>
        <w:lang w:val="ru-RU"/>
      </w:rPr>
    </w:lvl>
    <w:lvl w:ilvl="3">
      <w:start w:val="1"/>
      <w:numFmt w:val="decimal"/>
      <w:lvlText w:val="%4."/>
      <w:lvlJc w:val="left"/>
      <w:pPr>
        <w:tabs>
          <w:tab w:val="num" w:pos="2820"/>
        </w:tabs>
        <w:ind w:left="2820" w:hanging="300"/>
      </w:pPr>
      <w:rPr>
        <w:rFonts w:ascii="Garamond" w:eastAsia="Garamond" w:hAnsi="Garamond" w:cs="Garamond"/>
        <w:color w:val="FF0000"/>
        <w:position w:val="0"/>
        <w:sz w:val="20"/>
        <w:szCs w:val="20"/>
        <w:u w:color="FF0000"/>
        <w:lang w:val="ru-RU"/>
      </w:rPr>
    </w:lvl>
    <w:lvl w:ilvl="4">
      <w:start w:val="1"/>
      <w:numFmt w:val="lowerLetter"/>
      <w:lvlText w:val="%5."/>
      <w:lvlJc w:val="left"/>
      <w:pPr>
        <w:tabs>
          <w:tab w:val="num" w:pos="3540"/>
        </w:tabs>
        <w:ind w:left="3540" w:hanging="300"/>
      </w:pPr>
      <w:rPr>
        <w:rFonts w:ascii="Garamond" w:eastAsia="Garamond" w:hAnsi="Garamond" w:cs="Garamond"/>
        <w:color w:val="FF0000"/>
        <w:position w:val="0"/>
        <w:sz w:val="20"/>
        <w:szCs w:val="20"/>
        <w:u w:color="FF0000"/>
        <w:lang w:val="ru-RU"/>
      </w:rPr>
    </w:lvl>
    <w:lvl w:ilvl="5">
      <w:start w:val="1"/>
      <w:numFmt w:val="lowerRoman"/>
      <w:lvlText w:val="%6."/>
      <w:lvlJc w:val="left"/>
      <w:pPr>
        <w:tabs>
          <w:tab w:val="num" w:pos="4271"/>
        </w:tabs>
        <w:ind w:left="4271" w:hanging="247"/>
      </w:pPr>
      <w:rPr>
        <w:rFonts w:ascii="Garamond" w:eastAsia="Garamond" w:hAnsi="Garamond" w:cs="Garamond"/>
        <w:color w:val="FF0000"/>
        <w:position w:val="0"/>
        <w:sz w:val="20"/>
        <w:szCs w:val="20"/>
        <w:u w:color="FF0000"/>
        <w:lang w:val="ru-RU"/>
      </w:rPr>
    </w:lvl>
    <w:lvl w:ilvl="6">
      <w:start w:val="1"/>
      <w:numFmt w:val="decimal"/>
      <w:lvlText w:val="%7."/>
      <w:lvlJc w:val="left"/>
      <w:pPr>
        <w:tabs>
          <w:tab w:val="num" w:pos="4980"/>
        </w:tabs>
        <w:ind w:left="4980" w:hanging="300"/>
      </w:pPr>
      <w:rPr>
        <w:rFonts w:ascii="Garamond" w:eastAsia="Garamond" w:hAnsi="Garamond" w:cs="Garamond"/>
        <w:color w:val="FF0000"/>
        <w:position w:val="0"/>
        <w:sz w:val="20"/>
        <w:szCs w:val="20"/>
        <w:u w:color="FF0000"/>
        <w:lang w:val="ru-RU"/>
      </w:rPr>
    </w:lvl>
    <w:lvl w:ilvl="7">
      <w:start w:val="1"/>
      <w:numFmt w:val="lowerLetter"/>
      <w:lvlText w:val="%8."/>
      <w:lvlJc w:val="left"/>
      <w:pPr>
        <w:tabs>
          <w:tab w:val="num" w:pos="5700"/>
        </w:tabs>
        <w:ind w:left="5700" w:hanging="300"/>
      </w:pPr>
      <w:rPr>
        <w:rFonts w:ascii="Garamond" w:eastAsia="Garamond" w:hAnsi="Garamond" w:cs="Garamond"/>
        <w:color w:val="FF0000"/>
        <w:position w:val="0"/>
        <w:sz w:val="20"/>
        <w:szCs w:val="20"/>
        <w:u w:color="FF0000"/>
        <w:lang w:val="ru-RU"/>
      </w:rPr>
    </w:lvl>
    <w:lvl w:ilvl="8">
      <w:start w:val="1"/>
      <w:numFmt w:val="lowerRoman"/>
      <w:lvlText w:val="%9."/>
      <w:lvlJc w:val="left"/>
      <w:pPr>
        <w:tabs>
          <w:tab w:val="num" w:pos="6431"/>
        </w:tabs>
        <w:ind w:left="6431" w:hanging="247"/>
      </w:pPr>
      <w:rPr>
        <w:rFonts w:ascii="Garamond" w:eastAsia="Garamond" w:hAnsi="Garamond" w:cs="Garamond"/>
        <w:color w:val="FF0000"/>
        <w:position w:val="0"/>
        <w:sz w:val="20"/>
        <w:szCs w:val="20"/>
        <w:u w:color="FF0000"/>
        <w:lang w:val="ru-RU"/>
      </w:rPr>
    </w:lvl>
  </w:abstractNum>
  <w:abstractNum w:abstractNumId="17" w15:restartNumberingAfterBreak="0">
    <w:nsid w:val="084327A9"/>
    <w:multiLevelType w:val="multilevel"/>
    <w:tmpl w:val="F1AA963A"/>
    <w:lvl w:ilvl="0">
      <w:start w:val="1"/>
      <w:numFmt w:val="decimal"/>
      <w:lvlText w:val="1.2.1.2.1.2.1.3.2.%1."/>
      <w:lvlJc w:val="left"/>
      <w:pPr>
        <w:ind w:left="360" w:hanging="360"/>
      </w:pPr>
      <w:rPr>
        <w:rFonts w:hint="default"/>
      </w:rPr>
    </w:lvl>
    <w:lvl w:ilvl="1">
      <w:start w:val="1"/>
      <w:numFmt w:val="decimal"/>
      <w:lvlText w:val="%2."/>
      <w:lvlJc w:val="left"/>
      <w:pPr>
        <w:ind w:left="0" w:firstLine="0"/>
      </w:pPr>
      <w:rPr>
        <w:rFonts w:hint="default"/>
        <w:b/>
      </w:rPr>
    </w:lvl>
    <w:lvl w:ilvl="2">
      <w:start w:val="1"/>
      <w:numFmt w:val="decimal"/>
      <w:lvlText w:val="2.%3."/>
      <w:lvlJc w:val="left"/>
      <w:pPr>
        <w:ind w:left="720" w:hanging="720"/>
      </w:pPr>
      <w:rPr>
        <w:rFonts w:hint="default"/>
      </w:rPr>
    </w:lvl>
    <w:lvl w:ilvl="3">
      <w:start w:val="1"/>
      <w:numFmt w:val="decimal"/>
      <w:lvlText w:val="2.1.%4."/>
      <w:lvlJc w:val="left"/>
      <w:pPr>
        <w:ind w:left="1080" w:hanging="1080"/>
      </w:pPr>
      <w:rPr>
        <w:rFonts w:hint="default"/>
      </w:rPr>
    </w:lvl>
    <w:lvl w:ilvl="4">
      <w:start w:val="1"/>
      <w:numFmt w:val="decimal"/>
      <w:lvlText w:val="2.1.1.%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096929F9"/>
    <w:multiLevelType w:val="hybridMultilevel"/>
    <w:tmpl w:val="FB78B66C"/>
    <w:lvl w:ilvl="0" w:tplc="CD90B732">
      <w:start w:val="1"/>
      <w:numFmt w:val="bullet"/>
      <w:lvlText w:val=""/>
      <w:lvlJc w:val="left"/>
      <w:pPr>
        <w:ind w:left="1263" w:hanging="360"/>
      </w:pPr>
      <w:rPr>
        <w:rFonts w:ascii="Symbol" w:hAnsi="Symbol" w:hint="default"/>
      </w:rPr>
    </w:lvl>
    <w:lvl w:ilvl="1" w:tplc="04190003" w:tentative="1">
      <w:start w:val="1"/>
      <w:numFmt w:val="bullet"/>
      <w:lvlText w:val="o"/>
      <w:lvlJc w:val="left"/>
      <w:pPr>
        <w:ind w:left="1983" w:hanging="360"/>
      </w:pPr>
      <w:rPr>
        <w:rFonts w:ascii="Courier New" w:hAnsi="Courier New" w:cs="Courier New" w:hint="default"/>
      </w:rPr>
    </w:lvl>
    <w:lvl w:ilvl="2" w:tplc="04190005" w:tentative="1">
      <w:start w:val="1"/>
      <w:numFmt w:val="bullet"/>
      <w:lvlText w:val=""/>
      <w:lvlJc w:val="left"/>
      <w:pPr>
        <w:ind w:left="2703" w:hanging="360"/>
      </w:pPr>
      <w:rPr>
        <w:rFonts w:ascii="Wingdings" w:hAnsi="Wingdings" w:hint="default"/>
      </w:rPr>
    </w:lvl>
    <w:lvl w:ilvl="3" w:tplc="04190001" w:tentative="1">
      <w:start w:val="1"/>
      <w:numFmt w:val="bullet"/>
      <w:lvlText w:val=""/>
      <w:lvlJc w:val="left"/>
      <w:pPr>
        <w:ind w:left="3423" w:hanging="360"/>
      </w:pPr>
      <w:rPr>
        <w:rFonts w:ascii="Symbol" w:hAnsi="Symbol" w:hint="default"/>
      </w:rPr>
    </w:lvl>
    <w:lvl w:ilvl="4" w:tplc="04190003" w:tentative="1">
      <w:start w:val="1"/>
      <w:numFmt w:val="bullet"/>
      <w:lvlText w:val="o"/>
      <w:lvlJc w:val="left"/>
      <w:pPr>
        <w:ind w:left="4143" w:hanging="360"/>
      </w:pPr>
      <w:rPr>
        <w:rFonts w:ascii="Courier New" w:hAnsi="Courier New" w:cs="Courier New" w:hint="default"/>
      </w:rPr>
    </w:lvl>
    <w:lvl w:ilvl="5" w:tplc="04190005" w:tentative="1">
      <w:start w:val="1"/>
      <w:numFmt w:val="bullet"/>
      <w:lvlText w:val=""/>
      <w:lvlJc w:val="left"/>
      <w:pPr>
        <w:ind w:left="4863" w:hanging="360"/>
      </w:pPr>
      <w:rPr>
        <w:rFonts w:ascii="Wingdings" w:hAnsi="Wingdings" w:hint="default"/>
      </w:rPr>
    </w:lvl>
    <w:lvl w:ilvl="6" w:tplc="04190001" w:tentative="1">
      <w:start w:val="1"/>
      <w:numFmt w:val="bullet"/>
      <w:lvlText w:val=""/>
      <w:lvlJc w:val="left"/>
      <w:pPr>
        <w:ind w:left="5583" w:hanging="360"/>
      </w:pPr>
      <w:rPr>
        <w:rFonts w:ascii="Symbol" w:hAnsi="Symbol" w:hint="default"/>
      </w:rPr>
    </w:lvl>
    <w:lvl w:ilvl="7" w:tplc="04190003" w:tentative="1">
      <w:start w:val="1"/>
      <w:numFmt w:val="bullet"/>
      <w:lvlText w:val="o"/>
      <w:lvlJc w:val="left"/>
      <w:pPr>
        <w:ind w:left="6303" w:hanging="360"/>
      </w:pPr>
      <w:rPr>
        <w:rFonts w:ascii="Courier New" w:hAnsi="Courier New" w:cs="Courier New" w:hint="default"/>
      </w:rPr>
    </w:lvl>
    <w:lvl w:ilvl="8" w:tplc="04190005" w:tentative="1">
      <w:start w:val="1"/>
      <w:numFmt w:val="bullet"/>
      <w:lvlText w:val=""/>
      <w:lvlJc w:val="left"/>
      <w:pPr>
        <w:ind w:left="7023" w:hanging="360"/>
      </w:pPr>
      <w:rPr>
        <w:rFonts w:ascii="Wingdings" w:hAnsi="Wingdings" w:hint="default"/>
      </w:rPr>
    </w:lvl>
  </w:abstractNum>
  <w:abstractNum w:abstractNumId="19" w15:restartNumberingAfterBreak="0">
    <w:nsid w:val="09FD6A6B"/>
    <w:multiLevelType w:val="hybridMultilevel"/>
    <w:tmpl w:val="E7FE7B1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0A064BE9"/>
    <w:multiLevelType w:val="hybridMultilevel"/>
    <w:tmpl w:val="43A6AAAC"/>
    <w:lvl w:ilvl="0" w:tplc="106E8840">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0B1545CA"/>
    <w:multiLevelType w:val="hybridMultilevel"/>
    <w:tmpl w:val="6C4C0A66"/>
    <w:lvl w:ilvl="0" w:tplc="E1B8CC9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2" w15:restartNumberingAfterBreak="0">
    <w:nsid w:val="0B1B38B8"/>
    <w:multiLevelType w:val="multilevel"/>
    <w:tmpl w:val="70EEEF16"/>
    <w:styleLink w:val="List54"/>
    <w:lvl w:ilvl="0">
      <w:start w:val="1"/>
      <w:numFmt w:val="decimal"/>
      <w:lvlText w:val="%1."/>
      <w:lvlJc w:val="left"/>
      <w:pPr>
        <w:tabs>
          <w:tab w:val="num" w:pos="317"/>
        </w:tabs>
        <w:ind w:left="317" w:hanging="317"/>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1">
      <w:start w:val="1"/>
      <w:numFmt w:val="lowerLetter"/>
      <w:lvlText w:val="%2."/>
      <w:lvlJc w:val="left"/>
      <w:pPr>
        <w:tabs>
          <w:tab w:val="num" w:pos="1380"/>
        </w:tabs>
        <w:ind w:left="1380" w:hanging="300"/>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2">
      <w:start w:val="1"/>
      <w:numFmt w:val="lowerRoman"/>
      <w:lvlText w:val="%3."/>
      <w:lvlJc w:val="left"/>
      <w:pPr>
        <w:tabs>
          <w:tab w:val="num" w:pos="2111"/>
        </w:tabs>
        <w:ind w:left="2111" w:hanging="247"/>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3">
      <w:start w:val="1"/>
      <w:numFmt w:val="decimal"/>
      <w:lvlText w:val="%4."/>
      <w:lvlJc w:val="left"/>
      <w:pPr>
        <w:tabs>
          <w:tab w:val="num" w:pos="2820"/>
        </w:tabs>
        <w:ind w:left="2820" w:hanging="300"/>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4">
      <w:start w:val="1"/>
      <w:numFmt w:val="lowerLetter"/>
      <w:lvlText w:val="%5."/>
      <w:lvlJc w:val="left"/>
      <w:pPr>
        <w:tabs>
          <w:tab w:val="num" w:pos="3540"/>
        </w:tabs>
        <w:ind w:left="3540" w:hanging="300"/>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5">
      <w:start w:val="1"/>
      <w:numFmt w:val="lowerRoman"/>
      <w:lvlText w:val="%6."/>
      <w:lvlJc w:val="left"/>
      <w:pPr>
        <w:tabs>
          <w:tab w:val="num" w:pos="4271"/>
        </w:tabs>
        <w:ind w:left="4271" w:hanging="247"/>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6">
      <w:start w:val="1"/>
      <w:numFmt w:val="decimal"/>
      <w:lvlText w:val="%7."/>
      <w:lvlJc w:val="left"/>
      <w:pPr>
        <w:tabs>
          <w:tab w:val="num" w:pos="4980"/>
        </w:tabs>
        <w:ind w:left="4980" w:hanging="300"/>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7">
      <w:start w:val="1"/>
      <w:numFmt w:val="lowerLetter"/>
      <w:lvlText w:val="%8."/>
      <w:lvlJc w:val="left"/>
      <w:pPr>
        <w:tabs>
          <w:tab w:val="num" w:pos="5700"/>
        </w:tabs>
        <w:ind w:left="5700" w:hanging="300"/>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8">
      <w:start w:val="1"/>
      <w:numFmt w:val="lowerRoman"/>
      <w:lvlText w:val="%9."/>
      <w:lvlJc w:val="left"/>
      <w:pPr>
        <w:tabs>
          <w:tab w:val="num" w:pos="6431"/>
        </w:tabs>
        <w:ind w:left="6431" w:hanging="247"/>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abstractNum>
  <w:abstractNum w:abstractNumId="23" w15:restartNumberingAfterBreak="0">
    <w:nsid w:val="0C6404C2"/>
    <w:multiLevelType w:val="multilevel"/>
    <w:tmpl w:val="4E2EB692"/>
    <w:styleLink w:val="List53"/>
    <w:lvl w:ilvl="0">
      <w:start w:val="1"/>
      <w:numFmt w:val="decimal"/>
      <w:lvlText w:val="%1."/>
      <w:lvlJc w:val="left"/>
      <w:pPr>
        <w:tabs>
          <w:tab w:val="num" w:pos="317"/>
        </w:tabs>
        <w:ind w:left="317" w:hanging="317"/>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1">
      <w:start w:val="1"/>
      <w:numFmt w:val="lowerLetter"/>
      <w:lvlText w:val="%2."/>
      <w:lvlJc w:val="left"/>
      <w:pPr>
        <w:tabs>
          <w:tab w:val="num" w:pos="1380"/>
        </w:tabs>
        <w:ind w:left="1380" w:hanging="300"/>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2">
      <w:start w:val="1"/>
      <w:numFmt w:val="lowerRoman"/>
      <w:lvlText w:val="%3."/>
      <w:lvlJc w:val="left"/>
      <w:pPr>
        <w:tabs>
          <w:tab w:val="num" w:pos="2111"/>
        </w:tabs>
        <w:ind w:left="2111" w:hanging="247"/>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3">
      <w:start w:val="1"/>
      <w:numFmt w:val="decimal"/>
      <w:lvlText w:val="%4."/>
      <w:lvlJc w:val="left"/>
      <w:pPr>
        <w:tabs>
          <w:tab w:val="num" w:pos="2820"/>
        </w:tabs>
        <w:ind w:left="2820" w:hanging="300"/>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4">
      <w:start w:val="1"/>
      <w:numFmt w:val="lowerLetter"/>
      <w:lvlText w:val="%5."/>
      <w:lvlJc w:val="left"/>
      <w:pPr>
        <w:tabs>
          <w:tab w:val="num" w:pos="3540"/>
        </w:tabs>
        <w:ind w:left="3540" w:hanging="300"/>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5">
      <w:start w:val="1"/>
      <w:numFmt w:val="lowerRoman"/>
      <w:lvlText w:val="%6."/>
      <w:lvlJc w:val="left"/>
      <w:pPr>
        <w:tabs>
          <w:tab w:val="num" w:pos="4271"/>
        </w:tabs>
        <w:ind w:left="4271" w:hanging="247"/>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6">
      <w:start w:val="1"/>
      <w:numFmt w:val="decimal"/>
      <w:lvlText w:val="%7."/>
      <w:lvlJc w:val="left"/>
      <w:pPr>
        <w:tabs>
          <w:tab w:val="num" w:pos="4980"/>
        </w:tabs>
        <w:ind w:left="4980" w:hanging="300"/>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7">
      <w:start w:val="1"/>
      <w:numFmt w:val="lowerLetter"/>
      <w:lvlText w:val="%8."/>
      <w:lvlJc w:val="left"/>
      <w:pPr>
        <w:tabs>
          <w:tab w:val="num" w:pos="5700"/>
        </w:tabs>
        <w:ind w:left="5700" w:hanging="300"/>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8">
      <w:start w:val="1"/>
      <w:numFmt w:val="lowerRoman"/>
      <w:lvlText w:val="%9."/>
      <w:lvlJc w:val="left"/>
      <w:pPr>
        <w:tabs>
          <w:tab w:val="num" w:pos="6431"/>
        </w:tabs>
        <w:ind w:left="6431" w:hanging="247"/>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abstractNum>
  <w:abstractNum w:abstractNumId="24" w15:restartNumberingAfterBreak="0">
    <w:nsid w:val="0C802B7F"/>
    <w:multiLevelType w:val="hybridMultilevel"/>
    <w:tmpl w:val="6C4C0A66"/>
    <w:lvl w:ilvl="0" w:tplc="E1B8CC9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5" w15:restartNumberingAfterBreak="0">
    <w:nsid w:val="0C8E65F2"/>
    <w:multiLevelType w:val="hybridMultilevel"/>
    <w:tmpl w:val="6A0013E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0CBE0480"/>
    <w:multiLevelType w:val="multilevel"/>
    <w:tmpl w:val="70CEFB6C"/>
    <w:lvl w:ilvl="0">
      <w:start w:val="1"/>
      <w:numFmt w:val="decimal"/>
      <w:lvlText w:val="%1."/>
      <w:lvlJc w:val="left"/>
      <w:pPr>
        <w:tabs>
          <w:tab w:val="num" w:pos="317"/>
        </w:tabs>
        <w:ind w:left="317" w:hanging="317"/>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1">
      <w:start w:val="1"/>
      <w:numFmt w:val="lowerLetter"/>
      <w:lvlText w:val="%2."/>
      <w:lvlJc w:val="left"/>
      <w:pPr>
        <w:tabs>
          <w:tab w:val="num" w:pos="1380"/>
        </w:tabs>
        <w:ind w:left="1380" w:hanging="300"/>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2">
      <w:start w:val="1"/>
      <w:numFmt w:val="lowerRoman"/>
      <w:lvlText w:val="%3."/>
      <w:lvlJc w:val="left"/>
      <w:pPr>
        <w:tabs>
          <w:tab w:val="num" w:pos="2111"/>
        </w:tabs>
        <w:ind w:left="2111" w:hanging="247"/>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3">
      <w:start w:val="1"/>
      <w:numFmt w:val="decimal"/>
      <w:lvlText w:val="%4)"/>
      <w:lvlJc w:val="left"/>
      <w:pPr>
        <w:tabs>
          <w:tab w:val="num" w:pos="2820"/>
        </w:tabs>
        <w:ind w:left="2820" w:hanging="300"/>
      </w:pPr>
      <w:rPr>
        <w:caps w:val="0"/>
        <w:smallCaps w:val="0"/>
        <w:strike w:val="0"/>
        <w:dstrike w:val="0"/>
        <w:color w:val="000000"/>
        <w:spacing w:val="0"/>
        <w:kern w:val="0"/>
        <w:position w:val="0"/>
        <w:sz w:val="20"/>
        <w:szCs w:val="20"/>
        <w:u w:val="none" w:color="000000"/>
        <w:vertAlign w:val="baseline"/>
        <w:lang w:val="ru-RU"/>
      </w:rPr>
    </w:lvl>
    <w:lvl w:ilvl="4">
      <w:start w:val="1"/>
      <w:numFmt w:val="lowerLetter"/>
      <w:lvlText w:val="%5."/>
      <w:lvlJc w:val="left"/>
      <w:pPr>
        <w:tabs>
          <w:tab w:val="num" w:pos="3540"/>
        </w:tabs>
        <w:ind w:left="3540" w:hanging="300"/>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5">
      <w:start w:val="1"/>
      <w:numFmt w:val="lowerRoman"/>
      <w:lvlText w:val="%6."/>
      <w:lvlJc w:val="left"/>
      <w:pPr>
        <w:tabs>
          <w:tab w:val="num" w:pos="4271"/>
        </w:tabs>
        <w:ind w:left="4271" w:hanging="247"/>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6">
      <w:start w:val="1"/>
      <w:numFmt w:val="decimal"/>
      <w:lvlText w:val="%7."/>
      <w:lvlJc w:val="left"/>
      <w:pPr>
        <w:tabs>
          <w:tab w:val="num" w:pos="4980"/>
        </w:tabs>
        <w:ind w:left="4980" w:hanging="300"/>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7">
      <w:start w:val="1"/>
      <w:numFmt w:val="lowerLetter"/>
      <w:lvlText w:val="%8."/>
      <w:lvlJc w:val="left"/>
      <w:pPr>
        <w:tabs>
          <w:tab w:val="num" w:pos="5700"/>
        </w:tabs>
        <w:ind w:left="5700" w:hanging="300"/>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8">
      <w:start w:val="1"/>
      <w:numFmt w:val="lowerRoman"/>
      <w:lvlText w:val="%9."/>
      <w:lvlJc w:val="left"/>
      <w:pPr>
        <w:tabs>
          <w:tab w:val="num" w:pos="6431"/>
        </w:tabs>
        <w:ind w:left="6431" w:hanging="247"/>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abstractNum>
  <w:abstractNum w:abstractNumId="27" w15:restartNumberingAfterBreak="0">
    <w:nsid w:val="0CE85F21"/>
    <w:multiLevelType w:val="multilevel"/>
    <w:tmpl w:val="3FA27382"/>
    <w:lvl w:ilvl="0">
      <w:start w:val="1"/>
      <w:numFmt w:val="decimal"/>
      <w:lvlText w:val="%1."/>
      <w:lvlJc w:val="left"/>
      <w:pPr>
        <w:tabs>
          <w:tab w:val="num" w:pos="317"/>
        </w:tabs>
        <w:ind w:left="317" w:hanging="317"/>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1">
      <w:start w:val="1"/>
      <w:numFmt w:val="lowerLetter"/>
      <w:lvlText w:val="%2."/>
      <w:lvlJc w:val="left"/>
      <w:pPr>
        <w:tabs>
          <w:tab w:val="num" w:pos="1380"/>
        </w:tabs>
        <w:ind w:left="1380" w:hanging="300"/>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2">
      <w:start w:val="1"/>
      <w:numFmt w:val="lowerRoman"/>
      <w:lvlText w:val="%3."/>
      <w:lvlJc w:val="left"/>
      <w:pPr>
        <w:tabs>
          <w:tab w:val="num" w:pos="2111"/>
        </w:tabs>
        <w:ind w:left="2111" w:hanging="247"/>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3">
      <w:start w:val="1"/>
      <w:numFmt w:val="decimal"/>
      <w:lvlText w:val="%4."/>
      <w:lvlJc w:val="left"/>
      <w:pPr>
        <w:tabs>
          <w:tab w:val="num" w:pos="2820"/>
        </w:tabs>
        <w:ind w:left="2820" w:hanging="300"/>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4">
      <w:start w:val="1"/>
      <w:numFmt w:val="lowerLetter"/>
      <w:lvlText w:val="%5."/>
      <w:lvlJc w:val="left"/>
      <w:pPr>
        <w:tabs>
          <w:tab w:val="num" w:pos="3540"/>
        </w:tabs>
        <w:ind w:left="3540" w:hanging="300"/>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5">
      <w:start w:val="1"/>
      <w:numFmt w:val="lowerRoman"/>
      <w:lvlText w:val="%6."/>
      <w:lvlJc w:val="left"/>
      <w:pPr>
        <w:tabs>
          <w:tab w:val="num" w:pos="4271"/>
        </w:tabs>
        <w:ind w:left="4271" w:hanging="247"/>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6">
      <w:start w:val="1"/>
      <w:numFmt w:val="decimal"/>
      <w:lvlText w:val="%7."/>
      <w:lvlJc w:val="left"/>
      <w:pPr>
        <w:tabs>
          <w:tab w:val="num" w:pos="4980"/>
        </w:tabs>
        <w:ind w:left="4980" w:hanging="300"/>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7">
      <w:start w:val="1"/>
      <w:numFmt w:val="lowerLetter"/>
      <w:lvlText w:val="%8."/>
      <w:lvlJc w:val="left"/>
      <w:pPr>
        <w:tabs>
          <w:tab w:val="num" w:pos="5700"/>
        </w:tabs>
        <w:ind w:left="5700" w:hanging="300"/>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8">
      <w:start w:val="1"/>
      <w:numFmt w:val="lowerRoman"/>
      <w:lvlText w:val="%9."/>
      <w:lvlJc w:val="left"/>
      <w:pPr>
        <w:tabs>
          <w:tab w:val="num" w:pos="6431"/>
        </w:tabs>
        <w:ind w:left="6431" w:hanging="247"/>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abstractNum>
  <w:abstractNum w:abstractNumId="28" w15:restartNumberingAfterBreak="0">
    <w:nsid w:val="0D232E3C"/>
    <w:multiLevelType w:val="hybridMultilevel"/>
    <w:tmpl w:val="E9D665B8"/>
    <w:lvl w:ilvl="0" w:tplc="FFFFFFFF">
      <w:start w:val="1"/>
      <w:numFmt w:val="bullet"/>
      <w:lvlText w:val="­"/>
      <w:lvlJc w:val="left"/>
      <w:pPr>
        <w:ind w:left="1321" w:hanging="360"/>
      </w:pPr>
      <w:rPr>
        <w:rFonts w:ascii="Courier New" w:hAnsi="Courier New" w:hint="default"/>
        <w:color w:val="auto"/>
      </w:rPr>
    </w:lvl>
    <w:lvl w:ilvl="1" w:tplc="04190003" w:tentative="1">
      <w:start w:val="1"/>
      <w:numFmt w:val="bullet"/>
      <w:lvlText w:val="o"/>
      <w:lvlJc w:val="left"/>
      <w:pPr>
        <w:ind w:left="2041" w:hanging="360"/>
      </w:pPr>
      <w:rPr>
        <w:rFonts w:ascii="Courier New" w:hAnsi="Courier New" w:cs="Courier New" w:hint="default"/>
      </w:rPr>
    </w:lvl>
    <w:lvl w:ilvl="2" w:tplc="04190005" w:tentative="1">
      <w:start w:val="1"/>
      <w:numFmt w:val="bullet"/>
      <w:lvlText w:val=""/>
      <w:lvlJc w:val="left"/>
      <w:pPr>
        <w:ind w:left="2761" w:hanging="360"/>
      </w:pPr>
      <w:rPr>
        <w:rFonts w:ascii="Wingdings" w:hAnsi="Wingdings" w:hint="default"/>
      </w:rPr>
    </w:lvl>
    <w:lvl w:ilvl="3" w:tplc="04190001" w:tentative="1">
      <w:start w:val="1"/>
      <w:numFmt w:val="bullet"/>
      <w:lvlText w:val=""/>
      <w:lvlJc w:val="left"/>
      <w:pPr>
        <w:ind w:left="3481" w:hanging="360"/>
      </w:pPr>
      <w:rPr>
        <w:rFonts w:ascii="Symbol" w:hAnsi="Symbol" w:hint="default"/>
      </w:rPr>
    </w:lvl>
    <w:lvl w:ilvl="4" w:tplc="04190003" w:tentative="1">
      <w:start w:val="1"/>
      <w:numFmt w:val="bullet"/>
      <w:lvlText w:val="o"/>
      <w:lvlJc w:val="left"/>
      <w:pPr>
        <w:ind w:left="4201" w:hanging="360"/>
      </w:pPr>
      <w:rPr>
        <w:rFonts w:ascii="Courier New" w:hAnsi="Courier New" w:cs="Courier New" w:hint="default"/>
      </w:rPr>
    </w:lvl>
    <w:lvl w:ilvl="5" w:tplc="04190005" w:tentative="1">
      <w:start w:val="1"/>
      <w:numFmt w:val="bullet"/>
      <w:lvlText w:val=""/>
      <w:lvlJc w:val="left"/>
      <w:pPr>
        <w:ind w:left="4921" w:hanging="360"/>
      </w:pPr>
      <w:rPr>
        <w:rFonts w:ascii="Wingdings" w:hAnsi="Wingdings" w:hint="default"/>
      </w:rPr>
    </w:lvl>
    <w:lvl w:ilvl="6" w:tplc="04190001" w:tentative="1">
      <w:start w:val="1"/>
      <w:numFmt w:val="bullet"/>
      <w:lvlText w:val=""/>
      <w:lvlJc w:val="left"/>
      <w:pPr>
        <w:ind w:left="5641" w:hanging="360"/>
      </w:pPr>
      <w:rPr>
        <w:rFonts w:ascii="Symbol" w:hAnsi="Symbol" w:hint="default"/>
      </w:rPr>
    </w:lvl>
    <w:lvl w:ilvl="7" w:tplc="04190003" w:tentative="1">
      <w:start w:val="1"/>
      <w:numFmt w:val="bullet"/>
      <w:lvlText w:val="o"/>
      <w:lvlJc w:val="left"/>
      <w:pPr>
        <w:ind w:left="6361" w:hanging="360"/>
      </w:pPr>
      <w:rPr>
        <w:rFonts w:ascii="Courier New" w:hAnsi="Courier New" w:cs="Courier New" w:hint="default"/>
      </w:rPr>
    </w:lvl>
    <w:lvl w:ilvl="8" w:tplc="04190005" w:tentative="1">
      <w:start w:val="1"/>
      <w:numFmt w:val="bullet"/>
      <w:lvlText w:val=""/>
      <w:lvlJc w:val="left"/>
      <w:pPr>
        <w:ind w:left="7081" w:hanging="360"/>
      </w:pPr>
      <w:rPr>
        <w:rFonts w:ascii="Wingdings" w:hAnsi="Wingdings" w:hint="default"/>
      </w:rPr>
    </w:lvl>
  </w:abstractNum>
  <w:abstractNum w:abstractNumId="29" w15:restartNumberingAfterBreak="0">
    <w:nsid w:val="0D854B2A"/>
    <w:multiLevelType w:val="multilevel"/>
    <w:tmpl w:val="4E2EB692"/>
    <w:lvl w:ilvl="0">
      <w:start w:val="1"/>
      <w:numFmt w:val="decimal"/>
      <w:lvlText w:val="%1."/>
      <w:lvlJc w:val="left"/>
      <w:pPr>
        <w:tabs>
          <w:tab w:val="num" w:pos="317"/>
        </w:tabs>
        <w:ind w:left="317" w:hanging="317"/>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1">
      <w:start w:val="1"/>
      <w:numFmt w:val="lowerLetter"/>
      <w:lvlText w:val="%2."/>
      <w:lvlJc w:val="left"/>
      <w:pPr>
        <w:tabs>
          <w:tab w:val="num" w:pos="1380"/>
        </w:tabs>
        <w:ind w:left="1380" w:hanging="300"/>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2">
      <w:start w:val="1"/>
      <w:numFmt w:val="lowerRoman"/>
      <w:lvlText w:val="%3."/>
      <w:lvlJc w:val="left"/>
      <w:pPr>
        <w:tabs>
          <w:tab w:val="num" w:pos="2111"/>
        </w:tabs>
        <w:ind w:left="2111" w:hanging="247"/>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3">
      <w:start w:val="1"/>
      <w:numFmt w:val="decimal"/>
      <w:lvlText w:val="%4."/>
      <w:lvlJc w:val="left"/>
      <w:pPr>
        <w:tabs>
          <w:tab w:val="num" w:pos="2820"/>
        </w:tabs>
        <w:ind w:left="2820" w:hanging="300"/>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4">
      <w:start w:val="1"/>
      <w:numFmt w:val="lowerLetter"/>
      <w:lvlText w:val="%5."/>
      <w:lvlJc w:val="left"/>
      <w:pPr>
        <w:tabs>
          <w:tab w:val="num" w:pos="3540"/>
        </w:tabs>
        <w:ind w:left="3540" w:hanging="300"/>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5">
      <w:start w:val="1"/>
      <w:numFmt w:val="lowerRoman"/>
      <w:lvlText w:val="%6."/>
      <w:lvlJc w:val="left"/>
      <w:pPr>
        <w:tabs>
          <w:tab w:val="num" w:pos="4271"/>
        </w:tabs>
        <w:ind w:left="4271" w:hanging="247"/>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6">
      <w:start w:val="1"/>
      <w:numFmt w:val="decimal"/>
      <w:lvlText w:val="%7."/>
      <w:lvlJc w:val="left"/>
      <w:pPr>
        <w:tabs>
          <w:tab w:val="num" w:pos="4980"/>
        </w:tabs>
        <w:ind w:left="4980" w:hanging="300"/>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7">
      <w:start w:val="1"/>
      <w:numFmt w:val="lowerLetter"/>
      <w:lvlText w:val="%8."/>
      <w:lvlJc w:val="left"/>
      <w:pPr>
        <w:tabs>
          <w:tab w:val="num" w:pos="5700"/>
        </w:tabs>
        <w:ind w:left="5700" w:hanging="300"/>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8">
      <w:start w:val="1"/>
      <w:numFmt w:val="lowerRoman"/>
      <w:lvlText w:val="%9."/>
      <w:lvlJc w:val="left"/>
      <w:pPr>
        <w:tabs>
          <w:tab w:val="num" w:pos="6431"/>
        </w:tabs>
        <w:ind w:left="6431" w:hanging="247"/>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abstractNum>
  <w:abstractNum w:abstractNumId="30" w15:restartNumberingAfterBreak="0">
    <w:nsid w:val="0DAB1B65"/>
    <w:multiLevelType w:val="multilevel"/>
    <w:tmpl w:val="6CC2AF1A"/>
    <w:lvl w:ilvl="0">
      <w:start w:val="1"/>
      <w:numFmt w:val="decimal"/>
      <w:lvlText w:val="%1."/>
      <w:lvlJc w:val="left"/>
      <w:pPr>
        <w:tabs>
          <w:tab w:val="num" w:pos="317"/>
        </w:tabs>
        <w:ind w:left="317" w:hanging="317"/>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1">
      <w:start w:val="1"/>
      <w:numFmt w:val="lowerLetter"/>
      <w:lvlText w:val="%2."/>
      <w:lvlJc w:val="left"/>
      <w:pPr>
        <w:tabs>
          <w:tab w:val="num" w:pos="1380"/>
        </w:tabs>
        <w:ind w:left="1380" w:hanging="300"/>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2">
      <w:start w:val="1"/>
      <w:numFmt w:val="lowerRoman"/>
      <w:lvlText w:val="%3."/>
      <w:lvlJc w:val="left"/>
      <w:pPr>
        <w:tabs>
          <w:tab w:val="num" w:pos="2111"/>
        </w:tabs>
        <w:ind w:left="2111" w:hanging="247"/>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3">
      <w:start w:val="1"/>
      <w:numFmt w:val="decimal"/>
      <w:lvlText w:val="%4."/>
      <w:lvlJc w:val="left"/>
      <w:pPr>
        <w:tabs>
          <w:tab w:val="num" w:pos="2820"/>
        </w:tabs>
        <w:ind w:left="2820" w:hanging="300"/>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4">
      <w:start w:val="1"/>
      <w:numFmt w:val="lowerLetter"/>
      <w:lvlText w:val="%5."/>
      <w:lvlJc w:val="left"/>
      <w:pPr>
        <w:tabs>
          <w:tab w:val="num" w:pos="3540"/>
        </w:tabs>
        <w:ind w:left="3540" w:hanging="300"/>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5">
      <w:start w:val="1"/>
      <w:numFmt w:val="lowerRoman"/>
      <w:lvlText w:val="%6."/>
      <w:lvlJc w:val="left"/>
      <w:pPr>
        <w:tabs>
          <w:tab w:val="num" w:pos="4271"/>
        </w:tabs>
        <w:ind w:left="4271" w:hanging="247"/>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6">
      <w:start w:val="1"/>
      <w:numFmt w:val="decimal"/>
      <w:lvlText w:val="%7."/>
      <w:lvlJc w:val="left"/>
      <w:pPr>
        <w:tabs>
          <w:tab w:val="num" w:pos="4980"/>
        </w:tabs>
        <w:ind w:left="4980" w:hanging="300"/>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7">
      <w:start w:val="1"/>
      <w:numFmt w:val="lowerLetter"/>
      <w:lvlText w:val="%8."/>
      <w:lvlJc w:val="left"/>
      <w:pPr>
        <w:tabs>
          <w:tab w:val="num" w:pos="5700"/>
        </w:tabs>
        <w:ind w:left="5700" w:hanging="300"/>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8">
      <w:start w:val="1"/>
      <w:numFmt w:val="lowerRoman"/>
      <w:lvlText w:val="%9."/>
      <w:lvlJc w:val="left"/>
      <w:pPr>
        <w:tabs>
          <w:tab w:val="num" w:pos="6431"/>
        </w:tabs>
        <w:ind w:left="6431" w:hanging="247"/>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abstractNum>
  <w:abstractNum w:abstractNumId="31" w15:restartNumberingAfterBreak="0">
    <w:nsid w:val="0E13343C"/>
    <w:multiLevelType w:val="hybridMultilevel"/>
    <w:tmpl w:val="44BA201A"/>
    <w:lvl w:ilvl="0" w:tplc="76D0919C">
      <w:start w:val="1"/>
      <w:numFmt w:val="russianLower"/>
      <w:lvlText w:val="%1)"/>
      <w:lvlJc w:val="left"/>
      <w:pPr>
        <w:ind w:left="986" w:hanging="360"/>
      </w:pPr>
      <w:rPr>
        <w:rFonts w:hint="default"/>
      </w:rPr>
    </w:lvl>
    <w:lvl w:ilvl="1" w:tplc="04190019" w:tentative="1">
      <w:start w:val="1"/>
      <w:numFmt w:val="lowerLetter"/>
      <w:lvlText w:val="%2."/>
      <w:lvlJc w:val="left"/>
      <w:pPr>
        <w:ind w:left="1706" w:hanging="360"/>
      </w:pPr>
    </w:lvl>
    <w:lvl w:ilvl="2" w:tplc="0419001B" w:tentative="1">
      <w:start w:val="1"/>
      <w:numFmt w:val="lowerRoman"/>
      <w:lvlText w:val="%3."/>
      <w:lvlJc w:val="right"/>
      <w:pPr>
        <w:ind w:left="2426" w:hanging="180"/>
      </w:pPr>
    </w:lvl>
    <w:lvl w:ilvl="3" w:tplc="0419000F" w:tentative="1">
      <w:start w:val="1"/>
      <w:numFmt w:val="decimal"/>
      <w:lvlText w:val="%4."/>
      <w:lvlJc w:val="left"/>
      <w:pPr>
        <w:ind w:left="3146" w:hanging="360"/>
      </w:pPr>
    </w:lvl>
    <w:lvl w:ilvl="4" w:tplc="04190019" w:tentative="1">
      <w:start w:val="1"/>
      <w:numFmt w:val="lowerLetter"/>
      <w:lvlText w:val="%5."/>
      <w:lvlJc w:val="left"/>
      <w:pPr>
        <w:ind w:left="3866" w:hanging="360"/>
      </w:pPr>
    </w:lvl>
    <w:lvl w:ilvl="5" w:tplc="0419001B" w:tentative="1">
      <w:start w:val="1"/>
      <w:numFmt w:val="lowerRoman"/>
      <w:lvlText w:val="%6."/>
      <w:lvlJc w:val="right"/>
      <w:pPr>
        <w:ind w:left="4586" w:hanging="180"/>
      </w:pPr>
    </w:lvl>
    <w:lvl w:ilvl="6" w:tplc="0419000F" w:tentative="1">
      <w:start w:val="1"/>
      <w:numFmt w:val="decimal"/>
      <w:lvlText w:val="%7."/>
      <w:lvlJc w:val="left"/>
      <w:pPr>
        <w:ind w:left="5306" w:hanging="360"/>
      </w:pPr>
    </w:lvl>
    <w:lvl w:ilvl="7" w:tplc="04190019" w:tentative="1">
      <w:start w:val="1"/>
      <w:numFmt w:val="lowerLetter"/>
      <w:lvlText w:val="%8."/>
      <w:lvlJc w:val="left"/>
      <w:pPr>
        <w:ind w:left="6026" w:hanging="360"/>
      </w:pPr>
    </w:lvl>
    <w:lvl w:ilvl="8" w:tplc="0419001B" w:tentative="1">
      <w:start w:val="1"/>
      <w:numFmt w:val="lowerRoman"/>
      <w:lvlText w:val="%9."/>
      <w:lvlJc w:val="right"/>
      <w:pPr>
        <w:ind w:left="6746" w:hanging="180"/>
      </w:pPr>
    </w:lvl>
  </w:abstractNum>
  <w:abstractNum w:abstractNumId="32" w15:restartNumberingAfterBreak="0">
    <w:nsid w:val="0E156262"/>
    <w:multiLevelType w:val="multilevel"/>
    <w:tmpl w:val="340C3A6C"/>
    <w:lvl w:ilvl="0">
      <w:start w:val="2"/>
      <w:numFmt w:val="decimal"/>
      <w:lvlText w:val="%1."/>
      <w:lvlJc w:val="left"/>
      <w:pPr>
        <w:ind w:left="1080" w:hanging="360"/>
      </w:pPr>
      <w:rPr>
        <w:rFonts w:hint="default"/>
      </w:rPr>
    </w:lvl>
    <w:lvl w:ilvl="1">
      <w:start w:val="1"/>
      <w:numFmt w:val="decimal"/>
      <w:isLgl/>
      <w:lvlText w:val="%1.%2"/>
      <w:lvlJc w:val="left"/>
      <w:pPr>
        <w:ind w:left="1146" w:hanging="360"/>
      </w:pPr>
      <w:rPr>
        <w:rFonts w:hint="default"/>
      </w:rPr>
    </w:lvl>
    <w:lvl w:ilvl="2">
      <w:start w:val="1"/>
      <w:numFmt w:val="decimal"/>
      <w:isLgl/>
      <w:lvlText w:val="%1.%2.%3"/>
      <w:lvlJc w:val="left"/>
      <w:pPr>
        <w:ind w:left="1572" w:hanging="720"/>
      </w:pPr>
      <w:rPr>
        <w:rFonts w:hint="default"/>
      </w:rPr>
    </w:lvl>
    <w:lvl w:ilvl="3">
      <w:start w:val="1"/>
      <w:numFmt w:val="decimal"/>
      <w:isLgl/>
      <w:lvlText w:val="%1.%2.%3.%4"/>
      <w:lvlJc w:val="left"/>
      <w:pPr>
        <w:ind w:left="1638" w:hanging="720"/>
      </w:pPr>
      <w:rPr>
        <w:rFonts w:hint="default"/>
      </w:rPr>
    </w:lvl>
    <w:lvl w:ilvl="4">
      <w:start w:val="1"/>
      <w:numFmt w:val="decimal"/>
      <w:isLgl/>
      <w:lvlText w:val="%1.%2.%3.%4.%5"/>
      <w:lvlJc w:val="left"/>
      <w:pPr>
        <w:ind w:left="2064" w:hanging="1080"/>
      </w:pPr>
      <w:rPr>
        <w:rFonts w:hint="default"/>
      </w:rPr>
    </w:lvl>
    <w:lvl w:ilvl="5">
      <w:start w:val="1"/>
      <w:numFmt w:val="decimal"/>
      <w:isLgl/>
      <w:lvlText w:val="%1.%2.%3.%4.%5.%6"/>
      <w:lvlJc w:val="left"/>
      <w:pPr>
        <w:ind w:left="2130" w:hanging="1080"/>
      </w:pPr>
      <w:rPr>
        <w:rFonts w:hint="default"/>
      </w:rPr>
    </w:lvl>
    <w:lvl w:ilvl="6">
      <w:start w:val="1"/>
      <w:numFmt w:val="decimal"/>
      <w:isLgl/>
      <w:lvlText w:val="%1.%2.%3.%4.%5.%6.%7"/>
      <w:lvlJc w:val="left"/>
      <w:pPr>
        <w:ind w:left="2556" w:hanging="1440"/>
      </w:pPr>
      <w:rPr>
        <w:rFonts w:hint="default"/>
      </w:rPr>
    </w:lvl>
    <w:lvl w:ilvl="7">
      <w:start w:val="1"/>
      <w:numFmt w:val="decimal"/>
      <w:isLgl/>
      <w:lvlText w:val="%1.%2.%3.%4.%5.%6.%7.%8"/>
      <w:lvlJc w:val="left"/>
      <w:pPr>
        <w:ind w:left="2622" w:hanging="1440"/>
      </w:pPr>
      <w:rPr>
        <w:rFonts w:hint="default"/>
      </w:rPr>
    </w:lvl>
    <w:lvl w:ilvl="8">
      <w:start w:val="1"/>
      <w:numFmt w:val="decimal"/>
      <w:isLgl/>
      <w:lvlText w:val="%1.%2.%3.%4.%5.%6.%7.%8.%9"/>
      <w:lvlJc w:val="left"/>
      <w:pPr>
        <w:ind w:left="3048" w:hanging="1800"/>
      </w:pPr>
      <w:rPr>
        <w:rFonts w:hint="default"/>
      </w:rPr>
    </w:lvl>
  </w:abstractNum>
  <w:abstractNum w:abstractNumId="33" w15:restartNumberingAfterBreak="0">
    <w:nsid w:val="0EA217B5"/>
    <w:multiLevelType w:val="multilevel"/>
    <w:tmpl w:val="04E6665C"/>
    <w:lvl w:ilvl="0">
      <w:start w:val="1"/>
      <w:numFmt w:val="decimal"/>
      <w:lvlText w:val="%1."/>
      <w:lvlJc w:val="left"/>
      <w:pPr>
        <w:tabs>
          <w:tab w:val="num" w:pos="317"/>
        </w:tabs>
        <w:ind w:left="317" w:hanging="317"/>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1">
      <w:start w:val="1"/>
      <w:numFmt w:val="lowerLetter"/>
      <w:lvlText w:val="%2."/>
      <w:lvlJc w:val="left"/>
      <w:pPr>
        <w:tabs>
          <w:tab w:val="num" w:pos="1380"/>
        </w:tabs>
        <w:ind w:left="1380" w:hanging="300"/>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2">
      <w:start w:val="1"/>
      <w:numFmt w:val="lowerRoman"/>
      <w:lvlText w:val="%3."/>
      <w:lvlJc w:val="left"/>
      <w:pPr>
        <w:tabs>
          <w:tab w:val="num" w:pos="2111"/>
        </w:tabs>
        <w:ind w:left="2111" w:hanging="247"/>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3">
      <w:start w:val="1"/>
      <w:numFmt w:val="decimal"/>
      <w:lvlText w:val="%4."/>
      <w:lvlJc w:val="left"/>
      <w:pPr>
        <w:tabs>
          <w:tab w:val="num" w:pos="2820"/>
        </w:tabs>
        <w:ind w:left="2820" w:hanging="300"/>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4">
      <w:start w:val="1"/>
      <w:numFmt w:val="lowerLetter"/>
      <w:lvlText w:val="%5."/>
      <w:lvlJc w:val="left"/>
      <w:pPr>
        <w:tabs>
          <w:tab w:val="num" w:pos="3540"/>
        </w:tabs>
        <w:ind w:left="3540" w:hanging="300"/>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5">
      <w:start w:val="1"/>
      <w:numFmt w:val="lowerRoman"/>
      <w:lvlText w:val="%6."/>
      <w:lvlJc w:val="left"/>
      <w:pPr>
        <w:tabs>
          <w:tab w:val="num" w:pos="4271"/>
        </w:tabs>
        <w:ind w:left="4271" w:hanging="247"/>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6">
      <w:start w:val="1"/>
      <w:numFmt w:val="decimal"/>
      <w:lvlText w:val="%7."/>
      <w:lvlJc w:val="left"/>
      <w:pPr>
        <w:tabs>
          <w:tab w:val="num" w:pos="4980"/>
        </w:tabs>
        <w:ind w:left="4980" w:hanging="300"/>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7">
      <w:start w:val="1"/>
      <w:numFmt w:val="lowerLetter"/>
      <w:lvlText w:val="%8."/>
      <w:lvlJc w:val="left"/>
      <w:pPr>
        <w:tabs>
          <w:tab w:val="num" w:pos="5700"/>
        </w:tabs>
        <w:ind w:left="5700" w:hanging="300"/>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8">
      <w:start w:val="1"/>
      <w:numFmt w:val="lowerRoman"/>
      <w:lvlText w:val="%9."/>
      <w:lvlJc w:val="left"/>
      <w:pPr>
        <w:tabs>
          <w:tab w:val="num" w:pos="6431"/>
        </w:tabs>
        <w:ind w:left="6431" w:hanging="247"/>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abstractNum>
  <w:abstractNum w:abstractNumId="34" w15:restartNumberingAfterBreak="0">
    <w:nsid w:val="0EC67235"/>
    <w:multiLevelType w:val="hybridMultilevel"/>
    <w:tmpl w:val="E7FE7B1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0ED06A1C"/>
    <w:multiLevelType w:val="hybridMultilevel"/>
    <w:tmpl w:val="F8DC93E4"/>
    <w:lvl w:ilvl="0" w:tplc="C986AC6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0F1E214E"/>
    <w:multiLevelType w:val="hybridMultilevel"/>
    <w:tmpl w:val="2EF6DE6E"/>
    <w:lvl w:ilvl="0" w:tplc="F3C6875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7" w15:restartNumberingAfterBreak="0">
    <w:nsid w:val="101A70AB"/>
    <w:multiLevelType w:val="hybridMultilevel"/>
    <w:tmpl w:val="60CA9AD8"/>
    <w:lvl w:ilvl="0" w:tplc="345E4FC2">
      <w:start w:val="1"/>
      <w:numFmt w:val="bullet"/>
      <w:lvlText w:val=""/>
      <w:lvlJc w:val="left"/>
      <w:pPr>
        <w:ind w:left="720" w:hanging="360"/>
      </w:pPr>
      <w:rPr>
        <w:rFonts w:ascii="Symbol" w:hAnsi="Symbol" w:hint="default"/>
      </w:rPr>
    </w:lvl>
    <w:lvl w:ilvl="1" w:tplc="13FE7076" w:tentative="1">
      <w:start w:val="1"/>
      <w:numFmt w:val="bullet"/>
      <w:lvlText w:val="o"/>
      <w:lvlJc w:val="left"/>
      <w:pPr>
        <w:ind w:left="1440" w:hanging="360"/>
      </w:pPr>
      <w:rPr>
        <w:rFonts w:ascii="Courier New" w:hAnsi="Courier New" w:hint="default"/>
      </w:rPr>
    </w:lvl>
    <w:lvl w:ilvl="2" w:tplc="CDFCF5B4" w:tentative="1">
      <w:start w:val="1"/>
      <w:numFmt w:val="bullet"/>
      <w:lvlText w:val=""/>
      <w:lvlJc w:val="left"/>
      <w:pPr>
        <w:ind w:left="2160" w:hanging="360"/>
      </w:pPr>
      <w:rPr>
        <w:rFonts w:ascii="Wingdings" w:hAnsi="Wingdings" w:hint="default"/>
      </w:rPr>
    </w:lvl>
    <w:lvl w:ilvl="3" w:tplc="A1B63254" w:tentative="1">
      <w:start w:val="1"/>
      <w:numFmt w:val="bullet"/>
      <w:lvlText w:val=""/>
      <w:lvlJc w:val="left"/>
      <w:pPr>
        <w:ind w:left="2880" w:hanging="360"/>
      </w:pPr>
      <w:rPr>
        <w:rFonts w:ascii="Symbol" w:hAnsi="Symbol" w:hint="default"/>
      </w:rPr>
    </w:lvl>
    <w:lvl w:ilvl="4" w:tplc="4964EF0C" w:tentative="1">
      <w:start w:val="1"/>
      <w:numFmt w:val="bullet"/>
      <w:lvlText w:val="o"/>
      <w:lvlJc w:val="left"/>
      <w:pPr>
        <w:ind w:left="3600" w:hanging="360"/>
      </w:pPr>
      <w:rPr>
        <w:rFonts w:ascii="Courier New" w:hAnsi="Courier New" w:hint="default"/>
      </w:rPr>
    </w:lvl>
    <w:lvl w:ilvl="5" w:tplc="27449E3A" w:tentative="1">
      <w:start w:val="1"/>
      <w:numFmt w:val="bullet"/>
      <w:lvlText w:val=""/>
      <w:lvlJc w:val="left"/>
      <w:pPr>
        <w:ind w:left="4320" w:hanging="360"/>
      </w:pPr>
      <w:rPr>
        <w:rFonts w:ascii="Wingdings" w:hAnsi="Wingdings" w:hint="default"/>
      </w:rPr>
    </w:lvl>
    <w:lvl w:ilvl="6" w:tplc="8B6A017C" w:tentative="1">
      <w:start w:val="1"/>
      <w:numFmt w:val="bullet"/>
      <w:lvlText w:val=""/>
      <w:lvlJc w:val="left"/>
      <w:pPr>
        <w:ind w:left="5040" w:hanging="360"/>
      </w:pPr>
      <w:rPr>
        <w:rFonts w:ascii="Symbol" w:hAnsi="Symbol" w:hint="default"/>
      </w:rPr>
    </w:lvl>
    <w:lvl w:ilvl="7" w:tplc="431CEAD4" w:tentative="1">
      <w:start w:val="1"/>
      <w:numFmt w:val="bullet"/>
      <w:lvlText w:val="o"/>
      <w:lvlJc w:val="left"/>
      <w:pPr>
        <w:ind w:left="5760" w:hanging="360"/>
      </w:pPr>
      <w:rPr>
        <w:rFonts w:ascii="Courier New" w:hAnsi="Courier New" w:hint="default"/>
      </w:rPr>
    </w:lvl>
    <w:lvl w:ilvl="8" w:tplc="515ED33A" w:tentative="1">
      <w:start w:val="1"/>
      <w:numFmt w:val="bullet"/>
      <w:lvlText w:val=""/>
      <w:lvlJc w:val="left"/>
      <w:pPr>
        <w:ind w:left="6480" w:hanging="360"/>
      </w:pPr>
      <w:rPr>
        <w:rFonts w:ascii="Wingdings" w:hAnsi="Wingdings" w:hint="default"/>
      </w:rPr>
    </w:lvl>
  </w:abstractNum>
  <w:abstractNum w:abstractNumId="38" w15:restartNumberingAfterBreak="0">
    <w:nsid w:val="103D3A1E"/>
    <w:multiLevelType w:val="multilevel"/>
    <w:tmpl w:val="7E3090CC"/>
    <w:styleLink w:val="List14"/>
    <w:lvl w:ilvl="0">
      <w:start w:val="1"/>
      <w:numFmt w:val="decimal"/>
      <w:lvlText w:val="%1."/>
      <w:lvlJc w:val="left"/>
      <w:pPr>
        <w:tabs>
          <w:tab w:val="num" w:pos="284"/>
        </w:tabs>
        <w:ind w:left="284" w:hanging="284"/>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1">
      <w:start w:val="1"/>
      <w:numFmt w:val="lowerLetter"/>
      <w:lvlText w:val="%2."/>
      <w:lvlJc w:val="left"/>
      <w:pPr>
        <w:tabs>
          <w:tab w:val="num" w:pos="1380"/>
        </w:tabs>
        <w:ind w:left="1380" w:hanging="300"/>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2">
      <w:start w:val="1"/>
      <w:numFmt w:val="lowerRoman"/>
      <w:lvlText w:val="%3."/>
      <w:lvlJc w:val="left"/>
      <w:pPr>
        <w:tabs>
          <w:tab w:val="num" w:pos="2111"/>
        </w:tabs>
        <w:ind w:left="2111" w:hanging="247"/>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3">
      <w:start w:val="1"/>
      <w:numFmt w:val="decimal"/>
      <w:lvlText w:val="%4."/>
      <w:lvlJc w:val="left"/>
      <w:pPr>
        <w:tabs>
          <w:tab w:val="num" w:pos="2820"/>
        </w:tabs>
        <w:ind w:left="2820" w:hanging="300"/>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4">
      <w:start w:val="1"/>
      <w:numFmt w:val="lowerLetter"/>
      <w:lvlText w:val="%5."/>
      <w:lvlJc w:val="left"/>
      <w:pPr>
        <w:tabs>
          <w:tab w:val="num" w:pos="3540"/>
        </w:tabs>
        <w:ind w:left="3540" w:hanging="300"/>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5">
      <w:start w:val="1"/>
      <w:numFmt w:val="lowerRoman"/>
      <w:lvlText w:val="%6."/>
      <w:lvlJc w:val="left"/>
      <w:pPr>
        <w:tabs>
          <w:tab w:val="num" w:pos="4271"/>
        </w:tabs>
        <w:ind w:left="4271" w:hanging="247"/>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6">
      <w:start w:val="1"/>
      <w:numFmt w:val="decimal"/>
      <w:lvlText w:val="%7."/>
      <w:lvlJc w:val="left"/>
      <w:pPr>
        <w:tabs>
          <w:tab w:val="num" w:pos="4980"/>
        </w:tabs>
        <w:ind w:left="4980" w:hanging="300"/>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7">
      <w:start w:val="1"/>
      <w:numFmt w:val="lowerLetter"/>
      <w:lvlText w:val="%8."/>
      <w:lvlJc w:val="left"/>
      <w:pPr>
        <w:tabs>
          <w:tab w:val="num" w:pos="5700"/>
        </w:tabs>
        <w:ind w:left="5700" w:hanging="300"/>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8">
      <w:start w:val="1"/>
      <w:numFmt w:val="lowerRoman"/>
      <w:lvlText w:val="%9."/>
      <w:lvlJc w:val="left"/>
      <w:pPr>
        <w:tabs>
          <w:tab w:val="num" w:pos="6431"/>
        </w:tabs>
        <w:ind w:left="6431" w:hanging="247"/>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abstractNum>
  <w:abstractNum w:abstractNumId="39" w15:restartNumberingAfterBreak="0">
    <w:nsid w:val="10402119"/>
    <w:multiLevelType w:val="multilevel"/>
    <w:tmpl w:val="75AE2A88"/>
    <w:lvl w:ilvl="0">
      <w:start w:val="2"/>
      <w:numFmt w:val="decimal"/>
      <w:lvlText w:val="%1."/>
      <w:lvlJc w:val="left"/>
      <w:pPr>
        <w:ind w:left="360" w:hanging="360"/>
      </w:pPr>
      <w:rPr>
        <w:rFonts w:hint="default"/>
      </w:rPr>
    </w:lvl>
    <w:lvl w:ilvl="1">
      <w:start w:val="1"/>
      <w:numFmt w:val="decimal"/>
      <w:lvlText w:val="%1.%2."/>
      <w:lvlJc w:val="left"/>
      <w:pPr>
        <w:ind w:left="1364" w:hanging="360"/>
      </w:pPr>
      <w:rPr>
        <w:rFonts w:hint="default"/>
      </w:rPr>
    </w:lvl>
    <w:lvl w:ilvl="2">
      <w:start w:val="1"/>
      <w:numFmt w:val="decimal"/>
      <w:lvlText w:val="%1.%2.%3."/>
      <w:lvlJc w:val="left"/>
      <w:pPr>
        <w:ind w:left="2728" w:hanging="720"/>
      </w:pPr>
      <w:rPr>
        <w:rFonts w:hint="default"/>
      </w:rPr>
    </w:lvl>
    <w:lvl w:ilvl="3">
      <w:start w:val="1"/>
      <w:numFmt w:val="decimal"/>
      <w:lvlText w:val="%1.%2.%3.%4."/>
      <w:lvlJc w:val="left"/>
      <w:pPr>
        <w:ind w:left="3732" w:hanging="720"/>
      </w:pPr>
      <w:rPr>
        <w:rFonts w:hint="default"/>
      </w:rPr>
    </w:lvl>
    <w:lvl w:ilvl="4">
      <w:start w:val="1"/>
      <w:numFmt w:val="decimal"/>
      <w:lvlText w:val="%1.%2.%3.%4.%5."/>
      <w:lvlJc w:val="left"/>
      <w:pPr>
        <w:ind w:left="5096" w:hanging="1080"/>
      </w:pPr>
      <w:rPr>
        <w:rFonts w:hint="default"/>
      </w:rPr>
    </w:lvl>
    <w:lvl w:ilvl="5">
      <w:start w:val="1"/>
      <w:numFmt w:val="decimal"/>
      <w:lvlText w:val="%1.%2.%3.%4.%5.%6."/>
      <w:lvlJc w:val="left"/>
      <w:pPr>
        <w:ind w:left="6100" w:hanging="1080"/>
      </w:pPr>
      <w:rPr>
        <w:rFonts w:hint="default"/>
      </w:rPr>
    </w:lvl>
    <w:lvl w:ilvl="6">
      <w:start w:val="1"/>
      <w:numFmt w:val="decimal"/>
      <w:lvlText w:val="%1.%2.%3.%4.%5.%6.%7."/>
      <w:lvlJc w:val="left"/>
      <w:pPr>
        <w:ind w:left="7464" w:hanging="1440"/>
      </w:pPr>
      <w:rPr>
        <w:rFonts w:hint="default"/>
      </w:rPr>
    </w:lvl>
    <w:lvl w:ilvl="7">
      <w:start w:val="1"/>
      <w:numFmt w:val="decimal"/>
      <w:lvlText w:val="%1.%2.%3.%4.%5.%6.%7.%8."/>
      <w:lvlJc w:val="left"/>
      <w:pPr>
        <w:ind w:left="8468" w:hanging="1440"/>
      </w:pPr>
      <w:rPr>
        <w:rFonts w:hint="default"/>
      </w:rPr>
    </w:lvl>
    <w:lvl w:ilvl="8">
      <w:start w:val="1"/>
      <w:numFmt w:val="decimal"/>
      <w:lvlText w:val="%1.%2.%3.%4.%5.%6.%7.%8.%9."/>
      <w:lvlJc w:val="left"/>
      <w:pPr>
        <w:ind w:left="9832" w:hanging="1800"/>
      </w:pPr>
      <w:rPr>
        <w:rFonts w:hint="default"/>
      </w:rPr>
    </w:lvl>
  </w:abstractNum>
  <w:abstractNum w:abstractNumId="40" w15:restartNumberingAfterBreak="0">
    <w:nsid w:val="10764030"/>
    <w:multiLevelType w:val="multilevel"/>
    <w:tmpl w:val="340C3A6C"/>
    <w:lvl w:ilvl="0">
      <w:start w:val="2"/>
      <w:numFmt w:val="decimal"/>
      <w:lvlText w:val="%1."/>
      <w:lvlJc w:val="left"/>
      <w:pPr>
        <w:ind w:left="1080" w:hanging="360"/>
      </w:pPr>
      <w:rPr>
        <w:rFonts w:hint="default"/>
      </w:rPr>
    </w:lvl>
    <w:lvl w:ilvl="1">
      <w:start w:val="1"/>
      <w:numFmt w:val="decimal"/>
      <w:isLgl/>
      <w:lvlText w:val="%1.%2"/>
      <w:lvlJc w:val="left"/>
      <w:pPr>
        <w:ind w:left="1146" w:hanging="360"/>
      </w:pPr>
      <w:rPr>
        <w:rFonts w:hint="default"/>
      </w:rPr>
    </w:lvl>
    <w:lvl w:ilvl="2">
      <w:start w:val="1"/>
      <w:numFmt w:val="decimal"/>
      <w:isLgl/>
      <w:lvlText w:val="%1.%2.%3"/>
      <w:lvlJc w:val="left"/>
      <w:pPr>
        <w:ind w:left="1572" w:hanging="720"/>
      </w:pPr>
      <w:rPr>
        <w:rFonts w:hint="default"/>
      </w:rPr>
    </w:lvl>
    <w:lvl w:ilvl="3">
      <w:start w:val="1"/>
      <w:numFmt w:val="decimal"/>
      <w:isLgl/>
      <w:lvlText w:val="%1.%2.%3.%4"/>
      <w:lvlJc w:val="left"/>
      <w:pPr>
        <w:ind w:left="1638" w:hanging="720"/>
      </w:pPr>
      <w:rPr>
        <w:rFonts w:hint="default"/>
      </w:rPr>
    </w:lvl>
    <w:lvl w:ilvl="4">
      <w:start w:val="1"/>
      <w:numFmt w:val="decimal"/>
      <w:isLgl/>
      <w:lvlText w:val="%1.%2.%3.%4.%5"/>
      <w:lvlJc w:val="left"/>
      <w:pPr>
        <w:ind w:left="2064" w:hanging="1080"/>
      </w:pPr>
      <w:rPr>
        <w:rFonts w:hint="default"/>
      </w:rPr>
    </w:lvl>
    <w:lvl w:ilvl="5">
      <w:start w:val="1"/>
      <w:numFmt w:val="decimal"/>
      <w:isLgl/>
      <w:lvlText w:val="%1.%2.%3.%4.%5.%6"/>
      <w:lvlJc w:val="left"/>
      <w:pPr>
        <w:ind w:left="2130" w:hanging="1080"/>
      </w:pPr>
      <w:rPr>
        <w:rFonts w:hint="default"/>
      </w:rPr>
    </w:lvl>
    <w:lvl w:ilvl="6">
      <w:start w:val="1"/>
      <w:numFmt w:val="decimal"/>
      <w:isLgl/>
      <w:lvlText w:val="%1.%2.%3.%4.%5.%6.%7"/>
      <w:lvlJc w:val="left"/>
      <w:pPr>
        <w:ind w:left="2556" w:hanging="1440"/>
      </w:pPr>
      <w:rPr>
        <w:rFonts w:hint="default"/>
      </w:rPr>
    </w:lvl>
    <w:lvl w:ilvl="7">
      <w:start w:val="1"/>
      <w:numFmt w:val="decimal"/>
      <w:isLgl/>
      <w:lvlText w:val="%1.%2.%3.%4.%5.%6.%7.%8"/>
      <w:lvlJc w:val="left"/>
      <w:pPr>
        <w:ind w:left="2622" w:hanging="1440"/>
      </w:pPr>
      <w:rPr>
        <w:rFonts w:hint="default"/>
      </w:rPr>
    </w:lvl>
    <w:lvl w:ilvl="8">
      <w:start w:val="1"/>
      <w:numFmt w:val="decimal"/>
      <w:isLgl/>
      <w:lvlText w:val="%1.%2.%3.%4.%5.%6.%7.%8.%9"/>
      <w:lvlJc w:val="left"/>
      <w:pPr>
        <w:ind w:left="3048" w:hanging="1800"/>
      </w:pPr>
      <w:rPr>
        <w:rFonts w:hint="default"/>
      </w:rPr>
    </w:lvl>
  </w:abstractNum>
  <w:abstractNum w:abstractNumId="41" w15:restartNumberingAfterBreak="0">
    <w:nsid w:val="10815838"/>
    <w:multiLevelType w:val="hybridMultilevel"/>
    <w:tmpl w:val="365602F2"/>
    <w:lvl w:ilvl="0" w:tplc="FFFFFFFF">
      <w:start w:val="1"/>
      <w:numFmt w:val="bullet"/>
      <w:lvlText w:val="­"/>
      <w:lvlJc w:val="left"/>
      <w:pPr>
        <w:ind w:left="1321" w:hanging="360"/>
      </w:pPr>
      <w:rPr>
        <w:rFonts w:ascii="Courier New" w:hAnsi="Courier New" w:hint="default"/>
        <w:color w:val="auto"/>
      </w:rPr>
    </w:lvl>
    <w:lvl w:ilvl="1" w:tplc="04190003" w:tentative="1">
      <w:start w:val="1"/>
      <w:numFmt w:val="bullet"/>
      <w:lvlText w:val="o"/>
      <w:lvlJc w:val="left"/>
      <w:pPr>
        <w:ind w:left="2041" w:hanging="360"/>
      </w:pPr>
      <w:rPr>
        <w:rFonts w:ascii="Courier New" w:hAnsi="Courier New" w:cs="Courier New" w:hint="default"/>
      </w:rPr>
    </w:lvl>
    <w:lvl w:ilvl="2" w:tplc="04190005" w:tentative="1">
      <w:start w:val="1"/>
      <w:numFmt w:val="bullet"/>
      <w:lvlText w:val=""/>
      <w:lvlJc w:val="left"/>
      <w:pPr>
        <w:ind w:left="2761" w:hanging="360"/>
      </w:pPr>
      <w:rPr>
        <w:rFonts w:ascii="Wingdings" w:hAnsi="Wingdings" w:hint="default"/>
      </w:rPr>
    </w:lvl>
    <w:lvl w:ilvl="3" w:tplc="04190001" w:tentative="1">
      <w:start w:val="1"/>
      <w:numFmt w:val="bullet"/>
      <w:lvlText w:val=""/>
      <w:lvlJc w:val="left"/>
      <w:pPr>
        <w:ind w:left="3481" w:hanging="360"/>
      </w:pPr>
      <w:rPr>
        <w:rFonts w:ascii="Symbol" w:hAnsi="Symbol" w:hint="default"/>
      </w:rPr>
    </w:lvl>
    <w:lvl w:ilvl="4" w:tplc="04190003" w:tentative="1">
      <w:start w:val="1"/>
      <w:numFmt w:val="bullet"/>
      <w:lvlText w:val="o"/>
      <w:lvlJc w:val="left"/>
      <w:pPr>
        <w:ind w:left="4201" w:hanging="360"/>
      </w:pPr>
      <w:rPr>
        <w:rFonts w:ascii="Courier New" w:hAnsi="Courier New" w:cs="Courier New" w:hint="default"/>
      </w:rPr>
    </w:lvl>
    <w:lvl w:ilvl="5" w:tplc="04190005" w:tentative="1">
      <w:start w:val="1"/>
      <w:numFmt w:val="bullet"/>
      <w:lvlText w:val=""/>
      <w:lvlJc w:val="left"/>
      <w:pPr>
        <w:ind w:left="4921" w:hanging="360"/>
      </w:pPr>
      <w:rPr>
        <w:rFonts w:ascii="Wingdings" w:hAnsi="Wingdings" w:hint="default"/>
      </w:rPr>
    </w:lvl>
    <w:lvl w:ilvl="6" w:tplc="04190001" w:tentative="1">
      <w:start w:val="1"/>
      <w:numFmt w:val="bullet"/>
      <w:lvlText w:val=""/>
      <w:lvlJc w:val="left"/>
      <w:pPr>
        <w:ind w:left="5641" w:hanging="360"/>
      </w:pPr>
      <w:rPr>
        <w:rFonts w:ascii="Symbol" w:hAnsi="Symbol" w:hint="default"/>
      </w:rPr>
    </w:lvl>
    <w:lvl w:ilvl="7" w:tplc="04190003" w:tentative="1">
      <w:start w:val="1"/>
      <w:numFmt w:val="bullet"/>
      <w:lvlText w:val="o"/>
      <w:lvlJc w:val="left"/>
      <w:pPr>
        <w:ind w:left="6361" w:hanging="360"/>
      </w:pPr>
      <w:rPr>
        <w:rFonts w:ascii="Courier New" w:hAnsi="Courier New" w:cs="Courier New" w:hint="default"/>
      </w:rPr>
    </w:lvl>
    <w:lvl w:ilvl="8" w:tplc="04190005" w:tentative="1">
      <w:start w:val="1"/>
      <w:numFmt w:val="bullet"/>
      <w:lvlText w:val=""/>
      <w:lvlJc w:val="left"/>
      <w:pPr>
        <w:ind w:left="7081" w:hanging="360"/>
      </w:pPr>
      <w:rPr>
        <w:rFonts w:ascii="Wingdings" w:hAnsi="Wingdings" w:hint="default"/>
      </w:rPr>
    </w:lvl>
  </w:abstractNum>
  <w:abstractNum w:abstractNumId="42" w15:restartNumberingAfterBreak="0">
    <w:nsid w:val="10CE5AEF"/>
    <w:multiLevelType w:val="hybridMultilevel"/>
    <w:tmpl w:val="A3A47638"/>
    <w:lvl w:ilvl="0" w:tplc="749294E8">
      <w:start w:val="1"/>
      <w:numFmt w:val="bullet"/>
      <w:pStyle w:val="a"/>
      <w:lvlText w:val="­"/>
      <w:lvlJc w:val="left"/>
      <w:pPr>
        <w:ind w:left="1321" w:hanging="360"/>
      </w:pPr>
      <w:rPr>
        <w:rFonts w:ascii="Courier New" w:hAnsi="Courier New" w:hint="default"/>
        <w:color w:val="auto"/>
      </w:rPr>
    </w:lvl>
    <w:lvl w:ilvl="1" w:tplc="04190003" w:tentative="1">
      <w:start w:val="1"/>
      <w:numFmt w:val="bullet"/>
      <w:lvlText w:val="o"/>
      <w:lvlJc w:val="left"/>
      <w:pPr>
        <w:ind w:left="2041" w:hanging="360"/>
      </w:pPr>
      <w:rPr>
        <w:rFonts w:ascii="Courier New" w:hAnsi="Courier New" w:cs="Courier New" w:hint="default"/>
      </w:rPr>
    </w:lvl>
    <w:lvl w:ilvl="2" w:tplc="04190005" w:tentative="1">
      <w:start w:val="1"/>
      <w:numFmt w:val="bullet"/>
      <w:lvlText w:val=""/>
      <w:lvlJc w:val="left"/>
      <w:pPr>
        <w:ind w:left="2761" w:hanging="360"/>
      </w:pPr>
      <w:rPr>
        <w:rFonts w:ascii="Wingdings" w:hAnsi="Wingdings" w:hint="default"/>
      </w:rPr>
    </w:lvl>
    <w:lvl w:ilvl="3" w:tplc="04190001" w:tentative="1">
      <w:start w:val="1"/>
      <w:numFmt w:val="bullet"/>
      <w:lvlText w:val=""/>
      <w:lvlJc w:val="left"/>
      <w:pPr>
        <w:ind w:left="3481" w:hanging="360"/>
      </w:pPr>
      <w:rPr>
        <w:rFonts w:ascii="Symbol" w:hAnsi="Symbol" w:hint="default"/>
      </w:rPr>
    </w:lvl>
    <w:lvl w:ilvl="4" w:tplc="04190003" w:tentative="1">
      <w:start w:val="1"/>
      <w:numFmt w:val="bullet"/>
      <w:lvlText w:val="o"/>
      <w:lvlJc w:val="left"/>
      <w:pPr>
        <w:ind w:left="4201" w:hanging="360"/>
      </w:pPr>
      <w:rPr>
        <w:rFonts w:ascii="Courier New" w:hAnsi="Courier New" w:cs="Courier New" w:hint="default"/>
      </w:rPr>
    </w:lvl>
    <w:lvl w:ilvl="5" w:tplc="04190005" w:tentative="1">
      <w:start w:val="1"/>
      <w:numFmt w:val="bullet"/>
      <w:lvlText w:val=""/>
      <w:lvlJc w:val="left"/>
      <w:pPr>
        <w:ind w:left="4921" w:hanging="360"/>
      </w:pPr>
      <w:rPr>
        <w:rFonts w:ascii="Wingdings" w:hAnsi="Wingdings" w:hint="default"/>
      </w:rPr>
    </w:lvl>
    <w:lvl w:ilvl="6" w:tplc="04190001" w:tentative="1">
      <w:start w:val="1"/>
      <w:numFmt w:val="bullet"/>
      <w:lvlText w:val=""/>
      <w:lvlJc w:val="left"/>
      <w:pPr>
        <w:ind w:left="5641" w:hanging="360"/>
      </w:pPr>
      <w:rPr>
        <w:rFonts w:ascii="Symbol" w:hAnsi="Symbol" w:hint="default"/>
      </w:rPr>
    </w:lvl>
    <w:lvl w:ilvl="7" w:tplc="04190003" w:tentative="1">
      <w:start w:val="1"/>
      <w:numFmt w:val="bullet"/>
      <w:lvlText w:val="o"/>
      <w:lvlJc w:val="left"/>
      <w:pPr>
        <w:ind w:left="6361" w:hanging="360"/>
      </w:pPr>
      <w:rPr>
        <w:rFonts w:ascii="Courier New" w:hAnsi="Courier New" w:cs="Courier New" w:hint="default"/>
      </w:rPr>
    </w:lvl>
    <w:lvl w:ilvl="8" w:tplc="04190005" w:tentative="1">
      <w:start w:val="1"/>
      <w:numFmt w:val="bullet"/>
      <w:lvlText w:val=""/>
      <w:lvlJc w:val="left"/>
      <w:pPr>
        <w:ind w:left="7081" w:hanging="360"/>
      </w:pPr>
      <w:rPr>
        <w:rFonts w:ascii="Wingdings" w:hAnsi="Wingdings" w:hint="default"/>
      </w:rPr>
    </w:lvl>
  </w:abstractNum>
  <w:abstractNum w:abstractNumId="43" w15:restartNumberingAfterBreak="0">
    <w:nsid w:val="114F3A7C"/>
    <w:multiLevelType w:val="hybridMultilevel"/>
    <w:tmpl w:val="E7FE7B1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11D545FD"/>
    <w:multiLevelType w:val="multilevel"/>
    <w:tmpl w:val="483483EC"/>
    <w:lvl w:ilvl="0">
      <w:start w:val="1"/>
      <w:numFmt w:val="decimal"/>
      <w:lvlText w:val="%1."/>
      <w:lvlJc w:val="left"/>
      <w:pPr>
        <w:tabs>
          <w:tab w:val="num" w:pos="360"/>
        </w:tabs>
        <w:ind w:left="360" w:hanging="360"/>
      </w:pPr>
      <w:rPr>
        <w:rFonts w:cs="Times New Roman"/>
      </w:rPr>
    </w:lvl>
    <w:lvl w:ilvl="1">
      <w:start w:val="1"/>
      <w:numFmt w:val="decimal"/>
      <w:lvlText w:val="%2)"/>
      <w:lvlJc w:val="left"/>
      <w:pPr>
        <w:tabs>
          <w:tab w:val="num" w:pos="360"/>
        </w:tabs>
        <w:ind w:left="360" w:hanging="360"/>
      </w:pPr>
      <w:rPr>
        <w:rFonts w:ascii="Garamond" w:eastAsia="Times New Roman" w:hAnsi="Garamond" w:cs="Times New Roman"/>
        <w:color w:val="auto"/>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564"/>
        </w:tabs>
        <w:ind w:left="2492"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45" w15:restartNumberingAfterBreak="0">
    <w:nsid w:val="1239480A"/>
    <w:multiLevelType w:val="hybridMultilevel"/>
    <w:tmpl w:val="E00A63F6"/>
    <w:lvl w:ilvl="0" w:tplc="04190011">
      <w:start w:val="1"/>
      <w:numFmt w:val="decimal"/>
      <w:lvlText w:val="%1)"/>
      <w:lvlJc w:val="left"/>
      <w:pPr>
        <w:ind w:left="1320" w:hanging="360"/>
      </w:pPr>
    </w:lvl>
    <w:lvl w:ilvl="1" w:tplc="04190019" w:tentative="1">
      <w:start w:val="1"/>
      <w:numFmt w:val="lowerLetter"/>
      <w:lvlText w:val="%2."/>
      <w:lvlJc w:val="left"/>
      <w:pPr>
        <w:ind w:left="2040" w:hanging="360"/>
      </w:pPr>
    </w:lvl>
    <w:lvl w:ilvl="2" w:tplc="0419001B" w:tentative="1">
      <w:start w:val="1"/>
      <w:numFmt w:val="lowerRoman"/>
      <w:lvlText w:val="%3."/>
      <w:lvlJc w:val="right"/>
      <w:pPr>
        <w:ind w:left="2760" w:hanging="180"/>
      </w:pPr>
    </w:lvl>
    <w:lvl w:ilvl="3" w:tplc="0419000F" w:tentative="1">
      <w:start w:val="1"/>
      <w:numFmt w:val="decimal"/>
      <w:lvlText w:val="%4."/>
      <w:lvlJc w:val="left"/>
      <w:pPr>
        <w:ind w:left="3480" w:hanging="360"/>
      </w:pPr>
    </w:lvl>
    <w:lvl w:ilvl="4" w:tplc="04190019" w:tentative="1">
      <w:start w:val="1"/>
      <w:numFmt w:val="lowerLetter"/>
      <w:lvlText w:val="%5."/>
      <w:lvlJc w:val="left"/>
      <w:pPr>
        <w:ind w:left="4200" w:hanging="360"/>
      </w:pPr>
    </w:lvl>
    <w:lvl w:ilvl="5" w:tplc="0419001B" w:tentative="1">
      <w:start w:val="1"/>
      <w:numFmt w:val="lowerRoman"/>
      <w:lvlText w:val="%6."/>
      <w:lvlJc w:val="right"/>
      <w:pPr>
        <w:ind w:left="4920" w:hanging="180"/>
      </w:pPr>
    </w:lvl>
    <w:lvl w:ilvl="6" w:tplc="0419000F" w:tentative="1">
      <w:start w:val="1"/>
      <w:numFmt w:val="decimal"/>
      <w:lvlText w:val="%7."/>
      <w:lvlJc w:val="left"/>
      <w:pPr>
        <w:ind w:left="5640" w:hanging="360"/>
      </w:pPr>
    </w:lvl>
    <w:lvl w:ilvl="7" w:tplc="04190019" w:tentative="1">
      <w:start w:val="1"/>
      <w:numFmt w:val="lowerLetter"/>
      <w:lvlText w:val="%8."/>
      <w:lvlJc w:val="left"/>
      <w:pPr>
        <w:ind w:left="6360" w:hanging="360"/>
      </w:pPr>
    </w:lvl>
    <w:lvl w:ilvl="8" w:tplc="0419001B" w:tentative="1">
      <w:start w:val="1"/>
      <w:numFmt w:val="lowerRoman"/>
      <w:lvlText w:val="%9."/>
      <w:lvlJc w:val="right"/>
      <w:pPr>
        <w:ind w:left="7080" w:hanging="180"/>
      </w:pPr>
    </w:lvl>
  </w:abstractNum>
  <w:abstractNum w:abstractNumId="46" w15:restartNumberingAfterBreak="0">
    <w:nsid w:val="12446200"/>
    <w:multiLevelType w:val="multilevel"/>
    <w:tmpl w:val="40569DBA"/>
    <w:lvl w:ilvl="0">
      <w:start w:val="1"/>
      <w:numFmt w:val="decimal"/>
      <w:lvlText w:val="%1."/>
      <w:lvlJc w:val="left"/>
      <w:pPr>
        <w:tabs>
          <w:tab w:val="num" w:pos="317"/>
        </w:tabs>
        <w:ind w:left="317" w:hanging="317"/>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1">
      <w:start w:val="1"/>
      <w:numFmt w:val="lowerLetter"/>
      <w:lvlText w:val="%2."/>
      <w:lvlJc w:val="left"/>
      <w:pPr>
        <w:tabs>
          <w:tab w:val="num" w:pos="1380"/>
        </w:tabs>
        <w:ind w:left="1380" w:hanging="300"/>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2">
      <w:start w:val="1"/>
      <w:numFmt w:val="lowerRoman"/>
      <w:lvlText w:val="%3."/>
      <w:lvlJc w:val="left"/>
      <w:pPr>
        <w:tabs>
          <w:tab w:val="num" w:pos="2111"/>
        </w:tabs>
        <w:ind w:left="2111" w:hanging="247"/>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3">
      <w:start w:val="1"/>
      <w:numFmt w:val="decimal"/>
      <w:lvlText w:val="%4."/>
      <w:lvlJc w:val="left"/>
      <w:pPr>
        <w:tabs>
          <w:tab w:val="num" w:pos="2820"/>
        </w:tabs>
        <w:ind w:left="2820" w:hanging="300"/>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4">
      <w:start w:val="1"/>
      <w:numFmt w:val="lowerLetter"/>
      <w:lvlText w:val="%5."/>
      <w:lvlJc w:val="left"/>
      <w:pPr>
        <w:tabs>
          <w:tab w:val="num" w:pos="3540"/>
        </w:tabs>
        <w:ind w:left="3540" w:hanging="300"/>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5">
      <w:start w:val="1"/>
      <w:numFmt w:val="lowerRoman"/>
      <w:lvlText w:val="%6."/>
      <w:lvlJc w:val="left"/>
      <w:pPr>
        <w:tabs>
          <w:tab w:val="num" w:pos="4271"/>
        </w:tabs>
        <w:ind w:left="4271" w:hanging="247"/>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6">
      <w:start w:val="1"/>
      <w:numFmt w:val="decimal"/>
      <w:lvlText w:val="%7."/>
      <w:lvlJc w:val="left"/>
      <w:pPr>
        <w:tabs>
          <w:tab w:val="num" w:pos="4980"/>
        </w:tabs>
        <w:ind w:left="4980" w:hanging="300"/>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7">
      <w:start w:val="1"/>
      <w:numFmt w:val="lowerLetter"/>
      <w:lvlText w:val="%8."/>
      <w:lvlJc w:val="left"/>
      <w:pPr>
        <w:tabs>
          <w:tab w:val="num" w:pos="5700"/>
        </w:tabs>
        <w:ind w:left="5700" w:hanging="300"/>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8">
      <w:start w:val="1"/>
      <w:numFmt w:val="lowerRoman"/>
      <w:lvlText w:val="%9."/>
      <w:lvlJc w:val="left"/>
      <w:pPr>
        <w:tabs>
          <w:tab w:val="num" w:pos="6431"/>
        </w:tabs>
        <w:ind w:left="6431" w:hanging="247"/>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abstractNum>
  <w:abstractNum w:abstractNumId="47" w15:restartNumberingAfterBreak="0">
    <w:nsid w:val="12574262"/>
    <w:multiLevelType w:val="multilevel"/>
    <w:tmpl w:val="E170107A"/>
    <w:styleLink w:val="21"/>
    <w:lvl w:ilvl="0">
      <w:start w:val="1"/>
      <w:numFmt w:val="decimal"/>
      <w:lvlText w:val="%1."/>
      <w:lvlJc w:val="left"/>
      <w:pPr>
        <w:tabs>
          <w:tab w:val="num" w:pos="720"/>
        </w:tabs>
        <w:ind w:left="720" w:hanging="360"/>
      </w:pPr>
      <w:rPr>
        <w:rFonts w:ascii="Garamond" w:eastAsia="Garamond" w:hAnsi="Garamond" w:cs="Garamond"/>
        <w:position w:val="0"/>
        <w:sz w:val="22"/>
        <w:szCs w:val="22"/>
        <w:lang w:val="ru-RU"/>
      </w:rPr>
    </w:lvl>
    <w:lvl w:ilvl="1">
      <w:start w:val="1"/>
      <w:numFmt w:val="lowerLetter"/>
      <w:lvlText w:val="%2."/>
      <w:lvlJc w:val="left"/>
      <w:pPr>
        <w:tabs>
          <w:tab w:val="num" w:pos="1410"/>
        </w:tabs>
        <w:ind w:left="1410" w:hanging="330"/>
      </w:pPr>
      <w:rPr>
        <w:rFonts w:ascii="Garamond" w:eastAsia="Garamond" w:hAnsi="Garamond" w:cs="Garamond"/>
        <w:position w:val="0"/>
        <w:sz w:val="22"/>
        <w:szCs w:val="22"/>
        <w:lang w:val="ru-RU"/>
      </w:rPr>
    </w:lvl>
    <w:lvl w:ilvl="2">
      <w:start w:val="1"/>
      <w:numFmt w:val="lowerRoman"/>
      <w:lvlText w:val="%3."/>
      <w:lvlJc w:val="left"/>
      <w:pPr>
        <w:tabs>
          <w:tab w:val="num" w:pos="2135"/>
        </w:tabs>
        <w:ind w:left="2135" w:hanging="271"/>
      </w:pPr>
      <w:rPr>
        <w:rFonts w:ascii="Garamond" w:eastAsia="Garamond" w:hAnsi="Garamond" w:cs="Garamond"/>
        <w:position w:val="0"/>
        <w:sz w:val="22"/>
        <w:szCs w:val="22"/>
        <w:lang w:val="ru-RU"/>
      </w:rPr>
    </w:lvl>
    <w:lvl w:ilvl="3">
      <w:start w:val="1"/>
      <w:numFmt w:val="decimal"/>
      <w:lvlText w:val="%4."/>
      <w:lvlJc w:val="left"/>
      <w:pPr>
        <w:tabs>
          <w:tab w:val="num" w:pos="2850"/>
        </w:tabs>
        <w:ind w:left="2850" w:hanging="330"/>
      </w:pPr>
      <w:rPr>
        <w:rFonts w:ascii="Garamond" w:eastAsia="Garamond" w:hAnsi="Garamond" w:cs="Garamond"/>
        <w:position w:val="0"/>
        <w:sz w:val="22"/>
        <w:szCs w:val="22"/>
        <w:lang w:val="ru-RU"/>
      </w:rPr>
    </w:lvl>
    <w:lvl w:ilvl="4">
      <w:start w:val="1"/>
      <w:numFmt w:val="lowerLetter"/>
      <w:lvlText w:val="%5."/>
      <w:lvlJc w:val="left"/>
      <w:pPr>
        <w:tabs>
          <w:tab w:val="num" w:pos="3570"/>
        </w:tabs>
        <w:ind w:left="3570" w:hanging="330"/>
      </w:pPr>
      <w:rPr>
        <w:rFonts w:ascii="Garamond" w:eastAsia="Garamond" w:hAnsi="Garamond" w:cs="Garamond"/>
        <w:position w:val="0"/>
        <w:sz w:val="22"/>
        <w:szCs w:val="22"/>
        <w:lang w:val="ru-RU"/>
      </w:rPr>
    </w:lvl>
    <w:lvl w:ilvl="5">
      <w:start w:val="1"/>
      <w:numFmt w:val="lowerRoman"/>
      <w:lvlText w:val="%6."/>
      <w:lvlJc w:val="left"/>
      <w:pPr>
        <w:tabs>
          <w:tab w:val="num" w:pos="4295"/>
        </w:tabs>
        <w:ind w:left="4295" w:hanging="271"/>
      </w:pPr>
      <w:rPr>
        <w:rFonts w:ascii="Garamond" w:eastAsia="Garamond" w:hAnsi="Garamond" w:cs="Garamond"/>
        <w:position w:val="0"/>
        <w:sz w:val="22"/>
        <w:szCs w:val="22"/>
        <w:lang w:val="ru-RU"/>
      </w:rPr>
    </w:lvl>
    <w:lvl w:ilvl="6">
      <w:start w:val="1"/>
      <w:numFmt w:val="decimal"/>
      <w:lvlText w:val="%7."/>
      <w:lvlJc w:val="left"/>
      <w:pPr>
        <w:tabs>
          <w:tab w:val="num" w:pos="5010"/>
        </w:tabs>
        <w:ind w:left="5010" w:hanging="330"/>
      </w:pPr>
      <w:rPr>
        <w:rFonts w:ascii="Garamond" w:eastAsia="Garamond" w:hAnsi="Garamond" w:cs="Garamond"/>
        <w:position w:val="0"/>
        <w:sz w:val="22"/>
        <w:szCs w:val="22"/>
        <w:lang w:val="ru-RU"/>
      </w:rPr>
    </w:lvl>
    <w:lvl w:ilvl="7">
      <w:start w:val="1"/>
      <w:numFmt w:val="lowerLetter"/>
      <w:lvlText w:val="%8."/>
      <w:lvlJc w:val="left"/>
      <w:pPr>
        <w:tabs>
          <w:tab w:val="num" w:pos="5730"/>
        </w:tabs>
        <w:ind w:left="5730" w:hanging="330"/>
      </w:pPr>
      <w:rPr>
        <w:rFonts w:ascii="Garamond" w:eastAsia="Garamond" w:hAnsi="Garamond" w:cs="Garamond"/>
        <w:position w:val="0"/>
        <w:sz w:val="22"/>
        <w:szCs w:val="22"/>
        <w:lang w:val="ru-RU"/>
      </w:rPr>
    </w:lvl>
    <w:lvl w:ilvl="8">
      <w:start w:val="1"/>
      <w:numFmt w:val="lowerRoman"/>
      <w:lvlText w:val="%9."/>
      <w:lvlJc w:val="left"/>
      <w:pPr>
        <w:tabs>
          <w:tab w:val="num" w:pos="6455"/>
        </w:tabs>
        <w:ind w:left="6455" w:hanging="271"/>
      </w:pPr>
      <w:rPr>
        <w:rFonts w:ascii="Garamond" w:eastAsia="Garamond" w:hAnsi="Garamond" w:cs="Garamond"/>
        <w:position w:val="0"/>
        <w:sz w:val="22"/>
        <w:szCs w:val="22"/>
        <w:lang w:val="ru-RU"/>
      </w:rPr>
    </w:lvl>
  </w:abstractNum>
  <w:abstractNum w:abstractNumId="48" w15:restartNumberingAfterBreak="0">
    <w:nsid w:val="12A27F0B"/>
    <w:multiLevelType w:val="multilevel"/>
    <w:tmpl w:val="38BCD378"/>
    <w:lvl w:ilvl="0">
      <w:start w:val="8"/>
      <w:numFmt w:val="decimal"/>
      <w:lvlText w:val="%1."/>
      <w:lvlJc w:val="left"/>
      <w:pPr>
        <w:ind w:left="468" w:hanging="468"/>
      </w:pPr>
      <w:rPr>
        <w:rFonts w:hint="default"/>
      </w:rPr>
    </w:lvl>
    <w:lvl w:ilvl="1">
      <w:start w:val="7"/>
      <w:numFmt w:val="decimal"/>
      <w:lvlText w:val="%1.%2."/>
      <w:lvlJc w:val="left"/>
      <w:pPr>
        <w:ind w:left="1034" w:hanging="720"/>
      </w:pPr>
      <w:rPr>
        <w:rFonts w:hint="default"/>
      </w:rPr>
    </w:lvl>
    <w:lvl w:ilvl="2">
      <w:start w:val="8"/>
      <w:numFmt w:val="decimal"/>
      <w:lvlText w:val="%1.%2.%3."/>
      <w:lvlJc w:val="left"/>
      <w:pPr>
        <w:ind w:left="1348" w:hanging="720"/>
      </w:pPr>
      <w:rPr>
        <w:rFonts w:hint="default"/>
      </w:rPr>
    </w:lvl>
    <w:lvl w:ilvl="3">
      <w:start w:val="1"/>
      <w:numFmt w:val="decimal"/>
      <w:lvlText w:val="%1.%2.%3.%4."/>
      <w:lvlJc w:val="left"/>
      <w:pPr>
        <w:ind w:left="2022" w:hanging="1080"/>
      </w:pPr>
      <w:rPr>
        <w:rFonts w:hint="default"/>
      </w:rPr>
    </w:lvl>
    <w:lvl w:ilvl="4">
      <w:start w:val="1"/>
      <w:numFmt w:val="decimal"/>
      <w:lvlText w:val="%1.%2.%3.%4.%5."/>
      <w:lvlJc w:val="left"/>
      <w:pPr>
        <w:ind w:left="2336" w:hanging="1080"/>
      </w:pPr>
      <w:rPr>
        <w:rFonts w:hint="default"/>
      </w:rPr>
    </w:lvl>
    <w:lvl w:ilvl="5">
      <w:start w:val="1"/>
      <w:numFmt w:val="decimal"/>
      <w:lvlText w:val="%1.%2.%3.%4.%5.%6."/>
      <w:lvlJc w:val="left"/>
      <w:pPr>
        <w:ind w:left="3010" w:hanging="1440"/>
      </w:pPr>
      <w:rPr>
        <w:rFonts w:hint="default"/>
      </w:rPr>
    </w:lvl>
    <w:lvl w:ilvl="6">
      <w:start w:val="1"/>
      <w:numFmt w:val="decimal"/>
      <w:lvlText w:val="%1.%2.%3.%4.%5.%6.%7."/>
      <w:lvlJc w:val="left"/>
      <w:pPr>
        <w:ind w:left="3684" w:hanging="1800"/>
      </w:pPr>
      <w:rPr>
        <w:rFonts w:hint="default"/>
      </w:rPr>
    </w:lvl>
    <w:lvl w:ilvl="7">
      <w:start w:val="1"/>
      <w:numFmt w:val="decimal"/>
      <w:lvlText w:val="%1.%2.%3.%4.%5.%6.%7.%8."/>
      <w:lvlJc w:val="left"/>
      <w:pPr>
        <w:ind w:left="3998" w:hanging="1800"/>
      </w:pPr>
      <w:rPr>
        <w:rFonts w:hint="default"/>
      </w:rPr>
    </w:lvl>
    <w:lvl w:ilvl="8">
      <w:start w:val="1"/>
      <w:numFmt w:val="decimal"/>
      <w:lvlText w:val="%1.%2.%3.%4.%5.%6.%7.%8.%9."/>
      <w:lvlJc w:val="left"/>
      <w:pPr>
        <w:ind w:left="4672" w:hanging="2160"/>
      </w:pPr>
      <w:rPr>
        <w:rFonts w:hint="default"/>
      </w:rPr>
    </w:lvl>
  </w:abstractNum>
  <w:abstractNum w:abstractNumId="49" w15:restartNumberingAfterBreak="0">
    <w:nsid w:val="12AB701E"/>
    <w:multiLevelType w:val="hybridMultilevel"/>
    <w:tmpl w:val="4AF6283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15:restartNumberingAfterBreak="0">
    <w:nsid w:val="13111AB1"/>
    <w:multiLevelType w:val="hybridMultilevel"/>
    <w:tmpl w:val="77C40AD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1" w15:restartNumberingAfterBreak="0">
    <w:nsid w:val="13554EBF"/>
    <w:multiLevelType w:val="hybridMultilevel"/>
    <w:tmpl w:val="BA1C4E2C"/>
    <w:lvl w:ilvl="0" w:tplc="5066D45E">
      <w:start w:val="1"/>
      <w:numFmt w:val="decimal"/>
      <w:lvlText w:val="%1."/>
      <w:lvlJc w:val="left"/>
      <w:pPr>
        <w:ind w:left="720" w:hanging="360"/>
      </w:pPr>
      <w:rPr>
        <w:rFonts w:cs="Times New Roman" w:hint="default"/>
        <w:b w:val="0"/>
        <w:strike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2" w15:restartNumberingAfterBreak="0">
    <w:nsid w:val="13596A61"/>
    <w:multiLevelType w:val="multilevel"/>
    <w:tmpl w:val="451CCA9C"/>
    <w:lvl w:ilvl="0">
      <w:start w:val="4"/>
      <w:numFmt w:val="decimal"/>
      <w:lvlText w:val="%1."/>
      <w:lvlJc w:val="left"/>
      <w:pPr>
        <w:ind w:left="360" w:hanging="360"/>
      </w:pPr>
      <w:rPr>
        <w:rFonts w:hint="default"/>
      </w:rPr>
    </w:lvl>
    <w:lvl w:ilvl="1">
      <w:start w:val="1"/>
      <w:numFmt w:val="decimal"/>
      <w:lvlText w:val="%1.%2."/>
      <w:lvlJc w:val="left"/>
      <w:pPr>
        <w:ind w:left="0" w:firstLine="601"/>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3" w15:restartNumberingAfterBreak="0">
    <w:nsid w:val="14582A90"/>
    <w:multiLevelType w:val="multilevel"/>
    <w:tmpl w:val="4330F43A"/>
    <w:styleLink w:val="List44"/>
    <w:lvl w:ilvl="0">
      <w:start w:val="1"/>
      <w:numFmt w:val="decimal"/>
      <w:lvlText w:val="%1."/>
      <w:lvlJc w:val="left"/>
      <w:pPr>
        <w:tabs>
          <w:tab w:val="num" w:pos="317"/>
        </w:tabs>
        <w:ind w:left="317" w:hanging="317"/>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1">
      <w:start w:val="1"/>
      <w:numFmt w:val="lowerLetter"/>
      <w:lvlText w:val="%2."/>
      <w:lvlJc w:val="left"/>
      <w:pPr>
        <w:tabs>
          <w:tab w:val="num" w:pos="1380"/>
        </w:tabs>
        <w:ind w:left="1380" w:hanging="300"/>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2">
      <w:start w:val="1"/>
      <w:numFmt w:val="lowerRoman"/>
      <w:lvlText w:val="%3."/>
      <w:lvlJc w:val="left"/>
      <w:pPr>
        <w:tabs>
          <w:tab w:val="num" w:pos="2111"/>
        </w:tabs>
        <w:ind w:left="2111" w:hanging="247"/>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3">
      <w:start w:val="1"/>
      <w:numFmt w:val="decimal"/>
      <w:lvlText w:val="%4."/>
      <w:lvlJc w:val="left"/>
      <w:pPr>
        <w:tabs>
          <w:tab w:val="num" w:pos="2820"/>
        </w:tabs>
        <w:ind w:left="2820" w:hanging="300"/>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4">
      <w:start w:val="1"/>
      <w:numFmt w:val="lowerLetter"/>
      <w:lvlText w:val="%5."/>
      <w:lvlJc w:val="left"/>
      <w:pPr>
        <w:tabs>
          <w:tab w:val="num" w:pos="3540"/>
        </w:tabs>
        <w:ind w:left="3540" w:hanging="300"/>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5">
      <w:start w:val="1"/>
      <w:numFmt w:val="lowerRoman"/>
      <w:lvlText w:val="%6."/>
      <w:lvlJc w:val="left"/>
      <w:pPr>
        <w:tabs>
          <w:tab w:val="num" w:pos="4271"/>
        </w:tabs>
        <w:ind w:left="4271" w:hanging="247"/>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6">
      <w:start w:val="1"/>
      <w:numFmt w:val="decimal"/>
      <w:lvlText w:val="%7."/>
      <w:lvlJc w:val="left"/>
      <w:pPr>
        <w:tabs>
          <w:tab w:val="num" w:pos="4980"/>
        </w:tabs>
        <w:ind w:left="4980" w:hanging="300"/>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7">
      <w:start w:val="1"/>
      <w:numFmt w:val="lowerLetter"/>
      <w:lvlText w:val="%8."/>
      <w:lvlJc w:val="left"/>
      <w:pPr>
        <w:tabs>
          <w:tab w:val="num" w:pos="5700"/>
        </w:tabs>
        <w:ind w:left="5700" w:hanging="300"/>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8">
      <w:start w:val="1"/>
      <w:numFmt w:val="lowerRoman"/>
      <w:lvlText w:val="%9."/>
      <w:lvlJc w:val="left"/>
      <w:pPr>
        <w:tabs>
          <w:tab w:val="num" w:pos="6431"/>
        </w:tabs>
        <w:ind w:left="6431" w:hanging="247"/>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abstractNum>
  <w:abstractNum w:abstractNumId="54" w15:restartNumberingAfterBreak="0">
    <w:nsid w:val="1479145D"/>
    <w:multiLevelType w:val="multilevel"/>
    <w:tmpl w:val="F3F0CCDE"/>
    <w:lvl w:ilvl="0">
      <w:start w:val="1"/>
      <w:numFmt w:val="decimal"/>
      <w:lvlText w:val="%1."/>
      <w:lvlJc w:val="left"/>
      <w:pPr>
        <w:tabs>
          <w:tab w:val="num" w:pos="317"/>
        </w:tabs>
        <w:ind w:left="317" w:hanging="317"/>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1">
      <w:start w:val="1"/>
      <w:numFmt w:val="lowerLetter"/>
      <w:lvlText w:val="%2."/>
      <w:lvlJc w:val="left"/>
      <w:pPr>
        <w:tabs>
          <w:tab w:val="num" w:pos="1380"/>
        </w:tabs>
        <w:ind w:left="1380" w:hanging="300"/>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2">
      <w:start w:val="1"/>
      <w:numFmt w:val="lowerRoman"/>
      <w:lvlText w:val="%3."/>
      <w:lvlJc w:val="left"/>
      <w:pPr>
        <w:tabs>
          <w:tab w:val="num" w:pos="2111"/>
        </w:tabs>
        <w:ind w:left="2111" w:hanging="247"/>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3">
      <w:start w:val="1"/>
      <w:numFmt w:val="decimal"/>
      <w:lvlText w:val="%4."/>
      <w:lvlJc w:val="left"/>
      <w:pPr>
        <w:tabs>
          <w:tab w:val="num" w:pos="2820"/>
        </w:tabs>
        <w:ind w:left="2820" w:hanging="300"/>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4">
      <w:start w:val="1"/>
      <w:numFmt w:val="lowerLetter"/>
      <w:lvlText w:val="%5."/>
      <w:lvlJc w:val="left"/>
      <w:pPr>
        <w:tabs>
          <w:tab w:val="num" w:pos="3540"/>
        </w:tabs>
        <w:ind w:left="3540" w:hanging="300"/>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5">
      <w:start w:val="1"/>
      <w:numFmt w:val="lowerRoman"/>
      <w:lvlText w:val="%6."/>
      <w:lvlJc w:val="left"/>
      <w:pPr>
        <w:tabs>
          <w:tab w:val="num" w:pos="4271"/>
        </w:tabs>
        <w:ind w:left="4271" w:hanging="247"/>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6">
      <w:start w:val="1"/>
      <w:numFmt w:val="decimal"/>
      <w:lvlText w:val="%7."/>
      <w:lvlJc w:val="left"/>
      <w:pPr>
        <w:tabs>
          <w:tab w:val="num" w:pos="4980"/>
        </w:tabs>
        <w:ind w:left="4980" w:hanging="300"/>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7">
      <w:start w:val="1"/>
      <w:numFmt w:val="lowerLetter"/>
      <w:lvlText w:val="%8."/>
      <w:lvlJc w:val="left"/>
      <w:pPr>
        <w:tabs>
          <w:tab w:val="num" w:pos="5700"/>
        </w:tabs>
        <w:ind w:left="5700" w:hanging="300"/>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8">
      <w:start w:val="1"/>
      <w:numFmt w:val="lowerRoman"/>
      <w:lvlText w:val="%9."/>
      <w:lvlJc w:val="left"/>
      <w:pPr>
        <w:tabs>
          <w:tab w:val="num" w:pos="6431"/>
        </w:tabs>
        <w:ind w:left="6431" w:hanging="247"/>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abstractNum>
  <w:abstractNum w:abstractNumId="55" w15:restartNumberingAfterBreak="0">
    <w:nsid w:val="14EC549B"/>
    <w:multiLevelType w:val="multilevel"/>
    <w:tmpl w:val="E9B2181E"/>
    <w:styleLink w:val="List35"/>
    <w:lvl w:ilvl="0">
      <w:start w:val="1"/>
      <w:numFmt w:val="decimal"/>
      <w:lvlText w:val="%1."/>
      <w:lvlJc w:val="left"/>
      <w:pPr>
        <w:tabs>
          <w:tab w:val="num" w:pos="317"/>
        </w:tabs>
        <w:ind w:left="317" w:hanging="317"/>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1">
      <w:start w:val="1"/>
      <w:numFmt w:val="lowerLetter"/>
      <w:lvlText w:val="%2."/>
      <w:lvlJc w:val="left"/>
      <w:pPr>
        <w:tabs>
          <w:tab w:val="num" w:pos="1380"/>
        </w:tabs>
        <w:ind w:left="1380" w:hanging="300"/>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2">
      <w:start w:val="1"/>
      <w:numFmt w:val="lowerRoman"/>
      <w:lvlText w:val="%3."/>
      <w:lvlJc w:val="left"/>
      <w:pPr>
        <w:tabs>
          <w:tab w:val="num" w:pos="2111"/>
        </w:tabs>
        <w:ind w:left="2111" w:hanging="247"/>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3">
      <w:start w:val="1"/>
      <w:numFmt w:val="decimal"/>
      <w:lvlText w:val="%4."/>
      <w:lvlJc w:val="left"/>
      <w:pPr>
        <w:tabs>
          <w:tab w:val="num" w:pos="2820"/>
        </w:tabs>
        <w:ind w:left="2820" w:hanging="300"/>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4">
      <w:start w:val="1"/>
      <w:numFmt w:val="lowerLetter"/>
      <w:lvlText w:val="%5."/>
      <w:lvlJc w:val="left"/>
      <w:pPr>
        <w:tabs>
          <w:tab w:val="num" w:pos="3540"/>
        </w:tabs>
        <w:ind w:left="3540" w:hanging="300"/>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5">
      <w:start w:val="1"/>
      <w:numFmt w:val="lowerRoman"/>
      <w:lvlText w:val="%6."/>
      <w:lvlJc w:val="left"/>
      <w:pPr>
        <w:tabs>
          <w:tab w:val="num" w:pos="4271"/>
        </w:tabs>
        <w:ind w:left="4271" w:hanging="247"/>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6">
      <w:start w:val="1"/>
      <w:numFmt w:val="decimal"/>
      <w:lvlText w:val="%7."/>
      <w:lvlJc w:val="left"/>
      <w:pPr>
        <w:tabs>
          <w:tab w:val="num" w:pos="4980"/>
        </w:tabs>
        <w:ind w:left="4980" w:hanging="300"/>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7">
      <w:start w:val="1"/>
      <w:numFmt w:val="lowerLetter"/>
      <w:lvlText w:val="%8."/>
      <w:lvlJc w:val="left"/>
      <w:pPr>
        <w:tabs>
          <w:tab w:val="num" w:pos="5700"/>
        </w:tabs>
        <w:ind w:left="5700" w:hanging="300"/>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8">
      <w:start w:val="1"/>
      <w:numFmt w:val="lowerRoman"/>
      <w:lvlText w:val="%9."/>
      <w:lvlJc w:val="left"/>
      <w:pPr>
        <w:tabs>
          <w:tab w:val="num" w:pos="6431"/>
        </w:tabs>
        <w:ind w:left="6431" w:hanging="247"/>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abstractNum>
  <w:abstractNum w:abstractNumId="56" w15:restartNumberingAfterBreak="0">
    <w:nsid w:val="15C96D68"/>
    <w:multiLevelType w:val="hybridMultilevel"/>
    <w:tmpl w:val="E7FE7B1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7" w15:restartNumberingAfterBreak="0">
    <w:nsid w:val="15DC5377"/>
    <w:multiLevelType w:val="multilevel"/>
    <w:tmpl w:val="755A973A"/>
    <w:styleLink w:val="List46"/>
    <w:lvl w:ilvl="0">
      <w:start w:val="1"/>
      <w:numFmt w:val="decimal"/>
      <w:lvlText w:val="%1."/>
      <w:lvlJc w:val="left"/>
      <w:pPr>
        <w:tabs>
          <w:tab w:val="num" w:pos="317"/>
        </w:tabs>
        <w:ind w:left="317" w:hanging="317"/>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1">
      <w:start w:val="1"/>
      <w:numFmt w:val="lowerLetter"/>
      <w:lvlText w:val="%2."/>
      <w:lvlJc w:val="left"/>
      <w:pPr>
        <w:tabs>
          <w:tab w:val="num" w:pos="1380"/>
        </w:tabs>
        <w:ind w:left="1380" w:hanging="300"/>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2">
      <w:start w:val="1"/>
      <w:numFmt w:val="lowerRoman"/>
      <w:lvlText w:val="%3."/>
      <w:lvlJc w:val="left"/>
      <w:pPr>
        <w:tabs>
          <w:tab w:val="num" w:pos="2111"/>
        </w:tabs>
        <w:ind w:left="2111" w:hanging="247"/>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3">
      <w:start w:val="1"/>
      <w:numFmt w:val="decimal"/>
      <w:lvlText w:val="%4."/>
      <w:lvlJc w:val="left"/>
      <w:pPr>
        <w:tabs>
          <w:tab w:val="num" w:pos="2820"/>
        </w:tabs>
        <w:ind w:left="2820" w:hanging="300"/>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4">
      <w:start w:val="1"/>
      <w:numFmt w:val="lowerLetter"/>
      <w:lvlText w:val="%5."/>
      <w:lvlJc w:val="left"/>
      <w:pPr>
        <w:tabs>
          <w:tab w:val="num" w:pos="3540"/>
        </w:tabs>
        <w:ind w:left="3540" w:hanging="300"/>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5">
      <w:start w:val="1"/>
      <w:numFmt w:val="lowerRoman"/>
      <w:lvlText w:val="%6."/>
      <w:lvlJc w:val="left"/>
      <w:pPr>
        <w:tabs>
          <w:tab w:val="num" w:pos="4271"/>
        </w:tabs>
        <w:ind w:left="4271" w:hanging="247"/>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6">
      <w:start w:val="1"/>
      <w:numFmt w:val="decimal"/>
      <w:lvlText w:val="%7."/>
      <w:lvlJc w:val="left"/>
      <w:pPr>
        <w:tabs>
          <w:tab w:val="num" w:pos="4980"/>
        </w:tabs>
        <w:ind w:left="4980" w:hanging="300"/>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7">
      <w:start w:val="1"/>
      <w:numFmt w:val="lowerLetter"/>
      <w:lvlText w:val="%8."/>
      <w:lvlJc w:val="left"/>
      <w:pPr>
        <w:tabs>
          <w:tab w:val="num" w:pos="5700"/>
        </w:tabs>
        <w:ind w:left="5700" w:hanging="300"/>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8">
      <w:start w:val="1"/>
      <w:numFmt w:val="lowerRoman"/>
      <w:lvlText w:val="%9."/>
      <w:lvlJc w:val="left"/>
      <w:pPr>
        <w:tabs>
          <w:tab w:val="num" w:pos="6431"/>
        </w:tabs>
        <w:ind w:left="6431" w:hanging="247"/>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abstractNum>
  <w:abstractNum w:abstractNumId="58" w15:restartNumberingAfterBreak="0">
    <w:nsid w:val="15FC299D"/>
    <w:multiLevelType w:val="hybridMultilevel"/>
    <w:tmpl w:val="17A4345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9" w15:restartNumberingAfterBreak="0">
    <w:nsid w:val="1667257B"/>
    <w:multiLevelType w:val="multilevel"/>
    <w:tmpl w:val="4330F43A"/>
    <w:lvl w:ilvl="0">
      <w:start w:val="1"/>
      <w:numFmt w:val="decimal"/>
      <w:lvlText w:val="%1."/>
      <w:lvlJc w:val="left"/>
      <w:pPr>
        <w:tabs>
          <w:tab w:val="num" w:pos="317"/>
        </w:tabs>
        <w:ind w:left="317" w:hanging="317"/>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1">
      <w:start w:val="1"/>
      <w:numFmt w:val="lowerLetter"/>
      <w:lvlText w:val="%2."/>
      <w:lvlJc w:val="left"/>
      <w:pPr>
        <w:tabs>
          <w:tab w:val="num" w:pos="1380"/>
        </w:tabs>
        <w:ind w:left="1380" w:hanging="300"/>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2">
      <w:start w:val="1"/>
      <w:numFmt w:val="lowerRoman"/>
      <w:lvlText w:val="%3."/>
      <w:lvlJc w:val="left"/>
      <w:pPr>
        <w:tabs>
          <w:tab w:val="num" w:pos="2111"/>
        </w:tabs>
        <w:ind w:left="2111" w:hanging="247"/>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3">
      <w:start w:val="1"/>
      <w:numFmt w:val="decimal"/>
      <w:lvlText w:val="%4."/>
      <w:lvlJc w:val="left"/>
      <w:pPr>
        <w:tabs>
          <w:tab w:val="num" w:pos="2820"/>
        </w:tabs>
        <w:ind w:left="2820" w:hanging="300"/>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4">
      <w:start w:val="1"/>
      <w:numFmt w:val="lowerLetter"/>
      <w:lvlText w:val="%5."/>
      <w:lvlJc w:val="left"/>
      <w:pPr>
        <w:tabs>
          <w:tab w:val="num" w:pos="3540"/>
        </w:tabs>
        <w:ind w:left="3540" w:hanging="300"/>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5">
      <w:start w:val="1"/>
      <w:numFmt w:val="lowerRoman"/>
      <w:lvlText w:val="%6."/>
      <w:lvlJc w:val="left"/>
      <w:pPr>
        <w:tabs>
          <w:tab w:val="num" w:pos="4271"/>
        </w:tabs>
        <w:ind w:left="4271" w:hanging="247"/>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6">
      <w:start w:val="1"/>
      <w:numFmt w:val="decimal"/>
      <w:lvlText w:val="%7."/>
      <w:lvlJc w:val="left"/>
      <w:pPr>
        <w:tabs>
          <w:tab w:val="num" w:pos="4980"/>
        </w:tabs>
        <w:ind w:left="4980" w:hanging="300"/>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7">
      <w:start w:val="1"/>
      <w:numFmt w:val="lowerLetter"/>
      <w:lvlText w:val="%8."/>
      <w:lvlJc w:val="left"/>
      <w:pPr>
        <w:tabs>
          <w:tab w:val="num" w:pos="5700"/>
        </w:tabs>
        <w:ind w:left="5700" w:hanging="300"/>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8">
      <w:start w:val="1"/>
      <w:numFmt w:val="lowerRoman"/>
      <w:lvlText w:val="%9."/>
      <w:lvlJc w:val="left"/>
      <w:pPr>
        <w:tabs>
          <w:tab w:val="num" w:pos="6431"/>
        </w:tabs>
        <w:ind w:left="6431" w:hanging="247"/>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abstractNum>
  <w:abstractNum w:abstractNumId="60" w15:restartNumberingAfterBreak="0">
    <w:nsid w:val="166D0579"/>
    <w:multiLevelType w:val="hybridMultilevel"/>
    <w:tmpl w:val="D14CE460"/>
    <w:lvl w:ilvl="0" w:tplc="0C04736E">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1" w15:restartNumberingAfterBreak="0">
    <w:nsid w:val="16712724"/>
    <w:multiLevelType w:val="multilevel"/>
    <w:tmpl w:val="A1886D8C"/>
    <w:styleLink w:val="List6"/>
    <w:lvl w:ilvl="0">
      <w:start w:val="1"/>
      <w:numFmt w:val="decimal"/>
      <w:lvlText w:val="%1."/>
      <w:lvlJc w:val="left"/>
      <w:pPr>
        <w:tabs>
          <w:tab w:val="num" w:pos="317"/>
        </w:tabs>
        <w:ind w:left="317" w:hanging="317"/>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1">
      <w:start w:val="1"/>
      <w:numFmt w:val="lowerLetter"/>
      <w:lvlText w:val="%2."/>
      <w:lvlJc w:val="left"/>
      <w:pPr>
        <w:tabs>
          <w:tab w:val="num" w:pos="1380"/>
        </w:tabs>
        <w:ind w:left="1380" w:hanging="300"/>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2">
      <w:start w:val="1"/>
      <w:numFmt w:val="lowerRoman"/>
      <w:lvlText w:val="%3."/>
      <w:lvlJc w:val="left"/>
      <w:pPr>
        <w:tabs>
          <w:tab w:val="num" w:pos="2111"/>
        </w:tabs>
        <w:ind w:left="2111" w:hanging="247"/>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3">
      <w:start w:val="1"/>
      <w:numFmt w:val="decimal"/>
      <w:lvlText w:val="%4."/>
      <w:lvlJc w:val="left"/>
      <w:pPr>
        <w:tabs>
          <w:tab w:val="num" w:pos="2820"/>
        </w:tabs>
        <w:ind w:left="2820" w:hanging="300"/>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4">
      <w:start w:val="1"/>
      <w:numFmt w:val="lowerLetter"/>
      <w:lvlText w:val="%5."/>
      <w:lvlJc w:val="left"/>
      <w:pPr>
        <w:tabs>
          <w:tab w:val="num" w:pos="3540"/>
        </w:tabs>
        <w:ind w:left="3540" w:hanging="300"/>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5">
      <w:start w:val="1"/>
      <w:numFmt w:val="lowerRoman"/>
      <w:lvlText w:val="%6."/>
      <w:lvlJc w:val="left"/>
      <w:pPr>
        <w:tabs>
          <w:tab w:val="num" w:pos="4271"/>
        </w:tabs>
        <w:ind w:left="4271" w:hanging="247"/>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6">
      <w:start w:val="1"/>
      <w:numFmt w:val="decimal"/>
      <w:lvlText w:val="%7."/>
      <w:lvlJc w:val="left"/>
      <w:pPr>
        <w:tabs>
          <w:tab w:val="num" w:pos="4980"/>
        </w:tabs>
        <w:ind w:left="4980" w:hanging="300"/>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7">
      <w:start w:val="1"/>
      <w:numFmt w:val="lowerLetter"/>
      <w:lvlText w:val="%8."/>
      <w:lvlJc w:val="left"/>
      <w:pPr>
        <w:tabs>
          <w:tab w:val="num" w:pos="5700"/>
        </w:tabs>
        <w:ind w:left="5700" w:hanging="300"/>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8">
      <w:start w:val="1"/>
      <w:numFmt w:val="lowerRoman"/>
      <w:lvlText w:val="%9."/>
      <w:lvlJc w:val="left"/>
      <w:pPr>
        <w:tabs>
          <w:tab w:val="num" w:pos="6431"/>
        </w:tabs>
        <w:ind w:left="6431" w:hanging="247"/>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abstractNum>
  <w:abstractNum w:abstractNumId="62" w15:restartNumberingAfterBreak="0">
    <w:nsid w:val="16C94215"/>
    <w:multiLevelType w:val="hybridMultilevel"/>
    <w:tmpl w:val="BE22AABC"/>
    <w:lvl w:ilvl="0" w:tplc="3FC039F8">
      <w:start w:val="1"/>
      <w:numFmt w:val="bullet"/>
      <w:lvlText w:val="−"/>
      <w:lvlJc w:val="left"/>
      <w:pPr>
        <w:ind w:left="720" w:hanging="360"/>
      </w:pPr>
      <w:rPr>
        <w:rFonts w:ascii="Garamond" w:hAnsi="Garamond"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63" w15:restartNumberingAfterBreak="0">
    <w:nsid w:val="17874378"/>
    <w:multiLevelType w:val="multilevel"/>
    <w:tmpl w:val="42262C16"/>
    <w:styleLink w:val="List23"/>
    <w:lvl w:ilvl="0">
      <w:start w:val="1"/>
      <w:numFmt w:val="decimal"/>
      <w:lvlText w:val="%1."/>
      <w:lvlJc w:val="left"/>
      <w:pPr>
        <w:tabs>
          <w:tab w:val="num" w:pos="317"/>
        </w:tabs>
        <w:ind w:left="317" w:hanging="317"/>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1">
      <w:start w:val="1"/>
      <w:numFmt w:val="lowerLetter"/>
      <w:lvlText w:val="%2."/>
      <w:lvlJc w:val="left"/>
      <w:pPr>
        <w:tabs>
          <w:tab w:val="num" w:pos="1380"/>
        </w:tabs>
        <w:ind w:left="1380" w:hanging="300"/>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2">
      <w:start w:val="1"/>
      <w:numFmt w:val="lowerRoman"/>
      <w:lvlText w:val="%3."/>
      <w:lvlJc w:val="left"/>
      <w:pPr>
        <w:tabs>
          <w:tab w:val="num" w:pos="2111"/>
        </w:tabs>
        <w:ind w:left="2111" w:hanging="247"/>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3">
      <w:start w:val="1"/>
      <w:numFmt w:val="decimal"/>
      <w:lvlText w:val="%4."/>
      <w:lvlJc w:val="left"/>
      <w:pPr>
        <w:tabs>
          <w:tab w:val="num" w:pos="2820"/>
        </w:tabs>
        <w:ind w:left="2820" w:hanging="300"/>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4">
      <w:start w:val="1"/>
      <w:numFmt w:val="lowerLetter"/>
      <w:lvlText w:val="%5."/>
      <w:lvlJc w:val="left"/>
      <w:pPr>
        <w:tabs>
          <w:tab w:val="num" w:pos="3540"/>
        </w:tabs>
        <w:ind w:left="3540" w:hanging="300"/>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5">
      <w:start w:val="1"/>
      <w:numFmt w:val="lowerRoman"/>
      <w:lvlText w:val="%6."/>
      <w:lvlJc w:val="left"/>
      <w:pPr>
        <w:tabs>
          <w:tab w:val="num" w:pos="4271"/>
        </w:tabs>
        <w:ind w:left="4271" w:hanging="247"/>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6">
      <w:start w:val="1"/>
      <w:numFmt w:val="decimal"/>
      <w:lvlText w:val="%7."/>
      <w:lvlJc w:val="left"/>
      <w:pPr>
        <w:tabs>
          <w:tab w:val="num" w:pos="4980"/>
        </w:tabs>
        <w:ind w:left="4980" w:hanging="300"/>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7">
      <w:start w:val="1"/>
      <w:numFmt w:val="lowerLetter"/>
      <w:lvlText w:val="%8."/>
      <w:lvlJc w:val="left"/>
      <w:pPr>
        <w:tabs>
          <w:tab w:val="num" w:pos="5700"/>
        </w:tabs>
        <w:ind w:left="5700" w:hanging="300"/>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8">
      <w:start w:val="1"/>
      <w:numFmt w:val="lowerRoman"/>
      <w:lvlText w:val="%9."/>
      <w:lvlJc w:val="left"/>
      <w:pPr>
        <w:tabs>
          <w:tab w:val="num" w:pos="6431"/>
        </w:tabs>
        <w:ind w:left="6431" w:hanging="247"/>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abstractNum>
  <w:abstractNum w:abstractNumId="64" w15:restartNumberingAfterBreak="0">
    <w:nsid w:val="17887461"/>
    <w:multiLevelType w:val="multilevel"/>
    <w:tmpl w:val="19DEB1B4"/>
    <w:lvl w:ilvl="0">
      <w:start w:val="1"/>
      <w:numFmt w:val="decimal"/>
      <w:lvlText w:val="%1."/>
      <w:lvlJc w:val="left"/>
      <w:pPr>
        <w:tabs>
          <w:tab w:val="num" w:pos="317"/>
        </w:tabs>
        <w:ind w:left="317" w:hanging="317"/>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1">
      <w:start w:val="1"/>
      <w:numFmt w:val="lowerLetter"/>
      <w:lvlText w:val="%2."/>
      <w:lvlJc w:val="left"/>
      <w:pPr>
        <w:tabs>
          <w:tab w:val="num" w:pos="1380"/>
        </w:tabs>
        <w:ind w:left="1380" w:hanging="300"/>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2">
      <w:start w:val="1"/>
      <w:numFmt w:val="lowerRoman"/>
      <w:lvlText w:val="%3."/>
      <w:lvlJc w:val="left"/>
      <w:pPr>
        <w:tabs>
          <w:tab w:val="num" w:pos="2111"/>
        </w:tabs>
        <w:ind w:left="2111" w:hanging="247"/>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3">
      <w:start w:val="1"/>
      <w:numFmt w:val="decimal"/>
      <w:lvlText w:val="%4."/>
      <w:lvlJc w:val="left"/>
      <w:pPr>
        <w:tabs>
          <w:tab w:val="num" w:pos="2820"/>
        </w:tabs>
        <w:ind w:left="2820" w:hanging="300"/>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4">
      <w:start w:val="1"/>
      <w:numFmt w:val="lowerLetter"/>
      <w:lvlText w:val="%5."/>
      <w:lvlJc w:val="left"/>
      <w:pPr>
        <w:tabs>
          <w:tab w:val="num" w:pos="3540"/>
        </w:tabs>
        <w:ind w:left="3540" w:hanging="300"/>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5">
      <w:start w:val="1"/>
      <w:numFmt w:val="lowerRoman"/>
      <w:lvlText w:val="%6."/>
      <w:lvlJc w:val="left"/>
      <w:pPr>
        <w:tabs>
          <w:tab w:val="num" w:pos="4271"/>
        </w:tabs>
        <w:ind w:left="4271" w:hanging="247"/>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6">
      <w:start w:val="1"/>
      <w:numFmt w:val="decimal"/>
      <w:lvlText w:val="%7."/>
      <w:lvlJc w:val="left"/>
      <w:pPr>
        <w:tabs>
          <w:tab w:val="num" w:pos="4980"/>
        </w:tabs>
        <w:ind w:left="4980" w:hanging="300"/>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7">
      <w:start w:val="1"/>
      <w:numFmt w:val="lowerLetter"/>
      <w:lvlText w:val="%8."/>
      <w:lvlJc w:val="left"/>
      <w:pPr>
        <w:tabs>
          <w:tab w:val="num" w:pos="5700"/>
        </w:tabs>
        <w:ind w:left="5700" w:hanging="300"/>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8">
      <w:start w:val="1"/>
      <w:numFmt w:val="lowerRoman"/>
      <w:lvlText w:val="%9."/>
      <w:lvlJc w:val="left"/>
      <w:pPr>
        <w:tabs>
          <w:tab w:val="num" w:pos="6431"/>
        </w:tabs>
        <w:ind w:left="6431" w:hanging="247"/>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abstractNum>
  <w:abstractNum w:abstractNumId="65" w15:restartNumberingAfterBreak="0">
    <w:nsid w:val="17A0037D"/>
    <w:multiLevelType w:val="hybridMultilevel"/>
    <w:tmpl w:val="BFF846CA"/>
    <w:lvl w:ilvl="0" w:tplc="4FE0C45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6" w15:restartNumberingAfterBreak="0">
    <w:nsid w:val="17F1265A"/>
    <w:multiLevelType w:val="multilevel"/>
    <w:tmpl w:val="260E5A68"/>
    <w:lvl w:ilvl="0">
      <w:start w:val="1"/>
      <w:numFmt w:val="decimal"/>
      <w:lvlText w:val="%1."/>
      <w:lvlJc w:val="left"/>
      <w:pPr>
        <w:tabs>
          <w:tab w:val="num" w:pos="255"/>
        </w:tabs>
        <w:ind w:left="255" w:hanging="255"/>
      </w:pPr>
      <w:rPr>
        <w:caps w:val="0"/>
        <w:smallCaps w:val="0"/>
        <w:strike w:val="0"/>
        <w:dstrike w:val="0"/>
        <w:color w:val="000000"/>
        <w:spacing w:val="0"/>
        <w:kern w:val="0"/>
        <w:position w:val="0"/>
        <w:sz w:val="20"/>
        <w:szCs w:val="20"/>
        <w:u w:val="none" w:color="000000"/>
        <w:vertAlign w:val="baseline"/>
        <w:lang w:val="ru-RU"/>
      </w:rPr>
    </w:lvl>
    <w:lvl w:ilvl="1">
      <w:start w:val="1"/>
      <w:numFmt w:val="lowerLetter"/>
      <w:lvlText w:val="%2."/>
      <w:lvlJc w:val="left"/>
      <w:pPr>
        <w:tabs>
          <w:tab w:val="num" w:pos="1082"/>
        </w:tabs>
        <w:ind w:left="1082" w:hanging="300"/>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2">
      <w:start w:val="1"/>
      <w:numFmt w:val="lowerRoman"/>
      <w:lvlText w:val="%3."/>
      <w:lvlJc w:val="left"/>
      <w:pPr>
        <w:tabs>
          <w:tab w:val="num" w:pos="1813"/>
        </w:tabs>
        <w:ind w:left="1813" w:hanging="247"/>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3">
      <w:start w:val="1"/>
      <w:numFmt w:val="decimal"/>
      <w:lvlText w:val="%4."/>
      <w:lvlJc w:val="left"/>
      <w:pPr>
        <w:tabs>
          <w:tab w:val="num" w:pos="2522"/>
        </w:tabs>
        <w:ind w:left="2522" w:hanging="300"/>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4">
      <w:start w:val="1"/>
      <w:numFmt w:val="lowerLetter"/>
      <w:lvlText w:val="%5."/>
      <w:lvlJc w:val="left"/>
      <w:pPr>
        <w:tabs>
          <w:tab w:val="num" w:pos="3242"/>
        </w:tabs>
        <w:ind w:left="3242" w:hanging="300"/>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5">
      <w:start w:val="1"/>
      <w:numFmt w:val="lowerRoman"/>
      <w:lvlText w:val="%6."/>
      <w:lvlJc w:val="left"/>
      <w:pPr>
        <w:tabs>
          <w:tab w:val="num" w:pos="3973"/>
        </w:tabs>
        <w:ind w:left="3973" w:hanging="247"/>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6">
      <w:start w:val="1"/>
      <w:numFmt w:val="decimal"/>
      <w:lvlText w:val="%7."/>
      <w:lvlJc w:val="left"/>
      <w:pPr>
        <w:tabs>
          <w:tab w:val="num" w:pos="4682"/>
        </w:tabs>
        <w:ind w:left="4682" w:hanging="300"/>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7">
      <w:start w:val="1"/>
      <w:numFmt w:val="lowerLetter"/>
      <w:lvlText w:val="%8."/>
      <w:lvlJc w:val="left"/>
      <w:pPr>
        <w:tabs>
          <w:tab w:val="num" w:pos="5402"/>
        </w:tabs>
        <w:ind w:left="5402" w:hanging="300"/>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8">
      <w:start w:val="1"/>
      <w:numFmt w:val="lowerRoman"/>
      <w:lvlText w:val="%9."/>
      <w:lvlJc w:val="left"/>
      <w:pPr>
        <w:tabs>
          <w:tab w:val="num" w:pos="6133"/>
        </w:tabs>
        <w:ind w:left="6133" w:hanging="247"/>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abstractNum>
  <w:abstractNum w:abstractNumId="67" w15:restartNumberingAfterBreak="0">
    <w:nsid w:val="1877498D"/>
    <w:multiLevelType w:val="hybridMultilevel"/>
    <w:tmpl w:val="4AF6283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8" w15:restartNumberingAfterBreak="0">
    <w:nsid w:val="187C0998"/>
    <w:multiLevelType w:val="multilevel"/>
    <w:tmpl w:val="5F08128E"/>
    <w:lvl w:ilvl="0">
      <w:start w:val="3"/>
      <w:numFmt w:val="decimal"/>
      <w:lvlText w:val="%1."/>
      <w:lvlJc w:val="left"/>
      <w:pPr>
        <w:ind w:left="360" w:hanging="360"/>
      </w:pPr>
      <w:rPr>
        <w:rFonts w:hint="default"/>
      </w:rPr>
    </w:lvl>
    <w:lvl w:ilvl="1">
      <w:start w:val="9"/>
      <w:numFmt w:val="decimal"/>
      <w:lvlText w:val="%1.%2."/>
      <w:lvlJc w:val="left"/>
      <w:pPr>
        <w:ind w:left="0" w:firstLine="601"/>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9" w15:restartNumberingAfterBreak="0">
    <w:nsid w:val="18B62EBE"/>
    <w:multiLevelType w:val="multilevel"/>
    <w:tmpl w:val="B292FB28"/>
    <w:styleLink w:val="List64"/>
    <w:lvl w:ilvl="0">
      <w:start w:val="1"/>
      <w:numFmt w:val="decimal"/>
      <w:lvlText w:val="%1."/>
      <w:lvlJc w:val="left"/>
      <w:pPr>
        <w:tabs>
          <w:tab w:val="num" w:pos="317"/>
        </w:tabs>
        <w:ind w:left="317" w:hanging="317"/>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1">
      <w:start w:val="1"/>
      <w:numFmt w:val="lowerLetter"/>
      <w:lvlText w:val="%2."/>
      <w:lvlJc w:val="left"/>
      <w:pPr>
        <w:tabs>
          <w:tab w:val="num" w:pos="1380"/>
        </w:tabs>
        <w:ind w:left="1380" w:hanging="300"/>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2">
      <w:start w:val="1"/>
      <w:numFmt w:val="lowerRoman"/>
      <w:lvlText w:val="%3."/>
      <w:lvlJc w:val="left"/>
      <w:pPr>
        <w:tabs>
          <w:tab w:val="num" w:pos="2111"/>
        </w:tabs>
        <w:ind w:left="2111" w:hanging="247"/>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3">
      <w:start w:val="1"/>
      <w:numFmt w:val="decimal"/>
      <w:lvlText w:val="%4."/>
      <w:lvlJc w:val="left"/>
      <w:pPr>
        <w:tabs>
          <w:tab w:val="num" w:pos="2820"/>
        </w:tabs>
        <w:ind w:left="2820" w:hanging="300"/>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4">
      <w:start w:val="1"/>
      <w:numFmt w:val="lowerLetter"/>
      <w:lvlText w:val="%5."/>
      <w:lvlJc w:val="left"/>
      <w:pPr>
        <w:tabs>
          <w:tab w:val="num" w:pos="3540"/>
        </w:tabs>
        <w:ind w:left="3540" w:hanging="300"/>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5">
      <w:start w:val="1"/>
      <w:numFmt w:val="lowerRoman"/>
      <w:lvlText w:val="%6."/>
      <w:lvlJc w:val="left"/>
      <w:pPr>
        <w:tabs>
          <w:tab w:val="num" w:pos="4271"/>
        </w:tabs>
        <w:ind w:left="4271" w:hanging="247"/>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6">
      <w:start w:val="1"/>
      <w:numFmt w:val="decimal"/>
      <w:lvlText w:val="%7."/>
      <w:lvlJc w:val="left"/>
      <w:pPr>
        <w:tabs>
          <w:tab w:val="num" w:pos="4980"/>
        </w:tabs>
        <w:ind w:left="4980" w:hanging="300"/>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7">
      <w:start w:val="1"/>
      <w:numFmt w:val="lowerLetter"/>
      <w:lvlText w:val="%8."/>
      <w:lvlJc w:val="left"/>
      <w:pPr>
        <w:tabs>
          <w:tab w:val="num" w:pos="5700"/>
        </w:tabs>
        <w:ind w:left="5700" w:hanging="300"/>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8">
      <w:start w:val="1"/>
      <w:numFmt w:val="lowerRoman"/>
      <w:lvlText w:val="%9."/>
      <w:lvlJc w:val="left"/>
      <w:pPr>
        <w:tabs>
          <w:tab w:val="num" w:pos="6431"/>
        </w:tabs>
        <w:ind w:left="6431" w:hanging="247"/>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abstractNum>
  <w:abstractNum w:abstractNumId="70" w15:restartNumberingAfterBreak="0">
    <w:nsid w:val="18EF2ECE"/>
    <w:multiLevelType w:val="multilevel"/>
    <w:tmpl w:val="523073B0"/>
    <w:lvl w:ilvl="0">
      <w:start w:val="1"/>
      <w:numFmt w:val="decimal"/>
      <w:lvlText w:val="%1."/>
      <w:lvlJc w:val="left"/>
      <w:pPr>
        <w:tabs>
          <w:tab w:val="num" w:pos="317"/>
        </w:tabs>
        <w:ind w:left="317" w:hanging="317"/>
      </w:pPr>
      <w:rPr>
        <w:caps w:val="0"/>
        <w:smallCaps w:val="0"/>
        <w:strike w:val="0"/>
        <w:dstrike w:val="0"/>
        <w:color w:val="000000"/>
        <w:spacing w:val="0"/>
        <w:kern w:val="0"/>
        <w:position w:val="0"/>
        <w:sz w:val="20"/>
        <w:szCs w:val="20"/>
        <w:u w:val="none" w:color="000000"/>
        <w:vertAlign w:val="baseline"/>
        <w:lang w:val="ru-RU"/>
      </w:rPr>
    </w:lvl>
    <w:lvl w:ilvl="1">
      <w:start w:val="1"/>
      <w:numFmt w:val="lowerLetter"/>
      <w:lvlText w:val="%2."/>
      <w:lvlJc w:val="left"/>
      <w:pPr>
        <w:tabs>
          <w:tab w:val="num" w:pos="1380"/>
        </w:tabs>
        <w:ind w:left="1380" w:hanging="300"/>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2">
      <w:start w:val="1"/>
      <w:numFmt w:val="lowerRoman"/>
      <w:lvlText w:val="%3."/>
      <w:lvlJc w:val="left"/>
      <w:pPr>
        <w:tabs>
          <w:tab w:val="num" w:pos="2111"/>
        </w:tabs>
        <w:ind w:left="2111" w:hanging="247"/>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3">
      <w:start w:val="1"/>
      <w:numFmt w:val="decimal"/>
      <w:lvlText w:val="%4."/>
      <w:lvlJc w:val="left"/>
      <w:pPr>
        <w:tabs>
          <w:tab w:val="num" w:pos="2820"/>
        </w:tabs>
        <w:ind w:left="2820" w:hanging="300"/>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4">
      <w:start w:val="1"/>
      <w:numFmt w:val="lowerLetter"/>
      <w:lvlText w:val="%5."/>
      <w:lvlJc w:val="left"/>
      <w:pPr>
        <w:tabs>
          <w:tab w:val="num" w:pos="3540"/>
        </w:tabs>
        <w:ind w:left="3540" w:hanging="300"/>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5">
      <w:start w:val="1"/>
      <w:numFmt w:val="lowerRoman"/>
      <w:lvlText w:val="%6."/>
      <w:lvlJc w:val="left"/>
      <w:pPr>
        <w:tabs>
          <w:tab w:val="num" w:pos="4271"/>
        </w:tabs>
        <w:ind w:left="4271" w:hanging="247"/>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6">
      <w:start w:val="1"/>
      <w:numFmt w:val="decimal"/>
      <w:lvlText w:val="%7."/>
      <w:lvlJc w:val="left"/>
      <w:pPr>
        <w:tabs>
          <w:tab w:val="num" w:pos="4980"/>
        </w:tabs>
        <w:ind w:left="4980" w:hanging="300"/>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7">
      <w:start w:val="1"/>
      <w:numFmt w:val="lowerLetter"/>
      <w:lvlText w:val="%8."/>
      <w:lvlJc w:val="left"/>
      <w:pPr>
        <w:tabs>
          <w:tab w:val="num" w:pos="5700"/>
        </w:tabs>
        <w:ind w:left="5700" w:hanging="300"/>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8">
      <w:start w:val="1"/>
      <w:numFmt w:val="lowerRoman"/>
      <w:lvlText w:val="%9."/>
      <w:lvlJc w:val="left"/>
      <w:pPr>
        <w:tabs>
          <w:tab w:val="num" w:pos="6431"/>
        </w:tabs>
        <w:ind w:left="6431" w:hanging="247"/>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abstractNum>
  <w:abstractNum w:abstractNumId="71" w15:restartNumberingAfterBreak="0">
    <w:nsid w:val="19074661"/>
    <w:multiLevelType w:val="hybridMultilevel"/>
    <w:tmpl w:val="6360F626"/>
    <w:lvl w:ilvl="0" w:tplc="FFFFFFFF">
      <w:start w:val="1"/>
      <w:numFmt w:val="bullet"/>
      <w:lvlText w:val="­"/>
      <w:lvlJc w:val="left"/>
      <w:pPr>
        <w:ind w:left="1321" w:hanging="360"/>
      </w:pPr>
      <w:rPr>
        <w:rFonts w:ascii="Courier New" w:hAnsi="Courier New" w:hint="default"/>
        <w:color w:val="auto"/>
      </w:rPr>
    </w:lvl>
    <w:lvl w:ilvl="1" w:tplc="04190003" w:tentative="1">
      <w:start w:val="1"/>
      <w:numFmt w:val="bullet"/>
      <w:lvlText w:val="o"/>
      <w:lvlJc w:val="left"/>
      <w:pPr>
        <w:ind w:left="2041" w:hanging="360"/>
      </w:pPr>
      <w:rPr>
        <w:rFonts w:ascii="Courier New" w:hAnsi="Courier New" w:cs="Courier New" w:hint="default"/>
      </w:rPr>
    </w:lvl>
    <w:lvl w:ilvl="2" w:tplc="04190005" w:tentative="1">
      <w:start w:val="1"/>
      <w:numFmt w:val="bullet"/>
      <w:lvlText w:val=""/>
      <w:lvlJc w:val="left"/>
      <w:pPr>
        <w:ind w:left="2761" w:hanging="360"/>
      </w:pPr>
      <w:rPr>
        <w:rFonts w:ascii="Wingdings" w:hAnsi="Wingdings" w:hint="default"/>
      </w:rPr>
    </w:lvl>
    <w:lvl w:ilvl="3" w:tplc="04190001" w:tentative="1">
      <w:start w:val="1"/>
      <w:numFmt w:val="bullet"/>
      <w:lvlText w:val=""/>
      <w:lvlJc w:val="left"/>
      <w:pPr>
        <w:ind w:left="3481" w:hanging="360"/>
      </w:pPr>
      <w:rPr>
        <w:rFonts w:ascii="Symbol" w:hAnsi="Symbol" w:hint="default"/>
      </w:rPr>
    </w:lvl>
    <w:lvl w:ilvl="4" w:tplc="04190003" w:tentative="1">
      <w:start w:val="1"/>
      <w:numFmt w:val="bullet"/>
      <w:lvlText w:val="o"/>
      <w:lvlJc w:val="left"/>
      <w:pPr>
        <w:ind w:left="4201" w:hanging="360"/>
      </w:pPr>
      <w:rPr>
        <w:rFonts w:ascii="Courier New" w:hAnsi="Courier New" w:cs="Courier New" w:hint="default"/>
      </w:rPr>
    </w:lvl>
    <w:lvl w:ilvl="5" w:tplc="04190005" w:tentative="1">
      <w:start w:val="1"/>
      <w:numFmt w:val="bullet"/>
      <w:lvlText w:val=""/>
      <w:lvlJc w:val="left"/>
      <w:pPr>
        <w:ind w:left="4921" w:hanging="360"/>
      </w:pPr>
      <w:rPr>
        <w:rFonts w:ascii="Wingdings" w:hAnsi="Wingdings" w:hint="default"/>
      </w:rPr>
    </w:lvl>
    <w:lvl w:ilvl="6" w:tplc="04190001" w:tentative="1">
      <w:start w:val="1"/>
      <w:numFmt w:val="bullet"/>
      <w:lvlText w:val=""/>
      <w:lvlJc w:val="left"/>
      <w:pPr>
        <w:ind w:left="5641" w:hanging="360"/>
      </w:pPr>
      <w:rPr>
        <w:rFonts w:ascii="Symbol" w:hAnsi="Symbol" w:hint="default"/>
      </w:rPr>
    </w:lvl>
    <w:lvl w:ilvl="7" w:tplc="04190003" w:tentative="1">
      <w:start w:val="1"/>
      <w:numFmt w:val="bullet"/>
      <w:lvlText w:val="o"/>
      <w:lvlJc w:val="left"/>
      <w:pPr>
        <w:ind w:left="6361" w:hanging="360"/>
      </w:pPr>
      <w:rPr>
        <w:rFonts w:ascii="Courier New" w:hAnsi="Courier New" w:cs="Courier New" w:hint="default"/>
      </w:rPr>
    </w:lvl>
    <w:lvl w:ilvl="8" w:tplc="04190005" w:tentative="1">
      <w:start w:val="1"/>
      <w:numFmt w:val="bullet"/>
      <w:lvlText w:val=""/>
      <w:lvlJc w:val="left"/>
      <w:pPr>
        <w:ind w:left="7081" w:hanging="360"/>
      </w:pPr>
      <w:rPr>
        <w:rFonts w:ascii="Wingdings" w:hAnsi="Wingdings" w:hint="default"/>
      </w:rPr>
    </w:lvl>
  </w:abstractNum>
  <w:abstractNum w:abstractNumId="72" w15:restartNumberingAfterBreak="0">
    <w:nsid w:val="195B5C5A"/>
    <w:multiLevelType w:val="multilevel"/>
    <w:tmpl w:val="628E4374"/>
    <w:lvl w:ilvl="0">
      <w:start w:val="1"/>
      <w:numFmt w:val="decimal"/>
      <w:lvlText w:val="%1."/>
      <w:lvlJc w:val="left"/>
      <w:pPr>
        <w:tabs>
          <w:tab w:val="num" w:pos="317"/>
        </w:tabs>
        <w:ind w:left="317" w:hanging="317"/>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1">
      <w:start w:val="1"/>
      <w:numFmt w:val="lowerLetter"/>
      <w:lvlText w:val="%2."/>
      <w:lvlJc w:val="left"/>
      <w:pPr>
        <w:tabs>
          <w:tab w:val="num" w:pos="1380"/>
        </w:tabs>
        <w:ind w:left="1380" w:hanging="300"/>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2">
      <w:start w:val="1"/>
      <w:numFmt w:val="lowerRoman"/>
      <w:lvlText w:val="%3."/>
      <w:lvlJc w:val="left"/>
      <w:pPr>
        <w:tabs>
          <w:tab w:val="num" w:pos="2111"/>
        </w:tabs>
        <w:ind w:left="2111" w:hanging="247"/>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3">
      <w:start w:val="1"/>
      <w:numFmt w:val="decimal"/>
      <w:lvlText w:val="%4)"/>
      <w:lvlJc w:val="left"/>
      <w:pPr>
        <w:tabs>
          <w:tab w:val="num" w:pos="2820"/>
        </w:tabs>
        <w:ind w:left="2820" w:hanging="300"/>
      </w:pPr>
      <w:rPr>
        <w:caps w:val="0"/>
        <w:smallCaps w:val="0"/>
        <w:strike w:val="0"/>
        <w:dstrike w:val="0"/>
        <w:color w:val="000000"/>
        <w:spacing w:val="0"/>
        <w:kern w:val="0"/>
        <w:position w:val="0"/>
        <w:sz w:val="20"/>
        <w:szCs w:val="20"/>
        <w:u w:val="none" w:color="000000"/>
        <w:vertAlign w:val="baseline"/>
        <w:lang w:val="ru-RU"/>
      </w:rPr>
    </w:lvl>
    <w:lvl w:ilvl="4">
      <w:start w:val="1"/>
      <w:numFmt w:val="lowerLetter"/>
      <w:lvlText w:val="%5."/>
      <w:lvlJc w:val="left"/>
      <w:pPr>
        <w:tabs>
          <w:tab w:val="num" w:pos="3540"/>
        </w:tabs>
        <w:ind w:left="3540" w:hanging="300"/>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5">
      <w:start w:val="1"/>
      <w:numFmt w:val="lowerRoman"/>
      <w:lvlText w:val="%6."/>
      <w:lvlJc w:val="left"/>
      <w:pPr>
        <w:tabs>
          <w:tab w:val="num" w:pos="4271"/>
        </w:tabs>
        <w:ind w:left="4271" w:hanging="247"/>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6">
      <w:start w:val="1"/>
      <w:numFmt w:val="decimal"/>
      <w:lvlText w:val="%7."/>
      <w:lvlJc w:val="left"/>
      <w:pPr>
        <w:tabs>
          <w:tab w:val="num" w:pos="4980"/>
        </w:tabs>
        <w:ind w:left="4980" w:hanging="300"/>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7">
      <w:start w:val="1"/>
      <w:numFmt w:val="lowerLetter"/>
      <w:lvlText w:val="%8."/>
      <w:lvlJc w:val="left"/>
      <w:pPr>
        <w:tabs>
          <w:tab w:val="num" w:pos="5700"/>
        </w:tabs>
        <w:ind w:left="5700" w:hanging="300"/>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8">
      <w:start w:val="1"/>
      <w:numFmt w:val="lowerRoman"/>
      <w:lvlText w:val="%9."/>
      <w:lvlJc w:val="left"/>
      <w:pPr>
        <w:tabs>
          <w:tab w:val="num" w:pos="6431"/>
        </w:tabs>
        <w:ind w:left="6431" w:hanging="247"/>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abstractNum>
  <w:abstractNum w:abstractNumId="73" w15:restartNumberingAfterBreak="0">
    <w:nsid w:val="19AA33E3"/>
    <w:multiLevelType w:val="hybridMultilevel"/>
    <w:tmpl w:val="80387228"/>
    <w:lvl w:ilvl="0" w:tplc="D6D41A80">
      <w:start w:val="1"/>
      <w:numFmt w:val="bullet"/>
      <w:lvlText w:val=""/>
      <w:lvlJc w:val="left"/>
      <w:pPr>
        <w:tabs>
          <w:tab w:val="num" w:pos="360"/>
        </w:tabs>
        <w:ind w:left="360" w:hanging="360"/>
      </w:pPr>
      <w:rPr>
        <w:rFonts w:ascii="Symbol" w:eastAsia="Helvetica" w:hAnsi="Symbol" w:hint="default"/>
        <w:b w:val="0"/>
        <w:i w:val="0"/>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74" w15:restartNumberingAfterBreak="0">
    <w:nsid w:val="19F87894"/>
    <w:multiLevelType w:val="hybridMultilevel"/>
    <w:tmpl w:val="FA1251AC"/>
    <w:lvl w:ilvl="0" w:tplc="04190011">
      <w:start w:val="1"/>
      <w:numFmt w:val="decimal"/>
      <w:lvlText w:val="%1)"/>
      <w:lvlJc w:val="left"/>
      <w:pPr>
        <w:ind w:left="1320" w:hanging="360"/>
      </w:pPr>
    </w:lvl>
    <w:lvl w:ilvl="1" w:tplc="04190003">
      <w:start w:val="1"/>
      <w:numFmt w:val="bullet"/>
      <w:lvlText w:val="o"/>
      <w:lvlJc w:val="left"/>
      <w:pPr>
        <w:ind w:left="2040" w:hanging="360"/>
      </w:pPr>
      <w:rPr>
        <w:rFonts w:ascii="Courier New" w:hAnsi="Courier New" w:cs="Times New Roman" w:hint="default"/>
      </w:rPr>
    </w:lvl>
    <w:lvl w:ilvl="2" w:tplc="04190005">
      <w:start w:val="1"/>
      <w:numFmt w:val="bullet"/>
      <w:lvlText w:val=""/>
      <w:lvlJc w:val="left"/>
      <w:pPr>
        <w:ind w:left="2760" w:hanging="360"/>
      </w:pPr>
      <w:rPr>
        <w:rFonts w:ascii="Wingdings" w:hAnsi="Wingdings" w:hint="default"/>
      </w:rPr>
    </w:lvl>
    <w:lvl w:ilvl="3" w:tplc="04190001">
      <w:start w:val="1"/>
      <w:numFmt w:val="bullet"/>
      <w:lvlText w:val=""/>
      <w:lvlJc w:val="left"/>
      <w:pPr>
        <w:ind w:left="3480" w:hanging="360"/>
      </w:pPr>
      <w:rPr>
        <w:rFonts w:ascii="Symbol" w:hAnsi="Symbol" w:hint="default"/>
      </w:rPr>
    </w:lvl>
    <w:lvl w:ilvl="4" w:tplc="04190003">
      <w:start w:val="1"/>
      <w:numFmt w:val="bullet"/>
      <w:lvlText w:val="o"/>
      <w:lvlJc w:val="left"/>
      <w:pPr>
        <w:ind w:left="4200" w:hanging="360"/>
      </w:pPr>
      <w:rPr>
        <w:rFonts w:ascii="Courier New" w:hAnsi="Courier New" w:cs="Times New Roman" w:hint="default"/>
      </w:rPr>
    </w:lvl>
    <w:lvl w:ilvl="5" w:tplc="04190005">
      <w:start w:val="1"/>
      <w:numFmt w:val="bullet"/>
      <w:lvlText w:val=""/>
      <w:lvlJc w:val="left"/>
      <w:pPr>
        <w:ind w:left="4920" w:hanging="360"/>
      </w:pPr>
      <w:rPr>
        <w:rFonts w:ascii="Wingdings" w:hAnsi="Wingdings" w:hint="default"/>
      </w:rPr>
    </w:lvl>
    <w:lvl w:ilvl="6" w:tplc="04190001">
      <w:start w:val="1"/>
      <w:numFmt w:val="bullet"/>
      <w:lvlText w:val=""/>
      <w:lvlJc w:val="left"/>
      <w:pPr>
        <w:ind w:left="5640" w:hanging="360"/>
      </w:pPr>
      <w:rPr>
        <w:rFonts w:ascii="Symbol" w:hAnsi="Symbol" w:hint="default"/>
      </w:rPr>
    </w:lvl>
    <w:lvl w:ilvl="7" w:tplc="04190003">
      <w:start w:val="1"/>
      <w:numFmt w:val="bullet"/>
      <w:lvlText w:val="o"/>
      <w:lvlJc w:val="left"/>
      <w:pPr>
        <w:ind w:left="6360" w:hanging="360"/>
      </w:pPr>
      <w:rPr>
        <w:rFonts w:ascii="Courier New" w:hAnsi="Courier New" w:cs="Times New Roman" w:hint="default"/>
      </w:rPr>
    </w:lvl>
    <w:lvl w:ilvl="8" w:tplc="04190005">
      <w:start w:val="1"/>
      <w:numFmt w:val="bullet"/>
      <w:lvlText w:val=""/>
      <w:lvlJc w:val="left"/>
      <w:pPr>
        <w:ind w:left="7080" w:hanging="360"/>
      </w:pPr>
      <w:rPr>
        <w:rFonts w:ascii="Wingdings" w:hAnsi="Wingdings" w:hint="default"/>
      </w:rPr>
    </w:lvl>
  </w:abstractNum>
  <w:abstractNum w:abstractNumId="75" w15:restartNumberingAfterBreak="0">
    <w:nsid w:val="1ABF4498"/>
    <w:multiLevelType w:val="multilevel"/>
    <w:tmpl w:val="9AE27F12"/>
    <w:styleLink w:val="List17"/>
    <w:lvl w:ilvl="0">
      <w:start w:val="1"/>
      <w:numFmt w:val="decimal"/>
      <w:lvlText w:val="%1."/>
      <w:lvlJc w:val="left"/>
      <w:pPr>
        <w:tabs>
          <w:tab w:val="num" w:pos="317"/>
        </w:tabs>
        <w:ind w:left="317" w:hanging="317"/>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1">
      <w:start w:val="1"/>
      <w:numFmt w:val="lowerLetter"/>
      <w:lvlText w:val="%2."/>
      <w:lvlJc w:val="left"/>
      <w:pPr>
        <w:tabs>
          <w:tab w:val="num" w:pos="1380"/>
        </w:tabs>
        <w:ind w:left="1380" w:hanging="300"/>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2">
      <w:start w:val="1"/>
      <w:numFmt w:val="lowerRoman"/>
      <w:lvlText w:val="%3."/>
      <w:lvlJc w:val="left"/>
      <w:pPr>
        <w:tabs>
          <w:tab w:val="num" w:pos="2111"/>
        </w:tabs>
        <w:ind w:left="2111" w:hanging="247"/>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3">
      <w:start w:val="1"/>
      <w:numFmt w:val="decimal"/>
      <w:lvlText w:val="%4."/>
      <w:lvlJc w:val="left"/>
      <w:pPr>
        <w:tabs>
          <w:tab w:val="num" w:pos="2820"/>
        </w:tabs>
        <w:ind w:left="2820" w:hanging="300"/>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4">
      <w:start w:val="1"/>
      <w:numFmt w:val="lowerLetter"/>
      <w:lvlText w:val="%5."/>
      <w:lvlJc w:val="left"/>
      <w:pPr>
        <w:tabs>
          <w:tab w:val="num" w:pos="3540"/>
        </w:tabs>
        <w:ind w:left="3540" w:hanging="300"/>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5">
      <w:start w:val="1"/>
      <w:numFmt w:val="lowerRoman"/>
      <w:lvlText w:val="%6."/>
      <w:lvlJc w:val="left"/>
      <w:pPr>
        <w:tabs>
          <w:tab w:val="num" w:pos="4271"/>
        </w:tabs>
        <w:ind w:left="4271" w:hanging="247"/>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6">
      <w:start w:val="1"/>
      <w:numFmt w:val="decimal"/>
      <w:lvlText w:val="%7."/>
      <w:lvlJc w:val="left"/>
      <w:pPr>
        <w:tabs>
          <w:tab w:val="num" w:pos="4980"/>
        </w:tabs>
        <w:ind w:left="4980" w:hanging="300"/>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7">
      <w:start w:val="1"/>
      <w:numFmt w:val="lowerLetter"/>
      <w:lvlText w:val="%8."/>
      <w:lvlJc w:val="left"/>
      <w:pPr>
        <w:tabs>
          <w:tab w:val="num" w:pos="5700"/>
        </w:tabs>
        <w:ind w:left="5700" w:hanging="300"/>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8">
      <w:start w:val="1"/>
      <w:numFmt w:val="lowerRoman"/>
      <w:lvlText w:val="%9."/>
      <w:lvlJc w:val="left"/>
      <w:pPr>
        <w:tabs>
          <w:tab w:val="num" w:pos="6431"/>
        </w:tabs>
        <w:ind w:left="6431" w:hanging="247"/>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abstractNum>
  <w:abstractNum w:abstractNumId="76" w15:restartNumberingAfterBreak="0">
    <w:nsid w:val="1B6C2B4D"/>
    <w:multiLevelType w:val="hybridMultilevel"/>
    <w:tmpl w:val="F634E078"/>
    <w:lvl w:ilvl="0" w:tplc="EE8055BA">
      <w:start w:val="1"/>
      <w:numFmt w:val="decimal"/>
      <w:lvlText w:val="%1)"/>
      <w:lvlJc w:val="left"/>
      <w:pPr>
        <w:ind w:left="1321" w:hanging="360"/>
      </w:pPr>
      <w:rPr>
        <w:rFonts w:ascii="Garamond" w:eastAsiaTheme="minorEastAsia" w:hAnsi="Garamond" w:cstheme="minorBidi" w:hint="default"/>
        <w:b w:val="0"/>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77" w15:restartNumberingAfterBreak="0">
    <w:nsid w:val="1BE9780A"/>
    <w:multiLevelType w:val="hybridMultilevel"/>
    <w:tmpl w:val="EC6A39DC"/>
    <w:lvl w:ilvl="0" w:tplc="8500BECC">
      <w:start w:val="1"/>
      <w:numFmt w:val="bullet"/>
      <w:pStyle w:val="a0"/>
      <w:lvlText w:val=""/>
      <w:lvlJc w:val="left"/>
      <w:pPr>
        <w:tabs>
          <w:tab w:val="num" w:pos="720"/>
        </w:tabs>
        <w:ind w:left="720" w:hanging="360"/>
      </w:pPr>
      <w:rPr>
        <w:rFonts w:ascii="Wingdings" w:hAnsi="Wingdings" w:hint="default"/>
      </w:rPr>
    </w:lvl>
    <w:lvl w:ilvl="1" w:tplc="04190019" w:tentative="1">
      <w:start w:val="1"/>
      <w:numFmt w:val="bullet"/>
      <w:lvlText w:val="o"/>
      <w:lvlJc w:val="left"/>
      <w:pPr>
        <w:tabs>
          <w:tab w:val="num" w:pos="1440"/>
        </w:tabs>
        <w:ind w:left="1440" w:hanging="360"/>
      </w:pPr>
      <w:rPr>
        <w:rFonts w:ascii="Courier New" w:hAnsi="Courier New"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78" w15:restartNumberingAfterBreak="0">
    <w:nsid w:val="1C702C08"/>
    <w:multiLevelType w:val="hybridMultilevel"/>
    <w:tmpl w:val="F30486E4"/>
    <w:lvl w:ilvl="0" w:tplc="FFFFFFFF">
      <w:start w:val="1"/>
      <w:numFmt w:val="bullet"/>
      <w:lvlText w:val="­"/>
      <w:lvlJc w:val="left"/>
      <w:pPr>
        <w:ind w:left="2401" w:hanging="360"/>
      </w:pPr>
      <w:rPr>
        <w:rFonts w:ascii="Courier New" w:hAnsi="Courier New" w:hint="default"/>
        <w:color w:val="auto"/>
      </w:rPr>
    </w:lvl>
    <w:lvl w:ilvl="1" w:tplc="04190003" w:tentative="1">
      <w:start w:val="1"/>
      <w:numFmt w:val="bullet"/>
      <w:lvlText w:val="o"/>
      <w:lvlJc w:val="left"/>
      <w:pPr>
        <w:ind w:left="3121" w:hanging="360"/>
      </w:pPr>
      <w:rPr>
        <w:rFonts w:ascii="Courier New" w:hAnsi="Courier New" w:cs="Courier New" w:hint="default"/>
      </w:rPr>
    </w:lvl>
    <w:lvl w:ilvl="2" w:tplc="04190005" w:tentative="1">
      <w:start w:val="1"/>
      <w:numFmt w:val="bullet"/>
      <w:lvlText w:val=""/>
      <w:lvlJc w:val="left"/>
      <w:pPr>
        <w:ind w:left="3841" w:hanging="360"/>
      </w:pPr>
      <w:rPr>
        <w:rFonts w:ascii="Wingdings" w:hAnsi="Wingdings" w:hint="default"/>
      </w:rPr>
    </w:lvl>
    <w:lvl w:ilvl="3" w:tplc="04190001" w:tentative="1">
      <w:start w:val="1"/>
      <w:numFmt w:val="bullet"/>
      <w:lvlText w:val=""/>
      <w:lvlJc w:val="left"/>
      <w:pPr>
        <w:ind w:left="4561" w:hanging="360"/>
      </w:pPr>
      <w:rPr>
        <w:rFonts w:ascii="Symbol" w:hAnsi="Symbol" w:hint="default"/>
      </w:rPr>
    </w:lvl>
    <w:lvl w:ilvl="4" w:tplc="04190003" w:tentative="1">
      <w:start w:val="1"/>
      <w:numFmt w:val="bullet"/>
      <w:lvlText w:val="o"/>
      <w:lvlJc w:val="left"/>
      <w:pPr>
        <w:ind w:left="5281" w:hanging="360"/>
      </w:pPr>
      <w:rPr>
        <w:rFonts w:ascii="Courier New" w:hAnsi="Courier New" w:cs="Courier New" w:hint="default"/>
      </w:rPr>
    </w:lvl>
    <w:lvl w:ilvl="5" w:tplc="04190005" w:tentative="1">
      <w:start w:val="1"/>
      <w:numFmt w:val="bullet"/>
      <w:lvlText w:val=""/>
      <w:lvlJc w:val="left"/>
      <w:pPr>
        <w:ind w:left="6001" w:hanging="360"/>
      </w:pPr>
      <w:rPr>
        <w:rFonts w:ascii="Wingdings" w:hAnsi="Wingdings" w:hint="default"/>
      </w:rPr>
    </w:lvl>
    <w:lvl w:ilvl="6" w:tplc="04190001" w:tentative="1">
      <w:start w:val="1"/>
      <w:numFmt w:val="bullet"/>
      <w:lvlText w:val=""/>
      <w:lvlJc w:val="left"/>
      <w:pPr>
        <w:ind w:left="6721" w:hanging="360"/>
      </w:pPr>
      <w:rPr>
        <w:rFonts w:ascii="Symbol" w:hAnsi="Symbol" w:hint="default"/>
      </w:rPr>
    </w:lvl>
    <w:lvl w:ilvl="7" w:tplc="04190003" w:tentative="1">
      <w:start w:val="1"/>
      <w:numFmt w:val="bullet"/>
      <w:lvlText w:val="o"/>
      <w:lvlJc w:val="left"/>
      <w:pPr>
        <w:ind w:left="7441" w:hanging="360"/>
      </w:pPr>
      <w:rPr>
        <w:rFonts w:ascii="Courier New" w:hAnsi="Courier New" w:cs="Courier New" w:hint="default"/>
      </w:rPr>
    </w:lvl>
    <w:lvl w:ilvl="8" w:tplc="04190005" w:tentative="1">
      <w:start w:val="1"/>
      <w:numFmt w:val="bullet"/>
      <w:lvlText w:val=""/>
      <w:lvlJc w:val="left"/>
      <w:pPr>
        <w:ind w:left="8161" w:hanging="360"/>
      </w:pPr>
      <w:rPr>
        <w:rFonts w:ascii="Wingdings" w:hAnsi="Wingdings" w:hint="default"/>
      </w:rPr>
    </w:lvl>
  </w:abstractNum>
  <w:abstractNum w:abstractNumId="79" w15:restartNumberingAfterBreak="0">
    <w:nsid w:val="1D9C3340"/>
    <w:multiLevelType w:val="hybridMultilevel"/>
    <w:tmpl w:val="A1E201E6"/>
    <w:lvl w:ilvl="0" w:tplc="D6D41A80">
      <w:start w:val="1"/>
      <w:numFmt w:val="bullet"/>
      <w:lvlText w:val=""/>
      <w:lvlJc w:val="left"/>
      <w:pPr>
        <w:tabs>
          <w:tab w:val="num" w:pos="1320"/>
        </w:tabs>
        <w:ind w:left="1320" w:hanging="360"/>
      </w:pPr>
      <w:rPr>
        <w:rFonts w:ascii="Symbol" w:eastAsia="Helvetica" w:hAnsi="Symbol" w:hint="default"/>
      </w:rPr>
    </w:lvl>
    <w:lvl w:ilvl="1" w:tplc="04190003" w:tentative="1">
      <w:start w:val="1"/>
      <w:numFmt w:val="bullet"/>
      <w:lvlText w:val="o"/>
      <w:lvlJc w:val="left"/>
      <w:pPr>
        <w:ind w:left="2040" w:hanging="360"/>
      </w:pPr>
      <w:rPr>
        <w:rFonts w:ascii="Courier New" w:hAnsi="Courier New" w:hint="default"/>
      </w:rPr>
    </w:lvl>
    <w:lvl w:ilvl="2" w:tplc="04190005" w:tentative="1">
      <w:start w:val="1"/>
      <w:numFmt w:val="bullet"/>
      <w:lvlText w:val=""/>
      <w:lvlJc w:val="left"/>
      <w:pPr>
        <w:ind w:left="2760" w:hanging="360"/>
      </w:pPr>
      <w:rPr>
        <w:rFonts w:ascii="Wingdings" w:hAnsi="Wingdings" w:hint="default"/>
      </w:rPr>
    </w:lvl>
    <w:lvl w:ilvl="3" w:tplc="04190001" w:tentative="1">
      <w:start w:val="1"/>
      <w:numFmt w:val="bullet"/>
      <w:lvlText w:val=""/>
      <w:lvlJc w:val="left"/>
      <w:pPr>
        <w:ind w:left="3480" w:hanging="360"/>
      </w:pPr>
      <w:rPr>
        <w:rFonts w:ascii="Symbol" w:hAnsi="Symbol" w:hint="default"/>
      </w:rPr>
    </w:lvl>
    <w:lvl w:ilvl="4" w:tplc="04190003" w:tentative="1">
      <w:start w:val="1"/>
      <w:numFmt w:val="bullet"/>
      <w:lvlText w:val="o"/>
      <w:lvlJc w:val="left"/>
      <w:pPr>
        <w:ind w:left="4200" w:hanging="360"/>
      </w:pPr>
      <w:rPr>
        <w:rFonts w:ascii="Courier New" w:hAnsi="Courier New" w:hint="default"/>
      </w:rPr>
    </w:lvl>
    <w:lvl w:ilvl="5" w:tplc="04190005" w:tentative="1">
      <w:start w:val="1"/>
      <w:numFmt w:val="bullet"/>
      <w:lvlText w:val=""/>
      <w:lvlJc w:val="left"/>
      <w:pPr>
        <w:ind w:left="4920" w:hanging="360"/>
      </w:pPr>
      <w:rPr>
        <w:rFonts w:ascii="Wingdings" w:hAnsi="Wingdings" w:hint="default"/>
      </w:rPr>
    </w:lvl>
    <w:lvl w:ilvl="6" w:tplc="04190001" w:tentative="1">
      <w:start w:val="1"/>
      <w:numFmt w:val="bullet"/>
      <w:lvlText w:val=""/>
      <w:lvlJc w:val="left"/>
      <w:pPr>
        <w:ind w:left="5640" w:hanging="360"/>
      </w:pPr>
      <w:rPr>
        <w:rFonts w:ascii="Symbol" w:hAnsi="Symbol" w:hint="default"/>
      </w:rPr>
    </w:lvl>
    <w:lvl w:ilvl="7" w:tplc="04190003" w:tentative="1">
      <w:start w:val="1"/>
      <w:numFmt w:val="bullet"/>
      <w:lvlText w:val="o"/>
      <w:lvlJc w:val="left"/>
      <w:pPr>
        <w:ind w:left="6360" w:hanging="360"/>
      </w:pPr>
      <w:rPr>
        <w:rFonts w:ascii="Courier New" w:hAnsi="Courier New" w:hint="default"/>
      </w:rPr>
    </w:lvl>
    <w:lvl w:ilvl="8" w:tplc="04190005" w:tentative="1">
      <w:start w:val="1"/>
      <w:numFmt w:val="bullet"/>
      <w:lvlText w:val=""/>
      <w:lvlJc w:val="left"/>
      <w:pPr>
        <w:ind w:left="7080" w:hanging="360"/>
      </w:pPr>
      <w:rPr>
        <w:rFonts w:ascii="Wingdings" w:hAnsi="Wingdings" w:hint="default"/>
      </w:rPr>
    </w:lvl>
  </w:abstractNum>
  <w:abstractNum w:abstractNumId="80" w15:restartNumberingAfterBreak="0">
    <w:nsid w:val="1E1307C1"/>
    <w:multiLevelType w:val="multilevel"/>
    <w:tmpl w:val="5AF49C54"/>
    <w:styleLink w:val="41"/>
    <w:lvl w:ilvl="0">
      <w:start w:val="1"/>
      <w:numFmt w:val="decimal"/>
      <w:lvlText w:val="%1."/>
      <w:lvlJc w:val="left"/>
      <w:pPr>
        <w:tabs>
          <w:tab w:val="num" w:pos="317"/>
        </w:tabs>
        <w:ind w:left="317" w:hanging="317"/>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1">
      <w:start w:val="1"/>
      <w:numFmt w:val="lowerLetter"/>
      <w:lvlText w:val="%2."/>
      <w:lvlJc w:val="left"/>
      <w:pPr>
        <w:tabs>
          <w:tab w:val="num" w:pos="1380"/>
        </w:tabs>
        <w:ind w:left="1380" w:hanging="300"/>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2">
      <w:start w:val="1"/>
      <w:numFmt w:val="lowerRoman"/>
      <w:lvlText w:val="%3."/>
      <w:lvlJc w:val="left"/>
      <w:pPr>
        <w:tabs>
          <w:tab w:val="num" w:pos="2111"/>
        </w:tabs>
        <w:ind w:left="2111" w:hanging="247"/>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3">
      <w:start w:val="1"/>
      <w:numFmt w:val="decimal"/>
      <w:lvlText w:val="%4."/>
      <w:lvlJc w:val="left"/>
      <w:pPr>
        <w:tabs>
          <w:tab w:val="num" w:pos="2820"/>
        </w:tabs>
        <w:ind w:left="2820" w:hanging="300"/>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4">
      <w:start w:val="1"/>
      <w:numFmt w:val="lowerLetter"/>
      <w:lvlText w:val="%5."/>
      <w:lvlJc w:val="left"/>
      <w:pPr>
        <w:tabs>
          <w:tab w:val="num" w:pos="3540"/>
        </w:tabs>
        <w:ind w:left="3540" w:hanging="300"/>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5">
      <w:start w:val="1"/>
      <w:numFmt w:val="lowerRoman"/>
      <w:lvlText w:val="%6."/>
      <w:lvlJc w:val="left"/>
      <w:pPr>
        <w:tabs>
          <w:tab w:val="num" w:pos="4271"/>
        </w:tabs>
        <w:ind w:left="4271" w:hanging="247"/>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6">
      <w:start w:val="1"/>
      <w:numFmt w:val="decimal"/>
      <w:lvlText w:val="%7."/>
      <w:lvlJc w:val="left"/>
      <w:pPr>
        <w:tabs>
          <w:tab w:val="num" w:pos="4980"/>
        </w:tabs>
        <w:ind w:left="4980" w:hanging="300"/>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7">
      <w:start w:val="1"/>
      <w:numFmt w:val="lowerLetter"/>
      <w:lvlText w:val="%8."/>
      <w:lvlJc w:val="left"/>
      <w:pPr>
        <w:tabs>
          <w:tab w:val="num" w:pos="5700"/>
        </w:tabs>
        <w:ind w:left="5700" w:hanging="300"/>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8">
      <w:start w:val="1"/>
      <w:numFmt w:val="lowerRoman"/>
      <w:lvlText w:val="%9."/>
      <w:lvlJc w:val="left"/>
      <w:pPr>
        <w:tabs>
          <w:tab w:val="num" w:pos="6431"/>
        </w:tabs>
        <w:ind w:left="6431" w:hanging="247"/>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abstractNum>
  <w:abstractNum w:abstractNumId="81" w15:restartNumberingAfterBreak="0">
    <w:nsid w:val="1E21011C"/>
    <w:multiLevelType w:val="hybridMultilevel"/>
    <w:tmpl w:val="C39CC47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2" w15:restartNumberingAfterBreak="0">
    <w:nsid w:val="1E530174"/>
    <w:multiLevelType w:val="multilevel"/>
    <w:tmpl w:val="BD1EB91C"/>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1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3" w15:restartNumberingAfterBreak="0">
    <w:nsid w:val="1F511E34"/>
    <w:multiLevelType w:val="hybridMultilevel"/>
    <w:tmpl w:val="17601EBC"/>
    <w:lvl w:ilvl="0" w:tplc="0419000F">
      <w:start w:val="1"/>
      <w:numFmt w:val="decimal"/>
      <w:lvlText w:val="%1."/>
      <w:lvlJc w:val="left"/>
      <w:pPr>
        <w:ind w:left="501"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4" w15:restartNumberingAfterBreak="0">
    <w:nsid w:val="1FAF3613"/>
    <w:multiLevelType w:val="multilevel"/>
    <w:tmpl w:val="57920402"/>
    <w:styleLink w:val="List27"/>
    <w:lvl w:ilvl="0">
      <w:start w:val="1"/>
      <w:numFmt w:val="decimal"/>
      <w:lvlText w:val="%1."/>
      <w:lvlJc w:val="left"/>
      <w:pPr>
        <w:tabs>
          <w:tab w:val="num" w:pos="317"/>
        </w:tabs>
        <w:ind w:left="317" w:hanging="317"/>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1">
      <w:start w:val="1"/>
      <w:numFmt w:val="lowerLetter"/>
      <w:lvlText w:val="%2."/>
      <w:lvlJc w:val="left"/>
      <w:pPr>
        <w:tabs>
          <w:tab w:val="num" w:pos="1380"/>
        </w:tabs>
        <w:ind w:left="1380" w:hanging="300"/>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2">
      <w:start w:val="1"/>
      <w:numFmt w:val="lowerRoman"/>
      <w:lvlText w:val="%3."/>
      <w:lvlJc w:val="left"/>
      <w:pPr>
        <w:tabs>
          <w:tab w:val="num" w:pos="2111"/>
        </w:tabs>
        <w:ind w:left="2111" w:hanging="247"/>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3">
      <w:start w:val="1"/>
      <w:numFmt w:val="decimal"/>
      <w:lvlText w:val="%4."/>
      <w:lvlJc w:val="left"/>
      <w:pPr>
        <w:tabs>
          <w:tab w:val="num" w:pos="2820"/>
        </w:tabs>
        <w:ind w:left="2820" w:hanging="300"/>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4">
      <w:start w:val="1"/>
      <w:numFmt w:val="lowerLetter"/>
      <w:lvlText w:val="%5."/>
      <w:lvlJc w:val="left"/>
      <w:pPr>
        <w:tabs>
          <w:tab w:val="num" w:pos="3540"/>
        </w:tabs>
        <w:ind w:left="3540" w:hanging="300"/>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5">
      <w:start w:val="1"/>
      <w:numFmt w:val="lowerRoman"/>
      <w:lvlText w:val="%6."/>
      <w:lvlJc w:val="left"/>
      <w:pPr>
        <w:tabs>
          <w:tab w:val="num" w:pos="4271"/>
        </w:tabs>
        <w:ind w:left="4271" w:hanging="247"/>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6">
      <w:start w:val="1"/>
      <w:numFmt w:val="decimal"/>
      <w:lvlText w:val="%7."/>
      <w:lvlJc w:val="left"/>
      <w:pPr>
        <w:tabs>
          <w:tab w:val="num" w:pos="4980"/>
        </w:tabs>
        <w:ind w:left="4980" w:hanging="300"/>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7">
      <w:start w:val="1"/>
      <w:numFmt w:val="lowerLetter"/>
      <w:lvlText w:val="%8."/>
      <w:lvlJc w:val="left"/>
      <w:pPr>
        <w:tabs>
          <w:tab w:val="num" w:pos="5700"/>
        </w:tabs>
        <w:ind w:left="5700" w:hanging="300"/>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8">
      <w:start w:val="1"/>
      <w:numFmt w:val="lowerRoman"/>
      <w:lvlText w:val="%9."/>
      <w:lvlJc w:val="left"/>
      <w:pPr>
        <w:tabs>
          <w:tab w:val="num" w:pos="6431"/>
        </w:tabs>
        <w:ind w:left="6431" w:hanging="247"/>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abstractNum>
  <w:abstractNum w:abstractNumId="85" w15:restartNumberingAfterBreak="0">
    <w:nsid w:val="1FB34F63"/>
    <w:multiLevelType w:val="multilevel"/>
    <w:tmpl w:val="8B62C2AE"/>
    <w:styleLink w:val="List29"/>
    <w:lvl w:ilvl="0">
      <w:start w:val="1"/>
      <w:numFmt w:val="decimal"/>
      <w:lvlText w:val="%1."/>
      <w:lvlJc w:val="left"/>
      <w:pPr>
        <w:tabs>
          <w:tab w:val="num" w:pos="317"/>
        </w:tabs>
        <w:ind w:left="317" w:hanging="317"/>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1">
      <w:start w:val="1"/>
      <w:numFmt w:val="lowerLetter"/>
      <w:lvlText w:val="%2."/>
      <w:lvlJc w:val="left"/>
      <w:pPr>
        <w:tabs>
          <w:tab w:val="num" w:pos="1380"/>
        </w:tabs>
        <w:ind w:left="1380" w:hanging="300"/>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2">
      <w:start w:val="1"/>
      <w:numFmt w:val="lowerRoman"/>
      <w:lvlText w:val="%3."/>
      <w:lvlJc w:val="left"/>
      <w:pPr>
        <w:tabs>
          <w:tab w:val="num" w:pos="2111"/>
        </w:tabs>
        <w:ind w:left="2111" w:hanging="247"/>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3">
      <w:start w:val="1"/>
      <w:numFmt w:val="decimal"/>
      <w:lvlText w:val="%4."/>
      <w:lvlJc w:val="left"/>
      <w:pPr>
        <w:tabs>
          <w:tab w:val="num" w:pos="2820"/>
        </w:tabs>
        <w:ind w:left="2820" w:hanging="300"/>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4">
      <w:start w:val="1"/>
      <w:numFmt w:val="lowerLetter"/>
      <w:lvlText w:val="%5."/>
      <w:lvlJc w:val="left"/>
      <w:pPr>
        <w:tabs>
          <w:tab w:val="num" w:pos="3540"/>
        </w:tabs>
        <w:ind w:left="3540" w:hanging="300"/>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5">
      <w:start w:val="1"/>
      <w:numFmt w:val="lowerRoman"/>
      <w:lvlText w:val="%6."/>
      <w:lvlJc w:val="left"/>
      <w:pPr>
        <w:tabs>
          <w:tab w:val="num" w:pos="4271"/>
        </w:tabs>
        <w:ind w:left="4271" w:hanging="247"/>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6">
      <w:start w:val="1"/>
      <w:numFmt w:val="decimal"/>
      <w:lvlText w:val="%7."/>
      <w:lvlJc w:val="left"/>
      <w:pPr>
        <w:tabs>
          <w:tab w:val="num" w:pos="4980"/>
        </w:tabs>
        <w:ind w:left="4980" w:hanging="300"/>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7">
      <w:start w:val="1"/>
      <w:numFmt w:val="lowerLetter"/>
      <w:lvlText w:val="%8."/>
      <w:lvlJc w:val="left"/>
      <w:pPr>
        <w:tabs>
          <w:tab w:val="num" w:pos="5700"/>
        </w:tabs>
        <w:ind w:left="5700" w:hanging="300"/>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8">
      <w:start w:val="1"/>
      <w:numFmt w:val="lowerRoman"/>
      <w:lvlText w:val="%9."/>
      <w:lvlJc w:val="left"/>
      <w:pPr>
        <w:tabs>
          <w:tab w:val="num" w:pos="6431"/>
        </w:tabs>
        <w:ind w:left="6431" w:hanging="247"/>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abstractNum>
  <w:abstractNum w:abstractNumId="86" w15:restartNumberingAfterBreak="0">
    <w:nsid w:val="1FDF556D"/>
    <w:multiLevelType w:val="multilevel"/>
    <w:tmpl w:val="2A767BD0"/>
    <w:lvl w:ilvl="0">
      <w:start w:val="2"/>
      <w:numFmt w:val="decimal"/>
      <w:lvlText w:val="%1"/>
      <w:lvlJc w:val="left"/>
      <w:pPr>
        <w:ind w:left="384" w:hanging="384"/>
      </w:pPr>
      <w:rPr>
        <w:rFonts w:hint="default"/>
      </w:rPr>
    </w:lvl>
    <w:lvl w:ilvl="1">
      <w:start w:val="3"/>
      <w:numFmt w:val="decimal"/>
      <w:lvlText w:val="%1.%2"/>
      <w:lvlJc w:val="left"/>
      <w:pPr>
        <w:ind w:left="880" w:hanging="384"/>
      </w:pPr>
      <w:rPr>
        <w:rFonts w:hint="default"/>
      </w:rPr>
    </w:lvl>
    <w:lvl w:ilvl="2">
      <w:start w:val="1"/>
      <w:numFmt w:val="decimal"/>
      <w:lvlText w:val="2.2.%3."/>
      <w:lvlJc w:val="left"/>
      <w:pPr>
        <w:ind w:left="1712" w:hanging="720"/>
      </w:pPr>
      <w:rPr>
        <w:rFonts w:hint="default"/>
      </w:rPr>
    </w:lvl>
    <w:lvl w:ilvl="3">
      <w:start w:val="1"/>
      <w:numFmt w:val="decimal"/>
      <w:lvlText w:val="%1.%2.%3.%4"/>
      <w:lvlJc w:val="left"/>
      <w:pPr>
        <w:ind w:left="2568" w:hanging="108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920" w:hanging="144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5272" w:hanging="1800"/>
      </w:pPr>
      <w:rPr>
        <w:rFonts w:hint="default"/>
      </w:rPr>
    </w:lvl>
    <w:lvl w:ilvl="8">
      <w:start w:val="1"/>
      <w:numFmt w:val="decimal"/>
      <w:lvlText w:val="%1.%2.%3.%4.%5.%6.%7.%8.%9"/>
      <w:lvlJc w:val="left"/>
      <w:pPr>
        <w:ind w:left="5768" w:hanging="1800"/>
      </w:pPr>
      <w:rPr>
        <w:rFonts w:hint="default"/>
      </w:rPr>
    </w:lvl>
  </w:abstractNum>
  <w:abstractNum w:abstractNumId="87" w15:restartNumberingAfterBreak="0">
    <w:nsid w:val="206631E5"/>
    <w:multiLevelType w:val="multilevel"/>
    <w:tmpl w:val="628E4374"/>
    <w:lvl w:ilvl="0">
      <w:start w:val="1"/>
      <w:numFmt w:val="decimal"/>
      <w:lvlText w:val="%1."/>
      <w:lvlJc w:val="left"/>
      <w:pPr>
        <w:tabs>
          <w:tab w:val="num" w:pos="317"/>
        </w:tabs>
        <w:ind w:left="317" w:hanging="317"/>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1">
      <w:start w:val="1"/>
      <w:numFmt w:val="lowerLetter"/>
      <w:lvlText w:val="%2."/>
      <w:lvlJc w:val="left"/>
      <w:pPr>
        <w:tabs>
          <w:tab w:val="num" w:pos="1380"/>
        </w:tabs>
        <w:ind w:left="1380" w:hanging="300"/>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2">
      <w:start w:val="1"/>
      <w:numFmt w:val="lowerRoman"/>
      <w:lvlText w:val="%3."/>
      <w:lvlJc w:val="left"/>
      <w:pPr>
        <w:tabs>
          <w:tab w:val="num" w:pos="2111"/>
        </w:tabs>
        <w:ind w:left="2111" w:hanging="247"/>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3">
      <w:start w:val="1"/>
      <w:numFmt w:val="decimal"/>
      <w:lvlText w:val="%4)"/>
      <w:lvlJc w:val="left"/>
      <w:pPr>
        <w:tabs>
          <w:tab w:val="num" w:pos="2820"/>
        </w:tabs>
        <w:ind w:left="2820" w:hanging="300"/>
      </w:pPr>
      <w:rPr>
        <w:caps w:val="0"/>
        <w:smallCaps w:val="0"/>
        <w:strike w:val="0"/>
        <w:dstrike w:val="0"/>
        <w:color w:val="000000"/>
        <w:spacing w:val="0"/>
        <w:kern w:val="0"/>
        <w:position w:val="0"/>
        <w:sz w:val="20"/>
        <w:szCs w:val="20"/>
        <w:u w:val="none" w:color="000000"/>
        <w:vertAlign w:val="baseline"/>
        <w:lang w:val="ru-RU"/>
      </w:rPr>
    </w:lvl>
    <w:lvl w:ilvl="4">
      <w:start w:val="1"/>
      <w:numFmt w:val="lowerLetter"/>
      <w:lvlText w:val="%5."/>
      <w:lvlJc w:val="left"/>
      <w:pPr>
        <w:tabs>
          <w:tab w:val="num" w:pos="3540"/>
        </w:tabs>
        <w:ind w:left="3540" w:hanging="300"/>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5">
      <w:start w:val="1"/>
      <w:numFmt w:val="lowerRoman"/>
      <w:lvlText w:val="%6."/>
      <w:lvlJc w:val="left"/>
      <w:pPr>
        <w:tabs>
          <w:tab w:val="num" w:pos="4271"/>
        </w:tabs>
        <w:ind w:left="4271" w:hanging="247"/>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6">
      <w:start w:val="1"/>
      <w:numFmt w:val="decimal"/>
      <w:lvlText w:val="%7."/>
      <w:lvlJc w:val="left"/>
      <w:pPr>
        <w:tabs>
          <w:tab w:val="num" w:pos="4980"/>
        </w:tabs>
        <w:ind w:left="4980" w:hanging="300"/>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7">
      <w:start w:val="1"/>
      <w:numFmt w:val="lowerLetter"/>
      <w:lvlText w:val="%8."/>
      <w:lvlJc w:val="left"/>
      <w:pPr>
        <w:tabs>
          <w:tab w:val="num" w:pos="5700"/>
        </w:tabs>
        <w:ind w:left="5700" w:hanging="300"/>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8">
      <w:start w:val="1"/>
      <w:numFmt w:val="lowerRoman"/>
      <w:lvlText w:val="%9."/>
      <w:lvlJc w:val="left"/>
      <w:pPr>
        <w:tabs>
          <w:tab w:val="num" w:pos="6431"/>
        </w:tabs>
        <w:ind w:left="6431" w:hanging="247"/>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abstractNum>
  <w:abstractNum w:abstractNumId="88" w15:restartNumberingAfterBreak="0">
    <w:nsid w:val="209E1719"/>
    <w:multiLevelType w:val="multilevel"/>
    <w:tmpl w:val="8570A30E"/>
    <w:styleLink w:val="List32"/>
    <w:lvl w:ilvl="0">
      <w:start w:val="1"/>
      <w:numFmt w:val="decimal"/>
      <w:lvlText w:val="%1."/>
      <w:lvlJc w:val="left"/>
      <w:pPr>
        <w:tabs>
          <w:tab w:val="num" w:pos="317"/>
        </w:tabs>
        <w:ind w:left="317" w:hanging="317"/>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1">
      <w:start w:val="1"/>
      <w:numFmt w:val="lowerLetter"/>
      <w:lvlText w:val="%2."/>
      <w:lvlJc w:val="left"/>
      <w:pPr>
        <w:tabs>
          <w:tab w:val="num" w:pos="1380"/>
        </w:tabs>
        <w:ind w:left="1380" w:hanging="300"/>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2">
      <w:start w:val="1"/>
      <w:numFmt w:val="lowerRoman"/>
      <w:lvlText w:val="%3."/>
      <w:lvlJc w:val="left"/>
      <w:pPr>
        <w:tabs>
          <w:tab w:val="num" w:pos="2111"/>
        </w:tabs>
        <w:ind w:left="2111" w:hanging="247"/>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3">
      <w:start w:val="1"/>
      <w:numFmt w:val="decimal"/>
      <w:lvlText w:val="%4."/>
      <w:lvlJc w:val="left"/>
      <w:pPr>
        <w:tabs>
          <w:tab w:val="num" w:pos="2820"/>
        </w:tabs>
        <w:ind w:left="2820" w:hanging="300"/>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4">
      <w:start w:val="1"/>
      <w:numFmt w:val="lowerLetter"/>
      <w:lvlText w:val="%5."/>
      <w:lvlJc w:val="left"/>
      <w:pPr>
        <w:tabs>
          <w:tab w:val="num" w:pos="3540"/>
        </w:tabs>
        <w:ind w:left="3540" w:hanging="300"/>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5">
      <w:start w:val="1"/>
      <w:numFmt w:val="lowerRoman"/>
      <w:lvlText w:val="%6."/>
      <w:lvlJc w:val="left"/>
      <w:pPr>
        <w:tabs>
          <w:tab w:val="num" w:pos="4271"/>
        </w:tabs>
        <w:ind w:left="4271" w:hanging="247"/>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6">
      <w:start w:val="1"/>
      <w:numFmt w:val="decimal"/>
      <w:lvlText w:val="%7."/>
      <w:lvlJc w:val="left"/>
      <w:pPr>
        <w:tabs>
          <w:tab w:val="num" w:pos="4980"/>
        </w:tabs>
        <w:ind w:left="4980" w:hanging="300"/>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7">
      <w:start w:val="1"/>
      <w:numFmt w:val="lowerLetter"/>
      <w:lvlText w:val="%8."/>
      <w:lvlJc w:val="left"/>
      <w:pPr>
        <w:tabs>
          <w:tab w:val="num" w:pos="5700"/>
        </w:tabs>
        <w:ind w:left="5700" w:hanging="300"/>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8">
      <w:start w:val="1"/>
      <w:numFmt w:val="lowerRoman"/>
      <w:lvlText w:val="%9."/>
      <w:lvlJc w:val="left"/>
      <w:pPr>
        <w:tabs>
          <w:tab w:val="num" w:pos="6431"/>
        </w:tabs>
        <w:ind w:left="6431" w:hanging="247"/>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abstractNum>
  <w:abstractNum w:abstractNumId="89" w15:restartNumberingAfterBreak="0">
    <w:nsid w:val="211E3C2C"/>
    <w:multiLevelType w:val="hybridMultilevel"/>
    <w:tmpl w:val="541877D4"/>
    <w:lvl w:ilvl="0" w:tplc="45A8A2D6">
      <w:start w:val="1"/>
      <w:numFmt w:val="decimal"/>
      <w:lvlText w:val="%1)"/>
      <w:lvlJc w:val="left"/>
      <w:pPr>
        <w:ind w:left="1320" w:hanging="360"/>
      </w:pPr>
      <w:rPr>
        <w:rFonts w:hint="default"/>
      </w:rPr>
    </w:lvl>
    <w:lvl w:ilvl="1" w:tplc="04190019" w:tentative="1">
      <w:start w:val="1"/>
      <w:numFmt w:val="lowerLetter"/>
      <w:lvlText w:val="%2."/>
      <w:lvlJc w:val="left"/>
      <w:pPr>
        <w:ind w:left="2040" w:hanging="360"/>
      </w:pPr>
    </w:lvl>
    <w:lvl w:ilvl="2" w:tplc="0419001B" w:tentative="1">
      <w:start w:val="1"/>
      <w:numFmt w:val="lowerRoman"/>
      <w:lvlText w:val="%3."/>
      <w:lvlJc w:val="right"/>
      <w:pPr>
        <w:ind w:left="2760" w:hanging="180"/>
      </w:pPr>
    </w:lvl>
    <w:lvl w:ilvl="3" w:tplc="0419000F" w:tentative="1">
      <w:start w:val="1"/>
      <w:numFmt w:val="decimal"/>
      <w:lvlText w:val="%4."/>
      <w:lvlJc w:val="left"/>
      <w:pPr>
        <w:ind w:left="3480" w:hanging="360"/>
      </w:pPr>
    </w:lvl>
    <w:lvl w:ilvl="4" w:tplc="04190019" w:tentative="1">
      <w:start w:val="1"/>
      <w:numFmt w:val="lowerLetter"/>
      <w:lvlText w:val="%5."/>
      <w:lvlJc w:val="left"/>
      <w:pPr>
        <w:ind w:left="4200" w:hanging="360"/>
      </w:pPr>
    </w:lvl>
    <w:lvl w:ilvl="5" w:tplc="0419001B" w:tentative="1">
      <w:start w:val="1"/>
      <w:numFmt w:val="lowerRoman"/>
      <w:lvlText w:val="%6."/>
      <w:lvlJc w:val="right"/>
      <w:pPr>
        <w:ind w:left="4920" w:hanging="180"/>
      </w:pPr>
    </w:lvl>
    <w:lvl w:ilvl="6" w:tplc="0419000F" w:tentative="1">
      <w:start w:val="1"/>
      <w:numFmt w:val="decimal"/>
      <w:lvlText w:val="%7."/>
      <w:lvlJc w:val="left"/>
      <w:pPr>
        <w:ind w:left="5640" w:hanging="360"/>
      </w:pPr>
    </w:lvl>
    <w:lvl w:ilvl="7" w:tplc="04190019" w:tentative="1">
      <w:start w:val="1"/>
      <w:numFmt w:val="lowerLetter"/>
      <w:lvlText w:val="%8."/>
      <w:lvlJc w:val="left"/>
      <w:pPr>
        <w:ind w:left="6360" w:hanging="360"/>
      </w:pPr>
    </w:lvl>
    <w:lvl w:ilvl="8" w:tplc="0419001B" w:tentative="1">
      <w:start w:val="1"/>
      <w:numFmt w:val="lowerRoman"/>
      <w:lvlText w:val="%9."/>
      <w:lvlJc w:val="right"/>
      <w:pPr>
        <w:ind w:left="7080" w:hanging="180"/>
      </w:pPr>
    </w:lvl>
  </w:abstractNum>
  <w:abstractNum w:abstractNumId="90" w15:restartNumberingAfterBreak="0">
    <w:nsid w:val="21502700"/>
    <w:multiLevelType w:val="multilevel"/>
    <w:tmpl w:val="7A28F5E8"/>
    <w:lvl w:ilvl="0">
      <w:start w:val="2"/>
      <w:numFmt w:val="decimal"/>
      <w:lvlText w:val="%1."/>
      <w:lvlJc w:val="left"/>
      <w:pPr>
        <w:ind w:left="360" w:hanging="360"/>
      </w:pPr>
      <w:rPr>
        <w:rFonts w:ascii="Garamond" w:hAnsi="Garamond" w:hint="default"/>
        <w:sz w:val="22"/>
        <w:szCs w:val="22"/>
      </w:rPr>
    </w:lvl>
    <w:lvl w:ilvl="1">
      <w:start w:val="1"/>
      <w:numFmt w:val="decimal"/>
      <w:lvlText w:val="%1.%2."/>
      <w:lvlJc w:val="left"/>
      <w:pPr>
        <w:ind w:left="792" w:hanging="432"/>
      </w:pPr>
      <w:rPr>
        <w:rFonts w:ascii="Garamond" w:hAnsi="Garamond"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1" w15:restartNumberingAfterBreak="0">
    <w:nsid w:val="21712590"/>
    <w:multiLevelType w:val="hybridMultilevel"/>
    <w:tmpl w:val="E7FE7B1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2" w15:restartNumberingAfterBreak="0">
    <w:nsid w:val="21E46082"/>
    <w:multiLevelType w:val="multilevel"/>
    <w:tmpl w:val="6CC2AF1A"/>
    <w:styleLink w:val="List59"/>
    <w:lvl w:ilvl="0">
      <w:start w:val="1"/>
      <w:numFmt w:val="decimal"/>
      <w:lvlText w:val="%1."/>
      <w:lvlJc w:val="left"/>
      <w:pPr>
        <w:tabs>
          <w:tab w:val="num" w:pos="317"/>
        </w:tabs>
        <w:ind w:left="317" w:hanging="317"/>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1">
      <w:start w:val="1"/>
      <w:numFmt w:val="lowerLetter"/>
      <w:lvlText w:val="%2."/>
      <w:lvlJc w:val="left"/>
      <w:pPr>
        <w:tabs>
          <w:tab w:val="num" w:pos="1380"/>
        </w:tabs>
        <w:ind w:left="1380" w:hanging="300"/>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2">
      <w:start w:val="1"/>
      <w:numFmt w:val="lowerRoman"/>
      <w:lvlText w:val="%3."/>
      <w:lvlJc w:val="left"/>
      <w:pPr>
        <w:tabs>
          <w:tab w:val="num" w:pos="2111"/>
        </w:tabs>
        <w:ind w:left="2111" w:hanging="247"/>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3">
      <w:start w:val="1"/>
      <w:numFmt w:val="decimal"/>
      <w:lvlText w:val="%4."/>
      <w:lvlJc w:val="left"/>
      <w:pPr>
        <w:tabs>
          <w:tab w:val="num" w:pos="2820"/>
        </w:tabs>
        <w:ind w:left="2820" w:hanging="300"/>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4">
      <w:start w:val="1"/>
      <w:numFmt w:val="lowerLetter"/>
      <w:lvlText w:val="%5."/>
      <w:lvlJc w:val="left"/>
      <w:pPr>
        <w:tabs>
          <w:tab w:val="num" w:pos="3540"/>
        </w:tabs>
        <w:ind w:left="3540" w:hanging="300"/>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5">
      <w:start w:val="1"/>
      <w:numFmt w:val="lowerRoman"/>
      <w:lvlText w:val="%6."/>
      <w:lvlJc w:val="left"/>
      <w:pPr>
        <w:tabs>
          <w:tab w:val="num" w:pos="4271"/>
        </w:tabs>
        <w:ind w:left="4271" w:hanging="247"/>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6">
      <w:start w:val="1"/>
      <w:numFmt w:val="decimal"/>
      <w:lvlText w:val="%7."/>
      <w:lvlJc w:val="left"/>
      <w:pPr>
        <w:tabs>
          <w:tab w:val="num" w:pos="4980"/>
        </w:tabs>
        <w:ind w:left="4980" w:hanging="300"/>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7">
      <w:start w:val="1"/>
      <w:numFmt w:val="lowerLetter"/>
      <w:lvlText w:val="%8."/>
      <w:lvlJc w:val="left"/>
      <w:pPr>
        <w:tabs>
          <w:tab w:val="num" w:pos="5700"/>
        </w:tabs>
        <w:ind w:left="5700" w:hanging="300"/>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8">
      <w:start w:val="1"/>
      <w:numFmt w:val="lowerRoman"/>
      <w:lvlText w:val="%9."/>
      <w:lvlJc w:val="left"/>
      <w:pPr>
        <w:tabs>
          <w:tab w:val="num" w:pos="6431"/>
        </w:tabs>
        <w:ind w:left="6431" w:hanging="247"/>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abstractNum>
  <w:abstractNum w:abstractNumId="93" w15:restartNumberingAfterBreak="0">
    <w:nsid w:val="22C7766B"/>
    <w:multiLevelType w:val="multilevel"/>
    <w:tmpl w:val="B1A82D52"/>
    <w:styleLink w:val="List39"/>
    <w:lvl w:ilvl="0">
      <w:start w:val="1"/>
      <w:numFmt w:val="decimal"/>
      <w:lvlText w:val="%1."/>
      <w:lvlJc w:val="left"/>
      <w:pPr>
        <w:tabs>
          <w:tab w:val="num" w:pos="255"/>
        </w:tabs>
        <w:ind w:left="255" w:hanging="255"/>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1">
      <w:start w:val="1"/>
      <w:numFmt w:val="lowerLetter"/>
      <w:lvlText w:val="%2."/>
      <w:lvlJc w:val="left"/>
      <w:pPr>
        <w:tabs>
          <w:tab w:val="num" w:pos="1082"/>
        </w:tabs>
        <w:ind w:left="1082" w:hanging="300"/>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2">
      <w:start w:val="1"/>
      <w:numFmt w:val="lowerRoman"/>
      <w:lvlText w:val="%3."/>
      <w:lvlJc w:val="left"/>
      <w:pPr>
        <w:tabs>
          <w:tab w:val="num" w:pos="1813"/>
        </w:tabs>
        <w:ind w:left="1813" w:hanging="247"/>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3">
      <w:start w:val="1"/>
      <w:numFmt w:val="decimal"/>
      <w:lvlText w:val="%4."/>
      <w:lvlJc w:val="left"/>
      <w:pPr>
        <w:tabs>
          <w:tab w:val="num" w:pos="2522"/>
        </w:tabs>
        <w:ind w:left="2522" w:hanging="300"/>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4">
      <w:start w:val="1"/>
      <w:numFmt w:val="lowerLetter"/>
      <w:lvlText w:val="%5."/>
      <w:lvlJc w:val="left"/>
      <w:pPr>
        <w:tabs>
          <w:tab w:val="num" w:pos="3242"/>
        </w:tabs>
        <w:ind w:left="3242" w:hanging="300"/>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5">
      <w:start w:val="1"/>
      <w:numFmt w:val="lowerRoman"/>
      <w:lvlText w:val="%6."/>
      <w:lvlJc w:val="left"/>
      <w:pPr>
        <w:tabs>
          <w:tab w:val="num" w:pos="3973"/>
        </w:tabs>
        <w:ind w:left="3973" w:hanging="247"/>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6">
      <w:start w:val="1"/>
      <w:numFmt w:val="decimal"/>
      <w:lvlText w:val="%7."/>
      <w:lvlJc w:val="left"/>
      <w:pPr>
        <w:tabs>
          <w:tab w:val="num" w:pos="4682"/>
        </w:tabs>
        <w:ind w:left="4682" w:hanging="300"/>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7">
      <w:start w:val="1"/>
      <w:numFmt w:val="lowerLetter"/>
      <w:lvlText w:val="%8."/>
      <w:lvlJc w:val="left"/>
      <w:pPr>
        <w:tabs>
          <w:tab w:val="num" w:pos="5402"/>
        </w:tabs>
        <w:ind w:left="5402" w:hanging="300"/>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8">
      <w:start w:val="1"/>
      <w:numFmt w:val="lowerRoman"/>
      <w:lvlText w:val="%9."/>
      <w:lvlJc w:val="left"/>
      <w:pPr>
        <w:tabs>
          <w:tab w:val="num" w:pos="6133"/>
        </w:tabs>
        <w:ind w:left="6133" w:hanging="247"/>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abstractNum>
  <w:abstractNum w:abstractNumId="94" w15:restartNumberingAfterBreak="0">
    <w:nsid w:val="22FC578D"/>
    <w:multiLevelType w:val="hybridMultilevel"/>
    <w:tmpl w:val="B1DE0BA8"/>
    <w:lvl w:ilvl="0" w:tplc="C3286B4A">
      <w:start w:val="1"/>
      <w:numFmt w:val="bullet"/>
      <w:lvlText w:val=""/>
      <w:lvlJc w:val="left"/>
      <w:pPr>
        <w:ind w:left="1179" w:hanging="360"/>
      </w:pPr>
      <w:rPr>
        <w:rFonts w:ascii="Symbol" w:hAnsi="Symbol" w:hint="default"/>
      </w:rPr>
    </w:lvl>
    <w:lvl w:ilvl="1" w:tplc="04190003" w:tentative="1">
      <w:start w:val="1"/>
      <w:numFmt w:val="bullet"/>
      <w:lvlText w:val="o"/>
      <w:lvlJc w:val="left"/>
      <w:pPr>
        <w:ind w:left="1899" w:hanging="360"/>
      </w:pPr>
      <w:rPr>
        <w:rFonts w:ascii="Courier New" w:hAnsi="Courier New" w:cs="Courier New" w:hint="default"/>
      </w:rPr>
    </w:lvl>
    <w:lvl w:ilvl="2" w:tplc="04190005" w:tentative="1">
      <w:start w:val="1"/>
      <w:numFmt w:val="bullet"/>
      <w:lvlText w:val=""/>
      <w:lvlJc w:val="left"/>
      <w:pPr>
        <w:ind w:left="2619" w:hanging="360"/>
      </w:pPr>
      <w:rPr>
        <w:rFonts w:ascii="Wingdings" w:hAnsi="Wingdings" w:hint="default"/>
      </w:rPr>
    </w:lvl>
    <w:lvl w:ilvl="3" w:tplc="04190001" w:tentative="1">
      <w:start w:val="1"/>
      <w:numFmt w:val="bullet"/>
      <w:lvlText w:val=""/>
      <w:lvlJc w:val="left"/>
      <w:pPr>
        <w:ind w:left="3339" w:hanging="360"/>
      </w:pPr>
      <w:rPr>
        <w:rFonts w:ascii="Symbol" w:hAnsi="Symbol" w:hint="default"/>
      </w:rPr>
    </w:lvl>
    <w:lvl w:ilvl="4" w:tplc="04190003" w:tentative="1">
      <w:start w:val="1"/>
      <w:numFmt w:val="bullet"/>
      <w:lvlText w:val="o"/>
      <w:lvlJc w:val="left"/>
      <w:pPr>
        <w:ind w:left="4059" w:hanging="360"/>
      </w:pPr>
      <w:rPr>
        <w:rFonts w:ascii="Courier New" w:hAnsi="Courier New" w:cs="Courier New" w:hint="default"/>
      </w:rPr>
    </w:lvl>
    <w:lvl w:ilvl="5" w:tplc="04190005" w:tentative="1">
      <w:start w:val="1"/>
      <w:numFmt w:val="bullet"/>
      <w:lvlText w:val=""/>
      <w:lvlJc w:val="left"/>
      <w:pPr>
        <w:ind w:left="4779" w:hanging="360"/>
      </w:pPr>
      <w:rPr>
        <w:rFonts w:ascii="Wingdings" w:hAnsi="Wingdings" w:hint="default"/>
      </w:rPr>
    </w:lvl>
    <w:lvl w:ilvl="6" w:tplc="04190001" w:tentative="1">
      <w:start w:val="1"/>
      <w:numFmt w:val="bullet"/>
      <w:lvlText w:val=""/>
      <w:lvlJc w:val="left"/>
      <w:pPr>
        <w:ind w:left="5499" w:hanging="360"/>
      </w:pPr>
      <w:rPr>
        <w:rFonts w:ascii="Symbol" w:hAnsi="Symbol" w:hint="default"/>
      </w:rPr>
    </w:lvl>
    <w:lvl w:ilvl="7" w:tplc="04190003" w:tentative="1">
      <w:start w:val="1"/>
      <w:numFmt w:val="bullet"/>
      <w:lvlText w:val="o"/>
      <w:lvlJc w:val="left"/>
      <w:pPr>
        <w:ind w:left="6219" w:hanging="360"/>
      </w:pPr>
      <w:rPr>
        <w:rFonts w:ascii="Courier New" w:hAnsi="Courier New" w:cs="Courier New" w:hint="default"/>
      </w:rPr>
    </w:lvl>
    <w:lvl w:ilvl="8" w:tplc="04190005" w:tentative="1">
      <w:start w:val="1"/>
      <w:numFmt w:val="bullet"/>
      <w:lvlText w:val=""/>
      <w:lvlJc w:val="left"/>
      <w:pPr>
        <w:ind w:left="6939" w:hanging="360"/>
      </w:pPr>
      <w:rPr>
        <w:rFonts w:ascii="Wingdings" w:hAnsi="Wingdings" w:hint="default"/>
      </w:rPr>
    </w:lvl>
  </w:abstractNum>
  <w:abstractNum w:abstractNumId="95" w15:restartNumberingAfterBreak="0">
    <w:nsid w:val="23621F1E"/>
    <w:multiLevelType w:val="multilevel"/>
    <w:tmpl w:val="8BCECBA4"/>
    <w:lvl w:ilvl="0">
      <w:start w:val="3"/>
      <w:numFmt w:val="decimal"/>
      <w:lvlText w:val="%1."/>
      <w:lvlJc w:val="left"/>
      <w:pPr>
        <w:ind w:left="450" w:hanging="450"/>
      </w:pPr>
      <w:rPr>
        <w:rFonts w:hint="default"/>
      </w:rPr>
    </w:lvl>
    <w:lvl w:ilvl="1">
      <w:start w:val="7"/>
      <w:numFmt w:val="decimal"/>
      <w:lvlText w:val="%1.%2."/>
      <w:lvlJc w:val="left"/>
      <w:pPr>
        <w:ind w:left="1004" w:hanging="720"/>
      </w:pPr>
      <w:rPr>
        <w:rFonts w:hint="default"/>
      </w:rPr>
    </w:lvl>
    <w:lvl w:ilvl="2">
      <w:start w:val="1"/>
      <w:numFmt w:val="decimal"/>
      <w:lvlText w:val="%1.%2.%3."/>
      <w:lvlJc w:val="left"/>
      <w:pPr>
        <w:ind w:left="1320" w:hanging="720"/>
      </w:pPr>
      <w:rPr>
        <w:rFonts w:hint="default"/>
      </w:rPr>
    </w:lvl>
    <w:lvl w:ilvl="3">
      <w:start w:val="1"/>
      <w:numFmt w:val="decimal"/>
      <w:lvlText w:val="%1.%2.%3.%4."/>
      <w:lvlJc w:val="left"/>
      <w:pPr>
        <w:ind w:left="1980" w:hanging="1080"/>
      </w:pPr>
      <w:rPr>
        <w:rFonts w:hint="default"/>
      </w:rPr>
    </w:lvl>
    <w:lvl w:ilvl="4">
      <w:start w:val="1"/>
      <w:numFmt w:val="decimal"/>
      <w:lvlText w:val="%1.%2.%3.%4.%5."/>
      <w:lvlJc w:val="left"/>
      <w:pPr>
        <w:ind w:left="2280" w:hanging="1080"/>
      </w:pPr>
      <w:rPr>
        <w:rFonts w:hint="default"/>
      </w:rPr>
    </w:lvl>
    <w:lvl w:ilvl="5">
      <w:start w:val="1"/>
      <w:numFmt w:val="decimal"/>
      <w:lvlText w:val="%1.%2.%3.%4.%5.%6."/>
      <w:lvlJc w:val="left"/>
      <w:pPr>
        <w:ind w:left="2940" w:hanging="1440"/>
      </w:pPr>
      <w:rPr>
        <w:rFonts w:hint="default"/>
      </w:rPr>
    </w:lvl>
    <w:lvl w:ilvl="6">
      <w:start w:val="1"/>
      <w:numFmt w:val="decimal"/>
      <w:lvlText w:val="%1.%2.%3.%4.%5.%6.%7."/>
      <w:lvlJc w:val="left"/>
      <w:pPr>
        <w:ind w:left="3240" w:hanging="1440"/>
      </w:pPr>
      <w:rPr>
        <w:rFonts w:hint="default"/>
      </w:rPr>
    </w:lvl>
    <w:lvl w:ilvl="7">
      <w:start w:val="1"/>
      <w:numFmt w:val="decimal"/>
      <w:lvlText w:val="%1.%2.%3.%4.%5.%6.%7.%8."/>
      <w:lvlJc w:val="left"/>
      <w:pPr>
        <w:ind w:left="3900" w:hanging="1800"/>
      </w:pPr>
      <w:rPr>
        <w:rFonts w:hint="default"/>
      </w:rPr>
    </w:lvl>
    <w:lvl w:ilvl="8">
      <w:start w:val="1"/>
      <w:numFmt w:val="decimal"/>
      <w:lvlText w:val="%1.%2.%3.%4.%5.%6.%7.%8.%9."/>
      <w:lvlJc w:val="left"/>
      <w:pPr>
        <w:ind w:left="4200" w:hanging="1800"/>
      </w:pPr>
      <w:rPr>
        <w:rFonts w:hint="default"/>
      </w:rPr>
    </w:lvl>
  </w:abstractNum>
  <w:abstractNum w:abstractNumId="96" w15:restartNumberingAfterBreak="0">
    <w:nsid w:val="241271ED"/>
    <w:multiLevelType w:val="hybridMultilevel"/>
    <w:tmpl w:val="E7FE7B1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7" w15:restartNumberingAfterBreak="0">
    <w:nsid w:val="24534681"/>
    <w:multiLevelType w:val="hybridMultilevel"/>
    <w:tmpl w:val="6C4C0A66"/>
    <w:lvl w:ilvl="0" w:tplc="E1B8CC9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98" w15:restartNumberingAfterBreak="0">
    <w:nsid w:val="24BD1581"/>
    <w:multiLevelType w:val="multilevel"/>
    <w:tmpl w:val="B1A82D52"/>
    <w:lvl w:ilvl="0">
      <w:start w:val="1"/>
      <w:numFmt w:val="decimal"/>
      <w:lvlText w:val="%1."/>
      <w:lvlJc w:val="left"/>
      <w:pPr>
        <w:tabs>
          <w:tab w:val="num" w:pos="255"/>
        </w:tabs>
        <w:ind w:left="255" w:hanging="255"/>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1">
      <w:start w:val="1"/>
      <w:numFmt w:val="lowerLetter"/>
      <w:lvlText w:val="%2."/>
      <w:lvlJc w:val="left"/>
      <w:pPr>
        <w:tabs>
          <w:tab w:val="num" w:pos="1082"/>
        </w:tabs>
        <w:ind w:left="1082" w:hanging="300"/>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2">
      <w:start w:val="1"/>
      <w:numFmt w:val="lowerRoman"/>
      <w:lvlText w:val="%3."/>
      <w:lvlJc w:val="left"/>
      <w:pPr>
        <w:tabs>
          <w:tab w:val="num" w:pos="1813"/>
        </w:tabs>
        <w:ind w:left="1813" w:hanging="247"/>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3">
      <w:start w:val="1"/>
      <w:numFmt w:val="decimal"/>
      <w:lvlText w:val="%4."/>
      <w:lvlJc w:val="left"/>
      <w:pPr>
        <w:tabs>
          <w:tab w:val="num" w:pos="2522"/>
        </w:tabs>
        <w:ind w:left="2522" w:hanging="300"/>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4">
      <w:start w:val="1"/>
      <w:numFmt w:val="lowerLetter"/>
      <w:lvlText w:val="%5."/>
      <w:lvlJc w:val="left"/>
      <w:pPr>
        <w:tabs>
          <w:tab w:val="num" w:pos="3242"/>
        </w:tabs>
        <w:ind w:left="3242" w:hanging="300"/>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5">
      <w:start w:val="1"/>
      <w:numFmt w:val="lowerRoman"/>
      <w:lvlText w:val="%6."/>
      <w:lvlJc w:val="left"/>
      <w:pPr>
        <w:tabs>
          <w:tab w:val="num" w:pos="3973"/>
        </w:tabs>
        <w:ind w:left="3973" w:hanging="247"/>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6">
      <w:start w:val="1"/>
      <w:numFmt w:val="decimal"/>
      <w:lvlText w:val="%7."/>
      <w:lvlJc w:val="left"/>
      <w:pPr>
        <w:tabs>
          <w:tab w:val="num" w:pos="4682"/>
        </w:tabs>
        <w:ind w:left="4682" w:hanging="300"/>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7">
      <w:start w:val="1"/>
      <w:numFmt w:val="lowerLetter"/>
      <w:lvlText w:val="%8."/>
      <w:lvlJc w:val="left"/>
      <w:pPr>
        <w:tabs>
          <w:tab w:val="num" w:pos="5402"/>
        </w:tabs>
        <w:ind w:left="5402" w:hanging="300"/>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8">
      <w:start w:val="1"/>
      <w:numFmt w:val="lowerRoman"/>
      <w:lvlText w:val="%9."/>
      <w:lvlJc w:val="left"/>
      <w:pPr>
        <w:tabs>
          <w:tab w:val="num" w:pos="6133"/>
        </w:tabs>
        <w:ind w:left="6133" w:hanging="247"/>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abstractNum>
  <w:abstractNum w:abstractNumId="99" w15:restartNumberingAfterBreak="0">
    <w:nsid w:val="24F16326"/>
    <w:multiLevelType w:val="hybridMultilevel"/>
    <w:tmpl w:val="0C00B894"/>
    <w:lvl w:ilvl="0" w:tplc="76561E5C">
      <w:start w:val="1"/>
      <w:numFmt w:val="decimal"/>
      <w:lvlText w:val="%1)"/>
      <w:lvlJc w:val="left"/>
      <w:pPr>
        <w:ind w:left="740" w:hanging="360"/>
      </w:pPr>
      <w:rPr>
        <w:rFonts w:hint="default"/>
      </w:rPr>
    </w:lvl>
    <w:lvl w:ilvl="1" w:tplc="04190019" w:tentative="1">
      <w:start w:val="1"/>
      <w:numFmt w:val="lowerLetter"/>
      <w:lvlText w:val="%2."/>
      <w:lvlJc w:val="left"/>
      <w:pPr>
        <w:ind w:left="1460" w:hanging="360"/>
      </w:pPr>
    </w:lvl>
    <w:lvl w:ilvl="2" w:tplc="0419001B" w:tentative="1">
      <w:start w:val="1"/>
      <w:numFmt w:val="lowerRoman"/>
      <w:lvlText w:val="%3."/>
      <w:lvlJc w:val="right"/>
      <w:pPr>
        <w:ind w:left="2180" w:hanging="180"/>
      </w:pPr>
    </w:lvl>
    <w:lvl w:ilvl="3" w:tplc="0419000F" w:tentative="1">
      <w:start w:val="1"/>
      <w:numFmt w:val="decimal"/>
      <w:lvlText w:val="%4."/>
      <w:lvlJc w:val="left"/>
      <w:pPr>
        <w:ind w:left="2900" w:hanging="360"/>
      </w:pPr>
    </w:lvl>
    <w:lvl w:ilvl="4" w:tplc="04190019" w:tentative="1">
      <w:start w:val="1"/>
      <w:numFmt w:val="lowerLetter"/>
      <w:lvlText w:val="%5."/>
      <w:lvlJc w:val="left"/>
      <w:pPr>
        <w:ind w:left="3620" w:hanging="360"/>
      </w:pPr>
    </w:lvl>
    <w:lvl w:ilvl="5" w:tplc="0419001B" w:tentative="1">
      <w:start w:val="1"/>
      <w:numFmt w:val="lowerRoman"/>
      <w:lvlText w:val="%6."/>
      <w:lvlJc w:val="right"/>
      <w:pPr>
        <w:ind w:left="4340" w:hanging="180"/>
      </w:pPr>
    </w:lvl>
    <w:lvl w:ilvl="6" w:tplc="0419000F" w:tentative="1">
      <w:start w:val="1"/>
      <w:numFmt w:val="decimal"/>
      <w:lvlText w:val="%7."/>
      <w:lvlJc w:val="left"/>
      <w:pPr>
        <w:ind w:left="5060" w:hanging="360"/>
      </w:pPr>
    </w:lvl>
    <w:lvl w:ilvl="7" w:tplc="04190019" w:tentative="1">
      <w:start w:val="1"/>
      <w:numFmt w:val="lowerLetter"/>
      <w:lvlText w:val="%8."/>
      <w:lvlJc w:val="left"/>
      <w:pPr>
        <w:ind w:left="5780" w:hanging="360"/>
      </w:pPr>
    </w:lvl>
    <w:lvl w:ilvl="8" w:tplc="0419001B" w:tentative="1">
      <w:start w:val="1"/>
      <w:numFmt w:val="lowerRoman"/>
      <w:lvlText w:val="%9."/>
      <w:lvlJc w:val="right"/>
      <w:pPr>
        <w:ind w:left="6500" w:hanging="180"/>
      </w:pPr>
    </w:lvl>
  </w:abstractNum>
  <w:abstractNum w:abstractNumId="100" w15:restartNumberingAfterBreak="0">
    <w:nsid w:val="254E594E"/>
    <w:multiLevelType w:val="hybridMultilevel"/>
    <w:tmpl w:val="7DA8F83A"/>
    <w:lvl w:ilvl="0" w:tplc="FFFFFFFF">
      <w:start w:val="1"/>
      <w:numFmt w:val="bullet"/>
      <w:lvlText w:val="­"/>
      <w:lvlJc w:val="left"/>
      <w:pPr>
        <w:ind w:left="1321" w:hanging="360"/>
      </w:pPr>
      <w:rPr>
        <w:rFonts w:ascii="Courier New" w:hAnsi="Courier New" w:hint="default"/>
        <w:color w:val="auto"/>
      </w:rPr>
    </w:lvl>
    <w:lvl w:ilvl="1" w:tplc="04190003" w:tentative="1">
      <w:start w:val="1"/>
      <w:numFmt w:val="bullet"/>
      <w:lvlText w:val="o"/>
      <w:lvlJc w:val="left"/>
      <w:pPr>
        <w:ind w:left="2041" w:hanging="360"/>
      </w:pPr>
      <w:rPr>
        <w:rFonts w:ascii="Courier New" w:hAnsi="Courier New" w:cs="Courier New" w:hint="default"/>
      </w:rPr>
    </w:lvl>
    <w:lvl w:ilvl="2" w:tplc="04190005" w:tentative="1">
      <w:start w:val="1"/>
      <w:numFmt w:val="bullet"/>
      <w:lvlText w:val=""/>
      <w:lvlJc w:val="left"/>
      <w:pPr>
        <w:ind w:left="2761" w:hanging="360"/>
      </w:pPr>
      <w:rPr>
        <w:rFonts w:ascii="Wingdings" w:hAnsi="Wingdings" w:hint="default"/>
      </w:rPr>
    </w:lvl>
    <w:lvl w:ilvl="3" w:tplc="04190001" w:tentative="1">
      <w:start w:val="1"/>
      <w:numFmt w:val="bullet"/>
      <w:lvlText w:val=""/>
      <w:lvlJc w:val="left"/>
      <w:pPr>
        <w:ind w:left="3481" w:hanging="360"/>
      </w:pPr>
      <w:rPr>
        <w:rFonts w:ascii="Symbol" w:hAnsi="Symbol" w:hint="default"/>
      </w:rPr>
    </w:lvl>
    <w:lvl w:ilvl="4" w:tplc="04190003" w:tentative="1">
      <w:start w:val="1"/>
      <w:numFmt w:val="bullet"/>
      <w:lvlText w:val="o"/>
      <w:lvlJc w:val="left"/>
      <w:pPr>
        <w:ind w:left="4201" w:hanging="360"/>
      </w:pPr>
      <w:rPr>
        <w:rFonts w:ascii="Courier New" w:hAnsi="Courier New" w:cs="Courier New" w:hint="default"/>
      </w:rPr>
    </w:lvl>
    <w:lvl w:ilvl="5" w:tplc="04190005" w:tentative="1">
      <w:start w:val="1"/>
      <w:numFmt w:val="bullet"/>
      <w:lvlText w:val=""/>
      <w:lvlJc w:val="left"/>
      <w:pPr>
        <w:ind w:left="4921" w:hanging="360"/>
      </w:pPr>
      <w:rPr>
        <w:rFonts w:ascii="Wingdings" w:hAnsi="Wingdings" w:hint="default"/>
      </w:rPr>
    </w:lvl>
    <w:lvl w:ilvl="6" w:tplc="04190001" w:tentative="1">
      <w:start w:val="1"/>
      <w:numFmt w:val="bullet"/>
      <w:lvlText w:val=""/>
      <w:lvlJc w:val="left"/>
      <w:pPr>
        <w:ind w:left="5641" w:hanging="360"/>
      </w:pPr>
      <w:rPr>
        <w:rFonts w:ascii="Symbol" w:hAnsi="Symbol" w:hint="default"/>
      </w:rPr>
    </w:lvl>
    <w:lvl w:ilvl="7" w:tplc="04190003" w:tentative="1">
      <w:start w:val="1"/>
      <w:numFmt w:val="bullet"/>
      <w:lvlText w:val="o"/>
      <w:lvlJc w:val="left"/>
      <w:pPr>
        <w:ind w:left="6361" w:hanging="360"/>
      </w:pPr>
      <w:rPr>
        <w:rFonts w:ascii="Courier New" w:hAnsi="Courier New" w:cs="Courier New" w:hint="default"/>
      </w:rPr>
    </w:lvl>
    <w:lvl w:ilvl="8" w:tplc="04190005" w:tentative="1">
      <w:start w:val="1"/>
      <w:numFmt w:val="bullet"/>
      <w:lvlText w:val=""/>
      <w:lvlJc w:val="left"/>
      <w:pPr>
        <w:ind w:left="7081" w:hanging="360"/>
      </w:pPr>
      <w:rPr>
        <w:rFonts w:ascii="Wingdings" w:hAnsi="Wingdings" w:hint="default"/>
      </w:rPr>
    </w:lvl>
  </w:abstractNum>
  <w:abstractNum w:abstractNumId="101" w15:restartNumberingAfterBreak="0">
    <w:nsid w:val="25CA6E3B"/>
    <w:multiLevelType w:val="hybridMultilevel"/>
    <w:tmpl w:val="4D54F7B2"/>
    <w:lvl w:ilvl="0" w:tplc="4BF09996">
      <w:start w:val="1"/>
      <w:numFmt w:val="bullet"/>
      <w:lvlText w:val="−"/>
      <w:lvlJc w:val="left"/>
      <w:pPr>
        <w:ind w:left="1713" w:hanging="360"/>
      </w:pPr>
      <w:rPr>
        <w:rFonts w:ascii="Times New Roman" w:eastAsia="Times New Roman" w:hAnsi="Times New Roman" w:hint="default"/>
      </w:rPr>
    </w:lvl>
    <w:lvl w:ilvl="1" w:tplc="04190003">
      <w:start w:val="1"/>
      <w:numFmt w:val="bullet"/>
      <w:lvlText w:val="o"/>
      <w:lvlJc w:val="left"/>
      <w:pPr>
        <w:ind w:left="2433" w:hanging="360"/>
      </w:pPr>
      <w:rPr>
        <w:rFonts w:ascii="Courier New" w:hAnsi="Courier New" w:hint="default"/>
      </w:rPr>
    </w:lvl>
    <w:lvl w:ilvl="2" w:tplc="04190005" w:tentative="1">
      <w:start w:val="1"/>
      <w:numFmt w:val="bullet"/>
      <w:lvlText w:val=""/>
      <w:lvlJc w:val="left"/>
      <w:pPr>
        <w:ind w:left="3153" w:hanging="360"/>
      </w:pPr>
      <w:rPr>
        <w:rFonts w:ascii="Wingdings" w:hAnsi="Wingdings" w:hint="default"/>
      </w:rPr>
    </w:lvl>
    <w:lvl w:ilvl="3" w:tplc="04190001" w:tentative="1">
      <w:start w:val="1"/>
      <w:numFmt w:val="bullet"/>
      <w:lvlText w:val=""/>
      <w:lvlJc w:val="left"/>
      <w:pPr>
        <w:ind w:left="3873" w:hanging="360"/>
      </w:pPr>
      <w:rPr>
        <w:rFonts w:ascii="Symbol" w:hAnsi="Symbol" w:hint="default"/>
      </w:rPr>
    </w:lvl>
    <w:lvl w:ilvl="4" w:tplc="04190003" w:tentative="1">
      <w:start w:val="1"/>
      <w:numFmt w:val="bullet"/>
      <w:lvlText w:val="o"/>
      <w:lvlJc w:val="left"/>
      <w:pPr>
        <w:ind w:left="4593" w:hanging="360"/>
      </w:pPr>
      <w:rPr>
        <w:rFonts w:ascii="Courier New" w:hAnsi="Courier New" w:hint="default"/>
      </w:rPr>
    </w:lvl>
    <w:lvl w:ilvl="5" w:tplc="04190005" w:tentative="1">
      <w:start w:val="1"/>
      <w:numFmt w:val="bullet"/>
      <w:lvlText w:val=""/>
      <w:lvlJc w:val="left"/>
      <w:pPr>
        <w:ind w:left="5313" w:hanging="360"/>
      </w:pPr>
      <w:rPr>
        <w:rFonts w:ascii="Wingdings" w:hAnsi="Wingdings" w:hint="default"/>
      </w:rPr>
    </w:lvl>
    <w:lvl w:ilvl="6" w:tplc="04190001" w:tentative="1">
      <w:start w:val="1"/>
      <w:numFmt w:val="bullet"/>
      <w:lvlText w:val=""/>
      <w:lvlJc w:val="left"/>
      <w:pPr>
        <w:ind w:left="6033" w:hanging="360"/>
      </w:pPr>
      <w:rPr>
        <w:rFonts w:ascii="Symbol" w:hAnsi="Symbol" w:hint="default"/>
      </w:rPr>
    </w:lvl>
    <w:lvl w:ilvl="7" w:tplc="04190003" w:tentative="1">
      <w:start w:val="1"/>
      <w:numFmt w:val="bullet"/>
      <w:lvlText w:val="o"/>
      <w:lvlJc w:val="left"/>
      <w:pPr>
        <w:ind w:left="6753" w:hanging="360"/>
      </w:pPr>
      <w:rPr>
        <w:rFonts w:ascii="Courier New" w:hAnsi="Courier New" w:hint="default"/>
      </w:rPr>
    </w:lvl>
    <w:lvl w:ilvl="8" w:tplc="04190005" w:tentative="1">
      <w:start w:val="1"/>
      <w:numFmt w:val="bullet"/>
      <w:lvlText w:val=""/>
      <w:lvlJc w:val="left"/>
      <w:pPr>
        <w:ind w:left="7473" w:hanging="360"/>
      </w:pPr>
      <w:rPr>
        <w:rFonts w:ascii="Wingdings" w:hAnsi="Wingdings" w:hint="default"/>
      </w:rPr>
    </w:lvl>
  </w:abstractNum>
  <w:abstractNum w:abstractNumId="102" w15:restartNumberingAfterBreak="0">
    <w:nsid w:val="25D0668B"/>
    <w:multiLevelType w:val="hybridMultilevel"/>
    <w:tmpl w:val="61465692"/>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03" w15:restartNumberingAfterBreak="0">
    <w:nsid w:val="260E19BB"/>
    <w:multiLevelType w:val="multilevel"/>
    <w:tmpl w:val="68D0757C"/>
    <w:lvl w:ilvl="0">
      <w:start w:val="1"/>
      <w:numFmt w:val="decimal"/>
      <w:lvlText w:val="%1."/>
      <w:lvlJc w:val="left"/>
      <w:pPr>
        <w:tabs>
          <w:tab w:val="num" w:pos="317"/>
        </w:tabs>
        <w:ind w:left="317" w:hanging="317"/>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1">
      <w:start w:val="1"/>
      <w:numFmt w:val="lowerLetter"/>
      <w:lvlText w:val="%2."/>
      <w:lvlJc w:val="left"/>
      <w:pPr>
        <w:tabs>
          <w:tab w:val="num" w:pos="1380"/>
        </w:tabs>
        <w:ind w:left="1380" w:hanging="300"/>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2">
      <w:start w:val="1"/>
      <w:numFmt w:val="lowerRoman"/>
      <w:lvlText w:val="%3."/>
      <w:lvlJc w:val="left"/>
      <w:pPr>
        <w:tabs>
          <w:tab w:val="num" w:pos="2111"/>
        </w:tabs>
        <w:ind w:left="2111" w:hanging="247"/>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3">
      <w:start w:val="1"/>
      <w:numFmt w:val="decimal"/>
      <w:lvlText w:val="%4."/>
      <w:lvlJc w:val="left"/>
      <w:pPr>
        <w:tabs>
          <w:tab w:val="num" w:pos="2820"/>
        </w:tabs>
        <w:ind w:left="2820" w:hanging="300"/>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4">
      <w:start w:val="1"/>
      <w:numFmt w:val="lowerLetter"/>
      <w:lvlText w:val="%5."/>
      <w:lvlJc w:val="left"/>
      <w:pPr>
        <w:tabs>
          <w:tab w:val="num" w:pos="3540"/>
        </w:tabs>
        <w:ind w:left="3540" w:hanging="300"/>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5">
      <w:start w:val="1"/>
      <w:numFmt w:val="lowerRoman"/>
      <w:lvlText w:val="%6."/>
      <w:lvlJc w:val="left"/>
      <w:pPr>
        <w:tabs>
          <w:tab w:val="num" w:pos="4271"/>
        </w:tabs>
        <w:ind w:left="4271" w:hanging="247"/>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6">
      <w:start w:val="1"/>
      <w:numFmt w:val="decimal"/>
      <w:lvlText w:val="%7."/>
      <w:lvlJc w:val="left"/>
      <w:pPr>
        <w:tabs>
          <w:tab w:val="num" w:pos="4980"/>
        </w:tabs>
        <w:ind w:left="4980" w:hanging="300"/>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7">
      <w:start w:val="1"/>
      <w:numFmt w:val="lowerLetter"/>
      <w:lvlText w:val="%8."/>
      <w:lvlJc w:val="left"/>
      <w:pPr>
        <w:tabs>
          <w:tab w:val="num" w:pos="5700"/>
        </w:tabs>
        <w:ind w:left="5700" w:hanging="300"/>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8">
      <w:start w:val="1"/>
      <w:numFmt w:val="lowerRoman"/>
      <w:lvlText w:val="%9."/>
      <w:lvlJc w:val="left"/>
      <w:pPr>
        <w:tabs>
          <w:tab w:val="num" w:pos="6431"/>
        </w:tabs>
        <w:ind w:left="6431" w:hanging="247"/>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abstractNum>
  <w:abstractNum w:abstractNumId="104" w15:restartNumberingAfterBreak="0">
    <w:nsid w:val="26C92BC9"/>
    <w:multiLevelType w:val="multilevel"/>
    <w:tmpl w:val="0424482E"/>
    <w:styleLink w:val="List71"/>
    <w:lvl w:ilvl="0">
      <w:start w:val="5"/>
      <w:numFmt w:val="decimal"/>
      <w:lvlText w:val="%1."/>
      <w:lvlJc w:val="left"/>
      <w:pPr>
        <w:tabs>
          <w:tab w:val="num" w:pos="1548"/>
        </w:tabs>
        <w:ind w:left="1548" w:hanging="1548"/>
      </w:pPr>
      <w:rPr>
        <w:rFonts w:ascii="Garamond" w:eastAsia="Garamond" w:hAnsi="Garamond" w:cs="Garamond"/>
        <w:caps w:val="0"/>
        <w:smallCaps w:val="0"/>
        <w:strike w:val="0"/>
        <w:dstrike w:val="0"/>
        <w:color w:val="FF0000"/>
        <w:spacing w:val="0"/>
        <w:kern w:val="0"/>
        <w:position w:val="0"/>
        <w:sz w:val="20"/>
        <w:szCs w:val="20"/>
        <w:u w:val="none" w:color="FF0000"/>
        <w:vertAlign w:val="baseline"/>
        <w:lang w:val="ru-RU"/>
      </w:rPr>
    </w:lvl>
    <w:lvl w:ilvl="1">
      <w:start w:val="1"/>
      <w:numFmt w:val="decimal"/>
      <w:lvlText w:val="%2."/>
      <w:lvlJc w:val="left"/>
      <w:pPr>
        <w:tabs>
          <w:tab w:val="num" w:pos="1440"/>
        </w:tabs>
        <w:ind w:left="1440" w:hanging="360"/>
      </w:pPr>
      <w:rPr>
        <w:rFonts w:ascii="Garamond" w:eastAsia="Garamond" w:hAnsi="Garamond" w:cs="Garamond"/>
        <w:caps w:val="0"/>
        <w:smallCaps w:val="0"/>
        <w:strike w:val="0"/>
        <w:dstrike w:val="0"/>
        <w:color w:val="FF0000"/>
        <w:spacing w:val="0"/>
        <w:kern w:val="0"/>
        <w:position w:val="0"/>
        <w:sz w:val="20"/>
        <w:szCs w:val="20"/>
        <w:u w:val="none" w:color="FF0000"/>
        <w:vertAlign w:val="baseline"/>
        <w:lang w:val="ru-RU"/>
      </w:rPr>
    </w:lvl>
    <w:lvl w:ilvl="2">
      <w:start w:val="1"/>
      <w:numFmt w:val="decimal"/>
      <w:lvlText w:val="%3."/>
      <w:lvlJc w:val="left"/>
      <w:pPr>
        <w:tabs>
          <w:tab w:val="num" w:pos="2160"/>
        </w:tabs>
        <w:ind w:left="2160" w:hanging="360"/>
      </w:pPr>
      <w:rPr>
        <w:rFonts w:ascii="Garamond" w:eastAsia="Garamond" w:hAnsi="Garamond" w:cs="Garamond"/>
        <w:caps w:val="0"/>
        <w:smallCaps w:val="0"/>
        <w:strike w:val="0"/>
        <w:dstrike w:val="0"/>
        <w:color w:val="FF0000"/>
        <w:spacing w:val="0"/>
        <w:kern w:val="0"/>
        <w:position w:val="0"/>
        <w:sz w:val="20"/>
        <w:szCs w:val="20"/>
        <w:u w:val="none" w:color="FF0000"/>
        <w:vertAlign w:val="baseline"/>
        <w:lang w:val="ru-RU"/>
      </w:rPr>
    </w:lvl>
    <w:lvl w:ilvl="3">
      <w:start w:val="1"/>
      <w:numFmt w:val="decimal"/>
      <w:lvlText w:val="%4."/>
      <w:lvlJc w:val="left"/>
      <w:pPr>
        <w:tabs>
          <w:tab w:val="num" w:pos="2880"/>
        </w:tabs>
        <w:ind w:left="2880" w:hanging="360"/>
      </w:pPr>
      <w:rPr>
        <w:rFonts w:ascii="Garamond" w:eastAsia="Garamond" w:hAnsi="Garamond" w:cs="Garamond"/>
        <w:caps w:val="0"/>
        <w:smallCaps w:val="0"/>
        <w:strike w:val="0"/>
        <w:dstrike w:val="0"/>
        <w:color w:val="FF0000"/>
        <w:spacing w:val="0"/>
        <w:kern w:val="0"/>
        <w:position w:val="0"/>
        <w:sz w:val="20"/>
        <w:szCs w:val="20"/>
        <w:u w:val="none" w:color="FF0000"/>
        <w:vertAlign w:val="baseline"/>
        <w:lang w:val="ru-RU"/>
      </w:rPr>
    </w:lvl>
    <w:lvl w:ilvl="4">
      <w:start w:val="1"/>
      <w:numFmt w:val="decimal"/>
      <w:lvlText w:val="%5."/>
      <w:lvlJc w:val="left"/>
      <w:pPr>
        <w:tabs>
          <w:tab w:val="num" w:pos="3600"/>
        </w:tabs>
        <w:ind w:left="3600" w:hanging="360"/>
      </w:pPr>
      <w:rPr>
        <w:rFonts w:ascii="Garamond" w:eastAsia="Garamond" w:hAnsi="Garamond" w:cs="Garamond"/>
        <w:caps w:val="0"/>
        <w:smallCaps w:val="0"/>
        <w:strike w:val="0"/>
        <w:dstrike w:val="0"/>
        <w:color w:val="FF0000"/>
        <w:spacing w:val="0"/>
        <w:kern w:val="0"/>
        <w:position w:val="0"/>
        <w:sz w:val="20"/>
        <w:szCs w:val="20"/>
        <w:u w:val="none" w:color="FF0000"/>
        <w:vertAlign w:val="baseline"/>
        <w:lang w:val="ru-RU"/>
      </w:rPr>
    </w:lvl>
    <w:lvl w:ilvl="5">
      <w:start w:val="1"/>
      <w:numFmt w:val="decimal"/>
      <w:lvlText w:val="%6."/>
      <w:lvlJc w:val="left"/>
      <w:pPr>
        <w:tabs>
          <w:tab w:val="num" w:pos="4320"/>
        </w:tabs>
        <w:ind w:left="4320" w:hanging="360"/>
      </w:pPr>
      <w:rPr>
        <w:rFonts w:ascii="Garamond" w:eastAsia="Garamond" w:hAnsi="Garamond" w:cs="Garamond"/>
        <w:caps w:val="0"/>
        <w:smallCaps w:val="0"/>
        <w:strike w:val="0"/>
        <w:dstrike w:val="0"/>
        <w:color w:val="FF0000"/>
        <w:spacing w:val="0"/>
        <w:kern w:val="0"/>
        <w:position w:val="0"/>
        <w:sz w:val="20"/>
        <w:szCs w:val="20"/>
        <w:u w:val="none" w:color="FF0000"/>
        <w:vertAlign w:val="baseline"/>
        <w:lang w:val="ru-RU"/>
      </w:rPr>
    </w:lvl>
    <w:lvl w:ilvl="6">
      <w:start w:val="1"/>
      <w:numFmt w:val="decimal"/>
      <w:lvlText w:val="%7."/>
      <w:lvlJc w:val="left"/>
      <w:pPr>
        <w:tabs>
          <w:tab w:val="num" w:pos="5040"/>
        </w:tabs>
        <w:ind w:left="5040" w:hanging="360"/>
      </w:pPr>
      <w:rPr>
        <w:rFonts w:ascii="Garamond" w:eastAsia="Garamond" w:hAnsi="Garamond" w:cs="Garamond"/>
        <w:caps w:val="0"/>
        <w:smallCaps w:val="0"/>
        <w:strike w:val="0"/>
        <w:dstrike w:val="0"/>
        <w:color w:val="FF0000"/>
        <w:spacing w:val="0"/>
        <w:kern w:val="0"/>
        <w:position w:val="0"/>
        <w:sz w:val="20"/>
        <w:szCs w:val="20"/>
        <w:u w:val="none" w:color="FF0000"/>
        <w:vertAlign w:val="baseline"/>
        <w:lang w:val="ru-RU"/>
      </w:rPr>
    </w:lvl>
    <w:lvl w:ilvl="7">
      <w:start w:val="1"/>
      <w:numFmt w:val="decimal"/>
      <w:lvlText w:val="%8."/>
      <w:lvlJc w:val="left"/>
      <w:pPr>
        <w:tabs>
          <w:tab w:val="num" w:pos="5760"/>
        </w:tabs>
        <w:ind w:left="5760" w:hanging="360"/>
      </w:pPr>
      <w:rPr>
        <w:rFonts w:ascii="Garamond" w:eastAsia="Garamond" w:hAnsi="Garamond" w:cs="Garamond"/>
        <w:caps w:val="0"/>
        <w:smallCaps w:val="0"/>
        <w:strike w:val="0"/>
        <w:dstrike w:val="0"/>
        <w:color w:val="FF0000"/>
        <w:spacing w:val="0"/>
        <w:kern w:val="0"/>
        <w:position w:val="0"/>
        <w:sz w:val="20"/>
        <w:szCs w:val="20"/>
        <w:u w:val="none" w:color="FF0000"/>
        <w:vertAlign w:val="baseline"/>
        <w:lang w:val="ru-RU"/>
      </w:rPr>
    </w:lvl>
    <w:lvl w:ilvl="8">
      <w:start w:val="1"/>
      <w:numFmt w:val="decimal"/>
      <w:lvlText w:val="%9."/>
      <w:lvlJc w:val="left"/>
      <w:pPr>
        <w:tabs>
          <w:tab w:val="num" w:pos="6480"/>
        </w:tabs>
        <w:ind w:left="6480" w:hanging="360"/>
      </w:pPr>
      <w:rPr>
        <w:rFonts w:ascii="Garamond" w:eastAsia="Garamond" w:hAnsi="Garamond" w:cs="Garamond"/>
        <w:caps w:val="0"/>
        <w:smallCaps w:val="0"/>
        <w:strike w:val="0"/>
        <w:dstrike w:val="0"/>
        <w:color w:val="FF0000"/>
        <w:spacing w:val="0"/>
        <w:kern w:val="0"/>
        <w:position w:val="0"/>
        <w:sz w:val="20"/>
        <w:szCs w:val="20"/>
        <w:u w:val="none" w:color="FF0000"/>
        <w:vertAlign w:val="baseline"/>
        <w:lang w:val="ru-RU"/>
      </w:rPr>
    </w:lvl>
  </w:abstractNum>
  <w:abstractNum w:abstractNumId="105" w15:restartNumberingAfterBreak="0">
    <w:nsid w:val="27162018"/>
    <w:multiLevelType w:val="multilevel"/>
    <w:tmpl w:val="35102B8C"/>
    <w:lvl w:ilvl="0">
      <w:start w:val="2"/>
      <w:numFmt w:val="decimal"/>
      <w:lvlText w:val="%1."/>
      <w:lvlJc w:val="left"/>
      <w:pPr>
        <w:ind w:left="1321" w:hanging="360"/>
      </w:pPr>
      <w:rPr>
        <w:rFonts w:hint="default"/>
        <w:b/>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8"/>
      <w:numFmt w:val="decimal"/>
      <w:isLgl/>
      <w:lvlText w:val="%1.%2"/>
      <w:lvlJc w:val="left"/>
      <w:pPr>
        <w:ind w:left="1366" w:hanging="405"/>
      </w:pPr>
      <w:rPr>
        <w:rFonts w:hint="default"/>
      </w:rPr>
    </w:lvl>
    <w:lvl w:ilvl="2">
      <w:start w:val="1"/>
      <w:numFmt w:val="decimal"/>
      <w:isLgl/>
      <w:lvlText w:val="%1.%2.%3"/>
      <w:lvlJc w:val="left"/>
      <w:pPr>
        <w:ind w:left="1681" w:hanging="720"/>
      </w:pPr>
      <w:rPr>
        <w:rFonts w:hint="default"/>
      </w:rPr>
    </w:lvl>
    <w:lvl w:ilvl="3">
      <w:start w:val="1"/>
      <w:numFmt w:val="decimal"/>
      <w:isLgl/>
      <w:lvlText w:val="%1.%2.%3.%4"/>
      <w:lvlJc w:val="left"/>
      <w:pPr>
        <w:ind w:left="2041" w:hanging="1080"/>
      </w:pPr>
      <w:rPr>
        <w:rFonts w:hint="default"/>
      </w:rPr>
    </w:lvl>
    <w:lvl w:ilvl="4">
      <w:start w:val="1"/>
      <w:numFmt w:val="decimal"/>
      <w:isLgl/>
      <w:lvlText w:val="%1.%2.%3.%4.%5"/>
      <w:lvlJc w:val="left"/>
      <w:pPr>
        <w:ind w:left="2041" w:hanging="1080"/>
      </w:pPr>
      <w:rPr>
        <w:rFonts w:hint="default"/>
      </w:rPr>
    </w:lvl>
    <w:lvl w:ilvl="5">
      <w:start w:val="1"/>
      <w:numFmt w:val="decimal"/>
      <w:isLgl/>
      <w:lvlText w:val="%1.%2.%3.%4.%5.%6"/>
      <w:lvlJc w:val="left"/>
      <w:pPr>
        <w:ind w:left="2401" w:hanging="1440"/>
      </w:pPr>
      <w:rPr>
        <w:rFonts w:hint="default"/>
      </w:rPr>
    </w:lvl>
    <w:lvl w:ilvl="6">
      <w:start w:val="1"/>
      <w:numFmt w:val="decimal"/>
      <w:isLgl/>
      <w:lvlText w:val="%1.%2.%3.%4.%5.%6.%7"/>
      <w:lvlJc w:val="left"/>
      <w:pPr>
        <w:ind w:left="2401" w:hanging="1440"/>
      </w:pPr>
      <w:rPr>
        <w:rFonts w:hint="default"/>
      </w:rPr>
    </w:lvl>
    <w:lvl w:ilvl="7">
      <w:start w:val="1"/>
      <w:numFmt w:val="decimal"/>
      <w:isLgl/>
      <w:lvlText w:val="%1.%2.%3.%4.%5.%6.%7.%8"/>
      <w:lvlJc w:val="left"/>
      <w:pPr>
        <w:ind w:left="2761" w:hanging="1800"/>
      </w:pPr>
      <w:rPr>
        <w:rFonts w:hint="default"/>
      </w:rPr>
    </w:lvl>
    <w:lvl w:ilvl="8">
      <w:start w:val="1"/>
      <w:numFmt w:val="decimal"/>
      <w:isLgl/>
      <w:lvlText w:val="%1.%2.%3.%4.%5.%6.%7.%8.%9"/>
      <w:lvlJc w:val="left"/>
      <w:pPr>
        <w:ind w:left="2761" w:hanging="1800"/>
      </w:pPr>
      <w:rPr>
        <w:rFonts w:hint="default"/>
      </w:rPr>
    </w:lvl>
  </w:abstractNum>
  <w:abstractNum w:abstractNumId="106" w15:restartNumberingAfterBreak="0">
    <w:nsid w:val="288003C5"/>
    <w:multiLevelType w:val="multilevel"/>
    <w:tmpl w:val="54629DB8"/>
    <w:lvl w:ilvl="0">
      <w:start w:val="1"/>
      <w:numFmt w:val="decimal"/>
      <w:lvlText w:val="%1."/>
      <w:lvlJc w:val="left"/>
      <w:pPr>
        <w:ind w:left="360" w:hanging="360"/>
      </w:pPr>
      <w:rPr>
        <w:b/>
      </w:rPr>
    </w:lvl>
    <w:lvl w:ilvl="1">
      <w:start w:val="1"/>
      <w:numFmt w:val="decimal"/>
      <w:lvlText w:val="%1.%2."/>
      <w:lvlJc w:val="left"/>
      <w:pPr>
        <w:ind w:left="792" w:hanging="432"/>
      </w:pPr>
    </w:lvl>
    <w:lvl w:ilvl="2">
      <w:start w:val="1"/>
      <w:numFmt w:val="decimal"/>
      <w:lvlText w:val="%1.%2.%3."/>
      <w:lvlJc w:val="left"/>
      <w:pPr>
        <w:ind w:left="1224" w:hanging="504"/>
      </w:pPr>
      <w:rPr>
        <w:b w:val="0"/>
      </w:rPr>
    </w:lvl>
    <w:lvl w:ilvl="3">
      <w:start w:val="1"/>
      <w:numFmt w:val="decimal"/>
      <w:lvlText w:val="%1.%2.%3.%4."/>
      <w:lvlJc w:val="left"/>
      <w:pPr>
        <w:ind w:left="1728" w:hanging="648"/>
      </w:pPr>
      <w:rPr>
        <w:b w:val="0"/>
      </w:rPr>
    </w:lvl>
    <w:lvl w:ilvl="4">
      <w:start w:val="1"/>
      <w:numFmt w:val="decimal"/>
      <w:lvlText w:val="%1.%2.%3.%4.%5."/>
      <w:lvlJc w:val="left"/>
      <w:pPr>
        <w:ind w:left="2232" w:hanging="792"/>
      </w:pPr>
      <w:rPr>
        <w:b w:val="0"/>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7" w15:restartNumberingAfterBreak="0">
    <w:nsid w:val="288F3B70"/>
    <w:multiLevelType w:val="hybridMultilevel"/>
    <w:tmpl w:val="11C40D6A"/>
    <w:lvl w:ilvl="0" w:tplc="A4223AE2">
      <w:start w:val="1"/>
      <w:numFmt w:val="russianLower"/>
      <w:lvlText w:val="%1."/>
      <w:lvlJc w:val="left"/>
      <w:pPr>
        <w:ind w:left="720" w:hanging="360"/>
      </w:pPr>
      <w:rPr>
        <w:rFonts w:hint="default"/>
      </w:rPr>
    </w:lvl>
    <w:lvl w:ilvl="1" w:tplc="9DF42E38">
      <w:start w:val="1"/>
      <w:numFmt w:val="russianLower"/>
      <w:lvlText w:val="%2)"/>
      <w:lvlJc w:val="left"/>
      <w:pPr>
        <w:ind w:left="1440" w:hanging="360"/>
      </w:pPr>
      <w:rPr>
        <w:rFonts w:hint="default"/>
      </w:rPr>
    </w:lvl>
    <w:lvl w:ilvl="2" w:tplc="1D1406F4">
      <w:start w:val="1"/>
      <w:numFmt w:val="decimal"/>
      <w:lvlText w:val="%3."/>
      <w:lvlJc w:val="left"/>
      <w:pPr>
        <w:ind w:left="2340" w:hanging="36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8" w15:restartNumberingAfterBreak="0">
    <w:nsid w:val="28C43365"/>
    <w:multiLevelType w:val="multilevel"/>
    <w:tmpl w:val="E43086BC"/>
    <w:styleLink w:val="List15"/>
    <w:lvl w:ilvl="0">
      <w:start w:val="1"/>
      <w:numFmt w:val="decimal"/>
      <w:lvlText w:val="%1."/>
      <w:lvlJc w:val="left"/>
      <w:pPr>
        <w:tabs>
          <w:tab w:val="num" w:pos="284"/>
        </w:tabs>
        <w:ind w:left="284" w:hanging="284"/>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1">
      <w:start w:val="1"/>
      <w:numFmt w:val="lowerLetter"/>
      <w:lvlText w:val="%2."/>
      <w:lvlJc w:val="left"/>
      <w:pPr>
        <w:tabs>
          <w:tab w:val="num" w:pos="1380"/>
        </w:tabs>
        <w:ind w:left="1380" w:hanging="300"/>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2">
      <w:start w:val="1"/>
      <w:numFmt w:val="lowerRoman"/>
      <w:lvlText w:val="%3."/>
      <w:lvlJc w:val="left"/>
      <w:pPr>
        <w:tabs>
          <w:tab w:val="num" w:pos="2111"/>
        </w:tabs>
        <w:ind w:left="2111" w:hanging="247"/>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3">
      <w:start w:val="1"/>
      <w:numFmt w:val="decimal"/>
      <w:lvlText w:val="%4."/>
      <w:lvlJc w:val="left"/>
      <w:pPr>
        <w:tabs>
          <w:tab w:val="num" w:pos="2820"/>
        </w:tabs>
        <w:ind w:left="2820" w:hanging="300"/>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4">
      <w:start w:val="1"/>
      <w:numFmt w:val="lowerLetter"/>
      <w:lvlText w:val="%5."/>
      <w:lvlJc w:val="left"/>
      <w:pPr>
        <w:tabs>
          <w:tab w:val="num" w:pos="3540"/>
        </w:tabs>
        <w:ind w:left="3540" w:hanging="300"/>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5">
      <w:start w:val="1"/>
      <w:numFmt w:val="lowerRoman"/>
      <w:lvlText w:val="%6."/>
      <w:lvlJc w:val="left"/>
      <w:pPr>
        <w:tabs>
          <w:tab w:val="num" w:pos="4271"/>
        </w:tabs>
        <w:ind w:left="4271" w:hanging="247"/>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6">
      <w:start w:val="1"/>
      <w:numFmt w:val="decimal"/>
      <w:lvlText w:val="%7."/>
      <w:lvlJc w:val="left"/>
      <w:pPr>
        <w:tabs>
          <w:tab w:val="num" w:pos="4980"/>
        </w:tabs>
        <w:ind w:left="4980" w:hanging="300"/>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7">
      <w:start w:val="1"/>
      <w:numFmt w:val="lowerLetter"/>
      <w:lvlText w:val="%8."/>
      <w:lvlJc w:val="left"/>
      <w:pPr>
        <w:tabs>
          <w:tab w:val="num" w:pos="5700"/>
        </w:tabs>
        <w:ind w:left="5700" w:hanging="300"/>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8">
      <w:start w:val="1"/>
      <w:numFmt w:val="lowerRoman"/>
      <w:lvlText w:val="%9."/>
      <w:lvlJc w:val="left"/>
      <w:pPr>
        <w:tabs>
          <w:tab w:val="num" w:pos="6431"/>
        </w:tabs>
        <w:ind w:left="6431" w:hanging="247"/>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abstractNum>
  <w:abstractNum w:abstractNumId="109" w15:restartNumberingAfterBreak="0">
    <w:nsid w:val="28CB2AB7"/>
    <w:multiLevelType w:val="hybridMultilevel"/>
    <w:tmpl w:val="BCBCFA1A"/>
    <w:lvl w:ilvl="0" w:tplc="B7BC32D8">
      <w:start w:val="1"/>
      <w:numFmt w:val="bullet"/>
      <w:lvlText w:val="–"/>
      <w:lvlJc w:val="left"/>
      <w:pPr>
        <w:ind w:left="1146" w:hanging="360"/>
      </w:pPr>
      <w:rPr>
        <w:rFonts w:ascii="Times New Roman" w:hAnsi="Times New Roman" w:hint="default"/>
        <w:color w:val="auto"/>
      </w:rPr>
    </w:lvl>
    <w:lvl w:ilvl="1" w:tplc="04190003">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10" w15:restartNumberingAfterBreak="0">
    <w:nsid w:val="28EA6118"/>
    <w:multiLevelType w:val="multilevel"/>
    <w:tmpl w:val="01FA1984"/>
    <w:lvl w:ilvl="0">
      <w:start w:val="1"/>
      <w:numFmt w:val="decimal"/>
      <w:lvlText w:val="%1."/>
      <w:lvlJc w:val="left"/>
      <w:pPr>
        <w:tabs>
          <w:tab w:val="num" w:pos="-786"/>
        </w:tabs>
        <w:ind w:left="360" w:hanging="360"/>
      </w:pPr>
      <w:rPr>
        <w:rFonts w:cs="Times New Roman" w:hint="default"/>
        <w:b w:val="0"/>
      </w:rPr>
    </w:lvl>
    <w:lvl w:ilvl="1">
      <w:start w:val="1"/>
      <w:numFmt w:val="decimal"/>
      <w:isLgl/>
      <w:lvlText w:val="%1.%2"/>
      <w:lvlJc w:val="left"/>
      <w:pPr>
        <w:ind w:left="1146" w:hanging="360"/>
      </w:pPr>
      <w:rPr>
        <w:rFonts w:hint="default"/>
      </w:rPr>
    </w:lvl>
    <w:lvl w:ilvl="2">
      <w:start w:val="1"/>
      <w:numFmt w:val="decimal"/>
      <w:isLgl/>
      <w:lvlText w:val="%1.%2.%3"/>
      <w:lvlJc w:val="left"/>
      <w:pPr>
        <w:ind w:left="1506" w:hanging="720"/>
      </w:pPr>
      <w:rPr>
        <w:rFonts w:hint="default"/>
      </w:rPr>
    </w:lvl>
    <w:lvl w:ilvl="3">
      <w:start w:val="1"/>
      <w:numFmt w:val="decimal"/>
      <w:isLgl/>
      <w:lvlText w:val="%1.%2.%3.%4"/>
      <w:lvlJc w:val="left"/>
      <w:pPr>
        <w:ind w:left="1506" w:hanging="720"/>
      </w:pPr>
      <w:rPr>
        <w:rFonts w:hint="default"/>
      </w:rPr>
    </w:lvl>
    <w:lvl w:ilvl="4">
      <w:start w:val="1"/>
      <w:numFmt w:val="decimal"/>
      <w:isLgl/>
      <w:lvlText w:val="%1.%2.%3.%4.%5"/>
      <w:lvlJc w:val="left"/>
      <w:pPr>
        <w:ind w:left="1866" w:hanging="1080"/>
      </w:pPr>
      <w:rPr>
        <w:rFonts w:hint="default"/>
      </w:rPr>
    </w:lvl>
    <w:lvl w:ilvl="5">
      <w:start w:val="1"/>
      <w:numFmt w:val="decimal"/>
      <w:isLgl/>
      <w:lvlText w:val="%1.%2.%3.%4.%5.%6"/>
      <w:lvlJc w:val="left"/>
      <w:pPr>
        <w:ind w:left="1866" w:hanging="1080"/>
      </w:pPr>
      <w:rPr>
        <w:rFonts w:hint="default"/>
      </w:rPr>
    </w:lvl>
    <w:lvl w:ilvl="6">
      <w:start w:val="1"/>
      <w:numFmt w:val="decimal"/>
      <w:isLgl/>
      <w:lvlText w:val="%1.%2.%3.%4.%5.%6.%7"/>
      <w:lvlJc w:val="left"/>
      <w:pPr>
        <w:ind w:left="2226" w:hanging="1440"/>
      </w:pPr>
      <w:rPr>
        <w:rFonts w:hint="default"/>
      </w:rPr>
    </w:lvl>
    <w:lvl w:ilvl="7">
      <w:start w:val="1"/>
      <w:numFmt w:val="decimal"/>
      <w:isLgl/>
      <w:lvlText w:val="%1.%2.%3.%4.%5.%6.%7.%8"/>
      <w:lvlJc w:val="left"/>
      <w:pPr>
        <w:ind w:left="2226" w:hanging="1440"/>
      </w:pPr>
      <w:rPr>
        <w:rFonts w:hint="default"/>
      </w:rPr>
    </w:lvl>
    <w:lvl w:ilvl="8">
      <w:start w:val="1"/>
      <w:numFmt w:val="decimal"/>
      <w:isLgl/>
      <w:lvlText w:val="%1.%2.%3.%4.%5.%6.%7.%8.%9"/>
      <w:lvlJc w:val="left"/>
      <w:pPr>
        <w:ind w:left="2586" w:hanging="1800"/>
      </w:pPr>
      <w:rPr>
        <w:rFonts w:hint="default"/>
      </w:rPr>
    </w:lvl>
  </w:abstractNum>
  <w:abstractNum w:abstractNumId="111" w15:restartNumberingAfterBreak="0">
    <w:nsid w:val="291C5F16"/>
    <w:multiLevelType w:val="hybridMultilevel"/>
    <w:tmpl w:val="35AC6C7C"/>
    <w:lvl w:ilvl="0" w:tplc="FFFFFFFF">
      <w:start w:val="1"/>
      <w:numFmt w:val="bullet"/>
      <w:lvlText w:val="­"/>
      <w:lvlJc w:val="left"/>
      <w:pPr>
        <w:ind w:left="1321" w:hanging="360"/>
      </w:pPr>
      <w:rPr>
        <w:rFonts w:ascii="Courier New" w:hAnsi="Courier New" w:hint="default"/>
        <w:color w:val="auto"/>
      </w:rPr>
    </w:lvl>
    <w:lvl w:ilvl="1" w:tplc="04190003" w:tentative="1">
      <w:start w:val="1"/>
      <w:numFmt w:val="bullet"/>
      <w:lvlText w:val="o"/>
      <w:lvlJc w:val="left"/>
      <w:pPr>
        <w:ind w:left="2041" w:hanging="360"/>
      </w:pPr>
      <w:rPr>
        <w:rFonts w:ascii="Courier New" w:hAnsi="Courier New" w:cs="Courier New" w:hint="default"/>
      </w:rPr>
    </w:lvl>
    <w:lvl w:ilvl="2" w:tplc="04190005" w:tentative="1">
      <w:start w:val="1"/>
      <w:numFmt w:val="bullet"/>
      <w:lvlText w:val=""/>
      <w:lvlJc w:val="left"/>
      <w:pPr>
        <w:ind w:left="2761" w:hanging="360"/>
      </w:pPr>
      <w:rPr>
        <w:rFonts w:ascii="Wingdings" w:hAnsi="Wingdings" w:hint="default"/>
      </w:rPr>
    </w:lvl>
    <w:lvl w:ilvl="3" w:tplc="04190001" w:tentative="1">
      <w:start w:val="1"/>
      <w:numFmt w:val="bullet"/>
      <w:lvlText w:val=""/>
      <w:lvlJc w:val="left"/>
      <w:pPr>
        <w:ind w:left="3481" w:hanging="360"/>
      </w:pPr>
      <w:rPr>
        <w:rFonts w:ascii="Symbol" w:hAnsi="Symbol" w:hint="default"/>
      </w:rPr>
    </w:lvl>
    <w:lvl w:ilvl="4" w:tplc="04190003" w:tentative="1">
      <w:start w:val="1"/>
      <w:numFmt w:val="bullet"/>
      <w:lvlText w:val="o"/>
      <w:lvlJc w:val="left"/>
      <w:pPr>
        <w:ind w:left="4201" w:hanging="360"/>
      </w:pPr>
      <w:rPr>
        <w:rFonts w:ascii="Courier New" w:hAnsi="Courier New" w:cs="Courier New" w:hint="default"/>
      </w:rPr>
    </w:lvl>
    <w:lvl w:ilvl="5" w:tplc="04190005" w:tentative="1">
      <w:start w:val="1"/>
      <w:numFmt w:val="bullet"/>
      <w:lvlText w:val=""/>
      <w:lvlJc w:val="left"/>
      <w:pPr>
        <w:ind w:left="4921" w:hanging="360"/>
      </w:pPr>
      <w:rPr>
        <w:rFonts w:ascii="Wingdings" w:hAnsi="Wingdings" w:hint="default"/>
      </w:rPr>
    </w:lvl>
    <w:lvl w:ilvl="6" w:tplc="04190001" w:tentative="1">
      <w:start w:val="1"/>
      <w:numFmt w:val="bullet"/>
      <w:lvlText w:val=""/>
      <w:lvlJc w:val="left"/>
      <w:pPr>
        <w:ind w:left="5641" w:hanging="360"/>
      </w:pPr>
      <w:rPr>
        <w:rFonts w:ascii="Symbol" w:hAnsi="Symbol" w:hint="default"/>
      </w:rPr>
    </w:lvl>
    <w:lvl w:ilvl="7" w:tplc="04190003" w:tentative="1">
      <w:start w:val="1"/>
      <w:numFmt w:val="bullet"/>
      <w:lvlText w:val="o"/>
      <w:lvlJc w:val="left"/>
      <w:pPr>
        <w:ind w:left="6361" w:hanging="360"/>
      </w:pPr>
      <w:rPr>
        <w:rFonts w:ascii="Courier New" w:hAnsi="Courier New" w:cs="Courier New" w:hint="default"/>
      </w:rPr>
    </w:lvl>
    <w:lvl w:ilvl="8" w:tplc="04190005" w:tentative="1">
      <w:start w:val="1"/>
      <w:numFmt w:val="bullet"/>
      <w:lvlText w:val=""/>
      <w:lvlJc w:val="left"/>
      <w:pPr>
        <w:ind w:left="7081" w:hanging="360"/>
      </w:pPr>
      <w:rPr>
        <w:rFonts w:ascii="Wingdings" w:hAnsi="Wingdings" w:hint="default"/>
      </w:rPr>
    </w:lvl>
  </w:abstractNum>
  <w:abstractNum w:abstractNumId="112" w15:restartNumberingAfterBreak="0">
    <w:nsid w:val="294D2024"/>
    <w:multiLevelType w:val="multilevel"/>
    <w:tmpl w:val="628E4374"/>
    <w:lvl w:ilvl="0">
      <w:start w:val="1"/>
      <w:numFmt w:val="decimal"/>
      <w:lvlText w:val="%1."/>
      <w:lvlJc w:val="left"/>
      <w:pPr>
        <w:tabs>
          <w:tab w:val="num" w:pos="317"/>
        </w:tabs>
        <w:ind w:left="317" w:hanging="317"/>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1">
      <w:start w:val="1"/>
      <w:numFmt w:val="lowerLetter"/>
      <w:lvlText w:val="%2."/>
      <w:lvlJc w:val="left"/>
      <w:pPr>
        <w:tabs>
          <w:tab w:val="num" w:pos="1380"/>
        </w:tabs>
        <w:ind w:left="1380" w:hanging="300"/>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2">
      <w:start w:val="1"/>
      <w:numFmt w:val="lowerRoman"/>
      <w:lvlText w:val="%3."/>
      <w:lvlJc w:val="left"/>
      <w:pPr>
        <w:tabs>
          <w:tab w:val="num" w:pos="2111"/>
        </w:tabs>
        <w:ind w:left="2111" w:hanging="247"/>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3">
      <w:start w:val="1"/>
      <w:numFmt w:val="decimal"/>
      <w:lvlText w:val="%4)"/>
      <w:lvlJc w:val="left"/>
      <w:pPr>
        <w:tabs>
          <w:tab w:val="num" w:pos="2820"/>
        </w:tabs>
        <w:ind w:left="2820" w:hanging="300"/>
      </w:pPr>
      <w:rPr>
        <w:caps w:val="0"/>
        <w:smallCaps w:val="0"/>
        <w:strike w:val="0"/>
        <w:dstrike w:val="0"/>
        <w:color w:val="000000"/>
        <w:spacing w:val="0"/>
        <w:kern w:val="0"/>
        <w:position w:val="0"/>
        <w:sz w:val="20"/>
        <w:szCs w:val="20"/>
        <w:u w:val="none" w:color="000000"/>
        <w:vertAlign w:val="baseline"/>
        <w:lang w:val="ru-RU"/>
      </w:rPr>
    </w:lvl>
    <w:lvl w:ilvl="4">
      <w:start w:val="1"/>
      <w:numFmt w:val="lowerLetter"/>
      <w:lvlText w:val="%5."/>
      <w:lvlJc w:val="left"/>
      <w:pPr>
        <w:tabs>
          <w:tab w:val="num" w:pos="3540"/>
        </w:tabs>
        <w:ind w:left="3540" w:hanging="300"/>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5">
      <w:start w:val="1"/>
      <w:numFmt w:val="lowerRoman"/>
      <w:lvlText w:val="%6."/>
      <w:lvlJc w:val="left"/>
      <w:pPr>
        <w:tabs>
          <w:tab w:val="num" w:pos="4271"/>
        </w:tabs>
        <w:ind w:left="4271" w:hanging="247"/>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6">
      <w:start w:val="1"/>
      <w:numFmt w:val="decimal"/>
      <w:lvlText w:val="%7."/>
      <w:lvlJc w:val="left"/>
      <w:pPr>
        <w:tabs>
          <w:tab w:val="num" w:pos="4980"/>
        </w:tabs>
        <w:ind w:left="4980" w:hanging="300"/>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7">
      <w:start w:val="1"/>
      <w:numFmt w:val="lowerLetter"/>
      <w:lvlText w:val="%8."/>
      <w:lvlJc w:val="left"/>
      <w:pPr>
        <w:tabs>
          <w:tab w:val="num" w:pos="5700"/>
        </w:tabs>
        <w:ind w:left="5700" w:hanging="300"/>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8">
      <w:start w:val="1"/>
      <w:numFmt w:val="lowerRoman"/>
      <w:lvlText w:val="%9."/>
      <w:lvlJc w:val="left"/>
      <w:pPr>
        <w:tabs>
          <w:tab w:val="num" w:pos="6431"/>
        </w:tabs>
        <w:ind w:left="6431" w:hanging="247"/>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abstractNum>
  <w:abstractNum w:abstractNumId="113" w15:restartNumberingAfterBreak="0">
    <w:nsid w:val="294E5D8D"/>
    <w:multiLevelType w:val="multilevel"/>
    <w:tmpl w:val="F454DDF6"/>
    <w:lvl w:ilvl="0">
      <w:start w:val="1"/>
      <w:numFmt w:val="decimal"/>
      <w:lvlText w:val="%1."/>
      <w:lvlJc w:val="left"/>
      <w:pPr>
        <w:ind w:left="717" w:hanging="360"/>
      </w:pPr>
      <w:rPr>
        <w:rFonts w:hint="default"/>
        <w:b/>
      </w:rPr>
    </w:lvl>
    <w:lvl w:ilvl="1">
      <w:start w:val="1"/>
      <w:numFmt w:val="decimal"/>
      <w:isLgl/>
      <w:lvlText w:val="%1.%2"/>
      <w:lvlJc w:val="left"/>
      <w:pPr>
        <w:ind w:left="1681" w:hanging="360"/>
      </w:pPr>
      <w:rPr>
        <w:rFonts w:hint="default"/>
      </w:rPr>
    </w:lvl>
    <w:lvl w:ilvl="2">
      <w:start w:val="1"/>
      <w:numFmt w:val="decimal"/>
      <w:isLgl/>
      <w:lvlText w:val="%1.%2.%3"/>
      <w:lvlJc w:val="left"/>
      <w:pPr>
        <w:ind w:left="3005" w:hanging="720"/>
      </w:pPr>
      <w:rPr>
        <w:rFonts w:hint="default"/>
      </w:rPr>
    </w:lvl>
    <w:lvl w:ilvl="3">
      <w:start w:val="1"/>
      <w:numFmt w:val="decimal"/>
      <w:isLgl/>
      <w:lvlText w:val="%1.%2.%3.%4"/>
      <w:lvlJc w:val="left"/>
      <w:pPr>
        <w:ind w:left="4329" w:hanging="1080"/>
      </w:pPr>
      <w:rPr>
        <w:rFonts w:hint="default"/>
      </w:rPr>
    </w:lvl>
    <w:lvl w:ilvl="4">
      <w:start w:val="1"/>
      <w:numFmt w:val="decimal"/>
      <w:isLgl/>
      <w:lvlText w:val="%1.%2.%3.%4.%5"/>
      <w:lvlJc w:val="left"/>
      <w:pPr>
        <w:ind w:left="5293" w:hanging="1080"/>
      </w:pPr>
      <w:rPr>
        <w:rFonts w:hint="default"/>
      </w:rPr>
    </w:lvl>
    <w:lvl w:ilvl="5">
      <w:start w:val="1"/>
      <w:numFmt w:val="decimal"/>
      <w:isLgl/>
      <w:lvlText w:val="%1.%2.%3.%4.%5.%6"/>
      <w:lvlJc w:val="left"/>
      <w:pPr>
        <w:ind w:left="6617" w:hanging="1440"/>
      </w:pPr>
      <w:rPr>
        <w:rFonts w:hint="default"/>
      </w:rPr>
    </w:lvl>
    <w:lvl w:ilvl="6">
      <w:start w:val="1"/>
      <w:numFmt w:val="decimal"/>
      <w:isLgl/>
      <w:lvlText w:val="%1.%2.%3.%4.%5.%6.%7"/>
      <w:lvlJc w:val="left"/>
      <w:pPr>
        <w:ind w:left="7581" w:hanging="1440"/>
      </w:pPr>
      <w:rPr>
        <w:rFonts w:hint="default"/>
      </w:rPr>
    </w:lvl>
    <w:lvl w:ilvl="7">
      <w:start w:val="1"/>
      <w:numFmt w:val="decimal"/>
      <w:isLgl/>
      <w:lvlText w:val="%1.%2.%3.%4.%5.%6.%7.%8"/>
      <w:lvlJc w:val="left"/>
      <w:pPr>
        <w:ind w:left="8905" w:hanging="1800"/>
      </w:pPr>
      <w:rPr>
        <w:rFonts w:hint="default"/>
      </w:rPr>
    </w:lvl>
    <w:lvl w:ilvl="8">
      <w:start w:val="1"/>
      <w:numFmt w:val="decimal"/>
      <w:isLgl/>
      <w:lvlText w:val="%1.%2.%3.%4.%5.%6.%7.%8.%9"/>
      <w:lvlJc w:val="left"/>
      <w:pPr>
        <w:ind w:left="9869" w:hanging="1800"/>
      </w:pPr>
      <w:rPr>
        <w:rFonts w:hint="default"/>
      </w:rPr>
    </w:lvl>
  </w:abstractNum>
  <w:abstractNum w:abstractNumId="114" w15:restartNumberingAfterBreak="0">
    <w:nsid w:val="297C44DC"/>
    <w:multiLevelType w:val="hybridMultilevel"/>
    <w:tmpl w:val="61465692"/>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15" w15:restartNumberingAfterBreak="0">
    <w:nsid w:val="2A0D5F51"/>
    <w:multiLevelType w:val="multilevel"/>
    <w:tmpl w:val="523073B0"/>
    <w:lvl w:ilvl="0">
      <w:start w:val="1"/>
      <w:numFmt w:val="decimal"/>
      <w:lvlText w:val="%1."/>
      <w:lvlJc w:val="left"/>
      <w:pPr>
        <w:tabs>
          <w:tab w:val="num" w:pos="317"/>
        </w:tabs>
        <w:ind w:left="317" w:hanging="317"/>
      </w:pPr>
      <w:rPr>
        <w:caps w:val="0"/>
        <w:smallCaps w:val="0"/>
        <w:strike w:val="0"/>
        <w:dstrike w:val="0"/>
        <w:color w:val="000000"/>
        <w:spacing w:val="0"/>
        <w:kern w:val="0"/>
        <w:position w:val="0"/>
        <w:sz w:val="20"/>
        <w:szCs w:val="20"/>
        <w:u w:val="none" w:color="000000"/>
        <w:vertAlign w:val="baseline"/>
        <w:lang w:val="ru-RU"/>
      </w:rPr>
    </w:lvl>
    <w:lvl w:ilvl="1">
      <w:start w:val="1"/>
      <w:numFmt w:val="lowerLetter"/>
      <w:lvlText w:val="%2."/>
      <w:lvlJc w:val="left"/>
      <w:pPr>
        <w:tabs>
          <w:tab w:val="num" w:pos="1380"/>
        </w:tabs>
        <w:ind w:left="1380" w:hanging="300"/>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2">
      <w:start w:val="1"/>
      <w:numFmt w:val="lowerRoman"/>
      <w:lvlText w:val="%3."/>
      <w:lvlJc w:val="left"/>
      <w:pPr>
        <w:tabs>
          <w:tab w:val="num" w:pos="2111"/>
        </w:tabs>
        <w:ind w:left="2111" w:hanging="247"/>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3">
      <w:start w:val="1"/>
      <w:numFmt w:val="decimal"/>
      <w:lvlText w:val="%4."/>
      <w:lvlJc w:val="left"/>
      <w:pPr>
        <w:tabs>
          <w:tab w:val="num" w:pos="2820"/>
        </w:tabs>
        <w:ind w:left="2820" w:hanging="300"/>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4">
      <w:start w:val="1"/>
      <w:numFmt w:val="lowerLetter"/>
      <w:lvlText w:val="%5."/>
      <w:lvlJc w:val="left"/>
      <w:pPr>
        <w:tabs>
          <w:tab w:val="num" w:pos="3540"/>
        </w:tabs>
        <w:ind w:left="3540" w:hanging="300"/>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5">
      <w:start w:val="1"/>
      <w:numFmt w:val="lowerRoman"/>
      <w:lvlText w:val="%6."/>
      <w:lvlJc w:val="left"/>
      <w:pPr>
        <w:tabs>
          <w:tab w:val="num" w:pos="4271"/>
        </w:tabs>
        <w:ind w:left="4271" w:hanging="247"/>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6">
      <w:start w:val="1"/>
      <w:numFmt w:val="decimal"/>
      <w:lvlText w:val="%7."/>
      <w:lvlJc w:val="left"/>
      <w:pPr>
        <w:tabs>
          <w:tab w:val="num" w:pos="4980"/>
        </w:tabs>
        <w:ind w:left="4980" w:hanging="300"/>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7">
      <w:start w:val="1"/>
      <w:numFmt w:val="lowerLetter"/>
      <w:lvlText w:val="%8."/>
      <w:lvlJc w:val="left"/>
      <w:pPr>
        <w:tabs>
          <w:tab w:val="num" w:pos="5700"/>
        </w:tabs>
        <w:ind w:left="5700" w:hanging="300"/>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8">
      <w:start w:val="1"/>
      <w:numFmt w:val="lowerRoman"/>
      <w:lvlText w:val="%9."/>
      <w:lvlJc w:val="left"/>
      <w:pPr>
        <w:tabs>
          <w:tab w:val="num" w:pos="6431"/>
        </w:tabs>
        <w:ind w:left="6431" w:hanging="247"/>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abstractNum>
  <w:abstractNum w:abstractNumId="116" w15:restartNumberingAfterBreak="0">
    <w:nsid w:val="2AD149B2"/>
    <w:multiLevelType w:val="multilevel"/>
    <w:tmpl w:val="CB1A35A4"/>
    <w:styleLink w:val="List19"/>
    <w:lvl w:ilvl="0">
      <w:start w:val="1"/>
      <w:numFmt w:val="decimal"/>
      <w:lvlText w:val="%1."/>
      <w:lvlJc w:val="left"/>
      <w:pPr>
        <w:tabs>
          <w:tab w:val="num" w:pos="317"/>
        </w:tabs>
        <w:ind w:left="317" w:hanging="317"/>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1">
      <w:start w:val="1"/>
      <w:numFmt w:val="lowerLetter"/>
      <w:lvlText w:val="%2."/>
      <w:lvlJc w:val="left"/>
      <w:pPr>
        <w:tabs>
          <w:tab w:val="num" w:pos="1380"/>
        </w:tabs>
        <w:ind w:left="1380" w:hanging="300"/>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2">
      <w:start w:val="1"/>
      <w:numFmt w:val="lowerRoman"/>
      <w:lvlText w:val="%3."/>
      <w:lvlJc w:val="left"/>
      <w:pPr>
        <w:tabs>
          <w:tab w:val="num" w:pos="2111"/>
        </w:tabs>
        <w:ind w:left="2111" w:hanging="247"/>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3">
      <w:start w:val="1"/>
      <w:numFmt w:val="decimal"/>
      <w:lvlText w:val="%4."/>
      <w:lvlJc w:val="left"/>
      <w:pPr>
        <w:tabs>
          <w:tab w:val="num" w:pos="2820"/>
        </w:tabs>
        <w:ind w:left="2820" w:hanging="300"/>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4">
      <w:start w:val="1"/>
      <w:numFmt w:val="lowerLetter"/>
      <w:lvlText w:val="%5."/>
      <w:lvlJc w:val="left"/>
      <w:pPr>
        <w:tabs>
          <w:tab w:val="num" w:pos="3540"/>
        </w:tabs>
        <w:ind w:left="3540" w:hanging="300"/>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5">
      <w:start w:val="1"/>
      <w:numFmt w:val="lowerRoman"/>
      <w:lvlText w:val="%6."/>
      <w:lvlJc w:val="left"/>
      <w:pPr>
        <w:tabs>
          <w:tab w:val="num" w:pos="4271"/>
        </w:tabs>
        <w:ind w:left="4271" w:hanging="247"/>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6">
      <w:start w:val="1"/>
      <w:numFmt w:val="decimal"/>
      <w:lvlText w:val="%7."/>
      <w:lvlJc w:val="left"/>
      <w:pPr>
        <w:tabs>
          <w:tab w:val="num" w:pos="4980"/>
        </w:tabs>
        <w:ind w:left="4980" w:hanging="300"/>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7">
      <w:start w:val="1"/>
      <w:numFmt w:val="lowerLetter"/>
      <w:lvlText w:val="%8."/>
      <w:lvlJc w:val="left"/>
      <w:pPr>
        <w:tabs>
          <w:tab w:val="num" w:pos="5700"/>
        </w:tabs>
        <w:ind w:left="5700" w:hanging="300"/>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8">
      <w:start w:val="1"/>
      <w:numFmt w:val="lowerRoman"/>
      <w:lvlText w:val="%9."/>
      <w:lvlJc w:val="left"/>
      <w:pPr>
        <w:tabs>
          <w:tab w:val="num" w:pos="6431"/>
        </w:tabs>
        <w:ind w:left="6431" w:hanging="247"/>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abstractNum>
  <w:abstractNum w:abstractNumId="117" w15:restartNumberingAfterBreak="0">
    <w:nsid w:val="2B6C788C"/>
    <w:multiLevelType w:val="hybridMultilevel"/>
    <w:tmpl w:val="E7FE7B1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8" w15:restartNumberingAfterBreak="0">
    <w:nsid w:val="2C296763"/>
    <w:multiLevelType w:val="hybridMultilevel"/>
    <w:tmpl w:val="3B905EA0"/>
    <w:lvl w:ilvl="0" w:tplc="C986AC6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9" w15:restartNumberingAfterBreak="0">
    <w:nsid w:val="2C4518AC"/>
    <w:multiLevelType w:val="multilevel"/>
    <w:tmpl w:val="4D82DC32"/>
    <w:styleLink w:val="List16"/>
    <w:lvl w:ilvl="0">
      <w:start w:val="1"/>
      <w:numFmt w:val="decimal"/>
      <w:lvlText w:val="%1."/>
      <w:lvlJc w:val="left"/>
      <w:pPr>
        <w:tabs>
          <w:tab w:val="num" w:pos="317"/>
        </w:tabs>
        <w:ind w:left="317" w:hanging="317"/>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1">
      <w:start w:val="1"/>
      <w:numFmt w:val="lowerLetter"/>
      <w:lvlText w:val="%2."/>
      <w:lvlJc w:val="left"/>
      <w:pPr>
        <w:tabs>
          <w:tab w:val="num" w:pos="1380"/>
        </w:tabs>
        <w:ind w:left="1380" w:hanging="300"/>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2">
      <w:start w:val="1"/>
      <w:numFmt w:val="lowerRoman"/>
      <w:lvlText w:val="%3."/>
      <w:lvlJc w:val="left"/>
      <w:pPr>
        <w:tabs>
          <w:tab w:val="num" w:pos="2111"/>
        </w:tabs>
        <w:ind w:left="2111" w:hanging="247"/>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3">
      <w:start w:val="1"/>
      <w:numFmt w:val="decimal"/>
      <w:lvlText w:val="%4."/>
      <w:lvlJc w:val="left"/>
      <w:pPr>
        <w:tabs>
          <w:tab w:val="num" w:pos="2820"/>
        </w:tabs>
        <w:ind w:left="2820" w:hanging="300"/>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4">
      <w:start w:val="1"/>
      <w:numFmt w:val="lowerLetter"/>
      <w:lvlText w:val="%5."/>
      <w:lvlJc w:val="left"/>
      <w:pPr>
        <w:tabs>
          <w:tab w:val="num" w:pos="3540"/>
        </w:tabs>
        <w:ind w:left="3540" w:hanging="300"/>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5">
      <w:start w:val="1"/>
      <w:numFmt w:val="lowerRoman"/>
      <w:lvlText w:val="%6."/>
      <w:lvlJc w:val="left"/>
      <w:pPr>
        <w:tabs>
          <w:tab w:val="num" w:pos="4271"/>
        </w:tabs>
        <w:ind w:left="4271" w:hanging="247"/>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6">
      <w:start w:val="1"/>
      <w:numFmt w:val="decimal"/>
      <w:lvlText w:val="%7."/>
      <w:lvlJc w:val="left"/>
      <w:pPr>
        <w:tabs>
          <w:tab w:val="num" w:pos="4980"/>
        </w:tabs>
        <w:ind w:left="4980" w:hanging="300"/>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7">
      <w:start w:val="1"/>
      <w:numFmt w:val="lowerLetter"/>
      <w:lvlText w:val="%8."/>
      <w:lvlJc w:val="left"/>
      <w:pPr>
        <w:tabs>
          <w:tab w:val="num" w:pos="5700"/>
        </w:tabs>
        <w:ind w:left="5700" w:hanging="300"/>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8">
      <w:start w:val="1"/>
      <w:numFmt w:val="lowerRoman"/>
      <w:lvlText w:val="%9."/>
      <w:lvlJc w:val="left"/>
      <w:pPr>
        <w:tabs>
          <w:tab w:val="num" w:pos="6431"/>
        </w:tabs>
        <w:ind w:left="6431" w:hanging="247"/>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abstractNum>
  <w:abstractNum w:abstractNumId="120" w15:restartNumberingAfterBreak="0">
    <w:nsid w:val="2C877B24"/>
    <w:multiLevelType w:val="multilevel"/>
    <w:tmpl w:val="B1A82D52"/>
    <w:lvl w:ilvl="0">
      <w:start w:val="1"/>
      <w:numFmt w:val="decimal"/>
      <w:lvlText w:val="%1."/>
      <w:lvlJc w:val="left"/>
      <w:pPr>
        <w:tabs>
          <w:tab w:val="num" w:pos="255"/>
        </w:tabs>
        <w:ind w:left="255" w:hanging="255"/>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1">
      <w:start w:val="1"/>
      <w:numFmt w:val="lowerLetter"/>
      <w:lvlText w:val="%2."/>
      <w:lvlJc w:val="left"/>
      <w:pPr>
        <w:tabs>
          <w:tab w:val="num" w:pos="1082"/>
        </w:tabs>
        <w:ind w:left="1082" w:hanging="300"/>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2">
      <w:start w:val="1"/>
      <w:numFmt w:val="lowerRoman"/>
      <w:lvlText w:val="%3."/>
      <w:lvlJc w:val="left"/>
      <w:pPr>
        <w:tabs>
          <w:tab w:val="num" w:pos="1813"/>
        </w:tabs>
        <w:ind w:left="1813" w:hanging="247"/>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3">
      <w:start w:val="1"/>
      <w:numFmt w:val="decimal"/>
      <w:lvlText w:val="%4."/>
      <w:lvlJc w:val="left"/>
      <w:pPr>
        <w:tabs>
          <w:tab w:val="num" w:pos="2522"/>
        </w:tabs>
        <w:ind w:left="2522" w:hanging="300"/>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4">
      <w:start w:val="1"/>
      <w:numFmt w:val="lowerLetter"/>
      <w:lvlText w:val="%5."/>
      <w:lvlJc w:val="left"/>
      <w:pPr>
        <w:tabs>
          <w:tab w:val="num" w:pos="3242"/>
        </w:tabs>
        <w:ind w:left="3242" w:hanging="300"/>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5">
      <w:start w:val="1"/>
      <w:numFmt w:val="lowerRoman"/>
      <w:lvlText w:val="%6."/>
      <w:lvlJc w:val="left"/>
      <w:pPr>
        <w:tabs>
          <w:tab w:val="num" w:pos="3973"/>
        </w:tabs>
        <w:ind w:left="3973" w:hanging="247"/>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6">
      <w:start w:val="1"/>
      <w:numFmt w:val="decimal"/>
      <w:lvlText w:val="%7."/>
      <w:lvlJc w:val="left"/>
      <w:pPr>
        <w:tabs>
          <w:tab w:val="num" w:pos="4682"/>
        </w:tabs>
        <w:ind w:left="4682" w:hanging="300"/>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7">
      <w:start w:val="1"/>
      <w:numFmt w:val="lowerLetter"/>
      <w:lvlText w:val="%8."/>
      <w:lvlJc w:val="left"/>
      <w:pPr>
        <w:tabs>
          <w:tab w:val="num" w:pos="5402"/>
        </w:tabs>
        <w:ind w:left="5402" w:hanging="300"/>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8">
      <w:start w:val="1"/>
      <w:numFmt w:val="lowerRoman"/>
      <w:lvlText w:val="%9."/>
      <w:lvlJc w:val="left"/>
      <w:pPr>
        <w:tabs>
          <w:tab w:val="num" w:pos="6133"/>
        </w:tabs>
        <w:ind w:left="6133" w:hanging="247"/>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abstractNum>
  <w:abstractNum w:abstractNumId="121" w15:restartNumberingAfterBreak="0">
    <w:nsid w:val="2D304A18"/>
    <w:multiLevelType w:val="hybridMultilevel"/>
    <w:tmpl w:val="E7FE7B1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2" w15:restartNumberingAfterBreak="0">
    <w:nsid w:val="2D41560D"/>
    <w:multiLevelType w:val="multilevel"/>
    <w:tmpl w:val="68D0757C"/>
    <w:lvl w:ilvl="0">
      <w:start w:val="1"/>
      <w:numFmt w:val="decimal"/>
      <w:lvlText w:val="%1."/>
      <w:lvlJc w:val="left"/>
      <w:pPr>
        <w:tabs>
          <w:tab w:val="num" w:pos="317"/>
        </w:tabs>
        <w:ind w:left="317" w:hanging="317"/>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1">
      <w:start w:val="1"/>
      <w:numFmt w:val="lowerLetter"/>
      <w:lvlText w:val="%2."/>
      <w:lvlJc w:val="left"/>
      <w:pPr>
        <w:tabs>
          <w:tab w:val="num" w:pos="1380"/>
        </w:tabs>
        <w:ind w:left="1380" w:hanging="300"/>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2">
      <w:start w:val="1"/>
      <w:numFmt w:val="lowerRoman"/>
      <w:lvlText w:val="%3."/>
      <w:lvlJc w:val="left"/>
      <w:pPr>
        <w:tabs>
          <w:tab w:val="num" w:pos="2111"/>
        </w:tabs>
        <w:ind w:left="2111" w:hanging="247"/>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3">
      <w:start w:val="1"/>
      <w:numFmt w:val="decimal"/>
      <w:lvlText w:val="%4."/>
      <w:lvlJc w:val="left"/>
      <w:pPr>
        <w:tabs>
          <w:tab w:val="num" w:pos="2820"/>
        </w:tabs>
        <w:ind w:left="2820" w:hanging="300"/>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4">
      <w:start w:val="1"/>
      <w:numFmt w:val="lowerLetter"/>
      <w:lvlText w:val="%5."/>
      <w:lvlJc w:val="left"/>
      <w:pPr>
        <w:tabs>
          <w:tab w:val="num" w:pos="3540"/>
        </w:tabs>
        <w:ind w:left="3540" w:hanging="300"/>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5">
      <w:start w:val="1"/>
      <w:numFmt w:val="lowerRoman"/>
      <w:lvlText w:val="%6."/>
      <w:lvlJc w:val="left"/>
      <w:pPr>
        <w:tabs>
          <w:tab w:val="num" w:pos="4271"/>
        </w:tabs>
        <w:ind w:left="4271" w:hanging="247"/>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6">
      <w:start w:val="1"/>
      <w:numFmt w:val="decimal"/>
      <w:lvlText w:val="%7."/>
      <w:lvlJc w:val="left"/>
      <w:pPr>
        <w:tabs>
          <w:tab w:val="num" w:pos="4980"/>
        </w:tabs>
        <w:ind w:left="4980" w:hanging="300"/>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7">
      <w:start w:val="1"/>
      <w:numFmt w:val="lowerLetter"/>
      <w:lvlText w:val="%8."/>
      <w:lvlJc w:val="left"/>
      <w:pPr>
        <w:tabs>
          <w:tab w:val="num" w:pos="5700"/>
        </w:tabs>
        <w:ind w:left="5700" w:hanging="300"/>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8">
      <w:start w:val="1"/>
      <w:numFmt w:val="lowerRoman"/>
      <w:lvlText w:val="%9."/>
      <w:lvlJc w:val="left"/>
      <w:pPr>
        <w:tabs>
          <w:tab w:val="num" w:pos="6431"/>
        </w:tabs>
        <w:ind w:left="6431" w:hanging="247"/>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abstractNum>
  <w:abstractNum w:abstractNumId="123" w15:restartNumberingAfterBreak="0">
    <w:nsid w:val="2D9561CF"/>
    <w:multiLevelType w:val="hybridMultilevel"/>
    <w:tmpl w:val="61E86F6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4" w15:restartNumberingAfterBreak="0">
    <w:nsid w:val="2DCA5F44"/>
    <w:multiLevelType w:val="multilevel"/>
    <w:tmpl w:val="01FA1984"/>
    <w:lvl w:ilvl="0">
      <w:start w:val="1"/>
      <w:numFmt w:val="decimal"/>
      <w:lvlText w:val="%1."/>
      <w:lvlJc w:val="left"/>
      <w:pPr>
        <w:tabs>
          <w:tab w:val="num" w:pos="-786"/>
        </w:tabs>
        <w:ind w:left="360" w:hanging="360"/>
      </w:pPr>
      <w:rPr>
        <w:rFonts w:cs="Times New Roman" w:hint="default"/>
        <w:b w:val="0"/>
      </w:rPr>
    </w:lvl>
    <w:lvl w:ilvl="1">
      <w:start w:val="1"/>
      <w:numFmt w:val="decimal"/>
      <w:isLgl/>
      <w:lvlText w:val="%1.%2"/>
      <w:lvlJc w:val="left"/>
      <w:pPr>
        <w:ind w:left="1146" w:hanging="360"/>
      </w:pPr>
      <w:rPr>
        <w:rFonts w:hint="default"/>
      </w:rPr>
    </w:lvl>
    <w:lvl w:ilvl="2">
      <w:start w:val="1"/>
      <w:numFmt w:val="decimal"/>
      <w:isLgl/>
      <w:lvlText w:val="%1.%2.%3"/>
      <w:lvlJc w:val="left"/>
      <w:pPr>
        <w:ind w:left="1506" w:hanging="720"/>
      </w:pPr>
      <w:rPr>
        <w:rFonts w:hint="default"/>
      </w:rPr>
    </w:lvl>
    <w:lvl w:ilvl="3">
      <w:start w:val="1"/>
      <w:numFmt w:val="decimal"/>
      <w:isLgl/>
      <w:lvlText w:val="%1.%2.%3.%4"/>
      <w:lvlJc w:val="left"/>
      <w:pPr>
        <w:ind w:left="1506" w:hanging="720"/>
      </w:pPr>
      <w:rPr>
        <w:rFonts w:hint="default"/>
      </w:rPr>
    </w:lvl>
    <w:lvl w:ilvl="4">
      <w:start w:val="1"/>
      <w:numFmt w:val="decimal"/>
      <w:isLgl/>
      <w:lvlText w:val="%1.%2.%3.%4.%5"/>
      <w:lvlJc w:val="left"/>
      <w:pPr>
        <w:ind w:left="1866" w:hanging="1080"/>
      </w:pPr>
      <w:rPr>
        <w:rFonts w:hint="default"/>
      </w:rPr>
    </w:lvl>
    <w:lvl w:ilvl="5">
      <w:start w:val="1"/>
      <w:numFmt w:val="decimal"/>
      <w:isLgl/>
      <w:lvlText w:val="%1.%2.%3.%4.%5.%6"/>
      <w:lvlJc w:val="left"/>
      <w:pPr>
        <w:ind w:left="1866" w:hanging="1080"/>
      </w:pPr>
      <w:rPr>
        <w:rFonts w:hint="default"/>
      </w:rPr>
    </w:lvl>
    <w:lvl w:ilvl="6">
      <w:start w:val="1"/>
      <w:numFmt w:val="decimal"/>
      <w:isLgl/>
      <w:lvlText w:val="%1.%2.%3.%4.%5.%6.%7"/>
      <w:lvlJc w:val="left"/>
      <w:pPr>
        <w:ind w:left="2226" w:hanging="1440"/>
      </w:pPr>
      <w:rPr>
        <w:rFonts w:hint="default"/>
      </w:rPr>
    </w:lvl>
    <w:lvl w:ilvl="7">
      <w:start w:val="1"/>
      <w:numFmt w:val="decimal"/>
      <w:isLgl/>
      <w:lvlText w:val="%1.%2.%3.%4.%5.%6.%7.%8"/>
      <w:lvlJc w:val="left"/>
      <w:pPr>
        <w:ind w:left="2226" w:hanging="1440"/>
      </w:pPr>
      <w:rPr>
        <w:rFonts w:hint="default"/>
      </w:rPr>
    </w:lvl>
    <w:lvl w:ilvl="8">
      <w:start w:val="1"/>
      <w:numFmt w:val="decimal"/>
      <w:isLgl/>
      <w:lvlText w:val="%1.%2.%3.%4.%5.%6.%7.%8.%9"/>
      <w:lvlJc w:val="left"/>
      <w:pPr>
        <w:ind w:left="2586" w:hanging="1800"/>
      </w:pPr>
      <w:rPr>
        <w:rFonts w:hint="default"/>
      </w:rPr>
    </w:lvl>
  </w:abstractNum>
  <w:abstractNum w:abstractNumId="125" w15:restartNumberingAfterBreak="0">
    <w:nsid w:val="2DD15B4D"/>
    <w:multiLevelType w:val="multilevel"/>
    <w:tmpl w:val="EEF6FA0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92"/>
        </w:tabs>
        <w:ind w:left="792" w:hanging="432"/>
      </w:pPr>
      <w:rPr>
        <w:rFonts w:cs="Times New Roman" w:hint="default"/>
      </w:rPr>
    </w:lvl>
    <w:lvl w:ilvl="2">
      <w:start w:val="1"/>
      <w:numFmt w:val="decimal"/>
      <w:lvlText w:val="2.2.%3."/>
      <w:lvlJc w:val="left"/>
      <w:pPr>
        <w:tabs>
          <w:tab w:val="num" w:pos="1440"/>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126" w15:restartNumberingAfterBreak="0">
    <w:nsid w:val="2DD3461E"/>
    <w:multiLevelType w:val="multilevel"/>
    <w:tmpl w:val="036CBD66"/>
    <w:lvl w:ilvl="0">
      <w:start w:val="1"/>
      <w:numFmt w:val="decimal"/>
      <w:lvlText w:val="%1)"/>
      <w:lvlJc w:val="left"/>
      <w:pPr>
        <w:tabs>
          <w:tab w:val="num" w:pos="255"/>
        </w:tabs>
        <w:ind w:left="255" w:hanging="255"/>
      </w:pPr>
      <w:rPr>
        <w:rFonts w:ascii="Garamond" w:eastAsia="Cambria" w:hAnsi="Garamond" w:cs="Cambria"/>
        <w:caps w:val="0"/>
        <w:smallCaps w:val="0"/>
        <w:strike w:val="0"/>
        <w:dstrike w:val="0"/>
        <w:color w:val="000000"/>
        <w:spacing w:val="0"/>
        <w:kern w:val="0"/>
        <w:position w:val="0"/>
        <w:sz w:val="20"/>
        <w:szCs w:val="20"/>
        <w:u w:val="none" w:color="000000"/>
        <w:vertAlign w:val="baseline"/>
        <w:lang w:val="ru-RU"/>
      </w:rPr>
    </w:lvl>
    <w:lvl w:ilvl="1">
      <w:start w:val="1"/>
      <w:numFmt w:val="lowerLetter"/>
      <w:lvlText w:val="%2."/>
      <w:lvlJc w:val="left"/>
      <w:pPr>
        <w:tabs>
          <w:tab w:val="num" w:pos="1082"/>
        </w:tabs>
        <w:ind w:left="1082" w:hanging="300"/>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2">
      <w:start w:val="1"/>
      <w:numFmt w:val="lowerRoman"/>
      <w:lvlText w:val="%3."/>
      <w:lvlJc w:val="left"/>
      <w:pPr>
        <w:tabs>
          <w:tab w:val="num" w:pos="1813"/>
        </w:tabs>
        <w:ind w:left="1813" w:hanging="247"/>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3">
      <w:start w:val="1"/>
      <w:numFmt w:val="decimal"/>
      <w:lvlText w:val="%4."/>
      <w:lvlJc w:val="left"/>
      <w:pPr>
        <w:tabs>
          <w:tab w:val="num" w:pos="2522"/>
        </w:tabs>
        <w:ind w:left="2522" w:hanging="300"/>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4">
      <w:start w:val="1"/>
      <w:numFmt w:val="lowerLetter"/>
      <w:lvlText w:val="%5."/>
      <w:lvlJc w:val="left"/>
      <w:pPr>
        <w:tabs>
          <w:tab w:val="num" w:pos="3242"/>
        </w:tabs>
        <w:ind w:left="3242" w:hanging="300"/>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5">
      <w:start w:val="1"/>
      <w:numFmt w:val="lowerRoman"/>
      <w:lvlText w:val="%6."/>
      <w:lvlJc w:val="left"/>
      <w:pPr>
        <w:tabs>
          <w:tab w:val="num" w:pos="3973"/>
        </w:tabs>
        <w:ind w:left="3973" w:hanging="247"/>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6">
      <w:start w:val="1"/>
      <w:numFmt w:val="decimal"/>
      <w:lvlText w:val="%7."/>
      <w:lvlJc w:val="left"/>
      <w:pPr>
        <w:tabs>
          <w:tab w:val="num" w:pos="4682"/>
        </w:tabs>
        <w:ind w:left="4682" w:hanging="300"/>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7">
      <w:start w:val="1"/>
      <w:numFmt w:val="lowerLetter"/>
      <w:lvlText w:val="%8."/>
      <w:lvlJc w:val="left"/>
      <w:pPr>
        <w:tabs>
          <w:tab w:val="num" w:pos="5402"/>
        </w:tabs>
        <w:ind w:left="5402" w:hanging="300"/>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8">
      <w:start w:val="1"/>
      <w:numFmt w:val="lowerRoman"/>
      <w:lvlText w:val="%9."/>
      <w:lvlJc w:val="left"/>
      <w:pPr>
        <w:tabs>
          <w:tab w:val="num" w:pos="6133"/>
        </w:tabs>
        <w:ind w:left="6133" w:hanging="247"/>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abstractNum>
  <w:abstractNum w:abstractNumId="127" w15:restartNumberingAfterBreak="0">
    <w:nsid w:val="2DFB22A8"/>
    <w:multiLevelType w:val="hybridMultilevel"/>
    <w:tmpl w:val="10526EE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8" w15:restartNumberingAfterBreak="0">
    <w:nsid w:val="2E22028C"/>
    <w:multiLevelType w:val="hybridMultilevel"/>
    <w:tmpl w:val="A1A26A5A"/>
    <w:lvl w:ilvl="0" w:tplc="F46A40BE">
      <w:start w:val="1"/>
      <w:numFmt w:val="russianLower"/>
      <w:lvlText w:val="%1)"/>
      <w:lvlJc w:val="left"/>
      <w:pPr>
        <w:ind w:left="1320" w:hanging="360"/>
      </w:pPr>
      <w:rPr>
        <w:rFonts w:hint="default"/>
      </w:rPr>
    </w:lvl>
    <w:lvl w:ilvl="1" w:tplc="04190019" w:tentative="1">
      <w:start w:val="1"/>
      <w:numFmt w:val="lowerLetter"/>
      <w:lvlText w:val="%2."/>
      <w:lvlJc w:val="left"/>
      <w:pPr>
        <w:ind w:left="2040" w:hanging="360"/>
      </w:pPr>
    </w:lvl>
    <w:lvl w:ilvl="2" w:tplc="0419001B" w:tentative="1">
      <w:start w:val="1"/>
      <w:numFmt w:val="lowerRoman"/>
      <w:lvlText w:val="%3."/>
      <w:lvlJc w:val="right"/>
      <w:pPr>
        <w:ind w:left="2760" w:hanging="180"/>
      </w:pPr>
    </w:lvl>
    <w:lvl w:ilvl="3" w:tplc="0419000F" w:tentative="1">
      <w:start w:val="1"/>
      <w:numFmt w:val="decimal"/>
      <w:lvlText w:val="%4."/>
      <w:lvlJc w:val="left"/>
      <w:pPr>
        <w:ind w:left="3480" w:hanging="360"/>
      </w:pPr>
    </w:lvl>
    <w:lvl w:ilvl="4" w:tplc="04190019" w:tentative="1">
      <w:start w:val="1"/>
      <w:numFmt w:val="lowerLetter"/>
      <w:lvlText w:val="%5."/>
      <w:lvlJc w:val="left"/>
      <w:pPr>
        <w:ind w:left="4200" w:hanging="360"/>
      </w:pPr>
    </w:lvl>
    <w:lvl w:ilvl="5" w:tplc="0419001B" w:tentative="1">
      <w:start w:val="1"/>
      <w:numFmt w:val="lowerRoman"/>
      <w:lvlText w:val="%6."/>
      <w:lvlJc w:val="right"/>
      <w:pPr>
        <w:ind w:left="4920" w:hanging="180"/>
      </w:pPr>
    </w:lvl>
    <w:lvl w:ilvl="6" w:tplc="0419000F" w:tentative="1">
      <w:start w:val="1"/>
      <w:numFmt w:val="decimal"/>
      <w:lvlText w:val="%7."/>
      <w:lvlJc w:val="left"/>
      <w:pPr>
        <w:ind w:left="5640" w:hanging="360"/>
      </w:pPr>
    </w:lvl>
    <w:lvl w:ilvl="7" w:tplc="04190019" w:tentative="1">
      <w:start w:val="1"/>
      <w:numFmt w:val="lowerLetter"/>
      <w:lvlText w:val="%8."/>
      <w:lvlJc w:val="left"/>
      <w:pPr>
        <w:ind w:left="6360" w:hanging="360"/>
      </w:pPr>
    </w:lvl>
    <w:lvl w:ilvl="8" w:tplc="0419001B" w:tentative="1">
      <w:start w:val="1"/>
      <w:numFmt w:val="lowerRoman"/>
      <w:lvlText w:val="%9."/>
      <w:lvlJc w:val="right"/>
      <w:pPr>
        <w:ind w:left="7080" w:hanging="180"/>
      </w:pPr>
    </w:lvl>
  </w:abstractNum>
  <w:abstractNum w:abstractNumId="129" w15:restartNumberingAfterBreak="0">
    <w:nsid w:val="2E314700"/>
    <w:multiLevelType w:val="multilevel"/>
    <w:tmpl w:val="D828081A"/>
    <w:lvl w:ilvl="0">
      <w:start w:val="1"/>
      <w:numFmt w:val="russianLower"/>
      <w:lvlText w:val="%1)"/>
      <w:lvlJc w:val="left"/>
      <w:rPr>
        <w:rFonts w:hint="default"/>
        <w:position w:val="0"/>
        <w:lang w:val="ru-RU"/>
      </w:rPr>
    </w:lvl>
    <w:lvl w:ilvl="1">
      <w:start w:val="1"/>
      <w:numFmt w:val="decimal"/>
      <w:lvlText w:val="%2."/>
      <w:lvlJc w:val="left"/>
      <w:rPr>
        <w:color w:val="auto"/>
        <w:position w:val="0"/>
        <w:lang w:val="ru-RU"/>
      </w:rPr>
    </w:lvl>
    <w:lvl w:ilvl="2">
      <w:start w:val="1"/>
      <w:numFmt w:val="lowerRoman"/>
      <w:lvlText w:val="%3."/>
      <w:lvlJc w:val="left"/>
      <w:rPr>
        <w:rFonts w:ascii="Garamond" w:eastAsia="Garamond" w:hAnsi="Garamond" w:cs="Garamond"/>
        <w:position w:val="0"/>
        <w:lang w:val="ru-RU"/>
      </w:rPr>
    </w:lvl>
    <w:lvl w:ilvl="3">
      <w:start w:val="1"/>
      <w:numFmt w:val="decimal"/>
      <w:lvlText w:val="%4."/>
      <w:lvlJc w:val="left"/>
      <w:rPr>
        <w:rFonts w:ascii="Garamond" w:eastAsia="Garamond" w:hAnsi="Garamond" w:cs="Garamond"/>
        <w:position w:val="0"/>
        <w:lang w:val="ru-RU"/>
      </w:rPr>
    </w:lvl>
    <w:lvl w:ilvl="4">
      <w:start w:val="1"/>
      <w:numFmt w:val="lowerLetter"/>
      <w:lvlText w:val="%5."/>
      <w:lvlJc w:val="left"/>
      <w:rPr>
        <w:rFonts w:ascii="Garamond" w:eastAsia="Garamond" w:hAnsi="Garamond" w:cs="Garamond"/>
        <w:position w:val="0"/>
        <w:lang w:val="ru-RU"/>
      </w:rPr>
    </w:lvl>
    <w:lvl w:ilvl="5">
      <w:start w:val="1"/>
      <w:numFmt w:val="lowerRoman"/>
      <w:lvlText w:val="%6."/>
      <w:lvlJc w:val="left"/>
      <w:rPr>
        <w:rFonts w:ascii="Garamond" w:eastAsia="Garamond" w:hAnsi="Garamond" w:cs="Garamond"/>
        <w:position w:val="0"/>
        <w:lang w:val="ru-RU"/>
      </w:rPr>
    </w:lvl>
    <w:lvl w:ilvl="6">
      <w:start w:val="1"/>
      <w:numFmt w:val="decimal"/>
      <w:lvlText w:val="%7."/>
      <w:lvlJc w:val="left"/>
      <w:rPr>
        <w:rFonts w:ascii="Garamond" w:eastAsia="Garamond" w:hAnsi="Garamond" w:cs="Garamond"/>
        <w:position w:val="0"/>
        <w:lang w:val="ru-RU"/>
      </w:rPr>
    </w:lvl>
    <w:lvl w:ilvl="7">
      <w:start w:val="1"/>
      <w:numFmt w:val="lowerLetter"/>
      <w:lvlText w:val="%8."/>
      <w:lvlJc w:val="left"/>
      <w:rPr>
        <w:rFonts w:ascii="Garamond" w:eastAsia="Garamond" w:hAnsi="Garamond" w:cs="Garamond"/>
        <w:position w:val="0"/>
        <w:lang w:val="ru-RU"/>
      </w:rPr>
    </w:lvl>
    <w:lvl w:ilvl="8">
      <w:start w:val="1"/>
      <w:numFmt w:val="lowerRoman"/>
      <w:lvlText w:val="%9."/>
      <w:lvlJc w:val="left"/>
      <w:rPr>
        <w:rFonts w:ascii="Garamond" w:eastAsia="Garamond" w:hAnsi="Garamond" w:cs="Garamond"/>
        <w:position w:val="0"/>
        <w:lang w:val="ru-RU"/>
      </w:rPr>
    </w:lvl>
  </w:abstractNum>
  <w:abstractNum w:abstractNumId="130" w15:restartNumberingAfterBreak="0">
    <w:nsid w:val="2E867D86"/>
    <w:multiLevelType w:val="hybridMultilevel"/>
    <w:tmpl w:val="8834BC86"/>
    <w:lvl w:ilvl="0" w:tplc="FFFFFFFF">
      <w:start w:val="1"/>
      <w:numFmt w:val="bullet"/>
      <w:lvlText w:val="­"/>
      <w:lvlJc w:val="left"/>
      <w:pPr>
        <w:ind w:left="1321" w:hanging="360"/>
      </w:pPr>
      <w:rPr>
        <w:rFonts w:ascii="Courier New" w:hAnsi="Courier New" w:hint="default"/>
        <w:color w:val="auto"/>
      </w:rPr>
    </w:lvl>
    <w:lvl w:ilvl="1" w:tplc="04190003" w:tentative="1">
      <w:start w:val="1"/>
      <w:numFmt w:val="bullet"/>
      <w:lvlText w:val="o"/>
      <w:lvlJc w:val="left"/>
      <w:pPr>
        <w:ind w:left="2041" w:hanging="360"/>
      </w:pPr>
      <w:rPr>
        <w:rFonts w:ascii="Courier New" w:hAnsi="Courier New" w:cs="Courier New" w:hint="default"/>
      </w:rPr>
    </w:lvl>
    <w:lvl w:ilvl="2" w:tplc="04190005" w:tentative="1">
      <w:start w:val="1"/>
      <w:numFmt w:val="bullet"/>
      <w:lvlText w:val=""/>
      <w:lvlJc w:val="left"/>
      <w:pPr>
        <w:ind w:left="2761" w:hanging="360"/>
      </w:pPr>
      <w:rPr>
        <w:rFonts w:ascii="Wingdings" w:hAnsi="Wingdings" w:hint="default"/>
      </w:rPr>
    </w:lvl>
    <w:lvl w:ilvl="3" w:tplc="04190001" w:tentative="1">
      <w:start w:val="1"/>
      <w:numFmt w:val="bullet"/>
      <w:lvlText w:val=""/>
      <w:lvlJc w:val="left"/>
      <w:pPr>
        <w:ind w:left="3481" w:hanging="360"/>
      </w:pPr>
      <w:rPr>
        <w:rFonts w:ascii="Symbol" w:hAnsi="Symbol" w:hint="default"/>
      </w:rPr>
    </w:lvl>
    <w:lvl w:ilvl="4" w:tplc="04190003" w:tentative="1">
      <w:start w:val="1"/>
      <w:numFmt w:val="bullet"/>
      <w:lvlText w:val="o"/>
      <w:lvlJc w:val="left"/>
      <w:pPr>
        <w:ind w:left="4201" w:hanging="360"/>
      </w:pPr>
      <w:rPr>
        <w:rFonts w:ascii="Courier New" w:hAnsi="Courier New" w:cs="Courier New" w:hint="default"/>
      </w:rPr>
    </w:lvl>
    <w:lvl w:ilvl="5" w:tplc="04190005" w:tentative="1">
      <w:start w:val="1"/>
      <w:numFmt w:val="bullet"/>
      <w:lvlText w:val=""/>
      <w:lvlJc w:val="left"/>
      <w:pPr>
        <w:ind w:left="4921" w:hanging="360"/>
      </w:pPr>
      <w:rPr>
        <w:rFonts w:ascii="Wingdings" w:hAnsi="Wingdings" w:hint="default"/>
      </w:rPr>
    </w:lvl>
    <w:lvl w:ilvl="6" w:tplc="04190001" w:tentative="1">
      <w:start w:val="1"/>
      <w:numFmt w:val="bullet"/>
      <w:lvlText w:val=""/>
      <w:lvlJc w:val="left"/>
      <w:pPr>
        <w:ind w:left="5641" w:hanging="360"/>
      </w:pPr>
      <w:rPr>
        <w:rFonts w:ascii="Symbol" w:hAnsi="Symbol" w:hint="default"/>
      </w:rPr>
    </w:lvl>
    <w:lvl w:ilvl="7" w:tplc="04190003" w:tentative="1">
      <w:start w:val="1"/>
      <w:numFmt w:val="bullet"/>
      <w:lvlText w:val="o"/>
      <w:lvlJc w:val="left"/>
      <w:pPr>
        <w:ind w:left="6361" w:hanging="360"/>
      </w:pPr>
      <w:rPr>
        <w:rFonts w:ascii="Courier New" w:hAnsi="Courier New" w:cs="Courier New" w:hint="default"/>
      </w:rPr>
    </w:lvl>
    <w:lvl w:ilvl="8" w:tplc="04190005" w:tentative="1">
      <w:start w:val="1"/>
      <w:numFmt w:val="bullet"/>
      <w:lvlText w:val=""/>
      <w:lvlJc w:val="left"/>
      <w:pPr>
        <w:ind w:left="7081" w:hanging="360"/>
      </w:pPr>
      <w:rPr>
        <w:rFonts w:ascii="Wingdings" w:hAnsi="Wingdings" w:hint="default"/>
      </w:rPr>
    </w:lvl>
  </w:abstractNum>
  <w:abstractNum w:abstractNumId="131" w15:restartNumberingAfterBreak="0">
    <w:nsid w:val="2F1F7C5E"/>
    <w:multiLevelType w:val="multilevel"/>
    <w:tmpl w:val="FBB61872"/>
    <w:lvl w:ilvl="0">
      <w:start w:val="1"/>
      <w:numFmt w:val="decimal"/>
      <w:lvlText w:val="%1."/>
      <w:lvlJc w:val="left"/>
      <w:pPr>
        <w:tabs>
          <w:tab w:val="num" w:pos="317"/>
        </w:tabs>
        <w:ind w:left="317" w:hanging="317"/>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1">
      <w:start w:val="1"/>
      <w:numFmt w:val="lowerLetter"/>
      <w:lvlText w:val="%2."/>
      <w:lvlJc w:val="left"/>
      <w:pPr>
        <w:tabs>
          <w:tab w:val="num" w:pos="1380"/>
        </w:tabs>
        <w:ind w:left="1380" w:hanging="300"/>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2">
      <w:start w:val="1"/>
      <w:numFmt w:val="lowerRoman"/>
      <w:lvlText w:val="%3."/>
      <w:lvlJc w:val="left"/>
      <w:pPr>
        <w:tabs>
          <w:tab w:val="num" w:pos="2111"/>
        </w:tabs>
        <w:ind w:left="2111" w:hanging="247"/>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3">
      <w:start w:val="1"/>
      <w:numFmt w:val="decimal"/>
      <w:lvlText w:val="%4."/>
      <w:lvlJc w:val="left"/>
      <w:pPr>
        <w:tabs>
          <w:tab w:val="num" w:pos="2820"/>
        </w:tabs>
        <w:ind w:left="2820" w:hanging="300"/>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4">
      <w:start w:val="1"/>
      <w:numFmt w:val="lowerLetter"/>
      <w:lvlText w:val="%5."/>
      <w:lvlJc w:val="left"/>
      <w:pPr>
        <w:tabs>
          <w:tab w:val="num" w:pos="3540"/>
        </w:tabs>
        <w:ind w:left="3540" w:hanging="300"/>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5">
      <w:start w:val="1"/>
      <w:numFmt w:val="lowerRoman"/>
      <w:lvlText w:val="%6."/>
      <w:lvlJc w:val="left"/>
      <w:pPr>
        <w:tabs>
          <w:tab w:val="num" w:pos="4271"/>
        </w:tabs>
        <w:ind w:left="4271" w:hanging="247"/>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6">
      <w:start w:val="1"/>
      <w:numFmt w:val="decimal"/>
      <w:lvlText w:val="%7."/>
      <w:lvlJc w:val="left"/>
      <w:pPr>
        <w:tabs>
          <w:tab w:val="num" w:pos="4980"/>
        </w:tabs>
        <w:ind w:left="4980" w:hanging="300"/>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7">
      <w:start w:val="1"/>
      <w:numFmt w:val="lowerLetter"/>
      <w:lvlText w:val="%8."/>
      <w:lvlJc w:val="left"/>
      <w:pPr>
        <w:tabs>
          <w:tab w:val="num" w:pos="5700"/>
        </w:tabs>
        <w:ind w:left="5700" w:hanging="300"/>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8">
      <w:start w:val="1"/>
      <w:numFmt w:val="lowerRoman"/>
      <w:lvlText w:val="%9."/>
      <w:lvlJc w:val="left"/>
      <w:pPr>
        <w:tabs>
          <w:tab w:val="num" w:pos="6431"/>
        </w:tabs>
        <w:ind w:left="6431" w:hanging="247"/>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abstractNum>
  <w:abstractNum w:abstractNumId="132" w15:restartNumberingAfterBreak="0">
    <w:nsid w:val="2F743067"/>
    <w:multiLevelType w:val="multilevel"/>
    <w:tmpl w:val="1540B780"/>
    <w:lvl w:ilvl="0">
      <w:start w:val="1"/>
      <w:numFmt w:val="bullet"/>
      <w:lvlText w:val=""/>
      <w:lvlJc w:val="left"/>
      <w:pPr>
        <w:tabs>
          <w:tab w:val="num" w:pos="0"/>
        </w:tabs>
        <w:ind w:left="360" w:hanging="360"/>
      </w:pPr>
      <w:rPr>
        <w:rFonts w:ascii="Symbol" w:hAnsi="Symbol" w:hint="default"/>
      </w:rPr>
    </w:lvl>
    <w:lvl w:ilvl="1">
      <w:start w:val="1"/>
      <w:numFmt w:val="decimal"/>
      <w:lvlText w:val="%1.%2."/>
      <w:lvlJc w:val="left"/>
      <w:pPr>
        <w:tabs>
          <w:tab w:val="num" w:pos="0"/>
        </w:tabs>
        <w:ind w:left="2204" w:hanging="360"/>
      </w:pPr>
      <w:rPr>
        <w:rFonts w:ascii="Garamond" w:hAnsi="Garamond" w:hint="default"/>
        <w:i w:val="0"/>
        <w:sz w:val="22"/>
        <w:szCs w:val="22"/>
      </w:rPr>
    </w:lvl>
    <w:lvl w:ilvl="2">
      <w:start w:val="1"/>
      <w:numFmt w:val="decimal"/>
      <w:lvlText w:val="%1.%2.%3."/>
      <w:lvlJc w:val="left"/>
      <w:pPr>
        <w:tabs>
          <w:tab w:val="num" w:pos="0"/>
        </w:tabs>
        <w:ind w:left="3360" w:hanging="720"/>
      </w:pPr>
      <w:rPr>
        <w:rFonts w:ascii="Garamond" w:hAnsi="Garamond" w:hint="default"/>
        <w:strike w:val="0"/>
        <w:sz w:val="22"/>
        <w:szCs w:val="22"/>
      </w:rPr>
    </w:lvl>
    <w:lvl w:ilvl="3">
      <w:start w:val="1"/>
      <w:numFmt w:val="decimal"/>
      <w:lvlText w:val="%1.%2.%3.%4"/>
      <w:lvlJc w:val="left"/>
      <w:pPr>
        <w:tabs>
          <w:tab w:val="num" w:pos="0"/>
        </w:tabs>
        <w:ind w:left="5040" w:hanging="1080"/>
      </w:pPr>
      <w:rPr>
        <w:rFonts w:hint="default"/>
      </w:rPr>
    </w:lvl>
    <w:lvl w:ilvl="4">
      <w:start w:val="1"/>
      <w:numFmt w:val="decimal"/>
      <w:lvlText w:val="%1.%2.%3.%4.%5"/>
      <w:lvlJc w:val="left"/>
      <w:pPr>
        <w:tabs>
          <w:tab w:val="num" w:pos="0"/>
        </w:tabs>
        <w:ind w:left="6360" w:hanging="1080"/>
      </w:pPr>
      <w:rPr>
        <w:rFonts w:hint="default"/>
      </w:rPr>
    </w:lvl>
    <w:lvl w:ilvl="5">
      <w:start w:val="1"/>
      <w:numFmt w:val="decimal"/>
      <w:lvlText w:val="%1.%2.%3.%4.%5.%6"/>
      <w:lvlJc w:val="left"/>
      <w:pPr>
        <w:tabs>
          <w:tab w:val="num" w:pos="0"/>
        </w:tabs>
        <w:ind w:left="8040" w:hanging="1440"/>
      </w:pPr>
      <w:rPr>
        <w:rFonts w:hint="default"/>
      </w:rPr>
    </w:lvl>
    <w:lvl w:ilvl="6">
      <w:start w:val="1"/>
      <w:numFmt w:val="decimal"/>
      <w:lvlText w:val="%1.%2.%3.%4.%5.%6.%7"/>
      <w:lvlJc w:val="left"/>
      <w:pPr>
        <w:tabs>
          <w:tab w:val="num" w:pos="0"/>
        </w:tabs>
        <w:ind w:left="9360" w:hanging="1440"/>
      </w:pPr>
      <w:rPr>
        <w:rFonts w:hint="default"/>
      </w:rPr>
    </w:lvl>
    <w:lvl w:ilvl="7">
      <w:start w:val="1"/>
      <w:numFmt w:val="decimal"/>
      <w:lvlText w:val="%1.%2.%3.%4.%5.%6.%7.%8"/>
      <w:lvlJc w:val="left"/>
      <w:pPr>
        <w:tabs>
          <w:tab w:val="num" w:pos="0"/>
        </w:tabs>
        <w:ind w:left="11040" w:hanging="1800"/>
      </w:pPr>
      <w:rPr>
        <w:rFonts w:hint="default"/>
      </w:rPr>
    </w:lvl>
    <w:lvl w:ilvl="8">
      <w:start w:val="1"/>
      <w:numFmt w:val="decimal"/>
      <w:lvlText w:val="%1.%2.%3.%4.%5.%6.%7.%8.%9"/>
      <w:lvlJc w:val="left"/>
      <w:pPr>
        <w:tabs>
          <w:tab w:val="num" w:pos="0"/>
        </w:tabs>
        <w:ind w:left="12360" w:hanging="1800"/>
      </w:pPr>
      <w:rPr>
        <w:rFonts w:hint="default"/>
      </w:rPr>
    </w:lvl>
  </w:abstractNum>
  <w:abstractNum w:abstractNumId="133" w15:restartNumberingAfterBreak="0">
    <w:nsid w:val="2F97600B"/>
    <w:multiLevelType w:val="multilevel"/>
    <w:tmpl w:val="82846F74"/>
    <w:styleLink w:val="List49"/>
    <w:lvl w:ilvl="0">
      <w:start w:val="1"/>
      <w:numFmt w:val="decimal"/>
      <w:lvlText w:val="%1."/>
      <w:lvlJc w:val="left"/>
      <w:pPr>
        <w:tabs>
          <w:tab w:val="num" w:pos="317"/>
        </w:tabs>
        <w:ind w:left="317" w:hanging="317"/>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1">
      <w:start w:val="1"/>
      <w:numFmt w:val="lowerLetter"/>
      <w:lvlText w:val="%2."/>
      <w:lvlJc w:val="left"/>
      <w:pPr>
        <w:tabs>
          <w:tab w:val="num" w:pos="1380"/>
        </w:tabs>
        <w:ind w:left="1380" w:hanging="300"/>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2">
      <w:start w:val="1"/>
      <w:numFmt w:val="lowerRoman"/>
      <w:lvlText w:val="%3."/>
      <w:lvlJc w:val="left"/>
      <w:pPr>
        <w:tabs>
          <w:tab w:val="num" w:pos="2111"/>
        </w:tabs>
        <w:ind w:left="2111" w:hanging="247"/>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3">
      <w:start w:val="1"/>
      <w:numFmt w:val="decimal"/>
      <w:lvlText w:val="%4."/>
      <w:lvlJc w:val="left"/>
      <w:pPr>
        <w:tabs>
          <w:tab w:val="num" w:pos="2820"/>
        </w:tabs>
        <w:ind w:left="2820" w:hanging="300"/>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4">
      <w:start w:val="1"/>
      <w:numFmt w:val="lowerLetter"/>
      <w:lvlText w:val="%5."/>
      <w:lvlJc w:val="left"/>
      <w:pPr>
        <w:tabs>
          <w:tab w:val="num" w:pos="3540"/>
        </w:tabs>
        <w:ind w:left="3540" w:hanging="300"/>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5">
      <w:start w:val="1"/>
      <w:numFmt w:val="lowerRoman"/>
      <w:lvlText w:val="%6."/>
      <w:lvlJc w:val="left"/>
      <w:pPr>
        <w:tabs>
          <w:tab w:val="num" w:pos="4271"/>
        </w:tabs>
        <w:ind w:left="4271" w:hanging="247"/>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6">
      <w:start w:val="1"/>
      <w:numFmt w:val="decimal"/>
      <w:lvlText w:val="%7."/>
      <w:lvlJc w:val="left"/>
      <w:pPr>
        <w:tabs>
          <w:tab w:val="num" w:pos="4980"/>
        </w:tabs>
        <w:ind w:left="4980" w:hanging="300"/>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7">
      <w:start w:val="1"/>
      <w:numFmt w:val="lowerLetter"/>
      <w:lvlText w:val="%8."/>
      <w:lvlJc w:val="left"/>
      <w:pPr>
        <w:tabs>
          <w:tab w:val="num" w:pos="5700"/>
        </w:tabs>
        <w:ind w:left="5700" w:hanging="300"/>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8">
      <w:start w:val="1"/>
      <w:numFmt w:val="lowerRoman"/>
      <w:lvlText w:val="%9."/>
      <w:lvlJc w:val="left"/>
      <w:pPr>
        <w:tabs>
          <w:tab w:val="num" w:pos="6431"/>
        </w:tabs>
        <w:ind w:left="6431" w:hanging="247"/>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abstractNum>
  <w:abstractNum w:abstractNumId="134" w15:restartNumberingAfterBreak="0">
    <w:nsid w:val="2FA92D91"/>
    <w:multiLevelType w:val="multilevel"/>
    <w:tmpl w:val="BF8E26CC"/>
    <w:styleLink w:val="List8"/>
    <w:lvl w:ilvl="0">
      <w:start w:val="1"/>
      <w:numFmt w:val="decimal"/>
      <w:lvlText w:val="%1."/>
      <w:lvlJc w:val="left"/>
      <w:pPr>
        <w:tabs>
          <w:tab w:val="num" w:pos="317"/>
        </w:tabs>
        <w:ind w:left="317" w:hanging="317"/>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1">
      <w:start w:val="1"/>
      <w:numFmt w:val="lowerLetter"/>
      <w:lvlText w:val="%2."/>
      <w:lvlJc w:val="left"/>
      <w:pPr>
        <w:tabs>
          <w:tab w:val="num" w:pos="1380"/>
        </w:tabs>
        <w:ind w:left="1380" w:hanging="300"/>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2">
      <w:start w:val="1"/>
      <w:numFmt w:val="lowerRoman"/>
      <w:lvlText w:val="%3."/>
      <w:lvlJc w:val="left"/>
      <w:pPr>
        <w:tabs>
          <w:tab w:val="num" w:pos="2111"/>
        </w:tabs>
        <w:ind w:left="2111" w:hanging="247"/>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3">
      <w:start w:val="1"/>
      <w:numFmt w:val="decimal"/>
      <w:lvlText w:val="%4."/>
      <w:lvlJc w:val="left"/>
      <w:pPr>
        <w:tabs>
          <w:tab w:val="num" w:pos="2820"/>
        </w:tabs>
        <w:ind w:left="2820" w:hanging="300"/>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4">
      <w:start w:val="1"/>
      <w:numFmt w:val="lowerLetter"/>
      <w:lvlText w:val="%5."/>
      <w:lvlJc w:val="left"/>
      <w:pPr>
        <w:tabs>
          <w:tab w:val="num" w:pos="3540"/>
        </w:tabs>
        <w:ind w:left="3540" w:hanging="300"/>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5">
      <w:start w:val="1"/>
      <w:numFmt w:val="lowerRoman"/>
      <w:lvlText w:val="%6."/>
      <w:lvlJc w:val="left"/>
      <w:pPr>
        <w:tabs>
          <w:tab w:val="num" w:pos="4271"/>
        </w:tabs>
        <w:ind w:left="4271" w:hanging="247"/>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6">
      <w:start w:val="1"/>
      <w:numFmt w:val="decimal"/>
      <w:lvlText w:val="%7."/>
      <w:lvlJc w:val="left"/>
      <w:pPr>
        <w:tabs>
          <w:tab w:val="num" w:pos="4980"/>
        </w:tabs>
        <w:ind w:left="4980" w:hanging="300"/>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7">
      <w:start w:val="1"/>
      <w:numFmt w:val="lowerLetter"/>
      <w:lvlText w:val="%8."/>
      <w:lvlJc w:val="left"/>
      <w:pPr>
        <w:tabs>
          <w:tab w:val="num" w:pos="5700"/>
        </w:tabs>
        <w:ind w:left="5700" w:hanging="300"/>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8">
      <w:start w:val="1"/>
      <w:numFmt w:val="lowerRoman"/>
      <w:lvlText w:val="%9."/>
      <w:lvlJc w:val="left"/>
      <w:pPr>
        <w:tabs>
          <w:tab w:val="num" w:pos="6431"/>
        </w:tabs>
        <w:ind w:left="6431" w:hanging="247"/>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abstractNum>
  <w:abstractNum w:abstractNumId="135" w15:restartNumberingAfterBreak="0">
    <w:nsid w:val="2FC131C5"/>
    <w:multiLevelType w:val="hybridMultilevel"/>
    <w:tmpl w:val="215C170A"/>
    <w:lvl w:ilvl="0" w:tplc="9DF42E38">
      <w:start w:val="1"/>
      <w:numFmt w:val="russianLow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136" w15:restartNumberingAfterBreak="0">
    <w:nsid w:val="2FC557EB"/>
    <w:multiLevelType w:val="hybridMultilevel"/>
    <w:tmpl w:val="37DEC038"/>
    <w:lvl w:ilvl="0" w:tplc="FFFFFFFF">
      <w:start w:val="1"/>
      <w:numFmt w:val="bullet"/>
      <w:lvlText w:val="­"/>
      <w:lvlJc w:val="left"/>
      <w:pPr>
        <w:ind w:left="2401" w:hanging="360"/>
      </w:pPr>
      <w:rPr>
        <w:rFonts w:ascii="Courier New" w:hAnsi="Courier New" w:hint="default"/>
        <w:color w:val="auto"/>
      </w:rPr>
    </w:lvl>
    <w:lvl w:ilvl="1" w:tplc="04190003" w:tentative="1">
      <w:start w:val="1"/>
      <w:numFmt w:val="bullet"/>
      <w:lvlText w:val="o"/>
      <w:lvlJc w:val="left"/>
      <w:pPr>
        <w:ind w:left="3121" w:hanging="360"/>
      </w:pPr>
      <w:rPr>
        <w:rFonts w:ascii="Courier New" w:hAnsi="Courier New" w:cs="Courier New" w:hint="default"/>
      </w:rPr>
    </w:lvl>
    <w:lvl w:ilvl="2" w:tplc="04190005" w:tentative="1">
      <w:start w:val="1"/>
      <w:numFmt w:val="bullet"/>
      <w:lvlText w:val=""/>
      <w:lvlJc w:val="left"/>
      <w:pPr>
        <w:ind w:left="3841" w:hanging="360"/>
      </w:pPr>
      <w:rPr>
        <w:rFonts w:ascii="Wingdings" w:hAnsi="Wingdings" w:hint="default"/>
      </w:rPr>
    </w:lvl>
    <w:lvl w:ilvl="3" w:tplc="04190001" w:tentative="1">
      <w:start w:val="1"/>
      <w:numFmt w:val="bullet"/>
      <w:lvlText w:val=""/>
      <w:lvlJc w:val="left"/>
      <w:pPr>
        <w:ind w:left="4561" w:hanging="360"/>
      </w:pPr>
      <w:rPr>
        <w:rFonts w:ascii="Symbol" w:hAnsi="Symbol" w:hint="default"/>
      </w:rPr>
    </w:lvl>
    <w:lvl w:ilvl="4" w:tplc="04190003" w:tentative="1">
      <w:start w:val="1"/>
      <w:numFmt w:val="bullet"/>
      <w:lvlText w:val="o"/>
      <w:lvlJc w:val="left"/>
      <w:pPr>
        <w:ind w:left="5281" w:hanging="360"/>
      </w:pPr>
      <w:rPr>
        <w:rFonts w:ascii="Courier New" w:hAnsi="Courier New" w:cs="Courier New" w:hint="default"/>
      </w:rPr>
    </w:lvl>
    <w:lvl w:ilvl="5" w:tplc="04190005" w:tentative="1">
      <w:start w:val="1"/>
      <w:numFmt w:val="bullet"/>
      <w:lvlText w:val=""/>
      <w:lvlJc w:val="left"/>
      <w:pPr>
        <w:ind w:left="6001" w:hanging="360"/>
      </w:pPr>
      <w:rPr>
        <w:rFonts w:ascii="Wingdings" w:hAnsi="Wingdings" w:hint="default"/>
      </w:rPr>
    </w:lvl>
    <w:lvl w:ilvl="6" w:tplc="04190001" w:tentative="1">
      <w:start w:val="1"/>
      <w:numFmt w:val="bullet"/>
      <w:lvlText w:val=""/>
      <w:lvlJc w:val="left"/>
      <w:pPr>
        <w:ind w:left="6721" w:hanging="360"/>
      </w:pPr>
      <w:rPr>
        <w:rFonts w:ascii="Symbol" w:hAnsi="Symbol" w:hint="default"/>
      </w:rPr>
    </w:lvl>
    <w:lvl w:ilvl="7" w:tplc="04190003" w:tentative="1">
      <w:start w:val="1"/>
      <w:numFmt w:val="bullet"/>
      <w:lvlText w:val="o"/>
      <w:lvlJc w:val="left"/>
      <w:pPr>
        <w:ind w:left="7441" w:hanging="360"/>
      </w:pPr>
      <w:rPr>
        <w:rFonts w:ascii="Courier New" w:hAnsi="Courier New" w:cs="Courier New" w:hint="default"/>
      </w:rPr>
    </w:lvl>
    <w:lvl w:ilvl="8" w:tplc="04190005" w:tentative="1">
      <w:start w:val="1"/>
      <w:numFmt w:val="bullet"/>
      <w:lvlText w:val=""/>
      <w:lvlJc w:val="left"/>
      <w:pPr>
        <w:ind w:left="8161" w:hanging="360"/>
      </w:pPr>
      <w:rPr>
        <w:rFonts w:ascii="Wingdings" w:hAnsi="Wingdings" w:hint="default"/>
      </w:rPr>
    </w:lvl>
  </w:abstractNum>
  <w:abstractNum w:abstractNumId="137" w15:restartNumberingAfterBreak="0">
    <w:nsid w:val="2FD403BB"/>
    <w:multiLevelType w:val="hybridMultilevel"/>
    <w:tmpl w:val="BC6AD1B4"/>
    <w:lvl w:ilvl="0" w:tplc="FFFFFFFF">
      <w:start w:val="1"/>
      <w:numFmt w:val="bullet"/>
      <w:lvlText w:val="­"/>
      <w:lvlJc w:val="left"/>
      <w:pPr>
        <w:ind w:left="1321" w:hanging="360"/>
      </w:pPr>
      <w:rPr>
        <w:rFonts w:ascii="Courier New" w:hAnsi="Courier New" w:hint="default"/>
        <w:color w:val="auto"/>
      </w:rPr>
    </w:lvl>
    <w:lvl w:ilvl="1" w:tplc="04190003" w:tentative="1">
      <w:start w:val="1"/>
      <w:numFmt w:val="bullet"/>
      <w:lvlText w:val="o"/>
      <w:lvlJc w:val="left"/>
      <w:pPr>
        <w:ind w:left="2041" w:hanging="360"/>
      </w:pPr>
      <w:rPr>
        <w:rFonts w:ascii="Courier New" w:hAnsi="Courier New" w:cs="Courier New" w:hint="default"/>
      </w:rPr>
    </w:lvl>
    <w:lvl w:ilvl="2" w:tplc="04190005" w:tentative="1">
      <w:start w:val="1"/>
      <w:numFmt w:val="bullet"/>
      <w:lvlText w:val=""/>
      <w:lvlJc w:val="left"/>
      <w:pPr>
        <w:ind w:left="2761" w:hanging="360"/>
      </w:pPr>
      <w:rPr>
        <w:rFonts w:ascii="Wingdings" w:hAnsi="Wingdings" w:hint="default"/>
      </w:rPr>
    </w:lvl>
    <w:lvl w:ilvl="3" w:tplc="04190001" w:tentative="1">
      <w:start w:val="1"/>
      <w:numFmt w:val="bullet"/>
      <w:lvlText w:val=""/>
      <w:lvlJc w:val="left"/>
      <w:pPr>
        <w:ind w:left="3481" w:hanging="360"/>
      </w:pPr>
      <w:rPr>
        <w:rFonts w:ascii="Symbol" w:hAnsi="Symbol" w:hint="default"/>
      </w:rPr>
    </w:lvl>
    <w:lvl w:ilvl="4" w:tplc="04190003" w:tentative="1">
      <w:start w:val="1"/>
      <w:numFmt w:val="bullet"/>
      <w:lvlText w:val="o"/>
      <w:lvlJc w:val="left"/>
      <w:pPr>
        <w:ind w:left="4201" w:hanging="360"/>
      </w:pPr>
      <w:rPr>
        <w:rFonts w:ascii="Courier New" w:hAnsi="Courier New" w:cs="Courier New" w:hint="default"/>
      </w:rPr>
    </w:lvl>
    <w:lvl w:ilvl="5" w:tplc="04190005" w:tentative="1">
      <w:start w:val="1"/>
      <w:numFmt w:val="bullet"/>
      <w:lvlText w:val=""/>
      <w:lvlJc w:val="left"/>
      <w:pPr>
        <w:ind w:left="4921" w:hanging="360"/>
      </w:pPr>
      <w:rPr>
        <w:rFonts w:ascii="Wingdings" w:hAnsi="Wingdings" w:hint="default"/>
      </w:rPr>
    </w:lvl>
    <w:lvl w:ilvl="6" w:tplc="04190001" w:tentative="1">
      <w:start w:val="1"/>
      <w:numFmt w:val="bullet"/>
      <w:lvlText w:val=""/>
      <w:lvlJc w:val="left"/>
      <w:pPr>
        <w:ind w:left="5641" w:hanging="360"/>
      </w:pPr>
      <w:rPr>
        <w:rFonts w:ascii="Symbol" w:hAnsi="Symbol" w:hint="default"/>
      </w:rPr>
    </w:lvl>
    <w:lvl w:ilvl="7" w:tplc="04190003" w:tentative="1">
      <w:start w:val="1"/>
      <w:numFmt w:val="bullet"/>
      <w:lvlText w:val="o"/>
      <w:lvlJc w:val="left"/>
      <w:pPr>
        <w:ind w:left="6361" w:hanging="360"/>
      </w:pPr>
      <w:rPr>
        <w:rFonts w:ascii="Courier New" w:hAnsi="Courier New" w:cs="Courier New" w:hint="default"/>
      </w:rPr>
    </w:lvl>
    <w:lvl w:ilvl="8" w:tplc="04190005" w:tentative="1">
      <w:start w:val="1"/>
      <w:numFmt w:val="bullet"/>
      <w:lvlText w:val=""/>
      <w:lvlJc w:val="left"/>
      <w:pPr>
        <w:ind w:left="7081" w:hanging="360"/>
      </w:pPr>
      <w:rPr>
        <w:rFonts w:ascii="Wingdings" w:hAnsi="Wingdings" w:hint="default"/>
      </w:rPr>
    </w:lvl>
  </w:abstractNum>
  <w:abstractNum w:abstractNumId="138" w15:restartNumberingAfterBreak="0">
    <w:nsid w:val="314A1EDC"/>
    <w:multiLevelType w:val="multilevel"/>
    <w:tmpl w:val="38B4B478"/>
    <w:styleLink w:val="List34"/>
    <w:lvl w:ilvl="0">
      <w:start w:val="1"/>
      <w:numFmt w:val="decimal"/>
      <w:lvlText w:val="%1."/>
      <w:lvlJc w:val="left"/>
      <w:pPr>
        <w:tabs>
          <w:tab w:val="num" w:pos="317"/>
        </w:tabs>
        <w:ind w:left="317" w:hanging="317"/>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1">
      <w:start w:val="1"/>
      <w:numFmt w:val="lowerLetter"/>
      <w:lvlText w:val="%2."/>
      <w:lvlJc w:val="left"/>
      <w:pPr>
        <w:tabs>
          <w:tab w:val="num" w:pos="1380"/>
        </w:tabs>
        <w:ind w:left="1380" w:hanging="300"/>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2">
      <w:start w:val="1"/>
      <w:numFmt w:val="lowerRoman"/>
      <w:lvlText w:val="%3."/>
      <w:lvlJc w:val="left"/>
      <w:pPr>
        <w:tabs>
          <w:tab w:val="num" w:pos="2111"/>
        </w:tabs>
        <w:ind w:left="2111" w:hanging="247"/>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3">
      <w:start w:val="1"/>
      <w:numFmt w:val="decimal"/>
      <w:lvlText w:val="%4."/>
      <w:lvlJc w:val="left"/>
      <w:pPr>
        <w:tabs>
          <w:tab w:val="num" w:pos="2820"/>
        </w:tabs>
        <w:ind w:left="2820" w:hanging="300"/>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4">
      <w:start w:val="1"/>
      <w:numFmt w:val="lowerLetter"/>
      <w:lvlText w:val="%5."/>
      <w:lvlJc w:val="left"/>
      <w:pPr>
        <w:tabs>
          <w:tab w:val="num" w:pos="3540"/>
        </w:tabs>
        <w:ind w:left="3540" w:hanging="300"/>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5">
      <w:start w:val="1"/>
      <w:numFmt w:val="lowerRoman"/>
      <w:lvlText w:val="%6."/>
      <w:lvlJc w:val="left"/>
      <w:pPr>
        <w:tabs>
          <w:tab w:val="num" w:pos="4271"/>
        </w:tabs>
        <w:ind w:left="4271" w:hanging="247"/>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6">
      <w:start w:val="1"/>
      <w:numFmt w:val="decimal"/>
      <w:lvlText w:val="%7."/>
      <w:lvlJc w:val="left"/>
      <w:pPr>
        <w:tabs>
          <w:tab w:val="num" w:pos="4980"/>
        </w:tabs>
        <w:ind w:left="4980" w:hanging="300"/>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7">
      <w:start w:val="1"/>
      <w:numFmt w:val="lowerLetter"/>
      <w:lvlText w:val="%8."/>
      <w:lvlJc w:val="left"/>
      <w:pPr>
        <w:tabs>
          <w:tab w:val="num" w:pos="5700"/>
        </w:tabs>
        <w:ind w:left="5700" w:hanging="300"/>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8">
      <w:start w:val="1"/>
      <w:numFmt w:val="lowerRoman"/>
      <w:lvlText w:val="%9."/>
      <w:lvlJc w:val="left"/>
      <w:pPr>
        <w:tabs>
          <w:tab w:val="num" w:pos="6431"/>
        </w:tabs>
        <w:ind w:left="6431" w:hanging="247"/>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abstractNum>
  <w:abstractNum w:abstractNumId="139" w15:restartNumberingAfterBreak="0">
    <w:nsid w:val="316A6F4E"/>
    <w:multiLevelType w:val="hybridMultilevel"/>
    <w:tmpl w:val="90741F60"/>
    <w:lvl w:ilvl="0" w:tplc="FFFFFFFF">
      <w:start w:val="1"/>
      <w:numFmt w:val="bullet"/>
      <w:lvlText w:val="­"/>
      <w:lvlJc w:val="left"/>
      <w:pPr>
        <w:ind w:left="1321" w:hanging="360"/>
      </w:pPr>
      <w:rPr>
        <w:rFonts w:ascii="Courier New" w:hAnsi="Courier New" w:hint="default"/>
        <w:color w:val="auto"/>
      </w:rPr>
    </w:lvl>
    <w:lvl w:ilvl="1" w:tplc="04190003" w:tentative="1">
      <w:start w:val="1"/>
      <w:numFmt w:val="bullet"/>
      <w:lvlText w:val="o"/>
      <w:lvlJc w:val="left"/>
      <w:pPr>
        <w:ind w:left="2041" w:hanging="360"/>
      </w:pPr>
      <w:rPr>
        <w:rFonts w:ascii="Courier New" w:hAnsi="Courier New" w:cs="Courier New" w:hint="default"/>
      </w:rPr>
    </w:lvl>
    <w:lvl w:ilvl="2" w:tplc="04190005" w:tentative="1">
      <w:start w:val="1"/>
      <w:numFmt w:val="bullet"/>
      <w:lvlText w:val=""/>
      <w:lvlJc w:val="left"/>
      <w:pPr>
        <w:ind w:left="2761" w:hanging="360"/>
      </w:pPr>
      <w:rPr>
        <w:rFonts w:ascii="Wingdings" w:hAnsi="Wingdings" w:hint="default"/>
      </w:rPr>
    </w:lvl>
    <w:lvl w:ilvl="3" w:tplc="04190001" w:tentative="1">
      <w:start w:val="1"/>
      <w:numFmt w:val="bullet"/>
      <w:lvlText w:val=""/>
      <w:lvlJc w:val="left"/>
      <w:pPr>
        <w:ind w:left="3481" w:hanging="360"/>
      </w:pPr>
      <w:rPr>
        <w:rFonts w:ascii="Symbol" w:hAnsi="Symbol" w:hint="default"/>
      </w:rPr>
    </w:lvl>
    <w:lvl w:ilvl="4" w:tplc="04190003" w:tentative="1">
      <w:start w:val="1"/>
      <w:numFmt w:val="bullet"/>
      <w:lvlText w:val="o"/>
      <w:lvlJc w:val="left"/>
      <w:pPr>
        <w:ind w:left="4201" w:hanging="360"/>
      </w:pPr>
      <w:rPr>
        <w:rFonts w:ascii="Courier New" w:hAnsi="Courier New" w:cs="Courier New" w:hint="default"/>
      </w:rPr>
    </w:lvl>
    <w:lvl w:ilvl="5" w:tplc="04190005" w:tentative="1">
      <w:start w:val="1"/>
      <w:numFmt w:val="bullet"/>
      <w:lvlText w:val=""/>
      <w:lvlJc w:val="left"/>
      <w:pPr>
        <w:ind w:left="4921" w:hanging="360"/>
      </w:pPr>
      <w:rPr>
        <w:rFonts w:ascii="Wingdings" w:hAnsi="Wingdings" w:hint="default"/>
      </w:rPr>
    </w:lvl>
    <w:lvl w:ilvl="6" w:tplc="04190001" w:tentative="1">
      <w:start w:val="1"/>
      <w:numFmt w:val="bullet"/>
      <w:lvlText w:val=""/>
      <w:lvlJc w:val="left"/>
      <w:pPr>
        <w:ind w:left="5641" w:hanging="360"/>
      </w:pPr>
      <w:rPr>
        <w:rFonts w:ascii="Symbol" w:hAnsi="Symbol" w:hint="default"/>
      </w:rPr>
    </w:lvl>
    <w:lvl w:ilvl="7" w:tplc="04190003" w:tentative="1">
      <w:start w:val="1"/>
      <w:numFmt w:val="bullet"/>
      <w:lvlText w:val="o"/>
      <w:lvlJc w:val="left"/>
      <w:pPr>
        <w:ind w:left="6361" w:hanging="360"/>
      </w:pPr>
      <w:rPr>
        <w:rFonts w:ascii="Courier New" w:hAnsi="Courier New" w:cs="Courier New" w:hint="default"/>
      </w:rPr>
    </w:lvl>
    <w:lvl w:ilvl="8" w:tplc="04190005" w:tentative="1">
      <w:start w:val="1"/>
      <w:numFmt w:val="bullet"/>
      <w:lvlText w:val=""/>
      <w:lvlJc w:val="left"/>
      <w:pPr>
        <w:ind w:left="7081" w:hanging="360"/>
      </w:pPr>
      <w:rPr>
        <w:rFonts w:ascii="Wingdings" w:hAnsi="Wingdings" w:hint="default"/>
      </w:rPr>
    </w:lvl>
  </w:abstractNum>
  <w:abstractNum w:abstractNumId="140" w15:restartNumberingAfterBreak="0">
    <w:nsid w:val="317A4D82"/>
    <w:multiLevelType w:val="hybridMultilevel"/>
    <w:tmpl w:val="8E8E61E0"/>
    <w:lvl w:ilvl="0" w:tplc="FFFFFFFF">
      <w:start w:val="1"/>
      <w:numFmt w:val="bullet"/>
      <w:lvlText w:val="­"/>
      <w:lvlJc w:val="left"/>
      <w:pPr>
        <w:ind w:left="720" w:hanging="360"/>
      </w:pPr>
      <w:rPr>
        <w:rFonts w:ascii="Courier New" w:hAnsi="Courier New"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1" w15:restartNumberingAfterBreak="0">
    <w:nsid w:val="327D3374"/>
    <w:multiLevelType w:val="hybridMultilevel"/>
    <w:tmpl w:val="E7FE7B1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2" w15:restartNumberingAfterBreak="0">
    <w:nsid w:val="329664EE"/>
    <w:multiLevelType w:val="hybridMultilevel"/>
    <w:tmpl w:val="036810C8"/>
    <w:lvl w:ilvl="0" w:tplc="87D8FCBA">
      <w:start w:val="1"/>
      <w:numFmt w:val="decimal"/>
      <w:lvlText w:val="5.1.%1."/>
      <w:lvlJc w:val="left"/>
      <w:pPr>
        <w:tabs>
          <w:tab w:val="num" w:pos="0"/>
        </w:tabs>
        <w:ind w:left="928" w:hanging="360"/>
      </w:pPr>
      <w:rPr>
        <w:rFonts w:hint="default"/>
        <w:strike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3" w15:restartNumberingAfterBreak="0">
    <w:nsid w:val="32B33C23"/>
    <w:multiLevelType w:val="multilevel"/>
    <w:tmpl w:val="9578B568"/>
    <w:styleLink w:val="List58"/>
    <w:lvl w:ilvl="0">
      <w:start w:val="1"/>
      <w:numFmt w:val="decimal"/>
      <w:lvlText w:val="%1."/>
      <w:lvlJc w:val="left"/>
      <w:pPr>
        <w:tabs>
          <w:tab w:val="num" w:pos="317"/>
        </w:tabs>
        <w:ind w:left="317" w:hanging="317"/>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1">
      <w:start w:val="1"/>
      <w:numFmt w:val="lowerLetter"/>
      <w:lvlText w:val="%2."/>
      <w:lvlJc w:val="left"/>
      <w:pPr>
        <w:tabs>
          <w:tab w:val="num" w:pos="1380"/>
        </w:tabs>
        <w:ind w:left="1380" w:hanging="300"/>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2">
      <w:start w:val="1"/>
      <w:numFmt w:val="lowerRoman"/>
      <w:lvlText w:val="%3."/>
      <w:lvlJc w:val="left"/>
      <w:pPr>
        <w:tabs>
          <w:tab w:val="num" w:pos="2111"/>
        </w:tabs>
        <w:ind w:left="2111" w:hanging="247"/>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3">
      <w:start w:val="1"/>
      <w:numFmt w:val="decimal"/>
      <w:lvlText w:val="%4."/>
      <w:lvlJc w:val="left"/>
      <w:pPr>
        <w:tabs>
          <w:tab w:val="num" w:pos="2820"/>
        </w:tabs>
        <w:ind w:left="2820" w:hanging="300"/>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4">
      <w:start w:val="1"/>
      <w:numFmt w:val="lowerLetter"/>
      <w:lvlText w:val="%5."/>
      <w:lvlJc w:val="left"/>
      <w:pPr>
        <w:tabs>
          <w:tab w:val="num" w:pos="3540"/>
        </w:tabs>
        <w:ind w:left="3540" w:hanging="300"/>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5">
      <w:start w:val="1"/>
      <w:numFmt w:val="lowerRoman"/>
      <w:lvlText w:val="%6."/>
      <w:lvlJc w:val="left"/>
      <w:pPr>
        <w:tabs>
          <w:tab w:val="num" w:pos="4271"/>
        </w:tabs>
        <w:ind w:left="4271" w:hanging="247"/>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6">
      <w:start w:val="1"/>
      <w:numFmt w:val="decimal"/>
      <w:lvlText w:val="%7."/>
      <w:lvlJc w:val="left"/>
      <w:pPr>
        <w:tabs>
          <w:tab w:val="num" w:pos="4980"/>
        </w:tabs>
        <w:ind w:left="4980" w:hanging="300"/>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7">
      <w:start w:val="1"/>
      <w:numFmt w:val="lowerLetter"/>
      <w:lvlText w:val="%8."/>
      <w:lvlJc w:val="left"/>
      <w:pPr>
        <w:tabs>
          <w:tab w:val="num" w:pos="5700"/>
        </w:tabs>
        <w:ind w:left="5700" w:hanging="300"/>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8">
      <w:start w:val="1"/>
      <w:numFmt w:val="lowerRoman"/>
      <w:lvlText w:val="%9."/>
      <w:lvlJc w:val="left"/>
      <w:pPr>
        <w:tabs>
          <w:tab w:val="num" w:pos="6431"/>
        </w:tabs>
        <w:ind w:left="6431" w:hanging="247"/>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abstractNum>
  <w:abstractNum w:abstractNumId="144" w15:restartNumberingAfterBreak="0">
    <w:nsid w:val="32D26D03"/>
    <w:multiLevelType w:val="hybridMultilevel"/>
    <w:tmpl w:val="4AF6283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5" w15:restartNumberingAfterBreak="0">
    <w:nsid w:val="32FD5D64"/>
    <w:multiLevelType w:val="hybridMultilevel"/>
    <w:tmpl w:val="1F8A77CE"/>
    <w:lvl w:ilvl="0" w:tplc="04190001">
      <w:start w:val="1"/>
      <w:numFmt w:val="bullet"/>
      <w:lvlText w:val=""/>
      <w:lvlJc w:val="left"/>
      <w:pPr>
        <w:ind w:left="1321" w:hanging="360"/>
      </w:pPr>
      <w:rPr>
        <w:rFonts w:ascii="Symbol" w:hAnsi="Symbol" w:hint="default"/>
      </w:rPr>
    </w:lvl>
    <w:lvl w:ilvl="1" w:tplc="04190003" w:tentative="1">
      <w:start w:val="1"/>
      <w:numFmt w:val="bullet"/>
      <w:lvlText w:val="o"/>
      <w:lvlJc w:val="left"/>
      <w:pPr>
        <w:ind w:left="2041" w:hanging="360"/>
      </w:pPr>
      <w:rPr>
        <w:rFonts w:ascii="Courier New" w:hAnsi="Courier New" w:cs="Courier New" w:hint="default"/>
      </w:rPr>
    </w:lvl>
    <w:lvl w:ilvl="2" w:tplc="04190005" w:tentative="1">
      <w:start w:val="1"/>
      <w:numFmt w:val="bullet"/>
      <w:lvlText w:val=""/>
      <w:lvlJc w:val="left"/>
      <w:pPr>
        <w:ind w:left="2761" w:hanging="360"/>
      </w:pPr>
      <w:rPr>
        <w:rFonts w:ascii="Wingdings" w:hAnsi="Wingdings" w:hint="default"/>
      </w:rPr>
    </w:lvl>
    <w:lvl w:ilvl="3" w:tplc="04190001" w:tentative="1">
      <w:start w:val="1"/>
      <w:numFmt w:val="bullet"/>
      <w:lvlText w:val=""/>
      <w:lvlJc w:val="left"/>
      <w:pPr>
        <w:ind w:left="3481" w:hanging="360"/>
      </w:pPr>
      <w:rPr>
        <w:rFonts w:ascii="Symbol" w:hAnsi="Symbol" w:hint="default"/>
      </w:rPr>
    </w:lvl>
    <w:lvl w:ilvl="4" w:tplc="04190003" w:tentative="1">
      <w:start w:val="1"/>
      <w:numFmt w:val="bullet"/>
      <w:lvlText w:val="o"/>
      <w:lvlJc w:val="left"/>
      <w:pPr>
        <w:ind w:left="4201" w:hanging="360"/>
      </w:pPr>
      <w:rPr>
        <w:rFonts w:ascii="Courier New" w:hAnsi="Courier New" w:cs="Courier New" w:hint="default"/>
      </w:rPr>
    </w:lvl>
    <w:lvl w:ilvl="5" w:tplc="04190005" w:tentative="1">
      <w:start w:val="1"/>
      <w:numFmt w:val="bullet"/>
      <w:lvlText w:val=""/>
      <w:lvlJc w:val="left"/>
      <w:pPr>
        <w:ind w:left="4921" w:hanging="360"/>
      </w:pPr>
      <w:rPr>
        <w:rFonts w:ascii="Wingdings" w:hAnsi="Wingdings" w:hint="default"/>
      </w:rPr>
    </w:lvl>
    <w:lvl w:ilvl="6" w:tplc="04190001" w:tentative="1">
      <w:start w:val="1"/>
      <w:numFmt w:val="bullet"/>
      <w:lvlText w:val=""/>
      <w:lvlJc w:val="left"/>
      <w:pPr>
        <w:ind w:left="5641" w:hanging="360"/>
      </w:pPr>
      <w:rPr>
        <w:rFonts w:ascii="Symbol" w:hAnsi="Symbol" w:hint="default"/>
      </w:rPr>
    </w:lvl>
    <w:lvl w:ilvl="7" w:tplc="04190003" w:tentative="1">
      <w:start w:val="1"/>
      <w:numFmt w:val="bullet"/>
      <w:lvlText w:val="o"/>
      <w:lvlJc w:val="left"/>
      <w:pPr>
        <w:ind w:left="6361" w:hanging="360"/>
      </w:pPr>
      <w:rPr>
        <w:rFonts w:ascii="Courier New" w:hAnsi="Courier New" w:cs="Courier New" w:hint="default"/>
      </w:rPr>
    </w:lvl>
    <w:lvl w:ilvl="8" w:tplc="04190005" w:tentative="1">
      <w:start w:val="1"/>
      <w:numFmt w:val="bullet"/>
      <w:lvlText w:val=""/>
      <w:lvlJc w:val="left"/>
      <w:pPr>
        <w:ind w:left="7081" w:hanging="360"/>
      </w:pPr>
      <w:rPr>
        <w:rFonts w:ascii="Wingdings" w:hAnsi="Wingdings" w:hint="default"/>
      </w:rPr>
    </w:lvl>
  </w:abstractNum>
  <w:abstractNum w:abstractNumId="146" w15:restartNumberingAfterBreak="0">
    <w:nsid w:val="3354576F"/>
    <w:multiLevelType w:val="hybridMultilevel"/>
    <w:tmpl w:val="37063E92"/>
    <w:lvl w:ilvl="0" w:tplc="C548EC8C">
      <w:start w:val="1"/>
      <w:numFmt w:val="decimal"/>
      <w:lvlText w:val="%1)"/>
      <w:lvlJc w:val="left"/>
      <w:pPr>
        <w:ind w:left="960" w:hanging="360"/>
      </w:pPr>
      <w:rPr>
        <w:rFonts w:hint="default"/>
      </w:rPr>
    </w:lvl>
    <w:lvl w:ilvl="1" w:tplc="04190019" w:tentative="1">
      <w:start w:val="1"/>
      <w:numFmt w:val="lowerLetter"/>
      <w:lvlText w:val="%2."/>
      <w:lvlJc w:val="left"/>
      <w:pPr>
        <w:ind w:left="1680" w:hanging="360"/>
      </w:pPr>
    </w:lvl>
    <w:lvl w:ilvl="2" w:tplc="0419001B" w:tentative="1">
      <w:start w:val="1"/>
      <w:numFmt w:val="lowerRoman"/>
      <w:lvlText w:val="%3."/>
      <w:lvlJc w:val="right"/>
      <w:pPr>
        <w:ind w:left="2400" w:hanging="180"/>
      </w:pPr>
    </w:lvl>
    <w:lvl w:ilvl="3" w:tplc="0419000F" w:tentative="1">
      <w:start w:val="1"/>
      <w:numFmt w:val="decimal"/>
      <w:lvlText w:val="%4."/>
      <w:lvlJc w:val="left"/>
      <w:pPr>
        <w:ind w:left="3120" w:hanging="360"/>
      </w:pPr>
    </w:lvl>
    <w:lvl w:ilvl="4" w:tplc="04190019" w:tentative="1">
      <w:start w:val="1"/>
      <w:numFmt w:val="lowerLetter"/>
      <w:lvlText w:val="%5."/>
      <w:lvlJc w:val="left"/>
      <w:pPr>
        <w:ind w:left="3840" w:hanging="360"/>
      </w:pPr>
    </w:lvl>
    <w:lvl w:ilvl="5" w:tplc="0419001B" w:tentative="1">
      <w:start w:val="1"/>
      <w:numFmt w:val="lowerRoman"/>
      <w:lvlText w:val="%6."/>
      <w:lvlJc w:val="right"/>
      <w:pPr>
        <w:ind w:left="4560" w:hanging="180"/>
      </w:pPr>
    </w:lvl>
    <w:lvl w:ilvl="6" w:tplc="0419000F" w:tentative="1">
      <w:start w:val="1"/>
      <w:numFmt w:val="decimal"/>
      <w:lvlText w:val="%7."/>
      <w:lvlJc w:val="left"/>
      <w:pPr>
        <w:ind w:left="5280" w:hanging="360"/>
      </w:pPr>
    </w:lvl>
    <w:lvl w:ilvl="7" w:tplc="04190019" w:tentative="1">
      <w:start w:val="1"/>
      <w:numFmt w:val="lowerLetter"/>
      <w:lvlText w:val="%8."/>
      <w:lvlJc w:val="left"/>
      <w:pPr>
        <w:ind w:left="6000" w:hanging="360"/>
      </w:pPr>
    </w:lvl>
    <w:lvl w:ilvl="8" w:tplc="0419001B" w:tentative="1">
      <w:start w:val="1"/>
      <w:numFmt w:val="lowerRoman"/>
      <w:lvlText w:val="%9."/>
      <w:lvlJc w:val="right"/>
      <w:pPr>
        <w:ind w:left="6720" w:hanging="180"/>
      </w:pPr>
    </w:lvl>
  </w:abstractNum>
  <w:abstractNum w:abstractNumId="147" w15:restartNumberingAfterBreak="0">
    <w:nsid w:val="33766CBB"/>
    <w:multiLevelType w:val="multilevel"/>
    <w:tmpl w:val="238AC39C"/>
    <w:styleLink w:val="List37"/>
    <w:lvl w:ilvl="0">
      <w:start w:val="1"/>
      <w:numFmt w:val="decimal"/>
      <w:lvlText w:val="%1."/>
      <w:lvlJc w:val="left"/>
      <w:pPr>
        <w:tabs>
          <w:tab w:val="num" w:pos="317"/>
        </w:tabs>
        <w:ind w:left="317" w:hanging="317"/>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1">
      <w:start w:val="1"/>
      <w:numFmt w:val="lowerLetter"/>
      <w:lvlText w:val="%2."/>
      <w:lvlJc w:val="left"/>
      <w:pPr>
        <w:tabs>
          <w:tab w:val="num" w:pos="1380"/>
        </w:tabs>
        <w:ind w:left="1380" w:hanging="300"/>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2">
      <w:start w:val="1"/>
      <w:numFmt w:val="lowerRoman"/>
      <w:lvlText w:val="%3."/>
      <w:lvlJc w:val="left"/>
      <w:pPr>
        <w:tabs>
          <w:tab w:val="num" w:pos="2111"/>
        </w:tabs>
        <w:ind w:left="2111" w:hanging="247"/>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3">
      <w:start w:val="1"/>
      <w:numFmt w:val="decimal"/>
      <w:lvlText w:val="%4."/>
      <w:lvlJc w:val="left"/>
      <w:pPr>
        <w:tabs>
          <w:tab w:val="num" w:pos="2820"/>
        </w:tabs>
        <w:ind w:left="2820" w:hanging="300"/>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4">
      <w:start w:val="1"/>
      <w:numFmt w:val="lowerLetter"/>
      <w:lvlText w:val="%5."/>
      <w:lvlJc w:val="left"/>
      <w:pPr>
        <w:tabs>
          <w:tab w:val="num" w:pos="3540"/>
        </w:tabs>
        <w:ind w:left="3540" w:hanging="300"/>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5">
      <w:start w:val="1"/>
      <w:numFmt w:val="lowerRoman"/>
      <w:lvlText w:val="%6."/>
      <w:lvlJc w:val="left"/>
      <w:pPr>
        <w:tabs>
          <w:tab w:val="num" w:pos="4271"/>
        </w:tabs>
        <w:ind w:left="4271" w:hanging="247"/>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6">
      <w:start w:val="1"/>
      <w:numFmt w:val="decimal"/>
      <w:lvlText w:val="%7."/>
      <w:lvlJc w:val="left"/>
      <w:pPr>
        <w:tabs>
          <w:tab w:val="num" w:pos="4980"/>
        </w:tabs>
        <w:ind w:left="4980" w:hanging="300"/>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7">
      <w:start w:val="1"/>
      <w:numFmt w:val="lowerLetter"/>
      <w:lvlText w:val="%8."/>
      <w:lvlJc w:val="left"/>
      <w:pPr>
        <w:tabs>
          <w:tab w:val="num" w:pos="5700"/>
        </w:tabs>
        <w:ind w:left="5700" w:hanging="300"/>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8">
      <w:start w:val="1"/>
      <w:numFmt w:val="lowerRoman"/>
      <w:lvlText w:val="%9."/>
      <w:lvlJc w:val="left"/>
      <w:pPr>
        <w:tabs>
          <w:tab w:val="num" w:pos="6431"/>
        </w:tabs>
        <w:ind w:left="6431" w:hanging="247"/>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abstractNum>
  <w:abstractNum w:abstractNumId="148" w15:restartNumberingAfterBreak="0">
    <w:nsid w:val="3388370D"/>
    <w:multiLevelType w:val="multilevel"/>
    <w:tmpl w:val="3FA27382"/>
    <w:styleLink w:val="List67"/>
    <w:lvl w:ilvl="0">
      <w:start w:val="1"/>
      <w:numFmt w:val="decimal"/>
      <w:lvlText w:val="%1."/>
      <w:lvlJc w:val="left"/>
      <w:pPr>
        <w:tabs>
          <w:tab w:val="num" w:pos="317"/>
        </w:tabs>
        <w:ind w:left="317" w:hanging="317"/>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1">
      <w:start w:val="1"/>
      <w:numFmt w:val="lowerLetter"/>
      <w:lvlText w:val="%2."/>
      <w:lvlJc w:val="left"/>
      <w:pPr>
        <w:tabs>
          <w:tab w:val="num" w:pos="1380"/>
        </w:tabs>
        <w:ind w:left="1380" w:hanging="300"/>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2">
      <w:start w:val="1"/>
      <w:numFmt w:val="lowerRoman"/>
      <w:lvlText w:val="%3."/>
      <w:lvlJc w:val="left"/>
      <w:pPr>
        <w:tabs>
          <w:tab w:val="num" w:pos="2111"/>
        </w:tabs>
        <w:ind w:left="2111" w:hanging="247"/>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3">
      <w:start w:val="1"/>
      <w:numFmt w:val="decimal"/>
      <w:lvlText w:val="%4."/>
      <w:lvlJc w:val="left"/>
      <w:pPr>
        <w:tabs>
          <w:tab w:val="num" w:pos="2820"/>
        </w:tabs>
        <w:ind w:left="2820" w:hanging="300"/>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4">
      <w:start w:val="1"/>
      <w:numFmt w:val="lowerLetter"/>
      <w:lvlText w:val="%5."/>
      <w:lvlJc w:val="left"/>
      <w:pPr>
        <w:tabs>
          <w:tab w:val="num" w:pos="3540"/>
        </w:tabs>
        <w:ind w:left="3540" w:hanging="300"/>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5">
      <w:start w:val="1"/>
      <w:numFmt w:val="lowerRoman"/>
      <w:lvlText w:val="%6."/>
      <w:lvlJc w:val="left"/>
      <w:pPr>
        <w:tabs>
          <w:tab w:val="num" w:pos="4271"/>
        </w:tabs>
        <w:ind w:left="4271" w:hanging="247"/>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6">
      <w:start w:val="1"/>
      <w:numFmt w:val="decimal"/>
      <w:lvlText w:val="%7."/>
      <w:lvlJc w:val="left"/>
      <w:pPr>
        <w:tabs>
          <w:tab w:val="num" w:pos="4980"/>
        </w:tabs>
        <w:ind w:left="4980" w:hanging="300"/>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7">
      <w:start w:val="1"/>
      <w:numFmt w:val="lowerLetter"/>
      <w:lvlText w:val="%8."/>
      <w:lvlJc w:val="left"/>
      <w:pPr>
        <w:tabs>
          <w:tab w:val="num" w:pos="5700"/>
        </w:tabs>
        <w:ind w:left="5700" w:hanging="300"/>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8">
      <w:start w:val="1"/>
      <w:numFmt w:val="lowerRoman"/>
      <w:lvlText w:val="%9."/>
      <w:lvlJc w:val="left"/>
      <w:pPr>
        <w:tabs>
          <w:tab w:val="num" w:pos="6431"/>
        </w:tabs>
        <w:ind w:left="6431" w:hanging="247"/>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abstractNum>
  <w:abstractNum w:abstractNumId="149" w15:restartNumberingAfterBreak="0">
    <w:nsid w:val="339C34D9"/>
    <w:multiLevelType w:val="hybridMultilevel"/>
    <w:tmpl w:val="F9A010EC"/>
    <w:lvl w:ilvl="0" w:tplc="93FE1B6A">
      <w:start w:val="1"/>
      <w:numFmt w:val="decimal"/>
      <w:lvlText w:val="%1."/>
      <w:lvlJc w:val="left"/>
      <w:pPr>
        <w:ind w:left="6173" w:hanging="360"/>
      </w:pPr>
      <w:rPr>
        <w:rFonts w:ascii="Garamond" w:eastAsia="Times New Roman" w:hAnsi="Garamond" w:cs="Times New Roman"/>
      </w:rPr>
    </w:lvl>
    <w:lvl w:ilvl="1" w:tplc="04190003" w:tentative="1">
      <w:start w:val="1"/>
      <w:numFmt w:val="bullet"/>
      <w:lvlText w:val="o"/>
      <w:lvlJc w:val="left"/>
      <w:pPr>
        <w:ind w:left="2907" w:hanging="360"/>
      </w:pPr>
      <w:rPr>
        <w:rFonts w:ascii="Courier New" w:hAnsi="Courier New" w:hint="default"/>
      </w:rPr>
    </w:lvl>
    <w:lvl w:ilvl="2" w:tplc="04190005" w:tentative="1">
      <w:start w:val="1"/>
      <w:numFmt w:val="bullet"/>
      <w:lvlText w:val=""/>
      <w:lvlJc w:val="left"/>
      <w:pPr>
        <w:ind w:left="3627" w:hanging="360"/>
      </w:pPr>
      <w:rPr>
        <w:rFonts w:ascii="Wingdings" w:hAnsi="Wingdings" w:hint="default"/>
      </w:rPr>
    </w:lvl>
    <w:lvl w:ilvl="3" w:tplc="04190001" w:tentative="1">
      <w:start w:val="1"/>
      <w:numFmt w:val="bullet"/>
      <w:lvlText w:val=""/>
      <w:lvlJc w:val="left"/>
      <w:pPr>
        <w:ind w:left="4347" w:hanging="360"/>
      </w:pPr>
      <w:rPr>
        <w:rFonts w:ascii="Symbol" w:hAnsi="Symbol" w:hint="default"/>
      </w:rPr>
    </w:lvl>
    <w:lvl w:ilvl="4" w:tplc="04190003" w:tentative="1">
      <w:start w:val="1"/>
      <w:numFmt w:val="bullet"/>
      <w:lvlText w:val="o"/>
      <w:lvlJc w:val="left"/>
      <w:pPr>
        <w:ind w:left="5067" w:hanging="360"/>
      </w:pPr>
      <w:rPr>
        <w:rFonts w:ascii="Courier New" w:hAnsi="Courier New" w:hint="default"/>
      </w:rPr>
    </w:lvl>
    <w:lvl w:ilvl="5" w:tplc="04190005" w:tentative="1">
      <w:start w:val="1"/>
      <w:numFmt w:val="bullet"/>
      <w:lvlText w:val=""/>
      <w:lvlJc w:val="left"/>
      <w:pPr>
        <w:ind w:left="5787" w:hanging="360"/>
      </w:pPr>
      <w:rPr>
        <w:rFonts w:ascii="Wingdings" w:hAnsi="Wingdings" w:hint="default"/>
      </w:rPr>
    </w:lvl>
    <w:lvl w:ilvl="6" w:tplc="04190001" w:tentative="1">
      <w:start w:val="1"/>
      <w:numFmt w:val="bullet"/>
      <w:lvlText w:val=""/>
      <w:lvlJc w:val="left"/>
      <w:pPr>
        <w:ind w:left="6507" w:hanging="360"/>
      </w:pPr>
      <w:rPr>
        <w:rFonts w:ascii="Symbol" w:hAnsi="Symbol" w:hint="default"/>
      </w:rPr>
    </w:lvl>
    <w:lvl w:ilvl="7" w:tplc="04190003" w:tentative="1">
      <w:start w:val="1"/>
      <w:numFmt w:val="bullet"/>
      <w:lvlText w:val="o"/>
      <w:lvlJc w:val="left"/>
      <w:pPr>
        <w:ind w:left="7227" w:hanging="360"/>
      </w:pPr>
      <w:rPr>
        <w:rFonts w:ascii="Courier New" w:hAnsi="Courier New" w:hint="default"/>
      </w:rPr>
    </w:lvl>
    <w:lvl w:ilvl="8" w:tplc="04190005" w:tentative="1">
      <w:start w:val="1"/>
      <w:numFmt w:val="bullet"/>
      <w:lvlText w:val=""/>
      <w:lvlJc w:val="left"/>
      <w:pPr>
        <w:ind w:left="7947" w:hanging="360"/>
      </w:pPr>
      <w:rPr>
        <w:rFonts w:ascii="Wingdings" w:hAnsi="Wingdings" w:hint="default"/>
      </w:rPr>
    </w:lvl>
  </w:abstractNum>
  <w:abstractNum w:abstractNumId="150" w15:restartNumberingAfterBreak="0">
    <w:nsid w:val="339E7372"/>
    <w:multiLevelType w:val="multilevel"/>
    <w:tmpl w:val="7242EC88"/>
    <w:styleLink w:val="List9"/>
    <w:lvl w:ilvl="0">
      <w:start w:val="1"/>
      <w:numFmt w:val="decimal"/>
      <w:lvlText w:val="%1."/>
      <w:lvlJc w:val="left"/>
      <w:pPr>
        <w:tabs>
          <w:tab w:val="num" w:pos="317"/>
        </w:tabs>
        <w:ind w:left="317" w:hanging="317"/>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1">
      <w:start w:val="1"/>
      <w:numFmt w:val="lowerLetter"/>
      <w:lvlText w:val="%2."/>
      <w:lvlJc w:val="left"/>
      <w:pPr>
        <w:tabs>
          <w:tab w:val="num" w:pos="1380"/>
        </w:tabs>
        <w:ind w:left="1380" w:hanging="300"/>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2">
      <w:start w:val="1"/>
      <w:numFmt w:val="lowerRoman"/>
      <w:lvlText w:val="%3."/>
      <w:lvlJc w:val="left"/>
      <w:pPr>
        <w:tabs>
          <w:tab w:val="num" w:pos="2111"/>
        </w:tabs>
        <w:ind w:left="2111" w:hanging="247"/>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3">
      <w:start w:val="1"/>
      <w:numFmt w:val="decimal"/>
      <w:lvlText w:val="%4."/>
      <w:lvlJc w:val="left"/>
      <w:pPr>
        <w:tabs>
          <w:tab w:val="num" w:pos="2820"/>
        </w:tabs>
        <w:ind w:left="2820" w:hanging="300"/>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4">
      <w:start w:val="1"/>
      <w:numFmt w:val="lowerLetter"/>
      <w:lvlText w:val="%5."/>
      <w:lvlJc w:val="left"/>
      <w:pPr>
        <w:tabs>
          <w:tab w:val="num" w:pos="3540"/>
        </w:tabs>
        <w:ind w:left="3540" w:hanging="300"/>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5">
      <w:start w:val="1"/>
      <w:numFmt w:val="lowerRoman"/>
      <w:lvlText w:val="%6."/>
      <w:lvlJc w:val="left"/>
      <w:pPr>
        <w:tabs>
          <w:tab w:val="num" w:pos="4271"/>
        </w:tabs>
        <w:ind w:left="4271" w:hanging="247"/>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6">
      <w:start w:val="1"/>
      <w:numFmt w:val="decimal"/>
      <w:lvlText w:val="%7."/>
      <w:lvlJc w:val="left"/>
      <w:pPr>
        <w:tabs>
          <w:tab w:val="num" w:pos="4980"/>
        </w:tabs>
        <w:ind w:left="4980" w:hanging="300"/>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7">
      <w:start w:val="1"/>
      <w:numFmt w:val="lowerLetter"/>
      <w:lvlText w:val="%8."/>
      <w:lvlJc w:val="left"/>
      <w:pPr>
        <w:tabs>
          <w:tab w:val="num" w:pos="5700"/>
        </w:tabs>
        <w:ind w:left="5700" w:hanging="300"/>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8">
      <w:start w:val="1"/>
      <w:numFmt w:val="lowerRoman"/>
      <w:lvlText w:val="%9."/>
      <w:lvlJc w:val="left"/>
      <w:pPr>
        <w:tabs>
          <w:tab w:val="num" w:pos="6431"/>
        </w:tabs>
        <w:ind w:left="6431" w:hanging="247"/>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abstractNum>
  <w:abstractNum w:abstractNumId="151" w15:restartNumberingAfterBreak="0">
    <w:nsid w:val="34862BB0"/>
    <w:multiLevelType w:val="hybridMultilevel"/>
    <w:tmpl w:val="66E00A4C"/>
    <w:lvl w:ilvl="0" w:tplc="FFFFFFFF">
      <w:start w:val="1"/>
      <w:numFmt w:val="bullet"/>
      <w:lvlText w:val="­"/>
      <w:lvlJc w:val="left"/>
      <w:pPr>
        <w:ind w:left="1321" w:hanging="360"/>
      </w:pPr>
      <w:rPr>
        <w:rFonts w:ascii="Courier New" w:hAnsi="Courier New" w:hint="default"/>
        <w:color w:val="auto"/>
      </w:rPr>
    </w:lvl>
    <w:lvl w:ilvl="1" w:tplc="04190003" w:tentative="1">
      <w:start w:val="1"/>
      <w:numFmt w:val="bullet"/>
      <w:lvlText w:val="o"/>
      <w:lvlJc w:val="left"/>
      <w:pPr>
        <w:ind w:left="2041" w:hanging="360"/>
      </w:pPr>
      <w:rPr>
        <w:rFonts w:ascii="Courier New" w:hAnsi="Courier New" w:cs="Courier New" w:hint="default"/>
      </w:rPr>
    </w:lvl>
    <w:lvl w:ilvl="2" w:tplc="04190005" w:tentative="1">
      <w:start w:val="1"/>
      <w:numFmt w:val="bullet"/>
      <w:lvlText w:val=""/>
      <w:lvlJc w:val="left"/>
      <w:pPr>
        <w:ind w:left="2761" w:hanging="360"/>
      </w:pPr>
      <w:rPr>
        <w:rFonts w:ascii="Wingdings" w:hAnsi="Wingdings" w:hint="default"/>
      </w:rPr>
    </w:lvl>
    <w:lvl w:ilvl="3" w:tplc="04190001" w:tentative="1">
      <w:start w:val="1"/>
      <w:numFmt w:val="bullet"/>
      <w:lvlText w:val=""/>
      <w:lvlJc w:val="left"/>
      <w:pPr>
        <w:ind w:left="3481" w:hanging="360"/>
      </w:pPr>
      <w:rPr>
        <w:rFonts w:ascii="Symbol" w:hAnsi="Symbol" w:hint="default"/>
      </w:rPr>
    </w:lvl>
    <w:lvl w:ilvl="4" w:tplc="04190003" w:tentative="1">
      <w:start w:val="1"/>
      <w:numFmt w:val="bullet"/>
      <w:lvlText w:val="o"/>
      <w:lvlJc w:val="left"/>
      <w:pPr>
        <w:ind w:left="4201" w:hanging="360"/>
      </w:pPr>
      <w:rPr>
        <w:rFonts w:ascii="Courier New" w:hAnsi="Courier New" w:cs="Courier New" w:hint="default"/>
      </w:rPr>
    </w:lvl>
    <w:lvl w:ilvl="5" w:tplc="04190005" w:tentative="1">
      <w:start w:val="1"/>
      <w:numFmt w:val="bullet"/>
      <w:lvlText w:val=""/>
      <w:lvlJc w:val="left"/>
      <w:pPr>
        <w:ind w:left="4921" w:hanging="360"/>
      </w:pPr>
      <w:rPr>
        <w:rFonts w:ascii="Wingdings" w:hAnsi="Wingdings" w:hint="default"/>
      </w:rPr>
    </w:lvl>
    <w:lvl w:ilvl="6" w:tplc="04190001" w:tentative="1">
      <w:start w:val="1"/>
      <w:numFmt w:val="bullet"/>
      <w:lvlText w:val=""/>
      <w:lvlJc w:val="left"/>
      <w:pPr>
        <w:ind w:left="5641" w:hanging="360"/>
      </w:pPr>
      <w:rPr>
        <w:rFonts w:ascii="Symbol" w:hAnsi="Symbol" w:hint="default"/>
      </w:rPr>
    </w:lvl>
    <w:lvl w:ilvl="7" w:tplc="04190003" w:tentative="1">
      <w:start w:val="1"/>
      <w:numFmt w:val="bullet"/>
      <w:lvlText w:val="o"/>
      <w:lvlJc w:val="left"/>
      <w:pPr>
        <w:ind w:left="6361" w:hanging="360"/>
      </w:pPr>
      <w:rPr>
        <w:rFonts w:ascii="Courier New" w:hAnsi="Courier New" w:cs="Courier New" w:hint="default"/>
      </w:rPr>
    </w:lvl>
    <w:lvl w:ilvl="8" w:tplc="04190005" w:tentative="1">
      <w:start w:val="1"/>
      <w:numFmt w:val="bullet"/>
      <w:lvlText w:val=""/>
      <w:lvlJc w:val="left"/>
      <w:pPr>
        <w:ind w:left="7081" w:hanging="360"/>
      </w:pPr>
      <w:rPr>
        <w:rFonts w:ascii="Wingdings" w:hAnsi="Wingdings" w:hint="default"/>
      </w:rPr>
    </w:lvl>
  </w:abstractNum>
  <w:abstractNum w:abstractNumId="152" w15:restartNumberingAfterBreak="0">
    <w:nsid w:val="35251125"/>
    <w:multiLevelType w:val="multilevel"/>
    <w:tmpl w:val="34DE9928"/>
    <w:lvl w:ilvl="0">
      <w:start w:val="1"/>
      <w:numFmt w:val="decimal"/>
      <w:lvlText w:val="%1."/>
      <w:lvlJc w:val="left"/>
      <w:pPr>
        <w:tabs>
          <w:tab w:val="num" w:pos="317"/>
        </w:tabs>
        <w:ind w:left="317" w:hanging="317"/>
      </w:pPr>
      <w:rPr>
        <w:caps w:val="0"/>
        <w:smallCaps w:val="0"/>
        <w:strike w:val="0"/>
        <w:dstrike w:val="0"/>
        <w:color w:val="000000"/>
        <w:spacing w:val="0"/>
        <w:kern w:val="0"/>
        <w:position w:val="0"/>
        <w:sz w:val="20"/>
        <w:szCs w:val="20"/>
        <w:u w:val="none" w:color="000000"/>
        <w:vertAlign w:val="baseline"/>
        <w:lang w:val="ru-RU"/>
      </w:rPr>
    </w:lvl>
    <w:lvl w:ilvl="1">
      <w:start w:val="1"/>
      <w:numFmt w:val="lowerLetter"/>
      <w:lvlText w:val="%2."/>
      <w:lvlJc w:val="left"/>
      <w:pPr>
        <w:tabs>
          <w:tab w:val="num" w:pos="1380"/>
        </w:tabs>
        <w:ind w:left="1380" w:hanging="300"/>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2">
      <w:start w:val="1"/>
      <w:numFmt w:val="lowerRoman"/>
      <w:lvlText w:val="%3."/>
      <w:lvlJc w:val="left"/>
      <w:pPr>
        <w:tabs>
          <w:tab w:val="num" w:pos="2111"/>
        </w:tabs>
        <w:ind w:left="2111" w:hanging="247"/>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3">
      <w:start w:val="1"/>
      <w:numFmt w:val="decimal"/>
      <w:lvlText w:val="%4."/>
      <w:lvlJc w:val="left"/>
      <w:pPr>
        <w:tabs>
          <w:tab w:val="num" w:pos="2820"/>
        </w:tabs>
        <w:ind w:left="2820" w:hanging="300"/>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4">
      <w:start w:val="1"/>
      <w:numFmt w:val="lowerLetter"/>
      <w:lvlText w:val="%5."/>
      <w:lvlJc w:val="left"/>
      <w:pPr>
        <w:tabs>
          <w:tab w:val="num" w:pos="3540"/>
        </w:tabs>
        <w:ind w:left="3540" w:hanging="300"/>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5">
      <w:start w:val="1"/>
      <w:numFmt w:val="lowerRoman"/>
      <w:lvlText w:val="%6."/>
      <w:lvlJc w:val="left"/>
      <w:pPr>
        <w:tabs>
          <w:tab w:val="num" w:pos="4271"/>
        </w:tabs>
        <w:ind w:left="4271" w:hanging="247"/>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6">
      <w:start w:val="1"/>
      <w:numFmt w:val="decimal"/>
      <w:lvlText w:val="%7."/>
      <w:lvlJc w:val="left"/>
      <w:pPr>
        <w:tabs>
          <w:tab w:val="num" w:pos="4980"/>
        </w:tabs>
        <w:ind w:left="4980" w:hanging="300"/>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7">
      <w:start w:val="1"/>
      <w:numFmt w:val="lowerLetter"/>
      <w:lvlText w:val="%8."/>
      <w:lvlJc w:val="left"/>
      <w:pPr>
        <w:tabs>
          <w:tab w:val="num" w:pos="5700"/>
        </w:tabs>
        <w:ind w:left="5700" w:hanging="300"/>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8">
      <w:start w:val="1"/>
      <w:numFmt w:val="lowerRoman"/>
      <w:lvlText w:val="%9."/>
      <w:lvlJc w:val="left"/>
      <w:pPr>
        <w:tabs>
          <w:tab w:val="num" w:pos="6431"/>
        </w:tabs>
        <w:ind w:left="6431" w:hanging="247"/>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abstractNum>
  <w:abstractNum w:abstractNumId="153" w15:restartNumberingAfterBreak="0">
    <w:nsid w:val="35B35622"/>
    <w:multiLevelType w:val="multilevel"/>
    <w:tmpl w:val="43489F78"/>
    <w:styleLink w:val="List25"/>
    <w:lvl w:ilvl="0">
      <w:start w:val="1"/>
      <w:numFmt w:val="decimal"/>
      <w:lvlText w:val="%1."/>
      <w:lvlJc w:val="left"/>
      <w:pPr>
        <w:tabs>
          <w:tab w:val="num" w:pos="317"/>
        </w:tabs>
        <w:ind w:left="317" w:hanging="317"/>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1">
      <w:start w:val="1"/>
      <w:numFmt w:val="lowerLetter"/>
      <w:lvlText w:val="%2."/>
      <w:lvlJc w:val="left"/>
      <w:pPr>
        <w:tabs>
          <w:tab w:val="num" w:pos="1380"/>
        </w:tabs>
        <w:ind w:left="1380" w:hanging="300"/>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2">
      <w:start w:val="1"/>
      <w:numFmt w:val="lowerRoman"/>
      <w:lvlText w:val="%3."/>
      <w:lvlJc w:val="left"/>
      <w:pPr>
        <w:tabs>
          <w:tab w:val="num" w:pos="2111"/>
        </w:tabs>
        <w:ind w:left="2111" w:hanging="247"/>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3">
      <w:start w:val="1"/>
      <w:numFmt w:val="decimal"/>
      <w:lvlText w:val="%4."/>
      <w:lvlJc w:val="left"/>
      <w:pPr>
        <w:tabs>
          <w:tab w:val="num" w:pos="2820"/>
        </w:tabs>
        <w:ind w:left="2820" w:hanging="300"/>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4">
      <w:start w:val="1"/>
      <w:numFmt w:val="lowerLetter"/>
      <w:lvlText w:val="%5."/>
      <w:lvlJc w:val="left"/>
      <w:pPr>
        <w:tabs>
          <w:tab w:val="num" w:pos="3540"/>
        </w:tabs>
        <w:ind w:left="3540" w:hanging="300"/>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5">
      <w:start w:val="1"/>
      <w:numFmt w:val="lowerRoman"/>
      <w:lvlText w:val="%6."/>
      <w:lvlJc w:val="left"/>
      <w:pPr>
        <w:tabs>
          <w:tab w:val="num" w:pos="4271"/>
        </w:tabs>
        <w:ind w:left="4271" w:hanging="247"/>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6">
      <w:start w:val="1"/>
      <w:numFmt w:val="decimal"/>
      <w:lvlText w:val="%7."/>
      <w:lvlJc w:val="left"/>
      <w:pPr>
        <w:tabs>
          <w:tab w:val="num" w:pos="4980"/>
        </w:tabs>
        <w:ind w:left="4980" w:hanging="300"/>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7">
      <w:start w:val="1"/>
      <w:numFmt w:val="lowerLetter"/>
      <w:lvlText w:val="%8."/>
      <w:lvlJc w:val="left"/>
      <w:pPr>
        <w:tabs>
          <w:tab w:val="num" w:pos="5700"/>
        </w:tabs>
        <w:ind w:left="5700" w:hanging="300"/>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8">
      <w:start w:val="1"/>
      <w:numFmt w:val="lowerRoman"/>
      <w:lvlText w:val="%9."/>
      <w:lvlJc w:val="left"/>
      <w:pPr>
        <w:tabs>
          <w:tab w:val="num" w:pos="6431"/>
        </w:tabs>
        <w:ind w:left="6431" w:hanging="247"/>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abstractNum>
  <w:abstractNum w:abstractNumId="154" w15:restartNumberingAfterBreak="0">
    <w:nsid w:val="36440785"/>
    <w:multiLevelType w:val="hybridMultilevel"/>
    <w:tmpl w:val="5D3071A2"/>
    <w:lvl w:ilvl="0" w:tplc="0419000F">
      <w:start w:val="1"/>
      <w:numFmt w:val="decimal"/>
      <w:lvlText w:val="%1."/>
      <w:lvlJc w:val="left"/>
      <w:pPr>
        <w:ind w:left="1060" w:hanging="360"/>
      </w:pPr>
    </w:lvl>
    <w:lvl w:ilvl="1" w:tplc="04190019" w:tentative="1">
      <w:start w:val="1"/>
      <w:numFmt w:val="lowerLetter"/>
      <w:lvlText w:val="%2."/>
      <w:lvlJc w:val="left"/>
      <w:pPr>
        <w:ind w:left="1780" w:hanging="360"/>
      </w:pPr>
    </w:lvl>
    <w:lvl w:ilvl="2" w:tplc="0419001B" w:tentative="1">
      <w:start w:val="1"/>
      <w:numFmt w:val="lowerRoman"/>
      <w:lvlText w:val="%3."/>
      <w:lvlJc w:val="right"/>
      <w:pPr>
        <w:ind w:left="2500" w:hanging="180"/>
      </w:pPr>
    </w:lvl>
    <w:lvl w:ilvl="3" w:tplc="0419000F" w:tentative="1">
      <w:start w:val="1"/>
      <w:numFmt w:val="decimal"/>
      <w:lvlText w:val="%4."/>
      <w:lvlJc w:val="left"/>
      <w:pPr>
        <w:ind w:left="3220" w:hanging="360"/>
      </w:pPr>
    </w:lvl>
    <w:lvl w:ilvl="4" w:tplc="04190019" w:tentative="1">
      <w:start w:val="1"/>
      <w:numFmt w:val="lowerLetter"/>
      <w:lvlText w:val="%5."/>
      <w:lvlJc w:val="left"/>
      <w:pPr>
        <w:ind w:left="3940" w:hanging="360"/>
      </w:pPr>
    </w:lvl>
    <w:lvl w:ilvl="5" w:tplc="0419001B" w:tentative="1">
      <w:start w:val="1"/>
      <w:numFmt w:val="lowerRoman"/>
      <w:lvlText w:val="%6."/>
      <w:lvlJc w:val="right"/>
      <w:pPr>
        <w:ind w:left="4660" w:hanging="180"/>
      </w:pPr>
    </w:lvl>
    <w:lvl w:ilvl="6" w:tplc="0419000F" w:tentative="1">
      <w:start w:val="1"/>
      <w:numFmt w:val="decimal"/>
      <w:lvlText w:val="%7."/>
      <w:lvlJc w:val="left"/>
      <w:pPr>
        <w:ind w:left="5380" w:hanging="360"/>
      </w:pPr>
    </w:lvl>
    <w:lvl w:ilvl="7" w:tplc="04190019" w:tentative="1">
      <w:start w:val="1"/>
      <w:numFmt w:val="lowerLetter"/>
      <w:lvlText w:val="%8."/>
      <w:lvlJc w:val="left"/>
      <w:pPr>
        <w:ind w:left="6100" w:hanging="360"/>
      </w:pPr>
    </w:lvl>
    <w:lvl w:ilvl="8" w:tplc="0419001B" w:tentative="1">
      <w:start w:val="1"/>
      <w:numFmt w:val="lowerRoman"/>
      <w:lvlText w:val="%9."/>
      <w:lvlJc w:val="right"/>
      <w:pPr>
        <w:ind w:left="6820" w:hanging="180"/>
      </w:pPr>
    </w:lvl>
  </w:abstractNum>
  <w:abstractNum w:abstractNumId="155" w15:restartNumberingAfterBreak="0">
    <w:nsid w:val="36464FAA"/>
    <w:multiLevelType w:val="multilevel"/>
    <w:tmpl w:val="02DC3556"/>
    <w:lvl w:ilvl="0">
      <w:start w:val="2"/>
      <w:numFmt w:val="decimal"/>
      <w:lvlText w:val="%1."/>
      <w:lvlJc w:val="left"/>
      <w:pPr>
        <w:ind w:left="360" w:hanging="360"/>
      </w:pPr>
      <w:rPr>
        <w:rFonts w:hint="default"/>
        <w:b w:val="0"/>
      </w:rPr>
    </w:lvl>
    <w:lvl w:ilvl="1">
      <w:start w:val="1"/>
      <w:numFmt w:val="decimal"/>
      <w:lvlText w:val="%1.%2."/>
      <w:lvlJc w:val="left"/>
      <w:pPr>
        <w:ind w:left="574"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6" w15:restartNumberingAfterBreak="0">
    <w:nsid w:val="36D300B0"/>
    <w:multiLevelType w:val="hybridMultilevel"/>
    <w:tmpl w:val="18828B52"/>
    <w:lvl w:ilvl="0" w:tplc="FFFFFFFF">
      <w:start w:val="1"/>
      <w:numFmt w:val="bullet"/>
      <w:lvlText w:val="­"/>
      <w:lvlJc w:val="left"/>
      <w:pPr>
        <w:ind w:left="1321" w:hanging="360"/>
      </w:pPr>
      <w:rPr>
        <w:rFonts w:ascii="Courier New" w:hAnsi="Courier New" w:hint="default"/>
        <w:color w:val="auto"/>
      </w:rPr>
    </w:lvl>
    <w:lvl w:ilvl="1" w:tplc="04190003" w:tentative="1">
      <w:start w:val="1"/>
      <w:numFmt w:val="bullet"/>
      <w:lvlText w:val="o"/>
      <w:lvlJc w:val="left"/>
      <w:pPr>
        <w:ind w:left="2041" w:hanging="360"/>
      </w:pPr>
      <w:rPr>
        <w:rFonts w:ascii="Courier New" w:hAnsi="Courier New" w:cs="Courier New" w:hint="default"/>
      </w:rPr>
    </w:lvl>
    <w:lvl w:ilvl="2" w:tplc="04190005" w:tentative="1">
      <w:start w:val="1"/>
      <w:numFmt w:val="bullet"/>
      <w:lvlText w:val=""/>
      <w:lvlJc w:val="left"/>
      <w:pPr>
        <w:ind w:left="2761" w:hanging="360"/>
      </w:pPr>
      <w:rPr>
        <w:rFonts w:ascii="Wingdings" w:hAnsi="Wingdings" w:hint="default"/>
      </w:rPr>
    </w:lvl>
    <w:lvl w:ilvl="3" w:tplc="04190001" w:tentative="1">
      <w:start w:val="1"/>
      <w:numFmt w:val="bullet"/>
      <w:lvlText w:val=""/>
      <w:lvlJc w:val="left"/>
      <w:pPr>
        <w:ind w:left="3481" w:hanging="360"/>
      </w:pPr>
      <w:rPr>
        <w:rFonts w:ascii="Symbol" w:hAnsi="Symbol" w:hint="default"/>
      </w:rPr>
    </w:lvl>
    <w:lvl w:ilvl="4" w:tplc="04190003" w:tentative="1">
      <w:start w:val="1"/>
      <w:numFmt w:val="bullet"/>
      <w:lvlText w:val="o"/>
      <w:lvlJc w:val="left"/>
      <w:pPr>
        <w:ind w:left="4201" w:hanging="360"/>
      </w:pPr>
      <w:rPr>
        <w:rFonts w:ascii="Courier New" w:hAnsi="Courier New" w:cs="Courier New" w:hint="default"/>
      </w:rPr>
    </w:lvl>
    <w:lvl w:ilvl="5" w:tplc="04190005" w:tentative="1">
      <w:start w:val="1"/>
      <w:numFmt w:val="bullet"/>
      <w:lvlText w:val=""/>
      <w:lvlJc w:val="left"/>
      <w:pPr>
        <w:ind w:left="4921" w:hanging="360"/>
      </w:pPr>
      <w:rPr>
        <w:rFonts w:ascii="Wingdings" w:hAnsi="Wingdings" w:hint="default"/>
      </w:rPr>
    </w:lvl>
    <w:lvl w:ilvl="6" w:tplc="04190001" w:tentative="1">
      <w:start w:val="1"/>
      <w:numFmt w:val="bullet"/>
      <w:lvlText w:val=""/>
      <w:lvlJc w:val="left"/>
      <w:pPr>
        <w:ind w:left="5641" w:hanging="360"/>
      </w:pPr>
      <w:rPr>
        <w:rFonts w:ascii="Symbol" w:hAnsi="Symbol" w:hint="default"/>
      </w:rPr>
    </w:lvl>
    <w:lvl w:ilvl="7" w:tplc="04190003" w:tentative="1">
      <w:start w:val="1"/>
      <w:numFmt w:val="bullet"/>
      <w:lvlText w:val="o"/>
      <w:lvlJc w:val="left"/>
      <w:pPr>
        <w:ind w:left="6361" w:hanging="360"/>
      </w:pPr>
      <w:rPr>
        <w:rFonts w:ascii="Courier New" w:hAnsi="Courier New" w:cs="Courier New" w:hint="default"/>
      </w:rPr>
    </w:lvl>
    <w:lvl w:ilvl="8" w:tplc="04190005" w:tentative="1">
      <w:start w:val="1"/>
      <w:numFmt w:val="bullet"/>
      <w:lvlText w:val=""/>
      <w:lvlJc w:val="left"/>
      <w:pPr>
        <w:ind w:left="7081" w:hanging="360"/>
      </w:pPr>
      <w:rPr>
        <w:rFonts w:ascii="Wingdings" w:hAnsi="Wingdings" w:hint="default"/>
      </w:rPr>
    </w:lvl>
  </w:abstractNum>
  <w:abstractNum w:abstractNumId="157" w15:restartNumberingAfterBreak="0">
    <w:nsid w:val="370E57B9"/>
    <w:multiLevelType w:val="multilevel"/>
    <w:tmpl w:val="56EAAE70"/>
    <w:lvl w:ilvl="0">
      <w:start w:val="2"/>
      <w:numFmt w:val="decimal"/>
      <w:lvlText w:val="%1."/>
      <w:lvlJc w:val="left"/>
      <w:pPr>
        <w:ind w:left="360" w:hanging="360"/>
      </w:pPr>
      <w:rPr>
        <w:rFonts w:hint="default"/>
      </w:rPr>
    </w:lvl>
    <w:lvl w:ilvl="1">
      <w:start w:val="1"/>
      <w:numFmt w:val="decimal"/>
      <w:lvlText w:val="%1.%2."/>
      <w:lvlJc w:val="left"/>
      <w:pPr>
        <w:ind w:left="0" w:firstLine="601"/>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8" w15:restartNumberingAfterBreak="0">
    <w:nsid w:val="374B064E"/>
    <w:multiLevelType w:val="hybridMultilevel"/>
    <w:tmpl w:val="31005C90"/>
    <w:lvl w:ilvl="0" w:tplc="FFFFFFFF">
      <w:start w:val="1"/>
      <w:numFmt w:val="bullet"/>
      <w:lvlText w:val="­"/>
      <w:lvlJc w:val="left"/>
      <w:pPr>
        <w:ind w:left="720" w:hanging="360"/>
      </w:pPr>
      <w:rPr>
        <w:rFonts w:ascii="Courier New" w:hAnsi="Courier New" w:cs="Times New Roman"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9" w15:restartNumberingAfterBreak="0">
    <w:nsid w:val="37AB60D2"/>
    <w:multiLevelType w:val="hybridMultilevel"/>
    <w:tmpl w:val="E7FE7B1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0" w15:restartNumberingAfterBreak="0">
    <w:nsid w:val="390F324A"/>
    <w:multiLevelType w:val="multilevel"/>
    <w:tmpl w:val="F96E9446"/>
    <w:lvl w:ilvl="0">
      <w:start w:val="8"/>
      <w:numFmt w:val="decimal"/>
      <w:lvlText w:val="%1."/>
      <w:lvlJc w:val="left"/>
      <w:pPr>
        <w:ind w:left="468" w:hanging="468"/>
      </w:pPr>
      <w:rPr>
        <w:rFonts w:hint="default"/>
      </w:rPr>
    </w:lvl>
    <w:lvl w:ilvl="1">
      <w:start w:val="7"/>
      <w:numFmt w:val="decimal"/>
      <w:lvlText w:val="%1.%2."/>
      <w:lvlJc w:val="left"/>
      <w:pPr>
        <w:ind w:left="1034" w:hanging="720"/>
      </w:pPr>
      <w:rPr>
        <w:rFonts w:hint="default"/>
      </w:rPr>
    </w:lvl>
    <w:lvl w:ilvl="2">
      <w:start w:val="1"/>
      <w:numFmt w:val="decimal"/>
      <w:lvlText w:val="%1.%2.%3."/>
      <w:lvlJc w:val="left"/>
      <w:pPr>
        <w:ind w:left="1348" w:hanging="720"/>
      </w:pPr>
      <w:rPr>
        <w:rFonts w:hint="default"/>
      </w:rPr>
    </w:lvl>
    <w:lvl w:ilvl="3">
      <w:start w:val="1"/>
      <w:numFmt w:val="decimal"/>
      <w:lvlText w:val="%1.%2.%3.%4."/>
      <w:lvlJc w:val="left"/>
      <w:pPr>
        <w:ind w:left="2022" w:hanging="1080"/>
      </w:pPr>
      <w:rPr>
        <w:rFonts w:hint="default"/>
      </w:rPr>
    </w:lvl>
    <w:lvl w:ilvl="4">
      <w:start w:val="1"/>
      <w:numFmt w:val="decimal"/>
      <w:lvlText w:val="%1.%2.%3.%4.%5."/>
      <w:lvlJc w:val="left"/>
      <w:pPr>
        <w:ind w:left="2336" w:hanging="1080"/>
      </w:pPr>
      <w:rPr>
        <w:rFonts w:hint="default"/>
      </w:rPr>
    </w:lvl>
    <w:lvl w:ilvl="5">
      <w:start w:val="1"/>
      <w:numFmt w:val="decimal"/>
      <w:lvlText w:val="%1.%2.%3.%4.%5.%6."/>
      <w:lvlJc w:val="left"/>
      <w:pPr>
        <w:ind w:left="3010" w:hanging="1440"/>
      </w:pPr>
      <w:rPr>
        <w:rFonts w:hint="default"/>
      </w:rPr>
    </w:lvl>
    <w:lvl w:ilvl="6">
      <w:start w:val="1"/>
      <w:numFmt w:val="decimal"/>
      <w:lvlText w:val="%1.%2.%3.%4.%5.%6.%7."/>
      <w:lvlJc w:val="left"/>
      <w:pPr>
        <w:ind w:left="3684" w:hanging="1800"/>
      </w:pPr>
      <w:rPr>
        <w:rFonts w:hint="default"/>
      </w:rPr>
    </w:lvl>
    <w:lvl w:ilvl="7">
      <w:start w:val="1"/>
      <w:numFmt w:val="decimal"/>
      <w:lvlText w:val="%1.%2.%3.%4.%5.%6.%7.%8."/>
      <w:lvlJc w:val="left"/>
      <w:pPr>
        <w:ind w:left="3998" w:hanging="1800"/>
      </w:pPr>
      <w:rPr>
        <w:rFonts w:hint="default"/>
      </w:rPr>
    </w:lvl>
    <w:lvl w:ilvl="8">
      <w:start w:val="1"/>
      <w:numFmt w:val="decimal"/>
      <w:lvlText w:val="%1.%2.%3.%4.%5.%6.%7.%8.%9."/>
      <w:lvlJc w:val="left"/>
      <w:pPr>
        <w:ind w:left="4672" w:hanging="2160"/>
      </w:pPr>
      <w:rPr>
        <w:rFonts w:hint="default"/>
      </w:rPr>
    </w:lvl>
  </w:abstractNum>
  <w:abstractNum w:abstractNumId="161" w15:restartNumberingAfterBreak="0">
    <w:nsid w:val="39B637D9"/>
    <w:multiLevelType w:val="multilevel"/>
    <w:tmpl w:val="89BC7946"/>
    <w:styleLink w:val="List76"/>
    <w:lvl w:ilvl="0">
      <w:start w:val="1"/>
      <w:numFmt w:val="decimal"/>
      <w:lvlText w:val="%1."/>
      <w:lvlJc w:val="left"/>
      <w:pPr>
        <w:tabs>
          <w:tab w:val="num" w:pos="330"/>
        </w:tabs>
        <w:ind w:left="330" w:hanging="330"/>
      </w:pPr>
      <w:rPr>
        <w:rFonts w:ascii="Garamond" w:eastAsia="Garamond" w:hAnsi="Garamond" w:cs="Garamond"/>
        <w:position w:val="0"/>
        <w:sz w:val="22"/>
        <w:szCs w:val="22"/>
        <w:lang w:val="ru-RU"/>
      </w:rPr>
    </w:lvl>
    <w:lvl w:ilvl="1">
      <w:start w:val="6"/>
      <w:numFmt w:val="decimal"/>
      <w:lvlText w:val="%1.%2."/>
      <w:lvlJc w:val="left"/>
      <w:pPr>
        <w:tabs>
          <w:tab w:val="num" w:pos="360"/>
        </w:tabs>
        <w:ind w:left="360" w:hanging="360"/>
      </w:pPr>
      <w:rPr>
        <w:rFonts w:ascii="Garamond" w:eastAsia="Garamond" w:hAnsi="Garamond" w:cs="Garamond"/>
        <w:position w:val="0"/>
        <w:sz w:val="22"/>
        <w:szCs w:val="22"/>
        <w:lang w:val="ru-RU"/>
      </w:rPr>
    </w:lvl>
    <w:lvl w:ilvl="2">
      <w:start w:val="1"/>
      <w:numFmt w:val="decimal"/>
      <w:lvlText w:val="%1.%2.%3."/>
      <w:lvlJc w:val="left"/>
      <w:pPr>
        <w:tabs>
          <w:tab w:val="num" w:pos="660"/>
        </w:tabs>
        <w:ind w:left="660" w:hanging="660"/>
      </w:pPr>
      <w:rPr>
        <w:rFonts w:ascii="Garamond" w:eastAsia="Garamond" w:hAnsi="Garamond" w:cs="Garamond"/>
        <w:position w:val="0"/>
        <w:sz w:val="22"/>
        <w:szCs w:val="22"/>
        <w:lang w:val="ru-RU"/>
      </w:rPr>
    </w:lvl>
    <w:lvl w:ilvl="3">
      <w:start w:val="1"/>
      <w:numFmt w:val="decimal"/>
      <w:lvlText w:val="%1.%2.%3.%4."/>
      <w:lvlJc w:val="left"/>
      <w:pPr>
        <w:tabs>
          <w:tab w:val="num" w:pos="660"/>
        </w:tabs>
        <w:ind w:left="660" w:hanging="660"/>
      </w:pPr>
      <w:rPr>
        <w:rFonts w:ascii="Garamond" w:eastAsia="Garamond" w:hAnsi="Garamond" w:cs="Garamond"/>
        <w:position w:val="0"/>
        <w:sz w:val="22"/>
        <w:szCs w:val="22"/>
        <w:lang w:val="ru-RU"/>
      </w:rPr>
    </w:lvl>
    <w:lvl w:ilvl="4">
      <w:start w:val="1"/>
      <w:numFmt w:val="decimal"/>
      <w:lvlText w:val="%1.%2.%3.%4.%5."/>
      <w:lvlJc w:val="left"/>
      <w:pPr>
        <w:tabs>
          <w:tab w:val="num" w:pos="990"/>
        </w:tabs>
        <w:ind w:left="990" w:hanging="990"/>
      </w:pPr>
      <w:rPr>
        <w:rFonts w:ascii="Garamond" w:eastAsia="Garamond" w:hAnsi="Garamond" w:cs="Garamond"/>
        <w:position w:val="0"/>
        <w:sz w:val="22"/>
        <w:szCs w:val="22"/>
        <w:lang w:val="ru-RU"/>
      </w:rPr>
    </w:lvl>
    <w:lvl w:ilvl="5">
      <w:start w:val="1"/>
      <w:numFmt w:val="decimal"/>
      <w:lvlText w:val="%1.%2.%3.%4.%5.%6."/>
      <w:lvlJc w:val="left"/>
      <w:pPr>
        <w:tabs>
          <w:tab w:val="num" w:pos="990"/>
        </w:tabs>
        <w:ind w:left="990" w:hanging="990"/>
      </w:pPr>
      <w:rPr>
        <w:rFonts w:ascii="Garamond" w:eastAsia="Garamond" w:hAnsi="Garamond" w:cs="Garamond"/>
        <w:position w:val="0"/>
        <w:sz w:val="22"/>
        <w:szCs w:val="22"/>
        <w:lang w:val="ru-RU"/>
      </w:rPr>
    </w:lvl>
    <w:lvl w:ilvl="6">
      <w:start w:val="1"/>
      <w:numFmt w:val="decimal"/>
      <w:lvlText w:val="%1.%2.%3.%4.%5.%6.%7."/>
      <w:lvlJc w:val="left"/>
      <w:pPr>
        <w:tabs>
          <w:tab w:val="num" w:pos="990"/>
        </w:tabs>
        <w:ind w:left="990" w:hanging="990"/>
      </w:pPr>
      <w:rPr>
        <w:rFonts w:ascii="Garamond" w:eastAsia="Garamond" w:hAnsi="Garamond" w:cs="Garamond"/>
        <w:position w:val="0"/>
        <w:sz w:val="22"/>
        <w:szCs w:val="22"/>
        <w:lang w:val="ru-RU"/>
      </w:rPr>
    </w:lvl>
    <w:lvl w:ilvl="7">
      <w:start w:val="1"/>
      <w:numFmt w:val="decimal"/>
      <w:lvlText w:val="%1.%2.%3.%4.%5.%6.%7.%8."/>
      <w:lvlJc w:val="left"/>
      <w:pPr>
        <w:tabs>
          <w:tab w:val="num" w:pos="1320"/>
        </w:tabs>
        <w:ind w:left="1320" w:hanging="1320"/>
      </w:pPr>
      <w:rPr>
        <w:rFonts w:ascii="Garamond" w:eastAsia="Garamond" w:hAnsi="Garamond" w:cs="Garamond"/>
        <w:position w:val="0"/>
        <w:sz w:val="22"/>
        <w:szCs w:val="22"/>
        <w:lang w:val="ru-RU"/>
      </w:rPr>
    </w:lvl>
    <w:lvl w:ilvl="8">
      <w:start w:val="1"/>
      <w:numFmt w:val="decimal"/>
      <w:lvlText w:val="%1.%2.%3.%4.%5.%6.%7.%8.%9."/>
      <w:lvlJc w:val="left"/>
      <w:pPr>
        <w:tabs>
          <w:tab w:val="num" w:pos="1320"/>
        </w:tabs>
        <w:ind w:left="1320" w:hanging="1320"/>
      </w:pPr>
      <w:rPr>
        <w:rFonts w:ascii="Garamond" w:eastAsia="Garamond" w:hAnsi="Garamond" w:cs="Garamond"/>
        <w:position w:val="0"/>
        <w:sz w:val="22"/>
        <w:szCs w:val="22"/>
        <w:lang w:val="ru-RU"/>
      </w:rPr>
    </w:lvl>
  </w:abstractNum>
  <w:abstractNum w:abstractNumId="162" w15:restartNumberingAfterBreak="0">
    <w:nsid w:val="39CC1011"/>
    <w:multiLevelType w:val="multilevel"/>
    <w:tmpl w:val="17209A2A"/>
    <w:styleLink w:val="List1"/>
    <w:lvl w:ilvl="0">
      <w:start w:val="1"/>
      <w:numFmt w:val="decimal"/>
      <w:lvlText w:val="%1."/>
      <w:lvlJc w:val="left"/>
      <w:rPr>
        <w:rFonts w:ascii="Garamond" w:eastAsia="Garamond" w:hAnsi="Garamond" w:cs="Garamond"/>
        <w:position w:val="0"/>
        <w:lang w:val="ru-RU"/>
      </w:rPr>
    </w:lvl>
    <w:lvl w:ilvl="1">
      <w:start w:val="1"/>
      <w:numFmt w:val="lowerLetter"/>
      <w:lvlText w:val="%2."/>
      <w:lvlJc w:val="left"/>
      <w:rPr>
        <w:rFonts w:ascii="Garamond" w:eastAsia="Garamond" w:hAnsi="Garamond" w:cs="Garamond"/>
        <w:position w:val="0"/>
        <w:lang w:val="ru-RU"/>
      </w:rPr>
    </w:lvl>
    <w:lvl w:ilvl="2">
      <w:start w:val="1"/>
      <w:numFmt w:val="lowerRoman"/>
      <w:lvlText w:val="%3."/>
      <w:lvlJc w:val="left"/>
      <w:rPr>
        <w:rFonts w:ascii="Garamond" w:eastAsia="Garamond" w:hAnsi="Garamond" w:cs="Garamond"/>
        <w:position w:val="0"/>
        <w:lang w:val="ru-RU"/>
      </w:rPr>
    </w:lvl>
    <w:lvl w:ilvl="3">
      <w:start w:val="1"/>
      <w:numFmt w:val="decimal"/>
      <w:lvlText w:val="%4."/>
      <w:lvlJc w:val="left"/>
      <w:rPr>
        <w:rFonts w:ascii="Garamond" w:eastAsia="Garamond" w:hAnsi="Garamond" w:cs="Garamond"/>
        <w:position w:val="0"/>
        <w:lang w:val="ru-RU"/>
      </w:rPr>
    </w:lvl>
    <w:lvl w:ilvl="4">
      <w:start w:val="1"/>
      <w:numFmt w:val="lowerLetter"/>
      <w:lvlText w:val="%5."/>
      <w:lvlJc w:val="left"/>
      <w:rPr>
        <w:rFonts w:ascii="Garamond" w:eastAsia="Garamond" w:hAnsi="Garamond" w:cs="Garamond"/>
        <w:position w:val="0"/>
        <w:lang w:val="ru-RU"/>
      </w:rPr>
    </w:lvl>
    <w:lvl w:ilvl="5">
      <w:start w:val="1"/>
      <w:numFmt w:val="lowerRoman"/>
      <w:lvlText w:val="%6."/>
      <w:lvlJc w:val="left"/>
      <w:rPr>
        <w:rFonts w:ascii="Garamond" w:eastAsia="Garamond" w:hAnsi="Garamond" w:cs="Garamond"/>
        <w:position w:val="0"/>
        <w:lang w:val="ru-RU"/>
      </w:rPr>
    </w:lvl>
    <w:lvl w:ilvl="6">
      <w:start w:val="1"/>
      <w:numFmt w:val="decimal"/>
      <w:lvlText w:val="%7."/>
      <w:lvlJc w:val="left"/>
      <w:rPr>
        <w:rFonts w:ascii="Garamond" w:eastAsia="Garamond" w:hAnsi="Garamond" w:cs="Garamond"/>
        <w:position w:val="0"/>
        <w:lang w:val="ru-RU"/>
      </w:rPr>
    </w:lvl>
    <w:lvl w:ilvl="7">
      <w:start w:val="1"/>
      <w:numFmt w:val="lowerLetter"/>
      <w:lvlText w:val="%8."/>
      <w:lvlJc w:val="left"/>
      <w:rPr>
        <w:rFonts w:ascii="Garamond" w:eastAsia="Garamond" w:hAnsi="Garamond" w:cs="Garamond"/>
        <w:position w:val="0"/>
        <w:lang w:val="ru-RU"/>
      </w:rPr>
    </w:lvl>
    <w:lvl w:ilvl="8">
      <w:start w:val="1"/>
      <w:numFmt w:val="lowerRoman"/>
      <w:lvlText w:val="%9."/>
      <w:lvlJc w:val="left"/>
      <w:rPr>
        <w:rFonts w:ascii="Garamond" w:eastAsia="Garamond" w:hAnsi="Garamond" w:cs="Garamond"/>
        <w:position w:val="0"/>
        <w:lang w:val="ru-RU"/>
      </w:rPr>
    </w:lvl>
  </w:abstractNum>
  <w:abstractNum w:abstractNumId="163" w15:restartNumberingAfterBreak="0">
    <w:nsid w:val="39D56C95"/>
    <w:multiLevelType w:val="hybridMultilevel"/>
    <w:tmpl w:val="9FFABD38"/>
    <w:lvl w:ilvl="0" w:tplc="B7BC32D8">
      <w:start w:val="1"/>
      <w:numFmt w:val="bullet"/>
      <w:lvlText w:val="–"/>
      <w:lvlJc w:val="left"/>
      <w:pPr>
        <w:ind w:left="720" w:hanging="360"/>
      </w:pPr>
      <w:rPr>
        <w:rFonts w:ascii="Times New Roman" w:hAnsi="Times New Roman" w:hint="default"/>
        <w:color w:val="auto"/>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4" w15:restartNumberingAfterBreak="0">
    <w:nsid w:val="39F949E2"/>
    <w:multiLevelType w:val="multilevel"/>
    <w:tmpl w:val="4410B048"/>
    <w:styleLink w:val="List31"/>
    <w:lvl w:ilvl="0">
      <w:start w:val="1"/>
      <w:numFmt w:val="decimal"/>
      <w:lvlText w:val="%1."/>
      <w:lvlJc w:val="left"/>
      <w:pPr>
        <w:tabs>
          <w:tab w:val="num" w:pos="317"/>
        </w:tabs>
        <w:ind w:left="317" w:hanging="317"/>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1">
      <w:start w:val="1"/>
      <w:numFmt w:val="lowerLetter"/>
      <w:lvlText w:val="%2."/>
      <w:lvlJc w:val="left"/>
      <w:pPr>
        <w:tabs>
          <w:tab w:val="num" w:pos="1380"/>
        </w:tabs>
        <w:ind w:left="1380" w:hanging="300"/>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2">
      <w:start w:val="1"/>
      <w:numFmt w:val="lowerRoman"/>
      <w:lvlText w:val="%3."/>
      <w:lvlJc w:val="left"/>
      <w:pPr>
        <w:tabs>
          <w:tab w:val="num" w:pos="2111"/>
        </w:tabs>
        <w:ind w:left="2111" w:hanging="247"/>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3">
      <w:start w:val="1"/>
      <w:numFmt w:val="decimal"/>
      <w:lvlText w:val="%4."/>
      <w:lvlJc w:val="left"/>
      <w:pPr>
        <w:tabs>
          <w:tab w:val="num" w:pos="2820"/>
        </w:tabs>
        <w:ind w:left="2820" w:hanging="300"/>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4">
      <w:start w:val="1"/>
      <w:numFmt w:val="lowerLetter"/>
      <w:lvlText w:val="%5."/>
      <w:lvlJc w:val="left"/>
      <w:pPr>
        <w:tabs>
          <w:tab w:val="num" w:pos="3540"/>
        </w:tabs>
        <w:ind w:left="3540" w:hanging="300"/>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5">
      <w:start w:val="1"/>
      <w:numFmt w:val="lowerRoman"/>
      <w:lvlText w:val="%6."/>
      <w:lvlJc w:val="left"/>
      <w:pPr>
        <w:tabs>
          <w:tab w:val="num" w:pos="4271"/>
        </w:tabs>
        <w:ind w:left="4271" w:hanging="247"/>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6">
      <w:start w:val="1"/>
      <w:numFmt w:val="decimal"/>
      <w:lvlText w:val="%7."/>
      <w:lvlJc w:val="left"/>
      <w:pPr>
        <w:tabs>
          <w:tab w:val="num" w:pos="4980"/>
        </w:tabs>
        <w:ind w:left="4980" w:hanging="300"/>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7">
      <w:start w:val="1"/>
      <w:numFmt w:val="lowerLetter"/>
      <w:lvlText w:val="%8."/>
      <w:lvlJc w:val="left"/>
      <w:pPr>
        <w:tabs>
          <w:tab w:val="num" w:pos="5700"/>
        </w:tabs>
        <w:ind w:left="5700" w:hanging="300"/>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8">
      <w:start w:val="1"/>
      <w:numFmt w:val="lowerRoman"/>
      <w:lvlText w:val="%9."/>
      <w:lvlJc w:val="left"/>
      <w:pPr>
        <w:tabs>
          <w:tab w:val="num" w:pos="6431"/>
        </w:tabs>
        <w:ind w:left="6431" w:hanging="247"/>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abstractNum>
  <w:abstractNum w:abstractNumId="165" w15:restartNumberingAfterBreak="0">
    <w:nsid w:val="3A6C0DA4"/>
    <w:multiLevelType w:val="hybridMultilevel"/>
    <w:tmpl w:val="4AF6283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6" w15:restartNumberingAfterBreak="0">
    <w:nsid w:val="3AA80D1C"/>
    <w:multiLevelType w:val="multilevel"/>
    <w:tmpl w:val="BA1C39CE"/>
    <w:lvl w:ilvl="0">
      <w:start w:val="3"/>
      <w:numFmt w:val="decimal"/>
      <w:lvlText w:val="%1"/>
      <w:lvlJc w:val="left"/>
      <w:pPr>
        <w:tabs>
          <w:tab w:val="num" w:pos="0"/>
        </w:tabs>
        <w:ind w:left="420" w:hanging="420"/>
      </w:pPr>
      <w:rPr>
        <w:rFonts w:hint="default"/>
        <w:b/>
      </w:rPr>
    </w:lvl>
    <w:lvl w:ilvl="1">
      <w:start w:val="4"/>
      <w:numFmt w:val="decimal"/>
      <w:lvlText w:val="%1.%2"/>
      <w:lvlJc w:val="left"/>
      <w:pPr>
        <w:tabs>
          <w:tab w:val="num" w:pos="0"/>
        </w:tabs>
        <w:ind w:left="420" w:hanging="420"/>
      </w:pPr>
      <w:rPr>
        <w:rFonts w:hint="default"/>
        <w:b/>
      </w:rPr>
    </w:lvl>
    <w:lvl w:ilvl="2">
      <w:start w:val="1"/>
      <w:numFmt w:val="decimal"/>
      <w:lvlText w:val="%1.%2.%3."/>
      <w:lvlJc w:val="left"/>
      <w:pPr>
        <w:tabs>
          <w:tab w:val="num" w:pos="0"/>
        </w:tabs>
        <w:ind w:left="720" w:hanging="720"/>
      </w:pPr>
      <w:rPr>
        <w:rFonts w:hint="default"/>
        <w:b w:val="0"/>
      </w:rPr>
    </w:lvl>
    <w:lvl w:ilvl="3">
      <w:start w:val="1"/>
      <w:numFmt w:val="decimal"/>
      <w:lvlText w:val="%1.%2.%3.%4"/>
      <w:lvlJc w:val="left"/>
      <w:pPr>
        <w:tabs>
          <w:tab w:val="num" w:pos="0"/>
        </w:tabs>
        <w:ind w:left="1080" w:hanging="1080"/>
      </w:pPr>
      <w:rPr>
        <w:rFonts w:hint="default"/>
        <w:b w:val="0"/>
      </w:rPr>
    </w:lvl>
    <w:lvl w:ilvl="4">
      <w:start w:val="1"/>
      <w:numFmt w:val="decimal"/>
      <w:lvlText w:val="%1.%2.%3.%4.%5"/>
      <w:lvlJc w:val="left"/>
      <w:pPr>
        <w:tabs>
          <w:tab w:val="num" w:pos="0"/>
        </w:tabs>
        <w:ind w:left="1080" w:hanging="1080"/>
      </w:pPr>
      <w:rPr>
        <w:rFonts w:hint="default"/>
        <w:b/>
      </w:rPr>
    </w:lvl>
    <w:lvl w:ilvl="5">
      <w:start w:val="1"/>
      <w:numFmt w:val="decimal"/>
      <w:lvlText w:val="%1.%2.%3.%4.%5.%6"/>
      <w:lvlJc w:val="left"/>
      <w:pPr>
        <w:tabs>
          <w:tab w:val="num" w:pos="0"/>
        </w:tabs>
        <w:ind w:left="1440" w:hanging="1440"/>
      </w:pPr>
      <w:rPr>
        <w:rFonts w:hint="default"/>
        <w:b/>
      </w:rPr>
    </w:lvl>
    <w:lvl w:ilvl="6">
      <w:start w:val="1"/>
      <w:numFmt w:val="decimal"/>
      <w:lvlText w:val="%1.%2.%3.%4.%5.%6.%7"/>
      <w:lvlJc w:val="left"/>
      <w:pPr>
        <w:tabs>
          <w:tab w:val="num" w:pos="0"/>
        </w:tabs>
        <w:ind w:left="1440" w:hanging="1440"/>
      </w:pPr>
      <w:rPr>
        <w:rFonts w:hint="default"/>
        <w:b/>
      </w:rPr>
    </w:lvl>
    <w:lvl w:ilvl="7">
      <w:start w:val="1"/>
      <w:numFmt w:val="decimal"/>
      <w:lvlText w:val="%1.%2.%3.%4.%5.%6.%7.%8"/>
      <w:lvlJc w:val="left"/>
      <w:pPr>
        <w:tabs>
          <w:tab w:val="num" w:pos="0"/>
        </w:tabs>
        <w:ind w:left="1800" w:hanging="1800"/>
      </w:pPr>
      <w:rPr>
        <w:rFonts w:hint="default"/>
        <w:b/>
      </w:rPr>
    </w:lvl>
    <w:lvl w:ilvl="8">
      <w:start w:val="1"/>
      <w:numFmt w:val="decimal"/>
      <w:lvlText w:val="%1.%2.%3.%4.%5.%6.%7.%8.%9"/>
      <w:lvlJc w:val="left"/>
      <w:pPr>
        <w:tabs>
          <w:tab w:val="num" w:pos="0"/>
        </w:tabs>
        <w:ind w:left="1800" w:hanging="1800"/>
      </w:pPr>
      <w:rPr>
        <w:rFonts w:hint="default"/>
        <w:b/>
      </w:rPr>
    </w:lvl>
  </w:abstractNum>
  <w:abstractNum w:abstractNumId="167" w15:restartNumberingAfterBreak="0">
    <w:nsid w:val="3AAC1E46"/>
    <w:multiLevelType w:val="multilevel"/>
    <w:tmpl w:val="5680BE20"/>
    <w:styleLink w:val="List72"/>
    <w:lvl w:ilvl="0">
      <w:start w:val="6"/>
      <w:numFmt w:val="decimal"/>
      <w:lvlText w:val="%1."/>
      <w:lvlJc w:val="left"/>
      <w:pPr>
        <w:tabs>
          <w:tab w:val="num" w:pos="1548"/>
        </w:tabs>
        <w:ind w:left="1548" w:hanging="1548"/>
      </w:pPr>
      <w:rPr>
        <w:rFonts w:ascii="Garamond" w:eastAsia="Garamond" w:hAnsi="Garamond" w:cs="Garamond"/>
        <w:caps w:val="0"/>
        <w:smallCaps w:val="0"/>
        <w:strike w:val="0"/>
        <w:dstrike w:val="0"/>
        <w:color w:val="FF0000"/>
        <w:spacing w:val="0"/>
        <w:kern w:val="0"/>
        <w:position w:val="0"/>
        <w:sz w:val="20"/>
        <w:szCs w:val="20"/>
        <w:u w:val="none" w:color="FF0000"/>
        <w:vertAlign w:val="baseline"/>
        <w:lang w:val="ru-RU"/>
      </w:rPr>
    </w:lvl>
    <w:lvl w:ilvl="1">
      <w:start w:val="1"/>
      <w:numFmt w:val="decimal"/>
      <w:lvlText w:val="%2."/>
      <w:lvlJc w:val="left"/>
      <w:pPr>
        <w:tabs>
          <w:tab w:val="num" w:pos="1440"/>
        </w:tabs>
        <w:ind w:left="1440" w:hanging="360"/>
      </w:pPr>
      <w:rPr>
        <w:rFonts w:ascii="Garamond" w:eastAsia="Garamond" w:hAnsi="Garamond" w:cs="Garamond"/>
        <w:caps w:val="0"/>
        <w:smallCaps w:val="0"/>
        <w:strike w:val="0"/>
        <w:dstrike w:val="0"/>
        <w:color w:val="FF0000"/>
        <w:spacing w:val="0"/>
        <w:kern w:val="0"/>
        <w:position w:val="0"/>
        <w:sz w:val="20"/>
        <w:szCs w:val="20"/>
        <w:u w:val="none" w:color="FF0000"/>
        <w:vertAlign w:val="baseline"/>
        <w:lang w:val="ru-RU"/>
      </w:rPr>
    </w:lvl>
    <w:lvl w:ilvl="2">
      <w:start w:val="1"/>
      <w:numFmt w:val="decimal"/>
      <w:lvlText w:val="%3."/>
      <w:lvlJc w:val="left"/>
      <w:pPr>
        <w:tabs>
          <w:tab w:val="num" w:pos="2160"/>
        </w:tabs>
        <w:ind w:left="2160" w:hanging="360"/>
      </w:pPr>
      <w:rPr>
        <w:rFonts w:ascii="Garamond" w:eastAsia="Garamond" w:hAnsi="Garamond" w:cs="Garamond"/>
        <w:caps w:val="0"/>
        <w:smallCaps w:val="0"/>
        <w:strike w:val="0"/>
        <w:dstrike w:val="0"/>
        <w:color w:val="FF0000"/>
        <w:spacing w:val="0"/>
        <w:kern w:val="0"/>
        <w:position w:val="0"/>
        <w:sz w:val="20"/>
        <w:szCs w:val="20"/>
        <w:u w:val="none" w:color="FF0000"/>
        <w:vertAlign w:val="baseline"/>
        <w:lang w:val="ru-RU"/>
      </w:rPr>
    </w:lvl>
    <w:lvl w:ilvl="3">
      <w:start w:val="1"/>
      <w:numFmt w:val="decimal"/>
      <w:lvlText w:val="%4."/>
      <w:lvlJc w:val="left"/>
      <w:pPr>
        <w:tabs>
          <w:tab w:val="num" w:pos="2880"/>
        </w:tabs>
        <w:ind w:left="2880" w:hanging="360"/>
      </w:pPr>
      <w:rPr>
        <w:rFonts w:ascii="Garamond" w:eastAsia="Garamond" w:hAnsi="Garamond" w:cs="Garamond"/>
        <w:caps w:val="0"/>
        <w:smallCaps w:val="0"/>
        <w:strike w:val="0"/>
        <w:dstrike w:val="0"/>
        <w:color w:val="FF0000"/>
        <w:spacing w:val="0"/>
        <w:kern w:val="0"/>
        <w:position w:val="0"/>
        <w:sz w:val="20"/>
        <w:szCs w:val="20"/>
        <w:u w:val="none" w:color="FF0000"/>
        <w:vertAlign w:val="baseline"/>
        <w:lang w:val="ru-RU"/>
      </w:rPr>
    </w:lvl>
    <w:lvl w:ilvl="4">
      <w:start w:val="1"/>
      <w:numFmt w:val="decimal"/>
      <w:lvlText w:val="%5."/>
      <w:lvlJc w:val="left"/>
      <w:pPr>
        <w:tabs>
          <w:tab w:val="num" w:pos="3600"/>
        </w:tabs>
        <w:ind w:left="3600" w:hanging="360"/>
      </w:pPr>
      <w:rPr>
        <w:rFonts w:ascii="Garamond" w:eastAsia="Garamond" w:hAnsi="Garamond" w:cs="Garamond"/>
        <w:caps w:val="0"/>
        <w:smallCaps w:val="0"/>
        <w:strike w:val="0"/>
        <w:dstrike w:val="0"/>
        <w:color w:val="FF0000"/>
        <w:spacing w:val="0"/>
        <w:kern w:val="0"/>
        <w:position w:val="0"/>
        <w:sz w:val="20"/>
        <w:szCs w:val="20"/>
        <w:u w:val="none" w:color="FF0000"/>
        <w:vertAlign w:val="baseline"/>
        <w:lang w:val="ru-RU"/>
      </w:rPr>
    </w:lvl>
    <w:lvl w:ilvl="5">
      <w:start w:val="1"/>
      <w:numFmt w:val="decimal"/>
      <w:lvlText w:val="%6."/>
      <w:lvlJc w:val="left"/>
      <w:pPr>
        <w:tabs>
          <w:tab w:val="num" w:pos="4320"/>
        </w:tabs>
        <w:ind w:left="4320" w:hanging="360"/>
      </w:pPr>
      <w:rPr>
        <w:rFonts w:ascii="Garamond" w:eastAsia="Garamond" w:hAnsi="Garamond" w:cs="Garamond"/>
        <w:caps w:val="0"/>
        <w:smallCaps w:val="0"/>
        <w:strike w:val="0"/>
        <w:dstrike w:val="0"/>
        <w:color w:val="FF0000"/>
        <w:spacing w:val="0"/>
        <w:kern w:val="0"/>
        <w:position w:val="0"/>
        <w:sz w:val="20"/>
        <w:szCs w:val="20"/>
        <w:u w:val="none" w:color="FF0000"/>
        <w:vertAlign w:val="baseline"/>
        <w:lang w:val="ru-RU"/>
      </w:rPr>
    </w:lvl>
    <w:lvl w:ilvl="6">
      <w:start w:val="1"/>
      <w:numFmt w:val="decimal"/>
      <w:lvlText w:val="%7."/>
      <w:lvlJc w:val="left"/>
      <w:pPr>
        <w:tabs>
          <w:tab w:val="num" w:pos="5040"/>
        </w:tabs>
        <w:ind w:left="5040" w:hanging="360"/>
      </w:pPr>
      <w:rPr>
        <w:rFonts w:ascii="Garamond" w:eastAsia="Garamond" w:hAnsi="Garamond" w:cs="Garamond"/>
        <w:caps w:val="0"/>
        <w:smallCaps w:val="0"/>
        <w:strike w:val="0"/>
        <w:dstrike w:val="0"/>
        <w:color w:val="FF0000"/>
        <w:spacing w:val="0"/>
        <w:kern w:val="0"/>
        <w:position w:val="0"/>
        <w:sz w:val="20"/>
        <w:szCs w:val="20"/>
        <w:u w:val="none" w:color="FF0000"/>
        <w:vertAlign w:val="baseline"/>
        <w:lang w:val="ru-RU"/>
      </w:rPr>
    </w:lvl>
    <w:lvl w:ilvl="7">
      <w:start w:val="1"/>
      <w:numFmt w:val="decimal"/>
      <w:lvlText w:val="%8."/>
      <w:lvlJc w:val="left"/>
      <w:pPr>
        <w:tabs>
          <w:tab w:val="num" w:pos="5760"/>
        </w:tabs>
        <w:ind w:left="5760" w:hanging="360"/>
      </w:pPr>
      <w:rPr>
        <w:rFonts w:ascii="Garamond" w:eastAsia="Garamond" w:hAnsi="Garamond" w:cs="Garamond"/>
        <w:caps w:val="0"/>
        <w:smallCaps w:val="0"/>
        <w:strike w:val="0"/>
        <w:dstrike w:val="0"/>
        <w:color w:val="FF0000"/>
        <w:spacing w:val="0"/>
        <w:kern w:val="0"/>
        <w:position w:val="0"/>
        <w:sz w:val="20"/>
        <w:szCs w:val="20"/>
        <w:u w:val="none" w:color="FF0000"/>
        <w:vertAlign w:val="baseline"/>
        <w:lang w:val="ru-RU"/>
      </w:rPr>
    </w:lvl>
    <w:lvl w:ilvl="8">
      <w:start w:val="1"/>
      <w:numFmt w:val="decimal"/>
      <w:lvlText w:val="%9."/>
      <w:lvlJc w:val="left"/>
      <w:pPr>
        <w:tabs>
          <w:tab w:val="num" w:pos="6480"/>
        </w:tabs>
        <w:ind w:left="6480" w:hanging="360"/>
      </w:pPr>
      <w:rPr>
        <w:rFonts w:ascii="Garamond" w:eastAsia="Garamond" w:hAnsi="Garamond" w:cs="Garamond"/>
        <w:caps w:val="0"/>
        <w:smallCaps w:val="0"/>
        <w:strike w:val="0"/>
        <w:dstrike w:val="0"/>
        <w:color w:val="FF0000"/>
        <w:spacing w:val="0"/>
        <w:kern w:val="0"/>
        <w:position w:val="0"/>
        <w:sz w:val="20"/>
        <w:szCs w:val="20"/>
        <w:u w:val="none" w:color="FF0000"/>
        <w:vertAlign w:val="baseline"/>
        <w:lang w:val="ru-RU"/>
      </w:rPr>
    </w:lvl>
  </w:abstractNum>
  <w:abstractNum w:abstractNumId="168" w15:restartNumberingAfterBreak="0">
    <w:nsid w:val="3ABD209C"/>
    <w:multiLevelType w:val="multilevel"/>
    <w:tmpl w:val="8710D608"/>
    <w:lvl w:ilvl="0">
      <w:start w:val="8"/>
      <w:numFmt w:val="decimal"/>
      <w:lvlText w:val="%1."/>
      <w:lvlJc w:val="left"/>
      <w:pPr>
        <w:ind w:left="468" w:hanging="468"/>
      </w:pPr>
      <w:rPr>
        <w:rFonts w:hint="default"/>
      </w:rPr>
    </w:lvl>
    <w:lvl w:ilvl="1">
      <w:start w:val="7"/>
      <w:numFmt w:val="decimal"/>
      <w:lvlText w:val="%1.%2."/>
      <w:lvlJc w:val="left"/>
      <w:pPr>
        <w:ind w:left="1034" w:hanging="720"/>
      </w:pPr>
      <w:rPr>
        <w:rFonts w:hint="default"/>
      </w:rPr>
    </w:lvl>
    <w:lvl w:ilvl="2">
      <w:start w:val="8"/>
      <w:numFmt w:val="decimal"/>
      <w:lvlText w:val="%1.%2.%3."/>
      <w:lvlJc w:val="left"/>
      <w:pPr>
        <w:ind w:left="1348" w:hanging="720"/>
      </w:pPr>
      <w:rPr>
        <w:rFonts w:hint="default"/>
      </w:rPr>
    </w:lvl>
    <w:lvl w:ilvl="3">
      <w:start w:val="1"/>
      <w:numFmt w:val="decimal"/>
      <w:lvlText w:val="%1.%2.%3.%4."/>
      <w:lvlJc w:val="left"/>
      <w:pPr>
        <w:ind w:left="2022" w:hanging="1080"/>
      </w:pPr>
      <w:rPr>
        <w:rFonts w:hint="default"/>
      </w:rPr>
    </w:lvl>
    <w:lvl w:ilvl="4">
      <w:start w:val="1"/>
      <w:numFmt w:val="decimal"/>
      <w:lvlText w:val="%1.%2.%3.%4.%5."/>
      <w:lvlJc w:val="left"/>
      <w:pPr>
        <w:ind w:left="2336" w:hanging="1080"/>
      </w:pPr>
      <w:rPr>
        <w:rFonts w:hint="default"/>
      </w:rPr>
    </w:lvl>
    <w:lvl w:ilvl="5">
      <w:start w:val="1"/>
      <w:numFmt w:val="decimal"/>
      <w:lvlText w:val="%1.%2.%3.%4.%5.%6."/>
      <w:lvlJc w:val="left"/>
      <w:pPr>
        <w:ind w:left="3010" w:hanging="1440"/>
      </w:pPr>
      <w:rPr>
        <w:rFonts w:hint="default"/>
      </w:rPr>
    </w:lvl>
    <w:lvl w:ilvl="6">
      <w:start w:val="1"/>
      <w:numFmt w:val="decimal"/>
      <w:lvlText w:val="%1.%2.%3.%4.%5.%6.%7."/>
      <w:lvlJc w:val="left"/>
      <w:pPr>
        <w:ind w:left="3684" w:hanging="1800"/>
      </w:pPr>
      <w:rPr>
        <w:rFonts w:hint="default"/>
      </w:rPr>
    </w:lvl>
    <w:lvl w:ilvl="7">
      <w:start w:val="1"/>
      <w:numFmt w:val="decimal"/>
      <w:lvlText w:val="%1.%2.%3.%4.%5.%6.%7.%8."/>
      <w:lvlJc w:val="left"/>
      <w:pPr>
        <w:ind w:left="3998" w:hanging="1800"/>
      </w:pPr>
      <w:rPr>
        <w:rFonts w:hint="default"/>
      </w:rPr>
    </w:lvl>
    <w:lvl w:ilvl="8">
      <w:start w:val="1"/>
      <w:numFmt w:val="decimal"/>
      <w:lvlText w:val="%1.%2.%3.%4.%5.%6.%7.%8.%9."/>
      <w:lvlJc w:val="left"/>
      <w:pPr>
        <w:ind w:left="4672" w:hanging="2160"/>
      </w:pPr>
      <w:rPr>
        <w:rFonts w:hint="default"/>
      </w:rPr>
    </w:lvl>
  </w:abstractNum>
  <w:abstractNum w:abstractNumId="169" w15:restartNumberingAfterBreak="0">
    <w:nsid w:val="3ABD24B8"/>
    <w:multiLevelType w:val="multilevel"/>
    <w:tmpl w:val="E4FE94DA"/>
    <w:styleLink w:val="List22"/>
    <w:lvl w:ilvl="0">
      <w:start w:val="1"/>
      <w:numFmt w:val="decimal"/>
      <w:lvlText w:val="%1."/>
      <w:lvlJc w:val="left"/>
      <w:pPr>
        <w:tabs>
          <w:tab w:val="num" w:pos="317"/>
        </w:tabs>
        <w:ind w:left="317" w:hanging="317"/>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1">
      <w:start w:val="1"/>
      <w:numFmt w:val="lowerLetter"/>
      <w:lvlText w:val="%2."/>
      <w:lvlJc w:val="left"/>
      <w:pPr>
        <w:tabs>
          <w:tab w:val="num" w:pos="1380"/>
        </w:tabs>
        <w:ind w:left="1380" w:hanging="300"/>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2">
      <w:start w:val="1"/>
      <w:numFmt w:val="lowerRoman"/>
      <w:lvlText w:val="%3."/>
      <w:lvlJc w:val="left"/>
      <w:pPr>
        <w:tabs>
          <w:tab w:val="num" w:pos="2111"/>
        </w:tabs>
        <w:ind w:left="2111" w:hanging="247"/>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3">
      <w:start w:val="1"/>
      <w:numFmt w:val="decimal"/>
      <w:lvlText w:val="%4."/>
      <w:lvlJc w:val="left"/>
      <w:pPr>
        <w:tabs>
          <w:tab w:val="num" w:pos="2820"/>
        </w:tabs>
        <w:ind w:left="2820" w:hanging="300"/>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4">
      <w:start w:val="1"/>
      <w:numFmt w:val="lowerLetter"/>
      <w:lvlText w:val="%5."/>
      <w:lvlJc w:val="left"/>
      <w:pPr>
        <w:tabs>
          <w:tab w:val="num" w:pos="3540"/>
        </w:tabs>
        <w:ind w:left="3540" w:hanging="300"/>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5">
      <w:start w:val="1"/>
      <w:numFmt w:val="lowerRoman"/>
      <w:lvlText w:val="%6."/>
      <w:lvlJc w:val="left"/>
      <w:pPr>
        <w:tabs>
          <w:tab w:val="num" w:pos="4271"/>
        </w:tabs>
        <w:ind w:left="4271" w:hanging="247"/>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6">
      <w:start w:val="1"/>
      <w:numFmt w:val="decimal"/>
      <w:lvlText w:val="%7."/>
      <w:lvlJc w:val="left"/>
      <w:pPr>
        <w:tabs>
          <w:tab w:val="num" w:pos="4980"/>
        </w:tabs>
        <w:ind w:left="4980" w:hanging="300"/>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7">
      <w:start w:val="1"/>
      <w:numFmt w:val="lowerLetter"/>
      <w:lvlText w:val="%8."/>
      <w:lvlJc w:val="left"/>
      <w:pPr>
        <w:tabs>
          <w:tab w:val="num" w:pos="5700"/>
        </w:tabs>
        <w:ind w:left="5700" w:hanging="300"/>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8">
      <w:start w:val="1"/>
      <w:numFmt w:val="lowerRoman"/>
      <w:lvlText w:val="%9."/>
      <w:lvlJc w:val="left"/>
      <w:pPr>
        <w:tabs>
          <w:tab w:val="num" w:pos="6431"/>
        </w:tabs>
        <w:ind w:left="6431" w:hanging="247"/>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abstractNum>
  <w:abstractNum w:abstractNumId="170" w15:restartNumberingAfterBreak="0">
    <w:nsid w:val="3ACC7637"/>
    <w:multiLevelType w:val="hybridMultilevel"/>
    <w:tmpl w:val="B94044FA"/>
    <w:lvl w:ilvl="0" w:tplc="B7BC32D8">
      <w:start w:val="1"/>
      <w:numFmt w:val="bullet"/>
      <w:lvlText w:val="–"/>
      <w:lvlJc w:val="left"/>
      <w:pPr>
        <w:ind w:left="1146" w:hanging="360"/>
      </w:pPr>
      <w:rPr>
        <w:rFonts w:ascii="Times New Roman" w:hAnsi="Times New Roman" w:hint="default"/>
        <w:color w:val="auto"/>
      </w:rPr>
    </w:lvl>
    <w:lvl w:ilvl="1" w:tplc="04190003" w:tentative="1">
      <w:start w:val="1"/>
      <w:numFmt w:val="bullet"/>
      <w:lvlText w:val="o"/>
      <w:lvlJc w:val="left"/>
      <w:pPr>
        <w:ind w:left="1866" w:hanging="360"/>
      </w:pPr>
      <w:rPr>
        <w:rFonts w:ascii="Courier New" w:hAnsi="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71" w15:restartNumberingAfterBreak="0">
    <w:nsid w:val="3AFC173B"/>
    <w:multiLevelType w:val="hybridMultilevel"/>
    <w:tmpl w:val="6C4C0A66"/>
    <w:lvl w:ilvl="0" w:tplc="E1B8CC9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72" w15:restartNumberingAfterBreak="0">
    <w:nsid w:val="3B1425C8"/>
    <w:multiLevelType w:val="hybridMultilevel"/>
    <w:tmpl w:val="26C6BE62"/>
    <w:lvl w:ilvl="0" w:tplc="FFFFFFFF">
      <w:start w:val="1"/>
      <w:numFmt w:val="bullet"/>
      <w:lvlText w:val="­"/>
      <w:lvlJc w:val="left"/>
      <w:pPr>
        <w:ind w:left="1321" w:hanging="360"/>
      </w:pPr>
      <w:rPr>
        <w:rFonts w:ascii="Courier New" w:hAnsi="Courier New" w:hint="default"/>
        <w:color w:val="auto"/>
      </w:rPr>
    </w:lvl>
    <w:lvl w:ilvl="1" w:tplc="04190003" w:tentative="1">
      <w:start w:val="1"/>
      <w:numFmt w:val="bullet"/>
      <w:lvlText w:val="o"/>
      <w:lvlJc w:val="left"/>
      <w:pPr>
        <w:ind w:left="2041" w:hanging="360"/>
      </w:pPr>
      <w:rPr>
        <w:rFonts w:ascii="Courier New" w:hAnsi="Courier New" w:cs="Courier New" w:hint="default"/>
      </w:rPr>
    </w:lvl>
    <w:lvl w:ilvl="2" w:tplc="04190005" w:tentative="1">
      <w:start w:val="1"/>
      <w:numFmt w:val="bullet"/>
      <w:lvlText w:val=""/>
      <w:lvlJc w:val="left"/>
      <w:pPr>
        <w:ind w:left="2761" w:hanging="360"/>
      </w:pPr>
      <w:rPr>
        <w:rFonts w:ascii="Wingdings" w:hAnsi="Wingdings" w:hint="default"/>
      </w:rPr>
    </w:lvl>
    <w:lvl w:ilvl="3" w:tplc="04190001" w:tentative="1">
      <w:start w:val="1"/>
      <w:numFmt w:val="bullet"/>
      <w:lvlText w:val=""/>
      <w:lvlJc w:val="left"/>
      <w:pPr>
        <w:ind w:left="3481" w:hanging="360"/>
      </w:pPr>
      <w:rPr>
        <w:rFonts w:ascii="Symbol" w:hAnsi="Symbol" w:hint="default"/>
      </w:rPr>
    </w:lvl>
    <w:lvl w:ilvl="4" w:tplc="04190003" w:tentative="1">
      <w:start w:val="1"/>
      <w:numFmt w:val="bullet"/>
      <w:lvlText w:val="o"/>
      <w:lvlJc w:val="left"/>
      <w:pPr>
        <w:ind w:left="4201" w:hanging="360"/>
      </w:pPr>
      <w:rPr>
        <w:rFonts w:ascii="Courier New" w:hAnsi="Courier New" w:cs="Courier New" w:hint="default"/>
      </w:rPr>
    </w:lvl>
    <w:lvl w:ilvl="5" w:tplc="04190005" w:tentative="1">
      <w:start w:val="1"/>
      <w:numFmt w:val="bullet"/>
      <w:lvlText w:val=""/>
      <w:lvlJc w:val="left"/>
      <w:pPr>
        <w:ind w:left="4921" w:hanging="360"/>
      </w:pPr>
      <w:rPr>
        <w:rFonts w:ascii="Wingdings" w:hAnsi="Wingdings" w:hint="default"/>
      </w:rPr>
    </w:lvl>
    <w:lvl w:ilvl="6" w:tplc="04190001" w:tentative="1">
      <w:start w:val="1"/>
      <w:numFmt w:val="bullet"/>
      <w:lvlText w:val=""/>
      <w:lvlJc w:val="left"/>
      <w:pPr>
        <w:ind w:left="5641" w:hanging="360"/>
      </w:pPr>
      <w:rPr>
        <w:rFonts w:ascii="Symbol" w:hAnsi="Symbol" w:hint="default"/>
      </w:rPr>
    </w:lvl>
    <w:lvl w:ilvl="7" w:tplc="04190003" w:tentative="1">
      <w:start w:val="1"/>
      <w:numFmt w:val="bullet"/>
      <w:lvlText w:val="o"/>
      <w:lvlJc w:val="left"/>
      <w:pPr>
        <w:ind w:left="6361" w:hanging="360"/>
      </w:pPr>
      <w:rPr>
        <w:rFonts w:ascii="Courier New" w:hAnsi="Courier New" w:cs="Courier New" w:hint="default"/>
      </w:rPr>
    </w:lvl>
    <w:lvl w:ilvl="8" w:tplc="04190005" w:tentative="1">
      <w:start w:val="1"/>
      <w:numFmt w:val="bullet"/>
      <w:lvlText w:val=""/>
      <w:lvlJc w:val="left"/>
      <w:pPr>
        <w:ind w:left="7081" w:hanging="360"/>
      </w:pPr>
      <w:rPr>
        <w:rFonts w:ascii="Wingdings" w:hAnsi="Wingdings" w:hint="default"/>
      </w:rPr>
    </w:lvl>
  </w:abstractNum>
  <w:abstractNum w:abstractNumId="173" w15:restartNumberingAfterBreak="0">
    <w:nsid w:val="3BAF5838"/>
    <w:multiLevelType w:val="hybridMultilevel"/>
    <w:tmpl w:val="3E6894F8"/>
    <w:lvl w:ilvl="0" w:tplc="B7BC32D8">
      <w:start w:val="1"/>
      <w:numFmt w:val="bullet"/>
      <w:lvlText w:val="–"/>
      <w:lvlJc w:val="left"/>
      <w:pPr>
        <w:ind w:left="1070" w:hanging="360"/>
      </w:pPr>
      <w:rPr>
        <w:rFonts w:ascii="Times New Roman" w:hAnsi="Times New Roman" w:hint="default"/>
        <w:color w:val="auto"/>
      </w:rPr>
    </w:lvl>
    <w:lvl w:ilvl="1" w:tplc="04190003" w:tentative="1">
      <w:start w:val="1"/>
      <w:numFmt w:val="bullet"/>
      <w:lvlText w:val="o"/>
      <w:lvlJc w:val="left"/>
      <w:pPr>
        <w:ind w:left="1860" w:hanging="360"/>
      </w:pPr>
      <w:rPr>
        <w:rFonts w:ascii="Courier New" w:hAnsi="Courier New" w:hint="default"/>
      </w:rPr>
    </w:lvl>
    <w:lvl w:ilvl="2" w:tplc="04190005" w:tentative="1">
      <w:start w:val="1"/>
      <w:numFmt w:val="bullet"/>
      <w:lvlText w:val=""/>
      <w:lvlJc w:val="left"/>
      <w:pPr>
        <w:ind w:left="2580" w:hanging="360"/>
      </w:pPr>
      <w:rPr>
        <w:rFonts w:ascii="Wingdings" w:hAnsi="Wingdings" w:hint="default"/>
      </w:rPr>
    </w:lvl>
    <w:lvl w:ilvl="3" w:tplc="04190001" w:tentative="1">
      <w:start w:val="1"/>
      <w:numFmt w:val="bullet"/>
      <w:lvlText w:val=""/>
      <w:lvlJc w:val="left"/>
      <w:pPr>
        <w:ind w:left="3300" w:hanging="360"/>
      </w:pPr>
      <w:rPr>
        <w:rFonts w:ascii="Symbol" w:hAnsi="Symbol" w:hint="default"/>
      </w:rPr>
    </w:lvl>
    <w:lvl w:ilvl="4" w:tplc="04190003" w:tentative="1">
      <w:start w:val="1"/>
      <w:numFmt w:val="bullet"/>
      <w:lvlText w:val="o"/>
      <w:lvlJc w:val="left"/>
      <w:pPr>
        <w:ind w:left="4020" w:hanging="360"/>
      </w:pPr>
      <w:rPr>
        <w:rFonts w:ascii="Courier New" w:hAnsi="Courier New" w:hint="default"/>
      </w:rPr>
    </w:lvl>
    <w:lvl w:ilvl="5" w:tplc="04190005" w:tentative="1">
      <w:start w:val="1"/>
      <w:numFmt w:val="bullet"/>
      <w:lvlText w:val=""/>
      <w:lvlJc w:val="left"/>
      <w:pPr>
        <w:ind w:left="4740" w:hanging="360"/>
      </w:pPr>
      <w:rPr>
        <w:rFonts w:ascii="Wingdings" w:hAnsi="Wingdings" w:hint="default"/>
      </w:rPr>
    </w:lvl>
    <w:lvl w:ilvl="6" w:tplc="04190001" w:tentative="1">
      <w:start w:val="1"/>
      <w:numFmt w:val="bullet"/>
      <w:lvlText w:val=""/>
      <w:lvlJc w:val="left"/>
      <w:pPr>
        <w:ind w:left="5460" w:hanging="360"/>
      </w:pPr>
      <w:rPr>
        <w:rFonts w:ascii="Symbol" w:hAnsi="Symbol" w:hint="default"/>
      </w:rPr>
    </w:lvl>
    <w:lvl w:ilvl="7" w:tplc="04190003" w:tentative="1">
      <w:start w:val="1"/>
      <w:numFmt w:val="bullet"/>
      <w:lvlText w:val="o"/>
      <w:lvlJc w:val="left"/>
      <w:pPr>
        <w:ind w:left="6180" w:hanging="360"/>
      </w:pPr>
      <w:rPr>
        <w:rFonts w:ascii="Courier New" w:hAnsi="Courier New" w:hint="default"/>
      </w:rPr>
    </w:lvl>
    <w:lvl w:ilvl="8" w:tplc="04190005" w:tentative="1">
      <w:start w:val="1"/>
      <w:numFmt w:val="bullet"/>
      <w:lvlText w:val=""/>
      <w:lvlJc w:val="left"/>
      <w:pPr>
        <w:ind w:left="6900" w:hanging="360"/>
      </w:pPr>
      <w:rPr>
        <w:rFonts w:ascii="Wingdings" w:hAnsi="Wingdings" w:hint="default"/>
      </w:rPr>
    </w:lvl>
  </w:abstractNum>
  <w:abstractNum w:abstractNumId="174" w15:restartNumberingAfterBreak="0">
    <w:nsid w:val="3C054B08"/>
    <w:multiLevelType w:val="hybridMultilevel"/>
    <w:tmpl w:val="8DEE8BBC"/>
    <w:lvl w:ilvl="0" w:tplc="345E4FC2">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75" w15:restartNumberingAfterBreak="0">
    <w:nsid w:val="3CAA0EDB"/>
    <w:multiLevelType w:val="multilevel"/>
    <w:tmpl w:val="34DE9928"/>
    <w:styleLink w:val="List70"/>
    <w:lvl w:ilvl="0">
      <w:start w:val="1"/>
      <w:numFmt w:val="decimal"/>
      <w:lvlText w:val="%1."/>
      <w:lvlJc w:val="left"/>
      <w:pPr>
        <w:tabs>
          <w:tab w:val="num" w:pos="317"/>
        </w:tabs>
        <w:ind w:left="317" w:hanging="317"/>
      </w:pPr>
      <w:rPr>
        <w:caps w:val="0"/>
        <w:smallCaps w:val="0"/>
        <w:strike w:val="0"/>
        <w:dstrike w:val="0"/>
        <w:color w:val="000000"/>
        <w:spacing w:val="0"/>
        <w:kern w:val="0"/>
        <w:position w:val="0"/>
        <w:sz w:val="20"/>
        <w:szCs w:val="20"/>
        <w:u w:val="none" w:color="000000"/>
        <w:vertAlign w:val="baseline"/>
        <w:lang w:val="ru-RU"/>
      </w:rPr>
    </w:lvl>
    <w:lvl w:ilvl="1">
      <w:start w:val="1"/>
      <w:numFmt w:val="lowerLetter"/>
      <w:lvlText w:val="%2."/>
      <w:lvlJc w:val="left"/>
      <w:pPr>
        <w:tabs>
          <w:tab w:val="num" w:pos="1380"/>
        </w:tabs>
        <w:ind w:left="1380" w:hanging="300"/>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2">
      <w:start w:val="1"/>
      <w:numFmt w:val="lowerRoman"/>
      <w:lvlText w:val="%3."/>
      <w:lvlJc w:val="left"/>
      <w:pPr>
        <w:tabs>
          <w:tab w:val="num" w:pos="2111"/>
        </w:tabs>
        <w:ind w:left="2111" w:hanging="247"/>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3">
      <w:start w:val="1"/>
      <w:numFmt w:val="decimal"/>
      <w:lvlText w:val="%4."/>
      <w:lvlJc w:val="left"/>
      <w:pPr>
        <w:tabs>
          <w:tab w:val="num" w:pos="2820"/>
        </w:tabs>
        <w:ind w:left="2820" w:hanging="300"/>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4">
      <w:start w:val="1"/>
      <w:numFmt w:val="lowerLetter"/>
      <w:lvlText w:val="%5."/>
      <w:lvlJc w:val="left"/>
      <w:pPr>
        <w:tabs>
          <w:tab w:val="num" w:pos="3540"/>
        </w:tabs>
        <w:ind w:left="3540" w:hanging="300"/>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5">
      <w:start w:val="1"/>
      <w:numFmt w:val="lowerRoman"/>
      <w:lvlText w:val="%6."/>
      <w:lvlJc w:val="left"/>
      <w:pPr>
        <w:tabs>
          <w:tab w:val="num" w:pos="4271"/>
        </w:tabs>
        <w:ind w:left="4271" w:hanging="247"/>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6">
      <w:start w:val="1"/>
      <w:numFmt w:val="decimal"/>
      <w:lvlText w:val="%7."/>
      <w:lvlJc w:val="left"/>
      <w:pPr>
        <w:tabs>
          <w:tab w:val="num" w:pos="4980"/>
        </w:tabs>
        <w:ind w:left="4980" w:hanging="300"/>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7">
      <w:start w:val="1"/>
      <w:numFmt w:val="lowerLetter"/>
      <w:lvlText w:val="%8."/>
      <w:lvlJc w:val="left"/>
      <w:pPr>
        <w:tabs>
          <w:tab w:val="num" w:pos="5700"/>
        </w:tabs>
        <w:ind w:left="5700" w:hanging="300"/>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8">
      <w:start w:val="1"/>
      <w:numFmt w:val="lowerRoman"/>
      <w:lvlText w:val="%9."/>
      <w:lvlJc w:val="left"/>
      <w:pPr>
        <w:tabs>
          <w:tab w:val="num" w:pos="6431"/>
        </w:tabs>
        <w:ind w:left="6431" w:hanging="247"/>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abstractNum>
  <w:abstractNum w:abstractNumId="176" w15:restartNumberingAfterBreak="0">
    <w:nsid w:val="3D7D2C58"/>
    <w:multiLevelType w:val="hybridMultilevel"/>
    <w:tmpl w:val="6C4C0A66"/>
    <w:lvl w:ilvl="0" w:tplc="E1B8CC9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77" w15:restartNumberingAfterBreak="0">
    <w:nsid w:val="3E7D0A59"/>
    <w:multiLevelType w:val="multilevel"/>
    <w:tmpl w:val="9EEEAFCA"/>
    <w:lvl w:ilvl="0">
      <w:start w:val="3"/>
      <w:numFmt w:val="decimal"/>
      <w:lvlText w:val="%1."/>
      <w:lvlJc w:val="left"/>
      <w:pPr>
        <w:ind w:left="360" w:hanging="360"/>
      </w:pPr>
      <w:rPr>
        <w:rFonts w:hint="default"/>
      </w:rPr>
    </w:lvl>
    <w:lvl w:ilvl="1">
      <w:start w:val="1"/>
      <w:numFmt w:val="decimal"/>
      <w:lvlText w:val="%1.%2."/>
      <w:lvlJc w:val="left"/>
      <w:pPr>
        <w:ind w:left="0" w:firstLine="601"/>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8" w15:restartNumberingAfterBreak="0">
    <w:nsid w:val="3EB3251B"/>
    <w:multiLevelType w:val="multilevel"/>
    <w:tmpl w:val="8DA45B80"/>
    <w:styleLink w:val="List36"/>
    <w:lvl w:ilvl="0">
      <w:start w:val="1"/>
      <w:numFmt w:val="decimal"/>
      <w:lvlText w:val="%1."/>
      <w:lvlJc w:val="left"/>
      <w:pPr>
        <w:tabs>
          <w:tab w:val="num" w:pos="284"/>
        </w:tabs>
        <w:ind w:left="284" w:hanging="284"/>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1">
      <w:start w:val="1"/>
      <w:numFmt w:val="lowerLetter"/>
      <w:lvlText w:val="%2."/>
      <w:lvlJc w:val="left"/>
      <w:pPr>
        <w:tabs>
          <w:tab w:val="num" w:pos="1380"/>
        </w:tabs>
        <w:ind w:left="1380" w:hanging="300"/>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2">
      <w:start w:val="1"/>
      <w:numFmt w:val="lowerRoman"/>
      <w:lvlText w:val="%3."/>
      <w:lvlJc w:val="left"/>
      <w:pPr>
        <w:tabs>
          <w:tab w:val="num" w:pos="2111"/>
        </w:tabs>
        <w:ind w:left="2111" w:hanging="247"/>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3">
      <w:start w:val="1"/>
      <w:numFmt w:val="decimal"/>
      <w:lvlText w:val="%4."/>
      <w:lvlJc w:val="left"/>
      <w:pPr>
        <w:tabs>
          <w:tab w:val="num" w:pos="2820"/>
        </w:tabs>
        <w:ind w:left="2820" w:hanging="300"/>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4">
      <w:start w:val="1"/>
      <w:numFmt w:val="lowerLetter"/>
      <w:lvlText w:val="%5."/>
      <w:lvlJc w:val="left"/>
      <w:pPr>
        <w:tabs>
          <w:tab w:val="num" w:pos="3540"/>
        </w:tabs>
        <w:ind w:left="3540" w:hanging="300"/>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5">
      <w:start w:val="1"/>
      <w:numFmt w:val="lowerRoman"/>
      <w:lvlText w:val="%6."/>
      <w:lvlJc w:val="left"/>
      <w:pPr>
        <w:tabs>
          <w:tab w:val="num" w:pos="4271"/>
        </w:tabs>
        <w:ind w:left="4271" w:hanging="247"/>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6">
      <w:start w:val="1"/>
      <w:numFmt w:val="decimal"/>
      <w:lvlText w:val="%7."/>
      <w:lvlJc w:val="left"/>
      <w:pPr>
        <w:tabs>
          <w:tab w:val="num" w:pos="4980"/>
        </w:tabs>
        <w:ind w:left="4980" w:hanging="300"/>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7">
      <w:start w:val="1"/>
      <w:numFmt w:val="lowerLetter"/>
      <w:lvlText w:val="%8."/>
      <w:lvlJc w:val="left"/>
      <w:pPr>
        <w:tabs>
          <w:tab w:val="num" w:pos="5700"/>
        </w:tabs>
        <w:ind w:left="5700" w:hanging="300"/>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8">
      <w:start w:val="1"/>
      <w:numFmt w:val="lowerRoman"/>
      <w:lvlText w:val="%9."/>
      <w:lvlJc w:val="left"/>
      <w:pPr>
        <w:tabs>
          <w:tab w:val="num" w:pos="6431"/>
        </w:tabs>
        <w:ind w:left="6431" w:hanging="247"/>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abstractNum>
  <w:abstractNum w:abstractNumId="179" w15:restartNumberingAfterBreak="0">
    <w:nsid w:val="3F450DE3"/>
    <w:multiLevelType w:val="hybridMultilevel"/>
    <w:tmpl w:val="FC12C406"/>
    <w:lvl w:ilvl="0" w:tplc="D6D41A80">
      <w:start w:val="1"/>
      <w:numFmt w:val="bullet"/>
      <w:lvlText w:val=""/>
      <w:lvlJc w:val="left"/>
      <w:pPr>
        <w:tabs>
          <w:tab w:val="num" w:pos="960"/>
        </w:tabs>
        <w:ind w:left="960" w:hanging="360"/>
      </w:pPr>
      <w:rPr>
        <w:rFonts w:ascii="Symbol" w:eastAsia="Helvetica" w:hAnsi="Symbol" w:hint="default"/>
        <w:b w:val="0"/>
      </w:rPr>
    </w:lvl>
    <w:lvl w:ilvl="1" w:tplc="04190003" w:tentative="1">
      <w:start w:val="1"/>
      <w:numFmt w:val="bullet"/>
      <w:lvlText w:val="o"/>
      <w:lvlJc w:val="left"/>
      <w:pPr>
        <w:ind w:left="1680" w:hanging="360"/>
      </w:pPr>
      <w:rPr>
        <w:rFonts w:ascii="Courier New" w:hAnsi="Courier New" w:cs="Courier New" w:hint="default"/>
      </w:rPr>
    </w:lvl>
    <w:lvl w:ilvl="2" w:tplc="04190005" w:tentative="1">
      <w:start w:val="1"/>
      <w:numFmt w:val="bullet"/>
      <w:lvlText w:val=""/>
      <w:lvlJc w:val="left"/>
      <w:pPr>
        <w:ind w:left="2400" w:hanging="360"/>
      </w:pPr>
      <w:rPr>
        <w:rFonts w:ascii="Wingdings" w:hAnsi="Wingdings" w:hint="default"/>
      </w:rPr>
    </w:lvl>
    <w:lvl w:ilvl="3" w:tplc="04190001" w:tentative="1">
      <w:start w:val="1"/>
      <w:numFmt w:val="bullet"/>
      <w:lvlText w:val=""/>
      <w:lvlJc w:val="left"/>
      <w:pPr>
        <w:ind w:left="3120" w:hanging="360"/>
      </w:pPr>
      <w:rPr>
        <w:rFonts w:ascii="Symbol" w:hAnsi="Symbol" w:hint="default"/>
      </w:rPr>
    </w:lvl>
    <w:lvl w:ilvl="4" w:tplc="04190003" w:tentative="1">
      <w:start w:val="1"/>
      <w:numFmt w:val="bullet"/>
      <w:lvlText w:val="o"/>
      <w:lvlJc w:val="left"/>
      <w:pPr>
        <w:ind w:left="3840" w:hanging="360"/>
      </w:pPr>
      <w:rPr>
        <w:rFonts w:ascii="Courier New" w:hAnsi="Courier New" w:cs="Courier New" w:hint="default"/>
      </w:rPr>
    </w:lvl>
    <w:lvl w:ilvl="5" w:tplc="04190005" w:tentative="1">
      <w:start w:val="1"/>
      <w:numFmt w:val="bullet"/>
      <w:lvlText w:val=""/>
      <w:lvlJc w:val="left"/>
      <w:pPr>
        <w:ind w:left="4560" w:hanging="360"/>
      </w:pPr>
      <w:rPr>
        <w:rFonts w:ascii="Wingdings" w:hAnsi="Wingdings" w:hint="default"/>
      </w:rPr>
    </w:lvl>
    <w:lvl w:ilvl="6" w:tplc="04190001" w:tentative="1">
      <w:start w:val="1"/>
      <w:numFmt w:val="bullet"/>
      <w:lvlText w:val=""/>
      <w:lvlJc w:val="left"/>
      <w:pPr>
        <w:ind w:left="5280" w:hanging="360"/>
      </w:pPr>
      <w:rPr>
        <w:rFonts w:ascii="Symbol" w:hAnsi="Symbol" w:hint="default"/>
      </w:rPr>
    </w:lvl>
    <w:lvl w:ilvl="7" w:tplc="04190003" w:tentative="1">
      <w:start w:val="1"/>
      <w:numFmt w:val="bullet"/>
      <w:lvlText w:val="o"/>
      <w:lvlJc w:val="left"/>
      <w:pPr>
        <w:ind w:left="6000" w:hanging="360"/>
      </w:pPr>
      <w:rPr>
        <w:rFonts w:ascii="Courier New" w:hAnsi="Courier New" w:cs="Courier New" w:hint="default"/>
      </w:rPr>
    </w:lvl>
    <w:lvl w:ilvl="8" w:tplc="04190005" w:tentative="1">
      <w:start w:val="1"/>
      <w:numFmt w:val="bullet"/>
      <w:lvlText w:val=""/>
      <w:lvlJc w:val="left"/>
      <w:pPr>
        <w:ind w:left="6720" w:hanging="360"/>
      </w:pPr>
      <w:rPr>
        <w:rFonts w:ascii="Wingdings" w:hAnsi="Wingdings" w:hint="default"/>
      </w:rPr>
    </w:lvl>
  </w:abstractNum>
  <w:abstractNum w:abstractNumId="180" w15:restartNumberingAfterBreak="0">
    <w:nsid w:val="3F531A9F"/>
    <w:multiLevelType w:val="hybridMultilevel"/>
    <w:tmpl w:val="011033D6"/>
    <w:lvl w:ilvl="0" w:tplc="FFFFFFFF">
      <w:start w:val="1"/>
      <w:numFmt w:val="bullet"/>
      <w:lvlText w:val="­"/>
      <w:lvlJc w:val="left"/>
      <w:pPr>
        <w:ind w:left="1321" w:hanging="360"/>
      </w:pPr>
      <w:rPr>
        <w:rFonts w:ascii="Courier New" w:hAnsi="Courier New" w:hint="default"/>
        <w:color w:val="auto"/>
      </w:rPr>
    </w:lvl>
    <w:lvl w:ilvl="1" w:tplc="04190003" w:tentative="1">
      <w:start w:val="1"/>
      <w:numFmt w:val="bullet"/>
      <w:lvlText w:val="o"/>
      <w:lvlJc w:val="left"/>
      <w:pPr>
        <w:ind w:left="2041" w:hanging="360"/>
      </w:pPr>
      <w:rPr>
        <w:rFonts w:ascii="Courier New" w:hAnsi="Courier New" w:cs="Courier New" w:hint="default"/>
      </w:rPr>
    </w:lvl>
    <w:lvl w:ilvl="2" w:tplc="04190005" w:tentative="1">
      <w:start w:val="1"/>
      <w:numFmt w:val="bullet"/>
      <w:lvlText w:val=""/>
      <w:lvlJc w:val="left"/>
      <w:pPr>
        <w:ind w:left="2761" w:hanging="360"/>
      </w:pPr>
      <w:rPr>
        <w:rFonts w:ascii="Wingdings" w:hAnsi="Wingdings" w:hint="default"/>
      </w:rPr>
    </w:lvl>
    <w:lvl w:ilvl="3" w:tplc="04190001" w:tentative="1">
      <w:start w:val="1"/>
      <w:numFmt w:val="bullet"/>
      <w:lvlText w:val=""/>
      <w:lvlJc w:val="left"/>
      <w:pPr>
        <w:ind w:left="3481" w:hanging="360"/>
      </w:pPr>
      <w:rPr>
        <w:rFonts w:ascii="Symbol" w:hAnsi="Symbol" w:hint="default"/>
      </w:rPr>
    </w:lvl>
    <w:lvl w:ilvl="4" w:tplc="04190003" w:tentative="1">
      <w:start w:val="1"/>
      <w:numFmt w:val="bullet"/>
      <w:lvlText w:val="o"/>
      <w:lvlJc w:val="left"/>
      <w:pPr>
        <w:ind w:left="4201" w:hanging="360"/>
      </w:pPr>
      <w:rPr>
        <w:rFonts w:ascii="Courier New" w:hAnsi="Courier New" w:cs="Courier New" w:hint="default"/>
      </w:rPr>
    </w:lvl>
    <w:lvl w:ilvl="5" w:tplc="04190005" w:tentative="1">
      <w:start w:val="1"/>
      <w:numFmt w:val="bullet"/>
      <w:lvlText w:val=""/>
      <w:lvlJc w:val="left"/>
      <w:pPr>
        <w:ind w:left="4921" w:hanging="360"/>
      </w:pPr>
      <w:rPr>
        <w:rFonts w:ascii="Wingdings" w:hAnsi="Wingdings" w:hint="default"/>
      </w:rPr>
    </w:lvl>
    <w:lvl w:ilvl="6" w:tplc="04190001" w:tentative="1">
      <w:start w:val="1"/>
      <w:numFmt w:val="bullet"/>
      <w:lvlText w:val=""/>
      <w:lvlJc w:val="left"/>
      <w:pPr>
        <w:ind w:left="5641" w:hanging="360"/>
      </w:pPr>
      <w:rPr>
        <w:rFonts w:ascii="Symbol" w:hAnsi="Symbol" w:hint="default"/>
      </w:rPr>
    </w:lvl>
    <w:lvl w:ilvl="7" w:tplc="04190003" w:tentative="1">
      <w:start w:val="1"/>
      <w:numFmt w:val="bullet"/>
      <w:lvlText w:val="o"/>
      <w:lvlJc w:val="left"/>
      <w:pPr>
        <w:ind w:left="6361" w:hanging="360"/>
      </w:pPr>
      <w:rPr>
        <w:rFonts w:ascii="Courier New" w:hAnsi="Courier New" w:cs="Courier New" w:hint="default"/>
      </w:rPr>
    </w:lvl>
    <w:lvl w:ilvl="8" w:tplc="04190005" w:tentative="1">
      <w:start w:val="1"/>
      <w:numFmt w:val="bullet"/>
      <w:lvlText w:val=""/>
      <w:lvlJc w:val="left"/>
      <w:pPr>
        <w:ind w:left="7081" w:hanging="360"/>
      </w:pPr>
      <w:rPr>
        <w:rFonts w:ascii="Wingdings" w:hAnsi="Wingdings" w:hint="default"/>
      </w:rPr>
    </w:lvl>
  </w:abstractNum>
  <w:abstractNum w:abstractNumId="181" w15:restartNumberingAfterBreak="0">
    <w:nsid w:val="41397861"/>
    <w:multiLevelType w:val="multilevel"/>
    <w:tmpl w:val="FDD20116"/>
    <w:styleLink w:val="List61"/>
    <w:lvl w:ilvl="0">
      <w:start w:val="1"/>
      <w:numFmt w:val="decimal"/>
      <w:lvlText w:val="%1."/>
      <w:lvlJc w:val="left"/>
      <w:pPr>
        <w:tabs>
          <w:tab w:val="num" w:pos="396"/>
        </w:tabs>
        <w:ind w:left="396" w:hanging="396"/>
      </w:pPr>
      <w:rPr>
        <w:rFonts w:ascii="Garamond" w:eastAsia="Garamond" w:hAnsi="Garamond" w:cs="Garamond"/>
        <w:caps w:val="0"/>
        <w:smallCaps w:val="0"/>
        <w:strike w:val="0"/>
        <w:dstrike w:val="0"/>
        <w:color w:val="000000"/>
        <w:spacing w:val="0"/>
        <w:kern w:val="0"/>
        <w:position w:val="0"/>
        <w:sz w:val="16"/>
        <w:szCs w:val="16"/>
        <w:u w:val="none" w:color="000000"/>
        <w:vertAlign w:val="baseline"/>
        <w:lang w:val="ru-RU"/>
      </w:rPr>
    </w:lvl>
    <w:lvl w:ilvl="1">
      <w:start w:val="1"/>
      <w:numFmt w:val="lowerLetter"/>
      <w:lvlText w:val="%2."/>
      <w:lvlJc w:val="left"/>
      <w:pPr>
        <w:tabs>
          <w:tab w:val="num" w:pos="1380"/>
        </w:tabs>
        <w:ind w:left="1380" w:hanging="300"/>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2">
      <w:start w:val="1"/>
      <w:numFmt w:val="lowerRoman"/>
      <w:lvlText w:val="%3."/>
      <w:lvlJc w:val="left"/>
      <w:pPr>
        <w:tabs>
          <w:tab w:val="num" w:pos="2111"/>
        </w:tabs>
        <w:ind w:left="2111" w:hanging="247"/>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3">
      <w:start w:val="1"/>
      <w:numFmt w:val="decimal"/>
      <w:lvlText w:val="%4."/>
      <w:lvlJc w:val="left"/>
      <w:pPr>
        <w:tabs>
          <w:tab w:val="num" w:pos="2820"/>
        </w:tabs>
        <w:ind w:left="2820" w:hanging="300"/>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4">
      <w:start w:val="1"/>
      <w:numFmt w:val="lowerLetter"/>
      <w:lvlText w:val="%5."/>
      <w:lvlJc w:val="left"/>
      <w:pPr>
        <w:tabs>
          <w:tab w:val="num" w:pos="3540"/>
        </w:tabs>
        <w:ind w:left="3540" w:hanging="300"/>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5">
      <w:start w:val="1"/>
      <w:numFmt w:val="lowerRoman"/>
      <w:lvlText w:val="%6."/>
      <w:lvlJc w:val="left"/>
      <w:pPr>
        <w:tabs>
          <w:tab w:val="num" w:pos="4271"/>
        </w:tabs>
        <w:ind w:left="4271" w:hanging="247"/>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6">
      <w:start w:val="1"/>
      <w:numFmt w:val="decimal"/>
      <w:lvlText w:val="%7."/>
      <w:lvlJc w:val="left"/>
      <w:pPr>
        <w:tabs>
          <w:tab w:val="num" w:pos="4980"/>
        </w:tabs>
        <w:ind w:left="4980" w:hanging="300"/>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7">
      <w:start w:val="1"/>
      <w:numFmt w:val="lowerLetter"/>
      <w:lvlText w:val="%8."/>
      <w:lvlJc w:val="left"/>
      <w:pPr>
        <w:tabs>
          <w:tab w:val="num" w:pos="5700"/>
        </w:tabs>
        <w:ind w:left="5700" w:hanging="300"/>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8">
      <w:start w:val="1"/>
      <w:numFmt w:val="lowerRoman"/>
      <w:lvlText w:val="%9."/>
      <w:lvlJc w:val="left"/>
      <w:pPr>
        <w:tabs>
          <w:tab w:val="num" w:pos="6431"/>
        </w:tabs>
        <w:ind w:left="6431" w:hanging="247"/>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abstractNum>
  <w:abstractNum w:abstractNumId="182" w15:restartNumberingAfterBreak="0">
    <w:nsid w:val="413A08E1"/>
    <w:multiLevelType w:val="hybridMultilevel"/>
    <w:tmpl w:val="81C6FD1A"/>
    <w:lvl w:ilvl="0" w:tplc="C3286B4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3" w15:restartNumberingAfterBreak="0">
    <w:nsid w:val="421A18E9"/>
    <w:multiLevelType w:val="hybridMultilevel"/>
    <w:tmpl w:val="9870A858"/>
    <w:lvl w:ilvl="0" w:tplc="B7BC32D8">
      <w:start w:val="1"/>
      <w:numFmt w:val="bullet"/>
      <w:lvlText w:val="–"/>
      <w:lvlJc w:val="left"/>
      <w:pPr>
        <w:ind w:left="360" w:hanging="360"/>
      </w:pPr>
      <w:rPr>
        <w:rFonts w:ascii="Times New Roman" w:hAnsi="Times New Roman" w:hint="default"/>
        <w:color w:val="auto"/>
      </w:rPr>
    </w:lvl>
    <w:lvl w:ilvl="1" w:tplc="04090003">
      <w:start w:val="1"/>
      <w:numFmt w:val="bullet"/>
      <w:lvlText w:val="o"/>
      <w:lvlJc w:val="left"/>
      <w:pPr>
        <w:ind w:left="1080" w:hanging="360"/>
      </w:pPr>
      <w:rPr>
        <w:rFonts w:ascii="Courier New" w:hAnsi="Courier New" w:hint="default"/>
      </w:rPr>
    </w:lvl>
    <w:lvl w:ilvl="2" w:tplc="04090005">
      <w:start w:val="1"/>
      <w:numFmt w:val="decimal"/>
      <w:lvlText w:val="%3."/>
      <w:lvlJc w:val="left"/>
      <w:pPr>
        <w:tabs>
          <w:tab w:val="num" w:pos="1080"/>
        </w:tabs>
        <w:ind w:left="1080" w:hanging="360"/>
      </w:pPr>
      <w:rPr>
        <w:rFonts w:cs="Times New Roman"/>
      </w:rPr>
    </w:lvl>
    <w:lvl w:ilvl="3" w:tplc="04090001">
      <w:start w:val="1"/>
      <w:numFmt w:val="decimal"/>
      <w:lvlText w:val="%4."/>
      <w:lvlJc w:val="left"/>
      <w:pPr>
        <w:tabs>
          <w:tab w:val="num" w:pos="1800"/>
        </w:tabs>
        <w:ind w:left="1800" w:hanging="360"/>
      </w:pPr>
      <w:rPr>
        <w:rFonts w:cs="Times New Roman"/>
      </w:rPr>
    </w:lvl>
    <w:lvl w:ilvl="4" w:tplc="04090003">
      <w:start w:val="1"/>
      <w:numFmt w:val="decimal"/>
      <w:lvlText w:val="%5."/>
      <w:lvlJc w:val="left"/>
      <w:pPr>
        <w:tabs>
          <w:tab w:val="num" w:pos="2520"/>
        </w:tabs>
        <w:ind w:left="2520" w:hanging="360"/>
      </w:pPr>
      <w:rPr>
        <w:rFonts w:cs="Times New Roman"/>
      </w:rPr>
    </w:lvl>
    <w:lvl w:ilvl="5" w:tplc="04090005">
      <w:start w:val="1"/>
      <w:numFmt w:val="decimal"/>
      <w:lvlText w:val="%6."/>
      <w:lvlJc w:val="left"/>
      <w:pPr>
        <w:tabs>
          <w:tab w:val="num" w:pos="3240"/>
        </w:tabs>
        <w:ind w:left="3240" w:hanging="360"/>
      </w:pPr>
      <w:rPr>
        <w:rFonts w:cs="Times New Roman"/>
      </w:rPr>
    </w:lvl>
    <w:lvl w:ilvl="6" w:tplc="04090001">
      <w:start w:val="1"/>
      <w:numFmt w:val="decimal"/>
      <w:lvlText w:val="%7."/>
      <w:lvlJc w:val="left"/>
      <w:pPr>
        <w:tabs>
          <w:tab w:val="num" w:pos="3960"/>
        </w:tabs>
        <w:ind w:left="3960" w:hanging="360"/>
      </w:pPr>
      <w:rPr>
        <w:rFonts w:cs="Times New Roman"/>
      </w:rPr>
    </w:lvl>
    <w:lvl w:ilvl="7" w:tplc="04090003">
      <w:start w:val="1"/>
      <w:numFmt w:val="decimal"/>
      <w:lvlText w:val="%8."/>
      <w:lvlJc w:val="left"/>
      <w:pPr>
        <w:tabs>
          <w:tab w:val="num" w:pos="4680"/>
        </w:tabs>
        <w:ind w:left="4680" w:hanging="360"/>
      </w:pPr>
      <w:rPr>
        <w:rFonts w:cs="Times New Roman"/>
      </w:rPr>
    </w:lvl>
    <w:lvl w:ilvl="8" w:tplc="04090005">
      <w:start w:val="1"/>
      <w:numFmt w:val="decimal"/>
      <w:lvlText w:val="%9."/>
      <w:lvlJc w:val="left"/>
      <w:pPr>
        <w:tabs>
          <w:tab w:val="num" w:pos="5400"/>
        </w:tabs>
        <w:ind w:left="5400" w:hanging="360"/>
      </w:pPr>
      <w:rPr>
        <w:rFonts w:cs="Times New Roman"/>
      </w:rPr>
    </w:lvl>
  </w:abstractNum>
  <w:abstractNum w:abstractNumId="184" w15:restartNumberingAfterBreak="0">
    <w:nsid w:val="423B110E"/>
    <w:multiLevelType w:val="hybridMultilevel"/>
    <w:tmpl w:val="01D477F4"/>
    <w:lvl w:ilvl="0" w:tplc="C986AC6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5" w15:restartNumberingAfterBreak="0">
    <w:nsid w:val="439B5522"/>
    <w:multiLevelType w:val="hybridMultilevel"/>
    <w:tmpl w:val="E7FE7B1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6" w15:restartNumberingAfterBreak="0">
    <w:nsid w:val="44134A02"/>
    <w:multiLevelType w:val="multilevel"/>
    <w:tmpl w:val="51D0FC92"/>
    <w:lvl w:ilvl="0">
      <w:start w:val="1"/>
      <w:numFmt w:val="decimal"/>
      <w:lvlText w:val="%1."/>
      <w:lvlJc w:val="left"/>
      <w:pPr>
        <w:tabs>
          <w:tab w:val="num" w:pos="317"/>
        </w:tabs>
        <w:ind w:left="317" w:hanging="317"/>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1">
      <w:start w:val="1"/>
      <w:numFmt w:val="lowerLetter"/>
      <w:lvlText w:val="%2."/>
      <w:lvlJc w:val="left"/>
      <w:pPr>
        <w:tabs>
          <w:tab w:val="num" w:pos="1380"/>
        </w:tabs>
        <w:ind w:left="1380" w:hanging="300"/>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2">
      <w:start w:val="1"/>
      <w:numFmt w:val="lowerRoman"/>
      <w:lvlText w:val="%3."/>
      <w:lvlJc w:val="left"/>
      <w:pPr>
        <w:tabs>
          <w:tab w:val="num" w:pos="2111"/>
        </w:tabs>
        <w:ind w:left="2111" w:hanging="247"/>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3">
      <w:start w:val="1"/>
      <w:numFmt w:val="decimal"/>
      <w:lvlText w:val="%4."/>
      <w:lvlJc w:val="left"/>
      <w:pPr>
        <w:tabs>
          <w:tab w:val="num" w:pos="2820"/>
        </w:tabs>
        <w:ind w:left="2820" w:hanging="300"/>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4">
      <w:start w:val="1"/>
      <w:numFmt w:val="lowerLetter"/>
      <w:lvlText w:val="%5."/>
      <w:lvlJc w:val="left"/>
      <w:pPr>
        <w:tabs>
          <w:tab w:val="num" w:pos="3540"/>
        </w:tabs>
        <w:ind w:left="3540" w:hanging="300"/>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5">
      <w:start w:val="1"/>
      <w:numFmt w:val="lowerRoman"/>
      <w:lvlText w:val="%6."/>
      <w:lvlJc w:val="left"/>
      <w:pPr>
        <w:tabs>
          <w:tab w:val="num" w:pos="4271"/>
        </w:tabs>
        <w:ind w:left="4271" w:hanging="247"/>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6">
      <w:start w:val="1"/>
      <w:numFmt w:val="decimal"/>
      <w:lvlText w:val="%7."/>
      <w:lvlJc w:val="left"/>
      <w:pPr>
        <w:tabs>
          <w:tab w:val="num" w:pos="4980"/>
        </w:tabs>
        <w:ind w:left="4980" w:hanging="300"/>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7">
      <w:start w:val="1"/>
      <w:numFmt w:val="lowerLetter"/>
      <w:lvlText w:val="%8."/>
      <w:lvlJc w:val="left"/>
      <w:pPr>
        <w:tabs>
          <w:tab w:val="num" w:pos="5700"/>
        </w:tabs>
        <w:ind w:left="5700" w:hanging="300"/>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8">
      <w:start w:val="1"/>
      <w:numFmt w:val="lowerRoman"/>
      <w:lvlText w:val="%9."/>
      <w:lvlJc w:val="left"/>
      <w:pPr>
        <w:tabs>
          <w:tab w:val="num" w:pos="6431"/>
        </w:tabs>
        <w:ind w:left="6431" w:hanging="247"/>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abstractNum>
  <w:abstractNum w:abstractNumId="187" w15:restartNumberingAfterBreak="0">
    <w:nsid w:val="4439091E"/>
    <w:multiLevelType w:val="multilevel"/>
    <w:tmpl w:val="4B8C9BD6"/>
    <w:lvl w:ilvl="0">
      <w:start w:val="1"/>
      <w:numFmt w:val="decimal"/>
      <w:lvlText w:val="%1."/>
      <w:lvlJc w:val="left"/>
      <w:pPr>
        <w:tabs>
          <w:tab w:val="num" w:pos="317"/>
        </w:tabs>
        <w:ind w:left="317" w:hanging="317"/>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1">
      <w:start w:val="1"/>
      <w:numFmt w:val="lowerLetter"/>
      <w:lvlText w:val="%2."/>
      <w:lvlJc w:val="left"/>
      <w:pPr>
        <w:tabs>
          <w:tab w:val="num" w:pos="1380"/>
        </w:tabs>
        <w:ind w:left="1380" w:hanging="300"/>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2">
      <w:start w:val="1"/>
      <w:numFmt w:val="lowerRoman"/>
      <w:lvlText w:val="%3."/>
      <w:lvlJc w:val="left"/>
      <w:pPr>
        <w:tabs>
          <w:tab w:val="num" w:pos="2111"/>
        </w:tabs>
        <w:ind w:left="2111" w:hanging="247"/>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3">
      <w:start w:val="1"/>
      <w:numFmt w:val="decimal"/>
      <w:lvlText w:val="%4."/>
      <w:lvlJc w:val="left"/>
      <w:pPr>
        <w:tabs>
          <w:tab w:val="num" w:pos="2820"/>
        </w:tabs>
        <w:ind w:left="2820" w:hanging="300"/>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4">
      <w:start w:val="1"/>
      <w:numFmt w:val="lowerLetter"/>
      <w:lvlText w:val="%5."/>
      <w:lvlJc w:val="left"/>
      <w:pPr>
        <w:tabs>
          <w:tab w:val="num" w:pos="3540"/>
        </w:tabs>
        <w:ind w:left="3540" w:hanging="300"/>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5">
      <w:start w:val="1"/>
      <w:numFmt w:val="lowerRoman"/>
      <w:lvlText w:val="%6."/>
      <w:lvlJc w:val="left"/>
      <w:pPr>
        <w:tabs>
          <w:tab w:val="num" w:pos="4271"/>
        </w:tabs>
        <w:ind w:left="4271" w:hanging="247"/>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6">
      <w:start w:val="1"/>
      <w:numFmt w:val="decimal"/>
      <w:lvlText w:val="%7."/>
      <w:lvlJc w:val="left"/>
      <w:pPr>
        <w:tabs>
          <w:tab w:val="num" w:pos="4980"/>
        </w:tabs>
        <w:ind w:left="4980" w:hanging="300"/>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7">
      <w:start w:val="1"/>
      <w:numFmt w:val="lowerLetter"/>
      <w:lvlText w:val="%8."/>
      <w:lvlJc w:val="left"/>
      <w:pPr>
        <w:tabs>
          <w:tab w:val="num" w:pos="5700"/>
        </w:tabs>
        <w:ind w:left="5700" w:hanging="300"/>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8">
      <w:start w:val="1"/>
      <w:numFmt w:val="lowerRoman"/>
      <w:lvlText w:val="%9."/>
      <w:lvlJc w:val="left"/>
      <w:pPr>
        <w:tabs>
          <w:tab w:val="num" w:pos="6431"/>
        </w:tabs>
        <w:ind w:left="6431" w:hanging="247"/>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abstractNum>
  <w:abstractNum w:abstractNumId="188" w15:restartNumberingAfterBreak="0">
    <w:nsid w:val="44AC421D"/>
    <w:multiLevelType w:val="hybridMultilevel"/>
    <w:tmpl w:val="215C0DD0"/>
    <w:lvl w:ilvl="0" w:tplc="FFFFFFFF">
      <w:start w:val="1"/>
      <w:numFmt w:val="bullet"/>
      <w:lvlText w:val="­"/>
      <w:lvlJc w:val="left"/>
      <w:pPr>
        <w:ind w:left="1321" w:hanging="360"/>
      </w:pPr>
      <w:rPr>
        <w:rFonts w:ascii="Courier New" w:hAnsi="Courier New" w:hint="default"/>
        <w:color w:val="auto"/>
      </w:rPr>
    </w:lvl>
    <w:lvl w:ilvl="1" w:tplc="04190003" w:tentative="1">
      <w:start w:val="1"/>
      <w:numFmt w:val="bullet"/>
      <w:lvlText w:val="o"/>
      <w:lvlJc w:val="left"/>
      <w:pPr>
        <w:ind w:left="2041" w:hanging="360"/>
      </w:pPr>
      <w:rPr>
        <w:rFonts w:ascii="Courier New" w:hAnsi="Courier New" w:cs="Courier New" w:hint="default"/>
      </w:rPr>
    </w:lvl>
    <w:lvl w:ilvl="2" w:tplc="04190005" w:tentative="1">
      <w:start w:val="1"/>
      <w:numFmt w:val="bullet"/>
      <w:lvlText w:val=""/>
      <w:lvlJc w:val="left"/>
      <w:pPr>
        <w:ind w:left="2761" w:hanging="360"/>
      </w:pPr>
      <w:rPr>
        <w:rFonts w:ascii="Wingdings" w:hAnsi="Wingdings" w:hint="default"/>
      </w:rPr>
    </w:lvl>
    <w:lvl w:ilvl="3" w:tplc="04190001" w:tentative="1">
      <w:start w:val="1"/>
      <w:numFmt w:val="bullet"/>
      <w:lvlText w:val=""/>
      <w:lvlJc w:val="left"/>
      <w:pPr>
        <w:ind w:left="3481" w:hanging="360"/>
      </w:pPr>
      <w:rPr>
        <w:rFonts w:ascii="Symbol" w:hAnsi="Symbol" w:hint="default"/>
      </w:rPr>
    </w:lvl>
    <w:lvl w:ilvl="4" w:tplc="04190003" w:tentative="1">
      <w:start w:val="1"/>
      <w:numFmt w:val="bullet"/>
      <w:lvlText w:val="o"/>
      <w:lvlJc w:val="left"/>
      <w:pPr>
        <w:ind w:left="4201" w:hanging="360"/>
      </w:pPr>
      <w:rPr>
        <w:rFonts w:ascii="Courier New" w:hAnsi="Courier New" w:cs="Courier New" w:hint="default"/>
      </w:rPr>
    </w:lvl>
    <w:lvl w:ilvl="5" w:tplc="04190005" w:tentative="1">
      <w:start w:val="1"/>
      <w:numFmt w:val="bullet"/>
      <w:lvlText w:val=""/>
      <w:lvlJc w:val="left"/>
      <w:pPr>
        <w:ind w:left="4921" w:hanging="360"/>
      </w:pPr>
      <w:rPr>
        <w:rFonts w:ascii="Wingdings" w:hAnsi="Wingdings" w:hint="default"/>
      </w:rPr>
    </w:lvl>
    <w:lvl w:ilvl="6" w:tplc="04190001" w:tentative="1">
      <w:start w:val="1"/>
      <w:numFmt w:val="bullet"/>
      <w:lvlText w:val=""/>
      <w:lvlJc w:val="left"/>
      <w:pPr>
        <w:ind w:left="5641" w:hanging="360"/>
      </w:pPr>
      <w:rPr>
        <w:rFonts w:ascii="Symbol" w:hAnsi="Symbol" w:hint="default"/>
      </w:rPr>
    </w:lvl>
    <w:lvl w:ilvl="7" w:tplc="04190003" w:tentative="1">
      <w:start w:val="1"/>
      <w:numFmt w:val="bullet"/>
      <w:lvlText w:val="o"/>
      <w:lvlJc w:val="left"/>
      <w:pPr>
        <w:ind w:left="6361" w:hanging="360"/>
      </w:pPr>
      <w:rPr>
        <w:rFonts w:ascii="Courier New" w:hAnsi="Courier New" w:cs="Courier New" w:hint="default"/>
      </w:rPr>
    </w:lvl>
    <w:lvl w:ilvl="8" w:tplc="04190005" w:tentative="1">
      <w:start w:val="1"/>
      <w:numFmt w:val="bullet"/>
      <w:lvlText w:val=""/>
      <w:lvlJc w:val="left"/>
      <w:pPr>
        <w:ind w:left="7081" w:hanging="360"/>
      </w:pPr>
      <w:rPr>
        <w:rFonts w:ascii="Wingdings" w:hAnsi="Wingdings" w:hint="default"/>
      </w:rPr>
    </w:lvl>
  </w:abstractNum>
  <w:abstractNum w:abstractNumId="189" w15:restartNumberingAfterBreak="0">
    <w:nsid w:val="452B391C"/>
    <w:multiLevelType w:val="multilevel"/>
    <w:tmpl w:val="6C02F014"/>
    <w:styleLink w:val="51"/>
    <w:lvl w:ilvl="0">
      <w:start w:val="1"/>
      <w:numFmt w:val="decimal"/>
      <w:lvlText w:val="%1."/>
      <w:lvlJc w:val="left"/>
      <w:pPr>
        <w:tabs>
          <w:tab w:val="num" w:pos="317"/>
        </w:tabs>
        <w:ind w:left="317" w:hanging="317"/>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1">
      <w:start w:val="1"/>
      <w:numFmt w:val="lowerLetter"/>
      <w:lvlText w:val="%2."/>
      <w:lvlJc w:val="left"/>
      <w:pPr>
        <w:tabs>
          <w:tab w:val="num" w:pos="1380"/>
        </w:tabs>
        <w:ind w:left="1380" w:hanging="300"/>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2">
      <w:start w:val="1"/>
      <w:numFmt w:val="lowerRoman"/>
      <w:lvlText w:val="%3."/>
      <w:lvlJc w:val="left"/>
      <w:pPr>
        <w:tabs>
          <w:tab w:val="num" w:pos="2111"/>
        </w:tabs>
        <w:ind w:left="2111" w:hanging="247"/>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3">
      <w:start w:val="1"/>
      <w:numFmt w:val="decimal"/>
      <w:lvlText w:val="%4."/>
      <w:lvlJc w:val="left"/>
      <w:pPr>
        <w:tabs>
          <w:tab w:val="num" w:pos="2820"/>
        </w:tabs>
        <w:ind w:left="2820" w:hanging="300"/>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4">
      <w:start w:val="1"/>
      <w:numFmt w:val="lowerLetter"/>
      <w:lvlText w:val="%5."/>
      <w:lvlJc w:val="left"/>
      <w:pPr>
        <w:tabs>
          <w:tab w:val="num" w:pos="3540"/>
        </w:tabs>
        <w:ind w:left="3540" w:hanging="300"/>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5">
      <w:start w:val="1"/>
      <w:numFmt w:val="lowerRoman"/>
      <w:lvlText w:val="%6."/>
      <w:lvlJc w:val="left"/>
      <w:pPr>
        <w:tabs>
          <w:tab w:val="num" w:pos="4271"/>
        </w:tabs>
        <w:ind w:left="4271" w:hanging="247"/>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6">
      <w:start w:val="1"/>
      <w:numFmt w:val="decimal"/>
      <w:lvlText w:val="%7."/>
      <w:lvlJc w:val="left"/>
      <w:pPr>
        <w:tabs>
          <w:tab w:val="num" w:pos="4980"/>
        </w:tabs>
        <w:ind w:left="4980" w:hanging="300"/>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7">
      <w:start w:val="1"/>
      <w:numFmt w:val="lowerLetter"/>
      <w:lvlText w:val="%8."/>
      <w:lvlJc w:val="left"/>
      <w:pPr>
        <w:tabs>
          <w:tab w:val="num" w:pos="5700"/>
        </w:tabs>
        <w:ind w:left="5700" w:hanging="300"/>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8">
      <w:start w:val="1"/>
      <w:numFmt w:val="lowerRoman"/>
      <w:lvlText w:val="%9."/>
      <w:lvlJc w:val="left"/>
      <w:pPr>
        <w:tabs>
          <w:tab w:val="num" w:pos="6431"/>
        </w:tabs>
        <w:ind w:left="6431" w:hanging="247"/>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abstractNum>
  <w:abstractNum w:abstractNumId="190" w15:restartNumberingAfterBreak="0">
    <w:nsid w:val="452D0F95"/>
    <w:multiLevelType w:val="hybridMultilevel"/>
    <w:tmpl w:val="E7FE7B1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1" w15:restartNumberingAfterBreak="0">
    <w:nsid w:val="45411841"/>
    <w:multiLevelType w:val="hybridMultilevel"/>
    <w:tmpl w:val="4EA69E0E"/>
    <w:lvl w:ilvl="0" w:tplc="C986AC6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2" w15:restartNumberingAfterBreak="0">
    <w:nsid w:val="45E34655"/>
    <w:multiLevelType w:val="hybridMultilevel"/>
    <w:tmpl w:val="9FBA3848"/>
    <w:lvl w:ilvl="0" w:tplc="B7BC32D8">
      <w:start w:val="1"/>
      <w:numFmt w:val="bullet"/>
      <w:lvlText w:val="–"/>
      <w:lvlJc w:val="left"/>
      <w:pPr>
        <w:ind w:left="899" w:hanging="360"/>
      </w:pPr>
      <w:rPr>
        <w:rFonts w:ascii="Times New Roman" w:hAnsi="Times New Roman" w:hint="default"/>
        <w:color w:val="auto"/>
      </w:rPr>
    </w:lvl>
    <w:lvl w:ilvl="1" w:tplc="04190003" w:tentative="1">
      <w:start w:val="1"/>
      <w:numFmt w:val="bullet"/>
      <w:lvlText w:val="o"/>
      <w:lvlJc w:val="left"/>
      <w:pPr>
        <w:ind w:left="1619" w:hanging="360"/>
      </w:pPr>
      <w:rPr>
        <w:rFonts w:ascii="Courier New" w:hAnsi="Courier New" w:cs="Courier New" w:hint="default"/>
      </w:rPr>
    </w:lvl>
    <w:lvl w:ilvl="2" w:tplc="04190005" w:tentative="1">
      <w:start w:val="1"/>
      <w:numFmt w:val="bullet"/>
      <w:lvlText w:val=""/>
      <w:lvlJc w:val="left"/>
      <w:pPr>
        <w:ind w:left="2339" w:hanging="360"/>
      </w:pPr>
      <w:rPr>
        <w:rFonts w:ascii="Wingdings" w:hAnsi="Wingdings" w:hint="default"/>
      </w:rPr>
    </w:lvl>
    <w:lvl w:ilvl="3" w:tplc="04190001" w:tentative="1">
      <w:start w:val="1"/>
      <w:numFmt w:val="bullet"/>
      <w:lvlText w:val=""/>
      <w:lvlJc w:val="left"/>
      <w:pPr>
        <w:ind w:left="3059" w:hanging="360"/>
      </w:pPr>
      <w:rPr>
        <w:rFonts w:ascii="Symbol" w:hAnsi="Symbol" w:hint="default"/>
      </w:rPr>
    </w:lvl>
    <w:lvl w:ilvl="4" w:tplc="04190003" w:tentative="1">
      <w:start w:val="1"/>
      <w:numFmt w:val="bullet"/>
      <w:lvlText w:val="o"/>
      <w:lvlJc w:val="left"/>
      <w:pPr>
        <w:ind w:left="3779" w:hanging="360"/>
      </w:pPr>
      <w:rPr>
        <w:rFonts w:ascii="Courier New" w:hAnsi="Courier New" w:cs="Courier New" w:hint="default"/>
      </w:rPr>
    </w:lvl>
    <w:lvl w:ilvl="5" w:tplc="04190005" w:tentative="1">
      <w:start w:val="1"/>
      <w:numFmt w:val="bullet"/>
      <w:lvlText w:val=""/>
      <w:lvlJc w:val="left"/>
      <w:pPr>
        <w:ind w:left="4499" w:hanging="360"/>
      </w:pPr>
      <w:rPr>
        <w:rFonts w:ascii="Wingdings" w:hAnsi="Wingdings" w:hint="default"/>
      </w:rPr>
    </w:lvl>
    <w:lvl w:ilvl="6" w:tplc="04190001" w:tentative="1">
      <w:start w:val="1"/>
      <w:numFmt w:val="bullet"/>
      <w:lvlText w:val=""/>
      <w:lvlJc w:val="left"/>
      <w:pPr>
        <w:ind w:left="5219" w:hanging="360"/>
      </w:pPr>
      <w:rPr>
        <w:rFonts w:ascii="Symbol" w:hAnsi="Symbol" w:hint="default"/>
      </w:rPr>
    </w:lvl>
    <w:lvl w:ilvl="7" w:tplc="04190003" w:tentative="1">
      <w:start w:val="1"/>
      <w:numFmt w:val="bullet"/>
      <w:lvlText w:val="o"/>
      <w:lvlJc w:val="left"/>
      <w:pPr>
        <w:ind w:left="5939" w:hanging="360"/>
      </w:pPr>
      <w:rPr>
        <w:rFonts w:ascii="Courier New" w:hAnsi="Courier New" w:cs="Courier New" w:hint="default"/>
      </w:rPr>
    </w:lvl>
    <w:lvl w:ilvl="8" w:tplc="04190005" w:tentative="1">
      <w:start w:val="1"/>
      <w:numFmt w:val="bullet"/>
      <w:lvlText w:val=""/>
      <w:lvlJc w:val="left"/>
      <w:pPr>
        <w:ind w:left="6659" w:hanging="360"/>
      </w:pPr>
      <w:rPr>
        <w:rFonts w:ascii="Wingdings" w:hAnsi="Wingdings" w:hint="default"/>
      </w:rPr>
    </w:lvl>
  </w:abstractNum>
  <w:abstractNum w:abstractNumId="193" w15:restartNumberingAfterBreak="0">
    <w:nsid w:val="46711095"/>
    <w:multiLevelType w:val="multilevel"/>
    <w:tmpl w:val="F96E9A58"/>
    <w:lvl w:ilvl="0">
      <w:start w:val="1"/>
      <w:numFmt w:val="decimal"/>
      <w:lvlText w:val="%1."/>
      <w:lvlJc w:val="left"/>
      <w:pPr>
        <w:ind w:left="360" w:hanging="360"/>
      </w:pPr>
      <w:rPr>
        <w:rFonts w:hint="default"/>
      </w:rPr>
    </w:lvl>
    <w:lvl w:ilvl="1">
      <w:start w:val="1"/>
      <w:numFmt w:val="decimal"/>
      <w:lvlText w:val="%1.%2."/>
      <w:lvlJc w:val="left"/>
      <w:pPr>
        <w:ind w:left="0" w:firstLine="601"/>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4" w15:restartNumberingAfterBreak="0">
    <w:nsid w:val="46C408FC"/>
    <w:multiLevelType w:val="hybridMultilevel"/>
    <w:tmpl w:val="C8808618"/>
    <w:lvl w:ilvl="0" w:tplc="D44C01FC">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5" w15:restartNumberingAfterBreak="0">
    <w:nsid w:val="477341F7"/>
    <w:multiLevelType w:val="hybridMultilevel"/>
    <w:tmpl w:val="B92436E6"/>
    <w:lvl w:ilvl="0" w:tplc="FFFFFFFF">
      <w:start w:val="1"/>
      <w:numFmt w:val="bullet"/>
      <w:lvlText w:val=""/>
      <w:lvlJc w:val="left"/>
      <w:pPr>
        <w:tabs>
          <w:tab w:val="num" w:pos="1440"/>
        </w:tabs>
        <w:ind w:left="1440" w:hanging="360"/>
      </w:pPr>
      <w:rPr>
        <w:rFonts w:ascii="Symbol" w:hAnsi="Symbol" w:hint="default"/>
        <w:color w:val="auto"/>
      </w:rPr>
    </w:lvl>
    <w:lvl w:ilvl="1" w:tplc="FFFFFFFF">
      <w:start w:val="1"/>
      <w:numFmt w:val="bullet"/>
      <w:lvlText w:val="o"/>
      <w:lvlJc w:val="left"/>
      <w:pPr>
        <w:tabs>
          <w:tab w:val="num" w:pos="2160"/>
        </w:tabs>
        <w:ind w:left="2160" w:hanging="360"/>
      </w:pPr>
      <w:rPr>
        <w:rFonts w:ascii="Courier New" w:hAnsi="Courier New" w:hint="default"/>
      </w:rPr>
    </w:lvl>
    <w:lvl w:ilvl="2" w:tplc="FFFFFFFF">
      <w:start w:val="1"/>
      <w:numFmt w:val="bullet"/>
      <w:lvlText w:val=""/>
      <w:lvlJc w:val="left"/>
      <w:pPr>
        <w:tabs>
          <w:tab w:val="num" w:pos="2880"/>
        </w:tabs>
        <w:ind w:left="2880" w:hanging="360"/>
      </w:pPr>
      <w:rPr>
        <w:rFonts w:ascii="Wingdings" w:hAnsi="Wingdings" w:hint="default"/>
      </w:rPr>
    </w:lvl>
    <w:lvl w:ilvl="3" w:tplc="FFFFFFFF" w:tentative="1">
      <w:start w:val="1"/>
      <w:numFmt w:val="bullet"/>
      <w:lvlText w:val=""/>
      <w:lvlJc w:val="left"/>
      <w:pPr>
        <w:tabs>
          <w:tab w:val="num" w:pos="3600"/>
        </w:tabs>
        <w:ind w:left="3600" w:hanging="360"/>
      </w:pPr>
      <w:rPr>
        <w:rFonts w:ascii="Symbol" w:hAnsi="Symbol" w:hint="default"/>
      </w:rPr>
    </w:lvl>
    <w:lvl w:ilvl="4" w:tplc="FFFFFFFF" w:tentative="1">
      <w:start w:val="1"/>
      <w:numFmt w:val="bullet"/>
      <w:lvlText w:val="o"/>
      <w:lvlJc w:val="left"/>
      <w:pPr>
        <w:tabs>
          <w:tab w:val="num" w:pos="4320"/>
        </w:tabs>
        <w:ind w:left="4320" w:hanging="360"/>
      </w:pPr>
      <w:rPr>
        <w:rFonts w:ascii="Courier New" w:hAnsi="Courier New" w:hint="default"/>
      </w:rPr>
    </w:lvl>
    <w:lvl w:ilvl="5" w:tplc="FFFFFFFF" w:tentative="1">
      <w:start w:val="1"/>
      <w:numFmt w:val="bullet"/>
      <w:lvlText w:val=""/>
      <w:lvlJc w:val="left"/>
      <w:pPr>
        <w:tabs>
          <w:tab w:val="num" w:pos="5040"/>
        </w:tabs>
        <w:ind w:left="5040" w:hanging="360"/>
      </w:pPr>
      <w:rPr>
        <w:rFonts w:ascii="Wingdings" w:hAnsi="Wingdings" w:hint="default"/>
      </w:rPr>
    </w:lvl>
    <w:lvl w:ilvl="6" w:tplc="FFFFFFFF" w:tentative="1">
      <w:start w:val="1"/>
      <w:numFmt w:val="bullet"/>
      <w:lvlText w:val=""/>
      <w:lvlJc w:val="left"/>
      <w:pPr>
        <w:tabs>
          <w:tab w:val="num" w:pos="5760"/>
        </w:tabs>
        <w:ind w:left="5760" w:hanging="360"/>
      </w:pPr>
      <w:rPr>
        <w:rFonts w:ascii="Symbol" w:hAnsi="Symbol" w:hint="default"/>
      </w:rPr>
    </w:lvl>
    <w:lvl w:ilvl="7" w:tplc="FFFFFFFF" w:tentative="1">
      <w:start w:val="1"/>
      <w:numFmt w:val="bullet"/>
      <w:lvlText w:val="o"/>
      <w:lvlJc w:val="left"/>
      <w:pPr>
        <w:tabs>
          <w:tab w:val="num" w:pos="6480"/>
        </w:tabs>
        <w:ind w:left="6480" w:hanging="360"/>
      </w:pPr>
      <w:rPr>
        <w:rFonts w:ascii="Courier New" w:hAnsi="Courier New" w:hint="default"/>
      </w:rPr>
    </w:lvl>
    <w:lvl w:ilvl="8" w:tplc="FFFFFFFF" w:tentative="1">
      <w:start w:val="1"/>
      <w:numFmt w:val="bullet"/>
      <w:lvlText w:val=""/>
      <w:lvlJc w:val="left"/>
      <w:pPr>
        <w:tabs>
          <w:tab w:val="num" w:pos="7200"/>
        </w:tabs>
        <w:ind w:left="7200" w:hanging="360"/>
      </w:pPr>
      <w:rPr>
        <w:rFonts w:ascii="Wingdings" w:hAnsi="Wingdings" w:hint="default"/>
      </w:rPr>
    </w:lvl>
  </w:abstractNum>
  <w:abstractNum w:abstractNumId="196" w15:restartNumberingAfterBreak="0">
    <w:nsid w:val="477E5EEB"/>
    <w:multiLevelType w:val="multilevel"/>
    <w:tmpl w:val="9F10C6CE"/>
    <w:lvl w:ilvl="0">
      <w:start w:val="1"/>
      <w:numFmt w:val="decimal"/>
      <w:lvlText w:val="%1."/>
      <w:lvlJc w:val="left"/>
      <w:rPr>
        <w:rFonts w:ascii="Garamond" w:eastAsia="Garamond" w:hAnsi="Garamond" w:cs="Garamond"/>
        <w:position w:val="0"/>
        <w:lang w:val="ru-RU"/>
      </w:rPr>
    </w:lvl>
    <w:lvl w:ilvl="1">
      <w:start w:val="1"/>
      <w:numFmt w:val="decimal"/>
      <w:lvlText w:val="%2."/>
      <w:lvlJc w:val="left"/>
      <w:rPr>
        <w:position w:val="0"/>
        <w:lang w:val="ru-RU"/>
      </w:rPr>
    </w:lvl>
    <w:lvl w:ilvl="2">
      <w:start w:val="1"/>
      <w:numFmt w:val="lowerRoman"/>
      <w:lvlText w:val="%3."/>
      <w:lvlJc w:val="left"/>
      <w:rPr>
        <w:rFonts w:ascii="Garamond" w:eastAsia="Garamond" w:hAnsi="Garamond" w:cs="Garamond"/>
        <w:position w:val="0"/>
        <w:lang w:val="ru-RU"/>
      </w:rPr>
    </w:lvl>
    <w:lvl w:ilvl="3">
      <w:start w:val="1"/>
      <w:numFmt w:val="decimal"/>
      <w:lvlText w:val="%4."/>
      <w:lvlJc w:val="left"/>
      <w:rPr>
        <w:rFonts w:ascii="Garamond" w:eastAsia="Garamond" w:hAnsi="Garamond" w:cs="Garamond"/>
        <w:position w:val="0"/>
        <w:lang w:val="ru-RU"/>
      </w:rPr>
    </w:lvl>
    <w:lvl w:ilvl="4">
      <w:start w:val="1"/>
      <w:numFmt w:val="lowerLetter"/>
      <w:lvlText w:val="%5."/>
      <w:lvlJc w:val="left"/>
      <w:rPr>
        <w:rFonts w:ascii="Garamond" w:eastAsia="Garamond" w:hAnsi="Garamond" w:cs="Garamond"/>
        <w:position w:val="0"/>
        <w:lang w:val="ru-RU"/>
      </w:rPr>
    </w:lvl>
    <w:lvl w:ilvl="5">
      <w:start w:val="1"/>
      <w:numFmt w:val="lowerRoman"/>
      <w:lvlText w:val="%6."/>
      <w:lvlJc w:val="left"/>
      <w:rPr>
        <w:rFonts w:ascii="Garamond" w:eastAsia="Garamond" w:hAnsi="Garamond" w:cs="Garamond"/>
        <w:position w:val="0"/>
        <w:lang w:val="ru-RU"/>
      </w:rPr>
    </w:lvl>
    <w:lvl w:ilvl="6">
      <w:start w:val="1"/>
      <w:numFmt w:val="decimal"/>
      <w:lvlText w:val="%7."/>
      <w:lvlJc w:val="left"/>
      <w:rPr>
        <w:rFonts w:ascii="Garamond" w:eastAsia="Garamond" w:hAnsi="Garamond" w:cs="Garamond"/>
        <w:position w:val="0"/>
        <w:lang w:val="ru-RU"/>
      </w:rPr>
    </w:lvl>
    <w:lvl w:ilvl="7">
      <w:start w:val="1"/>
      <w:numFmt w:val="lowerLetter"/>
      <w:lvlText w:val="%8."/>
      <w:lvlJc w:val="left"/>
      <w:rPr>
        <w:rFonts w:ascii="Garamond" w:eastAsia="Garamond" w:hAnsi="Garamond" w:cs="Garamond"/>
        <w:position w:val="0"/>
        <w:lang w:val="ru-RU"/>
      </w:rPr>
    </w:lvl>
    <w:lvl w:ilvl="8">
      <w:start w:val="1"/>
      <w:numFmt w:val="lowerRoman"/>
      <w:lvlText w:val="%9."/>
      <w:lvlJc w:val="left"/>
      <w:rPr>
        <w:rFonts w:ascii="Garamond" w:eastAsia="Garamond" w:hAnsi="Garamond" w:cs="Garamond"/>
        <w:position w:val="0"/>
        <w:lang w:val="ru-RU"/>
      </w:rPr>
    </w:lvl>
  </w:abstractNum>
  <w:abstractNum w:abstractNumId="197" w15:restartNumberingAfterBreak="0">
    <w:nsid w:val="478204BF"/>
    <w:multiLevelType w:val="hybridMultilevel"/>
    <w:tmpl w:val="43A6AAAC"/>
    <w:lvl w:ilvl="0" w:tplc="106E8840">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8" w15:restartNumberingAfterBreak="0">
    <w:nsid w:val="48D12C5C"/>
    <w:multiLevelType w:val="multilevel"/>
    <w:tmpl w:val="3FA27382"/>
    <w:lvl w:ilvl="0">
      <w:start w:val="1"/>
      <w:numFmt w:val="decimal"/>
      <w:lvlText w:val="%1."/>
      <w:lvlJc w:val="left"/>
      <w:pPr>
        <w:tabs>
          <w:tab w:val="num" w:pos="317"/>
        </w:tabs>
        <w:ind w:left="317" w:hanging="317"/>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1">
      <w:start w:val="1"/>
      <w:numFmt w:val="lowerLetter"/>
      <w:lvlText w:val="%2."/>
      <w:lvlJc w:val="left"/>
      <w:pPr>
        <w:tabs>
          <w:tab w:val="num" w:pos="1380"/>
        </w:tabs>
        <w:ind w:left="1380" w:hanging="300"/>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2">
      <w:start w:val="1"/>
      <w:numFmt w:val="lowerRoman"/>
      <w:lvlText w:val="%3."/>
      <w:lvlJc w:val="left"/>
      <w:pPr>
        <w:tabs>
          <w:tab w:val="num" w:pos="2111"/>
        </w:tabs>
        <w:ind w:left="2111" w:hanging="247"/>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3">
      <w:start w:val="1"/>
      <w:numFmt w:val="decimal"/>
      <w:lvlText w:val="%4."/>
      <w:lvlJc w:val="left"/>
      <w:pPr>
        <w:tabs>
          <w:tab w:val="num" w:pos="2820"/>
        </w:tabs>
        <w:ind w:left="2820" w:hanging="300"/>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4">
      <w:start w:val="1"/>
      <w:numFmt w:val="lowerLetter"/>
      <w:lvlText w:val="%5."/>
      <w:lvlJc w:val="left"/>
      <w:pPr>
        <w:tabs>
          <w:tab w:val="num" w:pos="3540"/>
        </w:tabs>
        <w:ind w:left="3540" w:hanging="300"/>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5">
      <w:start w:val="1"/>
      <w:numFmt w:val="lowerRoman"/>
      <w:lvlText w:val="%6."/>
      <w:lvlJc w:val="left"/>
      <w:pPr>
        <w:tabs>
          <w:tab w:val="num" w:pos="4271"/>
        </w:tabs>
        <w:ind w:left="4271" w:hanging="247"/>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6">
      <w:start w:val="1"/>
      <w:numFmt w:val="decimal"/>
      <w:lvlText w:val="%7."/>
      <w:lvlJc w:val="left"/>
      <w:pPr>
        <w:tabs>
          <w:tab w:val="num" w:pos="4980"/>
        </w:tabs>
        <w:ind w:left="4980" w:hanging="300"/>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7">
      <w:start w:val="1"/>
      <w:numFmt w:val="lowerLetter"/>
      <w:lvlText w:val="%8."/>
      <w:lvlJc w:val="left"/>
      <w:pPr>
        <w:tabs>
          <w:tab w:val="num" w:pos="5700"/>
        </w:tabs>
        <w:ind w:left="5700" w:hanging="300"/>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8">
      <w:start w:val="1"/>
      <w:numFmt w:val="lowerRoman"/>
      <w:lvlText w:val="%9."/>
      <w:lvlJc w:val="left"/>
      <w:pPr>
        <w:tabs>
          <w:tab w:val="num" w:pos="6431"/>
        </w:tabs>
        <w:ind w:left="6431" w:hanging="247"/>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abstractNum>
  <w:abstractNum w:abstractNumId="199" w15:restartNumberingAfterBreak="0">
    <w:nsid w:val="49421F61"/>
    <w:multiLevelType w:val="multilevel"/>
    <w:tmpl w:val="70EEEF16"/>
    <w:lvl w:ilvl="0">
      <w:start w:val="1"/>
      <w:numFmt w:val="decimal"/>
      <w:lvlText w:val="%1."/>
      <w:lvlJc w:val="left"/>
      <w:pPr>
        <w:tabs>
          <w:tab w:val="num" w:pos="317"/>
        </w:tabs>
        <w:ind w:left="317" w:hanging="317"/>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1">
      <w:start w:val="1"/>
      <w:numFmt w:val="lowerLetter"/>
      <w:lvlText w:val="%2."/>
      <w:lvlJc w:val="left"/>
      <w:pPr>
        <w:tabs>
          <w:tab w:val="num" w:pos="1380"/>
        </w:tabs>
        <w:ind w:left="1380" w:hanging="300"/>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2">
      <w:start w:val="1"/>
      <w:numFmt w:val="lowerRoman"/>
      <w:lvlText w:val="%3."/>
      <w:lvlJc w:val="left"/>
      <w:pPr>
        <w:tabs>
          <w:tab w:val="num" w:pos="2111"/>
        </w:tabs>
        <w:ind w:left="2111" w:hanging="247"/>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3">
      <w:start w:val="1"/>
      <w:numFmt w:val="decimal"/>
      <w:lvlText w:val="%4."/>
      <w:lvlJc w:val="left"/>
      <w:pPr>
        <w:tabs>
          <w:tab w:val="num" w:pos="2820"/>
        </w:tabs>
        <w:ind w:left="2820" w:hanging="300"/>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4">
      <w:start w:val="1"/>
      <w:numFmt w:val="lowerLetter"/>
      <w:lvlText w:val="%5."/>
      <w:lvlJc w:val="left"/>
      <w:pPr>
        <w:tabs>
          <w:tab w:val="num" w:pos="3540"/>
        </w:tabs>
        <w:ind w:left="3540" w:hanging="300"/>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5">
      <w:start w:val="1"/>
      <w:numFmt w:val="lowerRoman"/>
      <w:lvlText w:val="%6."/>
      <w:lvlJc w:val="left"/>
      <w:pPr>
        <w:tabs>
          <w:tab w:val="num" w:pos="4271"/>
        </w:tabs>
        <w:ind w:left="4271" w:hanging="247"/>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6">
      <w:start w:val="1"/>
      <w:numFmt w:val="decimal"/>
      <w:lvlText w:val="%7."/>
      <w:lvlJc w:val="left"/>
      <w:pPr>
        <w:tabs>
          <w:tab w:val="num" w:pos="4980"/>
        </w:tabs>
        <w:ind w:left="4980" w:hanging="300"/>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7">
      <w:start w:val="1"/>
      <w:numFmt w:val="lowerLetter"/>
      <w:lvlText w:val="%8."/>
      <w:lvlJc w:val="left"/>
      <w:pPr>
        <w:tabs>
          <w:tab w:val="num" w:pos="5700"/>
        </w:tabs>
        <w:ind w:left="5700" w:hanging="300"/>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8">
      <w:start w:val="1"/>
      <w:numFmt w:val="lowerRoman"/>
      <w:lvlText w:val="%9."/>
      <w:lvlJc w:val="left"/>
      <w:pPr>
        <w:tabs>
          <w:tab w:val="num" w:pos="6431"/>
        </w:tabs>
        <w:ind w:left="6431" w:hanging="247"/>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abstractNum>
  <w:abstractNum w:abstractNumId="200" w15:restartNumberingAfterBreak="0">
    <w:nsid w:val="49C678C0"/>
    <w:multiLevelType w:val="multilevel"/>
    <w:tmpl w:val="70EEEF16"/>
    <w:lvl w:ilvl="0">
      <w:start w:val="1"/>
      <w:numFmt w:val="decimal"/>
      <w:lvlText w:val="%1."/>
      <w:lvlJc w:val="left"/>
      <w:pPr>
        <w:tabs>
          <w:tab w:val="num" w:pos="317"/>
        </w:tabs>
        <w:ind w:left="317" w:hanging="317"/>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1">
      <w:start w:val="1"/>
      <w:numFmt w:val="lowerLetter"/>
      <w:lvlText w:val="%2."/>
      <w:lvlJc w:val="left"/>
      <w:pPr>
        <w:tabs>
          <w:tab w:val="num" w:pos="1380"/>
        </w:tabs>
        <w:ind w:left="1380" w:hanging="300"/>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2">
      <w:start w:val="1"/>
      <w:numFmt w:val="lowerRoman"/>
      <w:lvlText w:val="%3."/>
      <w:lvlJc w:val="left"/>
      <w:pPr>
        <w:tabs>
          <w:tab w:val="num" w:pos="2111"/>
        </w:tabs>
        <w:ind w:left="2111" w:hanging="247"/>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3">
      <w:start w:val="1"/>
      <w:numFmt w:val="decimal"/>
      <w:lvlText w:val="%4."/>
      <w:lvlJc w:val="left"/>
      <w:pPr>
        <w:tabs>
          <w:tab w:val="num" w:pos="2820"/>
        </w:tabs>
        <w:ind w:left="2820" w:hanging="300"/>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4">
      <w:start w:val="1"/>
      <w:numFmt w:val="lowerLetter"/>
      <w:lvlText w:val="%5."/>
      <w:lvlJc w:val="left"/>
      <w:pPr>
        <w:tabs>
          <w:tab w:val="num" w:pos="3540"/>
        </w:tabs>
        <w:ind w:left="3540" w:hanging="300"/>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5">
      <w:start w:val="1"/>
      <w:numFmt w:val="lowerRoman"/>
      <w:lvlText w:val="%6."/>
      <w:lvlJc w:val="left"/>
      <w:pPr>
        <w:tabs>
          <w:tab w:val="num" w:pos="4271"/>
        </w:tabs>
        <w:ind w:left="4271" w:hanging="247"/>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6">
      <w:start w:val="1"/>
      <w:numFmt w:val="decimal"/>
      <w:lvlText w:val="%7."/>
      <w:lvlJc w:val="left"/>
      <w:pPr>
        <w:tabs>
          <w:tab w:val="num" w:pos="4980"/>
        </w:tabs>
        <w:ind w:left="4980" w:hanging="300"/>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7">
      <w:start w:val="1"/>
      <w:numFmt w:val="lowerLetter"/>
      <w:lvlText w:val="%8."/>
      <w:lvlJc w:val="left"/>
      <w:pPr>
        <w:tabs>
          <w:tab w:val="num" w:pos="5700"/>
        </w:tabs>
        <w:ind w:left="5700" w:hanging="300"/>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8">
      <w:start w:val="1"/>
      <w:numFmt w:val="lowerRoman"/>
      <w:lvlText w:val="%9."/>
      <w:lvlJc w:val="left"/>
      <w:pPr>
        <w:tabs>
          <w:tab w:val="num" w:pos="6431"/>
        </w:tabs>
        <w:ind w:left="6431" w:hanging="247"/>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abstractNum>
  <w:abstractNum w:abstractNumId="201" w15:restartNumberingAfterBreak="0">
    <w:nsid w:val="49DD6E6E"/>
    <w:multiLevelType w:val="hybridMultilevel"/>
    <w:tmpl w:val="9A5C5310"/>
    <w:lvl w:ilvl="0" w:tplc="C986AC6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2" w15:restartNumberingAfterBreak="0">
    <w:nsid w:val="49ED3EE8"/>
    <w:multiLevelType w:val="hybridMultilevel"/>
    <w:tmpl w:val="49CC9C16"/>
    <w:lvl w:ilvl="0" w:tplc="A6E421C0">
      <w:start w:val="1"/>
      <w:numFmt w:val="decimal"/>
      <w:lvlText w:val="%1."/>
      <w:lvlJc w:val="left"/>
      <w:pPr>
        <w:ind w:left="1428" w:hanging="360"/>
      </w:pPr>
      <w:rPr>
        <w:sz w:val="22"/>
        <w:szCs w:val="22"/>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203" w15:restartNumberingAfterBreak="0">
    <w:nsid w:val="4A0B521C"/>
    <w:multiLevelType w:val="multilevel"/>
    <w:tmpl w:val="9F10C6CE"/>
    <w:styleLink w:val="List0"/>
    <w:lvl w:ilvl="0">
      <w:start w:val="1"/>
      <w:numFmt w:val="decimal"/>
      <w:lvlText w:val="%1."/>
      <w:lvlJc w:val="left"/>
      <w:rPr>
        <w:rFonts w:ascii="Garamond" w:eastAsia="Garamond" w:hAnsi="Garamond" w:cs="Garamond"/>
        <w:position w:val="0"/>
        <w:lang w:val="ru-RU"/>
      </w:rPr>
    </w:lvl>
    <w:lvl w:ilvl="1">
      <w:start w:val="1"/>
      <w:numFmt w:val="decimal"/>
      <w:lvlText w:val="%2."/>
      <w:lvlJc w:val="left"/>
      <w:rPr>
        <w:position w:val="0"/>
        <w:lang w:val="ru-RU"/>
      </w:rPr>
    </w:lvl>
    <w:lvl w:ilvl="2">
      <w:start w:val="1"/>
      <w:numFmt w:val="lowerRoman"/>
      <w:lvlText w:val="%3."/>
      <w:lvlJc w:val="left"/>
      <w:rPr>
        <w:rFonts w:ascii="Garamond" w:eastAsia="Garamond" w:hAnsi="Garamond" w:cs="Garamond"/>
        <w:position w:val="0"/>
        <w:lang w:val="ru-RU"/>
      </w:rPr>
    </w:lvl>
    <w:lvl w:ilvl="3">
      <w:start w:val="1"/>
      <w:numFmt w:val="decimal"/>
      <w:lvlText w:val="%4."/>
      <w:lvlJc w:val="left"/>
      <w:rPr>
        <w:rFonts w:ascii="Garamond" w:eastAsia="Garamond" w:hAnsi="Garamond" w:cs="Garamond"/>
        <w:position w:val="0"/>
        <w:lang w:val="ru-RU"/>
      </w:rPr>
    </w:lvl>
    <w:lvl w:ilvl="4">
      <w:start w:val="1"/>
      <w:numFmt w:val="lowerLetter"/>
      <w:lvlText w:val="%5."/>
      <w:lvlJc w:val="left"/>
      <w:rPr>
        <w:rFonts w:ascii="Garamond" w:eastAsia="Garamond" w:hAnsi="Garamond" w:cs="Garamond"/>
        <w:position w:val="0"/>
        <w:lang w:val="ru-RU"/>
      </w:rPr>
    </w:lvl>
    <w:lvl w:ilvl="5">
      <w:start w:val="1"/>
      <w:numFmt w:val="lowerRoman"/>
      <w:lvlText w:val="%6."/>
      <w:lvlJc w:val="left"/>
      <w:rPr>
        <w:rFonts w:ascii="Garamond" w:eastAsia="Garamond" w:hAnsi="Garamond" w:cs="Garamond"/>
        <w:position w:val="0"/>
        <w:lang w:val="ru-RU"/>
      </w:rPr>
    </w:lvl>
    <w:lvl w:ilvl="6">
      <w:start w:val="1"/>
      <w:numFmt w:val="decimal"/>
      <w:lvlText w:val="%7."/>
      <w:lvlJc w:val="left"/>
      <w:rPr>
        <w:rFonts w:ascii="Garamond" w:eastAsia="Garamond" w:hAnsi="Garamond" w:cs="Garamond"/>
        <w:position w:val="0"/>
        <w:lang w:val="ru-RU"/>
      </w:rPr>
    </w:lvl>
    <w:lvl w:ilvl="7">
      <w:start w:val="1"/>
      <w:numFmt w:val="lowerLetter"/>
      <w:lvlText w:val="%8."/>
      <w:lvlJc w:val="left"/>
      <w:rPr>
        <w:rFonts w:ascii="Garamond" w:eastAsia="Garamond" w:hAnsi="Garamond" w:cs="Garamond"/>
        <w:position w:val="0"/>
        <w:lang w:val="ru-RU"/>
      </w:rPr>
    </w:lvl>
    <w:lvl w:ilvl="8">
      <w:start w:val="1"/>
      <w:numFmt w:val="lowerRoman"/>
      <w:lvlText w:val="%9."/>
      <w:lvlJc w:val="left"/>
      <w:rPr>
        <w:rFonts w:ascii="Garamond" w:eastAsia="Garamond" w:hAnsi="Garamond" w:cs="Garamond"/>
        <w:position w:val="0"/>
        <w:lang w:val="ru-RU"/>
      </w:rPr>
    </w:lvl>
  </w:abstractNum>
  <w:abstractNum w:abstractNumId="204" w15:restartNumberingAfterBreak="0">
    <w:nsid w:val="4AE621B6"/>
    <w:multiLevelType w:val="hybridMultilevel"/>
    <w:tmpl w:val="FF6A27DA"/>
    <w:lvl w:ilvl="0" w:tplc="DCB6EB22">
      <w:start w:val="1"/>
      <w:numFmt w:val="bullet"/>
      <w:lvlText w:val=""/>
      <w:lvlJc w:val="left"/>
      <w:pPr>
        <w:tabs>
          <w:tab w:val="num" w:pos="1080"/>
        </w:tabs>
        <w:ind w:left="1080" w:hanging="360"/>
      </w:pPr>
      <w:rPr>
        <w:rFonts w:ascii="Symbol" w:hAnsi="Symbol" w:cs="Symbol" w:hint="default"/>
      </w:rPr>
    </w:lvl>
    <w:lvl w:ilvl="1" w:tplc="1D4C57F4">
      <w:start w:val="1"/>
      <w:numFmt w:val="bullet"/>
      <w:lvlText w:val=""/>
      <w:lvlJc w:val="left"/>
      <w:pPr>
        <w:tabs>
          <w:tab w:val="num" w:pos="900"/>
        </w:tabs>
        <w:ind w:left="900" w:hanging="360"/>
      </w:pPr>
      <w:rPr>
        <w:rFonts w:ascii="Symbol" w:hAnsi="Symbol" w:hint="default"/>
      </w:rPr>
    </w:lvl>
    <w:lvl w:ilvl="2" w:tplc="A2D8BA88">
      <w:start w:val="1"/>
      <w:numFmt w:val="decimal"/>
      <w:lvlText w:val="%3."/>
      <w:lvlJc w:val="left"/>
      <w:pPr>
        <w:tabs>
          <w:tab w:val="num" w:pos="2160"/>
        </w:tabs>
        <w:ind w:left="2160" w:hanging="360"/>
      </w:pPr>
    </w:lvl>
    <w:lvl w:ilvl="3" w:tplc="8E025254">
      <w:start w:val="1"/>
      <w:numFmt w:val="decimal"/>
      <w:lvlText w:val="%4."/>
      <w:lvlJc w:val="left"/>
      <w:pPr>
        <w:tabs>
          <w:tab w:val="num" w:pos="2880"/>
        </w:tabs>
        <w:ind w:left="2880" w:hanging="360"/>
      </w:pPr>
    </w:lvl>
    <w:lvl w:ilvl="4" w:tplc="E29ADD18">
      <w:start w:val="1"/>
      <w:numFmt w:val="decimal"/>
      <w:lvlText w:val="%5."/>
      <w:lvlJc w:val="left"/>
      <w:pPr>
        <w:tabs>
          <w:tab w:val="num" w:pos="3600"/>
        </w:tabs>
        <w:ind w:left="3600" w:hanging="360"/>
      </w:pPr>
    </w:lvl>
    <w:lvl w:ilvl="5" w:tplc="89B0B968">
      <w:start w:val="1"/>
      <w:numFmt w:val="decimal"/>
      <w:lvlText w:val="%6."/>
      <w:lvlJc w:val="left"/>
      <w:pPr>
        <w:tabs>
          <w:tab w:val="num" w:pos="4320"/>
        </w:tabs>
        <w:ind w:left="4320" w:hanging="360"/>
      </w:pPr>
    </w:lvl>
    <w:lvl w:ilvl="6" w:tplc="691A77DA">
      <w:start w:val="1"/>
      <w:numFmt w:val="decimal"/>
      <w:lvlText w:val="%7."/>
      <w:lvlJc w:val="left"/>
      <w:pPr>
        <w:tabs>
          <w:tab w:val="num" w:pos="5040"/>
        </w:tabs>
        <w:ind w:left="5040" w:hanging="360"/>
      </w:pPr>
    </w:lvl>
    <w:lvl w:ilvl="7" w:tplc="666A7CE2">
      <w:start w:val="1"/>
      <w:numFmt w:val="decimal"/>
      <w:lvlText w:val="%8."/>
      <w:lvlJc w:val="left"/>
      <w:pPr>
        <w:tabs>
          <w:tab w:val="num" w:pos="5760"/>
        </w:tabs>
        <w:ind w:left="5760" w:hanging="360"/>
      </w:pPr>
    </w:lvl>
    <w:lvl w:ilvl="8" w:tplc="825A5EFE">
      <w:start w:val="1"/>
      <w:numFmt w:val="decimal"/>
      <w:lvlText w:val="%9."/>
      <w:lvlJc w:val="left"/>
      <w:pPr>
        <w:tabs>
          <w:tab w:val="num" w:pos="6480"/>
        </w:tabs>
        <w:ind w:left="6480" w:hanging="360"/>
      </w:pPr>
    </w:lvl>
  </w:abstractNum>
  <w:abstractNum w:abstractNumId="205" w15:restartNumberingAfterBreak="0">
    <w:nsid w:val="4AFB420F"/>
    <w:multiLevelType w:val="multilevel"/>
    <w:tmpl w:val="1716E5D8"/>
    <w:styleLink w:val="List40"/>
    <w:lvl w:ilvl="0">
      <w:start w:val="1"/>
      <w:numFmt w:val="decimal"/>
      <w:lvlText w:val="%1."/>
      <w:lvlJc w:val="left"/>
      <w:pPr>
        <w:tabs>
          <w:tab w:val="num" w:pos="317"/>
        </w:tabs>
        <w:ind w:left="317" w:hanging="317"/>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1">
      <w:start w:val="1"/>
      <w:numFmt w:val="lowerLetter"/>
      <w:lvlText w:val="%2."/>
      <w:lvlJc w:val="left"/>
      <w:pPr>
        <w:tabs>
          <w:tab w:val="num" w:pos="1380"/>
        </w:tabs>
        <w:ind w:left="1380" w:hanging="300"/>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2">
      <w:start w:val="1"/>
      <w:numFmt w:val="lowerRoman"/>
      <w:lvlText w:val="%3."/>
      <w:lvlJc w:val="left"/>
      <w:pPr>
        <w:tabs>
          <w:tab w:val="num" w:pos="2111"/>
        </w:tabs>
        <w:ind w:left="2111" w:hanging="247"/>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3">
      <w:start w:val="1"/>
      <w:numFmt w:val="decimal"/>
      <w:lvlText w:val="%4."/>
      <w:lvlJc w:val="left"/>
      <w:pPr>
        <w:tabs>
          <w:tab w:val="num" w:pos="2820"/>
        </w:tabs>
        <w:ind w:left="2820" w:hanging="300"/>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4">
      <w:start w:val="1"/>
      <w:numFmt w:val="lowerLetter"/>
      <w:lvlText w:val="%5."/>
      <w:lvlJc w:val="left"/>
      <w:pPr>
        <w:tabs>
          <w:tab w:val="num" w:pos="3540"/>
        </w:tabs>
        <w:ind w:left="3540" w:hanging="300"/>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5">
      <w:start w:val="1"/>
      <w:numFmt w:val="lowerRoman"/>
      <w:lvlText w:val="%6."/>
      <w:lvlJc w:val="left"/>
      <w:pPr>
        <w:tabs>
          <w:tab w:val="num" w:pos="4271"/>
        </w:tabs>
        <w:ind w:left="4271" w:hanging="247"/>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6">
      <w:start w:val="1"/>
      <w:numFmt w:val="decimal"/>
      <w:lvlText w:val="%7."/>
      <w:lvlJc w:val="left"/>
      <w:pPr>
        <w:tabs>
          <w:tab w:val="num" w:pos="4980"/>
        </w:tabs>
        <w:ind w:left="4980" w:hanging="300"/>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7">
      <w:start w:val="1"/>
      <w:numFmt w:val="lowerLetter"/>
      <w:lvlText w:val="%8."/>
      <w:lvlJc w:val="left"/>
      <w:pPr>
        <w:tabs>
          <w:tab w:val="num" w:pos="5700"/>
        </w:tabs>
        <w:ind w:left="5700" w:hanging="300"/>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8">
      <w:start w:val="1"/>
      <w:numFmt w:val="lowerRoman"/>
      <w:lvlText w:val="%9."/>
      <w:lvlJc w:val="left"/>
      <w:pPr>
        <w:tabs>
          <w:tab w:val="num" w:pos="6431"/>
        </w:tabs>
        <w:ind w:left="6431" w:hanging="247"/>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abstractNum>
  <w:abstractNum w:abstractNumId="206" w15:restartNumberingAfterBreak="0">
    <w:nsid w:val="4B583EC7"/>
    <w:multiLevelType w:val="multilevel"/>
    <w:tmpl w:val="523073B0"/>
    <w:styleLink w:val="List62"/>
    <w:lvl w:ilvl="0">
      <w:start w:val="1"/>
      <w:numFmt w:val="decimal"/>
      <w:lvlText w:val="%1."/>
      <w:lvlJc w:val="left"/>
      <w:pPr>
        <w:tabs>
          <w:tab w:val="num" w:pos="317"/>
        </w:tabs>
        <w:ind w:left="317" w:hanging="317"/>
      </w:pPr>
      <w:rPr>
        <w:caps w:val="0"/>
        <w:smallCaps w:val="0"/>
        <w:strike w:val="0"/>
        <w:dstrike w:val="0"/>
        <w:color w:val="000000"/>
        <w:spacing w:val="0"/>
        <w:kern w:val="0"/>
        <w:position w:val="0"/>
        <w:sz w:val="20"/>
        <w:szCs w:val="20"/>
        <w:u w:val="none" w:color="000000"/>
        <w:vertAlign w:val="baseline"/>
        <w:lang w:val="ru-RU"/>
      </w:rPr>
    </w:lvl>
    <w:lvl w:ilvl="1">
      <w:start w:val="1"/>
      <w:numFmt w:val="lowerLetter"/>
      <w:lvlText w:val="%2."/>
      <w:lvlJc w:val="left"/>
      <w:pPr>
        <w:tabs>
          <w:tab w:val="num" w:pos="1380"/>
        </w:tabs>
        <w:ind w:left="1380" w:hanging="300"/>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2">
      <w:start w:val="1"/>
      <w:numFmt w:val="lowerRoman"/>
      <w:lvlText w:val="%3."/>
      <w:lvlJc w:val="left"/>
      <w:pPr>
        <w:tabs>
          <w:tab w:val="num" w:pos="2111"/>
        </w:tabs>
        <w:ind w:left="2111" w:hanging="247"/>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3">
      <w:start w:val="1"/>
      <w:numFmt w:val="decimal"/>
      <w:lvlText w:val="%4."/>
      <w:lvlJc w:val="left"/>
      <w:pPr>
        <w:tabs>
          <w:tab w:val="num" w:pos="2820"/>
        </w:tabs>
        <w:ind w:left="2820" w:hanging="300"/>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4">
      <w:start w:val="1"/>
      <w:numFmt w:val="lowerLetter"/>
      <w:lvlText w:val="%5."/>
      <w:lvlJc w:val="left"/>
      <w:pPr>
        <w:tabs>
          <w:tab w:val="num" w:pos="3540"/>
        </w:tabs>
        <w:ind w:left="3540" w:hanging="300"/>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5">
      <w:start w:val="1"/>
      <w:numFmt w:val="lowerRoman"/>
      <w:lvlText w:val="%6."/>
      <w:lvlJc w:val="left"/>
      <w:pPr>
        <w:tabs>
          <w:tab w:val="num" w:pos="4271"/>
        </w:tabs>
        <w:ind w:left="4271" w:hanging="247"/>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6">
      <w:start w:val="1"/>
      <w:numFmt w:val="decimal"/>
      <w:lvlText w:val="%7."/>
      <w:lvlJc w:val="left"/>
      <w:pPr>
        <w:tabs>
          <w:tab w:val="num" w:pos="4980"/>
        </w:tabs>
        <w:ind w:left="4980" w:hanging="300"/>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7">
      <w:start w:val="1"/>
      <w:numFmt w:val="lowerLetter"/>
      <w:lvlText w:val="%8."/>
      <w:lvlJc w:val="left"/>
      <w:pPr>
        <w:tabs>
          <w:tab w:val="num" w:pos="5700"/>
        </w:tabs>
        <w:ind w:left="5700" w:hanging="300"/>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8">
      <w:start w:val="1"/>
      <w:numFmt w:val="lowerRoman"/>
      <w:lvlText w:val="%9."/>
      <w:lvlJc w:val="left"/>
      <w:pPr>
        <w:tabs>
          <w:tab w:val="num" w:pos="6431"/>
        </w:tabs>
        <w:ind w:left="6431" w:hanging="247"/>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abstractNum>
  <w:abstractNum w:abstractNumId="207" w15:restartNumberingAfterBreak="0">
    <w:nsid w:val="4B6475E0"/>
    <w:multiLevelType w:val="hybridMultilevel"/>
    <w:tmpl w:val="B37055F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8" w15:restartNumberingAfterBreak="0">
    <w:nsid w:val="4BE668DD"/>
    <w:multiLevelType w:val="multilevel"/>
    <w:tmpl w:val="8C04F434"/>
    <w:lvl w:ilvl="0">
      <w:start w:val="8"/>
      <w:numFmt w:val="decimal"/>
      <w:lvlText w:val="%1."/>
      <w:lvlJc w:val="left"/>
      <w:pPr>
        <w:ind w:left="468" w:hanging="468"/>
      </w:pPr>
      <w:rPr>
        <w:rFonts w:hint="default"/>
      </w:rPr>
    </w:lvl>
    <w:lvl w:ilvl="1">
      <w:start w:val="7"/>
      <w:numFmt w:val="decimal"/>
      <w:lvlText w:val="%1.%2."/>
      <w:lvlJc w:val="left"/>
      <w:pPr>
        <w:ind w:left="1003" w:hanging="72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498" w:hanging="180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424" w:hanging="2160"/>
      </w:pPr>
      <w:rPr>
        <w:rFonts w:hint="default"/>
      </w:rPr>
    </w:lvl>
  </w:abstractNum>
  <w:abstractNum w:abstractNumId="209" w15:restartNumberingAfterBreak="0">
    <w:nsid w:val="4C56389B"/>
    <w:multiLevelType w:val="multilevel"/>
    <w:tmpl w:val="A9162A50"/>
    <w:styleLink w:val="List68"/>
    <w:lvl w:ilvl="0">
      <w:start w:val="1"/>
      <w:numFmt w:val="decimal"/>
      <w:lvlText w:val="%1."/>
      <w:lvlJc w:val="left"/>
      <w:pPr>
        <w:tabs>
          <w:tab w:val="num" w:pos="317"/>
        </w:tabs>
        <w:ind w:left="317" w:hanging="317"/>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1">
      <w:start w:val="1"/>
      <w:numFmt w:val="lowerLetter"/>
      <w:lvlText w:val="%2."/>
      <w:lvlJc w:val="left"/>
      <w:pPr>
        <w:tabs>
          <w:tab w:val="num" w:pos="1380"/>
        </w:tabs>
        <w:ind w:left="1380" w:hanging="300"/>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2">
      <w:start w:val="1"/>
      <w:numFmt w:val="lowerRoman"/>
      <w:lvlText w:val="%3."/>
      <w:lvlJc w:val="left"/>
      <w:pPr>
        <w:tabs>
          <w:tab w:val="num" w:pos="2111"/>
        </w:tabs>
        <w:ind w:left="2111" w:hanging="247"/>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3">
      <w:start w:val="1"/>
      <w:numFmt w:val="decimal"/>
      <w:lvlText w:val="%4."/>
      <w:lvlJc w:val="left"/>
      <w:pPr>
        <w:tabs>
          <w:tab w:val="num" w:pos="2820"/>
        </w:tabs>
        <w:ind w:left="2820" w:hanging="300"/>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4">
      <w:start w:val="1"/>
      <w:numFmt w:val="lowerLetter"/>
      <w:lvlText w:val="%5."/>
      <w:lvlJc w:val="left"/>
      <w:pPr>
        <w:tabs>
          <w:tab w:val="num" w:pos="3540"/>
        </w:tabs>
        <w:ind w:left="3540" w:hanging="300"/>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5">
      <w:start w:val="1"/>
      <w:numFmt w:val="lowerRoman"/>
      <w:lvlText w:val="%6."/>
      <w:lvlJc w:val="left"/>
      <w:pPr>
        <w:tabs>
          <w:tab w:val="num" w:pos="4271"/>
        </w:tabs>
        <w:ind w:left="4271" w:hanging="247"/>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6">
      <w:start w:val="1"/>
      <w:numFmt w:val="decimal"/>
      <w:lvlText w:val="%7."/>
      <w:lvlJc w:val="left"/>
      <w:pPr>
        <w:tabs>
          <w:tab w:val="num" w:pos="4980"/>
        </w:tabs>
        <w:ind w:left="4980" w:hanging="300"/>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7">
      <w:start w:val="1"/>
      <w:numFmt w:val="lowerLetter"/>
      <w:lvlText w:val="%8."/>
      <w:lvlJc w:val="left"/>
      <w:pPr>
        <w:tabs>
          <w:tab w:val="num" w:pos="5700"/>
        </w:tabs>
        <w:ind w:left="5700" w:hanging="300"/>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8">
      <w:start w:val="1"/>
      <w:numFmt w:val="lowerRoman"/>
      <w:lvlText w:val="%9."/>
      <w:lvlJc w:val="left"/>
      <w:pPr>
        <w:tabs>
          <w:tab w:val="num" w:pos="6431"/>
        </w:tabs>
        <w:ind w:left="6431" w:hanging="247"/>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abstractNum>
  <w:abstractNum w:abstractNumId="210" w15:restartNumberingAfterBreak="0">
    <w:nsid w:val="4C772C39"/>
    <w:multiLevelType w:val="hybridMultilevel"/>
    <w:tmpl w:val="17A4345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1" w15:restartNumberingAfterBreak="0">
    <w:nsid w:val="4DA62BEB"/>
    <w:multiLevelType w:val="multilevel"/>
    <w:tmpl w:val="19DEB1B4"/>
    <w:styleLink w:val="List69"/>
    <w:lvl w:ilvl="0">
      <w:start w:val="1"/>
      <w:numFmt w:val="decimal"/>
      <w:lvlText w:val="%1."/>
      <w:lvlJc w:val="left"/>
      <w:pPr>
        <w:tabs>
          <w:tab w:val="num" w:pos="317"/>
        </w:tabs>
        <w:ind w:left="317" w:hanging="317"/>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1">
      <w:start w:val="1"/>
      <w:numFmt w:val="lowerLetter"/>
      <w:lvlText w:val="%2."/>
      <w:lvlJc w:val="left"/>
      <w:pPr>
        <w:tabs>
          <w:tab w:val="num" w:pos="1380"/>
        </w:tabs>
        <w:ind w:left="1380" w:hanging="300"/>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2">
      <w:start w:val="1"/>
      <w:numFmt w:val="lowerRoman"/>
      <w:lvlText w:val="%3."/>
      <w:lvlJc w:val="left"/>
      <w:pPr>
        <w:tabs>
          <w:tab w:val="num" w:pos="2111"/>
        </w:tabs>
        <w:ind w:left="2111" w:hanging="247"/>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3">
      <w:start w:val="1"/>
      <w:numFmt w:val="decimal"/>
      <w:lvlText w:val="%4."/>
      <w:lvlJc w:val="left"/>
      <w:pPr>
        <w:tabs>
          <w:tab w:val="num" w:pos="2820"/>
        </w:tabs>
        <w:ind w:left="2820" w:hanging="300"/>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4">
      <w:start w:val="1"/>
      <w:numFmt w:val="lowerLetter"/>
      <w:lvlText w:val="%5."/>
      <w:lvlJc w:val="left"/>
      <w:pPr>
        <w:tabs>
          <w:tab w:val="num" w:pos="3540"/>
        </w:tabs>
        <w:ind w:left="3540" w:hanging="300"/>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5">
      <w:start w:val="1"/>
      <w:numFmt w:val="lowerRoman"/>
      <w:lvlText w:val="%6."/>
      <w:lvlJc w:val="left"/>
      <w:pPr>
        <w:tabs>
          <w:tab w:val="num" w:pos="4271"/>
        </w:tabs>
        <w:ind w:left="4271" w:hanging="247"/>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6">
      <w:start w:val="1"/>
      <w:numFmt w:val="decimal"/>
      <w:lvlText w:val="%7."/>
      <w:lvlJc w:val="left"/>
      <w:pPr>
        <w:tabs>
          <w:tab w:val="num" w:pos="4980"/>
        </w:tabs>
        <w:ind w:left="4980" w:hanging="300"/>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7">
      <w:start w:val="1"/>
      <w:numFmt w:val="lowerLetter"/>
      <w:lvlText w:val="%8."/>
      <w:lvlJc w:val="left"/>
      <w:pPr>
        <w:tabs>
          <w:tab w:val="num" w:pos="5700"/>
        </w:tabs>
        <w:ind w:left="5700" w:hanging="300"/>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8">
      <w:start w:val="1"/>
      <w:numFmt w:val="lowerRoman"/>
      <w:lvlText w:val="%9."/>
      <w:lvlJc w:val="left"/>
      <w:pPr>
        <w:tabs>
          <w:tab w:val="num" w:pos="6431"/>
        </w:tabs>
        <w:ind w:left="6431" w:hanging="247"/>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abstractNum>
  <w:abstractNum w:abstractNumId="212" w15:restartNumberingAfterBreak="0">
    <w:nsid w:val="4DB273A5"/>
    <w:multiLevelType w:val="multilevel"/>
    <w:tmpl w:val="70EEEF16"/>
    <w:lvl w:ilvl="0">
      <w:start w:val="1"/>
      <w:numFmt w:val="decimal"/>
      <w:lvlText w:val="%1."/>
      <w:lvlJc w:val="left"/>
      <w:pPr>
        <w:tabs>
          <w:tab w:val="num" w:pos="317"/>
        </w:tabs>
        <w:ind w:left="317" w:hanging="317"/>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1">
      <w:start w:val="1"/>
      <w:numFmt w:val="lowerLetter"/>
      <w:lvlText w:val="%2."/>
      <w:lvlJc w:val="left"/>
      <w:pPr>
        <w:tabs>
          <w:tab w:val="num" w:pos="1380"/>
        </w:tabs>
        <w:ind w:left="1380" w:hanging="300"/>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2">
      <w:start w:val="1"/>
      <w:numFmt w:val="lowerRoman"/>
      <w:lvlText w:val="%3."/>
      <w:lvlJc w:val="left"/>
      <w:pPr>
        <w:tabs>
          <w:tab w:val="num" w:pos="2111"/>
        </w:tabs>
        <w:ind w:left="2111" w:hanging="247"/>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3">
      <w:start w:val="1"/>
      <w:numFmt w:val="decimal"/>
      <w:lvlText w:val="%4."/>
      <w:lvlJc w:val="left"/>
      <w:pPr>
        <w:tabs>
          <w:tab w:val="num" w:pos="2820"/>
        </w:tabs>
        <w:ind w:left="2820" w:hanging="300"/>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4">
      <w:start w:val="1"/>
      <w:numFmt w:val="lowerLetter"/>
      <w:lvlText w:val="%5."/>
      <w:lvlJc w:val="left"/>
      <w:pPr>
        <w:tabs>
          <w:tab w:val="num" w:pos="3540"/>
        </w:tabs>
        <w:ind w:left="3540" w:hanging="300"/>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5">
      <w:start w:val="1"/>
      <w:numFmt w:val="lowerRoman"/>
      <w:lvlText w:val="%6."/>
      <w:lvlJc w:val="left"/>
      <w:pPr>
        <w:tabs>
          <w:tab w:val="num" w:pos="4271"/>
        </w:tabs>
        <w:ind w:left="4271" w:hanging="247"/>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6">
      <w:start w:val="1"/>
      <w:numFmt w:val="decimal"/>
      <w:lvlText w:val="%7."/>
      <w:lvlJc w:val="left"/>
      <w:pPr>
        <w:tabs>
          <w:tab w:val="num" w:pos="4980"/>
        </w:tabs>
        <w:ind w:left="4980" w:hanging="300"/>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7">
      <w:start w:val="1"/>
      <w:numFmt w:val="lowerLetter"/>
      <w:lvlText w:val="%8."/>
      <w:lvlJc w:val="left"/>
      <w:pPr>
        <w:tabs>
          <w:tab w:val="num" w:pos="5700"/>
        </w:tabs>
        <w:ind w:left="5700" w:hanging="300"/>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8">
      <w:start w:val="1"/>
      <w:numFmt w:val="lowerRoman"/>
      <w:lvlText w:val="%9."/>
      <w:lvlJc w:val="left"/>
      <w:pPr>
        <w:tabs>
          <w:tab w:val="num" w:pos="6431"/>
        </w:tabs>
        <w:ind w:left="6431" w:hanging="247"/>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abstractNum>
  <w:abstractNum w:abstractNumId="213" w15:restartNumberingAfterBreak="0">
    <w:nsid w:val="4DB436DD"/>
    <w:multiLevelType w:val="hybridMultilevel"/>
    <w:tmpl w:val="649AC73E"/>
    <w:lvl w:ilvl="0" w:tplc="288613F8">
      <w:start w:val="1"/>
      <w:numFmt w:val="decimal"/>
      <w:lvlText w:val="%1)"/>
      <w:lvlJc w:val="left"/>
      <w:pPr>
        <w:ind w:left="1321" w:hanging="360"/>
      </w:pPr>
      <w:rPr>
        <w:rFonts w:ascii="Garamond" w:eastAsiaTheme="minorEastAsia" w:hAnsi="Garamond" w:cstheme="minorBidi" w:hint="default"/>
        <w:b w:val="0"/>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14" w15:restartNumberingAfterBreak="0">
    <w:nsid w:val="4DC41516"/>
    <w:multiLevelType w:val="multilevel"/>
    <w:tmpl w:val="0F86DEEE"/>
    <w:lvl w:ilvl="0">
      <w:start w:val="1"/>
      <w:numFmt w:val="decimal"/>
      <w:lvlText w:val="%1)"/>
      <w:lvlJc w:val="left"/>
      <w:pPr>
        <w:tabs>
          <w:tab w:val="num" w:pos="255"/>
        </w:tabs>
        <w:ind w:left="255" w:hanging="255"/>
      </w:pPr>
      <w:rPr>
        <w:rFonts w:ascii="Garamond" w:eastAsia="Cambria" w:hAnsi="Garamond" w:cs="Cambria"/>
        <w:caps w:val="0"/>
        <w:smallCaps w:val="0"/>
        <w:strike w:val="0"/>
        <w:dstrike w:val="0"/>
        <w:color w:val="000000"/>
        <w:spacing w:val="0"/>
        <w:kern w:val="0"/>
        <w:position w:val="0"/>
        <w:sz w:val="20"/>
        <w:szCs w:val="20"/>
        <w:u w:val="none" w:color="000000"/>
        <w:vertAlign w:val="baseline"/>
        <w:lang w:val="ru-RU"/>
      </w:rPr>
    </w:lvl>
    <w:lvl w:ilvl="1">
      <w:start w:val="1"/>
      <w:numFmt w:val="lowerLetter"/>
      <w:lvlText w:val="%2."/>
      <w:lvlJc w:val="left"/>
      <w:pPr>
        <w:tabs>
          <w:tab w:val="num" w:pos="1082"/>
        </w:tabs>
        <w:ind w:left="1082" w:hanging="300"/>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2">
      <w:start w:val="1"/>
      <w:numFmt w:val="lowerRoman"/>
      <w:lvlText w:val="%3."/>
      <w:lvlJc w:val="left"/>
      <w:pPr>
        <w:tabs>
          <w:tab w:val="num" w:pos="1813"/>
        </w:tabs>
        <w:ind w:left="1813" w:hanging="247"/>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3">
      <w:start w:val="1"/>
      <w:numFmt w:val="decimal"/>
      <w:lvlText w:val="%4."/>
      <w:lvlJc w:val="left"/>
      <w:pPr>
        <w:tabs>
          <w:tab w:val="num" w:pos="2522"/>
        </w:tabs>
        <w:ind w:left="2522" w:hanging="300"/>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4">
      <w:start w:val="1"/>
      <w:numFmt w:val="lowerLetter"/>
      <w:lvlText w:val="%5."/>
      <w:lvlJc w:val="left"/>
      <w:pPr>
        <w:tabs>
          <w:tab w:val="num" w:pos="3242"/>
        </w:tabs>
        <w:ind w:left="3242" w:hanging="300"/>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5">
      <w:start w:val="1"/>
      <w:numFmt w:val="lowerRoman"/>
      <w:lvlText w:val="%6."/>
      <w:lvlJc w:val="left"/>
      <w:pPr>
        <w:tabs>
          <w:tab w:val="num" w:pos="3973"/>
        </w:tabs>
        <w:ind w:left="3973" w:hanging="247"/>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6">
      <w:start w:val="1"/>
      <w:numFmt w:val="decimal"/>
      <w:lvlText w:val="%7."/>
      <w:lvlJc w:val="left"/>
      <w:pPr>
        <w:tabs>
          <w:tab w:val="num" w:pos="4682"/>
        </w:tabs>
        <w:ind w:left="4682" w:hanging="300"/>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7">
      <w:start w:val="1"/>
      <w:numFmt w:val="lowerLetter"/>
      <w:lvlText w:val="%8."/>
      <w:lvlJc w:val="left"/>
      <w:pPr>
        <w:tabs>
          <w:tab w:val="num" w:pos="5402"/>
        </w:tabs>
        <w:ind w:left="5402" w:hanging="300"/>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8">
      <w:start w:val="1"/>
      <w:numFmt w:val="lowerRoman"/>
      <w:lvlText w:val="%9."/>
      <w:lvlJc w:val="left"/>
      <w:pPr>
        <w:tabs>
          <w:tab w:val="num" w:pos="6133"/>
        </w:tabs>
        <w:ind w:left="6133" w:hanging="247"/>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abstractNum>
  <w:abstractNum w:abstractNumId="215" w15:restartNumberingAfterBreak="0">
    <w:nsid w:val="4DE64812"/>
    <w:multiLevelType w:val="multilevel"/>
    <w:tmpl w:val="1C94C27E"/>
    <w:styleLink w:val="List60"/>
    <w:lvl w:ilvl="0">
      <w:start w:val="1"/>
      <w:numFmt w:val="decimal"/>
      <w:lvlText w:val="%1."/>
      <w:lvlJc w:val="left"/>
      <w:pPr>
        <w:tabs>
          <w:tab w:val="num" w:pos="317"/>
        </w:tabs>
        <w:ind w:left="317" w:hanging="317"/>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1">
      <w:start w:val="1"/>
      <w:numFmt w:val="lowerLetter"/>
      <w:lvlText w:val="%2."/>
      <w:lvlJc w:val="left"/>
      <w:pPr>
        <w:tabs>
          <w:tab w:val="num" w:pos="1380"/>
        </w:tabs>
        <w:ind w:left="1380" w:hanging="300"/>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2">
      <w:start w:val="1"/>
      <w:numFmt w:val="lowerRoman"/>
      <w:lvlText w:val="%3."/>
      <w:lvlJc w:val="left"/>
      <w:pPr>
        <w:tabs>
          <w:tab w:val="num" w:pos="2111"/>
        </w:tabs>
        <w:ind w:left="2111" w:hanging="247"/>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3">
      <w:start w:val="1"/>
      <w:numFmt w:val="decimal"/>
      <w:lvlText w:val="%4."/>
      <w:lvlJc w:val="left"/>
      <w:pPr>
        <w:tabs>
          <w:tab w:val="num" w:pos="2820"/>
        </w:tabs>
        <w:ind w:left="2820" w:hanging="300"/>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4">
      <w:start w:val="1"/>
      <w:numFmt w:val="lowerLetter"/>
      <w:lvlText w:val="%5."/>
      <w:lvlJc w:val="left"/>
      <w:pPr>
        <w:tabs>
          <w:tab w:val="num" w:pos="3540"/>
        </w:tabs>
        <w:ind w:left="3540" w:hanging="300"/>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5">
      <w:start w:val="1"/>
      <w:numFmt w:val="lowerRoman"/>
      <w:lvlText w:val="%6."/>
      <w:lvlJc w:val="left"/>
      <w:pPr>
        <w:tabs>
          <w:tab w:val="num" w:pos="4271"/>
        </w:tabs>
        <w:ind w:left="4271" w:hanging="247"/>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6">
      <w:start w:val="1"/>
      <w:numFmt w:val="decimal"/>
      <w:lvlText w:val="%7."/>
      <w:lvlJc w:val="left"/>
      <w:pPr>
        <w:tabs>
          <w:tab w:val="num" w:pos="4980"/>
        </w:tabs>
        <w:ind w:left="4980" w:hanging="300"/>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7">
      <w:start w:val="1"/>
      <w:numFmt w:val="lowerLetter"/>
      <w:lvlText w:val="%8."/>
      <w:lvlJc w:val="left"/>
      <w:pPr>
        <w:tabs>
          <w:tab w:val="num" w:pos="5700"/>
        </w:tabs>
        <w:ind w:left="5700" w:hanging="300"/>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8">
      <w:start w:val="1"/>
      <w:numFmt w:val="lowerRoman"/>
      <w:lvlText w:val="%9."/>
      <w:lvlJc w:val="left"/>
      <w:pPr>
        <w:tabs>
          <w:tab w:val="num" w:pos="6431"/>
        </w:tabs>
        <w:ind w:left="6431" w:hanging="247"/>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abstractNum>
  <w:abstractNum w:abstractNumId="216" w15:restartNumberingAfterBreak="0">
    <w:nsid w:val="4E1D6157"/>
    <w:multiLevelType w:val="multilevel"/>
    <w:tmpl w:val="0FC67AA4"/>
    <w:lvl w:ilvl="0">
      <w:start w:val="1"/>
      <w:numFmt w:val="bullet"/>
      <w:lvlText w:val=""/>
      <w:lvlJc w:val="left"/>
      <w:pPr>
        <w:tabs>
          <w:tab w:val="num" w:pos="1353"/>
        </w:tabs>
        <w:ind w:left="1353" w:hanging="360"/>
      </w:pPr>
      <w:rPr>
        <w:rFonts w:ascii="Symbol" w:eastAsia="Times New Roman" w:hAnsi="Symbol" w:hint="default"/>
        <w:b/>
      </w:rPr>
    </w:lvl>
    <w:lvl w:ilvl="1">
      <w:start w:val="1"/>
      <w:numFmt w:val="decimal"/>
      <w:lvlText w:val="%1.%2"/>
      <w:lvlJc w:val="left"/>
      <w:pPr>
        <w:tabs>
          <w:tab w:val="num" w:pos="992"/>
        </w:tabs>
        <w:ind w:left="708"/>
      </w:pPr>
      <w:rPr>
        <w:rFonts w:cs="Times New Roman" w:hint="default"/>
      </w:rPr>
    </w:lvl>
    <w:lvl w:ilvl="2">
      <w:start w:val="1"/>
      <w:numFmt w:val="decimal"/>
      <w:lvlText w:val="%1.%2.%3"/>
      <w:lvlJc w:val="left"/>
      <w:pPr>
        <w:tabs>
          <w:tab w:val="num" w:pos="708"/>
        </w:tabs>
        <w:ind w:left="708"/>
      </w:pPr>
      <w:rPr>
        <w:rFonts w:cs="Times New Roman" w:hint="default"/>
        <w:b w:val="0"/>
      </w:rPr>
    </w:lvl>
    <w:lvl w:ilvl="3">
      <w:start w:val="1"/>
      <w:numFmt w:val="decimal"/>
      <w:lvlText w:val="%1.%2.%3.%4"/>
      <w:lvlJc w:val="left"/>
      <w:pPr>
        <w:tabs>
          <w:tab w:val="num" w:pos="2508"/>
        </w:tabs>
        <w:ind w:left="708" w:firstLine="1080"/>
      </w:pPr>
      <w:rPr>
        <w:rFonts w:cs="Times New Roman" w:hint="default"/>
      </w:rPr>
    </w:lvl>
    <w:lvl w:ilvl="4">
      <w:start w:val="1"/>
      <w:numFmt w:val="decimal"/>
      <w:lvlText w:val="%1.%2.%3.%4.%5."/>
      <w:lvlJc w:val="left"/>
      <w:pPr>
        <w:tabs>
          <w:tab w:val="num" w:pos="3228"/>
        </w:tabs>
        <w:ind w:left="2940" w:hanging="792"/>
      </w:pPr>
      <w:rPr>
        <w:rFonts w:cs="Times New Roman" w:hint="default"/>
      </w:rPr>
    </w:lvl>
    <w:lvl w:ilvl="5">
      <w:start w:val="1"/>
      <w:numFmt w:val="decimal"/>
      <w:lvlText w:val="%1.%2.%3.%4.%5.%6."/>
      <w:lvlJc w:val="left"/>
      <w:pPr>
        <w:tabs>
          <w:tab w:val="num" w:pos="3588"/>
        </w:tabs>
        <w:ind w:left="3444" w:hanging="936"/>
      </w:pPr>
      <w:rPr>
        <w:rFonts w:cs="Times New Roman" w:hint="default"/>
      </w:rPr>
    </w:lvl>
    <w:lvl w:ilvl="6">
      <w:start w:val="1"/>
      <w:numFmt w:val="decimal"/>
      <w:lvlText w:val="%1.%2.%3.%4.%5.%6.%7."/>
      <w:lvlJc w:val="left"/>
      <w:pPr>
        <w:tabs>
          <w:tab w:val="num" w:pos="4308"/>
        </w:tabs>
        <w:ind w:left="3948" w:hanging="1080"/>
      </w:pPr>
      <w:rPr>
        <w:rFonts w:cs="Times New Roman" w:hint="default"/>
      </w:rPr>
    </w:lvl>
    <w:lvl w:ilvl="7">
      <w:start w:val="1"/>
      <w:numFmt w:val="decimal"/>
      <w:lvlText w:val="%1.%2.%3.%4.%5.%6.%7.%8."/>
      <w:lvlJc w:val="left"/>
      <w:pPr>
        <w:tabs>
          <w:tab w:val="num" w:pos="4668"/>
        </w:tabs>
        <w:ind w:left="4452" w:hanging="1224"/>
      </w:pPr>
      <w:rPr>
        <w:rFonts w:cs="Times New Roman" w:hint="default"/>
      </w:rPr>
    </w:lvl>
    <w:lvl w:ilvl="8">
      <w:start w:val="1"/>
      <w:numFmt w:val="decimal"/>
      <w:lvlText w:val="%1.%2.%3.%4.%5.%6.%7.%8.%9."/>
      <w:lvlJc w:val="left"/>
      <w:pPr>
        <w:tabs>
          <w:tab w:val="num" w:pos="5388"/>
        </w:tabs>
        <w:ind w:left="5028" w:hanging="1440"/>
      </w:pPr>
      <w:rPr>
        <w:rFonts w:cs="Times New Roman" w:hint="default"/>
      </w:rPr>
    </w:lvl>
  </w:abstractNum>
  <w:abstractNum w:abstractNumId="217" w15:restartNumberingAfterBreak="0">
    <w:nsid w:val="4EDC252A"/>
    <w:multiLevelType w:val="hybridMultilevel"/>
    <w:tmpl w:val="58AC5A36"/>
    <w:lvl w:ilvl="0" w:tplc="2070E896">
      <w:start w:val="1"/>
      <w:numFmt w:val="decimal"/>
      <w:lvlText w:val="%1)"/>
      <w:lvlJc w:val="left"/>
      <w:pPr>
        <w:ind w:left="960" w:hanging="360"/>
      </w:pPr>
      <w:rPr>
        <w:rFonts w:hint="default"/>
      </w:rPr>
    </w:lvl>
    <w:lvl w:ilvl="1" w:tplc="04190019" w:tentative="1">
      <w:start w:val="1"/>
      <w:numFmt w:val="lowerLetter"/>
      <w:lvlText w:val="%2."/>
      <w:lvlJc w:val="left"/>
      <w:pPr>
        <w:ind w:left="1680" w:hanging="360"/>
      </w:pPr>
    </w:lvl>
    <w:lvl w:ilvl="2" w:tplc="0419001B" w:tentative="1">
      <w:start w:val="1"/>
      <w:numFmt w:val="lowerRoman"/>
      <w:lvlText w:val="%3."/>
      <w:lvlJc w:val="right"/>
      <w:pPr>
        <w:ind w:left="2400" w:hanging="180"/>
      </w:pPr>
    </w:lvl>
    <w:lvl w:ilvl="3" w:tplc="0419000F" w:tentative="1">
      <w:start w:val="1"/>
      <w:numFmt w:val="decimal"/>
      <w:lvlText w:val="%4."/>
      <w:lvlJc w:val="left"/>
      <w:pPr>
        <w:ind w:left="3120" w:hanging="360"/>
      </w:pPr>
    </w:lvl>
    <w:lvl w:ilvl="4" w:tplc="04190019" w:tentative="1">
      <w:start w:val="1"/>
      <w:numFmt w:val="lowerLetter"/>
      <w:lvlText w:val="%5."/>
      <w:lvlJc w:val="left"/>
      <w:pPr>
        <w:ind w:left="3840" w:hanging="360"/>
      </w:pPr>
    </w:lvl>
    <w:lvl w:ilvl="5" w:tplc="0419001B" w:tentative="1">
      <w:start w:val="1"/>
      <w:numFmt w:val="lowerRoman"/>
      <w:lvlText w:val="%6."/>
      <w:lvlJc w:val="right"/>
      <w:pPr>
        <w:ind w:left="4560" w:hanging="180"/>
      </w:pPr>
    </w:lvl>
    <w:lvl w:ilvl="6" w:tplc="0419000F" w:tentative="1">
      <w:start w:val="1"/>
      <w:numFmt w:val="decimal"/>
      <w:lvlText w:val="%7."/>
      <w:lvlJc w:val="left"/>
      <w:pPr>
        <w:ind w:left="5280" w:hanging="360"/>
      </w:pPr>
    </w:lvl>
    <w:lvl w:ilvl="7" w:tplc="04190019" w:tentative="1">
      <w:start w:val="1"/>
      <w:numFmt w:val="lowerLetter"/>
      <w:lvlText w:val="%8."/>
      <w:lvlJc w:val="left"/>
      <w:pPr>
        <w:ind w:left="6000" w:hanging="360"/>
      </w:pPr>
    </w:lvl>
    <w:lvl w:ilvl="8" w:tplc="0419001B" w:tentative="1">
      <w:start w:val="1"/>
      <w:numFmt w:val="lowerRoman"/>
      <w:lvlText w:val="%9."/>
      <w:lvlJc w:val="right"/>
      <w:pPr>
        <w:ind w:left="6720" w:hanging="180"/>
      </w:pPr>
    </w:lvl>
  </w:abstractNum>
  <w:abstractNum w:abstractNumId="218" w15:restartNumberingAfterBreak="0">
    <w:nsid w:val="4EE60C78"/>
    <w:multiLevelType w:val="hybridMultilevel"/>
    <w:tmpl w:val="E7FE7B1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9" w15:restartNumberingAfterBreak="0">
    <w:nsid w:val="4EEB627E"/>
    <w:multiLevelType w:val="hybridMultilevel"/>
    <w:tmpl w:val="951863FE"/>
    <w:lvl w:ilvl="0" w:tplc="B7BC32D8">
      <w:start w:val="1"/>
      <w:numFmt w:val="bullet"/>
      <w:lvlText w:val="–"/>
      <w:lvlJc w:val="left"/>
      <w:pPr>
        <w:ind w:left="1287" w:hanging="360"/>
      </w:pPr>
      <w:rPr>
        <w:rFonts w:ascii="Times New Roman" w:hAnsi="Times New Roman" w:hint="default"/>
        <w:color w:val="auto"/>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20" w15:restartNumberingAfterBreak="0">
    <w:nsid w:val="4F5E0662"/>
    <w:multiLevelType w:val="multilevel"/>
    <w:tmpl w:val="9F483A4C"/>
    <w:lvl w:ilvl="0">
      <w:start w:val="3"/>
      <w:numFmt w:val="decimal"/>
      <w:lvlText w:val="%1."/>
      <w:lvlJc w:val="left"/>
      <w:pPr>
        <w:ind w:left="360" w:hanging="360"/>
      </w:pPr>
      <w:rPr>
        <w:rFonts w:hint="default"/>
      </w:rPr>
    </w:lvl>
    <w:lvl w:ilvl="1">
      <w:start w:val="1"/>
      <w:numFmt w:val="decimal"/>
      <w:lvlText w:val="%1.%2."/>
      <w:lvlJc w:val="left"/>
      <w:pPr>
        <w:ind w:left="1349" w:hanging="720"/>
      </w:pPr>
      <w:rPr>
        <w:rFonts w:ascii="Garamond" w:hAnsi="Garamond" w:hint="default"/>
        <w:b w:val="0"/>
        <w:sz w:val="22"/>
        <w:szCs w:val="22"/>
      </w:rPr>
    </w:lvl>
    <w:lvl w:ilvl="2">
      <w:start w:val="1"/>
      <w:numFmt w:val="decimal"/>
      <w:lvlText w:val="%1.%2.%3."/>
      <w:lvlJc w:val="left"/>
      <w:pPr>
        <w:ind w:left="1978" w:hanging="720"/>
      </w:pPr>
      <w:rPr>
        <w:rFonts w:hint="default"/>
      </w:rPr>
    </w:lvl>
    <w:lvl w:ilvl="3">
      <w:start w:val="1"/>
      <w:numFmt w:val="decimal"/>
      <w:lvlText w:val="%1.%2.%3.%4."/>
      <w:lvlJc w:val="left"/>
      <w:pPr>
        <w:ind w:left="2967" w:hanging="1080"/>
      </w:pPr>
      <w:rPr>
        <w:rFonts w:hint="default"/>
      </w:rPr>
    </w:lvl>
    <w:lvl w:ilvl="4">
      <w:start w:val="1"/>
      <w:numFmt w:val="decimal"/>
      <w:lvlText w:val="%1.%2.%3.%4.%5."/>
      <w:lvlJc w:val="left"/>
      <w:pPr>
        <w:ind w:left="3596" w:hanging="1080"/>
      </w:pPr>
      <w:rPr>
        <w:rFonts w:hint="default"/>
      </w:rPr>
    </w:lvl>
    <w:lvl w:ilvl="5">
      <w:start w:val="1"/>
      <w:numFmt w:val="decimal"/>
      <w:lvlText w:val="%1.%2.%3.%4.%5.%6."/>
      <w:lvlJc w:val="left"/>
      <w:pPr>
        <w:ind w:left="4585" w:hanging="1440"/>
      </w:pPr>
      <w:rPr>
        <w:rFonts w:hint="default"/>
      </w:rPr>
    </w:lvl>
    <w:lvl w:ilvl="6">
      <w:start w:val="1"/>
      <w:numFmt w:val="decimal"/>
      <w:lvlText w:val="%1.%2.%3.%4.%5.%6.%7."/>
      <w:lvlJc w:val="left"/>
      <w:pPr>
        <w:ind w:left="5574" w:hanging="1800"/>
      </w:pPr>
      <w:rPr>
        <w:rFonts w:hint="default"/>
      </w:rPr>
    </w:lvl>
    <w:lvl w:ilvl="7">
      <w:start w:val="1"/>
      <w:numFmt w:val="decimal"/>
      <w:lvlText w:val="%1.%2.%3.%4.%5.%6.%7.%8."/>
      <w:lvlJc w:val="left"/>
      <w:pPr>
        <w:ind w:left="6203" w:hanging="1800"/>
      </w:pPr>
      <w:rPr>
        <w:rFonts w:hint="default"/>
      </w:rPr>
    </w:lvl>
    <w:lvl w:ilvl="8">
      <w:start w:val="1"/>
      <w:numFmt w:val="decimal"/>
      <w:lvlText w:val="%1.%2.%3.%4.%5.%6.%7.%8.%9."/>
      <w:lvlJc w:val="left"/>
      <w:pPr>
        <w:ind w:left="7192" w:hanging="2160"/>
      </w:pPr>
      <w:rPr>
        <w:rFonts w:hint="default"/>
      </w:rPr>
    </w:lvl>
  </w:abstractNum>
  <w:abstractNum w:abstractNumId="221" w15:restartNumberingAfterBreak="0">
    <w:nsid w:val="4F9008E3"/>
    <w:multiLevelType w:val="hybridMultilevel"/>
    <w:tmpl w:val="39782B2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2" w15:restartNumberingAfterBreak="0">
    <w:nsid w:val="4FBC2E12"/>
    <w:multiLevelType w:val="multilevel"/>
    <w:tmpl w:val="6B622AB6"/>
    <w:styleLink w:val="List42"/>
    <w:lvl w:ilvl="0">
      <w:start w:val="1"/>
      <w:numFmt w:val="decimal"/>
      <w:lvlText w:val="%1."/>
      <w:lvlJc w:val="left"/>
      <w:pPr>
        <w:tabs>
          <w:tab w:val="num" w:pos="284"/>
        </w:tabs>
        <w:ind w:left="284" w:hanging="284"/>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1">
      <w:start w:val="1"/>
      <w:numFmt w:val="lowerLetter"/>
      <w:lvlText w:val="%2."/>
      <w:lvlJc w:val="left"/>
      <w:pPr>
        <w:tabs>
          <w:tab w:val="num" w:pos="1380"/>
        </w:tabs>
        <w:ind w:left="1380" w:hanging="300"/>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2">
      <w:start w:val="1"/>
      <w:numFmt w:val="lowerRoman"/>
      <w:lvlText w:val="%3."/>
      <w:lvlJc w:val="left"/>
      <w:pPr>
        <w:tabs>
          <w:tab w:val="num" w:pos="2111"/>
        </w:tabs>
        <w:ind w:left="2111" w:hanging="247"/>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3">
      <w:start w:val="1"/>
      <w:numFmt w:val="decimal"/>
      <w:lvlText w:val="%4."/>
      <w:lvlJc w:val="left"/>
      <w:pPr>
        <w:tabs>
          <w:tab w:val="num" w:pos="2820"/>
        </w:tabs>
        <w:ind w:left="2820" w:hanging="300"/>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4">
      <w:start w:val="1"/>
      <w:numFmt w:val="lowerLetter"/>
      <w:lvlText w:val="%5."/>
      <w:lvlJc w:val="left"/>
      <w:pPr>
        <w:tabs>
          <w:tab w:val="num" w:pos="3540"/>
        </w:tabs>
        <w:ind w:left="3540" w:hanging="300"/>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5">
      <w:start w:val="1"/>
      <w:numFmt w:val="lowerRoman"/>
      <w:lvlText w:val="%6."/>
      <w:lvlJc w:val="left"/>
      <w:pPr>
        <w:tabs>
          <w:tab w:val="num" w:pos="4271"/>
        </w:tabs>
        <w:ind w:left="4271" w:hanging="247"/>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6">
      <w:start w:val="1"/>
      <w:numFmt w:val="decimal"/>
      <w:lvlText w:val="%7."/>
      <w:lvlJc w:val="left"/>
      <w:pPr>
        <w:tabs>
          <w:tab w:val="num" w:pos="4980"/>
        </w:tabs>
        <w:ind w:left="4980" w:hanging="300"/>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7">
      <w:start w:val="1"/>
      <w:numFmt w:val="lowerLetter"/>
      <w:lvlText w:val="%8."/>
      <w:lvlJc w:val="left"/>
      <w:pPr>
        <w:tabs>
          <w:tab w:val="num" w:pos="5700"/>
        </w:tabs>
        <w:ind w:left="5700" w:hanging="300"/>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8">
      <w:start w:val="1"/>
      <w:numFmt w:val="lowerRoman"/>
      <w:lvlText w:val="%9."/>
      <w:lvlJc w:val="left"/>
      <w:pPr>
        <w:tabs>
          <w:tab w:val="num" w:pos="6431"/>
        </w:tabs>
        <w:ind w:left="6431" w:hanging="247"/>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abstractNum>
  <w:abstractNum w:abstractNumId="223" w15:restartNumberingAfterBreak="0">
    <w:nsid w:val="4FDE2BC6"/>
    <w:multiLevelType w:val="hybridMultilevel"/>
    <w:tmpl w:val="7234D222"/>
    <w:lvl w:ilvl="0" w:tplc="F85EDA6C">
      <w:start w:val="1"/>
      <w:numFmt w:val="bullet"/>
      <w:lvlText w:val=""/>
      <w:lvlJc w:val="left"/>
      <w:pPr>
        <w:tabs>
          <w:tab w:val="num" w:pos="413"/>
        </w:tabs>
        <w:ind w:left="413" w:hanging="360"/>
      </w:pPr>
      <w:rPr>
        <w:rFonts w:ascii="Symbol" w:hAnsi="Symbol" w:hint="default"/>
      </w:rPr>
    </w:lvl>
    <w:lvl w:ilvl="1" w:tplc="04190019">
      <w:start w:val="1"/>
      <w:numFmt w:val="bullet"/>
      <w:lvlText w:val="o"/>
      <w:lvlJc w:val="left"/>
      <w:pPr>
        <w:tabs>
          <w:tab w:val="num" w:pos="1493"/>
        </w:tabs>
        <w:ind w:left="1493" w:hanging="360"/>
      </w:pPr>
      <w:rPr>
        <w:rFonts w:ascii="Courier New" w:hAnsi="Courier New" w:cs="Times New Roman" w:hint="default"/>
      </w:r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24" w15:restartNumberingAfterBreak="0">
    <w:nsid w:val="501621CE"/>
    <w:multiLevelType w:val="hybridMultilevel"/>
    <w:tmpl w:val="E7FE7B1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5" w15:restartNumberingAfterBreak="0">
    <w:nsid w:val="50796A8B"/>
    <w:multiLevelType w:val="multilevel"/>
    <w:tmpl w:val="2D5EB3EE"/>
    <w:lvl w:ilvl="0">
      <w:start w:val="2"/>
      <w:numFmt w:val="decimal"/>
      <w:lvlText w:val="%1."/>
      <w:lvlJc w:val="left"/>
      <w:pPr>
        <w:ind w:left="360" w:hanging="36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226" w15:restartNumberingAfterBreak="0">
    <w:nsid w:val="509A5F58"/>
    <w:multiLevelType w:val="multilevel"/>
    <w:tmpl w:val="F83817DC"/>
    <w:lvl w:ilvl="0">
      <w:start w:val="3"/>
      <w:numFmt w:val="decimal"/>
      <w:lvlText w:val="%1."/>
      <w:lvlJc w:val="left"/>
      <w:pPr>
        <w:ind w:left="360" w:hanging="360"/>
      </w:pPr>
      <w:rPr>
        <w:rFonts w:hint="default"/>
      </w:rPr>
    </w:lvl>
    <w:lvl w:ilvl="1">
      <w:start w:val="1"/>
      <w:numFmt w:val="decimal"/>
      <w:lvlText w:val="%1.%2."/>
      <w:lvlJc w:val="left"/>
      <w:pPr>
        <w:ind w:left="1349" w:hanging="720"/>
      </w:pPr>
      <w:rPr>
        <w:rFonts w:hint="default"/>
      </w:rPr>
    </w:lvl>
    <w:lvl w:ilvl="2">
      <w:start w:val="1"/>
      <w:numFmt w:val="decimal"/>
      <w:lvlText w:val="%1.%2.%3."/>
      <w:lvlJc w:val="left"/>
      <w:pPr>
        <w:ind w:left="1978" w:hanging="720"/>
      </w:pPr>
      <w:rPr>
        <w:rFonts w:hint="default"/>
      </w:rPr>
    </w:lvl>
    <w:lvl w:ilvl="3">
      <w:start w:val="1"/>
      <w:numFmt w:val="decimal"/>
      <w:lvlText w:val="%1.%2.%3.%4."/>
      <w:lvlJc w:val="left"/>
      <w:pPr>
        <w:ind w:left="2967" w:hanging="1080"/>
      </w:pPr>
      <w:rPr>
        <w:rFonts w:hint="default"/>
      </w:rPr>
    </w:lvl>
    <w:lvl w:ilvl="4">
      <w:start w:val="1"/>
      <w:numFmt w:val="decimal"/>
      <w:lvlText w:val="%1.%2.%3.%4.%5."/>
      <w:lvlJc w:val="left"/>
      <w:pPr>
        <w:ind w:left="3596" w:hanging="1080"/>
      </w:pPr>
      <w:rPr>
        <w:rFonts w:hint="default"/>
      </w:rPr>
    </w:lvl>
    <w:lvl w:ilvl="5">
      <w:start w:val="1"/>
      <w:numFmt w:val="decimal"/>
      <w:lvlText w:val="%1.%2.%3.%4.%5.%6."/>
      <w:lvlJc w:val="left"/>
      <w:pPr>
        <w:ind w:left="4585" w:hanging="1440"/>
      </w:pPr>
      <w:rPr>
        <w:rFonts w:hint="default"/>
      </w:rPr>
    </w:lvl>
    <w:lvl w:ilvl="6">
      <w:start w:val="1"/>
      <w:numFmt w:val="decimal"/>
      <w:lvlText w:val="%1.%2.%3.%4.%5.%6.%7."/>
      <w:lvlJc w:val="left"/>
      <w:pPr>
        <w:ind w:left="5574" w:hanging="1800"/>
      </w:pPr>
      <w:rPr>
        <w:rFonts w:hint="default"/>
      </w:rPr>
    </w:lvl>
    <w:lvl w:ilvl="7">
      <w:start w:val="1"/>
      <w:numFmt w:val="decimal"/>
      <w:lvlText w:val="%1.%2.%3.%4.%5.%6.%7.%8."/>
      <w:lvlJc w:val="left"/>
      <w:pPr>
        <w:ind w:left="6203" w:hanging="1800"/>
      </w:pPr>
      <w:rPr>
        <w:rFonts w:hint="default"/>
      </w:rPr>
    </w:lvl>
    <w:lvl w:ilvl="8">
      <w:start w:val="1"/>
      <w:numFmt w:val="decimal"/>
      <w:lvlText w:val="%1.%2.%3.%4.%5.%6.%7.%8.%9."/>
      <w:lvlJc w:val="left"/>
      <w:pPr>
        <w:ind w:left="7192" w:hanging="2160"/>
      </w:pPr>
      <w:rPr>
        <w:rFonts w:hint="default"/>
      </w:rPr>
    </w:lvl>
  </w:abstractNum>
  <w:abstractNum w:abstractNumId="227" w15:restartNumberingAfterBreak="0">
    <w:nsid w:val="50AA4FD6"/>
    <w:multiLevelType w:val="multilevel"/>
    <w:tmpl w:val="F0D2417E"/>
    <w:styleLink w:val="List38"/>
    <w:lvl w:ilvl="0">
      <w:start w:val="1"/>
      <w:numFmt w:val="decimal"/>
      <w:lvlText w:val="%1."/>
      <w:lvlJc w:val="left"/>
      <w:pPr>
        <w:tabs>
          <w:tab w:val="num" w:pos="646"/>
        </w:tabs>
        <w:ind w:left="646" w:hanging="646"/>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1">
      <w:start w:val="1"/>
      <w:numFmt w:val="lowerLetter"/>
      <w:lvlText w:val="%2."/>
      <w:lvlJc w:val="left"/>
      <w:pPr>
        <w:tabs>
          <w:tab w:val="num" w:pos="1082"/>
        </w:tabs>
        <w:ind w:left="1082" w:hanging="300"/>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2">
      <w:start w:val="1"/>
      <w:numFmt w:val="lowerRoman"/>
      <w:lvlText w:val="%3."/>
      <w:lvlJc w:val="left"/>
      <w:pPr>
        <w:tabs>
          <w:tab w:val="num" w:pos="1813"/>
        </w:tabs>
        <w:ind w:left="1813" w:hanging="247"/>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3">
      <w:start w:val="1"/>
      <w:numFmt w:val="decimal"/>
      <w:lvlText w:val="%4."/>
      <w:lvlJc w:val="left"/>
      <w:pPr>
        <w:tabs>
          <w:tab w:val="num" w:pos="2522"/>
        </w:tabs>
        <w:ind w:left="2522" w:hanging="300"/>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4">
      <w:start w:val="1"/>
      <w:numFmt w:val="lowerLetter"/>
      <w:lvlText w:val="%5."/>
      <w:lvlJc w:val="left"/>
      <w:pPr>
        <w:tabs>
          <w:tab w:val="num" w:pos="3242"/>
        </w:tabs>
        <w:ind w:left="3242" w:hanging="300"/>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5">
      <w:start w:val="1"/>
      <w:numFmt w:val="lowerRoman"/>
      <w:lvlText w:val="%6."/>
      <w:lvlJc w:val="left"/>
      <w:pPr>
        <w:tabs>
          <w:tab w:val="num" w:pos="3973"/>
        </w:tabs>
        <w:ind w:left="3973" w:hanging="247"/>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6">
      <w:start w:val="1"/>
      <w:numFmt w:val="decimal"/>
      <w:lvlText w:val="%7."/>
      <w:lvlJc w:val="left"/>
      <w:pPr>
        <w:tabs>
          <w:tab w:val="num" w:pos="4682"/>
        </w:tabs>
        <w:ind w:left="4682" w:hanging="300"/>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7">
      <w:start w:val="1"/>
      <w:numFmt w:val="lowerLetter"/>
      <w:lvlText w:val="%8."/>
      <w:lvlJc w:val="left"/>
      <w:pPr>
        <w:tabs>
          <w:tab w:val="num" w:pos="5402"/>
        </w:tabs>
        <w:ind w:left="5402" w:hanging="300"/>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8">
      <w:start w:val="1"/>
      <w:numFmt w:val="lowerRoman"/>
      <w:lvlText w:val="%9."/>
      <w:lvlJc w:val="left"/>
      <w:pPr>
        <w:tabs>
          <w:tab w:val="num" w:pos="6133"/>
        </w:tabs>
        <w:ind w:left="6133" w:hanging="247"/>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abstractNum>
  <w:abstractNum w:abstractNumId="228" w15:restartNumberingAfterBreak="0">
    <w:nsid w:val="513104F2"/>
    <w:multiLevelType w:val="multilevel"/>
    <w:tmpl w:val="AB3CCB1A"/>
    <w:styleLink w:val="List12"/>
    <w:lvl w:ilvl="0">
      <w:start w:val="1"/>
      <w:numFmt w:val="decimal"/>
      <w:lvlText w:val="%1."/>
      <w:lvlJc w:val="left"/>
      <w:pPr>
        <w:tabs>
          <w:tab w:val="num" w:pos="317"/>
        </w:tabs>
        <w:ind w:left="317" w:hanging="317"/>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1">
      <w:start w:val="1"/>
      <w:numFmt w:val="lowerLetter"/>
      <w:lvlText w:val="%2."/>
      <w:lvlJc w:val="left"/>
      <w:pPr>
        <w:tabs>
          <w:tab w:val="num" w:pos="1380"/>
        </w:tabs>
        <w:ind w:left="1380" w:hanging="300"/>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2">
      <w:start w:val="1"/>
      <w:numFmt w:val="lowerRoman"/>
      <w:lvlText w:val="%3."/>
      <w:lvlJc w:val="left"/>
      <w:pPr>
        <w:tabs>
          <w:tab w:val="num" w:pos="2111"/>
        </w:tabs>
        <w:ind w:left="2111" w:hanging="247"/>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3">
      <w:start w:val="1"/>
      <w:numFmt w:val="decimal"/>
      <w:lvlText w:val="%4."/>
      <w:lvlJc w:val="left"/>
      <w:pPr>
        <w:tabs>
          <w:tab w:val="num" w:pos="2820"/>
        </w:tabs>
        <w:ind w:left="2820" w:hanging="300"/>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4">
      <w:start w:val="1"/>
      <w:numFmt w:val="lowerLetter"/>
      <w:lvlText w:val="%5."/>
      <w:lvlJc w:val="left"/>
      <w:pPr>
        <w:tabs>
          <w:tab w:val="num" w:pos="3540"/>
        </w:tabs>
        <w:ind w:left="3540" w:hanging="300"/>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5">
      <w:start w:val="1"/>
      <w:numFmt w:val="lowerRoman"/>
      <w:lvlText w:val="%6."/>
      <w:lvlJc w:val="left"/>
      <w:pPr>
        <w:tabs>
          <w:tab w:val="num" w:pos="4271"/>
        </w:tabs>
        <w:ind w:left="4271" w:hanging="247"/>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6">
      <w:start w:val="1"/>
      <w:numFmt w:val="decimal"/>
      <w:lvlText w:val="%7."/>
      <w:lvlJc w:val="left"/>
      <w:pPr>
        <w:tabs>
          <w:tab w:val="num" w:pos="4980"/>
        </w:tabs>
        <w:ind w:left="4980" w:hanging="300"/>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7">
      <w:start w:val="1"/>
      <w:numFmt w:val="lowerLetter"/>
      <w:lvlText w:val="%8."/>
      <w:lvlJc w:val="left"/>
      <w:pPr>
        <w:tabs>
          <w:tab w:val="num" w:pos="5700"/>
        </w:tabs>
        <w:ind w:left="5700" w:hanging="300"/>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8">
      <w:start w:val="1"/>
      <w:numFmt w:val="lowerRoman"/>
      <w:lvlText w:val="%9."/>
      <w:lvlJc w:val="left"/>
      <w:pPr>
        <w:tabs>
          <w:tab w:val="num" w:pos="6431"/>
        </w:tabs>
        <w:ind w:left="6431" w:hanging="247"/>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abstractNum>
  <w:abstractNum w:abstractNumId="229" w15:restartNumberingAfterBreak="0">
    <w:nsid w:val="51A9051F"/>
    <w:multiLevelType w:val="multilevel"/>
    <w:tmpl w:val="01FA1984"/>
    <w:lvl w:ilvl="0">
      <w:start w:val="1"/>
      <w:numFmt w:val="decimal"/>
      <w:lvlText w:val="%1."/>
      <w:lvlJc w:val="left"/>
      <w:pPr>
        <w:tabs>
          <w:tab w:val="num" w:pos="-786"/>
        </w:tabs>
        <w:ind w:left="360" w:hanging="360"/>
      </w:pPr>
      <w:rPr>
        <w:rFonts w:cs="Times New Roman" w:hint="default"/>
        <w:b w:val="0"/>
      </w:rPr>
    </w:lvl>
    <w:lvl w:ilvl="1">
      <w:start w:val="1"/>
      <w:numFmt w:val="decimal"/>
      <w:isLgl/>
      <w:lvlText w:val="%1.%2"/>
      <w:lvlJc w:val="left"/>
      <w:pPr>
        <w:ind w:left="1146" w:hanging="360"/>
      </w:pPr>
      <w:rPr>
        <w:rFonts w:hint="default"/>
      </w:rPr>
    </w:lvl>
    <w:lvl w:ilvl="2">
      <w:start w:val="1"/>
      <w:numFmt w:val="decimal"/>
      <w:isLgl/>
      <w:lvlText w:val="%1.%2.%3"/>
      <w:lvlJc w:val="left"/>
      <w:pPr>
        <w:ind w:left="1506" w:hanging="720"/>
      </w:pPr>
      <w:rPr>
        <w:rFonts w:hint="default"/>
      </w:rPr>
    </w:lvl>
    <w:lvl w:ilvl="3">
      <w:start w:val="1"/>
      <w:numFmt w:val="decimal"/>
      <w:isLgl/>
      <w:lvlText w:val="%1.%2.%3.%4"/>
      <w:lvlJc w:val="left"/>
      <w:pPr>
        <w:ind w:left="1506" w:hanging="720"/>
      </w:pPr>
      <w:rPr>
        <w:rFonts w:hint="default"/>
      </w:rPr>
    </w:lvl>
    <w:lvl w:ilvl="4">
      <w:start w:val="1"/>
      <w:numFmt w:val="decimal"/>
      <w:isLgl/>
      <w:lvlText w:val="%1.%2.%3.%4.%5"/>
      <w:lvlJc w:val="left"/>
      <w:pPr>
        <w:ind w:left="1866" w:hanging="1080"/>
      </w:pPr>
      <w:rPr>
        <w:rFonts w:hint="default"/>
      </w:rPr>
    </w:lvl>
    <w:lvl w:ilvl="5">
      <w:start w:val="1"/>
      <w:numFmt w:val="decimal"/>
      <w:isLgl/>
      <w:lvlText w:val="%1.%2.%3.%4.%5.%6"/>
      <w:lvlJc w:val="left"/>
      <w:pPr>
        <w:ind w:left="1866" w:hanging="1080"/>
      </w:pPr>
      <w:rPr>
        <w:rFonts w:hint="default"/>
      </w:rPr>
    </w:lvl>
    <w:lvl w:ilvl="6">
      <w:start w:val="1"/>
      <w:numFmt w:val="decimal"/>
      <w:isLgl/>
      <w:lvlText w:val="%1.%2.%3.%4.%5.%6.%7"/>
      <w:lvlJc w:val="left"/>
      <w:pPr>
        <w:ind w:left="2226" w:hanging="1440"/>
      </w:pPr>
      <w:rPr>
        <w:rFonts w:hint="default"/>
      </w:rPr>
    </w:lvl>
    <w:lvl w:ilvl="7">
      <w:start w:val="1"/>
      <w:numFmt w:val="decimal"/>
      <w:isLgl/>
      <w:lvlText w:val="%1.%2.%3.%4.%5.%6.%7.%8"/>
      <w:lvlJc w:val="left"/>
      <w:pPr>
        <w:ind w:left="2226" w:hanging="1440"/>
      </w:pPr>
      <w:rPr>
        <w:rFonts w:hint="default"/>
      </w:rPr>
    </w:lvl>
    <w:lvl w:ilvl="8">
      <w:start w:val="1"/>
      <w:numFmt w:val="decimal"/>
      <w:isLgl/>
      <w:lvlText w:val="%1.%2.%3.%4.%5.%6.%7.%8.%9"/>
      <w:lvlJc w:val="left"/>
      <w:pPr>
        <w:ind w:left="2586" w:hanging="1800"/>
      </w:pPr>
      <w:rPr>
        <w:rFonts w:hint="default"/>
      </w:rPr>
    </w:lvl>
  </w:abstractNum>
  <w:abstractNum w:abstractNumId="230" w15:restartNumberingAfterBreak="0">
    <w:nsid w:val="51D6500C"/>
    <w:multiLevelType w:val="hybridMultilevel"/>
    <w:tmpl w:val="4E00A8B2"/>
    <w:lvl w:ilvl="0" w:tplc="BF386A98">
      <w:start w:val="5"/>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1" w15:restartNumberingAfterBreak="0">
    <w:nsid w:val="51EC116C"/>
    <w:multiLevelType w:val="hybridMultilevel"/>
    <w:tmpl w:val="E7FE7B1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2" w15:restartNumberingAfterBreak="0">
    <w:nsid w:val="52141FDD"/>
    <w:multiLevelType w:val="multilevel"/>
    <w:tmpl w:val="4394193E"/>
    <w:styleLink w:val="List75"/>
    <w:lvl w:ilvl="0">
      <w:start w:val="2"/>
      <w:numFmt w:val="decimal"/>
      <w:lvlText w:val="%1."/>
      <w:lvlJc w:val="left"/>
      <w:pPr>
        <w:tabs>
          <w:tab w:val="num" w:pos="720"/>
        </w:tabs>
        <w:ind w:left="720" w:hanging="360"/>
      </w:pPr>
      <w:rPr>
        <w:rFonts w:ascii="Garamond" w:eastAsia="Garamond" w:hAnsi="Garamond" w:cs="Garamond"/>
        <w:position w:val="0"/>
        <w:sz w:val="22"/>
        <w:szCs w:val="22"/>
        <w:lang w:val="ru-RU"/>
      </w:rPr>
    </w:lvl>
    <w:lvl w:ilvl="1">
      <w:start w:val="1"/>
      <w:numFmt w:val="lowerLetter"/>
      <w:lvlText w:val="%2."/>
      <w:lvlJc w:val="left"/>
      <w:pPr>
        <w:tabs>
          <w:tab w:val="num" w:pos="1410"/>
        </w:tabs>
        <w:ind w:left="1410" w:hanging="330"/>
      </w:pPr>
      <w:rPr>
        <w:rFonts w:ascii="Garamond" w:eastAsia="Garamond" w:hAnsi="Garamond" w:cs="Garamond"/>
        <w:position w:val="0"/>
        <w:sz w:val="22"/>
        <w:szCs w:val="22"/>
        <w:lang w:val="ru-RU"/>
      </w:rPr>
    </w:lvl>
    <w:lvl w:ilvl="2">
      <w:start w:val="1"/>
      <w:numFmt w:val="lowerRoman"/>
      <w:lvlText w:val="%3."/>
      <w:lvlJc w:val="left"/>
      <w:pPr>
        <w:tabs>
          <w:tab w:val="num" w:pos="2135"/>
        </w:tabs>
        <w:ind w:left="2135" w:hanging="271"/>
      </w:pPr>
      <w:rPr>
        <w:rFonts w:ascii="Garamond" w:eastAsia="Garamond" w:hAnsi="Garamond" w:cs="Garamond"/>
        <w:position w:val="0"/>
        <w:sz w:val="22"/>
        <w:szCs w:val="22"/>
        <w:lang w:val="ru-RU"/>
      </w:rPr>
    </w:lvl>
    <w:lvl w:ilvl="3">
      <w:start w:val="1"/>
      <w:numFmt w:val="decimal"/>
      <w:lvlText w:val="%4."/>
      <w:lvlJc w:val="left"/>
      <w:pPr>
        <w:tabs>
          <w:tab w:val="num" w:pos="2850"/>
        </w:tabs>
        <w:ind w:left="2850" w:hanging="330"/>
      </w:pPr>
      <w:rPr>
        <w:rFonts w:ascii="Garamond" w:eastAsia="Garamond" w:hAnsi="Garamond" w:cs="Garamond"/>
        <w:position w:val="0"/>
        <w:sz w:val="22"/>
        <w:szCs w:val="22"/>
        <w:lang w:val="ru-RU"/>
      </w:rPr>
    </w:lvl>
    <w:lvl w:ilvl="4">
      <w:start w:val="1"/>
      <w:numFmt w:val="lowerLetter"/>
      <w:lvlText w:val="%5."/>
      <w:lvlJc w:val="left"/>
      <w:pPr>
        <w:tabs>
          <w:tab w:val="num" w:pos="3570"/>
        </w:tabs>
        <w:ind w:left="3570" w:hanging="330"/>
      </w:pPr>
      <w:rPr>
        <w:rFonts w:ascii="Garamond" w:eastAsia="Garamond" w:hAnsi="Garamond" w:cs="Garamond"/>
        <w:position w:val="0"/>
        <w:sz w:val="22"/>
        <w:szCs w:val="22"/>
        <w:lang w:val="ru-RU"/>
      </w:rPr>
    </w:lvl>
    <w:lvl w:ilvl="5">
      <w:start w:val="1"/>
      <w:numFmt w:val="lowerRoman"/>
      <w:lvlText w:val="%6."/>
      <w:lvlJc w:val="left"/>
      <w:pPr>
        <w:tabs>
          <w:tab w:val="num" w:pos="4295"/>
        </w:tabs>
        <w:ind w:left="4295" w:hanging="271"/>
      </w:pPr>
      <w:rPr>
        <w:rFonts w:ascii="Garamond" w:eastAsia="Garamond" w:hAnsi="Garamond" w:cs="Garamond"/>
        <w:position w:val="0"/>
        <w:sz w:val="22"/>
        <w:szCs w:val="22"/>
        <w:lang w:val="ru-RU"/>
      </w:rPr>
    </w:lvl>
    <w:lvl w:ilvl="6">
      <w:start w:val="1"/>
      <w:numFmt w:val="decimal"/>
      <w:lvlText w:val="%7."/>
      <w:lvlJc w:val="left"/>
      <w:pPr>
        <w:tabs>
          <w:tab w:val="num" w:pos="5010"/>
        </w:tabs>
        <w:ind w:left="5010" w:hanging="330"/>
      </w:pPr>
      <w:rPr>
        <w:rFonts w:ascii="Garamond" w:eastAsia="Garamond" w:hAnsi="Garamond" w:cs="Garamond"/>
        <w:position w:val="0"/>
        <w:sz w:val="22"/>
        <w:szCs w:val="22"/>
        <w:lang w:val="ru-RU"/>
      </w:rPr>
    </w:lvl>
    <w:lvl w:ilvl="7">
      <w:start w:val="1"/>
      <w:numFmt w:val="lowerLetter"/>
      <w:lvlText w:val="%8."/>
      <w:lvlJc w:val="left"/>
      <w:pPr>
        <w:tabs>
          <w:tab w:val="num" w:pos="5730"/>
        </w:tabs>
        <w:ind w:left="5730" w:hanging="330"/>
      </w:pPr>
      <w:rPr>
        <w:rFonts w:ascii="Garamond" w:eastAsia="Garamond" w:hAnsi="Garamond" w:cs="Garamond"/>
        <w:position w:val="0"/>
        <w:sz w:val="22"/>
        <w:szCs w:val="22"/>
        <w:lang w:val="ru-RU"/>
      </w:rPr>
    </w:lvl>
    <w:lvl w:ilvl="8">
      <w:start w:val="1"/>
      <w:numFmt w:val="lowerRoman"/>
      <w:lvlText w:val="%9."/>
      <w:lvlJc w:val="left"/>
      <w:pPr>
        <w:tabs>
          <w:tab w:val="num" w:pos="6455"/>
        </w:tabs>
        <w:ind w:left="6455" w:hanging="271"/>
      </w:pPr>
      <w:rPr>
        <w:rFonts w:ascii="Garamond" w:eastAsia="Garamond" w:hAnsi="Garamond" w:cs="Garamond"/>
        <w:position w:val="0"/>
        <w:sz w:val="22"/>
        <w:szCs w:val="22"/>
        <w:lang w:val="ru-RU"/>
      </w:rPr>
    </w:lvl>
  </w:abstractNum>
  <w:abstractNum w:abstractNumId="233" w15:restartNumberingAfterBreak="0">
    <w:nsid w:val="527F147F"/>
    <w:multiLevelType w:val="multilevel"/>
    <w:tmpl w:val="04E6665C"/>
    <w:lvl w:ilvl="0">
      <w:start w:val="1"/>
      <w:numFmt w:val="decimal"/>
      <w:lvlText w:val="%1."/>
      <w:lvlJc w:val="left"/>
      <w:pPr>
        <w:tabs>
          <w:tab w:val="num" w:pos="317"/>
        </w:tabs>
        <w:ind w:left="317" w:hanging="317"/>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1">
      <w:start w:val="1"/>
      <w:numFmt w:val="lowerLetter"/>
      <w:lvlText w:val="%2."/>
      <w:lvlJc w:val="left"/>
      <w:pPr>
        <w:tabs>
          <w:tab w:val="num" w:pos="1380"/>
        </w:tabs>
        <w:ind w:left="1380" w:hanging="300"/>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2">
      <w:start w:val="1"/>
      <w:numFmt w:val="lowerRoman"/>
      <w:lvlText w:val="%3."/>
      <w:lvlJc w:val="left"/>
      <w:pPr>
        <w:tabs>
          <w:tab w:val="num" w:pos="2111"/>
        </w:tabs>
        <w:ind w:left="2111" w:hanging="247"/>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3">
      <w:start w:val="1"/>
      <w:numFmt w:val="decimal"/>
      <w:lvlText w:val="%4."/>
      <w:lvlJc w:val="left"/>
      <w:pPr>
        <w:tabs>
          <w:tab w:val="num" w:pos="2820"/>
        </w:tabs>
        <w:ind w:left="2820" w:hanging="300"/>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4">
      <w:start w:val="1"/>
      <w:numFmt w:val="lowerLetter"/>
      <w:lvlText w:val="%5."/>
      <w:lvlJc w:val="left"/>
      <w:pPr>
        <w:tabs>
          <w:tab w:val="num" w:pos="3540"/>
        </w:tabs>
        <w:ind w:left="3540" w:hanging="300"/>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5">
      <w:start w:val="1"/>
      <w:numFmt w:val="lowerRoman"/>
      <w:lvlText w:val="%6."/>
      <w:lvlJc w:val="left"/>
      <w:pPr>
        <w:tabs>
          <w:tab w:val="num" w:pos="4271"/>
        </w:tabs>
        <w:ind w:left="4271" w:hanging="247"/>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6">
      <w:start w:val="1"/>
      <w:numFmt w:val="decimal"/>
      <w:lvlText w:val="%7."/>
      <w:lvlJc w:val="left"/>
      <w:pPr>
        <w:tabs>
          <w:tab w:val="num" w:pos="4980"/>
        </w:tabs>
        <w:ind w:left="4980" w:hanging="300"/>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7">
      <w:start w:val="1"/>
      <w:numFmt w:val="lowerLetter"/>
      <w:lvlText w:val="%8."/>
      <w:lvlJc w:val="left"/>
      <w:pPr>
        <w:tabs>
          <w:tab w:val="num" w:pos="5700"/>
        </w:tabs>
        <w:ind w:left="5700" w:hanging="300"/>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8">
      <w:start w:val="1"/>
      <w:numFmt w:val="lowerRoman"/>
      <w:lvlText w:val="%9."/>
      <w:lvlJc w:val="left"/>
      <w:pPr>
        <w:tabs>
          <w:tab w:val="num" w:pos="6431"/>
        </w:tabs>
        <w:ind w:left="6431" w:hanging="247"/>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abstractNum>
  <w:abstractNum w:abstractNumId="234" w15:restartNumberingAfterBreak="0">
    <w:nsid w:val="534670A4"/>
    <w:multiLevelType w:val="hybridMultilevel"/>
    <w:tmpl w:val="BFF846CA"/>
    <w:lvl w:ilvl="0" w:tplc="4FE0C45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5" w15:restartNumberingAfterBreak="0">
    <w:nsid w:val="53844573"/>
    <w:multiLevelType w:val="hybridMultilevel"/>
    <w:tmpl w:val="E7FE7B1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6" w15:restartNumberingAfterBreak="0">
    <w:nsid w:val="5397187F"/>
    <w:multiLevelType w:val="multilevel"/>
    <w:tmpl w:val="D828081A"/>
    <w:lvl w:ilvl="0">
      <w:start w:val="1"/>
      <w:numFmt w:val="russianLower"/>
      <w:lvlText w:val="%1)"/>
      <w:lvlJc w:val="left"/>
      <w:rPr>
        <w:rFonts w:hint="default"/>
        <w:position w:val="0"/>
        <w:lang w:val="ru-RU"/>
      </w:rPr>
    </w:lvl>
    <w:lvl w:ilvl="1">
      <w:start w:val="1"/>
      <w:numFmt w:val="decimal"/>
      <w:lvlText w:val="%2."/>
      <w:lvlJc w:val="left"/>
      <w:rPr>
        <w:color w:val="auto"/>
        <w:position w:val="0"/>
        <w:lang w:val="ru-RU"/>
      </w:rPr>
    </w:lvl>
    <w:lvl w:ilvl="2">
      <w:start w:val="1"/>
      <w:numFmt w:val="lowerRoman"/>
      <w:lvlText w:val="%3."/>
      <w:lvlJc w:val="left"/>
      <w:rPr>
        <w:rFonts w:ascii="Garamond" w:eastAsia="Garamond" w:hAnsi="Garamond" w:cs="Garamond"/>
        <w:position w:val="0"/>
        <w:lang w:val="ru-RU"/>
      </w:rPr>
    </w:lvl>
    <w:lvl w:ilvl="3">
      <w:start w:val="1"/>
      <w:numFmt w:val="decimal"/>
      <w:lvlText w:val="%4."/>
      <w:lvlJc w:val="left"/>
      <w:rPr>
        <w:rFonts w:ascii="Garamond" w:eastAsia="Garamond" w:hAnsi="Garamond" w:cs="Garamond"/>
        <w:position w:val="0"/>
        <w:lang w:val="ru-RU"/>
      </w:rPr>
    </w:lvl>
    <w:lvl w:ilvl="4">
      <w:start w:val="1"/>
      <w:numFmt w:val="lowerLetter"/>
      <w:lvlText w:val="%5."/>
      <w:lvlJc w:val="left"/>
      <w:rPr>
        <w:rFonts w:ascii="Garamond" w:eastAsia="Garamond" w:hAnsi="Garamond" w:cs="Garamond"/>
        <w:position w:val="0"/>
        <w:lang w:val="ru-RU"/>
      </w:rPr>
    </w:lvl>
    <w:lvl w:ilvl="5">
      <w:start w:val="1"/>
      <w:numFmt w:val="lowerRoman"/>
      <w:lvlText w:val="%6."/>
      <w:lvlJc w:val="left"/>
      <w:rPr>
        <w:rFonts w:ascii="Garamond" w:eastAsia="Garamond" w:hAnsi="Garamond" w:cs="Garamond"/>
        <w:position w:val="0"/>
        <w:lang w:val="ru-RU"/>
      </w:rPr>
    </w:lvl>
    <w:lvl w:ilvl="6">
      <w:start w:val="1"/>
      <w:numFmt w:val="decimal"/>
      <w:lvlText w:val="%7."/>
      <w:lvlJc w:val="left"/>
      <w:rPr>
        <w:rFonts w:ascii="Garamond" w:eastAsia="Garamond" w:hAnsi="Garamond" w:cs="Garamond"/>
        <w:position w:val="0"/>
        <w:lang w:val="ru-RU"/>
      </w:rPr>
    </w:lvl>
    <w:lvl w:ilvl="7">
      <w:start w:val="1"/>
      <w:numFmt w:val="lowerLetter"/>
      <w:lvlText w:val="%8."/>
      <w:lvlJc w:val="left"/>
      <w:rPr>
        <w:rFonts w:ascii="Garamond" w:eastAsia="Garamond" w:hAnsi="Garamond" w:cs="Garamond"/>
        <w:position w:val="0"/>
        <w:lang w:val="ru-RU"/>
      </w:rPr>
    </w:lvl>
    <w:lvl w:ilvl="8">
      <w:start w:val="1"/>
      <w:numFmt w:val="lowerRoman"/>
      <w:lvlText w:val="%9."/>
      <w:lvlJc w:val="left"/>
      <w:rPr>
        <w:rFonts w:ascii="Garamond" w:eastAsia="Garamond" w:hAnsi="Garamond" w:cs="Garamond"/>
        <w:position w:val="0"/>
        <w:lang w:val="ru-RU"/>
      </w:rPr>
    </w:lvl>
  </w:abstractNum>
  <w:abstractNum w:abstractNumId="237" w15:restartNumberingAfterBreak="0">
    <w:nsid w:val="541B47DE"/>
    <w:multiLevelType w:val="multilevel"/>
    <w:tmpl w:val="D6CE24CE"/>
    <w:lvl w:ilvl="0">
      <w:start w:val="1"/>
      <w:numFmt w:val="bullet"/>
      <w:lvlText w:val=""/>
      <w:lvlJc w:val="left"/>
      <w:pPr>
        <w:tabs>
          <w:tab w:val="num" w:pos="720"/>
        </w:tabs>
        <w:ind w:left="720" w:hanging="360"/>
      </w:pPr>
      <w:rPr>
        <w:rFonts w:ascii="Symbol" w:hAnsi="Symbol"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8" w15:restartNumberingAfterBreak="0">
    <w:nsid w:val="547B3A44"/>
    <w:multiLevelType w:val="multilevel"/>
    <w:tmpl w:val="F2A068F6"/>
    <w:styleLink w:val="List65"/>
    <w:lvl w:ilvl="0">
      <w:start w:val="1"/>
      <w:numFmt w:val="decimal"/>
      <w:lvlText w:val="%1."/>
      <w:lvlJc w:val="left"/>
      <w:pPr>
        <w:tabs>
          <w:tab w:val="num" w:pos="317"/>
        </w:tabs>
        <w:ind w:left="317" w:hanging="317"/>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1">
      <w:start w:val="1"/>
      <w:numFmt w:val="lowerLetter"/>
      <w:lvlText w:val="%2."/>
      <w:lvlJc w:val="left"/>
      <w:pPr>
        <w:tabs>
          <w:tab w:val="num" w:pos="1380"/>
        </w:tabs>
        <w:ind w:left="1380" w:hanging="300"/>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2">
      <w:start w:val="1"/>
      <w:numFmt w:val="lowerRoman"/>
      <w:lvlText w:val="%3."/>
      <w:lvlJc w:val="left"/>
      <w:pPr>
        <w:tabs>
          <w:tab w:val="num" w:pos="2111"/>
        </w:tabs>
        <w:ind w:left="2111" w:hanging="247"/>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3">
      <w:start w:val="1"/>
      <w:numFmt w:val="decimal"/>
      <w:lvlText w:val="%4."/>
      <w:lvlJc w:val="left"/>
      <w:pPr>
        <w:tabs>
          <w:tab w:val="num" w:pos="2820"/>
        </w:tabs>
        <w:ind w:left="2820" w:hanging="300"/>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4">
      <w:start w:val="1"/>
      <w:numFmt w:val="lowerLetter"/>
      <w:lvlText w:val="%5."/>
      <w:lvlJc w:val="left"/>
      <w:pPr>
        <w:tabs>
          <w:tab w:val="num" w:pos="3540"/>
        </w:tabs>
        <w:ind w:left="3540" w:hanging="300"/>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5">
      <w:start w:val="1"/>
      <w:numFmt w:val="lowerRoman"/>
      <w:lvlText w:val="%6."/>
      <w:lvlJc w:val="left"/>
      <w:pPr>
        <w:tabs>
          <w:tab w:val="num" w:pos="4271"/>
        </w:tabs>
        <w:ind w:left="4271" w:hanging="247"/>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6">
      <w:start w:val="1"/>
      <w:numFmt w:val="decimal"/>
      <w:lvlText w:val="%7."/>
      <w:lvlJc w:val="left"/>
      <w:pPr>
        <w:tabs>
          <w:tab w:val="num" w:pos="4980"/>
        </w:tabs>
        <w:ind w:left="4980" w:hanging="300"/>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7">
      <w:start w:val="1"/>
      <w:numFmt w:val="lowerLetter"/>
      <w:lvlText w:val="%8."/>
      <w:lvlJc w:val="left"/>
      <w:pPr>
        <w:tabs>
          <w:tab w:val="num" w:pos="5700"/>
        </w:tabs>
        <w:ind w:left="5700" w:hanging="300"/>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8">
      <w:start w:val="1"/>
      <w:numFmt w:val="lowerRoman"/>
      <w:lvlText w:val="%9."/>
      <w:lvlJc w:val="left"/>
      <w:pPr>
        <w:tabs>
          <w:tab w:val="num" w:pos="6431"/>
        </w:tabs>
        <w:ind w:left="6431" w:hanging="247"/>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abstractNum>
  <w:abstractNum w:abstractNumId="239" w15:restartNumberingAfterBreak="0">
    <w:nsid w:val="56122A19"/>
    <w:multiLevelType w:val="multilevel"/>
    <w:tmpl w:val="6B1A2FEE"/>
    <w:styleLink w:val="List24"/>
    <w:lvl w:ilvl="0">
      <w:start w:val="1"/>
      <w:numFmt w:val="decimal"/>
      <w:lvlText w:val="%1."/>
      <w:lvlJc w:val="left"/>
      <w:pPr>
        <w:tabs>
          <w:tab w:val="num" w:pos="317"/>
        </w:tabs>
        <w:ind w:left="317" w:hanging="317"/>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1">
      <w:start w:val="1"/>
      <w:numFmt w:val="lowerLetter"/>
      <w:lvlText w:val="%2."/>
      <w:lvlJc w:val="left"/>
      <w:pPr>
        <w:tabs>
          <w:tab w:val="num" w:pos="1380"/>
        </w:tabs>
        <w:ind w:left="1380" w:hanging="300"/>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2">
      <w:start w:val="1"/>
      <w:numFmt w:val="lowerRoman"/>
      <w:lvlText w:val="%3."/>
      <w:lvlJc w:val="left"/>
      <w:pPr>
        <w:tabs>
          <w:tab w:val="num" w:pos="2111"/>
        </w:tabs>
        <w:ind w:left="2111" w:hanging="247"/>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3">
      <w:start w:val="1"/>
      <w:numFmt w:val="decimal"/>
      <w:lvlText w:val="%4."/>
      <w:lvlJc w:val="left"/>
      <w:pPr>
        <w:tabs>
          <w:tab w:val="num" w:pos="2820"/>
        </w:tabs>
        <w:ind w:left="2820" w:hanging="300"/>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4">
      <w:start w:val="1"/>
      <w:numFmt w:val="lowerLetter"/>
      <w:lvlText w:val="%5."/>
      <w:lvlJc w:val="left"/>
      <w:pPr>
        <w:tabs>
          <w:tab w:val="num" w:pos="3540"/>
        </w:tabs>
        <w:ind w:left="3540" w:hanging="300"/>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5">
      <w:start w:val="1"/>
      <w:numFmt w:val="lowerRoman"/>
      <w:lvlText w:val="%6."/>
      <w:lvlJc w:val="left"/>
      <w:pPr>
        <w:tabs>
          <w:tab w:val="num" w:pos="4271"/>
        </w:tabs>
        <w:ind w:left="4271" w:hanging="247"/>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6">
      <w:start w:val="1"/>
      <w:numFmt w:val="decimal"/>
      <w:lvlText w:val="%7."/>
      <w:lvlJc w:val="left"/>
      <w:pPr>
        <w:tabs>
          <w:tab w:val="num" w:pos="4980"/>
        </w:tabs>
        <w:ind w:left="4980" w:hanging="300"/>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7">
      <w:start w:val="1"/>
      <w:numFmt w:val="lowerLetter"/>
      <w:lvlText w:val="%8."/>
      <w:lvlJc w:val="left"/>
      <w:pPr>
        <w:tabs>
          <w:tab w:val="num" w:pos="5700"/>
        </w:tabs>
        <w:ind w:left="5700" w:hanging="300"/>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8">
      <w:start w:val="1"/>
      <w:numFmt w:val="lowerRoman"/>
      <w:lvlText w:val="%9."/>
      <w:lvlJc w:val="left"/>
      <w:pPr>
        <w:tabs>
          <w:tab w:val="num" w:pos="6431"/>
        </w:tabs>
        <w:ind w:left="6431" w:hanging="247"/>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abstractNum>
  <w:abstractNum w:abstractNumId="240" w15:restartNumberingAfterBreak="0">
    <w:nsid w:val="562A4D3D"/>
    <w:multiLevelType w:val="hybridMultilevel"/>
    <w:tmpl w:val="E7FE7B1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1" w15:restartNumberingAfterBreak="0">
    <w:nsid w:val="566778BB"/>
    <w:multiLevelType w:val="hybridMultilevel"/>
    <w:tmpl w:val="2E98EE58"/>
    <w:lvl w:ilvl="0" w:tplc="FFFFFFFF">
      <w:start w:val="1"/>
      <w:numFmt w:val="russianLower"/>
      <w:lvlText w:val="%1)"/>
      <w:lvlJc w:val="left"/>
      <w:pPr>
        <w:ind w:left="1040" w:hanging="360"/>
      </w:pPr>
      <w:rPr>
        <w:rFonts w:cs="Times New Roman" w:hint="default"/>
      </w:rPr>
    </w:lvl>
    <w:lvl w:ilvl="1" w:tplc="04190003" w:tentative="1">
      <w:start w:val="1"/>
      <w:numFmt w:val="bullet"/>
      <w:lvlText w:val="o"/>
      <w:lvlJc w:val="left"/>
      <w:pPr>
        <w:ind w:left="1760" w:hanging="360"/>
      </w:pPr>
      <w:rPr>
        <w:rFonts w:ascii="Courier New" w:hAnsi="Courier New" w:hint="default"/>
      </w:rPr>
    </w:lvl>
    <w:lvl w:ilvl="2" w:tplc="04190005" w:tentative="1">
      <w:start w:val="1"/>
      <w:numFmt w:val="bullet"/>
      <w:lvlText w:val=""/>
      <w:lvlJc w:val="left"/>
      <w:pPr>
        <w:ind w:left="2480" w:hanging="360"/>
      </w:pPr>
      <w:rPr>
        <w:rFonts w:ascii="Wingdings" w:hAnsi="Wingdings" w:hint="default"/>
      </w:rPr>
    </w:lvl>
    <w:lvl w:ilvl="3" w:tplc="04190001" w:tentative="1">
      <w:start w:val="1"/>
      <w:numFmt w:val="bullet"/>
      <w:lvlText w:val=""/>
      <w:lvlJc w:val="left"/>
      <w:pPr>
        <w:ind w:left="3200" w:hanging="360"/>
      </w:pPr>
      <w:rPr>
        <w:rFonts w:ascii="Symbol" w:hAnsi="Symbol" w:hint="default"/>
      </w:rPr>
    </w:lvl>
    <w:lvl w:ilvl="4" w:tplc="04190003" w:tentative="1">
      <w:start w:val="1"/>
      <w:numFmt w:val="bullet"/>
      <w:lvlText w:val="o"/>
      <w:lvlJc w:val="left"/>
      <w:pPr>
        <w:ind w:left="3920" w:hanging="360"/>
      </w:pPr>
      <w:rPr>
        <w:rFonts w:ascii="Courier New" w:hAnsi="Courier New" w:hint="default"/>
      </w:rPr>
    </w:lvl>
    <w:lvl w:ilvl="5" w:tplc="04190005" w:tentative="1">
      <w:start w:val="1"/>
      <w:numFmt w:val="bullet"/>
      <w:lvlText w:val=""/>
      <w:lvlJc w:val="left"/>
      <w:pPr>
        <w:ind w:left="4640" w:hanging="360"/>
      </w:pPr>
      <w:rPr>
        <w:rFonts w:ascii="Wingdings" w:hAnsi="Wingdings" w:hint="default"/>
      </w:rPr>
    </w:lvl>
    <w:lvl w:ilvl="6" w:tplc="04190001" w:tentative="1">
      <w:start w:val="1"/>
      <w:numFmt w:val="bullet"/>
      <w:lvlText w:val=""/>
      <w:lvlJc w:val="left"/>
      <w:pPr>
        <w:ind w:left="5360" w:hanging="360"/>
      </w:pPr>
      <w:rPr>
        <w:rFonts w:ascii="Symbol" w:hAnsi="Symbol" w:hint="default"/>
      </w:rPr>
    </w:lvl>
    <w:lvl w:ilvl="7" w:tplc="04190003" w:tentative="1">
      <w:start w:val="1"/>
      <w:numFmt w:val="bullet"/>
      <w:lvlText w:val="o"/>
      <w:lvlJc w:val="left"/>
      <w:pPr>
        <w:ind w:left="6080" w:hanging="360"/>
      </w:pPr>
      <w:rPr>
        <w:rFonts w:ascii="Courier New" w:hAnsi="Courier New" w:hint="default"/>
      </w:rPr>
    </w:lvl>
    <w:lvl w:ilvl="8" w:tplc="04190005" w:tentative="1">
      <w:start w:val="1"/>
      <w:numFmt w:val="bullet"/>
      <w:lvlText w:val=""/>
      <w:lvlJc w:val="left"/>
      <w:pPr>
        <w:ind w:left="6800" w:hanging="360"/>
      </w:pPr>
      <w:rPr>
        <w:rFonts w:ascii="Wingdings" w:hAnsi="Wingdings" w:hint="default"/>
      </w:rPr>
    </w:lvl>
  </w:abstractNum>
  <w:abstractNum w:abstractNumId="242" w15:restartNumberingAfterBreak="0">
    <w:nsid w:val="56E72DDD"/>
    <w:multiLevelType w:val="multilevel"/>
    <w:tmpl w:val="628E4374"/>
    <w:lvl w:ilvl="0">
      <w:start w:val="1"/>
      <w:numFmt w:val="decimal"/>
      <w:lvlText w:val="%1."/>
      <w:lvlJc w:val="left"/>
      <w:pPr>
        <w:tabs>
          <w:tab w:val="num" w:pos="317"/>
        </w:tabs>
        <w:ind w:left="317" w:hanging="317"/>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1">
      <w:start w:val="1"/>
      <w:numFmt w:val="lowerLetter"/>
      <w:lvlText w:val="%2."/>
      <w:lvlJc w:val="left"/>
      <w:pPr>
        <w:tabs>
          <w:tab w:val="num" w:pos="1380"/>
        </w:tabs>
        <w:ind w:left="1380" w:hanging="300"/>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2">
      <w:start w:val="1"/>
      <w:numFmt w:val="lowerRoman"/>
      <w:lvlText w:val="%3."/>
      <w:lvlJc w:val="left"/>
      <w:pPr>
        <w:tabs>
          <w:tab w:val="num" w:pos="2111"/>
        </w:tabs>
        <w:ind w:left="2111" w:hanging="247"/>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3">
      <w:start w:val="1"/>
      <w:numFmt w:val="decimal"/>
      <w:lvlText w:val="%4)"/>
      <w:lvlJc w:val="left"/>
      <w:pPr>
        <w:tabs>
          <w:tab w:val="num" w:pos="2820"/>
        </w:tabs>
        <w:ind w:left="2820" w:hanging="300"/>
      </w:pPr>
      <w:rPr>
        <w:caps w:val="0"/>
        <w:smallCaps w:val="0"/>
        <w:strike w:val="0"/>
        <w:dstrike w:val="0"/>
        <w:color w:val="000000"/>
        <w:spacing w:val="0"/>
        <w:kern w:val="0"/>
        <w:position w:val="0"/>
        <w:sz w:val="20"/>
        <w:szCs w:val="20"/>
        <w:u w:val="none" w:color="000000"/>
        <w:vertAlign w:val="baseline"/>
        <w:lang w:val="ru-RU"/>
      </w:rPr>
    </w:lvl>
    <w:lvl w:ilvl="4">
      <w:start w:val="1"/>
      <w:numFmt w:val="lowerLetter"/>
      <w:lvlText w:val="%5."/>
      <w:lvlJc w:val="left"/>
      <w:pPr>
        <w:tabs>
          <w:tab w:val="num" w:pos="3540"/>
        </w:tabs>
        <w:ind w:left="3540" w:hanging="300"/>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5">
      <w:start w:val="1"/>
      <w:numFmt w:val="lowerRoman"/>
      <w:lvlText w:val="%6."/>
      <w:lvlJc w:val="left"/>
      <w:pPr>
        <w:tabs>
          <w:tab w:val="num" w:pos="4271"/>
        </w:tabs>
        <w:ind w:left="4271" w:hanging="247"/>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6">
      <w:start w:val="1"/>
      <w:numFmt w:val="decimal"/>
      <w:lvlText w:val="%7."/>
      <w:lvlJc w:val="left"/>
      <w:pPr>
        <w:tabs>
          <w:tab w:val="num" w:pos="4980"/>
        </w:tabs>
        <w:ind w:left="4980" w:hanging="300"/>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7">
      <w:start w:val="1"/>
      <w:numFmt w:val="lowerLetter"/>
      <w:lvlText w:val="%8."/>
      <w:lvlJc w:val="left"/>
      <w:pPr>
        <w:tabs>
          <w:tab w:val="num" w:pos="5700"/>
        </w:tabs>
        <w:ind w:left="5700" w:hanging="300"/>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8">
      <w:start w:val="1"/>
      <w:numFmt w:val="lowerRoman"/>
      <w:lvlText w:val="%9."/>
      <w:lvlJc w:val="left"/>
      <w:pPr>
        <w:tabs>
          <w:tab w:val="num" w:pos="6431"/>
        </w:tabs>
        <w:ind w:left="6431" w:hanging="247"/>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abstractNum>
  <w:abstractNum w:abstractNumId="243" w15:restartNumberingAfterBreak="0">
    <w:nsid w:val="5714570A"/>
    <w:multiLevelType w:val="multilevel"/>
    <w:tmpl w:val="BF989FA6"/>
    <w:styleLink w:val="List48"/>
    <w:lvl w:ilvl="0">
      <w:start w:val="1"/>
      <w:numFmt w:val="decimal"/>
      <w:lvlText w:val="%1."/>
      <w:lvlJc w:val="left"/>
      <w:pPr>
        <w:tabs>
          <w:tab w:val="num" w:pos="317"/>
        </w:tabs>
        <w:ind w:left="317" w:hanging="317"/>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1">
      <w:start w:val="1"/>
      <w:numFmt w:val="lowerLetter"/>
      <w:lvlText w:val="%2."/>
      <w:lvlJc w:val="left"/>
      <w:pPr>
        <w:tabs>
          <w:tab w:val="num" w:pos="1380"/>
        </w:tabs>
        <w:ind w:left="1380" w:hanging="300"/>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2">
      <w:start w:val="1"/>
      <w:numFmt w:val="lowerRoman"/>
      <w:lvlText w:val="%3."/>
      <w:lvlJc w:val="left"/>
      <w:pPr>
        <w:tabs>
          <w:tab w:val="num" w:pos="2111"/>
        </w:tabs>
        <w:ind w:left="2111" w:hanging="247"/>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3">
      <w:start w:val="1"/>
      <w:numFmt w:val="decimal"/>
      <w:lvlText w:val="%4."/>
      <w:lvlJc w:val="left"/>
      <w:pPr>
        <w:tabs>
          <w:tab w:val="num" w:pos="2820"/>
        </w:tabs>
        <w:ind w:left="2820" w:hanging="300"/>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4">
      <w:start w:val="1"/>
      <w:numFmt w:val="lowerLetter"/>
      <w:lvlText w:val="%5."/>
      <w:lvlJc w:val="left"/>
      <w:pPr>
        <w:tabs>
          <w:tab w:val="num" w:pos="3540"/>
        </w:tabs>
        <w:ind w:left="3540" w:hanging="300"/>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5">
      <w:start w:val="1"/>
      <w:numFmt w:val="lowerRoman"/>
      <w:lvlText w:val="%6."/>
      <w:lvlJc w:val="left"/>
      <w:pPr>
        <w:tabs>
          <w:tab w:val="num" w:pos="4271"/>
        </w:tabs>
        <w:ind w:left="4271" w:hanging="247"/>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6">
      <w:start w:val="1"/>
      <w:numFmt w:val="decimal"/>
      <w:lvlText w:val="%7."/>
      <w:lvlJc w:val="left"/>
      <w:pPr>
        <w:tabs>
          <w:tab w:val="num" w:pos="4980"/>
        </w:tabs>
        <w:ind w:left="4980" w:hanging="300"/>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7">
      <w:start w:val="1"/>
      <w:numFmt w:val="lowerLetter"/>
      <w:lvlText w:val="%8."/>
      <w:lvlJc w:val="left"/>
      <w:pPr>
        <w:tabs>
          <w:tab w:val="num" w:pos="5700"/>
        </w:tabs>
        <w:ind w:left="5700" w:hanging="300"/>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8">
      <w:start w:val="1"/>
      <w:numFmt w:val="lowerRoman"/>
      <w:lvlText w:val="%9."/>
      <w:lvlJc w:val="left"/>
      <w:pPr>
        <w:tabs>
          <w:tab w:val="num" w:pos="6431"/>
        </w:tabs>
        <w:ind w:left="6431" w:hanging="247"/>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abstractNum>
  <w:abstractNum w:abstractNumId="244" w15:restartNumberingAfterBreak="0">
    <w:nsid w:val="572F7094"/>
    <w:multiLevelType w:val="hybridMultilevel"/>
    <w:tmpl w:val="7296765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5" w15:restartNumberingAfterBreak="0">
    <w:nsid w:val="581201C0"/>
    <w:multiLevelType w:val="multilevel"/>
    <w:tmpl w:val="BC8264CE"/>
    <w:styleLink w:val="List41"/>
    <w:lvl w:ilvl="0">
      <w:start w:val="1"/>
      <w:numFmt w:val="decimal"/>
      <w:lvlText w:val="%1."/>
      <w:lvlJc w:val="left"/>
      <w:pPr>
        <w:tabs>
          <w:tab w:val="num" w:pos="284"/>
        </w:tabs>
        <w:ind w:left="284" w:hanging="284"/>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1">
      <w:start w:val="1"/>
      <w:numFmt w:val="lowerLetter"/>
      <w:lvlText w:val="%2."/>
      <w:lvlJc w:val="left"/>
      <w:pPr>
        <w:tabs>
          <w:tab w:val="num" w:pos="1380"/>
        </w:tabs>
        <w:ind w:left="1380" w:hanging="300"/>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2">
      <w:start w:val="1"/>
      <w:numFmt w:val="lowerRoman"/>
      <w:lvlText w:val="%3."/>
      <w:lvlJc w:val="left"/>
      <w:pPr>
        <w:tabs>
          <w:tab w:val="num" w:pos="2111"/>
        </w:tabs>
        <w:ind w:left="2111" w:hanging="247"/>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3">
      <w:start w:val="1"/>
      <w:numFmt w:val="decimal"/>
      <w:lvlText w:val="%4."/>
      <w:lvlJc w:val="left"/>
      <w:pPr>
        <w:tabs>
          <w:tab w:val="num" w:pos="2820"/>
        </w:tabs>
        <w:ind w:left="2820" w:hanging="300"/>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4">
      <w:start w:val="1"/>
      <w:numFmt w:val="lowerLetter"/>
      <w:lvlText w:val="%5."/>
      <w:lvlJc w:val="left"/>
      <w:pPr>
        <w:tabs>
          <w:tab w:val="num" w:pos="3540"/>
        </w:tabs>
        <w:ind w:left="3540" w:hanging="300"/>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5">
      <w:start w:val="1"/>
      <w:numFmt w:val="lowerRoman"/>
      <w:lvlText w:val="%6."/>
      <w:lvlJc w:val="left"/>
      <w:pPr>
        <w:tabs>
          <w:tab w:val="num" w:pos="4271"/>
        </w:tabs>
        <w:ind w:left="4271" w:hanging="247"/>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6">
      <w:start w:val="1"/>
      <w:numFmt w:val="decimal"/>
      <w:lvlText w:val="%7."/>
      <w:lvlJc w:val="left"/>
      <w:pPr>
        <w:tabs>
          <w:tab w:val="num" w:pos="4980"/>
        </w:tabs>
        <w:ind w:left="4980" w:hanging="300"/>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7">
      <w:start w:val="1"/>
      <w:numFmt w:val="lowerLetter"/>
      <w:lvlText w:val="%8."/>
      <w:lvlJc w:val="left"/>
      <w:pPr>
        <w:tabs>
          <w:tab w:val="num" w:pos="5700"/>
        </w:tabs>
        <w:ind w:left="5700" w:hanging="300"/>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8">
      <w:start w:val="1"/>
      <w:numFmt w:val="lowerRoman"/>
      <w:lvlText w:val="%9."/>
      <w:lvlJc w:val="left"/>
      <w:pPr>
        <w:tabs>
          <w:tab w:val="num" w:pos="6431"/>
        </w:tabs>
        <w:ind w:left="6431" w:hanging="247"/>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abstractNum>
  <w:abstractNum w:abstractNumId="246" w15:restartNumberingAfterBreak="0">
    <w:nsid w:val="59ED1535"/>
    <w:multiLevelType w:val="hybridMultilevel"/>
    <w:tmpl w:val="E7FE7B1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7" w15:restartNumberingAfterBreak="0">
    <w:nsid w:val="5A594FE6"/>
    <w:multiLevelType w:val="hybridMultilevel"/>
    <w:tmpl w:val="6C4C0A66"/>
    <w:lvl w:ilvl="0" w:tplc="E1B8CC9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48" w15:restartNumberingAfterBreak="0">
    <w:nsid w:val="5A827509"/>
    <w:multiLevelType w:val="hybridMultilevel"/>
    <w:tmpl w:val="E7FE7B1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9" w15:restartNumberingAfterBreak="0">
    <w:nsid w:val="5A8E4F2E"/>
    <w:multiLevelType w:val="multilevel"/>
    <w:tmpl w:val="9F10C6CE"/>
    <w:lvl w:ilvl="0">
      <w:start w:val="1"/>
      <w:numFmt w:val="decimal"/>
      <w:lvlText w:val="%1."/>
      <w:lvlJc w:val="left"/>
      <w:rPr>
        <w:rFonts w:ascii="Garamond" w:eastAsia="Garamond" w:hAnsi="Garamond" w:cs="Garamond"/>
        <w:position w:val="0"/>
        <w:lang w:val="ru-RU"/>
      </w:rPr>
    </w:lvl>
    <w:lvl w:ilvl="1">
      <w:start w:val="1"/>
      <w:numFmt w:val="decimal"/>
      <w:lvlText w:val="%2."/>
      <w:lvlJc w:val="left"/>
      <w:rPr>
        <w:position w:val="0"/>
        <w:lang w:val="ru-RU"/>
      </w:rPr>
    </w:lvl>
    <w:lvl w:ilvl="2">
      <w:start w:val="1"/>
      <w:numFmt w:val="lowerRoman"/>
      <w:lvlText w:val="%3."/>
      <w:lvlJc w:val="left"/>
      <w:rPr>
        <w:rFonts w:ascii="Garamond" w:eastAsia="Garamond" w:hAnsi="Garamond" w:cs="Garamond"/>
        <w:position w:val="0"/>
        <w:lang w:val="ru-RU"/>
      </w:rPr>
    </w:lvl>
    <w:lvl w:ilvl="3">
      <w:start w:val="1"/>
      <w:numFmt w:val="decimal"/>
      <w:lvlText w:val="%4."/>
      <w:lvlJc w:val="left"/>
      <w:rPr>
        <w:rFonts w:ascii="Garamond" w:eastAsia="Garamond" w:hAnsi="Garamond" w:cs="Garamond"/>
        <w:position w:val="0"/>
        <w:lang w:val="ru-RU"/>
      </w:rPr>
    </w:lvl>
    <w:lvl w:ilvl="4">
      <w:start w:val="1"/>
      <w:numFmt w:val="lowerLetter"/>
      <w:lvlText w:val="%5."/>
      <w:lvlJc w:val="left"/>
      <w:rPr>
        <w:rFonts w:ascii="Garamond" w:eastAsia="Garamond" w:hAnsi="Garamond" w:cs="Garamond"/>
        <w:position w:val="0"/>
        <w:lang w:val="ru-RU"/>
      </w:rPr>
    </w:lvl>
    <w:lvl w:ilvl="5">
      <w:start w:val="1"/>
      <w:numFmt w:val="lowerRoman"/>
      <w:lvlText w:val="%6."/>
      <w:lvlJc w:val="left"/>
      <w:rPr>
        <w:rFonts w:ascii="Garamond" w:eastAsia="Garamond" w:hAnsi="Garamond" w:cs="Garamond"/>
        <w:position w:val="0"/>
        <w:lang w:val="ru-RU"/>
      </w:rPr>
    </w:lvl>
    <w:lvl w:ilvl="6">
      <w:start w:val="1"/>
      <w:numFmt w:val="decimal"/>
      <w:lvlText w:val="%7."/>
      <w:lvlJc w:val="left"/>
      <w:rPr>
        <w:rFonts w:ascii="Garamond" w:eastAsia="Garamond" w:hAnsi="Garamond" w:cs="Garamond"/>
        <w:position w:val="0"/>
        <w:lang w:val="ru-RU"/>
      </w:rPr>
    </w:lvl>
    <w:lvl w:ilvl="7">
      <w:start w:val="1"/>
      <w:numFmt w:val="lowerLetter"/>
      <w:lvlText w:val="%8."/>
      <w:lvlJc w:val="left"/>
      <w:rPr>
        <w:rFonts w:ascii="Garamond" w:eastAsia="Garamond" w:hAnsi="Garamond" w:cs="Garamond"/>
        <w:position w:val="0"/>
        <w:lang w:val="ru-RU"/>
      </w:rPr>
    </w:lvl>
    <w:lvl w:ilvl="8">
      <w:start w:val="1"/>
      <w:numFmt w:val="lowerRoman"/>
      <w:lvlText w:val="%9."/>
      <w:lvlJc w:val="left"/>
      <w:rPr>
        <w:rFonts w:ascii="Garamond" w:eastAsia="Garamond" w:hAnsi="Garamond" w:cs="Garamond"/>
        <w:position w:val="0"/>
        <w:lang w:val="ru-RU"/>
      </w:rPr>
    </w:lvl>
  </w:abstractNum>
  <w:abstractNum w:abstractNumId="250" w15:restartNumberingAfterBreak="0">
    <w:nsid w:val="5B190470"/>
    <w:multiLevelType w:val="multilevel"/>
    <w:tmpl w:val="CDFA8CD6"/>
    <w:lvl w:ilvl="0">
      <w:start w:val="1"/>
      <w:numFmt w:val="decimal"/>
      <w:lvlText w:val="%1."/>
      <w:lvlJc w:val="left"/>
      <w:pPr>
        <w:ind w:left="1080" w:hanging="360"/>
      </w:pPr>
      <w:rPr>
        <w:rFonts w:hint="default"/>
      </w:rPr>
    </w:lvl>
    <w:lvl w:ilvl="1">
      <w:start w:val="1"/>
      <w:numFmt w:val="decimal"/>
      <w:isLgl/>
      <w:lvlText w:val="%1.%2"/>
      <w:lvlJc w:val="left"/>
      <w:pPr>
        <w:ind w:left="1146" w:hanging="360"/>
      </w:pPr>
      <w:rPr>
        <w:rFonts w:hint="default"/>
      </w:rPr>
    </w:lvl>
    <w:lvl w:ilvl="2">
      <w:start w:val="1"/>
      <w:numFmt w:val="decimal"/>
      <w:isLgl/>
      <w:lvlText w:val="%1.%2.%3"/>
      <w:lvlJc w:val="left"/>
      <w:pPr>
        <w:ind w:left="1572" w:hanging="720"/>
      </w:pPr>
      <w:rPr>
        <w:rFonts w:hint="default"/>
      </w:rPr>
    </w:lvl>
    <w:lvl w:ilvl="3">
      <w:start w:val="1"/>
      <w:numFmt w:val="decimal"/>
      <w:isLgl/>
      <w:lvlText w:val="%1.%2.%3.%4"/>
      <w:lvlJc w:val="left"/>
      <w:pPr>
        <w:ind w:left="1638" w:hanging="720"/>
      </w:pPr>
      <w:rPr>
        <w:rFonts w:hint="default"/>
      </w:rPr>
    </w:lvl>
    <w:lvl w:ilvl="4">
      <w:start w:val="1"/>
      <w:numFmt w:val="decimal"/>
      <w:isLgl/>
      <w:lvlText w:val="%1.%2.%3.%4.%5"/>
      <w:lvlJc w:val="left"/>
      <w:pPr>
        <w:ind w:left="2064" w:hanging="1080"/>
      </w:pPr>
      <w:rPr>
        <w:rFonts w:hint="default"/>
      </w:rPr>
    </w:lvl>
    <w:lvl w:ilvl="5">
      <w:start w:val="1"/>
      <w:numFmt w:val="decimal"/>
      <w:isLgl/>
      <w:lvlText w:val="%1.%2.%3.%4.%5.%6"/>
      <w:lvlJc w:val="left"/>
      <w:pPr>
        <w:ind w:left="2130" w:hanging="1080"/>
      </w:pPr>
      <w:rPr>
        <w:rFonts w:hint="default"/>
      </w:rPr>
    </w:lvl>
    <w:lvl w:ilvl="6">
      <w:start w:val="1"/>
      <w:numFmt w:val="decimal"/>
      <w:isLgl/>
      <w:lvlText w:val="%1.%2.%3.%4.%5.%6.%7"/>
      <w:lvlJc w:val="left"/>
      <w:pPr>
        <w:ind w:left="2556" w:hanging="1440"/>
      </w:pPr>
      <w:rPr>
        <w:rFonts w:hint="default"/>
      </w:rPr>
    </w:lvl>
    <w:lvl w:ilvl="7">
      <w:start w:val="1"/>
      <w:numFmt w:val="decimal"/>
      <w:isLgl/>
      <w:lvlText w:val="%1.%2.%3.%4.%5.%6.%7.%8"/>
      <w:lvlJc w:val="left"/>
      <w:pPr>
        <w:ind w:left="2622" w:hanging="1440"/>
      </w:pPr>
      <w:rPr>
        <w:rFonts w:hint="default"/>
      </w:rPr>
    </w:lvl>
    <w:lvl w:ilvl="8">
      <w:start w:val="1"/>
      <w:numFmt w:val="decimal"/>
      <w:isLgl/>
      <w:lvlText w:val="%1.%2.%3.%4.%5.%6.%7.%8.%9"/>
      <w:lvlJc w:val="left"/>
      <w:pPr>
        <w:ind w:left="3048" w:hanging="1800"/>
      </w:pPr>
      <w:rPr>
        <w:rFonts w:hint="default"/>
      </w:rPr>
    </w:lvl>
  </w:abstractNum>
  <w:abstractNum w:abstractNumId="251" w15:restartNumberingAfterBreak="0">
    <w:nsid w:val="5BDA149C"/>
    <w:multiLevelType w:val="multilevel"/>
    <w:tmpl w:val="4330F43A"/>
    <w:lvl w:ilvl="0">
      <w:start w:val="1"/>
      <w:numFmt w:val="decimal"/>
      <w:lvlText w:val="%1."/>
      <w:lvlJc w:val="left"/>
      <w:pPr>
        <w:tabs>
          <w:tab w:val="num" w:pos="317"/>
        </w:tabs>
        <w:ind w:left="317" w:hanging="317"/>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1">
      <w:start w:val="1"/>
      <w:numFmt w:val="lowerLetter"/>
      <w:lvlText w:val="%2."/>
      <w:lvlJc w:val="left"/>
      <w:pPr>
        <w:tabs>
          <w:tab w:val="num" w:pos="1380"/>
        </w:tabs>
        <w:ind w:left="1380" w:hanging="300"/>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2">
      <w:start w:val="1"/>
      <w:numFmt w:val="lowerRoman"/>
      <w:lvlText w:val="%3."/>
      <w:lvlJc w:val="left"/>
      <w:pPr>
        <w:tabs>
          <w:tab w:val="num" w:pos="2111"/>
        </w:tabs>
        <w:ind w:left="2111" w:hanging="247"/>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3">
      <w:start w:val="1"/>
      <w:numFmt w:val="decimal"/>
      <w:lvlText w:val="%4."/>
      <w:lvlJc w:val="left"/>
      <w:pPr>
        <w:tabs>
          <w:tab w:val="num" w:pos="2820"/>
        </w:tabs>
        <w:ind w:left="2820" w:hanging="300"/>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4">
      <w:start w:val="1"/>
      <w:numFmt w:val="lowerLetter"/>
      <w:lvlText w:val="%5."/>
      <w:lvlJc w:val="left"/>
      <w:pPr>
        <w:tabs>
          <w:tab w:val="num" w:pos="3540"/>
        </w:tabs>
        <w:ind w:left="3540" w:hanging="300"/>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5">
      <w:start w:val="1"/>
      <w:numFmt w:val="lowerRoman"/>
      <w:lvlText w:val="%6."/>
      <w:lvlJc w:val="left"/>
      <w:pPr>
        <w:tabs>
          <w:tab w:val="num" w:pos="4271"/>
        </w:tabs>
        <w:ind w:left="4271" w:hanging="247"/>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6">
      <w:start w:val="1"/>
      <w:numFmt w:val="decimal"/>
      <w:lvlText w:val="%7."/>
      <w:lvlJc w:val="left"/>
      <w:pPr>
        <w:tabs>
          <w:tab w:val="num" w:pos="4980"/>
        </w:tabs>
        <w:ind w:left="4980" w:hanging="300"/>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7">
      <w:start w:val="1"/>
      <w:numFmt w:val="lowerLetter"/>
      <w:lvlText w:val="%8."/>
      <w:lvlJc w:val="left"/>
      <w:pPr>
        <w:tabs>
          <w:tab w:val="num" w:pos="5700"/>
        </w:tabs>
        <w:ind w:left="5700" w:hanging="300"/>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8">
      <w:start w:val="1"/>
      <w:numFmt w:val="lowerRoman"/>
      <w:lvlText w:val="%9."/>
      <w:lvlJc w:val="left"/>
      <w:pPr>
        <w:tabs>
          <w:tab w:val="num" w:pos="6431"/>
        </w:tabs>
        <w:ind w:left="6431" w:hanging="247"/>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abstractNum>
  <w:abstractNum w:abstractNumId="252" w15:restartNumberingAfterBreak="0">
    <w:nsid w:val="5C0869B9"/>
    <w:multiLevelType w:val="multilevel"/>
    <w:tmpl w:val="40569DBA"/>
    <w:styleLink w:val="List55"/>
    <w:lvl w:ilvl="0">
      <w:start w:val="1"/>
      <w:numFmt w:val="decimal"/>
      <w:lvlText w:val="%1."/>
      <w:lvlJc w:val="left"/>
      <w:pPr>
        <w:tabs>
          <w:tab w:val="num" w:pos="317"/>
        </w:tabs>
        <w:ind w:left="317" w:hanging="317"/>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1">
      <w:start w:val="1"/>
      <w:numFmt w:val="lowerLetter"/>
      <w:lvlText w:val="%2."/>
      <w:lvlJc w:val="left"/>
      <w:pPr>
        <w:tabs>
          <w:tab w:val="num" w:pos="1380"/>
        </w:tabs>
        <w:ind w:left="1380" w:hanging="300"/>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2">
      <w:start w:val="1"/>
      <w:numFmt w:val="lowerRoman"/>
      <w:lvlText w:val="%3."/>
      <w:lvlJc w:val="left"/>
      <w:pPr>
        <w:tabs>
          <w:tab w:val="num" w:pos="2111"/>
        </w:tabs>
        <w:ind w:left="2111" w:hanging="247"/>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3">
      <w:start w:val="1"/>
      <w:numFmt w:val="decimal"/>
      <w:lvlText w:val="%4."/>
      <w:lvlJc w:val="left"/>
      <w:pPr>
        <w:tabs>
          <w:tab w:val="num" w:pos="2820"/>
        </w:tabs>
        <w:ind w:left="2820" w:hanging="300"/>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4">
      <w:start w:val="1"/>
      <w:numFmt w:val="lowerLetter"/>
      <w:lvlText w:val="%5."/>
      <w:lvlJc w:val="left"/>
      <w:pPr>
        <w:tabs>
          <w:tab w:val="num" w:pos="3540"/>
        </w:tabs>
        <w:ind w:left="3540" w:hanging="300"/>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5">
      <w:start w:val="1"/>
      <w:numFmt w:val="lowerRoman"/>
      <w:lvlText w:val="%6."/>
      <w:lvlJc w:val="left"/>
      <w:pPr>
        <w:tabs>
          <w:tab w:val="num" w:pos="4271"/>
        </w:tabs>
        <w:ind w:left="4271" w:hanging="247"/>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6">
      <w:start w:val="1"/>
      <w:numFmt w:val="decimal"/>
      <w:lvlText w:val="%7."/>
      <w:lvlJc w:val="left"/>
      <w:pPr>
        <w:tabs>
          <w:tab w:val="num" w:pos="4980"/>
        </w:tabs>
        <w:ind w:left="4980" w:hanging="300"/>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7">
      <w:start w:val="1"/>
      <w:numFmt w:val="lowerLetter"/>
      <w:lvlText w:val="%8."/>
      <w:lvlJc w:val="left"/>
      <w:pPr>
        <w:tabs>
          <w:tab w:val="num" w:pos="5700"/>
        </w:tabs>
        <w:ind w:left="5700" w:hanging="300"/>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8">
      <w:start w:val="1"/>
      <w:numFmt w:val="lowerRoman"/>
      <w:lvlText w:val="%9."/>
      <w:lvlJc w:val="left"/>
      <w:pPr>
        <w:tabs>
          <w:tab w:val="num" w:pos="6431"/>
        </w:tabs>
        <w:ind w:left="6431" w:hanging="247"/>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abstractNum>
  <w:abstractNum w:abstractNumId="253" w15:restartNumberingAfterBreak="0">
    <w:nsid w:val="5C0D2C30"/>
    <w:multiLevelType w:val="multilevel"/>
    <w:tmpl w:val="19DEB1B4"/>
    <w:lvl w:ilvl="0">
      <w:start w:val="1"/>
      <w:numFmt w:val="decimal"/>
      <w:lvlText w:val="%1."/>
      <w:lvlJc w:val="left"/>
      <w:pPr>
        <w:tabs>
          <w:tab w:val="num" w:pos="317"/>
        </w:tabs>
        <w:ind w:left="317" w:hanging="317"/>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1">
      <w:start w:val="1"/>
      <w:numFmt w:val="lowerLetter"/>
      <w:lvlText w:val="%2."/>
      <w:lvlJc w:val="left"/>
      <w:pPr>
        <w:tabs>
          <w:tab w:val="num" w:pos="1380"/>
        </w:tabs>
        <w:ind w:left="1380" w:hanging="300"/>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2">
      <w:start w:val="1"/>
      <w:numFmt w:val="lowerRoman"/>
      <w:lvlText w:val="%3."/>
      <w:lvlJc w:val="left"/>
      <w:pPr>
        <w:tabs>
          <w:tab w:val="num" w:pos="2111"/>
        </w:tabs>
        <w:ind w:left="2111" w:hanging="247"/>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3">
      <w:start w:val="1"/>
      <w:numFmt w:val="decimal"/>
      <w:lvlText w:val="%4."/>
      <w:lvlJc w:val="left"/>
      <w:pPr>
        <w:tabs>
          <w:tab w:val="num" w:pos="2820"/>
        </w:tabs>
        <w:ind w:left="2820" w:hanging="300"/>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4">
      <w:start w:val="1"/>
      <w:numFmt w:val="lowerLetter"/>
      <w:lvlText w:val="%5."/>
      <w:lvlJc w:val="left"/>
      <w:pPr>
        <w:tabs>
          <w:tab w:val="num" w:pos="3540"/>
        </w:tabs>
        <w:ind w:left="3540" w:hanging="300"/>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5">
      <w:start w:val="1"/>
      <w:numFmt w:val="lowerRoman"/>
      <w:lvlText w:val="%6."/>
      <w:lvlJc w:val="left"/>
      <w:pPr>
        <w:tabs>
          <w:tab w:val="num" w:pos="4271"/>
        </w:tabs>
        <w:ind w:left="4271" w:hanging="247"/>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6">
      <w:start w:val="1"/>
      <w:numFmt w:val="decimal"/>
      <w:lvlText w:val="%7."/>
      <w:lvlJc w:val="left"/>
      <w:pPr>
        <w:tabs>
          <w:tab w:val="num" w:pos="4980"/>
        </w:tabs>
        <w:ind w:left="4980" w:hanging="300"/>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7">
      <w:start w:val="1"/>
      <w:numFmt w:val="lowerLetter"/>
      <w:lvlText w:val="%8."/>
      <w:lvlJc w:val="left"/>
      <w:pPr>
        <w:tabs>
          <w:tab w:val="num" w:pos="5700"/>
        </w:tabs>
        <w:ind w:left="5700" w:hanging="300"/>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8">
      <w:start w:val="1"/>
      <w:numFmt w:val="lowerRoman"/>
      <w:lvlText w:val="%9."/>
      <w:lvlJc w:val="left"/>
      <w:pPr>
        <w:tabs>
          <w:tab w:val="num" w:pos="6431"/>
        </w:tabs>
        <w:ind w:left="6431" w:hanging="247"/>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abstractNum>
  <w:abstractNum w:abstractNumId="254" w15:restartNumberingAfterBreak="0">
    <w:nsid w:val="5C3B1571"/>
    <w:multiLevelType w:val="multilevel"/>
    <w:tmpl w:val="43489F78"/>
    <w:lvl w:ilvl="0">
      <w:start w:val="1"/>
      <w:numFmt w:val="decimal"/>
      <w:lvlText w:val="%1."/>
      <w:lvlJc w:val="left"/>
      <w:pPr>
        <w:tabs>
          <w:tab w:val="num" w:pos="317"/>
        </w:tabs>
        <w:ind w:left="317" w:hanging="317"/>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1">
      <w:start w:val="1"/>
      <w:numFmt w:val="lowerLetter"/>
      <w:lvlText w:val="%2."/>
      <w:lvlJc w:val="left"/>
      <w:pPr>
        <w:tabs>
          <w:tab w:val="num" w:pos="1380"/>
        </w:tabs>
        <w:ind w:left="1380" w:hanging="300"/>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2">
      <w:start w:val="1"/>
      <w:numFmt w:val="lowerRoman"/>
      <w:lvlText w:val="%3."/>
      <w:lvlJc w:val="left"/>
      <w:pPr>
        <w:tabs>
          <w:tab w:val="num" w:pos="2111"/>
        </w:tabs>
        <w:ind w:left="2111" w:hanging="247"/>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3">
      <w:start w:val="1"/>
      <w:numFmt w:val="decimal"/>
      <w:lvlText w:val="%4."/>
      <w:lvlJc w:val="left"/>
      <w:pPr>
        <w:tabs>
          <w:tab w:val="num" w:pos="2820"/>
        </w:tabs>
        <w:ind w:left="2820" w:hanging="300"/>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4">
      <w:start w:val="1"/>
      <w:numFmt w:val="lowerLetter"/>
      <w:lvlText w:val="%5."/>
      <w:lvlJc w:val="left"/>
      <w:pPr>
        <w:tabs>
          <w:tab w:val="num" w:pos="3540"/>
        </w:tabs>
        <w:ind w:left="3540" w:hanging="300"/>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5">
      <w:start w:val="1"/>
      <w:numFmt w:val="lowerRoman"/>
      <w:lvlText w:val="%6."/>
      <w:lvlJc w:val="left"/>
      <w:pPr>
        <w:tabs>
          <w:tab w:val="num" w:pos="4271"/>
        </w:tabs>
        <w:ind w:left="4271" w:hanging="247"/>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6">
      <w:start w:val="1"/>
      <w:numFmt w:val="decimal"/>
      <w:lvlText w:val="%7."/>
      <w:lvlJc w:val="left"/>
      <w:pPr>
        <w:tabs>
          <w:tab w:val="num" w:pos="4980"/>
        </w:tabs>
        <w:ind w:left="4980" w:hanging="300"/>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7">
      <w:start w:val="1"/>
      <w:numFmt w:val="lowerLetter"/>
      <w:lvlText w:val="%8."/>
      <w:lvlJc w:val="left"/>
      <w:pPr>
        <w:tabs>
          <w:tab w:val="num" w:pos="5700"/>
        </w:tabs>
        <w:ind w:left="5700" w:hanging="300"/>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8">
      <w:start w:val="1"/>
      <w:numFmt w:val="lowerRoman"/>
      <w:lvlText w:val="%9."/>
      <w:lvlJc w:val="left"/>
      <w:pPr>
        <w:tabs>
          <w:tab w:val="num" w:pos="6431"/>
        </w:tabs>
        <w:ind w:left="6431" w:hanging="247"/>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abstractNum>
  <w:abstractNum w:abstractNumId="255" w15:restartNumberingAfterBreak="0">
    <w:nsid w:val="5CC81C20"/>
    <w:multiLevelType w:val="multilevel"/>
    <w:tmpl w:val="4AF07134"/>
    <w:lvl w:ilvl="0">
      <w:start w:val="4"/>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56" w15:restartNumberingAfterBreak="0">
    <w:nsid w:val="5D431306"/>
    <w:multiLevelType w:val="multilevel"/>
    <w:tmpl w:val="70EEEF16"/>
    <w:lvl w:ilvl="0">
      <w:start w:val="1"/>
      <w:numFmt w:val="decimal"/>
      <w:lvlText w:val="%1."/>
      <w:lvlJc w:val="left"/>
      <w:pPr>
        <w:tabs>
          <w:tab w:val="num" w:pos="317"/>
        </w:tabs>
        <w:ind w:left="317" w:hanging="317"/>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1">
      <w:start w:val="1"/>
      <w:numFmt w:val="lowerLetter"/>
      <w:lvlText w:val="%2."/>
      <w:lvlJc w:val="left"/>
      <w:pPr>
        <w:tabs>
          <w:tab w:val="num" w:pos="1380"/>
        </w:tabs>
        <w:ind w:left="1380" w:hanging="300"/>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2">
      <w:start w:val="1"/>
      <w:numFmt w:val="lowerRoman"/>
      <w:lvlText w:val="%3."/>
      <w:lvlJc w:val="left"/>
      <w:pPr>
        <w:tabs>
          <w:tab w:val="num" w:pos="2111"/>
        </w:tabs>
        <w:ind w:left="2111" w:hanging="247"/>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3">
      <w:start w:val="1"/>
      <w:numFmt w:val="decimal"/>
      <w:lvlText w:val="%4."/>
      <w:lvlJc w:val="left"/>
      <w:pPr>
        <w:tabs>
          <w:tab w:val="num" w:pos="2820"/>
        </w:tabs>
        <w:ind w:left="2820" w:hanging="300"/>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4">
      <w:start w:val="1"/>
      <w:numFmt w:val="lowerLetter"/>
      <w:lvlText w:val="%5."/>
      <w:lvlJc w:val="left"/>
      <w:pPr>
        <w:tabs>
          <w:tab w:val="num" w:pos="3540"/>
        </w:tabs>
        <w:ind w:left="3540" w:hanging="300"/>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5">
      <w:start w:val="1"/>
      <w:numFmt w:val="lowerRoman"/>
      <w:lvlText w:val="%6."/>
      <w:lvlJc w:val="left"/>
      <w:pPr>
        <w:tabs>
          <w:tab w:val="num" w:pos="4271"/>
        </w:tabs>
        <w:ind w:left="4271" w:hanging="247"/>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6">
      <w:start w:val="1"/>
      <w:numFmt w:val="decimal"/>
      <w:lvlText w:val="%7."/>
      <w:lvlJc w:val="left"/>
      <w:pPr>
        <w:tabs>
          <w:tab w:val="num" w:pos="4980"/>
        </w:tabs>
        <w:ind w:left="4980" w:hanging="300"/>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7">
      <w:start w:val="1"/>
      <w:numFmt w:val="lowerLetter"/>
      <w:lvlText w:val="%8."/>
      <w:lvlJc w:val="left"/>
      <w:pPr>
        <w:tabs>
          <w:tab w:val="num" w:pos="5700"/>
        </w:tabs>
        <w:ind w:left="5700" w:hanging="300"/>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8">
      <w:start w:val="1"/>
      <w:numFmt w:val="lowerRoman"/>
      <w:lvlText w:val="%9."/>
      <w:lvlJc w:val="left"/>
      <w:pPr>
        <w:tabs>
          <w:tab w:val="num" w:pos="6431"/>
        </w:tabs>
        <w:ind w:left="6431" w:hanging="247"/>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abstractNum>
  <w:abstractNum w:abstractNumId="257" w15:restartNumberingAfterBreak="0">
    <w:nsid w:val="5D5378DB"/>
    <w:multiLevelType w:val="hybridMultilevel"/>
    <w:tmpl w:val="087E332E"/>
    <w:lvl w:ilvl="0" w:tplc="50D09DF4">
      <w:start w:val="1"/>
      <w:numFmt w:val="decimal"/>
      <w:lvlText w:val="%1)"/>
      <w:lvlJc w:val="left"/>
      <w:pPr>
        <w:ind w:left="1206" w:hanging="360"/>
      </w:pPr>
      <w:rPr>
        <w:rFonts w:hint="default"/>
      </w:rPr>
    </w:lvl>
    <w:lvl w:ilvl="1" w:tplc="04190019" w:tentative="1">
      <w:start w:val="1"/>
      <w:numFmt w:val="lowerLetter"/>
      <w:lvlText w:val="%2."/>
      <w:lvlJc w:val="left"/>
      <w:pPr>
        <w:ind w:left="1926" w:hanging="360"/>
      </w:pPr>
    </w:lvl>
    <w:lvl w:ilvl="2" w:tplc="0419001B" w:tentative="1">
      <w:start w:val="1"/>
      <w:numFmt w:val="lowerRoman"/>
      <w:lvlText w:val="%3."/>
      <w:lvlJc w:val="right"/>
      <w:pPr>
        <w:ind w:left="2646" w:hanging="180"/>
      </w:pPr>
    </w:lvl>
    <w:lvl w:ilvl="3" w:tplc="0419000F" w:tentative="1">
      <w:start w:val="1"/>
      <w:numFmt w:val="decimal"/>
      <w:lvlText w:val="%4."/>
      <w:lvlJc w:val="left"/>
      <w:pPr>
        <w:ind w:left="3366" w:hanging="360"/>
      </w:pPr>
    </w:lvl>
    <w:lvl w:ilvl="4" w:tplc="04190019" w:tentative="1">
      <w:start w:val="1"/>
      <w:numFmt w:val="lowerLetter"/>
      <w:lvlText w:val="%5."/>
      <w:lvlJc w:val="left"/>
      <w:pPr>
        <w:ind w:left="4086" w:hanging="360"/>
      </w:pPr>
    </w:lvl>
    <w:lvl w:ilvl="5" w:tplc="0419001B" w:tentative="1">
      <w:start w:val="1"/>
      <w:numFmt w:val="lowerRoman"/>
      <w:lvlText w:val="%6."/>
      <w:lvlJc w:val="right"/>
      <w:pPr>
        <w:ind w:left="4806" w:hanging="180"/>
      </w:pPr>
    </w:lvl>
    <w:lvl w:ilvl="6" w:tplc="0419000F" w:tentative="1">
      <w:start w:val="1"/>
      <w:numFmt w:val="decimal"/>
      <w:lvlText w:val="%7."/>
      <w:lvlJc w:val="left"/>
      <w:pPr>
        <w:ind w:left="5526" w:hanging="360"/>
      </w:pPr>
    </w:lvl>
    <w:lvl w:ilvl="7" w:tplc="04190019" w:tentative="1">
      <w:start w:val="1"/>
      <w:numFmt w:val="lowerLetter"/>
      <w:lvlText w:val="%8."/>
      <w:lvlJc w:val="left"/>
      <w:pPr>
        <w:ind w:left="6246" w:hanging="360"/>
      </w:pPr>
    </w:lvl>
    <w:lvl w:ilvl="8" w:tplc="0419001B" w:tentative="1">
      <w:start w:val="1"/>
      <w:numFmt w:val="lowerRoman"/>
      <w:lvlText w:val="%9."/>
      <w:lvlJc w:val="right"/>
      <w:pPr>
        <w:ind w:left="6966" w:hanging="180"/>
      </w:pPr>
    </w:lvl>
  </w:abstractNum>
  <w:abstractNum w:abstractNumId="258" w15:restartNumberingAfterBreak="0">
    <w:nsid w:val="5D670761"/>
    <w:multiLevelType w:val="multilevel"/>
    <w:tmpl w:val="9FD8AF3E"/>
    <w:styleLink w:val="List45"/>
    <w:lvl w:ilvl="0">
      <w:start w:val="1"/>
      <w:numFmt w:val="decimal"/>
      <w:lvlText w:val="%1."/>
      <w:lvlJc w:val="left"/>
      <w:pPr>
        <w:tabs>
          <w:tab w:val="num" w:pos="317"/>
        </w:tabs>
        <w:ind w:left="317" w:hanging="317"/>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1">
      <w:start w:val="1"/>
      <w:numFmt w:val="lowerLetter"/>
      <w:lvlText w:val="%2."/>
      <w:lvlJc w:val="left"/>
      <w:pPr>
        <w:tabs>
          <w:tab w:val="num" w:pos="1380"/>
        </w:tabs>
        <w:ind w:left="1380" w:hanging="300"/>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2">
      <w:start w:val="1"/>
      <w:numFmt w:val="lowerRoman"/>
      <w:lvlText w:val="%3."/>
      <w:lvlJc w:val="left"/>
      <w:pPr>
        <w:tabs>
          <w:tab w:val="num" w:pos="2111"/>
        </w:tabs>
        <w:ind w:left="2111" w:hanging="247"/>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3">
      <w:start w:val="1"/>
      <w:numFmt w:val="decimal"/>
      <w:lvlText w:val="%4."/>
      <w:lvlJc w:val="left"/>
      <w:pPr>
        <w:tabs>
          <w:tab w:val="num" w:pos="2820"/>
        </w:tabs>
        <w:ind w:left="2820" w:hanging="300"/>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4">
      <w:start w:val="1"/>
      <w:numFmt w:val="lowerLetter"/>
      <w:lvlText w:val="%5."/>
      <w:lvlJc w:val="left"/>
      <w:pPr>
        <w:tabs>
          <w:tab w:val="num" w:pos="3540"/>
        </w:tabs>
        <w:ind w:left="3540" w:hanging="300"/>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5">
      <w:start w:val="1"/>
      <w:numFmt w:val="lowerRoman"/>
      <w:lvlText w:val="%6."/>
      <w:lvlJc w:val="left"/>
      <w:pPr>
        <w:tabs>
          <w:tab w:val="num" w:pos="4271"/>
        </w:tabs>
        <w:ind w:left="4271" w:hanging="247"/>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6">
      <w:start w:val="1"/>
      <w:numFmt w:val="decimal"/>
      <w:lvlText w:val="%7."/>
      <w:lvlJc w:val="left"/>
      <w:pPr>
        <w:tabs>
          <w:tab w:val="num" w:pos="4980"/>
        </w:tabs>
        <w:ind w:left="4980" w:hanging="300"/>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7">
      <w:start w:val="1"/>
      <w:numFmt w:val="lowerLetter"/>
      <w:lvlText w:val="%8."/>
      <w:lvlJc w:val="left"/>
      <w:pPr>
        <w:tabs>
          <w:tab w:val="num" w:pos="5700"/>
        </w:tabs>
        <w:ind w:left="5700" w:hanging="300"/>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8">
      <w:start w:val="1"/>
      <w:numFmt w:val="lowerRoman"/>
      <w:lvlText w:val="%9."/>
      <w:lvlJc w:val="left"/>
      <w:pPr>
        <w:tabs>
          <w:tab w:val="num" w:pos="6431"/>
        </w:tabs>
        <w:ind w:left="6431" w:hanging="247"/>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abstractNum>
  <w:abstractNum w:abstractNumId="259" w15:restartNumberingAfterBreak="0">
    <w:nsid w:val="5DDD28FC"/>
    <w:multiLevelType w:val="hybridMultilevel"/>
    <w:tmpl w:val="879A8D4A"/>
    <w:lvl w:ilvl="0" w:tplc="D9AA02EC">
      <w:start w:val="1"/>
      <w:numFmt w:val="decimal"/>
      <w:lvlText w:val="%1."/>
      <w:lvlJc w:val="left"/>
      <w:pPr>
        <w:ind w:left="360" w:hanging="360"/>
      </w:pPr>
      <w:rPr>
        <w:rFonts w:cs="Times New Roman" w:hint="default"/>
      </w:rPr>
    </w:lvl>
    <w:lvl w:ilvl="1" w:tplc="C7EC606C">
      <w:start w:val="1"/>
      <w:numFmt w:val="decimal"/>
      <w:lvlText w:val="%2."/>
      <w:lvlJc w:val="left"/>
      <w:pPr>
        <w:ind w:left="799" w:hanging="570"/>
      </w:pPr>
      <w:rPr>
        <w:rFonts w:cs="Times New Roman" w:hint="default"/>
      </w:rPr>
    </w:lvl>
    <w:lvl w:ilvl="2" w:tplc="0419001B" w:tentative="1">
      <w:start w:val="1"/>
      <w:numFmt w:val="lowerRoman"/>
      <w:lvlText w:val="%3."/>
      <w:lvlJc w:val="right"/>
      <w:pPr>
        <w:ind w:left="1309" w:hanging="180"/>
      </w:pPr>
      <w:rPr>
        <w:rFonts w:cs="Times New Roman"/>
      </w:rPr>
    </w:lvl>
    <w:lvl w:ilvl="3" w:tplc="0419000F" w:tentative="1">
      <w:start w:val="1"/>
      <w:numFmt w:val="decimal"/>
      <w:lvlText w:val="%4."/>
      <w:lvlJc w:val="left"/>
      <w:pPr>
        <w:ind w:left="2029" w:hanging="360"/>
      </w:pPr>
      <w:rPr>
        <w:rFonts w:cs="Times New Roman"/>
      </w:rPr>
    </w:lvl>
    <w:lvl w:ilvl="4" w:tplc="04190019" w:tentative="1">
      <w:start w:val="1"/>
      <w:numFmt w:val="lowerLetter"/>
      <w:lvlText w:val="%5."/>
      <w:lvlJc w:val="left"/>
      <w:pPr>
        <w:ind w:left="2749" w:hanging="360"/>
      </w:pPr>
      <w:rPr>
        <w:rFonts w:cs="Times New Roman"/>
      </w:rPr>
    </w:lvl>
    <w:lvl w:ilvl="5" w:tplc="0419001B" w:tentative="1">
      <w:start w:val="1"/>
      <w:numFmt w:val="lowerRoman"/>
      <w:lvlText w:val="%6."/>
      <w:lvlJc w:val="right"/>
      <w:pPr>
        <w:ind w:left="3469" w:hanging="180"/>
      </w:pPr>
      <w:rPr>
        <w:rFonts w:cs="Times New Roman"/>
      </w:rPr>
    </w:lvl>
    <w:lvl w:ilvl="6" w:tplc="0419000F" w:tentative="1">
      <w:start w:val="1"/>
      <w:numFmt w:val="decimal"/>
      <w:lvlText w:val="%7."/>
      <w:lvlJc w:val="left"/>
      <w:pPr>
        <w:ind w:left="4189" w:hanging="360"/>
      </w:pPr>
      <w:rPr>
        <w:rFonts w:cs="Times New Roman"/>
      </w:rPr>
    </w:lvl>
    <w:lvl w:ilvl="7" w:tplc="04190019" w:tentative="1">
      <w:start w:val="1"/>
      <w:numFmt w:val="lowerLetter"/>
      <w:lvlText w:val="%8."/>
      <w:lvlJc w:val="left"/>
      <w:pPr>
        <w:ind w:left="4909" w:hanging="360"/>
      </w:pPr>
      <w:rPr>
        <w:rFonts w:cs="Times New Roman"/>
      </w:rPr>
    </w:lvl>
    <w:lvl w:ilvl="8" w:tplc="0419001B" w:tentative="1">
      <w:start w:val="1"/>
      <w:numFmt w:val="lowerRoman"/>
      <w:lvlText w:val="%9."/>
      <w:lvlJc w:val="right"/>
      <w:pPr>
        <w:ind w:left="5629" w:hanging="180"/>
      </w:pPr>
      <w:rPr>
        <w:rFonts w:cs="Times New Roman"/>
      </w:rPr>
    </w:lvl>
  </w:abstractNum>
  <w:abstractNum w:abstractNumId="260" w15:restartNumberingAfterBreak="0">
    <w:nsid w:val="5E761632"/>
    <w:multiLevelType w:val="hybridMultilevel"/>
    <w:tmpl w:val="BED215A0"/>
    <w:lvl w:ilvl="0" w:tplc="038EABA0">
      <w:start w:val="1"/>
      <w:numFmt w:val="decimal"/>
      <w:lvlText w:val="4.1.%1"/>
      <w:lvlJc w:val="left"/>
      <w:pPr>
        <w:ind w:left="3873" w:hanging="360"/>
      </w:pPr>
      <w:rPr>
        <w:rFonts w:hint="default"/>
      </w:rPr>
    </w:lvl>
    <w:lvl w:ilvl="1" w:tplc="151E692A">
      <w:start w:val="1"/>
      <w:numFmt w:val="decimal"/>
      <w:lvlText w:val="4.1.%2."/>
      <w:lvlJc w:val="left"/>
      <w:pPr>
        <w:tabs>
          <w:tab w:val="num" w:pos="0"/>
        </w:tabs>
        <w:ind w:left="1440" w:hanging="360"/>
      </w:pPr>
      <w:rPr>
        <w:rFonts w:hint="default"/>
        <w:strike w:val="0"/>
      </w:rPr>
    </w:lvl>
    <w:lvl w:ilvl="2" w:tplc="FC6073F2">
      <w:start w:val="1"/>
      <w:numFmt w:val="decimal"/>
      <w:lvlText w:val="%3."/>
      <w:lvlJc w:val="left"/>
      <w:pPr>
        <w:ind w:left="2340" w:hanging="36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1" w15:restartNumberingAfterBreak="0">
    <w:nsid w:val="5E7733CE"/>
    <w:multiLevelType w:val="multilevel"/>
    <w:tmpl w:val="27240570"/>
    <w:styleLink w:val="List11"/>
    <w:lvl w:ilvl="0">
      <w:start w:val="1"/>
      <w:numFmt w:val="decimal"/>
      <w:lvlText w:val="%1."/>
      <w:lvlJc w:val="left"/>
      <w:pPr>
        <w:tabs>
          <w:tab w:val="num" w:pos="317"/>
        </w:tabs>
        <w:ind w:left="317" w:hanging="317"/>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1">
      <w:start w:val="1"/>
      <w:numFmt w:val="lowerLetter"/>
      <w:lvlText w:val="%2."/>
      <w:lvlJc w:val="left"/>
      <w:pPr>
        <w:tabs>
          <w:tab w:val="num" w:pos="1380"/>
        </w:tabs>
        <w:ind w:left="1380" w:hanging="300"/>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2">
      <w:start w:val="1"/>
      <w:numFmt w:val="lowerRoman"/>
      <w:lvlText w:val="%3."/>
      <w:lvlJc w:val="left"/>
      <w:pPr>
        <w:tabs>
          <w:tab w:val="num" w:pos="2111"/>
        </w:tabs>
        <w:ind w:left="2111" w:hanging="247"/>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3">
      <w:start w:val="1"/>
      <w:numFmt w:val="decimal"/>
      <w:lvlText w:val="%4."/>
      <w:lvlJc w:val="left"/>
      <w:pPr>
        <w:tabs>
          <w:tab w:val="num" w:pos="2820"/>
        </w:tabs>
        <w:ind w:left="2820" w:hanging="300"/>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4">
      <w:start w:val="1"/>
      <w:numFmt w:val="lowerLetter"/>
      <w:lvlText w:val="%5."/>
      <w:lvlJc w:val="left"/>
      <w:pPr>
        <w:tabs>
          <w:tab w:val="num" w:pos="3540"/>
        </w:tabs>
        <w:ind w:left="3540" w:hanging="300"/>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5">
      <w:start w:val="1"/>
      <w:numFmt w:val="lowerRoman"/>
      <w:lvlText w:val="%6."/>
      <w:lvlJc w:val="left"/>
      <w:pPr>
        <w:tabs>
          <w:tab w:val="num" w:pos="4271"/>
        </w:tabs>
        <w:ind w:left="4271" w:hanging="247"/>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6">
      <w:start w:val="1"/>
      <w:numFmt w:val="decimal"/>
      <w:lvlText w:val="%7."/>
      <w:lvlJc w:val="left"/>
      <w:pPr>
        <w:tabs>
          <w:tab w:val="num" w:pos="4980"/>
        </w:tabs>
        <w:ind w:left="4980" w:hanging="300"/>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7">
      <w:start w:val="1"/>
      <w:numFmt w:val="lowerLetter"/>
      <w:lvlText w:val="%8."/>
      <w:lvlJc w:val="left"/>
      <w:pPr>
        <w:tabs>
          <w:tab w:val="num" w:pos="5700"/>
        </w:tabs>
        <w:ind w:left="5700" w:hanging="300"/>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8">
      <w:start w:val="1"/>
      <w:numFmt w:val="lowerRoman"/>
      <w:lvlText w:val="%9."/>
      <w:lvlJc w:val="left"/>
      <w:pPr>
        <w:tabs>
          <w:tab w:val="num" w:pos="6431"/>
        </w:tabs>
        <w:ind w:left="6431" w:hanging="247"/>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abstractNum>
  <w:abstractNum w:abstractNumId="262" w15:restartNumberingAfterBreak="0">
    <w:nsid w:val="5EB87A3B"/>
    <w:multiLevelType w:val="multilevel"/>
    <w:tmpl w:val="B292FB28"/>
    <w:lvl w:ilvl="0">
      <w:start w:val="1"/>
      <w:numFmt w:val="decimal"/>
      <w:lvlText w:val="%1."/>
      <w:lvlJc w:val="left"/>
      <w:pPr>
        <w:tabs>
          <w:tab w:val="num" w:pos="317"/>
        </w:tabs>
        <w:ind w:left="317" w:hanging="317"/>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1">
      <w:start w:val="1"/>
      <w:numFmt w:val="lowerLetter"/>
      <w:lvlText w:val="%2."/>
      <w:lvlJc w:val="left"/>
      <w:pPr>
        <w:tabs>
          <w:tab w:val="num" w:pos="1380"/>
        </w:tabs>
        <w:ind w:left="1380" w:hanging="300"/>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2">
      <w:start w:val="1"/>
      <w:numFmt w:val="lowerRoman"/>
      <w:lvlText w:val="%3."/>
      <w:lvlJc w:val="left"/>
      <w:pPr>
        <w:tabs>
          <w:tab w:val="num" w:pos="2111"/>
        </w:tabs>
        <w:ind w:left="2111" w:hanging="247"/>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3">
      <w:start w:val="1"/>
      <w:numFmt w:val="decimal"/>
      <w:lvlText w:val="%4."/>
      <w:lvlJc w:val="left"/>
      <w:pPr>
        <w:tabs>
          <w:tab w:val="num" w:pos="2820"/>
        </w:tabs>
        <w:ind w:left="2820" w:hanging="300"/>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4">
      <w:start w:val="1"/>
      <w:numFmt w:val="lowerLetter"/>
      <w:lvlText w:val="%5."/>
      <w:lvlJc w:val="left"/>
      <w:pPr>
        <w:tabs>
          <w:tab w:val="num" w:pos="3540"/>
        </w:tabs>
        <w:ind w:left="3540" w:hanging="300"/>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5">
      <w:start w:val="1"/>
      <w:numFmt w:val="lowerRoman"/>
      <w:lvlText w:val="%6."/>
      <w:lvlJc w:val="left"/>
      <w:pPr>
        <w:tabs>
          <w:tab w:val="num" w:pos="4271"/>
        </w:tabs>
        <w:ind w:left="4271" w:hanging="247"/>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6">
      <w:start w:val="1"/>
      <w:numFmt w:val="decimal"/>
      <w:lvlText w:val="%7."/>
      <w:lvlJc w:val="left"/>
      <w:pPr>
        <w:tabs>
          <w:tab w:val="num" w:pos="4980"/>
        </w:tabs>
        <w:ind w:left="4980" w:hanging="300"/>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7">
      <w:start w:val="1"/>
      <w:numFmt w:val="lowerLetter"/>
      <w:lvlText w:val="%8."/>
      <w:lvlJc w:val="left"/>
      <w:pPr>
        <w:tabs>
          <w:tab w:val="num" w:pos="5700"/>
        </w:tabs>
        <w:ind w:left="5700" w:hanging="300"/>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8">
      <w:start w:val="1"/>
      <w:numFmt w:val="lowerRoman"/>
      <w:lvlText w:val="%9."/>
      <w:lvlJc w:val="left"/>
      <w:pPr>
        <w:tabs>
          <w:tab w:val="num" w:pos="6431"/>
        </w:tabs>
        <w:ind w:left="6431" w:hanging="247"/>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abstractNum>
  <w:abstractNum w:abstractNumId="263" w15:restartNumberingAfterBreak="0">
    <w:nsid w:val="5EBC22D9"/>
    <w:multiLevelType w:val="hybridMultilevel"/>
    <w:tmpl w:val="63004FF0"/>
    <w:lvl w:ilvl="0" w:tplc="19C2AD28">
      <w:start w:val="1"/>
      <w:numFmt w:val="decimal"/>
      <w:lvlText w:val="%1)"/>
      <w:lvlJc w:val="left"/>
      <w:pPr>
        <w:ind w:left="989" w:hanging="360"/>
      </w:pPr>
      <w:rPr>
        <w:rFonts w:hint="default"/>
      </w:rPr>
    </w:lvl>
    <w:lvl w:ilvl="1" w:tplc="04190019" w:tentative="1">
      <w:start w:val="1"/>
      <w:numFmt w:val="lowerLetter"/>
      <w:lvlText w:val="%2."/>
      <w:lvlJc w:val="left"/>
      <w:pPr>
        <w:ind w:left="1709" w:hanging="360"/>
      </w:pPr>
    </w:lvl>
    <w:lvl w:ilvl="2" w:tplc="0419001B" w:tentative="1">
      <w:start w:val="1"/>
      <w:numFmt w:val="lowerRoman"/>
      <w:lvlText w:val="%3."/>
      <w:lvlJc w:val="right"/>
      <w:pPr>
        <w:ind w:left="2429" w:hanging="180"/>
      </w:pPr>
    </w:lvl>
    <w:lvl w:ilvl="3" w:tplc="0419000F" w:tentative="1">
      <w:start w:val="1"/>
      <w:numFmt w:val="decimal"/>
      <w:lvlText w:val="%4."/>
      <w:lvlJc w:val="left"/>
      <w:pPr>
        <w:ind w:left="3149" w:hanging="360"/>
      </w:pPr>
    </w:lvl>
    <w:lvl w:ilvl="4" w:tplc="04190019" w:tentative="1">
      <w:start w:val="1"/>
      <w:numFmt w:val="lowerLetter"/>
      <w:lvlText w:val="%5."/>
      <w:lvlJc w:val="left"/>
      <w:pPr>
        <w:ind w:left="3869" w:hanging="360"/>
      </w:pPr>
    </w:lvl>
    <w:lvl w:ilvl="5" w:tplc="0419001B" w:tentative="1">
      <w:start w:val="1"/>
      <w:numFmt w:val="lowerRoman"/>
      <w:lvlText w:val="%6."/>
      <w:lvlJc w:val="right"/>
      <w:pPr>
        <w:ind w:left="4589" w:hanging="180"/>
      </w:pPr>
    </w:lvl>
    <w:lvl w:ilvl="6" w:tplc="0419000F" w:tentative="1">
      <w:start w:val="1"/>
      <w:numFmt w:val="decimal"/>
      <w:lvlText w:val="%7."/>
      <w:lvlJc w:val="left"/>
      <w:pPr>
        <w:ind w:left="5309" w:hanging="360"/>
      </w:pPr>
    </w:lvl>
    <w:lvl w:ilvl="7" w:tplc="04190019" w:tentative="1">
      <w:start w:val="1"/>
      <w:numFmt w:val="lowerLetter"/>
      <w:lvlText w:val="%8."/>
      <w:lvlJc w:val="left"/>
      <w:pPr>
        <w:ind w:left="6029" w:hanging="360"/>
      </w:pPr>
    </w:lvl>
    <w:lvl w:ilvl="8" w:tplc="0419001B" w:tentative="1">
      <w:start w:val="1"/>
      <w:numFmt w:val="lowerRoman"/>
      <w:lvlText w:val="%9."/>
      <w:lvlJc w:val="right"/>
      <w:pPr>
        <w:ind w:left="6749" w:hanging="180"/>
      </w:pPr>
    </w:lvl>
  </w:abstractNum>
  <w:abstractNum w:abstractNumId="264" w15:restartNumberingAfterBreak="0">
    <w:nsid w:val="5ED976B8"/>
    <w:multiLevelType w:val="hybridMultilevel"/>
    <w:tmpl w:val="E7FE7B1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5" w15:restartNumberingAfterBreak="0">
    <w:nsid w:val="5EFA71D3"/>
    <w:multiLevelType w:val="hybridMultilevel"/>
    <w:tmpl w:val="01CC38A0"/>
    <w:lvl w:ilvl="0" w:tplc="04190011">
      <w:start w:val="1"/>
      <w:numFmt w:val="decimal"/>
      <w:lvlText w:val="%1)"/>
      <w:lvlJc w:val="left"/>
      <w:pPr>
        <w:ind w:left="1854" w:hanging="360"/>
      </w:p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66" w15:restartNumberingAfterBreak="0">
    <w:nsid w:val="60CD6899"/>
    <w:multiLevelType w:val="multilevel"/>
    <w:tmpl w:val="F3F0CCDE"/>
    <w:styleLink w:val="List63"/>
    <w:lvl w:ilvl="0">
      <w:start w:val="1"/>
      <w:numFmt w:val="decimal"/>
      <w:lvlText w:val="%1."/>
      <w:lvlJc w:val="left"/>
      <w:pPr>
        <w:tabs>
          <w:tab w:val="num" w:pos="317"/>
        </w:tabs>
        <w:ind w:left="317" w:hanging="317"/>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1">
      <w:start w:val="1"/>
      <w:numFmt w:val="lowerLetter"/>
      <w:lvlText w:val="%2."/>
      <w:lvlJc w:val="left"/>
      <w:pPr>
        <w:tabs>
          <w:tab w:val="num" w:pos="1380"/>
        </w:tabs>
        <w:ind w:left="1380" w:hanging="300"/>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2">
      <w:start w:val="1"/>
      <w:numFmt w:val="lowerRoman"/>
      <w:lvlText w:val="%3."/>
      <w:lvlJc w:val="left"/>
      <w:pPr>
        <w:tabs>
          <w:tab w:val="num" w:pos="2111"/>
        </w:tabs>
        <w:ind w:left="2111" w:hanging="247"/>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3">
      <w:start w:val="1"/>
      <w:numFmt w:val="decimal"/>
      <w:lvlText w:val="%4."/>
      <w:lvlJc w:val="left"/>
      <w:pPr>
        <w:tabs>
          <w:tab w:val="num" w:pos="2820"/>
        </w:tabs>
        <w:ind w:left="2820" w:hanging="300"/>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4">
      <w:start w:val="1"/>
      <w:numFmt w:val="lowerLetter"/>
      <w:lvlText w:val="%5."/>
      <w:lvlJc w:val="left"/>
      <w:pPr>
        <w:tabs>
          <w:tab w:val="num" w:pos="3540"/>
        </w:tabs>
        <w:ind w:left="3540" w:hanging="300"/>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5">
      <w:start w:val="1"/>
      <w:numFmt w:val="lowerRoman"/>
      <w:lvlText w:val="%6."/>
      <w:lvlJc w:val="left"/>
      <w:pPr>
        <w:tabs>
          <w:tab w:val="num" w:pos="4271"/>
        </w:tabs>
        <w:ind w:left="4271" w:hanging="247"/>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6">
      <w:start w:val="1"/>
      <w:numFmt w:val="decimal"/>
      <w:lvlText w:val="%7."/>
      <w:lvlJc w:val="left"/>
      <w:pPr>
        <w:tabs>
          <w:tab w:val="num" w:pos="4980"/>
        </w:tabs>
        <w:ind w:left="4980" w:hanging="300"/>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7">
      <w:start w:val="1"/>
      <w:numFmt w:val="lowerLetter"/>
      <w:lvlText w:val="%8."/>
      <w:lvlJc w:val="left"/>
      <w:pPr>
        <w:tabs>
          <w:tab w:val="num" w:pos="5700"/>
        </w:tabs>
        <w:ind w:left="5700" w:hanging="300"/>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8">
      <w:start w:val="1"/>
      <w:numFmt w:val="lowerRoman"/>
      <w:lvlText w:val="%9."/>
      <w:lvlJc w:val="left"/>
      <w:pPr>
        <w:tabs>
          <w:tab w:val="num" w:pos="6431"/>
        </w:tabs>
        <w:ind w:left="6431" w:hanging="247"/>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abstractNum>
  <w:abstractNum w:abstractNumId="267" w15:restartNumberingAfterBreak="0">
    <w:nsid w:val="610C4EC1"/>
    <w:multiLevelType w:val="multilevel"/>
    <w:tmpl w:val="F3F0CCDE"/>
    <w:lvl w:ilvl="0">
      <w:start w:val="1"/>
      <w:numFmt w:val="decimal"/>
      <w:lvlText w:val="%1."/>
      <w:lvlJc w:val="left"/>
      <w:pPr>
        <w:tabs>
          <w:tab w:val="num" w:pos="317"/>
        </w:tabs>
        <w:ind w:left="317" w:hanging="317"/>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1">
      <w:start w:val="1"/>
      <w:numFmt w:val="lowerLetter"/>
      <w:lvlText w:val="%2."/>
      <w:lvlJc w:val="left"/>
      <w:pPr>
        <w:tabs>
          <w:tab w:val="num" w:pos="1380"/>
        </w:tabs>
        <w:ind w:left="1380" w:hanging="300"/>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2">
      <w:start w:val="1"/>
      <w:numFmt w:val="lowerRoman"/>
      <w:lvlText w:val="%3."/>
      <w:lvlJc w:val="left"/>
      <w:pPr>
        <w:tabs>
          <w:tab w:val="num" w:pos="2111"/>
        </w:tabs>
        <w:ind w:left="2111" w:hanging="247"/>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3">
      <w:start w:val="1"/>
      <w:numFmt w:val="decimal"/>
      <w:lvlText w:val="%4."/>
      <w:lvlJc w:val="left"/>
      <w:pPr>
        <w:tabs>
          <w:tab w:val="num" w:pos="2820"/>
        </w:tabs>
        <w:ind w:left="2820" w:hanging="300"/>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4">
      <w:start w:val="1"/>
      <w:numFmt w:val="lowerLetter"/>
      <w:lvlText w:val="%5."/>
      <w:lvlJc w:val="left"/>
      <w:pPr>
        <w:tabs>
          <w:tab w:val="num" w:pos="3540"/>
        </w:tabs>
        <w:ind w:left="3540" w:hanging="300"/>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5">
      <w:start w:val="1"/>
      <w:numFmt w:val="lowerRoman"/>
      <w:lvlText w:val="%6."/>
      <w:lvlJc w:val="left"/>
      <w:pPr>
        <w:tabs>
          <w:tab w:val="num" w:pos="4271"/>
        </w:tabs>
        <w:ind w:left="4271" w:hanging="247"/>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6">
      <w:start w:val="1"/>
      <w:numFmt w:val="decimal"/>
      <w:lvlText w:val="%7."/>
      <w:lvlJc w:val="left"/>
      <w:pPr>
        <w:tabs>
          <w:tab w:val="num" w:pos="4980"/>
        </w:tabs>
        <w:ind w:left="4980" w:hanging="300"/>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7">
      <w:start w:val="1"/>
      <w:numFmt w:val="lowerLetter"/>
      <w:lvlText w:val="%8."/>
      <w:lvlJc w:val="left"/>
      <w:pPr>
        <w:tabs>
          <w:tab w:val="num" w:pos="5700"/>
        </w:tabs>
        <w:ind w:left="5700" w:hanging="300"/>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8">
      <w:start w:val="1"/>
      <w:numFmt w:val="lowerRoman"/>
      <w:lvlText w:val="%9."/>
      <w:lvlJc w:val="left"/>
      <w:pPr>
        <w:tabs>
          <w:tab w:val="num" w:pos="6431"/>
        </w:tabs>
        <w:ind w:left="6431" w:hanging="247"/>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abstractNum>
  <w:abstractNum w:abstractNumId="268" w15:restartNumberingAfterBreak="0">
    <w:nsid w:val="61136070"/>
    <w:multiLevelType w:val="multilevel"/>
    <w:tmpl w:val="474C94E6"/>
    <w:lvl w:ilvl="0">
      <w:start w:val="2"/>
      <w:numFmt w:val="decimal"/>
      <w:lvlText w:val="%1."/>
      <w:lvlJc w:val="left"/>
      <w:pPr>
        <w:ind w:left="360" w:hanging="360"/>
      </w:pPr>
      <w:rPr>
        <w:rFonts w:hint="default"/>
        <w:b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9" w15:restartNumberingAfterBreak="0">
    <w:nsid w:val="61391126"/>
    <w:multiLevelType w:val="hybridMultilevel"/>
    <w:tmpl w:val="44BA201A"/>
    <w:lvl w:ilvl="0" w:tplc="76D0919C">
      <w:start w:val="1"/>
      <w:numFmt w:val="russianLower"/>
      <w:lvlText w:val="%1)"/>
      <w:lvlJc w:val="left"/>
      <w:pPr>
        <w:ind w:left="986" w:hanging="360"/>
      </w:pPr>
      <w:rPr>
        <w:rFonts w:hint="default"/>
      </w:rPr>
    </w:lvl>
    <w:lvl w:ilvl="1" w:tplc="04190019" w:tentative="1">
      <w:start w:val="1"/>
      <w:numFmt w:val="lowerLetter"/>
      <w:lvlText w:val="%2."/>
      <w:lvlJc w:val="left"/>
      <w:pPr>
        <w:ind w:left="1706" w:hanging="360"/>
      </w:pPr>
    </w:lvl>
    <w:lvl w:ilvl="2" w:tplc="0419001B" w:tentative="1">
      <w:start w:val="1"/>
      <w:numFmt w:val="lowerRoman"/>
      <w:lvlText w:val="%3."/>
      <w:lvlJc w:val="right"/>
      <w:pPr>
        <w:ind w:left="2426" w:hanging="180"/>
      </w:pPr>
    </w:lvl>
    <w:lvl w:ilvl="3" w:tplc="0419000F" w:tentative="1">
      <w:start w:val="1"/>
      <w:numFmt w:val="decimal"/>
      <w:lvlText w:val="%4."/>
      <w:lvlJc w:val="left"/>
      <w:pPr>
        <w:ind w:left="3146" w:hanging="360"/>
      </w:pPr>
    </w:lvl>
    <w:lvl w:ilvl="4" w:tplc="04190019" w:tentative="1">
      <w:start w:val="1"/>
      <w:numFmt w:val="lowerLetter"/>
      <w:lvlText w:val="%5."/>
      <w:lvlJc w:val="left"/>
      <w:pPr>
        <w:ind w:left="3866" w:hanging="360"/>
      </w:pPr>
    </w:lvl>
    <w:lvl w:ilvl="5" w:tplc="0419001B" w:tentative="1">
      <w:start w:val="1"/>
      <w:numFmt w:val="lowerRoman"/>
      <w:lvlText w:val="%6."/>
      <w:lvlJc w:val="right"/>
      <w:pPr>
        <w:ind w:left="4586" w:hanging="180"/>
      </w:pPr>
    </w:lvl>
    <w:lvl w:ilvl="6" w:tplc="0419000F" w:tentative="1">
      <w:start w:val="1"/>
      <w:numFmt w:val="decimal"/>
      <w:lvlText w:val="%7."/>
      <w:lvlJc w:val="left"/>
      <w:pPr>
        <w:ind w:left="5306" w:hanging="360"/>
      </w:pPr>
    </w:lvl>
    <w:lvl w:ilvl="7" w:tplc="04190019" w:tentative="1">
      <w:start w:val="1"/>
      <w:numFmt w:val="lowerLetter"/>
      <w:lvlText w:val="%8."/>
      <w:lvlJc w:val="left"/>
      <w:pPr>
        <w:ind w:left="6026" w:hanging="360"/>
      </w:pPr>
    </w:lvl>
    <w:lvl w:ilvl="8" w:tplc="0419001B" w:tentative="1">
      <w:start w:val="1"/>
      <w:numFmt w:val="lowerRoman"/>
      <w:lvlText w:val="%9."/>
      <w:lvlJc w:val="right"/>
      <w:pPr>
        <w:ind w:left="6746" w:hanging="180"/>
      </w:pPr>
    </w:lvl>
  </w:abstractNum>
  <w:abstractNum w:abstractNumId="270" w15:restartNumberingAfterBreak="0">
    <w:nsid w:val="613F6AE9"/>
    <w:multiLevelType w:val="multilevel"/>
    <w:tmpl w:val="70CEFB6C"/>
    <w:lvl w:ilvl="0">
      <w:start w:val="1"/>
      <w:numFmt w:val="decimal"/>
      <w:lvlText w:val="%1."/>
      <w:lvlJc w:val="left"/>
      <w:pPr>
        <w:tabs>
          <w:tab w:val="num" w:pos="317"/>
        </w:tabs>
        <w:ind w:left="317" w:hanging="317"/>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1">
      <w:start w:val="1"/>
      <w:numFmt w:val="lowerLetter"/>
      <w:lvlText w:val="%2."/>
      <w:lvlJc w:val="left"/>
      <w:pPr>
        <w:tabs>
          <w:tab w:val="num" w:pos="1380"/>
        </w:tabs>
        <w:ind w:left="1380" w:hanging="300"/>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2">
      <w:start w:val="1"/>
      <w:numFmt w:val="lowerRoman"/>
      <w:lvlText w:val="%3."/>
      <w:lvlJc w:val="left"/>
      <w:pPr>
        <w:tabs>
          <w:tab w:val="num" w:pos="2111"/>
        </w:tabs>
        <w:ind w:left="2111" w:hanging="247"/>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3">
      <w:start w:val="1"/>
      <w:numFmt w:val="decimal"/>
      <w:lvlText w:val="%4)"/>
      <w:lvlJc w:val="left"/>
      <w:pPr>
        <w:tabs>
          <w:tab w:val="num" w:pos="2820"/>
        </w:tabs>
        <w:ind w:left="2820" w:hanging="300"/>
      </w:pPr>
      <w:rPr>
        <w:caps w:val="0"/>
        <w:smallCaps w:val="0"/>
        <w:strike w:val="0"/>
        <w:dstrike w:val="0"/>
        <w:color w:val="000000"/>
        <w:spacing w:val="0"/>
        <w:kern w:val="0"/>
        <w:position w:val="0"/>
        <w:sz w:val="20"/>
        <w:szCs w:val="20"/>
        <w:u w:val="none" w:color="000000"/>
        <w:vertAlign w:val="baseline"/>
        <w:lang w:val="ru-RU"/>
      </w:rPr>
    </w:lvl>
    <w:lvl w:ilvl="4">
      <w:start w:val="1"/>
      <w:numFmt w:val="lowerLetter"/>
      <w:lvlText w:val="%5."/>
      <w:lvlJc w:val="left"/>
      <w:pPr>
        <w:tabs>
          <w:tab w:val="num" w:pos="3540"/>
        </w:tabs>
        <w:ind w:left="3540" w:hanging="300"/>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5">
      <w:start w:val="1"/>
      <w:numFmt w:val="lowerRoman"/>
      <w:lvlText w:val="%6."/>
      <w:lvlJc w:val="left"/>
      <w:pPr>
        <w:tabs>
          <w:tab w:val="num" w:pos="4271"/>
        </w:tabs>
        <w:ind w:left="4271" w:hanging="247"/>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6">
      <w:start w:val="1"/>
      <w:numFmt w:val="decimal"/>
      <w:lvlText w:val="%7."/>
      <w:lvlJc w:val="left"/>
      <w:pPr>
        <w:tabs>
          <w:tab w:val="num" w:pos="4980"/>
        </w:tabs>
        <w:ind w:left="4980" w:hanging="300"/>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7">
      <w:start w:val="1"/>
      <w:numFmt w:val="lowerLetter"/>
      <w:lvlText w:val="%8."/>
      <w:lvlJc w:val="left"/>
      <w:pPr>
        <w:tabs>
          <w:tab w:val="num" w:pos="5700"/>
        </w:tabs>
        <w:ind w:left="5700" w:hanging="300"/>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8">
      <w:start w:val="1"/>
      <w:numFmt w:val="lowerRoman"/>
      <w:lvlText w:val="%9."/>
      <w:lvlJc w:val="left"/>
      <w:pPr>
        <w:tabs>
          <w:tab w:val="num" w:pos="6431"/>
        </w:tabs>
        <w:ind w:left="6431" w:hanging="247"/>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abstractNum>
  <w:abstractNum w:abstractNumId="271" w15:restartNumberingAfterBreak="0">
    <w:nsid w:val="6219123E"/>
    <w:multiLevelType w:val="hybridMultilevel"/>
    <w:tmpl w:val="331E4F54"/>
    <w:lvl w:ilvl="0" w:tplc="FFFFFFFF">
      <w:start w:val="1"/>
      <w:numFmt w:val="bullet"/>
      <w:lvlText w:val=""/>
      <w:lvlJc w:val="left"/>
      <w:pPr>
        <w:tabs>
          <w:tab w:val="num" w:pos="1800"/>
        </w:tabs>
        <w:ind w:left="1800" w:hanging="360"/>
      </w:pPr>
      <w:rPr>
        <w:rFonts w:ascii="Symbol" w:hAnsi="Symbol" w:hint="default"/>
        <w:color w:val="auto"/>
      </w:rPr>
    </w:lvl>
    <w:lvl w:ilvl="1" w:tplc="FFFFFFFF" w:tentative="1">
      <w:start w:val="1"/>
      <w:numFmt w:val="bullet"/>
      <w:lvlText w:val="o"/>
      <w:lvlJc w:val="left"/>
      <w:pPr>
        <w:tabs>
          <w:tab w:val="num" w:pos="2520"/>
        </w:tabs>
        <w:ind w:left="2520" w:hanging="360"/>
      </w:pPr>
      <w:rPr>
        <w:rFonts w:ascii="Courier New" w:hAnsi="Courier New" w:hint="default"/>
      </w:rPr>
    </w:lvl>
    <w:lvl w:ilvl="2" w:tplc="FFFFFFFF" w:tentative="1">
      <w:start w:val="1"/>
      <w:numFmt w:val="bullet"/>
      <w:lvlText w:val=""/>
      <w:lvlJc w:val="left"/>
      <w:pPr>
        <w:tabs>
          <w:tab w:val="num" w:pos="3240"/>
        </w:tabs>
        <w:ind w:left="3240" w:hanging="360"/>
      </w:pPr>
      <w:rPr>
        <w:rFonts w:ascii="Wingdings" w:hAnsi="Wingdings" w:hint="default"/>
      </w:rPr>
    </w:lvl>
    <w:lvl w:ilvl="3" w:tplc="FFFFFFFF" w:tentative="1">
      <w:start w:val="1"/>
      <w:numFmt w:val="bullet"/>
      <w:lvlText w:val=""/>
      <w:lvlJc w:val="left"/>
      <w:pPr>
        <w:tabs>
          <w:tab w:val="num" w:pos="3960"/>
        </w:tabs>
        <w:ind w:left="3960" w:hanging="360"/>
      </w:pPr>
      <w:rPr>
        <w:rFonts w:ascii="Symbol" w:hAnsi="Symbol" w:hint="default"/>
      </w:rPr>
    </w:lvl>
    <w:lvl w:ilvl="4" w:tplc="FFFFFFFF" w:tentative="1">
      <w:start w:val="1"/>
      <w:numFmt w:val="bullet"/>
      <w:lvlText w:val="o"/>
      <w:lvlJc w:val="left"/>
      <w:pPr>
        <w:tabs>
          <w:tab w:val="num" w:pos="4680"/>
        </w:tabs>
        <w:ind w:left="4680" w:hanging="360"/>
      </w:pPr>
      <w:rPr>
        <w:rFonts w:ascii="Courier New" w:hAnsi="Courier New" w:hint="default"/>
      </w:rPr>
    </w:lvl>
    <w:lvl w:ilvl="5" w:tplc="FFFFFFFF" w:tentative="1">
      <w:start w:val="1"/>
      <w:numFmt w:val="bullet"/>
      <w:lvlText w:val=""/>
      <w:lvlJc w:val="left"/>
      <w:pPr>
        <w:tabs>
          <w:tab w:val="num" w:pos="5400"/>
        </w:tabs>
        <w:ind w:left="5400" w:hanging="360"/>
      </w:pPr>
      <w:rPr>
        <w:rFonts w:ascii="Wingdings" w:hAnsi="Wingdings" w:hint="default"/>
      </w:rPr>
    </w:lvl>
    <w:lvl w:ilvl="6" w:tplc="FFFFFFFF" w:tentative="1">
      <w:start w:val="1"/>
      <w:numFmt w:val="bullet"/>
      <w:lvlText w:val=""/>
      <w:lvlJc w:val="left"/>
      <w:pPr>
        <w:tabs>
          <w:tab w:val="num" w:pos="6120"/>
        </w:tabs>
        <w:ind w:left="6120" w:hanging="360"/>
      </w:pPr>
      <w:rPr>
        <w:rFonts w:ascii="Symbol" w:hAnsi="Symbol" w:hint="default"/>
      </w:rPr>
    </w:lvl>
    <w:lvl w:ilvl="7" w:tplc="FFFFFFFF" w:tentative="1">
      <w:start w:val="1"/>
      <w:numFmt w:val="bullet"/>
      <w:lvlText w:val="o"/>
      <w:lvlJc w:val="left"/>
      <w:pPr>
        <w:tabs>
          <w:tab w:val="num" w:pos="6840"/>
        </w:tabs>
        <w:ind w:left="6840" w:hanging="360"/>
      </w:pPr>
      <w:rPr>
        <w:rFonts w:ascii="Courier New" w:hAnsi="Courier New" w:hint="default"/>
      </w:rPr>
    </w:lvl>
    <w:lvl w:ilvl="8" w:tplc="FFFFFFFF" w:tentative="1">
      <w:start w:val="1"/>
      <w:numFmt w:val="bullet"/>
      <w:lvlText w:val=""/>
      <w:lvlJc w:val="left"/>
      <w:pPr>
        <w:tabs>
          <w:tab w:val="num" w:pos="7560"/>
        </w:tabs>
        <w:ind w:left="7560" w:hanging="360"/>
      </w:pPr>
      <w:rPr>
        <w:rFonts w:ascii="Wingdings" w:hAnsi="Wingdings" w:hint="default"/>
      </w:rPr>
    </w:lvl>
  </w:abstractNum>
  <w:abstractNum w:abstractNumId="272" w15:restartNumberingAfterBreak="0">
    <w:nsid w:val="62407A16"/>
    <w:multiLevelType w:val="multilevel"/>
    <w:tmpl w:val="F4B08958"/>
    <w:styleLink w:val="List20"/>
    <w:lvl w:ilvl="0">
      <w:start w:val="1"/>
      <w:numFmt w:val="decimal"/>
      <w:lvlText w:val="%1."/>
      <w:lvlJc w:val="left"/>
      <w:pPr>
        <w:tabs>
          <w:tab w:val="num" w:pos="317"/>
        </w:tabs>
        <w:ind w:left="317" w:hanging="317"/>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1">
      <w:start w:val="1"/>
      <w:numFmt w:val="lowerLetter"/>
      <w:lvlText w:val="%2."/>
      <w:lvlJc w:val="left"/>
      <w:pPr>
        <w:tabs>
          <w:tab w:val="num" w:pos="1380"/>
        </w:tabs>
        <w:ind w:left="1380" w:hanging="300"/>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2">
      <w:start w:val="1"/>
      <w:numFmt w:val="lowerRoman"/>
      <w:lvlText w:val="%3."/>
      <w:lvlJc w:val="left"/>
      <w:pPr>
        <w:tabs>
          <w:tab w:val="num" w:pos="2111"/>
        </w:tabs>
        <w:ind w:left="2111" w:hanging="247"/>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3">
      <w:start w:val="1"/>
      <w:numFmt w:val="decimal"/>
      <w:lvlText w:val="%4."/>
      <w:lvlJc w:val="left"/>
      <w:pPr>
        <w:tabs>
          <w:tab w:val="num" w:pos="2820"/>
        </w:tabs>
        <w:ind w:left="2820" w:hanging="300"/>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4">
      <w:start w:val="1"/>
      <w:numFmt w:val="lowerLetter"/>
      <w:lvlText w:val="%5."/>
      <w:lvlJc w:val="left"/>
      <w:pPr>
        <w:tabs>
          <w:tab w:val="num" w:pos="3540"/>
        </w:tabs>
        <w:ind w:left="3540" w:hanging="300"/>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5">
      <w:start w:val="1"/>
      <w:numFmt w:val="lowerRoman"/>
      <w:lvlText w:val="%6."/>
      <w:lvlJc w:val="left"/>
      <w:pPr>
        <w:tabs>
          <w:tab w:val="num" w:pos="4271"/>
        </w:tabs>
        <w:ind w:left="4271" w:hanging="247"/>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6">
      <w:start w:val="1"/>
      <w:numFmt w:val="decimal"/>
      <w:lvlText w:val="%7."/>
      <w:lvlJc w:val="left"/>
      <w:pPr>
        <w:tabs>
          <w:tab w:val="num" w:pos="4980"/>
        </w:tabs>
        <w:ind w:left="4980" w:hanging="300"/>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7">
      <w:start w:val="1"/>
      <w:numFmt w:val="lowerLetter"/>
      <w:lvlText w:val="%8."/>
      <w:lvlJc w:val="left"/>
      <w:pPr>
        <w:tabs>
          <w:tab w:val="num" w:pos="5700"/>
        </w:tabs>
        <w:ind w:left="5700" w:hanging="300"/>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8">
      <w:start w:val="1"/>
      <w:numFmt w:val="lowerRoman"/>
      <w:lvlText w:val="%9."/>
      <w:lvlJc w:val="left"/>
      <w:pPr>
        <w:tabs>
          <w:tab w:val="num" w:pos="6431"/>
        </w:tabs>
        <w:ind w:left="6431" w:hanging="247"/>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abstractNum>
  <w:abstractNum w:abstractNumId="273" w15:restartNumberingAfterBreak="0">
    <w:nsid w:val="62CF7AA7"/>
    <w:multiLevelType w:val="multilevel"/>
    <w:tmpl w:val="9FD8AF3E"/>
    <w:lvl w:ilvl="0">
      <w:start w:val="1"/>
      <w:numFmt w:val="decimal"/>
      <w:lvlText w:val="%1."/>
      <w:lvlJc w:val="left"/>
      <w:pPr>
        <w:tabs>
          <w:tab w:val="num" w:pos="317"/>
        </w:tabs>
        <w:ind w:left="317" w:hanging="317"/>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1">
      <w:start w:val="1"/>
      <w:numFmt w:val="lowerLetter"/>
      <w:lvlText w:val="%2."/>
      <w:lvlJc w:val="left"/>
      <w:pPr>
        <w:tabs>
          <w:tab w:val="num" w:pos="1380"/>
        </w:tabs>
        <w:ind w:left="1380" w:hanging="300"/>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2">
      <w:start w:val="1"/>
      <w:numFmt w:val="lowerRoman"/>
      <w:lvlText w:val="%3."/>
      <w:lvlJc w:val="left"/>
      <w:pPr>
        <w:tabs>
          <w:tab w:val="num" w:pos="2111"/>
        </w:tabs>
        <w:ind w:left="2111" w:hanging="247"/>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3">
      <w:start w:val="1"/>
      <w:numFmt w:val="decimal"/>
      <w:lvlText w:val="%4."/>
      <w:lvlJc w:val="left"/>
      <w:pPr>
        <w:tabs>
          <w:tab w:val="num" w:pos="2820"/>
        </w:tabs>
        <w:ind w:left="2820" w:hanging="300"/>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4">
      <w:start w:val="1"/>
      <w:numFmt w:val="lowerLetter"/>
      <w:lvlText w:val="%5."/>
      <w:lvlJc w:val="left"/>
      <w:pPr>
        <w:tabs>
          <w:tab w:val="num" w:pos="3540"/>
        </w:tabs>
        <w:ind w:left="3540" w:hanging="300"/>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5">
      <w:start w:val="1"/>
      <w:numFmt w:val="lowerRoman"/>
      <w:lvlText w:val="%6."/>
      <w:lvlJc w:val="left"/>
      <w:pPr>
        <w:tabs>
          <w:tab w:val="num" w:pos="4271"/>
        </w:tabs>
        <w:ind w:left="4271" w:hanging="247"/>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6">
      <w:start w:val="1"/>
      <w:numFmt w:val="decimal"/>
      <w:lvlText w:val="%7."/>
      <w:lvlJc w:val="left"/>
      <w:pPr>
        <w:tabs>
          <w:tab w:val="num" w:pos="4980"/>
        </w:tabs>
        <w:ind w:left="4980" w:hanging="300"/>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7">
      <w:start w:val="1"/>
      <w:numFmt w:val="lowerLetter"/>
      <w:lvlText w:val="%8."/>
      <w:lvlJc w:val="left"/>
      <w:pPr>
        <w:tabs>
          <w:tab w:val="num" w:pos="5700"/>
        </w:tabs>
        <w:ind w:left="5700" w:hanging="300"/>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8">
      <w:start w:val="1"/>
      <w:numFmt w:val="lowerRoman"/>
      <w:lvlText w:val="%9."/>
      <w:lvlJc w:val="left"/>
      <w:pPr>
        <w:tabs>
          <w:tab w:val="num" w:pos="6431"/>
        </w:tabs>
        <w:ind w:left="6431" w:hanging="247"/>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abstractNum>
  <w:abstractNum w:abstractNumId="274" w15:restartNumberingAfterBreak="0">
    <w:nsid w:val="62D02095"/>
    <w:multiLevelType w:val="multilevel"/>
    <w:tmpl w:val="4B8C9BD6"/>
    <w:styleLink w:val="List51"/>
    <w:lvl w:ilvl="0">
      <w:start w:val="1"/>
      <w:numFmt w:val="decimal"/>
      <w:lvlText w:val="%1."/>
      <w:lvlJc w:val="left"/>
      <w:pPr>
        <w:tabs>
          <w:tab w:val="num" w:pos="317"/>
        </w:tabs>
        <w:ind w:left="317" w:hanging="317"/>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1">
      <w:start w:val="1"/>
      <w:numFmt w:val="lowerLetter"/>
      <w:lvlText w:val="%2."/>
      <w:lvlJc w:val="left"/>
      <w:pPr>
        <w:tabs>
          <w:tab w:val="num" w:pos="1380"/>
        </w:tabs>
        <w:ind w:left="1380" w:hanging="300"/>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2">
      <w:start w:val="1"/>
      <w:numFmt w:val="lowerRoman"/>
      <w:lvlText w:val="%3."/>
      <w:lvlJc w:val="left"/>
      <w:pPr>
        <w:tabs>
          <w:tab w:val="num" w:pos="2111"/>
        </w:tabs>
        <w:ind w:left="2111" w:hanging="247"/>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3">
      <w:start w:val="1"/>
      <w:numFmt w:val="decimal"/>
      <w:lvlText w:val="%4."/>
      <w:lvlJc w:val="left"/>
      <w:pPr>
        <w:tabs>
          <w:tab w:val="num" w:pos="2820"/>
        </w:tabs>
        <w:ind w:left="2820" w:hanging="300"/>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4">
      <w:start w:val="1"/>
      <w:numFmt w:val="lowerLetter"/>
      <w:lvlText w:val="%5."/>
      <w:lvlJc w:val="left"/>
      <w:pPr>
        <w:tabs>
          <w:tab w:val="num" w:pos="3540"/>
        </w:tabs>
        <w:ind w:left="3540" w:hanging="300"/>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5">
      <w:start w:val="1"/>
      <w:numFmt w:val="lowerRoman"/>
      <w:lvlText w:val="%6."/>
      <w:lvlJc w:val="left"/>
      <w:pPr>
        <w:tabs>
          <w:tab w:val="num" w:pos="4271"/>
        </w:tabs>
        <w:ind w:left="4271" w:hanging="247"/>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6">
      <w:start w:val="1"/>
      <w:numFmt w:val="decimal"/>
      <w:lvlText w:val="%7."/>
      <w:lvlJc w:val="left"/>
      <w:pPr>
        <w:tabs>
          <w:tab w:val="num" w:pos="4980"/>
        </w:tabs>
        <w:ind w:left="4980" w:hanging="300"/>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7">
      <w:start w:val="1"/>
      <w:numFmt w:val="lowerLetter"/>
      <w:lvlText w:val="%8."/>
      <w:lvlJc w:val="left"/>
      <w:pPr>
        <w:tabs>
          <w:tab w:val="num" w:pos="5700"/>
        </w:tabs>
        <w:ind w:left="5700" w:hanging="300"/>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8">
      <w:start w:val="1"/>
      <w:numFmt w:val="lowerRoman"/>
      <w:lvlText w:val="%9."/>
      <w:lvlJc w:val="left"/>
      <w:pPr>
        <w:tabs>
          <w:tab w:val="num" w:pos="6431"/>
        </w:tabs>
        <w:ind w:left="6431" w:hanging="247"/>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abstractNum>
  <w:abstractNum w:abstractNumId="275" w15:restartNumberingAfterBreak="0">
    <w:nsid w:val="630F118D"/>
    <w:multiLevelType w:val="multilevel"/>
    <w:tmpl w:val="DFB022E6"/>
    <w:styleLink w:val="List28"/>
    <w:lvl w:ilvl="0">
      <w:start w:val="1"/>
      <w:numFmt w:val="decimal"/>
      <w:lvlText w:val="%1."/>
      <w:lvlJc w:val="left"/>
      <w:pPr>
        <w:tabs>
          <w:tab w:val="num" w:pos="317"/>
        </w:tabs>
        <w:ind w:left="317" w:hanging="317"/>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1">
      <w:start w:val="1"/>
      <w:numFmt w:val="lowerLetter"/>
      <w:lvlText w:val="%2."/>
      <w:lvlJc w:val="left"/>
      <w:pPr>
        <w:tabs>
          <w:tab w:val="num" w:pos="1380"/>
        </w:tabs>
        <w:ind w:left="1380" w:hanging="300"/>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2">
      <w:start w:val="1"/>
      <w:numFmt w:val="lowerRoman"/>
      <w:lvlText w:val="%3."/>
      <w:lvlJc w:val="left"/>
      <w:pPr>
        <w:tabs>
          <w:tab w:val="num" w:pos="2111"/>
        </w:tabs>
        <w:ind w:left="2111" w:hanging="247"/>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3">
      <w:start w:val="1"/>
      <w:numFmt w:val="decimal"/>
      <w:lvlText w:val="%4."/>
      <w:lvlJc w:val="left"/>
      <w:pPr>
        <w:tabs>
          <w:tab w:val="num" w:pos="2820"/>
        </w:tabs>
        <w:ind w:left="2820" w:hanging="300"/>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4">
      <w:start w:val="1"/>
      <w:numFmt w:val="lowerLetter"/>
      <w:lvlText w:val="%5."/>
      <w:lvlJc w:val="left"/>
      <w:pPr>
        <w:tabs>
          <w:tab w:val="num" w:pos="3540"/>
        </w:tabs>
        <w:ind w:left="3540" w:hanging="300"/>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5">
      <w:start w:val="1"/>
      <w:numFmt w:val="lowerRoman"/>
      <w:lvlText w:val="%6."/>
      <w:lvlJc w:val="left"/>
      <w:pPr>
        <w:tabs>
          <w:tab w:val="num" w:pos="4271"/>
        </w:tabs>
        <w:ind w:left="4271" w:hanging="247"/>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6">
      <w:start w:val="1"/>
      <w:numFmt w:val="decimal"/>
      <w:lvlText w:val="%7."/>
      <w:lvlJc w:val="left"/>
      <w:pPr>
        <w:tabs>
          <w:tab w:val="num" w:pos="4980"/>
        </w:tabs>
        <w:ind w:left="4980" w:hanging="300"/>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7">
      <w:start w:val="1"/>
      <w:numFmt w:val="lowerLetter"/>
      <w:lvlText w:val="%8."/>
      <w:lvlJc w:val="left"/>
      <w:pPr>
        <w:tabs>
          <w:tab w:val="num" w:pos="5700"/>
        </w:tabs>
        <w:ind w:left="5700" w:hanging="300"/>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8">
      <w:start w:val="1"/>
      <w:numFmt w:val="lowerRoman"/>
      <w:lvlText w:val="%9."/>
      <w:lvlJc w:val="left"/>
      <w:pPr>
        <w:tabs>
          <w:tab w:val="num" w:pos="6431"/>
        </w:tabs>
        <w:ind w:left="6431" w:hanging="247"/>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abstractNum>
  <w:abstractNum w:abstractNumId="276" w15:restartNumberingAfterBreak="0">
    <w:nsid w:val="63213A42"/>
    <w:multiLevelType w:val="multilevel"/>
    <w:tmpl w:val="51D0FC92"/>
    <w:styleLink w:val="List66"/>
    <w:lvl w:ilvl="0">
      <w:start w:val="1"/>
      <w:numFmt w:val="decimal"/>
      <w:lvlText w:val="%1."/>
      <w:lvlJc w:val="left"/>
      <w:pPr>
        <w:tabs>
          <w:tab w:val="num" w:pos="317"/>
        </w:tabs>
        <w:ind w:left="317" w:hanging="317"/>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1">
      <w:start w:val="1"/>
      <w:numFmt w:val="lowerLetter"/>
      <w:lvlText w:val="%2."/>
      <w:lvlJc w:val="left"/>
      <w:pPr>
        <w:tabs>
          <w:tab w:val="num" w:pos="1380"/>
        </w:tabs>
        <w:ind w:left="1380" w:hanging="300"/>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2">
      <w:start w:val="1"/>
      <w:numFmt w:val="lowerRoman"/>
      <w:lvlText w:val="%3."/>
      <w:lvlJc w:val="left"/>
      <w:pPr>
        <w:tabs>
          <w:tab w:val="num" w:pos="2111"/>
        </w:tabs>
        <w:ind w:left="2111" w:hanging="247"/>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3">
      <w:start w:val="1"/>
      <w:numFmt w:val="decimal"/>
      <w:lvlText w:val="%4."/>
      <w:lvlJc w:val="left"/>
      <w:pPr>
        <w:tabs>
          <w:tab w:val="num" w:pos="2820"/>
        </w:tabs>
        <w:ind w:left="2820" w:hanging="300"/>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4">
      <w:start w:val="1"/>
      <w:numFmt w:val="lowerLetter"/>
      <w:lvlText w:val="%5."/>
      <w:lvlJc w:val="left"/>
      <w:pPr>
        <w:tabs>
          <w:tab w:val="num" w:pos="3540"/>
        </w:tabs>
        <w:ind w:left="3540" w:hanging="300"/>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5">
      <w:start w:val="1"/>
      <w:numFmt w:val="lowerRoman"/>
      <w:lvlText w:val="%6."/>
      <w:lvlJc w:val="left"/>
      <w:pPr>
        <w:tabs>
          <w:tab w:val="num" w:pos="4271"/>
        </w:tabs>
        <w:ind w:left="4271" w:hanging="247"/>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6">
      <w:start w:val="1"/>
      <w:numFmt w:val="decimal"/>
      <w:lvlText w:val="%7."/>
      <w:lvlJc w:val="left"/>
      <w:pPr>
        <w:tabs>
          <w:tab w:val="num" w:pos="4980"/>
        </w:tabs>
        <w:ind w:left="4980" w:hanging="300"/>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7">
      <w:start w:val="1"/>
      <w:numFmt w:val="lowerLetter"/>
      <w:lvlText w:val="%8."/>
      <w:lvlJc w:val="left"/>
      <w:pPr>
        <w:tabs>
          <w:tab w:val="num" w:pos="5700"/>
        </w:tabs>
        <w:ind w:left="5700" w:hanging="300"/>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8">
      <w:start w:val="1"/>
      <w:numFmt w:val="lowerRoman"/>
      <w:lvlText w:val="%9."/>
      <w:lvlJc w:val="left"/>
      <w:pPr>
        <w:tabs>
          <w:tab w:val="num" w:pos="6431"/>
        </w:tabs>
        <w:ind w:left="6431" w:hanging="247"/>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abstractNum>
  <w:abstractNum w:abstractNumId="277" w15:restartNumberingAfterBreak="0">
    <w:nsid w:val="64887B36"/>
    <w:multiLevelType w:val="hybridMultilevel"/>
    <w:tmpl w:val="6C4C0A66"/>
    <w:lvl w:ilvl="0" w:tplc="E1B8CC9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78" w15:restartNumberingAfterBreak="0">
    <w:nsid w:val="64F42E71"/>
    <w:multiLevelType w:val="hybridMultilevel"/>
    <w:tmpl w:val="E7FE7B1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9" w15:restartNumberingAfterBreak="0">
    <w:nsid w:val="66A10C91"/>
    <w:multiLevelType w:val="multilevel"/>
    <w:tmpl w:val="B2A28EBE"/>
    <w:styleLink w:val="List74"/>
    <w:lvl w:ilvl="0">
      <w:start w:val="1"/>
      <w:numFmt w:val="decimal"/>
      <w:lvlText w:val="%1."/>
      <w:lvlJc w:val="left"/>
      <w:pPr>
        <w:tabs>
          <w:tab w:val="num" w:pos="720"/>
        </w:tabs>
        <w:ind w:left="720" w:hanging="360"/>
      </w:pPr>
      <w:rPr>
        <w:position w:val="0"/>
        <w:sz w:val="28"/>
        <w:szCs w:val="28"/>
        <w:u w:val="single"/>
        <w:rtl w:val="0"/>
      </w:rPr>
    </w:lvl>
    <w:lvl w:ilvl="1">
      <w:start w:val="1"/>
      <w:numFmt w:val="lowerLetter"/>
      <w:lvlText w:val="%2."/>
      <w:lvlJc w:val="left"/>
      <w:pPr>
        <w:tabs>
          <w:tab w:val="num" w:pos="1500"/>
        </w:tabs>
        <w:ind w:left="1500" w:hanging="420"/>
      </w:pPr>
      <w:rPr>
        <w:position w:val="0"/>
        <w:sz w:val="28"/>
        <w:szCs w:val="28"/>
        <w:u w:val="single"/>
        <w:rtl w:val="0"/>
      </w:rPr>
    </w:lvl>
    <w:lvl w:ilvl="2">
      <w:start w:val="1"/>
      <w:numFmt w:val="lowerRoman"/>
      <w:lvlText w:val="%3."/>
      <w:lvlJc w:val="left"/>
      <w:pPr>
        <w:tabs>
          <w:tab w:val="num" w:pos="2209"/>
        </w:tabs>
        <w:ind w:left="2209" w:hanging="345"/>
      </w:pPr>
      <w:rPr>
        <w:position w:val="0"/>
        <w:sz w:val="28"/>
        <w:szCs w:val="28"/>
        <w:u w:val="single"/>
        <w:rtl w:val="0"/>
      </w:rPr>
    </w:lvl>
    <w:lvl w:ilvl="3">
      <w:start w:val="1"/>
      <w:numFmt w:val="decimal"/>
      <w:lvlText w:val="%4."/>
      <w:lvlJc w:val="left"/>
      <w:pPr>
        <w:tabs>
          <w:tab w:val="num" w:pos="2940"/>
        </w:tabs>
        <w:ind w:left="2940" w:hanging="420"/>
      </w:pPr>
      <w:rPr>
        <w:position w:val="0"/>
        <w:sz w:val="28"/>
        <w:szCs w:val="28"/>
        <w:u w:val="single"/>
        <w:rtl w:val="0"/>
      </w:rPr>
    </w:lvl>
    <w:lvl w:ilvl="4">
      <w:start w:val="1"/>
      <w:numFmt w:val="lowerLetter"/>
      <w:lvlText w:val="%5."/>
      <w:lvlJc w:val="left"/>
      <w:pPr>
        <w:tabs>
          <w:tab w:val="num" w:pos="3660"/>
        </w:tabs>
        <w:ind w:left="3660" w:hanging="420"/>
      </w:pPr>
      <w:rPr>
        <w:position w:val="0"/>
        <w:sz w:val="28"/>
        <w:szCs w:val="28"/>
        <w:u w:val="single"/>
        <w:rtl w:val="0"/>
      </w:rPr>
    </w:lvl>
    <w:lvl w:ilvl="5">
      <w:start w:val="1"/>
      <w:numFmt w:val="lowerRoman"/>
      <w:lvlText w:val="%6."/>
      <w:lvlJc w:val="left"/>
      <w:pPr>
        <w:tabs>
          <w:tab w:val="num" w:pos="4369"/>
        </w:tabs>
        <w:ind w:left="4369" w:hanging="345"/>
      </w:pPr>
      <w:rPr>
        <w:position w:val="0"/>
        <w:sz w:val="28"/>
        <w:szCs w:val="28"/>
        <w:u w:val="single"/>
        <w:rtl w:val="0"/>
      </w:rPr>
    </w:lvl>
    <w:lvl w:ilvl="6">
      <w:start w:val="1"/>
      <w:numFmt w:val="decimal"/>
      <w:lvlText w:val="%7."/>
      <w:lvlJc w:val="left"/>
      <w:pPr>
        <w:tabs>
          <w:tab w:val="num" w:pos="5100"/>
        </w:tabs>
        <w:ind w:left="5100" w:hanging="420"/>
      </w:pPr>
      <w:rPr>
        <w:position w:val="0"/>
        <w:sz w:val="28"/>
        <w:szCs w:val="28"/>
        <w:u w:val="single"/>
        <w:rtl w:val="0"/>
      </w:rPr>
    </w:lvl>
    <w:lvl w:ilvl="7">
      <w:start w:val="1"/>
      <w:numFmt w:val="lowerLetter"/>
      <w:lvlText w:val="%8."/>
      <w:lvlJc w:val="left"/>
      <w:pPr>
        <w:tabs>
          <w:tab w:val="num" w:pos="5820"/>
        </w:tabs>
        <w:ind w:left="5820" w:hanging="420"/>
      </w:pPr>
      <w:rPr>
        <w:position w:val="0"/>
        <w:sz w:val="28"/>
        <w:szCs w:val="28"/>
        <w:u w:val="single"/>
        <w:rtl w:val="0"/>
      </w:rPr>
    </w:lvl>
    <w:lvl w:ilvl="8">
      <w:start w:val="1"/>
      <w:numFmt w:val="lowerRoman"/>
      <w:lvlText w:val="%9."/>
      <w:lvlJc w:val="left"/>
      <w:pPr>
        <w:tabs>
          <w:tab w:val="num" w:pos="6529"/>
        </w:tabs>
        <w:ind w:left="6529" w:hanging="345"/>
      </w:pPr>
      <w:rPr>
        <w:position w:val="0"/>
        <w:sz w:val="28"/>
        <w:szCs w:val="28"/>
        <w:u w:val="single"/>
        <w:rtl w:val="0"/>
      </w:rPr>
    </w:lvl>
  </w:abstractNum>
  <w:abstractNum w:abstractNumId="280" w15:restartNumberingAfterBreak="0">
    <w:nsid w:val="66E70120"/>
    <w:multiLevelType w:val="multilevel"/>
    <w:tmpl w:val="57E8D6FC"/>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92"/>
        </w:tabs>
        <w:ind w:left="792" w:hanging="432"/>
      </w:pPr>
      <w:rPr>
        <w:rFonts w:cs="Times New Roman" w:hint="default"/>
        <w:b w:val="0"/>
      </w:rPr>
    </w:lvl>
    <w:lvl w:ilvl="2">
      <w:start w:val="1"/>
      <w:numFmt w:val="decimal"/>
      <w:lvlText w:val="4.3.%3."/>
      <w:lvlJc w:val="left"/>
      <w:pPr>
        <w:tabs>
          <w:tab w:val="num" w:pos="1440"/>
        </w:tabs>
        <w:ind w:left="1224" w:hanging="504"/>
      </w:pPr>
      <w:rPr>
        <w:rFonts w:cs="Times New Roman" w:hint="default"/>
        <w:b w:val="0"/>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281" w15:restartNumberingAfterBreak="0">
    <w:nsid w:val="684E4D88"/>
    <w:multiLevelType w:val="multilevel"/>
    <w:tmpl w:val="6CC2AF1A"/>
    <w:lvl w:ilvl="0">
      <w:start w:val="1"/>
      <w:numFmt w:val="decimal"/>
      <w:lvlText w:val="%1."/>
      <w:lvlJc w:val="left"/>
      <w:pPr>
        <w:tabs>
          <w:tab w:val="num" w:pos="317"/>
        </w:tabs>
        <w:ind w:left="317" w:hanging="317"/>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1">
      <w:start w:val="1"/>
      <w:numFmt w:val="lowerLetter"/>
      <w:lvlText w:val="%2."/>
      <w:lvlJc w:val="left"/>
      <w:pPr>
        <w:tabs>
          <w:tab w:val="num" w:pos="1380"/>
        </w:tabs>
        <w:ind w:left="1380" w:hanging="300"/>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2">
      <w:start w:val="1"/>
      <w:numFmt w:val="lowerRoman"/>
      <w:lvlText w:val="%3."/>
      <w:lvlJc w:val="left"/>
      <w:pPr>
        <w:tabs>
          <w:tab w:val="num" w:pos="2111"/>
        </w:tabs>
        <w:ind w:left="2111" w:hanging="247"/>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3">
      <w:start w:val="1"/>
      <w:numFmt w:val="decimal"/>
      <w:lvlText w:val="%4."/>
      <w:lvlJc w:val="left"/>
      <w:pPr>
        <w:tabs>
          <w:tab w:val="num" w:pos="2820"/>
        </w:tabs>
        <w:ind w:left="2820" w:hanging="300"/>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4">
      <w:start w:val="1"/>
      <w:numFmt w:val="lowerLetter"/>
      <w:lvlText w:val="%5."/>
      <w:lvlJc w:val="left"/>
      <w:pPr>
        <w:tabs>
          <w:tab w:val="num" w:pos="3540"/>
        </w:tabs>
        <w:ind w:left="3540" w:hanging="300"/>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5">
      <w:start w:val="1"/>
      <w:numFmt w:val="lowerRoman"/>
      <w:lvlText w:val="%6."/>
      <w:lvlJc w:val="left"/>
      <w:pPr>
        <w:tabs>
          <w:tab w:val="num" w:pos="4271"/>
        </w:tabs>
        <w:ind w:left="4271" w:hanging="247"/>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6">
      <w:start w:val="1"/>
      <w:numFmt w:val="decimal"/>
      <w:lvlText w:val="%7."/>
      <w:lvlJc w:val="left"/>
      <w:pPr>
        <w:tabs>
          <w:tab w:val="num" w:pos="4980"/>
        </w:tabs>
        <w:ind w:left="4980" w:hanging="300"/>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7">
      <w:start w:val="1"/>
      <w:numFmt w:val="lowerLetter"/>
      <w:lvlText w:val="%8."/>
      <w:lvlJc w:val="left"/>
      <w:pPr>
        <w:tabs>
          <w:tab w:val="num" w:pos="5700"/>
        </w:tabs>
        <w:ind w:left="5700" w:hanging="300"/>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8">
      <w:start w:val="1"/>
      <w:numFmt w:val="lowerRoman"/>
      <w:lvlText w:val="%9."/>
      <w:lvlJc w:val="left"/>
      <w:pPr>
        <w:tabs>
          <w:tab w:val="num" w:pos="6431"/>
        </w:tabs>
        <w:ind w:left="6431" w:hanging="247"/>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abstractNum>
  <w:abstractNum w:abstractNumId="282" w15:restartNumberingAfterBreak="0">
    <w:nsid w:val="686D6E64"/>
    <w:multiLevelType w:val="multilevel"/>
    <w:tmpl w:val="68D0757C"/>
    <w:styleLink w:val="List57"/>
    <w:lvl w:ilvl="0">
      <w:start w:val="1"/>
      <w:numFmt w:val="decimal"/>
      <w:lvlText w:val="%1."/>
      <w:lvlJc w:val="left"/>
      <w:pPr>
        <w:tabs>
          <w:tab w:val="num" w:pos="317"/>
        </w:tabs>
        <w:ind w:left="317" w:hanging="317"/>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1">
      <w:start w:val="1"/>
      <w:numFmt w:val="lowerLetter"/>
      <w:lvlText w:val="%2."/>
      <w:lvlJc w:val="left"/>
      <w:pPr>
        <w:tabs>
          <w:tab w:val="num" w:pos="1380"/>
        </w:tabs>
        <w:ind w:left="1380" w:hanging="300"/>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2">
      <w:start w:val="1"/>
      <w:numFmt w:val="lowerRoman"/>
      <w:lvlText w:val="%3."/>
      <w:lvlJc w:val="left"/>
      <w:pPr>
        <w:tabs>
          <w:tab w:val="num" w:pos="2111"/>
        </w:tabs>
        <w:ind w:left="2111" w:hanging="247"/>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3">
      <w:start w:val="1"/>
      <w:numFmt w:val="decimal"/>
      <w:lvlText w:val="%4."/>
      <w:lvlJc w:val="left"/>
      <w:pPr>
        <w:tabs>
          <w:tab w:val="num" w:pos="2820"/>
        </w:tabs>
        <w:ind w:left="2820" w:hanging="300"/>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4">
      <w:start w:val="1"/>
      <w:numFmt w:val="lowerLetter"/>
      <w:lvlText w:val="%5."/>
      <w:lvlJc w:val="left"/>
      <w:pPr>
        <w:tabs>
          <w:tab w:val="num" w:pos="3540"/>
        </w:tabs>
        <w:ind w:left="3540" w:hanging="300"/>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5">
      <w:start w:val="1"/>
      <w:numFmt w:val="lowerRoman"/>
      <w:lvlText w:val="%6."/>
      <w:lvlJc w:val="left"/>
      <w:pPr>
        <w:tabs>
          <w:tab w:val="num" w:pos="4271"/>
        </w:tabs>
        <w:ind w:left="4271" w:hanging="247"/>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6">
      <w:start w:val="1"/>
      <w:numFmt w:val="decimal"/>
      <w:lvlText w:val="%7."/>
      <w:lvlJc w:val="left"/>
      <w:pPr>
        <w:tabs>
          <w:tab w:val="num" w:pos="4980"/>
        </w:tabs>
        <w:ind w:left="4980" w:hanging="300"/>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7">
      <w:start w:val="1"/>
      <w:numFmt w:val="lowerLetter"/>
      <w:lvlText w:val="%8."/>
      <w:lvlJc w:val="left"/>
      <w:pPr>
        <w:tabs>
          <w:tab w:val="num" w:pos="5700"/>
        </w:tabs>
        <w:ind w:left="5700" w:hanging="300"/>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8">
      <w:start w:val="1"/>
      <w:numFmt w:val="lowerRoman"/>
      <w:lvlText w:val="%9."/>
      <w:lvlJc w:val="left"/>
      <w:pPr>
        <w:tabs>
          <w:tab w:val="num" w:pos="6431"/>
        </w:tabs>
        <w:ind w:left="6431" w:hanging="247"/>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abstractNum>
  <w:abstractNum w:abstractNumId="283" w15:restartNumberingAfterBreak="0">
    <w:nsid w:val="688E4A2B"/>
    <w:multiLevelType w:val="multilevel"/>
    <w:tmpl w:val="0EC2996A"/>
    <w:styleLink w:val="List30"/>
    <w:lvl w:ilvl="0">
      <w:start w:val="1"/>
      <w:numFmt w:val="decimal"/>
      <w:lvlText w:val="%1."/>
      <w:lvlJc w:val="left"/>
      <w:pPr>
        <w:tabs>
          <w:tab w:val="num" w:pos="317"/>
        </w:tabs>
        <w:ind w:left="317" w:hanging="317"/>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1">
      <w:start w:val="1"/>
      <w:numFmt w:val="lowerLetter"/>
      <w:lvlText w:val="%2."/>
      <w:lvlJc w:val="left"/>
      <w:pPr>
        <w:tabs>
          <w:tab w:val="num" w:pos="1380"/>
        </w:tabs>
        <w:ind w:left="1380" w:hanging="300"/>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2">
      <w:start w:val="1"/>
      <w:numFmt w:val="lowerRoman"/>
      <w:lvlText w:val="%3."/>
      <w:lvlJc w:val="left"/>
      <w:pPr>
        <w:tabs>
          <w:tab w:val="num" w:pos="2111"/>
        </w:tabs>
        <w:ind w:left="2111" w:hanging="247"/>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3">
      <w:start w:val="1"/>
      <w:numFmt w:val="decimal"/>
      <w:lvlText w:val="%4."/>
      <w:lvlJc w:val="left"/>
      <w:pPr>
        <w:tabs>
          <w:tab w:val="num" w:pos="2820"/>
        </w:tabs>
        <w:ind w:left="2820" w:hanging="300"/>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4">
      <w:start w:val="1"/>
      <w:numFmt w:val="lowerLetter"/>
      <w:lvlText w:val="%5."/>
      <w:lvlJc w:val="left"/>
      <w:pPr>
        <w:tabs>
          <w:tab w:val="num" w:pos="3540"/>
        </w:tabs>
        <w:ind w:left="3540" w:hanging="300"/>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5">
      <w:start w:val="1"/>
      <w:numFmt w:val="lowerRoman"/>
      <w:lvlText w:val="%6."/>
      <w:lvlJc w:val="left"/>
      <w:pPr>
        <w:tabs>
          <w:tab w:val="num" w:pos="4271"/>
        </w:tabs>
        <w:ind w:left="4271" w:hanging="247"/>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6">
      <w:start w:val="1"/>
      <w:numFmt w:val="decimal"/>
      <w:lvlText w:val="%7."/>
      <w:lvlJc w:val="left"/>
      <w:pPr>
        <w:tabs>
          <w:tab w:val="num" w:pos="4980"/>
        </w:tabs>
        <w:ind w:left="4980" w:hanging="300"/>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7">
      <w:start w:val="1"/>
      <w:numFmt w:val="lowerLetter"/>
      <w:lvlText w:val="%8."/>
      <w:lvlJc w:val="left"/>
      <w:pPr>
        <w:tabs>
          <w:tab w:val="num" w:pos="5700"/>
        </w:tabs>
        <w:ind w:left="5700" w:hanging="300"/>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8">
      <w:start w:val="1"/>
      <w:numFmt w:val="lowerRoman"/>
      <w:lvlText w:val="%9."/>
      <w:lvlJc w:val="left"/>
      <w:pPr>
        <w:tabs>
          <w:tab w:val="num" w:pos="6431"/>
        </w:tabs>
        <w:ind w:left="6431" w:hanging="247"/>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abstractNum>
  <w:abstractNum w:abstractNumId="284" w15:restartNumberingAfterBreak="0">
    <w:nsid w:val="697C15AD"/>
    <w:multiLevelType w:val="multilevel"/>
    <w:tmpl w:val="4B846FAE"/>
    <w:lvl w:ilvl="0">
      <w:start w:val="1"/>
      <w:numFmt w:val="decimal"/>
      <w:lvlText w:val="%1."/>
      <w:lvlJc w:val="left"/>
      <w:pPr>
        <w:ind w:left="360" w:hanging="360"/>
      </w:pPr>
      <w:rPr>
        <w:rFonts w:hint="default"/>
        <w:b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5" w15:restartNumberingAfterBreak="0">
    <w:nsid w:val="6991215A"/>
    <w:multiLevelType w:val="hybridMultilevel"/>
    <w:tmpl w:val="4F7830C8"/>
    <w:lvl w:ilvl="0" w:tplc="B7BC32D8">
      <w:start w:val="1"/>
      <w:numFmt w:val="bullet"/>
      <w:lvlText w:val="–"/>
      <w:lvlJc w:val="left"/>
      <w:pPr>
        <w:ind w:left="720" w:hanging="360"/>
      </w:pPr>
      <w:rPr>
        <w:rFonts w:ascii="Times New Roman" w:hAnsi="Times New Roman" w:hint="default"/>
        <w:color w:val="auto"/>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6" w15:restartNumberingAfterBreak="0">
    <w:nsid w:val="69AB2432"/>
    <w:multiLevelType w:val="hybridMultilevel"/>
    <w:tmpl w:val="E7FE7B1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7" w15:restartNumberingAfterBreak="0">
    <w:nsid w:val="6A6F5FDB"/>
    <w:multiLevelType w:val="hybridMultilevel"/>
    <w:tmpl w:val="4D0ACCBE"/>
    <w:lvl w:ilvl="0" w:tplc="FFFFFFFF">
      <w:start w:val="1"/>
      <w:numFmt w:val="bullet"/>
      <w:lvlText w:val="–"/>
      <w:lvlJc w:val="left"/>
      <w:pPr>
        <w:ind w:left="720" w:hanging="360"/>
      </w:pPr>
      <w:rPr>
        <w:rFonts w:ascii="Times New Roman" w:hAnsi="Times New Roman" w:cs="Times New Roman" w:hint="default"/>
        <w:color w:val="auto"/>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8" w15:restartNumberingAfterBreak="0">
    <w:nsid w:val="6AEB7726"/>
    <w:multiLevelType w:val="multilevel"/>
    <w:tmpl w:val="A10858C0"/>
    <w:styleLink w:val="List43"/>
    <w:lvl w:ilvl="0">
      <w:start w:val="1"/>
      <w:numFmt w:val="decimal"/>
      <w:lvlText w:val="%1."/>
      <w:lvlJc w:val="left"/>
      <w:pPr>
        <w:tabs>
          <w:tab w:val="num" w:pos="317"/>
        </w:tabs>
        <w:ind w:left="317" w:hanging="317"/>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1">
      <w:start w:val="1"/>
      <w:numFmt w:val="lowerLetter"/>
      <w:lvlText w:val="%2."/>
      <w:lvlJc w:val="left"/>
      <w:pPr>
        <w:tabs>
          <w:tab w:val="num" w:pos="1380"/>
        </w:tabs>
        <w:ind w:left="1380" w:hanging="300"/>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2">
      <w:start w:val="1"/>
      <w:numFmt w:val="lowerRoman"/>
      <w:lvlText w:val="%3."/>
      <w:lvlJc w:val="left"/>
      <w:pPr>
        <w:tabs>
          <w:tab w:val="num" w:pos="2111"/>
        </w:tabs>
        <w:ind w:left="2111" w:hanging="247"/>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3">
      <w:start w:val="1"/>
      <w:numFmt w:val="decimal"/>
      <w:lvlText w:val="%4."/>
      <w:lvlJc w:val="left"/>
      <w:pPr>
        <w:tabs>
          <w:tab w:val="num" w:pos="2820"/>
        </w:tabs>
        <w:ind w:left="2820" w:hanging="300"/>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4">
      <w:start w:val="1"/>
      <w:numFmt w:val="lowerLetter"/>
      <w:lvlText w:val="%5."/>
      <w:lvlJc w:val="left"/>
      <w:pPr>
        <w:tabs>
          <w:tab w:val="num" w:pos="3540"/>
        </w:tabs>
        <w:ind w:left="3540" w:hanging="300"/>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5">
      <w:start w:val="1"/>
      <w:numFmt w:val="lowerRoman"/>
      <w:lvlText w:val="%6."/>
      <w:lvlJc w:val="left"/>
      <w:pPr>
        <w:tabs>
          <w:tab w:val="num" w:pos="4271"/>
        </w:tabs>
        <w:ind w:left="4271" w:hanging="247"/>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6">
      <w:start w:val="1"/>
      <w:numFmt w:val="decimal"/>
      <w:lvlText w:val="%7."/>
      <w:lvlJc w:val="left"/>
      <w:pPr>
        <w:tabs>
          <w:tab w:val="num" w:pos="4980"/>
        </w:tabs>
        <w:ind w:left="4980" w:hanging="300"/>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7">
      <w:start w:val="1"/>
      <w:numFmt w:val="lowerLetter"/>
      <w:lvlText w:val="%8."/>
      <w:lvlJc w:val="left"/>
      <w:pPr>
        <w:tabs>
          <w:tab w:val="num" w:pos="5700"/>
        </w:tabs>
        <w:ind w:left="5700" w:hanging="300"/>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8">
      <w:start w:val="1"/>
      <w:numFmt w:val="lowerRoman"/>
      <w:lvlText w:val="%9."/>
      <w:lvlJc w:val="left"/>
      <w:pPr>
        <w:tabs>
          <w:tab w:val="num" w:pos="6431"/>
        </w:tabs>
        <w:ind w:left="6431" w:hanging="247"/>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abstractNum>
  <w:abstractNum w:abstractNumId="289" w15:restartNumberingAfterBreak="0">
    <w:nsid w:val="6B0566DE"/>
    <w:multiLevelType w:val="multilevel"/>
    <w:tmpl w:val="2B04B9D6"/>
    <w:lvl w:ilvl="0">
      <w:start w:val="2"/>
      <w:numFmt w:val="decimal"/>
      <w:lvlText w:val="%1."/>
      <w:lvlJc w:val="left"/>
      <w:pPr>
        <w:ind w:left="465" w:hanging="465"/>
      </w:pPr>
      <w:rPr>
        <w:rFonts w:hint="default"/>
      </w:rPr>
    </w:lvl>
    <w:lvl w:ilvl="1">
      <w:start w:val="1"/>
      <w:numFmt w:val="decimal"/>
      <w:lvlText w:val="%1.%2."/>
      <w:lvlJc w:val="left"/>
      <w:pPr>
        <w:ind w:left="1260" w:hanging="72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290" w15:restartNumberingAfterBreak="0">
    <w:nsid w:val="6B777271"/>
    <w:multiLevelType w:val="multilevel"/>
    <w:tmpl w:val="47A4B3F2"/>
    <w:styleLink w:val="List33"/>
    <w:lvl w:ilvl="0">
      <w:start w:val="1"/>
      <w:numFmt w:val="decimal"/>
      <w:lvlText w:val="%1."/>
      <w:lvlJc w:val="left"/>
      <w:pPr>
        <w:tabs>
          <w:tab w:val="num" w:pos="317"/>
        </w:tabs>
        <w:ind w:left="317" w:hanging="317"/>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1">
      <w:start w:val="1"/>
      <w:numFmt w:val="lowerLetter"/>
      <w:lvlText w:val="%2."/>
      <w:lvlJc w:val="left"/>
      <w:pPr>
        <w:tabs>
          <w:tab w:val="num" w:pos="1380"/>
        </w:tabs>
        <w:ind w:left="1380" w:hanging="300"/>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2">
      <w:start w:val="1"/>
      <w:numFmt w:val="lowerRoman"/>
      <w:lvlText w:val="%3."/>
      <w:lvlJc w:val="left"/>
      <w:pPr>
        <w:tabs>
          <w:tab w:val="num" w:pos="2111"/>
        </w:tabs>
        <w:ind w:left="2111" w:hanging="247"/>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3">
      <w:start w:val="1"/>
      <w:numFmt w:val="decimal"/>
      <w:lvlText w:val="%4."/>
      <w:lvlJc w:val="left"/>
      <w:pPr>
        <w:tabs>
          <w:tab w:val="num" w:pos="2820"/>
        </w:tabs>
        <w:ind w:left="2820" w:hanging="300"/>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4">
      <w:start w:val="1"/>
      <w:numFmt w:val="lowerLetter"/>
      <w:lvlText w:val="%5."/>
      <w:lvlJc w:val="left"/>
      <w:pPr>
        <w:tabs>
          <w:tab w:val="num" w:pos="3540"/>
        </w:tabs>
        <w:ind w:left="3540" w:hanging="300"/>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5">
      <w:start w:val="1"/>
      <w:numFmt w:val="lowerRoman"/>
      <w:lvlText w:val="%6."/>
      <w:lvlJc w:val="left"/>
      <w:pPr>
        <w:tabs>
          <w:tab w:val="num" w:pos="4271"/>
        </w:tabs>
        <w:ind w:left="4271" w:hanging="247"/>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6">
      <w:start w:val="1"/>
      <w:numFmt w:val="decimal"/>
      <w:lvlText w:val="%7."/>
      <w:lvlJc w:val="left"/>
      <w:pPr>
        <w:tabs>
          <w:tab w:val="num" w:pos="4980"/>
        </w:tabs>
        <w:ind w:left="4980" w:hanging="300"/>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7">
      <w:start w:val="1"/>
      <w:numFmt w:val="lowerLetter"/>
      <w:lvlText w:val="%8."/>
      <w:lvlJc w:val="left"/>
      <w:pPr>
        <w:tabs>
          <w:tab w:val="num" w:pos="5700"/>
        </w:tabs>
        <w:ind w:left="5700" w:hanging="300"/>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8">
      <w:start w:val="1"/>
      <w:numFmt w:val="lowerRoman"/>
      <w:lvlText w:val="%9."/>
      <w:lvlJc w:val="left"/>
      <w:pPr>
        <w:tabs>
          <w:tab w:val="num" w:pos="6431"/>
        </w:tabs>
        <w:ind w:left="6431" w:hanging="247"/>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abstractNum>
  <w:abstractNum w:abstractNumId="291" w15:restartNumberingAfterBreak="0">
    <w:nsid w:val="6B864986"/>
    <w:multiLevelType w:val="multilevel"/>
    <w:tmpl w:val="70EEEF16"/>
    <w:lvl w:ilvl="0">
      <w:start w:val="1"/>
      <w:numFmt w:val="decimal"/>
      <w:lvlText w:val="%1."/>
      <w:lvlJc w:val="left"/>
      <w:pPr>
        <w:tabs>
          <w:tab w:val="num" w:pos="317"/>
        </w:tabs>
        <w:ind w:left="317" w:hanging="317"/>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1">
      <w:start w:val="1"/>
      <w:numFmt w:val="lowerLetter"/>
      <w:lvlText w:val="%2."/>
      <w:lvlJc w:val="left"/>
      <w:pPr>
        <w:tabs>
          <w:tab w:val="num" w:pos="1380"/>
        </w:tabs>
        <w:ind w:left="1380" w:hanging="300"/>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2">
      <w:start w:val="1"/>
      <w:numFmt w:val="lowerRoman"/>
      <w:lvlText w:val="%3."/>
      <w:lvlJc w:val="left"/>
      <w:pPr>
        <w:tabs>
          <w:tab w:val="num" w:pos="2111"/>
        </w:tabs>
        <w:ind w:left="2111" w:hanging="247"/>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3">
      <w:start w:val="1"/>
      <w:numFmt w:val="decimal"/>
      <w:lvlText w:val="%4."/>
      <w:lvlJc w:val="left"/>
      <w:pPr>
        <w:tabs>
          <w:tab w:val="num" w:pos="2820"/>
        </w:tabs>
        <w:ind w:left="2820" w:hanging="300"/>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4">
      <w:start w:val="1"/>
      <w:numFmt w:val="lowerLetter"/>
      <w:lvlText w:val="%5."/>
      <w:lvlJc w:val="left"/>
      <w:pPr>
        <w:tabs>
          <w:tab w:val="num" w:pos="3540"/>
        </w:tabs>
        <w:ind w:left="3540" w:hanging="300"/>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5">
      <w:start w:val="1"/>
      <w:numFmt w:val="lowerRoman"/>
      <w:lvlText w:val="%6."/>
      <w:lvlJc w:val="left"/>
      <w:pPr>
        <w:tabs>
          <w:tab w:val="num" w:pos="4271"/>
        </w:tabs>
        <w:ind w:left="4271" w:hanging="247"/>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6">
      <w:start w:val="1"/>
      <w:numFmt w:val="decimal"/>
      <w:lvlText w:val="%7."/>
      <w:lvlJc w:val="left"/>
      <w:pPr>
        <w:tabs>
          <w:tab w:val="num" w:pos="4980"/>
        </w:tabs>
        <w:ind w:left="4980" w:hanging="300"/>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7">
      <w:start w:val="1"/>
      <w:numFmt w:val="lowerLetter"/>
      <w:lvlText w:val="%8."/>
      <w:lvlJc w:val="left"/>
      <w:pPr>
        <w:tabs>
          <w:tab w:val="num" w:pos="5700"/>
        </w:tabs>
        <w:ind w:left="5700" w:hanging="300"/>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8">
      <w:start w:val="1"/>
      <w:numFmt w:val="lowerRoman"/>
      <w:lvlText w:val="%9."/>
      <w:lvlJc w:val="left"/>
      <w:pPr>
        <w:tabs>
          <w:tab w:val="num" w:pos="6431"/>
        </w:tabs>
        <w:ind w:left="6431" w:hanging="247"/>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abstractNum>
  <w:abstractNum w:abstractNumId="292" w15:restartNumberingAfterBreak="0">
    <w:nsid w:val="6BC36B19"/>
    <w:multiLevelType w:val="hybridMultilevel"/>
    <w:tmpl w:val="10526EE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3" w15:restartNumberingAfterBreak="0">
    <w:nsid w:val="6C3F042A"/>
    <w:multiLevelType w:val="multilevel"/>
    <w:tmpl w:val="9578B568"/>
    <w:lvl w:ilvl="0">
      <w:start w:val="1"/>
      <w:numFmt w:val="decimal"/>
      <w:lvlText w:val="%1."/>
      <w:lvlJc w:val="left"/>
      <w:pPr>
        <w:tabs>
          <w:tab w:val="num" w:pos="317"/>
        </w:tabs>
        <w:ind w:left="317" w:hanging="317"/>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1">
      <w:start w:val="1"/>
      <w:numFmt w:val="lowerLetter"/>
      <w:lvlText w:val="%2."/>
      <w:lvlJc w:val="left"/>
      <w:pPr>
        <w:tabs>
          <w:tab w:val="num" w:pos="1380"/>
        </w:tabs>
        <w:ind w:left="1380" w:hanging="300"/>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2">
      <w:start w:val="1"/>
      <w:numFmt w:val="lowerRoman"/>
      <w:lvlText w:val="%3."/>
      <w:lvlJc w:val="left"/>
      <w:pPr>
        <w:tabs>
          <w:tab w:val="num" w:pos="2111"/>
        </w:tabs>
        <w:ind w:left="2111" w:hanging="247"/>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3">
      <w:start w:val="1"/>
      <w:numFmt w:val="decimal"/>
      <w:lvlText w:val="%4."/>
      <w:lvlJc w:val="left"/>
      <w:pPr>
        <w:tabs>
          <w:tab w:val="num" w:pos="2820"/>
        </w:tabs>
        <w:ind w:left="2820" w:hanging="300"/>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4">
      <w:start w:val="1"/>
      <w:numFmt w:val="lowerLetter"/>
      <w:lvlText w:val="%5."/>
      <w:lvlJc w:val="left"/>
      <w:pPr>
        <w:tabs>
          <w:tab w:val="num" w:pos="3540"/>
        </w:tabs>
        <w:ind w:left="3540" w:hanging="300"/>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5">
      <w:start w:val="1"/>
      <w:numFmt w:val="lowerRoman"/>
      <w:lvlText w:val="%6."/>
      <w:lvlJc w:val="left"/>
      <w:pPr>
        <w:tabs>
          <w:tab w:val="num" w:pos="4271"/>
        </w:tabs>
        <w:ind w:left="4271" w:hanging="247"/>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6">
      <w:start w:val="1"/>
      <w:numFmt w:val="decimal"/>
      <w:lvlText w:val="%7."/>
      <w:lvlJc w:val="left"/>
      <w:pPr>
        <w:tabs>
          <w:tab w:val="num" w:pos="4980"/>
        </w:tabs>
        <w:ind w:left="4980" w:hanging="300"/>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7">
      <w:start w:val="1"/>
      <w:numFmt w:val="lowerLetter"/>
      <w:lvlText w:val="%8."/>
      <w:lvlJc w:val="left"/>
      <w:pPr>
        <w:tabs>
          <w:tab w:val="num" w:pos="5700"/>
        </w:tabs>
        <w:ind w:left="5700" w:hanging="300"/>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8">
      <w:start w:val="1"/>
      <w:numFmt w:val="lowerRoman"/>
      <w:lvlText w:val="%9."/>
      <w:lvlJc w:val="left"/>
      <w:pPr>
        <w:tabs>
          <w:tab w:val="num" w:pos="6431"/>
        </w:tabs>
        <w:ind w:left="6431" w:hanging="247"/>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abstractNum>
  <w:abstractNum w:abstractNumId="294" w15:restartNumberingAfterBreak="0">
    <w:nsid w:val="6D2D33DB"/>
    <w:multiLevelType w:val="hybridMultilevel"/>
    <w:tmpl w:val="43A6AAAC"/>
    <w:lvl w:ilvl="0" w:tplc="106E8840">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5" w15:restartNumberingAfterBreak="0">
    <w:nsid w:val="6D313CF2"/>
    <w:multiLevelType w:val="multilevel"/>
    <w:tmpl w:val="5B265E34"/>
    <w:lvl w:ilvl="0">
      <w:start w:val="1"/>
      <w:numFmt w:val="decimal"/>
      <w:lvlText w:val="%1."/>
      <w:lvlJc w:val="left"/>
      <w:pPr>
        <w:ind w:left="720" w:hanging="360"/>
      </w:pPr>
      <w:rPr>
        <w:rFonts w:hint="default"/>
      </w:rPr>
    </w:lvl>
    <w:lvl w:ilvl="1">
      <w:start w:val="8"/>
      <w:numFmt w:val="decimal"/>
      <w:isLgl/>
      <w:lvlText w:val="%1.%2."/>
      <w:lvlJc w:val="left"/>
      <w:pPr>
        <w:ind w:left="1287" w:hanging="72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2061" w:hanging="108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3816" w:hanging="1800"/>
      </w:pPr>
      <w:rPr>
        <w:rFonts w:hint="default"/>
      </w:rPr>
    </w:lvl>
  </w:abstractNum>
  <w:abstractNum w:abstractNumId="296" w15:restartNumberingAfterBreak="0">
    <w:nsid w:val="6DDE3659"/>
    <w:multiLevelType w:val="hybridMultilevel"/>
    <w:tmpl w:val="560C8A38"/>
    <w:lvl w:ilvl="0" w:tplc="B7BC32D8">
      <w:start w:val="1"/>
      <w:numFmt w:val="bullet"/>
      <w:lvlText w:val="–"/>
      <w:lvlJc w:val="left"/>
      <w:pPr>
        <w:ind w:left="1146" w:hanging="360"/>
      </w:pPr>
      <w:rPr>
        <w:rFonts w:ascii="Times New Roman" w:hAnsi="Times New Roman" w:hint="default"/>
        <w:color w:val="auto"/>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297" w15:restartNumberingAfterBreak="0">
    <w:nsid w:val="6E225BCE"/>
    <w:multiLevelType w:val="multilevel"/>
    <w:tmpl w:val="912CCFCE"/>
    <w:styleLink w:val="List21"/>
    <w:lvl w:ilvl="0">
      <w:start w:val="1"/>
      <w:numFmt w:val="decimal"/>
      <w:lvlText w:val="%1."/>
      <w:lvlJc w:val="left"/>
      <w:pPr>
        <w:tabs>
          <w:tab w:val="num" w:pos="317"/>
        </w:tabs>
        <w:ind w:left="317" w:hanging="317"/>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1">
      <w:start w:val="1"/>
      <w:numFmt w:val="lowerLetter"/>
      <w:lvlText w:val="%2."/>
      <w:lvlJc w:val="left"/>
      <w:pPr>
        <w:tabs>
          <w:tab w:val="num" w:pos="1380"/>
        </w:tabs>
        <w:ind w:left="1380" w:hanging="300"/>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2">
      <w:start w:val="1"/>
      <w:numFmt w:val="lowerRoman"/>
      <w:lvlText w:val="%3."/>
      <w:lvlJc w:val="left"/>
      <w:pPr>
        <w:tabs>
          <w:tab w:val="num" w:pos="2111"/>
        </w:tabs>
        <w:ind w:left="2111" w:hanging="247"/>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3">
      <w:start w:val="1"/>
      <w:numFmt w:val="decimal"/>
      <w:lvlText w:val="%4."/>
      <w:lvlJc w:val="left"/>
      <w:pPr>
        <w:tabs>
          <w:tab w:val="num" w:pos="2820"/>
        </w:tabs>
        <w:ind w:left="2820" w:hanging="300"/>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4">
      <w:start w:val="1"/>
      <w:numFmt w:val="lowerLetter"/>
      <w:lvlText w:val="%5."/>
      <w:lvlJc w:val="left"/>
      <w:pPr>
        <w:tabs>
          <w:tab w:val="num" w:pos="3540"/>
        </w:tabs>
        <w:ind w:left="3540" w:hanging="300"/>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5">
      <w:start w:val="1"/>
      <w:numFmt w:val="lowerRoman"/>
      <w:lvlText w:val="%6."/>
      <w:lvlJc w:val="left"/>
      <w:pPr>
        <w:tabs>
          <w:tab w:val="num" w:pos="4271"/>
        </w:tabs>
        <w:ind w:left="4271" w:hanging="247"/>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6">
      <w:start w:val="1"/>
      <w:numFmt w:val="decimal"/>
      <w:lvlText w:val="%7."/>
      <w:lvlJc w:val="left"/>
      <w:pPr>
        <w:tabs>
          <w:tab w:val="num" w:pos="4980"/>
        </w:tabs>
        <w:ind w:left="4980" w:hanging="300"/>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7">
      <w:start w:val="1"/>
      <w:numFmt w:val="lowerLetter"/>
      <w:lvlText w:val="%8."/>
      <w:lvlJc w:val="left"/>
      <w:pPr>
        <w:tabs>
          <w:tab w:val="num" w:pos="5700"/>
        </w:tabs>
        <w:ind w:left="5700" w:hanging="300"/>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8">
      <w:start w:val="1"/>
      <w:numFmt w:val="lowerRoman"/>
      <w:lvlText w:val="%9."/>
      <w:lvlJc w:val="left"/>
      <w:pPr>
        <w:tabs>
          <w:tab w:val="num" w:pos="6431"/>
        </w:tabs>
        <w:ind w:left="6431" w:hanging="247"/>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abstractNum>
  <w:abstractNum w:abstractNumId="298" w15:restartNumberingAfterBreak="0">
    <w:nsid w:val="6E4B1407"/>
    <w:multiLevelType w:val="multilevel"/>
    <w:tmpl w:val="FBB61872"/>
    <w:styleLink w:val="List52"/>
    <w:lvl w:ilvl="0">
      <w:start w:val="1"/>
      <w:numFmt w:val="decimal"/>
      <w:lvlText w:val="%1."/>
      <w:lvlJc w:val="left"/>
      <w:pPr>
        <w:tabs>
          <w:tab w:val="num" w:pos="317"/>
        </w:tabs>
        <w:ind w:left="317" w:hanging="317"/>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1">
      <w:start w:val="1"/>
      <w:numFmt w:val="lowerLetter"/>
      <w:lvlText w:val="%2."/>
      <w:lvlJc w:val="left"/>
      <w:pPr>
        <w:tabs>
          <w:tab w:val="num" w:pos="1380"/>
        </w:tabs>
        <w:ind w:left="1380" w:hanging="300"/>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2">
      <w:start w:val="1"/>
      <w:numFmt w:val="lowerRoman"/>
      <w:lvlText w:val="%3."/>
      <w:lvlJc w:val="left"/>
      <w:pPr>
        <w:tabs>
          <w:tab w:val="num" w:pos="2111"/>
        </w:tabs>
        <w:ind w:left="2111" w:hanging="247"/>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3">
      <w:start w:val="1"/>
      <w:numFmt w:val="decimal"/>
      <w:lvlText w:val="%4."/>
      <w:lvlJc w:val="left"/>
      <w:pPr>
        <w:tabs>
          <w:tab w:val="num" w:pos="2820"/>
        </w:tabs>
        <w:ind w:left="2820" w:hanging="300"/>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4">
      <w:start w:val="1"/>
      <w:numFmt w:val="lowerLetter"/>
      <w:lvlText w:val="%5."/>
      <w:lvlJc w:val="left"/>
      <w:pPr>
        <w:tabs>
          <w:tab w:val="num" w:pos="3540"/>
        </w:tabs>
        <w:ind w:left="3540" w:hanging="300"/>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5">
      <w:start w:val="1"/>
      <w:numFmt w:val="lowerRoman"/>
      <w:lvlText w:val="%6."/>
      <w:lvlJc w:val="left"/>
      <w:pPr>
        <w:tabs>
          <w:tab w:val="num" w:pos="4271"/>
        </w:tabs>
        <w:ind w:left="4271" w:hanging="247"/>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6">
      <w:start w:val="1"/>
      <w:numFmt w:val="decimal"/>
      <w:lvlText w:val="%7."/>
      <w:lvlJc w:val="left"/>
      <w:pPr>
        <w:tabs>
          <w:tab w:val="num" w:pos="4980"/>
        </w:tabs>
        <w:ind w:left="4980" w:hanging="300"/>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7">
      <w:start w:val="1"/>
      <w:numFmt w:val="lowerLetter"/>
      <w:lvlText w:val="%8."/>
      <w:lvlJc w:val="left"/>
      <w:pPr>
        <w:tabs>
          <w:tab w:val="num" w:pos="5700"/>
        </w:tabs>
        <w:ind w:left="5700" w:hanging="300"/>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8">
      <w:start w:val="1"/>
      <w:numFmt w:val="lowerRoman"/>
      <w:lvlText w:val="%9."/>
      <w:lvlJc w:val="left"/>
      <w:pPr>
        <w:tabs>
          <w:tab w:val="num" w:pos="6431"/>
        </w:tabs>
        <w:ind w:left="6431" w:hanging="247"/>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abstractNum>
  <w:abstractNum w:abstractNumId="299" w15:restartNumberingAfterBreak="0">
    <w:nsid w:val="6E99264F"/>
    <w:multiLevelType w:val="hybridMultilevel"/>
    <w:tmpl w:val="B3CC1AFE"/>
    <w:lvl w:ilvl="0" w:tplc="FFFFFFFF">
      <w:start w:val="1"/>
      <w:numFmt w:val="bullet"/>
      <w:lvlText w:val="­"/>
      <w:lvlJc w:val="left"/>
      <w:pPr>
        <w:ind w:left="720" w:hanging="360"/>
      </w:pPr>
      <w:rPr>
        <w:rFonts w:ascii="Courier New" w:hAnsi="Courier New" w:cs="Times New Roman"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0" w15:restartNumberingAfterBreak="0">
    <w:nsid w:val="6E9B6F62"/>
    <w:multiLevelType w:val="multilevel"/>
    <w:tmpl w:val="E1F8701C"/>
    <w:lvl w:ilvl="0">
      <w:start w:val="4"/>
      <w:numFmt w:val="decimal"/>
      <w:lvlText w:val="%1."/>
      <w:lvlJc w:val="left"/>
      <w:pPr>
        <w:tabs>
          <w:tab w:val="num" w:pos="510"/>
        </w:tabs>
        <w:ind w:left="510" w:hanging="510"/>
      </w:pPr>
      <w:rPr>
        <w:rFonts w:cs="Times New Roman" w:hint="default"/>
      </w:rPr>
    </w:lvl>
    <w:lvl w:ilvl="1">
      <w:start w:val="1"/>
      <w:numFmt w:val="decimal"/>
      <w:lvlText w:val="%1.%2."/>
      <w:lvlJc w:val="left"/>
      <w:pPr>
        <w:tabs>
          <w:tab w:val="num" w:pos="720"/>
        </w:tabs>
        <w:ind w:left="720" w:hanging="720"/>
      </w:pPr>
      <w:rPr>
        <w:rFonts w:cs="Times New Roman" w:hint="default"/>
        <w:b w:val="0"/>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01" w15:restartNumberingAfterBreak="0">
    <w:nsid w:val="6F4041D7"/>
    <w:multiLevelType w:val="hybridMultilevel"/>
    <w:tmpl w:val="2B1ADD78"/>
    <w:lvl w:ilvl="0" w:tplc="B7BC32D8">
      <w:start w:val="1"/>
      <w:numFmt w:val="bullet"/>
      <w:lvlText w:val="–"/>
      <w:lvlJc w:val="left"/>
      <w:pPr>
        <w:ind w:left="899" w:hanging="360"/>
      </w:pPr>
      <w:rPr>
        <w:rFonts w:ascii="Times New Roman" w:hAnsi="Times New Roman" w:hint="default"/>
        <w:color w:val="auto"/>
      </w:rPr>
    </w:lvl>
    <w:lvl w:ilvl="1" w:tplc="04190003" w:tentative="1">
      <w:start w:val="1"/>
      <w:numFmt w:val="bullet"/>
      <w:lvlText w:val="o"/>
      <w:lvlJc w:val="left"/>
      <w:pPr>
        <w:ind w:left="1619" w:hanging="360"/>
      </w:pPr>
      <w:rPr>
        <w:rFonts w:ascii="Courier New" w:hAnsi="Courier New" w:cs="Courier New" w:hint="default"/>
      </w:rPr>
    </w:lvl>
    <w:lvl w:ilvl="2" w:tplc="04190005" w:tentative="1">
      <w:start w:val="1"/>
      <w:numFmt w:val="bullet"/>
      <w:lvlText w:val=""/>
      <w:lvlJc w:val="left"/>
      <w:pPr>
        <w:ind w:left="2339" w:hanging="360"/>
      </w:pPr>
      <w:rPr>
        <w:rFonts w:ascii="Wingdings" w:hAnsi="Wingdings" w:hint="default"/>
      </w:rPr>
    </w:lvl>
    <w:lvl w:ilvl="3" w:tplc="04190001" w:tentative="1">
      <w:start w:val="1"/>
      <w:numFmt w:val="bullet"/>
      <w:lvlText w:val=""/>
      <w:lvlJc w:val="left"/>
      <w:pPr>
        <w:ind w:left="3059" w:hanging="360"/>
      </w:pPr>
      <w:rPr>
        <w:rFonts w:ascii="Symbol" w:hAnsi="Symbol" w:hint="default"/>
      </w:rPr>
    </w:lvl>
    <w:lvl w:ilvl="4" w:tplc="04190003" w:tentative="1">
      <w:start w:val="1"/>
      <w:numFmt w:val="bullet"/>
      <w:lvlText w:val="o"/>
      <w:lvlJc w:val="left"/>
      <w:pPr>
        <w:ind w:left="3779" w:hanging="360"/>
      </w:pPr>
      <w:rPr>
        <w:rFonts w:ascii="Courier New" w:hAnsi="Courier New" w:cs="Courier New" w:hint="default"/>
      </w:rPr>
    </w:lvl>
    <w:lvl w:ilvl="5" w:tplc="04190005" w:tentative="1">
      <w:start w:val="1"/>
      <w:numFmt w:val="bullet"/>
      <w:lvlText w:val=""/>
      <w:lvlJc w:val="left"/>
      <w:pPr>
        <w:ind w:left="4499" w:hanging="360"/>
      </w:pPr>
      <w:rPr>
        <w:rFonts w:ascii="Wingdings" w:hAnsi="Wingdings" w:hint="default"/>
      </w:rPr>
    </w:lvl>
    <w:lvl w:ilvl="6" w:tplc="04190001" w:tentative="1">
      <w:start w:val="1"/>
      <w:numFmt w:val="bullet"/>
      <w:lvlText w:val=""/>
      <w:lvlJc w:val="left"/>
      <w:pPr>
        <w:ind w:left="5219" w:hanging="360"/>
      </w:pPr>
      <w:rPr>
        <w:rFonts w:ascii="Symbol" w:hAnsi="Symbol" w:hint="default"/>
      </w:rPr>
    </w:lvl>
    <w:lvl w:ilvl="7" w:tplc="04190003" w:tentative="1">
      <w:start w:val="1"/>
      <w:numFmt w:val="bullet"/>
      <w:lvlText w:val="o"/>
      <w:lvlJc w:val="left"/>
      <w:pPr>
        <w:ind w:left="5939" w:hanging="360"/>
      </w:pPr>
      <w:rPr>
        <w:rFonts w:ascii="Courier New" w:hAnsi="Courier New" w:cs="Courier New" w:hint="default"/>
      </w:rPr>
    </w:lvl>
    <w:lvl w:ilvl="8" w:tplc="04190005" w:tentative="1">
      <w:start w:val="1"/>
      <w:numFmt w:val="bullet"/>
      <w:lvlText w:val=""/>
      <w:lvlJc w:val="left"/>
      <w:pPr>
        <w:ind w:left="6659" w:hanging="360"/>
      </w:pPr>
      <w:rPr>
        <w:rFonts w:ascii="Wingdings" w:hAnsi="Wingdings" w:hint="default"/>
      </w:rPr>
    </w:lvl>
  </w:abstractNum>
  <w:abstractNum w:abstractNumId="302" w15:restartNumberingAfterBreak="0">
    <w:nsid w:val="6F931BB6"/>
    <w:multiLevelType w:val="multilevel"/>
    <w:tmpl w:val="1A267030"/>
    <w:lvl w:ilvl="0">
      <w:start w:val="3"/>
      <w:numFmt w:val="decimal"/>
      <w:lvlText w:val="%1."/>
      <w:lvlJc w:val="left"/>
      <w:pPr>
        <w:ind w:left="360" w:hanging="360"/>
      </w:pPr>
      <w:rPr>
        <w:rFonts w:hint="default"/>
      </w:rPr>
    </w:lvl>
    <w:lvl w:ilvl="1">
      <w:start w:val="1"/>
      <w:numFmt w:val="decimal"/>
      <w:lvlText w:val="%1.%2."/>
      <w:lvlJc w:val="left"/>
      <w:pPr>
        <w:ind w:left="-33" w:firstLine="601"/>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3" w15:restartNumberingAfterBreak="0">
    <w:nsid w:val="6FFB2DBC"/>
    <w:multiLevelType w:val="hybridMultilevel"/>
    <w:tmpl w:val="63EE33F8"/>
    <w:lvl w:ilvl="0" w:tplc="B7BC32D8">
      <w:start w:val="1"/>
      <w:numFmt w:val="bullet"/>
      <w:lvlText w:val="–"/>
      <w:lvlJc w:val="left"/>
      <w:pPr>
        <w:ind w:left="1146" w:hanging="360"/>
      </w:pPr>
      <w:rPr>
        <w:rFonts w:ascii="Times New Roman" w:hAnsi="Times New Roman" w:hint="default"/>
        <w:color w:val="auto"/>
      </w:rPr>
    </w:lvl>
    <w:lvl w:ilvl="1" w:tplc="04190003">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304" w15:restartNumberingAfterBreak="0">
    <w:nsid w:val="700426C1"/>
    <w:multiLevelType w:val="hybridMultilevel"/>
    <w:tmpl w:val="37063E92"/>
    <w:lvl w:ilvl="0" w:tplc="C548EC8C">
      <w:start w:val="1"/>
      <w:numFmt w:val="decimal"/>
      <w:lvlText w:val="%1)"/>
      <w:lvlJc w:val="left"/>
      <w:pPr>
        <w:ind w:left="960" w:hanging="360"/>
      </w:pPr>
      <w:rPr>
        <w:rFonts w:hint="default"/>
      </w:rPr>
    </w:lvl>
    <w:lvl w:ilvl="1" w:tplc="04190019" w:tentative="1">
      <w:start w:val="1"/>
      <w:numFmt w:val="lowerLetter"/>
      <w:lvlText w:val="%2."/>
      <w:lvlJc w:val="left"/>
      <w:pPr>
        <w:ind w:left="1680" w:hanging="360"/>
      </w:pPr>
    </w:lvl>
    <w:lvl w:ilvl="2" w:tplc="0419001B" w:tentative="1">
      <w:start w:val="1"/>
      <w:numFmt w:val="lowerRoman"/>
      <w:lvlText w:val="%3."/>
      <w:lvlJc w:val="right"/>
      <w:pPr>
        <w:ind w:left="2400" w:hanging="180"/>
      </w:pPr>
    </w:lvl>
    <w:lvl w:ilvl="3" w:tplc="0419000F" w:tentative="1">
      <w:start w:val="1"/>
      <w:numFmt w:val="decimal"/>
      <w:lvlText w:val="%4."/>
      <w:lvlJc w:val="left"/>
      <w:pPr>
        <w:ind w:left="3120" w:hanging="360"/>
      </w:pPr>
    </w:lvl>
    <w:lvl w:ilvl="4" w:tplc="04190019" w:tentative="1">
      <w:start w:val="1"/>
      <w:numFmt w:val="lowerLetter"/>
      <w:lvlText w:val="%5."/>
      <w:lvlJc w:val="left"/>
      <w:pPr>
        <w:ind w:left="3840" w:hanging="360"/>
      </w:pPr>
    </w:lvl>
    <w:lvl w:ilvl="5" w:tplc="0419001B" w:tentative="1">
      <w:start w:val="1"/>
      <w:numFmt w:val="lowerRoman"/>
      <w:lvlText w:val="%6."/>
      <w:lvlJc w:val="right"/>
      <w:pPr>
        <w:ind w:left="4560" w:hanging="180"/>
      </w:pPr>
    </w:lvl>
    <w:lvl w:ilvl="6" w:tplc="0419000F" w:tentative="1">
      <w:start w:val="1"/>
      <w:numFmt w:val="decimal"/>
      <w:lvlText w:val="%7."/>
      <w:lvlJc w:val="left"/>
      <w:pPr>
        <w:ind w:left="5280" w:hanging="360"/>
      </w:pPr>
    </w:lvl>
    <w:lvl w:ilvl="7" w:tplc="04190019" w:tentative="1">
      <w:start w:val="1"/>
      <w:numFmt w:val="lowerLetter"/>
      <w:lvlText w:val="%8."/>
      <w:lvlJc w:val="left"/>
      <w:pPr>
        <w:ind w:left="6000" w:hanging="360"/>
      </w:pPr>
    </w:lvl>
    <w:lvl w:ilvl="8" w:tplc="0419001B" w:tentative="1">
      <w:start w:val="1"/>
      <w:numFmt w:val="lowerRoman"/>
      <w:lvlText w:val="%9."/>
      <w:lvlJc w:val="right"/>
      <w:pPr>
        <w:ind w:left="6720" w:hanging="180"/>
      </w:pPr>
    </w:lvl>
  </w:abstractNum>
  <w:abstractNum w:abstractNumId="305" w15:restartNumberingAfterBreak="0">
    <w:nsid w:val="70222429"/>
    <w:multiLevelType w:val="multilevel"/>
    <w:tmpl w:val="02363074"/>
    <w:lvl w:ilvl="0">
      <w:start w:val="4"/>
      <w:numFmt w:val="decimal"/>
      <w:lvlText w:val="%1."/>
      <w:lvlJc w:val="left"/>
      <w:pPr>
        <w:ind w:left="432" w:hanging="432"/>
      </w:pPr>
      <w:rPr>
        <w:rFonts w:hint="default"/>
      </w:rPr>
    </w:lvl>
    <w:lvl w:ilvl="1">
      <w:start w:val="1"/>
      <w:numFmt w:val="decimal"/>
      <w:lvlText w:val="%1.%2."/>
      <w:lvlJc w:val="left"/>
      <w:pPr>
        <w:ind w:left="1260" w:hanging="720"/>
      </w:pPr>
      <w:rPr>
        <w:rFonts w:hint="default"/>
      </w:rPr>
    </w:lvl>
    <w:lvl w:ilvl="2">
      <w:start w:val="3"/>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306" w15:restartNumberingAfterBreak="0">
    <w:nsid w:val="7040276E"/>
    <w:multiLevelType w:val="multilevel"/>
    <w:tmpl w:val="483483EC"/>
    <w:lvl w:ilvl="0">
      <w:start w:val="1"/>
      <w:numFmt w:val="decimal"/>
      <w:lvlText w:val="%1."/>
      <w:lvlJc w:val="left"/>
      <w:pPr>
        <w:tabs>
          <w:tab w:val="num" w:pos="360"/>
        </w:tabs>
        <w:ind w:left="360" w:hanging="360"/>
      </w:pPr>
      <w:rPr>
        <w:rFonts w:cs="Times New Roman"/>
      </w:rPr>
    </w:lvl>
    <w:lvl w:ilvl="1">
      <w:start w:val="1"/>
      <w:numFmt w:val="decimal"/>
      <w:lvlText w:val="%2)"/>
      <w:lvlJc w:val="left"/>
      <w:pPr>
        <w:tabs>
          <w:tab w:val="num" w:pos="360"/>
        </w:tabs>
        <w:ind w:left="360" w:hanging="360"/>
      </w:pPr>
      <w:rPr>
        <w:rFonts w:ascii="Garamond" w:eastAsia="Times New Roman" w:hAnsi="Garamond" w:cs="Times New Roman"/>
        <w:color w:val="auto"/>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564"/>
        </w:tabs>
        <w:ind w:left="2492"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307" w15:restartNumberingAfterBreak="0">
    <w:nsid w:val="7086221B"/>
    <w:multiLevelType w:val="multilevel"/>
    <w:tmpl w:val="CDFA8CD6"/>
    <w:lvl w:ilvl="0">
      <w:start w:val="1"/>
      <w:numFmt w:val="decimal"/>
      <w:lvlText w:val="%1."/>
      <w:lvlJc w:val="left"/>
      <w:pPr>
        <w:ind w:left="1080" w:hanging="360"/>
      </w:pPr>
      <w:rPr>
        <w:rFonts w:hint="default"/>
      </w:rPr>
    </w:lvl>
    <w:lvl w:ilvl="1">
      <w:start w:val="1"/>
      <w:numFmt w:val="decimal"/>
      <w:isLgl/>
      <w:lvlText w:val="%1.%2"/>
      <w:lvlJc w:val="left"/>
      <w:pPr>
        <w:ind w:left="1146" w:hanging="360"/>
      </w:pPr>
      <w:rPr>
        <w:rFonts w:hint="default"/>
      </w:rPr>
    </w:lvl>
    <w:lvl w:ilvl="2">
      <w:start w:val="1"/>
      <w:numFmt w:val="decimal"/>
      <w:isLgl/>
      <w:lvlText w:val="%1.%2.%3"/>
      <w:lvlJc w:val="left"/>
      <w:pPr>
        <w:ind w:left="1572" w:hanging="720"/>
      </w:pPr>
      <w:rPr>
        <w:rFonts w:hint="default"/>
      </w:rPr>
    </w:lvl>
    <w:lvl w:ilvl="3">
      <w:start w:val="1"/>
      <w:numFmt w:val="decimal"/>
      <w:isLgl/>
      <w:lvlText w:val="%1.%2.%3.%4"/>
      <w:lvlJc w:val="left"/>
      <w:pPr>
        <w:ind w:left="1638" w:hanging="720"/>
      </w:pPr>
      <w:rPr>
        <w:rFonts w:hint="default"/>
      </w:rPr>
    </w:lvl>
    <w:lvl w:ilvl="4">
      <w:start w:val="1"/>
      <w:numFmt w:val="decimal"/>
      <w:isLgl/>
      <w:lvlText w:val="%1.%2.%3.%4.%5"/>
      <w:lvlJc w:val="left"/>
      <w:pPr>
        <w:ind w:left="2064" w:hanging="1080"/>
      </w:pPr>
      <w:rPr>
        <w:rFonts w:hint="default"/>
      </w:rPr>
    </w:lvl>
    <w:lvl w:ilvl="5">
      <w:start w:val="1"/>
      <w:numFmt w:val="decimal"/>
      <w:isLgl/>
      <w:lvlText w:val="%1.%2.%3.%4.%5.%6"/>
      <w:lvlJc w:val="left"/>
      <w:pPr>
        <w:ind w:left="2130" w:hanging="1080"/>
      </w:pPr>
      <w:rPr>
        <w:rFonts w:hint="default"/>
      </w:rPr>
    </w:lvl>
    <w:lvl w:ilvl="6">
      <w:start w:val="1"/>
      <w:numFmt w:val="decimal"/>
      <w:isLgl/>
      <w:lvlText w:val="%1.%2.%3.%4.%5.%6.%7"/>
      <w:lvlJc w:val="left"/>
      <w:pPr>
        <w:ind w:left="2556" w:hanging="1440"/>
      </w:pPr>
      <w:rPr>
        <w:rFonts w:hint="default"/>
      </w:rPr>
    </w:lvl>
    <w:lvl w:ilvl="7">
      <w:start w:val="1"/>
      <w:numFmt w:val="decimal"/>
      <w:isLgl/>
      <w:lvlText w:val="%1.%2.%3.%4.%5.%6.%7.%8"/>
      <w:lvlJc w:val="left"/>
      <w:pPr>
        <w:ind w:left="2622" w:hanging="1440"/>
      </w:pPr>
      <w:rPr>
        <w:rFonts w:hint="default"/>
      </w:rPr>
    </w:lvl>
    <w:lvl w:ilvl="8">
      <w:start w:val="1"/>
      <w:numFmt w:val="decimal"/>
      <w:isLgl/>
      <w:lvlText w:val="%1.%2.%3.%4.%5.%6.%7.%8.%9"/>
      <w:lvlJc w:val="left"/>
      <w:pPr>
        <w:ind w:left="3048" w:hanging="1800"/>
      </w:pPr>
      <w:rPr>
        <w:rFonts w:hint="default"/>
      </w:rPr>
    </w:lvl>
  </w:abstractNum>
  <w:abstractNum w:abstractNumId="308" w15:restartNumberingAfterBreak="0">
    <w:nsid w:val="70FF4576"/>
    <w:multiLevelType w:val="hybridMultilevel"/>
    <w:tmpl w:val="E00A63F6"/>
    <w:lvl w:ilvl="0" w:tplc="04190011">
      <w:start w:val="1"/>
      <w:numFmt w:val="decimal"/>
      <w:lvlText w:val="%1)"/>
      <w:lvlJc w:val="left"/>
      <w:pPr>
        <w:ind w:left="1320" w:hanging="360"/>
      </w:pPr>
    </w:lvl>
    <w:lvl w:ilvl="1" w:tplc="04190019" w:tentative="1">
      <w:start w:val="1"/>
      <w:numFmt w:val="lowerLetter"/>
      <w:lvlText w:val="%2."/>
      <w:lvlJc w:val="left"/>
      <w:pPr>
        <w:ind w:left="2040" w:hanging="360"/>
      </w:pPr>
    </w:lvl>
    <w:lvl w:ilvl="2" w:tplc="0419001B" w:tentative="1">
      <w:start w:val="1"/>
      <w:numFmt w:val="lowerRoman"/>
      <w:lvlText w:val="%3."/>
      <w:lvlJc w:val="right"/>
      <w:pPr>
        <w:ind w:left="2760" w:hanging="180"/>
      </w:pPr>
    </w:lvl>
    <w:lvl w:ilvl="3" w:tplc="0419000F" w:tentative="1">
      <w:start w:val="1"/>
      <w:numFmt w:val="decimal"/>
      <w:lvlText w:val="%4."/>
      <w:lvlJc w:val="left"/>
      <w:pPr>
        <w:ind w:left="3480" w:hanging="360"/>
      </w:pPr>
    </w:lvl>
    <w:lvl w:ilvl="4" w:tplc="04190019" w:tentative="1">
      <w:start w:val="1"/>
      <w:numFmt w:val="lowerLetter"/>
      <w:lvlText w:val="%5."/>
      <w:lvlJc w:val="left"/>
      <w:pPr>
        <w:ind w:left="4200" w:hanging="360"/>
      </w:pPr>
    </w:lvl>
    <w:lvl w:ilvl="5" w:tplc="0419001B" w:tentative="1">
      <w:start w:val="1"/>
      <w:numFmt w:val="lowerRoman"/>
      <w:lvlText w:val="%6."/>
      <w:lvlJc w:val="right"/>
      <w:pPr>
        <w:ind w:left="4920" w:hanging="180"/>
      </w:pPr>
    </w:lvl>
    <w:lvl w:ilvl="6" w:tplc="0419000F" w:tentative="1">
      <w:start w:val="1"/>
      <w:numFmt w:val="decimal"/>
      <w:lvlText w:val="%7."/>
      <w:lvlJc w:val="left"/>
      <w:pPr>
        <w:ind w:left="5640" w:hanging="360"/>
      </w:pPr>
    </w:lvl>
    <w:lvl w:ilvl="7" w:tplc="04190019" w:tentative="1">
      <w:start w:val="1"/>
      <w:numFmt w:val="lowerLetter"/>
      <w:lvlText w:val="%8."/>
      <w:lvlJc w:val="left"/>
      <w:pPr>
        <w:ind w:left="6360" w:hanging="360"/>
      </w:pPr>
    </w:lvl>
    <w:lvl w:ilvl="8" w:tplc="0419001B" w:tentative="1">
      <w:start w:val="1"/>
      <w:numFmt w:val="lowerRoman"/>
      <w:lvlText w:val="%9."/>
      <w:lvlJc w:val="right"/>
      <w:pPr>
        <w:ind w:left="7080" w:hanging="180"/>
      </w:pPr>
    </w:lvl>
  </w:abstractNum>
  <w:abstractNum w:abstractNumId="309" w15:restartNumberingAfterBreak="0">
    <w:nsid w:val="72480F04"/>
    <w:multiLevelType w:val="hybridMultilevel"/>
    <w:tmpl w:val="A1A26A5A"/>
    <w:lvl w:ilvl="0" w:tplc="F46A40BE">
      <w:start w:val="1"/>
      <w:numFmt w:val="russianLower"/>
      <w:lvlText w:val="%1)"/>
      <w:lvlJc w:val="left"/>
      <w:pPr>
        <w:ind w:left="1320" w:hanging="360"/>
      </w:pPr>
      <w:rPr>
        <w:rFonts w:hint="default"/>
      </w:rPr>
    </w:lvl>
    <w:lvl w:ilvl="1" w:tplc="04190019" w:tentative="1">
      <w:start w:val="1"/>
      <w:numFmt w:val="lowerLetter"/>
      <w:lvlText w:val="%2."/>
      <w:lvlJc w:val="left"/>
      <w:pPr>
        <w:ind w:left="2040" w:hanging="360"/>
      </w:pPr>
    </w:lvl>
    <w:lvl w:ilvl="2" w:tplc="0419001B" w:tentative="1">
      <w:start w:val="1"/>
      <w:numFmt w:val="lowerRoman"/>
      <w:lvlText w:val="%3."/>
      <w:lvlJc w:val="right"/>
      <w:pPr>
        <w:ind w:left="2760" w:hanging="180"/>
      </w:pPr>
    </w:lvl>
    <w:lvl w:ilvl="3" w:tplc="0419000F" w:tentative="1">
      <w:start w:val="1"/>
      <w:numFmt w:val="decimal"/>
      <w:lvlText w:val="%4."/>
      <w:lvlJc w:val="left"/>
      <w:pPr>
        <w:ind w:left="3480" w:hanging="360"/>
      </w:pPr>
    </w:lvl>
    <w:lvl w:ilvl="4" w:tplc="04190019" w:tentative="1">
      <w:start w:val="1"/>
      <w:numFmt w:val="lowerLetter"/>
      <w:lvlText w:val="%5."/>
      <w:lvlJc w:val="left"/>
      <w:pPr>
        <w:ind w:left="4200" w:hanging="360"/>
      </w:pPr>
    </w:lvl>
    <w:lvl w:ilvl="5" w:tplc="0419001B" w:tentative="1">
      <w:start w:val="1"/>
      <w:numFmt w:val="lowerRoman"/>
      <w:lvlText w:val="%6."/>
      <w:lvlJc w:val="right"/>
      <w:pPr>
        <w:ind w:left="4920" w:hanging="180"/>
      </w:pPr>
    </w:lvl>
    <w:lvl w:ilvl="6" w:tplc="0419000F" w:tentative="1">
      <w:start w:val="1"/>
      <w:numFmt w:val="decimal"/>
      <w:lvlText w:val="%7."/>
      <w:lvlJc w:val="left"/>
      <w:pPr>
        <w:ind w:left="5640" w:hanging="360"/>
      </w:pPr>
    </w:lvl>
    <w:lvl w:ilvl="7" w:tplc="04190019" w:tentative="1">
      <w:start w:val="1"/>
      <w:numFmt w:val="lowerLetter"/>
      <w:lvlText w:val="%8."/>
      <w:lvlJc w:val="left"/>
      <w:pPr>
        <w:ind w:left="6360" w:hanging="360"/>
      </w:pPr>
    </w:lvl>
    <w:lvl w:ilvl="8" w:tplc="0419001B" w:tentative="1">
      <w:start w:val="1"/>
      <w:numFmt w:val="lowerRoman"/>
      <w:lvlText w:val="%9."/>
      <w:lvlJc w:val="right"/>
      <w:pPr>
        <w:ind w:left="7080" w:hanging="180"/>
      </w:pPr>
    </w:lvl>
  </w:abstractNum>
  <w:abstractNum w:abstractNumId="310" w15:restartNumberingAfterBreak="0">
    <w:nsid w:val="72B85FA9"/>
    <w:multiLevelType w:val="multilevel"/>
    <w:tmpl w:val="4E986C9C"/>
    <w:lvl w:ilvl="0">
      <w:start w:val="2"/>
      <w:numFmt w:val="decimal"/>
      <w:lvlText w:val="%1."/>
      <w:lvlJc w:val="left"/>
      <w:pPr>
        <w:ind w:left="360" w:hanging="360"/>
      </w:pPr>
      <w:rPr>
        <w:rFonts w:hint="default"/>
      </w:rPr>
    </w:lvl>
    <w:lvl w:ilvl="1">
      <w:start w:val="2"/>
      <w:numFmt w:val="decimal"/>
      <w:lvlText w:val="%1.%2."/>
      <w:lvlJc w:val="left"/>
      <w:pPr>
        <w:ind w:left="1349" w:hanging="720"/>
      </w:pPr>
      <w:rPr>
        <w:rFonts w:hint="default"/>
      </w:rPr>
    </w:lvl>
    <w:lvl w:ilvl="2">
      <w:start w:val="1"/>
      <w:numFmt w:val="decimal"/>
      <w:lvlText w:val="%1.%2.%3."/>
      <w:lvlJc w:val="left"/>
      <w:pPr>
        <w:ind w:left="1978" w:hanging="720"/>
      </w:pPr>
      <w:rPr>
        <w:rFonts w:hint="default"/>
      </w:rPr>
    </w:lvl>
    <w:lvl w:ilvl="3">
      <w:start w:val="1"/>
      <w:numFmt w:val="decimal"/>
      <w:lvlText w:val="%1.%2.%3.%4."/>
      <w:lvlJc w:val="left"/>
      <w:pPr>
        <w:ind w:left="2967" w:hanging="1080"/>
      </w:pPr>
      <w:rPr>
        <w:rFonts w:hint="default"/>
      </w:rPr>
    </w:lvl>
    <w:lvl w:ilvl="4">
      <w:start w:val="1"/>
      <w:numFmt w:val="decimal"/>
      <w:lvlText w:val="%1.%2.%3.%4.%5."/>
      <w:lvlJc w:val="left"/>
      <w:pPr>
        <w:ind w:left="3596" w:hanging="1080"/>
      </w:pPr>
      <w:rPr>
        <w:rFonts w:hint="default"/>
      </w:rPr>
    </w:lvl>
    <w:lvl w:ilvl="5">
      <w:start w:val="1"/>
      <w:numFmt w:val="decimal"/>
      <w:lvlText w:val="%1.%2.%3.%4.%5.%6."/>
      <w:lvlJc w:val="left"/>
      <w:pPr>
        <w:ind w:left="4585" w:hanging="1440"/>
      </w:pPr>
      <w:rPr>
        <w:rFonts w:hint="default"/>
      </w:rPr>
    </w:lvl>
    <w:lvl w:ilvl="6">
      <w:start w:val="1"/>
      <w:numFmt w:val="decimal"/>
      <w:lvlText w:val="%1.%2.%3.%4.%5.%6.%7."/>
      <w:lvlJc w:val="left"/>
      <w:pPr>
        <w:ind w:left="5214" w:hanging="1440"/>
      </w:pPr>
      <w:rPr>
        <w:rFonts w:hint="default"/>
      </w:rPr>
    </w:lvl>
    <w:lvl w:ilvl="7">
      <w:start w:val="1"/>
      <w:numFmt w:val="decimal"/>
      <w:lvlText w:val="%1.%2.%3.%4.%5.%6.%7.%8."/>
      <w:lvlJc w:val="left"/>
      <w:pPr>
        <w:ind w:left="6203" w:hanging="1800"/>
      </w:pPr>
      <w:rPr>
        <w:rFonts w:hint="default"/>
      </w:rPr>
    </w:lvl>
    <w:lvl w:ilvl="8">
      <w:start w:val="1"/>
      <w:numFmt w:val="decimal"/>
      <w:lvlText w:val="%1.%2.%3.%4.%5.%6.%7.%8.%9."/>
      <w:lvlJc w:val="left"/>
      <w:pPr>
        <w:ind w:left="6832" w:hanging="1800"/>
      </w:pPr>
      <w:rPr>
        <w:rFonts w:hint="default"/>
      </w:rPr>
    </w:lvl>
  </w:abstractNum>
  <w:abstractNum w:abstractNumId="311" w15:restartNumberingAfterBreak="0">
    <w:nsid w:val="73277440"/>
    <w:multiLevelType w:val="hybridMultilevel"/>
    <w:tmpl w:val="0E6A7D58"/>
    <w:lvl w:ilvl="0" w:tplc="35C2A952">
      <w:start w:val="1"/>
      <w:numFmt w:val="bullet"/>
      <w:lvlText w:val=""/>
      <w:lvlJc w:val="left"/>
      <w:pPr>
        <w:tabs>
          <w:tab w:val="num" w:pos="784"/>
        </w:tabs>
        <w:ind w:left="784" w:hanging="360"/>
      </w:pPr>
      <w:rPr>
        <w:rFonts w:ascii="Symbol" w:hAnsi="Symbol"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12" w15:restartNumberingAfterBreak="0">
    <w:nsid w:val="73AF4A11"/>
    <w:multiLevelType w:val="multilevel"/>
    <w:tmpl w:val="C4F6AA30"/>
    <w:lvl w:ilvl="0">
      <w:start w:val="1"/>
      <w:numFmt w:val="decimal"/>
      <w:lvlText w:val="%1."/>
      <w:lvlJc w:val="left"/>
      <w:pPr>
        <w:tabs>
          <w:tab w:val="num" w:pos="284"/>
        </w:tabs>
        <w:ind w:left="284" w:hanging="284"/>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1">
      <w:start w:val="1"/>
      <w:numFmt w:val="lowerLetter"/>
      <w:lvlText w:val="%2."/>
      <w:lvlJc w:val="left"/>
      <w:pPr>
        <w:tabs>
          <w:tab w:val="num" w:pos="1380"/>
        </w:tabs>
        <w:ind w:left="1380" w:hanging="300"/>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2">
      <w:start w:val="1"/>
      <w:numFmt w:val="lowerRoman"/>
      <w:lvlText w:val="%3."/>
      <w:lvlJc w:val="left"/>
      <w:pPr>
        <w:tabs>
          <w:tab w:val="num" w:pos="2111"/>
        </w:tabs>
        <w:ind w:left="2111" w:hanging="247"/>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3">
      <w:start w:val="1"/>
      <w:numFmt w:val="decimal"/>
      <w:lvlText w:val="%4."/>
      <w:lvlJc w:val="left"/>
      <w:pPr>
        <w:tabs>
          <w:tab w:val="num" w:pos="2820"/>
        </w:tabs>
        <w:ind w:left="2820" w:hanging="300"/>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4">
      <w:start w:val="1"/>
      <w:numFmt w:val="lowerLetter"/>
      <w:lvlText w:val="%5."/>
      <w:lvlJc w:val="left"/>
      <w:pPr>
        <w:tabs>
          <w:tab w:val="num" w:pos="3540"/>
        </w:tabs>
        <w:ind w:left="3540" w:hanging="300"/>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5">
      <w:start w:val="1"/>
      <w:numFmt w:val="lowerRoman"/>
      <w:lvlText w:val="%6."/>
      <w:lvlJc w:val="left"/>
      <w:pPr>
        <w:tabs>
          <w:tab w:val="num" w:pos="4271"/>
        </w:tabs>
        <w:ind w:left="4271" w:hanging="247"/>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6">
      <w:start w:val="1"/>
      <w:numFmt w:val="decimal"/>
      <w:lvlText w:val="%7."/>
      <w:lvlJc w:val="left"/>
      <w:pPr>
        <w:tabs>
          <w:tab w:val="num" w:pos="4980"/>
        </w:tabs>
        <w:ind w:left="4980" w:hanging="300"/>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7">
      <w:start w:val="1"/>
      <w:numFmt w:val="lowerLetter"/>
      <w:lvlText w:val="%8."/>
      <w:lvlJc w:val="left"/>
      <w:pPr>
        <w:tabs>
          <w:tab w:val="num" w:pos="5700"/>
        </w:tabs>
        <w:ind w:left="5700" w:hanging="300"/>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8">
      <w:start w:val="1"/>
      <w:numFmt w:val="lowerRoman"/>
      <w:lvlText w:val="%9."/>
      <w:lvlJc w:val="left"/>
      <w:pPr>
        <w:tabs>
          <w:tab w:val="num" w:pos="6431"/>
        </w:tabs>
        <w:ind w:left="6431" w:hanging="247"/>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abstractNum>
  <w:abstractNum w:abstractNumId="313" w15:restartNumberingAfterBreak="0">
    <w:nsid w:val="73F25DC8"/>
    <w:multiLevelType w:val="hybridMultilevel"/>
    <w:tmpl w:val="E7FE7B1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4" w15:restartNumberingAfterBreak="0">
    <w:nsid w:val="73FA0D16"/>
    <w:multiLevelType w:val="hybridMultilevel"/>
    <w:tmpl w:val="E7FE7B1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5" w15:restartNumberingAfterBreak="0">
    <w:nsid w:val="74355440"/>
    <w:multiLevelType w:val="hybridMultilevel"/>
    <w:tmpl w:val="E7D2EE5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6" w15:restartNumberingAfterBreak="0">
    <w:nsid w:val="74570397"/>
    <w:multiLevelType w:val="multilevel"/>
    <w:tmpl w:val="AE58E556"/>
    <w:styleLink w:val="List26"/>
    <w:lvl w:ilvl="0">
      <w:start w:val="1"/>
      <w:numFmt w:val="decimal"/>
      <w:lvlText w:val="%1."/>
      <w:lvlJc w:val="left"/>
      <w:pPr>
        <w:tabs>
          <w:tab w:val="num" w:pos="317"/>
        </w:tabs>
        <w:ind w:left="317" w:hanging="317"/>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1">
      <w:start w:val="1"/>
      <w:numFmt w:val="lowerLetter"/>
      <w:lvlText w:val="%2."/>
      <w:lvlJc w:val="left"/>
      <w:pPr>
        <w:tabs>
          <w:tab w:val="num" w:pos="1380"/>
        </w:tabs>
        <w:ind w:left="1380" w:hanging="300"/>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2">
      <w:start w:val="1"/>
      <w:numFmt w:val="lowerRoman"/>
      <w:lvlText w:val="%3."/>
      <w:lvlJc w:val="left"/>
      <w:pPr>
        <w:tabs>
          <w:tab w:val="num" w:pos="2111"/>
        </w:tabs>
        <w:ind w:left="2111" w:hanging="247"/>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3">
      <w:start w:val="1"/>
      <w:numFmt w:val="decimal"/>
      <w:lvlText w:val="%4."/>
      <w:lvlJc w:val="left"/>
      <w:pPr>
        <w:tabs>
          <w:tab w:val="num" w:pos="2820"/>
        </w:tabs>
        <w:ind w:left="2820" w:hanging="300"/>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4">
      <w:start w:val="1"/>
      <w:numFmt w:val="lowerLetter"/>
      <w:lvlText w:val="%5."/>
      <w:lvlJc w:val="left"/>
      <w:pPr>
        <w:tabs>
          <w:tab w:val="num" w:pos="3540"/>
        </w:tabs>
        <w:ind w:left="3540" w:hanging="300"/>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5">
      <w:start w:val="1"/>
      <w:numFmt w:val="lowerRoman"/>
      <w:lvlText w:val="%6."/>
      <w:lvlJc w:val="left"/>
      <w:pPr>
        <w:tabs>
          <w:tab w:val="num" w:pos="4271"/>
        </w:tabs>
        <w:ind w:left="4271" w:hanging="247"/>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6">
      <w:start w:val="1"/>
      <w:numFmt w:val="decimal"/>
      <w:lvlText w:val="%7."/>
      <w:lvlJc w:val="left"/>
      <w:pPr>
        <w:tabs>
          <w:tab w:val="num" w:pos="4980"/>
        </w:tabs>
        <w:ind w:left="4980" w:hanging="300"/>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7">
      <w:start w:val="1"/>
      <w:numFmt w:val="lowerLetter"/>
      <w:lvlText w:val="%8."/>
      <w:lvlJc w:val="left"/>
      <w:pPr>
        <w:tabs>
          <w:tab w:val="num" w:pos="5700"/>
        </w:tabs>
        <w:ind w:left="5700" w:hanging="300"/>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8">
      <w:start w:val="1"/>
      <w:numFmt w:val="lowerRoman"/>
      <w:lvlText w:val="%9."/>
      <w:lvlJc w:val="left"/>
      <w:pPr>
        <w:tabs>
          <w:tab w:val="num" w:pos="6431"/>
        </w:tabs>
        <w:ind w:left="6431" w:hanging="247"/>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abstractNum>
  <w:abstractNum w:abstractNumId="317" w15:restartNumberingAfterBreak="0">
    <w:nsid w:val="748E3C85"/>
    <w:multiLevelType w:val="multilevel"/>
    <w:tmpl w:val="E034D66E"/>
    <w:lvl w:ilvl="0">
      <w:start w:val="2"/>
      <w:numFmt w:val="decimal"/>
      <w:lvlText w:val="%1."/>
      <w:lvlJc w:val="left"/>
      <w:pPr>
        <w:ind w:left="360" w:hanging="360"/>
      </w:pPr>
      <w:rPr>
        <w:rFonts w:hint="default"/>
      </w:rPr>
    </w:lvl>
    <w:lvl w:ilvl="1">
      <w:start w:val="2"/>
      <w:numFmt w:val="decimal"/>
      <w:lvlText w:val="%1.%2."/>
      <w:lvlJc w:val="left"/>
      <w:pPr>
        <w:ind w:left="6107" w:hanging="720"/>
      </w:pPr>
      <w:rPr>
        <w:rFonts w:hint="default"/>
      </w:rPr>
    </w:lvl>
    <w:lvl w:ilvl="2">
      <w:start w:val="1"/>
      <w:numFmt w:val="decimal"/>
      <w:lvlText w:val="%1.%2.%3."/>
      <w:lvlJc w:val="left"/>
      <w:pPr>
        <w:ind w:left="11494" w:hanging="720"/>
      </w:pPr>
      <w:rPr>
        <w:rFonts w:hint="default"/>
      </w:rPr>
    </w:lvl>
    <w:lvl w:ilvl="3">
      <w:start w:val="1"/>
      <w:numFmt w:val="decimal"/>
      <w:lvlText w:val="%1.%2.%3.%4."/>
      <w:lvlJc w:val="left"/>
      <w:pPr>
        <w:ind w:left="17241" w:hanging="1080"/>
      </w:pPr>
      <w:rPr>
        <w:rFonts w:hint="default"/>
      </w:rPr>
    </w:lvl>
    <w:lvl w:ilvl="4">
      <w:start w:val="1"/>
      <w:numFmt w:val="decimal"/>
      <w:lvlText w:val="%1.%2.%3.%4.%5."/>
      <w:lvlJc w:val="left"/>
      <w:pPr>
        <w:ind w:left="22628" w:hanging="1080"/>
      </w:pPr>
      <w:rPr>
        <w:rFonts w:hint="default"/>
      </w:rPr>
    </w:lvl>
    <w:lvl w:ilvl="5">
      <w:start w:val="1"/>
      <w:numFmt w:val="decimal"/>
      <w:lvlText w:val="%1.%2.%3.%4.%5.%6."/>
      <w:lvlJc w:val="left"/>
      <w:pPr>
        <w:ind w:left="28375" w:hanging="1440"/>
      </w:pPr>
      <w:rPr>
        <w:rFonts w:hint="default"/>
      </w:rPr>
    </w:lvl>
    <w:lvl w:ilvl="6">
      <w:start w:val="1"/>
      <w:numFmt w:val="decimal"/>
      <w:lvlText w:val="%1.%2.%3.%4.%5.%6.%7."/>
      <w:lvlJc w:val="left"/>
      <w:pPr>
        <w:ind w:left="-31774" w:hanging="1440"/>
      </w:pPr>
      <w:rPr>
        <w:rFonts w:hint="default"/>
      </w:rPr>
    </w:lvl>
    <w:lvl w:ilvl="7">
      <w:start w:val="1"/>
      <w:numFmt w:val="decimal"/>
      <w:lvlText w:val="%1.%2.%3.%4.%5.%6.%7.%8."/>
      <w:lvlJc w:val="left"/>
      <w:pPr>
        <w:ind w:left="-26027" w:hanging="1800"/>
      </w:pPr>
      <w:rPr>
        <w:rFonts w:hint="default"/>
      </w:rPr>
    </w:lvl>
    <w:lvl w:ilvl="8">
      <w:start w:val="1"/>
      <w:numFmt w:val="decimal"/>
      <w:lvlText w:val="%1.%2.%3.%4.%5.%6.%7.%8.%9."/>
      <w:lvlJc w:val="left"/>
      <w:pPr>
        <w:ind w:left="-20640" w:hanging="1800"/>
      </w:pPr>
      <w:rPr>
        <w:rFonts w:hint="default"/>
      </w:rPr>
    </w:lvl>
  </w:abstractNum>
  <w:abstractNum w:abstractNumId="318" w15:restartNumberingAfterBreak="0">
    <w:nsid w:val="75017D16"/>
    <w:multiLevelType w:val="multilevel"/>
    <w:tmpl w:val="04E6665C"/>
    <w:styleLink w:val="List56"/>
    <w:lvl w:ilvl="0">
      <w:start w:val="1"/>
      <w:numFmt w:val="decimal"/>
      <w:lvlText w:val="%1."/>
      <w:lvlJc w:val="left"/>
      <w:pPr>
        <w:tabs>
          <w:tab w:val="num" w:pos="317"/>
        </w:tabs>
        <w:ind w:left="317" w:hanging="317"/>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1">
      <w:start w:val="1"/>
      <w:numFmt w:val="lowerLetter"/>
      <w:lvlText w:val="%2."/>
      <w:lvlJc w:val="left"/>
      <w:pPr>
        <w:tabs>
          <w:tab w:val="num" w:pos="1380"/>
        </w:tabs>
        <w:ind w:left="1380" w:hanging="300"/>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2">
      <w:start w:val="1"/>
      <w:numFmt w:val="lowerRoman"/>
      <w:lvlText w:val="%3."/>
      <w:lvlJc w:val="left"/>
      <w:pPr>
        <w:tabs>
          <w:tab w:val="num" w:pos="2111"/>
        </w:tabs>
        <w:ind w:left="2111" w:hanging="247"/>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3">
      <w:start w:val="1"/>
      <w:numFmt w:val="decimal"/>
      <w:lvlText w:val="%4."/>
      <w:lvlJc w:val="left"/>
      <w:pPr>
        <w:tabs>
          <w:tab w:val="num" w:pos="2820"/>
        </w:tabs>
        <w:ind w:left="2820" w:hanging="300"/>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4">
      <w:start w:val="1"/>
      <w:numFmt w:val="lowerLetter"/>
      <w:lvlText w:val="%5."/>
      <w:lvlJc w:val="left"/>
      <w:pPr>
        <w:tabs>
          <w:tab w:val="num" w:pos="3540"/>
        </w:tabs>
        <w:ind w:left="3540" w:hanging="300"/>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5">
      <w:start w:val="1"/>
      <w:numFmt w:val="lowerRoman"/>
      <w:lvlText w:val="%6."/>
      <w:lvlJc w:val="left"/>
      <w:pPr>
        <w:tabs>
          <w:tab w:val="num" w:pos="4271"/>
        </w:tabs>
        <w:ind w:left="4271" w:hanging="247"/>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6">
      <w:start w:val="1"/>
      <w:numFmt w:val="decimal"/>
      <w:lvlText w:val="%7."/>
      <w:lvlJc w:val="left"/>
      <w:pPr>
        <w:tabs>
          <w:tab w:val="num" w:pos="4980"/>
        </w:tabs>
        <w:ind w:left="4980" w:hanging="300"/>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7">
      <w:start w:val="1"/>
      <w:numFmt w:val="lowerLetter"/>
      <w:lvlText w:val="%8."/>
      <w:lvlJc w:val="left"/>
      <w:pPr>
        <w:tabs>
          <w:tab w:val="num" w:pos="5700"/>
        </w:tabs>
        <w:ind w:left="5700" w:hanging="300"/>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8">
      <w:start w:val="1"/>
      <w:numFmt w:val="lowerRoman"/>
      <w:lvlText w:val="%9."/>
      <w:lvlJc w:val="left"/>
      <w:pPr>
        <w:tabs>
          <w:tab w:val="num" w:pos="6431"/>
        </w:tabs>
        <w:ind w:left="6431" w:hanging="247"/>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abstractNum>
  <w:abstractNum w:abstractNumId="319" w15:restartNumberingAfterBreak="0">
    <w:nsid w:val="753012E9"/>
    <w:multiLevelType w:val="multilevel"/>
    <w:tmpl w:val="3DAA0C28"/>
    <w:styleLink w:val="31"/>
    <w:lvl w:ilvl="0">
      <w:start w:val="4"/>
      <w:numFmt w:val="decimal"/>
      <w:lvlText w:val="%1."/>
      <w:lvlJc w:val="left"/>
      <w:pPr>
        <w:tabs>
          <w:tab w:val="num" w:pos="720"/>
        </w:tabs>
        <w:ind w:left="720" w:hanging="360"/>
      </w:pPr>
      <w:rPr>
        <w:rFonts w:ascii="Garamond" w:eastAsia="Garamond" w:hAnsi="Garamond" w:cs="Garamond"/>
        <w:color w:val="000000"/>
        <w:position w:val="0"/>
        <w:sz w:val="20"/>
        <w:szCs w:val="20"/>
        <w:lang w:val="ru-RU"/>
      </w:rPr>
    </w:lvl>
    <w:lvl w:ilvl="1">
      <w:start w:val="1"/>
      <w:numFmt w:val="lowerLetter"/>
      <w:lvlText w:val="%2."/>
      <w:lvlJc w:val="left"/>
      <w:pPr>
        <w:tabs>
          <w:tab w:val="num" w:pos="1380"/>
        </w:tabs>
        <w:ind w:left="1380" w:hanging="300"/>
      </w:pPr>
      <w:rPr>
        <w:rFonts w:ascii="Garamond" w:eastAsia="Garamond" w:hAnsi="Garamond" w:cs="Garamond"/>
        <w:color w:val="000000"/>
        <w:position w:val="0"/>
        <w:sz w:val="20"/>
        <w:szCs w:val="20"/>
        <w:lang w:val="ru-RU"/>
      </w:rPr>
    </w:lvl>
    <w:lvl w:ilvl="2">
      <w:start w:val="1"/>
      <w:numFmt w:val="lowerRoman"/>
      <w:lvlText w:val="%3."/>
      <w:lvlJc w:val="left"/>
      <w:pPr>
        <w:tabs>
          <w:tab w:val="num" w:pos="2111"/>
        </w:tabs>
        <w:ind w:left="2111" w:hanging="247"/>
      </w:pPr>
      <w:rPr>
        <w:rFonts w:ascii="Garamond" w:eastAsia="Garamond" w:hAnsi="Garamond" w:cs="Garamond"/>
        <w:color w:val="000000"/>
        <w:position w:val="0"/>
        <w:sz w:val="20"/>
        <w:szCs w:val="20"/>
        <w:lang w:val="ru-RU"/>
      </w:rPr>
    </w:lvl>
    <w:lvl w:ilvl="3">
      <w:start w:val="1"/>
      <w:numFmt w:val="decimal"/>
      <w:lvlText w:val="%4."/>
      <w:lvlJc w:val="left"/>
      <w:pPr>
        <w:tabs>
          <w:tab w:val="num" w:pos="2820"/>
        </w:tabs>
        <w:ind w:left="2820" w:hanging="300"/>
      </w:pPr>
      <w:rPr>
        <w:rFonts w:ascii="Garamond" w:eastAsia="Garamond" w:hAnsi="Garamond" w:cs="Garamond"/>
        <w:color w:val="000000"/>
        <w:position w:val="0"/>
        <w:sz w:val="20"/>
        <w:szCs w:val="20"/>
        <w:lang w:val="ru-RU"/>
      </w:rPr>
    </w:lvl>
    <w:lvl w:ilvl="4">
      <w:start w:val="1"/>
      <w:numFmt w:val="lowerLetter"/>
      <w:lvlText w:val="%5."/>
      <w:lvlJc w:val="left"/>
      <w:pPr>
        <w:tabs>
          <w:tab w:val="num" w:pos="3540"/>
        </w:tabs>
        <w:ind w:left="3540" w:hanging="300"/>
      </w:pPr>
      <w:rPr>
        <w:rFonts w:ascii="Garamond" w:eastAsia="Garamond" w:hAnsi="Garamond" w:cs="Garamond"/>
        <w:color w:val="000000"/>
        <w:position w:val="0"/>
        <w:sz w:val="20"/>
        <w:szCs w:val="20"/>
        <w:lang w:val="ru-RU"/>
      </w:rPr>
    </w:lvl>
    <w:lvl w:ilvl="5">
      <w:start w:val="1"/>
      <w:numFmt w:val="lowerRoman"/>
      <w:lvlText w:val="%6."/>
      <w:lvlJc w:val="left"/>
      <w:pPr>
        <w:tabs>
          <w:tab w:val="num" w:pos="4271"/>
        </w:tabs>
        <w:ind w:left="4271" w:hanging="247"/>
      </w:pPr>
      <w:rPr>
        <w:rFonts w:ascii="Garamond" w:eastAsia="Garamond" w:hAnsi="Garamond" w:cs="Garamond"/>
        <w:color w:val="000000"/>
        <w:position w:val="0"/>
        <w:sz w:val="20"/>
        <w:szCs w:val="20"/>
        <w:lang w:val="ru-RU"/>
      </w:rPr>
    </w:lvl>
    <w:lvl w:ilvl="6">
      <w:start w:val="1"/>
      <w:numFmt w:val="decimal"/>
      <w:lvlText w:val="%7."/>
      <w:lvlJc w:val="left"/>
      <w:pPr>
        <w:tabs>
          <w:tab w:val="num" w:pos="4980"/>
        </w:tabs>
        <w:ind w:left="4980" w:hanging="300"/>
      </w:pPr>
      <w:rPr>
        <w:rFonts w:ascii="Garamond" w:eastAsia="Garamond" w:hAnsi="Garamond" w:cs="Garamond"/>
        <w:color w:val="000000"/>
        <w:position w:val="0"/>
        <w:sz w:val="20"/>
        <w:szCs w:val="20"/>
        <w:lang w:val="ru-RU"/>
      </w:rPr>
    </w:lvl>
    <w:lvl w:ilvl="7">
      <w:start w:val="1"/>
      <w:numFmt w:val="lowerLetter"/>
      <w:lvlText w:val="%8."/>
      <w:lvlJc w:val="left"/>
      <w:pPr>
        <w:tabs>
          <w:tab w:val="num" w:pos="5700"/>
        </w:tabs>
        <w:ind w:left="5700" w:hanging="300"/>
      </w:pPr>
      <w:rPr>
        <w:rFonts w:ascii="Garamond" w:eastAsia="Garamond" w:hAnsi="Garamond" w:cs="Garamond"/>
        <w:color w:val="000000"/>
        <w:position w:val="0"/>
        <w:sz w:val="20"/>
        <w:szCs w:val="20"/>
        <w:lang w:val="ru-RU"/>
      </w:rPr>
    </w:lvl>
    <w:lvl w:ilvl="8">
      <w:start w:val="1"/>
      <w:numFmt w:val="lowerRoman"/>
      <w:lvlText w:val="%9."/>
      <w:lvlJc w:val="left"/>
      <w:pPr>
        <w:tabs>
          <w:tab w:val="num" w:pos="6431"/>
        </w:tabs>
        <w:ind w:left="6431" w:hanging="247"/>
      </w:pPr>
      <w:rPr>
        <w:rFonts w:ascii="Garamond" w:eastAsia="Garamond" w:hAnsi="Garamond" w:cs="Garamond"/>
        <w:color w:val="000000"/>
        <w:position w:val="0"/>
        <w:sz w:val="20"/>
        <w:szCs w:val="20"/>
        <w:lang w:val="ru-RU"/>
      </w:rPr>
    </w:lvl>
  </w:abstractNum>
  <w:abstractNum w:abstractNumId="320" w15:restartNumberingAfterBreak="0">
    <w:nsid w:val="754703E5"/>
    <w:multiLevelType w:val="hybridMultilevel"/>
    <w:tmpl w:val="F9A010EC"/>
    <w:lvl w:ilvl="0" w:tplc="93FE1B6A">
      <w:start w:val="1"/>
      <w:numFmt w:val="decimal"/>
      <w:lvlText w:val="%1."/>
      <w:lvlJc w:val="left"/>
      <w:pPr>
        <w:ind w:left="6173" w:hanging="360"/>
      </w:pPr>
      <w:rPr>
        <w:rFonts w:ascii="Garamond" w:eastAsia="Times New Roman" w:hAnsi="Garamond" w:cs="Times New Roman"/>
      </w:rPr>
    </w:lvl>
    <w:lvl w:ilvl="1" w:tplc="04190003" w:tentative="1">
      <w:start w:val="1"/>
      <w:numFmt w:val="bullet"/>
      <w:lvlText w:val="o"/>
      <w:lvlJc w:val="left"/>
      <w:pPr>
        <w:ind w:left="2907" w:hanging="360"/>
      </w:pPr>
      <w:rPr>
        <w:rFonts w:ascii="Courier New" w:hAnsi="Courier New" w:hint="default"/>
      </w:rPr>
    </w:lvl>
    <w:lvl w:ilvl="2" w:tplc="04190005" w:tentative="1">
      <w:start w:val="1"/>
      <w:numFmt w:val="bullet"/>
      <w:lvlText w:val=""/>
      <w:lvlJc w:val="left"/>
      <w:pPr>
        <w:ind w:left="3627" w:hanging="360"/>
      </w:pPr>
      <w:rPr>
        <w:rFonts w:ascii="Wingdings" w:hAnsi="Wingdings" w:hint="default"/>
      </w:rPr>
    </w:lvl>
    <w:lvl w:ilvl="3" w:tplc="04190001" w:tentative="1">
      <w:start w:val="1"/>
      <w:numFmt w:val="bullet"/>
      <w:lvlText w:val=""/>
      <w:lvlJc w:val="left"/>
      <w:pPr>
        <w:ind w:left="4347" w:hanging="360"/>
      </w:pPr>
      <w:rPr>
        <w:rFonts w:ascii="Symbol" w:hAnsi="Symbol" w:hint="default"/>
      </w:rPr>
    </w:lvl>
    <w:lvl w:ilvl="4" w:tplc="04190003" w:tentative="1">
      <w:start w:val="1"/>
      <w:numFmt w:val="bullet"/>
      <w:lvlText w:val="o"/>
      <w:lvlJc w:val="left"/>
      <w:pPr>
        <w:ind w:left="5067" w:hanging="360"/>
      </w:pPr>
      <w:rPr>
        <w:rFonts w:ascii="Courier New" w:hAnsi="Courier New" w:hint="default"/>
      </w:rPr>
    </w:lvl>
    <w:lvl w:ilvl="5" w:tplc="04190005" w:tentative="1">
      <w:start w:val="1"/>
      <w:numFmt w:val="bullet"/>
      <w:lvlText w:val=""/>
      <w:lvlJc w:val="left"/>
      <w:pPr>
        <w:ind w:left="5787" w:hanging="360"/>
      </w:pPr>
      <w:rPr>
        <w:rFonts w:ascii="Wingdings" w:hAnsi="Wingdings" w:hint="default"/>
      </w:rPr>
    </w:lvl>
    <w:lvl w:ilvl="6" w:tplc="04190001" w:tentative="1">
      <w:start w:val="1"/>
      <w:numFmt w:val="bullet"/>
      <w:lvlText w:val=""/>
      <w:lvlJc w:val="left"/>
      <w:pPr>
        <w:ind w:left="6507" w:hanging="360"/>
      </w:pPr>
      <w:rPr>
        <w:rFonts w:ascii="Symbol" w:hAnsi="Symbol" w:hint="default"/>
      </w:rPr>
    </w:lvl>
    <w:lvl w:ilvl="7" w:tplc="04190003" w:tentative="1">
      <w:start w:val="1"/>
      <w:numFmt w:val="bullet"/>
      <w:lvlText w:val="o"/>
      <w:lvlJc w:val="left"/>
      <w:pPr>
        <w:ind w:left="7227" w:hanging="360"/>
      </w:pPr>
      <w:rPr>
        <w:rFonts w:ascii="Courier New" w:hAnsi="Courier New" w:hint="default"/>
      </w:rPr>
    </w:lvl>
    <w:lvl w:ilvl="8" w:tplc="04190005" w:tentative="1">
      <w:start w:val="1"/>
      <w:numFmt w:val="bullet"/>
      <w:lvlText w:val=""/>
      <w:lvlJc w:val="left"/>
      <w:pPr>
        <w:ind w:left="7947" w:hanging="360"/>
      </w:pPr>
      <w:rPr>
        <w:rFonts w:ascii="Wingdings" w:hAnsi="Wingdings" w:hint="default"/>
      </w:rPr>
    </w:lvl>
  </w:abstractNum>
  <w:abstractNum w:abstractNumId="321" w15:restartNumberingAfterBreak="0">
    <w:nsid w:val="75F93563"/>
    <w:multiLevelType w:val="hybridMultilevel"/>
    <w:tmpl w:val="A086AC94"/>
    <w:lvl w:ilvl="0" w:tplc="FFFFFFFF">
      <w:start w:val="1"/>
      <w:numFmt w:val="bullet"/>
      <w:lvlText w:val="­"/>
      <w:lvlJc w:val="left"/>
      <w:pPr>
        <w:ind w:left="1321" w:hanging="360"/>
      </w:pPr>
      <w:rPr>
        <w:rFonts w:ascii="Courier New" w:hAnsi="Courier New" w:hint="default"/>
        <w:color w:val="auto"/>
      </w:rPr>
    </w:lvl>
    <w:lvl w:ilvl="1" w:tplc="04190003" w:tentative="1">
      <w:start w:val="1"/>
      <w:numFmt w:val="bullet"/>
      <w:lvlText w:val="o"/>
      <w:lvlJc w:val="left"/>
      <w:pPr>
        <w:ind w:left="2041" w:hanging="360"/>
      </w:pPr>
      <w:rPr>
        <w:rFonts w:ascii="Courier New" w:hAnsi="Courier New" w:cs="Courier New" w:hint="default"/>
      </w:rPr>
    </w:lvl>
    <w:lvl w:ilvl="2" w:tplc="04190005" w:tentative="1">
      <w:start w:val="1"/>
      <w:numFmt w:val="bullet"/>
      <w:lvlText w:val=""/>
      <w:lvlJc w:val="left"/>
      <w:pPr>
        <w:ind w:left="2761" w:hanging="360"/>
      </w:pPr>
      <w:rPr>
        <w:rFonts w:ascii="Wingdings" w:hAnsi="Wingdings" w:hint="default"/>
      </w:rPr>
    </w:lvl>
    <w:lvl w:ilvl="3" w:tplc="04190001" w:tentative="1">
      <w:start w:val="1"/>
      <w:numFmt w:val="bullet"/>
      <w:lvlText w:val=""/>
      <w:lvlJc w:val="left"/>
      <w:pPr>
        <w:ind w:left="3481" w:hanging="360"/>
      </w:pPr>
      <w:rPr>
        <w:rFonts w:ascii="Symbol" w:hAnsi="Symbol" w:hint="default"/>
      </w:rPr>
    </w:lvl>
    <w:lvl w:ilvl="4" w:tplc="04190003" w:tentative="1">
      <w:start w:val="1"/>
      <w:numFmt w:val="bullet"/>
      <w:lvlText w:val="o"/>
      <w:lvlJc w:val="left"/>
      <w:pPr>
        <w:ind w:left="4201" w:hanging="360"/>
      </w:pPr>
      <w:rPr>
        <w:rFonts w:ascii="Courier New" w:hAnsi="Courier New" w:cs="Courier New" w:hint="default"/>
      </w:rPr>
    </w:lvl>
    <w:lvl w:ilvl="5" w:tplc="04190005" w:tentative="1">
      <w:start w:val="1"/>
      <w:numFmt w:val="bullet"/>
      <w:lvlText w:val=""/>
      <w:lvlJc w:val="left"/>
      <w:pPr>
        <w:ind w:left="4921" w:hanging="360"/>
      </w:pPr>
      <w:rPr>
        <w:rFonts w:ascii="Wingdings" w:hAnsi="Wingdings" w:hint="default"/>
      </w:rPr>
    </w:lvl>
    <w:lvl w:ilvl="6" w:tplc="04190001" w:tentative="1">
      <w:start w:val="1"/>
      <w:numFmt w:val="bullet"/>
      <w:lvlText w:val=""/>
      <w:lvlJc w:val="left"/>
      <w:pPr>
        <w:ind w:left="5641" w:hanging="360"/>
      </w:pPr>
      <w:rPr>
        <w:rFonts w:ascii="Symbol" w:hAnsi="Symbol" w:hint="default"/>
      </w:rPr>
    </w:lvl>
    <w:lvl w:ilvl="7" w:tplc="04190003" w:tentative="1">
      <w:start w:val="1"/>
      <w:numFmt w:val="bullet"/>
      <w:lvlText w:val="o"/>
      <w:lvlJc w:val="left"/>
      <w:pPr>
        <w:ind w:left="6361" w:hanging="360"/>
      </w:pPr>
      <w:rPr>
        <w:rFonts w:ascii="Courier New" w:hAnsi="Courier New" w:cs="Courier New" w:hint="default"/>
      </w:rPr>
    </w:lvl>
    <w:lvl w:ilvl="8" w:tplc="04190005" w:tentative="1">
      <w:start w:val="1"/>
      <w:numFmt w:val="bullet"/>
      <w:lvlText w:val=""/>
      <w:lvlJc w:val="left"/>
      <w:pPr>
        <w:ind w:left="7081" w:hanging="360"/>
      </w:pPr>
      <w:rPr>
        <w:rFonts w:ascii="Wingdings" w:hAnsi="Wingdings" w:hint="default"/>
      </w:rPr>
    </w:lvl>
  </w:abstractNum>
  <w:abstractNum w:abstractNumId="322" w15:restartNumberingAfterBreak="0">
    <w:nsid w:val="75FB758C"/>
    <w:multiLevelType w:val="multilevel"/>
    <w:tmpl w:val="75AE2A88"/>
    <w:lvl w:ilvl="0">
      <w:start w:val="2"/>
      <w:numFmt w:val="decimal"/>
      <w:lvlText w:val="%1."/>
      <w:lvlJc w:val="left"/>
      <w:pPr>
        <w:ind w:left="360" w:hanging="360"/>
      </w:pPr>
      <w:rPr>
        <w:rFonts w:hint="default"/>
      </w:rPr>
    </w:lvl>
    <w:lvl w:ilvl="1">
      <w:start w:val="1"/>
      <w:numFmt w:val="decimal"/>
      <w:lvlText w:val="%1.%2."/>
      <w:lvlJc w:val="left"/>
      <w:pPr>
        <w:ind w:left="1364" w:hanging="360"/>
      </w:pPr>
      <w:rPr>
        <w:rFonts w:hint="default"/>
      </w:rPr>
    </w:lvl>
    <w:lvl w:ilvl="2">
      <w:start w:val="1"/>
      <w:numFmt w:val="decimal"/>
      <w:lvlText w:val="%1.%2.%3."/>
      <w:lvlJc w:val="left"/>
      <w:pPr>
        <w:ind w:left="2728" w:hanging="720"/>
      </w:pPr>
      <w:rPr>
        <w:rFonts w:hint="default"/>
      </w:rPr>
    </w:lvl>
    <w:lvl w:ilvl="3">
      <w:start w:val="1"/>
      <w:numFmt w:val="decimal"/>
      <w:lvlText w:val="%1.%2.%3.%4."/>
      <w:lvlJc w:val="left"/>
      <w:pPr>
        <w:ind w:left="3732" w:hanging="720"/>
      </w:pPr>
      <w:rPr>
        <w:rFonts w:hint="default"/>
      </w:rPr>
    </w:lvl>
    <w:lvl w:ilvl="4">
      <w:start w:val="1"/>
      <w:numFmt w:val="decimal"/>
      <w:lvlText w:val="%1.%2.%3.%4.%5."/>
      <w:lvlJc w:val="left"/>
      <w:pPr>
        <w:ind w:left="5096" w:hanging="1080"/>
      </w:pPr>
      <w:rPr>
        <w:rFonts w:hint="default"/>
      </w:rPr>
    </w:lvl>
    <w:lvl w:ilvl="5">
      <w:start w:val="1"/>
      <w:numFmt w:val="decimal"/>
      <w:lvlText w:val="%1.%2.%3.%4.%5.%6."/>
      <w:lvlJc w:val="left"/>
      <w:pPr>
        <w:ind w:left="6100" w:hanging="1080"/>
      </w:pPr>
      <w:rPr>
        <w:rFonts w:hint="default"/>
      </w:rPr>
    </w:lvl>
    <w:lvl w:ilvl="6">
      <w:start w:val="1"/>
      <w:numFmt w:val="decimal"/>
      <w:lvlText w:val="%1.%2.%3.%4.%5.%6.%7."/>
      <w:lvlJc w:val="left"/>
      <w:pPr>
        <w:ind w:left="7464" w:hanging="1440"/>
      </w:pPr>
      <w:rPr>
        <w:rFonts w:hint="default"/>
      </w:rPr>
    </w:lvl>
    <w:lvl w:ilvl="7">
      <w:start w:val="1"/>
      <w:numFmt w:val="decimal"/>
      <w:lvlText w:val="%1.%2.%3.%4.%5.%6.%7.%8."/>
      <w:lvlJc w:val="left"/>
      <w:pPr>
        <w:ind w:left="8468" w:hanging="1440"/>
      </w:pPr>
      <w:rPr>
        <w:rFonts w:hint="default"/>
      </w:rPr>
    </w:lvl>
    <w:lvl w:ilvl="8">
      <w:start w:val="1"/>
      <w:numFmt w:val="decimal"/>
      <w:lvlText w:val="%1.%2.%3.%4.%5.%6.%7.%8.%9."/>
      <w:lvlJc w:val="left"/>
      <w:pPr>
        <w:ind w:left="9832" w:hanging="1800"/>
      </w:pPr>
      <w:rPr>
        <w:rFonts w:hint="default"/>
      </w:rPr>
    </w:lvl>
  </w:abstractNum>
  <w:abstractNum w:abstractNumId="323" w15:restartNumberingAfterBreak="0">
    <w:nsid w:val="76340998"/>
    <w:multiLevelType w:val="hybridMultilevel"/>
    <w:tmpl w:val="EA404A7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4" w15:restartNumberingAfterBreak="0">
    <w:nsid w:val="76BC63DA"/>
    <w:multiLevelType w:val="multilevel"/>
    <w:tmpl w:val="C4F6AA30"/>
    <w:styleLink w:val="List50"/>
    <w:lvl w:ilvl="0">
      <w:start w:val="1"/>
      <w:numFmt w:val="decimal"/>
      <w:lvlText w:val="%1."/>
      <w:lvlJc w:val="left"/>
      <w:pPr>
        <w:tabs>
          <w:tab w:val="num" w:pos="284"/>
        </w:tabs>
        <w:ind w:left="284" w:hanging="284"/>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1">
      <w:start w:val="1"/>
      <w:numFmt w:val="lowerLetter"/>
      <w:lvlText w:val="%2."/>
      <w:lvlJc w:val="left"/>
      <w:pPr>
        <w:tabs>
          <w:tab w:val="num" w:pos="1380"/>
        </w:tabs>
        <w:ind w:left="1380" w:hanging="300"/>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2">
      <w:start w:val="1"/>
      <w:numFmt w:val="lowerRoman"/>
      <w:lvlText w:val="%3."/>
      <w:lvlJc w:val="left"/>
      <w:pPr>
        <w:tabs>
          <w:tab w:val="num" w:pos="2111"/>
        </w:tabs>
        <w:ind w:left="2111" w:hanging="247"/>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3">
      <w:start w:val="1"/>
      <w:numFmt w:val="decimal"/>
      <w:lvlText w:val="%4."/>
      <w:lvlJc w:val="left"/>
      <w:pPr>
        <w:tabs>
          <w:tab w:val="num" w:pos="2820"/>
        </w:tabs>
        <w:ind w:left="2820" w:hanging="300"/>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4">
      <w:start w:val="1"/>
      <w:numFmt w:val="lowerLetter"/>
      <w:lvlText w:val="%5."/>
      <w:lvlJc w:val="left"/>
      <w:pPr>
        <w:tabs>
          <w:tab w:val="num" w:pos="3540"/>
        </w:tabs>
        <w:ind w:left="3540" w:hanging="300"/>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5">
      <w:start w:val="1"/>
      <w:numFmt w:val="lowerRoman"/>
      <w:lvlText w:val="%6."/>
      <w:lvlJc w:val="left"/>
      <w:pPr>
        <w:tabs>
          <w:tab w:val="num" w:pos="4271"/>
        </w:tabs>
        <w:ind w:left="4271" w:hanging="247"/>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6">
      <w:start w:val="1"/>
      <w:numFmt w:val="decimal"/>
      <w:lvlText w:val="%7."/>
      <w:lvlJc w:val="left"/>
      <w:pPr>
        <w:tabs>
          <w:tab w:val="num" w:pos="4980"/>
        </w:tabs>
        <w:ind w:left="4980" w:hanging="300"/>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7">
      <w:start w:val="1"/>
      <w:numFmt w:val="lowerLetter"/>
      <w:lvlText w:val="%8."/>
      <w:lvlJc w:val="left"/>
      <w:pPr>
        <w:tabs>
          <w:tab w:val="num" w:pos="5700"/>
        </w:tabs>
        <w:ind w:left="5700" w:hanging="300"/>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8">
      <w:start w:val="1"/>
      <w:numFmt w:val="lowerRoman"/>
      <w:lvlText w:val="%9."/>
      <w:lvlJc w:val="left"/>
      <w:pPr>
        <w:tabs>
          <w:tab w:val="num" w:pos="6431"/>
        </w:tabs>
        <w:ind w:left="6431" w:hanging="247"/>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abstractNum>
  <w:abstractNum w:abstractNumId="325" w15:restartNumberingAfterBreak="0">
    <w:nsid w:val="76E3429D"/>
    <w:multiLevelType w:val="hybridMultilevel"/>
    <w:tmpl w:val="7C52FB0A"/>
    <w:lvl w:ilvl="0" w:tplc="28801938">
      <w:start w:val="5"/>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6" w15:restartNumberingAfterBreak="0">
    <w:nsid w:val="77C46615"/>
    <w:multiLevelType w:val="hybridMultilevel"/>
    <w:tmpl w:val="91E69FB6"/>
    <w:lvl w:ilvl="0" w:tplc="B7BC32D8">
      <w:start w:val="1"/>
      <w:numFmt w:val="bullet"/>
      <w:lvlText w:val="–"/>
      <w:lvlJc w:val="left"/>
      <w:pPr>
        <w:ind w:left="426" w:hanging="360"/>
      </w:pPr>
      <w:rPr>
        <w:rFonts w:ascii="Times New Roman" w:hAnsi="Times New Roman" w:hint="default"/>
        <w:color w:val="auto"/>
      </w:rPr>
    </w:lvl>
    <w:lvl w:ilvl="1" w:tplc="04190003">
      <w:start w:val="1"/>
      <w:numFmt w:val="bullet"/>
      <w:lvlText w:val="o"/>
      <w:lvlJc w:val="left"/>
      <w:pPr>
        <w:ind w:left="1146" w:hanging="360"/>
      </w:pPr>
      <w:rPr>
        <w:rFonts w:ascii="Courier New" w:hAnsi="Courier New" w:cs="Courier New" w:hint="default"/>
      </w:rPr>
    </w:lvl>
    <w:lvl w:ilvl="2" w:tplc="04190005" w:tentative="1">
      <w:start w:val="1"/>
      <w:numFmt w:val="bullet"/>
      <w:lvlText w:val=""/>
      <w:lvlJc w:val="left"/>
      <w:pPr>
        <w:ind w:left="1866" w:hanging="360"/>
      </w:pPr>
      <w:rPr>
        <w:rFonts w:ascii="Wingdings" w:hAnsi="Wingdings" w:hint="default"/>
      </w:rPr>
    </w:lvl>
    <w:lvl w:ilvl="3" w:tplc="04190001" w:tentative="1">
      <w:start w:val="1"/>
      <w:numFmt w:val="bullet"/>
      <w:lvlText w:val=""/>
      <w:lvlJc w:val="left"/>
      <w:pPr>
        <w:ind w:left="2586" w:hanging="360"/>
      </w:pPr>
      <w:rPr>
        <w:rFonts w:ascii="Symbol" w:hAnsi="Symbol" w:hint="default"/>
      </w:rPr>
    </w:lvl>
    <w:lvl w:ilvl="4" w:tplc="04190003" w:tentative="1">
      <w:start w:val="1"/>
      <w:numFmt w:val="bullet"/>
      <w:lvlText w:val="o"/>
      <w:lvlJc w:val="left"/>
      <w:pPr>
        <w:ind w:left="3306" w:hanging="360"/>
      </w:pPr>
      <w:rPr>
        <w:rFonts w:ascii="Courier New" w:hAnsi="Courier New" w:cs="Courier New" w:hint="default"/>
      </w:rPr>
    </w:lvl>
    <w:lvl w:ilvl="5" w:tplc="04190005" w:tentative="1">
      <w:start w:val="1"/>
      <w:numFmt w:val="bullet"/>
      <w:lvlText w:val=""/>
      <w:lvlJc w:val="left"/>
      <w:pPr>
        <w:ind w:left="4026" w:hanging="360"/>
      </w:pPr>
      <w:rPr>
        <w:rFonts w:ascii="Wingdings" w:hAnsi="Wingdings" w:hint="default"/>
      </w:rPr>
    </w:lvl>
    <w:lvl w:ilvl="6" w:tplc="04190001" w:tentative="1">
      <w:start w:val="1"/>
      <w:numFmt w:val="bullet"/>
      <w:lvlText w:val=""/>
      <w:lvlJc w:val="left"/>
      <w:pPr>
        <w:ind w:left="4746" w:hanging="360"/>
      </w:pPr>
      <w:rPr>
        <w:rFonts w:ascii="Symbol" w:hAnsi="Symbol" w:hint="default"/>
      </w:rPr>
    </w:lvl>
    <w:lvl w:ilvl="7" w:tplc="04190003" w:tentative="1">
      <w:start w:val="1"/>
      <w:numFmt w:val="bullet"/>
      <w:lvlText w:val="o"/>
      <w:lvlJc w:val="left"/>
      <w:pPr>
        <w:ind w:left="5466" w:hanging="360"/>
      </w:pPr>
      <w:rPr>
        <w:rFonts w:ascii="Courier New" w:hAnsi="Courier New" w:cs="Courier New" w:hint="default"/>
      </w:rPr>
    </w:lvl>
    <w:lvl w:ilvl="8" w:tplc="04190005" w:tentative="1">
      <w:start w:val="1"/>
      <w:numFmt w:val="bullet"/>
      <w:lvlText w:val=""/>
      <w:lvlJc w:val="left"/>
      <w:pPr>
        <w:ind w:left="6186" w:hanging="360"/>
      </w:pPr>
      <w:rPr>
        <w:rFonts w:ascii="Wingdings" w:hAnsi="Wingdings" w:hint="default"/>
      </w:rPr>
    </w:lvl>
  </w:abstractNum>
  <w:abstractNum w:abstractNumId="327" w15:restartNumberingAfterBreak="0">
    <w:nsid w:val="77D859A8"/>
    <w:multiLevelType w:val="hybridMultilevel"/>
    <w:tmpl w:val="E7FE7B1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8" w15:restartNumberingAfterBreak="0">
    <w:nsid w:val="78343684"/>
    <w:multiLevelType w:val="multilevel"/>
    <w:tmpl w:val="9578B568"/>
    <w:lvl w:ilvl="0">
      <w:start w:val="1"/>
      <w:numFmt w:val="decimal"/>
      <w:lvlText w:val="%1."/>
      <w:lvlJc w:val="left"/>
      <w:pPr>
        <w:tabs>
          <w:tab w:val="num" w:pos="317"/>
        </w:tabs>
        <w:ind w:left="317" w:hanging="317"/>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1">
      <w:start w:val="1"/>
      <w:numFmt w:val="lowerLetter"/>
      <w:lvlText w:val="%2."/>
      <w:lvlJc w:val="left"/>
      <w:pPr>
        <w:tabs>
          <w:tab w:val="num" w:pos="1380"/>
        </w:tabs>
        <w:ind w:left="1380" w:hanging="300"/>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2">
      <w:start w:val="1"/>
      <w:numFmt w:val="lowerRoman"/>
      <w:lvlText w:val="%3."/>
      <w:lvlJc w:val="left"/>
      <w:pPr>
        <w:tabs>
          <w:tab w:val="num" w:pos="2111"/>
        </w:tabs>
        <w:ind w:left="2111" w:hanging="247"/>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3">
      <w:start w:val="1"/>
      <w:numFmt w:val="decimal"/>
      <w:lvlText w:val="%4."/>
      <w:lvlJc w:val="left"/>
      <w:pPr>
        <w:tabs>
          <w:tab w:val="num" w:pos="2820"/>
        </w:tabs>
        <w:ind w:left="2820" w:hanging="300"/>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4">
      <w:start w:val="1"/>
      <w:numFmt w:val="lowerLetter"/>
      <w:lvlText w:val="%5."/>
      <w:lvlJc w:val="left"/>
      <w:pPr>
        <w:tabs>
          <w:tab w:val="num" w:pos="3540"/>
        </w:tabs>
        <w:ind w:left="3540" w:hanging="300"/>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5">
      <w:start w:val="1"/>
      <w:numFmt w:val="lowerRoman"/>
      <w:lvlText w:val="%6."/>
      <w:lvlJc w:val="left"/>
      <w:pPr>
        <w:tabs>
          <w:tab w:val="num" w:pos="4271"/>
        </w:tabs>
        <w:ind w:left="4271" w:hanging="247"/>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6">
      <w:start w:val="1"/>
      <w:numFmt w:val="decimal"/>
      <w:lvlText w:val="%7."/>
      <w:lvlJc w:val="left"/>
      <w:pPr>
        <w:tabs>
          <w:tab w:val="num" w:pos="4980"/>
        </w:tabs>
        <w:ind w:left="4980" w:hanging="300"/>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7">
      <w:start w:val="1"/>
      <w:numFmt w:val="lowerLetter"/>
      <w:lvlText w:val="%8."/>
      <w:lvlJc w:val="left"/>
      <w:pPr>
        <w:tabs>
          <w:tab w:val="num" w:pos="5700"/>
        </w:tabs>
        <w:ind w:left="5700" w:hanging="300"/>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8">
      <w:start w:val="1"/>
      <w:numFmt w:val="lowerRoman"/>
      <w:lvlText w:val="%9."/>
      <w:lvlJc w:val="left"/>
      <w:pPr>
        <w:tabs>
          <w:tab w:val="num" w:pos="6431"/>
        </w:tabs>
        <w:ind w:left="6431" w:hanging="247"/>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abstractNum>
  <w:abstractNum w:abstractNumId="329" w15:restartNumberingAfterBreak="0">
    <w:nsid w:val="786F1E81"/>
    <w:multiLevelType w:val="hybridMultilevel"/>
    <w:tmpl w:val="E7FE7B1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0" w15:restartNumberingAfterBreak="0">
    <w:nsid w:val="78773E6E"/>
    <w:multiLevelType w:val="hybridMultilevel"/>
    <w:tmpl w:val="E7FE7B1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1" w15:restartNumberingAfterBreak="0">
    <w:nsid w:val="792D0DFF"/>
    <w:multiLevelType w:val="multilevel"/>
    <w:tmpl w:val="C4F6AA30"/>
    <w:lvl w:ilvl="0">
      <w:start w:val="1"/>
      <w:numFmt w:val="decimal"/>
      <w:lvlText w:val="%1."/>
      <w:lvlJc w:val="left"/>
      <w:pPr>
        <w:tabs>
          <w:tab w:val="num" w:pos="284"/>
        </w:tabs>
        <w:ind w:left="284" w:hanging="284"/>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1">
      <w:start w:val="1"/>
      <w:numFmt w:val="lowerLetter"/>
      <w:lvlText w:val="%2."/>
      <w:lvlJc w:val="left"/>
      <w:pPr>
        <w:tabs>
          <w:tab w:val="num" w:pos="1380"/>
        </w:tabs>
        <w:ind w:left="1380" w:hanging="300"/>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2">
      <w:start w:val="1"/>
      <w:numFmt w:val="lowerRoman"/>
      <w:lvlText w:val="%3."/>
      <w:lvlJc w:val="left"/>
      <w:pPr>
        <w:tabs>
          <w:tab w:val="num" w:pos="2111"/>
        </w:tabs>
        <w:ind w:left="2111" w:hanging="247"/>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3">
      <w:start w:val="1"/>
      <w:numFmt w:val="decimal"/>
      <w:lvlText w:val="%4."/>
      <w:lvlJc w:val="left"/>
      <w:pPr>
        <w:tabs>
          <w:tab w:val="num" w:pos="2820"/>
        </w:tabs>
        <w:ind w:left="2820" w:hanging="300"/>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4">
      <w:start w:val="1"/>
      <w:numFmt w:val="lowerLetter"/>
      <w:lvlText w:val="%5."/>
      <w:lvlJc w:val="left"/>
      <w:pPr>
        <w:tabs>
          <w:tab w:val="num" w:pos="3540"/>
        </w:tabs>
        <w:ind w:left="3540" w:hanging="300"/>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5">
      <w:start w:val="1"/>
      <w:numFmt w:val="lowerRoman"/>
      <w:lvlText w:val="%6."/>
      <w:lvlJc w:val="left"/>
      <w:pPr>
        <w:tabs>
          <w:tab w:val="num" w:pos="4271"/>
        </w:tabs>
        <w:ind w:left="4271" w:hanging="247"/>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6">
      <w:start w:val="1"/>
      <w:numFmt w:val="decimal"/>
      <w:lvlText w:val="%7."/>
      <w:lvlJc w:val="left"/>
      <w:pPr>
        <w:tabs>
          <w:tab w:val="num" w:pos="4980"/>
        </w:tabs>
        <w:ind w:left="4980" w:hanging="300"/>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7">
      <w:start w:val="1"/>
      <w:numFmt w:val="lowerLetter"/>
      <w:lvlText w:val="%8."/>
      <w:lvlJc w:val="left"/>
      <w:pPr>
        <w:tabs>
          <w:tab w:val="num" w:pos="5700"/>
        </w:tabs>
        <w:ind w:left="5700" w:hanging="300"/>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8">
      <w:start w:val="1"/>
      <w:numFmt w:val="lowerRoman"/>
      <w:lvlText w:val="%9."/>
      <w:lvlJc w:val="left"/>
      <w:pPr>
        <w:tabs>
          <w:tab w:val="num" w:pos="6431"/>
        </w:tabs>
        <w:ind w:left="6431" w:hanging="247"/>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abstractNum>
  <w:abstractNum w:abstractNumId="332" w15:restartNumberingAfterBreak="0">
    <w:nsid w:val="79DE004A"/>
    <w:multiLevelType w:val="multilevel"/>
    <w:tmpl w:val="9F10C6CE"/>
    <w:lvl w:ilvl="0">
      <w:start w:val="1"/>
      <w:numFmt w:val="decimal"/>
      <w:lvlText w:val="%1."/>
      <w:lvlJc w:val="left"/>
      <w:rPr>
        <w:rFonts w:ascii="Garamond" w:eastAsia="Garamond" w:hAnsi="Garamond" w:cs="Garamond"/>
        <w:position w:val="0"/>
        <w:lang w:val="ru-RU"/>
      </w:rPr>
    </w:lvl>
    <w:lvl w:ilvl="1">
      <w:start w:val="1"/>
      <w:numFmt w:val="decimal"/>
      <w:lvlText w:val="%2."/>
      <w:lvlJc w:val="left"/>
      <w:rPr>
        <w:position w:val="0"/>
        <w:lang w:val="ru-RU"/>
      </w:rPr>
    </w:lvl>
    <w:lvl w:ilvl="2">
      <w:start w:val="1"/>
      <w:numFmt w:val="lowerRoman"/>
      <w:lvlText w:val="%3."/>
      <w:lvlJc w:val="left"/>
      <w:rPr>
        <w:rFonts w:ascii="Garamond" w:eastAsia="Garamond" w:hAnsi="Garamond" w:cs="Garamond"/>
        <w:position w:val="0"/>
        <w:lang w:val="ru-RU"/>
      </w:rPr>
    </w:lvl>
    <w:lvl w:ilvl="3">
      <w:start w:val="1"/>
      <w:numFmt w:val="decimal"/>
      <w:lvlText w:val="%4."/>
      <w:lvlJc w:val="left"/>
      <w:rPr>
        <w:rFonts w:ascii="Garamond" w:eastAsia="Garamond" w:hAnsi="Garamond" w:cs="Garamond"/>
        <w:position w:val="0"/>
        <w:lang w:val="ru-RU"/>
      </w:rPr>
    </w:lvl>
    <w:lvl w:ilvl="4">
      <w:start w:val="1"/>
      <w:numFmt w:val="lowerLetter"/>
      <w:lvlText w:val="%5."/>
      <w:lvlJc w:val="left"/>
      <w:rPr>
        <w:rFonts w:ascii="Garamond" w:eastAsia="Garamond" w:hAnsi="Garamond" w:cs="Garamond"/>
        <w:position w:val="0"/>
        <w:lang w:val="ru-RU"/>
      </w:rPr>
    </w:lvl>
    <w:lvl w:ilvl="5">
      <w:start w:val="1"/>
      <w:numFmt w:val="lowerRoman"/>
      <w:lvlText w:val="%6."/>
      <w:lvlJc w:val="left"/>
      <w:rPr>
        <w:rFonts w:ascii="Garamond" w:eastAsia="Garamond" w:hAnsi="Garamond" w:cs="Garamond"/>
        <w:position w:val="0"/>
        <w:lang w:val="ru-RU"/>
      </w:rPr>
    </w:lvl>
    <w:lvl w:ilvl="6">
      <w:start w:val="1"/>
      <w:numFmt w:val="decimal"/>
      <w:lvlText w:val="%7."/>
      <w:lvlJc w:val="left"/>
      <w:rPr>
        <w:rFonts w:ascii="Garamond" w:eastAsia="Garamond" w:hAnsi="Garamond" w:cs="Garamond"/>
        <w:position w:val="0"/>
        <w:lang w:val="ru-RU"/>
      </w:rPr>
    </w:lvl>
    <w:lvl w:ilvl="7">
      <w:start w:val="1"/>
      <w:numFmt w:val="lowerLetter"/>
      <w:lvlText w:val="%8."/>
      <w:lvlJc w:val="left"/>
      <w:rPr>
        <w:rFonts w:ascii="Garamond" w:eastAsia="Garamond" w:hAnsi="Garamond" w:cs="Garamond"/>
        <w:position w:val="0"/>
        <w:lang w:val="ru-RU"/>
      </w:rPr>
    </w:lvl>
    <w:lvl w:ilvl="8">
      <w:start w:val="1"/>
      <w:numFmt w:val="lowerRoman"/>
      <w:lvlText w:val="%9."/>
      <w:lvlJc w:val="left"/>
      <w:rPr>
        <w:rFonts w:ascii="Garamond" w:eastAsia="Garamond" w:hAnsi="Garamond" w:cs="Garamond"/>
        <w:position w:val="0"/>
        <w:lang w:val="ru-RU"/>
      </w:rPr>
    </w:lvl>
  </w:abstractNum>
  <w:abstractNum w:abstractNumId="333" w15:restartNumberingAfterBreak="0">
    <w:nsid w:val="7A7C3685"/>
    <w:multiLevelType w:val="multilevel"/>
    <w:tmpl w:val="809A2AAA"/>
    <w:lvl w:ilvl="0">
      <w:start w:val="1"/>
      <w:numFmt w:val="bullet"/>
      <w:lvlText w:val=""/>
      <w:lvlJc w:val="left"/>
      <w:pPr>
        <w:tabs>
          <w:tab w:val="num" w:pos="360"/>
        </w:tabs>
        <w:ind w:left="360" w:hanging="360"/>
      </w:pPr>
      <w:rPr>
        <w:rFonts w:ascii="Symbol" w:hAnsi="Symbol" w:cs="Symbol" w:hint="default"/>
        <w:b w:val="0"/>
        <w:i w:val="0"/>
      </w:rPr>
    </w:lvl>
    <w:lvl w:ilvl="1">
      <w:start w:val="3"/>
      <w:numFmt w:val="decimal"/>
      <w:lvlText w:val="%1.%2"/>
      <w:lvlJc w:val="left"/>
      <w:pPr>
        <w:ind w:left="880" w:hanging="384"/>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568" w:hanging="108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920" w:hanging="144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5272" w:hanging="1800"/>
      </w:pPr>
      <w:rPr>
        <w:rFonts w:hint="default"/>
      </w:rPr>
    </w:lvl>
    <w:lvl w:ilvl="8">
      <w:start w:val="1"/>
      <w:numFmt w:val="decimal"/>
      <w:lvlText w:val="%1.%2.%3.%4.%5.%6.%7.%8.%9"/>
      <w:lvlJc w:val="left"/>
      <w:pPr>
        <w:ind w:left="5768" w:hanging="1800"/>
      </w:pPr>
      <w:rPr>
        <w:rFonts w:hint="default"/>
      </w:rPr>
    </w:lvl>
  </w:abstractNum>
  <w:abstractNum w:abstractNumId="334" w15:restartNumberingAfterBreak="0">
    <w:nsid w:val="7AB700B0"/>
    <w:multiLevelType w:val="multilevel"/>
    <w:tmpl w:val="6D54AEF8"/>
    <w:lvl w:ilvl="0">
      <w:start w:val="1"/>
      <w:numFmt w:val="decimal"/>
      <w:pStyle w:val="1"/>
      <w:lvlText w:val="%1."/>
      <w:lvlJc w:val="left"/>
      <w:pPr>
        <w:tabs>
          <w:tab w:val="num" w:pos="360"/>
        </w:tabs>
        <w:ind w:left="360" w:hanging="360"/>
      </w:pPr>
      <w:rPr>
        <w:rFonts w:cs="Times New Roman" w:hint="default"/>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335" w15:restartNumberingAfterBreak="0">
    <w:nsid w:val="7B7A5A03"/>
    <w:multiLevelType w:val="hybridMultilevel"/>
    <w:tmpl w:val="EA404A7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6" w15:restartNumberingAfterBreak="0">
    <w:nsid w:val="7C615762"/>
    <w:multiLevelType w:val="multilevel"/>
    <w:tmpl w:val="04190025"/>
    <w:styleLink w:val="20"/>
    <w:lvl w:ilvl="0">
      <w:start w:val="1"/>
      <w:numFmt w:val="decimal"/>
      <w:lvlText w:val="%1"/>
      <w:lvlJc w:val="left"/>
      <w:pPr>
        <w:ind w:left="432" w:hanging="432"/>
      </w:pPr>
      <w:rPr>
        <w:rFonts w:cs="Times New Roman"/>
      </w:rPr>
    </w:lvl>
    <w:lvl w:ilvl="1">
      <w:start w:val="1"/>
      <w:numFmt w:val="decimal"/>
      <w:lvlText w:val="%1.%2"/>
      <w:lvlJc w:val="left"/>
      <w:pPr>
        <w:ind w:left="2136" w:hanging="576"/>
      </w:pPr>
      <w:rPr>
        <w:rFonts w:cs="Times New Roman"/>
      </w:rPr>
    </w:lvl>
    <w:lvl w:ilvl="2">
      <w:start w:val="1"/>
      <w:numFmt w:val="decimal"/>
      <w:lvlText w:val="%1.%2.%3"/>
      <w:lvlJc w:val="left"/>
      <w:pPr>
        <w:ind w:left="720" w:hanging="720"/>
      </w:pPr>
      <w:rPr>
        <w:rFonts w:cs="Times New Roman"/>
      </w:rPr>
    </w:lvl>
    <w:lvl w:ilvl="3">
      <w:start w:val="1"/>
      <w:numFmt w:val="decimal"/>
      <w:lvlText w:val="%1.%2.%3.%4"/>
      <w:lvlJc w:val="left"/>
      <w:pPr>
        <w:ind w:left="864" w:hanging="864"/>
      </w:pPr>
      <w:rPr>
        <w:rFonts w:cs="Times New Roman"/>
      </w:rPr>
    </w:lvl>
    <w:lvl w:ilvl="4">
      <w:start w:val="1"/>
      <w:numFmt w:val="decimal"/>
      <w:lvlText w:val="%1.%2.%3.%4.%5"/>
      <w:lvlJc w:val="left"/>
      <w:pPr>
        <w:ind w:left="1008" w:hanging="1008"/>
      </w:pPr>
      <w:rPr>
        <w:rFonts w:cs="Times New Roman"/>
      </w:rPr>
    </w:lvl>
    <w:lvl w:ilvl="5">
      <w:start w:val="1"/>
      <w:numFmt w:val="decimal"/>
      <w:lvlText w:val="%1.%2.%3.%4.%5.%6"/>
      <w:lvlJc w:val="left"/>
      <w:pPr>
        <w:ind w:left="1152" w:hanging="1152"/>
      </w:pPr>
      <w:rPr>
        <w:rFonts w:cs="Times New Roman"/>
      </w:rPr>
    </w:lvl>
    <w:lvl w:ilvl="6">
      <w:start w:val="1"/>
      <w:numFmt w:val="decimal"/>
      <w:lvlText w:val="%1.%2.%3.%4.%5.%6.%7"/>
      <w:lvlJc w:val="left"/>
      <w:pPr>
        <w:ind w:left="1296" w:hanging="1296"/>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584" w:hanging="1584"/>
      </w:pPr>
      <w:rPr>
        <w:rFonts w:cs="Times New Roman"/>
      </w:rPr>
    </w:lvl>
  </w:abstractNum>
  <w:abstractNum w:abstractNumId="337" w15:restartNumberingAfterBreak="0">
    <w:nsid w:val="7C645CF1"/>
    <w:multiLevelType w:val="multilevel"/>
    <w:tmpl w:val="F2A068F6"/>
    <w:lvl w:ilvl="0">
      <w:start w:val="1"/>
      <w:numFmt w:val="decimal"/>
      <w:lvlText w:val="%1."/>
      <w:lvlJc w:val="left"/>
      <w:pPr>
        <w:tabs>
          <w:tab w:val="num" w:pos="317"/>
        </w:tabs>
        <w:ind w:left="317" w:hanging="317"/>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1">
      <w:start w:val="1"/>
      <w:numFmt w:val="lowerLetter"/>
      <w:lvlText w:val="%2."/>
      <w:lvlJc w:val="left"/>
      <w:pPr>
        <w:tabs>
          <w:tab w:val="num" w:pos="1380"/>
        </w:tabs>
        <w:ind w:left="1380" w:hanging="300"/>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2">
      <w:start w:val="1"/>
      <w:numFmt w:val="lowerRoman"/>
      <w:lvlText w:val="%3."/>
      <w:lvlJc w:val="left"/>
      <w:pPr>
        <w:tabs>
          <w:tab w:val="num" w:pos="2111"/>
        </w:tabs>
        <w:ind w:left="2111" w:hanging="247"/>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3">
      <w:start w:val="1"/>
      <w:numFmt w:val="decimal"/>
      <w:lvlText w:val="%4."/>
      <w:lvlJc w:val="left"/>
      <w:pPr>
        <w:tabs>
          <w:tab w:val="num" w:pos="2820"/>
        </w:tabs>
        <w:ind w:left="2820" w:hanging="300"/>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4">
      <w:start w:val="1"/>
      <w:numFmt w:val="lowerLetter"/>
      <w:lvlText w:val="%5."/>
      <w:lvlJc w:val="left"/>
      <w:pPr>
        <w:tabs>
          <w:tab w:val="num" w:pos="3540"/>
        </w:tabs>
        <w:ind w:left="3540" w:hanging="300"/>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5">
      <w:start w:val="1"/>
      <w:numFmt w:val="lowerRoman"/>
      <w:lvlText w:val="%6."/>
      <w:lvlJc w:val="left"/>
      <w:pPr>
        <w:tabs>
          <w:tab w:val="num" w:pos="4271"/>
        </w:tabs>
        <w:ind w:left="4271" w:hanging="247"/>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6">
      <w:start w:val="1"/>
      <w:numFmt w:val="decimal"/>
      <w:lvlText w:val="%7."/>
      <w:lvlJc w:val="left"/>
      <w:pPr>
        <w:tabs>
          <w:tab w:val="num" w:pos="4980"/>
        </w:tabs>
        <w:ind w:left="4980" w:hanging="300"/>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7">
      <w:start w:val="1"/>
      <w:numFmt w:val="lowerLetter"/>
      <w:lvlText w:val="%8."/>
      <w:lvlJc w:val="left"/>
      <w:pPr>
        <w:tabs>
          <w:tab w:val="num" w:pos="5700"/>
        </w:tabs>
        <w:ind w:left="5700" w:hanging="300"/>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8">
      <w:start w:val="1"/>
      <w:numFmt w:val="lowerRoman"/>
      <w:lvlText w:val="%9."/>
      <w:lvlJc w:val="left"/>
      <w:pPr>
        <w:tabs>
          <w:tab w:val="num" w:pos="6431"/>
        </w:tabs>
        <w:ind w:left="6431" w:hanging="247"/>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abstractNum>
  <w:abstractNum w:abstractNumId="338" w15:restartNumberingAfterBreak="0">
    <w:nsid w:val="7D2B1B91"/>
    <w:multiLevelType w:val="multilevel"/>
    <w:tmpl w:val="9BE08038"/>
    <w:lvl w:ilvl="0">
      <w:start w:val="3"/>
      <w:numFmt w:val="decimal"/>
      <w:lvlText w:val="%1."/>
      <w:lvlJc w:val="left"/>
      <w:pPr>
        <w:ind w:left="360" w:hanging="36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39" w15:restartNumberingAfterBreak="0">
    <w:nsid w:val="7DE21C0E"/>
    <w:multiLevelType w:val="hybridMultilevel"/>
    <w:tmpl w:val="E7FE7B1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0" w15:restartNumberingAfterBreak="0">
    <w:nsid w:val="7E1138D5"/>
    <w:multiLevelType w:val="multilevel"/>
    <w:tmpl w:val="1076E276"/>
    <w:styleLink w:val="List7"/>
    <w:lvl w:ilvl="0">
      <w:start w:val="1"/>
      <w:numFmt w:val="decimal"/>
      <w:lvlText w:val="%1."/>
      <w:lvlJc w:val="left"/>
      <w:pPr>
        <w:tabs>
          <w:tab w:val="num" w:pos="317"/>
        </w:tabs>
        <w:ind w:left="317" w:hanging="317"/>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1">
      <w:start w:val="1"/>
      <w:numFmt w:val="lowerLetter"/>
      <w:lvlText w:val="%2."/>
      <w:lvlJc w:val="left"/>
      <w:pPr>
        <w:tabs>
          <w:tab w:val="num" w:pos="1380"/>
        </w:tabs>
        <w:ind w:left="1380" w:hanging="300"/>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2">
      <w:start w:val="1"/>
      <w:numFmt w:val="lowerRoman"/>
      <w:lvlText w:val="%3."/>
      <w:lvlJc w:val="left"/>
      <w:pPr>
        <w:tabs>
          <w:tab w:val="num" w:pos="2111"/>
        </w:tabs>
        <w:ind w:left="2111" w:hanging="247"/>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3">
      <w:start w:val="1"/>
      <w:numFmt w:val="decimal"/>
      <w:lvlText w:val="%4."/>
      <w:lvlJc w:val="left"/>
      <w:pPr>
        <w:tabs>
          <w:tab w:val="num" w:pos="2820"/>
        </w:tabs>
        <w:ind w:left="2820" w:hanging="300"/>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4">
      <w:start w:val="1"/>
      <w:numFmt w:val="lowerLetter"/>
      <w:lvlText w:val="%5."/>
      <w:lvlJc w:val="left"/>
      <w:pPr>
        <w:tabs>
          <w:tab w:val="num" w:pos="3540"/>
        </w:tabs>
        <w:ind w:left="3540" w:hanging="300"/>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5">
      <w:start w:val="1"/>
      <w:numFmt w:val="lowerRoman"/>
      <w:lvlText w:val="%6."/>
      <w:lvlJc w:val="left"/>
      <w:pPr>
        <w:tabs>
          <w:tab w:val="num" w:pos="4271"/>
        </w:tabs>
        <w:ind w:left="4271" w:hanging="247"/>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6">
      <w:start w:val="1"/>
      <w:numFmt w:val="decimal"/>
      <w:lvlText w:val="%7."/>
      <w:lvlJc w:val="left"/>
      <w:pPr>
        <w:tabs>
          <w:tab w:val="num" w:pos="4980"/>
        </w:tabs>
        <w:ind w:left="4980" w:hanging="300"/>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7">
      <w:start w:val="1"/>
      <w:numFmt w:val="lowerLetter"/>
      <w:lvlText w:val="%8."/>
      <w:lvlJc w:val="left"/>
      <w:pPr>
        <w:tabs>
          <w:tab w:val="num" w:pos="5700"/>
        </w:tabs>
        <w:ind w:left="5700" w:hanging="300"/>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8">
      <w:start w:val="1"/>
      <w:numFmt w:val="lowerRoman"/>
      <w:lvlText w:val="%9."/>
      <w:lvlJc w:val="left"/>
      <w:pPr>
        <w:tabs>
          <w:tab w:val="num" w:pos="6431"/>
        </w:tabs>
        <w:ind w:left="6431" w:hanging="247"/>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abstractNum>
  <w:abstractNum w:abstractNumId="341" w15:restartNumberingAfterBreak="0">
    <w:nsid w:val="7ECD5152"/>
    <w:multiLevelType w:val="hybridMultilevel"/>
    <w:tmpl w:val="541877D4"/>
    <w:lvl w:ilvl="0" w:tplc="45A8A2D6">
      <w:start w:val="1"/>
      <w:numFmt w:val="decimal"/>
      <w:lvlText w:val="%1)"/>
      <w:lvlJc w:val="left"/>
      <w:pPr>
        <w:ind w:left="1320" w:hanging="360"/>
      </w:pPr>
      <w:rPr>
        <w:rFonts w:hint="default"/>
      </w:rPr>
    </w:lvl>
    <w:lvl w:ilvl="1" w:tplc="04190019" w:tentative="1">
      <w:start w:val="1"/>
      <w:numFmt w:val="lowerLetter"/>
      <w:lvlText w:val="%2."/>
      <w:lvlJc w:val="left"/>
      <w:pPr>
        <w:ind w:left="2040" w:hanging="360"/>
      </w:pPr>
    </w:lvl>
    <w:lvl w:ilvl="2" w:tplc="0419001B" w:tentative="1">
      <w:start w:val="1"/>
      <w:numFmt w:val="lowerRoman"/>
      <w:lvlText w:val="%3."/>
      <w:lvlJc w:val="right"/>
      <w:pPr>
        <w:ind w:left="2760" w:hanging="180"/>
      </w:pPr>
    </w:lvl>
    <w:lvl w:ilvl="3" w:tplc="0419000F" w:tentative="1">
      <w:start w:val="1"/>
      <w:numFmt w:val="decimal"/>
      <w:lvlText w:val="%4."/>
      <w:lvlJc w:val="left"/>
      <w:pPr>
        <w:ind w:left="3480" w:hanging="360"/>
      </w:pPr>
    </w:lvl>
    <w:lvl w:ilvl="4" w:tplc="04190019" w:tentative="1">
      <w:start w:val="1"/>
      <w:numFmt w:val="lowerLetter"/>
      <w:lvlText w:val="%5."/>
      <w:lvlJc w:val="left"/>
      <w:pPr>
        <w:ind w:left="4200" w:hanging="360"/>
      </w:pPr>
    </w:lvl>
    <w:lvl w:ilvl="5" w:tplc="0419001B" w:tentative="1">
      <w:start w:val="1"/>
      <w:numFmt w:val="lowerRoman"/>
      <w:lvlText w:val="%6."/>
      <w:lvlJc w:val="right"/>
      <w:pPr>
        <w:ind w:left="4920" w:hanging="180"/>
      </w:pPr>
    </w:lvl>
    <w:lvl w:ilvl="6" w:tplc="0419000F" w:tentative="1">
      <w:start w:val="1"/>
      <w:numFmt w:val="decimal"/>
      <w:lvlText w:val="%7."/>
      <w:lvlJc w:val="left"/>
      <w:pPr>
        <w:ind w:left="5640" w:hanging="360"/>
      </w:pPr>
    </w:lvl>
    <w:lvl w:ilvl="7" w:tplc="04190019" w:tentative="1">
      <w:start w:val="1"/>
      <w:numFmt w:val="lowerLetter"/>
      <w:lvlText w:val="%8."/>
      <w:lvlJc w:val="left"/>
      <w:pPr>
        <w:ind w:left="6360" w:hanging="360"/>
      </w:pPr>
    </w:lvl>
    <w:lvl w:ilvl="8" w:tplc="0419001B" w:tentative="1">
      <w:start w:val="1"/>
      <w:numFmt w:val="lowerRoman"/>
      <w:lvlText w:val="%9."/>
      <w:lvlJc w:val="right"/>
      <w:pPr>
        <w:ind w:left="7080" w:hanging="180"/>
      </w:pPr>
    </w:lvl>
  </w:abstractNum>
  <w:abstractNum w:abstractNumId="342" w15:restartNumberingAfterBreak="0">
    <w:nsid w:val="7EDF757E"/>
    <w:multiLevelType w:val="hybridMultilevel"/>
    <w:tmpl w:val="2EF6DE6E"/>
    <w:lvl w:ilvl="0" w:tplc="F3C6875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43" w15:restartNumberingAfterBreak="0">
    <w:nsid w:val="7F6E0629"/>
    <w:multiLevelType w:val="multilevel"/>
    <w:tmpl w:val="25C8C7EA"/>
    <w:styleLink w:val="List47"/>
    <w:lvl w:ilvl="0">
      <w:start w:val="1"/>
      <w:numFmt w:val="decimal"/>
      <w:lvlText w:val="%1."/>
      <w:lvlJc w:val="left"/>
      <w:pPr>
        <w:tabs>
          <w:tab w:val="num" w:pos="317"/>
        </w:tabs>
        <w:ind w:left="317" w:hanging="317"/>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1">
      <w:start w:val="1"/>
      <w:numFmt w:val="lowerLetter"/>
      <w:lvlText w:val="%2."/>
      <w:lvlJc w:val="left"/>
      <w:pPr>
        <w:tabs>
          <w:tab w:val="num" w:pos="1380"/>
        </w:tabs>
        <w:ind w:left="1380" w:hanging="300"/>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2">
      <w:start w:val="1"/>
      <w:numFmt w:val="lowerRoman"/>
      <w:lvlText w:val="%3."/>
      <w:lvlJc w:val="left"/>
      <w:pPr>
        <w:tabs>
          <w:tab w:val="num" w:pos="2111"/>
        </w:tabs>
        <w:ind w:left="2111" w:hanging="247"/>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3">
      <w:start w:val="1"/>
      <w:numFmt w:val="decimal"/>
      <w:lvlText w:val="%4."/>
      <w:lvlJc w:val="left"/>
      <w:pPr>
        <w:tabs>
          <w:tab w:val="num" w:pos="2820"/>
        </w:tabs>
        <w:ind w:left="2820" w:hanging="300"/>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4">
      <w:start w:val="1"/>
      <w:numFmt w:val="lowerLetter"/>
      <w:lvlText w:val="%5."/>
      <w:lvlJc w:val="left"/>
      <w:pPr>
        <w:tabs>
          <w:tab w:val="num" w:pos="3540"/>
        </w:tabs>
        <w:ind w:left="3540" w:hanging="300"/>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5">
      <w:start w:val="1"/>
      <w:numFmt w:val="lowerRoman"/>
      <w:lvlText w:val="%6."/>
      <w:lvlJc w:val="left"/>
      <w:pPr>
        <w:tabs>
          <w:tab w:val="num" w:pos="4271"/>
        </w:tabs>
        <w:ind w:left="4271" w:hanging="247"/>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6">
      <w:start w:val="1"/>
      <w:numFmt w:val="decimal"/>
      <w:lvlText w:val="%7."/>
      <w:lvlJc w:val="left"/>
      <w:pPr>
        <w:tabs>
          <w:tab w:val="num" w:pos="4980"/>
        </w:tabs>
        <w:ind w:left="4980" w:hanging="300"/>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7">
      <w:start w:val="1"/>
      <w:numFmt w:val="lowerLetter"/>
      <w:lvlText w:val="%8."/>
      <w:lvlJc w:val="left"/>
      <w:pPr>
        <w:tabs>
          <w:tab w:val="num" w:pos="5700"/>
        </w:tabs>
        <w:ind w:left="5700" w:hanging="300"/>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8">
      <w:start w:val="1"/>
      <w:numFmt w:val="lowerRoman"/>
      <w:lvlText w:val="%9."/>
      <w:lvlJc w:val="left"/>
      <w:pPr>
        <w:tabs>
          <w:tab w:val="num" w:pos="6431"/>
        </w:tabs>
        <w:ind w:left="6431" w:hanging="247"/>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abstractNum>
  <w:abstractNum w:abstractNumId="344" w15:restartNumberingAfterBreak="0">
    <w:nsid w:val="7FAA6738"/>
    <w:multiLevelType w:val="hybridMultilevel"/>
    <w:tmpl w:val="44781174"/>
    <w:lvl w:ilvl="0" w:tplc="FFFFFFFF">
      <w:start w:val="1"/>
      <w:numFmt w:val="bullet"/>
      <w:lvlText w:val="­"/>
      <w:lvlJc w:val="left"/>
      <w:pPr>
        <w:ind w:left="1321" w:hanging="360"/>
      </w:pPr>
      <w:rPr>
        <w:rFonts w:ascii="Courier New" w:hAnsi="Courier New" w:hint="default"/>
        <w:color w:val="auto"/>
      </w:rPr>
    </w:lvl>
    <w:lvl w:ilvl="1" w:tplc="04190003" w:tentative="1">
      <w:start w:val="1"/>
      <w:numFmt w:val="bullet"/>
      <w:lvlText w:val="o"/>
      <w:lvlJc w:val="left"/>
      <w:pPr>
        <w:ind w:left="2041" w:hanging="360"/>
      </w:pPr>
      <w:rPr>
        <w:rFonts w:ascii="Courier New" w:hAnsi="Courier New" w:cs="Courier New" w:hint="default"/>
      </w:rPr>
    </w:lvl>
    <w:lvl w:ilvl="2" w:tplc="04190005" w:tentative="1">
      <w:start w:val="1"/>
      <w:numFmt w:val="bullet"/>
      <w:lvlText w:val=""/>
      <w:lvlJc w:val="left"/>
      <w:pPr>
        <w:ind w:left="2761" w:hanging="360"/>
      </w:pPr>
      <w:rPr>
        <w:rFonts w:ascii="Wingdings" w:hAnsi="Wingdings" w:hint="default"/>
      </w:rPr>
    </w:lvl>
    <w:lvl w:ilvl="3" w:tplc="04190001" w:tentative="1">
      <w:start w:val="1"/>
      <w:numFmt w:val="bullet"/>
      <w:lvlText w:val=""/>
      <w:lvlJc w:val="left"/>
      <w:pPr>
        <w:ind w:left="3481" w:hanging="360"/>
      </w:pPr>
      <w:rPr>
        <w:rFonts w:ascii="Symbol" w:hAnsi="Symbol" w:hint="default"/>
      </w:rPr>
    </w:lvl>
    <w:lvl w:ilvl="4" w:tplc="04190003" w:tentative="1">
      <w:start w:val="1"/>
      <w:numFmt w:val="bullet"/>
      <w:lvlText w:val="o"/>
      <w:lvlJc w:val="left"/>
      <w:pPr>
        <w:ind w:left="4201" w:hanging="360"/>
      </w:pPr>
      <w:rPr>
        <w:rFonts w:ascii="Courier New" w:hAnsi="Courier New" w:cs="Courier New" w:hint="default"/>
      </w:rPr>
    </w:lvl>
    <w:lvl w:ilvl="5" w:tplc="04190005" w:tentative="1">
      <w:start w:val="1"/>
      <w:numFmt w:val="bullet"/>
      <w:lvlText w:val=""/>
      <w:lvlJc w:val="left"/>
      <w:pPr>
        <w:ind w:left="4921" w:hanging="360"/>
      </w:pPr>
      <w:rPr>
        <w:rFonts w:ascii="Wingdings" w:hAnsi="Wingdings" w:hint="default"/>
      </w:rPr>
    </w:lvl>
    <w:lvl w:ilvl="6" w:tplc="04190001" w:tentative="1">
      <w:start w:val="1"/>
      <w:numFmt w:val="bullet"/>
      <w:lvlText w:val=""/>
      <w:lvlJc w:val="left"/>
      <w:pPr>
        <w:ind w:left="5641" w:hanging="360"/>
      </w:pPr>
      <w:rPr>
        <w:rFonts w:ascii="Symbol" w:hAnsi="Symbol" w:hint="default"/>
      </w:rPr>
    </w:lvl>
    <w:lvl w:ilvl="7" w:tplc="04190003" w:tentative="1">
      <w:start w:val="1"/>
      <w:numFmt w:val="bullet"/>
      <w:lvlText w:val="o"/>
      <w:lvlJc w:val="left"/>
      <w:pPr>
        <w:ind w:left="6361" w:hanging="360"/>
      </w:pPr>
      <w:rPr>
        <w:rFonts w:ascii="Courier New" w:hAnsi="Courier New" w:cs="Courier New" w:hint="default"/>
      </w:rPr>
    </w:lvl>
    <w:lvl w:ilvl="8" w:tplc="04190005" w:tentative="1">
      <w:start w:val="1"/>
      <w:numFmt w:val="bullet"/>
      <w:lvlText w:val=""/>
      <w:lvlJc w:val="left"/>
      <w:pPr>
        <w:ind w:left="7081" w:hanging="360"/>
      </w:pPr>
      <w:rPr>
        <w:rFonts w:ascii="Wingdings" w:hAnsi="Wingdings" w:hint="default"/>
      </w:rPr>
    </w:lvl>
  </w:abstractNum>
  <w:abstractNum w:abstractNumId="345" w15:restartNumberingAfterBreak="0">
    <w:nsid w:val="7FC622C2"/>
    <w:multiLevelType w:val="multilevel"/>
    <w:tmpl w:val="31E486B6"/>
    <w:styleLink w:val="List13"/>
    <w:lvl w:ilvl="0">
      <w:start w:val="1"/>
      <w:numFmt w:val="decimal"/>
      <w:lvlText w:val="%1."/>
      <w:lvlJc w:val="left"/>
      <w:pPr>
        <w:tabs>
          <w:tab w:val="num" w:pos="317"/>
        </w:tabs>
        <w:ind w:left="317" w:hanging="317"/>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1">
      <w:start w:val="1"/>
      <w:numFmt w:val="lowerLetter"/>
      <w:lvlText w:val="%2."/>
      <w:lvlJc w:val="left"/>
      <w:pPr>
        <w:tabs>
          <w:tab w:val="num" w:pos="1380"/>
        </w:tabs>
        <w:ind w:left="1380" w:hanging="300"/>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2">
      <w:start w:val="1"/>
      <w:numFmt w:val="lowerRoman"/>
      <w:lvlText w:val="%3."/>
      <w:lvlJc w:val="left"/>
      <w:pPr>
        <w:tabs>
          <w:tab w:val="num" w:pos="2111"/>
        </w:tabs>
        <w:ind w:left="2111" w:hanging="247"/>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3">
      <w:start w:val="1"/>
      <w:numFmt w:val="decimal"/>
      <w:lvlText w:val="%4."/>
      <w:lvlJc w:val="left"/>
      <w:pPr>
        <w:tabs>
          <w:tab w:val="num" w:pos="2820"/>
        </w:tabs>
        <w:ind w:left="2820" w:hanging="300"/>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4">
      <w:start w:val="1"/>
      <w:numFmt w:val="lowerLetter"/>
      <w:lvlText w:val="%5."/>
      <w:lvlJc w:val="left"/>
      <w:pPr>
        <w:tabs>
          <w:tab w:val="num" w:pos="3540"/>
        </w:tabs>
        <w:ind w:left="3540" w:hanging="300"/>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5">
      <w:start w:val="1"/>
      <w:numFmt w:val="lowerRoman"/>
      <w:lvlText w:val="%6."/>
      <w:lvlJc w:val="left"/>
      <w:pPr>
        <w:tabs>
          <w:tab w:val="num" w:pos="4271"/>
        </w:tabs>
        <w:ind w:left="4271" w:hanging="247"/>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6">
      <w:start w:val="1"/>
      <w:numFmt w:val="decimal"/>
      <w:lvlText w:val="%7."/>
      <w:lvlJc w:val="left"/>
      <w:pPr>
        <w:tabs>
          <w:tab w:val="num" w:pos="4980"/>
        </w:tabs>
        <w:ind w:left="4980" w:hanging="300"/>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7">
      <w:start w:val="1"/>
      <w:numFmt w:val="lowerLetter"/>
      <w:lvlText w:val="%8."/>
      <w:lvlJc w:val="left"/>
      <w:pPr>
        <w:tabs>
          <w:tab w:val="num" w:pos="5700"/>
        </w:tabs>
        <w:ind w:left="5700" w:hanging="300"/>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lvl w:ilvl="8">
      <w:start w:val="1"/>
      <w:numFmt w:val="lowerRoman"/>
      <w:lvlText w:val="%9."/>
      <w:lvlJc w:val="left"/>
      <w:pPr>
        <w:tabs>
          <w:tab w:val="num" w:pos="6431"/>
        </w:tabs>
        <w:ind w:left="6431" w:hanging="247"/>
      </w:pPr>
      <w:rPr>
        <w:rFonts w:ascii="Garamond" w:eastAsia="Garamond" w:hAnsi="Garamond" w:cs="Garamond"/>
        <w:caps w:val="0"/>
        <w:smallCaps w:val="0"/>
        <w:strike w:val="0"/>
        <w:dstrike w:val="0"/>
        <w:color w:val="000000"/>
        <w:spacing w:val="0"/>
        <w:kern w:val="0"/>
        <w:position w:val="0"/>
        <w:sz w:val="20"/>
        <w:szCs w:val="20"/>
        <w:u w:val="none" w:color="000000"/>
        <w:vertAlign w:val="baseline"/>
        <w:lang w:val="ru-RU"/>
      </w:rPr>
    </w:lvl>
  </w:abstractNum>
  <w:num w:numId="1">
    <w:abstractNumId w:val="1"/>
  </w:num>
  <w:num w:numId="2">
    <w:abstractNumId w:val="22"/>
  </w:num>
  <w:num w:numId="3">
    <w:abstractNumId w:val="252"/>
  </w:num>
  <w:num w:numId="4">
    <w:abstractNumId w:val="324"/>
  </w:num>
  <w:num w:numId="5">
    <w:abstractNumId w:val="343"/>
  </w:num>
  <w:num w:numId="6">
    <w:abstractNumId w:val="77"/>
  </w:num>
  <w:num w:numId="7">
    <w:abstractNumId w:val="0"/>
  </w:num>
  <w:num w:numId="8">
    <w:abstractNumId w:val="334"/>
  </w:num>
  <w:num w:numId="9">
    <w:abstractNumId w:val="336"/>
  </w:num>
  <w:num w:numId="10">
    <w:abstractNumId w:val="9"/>
  </w:num>
  <w:num w:numId="11">
    <w:abstractNumId w:val="86"/>
  </w:num>
  <w:num w:numId="12">
    <w:abstractNumId w:val="333"/>
  </w:num>
  <w:num w:numId="13">
    <w:abstractNumId w:val="317"/>
  </w:num>
  <w:num w:numId="14">
    <w:abstractNumId w:val="37"/>
  </w:num>
  <w:num w:numId="15">
    <w:abstractNumId w:val="310"/>
  </w:num>
  <w:num w:numId="16">
    <w:abstractNumId w:val="53"/>
  </w:num>
  <w:num w:numId="17">
    <w:abstractNumId w:val="258"/>
  </w:num>
  <w:num w:numId="18">
    <w:abstractNumId w:val="57"/>
  </w:num>
  <w:num w:numId="19">
    <w:abstractNumId w:val="243"/>
  </w:num>
  <w:num w:numId="20">
    <w:abstractNumId w:val="133"/>
  </w:num>
  <w:num w:numId="21">
    <w:abstractNumId w:val="274"/>
  </w:num>
  <w:num w:numId="22">
    <w:abstractNumId w:val="298"/>
  </w:num>
  <w:num w:numId="23">
    <w:abstractNumId w:val="23"/>
  </w:num>
  <w:num w:numId="24">
    <w:abstractNumId w:val="318"/>
  </w:num>
  <w:num w:numId="25">
    <w:abstractNumId w:val="282"/>
  </w:num>
  <w:num w:numId="26">
    <w:abstractNumId w:val="143"/>
  </w:num>
  <w:num w:numId="27">
    <w:abstractNumId w:val="92"/>
  </w:num>
  <w:num w:numId="28">
    <w:abstractNumId w:val="215"/>
  </w:num>
  <w:num w:numId="29">
    <w:abstractNumId w:val="206"/>
  </w:num>
  <w:num w:numId="30">
    <w:abstractNumId w:val="266"/>
  </w:num>
  <w:num w:numId="31">
    <w:abstractNumId w:val="69"/>
  </w:num>
  <w:num w:numId="32">
    <w:abstractNumId w:val="238"/>
  </w:num>
  <w:num w:numId="33">
    <w:abstractNumId w:val="276"/>
  </w:num>
  <w:num w:numId="34">
    <w:abstractNumId w:val="148"/>
  </w:num>
  <w:num w:numId="35">
    <w:abstractNumId w:val="209"/>
  </w:num>
  <w:num w:numId="36">
    <w:abstractNumId w:val="211"/>
  </w:num>
  <w:num w:numId="37">
    <w:abstractNumId w:val="175"/>
  </w:num>
  <w:num w:numId="38">
    <w:abstractNumId w:val="203"/>
    <w:lvlOverride w:ilvl="0">
      <w:lvl w:ilvl="0">
        <w:numFmt w:val="decimal"/>
        <w:lvlText w:val=""/>
        <w:lvlJc w:val="left"/>
      </w:lvl>
    </w:lvlOverride>
    <w:lvlOverride w:ilvl="1">
      <w:lvl w:ilvl="1">
        <w:numFmt w:val="decimal"/>
        <w:lvlText w:val=""/>
        <w:lvlJc w:val="left"/>
      </w:lvl>
    </w:lvlOverride>
    <w:lvlOverride w:ilvl="2">
      <w:lvl w:ilvl="2">
        <w:numFmt w:val="decimal"/>
        <w:lvlText w:val=""/>
        <w:lvlJc w:val="left"/>
      </w:lvl>
    </w:lvlOverride>
    <w:lvlOverride w:ilvl="3">
      <w:lvl w:ilvl="3">
        <w:start w:val="1"/>
        <w:numFmt w:val="decimal"/>
        <w:lvlText w:val="%4."/>
        <w:lvlJc w:val="left"/>
        <w:rPr>
          <w:rFonts w:ascii="Times New Roman" w:eastAsia="Times New Roman" w:hAnsi="Garamond" w:cs="Times New Roman"/>
          <w:position w:val="0"/>
          <w:sz w:val="20"/>
          <w:szCs w:val="20"/>
          <w:lang w:val="ru-RU"/>
        </w:rPr>
      </w:lvl>
    </w:lvlOverride>
    <w:lvlOverride w:ilvl="4">
      <w:lvl w:ilvl="4">
        <w:numFmt w:val="decimal"/>
        <w:lvlText w:val=""/>
        <w:lvlJc w:val="left"/>
      </w:lvl>
    </w:lvlOverride>
    <w:lvlOverride w:ilvl="5">
      <w:lvl w:ilvl="5">
        <w:numFmt w:val="decimal"/>
        <w:lvlText w:val=""/>
        <w:lvlJc w:val="left"/>
      </w:lvl>
    </w:lvlOverride>
    <w:lvlOverride w:ilvl="6">
      <w:lvl w:ilvl="6">
        <w:start w:val="1"/>
        <w:numFmt w:val="decimal"/>
        <w:lvlText w:val="%7."/>
        <w:lvlJc w:val="left"/>
        <w:rPr>
          <w:rFonts w:ascii="Garamond" w:eastAsia="Garamond" w:hAnsi="Garamond" w:cs="Garamond"/>
          <w:b w:val="0"/>
          <w:color w:val="auto"/>
          <w:position w:val="0"/>
          <w:sz w:val="20"/>
          <w:szCs w:val="20"/>
          <w:lang w:val="ru-RU"/>
        </w:rPr>
      </w:lvl>
    </w:lvlOverride>
  </w:num>
  <w:num w:numId="39">
    <w:abstractNumId w:val="162"/>
  </w:num>
  <w:num w:numId="40">
    <w:abstractNumId w:val="47"/>
  </w:num>
  <w:num w:numId="41">
    <w:abstractNumId w:val="319"/>
  </w:num>
  <w:num w:numId="42">
    <w:abstractNumId w:val="80"/>
  </w:num>
  <w:num w:numId="43">
    <w:abstractNumId w:val="189"/>
  </w:num>
  <w:num w:numId="44">
    <w:abstractNumId w:val="61"/>
  </w:num>
  <w:num w:numId="45">
    <w:abstractNumId w:val="340"/>
  </w:num>
  <w:num w:numId="46">
    <w:abstractNumId w:val="134"/>
  </w:num>
  <w:num w:numId="47">
    <w:abstractNumId w:val="150"/>
  </w:num>
  <w:num w:numId="48">
    <w:abstractNumId w:val="14"/>
  </w:num>
  <w:num w:numId="49">
    <w:abstractNumId w:val="261"/>
  </w:num>
  <w:num w:numId="50">
    <w:abstractNumId w:val="228"/>
  </w:num>
  <w:num w:numId="51">
    <w:abstractNumId w:val="345"/>
  </w:num>
  <w:num w:numId="52">
    <w:abstractNumId w:val="38"/>
  </w:num>
  <w:num w:numId="53">
    <w:abstractNumId w:val="108"/>
  </w:num>
  <w:num w:numId="54">
    <w:abstractNumId w:val="119"/>
  </w:num>
  <w:num w:numId="55">
    <w:abstractNumId w:val="75"/>
  </w:num>
  <w:num w:numId="56">
    <w:abstractNumId w:val="13"/>
  </w:num>
  <w:num w:numId="57">
    <w:abstractNumId w:val="116"/>
  </w:num>
  <w:num w:numId="58">
    <w:abstractNumId w:val="272"/>
  </w:num>
  <w:num w:numId="59">
    <w:abstractNumId w:val="297"/>
  </w:num>
  <w:num w:numId="60">
    <w:abstractNumId w:val="169"/>
  </w:num>
  <w:num w:numId="61">
    <w:abstractNumId w:val="63"/>
  </w:num>
  <w:num w:numId="62">
    <w:abstractNumId w:val="239"/>
  </w:num>
  <w:num w:numId="63">
    <w:abstractNumId w:val="153"/>
  </w:num>
  <w:num w:numId="64">
    <w:abstractNumId w:val="316"/>
  </w:num>
  <w:num w:numId="65">
    <w:abstractNumId w:val="84"/>
  </w:num>
  <w:num w:numId="66">
    <w:abstractNumId w:val="275"/>
  </w:num>
  <w:num w:numId="67">
    <w:abstractNumId w:val="85"/>
  </w:num>
  <w:num w:numId="68">
    <w:abstractNumId w:val="283"/>
  </w:num>
  <w:num w:numId="69">
    <w:abstractNumId w:val="164"/>
  </w:num>
  <w:num w:numId="70">
    <w:abstractNumId w:val="88"/>
  </w:num>
  <w:num w:numId="71">
    <w:abstractNumId w:val="290"/>
  </w:num>
  <w:num w:numId="72">
    <w:abstractNumId w:val="138"/>
  </w:num>
  <w:num w:numId="73">
    <w:abstractNumId w:val="55"/>
  </w:num>
  <w:num w:numId="74">
    <w:abstractNumId w:val="178"/>
  </w:num>
  <w:num w:numId="75">
    <w:abstractNumId w:val="147"/>
  </w:num>
  <w:num w:numId="76">
    <w:abstractNumId w:val="227"/>
  </w:num>
  <w:num w:numId="77">
    <w:abstractNumId w:val="93"/>
  </w:num>
  <w:num w:numId="78">
    <w:abstractNumId w:val="205"/>
  </w:num>
  <w:num w:numId="79">
    <w:abstractNumId w:val="245"/>
  </w:num>
  <w:num w:numId="80">
    <w:abstractNumId w:val="222"/>
  </w:num>
  <w:num w:numId="81">
    <w:abstractNumId w:val="288"/>
  </w:num>
  <w:num w:numId="82">
    <w:abstractNumId w:val="181"/>
  </w:num>
  <w:num w:numId="83">
    <w:abstractNumId w:val="104"/>
  </w:num>
  <w:num w:numId="84">
    <w:abstractNumId w:val="167"/>
  </w:num>
  <w:num w:numId="85">
    <w:abstractNumId w:val="16"/>
  </w:num>
  <w:num w:numId="86">
    <w:abstractNumId w:val="279"/>
  </w:num>
  <w:num w:numId="87">
    <w:abstractNumId w:val="232"/>
  </w:num>
  <w:num w:numId="88">
    <w:abstractNumId w:val="161"/>
  </w:num>
  <w:num w:numId="89">
    <w:abstractNumId w:val="10"/>
  </w:num>
  <w:num w:numId="90">
    <w:abstractNumId w:val="17"/>
  </w:num>
  <w:num w:numId="91">
    <w:abstractNumId w:val="219"/>
  </w:num>
  <w:num w:numId="92">
    <w:abstractNumId w:val="125"/>
  </w:num>
  <w:num w:numId="93">
    <w:abstractNumId w:val="166"/>
  </w:num>
  <w:num w:numId="94">
    <w:abstractNumId w:val="15"/>
  </w:num>
  <w:num w:numId="95">
    <w:abstractNumId w:val="338"/>
  </w:num>
  <w:num w:numId="96">
    <w:abstractNumId w:val="300"/>
  </w:num>
  <w:num w:numId="97">
    <w:abstractNumId w:val="260"/>
  </w:num>
  <w:num w:numId="98">
    <w:abstractNumId w:val="255"/>
  </w:num>
  <w:num w:numId="99">
    <w:abstractNumId w:val="305"/>
  </w:num>
  <w:num w:numId="100">
    <w:abstractNumId w:val="216"/>
  </w:num>
  <w:num w:numId="101">
    <w:abstractNumId w:val="142"/>
  </w:num>
  <w:num w:numId="102">
    <w:abstractNumId w:val="94"/>
  </w:num>
  <w:num w:numId="103">
    <w:abstractNumId w:val="203"/>
  </w:num>
  <w:num w:numId="104">
    <w:abstractNumId w:val="225"/>
  </w:num>
  <w:num w:numId="105">
    <w:abstractNumId w:val="289"/>
  </w:num>
  <w:num w:numId="106">
    <w:abstractNumId w:val="179"/>
  </w:num>
  <w:num w:numId="107">
    <w:abstractNumId w:val="99"/>
  </w:num>
  <w:num w:numId="108">
    <w:abstractNumId w:val="199"/>
  </w:num>
  <w:num w:numId="109">
    <w:abstractNumId w:val="120"/>
  </w:num>
  <w:num w:numId="110">
    <w:abstractNumId w:val="98"/>
  </w:num>
  <w:num w:numId="111">
    <w:abstractNumId w:val="236"/>
  </w:num>
  <w:num w:numId="112">
    <w:abstractNumId w:val="31"/>
  </w:num>
  <w:num w:numId="113">
    <w:abstractNumId w:val="81"/>
  </w:num>
  <w:num w:numId="114">
    <w:abstractNumId w:val="132"/>
  </w:num>
  <w:num w:numId="115">
    <w:abstractNumId w:val="234"/>
  </w:num>
  <w:num w:numId="116">
    <w:abstractNumId w:val="24"/>
  </w:num>
  <w:num w:numId="117">
    <w:abstractNumId w:val="36"/>
  </w:num>
  <w:num w:numId="118">
    <w:abstractNumId w:val="307"/>
  </w:num>
  <w:num w:numId="119">
    <w:abstractNumId w:val="322"/>
  </w:num>
  <w:num w:numId="120">
    <w:abstractNumId w:val="315"/>
  </w:num>
  <w:num w:numId="121">
    <w:abstractNumId w:val="40"/>
  </w:num>
  <w:num w:numId="122">
    <w:abstractNumId w:val="163"/>
  </w:num>
  <w:num w:numId="123">
    <w:abstractNumId w:val="124"/>
  </w:num>
  <w:num w:numId="124">
    <w:abstractNumId w:val="65"/>
  </w:num>
  <w:num w:numId="125">
    <w:abstractNumId w:val="32"/>
  </w:num>
  <w:num w:numId="126">
    <w:abstractNumId w:val="176"/>
  </w:num>
  <w:num w:numId="127">
    <w:abstractNumId w:val="342"/>
  </w:num>
  <w:num w:numId="128">
    <w:abstractNumId w:val="39"/>
  </w:num>
  <w:num w:numId="129">
    <w:abstractNumId w:val="6"/>
  </w:num>
  <w:num w:numId="130">
    <w:abstractNumId w:val="325"/>
  </w:num>
  <w:num w:numId="131">
    <w:abstractNumId w:val="230"/>
  </w:num>
  <w:num w:numId="132">
    <w:abstractNumId w:val="26"/>
  </w:num>
  <w:num w:numId="133">
    <w:abstractNumId w:val="254"/>
  </w:num>
  <w:num w:numId="134">
    <w:abstractNumId w:val="196"/>
  </w:num>
  <w:num w:numId="135">
    <w:abstractNumId w:val="129"/>
  </w:num>
  <w:num w:numId="136">
    <w:abstractNumId w:val="117"/>
  </w:num>
  <w:num w:numId="137">
    <w:abstractNumId w:val="112"/>
  </w:num>
  <w:num w:numId="138">
    <w:abstractNumId w:val="224"/>
  </w:num>
  <w:num w:numId="139">
    <w:abstractNumId w:val="332"/>
  </w:num>
  <w:num w:numId="140">
    <w:abstractNumId w:val="242"/>
  </w:num>
  <w:num w:numId="141">
    <w:abstractNumId w:val="269"/>
  </w:num>
  <w:num w:numId="142">
    <w:abstractNumId w:val="249"/>
  </w:num>
  <w:num w:numId="143">
    <w:abstractNumId w:val="278"/>
  </w:num>
  <w:num w:numId="144">
    <w:abstractNumId w:val="87"/>
  </w:num>
  <w:num w:numId="145">
    <w:abstractNumId w:val="72"/>
  </w:num>
  <w:num w:numId="146">
    <w:abstractNumId w:val="214"/>
  </w:num>
  <w:num w:numId="147">
    <w:abstractNumId w:val="126"/>
  </w:num>
  <w:num w:numId="148">
    <w:abstractNumId w:val="339"/>
  </w:num>
  <w:num w:numId="149">
    <w:abstractNumId w:val="59"/>
  </w:num>
  <w:num w:numId="150">
    <w:abstractNumId w:val="273"/>
  </w:num>
  <w:num w:numId="151">
    <w:abstractNumId w:val="312"/>
  </w:num>
  <w:num w:numId="152">
    <w:abstractNumId w:val="187"/>
  </w:num>
  <w:num w:numId="153">
    <w:abstractNumId w:val="231"/>
  </w:num>
  <w:num w:numId="154">
    <w:abstractNumId w:val="131"/>
  </w:num>
  <w:num w:numId="155">
    <w:abstractNumId w:val="291"/>
  </w:num>
  <w:num w:numId="156">
    <w:abstractNumId w:val="46"/>
  </w:num>
  <w:num w:numId="157">
    <w:abstractNumId w:val="264"/>
  </w:num>
  <w:num w:numId="158">
    <w:abstractNumId w:val="33"/>
  </w:num>
  <w:num w:numId="159">
    <w:abstractNumId w:val="103"/>
  </w:num>
  <w:num w:numId="160">
    <w:abstractNumId w:val="293"/>
  </w:num>
  <w:num w:numId="161">
    <w:abstractNumId w:val="185"/>
  </w:num>
  <w:num w:numId="162">
    <w:abstractNumId w:val="281"/>
  </w:num>
  <w:num w:numId="163">
    <w:abstractNumId w:val="70"/>
  </w:num>
  <w:num w:numId="164">
    <w:abstractNumId w:val="267"/>
  </w:num>
  <w:num w:numId="165">
    <w:abstractNumId w:val="262"/>
  </w:num>
  <w:num w:numId="166">
    <w:abstractNumId w:val="121"/>
  </w:num>
  <w:num w:numId="167">
    <w:abstractNumId w:val="337"/>
  </w:num>
  <w:num w:numId="168">
    <w:abstractNumId w:val="186"/>
  </w:num>
  <w:num w:numId="169">
    <w:abstractNumId w:val="313"/>
  </w:num>
  <w:num w:numId="170">
    <w:abstractNumId w:val="27"/>
  </w:num>
  <w:num w:numId="171">
    <w:abstractNumId w:val="64"/>
  </w:num>
  <w:num w:numId="172">
    <w:abstractNumId w:val="152"/>
  </w:num>
  <w:num w:numId="173">
    <w:abstractNumId w:val="240"/>
  </w:num>
  <w:num w:numId="174">
    <w:abstractNumId w:val="256"/>
  </w:num>
  <w:num w:numId="175">
    <w:abstractNumId w:val="49"/>
  </w:num>
  <w:num w:numId="176">
    <w:abstractNumId w:val="212"/>
  </w:num>
  <w:num w:numId="177">
    <w:abstractNumId w:val="43"/>
  </w:num>
  <w:num w:numId="178">
    <w:abstractNumId w:val="54"/>
  </w:num>
  <w:num w:numId="179">
    <w:abstractNumId w:val="174"/>
  </w:num>
  <w:num w:numId="180">
    <w:abstractNumId w:val="182"/>
  </w:num>
  <w:num w:numId="181">
    <w:abstractNumId w:val="202"/>
  </w:num>
  <w:num w:numId="182">
    <w:abstractNumId w:val="114"/>
  </w:num>
  <w:num w:numId="183">
    <w:abstractNumId w:val="58"/>
  </w:num>
  <w:num w:numId="184">
    <w:abstractNumId w:val="210"/>
  </w:num>
  <w:num w:numId="185">
    <w:abstractNumId w:val="102"/>
  </w:num>
  <w:num w:numId="186">
    <w:abstractNumId w:val="197"/>
  </w:num>
  <w:num w:numId="187">
    <w:abstractNumId w:val="20"/>
  </w:num>
  <w:num w:numId="188">
    <w:abstractNumId w:val="229"/>
  </w:num>
  <w:num w:numId="189">
    <w:abstractNumId w:val="270"/>
  </w:num>
  <w:num w:numId="190">
    <w:abstractNumId w:val="200"/>
  </w:num>
  <w:num w:numId="191">
    <w:abstractNumId w:val="190"/>
  </w:num>
  <w:num w:numId="192">
    <w:abstractNumId w:val="165"/>
  </w:num>
  <w:num w:numId="193">
    <w:abstractNumId w:val="144"/>
  </w:num>
  <w:num w:numId="194">
    <w:abstractNumId w:val="221"/>
  </w:num>
  <w:num w:numId="195">
    <w:abstractNumId w:val="66"/>
  </w:num>
  <w:num w:numId="196">
    <w:abstractNumId w:val="60"/>
  </w:num>
  <w:num w:numId="197">
    <w:abstractNumId w:val="51"/>
  </w:num>
  <w:num w:numId="198">
    <w:abstractNumId w:val="251"/>
  </w:num>
  <w:num w:numId="199">
    <w:abstractNumId w:val="34"/>
  </w:num>
  <w:num w:numId="200">
    <w:abstractNumId w:val="96"/>
  </w:num>
  <w:num w:numId="201">
    <w:abstractNumId w:val="159"/>
  </w:num>
  <w:num w:numId="202">
    <w:abstractNumId w:val="331"/>
  </w:num>
  <w:num w:numId="203">
    <w:abstractNumId w:val="154"/>
  </w:num>
  <w:num w:numId="204">
    <w:abstractNumId w:val="314"/>
  </w:num>
  <w:num w:numId="205">
    <w:abstractNumId w:val="244"/>
  </w:num>
  <w:num w:numId="206">
    <w:abstractNumId w:val="29"/>
  </w:num>
  <w:num w:numId="207">
    <w:abstractNumId w:val="246"/>
  </w:num>
  <w:num w:numId="208">
    <w:abstractNumId w:val="4"/>
  </w:num>
  <w:num w:numId="209">
    <w:abstractNumId w:val="19"/>
  </w:num>
  <w:num w:numId="210">
    <w:abstractNumId w:val="67"/>
  </w:num>
  <w:num w:numId="211">
    <w:abstractNumId w:val="330"/>
  </w:num>
  <w:num w:numId="212">
    <w:abstractNumId w:val="233"/>
  </w:num>
  <w:num w:numId="213">
    <w:abstractNumId w:val="235"/>
  </w:num>
  <w:num w:numId="214">
    <w:abstractNumId w:val="122"/>
  </w:num>
  <w:num w:numId="215">
    <w:abstractNumId w:val="328"/>
  </w:num>
  <w:num w:numId="216">
    <w:abstractNumId w:val="141"/>
  </w:num>
  <w:num w:numId="217">
    <w:abstractNumId w:val="329"/>
  </w:num>
  <w:num w:numId="218">
    <w:abstractNumId w:val="30"/>
  </w:num>
  <w:num w:numId="219">
    <w:abstractNumId w:val="248"/>
  </w:num>
  <w:num w:numId="220">
    <w:abstractNumId w:val="286"/>
  </w:num>
  <w:num w:numId="221">
    <w:abstractNumId w:val="115"/>
  </w:num>
  <w:num w:numId="222">
    <w:abstractNumId w:val="218"/>
  </w:num>
  <w:num w:numId="223">
    <w:abstractNumId w:val="12"/>
  </w:num>
  <w:num w:numId="224">
    <w:abstractNumId w:val="56"/>
  </w:num>
  <w:num w:numId="225">
    <w:abstractNumId w:val="198"/>
  </w:num>
  <w:num w:numId="226">
    <w:abstractNumId w:val="327"/>
  </w:num>
  <w:num w:numId="227">
    <w:abstractNumId w:val="253"/>
  </w:num>
  <w:num w:numId="228">
    <w:abstractNumId w:val="91"/>
  </w:num>
  <w:num w:numId="229">
    <w:abstractNumId w:val="271"/>
  </w:num>
  <w:num w:numId="230">
    <w:abstractNumId w:val="145"/>
  </w:num>
  <w:num w:numId="231">
    <w:abstractNumId w:val="25"/>
  </w:num>
  <w:num w:numId="232">
    <w:abstractNumId w:val="207"/>
  </w:num>
  <w:num w:numId="233">
    <w:abstractNumId w:val="301"/>
  </w:num>
  <w:num w:numId="234">
    <w:abstractNumId w:val="192"/>
  </w:num>
  <w:num w:numId="235">
    <w:abstractNumId w:val="195"/>
  </w:num>
  <w:num w:numId="236">
    <w:abstractNumId w:val="306"/>
  </w:num>
  <w:num w:numId="237">
    <w:abstractNumId w:val="323"/>
  </w:num>
  <w:num w:numId="238">
    <w:abstractNumId w:val="44"/>
  </w:num>
  <w:num w:numId="239">
    <w:abstractNumId w:val="335"/>
  </w:num>
  <w:num w:numId="240">
    <w:abstractNumId w:val="183"/>
  </w:num>
  <w:num w:numId="241">
    <w:abstractNumId w:val="303"/>
  </w:num>
  <w:num w:numId="242">
    <w:abstractNumId w:val="109"/>
  </w:num>
  <w:num w:numId="243">
    <w:abstractNumId w:val="35"/>
  </w:num>
  <w:num w:numId="244">
    <w:abstractNumId w:val="191"/>
  </w:num>
  <w:num w:numId="245">
    <w:abstractNumId w:val="201"/>
  </w:num>
  <w:num w:numId="246">
    <w:abstractNumId w:val="11"/>
  </w:num>
  <w:num w:numId="247">
    <w:abstractNumId w:val="118"/>
  </w:num>
  <w:num w:numId="248">
    <w:abstractNumId w:val="184"/>
  </w:num>
  <w:num w:numId="249">
    <w:abstractNumId w:val="194"/>
  </w:num>
  <w:num w:numId="250">
    <w:abstractNumId w:val="280"/>
  </w:num>
  <w:num w:numId="251">
    <w:abstractNumId w:val="3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2">
    <w:abstractNumId w:val="204"/>
  </w:num>
  <w:num w:numId="253">
    <w:abstractNumId w:val="128"/>
  </w:num>
  <w:num w:numId="254">
    <w:abstractNumId w:val="308"/>
  </w:num>
  <w:num w:numId="255">
    <w:abstractNumId w:val="45"/>
  </w:num>
  <w:num w:numId="256">
    <w:abstractNumId w:val="220"/>
  </w:num>
  <w:num w:numId="257">
    <w:abstractNumId w:val="226"/>
  </w:num>
  <w:num w:numId="258">
    <w:abstractNumId w:val="89"/>
  </w:num>
  <w:num w:numId="259">
    <w:abstractNumId w:val="79"/>
  </w:num>
  <w:num w:numId="260">
    <w:abstractNumId w:val="146"/>
  </w:num>
  <w:num w:numId="261">
    <w:abstractNumId w:val="263"/>
  </w:num>
  <w:num w:numId="262">
    <w:abstractNumId w:val="22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3">
    <w:abstractNumId w:val="208"/>
  </w:num>
  <w:num w:numId="264">
    <w:abstractNumId w:val="160"/>
  </w:num>
  <w:num w:numId="265">
    <w:abstractNumId w:val="304"/>
  </w:num>
  <w:num w:numId="266">
    <w:abstractNumId w:val="217"/>
  </w:num>
  <w:num w:numId="267">
    <w:abstractNumId w:val="168"/>
  </w:num>
  <w:num w:numId="268">
    <w:abstractNumId w:val="48"/>
  </w:num>
  <w:num w:numId="269">
    <w:abstractNumId w:val="18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0">
    <w:abstractNumId w:val="296"/>
  </w:num>
  <w:num w:numId="271">
    <w:abstractNumId w:val="173"/>
  </w:num>
  <w:num w:numId="272">
    <w:abstractNumId w:val="326"/>
  </w:num>
  <w:num w:numId="273">
    <w:abstractNumId w:val="285"/>
  </w:num>
  <w:num w:numId="274">
    <w:abstractNumId w:val="50"/>
  </w:num>
  <w:num w:numId="275">
    <w:abstractNumId w:val="170"/>
  </w:num>
  <w:num w:numId="276">
    <w:abstractNumId w:val="106"/>
  </w:num>
  <w:num w:numId="277">
    <w:abstractNumId w:val="90"/>
  </w:num>
  <w:num w:numId="278">
    <w:abstractNumId w:val="82"/>
  </w:num>
  <w:num w:numId="279">
    <w:abstractNumId w:val="287"/>
  </w:num>
  <w:num w:numId="280">
    <w:abstractNumId w:val="73"/>
  </w:num>
  <w:num w:numId="281">
    <w:abstractNumId w:val="18"/>
  </w:num>
  <w:num w:numId="282">
    <w:abstractNumId w:val="7"/>
  </w:num>
  <w:num w:numId="283">
    <w:abstractNumId w:val="237"/>
  </w:num>
  <w:num w:numId="284">
    <w:abstractNumId w:val="21"/>
  </w:num>
  <w:num w:numId="285">
    <w:abstractNumId w:val="123"/>
  </w:num>
  <w:num w:numId="286">
    <w:abstractNumId w:val="294"/>
  </w:num>
  <w:num w:numId="287">
    <w:abstractNumId w:val="171"/>
  </w:num>
  <w:num w:numId="288">
    <w:abstractNumId w:val="247"/>
  </w:num>
  <w:num w:numId="289">
    <w:abstractNumId w:val="5"/>
  </w:num>
  <w:num w:numId="290">
    <w:abstractNumId w:val="257"/>
  </w:num>
  <w:num w:numId="291">
    <w:abstractNumId w:val="277"/>
  </w:num>
  <w:num w:numId="292">
    <w:abstractNumId w:val="97"/>
  </w:num>
  <w:num w:numId="293">
    <w:abstractNumId w:val="309"/>
  </w:num>
  <w:num w:numId="294">
    <w:abstractNumId w:val="101"/>
  </w:num>
  <w:num w:numId="295">
    <w:abstractNumId w:val="107"/>
  </w:num>
  <w:num w:numId="296">
    <w:abstractNumId w:val="155"/>
  </w:num>
  <w:num w:numId="297">
    <w:abstractNumId w:val="302"/>
  </w:num>
  <w:num w:numId="298">
    <w:abstractNumId w:val="213"/>
  </w:num>
  <w:num w:numId="299">
    <w:abstractNumId w:val="52"/>
  </w:num>
  <w:num w:numId="300">
    <w:abstractNumId w:val="105"/>
    <w:lvlOverride w:ilvl="0">
      <w:startOverride w:val="1"/>
    </w:lvlOverride>
  </w:num>
  <w:num w:numId="301">
    <w:abstractNumId w:val="193"/>
  </w:num>
  <w:num w:numId="302">
    <w:abstractNumId w:val="157"/>
  </w:num>
  <w:num w:numId="303">
    <w:abstractNumId w:val="177"/>
  </w:num>
  <w:num w:numId="304">
    <w:abstractNumId w:val="135"/>
  </w:num>
  <w:num w:numId="305">
    <w:abstractNumId w:val="137"/>
  </w:num>
  <w:num w:numId="306">
    <w:abstractNumId w:val="76"/>
  </w:num>
  <w:num w:numId="307">
    <w:abstractNumId w:val="321"/>
  </w:num>
  <w:num w:numId="308">
    <w:abstractNumId w:val="344"/>
  </w:num>
  <w:num w:numId="309">
    <w:abstractNumId w:val="41"/>
  </w:num>
  <w:num w:numId="310">
    <w:abstractNumId w:val="95"/>
  </w:num>
  <w:num w:numId="311">
    <w:abstractNumId w:val="42"/>
  </w:num>
  <w:num w:numId="312">
    <w:abstractNumId w:val="100"/>
  </w:num>
  <w:num w:numId="313">
    <w:abstractNumId w:val="188"/>
  </w:num>
  <w:num w:numId="314">
    <w:abstractNumId w:val="172"/>
  </w:num>
  <w:num w:numId="315">
    <w:abstractNumId w:val="78"/>
  </w:num>
  <w:num w:numId="316">
    <w:abstractNumId w:val="136"/>
  </w:num>
  <w:num w:numId="317">
    <w:abstractNumId w:val="140"/>
  </w:num>
  <w:num w:numId="318">
    <w:abstractNumId w:val="71"/>
  </w:num>
  <w:num w:numId="319">
    <w:abstractNumId w:val="139"/>
  </w:num>
  <w:num w:numId="320">
    <w:abstractNumId w:val="130"/>
  </w:num>
  <w:num w:numId="321">
    <w:abstractNumId w:val="284"/>
  </w:num>
  <w:num w:numId="322">
    <w:abstractNumId w:val="156"/>
  </w:num>
  <w:num w:numId="323">
    <w:abstractNumId w:val="111"/>
  </w:num>
  <w:num w:numId="324">
    <w:abstractNumId w:val="151"/>
  </w:num>
  <w:num w:numId="325">
    <w:abstractNumId w:val="180"/>
  </w:num>
  <w:num w:numId="326">
    <w:abstractNumId w:val="268"/>
  </w:num>
  <w:num w:numId="327">
    <w:abstractNumId w:val="28"/>
  </w:num>
  <w:num w:numId="328">
    <w:abstractNumId w:val="8"/>
  </w:num>
  <w:num w:numId="329">
    <w:abstractNumId w:val="83"/>
  </w:num>
  <w:num w:numId="330">
    <w:abstractNumId w:val="62"/>
  </w:num>
  <w:num w:numId="331">
    <w:abstractNumId w:val="158"/>
  </w:num>
  <w:num w:numId="332">
    <w:abstractNumId w:val="29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3">
    <w:abstractNumId w:val="149"/>
  </w:num>
  <w:num w:numId="334">
    <w:abstractNumId w:val="320"/>
  </w:num>
  <w:num w:numId="335">
    <w:abstractNumId w:val="259"/>
  </w:num>
  <w:num w:numId="336">
    <w:abstractNumId w:val="295"/>
  </w:num>
  <w:num w:numId="337">
    <w:abstractNumId w:val="292"/>
  </w:num>
  <w:num w:numId="338">
    <w:abstractNumId w:val="127"/>
  </w:num>
  <w:num w:numId="339">
    <w:abstractNumId w:val="74"/>
  </w:num>
  <w:num w:numId="340">
    <w:abstractNumId w:val="113"/>
  </w:num>
  <w:num w:numId="341">
    <w:abstractNumId w:val="241"/>
  </w:num>
  <w:num w:numId="342">
    <w:abstractNumId w:val="68"/>
  </w:num>
  <w:num w:numId="343">
    <w:abstractNumId w:val="265"/>
  </w:num>
  <w:num w:numId="344">
    <w:abstractNumId w:val="110"/>
  </w:num>
  <w:num w:numId="345">
    <w:abstractNumId w:val="250"/>
  </w:num>
  <w:num w:numId="346">
    <w:abstractNumId w:val="341"/>
  </w:num>
  <w:numIdMacAtCleanup w:val="3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hideSpellingErrors/>
  <w:hideGrammaticalErrors/>
  <w:activeWritingStyle w:appName="MSWord" w:lang="ru-RU" w:vendorID="64" w:dllVersion="6" w:nlCheck="1" w:checkStyle="0"/>
  <w:activeWritingStyle w:appName="MSWord" w:lang="en-US" w:vendorID="64" w:dllVersion="6" w:nlCheck="1" w:checkStyle="0"/>
  <w:activeWritingStyle w:appName="MSWord" w:lang="en-US" w:vendorID="64" w:dllVersion="4096" w:nlCheck="1" w:checkStyle="0"/>
  <w:activeWritingStyle w:appName="MSWord" w:lang="ru-RU" w:vendorID="64" w:dllVersion="4096" w:nlCheck="1" w:checkStyle="0"/>
  <w:activeWritingStyle w:appName="MSWord" w:lang="en-US" w:vendorID="64" w:dllVersion="131078" w:nlCheck="1" w:checkStyle="1"/>
  <w:activeWritingStyle w:appName="MSWord" w:lang="ru-RU" w:vendorID="64" w:dllVersion="131078" w:nlCheck="1" w:checkStyle="0"/>
  <w:defaultTabStop w:val="34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92083"/>
    <w:rsid w:val="00000C4F"/>
    <w:rsid w:val="00001F6A"/>
    <w:rsid w:val="00002A09"/>
    <w:rsid w:val="00003142"/>
    <w:rsid w:val="0000334F"/>
    <w:rsid w:val="00003E7F"/>
    <w:rsid w:val="00004CE6"/>
    <w:rsid w:val="000052F7"/>
    <w:rsid w:val="00007119"/>
    <w:rsid w:val="00007B4C"/>
    <w:rsid w:val="00011E86"/>
    <w:rsid w:val="00012493"/>
    <w:rsid w:val="0001419A"/>
    <w:rsid w:val="000151BA"/>
    <w:rsid w:val="000154BA"/>
    <w:rsid w:val="00015713"/>
    <w:rsid w:val="00015C15"/>
    <w:rsid w:val="00016064"/>
    <w:rsid w:val="0001678D"/>
    <w:rsid w:val="00016AB3"/>
    <w:rsid w:val="000175F5"/>
    <w:rsid w:val="00017CC9"/>
    <w:rsid w:val="00022255"/>
    <w:rsid w:val="000234C9"/>
    <w:rsid w:val="000256C5"/>
    <w:rsid w:val="00025EA9"/>
    <w:rsid w:val="0002607F"/>
    <w:rsid w:val="00026D48"/>
    <w:rsid w:val="00027C62"/>
    <w:rsid w:val="000325CF"/>
    <w:rsid w:val="000332D3"/>
    <w:rsid w:val="000346EE"/>
    <w:rsid w:val="00036B6B"/>
    <w:rsid w:val="00036D68"/>
    <w:rsid w:val="000376DA"/>
    <w:rsid w:val="00037E7F"/>
    <w:rsid w:val="00037F1B"/>
    <w:rsid w:val="00040178"/>
    <w:rsid w:val="000401D8"/>
    <w:rsid w:val="0004302F"/>
    <w:rsid w:val="00043362"/>
    <w:rsid w:val="000439C4"/>
    <w:rsid w:val="00045B99"/>
    <w:rsid w:val="00045DA0"/>
    <w:rsid w:val="000460AC"/>
    <w:rsid w:val="000504EF"/>
    <w:rsid w:val="000507AC"/>
    <w:rsid w:val="0005151B"/>
    <w:rsid w:val="000522C4"/>
    <w:rsid w:val="00055642"/>
    <w:rsid w:val="000571A1"/>
    <w:rsid w:val="000575D5"/>
    <w:rsid w:val="00060157"/>
    <w:rsid w:val="000610DD"/>
    <w:rsid w:val="00061B28"/>
    <w:rsid w:val="0006201A"/>
    <w:rsid w:val="00063FA5"/>
    <w:rsid w:val="00063FA7"/>
    <w:rsid w:val="000648FB"/>
    <w:rsid w:val="00064BE8"/>
    <w:rsid w:val="00065828"/>
    <w:rsid w:val="000663D7"/>
    <w:rsid w:val="00066553"/>
    <w:rsid w:val="00066D3B"/>
    <w:rsid w:val="00067879"/>
    <w:rsid w:val="00070A1D"/>
    <w:rsid w:val="00070C9D"/>
    <w:rsid w:val="0007195F"/>
    <w:rsid w:val="000724F5"/>
    <w:rsid w:val="00072780"/>
    <w:rsid w:val="00073230"/>
    <w:rsid w:val="000734B4"/>
    <w:rsid w:val="00073CE9"/>
    <w:rsid w:val="00074C4A"/>
    <w:rsid w:val="00076EA4"/>
    <w:rsid w:val="00080795"/>
    <w:rsid w:val="00080EF2"/>
    <w:rsid w:val="00082413"/>
    <w:rsid w:val="0008292A"/>
    <w:rsid w:val="00082A51"/>
    <w:rsid w:val="00084650"/>
    <w:rsid w:val="00085470"/>
    <w:rsid w:val="0008790B"/>
    <w:rsid w:val="00090347"/>
    <w:rsid w:val="000916E9"/>
    <w:rsid w:val="00092239"/>
    <w:rsid w:val="0009265C"/>
    <w:rsid w:val="000929CF"/>
    <w:rsid w:val="00095AB8"/>
    <w:rsid w:val="0009619B"/>
    <w:rsid w:val="000978C8"/>
    <w:rsid w:val="000A10C0"/>
    <w:rsid w:val="000A1597"/>
    <w:rsid w:val="000A1A68"/>
    <w:rsid w:val="000A2179"/>
    <w:rsid w:val="000A50DD"/>
    <w:rsid w:val="000A550E"/>
    <w:rsid w:val="000A57EB"/>
    <w:rsid w:val="000A6F41"/>
    <w:rsid w:val="000A7687"/>
    <w:rsid w:val="000A7832"/>
    <w:rsid w:val="000B189C"/>
    <w:rsid w:val="000B1D77"/>
    <w:rsid w:val="000B3419"/>
    <w:rsid w:val="000C0908"/>
    <w:rsid w:val="000C1CDA"/>
    <w:rsid w:val="000C2052"/>
    <w:rsid w:val="000C2702"/>
    <w:rsid w:val="000C2BEB"/>
    <w:rsid w:val="000C3043"/>
    <w:rsid w:val="000C39E1"/>
    <w:rsid w:val="000C6527"/>
    <w:rsid w:val="000C6FA2"/>
    <w:rsid w:val="000C73CB"/>
    <w:rsid w:val="000D07BB"/>
    <w:rsid w:val="000D1019"/>
    <w:rsid w:val="000D1A33"/>
    <w:rsid w:val="000D2760"/>
    <w:rsid w:val="000D49AE"/>
    <w:rsid w:val="000D5D63"/>
    <w:rsid w:val="000D6F21"/>
    <w:rsid w:val="000D7070"/>
    <w:rsid w:val="000D7116"/>
    <w:rsid w:val="000D73B3"/>
    <w:rsid w:val="000E02B5"/>
    <w:rsid w:val="000E2013"/>
    <w:rsid w:val="000E20DB"/>
    <w:rsid w:val="000E2312"/>
    <w:rsid w:val="000E36F0"/>
    <w:rsid w:val="000E5723"/>
    <w:rsid w:val="000E7F2B"/>
    <w:rsid w:val="000E7FB6"/>
    <w:rsid w:val="000F04F2"/>
    <w:rsid w:val="000F14C3"/>
    <w:rsid w:val="000F17FC"/>
    <w:rsid w:val="000F1B66"/>
    <w:rsid w:val="000F2837"/>
    <w:rsid w:val="000F2CE5"/>
    <w:rsid w:val="000F3C03"/>
    <w:rsid w:val="000F5AEF"/>
    <w:rsid w:val="000F6978"/>
    <w:rsid w:val="00101F7C"/>
    <w:rsid w:val="00103EC5"/>
    <w:rsid w:val="001043A6"/>
    <w:rsid w:val="00107D5C"/>
    <w:rsid w:val="001117A3"/>
    <w:rsid w:val="001131EA"/>
    <w:rsid w:val="00115062"/>
    <w:rsid w:val="001150A0"/>
    <w:rsid w:val="00116013"/>
    <w:rsid w:val="00116612"/>
    <w:rsid w:val="00116F27"/>
    <w:rsid w:val="00117582"/>
    <w:rsid w:val="001176B2"/>
    <w:rsid w:val="00125549"/>
    <w:rsid w:val="00125626"/>
    <w:rsid w:val="00126EC3"/>
    <w:rsid w:val="0012732C"/>
    <w:rsid w:val="00130A2A"/>
    <w:rsid w:val="00131705"/>
    <w:rsid w:val="0013185E"/>
    <w:rsid w:val="00131867"/>
    <w:rsid w:val="00131A34"/>
    <w:rsid w:val="00131D9B"/>
    <w:rsid w:val="001333B2"/>
    <w:rsid w:val="00133742"/>
    <w:rsid w:val="00133CD9"/>
    <w:rsid w:val="001345CD"/>
    <w:rsid w:val="00134797"/>
    <w:rsid w:val="00135406"/>
    <w:rsid w:val="00135D4B"/>
    <w:rsid w:val="0013610C"/>
    <w:rsid w:val="0013627E"/>
    <w:rsid w:val="00137635"/>
    <w:rsid w:val="0013792E"/>
    <w:rsid w:val="00137F4E"/>
    <w:rsid w:val="00140272"/>
    <w:rsid w:val="0014029E"/>
    <w:rsid w:val="00140691"/>
    <w:rsid w:val="00140C75"/>
    <w:rsid w:val="00145249"/>
    <w:rsid w:val="001506EF"/>
    <w:rsid w:val="00150FBE"/>
    <w:rsid w:val="001516E1"/>
    <w:rsid w:val="00151C00"/>
    <w:rsid w:val="0015238C"/>
    <w:rsid w:val="00152713"/>
    <w:rsid w:val="001539B7"/>
    <w:rsid w:val="00154100"/>
    <w:rsid w:val="00156211"/>
    <w:rsid w:val="0015741E"/>
    <w:rsid w:val="001578D5"/>
    <w:rsid w:val="00157C57"/>
    <w:rsid w:val="00160682"/>
    <w:rsid w:val="001623DF"/>
    <w:rsid w:val="00162972"/>
    <w:rsid w:val="001635E3"/>
    <w:rsid w:val="00163C58"/>
    <w:rsid w:val="00164624"/>
    <w:rsid w:val="00164CC3"/>
    <w:rsid w:val="001657B5"/>
    <w:rsid w:val="00165DD4"/>
    <w:rsid w:val="00166452"/>
    <w:rsid w:val="00171156"/>
    <w:rsid w:val="00171978"/>
    <w:rsid w:val="00172705"/>
    <w:rsid w:val="00173FC5"/>
    <w:rsid w:val="00174AD5"/>
    <w:rsid w:val="00174B81"/>
    <w:rsid w:val="0017593F"/>
    <w:rsid w:val="00177A58"/>
    <w:rsid w:val="001811F0"/>
    <w:rsid w:val="00181B8B"/>
    <w:rsid w:val="001845C7"/>
    <w:rsid w:val="00184F07"/>
    <w:rsid w:val="00185471"/>
    <w:rsid w:val="00185EE0"/>
    <w:rsid w:val="00186309"/>
    <w:rsid w:val="00186712"/>
    <w:rsid w:val="001868B9"/>
    <w:rsid w:val="00186C62"/>
    <w:rsid w:val="00192223"/>
    <w:rsid w:val="001958FF"/>
    <w:rsid w:val="001959AB"/>
    <w:rsid w:val="00197012"/>
    <w:rsid w:val="001A09D5"/>
    <w:rsid w:val="001A242F"/>
    <w:rsid w:val="001A4CF3"/>
    <w:rsid w:val="001A4DF0"/>
    <w:rsid w:val="001A6366"/>
    <w:rsid w:val="001B00EB"/>
    <w:rsid w:val="001B1054"/>
    <w:rsid w:val="001B138D"/>
    <w:rsid w:val="001B13F0"/>
    <w:rsid w:val="001B3CED"/>
    <w:rsid w:val="001B3EB3"/>
    <w:rsid w:val="001B4905"/>
    <w:rsid w:val="001B5B89"/>
    <w:rsid w:val="001B6A5E"/>
    <w:rsid w:val="001B7B52"/>
    <w:rsid w:val="001C02A9"/>
    <w:rsid w:val="001C0D26"/>
    <w:rsid w:val="001C0F4C"/>
    <w:rsid w:val="001C1E03"/>
    <w:rsid w:val="001C4E70"/>
    <w:rsid w:val="001C56D1"/>
    <w:rsid w:val="001C5858"/>
    <w:rsid w:val="001C61BF"/>
    <w:rsid w:val="001C6718"/>
    <w:rsid w:val="001C694A"/>
    <w:rsid w:val="001C6E61"/>
    <w:rsid w:val="001D00C5"/>
    <w:rsid w:val="001D069A"/>
    <w:rsid w:val="001D0717"/>
    <w:rsid w:val="001D0C82"/>
    <w:rsid w:val="001D1329"/>
    <w:rsid w:val="001D1BC5"/>
    <w:rsid w:val="001D1BD2"/>
    <w:rsid w:val="001D2C6D"/>
    <w:rsid w:val="001D332C"/>
    <w:rsid w:val="001D56E9"/>
    <w:rsid w:val="001D5CAF"/>
    <w:rsid w:val="001E05DA"/>
    <w:rsid w:val="001E07EC"/>
    <w:rsid w:val="001E0F7C"/>
    <w:rsid w:val="001E2048"/>
    <w:rsid w:val="001E2879"/>
    <w:rsid w:val="001E3420"/>
    <w:rsid w:val="001E42AC"/>
    <w:rsid w:val="001E4A84"/>
    <w:rsid w:val="001E6770"/>
    <w:rsid w:val="001E7FA6"/>
    <w:rsid w:val="001F0FC4"/>
    <w:rsid w:val="001F1380"/>
    <w:rsid w:val="001F1EB9"/>
    <w:rsid w:val="001F1FC0"/>
    <w:rsid w:val="001F2A56"/>
    <w:rsid w:val="001F2DB1"/>
    <w:rsid w:val="001F302D"/>
    <w:rsid w:val="001F47BA"/>
    <w:rsid w:val="001F5D0D"/>
    <w:rsid w:val="001F6587"/>
    <w:rsid w:val="001F6BDD"/>
    <w:rsid w:val="001F6D98"/>
    <w:rsid w:val="00200C36"/>
    <w:rsid w:val="00200EE9"/>
    <w:rsid w:val="00201A2B"/>
    <w:rsid w:val="002028B7"/>
    <w:rsid w:val="002041C1"/>
    <w:rsid w:val="002041E5"/>
    <w:rsid w:val="00204982"/>
    <w:rsid w:val="00204B0D"/>
    <w:rsid w:val="00204B8B"/>
    <w:rsid w:val="0020552A"/>
    <w:rsid w:val="0020609C"/>
    <w:rsid w:val="002077EC"/>
    <w:rsid w:val="00211814"/>
    <w:rsid w:val="00211F0F"/>
    <w:rsid w:val="0021353F"/>
    <w:rsid w:val="00214E53"/>
    <w:rsid w:val="00216F3C"/>
    <w:rsid w:val="00217511"/>
    <w:rsid w:val="00217F19"/>
    <w:rsid w:val="002212FA"/>
    <w:rsid w:val="00222405"/>
    <w:rsid w:val="00222589"/>
    <w:rsid w:val="00223305"/>
    <w:rsid w:val="0022402D"/>
    <w:rsid w:val="00225DFE"/>
    <w:rsid w:val="00225FA2"/>
    <w:rsid w:val="002266A7"/>
    <w:rsid w:val="00226A14"/>
    <w:rsid w:val="00230578"/>
    <w:rsid w:val="00231522"/>
    <w:rsid w:val="002317A3"/>
    <w:rsid w:val="00232774"/>
    <w:rsid w:val="002337EA"/>
    <w:rsid w:val="00233D37"/>
    <w:rsid w:val="00234FE7"/>
    <w:rsid w:val="00235612"/>
    <w:rsid w:val="00235967"/>
    <w:rsid w:val="00236FD1"/>
    <w:rsid w:val="0023718F"/>
    <w:rsid w:val="00240085"/>
    <w:rsid w:val="00240754"/>
    <w:rsid w:val="00240FDB"/>
    <w:rsid w:val="00241A7D"/>
    <w:rsid w:val="00241C66"/>
    <w:rsid w:val="00241DAD"/>
    <w:rsid w:val="00242D60"/>
    <w:rsid w:val="00244536"/>
    <w:rsid w:val="00244A68"/>
    <w:rsid w:val="00245522"/>
    <w:rsid w:val="00245BA0"/>
    <w:rsid w:val="00246080"/>
    <w:rsid w:val="002460F5"/>
    <w:rsid w:val="00251026"/>
    <w:rsid w:val="00252A4B"/>
    <w:rsid w:val="002530E2"/>
    <w:rsid w:val="00253686"/>
    <w:rsid w:val="0025380E"/>
    <w:rsid w:val="00253C6B"/>
    <w:rsid w:val="00254029"/>
    <w:rsid w:val="00254054"/>
    <w:rsid w:val="00254807"/>
    <w:rsid w:val="00255476"/>
    <w:rsid w:val="0025598B"/>
    <w:rsid w:val="002563C6"/>
    <w:rsid w:val="00257351"/>
    <w:rsid w:val="0026158C"/>
    <w:rsid w:val="002616BB"/>
    <w:rsid w:val="00261D88"/>
    <w:rsid w:val="0026203C"/>
    <w:rsid w:val="0026223F"/>
    <w:rsid w:val="00264495"/>
    <w:rsid w:val="00265B7C"/>
    <w:rsid w:val="002662EE"/>
    <w:rsid w:val="00266D8F"/>
    <w:rsid w:val="00267242"/>
    <w:rsid w:val="0026752C"/>
    <w:rsid w:val="00267C7B"/>
    <w:rsid w:val="00270029"/>
    <w:rsid w:val="00271240"/>
    <w:rsid w:val="00271DD8"/>
    <w:rsid w:val="00271EE4"/>
    <w:rsid w:val="0027225B"/>
    <w:rsid w:val="0027242B"/>
    <w:rsid w:val="00272475"/>
    <w:rsid w:val="00272B57"/>
    <w:rsid w:val="00272B7F"/>
    <w:rsid w:val="002739DC"/>
    <w:rsid w:val="00274238"/>
    <w:rsid w:val="00276078"/>
    <w:rsid w:val="0027607E"/>
    <w:rsid w:val="00276D00"/>
    <w:rsid w:val="002809CE"/>
    <w:rsid w:val="00280D0E"/>
    <w:rsid w:val="00281F48"/>
    <w:rsid w:val="00282172"/>
    <w:rsid w:val="00282456"/>
    <w:rsid w:val="00286FAD"/>
    <w:rsid w:val="0028769B"/>
    <w:rsid w:val="00287A96"/>
    <w:rsid w:val="00290AD5"/>
    <w:rsid w:val="00290F69"/>
    <w:rsid w:val="00290F74"/>
    <w:rsid w:val="00292472"/>
    <w:rsid w:val="00292B42"/>
    <w:rsid w:val="002934DF"/>
    <w:rsid w:val="00293507"/>
    <w:rsid w:val="00293547"/>
    <w:rsid w:val="00293B77"/>
    <w:rsid w:val="00295C6D"/>
    <w:rsid w:val="00295C7A"/>
    <w:rsid w:val="00296028"/>
    <w:rsid w:val="0029638A"/>
    <w:rsid w:val="002A000F"/>
    <w:rsid w:val="002A1073"/>
    <w:rsid w:val="002A1178"/>
    <w:rsid w:val="002A169F"/>
    <w:rsid w:val="002A1AF5"/>
    <w:rsid w:val="002A1BE2"/>
    <w:rsid w:val="002A1FA9"/>
    <w:rsid w:val="002A2CB4"/>
    <w:rsid w:val="002A460D"/>
    <w:rsid w:val="002A49EC"/>
    <w:rsid w:val="002A574A"/>
    <w:rsid w:val="002A5BFC"/>
    <w:rsid w:val="002A5F63"/>
    <w:rsid w:val="002A68BA"/>
    <w:rsid w:val="002A6B9B"/>
    <w:rsid w:val="002B09DF"/>
    <w:rsid w:val="002B0CE1"/>
    <w:rsid w:val="002B192A"/>
    <w:rsid w:val="002B1F08"/>
    <w:rsid w:val="002B237C"/>
    <w:rsid w:val="002B2CA3"/>
    <w:rsid w:val="002B37AF"/>
    <w:rsid w:val="002B3BC1"/>
    <w:rsid w:val="002B3F2B"/>
    <w:rsid w:val="002B4BB2"/>
    <w:rsid w:val="002B5594"/>
    <w:rsid w:val="002C168C"/>
    <w:rsid w:val="002C1802"/>
    <w:rsid w:val="002C2F27"/>
    <w:rsid w:val="002C336E"/>
    <w:rsid w:val="002C43C1"/>
    <w:rsid w:val="002C4677"/>
    <w:rsid w:val="002C4833"/>
    <w:rsid w:val="002C48F6"/>
    <w:rsid w:val="002C593A"/>
    <w:rsid w:val="002C5F54"/>
    <w:rsid w:val="002C5F7E"/>
    <w:rsid w:val="002C64A0"/>
    <w:rsid w:val="002C6DAD"/>
    <w:rsid w:val="002C7B2B"/>
    <w:rsid w:val="002C7C6F"/>
    <w:rsid w:val="002D364D"/>
    <w:rsid w:val="002D37AF"/>
    <w:rsid w:val="002D441F"/>
    <w:rsid w:val="002D45CD"/>
    <w:rsid w:val="002D4EA3"/>
    <w:rsid w:val="002D7D25"/>
    <w:rsid w:val="002D7E7F"/>
    <w:rsid w:val="002E08A0"/>
    <w:rsid w:val="002E1054"/>
    <w:rsid w:val="002E15A6"/>
    <w:rsid w:val="002E5600"/>
    <w:rsid w:val="002E5674"/>
    <w:rsid w:val="002E58C2"/>
    <w:rsid w:val="002E762B"/>
    <w:rsid w:val="002F163E"/>
    <w:rsid w:val="002F216F"/>
    <w:rsid w:val="002F2C12"/>
    <w:rsid w:val="002F4404"/>
    <w:rsid w:val="002F56EF"/>
    <w:rsid w:val="002F61C7"/>
    <w:rsid w:val="002F6E49"/>
    <w:rsid w:val="0030695C"/>
    <w:rsid w:val="00307087"/>
    <w:rsid w:val="0030709C"/>
    <w:rsid w:val="003075DF"/>
    <w:rsid w:val="003106EC"/>
    <w:rsid w:val="00310783"/>
    <w:rsid w:val="00310D8B"/>
    <w:rsid w:val="0031101A"/>
    <w:rsid w:val="00311A8E"/>
    <w:rsid w:val="00312F9C"/>
    <w:rsid w:val="003135D0"/>
    <w:rsid w:val="00313AA8"/>
    <w:rsid w:val="0031609D"/>
    <w:rsid w:val="0031629B"/>
    <w:rsid w:val="00316B1B"/>
    <w:rsid w:val="00316E53"/>
    <w:rsid w:val="00316F58"/>
    <w:rsid w:val="0031710C"/>
    <w:rsid w:val="003173B7"/>
    <w:rsid w:val="00320869"/>
    <w:rsid w:val="00321568"/>
    <w:rsid w:val="00322329"/>
    <w:rsid w:val="003223DE"/>
    <w:rsid w:val="00322A74"/>
    <w:rsid w:val="00323D9F"/>
    <w:rsid w:val="0032437E"/>
    <w:rsid w:val="003246A9"/>
    <w:rsid w:val="00324847"/>
    <w:rsid w:val="00324F3E"/>
    <w:rsid w:val="0032565A"/>
    <w:rsid w:val="00327114"/>
    <w:rsid w:val="00327BE4"/>
    <w:rsid w:val="00330175"/>
    <w:rsid w:val="00331511"/>
    <w:rsid w:val="0033586C"/>
    <w:rsid w:val="00337EFB"/>
    <w:rsid w:val="00341BF6"/>
    <w:rsid w:val="003431CD"/>
    <w:rsid w:val="00343886"/>
    <w:rsid w:val="00343A36"/>
    <w:rsid w:val="0034442E"/>
    <w:rsid w:val="003446D7"/>
    <w:rsid w:val="00344A7F"/>
    <w:rsid w:val="00344ABD"/>
    <w:rsid w:val="00345A24"/>
    <w:rsid w:val="00347039"/>
    <w:rsid w:val="00347243"/>
    <w:rsid w:val="0034786C"/>
    <w:rsid w:val="00347E4B"/>
    <w:rsid w:val="00350BBB"/>
    <w:rsid w:val="00350C5A"/>
    <w:rsid w:val="003519BA"/>
    <w:rsid w:val="00351C1B"/>
    <w:rsid w:val="00353322"/>
    <w:rsid w:val="0035356A"/>
    <w:rsid w:val="00355FE0"/>
    <w:rsid w:val="00361381"/>
    <w:rsid w:val="00361812"/>
    <w:rsid w:val="00362253"/>
    <w:rsid w:val="00363653"/>
    <w:rsid w:val="00363DB7"/>
    <w:rsid w:val="003661DE"/>
    <w:rsid w:val="0037209A"/>
    <w:rsid w:val="003721D5"/>
    <w:rsid w:val="00372D6D"/>
    <w:rsid w:val="00373B09"/>
    <w:rsid w:val="00374046"/>
    <w:rsid w:val="00374F31"/>
    <w:rsid w:val="003750BE"/>
    <w:rsid w:val="00375235"/>
    <w:rsid w:val="003753F2"/>
    <w:rsid w:val="003762C2"/>
    <w:rsid w:val="00376435"/>
    <w:rsid w:val="00377FF0"/>
    <w:rsid w:val="003801DB"/>
    <w:rsid w:val="003807B6"/>
    <w:rsid w:val="00380EAE"/>
    <w:rsid w:val="003824D1"/>
    <w:rsid w:val="003828FD"/>
    <w:rsid w:val="00382AB8"/>
    <w:rsid w:val="003849DD"/>
    <w:rsid w:val="00384CC4"/>
    <w:rsid w:val="00384DB3"/>
    <w:rsid w:val="00385129"/>
    <w:rsid w:val="003905D7"/>
    <w:rsid w:val="00391B49"/>
    <w:rsid w:val="003938D9"/>
    <w:rsid w:val="0039432B"/>
    <w:rsid w:val="003949DE"/>
    <w:rsid w:val="00394EFB"/>
    <w:rsid w:val="00397483"/>
    <w:rsid w:val="00397822"/>
    <w:rsid w:val="003A07A4"/>
    <w:rsid w:val="003A1626"/>
    <w:rsid w:val="003A1ECF"/>
    <w:rsid w:val="003A4171"/>
    <w:rsid w:val="003A4602"/>
    <w:rsid w:val="003A4D89"/>
    <w:rsid w:val="003A54DC"/>
    <w:rsid w:val="003A630D"/>
    <w:rsid w:val="003A6A64"/>
    <w:rsid w:val="003B0093"/>
    <w:rsid w:val="003B1058"/>
    <w:rsid w:val="003B2322"/>
    <w:rsid w:val="003B48EB"/>
    <w:rsid w:val="003B4C5A"/>
    <w:rsid w:val="003B576F"/>
    <w:rsid w:val="003B6391"/>
    <w:rsid w:val="003B7111"/>
    <w:rsid w:val="003C0A20"/>
    <w:rsid w:val="003C1EDD"/>
    <w:rsid w:val="003C26F3"/>
    <w:rsid w:val="003C4802"/>
    <w:rsid w:val="003C7CB1"/>
    <w:rsid w:val="003D0339"/>
    <w:rsid w:val="003D1DDD"/>
    <w:rsid w:val="003D3495"/>
    <w:rsid w:val="003D3F38"/>
    <w:rsid w:val="003D44BF"/>
    <w:rsid w:val="003D4BEA"/>
    <w:rsid w:val="003D6F3A"/>
    <w:rsid w:val="003E0733"/>
    <w:rsid w:val="003E1418"/>
    <w:rsid w:val="003E2C1F"/>
    <w:rsid w:val="003E3CE1"/>
    <w:rsid w:val="003E3DE0"/>
    <w:rsid w:val="003E4655"/>
    <w:rsid w:val="003E51AE"/>
    <w:rsid w:val="003E5A3A"/>
    <w:rsid w:val="003E72F0"/>
    <w:rsid w:val="003F0F9B"/>
    <w:rsid w:val="003F457F"/>
    <w:rsid w:val="003F4DDB"/>
    <w:rsid w:val="003F4E1D"/>
    <w:rsid w:val="003F57C4"/>
    <w:rsid w:val="00400484"/>
    <w:rsid w:val="004008B0"/>
    <w:rsid w:val="004013C2"/>
    <w:rsid w:val="00401916"/>
    <w:rsid w:val="00403069"/>
    <w:rsid w:val="0040365C"/>
    <w:rsid w:val="00403725"/>
    <w:rsid w:val="00405322"/>
    <w:rsid w:val="00406ECC"/>
    <w:rsid w:val="004072C4"/>
    <w:rsid w:val="00407379"/>
    <w:rsid w:val="0040786F"/>
    <w:rsid w:val="00407EA4"/>
    <w:rsid w:val="004101A8"/>
    <w:rsid w:val="004101F1"/>
    <w:rsid w:val="004106F8"/>
    <w:rsid w:val="00411CF7"/>
    <w:rsid w:val="00413203"/>
    <w:rsid w:val="004134A8"/>
    <w:rsid w:val="0041390D"/>
    <w:rsid w:val="0041502A"/>
    <w:rsid w:val="004167C7"/>
    <w:rsid w:val="00417F74"/>
    <w:rsid w:val="00420443"/>
    <w:rsid w:val="0042088A"/>
    <w:rsid w:val="00420909"/>
    <w:rsid w:val="00420F08"/>
    <w:rsid w:val="004233B7"/>
    <w:rsid w:val="0042448F"/>
    <w:rsid w:val="00425414"/>
    <w:rsid w:val="004257C0"/>
    <w:rsid w:val="004258F2"/>
    <w:rsid w:val="004262A3"/>
    <w:rsid w:val="004273C5"/>
    <w:rsid w:val="004274BC"/>
    <w:rsid w:val="00431AD6"/>
    <w:rsid w:val="00432B0E"/>
    <w:rsid w:val="0043554A"/>
    <w:rsid w:val="0043559F"/>
    <w:rsid w:val="00436806"/>
    <w:rsid w:val="004371EF"/>
    <w:rsid w:val="004379D9"/>
    <w:rsid w:val="0044091E"/>
    <w:rsid w:val="00441408"/>
    <w:rsid w:val="00441CA1"/>
    <w:rsid w:val="00443708"/>
    <w:rsid w:val="00443D12"/>
    <w:rsid w:val="00444807"/>
    <w:rsid w:val="00445160"/>
    <w:rsid w:val="00445518"/>
    <w:rsid w:val="004472E0"/>
    <w:rsid w:val="00447C3E"/>
    <w:rsid w:val="00447CE9"/>
    <w:rsid w:val="00450978"/>
    <w:rsid w:val="00450A1D"/>
    <w:rsid w:val="00450DCD"/>
    <w:rsid w:val="0045499A"/>
    <w:rsid w:val="00457F52"/>
    <w:rsid w:val="004607C1"/>
    <w:rsid w:val="004611FB"/>
    <w:rsid w:val="004612DD"/>
    <w:rsid w:val="00466732"/>
    <w:rsid w:val="00466E60"/>
    <w:rsid w:val="004674DE"/>
    <w:rsid w:val="004702DE"/>
    <w:rsid w:val="0047372A"/>
    <w:rsid w:val="00473C65"/>
    <w:rsid w:val="00473CCB"/>
    <w:rsid w:val="004767C1"/>
    <w:rsid w:val="00476825"/>
    <w:rsid w:val="00480EA1"/>
    <w:rsid w:val="00481D57"/>
    <w:rsid w:val="004827E5"/>
    <w:rsid w:val="00482CB3"/>
    <w:rsid w:val="0048334A"/>
    <w:rsid w:val="00485C11"/>
    <w:rsid w:val="004879A8"/>
    <w:rsid w:val="00487ED4"/>
    <w:rsid w:val="00494CDA"/>
    <w:rsid w:val="0049567D"/>
    <w:rsid w:val="00497724"/>
    <w:rsid w:val="00497FB7"/>
    <w:rsid w:val="004A04B9"/>
    <w:rsid w:val="004A0CBF"/>
    <w:rsid w:val="004A1C86"/>
    <w:rsid w:val="004A2A35"/>
    <w:rsid w:val="004A4278"/>
    <w:rsid w:val="004A49CB"/>
    <w:rsid w:val="004A5326"/>
    <w:rsid w:val="004A5A53"/>
    <w:rsid w:val="004A5C35"/>
    <w:rsid w:val="004A60ED"/>
    <w:rsid w:val="004A64D9"/>
    <w:rsid w:val="004A6869"/>
    <w:rsid w:val="004A6FFF"/>
    <w:rsid w:val="004A7429"/>
    <w:rsid w:val="004B01D2"/>
    <w:rsid w:val="004B10A5"/>
    <w:rsid w:val="004B1594"/>
    <w:rsid w:val="004B1F75"/>
    <w:rsid w:val="004B3B82"/>
    <w:rsid w:val="004B3FDB"/>
    <w:rsid w:val="004B4AF9"/>
    <w:rsid w:val="004B7A35"/>
    <w:rsid w:val="004C0356"/>
    <w:rsid w:val="004C0488"/>
    <w:rsid w:val="004C152F"/>
    <w:rsid w:val="004C37C6"/>
    <w:rsid w:val="004C37D6"/>
    <w:rsid w:val="004C3E3C"/>
    <w:rsid w:val="004C5339"/>
    <w:rsid w:val="004C5410"/>
    <w:rsid w:val="004C6258"/>
    <w:rsid w:val="004D0CB4"/>
    <w:rsid w:val="004D0FE9"/>
    <w:rsid w:val="004D14EF"/>
    <w:rsid w:val="004D16A8"/>
    <w:rsid w:val="004D25B7"/>
    <w:rsid w:val="004D5EB9"/>
    <w:rsid w:val="004D5EF8"/>
    <w:rsid w:val="004D66B4"/>
    <w:rsid w:val="004D6F0E"/>
    <w:rsid w:val="004E04C6"/>
    <w:rsid w:val="004E4A6F"/>
    <w:rsid w:val="004E537D"/>
    <w:rsid w:val="004E78C0"/>
    <w:rsid w:val="004E7D08"/>
    <w:rsid w:val="004E7D0E"/>
    <w:rsid w:val="004F0708"/>
    <w:rsid w:val="004F4873"/>
    <w:rsid w:val="004F5E44"/>
    <w:rsid w:val="004F72BB"/>
    <w:rsid w:val="004F7434"/>
    <w:rsid w:val="00501288"/>
    <w:rsid w:val="0050156D"/>
    <w:rsid w:val="0050178E"/>
    <w:rsid w:val="00501B7A"/>
    <w:rsid w:val="00501F97"/>
    <w:rsid w:val="00502A1C"/>
    <w:rsid w:val="0050396C"/>
    <w:rsid w:val="00505282"/>
    <w:rsid w:val="0050593A"/>
    <w:rsid w:val="00510177"/>
    <w:rsid w:val="005102CF"/>
    <w:rsid w:val="00510FD3"/>
    <w:rsid w:val="0051143E"/>
    <w:rsid w:val="005127E6"/>
    <w:rsid w:val="00513306"/>
    <w:rsid w:val="00513EF6"/>
    <w:rsid w:val="005160DD"/>
    <w:rsid w:val="005170C3"/>
    <w:rsid w:val="005201F2"/>
    <w:rsid w:val="00520801"/>
    <w:rsid w:val="00521B73"/>
    <w:rsid w:val="00521FC6"/>
    <w:rsid w:val="005224C1"/>
    <w:rsid w:val="00523DFB"/>
    <w:rsid w:val="005244A6"/>
    <w:rsid w:val="0052470C"/>
    <w:rsid w:val="00525D74"/>
    <w:rsid w:val="00526E78"/>
    <w:rsid w:val="005279C6"/>
    <w:rsid w:val="00530F96"/>
    <w:rsid w:val="00531351"/>
    <w:rsid w:val="0053183E"/>
    <w:rsid w:val="00533035"/>
    <w:rsid w:val="00533625"/>
    <w:rsid w:val="00533F44"/>
    <w:rsid w:val="005354FE"/>
    <w:rsid w:val="0053564C"/>
    <w:rsid w:val="00535AC2"/>
    <w:rsid w:val="005374FF"/>
    <w:rsid w:val="0053771A"/>
    <w:rsid w:val="00541C3B"/>
    <w:rsid w:val="00541CD1"/>
    <w:rsid w:val="0054252C"/>
    <w:rsid w:val="005430AC"/>
    <w:rsid w:val="005458AC"/>
    <w:rsid w:val="0054743C"/>
    <w:rsid w:val="00547455"/>
    <w:rsid w:val="00551593"/>
    <w:rsid w:val="005518CC"/>
    <w:rsid w:val="00551C51"/>
    <w:rsid w:val="00552D2B"/>
    <w:rsid w:val="00552F3A"/>
    <w:rsid w:val="00553C5B"/>
    <w:rsid w:val="005540D0"/>
    <w:rsid w:val="005541E4"/>
    <w:rsid w:val="00554ACC"/>
    <w:rsid w:val="00555624"/>
    <w:rsid w:val="00555661"/>
    <w:rsid w:val="00556626"/>
    <w:rsid w:val="005602F0"/>
    <w:rsid w:val="00560E91"/>
    <w:rsid w:val="00561571"/>
    <w:rsid w:val="005616F2"/>
    <w:rsid w:val="00561C34"/>
    <w:rsid w:val="00561FC4"/>
    <w:rsid w:val="00562E47"/>
    <w:rsid w:val="005653E0"/>
    <w:rsid w:val="00565450"/>
    <w:rsid w:val="00566BEF"/>
    <w:rsid w:val="00567565"/>
    <w:rsid w:val="00567B24"/>
    <w:rsid w:val="005712D8"/>
    <w:rsid w:val="00573034"/>
    <w:rsid w:val="00573208"/>
    <w:rsid w:val="005749C0"/>
    <w:rsid w:val="005760BA"/>
    <w:rsid w:val="00576104"/>
    <w:rsid w:val="005767CE"/>
    <w:rsid w:val="00576D3F"/>
    <w:rsid w:val="005778AD"/>
    <w:rsid w:val="00577A29"/>
    <w:rsid w:val="005800F0"/>
    <w:rsid w:val="00581CE2"/>
    <w:rsid w:val="005835FD"/>
    <w:rsid w:val="005837C5"/>
    <w:rsid w:val="005855CD"/>
    <w:rsid w:val="00585723"/>
    <w:rsid w:val="005864B4"/>
    <w:rsid w:val="00586704"/>
    <w:rsid w:val="00587A0B"/>
    <w:rsid w:val="00590341"/>
    <w:rsid w:val="00590486"/>
    <w:rsid w:val="00590C80"/>
    <w:rsid w:val="00591390"/>
    <w:rsid w:val="005944E1"/>
    <w:rsid w:val="0059461E"/>
    <w:rsid w:val="005951D1"/>
    <w:rsid w:val="00595491"/>
    <w:rsid w:val="00595632"/>
    <w:rsid w:val="00596715"/>
    <w:rsid w:val="00596AA9"/>
    <w:rsid w:val="005A117A"/>
    <w:rsid w:val="005A1663"/>
    <w:rsid w:val="005A1794"/>
    <w:rsid w:val="005A1E4B"/>
    <w:rsid w:val="005A251A"/>
    <w:rsid w:val="005A29B3"/>
    <w:rsid w:val="005A3A69"/>
    <w:rsid w:val="005A4576"/>
    <w:rsid w:val="005A4F1E"/>
    <w:rsid w:val="005A5397"/>
    <w:rsid w:val="005A6418"/>
    <w:rsid w:val="005A78BD"/>
    <w:rsid w:val="005A7ACA"/>
    <w:rsid w:val="005B1026"/>
    <w:rsid w:val="005B1156"/>
    <w:rsid w:val="005B121C"/>
    <w:rsid w:val="005B2553"/>
    <w:rsid w:val="005B2A29"/>
    <w:rsid w:val="005B4E32"/>
    <w:rsid w:val="005B52FA"/>
    <w:rsid w:val="005C0364"/>
    <w:rsid w:val="005C089B"/>
    <w:rsid w:val="005C188E"/>
    <w:rsid w:val="005C2F12"/>
    <w:rsid w:val="005C5A2F"/>
    <w:rsid w:val="005D055B"/>
    <w:rsid w:val="005D0D8A"/>
    <w:rsid w:val="005D0FE1"/>
    <w:rsid w:val="005D1DCF"/>
    <w:rsid w:val="005D2B90"/>
    <w:rsid w:val="005D2FBC"/>
    <w:rsid w:val="005D3D4E"/>
    <w:rsid w:val="005D3EB4"/>
    <w:rsid w:val="005D5673"/>
    <w:rsid w:val="005D606E"/>
    <w:rsid w:val="005D6EAA"/>
    <w:rsid w:val="005E31D1"/>
    <w:rsid w:val="005E3C74"/>
    <w:rsid w:val="005E5CA2"/>
    <w:rsid w:val="005E74DC"/>
    <w:rsid w:val="005E77B2"/>
    <w:rsid w:val="005F069F"/>
    <w:rsid w:val="005F1284"/>
    <w:rsid w:val="005F1B95"/>
    <w:rsid w:val="005F2B80"/>
    <w:rsid w:val="005F3C5A"/>
    <w:rsid w:val="005F4F3F"/>
    <w:rsid w:val="005F6AD8"/>
    <w:rsid w:val="0060342F"/>
    <w:rsid w:val="00603A83"/>
    <w:rsid w:val="00603DA0"/>
    <w:rsid w:val="006046D7"/>
    <w:rsid w:val="00605381"/>
    <w:rsid w:val="006064C1"/>
    <w:rsid w:val="006067D3"/>
    <w:rsid w:val="00606D4F"/>
    <w:rsid w:val="006075CB"/>
    <w:rsid w:val="006078BB"/>
    <w:rsid w:val="0061007C"/>
    <w:rsid w:val="00611228"/>
    <w:rsid w:val="00611BE3"/>
    <w:rsid w:val="00612D45"/>
    <w:rsid w:val="00613F15"/>
    <w:rsid w:val="006140EC"/>
    <w:rsid w:val="006158E8"/>
    <w:rsid w:val="00615EB4"/>
    <w:rsid w:val="00617726"/>
    <w:rsid w:val="00620876"/>
    <w:rsid w:val="006210B3"/>
    <w:rsid w:val="00621723"/>
    <w:rsid w:val="00621F82"/>
    <w:rsid w:val="00622823"/>
    <w:rsid w:val="00623C6A"/>
    <w:rsid w:val="00623EA1"/>
    <w:rsid w:val="00623F64"/>
    <w:rsid w:val="00625F99"/>
    <w:rsid w:val="0063053B"/>
    <w:rsid w:val="006308C2"/>
    <w:rsid w:val="006317B6"/>
    <w:rsid w:val="00632B21"/>
    <w:rsid w:val="0063335A"/>
    <w:rsid w:val="00633420"/>
    <w:rsid w:val="00635087"/>
    <w:rsid w:val="00635549"/>
    <w:rsid w:val="006357E4"/>
    <w:rsid w:val="00635B41"/>
    <w:rsid w:val="00635F66"/>
    <w:rsid w:val="006364EF"/>
    <w:rsid w:val="00640271"/>
    <w:rsid w:val="00640328"/>
    <w:rsid w:val="006403D5"/>
    <w:rsid w:val="0064152E"/>
    <w:rsid w:val="006416DD"/>
    <w:rsid w:val="006417EC"/>
    <w:rsid w:val="006420D0"/>
    <w:rsid w:val="006432D3"/>
    <w:rsid w:val="00644716"/>
    <w:rsid w:val="006448E5"/>
    <w:rsid w:val="00644E1C"/>
    <w:rsid w:val="0064504F"/>
    <w:rsid w:val="00645777"/>
    <w:rsid w:val="0064604D"/>
    <w:rsid w:val="006464EC"/>
    <w:rsid w:val="00647FA0"/>
    <w:rsid w:val="0065106A"/>
    <w:rsid w:val="0065162A"/>
    <w:rsid w:val="00652363"/>
    <w:rsid w:val="00653096"/>
    <w:rsid w:val="00653F70"/>
    <w:rsid w:val="0065511A"/>
    <w:rsid w:val="00656050"/>
    <w:rsid w:val="0066081B"/>
    <w:rsid w:val="00663750"/>
    <w:rsid w:val="00664B22"/>
    <w:rsid w:val="00664C21"/>
    <w:rsid w:val="00665ABB"/>
    <w:rsid w:val="006666D1"/>
    <w:rsid w:val="00673C6F"/>
    <w:rsid w:val="00675B3A"/>
    <w:rsid w:val="0068008A"/>
    <w:rsid w:val="00680FCB"/>
    <w:rsid w:val="0068102A"/>
    <w:rsid w:val="00681082"/>
    <w:rsid w:val="00681515"/>
    <w:rsid w:val="00681C65"/>
    <w:rsid w:val="0068201C"/>
    <w:rsid w:val="006821BF"/>
    <w:rsid w:val="006823B8"/>
    <w:rsid w:val="006827B8"/>
    <w:rsid w:val="006834C3"/>
    <w:rsid w:val="00684269"/>
    <w:rsid w:val="00684470"/>
    <w:rsid w:val="0068450D"/>
    <w:rsid w:val="00684534"/>
    <w:rsid w:val="00686696"/>
    <w:rsid w:val="00686D6E"/>
    <w:rsid w:val="00686D99"/>
    <w:rsid w:val="0068714A"/>
    <w:rsid w:val="0069012E"/>
    <w:rsid w:val="006909D7"/>
    <w:rsid w:val="0069121E"/>
    <w:rsid w:val="0069149C"/>
    <w:rsid w:val="0069251B"/>
    <w:rsid w:val="0069367B"/>
    <w:rsid w:val="006939EB"/>
    <w:rsid w:val="006939F6"/>
    <w:rsid w:val="00694006"/>
    <w:rsid w:val="0069678C"/>
    <w:rsid w:val="00696FAF"/>
    <w:rsid w:val="0069727B"/>
    <w:rsid w:val="0069761C"/>
    <w:rsid w:val="00697F19"/>
    <w:rsid w:val="006A1906"/>
    <w:rsid w:val="006A2F6F"/>
    <w:rsid w:val="006A3987"/>
    <w:rsid w:val="006A3BE8"/>
    <w:rsid w:val="006A46EB"/>
    <w:rsid w:val="006A4C36"/>
    <w:rsid w:val="006A4E82"/>
    <w:rsid w:val="006A569E"/>
    <w:rsid w:val="006A6A9A"/>
    <w:rsid w:val="006A6CC0"/>
    <w:rsid w:val="006A70D3"/>
    <w:rsid w:val="006B0196"/>
    <w:rsid w:val="006B02EF"/>
    <w:rsid w:val="006B0D27"/>
    <w:rsid w:val="006B0F98"/>
    <w:rsid w:val="006B2C4B"/>
    <w:rsid w:val="006B329D"/>
    <w:rsid w:val="006B5982"/>
    <w:rsid w:val="006B604D"/>
    <w:rsid w:val="006B676C"/>
    <w:rsid w:val="006B7BEB"/>
    <w:rsid w:val="006B7CE9"/>
    <w:rsid w:val="006B7F00"/>
    <w:rsid w:val="006C218C"/>
    <w:rsid w:val="006C246E"/>
    <w:rsid w:val="006C28D9"/>
    <w:rsid w:val="006C2A8A"/>
    <w:rsid w:val="006C4B75"/>
    <w:rsid w:val="006C4CEB"/>
    <w:rsid w:val="006C5CEB"/>
    <w:rsid w:val="006C5EC2"/>
    <w:rsid w:val="006D19AD"/>
    <w:rsid w:val="006D1CF8"/>
    <w:rsid w:val="006D2E33"/>
    <w:rsid w:val="006D3132"/>
    <w:rsid w:val="006D35FD"/>
    <w:rsid w:val="006D5103"/>
    <w:rsid w:val="006D5E86"/>
    <w:rsid w:val="006D713C"/>
    <w:rsid w:val="006D7513"/>
    <w:rsid w:val="006E16F3"/>
    <w:rsid w:val="006E18C3"/>
    <w:rsid w:val="006E2381"/>
    <w:rsid w:val="006E2645"/>
    <w:rsid w:val="006E3222"/>
    <w:rsid w:val="006E433F"/>
    <w:rsid w:val="006E5E12"/>
    <w:rsid w:val="006E6A56"/>
    <w:rsid w:val="006E7D7F"/>
    <w:rsid w:val="006F016E"/>
    <w:rsid w:val="006F0250"/>
    <w:rsid w:val="006F23CF"/>
    <w:rsid w:val="006F24C1"/>
    <w:rsid w:val="006F2E68"/>
    <w:rsid w:val="006F576C"/>
    <w:rsid w:val="006F5AA2"/>
    <w:rsid w:val="006F5FFA"/>
    <w:rsid w:val="006F6804"/>
    <w:rsid w:val="006F6DAC"/>
    <w:rsid w:val="006F71E1"/>
    <w:rsid w:val="007009A3"/>
    <w:rsid w:val="00700EA5"/>
    <w:rsid w:val="00701250"/>
    <w:rsid w:val="007015E9"/>
    <w:rsid w:val="00701EB2"/>
    <w:rsid w:val="00701F44"/>
    <w:rsid w:val="00705958"/>
    <w:rsid w:val="007103E4"/>
    <w:rsid w:val="00710C57"/>
    <w:rsid w:val="007114CC"/>
    <w:rsid w:val="00712F45"/>
    <w:rsid w:val="007130A8"/>
    <w:rsid w:val="00715C20"/>
    <w:rsid w:val="00716453"/>
    <w:rsid w:val="00716DAC"/>
    <w:rsid w:val="007174F5"/>
    <w:rsid w:val="00717EF7"/>
    <w:rsid w:val="00720436"/>
    <w:rsid w:val="0072052E"/>
    <w:rsid w:val="007207F0"/>
    <w:rsid w:val="00720C28"/>
    <w:rsid w:val="00721F8B"/>
    <w:rsid w:val="007222C9"/>
    <w:rsid w:val="0072254A"/>
    <w:rsid w:val="00723D9E"/>
    <w:rsid w:val="00723DF0"/>
    <w:rsid w:val="00724F81"/>
    <w:rsid w:val="0072520F"/>
    <w:rsid w:val="0072540B"/>
    <w:rsid w:val="007279E0"/>
    <w:rsid w:val="00727BE0"/>
    <w:rsid w:val="00727D2F"/>
    <w:rsid w:val="00727D33"/>
    <w:rsid w:val="00727FC1"/>
    <w:rsid w:val="0073014A"/>
    <w:rsid w:val="007306C2"/>
    <w:rsid w:val="00731202"/>
    <w:rsid w:val="00731AB8"/>
    <w:rsid w:val="00735D99"/>
    <w:rsid w:val="00735F02"/>
    <w:rsid w:val="00736365"/>
    <w:rsid w:val="007374E7"/>
    <w:rsid w:val="00741AAE"/>
    <w:rsid w:val="00741B6F"/>
    <w:rsid w:val="00743EC5"/>
    <w:rsid w:val="00744400"/>
    <w:rsid w:val="00745173"/>
    <w:rsid w:val="00745EA2"/>
    <w:rsid w:val="00746343"/>
    <w:rsid w:val="007469C7"/>
    <w:rsid w:val="00746B18"/>
    <w:rsid w:val="00746F9E"/>
    <w:rsid w:val="00747366"/>
    <w:rsid w:val="007476FE"/>
    <w:rsid w:val="0074776E"/>
    <w:rsid w:val="007503B1"/>
    <w:rsid w:val="00750912"/>
    <w:rsid w:val="00753129"/>
    <w:rsid w:val="0075380E"/>
    <w:rsid w:val="00753DB5"/>
    <w:rsid w:val="00753E25"/>
    <w:rsid w:val="00753F55"/>
    <w:rsid w:val="00754CBB"/>
    <w:rsid w:val="00755513"/>
    <w:rsid w:val="007569A2"/>
    <w:rsid w:val="00757BF1"/>
    <w:rsid w:val="00762CD3"/>
    <w:rsid w:val="00762D37"/>
    <w:rsid w:val="00764682"/>
    <w:rsid w:val="0076491C"/>
    <w:rsid w:val="00764D63"/>
    <w:rsid w:val="00766E10"/>
    <w:rsid w:val="00766FEF"/>
    <w:rsid w:val="007671F6"/>
    <w:rsid w:val="00767944"/>
    <w:rsid w:val="00770421"/>
    <w:rsid w:val="00770744"/>
    <w:rsid w:val="00771974"/>
    <w:rsid w:val="00771A32"/>
    <w:rsid w:val="00771F71"/>
    <w:rsid w:val="00772ADF"/>
    <w:rsid w:val="00772F0C"/>
    <w:rsid w:val="0077333B"/>
    <w:rsid w:val="00773515"/>
    <w:rsid w:val="007742DF"/>
    <w:rsid w:val="00774452"/>
    <w:rsid w:val="00774552"/>
    <w:rsid w:val="00774BA9"/>
    <w:rsid w:val="007756AA"/>
    <w:rsid w:val="007757CF"/>
    <w:rsid w:val="00775B7A"/>
    <w:rsid w:val="00776363"/>
    <w:rsid w:val="00777369"/>
    <w:rsid w:val="007777B6"/>
    <w:rsid w:val="00780E65"/>
    <w:rsid w:val="00781251"/>
    <w:rsid w:val="007814E7"/>
    <w:rsid w:val="00783CCC"/>
    <w:rsid w:val="00784BE5"/>
    <w:rsid w:val="00784D16"/>
    <w:rsid w:val="007852E8"/>
    <w:rsid w:val="0078583E"/>
    <w:rsid w:val="00786E55"/>
    <w:rsid w:val="007909E5"/>
    <w:rsid w:val="00790AE8"/>
    <w:rsid w:val="00792E6C"/>
    <w:rsid w:val="00793CF6"/>
    <w:rsid w:val="00794D34"/>
    <w:rsid w:val="00794ED1"/>
    <w:rsid w:val="007974DD"/>
    <w:rsid w:val="00797618"/>
    <w:rsid w:val="00797644"/>
    <w:rsid w:val="00797951"/>
    <w:rsid w:val="007A00C5"/>
    <w:rsid w:val="007A0301"/>
    <w:rsid w:val="007A1100"/>
    <w:rsid w:val="007A4415"/>
    <w:rsid w:val="007A4549"/>
    <w:rsid w:val="007B0214"/>
    <w:rsid w:val="007B05A3"/>
    <w:rsid w:val="007B0DCD"/>
    <w:rsid w:val="007B0F90"/>
    <w:rsid w:val="007B1002"/>
    <w:rsid w:val="007B1162"/>
    <w:rsid w:val="007B1563"/>
    <w:rsid w:val="007B1E27"/>
    <w:rsid w:val="007B1EF1"/>
    <w:rsid w:val="007B1F83"/>
    <w:rsid w:val="007B327E"/>
    <w:rsid w:val="007B39E1"/>
    <w:rsid w:val="007B3A93"/>
    <w:rsid w:val="007B3B99"/>
    <w:rsid w:val="007B3BA9"/>
    <w:rsid w:val="007B3C18"/>
    <w:rsid w:val="007B3FE5"/>
    <w:rsid w:val="007B401E"/>
    <w:rsid w:val="007B4040"/>
    <w:rsid w:val="007B4081"/>
    <w:rsid w:val="007B5243"/>
    <w:rsid w:val="007B63B5"/>
    <w:rsid w:val="007B652C"/>
    <w:rsid w:val="007B726D"/>
    <w:rsid w:val="007C0161"/>
    <w:rsid w:val="007C0242"/>
    <w:rsid w:val="007C05AA"/>
    <w:rsid w:val="007C1767"/>
    <w:rsid w:val="007C2742"/>
    <w:rsid w:val="007C39D7"/>
    <w:rsid w:val="007C469C"/>
    <w:rsid w:val="007C4BD7"/>
    <w:rsid w:val="007C4DB9"/>
    <w:rsid w:val="007C4ED1"/>
    <w:rsid w:val="007C71DF"/>
    <w:rsid w:val="007C72D5"/>
    <w:rsid w:val="007C7B45"/>
    <w:rsid w:val="007D0793"/>
    <w:rsid w:val="007D292B"/>
    <w:rsid w:val="007D30A2"/>
    <w:rsid w:val="007D3788"/>
    <w:rsid w:val="007D3A8B"/>
    <w:rsid w:val="007D40A1"/>
    <w:rsid w:val="007D4240"/>
    <w:rsid w:val="007D488B"/>
    <w:rsid w:val="007D4C77"/>
    <w:rsid w:val="007D52E3"/>
    <w:rsid w:val="007D5655"/>
    <w:rsid w:val="007D5D35"/>
    <w:rsid w:val="007D6B5D"/>
    <w:rsid w:val="007D7F93"/>
    <w:rsid w:val="007E16FD"/>
    <w:rsid w:val="007E2015"/>
    <w:rsid w:val="007E43DA"/>
    <w:rsid w:val="007E4ACF"/>
    <w:rsid w:val="007E4C69"/>
    <w:rsid w:val="007E5377"/>
    <w:rsid w:val="007E571A"/>
    <w:rsid w:val="007E6256"/>
    <w:rsid w:val="007E708D"/>
    <w:rsid w:val="007E7167"/>
    <w:rsid w:val="007E7A82"/>
    <w:rsid w:val="007E7E3C"/>
    <w:rsid w:val="007F0548"/>
    <w:rsid w:val="007F09B0"/>
    <w:rsid w:val="007F1864"/>
    <w:rsid w:val="007F1CBE"/>
    <w:rsid w:val="007F2516"/>
    <w:rsid w:val="007F29E6"/>
    <w:rsid w:val="007F353A"/>
    <w:rsid w:val="007F4C84"/>
    <w:rsid w:val="007F6340"/>
    <w:rsid w:val="00800996"/>
    <w:rsid w:val="00800ABD"/>
    <w:rsid w:val="00800F27"/>
    <w:rsid w:val="008029A9"/>
    <w:rsid w:val="0080351A"/>
    <w:rsid w:val="00803C40"/>
    <w:rsid w:val="00803C8A"/>
    <w:rsid w:val="00805359"/>
    <w:rsid w:val="00805548"/>
    <w:rsid w:val="00805C24"/>
    <w:rsid w:val="00805F03"/>
    <w:rsid w:val="008114B3"/>
    <w:rsid w:val="00811A54"/>
    <w:rsid w:val="008123DC"/>
    <w:rsid w:val="008125E5"/>
    <w:rsid w:val="008137F8"/>
    <w:rsid w:val="00813E3B"/>
    <w:rsid w:val="00815732"/>
    <w:rsid w:val="00816648"/>
    <w:rsid w:val="00816D82"/>
    <w:rsid w:val="00816E84"/>
    <w:rsid w:val="00817272"/>
    <w:rsid w:val="00820CCC"/>
    <w:rsid w:val="00821818"/>
    <w:rsid w:val="008218B4"/>
    <w:rsid w:val="00821DC0"/>
    <w:rsid w:val="00821ED7"/>
    <w:rsid w:val="008224EC"/>
    <w:rsid w:val="00823642"/>
    <w:rsid w:val="00824A5A"/>
    <w:rsid w:val="00824C0E"/>
    <w:rsid w:val="00825036"/>
    <w:rsid w:val="00825D69"/>
    <w:rsid w:val="00827165"/>
    <w:rsid w:val="00827A02"/>
    <w:rsid w:val="0083089E"/>
    <w:rsid w:val="00830D28"/>
    <w:rsid w:val="00830E35"/>
    <w:rsid w:val="00832242"/>
    <w:rsid w:val="008334E8"/>
    <w:rsid w:val="008335C5"/>
    <w:rsid w:val="008348F8"/>
    <w:rsid w:val="00834B87"/>
    <w:rsid w:val="00834D38"/>
    <w:rsid w:val="00834E9D"/>
    <w:rsid w:val="00835158"/>
    <w:rsid w:val="00836A64"/>
    <w:rsid w:val="00842C44"/>
    <w:rsid w:val="00845A10"/>
    <w:rsid w:val="0084614C"/>
    <w:rsid w:val="00852005"/>
    <w:rsid w:val="0085330D"/>
    <w:rsid w:val="008537AD"/>
    <w:rsid w:val="00853A42"/>
    <w:rsid w:val="00853C1D"/>
    <w:rsid w:val="00856651"/>
    <w:rsid w:val="008608B6"/>
    <w:rsid w:val="00860EF8"/>
    <w:rsid w:val="00861608"/>
    <w:rsid w:val="00861A5A"/>
    <w:rsid w:val="0086227A"/>
    <w:rsid w:val="00862DD3"/>
    <w:rsid w:val="00862EF8"/>
    <w:rsid w:val="00864408"/>
    <w:rsid w:val="008648CF"/>
    <w:rsid w:val="008654E6"/>
    <w:rsid w:val="00866691"/>
    <w:rsid w:val="00866F59"/>
    <w:rsid w:val="0086744C"/>
    <w:rsid w:val="00867E5C"/>
    <w:rsid w:val="00867F94"/>
    <w:rsid w:val="008703EC"/>
    <w:rsid w:val="00870E0B"/>
    <w:rsid w:val="00871000"/>
    <w:rsid w:val="008718B4"/>
    <w:rsid w:val="008727AB"/>
    <w:rsid w:val="008730FD"/>
    <w:rsid w:val="0087390E"/>
    <w:rsid w:val="008747E0"/>
    <w:rsid w:val="0087657B"/>
    <w:rsid w:val="008776D8"/>
    <w:rsid w:val="00877E1C"/>
    <w:rsid w:val="008800D7"/>
    <w:rsid w:val="00880738"/>
    <w:rsid w:val="008809B8"/>
    <w:rsid w:val="00880EA3"/>
    <w:rsid w:val="00881337"/>
    <w:rsid w:val="00881566"/>
    <w:rsid w:val="00882348"/>
    <w:rsid w:val="008826F2"/>
    <w:rsid w:val="00883C97"/>
    <w:rsid w:val="00884573"/>
    <w:rsid w:val="0088580A"/>
    <w:rsid w:val="00885D3F"/>
    <w:rsid w:val="00886799"/>
    <w:rsid w:val="008867A5"/>
    <w:rsid w:val="00886F66"/>
    <w:rsid w:val="00890345"/>
    <w:rsid w:val="008906C0"/>
    <w:rsid w:val="00890C79"/>
    <w:rsid w:val="008917BA"/>
    <w:rsid w:val="00893780"/>
    <w:rsid w:val="00894985"/>
    <w:rsid w:val="00895555"/>
    <w:rsid w:val="0089565F"/>
    <w:rsid w:val="008957AD"/>
    <w:rsid w:val="00896FAE"/>
    <w:rsid w:val="008A1AD7"/>
    <w:rsid w:val="008A2CCB"/>
    <w:rsid w:val="008A4209"/>
    <w:rsid w:val="008A5AF7"/>
    <w:rsid w:val="008A6B88"/>
    <w:rsid w:val="008A6EA4"/>
    <w:rsid w:val="008B2F28"/>
    <w:rsid w:val="008B3675"/>
    <w:rsid w:val="008B47A5"/>
    <w:rsid w:val="008B4DDF"/>
    <w:rsid w:val="008B4EE5"/>
    <w:rsid w:val="008B52B4"/>
    <w:rsid w:val="008B6450"/>
    <w:rsid w:val="008B650E"/>
    <w:rsid w:val="008B690F"/>
    <w:rsid w:val="008B6F3F"/>
    <w:rsid w:val="008B6FE1"/>
    <w:rsid w:val="008B75AE"/>
    <w:rsid w:val="008B75F4"/>
    <w:rsid w:val="008C011E"/>
    <w:rsid w:val="008C1B80"/>
    <w:rsid w:val="008C3C8C"/>
    <w:rsid w:val="008C41A8"/>
    <w:rsid w:val="008C4425"/>
    <w:rsid w:val="008C7038"/>
    <w:rsid w:val="008C795B"/>
    <w:rsid w:val="008D0587"/>
    <w:rsid w:val="008D1AFB"/>
    <w:rsid w:val="008D2358"/>
    <w:rsid w:val="008D36C2"/>
    <w:rsid w:val="008D3FA5"/>
    <w:rsid w:val="008D695E"/>
    <w:rsid w:val="008D7547"/>
    <w:rsid w:val="008E0AD0"/>
    <w:rsid w:val="008E304B"/>
    <w:rsid w:val="008E3B15"/>
    <w:rsid w:val="008E5B80"/>
    <w:rsid w:val="008F05BB"/>
    <w:rsid w:val="008F0710"/>
    <w:rsid w:val="008F0BCE"/>
    <w:rsid w:val="008F1668"/>
    <w:rsid w:val="008F1E38"/>
    <w:rsid w:val="008F2E6A"/>
    <w:rsid w:val="008F525E"/>
    <w:rsid w:val="008F579C"/>
    <w:rsid w:val="008F6D70"/>
    <w:rsid w:val="008F7E5A"/>
    <w:rsid w:val="00900ED1"/>
    <w:rsid w:val="00901075"/>
    <w:rsid w:val="00902B17"/>
    <w:rsid w:val="009030B6"/>
    <w:rsid w:val="009037B1"/>
    <w:rsid w:val="0090486C"/>
    <w:rsid w:val="0090765E"/>
    <w:rsid w:val="00910A7D"/>
    <w:rsid w:val="00911432"/>
    <w:rsid w:val="0091252E"/>
    <w:rsid w:val="00912832"/>
    <w:rsid w:val="00913155"/>
    <w:rsid w:val="009138B7"/>
    <w:rsid w:val="00913954"/>
    <w:rsid w:val="00913E65"/>
    <w:rsid w:val="009152CB"/>
    <w:rsid w:val="00915C46"/>
    <w:rsid w:val="009162C0"/>
    <w:rsid w:val="00916A2C"/>
    <w:rsid w:val="00916E1F"/>
    <w:rsid w:val="0091708B"/>
    <w:rsid w:val="0092055E"/>
    <w:rsid w:val="009206C2"/>
    <w:rsid w:val="009206DD"/>
    <w:rsid w:val="009222BB"/>
    <w:rsid w:val="009223D4"/>
    <w:rsid w:val="00924830"/>
    <w:rsid w:val="00924CDE"/>
    <w:rsid w:val="0092540B"/>
    <w:rsid w:val="00926764"/>
    <w:rsid w:val="00932F06"/>
    <w:rsid w:val="00932FB5"/>
    <w:rsid w:val="00935E6F"/>
    <w:rsid w:val="00936F75"/>
    <w:rsid w:val="009378D3"/>
    <w:rsid w:val="00940236"/>
    <w:rsid w:val="00940440"/>
    <w:rsid w:val="009408DD"/>
    <w:rsid w:val="00940DF4"/>
    <w:rsid w:val="0094105C"/>
    <w:rsid w:val="0094164C"/>
    <w:rsid w:val="00941E81"/>
    <w:rsid w:val="009428EA"/>
    <w:rsid w:val="00944B9E"/>
    <w:rsid w:val="00945FC0"/>
    <w:rsid w:val="0094611A"/>
    <w:rsid w:val="009474C5"/>
    <w:rsid w:val="0094775B"/>
    <w:rsid w:val="00947A0C"/>
    <w:rsid w:val="00947BC8"/>
    <w:rsid w:val="00950C34"/>
    <w:rsid w:val="0095225F"/>
    <w:rsid w:val="00952590"/>
    <w:rsid w:val="00952CC6"/>
    <w:rsid w:val="00952E69"/>
    <w:rsid w:val="0095330F"/>
    <w:rsid w:val="009537EC"/>
    <w:rsid w:val="00953C3B"/>
    <w:rsid w:val="00955B5F"/>
    <w:rsid w:val="00956084"/>
    <w:rsid w:val="00956C8E"/>
    <w:rsid w:val="00956E38"/>
    <w:rsid w:val="00957500"/>
    <w:rsid w:val="0096088E"/>
    <w:rsid w:val="009610E8"/>
    <w:rsid w:val="0096116C"/>
    <w:rsid w:val="009613BD"/>
    <w:rsid w:val="00961F8D"/>
    <w:rsid w:val="009635CB"/>
    <w:rsid w:val="009638B6"/>
    <w:rsid w:val="00963E4B"/>
    <w:rsid w:val="00964038"/>
    <w:rsid w:val="009658D0"/>
    <w:rsid w:val="00967D4F"/>
    <w:rsid w:val="00970FFF"/>
    <w:rsid w:val="00971626"/>
    <w:rsid w:val="00971F9E"/>
    <w:rsid w:val="00972437"/>
    <w:rsid w:val="00972C31"/>
    <w:rsid w:val="00972D6B"/>
    <w:rsid w:val="009736D0"/>
    <w:rsid w:val="00973ED3"/>
    <w:rsid w:val="009745D8"/>
    <w:rsid w:val="009767E2"/>
    <w:rsid w:val="009768AA"/>
    <w:rsid w:val="00980598"/>
    <w:rsid w:val="00980B23"/>
    <w:rsid w:val="00980BE1"/>
    <w:rsid w:val="00981705"/>
    <w:rsid w:val="009819A1"/>
    <w:rsid w:val="00982AF9"/>
    <w:rsid w:val="00982F03"/>
    <w:rsid w:val="00983A09"/>
    <w:rsid w:val="00985581"/>
    <w:rsid w:val="009861E7"/>
    <w:rsid w:val="009864E0"/>
    <w:rsid w:val="0098701E"/>
    <w:rsid w:val="00987C12"/>
    <w:rsid w:val="009911C1"/>
    <w:rsid w:val="00991951"/>
    <w:rsid w:val="00991E48"/>
    <w:rsid w:val="00991F8E"/>
    <w:rsid w:val="009938CA"/>
    <w:rsid w:val="009949FE"/>
    <w:rsid w:val="009955EC"/>
    <w:rsid w:val="009958A1"/>
    <w:rsid w:val="00995F08"/>
    <w:rsid w:val="00996F59"/>
    <w:rsid w:val="009978DA"/>
    <w:rsid w:val="009979D3"/>
    <w:rsid w:val="009A1A15"/>
    <w:rsid w:val="009A1B56"/>
    <w:rsid w:val="009A3375"/>
    <w:rsid w:val="009A468B"/>
    <w:rsid w:val="009A4C6E"/>
    <w:rsid w:val="009A5505"/>
    <w:rsid w:val="009A69EC"/>
    <w:rsid w:val="009A7E4D"/>
    <w:rsid w:val="009B003E"/>
    <w:rsid w:val="009B069C"/>
    <w:rsid w:val="009B28EA"/>
    <w:rsid w:val="009B3208"/>
    <w:rsid w:val="009B4AF6"/>
    <w:rsid w:val="009B4D16"/>
    <w:rsid w:val="009B4FB3"/>
    <w:rsid w:val="009B501C"/>
    <w:rsid w:val="009B5207"/>
    <w:rsid w:val="009B555A"/>
    <w:rsid w:val="009B5AE1"/>
    <w:rsid w:val="009B5F03"/>
    <w:rsid w:val="009B60D7"/>
    <w:rsid w:val="009B6A2D"/>
    <w:rsid w:val="009B7BC6"/>
    <w:rsid w:val="009B7D70"/>
    <w:rsid w:val="009C1C7A"/>
    <w:rsid w:val="009C1D11"/>
    <w:rsid w:val="009C559E"/>
    <w:rsid w:val="009C5F8F"/>
    <w:rsid w:val="009C6171"/>
    <w:rsid w:val="009C6C7C"/>
    <w:rsid w:val="009C75DC"/>
    <w:rsid w:val="009C7D1D"/>
    <w:rsid w:val="009D2E63"/>
    <w:rsid w:val="009D3E1F"/>
    <w:rsid w:val="009D435C"/>
    <w:rsid w:val="009D52DD"/>
    <w:rsid w:val="009D5455"/>
    <w:rsid w:val="009D5874"/>
    <w:rsid w:val="009D59C1"/>
    <w:rsid w:val="009D5BCA"/>
    <w:rsid w:val="009D66CE"/>
    <w:rsid w:val="009D7164"/>
    <w:rsid w:val="009E2C12"/>
    <w:rsid w:val="009E2C7B"/>
    <w:rsid w:val="009E6573"/>
    <w:rsid w:val="009E7845"/>
    <w:rsid w:val="009F33C2"/>
    <w:rsid w:val="009F5DEA"/>
    <w:rsid w:val="009F6FEB"/>
    <w:rsid w:val="009F7803"/>
    <w:rsid w:val="00A00C6E"/>
    <w:rsid w:val="00A02880"/>
    <w:rsid w:val="00A029A7"/>
    <w:rsid w:val="00A0759E"/>
    <w:rsid w:val="00A07846"/>
    <w:rsid w:val="00A07E35"/>
    <w:rsid w:val="00A100C2"/>
    <w:rsid w:val="00A114A6"/>
    <w:rsid w:val="00A130C4"/>
    <w:rsid w:val="00A14345"/>
    <w:rsid w:val="00A14804"/>
    <w:rsid w:val="00A15241"/>
    <w:rsid w:val="00A158A3"/>
    <w:rsid w:val="00A159CE"/>
    <w:rsid w:val="00A165B3"/>
    <w:rsid w:val="00A16DF9"/>
    <w:rsid w:val="00A17A6E"/>
    <w:rsid w:val="00A17CD8"/>
    <w:rsid w:val="00A207B3"/>
    <w:rsid w:val="00A20D15"/>
    <w:rsid w:val="00A233A3"/>
    <w:rsid w:val="00A23AE4"/>
    <w:rsid w:val="00A2501E"/>
    <w:rsid w:val="00A256C6"/>
    <w:rsid w:val="00A2657D"/>
    <w:rsid w:val="00A273DA"/>
    <w:rsid w:val="00A27FE0"/>
    <w:rsid w:val="00A313DE"/>
    <w:rsid w:val="00A31D98"/>
    <w:rsid w:val="00A325E0"/>
    <w:rsid w:val="00A32C33"/>
    <w:rsid w:val="00A3368F"/>
    <w:rsid w:val="00A36B38"/>
    <w:rsid w:val="00A40EDF"/>
    <w:rsid w:val="00A414CC"/>
    <w:rsid w:val="00A4269D"/>
    <w:rsid w:val="00A42A32"/>
    <w:rsid w:val="00A43635"/>
    <w:rsid w:val="00A449D8"/>
    <w:rsid w:val="00A44EF6"/>
    <w:rsid w:val="00A473AC"/>
    <w:rsid w:val="00A47C15"/>
    <w:rsid w:val="00A507A8"/>
    <w:rsid w:val="00A54C5D"/>
    <w:rsid w:val="00A55314"/>
    <w:rsid w:val="00A5626D"/>
    <w:rsid w:val="00A576FB"/>
    <w:rsid w:val="00A606AE"/>
    <w:rsid w:val="00A62063"/>
    <w:rsid w:val="00A62092"/>
    <w:rsid w:val="00A623FC"/>
    <w:rsid w:val="00A62844"/>
    <w:rsid w:val="00A62CD5"/>
    <w:rsid w:val="00A65ADB"/>
    <w:rsid w:val="00A65FE3"/>
    <w:rsid w:val="00A6618B"/>
    <w:rsid w:val="00A67F8A"/>
    <w:rsid w:val="00A70623"/>
    <w:rsid w:val="00A70DD3"/>
    <w:rsid w:val="00A70F64"/>
    <w:rsid w:val="00A71107"/>
    <w:rsid w:val="00A7200A"/>
    <w:rsid w:val="00A728BD"/>
    <w:rsid w:val="00A75307"/>
    <w:rsid w:val="00A76501"/>
    <w:rsid w:val="00A76624"/>
    <w:rsid w:val="00A77AA4"/>
    <w:rsid w:val="00A77C1A"/>
    <w:rsid w:val="00A81BE7"/>
    <w:rsid w:val="00A829D9"/>
    <w:rsid w:val="00A82EDB"/>
    <w:rsid w:val="00A83464"/>
    <w:rsid w:val="00A845C9"/>
    <w:rsid w:val="00A84DAB"/>
    <w:rsid w:val="00A84F49"/>
    <w:rsid w:val="00A8742E"/>
    <w:rsid w:val="00A906F9"/>
    <w:rsid w:val="00A90DDC"/>
    <w:rsid w:val="00A91081"/>
    <w:rsid w:val="00A91A88"/>
    <w:rsid w:val="00A92083"/>
    <w:rsid w:val="00A9355B"/>
    <w:rsid w:val="00A94819"/>
    <w:rsid w:val="00A96512"/>
    <w:rsid w:val="00A9651C"/>
    <w:rsid w:val="00A9698F"/>
    <w:rsid w:val="00A973C4"/>
    <w:rsid w:val="00A977A4"/>
    <w:rsid w:val="00AA120F"/>
    <w:rsid w:val="00AA288A"/>
    <w:rsid w:val="00AA5C6B"/>
    <w:rsid w:val="00AA64C9"/>
    <w:rsid w:val="00AA6BD3"/>
    <w:rsid w:val="00AA77FE"/>
    <w:rsid w:val="00AB02D7"/>
    <w:rsid w:val="00AB0FC7"/>
    <w:rsid w:val="00AB1DFB"/>
    <w:rsid w:val="00AB5B04"/>
    <w:rsid w:val="00AB6454"/>
    <w:rsid w:val="00AB67D7"/>
    <w:rsid w:val="00AB6884"/>
    <w:rsid w:val="00AB7496"/>
    <w:rsid w:val="00AC0502"/>
    <w:rsid w:val="00AC06C6"/>
    <w:rsid w:val="00AC0CA5"/>
    <w:rsid w:val="00AC0F7F"/>
    <w:rsid w:val="00AC1493"/>
    <w:rsid w:val="00AC1F03"/>
    <w:rsid w:val="00AC2F81"/>
    <w:rsid w:val="00AC3EB7"/>
    <w:rsid w:val="00AC4F16"/>
    <w:rsid w:val="00AC5A23"/>
    <w:rsid w:val="00AC5B59"/>
    <w:rsid w:val="00AC67DF"/>
    <w:rsid w:val="00AD0168"/>
    <w:rsid w:val="00AD073A"/>
    <w:rsid w:val="00AD141F"/>
    <w:rsid w:val="00AD216E"/>
    <w:rsid w:val="00AD54EE"/>
    <w:rsid w:val="00AD67C2"/>
    <w:rsid w:val="00AD69BC"/>
    <w:rsid w:val="00AD6E4D"/>
    <w:rsid w:val="00AD79FC"/>
    <w:rsid w:val="00AD7A2C"/>
    <w:rsid w:val="00AE05A5"/>
    <w:rsid w:val="00AE274B"/>
    <w:rsid w:val="00AE2BD2"/>
    <w:rsid w:val="00AE4664"/>
    <w:rsid w:val="00AE661D"/>
    <w:rsid w:val="00AE6E4B"/>
    <w:rsid w:val="00AE7446"/>
    <w:rsid w:val="00AF0430"/>
    <w:rsid w:val="00AF0FCF"/>
    <w:rsid w:val="00AF1A58"/>
    <w:rsid w:val="00AF1D89"/>
    <w:rsid w:val="00AF47BD"/>
    <w:rsid w:val="00AF4A90"/>
    <w:rsid w:val="00AF4C84"/>
    <w:rsid w:val="00B01035"/>
    <w:rsid w:val="00B010C6"/>
    <w:rsid w:val="00B01D56"/>
    <w:rsid w:val="00B01EC9"/>
    <w:rsid w:val="00B04421"/>
    <w:rsid w:val="00B06477"/>
    <w:rsid w:val="00B07BBC"/>
    <w:rsid w:val="00B104C8"/>
    <w:rsid w:val="00B11475"/>
    <w:rsid w:val="00B11647"/>
    <w:rsid w:val="00B11EA1"/>
    <w:rsid w:val="00B13100"/>
    <w:rsid w:val="00B147A8"/>
    <w:rsid w:val="00B16F6E"/>
    <w:rsid w:val="00B1741C"/>
    <w:rsid w:val="00B17782"/>
    <w:rsid w:val="00B2109B"/>
    <w:rsid w:val="00B21B16"/>
    <w:rsid w:val="00B21F20"/>
    <w:rsid w:val="00B2218D"/>
    <w:rsid w:val="00B22198"/>
    <w:rsid w:val="00B22A2B"/>
    <w:rsid w:val="00B22F96"/>
    <w:rsid w:val="00B23FA4"/>
    <w:rsid w:val="00B24E72"/>
    <w:rsid w:val="00B25B10"/>
    <w:rsid w:val="00B27325"/>
    <w:rsid w:val="00B3101F"/>
    <w:rsid w:val="00B31EB7"/>
    <w:rsid w:val="00B31F96"/>
    <w:rsid w:val="00B33C1D"/>
    <w:rsid w:val="00B33FB0"/>
    <w:rsid w:val="00B34613"/>
    <w:rsid w:val="00B34719"/>
    <w:rsid w:val="00B34E18"/>
    <w:rsid w:val="00B3653A"/>
    <w:rsid w:val="00B3674F"/>
    <w:rsid w:val="00B36E64"/>
    <w:rsid w:val="00B402A1"/>
    <w:rsid w:val="00B403C6"/>
    <w:rsid w:val="00B4102F"/>
    <w:rsid w:val="00B4119B"/>
    <w:rsid w:val="00B41BEA"/>
    <w:rsid w:val="00B41F7A"/>
    <w:rsid w:val="00B426CC"/>
    <w:rsid w:val="00B42BC9"/>
    <w:rsid w:val="00B43D09"/>
    <w:rsid w:val="00B4524D"/>
    <w:rsid w:val="00B456BE"/>
    <w:rsid w:val="00B4657D"/>
    <w:rsid w:val="00B47A37"/>
    <w:rsid w:val="00B47A5A"/>
    <w:rsid w:val="00B505F0"/>
    <w:rsid w:val="00B521BA"/>
    <w:rsid w:val="00B52775"/>
    <w:rsid w:val="00B52920"/>
    <w:rsid w:val="00B52A19"/>
    <w:rsid w:val="00B52BD0"/>
    <w:rsid w:val="00B53B08"/>
    <w:rsid w:val="00B53BFE"/>
    <w:rsid w:val="00B53C2A"/>
    <w:rsid w:val="00B544BD"/>
    <w:rsid w:val="00B552A1"/>
    <w:rsid w:val="00B57089"/>
    <w:rsid w:val="00B570E5"/>
    <w:rsid w:val="00B57A64"/>
    <w:rsid w:val="00B63004"/>
    <w:rsid w:val="00B653A3"/>
    <w:rsid w:val="00B65788"/>
    <w:rsid w:val="00B66834"/>
    <w:rsid w:val="00B66B1A"/>
    <w:rsid w:val="00B671F1"/>
    <w:rsid w:val="00B7263C"/>
    <w:rsid w:val="00B73A6B"/>
    <w:rsid w:val="00B743C6"/>
    <w:rsid w:val="00B7686F"/>
    <w:rsid w:val="00B771D0"/>
    <w:rsid w:val="00B77857"/>
    <w:rsid w:val="00B80CAA"/>
    <w:rsid w:val="00B81638"/>
    <w:rsid w:val="00B81A12"/>
    <w:rsid w:val="00B81BBB"/>
    <w:rsid w:val="00B83958"/>
    <w:rsid w:val="00B85A61"/>
    <w:rsid w:val="00B85AF8"/>
    <w:rsid w:val="00B87200"/>
    <w:rsid w:val="00B905CE"/>
    <w:rsid w:val="00B9076A"/>
    <w:rsid w:val="00B90C65"/>
    <w:rsid w:val="00B90FEE"/>
    <w:rsid w:val="00B9114C"/>
    <w:rsid w:val="00B9160F"/>
    <w:rsid w:val="00B92B7C"/>
    <w:rsid w:val="00B939CB"/>
    <w:rsid w:val="00B93A05"/>
    <w:rsid w:val="00B93C3A"/>
    <w:rsid w:val="00B94FE1"/>
    <w:rsid w:val="00B95624"/>
    <w:rsid w:val="00B95C9F"/>
    <w:rsid w:val="00B9666B"/>
    <w:rsid w:val="00B96C93"/>
    <w:rsid w:val="00B97236"/>
    <w:rsid w:val="00B975FF"/>
    <w:rsid w:val="00BA0C6C"/>
    <w:rsid w:val="00BA0FDE"/>
    <w:rsid w:val="00BA107D"/>
    <w:rsid w:val="00BA1097"/>
    <w:rsid w:val="00BA2007"/>
    <w:rsid w:val="00BA215A"/>
    <w:rsid w:val="00BA2545"/>
    <w:rsid w:val="00BA42B5"/>
    <w:rsid w:val="00BA4BE3"/>
    <w:rsid w:val="00BA5D86"/>
    <w:rsid w:val="00BA7489"/>
    <w:rsid w:val="00BB02D1"/>
    <w:rsid w:val="00BB0E8B"/>
    <w:rsid w:val="00BB12FF"/>
    <w:rsid w:val="00BB15FE"/>
    <w:rsid w:val="00BB275C"/>
    <w:rsid w:val="00BB2BB8"/>
    <w:rsid w:val="00BB5BC1"/>
    <w:rsid w:val="00BB5F2A"/>
    <w:rsid w:val="00BB6111"/>
    <w:rsid w:val="00BB723C"/>
    <w:rsid w:val="00BB73D0"/>
    <w:rsid w:val="00BB758D"/>
    <w:rsid w:val="00BB79D3"/>
    <w:rsid w:val="00BC0D7F"/>
    <w:rsid w:val="00BC2E5D"/>
    <w:rsid w:val="00BC32FF"/>
    <w:rsid w:val="00BC34C3"/>
    <w:rsid w:val="00BC3829"/>
    <w:rsid w:val="00BC4FC4"/>
    <w:rsid w:val="00BC5083"/>
    <w:rsid w:val="00BD106D"/>
    <w:rsid w:val="00BD111D"/>
    <w:rsid w:val="00BD1427"/>
    <w:rsid w:val="00BD1709"/>
    <w:rsid w:val="00BD1E7B"/>
    <w:rsid w:val="00BD2CE4"/>
    <w:rsid w:val="00BD370E"/>
    <w:rsid w:val="00BD4118"/>
    <w:rsid w:val="00BD4986"/>
    <w:rsid w:val="00BD59EB"/>
    <w:rsid w:val="00BD731C"/>
    <w:rsid w:val="00BE0E99"/>
    <w:rsid w:val="00BE1A9D"/>
    <w:rsid w:val="00BE22B6"/>
    <w:rsid w:val="00BE26BB"/>
    <w:rsid w:val="00BE28D9"/>
    <w:rsid w:val="00BE360F"/>
    <w:rsid w:val="00BE3D85"/>
    <w:rsid w:val="00BE4D94"/>
    <w:rsid w:val="00BE505C"/>
    <w:rsid w:val="00BE698C"/>
    <w:rsid w:val="00BE7753"/>
    <w:rsid w:val="00BE7DFC"/>
    <w:rsid w:val="00BF07FB"/>
    <w:rsid w:val="00BF0ED4"/>
    <w:rsid w:val="00BF1911"/>
    <w:rsid w:val="00BF26A2"/>
    <w:rsid w:val="00BF346A"/>
    <w:rsid w:val="00BF3CE7"/>
    <w:rsid w:val="00BF3F35"/>
    <w:rsid w:val="00BF611E"/>
    <w:rsid w:val="00BF764D"/>
    <w:rsid w:val="00BF7EA4"/>
    <w:rsid w:val="00BF7EF8"/>
    <w:rsid w:val="00C001BD"/>
    <w:rsid w:val="00C002D1"/>
    <w:rsid w:val="00C00682"/>
    <w:rsid w:val="00C00A65"/>
    <w:rsid w:val="00C028B0"/>
    <w:rsid w:val="00C030DC"/>
    <w:rsid w:val="00C039B8"/>
    <w:rsid w:val="00C06DD3"/>
    <w:rsid w:val="00C0711C"/>
    <w:rsid w:val="00C11F2C"/>
    <w:rsid w:val="00C145ED"/>
    <w:rsid w:val="00C14F45"/>
    <w:rsid w:val="00C15199"/>
    <w:rsid w:val="00C17327"/>
    <w:rsid w:val="00C174A4"/>
    <w:rsid w:val="00C1770B"/>
    <w:rsid w:val="00C179E7"/>
    <w:rsid w:val="00C20200"/>
    <w:rsid w:val="00C20535"/>
    <w:rsid w:val="00C2069A"/>
    <w:rsid w:val="00C217DD"/>
    <w:rsid w:val="00C229DE"/>
    <w:rsid w:val="00C2374B"/>
    <w:rsid w:val="00C25621"/>
    <w:rsid w:val="00C25692"/>
    <w:rsid w:val="00C26EA2"/>
    <w:rsid w:val="00C30658"/>
    <w:rsid w:val="00C321D2"/>
    <w:rsid w:val="00C33B7C"/>
    <w:rsid w:val="00C344BC"/>
    <w:rsid w:val="00C349C5"/>
    <w:rsid w:val="00C34DAF"/>
    <w:rsid w:val="00C36CE3"/>
    <w:rsid w:val="00C37E37"/>
    <w:rsid w:val="00C419A7"/>
    <w:rsid w:val="00C42234"/>
    <w:rsid w:val="00C424F7"/>
    <w:rsid w:val="00C44A0F"/>
    <w:rsid w:val="00C51B8E"/>
    <w:rsid w:val="00C51C85"/>
    <w:rsid w:val="00C52341"/>
    <w:rsid w:val="00C53590"/>
    <w:rsid w:val="00C535E2"/>
    <w:rsid w:val="00C539E9"/>
    <w:rsid w:val="00C54AAA"/>
    <w:rsid w:val="00C55320"/>
    <w:rsid w:val="00C6176D"/>
    <w:rsid w:val="00C637F6"/>
    <w:rsid w:val="00C63E2A"/>
    <w:rsid w:val="00C6418D"/>
    <w:rsid w:val="00C673AA"/>
    <w:rsid w:val="00C67B3B"/>
    <w:rsid w:val="00C72448"/>
    <w:rsid w:val="00C727DA"/>
    <w:rsid w:val="00C73CA5"/>
    <w:rsid w:val="00C75503"/>
    <w:rsid w:val="00C75525"/>
    <w:rsid w:val="00C7652D"/>
    <w:rsid w:val="00C766CA"/>
    <w:rsid w:val="00C805D8"/>
    <w:rsid w:val="00C80B78"/>
    <w:rsid w:val="00C80DEB"/>
    <w:rsid w:val="00C817A3"/>
    <w:rsid w:val="00C828B7"/>
    <w:rsid w:val="00C83D50"/>
    <w:rsid w:val="00C8438D"/>
    <w:rsid w:val="00C84AD5"/>
    <w:rsid w:val="00C860BE"/>
    <w:rsid w:val="00C86338"/>
    <w:rsid w:val="00C873DC"/>
    <w:rsid w:val="00C87638"/>
    <w:rsid w:val="00C9024B"/>
    <w:rsid w:val="00C90A84"/>
    <w:rsid w:val="00C9537D"/>
    <w:rsid w:val="00C9588B"/>
    <w:rsid w:val="00C95F5F"/>
    <w:rsid w:val="00C9698E"/>
    <w:rsid w:val="00C96BE4"/>
    <w:rsid w:val="00C9724E"/>
    <w:rsid w:val="00CA0465"/>
    <w:rsid w:val="00CA078F"/>
    <w:rsid w:val="00CA0A62"/>
    <w:rsid w:val="00CA2477"/>
    <w:rsid w:val="00CA2601"/>
    <w:rsid w:val="00CA2621"/>
    <w:rsid w:val="00CA2E0C"/>
    <w:rsid w:val="00CA2F25"/>
    <w:rsid w:val="00CA33BD"/>
    <w:rsid w:val="00CA3873"/>
    <w:rsid w:val="00CA4A00"/>
    <w:rsid w:val="00CA5034"/>
    <w:rsid w:val="00CA5914"/>
    <w:rsid w:val="00CA652D"/>
    <w:rsid w:val="00CA6AE3"/>
    <w:rsid w:val="00CA7960"/>
    <w:rsid w:val="00CA7977"/>
    <w:rsid w:val="00CB03C7"/>
    <w:rsid w:val="00CB0A81"/>
    <w:rsid w:val="00CB289F"/>
    <w:rsid w:val="00CB30BE"/>
    <w:rsid w:val="00CB4B7A"/>
    <w:rsid w:val="00CB4CFA"/>
    <w:rsid w:val="00CB5956"/>
    <w:rsid w:val="00CB6B8A"/>
    <w:rsid w:val="00CB7144"/>
    <w:rsid w:val="00CC070C"/>
    <w:rsid w:val="00CC09FC"/>
    <w:rsid w:val="00CC0DC2"/>
    <w:rsid w:val="00CC1CBD"/>
    <w:rsid w:val="00CC5658"/>
    <w:rsid w:val="00CC771D"/>
    <w:rsid w:val="00CD0F64"/>
    <w:rsid w:val="00CD14C4"/>
    <w:rsid w:val="00CD1572"/>
    <w:rsid w:val="00CD1D9C"/>
    <w:rsid w:val="00CD21A1"/>
    <w:rsid w:val="00CD2270"/>
    <w:rsid w:val="00CD247E"/>
    <w:rsid w:val="00CD2946"/>
    <w:rsid w:val="00CD2FDA"/>
    <w:rsid w:val="00CD35FC"/>
    <w:rsid w:val="00CD3831"/>
    <w:rsid w:val="00CD3B05"/>
    <w:rsid w:val="00CD51B5"/>
    <w:rsid w:val="00CD617F"/>
    <w:rsid w:val="00CD79E4"/>
    <w:rsid w:val="00CD7E40"/>
    <w:rsid w:val="00CE017F"/>
    <w:rsid w:val="00CE0328"/>
    <w:rsid w:val="00CE0FB8"/>
    <w:rsid w:val="00CE1730"/>
    <w:rsid w:val="00CE2C15"/>
    <w:rsid w:val="00CE4288"/>
    <w:rsid w:val="00CE5999"/>
    <w:rsid w:val="00CE6082"/>
    <w:rsid w:val="00CE6209"/>
    <w:rsid w:val="00CE66C8"/>
    <w:rsid w:val="00CE743D"/>
    <w:rsid w:val="00CF16CC"/>
    <w:rsid w:val="00CF3184"/>
    <w:rsid w:val="00CF42EC"/>
    <w:rsid w:val="00CF4DE5"/>
    <w:rsid w:val="00CF6F41"/>
    <w:rsid w:val="00D00BD8"/>
    <w:rsid w:val="00D01D89"/>
    <w:rsid w:val="00D01E7C"/>
    <w:rsid w:val="00D03841"/>
    <w:rsid w:val="00D03B96"/>
    <w:rsid w:val="00D060E0"/>
    <w:rsid w:val="00D0621E"/>
    <w:rsid w:val="00D106A0"/>
    <w:rsid w:val="00D1090C"/>
    <w:rsid w:val="00D110DD"/>
    <w:rsid w:val="00D1183A"/>
    <w:rsid w:val="00D12A4B"/>
    <w:rsid w:val="00D13496"/>
    <w:rsid w:val="00D1363D"/>
    <w:rsid w:val="00D142DE"/>
    <w:rsid w:val="00D14D2B"/>
    <w:rsid w:val="00D151D1"/>
    <w:rsid w:val="00D152D0"/>
    <w:rsid w:val="00D15E35"/>
    <w:rsid w:val="00D1630A"/>
    <w:rsid w:val="00D16D91"/>
    <w:rsid w:val="00D2051C"/>
    <w:rsid w:val="00D20C3C"/>
    <w:rsid w:val="00D23212"/>
    <w:rsid w:val="00D23824"/>
    <w:rsid w:val="00D24788"/>
    <w:rsid w:val="00D249E2"/>
    <w:rsid w:val="00D252C8"/>
    <w:rsid w:val="00D25706"/>
    <w:rsid w:val="00D2571E"/>
    <w:rsid w:val="00D27BAE"/>
    <w:rsid w:val="00D306ED"/>
    <w:rsid w:val="00D32644"/>
    <w:rsid w:val="00D32A7F"/>
    <w:rsid w:val="00D3418C"/>
    <w:rsid w:val="00D34BA3"/>
    <w:rsid w:val="00D34ED3"/>
    <w:rsid w:val="00D3513C"/>
    <w:rsid w:val="00D353BB"/>
    <w:rsid w:val="00D35B4A"/>
    <w:rsid w:val="00D35E7A"/>
    <w:rsid w:val="00D400FD"/>
    <w:rsid w:val="00D41281"/>
    <w:rsid w:val="00D4230B"/>
    <w:rsid w:val="00D428BC"/>
    <w:rsid w:val="00D42EA0"/>
    <w:rsid w:val="00D42EDB"/>
    <w:rsid w:val="00D47868"/>
    <w:rsid w:val="00D47D6F"/>
    <w:rsid w:val="00D505D8"/>
    <w:rsid w:val="00D50BA0"/>
    <w:rsid w:val="00D510AE"/>
    <w:rsid w:val="00D51F7D"/>
    <w:rsid w:val="00D53026"/>
    <w:rsid w:val="00D5405E"/>
    <w:rsid w:val="00D5445C"/>
    <w:rsid w:val="00D5460C"/>
    <w:rsid w:val="00D54CAD"/>
    <w:rsid w:val="00D562A4"/>
    <w:rsid w:val="00D563D4"/>
    <w:rsid w:val="00D568DD"/>
    <w:rsid w:val="00D570D7"/>
    <w:rsid w:val="00D5797C"/>
    <w:rsid w:val="00D57EA1"/>
    <w:rsid w:val="00D60109"/>
    <w:rsid w:val="00D61203"/>
    <w:rsid w:val="00D61A43"/>
    <w:rsid w:val="00D61F8C"/>
    <w:rsid w:val="00D633FB"/>
    <w:rsid w:val="00D636DA"/>
    <w:rsid w:val="00D63F97"/>
    <w:rsid w:val="00D64294"/>
    <w:rsid w:val="00D643EE"/>
    <w:rsid w:val="00D64471"/>
    <w:rsid w:val="00D650A9"/>
    <w:rsid w:val="00D651EE"/>
    <w:rsid w:val="00D670F8"/>
    <w:rsid w:val="00D6769A"/>
    <w:rsid w:val="00D704D2"/>
    <w:rsid w:val="00D71E82"/>
    <w:rsid w:val="00D726FE"/>
    <w:rsid w:val="00D744EB"/>
    <w:rsid w:val="00D74970"/>
    <w:rsid w:val="00D75727"/>
    <w:rsid w:val="00D76B34"/>
    <w:rsid w:val="00D77789"/>
    <w:rsid w:val="00D777AF"/>
    <w:rsid w:val="00D77C85"/>
    <w:rsid w:val="00D80240"/>
    <w:rsid w:val="00D807A2"/>
    <w:rsid w:val="00D816BE"/>
    <w:rsid w:val="00D81DB8"/>
    <w:rsid w:val="00D81EF9"/>
    <w:rsid w:val="00D83595"/>
    <w:rsid w:val="00D83891"/>
    <w:rsid w:val="00D8397E"/>
    <w:rsid w:val="00D84396"/>
    <w:rsid w:val="00D90584"/>
    <w:rsid w:val="00D907D4"/>
    <w:rsid w:val="00D9147A"/>
    <w:rsid w:val="00D91542"/>
    <w:rsid w:val="00D91742"/>
    <w:rsid w:val="00D91936"/>
    <w:rsid w:val="00D92A64"/>
    <w:rsid w:val="00D92E4F"/>
    <w:rsid w:val="00D934B1"/>
    <w:rsid w:val="00D9411F"/>
    <w:rsid w:val="00D94266"/>
    <w:rsid w:val="00D95539"/>
    <w:rsid w:val="00D95846"/>
    <w:rsid w:val="00D958C5"/>
    <w:rsid w:val="00D969C9"/>
    <w:rsid w:val="00D96D49"/>
    <w:rsid w:val="00DA0E55"/>
    <w:rsid w:val="00DA1BE3"/>
    <w:rsid w:val="00DA1CB9"/>
    <w:rsid w:val="00DA1D95"/>
    <w:rsid w:val="00DA43FC"/>
    <w:rsid w:val="00DA4949"/>
    <w:rsid w:val="00DA4F64"/>
    <w:rsid w:val="00DA697B"/>
    <w:rsid w:val="00DA6A63"/>
    <w:rsid w:val="00DA76AE"/>
    <w:rsid w:val="00DB073F"/>
    <w:rsid w:val="00DB094E"/>
    <w:rsid w:val="00DB0D3F"/>
    <w:rsid w:val="00DB1B38"/>
    <w:rsid w:val="00DB205D"/>
    <w:rsid w:val="00DB3107"/>
    <w:rsid w:val="00DB5BD1"/>
    <w:rsid w:val="00DB5EEC"/>
    <w:rsid w:val="00DB63C2"/>
    <w:rsid w:val="00DB732C"/>
    <w:rsid w:val="00DC0D30"/>
    <w:rsid w:val="00DC1165"/>
    <w:rsid w:val="00DC146A"/>
    <w:rsid w:val="00DC2525"/>
    <w:rsid w:val="00DC2F89"/>
    <w:rsid w:val="00DC366A"/>
    <w:rsid w:val="00DC3B58"/>
    <w:rsid w:val="00DC4E0B"/>
    <w:rsid w:val="00DC7272"/>
    <w:rsid w:val="00DC747C"/>
    <w:rsid w:val="00DC7FA7"/>
    <w:rsid w:val="00DD0BCF"/>
    <w:rsid w:val="00DD0D78"/>
    <w:rsid w:val="00DD178D"/>
    <w:rsid w:val="00DD17E1"/>
    <w:rsid w:val="00DD3F06"/>
    <w:rsid w:val="00DD5679"/>
    <w:rsid w:val="00DE0FFE"/>
    <w:rsid w:val="00DE16A5"/>
    <w:rsid w:val="00DE216B"/>
    <w:rsid w:val="00DE2A39"/>
    <w:rsid w:val="00DE3201"/>
    <w:rsid w:val="00DE3237"/>
    <w:rsid w:val="00DE465A"/>
    <w:rsid w:val="00DE6BDC"/>
    <w:rsid w:val="00DF06A7"/>
    <w:rsid w:val="00DF2F83"/>
    <w:rsid w:val="00DF383C"/>
    <w:rsid w:val="00DF49FB"/>
    <w:rsid w:val="00DF4B1D"/>
    <w:rsid w:val="00DF5361"/>
    <w:rsid w:val="00DF69DB"/>
    <w:rsid w:val="00DF7AD6"/>
    <w:rsid w:val="00E0016A"/>
    <w:rsid w:val="00E02974"/>
    <w:rsid w:val="00E02A29"/>
    <w:rsid w:val="00E0322E"/>
    <w:rsid w:val="00E03741"/>
    <w:rsid w:val="00E0449D"/>
    <w:rsid w:val="00E05AA3"/>
    <w:rsid w:val="00E0671C"/>
    <w:rsid w:val="00E06DD2"/>
    <w:rsid w:val="00E10958"/>
    <w:rsid w:val="00E11B82"/>
    <w:rsid w:val="00E11DA6"/>
    <w:rsid w:val="00E13275"/>
    <w:rsid w:val="00E13C31"/>
    <w:rsid w:val="00E1552D"/>
    <w:rsid w:val="00E15D94"/>
    <w:rsid w:val="00E16C9E"/>
    <w:rsid w:val="00E200BE"/>
    <w:rsid w:val="00E20AE7"/>
    <w:rsid w:val="00E2142E"/>
    <w:rsid w:val="00E241AE"/>
    <w:rsid w:val="00E243E4"/>
    <w:rsid w:val="00E246B7"/>
    <w:rsid w:val="00E24C7A"/>
    <w:rsid w:val="00E303E4"/>
    <w:rsid w:val="00E31AE6"/>
    <w:rsid w:val="00E31DA0"/>
    <w:rsid w:val="00E32B9F"/>
    <w:rsid w:val="00E335B4"/>
    <w:rsid w:val="00E33F88"/>
    <w:rsid w:val="00E3418A"/>
    <w:rsid w:val="00E34E22"/>
    <w:rsid w:val="00E35DA3"/>
    <w:rsid w:val="00E41247"/>
    <w:rsid w:val="00E41400"/>
    <w:rsid w:val="00E4195E"/>
    <w:rsid w:val="00E428CB"/>
    <w:rsid w:val="00E441BF"/>
    <w:rsid w:val="00E4538C"/>
    <w:rsid w:val="00E465C4"/>
    <w:rsid w:val="00E47237"/>
    <w:rsid w:val="00E4745C"/>
    <w:rsid w:val="00E5051F"/>
    <w:rsid w:val="00E5095B"/>
    <w:rsid w:val="00E51A5E"/>
    <w:rsid w:val="00E521FD"/>
    <w:rsid w:val="00E531F2"/>
    <w:rsid w:val="00E534DB"/>
    <w:rsid w:val="00E54262"/>
    <w:rsid w:val="00E5509E"/>
    <w:rsid w:val="00E55A14"/>
    <w:rsid w:val="00E55FA1"/>
    <w:rsid w:val="00E567F7"/>
    <w:rsid w:val="00E5689D"/>
    <w:rsid w:val="00E56DA7"/>
    <w:rsid w:val="00E57498"/>
    <w:rsid w:val="00E6095F"/>
    <w:rsid w:val="00E615DD"/>
    <w:rsid w:val="00E61A64"/>
    <w:rsid w:val="00E62DBF"/>
    <w:rsid w:val="00E63AEF"/>
    <w:rsid w:val="00E640ED"/>
    <w:rsid w:val="00E64BA1"/>
    <w:rsid w:val="00E65CD9"/>
    <w:rsid w:val="00E65F04"/>
    <w:rsid w:val="00E66D37"/>
    <w:rsid w:val="00E66F78"/>
    <w:rsid w:val="00E702F5"/>
    <w:rsid w:val="00E70C7D"/>
    <w:rsid w:val="00E71E3F"/>
    <w:rsid w:val="00E72123"/>
    <w:rsid w:val="00E72264"/>
    <w:rsid w:val="00E7232C"/>
    <w:rsid w:val="00E744B9"/>
    <w:rsid w:val="00E750D0"/>
    <w:rsid w:val="00E75302"/>
    <w:rsid w:val="00E7715A"/>
    <w:rsid w:val="00E80681"/>
    <w:rsid w:val="00E8107C"/>
    <w:rsid w:val="00E817CB"/>
    <w:rsid w:val="00E81ABA"/>
    <w:rsid w:val="00E81E3C"/>
    <w:rsid w:val="00E82B32"/>
    <w:rsid w:val="00E853A4"/>
    <w:rsid w:val="00E85BC3"/>
    <w:rsid w:val="00E86EB2"/>
    <w:rsid w:val="00E87FD6"/>
    <w:rsid w:val="00E905AA"/>
    <w:rsid w:val="00E90C9F"/>
    <w:rsid w:val="00E94EA7"/>
    <w:rsid w:val="00E95391"/>
    <w:rsid w:val="00E9747C"/>
    <w:rsid w:val="00E976C6"/>
    <w:rsid w:val="00E97FA8"/>
    <w:rsid w:val="00EA03F8"/>
    <w:rsid w:val="00EA0462"/>
    <w:rsid w:val="00EA0AB9"/>
    <w:rsid w:val="00EA1730"/>
    <w:rsid w:val="00EA2950"/>
    <w:rsid w:val="00EA3135"/>
    <w:rsid w:val="00EA3747"/>
    <w:rsid w:val="00EA46F1"/>
    <w:rsid w:val="00EA7794"/>
    <w:rsid w:val="00EB0507"/>
    <w:rsid w:val="00EB05D5"/>
    <w:rsid w:val="00EB0656"/>
    <w:rsid w:val="00EB0A31"/>
    <w:rsid w:val="00EB0D4D"/>
    <w:rsid w:val="00EB14CC"/>
    <w:rsid w:val="00EB1758"/>
    <w:rsid w:val="00EB2224"/>
    <w:rsid w:val="00EB234D"/>
    <w:rsid w:val="00EB43C8"/>
    <w:rsid w:val="00EB6667"/>
    <w:rsid w:val="00EB7ED9"/>
    <w:rsid w:val="00EC0A2B"/>
    <w:rsid w:val="00EC18DC"/>
    <w:rsid w:val="00EC19D3"/>
    <w:rsid w:val="00EC1E07"/>
    <w:rsid w:val="00EC1ED7"/>
    <w:rsid w:val="00EC313F"/>
    <w:rsid w:val="00EC3A47"/>
    <w:rsid w:val="00EC3EEC"/>
    <w:rsid w:val="00EC47B9"/>
    <w:rsid w:val="00EC4B3E"/>
    <w:rsid w:val="00EC5CDE"/>
    <w:rsid w:val="00EC64A3"/>
    <w:rsid w:val="00EC65F2"/>
    <w:rsid w:val="00EC67B9"/>
    <w:rsid w:val="00EC6963"/>
    <w:rsid w:val="00EC6C09"/>
    <w:rsid w:val="00ED0305"/>
    <w:rsid w:val="00ED06BB"/>
    <w:rsid w:val="00ED099B"/>
    <w:rsid w:val="00ED0E85"/>
    <w:rsid w:val="00ED19C8"/>
    <w:rsid w:val="00ED1FA5"/>
    <w:rsid w:val="00ED21EC"/>
    <w:rsid w:val="00ED232D"/>
    <w:rsid w:val="00ED5E7F"/>
    <w:rsid w:val="00ED630D"/>
    <w:rsid w:val="00ED6547"/>
    <w:rsid w:val="00ED6C6D"/>
    <w:rsid w:val="00ED7064"/>
    <w:rsid w:val="00ED746F"/>
    <w:rsid w:val="00ED79DD"/>
    <w:rsid w:val="00ED7C39"/>
    <w:rsid w:val="00EE0006"/>
    <w:rsid w:val="00EE00E7"/>
    <w:rsid w:val="00EE0360"/>
    <w:rsid w:val="00EE190B"/>
    <w:rsid w:val="00EE2E4B"/>
    <w:rsid w:val="00EE2F09"/>
    <w:rsid w:val="00EE3E30"/>
    <w:rsid w:val="00EE4118"/>
    <w:rsid w:val="00EE47B8"/>
    <w:rsid w:val="00EE5F44"/>
    <w:rsid w:val="00EE67D9"/>
    <w:rsid w:val="00EF02A4"/>
    <w:rsid w:val="00EF0E9C"/>
    <w:rsid w:val="00EF1F3A"/>
    <w:rsid w:val="00EF2B12"/>
    <w:rsid w:val="00EF31BC"/>
    <w:rsid w:val="00EF54C4"/>
    <w:rsid w:val="00EF6370"/>
    <w:rsid w:val="00EF78D8"/>
    <w:rsid w:val="00F00989"/>
    <w:rsid w:val="00F00DE0"/>
    <w:rsid w:val="00F013A5"/>
    <w:rsid w:val="00F02C27"/>
    <w:rsid w:val="00F04342"/>
    <w:rsid w:val="00F062F1"/>
    <w:rsid w:val="00F06DD5"/>
    <w:rsid w:val="00F076F3"/>
    <w:rsid w:val="00F11A8B"/>
    <w:rsid w:val="00F14065"/>
    <w:rsid w:val="00F14A63"/>
    <w:rsid w:val="00F14CA3"/>
    <w:rsid w:val="00F17B08"/>
    <w:rsid w:val="00F21EF6"/>
    <w:rsid w:val="00F22159"/>
    <w:rsid w:val="00F22C7F"/>
    <w:rsid w:val="00F231BF"/>
    <w:rsid w:val="00F23AD4"/>
    <w:rsid w:val="00F250EC"/>
    <w:rsid w:val="00F26FE2"/>
    <w:rsid w:val="00F27409"/>
    <w:rsid w:val="00F27676"/>
    <w:rsid w:val="00F33198"/>
    <w:rsid w:val="00F33ADE"/>
    <w:rsid w:val="00F34143"/>
    <w:rsid w:val="00F347FD"/>
    <w:rsid w:val="00F3643A"/>
    <w:rsid w:val="00F36DF4"/>
    <w:rsid w:val="00F3758B"/>
    <w:rsid w:val="00F401C0"/>
    <w:rsid w:val="00F40B0C"/>
    <w:rsid w:val="00F40D8E"/>
    <w:rsid w:val="00F418A1"/>
    <w:rsid w:val="00F41B32"/>
    <w:rsid w:val="00F41CD0"/>
    <w:rsid w:val="00F4494C"/>
    <w:rsid w:val="00F45B09"/>
    <w:rsid w:val="00F4628D"/>
    <w:rsid w:val="00F506C1"/>
    <w:rsid w:val="00F53A45"/>
    <w:rsid w:val="00F5510F"/>
    <w:rsid w:val="00F55ACE"/>
    <w:rsid w:val="00F57690"/>
    <w:rsid w:val="00F60A1A"/>
    <w:rsid w:val="00F61A6A"/>
    <w:rsid w:val="00F61C93"/>
    <w:rsid w:val="00F6233E"/>
    <w:rsid w:val="00F62369"/>
    <w:rsid w:val="00F63146"/>
    <w:rsid w:val="00F64AA7"/>
    <w:rsid w:val="00F65CEA"/>
    <w:rsid w:val="00F70070"/>
    <w:rsid w:val="00F70791"/>
    <w:rsid w:val="00F70A81"/>
    <w:rsid w:val="00F70B13"/>
    <w:rsid w:val="00F71034"/>
    <w:rsid w:val="00F716F2"/>
    <w:rsid w:val="00F7361A"/>
    <w:rsid w:val="00F75368"/>
    <w:rsid w:val="00F7594F"/>
    <w:rsid w:val="00F7653E"/>
    <w:rsid w:val="00F8039F"/>
    <w:rsid w:val="00F810CA"/>
    <w:rsid w:val="00F8158F"/>
    <w:rsid w:val="00F816EA"/>
    <w:rsid w:val="00F81EB0"/>
    <w:rsid w:val="00F82582"/>
    <w:rsid w:val="00F8375A"/>
    <w:rsid w:val="00F83D65"/>
    <w:rsid w:val="00F84C23"/>
    <w:rsid w:val="00F85C6B"/>
    <w:rsid w:val="00F87DD9"/>
    <w:rsid w:val="00F87F80"/>
    <w:rsid w:val="00F90A3A"/>
    <w:rsid w:val="00F90A78"/>
    <w:rsid w:val="00F91974"/>
    <w:rsid w:val="00F91B8D"/>
    <w:rsid w:val="00F91CA6"/>
    <w:rsid w:val="00F91E5C"/>
    <w:rsid w:val="00F9252C"/>
    <w:rsid w:val="00F92801"/>
    <w:rsid w:val="00F92BE3"/>
    <w:rsid w:val="00F93303"/>
    <w:rsid w:val="00F95ADA"/>
    <w:rsid w:val="00F95DF2"/>
    <w:rsid w:val="00F979C2"/>
    <w:rsid w:val="00FA0311"/>
    <w:rsid w:val="00FA09D0"/>
    <w:rsid w:val="00FA1208"/>
    <w:rsid w:val="00FA236B"/>
    <w:rsid w:val="00FA2ECD"/>
    <w:rsid w:val="00FA5630"/>
    <w:rsid w:val="00FA57FB"/>
    <w:rsid w:val="00FA67EA"/>
    <w:rsid w:val="00FA6825"/>
    <w:rsid w:val="00FA6A08"/>
    <w:rsid w:val="00FA73E2"/>
    <w:rsid w:val="00FA7545"/>
    <w:rsid w:val="00FA7767"/>
    <w:rsid w:val="00FA7B70"/>
    <w:rsid w:val="00FA7CAB"/>
    <w:rsid w:val="00FB0E38"/>
    <w:rsid w:val="00FB2A46"/>
    <w:rsid w:val="00FB2B9D"/>
    <w:rsid w:val="00FB353D"/>
    <w:rsid w:val="00FB3643"/>
    <w:rsid w:val="00FB39C3"/>
    <w:rsid w:val="00FB414F"/>
    <w:rsid w:val="00FB71BF"/>
    <w:rsid w:val="00FB7CEB"/>
    <w:rsid w:val="00FC3015"/>
    <w:rsid w:val="00FC3381"/>
    <w:rsid w:val="00FC5C38"/>
    <w:rsid w:val="00FC60D4"/>
    <w:rsid w:val="00FC60F4"/>
    <w:rsid w:val="00FC7D56"/>
    <w:rsid w:val="00FD0AE2"/>
    <w:rsid w:val="00FD1CC2"/>
    <w:rsid w:val="00FD29CC"/>
    <w:rsid w:val="00FD2C84"/>
    <w:rsid w:val="00FD3DAB"/>
    <w:rsid w:val="00FD4E40"/>
    <w:rsid w:val="00FD5106"/>
    <w:rsid w:val="00FD62C3"/>
    <w:rsid w:val="00FD682F"/>
    <w:rsid w:val="00FD730C"/>
    <w:rsid w:val="00FD7ED4"/>
    <w:rsid w:val="00FE0791"/>
    <w:rsid w:val="00FE2ABB"/>
    <w:rsid w:val="00FE34D7"/>
    <w:rsid w:val="00FE55CC"/>
    <w:rsid w:val="00FE5EFA"/>
    <w:rsid w:val="00FE784C"/>
    <w:rsid w:val="00FE7D96"/>
    <w:rsid w:val="00FF037A"/>
    <w:rsid w:val="00FF0613"/>
    <w:rsid w:val="00FF0930"/>
    <w:rsid w:val="00FF1C27"/>
    <w:rsid w:val="00FF1F4B"/>
    <w:rsid w:val="00FF2590"/>
    <w:rsid w:val="00FF28F1"/>
    <w:rsid w:val="00FF3471"/>
    <w:rsid w:val="00FF400C"/>
    <w:rsid w:val="00FF4352"/>
    <w:rsid w:val="00FF4DE7"/>
    <w:rsid w:val="00FF4F0D"/>
    <w:rsid w:val="00FF54B8"/>
    <w:rsid w:val="00FF5715"/>
    <w:rsid w:val="00FF5CC4"/>
    <w:rsid w:val="00FF68DF"/>
    <w:rsid w:val="00FF77F0"/>
    <w:rsid w:val="00FF7BD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484458"/>
  <w15:chartTrackingRefBased/>
  <w15:docId w15:val="{3C1826B7-B9EA-4488-AB3E-15041F56BD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E55FA1"/>
    <w:pPr>
      <w:suppressAutoHyphens/>
      <w:spacing w:after="0" w:line="240" w:lineRule="auto"/>
    </w:pPr>
    <w:rPr>
      <w:rFonts w:eastAsia="Cambria" w:cs="Cambria"/>
      <w:sz w:val="20"/>
      <w:szCs w:val="20"/>
      <w:lang w:eastAsia="ru-RU"/>
    </w:rPr>
  </w:style>
  <w:style w:type="paragraph" w:styleId="10">
    <w:name w:val="heading 1"/>
    <w:aliases w:val="Заголовок параграфа (1.),Section,Section Heading,level2 hdg,111"/>
    <w:basedOn w:val="a1"/>
    <w:next w:val="a1"/>
    <w:link w:val="11"/>
    <w:uiPriority w:val="9"/>
    <w:qFormat/>
    <w:rsid w:val="00A92083"/>
    <w:pPr>
      <w:keepNext/>
      <w:spacing w:line="360" w:lineRule="auto"/>
      <w:jc w:val="center"/>
      <w:outlineLvl w:val="0"/>
    </w:pPr>
    <w:rPr>
      <w:b/>
      <w:bCs/>
    </w:rPr>
  </w:style>
  <w:style w:type="paragraph" w:styleId="2">
    <w:name w:val="heading 2"/>
    <w:aliases w:val="h2,h21,Заголовок пункта (1.1),5,Reset numbering,222"/>
    <w:basedOn w:val="a1"/>
    <w:next w:val="a1"/>
    <w:link w:val="22"/>
    <w:uiPriority w:val="99"/>
    <w:qFormat/>
    <w:rsid w:val="00A92083"/>
    <w:pPr>
      <w:keepNext/>
      <w:widowControl w:val="0"/>
      <w:numPr>
        <w:ilvl w:val="1"/>
        <w:numId w:val="1"/>
      </w:numPr>
      <w:autoSpaceDE w:val="0"/>
      <w:jc w:val="right"/>
      <w:outlineLvl w:val="1"/>
    </w:pPr>
    <w:rPr>
      <w:rFonts w:ascii="Cambria Math" w:hAnsi="Cambria Math" w:cs="Cambria Math"/>
      <w:b/>
      <w:bCs/>
      <w:sz w:val="22"/>
      <w:szCs w:val="22"/>
    </w:rPr>
  </w:style>
  <w:style w:type="paragraph" w:styleId="3">
    <w:name w:val="heading 3"/>
    <w:aliases w:val="H3,Заголовок подпукта (1.1.1),Level 1 - 1,o"/>
    <w:basedOn w:val="a1"/>
    <w:next w:val="a1"/>
    <w:link w:val="30"/>
    <w:uiPriority w:val="9"/>
    <w:qFormat/>
    <w:rsid w:val="00A92083"/>
    <w:pPr>
      <w:keepNext/>
      <w:numPr>
        <w:ilvl w:val="2"/>
        <w:numId w:val="1"/>
      </w:numPr>
      <w:ind w:left="1944" w:hanging="504"/>
      <w:jc w:val="center"/>
      <w:outlineLvl w:val="2"/>
    </w:pPr>
    <w:rPr>
      <w:rFonts w:ascii="Arial Unicode MS" w:hAnsi="Arial Unicode MS"/>
      <w:b/>
      <w:bCs/>
      <w:color w:val="0000FF"/>
    </w:rPr>
  </w:style>
  <w:style w:type="paragraph" w:styleId="40">
    <w:name w:val="heading 4"/>
    <w:aliases w:val="H4,H41,Sub-Minor,Level 2 - a"/>
    <w:basedOn w:val="a1"/>
    <w:next w:val="a1"/>
    <w:link w:val="42"/>
    <w:uiPriority w:val="9"/>
    <w:qFormat/>
    <w:rsid w:val="00A92083"/>
    <w:pPr>
      <w:keepNext/>
      <w:numPr>
        <w:ilvl w:val="3"/>
        <w:numId w:val="1"/>
      </w:numPr>
      <w:spacing w:line="360" w:lineRule="auto"/>
      <w:ind w:hanging="34"/>
      <w:jc w:val="right"/>
      <w:outlineLvl w:val="3"/>
    </w:pPr>
    <w:rPr>
      <w:rFonts w:ascii="Arial Unicode MS" w:hAnsi="Arial Unicode MS"/>
      <w:b/>
    </w:rPr>
  </w:style>
  <w:style w:type="paragraph" w:styleId="5">
    <w:name w:val="heading 5"/>
    <w:aliases w:val="h5,h51,H5,H51,h52,test,Block Label,Level 3 - i"/>
    <w:basedOn w:val="a1"/>
    <w:next w:val="a1"/>
    <w:link w:val="50"/>
    <w:uiPriority w:val="9"/>
    <w:unhideWhenUsed/>
    <w:qFormat/>
    <w:rsid w:val="00AB0FC7"/>
    <w:pPr>
      <w:keepNext/>
      <w:keepLines/>
      <w:spacing w:before="40"/>
      <w:outlineLvl w:val="4"/>
    </w:pPr>
    <w:rPr>
      <w:rFonts w:asciiTheme="majorHAnsi" w:eastAsiaTheme="majorEastAsia" w:hAnsiTheme="majorHAnsi" w:cstheme="majorBidi"/>
      <w:color w:val="2E74B5" w:themeColor="accent1" w:themeShade="BF"/>
    </w:rPr>
  </w:style>
  <w:style w:type="paragraph" w:styleId="6">
    <w:name w:val="heading 6"/>
    <w:aliases w:val="Legal Level 1."/>
    <w:basedOn w:val="a1"/>
    <w:next w:val="a1"/>
    <w:link w:val="60"/>
    <w:uiPriority w:val="9"/>
    <w:qFormat/>
    <w:rsid w:val="00A92083"/>
    <w:pPr>
      <w:numPr>
        <w:ilvl w:val="5"/>
        <w:numId w:val="1"/>
      </w:numPr>
      <w:spacing w:before="240" w:after="60"/>
      <w:outlineLvl w:val="5"/>
    </w:pPr>
    <w:rPr>
      <w:b/>
      <w:bCs/>
      <w:sz w:val="22"/>
      <w:szCs w:val="22"/>
    </w:rPr>
  </w:style>
  <w:style w:type="paragraph" w:styleId="7">
    <w:name w:val="heading 7"/>
    <w:aliases w:val="Appendix Header,Legal Level 1.1."/>
    <w:basedOn w:val="a1"/>
    <w:next w:val="a1"/>
    <w:link w:val="70"/>
    <w:uiPriority w:val="9"/>
    <w:qFormat/>
    <w:rsid w:val="00AB0FC7"/>
    <w:pPr>
      <w:suppressAutoHyphens w:val="0"/>
      <w:spacing w:before="180" w:after="240"/>
      <w:outlineLvl w:val="6"/>
    </w:pPr>
    <w:rPr>
      <w:rFonts w:ascii="Garamond" w:eastAsia="Times New Roman" w:hAnsi="Garamond" w:cs="Times New Roman"/>
      <w:sz w:val="22"/>
      <w:lang w:val="en-GB"/>
    </w:rPr>
  </w:style>
  <w:style w:type="paragraph" w:styleId="8">
    <w:name w:val="heading 8"/>
    <w:aliases w:val="Legal Level 1.1.1."/>
    <w:basedOn w:val="a1"/>
    <w:next w:val="a1"/>
    <w:link w:val="80"/>
    <w:uiPriority w:val="9"/>
    <w:qFormat/>
    <w:rsid w:val="00AB0FC7"/>
    <w:pPr>
      <w:suppressAutoHyphens w:val="0"/>
      <w:spacing w:before="240" w:after="60"/>
      <w:outlineLvl w:val="7"/>
    </w:pPr>
    <w:rPr>
      <w:rFonts w:ascii="Arial" w:eastAsia="Times New Roman" w:hAnsi="Arial" w:cs="Times New Roman"/>
      <w:i/>
      <w:lang w:val="en-GB"/>
    </w:rPr>
  </w:style>
  <w:style w:type="paragraph" w:styleId="9">
    <w:name w:val="heading 9"/>
    <w:aliases w:val="Legal Level 1.1.1.1."/>
    <w:basedOn w:val="a1"/>
    <w:next w:val="a1"/>
    <w:link w:val="90"/>
    <w:uiPriority w:val="9"/>
    <w:qFormat/>
    <w:rsid w:val="00AB0FC7"/>
    <w:pPr>
      <w:suppressAutoHyphens w:val="0"/>
      <w:spacing w:before="240" w:after="60"/>
      <w:outlineLvl w:val="8"/>
    </w:pPr>
    <w:rPr>
      <w:rFonts w:ascii="Arial" w:eastAsia="Times New Roman" w:hAnsi="Arial" w:cs="Times New Roman"/>
      <w:i/>
      <w:sz w:val="18"/>
      <w:lang w:val="en-GB"/>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Заголовок 1 Знак"/>
    <w:aliases w:val="Заголовок параграфа (1.) Знак,Section Знак,Section Heading Знак,level2 hdg Знак,111 Знак"/>
    <w:basedOn w:val="a2"/>
    <w:link w:val="10"/>
    <w:uiPriority w:val="9"/>
    <w:rsid w:val="00A92083"/>
    <w:rPr>
      <w:rFonts w:ascii="Cambria" w:eastAsia="Cambria" w:hAnsi="Cambria" w:cs="Cambria"/>
      <w:b/>
      <w:bCs/>
      <w:sz w:val="20"/>
      <w:szCs w:val="20"/>
      <w:lang w:eastAsia="ru-RU"/>
    </w:rPr>
  </w:style>
  <w:style w:type="character" w:customStyle="1" w:styleId="22">
    <w:name w:val="Заголовок 2 Знак"/>
    <w:aliases w:val="h2 Знак1,h21 Знак1,Заголовок пункта (1.1) Знак,5 Знак1,Reset numbering Знак,222 Знак"/>
    <w:basedOn w:val="a2"/>
    <w:link w:val="2"/>
    <w:uiPriority w:val="99"/>
    <w:rsid w:val="00A92083"/>
    <w:rPr>
      <w:rFonts w:ascii="Cambria Math" w:eastAsia="Cambria" w:hAnsi="Cambria Math" w:cs="Cambria Math"/>
      <w:b/>
      <w:bCs/>
      <w:lang w:eastAsia="ru-RU"/>
    </w:rPr>
  </w:style>
  <w:style w:type="character" w:customStyle="1" w:styleId="30">
    <w:name w:val="Заголовок 3 Знак"/>
    <w:aliases w:val="H3 Знак,Заголовок подпукта (1.1.1) Знак,Level 1 - 1 Знак,o Знак"/>
    <w:basedOn w:val="a2"/>
    <w:link w:val="3"/>
    <w:uiPriority w:val="9"/>
    <w:rsid w:val="00A92083"/>
    <w:rPr>
      <w:rFonts w:ascii="Arial Unicode MS" w:eastAsia="Cambria" w:hAnsi="Arial Unicode MS" w:cs="Cambria"/>
      <w:b/>
      <w:bCs/>
      <w:color w:val="0000FF"/>
      <w:sz w:val="20"/>
      <w:szCs w:val="20"/>
      <w:lang w:eastAsia="ru-RU"/>
    </w:rPr>
  </w:style>
  <w:style w:type="character" w:customStyle="1" w:styleId="42">
    <w:name w:val="Заголовок 4 Знак"/>
    <w:aliases w:val="H4 Знак1,H41 Знак1,Sub-Minor Знак1,Level 2 - a Знак"/>
    <w:basedOn w:val="a2"/>
    <w:link w:val="40"/>
    <w:uiPriority w:val="9"/>
    <w:rsid w:val="00A92083"/>
    <w:rPr>
      <w:rFonts w:ascii="Arial Unicode MS" w:eastAsia="Cambria" w:hAnsi="Arial Unicode MS" w:cs="Cambria"/>
      <w:b/>
      <w:sz w:val="20"/>
      <w:szCs w:val="20"/>
      <w:lang w:eastAsia="ru-RU"/>
    </w:rPr>
  </w:style>
  <w:style w:type="character" w:customStyle="1" w:styleId="60">
    <w:name w:val="Заголовок 6 Знак"/>
    <w:aliases w:val="Legal Level 1. Знак"/>
    <w:basedOn w:val="a2"/>
    <w:link w:val="6"/>
    <w:uiPriority w:val="9"/>
    <w:rsid w:val="00A92083"/>
    <w:rPr>
      <w:rFonts w:eastAsia="Cambria" w:cs="Cambria"/>
      <w:b/>
      <w:bCs/>
      <w:lang w:eastAsia="ru-RU"/>
    </w:rPr>
  </w:style>
  <w:style w:type="character" w:styleId="a5">
    <w:name w:val="page number"/>
    <w:basedOn w:val="a2"/>
    <w:uiPriority w:val="99"/>
    <w:rsid w:val="00A92083"/>
  </w:style>
  <w:style w:type="paragraph" w:styleId="a6">
    <w:name w:val="Body Text"/>
    <w:aliases w:val="body text"/>
    <w:basedOn w:val="a1"/>
    <w:link w:val="a7"/>
    <w:uiPriority w:val="99"/>
    <w:rsid w:val="00A92083"/>
    <w:pPr>
      <w:jc w:val="center"/>
    </w:pPr>
    <w:rPr>
      <w:bCs/>
    </w:rPr>
  </w:style>
  <w:style w:type="character" w:customStyle="1" w:styleId="a7">
    <w:name w:val="Основной текст Знак"/>
    <w:aliases w:val="body text Знак"/>
    <w:basedOn w:val="a2"/>
    <w:link w:val="a6"/>
    <w:uiPriority w:val="99"/>
    <w:rsid w:val="00A92083"/>
    <w:rPr>
      <w:rFonts w:ascii="Cambria" w:eastAsia="Cambria" w:hAnsi="Cambria" w:cs="Cambria"/>
      <w:bCs/>
      <w:sz w:val="20"/>
      <w:szCs w:val="20"/>
      <w:lang w:eastAsia="ru-RU"/>
    </w:rPr>
  </w:style>
  <w:style w:type="paragraph" w:styleId="a8">
    <w:name w:val="Body Text Indent"/>
    <w:aliases w:val="Знак Знак"/>
    <w:basedOn w:val="a1"/>
    <w:link w:val="a9"/>
    <w:uiPriority w:val="99"/>
    <w:rsid w:val="00A92083"/>
    <w:pPr>
      <w:tabs>
        <w:tab w:val="left" w:pos="8100"/>
      </w:tabs>
      <w:jc w:val="both"/>
    </w:pPr>
  </w:style>
  <w:style w:type="character" w:customStyle="1" w:styleId="a9">
    <w:name w:val="Основной текст с отступом Знак"/>
    <w:aliases w:val="Знак Знак Знак"/>
    <w:basedOn w:val="a2"/>
    <w:link w:val="a8"/>
    <w:uiPriority w:val="99"/>
    <w:rsid w:val="00A92083"/>
    <w:rPr>
      <w:rFonts w:ascii="Cambria" w:eastAsia="Cambria" w:hAnsi="Cambria" w:cs="Cambria"/>
      <w:sz w:val="20"/>
      <w:szCs w:val="20"/>
      <w:lang w:eastAsia="ru-RU"/>
    </w:rPr>
  </w:style>
  <w:style w:type="paragraph" w:styleId="aa">
    <w:name w:val="footer"/>
    <w:basedOn w:val="a1"/>
    <w:link w:val="ab"/>
    <w:uiPriority w:val="99"/>
    <w:rsid w:val="00A92083"/>
    <w:pPr>
      <w:tabs>
        <w:tab w:val="center" w:pos="4677"/>
        <w:tab w:val="right" w:pos="9355"/>
      </w:tabs>
    </w:pPr>
  </w:style>
  <w:style w:type="character" w:customStyle="1" w:styleId="ab">
    <w:name w:val="Нижний колонтитул Знак"/>
    <w:basedOn w:val="a2"/>
    <w:link w:val="aa"/>
    <w:uiPriority w:val="99"/>
    <w:rsid w:val="00A92083"/>
    <w:rPr>
      <w:rFonts w:ascii="Cambria" w:eastAsia="Cambria" w:hAnsi="Cambria" w:cs="Cambria"/>
      <w:sz w:val="20"/>
      <w:szCs w:val="20"/>
      <w:lang w:eastAsia="ru-RU"/>
    </w:rPr>
  </w:style>
  <w:style w:type="paragraph" w:styleId="ac">
    <w:name w:val="List Paragraph"/>
    <w:basedOn w:val="a1"/>
    <w:link w:val="ad"/>
    <w:uiPriority w:val="99"/>
    <w:qFormat/>
    <w:rsid w:val="00A92083"/>
    <w:pPr>
      <w:suppressAutoHyphens w:val="0"/>
      <w:ind w:left="708"/>
    </w:pPr>
  </w:style>
  <w:style w:type="paragraph" w:customStyle="1" w:styleId="ConsPlusNormal">
    <w:name w:val="ConsPlusNormal"/>
    <w:rsid w:val="00A92083"/>
    <w:pPr>
      <w:widowControl w:val="0"/>
      <w:autoSpaceDE w:val="0"/>
      <w:autoSpaceDN w:val="0"/>
      <w:adjustRightInd w:val="0"/>
      <w:spacing w:after="0" w:line="240" w:lineRule="auto"/>
      <w:ind w:firstLine="720"/>
      <w:jc w:val="both"/>
    </w:pPr>
    <w:rPr>
      <w:rFonts w:ascii="Cambria Math" w:eastAsia="Cambria" w:hAnsi="Cambria Math" w:cs="Cambria Math"/>
      <w:sz w:val="20"/>
      <w:szCs w:val="20"/>
      <w:lang w:eastAsia="ru-RU"/>
    </w:rPr>
  </w:style>
  <w:style w:type="paragraph" w:customStyle="1" w:styleId="BodyText212">
    <w:name w:val="Body Text 212"/>
    <w:basedOn w:val="a1"/>
    <w:rsid w:val="00E5051F"/>
    <w:pPr>
      <w:suppressAutoHyphens w:val="0"/>
      <w:overflowPunct w:val="0"/>
      <w:autoSpaceDE w:val="0"/>
      <w:autoSpaceDN w:val="0"/>
      <w:jc w:val="both"/>
    </w:pPr>
    <w:rPr>
      <w:rFonts w:ascii="Times New Roman" w:eastAsia="Calibri" w:hAnsi="Times New Roman" w:cs="Times New Roman"/>
      <w:sz w:val="22"/>
      <w:szCs w:val="22"/>
    </w:rPr>
  </w:style>
  <w:style w:type="character" w:styleId="ae">
    <w:name w:val="annotation reference"/>
    <w:basedOn w:val="a2"/>
    <w:uiPriority w:val="99"/>
    <w:unhideWhenUsed/>
    <w:qFormat/>
    <w:rsid w:val="00EA0AB9"/>
    <w:rPr>
      <w:sz w:val="16"/>
      <w:szCs w:val="16"/>
    </w:rPr>
  </w:style>
  <w:style w:type="paragraph" w:styleId="af">
    <w:name w:val="annotation text"/>
    <w:basedOn w:val="a1"/>
    <w:link w:val="af0"/>
    <w:uiPriority w:val="99"/>
    <w:unhideWhenUsed/>
    <w:rsid w:val="00EA0AB9"/>
  </w:style>
  <w:style w:type="character" w:customStyle="1" w:styleId="af0">
    <w:name w:val="Текст примечания Знак"/>
    <w:basedOn w:val="a2"/>
    <w:link w:val="af"/>
    <w:uiPriority w:val="99"/>
    <w:rsid w:val="00EA0AB9"/>
    <w:rPr>
      <w:rFonts w:ascii="Cambria" w:eastAsia="Cambria" w:hAnsi="Cambria" w:cs="Cambria"/>
      <w:sz w:val="20"/>
      <w:szCs w:val="20"/>
      <w:lang w:eastAsia="ru-RU"/>
    </w:rPr>
  </w:style>
  <w:style w:type="paragraph" w:styleId="af1">
    <w:name w:val="annotation subject"/>
    <w:basedOn w:val="af"/>
    <w:next w:val="af"/>
    <w:link w:val="af2"/>
    <w:uiPriority w:val="99"/>
    <w:unhideWhenUsed/>
    <w:rsid w:val="00EA0AB9"/>
    <w:rPr>
      <w:b/>
      <w:bCs/>
    </w:rPr>
  </w:style>
  <w:style w:type="character" w:customStyle="1" w:styleId="af2">
    <w:name w:val="Тема примечания Знак"/>
    <w:basedOn w:val="af0"/>
    <w:link w:val="af1"/>
    <w:uiPriority w:val="99"/>
    <w:rsid w:val="00EA0AB9"/>
    <w:rPr>
      <w:rFonts w:ascii="Cambria" w:eastAsia="Cambria" w:hAnsi="Cambria" w:cs="Cambria"/>
      <w:b/>
      <w:bCs/>
      <w:sz w:val="20"/>
      <w:szCs w:val="20"/>
      <w:lang w:eastAsia="ru-RU"/>
    </w:rPr>
  </w:style>
  <w:style w:type="paragraph" w:styleId="af3">
    <w:name w:val="Balloon Text"/>
    <w:basedOn w:val="a1"/>
    <w:link w:val="af4"/>
    <w:uiPriority w:val="99"/>
    <w:unhideWhenUsed/>
    <w:rsid w:val="00EA0AB9"/>
    <w:rPr>
      <w:rFonts w:ascii="Segoe UI" w:hAnsi="Segoe UI" w:cs="Segoe UI"/>
      <w:sz w:val="18"/>
      <w:szCs w:val="18"/>
    </w:rPr>
  </w:style>
  <w:style w:type="character" w:customStyle="1" w:styleId="af4">
    <w:name w:val="Текст выноски Знак"/>
    <w:basedOn w:val="a2"/>
    <w:link w:val="af3"/>
    <w:uiPriority w:val="99"/>
    <w:rsid w:val="00EA0AB9"/>
    <w:rPr>
      <w:rFonts w:ascii="Segoe UI" w:eastAsia="Cambria" w:hAnsi="Segoe UI" w:cs="Segoe UI"/>
      <w:sz w:val="18"/>
      <w:szCs w:val="18"/>
      <w:lang w:eastAsia="ru-RU"/>
    </w:rPr>
  </w:style>
  <w:style w:type="paragraph" w:customStyle="1" w:styleId="12">
    <w:name w:val="Стиль1"/>
    <w:basedOn w:val="af"/>
    <w:link w:val="13"/>
    <w:uiPriority w:val="99"/>
    <w:qFormat/>
    <w:rsid w:val="006A4E82"/>
  </w:style>
  <w:style w:type="paragraph" w:styleId="23">
    <w:name w:val="Body Text Indent 2"/>
    <w:basedOn w:val="a1"/>
    <w:link w:val="24"/>
    <w:rsid w:val="000D1A33"/>
    <w:pPr>
      <w:suppressAutoHyphens w:val="0"/>
      <w:ind w:firstLine="540"/>
    </w:pPr>
    <w:rPr>
      <w:rFonts w:ascii="Times New Roman" w:eastAsia="Times New Roman" w:hAnsi="Times New Roman" w:cs="Times New Roman"/>
      <w:sz w:val="24"/>
      <w:szCs w:val="24"/>
      <w:lang w:val="x-none" w:eastAsia="x-none"/>
    </w:rPr>
  </w:style>
  <w:style w:type="character" w:customStyle="1" w:styleId="24">
    <w:name w:val="Основной текст с отступом 2 Знак"/>
    <w:basedOn w:val="a2"/>
    <w:link w:val="23"/>
    <w:rsid w:val="000D1A33"/>
    <w:rPr>
      <w:rFonts w:ascii="Times New Roman" w:eastAsia="Times New Roman" w:hAnsi="Times New Roman" w:cs="Times New Roman"/>
      <w:sz w:val="24"/>
      <w:szCs w:val="24"/>
      <w:lang w:val="x-none" w:eastAsia="x-none"/>
    </w:rPr>
  </w:style>
  <w:style w:type="paragraph" w:customStyle="1" w:styleId="BodyText31">
    <w:name w:val="Body Text 31"/>
    <w:basedOn w:val="a1"/>
    <w:rsid w:val="009C75DC"/>
    <w:pPr>
      <w:widowControl w:val="0"/>
      <w:suppressAutoHyphens w:val="0"/>
      <w:ind w:firstLine="567"/>
      <w:jc w:val="both"/>
    </w:pPr>
    <w:rPr>
      <w:rFonts w:ascii="Times New Roman" w:eastAsia="Times New Roman" w:hAnsi="Times New Roman" w:cs="Times New Roman"/>
      <w:sz w:val="24"/>
    </w:rPr>
  </w:style>
  <w:style w:type="paragraph" w:customStyle="1" w:styleId="af5">
    <w:name w:val="Обычный без отступа по центру"/>
    <w:basedOn w:val="a1"/>
    <w:uiPriority w:val="99"/>
    <w:rsid w:val="009C75DC"/>
    <w:pPr>
      <w:suppressAutoHyphens w:val="0"/>
      <w:spacing w:line="360" w:lineRule="auto"/>
      <w:jc w:val="center"/>
    </w:pPr>
    <w:rPr>
      <w:rFonts w:ascii="Arial" w:eastAsia="Times New Roman" w:hAnsi="Arial" w:cs="Times New Roman"/>
      <w:bCs/>
      <w:sz w:val="24"/>
      <w:szCs w:val="36"/>
    </w:rPr>
  </w:style>
  <w:style w:type="numbering" w:customStyle="1" w:styleId="List54">
    <w:name w:val="List 54"/>
    <w:basedOn w:val="a4"/>
    <w:rsid w:val="007F1CBE"/>
    <w:pPr>
      <w:numPr>
        <w:numId w:val="2"/>
      </w:numPr>
    </w:pPr>
  </w:style>
  <w:style w:type="numbering" w:customStyle="1" w:styleId="List55">
    <w:name w:val="List 55"/>
    <w:basedOn w:val="a4"/>
    <w:rsid w:val="007F1CBE"/>
    <w:pPr>
      <w:numPr>
        <w:numId w:val="3"/>
      </w:numPr>
    </w:pPr>
  </w:style>
  <w:style w:type="numbering" w:customStyle="1" w:styleId="List50">
    <w:name w:val="List 50"/>
    <w:basedOn w:val="a4"/>
    <w:rsid w:val="00F71034"/>
    <w:pPr>
      <w:numPr>
        <w:numId w:val="4"/>
      </w:numPr>
    </w:pPr>
  </w:style>
  <w:style w:type="paragraph" w:customStyle="1" w:styleId="af6">
    <w:name w:val="Пункт_нормативн_документа"/>
    <w:basedOn w:val="a6"/>
    <w:uiPriority w:val="99"/>
    <w:rsid w:val="009408DD"/>
    <w:pPr>
      <w:tabs>
        <w:tab w:val="left" w:pos="567"/>
        <w:tab w:val="num" w:pos="1332"/>
      </w:tabs>
      <w:suppressAutoHyphens w:val="0"/>
      <w:spacing w:before="60"/>
      <w:ind w:left="1332" w:hanging="432"/>
      <w:jc w:val="both"/>
    </w:pPr>
    <w:rPr>
      <w:rFonts w:ascii="Times New Roman" w:eastAsia="Times New Roman" w:hAnsi="Times New Roman" w:cs="Times New Roman"/>
      <w:bCs w:val="0"/>
      <w:sz w:val="24"/>
      <w:szCs w:val="24"/>
      <w:lang w:val="x-none" w:eastAsia="x-none"/>
    </w:rPr>
  </w:style>
  <w:style w:type="paragraph" w:customStyle="1" w:styleId="14">
    <w:name w:val="Абзац списка1"/>
    <w:basedOn w:val="a1"/>
    <w:rsid w:val="006D5103"/>
    <w:pPr>
      <w:spacing w:after="200" w:line="276" w:lineRule="auto"/>
      <w:ind w:left="720"/>
    </w:pPr>
    <w:rPr>
      <w:rFonts w:ascii="Calibri" w:eastAsia="Times New Roman" w:hAnsi="Calibri" w:cs="Times New Roman"/>
      <w:sz w:val="22"/>
      <w:szCs w:val="22"/>
      <w:lang w:eastAsia="ar-SA"/>
    </w:rPr>
  </w:style>
  <w:style w:type="paragraph" w:customStyle="1" w:styleId="15">
    <w:name w:val="заголовок 1"/>
    <w:basedOn w:val="a1"/>
    <w:next w:val="a1"/>
    <w:rsid w:val="00441CA1"/>
    <w:pPr>
      <w:keepNext/>
      <w:suppressAutoHyphens w:val="0"/>
      <w:ind w:left="720" w:hanging="720"/>
      <w:jc w:val="center"/>
    </w:pPr>
    <w:rPr>
      <w:rFonts w:ascii="Arial" w:eastAsia="Times New Roman" w:hAnsi="Arial" w:cs="Arial"/>
      <w:b/>
      <w:bCs/>
    </w:rPr>
  </w:style>
  <w:style w:type="paragraph" w:customStyle="1" w:styleId="af7">
    <w:name w:val="Список с точкой"/>
    <w:basedOn w:val="a1"/>
    <w:uiPriority w:val="99"/>
    <w:rsid w:val="004B3FDB"/>
    <w:pPr>
      <w:tabs>
        <w:tab w:val="num" w:pos="1552"/>
      </w:tabs>
      <w:suppressAutoHyphens w:val="0"/>
      <w:spacing w:before="180" w:after="60"/>
      <w:ind w:left="1203" w:hanging="11"/>
    </w:pPr>
    <w:rPr>
      <w:rFonts w:ascii="Garamond" w:eastAsia="Times New Roman" w:hAnsi="Garamond" w:cs="Times New Roman"/>
      <w:sz w:val="22"/>
      <w:lang w:eastAsia="en-US"/>
    </w:rPr>
  </w:style>
  <w:style w:type="paragraph" w:customStyle="1" w:styleId="81">
    <w:name w:val="Абзац списка8"/>
    <w:basedOn w:val="a1"/>
    <w:rsid w:val="004B3FDB"/>
    <w:pPr>
      <w:suppressAutoHyphens w:val="0"/>
      <w:ind w:left="708"/>
      <w:jc w:val="both"/>
    </w:pPr>
    <w:rPr>
      <w:rFonts w:ascii="Garamond" w:eastAsia="Times New Roman" w:hAnsi="Garamond" w:cs="Times New Roman"/>
      <w:sz w:val="22"/>
      <w:szCs w:val="24"/>
    </w:rPr>
  </w:style>
  <w:style w:type="paragraph" w:styleId="af8">
    <w:name w:val="header"/>
    <w:basedOn w:val="a1"/>
    <w:link w:val="af9"/>
    <w:uiPriority w:val="99"/>
    <w:unhideWhenUsed/>
    <w:rsid w:val="004B3FDB"/>
    <w:pPr>
      <w:widowControl w:val="0"/>
      <w:tabs>
        <w:tab w:val="center" w:pos="4677"/>
        <w:tab w:val="right" w:pos="9355"/>
      </w:tabs>
      <w:suppressAutoHyphens w:val="0"/>
      <w:adjustRightInd w:val="0"/>
      <w:jc w:val="both"/>
      <w:textAlignment w:val="baseline"/>
    </w:pPr>
    <w:rPr>
      <w:rFonts w:ascii="Times New Roman" w:eastAsia="Times New Roman" w:hAnsi="Times New Roman" w:cs="Times New Roman"/>
      <w:sz w:val="24"/>
      <w:szCs w:val="24"/>
    </w:rPr>
  </w:style>
  <w:style w:type="character" w:customStyle="1" w:styleId="af9">
    <w:name w:val="Верхний колонтитул Знак"/>
    <w:basedOn w:val="a2"/>
    <w:link w:val="af8"/>
    <w:uiPriority w:val="99"/>
    <w:rsid w:val="004B3FDB"/>
    <w:rPr>
      <w:rFonts w:ascii="Times New Roman" w:eastAsia="Times New Roman" w:hAnsi="Times New Roman" w:cs="Times New Roman"/>
      <w:sz w:val="24"/>
      <w:szCs w:val="24"/>
      <w:lang w:eastAsia="ru-RU"/>
    </w:rPr>
  </w:style>
  <w:style w:type="paragraph" w:styleId="afa">
    <w:name w:val="footnote text"/>
    <w:link w:val="afb"/>
    <w:uiPriority w:val="99"/>
    <w:rsid w:val="00D8397E"/>
    <w:pPr>
      <w:spacing w:after="0" w:line="240" w:lineRule="auto"/>
    </w:pPr>
    <w:rPr>
      <w:rFonts w:ascii="Times New Roman" w:eastAsia="Times New Roman" w:hAnsi="Times New Roman" w:cs="Times New Roman"/>
      <w:sz w:val="16"/>
      <w:szCs w:val="20"/>
      <w:lang w:eastAsia="ru-RU"/>
    </w:rPr>
  </w:style>
  <w:style w:type="character" w:customStyle="1" w:styleId="afb">
    <w:name w:val="Текст сноски Знак"/>
    <w:basedOn w:val="a2"/>
    <w:link w:val="afa"/>
    <w:uiPriority w:val="99"/>
    <w:rsid w:val="00D8397E"/>
    <w:rPr>
      <w:rFonts w:ascii="Times New Roman" w:eastAsia="Times New Roman" w:hAnsi="Times New Roman" w:cs="Times New Roman"/>
      <w:sz w:val="16"/>
      <w:szCs w:val="20"/>
      <w:lang w:eastAsia="ru-RU"/>
    </w:rPr>
  </w:style>
  <w:style w:type="numbering" w:customStyle="1" w:styleId="List47">
    <w:name w:val="List 47"/>
    <w:basedOn w:val="a4"/>
    <w:rsid w:val="006F24C1"/>
    <w:pPr>
      <w:numPr>
        <w:numId w:val="5"/>
      </w:numPr>
    </w:pPr>
  </w:style>
  <w:style w:type="paragraph" w:styleId="afc">
    <w:name w:val="Revision"/>
    <w:hidden/>
    <w:uiPriority w:val="99"/>
    <w:semiHidden/>
    <w:rsid w:val="00D907D4"/>
    <w:pPr>
      <w:spacing w:after="0" w:line="240" w:lineRule="auto"/>
    </w:pPr>
    <w:rPr>
      <w:rFonts w:eastAsia="Cambria" w:cs="Cambria"/>
      <w:sz w:val="20"/>
      <w:szCs w:val="20"/>
      <w:lang w:eastAsia="ru-RU"/>
    </w:rPr>
  </w:style>
  <w:style w:type="character" w:styleId="afd">
    <w:name w:val="Placeholder Text"/>
    <w:basedOn w:val="a2"/>
    <w:uiPriority w:val="99"/>
    <w:semiHidden/>
    <w:rsid w:val="00CF3184"/>
    <w:rPr>
      <w:color w:val="808080"/>
    </w:rPr>
  </w:style>
  <w:style w:type="paragraph" w:customStyle="1" w:styleId="25">
    <w:name w:val="Абзац списка2"/>
    <w:basedOn w:val="a1"/>
    <w:uiPriority w:val="99"/>
    <w:rsid w:val="000C2052"/>
    <w:pPr>
      <w:suppressAutoHyphens w:val="0"/>
      <w:ind w:left="708"/>
      <w:jc w:val="both"/>
    </w:pPr>
    <w:rPr>
      <w:rFonts w:ascii="Garamond" w:eastAsia="Times New Roman" w:hAnsi="Garamond" w:cs="Times New Roman"/>
      <w:sz w:val="22"/>
      <w:szCs w:val="24"/>
    </w:rPr>
  </w:style>
  <w:style w:type="table" w:styleId="afe">
    <w:name w:val="Table Grid"/>
    <w:basedOn w:val="a3"/>
    <w:uiPriority w:val="99"/>
    <w:rsid w:val="0077736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0">
    <w:name w:val="Заголовок 5 Знак"/>
    <w:aliases w:val="h5 Знак1,h51 Знак1,H5 Знак1,H51 Знак1,h52 Знак1,test Знак1,Block Label Знак1,Level 3 - i Знак"/>
    <w:basedOn w:val="a2"/>
    <w:link w:val="5"/>
    <w:uiPriority w:val="9"/>
    <w:rsid w:val="00AB0FC7"/>
    <w:rPr>
      <w:rFonts w:asciiTheme="majorHAnsi" w:eastAsiaTheme="majorEastAsia" w:hAnsiTheme="majorHAnsi" w:cstheme="majorBidi"/>
      <w:color w:val="2E74B5" w:themeColor="accent1" w:themeShade="BF"/>
      <w:sz w:val="20"/>
      <w:szCs w:val="20"/>
      <w:lang w:eastAsia="ru-RU"/>
    </w:rPr>
  </w:style>
  <w:style w:type="character" w:customStyle="1" w:styleId="70">
    <w:name w:val="Заголовок 7 Знак"/>
    <w:aliases w:val="Appendix Header Знак1,Legal Level 1.1. Знак"/>
    <w:basedOn w:val="a2"/>
    <w:link w:val="7"/>
    <w:uiPriority w:val="9"/>
    <w:rsid w:val="00AB0FC7"/>
    <w:rPr>
      <w:rFonts w:ascii="Garamond" w:eastAsia="Times New Roman" w:hAnsi="Garamond" w:cs="Times New Roman"/>
      <w:szCs w:val="20"/>
      <w:lang w:val="en-GB" w:eastAsia="ru-RU"/>
    </w:rPr>
  </w:style>
  <w:style w:type="character" w:customStyle="1" w:styleId="80">
    <w:name w:val="Заголовок 8 Знак"/>
    <w:aliases w:val="Legal Level 1.1.1. Знак"/>
    <w:basedOn w:val="a2"/>
    <w:link w:val="8"/>
    <w:uiPriority w:val="9"/>
    <w:rsid w:val="00AB0FC7"/>
    <w:rPr>
      <w:rFonts w:ascii="Arial" w:eastAsia="Times New Roman" w:hAnsi="Arial" w:cs="Times New Roman"/>
      <w:i/>
      <w:sz w:val="20"/>
      <w:szCs w:val="20"/>
      <w:lang w:val="en-GB" w:eastAsia="ru-RU"/>
    </w:rPr>
  </w:style>
  <w:style w:type="character" w:customStyle="1" w:styleId="90">
    <w:name w:val="Заголовок 9 Знак"/>
    <w:aliases w:val="Legal Level 1.1.1.1. Знак"/>
    <w:basedOn w:val="a2"/>
    <w:link w:val="9"/>
    <w:uiPriority w:val="9"/>
    <w:rsid w:val="00AB0FC7"/>
    <w:rPr>
      <w:rFonts w:ascii="Arial" w:eastAsia="Times New Roman" w:hAnsi="Arial" w:cs="Times New Roman"/>
      <w:i/>
      <w:sz w:val="18"/>
      <w:szCs w:val="20"/>
      <w:lang w:val="en-GB" w:eastAsia="ru-RU"/>
    </w:rPr>
  </w:style>
  <w:style w:type="numbering" w:customStyle="1" w:styleId="16">
    <w:name w:val="Нет списка1"/>
    <w:next w:val="a4"/>
    <w:uiPriority w:val="99"/>
    <w:semiHidden/>
    <w:rsid w:val="00AB0FC7"/>
  </w:style>
  <w:style w:type="character" w:styleId="aff">
    <w:name w:val="Hyperlink"/>
    <w:uiPriority w:val="99"/>
    <w:rsid w:val="00AB0FC7"/>
    <w:rPr>
      <w:rFonts w:ascii="Times New Roman" w:hAnsi="Times New Roman" w:cs="Times New Roman" w:hint="default"/>
      <w:color w:val="0000FF"/>
      <w:u w:val="single"/>
    </w:rPr>
  </w:style>
  <w:style w:type="character" w:styleId="aff0">
    <w:name w:val="FollowedHyperlink"/>
    <w:uiPriority w:val="99"/>
    <w:rsid w:val="00AB0FC7"/>
    <w:rPr>
      <w:color w:val="800080"/>
      <w:u w:val="single"/>
    </w:rPr>
  </w:style>
  <w:style w:type="character" w:styleId="HTML">
    <w:name w:val="HTML Code"/>
    <w:rsid w:val="00AB0FC7"/>
    <w:rPr>
      <w:rFonts w:ascii="Courier New" w:eastAsia="Times New Roman" w:hAnsi="Courier New" w:cs="Courier New" w:hint="default"/>
      <w:sz w:val="20"/>
      <w:szCs w:val="20"/>
    </w:rPr>
  </w:style>
  <w:style w:type="paragraph" w:styleId="HTML0">
    <w:name w:val="HTML Preformatted"/>
    <w:basedOn w:val="a1"/>
    <w:link w:val="HTML1"/>
    <w:uiPriority w:val="99"/>
    <w:rsid w:val="00AB0F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pPr>
    <w:rPr>
      <w:rFonts w:ascii="Courier New" w:eastAsia="Times New Roman" w:hAnsi="Courier New" w:cs="Courier New"/>
    </w:rPr>
  </w:style>
  <w:style w:type="character" w:customStyle="1" w:styleId="HTML1">
    <w:name w:val="Стандартный HTML Знак"/>
    <w:basedOn w:val="a2"/>
    <w:link w:val="HTML0"/>
    <w:uiPriority w:val="99"/>
    <w:rsid w:val="00AB0FC7"/>
    <w:rPr>
      <w:rFonts w:ascii="Courier New" w:eastAsia="Times New Roman" w:hAnsi="Courier New" w:cs="Courier New"/>
      <w:sz w:val="20"/>
      <w:szCs w:val="20"/>
      <w:lang w:eastAsia="ru-RU"/>
    </w:rPr>
  </w:style>
  <w:style w:type="paragraph" w:styleId="aff1">
    <w:name w:val="Normal (Web)"/>
    <w:basedOn w:val="a1"/>
    <w:uiPriority w:val="99"/>
    <w:rsid w:val="00AB0FC7"/>
    <w:pPr>
      <w:suppressAutoHyphens w:val="0"/>
      <w:spacing w:before="100" w:beforeAutospacing="1" w:after="100" w:afterAutospacing="1"/>
    </w:pPr>
    <w:rPr>
      <w:rFonts w:ascii="Times New Roman" w:eastAsia="Times New Roman" w:hAnsi="Times New Roman" w:cs="Times New Roman"/>
      <w:sz w:val="24"/>
      <w:szCs w:val="24"/>
    </w:rPr>
  </w:style>
  <w:style w:type="paragraph" w:styleId="17">
    <w:name w:val="toc 1"/>
    <w:basedOn w:val="a1"/>
    <w:next w:val="a1"/>
    <w:autoRedefine/>
    <w:uiPriority w:val="99"/>
    <w:rsid w:val="00AB0FC7"/>
    <w:pPr>
      <w:tabs>
        <w:tab w:val="left" w:pos="480"/>
        <w:tab w:val="right" w:leader="dot" w:pos="9344"/>
      </w:tabs>
      <w:suppressAutoHyphens w:val="0"/>
      <w:jc w:val="center"/>
    </w:pPr>
    <w:rPr>
      <w:rFonts w:ascii="Garamond" w:eastAsia="Times New Roman" w:hAnsi="Garamond" w:cs="Times New Roman"/>
      <w:sz w:val="18"/>
      <w:szCs w:val="18"/>
    </w:rPr>
  </w:style>
  <w:style w:type="paragraph" w:styleId="26">
    <w:name w:val="toc 2"/>
    <w:basedOn w:val="a1"/>
    <w:next w:val="a1"/>
    <w:autoRedefine/>
    <w:uiPriority w:val="39"/>
    <w:rsid w:val="00AB0FC7"/>
    <w:pPr>
      <w:tabs>
        <w:tab w:val="right" w:leader="dot" w:pos="9856"/>
      </w:tabs>
      <w:suppressAutoHyphens w:val="0"/>
    </w:pPr>
    <w:rPr>
      <w:rFonts w:ascii="Garamond" w:eastAsia="Times New Roman" w:hAnsi="Garamond" w:cs="Times New Roman"/>
      <w:sz w:val="22"/>
    </w:rPr>
  </w:style>
  <w:style w:type="paragraph" w:styleId="32">
    <w:name w:val="toc 3"/>
    <w:basedOn w:val="a1"/>
    <w:next w:val="a1"/>
    <w:autoRedefine/>
    <w:uiPriority w:val="39"/>
    <w:rsid w:val="00AB0FC7"/>
    <w:pPr>
      <w:suppressAutoHyphens w:val="0"/>
      <w:ind w:left="440"/>
    </w:pPr>
    <w:rPr>
      <w:rFonts w:ascii="Garamond" w:eastAsia="Times New Roman" w:hAnsi="Garamond" w:cs="Times New Roman"/>
      <w:sz w:val="22"/>
    </w:rPr>
  </w:style>
  <w:style w:type="paragraph" w:styleId="27">
    <w:name w:val="List Number 2"/>
    <w:basedOn w:val="a1"/>
    <w:uiPriority w:val="99"/>
    <w:rsid w:val="00AB0FC7"/>
    <w:pPr>
      <w:keepNext/>
      <w:keepLines/>
      <w:tabs>
        <w:tab w:val="num" w:pos="643"/>
        <w:tab w:val="left" w:pos="1260"/>
      </w:tabs>
      <w:suppressAutoHyphens w:val="0"/>
      <w:spacing w:before="120"/>
      <w:ind w:left="643" w:hanging="360"/>
      <w:jc w:val="both"/>
    </w:pPr>
    <w:rPr>
      <w:rFonts w:ascii="Garamond" w:eastAsia="Times New Roman" w:hAnsi="Garamond" w:cs="Times New Roman"/>
      <w:sz w:val="22"/>
      <w:lang w:eastAsia="en-US"/>
    </w:rPr>
  </w:style>
  <w:style w:type="paragraph" w:styleId="aff2">
    <w:name w:val="Title"/>
    <w:basedOn w:val="a1"/>
    <w:link w:val="aff3"/>
    <w:uiPriority w:val="99"/>
    <w:qFormat/>
    <w:rsid w:val="00AB0FC7"/>
    <w:pPr>
      <w:suppressAutoHyphens w:val="0"/>
      <w:jc w:val="center"/>
    </w:pPr>
    <w:rPr>
      <w:rFonts w:ascii="Garamond" w:eastAsia="Times New Roman" w:hAnsi="Garamond" w:cs="Times New Roman"/>
      <w:b/>
      <w:smallCaps/>
      <w:sz w:val="28"/>
    </w:rPr>
  </w:style>
  <w:style w:type="character" w:customStyle="1" w:styleId="aff3">
    <w:name w:val="Заголовок Знак"/>
    <w:basedOn w:val="a2"/>
    <w:link w:val="aff2"/>
    <w:uiPriority w:val="99"/>
    <w:rsid w:val="00AB0FC7"/>
    <w:rPr>
      <w:rFonts w:ascii="Garamond" w:eastAsia="Times New Roman" w:hAnsi="Garamond" w:cs="Times New Roman"/>
      <w:b/>
      <w:smallCaps/>
      <w:sz w:val="28"/>
      <w:szCs w:val="20"/>
      <w:lang w:eastAsia="ru-RU"/>
    </w:rPr>
  </w:style>
  <w:style w:type="paragraph" w:styleId="aff4">
    <w:name w:val="Subtitle"/>
    <w:basedOn w:val="a1"/>
    <w:link w:val="aff5"/>
    <w:uiPriority w:val="99"/>
    <w:qFormat/>
    <w:rsid w:val="00AB0FC7"/>
    <w:pPr>
      <w:suppressAutoHyphens w:val="0"/>
      <w:jc w:val="center"/>
    </w:pPr>
    <w:rPr>
      <w:rFonts w:ascii="Garamond" w:eastAsia="Times New Roman" w:hAnsi="Garamond" w:cs="Times New Roman"/>
      <w:caps/>
      <w:sz w:val="28"/>
    </w:rPr>
  </w:style>
  <w:style w:type="character" w:customStyle="1" w:styleId="aff5">
    <w:name w:val="Подзаголовок Знак"/>
    <w:basedOn w:val="a2"/>
    <w:link w:val="aff4"/>
    <w:uiPriority w:val="99"/>
    <w:rsid w:val="00AB0FC7"/>
    <w:rPr>
      <w:rFonts w:ascii="Garamond" w:eastAsia="Times New Roman" w:hAnsi="Garamond" w:cs="Times New Roman"/>
      <w:caps/>
      <w:sz w:val="28"/>
      <w:szCs w:val="20"/>
      <w:lang w:eastAsia="ru-RU"/>
    </w:rPr>
  </w:style>
  <w:style w:type="paragraph" w:styleId="28">
    <w:name w:val="Body Text 2"/>
    <w:basedOn w:val="a1"/>
    <w:link w:val="29"/>
    <w:uiPriority w:val="99"/>
    <w:rsid w:val="00AB0FC7"/>
    <w:pPr>
      <w:suppressAutoHyphens w:val="0"/>
      <w:spacing w:after="120" w:line="480" w:lineRule="auto"/>
    </w:pPr>
    <w:rPr>
      <w:rFonts w:ascii="Garamond" w:eastAsia="Times New Roman" w:hAnsi="Garamond" w:cs="Times New Roman"/>
      <w:sz w:val="22"/>
    </w:rPr>
  </w:style>
  <w:style w:type="character" w:customStyle="1" w:styleId="29">
    <w:name w:val="Основной текст 2 Знак"/>
    <w:basedOn w:val="a2"/>
    <w:link w:val="28"/>
    <w:uiPriority w:val="99"/>
    <w:rsid w:val="00AB0FC7"/>
    <w:rPr>
      <w:rFonts w:ascii="Garamond" w:eastAsia="Times New Roman" w:hAnsi="Garamond" w:cs="Times New Roman"/>
      <w:szCs w:val="20"/>
      <w:lang w:eastAsia="ru-RU"/>
    </w:rPr>
  </w:style>
  <w:style w:type="paragraph" w:styleId="33">
    <w:name w:val="Body Text 3"/>
    <w:basedOn w:val="a1"/>
    <w:link w:val="34"/>
    <w:rsid w:val="00AB0FC7"/>
    <w:pPr>
      <w:suppressAutoHyphens w:val="0"/>
      <w:spacing w:before="120" w:line="360" w:lineRule="auto"/>
      <w:jc w:val="both"/>
    </w:pPr>
    <w:rPr>
      <w:rFonts w:ascii="Garamond" w:eastAsia="Times New Roman" w:hAnsi="Garamond" w:cs="Times New Roman"/>
      <w:sz w:val="22"/>
    </w:rPr>
  </w:style>
  <w:style w:type="character" w:customStyle="1" w:styleId="34">
    <w:name w:val="Основной текст 3 Знак"/>
    <w:basedOn w:val="a2"/>
    <w:link w:val="33"/>
    <w:rsid w:val="00AB0FC7"/>
    <w:rPr>
      <w:rFonts w:ascii="Garamond" w:eastAsia="Times New Roman" w:hAnsi="Garamond" w:cs="Times New Roman"/>
      <w:szCs w:val="20"/>
      <w:lang w:eastAsia="ru-RU"/>
    </w:rPr>
  </w:style>
  <w:style w:type="paragraph" w:styleId="35">
    <w:name w:val="Body Text Indent 3"/>
    <w:basedOn w:val="a1"/>
    <w:link w:val="36"/>
    <w:uiPriority w:val="99"/>
    <w:rsid w:val="00AB0FC7"/>
    <w:pPr>
      <w:suppressAutoHyphens w:val="0"/>
      <w:spacing w:after="120"/>
      <w:ind w:left="283"/>
    </w:pPr>
    <w:rPr>
      <w:rFonts w:ascii="Garamond" w:eastAsia="Times New Roman" w:hAnsi="Garamond" w:cs="Times New Roman"/>
      <w:sz w:val="16"/>
      <w:szCs w:val="16"/>
    </w:rPr>
  </w:style>
  <w:style w:type="character" w:customStyle="1" w:styleId="36">
    <w:name w:val="Основной текст с отступом 3 Знак"/>
    <w:basedOn w:val="a2"/>
    <w:link w:val="35"/>
    <w:uiPriority w:val="99"/>
    <w:rsid w:val="00AB0FC7"/>
    <w:rPr>
      <w:rFonts w:ascii="Garamond" w:eastAsia="Times New Roman" w:hAnsi="Garamond" w:cs="Times New Roman"/>
      <w:sz w:val="16"/>
      <w:szCs w:val="16"/>
      <w:lang w:eastAsia="ru-RU"/>
    </w:rPr>
  </w:style>
  <w:style w:type="character" w:customStyle="1" w:styleId="aff6">
    <w:name w:val="Схема документа Знак"/>
    <w:link w:val="aff7"/>
    <w:uiPriority w:val="99"/>
    <w:semiHidden/>
    <w:locked/>
    <w:rsid w:val="00AB0FC7"/>
    <w:rPr>
      <w:rFonts w:ascii="Tahoma" w:hAnsi="Tahoma" w:cs="Tahoma"/>
      <w:shd w:val="clear" w:color="auto" w:fill="000080"/>
      <w:lang w:eastAsia="ru-RU"/>
    </w:rPr>
  </w:style>
  <w:style w:type="paragraph" w:styleId="aff7">
    <w:name w:val="Document Map"/>
    <w:basedOn w:val="a1"/>
    <w:link w:val="aff6"/>
    <w:uiPriority w:val="99"/>
    <w:semiHidden/>
    <w:rsid w:val="00AB0FC7"/>
    <w:pPr>
      <w:shd w:val="clear" w:color="auto" w:fill="000080"/>
      <w:suppressAutoHyphens w:val="0"/>
    </w:pPr>
    <w:rPr>
      <w:rFonts w:ascii="Tahoma" w:eastAsiaTheme="minorHAnsi" w:hAnsi="Tahoma" w:cs="Tahoma"/>
      <w:sz w:val="22"/>
      <w:szCs w:val="22"/>
    </w:rPr>
  </w:style>
  <w:style w:type="character" w:customStyle="1" w:styleId="18">
    <w:name w:val="Схема документа Знак1"/>
    <w:basedOn w:val="a2"/>
    <w:uiPriority w:val="99"/>
    <w:semiHidden/>
    <w:rsid w:val="00AB0FC7"/>
    <w:rPr>
      <w:rFonts w:ascii="Segoe UI" w:eastAsia="Cambria" w:hAnsi="Segoe UI" w:cs="Segoe UI"/>
      <w:sz w:val="16"/>
      <w:szCs w:val="16"/>
      <w:lang w:eastAsia="ru-RU"/>
    </w:rPr>
  </w:style>
  <w:style w:type="paragraph" w:styleId="aff8">
    <w:name w:val="Plain Text"/>
    <w:basedOn w:val="a1"/>
    <w:link w:val="aff9"/>
    <w:uiPriority w:val="99"/>
    <w:rsid w:val="00AB0FC7"/>
    <w:pPr>
      <w:suppressAutoHyphens w:val="0"/>
    </w:pPr>
    <w:rPr>
      <w:rFonts w:ascii="Courier New" w:eastAsia="SimSun" w:hAnsi="Courier New" w:cs="Courier New"/>
      <w:lang w:eastAsia="zh-CN"/>
    </w:rPr>
  </w:style>
  <w:style w:type="character" w:customStyle="1" w:styleId="aff9">
    <w:name w:val="Текст Знак"/>
    <w:basedOn w:val="a2"/>
    <w:link w:val="aff8"/>
    <w:uiPriority w:val="99"/>
    <w:rsid w:val="00AB0FC7"/>
    <w:rPr>
      <w:rFonts w:ascii="Courier New" w:eastAsia="SimSun" w:hAnsi="Courier New" w:cs="Courier New"/>
      <w:sz w:val="20"/>
      <w:szCs w:val="20"/>
      <w:lang w:eastAsia="zh-CN"/>
    </w:rPr>
  </w:style>
  <w:style w:type="paragraph" w:customStyle="1" w:styleId="affa">
    <w:name w:val="Знак"/>
    <w:basedOn w:val="a1"/>
    <w:uiPriority w:val="99"/>
    <w:rsid w:val="00AB0FC7"/>
    <w:pPr>
      <w:suppressAutoHyphens w:val="0"/>
      <w:spacing w:after="160" w:line="240" w:lineRule="exact"/>
    </w:pPr>
    <w:rPr>
      <w:rFonts w:ascii="Verdana" w:eastAsia="Times New Roman" w:hAnsi="Verdana" w:cs="Verdana"/>
      <w:lang w:val="en-US" w:eastAsia="en-US"/>
    </w:rPr>
  </w:style>
  <w:style w:type="paragraph" w:customStyle="1" w:styleId="xl23">
    <w:name w:val="xl23"/>
    <w:basedOn w:val="a1"/>
    <w:rsid w:val="00AB0FC7"/>
    <w:pPr>
      <w:suppressAutoHyphens w:val="0"/>
      <w:spacing w:before="100" w:beforeAutospacing="1" w:after="100" w:afterAutospacing="1"/>
    </w:pPr>
    <w:rPr>
      <w:rFonts w:ascii="Arial Unicode MS" w:eastAsia="Arial Unicode MS" w:hAnsi="Arial Unicode MS" w:cs="Times New Roman"/>
      <w:sz w:val="24"/>
      <w:szCs w:val="24"/>
    </w:rPr>
  </w:style>
  <w:style w:type="paragraph" w:customStyle="1" w:styleId="affb">
    <w:name w:val="Нумерация"/>
    <w:basedOn w:val="a1"/>
    <w:next w:val="a1"/>
    <w:uiPriority w:val="99"/>
    <w:rsid w:val="00AB0FC7"/>
    <w:pPr>
      <w:suppressAutoHyphens w:val="0"/>
      <w:spacing w:before="120"/>
      <w:jc w:val="center"/>
    </w:pPr>
    <w:rPr>
      <w:rFonts w:ascii="Garamond" w:eastAsia="Times New Roman" w:hAnsi="Garamond" w:cs="Times New Roman"/>
      <w:sz w:val="22"/>
    </w:rPr>
  </w:style>
  <w:style w:type="paragraph" w:customStyle="1" w:styleId="clauseindent">
    <w:name w:val="clauseindent"/>
    <w:basedOn w:val="a1"/>
    <w:uiPriority w:val="99"/>
    <w:rsid w:val="00AB0FC7"/>
    <w:pPr>
      <w:suppressAutoHyphens w:val="0"/>
      <w:spacing w:before="120" w:after="120"/>
      <w:ind w:left="426"/>
      <w:jc w:val="both"/>
    </w:pPr>
    <w:rPr>
      <w:rFonts w:ascii="Garamond" w:eastAsia="Times New Roman" w:hAnsi="Garamond" w:cs="Times New Roman"/>
      <w:i/>
      <w:sz w:val="22"/>
      <w:lang w:eastAsia="en-US"/>
    </w:rPr>
  </w:style>
  <w:style w:type="paragraph" w:customStyle="1" w:styleId="19">
    <w:name w:val="Нумерованный список 1"/>
    <w:basedOn w:val="a1"/>
    <w:autoRedefine/>
    <w:uiPriority w:val="99"/>
    <w:rsid w:val="00AB0FC7"/>
    <w:pPr>
      <w:tabs>
        <w:tab w:val="num" w:pos="1980"/>
      </w:tabs>
      <w:suppressAutoHyphens w:val="0"/>
      <w:spacing w:before="120" w:after="120"/>
      <w:ind w:left="1960" w:hanging="340"/>
      <w:jc w:val="both"/>
    </w:pPr>
    <w:rPr>
      <w:rFonts w:ascii="Arial" w:eastAsia="Times New Roman" w:hAnsi="Arial" w:cs="Times New Roman"/>
    </w:rPr>
  </w:style>
  <w:style w:type="paragraph" w:customStyle="1" w:styleId="MTDisplayEquation">
    <w:name w:val="MTDisplayEquation"/>
    <w:basedOn w:val="a1"/>
    <w:uiPriority w:val="99"/>
    <w:rsid w:val="00AB0FC7"/>
    <w:pPr>
      <w:tabs>
        <w:tab w:val="num" w:pos="720"/>
        <w:tab w:val="center" w:pos="4720"/>
      </w:tabs>
      <w:suppressAutoHyphens w:val="0"/>
      <w:spacing w:before="60" w:after="60"/>
      <w:ind w:left="540" w:hanging="540"/>
      <w:jc w:val="both"/>
    </w:pPr>
    <w:rPr>
      <w:rFonts w:ascii="Garamond" w:eastAsia="Times New Roman" w:hAnsi="Garamond" w:cs="Times New Roman"/>
      <w:sz w:val="22"/>
      <w:szCs w:val="22"/>
    </w:rPr>
  </w:style>
  <w:style w:type="paragraph" w:customStyle="1" w:styleId="xl24">
    <w:name w:val="xl24"/>
    <w:basedOn w:val="a1"/>
    <w:uiPriority w:val="99"/>
    <w:rsid w:val="00AB0FC7"/>
    <w:pPr>
      <w:pBdr>
        <w:bottom w:val="single" w:sz="4" w:space="0" w:color="auto"/>
        <w:right w:val="single" w:sz="4" w:space="0" w:color="auto"/>
      </w:pBdr>
      <w:suppressAutoHyphens w:val="0"/>
      <w:spacing w:before="100" w:beforeAutospacing="1" w:after="100" w:afterAutospacing="1"/>
      <w:jc w:val="center"/>
    </w:pPr>
    <w:rPr>
      <w:rFonts w:ascii="Garamond" w:eastAsia="Arial Unicode MS" w:hAnsi="Garamond" w:cs="Arial Unicode MS"/>
      <w:sz w:val="17"/>
      <w:szCs w:val="17"/>
    </w:rPr>
  </w:style>
  <w:style w:type="paragraph" w:customStyle="1" w:styleId="xl25">
    <w:name w:val="xl25"/>
    <w:basedOn w:val="a1"/>
    <w:uiPriority w:val="99"/>
    <w:rsid w:val="00AB0FC7"/>
    <w:pPr>
      <w:pBdr>
        <w:bottom w:val="single" w:sz="4" w:space="0" w:color="auto"/>
        <w:right w:val="single" w:sz="4" w:space="0" w:color="auto"/>
      </w:pBdr>
      <w:suppressAutoHyphens w:val="0"/>
      <w:spacing w:before="100" w:beforeAutospacing="1" w:after="100" w:afterAutospacing="1"/>
      <w:jc w:val="center"/>
    </w:pPr>
    <w:rPr>
      <w:rFonts w:ascii="Times New Roman" w:eastAsia="Arial Unicode MS" w:hAnsi="Times New Roman" w:cs="Times New Roman"/>
      <w:b/>
      <w:bCs/>
      <w:sz w:val="18"/>
      <w:szCs w:val="18"/>
    </w:rPr>
  </w:style>
  <w:style w:type="paragraph" w:customStyle="1" w:styleId="CharChar">
    <w:name w:val="Char Char"/>
    <w:basedOn w:val="a1"/>
    <w:uiPriority w:val="99"/>
    <w:rsid w:val="00AB0FC7"/>
    <w:pPr>
      <w:suppressAutoHyphens w:val="0"/>
      <w:spacing w:after="160" w:line="240" w:lineRule="exact"/>
    </w:pPr>
    <w:rPr>
      <w:rFonts w:ascii="Verdana" w:eastAsia="Times New Roman" w:hAnsi="Verdana" w:cs="Verdana"/>
      <w:lang w:val="en-US" w:eastAsia="en-US"/>
    </w:rPr>
  </w:style>
  <w:style w:type="paragraph" w:customStyle="1" w:styleId="Handbuchtitel">
    <w:name w:val="Handbuchtitel"/>
    <w:basedOn w:val="a1"/>
    <w:uiPriority w:val="99"/>
    <w:rsid w:val="00AB0FC7"/>
    <w:pPr>
      <w:suppressAutoHyphens w:val="0"/>
      <w:spacing w:before="120" w:after="200" w:line="270" w:lineRule="atLeast"/>
    </w:pPr>
    <w:rPr>
      <w:rFonts w:ascii="NewsGoth Dm BT" w:eastAsia="Times New Roman" w:hAnsi="NewsGoth Dm BT" w:cs="Times New Roman"/>
      <w:lang w:val="de-DE"/>
    </w:rPr>
  </w:style>
  <w:style w:type="paragraph" w:customStyle="1" w:styleId="CharChar1CharCharCharChar">
    <w:name w:val="Char Char1 Знак Знак Char Char Знак Знак Char Char"/>
    <w:basedOn w:val="a1"/>
    <w:uiPriority w:val="99"/>
    <w:rsid w:val="00AB0FC7"/>
    <w:pPr>
      <w:suppressAutoHyphens w:val="0"/>
      <w:spacing w:after="160" w:line="240" w:lineRule="exact"/>
    </w:pPr>
    <w:rPr>
      <w:rFonts w:ascii="Verdana" w:eastAsia="Times New Roman" w:hAnsi="Verdana" w:cs="Verdana"/>
      <w:lang w:val="en-US" w:eastAsia="en-US"/>
    </w:rPr>
  </w:style>
  <w:style w:type="paragraph" w:customStyle="1" w:styleId="37">
    <w:name w:val="Абзац списка3"/>
    <w:basedOn w:val="a1"/>
    <w:rsid w:val="00AB0FC7"/>
    <w:pPr>
      <w:spacing w:after="200" w:line="276" w:lineRule="auto"/>
      <w:ind w:left="720"/>
    </w:pPr>
    <w:rPr>
      <w:rFonts w:ascii="Calibri" w:eastAsia="Times New Roman" w:hAnsi="Calibri" w:cs="Times New Roman"/>
      <w:sz w:val="22"/>
      <w:szCs w:val="22"/>
      <w:lang w:eastAsia="ar-SA"/>
    </w:rPr>
  </w:style>
  <w:style w:type="character" w:styleId="affc">
    <w:name w:val="footnote reference"/>
    <w:uiPriority w:val="99"/>
    <w:semiHidden/>
    <w:rsid w:val="00AB0FC7"/>
    <w:rPr>
      <w:rFonts w:ascii="Times New Roman" w:hAnsi="Times New Roman" w:cs="Times New Roman" w:hint="default"/>
      <w:vertAlign w:val="superscript"/>
    </w:rPr>
  </w:style>
  <w:style w:type="character" w:customStyle="1" w:styleId="71">
    <w:name w:val="Знак Знак7"/>
    <w:uiPriority w:val="99"/>
    <w:rsid w:val="00AB0FC7"/>
    <w:rPr>
      <w:rFonts w:ascii="Times New Roman" w:eastAsia="Batang" w:hAnsi="Times New Roman" w:cs="Times New Roman" w:hint="default"/>
      <w:lang w:val="x-none" w:eastAsia="ko-KR"/>
    </w:rPr>
  </w:style>
  <w:style w:type="character" w:customStyle="1" w:styleId="52">
    <w:name w:val="Знак Знак5"/>
    <w:uiPriority w:val="99"/>
    <w:rsid w:val="00AB0FC7"/>
    <w:rPr>
      <w:rFonts w:ascii="Times New Roman" w:hAnsi="Times New Roman" w:cs="Times New Roman" w:hint="default"/>
      <w:sz w:val="24"/>
      <w:szCs w:val="24"/>
    </w:rPr>
  </w:style>
  <w:style w:type="character" w:customStyle="1" w:styleId="bodytext1">
    <w:name w:val="body text Знак Знак1"/>
    <w:uiPriority w:val="99"/>
    <w:rsid w:val="00AB0FC7"/>
    <w:rPr>
      <w:rFonts w:ascii="Times New Roman" w:hAnsi="Times New Roman" w:cs="Times New Roman" w:hint="default"/>
      <w:sz w:val="24"/>
      <w:szCs w:val="24"/>
      <w:lang w:val="ru-RU" w:eastAsia="ru-RU" w:bidi="ar-SA"/>
    </w:rPr>
  </w:style>
  <w:style w:type="character" w:customStyle="1" w:styleId="m1">
    <w:name w:val="m1"/>
    <w:uiPriority w:val="99"/>
    <w:rsid w:val="00AB0FC7"/>
    <w:rPr>
      <w:rFonts w:ascii="Times New Roman" w:hAnsi="Times New Roman" w:cs="Times New Roman" w:hint="default"/>
      <w:color w:val="0000FF"/>
    </w:rPr>
  </w:style>
  <w:style w:type="character" w:customStyle="1" w:styleId="t1">
    <w:name w:val="t1"/>
    <w:uiPriority w:val="99"/>
    <w:rsid w:val="00AB0FC7"/>
    <w:rPr>
      <w:rFonts w:ascii="Times New Roman" w:hAnsi="Times New Roman" w:cs="Times New Roman" w:hint="default"/>
      <w:color w:val="990000"/>
    </w:rPr>
  </w:style>
  <w:style w:type="table" w:customStyle="1" w:styleId="1a">
    <w:name w:val="Сетка таблицы1"/>
    <w:basedOn w:val="a3"/>
    <w:next w:val="afe"/>
    <w:uiPriority w:val="39"/>
    <w:rsid w:val="00AB0FC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cxspmiddle">
    <w:name w:val="msonormalcxspmiddle"/>
    <w:basedOn w:val="a1"/>
    <w:uiPriority w:val="99"/>
    <w:rsid w:val="00AB0FC7"/>
    <w:pPr>
      <w:suppressAutoHyphens w:val="0"/>
      <w:spacing w:before="100" w:beforeAutospacing="1" w:after="100" w:afterAutospacing="1"/>
    </w:pPr>
    <w:rPr>
      <w:rFonts w:ascii="Times New Roman" w:eastAsia="Times New Roman" w:hAnsi="Times New Roman" w:cs="Times New Roman"/>
      <w:sz w:val="24"/>
      <w:szCs w:val="24"/>
    </w:rPr>
  </w:style>
  <w:style w:type="paragraph" w:customStyle="1" w:styleId="subsubclauseindent">
    <w:name w:val="subsubclauseindent"/>
    <w:basedOn w:val="a1"/>
    <w:uiPriority w:val="99"/>
    <w:rsid w:val="00AB0FC7"/>
    <w:pPr>
      <w:suppressAutoHyphens w:val="0"/>
      <w:spacing w:before="120" w:after="120"/>
      <w:ind w:left="2552"/>
      <w:jc w:val="both"/>
    </w:pPr>
    <w:rPr>
      <w:rFonts w:ascii="Times New Roman" w:eastAsia="Times New Roman" w:hAnsi="Times New Roman" w:cs="Times New Roman"/>
      <w:sz w:val="22"/>
      <w:lang w:val="en-GB" w:eastAsia="en-US"/>
    </w:rPr>
  </w:style>
  <w:style w:type="paragraph" w:styleId="affd">
    <w:name w:val="caption"/>
    <w:basedOn w:val="a1"/>
    <w:uiPriority w:val="99"/>
    <w:qFormat/>
    <w:rsid w:val="00AB0FC7"/>
    <w:pPr>
      <w:widowControl w:val="0"/>
      <w:suppressAutoHyphens w:val="0"/>
      <w:jc w:val="center"/>
    </w:pPr>
    <w:rPr>
      <w:rFonts w:ascii="Times New Roman" w:eastAsia="Times New Roman" w:hAnsi="Times New Roman" w:cs="Times New Roman"/>
      <w:sz w:val="24"/>
    </w:rPr>
  </w:style>
  <w:style w:type="character" w:customStyle="1" w:styleId="82">
    <w:name w:val="Знак Знак8"/>
    <w:locked/>
    <w:rsid w:val="00AB0FC7"/>
    <w:rPr>
      <w:rFonts w:cs="Times New Roman"/>
    </w:rPr>
  </w:style>
  <w:style w:type="character" w:customStyle="1" w:styleId="h2">
    <w:name w:val="h2 Знак"/>
    <w:aliases w:val="h21 Знак,5 Знак,Заголовок пункта (1.1) Знак Знак"/>
    <w:uiPriority w:val="99"/>
    <w:locked/>
    <w:rsid w:val="00AB0FC7"/>
    <w:rPr>
      <w:b/>
    </w:rPr>
  </w:style>
  <w:style w:type="character" w:customStyle="1" w:styleId="H4">
    <w:name w:val="H4 Знак"/>
    <w:aliases w:val="H41 Знак,Sub-Minor Знак,Level 2 - a Знак Знак"/>
    <w:uiPriority w:val="99"/>
    <w:locked/>
    <w:rsid w:val="00AB0FC7"/>
    <w:rPr>
      <w:rFonts w:cs="Times New Roman"/>
      <w:sz w:val="22"/>
    </w:rPr>
  </w:style>
  <w:style w:type="character" w:customStyle="1" w:styleId="h5">
    <w:name w:val="h5 Знак"/>
    <w:aliases w:val="h51 Знак,H5 Знак,H51 Знак,h52 Знак,test Знак,Block Label Знак,Level 3 - i Знак Знак"/>
    <w:uiPriority w:val="99"/>
    <w:locked/>
    <w:rsid w:val="00AB0FC7"/>
    <w:rPr>
      <w:rFonts w:ascii="Calibri" w:hAnsi="Calibri"/>
      <w:b/>
      <w:i/>
      <w:sz w:val="26"/>
    </w:rPr>
  </w:style>
  <w:style w:type="character" w:customStyle="1" w:styleId="LegalLevel1">
    <w:name w:val="Legal Level 1. Знак Знак"/>
    <w:uiPriority w:val="99"/>
    <w:locked/>
    <w:rsid w:val="00AB0FC7"/>
    <w:rPr>
      <w:rFonts w:cs="Times New Roman"/>
      <w:sz w:val="22"/>
    </w:rPr>
  </w:style>
  <w:style w:type="character" w:customStyle="1" w:styleId="AppendixHeader">
    <w:name w:val="Appendix Header Знак"/>
    <w:aliases w:val="Legal Level 1.1. Знак Знак"/>
    <w:uiPriority w:val="99"/>
    <w:locked/>
    <w:rsid w:val="00AB0FC7"/>
    <w:rPr>
      <w:rFonts w:ascii="Calibri" w:hAnsi="Calibri"/>
      <w:sz w:val="24"/>
    </w:rPr>
  </w:style>
  <w:style w:type="character" w:customStyle="1" w:styleId="LegalLevel111">
    <w:name w:val="Legal Level 1.1.1. Знак Знак"/>
    <w:uiPriority w:val="99"/>
    <w:locked/>
    <w:rsid w:val="00AB0FC7"/>
    <w:rPr>
      <w:rFonts w:ascii="Arial" w:hAnsi="Arial" w:cs="Times New Roman"/>
      <w:i/>
      <w:lang w:val="en-GB"/>
    </w:rPr>
  </w:style>
  <w:style w:type="character" w:customStyle="1" w:styleId="LegalLevel1111">
    <w:name w:val="Legal Level 1.1.1.1. Знак Знак"/>
    <w:uiPriority w:val="99"/>
    <w:locked/>
    <w:rsid w:val="00AB0FC7"/>
    <w:rPr>
      <w:rFonts w:ascii="Arial" w:hAnsi="Arial" w:cs="Times New Roman"/>
      <w:i/>
      <w:sz w:val="18"/>
      <w:lang w:val="en-GB"/>
    </w:rPr>
  </w:style>
  <w:style w:type="paragraph" w:customStyle="1" w:styleId="a0">
    <w:name w:val="Список_в_таблице_маркированный"/>
    <w:basedOn w:val="a1"/>
    <w:next w:val="a1"/>
    <w:uiPriority w:val="99"/>
    <w:rsid w:val="00AB0FC7"/>
    <w:pPr>
      <w:numPr>
        <w:numId w:val="6"/>
      </w:numPr>
      <w:tabs>
        <w:tab w:val="left" w:pos="170"/>
      </w:tabs>
      <w:suppressAutoHyphens w:val="0"/>
    </w:pPr>
    <w:rPr>
      <w:rFonts w:ascii="Times New Roman" w:eastAsia="Times New Roman" w:hAnsi="Times New Roman" w:cs="Times New Roman"/>
    </w:rPr>
  </w:style>
  <w:style w:type="character" w:customStyle="1" w:styleId="bodytext">
    <w:name w:val="body text Знак Знак"/>
    <w:uiPriority w:val="99"/>
    <w:locked/>
    <w:rsid w:val="00AB0FC7"/>
    <w:rPr>
      <w:sz w:val="24"/>
    </w:rPr>
  </w:style>
  <w:style w:type="paragraph" w:customStyle="1" w:styleId="1b">
    <w:name w:val="Название1"/>
    <w:basedOn w:val="a1"/>
    <w:uiPriority w:val="10"/>
    <w:qFormat/>
    <w:rsid w:val="00AB0FC7"/>
    <w:pPr>
      <w:suppressAutoHyphens w:val="0"/>
      <w:jc w:val="center"/>
    </w:pPr>
    <w:rPr>
      <w:rFonts w:ascii="Times New Roman" w:eastAsia="Times New Roman" w:hAnsi="Times New Roman" w:cs="Times New Roman"/>
      <w:sz w:val="28"/>
      <w:szCs w:val="28"/>
    </w:rPr>
  </w:style>
  <w:style w:type="character" w:customStyle="1" w:styleId="120">
    <w:name w:val="Знак Знак12"/>
    <w:rsid w:val="00AB0FC7"/>
    <w:rPr>
      <w:sz w:val="24"/>
      <w:szCs w:val="24"/>
    </w:rPr>
  </w:style>
  <w:style w:type="character" w:customStyle="1" w:styleId="110">
    <w:name w:val="Знак Знак11"/>
    <w:locked/>
    <w:rsid w:val="00AB0FC7"/>
    <w:rPr>
      <w:sz w:val="24"/>
    </w:rPr>
  </w:style>
  <w:style w:type="character" w:customStyle="1" w:styleId="91">
    <w:name w:val="Знак Знак9"/>
    <w:locked/>
    <w:rsid w:val="00AB0FC7"/>
    <w:rPr>
      <w:sz w:val="24"/>
    </w:rPr>
  </w:style>
  <w:style w:type="paragraph" w:customStyle="1" w:styleId="1">
    <w:name w:val="Заголовок 1. Предложения"/>
    <w:aliases w:val="связанные"/>
    <w:basedOn w:val="10"/>
    <w:autoRedefine/>
    <w:uiPriority w:val="99"/>
    <w:rsid w:val="00AB0FC7"/>
    <w:pPr>
      <w:numPr>
        <w:numId w:val="8"/>
      </w:numPr>
      <w:suppressAutoHyphens w:val="0"/>
      <w:spacing w:line="240" w:lineRule="auto"/>
      <w:jc w:val="left"/>
    </w:pPr>
    <w:rPr>
      <w:rFonts w:ascii="Arial" w:eastAsia="Times New Roman" w:hAnsi="Arial" w:cs="Times New Roman"/>
      <w:sz w:val="28"/>
      <w:szCs w:val="26"/>
    </w:rPr>
  </w:style>
  <w:style w:type="paragraph" w:customStyle="1" w:styleId="100">
    <w:name w:val="Стиль Пункт_нормативн_документа + 10 пт"/>
    <w:basedOn w:val="af6"/>
    <w:uiPriority w:val="99"/>
    <w:rsid w:val="00AB0FC7"/>
    <w:pPr>
      <w:numPr>
        <w:ilvl w:val="1"/>
      </w:numPr>
      <w:tabs>
        <w:tab w:val="num" w:pos="1332"/>
      </w:tabs>
      <w:spacing w:before="120"/>
      <w:ind w:left="1333" w:hanging="431"/>
    </w:pPr>
    <w:rPr>
      <w:sz w:val="20"/>
      <w:lang w:val="ru-RU" w:eastAsia="ru-RU"/>
    </w:rPr>
  </w:style>
  <w:style w:type="character" w:customStyle="1" w:styleId="73">
    <w:name w:val="Знак Знак73"/>
    <w:locked/>
    <w:rsid w:val="00A62063"/>
    <w:rPr>
      <w:rFonts w:ascii="Tahoma" w:hAnsi="Tahoma"/>
      <w:sz w:val="16"/>
    </w:rPr>
  </w:style>
  <w:style w:type="character" w:customStyle="1" w:styleId="61">
    <w:name w:val="Знак Знак6"/>
    <w:locked/>
    <w:rsid w:val="00AB0FC7"/>
    <w:rPr>
      <w:sz w:val="24"/>
    </w:rPr>
  </w:style>
  <w:style w:type="paragraph" w:customStyle="1" w:styleId="msolistparagraph0">
    <w:name w:val="msolistparagraph"/>
    <w:basedOn w:val="a1"/>
    <w:uiPriority w:val="99"/>
    <w:rsid w:val="00AB0FC7"/>
    <w:pPr>
      <w:suppressAutoHyphens w:val="0"/>
      <w:ind w:left="720"/>
    </w:pPr>
    <w:rPr>
      <w:rFonts w:ascii="Times New Roman" w:eastAsia="Times New Roman" w:hAnsi="Times New Roman" w:cs="Times New Roman"/>
      <w:sz w:val="24"/>
      <w:szCs w:val="24"/>
    </w:rPr>
  </w:style>
  <w:style w:type="paragraph" w:styleId="4">
    <w:name w:val="List Number 4"/>
    <w:basedOn w:val="a1"/>
    <w:uiPriority w:val="99"/>
    <w:rsid w:val="00AB0FC7"/>
    <w:pPr>
      <w:numPr>
        <w:numId w:val="7"/>
      </w:numPr>
      <w:tabs>
        <w:tab w:val="clear" w:pos="643"/>
        <w:tab w:val="num" w:pos="1209"/>
      </w:tabs>
      <w:suppressAutoHyphens w:val="0"/>
      <w:autoSpaceDE w:val="0"/>
      <w:autoSpaceDN w:val="0"/>
      <w:ind w:left="1209"/>
      <w:contextualSpacing/>
    </w:pPr>
    <w:rPr>
      <w:rFonts w:ascii="Times New Roman" w:eastAsia="Times New Roman" w:hAnsi="Times New Roman" w:cs="Times New Roman"/>
      <w:sz w:val="24"/>
      <w:szCs w:val="24"/>
    </w:rPr>
  </w:style>
  <w:style w:type="paragraph" w:styleId="affe">
    <w:name w:val="TOC Heading"/>
    <w:basedOn w:val="10"/>
    <w:next w:val="a1"/>
    <w:uiPriority w:val="39"/>
    <w:qFormat/>
    <w:rsid w:val="00AB0FC7"/>
    <w:pPr>
      <w:keepLines/>
      <w:suppressAutoHyphens w:val="0"/>
      <w:spacing w:before="480" w:line="276" w:lineRule="auto"/>
      <w:jc w:val="left"/>
      <w:outlineLvl w:val="9"/>
    </w:pPr>
    <w:rPr>
      <w:rFonts w:ascii="Cambria" w:eastAsia="Times New Roman" w:hAnsi="Cambria" w:cs="Times New Roman"/>
      <w:color w:val="365F91"/>
      <w:sz w:val="28"/>
      <w:szCs w:val="28"/>
      <w:lang w:eastAsia="en-US"/>
    </w:rPr>
  </w:style>
  <w:style w:type="paragraph" w:customStyle="1" w:styleId="1Garamond11">
    <w:name w:val="Стиль Заголовок 1 + Garamond 11 пт не полужирный Первая строка: ..."/>
    <w:basedOn w:val="10"/>
    <w:uiPriority w:val="99"/>
    <w:rsid w:val="00AB0FC7"/>
    <w:pPr>
      <w:suppressAutoHyphens w:val="0"/>
      <w:spacing w:before="240" w:after="60" w:line="240" w:lineRule="auto"/>
      <w:jc w:val="left"/>
    </w:pPr>
    <w:rPr>
      <w:rFonts w:ascii="Garamond" w:eastAsia="Times New Roman" w:hAnsi="Garamond" w:cs="Times New Roman"/>
      <w:bCs w:val="0"/>
      <w:kern w:val="32"/>
      <w:sz w:val="22"/>
    </w:rPr>
  </w:style>
  <w:style w:type="paragraph" w:customStyle="1" w:styleId="Courier4">
    <w:name w:val="Courier 4"/>
    <w:basedOn w:val="a1"/>
    <w:uiPriority w:val="99"/>
    <w:rsid w:val="00AB0FC7"/>
    <w:pPr>
      <w:suppressAutoHyphens w:val="0"/>
      <w:ind w:left="1134"/>
    </w:pPr>
    <w:rPr>
      <w:rFonts w:ascii="Courier New" w:eastAsia="Times New Roman" w:hAnsi="Courier New" w:cs="Times New Roman"/>
      <w:szCs w:val="24"/>
    </w:rPr>
  </w:style>
  <w:style w:type="paragraph" w:customStyle="1" w:styleId="Courier">
    <w:name w:val="Обычный Courier"/>
    <w:basedOn w:val="a1"/>
    <w:uiPriority w:val="99"/>
    <w:rsid w:val="00AB0FC7"/>
    <w:pPr>
      <w:suppressAutoHyphens w:val="0"/>
    </w:pPr>
    <w:rPr>
      <w:rFonts w:ascii="Courier New" w:eastAsia="Times New Roman" w:hAnsi="Courier New" w:cs="Times New Roman"/>
      <w:szCs w:val="24"/>
    </w:rPr>
  </w:style>
  <w:style w:type="paragraph" w:customStyle="1" w:styleId="b">
    <w:name w:val="b"/>
    <w:basedOn w:val="a1"/>
    <w:uiPriority w:val="99"/>
    <w:rsid w:val="00AB0FC7"/>
    <w:pPr>
      <w:suppressAutoHyphens w:val="0"/>
      <w:spacing w:before="100" w:beforeAutospacing="1" w:after="100" w:afterAutospacing="1"/>
    </w:pPr>
    <w:rPr>
      <w:rFonts w:ascii="Courier New" w:eastAsia="Times New Roman" w:hAnsi="Courier New" w:cs="Courier New"/>
      <w:b/>
      <w:bCs/>
      <w:color w:val="FF0000"/>
      <w:sz w:val="24"/>
      <w:szCs w:val="24"/>
    </w:rPr>
  </w:style>
  <w:style w:type="paragraph" w:customStyle="1" w:styleId="e">
    <w:name w:val="e"/>
    <w:basedOn w:val="a1"/>
    <w:uiPriority w:val="99"/>
    <w:rsid w:val="00AB0FC7"/>
    <w:pPr>
      <w:suppressAutoHyphens w:val="0"/>
      <w:spacing w:before="100" w:beforeAutospacing="1" w:after="100" w:afterAutospacing="1"/>
      <w:ind w:left="240" w:right="240" w:hanging="240"/>
    </w:pPr>
    <w:rPr>
      <w:rFonts w:ascii="Times New Roman" w:eastAsia="Times New Roman" w:hAnsi="Times New Roman" w:cs="Times New Roman"/>
      <w:sz w:val="24"/>
      <w:szCs w:val="24"/>
    </w:rPr>
  </w:style>
  <w:style w:type="paragraph" w:customStyle="1" w:styleId="k">
    <w:name w:val="k"/>
    <w:basedOn w:val="a1"/>
    <w:uiPriority w:val="99"/>
    <w:rsid w:val="00AB0FC7"/>
    <w:pPr>
      <w:suppressAutoHyphens w:val="0"/>
      <w:spacing w:before="100" w:beforeAutospacing="1" w:after="100" w:afterAutospacing="1"/>
      <w:ind w:left="240" w:right="240" w:hanging="240"/>
    </w:pPr>
    <w:rPr>
      <w:rFonts w:ascii="Times New Roman" w:eastAsia="Times New Roman" w:hAnsi="Times New Roman" w:cs="Times New Roman"/>
      <w:sz w:val="24"/>
      <w:szCs w:val="24"/>
    </w:rPr>
  </w:style>
  <w:style w:type="paragraph" w:customStyle="1" w:styleId="t">
    <w:name w:val="t"/>
    <w:basedOn w:val="a1"/>
    <w:uiPriority w:val="99"/>
    <w:rsid w:val="00AB0FC7"/>
    <w:pPr>
      <w:suppressAutoHyphens w:val="0"/>
      <w:spacing w:before="100" w:beforeAutospacing="1" w:after="100" w:afterAutospacing="1"/>
    </w:pPr>
    <w:rPr>
      <w:rFonts w:ascii="Times New Roman" w:eastAsia="Times New Roman" w:hAnsi="Times New Roman" w:cs="Times New Roman"/>
      <w:color w:val="990000"/>
      <w:sz w:val="24"/>
      <w:szCs w:val="24"/>
    </w:rPr>
  </w:style>
  <w:style w:type="paragraph" w:customStyle="1" w:styleId="xt">
    <w:name w:val="xt"/>
    <w:basedOn w:val="a1"/>
    <w:uiPriority w:val="99"/>
    <w:rsid w:val="00AB0FC7"/>
    <w:pPr>
      <w:suppressAutoHyphens w:val="0"/>
      <w:spacing w:before="100" w:beforeAutospacing="1" w:after="100" w:afterAutospacing="1"/>
    </w:pPr>
    <w:rPr>
      <w:rFonts w:ascii="Times New Roman" w:eastAsia="Times New Roman" w:hAnsi="Times New Roman" w:cs="Times New Roman"/>
      <w:color w:val="990099"/>
      <w:sz w:val="24"/>
      <w:szCs w:val="24"/>
    </w:rPr>
  </w:style>
  <w:style w:type="paragraph" w:customStyle="1" w:styleId="ns">
    <w:name w:val="ns"/>
    <w:basedOn w:val="a1"/>
    <w:uiPriority w:val="99"/>
    <w:rsid w:val="00AB0FC7"/>
    <w:pPr>
      <w:suppressAutoHyphens w:val="0"/>
      <w:spacing w:before="100" w:beforeAutospacing="1" w:after="100" w:afterAutospacing="1"/>
    </w:pPr>
    <w:rPr>
      <w:rFonts w:ascii="Times New Roman" w:eastAsia="Times New Roman" w:hAnsi="Times New Roman" w:cs="Times New Roman"/>
      <w:color w:val="FF0000"/>
      <w:sz w:val="24"/>
      <w:szCs w:val="24"/>
    </w:rPr>
  </w:style>
  <w:style w:type="paragraph" w:customStyle="1" w:styleId="dt">
    <w:name w:val="dt"/>
    <w:basedOn w:val="a1"/>
    <w:uiPriority w:val="99"/>
    <w:rsid w:val="00AB0FC7"/>
    <w:pPr>
      <w:suppressAutoHyphens w:val="0"/>
      <w:spacing w:before="100" w:beforeAutospacing="1" w:after="100" w:afterAutospacing="1"/>
    </w:pPr>
    <w:rPr>
      <w:rFonts w:ascii="Times New Roman" w:eastAsia="Times New Roman" w:hAnsi="Times New Roman" w:cs="Times New Roman"/>
      <w:color w:val="008000"/>
      <w:sz w:val="24"/>
      <w:szCs w:val="24"/>
    </w:rPr>
  </w:style>
  <w:style w:type="paragraph" w:customStyle="1" w:styleId="m">
    <w:name w:val="m"/>
    <w:basedOn w:val="a1"/>
    <w:uiPriority w:val="99"/>
    <w:rsid w:val="00AB0FC7"/>
    <w:pPr>
      <w:suppressAutoHyphens w:val="0"/>
      <w:spacing w:before="100" w:beforeAutospacing="1" w:after="100" w:afterAutospacing="1"/>
    </w:pPr>
    <w:rPr>
      <w:rFonts w:ascii="Times New Roman" w:eastAsia="Times New Roman" w:hAnsi="Times New Roman" w:cs="Times New Roman"/>
      <w:color w:val="0000FF"/>
      <w:sz w:val="24"/>
      <w:szCs w:val="24"/>
    </w:rPr>
  </w:style>
  <w:style w:type="paragraph" w:customStyle="1" w:styleId="tx">
    <w:name w:val="tx"/>
    <w:basedOn w:val="a1"/>
    <w:uiPriority w:val="99"/>
    <w:rsid w:val="00AB0FC7"/>
    <w:pPr>
      <w:suppressAutoHyphens w:val="0"/>
      <w:spacing w:before="100" w:beforeAutospacing="1" w:after="100" w:afterAutospacing="1"/>
    </w:pPr>
    <w:rPr>
      <w:rFonts w:ascii="Times New Roman" w:eastAsia="Times New Roman" w:hAnsi="Times New Roman" w:cs="Times New Roman"/>
      <w:b/>
      <w:bCs/>
      <w:sz w:val="24"/>
      <w:szCs w:val="24"/>
    </w:rPr>
  </w:style>
  <w:style w:type="paragraph" w:customStyle="1" w:styleId="db">
    <w:name w:val="db"/>
    <w:basedOn w:val="a1"/>
    <w:uiPriority w:val="99"/>
    <w:rsid w:val="00AB0FC7"/>
    <w:pPr>
      <w:pBdr>
        <w:left w:val="single" w:sz="6" w:space="4" w:color="CCCCCC"/>
      </w:pBdr>
      <w:suppressAutoHyphens w:val="0"/>
      <w:ind w:left="240"/>
    </w:pPr>
    <w:rPr>
      <w:rFonts w:ascii="Courier" w:eastAsia="Times New Roman" w:hAnsi="Courier" w:cs="Times New Roman"/>
      <w:sz w:val="24"/>
      <w:szCs w:val="24"/>
    </w:rPr>
  </w:style>
  <w:style w:type="paragraph" w:customStyle="1" w:styleId="di">
    <w:name w:val="di"/>
    <w:basedOn w:val="a1"/>
    <w:uiPriority w:val="99"/>
    <w:rsid w:val="00AB0FC7"/>
    <w:pPr>
      <w:suppressAutoHyphens w:val="0"/>
      <w:spacing w:before="100" w:beforeAutospacing="1" w:after="100" w:afterAutospacing="1"/>
    </w:pPr>
    <w:rPr>
      <w:rFonts w:ascii="Courier" w:eastAsia="Times New Roman" w:hAnsi="Courier" w:cs="Times New Roman"/>
      <w:sz w:val="24"/>
      <w:szCs w:val="24"/>
    </w:rPr>
  </w:style>
  <w:style w:type="paragraph" w:customStyle="1" w:styleId="d">
    <w:name w:val="d"/>
    <w:basedOn w:val="a1"/>
    <w:uiPriority w:val="99"/>
    <w:rsid w:val="00AB0FC7"/>
    <w:pPr>
      <w:suppressAutoHyphens w:val="0"/>
      <w:spacing w:before="100" w:beforeAutospacing="1" w:after="100" w:afterAutospacing="1"/>
    </w:pPr>
    <w:rPr>
      <w:rFonts w:ascii="Times New Roman" w:eastAsia="Times New Roman" w:hAnsi="Times New Roman" w:cs="Times New Roman"/>
      <w:color w:val="0000FF"/>
      <w:sz w:val="24"/>
      <w:szCs w:val="24"/>
    </w:rPr>
  </w:style>
  <w:style w:type="paragraph" w:customStyle="1" w:styleId="pi">
    <w:name w:val="pi"/>
    <w:basedOn w:val="a1"/>
    <w:uiPriority w:val="99"/>
    <w:rsid w:val="00AB0FC7"/>
    <w:pPr>
      <w:suppressAutoHyphens w:val="0"/>
      <w:spacing w:before="100" w:beforeAutospacing="1" w:after="100" w:afterAutospacing="1"/>
    </w:pPr>
    <w:rPr>
      <w:rFonts w:ascii="Times New Roman" w:eastAsia="Times New Roman" w:hAnsi="Times New Roman" w:cs="Times New Roman"/>
      <w:color w:val="0000FF"/>
      <w:sz w:val="24"/>
      <w:szCs w:val="24"/>
    </w:rPr>
  </w:style>
  <w:style w:type="paragraph" w:customStyle="1" w:styleId="cb">
    <w:name w:val="cb"/>
    <w:basedOn w:val="a1"/>
    <w:uiPriority w:val="99"/>
    <w:rsid w:val="00AB0FC7"/>
    <w:pPr>
      <w:suppressAutoHyphens w:val="0"/>
      <w:ind w:left="240"/>
    </w:pPr>
    <w:rPr>
      <w:rFonts w:ascii="Courier" w:eastAsia="Times New Roman" w:hAnsi="Courier" w:cs="Times New Roman"/>
      <w:color w:val="888888"/>
      <w:sz w:val="24"/>
      <w:szCs w:val="24"/>
    </w:rPr>
  </w:style>
  <w:style w:type="paragraph" w:customStyle="1" w:styleId="ci">
    <w:name w:val="ci"/>
    <w:basedOn w:val="a1"/>
    <w:uiPriority w:val="99"/>
    <w:rsid w:val="00AB0FC7"/>
    <w:pPr>
      <w:suppressAutoHyphens w:val="0"/>
      <w:spacing w:before="100" w:beforeAutospacing="1" w:after="100" w:afterAutospacing="1"/>
    </w:pPr>
    <w:rPr>
      <w:rFonts w:ascii="Courier" w:eastAsia="Times New Roman" w:hAnsi="Courier" w:cs="Times New Roman"/>
      <w:color w:val="888888"/>
      <w:sz w:val="24"/>
      <w:szCs w:val="24"/>
    </w:rPr>
  </w:style>
  <w:style w:type="character" w:customStyle="1" w:styleId="b1">
    <w:name w:val="b1"/>
    <w:uiPriority w:val="99"/>
    <w:rsid w:val="00AB0FC7"/>
    <w:rPr>
      <w:rFonts w:ascii="Courier New" w:hAnsi="Courier New" w:cs="Courier New"/>
      <w:b/>
      <w:bCs/>
      <w:color w:val="FF0000"/>
      <w:u w:val="none"/>
      <w:effect w:val="none"/>
    </w:rPr>
  </w:style>
  <w:style w:type="character" w:customStyle="1" w:styleId="pi1">
    <w:name w:val="pi1"/>
    <w:uiPriority w:val="99"/>
    <w:rsid w:val="00AB0FC7"/>
    <w:rPr>
      <w:rFonts w:cs="Times New Roman"/>
      <w:color w:val="0000FF"/>
    </w:rPr>
  </w:style>
  <w:style w:type="character" w:styleId="afff">
    <w:name w:val="Emphasis"/>
    <w:uiPriority w:val="99"/>
    <w:qFormat/>
    <w:rsid w:val="00AB0FC7"/>
    <w:rPr>
      <w:rFonts w:cs="Times New Roman"/>
      <w:i/>
      <w:iCs/>
    </w:rPr>
  </w:style>
  <w:style w:type="paragraph" w:customStyle="1" w:styleId="310">
    <w:name w:val="Абзац списка31"/>
    <w:basedOn w:val="a1"/>
    <w:rsid w:val="00AB0FC7"/>
    <w:pPr>
      <w:spacing w:after="200" w:line="276" w:lineRule="auto"/>
      <w:ind w:left="720"/>
    </w:pPr>
    <w:rPr>
      <w:rFonts w:ascii="Calibri" w:eastAsia="Times New Roman" w:hAnsi="Calibri" w:cs="Times New Roman"/>
      <w:sz w:val="22"/>
      <w:szCs w:val="22"/>
      <w:lang w:eastAsia="ar-SA"/>
    </w:rPr>
  </w:style>
  <w:style w:type="character" w:customStyle="1" w:styleId="di1">
    <w:name w:val="di1"/>
    <w:uiPriority w:val="99"/>
    <w:rsid w:val="00AB0FC7"/>
    <w:rPr>
      <w:rFonts w:ascii="Courier" w:hAnsi="Courier" w:cs="Times New Roman"/>
      <w:sz w:val="24"/>
      <w:szCs w:val="24"/>
    </w:rPr>
  </w:style>
  <w:style w:type="character" w:customStyle="1" w:styleId="tx1">
    <w:name w:val="tx1"/>
    <w:uiPriority w:val="99"/>
    <w:rsid w:val="00AB0FC7"/>
    <w:rPr>
      <w:rFonts w:cs="Times New Roman"/>
      <w:b/>
      <w:bCs/>
    </w:rPr>
  </w:style>
  <w:style w:type="character" w:customStyle="1" w:styleId="translation">
    <w:name w:val="translation"/>
    <w:uiPriority w:val="99"/>
    <w:rsid w:val="00AB0FC7"/>
    <w:rPr>
      <w:rFonts w:cs="Times New Roman"/>
    </w:rPr>
  </w:style>
  <w:style w:type="character" w:styleId="afff0">
    <w:name w:val="Strong"/>
    <w:uiPriority w:val="99"/>
    <w:qFormat/>
    <w:rsid w:val="00AB0FC7"/>
    <w:rPr>
      <w:rFonts w:cs="Times New Roman"/>
      <w:b/>
    </w:rPr>
  </w:style>
  <w:style w:type="paragraph" w:customStyle="1" w:styleId="1c">
    <w:name w:val="Обычный1"/>
    <w:uiPriority w:val="99"/>
    <w:rsid w:val="00AB0FC7"/>
    <w:pPr>
      <w:spacing w:after="0" w:line="240" w:lineRule="auto"/>
    </w:pPr>
    <w:rPr>
      <w:rFonts w:ascii="Times New Roman CYR" w:eastAsia="Times New Roman" w:hAnsi="Times New Roman CYR" w:cs="Times New Roman"/>
      <w:sz w:val="20"/>
      <w:szCs w:val="20"/>
      <w:lang w:val="en-US" w:eastAsia="ru-RU"/>
    </w:rPr>
  </w:style>
  <w:style w:type="paragraph" w:customStyle="1" w:styleId="2a">
    <w:name w:val="Обычный2"/>
    <w:basedOn w:val="a1"/>
    <w:uiPriority w:val="99"/>
    <w:rsid w:val="00AB0FC7"/>
    <w:pPr>
      <w:suppressAutoHyphens w:val="0"/>
    </w:pPr>
    <w:rPr>
      <w:rFonts w:ascii="Times New Roman CYR" w:eastAsia="Times New Roman" w:hAnsi="Times New Roman CYR" w:cs="Times New Roman CYR"/>
    </w:rPr>
  </w:style>
  <w:style w:type="paragraph" w:customStyle="1" w:styleId="txt">
    <w:name w:val="txt"/>
    <w:basedOn w:val="a1"/>
    <w:uiPriority w:val="99"/>
    <w:rsid w:val="00AB0FC7"/>
    <w:pPr>
      <w:suppressAutoHyphens w:val="0"/>
      <w:spacing w:before="100" w:beforeAutospacing="1" w:after="100" w:afterAutospacing="1"/>
    </w:pPr>
    <w:rPr>
      <w:rFonts w:ascii="Arial" w:eastAsia="Arial Unicode MS" w:hAnsi="Arial" w:cs="Arial"/>
      <w:color w:val="000000"/>
      <w:sz w:val="14"/>
      <w:szCs w:val="14"/>
    </w:rPr>
  </w:style>
  <w:style w:type="character" w:customStyle="1" w:styleId="1d">
    <w:name w:val="Текст сноски Знак1"/>
    <w:uiPriority w:val="99"/>
    <w:semiHidden/>
    <w:rsid w:val="00AB0FC7"/>
    <w:rPr>
      <w:rFonts w:ascii="Calibri" w:eastAsia="Calibri" w:hAnsi="Calibri" w:cs="Times New Roman"/>
      <w:sz w:val="20"/>
      <w:szCs w:val="20"/>
    </w:rPr>
  </w:style>
  <w:style w:type="character" w:customStyle="1" w:styleId="FootnoteTextChar1">
    <w:name w:val="Footnote Text Char1"/>
    <w:uiPriority w:val="99"/>
    <w:semiHidden/>
    <w:rsid w:val="00AB0FC7"/>
    <w:rPr>
      <w:sz w:val="20"/>
      <w:szCs w:val="20"/>
      <w:lang w:eastAsia="en-US"/>
    </w:rPr>
  </w:style>
  <w:style w:type="character" w:customStyle="1" w:styleId="1e">
    <w:name w:val="Верхний колонтитул Знак1"/>
    <w:uiPriority w:val="99"/>
    <w:semiHidden/>
    <w:rsid w:val="00AB0FC7"/>
    <w:rPr>
      <w:rFonts w:ascii="Calibri" w:eastAsia="Calibri" w:hAnsi="Calibri" w:cs="Times New Roman"/>
    </w:rPr>
  </w:style>
  <w:style w:type="character" w:customStyle="1" w:styleId="HeaderChar1">
    <w:name w:val="Header Char1"/>
    <w:uiPriority w:val="99"/>
    <w:semiHidden/>
    <w:rsid w:val="00AB0FC7"/>
    <w:rPr>
      <w:lang w:eastAsia="en-US"/>
    </w:rPr>
  </w:style>
  <w:style w:type="character" w:customStyle="1" w:styleId="1f">
    <w:name w:val="Нижний колонтитул Знак1"/>
    <w:uiPriority w:val="99"/>
    <w:semiHidden/>
    <w:rsid w:val="00AB0FC7"/>
    <w:rPr>
      <w:rFonts w:ascii="Calibri" w:eastAsia="Calibri" w:hAnsi="Calibri" w:cs="Times New Roman"/>
    </w:rPr>
  </w:style>
  <w:style w:type="character" w:customStyle="1" w:styleId="FooterChar1">
    <w:name w:val="Footer Char1"/>
    <w:uiPriority w:val="99"/>
    <w:semiHidden/>
    <w:rsid w:val="00AB0FC7"/>
    <w:rPr>
      <w:lang w:eastAsia="en-US"/>
    </w:rPr>
  </w:style>
  <w:style w:type="character" w:customStyle="1" w:styleId="1f0">
    <w:name w:val="Основной текст Знак1"/>
    <w:aliases w:val="body text Знак1"/>
    <w:uiPriority w:val="99"/>
    <w:semiHidden/>
    <w:rsid w:val="00AB0FC7"/>
    <w:rPr>
      <w:rFonts w:ascii="Garamond" w:hAnsi="Garamond" w:cs="Times New Roman"/>
      <w:sz w:val="22"/>
    </w:rPr>
  </w:style>
  <w:style w:type="character" w:customStyle="1" w:styleId="1f1">
    <w:name w:val="Основной текст с отступом Знак1"/>
    <w:uiPriority w:val="99"/>
    <w:semiHidden/>
    <w:rsid w:val="00AB0FC7"/>
    <w:rPr>
      <w:rFonts w:ascii="Garamond" w:hAnsi="Garamond" w:cs="Times New Roman"/>
      <w:sz w:val="22"/>
    </w:rPr>
  </w:style>
  <w:style w:type="character" w:customStyle="1" w:styleId="BodyTextIndent2Char1">
    <w:name w:val="Body Text Indent 2 Char1"/>
    <w:uiPriority w:val="99"/>
    <w:semiHidden/>
    <w:rsid w:val="00AB0FC7"/>
    <w:rPr>
      <w:lang w:eastAsia="en-US"/>
    </w:rPr>
  </w:style>
  <w:style w:type="character" w:customStyle="1" w:styleId="210">
    <w:name w:val="Основной текст с отступом 2 Знак1"/>
    <w:uiPriority w:val="99"/>
    <w:semiHidden/>
    <w:rsid w:val="00AB0FC7"/>
    <w:rPr>
      <w:rFonts w:ascii="Calibri" w:eastAsia="Times New Roman" w:hAnsi="Calibri" w:cs="Times New Roman"/>
    </w:rPr>
  </w:style>
  <w:style w:type="character" w:customStyle="1" w:styleId="DocumentMapChar1">
    <w:name w:val="Document Map Char1"/>
    <w:uiPriority w:val="99"/>
    <w:semiHidden/>
    <w:rsid w:val="00AB0FC7"/>
    <w:rPr>
      <w:rFonts w:ascii="Times New Roman" w:hAnsi="Times New Roman"/>
      <w:sz w:val="0"/>
      <w:szCs w:val="0"/>
      <w:lang w:eastAsia="en-US"/>
    </w:rPr>
  </w:style>
  <w:style w:type="character" w:customStyle="1" w:styleId="1f2">
    <w:name w:val="Текст выноски Знак1"/>
    <w:uiPriority w:val="99"/>
    <w:semiHidden/>
    <w:rsid w:val="00AB0FC7"/>
    <w:rPr>
      <w:rFonts w:ascii="Segoe UI" w:hAnsi="Segoe UI" w:cs="Segoe UI"/>
      <w:sz w:val="18"/>
      <w:szCs w:val="18"/>
    </w:rPr>
  </w:style>
  <w:style w:type="character" w:customStyle="1" w:styleId="820">
    <w:name w:val="Знак Знак82"/>
    <w:uiPriority w:val="99"/>
    <w:locked/>
    <w:rsid w:val="00AB0FC7"/>
  </w:style>
  <w:style w:type="character" w:customStyle="1" w:styleId="122">
    <w:name w:val="Знак Знак122"/>
    <w:uiPriority w:val="99"/>
    <w:rsid w:val="00AB0FC7"/>
    <w:rPr>
      <w:sz w:val="24"/>
    </w:rPr>
  </w:style>
  <w:style w:type="character" w:customStyle="1" w:styleId="112">
    <w:name w:val="Знак Знак112"/>
    <w:uiPriority w:val="99"/>
    <w:locked/>
    <w:rsid w:val="00AB0FC7"/>
    <w:rPr>
      <w:sz w:val="24"/>
    </w:rPr>
  </w:style>
  <w:style w:type="character" w:customStyle="1" w:styleId="92">
    <w:name w:val="Знак Знак92"/>
    <w:uiPriority w:val="99"/>
    <w:locked/>
    <w:rsid w:val="00AB0FC7"/>
    <w:rPr>
      <w:sz w:val="24"/>
    </w:rPr>
  </w:style>
  <w:style w:type="character" w:customStyle="1" w:styleId="72">
    <w:name w:val="Знак Знак72"/>
    <w:uiPriority w:val="99"/>
    <w:locked/>
    <w:rsid w:val="00AB0FC7"/>
    <w:rPr>
      <w:rFonts w:ascii="Tahoma" w:hAnsi="Tahoma"/>
      <w:sz w:val="16"/>
    </w:rPr>
  </w:style>
  <w:style w:type="character" w:customStyle="1" w:styleId="62">
    <w:name w:val="Знак Знак62"/>
    <w:uiPriority w:val="99"/>
    <w:locked/>
    <w:rsid w:val="00AB0FC7"/>
    <w:rPr>
      <w:sz w:val="24"/>
    </w:rPr>
  </w:style>
  <w:style w:type="paragraph" w:customStyle="1" w:styleId="111">
    <w:name w:val="Абзац списка11"/>
    <w:basedOn w:val="a1"/>
    <w:uiPriority w:val="99"/>
    <w:rsid w:val="00AB0FC7"/>
    <w:pPr>
      <w:spacing w:after="200" w:line="276" w:lineRule="auto"/>
      <w:ind w:left="720"/>
    </w:pPr>
    <w:rPr>
      <w:rFonts w:ascii="Calibri" w:eastAsia="Times New Roman" w:hAnsi="Calibri" w:cs="Times New Roman"/>
      <w:sz w:val="22"/>
      <w:szCs w:val="22"/>
      <w:lang w:eastAsia="ar-SA"/>
    </w:rPr>
  </w:style>
  <w:style w:type="character" w:customStyle="1" w:styleId="13">
    <w:name w:val="Стиль1 Знак"/>
    <w:link w:val="12"/>
    <w:locked/>
    <w:rsid w:val="00AB0FC7"/>
    <w:rPr>
      <w:rFonts w:eastAsia="Cambria" w:cs="Cambria"/>
      <w:sz w:val="20"/>
      <w:szCs w:val="20"/>
      <w:lang w:eastAsia="ru-RU"/>
    </w:rPr>
  </w:style>
  <w:style w:type="paragraph" w:styleId="afff1">
    <w:name w:val="No Spacing"/>
    <w:uiPriority w:val="1"/>
    <w:qFormat/>
    <w:rsid w:val="00AB0FC7"/>
    <w:pPr>
      <w:spacing w:after="0" w:line="240" w:lineRule="auto"/>
    </w:pPr>
    <w:rPr>
      <w:rFonts w:ascii="Calibri" w:eastAsia="Times New Roman" w:hAnsi="Calibri" w:cs="Times New Roman"/>
    </w:rPr>
  </w:style>
  <w:style w:type="paragraph" w:styleId="2b">
    <w:name w:val="Quote"/>
    <w:basedOn w:val="a1"/>
    <w:next w:val="a1"/>
    <w:link w:val="2c"/>
    <w:uiPriority w:val="29"/>
    <w:qFormat/>
    <w:rsid w:val="00AB0FC7"/>
    <w:pPr>
      <w:suppressAutoHyphens w:val="0"/>
      <w:spacing w:before="160" w:after="160" w:line="259" w:lineRule="auto"/>
      <w:ind w:left="720" w:right="720"/>
    </w:pPr>
    <w:rPr>
      <w:rFonts w:ascii="Calibri" w:eastAsia="Times New Roman" w:hAnsi="Calibri" w:cs="Times New Roman"/>
      <w:i/>
      <w:iCs/>
      <w:color w:val="000000"/>
      <w:sz w:val="22"/>
      <w:szCs w:val="22"/>
      <w:lang w:eastAsia="en-US"/>
    </w:rPr>
  </w:style>
  <w:style w:type="character" w:customStyle="1" w:styleId="2c">
    <w:name w:val="Цитата 2 Знак"/>
    <w:basedOn w:val="a2"/>
    <w:link w:val="2b"/>
    <w:uiPriority w:val="29"/>
    <w:rsid w:val="00AB0FC7"/>
    <w:rPr>
      <w:rFonts w:ascii="Calibri" w:eastAsia="Times New Roman" w:hAnsi="Calibri" w:cs="Times New Roman"/>
      <w:i/>
      <w:iCs/>
      <w:color w:val="000000"/>
    </w:rPr>
  </w:style>
  <w:style w:type="paragraph" w:styleId="afff2">
    <w:name w:val="Intense Quote"/>
    <w:basedOn w:val="a1"/>
    <w:next w:val="a1"/>
    <w:link w:val="afff3"/>
    <w:uiPriority w:val="30"/>
    <w:qFormat/>
    <w:rsid w:val="00AB0FC7"/>
    <w:pPr>
      <w:pBdr>
        <w:top w:val="single" w:sz="24" w:space="1" w:color="F2F2F2"/>
        <w:bottom w:val="single" w:sz="24" w:space="1" w:color="F2F2F2"/>
      </w:pBdr>
      <w:shd w:val="clear" w:color="auto" w:fill="F2F2F2"/>
      <w:suppressAutoHyphens w:val="0"/>
      <w:spacing w:before="240" w:after="240" w:line="259" w:lineRule="auto"/>
      <w:ind w:left="936" w:right="936"/>
      <w:jc w:val="center"/>
    </w:pPr>
    <w:rPr>
      <w:rFonts w:ascii="Calibri" w:eastAsia="Times New Roman" w:hAnsi="Calibri" w:cs="Times New Roman"/>
      <w:color w:val="000000"/>
      <w:sz w:val="22"/>
      <w:szCs w:val="22"/>
      <w:lang w:eastAsia="en-US"/>
    </w:rPr>
  </w:style>
  <w:style w:type="character" w:customStyle="1" w:styleId="afff3">
    <w:name w:val="Выделенная цитата Знак"/>
    <w:basedOn w:val="a2"/>
    <w:link w:val="afff2"/>
    <w:uiPriority w:val="30"/>
    <w:rsid w:val="00AB0FC7"/>
    <w:rPr>
      <w:rFonts w:ascii="Calibri" w:eastAsia="Times New Roman" w:hAnsi="Calibri" w:cs="Times New Roman"/>
      <w:color w:val="000000"/>
      <w:shd w:val="clear" w:color="auto" w:fill="F2F2F2"/>
    </w:rPr>
  </w:style>
  <w:style w:type="character" w:styleId="afff4">
    <w:name w:val="Subtle Emphasis"/>
    <w:uiPriority w:val="19"/>
    <w:qFormat/>
    <w:rsid w:val="00AB0FC7"/>
    <w:rPr>
      <w:i/>
      <w:color w:val="404040"/>
    </w:rPr>
  </w:style>
  <w:style w:type="character" w:styleId="afff5">
    <w:name w:val="Intense Emphasis"/>
    <w:uiPriority w:val="21"/>
    <w:qFormat/>
    <w:rsid w:val="00AB0FC7"/>
    <w:rPr>
      <w:b/>
      <w:i/>
      <w:caps/>
    </w:rPr>
  </w:style>
  <w:style w:type="character" w:styleId="afff6">
    <w:name w:val="Subtle Reference"/>
    <w:uiPriority w:val="31"/>
    <w:qFormat/>
    <w:rsid w:val="00AB0FC7"/>
    <w:rPr>
      <w:smallCaps/>
      <w:color w:val="404040"/>
      <w:u w:val="single" w:color="7F7F7F"/>
    </w:rPr>
  </w:style>
  <w:style w:type="character" w:styleId="afff7">
    <w:name w:val="Intense Reference"/>
    <w:uiPriority w:val="32"/>
    <w:qFormat/>
    <w:rsid w:val="00AB0FC7"/>
    <w:rPr>
      <w:b/>
      <w:smallCaps/>
      <w:u w:val="single"/>
    </w:rPr>
  </w:style>
  <w:style w:type="character" w:styleId="afff8">
    <w:name w:val="Book Title"/>
    <w:uiPriority w:val="33"/>
    <w:qFormat/>
    <w:rsid w:val="00AB0FC7"/>
    <w:rPr>
      <w:smallCaps/>
      <w:spacing w:val="5"/>
    </w:rPr>
  </w:style>
  <w:style w:type="paragraph" w:customStyle="1" w:styleId="43">
    <w:name w:val="Абзац списка4"/>
    <w:basedOn w:val="a1"/>
    <w:uiPriority w:val="99"/>
    <w:rsid w:val="00AB0FC7"/>
    <w:pPr>
      <w:spacing w:after="200" w:line="276" w:lineRule="auto"/>
      <w:ind w:left="720"/>
    </w:pPr>
    <w:rPr>
      <w:rFonts w:ascii="Calibri" w:eastAsia="Times New Roman" w:hAnsi="Calibri" w:cs="Times New Roman"/>
      <w:sz w:val="22"/>
      <w:szCs w:val="22"/>
      <w:lang w:eastAsia="ar-SA"/>
    </w:rPr>
  </w:style>
  <w:style w:type="character" w:customStyle="1" w:styleId="810">
    <w:name w:val="Знак Знак81"/>
    <w:uiPriority w:val="99"/>
    <w:locked/>
    <w:rsid w:val="00AB0FC7"/>
    <w:rPr>
      <w:rFonts w:cs="Times New Roman"/>
    </w:rPr>
  </w:style>
  <w:style w:type="character" w:customStyle="1" w:styleId="121">
    <w:name w:val="Знак Знак121"/>
    <w:uiPriority w:val="99"/>
    <w:rsid w:val="00AB0FC7"/>
    <w:rPr>
      <w:rFonts w:cs="Times New Roman"/>
      <w:sz w:val="24"/>
      <w:szCs w:val="24"/>
    </w:rPr>
  </w:style>
  <w:style w:type="character" w:customStyle="1" w:styleId="1110">
    <w:name w:val="Знак Знак111"/>
    <w:uiPriority w:val="99"/>
    <w:locked/>
    <w:rsid w:val="00AB0FC7"/>
    <w:rPr>
      <w:rFonts w:cs="Times New Roman"/>
      <w:sz w:val="24"/>
    </w:rPr>
  </w:style>
  <w:style w:type="character" w:customStyle="1" w:styleId="910">
    <w:name w:val="Знак Знак91"/>
    <w:uiPriority w:val="99"/>
    <w:locked/>
    <w:rsid w:val="00AB0FC7"/>
    <w:rPr>
      <w:rFonts w:cs="Times New Roman"/>
      <w:sz w:val="24"/>
    </w:rPr>
  </w:style>
  <w:style w:type="character" w:customStyle="1" w:styleId="710">
    <w:name w:val="Знак Знак71"/>
    <w:uiPriority w:val="99"/>
    <w:locked/>
    <w:rsid w:val="00AB0FC7"/>
    <w:rPr>
      <w:rFonts w:ascii="Tahoma" w:hAnsi="Tahoma" w:cs="Times New Roman"/>
      <w:sz w:val="16"/>
    </w:rPr>
  </w:style>
  <w:style w:type="character" w:customStyle="1" w:styleId="610">
    <w:name w:val="Знак Знак61"/>
    <w:uiPriority w:val="99"/>
    <w:locked/>
    <w:rsid w:val="00AB0FC7"/>
    <w:rPr>
      <w:rFonts w:cs="Times New Roman"/>
      <w:sz w:val="24"/>
    </w:rPr>
  </w:style>
  <w:style w:type="paragraph" w:customStyle="1" w:styleId="53">
    <w:name w:val="Абзац списка5"/>
    <w:basedOn w:val="a1"/>
    <w:uiPriority w:val="99"/>
    <w:rsid w:val="00AB0FC7"/>
    <w:pPr>
      <w:spacing w:after="200" w:line="276" w:lineRule="auto"/>
      <w:ind w:left="720"/>
    </w:pPr>
    <w:rPr>
      <w:rFonts w:ascii="Calibri" w:eastAsia="Times New Roman" w:hAnsi="Calibri" w:cs="Times New Roman"/>
      <w:sz w:val="22"/>
      <w:szCs w:val="22"/>
      <w:lang w:eastAsia="ar-SA"/>
    </w:rPr>
  </w:style>
  <w:style w:type="numbering" w:customStyle="1" w:styleId="20">
    <w:name w:val="Стиль2"/>
    <w:rsid w:val="00AB0FC7"/>
    <w:pPr>
      <w:numPr>
        <w:numId w:val="9"/>
      </w:numPr>
    </w:pPr>
  </w:style>
  <w:style w:type="paragraph" w:customStyle="1" w:styleId="63">
    <w:name w:val="Абзац списка6"/>
    <w:basedOn w:val="a1"/>
    <w:rsid w:val="00AB0FC7"/>
    <w:pPr>
      <w:suppressAutoHyphens w:val="0"/>
      <w:ind w:left="708"/>
      <w:jc w:val="both"/>
    </w:pPr>
    <w:rPr>
      <w:rFonts w:ascii="Garamond" w:eastAsia="Times New Roman" w:hAnsi="Garamond" w:cs="Times New Roman"/>
      <w:sz w:val="22"/>
      <w:szCs w:val="24"/>
    </w:rPr>
  </w:style>
  <w:style w:type="paragraph" w:customStyle="1" w:styleId="74">
    <w:name w:val="Абзац списка7"/>
    <w:basedOn w:val="a1"/>
    <w:rsid w:val="00AB0FC7"/>
    <w:pPr>
      <w:spacing w:after="200" w:line="276" w:lineRule="auto"/>
      <w:ind w:left="720"/>
    </w:pPr>
    <w:rPr>
      <w:rFonts w:ascii="Calibri" w:eastAsia="Times New Roman" w:hAnsi="Calibri" w:cs="Times New Roman"/>
      <w:sz w:val="22"/>
      <w:szCs w:val="22"/>
      <w:lang w:eastAsia="ar-SA"/>
    </w:rPr>
  </w:style>
  <w:style w:type="numbering" w:customStyle="1" w:styleId="113">
    <w:name w:val="Нет списка11"/>
    <w:next w:val="a4"/>
    <w:uiPriority w:val="99"/>
    <w:semiHidden/>
    <w:unhideWhenUsed/>
    <w:rsid w:val="00AB0FC7"/>
  </w:style>
  <w:style w:type="paragraph" w:customStyle="1" w:styleId="ActUses">
    <w:name w:val="ActUses"/>
    <w:basedOn w:val="ac"/>
    <w:rsid w:val="00AB0FC7"/>
    <w:pPr>
      <w:numPr>
        <w:numId w:val="10"/>
      </w:numPr>
      <w:contextualSpacing/>
    </w:pPr>
    <w:rPr>
      <w:rFonts w:ascii="Times New Roman" w:eastAsia="Times New Roman" w:hAnsi="Times New Roman" w:cs="Times New Roman"/>
      <w:sz w:val="24"/>
      <w:szCs w:val="24"/>
      <w:lang w:eastAsia="en-US"/>
    </w:rPr>
  </w:style>
  <w:style w:type="character" w:customStyle="1" w:styleId="1f3">
    <w:name w:val="Название Знак1"/>
    <w:uiPriority w:val="10"/>
    <w:locked/>
    <w:rsid w:val="00AB0FC7"/>
    <w:rPr>
      <w:rFonts w:ascii="Garamond" w:hAnsi="Garamond" w:cs="Times New Roman"/>
      <w:b/>
      <w:bCs/>
      <w:sz w:val="24"/>
      <w:szCs w:val="24"/>
    </w:rPr>
  </w:style>
  <w:style w:type="paragraph" w:styleId="44">
    <w:name w:val="toc 4"/>
    <w:basedOn w:val="a1"/>
    <w:next w:val="a1"/>
    <w:autoRedefine/>
    <w:uiPriority w:val="39"/>
    <w:unhideWhenUsed/>
    <w:rsid w:val="00AB0FC7"/>
    <w:pPr>
      <w:suppressAutoHyphens w:val="0"/>
      <w:spacing w:after="100" w:line="259" w:lineRule="auto"/>
      <w:ind w:left="660"/>
    </w:pPr>
    <w:rPr>
      <w:rFonts w:ascii="Calibri" w:eastAsia="Times New Roman" w:hAnsi="Calibri" w:cs="Times New Roman"/>
      <w:sz w:val="22"/>
      <w:szCs w:val="22"/>
    </w:rPr>
  </w:style>
  <w:style w:type="paragraph" w:styleId="54">
    <w:name w:val="toc 5"/>
    <w:basedOn w:val="a1"/>
    <w:next w:val="a1"/>
    <w:autoRedefine/>
    <w:uiPriority w:val="39"/>
    <w:unhideWhenUsed/>
    <w:rsid w:val="00AB0FC7"/>
    <w:pPr>
      <w:suppressAutoHyphens w:val="0"/>
      <w:spacing w:after="100" w:line="259" w:lineRule="auto"/>
      <w:ind w:left="880"/>
    </w:pPr>
    <w:rPr>
      <w:rFonts w:ascii="Calibri" w:eastAsia="Times New Roman" w:hAnsi="Calibri" w:cs="Times New Roman"/>
      <w:sz w:val="22"/>
      <w:szCs w:val="22"/>
    </w:rPr>
  </w:style>
  <w:style w:type="paragraph" w:styleId="64">
    <w:name w:val="toc 6"/>
    <w:basedOn w:val="a1"/>
    <w:next w:val="a1"/>
    <w:autoRedefine/>
    <w:uiPriority w:val="39"/>
    <w:unhideWhenUsed/>
    <w:rsid w:val="00AB0FC7"/>
    <w:pPr>
      <w:suppressAutoHyphens w:val="0"/>
      <w:spacing w:after="100" w:line="259" w:lineRule="auto"/>
      <w:ind w:left="1100"/>
    </w:pPr>
    <w:rPr>
      <w:rFonts w:ascii="Calibri" w:eastAsia="Times New Roman" w:hAnsi="Calibri" w:cs="Times New Roman"/>
      <w:sz w:val="22"/>
      <w:szCs w:val="22"/>
    </w:rPr>
  </w:style>
  <w:style w:type="paragraph" w:styleId="75">
    <w:name w:val="toc 7"/>
    <w:basedOn w:val="a1"/>
    <w:next w:val="a1"/>
    <w:autoRedefine/>
    <w:uiPriority w:val="39"/>
    <w:unhideWhenUsed/>
    <w:rsid w:val="00AB0FC7"/>
    <w:pPr>
      <w:suppressAutoHyphens w:val="0"/>
      <w:spacing w:after="100" w:line="259" w:lineRule="auto"/>
      <w:ind w:left="1320"/>
    </w:pPr>
    <w:rPr>
      <w:rFonts w:ascii="Calibri" w:eastAsia="Times New Roman" w:hAnsi="Calibri" w:cs="Times New Roman"/>
      <w:sz w:val="22"/>
      <w:szCs w:val="22"/>
    </w:rPr>
  </w:style>
  <w:style w:type="paragraph" w:styleId="83">
    <w:name w:val="toc 8"/>
    <w:basedOn w:val="a1"/>
    <w:next w:val="a1"/>
    <w:autoRedefine/>
    <w:uiPriority w:val="39"/>
    <w:unhideWhenUsed/>
    <w:rsid w:val="00AB0FC7"/>
    <w:pPr>
      <w:suppressAutoHyphens w:val="0"/>
      <w:spacing w:after="100" w:line="259" w:lineRule="auto"/>
      <w:ind w:left="1540"/>
    </w:pPr>
    <w:rPr>
      <w:rFonts w:ascii="Calibri" w:eastAsia="Times New Roman" w:hAnsi="Calibri" w:cs="Times New Roman"/>
      <w:sz w:val="22"/>
      <w:szCs w:val="22"/>
    </w:rPr>
  </w:style>
  <w:style w:type="paragraph" w:styleId="93">
    <w:name w:val="toc 9"/>
    <w:basedOn w:val="a1"/>
    <w:next w:val="a1"/>
    <w:autoRedefine/>
    <w:uiPriority w:val="39"/>
    <w:unhideWhenUsed/>
    <w:rsid w:val="00AB0FC7"/>
    <w:pPr>
      <w:suppressAutoHyphens w:val="0"/>
      <w:spacing w:after="100" w:line="259" w:lineRule="auto"/>
      <w:ind w:left="1760"/>
    </w:pPr>
    <w:rPr>
      <w:rFonts w:ascii="Calibri" w:eastAsia="Times New Roman" w:hAnsi="Calibri" w:cs="Times New Roman"/>
      <w:sz w:val="22"/>
      <w:szCs w:val="22"/>
    </w:rPr>
  </w:style>
  <w:style w:type="paragraph" w:customStyle="1" w:styleId="211">
    <w:name w:val="Заголовок 21"/>
    <w:basedOn w:val="a1"/>
    <w:next w:val="a1"/>
    <w:uiPriority w:val="9"/>
    <w:unhideWhenUsed/>
    <w:qFormat/>
    <w:rsid w:val="00AB0FC7"/>
    <w:pPr>
      <w:keepNext/>
      <w:keepLines/>
      <w:suppressAutoHyphens w:val="0"/>
      <w:spacing w:before="40" w:line="259" w:lineRule="auto"/>
      <w:ind w:left="1440" w:hanging="360"/>
      <w:outlineLvl w:val="1"/>
    </w:pPr>
    <w:rPr>
      <w:rFonts w:ascii="Calibri Light" w:eastAsia="Times New Roman" w:hAnsi="Calibri Light" w:cs="Times New Roman"/>
      <w:color w:val="2E74B5"/>
      <w:sz w:val="28"/>
      <w:szCs w:val="28"/>
      <w:lang w:eastAsia="en-US"/>
    </w:rPr>
  </w:style>
  <w:style w:type="paragraph" w:customStyle="1" w:styleId="611">
    <w:name w:val="Заголовок 61"/>
    <w:basedOn w:val="a1"/>
    <w:next w:val="a1"/>
    <w:uiPriority w:val="9"/>
    <w:unhideWhenUsed/>
    <w:qFormat/>
    <w:rsid w:val="00AB0FC7"/>
    <w:pPr>
      <w:keepNext/>
      <w:keepLines/>
      <w:suppressAutoHyphens w:val="0"/>
      <w:spacing w:before="40" w:line="259" w:lineRule="auto"/>
      <w:ind w:left="4320" w:hanging="360"/>
      <w:outlineLvl w:val="5"/>
    </w:pPr>
    <w:rPr>
      <w:rFonts w:ascii="Calibri Light" w:eastAsia="Times New Roman" w:hAnsi="Calibri Light" w:cs="Times New Roman"/>
      <w:color w:val="1F4E79"/>
      <w:sz w:val="22"/>
      <w:szCs w:val="22"/>
      <w:lang w:eastAsia="en-US"/>
    </w:rPr>
  </w:style>
  <w:style w:type="paragraph" w:customStyle="1" w:styleId="1f4">
    <w:name w:val="Подзаголовок1"/>
    <w:basedOn w:val="a1"/>
    <w:next w:val="a1"/>
    <w:uiPriority w:val="11"/>
    <w:qFormat/>
    <w:rsid w:val="00AB0FC7"/>
    <w:pPr>
      <w:numPr>
        <w:ilvl w:val="1"/>
      </w:numPr>
      <w:suppressAutoHyphens w:val="0"/>
      <w:spacing w:after="160" w:line="259" w:lineRule="auto"/>
    </w:pPr>
    <w:rPr>
      <w:rFonts w:ascii="Calibri" w:eastAsia="Times New Roman" w:hAnsi="Calibri" w:cs="Times New Roman"/>
      <w:color w:val="5A5A5A"/>
      <w:spacing w:val="15"/>
      <w:sz w:val="22"/>
      <w:szCs w:val="22"/>
      <w:lang w:eastAsia="en-US"/>
    </w:rPr>
  </w:style>
  <w:style w:type="character" w:customStyle="1" w:styleId="1f5">
    <w:name w:val="Сильное выделение1"/>
    <w:uiPriority w:val="21"/>
    <w:qFormat/>
    <w:rsid w:val="00AB0FC7"/>
    <w:rPr>
      <w:i/>
      <w:iCs/>
      <w:color w:val="5B9BD5"/>
    </w:rPr>
  </w:style>
  <w:style w:type="paragraph" w:customStyle="1" w:styleId="212">
    <w:name w:val="Оглавление 21"/>
    <w:basedOn w:val="a1"/>
    <w:next w:val="a1"/>
    <w:autoRedefine/>
    <w:uiPriority w:val="39"/>
    <w:unhideWhenUsed/>
    <w:rsid w:val="00AB0FC7"/>
    <w:pPr>
      <w:suppressAutoHyphens w:val="0"/>
      <w:spacing w:after="100" w:line="259" w:lineRule="auto"/>
      <w:ind w:left="220"/>
    </w:pPr>
    <w:rPr>
      <w:rFonts w:ascii="Calibri" w:eastAsia="Times New Roman" w:hAnsi="Calibri" w:cs="Times New Roman"/>
      <w:sz w:val="22"/>
      <w:szCs w:val="22"/>
    </w:rPr>
  </w:style>
  <w:style w:type="paragraph" w:customStyle="1" w:styleId="114">
    <w:name w:val="Оглавление 11"/>
    <w:basedOn w:val="a1"/>
    <w:next w:val="a1"/>
    <w:autoRedefine/>
    <w:uiPriority w:val="39"/>
    <w:unhideWhenUsed/>
    <w:rsid w:val="00AB0FC7"/>
    <w:pPr>
      <w:suppressAutoHyphens w:val="0"/>
      <w:spacing w:after="100" w:line="259" w:lineRule="auto"/>
    </w:pPr>
    <w:rPr>
      <w:rFonts w:ascii="Calibri" w:eastAsia="Times New Roman" w:hAnsi="Calibri" w:cs="Times New Roman"/>
      <w:sz w:val="22"/>
      <w:szCs w:val="22"/>
    </w:rPr>
  </w:style>
  <w:style w:type="paragraph" w:customStyle="1" w:styleId="311">
    <w:name w:val="Оглавление 31"/>
    <w:basedOn w:val="a1"/>
    <w:next w:val="a1"/>
    <w:autoRedefine/>
    <w:uiPriority w:val="39"/>
    <w:unhideWhenUsed/>
    <w:rsid w:val="00AB0FC7"/>
    <w:pPr>
      <w:tabs>
        <w:tab w:val="left" w:pos="1100"/>
        <w:tab w:val="right" w:leader="dot" w:pos="9345"/>
      </w:tabs>
      <w:suppressAutoHyphens w:val="0"/>
      <w:spacing w:after="100" w:line="259" w:lineRule="auto"/>
      <w:ind w:left="440"/>
    </w:pPr>
    <w:rPr>
      <w:rFonts w:ascii="Calibri" w:eastAsia="Times New Roman" w:hAnsi="Calibri" w:cs="Times New Roman"/>
      <w:sz w:val="22"/>
      <w:szCs w:val="22"/>
    </w:rPr>
  </w:style>
  <w:style w:type="character" w:customStyle="1" w:styleId="1f6">
    <w:name w:val="Гиперссылка1"/>
    <w:uiPriority w:val="99"/>
    <w:unhideWhenUsed/>
    <w:rsid w:val="00AB0FC7"/>
    <w:rPr>
      <w:color w:val="0563C1"/>
      <w:u w:val="single"/>
    </w:rPr>
  </w:style>
  <w:style w:type="character" w:customStyle="1" w:styleId="213">
    <w:name w:val="Заголовок 2 Знак1"/>
    <w:aliases w:val="Заголовок пункта (1.1) Знак1"/>
    <w:uiPriority w:val="99"/>
    <w:semiHidden/>
    <w:rsid w:val="00AB0FC7"/>
    <w:rPr>
      <w:rFonts w:ascii="Calibri Light" w:eastAsia="Times New Roman" w:hAnsi="Calibri Light" w:cs="Times New Roman"/>
      <w:b/>
      <w:bCs/>
      <w:i/>
      <w:iCs/>
      <w:sz w:val="28"/>
      <w:szCs w:val="28"/>
      <w:lang w:eastAsia="en-US"/>
    </w:rPr>
  </w:style>
  <w:style w:type="character" w:customStyle="1" w:styleId="612">
    <w:name w:val="Заголовок 6 Знак1"/>
    <w:aliases w:val="Legal Level 1. Знак1"/>
    <w:uiPriority w:val="99"/>
    <w:semiHidden/>
    <w:rsid w:val="00AB0FC7"/>
    <w:rPr>
      <w:rFonts w:ascii="Calibri" w:eastAsia="Times New Roman" w:hAnsi="Calibri" w:cs="Times New Roman"/>
      <w:b/>
      <w:bCs/>
      <w:sz w:val="22"/>
      <w:szCs w:val="22"/>
      <w:lang w:eastAsia="en-US"/>
    </w:rPr>
  </w:style>
  <w:style w:type="character" w:customStyle="1" w:styleId="1f7">
    <w:name w:val="Подзаголовок Знак1"/>
    <w:uiPriority w:val="11"/>
    <w:rsid w:val="00AB0FC7"/>
    <w:rPr>
      <w:rFonts w:ascii="Calibri Light" w:eastAsia="Times New Roman" w:hAnsi="Calibri Light" w:cs="Times New Roman"/>
      <w:sz w:val="24"/>
      <w:szCs w:val="24"/>
      <w:lang w:eastAsia="en-US"/>
    </w:rPr>
  </w:style>
  <w:style w:type="character" w:customStyle="1" w:styleId="ad">
    <w:name w:val="Абзац списка Знак"/>
    <w:link w:val="ac"/>
    <w:uiPriority w:val="99"/>
    <w:rsid w:val="006F2E68"/>
    <w:rPr>
      <w:rFonts w:eastAsia="Cambria" w:cs="Cambria"/>
      <w:sz w:val="20"/>
      <w:szCs w:val="20"/>
      <w:lang w:eastAsia="ru-RU"/>
    </w:rPr>
  </w:style>
  <w:style w:type="paragraph" w:customStyle="1" w:styleId="afff9">
    <w:name w:val="Стиль"/>
    <w:basedOn w:val="a1"/>
    <w:uiPriority w:val="99"/>
    <w:rsid w:val="00CE6209"/>
    <w:pPr>
      <w:suppressAutoHyphens w:val="0"/>
      <w:spacing w:after="160" w:line="240" w:lineRule="exact"/>
    </w:pPr>
    <w:rPr>
      <w:rFonts w:ascii="Verdana" w:eastAsia="Times New Roman" w:hAnsi="Verdana" w:cs="Verdana"/>
      <w:lang w:val="en-US" w:eastAsia="en-US"/>
    </w:rPr>
  </w:style>
  <w:style w:type="paragraph" w:customStyle="1" w:styleId="CharChar0">
    <w:name w:val="Char Char Знак Знак Знак Знак"/>
    <w:basedOn w:val="a1"/>
    <w:uiPriority w:val="99"/>
    <w:rsid w:val="00CE6209"/>
    <w:pPr>
      <w:suppressAutoHyphens w:val="0"/>
      <w:spacing w:after="160" w:line="240" w:lineRule="exact"/>
    </w:pPr>
    <w:rPr>
      <w:rFonts w:ascii="Verdana" w:eastAsia="Times New Roman" w:hAnsi="Verdana" w:cs="Verdana"/>
      <w:lang w:val="en-US" w:eastAsia="en-US"/>
    </w:rPr>
  </w:style>
  <w:style w:type="paragraph" w:customStyle="1" w:styleId="115">
    <w:name w:val="Обычный11"/>
    <w:uiPriority w:val="99"/>
    <w:rsid w:val="00CE6209"/>
    <w:pPr>
      <w:spacing w:after="0" w:line="240" w:lineRule="auto"/>
    </w:pPr>
    <w:rPr>
      <w:rFonts w:ascii="Times New Roman CYR" w:eastAsia="Times New Roman" w:hAnsi="Times New Roman CYR" w:cs="Times New Roman"/>
      <w:sz w:val="20"/>
      <w:szCs w:val="20"/>
      <w:lang w:val="en-US" w:eastAsia="ru-RU"/>
    </w:rPr>
  </w:style>
  <w:style w:type="paragraph" w:customStyle="1" w:styleId="TOCTitle">
    <w:name w:val="TOC Title"/>
    <w:basedOn w:val="a1"/>
    <w:uiPriority w:val="99"/>
    <w:rsid w:val="00CE6209"/>
    <w:pPr>
      <w:keepLines/>
      <w:suppressAutoHyphens w:val="0"/>
      <w:spacing w:before="120" w:after="240"/>
      <w:jc w:val="center"/>
    </w:pPr>
    <w:rPr>
      <w:rFonts w:ascii="Garamond" w:eastAsia="Times New Roman" w:hAnsi="Garamond" w:cs="Times New Roman"/>
      <w:b/>
      <w:sz w:val="32"/>
      <w:lang w:val="en-GB" w:eastAsia="en-US"/>
    </w:rPr>
  </w:style>
  <w:style w:type="paragraph" w:customStyle="1" w:styleId="Normal1">
    <w:name w:val="Normal1"/>
    <w:uiPriority w:val="99"/>
    <w:rsid w:val="00CE6209"/>
    <w:pPr>
      <w:autoSpaceDE w:val="0"/>
      <w:autoSpaceDN w:val="0"/>
      <w:spacing w:after="0" w:line="240" w:lineRule="auto"/>
      <w:jc w:val="both"/>
    </w:pPr>
    <w:rPr>
      <w:rFonts w:ascii="Arial" w:eastAsia="Times New Roman" w:hAnsi="Arial" w:cs="Arial"/>
      <w:sz w:val="20"/>
      <w:szCs w:val="20"/>
      <w:lang w:val="en-US"/>
    </w:rPr>
  </w:style>
  <w:style w:type="paragraph" w:customStyle="1" w:styleId="Titel12-Punkt-Demi">
    <w:name w:val="Titel 12-Punkt-Demi"/>
    <w:basedOn w:val="af8"/>
    <w:uiPriority w:val="99"/>
    <w:rsid w:val="00CE6209"/>
    <w:pPr>
      <w:widowControl/>
      <w:tabs>
        <w:tab w:val="clear" w:pos="4677"/>
        <w:tab w:val="clear" w:pos="9355"/>
        <w:tab w:val="center" w:pos="4536"/>
        <w:tab w:val="right" w:pos="9072"/>
      </w:tabs>
      <w:adjustRightInd/>
      <w:spacing w:before="120" w:line="312" w:lineRule="exact"/>
      <w:jc w:val="left"/>
      <w:textAlignment w:val="auto"/>
    </w:pPr>
    <w:rPr>
      <w:rFonts w:ascii="NewsGoth Dm BT" w:hAnsi="NewsGoth Dm BT"/>
      <w:szCs w:val="20"/>
      <w:lang w:val="de-DE" w:eastAsia="x-none"/>
    </w:rPr>
  </w:style>
  <w:style w:type="paragraph" w:styleId="55">
    <w:name w:val="List Number 5"/>
    <w:basedOn w:val="a1"/>
    <w:uiPriority w:val="99"/>
    <w:rsid w:val="00CE6209"/>
    <w:pPr>
      <w:tabs>
        <w:tab w:val="num" w:pos="1492"/>
      </w:tabs>
      <w:suppressAutoHyphens w:val="0"/>
      <w:ind w:left="1492" w:hanging="360"/>
    </w:pPr>
    <w:rPr>
      <w:rFonts w:ascii="Times New Roman" w:eastAsia="SimSun" w:hAnsi="Times New Roman" w:cs="Times New Roman"/>
      <w:sz w:val="24"/>
      <w:szCs w:val="24"/>
    </w:rPr>
  </w:style>
  <w:style w:type="paragraph" w:customStyle="1" w:styleId="94">
    <w:name w:val="Абзац списка9"/>
    <w:basedOn w:val="a1"/>
    <w:rsid w:val="00CE6209"/>
    <w:pPr>
      <w:spacing w:after="200" w:line="276" w:lineRule="auto"/>
      <w:ind w:left="720"/>
    </w:pPr>
    <w:rPr>
      <w:rFonts w:ascii="Calibri" w:eastAsia="Times New Roman" w:hAnsi="Calibri" w:cs="Times New Roman"/>
      <w:sz w:val="22"/>
      <w:szCs w:val="22"/>
      <w:lang w:eastAsia="ar-SA"/>
    </w:rPr>
  </w:style>
  <w:style w:type="paragraph" w:customStyle="1" w:styleId="BodyBullet">
    <w:name w:val="Body Bullet"/>
    <w:uiPriority w:val="99"/>
    <w:rsid w:val="00CE6209"/>
    <w:pPr>
      <w:spacing w:after="100" w:line="240" w:lineRule="auto"/>
      <w:ind w:left="283"/>
    </w:pPr>
    <w:rPr>
      <w:rFonts w:ascii="Cochin" w:eastAsia="Calibri" w:hAnsi="Cochin" w:cs="Times New Roman"/>
      <w:color w:val="000000"/>
      <w:sz w:val="24"/>
      <w:szCs w:val="20"/>
      <w:lang w:val="en-US" w:eastAsia="ru-RU"/>
    </w:rPr>
  </w:style>
  <w:style w:type="paragraph" w:customStyle="1" w:styleId="Body">
    <w:name w:val="Body"/>
    <w:uiPriority w:val="99"/>
    <w:rsid w:val="00CE6209"/>
    <w:pPr>
      <w:spacing w:after="100" w:line="240" w:lineRule="auto"/>
      <w:jc w:val="both"/>
    </w:pPr>
    <w:rPr>
      <w:rFonts w:ascii="Cochin" w:eastAsia="Calibri" w:hAnsi="Cochin" w:cs="Times New Roman"/>
      <w:color w:val="000000"/>
      <w:sz w:val="24"/>
      <w:szCs w:val="20"/>
      <w:lang w:eastAsia="ru-RU"/>
    </w:rPr>
  </w:style>
  <w:style w:type="paragraph" w:customStyle="1" w:styleId="afffa">
    <w:name w:val="Юристы"/>
    <w:basedOn w:val="35"/>
    <w:uiPriority w:val="99"/>
    <w:rsid w:val="00CE6209"/>
    <w:pPr>
      <w:spacing w:before="120" w:after="0"/>
      <w:ind w:left="0"/>
      <w:jc w:val="both"/>
    </w:pPr>
    <w:rPr>
      <w:rFonts w:ascii="Times New Roman" w:hAnsi="Times New Roman"/>
      <w:sz w:val="22"/>
      <w:szCs w:val="24"/>
      <w:lang w:val="x-none" w:eastAsia="x-none"/>
    </w:rPr>
  </w:style>
  <w:style w:type="character" w:customStyle="1" w:styleId="blue">
    <w:name w:val="blue"/>
    <w:uiPriority w:val="99"/>
    <w:rsid w:val="00CE6209"/>
    <w:rPr>
      <w:rFonts w:cs="Times New Roman"/>
      <w:color w:val="23468B"/>
    </w:rPr>
  </w:style>
  <w:style w:type="character" w:customStyle="1" w:styleId="gray">
    <w:name w:val="gray"/>
    <w:uiPriority w:val="99"/>
    <w:rsid w:val="00CE6209"/>
    <w:rPr>
      <w:rFonts w:cs="Times New Roman"/>
      <w:color w:val="808080"/>
    </w:rPr>
  </w:style>
  <w:style w:type="paragraph" w:customStyle="1" w:styleId="214">
    <w:name w:val="Основной текст с отступом 21"/>
    <w:basedOn w:val="a1"/>
    <w:uiPriority w:val="99"/>
    <w:rsid w:val="00CE6209"/>
    <w:pPr>
      <w:ind w:firstLine="720"/>
      <w:jc w:val="both"/>
    </w:pPr>
    <w:rPr>
      <w:rFonts w:ascii="Times New Roman" w:eastAsia="Times New Roman" w:hAnsi="Times New Roman" w:cs="Times New Roman"/>
      <w:sz w:val="24"/>
      <w:szCs w:val="24"/>
      <w:lang w:eastAsia="ar-SA"/>
    </w:rPr>
  </w:style>
  <w:style w:type="paragraph" w:customStyle="1" w:styleId="215">
    <w:name w:val="Основной текст 21"/>
    <w:basedOn w:val="a1"/>
    <w:uiPriority w:val="99"/>
    <w:rsid w:val="00CE6209"/>
    <w:pPr>
      <w:widowControl w:val="0"/>
      <w:autoSpaceDE w:val="0"/>
    </w:pPr>
    <w:rPr>
      <w:rFonts w:ascii="Courier New" w:eastAsia="Times New Roman" w:hAnsi="Courier New" w:cs="Courier New"/>
      <w:color w:val="000000"/>
      <w:sz w:val="22"/>
      <w:szCs w:val="22"/>
      <w:lang w:eastAsia="ar-SA"/>
    </w:rPr>
  </w:style>
  <w:style w:type="character" w:customStyle="1" w:styleId="WW8Num29z1">
    <w:name w:val="WW8Num29z1"/>
    <w:uiPriority w:val="99"/>
    <w:rsid w:val="00CE6209"/>
    <w:rPr>
      <w:rFonts w:ascii="Symbol" w:hAnsi="Symbol"/>
    </w:rPr>
  </w:style>
  <w:style w:type="character" w:customStyle="1" w:styleId="WW8Num22z1">
    <w:name w:val="WW8Num22z1"/>
    <w:uiPriority w:val="99"/>
    <w:rsid w:val="00CE6209"/>
    <w:rPr>
      <w:rFonts w:ascii="Symbol" w:hAnsi="Symbol"/>
    </w:rPr>
  </w:style>
  <w:style w:type="paragraph" w:customStyle="1" w:styleId="Kapitelberschrift">
    <w:name w:val="Kapitelüberschrift"/>
    <w:basedOn w:val="a1"/>
    <w:uiPriority w:val="99"/>
    <w:rsid w:val="00CE6209"/>
    <w:pPr>
      <w:spacing w:before="120" w:after="200" w:line="270" w:lineRule="atLeast"/>
    </w:pPr>
    <w:rPr>
      <w:rFonts w:ascii="NewsGoth BT" w:eastAsia="Times New Roman" w:hAnsi="NewsGoth BT" w:cs="Times New Roman"/>
      <w:b/>
      <w:sz w:val="22"/>
      <w:lang w:val="de-DE" w:eastAsia="ar-SA"/>
    </w:rPr>
  </w:style>
  <w:style w:type="paragraph" w:styleId="afffb">
    <w:name w:val="List Bullet"/>
    <w:basedOn w:val="a1"/>
    <w:autoRedefine/>
    <w:uiPriority w:val="99"/>
    <w:rsid w:val="00CE6209"/>
    <w:pPr>
      <w:shd w:val="clear" w:color="auto" w:fill="FFFFFF"/>
      <w:tabs>
        <w:tab w:val="num" w:pos="720"/>
      </w:tabs>
      <w:suppressAutoHyphens w:val="0"/>
      <w:ind w:left="1140" w:hanging="360"/>
      <w:jc w:val="both"/>
    </w:pPr>
    <w:rPr>
      <w:rFonts w:ascii="Times New Roman" w:eastAsia="Times New Roman" w:hAnsi="Times New Roman" w:cs="Times New Roman"/>
      <w:kern w:val="20"/>
      <w:sz w:val="24"/>
    </w:rPr>
  </w:style>
  <w:style w:type="paragraph" w:customStyle="1" w:styleId="1f8">
    <w:name w:val="Текст1"/>
    <w:basedOn w:val="a1"/>
    <w:uiPriority w:val="99"/>
    <w:rsid w:val="00CE6209"/>
    <w:pPr>
      <w:widowControl w:val="0"/>
      <w:suppressAutoHyphens w:val="0"/>
      <w:ind w:firstLine="567"/>
    </w:pPr>
    <w:rPr>
      <w:rFonts w:ascii="Courier New" w:eastAsia="Times New Roman" w:hAnsi="Courier New" w:cs="Times New Roman"/>
      <w:sz w:val="24"/>
    </w:rPr>
  </w:style>
  <w:style w:type="paragraph" w:customStyle="1" w:styleId="312">
    <w:name w:val="Основной текст 31"/>
    <w:basedOn w:val="a1"/>
    <w:uiPriority w:val="99"/>
    <w:rsid w:val="00CE6209"/>
    <w:pPr>
      <w:widowControl w:val="0"/>
      <w:suppressAutoHyphens w:val="0"/>
      <w:ind w:firstLine="567"/>
      <w:jc w:val="both"/>
    </w:pPr>
    <w:rPr>
      <w:rFonts w:ascii="Times New Roman" w:eastAsia="Times New Roman" w:hAnsi="Times New Roman" w:cs="Times New Roman"/>
      <w:sz w:val="24"/>
    </w:rPr>
  </w:style>
  <w:style w:type="paragraph" w:customStyle="1" w:styleId="38">
    <w:name w:val="заголовок 3"/>
    <w:basedOn w:val="a1"/>
    <w:next w:val="a1"/>
    <w:uiPriority w:val="99"/>
    <w:rsid w:val="00CE6209"/>
    <w:pPr>
      <w:keepNext/>
      <w:suppressAutoHyphens w:val="0"/>
      <w:spacing w:before="120" w:after="120"/>
      <w:jc w:val="both"/>
    </w:pPr>
    <w:rPr>
      <w:rFonts w:ascii="Garamond" w:eastAsia="Times New Roman" w:hAnsi="Garamond" w:cs="Times New Roman"/>
      <w:sz w:val="22"/>
    </w:rPr>
  </w:style>
  <w:style w:type="paragraph" w:customStyle="1" w:styleId="afffc">
    <w:name w:val="Отчет"/>
    <w:basedOn w:val="a1"/>
    <w:uiPriority w:val="99"/>
    <w:rsid w:val="00CE6209"/>
    <w:pPr>
      <w:suppressAutoHyphens w:val="0"/>
      <w:ind w:firstLine="567"/>
      <w:jc w:val="both"/>
    </w:pPr>
    <w:rPr>
      <w:rFonts w:ascii="Times New Roman" w:eastAsia="Times New Roman" w:hAnsi="Times New Roman" w:cs="Times New Roman"/>
      <w:sz w:val="24"/>
    </w:rPr>
  </w:style>
  <w:style w:type="character" w:customStyle="1" w:styleId="140">
    <w:name w:val="Знак Знак14"/>
    <w:uiPriority w:val="99"/>
    <w:rsid w:val="00CE6209"/>
    <w:rPr>
      <w:rFonts w:cs="Times New Roman"/>
      <w:sz w:val="24"/>
      <w:szCs w:val="24"/>
    </w:rPr>
  </w:style>
  <w:style w:type="paragraph" w:customStyle="1" w:styleId="1f9">
    <w:name w:val="1"/>
    <w:basedOn w:val="a1"/>
    <w:next w:val="aff1"/>
    <w:uiPriority w:val="99"/>
    <w:rsid w:val="00CE6209"/>
    <w:pPr>
      <w:suppressAutoHyphens w:val="0"/>
      <w:spacing w:before="100" w:beforeAutospacing="1" w:after="100" w:afterAutospacing="1"/>
    </w:pPr>
    <w:rPr>
      <w:rFonts w:ascii="Times New Roman" w:eastAsia="Times New Roman" w:hAnsi="Times New Roman" w:cs="Times New Roman"/>
      <w:sz w:val="24"/>
      <w:szCs w:val="24"/>
    </w:rPr>
  </w:style>
  <w:style w:type="paragraph" w:customStyle="1" w:styleId="Oaenoauiinee">
    <w:name w:val="Oaeno auiinee"/>
    <w:basedOn w:val="a1"/>
    <w:uiPriority w:val="99"/>
    <w:rsid w:val="00CE6209"/>
    <w:pPr>
      <w:suppressAutoHyphens w:val="0"/>
      <w:overflowPunct w:val="0"/>
      <w:autoSpaceDE w:val="0"/>
      <w:autoSpaceDN w:val="0"/>
      <w:adjustRightInd w:val="0"/>
      <w:ind w:left="180" w:hanging="180"/>
      <w:jc w:val="right"/>
      <w:textAlignment w:val="baseline"/>
    </w:pPr>
    <w:rPr>
      <w:rFonts w:ascii="Tahoma" w:eastAsia="Times New Roman" w:hAnsi="Tahoma" w:cs="Times New Roman"/>
      <w:b/>
      <w:sz w:val="16"/>
    </w:rPr>
  </w:style>
  <w:style w:type="paragraph" w:customStyle="1" w:styleId="afffd">
    <w:name w:val="Юристы Знак"/>
    <w:basedOn w:val="35"/>
    <w:uiPriority w:val="99"/>
    <w:rsid w:val="00CE6209"/>
    <w:pPr>
      <w:spacing w:before="120" w:after="0"/>
      <w:ind w:left="0"/>
      <w:jc w:val="both"/>
    </w:pPr>
    <w:rPr>
      <w:rFonts w:ascii="Times New Roman" w:hAnsi="Times New Roman"/>
      <w:sz w:val="22"/>
      <w:szCs w:val="24"/>
      <w:lang w:val="x-none" w:eastAsia="x-none"/>
    </w:rPr>
  </w:style>
  <w:style w:type="character" w:customStyle="1" w:styleId="afffe">
    <w:name w:val="Юристы Знак Знак"/>
    <w:uiPriority w:val="99"/>
    <w:rsid w:val="00CE6209"/>
    <w:rPr>
      <w:rFonts w:cs="Times New Roman"/>
      <w:sz w:val="24"/>
      <w:szCs w:val="24"/>
      <w:lang w:val="ru-RU" w:eastAsia="ru-RU" w:bidi="ar-SA"/>
    </w:rPr>
  </w:style>
  <w:style w:type="paragraph" w:customStyle="1" w:styleId="ConsNormal">
    <w:name w:val="ConsNormal"/>
    <w:uiPriority w:val="99"/>
    <w:rsid w:val="00CE6209"/>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FR2">
    <w:name w:val="FR2"/>
    <w:uiPriority w:val="99"/>
    <w:rsid w:val="00CE6209"/>
    <w:pPr>
      <w:widowControl w:val="0"/>
      <w:overflowPunct w:val="0"/>
      <w:autoSpaceDE w:val="0"/>
      <w:autoSpaceDN w:val="0"/>
      <w:adjustRightInd w:val="0"/>
      <w:spacing w:after="0" w:line="240" w:lineRule="auto"/>
    </w:pPr>
    <w:rPr>
      <w:rFonts w:ascii="Arial" w:eastAsia="Times New Roman" w:hAnsi="Arial" w:cs="Times New Roman"/>
      <w:sz w:val="20"/>
      <w:szCs w:val="20"/>
      <w:lang w:eastAsia="ru-RU"/>
    </w:rPr>
  </w:style>
  <w:style w:type="paragraph" w:customStyle="1" w:styleId="affff">
    <w:name w:val="Заг. таб"/>
    <w:basedOn w:val="a1"/>
    <w:autoRedefine/>
    <w:uiPriority w:val="99"/>
    <w:rsid w:val="00CE6209"/>
    <w:pPr>
      <w:suppressAutoHyphens w:val="0"/>
      <w:spacing w:line="300" w:lineRule="exact"/>
      <w:jc w:val="center"/>
    </w:pPr>
    <w:rPr>
      <w:rFonts w:ascii="Times New Roman" w:eastAsia="Times New Roman" w:hAnsi="Times New Roman" w:cs="Times New Roman"/>
      <w:spacing w:val="-2"/>
      <w:sz w:val="24"/>
      <w:szCs w:val="24"/>
    </w:rPr>
  </w:style>
  <w:style w:type="paragraph" w:customStyle="1" w:styleId="Heading">
    <w:name w:val="Heading"/>
    <w:uiPriority w:val="99"/>
    <w:rsid w:val="00CE6209"/>
    <w:pPr>
      <w:widowControl w:val="0"/>
      <w:overflowPunct w:val="0"/>
      <w:autoSpaceDE w:val="0"/>
      <w:autoSpaceDN w:val="0"/>
      <w:adjustRightInd w:val="0"/>
      <w:spacing w:after="0" w:line="240" w:lineRule="auto"/>
    </w:pPr>
    <w:rPr>
      <w:rFonts w:ascii="Arial" w:eastAsia="Times New Roman" w:hAnsi="Arial" w:cs="Times New Roman"/>
      <w:b/>
      <w:szCs w:val="20"/>
      <w:lang w:eastAsia="ru-RU"/>
    </w:rPr>
  </w:style>
  <w:style w:type="character" w:customStyle="1" w:styleId="116">
    <w:name w:val="Заголовок 1 Знак1"/>
    <w:aliases w:val="Заголовок параграфа (1.) Знак1,111 Знак1,Section Знак1,Section Heading Знак1,level2 hdg Знак1"/>
    <w:uiPriority w:val="99"/>
    <w:rsid w:val="00CE6209"/>
    <w:rPr>
      <w:rFonts w:ascii="Cambria" w:hAnsi="Cambria" w:cs="Times New Roman"/>
      <w:b/>
      <w:bCs/>
      <w:color w:val="365F91"/>
      <w:sz w:val="28"/>
      <w:szCs w:val="28"/>
    </w:rPr>
  </w:style>
  <w:style w:type="character" w:customStyle="1" w:styleId="313">
    <w:name w:val="Заголовок 3 Знак1"/>
    <w:aliases w:val="H3 Знак1,Заголовок подпукта (1.1.1) Знак1"/>
    <w:uiPriority w:val="99"/>
    <w:semiHidden/>
    <w:rsid w:val="00CE6209"/>
    <w:rPr>
      <w:rFonts w:ascii="Cambria" w:hAnsi="Cambria" w:cs="Times New Roman"/>
      <w:b/>
      <w:bCs/>
      <w:color w:val="4F81BD"/>
      <w:sz w:val="24"/>
      <w:szCs w:val="24"/>
    </w:rPr>
  </w:style>
  <w:style w:type="character" w:customStyle="1" w:styleId="811">
    <w:name w:val="Заголовок 8 Знак1"/>
    <w:aliases w:val="Legal Level 1.1.1. Знак1"/>
    <w:uiPriority w:val="99"/>
    <w:semiHidden/>
    <w:rsid w:val="00CE6209"/>
    <w:rPr>
      <w:rFonts w:ascii="Cambria" w:hAnsi="Cambria" w:cs="Times New Roman"/>
      <w:color w:val="404040"/>
    </w:rPr>
  </w:style>
  <w:style w:type="character" w:customStyle="1" w:styleId="911">
    <w:name w:val="Заголовок 9 Знак1"/>
    <w:aliases w:val="Legal Level 1.1.1.1. Знак1"/>
    <w:uiPriority w:val="99"/>
    <w:semiHidden/>
    <w:rsid w:val="00CE6209"/>
    <w:rPr>
      <w:rFonts w:ascii="Cambria" w:hAnsi="Cambria" w:cs="Times New Roman"/>
      <w:i/>
      <w:iCs/>
      <w:color w:val="404040"/>
    </w:rPr>
  </w:style>
  <w:style w:type="numbering" w:customStyle="1" w:styleId="List44">
    <w:name w:val="List 44"/>
    <w:basedOn w:val="a4"/>
    <w:rsid w:val="00CE6209"/>
    <w:pPr>
      <w:numPr>
        <w:numId w:val="16"/>
      </w:numPr>
    </w:pPr>
  </w:style>
  <w:style w:type="numbering" w:customStyle="1" w:styleId="List45">
    <w:name w:val="List 45"/>
    <w:basedOn w:val="a4"/>
    <w:rsid w:val="00CE6209"/>
    <w:pPr>
      <w:numPr>
        <w:numId w:val="17"/>
      </w:numPr>
    </w:pPr>
  </w:style>
  <w:style w:type="numbering" w:customStyle="1" w:styleId="List46">
    <w:name w:val="List 46"/>
    <w:basedOn w:val="a4"/>
    <w:rsid w:val="00CE6209"/>
    <w:pPr>
      <w:numPr>
        <w:numId w:val="18"/>
      </w:numPr>
    </w:pPr>
  </w:style>
  <w:style w:type="numbering" w:customStyle="1" w:styleId="List48">
    <w:name w:val="List 48"/>
    <w:basedOn w:val="a4"/>
    <w:rsid w:val="00CE6209"/>
    <w:pPr>
      <w:numPr>
        <w:numId w:val="19"/>
      </w:numPr>
    </w:pPr>
  </w:style>
  <w:style w:type="numbering" w:customStyle="1" w:styleId="List49">
    <w:name w:val="List 49"/>
    <w:basedOn w:val="a4"/>
    <w:rsid w:val="00CE6209"/>
    <w:pPr>
      <w:numPr>
        <w:numId w:val="20"/>
      </w:numPr>
    </w:pPr>
  </w:style>
  <w:style w:type="numbering" w:customStyle="1" w:styleId="List51">
    <w:name w:val="List 51"/>
    <w:basedOn w:val="a4"/>
    <w:rsid w:val="00CE6209"/>
    <w:pPr>
      <w:numPr>
        <w:numId w:val="21"/>
      </w:numPr>
    </w:pPr>
  </w:style>
  <w:style w:type="numbering" w:customStyle="1" w:styleId="List52">
    <w:name w:val="List 52"/>
    <w:basedOn w:val="a4"/>
    <w:rsid w:val="00CE6209"/>
    <w:pPr>
      <w:numPr>
        <w:numId w:val="22"/>
      </w:numPr>
    </w:pPr>
  </w:style>
  <w:style w:type="numbering" w:customStyle="1" w:styleId="List53">
    <w:name w:val="List 53"/>
    <w:basedOn w:val="a4"/>
    <w:rsid w:val="00CE6209"/>
    <w:pPr>
      <w:numPr>
        <w:numId w:val="23"/>
      </w:numPr>
    </w:pPr>
  </w:style>
  <w:style w:type="numbering" w:customStyle="1" w:styleId="List56">
    <w:name w:val="List 56"/>
    <w:basedOn w:val="a4"/>
    <w:rsid w:val="00CE6209"/>
    <w:pPr>
      <w:numPr>
        <w:numId w:val="24"/>
      </w:numPr>
    </w:pPr>
  </w:style>
  <w:style w:type="numbering" w:customStyle="1" w:styleId="List57">
    <w:name w:val="List 57"/>
    <w:basedOn w:val="a4"/>
    <w:rsid w:val="00CE6209"/>
    <w:pPr>
      <w:numPr>
        <w:numId w:val="25"/>
      </w:numPr>
    </w:pPr>
  </w:style>
  <w:style w:type="numbering" w:customStyle="1" w:styleId="List58">
    <w:name w:val="List 58"/>
    <w:basedOn w:val="a4"/>
    <w:rsid w:val="00CE6209"/>
    <w:pPr>
      <w:numPr>
        <w:numId w:val="26"/>
      </w:numPr>
    </w:pPr>
  </w:style>
  <w:style w:type="numbering" w:customStyle="1" w:styleId="List59">
    <w:name w:val="List 59"/>
    <w:basedOn w:val="a4"/>
    <w:rsid w:val="00CE6209"/>
    <w:pPr>
      <w:numPr>
        <w:numId w:val="27"/>
      </w:numPr>
    </w:pPr>
  </w:style>
  <w:style w:type="numbering" w:customStyle="1" w:styleId="List60">
    <w:name w:val="List 60"/>
    <w:basedOn w:val="a4"/>
    <w:rsid w:val="00CE6209"/>
    <w:pPr>
      <w:numPr>
        <w:numId w:val="28"/>
      </w:numPr>
    </w:pPr>
  </w:style>
  <w:style w:type="numbering" w:customStyle="1" w:styleId="List62">
    <w:name w:val="List 62"/>
    <w:basedOn w:val="a4"/>
    <w:rsid w:val="00CE6209"/>
    <w:pPr>
      <w:numPr>
        <w:numId w:val="29"/>
      </w:numPr>
    </w:pPr>
  </w:style>
  <w:style w:type="numbering" w:customStyle="1" w:styleId="List63">
    <w:name w:val="List 63"/>
    <w:basedOn w:val="a4"/>
    <w:rsid w:val="00CE6209"/>
    <w:pPr>
      <w:numPr>
        <w:numId w:val="30"/>
      </w:numPr>
    </w:pPr>
  </w:style>
  <w:style w:type="numbering" w:customStyle="1" w:styleId="List64">
    <w:name w:val="List 64"/>
    <w:basedOn w:val="a4"/>
    <w:rsid w:val="00CE6209"/>
    <w:pPr>
      <w:numPr>
        <w:numId w:val="31"/>
      </w:numPr>
    </w:pPr>
  </w:style>
  <w:style w:type="numbering" w:customStyle="1" w:styleId="List65">
    <w:name w:val="List 65"/>
    <w:basedOn w:val="a4"/>
    <w:rsid w:val="00CE6209"/>
    <w:pPr>
      <w:numPr>
        <w:numId w:val="32"/>
      </w:numPr>
    </w:pPr>
  </w:style>
  <w:style w:type="numbering" w:customStyle="1" w:styleId="List66">
    <w:name w:val="List 66"/>
    <w:basedOn w:val="a4"/>
    <w:rsid w:val="00CE6209"/>
    <w:pPr>
      <w:numPr>
        <w:numId w:val="33"/>
      </w:numPr>
    </w:pPr>
  </w:style>
  <w:style w:type="numbering" w:customStyle="1" w:styleId="List67">
    <w:name w:val="List 67"/>
    <w:basedOn w:val="a4"/>
    <w:rsid w:val="00CE6209"/>
    <w:pPr>
      <w:numPr>
        <w:numId w:val="34"/>
      </w:numPr>
    </w:pPr>
  </w:style>
  <w:style w:type="numbering" w:customStyle="1" w:styleId="List68">
    <w:name w:val="List 68"/>
    <w:basedOn w:val="a4"/>
    <w:rsid w:val="00CE6209"/>
    <w:pPr>
      <w:numPr>
        <w:numId w:val="35"/>
      </w:numPr>
    </w:pPr>
  </w:style>
  <w:style w:type="numbering" w:customStyle="1" w:styleId="List69">
    <w:name w:val="List 69"/>
    <w:basedOn w:val="a4"/>
    <w:rsid w:val="00CE6209"/>
    <w:pPr>
      <w:numPr>
        <w:numId w:val="36"/>
      </w:numPr>
    </w:pPr>
  </w:style>
  <w:style w:type="numbering" w:customStyle="1" w:styleId="List70">
    <w:name w:val="List 70"/>
    <w:basedOn w:val="a4"/>
    <w:rsid w:val="00CE6209"/>
    <w:pPr>
      <w:numPr>
        <w:numId w:val="37"/>
      </w:numPr>
    </w:pPr>
  </w:style>
  <w:style w:type="table" w:customStyle="1" w:styleId="TableNormal">
    <w:name w:val="Table Normal"/>
    <w:rsid w:val="00CE6209"/>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paragraph" w:customStyle="1" w:styleId="affff0">
    <w:name w:val="По умолчанию"/>
    <w:rsid w:val="00CE6209"/>
    <w:pPr>
      <w:pBdr>
        <w:top w:val="nil"/>
        <w:left w:val="nil"/>
        <w:bottom w:val="nil"/>
        <w:right w:val="nil"/>
        <w:between w:val="nil"/>
        <w:bar w:val="nil"/>
      </w:pBdr>
      <w:spacing w:after="0" w:line="240" w:lineRule="auto"/>
    </w:pPr>
    <w:rPr>
      <w:rFonts w:ascii="Arial Unicode MS" w:eastAsia="Arial Unicode MS" w:hAnsi="Helvetica" w:cs="Arial Unicode MS"/>
      <w:color w:val="000000"/>
      <w:bdr w:val="nil"/>
      <w:lang w:eastAsia="ru-RU"/>
    </w:rPr>
  </w:style>
  <w:style w:type="numbering" w:customStyle="1" w:styleId="List0">
    <w:name w:val="List 0"/>
    <w:basedOn w:val="45"/>
    <w:rsid w:val="00CE6209"/>
    <w:pPr>
      <w:numPr>
        <w:numId w:val="103"/>
      </w:numPr>
    </w:pPr>
  </w:style>
  <w:style w:type="numbering" w:customStyle="1" w:styleId="45">
    <w:name w:val="Импортированный стиль 4"/>
    <w:rsid w:val="00CE6209"/>
  </w:style>
  <w:style w:type="numbering" w:customStyle="1" w:styleId="List1">
    <w:name w:val="List 1"/>
    <w:basedOn w:val="56"/>
    <w:rsid w:val="00CE6209"/>
    <w:pPr>
      <w:numPr>
        <w:numId w:val="39"/>
      </w:numPr>
    </w:pPr>
  </w:style>
  <w:style w:type="numbering" w:customStyle="1" w:styleId="56">
    <w:name w:val="Импортированный стиль 5"/>
    <w:rsid w:val="00CE6209"/>
  </w:style>
  <w:style w:type="numbering" w:customStyle="1" w:styleId="21">
    <w:name w:val="Список 21"/>
    <w:basedOn w:val="65"/>
    <w:rsid w:val="00CE6209"/>
    <w:pPr>
      <w:numPr>
        <w:numId w:val="40"/>
      </w:numPr>
    </w:pPr>
  </w:style>
  <w:style w:type="numbering" w:customStyle="1" w:styleId="65">
    <w:name w:val="Импортированный стиль 6"/>
    <w:rsid w:val="00CE6209"/>
  </w:style>
  <w:style w:type="numbering" w:customStyle="1" w:styleId="31">
    <w:name w:val="Список 31"/>
    <w:basedOn w:val="65"/>
    <w:rsid w:val="00CE6209"/>
    <w:pPr>
      <w:numPr>
        <w:numId w:val="41"/>
      </w:numPr>
    </w:pPr>
  </w:style>
  <w:style w:type="numbering" w:customStyle="1" w:styleId="41">
    <w:name w:val="Список 41"/>
    <w:basedOn w:val="101"/>
    <w:rsid w:val="00CE6209"/>
    <w:pPr>
      <w:numPr>
        <w:numId w:val="42"/>
      </w:numPr>
    </w:pPr>
  </w:style>
  <w:style w:type="numbering" w:customStyle="1" w:styleId="101">
    <w:name w:val="Импортированный стиль 10"/>
    <w:rsid w:val="00CE6209"/>
  </w:style>
  <w:style w:type="numbering" w:customStyle="1" w:styleId="51">
    <w:name w:val="Список 51"/>
    <w:basedOn w:val="117"/>
    <w:rsid w:val="00CE6209"/>
    <w:pPr>
      <w:numPr>
        <w:numId w:val="43"/>
      </w:numPr>
    </w:pPr>
  </w:style>
  <w:style w:type="numbering" w:customStyle="1" w:styleId="117">
    <w:name w:val="Импортированный стиль 11"/>
    <w:rsid w:val="00CE6209"/>
  </w:style>
  <w:style w:type="numbering" w:customStyle="1" w:styleId="List6">
    <w:name w:val="List 6"/>
    <w:basedOn w:val="123"/>
    <w:rsid w:val="00CE6209"/>
    <w:pPr>
      <w:numPr>
        <w:numId w:val="44"/>
      </w:numPr>
    </w:pPr>
  </w:style>
  <w:style w:type="numbering" w:customStyle="1" w:styleId="123">
    <w:name w:val="Импортированный стиль 12"/>
    <w:rsid w:val="00CE6209"/>
  </w:style>
  <w:style w:type="numbering" w:customStyle="1" w:styleId="List7">
    <w:name w:val="List 7"/>
    <w:basedOn w:val="130"/>
    <w:rsid w:val="00CE6209"/>
    <w:pPr>
      <w:numPr>
        <w:numId w:val="45"/>
      </w:numPr>
    </w:pPr>
  </w:style>
  <w:style w:type="numbering" w:customStyle="1" w:styleId="130">
    <w:name w:val="Импортированный стиль 13"/>
    <w:rsid w:val="00CE6209"/>
  </w:style>
  <w:style w:type="numbering" w:customStyle="1" w:styleId="List8">
    <w:name w:val="List 8"/>
    <w:basedOn w:val="141"/>
    <w:rsid w:val="00CE6209"/>
    <w:pPr>
      <w:numPr>
        <w:numId w:val="46"/>
      </w:numPr>
    </w:pPr>
  </w:style>
  <w:style w:type="numbering" w:customStyle="1" w:styleId="141">
    <w:name w:val="Импортированный стиль 14"/>
    <w:rsid w:val="00CE6209"/>
  </w:style>
  <w:style w:type="numbering" w:customStyle="1" w:styleId="List9">
    <w:name w:val="List 9"/>
    <w:basedOn w:val="150"/>
    <w:rsid w:val="00CE6209"/>
    <w:pPr>
      <w:numPr>
        <w:numId w:val="47"/>
      </w:numPr>
    </w:pPr>
  </w:style>
  <w:style w:type="numbering" w:customStyle="1" w:styleId="150">
    <w:name w:val="Импортированный стиль 15"/>
    <w:rsid w:val="00CE6209"/>
  </w:style>
  <w:style w:type="numbering" w:customStyle="1" w:styleId="List10">
    <w:name w:val="List 10"/>
    <w:basedOn w:val="160"/>
    <w:rsid w:val="00CE6209"/>
    <w:pPr>
      <w:numPr>
        <w:numId w:val="48"/>
      </w:numPr>
    </w:pPr>
  </w:style>
  <w:style w:type="numbering" w:customStyle="1" w:styleId="160">
    <w:name w:val="Импортированный стиль 16"/>
    <w:rsid w:val="00CE6209"/>
  </w:style>
  <w:style w:type="numbering" w:customStyle="1" w:styleId="List11">
    <w:name w:val="List 11"/>
    <w:basedOn w:val="170"/>
    <w:rsid w:val="00CE6209"/>
    <w:pPr>
      <w:numPr>
        <w:numId w:val="49"/>
      </w:numPr>
    </w:pPr>
  </w:style>
  <w:style w:type="numbering" w:customStyle="1" w:styleId="170">
    <w:name w:val="Импортированный стиль 17"/>
    <w:rsid w:val="00CE6209"/>
  </w:style>
  <w:style w:type="numbering" w:customStyle="1" w:styleId="List12">
    <w:name w:val="List 12"/>
    <w:basedOn w:val="180"/>
    <w:rsid w:val="00CE6209"/>
    <w:pPr>
      <w:numPr>
        <w:numId w:val="50"/>
      </w:numPr>
    </w:pPr>
  </w:style>
  <w:style w:type="numbering" w:customStyle="1" w:styleId="180">
    <w:name w:val="Импортированный стиль 18"/>
    <w:rsid w:val="00CE6209"/>
  </w:style>
  <w:style w:type="numbering" w:customStyle="1" w:styleId="List13">
    <w:name w:val="List 13"/>
    <w:basedOn w:val="190"/>
    <w:rsid w:val="00CE6209"/>
    <w:pPr>
      <w:numPr>
        <w:numId w:val="51"/>
      </w:numPr>
    </w:pPr>
  </w:style>
  <w:style w:type="numbering" w:customStyle="1" w:styleId="190">
    <w:name w:val="Импортированный стиль 19"/>
    <w:rsid w:val="00CE6209"/>
  </w:style>
  <w:style w:type="numbering" w:customStyle="1" w:styleId="List14">
    <w:name w:val="List 14"/>
    <w:basedOn w:val="200"/>
    <w:rsid w:val="00CE6209"/>
    <w:pPr>
      <w:numPr>
        <w:numId w:val="52"/>
      </w:numPr>
    </w:pPr>
  </w:style>
  <w:style w:type="numbering" w:customStyle="1" w:styleId="200">
    <w:name w:val="Импортированный стиль 20"/>
    <w:rsid w:val="00CE6209"/>
  </w:style>
  <w:style w:type="numbering" w:customStyle="1" w:styleId="List15">
    <w:name w:val="List 15"/>
    <w:basedOn w:val="216"/>
    <w:rsid w:val="00CE6209"/>
    <w:pPr>
      <w:numPr>
        <w:numId w:val="53"/>
      </w:numPr>
    </w:pPr>
  </w:style>
  <w:style w:type="numbering" w:customStyle="1" w:styleId="216">
    <w:name w:val="Импортированный стиль 21"/>
    <w:rsid w:val="00CE6209"/>
  </w:style>
  <w:style w:type="numbering" w:customStyle="1" w:styleId="List16">
    <w:name w:val="List 16"/>
    <w:basedOn w:val="220"/>
    <w:rsid w:val="00CE6209"/>
    <w:pPr>
      <w:numPr>
        <w:numId w:val="54"/>
      </w:numPr>
    </w:pPr>
  </w:style>
  <w:style w:type="numbering" w:customStyle="1" w:styleId="220">
    <w:name w:val="Импортированный стиль 22"/>
    <w:rsid w:val="00CE6209"/>
  </w:style>
  <w:style w:type="numbering" w:customStyle="1" w:styleId="List17">
    <w:name w:val="List 17"/>
    <w:basedOn w:val="230"/>
    <w:rsid w:val="00CE6209"/>
    <w:pPr>
      <w:numPr>
        <w:numId w:val="55"/>
      </w:numPr>
    </w:pPr>
  </w:style>
  <w:style w:type="numbering" w:customStyle="1" w:styleId="230">
    <w:name w:val="Импортированный стиль 23"/>
    <w:rsid w:val="00CE6209"/>
  </w:style>
  <w:style w:type="numbering" w:customStyle="1" w:styleId="List18">
    <w:name w:val="List 18"/>
    <w:basedOn w:val="240"/>
    <w:rsid w:val="00CE6209"/>
    <w:pPr>
      <w:numPr>
        <w:numId w:val="56"/>
      </w:numPr>
    </w:pPr>
  </w:style>
  <w:style w:type="numbering" w:customStyle="1" w:styleId="240">
    <w:name w:val="Импортированный стиль 24"/>
    <w:rsid w:val="00CE6209"/>
  </w:style>
  <w:style w:type="numbering" w:customStyle="1" w:styleId="List19">
    <w:name w:val="List 19"/>
    <w:basedOn w:val="250"/>
    <w:rsid w:val="00CE6209"/>
    <w:pPr>
      <w:numPr>
        <w:numId w:val="57"/>
      </w:numPr>
    </w:pPr>
  </w:style>
  <w:style w:type="numbering" w:customStyle="1" w:styleId="250">
    <w:name w:val="Импортированный стиль 25"/>
    <w:rsid w:val="00CE6209"/>
  </w:style>
  <w:style w:type="numbering" w:customStyle="1" w:styleId="List20">
    <w:name w:val="List 20"/>
    <w:basedOn w:val="260"/>
    <w:rsid w:val="00CE6209"/>
    <w:pPr>
      <w:numPr>
        <w:numId w:val="58"/>
      </w:numPr>
    </w:pPr>
  </w:style>
  <w:style w:type="numbering" w:customStyle="1" w:styleId="260">
    <w:name w:val="Импортированный стиль 26"/>
    <w:rsid w:val="00CE6209"/>
  </w:style>
  <w:style w:type="numbering" w:customStyle="1" w:styleId="List21">
    <w:name w:val="List 21"/>
    <w:basedOn w:val="270"/>
    <w:rsid w:val="00CE6209"/>
    <w:pPr>
      <w:numPr>
        <w:numId w:val="59"/>
      </w:numPr>
    </w:pPr>
  </w:style>
  <w:style w:type="numbering" w:customStyle="1" w:styleId="270">
    <w:name w:val="Импортированный стиль 27"/>
    <w:rsid w:val="00CE6209"/>
  </w:style>
  <w:style w:type="numbering" w:customStyle="1" w:styleId="List22">
    <w:name w:val="List 22"/>
    <w:basedOn w:val="280"/>
    <w:rsid w:val="00CE6209"/>
    <w:pPr>
      <w:numPr>
        <w:numId w:val="60"/>
      </w:numPr>
    </w:pPr>
  </w:style>
  <w:style w:type="numbering" w:customStyle="1" w:styleId="280">
    <w:name w:val="Импортированный стиль 28"/>
    <w:rsid w:val="00CE6209"/>
  </w:style>
  <w:style w:type="numbering" w:customStyle="1" w:styleId="List23">
    <w:name w:val="List 23"/>
    <w:basedOn w:val="290"/>
    <w:rsid w:val="00CE6209"/>
    <w:pPr>
      <w:numPr>
        <w:numId w:val="61"/>
      </w:numPr>
    </w:pPr>
  </w:style>
  <w:style w:type="numbering" w:customStyle="1" w:styleId="290">
    <w:name w:val="Импортированный стиль 29"/>
    <w:rsid w:val="00CE6209"/>
  </w:style>
  <w:style w:type="numbering" w:customStyle="1" w:styleId="List24">
    <w:name w:val="List 24"/>
    <w:basedOn w:val="300"/>
    <w:rsid w:val="00CE6209"/>
    <w:pPr>
      <w:numPr>
        <w:numId w:val="62"/>
      </w:numPr>
    </w:pPr>
  </w:style>
  <w:style w:type="numbering" w:customStyle="1" w:styleId="300">
    <w:name w:val="Импортированный стиль 30"/>
    <w:rsid w:val="00CE6209"/>
  </w:style>
  <w:style w:type="numbering" w:customStyle="1" w:styleId="List25">
    <w:name w:val="List 25"/>
    <w:basedOn w:val="314"/>
    <w:rsid w:val="00CE6209"/>
    <w:pPr>
      <w:numPr>
        <w:numId w:val="63"/>
      </w:numPr>
    </w:pPr>
  </w:style>
  <w:style w:type="numbering" w:customStyle="1" w:styleId="314">
    <w:name w:val="Импортированный стиль 31"/>
    <w:rsid w:val="00CE6209"/>
  </w:style>
  <w:style w:type="numbering" w:customStyle="1" w:styleId="List26">
    <w:name w:val="List 26"/>
    <w:basedOn w:val="320"/>
    <w:rsid w:val="00CE6209"/>
    <w:pPr>
      <w:numPr>
        <w:numId w:val="64"/>
      </w:numPr>
    </w:pPr>
  </w:style>
  <w:style w:type="numbering" w:customStyle="1" w:styleId="320">
    <w:name w:val="Импортированный стиль 32"/>
    <w:rsid w:val="00CE6209"/>
  </w:style>
  <w:style w:type="numbering" w:customStyle="1" w:styleId="List27">
    <w:name w:val="List 27"/>
    <w:basedOn w:val="330"/>
    <w:rsid w:val="00CE6209"/>
    <w:pPr>
      <w:numPr>
        <w:numId w:val="65"/>
      </w:numPr>
    </w:pPr>
  </w:style>
  <w:style w:type="numbering" w:customStyle="1" w:styleId="330">
    <w:name w:val="Импортированный стиль 33"/>
    <w:rsid w:val="00CE6209"/>
  </w:style>
  <w:style w:type="numbering" w:customStyle="1" w:styleId="List28">
    <w:name w:val="List 28"/>
    <w:basedOn w:val="340"/>
    <w:rsid w:val="00CE6209"/>
    <w:pPr>
      <w:numPr>
        <w:numId w:val="66"/>
      </w:numPr>
    </w:pPr>
  </w:style>
  <w:style w:type="numbering" w:customStyle="1" w:styleId="340">
    <w:name w:val="Импортированный стиль 34"/>
    <w:rsid w:val="00CE6209"/>
  </w:style>
  <w:style w:type="numbering" w:customStyle="1" w:styleId="List29">
    <w:name w:val="List 29"/>
    <w:basedOn w:val="350"/>
    <w:rsid w:val="00CE6209"/>
    <w:pPr>
      <w:numPr>
        <w:numId w:val="67"/>
      </w:numPr>
    </w:pPr>
  </w:style>
  <w:style w:type="numbering" w:customStyle="1" w:styleId="350">
    <w:name w:val="Импортированный стиль 35"/>
    <w:rsid w:val="00CE6209"/>
  </w:style>
  <w:style w:type="numbering" w:customStyle="1" w:styleId="List30">
    <w:name w:val="List 30"/>
    <w:basedOn w:val="360"/>
    <w:rsid w:val="00CE6209"/>
    <w:pPr>
      <w:numPr>
        <w:numId w:val="68"/>
      </w:numPr>
    </w:pPr>
  </w:style>
  <w:style w:type="numbering" w:customStyle="1" w:styleId="360">
    <w:name w:val="Импортированный стиль 36"/>
    <w:rsid w:val="00CE6209"/>
  </w:style>
  <w:style w:type="numbering" w:customStyle="1" w:styleId="List31">
    <w:name w:val="List 31"/>
    <w:basedOn w:val="370"/>
    <w:rsid w:val="00CE6209"/>
    <w:pPr>
      <w:numPr>
        <w:numId w:val="69"/>
      </w:numPr>
    </w:pPr>
  </w:style>
  <w:style w:type="numbering" w:customStyle="1" w:styleId="370">
    <w:name w:val="Импортированный стиль 37"/>
    <w:rsid w:val="00CE6209"/>
  </w:style>
  <w:style w:type="numbering" w:customStyle="1" w:styleId="List32">
    <w:name w:val="List 32"/>
    <w:basedOn w:val="380"/>
    <w:rsid w:val="00CE6209"/>
    <w:pPr>
      <w:numPr>
        <w:numId w:val="70"/>
      </w:numPr>
    </w:pPr>
  </w:style>
  <w:style w:type="numbering" w:customStyle="1" w:styleId="380">
    <w:name w:val="Импортированный стиль 38"/>
    <w:rsid w:val="00CE6209"/>
  </w:style>
  <w:style w:type="numbering" w:customStyle="1" w:styleId="List33">
    <w:name w:val="List 33"/>
    <w:basedOn w:val="39"/>
    <w:rsid w:val="00CE6209"/>
    <w:pPr>
      <w:numPr>
        <w:numId w:val="71"/>
      </w:numPr>
    </w:pPr>
  </w:style>
  <w:style w:type="numbering" w:customStyle="1" w:styleId="39">
    <w:name w:val="Импортированный стиль 39"/>
    <w:rsid w:val="00CE6209"/>
  </w:style>
  <w:style w:type="numbering" w:customStyle="1" w:styleId="List34">
    <w:name w:val="List 34"/>
    <w:basedOn w:val="400"/>
    <w:rsid w:val="00CE6209"/>
    <w:pPr>
      <w:numPr>
        <w:numId w:val="72"/>
      </w:numPr>
    </w:pPr>
  </w:style>
  <w:style w:type="numbering" w:customStyle="1" w:styleId="400">
    <w:name w:val="Импортированный стиль 40"/>
    <w:rsid w:val="00CE6209"/>
  </w:style>
  <w:style w:type="numbering" w:customStyle="1" w:styleId="List35">
    <w:name w:val="List 35"/>
    <w:basedOn w:val="410"/>
    <w:rsid w:val="00CE6209"/>
    <w:pPr>
      <w:numPr>
        <w:numId w:val="73"/>
      </w:numPr>
    </w:pPr>
  </w:style>
  <w:style w:type="numbering" w:customStyle="1" w:styleId="410">
    <w:name w:val="Импортированный стиль 41"/>
    <w:rsid w:val="00CE6209"/>
  </w:style>
  <w:style w:type="numbering" w:customStyle="1" w:styleId="List36">
    <w:name w:val="List 36"/>
    <w:basedOn w:val="420"/>
    <w:rsid w:val="00CE6209"/>
    <w:pPr>
      <w:numPr>
        <w:numId w:val="74"/>
      </w:numPr>
    </w:pPr>
  </w:style>
  <w:style w:type="numbering" w:customStyle="1" w:styleId="420">
    <w:name w:val="Импортированный стиль 42"/>
    <w:rsid w:val="00CE6209"/>
  </w:style>
  <w:style w:type="numbering" w:customStyle="1" w:styleId="List37">
    <w:name w:val="List 37"/>
    <w:basedOn w:val="430"/>
    <w:rsid w:val="00CE6209"/>
    <w:pPr>
      <w:numPr>
        <w:numId w:val="75"/>
      </w:numPr>
    </w:pPr>
  </w:style>
  <w:style w:type="numbering" w:customStyle="1" w:styleId="430">
    <w:name w:val="Импортированный стиль 43"/>
    <w:rsid w:val="00CE6209"/>
  </w:style>
  <w:style w:type="numbering" w:customStyle="1" w:styleId="List38">
    <w:name w:val="List 38"/>
    <w:basedOn w:val="440"/>
    <w:rsid w:val="00CE6209"/>
    <w:pPr>
      <w:numPr>
        <w:numId w:val="76"/>
      </w:numPr>
    </w:pPr>
  </w:style>
  <w:style w:type="numbering" w:customStyle="1" w:styleId="440">
    <w:name w:val="Импортированный стиль 44"/>
    <w:rsid w:val="00CE6209"/>
  </w:style>
  <w:style w:type="numbering" w:customStyle="1" w:styleId="List39">
    <w:name w:val="List 39"/>
    <w:basedOn w:val="440"/>
    <w:rsid w:val="00CE6209"/>
    <w:pPr>
      <w:numPr>
        <w:numId w:val="77"/>
      </w:numPr>
    </w:pPr>
  </w:style>
  <w:style w:type="numbering" w:customStyle="1" w:styleId="List40">
    <w:name w:val="List 40"/>
    <w:basedOn w:val="450"/>
    <w:rsid w:val="00CE6209"/>
    <w:pPr>
      <w:numPr>
        <w:numId w:val="78"/>
      </w:numPr>
    </w:pPr>
  </w:style>
  <w:style w:type="numbering" w:customStyle="1" w:styleId="450">
    <w:name w:val="Импортированный стиль 45"/>
    <w:rsid w:val="00CE6209"/>
  </w:style>
  <w:style w:type="numbering" w:customStyle="1" w:styleId="List41">
    <w:name w:val="List 41"/>
    <w:basedOn w:val="46"/>
    <w:rsid w:val="00CE6209"/>
    <w:pPr>
      <w:numPr>
        <w:numId w:val="79"/>
      </w:numPr>
    </w:pPr>
  </w:style>
  <w:style w:type="numbering" w:customStyle="1" w:styleId="46">
    <w:name w:val="Импортированный стиль 46"/>
    <w:rsid w:val="00CE6209"/>
  </w:style>
  <w:style w:type="numbering" w:customStyle="1" w:styleId="List42">
    <w:name w:val="List 42"/>
    <w:basedOn w:val="47"/>
    <w:rsid w:val="00CE6209"/>
    <w:pPr>
      <w:numPr>
        <w:numId w:val="80"/>
      </w:numPr>
    </w:pPr>
  </w:style>
  <w:style w:type="numbering" w:customStyle="1" w:styleId="47">
    <w:name w:val="Импортированный стиль 47"/>
    <w:rsid w:val="00CE6209"/>
  </w:style>
  <w:style w:type="numbering" w:customStyle="1" w:styleId="List43">
    <w:name w:val="List 43"/>
    <w:basedOn w:val="48"/>
    <w:rsid w:val="00CE6209"/>
    <w:pPr>
      <w:numPr>
        <w:numId w:val="81"/>
      </w:numPr>
    </w:pPr>
  </w:style>
  <w:style w:type="numbering" w:customStyle="1" w:styleId="48">
    <w:name w:val="Импортированный стиль 48"/>
    <w:rsid w:val="00CE6209"/>
  </w:style>
  <w:style w:type="numbering" w:customStyle="1" w:styleId="49">
    <w:name w:val="Импортированный стиль 49"/>
    <w:rsid w:val="00CE6209"/>
  </w:style>
  <w:style w:type="numbering" w:customStyle="1" w:styleId="500">
    <w:name w:val="Импортированный стиль 50"/>
    <w:rsid w:val="00CE6209"/>
  </w:style>
  <w:style w:type="numbering" w:customStyle="1" w:styleId="510">
    <w:name w:val="Импортированный стиль 51"/>
    <w:rsid w:val="00CE6209"/>
  </w:style>
  <w:style w:type="numbering" w:customStyle="1" w:styleId="520">
    <w:name w:val="Импортированный стиль 52"/>
    <w:rsid w:val="00CE6209"/>
  </w:style>
  <w:style w:type="numbering" w:customStyle="1" w:styleId="530">
    <w:name w:val="Импортированный стиль 53"/>
    <w:rsid w:val="00CE6209"/>
  </w:style>
  <w:style w:type="numbering" w:customStyle="1" w:styleId="540">
    <w:name w:val="Импортированный стиль 54"/>
    <w:rsid w:val="00CE6209"/>
  </w:style>
  <w:style w:type="numbering" w:customStyle="1" w:styleId="550">
    <w:name w:val="Импортированный стиль 55"/>
    <w:rsid w:val="00CE6209"/>
  </w:style>
  <w:style w:type="numbering" w:customStyle="1" w:styleId="560">
    <w:name w:val="Импортированный стиль 56"/>
    <w:rsid w:val="00CE6209"/>
  </w:style>
  <w:style w:type="numbering" w:customStyle="1" w:styleId="57">
    <w:name w:val="Импортированный стиль 57"/>
    <w:rsid w:val="00CE6209"/>
  </w:style>
  <w:style w:type="numbering" w:customStyle="1" w:styleId="58">
    <w:name w:val="Импортированный стиль 58"/>
    <w:rsid w:val="00CE6209"/>
  </w:style>
  <w:style w:type="numbering" w:customStyle="1" w:styleId="59">
    <w:name w:val="Импортированный стиль 59"/>
    <w:rsid w:val="00CE6209"/>
  </w:style>
  <w:style w:type="numbering" w:customStyle="1" w:styleId="600">
    <w:name w:val="Импортированный стиль 60"/>
    <w:rsid w:val="00CE6209"/>
  </w:style>
  <w:style w:type="numbering" w:customStyle="1" w:styleId="613">
    <w:name w:val="Импортированный стиль 61"/>
    <w:rsid w:val="00CE6209"/>
  </w:style>
  <w:style w:type="numbering" w:customStyle="1" w:styleId="620">
    <w:name w:val="Импортированный стиль 62"/>
    <w:rsid w:val="00CE6209"/>
  </w:style>
  <w:style w:type="numbering" w:customStyle="1" w:styleId="630">
    <w:name w:val="Импортированный стиль 63"/>
    <w:rsid w:val="00CE6209"/>
  </w:style>
  <w:style w:type="numbering" w:customStyle="1" w:styleId="640">
    <w:name w:val="Импортированный стиль 64"/>
    <w:rsid w:val="00CE6209"/>
  </w:style>
  <w:style w:type="numbering" w:customStyle="1" w:styleId="650">
    <w:name w:val="Импортированный стиль 65"/>
    <w:rsid w:val="00CE6209"/>
  </w:style>
  <w:style w:type="numbering" w:customStyle="1" w:styleId="List61">
    <w:name w:val="List 61"/>
    <w:basedOn w:val="66"/>
    <w:rsid w:val="00CE6209"/>
    <w:pPr>
      <w:numPr>
        <w:numId w:val="82"/>
      </w:numPr>
    </w:pPr>
  </w:style>
  <w:style w:type="numbering" w:customStyle="1" w:styleId="66">
    <w:name w:val="Импортированный стиль 66"/>
    <w:rsid w:val="00CE6209"/>
  </w:style>
  <w:style w:type="numbering" w:customStyle="1" w:styleId="67">
    <w:name w:val="Импортированный стиль 67"/>
    <w:rsid w:val="00CE6209"/>
  </w:style>
  <w:style w:type="numbering" w:customStyle="1" w:styleId="68">
    <w:name w:val="Импортированный стиль 68"/>
    <w:rsid w:val="00CE6209"/>
  </w:style>
  <w:style w:type="numbering" w:customStyle="1" w:styleId="69">
    <w:name w:val="Импортированный стиль 69"/>
    <w:rsid w:val="00CE6209"/>
  </w:style>
  <w:style w:type="numbering" w:customStyle="1" w:styleId="700">
    <w:name w:val="Импортированный стиль 70"/>
    <w:rsid w:val="00CE6209"/>
  </w:style>
  <w:style w:type="numbering" w:customStyle="1" w:styleId="711">
    <w:name w:val="Импортированный стиль 71"/>
    <w:rsid w:val="00CE6209"/>
  </w:style>
  <w:style w:type="numbering" w:customStyle="1" w:styleId="720">
    <w:name w:val="Импортированный стиль 72"/>
    <w:rsid w:val="00CE6209"/>
  </w:style>
  <w:style w:type="numbering" w:customStyle="1" w:styleId="730">
    <w:name w:val="Импортированный стиль 73"/>
    <w:rsid w:val="00CE6209"/>
  </w:style>
  <w:style w:type="numbering" w:customStyle="1" w:styleId="740">
    <w:name w:val="Импортированный стиль 74"/>
    <w:rsid w:val="00CE6209"/>
  </w:style>
  <w:style w:type="numbering" w:customStyle="1" w:styleId="List71">
    <w:name w:val="List 71"/>
    <w:basedOn w:val="750"/>
    <w:rsid w:val="00CE6209"/>
    <w:pPr>
      <w:numPr>
        <w:numId w:val="83"/>
      </w:numPr>
    </w:pPr>
  </w:style>
  <w:style w:type="numbering" w:customStyle="1" w:styleId="750">
    <w:name w:val="Импортированный стиль 75"/>
    <w:rsid w:val="00CE6209"/>
  </w:style>
  <w:style w:type="numbering" w:customStyle="1" w:styleId="List72">
    <w:name w:val="List 72"/>
    <w:basedOn w:val="7500"/>
    <w:rsid w:val="00CE6209"/>
    <w:pPr>
      <w:numPr>
        <w:numId w:val="84"/>
      </w:numPr>
    </w:pPr>
  </w:style>
  <w:style w:type="numbering" w:customStyle="1" w:styleId="7500">
    <w:name w:val="Импортированный стиль 75.0"/>
    <w:rsid w:val="00CE6209"/>
  </w:style>
  <w:style w:type="character" w:customStyle="1" w:styleId="Hyperlink0">
    <w:name w:val="Hyperlink.0"/>
    <w:rsid w:val="00CE6209"/>
    <w:rPr>
      <w:rFonts w:ascii="Garamond" w:eastAsia="Garamond" w:hAnsi="Garamond" w:cs="Garamond"/>
      <w:color w:val="FF0000"/>
      <w:sz w:val="20"/>
      <w:szCs w:val="20"/>
      <w:u w:color="FF0000"/>
      <w:lang w:val="ru-RU"/>
    </w:rPr>
  </w:style>
  <w:style w:type="numbering" w:customStyle="1" w:styleId="List73">
    <w:name w:val="List 73"/>
    <w:basedOn w:val="76"/>
    <w:rsid w:val="00CE6209"/>
    <w:pPr>
      <w:numPr>
        <w:numId w:val="85"/>
      </w:numPr>
    </w:pPr>
  </w:style>
  <w:style w:type="numbering" w:customStyle="1" w:styleId="76">
    <w:name w:val="Импортированный стиль 76"/>
    <w:rsid w:val="00CE6209"/>
  </w:style>
  <w:style w:type="numbering" w:customStyle="1" w:styleId="List74">
    <w:name w:val="List 74"/>
    <w:basedOn w:val="78"/>
    <w:rsid w:val="00CE6209"/>
    <w:pPr>
      <w:numPr>
        <w:numId w:val="86"/>
      </w:numPr>
    </w:pPr>
  </w:style>
  <w:style w:type="numbering" w:customStyle="1" w:styleId="78">
    <w:name w:val="Импортированный стиль 78"/>
    <w:rsid w:val="00CE6209"/>
  </w:style>
  <w:style w:type="numbering" w:customStyle="1" w:styleId="List75">
    <w:name w:val="List 75"/>
    <w:basedOn w:val="79"/>
    <w:rsid w:val="00CE6209"/>
    <w:pPr>
      <w:numPr>
        <w:numId w:val="87"/>
      </w:numPr>
    </w:pPr>
  </w:style>
  <w:style w:type="numbering" w:customStyle="1" w:styleId="79">
    <w:name w:val="Импортированный стиль 79"/>
    <w:rsid w:val="00CE6209"/>
  </w:style>
  <w:style w:type="numbering" w:customStyle="1" w:styleId="List76">
    <w:name w:val="List 76"/>
    <w:basedOn w:val="800"/>
    <w:rsid w:val="00CE6209"/>
    <w:pPr>
      <w:numPr>
        <w:numId w:val="88"/>
      </w:numPr>
    </w:pPr>
  </w:style>
  <w:style w:type="numbering" w:customStyle="1" w:styleId="800">
    <w:name w:val="Импортированный стиль 80"/>
    <w:rsid w:val="00CE6209"/>
  </w:style>
  <w:style w:type="numbering" w:customStyle="1" w:styleId="List77">
    <w:name w:val="List 77"/>
    <w:basedOn w:val="812"/>
    <w:rsid w:val="00CE6209"/>
    <w:pPr>
      <w:numPr>
        <w:numId w:val="89"/>
      </w:numPr>
    </w:pPr>
  </w:style>
  <w:style w:type="numbering" w:customStyle="1" w:styleId="812">
    <w:name w:val="Импортированный стиль 81"/>
    <w:rsid w:val="00CE6209"/>
  </w:style>
  <w:style w:type="paragraph" w:customStyle="1" w:styleId="102">
    <w:name w:val="Абзац списка10"/>
    <w:basedOn w:val="a1"/>
    <w:rsid w:val="00101F7C"/>
    <w:pPr>
      <w:spacing w:after="200" w:line="276" w:lineRule="auto"/>
      <w:ind w:left="720"/>
    </w:pPr>
    <w:rPr>
      <w:rFonts w:ascii="Calibri" w:eastAsia="Times New Roman" w:hAnsi="Calibri" w:cs="Times New Roman"/>
      <w:sz w:val="22"/>
      <w:szCs w:val="22"/>
      <w:lang w:eastAsia="ar-SA"/>
    </w:rPr>
  </w:style>
  <w:style w:type="character" w:customStyle="1" w:styleId="affff1">
    <w:name w:val="Название Знак"/>
    <w:uiPriority w:val="99"/>
    <w:locked/>
    <w:rsid w:val="00101F7C"/>
    <w:rPr>
      <w:rFonts w:ascii="Cambria" w:hAnsi="Cambria" w:cs="Times New Roman"/>
      <w:b/>
      <w:bCs/>
      <w:kern w:val="28"/>
      <w:sz w:val="32"/>
      <w:szCs w:val="32"/>
    </w:rPr>
  </w:style>
  <w:style w:type="character" w:customStyle="1" w:styleId="FooterChar">
    <w:name w:val="Footer Char"/>
    <w:locked/>
    <w:rsid w:val="00101F7C"/>
    <w:rPr>
      <w:rFonts w:ascii="Times New Roman" w:hAnsi="Times New Roman" w:cs="Times New Roman"/>
      <w:sz w:val="24"/>
    </w:rPr>
  </w:style>
  <w:style w:type="character" w:customStyle="1" w:styleId="CommentTextChar">
    <w:name w:val="Comment Text Char"/>
    <w:locked/>
    <w:rsid w:val="00101F7C"/>
    <w:rPr>
      <w:rFonts w:ascii="Times New Roman" w:hAnsi="Times New Roman" w:cs="Times New Roman"/>
      <w:sz w:val="20"/>
    </w:rPr>
  </w:style>
  <w:style w:type="paragraph" w:customStyle="1" w:styleId="124">
    <w:name w:val="Абзац списка12"/>
    <w:basedOn w:val="a1"/>
    <w:rsid w:val="00101F7C"/>
    <w:pPr>
      <w:suppressAutoHyphens w:val="0"/>
      <w:ind w:left="708"/>
      <w:jc w:val="both"/>
    </w:pPr>
    <w:rPr>
      <w:rFonts w:ascii="Garamond" w:eastAsia="Times New Roman" w:hAnsi="Garamond" w:cs="Times New Roman"/>
      <w:sz w:val="22"/>
      <w:szCs w:val="24"/>
    </w:rPr>
  </w:style>
  <w:style w:type="numbering" w:customStyle="1" w:styleId="2d">
    <w:name w:val="Нет списка2"/>
    <w:next w:val="a4"/>
    <w:uiPriority w:val="99"/>
    <w:semiHidden/>
    <w:unhideWhenUsed/>
    <w:rsid w:val="001333B2"/>
  </w:style>
  <w:style w:type="paragraph" w:customStyle="1" w:styleId="affff2">
    <w:name w:val="ДОП Заголовок"/>
    <w:basedOn w:val="10"/>
    <w:qFormat/>
    <w:rsid w:val="001333B2"/>
    <w:pPr>
      <w:suppressAutoHyphens w:val="0"/>
      <w:spacing w:before="120" w:after="120" w:line="240" w:lineRule="auto"/>
      <w:ind w:left="1321" w:hanging="360"/>
      <w:jc w:val="left"/>
    </w:pPr>
    <w:rPr>
      <w:rFonts w:ascii="Garamond" w:eastAsia="Times New Roman" w:hAnsi="Garamond" w:cs="Arial"/>
      <w:sz w:val="22"/>
    </w:rPr>
  </w:style>
  <w:style w:type="paragraph" w:customStyle="1" w:styleId="affff3">
    <w:name w:val="ДОП бн Основной"/>
    <w:basedOn w:val="a1"/>
    <w:qFormat/>
    <w:rsid w:val="001333B2"/>
    <w:pPr>
      <w:widowControl w:val="0"/>
      <w:tabs>
        <w:tab w:val="left" w:pos="1077"/>
      </w:tabs>
      <w:suppressAutoHyphens w:val="0"/>
      <w:spacing w:before="120" w:after="120"/>
      <w:ind w:firstLine="601"/>
      <w:jc w:val="both"/>
    </w:pPr>
    <w:rPr>
      <w:rFonts w:ascii="Garamond" w:eastAsia="Calibri" w:hAnsi="Garamond" w:cs="Times New Roman"/>
      <w:bCs/>
      <w:sz w:val="22"/>
      <w:szCs w:val="22"/>
      <w:lang w:eastAsia="en-US"/>
    </w:rPr>
  </w:style>
  <w:style w:type="paragraph" w:customStyle="1" w:styleId="affff4">
    <w:name w:val="ДОП сн Основной"/>
    <w:basedOn w:val="affff3"/>
    <w:next w:val="affff3"/>
    <w:qFormat/>
    <w:rsid w:val="001333B2"/>
    <w:pPr>
      <w:ind w:firstLine="595"/>
      <w:outlineLvl w:val="1"/>
    </w:pPr>
  </w:style>
  <w:style w:type="paragraph" w:customStyle="1" w:styleId="a">
    <w:name w:val="ДОП сп Основной"/>
    <w:basedOn w:val="affff3"/>
    <w:rsid w:val="001333B2"/>
    <w:pPr>
      <w:numPr>
        <w:numId w:val="311"/>
      </w:numPr>
      <w:tabs>
        <w:tab w:val="clear" w:pos="1077"/>
        <w:tab w:val="num" w:pos="317"/>
        <w:tab w:val="left" w:pos="851"/>
      </w:tabs>
      <w:ind w:left="0" w:firstLine="601"/>
    </w:pPr>
  </w:style>
  <w:style w:type="table" w:customStyle="1" w:styleId="2e">
    <w:name w:val="Сетка таблицы2"/>
    <w:basedOn w:val="a3"/>
    <w:next w:val="afe"/>
    <w:uiPriority w:val="39"/>
    <w:rsid w:val="001333B2"/>
    <w:pPr>
      <w:spacing w:after="0" w:line="240" w:lineRule="auto"/>
      <w:ind w:firstLine="357"/>
      <w:jc w:val="both"/>
    </w:pPr>
    <w:rPr>
      <w:rFonts w:ascii="Times New Roman" w:hAnsi="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82186697">
      <w:bodyDiv w:val="1"/>
      <w:marLeft w:val="0"/>
      <w:marRight w:val="0"/>
      <w:marTop w:val="0"/>
      <w:marBottom w:val="0"/>
      <w:divBdr>
        <w:top w:val="none" w:sz="0" w:space="0" w:color="auto"/>
        <w:left w:val="none" w:sz="0" w:space="0" w:color="auto"/>
        <w:bottom w:val="none" w:sz="0" w:space="0" w:color="auto"/>
        <w:right w:val="none" w:sz="0" w:space="0" w:color="auto"/>
      </w:divBdr>
    </w:div>
    <w:div w:id="669909654">
      <w:bodyDiv w:val="1"/>
      <w:marLeft w:val="0"/>
      <w:marRight w:val="0"/>
      <w:marTop w:val="0"/>
      <w:marBottom w:val="0"/>
      <w:divBdr>
        <w:top w:val="none" w:sz="0" w:space="0" w:color="auto"/>
        <w:left w:val="none" w:sz="0" w:space="0" w:color="auto"/>
        <w:bottom w:val="none" w:sz="0" w:space="0" w:color="auto"/>
        <w:right w:val="none" w:sz="0" w:space="0" w:color="auto"/>
      </w:divBdr>
    </w:div>
    <w:div w:id="1390960784">
      <w:bodyDiv w:val="1"/>
      <w:marLeft w:val="0"/>
      <w:marRight w:val="0"/>
      <w:marTop w:val="0"/>
      <w:marBottom w:val="0"/>
      <w:divBdr>
        <w:top w:val="none" w:sz="0" w:space="0" w:color="auto"/>
        <w:left w:val="none" w:sz="0" w:space="0" w:color="auto"/>
        <w:bottom w:val="none" w:sz="0" w:space="0" w:color="auto"/>
        <w:right w:val="none" w:sz="0" w:space="0" w:color="auto"/>
      </w:divBdr>
    </w:div>
    <w:div w:id="17279486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np-sr.ru/registers/marketsubject/energycustomers/majorconsumers" TargetMode="External"/><Relationship Id="rId18" Type="http://schemas.openxmlformats.org/officeDocument/2006/relationships/hyperlink" Target="http://www.np-sr.ru/registers/marketsubject/energycustomers/majorconsumers" TargetMode="External"/><Relationship Id="rId26" Type="http://schemas.openxmlformats.org/officeDocument/2006/relationships/footer" Target="footer3.xml"/><Relationship Id="rId39" Type="http://schemas.openxmlformats.org/officeDocument/2006/relationships/footer" Target="footer9.xml"/><Relationship Id="rId21" Type="http://schemas.openxmlformats.org/officeDocument/2006/relationships/hyperlink" Target="http://www.np-sr.ru/registers/marketsubject/energycustomers/exportimport" TargetMode="External"/><Relationship Id="rId34" Type="http://schemas.openxmlformats.org/officeDocument/2006/relationships/footer" Target="footer4.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www.np-sr.ru/registers/marketsubject/energycustomers/exportimport" TargetMode="External"/><Relationship Id="rId20" Type="http://schemas.openxmlformats.org/officeDocument/2006/relationships/hyperlink" Target="http://www.np-sr.ru/registers/marketsubject/energycustomers/exportimport" TargetMode="External"/><Relationship Id="rId29" Type="http://schemas.openxmlformats.org/officeDocument/2006/relationships/hyperlink" Target="mailto:petrov@newagr.ru" TargetMode="Externa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regulation.gov.ru/p/138018" TargetMode="External"/><Relationship Id="rId24" Type="http://schemas.openxmlformats.org/officeDocument/2006/relationships/hyperlink" Target="http://www.atsenergo.ru" TargetMode="External"/><Relationship Id="rId32" Type="http://schemas.openxmlformats.org/officeDocument/2006/relationships/hyperlink" Target="mailto:petrov@newagr.ru" TargetMode="External"/><Relationship Id="rId37" Type="http://schemas.openxmlformats.org/officeDocument/2006/relationships/footer" Target="footer7.xml"/><Relationship Id="rId40"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www.np-sr.ru/registers/marketsubject/energycustomers/exportimport" TargetMode="External"/><Relationship Id="rId23" Type="http://schemas.openxmlformats.org/officeDocument/2006/relationships/footer" Target="footer2.xml"/><Relationship Id="rId28" Type="http://schemas.openxmlformats.org/officeDocument/2006/relationships/hyperlink" Target="mailto:ivanov@newagr.ru" TargetMode="External"/><Relationship Id="rId36" Type="http://schemas.openxmlformats.org/officeDocument/2006/relationships/footer" Target="footer6.xml"/><Relationship Id="rId10" Type="http://schemas.openxmlformats.org/officeDocument/2006/relationships/endnotes" Target="endnotes.xml"/><Relationship Id="rId19" Type="http://schemas.openxmlformats.org/officeDocument/2006/relationships/hyperlink" Target="http://www.np-sr.ru/registers/marketsubject/energycustomers/guaranteeingsuppliers" TargetMode="External"/><Relationship Id="rId31" Type="http://schemas.openxmlformats.org/officeDocument/2006/relationships/hyperlink" Target="mailto:ivanov@newagr.r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np-sr.ru/registers/marketsubject/energycustomers/guaranteeingsuppliers" TargetMode="External"/><Relationship Id="rId22" Type="http://schemas.openxmlformats.org/officeDocument/2006/relationships/footer" Target="footer1.xml"/><Relationship Id="rId27" Type="http://schemas.openxmlformats.org/officeDocument/2006/relationships/hyperlink" Target="http://www.atsenergo.ru" TargetMode="External"/><Relationship Id="rId30" Type="http://schemas.openxmlformats.org/officeDocument/2006/relationships/hyperlink" Target="http://www.atsenergo.ru" TargetMode="External"/><Relationship Id="rId35" Type="http://schemas.openxmlformats.org/officeDocument/2006/relationships/footer" Target="footer5.xm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hyperlink" Target="http://www.np-sr.ru/registers/marketsubject/energycustomers/energymarket" TargetMode="External"/><Relationship Id="rId17" Type="http://schemas.openxmlformats.org/officeDocument/2006/relationships/hyperlink" Target="http://www.np-sr.ru/registers/marketsubject/energycustomers/energymarket" TargetMode="External"/><Relationship Id="rId25" Type="http://schemas.openxmlformats.org/officeDocument/2006/relationships/hyperlink" Target="http://www.atsenergo.ru" TargetMode="External"/><Relationship Id="rId33" Type="http://schemas.openxmlformats.org/officeDocument/2006/relationships/image" Target="media/image1.png"/><Relationship Id="rId38" Type="http://schemas.openxmlformats.org/officeDocument/2006/relationships/footer" Target="footer8.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x0412__x0435__x0440__x0441__x0438__x043e__x043d__x043d__x043e__x0441__x0442__x044c_ xmlns="b1652c23-50e9-4086-8453-2c59195dfe13"/>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Документ" ma:contentTypeID="0x01010027136A3DAFFA4D4AA05752189489548A" ma:contentTypeVersion="2" ma:contentTypeDescription="Создание документа." ma:contentTypeScope="" ma:versionID="4a758844441899436ca3625ee5bc7f07">
  <xsd:schema xmlns:xsd="http://www.w3.org/2001/XMLSchema" xmlns:xs="http://www.w3.org/2001/XMLSchema" xmlns:p="http://schemas.microsoft.com/office/2006/metadata/properties" xmlns:ns2="b1652c23-50e9-4086-8453-2c59195dfe13" targetNamespace="http://schemas.microsoft.com/office/2006/metadata/properties" ma:root="true" ma:fieldsID="5cc6e24b8f374d8e2ea79c0cb00461e4" ns2:_="">
    <xsd:import namespace="b1652c23-50e9-4086-8453-2c59195dfe13"/>
    <xsd:element name="properties">
      <xsd:complexType>
        <xsd:sequence>
          <xsd:element name="documentManagement">
            <xsd:complexType>
              <xsd:all>
                <xsd:element ref="ns2:_x0412__x0435__x0440__x0441__x0438__x043e__x043d__x043d__x043e__x0441__x0442__x044c_" minOccurs="0"/>
                <xsd:element ref="ns2:_x0412__x0435__x0440__x0441__x0438__x043e__x043d__x043d__x043e__x0441__x0442__x044c__x003a__x0412__x0435__x0440__x0441__x0438__x044f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1652c23-50e9-4086-8453-2c59195dfe13" elementFormDefault="qualified">
    <xsd:import namespace="http://schemas.microsoft.com/office/2006/documentManagement/types"/>
    <xsd:import namespace="http://schemas.microsoft.com/office/infopath/2007/PartnerControls"/>
    <xsd:element name="_x0412__x0435__x0440__x0441__x0438__x043e__x043d__x043d__x043e__x0441__x0442__x044c_" ma:index="8" nillable="true" ma:displayName="Версионность" ma:list="{e8357355-71ec-4d1d-ae00-2ca845a83ebc}" ma:internalName="_x0412__x0435__x0440__x0441__x0438__x043e__x043d__x043d__x043e__x0441__x0442__x044c_" ma:showField="Title">
      <xsd:complexType>
        <xsd:complexContent>
          <xsd:extension base="dms:MultiChoiceLookup">
            <xsd:sequence>
              <xsd:element name="Value" type="dms:Lookup" maxOccurs="unbounded" minOccurs="0" nillable="true"/>
            </xsd:sequence>
          </xsd:extension>
        </xsd:complexContent>
      </xsd:complexType>
    </xsd:element>
    <xsd:element name="_x0412__x0435__x0440__x0441__x0438__x043e__x043d__x043d__x043e__x0441__x0442__x044c__x003a__x0412__x0435__x0440__x0441__x0438__x044f_" ma:index="9" nillable="true" ma:displayName="Версионность:Версия" ma:list="{e8357355-71ec-4d1d-ae00-2ca845a83ebc}" ma:internalName="_x0412__x0435__x0440__x0441__x0438__x043e__x043d__x043d__x043e__x0441__x0442__x044c__x003a__x0412__x0435__x0440__x0441__x0438__x044f_" ma:readOnly="true" ma:showField="_UIVersionString" ma:web="a0deef38-2184-47bd-afe7-2f2f73fccb5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8565AA-7AAE-44C0-ABD4-EA31536129E0}">
  <ds:schemaRefs>
    <ds:schemaRef ds:uri="http://schemas.microsoft.com/office/2006/metadata/properties"/>
    <ds:schemaRef ds:uri="http://purl.org/dc/dcmitype/"/>
    <ds:schemaRef ds:uri="http://purl.org/dc/terms/"/>
    <ds:schemaRef ds:uri="http://schemas.openxmlformats.org/package/2006/metadata/core-properties"/>
    <ds:schemaRef ds:uri="http://schemas.microsoft.com/office/2006/documentManagement/types"/>
    <ds:schemaRef ds:uri="b1652c23-50e9-4086-8453-2c59195dfe13"/>
    <ds:schemaRef ds:uri="http://schemas.microsoft.com/office/infopath/2007/PartnerControls"/>
    <ds:schemaRef ds:uri="http://www.w3.org/XML/1998/namespace"/>
    <ds:schemaRef ds:uri="http://purl.org/dc/elements/1.1/"/>
  </ds:schemaRefs>
</ds:datastoreItem>
</file>

<file path=customXml/itemProps2.xml><?xml version="1.0" encoding="utf-8"?>
<ds:datastoreItem xmlns:ds="http://schemas.openxmlformats.org/officeDocument/2006/customXml" ds:itemID="{97EA08E6-84D7-43EA-B040-B609871B7094}">
  <ds:schemaRefs>
    <ds:schemaRef ds:uri="http://schemas.microsoft.com/sharepoint/v3/contenttype/forms"/>
  </ds:schemaRefs>
</ds:datastoreItem>
</file>

<file path=customXml/itemProps3.xml><?xml version="1.0" encoding="utf-8"?>
<ds:datastoreItem xmlns:ds="http://schemas.openxmlformats.org/officeDocument/2006/customXml" ds:itemID="{B831EFAA-B988-48AC-8402-32AF9A8FE3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1652c23-50e9-4086-8453-2c59195dfe1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9A22257-AE61-4B2E-92C5-5DBD93BE5A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631</TotalTime>
  <Pages>433</Pages>
  <Words>175904</Words>
  <Characters>1002658</Characters>
  <Application>Microsoft Office Word</Application>
  <DocSecurity>0</DocSecurity>
  <Lines>8355</Lines>
  <Paragraphs>2352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1176210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Барченко Ирина Геннадьевна</dc:creator>
  <cp:keywords/>
  <dc:description/>
  <cp:lastModifiedBy>Пряхина Ирина Игоревна</cp:lastModifiedBy>
  <cp:revision>50</cp:revision>
  <dcterms:created xsi:type="dcterms:W3CDTF">2023-11-22T10:33:00Z</dcterms:created>
  <dcterms:modified xsi:type="dcterms:W3CDTF">2023-11-27T09:20:00Z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0x01010027136A3DAFFA4D4AA05752189489548A</vt:lpwstr>
  </property>
</Properties>
</file>